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C0A" w:rsidRDefault="00694C0F">
      <w:bookmarkStart w:id="0" w:name="_GoBack"/>
      <w:bookmarkEnd w:id="0"/>
      <w:r>
        <w:rPr>
          <w:b/>
          <w:sz w:val="28"/>
        </w:rPr>
        <w:t xml:space="preserve">[MS-OI29500]: </w:t>
      </w:r>
    </w:p>
    <w:p w:rsidR="00024C0A" w:rsidRDefault="00694C0F">
      <w:r>
        <w:rPr>
          <w:b/>
          <w:sz w:val="28"/>
        </w:rPr>
        <w:t>Office Implementation Information for ISO/IEC 29500 Standards Support</w:t>
      </w:r>
    </w:p>
    <w:p w:rsidR="00024C0A" w:rsidRDefault="00024C0A">
      <w:pPr>
        <w:pStyle w:val="CoverHR"/>
      </w:pPr>
    </w:p>
    <w:p w:rsidR="00205B85" w:rsidRPr="00893F99" w:rsidRDefault="00694C0F" w:rsidP="00205B85">
      <w:pPr>
        <w:pStyle w:val="MSDNH2"/>
        <w:spacing w:line="288" w:lineRule="auto"/>
        <w:textAlignment w:val="top"/>
      </w:pPr>
      <w:r>
        <w:t>Intellectual Property Rights Notice for Open Specifications Documentation</w:t>
      </w:r>
    </w:p>
    <w:p w:rsidR="00205B85" w:rsidRDefault="00694C0F" w:rsidP="00205B85">
      <w:pPr>
        <w:pStyle w:val="ListParagraph"/>
        <w:numPr>
          <w:ilvl w:val="0"/>
          <w:numId w:val="240"/>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694C0F" w:rsidP="00205B85">
      <w:pPr>
        <w:pStyle w:val="ListParagraph"/>
        <w:numPr>
          <w:ilvl w:val="0"/>
          <w:numId w:val="240"/>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694C0F" w:rsidP="00205B85">
      <w:pPr>
        <w:pStyle w:val="ListParagraph"/>
        <w:numPr>
          <w:ilvl w:val="0"/>
          <w:numId w:val="240"/>
        </w:numPr>
        <w:spacing w:before="0" w:after="120"/>
        <w:contextualSpacing/>
        <w:textAlignment w:val="top"/>
      </w:pPr>
      <w:r>
        <w:rPr>
          <w:b/>
        </w:rPr>
        <w:t>No Trade Secrets</w:t>
      </w:r>
      <w:r>
        <w:t>. Microsoft</w:t>
      </w:r>
      <w:r>
        <w:t xml:space="preserve"> does not claim any trade secret rights in this documentation. </w:t>
      </w:r>
    </w:p>
    <w:p w:rsidR="00205B85" w:rsidRDefault="00694C0F" w:rsidP="00205B85">
      <w:pPr>
        <w:pStyle w:val="ListParagraph"/>
        <w:numPr>
          <w:ilvl w:val="0"/>
          <w:numId w:val="240"/>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205B85" w:rsidRDefault="00694C0F" w:rsidP="00205B85">
      <w:pPr>
        <w:pStyle w:val="ListParagraph"/>
        <w:numPr>
          <w:ilvl w:val="0"/>
          <w:numId w:val="240"/>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205B85" w:rsidRDefault="00694C0F" w:rsidP="00205B85">
      <w:pPr>
        <w:pStyle w:val="ListParagraph"/>
        <w:numPr>
          <w:ilvl w:val="0"/>
          <w:numId w:val="240"/>
        </w:numPr>
        <w:spacing w:before="0" w:after="120"/>
        <w:contextualSpacing/>
        <w:textAlignment w:val="top"/>
      </w:pPr>
      <w:r>
        <w:rPr>
          <w:b/>
        </w:rPr>
        <w:t>Trademarks</w:t>
      </w:r>
      <w:r>
        <w:t>. The names of companies and products contained in this documentation might be covered by trademarks or similar intellectual property rights. This noti</w:t>
      </w:r>
      <w:r>
        <w:t xml:space="preserve">ce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694C0F" w:rsidP="00205B85">
      <w:pPr>
        <w:pStyle w:val="ListParagraph"/>
        <w:numPr>
          <w:ilvl w:val="0"/>
          <w:numId w:val="240"/>
        </w:numPr>
        <w:spacing w:before="0" w:after="120"/>
        <w:contextualSpacing/>
        <w:textAlignment w:val="top"/>
      </w:pPr>
      <w:r>
        <w:rPr>
          <w:b/>
        </w:rPr>
        <w:t>Fictitious Names</w:t>
      </w:r>
      <w:r w:rsidRPr="004D02BB">
        <w:t>. The example companies, organizations, products, domain names,</w:t>
      </w:r>
      <w:r w:rsidRPr="004D02BB">
        <w:t xml:space="preserve"> email addresses, logos, people, places, and events that are depicted in this documentation are fictitious. No association with any real company, organization, product, domain name, email address, logo, person, place, or event is intended or should be infe</w:t>
      </w:r>
      <w:r w:rsidRPr="004D02BB">
        <w:t>rred.</w:t>
      </w:r>
    </w:p>
    <w:p w:rsidR="00205B85" w:rsidRDefault="00694C0F"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694C0F" w:rsidP="00205B85">
      <w:pPr>
        <w:spacing w:after="120"/>
        <w:textAlignment w:val="top"/>
      </w:pPr>
      <w:r w:rsidRPr="004D02BB">
        <w:rPr>
          <w:b/>
        </w:rPr>
        <w:t>Tools</w:t>
      </w:r>
      <w:r>
        <w:t>. The Open Specifications documentation does not require</w:t>
      </w:r>
      <w:r>
        <w:t xml:space="preserve"> the use of Microsoft programming tools or programming environments in order for you to develop an implementation. If you have access to Microsoft programming tools and environments, you are free to take advantage of them. Certain Open Specifications docum</w:t>
      </w:r>
      <w:r>
        <w:t>ents are intended for use in conjunction with publicly available standards specifications and network programming art and, as such, assume that the reader either is familiar with the aforementioned material or has immediate access to it.</w:t>
      </w:r>
    </w:p>
    <w:p w:rsidR="00024C0A" w:rsidRDefault="00694C0F" w:rsidP="00205B85">
      <w:pPr>
        <w:spacing w:after="120"/>
        <w:textAlignment w:val="top"/>
      </w:pPr>
      <w:r w:rsidRPr="00D72597">
        <w:rPr>
          <w:b/>
        </w:rPr>
        <w:t>Support.</w:t>
      </w:r>
      <w:r>
        <w:t xml:space="preserve"> For quest</w:t>
      </w:r>
      <w:r>
        <w:t xml:space="preserve">ions and support, please contact </w:t>
      </w:r>
      <w:hyperlink r:id="rId14" w:history="1">
        <w:r w:rsidRPr="00C8329B">
          <w:rPr>
            <w:rStyle w:val="Hyperlink"/>
          </w:rPr>
          <w:t>dochelp@microsoft.com</w:t>
        </w:r>
      </w:hyperlink>
      <w:r>
        <w:t xml:space="preserve">. </w:t>
      </w:r>
    </w:p>
    <w:p w:rsidR="00024C0A" w:rsidRDefault="00694C0F">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tcPr>
          <w:p w:rsidR="00024C0A" w:rsidRDefault="00694C0F">
            <w:pPr>
              <w:pStyle w:val="TableHeaderText"/>
            </w:pPr>
            <w:r>
              <w:t>Date</w:t>
            </w:r>
          </w:p>
        </w:tc>
        <w:tc>
          <w:tcPr>
            <w:tcW w:w="0" w:type="auto"/>
          </w:tcPr>
          <w:p w:rsidR="00024C0A" w:rsidRDefault="00694C0F">
            <w:pPr>
              <w:pStyle w:val="TableHeaderText"/>
            </w:pPr>
            <w:r>
              <w:t>Revision History</w:t>
            </w:r>
          </w:p>
        </w:tc>
        <w:tc>
          <w:tcPr>
            <w:tcW w:w="0" w:type="auto"/>
          </w:tcPr>
          <w:p w:rsidR="00024C0A" w:rsidRDefault="00694C0F">
            <w:pPr>
              <w:pStyle w:val="TableHeaderText"/>
            </w:pPr>
            <w:r>
              <w:t>Revision Class</w:t>
            </w:r>
          </w:p>
        </w:tc>
        <w:tc>
          <w:tcPr>
            <w:tcW w:w="0" w:type="auto"/>
          </w:tcPr>
          <w:p w:rsidR="00024C0A" w:rsidRDefault="00694C0F">
            <w:pPr>
              <w:pStyle w:val="TableHeaderText"/>
            </w:pPr>
            <w:r>
              <w:t>Comments</w:t>
            </w:r>
          </w:p>
        </w:tc>
      </w:tr>
      <w:tr w:rsidR="00024C0A" w:rsidTr="00024C0A">
        <w:tc>
          <w:tcPr>
            <w:tcW w:w="0" w:type="auto"/>
            <w:vAlign w:val="center"/>
          </w:tcPr>
          <w:p w:rsidR="00024C0A" w:rsidRDefault="00694C0F">
            <w:pPr>
              <w:pStyle w:val="TableBodyText"/>
            </w:pPr>
            <w:r>
              <w:t>12/15/2009</w:t>
            </w:r>
          </w:p>
        </w:tc>
        <w:tc>
          <w:tcPr>
            <w:tcW w:w="0" w:type="auto"/>
            <w:vAlign w:val="center"/>
          </w:tcPr>
          <w:p w:rsidR="00024C0A" w:rsidRDefault="00694C0F">
            <w:pPr>
              <w:pStyle w:val="TableBodyText"/>
            </w:pPr>
            <w:r>
              <w:t>1.0</w:t>
            </w:r>
          </w:p>
        </w:tc>
        <w:tc>
          <w:tcPr>
            <w:tcW w:w="0" w:type="auto"/>
            <w:vAlign w:val="center"/>
          </w:tcPr>
          <w:p w:rsidR="00024C0A" w:rsidRDefault="00694C0F">
            <w:pPr>
              <w:pStyle w:val="TableBodyText"/>
            </w:pPr>
            <w:r>
              <w:t>Major</w:t>
            </w:r>
          </w:p>
        </w:tc>
        <w:tc>
          <w:tcPr>
            <w:tcW w:w="0" w:type="auto"/>
            <w:vAlign w:val="center"/>
          </w:tcPr>
          <w:p w:rsidR="00024C0A" w:rsidRDefault="00694C0F">
            <w:pPr>
              <w:pStyle w:val="TableBodyText"/>
            </w:pPr>
            <w:r>
              <w:t>Initial Availability</w:t>
            </w:r>
          </w:p>
        </w:tc>
      </w:tr>
      <w:tr w:rsidR="00024C0A" w:rsidTr="00024C0A">
        <w:tc>
          <w:tcPr>
            <w:tcW w:w="0" w:type="auto"/>
            <w:vAlign w:val="center"/>
          </w:tcPr>
          <w:p w:rsidR="00024C0A" w:rsidRDefault="00694C0F">
            <w:pPr>
              <w:pStyle w:val="TableBodyText"/>
            </w:pPr>
            <w:r>
              <w:t>2/19/2010</w:t>
            </w:r>
          </w:p>
        </w:tc>
        <w:tc>
          <w:tcPr>
            <w:tcW w:w="0" w:type="auto"/>
            <w:vAlign w:val="center"/>
          </w:tcPr>
          <w:p w:rsidR="00024C0A" w:rsidRDefault="00694C0F">
            <w:pPr>
              <w:pStyle w:val="TableBodyText"/>
            </w:pPr>
            <w:r>
              <w:t>1.01</w:t>
            </w:r>
          </w:p>
        </w:tc>
        <w:tc>
          <w:tcPr>
            <w:tcW w:w="0" w:type="auto"/>
            <w:vAlign w:val="center"/>
          </w:tcPr>
          <w:p w:rsidR="00024C0A" w:rsidRDefault="00694C0F">
            <w:pPr>
              <w:pStyle w:val="TableBodyText"/>
            </w:pPr>
            <w:r>
              <w:t>Major</w:t>
            </w:r>
          </w:p>
        </w:tc>
        <w:tc>
          <w:tcPr>
            <w:tcW w:w="0" w:type="auto"/>
            <w:vAlign w:val="center"/>
          </w:tcPr>
          <w:p w:rsidR="00024C0A" w:rsidRDefault="00694C0F">
            <w:pPr>
              <w:pStyle w:val="TableBodyText"/>
            </w:pPr>
            <w:r>
              <w:t>Updated and revised the technical content</w:t>
            </w:r>
          </w:p>
        </w:tc>
      </w:tr>
      <w:tr w:rsidR="00024C0A" w:rsidTr="00024C0A">
        <w:tc>
          <w:tcPr>
            <w:tcW w:w="0" w:type="auto"/>
            <w:vAlign w:val="center"/>
          </w:tcPr>
          <w:p w:rsidR="00024C0A" w:rsidRDefault="00694C0F">
            <w:pPr>
              <w:pStyle w:val="TableBodyText"/>
            </w:pPr>
            <w:r>
              <w:t>3/31/2010</w:t>
            </w:r>
          </w:p>
        </w:tc>
        <w:tc>
          <w:tcPr>
            <w:tcW w:w="0" w:type="auto"/>
            <w:vAlign w:val="center"/>
          </w:tcPr>
          <w:p w:rsidR="00024C0A" w:rsidRDefault="00694C0F">
            <w:pPr>
              <w:pStyle w:val="TableBodyText"/>
            </w:pPr>
            <w:r>
              <w:t>1.02</w:t>
            </w:r>
          </w:p>
        </w:tc>
        <w:tc>
          <w:tcPr>
            <w:tcW w:w="0" w:type="auto"/>
            <w:vAlign w:val="center"/>
          </w:tcPr>
          <w:p w:rsidR="00024C0A" w:rsidRDefault="00694C0F">
            <w:pPr>
              <w:pStyle w:val="TableBodyText"/>
            </w:pPr>
            <w:r>
              <w:t>Major</w:t>
            </w:r>
          </w:p>
        </w:tc>
        <w:tc>
          <w:tcPr>
            <w:tcW w:w="0" w:type="auto"/>
            <w:vAlign w:val="center"/>
          </w:tcPr>
          <w:p w:rsidR="00024C0A" w:rsidRDefault="00694C0F">
            <w:pPr>
              <w:pStyle w:val="TableBodyText"/>
            </w:pPr>
            <w:r>
              <w:t>Revised for template compliance</w:t>
            </w:r>
          </w:p>
        </w:tc>
      </w:tr>
      <w:tr w:rsidR="00024C0A" w:rsidTr="00024C0A">
        <w:tc>
          <w:tcPr>
            <w:tcW w:w="0" w:type="auto"/>
            <w:vAlign w:val="center"/>
          </w:tcPr>
          <w:p w:rsidR="00024C0A" w:rsidRDefault="00694C0F">
            <w:pPr>
              <w:pStyle w:val="TableBodyText"/>
            </w:pPr>
            <w:r>
              <w:t>4/30/2010</w:t>
            </w:r>
          </w:p>
        </w:tc>
        <w:tc>
          <w:tcPr>
            <w:tcW w:w="0" w:type="auto"/>
            <w:vAlign w:val="center"/>
          </w:tcPr>
          <w:p w:rsidR="00024C0A" w:rsidRDefault="00694C0F">
            <w:pPr>
              <w:pStyle w:val="TableBodyText"/>
            </w:pPr>
            <w:r>
              <w:t>1.03</w:t>
            </w:r>
          </w:p>
        </w:tc>
        <w:tc>
          <w:tcPr>
            <w:tcW w:w="0" w:type="auto"/>
            <w:vAlign w:val="center"/>
          </w:tcPr>
          <w:p w:rsidR="00024C0A" w:rsidRDefault="00694C0F">
            <w:pPr>
              <w:pStyle w:val="TableBodyText"/>
            </w:pPr>
            <w:r>
              <w:t>Editorial</w:t>
            </w:r>
          </w:p>
        </w:tc>
        <w:tc>
          <w:tcPr>
            <w:tcW w:w="0" w:type="auto"/>
            <w:vAlign w:val="center"/>
          </w:tcPr>
          <w:p w:rsidR="00024C0A" w:rsidRDefault="00694C0F">
            <w:pPr>
              <w:pStyle w:val="TableBodyText"/>
            </w:pPr>
            <w:r>
              <w:t>Revised and edited the technical content</w:t>
            </w:r>
          </w:p>
        </w:tc>
      </w:tr>
      <w:tr w:rsidR="00024C0A" w:rsidTr="00024C0A">
        <w:tc>
          <w:tcPr>
            <w:tcW w:w="0" w:type="auto"/>
            <w:vAlign w:val="center"/>
          </w:tcPr>
          <w:p w:rsidR="00024C0A" w:rsidRDefault="00694C0F">
            <w:pPr>
              <w:pStyle w:val="TableBodyText"/>
            </w:pPr>
            <w:r>
              <w:t>6/7/2010</w:t>
            </w:r>
          </w:p>
        </w:tc>
        <w:tc>
          <w:tcPr>
            <w:tcW w:w="0" w:type="auto"/>
            <w:vAlign w:val="center"/>
          </w:tcPr>
          <w:p w:rsidR="00024C0A" w:rsidRDefault="00694C0F">
            <w:pPr>
              <w:pStyle w:val="TableBodyText"/>
            </w:pPr>
            <w:r>
              <w:t>1.04</w:t>
            </w:r>
          </w:p>
        </w:tc>
        <w:tc>
          <w:tcPr>
            <w:tcW w:w="0" w:type="auto"/>
            <w:vAlign w:val="center"/>
          </w:tcPr>
          <w:p w:rsidR="00024C0A" w:rsidRDefault="00694C0F">
            <w:pPr>
              <w:pStyle w:val="TableBodyText"/>
            </w:pPr>
            <w:r>
              <w:t>Editorial</w:t>
            </w:r>
          </w:p>
        </w:tc>
        <w:tc>
          <w:tcPr>
            <w:tcW w:w="0" w:type="auto"/>
            <w:vAlign w:val="center"/>
          </w:tcPr>
          <w:p w:rsidR="00024C0A" w:rsidRDefault="00694C0F">
            <w:pPr>
              <w:pStyle w:val="TableBodyText"/>
            </w:pPr>
            <w:r>
              <w:t>Revised and edited the technical content</w:t>
            </w:r>
          </w:p>
        </w:tc>
      </w:tr>
      <w:tr w:rsidR="00024C0A" w:rsidTr="00024C0A">
        <w:tc>
          <w:tcPr>
            <w:tcW w:w="0" w:type="auto"/>
            <w:vAlign w:val="center"/>
          </w:tcPr>
          <w:p w:rsidR="00024C0A" w:rsidRDefault="00694C0F">
            <w:pPr>
              <w:pStyle w:val="TableBodyText"/>
            </w:pPr>
            <w:r>
              <w:t>6/29/2010</w:t>
            </w:r>
          </w:p>
        </w:tc>
        <w:tc>
          <w:tcPr>
            <w:tcW w:w="0" w:type="auto"/>
            <w:vAlign w:val="center"/>
          </w:tcPr>
          <w:p w:rsidR="00024C0A" w:rsidRDefault="00694C0F">
            <w:pPr>
              <w:pStyle w:val="TableBodyText"/>
            </w:pPr>
            <w:r>
              <w:t>1.05</w:t>
            </w:r>
          </w:p>
        </w:tc>
        <w:tc>
          <w:tcPr>
            <w:tcW w:w="0" w:type="auto"/>
            <w:vAlign w:val="center"/>
          </w:tcPr>
          <w:p w:rsidR="00024C0A" w:rsidRDefault="00694C0F">
            <w:pPr>
              <w:pStyle w:val="TableBodyText"/>
            </w:pPr>
            <w:r>
              <w:t>Editorial</w:t>
            </w:r>
          </w:p>
        </w:tc>
        <w:tc>
          <w:tcPr>
            <w:tcW w:w="0" w:type="auto"/>
            <w:vAlign w:val="center"/>
          </w:tcPr>
          <w:p w:rsidR="00024C0A" w:rsidRDefault="00694C0F">
            <w:pPr>
              <w:pStyle w:val="TableBodyText"/>
            </w:pPr>
            <w:r>
              <w:t>Changed language and formatting in the technical content.</w:t>
            </w:r>
          </w:p>
        </w:tc>
      </w:tr>
      <w:tr w:rsidR="00024C0A" w:rsidTr="00024C0A">
        <w:tc>
          <w:tcPr>
            <w:tcW w:w="0" w:type="auto"/>
            <w:vAlign w:val="center"/>
          </w:tcPr>
          <w:p w:rsidR="00024C0A" w:rsidRDefault="00694C0F">
            <w:pPr>
              <w:pStyle w:val="TableBodyText"/>
            </w:pPr>
            <w:r>
              <w:t>7/23/2010</w:t>
            </w:r>
          </w:p>
        </w:tc>
        <w:tc>
          <w:tcPr>
            <w:tcW w:w="0" w:type="auto"/>
            <w:vAlign w:val="center"/>
          </w:tcPr>
          <w:p w:rsidR="00024C0A" w:rsidRDefault="00694C0F">
            <w:pPr>
              <w:pStyle w:val="TableBodyText"/>
            </w:pPr>
            <w:r>
              <w:t>1.05</w:t>
            </w:r>
          </w:p>
        </w:tc>
        <w:tc>
          <w:tcPr>
            <w:tcW w:w="0" w:type="auto"/>
            <w:vAlign w:val="center"/>
          </w:tcPr>
          <w:p w:rsidR="00024C0A" w:rsidRDefault="00694C0F">
            <w:pPr>
              <w:pStyle w:val="TableBodyText"/>
            </w:pPr>
            <w:r>
              <w:t>None</w:t>
            </w:r>
          </w:p>
        </w:tc>
        <w:tc>
          <w:tcPr>
            <w:tcW w:w="0" w:type="auto"/>
            <w:vAlign w:val="center"/>
          </w:tcPr>
          <w:p w:rsidR="00024C0A" w:rsidRDefault="00694C0F">
            <w:pPr>
              <w:pStyle w:val="TableBodyText"/>
            </w:pPr>
            <w:r>
              <w:t>No changes to the meaning, language, or formatting of the technical content.</w:t>
            </w:r>
          </w:p>
        </w:tc>
      </w:tr>
      <w:tr w:rsidR="00024C0A" w:rsidTr="00024C0A">
        <w:tc>
          <w:tcPr>
            <w:tcW w:w="0" w:type="auto"/>
            <w:vAlign w:val="center"/>
          </w:tcPr>
          <w:p w:rsidR="00024C0A" w:rsidRDefault="00694C0F">
            <w:pPr>
              <w:pStyle w:val="TableBodyText"/>
            </w:pPr>
            <w:r>
              <w:t>9/27/2010</w:t>
            </w:r>
          </w:p>
        </w:tc>
        <w:tc>
          <w:tcPr>
            <w:tcW w:w="0" w:type="auto"/>
            <w:vAlign w:val="center"/>
          </w:tcPr>
          <w:p w:rsidR="00024C0A" w:rsidRDefault="00694C0F">
            <w:pPr>
              <w:pStyle w:val="TableBodyText"/>
            </w:pPr>
            <w:r>
              <w:t>1.05</w:t>
            </w:r>
          </w:p>
        </w:tc>
        <w:tc>
          <w:tcPr>
            <w:tcW w:w="0" w:type="auto"/>
            <w:vAlign w:val="center"/>
          </w:tcPr>
          <w:p w:rsidR="00024C0A" w:rsidRDefault="00694C0F">
            <w:pPr>
              <w:pStyle w:val="TableBodyText"/>
            </w:pPr>
            <w:r>
              <w:t>None</w:t>
            </w:r>
          </w:p>
        </w:tc>
        <w:tc>
          <w:tcPr>
            <w:tcW w:w="0" w:type="auto"/>
            <w:vAlign w:val="center"/>
          </w:tcPr>
          <w:p w:rsidR="00024C0A" w:rsidRDefault="00694C0F">
            <w:pPr>
              <w:pStyle w:val="TableBodyText"/>
            </w:pPr>
            <w:r>
              <w:t>No changes to the meaning, language, or formatting of the technical content.</w:t>
            </w:r>
          </w:p>
        </w:tc>
      </w:tr>
      <w:tr w:rsidR="00024C0A" w:rsidTr="00024C0A">
        <w:tc>
          <w:tcPr>
            <w:tcW w:w="0" w:type="auto"/>
            <w:vAlign w:val="center"/>
          </w:tcPr>
          <w:p w:rsidR="00024C0A" w:rsidRDefault="00694C0F">
            <w:pPr>
              <w:pStyle w:val="TableBodyText"/>
            </w:pPr>
            <w:r>
              <w:t>11/15/2010</w:t>
            </w:r>
          </w:p>
        </w:tc>
        <w:tc>
          <w:tcPr>
            <w:tcW w:w="0" w:type="auto"/>
            <w:vAlign w:val="center"/>
          </w:tcPr>
          <w:p w:rsidR="00024C0A" w:rsidRDefault="00694C0F">
            <w:pPr>
              <w:pStyle w:val="TableBodyText"/>
            </w:pPr>
            <w:r>
              <w:t>1.06</w:t>
            </w:r>
          </w:p>
        </w:tc>
        <w:tc>
          <w:tcPr>
            <w:tcW w:w="0" w:type="auto"/>
            <w:vAlign w:val="center"/>
          </w:tcPr>
          <w:p w:rsidR="00024C0A" w:rsidRDefault="00694C0F">
            <w:pPr>
              <w:pStyle w:val="TableBodyText"/>
            </w:pPr>
            <w:r>
              <w:t>Major</w:t>
            </w:r>
          </w:p>
        </w:tc>
        <w:tc>
          <w:tcPr>
            <w:tcW w:w="0" w:type="auto"/>
            <w:vAlign w:val="center"/>
          </w:tcPr>
          <w:p w:rsidR="00024C0A" w:rsidRDefault="00694C0F">
            <w:pPr>
              <w:pStyle w:val="TableBodyText"/>
            </w:pPr>
            <w:r>
              <w:t>Significantly changed the technical content.</w:t>
            </w:r>
          </w:p>
        </w:tc>
      </w:tr>
      <w:tr w:rsidR="00024C0A" w:rsidTr="00024C0A">
        <w:tc>
          <w:tcPr>
            <w:tcW w:w="0" w:type="auto"/>
            <w:vAlign w:val="center"/>
          </w:tcPr>
          <w:p w:rsidR="00024C0A" w:rsidRDefault="00694C0F">
            <w:pPr>
              <w:pStyle w:val="TableBodyText"/>
            </w:pPr>
            <w:r>
              <w:t>12/17/2010</w:t>
            </w:r>
          </w:p>
        </w:tc>
        <w:tc>
          <w:tcPr>
            <w:tcW w:w="0" w:type="auto"/>
            <w:vAlign w:val="center"/>
          </w:tcPr>
          <w:p w:rsidR="00024C0A" w:rsidRDefault="00694C0F">
            <w:pPr>
              <w:pStyle w:val="TableBodyText"/>
            </w:pPr>
            <w:r>
              <w:t>1.06</w:t>
            </w:r>
          </w:p>
        </w:tc>
        <w:tc>
          <w:tcPr>
            <w:tcW w:w="0" w:type="auto"/>
            <w:vAlign w:val="center"/>
          </w:tcPr>
          <w:p w:rsidR="00024C0A" w:rsidRDefault="00694C0F">
            <w:pPr>
              <w:pStyle w:val="TableBodyText"/>
            </w:pPr>
            <w:r>
              <w:t>None</w:t>
            </w:r>
          </w:p>
        </w:tc>
        <w:tc>
          <w:tcPr>
            <w:tcW w:w="0" w:type="auto"/>
            <w:vAlign w:val="center"/>
          </w:tcPr>
          <w:p w:rsidR="00024C0A" w:rsidRDefault="00694C0F">
            <w:pPr>
              <w:pStyle w:val="TableBodyText"/>
            </w:pPr>
            <w:r>
              <w:t>No changes to the meaning, language, or formatting of the technical content.</w:t>
            </w:r>
          </w:p>
        </w:tc>
      </w:tr>
      <w:tr w:rsidR="00024C0A" w:rsidTr="00024C0A">
        <w:tc>
          <w:tcPr>
            <w:tcW w:w="0" w:type="auto"/>
            <w:vAlign w:val="center"/>
          </w:tcPr>
          <w:p w:rsidR="00024C0A" w:rsidRDefault="00694C0F">
            <w:pPr>
              <w:pStyle w:val="TableBodyText"/>
            </w:pPr>
            <w:r>
              <w:t>3/18/2011</w:t>
            </w:r>
          </w:p>
        </w:tc>
        <w:tc>
          <w:tcPr>
            <w:tcW w:w="0" w:type="auto"/>
            <w:vAlign w:val="center"/>
          </w:tcPr>
          <w:p w:rsidR="00024C0A" w:rsidRDefault="00694C0F">
            <w:pPr>
              <w:pStyle w:val="TableBodyText"/>
            </w:pPr>
            <w:r>
              <w:t>1.06</w:t>
            </w:r>
          </w:p>
        </w:tc>
        <w:tc>
          <w:tcPr>
            <w:tcW w:w="0" w:type="auto"/>
            <w:vAlign w:val="center"/>
          </w:tcPr>
          <w:p w:rsidR="00024C0A" w:rsidRDefault="00694C0F">
            <w:pPr>
              <w:pStyle w:val="TableBodyText"/>
            </w:pPr>
            <w:r>
              <w:t>None</w:t>
            </w:r>
          </w:p>
        </w:tc>
        <w:tc>
          <w:tcPr>
            <w:tcW w:w="0" w:type="auto"/>
            <w:vAlign w:val="center"/>
          </w:tcPr>
          <w:p w:rsidR="00024C0A" w:rsidRDefault="00694C0F">
            <w:pPr>
              <w:pStyle w:val="TableBodyText"/>
            </w:pPr>
            <w:r>
              <w:t>No changes to the meaning, language, or formatting of the technical content.</w:t>
            </w:r>
          </w:p>
        </w:tc>
      </w:tr>
      <w:tr w:rsidR="00024C0A" w:rsidTr="00024C0A">
        <w:tc>
          <w:tcPr>
            <w:tcW w:w="0" w:type="auto"/>
            <w:vAlign w:val="center"/>
          </w:tcPr>
          <w:p w:rsidR="00024C0A" w:rsidRDefault="00694C0F">
            <w:pPr>
              <w:pStyle w:val="TableBodyText"/>
            </w:pPr>
            <w:r>
              <w:t>6/10/2011</w:t>
            </w:r>
          </w:p>
        </w:tc>
        <w:tc>
          <w:tcPr>
            <w:tcW w:w="0" w:type="auto"/>
            <w:vAlign w:val="center"/>
          </w:tcPr>
          <w:p w:rsidR="00024C0A" w:rsidRDefault="00694C0F">
            <w:pPr>
              <w:pStyle w:val="TableBodyText"/>
            </w:pPr>
            <w:r>
              <w:t>1.06</w:t>
            </w:r>
          </w:p>
        </w:tc>
        <w:tc>
          <w:tcPr>
            <w:tcW w:w="0" w:type="auto"/>
            <w:vAlign w:val="center"/>
          </w:tcPr>
          <w:p w:rsidR="00024C0A" w:rsidRDefault="00694C0F">
            <w:pPr>
              <w:pStyle w:val="TableBodyText"/>
            </w:pPr>
            <w:r>
              <w:t>None</w:t>
            </w:r>
          </w:p>
        </w:tc>
        <w:tc>
          <w:tcPr>
            <w:tcW w:w="0" w:type="auto"/>
            <w:vAlign w:val="center"/>
          </w:tcPr>
          <w:p w:rsidR="00024C0A" w:rsidRDefault="00694C0F">
            <w:pPr>
              <w:pStyle w:val="TableBodyText"/>
            </w:pPr>
            <w:r>
              <w:t>No changes to the meaning, language, or formatting of the technical content.</w:t>
            </w:r>
          </w:p>
        </w:tc>
      </w:tr>
      <w:tr w:rsidR="00024C0A" w:rsidTr="00024C0A">
        <w:tc>
          <w:tcPr>
            <w:tcW w:w="0" w:type="auto"/>
            <w:vAlign w:val="center"/>
          </w:tcPr>
          <w:p w:rsidR="00024C0A" w:rsidRDefault="00694C0F">
            <w:pPr>
              <w:pStyle w:val="TableBodyText"/>
            </w:pPr>
            <w:r>
              <w:t>1/20/2012</w:t>
            </w:r>
          </w:p>
        </w:tc>
        <w:tc>
          <w:tcPr>
            <w:tcW w:w="0" w:type="auto"/>
            <w:vAlign w:val="center"/>
          </w:tcPr>
          <w:p w:rsidR="00024C0A" w:rsidRDefault="00694C0F">
            <w:pPr>
              <w:pStyle w:val="TableBodyText"/>
            </w:pPr>
            <w:r>
              <w:t>2.0</w:t>
            </w:r>
          </w:p>
        </w:tc>
        <w:tc>
          <w:tcPr>
            <w:tcW w:w="0" w:type="auto"/>
            <w:vAlign w:val="center"/>
          </w:tcPr>
          <w:p w:rsidR="00024C0A" w:rsidRDefault="00694C0F">
            <w:pPr>
              <w:pStyle w:val="TableBodyText"/>
            </w:pPr>
            <w:r>
              <w:t>Major</w:t>
            </w:r>
          </w:p>
        </w:tc>
        <w:tc>
          <w:tcPr>
            <w:tcW w:w="0" w:type="auto"/>
            <w:vAlign w:val="center"/>
          </w:tcPr>
          <w:p w:rsidR="00024C0A" w:rsidRDefault="00694C0F">
            <w:pPr>
              <w:pStyle w:val="TableBodyText"/>
            </w:pPr>
            <w:r>
              <w:t>Significantly changed the technical content.</w:t>
            </w:r>
          </w:p>
        </w:tc>
      </w:tr>
      <w:tr w:rsidR="00024C0A" w:rsidTr="00024C0A">
        <w:tc>
          <w:tcPr>
            <w:tcW w:w="0" w:type="auto"/>
            <w:vAlign w:val="center"/>
          </w:tcPr>
          <w:p w:rsidR="00024C0A" w:rsidRDefault="00694C0F">
            <w:pPr>
              <w:pStyle w:val="TableBodyText"/>
            </w:pPr>
            <w:r>
              <w:t>4/11/2012</w:t>
            </w:r>
          </w:p>
        </w:tc>
        <w:tc>
          <w:tcPr>
            <w:tcW w:w="0" w:type="auto"/>
            <w:vAlign w:val="center"/>
          </w:tcPr>
          <w:p w:rsidR="00024C0A" w:rsidRDefault="00694C0F">
            <w:pPr>
              <w:pStyle w:val="TableBodyText"/>
            </w:pPr>
            <w:r>
              <w:t>2.0</w:t>
            </w:r>
          </w:p>
        </w:tc>
        <w:tc>
          <w:tcPr>
            <w:tcW w:w="0" w:type="auto"/>
            <w:vAlign w:val="center"/>
          </w:tcPr>
          <w:p w:rsidR="00024C0A" w:rsidRDefault="00694C0F">
            <w:pPr>
              <w:pStyle w:val="TableBodyText"/>
            </w:pPr>
            <w:r>
              <w:t>None</w:t>
            </w:r>
          </w:p>
        </w:tc>
        <w:tc>
          <w:tcPr>
            <w:tcW w:w="0" w:type="auto"/>
            <w:vAlign w:val="center"/>
          </w:tcPr>
          <w:p w:rsidR="00024C0A" w:rsidRDefault="00694C0F">
            <w:pPr>
              <w:pStyle w:val="TableBodyText"/>
            </w:pPr>
            <w:r>
              <w:t>No changes to the meaning, language, or formatting of the technical content.</w:t>
            </w:r>
          </w:p>
        </w:tc>
      </w:tr>
      <w:tr w:rsidR="00024C0A" w:rsidTr="00024C0A">
        <w:tc>
          <w:tcPr>
            <w:tcW w:w="0" w:type="auto"/>
            <w:vAlign w:val="center"/>
          </w:tcPr>
          <w:p w:rsidR="00024C0A" w:rsidRDefault="00694C0F">
            <w:pPr>
              <w:pStyle w:val="TableBodyText"/>
            </w:pPr>
            <w:r>
              <w:t>7/16/2012</w:t>
            </w:r>
          </w:p>
        </w:tc>
        <w:tc>
          <w:tcPr>
            <w:tcW w:w="0" w:type="auto"/>
            <w:vAlign w:val="center"/>
          </w:tcPr>
          <w:p w:rsidR="00024C0A" w:rsidRDefault="00694C0F">
            <w:pPr>
              <w:pStyle w:val="TableBodyText"/>
            </w:pPr>
            <w:r>
              <w:t>2.0</w:t>
            </w:r>
          </w:p>
        </w:tc>
        <w:tc>
          <w:tcPr>
            <w:tcW w:w="0" w:type="auto"/>
            <w:vAlign w:val="center"/>
          </w:tcPr>
          <w:p w:rsidR="00024C0A" w:rsidRDefault="00694C0F">
            <w:pPr>
              <w:pStyle w:val="TableBodyText"/>
            </w:pPr>
            <w:r>
              <w:t>None</w:t>
            </w:r>
          </w:p>
        </w:tc>
        <w:tc>
          <w:tcPr>
            <w:tcW w:w="0" w:type="auto"/>
            <w:vAlign w:val="center"/>
          </w:tcPr>
          <w:p w:rsidR="00024C0A" w:rsidRDefault="00694C0F">
            <w:pPr>
              <w:pStyle w:val="TableBodyText"/>
            </w:pPr>
            <w:r>
              <w:t>No changes to the meaning, language, or formatting of the technical content.</w:t>
            </w:r>
          </w:p>
        </w:tc>
      </w:tr>
      <w:tr w:rsidR="00024C0A" w:rsidTr="00024C0A">
        <w:tc>
          <w:tcPr>
            <w:tcW w:w="0" w:type="auto"/>
            <w:vAlign w:val="center"/>
          </w:tcPr>
          <w:p w:rsidR="00024C0A" w:rsidRDefault="00694C0F">
            <w:pPr>
              <w:pStyle w:val="TableBodyText"/>
            </w:pPr>
            <w:r>
              <w:t>10/8/2012</w:t>
            </w:r>
          </w:p>
        </w:tc>
        <w:tc>
          <w:tcPr>
            <w:tcW w:w="0" w:type="auto"/>
            <w:vAlign w:val="center"/>
          </w:tcPr>
          <w:p w:rsidR="00024C0A" w:rsidRDefault="00694C0F">
            <w:pPr>
              <w:pStyle w:val="TableBodyText"/>
            </w:pPr>
            <w:r>
              <w:t>2.1</w:t>
            </w:r>
          </w:p>
        </w:tc>
        <w:tc>
          <w:tcPr>
            <w:tcW w:w="0" w:type="auto"/>
            <w:vAlign w:val="center"/>
          </w:tcPr>
          <w:p w:rsidR="00024C0A" w:rsidRDefault="00694C0F">
            <w:pPr>
              <w:pStyle w:val="TableBodyText"/>
            </w:pPr>
            <w:r>
              <w:t>Minor</w:t>
            </w:r>
          </w:p>
        </w:tc>
        <w:tc>
          <w:tcPr>
            <w:tcW w:w="0" w:type="auto"/>
            <w:vAlign w:val="center"/>
          </w:tcPr>
          <w:p w:rsidR="00024C0A" w:rsidRDefault="00694C0F">
            <w:pPr>
              <w:pStyle w:val="TableBodyText"/>
            </w:pPr>
            <w:r>
              <w:t>Clarified the meaning of the technical content.</w:t>
            </w:r>
          </w:p>
        </w:tc>
      </w:tr>
      <w:tr w:rsidR="00024C0A" w:rsidTr="00024C0A">
        <w:tc>
          <w:tcPr>
            <w:tcW w:w="0" w:type="auto"/>
            <w:vAlign w:val="center"/>
          </w:tcPr>
          <w:p w:rsidR="00024C0A" w:rsidRDefault="00694C0F">
            <w:pPr>
              <w:pStyle w:val="TableBodyText"/>
            </w:pPr>
            <w:r>
              <w:t>2/11/20</w:t>
            </w:r>
            <w:r>
              <w:t>13</w:t>
            </w:r>
          </w:p>
        </w:tc>
        <w:tc>
          <w:tcPr>
            <w:tcW w:w="0" w:type="auto"/>
            <w:vAlign w:val="center"/>
          </w:tcPr>
          <w:p w:rsidR="00024C0A" w:rsidRDefault="00694C0F">
            <w:pPr>
              <w:pStyle w:val="TableBodyText"/>
            </w:pPr>
            <w:r>
              <w:t>2.1</w:t>
            </w:r>
          </w:p>
        </w:tc>
        <w:tc>
          <w:tcPr>
            <w:tcW w:w="0" w:type="auto"/>
            <w:vAlign w:val="center"/>
          </w:tcPr>
          <w:p w:rsidR="00024C0A" w:rsidRDefault="00694C0F">
            <w:pPr>
              <w:pStyle w:val="TableBodyText"/>
            </w:pPr>
            <w:r>
              <w:t>None</w:t>
            </w:r>
          </w:p>
        </w:tc>
        <w:tc>
          <w:tcPr>
            <w:tcW w:w="0" w:type="auto"/>
            <w:vAlign w:val="center"/>
          </w:tcPr>
          <w:p w:rsidR="00024C0A" w:rsidRDefault="00694C0F">
            <w:pPr>
              <w:pStyle w:val="TableBodyText"/>
            </w:pPr>
            <w:r>
              <w:t>No changes to the meaning, language, or formatting of the technical content.</w:t>
            </w:r>
          </w:p>
        </w:tc>
      </w:tr>
      <w:tr w:rsidR="00024C0A" w:rsidTr="00024C0A">
        <w:tc>
          <w:tcPr>
            <w:tcW w:w="0" w:type="auto"/>
            <w:vAlign w:val="center"/>
          </w:tcPr>
          <w:p w:rsidR="00024C0A" w:rsidRDefault="00694C0F">
            <w:pPr>
              <w:pStyle w:val="TableBodyText"/>
            </w:pPr>
            <w:r>
              <w:t>7/30/2013</w:t>
            </w:r>
          </w:p>
        </w:tc>
        <w:tc>
          <w:tcPr>
            <w:tcW w:w="0" w:type="auto"/>
            <w:vAlign w:val="center"/>
          </w:tcPr>
          <w:p w:rsidR="00024C0A" w:rsidRDefault="00694C0F">
            <w:pPr>
              <w:pStyle w:val="TableBodyText"/>
            </w:pPr>
            <w:r>
              <w:t>2.1</w:t>
            </w:r>
          </w:p>
        </w:tc>
        <w:tc>
          <w:tcPr>
            <w:tcW w:w="0" w:type="auto"/>
            <w:vAlign w:val="center"/>
          </w:tcPr>
          <w:p w:rsidR="00024C0A" w:rsidRDefault="00694C0F">
            <w:pPr>
              <w:pStyle w:val="TableBodyText"/>
            </w:pPr>
            <w:r>
              <w:t>None</w:t>
            </w:r>
          </w:p>
        </w:tc>
        <w:tc>
          <w:tcPr>
            <w:tcW w:w="0" w:type="auto"/>
            <w:vAlign w:val="center"/>
          </w:tcPr>
          <w:p w:rsidR="00024C0A" w:rsidRDefault="00694C0F">
            <w:pPr>
              <w:pStyle w:val="TableBodyText"/>
            </w:pPr>
            <w:r>
              <w:t>No changes to the meaning, language, or formatting of the technical content.</w:t>
            </w:r>
          </w:p>
        </w:tc>
      </w:tr>
      <w:tr w:rsidR="00024C0A" w:rsidTr="00024C0A">
        <w:tc>
          <w:tcPr>
            <w:tcW w:w="0" w:type="auto"/>
            <w:vAlign w:val="center"/>
          </w:tcPr>
          <w:p w:rsidR="00024C0A" w:rsidRDefault="00694C0F">
            <w:pPr>
              <w:pStyle w:val="TableBodyText"/>
            </w:pPr>
            <w:r>
              <w:t>11/18/2013</w:t>
            </w:r>
          </w:p>
        </w:tc>
        <w:tc>
          <w:tcPr>
            <w:tcW w:w="0" w:type="auto"/>
            <w:vAlign w:val="center"/>
          </w:tcPr>
          <w:p w:rsidR="00024C0A" w:rsidRDefault="00694C0F">
            <w:pPr>
              <w:pStyle w:val="TableBodyText"/>
            </w:pPr>
            <w:r>
              <w:t>2.1</w:t>
            </w:r>
          </w:p>
        </w:tc>
        <w:tc>
          <w:tcPr>
            <w:tcW w:w="0" w:type="auto"/>
            <w:vAlign w:val="center"/>
          </w:tcPr>
          <w:p w:rsidR="00024C0A" w:rsidRDefault="00694C0F">
            <w:pPr>
              <w:pStyle w:val="TableBodyText"/>
            </w:pPr>
            <w:r>
              <w:t>None</w:t>
            </w:r>
          </w:p>
        </w:tc>
        <w:tc>
          <w:tcPr>
            <w:tcW w:w="0" w:type="auto"/>
            <w:vAlign w:val="center"/>
          </w:tcPr>
          <w:p w:rsidR="00024C0A" w:rsidRDefault="00694C0F">
            <w:pPr>
              <w:pStyle w:val="TableBodyText"/>
            </w:pPr>
            <w:r>
              <w:t>No changes to the meaning, language, or formatting of the technical content.</w:t>
            </w:r>
          </w:p>
        </w:tc>
      </w:tr>
      <w:tr w:rsidR="00024C0A" w:rsidTr="00024C0A">
        <w:tc>
          <w:tcPr>
            <w:tcW w:w="0" w:type="auto"/>
            <w:vAlign w:val="center"/>
          </w:tcPr>
          <w:p w:rsidR="00024C0A" w:rsidRDefault="00694C0F">
            <w:pPr>
              <w:pStyle w:val="TableBodyText"/>
            </w:pPr>
            <w:r>
              <w:t>2/10/2014</w:t>
            </w:r>
          </w:p>
        </w:tc>
        <w:tc>
          <w:tcPr>
            <w:tcW w:w="0" w:type="auto"/>
            <w:vAlign w:val="center"/>
          </w:tcPr>
          <w:p w:rsidR="00024C0A" w:rsidRDefault="00694C0F">
            <w:pPr>
              <w:pStyle w:val="TableBodyText"/>
            </w:pPr>
            <w:r>
              <w:t>2.1</w:t>
            </w:r>
          </w:p>
        </w:tc>
        <w:tc>
          <w:tcPr>
            <w:tcW w:w="0" w:type="auto"/>
            <w:vAlign w:val="center"/>
          </w:tcPr>
          <w:p w:rsidR="00024C0A" w:rsidRDefault="00694C0F">
            <w:pPr>
              <w:pStyle w:val="TableBodyText"/>
            </w:pPr>
            <w:r>
              <w:t>None</w:t>
            </w:r>
          </w:p>
        </w:tc>
        <w:tc>
          <w:tcPr>
            <w:tcW w:w="0" w:type="auto"/>
            <w:vAlign w:val="center"/>
          </w:tcPr>
          <w:p w:rsidR="00024C0A" w:rsidRDefault="00694C0F">
            <w:pPr>
              <w:pStyle w:val="TableBodyText"/>
            </w:pPr>
            <w:r>
              <w:t>No changes to the meaning, language, or formatting of the technical content.</w:t>
            </w:r>
          </w:p>
        </w:tc>
      </w:tr>
      <w:tr w:rsidR="00024C0A" w:rsidTr="00024C0A">
        <w:tc>
          <w:tcPr>
            <w:tcW w:w="0" w:type="auto"/>
            <w:vAlign w:val="center"/>
          </w:tcPr>
          <w:p w:rsidR="00024C0A" w:rsidRDefault="00694C0F">
            <w:pPr>
              <w:pStyle w:val="TableBodyText"/>
            </w:pPr>
            <w:r>
              <w:t>4/30/2014</w:t>
            </w:r>
          </w:p>
        </w:tc>
        <w:tc>
          <w:tcPr>
            <w:tcW w:w="0" w:type="auto"/>
            <w:vAlign w:val="center"/>
          </w:tcPr>
          <w:p w:rsidR="00024C0A" w:rsidRDefault="00694C0F">
            <w:pPr>
              <w:pStyle w:val="TableBodyText"/>
            </w:pPr>
            <w:r>
              <w:t>2.1</w:t>
            </w:r>
          </w:p>
        </w:tc>
        <w:tc>
          <w:tcPr>
            <w:tcW w:w="0" w:type="auto"/>
            <w:vAlign w:val="center"/>
          </w:tcPr>
          <w:p w:rsidR="00024C0A" w:rsidRDefault="00694C0F">
            <w:pPr>
              <w:pStyle w:val="TableBodyText"/>
            </w:pPr>
            <w:r>
              <w:t>None</w:t>
            </w:r>
          </w:p>
        </w:tc>
        <w:tc>
          <w:tcPr>
            <w:tcW w:w="0" w:type="auto"/>
            <w:vAlign w:val="center"/>
          </w:tcPr>
          <w:p w:rsidR="00024C0A" w:rsidRDefault="00694C0F">
            <w:pPr>
              <w:pStyle w:val="TableBodyText"/>
            </w:pPr>
            <w:r>
              <w:t>No changes to the meaning, language, or formatting of the tech</w:t>
            </w:r>
            <w:r>
              <w:t>nical content.</w:t>
            </w:r>
          </w:p>
        </w:tc>
      </w:tr>
      <w:tr w:rsidR="00024C0A" w:rsidTr="00024C0A">
        <w:tc>
          <w:tcPr>
            <w:tcW w:w="0" w:type="auto"/>
            <w:vAlign w:val="center"/>
          </w:tcPr>
          <w:p w:rsidR="00024C0A" w:rsidRDefault="00694C0F">
            <w:pPr>
              <w:pStyle w:val="TableBodyText"/>
            </w:pPr>
            <w:r>
              <w:t>7/31/2014</w:t>
            </w:r>
          </w:p>
        </w:tc>
        <w:tc>
          <w:tcPr>
            <w:tcW w:w="0" w:type="auto"/>
            <w:vAlign w:val="center"/>
          </w:tcPr>
          <w:p w:rsidR="00024C0A" w:rsidRDefault="00694C0F">
            <w:pPr>
              <w:pStyle w:val="TableBodyText"/>
            </w:pPr>
            <w:r>
              <w:t>2.2</w:t>
            </w:r>
          </w:p>
        </w:tc>
        <w:tc>
          <w:tcPr>
            <w:tcW w:w="0" w:type="auto"/>
            <w:vAlign w:val="center"/>
          </w:tcPr>
          <w:p w:rsidR="00024C0A" w:rsidRDefault="00694C0F">
            <w:pPr>
              <w:pStyle w:val="TableBodyText"/>
            </w:pPr>
            <w:r>
              <w:t>Minor</w:t>
            </w:r>
          </w:p>
        </w:tc>
        <w:tc>
          <w:tcPr>
            <w:tcW w:w="0" w:type="auto"/>
            <w:vAlign w:val="center"/>
          </w:tcPr>
          <w:p w:rsidR="00024C0A" w:rsidRDefault="00694C0F">
            <w:pPr>
              <w:pStyle w:val="TableBodyText"/>
            </w:pPr>
            <w:r>
              <w:t>Clarified the meaning of the technical content.</w:t>
            </w:r>
          </w:p>
        </w:tc>
      </w:tr>
      <w:tr w:rsidR="00024C0A" w:rsidTr="00024C0A">
        <w:tc>
          <w:tcPr>
            <w:tcW w:w="0" w:type="auto"/>
            <w:vAlign w:val="center"/>
          </w:tcPr>
          <w:p w:rsidR="00024C0A" w:rsidRDefault="00694C0F">
            <w:pPr>
              <w:pStyle w:val="TableBodyText"/>
            </w:pPr>
            <w:r>
              <w:t>10/30/2014</w:t>
            </w:r>
          </w:p>
        </w:tc>
        <w:tc>
          <w:tcPr>
            <w:tcW w:w="0" w:type="auto"/>
            <w:vAlign w:val="center"/>
          </w:tcPr>
          <w:p w:rsidR="00024C0A" w:rsidRDefault="00694C0F">
            <w:pPr>
              <w:pStyle w:val="TableBodyText"/>
            </w:pPr>
            <w:r>
              <w:t>2.2</w:t>
            </w:r>
          </w:p>
        </w:tc>
        <w:tc>
          <w:tcPr>
            <w:tcW w:w="0" w:type="auto"/>
            <w:vAlign w:val="center"/>
          </w:tcPr>
          <w:p w:rsidR="00024C0A" w:rsidRDefault="00694C0F">
            <w:pPr>
              <w:pStyle w:val="TableBodyText"/>
            </w:pPr>
            <w:r>
              <w:t>None</w:t>
            </w:r>
          </w:p>
        </w:tc>
        <w:tc>
          <w:tcPr>
            <w:tcW w:w="0" w:type="auto"/>
            <w:vAlign w:val="center"/>
          </w:tcPr>
          <w:p w:rsidR="00024C0A" w:rsidRDefault="00694C0F">
            <w:pPr>
              <w:pStyle w:val="TableBodyText"/>
            </w:pPr>
            <w:r>
              <w:t>No changes to the meaning, language, or formatting of the technical content.</w:t>
            </w:r>
          </w:p>
        </w:tc>
      </w:tr>
      <w:tr w:rsidR="00024C0A" w:rsidTr="00024C0A">
        <w:tc>
          <w:tcPr>
            <w:tcW w:w="0" w:type="auto"/>
            <w:vAlign w:val="center"/>
          </w:tcPr>
          <w:p w:rsidR="00024C0A" w:rsidRDefault="00694C0F">
            <w:pPr>
              <w:pStyle w:val="TableBodyText"/>
            </w:pPr>
            <w:r>
              <w:t>1/13/2015</w:t>
            </w:r>
          </w:p>
        </w:tc>
        <w:tc>
          <w:tcPr>
            <w:tcW w:w="0" w:type="auto"/>
            <w:vAlign w:val="center"/>
          </w:tcPr>
          <w:p w:rsidR="00024C0A" w:rsidRDefault="00694C0F">
            <w:pPr>
              <w:pStyle w:val="TableBodyText"/>
            </w:pPr>
            <w:r>
              <w:t>3.0</w:t>
            </w:r>
          </w:p>
        </w:tc>
        <w:tc>
          <w:tcPr>
            <w:tcW w:w="0" w:type="auto"/>
            <w:vAlign w:val="center"/>
          </w:tcPr>
          <w:p w:rsidR="00024C0A" w:rsidRDefault="00694C0F">
            <w:pPr>
              <w:pStyle w:val="TableBodyText"/>
            </w:pPr>
            <w:r>
              <w:t>Major</w:t>
            </w:r>
          </w:p>
        </w:tc>
        <w:tc>
          <w:tcPr>
            <w:tcW w:w="0" w:type="auto"/>
            <w:vAlign w:val="center"/>
          </w:tcPr>
          <w:p w:rsidR="00024C0A" w:rsidRDefault="00694C0F">
            <w:pPr>
              <w:pStyle w:val="TableBodyText"/>
            </w:pPr>
            <w:r>
              <w:t>Significantly changed the technical content.</w:t>
            </w:r>
          </w:p>
        </w:tc>
      </w:tr>
      <w:tr w:rsidR="00024C0A" w:rsidTr="00024C0A">
        <w:tc>
          <w:tcPr>
            <w:tcW w:w="0" w:type="auto"/>
            <w:vAlign w:val="center"/>
          </w:tcPr>
          <w:p w:rsidR="00024C0A" w:rsidRDefault="00694C0F">
            <w:pPr>
              <w:pStyle w:val="TableBodyText"/>
            </w:pPr>
            <w:r>
              <w:lastRenderedPageBreak/>
              <w:t>9/4/2015</w:t>
            </w:r>
          </w:p>
        </w:tc>
        <w:tc>
          <w:tcPr>
            <w:tcW w:w="0" w:type="auto"/>
            <w:vAlign w:val="center"/>
          </w:tcPr>
          <w:p w:rsidR="00024C0A" w:rsidRDefault="00694C0F">
            <w:pPr>
              <w:pStyle w:val="TableBodyText"/>
            </w:pPr>
            <w:r>
              <w:t>4.0</w:t>
            </w:r>
          </w:p>
        </w:tc>
        <w:tc>
          <w:tcPr>
            <w:tcW w:w="0" w:type="auto"/>
            <w:vAlign w:val="center"/>
          </w:tcPr>
          <w:p w:rsidR="00024C0A" w:rsidRDefault="00694C0F">
            <w:pPr>
              <w:pStyle w:val="TableBodyText"/>
            </w:pPr>
            <w:r>
              <w:t>Major</w:t>
            </w:r>
          </w:p>
        </w:tc>
        <w:tc>
          <w:tcPr>
            <w:tcW w:w="0" w:type="auto"/>
            <w:vAlign w:val="center"/>
          </w:tcPr>
          <w:p w:rsidR="00024C0A" w:rsidRDefault="00694C0F">
            <w:pPr>
              <w:pStyle w:val="TableBodyText"/>
            </w:pPr>
            <w:r>
              <w:t>Significantly changed the technical content.</w:t>
            </w:r>
          </w:p>
        </w:tc>
      </w:tr>
      <w:tr w:rsidR="00024C0A" w:rsidTr="00024C0A">
        <w:tc>
          <w:tcPr>
            <w:tcW w:w="0" w:type="auto"/>
            <w:vAlign w:val="center"/>
          </w:tcPr>
          <w:p w:rsidR="00024C0A" w:rsidRDefault="00694C0F">
            <w:pPr>
              <w:pStyle w:val="TableBodyText"/>
            </w:pPr>
            <w:r>
              <w:t>9/25/2015</w:t>
            </w:r>
          </w:p>
        </w:tc>
        <w:tc>
          <w:tcPr>
            <w:tcW w:w="0" w:type="auto"/>
            <w:vAlign w:val="center"/>
          </w:tcPr>
          <w:p w:rsidR="00024C0A" w:rsidRDefault="00694C0F">
            <w:pPr>
              <w:pStyle w:val="TableBodyText"/>
            </w:pPr>
            <w:r>
              <w:t>5.0</w:t>
            </w:r>
          </w:p>
        </w:tc>
        <w:tc>
          <w:tcPr>
            <w:tcW w:w="0" w:type="auto"/>
            <w:vAlign w:val="center"/>
          </w:tcPr>
          <w:p w:rsidR="00024C0A" w:rsidRDefault="00694C0F">
            <w:pPr>
              <w:pStyle w:val="TableBodyText"/>
            </w:pPr>
            <w:r>
              <w:t>Major</w:t>
            </w:r>
          </w:p>
        </w:tc>
        <w:tc>
          <w:tcPr>
            <w:tcW w:w="0" w:type="auto"/>
            <w:vAlign w:val="center"/>
          </w:tcPr>
          <w:p w:rsidR="00024C0A" w:rsidRDefault="00694C0F">
            <w:pPr>
              <w:pStyle w:val="TableBodyText"/>
            </w:pPr>
            <w:r>
              <w:t>Significantly changed the technical content.</w:t>
            </w:r>
          </w:p>
        </w:tc>
      </w:tr>
      <w:tr w:rsidR="00024C0A" w:rsidTr="00024C0A">
        <w:tc>
          <w:tcPr>
            <w:tcW w:w="0" w:type="auto"/>
            <w:vAlign w:val="center"/>
          </w:tcPr>
          <w:p w:rsidR="00024C0A" w:rsidRDefault="00694C0F">
            <w:pPr>
              <w:pStyle w:val="TableBodyText"/>
            </w:pPr>
            <w:r>
              <w:t>7/15/2016</w:t>
            </w:r>
          </w:p>
        </w:tc>
        <w:tc>
          <w:tcPr>
            <w:tcW w:w="0" w:type="auto"/>
            <w:vAlign w:val="center"/>
          </w:tcPr>
          <w:p w:rsidR="00024C0A" w:rsidRDefault="00694C0F">
            <w:pPr>
              <w:pStyle w:val="TableBodyText"/>
            </w:pPr>
            <w:r>
              <w:t>5.0</w:t>
            </w:r>
          </w:p>
        </w:tc>
        <w:tc>
          <w:tcPr>
            <w:tcW w:w="0" w:type="auto"/>
            <w:vAlign w:val="center"/>
          </w:tcPr>
          <w:p w:rsidR="00024C0A" w:rsidRDefault="00694C0F">
            <w:pPr>
              <w:pStyle w:val="TableBodyText"/>
            </w:pPr>
            <w:r>
              <w:t>None</w:t>
            </w:r>
          </w:p>
        </w:tc>
        <w:tc>
          <w:tcPr>
            <w:tcW w:w="0" w:type="auto"/>
            <w:vAlign w:val="center"/>
          </w:tcPr>
          <w:p w:rsidR="00024C0A" w:rsidRDefault="00694C0F">
            <w:pPr>
              <w:pStyle w:val="TableBodyText"/>
            </w:pPr>
            <w:r>
              <w:t>No changes to the meaning, language, or formatting of the technical content.</w:t>
            </w:r>
          </w:p>
        </w:tc>
      </w:tr>
      <w:tr w:rsidR="00024C0A" w:rsidTr="00024C0A">
        <w:tc>
          <w:tcPr>
            <w:tcW w:w="0" w:type="auto"/>
            <w:vAlign w:val="center"/>
          </w:tcPr>
          <w:p w:rsidR="00024C0A" w:rsidRDefault="00694C0F">
            <w:pPr>
              <w:pStyle w:val="TableBodyText"/>
            </w:pPr>
            <w:r>
              <w:t>9/26/2016</w:t>
            </w:r>
          </w:p>
        </w:tc>
        <w:tc>
          <w:tcPr>
            <w:tcW w:w="0" w:type="auto"/>
            <w:vAlign w:val="center"/>
          </w:tcPr>
          <w:p w:rsidR="00024C0A" w:rsidRDefault="00694C0F">
            <w:pPr>
              <w:pStyle w:val="TableBodyText"/>
            </w:pPr>
            <w:r>
              <w:t>6.0</w:t>
            </w:r>
          </w:p>
        </w:tc>
        <w:tc>
          <w:tcPr>
            <w:tcW w:w="0" w:type="auto"/>
            <w:vAlign w:val="center"/>
          </w:tcPr>
          <w:p w:rsidR="00024C0A" w:rsidRDefault="00694C0F">
            <w:pPr>
              <w:pStyle w:val="TableBodyText"/>
            </w:pPr>
            <w:r>
              <w:t>Major</w:t>
            </w:r>
          </w:p>
        </w:tc>
        <w:tc>
          <w:tcPr>
            <w:tcW w:w="0" w:type="auto"/>
            <w:vAlign w:val="center"/>
          </w:tcPr>
          <w:p w:rsidR="00024C0A" w:rsidRDefault="00694C0F">
            <w:pPr>
              <w:pStyle w:val="TableBodyText"/>
            </w:pPr>
            <w:r>
              <w:t>Significantly changed the technical content.</w:t>
            </w:r>
          </w:p>
        </w:tc>
      </w:tr>
      <w:tr w:rsidR="00024C0A" w:rsidTr="00024C0A">
        <w:tc>
          <w:tcPr>
            <w:tcW w:w="0" w:type="auto"/>
            <w:vAlign w:val="center"/>
          </w:tcPr>
          <w:p w:rsidR="00024C0A" w:rsidRDefault="00694C0F">
            <w:pPr>
              <w:pStyle w:val="TableBodyText"/>
            </w:pPr>
            <w:r>
              <w:t>10/17/2016</w:t>
            </w:r>
          </w:p>
        </w:tc>
        <w:tc>
          <w:tcPr>
            <w:tcW w:w="0" w:type="auto"/>
            <w:vAlign w:val="center"/>
          </w:tcPr>
          <w:p w:rsidR="00024C0A" w:rsidRDefault="00694C0F">
            <w:pPr>
              <w:pStyle w:val="TableBodyText"/>
            </w:pPr>
            <w:r>
              <w:t>6.0</w:t>
            </w:r>
          </w:p>
        </w:tc>
        <w:tc>
          <w:tcPr>
            <w:tcW w:w="0" w:type="auto"/>
            <w:vAlign w:val="center"/>
          </w:tcPr>
          <w:p w:rsidR="00024C0A" w:rsidRDefault="00694C0F">
            <w:pPr>
              <w:pStyle w:val="TableBodyText"/>
            </w:pPr>
            <w:r>
              <w:t>None</w:t>
            </w:r>
          </w:p>
        </w:tc>
        <w:tc>
          <w:tcPr>
            <w:tcW w:w="0" w:type="auto"/>
            <w:vAlign w:val="center"/>
          </w:tcPr>
          <w:p w:rsidR="00024C0A" w:rsidRDefault="00694C0F">
            <w:pPr>
              <w:pStyle w:val="TableBodyText"/>
            </w:pPr>
            <w:r>
              <w:t>No changes to the meaning, language, or formatting of the technical content.</w:t>
            </w:r>
          </w:p>
        </w:tc>
      </w:tr>
      <w:tr w:rsidR="00024C0A" w:rsidTr="00024C0A">
        <w:tc>
          <w:tcPr>
            <w:tcW w:w="0" w:type="auto"/>
            <w:vAlign w:val="center"/>
          </w:tcPr>
          <w:p w:rsidR="00024C0A" w:rsidRDefault="00694C0F">
            <w:pPr>
              <w:pStyle w:val="TableBodyText"/>
            </w:pPr>
            <w:r>
              <w:t>12/15/2016</w:t>
            </w:r>
          </w:p>
        </w:tc>
        <w:tc>
          <w:tcPr>
            <w:tcW w:w="0" w:type="auto"/>
            <w:vAlign w:val="center"/>
          </w:tcPr>
          <w:p w:rsidR="00024C0A" w:rsidRDefault="00694C0F">
            <w:pPr>
              <w:pStyle w:val="TableBodyText"/>
            </w:pPr>
            <w:r>
              <w:t>7.0</w:t>
            </w:r>
          </w:p>
        </w:tc>
        <w:tc>
          <w:tcPr>
            <w:tcW w:w="0" w:type="auto"/>
            <w:vAlign w:val="center"/>
          </w:tcPr>
          <w:p w:rsidR="00024C0A" w:rsidRDefault="00694C0F">
            <w:pPr>
              <w:pStyle w:val="TableBodyText"/>
            </w:pPr>
            <w:r>
              <w:t>Major</w:t>
            </w:r>
          </w:p>
        </w:tc>
        <w:tc>
          <w:tcPr>
            <w:tcW w:w="0" w:type="auto"/>
            <w:vAlign w:val="center"/>
          </w:tcPr>
          <w:p w:rsidR="00024C0A" w:rsidRDefault="00694C0F">
            <w:pPr>
              <w:pStyle w:val="TableBodyText"/>
            </w:pPr>
            <w:r>
              <w:t>Significantly changed the technical content.</w:t>
            </w:r>
          </w:p>
        </w:tc>
      </w:tr>
      <w:tr w:rsidR="00024C0A" w:rsidTr="00024C0A">
        <w:tc>
          <w:tcPr>
            <w:tcW w:w="0" w:type="auto"/>
            <w:vAlign w:val="center"/>
          </w:tcPr>
          <w:p w:rsidR="00024C0A" w:rsidRDefault="00694C0F">
            <w:pPr>
              <w:pStyle w:val="TableBodyText"/>
            </w:pPr>
            <w:r>
              <w:t>3/28/2017</w:t>
            </w:r>
          </w:p>
        </w:tc>
        <w:tc>
          <w:tcPr>
            <w:tcW w:w="0" w:type="auto"/>
            <w:vAlign w:val="center"/>
          </w:tcPr>
          <w:p w:rsidR="00024C0A" w:rsidRDefault="00694C0F">
            <w:pPr>
              <w:pStyle w:val="TableBodyText"/>
            </w:pPr>
            <w:r>
              <w:t>8.0</w:t>
            </w:r>
          </w:p>
        </w:tc>
        <w:tc>
          <w:tcPr>
            <w:tcW w:w="0" w:type="auto"/>
            <w:vAlign w:val="center"/>
          </w:tcPr>
          <w:p w:rsidR="00024C0A" w:rsidRDefault="00694C0F">
            <w:pPr>
              <w:pStyle w:val="TableBodyText"/>
            </w:pPr>
            <w:r>
              <w:t>Major</w:t>
            </w:r>
          </w:p>
        </w:tc>
        <w:tc>
          <w:tcPr>
            <w:tcW w:w="0" w:type="auto"/>
            <w:vAlign w:val="center"/>
          </w:tcPr>
          <w:p w:rsidR="00024C0A" w:rsidRDefault="00694C0F">
            <w:pPr>
              <w:pStyle w:val="TableBodyText"/>
            </w:pPr>
            <w:r>
              <w:t>Significantly changed the</w:t>
            </w:r>
            <w:r>
              <w:t xml:space="preserve"> technical content.</w:t>
            </w:r>
          </w:p>
        </w:tc>
      </w:tr>
      <w:tr w:rsidR="00024C0A" w:rsidTr="00024C0A">
        <w:tc>
          <w:tcPr>
            <w:tcW w:w="0" w:type="auto"/>
            <w:vAlign w:val="center"/>
          </w:tcPr>
          <w:p w:rsidR="00024C0A" w:rsidRDefault="00694C0F">
            <w:pPr>
              <w:pStyle w:val="TableBodyText"/>
            </w:pPr>
            <w:r>
              <w:t>6/20/2017</w:t>
            </w:r>
          </w:p>
        </w:tc>
        <w:tc>
          <w:tcPr>
            <w:tcW w:w="0" w:type="auto"/>
            <w:vAlign w:val="center"/>
          </w:tcPr>
          <w:p w:rsidR="00024C0A" w:rsidRDefault="00694C0F">
            <w:pPr>
              <w:pStyle w:val="TableBodyText"/>
            </w:pPr>
            <w:r>
              <w:t>8.1</w:t>
            </w:r>
          </w:p>
        </w:tc>
        <w:tc>
          <w:tcPr>
            <w:tcW w:w="0" w:type="auto"/>
            <w:vAlign w:val="center"/>
          </w:tcPr>
          <w:p w:rsidR="00024C0A" w:rsidRDefault="00694C0F">
            <w:pPr>
              <w:pStyle w:val="TableBodyText"/>
            </w:pPr>
            <w:r>
              <w:t>Minor</w:t>
            </w:r>
          </w:p>
        </w:tc>
        <w:tc>
          <w:tcPr>
            <w:tcW w:w="0" w:type="auto"/>
            <w:vAlign w:val="center"/>
          </w:tcPr>
          <w:p w:rsidR="00024C0A" w:rsidRDefault="00694C0F">
            <w:pPr>
              <w:pStyle w:val="TableBodyText"/>
            </w:pPr>
            <w:r>
              <w:t>Clarified the meaning of the technical content.</w:t>
            </w:r>
          </w:p>
        </w:tc>
      </w:tr>
      <w:tr w:rsidR="00024C0A" w:rsidTr="00024C0A">
        <w:tc>
          <w:tcPr>
            <w:tcW w:w="0" w:type="auto"/>
            <w:vAlign w:val="center"/>
          </w:tcPr>
          <w:p w:rsidR="00024C0A" w:rsidRDefault="00694C0F">
            <w:pPr>
              <w:pStyle w:val="TableBodyText"/>
            </w:pPr>
            <w:r>
              <w:t>8/1/2017</w:t>
            </w:r>
          </w:p>
        </w:tc>
        <w:tc>
          <w:tcPr>
            <w:tcW w:w="0" w:type="auto"/>
            <w:vAlign w:val="center"/>
          </w:tcPr>
          <w:p w:rsidR="00024C0A" w:rsidRDefault="00694C0F">
            <w:pPr>
              <w:pStyle w:val="TableBodyText"/>
            </w:pPr>
            <w:r>
              <w:t>9.0</w:t>
            </w:r>
          </w:p>
        </w:tc>
        <w:tc>
          <w:tcPr>
            <w:tcW w:w="0" w:type="auto"/>
            <w:vAlign w:val="center"/>
          </w:tcPr>
          <w:p w:rsidR="00024C0A" w:rsidRDefault="00694C0F">
            <w:pPr>
              <w:pStyle w:val="TableBodyText"/>
            </w:pPr>
            <w:r>
              <w:t>Major</w:t>
            </w:r>
          </w:p>
        </w:tc>
        <w:tc>
          <w:tcPr>
            <w:tcW w:w="0" w:type="auto"/>
            <w:vAlign w:val="center"/>
          </w:tcPr>
          <w:p w:rsidR="00024C0A" w:rsidRDefault="00694C0F">
            <w:pPr>
              <w:pStyle w:val="TableBodyText"/>
            </w:pPr>
            <w:r>
              <w:t>Significantly changed the technical content.</w:t>
            </w:r>
          </w:p>
        </w:tc>
      </w:tr>
      <w:tr w:rsidR="00024C0A" w:rsidTr="00024C0A">
        <w:tc>
          <w:tcPr>
            <w:tcW w:w="0" w:type="auto"/>
            <w:vAlign w:val="center"/>
          </w:tcPr>
          <w:p w:rsidR="00024C0A" w:rsidRDefault="00694C0F">
            <w:pPr>
              <w:pStyle w:val="TableBodyText"/>
            </w:pPr>
            <w:r>
              <w:t>9/19/2017</w:t>
            </w:r>
          </w:p>
        </w:tc>
        <w:tc>
          <w:tcPr>
            <w:tcW w:w="0" w:type="auto"/>
            <w:vAlign w:val="center"/>
          </w:tcPr>
          <w:p w:rsidR="00024C0A" w:rsidRDefault="00694C0F">
            <w:pPr>
              <w:pStyle w:val="TableBodyText"/>
            </w:pPr>
            <w:r>
              <w:t>10.0</w:t>
            </w:r>
          </w:p>
        </w:tc>
        <w:tc>
          <w:tcPr>
            <w:tcW w:w="0" w:type="auto"/>
            <w:vAlign w:val="center"/>
          </w:tcPr>
          <w:p w:rsidR="00024C0A" w:rsidRDefault="00694C0F">
            <w:pPr>
              <w:pStyle w:val="TableBodyText"/>
            </w:pPr>
            <w:r>
              <w:t>Major</w:t>
            </w:r>
          </w:p>
        </w:tc>
        <w:tc>
          <w:tcPr>
            <w:tcW w:w="0" w:type="auto"/>
            <w:vAlign w:val="center"/>
          </w:tcPr>
          <w:p w:rsidR="00024C0A" w:rsidRDefault="00694C0F">
            <w:pPr>
              <w:pStyle w:val="TableBodyText"/>
            </w:pPr>
            <w:r>
              <w:t>Significantly changed the technical content.</w:t>
            </w:r>
          </w:p>
        </w:tc>
      </w:tr>
      <w:tr w:rsidR="00024C0A" w:rsidTr="00024C0A">
        <w:tc>
          <w:tcPr>
            <w:tcW w:w="0" w:type="auto"/>
            <w:vAlign w:val="center"/>
          </w:tcPr>
          <w:p w:rsidR="00024C0A" w:rsidRDefault="00694C0F">
            <w:pPr>
              <w:pStyle w:val="TableBodyText"/>
            </w:pPr>
            <w:r>
              <w:t>11/30/2017</w:t>
            </w:r>
          </w:p>
        </w:tc>
        <w:tc>
          <w:tcPr>
            <w:tcW w:w="0" w:type="auto"/>
            <w:vAlign w:val="center"/>
          </w:tcPr>
          <w:p w:rsidR="00024C0A" w:rsidRDefault="00694C0F">
            <w:pPr>
              <w:pStyle w:val="TableBodyText"/>
            </w:pPr>
            <w:r>
              <w:t>11.0</w:t>
            </w:r>
          </w:p>
        </w:tc>
        <w:tc>
          <w:tcPr>
            <w:tcW w:w="0" w:type="auto"/>
            <w:vAlign w:val="center"/>
          </w:tcPr>
          <w:p w:rsidR="00024C0A" w:rsidRDefault="00694C0F">
            <w:pPr>
              <w:pStyle w:val="TableBodyText"/>
            </w:pPr>
            <w:r>
              <w:t>Major</w:t>
            </w:r>
          </w:p>
        </w:tc>
        <w:tc>
          <w:tcPr>
            <w:tcW w:w="0" w:type="auto"/>
            <w:vAlign w:val="center"/>
          </w:tcPr>
          <w:p w:rsidR="00024C0A" w:rsidRDefault="00694C0F">
            <w:pPr>
              <w:pStyle w:val="TableBodyText"/>
            </w:pPr>
            <w:r>
              <w:t>Significantly changed the technical content.</w:t>
            </w:r>
          </w:p>
        </w:tc>
      </w:tr>
      <w:tr w:rsidR="00024C0A" w:rsidTr="00024C0A">
        <w:tc>
          <w:tcPr>
            <w:tcW w:w="0" w:type="auto"/>
            <w:vAlign w:val="center"/>
          </w:tcPr>
          <w:p w:rsidR="00024C0A" w:rsidRDefault="00694C0F">
            <w:pPr>
              <w:pStyle w:val="TableBodyText"/>
            </w:pPr>
            <w:r>
              <w:t>4/27/2018</w:t>
            </w:r>
          </w:p>
        </w:tc>
        <w:tc>
          <w:tcPr>
            <w:tcW w:w="0" w:type="auto"/>
            <w:vAlign w:val="center"/>
          </w:tcPr>
          <w:p w:rsidR="00024C0A" w:rsidRDefault="00694C0F">
            <w:pPr>
              <w:pStyle w:val="TableBodyText"/>
            </w:pPr>
            <w:r>
              <w:t>12.0</w:t>
            </w:r>
          </w:p>
        </w:tc>
        <w:tc>
          <w:tcPr>
            <w:tcW w:w="0" w:type="auto"/>
            <w:vAlign w:val="center"/>
          </w:tcPr>
          <w:p w:rsidR="00024C0A" w:rsidRDefault="00694C0F">
            <w:pPr>
              <w:pStyle w:val="TableBodyText"/>
            </w:pPr>
            <w:r>
              <w:t>Major</w:t>
            </w:r>
          </w:p>
        </w:tc>
        <w:tc>
          <w:tcPr>
            <w:tcW w:w="0" w:type="auto"/>
            <w:vAlign w:val="center"/>
          </w:tcPr>
          <w:p w:rsidR="00024C0A" w:rsidRDefault="00694C0F">
            <w:pPr>
              <w:pStyle w:val="TableBodyText"/>
            </w:pPr>
            <w:r>
              <w:t>Significantly changed the technical content.</w:t>
            </w:r>
          </w:p>
        </w:tc>
      </w:tr>
      <w:tr w:rsidR="00024C0A" w:rsidTr="00024C0A">
        <w:tc>
          <w:tcPr>
            <w:tcW w:w="0" w:type="auto"/>
            <w:vAlign w:val="center"/>
          </w:tcPr>
          <w:p w:rsidR="00024C0A" w:rsidRDefault="00694C0F">
            <w:pPr>
              <w:pStyle w:val="TableBodyText"/>
            </w:pPr>
            <w:r>
              <w:t>8/28/2018</w:t>
            </w:r>
          </w:p>
        </w:tc>
        <w:tc>
          <w:tcPr>
            <w:tcW w:w="0" w:type="auto"/>
            <w:vAlign w:val="center"/>
          </w:tcPr>
          <w:p w:rsidR="00024C0A" w:rsidRDefault="00694C0F">
            <w:pPr>
              <w:pStyle w:val="TableBodyText"/>
            </w:pPr>
            <w:r>
              <w:t>13.0</w:t>
            </w:r>
          </w:p>
        </w:tc>
        <w:tc>
          <w:tcPr>
            <w:tcW w:w="0" w:type="auto"/>
            <w:vAlign w:val="center"/>
          </w:tcPr>
          <w:p w:rsidR="00024C0A" w:rsidRDefault="00694C0F">
            <w:pPr>
              <w:pStyle w:val="TableBodyText"/>
            </w:pPr>
            <w:r>
              <w:t>Major</w:t>
            </w:r>
          </w:p>
        </w:tc>
        <w:tc>
          <w:tcPr>
            <w:tcW w:w="0" w:type="auto"/>
            <w:vAlign w:val="center"/>
          </w:tcPr>
          <w:p w:rsidR="00024C0A" w:rsidRDefault="00694C0F">
            <w:pPr>
              <w:pStyle w:val="TableBodyText"/>
            </w:pPr>
            <w:r>
              <w:t>Significantly changed the technical content.</w:t>
            </w:r>
          </w:p>
        </w:tc>
      </w:tr>
      <w:tr w:rsidR="00024C0A" w:rsidTr="00024C0A">
        <w:tc>
          <w:tcPr>
            <w:tcW w:w="0" w:type="auto"/>
            <w:vAlign w:val="center"/>
          </w:tcPr>
          <w:p w:rsidR="00024C0A" w:rsidRDefault="00694C0F">
            <w:pPr>
              <w:pStyle w:val="TableBodyText"/>
            </w:pPr>
            <w:r>
              <w:t>12/11/2018</w:t>
            </w:r>
          </w:p>
        </w:tc>
        <w:tc>
          <w:tcPr>
            <w:tcW w:w="0" w:type="auto"/>
            <w:vAlign w:val="center"/>
          </w:tcPr>
          <w:p w:rsidR="00024C0A" w:rsidRDefault="00694C0F">
            <w:pPr>
              <w:pStyle w:val="TableBodyText"/>
            </w:pPr>
            <w:r>
              <w:t>14.0</w:t>
            </w:r>
          </w:p>
        </w:tc>
        <w:tc>
          <w:tcPr>
            <w:tcW w:w="0" w:type="auto"/>
            <w:vAlign w:val="center"/>
          </w:tcPr>
          <w:p w:rsidR="00024C0A" w:rsidRDefault="00694C0F">
            <w:pPr>
              <w:pStyle w:val="TableBodyText"/>
            </w:pPr>
            <w:r>
              <w:t>Major</w:t>
            </w:r>
          </w:p>
        </w:tc>
        <w:tc>
          <w:tcPr>
            <w:tcW w:w="0" w:type="auto"/>
            <w:vAlign w:val="center"/>
          </w:tcPr>
          <w:p w:rsidR="00024C0A" w:rsidRDefault="00694C0F">
            <w:pPr>
              <w:pStyle w:val="TableBodyText"/>
            </w:pPr>
            <w:r>
              <w:t>Significantly changed the technical content.</w:t>
            </w:r>
          </w:p>
        </w:tc>
      </w:tr>
      <w:tr w:rsidR="00024C0A" w:rsidTr="00024C0A">
        <w:tc>
          <w:tcPr>
            <w:tcW w:w="0" w:type="auto"/>
            <w:vAlign w:val="center"/>
          </w:tcPr>
          <w:p w:rsidR="00024C0A" w:rsidRDefault="00694C0F">
            <w:pPr>
              <w:pStyle w:val="TableBodyText"/>
            </w:pPr>
            <w:r>
              <w:t>3/19/2019</w:t>
            </w:r>
          </w:p>
        </w:tc>
        <w:tc>
          <w:tcPr>
            <w:tcW w:w="0" w:type="auto"/>
            <w:vAlign w:val="center"/>
          </w:tcPr>
          <w:p w:rsidR="00024C0A" w:rsidRDefault="00694C0F">
            <w:pPr>
              <w:pStyle w:val="TableBodyText"/>
            </w:pPr>
            <w:r>
              <w:t>14.1</w:t>
            </w:r>
          </w:p>
        </w:tc>
        <w:tc>
          <w:tcPr>
            <w:tcW w:w="0" w:type="auto"/>
            <w:vAlign w:val="center"/>
          </w:tcPr>
          <w:p w:rsidR="00024C0A" w:rsidRDefault="00694C0F">
            <w:pPr>
              <w:pStyle w:val="TableBodyText"/>
            </w:pPr>
            <w:r>
              <w:t>Minor</w:t>
            </w:r>
          </w:p>
        </w:tc>
        <w:tc>
          <w:tcPr>
            <w:tcW w:w="0" w:type="auto"/>
            <w:vAlign w:val="center"/>
          </w:tcPr>
          <w:p w:rsidR="00024C0A" w:rsidRDefault="00694C0F">
            <w:pPr>
              <w:pStyle w:val="TableBodyText"/>
            </w:pPr>
            <w:r>
              <w:t>Clarified the meaning of the technical content.</w:t>
            </w:r>
          </w:p>
        </w:tc>
      </w:tr>
      <w:tr w:rsidR="00024C0A" w:rsidTr="00024C0A">
        <w:tc>
          <w:tcPr>
            <w:tcW w:w="0" w:type="auto"/>
            <w:vAlign w:val="center"/>
          </w:tcPr>
          <w:p w:rsidR="00024C0A" w:rsidRDefault="00694C0F">
            <w:pPr>
              <w:pStyle w:val="TableBodyText"/>
            </w:pPr>
            <w:r>
              <w:t>6/24/2019</w:t>
            </w:r>
          </w:p>
        </w:tc>
        <w:tc>
          <w:tcPr>
            <w:tcW w:w="0" w:type="auto"/>
            <w:vAlign w:val="center"/>
          </w:tcPr>
          <w:p w:rsidR="00024C0A" w:rsidRDefault="00694C0F">
            <w:pPr>
              <w:pStyle w:val="TableBodyText"/>
            </w:pPr>
            <w:r>
              <w:t>15.0</w:t>
            </w:r>
          </w:p>
        </w:tc>
        <w:tc>
          <w:tcPr>
            <w:tcW w:w="0" w:type="auto"/>
            <w:vAlign w:val="center"/>
          </w:tcPr>
          <w:p w:rsidR="00024C0A" w:rsidRDefault="00694C0F">
            <w:pPr>
              <w:pStyle w:val="TableBodyText"/>
            </w:pPr>
            <w:r>
              <w:t>Major</w:t>
            </w:r>
          </w:p>
        </w:tc>
        <w:tc>
          <w:tcPr>
            <w:tcW w:w="0" w:type="auto"/>
            <w:vAlign w:val="center"/>
          </w:tcPr>
          <w:p w:rsidR="00024C0A" w:rsidRDefault="00694C0F">
            <w:pPr>
              <w:pStyle w:val="TableBodyText"/>
            </w:pPr>
            <w:r>
              <w:t>Significantly changed the technical content.</w:t>
            </w:r>
          </w:p>
        </w:tc>
      </w:tr>
    </w:tbl>
    <w:p w:rsidR="00024C0A" w:rsidRDefault="00694C0F">
      <w:pPr>
        <w:pStyle w:val="TOCHeading"/>
      </w:pPr>
      <w:r>
        <w:lastRenderedPageBreak/>
        <w:t>Table of Contents</w:t>
      </w:r>
    </w:p>
    <w:p w:rsidR="00694C0F" w:rsidRDefault="00694C0F">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2260061" w:history="1">
        <w:r w:rsidRPr="00CD0B56">
          <w:rPr>
            <w:rStyle w:val="Hyperlink"/>
            <w:noProof/>
          </w:rPr>
          <w:t>1</w:t>
        </w:r>
        <w:r>
          <w:rPr>
            <w:rFonts w:asciiTheme="minorHAnsi" w:eastAsiaTheme="minorEastAsia" w:hAnsiTheme="minorHAnsi" w:cstheme="minorBidi"/>
            <w:b w:val="0"/>
            <w:bCs w:val="0"/>
            <w:noProof/>
            <w:sz w:val="22"/>
            <w:szCs w:val="22"/>
          </w:rPr>
          <w:tab/>
        </w:r>
        <w:r w:rsidRPr="00CD0B56">
          <w:rPr>
            <w:rStyle w:val="Hyperlink"/>
            <w:noProof/>
          </w:rPr>
          <w:t>Introduction</w:t>
        </w:r>
        <w:r>
          <w:rPr>
            <w:noProof/>
            <w:webHidden/>
          </w:rPr>
          <w:tab/>
        </w:r>
        <w:r>
          <w:rPr>
            <w:noProof/>
            <w:webHidden/>
          </w:rPr>
          <w:fldChar w:fldCharType="begin"/>
        </w:r>
        <w:r>
          <w:rPr>
            <w:noProof/>
            <w:webHidden/>
          </w:rPr>
          <w:instrText xml:space="preserve"> PAGEREF _Toc12260061 \h </w:instrText>
        </w:r>
        <w:r>
          <w:rPr>
            <w:noProof/>
            <w:webHidden/>
          </w:rPr>
        </w:r>
        <w:r>
          <w:rPr>
            <w:noProof/>
            <w:webHidden/>
          </w:rPr>
          <w:fldChar w:fldCharType="separate"/>
        </w:r>
        <w:r>
          <w:rPr>
            <w:noProof/>
            <w:webHidden/>
          </w:rPr>
          <w:t>43</w:t>
        </w:r>
        <w:r>
          <w:rPr>
            <w:noProof/>
            <w:webHidden/>
          </w:rPr>
          <w:fldChar w:fldCharType="end"/>
        </w:r>
      </w:hyperlink>
    </w:p>
    <w:p w:rsidR="00694C0F" w:rsidRDefault="00694C0F">
      <w:pPr>
        <w:pStyle w:val="TOC2"/>
        <w:rPr>
          <w:rFonts w:asciiTheme="minorHAnsi" w:eastAsiaTheme="minorEastAsia" w:hAnsiTheme="minorHAnsi" w:cstheme="minorBidi"/>
          <w:noProof/>
          <w:sz w:val="22"/>
          <w:szCs w:val="22"/>
        </w:rPr>
      </w:pPr>
      <w:hyperlink w:anchor="_Toc12260062" w:history="1">
        <w:r w:rsidRPr="00CD0B56">
          <w:rPr>
            <w:rStyle w:val="Hyperlink"/>
            <w:noProof/>
          </w:rPr>
          <w:t>1.1</w:t>
        </w:r>
        <w:r>
          <w:rPr>
            <w:rFonts w:asciiTheme="minorHAnsi" w:eastAsiaTheme="minorEastAsia" w:hAnsiTheme="minorHAnsi" w:cstheme="minorBidi"/>
            <w:noProof/>
            <w:sz w:val="22"/>
            <w:szCs w:val="22"/>
          </w:rPr>
          <w:tab/>
        </w:r>
        <w:r w:rsidRPr="00CD0B56">
          <w:rPr>
            <w:rStyle w:val="Hyperlink"/>
            <w:noProof/>
          </w:rPr>
          <w:t>Glossary</w:t>
        </w:r>
        <w:r>
          <w:rPr>
            <w:noProof/>
            <w:webHidden/>
          </w:rPr>
          <w:tab/>
        </w:r>
        <w:r>
          <w:rPr>
            <w:noProof/>
            <w:webHidden/>
          </w:rPr>
          <w:fldChar w:fldCharType="begin"/>
        </w:r>
        <w:r>
          <w:rPr>
            <w:noProof/>
            <w:webHidden/>
          </w:rPr>
          <w:instrText xml:space="preserve"> PAGEREF _Toc12260062 \h </w:instrText>
        </w:r>
        <w:r>
          <w:rPr>
            <w:noProof/>
            <w:webHidden/>
          </w:rPr>
        </w:r>
        <w:r>
          <w:rPr>
            <w:noProof/>
            <w:webHidden/>
          </w:rPr>
          <w:fldChar w:fldCharType="separate"/>
        </w:r>
        <w:r>
          <w:rPr>
            <w:noProof/>
            <w:webHidden/>
          </w:rPr>
          <w:t>43</w:t>
        </w:r>
        <w:r>
          <w:rPr>
            <w:noProof/>
            <w:webHidden/>
          </w:rPr>
          <w:fldChar w:fldCharType="end"/>
        </w:r>
      </w:hyperlink>
    </w:p>
    <w:p w:rsidR="00694C0F" w:rsidRDefault="00694C0F">
      <w:pPr>
        <w:pStyle w:val="TOC2"/>
        <w:rPr>
          <w:rFonts w:asciiTheme="minorHAnsi" w:eastAsiaTheme="minorEastAsia" w:hAnsiTheme="minorHAnsi" w:cstheme="minorBidi"/>
          <w:noProof/>
          <w:sz w:val="22"/>
          <w:szCs w:val="22"/>
        </w:rPr>
      </w:pPr>
      <w:hyperlink w:anchor="_Toc12260063" w:history="1">
        <w:r w:rsidRPr="00CD0B56">
          <w:rPr>
            <w:rStyle w:val="Hyperlink"/>
            <w:noProof/>
          </w:rPr>
          <w:t>1.2</w:t>
        </w:r>
        <w:r>
          <w:rPr>
            <w:rFonts w:asciiTheme="minorHAnsi" w:eastAsiaTheme="minorEastAsia" w:hAnsiTheme="minorHAnsi" w:cstheme="minorBidi"/>
            <w:noProof/>
            <w:sz w:val="22"/>
            <w:szCs w:val="22"/>
          </w:rPr>
          <w:tab/>
        </w:r>
        <w:r w:rsidRPr="00CD0B56">
          <w:rPr>
            <w:rStyle w:val="Hyperlink"/>
            <w:noProof/>
          </w:rPr>
          <w:t>References</w:t>
        </w:r>
        <w:r>
          <w:rPr>
            <w:noProof/>
            <w:webHidden/>
          </w:rPr>
          <w:tab/>
        </w:r>
        <w:r>
          <w:rPr>
            <w:noProof/>
            <w:webHidden/>
          </w:rPr>
          <w:fldChar w:fldCharType="begin"/>
        </w:r>
        <w:r>
          <w:rPr>
            <w:noProof/>
            <w:webHidden/>
          </w:rPr>
          <w:instrText xml:space="preserve"> PAGEREF _Toc12260063 \h </w:instrText>
        </w:r>
        <w:r>
          <w:rPr>
            <w:noProof/>
            <w:webHidden/>
          </w:rPr>
        </w:r>
        <w:r>
          <w:rPr>
            <w:noProof/>
            <w:webHidden/>
          </w:rPr>
          <w:fldChar w:fldCharType="separate"/>
        </w:r>
        <w:r>
          <w:rPr>
            <w:noProof/>
            <w:webHidden/>
          </w:rPr>
          <w:t>43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064" w:history="1">
        <w:r w:rsidRPr="00CD0B56">
          <w:rPr>
            <w:rStyle w:val="Hyperlink"/>
            <w:noProof/>
          </w:rPr>
          <w:t>1.2.1</w:t>
        </w:r>
        <w:r>
          <w:rPr>
            <w:rFonts w:asciiTheme="minorHAnsi" w:eastAsiaTheme="minorEastAsia" w:hAnsiTheme="minorHAnsi" w:cstheme="minorBidi"/>
            <w:noProof/>
            <w:sz w:val="22"/>
            <w:szCs w:val="22"/>
          </w:rPr>
          <w:tab/>
        </w:r>
        <w:r w:rsidRPr="00CD0B56">
          <w:rPr>
            <w:rStyle w:val="Hyperlink"/>
            <w:noProof/>
          </w:rPr>
          <w:t>Normative References</w:t>
        </w:r>
        <w:r>
          <w:rPr>
            <w:noProof/>
            <w:webHidden/>
          </w:rPr>
          <w:tab/>
        </w:r>
        <w:r>
          <w:rPr>
            <w:noProof/>
            <w:webHidden/>
          </w:rPr>
          <w:fldChar w:fldCharType="begin"/>
        </w:r>
        <w:r>
          <w:rPr>
            <w:noProof/>
            <w:webHidden/>
          </w:rPr>
          <w:instrText xml:space="preserve"> PAGEREF _Toc12260064 \h </w:instrText>
        </w:r>
        <w:r>
          <w:rPr>
            <w:noProof/>
            <w:webHidden/>
          </w:rPr>
        </w:r>
        <w:r>
          <w:rPr>
            <w:noProof/>
            <w:webHidden/>
          </w:rPr>
          <w:fldChar w:fldCharType="separate"/>
        </w:r>
        <w:r>
          <w:rPr>
            <w:noProof/>
            <w:webHidden/>
          </w:rPr>
          <w:t>43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065" w:history="1">
        <w:r w:rsidRPr="00CD0B56">
          <w:rPr>
            <w:rStyle w:val="Hyperlink"/>
            <w:noProof/>
          </w:rPr>
          <w:t>1.2.2</w:t>
        </w:r>
        <w:r>
          <w:rPr>
            <w:rFonts w:asciiTheme="minorHAnsi" w:eastAsiaTheme="minorEastAsia" w:hAnsiTheme="minorHAnsi" w:cstheme="minorBidi"/>
            <w:noProof/>
            <w:sz w:val="22"/>
            <w:szCs w:val="22"/>
          </w:rPr>
          <w:tab/>
        </w:r>
        <w:r w:rsidRPr="00CD0B56">
          <w:rPr>
            <w:rStyle w:val="Hyperlink"/>
            <w:noProof/>
          </w:rPr>
          <w:t>Informative References</w:t>
        </w:r>
        <w:r>
          <w:rPr>
            <w:noProof/>
            <w:webHidden/>
          </w:rPr>
          <w:tab/>
        </w:r>
        <w:r>
          <w:rPr>
            <w:noProof/>
            <w:webHidden/>
          </w:rPr>
          <w:fldChar w:fldCharType="begin"/>
        </w:r>
        <w:r>
          <w:rPr>
            <w:noProof/>
            <w:webHidden/>
          </w:rPr>
          <w:instrText xml:space="preserve"> PAGEREF _Toc12260065 \h </w:instrText>
        </w:r>
        <w:r>
          <w:rPr>
            <w:noProof/>
            <w:webHidden/>
          </w:rPr>
        </w:r>
        <w:r>
          <w:rPr>
            <w:noProof/>
            <w:webHidden/>
          </w:rPr>
          <w:fldChar w:fldCharType="separate"/>
        </w:r>
        <w:r>
          <w:rPr>
            <w:noProof/>
            <w:webHidden/>
          </w:rPr>
          <w:t>45</w:t>
        </w:r>
        <w:r>
          <w:rPr>
            <w:noProof/>
            <w:webHidden/>
          </w:rPr>
          <w:fldChar w:fldCharType="end"/>
        </w:r>
      </w:hyperlink>
    </w:p>
    <w:p w:rsidR="00694C0F" w:rsidRDefault="00694C0F">
      <w:pPr>
        <w:pStyle w:val="TOC2"/>
        <w:rPr>
          <w:rFonts w:asciiTheme="minorHAnsi" w:eastAsiaTheme="minorEastAsia" w:hAnsiTheme="minorHAnsi" w:cstheme="minorBidi"/>
          <w:noProof/>
          <w:sz w:val="22"/>
          <w:szCs w:val="22"/>
        </w:rPr>
      </w:pPr>
      <w:hyperlink w:anchor="_Toc12260066" w:history="1">
        <w:r w:rsidRPr="00CD0B56">
          <w:rPr>
            <w:rStyle w:val="Hyperlink"/>
            <w:noProof/>
          </w:rPr>
          <w:t>1.3</w:t>
        </w:r>
        <w:r>
          <w:rPr>
            <w:rFonts w:asciiTheme="minorHAnsi" w:eastAsiaTheme="minorEastAsia" w:hAnsiTheme="minorHAnsi" w:cstheme="minorBidi"/>
            <w:noProof/>
            <w:sz w:val="22"/>
            <w:szCs w:val="22"/>
          </w:rPr>
          <w:tab/>
        </w:r>
        <w:r w:rsidRPr="00CD0B56">
          <w:rPr>
            <w:rStyle w:val="Hyperlink"/>
            <w:noProof/>
          </w:rPr>
          <w:t>Microsoft Implementations</w:t>
        </w:r>
        <w:r>
          <w:rPr>
            <w:noProof/>
            <w:webHidden/>
          </w:rPr>
          <w:tab/>
        </w:r>
        <w:r>
          <w:rPr>
            <w:noProof/>
            <w:webHidden/>
          </w:rPr>
          <w:fldChar w:fldCharType="begin"/>
        </w:r>
        <w:r>
          <w:rPr>
            <w:noProof/>
            <w:webHidden/>
          </w:rPr>
          <w:instrText xml:space="preserve"> PAGEREF _Toc12260066 \h </w:instrText>
        </w:r>
        <w:r>
          <w:rPr>
            <w:noProof/>
            <w:webHidden/>
          </w:rPr>
        </w:r>
        <w:r>
          <w:rPr>
            <w:noProof/>
            <w:webHidden/>
          </w:rPr>
          <w:fldChar w:fldCharType="separate"/>
        </w:r>
        <w:r>
          <w:rPr>
            <w:noProof/>
            <w:webHidden/>
          </w:rPr>
          <w:t>45</w:t>
        </w:r>
        <w:r>
          <w:rPr>
            <w:noProof/>
            <w:webHidden/>
          </w:rPr>
          <w:fldChar w:fldCharType="end"/>
        </w:r>
      </w:hyperlink>
    </w:p>
    <w:p w:rsidR="00694C0F" w:rsidRDefault="00694C0F">
      <w:pPr>
        <w:pStyle w:val="TOC1"/>
        <w:rPr>
          <w:rFonts w:asciiTheme="minorHAnsi" w:eastAsiaTheme="minorEastAsia" w:hAnsiTheme="minorHAnsi" w:cstheme="minorBidi"/>
          <w:b w:val="0"/>
          <w:bCs w:val="0"/>
          <w:noProof/>
          <w:sz w:val="22"/>
          <w:szCs w:val="22"/>
        </w:rPr>
      </w:pPr>
      <w:hyperlink w:anchor="_Toc12260067" w:history="1">
        <w:r w:rsidRPr="00CD0B56">
          <w:rPr>
            <w:rStyle w:val="Hyperlink"/>
            <w:noProof/>
          </w:rPr>
          <w:t>2</w:t>
        </w:r>
        <w:r>
          <w:rPr>
            <w:rFonts w:asciiTheme="minorHAnsi" w:eastAsiaTheme="minorEastAsia" w:hAnsiTheme="minorHAnsi" w:cstheme="minorBidi"/>
            <w:b w:val="0"/>
            <w:bCs w:val="0"/>
            <w:noProof/>
            <w:sz w:val="22"/>
            <w:szCs w:val="22"/>
          </w:rPr>
          <w:tab/>
        </w:r>
        <w:r w:rsidRPr="00CD0B56">
          <w:rPr>
            <w:rStyle w:val="Hyperlink"/>
            <w:noProof/>
          </w:rPr>
          <w:t>Conformance Statements</w:t>
        </w:r>
        <w:r>
          <w:rPr>
            <w:noProof/>
            <w:webHidden/>
          </w:rPr>
          <w:tab/>
        </w:r>
        <w:r>
          <w:rPr>
            <w:noProof/>
            <w:webHidden/>
          </w:rPr>
          <w:fldChar w:fldCharType="begin"/>
        </w:r>
        <w:r>
          <w:rPr>
            <w:noProof/>
            <w:webHidden/>
          </w:rPr>
          <w:instrText xml:space="preserve"> PAGEREF _Toc12260067 \h </w:instrText>
        </w:r>
        <w:r>
          <w:rPr>
            <w:noProof/>
            <w:webHidden/>
          </w:rPr>
        </w:r>
        <w:r>
          <w:rPr>
            <w:noProof/>
            <w:webHidden/>
          </w:rPr>
          <w:fldChar w:fldCharType="separate"/>
        </w:r>
        <w:r>
          <w:rPr>
            <w:noProof/>
            <w:webHidden/>
          </w:rPr>
          <w:t>46</w:t>
        </w:r>
        <w:r>
          <w:rPr>
            <w:noProof/>
            <w:webHidden/>
          </w:rPr>
          <w:fldChar w:fldCharType="end"/>
        </w:r>
      </w:hyperlink>
    </w:p>
    <w:p w:rsidR="00694C0F" w:rsidRDefault="00694C0F">
      <w:pPr>
        <w:pStyle w:val="TOC2"/>
        <w:rPr>
          <w:rFonts w:asciiTheme="minorHAnsi" w:eastAsiaTheme="minorEastAsia" w:hAnsiTheme="minorHAnsi" w:cstheme="minorBidi"/>
          <w:noProof/>
          <w:sz w:val="22"/>
          <w:szCs w:val="22"/>
        </w:rPr>
      </w:pPr>
      <w:hyperlink w:anchor="_Toc12260068" w:history="1">
        <w:r w:rsidRPr="00CD0B56">
          <w:rPr>
            <w:rStyle w:val="Hyperlink"/>
            <w:noProof/>
          </w:rPr>
          <w:t>2.1</w:t>
        </w:r>
        <w:r>
          <w:rPr>
            <w:rFonts w:asciiTheme="minorHAnsi" w:eastAsiaTheme="minorEastAsia" w:hAnsiTheme="minorHAnsi" w:cstheme="minorBidi"/>
            <w:noProof/>
            <w:sz w:val="22"/>
            <w:szCs w:val="22"/>
          </w:rPr>
          <w:tab/>
        </w:r>
        <w:r w:rsidRPr="00CD0B56">
          <w:rPr>
            <w:rStyle w:val="Hyperlink"/>
            <w:noProof/>
          </w:rPr>
          <w:t>Normative Variations</w:t>
        </w:r>
        <w:r>
          <w:rPr>
            <w:noProof/>
            <w:webHidden/>
          </w:rPr>
          <w:tab/>
        </w:r>
        <w:r>
          <w:rPr>
            <w:noProof/>
            <w:webHidden/>
          </w:rPr>
          <w:fldChar w:fldCharType="begin"/>
        </w:r>
        <w:r>
          <w:rPr>
            <w:noProof/>
            <w:webHidden/>
          </w:rPr>
          <w:instrText xml:space="preserve"> PAGEREF _Toc12260068 \h </w:instrText>
        </w:r>
        <w:r>
          <w:rPr>
            <w:noProof/>
            <w:webHidden/>
          </w:rPr>
        </w:r>
        <w:r>
          <w:rPr>
            <w:noProof/>
            <w:webHidden/>
          </w:rPr>
          <w:fldChar w:fldCharType="separate"/>
        </w:r>
        <w:r>
          <w:rPr>
            <w:noProof/>
            <w:webHidden/>
          </w:rPr>
          <w:t>46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069" w:history="1">
        <w:r w:rsidRPr="00CD0B56">
          <w:rPr>
            <w:rStyle w:val="Hyperlink"/>
            <w:noProof/>
          </w:rPr>
          <w:t>2.1.1</w:t>
        </w:r>
        <w:r>
          <w:rPr>
            <w:rFonts w:asciiTheme="minorHAnsi" w:eastAsiaTheme="minorEastAsia" w:hAnsiTheme="minorHAnsi" w:cstheme="minorBidi"/>
            <w:noProof/>
            <w:sz w:val="22"/>
            <w:szCs w:val="22"/>
          </w:rPr>
          <w:tab/>
        </w:r>
        <w:r w:rsidRPr="00CD0B56">
          <w:rPr>
            <w:rStyle w:val="Hyperlink"/>
            <w:noProof/>
          </w:rPr>
          <w:t>Part 1 Section 2.2, Application Conformance</w:t>
        </w:r>
        <w:r>
          <w:rPr>
            <w:noProof/>
            <w:webHidden/>
          </w:rPr>
          <w:tab/>
        </w:r>
        <w:r>
          <w:rPr>
            <w:noProof/>
            <w:webHidden/>
          </w:rPr>
          <w:fldChar w:fldCharType="begin"/>
        </w:r>
        <w:r>
          <w:rPr>
            <w:noProof/>
            <w:webHidden/>
          </w:rPr>
          <w:instrText xml:space="preserve"> PAGEREF _Toc12260069 \h </w:instrText>
        </w:r>
        <w:r>
          <w:rPr>
            <w:noProof/>
            <w:webHidden/>
          </w:rPr>
        </w:r>
        <w:r>
          <w:rPr>
            <w:noProof/>
            <w:webHidden/>
          </w:rPr>
          <w:fldChar w:fldCharType="separate"/>
        </w:r>
        <w:r>
          <w:rPr>
            <w:noProof/>
            <w:webHidden/>
          </w:rPr>
          <w:t>46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070" w:history="1">
        <w:r w:rsidRPr="00CD0B56">
          <w:rPr>
            <w:rStyle w:val="Hyperlink"/>
            <w:noProof/>
          </w:rPr>
          <w:t>2.1.2</w:t>
        </w:r>
        <w:r>
          <w:rPr>
            <w:rFonts w:asciiTheme="minorHAnsi" w:eastAsiaTheme="minorEastAsia" w:hAnsiTheme="minorHAnsi" w:cstheme="minorBidi"/>
            <w:noProof/>
            <w:sz w:val="22"/>
            <w:szCs w:val="22"/>
          </w:rPr>
          <w:tab/>
        </w:r>
        <w:r w:rsidRPr="00CD0B56">
          <w:rPr>
            <w:rStyle w:val="Hyperlink"/>
            <w:noProof/>
          </w:rPr>
          <w:t>Part 1 Section 8.5, PresentationML</w:t>
        </w:r>
        <w:r>
          <w:rPr>
            <w:noProof/>
            <w:webHidden/>
          </w:rPr>
          <w:tab/>
        </w:r>
        <w:r>
          <w:rPr>
            <w:noProof/>
            <w:webHidden/>
          </w:rPr>
          <w:fldChar w:fldCharType="begin"/>
        </w:r>
        <w:r>
          <w:rPr>
            <w:noProof/>
            <w:webHidden/>
          </w:rPr>
          <w:instrText xml:space="preserve"> PAGEREF _Toc12260070 \h </w:instrText>
        </w:r>
        <w:r>
          <w:rPr>
            <w:noProof/>
            <w:webHidden/>
          </w:rPr>
        </w:r>
        <w:r>
          <w:rPr>
            <w:noProof/>
            <w:webHidden/>
          </w:rPr>
          <w:fldChar w:fldCharType="separate"/>
        </w:r>
        <w:r>
          <w:rPr>
            <w:noProof/>
            <w:webHidden/>
          </w:rPr>
          <w:t>46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071" w:history="1">
        <w:r w:rsidRPr="00CD0B56">
          <w:rPr>
            <w:rStyle w:val="Hyperlink"/>
            <w:noProof/>
          </w:rPr>
          <w:t>2.1.3</w:t>
        </w:r>
        <w:r>
          <w:rPr>
            <w:rFonts w:asciiTheme="minorHAnsi" w:eastAsiaTheme="minorEastAsia" w:hAnsiTheme="minorHAnsi" w:cstheme="minorBidi"/>
            <w:noProof/>
            <w:sz w:val="22"/>
            <w:szCs w:val="22"/>
          </w:rPr>
          <w:tab/>
        </w:r>
        <w:r w:rsidRPr="00CD0B56">
          <w:rPr>
            <w:rStyle w:val="Hyperlink"/>
            <w:noProof/>
          </w:rPr>
          <w:t>Part 1 Section 9, Packages</w:t>
        </w:r>
        <w:r>
          <w:rPr>
            <w:noProof/>
            <w:webHidden/>
          </w:rPr>
          <w:tab/>
        </w:r>
        <w:r>
          <w:rPr>
            <w:noProof/>
            <w:webHidden/>
          </w:rPr>
          <w:fldChar w:fldCharType="begin"/>
        </w:r>
        <w:r>
          <w:rPr>
            <w:noProof/>
            <w:webHidden/>
          </w:rPr>
          <w:instrText xml:space="preserve"> PAGEREF _Toc12260071 \h </w:instrText>
        </w:r>
        <w:r>
          <w:rPr>
            <w:noProof/>
            <w:webHidden/>
          </w:rPr>
        </w:r>
        <w:r>
          <w:rPr>
            <w:noProof/>
            <w:webHidden/>
          </w:rPr>
          <w:fldChar w:fldCharType="separate"/>
        </w:r>
        <w:r>
          <w:rPr>
            <w:noProof/>
            <w:webHidden/>
          </w:rPr>
          <w:t>46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072" w:history="1">
        <w:r w:rsidRPr="00CD0B56">
          <w:rPr>
            <w:rStyle w:val="Hyperlink"/>
            <w:noProof/>
          </w:rPr>
          <w:t>2.1.4</w:t>
        </w:r>
        <w:r>
          <w:rPr>
            <w:rFonts w:asciiTheme="minorHAnsi" w:eastAsiaTheme="minorEastAsia" w:hAnsiTheme="minorHAnsi" w:cstheme="minorBidi"/>
            <w:noProof/>
            <w:sz w:val="22"/>
            <w:szCs w:val="22"/>
          </w:rPr>
          <w:tab/>
        </w:r>
        <w:r w:rsidRPr="00CD0B56">
          <w:rPr>
            <w:rStyle w:val="Hyperlink"/>
            <w:noProof/>
          </w:rPr>
          <w:t>Part 1 Section 11, WordprocessingML</w:t>
        </w:r>
        <w:r>
          <w:rPr>
            <w:noProof/>
            <w:webHidden/>
          </w:rPr>
          <w:tab/>
        </w:r>
        <w:r>
          <w:rPr>
            <w:noProof/>
            <w:webHidden/>
          </w:rPr>
          <w:fldChar w:fldCharType="begin"/>
        </w:r>
        <w:r>
          <w:rPr>
            <w:noProof/>
            <w:webHidden/>
          </w:rPr>
          <w:instrText xml:space="preserve"> PAGEREF _Toc12260072 \h </w:instrText>
        </w:r>
        <w:r>
          <w:rPr>
            <w:noProof/>
            <w:webHidden/>
          </w:rPr>
        </w:r>
        <w:r>
          <w:rPr>
            <w:noProof/>
            <w:webHidden/>
          </w:rPr>
          <w:fldChar w:fldCharType="separate"/>
        </w:r>
        <w:r>
          <w:rPr>
            <w:noProof/>
            <w:webHidden/>
          </w:rPr>
          <w:t>46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073" w:history="1">
        <w:r w:rsidRPr="00CD0B56">
          <w:rPr>
            <w:rStyle w:val="Hyperlink"/>
            <w:noProof/>
          </w:rPr>
          <w:t>2.1.5</w:t>
        </w:r>
        <w:r>
          <w:rPr>
            <w:rFonts w:asciiTheme="minorHAnsi" w:eastAsiaTheme="minorEastAsia" w:hAnsiTheme="minorHAnsi" w:cstheme="minorBidi"/>
            <w:noProof/>
            <w:sz w:val="22"/>
            <w:szCs w:val="22"/>
          </w:rPr>
          <w:tab/>
        </w:r>
        <w:r w:rsidRPr="00CD0B56">
          <w:rPr>
            <w:rStyle w:val="Hyperlink"/>
            <w:noProof/>
          </w:rPr>
          <w:t>Part 1 Section 11.3, Part Summary</w:t>
        </w:r>
        <w:r>
          <w:rPr>
            <w:noProof/>
            <w:webHidden/>
          </w:rPr>
          <w:tab/>
        </w:r>
        <w:r>
          <w:rPr>
            <w:noProof/>
            <w:webHidden/>
          </w:rPr>
          <w:fldChar w:fldCharType="begin"/>
        </w:r>
        <w:r>
          <w:rPr>
            <w:noProof/>
            <w:webHidden/>
          </w:rPr>
          <w:instrText xml:space="preserve"> PAGEREF _Toc12260073 \h </w:instrText>
        </w:r>
        <w:r>
          <w:rPr>
            <w:noProof/>
            <w:webHidden/>
          </w:rPr>
        </w:r>
        <w:r>
          <w:rPr>
            <w:noProof/>
            <w:webHidden/>
          </w:rPr>
          <w:fldChar w:fldCharType="separate"/>
        </w:r>
        <w:r>
          <w:rPr>
            <w:noProof/>
            <w:webHidden/>
          </w:rPr>
          <w:t>46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074" w:history="1">
        <w:r w:rsidRPr="00CD0B56">
          <w:rPr>
            <w:rStyle w:val="Hyperlink"/>
            <w:noProof/>
          </w:rPr>
          <w:t>2.1.6</w:t>
        </w:r>
        <w:r>
          <w:rPr>
            <w:rFonts w:asciiTheme="minorHAnsi" w:eastAsiaTheme="minorEastAsia" w:hAnsiTheme="minorHAnsi" w:cstheme="minorBidi"/>
            <w:noProof/>
            <w:sz w:val="22"/>
            <w:szCs w:val="22"/>
          </w:rPr>
          <w:tab/>
        </w:r>
        <w:r w:rsidRPr="00CD0B56">
          <w:rPr>
            <w:rStyle w:val="Hyperlink"/>
            <w:noProof/>
          </w:rPr>
          <w:t>Part 1 Section 12.3, Part Summary</w:t>
        </w:r>
        <w:r>
          <w:rPr>
            <w:noProof/>
            <w:webHidden/>
          </w:rPr>
          <w:tab/>
        </w:r>
        <w:r>
          <w:rPr>
            <w:noProof/>
            <w:webHidden/>
          </w:rPr>
          <w:fldChar w:fldCharType="begin"/>
        </w:r>
        <w:r>
          <w:rPr>
            <w:noProof/>
            <w:webHidden/>
          </w:rPr>
          <w:instrText xml:space="preserve"> PAGEREF _Toc12260074 \h </w:instrText>
        </w:r>
        <w:r>
          <w:rPr>
            <w:noProof/>
            <w:webHidden/>
          </w:rPr>
        </w:r>
        <w:r>
          <w:rPr>
            <w:noProof/>
            <w:webHidden/>
          </w:rPr>
          <w:fldChar w:fldCharType="separate"/>
        </w:r>
        <w:r>
          <w:rPr>
            <w:noProof/>
            <w:webHidden/>
          </w:rPr>
          <w:t>47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075" w:history="1">
        <w:r w:rsidRPr="00CD0B56">
          <w:rPr>
            <w:rStyle w:val="Hyperlink"/>
            <w:noProof/>
          </w:rPr>
          <w:t>2.1.7</w:t>
        </w:r>
        <w:r>
          <w:rPr>
            <w:rFonts w:asciiTheme="minorHAnsi" w:eastAsiaTheme="minorEastAsia" w:hAnsiTheme="minorHAnsi" w:cstheme="minorBidi"/>
            <w:noProof/>
            <w:sz w:val="22"/>
            <w:szCs w:val="22"/>
          </w:rPr>
          <w:tab/>
        </w:r>
        <w:r w:rsidRPr="00CD0B56">
          <w:rPr>
            <w:rStyle w:val="Hyperlink"/>
            <w:noProof/>
          </w:rPr>
          <w:t>Part 1 Section 12.3.2, Chartsheet Part</w:t>
        </w:r>
        <w:r>
          <w:rPr>
            <w:noProof/>
            <w:webHidden/>
          </w:rPr>
          <w:tab/>
        </w:r>
        <w:r>
          <w:rPr>
            <w:noProof/>
            <w:webHidden/>
          </w:rPr>
          <w:fldChar w:fldCharType="begin"/>
        </w:r>
        <w:r>
          <w:rPr>
            <w:noProof/>
            <w:webHidden/>
          </w:rPr>
          <w:instrText xml:space="preserve"> PAGEREF _Toc12260075 \h </w:instrText>
        </w:r>
        <w:r>
          <w:rPr>
            <w:noProof/>
            <w:webHidden/>
          </w:rPr>
        </w:r>
        <w:r>
          <w:rPr>
            <w:noProof/>
            <w:webHidden/>
          </w:rPr>
          <w:fldChar w:fldCharType="separate"/>
        </w:r>
        <w:r>
          <w:rPr>
            <w:noProof/>
            <w:webHidden/>
          </w:rPr>
          <w:t>47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076" w:history="1">
        <w:r w:rsidRPr="00CD0B56">
          <w:rPr>
            <w:rStyle w:val="Hyperlink"/>
            <w:noProof/>
          </w:rPr>
          <w:t>2.1.8</w:t>
        </w:r>
        <w:r>
          <w:rPr>
            <w:rFonts w:asciiTheme="minorHAnsi" w:eastAsiaTheme="minorEastAsia" w:hAnsiTheme="minorHAnsi" w:cstheme="minorBidi"/>
            <w:noProof/>
            <w:sz w:val="22"/>
            <w:szCs w:val="22"/>
          </w:rPr>
          <w:tab/>
        </w:r>
        <w:r w:rsidRPr="00CD0B56">
          <w:rPr>
            <w:rStyle w:val="Hyperlink"/>
            <w:noProof/>
          </w:rPr>
          <w:t>Part 1 Section 12.3.6, Custom XML Mappings Part</w:t>
        </w:r>
        <w:r>
          <w:rPr>
            <w:noProof/>
            <w:webHidden/>
          </w:rPr>
          <w:tab/>
        </w:r>
        <w:r>
          <w:rPr>
            <w:noProof/>
            <w:webHidden/>
          </w:rPr>
          <w:fldChar w:fldCharType="begin"/>
        </w:r>
        <w:r>
          <w:rPr>
            <w:noProof/>
            <w:webHidden/>
          </w:rPr>
          <w:instrText xml:space="preserve"> PAGEREF _Toc12260076 \h </w:instrText>
        </w:r>
        <w:r>
          <w:rPr>
            <w:noProof/>
            <w:webHidden/>
          </w:rPr>
        </w:r>
        <w:r>
          <w:rPr>
            <w:noProof/>
            <w:webHidden/>
          </w:rPr>
          <w:fldChar w:fldCharType="separate"/>
        </w:r>
        <w:r>
          <w:rPr>
            <w:noProof/>
            <w:webHidden/>
          </w:rPr>
          <w:t>48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077" w:history="1">
        <w:r w:rsidRPr="00CD0B56">
          <w:rPr>
            <w:rStyle w:val="Hyperlink"/>
            <w:noProof/>
          </w:rPr>
          <w:t>2.1.9</w:t>
        </w:r>
        <w:r>
          <w:rPr>
            <w:rFonts w:asciiTheme="minorHAnsi" w:eastAsiaTheme="minorEastAsia" w:hAnsiTheme="minorHAnsi" w:cstheme="minorBidi"/>
            <w:noProof/>
            <w:sz w:val="22"/>
            <w:szCs w:val="22"/>
          </w:rPr>
          <w:tab/>
        </w:r>
        <w:r w:rsidRPr="00CD0B56">
          <w:rPr>
            <w:rStyle w:val="Hyperlink"/>
            <w:noProof/>
          </w:rPr>
          <w:t>Part 1 Section 12.3.7, Dialogsheet Part</w:t>
        </w:r>
        <w:r>
          <w:rPr>
            <w:noProof/>
            <w:webHidden/>
          </w:rPr>
          <w:tab/>
        </w:r>
        <w:r>
          <w:rPr>
            <w:noProof/>
            <w:webHidden/>
          </w:rPr>
          <w:fldChar w:fldCharType="begin"/>
        </w:r>
        <w:r>
          <w:rPr>
            <w:noProof/>
            <w:webHidden/>
          </w:rPr>
          <w:instrText xml:space="preserve"> PAGEREF _Toc12260077 \h </w:instrText>
        </w:r>
        <w:r>
          <w:rPr>
            <w:noProof/>
            <w:webHidden/>
          </w:rPr>
        </w:r>
        <w:r>
          <w:rPr>
            <w:noProof/>
            <w:webHidden/>
          </w:rPr>
          <w:fldChar w:fldCharType="separate"/>
        </w:r>
        <w:r>
          <w:rPr>
            <w:noProof/>
            <w:webHidden/>
          </w:rPr>
          <w:t>48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078" w:history="1">
        <w:r w:rsidRPr="00CD0B56">
          <w:rPr>
            <w:rStyle w:val="Hyperlink"/>
            <w:noProof/>
          </w:rPr>
          <w:t>2.1.10</w:t>
        </w:r>
        <w:r>
          <w:rPr>
            <w:rFonts w:asciiTheme="minorHAnsi" w:eastAsiaTheme="minorEastAsia" w:hAnsiTheme="minorHAnsi" w:cstheme="minorBidi"/>
            <w:noProof/>
            <w:sz w:val="22"/>
            <w:szCs w:val="22"/>
          </w:rPr>
          <w:tab/>
        </w:r>
        <w:r w:rsidRPr="00CD0B56">
          <w:rPr>
            <w:rStyle w:val="Hyperlink"/>
            <w:noProof/>
          </w:rPr>
          <w:t>Part 1 Section 12.3.19, Single Cell Table Definitions Part</w:t>
        </w:r>
        <w:r>
          <w:rPr>
            <w:noProof/>
            <w:webHidden/>
          </w:rPr>
          <w:tab/>
        </w:r>
        <w:r>
          <w:rPr>
            <w:noProof/>
            <w:webHidden/>
          </w:rPr>
          <w:fldChar w:fldCharType="begin"/>
        </w:r>
        <w:r>
          <w:rPr>
            <w:noProof/>
            <w:webHidden/>
          </w:rPr>
          <w:instrText xml:space="preserve"> PAGEREF _Toc12260078 \h </w:instrText>
        </w:r>
        <w:r>
          <w:rPr>
            <w:noProof/>
            <w:webHidden/>
          </w:rPr>
        </w:r>
        <w:r>
          <w:rPr>
            <w:noProof/>
            <w:webHidden/>
          </w:rPr>
          <w:fldChar w:fldCharType="separate"/>
        </w:r>
        <w:r>
          <w:rPr>
            <w:noProof/>
            <w:webHidden/>
          </w:rPr>
          <w:t>48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079" w:history="1">
        <w:r w:rsidRPr="00CD0B56">
          <w:rPr>
            <w:rStyle w:val="Hyperlink"/>
            <w:noProof/>
          </w:rPr>
          <w:t>2.1.11</w:t>
        </w:r>
        <w:r>
          <w:rPr>
            <w:rFonts w:asciiTheme="minorHAnsi" w:eastAsiaTheme="minorEastAsia" w:hAnsiTheme="minorHAnsi" w:cstheme="minorBidi"/>
            <w:noProof/>
            <w:sz w:val="22"/>
            <w:szCs w:val="22"/>
          </w:rPr>
          <w:tab/>
        </w:r>
        <w:r w:rsidRPr="00CD0B56">
          <w:rPr>
            <w:rStyle w:val="Hyperlink"/>
            <w:noProof/>
          </w:rPr>
          <w:t>Part 1 Section 12.3.20, Styles Part</w:t>
        </w:r>
        <w:r>
          <w:rPr>
            <w:noProof/>
            <w:webHidden/>
          </w:rPr>
          <w:tab/>
        </w:r>
        <w:r>
          <w:rPr>
            <w:noProof/>
            <w:webHidden/>
          </w:rPr>
          <w:fldChar w:fldCharType="begin"/>
        </w:r>
        <w:r>
          <w:rPr>
            <w:noProof/>
            <w:webHidden/>
          </w:rPr>
          <w:instrText xml:space="preserve"> PAGEREF _Toc12260079 \h </w:instrText>
        </w:r>
        <w:r>
          <w:rPr>
            <w:noProof/>
            <w:webHidden/>
          </w:rPr>
        </w:r>
        <w:r>
          <w:rPr>
            <w:noProof/>
            <w:webHidden/>
          </w:rPr>
          <w:fldChar w:fldCharType="separate"/>
        </w:r>
        <w:r>
          <w:rPr>
            <w:noProof/>
            <w:webHidden/>
          </w:rPr>
          <w:t>48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080" w:history="1">
        <w:r w:rsidRPr="00CD0B56">
          <w:rPr>
            <w:rStyle w:val="Hyperlink"/>
            <w:noProof/>
          </w:rPr>
          <w:t>2.1.12</w:t>
        </w:r>
        <w:r>
          <w:rPr>
            <w:rFonts w:asciiTheme="minorHAnsi" w:eastAsiaTheme="minorEastAsia" w:hAnsiTheme="minorHAnsi" w:cstheme="minorBidi"/>
            <w:noProof/>
            <w:sz w:val="22"/>
            <w:szCs w:val="22"/>
          </w:rPr>
          <w:tab/>
        </w:r>
        <w:r w:rsidRPr="00CD0B56">
          <w:rPr>
            <w:rStyle w:val="Hyperlink"/>
            <w:noProof/>
          </w:rPr>
          <w:t>Part 1 Section 12.3.24, Worksheet Part</w:t>
        </w:r>
        <w:r>
          <w:rPr>
            <w:noProof/>
            <w:webHidden/>
          </w:rPr>
          <w:tab/>
        </w:r>
        <w:r>
          <w:rPr>
            <w:noProof/>
            <w:webHidden/>
          </w:rPr>
          <w:fldChar w:fldCharType="begin"/>
        </w:r>
        <w:r>
          <w:rPr>
            <w:noProof/>
            <w:webHidden/>
          </w:rPr>
          <w:instrText xml:space="preserve"> PAGEREF _Toc12260080 \h </w:instrText>
        </w:r>
        <w:r>
          <w:rPr>
            <w:noProof/>
            <w:webHidden/>
          </w:rPr>
        </w:r>
        <w:r>
          <w:rPr>
            <w:noProof/>
            <w:webHidden/>
          </w:rPr>
          <w:fldChar w:fldCharType="separate"/>
        </w:r>
        <w:r>
          <w:rPr>
            <w:noProof/>
            <w:webHidden/>
          </w:rPr>
          <w:t>48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081" w:history="1">
        <w:r w:rsidRPr="00CD0B56">
          <w:rPr>
            <w:rStyle w:val="Hyperlink"/>
            <w:noProof/>
          </w:rPr>
          <w:t>2.1.13</w:t>
        </w:r>
        <w:r>
          <w:rPr>
            <w:rFonts w:asciiTheme="minorHAnsi" w:eastAsiaTheme="minorEastAsia" w:hAnsiTheme="minorHAnsi" w:cstheme="minorBidi"/>
            <w:noProof/>
            <w:sz w:val="22"/>
            <w:szCs w:val="22"/>
          </w:rPr>
          <w:tab/>
        </w:r>
        <w:r w:rsidRPr="00CD0B56">
          <w:rPr>
            <w:rStyle w:val="Hyperlink"/>
            <w:noProof/>
          </w:rPr>
          <w:t>Part 1 Section 12.4, External Workbooks</w:t>
        </w:r>
        <w:r>
          <w:rPr>
            <w:noProof/>
            <w:webHidden/>
          </w:rPr>
          <w:tab/>
        </w:r>
        <w:r>
          <w:rPr>
            <w:noProof/>
            <w:webHidden/>
          </w:rPr>
          <w:fldChar w:fldCharType="begin"/>
        </w:r>
        <w:r>
          <w:rPr>
            <w:noProof/>
            <w:webHidden/>
          </w:rPr>
          <w:instrText xml:space="preserve"> PAGEREF _Toc12260081 \h </w:instrText>
        </w:r>
        <w:r>
          <w:rPr>
            <w:noProof/>
            <w:webHidden/>
          </w:rPr>
        </w:r>
        <w:r>
          <w:rPr>
            <w:noProof/>
            <w:webHidden/>
          </w:rPr>
          <w:fldChar w:fldCharType="separate"/>
        </w:r>
        <w:r>
          <w:rPr>
            <w:noProof/>
            <w:webHidden/>
          </w:rPr>
          <w:t>49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082" w:history="1">
        <w:r w:rsidRPr="00CD0B56">
          <w:rPr>
            <w:rStyle w:val="Hyperlink"/>
            <w:noProof/>
          </w:rPr>
          <w:t>2.1.14</w:t>
        </w:r>
        <w:r>
          <w:rPr>
            <w:rFonts w:asciiTheme="minorHAnsi" w:eastAsiaTheme="minorEastAsia" w:hAnsiTheme="minorHAnsi" w:cstheme="minorBidi"/>
            <w:noProof/>
            <w:sz w:val="22"/>
            <w:szCs w:val="22"/>
          </w:rPr>
          <w:tab/>
        </w:r>
        <w:r w:rsidRPr="00CD0B56">
          <w:rPr>
            <w:rStyle w:val="Hyperlink"/>
            <w:noProof/>
          </w:rPr>
          <w:t>Part 1 Section 13.3, Part Summary</w:t>
        </w:r>
        <w:r>
          <w:rPr>
            <w:noProof/>
            <w:webHidden/>
          </w:rPr>
          <w:tab/>
        </w:r>
        <w:r>
          <w:rPr>
            <w:noProof/>
            <w:webHidden/>
          </w:rPr>
          <w:fldChar w:fldCharType="begin"/>
        </w:r>
        <w:r>
          <w:rPr>
            <w:noProof/>
            <w:webHidden/>
          </w:rPr>
          <w:instrText xml:space="preserve"> PAGEREF _Toc12260082 \h </w:instrText>
        </w:r>
        <w:r>
          <w:rPr>
            <w:noProof/>
            <w:webHidden/>
          </w:rPr>
        </w:r>
        <w:r>
          <w:rPr>
            <w:noProof/>
            <w:webHidden/>
          </w:rPr>
          <w:fldChar w:fldCharType="separate"/>
        </w:r>
        <w:r>
          <w:rPr>
            <w:noProof/>
            <w:webHidden/>
          </w:rPr>
          <w:t>49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083" w:history="1">
        <w:r w:rsidRPr="00CD0B56">
          <w:rPr>
            <w:rStyle w:val="Hyperlink"/>
            <w:noProof/>
          </w:rPr>
          <w:t>2.1.15</w:t>
        </w:r>
        <w:r>
          <w:rPr>
            <w:rFonts w:asciiTheme="minorHAnsi" w:eastAsiaTheme="minorEastAsia" w:hAnsiTheme="minorHAnsi" w:cstheme="minorBidi"/>
            <w:noProof/>
            <w:sz w:val="22"/>
            <w:szCs w:val="22"/>
          </w:rPr>
          <w:tab/>
        </w:r>
        <w:r w:rsidRPr="00CD0B56">
          <w:rPr>
            <w:rStyle w:val="Hyperlink"/>
            <w:noProof/>
          </w:rPr>
          <w:t>Part 1 Section 13.3.3, Handout Master Part</w:t>
        </w:r>
        <w:r>
          <w:rPr>
            <w:noProof/>
            <w:webHidden/>
          </w:rPr>
          <w:tab/>
        </w:r>
        <w:r>
          <w:rPr>
            <w:noProof/>
            <w:webHidden/>
          </w:rPr>
          <w:fldChar w:fldCharType="begin"/>
        </w:r>
        <w:r>
          <w:rPr>
            <w:noProof/>
            <w:webHidden/>
          </w:rPr>
          <w:instrText xml:space="preserve"> PAGEREF _Toc12260083 \h </w:instrText>
        </w:r>
        <w:r>
          <w:rPr>
            <w:noProof/>
            <w:webHidden/>
          </w:rPr>
        </w:r>
        <w:r>
          <w:rPr>
            <w:noProof/>
            <w:webHidden/>
          </w:rPr>
          <w:fldChar w:fldCharType="separate"/>
        </w:r>
        <w:r>
          <w:rPr>
            <w:noProof/>
            <w:webHidden/>
          </w:rPr>
          <w:t>49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084" w:history="1">
        <w:r w:rsidRPr="00CD0B56">
          <w:rPr>
            <w:rStyle w:val="Hyperlink"/>
            <w:noProof/>
          </w:rPr>
          <w:t>2.1.16</w:t>
        </w:r>
        <w:r>
          <w:rPr>
            <w:rFonts w:asciiTheme="minorHAnsi" w:eastAsiaTheme="minorEastAsia" w:hAnsiTheme="minorHAnsi" w:cstheme="minorBidi"/>
            <w:noProof/>
            <w:sz w:val="22"/>
            <w:szCs w:val="22"/>
          </w:rPr>
          <w:tab/>
        </w:r>
        <w:r w:rsidRPr="00CD0B56">
          <w:rPr>
            <w:rStyle w:val="Hyperlink"/>
            <w:noProof/>
          </w:rPr>
          <w:t>Part 1 Section 13.3.4, Notes Master Part</w:t>
        </w:r>
        <w:r>
          <w:rPr>
            <w:noProof/>
            <w:webHidden/>
          </w:rPr>
          <w:tab/>
        </w:r>
        <w:r>
          <w:rPr>
            <w:noProof/>
            <w:webHidden/>
          </w:rPr>
          <w:fldChar w:fldCharType="begin"/>
        </w:r>
        <w:r>
          <w:rPr>
            <w:noProof/>
            <w:webHidden/>
          </w:rPr>
          <w:instrText xml:space="preserve"> PAGEREF _Toc12260084 \h </w:instrText>
        </w:r>
        <w:r>
          <w:rPr>
            <w:noProof/>
            <w:webHidden/>
          </w:rPr>
        </w:r>
        <w:r>
          <w:rPr>
            <w:noProof/>
            <w:webHidden/>
          </w:rPr>
          <w:fldChar w:fldCharType="separate"/>
        </w:r>
        <w:r>
          <w:rPr>
            <w:noProof/>
            <w:webHidden/>
          </w:rPr>
          <w:t>50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085" w:history="1">
        <w:r w:rsidRPr="00CD0B56">
          <w:rPr>
            <w:rStyle w:val="Hyperlink"/>
            <w:noProof/>
          </w:rPr>
          <w:t>2.1.17</w:t>
        </w:r>
        <w:r>
          <w:rPr>
            <w:rFonts w:asciiTheme="minorHAnsi" w:eastAsiaTheme="minorEastAsia" w:hAnsiTheme="minorHAnsi" w:cstheme="minorBidi"/>
            <w:noProof/>
            <w:sz w:val="22"/>
            <w:szCs w:val="22"/>
          </w:rPr>
          <w:tab/>
        </w:r>
        <w:r w:rsidRPr="00CD0B56">
          <w:rPr>
            <w:rStyle w:val="Hyperlink"/>
            <w:noProof/>
          </w:rPr>
          <w:t>Part 1 Section 13.3.5, Notes Slide Part</w:t>
        </w:r>
        <w:r>
          <w:rPr>
            <w:noProof/>
            <w:webHidden/>
          </w:rPr>
          <w:tab/>
        </w:r>
        <w:r>
          <w:rPr>
            <w:noProof/>
            <w:webHidden/>
          </w:rPr>
          <w:fldChar w:fldCharType="begin"/>
        </w:r>
        <w:r>
          <w:rPr>
            <w:noProof/>
            <w:webHidden/>
          </w:rPr>
          <w:instrText xml:space="preserve"> PAGEREF _Toc12260085 \h </w:instrText>
        </w:r>
        <w:r>
          <w:rPr>
            <w:noProof/>
            <w:webHidden/>
          </w:rPr>
        </w:r>
        <w:r>
          <w:rPr>
            <w:noProof/>
            <w:webHidden/>
          </w:rPr>
          <w:fldChar w:fldCharType="separate"/>
        </w:r>
        <w:r>
          <w:rPr>
            <w:noProof/>
            <w:webHidden/>
          </w:rPr>
          <w:t>51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086" w:history="1">
        <w:r w:rsidRPr="00CD0B56">
          <w:rPr>
            <w:rStyle w:val="Hyperlink"/>
            <w:noProof/>
          </w:rPr>
          <w:t>2.1.18</w:t>
        </w:r>
        <w:r>
          <w:rPr>
            <w:rFonts w:asciiTheme="minorHAnsi" w:eastAsiaTheme="minorEastAsia" w:hAnsiTheme="minorHAnsi" w:cstheme="minorBidi"/>
            <w:noProof/>
            <w:sz w:val="22"/>
            <w:szCs w:val="22"/>
          </w:rPr>
          <w:tab/>
        </w:r>
        <w:r w:rsidRPr="00CD0B56">
          <w:rPr>
            <w:rStyle w:val="Hyperlink"/>
            <w:noProof/>
          </w:rPr>
          <w:t>Part 1 Section 13.3.6, Presentation Part</w:t>
        </w:r>
        <w:r>
          <w:rPr>
            <w:noProof/>
            <w:webHidden/>
          </w:rPr>
          <w:tab/>
        </w:r>
        <w:r>
          <w:rPr>
            <w:noProof/>
            <w:webHidden/>
          </w:rPr>
          <w:fldChar w:fldCharType="begin"/>
        </w:r>
        <w:r>
          <w:rPr>
            <w:noProof/>
            <w:webHidden/>
          </w:rPr>
          <w:instrText xml:space="preserve"> PAGEREF _Toc12260086 \h </w:instrText>
        </w:r>
        <w:r>
          <w:rPr>
            <w:noProof/>
            <w:webHidden/>
          </w:rPr>
        </w:r>
        <w:r>
          <w:rPr>
            <w:noProof/>
            <w:webHidden/>
          </w:rPr>
          <w:fldChar w:fldCharType="separate"/>
        </w:r>
        <w:r>
          <w:rPr>
            <w:noProof/>
            <w:webHidden/>
          </w:rPr>
          <w:t>52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087" w:history="1">
        <w:r w:rsidRPr="00CD0B56">
          <w:rPr>
            <w:rStyle w:val="Hyperlink"/>
            <w:noProof/>
          </w:rPr>
          <w:t>2.1.19</w:t>
        </w:r>
        <w:r>
          <w:rPr>
            <w:rFonts w:asciiTheme="minorHAnsi" w:eastAsiaTheme="minorEastAsia" w:hAnsiTheme="minorHAnsi" w:cstheme="minorBidi"/>
            <w:noProof/>
            <w:sz w:val="22"/>
            <w:szCs w:val="22"/>
          </w:rPr>
          <w:tab/>
        </w:r>
        <w:r w:rsidRPr="00CD0B56">
          <w:rPr>
            <w:rStyle w:val="Hyperlink"/>
            <w:noProof/>
          </w:rPr>
          <w:t>Part 1 Section 13.3.7, Presentation Properties Part</w:t>
        </w:r>
        <w:r>
          <w:rPr>
            <w:noProof/>
            <w:webHidden/>
          </w:rPr>
          <w:tab/>
        </w:r>
        <w:r>
          <w:rPr>
            <w:noProof/>
            <w:webHidden/>
          </w:rPr>
          <w:fldChar w:fldCharType="begin"/>
        </w:r>
        <w:r>
          <w:rPr>
            <w:noProof/>
            <w:webHidden/>
          </w:rPr>
          <w:instrText xml:space="preserve"> PAGEREF _Toc12260087 \h </w:instrText>
        </w:r>
        <w:r>
          <w:rPr>
            <w:noProof/>
            <w:webHidden/>
          </w:rPr>
        </w:r>
        <w:r>
          <w:rPr>
            <w:noProof/>
            <w:webHidden/>
          </w:rPr>
          <w:fldChar w:fldCharType="separate"/>
        </w:r>
        <w:r>
          <w:rPr>
            <w:noProof/>
            <w:webHidden/>
          </w:rPr>
          <w:t>52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088" w:history="1">
        <w:r w:rsidRPr="00CD0B56">
          <w:rPr>
            <w:rStyle w:val="Hyperlink"/>
            <w:noProof/>
          </w:rPr>
          <w:t>2.1.20</w:t>
        </w:r>
        <w:r>
          <w:rPr>
            <w:rFonts w:asciiTheme="minorHAnsi" w:eastAsiaTheme="minorEastAsia" w:hAnsiTheme="minorHAnsi" w:cstheme="minorBidi"/>
            <w:noProof/>
            <w:sz w:val="22"/>
            <w:szCs w:val="22"/>
          </w:rPr>
          <w:tab/>
        </w:r>
        <w:r w:rsidRPr="00CD0B56">
          <w:rPr>
            <w:rStyle w:val="Hyperlink"/>
            <w:noProof/>
          </w:rPr>
          <w:t>Part 1 Section 13.3.8, Slide Part</w:t>
        </w:r>
        <w:r>
          <w:rPr>
            <w:noProof/>
            <w:webHidden/>
          </w:rPr>
          <w:tab/>
        </w:r>
        <w:r>
          <w:rPr>
            <w:noProof/>
            <w:webHidden/>
          </w:rPr>
          <w:fldChar w:fldCharType="begin"/>
        </w:r>
        <w:r>
          <w:rPr>
            <w:noProof/>
            <w:webHidden/>
          </w:rPr>
          <w:instrText xml:space="preserve"> PAGEREF _Toc12260088 \h </w:instrText>
        </w:r>
        <w:r>
          <w:rPr>
            <w:noProof/>
            <w:webHidden/>
          </w:rPr>
        </w:r>
        <w:r>
          <w:rPr>
            <w:noProof/>
            <w:webHidden/>
          </w:rPr>
          <w:fldChar w:fldCharType="separate"/>
        </w:r>
        <w:r>
          <w:rPr>
            <w:noProof/>
            <w:webHidden/>
          </w:rPr>
          <w:t>52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089" w:history="1">
        <w:r w:rsidRPr="00CD0B56">
          <w:rPr>
            <w:rStyle w:val="Hyperlink"/>
            <w:noProof/>
          </w:rPr>
          <w:t>2.1.21</w:t>
        </w:r>
        <w:r>
          <w:rPr>
            <w:rFonts w:asciiTheme="minorHAnsi" w:eastAsiaTheme="minorEastAsia" w:hAnsiTheme="minorHAnsi" w:cstheme="minorBidi"/>
            <w:noProof/>
            <w:sz w:val="22"/>
            <w:szCs w:val="22"/>
          </w:rPr>
          <w:tab/>
        </w:r>
        <w:r w:rsidRPr="00CD0B56">
          <w:rPr>
            <w:rStyle w:val="Hyperlink"/>
            <w:noProof/>
          </w:rPr>
          <w:t>Part 1 Section 13.3.9, Slide Layout Part</w:t>
        </w:r>
        <w:r>
          <w:rPr>
            <w:noProof/>
            <w:webHidden/>
          </w:rPr>
          <w:tab/>
        </w:r>
        <w:r>
          <w:rPr>
            <w:noProof/>
            <w:webHidden/>
          </w:rPr>
          <w:fldChar w:fldCharType="begin"/>
        </w:r>
        <w:r>
          <w:rPr>
            <w:noProof/>
            <w:webHidden/>
          </w:rPr>
          <w:instrText xml:space="preserve"> PAGEREF _Toc12260089 \h </w:instrText>
        </w:r>
        <w:r>
          <w:rPr>
            <w:noProof/>
            <w:webHidden/>
          </w:rPr>
        </w:r>
        <w:r>
          <w:rPr>
            <w:noProof/>
            <w:webHidden/>
          </w:rPr>
          <w:fldChar w:fldCharType="separate"/>
        </w:r>
        <w:r>
          <w:rPr>
            <w:noProof/>
            <w:webHidden/>
          </w:rPr>
          <w:t>53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090" w:history="1">
        <w:r w:rsidRPr="00CD0B56">
          <w:rPr>
            <w:rStyle w:val="Hyperlink"/>
            <w:noProof/>
          </w:rPr>
          <w:t>2.1.22</w:t>
        </w:r>
        <w:r>
          <w:rPr>
            <w:rFonts w:asciiTheme="minorHAnsi" w:eastAsiaTheme="minorEastAsia" w:hAnsiTheme="minorHAnsi" w:cstheme="minorBidi"/>
            <w:noProof/>
            <w:sz w:val="22"/>
            <w:szCs w:val="22"/>
          </w:rPr>
          <w:tab/>
        </w:r>
        <w:r w:rsidRPr="00CD0B56">
          <w:rPr>
            <w:rStyle w:val="Hyperlink"/>
            <w:noProof/>
          </w:rPr>
          <w:t>Part 1 Section 13.3.10, Slide Master Part</w:t>
        </w:r>
        <w:r>
          <w:rPr>
            <w:noProof/>
            <w:webHidden/>
          </w:rPr>
          <w:tab/>
        </w:r>
        <w:r>
          <w:rPr>
            <w:noProof/>
            <w:webHidden/>
          </w:rPr>
          <w:fldChar w:fldCharType="begin"/>
        </w:r>
        <w:r>
          <w:rPr>
            <w:noProof/>
            <w:webHidden/>
          </w:rPr>
          <w:instrText xml:space="preserve"> PAGEREF _Toc12260090 \h </w:instrText>
        </w:r>
        <w:r>
          <w:rPr>
            <w:noProof/>
            <w:webHidden/>
          </w:rPr>
        </w:r>
        <w:r>
          <w:rPr>
            <w:noProof/>
            <w:webHidden/>
          </w:rPr>
          <w:fldChar w:fldCharType="separate"/>
        </w:r>
        <w:r>
          <w:rPr>
            <w:noProof/>
            <w:webHidden/>
          </w:rPr>
          <w:t>53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091" w:history="1">
        <w:r w:rsidRPr="00CD0B56">
          <w:rPr>
            <w:rStyle w:val="Hyperlink"/>
            <w:noProof/>
          </w:rPr>
          <w:t>2.1.23</w:t>
        </w:r>
        <w:r>
          <w:rPr>
            <w:rFonts w:asciiTheme="minorHAnsi" w:eastAsiaTheme="minorEastAsia" w:hAnsiTheme="minorHAnsi" w:cstheme="minorBidi"/>
            <w:noProof/>
            <w:sz w:val="22"/>
            <w:szCs w:val="22"/>
          </w:rPr>
          <w:tab/>
        </w:r>
        <w:r w:rsidRPr="00CD0B56">
          <w:rPr>
            <w:rStyle w:val="Hyperlink"/>
            <w:noProof/>
          </w:rPr>
          <w:t>Part 1 Section 14.2.1, Chart Part</w:t>
        </w:r>
        <w:r>
          <w:rPr>
            <w:noProof/>
            <w:webHidden/>
          </w:rPr>
          <w:tab/>
        </w:r>
        <w:r>
          <w:rPr>
            <w:noProof/>
            <w:webHidden/>
          </w:rPr>
          <w:fldChar w:fldCharType="begin"/>
        </w:r>
        <w:r>
          <w:rPr>
            <w:noProof/>
            <w:webHidden/>
          </w:rPr>
          <w:instrText xml:space="preserve"> PAGEREF _Toc12260091 \h </w:instrText>
        </w:r>
        <w:r>
          <w:rPr>
            <w:noProof/>
            <w:webHidden/>
          </w:rPr>
        </w:r>
        <w:r>
          <w:rPr>
            <w:noProof/>
            <w:webHidden/>
          </w:rPr>
          <w:fldChar w:fldCharType="separate"/>
        </w:r>
        <w:r>
          <w:rPr>
            <w:noProof/>
            <w:webHidden/>
          </w:rPr>
          <w:t>54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092" w:history="1">
        <w:r w:rsidRPr="00CD0B56">
          <w:rPr>
            <w:rStyle w:val="Hyperlink"/>
            <w:noProof/>
          </w:rPr>
          <w:t>2.1.24</w:t>
        </w:r>
        <w:r>
          <w:rPr>
            <w:rFonts w:asciiTheme="minorHAnsi" w:eastAsiaTheme="minorEastAsia" w:hAnsiTheme="minorHAnsi" w:cstheme="minorBidi"/>
            <w:noProof/>
            <w:sz w:val="22"/>
            <w:szCs w:val="22"/>
          </w:rPr>
          <w:tab/>
        </w:r>
        <w:r w:rsidRPr="00CD0B56">
          <w:rPr>
            <w:rStyle w:val="Hyperlink"/>
            <w:noProof/>
          </w:rPr>
          <w:t>Part 1 Section 14.2.2, Chart Drawing Part</w:t>
        </w:r>
        <w:r>
          <w:rPr>
            <w:noProof/>
            <w:webHidden/>
          </w:rPr>
          <w:tab/>
        </w:r>
        <w:r>
          <w:rPr>
            <w:noProof/>
            <w:webHidden/>
          </w:rPr>
          <w:fldChar w:fldCharType="begin"/>
        </w:r>
        <w:r>
          <w:rPr>
            <w:noProof/>
            <w:webHidden/>
          </w:rPr>
          <w:instrText xml:space="preserve"> PAGEREF _Toc12260092 \h </w:instrText>
        </w:r>
        <w:r>
          <w:rPr>
            <w:noProof/>
            <w:webHidden/>
          </w:rPr>
        </w:r>
        <w:r>
          <w:rPr>
            <w:noProof/>
            <w:webHidden/>
          </w:rPr>
          <w:fldChar w:fldCharType="separate"/>
        </w:r>
        <w:r>
          <w:rPr>
            <w:noProof/>
            <w:webHidden/>
          </w:rPr>
          <w:t>54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093" w:history="1">
        <w:r w:rsidRPr="00CD0B56">
          <w:rPr>
            <w:rStyle w:val="Hyperlink"/>
            <w:noProof/>
          </w:rPr>
          <w:t>2.1.25</w:t>
        </w:r>
        <w:r>
          <w:rPr>
            <w:rFonts w:asciiTheme="minorHAnsi" w:eastAsiaTheme="minorEastAsia" w:hAnsiTheme="minorHAnsi" w:cstheme="minorBidi"/>
            <w:noProof/>
            <w:sz w:val="22"/>
            <w:szCs w:val="22"/>
          </w:rPr>
          <w:tab/>
        </w:r>
        <w:r w:rsidRPr="00CD0B56">
          <w:rPr>
            <w:rStyle w:val="Hyperlink"/>
            <w:noProof/>
          </w:rPr>
          <w:t>Part 1 Section 14.2.3, Diagram Colors Part</w:t>
        </w:r>
        <w:r>
          <w:rPr>
            <w:noProof/>
            <w:webHidden/>
          </w:rPr>
          <w:tab/>
        </w:r>
        <w:r>
          <w:rPr>
            <w:noProof/>
            <w:webHidden/>
          </w:rPr>
          <w:fldChar w:fldCharType="begin"/>
        </w:r>
        <w:r>
          <w:rPr>
            <w:noProof/>
            <w:webHidden/>
          </w:rPr>
          <w:instrText xml:space="preserve"> PAGEREF _Toc12260093 \h </w:instrText>
        </w:r>
        <w:r>
          <w:rPr>
            <w:noProof/>
            <w:webHidden/>
          </w:rPr>
        </w:r>
        <w:r>
          <w:rPr>
            <w:noProof/>
            <w:webHidden/>
          </w:rPr>
          <w:fldChar w:fldCharType="separate"/>
        </w:r>
        <w:r>
          <w:rPr>
            <w:noProof/>
            <w:webHidden/>
          </w:rPr>
          <w:t>54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094" w:history="1">
        <w:r w:rsidRPr="00CD0B56">
          <w:rPr>
            <w:rStyle w:val="Hyperlink"/>
            <w:noProof/>
          </w:rPr>
          <w:t>2.1.26</w:t>
        </w:r>
        <w:r>
          <w:rPr>
            <w:rFonts w:asciiTheme="minorHAnsi" w:eastAsiaTheme="minorEastAsia" w:hAnsiTheme="minorHAnsi" w:cstheme="minorBidi"/>
            <w:noProof/>
            <w:sz w:val="22"/>
            <w:szCs w:val="22"/>
          </w:rPr>
          <w:tab/>
        </w:r>
        <w:r w:rsidRPr="00CD0B56">
          <w:rPr>
            <w:rStyle w:val="Hyperlink"/>
            <w:noProof/>
          </w:rPr>
          <w:t>Part 1 Section 14.2.4, Diagram Data Part</w:t>
        </w:r>
        <w:r>
          <w:rPr>
            <w:noProof/>
            <w:webHidden/>
          </w:rPr>
          <w:tab/>
        </w:r>
        <w:r>
          <w:rPr>
            <w:noProof/>
            <w:webHidden/>
          </w:rPr>
          <w:fldChar w:fldCharType="begin"/>
        </w:r>
        <w:r>
          <w:rPr>
            <w:noProof/>
            <w:webHidden/>
          </w:rPr>
          <w:instrText xml:space="preserve"> PAGEREF _Toc12260094 \h </w:instrText>
        </w:r>
        <w:r>
          <w:rPr>
            <w:noProof/>
            <w:webHidden/>
          </w:rPr>
        </w:r>
        <w:r>
          <w:rPr>
            <w:noProof/>
            <w:webHidden/>
          </w:rPr>
          <w:fldChar w:fldCharType="separate"/>
        </w:r>
        <w:r>
          <w:rPr>
            <w:noProof/>
            <w:webHidden/>
          </w:rPr>
          <w:t>55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095" w:history="1">
        <w:r w:rsidRPr="00CD0B56">
          <w:rPr>
            <w:rStyle w:val="Hyperlink"/>
            <w:noProof/>
          </w:rPr>
          <w:t>2.1.27</w:t>
        </w:r>
        <w:r>
          <w:rPr>
            <w:rFonts w:asciiTheme="minorHAnsi" w:eastAsiaTheme="minorEastAsia" w:hAnsiTheme="minorHAnsi" w:cstheme="minorBidi"/>
            <w:noProof/>
            <w:sz w:val="22"/>
            <w:szCs w:val="22"/>
          </w:rPr>
          <w:tab/>
        </w:r>
        <w:r w:rsidRPr="00CD0B56">
          <w:rPr>
            <w:rStyle w:val="Hyperlink"/>
            <w:noProof/>
          </w:rPr>
          <w:t>Part 1 Section 15.2, Part Summary</w:t>
        </w:r>
        <w:r>
          <w:rPr>
            <w:noProof/>
            <w:webHidden/>
          </w:rPr>
          <w:tab/>
        </w:r>
        <w:r>
          <w:rPr>
            <w:noProof/>
            <w:webHidden/>
          </w:rPr>
          <w:fldChar w:fldCharType="begin"/>
        </w:r>
        <w:r>
          <w:rPr>
            <w:noProof/>
            <w:webHidden/>
          </w:rPr>
          <w:instrText xml:space="preserve"> PAGEREF _Toc12260095 \h </w:instrText>
        </w:r>
        <w:r>
          <w:rPr>
            <w:noProof/>
            <w:webHidden/>
          </w:rPr>
        </w:r>
        <w:r>
          <w:rPr>
            <w:noProof/>
            <w:webHidden/>
          </w:rPr>
          <w:fldChar w:fldCharType="separate"/>
        </w:r>
        <w:r>
          <w:rPr>
            <w:noProof/>
            <w:webHidden/>
          </w:rPr>
          <w:t>55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096" w:history="1">
        <w:r w:rsidRPr="00CD0B56">
          <w:rPr>
            <w:rStyle w:val="Hyperlink"/>
            <w:noProof/>
          </w:rPr>
          <w:t>2.1.28</w:t>
        </w:r>
        <w:r>
          <w:rPr>
            <w:rFonts w:asciiTheme="minorHAnsi" w:eastAsiaTheme="minorEastAsia" w:hAnsiTheme="minorHAnsi" w:cstheme="minorBidi"/>
            <w:noProof/>
            <w:sz w:val="22"/>
            <w:szCs w:val="22"/>
          </w:rPr>
          <w:tab/>
        </w:r>
        <w:r w:rsidRPr="00CD0B56">
          <w:rPr>
            <w:rStyle w:val="Hyperlink"/>
            <w:noProof/>
          </w:rPr>
          <w:t>Part 1 Section 15.2.5, Custom XML Data Storage Part</w:t>
        </w:r>
        <w:r>
          <w:rPr>
            <w:noProof/>
            <w:webHidden/>
          </w:rPr>
          <w:tab/>
        </w:r>
        <w:r>
          <w:rPr>
            <w:noProof/>
            <w:webHidden/>
          </w:rPr>
          <w:fldChar w:fldCharType="begin"/>
        </w:r>
        <w:r>
          <w:rPr>
            <w:noProof/>
            <w:webHidden/>
          </w:rPr>
          <w:instrText xml:space="preserve"> PAGEREF _Toc12260096 \h </w:instrText>
        </w:r>
        <w:r>
          <w:rPr>
            <w:noProof/>
            <w:webHidden/>
          </w:rPr>
        </w:r>
        <w:r>
          <w:rPr>
            <w:noProof/>
            <w:webHidden/>
          </w:rPr>
          <w:fldChar w:fldCharType="separate"/>
        </w:r>
        <w:r>
          <w:rPr>
            <w:noProof/>
            <w:webHidden/>
          </w:rPr>
          <w:t>55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097" w:history="1">
        <w:r w:rsidRPr="00CD0B56">
          <w:rPr>
            <w:rStyle w:val="Hyperlink"/>
            <w:noProof/>
          </w:rPr>
          <w:t>2.1.29</w:t>
        </w:r>
        <w:r>
          <w:rPr>
            <w:rFonts w:asciiTheme="minorHAnsi" w:eastAsiaTheme="minorEastAsia" w:hAnsiTheme="minorHAnsi" w:cstheme="minorBidi"/>
            <w:noProof/>
            <w:sz w:val="22"/>
            <w:szCs w:val="22"/>
          </w:rPr>
          <w:tab/>
        </w:r>
        <w:r w:rsidRPr="00CD0B56">
          <w:rPr>
            <w:rStyle w:val="Hyperlink"/>
            <w:noProof/>
          </w:rPr>
          <w:t>Part 1 Section 15.2.9, Embedded Control Persistence Part</w:t>
        </w:r>
        <w:r>
          <w:rPr>
            <w:noProof/>
            <w:webHidden/>
          </w:rPr>
          <w:tab/>
        </w:r>
        <w:r>
          <w:rPr>
            <w:noProof/>
            <w:webHidden/>
          </w:rPr>
          <w:fldChar w:fldCharType="begin"/>
        </w:r>
        <w:r>
          <w:rPr>
            <w:noProof/>
            <w:webHidden/>
          </w:rPr>
          <w:instrText xml:space="preserve"> PAGEREF _Toc12260097 \h </w:instrText>
        </w:r>
        <w:r>
          <w:rPr>
            <w:noProof/>
            <w:webHidden/>
          </w:rPr>
        </w:r>
        <w:r>
          <w:rPr>
            <w:noProof/>
            <w:webHidden/>
          </w:rPr>
          <w:fldChar w:fldCharType="separate"/>
        </w:r>
        <w:r>
          <w:rPr>
            <w:noProof/>
            <w:webHidden/>
          </w:rPr>
          <w:t>56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098" w:history="1">
        <w:r w:rsidRPr="00CD0B56">
          <w:rPr>
            <w:rStyle w:val="Hyperlink"/>
            <w:noProof/>
          </w:rPr>
          <w:t>2.1.30</w:t>
        </w:r>
        <w:r>
          <w:rPr>
            <w:rFonts w:asciiTheme="minorHAnsi" w:eastAsiaTheme="minorEastAsia" w:hAnsiTheme="minorHAnsi" w:cstheme="minorBidi"/>
            <w:noProof/>
            <w:sz w:val="22"/>
            <w:szCs w:val="22"/>
          </w:rPr>
          <w:tab/>
        </w:r>
        <w:r w:rsidRPr="00CD0B56">
          <w:rPr>
            <w:rStyle w:val="Hyperlink"/>
            <w:noProof/>
          </w:rPr>
          <w:t>Part 1 Section 15.2.12.1, Core File Properties Part</w:t>
        </w:r>
        <w:r>
          <w:rPr>
            <w:noProof/>
            <w:webHidden/>
          </w:rPr>
          <w:tab/>
        </w:r>
        <w:r>
          <w:rPr>
            <w:noProof/>
            <w:webHidden/>
          </w:rPr>
          <w:fldChar w:fldCharType="begin"/>
        </w:r>
        <w:r>
          <w:rPr>
            <w:noProof/>
            <w:webHidden/>
          </w:rPr>
          <w:instrText xml:space="preserve"> PAGEREF _Toc12260098 \h </w:instrText>
        </w:r>
        <w:r>
          <w:rPr>
            <w:noProof/>
            <w:webHidden/>
          </w:rPr>
        </w:r>
        <w:r>
          <w:rPr>
            <w:noProof/>
            <w:webHidden/>
          </w:rPr>
          <w:fldChar w:fldCharType="separate"/>
        </w:r>
        <w:r>
          <w:rPr>
            <w:noProof/>
            <w:webHidden/>
          </w:rPr>
          <w:t>56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099" w:history="1">
        <w:r w:rsidRPr="00CD0B56">
          <w:rPr>
            <w:rStyle w:val="Hyperlink"/>
            <w:noProof/>
          </w:rPr>
          <w:t>2.1.31</w:t>
        </w:r>
        <w:r>
          <w:rPr>
            <w:rFonts w:asciiTheme="minorHAnsi" w:eastAsiaTheme="minorEastAsia" w:hAnsiTheme="minorHAnsi" w:cstheme="minorBidi"/>
            <w:noProof/>
            <w:sz w:val="22"/>
            <w:szCs w:val="22"/>
          </w:rPr>
          <w:tab/>
        </w:r>
        <w:r w:rsidRPr="00CD0B56">
          <w:rPr>
            <w:rStyle w:val="Hyperlink"/>
            <w:noProof/>
          </w:rPr>
          <w:t>Part 1 Section 15.2.12.2, Custom File Properties Part</w:t>
        </w:r>
        <w:r>
          <w:rPr>
            <w:noProof/>
            <w:webHidden/>
          </w:rPr>
          <w:tab/>
        </w:r>
        <w:r>
          <w:rPr>
            <w:noProof/>
            <w:webHidden/>
          </w:rPr>
          <w:fldChar w:fldCharType="begin"/>
        </w:r>
        <w:r>
          <w:rPr>
            <w:noProof/>
            <w:webHidden/>
          </w:rPr>
          <w:instrText xml:space="preserve"> PAGEREF _Toc12260099 \h </w:instrText>
        </w:r>
        <w:r>
          <w:rPr>
            <w:noProof/>
            <w:webHidden/>
          </w:rPr>
        </w:r>
        <w:r>
          <w:rPr>
            <w:noProof/>
            <w:webHidden/>
          </w:rPr>
          <w:fldChar w:fldCharType="separate"/>
        </w:r>
        <w:r>
          <w:rPr>
            <w:noProof/>
            <w:webHidden/>
          </w:rPr>
          <w:t>56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00" w:history="1">
        <w:r w:rsidRPr="00CD0B56">
          <w:rPr>
            <w:rStyle w:val="Hyperlink"/>
            <w:noProof/>
          </w:rPr>
          <w:t>2.1.32</w:t>
        </w:r>
        <w:r>
          <w:rPr>
            <w:rFonts w:asciiTheme="minorHAnsi" w:eastAsiaTheme="minorEastAsia" w:hAnsiTheme="minorHAnsi" w:cstheme="minorBidi"/>
            <w:noProof/>
            <w:sz w:val="22"/>
            <w:szCs w:val="22"/>
          </w:rPr>
          <w:tab/>
        </w:r>
        <w:r w:rsidRPr="00CD0B56">
          <w:rPr>
            <w:rStyle w:val="Hyperlink"/>
            <w:noProof/>
          </w:rPr>
          <w:t>Part 1 Section 15.2.13, Font Part</w:t>
        </w:r>
        <w:r>
          <w:rPr>
            <w:noProof/>
            <w:webHidden/>
          </w:rPr>
          <w:tab/>
        </w:r>
        <w:r>
          <w:rPr>
            <w:noProof/>
            <w:webHidden/>
          </w:rPr>
          <w:fldChar w:fldCharType="begin"/>
        </w:r>
        <w:r>
          <w:rPr>
            <w:noProof/>
            <w:webHidden/>
          </w:rPr>
          <w:instrText xml:space="preserve"> PAGEREF _Toc12260100 \h </w:instrText>
        </w:r>
        <w:r>
          <w:rPr>
            <w:noProof/>
            <w:webHidden/>
          </w:rPr>
        </w:r>
        <w:r>
          <w:rPr>
            <w:noProof/>
            <w:webHidden/>
          </w:rPr>
          <w:fldChar w:fldCharType="separate"/>
        </w:r>
        <w:r>
          <w:rPr>
            <w:noProof/>
            <w:webHidden/>
          </w:rPr>
          <w:t>61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01" w:history="1">
        <w:r w:rsidRPr="00CD0B56">
          <w:rPr>
            <w:rStyle w:val="Hyperlink"/>
            <w:noProof/>
          </w:rPr>
          <w:t>2.1.33</w:t>
        </w:r>
        <w:r>
          <w:rPr>
            <w:rFonts w:asciiTheme="minorHAnsi" w:eastAsiaTheme="minorEastAsia" w:hAnsiTheme="minorHAnsi" w:cstheme="minorBidi"/>
            <w:noProof/>
            <w:sz w:val="22"/>
            <w:szCs w:val="22"/>
          </w:rPr>
          <w:tab/>
        </w:r>
        <w:r w:rsidRPr="00CD0B56">
          <w:rPr>
            <w:rStyle w:val="Hyperlink"/>
            <w:noProof/>
          </w:rPr>
          <w:t>Part 1 Section 15.2.14, Image Part</w:t>
        </w:r>
        <w:r>
          <w:rPr>
            <w:noProof/>
            <w:webHidden/>
          </w:rPr>
          <w:tab/>
        </w:r>
        <w:r>
          <w:rPr>
            <w:noProof/>
            <w:webHidden/>
          </w:rPr>
          <w:fldChar w:fldCharType="begin"/>
        </w:r>
        <w:r>
          <w:rPr>
            <w:noProof/>
            <w:webHidden/>
          </w:rPr>
          <w:instrText xml:space="preserve"> PAGEREF _Toc12260101 \h </w:instrText>
        </w:r>
        <w:r>
          <w:rPr>
            <w:noProof/>
            <w:webHidden/>
          </w:rPr>
        </w:r>
        <w:r>
          <w:rPr>
            <w:noProof/>
            <w:webHidden/>
          </w:rPr>
          <w:fldChar w:fldCharType="separate"/>
        </w:r>
        <w:r>
          <w:rPr>
            <w:noProof/>
            <w:webHidden/>
          </w:rPr>
          <w:t>61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02" w:history="1">
        <w:r w:rsidRPr="00CD0B56">
          <w:rPr>
            <w:rStyle w:val="Hyperlink"/>
            <w:noProof/>
          </w:rPr>
          <w:t>2.1.34</w:t>
        </w:r>
        <w:r>
          <w:rPr>
            <w:rFonts w:asciiTheme="minorHAnsi" w:eastAsiaTheme="minorEastAsia" w:hAnsiTheme="minorHAnsi" w:cstheme="minorBidi"/>
            <w:noProof/>
            <w:sz w:val="22"/>
            <w:szCs w:val="22"/>
          </w:rPr>
          <w:tab/>
        </w:r>
        <w:r w:rsidRPr="00CD0B56">
          <w:rPr>
            <w:rStyle w:val="Hyperlink"/>
            <w:noProof/>
          </w:rPr>
          <w:t>Part 1 Section 15.2.15, Printer Settings Part</w:t>
        </w:r>
        <w:r>
          <w:rPr>
            <w:noProof/>
            <w:webHidden/>
          </w:rPr>
          <w:tab/>
        </w:r>
        <w:r>
          <w:rPr>
            <w:noProof/>
            <w:webHidden/>
          </w:rPr>
          <w:fldChar w:fldCharType="begin"/>
        </w:r>
        <w:r>
          <w:rPr>
            <w:noProof/>
            <w:webHidden/>
          </w:rPr>
          <w:instrText xml:space="preserve"> PAGEREF _Toc12260102 \h </w:instrText>
        </w:r>
        <w:r>
          <w:rPr>
            <w:noProof/>
            <w:webHidden/>
          </w:rPr>
        </w:r>
        <w:r>
          <w:rPr>
            <w:noProof/>
            <w:webHidden/>
          </w:rPr>
          <w:fldChar w:fldCharType="separate"/>
        </w:r>
        <w:r>
          <w:rPr>
            <w:noProof/>
            <w:webHidden/>
          </w:rPr>
          <w:t>62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03" w:history="1">
        <w:r w:rsidRPr="00CD0B56">
          <w:rPr>
            <w:rStyle w:val="Hyperlink"/>
            <w:noProof/>
          </w:rPr>
          <w:t>2.1.35</w:t>
        </w:r>
        <w:r>
          <w:rPr>
            <w:rFonts w:asciiTheme="minorHAnsi" w:eastAsiaTheme="minorEastAsia" w:hAnsiTheme="minorHAnsi" w:cstheme="minorBidi"/>
            <w:noProof/>
            <w:sz w:val="22"/>
            <w:szCs w:val="22"/>
          </w:rPr>
          <w:tab/>
        </w:r>
        <w:r w:rsidRPr="00CD0B56">
          <w:rPr>
            <w:rStyle w:val="Hyperlink"/>
            <w:noProof/>
          </w:rPr>
          <w:t>Part 1 Section 17.2.1, background (Document Background)</w:t>
        </w:r>
        <w:r>
          <w:rPr>
            <w:noProof/>
            <w:webHidden/>
          </w:rPr>
          <w:tab/>
        </w:r>
        <w:r>
          <w:rPr>
            <w:noProof/>
            <w:webHidden/>
          </w:rPr>
          <w:fldChar w:fldCharType="begin"/>
        </w:r>
        <w:r>
          <w:rPr>
            <w:noProof/>
            <w:webHidden/>
          </w:rPr>
          <w:instrText xml:space="preserve"> PAGEREF _Toc12260103 \h </w:instrText>
        </w:r>
        <w:r>
          <w:rPr>
            <w:noProof/>
            <w:webHidden/>
          </w:rPr>
        </w:r>
        <w:r>
          <w:rPr>
            <w:noProof/>
            <w:webHidden/>
          </w:rPr>
          <w:fldChar w:fldCharType="separate"/>
        </w:r>
        <w:r>
          <w:rPr>
            <w:noProof/>
            <w:webHidden/>
          </w:rPr>
          <w:t>62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04" w:history="1">
        <w:r w:rsidRPr="00CD0B56">
          <w:rPr>
            <w:rStyle w:val="Hyperlink"/>
            <w:noProof/>
          </w:rPr>
          <w:t>2.1.36</w:t>
        </w:r>
        <w:r>
          <w:rPr>
            <w:rFonts w:asciiTheme="minorHAnsi" w:eastAsiaTheme="minorEastAsia" w:hAnsiTheme="minorHAnsi" w:cstheme="minorBidi"/>
            <w:noProof/>
            <w:sz w:val="22"/>
            <w:szCs w:val="22"/>
          </w:rPr>
          <w:tab/>
        </w:r>
        <w:r w:rsidRPr="00CD0B56">
          <w:rPr>
            <w:rStyle w:val="Hyperlink"/>
            <w:noProof/>
          </w:rPr>
          <w:t>Part 1 Section 17.2.2, body (Document Body)</w:t>
        </w:r>
        <w:r>
          <w:rPr>
            <w:noProof/>
            <w:webHidden/>
          </w:rPr>
          <w:tab/>
        </w:r>
        <w:r>
          <w:rPr>
            <w:noProof/>
            <w:webHidden/>
          </w:rPr>
          <w:fldChar w:fldCharType="begin"/>
        </w:r>
        <w:r>
          <w:rPr>
            <w:noProof/>
            <w:webHidden/>
          </w:rPr>
          <w:instrText xml:space="preserve"> PAGEREF _Toc12260104 \h </w:instrText>
        </w:r>
        <w:r>
          <w:rPr>
            <w:noProof/>
            <w:webHidden/>
          </w:rPr>
        </w:r>
        <w:r>
          <w:rPr>
            <w:noProof/>
            <w:webHidden/>
          </w:rPr>
          <w:fldChar w:fldCharType="separate"/>
        </w:r>
        <w:r>
          <w:rPr>
            <w:noProof/>
            <w:webHidden/>
          </w:rPr>
          <w:t>62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05" w:history="1">
        <w:r w:rsidRPr="00CD0B56">
          <w:rPr>
            <w:rStyle w:val="Hyperlink"/>
            <w:noProof/>
          </w:rPr>
          <w:t>2.1.37</w:t>
        </w:r>
        <w:r>
          <w:rPr>
            <w:rFonts w:asciiTheme="minorHAnsi" w:eastAsiaTheme="minorEastAsia" w:hAnsiTheme="minorHAnsi" w:cstheme="minorBidi"/>
            <w:noProof/>
            <w:sz w:val="22"/>
            <w:szCs w:val="22"/>
          </w:rPr>
          <w:tab/>
        </w:r>
        <w:r w:rsidRPr="00CD0B56">
          <w:rPr>
            <w:rStyle w:val="Hyperlink"/>
            <w:noProof/>
          </w:rPr>
          <w:t>Part 1 Section 17.2.3, document (Document)</w:t>
        </w:r>
        <w:r>
          <w:rPr>
            <w:noProof/>
            <w:webHidden/>
          </w:rPr>
          <w:tab/>
        </w:r>
        <w:r>
          <w:rPr>
            <w:noProof/>
            <w:webHidden/>
          </w:rPr>
          <w:fldChar w:fldCharType="begin"/>
        </w:r>
        <w:r>
          <w:rPr>
            <w:noProof/>
            <w:webHidden/>
          </w:rPr>
          <w:instrText xml:space="preserve"> PAGEREF _Toc12260105 \h </w:instrText>
        </w:r>
        <w:r>
          <w:rPr>
            <w:noProof/>
            <w:webHidden/>
          </w:rPr>
        </w:r>
        <w:r>
          <w:rPr>
            <w:noProof/>
            <w:webHidden/>
          </w:rPr>
          <w:fldChar w:fldCharType="separate"/>
        </w:r>
        <w:r>
          <w:rPr>
            <w:noProof/>
            <w:webHidden/>
          </w:rPr>
          <w:t>62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06" w:history="1">
        <w:r w:rsidRPr="00CD0B56">
          <w:rPr>
            <w:rStyle w:val="Hyperlink"/>
            <w:noProof/>
          </w:rPr>
          <w:t>2.1.38</w:t>
        </w:r>
        <w:r>
          <w:rPr>
            <w:rFonts w:asciiTheme="minorHAnsi" w:eastAsiaTheme="minorEastAsia" w:hAnsiTheme="minorHAnsi" w:cstheme="minorBidi"/>
            <w:noProof/>
            <w:sz w:val="22"/>
            <w:szCs w:val="22"/>
          </w:rPr>
          <w:tab/>
        </w:r>
        <w:r w:rsidRPr="00CD0B56">
          <w:rPr>
            <w:rStyle w:val="Hyperlink"/>
            <w:noProof/>
          </w:rPr>
          <w:t>Part 1 Section 17.3.1.4, bar (Paragraph Border Between Facing Pages)</w:t>
        </w:r>
        <w:r>
          <w:rPr>
            <w:noProof/>
            <w:webHidden/>
          </w:rPr>
          <w:tab/>
        </w:r>
        <w:r>
          <w:rPr>
            <w:noProof/>
            <w:webHidden/>
          </w:rPr>
          <w:fldChar w:fldCharType="begin"/>
        </w:r>
        <w:r>
          <w:rPr>
            <w:noProof/>
            <w:webHidden/>
          </w:rPr>
          <w:instrText xml:space="preserve"> PAGEREF _Toc12260106 \h </w:instrText>
        </w:r>
        <w:r>
          <w:rPr>
            <w:noProof/>
            <w:webHidden/>
          </w:rPr>
        </w:r>
        <w:r>
          <w:rPr>
            <w:noProof/>
            <w:webHidden/>
          </w:rPr>
          <w:fldChar w:fldCharType="separate"/>
        </w:r>
        <w:r>
          <w:rPr>
            <w:noProof/>
            <w:webHidden/>
          </w:rPr>
          <w:t>62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07" w:history="1">
        <w:r w:rsidRPr="00CD0B56">
          <w:rPr>
            <w:rStyle w:val="Hyperlink"/>
            <w:noProof/>
          </w:rPr>
          <w:t>2.1.39</w:t>
        </w:r>
        <w:r>
          <w:rPr>
            <w:rFonts w:asciiTheme="minorHAnsi" w:eastAsiaTheme="minorEastAsia" w:hAnsiTheme="minorHAnsi" w:cstheme="minorBidi"/>
            <w:noProof/>
            <w:sz w:val="22"/>
            <w:szCs w:val="22"/>
          </w:rPr>
          <w:tab/>
        </w:r>
        <w:r w:rsidRPr="00CD0B56">
          <w:rPr>
            <w:rStyle w:val="Hyperlink"/>
            <w:noProof/>
          </w:rPr>
          <w:t>Part 1 Section 17.3.1.5, between (Paragraph Border Between Identical Paragraphs)</w:t>
        </w:r>
        <w:r>
          <w:rPr>
            <w:noProof/>
            <w:webHidden/>
          </w:rPr>
          <w:tab/>
        </w:r>
        <w:r>
          <w:rPr>
            <w:noProof/>
            <w:webHidden/>
          </w:rPr>
          <w:fldChar w:fldCharType="begin"/>
        </w:r>
        <w:r>
          <w:rPr>
            <w:noProof/>
            <w:webHidden/>
          </w:rPr>
          <w:instrText xml:space="preserve"> PAGEREF _Toc12260107 \h </w:instrText>
        </w:r>
        <w:r>
          <w:rPr>
            <w:noProof/>
            <w:webHidden/>
          </w:rPr>
        </w:r>
        <w:r>
          <w:rPr>
            <w:noProof/>
            <w:webHidden/>
          </w:rPr>
          <w:fldChar w:fldCharType="separate"/>
        </w:r>
        <w:r>
          <w:rPr>
            <w:noProof/>
            <w:webHidden/>
          </w:rPr>
          <w:t>63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08" w:history="1">
        <w:r w:rsidRPr="00CD0B56">
          <w:rPr>
            <w:rStyle w:val="Hyperlink"/>
            <w:noProof/>
          </w:rPr>
          <w:t>2.1.40</w:t>
        </w:r>
        <w:r>
          <w:rPr>
            <w:rFonts w:asciiTheme="minorHAnsi" w:eastAsiaTheme="minorEastAsia" w:hAnsiTheme="minorHAnsi" w:cstheme="minorBidi"/>
            <w:noProof/>
            <w:sz w:val="22"/>
            <w:szCs w:val="22"/>
          </w:rPr>
          <w:tab/>
        </w:r>
        <w:r w:rsidRPr="00CD0B56">
          <w:rPr>
            <w:rStyle w:val="Hyperlink"/>
            <w:noProof/>
          </w:rPr>
          <w:t>Part 1 Section 17.3.1.7, bottom (Paragraph Border Below Identical Paragraphs)</w:t>
        </w:r>
        <w:r>
          <w:rPr>
            <w:noProof/>
            <w:webHidden/>
          </w:rPr>
          <w:tab/>
        </w:r>
        <w:r>
          <w:rPr>
            <w:noProof/>
            <w:webHidden/>
          </w:rPr>
          <w:fldChar w:fldCharType="begin"/>
        </w:r>
        <w:r>
          <w:rPr>
            <w:noProof/>
            <w:webHidden/>
          </w:rPr>
          <w:instrText xml:space="preserve"> PAGEREF _Toc12260108 \h </w:instrText>
        </w:r>
        <w:r>
          <w:rPr>
            <w:noProof/>
            <w:webHidden/>
          </w:rPr>
        </w:r>
        <w:r>
          <w:rPr>
            <w:noProof/>
            <w:webHidden/>
          </w:rPr>
          <w:fldChar w:fldCharType="separate"/>
        </w:r>
        <w:r>
          <w:rPr>
            <w:noProof/>
            <w:webHidden/>
          </w:rPr>
          <w:t>63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09" w:history="1">
        <w:r w:rsidRPr="00CD0B56">
          <w:rPr>
            <w:rStyle w:val="Hyperlink"/>
            <w:noProof/>
          </w:rPr>
          <w:t>2.1.41</w:t>
        </w:r>
        <w:r>
          <w:rPr>
            <w:rFonts w:asciiTheme="minorHAnsi" w:eastAsiaTheme="minorEastAsia" w:hAnsiTheme="minorHAnsi" w:cstheme="minorBidi"/>
            <w:noProof/>
            <w:sz w:val="22"/>
            <w:szCs w:val="22"/>
          </w:rPr>
          <w:tab/>
        </w:r>
        <w:r w:rsidRPr="00CD0B56">
          <w:rPr>
            <w:rStyle w:val="Hyperlink"/>
            <w:noProof/>
          </w:rPr>
          <w:t>Part 1 Section 17.3.1.8, cnfStyle (Paragraph Conditional Formatting)</w:t>
        </w:r>
        <w:r>
          <w:rPr>
            <w:noProof/>
            <w:webHidden/>
          </w:rPr>
          <w:tab/>
        </w:r>
        <w:r>
          <w:rPr>
            <w:noProof/>
            <w:webHidden/>
          </w:rPr>
          <w:fldChar w:fldCharType="begin"/>
        </w:r>
        <w:r>
          <w:rPr>
            <w:noProof/>
            <w:webHidden/>
          </w:rPr>
          <w:instrText xml:space="preserve"> PAGEREF _Toc12260109 \h </w:instrText>
        </w:r>
        <w:r>
          <w:rPr>
            <w:noProof/>
            <w:webHidden/>
          </w:rPr>
        </w:r>
        <w:r>
          <w:rPr>
            <w:noProof/>
            <w:webHidden/>
          </w:rPr>
          <w:fldChar w:fldCharType="separate"/>
        </w:r>
        <w:r>
          <w:rPr>
            <w:noProof/>
            <w:webHidden/>
          </w:rPr>
          <w:t>63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10" w:history="1">
        <w:r w:rsidRPr="00CD0B56">
          <w:rPr>
            <w:rStyle w:val="Hyperlink"/>
            <w:noProof/>
          </w:rPr>
          <w:t>2.1.42</w:t>
        </w:r>
        <w:r>
          <w:rPr>
            <w:rFonts w:asciiTheme="minorHAnsi" w:eastAsiaTheme="minorEastAsia" w:hAnsiTheme="minorHAnsi" w:cstheme="minorBidi"/>
            <w:noProof/>
            <w:sz w:val="22"/>
            <w:szCs w:val="22"/>
          </w:rPr>
          <w:tab/>
        </w:r>
        <w:r w:rsidRPr="00CD0B56">
          <w:rPr>
            <w:rStyle w:val="Hyperlink"/>
            <w:noProof/>
          </w:rPr>
          <w:t>Part 1 Section 17.3.1.10, divId (Associated HTML div ID)</w:t>
        </w:r>
        <w:r>
          <w:rPr>
            <w:noProof/>
            <w:webHidden/>
          </w:rPr>
          <w:tab/>
        </w:r>
        <w:r>
          <w:rPr>
            <w:noProof/>
            <w:webHidden/>
          </w:rPr>
          <w:fldChar w:fldCharType="begin"/>
        </w:r>
        <w:r>
          <w:rPr>
            <w:noProof/>
            <w:webHidden/>
          </w:rPr>
          <w:instrText xml:space="preserve"> PAGEREF _Toc12260110 \h </w:instrText>
        </w:r>
        <w:r>
          <w:rPr>
            <w:noProof/>
            <w:webHidden/>
          </w:rPr>
        </w:r>
        <w:r>
          <w:rPr>
            <w:noProof/>
            <w:webHidden/>
          </w:rPr>
          <w:fldChar w:fldCharType="separate"/>
        </w:r>
        <w:r>
          <w:rPr>
            <w:noProof/>
            <w:webHidden/>
          </w:rPr>
          <w:t>63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11" w:history="1">
        <w:r w:rsidRPr="00CD0B56">
          <w:rPr>
            <w:rStyle w:val="Hyperlink"/>
            <w:noProof/>
          </w:rPr>
          <w:t>2.1.43</w:t>
        </w:r>
        <w:r>
          <w:rPr>
            <w:rFonts w:asciiTheme="minorHAnsi" w:eastAsiaTheme="minorEastAsia" w:hAnsiTheme="minorHAnsi" w:cstheme="minorBidi"/>
            <w:noProof/>
            <w:sz w:val="22"/>
            <w:szCs w:val="22"/>
          </w:rPr>
          <w:tab/>
        </w:r>
        <w:r w:rsidRPr="00CD0B56">
          <w:rPr>
            <w:rStyle w:val="Hyperlink"/>
            <w:noProof/>
          </w:rPr>
          <w:t>Part 1 Section 17.3.1.11, framePr (Text Frame Properties)</w:t>
        </w:r>
        <w:r>
          <w:rPr>
            <w:noProof/>
            <w:webHidden/>
          </w:rPr>
          <w:tab/>
        </w:r>
        <w:r>
          <w:rPr>
            <w:noProof/>
            <w:webHidden/>
          </w:rPr>
          <w:fldChar w:fldCharType="begin"/>
        </w:r>
        <w:r>
          <w:rPr>
            <w:noProof/>
            <w:webHidden/>
          </w:rPr>
          <w:instrText xml:space="preserve"> PAGEREF _Toc12260111 \h </w:instrText>
        </w:r>
        <w:r>
          <w:rPr>
            <w:noProof/>
            <w:webHidden/>
          </w:rPr>
        </w:r>
        <w:r>
          <w:rPr>
            <w:noProof/>
            <w:webHidden/>
          </w:rPr>
          <w:fldChar w:fldCharType="separate"/>
        </w:r>
        <w:r>
          <w:rPr>
            <w:noProof/>
            <w:webHidden/>
          </w:rPr>
          <w:t>63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12" w:history="1">
        <w:r w:rsidRPr="00CD0B56">
          <w:rPr>
            <w:rStyle w:val="Hyperlink"/>
            <w:noProof/>
          </w:rPr>
          <w:t>2.1.44</w:t>
        </w:r>
        <w:r>
          <w:rPr>
            <w:rFonts w:asciiTheme="minorHAnsi" w:eastAsiaTheme="minorEastAsia" w:hAnsiTheme="minorHAnsi" w:cstheme="minorBidi"/>
            <w:noProof/>
            <w:sz w:val="22"/>
            <w:szCs w:val="22"/>
          </w:rPr>
          <w:tab/>
        </w:r>
        <w:r w:rsidRPr="00CD0B56">
          <w:rPr>
            <w:rStyle w:val="Hyperlink"/>
            <w:noProof/>
          </w:rPr>
          <w:t>Part 1 Section 17.3.1.12, ind (Paragraph Indentation)</w:t>
        </w:r>
        <w:r>
          <w:rPr>
            <w:noProof/>
            <w:webHidden/>
          </w:rPr>
          <w:tab/>
        </w:r>
        <w:r>
          <w:rPr>
            <w:noProof/>
            <w:webHidden/>
          </w:rPr>
          <w:fldChar w:fldCharType="begin"/>
        </w:r>
        <w:r>
          <w:rPr>
            <w:noProof/>
            <w:webHidden/>
          </w:rPr>
          <w:instrText xml:space="preserve"> PAGEREF _Toc12260112 \h </w:instrText>
        </w:r>
        <w:r>
          <w:rPr>
            <w:noProof/>
            <w:webHidden/>
          </w:rPr>
        </w:r>
        <w:r>
          <w:rPr>
            <w:noProof/>
            <w:webHidden/>
          </w:rPr>
          <w:fldChar w:fldCharType="separate"/>
        </w:r>
        <w:r>
          <w:rPr>
            <w:noProof/>
            <w:webHidden/>
          </w:rPr>
          <w:t>64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13" w:history="1">
        <w:r w:rsidRPr="00CD0B56">
          <w:rPr>
            <w:rStyle w:val="Hyperlink"/>
            <w:noProof/>
          </w:rPr>
          <w:t>2.1.45</w:t>
        </w:r>
        <w:r>
          <w:rPr>
            <w:rFonts w:asciiTheme="minorHAnsi" w:eastAsiaTheme="minorEastAsia" w:hAnsiTheme="minorHAnsi" w:cstheme="minorBidi"/>
            <w:noProof/>
            <w:sz w:val="22"/>
            <w:szCs w:val="22"/>
          </w:rPr>
          <w:tab/>
        </w:r>
        <w:r w:rsidRPr="00CD0B56">
          <w:rPr>
            <w:rStyle w:val="Hyperlink"/>
            <w:noProof/>
          </w:rPr>
          <w:t>Part 1 Section 17.3.1.13, jc (Paragraph Alignment)</w:t>
        </w:r>
        <w:r>
          <w:rPr>
            <w:noProof/>
            <w:webHidden/>
          </w:rPr>
          <w:tab/>
        </w:r>
        <w:r>
          <w:rPr>
            <w:noProof/>
            <w:webHidden/>
          </w:rPr>
          <w:fldChar w:fldCharType="begin"/>
        </w:r>
        <w:r>
          <w:rPr>
            <w:noProof/>
            <w:webHidden/>
          </w:rPr>
          <w:instrText xml:space="preserve"> PAGEREF _Toc12260113 \h </w:instrText>
        </w:r>
        <w:r>
          <w:rPr>
            <w:noProof/>
            <w:webHidden/>
          </w:rPr>
        </w:r>
        <w:r>
          <w:rPr>
            <w:noProof/>
            <w:webHidden/>
          </w:rPr>
          <w:fldChar w:fldCharType="separate"/>
        </w:r>
        <w:r>
          <w:rPr>
            <w:noProof/>
            <w:webHidden/>
          </w:rPr>
          <w:t>64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14" w:history="1">
        <w:r w:rsidRPr="00CD0B56">
          <w:rPr>
            <w:rStyle w:val="Hyperlink"/>
            <w:noProof/>
          </w:rPr>
          <w:t>2.1.46</w:t>
        </w:r>
        <w:r>
          <w:rPr>
            <w:rFonts w:asciiTheme="minorHAnsi" w:eastAsiaTheme="minorEastAsia" w:hAnsiTheme="minorHAnsi" w:cstheme="minorBidi"/>
            <w:noProof/>
            <w:sz w:val="22"/>
            <w:szCs w:val="22"/>
          </w:rPr>
          <w:tab/>
        </w:r>
        <w:r w:rsidRPr="00CD0B56">
          <w:rPr>
            <w:rStyle w:val="Hyperlink"/>
            <w:noProof/>
          </w:rPr>
          <w:t>Part 1 Section 17.3.1.14, keepLines (Keep All Lines On One Page)</w:t>
        </w:r>
        <w:r>
          <w:rPr>
            <w:noProof/>
            <w:webHidden/>
          </w:rPr>
          <w:tab/>
        </w:r>
        <w:r>
          <w:rPr>
            <w:noProof/>
            <w:webHidden/>
          </w:rPr>
          <w:fldChar w:fldCharType="begin"/>
        </w:r>
        <w:r>
          <w:rPr>
            <w:noProof/>
            <w:webHidden/>
          </w:rPr>
          <w:instrText xml:space="preserve"> PAGEREF _Toc12260114 \h </w:instrText>
        </w:r>
        <w:r>
          <w:rPr>
            <w:noProof/>
            <w:webHidden/>
          </w:rPr>
        </w:r>
        <w:r>
          <w:rPr>
            <w:noProof/>
            <w:webHidden/>
          </w:rPr>
          <w:fldChar w:fldCharType="separate"/>
        </w:r>
        <w:r>
          <w:rPr>
            <w:noProof/>
            <w:webHidden/>
          </w:rPr>
          <w:t>64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15" w:history="1">
        <w:r w:rsidRPr="00CD0B56">
          <w:rPr>
            <w:rStyle w:val="Hyperlink"/>
            <w:noProof/>
          </w:rPr>
          <w:t>2.1.47</w:t>
        </w:r>
        <w:r>
          <w:rPr>
            <w:rFonts w:asciiTheme="minorHAnsi" w:eastAsiaTheme="minorEastAsia" w:hAnsiTheme="minorHAnsi" w:cstheme="minorBidi"/>
            <w:noProof/>
            <w:sz w:val="22"/>
            <w:szCs w:val="22"/>
          </w:rPr>
          <w:tab/>
        </w:r>
        <w:r w:rsidRPr="00CD0B56">
          <w:rPr>
            <w:rStyle w:val="Hyperlink"/>
            <w:noProof/>
          </w:rPr>
          <w:t>Part 1 Section 17.3.1.16, kinsoku (Use East Asian Typography Rules for First and Last Character per Line)</w:t>
        </w:r>
        <w:r>
          <w:rPr>
            <w:noProof/>
            <w:webHidden/>
          </w:rPr>
          <w:tab/>
        </w:r>
        <w:r>
          <w:rPr>
            <w:noProof/>
            <w:webHidden/>
          </w:rPr>
          <w:fldChar w:fldCharType="begin"/>
        </w:r>
        <w:r>
          <w:rPr>
            <w:noProof/>
            <w:webHidden/>
          </w:rPr>
          <w:instrText xml:space="preserve"> PAGEREF _Toc12260115 \h </w:instrText>
        </w:r>
        <w:r>
          <w:rPr>
            <w:noProof/>
            <w:webHidden/>
          </w:rPr>
        </w:r>
        <w:r>
          <w:rPr>
            <w:noProof/>
            <w:webHidden/>
          </w:rPr>
          <w:fldChar w:fldCharType="separate"/>
        </w:r>
        <w:r>
          <w:rPr>
            <w:noProof/>
            <w:webHidden/>
          </w:rPr>
          <w:t>64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16" w:history="1">
        <w:r w:rsidRPr="00CD0B56">
          <w:rPr>
            <w:rStyle w:val="Hyperlink"/>
            <w:noProof/>
          </w:rPr>
          <w:t>2.1.48</w:t>
        </w:r>
        <w:r>
          <w:rPr>
            <w:rFonts w:asciiTheme="minorHAnsi" w:eastAsiaTheme="minorEastAsia" w:hAnsiTheme="minorHAnsi" w:cstheme="minorBidi"/>
            <w:noProof/>
            <w:sz w:val="22"/>
            <w:szCs w:val="22"/>
          </w:rPr>
          <w:tab/>
        </w:r>
        <w:r w:rsidRPr="00CD0B56">
          <w:rPr>
            <w:rStyle w:val="Hyperlink"/>
            <w:noProof/>
          </w:rPr>
          <w:t>Part 1 Section 17.3.1.17, left (Left Paragraph Border)</w:t>
        </w:r>
        <w:r>
          <w:rPr>
            <w:noProof/>
            <w:webHidden/>
          </w:rPr>
          <w:tab/>
        </w:r>
        <w:r>
          <w:rPr>
            <w:noProof/>
            <w:webHidden/>
          </w:rPr>
          <w:fldChar w:fldCharType="begin"/>
        </w:r>
        <w:r>
          <w:rPr>
            <w:noProof/>
            <w:webHidden/>
          </w:rPr>
          <w:instrText xml:space="preserve"> PAGEREF _Toc12260116 \h </w:instrText>
        </w:r>
        <w:r>
          <w:rPr>
            <w:noProof/>
            <w:webHidden/>
          </w:rPr>
        </w:r>
        <w:r>
          <w:rPr>
            <w:noProof/>
            <w:webHidden/>
          </w:rPr>
          <w:fldChar w:fldCharType="separate"/>
        </w:r>
        <w:r>
          <w:rPr>
            <w:noProof/>
            <w:webHidden/>
          </w:rPr>
          <w:t>64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17" w:history="1">
        <w:r w:rsidRPr="00CD0B56">
          <w:rPr>
            <w:rStyle w:val="Hyperlink"/>
            <w:noProof/>
          </w:rPr>
          <w:t>2.1.49</w:t>
        </w:r>
        <w:r>
          <w:rPr>
            <w:rFonts w:asciiTheme="minorHAnsi" w:eastAsiaTheme="minorEastAsia" w:hAnsiTheme="minorHAnsi" w:cstheme="minorBidi"/>
            <w:noProof/>
            <w:sz w:val="22"/>
            <w:szCs w:val="22"/>
          </w:rPr>
          <w:tab/>
        </w:r>
        <w:r w:rsidRPr="00CD0B56">
          <w:rPr>
            <w:rStyle w:val="Hyperlink"/>
            <w:noProof/>
          </w:rPr>
          <w:t>Part 1 Section 17.3.1.18, mirrorIndents (Use Left/Right Indents as Inside/Outside Indents)</w:t>
        </w:r>
        <w:r>
          <w:rPr>
            <w:noProof/>
            <w:webHidden/>
          </w:rPr>
          <w:tab/>
        </w:r>
        <w:r>
          <w:rPr>
            <w:noProof/>
            <w:webHidden/>
          </w:rPr>
          <w:fldChar w:fldCharType="begin"/>
        </w:r>
        <w:r>
          <w:rPr>
            <w:noProof/>
            <w:webHidden/>
          </w:rPr>
          <w:instrText xml:space="preserve"> PAGEREF _Toc12260117 \h </w:instrText>
        </w:r>
        <w:r>
          <w:rPr>
            <w:noProof/>
            <w:webHidden/>
          </w:rPr>
        </w:r>
        <w:r>
          <w:rPr>
            <w:noProof/>
            <w:webHidden/>
          </w:rPr>
          <w:fldChar w:fldCharType="separate"/>
        </w:r>
        <w:r>
          <w:rPr>
            <w:noProof/>
            <w:webHidden/>
          </w:rPr>
          <w:t>64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18" w:history="1">
        <w:r w:rsidRPr="00CD0B56">
          <w:rPr>
            <w:rStyle w:val="Hyperlink"/>
            <w:noProof/>
          </w:rPr>
          <w:t>2.1.50</w:t>
        </w:r>
        <w:r>
          <w:rPr>
            <w:rFonts w:asciiTheme="minorHAnsi" w:eastAsiaTheme="minorEastAsia" w:hAnsiTheme="minorHAnsi" w:cstheme="minorBidi"/>
            <w:noProof/>
            <w:sz w:val="22"/>
            <w:szCs w:val="22"/>
          </w:rPr>
          <w:tab/>
        </w:r>
        <w:r w:rsidRPr="00CD0B56">
          <w:rPr>
            <w:rStyle w:val="Hyperlink"/>
            <w:noProof/>
          </w:rPr>
          <w:t>Part 1 Section 17.3.1.19, numPr (Numbering Definition Instance Reference)</w:t>
        </w:r>
        <w:r>
          <w:rPr>
            <w:noProof/>
            <w:webHidden/>
          </w:rPr>
          <w:tab/>
        </w:r>
        <w:r>
          <w:rPr>
            <w:noProof/>
            <w:webHidden/>
          </w:rPr>
          <w:fldChar w:fldCharType="begin"/>
        </w:r>
        <w:r>
          <w:rPr>
            <w:noProof/>
            <w:webHidden/>
          </w:rPr>
          <w:instrText xml:space="preserve"> PAGEREF _Toc12260118 \h </w:instrText>
        </w:r>
        <w:r>
          <w:rPr>
            <w:noProof/>
            <w:webHidden/>
          </w:rPr>
        </w:r>
        <w:r>
          <w:rPr>
            <w:noProof/>
            <w:webHidden/>
          </w:rPr>
          <w:fldChar w:fldCharType="separate"/>
        </w:r>
        <w:r>
          <w:rPr>
            <w:noProof/>
            <w:webHidden/>
          </w:rPr>
          <w:t>65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19" w:history="1">
        <w:r w:rsidRPr="00CD0B56">
          <w:rPr>
            <w:rStyle w:val="Hyperlink"/>
            <w:noProof/>
          </w:rPr>
          <w:t>2.1.51</w:t>
        </w:r>
        <w:r>
          <w:rPr>
            <w:rFonts w:asciiTheme="minorHAnsi" w:eastAsiaTheme="minorEastAsia" w:hAnsiTheme="minorHAnsi" w:cstheme="minorBidi"/>
            <w:noProof/>
            <w:sz w:val="22"/>
            <w:szCs w:val="22"/>
          </w:rPr>
          <w:tab/>
        </w:r>
        <w:r w:rsidRPr="00CD0B56">
          <w:rPr>
            <w:rStyle w:val="Hyperlink"/>
            <w:noProof/>
          </w:rPr>
          <w:t>Part 1 Section 17.3.1.20, outlineLvl (Associated Outline Level)</w:t>
        </w:r>
        <w:r>
          <w:rPr>
            <w:noProof/>
            <w:webHidden/>
          </w:rPr>
          <w:tab/>
        </w:r>
        <w:r>
          <w:rPr>
            <w:noProof/>
            <w:webHidden/>
          </w:rPr>
          <w:fldChar w:fldCharType="begin"/>
        </w:r>
        <w:r>
          <w:rPr>
            <w:noProof/>
            <w:webHidden/>
          </w:rPr>
          <w:instrText xml:space="preserve"> PAGEREF _Toc12260119 \h </w:instrText>
        </w:r>
        <w:r>
          <w:rPr>
            <w:noProof/>
            <w:webHidden/>
          </w:rPr>
        </w:r>
        <w:r>
          <w:rPr>
            <w:noProof/>
            <w:webHidden/>
          </w:rPr>
          <w:fldChar w:fldCharType="separate"/>
        </w:r>
        <w:r>
          <w:rPr>
            <w:noProof/>
            <w:webHidden/>
          </w:rPr>
          <w:t>65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20" w:history="1">
        <w:r w:rsidRPr="00CD0B56">
          <w:rPr>
            <w:rStyle w:val="Hyperlink"/>
            <w:noProof/>
          </w:rPr>
          <w:t>2.1.52</w:t>
        </w:r>
        <w:r>
          <w:rPr>
            <w:rFonts w:asciiTheme="minorHAnsi" w:eastAsiaTheme="minorEastAsia" w:hAnsiTheme="minorHAnsi" w:cstheme="minorBidi"/>
            <w:noProof/>
            <w:sz w:val="22"/>
            <w:szCs w:val="22"/>
          </w:rPr>
          <w:tab/>
        </w:r>
        <w:r w:rsidRPr="00CD0B56">
          <w:rPr>
            <w:rStyle w:val="Hyperlink"/>
            <w:noProof/>
          </w:rPr>
          <w:t>Part 1 Section 17.3.1.21, overflowPunct (Allow Punctuation to Extend Past Text Extents)</w:t>
        </w:r>
        <w:r>
          <w:rPr>
            <w:noProof/>
            <w:webHidden/>
          </w:rPr>
          <w:tab/>
        </w:r>
        <w:r>
          <w:rPr>
            <w:noProof/>
            <w:webHidden/>
          </w:rPr>
          <w:fldChar w:fldCharType="begin"/>
        </w:r>
        <w:r>
          <w:rPr>
            <w:noProof/>
            <w:webHidden/>
          </w:rPr>
          <w:instrText xml:space="preserve"> PAGEREF _Toc12260120 \h </w:instrText>
        </w:r>
        <w:r>
          <w:rPr>
            <w:noProof/>
            <w:webHidden/>
          </w:rPr>
        </w:r>
        <w:r>
          <w:rPr>
            <w:noProof/>
            <w:webHidden/>
          </w:rPr>
          <w:fldChar w:fldCharType="separate"/>
        </w:r>
        <w:r>
          <w:rPr>
            <w:noProof/>
            <w:webHidden/>
          </w:rPr>
          <w:t>65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21" w:history="1">
        <w:r w:rsidRPr="00CD0B56">
          <w:rPr>
            <w:rStyle w:val="Hyperlink"/>
            <w:noProof/>
          </w:rPr>
          <w:t>2.1.53</w:t>
        </w:r>
        <w:r>
          <w:rPr>
            <w:rFonts w:asciiTheme="minorHAnsi" w:eastAsiaTheme="minorEastAsia" w:hAnsiTheme="minorHAnsi" w:cstheme="minorBidi"/>
            <w:noProof/>
            <w:sz w:val="22"/>
            <w:szCs w:val="22"/>
          </w:rPr>
          <w:tab/>
        </w:r>
        <w:r w:rsidRPr="00CD0B56">
          <w:rPr>
            <w:rStyle w:val="Hyperlink"/>
            <w:noProof/>
          </w:rPr>
          <w:t>Part 1 Section 17.3.1.22, p (Paragraph)</w:t>
        </w:r>
        <w:r>
          <w:rPr>
            <w:noProof/>
            <w:webHidden/>
          </w:rPr>
          <w:tab/>
        </w:r>
        <w:r>
          <w:rPr>
            <w:noProof/>
            <w:webHidden/>
          </w:rPr>
          <w:fldChar w:fldCharType="begin"/>
        </w:r>
        <w:r>
          <w:rPr>
            <w:noProof/>
            <w:webHidden/>
          </w:rPr>
          <w:instrText xml:space="preserve"> PAGEREF _Toc12260121 \h </w:instrText>
        </w:r>
        <w:r>
          <w:rPr>
            <w:noProof/>
            <w:webHidden/>
          </w:rPr>
        </w:r>
        <w:r>
          <w:rPr>
            <w:noProof/>
            <w:webHidden/>
          </w:rPr>
          <w:fldChar w:fldCharType="separate"/>
        </w:r>
        <w:r>
          <w:rPr>
            <w:noProof/>
            <w:webHidden/>
          </w:rPr>
          <w:t>65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22" w:history="1">
        <w:r w:rsidRPr="00CD0B56">
          <w:rPr>
            <w:rStyle w:val="Hyperlink"/>
            <w:noProof/>
          </w:rPr>
          <w:t>2.1.54</w:t>
        </w:r>
        <w:r>
          <w:rPr>
            <w:rFonts w:asciiTheme="minorHAnsi" w:eastAsiaTheme="minorEastAsia" w:hAnsiTheme="minorHAnsi" w:cstheme="minorBidi"/>
            <w:noProof/>
            <w:sz w:val="22"/>
            <w:szCs w:val="22"/>
          </w:rPr>
          <w:tab/>
        </w:r>
        <w:r w:rsidRPr="00CD0B56">
          <w:rPr>
            <w:rStyle w:val="Hyperlink"/>
            <w:noProof/>
          </w:rPr>
          <w:t>Part 1 Section 17.3.1.25, pPr (Previous Paragraph Properties)</w:t>
        </w:r>
        <w:r>
          <w:rPr>
            <w:noProof/>
            <w:webHidden/>
          </w:rPr>
          <w:tab/>
        </w:r>
        <w:r>
          <w:rPr>
            <w:noProof/>
            <w:webHidden/>
          </w:rPr>
          <w:fldChar w:fldCharType="begin"/>
        </w:r>
        <w:r>
          <w:rPr>
            <w:noProof/>
            <w:webHidden/>
          </w:rPr>
          <w:instrText xml:space="preserve"> PAGEREF _Toc12260122 \h </w:instrText>
        </w:r>
        <w:r>
          <w:rPr>
            <w:noProof/>
            <w:webHidden/>
          </w:rPr>
        </w:r>
        <w:r>
          <w:rPr>
            <w:noProof/>
            <w:webHidden/>
          </w:rPr>
          <w:fldChar w:fldCharType="separate"/>
        </w:r>
        <w:r>
          <w:rPr>
            <w:noProof/>
            <w:webHidden/>
          </w:rPr>
          <w:t>66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23" w:history="1">
        <w:r w:rsidRPr="00CD0B56">
          <w:rPr>
            <w:rStyle w:val="Hyperlink"/>
            <w:noProof/>
          </w:rPr>
          <w:t>2.1.55</w:t>
        </w:r>
        <w:r>
          <w:rPr>
            <w:rFonts w:asciiTheme="minorHAnsi" w:eastAsiaTheme="minorEastAsia" w:hAnsiTheme="minorHAnsi" w:cstheme="minorBidi"/>
            <w:noProof/>
            <w:sz w:val="22"/>
            <w:szCs w:val="22"/>
          </w:rPr>
          <w:tab/>
        </w:r>
        <w:r w:rsidRPr="00CD0B56">
          <w:rPr>
            <w:rStyle w:val="Hyperlink"/>
            <w:noProof/>
          </w:rPr>
          <w:t>Part 1 Section 17.3.1.27, pStyle (Referenced Paragraph Style)</w:t>
        </w:r>
        <w:r>
          <w:rPr>
            <w:noProof/>
            <w:webHidden/>
          </w:rPr>
          <w:tab/>
        </w:r>
        <w:r>
          <w:rPr>
            <w:noProof/>
            <w:webHidden/>
          </w:rPr>
          <w:fldChar w:fldCharType="begin"/>
        </w:r>
        <w:r>
          <w:rPr>
            <w:noProof/>
            <w:webHidden/>
          </w:rPr>
          <w:instrText xml:space="preserve"> PAGEREF _Toc12260123 \h </w:instrText>
        </w:r>
        <w:r>
          <w:rPr>
            <w:noProof/>
            <w:webHidden/>
          </w:rPr>
        </w:r>
        <w:r>
          <w:rPr>
            <w:noProof/>
            <w:webHidden/>
          </w:rPr>
          <w:fldChar w:fldCharType="separate"/>
        </w:r>
        <w:r>
          <w:rPr>
            <w:noProof/>
            <w:webHidden/>
          </w:rPr>
          <w:t>66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24" w:history="1">
        <w:r w:rsidRPr="00CD0B56">
          <w:rPr>
            <w:rStyle w:val="Hyperlink"/>
            <w:noProof/>
          </w:rPr>
          <w:t>2.1.56</w:t>
        </w:r>
        <w:r>
          <w:rPr>
            <w:rFonts w:asciiTheme="minorHAnsi" w:eastAsiaTheme="minorEastAsia" w:hAnsiTheme="minorHAnsi" w:cstheme="minorBidi"/>
            <w:noProof/>
            <w:sz w:val="22"/>
            <w:szCs w:val="22"/>
          </w:rPr>
          <w:tab/>
        </w:r>
        <w:r w:rsidRPr="00CD0B56">
          <w:rPr>
            <w:rStyle w:val="Hyperlink"/>
            <w:noProof/>
          </w:rPr>
          <w:t>Part 1 Section 17.3.1.28, right (Right Paragraph Border)</w:t>
        </w:r>
        <w:r>
          <w:rPr>
            <w:noProof/>
            <w:webHidden/>
          </w:rPr>
          <w:tab/>
        </w:r>
        <w:r>
          <w:rPr>
            <w:noProof/>
            <w:webHidden/>
          </w:rPr>
          <w:fldChar w:fldCharType="begin"/>
        </w:r>
        <w:r>
          <w:rPr>
            <w:noProof/>
            <w:webHidden/>
          </w:rPr>
          <w:instrText xml:space="preserve"> PAGEREF _Toc12260124 \h </w:instrText>
        </w:r>
        <w:r>
          <w:rPr>
            <w:noProof/>
            <w:webHidden/>
          </w:rPr>
        </w:r>
        <w:r>
          <w:rPr>
            <w:noProof/>
            <w:webHidden/>
          </w:rPr>
          <w:fldChar w:fldCharType="separate"/>
        </w:r>
        <w:r>
          <w:rPr>
            <w:noProof/>
            <w:webHidden/>
          </w:rPr>
          <w:t>66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25" w:history="1">
        <w:r w:rsidRPr="00CD0B56">
          <w:rPr>
            <w:rStyle w:val="Hyperlink"/>
            <w:noProof/>
          </w:rPr>
          <w:t>2.1.57</w:t>
        </w:r>
        <w:r>
          <w:rPr>
            <w:rFonts w:asciiTheme="minorHAnsi" w:eastAsiaTheme="minorEastAsia" w:hAnsiTheme="minorHAnsi" w:cstheme="minorBidi"/>
            <w:noProof/>
            <w:sz w:val="22"/>
            <w:szCs w:val="22"/>
          </w:rPr>
          <w:tab/>
        </w:r>
        <w:r w:rsidRPr="00CD0B56">
          <w:rPr>
            <w:rStyle w:val="Hyperlink"/>
            <w:noProof/>
          </w:rPr>
          <w:t>Part 1 Section 17.3.1.29, rPr (Run Properties for the Paragraph Mark)</w:t>
        </w:r>
        <w:r>
          <w:rPr>
            <w:noProof/>
            <w:webHidden/>
          </w:rPr>
          <w:tab/>
        </w:r>
        <w:r>
          <w:rPr>
            <w:noProof/>
            <w:webHidden/>
          </w:rPr>
          <w:fldChar w:fldCharType="begin"/>
        </w:r>
        <w:r>
          <w:rPr>
            <w:noProof/>
            <w:webHidden/>
          </w:rPr>
          <w:instrText xml:space="preserve"> PAGEREF _Toc12260125 \h </w:instrText>
        </w:r>
        <w:r>
          <w:rPr>
            <w:noProof/>
            <w:webHidden/>
          </w:rPr>
        </w:r>
        <w:r>
          <w:rPr>
            <w:noProof/>
            <w:webHidden/>
          </w:rPr>
          <w:fldChar w:fldCharType="separate"/>
        </w:r>
        <w:r>
          <w:rPr>
            <w:noProof/>
            <w:webHidden/>
          </w:rPr>
          <w:t>66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26" w:history="1">
        <w:r w:rsidRPr="00CD0B56">
          <w:rPr>
            <w:rStyle w:val="Hyperlink"/>
            <w:noProof/>
          </w:rPr>
          <w:t>2.1.58</w:t>
        </w:r>
        <w:r>
          <w:rPr>
            <w:rFonts w:asciiTheme="minorHAnsi" w:eastAsiaTheme="minorEastAsia" w:hAnsiTheme="minorHAnsi" w:cstheme="minorBidi"/>
            <w:noProof/>
            <w:sz w:val="22"/>
            <w:szCs w:val="22"/>
          </w:rPr>
          <w:tab/>
        </w:r>
        <w:r w:rsidRPr="00CD0B56">
          <w:rPr>
            <w:rStyle w:val="Hyperlink"/>
            <w:noProof/>
          </w:rPr>
          <w:t>Part 1 Section 17.3.1.30, rPr (Previous Run Properties for the Paragraph Mark)</w:t>
        </w:r>
        <w:r>
          <w:rPr>
            <w:noProof/>
            <w:webHidden/>
          </w:rPr>
          <w:tab/>
        </w:r>
        <w:r>
          <w:rPr>
            <w:noProof/>
            <w:webHidden/>
          </w:rPr>
          <w:fldChar w:fldCharType="begin"/>
        </w:r>
        <w:r>
          <w:rPr>
            <w:noProof/>
            <w:webHidden/>
          </w:rPr>
          <w:instrText xml:space="preserve"> PAGEREF _Toc12260126 \h </w:instrText>
        </w:r>
        <w:r>
          <w:rPr>
            <w:noProof/>
            <w:webHidden/>
          </w:rPr>
        </w:r>
        <w:r>
          <w:rPr>
            <w:noProof/>
            <w:webHidden/>
          </w:rPr>
          <w:fldChar w:fldCharType="separate"/>
        </w:r>
        <w:r>
          <w:rPr>
            <w:noProof/>
            <w:webHidden/>
          </w:rPr>
          <w:t>66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27" w:history="1">
        <w:r w:rsidRPr="00CD0B56">
          <w:rPr>
            <w:rStyle w:val="Hyperlink"/>
            <w:noProof/>
          </w:rPr>
          <w:t>2.1.59</w:t>
        </w:r>
        <w:r>
          <w:rPr>
            <w:rFonts w:asciiTheme="minorHAnsi" w:eastAsiaTheme="minorEastAsia" w:hAnsiTheme="minorHAnsi" w:cstheme="minorBidi"/>
            <w:noProof/>
            <w:sz w:val="22"/>
            <w:szCs w:val="22"/>
          </w:rPr>
          <w:tab/>
        </w:r>
        <w:r w:rsidRPr="00CD0B56">
          <w:rPr>
            <w:rStyle w:val="Hyperlink"/>
            <w:noProof/>
          </w:rPr>
          <w:t>Part 1 Section 17.3.1.31, shd (Paragraph Shading)</w:t>
        </w:r>
        <w:r>
          <w:rPr>
            <w:noProof/>
            <w:webHidden/>
          </w:rPr>
          <w:tab/>
        </w:r>
        <w:r>
          <w:rPr>
            <w:noProof/>
            <w:webHidden/>
          </w:rPr>
          <w:fldChar w:fldCharType="begin"/>
        </w:r>
        <w:r>
          <w:rPr>
            <w:noProof/>
            <w:webHidden/>
          </w:rPr>
          <w:instrText xml:space="preserve"> PAGEREF _Toc12260127 \h </w:instrText>
        </w:r>
        <w:r>
          <w:rPr>
            <w:noProof/>
            <w:webHidden/>
          </w:rPr>
        </w:r>
        <w:r>
          <w:rPr>
            <w:noProof/>
            <w:webHidden/>
          </w:rPr>
          <w:fldChar w:fldCharType="separate"/>
        </w:r>
        <w:r>
          <w:rPr>
            <w:noProof/>
            <w:webHidden/>
          </w:rPr>
          <w:t>66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28" w:history="1">
        <w:r w:rsidRPr="00CD0B56">
          <w:rPr>
            <w:rStyle w:val="Hyperlink"/>
            <w:noProof/>
          </w:rPr>
          <w:t>2.1.60</w:t>
        </w:r>
        <w:r>
          <w:rPr>
            <w:rFonts w:asciiTheme="minorHAnsi" w:eastAsiaTheme="minorEastAsia" w:hAnsiTheme="minorHAnsi" w:cstheme="minorBidi"/>
            <w:noProof/>
            <w:sz w:val="22"/>
            <w:szCs w:val="22"/>
          </w:rPr>
          <w:tab/>
        </w:r>
        <w:r w:rsidRPr="00CD0B56">
          <w:rPr>
            <w:rStyle w:val="Hyperlink"/>
            <w:noProof/>
          </w:rPr>
          <w:t>Part 1 Section 17.3.1.33, spacing (Spacing Between Lines and Above/Below Paragraph)</w:t>
        </w:r>
        <w:r>
          <w:rPr>
            <w:noProof/>
            <w:webHidden/>
          </w:rPr>
          <w:tab/>
        </w:r>
        <w:r>
          <w:rPr>
            <w:noProof/>
            <w:webHidden/>
          </w:rPr>
          <w:fldChar w:fldCharType="begin"/>
        </w:r>
        <w:r>
          <w:rPr>
            <w:noProof/>
            <w:webHidden/>
          </w:rPr>
          <w:instrText xml:space="preserve"> PAGEREF _Toc12260128 \h </w:instrText>
        </w:r>
        <w:r>
          <w:rPr>
            <w:noProof/>
            <w:webHidden/>
          </w:rPr>
        </w:r>
        <w:r>
          <w:rPr>
            <w:noProof/>
            <w:webHidden/>
          </w:rPr>
          <w:fldChar w:fldCharType="separate"/>
        </w:r>
        <w:r>
          <w:rPr>
            <w:noProof/>
            <w:webHidden/>
          </w:rPr>
          <w:t>66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29" w:history="1">
        <w:r w:rsidRPr="00CD0B56">
          <w:rPr>
            <w:rStyle w:val="Hyperlink"/>
            <w:noProof/>
          </w:rPr>
          <w:t>2.1.61</w:t>
        </w:r>
        <w:r>
          <w:rPr>
            <w:rFonts w:asciiTheme="minorHAnsi" w:eastAsiaTheme="minorEastAsia" w:hAnsiTheme="minorHAnsi" w:cstheme="minorBidi"/>
            <w:noProof/>
            <w:sz w:val="22"/>
            <w:szCs w:val="22"/>
          </w:rPr>
          <w:tab/>
        </w:r>
        <w:r w:rsidRPr="00CD0B56">
          <w:rPr>
            <w:rStyle w:val="Hyperlink"/>
            <w:noProof/>
          </w:rPr>
          <w:t>Part 1 Section 17.3.1.37, tab (Custom Tab Stop)</w:t>
        </w:r>
        <w:r>
          <w:rPr>
            <w:noProof/>
            <w:webHidden/>
          </w:rPr>
          <w:tab/>
        </w:r>
        <w:r>
          <w:rPr>
            <w:noProof/>
            <w:webHidden/>
          </w:rPr>
          <w:fldChar w:fldCharType="begin"/>
        </w:r>
        <w:r>
          <w:rPr>
            <w:noProof/>
            <w:webHidden/>
          </w:rPr>
          <w:instrText xml:space="preserve"> PAGEREF _Toc12260129 \h </w:instrText>
        </w:r>
        <w:r>
          <w:rPr>
            <w:noProof/>
            <w:webHidden/>
          </w:rPr>
        </w:r>
        <w:r>
          <w:rPr>
            <w:noProof/>
            <w:webHidden/>
          </w:rPr>
          <w:fldChar w:fldCharType="separate"/>
        </w:r>
        <w:r>
          <w:rPr>
            <w:noProof/>
            <w:webHidden/>
          </w:rPr>
          <w:t>67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30" w:history="1">
        <w:r w:rsidRPr="00CD0B56">
          <w:rPr>
            <w:rStyle w:val="Hyperlink"/>
            <w:noProof/>
          </w:rPr>
          <w:t>2.1.62</w:t>
        </w:r>
        <w:r>
          <w:rPr>
            <w:rFonts w:asciiTheme="minorHAnsi" w:eastAsiaTheme="minorEastAsia" w:hAnsiTheme="minorHAnsi" w:cstheme="minorBidi"/>
            <w:noProof/>
            <w:sz w:val="22"/>
            <w:szCs w:val="22"/>
          </w:rPr>
          <w:tab/>
        </w:r>
        <w:r w:rsidRPr="00CD0B56">
          <w:rPr>
            <w:rStyle w:val="Hyperlink"/>
            <w:noProof/>
          </w:rPr>
          <w:t>Part 1 Section 17.3.1.40, textboxTightWrap (Allow Surrounding Paragraphs to Tight Wrap to Text Box Contents)</w:t>
        </w:r>
        <w:r>
          <w:rPr>
            <w:noProof/>
            <w:webHidden/>
          </w:rPr>
          <w:tab/>
        </w:r>
        <w:r>
          <w:rPr>
            <w:noProof/>
            <w:webHidden/>
          </w:rPr>
          <w:fldChar w:fldCharType="begin"/>
        </w:r>
        <w:r>
          <w:rPr>
            <w:noProof/>
            <w:webHidden/>
          </w:rPr>
          <w:instrText xml:space="preserve"> PAGEREF _Toc12260130 \h </w:instrText>
        </w:r>
        <w:r>
          <w:rPr>
            <w:noProof/>
            <w:webHidden/>
          </w:rPr>
        </w:r>
        <w:r>
          <w:rPr>
            <w:noProof/>
            <w:webHidden/>
          </w:rPr>
          <w:fldChar w:fldCharType="separate"/>
        </w:r>
        <w:r>
          <w:rPr>
            <w:noProof/>
            <w:webHidden/>
          </w:rPr>
          <w:t>67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31" w:history="1">
        <w:r w:rsidRPr="00CD0B56">
          <w:rPr>
            <w:rStyle w:val="Hyperlink"/>
            <w:noProof/>
          </w:rPr>
          <w:t>2.1.63</w:t>
        </w:r>
        <w:r>
          <w:rPr>
            <w:rFonts w:asciiTheme="minorHAnsi" w:eastAsiaTheme="minorEastAsia" w:hAnsiTheme="minorHAnsi" w:cstheme="minorBidi"/>
            <w:noProof/>
            <w:sz w:val="22"/>
            <w:szCs w:val="22"/>
          </w:rPr>
          <w:tab/>
        </w:r>
        <w:r w:rsidRPr="00CD0B56">
          <w:rPr>
            <w:rStyle w:val="Hyperlink"/>
            <w:noProof/>
          </w:rPr>
          <w:t>Part 1 Section 17.3.1.41, textDirection (Paragraph Text Flow Direction)</w:t>
        </w:r>
        <w:r>
          <w:rPr>
            <w:noProof/>
            <w:webHidden/>
          </w:rPr>
          <w:tab/>
        </w:r>
        <w:r>
          <w:rPr>
            <w:noProof/>
            <w:webHidden/>
          </w:rPr>
          <w:fldChar w:fldCharType="begin"/>
        </w:r>
        <w:r>
          <w:rPr>
            <w:noProof/>
            <w:webHidden/>
          </w:rPr>
          <w:instrText xml:space="preserve"> PAGEREF _Toc12260131 \h </w:instrText>
        </w:r>
        <w:r>
          <w:rPr>
            <w:noProof/>
            <w:webHidden/>
          </w:rPr>
        </w:r>
        <w:r>
          <w:rPr>
            <w:noProof/>
            <w:webHidden/>
          </w:rPr>
          <w:fldChar w:fldCharType="separate"/>
        </w:r>
        <w:r>
          <w:rPr>
            <w:noProof/>
            <w:webHidden/>
          </w:rPr>
          <w:t>67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32" w:history="1">
        <w:r w:rsidRPr="00CD0B56">
          <w:rPr>
            <w:rStyle w:val="Hyperlink"/>
            <w:noProof/>
          </w:rPr>
          <w:t>2.1.64</w:t>
        </w:r>
        <w:r>
          <w:rPr>
            <w:rFonts w:asciiTheme="minorHAnsi" w:eastAsiaTheme="minorEastAsia" w:hAnsiTheme="minorHAnsi" w:cstheme="minorBidi"/>
            <w:noProof/>
            <w:sz w:val="22"/>
            <w:szCs w:val="22"/>
          </w:rPr>
          <w:tab/>
        </w:r>
        <w:r w:rsidRPr="00CD0B56">
          <w:rPr>
            <w:rStyle w:val="Hyperlink"/>
            <w:noProof/>
          </w:rPr>
          <w:t>Part 1 Section 17.3.1.42, top (Paragraph Border Above Identical Paragraphs)</w:t>
        </w:r>
        <w:r>
          <w:rPr>
            <w:noProof/>
            <w:webHidden/>
          </w:rPr>
          <w:tab/>
        </w:r>
        <w:r>
          <w:rPr>
            <w:noProof/>
            <w:webHidden/>
          </w:rPr>
          <w:fldChar w:fldCharType="begin"/>
        </w:r>
        <w:r>
          <w:rPr>
            <w:noProof/>
            <w:webHidden/>
          </w:rPr>
          <w:instrText xml:space="preserve"> PAGEREF _Toc12260132 \h </w:instrText>
        </w:r>
        <w:r>
          <w:rPr>
            <w:noProof/>
            <w:webHidden/>
          </w:rPr>
        </w:r>
        <w:r>
          <w:rPr>
            <w:noProof/>
            <w:webHidden/>
          </w:rPr>
          <w:fldChar w:fldCharType="separate"/>
        </w:r>
        <w:r>
          <w:rPr>
            <w:noProof/>
            <w:webHidden/>
          </w:rPr>
          <w:t>67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33" w:history="1">
        <w:r w:rsidRPr="00CD0B56">
          <w:rPr>
            <w:rStyle w:val="Hyperlink"/>
            <w:noProof/>
          </w:rPr>
          <w:t>2.1.65</w:t>
        </w:r>
        <w:r>
          <w:rPr>
            <w:rFonts w:asciiTheme="minorHAnsi" w:eastAsiaTheme="minorEastAsia" w:hAnsiTheme="minorHAnsi" w:cstheme="minorBidi"/>
            <w:noProof/>
            <w:sz w:val="22"/>
            <w:szCs w:val="22"/>
          </w:rPr>
          <w:tab/>
        </w:r>
        <w:r w:rsidRPr="00CD0B56">
          <w:rPr>
            <w:rStyle w:val="Hyperlink"/>
            <w:noProof/>
          </w:rPr>
          <w:t>Part 1 Section 17.3.1.43, topLinePunct (Compress Punctuation at Start of a Line)</w:t>
        </w:r>
        <w:r>
          <w:rPr>
            <w:noProof/>
            <w:webHidden/>
          </w:rPr>
          <w:tab/>
        </w:r>
        <w:r>
          <w:rPr>
            <w:noProof/>
            <w:webHidden/>
          </w:rPr>
          <w:fldChar w:fldCharType="begin"/>
        </w:r>
        <w:r>
          <w:rPr>
            <w:noProof/>
            <w:webHidden/>
          </w:rPr>
          <w:instrText xml:space="preserve"> PAGEREF _Toc12260133 \h </w:instrText>
        </w:r>
        <w:r>
          <w:rPr>
            <w:noProof/>
            <w:webHidden/>
          </w:rPr>
        </w:r>
        <w:r>
          <w:rPr>
            <w:noProof/>
            <w:webHidden/>
          </w:rPr>
          <w:fldChar w:fldCharType="separate"/>
        </w:r>
        <w:r>
          <w:rPr>
            <w:noProof/>
            <w:webHidden/>
          </w:rPr>
          <w:t>67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34" w:history="1">
        <w:r w:rsidRPr="00CD0B56">
          <w:rPr>
            <w:rStyle w:val="Hyperlink"/>
            <w:noProof/>
          </w:rPr>
          <w:t>2.1.66</w:t>
        </w:r>
        <w:r>
          <w:rPr>
            <w:rFonts w:asciiTheme="minorHAnsi" w:eastAsiaTheme="minorEastAsia" w:hAnsiTheme="minorHAnsi" w:cstheme="minorBidi"/>
            <w:noProof/>
            <w:sz w:val="22"/>
            <w:szCs w:val="22"/>
          </w:rPr>
          <w:tab/>
        </w:r>
        <w:r w:rsidRPr="00CD0B56">
          <w:rPr>
            <w:rStyle w:val="Hyperlink"/>
            <w:noProof/>
          </w:rPr>
          <w:t>Part 1 Section 17.3.1.44, widowControl (Allow First/Last Line to Display on a Separate Page)</w:t>
        </w:r>
        <w:r>
          <w:rPr>
            <w:noProof/>
            <w:webHidden/>
          </w:rPr>
          <w:tab/>
        </w:r>
        <w:r>
          <w:rPr>
            <w:noProof/>
            <w:webHidden/>
          </w:rPr>
          <w:fldChar w:fldCharType="begin"/>
        </w:r>
        <w:r>
          <w:rPr>
            <w:noProof/>
            <w:webHidden/>
          </w:rPr>
          <w:instrText xml:space="preserve"> PAGEREF _Toc12260134 \h </w:instrText>
        </w:r>
        <w:r>
          <w:rPr>
            <w:noProof/>
            <w:webHidden/>
          </w:rPr>
        </w:r>
        <w:r>
          <w:rPr>
            <w:noProof/>
            <w:webHidden/>
          </w:rPr>
          <w:fldChar w:fldCharType="separate"/>
        </w:r>
        <w:r>
          <w:rPr>
            <w:noProof/>
            <w:webHidden/>
          </w:rPr>
          <w:t>67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35" w:history="1">
        <w:r w:rsidRPr="00CD0B56">
          <w:rPr>
            <w:rStyle w:val="Hyperlink"/>
            <w:noProof/>
          </w:rPr>
          <w:t>2.1.67</w:t>
        </w:r>
        <w:r>
          <w:rPr>
            <w:rFonts w:asciiTheme="minorHAnsi" w:eastAsiaTheme="minorEastAsia" w:hAnsiTheme="minorHAnsi" w:cstheme="minorBidi"/>
            <w:noProof/>
            <w:sz w:val="22"/>
            <w:szCs w:val="22"/>
          </w:rPr>
          <w:tab/>
        </w:r>
        <w:r w:rsidRPr="00CD0B56">
          <w:rPr>
            <w:rStyle w:val="Hyperlink"/>
            <w:noProof/>
          </w:rPr>
          <w:t>Part 1 Section 17.3.1.45, wordWrap (Allow Line Breaking At Character Level)</w:t>
        </w:r>
        <w:r>
          <w:rPr>
            <w:noProof/>
            <w:webHidden/>
          </w:rPr>
          <w:tab/>
        </w:r>
        <w:r>
          <w:rPr>
            <w:noProof/>
            <w:webHidden/>
          </w:rPr>
          <w:fldChar w:fldCharType="begin"/>
        </w:r>
        <w:r>
          <w:rPr>
            <w:noProof/>
            <w:webHidden/>
          </w:rPr>
          <w:instrText xml:space="preserve"> PAGEREF _Toc12260135 \h </w:instrText>
        </w:r>
        <w:r>
          <w:rPr>
            <w:noProof/>
            <w:webHidden/>
          </w:rPr>
        </w:r>
        <w:r>
          <w:rPr>
            <w:noProof/>
            <w:webHidden/>
          </w:rPr>
          <w:fldChar w:fldCharType="separate"/>
        </w:r>
        <w:r>
          <w:rPr>
            <w:noProof/>
            <w:webHidden/>
          </w:rPr>
          <w:t>67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36" w:history="1">
        <w:r w:rsidRPr="00CD0B56">
          <w:rPr>
            <w:rStyle w:val="Hyperlink"/>
            <w:noProof/>
          </w:rPr>
          <w:t>2.1.68</w:t>
        </w:r>
        <w:r>
          <w:rPr>
            <w:rFonts w:asciiTheme="minorHAnsi" w:eastAsiaTheme="minorEastAsia" w:hAnsiTheme="minorHAnsi" w:cstheme="minorBidi"/>
            <w:noProof/>
            <w:sz w:val="22"/>
            <w:szCs w:val="22"/>
          </w:rPr>
          <w:tab/>
        </w:r>
        <w:r w:rsidRPr="00CD0B56">
          <w:rPr>
            <w:rStyle w:val="Hyperlink"/>
            <w:noProof/>
          </w:rPr>
          <w:t>Part 1 Section 17.3.2.1, b (Bold)</w:t>
        </w:r>
        <w:r>
          <w:rPr>
            <w:noProof/>
            <w:webHidden/>
          </w:rPr>
          <w:tab/>
        </w:r>
        <w:r>
          <w:rPr>
            <w:noProof/>
            <w:webHidden/>
          </w:rPr>
          <w:fldChar w:fldCharType="begin"/>
        </w:r>
        <w:r>
          <w:rPr>
            <w:noProof/>
            <w:webHidden/>
          </w:rPr>
          <w:instrText xml:space="preserve"> PAGEREF _Toc12260136 \h </w:instrText>
        </w:r>
        <w:r>
          <w:rPr>
            <w:noProof/>
            <w:webHidden/>
          </w:rPr>
        </w:r>
        <w:r>
          <w:rPr>
            <w:noProof/>
            <w:webHidden/>
          </w:rPr>
          <w:fldChar w:fldCharType="separate"/>
        </w:r>
        <w:r>
          <w:rPr>
            <w:noProof/>
            <w:webHidden/>
          </w:rPr>
          <w:t>68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37" w:history="1">
        <w:r w:rsidRPr="00CD0B56">
          <w:rPr>
            <w:rStyle w:val="Hyperlink"/>
            <w:noProof/>
          </w:rPr>
          <w:t>2.1.69</w:t>
        </w:r>
        <w:r>
          <w:rPr>
            <w:rFonts w:asciiTheme="minorHAnsi" w:eastAsiaTheme="minorEastAsia" w:hAnsiTheme="minorHAnsi" w:cstheme="minorBidi"/>
            <w:noProof/>
            <w:sz w:val="22"/>
            <w:szCs w:val="22"/>
          </w:rPr>
          <w:tab/>
        </w:r>
        <w:r w:rsidRPr="00CD0B56">
          <w:rPr>
            <w:rStyle w:val="Hyperlink"/>
            <w:noProof/>
          </w:rPr>
          <w:t>Part 1 Section 17.3.2.2, bCs (Complex Script Bold)</w:t>
        </w:r>
        <w:r>
          <w:rPr>
            <w:noProof/>
            <w:webHidden/>
          </w:rPr>
          <w:tab/>
        </w:r>
        <w:r>
          <w:rPr>
            <w:noProof/>
            <w:webHidden/>
          </w:rPr>
          <w:fldChar w:fldCharType="begin"/>
        </w:r>
        <w:r>
          <w:rPr>
            <w:noProof/>
            <w:webHidden/>
          </w:rPr>
          <w:instrText xml:space="preserve"> PAGEREF _Toc12260137 \h </w:instrText>
        </w:r>
        <w:r>
          <w:rPr>
            <w:noProof/>
            <w:webHidden/>
          </w:rPr>
        </w:r>
        <w:r>
          <w:rPr>
            <w:noProof/>
            <w:webHidden/>
          </w:rPr>
          <w:fldChar w:fldCharType="separate"/>
        </w:r>
        <w:r>
          <w:rPr>
            <w:noProof/>
            <w:webHidden/>
          </w:rPr>
          <w:t>68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38" w:history="1">
        <w:r w:rsidRPr="00CD0B56">
          <w:rPr>
            <w:rStyle w:val="Hyperlink"/>
            <w:noProof/>
          </w:rPr>
          <w:t>2.1.70</w:t>
        </w:r>
        <w:r>
          <w:rPr>
            <w:rFonts w:asciiTheme="minorHAnsi" w:eastAsiaTheme="minorEastAsia" w:hAnsiTheme="minorHAnsi" w:cstheme="minorBidi"/>
            <w:noProof/>
            <w:sz w:val="22"/>
            <w:szCs w:val="22"/>
          </w:rPr>
          <w:tab/>
        </w:r>
        <w:r w:rsidRPr="00CD0B56">
          <w:rPr>
            <w:rStyle w:val="Hyperlink"/>
            <w:noProof/>
          </w:rPr>
          <w:t>Part 1 Section 17.3.2.3, bdo (Bidirectional Override)</w:t>
        </w:r>
        <w:r>
          <w:rPr>
            <w:noProof/>
            <w:webHidden/>
          </w:rPr>
          <w:tab/>
        </w:r>
        <w:r>
          <w:rPr>
            <w:noProof/>
            <w:webHidden/>
          </w:rPr>
          <w:fldChar w:fldCharType="begin"/>
        </w:r>
        <w:r>
          <w:rPr>
            <w:noProof/>
            <w:webHidden/>
          </w:rPr>
          <w:instrText xml:space="preserve"> PAGEREF _Toc12260138 \h </w:instrText>
        </w:r>
        <w:r>
          <w:rPr>
            <w:noProof/>
            <w:webHidden/>
          </w:rPr>
        </w:r>
        <w:r>
          <w:rPr>
            <w:noProof/>
            <w:webHidden/>
          </w:rPr>
          <w:fldChar w:fldCharType="separate"/>
        </w:r>
        <w:r>
          <w:rPr>
            <w:noProof/>
            <w:webHidden/>
          </w:rPr>
          <w:t>68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39" w:history="1">
        <w:r w:rsidRPr="00CD0B56">
          <w:rPr>
            <w:rStyle w:val="Hyperlink"/>
            <w:noProof/>
          </w:rPr>
          <w:t>2.1.71</w:t>
        </w:r>
        <w:r>
          <w:rPr>
            <w:rFonts w:asciiTheme="minorHAnsi" w:eastAsiaTheme="minorEastAsia" w:hAnsiTheme="minorHAnsi" w:cstheme="minorBidi"/>
            <w:noProof/>
            <w:sz w:val="22"/>
            <w:szCs w:val="22"/>
          </w:rPr>
          <w:tab/>
        </w:r>
        <w:r w:rsidRPr="00CD0B56">
          <w:rPr>
            <w:rStyle w:val="Hyperlink"/>
            <w:noProof/>
          </w:rPr>
          <w:t>Part 1 Section 17.3.2.4, bdr (Text Border)</w:t>
        </w:r>
        <w:r>
          <w:rPr>
            <w:noProof/>
            <w:webHidden/>
          </w:rPr>
          <w:tab/>
        </w:r>
        <w:r>
          <w:rPr>
            <w:noProof/>
            <w:webHidden/>
          </w:rPr>
          <w:fldChar w:fldCharType="begin"/>
        </w:r>
        <w:r>
          <w:rPr>
            <w:noProof/>
            <w:webHidden/>
          </w:rPr>
          <w:instrText xml:space="preserve"> PAGEREF _Toc12260139 \h </w:instrText>
        </w:r>
        <w:r>
          <w:rPr>
            <w:noProof/>
            <w:webHidden/>
          </w:rPr>
        </w:r>
        <w:r>
          <w:rPr>
            <w:noProof/>
            <w:webHidden/>
          </w:rPr>
          <w:fldChar w:fldCharType="separate"/>
        </w:r>
        <w:r>
          <w:rPr>
            <w:noProof/>
            <w:webHidden/>
          </w:rPr>
          <w:t>68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40" w:history="1">
        <w:r w:rsidRPr="00CD0B56">
          <w:rPr>
            <w:rStyle w:val="Hyperlink"/>
            <w:noProof/>
          </w:rPr>
          <w:t>2.1.72</w:t>
        </w:r>
        <w:r>
          <w:rPr>
            <w:rFonts w:asciiTheme="minorHAnsi" w:eastAsiaTheme="minorEastAsia" w:hAnsiTheme="minorHAnsi" w:cstheme="minorBidi"/>
            <w:noProof/>
            <w:sz w:val="22"/>
            <w:szCs w:val="22"/>
          </w:rPr>
          <w:tab/>
        </w:r>
        <w:r w:rsidRPr="00CD0B56">
          <w:rPr>
            <w:rStyle w:val="Hyperlink"/>
            <w:noProof/>
          </w:rPr>
          <w:t>Part 1 Section 17.3.2.6, color (Run Content Color)</w:t>
        </w:r>
        <w:r>
          <w:rPr>
            <w:noProof/>
            <w:webHidden/>
          </w:rPr>
          <w:tab/>
        </w:r>
        <w:r>
          <w:rPr>
            <w:noProof/>
            <w:webHidden/>
          </w:rPr>
          <w:fldChar w:fldCharType="begin"/>
        </w:r>
        <w:r>
          <w:rPr>
            <w:noProof/>
            <w:webHidden/>
          </w:rPr>
          <w:instrText xml:space="preserve"> PAGEREF _Toc12260140 \h </w:instrText>
        </w:r>
        <w:r>
          <w:rPr>
            <w:noProof/>
            <w:webHidden/>
          </w:rPr>
        </w:r>
        <w:r>
          <w:rPr>
            <w:noProof/>
            <w:webHidden/>
          </w:rPr>
          <w:fldChar w:fldCharType="separate"/>
        </w:r>
        <w:r>
          <w:rPr>
            <w:noProof/>
            <w:webHidden/>
          </w:rPr>
          <w:t>68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41" w:history="1">
        <w:r w:rsidRPr="00CD0B56">
          <w:rPr>
            <w:rStyle w:val="Hyperlink"/>
            <w:noProof/>
          </w:rPr>
          <w:t>2.1.73</w:t>
        </w:r>
        <w:r>
          <w:rPr>
            <w:rFonts w:asciiTheme="minorHAnsi" w:eastAsiaTheme="minorEastAsia" w:hAnsiTheme="minorHAnsi" w:cstheme="minorBidi"/>
            <w:noProof/>
            <w:sz w:val="22"/>
            <w:szCs w:val="22"/>
          </w:rPr>
          <w:tab/>
        </w:r>
        <w:r w:rsidRPr="00CD0B56">
          <w:rPr>
            <w:rStyle w:val="Hyperlink"/>
            <w:noProof/>
          </w:rPr>
          <w:t>Part 1 Section 17.3.2.7, cs (Use Complex Script Formatting on Run)</w:t>
        </w:r>
        <w:r>
          <w:rPr>
            <w:noProof/>
            <w:webHidden/>
          </w:rPr>
          <w:tab/>
        </w:r>
        <w:r>
          <w:rPr>
            <w:noProof/>
            <w:webHidden/>
          </w:rPr>
          <w:fldChar w:fldCharType="begin"/>
        </w:r>
        <w:r>
          <w:rPr>
            <w:noProof/>
            <w:webHidden/>
          </w:rPr>
          <w:instrText xml:space="preserve"> PAGEREF _Toc12260141 \h </w:instrText>
        </w:r>
        <w:r>
          <w:rPr>
            <w:noProof/>
            <w:webHidden/>
          </w:rPr>
        </w:r>
        <w:r>
          <w:rPr>
            <w:noProof/>
            <w:webHidden/>
          </w:rPr>
          <w:fldChar w:fldCharType="separate"/>
        </w:r>
        <w:r>
          <w:rPr>
            <w:noProof/>
            <w:webHidden/>
          </w:rPr>
          <w:t>70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42" w:history="1">
        <w:r w:rsidRPr="00CD0B56">
          <w:rPr>
            <w:rStyle w:val="Hyperlink"/>
            <w:noProof/>
          </w:rPr>
          <w:t>2.1.74</w:t>
        </w:r>
        <w:r>
          <w:rPr>
            <w:rFonts w:asciiTheme="minorHAnsi" w:eastAsiaTheme="minorEastAsia" w:hAnsiTheme="minorHAnsi" w:cstheme="minorBidi"/>
            <w:noProof/>
            <w:sz w:val="22"/>
            <w:szCs w:val="22"/>
          </w:rPr>
          <w:tab/>
        </w:r>
        <w:r w:rsidRPr="00CD0B56">
          <w:rPr>
            <w:rStyle w:val="Hyperlink"/>
            <w:noProof/>
          </w:rPr>
          <w:t>Part 1 Section 17.3.2.8, dir (Bidirectional Embedding Level)</w:t>
        </w:r>
        <w:r>
          <w:rPr>
            <w:noProof/>
            <w:webHidden/>
          </w:rPr>
          <w:tab/>
        </w:r>
        <w:r>
          <w:rPr>
            <w:noProof/>
            <w:webHidden/>
          </w:rPr>
          <w:fldChar w:fldCharType="begin"/>
        </w:r>
        <w:r>
          <w:rPr>
            <w:noProof/>
            <w:webHidden/>
          </w:rPr>
          <w:instrText xml:space="preserve"> PAGEREF _Toc12260142 \h </w:instrText>
        </w:r>
        <w:r>
          <w:rPr>
            <w:noProof/>
            <w:webHidden/>
          </w:rPr>
        </w:r>
        <w:r>
          <w:rPr>
            <w:noProof/>
            <w:webHidden/>
          </w:rPr>
          <w:fldChar w:fldCharType="separate"/>
        </w:r>
        <w:r>
          <w:rPr>
            <w:noProof/>
            <w:webHidden/>
          </w:rPr>
          <w:t>70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43" w:history="1">
        <w:r w:rsidRPr="00CD0B56">
          <w:rPr>
            <w:rStyle w:val="Hyperlink"/>
            <w:noProof/>
          </w:rPr>
          <w:t>2.1.75</w:t>
        </w:r>
        <w:r>
          <w:rPr>
            <w:rFonts w:asciiTheme="minorHAnsi" w:eastAsiaTheme="minorEastAsia" w:hAnsiTheme="minorHAnsi" w:cstheme="minorBidi"/>
            <w:noProof/>
            <w:sz w:val="22"/>
            <w:szCs w:val="22"/>
          </w:rPr>
          <w:tab/>
        </w:r>
        <w:r w:rsidRPr="00CD0B56">
          <w:rPr>
            <w:rStyle w:val="Hyperlink"/>
            <w:noProof/>
          </w:rPr>
          <w:t>Part 1 Section 17.3.2.10, eastAsianLayout (East Asian Typography Settings)</w:t>
        </w:r>
        <w:r>
          <w:rPr>
            <w:noProof/>
            <w:webHidden/>
          </w:rPr>
          <w:tab/>
        </w:r>
        <w:r>
          <w:rPr>
            <w:noProof/>
            <w:webHidden/>
          </w:rPr>
          <w:fldChar w:fldCharType="begin"/>
        </w:r>
        <w:r>
          <w:rPr>
            <w:noProof/>
            <w:webHidden/>
          </w:rPr>
          <w:instrText xml:space="preserve"> PAGEREF _Toc12260143 \h </w:instrText>
        </w:r>
        <w:r>
          <w:rPr>
            <w:noProof/>
            <w:webHidden/>
          </w:rPr>
        </w:r>
        <w:r>
          <w:rPr>
            <w:noProof/>
            <w:webHidden/>
          </w:rPr>
          <w:fldChar w:fldCharType="separate"/>
        </w:r>
        <w:r>
          <w:rPr>
            <w:noProof/>
            <w:webHidden/>
          </w:rPr>
          <w:t>70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44" w:history="1">
        <w:r w:rsidRPr="00CD0B56">
          <w:rPr>
            <w:rStyle w:val="Hyperlink"/>
            <w:noProof/>
          </w:rPr>
          <w:t>2.1.76</w:t>
        </w:r>
        <w:r>
          <w:rPr>
            <w:rFonts w:asciiTheme="minorHAnsi" w:eastAsiaTheme="minorEastAsia" w:hAnsiTheme="minorHAnsi" w:cstheme="minorBidi"/>
            <w:noProof/>
            <w:sz w:val="22"/>
            <w:szCs w:val="22"/>
          </w:rPr>
          <w:tab/>
        </w:r>
        <w:r w:rsidRPr="00CD0B56">
          <w:rPr>
            <w:rStyle w:val="Hyperlink"/>
            <w:noProof/>
          </w:rPr>
          <w:t>Part 1 Section 17.3.2.11, effect (Animated Text Effect)</w:t>
        </w:r>
        <w:r>
          <w:rPr>
            <w:noProof/>
            <w:webHidden/>
          </w:rPr>
          <w:tab/>
        </w:r>
        <w:r>
          <w:rPr>
            <w:noProof/>
            <w:webHidden/>
          </w:rPr>
          <w:fldChar w:fldCharType="begin"/>
        </w:r>
        <w:r>
          <w:rPr>
            <w:noProof/>
            <w:webHidden/>
          </w:rPr>
          <w:instrText xml:space="preserve"> PAGEREF _Toc12260144 \h </w:instrText>
        </w:r>
        <w:r>
          <w:rPr>
            <w:noProof/>
            <w:webHidden/>
          </w:rPr>
        </w:r>
        <w:r>
          <w:rPr>
            <w:noProof/>
            <w:webHidden/>
          </w:rPr>
          <w:fldChar w:fldCharType="separate"/>
        </w:r>
        <w:r>
          <w:rPr>
            <w:noProof/>
            <w:webHidden/>
          </w:rPr>
          <w:t>71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45" w:history="1">
        <w:r w:rsidRPr="00CD0B56">
          <w:rPr>
            <w:rStyle w:val="Hyperlink"/>
            <w:noProof/>
          </w:rPr>
          <w:t>2.1.77</w:t>
        </w:r>
        <w:r>
          <w:rPr>
            <w:rFonts w:asciiTheme="minorHAnsi" w:eastAsiaTheme="minorEastAsia" w:hAnsiTheme="minorHAnsi" w:cstheme="minorBidi"/>
            <w:noProof/>
            <w:sz w:val="22"/>
            <w:szCs w:val="22"/>
          </w:rPr>
          <w:tab/>
        </w:r>
        <w:r w:rsidRPr="00CD0B56">
          <w:rPr>
            <w:rStyle w:val="Hyperlink"/>
            <w:noProof/>
          </w:rPr>
          <w:t>Part 1 Section 17.3.2.13, emboss (Embossing)</w:t>
        </w:r>
        <w:r>
          <w:rPr>
            <w:noProof/>
            <w:webHidden/>
          </w:rPr>
          <w:tab/>
        </w:r>
        <w:r>
          <w:rPr>
            <w:noProof/>
            <w:webHidden/>
          </w:rPr>
          <w:fldChar w:fldCharType="begin"/>
        </w:r>
        <w:r>
          <w:rPr>
            <w:noProof/>
            <w:webHidden/>
          </w:rPr>
          <w:instrText xml:space="preserve"> PAGEREF _Toc12260145 \h </w:instrText>
        </w:r>
        <w:r>
          <w:rPr>
            <w:noProof/>
            <w:webHidden/>
          </w:rPr>
        </w:r>
        <w:r>
          <w:rPr>
            <w:noProof/>
            <w:webHidden/>
          </w:rPr>
          <w:fldChar w:fldCharType="separate"/>
        </w:r>
        <w:r>
          <w:rPr>
            <w:noProof/>
            <w:webHidden/>
          </w:rPr>
          <w:t>71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46" w:history="1">
        <w:r w:rsidRPr="00CD0B56">
          <w:rPr>
            <w:rStyle w:val="Hyperlink"/>
            <w:noProof/>
          </w:rPr>
          <w:t>2.1.78</w:t>
        </w:r>
        <w:r>
          <w:rPr>
            <w:rFonts w:asciiTheme="minorHAnsi" w:eastAsiaTheme="minorEastAsia" w:hAnsiTheme="minorHAnsi" w:cstheme="minorBidi"/>
            <w:noProof/>
            <w:sz w:val="22"/>
            <w:szCs w:val="22"/>
          </w:rPr>
          <w:tab/>
        </w:r>
        <w:r w:rsidRPr="00CD0B56">
          <w:rPr>
            <w:rStyle w:val="Hyperlink"/>
            <w:noProof/>
          </w:rPr>
          <w:t>Part 1 Section 17.3.2.14, fitText (Manual Run Width)</w:t>
        </w:r>
        <w:r>
          <w:rPr>
            <w:noProof/>
            <w:webHidden/>
          </w:rPr>
          <w:tab/>
        </w:r>
        <w:r>
          <w:rPr>
            <w:noProof/>
            <w:webHidden/>
          </w:rPr>
          <w:fldChar w:fldCharType="begin"/>
        </w:r>
        <w:r>
          <w:rPr>
            <w:noProof/>
            <w:webHidden/>
          </w:rPr>
          <w:instrText xml:space="preserve"> PAGEREF _Toc12260146 \h </w:instrText>
        </w:r>
        <w:r>
          <w:rPr>
            <w:noProof/>
            <w:webHidden/>
          </w:rPr>
        </w:r>
        <w:r>
          <w:rPr>
            <w:noProof/>
            <w:webHidden/>
          </w:rPr>
          <w:fldChar w:fldCharType="separate"/>
        </w:r>
        <w:r>
          <w:rPr>
            <w:noProof/>
            <w:webHidden/>
          </w:rPr>
          <w:t>71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47" w:history="1">
        <w:r w:rsidRPr="00CD0B56">
          <w:rPr>
            <w:rStyle w:val="Hyperlink"/>
            <w:noProof/>
          </w:rPr>
          <w:t>2.1.79</w:t>
        </w:r>
        <w:r>
          <w:rPr>
            <w:rFonts w:asciiTheme="minorHAnsi" w:eastAsiaTheme="minorEastAsia" w:hAnsiTheme="minorHAnsi" w:cstheme="minorBidi"/>
            <w:noProof/>
            <w:sz w:val="22"/>
            <w:szCs w:val="22"/>
          </w:rPr>
          <w:tab/>
        </w:r>
        <w:r w:rsidRPr="00CD0B56">
          <w:rPr>
            <w:rStyle w:val="Hyperlink"/>
            <w:noProof/>
          </w:rPr>
          <w:t>Part 1 Section 17.3.2.15, highlight (Text Highlighting)</w:t>
        </w:r>
        <w:r>
          <w:rPr>
            <w:noProof/>
            <w:webHidden/>
          </w:rPr>
          <w:tab/>
        </w:r>
        <w:r>
          <w:rPr>
            <w:noProof/>
            <w:webHidden/>
          </w:rPr>
          <w:fldChar w:fldCharType="begin"/>
        </w:r>
        <w:r>
          <w:rPr>
            <w:noProof/>
            <w:webHidden/>
          </w:rPr>
          <w:instrText xml:space="preserve"> PAGEREF _Toc12260147 \h </w:instrText>
        </w:r>
        <w:r>
          <w:rPr>
            <w:noProof/>
            <w:webHidden/>
          </w:rPr>
        </w:r>
        <w:r>
          <w:rPr>
            <w:noProof/>
            <w:webHidden/>
          </w:rPr>
          <w:fldChar w:fldCharType="separate"/>
        </w:r>
        <w:r>
          <w:rPr>
            <w:noProof/>
            <w:webHidden/>
          </w:rPr>
          <w:t>71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48" w:history="1">
        <w:r w:rsidRPr="00CD0B56">
          <w:rPr>
            <w:rStyle w:val="Hyperlink"/>
            <w:noProof/>
          </w:rPr>
          <w:t>2.1.80</w:t>
        </w:r>
        <w:r>
          <w:rPr>
            <w:rFonts w:asciiTheme="minorHAnsi" w:eastAsiaTheme="minorEastAsia" w:hAnsiTheme="minorHAnsi" w:cstheme="minorBidi"/>
            <w:noProof/>
            <w:sz w:val="22"/>
            <w:szCs w:val="22"/>
          </w:rPr>
          <w:tab/>
        </w:r>
        <w:r w:rsidRPr="00CD0B56">
          <w:rPr>
            <w:rStyle w:val="Hyperlink"/>
            <w:noProof/>
          </w:rPr>
          <w:t>Part 1 Section 17.3.2.16, i (Italics)</w:t>
        </w:r>
        <w:r>
          <w:rPr>
            <w:noProof/>
            <w:webHidden/>
          </w:rPr>
          <w:tab/>
        </w:r>
        <w:r>
          <w:rPr>
            <w:noProof/>
            <w:webHidden/>
          </w:rPr>
          <w:fldChar w:fldCharType="begin"/>
        </w:r>
        <w:r>
          <w:rPr>
            <w:noProof/>
            <w:webHidden/>
          </w:rPr>
          <w:instrText xml:space="preserve"> PAGEREF _Toc12260148 \h </w:instrText>
        </w:r>
        <w:r>
          <w:rPr>
            <w:noProof/>
            <w:webHidden/>
          </w:rPr>
        </w:r>
        <w:r>
          <w:rPr>
            <w:noProof/>
            <w:webHidden/>
          </w:rPr>
          <w:fldChar w:fldCharType="separate"/>
        </w:r>
        <w:r>
          <w:rPr>
            <w:noProof/>
            <w:webHidden/>
          </w:rPr>
          <w:t>71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49" w:history="1">
        <w:r w:rsidRPr="00CD0B56">
          <w:rPr>
            <w:rStyle w:val="Hyperlink"/>
            <w:noProof/>
          </w:rPr>
          <w:t>2.1.81</w:t>
        </w:r>
        <w:r>
          <w:rPr>
            <w:rFonts w:asciiTheme="minorHAnsi" w:eastAsiaTheme="minorEastAsia" w:hAnsiTheme="minorHAnsi" w:cstheme="minorBidi"/>
            <w:noProof/>
            <w:sz w:val="22"/>
            <w:szCs w:val="22"/>
          </w:rPr>
          <w:tab/>
        </w:r>
        <w:r w:rsidRPr="00CD0B56">
          <w:rPr>
            <w:rStyle w:val="Hyperlink"/>
            <w:noProof/>
          </w:rPr>
          <w:t>Part 1 Section 17.3.2.17, iCs (Complex Script Italics)</w:t>
        </w:r>
        <w:r>
          <w:rPr>
            <w:noProof/>
            <w:webHidden/>
          </w:rPr>
          <w:tab/>
        </w:r>
        <w:r>
          <w:rPr>
            <w:noProof/>
            <w:webHidden/>
          </w:rPr>
          <w:fldChar w:fldCharType="begin"/>
        </w:r>
        <w:r>
          <w:rPr>
            <w:noProof/>
            <w:webHidden/>
          </w:rPr>
          <w:instrText xml:space="preserve"> PAGEREF _Toc12260149 \h </w:instrText>
        </w:r>
        <w:r>
          <w:rPr>
            <w:noProof/>
            <w:webHidden/>
          </w:rPr>
        </w:r>
        <w:r>
          <w:rPr>
            <w:noProof/>
            <w:webHidden/>
          </w:rPr>
          <w:fldChar w:fldCharType="separate"/>
        </w:r>
        <w:r>
          <w:rPr>
            <w:noProof/>
            <w:webHidden/>
          </w:rPr>
          <w:t>71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50" w:history="1">
        <w:r w:rsidRPr="00CD0B56">
          <w:rPr>
            <w:rStyle w:val="Hyperlink"/>
            <w:noProof/>
          </w:rPr>
          <w:t>2.1.82</w:t>
        </w:r>
        <w:r>
          <w:rPr>
            <w:rFonts w:asciiTheme="minorHAnsi" w:eastAsiaTheme="minorEastAsia" w:hAnsiTheme="minorHAnsi" w:cstheme="minorBidi"/>
            <w:noProof/>
            <w:sz w:val="22"/>
            <w:szCs w:val="22"/>
          </w:rPr>
          <w:tab/>
        </w:r>
        <w:r w:rsidRPr="00CD0B56">
          <w:rPr>
            <w:rStyle w:val="Hyperlink"/>
            <w:noProof/>
          </w:rPr>
          <w:t>Part 1 Section 17.3.2.18, imprint (Imprinting)</w:t>
        </w:r>
        <w:r>
          <w:rPr>
            <w:noProof/>
            <w:webHidden/>
          </w:rPr>
          <w:tab/>
        </w:r>
        <w:r>
          <w:rPr>
            <w:noProof/>
            <w:webHidden/>
          </w:rPr>
          <w:fldChar w:fldCharType="begin"/>
        </w:r>
        <w:r>
          <w:rPr>
            <w:noProof/>
            <w:webHidden/>
          </w:rPr>
          <w:instrText xml:space="preserve"> PAGEREF _Toc12260150 \h </w:instrText>
        </w:r>
        <w:r>
          <w:rPr>
            <w:noProof/>
            <w:webHidden/>
          </w:rPr>
        </w:r>
        <w:r>
          <w:rPr>
            <w:noProof/>
            <w:webHidden/>
          </w:rPr>
          <w:fldChar w:fldCharType="separate"/>
        </w:r>
        <w:r>
          <w:rPr>
            <w:noProof/>
            <w:webHidden/>
          </w:rPr>
          <w:t>72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51" w:history="1">
        <w:r w:rsidRPr="00CD0B56">
          <w:rPr>
            <w:rStyle w:val="Hyperlink"/>
            <w:noProof/>
          </w:rPr>
          <w:t>2.1.83</w:t>
        </w:r>
        <w:r>
          <w:rPr>
            <w:rFonts w:asciiTheme="minorHAnsi" w:eastAsiaTheme="minorEastAsia" w:hAnsiTheme="minorHAnsi" w:cstheme="minorBidi"/>
            <w:noProof/>
            <w:sz w:val="22"/>
            <w:szCs w:val="22"/>
          </w:rPr>
          <w:tab/>
        </w:r>
        <w:r w:rsidRPr="00CD0B56">
          <w:rPr>
            <w:rStyle w:val="Hyperlink"/>
            <w:noProof/>
          </w:rPr>
          <w:t>Part 1 Section 17.3.2.19, kern (Font Kerning)</w:t>
        </w:r>
        <w:r>
          <w:rPr>
            <w:noProof/>
            <w:webHidden/>
          </w:rPr>
          <w:tab/>
        </w:r>
        <w:r>
          <w:rPr>
            <w:noProof/>
            <w:webHidden/>
          </w:rPr>
          <w:fldChar w:fldCharType="begin"/>
        </w:r>
        <w:r>
          <w:rPr>
            <w:noProof/>
            <w:webHidden/>
          </w:rPr>
          <w:instrText xml:space="preserve"> PAGEREF _Toc12260151 \h </w:instrText>
        </w:r>
        <w:r>
          <w:rPr>
            <w:noProof/>
            <w:webHidden/>
          </w:rPr>
        </w:r>
        <w:r>
          <w:rPr>
            <w:noProof/>
            <w:webHidden/>
          </w:rPr>
          <w:fldChar w:fldCharType="separate"/>
        </w:r>
        <w:r>
          <w:rPr>
            <w:noProof/>
            <w:webHidden/>
          </w:rPr>
          <w:t>72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52" w:history="1">
        <w:r w:rsidRPr="00CD0B56">
          <w:rPr>
            <w:rStyle w:val="Hyperlink"/>
            <w:noProof/>
          </w:rPr>
          <w:t>2.1.84</w:t>
        </w:r>
        <w:r>
          <w:rPr>
            <w:rFonts w:asciiTheme="minorHAnsi" w:eastAsiaTheme="minorEastAsia" w:hAnsiTheme="minorHAnsi" w:cstheme="minorBidi"/>
            <w:noProof/>
            <w:sz w:val="22"/>
            <w:szCs w:val="22"/>
          </w:rPr>
          <w:tab/>
        </w:r>
        <w:r w:rsidRPr="00CD0B56">
          <w:rPr>
            <w:rStyle w:val="Hyperlink"/>
            <w:noProof/>
          </w:rPr>
          <w:t>Part 1 Section 17.3.2.20, lang (Languages for Run Content)</w:t>
        </w:r>
        <w:r>
          <w:rPr>
            <w:noProof/>
            <w:webHidden/>
          </w:rPr>
          <w:tab/>
        </w:r>
        <w:r>
          <w:rPr>
            <w:noProof/>
            <w:webHidden/>
          </w:rPr>
          <w:fldChar w:fldCharType="begin"/>
        </w:r>
        <w:r>
          <w:rPr>
            <w:noProof/>
            <w:webHidden/>
          </w:rPr>
          <w:instrText xml:space="preserve"> PAGEREF _Toc12260152 \h </w:instrText>
        </w:r>
        <w:r>
          <w:rPr>
            <w:noProof/>
            <w:webHidden/>
          </w:rPr>
        </w:r>
        <w:r>
          <w:rPr>
            <w:noProof/>
            <w:webHidden/>
          </w:rPr>
          <w:fldChar w:fldCharType="separate"/>
        </w:r>
        <w:r>
          <w:rPr>
            <w:noProof/>
            <w:webHidden/>
          </w:rPr>
          <w:t>72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53" w:history="1">
        <w:r w:rsidRPr="00CD0B56">
          <w:rPr>
            <w:rStyle w:val="Hyperlink"/>
            <w:noProof/>
          </w:rPr>
          <w:t>2.1.85</w:t>
        </w:r>
        <w:r>
          <w:rPr>
            <w:rFonts w:asciiTheme="minorHAnsi" w:eastAsiaTheme="minorEastAsia" w:hAnsiTheme="minorHAnsi" w:cstheme="minorBidi"/>
            <w:noProof/>
            <w:sz w:val="22"/>
            <w:szCs w:val="22"/>
          </w:rPr>
          <w:tab/>
        </w:r>
        <w:r w:rsidRPr="00CD0B56">
          <w:rPr>
            <w:rStyle w:val="Hyperlink"/>
            <w:noProof/>
          </w:rPr>
          <w:t>Part 1 Section 17.3.2.21, noProof (Do Not Check Spelling or Grammar)</w:t>
        </w:r>
        <w:r>
          <w:rPr>
            <w:noProof/>
            <w:webHidden/>
          </w:rPr>
          <w:tab/>
        </w:r>
        <w:r>
          <w:rPr>
            <w:noProof/>
            <w:webHidden/>
          </w:rPr>
          <w:fldChar w:fldCharType="begin"/>
        </w:r>
        <w:r>
          <w:rPr>
            <w:noProof/>
            <w:webHidden/>
          </w:rPr>
          <w:instrText xml:space="preserve"> PAGEREF _Toc12260153 \h </w:instrText>
        </w:r>
        <w:r>
          <w:rPr>
            <w:noProof/>
            <w:webHidden/>
          </w:rPr>
        </w:r>
        <w:r>
          <w:rPr>
            <w:noProof/>
            <w:webHidden/>
          </w:rPr>
          <w:fldChar w:fldCharType="separate"/>
        </w:r>
        <w:r>
          <w:rPr>
            <w:noProof/>
            <w:webHidden/>
          </w:rPr>
          <w:t>72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54" w:history="1">
        <w:r w:rsidRPr="00CD0B56">
          <w:rPr>
            <w:rStyle w:val="Hyperlink"/>
            <w:noProof/>
          </w:rPr>
          <w:t>2.1.86</w:t>
        </w:r>
        <w:r>
          <w:rPr>
            <w:rFonts w:asciiTheme="minorHAnsi" w:eastAsiaTheme="minorEastAsia" w:hAnsiTheme="minorHAnsi" w:cstheme="minorBidi"/>
            <w:noProof/>
            <w:sz w:val="22"/>
            <w:szCs w:val="22"/>
          </w:rPr>
          <w:tab/>
        </w:r>
        <w:r w:rsidRPr="00CD0B56">
          <w:rPr>
            <w:rStyle w:val="Hyperlink"/>
            <w:noProof/>
          </w:rPr>
          <w:t>Part 1 Section 17.3.2.22, oMath (Office Open XML Math)</w:t>
        </w:r>
        <w:r>
          <w:rPr>
            <w:noProof/>
            <w:webHidden/>
          </w:rPr>
          <w:tab/>
        </w:r>
        <w:r>
          <w:rPr>
            <w:noProof/>
            <w:webHidden/>
          </w:rPr>
          <w:fldChar w:fldCharType="begin"/>
        </w:r>
        <w:r>
          <w:rPr>
            <w:noProof/>
            <w:webHidden/>
          </w:rPr>
          <w:instrText xml:space="preserve"> PAGEREF _Toc12260154 \h </w:instrText>
        </w:r>
        <w:r>
          <w:rPr>
            <w:noProof/>
            <w:webHidden/>
          </w:rPr>
        </w:r>
        <w:r>
          <w:rPr>
            <w:noProof/>
            <w:webHidden/>
          </w:rPr>
          <w:fldChar w:fldCharType="separate"/>
        </w:r>
        <w:r>
          <w:rPr>
            <w:noProof/>
            <w:webHidden/>
          </w:rPr>
          <w:t>72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55" w:history="1">
        <w:r w:rsidRPr="00CD0B56">
          <w:rPr>
            <w:rStyle w:val="Hyperlink"/>
            <w:noProof/>
          </w:rPr>
          <w:t>2.1.87</w:t>
        </w:r>
        <w:r>
          <w:rPr>
            <w:rFonts w:asciiTheme="minorHAnsi" w:eastAsiaTheme="minorEastAsia" w:hAnsiTheme="minorHAnsi" w:cstheme="minorBidi"/>
            <w:noProof/>
            <w:sz w:val="22"/>
            <w:szCs w:val="22"/>
          </w:rPr>
          <w:tab/>
        </w:r>
        <w:r w:rsidRPr="00CD0B56">
          <w:rPr>
            <w:rStyle w:val="Hyperlink"/>
            <w:noProof/>
          </w:rPr>
          <w:t>Part 1 Section 17.3.2.25, r (Text Run)</w:t>
        </w:r>
        <w:r>
          <w:rPr>
            <w:noProof/>
            <w:webHidden/>
          </w:rPr>
          <w:tab/>
        </w:r>
        <w:r>
          <w:rPr>
            <w:noProof/>
            <w:webHidden/>
          </w:rPr>
          <w:fldChar w:fldCharType="begin"/>
        </w:r>
        <w:r>
          <w:rPr>
            <w:noProof/>
            <w:webHidden/>
          </w:rPr>
          <w:instrText xml:space="preserve"> PAGEREF _Toc12260155 \h </w:instrText>
        </w:r>
        <w:r>
          <w:rPr>
            <w:noProof/>
            <w:webHidden/>
          </w:rPr>
        </w:r>
        <w:r>
          <w:rPr>
            <w:noProof/>
            <w:webHidden/>
          </w:rPr>
          <w:fldChar w:fldCharType="separate"/>
        </w:r>
        <w:r>
          <w:rPr>
            <w:noProof/>
            <w:webHidden/>
          </w:rPr>
          <w:t>72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56" w:history="1">
        <w:r w:rsidRPr="00CD0B56">
          <w:rPr>
            <w:rStyle w:val="Hyperlink"/>
            <w:noProof/>
          </w:rPr>
          <w:t>2.1.88</w:t>
        </w:r>
        <w:r>
          <w:rPr>
            <w:rFonts w:asciiTheme="minorHAnsi" w:eastAsiaTheme="minorEastAsia" w:hAnsiTheme="minorHAnsi" w:cstheme="minorBidi"/>
            <w:noProof/>
            <w:sz w:val="22"/>
            <w:szCs w:val="22"/>
          </w:rPr>
          <w:tab/>
        </w:r>
        <w:r w:rsidRPr="00CD0B56">
          <w:rPr>
            <w:rStyle w:val="Hyperlink"/>
            <w:noProof/>
          </w:rPr>
          <w:t>Part 1 Section 17.3.2.26, rFonts (Run Fonts)</w:t>
        </w:r>
        <w:r>
          <w:rPr>
            <w:noProof/>
            <w:webHidden/>
          </w:rPr>
          <w:tab/>
        </w:r>
        <w:r>
          <w:rPr>
            <w:noProof/>
            <w:webHidden/>
          </w:rPr>
          <w:fldChar w:fldCharType="begin"/>
        </w:r>
        <w:r>
          <w:rPr>
            <w:noProof/>
            <w:webHidden/>
          </w:rPr>
          <w:instrText xml:space="preserve"> PAGEREF _Toc12260156 \h </w:instrText>
        </w:r>
        <w:r>
          <w:rPr>
            <w:noProof/>
            <w:webHidden/>
          </w:rPr>
        </w:r>
        <w:r>
          <w:rPr>
            <w:noProof/>
            <w:webHidden/>
          </w:rPr>
          <w:fldChar w:fldCharType="separate"/>
        </w:r>
        <w:r>
          <w:rPr>
            <w:noProof/>
            <w:webHidden/>
          </w:rPr>
          <w:t>72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57" w:history="1">
        <w:r w:rsidRPr="00CD0B56">
          <w:rPr>
            <w:rStyle w:val="Hyperlink"/>
            <w:noProof/>
          </w:rPr>
          <w:t>2.1.89</w:t>
        </w:r>
        <w:r>
          <w:rPr>
            <w:rFonts w:asciiTheme="minorHAnsi" w:eastAsiaTheme="minorEastAsia" w:hAnsiTheme="minorHAnsi" w:cstheme="minorBidi"/>
            <w:noProof/>
            <w:sz w:val="22"/>
            <w:szCs w:val="22"/>
          </w:rPr>
          <w:tab/>
        </w:r>
        <w:r w:rsidRPr="00CD0B56">
          <w:rPr>
            <w:rStyle w:val="Hyperlink"/>
            <w:noProof/>
          </w:rPr>
          <w:t>Part 1 Section 17.3.2.27, rPr (Previous Run Properties)</w:t>
        </w:r>
        <w:r>
          <w:rPr>
            <w:noProof/>
            <w:webHidden/>
          </w:rPr>
          <w:tab/>
        </w:r>
        <w:r>
          <w:rPr>
            <w:noProof/>
            <w:webHidden/>
          </w:rPr>
          <w:fldChar w:fldCharType="begin"/>
        </w:r>
        <w:r>
          <w:rPr>
            <w:noProof/>
            <w:webHidden/>
          </w:rPr>
          <w:instrText xml:space="preserve"> PAGEREF _Toc12260157 \h </w:instrText>
        </w:r>
        <w:r>
          <w:rPr>
            <w:noProof/>
            <w:webHidden/>
          </w:rPr>
        </w:r>
        <w:r>
          <w:rPr>
            <w:noProof/>
            <w:webHidden/>
          </w:rPr>
          <w:fldChar w:fldCharType="separate"/>
        </w:r>
        <w:r>
          <w:rPr>
            <w:noProof/>
            <w:webHidden/>
          </w:rPr>
          <w:t>77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58" w:history="1">
        <w:r w:rsidRPr="00CD0B56">
          <w:rPr>
            <w:rStyle w:val="Hyperlink"/>
            <w:noProof/>
          </w:rPr>
          <w:t>2.1.90</w:t>
        </w:r>
        <w:r>
          <w:rPr>
            <w:rFonts w:asciiTheme="minorHAnsi" w:eastAsiaTheme="minorEastAsia" w:hAnsiTheme="minorHAnsi" w:cstheme="minorBidi"/>
            <w:noProof/>
            <w:sz w:val="22"/>
            <w:szCs w:val="22"/>
          </w:rPr>
          <w:tab/>
        </w:r>
        <w:r w:rsidRPr="00CD0B56">
          <w:rPr>
            <w:rStyle w:val="Hyperlink"/>
            <w:noProof/>
          </w:rPr>
          <w:t>Part 1 Section 17.3.2.28, rPr (Run Properties)</w:t>
        </w:r>
        <w:r>
          <w:rPr>
            <w:noProof/>
            <w:webHidden/>
          </w:rPr>
          <w:tab/>
        </w:r>
        <w:r>
          <w:rPr>
            <w:noProof/>
            <w:webHidden/>
          </w:rPr>
          <w:fldChar w:fldCharType="begin"/>
        </w:r>
        <w:r>
          <w:rPr>
            <w:noProof/>
            <w:webHidden/>
          </w:rPr>
          <w:instrText xml:space="preserve"> PAGEREF _Toc12260158 \h </w:instrText>
        </w:r>
        <w:r>
          <w:rPr>
            <w:noProof/>
            <w:webHidden/>
          </w:rPr>
        </w:r>
        <w:r>
          <w:rPr>
            <w:noProof/>
            <w:webHidden/>
          </w:rPr>
          <w:fldChar w:fldCharType="separate"/>
        </w:r>
        <w:r>
          <w:rPr>
            <w:noProof/>
            <w:webHidden/>
          </w:rPr>
          <w:t>77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59" w:history="1">
        <w:r w:rsidRPr="00CD0B56">
          <w:rPr>
            <w:rStyle w:val="Hyperlink"/>
            <w:noProof/>
          </w:rPr>
          <w:t>2.1.91</w:t>
        </w:r>
        <w:r>
          <w:rPr>
            <w:rFonts w:asciiTheme="minorHAnsi" w:eastAsiaTheme="minorEastAsia" w:hAnsiTheme="minorHAnsi" w:cstheme="minorBidi"/>
            <w:noProof/>
            <w:sz w:val="22"/>
            <w:szCs w:val="22"/>
          </w:rPr>
          <w:tab/>
        </w:r>
        <w:r w:rsidRPr="00CD0B56">
          <w:rPr>
            <w:rStyle w:val="Hyperlink"/>
            <w:noProof/>
          </w:rPr>
          <w:t>Part 1 Section 17.3.2.29, rStyle (Referenced Character Style)</w:t>
        </w:r>
        <w:r>
          <w:rPr>
            <w:noProof/>
            <w:webHidden/>
          </w:rPr>
          <w:tab/>
        </w:r>
        <w:r>
          <w:rPr>
            <w:noProof/>
            <w:webHidden/>
          </w:rPr>
          <w:fldChar w:fldCharType="begin"/>
        </w:r>
        <w:r>
          <w:rPr>
            <w:noProof/>
            <w:webHidden/>
          </w:rPr>
          <w:instrText xml:space="preserve"> PAGEREF _Toc12260159 \h </w:instrText>
        </w:r>
        <w:r>
          <w:rPr>
            <w:noProof/>
            <w:webHidden/>
          </w:rPr>
        </w:r>
        <w:r>
          <w:rPr>
            <w:noProof/>
            <w:webHidden/>
          </w:rPr>
          <w:fldChar w:fldCharType="separate"/>
        </w:r>
        <w:r>
          <w:rPr>
            <w:noProof/>
            <w:webHidden/>
          </w:rPr>
          <w:t>77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60" w:history="1">
        <w:r w:rsidRPr="00CD0B56">
          <w:rPr>
            <w:rStyle w:val="Hyperlink"/>
            <w:noProof/>
          </w:rPr>
          <w:t>2.1.92</w:t>
        </w:r>
        <w:r>
          <w:rPr>
            <w:rFonts w:asciiTheme="minorHAnsi" w:eastAsiaTheme="minorEastAsia" w:hAnsiTheme="minorHAnsi" w:cstheme="minorBidi"/>
            <w:noProof/>
            <w:sz w:val="22"/>
            <w:szCs w:val="22"/>
          </w:rPr>
          <w:tab/>
        </w:r>
        <w:r w:rsidRPr="00CD0B56">
          <w:rPr>
            <w:rStyle w:val="Hyperlink"/>
            <w:noProof/>
          </w:rPr>
          <w:t>Part 1 Section 17.3.2.30, rtl (Right To Left Text)</w:t>
        </w:r>
        <w:r>
          <w:rPr>
            <w:noProof/>
            <w:webHidden/>
          </w:rPr>
          <w:tab/>
        </w:r>
        <w:r>
          <w:rPr>
            <w:noProof/>
            <w:webHidden/>
          </w:rPr>
          <w:fldChar w:fldCharType="begin"/>
        </w:r>
        <w:r>
          <w:rPr>
            <w:noProof/>
            <w:webHidden/>
          </w:rPr>
          <w:instrText xml:space="preserve"> PAGEREF _Toc12260160 \h </w:instrText>
        </w:r>
        <w:r>
          <w:rPr>
            <w:noProof/>
            <w:webHidden/>
          </w:rPr>
        </w:r>
        <w:r>
          <w:rPr>
            <w:noProof/>
            <w:webHidden/>
          </w:rPr>
          <w:fldChar w:fldCharType="separate"/>
        </w:r>
        <w:r>
          <w:rPr>
            <w:noProof/>
            <w:webHidden/>
          </w:rPr>
          <w:t>77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61" w:history="1">
        <w:r w:rsidRPr="00CD0B56">
          <w:rPr>
            <w:rStyle w:val="Hyperlink"/>
            <w:noProof/>
          </w:rPr>
          <w:t>2.1.93</w:t>
        </w:r>
        <w:r>
          <w:rPr>
            <w:rFonts w:asciiTheme="minorHAnsi" w:eastAsiaTheme="minorEastAsia" w:hAnsiTheme="minorHAnsi" w:cstheme="minorBidi"/>
            <w:noProof/>
            <w:sz w:val="22"/>
            <w:szCs w:val="22"/>
          </w:rPr>
          <w:tab/>
        </w:r>
        <w:r w:rsidRPr="00CD0B56">
          <w:rPr>
            <w:rStyle w:val="Hyperlink"/>
            <w:noProof/>
          </w:rPr>
          <w:t>Part 1 Section 17.3.2.31, shadow (Shadow)</w:t>
        </w:r>
        <w:r>
          <w:rPr>
            <w:noProof/>
            <w:webHidden/>
          </w:rPr>
          <w:tab/>
        </w:r>
        <w:r>
          <w:rPr>
            <w:noProof/>
            <w:webHidden/>
          </w:rPr>
          <w:fldChar w:fldCharType="begin"/>
        </w:r>
        <w:r>
          <w:rPr>
            <w:noProof/>
            <w:webHidden/>
          </w:rPr>
          <w:instrText xml:space="preserve"> PAGEREF _Toc12260161 \h </w:instrText>
        </w:r>
        <w:r>
          <w:rPr>
            <w:noProof/>
            <w:webHidden/>
          </w:rPr>
        </w:r>
        <w:r>
          <w:rPr>
            <w:noProof/>
            <w:webHidden/>
          </w:rPr>
          <w:fldChar w:fldCharType="separate"/>
        </w:r>
        <w:r>
          <w:rPr>
            <w:noProof/>
            <w:webHidden/>
          </w:rPr>
          <w:t>77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62" w:history="1">
        <w:r w:rsidRPr="00CD0B56">
          <w:rPr>
            <w:rStyle w:val="Hyperlink"/>
            <w:noProof/>
          </w:rPr>
          <w:t>2.1.94</w:t>
        </w:r>
        <w:r>
          <w:rPr>
            <w:rFonts w:asciiTheme="minorHAnsi" w:eastAsiaTheme="minorEastAsia" w:hAnsiTheme="minorHAnsi" w:cstheme="minorBidi"/>
            <w:noProof/>
            <w:sz w:val="22"/>
            <w:szCs w:val="22"/>
          </w:rPr>
          <w:tab/>
        </w:r>
        <w:r w:rsidRPr="00CD0B56">
          <w:rPr>
            <w:rStyle w:val="Hyperlink"/>
            <w:noProof/>
          </w:rPr>
          <w:t>Part 1 Section 17.3.2.32, shd (Run Shading)</w:t>
        </w:r>
        <w:r>
          <w:rPr>
            <w:noProof/>
            <w:webHidden/>
          </w:rPr>
          <w:tab/>
        </w:r>
        <w:r>
          <w:rPr>
            <w:noProof/>
            <w:webHidden/>
          </w:rPr>
          <w:fldChar w:fldCharType="begin"/>
        </w:r>
        <w:r>
          <w:rPr>
            <w:noProof/>
            <w:webHidden/>
          </w:rPr>
          <w:instrText xml:space="preserve"> PAGEREF _Toc12260162 \h </w:instrText>
        </w:r>
        <w:r>
          <w:rPr>
            <w:noProof/>
            <w:webHidden/>
          </w:rPr>
        </w:r>
        <w:r>
          <w:rPr>
            <w:noProof/>
            <w:webHidden/>
          </w:rPr>
          <w:fldChar w:fldCharType="separate"/>
        </w:r>
        <w:r>
          <w:rPr>
            <w:noProof/>
            <w:webHidden/>
          </w:rPr>
          <w:t>77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63" w:history="1">
        <w:r w:rsidRPr="00CD0B56">
          <w:rPr>
            <w:rStyle w:val="Hyperlink"/>
            <w:noProof/>
          </w:rPr>
          <w:t>2.1.95</w:t>
        </w:r>
        <w:r>
          <w:rPr>
            <w:rFonts w:asciiTheme="minorHAnsi" w:eastAsiaTheme="minorEastAsia" w:hAnsiTheme="minorHAnsi" w:cstheme="minorBidi"/>
            <w:noProof/>
            <w:sz w:val="22"/>
            <w:szCs w:val="22"/>
          </w:rPr>
          <w:tab/>
        </w:r>
        <w:r w:rsidRPr="00CD0B56">
          <w:rPr>
            <w:rStyle w:val="Hyperlink"/>
            <w:noProof/>
          </w:rPr>
          <w:t>Part 1 Section 17.3.2.33, smallCaps (Small Caps)</w:t>
        </w:r>
        <w:r>
          <w:rPr>
            <w:noProof/>
            <w:webHidden/>
          </w:rPr>
          <w:tab/>
        </w:r>
        <w:r>
          <w:rPr>
            <w:noProof/>
            <w:webHidden/>
          </w:rPr>
          <w:fldChar w:fldCharType="begin"/>
        </w:r>
        <w:r>
          <w:rPr>
            <w:noProof/>
            <w:webHidden/>
          </w:rPr>
          <w:instrText xml:space="preserve"> PAGEREF _Toc12260163 \h </w:instrText>
        </w:r>
        <w:r>
          <w:rPr>
            <w:noProof/>
            <w:webHidden/>
          </w:rPr>
        </w:r>
        <w:r>
          <w:rPr>
            <w:noProof/>
            <w:webHidden/>
          </w:rPr>
          <w:fldChar w:fldCharType="separate"/>
        </w:r>
        <w:r>
          <w:rPr>
            <w:noProof/>
            <w:webHidden/>
          </w:rPr>
          <w:t>77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64" w:history="1">
        <w:r w:rsidRPr="00CD0B56">
          <w:rPr>
            <w:rStyle w:val="Hyperlink"/>
            <w:noProof/>
          </w:rPr>
          <w:t>2.1.96</w:t>
        </w:r>
        <w:r>
          <w:rPr>
            <w:rFonts w:asciiTheme="minorHAnsi" w:eastAsiaTheme="minorEastAsia" w:hAnsiTheme="minorHAnsi" w:cstheme="minorBidi"/>
            <w:noProof/>
            <w:sz w:val="22"/>
            <w:szCs w:val="22"/>
          </w:rPr>
          <w:tab/>
        </w:r>
        <w:r w:rsidRPr="00CD0B56">
          <w:rPr>
            <w:rStyle w:val="Hyperlink"/>
            <w:noProof/>
          </w:rPr>
          <w:t>Part 1 Section 17.3.2.35, spacing (Character Spacing Adjustment)</w:t>
        </w:r>
        <w:r>
          <w:rPr>
            <w:noProof/>
            <w:webHidden/>
          </w:rPr>
          <w:tab/>
        </w:r>
        <w:r>
          <w:rPr>
            <w:noProof/>
            <w:webHidden/>
          </w:rPr>
          <w:fldChar w:fldCharType="begin"/>
        </w:r>
        <w:r>
          <w:rPr>
            <w:noProof/>
            <w:webHidden/>
          </w:rPr>
          <w:instrText xml:space="preserve"> PAGEREF _Toc12260164 \h </w:instrText>
        </w:r>
        <w:r>
          <w:rPr>
            <w:noProof/>
            <w:webHidden/>
          </w:rPr>
        </w:r>
        <w:r>
          <w:rPr>
            <w:noProof/>
            <w:webHidden/>
          </w:rPr>
          <w:fldChar w:fldCharType="separate"/>
        </w:r>
        <w:r>
          <w:rPr>
            <w:noProof/>
            <w:webHidden/>
          </w:rPr>
          <w:t>77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65" w:history="1">
        <w:r w:rsidRPr="00CD0B56">
          <w:rPr>
            <w:rStyle w:val="Hyperlink"/>
            <w:noProof/>
          </w:rPr>
          <w:t>2.1.97</w:t>
        </w:r>
        <w:r>
          <w:rPr>
            <w:rFonts w:asciiTheme="minorHAnsi" w:eastAsiaTheme="minorEastAsia" w:hAnsiTheme="minorHAnsi" w:cstheme="minorBidi"/>
            <w:noProof/>
            <w:sz w:val="22"/>
            <w:szCs w:val="22"/>
          </w:rPr>
          <w:tab/>
        </w:r>
        <w:r w:rsidRPr="00CD0B56">
          <w:rPr>
            <w:rStyle w:val="Hyperlink"/>
            <w:noProof/>
          </w:rPr>
          <w:t>Part 1 Section 17.3.2.36, specVanish (Paragraph Mark Is Always Hidden)</w:t>
        </w:r>
        <w:r>
          <w:rPr>
            <w:noProof/>
            <w:webHidden/>
          </w:rPr>
          <w:tab/>
        </w:r>
        <w:r>
          <w:rPr>
            <w:noProof/>
            <w:webHidden/>
          </w:rPr>
          <w:fldChar w:fldCharType="begin"/>
        </w:r>
        <w:r>
          <w:rPr>
            <w:noProof/>
            <w:webHidden/>
          </w:rPr>
          <w:instrText xml:space="preserve"> PAGEREF _Toc12260165 \h </w:instrText>
        </w:r>
        <w:r>
          <w:rPr>
            <w:noProof/>
            <w:webHidden/>
          </w:rPr>
        </w:r>
        <w:r>
          <w:rPr>
            <w:noProof/>
            <w:webHidden/>
          </w:rPr>
          <w:fldChar w:fldCharType="separate"/>
        </w:r>
        <w:r>
          <w:rPr>
            <w:noProof/>
            <w:webHidden/>
          </w:rPr>
          <w:t>78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66" w:history="1">
        <w:r w:rsidRPr="00CD0B56">
          <w:rPr>
            <w:rStyle w:val="Hyperlink"/>
            <w:noProof/>
          </w:rPr>
          <w:t>2.1.98</w:t>
        </w:r>
        <w:r>
          <w:rPr>
            <w:rFonts w:asciiTheme="minorHAnsi" w:eastAsiaTheme="minorEastAsia" w:hAnsiTheme="minorHAnsi" w:cstheme="minorBidi"/>
            <w:noProof/>
            <w:sz w:val="22"/>
            <w:szCs w:val="22"/>
          </w:rPr>
          <w:tab/>
        </w:r>
        <w:r w:rsidRPr="00CD0B56">
          <w:rPr>
            <w:rStyle w:val="Hyperlink"/>
            <w:noProof/>
          </w:rPr>
          <w:t>Part 1 Section 17.3.2.38, sz (Non-Complex Script Font Size)</w:t>
        </w:r>
        <w:r>
          <w:rPr>
            <w:noProof/>
            <w:webHidden/>
          </w:rPr>
          <w:tab/>
        </w:r>
        <w:r>
          <w:rPr>
            <w:noProof/>
            <w:webHidden/>
          </w:rPr>
          <w:fldChar w:fldCharType="begin"/>
        </w:r>
        <w:r>
          <w:rPr>
            <w:noProof/>
            <w:webHidden/>
          </w:rPr>
          <w:instrText xml:space="preserve"> PAGEREF _Toc12260166 \h </w:instrText>
        </w:r>
        <w:r>
          <w:rPr>
            <w:noProof/>
            <w:webHidden/>
          </w:rPr>
        </w:r>
        <w:r>
          <w:rPr>
            <w:noProof/>
            <w:webHidden/>
          </w:rPr>
          <w:fldChar w:fldCharType="separate"/>
        </w:r>
        <w:r>
          <w:rPr>
            <w:noProof/>
            <w:webHidden/>
          </w:rPr>
          <w:t>78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67" w:history="1">
        <w:r w:rsidRPr="00CD0B56">
          <w:rPr>
            <w:rStyle w:val="Hyperlink"/>
            <w:noProof/>
          </w:rPr>
          <w:t>2.1.99</w:t>
        </w:r>
        <w:r>
          <w:rPr>
            <w:rFonts w:asciiTheme="minorHAnsi" w:eastAsiaTheme="minorEastAsia" w:hAnsiTheme="minorHAnsi" w:cstheme="minorBidi"/>
            <w:noProof/>
            <w:sz w:val="22"/>
            <w:szCs w:val="22"/>
          </w:rPr>
          <w:tab/>
        </w:r>
        <w:r w:rsidRPr="00CD0B56">
          <w:rPr>
            <w:rStyle w:val="Hyperlink"/>
            <w:noProof/>
          </w:rPr>
          <w:t>Part 1 Section 17.3.2.39, szCs (Complex Script Font Size)</w:t>
        </w:r>
        <w:r>
          <w:rPr>
            <w:noProof/>
            <w:webHidden/>
          </w:rPr>
          <w:tab/>
        </w:r>
        <w:r>
          <w:rPr>
            <w:noProof/>
            <w:webHidden/>
          </w:rPr>
          <w:fldChar w:fldCharType="begin"/>
        </w:r>
        <w:r>
          <w:rPr>
            <w:noProof/>
            <w:webHidden/>
          </w:rPr>
          <w:instrText xml:space="preserve"> PAGEREF _Toc12260167 \h </w:instrText>
        </w:r>
        <w:r>
          <w:rPr>
            <w:noProof/>
            <w:webHidden/>
          </w:rPr>
        </w:r>
        <w:r>
          <w:rPr>
            <w:noProof/>
            <w:webHidden/>
          </w:rPr>
          <w:fldChar w:fldCharType="separate"/>
        </w:r>
        <w:r>
          <w:rPr>
            <w:noProof/>
            <w:webHidden/>
          </w:rPr>
          <w:t>78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68" w:history="1">
        <w:r w:rsidRPr="00CD0B56">
          <w:rPr>
            <w:rStyle w:val="Hyperlink"/>
            <w:noProof/>
          </w:rPr>
          <w:t>2.1.100</w:t>
        </w:r>
        <w:r>
          <w:rPr>
            <w:rFonts w:asciiTheme="minorHAnsi" w:eastAsiaTheme="minorEastAsia" w:hAnsiTheme="minorHAnsi" w:cstheme="minorBidi"/>
            <w:noProof/>
            <w:sz w:val="22"/>
            <w:szCs w:val="22"/>
          </w:rPr>
          <w:tab/>
        </w:r>
        <w:r w:rsidRPr="00CD0B56">
          <w:rPr>
            <w:rStyle w:val="Hyperlink"/>
            <w:noProof/>
          </w:rPr>
          <w:t>Part 1 Section 17.3.2.40, u (Underline)</w:t>
        </w:r>
        <w:r>
          <w:rPr>
            <w:noProof/>
            <w:webHidden/>
          </w:rPr>
          <w:tab/>
        </w:r>
        <w:r>
          <w:rPr>
            <w:noProof/>
            <w:webHidden/>
          </w:rPr>
          <w:fldChar w:fldCharType="begin"/>
        </w:r>
        <w:r>
          <w:rPr>
            <w:noProof/>
            <w:webHidden/>
          </w:rPr>
          <w:instrText xml:space="preserve"> PAGEREF _Toc12260168 \h </w:instrText>
        </w:r>
        <w:r>
          <w:rPr>
            <w:noProof/>
            <w:webHidden/>
          </w:rPr>
        </w:r>
        <w:r>
          <w:rPr>
            <w:noProof/>
            <w:webHidden/>
          </w:rPr>
          <w:fldChar w:fldCharType="separate"/>
        </w:r>
        <w:r>
          <w:rPr>
            <w:noProof/>
            <w:webHidden/>
          </w:rPr>
          <w:t>78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69" w:history="1">
        <w:r w:rsidRPr="00CD0B56">
          <w:rPr>
            <w:rStyle w:val="Hyperlink"/>
            <w:noProof/>
          </w:rPr>
          <w:t>2.1.101</w:t>
        </w:r>
        <w:r>
          <w:rPr>
            <w:rFonts w:asciiTheme="minorHAnsi" w:eastAsiaTheme="minorEastAsia" w:hAnsiTheme="minorHAnsi" w:cstheme="minorBidi"/>
            <w:noProof/>
            <w:sz w:val="22"/>
            <w:szCs w:val="22"/>
          </w:rPr>
          <w:tab/>
        </w:r>
        <w:r w:rsidRPr="00CD0B56">
          <w:rPr>
            <w:rStyle w:val="Hyperlink"/>
            <w:noProof/>
          </w:rPr>
          <w:t>Part 1 Section 17.3.2.44, webHidden (Web Hidden Text)</w:t>
        </w:r>
        <w:r>
          <w:rPr>
            <w:noProof/>
            <w:webHidden/>
          </w:rPr>
          <w:tab/>
        </w:r>
        <w:r>
          <w:rPr>
            <w:noProof/>
            <w:webHidden/>
          </w:rPr>
          <w:fldChar w:fldCharType="begin"/>
        </w:r>
        <w:r>
          <w:rPr>
            <w:noProof/>
            <w:webHidden/>
          </w:rPr>
          <w:instrText xml:space="preserve"> PAGEREF _Toc12260169 \h </w:instrText>
        </w:r>
        <w:r>
          <w:rPr>
            <w:noProof/>
            <w:webHidden/>
          </w:rPr>
        </w:r>
        <w:r>
          <w:rPr>
            <w:noProof/>
            <w:webHidden/>
          </w:rPr>
          <w:fldChar w:fldCharType="separate"/>
        </w:r>
        <w:r>
          <w:rPr>
            <w:noProof/>
            <w:webHidden/>
          </w:rPr>
          <w:t>78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70" w:history="1">
        <w:r w:rsidRPr="00CD0B56">
          <w:rPr>
            <w:rStyle w:val="Hyperlink"/>
            <w:noProof/>
          </w:rPr>
          <w:t>2.1.102</w:t>
        </w:r>
        <w:r>
          <w:rPr>
            <w:rFonts w:asciiTheme="minorHAnsi" w:eastAsiaTheme="minorEastAsia" w:hAnsiTheme="minorHAnsi" w:cstheme="minorBidi"/>
            <w:noProof/>
            <w:sz w:val="22"/>
            <w:szCs w:val="22"/>
          </w:rPr>
          <w:tab/>
        </w:r>
        <w:r w:rsidRPr="00CD0B56">
          <w:rPr>
            <w:rStyle w:val="Hyperlink"/>
            <w:noProof/>
          </w:rPr>
          <w:t>Part 1 Section 17.3.3.2, contentPart (Content Part)</w:t>
        </w:r>
        <w:r>
          <w:rPr>
            <w:noProof/>
            <w:webHidden/>
          </w:rPr>
          <w:tab/>
        </w:r>
        <w:r>
          <w:rPr>
            <w:noProof/>
            <w:webHidden/>
          </w:rPr>
          <w:fldChar w:fldCharType="begin"/>
        </w:r>
        <w:r>
          <w:rPr>
            <w:noProof/>
            <w:webHidden/>
          </w:rPr>
          <w:instrText xml:space="preserve"> PAGEREF _Toc12260170 \h </w:instrText>
        </w:r>
        <w:r>
          <w:rPr>
            <w:noProof/>
            <w:webHidden/>
          </w:rPr>
        </w:r>
        <w:r>
          <w:rPr>
            <w:noProof/>
            <w:webHidden/>
          </w:rPr>
          <w:fldChar w:fldCharType="separate"/>
        </w:r>
        <w:r>
          <w:rPr>
            <w:noProof/>
            <w:webHidden/>
          </w:rPr>
          <w:t>79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71" w:history="1">
        <w:r w:rsidRPr="00CD0B56">
          <w:rPr>
            <w:rStyle w:val="Hyperlink"/>
            <w:noProof/>
          </w:rPr>
          <w:t>2.1.103</w:t>
        </w:r>
        <w:r>
          <w:rPr>
            <w:rFonts w:asciiTheme="minorHAnsi" w:eastAsiaTheme="minorEastAsia" w:hAnsiTheme="minorHAnsi" w:cstheme="minorBidi"/>
            <w:noProof/>
            <w:sz w:val="22"/>
            <w:szCs w:val="22"/>
          </w:rPr>
          <w:tab/>
        </w:r>
        <w:r w:rsidRPr="00CD0B56">
          <w:rPr>
            <w:rStyle w:val="Hyperlink"/>
            <w:noProof/>
          </w:rPr>
          <w:t>Part 1 Section 17.3.3.3, control (Embedded Control)</w:t>
        </w:r>
        <w:r>
          <w:rPr>
            <w:noProof/>
            <w:webHidden/>
          </w:rPr>
          <w:tab/>
        </w:r>
        <w:r>
          <w:rPr>
            <w:noProof/>
            <w:webHidden/>
          </w:rPr>
          <w:fldChar w:fldCharType="begin"/>
        </w:r>
        <w:r>
          <w:rPr>
            <w:noProof/>
            <w:webHidden/>
          </w:rPr>
          <w:instrText xml:space="preserve"> PAGEREF _Toc12260171 \h </w:instrText>
        </w:r>
        <w:r>
          <w:rPr>
            <w:noProof/>
            <w:webHidden/>
          </w:rPr>
        </w:r>
        <w:r>
          <w:rPr>
            <w:noProof/>
            <w:webHidden/>
          </w:rPr>
          <w:fldChar w:fldCharType="separate"/>
        </w:r>
        <w:r>
          <w:rPr>
            <w:noProof/>
            <w:webHidden/>
          </w:rPr>
          <w:t>79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72" w:history="1">
        <w:r w:rsidRPr="00CD0B56">
          <w:rPr>
            <w:rStyle w:val="Hyperlink"/>
            <w:noProof/>
          </w:rPr>
          <w:t>2.1.104</w:t>
        </w:r>
        <w:r>
          <w:rPr>
            <w:rFonts w:asciiTheme="minorHAnsi" w:eastAsiaTheme="minorEastAsia" w:hAnsiTheme="minorHAnsi" w:cstheme="minorBidi"/>
            <w:noProof/>
            <w:sz w:val="22"/>
            <w:szCs w:val="22"/>
          </w:rPr>
          <w:tab/>
        </w:r>
        <w:r w:rsidRPr="00CD0B56">
          <w:rPr>
            <w:rStyle w:val="Hyperlink"/>
            <w:noProof/>
          </w:rPr>
          <w:t>Part 1 Section 17.3.3.9, drawing (DrawingML Object)</w:t>
        </w:r>
        <w:r>
          <w:rPr>
            <w:noProof/>
            <w:webHidden/>
          </w:rPr>
          <w:tab/>
        </w:r>
        <w:r>
          <w:rPr>
            <w:noProof/>
            <w:webHidden/>
          </w:rPr>
          <w:fldChar w:fldCharType="begin"/>
        </w:r>
        <w:r>
          <w:rPr>
            <w:noProof/>
            <w:webHidden/>
          </w:rPr>
          <w:instrText xml:space="preserve"> PAGEREF _Toc12260172 \h </w:instrText>
        </w:r>
        <w:r>
          <w:rPr>
            <w:noProof/>
            <w:webHidden/>
          </w:rPr>
        </w:r>
        <w:r>
          <w:rPr>
            <w:noProof/>
            <w:webHidden/>
          </w:rPr>
          <w:fldChar w:fldCharType="separate"/>
        </w:r>
        <w:r>
          <w:rPr>
            <w:noProof/>
            <w:webHidden/>
          </w:rPr>
          <w:t>79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73" w:history="1">
        <w:r w:rsidRPr="00CD0B56">
          <w:rPr>
            <w:rStyle w:val="Hyperlink"/>
            <w:noProof/>
          </w:rPr>
          <w:t>2.1.105</w:t>
        </w:r>
        <w:r>
          <w:rPr>
            <w:rFonts w:asciiTheme="minorHAnsi" w:eastAsiaTheme="minorEastAsia" w:hAnsiTheme="minorHAnsi" w:cstheme="minorBidi"/>
            <w:noProof/>
            <w:sz w:val="22"/>
            <w:szCs w:val="22"/>
          </w:rPr>
          <w:tab/>
        </w:r>
        <w:r w:rsidRPr="00CD0B56">
          <w:rPr>
            <w:rStyle w:val="Hyperlink"/>
            <w:noProof/>
          </w:rPr>
          <w:t>Part 1 Section 17.3.3.12, hpsRaise (Distance Between Phonetic Guide Text and Phonetic Guide Base Text)</w:t>
        </w:r>
        <w:r>
          <w:rPr>
            <w:noProof/>
            <w:webHidden/>
          </w:rPr>
          <w:tab/>
        </w:r>
        <w:r>
          <w:rPr>
            <w:noProof/>
            <w:webHidden/>
          </w:rPr>
          <w:fldChar w:fldCharType="begin"/>
        </w:r>
        <w:r>
          <w:rPr>
            <w:noProof/>
            <w:webHidden/>
          </w:rPr>
          <w:instrText xml:space="preserve"> PAGEREF _Toc12260173 \h </w:instrText>
        </w:r>
        <w:r>
          <w:rPr>
            <w:noProof/>
            <w:webHidden/>
          </w:rPr>
        </w:r>
        <w:r>
          <w:rPr>
            <w:noProof/>
            <w:webHidden/>
          </w:rPr>
          <w:fldChar w:fldCharType="separate"/>
        </w:r>
        <w:r>
          <w:rPr>
            <w:noProof/>
            <w:webHidden/>
          </w:rPr>
          <w:t>79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74" w:history="1">
        <w:r w:rsidRPr="00CD0B56">
          <w:rPr>
            <w:rStyle w:val="Hyperlink"/>
            <w:noProof/>
          </w:rPr>
          <w:t>2.1.106</w:t>
        </w:r>
        <w:r>
          <w:rPr>
            <w:rFonts w:asciiTheme="minorHAnsi" w:eastAsiaTheme="minorEastAsia" w:hAnsiTheme="minorHAnsi" w:cstheme="minorBidi"/>
            <w:noProof/>
            <w:sz w:val="22"/>
            <w:szCs w:val="22"/>
          </w:rPr>
          <w:tab/>
        </w:r>
        <w:r w:rsidRPr="00CD0B56">
          <w:rPr>
            <w:rStyle w:val="Hyperlink"/>
            <w:noProof/>
          </w:rPr>
          <w:t>Part 1 Section 17.3.3.13, lastRenderedPageBreak (Position of Last Calculated Page Break)</w:t>
        </w:r>
        <w:r>
          <w:rPr>
            <w:noProof/>
            <w:webHidden/>
          </w:rPr>
          <w:tab/>
        </w:r>
        <w:r>
          <w:rPr>
            <w:noProof/>
            <w:webHidden/>
          </w:rPr>
          <w:fldChar w:fldCharType="begin"/>
        </w:r>
        <w:r>
          <w:rPr>
            <w:noProof/>
            <w:webHidden/>
          </w:rPr>
          <w:instrText xml:space="preserve"> PAGEREF _Toc12260174 \h </w:instrText>
        </w:r>
        <w:r>
          <w:rPr>
            <w:noProof/>
            <w:webHidden/>
          </w:rPr>
        </w:r>
        <w:r>
          <w:rPr>
            <w:noProof/>
            <w:webHidden/>
          </w:rPr>
          <w:fldChar w:fldCharType="separate"/>
        </w:r>
        <w:r>
          <w:rPr>
            <w:noProof/>
            <w:webHidden/>
          </w:rPr>
          <w:t>79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75" w:history="1">
        <w:r w:rsidRPr="00CD0B56">
          <w:rPr>
            <w:rStyle w:val="Hyperlink"/>
            <w:noProof/>
          </w:rPr>
          <w:t>2.1.107</w:t>
        </w:r>
        <w:r>
          <w:rPr>
            <w:rFonts w:asciiTheme="minorHAnsi" w:eastAsiaTheme="minorEastAsia" w:hAnsiTheme="minorHAnsi" w:cstheme="minorBidi"/>
            <w:noProof/>
            <w:sz w:val="22"/>
            <w:szCs w:val="22"/>
          </w:rPr>
          <w:tab/>
        </w:r>
        <w:r w:rsidRPr="00CD0B56">
          <w:rPr>
            <w:rStyle w:val="Hyperlink"/>
            <w:noProof/>
          </w:rPr>
          <w:t>Part 1 Section 17.3.3.14, lid (Language ID for Phonetic Guide)</w:t>
        </w:r>
        <w:r>
          <w:rPr>
            <w:noProof/>
            <w:webHidden/>
          </w:rPr>
          <w:tab/>
        </w:r>
        <w:r>
          <w:rPr>
            <w:noProof/>
            <w:webHidden/>
          </w:rPr>
          <w:fldChar w:fldCharType="begin"/>
        </w:r>
        <w:r>
          <w:rPr>
            <w:noProof/>
            <w:webHidden/>
          </w:rPr>
          <w:instrText xml:space="preserve"> PAGEREF _Toc12260175 \h </w:instrText>
        </w:r>
        <w:r>
          <w:rPr>
            <w:noProof/>
            <w:webHidden/>
          </w:rPr>
        </w:r>
        <w:r>
          <w:rPr>
            <w:noProof/>
            <w:webHidden/>
          </w:rPr>
          <w:fldChar w:fldCharType="separate"/>
        </w:r>
        <w:r>
          <w:rPr>
            <w:noProof/>
            <w:webHidden/>
          </w:rPr>
          <w:t>79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76" w:history="1">
        <w:r w:rsidRPr="00CD0B56">
          <w:rPr>
            <w:rStyle w:val="Hyperlink"/>
            <w:noProof/>
          </w:rPr>
          <w:t>2.1.108</w:t>
        </w:r>
        <w:r>
          <w:rPr>
            <w:rFonts w:asciiTheme="minorHAnsi" w:eastAsiaTheme="minorEastAsia" w:hAnsiTheme="minorHAnsi" w:cstheme="minorBidi"/>
            <w:noProof/>
            <w:sz w:val="22"/>
            <w:szCs w:val="22"/>
          </w:rPr>
          <w:tab/>
        </w:r>
        <w:r w:rsidRPr="00CD0B56">
          <w:rPr>
            <w:rStyle w:val="Hyperlink"/>
            <w:noProof/>
          </w:rPr>
          <w:t>Part 1 Section 17.3.3.17, movie (Embedded Video)</w:t>
        </w:r>
        <w:r>
          <w:rPr>
            <w:noProof/>
            <w:webHidden/>
          </w:rPr>
          <w:tab/>
        </w:r>
        <w:r>
          <w:rPr>
            <w:noProof/>
            <w:webHidden/>
          </w:rPr>
          <w:fldChar w:fldCharType="begin"/>
        </w:r>
        <w:r>
          <w:rPr>
            <w:noProof/>
            <w:webHidden/>
          </w:rPr>
          <w:instrText xml:space="preserve"> PAGEREF _Toc12260176 \h </w:instrText>
        </w:r>
        <w:r>
          <w:rPr>
            <w:noProof/>
            <w:webHidden/>
          </w:rPr>
        </w:r>
        <w:r>
          <w:rPr>
            <w:noProof/>
            <w:webHidden/>
          </w:rPr>
          <w:fldChar w:fldCharType="separate"/>
        </w:r>
        <w:r>
          <w:rPr>
            <w:noProof/>
            <w:webHidden/>
          </w:rPr>
          <w:t>80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77" w:history="1">
        <w:r w:rsidRPr="00CD0B56">
          <w:rPr>
            <w:rStyle w:val="Hyperlink"/>
            <w:noProof/>
          </w:rPr>
          <w:t>2.1.109</w:t>
        </w:r>
        <w:r>
          <w:rPr>
            <w:rFonts w:asciiTheme="minorHAnsi" w:eastAsiaTheme="minorEastAsia" w:hAnsiTheme="minorHAnsi" w:cstheme="minorBidi"/>
            <w:noProof/>
            <w:sz w:val="22"/>
            <w:szCs w:val="22"/>
          </w:rPr>
          <w:tab/>
        </w:r>
        <w:r w:rsidRPr="00CD0B56">
          <w:rPr>
            <w:rStyle w:val="Hyperlink"/>
            <w:noProof/>
          </w:rPr>
          <w:t>Part 1 Section 17.3.3.19, object (Embedded Object)</w:t>
        </w:r>
        <w:r>
          <w:rPr>
            <w:noProof/>
            <w:webHidden/>
          </w:rPr>
          <w:tab/>
        </w:r>
        <w:r>
          <w:rPr>
            <w:noProof/>
            <w:webHidden/>
          </w:rPr>
          <w:fldChar w:fldCharType="begin"/>
        </w:r>
        <w:r>
          <w:rPr>
            <w:noProof/>
            <w:webHidden/>
          </w:rPr>
          <w:instrText xml:space="preserve"> PAGEREF _Toc12260177 \h </w:instrText>
        </w:r>
        <w:r>
          <w:rPr>
            <w:noProof/>
            <w:webHidden/>
          </w:rPr>
        </w:r>
        <w:r>
          <w:rPr>
            <w:noProof/>
            <w:webHidden/>
          </w:rPr>
          <w:fldChar w:fldCharType="separate"/>
        </w:r>
        <w:r>
          <w:rPr>
            <w:noProof/>
            <w:webHidden/>
          </w:rPr>
          <w:t>80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78" w:history="1">
        <w:r w:rsidRPr="00CD0B56">
          <w:rPr>
            <w:rStyle w:val="Hyperlink"/>
            <w:noProof/>
          </w:rPr>
          <w:t>2.1.110</w:t>
        </w:r>
        <w:r>
          <w:rPr>
            <w:rFonts w:asciiTheme="minorHAnsi" w:eastAsiaTheme="minorEastAsia" w:hAnsiTheme="minorHAnsi" w:cstheme="minorBidi"/>
            <w:noProof/>
            <w:sz w:val="22"/>
            <w:szCs w:val="22"/>
          </w:rPr>
          <w:tab/>
        </w:r>
        <w:r w:rsidRPr="00CD0B56">
          <w:rPr>
            <w:rStyle w:val="Hyperlink"/>
            <w:noProof/>
          </w:rPr>
          <w:t>Part 1 Section 17.3.3.20, objectEmbed (Embedded Object Properties)</w:t>
        </w:r>
        <w:r>
          <w:rPr>
            <w:noProof/>
            <w:webHidden/>
          </w:rPr>
          <w:tab/>
        </w:r>
        <w:r>
          <w:rPr>
            <w:noProof/>
            <w:webHidden/>
          </w:rPr>
          <w:fldChar w:fldCharType="begin"/>
        </w:r>
        <w:r>
          <w:rPr>
            <w:noProof/>
            <w:webHidden/>
          </w:rPr>
          <w:instrText xml:space="preserve"> PAGEREF _Toc12260178 \h </w:instrText>
        </w:r>
        <w:r>
          <w:rPr>
            <w:noProof/>
            <w:webHidden/>
          </w:rPr>
        </w:r>
        <w:r>
          <w:rPr>
            <w:noProof/>
            <w:webHidden/>
          </w:rPr>
          <w:fldChar w:fldCharType="separate"/>
        </w:r>
        <w:r>
          <w:rPr>
            <w:noProof/>
            <w:webHidden/>
          </w:rPr>
          <w:t>80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79" w:history="1">
        <w:r w:rsidRPr="00CD0B56">
          <w:rPr>
            <w:rStyle w:val="Hyperlink"/>
            <w:noProof/>
          </w:rPr>
          <w:t>2.1.111</w:t>
        </w:r>
        <w:r>
          <w:rPr>
            <w:rFonts w:asciiTheme="minorHAnsi" w:eastAsiaTheme="minorEastAsia" w:hAnsiTheme="minorHAnsi" w:cstheme="minorBidi"/>
            <w:noProof/>
            <w:sz w:val="22"/>
            <w:szCs w:val="22"/>
          </w:rPr>
          <w:tab/>
        </w:r>
        <w:r w:rsidRPr="00CD0B56">
          <w:rPr>
            <w:rStyle w:val="Hyperlink"/>
            <w:noProof/>
          </w:rPr>
          <w:t>Part 1 Section 17.3.3.21, objectLink (Linked Object Properties)</w:t>
        </w:r>
        <w:r>
          <w:rPr>
            <w:noProof/>
            <w:webHidden/>
          </w:rPr>
          <w:tab/>
        </w:r>
        <w:r>
          <w:rPr>
            <w:noProof/>
            <w:webHidden/>
          </w:rPr>
          <w:fldChar w:fldCharType="begin"/>
        </w:r>
        <w:r>
          <w:rPr>
            <w:noProof/>
            <w:webHidden/>
          </w:rPr>
          <w:instrText xml:space="preserve"> PAGEREF _Toc12260179 \h </w:instrText>
        </w:r>
        <w:r>
          <w:rPr>
            <w:noProof/>
            <w:webHidden/>
          </w:rPr>
        </w:r>
        <w:r>
          <w:rPr>
            <w:noProof/>
            <w:webHidden/>
          </w:rPr>
          <w:fldChar w:fldCharType="separate"/>
        </w:r>
        <w:r>
          <w:rPr>
            <w:noProof/>
            <w:webHidden/>
          </w:rPr>
          <w:t>80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80" w:history="1">
        <w:r w:rsidRPr="00CD0B56">
          <w:rPr>
            <w:rStyle w:val="Hyperlink"/>
            <w:noProof/>
          </w:rPr>
          <w:t>2.1.112</w:t>
        </w:r>
        <w:r>
          <w:rPr>
            <w:rFonts w:asciiTheme="minorHAnsi" w:eastAsiaTheme="minorEastAsia" w:hAnsiTheme="minorHAnsi" w:cstheme="minorBidi"/>
            <w:noProof/>
            <w:sz w:val="22"/>
            <w:szCs w:val="22"/>
          </w:rPr>
          <w:tab/>
        </w:r>
        <w:r w:rsidRPr="00CD0B56">
          <w:rPr>
            <w:rStyle w:val="Hyperlink"/>
            <w:noProof/>
          </w:rPr>
          <w:t>Part 1 Section 17.3.3.24, rt (Phonetic Guide Text)</w:t>
        </w:r>
        <w:r>
          <w:rPr>
            <w:noProof/>
            <w:webHidden/>
          </w:rPr>
          <w:tab/>
        </w:r>
        <w:r>
          <w:rPr>
            <w:noProof/>
            <w:webHidden/>
          </w:rPr>
          <w:fldChar w:fldCharType="begin"/>
        </w:r>
        <w:r>
          <w:rPr>
            <w:noProof/>
            <w:webHidden/>
          </w:rPr>
          <w:instrText xml:space="preserve"> PAGEREF _Toc12260180 \h </w:instrText>
        </w:r>
        <w:r>
          <w:rPr>
            <w:noProof/>
            <w:webHidden/>
          </w:rPr>
        </w:r>
        <w:r>
          <w:rPr>
            <w:noProof/>
            <w:webHidden/>
          </w:rPr>
          <w:fldChar w:fldCharType="separate"/>
        </w:r>
        <w:r>
          <w:rPr>
            <w:noProof/>
            <w:webHidden/>
          </w:rPr>
          <w:t>80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81" w:history="1">
        <w:r w:rsidRPr="00CD0B56">
          <w:rPr>
            <w:rStyle w:val="Hyperlink"/>
            <w:noProof/>
          </w:rPr>
          <w:t>2.1.113</w:t>
        </w:r>
        <w:r>
          <w:rPr>
            <w:rFonts w:asciiTheme="minorHAnsi" w:eastAsiaTheme="minorEastAsia" w:hAnsiTheme="minorHAnsi" w:cstheme="minorBidi"/>
            <w:noProof/>
            <w:sz w:val="22"/>
            <w:szCs w:val="22"/>
          </w:rPr>
          <w:tab/>
        </w:r>
        <w:r w:rsidRPr="00CD0B56">
          <w:rPr>
            <w:rStyle w:val="Hyperlink"/>
            <w:noProof/>
          </w:rPr>
          <w:t>Part 1 Section 17.3.3.27, rubyBase (Phonetic Guide Base Text)</w:t>
        </w:r>
        <w:r>
          <w:rPr>
            <w:noProof/>
            <w:webHidden/>
          </w:rPr>
          <w:tab/>
        </w:r>
        <w:r>
          <w:rPr>
            <w:noProof/>
            <w:webHidden/>
          </w:rPr>
          <w:fldChar w:fldCharType="begin"/>
        </w:r>
        <w:r>
          <w:rPr>
            <w:noProof/>
            <w:webHidden/>
          </w:rPr>
          <w:instrText xml:space="preserve"> PAGEREF _Toc12260181 \h </w:instrText>
        </w:r>
        <w:r>
          <w:rPr>
            <w:noProof/>
            <w:webHidden/>
          </w:rPr>
        </w:r>
        <w:r>
          <w:rPr>
            <w:noProof/>
            <w:webHidden/>
          </w:rPr>
          <w:fldChar w:fldCharType="separate"/>
        </w:r>
        <w:r>
          <w:rPr>
            <w:noProof/>
            <w:webHidden/>
          </w:rPr>
          <w:t>80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82" w:history="1">
        <w:r w:rsidRPr="00CD0B56">
          <w:rPr>
            <w:rStyle w:val="Hyperlink"/>
            <w:noProof/>
          </w:rPr>
          <w:t>2.1.114</w:t>
        </w:r>
        <w:r>
          <w:rPr>
            <w:rFonts w:asciiTheme="minorHAnsi" w:eastAsiaTheme="minorEastAsia" w:hAnsiTheme="minorHAnsi" w:cstheme="minorBidi"/>
            <w:noProof/>
            <w:sz w:val="22"/>
            <w:szCs w:val="22"/>
          </w:rPr>
          <w:tab/>
        </w:r>
        <w:r w:rsidRPr="00CD0B56">
          <w:rPr>
            <w:rStyle w:val="Hyperlink"/>
            <w:noProof/>
          </w:rPr>
          <w:t>Part 1 Section 17.3.3.30, sym (Symbol Character)</w:t>
        </w:r>
        <w:r>
          <w:rPr>
            <w:noProof/>
            <w:webHidden/>
          </w:rPr>
          <w:tab/>
        </w:r>
        <w:r>
          <w:rPr>
            <w:noProof/>
            <w:webHidden/>
          </w:rPr>
          <w:fldChar w:fldCharType="begin"/>
        </w:r>
        <w:r>
          <w:rPr>
            <w:noProof/>
            <w:webHidden/>
          </w:rPr>
          <w:instrText xml:space="preserve"> PAGEREF _Toc12260182 \h </w:instrText>
        </w:r>
        <w:r>
          <w:rPr>
            <w:noProof/>
            <w:webHidden/>
          </w:rPr>
        </w:r>
        <w:r>
          <w:rPr>
            <w:noProof/>
            <w:webHidden/>
          </w:rPr>
          <w:fldChar w:fldCharType="separate"/>
        </w:r>
        <w:r>
          <w:rPr>
            <w:noProof/>
            <w:webHidden/>
          </w:rPr>
          <w:t>81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83" w:history="1">
        <w:r w:rsidRPr="00CD0B56">
          <w:rPr>
            <w:rStyle w:val="Hyperlink"/>
            <w:noProof/>
          </w:rPr>
          <w:t>2.1.115</w:t>
        </w:r>
        <w:r>
          <w:rPr>
            <w:rFonts w:asciiTheme="minorHAnsi" w:eastAsiaTheme="minorEastAsia" w:hAnsiTheme="minorHAnsi" w:cstheme="minorBidi"/>
            <w:noProof/>
            <w:sz w:val="22"/>
            <w:szCs w:val="22"/>
          </w:rPr>
          <w:tab/>
        </w:r>
        <w:r w:rsidRPr="00CD0B56">
          <w:rPr>
            <w:rStyle w:val="Hyperlink"/>
            <w:noProof/>
          </w:rPr>
          <w:t>Part 1 Section 17.4.1, bidiVisual (Visually Right to Left Table)</w:t>
        </w:r>
        <w:r>
          <w:rPr>
            <w:noProof/>
            <w:webHidden/>
          </w:rPr>
          <w:tab/>
        </w:r>
        <w:r>
          <w:rPr>
            <w:noProof/>
            <w:webHidden/>
          </w:rPr>
          <w:fldChar w:fldCharType="begin"/>
        </w:r>
        <w:r>
          <w:rPr>
            <w:noProof/>
            <w:webHidden/>
          </w:rPr>
          <w:instrText xml:space="preserve"> PAGEREF _Toc12260183 \h </w:instrText>
        </w:r>
        <w:r>
          <w:rPr>
            <w:noProof/>
            <w:webHidden/>
          </w:rPr>
        </w:r>
        <w:r>
          <w:rPr>
            <w:noProof/>
            <w:webHidden/>
          </w:rPr>
          <w:fldChar w:fldCharType="separate"/>
        </w:r>
        <w:r>
          <w:rPr>
            <w:noProof/>
            <w:webHidden/>
          </w:rPr>
          <w:t>81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84" w:history="1">
        <w:r w:rsidRPr="00CD0B56">
          <w:rPr>
            <w:rStyle w:val="Hyperlink"/>
            <w:noProof/>
          </w:rPr>
          <w:t>2.1.116</w:t>
        </w:r>
        <w:r>
          <w:rPr>
            <w:rFonts w:asciiTheme="minorHAnsi" w:eastAsiaTheme="minorEastAsia" w:hAnsiTheme="minorHAnsi" w:cstheme="minorBidi"/>
            <w:noProof/>
            <w:sz w:val="22"/>
            <w:szCs w:val="22"/>
          </w:rPr>
          <w:tab/>
        </w:r>
        <w:r w:rsidRPr="00CD0B56">
          <w:rPr>
            <w:rStyle w:val="Hyperlink"/>
            <w:noProof/>
          </w:rPr>
          <w:t>Part 1 Section 17.4.2, bottom (Table Cell Bottom Margin Exception)</w:t>
        </w:r>
        <w:r>
          <w:rPr>
            <w:noProof/>
            <w:webHidden/>
          </w:rPr>
          <w:tab/>
        </w:r>
        <w:r>
          <w:rPr>
            <w:noProof/>
            <w:webHidden/>
          </w:rPr>
          <w:fldChar w:fldCharType="begin"/>
        </w:r>
        <w:r>
          <w:rPr>
            <w:noProof/>
            <w:webHidden/>
          </w:rPr>
          <w:instrText xml:space="preserve"> PAGEREF _Toc12260184 \h </w:instrText>
        </w:r>
        <w:r>
          <w:rPr>
            <w:noProof/>
            <w:webHidden/>
          </w:rPr>
        </w:r>
        <w:r>
          <w:rPr>
            <w:noProof/>
            <w:webHidden/>
          </w:rPr>
          <w:fldChar w:fldCharType="separate"/>
        </w:r>
        <w:r>
          <w:rPr>
            <w:noProof/>
            <w:webHidden/>
          </w:rPr>
          <w:t>81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85" w:history="1">
        <w:r w:rsidRPr="00CD0B56">
          <w:rPr>
            <w:rStyle w:val="Hyperlink"/>
            <w:noProof/>
          </w:rPr>
          <w:t>2.1.117</w:t>
        </w:r>
        <w:r>
          <w:rPr>
            <w:rFonts w:asciiTheme="minorHAnsi" w:eastAsiaTheme="minorEastAsia" w:hAnsiTheme="minorHAnsi" w:cstheme="minorBidi"/>
            <w:noProof/>
            <w:sz w:val="22"/>
            <w:szCs w:val="22"/>
          </w:rPr>
          <w:tab/>
        </w:r>
        <w:r w:rsidRPr="00CD0B56">
          <w:rPr>
            <w:rStyle w:val="Hyperlink"/>
            <w:noProof/>
          </w:rPr>
          <w:t>Part 1 Section 17.4.3, bottom (Table Cell Bottom Border)</w:t>
        </w:r>
        <w:r>
          <w:rPr>
            <w:noProof/>
            <w:webHidden/>
          </w:rPr>
          <w:tab/>
        </w:r>
        <w:r>
          <w:rPr>
            <w:noProof/>
            <w:webHidden/>
          </w:rPr>
          <w:fldChar w:fldCharType="begin"/>
        </w:r>
        <w:r>
          <w:rPr>
            <w:noProof/>
            <w:webHidden/>
          </w:rPr>
          <w:instrText xml:space="preserve"> PAGEREF _Toc12260185 \h </w:instrText>
        </w:r>
        <w:r>
          <w:rPr>
            <w:noProof/>
            <w:webHidden/>
          </w:rPr>
        </w:r>
        <w:r>
          <w:rPr>
            <w:noProof/>
            <w:webHidden/>
          </w:rPr>
          <w:fldChar w:fldCharType="separate"/>
        </w:r>
        <w:r>
          <w:rPr>
            <w:noProof/>
            <w:webHidden/>
          </w:rPr>
          <w:t>81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86" w:history="1">
        <w:r w:rsidRPr="00CD0B56">
          <w:rPr>
            <w:rStyle w:val="Hyperlink"/>
            <w:noProof/>
          </w:rPr>
          <w:t>2.1.118</w:t>
        </w:r>
        <w:r>
          <w:rPr>
            <w:rFonts w:asciiTheme="minorHAnsi" w:eastAsiaTheme="minorEastAsia" w:hAnsiTheme="minorHAnsi" w:cstheme="minorBidi"/>
            <w:noProof/>
            <w:sz w:val="22"/>
            <w:szCs w:val="22"/>
          </w:rPr>
          <w:tab/>
        </w:r>
        <w:r w:rsidRPr="00CD0B56">
          <w:rPr>
            <w:rStyle w:val="Hyperlink"/>
            <w:noProof/>
          </w:rPr>
          <w:t>Part 1 Section 17.4.4, bottom (Table Bottom Border)</w:t>
        </w:r>
        <w:r>
          <w:rPr>
            <w:noProof/>
            <w:webHidden/>
          </w:rPr>
          <w:tab/>
        </w:r>
        <w:r>
          <w:rPr>
            <w:noProof/>
            <w:webHidden/>
          </w:rPr>
          <w:fldChar w:fldCharType="begin"/>
        </w:r>
        <w:r>
          <w:rPr>
            <w:noProof/>
            <w:webHidden/>
          </w:rPr>
          <w:instrText xml:space="preserve"> PAGEREF _Toc12260186 \h </w:instrText>
        </w:r>
        <w:r>
          <w:rPr>
            <w:noProof/>
            <w:webHidden/>
          </w:rPr>
        </w:r>
        <w:r>
          <w:rPr>
            <w:noProof/>
            <w:webHidden/>
          </w:rPr>
          <w:fldChar w:fldCharType="separate"/>
        </w:r>
        <w:r>
          <w:rPr>
            <w:noProof/>
            <w:webHidden/>
          </w:rPr>
          <w:t>81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87" w:history="1">
        <w:r w:rsidRPr="00CD0B56">
          <w:rPr>
            <w:rStyle w:val="Hyperlink"/>
            <w:noProof/>
          </w:rPr>
          <w:t>2.1.119</w:t>
        </w:r>
        <w:r>
          <w:rPr>
            <w:rFonts w:asciiTheme="minorHAnsi" w:eastAsiaTheme="minorEastAsia" w:hAnsiTheme="minorHAnsi" w:cstheme="minorBidi"/>
            <w:noProof/>
            <w:sz w:val="22"/>
            <w:szCs w:val="22"/>
          </w:rPr>
          <w:tab/>
        </w:r>
        <w:r w:rsidRPr="00CD0B56">
          <w:rPr>
            <w:rStyle w:val="Hyperlink"/>
            <w:noProof/>
          </w:rPr>
          <w:t>Part 1 Section 17.4.5, bottom (Table Cell Bottom Margin Default)</w:t>
        </w:r>
        <w:r>
          <w:rPr>
            <w:noProof/>
            <w:webHidden/>
          </w:rPr>
          <w:tab/>
        </w:r>
        <w:r>
          <w:rPr>
            <w:noProof/>
            <w:webHidden/>
          </w:rPr>
          <w:fldChar w:fldCharType="begin"/>
        </w:r>
        <w:r>
          <w:rPr>
            <w:noProof/>
            <w:webHidden/>
          </w:rPr>
          <w:instrText xml:space="preserve"> PAGEREF _Toc12260187 \h </w:instrText>
        </w:r>
        <w:r>
          <w:rPr>
            <w:noProof/>
            <w:webHidden/>
          </w:rPr>
        </w:r>
        <w:r>
          <w:rPr>
            <w:noProof/>
            <w:webHidden/>
          </w:rPr>
          <w:fldChar w:fldCharType="separate"/>
        </w:r>
        <w:r>
          <w:rPr>
            <w:noProof/>
            <w:webHidden/>
          </w:rPr>
          <w:t>81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88" w:history="1">
        <w:r w:rsidRPr="00CD0B56">
          <w:rPr>
            <w:rStyle w:val="Hyperlink"/>
            <w:noProof/>
          </w:rPr>
          <w:t>2.1.120</w:t>
        </w:r>
        <w:r>
          <w:rPr>
            <w:rFonts w:asciiTheme="minorHAnsi" w:eastAsiaTheme="minorEastAsia" w:hAnsiTheme="minorHAnsi" w:cstheme="minorBidi"/>
            <w:noProof/>
            <w:sz w:val="22"/>
            <w:szCs w:val="22"/>
          </w:rPr>
          <w:tab/>
        </w:r>
        <w:r w:rsidRPr="00CD0B56">
          <w:rPr>
            <w:rStyle w:val="Hyperlink"/>
            <w:noProof/>
          </w:rPr>
          <w:t>Part 1 Section 17.4.6, cantSplit (Table Row Cannot Break Across Pages)</w:t>
        </w:r>
        <w:r>
          <w:rPr>
            <w:noProof/>
            <w:webHidden/>
          </w:rPr>
          <w:tab/>
        </w:r>
        <w:r>
          <w:rPr>
            <w:noProof/>
            <w:webHidden/>
          </w:rPr>
          <w:fldChar w:fldCharType="begin"/>
        </w:r>
        <w:r>
          <w:rPr>
            <w:noProof/>
            <w:webHidden/>
          </w:rPr>
          <w:instrText xml:space="preserve"> PAGEREF _Toc12260188 \h </w:instrText>
        </w:r>
        <w:r>
          <w:rPr>
            <w:noProof/>
            <w:webHidden/>
          </w:rPr>
        </w:r>
        <w:r>
          <w:rPr>
            <w:noProof/>
            <w:webHidden/>
          </w:rPr>
          <w:fldChar w:fldCharType="separate"/>
        </w:r>
        <w:r>
          <w:rPr>
            <w:noProof/>
            <w:webHidden/>
          </w:rPr>
          <w:t>81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89" w:history="1">
        <w:r w:rsidRPr="00CD0B56">
          <w:rPr>
            <w:rStyle w:val="Hyperlink"/>
            <w:noProof/>
          </w:rPr>
          <w:t>2.1.121</w:t>
        </w:r>
        <w:r>
          <w:rPr>
            <w:rFonts w:asciiTheme="minorHAnsi" w:eastAsiaTheme="minorEastAsia" w:hAnsiTheme="minorHAnsi" w:cstheme="minorBidi"/>
            <w:noProof/>
            <w:sz w:val="22"/>
            <w:szCs w:val="22"/>
          </w:rPr>
          <w:tab/>
        </w:r>
        <w:r w:rsidRPr="00CD0B56">
          <w:rPr>
            <w:rStyle w:val="Hyperlink"/>
            <w:noProof/>
          </w:rPr>
          <w:t>Part 1 Section 17.4.7, cnfStyle (Table Row Conditional Formatting)</w:t>
        </w:r>
        <w:r>
          <w:rPr>
            <w:noProof/>
            <w:webHidden/>
          </w:rPr>
          <w:tab/>
        </w:r>
        <w:r>
          <w:rPr>
            <w:noProof/>
            <w:webHidden/>
          </w:rPr>
          <w:fldChar w:fldCharType="begin"/>
        </w:r>
        <w:r>
          <w:rPr>
            <w:noProof/>
            <w:webHidden/>
          </w:rPr>
          <w:instrText xml:space="preserve"> PAGEREF _Toc12260189 \h </w:instrText>
        </w:r>
        <w:r>
          <w:rPr>
            <w:noProof/>
            <w:webHidden/>
          </w:rPr>
        </w:r>
        <w:r>
          <w:rPr>
            <w:noProof/>
            <w:webHidden/>
          </w:rPr>
          <w:fldChar w:fldCharType="separate"/>
        </w:r>
        <w:r>
          <w:rPr>
            <w:noProof/>
            <w:webHidden/>
          </w:rPr>
          <w:t>82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90" w:history="1">
        <w:r w:rsidRPr="00CD0B56">
          <w:rPr>
            <w:rStyle w:val="Hyperlink"/>
            <w:noProof/>
          </w:rPr>
          <w:t>2.1.122</w:t>
        </w:r>
        <w:r>
          <w:rPr>
            <w:rFonts w:asciiTheme="minorHAnsi" w:eastAsiaTheme="minorEastAsia" w:hAnsiTheme="minorHAnsi" w:cstheme="minorBidi"/>
            <w:noProof/>
            <w:sz w:val="22"/>
            <w:szCs w:val="22"/>
          </w:rPr>
          <w:tab/>
        </w:r>
        <w:r w:rsidRPr="00CD0B56">
          <w:rPr>
            <w:rStyle w:val="Hyperlink"/>
            <w:noProof/>
          </w:rPr>
          <w:t>Part 1 Section 17.4.8, cnfStyle (Table Cell Conditional Formatting)</w:t>
        </w:r>
        <w:r>
          <w:rPr>
            <w:noProof/>
            <w:webHidden/>
          </w:rPr>
          <w:tab/>
        </w:r>
        <w:r>
          <w:rPr>
            <w:noProof/>
            <w:webHidden/>
          </w:rPr>
          <w:fldChar w:fldCharType="begin"/>
        </w:r>
        <w:r>
          <w:rPr>
            <w:noProof/>
            <w:webHidden/>
          </w:rPr>
          <w:instrText xml:space="preserve"> PAGEREF _Toc12260190 \h </w:instrText>
        </w:r>
        <w:r>
          <w:rPr>
            <w:noProof/>
            <w:webHidden/>
          </w:rPr>
        </w:r>
        <w:r>
          <w:rPr>
            <w:noProof/>
            <w:webHidden/>
          </w:rPr>
          <w:fldChar w:fldCharType="separate"/>
        </w:r>
        <w:r>
          <w:rPr>
            <w:noProof/>
            <w:webHidden/>
          </w:rPr>
          <w:t>82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91" w:history="1">
        <w:r w:rsidRPr="00CD0B56">
          <w:rPr>
            <w:rStyle w:val="Hyperlink"/>
            <w:noProof/>
          </w:rPr>
          <w:t>2.1.123</w:t>
        </w:r>
        <w:r>
          <w:rPr>
            <w:rFonts w:asciiTheme="minorHAnsi" w:eastAsiaTheme="minorEastAsia" w:hAnsiTheme="minorHAnsi" w:cstheme="minorBidi"/>
            <w:noProof/>
            <w:sz w:val="22"/>
            <w:szCs w:val="22"/>
          </w:rPr>
          <w:tab/>
        </w:r>
        <w:r w:rsidRPr="00CD0B56">
          <w:rPr>
            <w:rStyle w:val="Hyperlink"/>
            <w:noProof/>
          </w:rPr>
          <w:t>Part 1 Section 17.4.9, divId (Associated HTML div ID)</w:t>
        </w:r>
        <w:r>
          <w:rPr>
            <w:noProof/>
            <w:webHidden/>
          </w:rPr>
          <w:tab/>
        </w:r>
        <w:r>
          <w:rPr>
            <w:noProof/>
            <w:webHidden/>
          </w:rPr>
          <w:fldChar w:fldCharType="begin"/>
        </w:r>
        <w:r>
          <w:rPr>
            <w:noProof/>
            <w:webHidden/>
          </w:rPr>
          <w:instrText xml:space="preserve"> PAGEREF _Toc12260191 \h </w:instrText>
        </w:r>
        <w:r>
          <w:rPr>
            <w:noProof/>
            <w:webHidden/>
          </w:rPr>
        </w:r>
        <w:r>
          <w:rPr>
            <w:noProof/>
            <w:webHidden/>
          </w:rPr>
          <w:fldChar w:fldCharType="separate"/>
        </w:r>
        <w:r>
          <w:rPr>
            <w:noProof/>
            <w:webHidden/>
          </w:rPr>
          <w:t>82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92" w:history="1">
        <w:r w:rsidRPr="00CD0B56">
          <w:rPr>
            <w:rStyle w:val="Hyperlink"/>
            <w:noProof/>
          </w:rPr>
          <w:t>2.1.124</w:t>
        </w:r>
        <w:r>
          <w:rPr>
            <w:rFonts w:asciiTheme="minorHAnsi" w:eastAsiaTheme="minorEastAsia" w:hAnsiTheme="minorHAnsi" w:cstheme="minorBidi"/>
            <w:noProof/>
            <w:sz w:val="22"/>
            <w:szCs w:val="22"/>
          </w:rPr>
          <w:tab/>
        </w:r>
        <w:r w:rsidRPr="00CD0B56">
          <w:rPr>
            <w:rStyle w:val="Hyperlink"/>
            <w:noProof/>
          </w:rPr>
          <w:t>Part 1 Section 17.4.10, end (Table Cell Trailing Margin Exception)</w:t>
        </w:r>
        <w:r>
          <w:rPr>
            <w:noProof/>
            <w:webHidden/>
          </w:rPr>
          <w:tab/>
        </w:r>
        <w:r>
          <w:rPr>
            <w:noProof/>
            <w:webHidden/>
          </w:rPr>
          <w:fldChar w:fldCharType="begin"/>
        </w:r>
        <w:r>
          <w:rPr>
            <w:noProof/>
            <w:webHidden/>
          </w:rPr>
          <w:instrText xml:space="preserve"> PAGEREF _Toc12260192 \h </w:instrText>
        </w:r>
        <w:r>
          <w:rPr>
            <w:noProof/>
            <w:webHidden/>
          </w:rPr>
        </w:r>
        <w:r>
          <w:rPr>
            <w:noProof/>
            <w:webHidden/>
          </w:rPr>
          <w:fldChar w:fldCharType="separate"/>
        </w:r>
        <w:r>
          <w:rPr>
            <w:noProof/>
            <w:webHidden/>
          </w:rPr>
          <w:t>82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93" w:history="1">
        <w:r w:rsidRPr="00CD0B56">
          <w:rPr>
            <w:rStyle w:val="Hyperlink"/>
            <w:noProof/>
          </w:rPr>
          <w:t>2.1.125</w:t>
        </w:r>
        <w:r>
          <w:rPr>
            <w:rFonts w:asciiTheme="minorHAnsi" w:eastAsiaTheme="minorEastAsia" w:hAnsiTheme="minorHAnsi" w:cstheme="minorBidi"/>
            <w:noProof/>
            <w:sz w:val="22"/>
            <w:szCs w:val="22"/>
          </w:rPr>
          <w:tab/>
        </w:r>
        <w:r w:rsidRPr="00CD0B56">
          <w:rPr>
            <w:rStyle w:val="Hyperlink"/>
            <w:noProof/>
          </w:rPr>
          <w:t>Part 1 Section 17.4.11, end (Table Cell Trailing Margin Default)</w:t>
        </w:r>
        <w:r>
          <w:rPr>
            <w:noProof/>
            <w:webHidden/>
          </w:rPr>
          <w:tab/>
        </w:r>
        <w:r>
          <w:rPr>
            <w:noProof/>
            <w:webHidden/>
          </w:rPr>
          <w:fldChar w:fldCharType="begin"/>
        </w:r>
        <w:r>
          <w:rPr>
            <w:noProof/>
            <w:webHidden/>
          </w:rPr>
          <w:instrText xml:space="preserve"> PAGEREF _Toc12260193 \h </w:instrText>
        </w:r>
        <w:r>
          <w:rPr>
            <w:noProof/>
            <w:webHidden/>
          </w:rPr>
        </w:r>
        <w:r>
          <w:rPr>
            <w:noProof/>
            <w:webHidden/>
          </w:rPr>
          <w:fldChar w:fldCharType="separate"/>
        </w:r>
        <w:r>
          <w:rPr>
            <w:noProof/>
            <w:webHidden/>
          </w:rPr>
          <w:t>82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94" w:history="1">
        <w:r w:rsidRPr="00CD0B56">
          <w:rPr>
            <w:rStyle w:val="Hyperlink"/>
            <w:noProof/>
          </w:rPr>
          <w:t>2.1.126</w:t>
        </w:r>
        <w:r>
          <w:rPr>
            <w:rFonts w:asciiTheme="minorHAnsi" w:eastAsiaTheme="minorEastAsia" w:hAnsiTheme="minorHAnsi" w:cstheme="minorBidi"/>
            <w:noProof/>
            <w:sz w:val="22"/>
            <w:szCs w:val="22"/>
          </w:rPr>
          <w:tab/>
        </w:r>
        <w:r w:rsidRPr="00CD0B56">
          <w:rPr>
            <w:rStyle w:val="Hyperlink"/>
            <w:noProof/>
          </w:rPr>
          <w:t>Part 1 Section 17.4.12, end (Table Cell Trailing Edge Border)</w:t>
        </w:r>
        <w:r>
          <w:rPr>
            <w:noProof/>
            <w:webHidden/>
          </w:rPr>
          <w:tab/>
        </w:r>
        <w:r>
          <w:rPr>
            <w:noProof/>
            <w:webHidden/>
          </w:rPr>
          <w:fldChar w:fldCharType="begin"/>
        </w:r>
        <w:r>
          <w:rPr>
            <w:noProof/>
            <w:webHidden/>
          </w:rPr>
          <w:instrText xml:space="preserve"> PAGEREF _Toc12260194 \h </w:instrText>
        </w:r>
        <w:r>
          <w:rPr>
            <w:noProof/>
            <w:webHidden/>
          </w:rPr>
        </w:r>
        <w:r>
          <w:rPr>
            <w:noProof/>
            <w:webHidden/>
          </w:rPr>
          <w:fldChar w:fldCharType="separate"/>
        </w:r>
        <w:r>
          <w:rPr>
            <w:noProof/>
            <w:webHidden/>
          </w:rPr>
          <w:t>82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95" w:history="1">
        <w:r w:rsidRPr="00CD0B56">
          <w:rPr>
            <w:rStyle w:val="Hyperlink"/>
            <w:noProof/>
          </w:rPr>
          <w:t>2.1.127</w:t>
        </w:r>
        <w:r>
          <w:rPr>
            <w:rFonts w:asciiTheme="minorHAnsi" w:eastAsiaTheme="minorEastAsia" w:hAnsiTheme="minorHAnsi" w:cstheme="minorBidi"/>
            <w:noProof/>
            <w:sz w:val="22"/>
            <w:szCs w:val="22"/>
          </w:rPr>
          <w:tab/>
        </w:r>
        <w:r w:rsidRPr="00CD0B56">
          <w:rPr>
            <w:rStyle w:val="Hyperlink"/>
            <w:noProof/>
          </w:rPr>
          <w:t>Part 1 Section 17.4.13, end (Table Trailing Edge Border)</w:t>
        </w:r>
        <w:r>
          <w:rPr>
            <w:noProof/>
            <w:webHidden/>
          </w:rPr>
          <w:tab/>
        </w:r>
        <w:r>
          <w:rPr>
            <w:noProof/>
            <w:webHidden/>
          </w:rPr>
          <w:fldChar w:fldCharType="begin"/>
        </w:r>
        <w:r>
          <w:rPr>
            <w:noProof/>
            <w:webHidden/>
          </w:rPr>
          <w:instrText xml:space="preserve"> PAGEREF _Toc12260195 \h </w:instrText>
        </w:r>
        <w:r>
          <w:rPr>
            <w:noProof/>
            <w:webHidden/>
          </w:rPr>
        </w:r>
        <w:r>
          <w:rPr>
            <w:noProof/>
            <w:webHidden/>
          </w:rPr>
          <w:fldChar w:fldCharType="separate"/>
        </w:r>
        <w:r>
          <w:rPr>
            <w:noProof/>
            <w:webHidden/>
          </w:rPr>
          <w:t>82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96" w:history="1">
        <w:r w:rsidRPr="00CD0B56">
          <w:rPr>
            <w:rStyle w:val="Hyperlink"/>
            <w:noProof/>
          </w:rPr>
          <w:t>2.1.128</w:t>
        </w:r>
        <w:r>
          <w:rPr>
            <w:rFonts w:asciiTheme="minorHAnsi" w:eastAsiaTheme="minorEastAsia" w:hAnsiTheme="minorHAnsi" w:cstheme="minorBidi"/>
            <w:noProof/>
            <w:sz w:val="22"/>
            <w:szCs w:val="22"/>
          </w:rPr>
          <w:tab/>
        </w:r>
        <w:r w:rsidRPr="00CD0B56">
          <w:rPr>
            <w:rStyle w:val="Hyperlink"/>
            <w:noProof/>
          </w:rPr>
          <w:t>Part 1 Section 17.4.14, gridAfter (Grid Columns After Last Cell)</w:t>
        </w:r>
        <w:r>
          <w:rPr>
            <w:noProof/>
            <w:webHidden/>
          </w:rPr>
          <w:tab/>
        </w:r>
        <w:r>
          <w:rPr>
            <w:noProof/>
            <w:webHidden/>
          </w:rPr>
          <w:fldChar w:fldCharType="begin"/>
        </w:r>
        <w:r>
          <w:rPr>
            <w:noProof/>
            <w:webHidden/>
          </w:rPr>
          <w:instrText xml:space="preserve"> PAGEREF _Toc12260196 \h </w:instrText>
        </w:r>
        <w:r>
          <w:rPr>
            <w:noProof/>
            <w:webHidden/>
          </w:rPr>
        </w:r>
        <w:r>
          <w:rPr>
            <w:noProof/>
            <w:webHidden/>
          </w:rPr>
          <w:fldChar w:fldCharType="separate"/>
        </w:r>
        <w:r>
          <w:rPr>
            <w:noProof/>
            <w:webHidden/>
          </w:rPr>
          <w:t>82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97" w:history="1">
        <w:r w:rsidRPr="00CD0B56">
          <w:rPr>
            <w:rStyle w:val="Hyperlink"/>
            <w:noProof/>
          </w:rPr>
          <w:t>2.1.129</w:t>
        </w:r>
        <w:r>
          <w:rPr>
            <w:rFonts w:asciiTheme="minorHAnsi" w:eastAsiaTheme="minorEastAsia" w:hAnsiTheme="minorHAnsi" w:cstheme="minorBidi"/>
            <w:noProof/>
            <w:sz w:val="22"/>
            <w:szCs w:val="22"/>
          </w:rPr>
          <w:tab/>
        </w:r>
        <w:r w:rsidRPr="00CD0B56">
          <w:rPr>
            <w:rStyle w:val="Hyperlink"/>
            <w:noProof/>
          </w:rPr>
          <w:t>Part 1 Section 17.4.15, gridBefore (Grid Columns Before First Cell)</w:t>
        </w:r>
        <w:r>
          <w:rPr>
            <w:noProof/>
            <w:webHidden/>
          </w:rPr>
          <w:tab/>
        </w:r>
        <w:r>
          <w:rPr>
            <w:noProof/>
            <w:webHidden/>
          </w:rPr>
          <w:fldChar w:fldCharType="begin"/>
        </w:r>
        <w:r>
          <w:rPr>
            <w:noProof/>
            <w:webHidden/>
          </w:rPr>
          <w:instrText xml:space="preserve"> PAGEREF _Toc12260197 \h </w:instrText>
        </w:r>
        <w:r>
          <w:rPr>
            <w:noProof/>
            <w:webHidden/>
          </w:rPr>
        </w:r>
        <w:r>
          <w:rPr>
            <w:noProof/>
            <w:webHidden/>
          </w:rPr>
          <w:fldChar w:fldCharType="separate"/>
        </w:r>
        <w:r>
          <w:rPr>
            <w:noProof/>
            <w:webHidden/>
          </w:rPr>
          <w:t>83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98" w:history="1">
        <w:r w:rsidRPr="00CD0B56">
          <w:rPr>
            <w:rStyle w:val="Hyperlink"/>
            <w:noProof/>
          </w:rPr>
          <w:t>2.1.130</w:t>
        </w:r>
        <w:r>
          <w:rPr>
            <w:rFonts w:asciiTheme="minorHAnsi" w:eastAsiaTheme="minorEastAsia" w:hAnsiTheme="minorHAnsi" w:cstheme="minorBidi"/>
            <w:noProof/>
            <w:sz w:val="22"/>
            <w:szCs w:val="22"/>
          </w:rPr>
          <w:tab/>
        </w:r>
        <w:r w:rsidRPr="00CD0B56">
          <w:rPr>
            <w:rStyle w:val="Hyperlink"/>
            <w:noProof/>
          </w:rPr>
          <w:t>Part 1 Section 17.4.17, gridSpan (Grid Columns Spanned by Current Table Cell)</w:t>
        </w:r>
        <w:r>
          <w:rPr>
            <w:noProof/>
            <w:webHidden/>
          </w:rPr>
          <w:tab/>
        </w:r>
        <w:r>
          <w:rPr>
            <w:noProof/>
            <w:webHidden/>
          </w:rPr>
          <w:fldChar w:fldCharType="begin"/>
        </w:r>
        <w:r>
          <w:rPr>
            <w:noProof/>
            <w:webHidden/>
          </w:rPr>
          <w:instrText xml:space="preserve"> PAGEREF _Toc12260198 \h </w:instrText>
        </w:r>
        <w:r>
          <w:rPr>
            <w:noProof/>
            <w:webHidden/>
          </w:rPr>
        </w:r>
        <w:r>
          <w:rPr>
            <w:noProof/>
            <w:webHidden/>
          </w:rPr>
          <w:fldChar w:fldCharType="separate"/>
        </w:r>
        <w:r>
          <w:rPr>
            <w:noProof/>
            <w:webHidden/>
          </w:rPr>
          <w:t>83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199" w:history="1">
        <w:r w:rsidRPr="00CD0B56">
          <w:rPr>
            <w:rStyle w:val="Hyperlink"/>
            <w:noProof/>
          </w:rPr>
          <w:t>2.1.131</w:t>
        </w:r>
        <w:r>
          <w:rPr>
            <w:rFonts w:asciiTheme="minorHAnsi" w:eastAsiaTheme="minorEastAsia" w:hAnsiTheme="minorHAnsi" w:cstheme="minorBidi"/>
            <w:noProof/>
            <w:sz w:val="22"/>
            <w:szCs w:val="22"/>
          </w:rPr>
          <w:tab/>
        </w:r>
        <w:r w:rsidRPr="00CD0B56">
          <w:rPr>
            <w:rStyle w:val="Hyperlink"/>
            <w:noProof/>
          </w:rPr>
          <w:t>Part 1 Section 17.4.18, header (Header Cell Reference)</w:t>
        </w:r>
        <w:r>
          <w:rPr>
            <w:noProof/>
            <w:webHidden/>
          </w:rPr>
          <w:tab/>
        </w:r>
        <w:r>
          <w:rPr>
            <w:noProof/>
            <w:webHidden/>
          </w:rPr>
          <w:fldChar w:fldCharType="begin"/>
        </w:r>
        <w:r>
          <w:rPr>
            <w:noProof/>
            <w:webHidden/>
          </w:rPr>
          <w:instrText xml:space="preserve"> PAGEREF _Toc12260199 \h </w:instrText>
        </w:r>
        <w:r>
          <w:rPr>
            <w:noProof/>
            <w:webHidden/>
          </w:rPr>
        </w:r>
        <w:r>
          <w:rPr>
            <w:noProof/>
            <w:webHidden/>
          </w:rPr>
          <w:fldChar w:fldCharType="separate"/>
        </w:r>
        <w:r>
          <w:rPr>
            <w:noProof/>
            <w:webHidden/>
          </w:rPr>
          <w:t>83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00" w:history="1">
        <w:r w:rsidRPr="00CD0B56">
          <w:rPr>
            <w:rStyle w:val="Hyperlink"/>
            <w:noProof/>
          </w:rPr>
          <w:t>2.1.132</w:t>
        </w:r>
        <w:r>
          <w:rPr>
            <w:rFonts w:asciiTheme="minorHAnsi" w:eastAsiaTheme="minorEastAsia" w:hAnsiTheme="minorHAnsi" w:cstheme="minorBidi"/>
            <w:noProof/>
            <w:sz w:val="22"/>
            <w:szCs w:val="22"/>
          </w:rPr>
          <w:tab/>
        </w:r>
        <w:r w:rsidRPr="00CD0B56">
          <w:rPr>
            <w:rStyle w:val="Hyperlink"/>
            <w:noProof/>
          </w:rPr>
          <w:t>Part 1 Section 17.4.19, headers (Header Cells Associated With Table Cell)</w:t>
        </w:r>
        <w:r>
          <w:rPr>
            <w:noProof/>
            <w:webHidden/>
          </w:rPr>
          <w:tab/>
        </w:r>
        <w:r>
          <w:rPr>
            <w:noProof/>
            <w:webHidden/>
          </w:rPr>
          <w:fldChar w:fldCharType="begin"/>
        </w:r>
        <w:r>
          <w:rPr>
            <w:noProof/>
            <w:webHidden/>
          </w:rPr>
          <w:instrText xml:space="preserve"> PAGEREF _Toc12260200 \h </w:instrText>
        </w:r>
        <w:r>
          <w:rPr>
            <w:noProof/>
            <w:webHidden/>
          </w:rPr>
        </w:r>
        <w:r>
          <w:rPr>
            <w:noProof/>
            <w:webHidden/>
          </w:rPr>
          <w:fldChar w:fldCharType="separate"/>
        </w:r>
        <w:r>
          <w:rPr>
            <w:noProof/>
            <w:webHidden/>
          </w:rPr>
          <w:t>83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01" w:history="1">
        <w:r w:rsidRPr="00CD0B56">
          <w:rPr>
            <w:rStyle w:val="Hyperlink"/>
            <w:noProof/>
          </w:rPr>
          <w:t>2.1.133</w:t>
        </w:r>
        <w:r>
          <w:rPr>
            <w:rFonts w:asciiTheme="minorHAnsi" w:eastAsiaTheme="minorEastAsia" w:hAnsiTheme="minorHAnsi" w:cstheme="minorBidi"/>
            <w:noProof/>
            <w:sz w:val="22"/>
            <w:szCs w:val="22"/>
          </w:rPr>
          <w:tab/>
        </w:r>
        <w:r w:rsidRPr="00CD0B56">
          <w:rPr>
            <w:rStyle w:val="Hyperlink"/>
            <w:noProof/>
          </w:rPr>
          <w:t>Part 1 Section 17.4.20, hidden (Hidden Table Row Marker)</w:t>
        </w:r>
        <w:r>
          <w:rPr>
            <w:noProof/>
            <w:webHidden/>
          </w:rPr>
          <w:tab/>
        </w:r>
        <w:r>
          <w:rPr>
            <w:noProof/>
            <w:webHidden/>
          </w:rPr>
          <w:fldChar w:fldCharType="begin"/>
        </w:r>
        <w:r>
          <w:rPr>
            <w:noProof/>
            <w:webHidden/>
          </w:rPr>
          <w:instrText xml:space="preserve"> PAGEREF _Toc12260201 \h </w:instrText>
        </w:r>
        <w:r>
          <w:rPr>
            <w:noProof/>
            <w:webHidden/>
          </w:rPr>
        </w:r>
        <w:r>
          <w:rPr>
            <w:noProof/>
            <w:webHidden/>
          </w:rPr>
          <w:fldChar w:fldCharType="separate"/>
        </w:r>
        <w:r>
          <w:rPr>
            <w:noProof/>
            <w:webHidden/>
          </w:rPr>
          <w:t>83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02" w:history="1">
        <w:r w:rsidRPr="00CD0B56">
          <w:rPr>
            <w:rStyle w:val="Hyperlink"/>
            <w:noProof/>
          </w:rPr>
          <w:t>2.1.134</w:t>
        </w:r>
        <w:r>
          <w:rPr>
            <w:rFonts w:asciiTheme="minorHAnsi" w:eastAsiaTheme="minorEastAsia" w:hAnsiTheme="minorHAnsi" w:cstheme="minorBidi"/>
            <w:noProof/>
            <w:sz w:val="22"/>
            <w:szCs w:val="22"/>
          </w:rPr>
          <w:tab/>
        </w:r>
        <w:r w:rsidRPr="00CD0B56">
          <w:rPr>
            <w:rStyle w:val="Hyperlink"/>
            <w:noProof/>
          </w:rPr>
          <w:t>Part 1 Section 17.4.21, hideMark (Ignore End Of Cell Marker In Row Height Calculation)</w:t>
        </w:r>
        <w:r>
          <w:rPr>
            <w:noProof/>
            <w:webHidden/>
          </w:rPr>
          <w:tab/>
        </w:r>
        <w:r>
          <w:rPr>
            <w:noProof/>
            <w:webHidden/>
          </w:rPr>
          <w:fldChar w:fldCharType="begin"/>
        </w:r>
        <w:r>
          <w:rPr>
            <w:noProof/>
            <w:webHidden/>
          </w:rPr>
          <w:instrText xml:space="preserve"> PAGEREF _Toc12260202 \h </w:instrText>
        </w:r>
        <w:r>
          <w:rPr>
            <w:noProof/>
            <w:webHidden/>
          </w:rPr>
        </w:r>
        <w:r>
          <w:rPr>
            <w:noProof/>
            <w:webHidden/>
          </w:rPr>
          <w:fldChar w:fldCharType="separate"/>
        </w:r>
        <w:r>
          <w:rPr>
            <w:noProof/>
            <w:webHidden/>
          </w:rPr>
          <w:t>83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03" w:history="1">
        <w:r w:rsidRPr="00CD0B56">
          <w:rPr>
            <w:rStyle w:val="Hyperlink"/>
            <w:noProof/>
          </w:rPr>
          <w:t>2.1.135</w:t>
        </w:r>
        <w:r>
          <w:rPr>
            <w:rFonts w:asciiTheme="minorHAnsi" w:eastAsiaTheme="minorEastAsia" w:hAnsiTheme="minorHAnsi" w:cstheme="minorBidi"/>
            <w:noProof/>
            <w:sz w:val="22"/>
            <w:szCs w:val="22"/>
          </w:rPr>
          <w:tab/>
        </w:r>
        <w:r w:rsidRPr="00CD0B56">
          <w:rPr>
            <w:rStyle w:val="Hyperlink"/>
            <w:noProof/>
          </w:rPr>
          <w:t>Part 1 Section 17.4.22, insideH (Table Inside Horizontal Edges Border)</w:t>
        </w:r>
        <w:r>
          <w:rPr>
            <w:noProof/>
            <w:webHidden/>
          </w:rPr>
          <w:tab/>
        </w:r>
        <w:r>
          <w:rPr>
            <w:noProof/>
            <w:webHidden/>
          </w:rPr>
          <w:fldChar w:fldCharType="begin"/>
        </w:r>
        <w:r>
          <w:rPr>
            <w:noProof/>
            <w:webHidden/>
          </w:rPr>
          <w:instrText xml:space="preserve"> PAGEREF _Toc12260203 \h </w:instrText>
        </w:r>
        <w:r>
          <w:rPr>
            <w:noProof/>
            <w:webHidden/>
          </w:rPr>
        </w:r>
        <w:r>
          <w:rPr>
            <w:noProof/>
            <w:webHidden/>
          </w:rPr>
          <w:fldChar w:fldCharType="separate"/>
        </w:r>
        <w:r>
          <w:rPr>
            <w:noProof/>
            <w:webHidden/>
          </w:rPr>
          <w:t>84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04" w:history="1">
        <w:r w:rsidRPr="00CD0B56">
          <w:rPr>
            <w:rStyle w:val="Hyperlink"/>
            <w:noProof/>
          </w:rPr>
          <w:t>2.1.136</w:t>
        </w:r>
        <w:r>
          <w:rPr>
            <w:rFonts w:asciiTheme="minorHAnsi" w:eastAsiaTheme="minorEastAsia" w:hAnsiTheme="minorHAnsi" w:cstheme="minorBidi"/>
            <w:noProof/>
            <w:sz w:val="22"/>
            <w:szCs w:val="22"/>
          </w:rPr>
          <w:tab/>
        </w:r>
        <w:r w:rsidRPr="00CD0B56">
          <w:rPr>
            <w:rStyle w:val="Hyperlink"/>
            <w:noProof/>
          </w:rPr>
          <w:t>Part 1 Section 17.4.23, insideH (Table Cell Inside Horizontal Edges Border)</w:t>
        </w:r>
        <w:r>
          <w:rPr>
            <w:noProof/>
            <w:webHidden/>
          </w:rPr>
          <w:tab/>
        </w:r>
        <w:r>
          <w:rPr>
            <w:noProof/>
            <w:webHidden/>
          </w:rPr>
          <w:fldChar w:fldCharType="begin"/>
        </w:r>
        <w:r>
          <w:rPr>
            <w:noProof/>
            <w:webHidden/>
          </w:rPr>
          <w:instrText xml:space="preserve"> PAGEREF _Toc12260204 \h </w:instrText>
        </w:r>
        <w:r>
          <w:rPr>
            <w:noProof/>
            <w:webHidden/>
          </w:rPr>
        </w:r>
        <w:r>
          <w:rPr>
            <w:noProof/>
            <w:webHidden/>
          </w:rPr>
          <w:fldChar w:fldCharType="separate"/>
        </w:r>
        <w:r>
          <w:rPr>
            <w:noProof/>
            <w:webHidden/>
          </w:rPr>
          <w:t>84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05" w:history="1">
        <w:r w:rsidRPr="00CD0B56">
          <w:rPr>
            <w:rStyle w:val="Hyperlink"/>
            <w:noProof/>
          </w:rPr>
          <w:t>2.1.137</w:t>
        </w:r>
        <w:r>
          <w:rPr>
            <w:rFonts w:asciiTheme="minorHAnsi" w:eastAsiaTheme="minorEastAsia" w:hAnsiTheme="minorHAnsi" w:cstheme="minorBidi"/>
            <w:noProof/>
            <w:sz w:val="22"/>
            <w:szCs w:val="22"/>
          </w:rPr>
          <w:tab/>
        </w:r>
        <w:r w:rsidRPr="00CD0B56">
          <w:rPr>
            <w:rStyle w:val="Hyperlink"/>
            <w:noProof/>
          </w:rPr>
          <w:t>Part 1 Section 17.4.24, insideV (Table Inside Vertical Edges Border)</w:t>
        </w:r>
        <w:r>
          <w:rPr>
            <w:noProof/>
            <w:webHidden/>
          </w:rPr>
          <w:tab/>
        </w:r>
        <w:r>
          <w:rPr>
            <w:noProof/>
            <w:webHidden/>
          </w:rPr>
          <w:fldChar w:fldCharType="begin"/>
        </w:r>
        <w:r>
          <w:rPr>
            <w:noProof/>
            <w:webHidden/>
          </w:rPr>
          <w:instrText xml:space="preserve"> PAGEREF _Toc12260205 \h </w:instrText>
        </w:r>
        <w:r>
          <w:rPr>
            <w:noProof/>
            <w:webHidden/>
          </w:rPr>
        </w:r>
        <w:r>
          <w:rPr>
            <w:noProof/>
            <w:webHidden/>
          </w:rPr>
          <w:fldChar w:fldCharType="separate"/>
        </w:r>
        <w:r>
          <w:rPr>
            <w:noProof/>
            <w:webHidden/>
          </w:rPr>
          <w:t>84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06" w:history="1">
        <w:r w:rsidRPr="00CD0B56">
          <w:rPr>
            <w:rStyle w:val="Hyperlink"/>
            <w:noProof/>
          </w:rPr>
          <w:t>2.1.138</w:t>
        </w:r>
        <w:r>
          <w:rPr>
            <w:rFonts w:asciiTheme="minorHAnsi" w:eastAsiaTheme="minorEastAsia" w:hAnsiTheme="minorHAnsi" w:cstheme="minorBidi"/>
            <w:noProof/>
            <w:sz w:val="22"/>
            <w:szCs w:val="22"/>
          </w:rPr>
          <w:tab/>
        </w:r>
        <w:r w:rsidRPr="00CD0B56">
          <w:rPr>
            <w:rStyle w:val="Hyperlink"/>
            <w:noProof/>
          </w:rPr>
          <w:t>Part 1 Section 17.4.25, insideV (Table Cell Inside Vertical Edges Border)</w:t>
        </w:r>
        <w:r>
          <w:rPr>
            <w:noProof/>
            <w:webHidden/>
          </w:rPr>
          <w:tab/>
        </w:r>
        <w:r>
          <w:rPr>
            <w:noProof/>
            <w:webHidden/>
          </w:rPr>
          <w:fldChar w:fldCharType="begin"/>
        </w:r>
        <w:r>
          <w:rPr>
            <w:noProof/>
            <w:webHidden/>
          </w:rPr>
          <w:instrText xml:space="preserve"> PAGEREF _Toc12260206 \h </w:instrText>
        </w:r>
        <w:r>
          <w:rPr>
            <w:noProof/>
            <w:webHidden/>
          </w:rPr>
        </w:r>
        <w:r>
          <w:rPr>
            <w:noProof/>
            <w:webHidden/>
          </w:rPr>
          <w:fldChar w:fldCharType="separate"/>
        </w:r>
        <w:r>
          <w:rPr>
            <w:noProof/>
            <w:webHidden/>
          </w:rPr>
          <w:t>84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07" w:history="1">
        <w:r w:rsidRPr="00CD0B56">
          <w:rPr>
            <w:rStyle w:val="Hyperlink"/>
            <w:noProof/>
          </w:rPr>
          <w:t>2.1.139</w:t>
        </w:r>
        <w:r>
          <w:rPr>
            <w:rFonts w:asciiTheme="minorHAnsi" w:eastAsiaTheme="minorEastAsia" w:hAnsiTheme="minorHAnsi" w:cstheme="minorBidi"/>
            <w:noProof/>
            <w:sz w:val="22"/>
            <w:szCs w:val="22"/>
          </w:rPr>
          <w:tab/>
        </w:r>
        <w:r w:rsidRPr="00CD0B56">
          <w:rPr>
            <w:rStyle w:val="Hyperlink"/>
            <w:noProof/>
          </w:rPr>
          <w:t>Part 1 Section 17.4.26, jc (Table Alignment Exception)</w:t>
        </w:r>
        <w:r>
          <w:rPr>
            <w:noProof/>
            <w:webHidden/>
          </w:rPr>
          <w:tab/>
        </w:r>
        <w:r>
          <w:rPr>
            <w:noProof/>
            <w:webHidden/>
          </w:rPr>
          <w:fldChar w:fldCharType="begin"/>
        </w:r>
        <w:r>
          <w:rPr>
            <w:noProof/>
            <w:webHidden/>
          </w:rPr>
          <w:instrText xml:space="preserve"> PAGEREF _Toc12260207 \h </w:instrText>
        </w:r>
        <w:r>
          <w:rPr>
            <w:noProof/>
            <w:webHidden/>
          </w:rPr>
        </w:r>
        <w:r>
          <w:rPr>
            <w:noProof/>
            <w:webHidden/>
          </w:rPr>
          <w:fldChar w:fldCharType="separate"/>
        </w:r>
        <w:r>
          <w:rPr>
            <w:noProof/>
            <w:webHidden/>
          </w:rPr>
          <w:t>84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08" w:history="1">
        <w:r w:rsidRPr="00CD0B56">
          <w:rPr>
            <w:rStyle w:val="Hyperlink"/>
            <w:noProof/>
          </w:rPr>
          <w:t>2.1.140</w:t>
        </w:r>
        <w:r>
          <w:rPr>
            <w:rFonts w:asciiTheme="minorHAnsi" w:eastAsiaTheme="minorEastAsia" w:hAnsiTheme="minorHAnsi" w:cstheme="minorBidi"/>
            <w:noProof/>
            <w:sz w:val="22"/>
            <w:szCs w:val="22"/>
          </w:rPr>
          <w:tab/>
        </w:r>
        <w:r w:rsidRPr="00CD0B56">
          <w:rPr>
            <w:rStyle w:val="Hyperlink"/>
            <w:noProof/>
          </w:rPr>
          <w:t>Part 1 Section 17.4.27, jc (Table Row Alignment)</w:t>
        </w:r>
        <w:r>
          <w:rPr>
            <w:noProof/>
            <w:webHidden/>
          </w:rPr>
          <w:tab/>
        </w:r>
        <w:r>
          <w:rPr>
            <w:noProof/>
            <w:webHidden/>
          </w:rPr>
          <w:fldChar w:fldCharType="begin"/>
        </w:r>
        <w:r>
          <w:rPr>
            <w:noProof/>
            <w:webHidden/>
          </w:rPr>
          <w:instrText xml:space="preserve"> PAGEREF _Toc12260208 \h </w:instrText>
        </w:r>
        <w:r>
          <w:rPr>
            <w:noProof/>
            <w:webHidden/>
          </w:rPr>
        </w:r>
        <w:r>
          <w:rPr>
            <w:noProof/>
            <w:webHidden/>
          </w:rPr>
          <w:fldChar w:fldCharType="separate"/>
        </w:r>
        <w:r>
          <w:rPr>
            <w:noProof/>
            <w:webHidden/>
          </w:rPr>
          <w:t>84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09" w:history="1">
        <w:r w:rsidRPr="00CD0B56">
          <w:rPr>
            <w:rStyle w:val="Hyperlink"/>
            <w:noProof/>
          </w:rPr>
          <w:t>2.1.141</w:t>
        </w:r>
        <w:r>
          <w:rPr>
            <w:rFonts w:asciiTheme="minorHAnsi" w:eastAsiaTheme="minorEastAsia" w:hAnsiTheme="minorHAnsi" w:cstheme="minorBidi"/>
            <w:noProof/>
            <w:sz w:val="22"/>
            <w:szCs w:val="22"/>
          </w:rPr>
          <w:tab/>
        </w:r>
        <w:r w:rsidRPr="00CD0B56">
          <w:rPr>
            <w:rStyle w:val="Hyperlink"/>
            <w:noProof/>
          </w:rPr>
          <w:t>Part 1 Section 17.4.28, jc (Table Alignment)</w:t>
        </w:r>
        <w:r>
          <w:rPr>
            <w:noProof/>
            <w:webHidden/>
          </w:rPr>
          <w:tab/>
        </w:r>
        <w:r>
          <w:rPr>
            <w:noProof/>
            <w:webHidden/>
          </w:rPr>
          <w:fldChar w:fldCharType="begin"/>
        </w:r>
        <w:r>
          <w:rPr>
            <w:noProof/>
            <w:webHidden/>
          </w:rPr>
          <w:instrText xml:space="preserve"> PAGEREF _Toc12260209 \h </w:instrText>
        </w:r>
        <w:r>
          <w:rPr>
            <w:noProof/>
            <w:webHidden/>
          </w:rPr>
        </w:r>
        <w:r>
          <w:rPr>
            <w:noProof/>
            <w:webHidden/>
          </w:rPr>
          <w:fldChar w:fldCharType="separate"/>
        </w:r>
        <w:r>
          <w:rPr>
            <w:noProof/>
            <w:webHidden/>
          </w:rPr>
          <w:t>84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10" w:history="1">
        <w:r w:rsidRPr="00CD0B56">
          <w:rPr>
            <w:rStyle w:val="Hyperlink"/>
            <w:noProof/>
          </w:rPr>
          <w:t>2.1.142</w:t>
        </w:r>
        <w:r>
          <w:rPr>
            <w:rFonts w:asciiTheme="minorHAnsi" w:eastAsiaTheme="minorEastAsia" w:hAnsiTheme="minorHAnsi" w:cstheme="minorBidi"/>
            <w:noProof/>
            <w:sz w:val="22"/>
            <w:szCs w:val="22"/>
          </w:rPr>
          <w:tab/>
        </w:r>
        <w:r w:rsidRPr="00CD0B56">
          <w:rPr>
            <w:rStyle w:val="Hyperlink"/>
            <w:noProof/>
          </w:rPr>
          <w:t>Part 1 Section 17.4.30, shd (Table Shading Exception)</w:t>
        </w:r>
        <w:r>
          <w:rPr>
            <w:noProof/>
            <w:webHidden/>
          </w:rPr>
          <w:tab/>
        </w:r>
        <w:r>
          <w:rPr>
            <w:noProof/>
            <w:webHidden/>
          </w:rPr>
          <w:fldChar w:fldCharType="begin"/>
        </w:r>
        <w:r>
          <w:rPr>
            <w:noProof/>
            <w:webHidden/>
          </w:rPr>
          <w:instrText xml:space="preserve"> PAGEREF _Toc12260210 \h </w:instrText>
        </w:r>
        <w:r>
          <w:rPr>
            <w:noProof/>
            <w:webHidden/>
          </w:rPr>
        </w:r>
        <w:r>
          <w:rPr>
            <w:noProof/>
            <w:webHidden/>
          </w:rPr>
          <w:fldChar w:fldCharType="separate"/>
        </w:r>
        <w:r>
          <w:rPr>
            <w:noProof/>
            <w:webHidden/>
          </w:rPr>
          <w:t>84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11" w:history="1">
        <w:r w:rsidRPr="00CD0B56">
          <w:rPr>
            <w:rStyle w:val="Hyperlink"/>
            <w:noProof/>
          </w:rPr>
          <w:t>2.1.143</w:t>
        </w:r>
        <w:r>
          <w:rPr>
            <w:rFonts w:asciiTheme="minorHAnsi" w:eastAsiaTheme="minorEastAsia" w:hAnsiTheme="minorHAnsi" w:cstheme="minorBidi"/>
            <w:noProof/>
            <w:sz w:val="22"/>
            <w:szCs w:val="22"/>
          </w:rPr>
          <w:tab/>
        </w:r>
        <w:r w:rsidRPr="00CD0B56">
          <w:rPr>
            <w:rStyle w:val="Hyperlink"/>
            <w:noProof/>
          </w:rPr>
          <w:t>Part 1 Section 17.4.31, shd (Table Shading)</w:t>
        </w:r>
        <w:r>
          <w:rPr>
            <w:noProof/>
            <w:webHidden/>
          </w:rPr>
          <w:tab/>
        </w:r>
        <w:r>
          <w:rPr>
            <w:noProof/>
            <w:webHidden/>
          </w:rPr>
          <w:fldChar w:fldCharType="begin"/>
        </w:r>
        <w:r>
          <w:rPr>
            <w:noProof/>
            <w:webHidden/>
          </w:rPr>
          <w:instrText xml:space="preserve"> PAGEREF _Toc12260211 \h </w:instrText>
        </w:r>
        <w:r>
          <w:rPr>
            <w:noProof/>
            <w:webHidden/>
          </w:rPr>
        </w:r>
        <w:r>
          <w:rPr>
            <w:noProof/>
            <w:webHidden/>
          </w:rPr>
          <w:fldChar w:fldCharType="separate"/>
        </w:r>
        <w:r>
          <w:rPr>
            <w:noProof/>
            <w:webHidden/>
          </w:rPr>
          <w:t>85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12" w:history="1">
        <w:r w:rsidRPr="00CD0B56">
          <w:rPr>
            <w:rStyle w:val="Hyperlink"/>
            <w:noProof/>
          </w:rPr>
          <w:t>2.1.144</w:t>
        </w:r>
        <w:r>
          <w:rPr>
            <w:rFonts w:asciiTheme="minorHAnsi" w:eastAsiaTheme="minorEastAsia" w:hAnsiTheme="minorHAnsi" w:cstheme="minorBidi"/>
            <w:noProof/>
            <w:sz w:val="22"/>
            <w:szCs w:val="22"/>
          </w:rPr>
          <w:tab/>
        </w:r>
        <w:r w:rsidRPr="00CD0B56">
          <w:rPr>
            <w:rStyle w:val="Hyperlink"/>
            <w:noProof/>
          </w:rPr>
          <w:t>Part 1 Section 17.4.32, shd (Table Cell Shading)</w:t>
        </w:r>
        <w:r>
          <w:rPr>
            <w:noProof/>
            <w:webHidden/>
          </w:rPr>
          <w:tab/>
        </w:r>
        <w:r>
          <w:rPr>
            <w:noProof/>
            <w:webHidden/>
          </w:rPr>
          <w:fldChar w:fldCharType="begin"/>
        </w:r>
        <w:r>
          <w:rPr>
            <w:noProof/>
            <w:webHidden/>
          </w:rPr>
          <w:instrText xml:space="preserve"> PAGEREF _Toc12260212 \h </w:instrText>
        </w:r>
        <w:r>
          <w:rPr>
            <w:noProof/>
            <w:webHidden/>
          </w:rPr>
        </w:r>
        <w:r>
          <w:rPr>
            <w:noProof/>
            <w:webHidden/>
          </w:rPr>
          <w:fldChar w:fldCharType="separate"/>
        </w:r>
        <w:r>
          <w:rPr>
            <w:noProof/>
            <w:webHidden/>
          </w:rPr>
          <w:t>85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13" w:history="1">
        <w:r w:rsidRPr="00CD0B56">
          <w:rPr>
            <w:rStyle w:val="Hyperlink"/>
            <w:noProof/>
          </w:rPr>
          <w:t>2.1.145</w:t>
        </w:r>
        <w:r>
          <w:rPr>
            <w:rFonts w:asciiTheme="minorHAnsi" w:eastAsiaTheme="minorEastAsia" w:hAnsiTheme="minorHAnsi" w:cstheme="minorBidi"/>
            <w:noProof/>
            <w:sz w:val="22"/>
            <w:szCs w:val="22"/>
          </w:rPr>
          <w:tab/>
        </w:r>
        <w:r w:rsidRPr="00CD0B56">
          <w:rPr>
            <w:rStyle w:val="Hyperlink"/>
            <w:noProof/>
          </w:rPr>
          <w:t>Part 1 Section 17.4.33, start (Table Cell Leading Edge Border)</w:t>
        </w:r>
        <w:r>
          <w:rPr>
            <w:noProof/>
            <w:webHidden/>
          </w:rPr>
          <w:tab/>
        </w:r>
        <w:r>
          <w:rPr>
            <w:noProof/>
            <w:webHidden/>
          </w:rPr>
          <w:fldChar w:fldCharType="begin"/>
        </w:r>
        <w:r>
          <w:rPr>
            <w:noProof/>
            <w:webHidden/>
          </w:rPr>
          <w:instrText xml:space="preserve"> PAGEREF _Toc12260213 \h </w:instrText>
        </w:r>
        <w:r>
          <w:rPr>
            <w:noProof/>
            <w:webHidden/>
          </w:rPr>
        </w:r>
        <w:r>
          <w:rPr>
            <w:noProof/>
            <w:webHidden/>
          </w:rPr>
          <w:fldChar w:fldCharType="separate"/>
        </w:r>
        <w:r>
          <w:rPr>
            <w:noProof/>
            <w:webHidden/>
          </w:rPr>
          <w:t>85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14" w:history="1">
        <w:r w:rsidRPr="00CD0B56">
          <w:rPr>
            <w:rStyle w:val="Hyperlink"/>
            <w:noProof/>
          </w:rPr>
          <w:t>2.1.146</w:t>
        </w:r>
        <w:r>
          <w:rPr>
            <w:rFonts w:asciiTheme="minorHAnsi" w:eastAsiaTheme="minorEastAsia" w:hAnsiTheme="minorHAnsi" w:cstheme="minorBidi"/>
            <w:noProof/>
            <w:sz w:val="22"/>
            <w:szCs w:val="22"/>
          </w:rPr>
          <w:tab/>
        </w:r>
        <w:r w:rsidRPr="00CD0B56">
          <w:rPr>
            <w:rStyle w:val="Hyperlink"/>
            <w:noProof/>
          </w:rPr>
          <w:t>Part 1 Section 17.4.34, start (Table Cell Leading Margin Default)</w:t>
        </w:r>
        <w:r>
          <w:rPr>
            <w:noProof/>
            <w:webHidden/>
          </w:rPr>
          <w:tab/>
        </w:r>
        <w:r>
          <w:rPr>
            <w:noProof/>
            <w:webHidden/>
          </w:rPr>
          <w:fldChar w:fldCharType="begin"/>
        </w:r>
        <w:r>
          <w:rPr>
            <w:noProof/>
            <w:webHidden/>
          </w:rPr>
          <w:instrText xml:space="preserve"> PAGEREF _Toc12260214 \h </w:instrText>
        </w:r>
        <w:r>
          <w:rPr>
            <w:noProof/>
            <w:webHidden/>
          </w:rPr>
        </w:r>
        <w:r>
          <w:rPr>
            <w:noProof/>
            <w:webHidden/>
          </w:rPr>
          <w:fldChar w:fldCharType="separate"/>
        </w:r>
        <w:r>
          <w:rPr>
            <w:noProof/>
            <w:webHidden/>
          </w:rPr>
          <w:t>85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15" w:history="1">
        <w:r w:rsidRPr="00CD0B56">
          <w:rPr>
            <w:rStyle w:val="Hyperlink"/>
            <w:noProof/>
          </w:rPr>
          <w:t>2.1.147</w:t>
        </w:r>
        <w:r>
          <w:rPr>
            <w:rFonts w:asciiTheme="minorHAnsi" w:eastAsiaTheme="minorEastAsia" w:hAnsiTheme="minorHAnsi" w:cstheme="minorBidi"/>
            <w:noProof/>
            <w:sz w:val="22"/>
            <w:szCs w:val="22"/>
          </w:rPr>
          <w:tab/>
        </w:r>
        <w:r w:rsidRPr="00CD0B56">
          <w:rPr>
            <w:rStyle w:val="Hyperlink"/>
            <w:noProof/>
          </w:rPr>
          <w:t>Part 1 Section 17.4.35, start (Table Cell Leading Margin Exception)</w:t>
        </w:r>
        <w:r>
          <w:rPr>
            <w:noProof/>
            <w:webHidden/>
          </w:rPr>
          <w:tab/>
        </w:r>
        <w:r>
          <w:rPr>
            <w:noProof/>
            <w:webHidden/>
          </w:rPr>
          <w:fldChar w:fldCharType="begin"/>
        </w:r>
        <w:r>
          <w:rPr>
            <w:noProof/>
            <w:webHidden/>
          </w:rPr>
          <w:instrText xml:space="preserve"> PAGEREF _Toc12260215 \h </w:instrText>
        </w:r>
        <w:r>
          <w:rPr>
            <w:noProof/>
            <w:webHidden/>
          </w:rPr>
        </w:r>
        <w:r>
          <w:rPr>
            <w:noProof/>
            <w:webHidden/>
          </w:rPr>
          <w:fldChar w:fldCharType="separate"/>
        </w:r>
        <w:r>
          <w:rPr>
            <w:noProof/>
            <w:webHidden/>
          </w:rPr>
          <w:t>85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16" w:history="1">
        <w:r w:rsidRPr="00CD0B56">
          <w:rPr>
            <w:rStyle w:val="Hyperlink"/>
            <w:noProof/>
          </w:rPr>
          <w:t>2.1.148</w:t>
        </w:r>
        <w:r>
          <w:rPr>
            <w:rFonts w:asciiTheme="minorHAnsi" w:eastAsiaTheme="minorEastAsia" w:hAnsiTheme="minorHAnsi" w:cstheme="minorBidi"/>
            <w:noProof/>
            <w:sz w:val="22"/>
            <w:szCs w:val="22"/>
          </w:rPr>
          <w:tab/>
        </w:r>
        <w:r w:rsidRPr="00CD0B56">
          <w:rPr>
            <w:rStyle w:val="Hyperlink"/>
            <w:noProof/>
          </w:rPr>
          <w:t>Part 1 Section 17.4.36, start (Table Leading Edge Border)</w:t>
        </w:r>
        <w:r>
          <w:rPr>
            <w:noProof/>
            <w:webHidden/>
          </w:rPr>
          <w:tab/>
        </w:r>
        <w:r>
          <w:rPr>
            <w:noProof/>
            <w:webHidden/>
          </w:rPr>
          <w:fldChar w:fldCharType="begin"/>
        </w:r>
        <w:r>
          <w:rPr>
            <w:noProof/>
            <w:webHidden/>
          </w:rPr>
          <w:instrText xml:space="preserve"> PAGEREF _Toc12260216 \h </w:instrText>
        </w:r>
        <w:r>
          <w:rPr>
            <w:noProof/>
            <w:webHidden/>
          </w:rPr>
        </w:r>
        <w:r>
          <w:rPr>
            <w:noProof/>
            <w:webHidden/>
          </w:rPr>
          <w:fldChar w:fldCharType="separate"/>
        </w:r>
        <w:r>
          <w:rPr>
            <w:noProof/>
            <w:webHidden/>
          </w:rPr>
          <w:t>86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17" w:history="1">
        <w:r w:rsidRPr="00CD0B56">
          <w:rPr>
            <w:rStyle w:val="Hyperlink"/>
            <w:noProof/>
          </w:rPr>
          <w:t>2.1.149</w:t>
        </w:r>
        <w:r>
          <w:rPr>
            <w:rFonts w:asciiTheme="minorHAnsi" w:eastAsiaTheme="minorEastAsia" w:hAnsiTheme="minorHAnsi" w:cstheme="minorBidi"/>
            <w:noProof/>
            <w:sz w:val="22"/>
            <w:szCs w:val="22"/>
          </w:rPr>
          <w:tab/>
        </w:r>
        <w:r w:rsidRPr="00CD0B56">
          <w:rPr>
            <w:rStyle w:val="Hyperlink"/>
            <w:noProof/>
          </w:rPr>
          <w:t>Part 1 Section 17.4.37, tbl (Table)</w:t>
        </w:r>
        <w:r>
          <w:rPr>
            <w:noProof/>
            <w:webHidden/>
          </w:rPr>
          <w:tab/>
        </w:r>
        <w:r>
          <w:rPr>
            <w:noProof/>
            <w:webHidden/>
          </w:rPr>
          <w:fldChar w:fldCharType="begin"/>
        </w:r>
        <w:r>
          <w:rPr>
            <w:noProof/>
            <w:webHidden/>
          </w:rPr>
          <w:instrText xml:space="preserve"> PAGEREF _Toc12260217 \h </w:instrText>
        </w:r>
        <w:r>
          <w:rPr>
            <w:noProof/>
            <w:webHidden/>
          </w:rPr>
        </w:r>
        <w:r>
          <w:rPr>
            <w:noProof/>
            <w:webHidden/>
          </w:rPr>
          <w:fldChar w:fldCharType="separate"/>
        </w:r>
        <w:r>
          <w:rPr>
            <w:noProof/>
            <w:webHidden/>
          </w:rPr>
          <w:t>86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18" w:history="1">
        <w:r w:rsidRPr="00CD0B56">
          <w:rPr>
            <w:rStyle w:val="Hyperlink"/>
            <w:noProof/>
          </w:rPr>
          <w:t>2.1.150</w:t>
        </w:r>
        <w:r>
          <w:rPr>
            <w:rFonts w:asciiTheme="minorHAnsi" w:eastAsiaTheme="minorEastAsia" w:hAnsiTheme="minorHAnsi" w:cstheme="minorBidi"/>
            <w:noProof/>
            <w:sz w:val="22"/>
            <w:szCs w:val="22"/>
          </w:rPr>
          <w:tab/>
        </w:r>
        <w:r w:rsidRPr="00CD0B56">
          <w:rPr>
            <w:rStyle w:val="Hyperlink"/>
            <w:noProof/>
          </w:rPr>
          <w:t>Part 1 Section 17.4.38, tblBorders (Table Borders)</w:t>
        </w:r>
        <w:r>
          <w:rPr>
            <w:noProof/>
            <w:webHidden/>
          </w:rPr>
          <w:tab/>
        </w:r>
        <w:r>
          <w:rPr>
            <w:noProof/>
            <w:webHidden/>
          </w:rPr>
          <w:fldChar w:fldCharType="begin"/>
        </w:r>
        <w:r>
          <w:rPr>
            <w:noProof/>
            <w:webHidden/>
          </w:rPr>
          <w:instrText xml:space="preserve"> PAGEREF _Toc12260218 \h </w:instrText>
        </w:r>
        <w:r>
          <w:rPr>
            <w:noProof/>
            <w:webHidden/>
          </w:rPr>
        </w:r>
        <w:r>
          <w:rPr>
            <w:noProof/>
            <w:webHidden/>
          </w:rPr>
          <w:fldChar w:fldCharType="separate"/>
        </w:r>
        <w:r>
          <w:rPr>
            <w:noProof/>
            <w:webHidden/>
          </w:rPr>
          <w:t>86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19" w:history="1">
        <w:r w:rsidRPr="00CD0B56">
          <w:rPr>
            <w:rStyle w:val="Hyperlink"/>
            <w:noProof/>
          </w:rPr>
          <w:t>2.1.151</w:t>
        </w:r>
        <w:r>
          <w:rPr>
            <w:rFonts w:asciiTheme="minorHAnsi" w:eastAsiaTheme="minorEastAsia" w:hAnsiTheme="minorHAnsi" w:cstheme="minorBidi"/>
            <w:noProof/>
            <w:sz w:val="22"/>
            <w:szCs w:val="22"/>
          </w:rPr>
          <w:tab/>
        </w:r>
        <w:r w:rsidRPr="00CD0B56">
          <w:rPr>
            <w:rStyle w:val="Hyperlink"/>
            <w:noProof/>
          </w:rPr>
          <w:t>Part 1 Section 17.4.39, tblBorders (Table Borders Exceptions)</w:t>
        </w:r>
        <w:r>
          <w:rPr>
            <w:noProof/>
            <w:webHidden/>
          </w:rPr>
          <w:tab/>
        </w:r>
        <w:r>
          <w:rPr>
            <w:noProof/>
            <w:webHidden/>
          </w:rPr>
          <w:fldChar w:fldCharType="begin"/>
        </w:r>
        <w:r>
          <w:rPr>
            <w:noProof/>
            <w:webHidden/>
          </w:rPr>
          <w:instrText xml:space="preserve"> PAGEREF _Toc12260219 \h </w:instrText>
        </w:r>
        <w:r>
          <w:rPr>
            <w:noProof/>
            <w:webHidden/>
          </w:rPr>
        </w:r>
        <w:r>
          <w:rPr>
            <w:noProof/>
            <w:webHidden/>
          </w:rPr>
          <w:fldChar w:fldCharType="separate"/>
        </w:r>
        <w:r>
          <w:rPr>
            <w:noProof/>
            <w:webHidden/>
          </w:rPr>
          <w:t>86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20" w:history="1">
        <w:r w:rsidRPr="00CD0B56">
          <w:rPr>
            <w:rStyle w:val="Hyperlink"/>
            <w:noProof/>
          </w:rPr>
          <w:t>2.1.152</w:t>
        </w:r>
        <w:r>
          <w:rPr>
            <w:rFonts w:asciiTheme="minorHAnsi" w:eastAsiaTheme="minorEastAsia" w:hAnsiTheme="minorHAnsi" w:cstheme="minorBidi"/>
            <w:noProof/>
            <w:sz w:val="22"/>
            <w:szCs w:val="22"/>
          </w:rPr>
          <w:tab/>
        </w:r>
        <w:r w:rsidRPr="00CD0B56">
          <w:rPr>
            <w:rStyle w:val="Hyperlink"/>
            <w:noProof/>
          </w:rPr>
          <w:t>Part 1 Section 17.4.43, tblCellSpacing (Table Row Cell Spacing)</w:t>
        </w:r>
        <w:r>
          <w:rPr>
            <w:noProof/>
            <w:webHidden/>
          </w:rPr>
          <w:tab/>
        </w:r>
        <w:r>
          <w:rPr>
            <w:noProof/>
            <w:webHidden/>
          </w:rPr>
          <w:fldChar w:fldCharType="begin"/>
        </w:r>
        <w:r>
          <w:rPr>
            <w:noProof/>
            <w:webHidden/>
          </w:rPr>
          <w:instrText xml:space="preserve"> PAGEREF _Toc12260220 \h </w:instrText>
        </w:r>
        <w:r>
          <w:rPr>
            <w:noProof/>
            <w:webHidden/>
          </w:rPr>
        </w:r>
        <w:r>
          <w:rPr>
            <w:noProof/>
            <w:webHidden/>
          </w:rPr>
          <w:fldChar w:fldCharType="separate"/>
        </w:r>
        <w:r>
          <w:rPr>
            <w:noProof/>
            <w:webHidden/>
          </w:rPr>
          <w:t>86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21" w:history="1">
        <w:r w:rsidRPr="00CD0B56">
          <w:rPr>
            <w:rStyle w:val="Hyperlink"/>
            <w:noProof/>
          </w:rPr>
          <w:t>2.1.153</w:t>
        </w:r>
        <w:r>
          <w:rPr>
            <w:rFonts w:asciiTheme="minorHAnsi" w:eastAsiaTheme="minorEastAsia" w:hAnsiTheme="minorHAnsi" w:cstheme="minorBidi"/>
            <w:noProof/>
            <w:sz w:val="22"/>
            <w:szCs w:val="22"/>
          </w:rPr>
          <w:tab/>
        </w:r>
        <w:r w:rsidRPr="00CD0B56">
          <w:rPr>
            <w:rStyle w:val="Hyperlink"/>
            <w:noProof/>
          </w:rPr>
          <w:t>Part 1 Section 17.4.44, tblCellSpacing (Table Cell Spacing Exception)</w:t>
        </w:r>
        <w:r>
          <w:rPr>
            <w:noProof/>
            <w:webHidden/>
          </w:rPr>
          <w:tab/>
        </w:r>
        <w:r>
          <w:rPr>
            <w:noProof/>
            <w:webHidden/>
          </w:rPr>
          <w:fldChar w:fldCharType="begin"/>
        </w:r>
        <w:r>
          <w:rPr>
            <w:noProof/>
            <w:webHidden/>
          </w:rPr>
          <w:instrText xml:space="preserve"> PAGEREF _Toc12260221 \h </w:instrText>
        </w:r>
        <w:r>
          <w:rPr>
            <w:noProof/>
            <w:webHidden/>
          </w:rPr>
        </w:r>
        <w:r>
          <w:rPr>
            <w:noProof/>
            <w:webHidden/>
          </w:rPr>
          <w:fldChar w:fldCharType="separate"/>
        </w:r>
        <w:r>
          <w:rPr>
            <w:noProof/>
            <w:webHidden/>
          </w:rPr>
          <w:t>86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22" w:history="1">
        <w:r w:rsidRPr="00CD0B56">
          <w:rPr>
            <w:rStyle w:val="Hyperlink"/>
            <w:noProof/>
          </w:rPr>
          <w:t>2.1.154</w:t>
        </w:r>
        <w:r>
          <w:rPr>
            <w:rFonts w:asciiTheme="minorHAnsi" w:eastAsiaTheme="minorEastAsia" w:hAnsiTheme="minorHAnsi" w:cstheme="minorBidi"/>
            <w:noProof/>
            <w:sz w:val="22"/>
            <w:szCs w:val="22"/>
          </w:rPr>
          <w:tab/>
        </w:r>
        <w:r w:rsidRPr="00CD0B56">
          <w:rPr>
            <w:rStyle w:val="Hyperlink"/>
            <w:noProof/>
          </w:rPr>
          <w:t>Part 1 Section 17.4.45, tblCellSpacing (Table Cell Spacing Default)</w:t>
        </w:r>
        <w:r>
          <w:rPr>
            <w:noProof/>
            <w:webHidden/>
          </w:rPr>
          <w:tab/>
        </w:r>
        <w:r>
          <w:rPr>
            <w:noProof/>
            <w:webHidden/>
          </w:rPr>
          <w:fldChar w:fldCharType="begin"/>
        </w:r>
        <w:r>
          <w:rPr>
            <w:noProof/>
            <w:webHidden/>
          </w:rPr>
          <w:instrText xml:space="preserve"> PAGEREF _Toc12260222 \h </w:instrText>
        </w:r>
        <w:r>
          <w:rPr>
            <w:noProof/>
            <w:webHidden/>
          </w:rPr>
        </w:r>
        <w:r>
          <w:rPr>
            <w:noProof/>
            <w:webHidden/>
          </w:rPr>
          <w:fldChar w:fldCharType="separate"/>
        </w:r>
        <w:r>
          <w:rPr>
            <w:noProof/>
            <w:webHidden/>
          </w:rPr>
          <w:t>87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23" w:history="1">
        <w:r w:rsidRPr="00CD0B56">
          <w:rPr>
            <w:rStyle w:val="Hyperlink"/>
            <w:noProof/>
          </w:rPr>
          <w:t>2.1.155</w:t>
        </w:r>
        <w:r>
          <w:rPr>
            <w:rFonts w:asciiTheme="minorHAnsi" w:eastAsiaTheme="minorEastAsia" w:hAnsiTheme="minorHAnsi" w:cstheme="minorBidi"/>
            <w:noProof/>
            <w:sz w:val="22"/>
            <w:szCs w:val="22"/>
          </w:rPr>
          <w:tab/>
        </w:r>
        <w:r w:rsidRPr="00CD0B56">
          <w:rPr>
            <w:rStyle w:val="Hyperlink"/>
            <w:noProof/>
          </w:rPr>
          <w:t>Part 1 Section 17.4.50, tblInd (Table Indent from Leading Margin)</w:t>
        </w:r>
        <w:r>
          <w:rPr>
            <w:noProof/>
            <w:webHidden/>
          </w:rPr>
          <w:tab/>
        </w:r>
        <w:r>
          <w:rPr>
            <w:noProof/>
            <w:webHidden/>
          </w:rPr>
          <w:fldChar w:fldCharType="begin"/>
        </w:r>
        <w:r>
          <w:rPr>
            <w:noProof/>
            <w:webHidden/>
          </w:rPr>
          <w:instrText xml:space="preserve"> PAGEREF _Toc12260223 \h </w:instrText>
        </w:r>
        <w:r>
          <w:rPr>
            <w:noProof/>
            <w:webHidden/>
          </w:rPr>
        </w:r>
        <w:r>
          <w:rPr>
            <w:noProof/>
            <w:webHidden/>
          </w:rPr>
          <w:fldChar w:fldCharType="separate"/>
        </w:r>
        <w:r>
          <w:rPr>
            <w:noProof/>
            <w:webHidden/>
          </w:rPr>
          <w:t>87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24" w:history="1">
        <w:r w:rsidRPr="00CD0B56">
          <w:rPr>
            <w:rStyle w:val="Hyperlink"/>
            <w:noProof/>
          </w:rPr>
          <w:t>2.1.156</w:t>
        </w:r>
        <w:r>
          <w:rPr>
            <w:rFonts w:asciiTheme="minorHAnsi" w:eastAsiaTheme="minorEastAsia" w:hAnsiTheme="minorHAnsi" w:cstheme="minorBidi"/>
            <w:noProof/>
            <w:sz w:val="22"/>
            <w:szCs w:val="22"/>
          </w:rPr>
          <w:tab/>
        </w:r>
        <w:r w:rsidRPr="00CD0B56">
          <w:rPr>
            <w:rStyle w:val="Hyperlink"/>
            <w:noProof/>
          </w:rPr>
          <w:t>Part 1 Section 17.4.51, tblInd (Table Indent from Leading Margin Exception)</w:t>
        </w:r>
        <w:r>
          <w:rPr>
            <w:noProof/>
            <w:webHidden/>
          </w:rPr>
          <w:tab/>
        </w:r>
        <w:r>
          <w:rPr>
            <w:noProof/>
            <w:webHidden/>
          </w:rPr>
          <w:fldChar w:fldCharType="begin"/>
        </w:r>
        <w:r>
          <w:rPr>
            <w:noProof/>
            <w:webHidden/>
          </w:rPr>
          <w:instrText xml:space="preserve"> PAGEREF _Toc12260224 \h </w:instrText>
        </w:r>
        <w:r>
          <w:rPr>
            <w:noProof/>
            <w:webHidden/>
          </w:rPr>
        </w:r>
        <w:r>
          <w:rPr>
            <w:noProof/>
            <w:webHidden/>
          </w:rPr>
          <w:fldChar w:fldCharType="separate"/>
        </w:r>
        <w:r>
          <w:rPr>
            <w:noProof/>
            <w:webHidden/>
          </w:rPr>
          <w:t>87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25" w:history="1">
        <w:r w:rsidRPr="00CD0B56">
          <w:rPr>
            <w:rStyle w:val="Hyperlink"/>
            <w:noProof/>
          </w:rPr>
          <w:t>2.1.157</w:t>
        </w:r>
        <w:r>
          <w:rPr>
            <w:rFonts w:asciiTheme="minorHAnsi" w:eastAsiaTheme="minorEastAsia" w:hAnsiTheme="minorHAnsi" w:cstheme="minorBidi"/>
            <w:noProof/>
            <w:sz w:val="22"/>
            <w:szCs w:val="22"/>
          </w:rPr>
          <w:tab/>
        </w:r>
        <w:r w:rsidRPr="00CD0B56">
          <w:rPr>
            <w:rStyle w:val="Hyperlink"/>
            <w:noProof/>
          </w:rPr>
          <w:t>Part 1 Section 17.4.52, tblLayout (Table Layout)</w:t>
        </w:r>
        <w:r>
          <w:rPr>
            <w:noProof/>
            <w:webHidden/>
          </w:rPr>
          <w:tab/>
        </w:r>
        <w:r>
          <w:rPr>
            <w:noProof/>
            <w:webHidden/>
          </w:rPr>
          <w:fldChar w:fldCharType="begin"/>
        </w:r>
        <w:r>
          <w:rPr>
            <w:noProof/>
            <w:webHidden/>
          </w:rPr>
          <w:instrText xml:space="preserve"> PAGEREF _Toc12260225 \h </w:instrText>
        </w:r>
        <w:r>
          <w:rPr>
            <w:noProof/>
            <w:webHidden/>
          </w:rPr>
        </w:r>
        <w:r>
          <w:rPr>
            <w:noProof/>
            <w:webHidden/>
          </w:rPr>
          <w:fldChar w:fldCharType="separate"/>
        </w:r>
        <w:r>
          <w:rPr>
            <w:noProof/>
            <w:webHidden/>
          </w:rPr>
          <w:t>87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26" w:history="1">
        <w:r w:rsidRPr="00CD0B56">
          <w:rPr>
            <w:rStyle w:val="Hyperlink"/>
            <w:noProof/>
          </w:rPr>
          <w:t>2.1.158</w:t>
        </w:r>
        <w:r>
          <w:rPr>
            <w:rFonts w:asciiTheme="minorHAnsi" w:eastAsiaTheme="minorEastAsia" w:hAnsiTheme="minorHAnsi" w:cstheme="minorBidi"/>
            <w:noProof/>
            <w:sz w:val="22"/>
            <w:szCs w:val="22"/>
          </w:rPr>
          <w:tab/>
        </w:r>
        <w:r w:rsidRPr="00CD0B56">
          <w:rPr>
            <w:rStyle w:val="Hyperlink"/>
            <w:noProof/>
          </w:rPr>
          <w:t>Part 1 Section 17.4.53, tblLayout (Table Layout Exception)</w:t>
        </w:r>
        <w:r>
          <w:rPr>
            <w:noProof/>
            <w:webHidden/>
          </w:rPr>
          <w:tab/>
        </w:r>
        <w:r>
          <w:rPr>
            <w:noProof/>
            <w:webHidden/>
          </w:rPr>
          <w:fldChar w:fldCharType="begin"/>
        </w:r>
        <w:r>
          <w:rPr>
            <w:noProof/>
            <w:webHidden/>
          </w:rPr>
          <w:instrText xml:space="preserve"> PAGEREF _Toc12260226 \h </w:instrText>
        </w:r>
        <w:r>
          <w:rPr>
            <w:noProof/>
            <w:webHidden/>
          </w:rPr>
        </w:r>
        <w:r>
          <w:rPr>
            <w:noProof/>
            <w:webHidden/>
          </w:rPr>
          <w:fldChar w:fldCharType="separate"/>
        </w:r>
        <w:r>
          <w:rPr>
            <w:noProof/>
            <w:webHidden/>
          </w:rPr>
          <w:t>87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27" w:history="1">
        <w:r w:rsidRPr="00CD0B56">
          <w:rPr>
            <w:rStyle w:val="Hyperlink"/>
            <w:noProof/>
          </w:rPr>
          <w:t>2.1.159</w:t>
        </w:r>
        <w:r>
          <w:rPr>
            <w:rFonts w:asciiTheme="minorHAnsi" w:eastAsiaTheme="minorEastAsia" w:hAnsiTheme="minorHAnsi" w:cstheme="minorBidi"/>
            <w:noProof/>
            <w:sz w:val="22"/>
            <w:szCs w:val="22"/>
          </w:rPr>
          <w:tab/>
        </w:r>
        <w:r w:rsidRPr="00CD0B56">
          <w:rPr>
            <w:rStyle w:val="Hyperlink"/>
            <w:noProof/>
          </w:rPr>
          <w:t>Part 1 Section 17.4.54, tblLook (Table Style Conditional Formatting Settings Exception)</w:t>
        </w:r>
        <w:r>
          <w:rPr>
            <w:noProof/>
            <w:webHidden/>
          </w:rPr>
          <w:tab/>
        </w:r>
        <w:r>
          <w:rPr>
            <w:noProof/>
            <w:webHidden/>
          </w:rPr>
          <w:fldChar w:fldCharType="begin"/>
        </w:r>
        <w:r>
          <w:rPr>
            <w:noProof/>
            <w:webHidden/>
          </w:rPr>
          <w:instrText xml:space="preserve"> PAGEREF _Toc12260227 \h </w:instrText>
        </w:r>
        <w:r>
          <w:rPr>
            <w:noProof/>
            <w:webHidden/>
          </w:rPr>
        </w:r>
        <w:r>
          <w:rPr>
            <w:noProof/>
            <w:webHidden/>
          </w:rPr>
          <w:fldChar w:fldCharType="separate"/>
        </w:r>
        <w:r>
          <w:rPr>
            <w:noProof/>
            <w:webHidden/>
          </w:rPr>
          <w:t>87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28" w:history="1">
        <w:r w:rsidRPr="00CD0B56">
          <w:rPr>
            <w:rStyle w:val="Hyperlink"/>
            <w:noProof/>
          </w:rPr>
          <w:t>2.1.160</w:t>
        </w:r>
        <w:r>
          <w:rPr>
            <w:rFonts w:asciiTheme="minorHAnsi" w:eastAsiaTheme="minorEastAsia" w:hAnsiTheme="minorHAnsi" w:cstheme="minorBidi"/>
            <w:noProof/>
            <w:sz w:val="22"/>
            <w:szCs w:val="22"/>
          </w:rPr>
          <w:tab/>
        </w:r>
        <w:r w:rsidRPr="00CD0B56">
          <w:rPr>
            <w:rStyle w:val="Hyperlink"/>
            <w:noProof/>
          </w:rPr>
          <w:t>Part 1 Section 17.4.55, tblLook (Table Style Conditional Formatting Settings)</w:t>
        </w:r>
        <w:r>
          <w:rPr>
            <w:noProof/>
            <w:webHidden/>
          </w:rPr>
          <w:tab/>
        </w:r>
        <w:r>
          <w:rPr>
            <w:noProof/>
            <w:webHidden/>
          </w:rPr>
          <w:fldChar w:fldCharType="begin"/>
        </w:r>
        <w:r>
          <w:rPr>
            <w:noProof/>
            <w:webHidden/>
          </w:rPr>
          <w:instrText xml:space="preserve"> PAGEREF _Toc12260228 \h </w:instrText>
        </w:r>
        <w:r>
          <w:rPr>
            <w:noProof/>
            <w:webHidden/>
          </w:rPr>
        </w:r>
        <w:r>
          <w:rPr>
            <w:noProof/>
            <w:webHidden/>
          </w:rPr>
          <w:fldChar w:fldCharType="separate"/>
        </w:r>
        <w:r>
          <w:rPr>
            <w:noProof/>
            <w:webHidden/>
          </w:rPr>
          <w:t>88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29" w:history="1">
        <w:r w:rsidRPr="00CD0B56">
          <w:rPr>
            <w:rStyle w:val="Hyperlink"/>
            <w:noProof/>
          </w:rPr>
          <w:t>2.1.161</w:t>
        </w:r>
        <w:r>
          <w:rPr>
            <w:rFonts w:asciiTheme="minorHAnsi" w:eastAsiaTheme="minorEastAsia" w:hAnsiTheme="minorHAnsi" w:cstheme="minorBidi"/>
            <w:noProof/>
            <w:sz w:val="22"/>
            <w:szCs w:val="22"/>
          </w:rPr>
          <w:tab/>
        </w:r>
        <w:r w:rsidRPr="00CD0B56">
          <w:rPr>
            <w:rStyle w:val="Hyperlink"/>
            <w:noProof/>
          </w:rPr>
          <w:t>Part 1 Section 17.4.56, tblOverlap (Floating Table Allows Other Tables to Overlap)</w:t>
        </w:r>
        <w:r>
          <w:rPr>
            <w:noProof/>
            <w:webHidden/>
          </w:rPr>
          <w:tab/>
        </w:r>
        <w:r>
          <w:rPr>
            <w:noProof/>
            <w:webHidden/>
          </w:rPr>
          <w:fldChar w:fldCharType="begin"/>
        </w:r>
        <w:r>
          <w:rPr>
            <w:noProof/>
            <w:webHidden/>
          </w:rPr>
          <w:instrText xml:space="preserve"> PAGEREF _Toc12260229 \h </w:instrText>
        </w:r>
        <w:r>
          <w:rPr>
            <w:noProof/>
            <w:webHidden/>
          </w:rPr>
        </w:r>
        <w:r>
          <w:rPr>
            <w:noProof/>
            <w:webHidden/>
          </w:rPr>
          <w:fldChar w:fldCharType="separate"/>
        </w:r>
        <w:r>
          <w:rPr>
            <w:noProof/>
            <w:webHidden/>
          </w:rPr>
          <w:t>88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30" w:history="1">
        <w:r w:rsidRPr="00CD0B56">
          <w:rPr>
            <w:rStyle w:val="Hyperlink"/>
            <w:noProof/>
          </w:rPr>
          <w:t>2.1.162</w:t>
        </w:r>
        <w:r>
          <w:rPr>
            <w:rFonts w:asciiTheme="minorHAnsi" w:eastAsiaTheme="minorEastAsia" w:hAnsiTheme="minorHAnsi" w:cstheme="minorBidi"/>
            <w:noProof/>
            <w:sz w:val="22"/>
            <w:szCs w:val="22"/>
          </w:rPr>
          <w:tab/>
        </w:r>
        <w:r w:rsidRPr="00CD0B56">
          <w:rPr>
            <w:rStyle w:val="Hyperlink"/>
            <w:noProof/>
          </w:rPr>
          <w:t>Part 1 Section 17.4.57, tblpPr (Floating Table Positioning)</w:t>
        </w:r>
        <w:r>
          <w:rPr>
            <w:noProof/>
            <w:webHidden/>
          </w:rPr>
          <w:tab/>
        </w:r>
        <w:r>
          <w:rPr>
            <w:noProof/>
            <w:webHidden/>
          </w:rPr>
          <w:fldChar w:fldCharType="begin"/>
        </w:r>
        <w:r>
          <w:rPr>
            <w:noProof/>
            <w:webHidden/>
          </w:rPr>
          <w:instrText xml:space="preserve"> PAGEREF _Toc12260230 \h </w:instrText>
        </w:r>
        <w:r>
          <w:rPr>
            <w:noProof/>
            <w:webHidden/>
          </w:rPr>
        </w:r>
        <w:r>
          <w:rPr>
            <w:noProof/>
            <w:webHidden/>
          </w:rPr>
          <w:fldChar w:fldCharType="separate"/>
        </w:r>
        <w:r>
          <w:rPr>
            <w:noProof/>
            <w:webHidden/>
          </w:rPr>
          <w:t>88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31" w:history="1">
        <w:r w:rsidRPr="00CD0B56">
          <w:rPr>
            <w:rStyle w:val="Hyperlink"/>
            <w:noProof/>
          </w:rPr>
          <w:t>2.1.163</w:t>
        </w:r>
        <w:r>
          <w:rPr>
            <w:rFonts w:asciiTheme="minorHAnsi" w:eastAsiaTheme="minorEastAsia" w:hAnsiTheme="minorHAnsi" w:cstheme="minorBidi"/>
            <w:noProof/>
            <w:sz w:val="22"/>
            <w:szCs w:val="22"/>
          </w:rPr>
          <w:tab/>
        </w:r>
        <w:r w:rsidRPr="00CD0B56">
          <w:rPr>
            <w:rStyle w:val="Hyperlink"/>
            <w:noProof/>
          </w:rPr>
          <w:t>Part 1 Section 17.4.58, tblPr (Previous Table Properties)</w:t>
        </w:r>
        <w:r>
          <w:rPr>
            <w:noProof/>
            <w:webHidden/>
          </w:rPr>
          <w:tab/>
        </w:r>
        <w:r>
          <w:rPr>
            <w:noProof/>
            <w:webHidden/>
          </w:rPr>
          <w:fldChar w:fldCharType="begin"/>
        </w:r>
        <w:r>
          <w:rPr>
            <w:noProof/>
            <w:webHidden/>
          </w:rPr>
          <w:instrText xml:space="preserve"> PAGEREF _Toc12260231 \h </w:instrText>
        </w:r>
        <w:r>
          <w:rPr>
            <w:noProof/>
            <w:webHidden/>
          </w:rPr>
        </w:r>
        <w:r>
          <w:rPr>
            <w:noProof/>
            <w:webHidden/>
          </w:rPr>
          <w:fldChar w:fldCharType="separate"/>
        </w:r>
        <w:r>
          <w:rPr>
            <w:noProof/>
            <w:webHidden/>
          </w:rPr>
          <w:t>89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32" w:history="1">
        <w:r w:rsidRPr="00CD0B56">
          <w:rPr>
            <w:rStyle w:val="Hyperlink"/>
            <w:noProof/>
          </w:rPr>
          <w:t>2.1.164</w:t>
        </w:r>
        <w:r>
          <w:rPr>
            <w:rFonts w:asciiTheme="minorHAnsi" w:eastAsiaTheme="minorEastAsia" w:hAnsiTheme="minorHAnsi" w:cstheme="minorBidi"/>
            <w:noProof/>
            <w:sz w:val="22"/>
            <w:szCs w:val="22"/>
          </w:rPr>
          <w:tab/>
        </w:r>
        <w:r w:rsidRPr="00CD0B56">
          <w:rPr>
            <w:rStyle w:val="Hyperlink"/>
            <w:noProof/>
          </w:rPr>
          <w:t>Part 1 Section 17.4.59, tblPr (Table Properties)</w:t>
        </w:r>
        <w:r>
          <w:rPr>
            <w:noProof/>
            <w:webHidden/>
          </w:rPr>
          <w:tab/>
        </w:r>
        <w:r>
          <w:rPr>
            <w:noProof/>
            <w:webHidden/>
          </w:rPr>
          <w:fldChar w:fldCharType="begin"/>
        </w:r>
        <w:r>
          <w:rPr>
            <w:noProof/>
            <w:webHidden/>
          </w:rPr>
          <w:instrText xml:space="preserve"> PAGEREF _Toc12260232 \h </w:instrText>
        </w:r>
        <w:r>
          <w:rPr>
            <w:noProof/>
            <w:webHidden/>
          </w:rPr>
        </w:r>
        <w:r>
          <w:rPr>
            <w:noProof/>
            <w:webHidden/>
          </w:rPr>
          <w:fldChar w:fldCharType="separate"/>
        </w:r>
        <w:r>
          <w:rPr>
            <w:noProof/>
            <w:webHidden/>
          </w:rPr>
          <w:t>89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33" w:history="1">
        <w:r w:rsidRPr="00CD0B56">
          <w:rPr>
            <w:rStyle w:val="Hyperlink"/>
            <w:noProof/>
          </w:rPr>
          <w:t>2.1.165</w:t>
        </w:r>
        <w:r>
          <w:rPr>
            <w:rFonts w:asciiTheme="minorHAnsi" w:eastAsiaTheme="minorEastAsia" w:hAnsiTheme="minorHAnsi" w:cstheme="minorBidi"/>
            <w:noProof/>
            <w:sz w:val="22"/>
            <w:szCs w:val="22"/>
          </w:rPr>
          <w:tab/>
        </w:r>
        <w:r w:rsidRPr="00CD0B56">
          <w:rPr>
            <w:rStyle w:val="Hyperlink"/>
            <w:noProof/>
          </w:rPr>
          <w:t>Part 1 Section 17.4.62, tblStyle (Referenced Table Style)</w:t>
        </w:r>
        <w:r>
          <w:rPr>
            <w:noProof/>
            <w:webHidden/>
          </w:rPr>
          <w:tab/>
        </w:r>
        <w:r>
          <w:rPr>
            <w:noProof/>
            <w:webHidden/>
          </w:rPr>
          <w:fldChar w:fldCharType="begin"/>
        </w:r>
        <w:r>
          <w:rPr>
            <w:noProof/>
            <w:webHidden/>
          </w:rPr>
          <w:instrText xml:space="preserve"> PAGEREF _Toc12260233 \h </w:instrText>
        </w:r>
        <w:r>
          <w:rPr>
            <w:noProof/>
            <w:webHidden/>
          </w:rPr>
        </w:r>
        <w:r>
          <w:rPr>
            <w:noProof/>
            <w:webHidden/>
          </w:rPr>
          <w:fldChar w:fldCharType="separate"/>
        </w:r>
        <w:r>
          <w:rPr>
            <w:noProof/>
            <w:webHidden/>
          </w:rPr>
          <w:t>89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34" w:history="1">
        <w:r w:rsidRPr="00CD0B56">
          <w:rPr>
            <w:rStyle w:val="Hyperlink"/>
            <w:noProof/>
          </w:rPr>
          <w:t>2.1.166</w:t>
        </w:r>
        <w:r>
          <w:rPr>
            <w:rFonts w:asciiTheme="minorHAnsi" w:eastAsiaTheme="minorEastAsia" w:hAnsiTheme="minorHAnsi" w:cstheme="minorBidi"/>
            <w:noProof/>
            <w:sz w:val="22"/>
            <w:szCs w:val="22"/>
          </w:rPr>
          <w:tab/>
        </w:r>
        <w:r w:rsidRPr="00CD0B56">
          <w:rPr>
            <w:rStyle w:val="Hyperlink"/>
            <w:noProof/>
          </w:rPr>
          <w:t>Part 1 Section 17.4.63, tblW (Preferred Table Width)</w:t>
        </w:r>
        <w:r>
          <w:rPr>
            <w:noProof/>
            <w:webHidden/>
          </w:rPr>
          <w:tab/>
        </w:r>
        <w:r>
          <w:rPr>
            <w:noProof/>
            <w:webHidden/>
          </w:rPr>
          <w:fldChar w:fldCharType="begin"/>
        </w:r>
        <w:r>
          <w:rPr>
            <w:noProof/>
            <w:webHidden/>
          </w:rPr>
          <w:instrText xml:space="preserve"> PAGEREF _Toc12260234 \h </w:instrText>
        </w:r>
        <w:r>
          <w:rPr>
            <w:noProof/>
            <w:webHidden/>
          </w:rPr>
        </w:r>
        <w:r>
          <w:rPr>
            <w:noProof/>
            <w:webHidden/>
          </w:rPr>
          <w:fldChar w:fldCharType="separate"/>
        </w:r>
        <w:r>
          <w:rPr>
            <w:noProof/>
            <w:webHidden/>
          </w:rPr>
          <w:t>89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35" w:history="1">
        <w:r w:rsidRPr="00CD0B56">
          <w:rPr>
            <w:rStyle w:val="Hyperlink"/>
            <w:noProof/>
          </w:rPr>
          <w:t>2.1.167</w:t>
        </w:r>
        <w:r>
          <w:rPr>
            <w:rFonts w:asciiTheme="minorHAnsi" w:eastAsiaTheme="minorEastAsia" w:hAnsiTheme="minorHAnsi" w:cstheme="minorBidi"/>
            <w:noProof/>
            <w:sz w:val="22"/>
            <w:szCs w:val="22"/>
          </w:rPr>
          <w:tab/>
        </w:r>
        <w:r w:rsidRPr="00CD0B56">
          <w:rPr>
            <w:rStyle w:val="Hyperlink"/>
            <w:noProof/>
          </w:rPr>
          <w:t>Part 1 Section 17.4.64, tblW (Preferred Table Width Exception)</w:t>
        </w:r>
        <w:r>
          <w:rPr>
            <w:noProof/>
            <w:webHidden/>
          </w:rPr>
          <w:tab/>
        </w:r>
        <w:r>
          <w:rPr>
            <w:noProof/>
            <w:webHidden/>
          </w:rPr>
          <w:fldChar w:fldCharType="begin"/>
        </w:r>
        <w:r>
          <w:rPr>
            <w:noProof/>
            <w:webHidden/>
          </w:rPr>
          <w:instrText xml:space="preserve"> PAGEREF _Toc12260235 \h </w:instrText>
        </w:r>
        <w:r>
          <w:rPr>
            <w:noProof/>
            <w:webHidden/>
          </w:rPr>
        </w:r>
        <w:r>
          <w:rPr>
            <w:noProof/>
            <w:webHidden/>
          </w:rPr>
          <w:fldChar w:fldCharType="separate"/>
        </w:r>
        <w:r>
          <w:rPr>
            <w:noProof/>
            <w:webHidden/>
          </w:rPr>
          <w:t>89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36" w:history="1">
        <w:r w:rsidRPr="00CD0B56">
          <w:rPr>
            <w:rStyle w:val="Hyperlink"/>
            <w:noProof/>
          </w:rPr>
          <w:t>2.1.168</w:t>
        </w:r>
        <w:r>
          <w:rPr>
            <w:rFonts w:asciiTheme="minorHAnsi" w:eastAsiaTheme="minorEastAsia" w:hAnsiTheme="minorHAnsi" w:cstheme="minorBidi"/>
            <w:noProof/>
            <w:sz w:val="22"/>
            <w:szCs w:val="22"/>
          </w:rPr>
          <w:tab/>
        </w:r>
        <w:r w:rsidRPr="00CD0B56">
          <w:rPr>
            <w:rStyle w:val="Hyperlink"/>
            <w:noProof/>
          </w:rPr>
          <w:t>Part 1 Section 17.4.65, tc (Table Cell)</w:t>
        </w:r>
        <w:r>
          <w:rPr>
            <w:noProof/>
            <w:webHidden/>
          </w:rPr>
          <w:tab/>
        </w:r>
        <w:r>
          <w:rPr>
            <w:noProof/>
            <w:webHidden/>
          </w:rPr>
          <w:fldChar w:fldCharType="begin"/>
        </w:r>
        <w:r>
          <w:rPr>
            <w:noProof/>
            <w:webHidden/>
          </w:rPr>
          <w:instrText xml:space="preserve"> PAGEREF _Toc12260236 \h </w:instrText>
        </w:r>
        <w:r>
          <w:rPr>
            <w:noProof/>
            <w:webHidden/>
          </w:rPr>
        </w:r>
        <w:r>
          <w:rPr>
            <w:noProof/>
            <w:webHidden/>
          </w:rPr>
          <w:fldChar w:fldCharType="separate"/>
        </w:r>
        <w:r>
          <w:rPr>
            <w:noProof/>
            <w:webHidden/>
          </w:rPr>
          <w:t>90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37" w:history="1">
        <w:r w:rsidRPr="00CD0B56">
          <w:rPr>
            <w:rStyle w:val="Hyperlink"/>
            <w:noProof/>
          </w:rPr>
          <w:t>2.1.169</w:t>
        </w:r>
        <w:r>
          <w:rPr>
            <w:rFonts w:asciiTheme="minorHAnsi" w:eastAsiaTheme="minorEastAsia" w:hAnsiTheme="minorHAnsi" w:cstheme="minorBidi"/>
            <w:noProof/>
            <w:sz w:val="22"/>
            <w:szCs w:val="22"/>
          </w:rPr>
          <w:tab/>
        </w:r>
        <w:r w:rsidRPr="00CD0B56">
          <w:rPr>
            <w:rStyle w:val="Hyperlink"/>
            <w:noProof/>
          </w:rPr>
          <w:t>Part 1 Section 17.4.66, tcBorders (Table Cell Borders)</w:t>
        </w:r>
        <w:r>
          <w:rPr>
            <w:noProof/>
            <w:webHidden/>
          </w:rPr>
          <w:tab/>
        </w:r>
        <w:r>
          <w:rPr>
            <w:noProof/>
            <w:webHidden/>
          </w:rPr>
          <w:fldChar w:fldCharType="begin"/>
        </w:r>
        <w:r>
          <w:rPr>
            <w:noProof/>
            <w:webHidden/>
          </w:rPr>
          <w:instrText xml:space="preserve"> PAGEREF _Toc12260237 \h </w:instrText>
        </w:r>
        <w:r>
          <w:rPr>
            <w:noProof/>
            <w:webHidden/>
          </w:rPr>
        </w:r>
        <w:r>
          <w:rPr>
            <w:noProof/>
            <w:webHidden/>
          </w:rPr>
          <w:fldChar w:fldCharType="separate"/>
        </w:r>
        <w:r>
          <w:rPr>
            <w:noProof/>
            <w:webHidden/>
          </w:rPr>
          <w:t>90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38" w:history="1">
        <w:r w:rsidRPr="00CD0B56">
          <w:rPr>
            <w:rStyle w:val="Hyperlink"/>
            <w:noProof/>
          </w:rPr>
          <w:t>2.1.170</w:t>
        </w:r>
        <w:r>
          <w:rPr>
            <w:rFonts w:asciiTheme="minorHAnsi" w:eastAsiaTheme="minorEastAsia" w:hAnsiTheme="minorHAnsi" w:cstheme="minorBidi"/>
            <w:noProof/>
            <w:sz w:val="22"/>
            <w:szCs w:val="22"/>
          </w:rPr>
          <w:tab/>
        </w:r>
        <w:r w:rsidRPr="00CD0B56">
          <w:rPr>
            <w:rStyle w:val="Hyperlink"/>
            <w:noProof/>
          </w:rPr>
          <w:t>Part 1 Section 17.4.67, tcFitText (Fit Text Within Cell)</w:t>
        </w:r>
        <w:r>
          <w:rPr>
            <w:noProof/>
            <w:webHidden/>
          </w:rPr>
          <w:tab/>
        </w:r>
        <w:r>
          <w:rPr>
            <w:noProof/>
            <w:webHidden/>
          </w:rPr>
          <w:fldChar w:fldCharType="begin"/>
        </w:r>
        <w:r>
          <w:rPr>
            <w:noProof/>
            <w:webHidden/>
          </w:rPr>
          <w:instrText xml:space="preserve"> PAGEREF _Toc12260238 \h </w:instrText>
        </w:r>
        <w:r>
          <w:rPr>
            <w:noProof/>
            <w:webHidden/>
          </w:rPr>
        </w:r>
        <w:r>
          <w:rPr>
            <w:noProof/>
            <w:webHidden/>
          </w:rPr>
          <w:fldChar w:fldCharType="separate"/>
        </w:r>
        <w:r>
          <w:rPr>
            <w:noProof/>
            <w:webHidden/>
          </w:rPr>
          <w:t>92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39" w:history="1">
        <w:r w:rsidRPr="00CD0B56">
          <w:rPr>
            <w:rStyle w:val="Hyperlink"/>
            <w:noProof/>
          </w:rPr>
          <w:t>2.1.171</w:t>
        </w:r>
        <w:r>
          <w:rPr>
            <w:rFonts w:asciiTheme="minorHAnsi" w:eastAsiaTheme="minorEastAsia" w:hAnsiTheme="minorHAnsi" w:cstheme="minorBidi"/>
            <w:noProof/>
            <w:sz w:val="22"/>
            <w:szCs w:val="22"/>
          </w:rPr>
          <w:tab/>
        </w:r>
        <w:r w:rsidRPr="00CD0B56">
          <w:rPr>
            <w:rStyle w:val="Hyperlink"/>
            <w:noProof/>
          </w:rPr>
          <w:t>Part 1 Section 17.4.71, tcW (Preferred Table Cell Width)</w:t>
        </w:r>
        <w:r>
          <w:rPr>
            <w:noProof/>
            <w:webHidden/>
          </w:rPr>
          <w:tab/>
        </w:r>
        <w:r>
          <w:rPr>
            <w:noProof/>
            <w:webHidden/>
          </w:rPr>
          <w:fldChar w:fldCharType="begin"/>
        </w:r>
        <w:r>
          <w:rPr>
            <w:noProof/>
            <w:webHidden/>
          </w:rPr>
          <w:instrText xml:space="preserve"> PAGEREF _Toc12260239 \h </w:instrText>
        </w:r>
        <w:r>
          <w:rPr>
            <w:noProof/>
            <w:webHidden/>
          </w:rPr>
        </w:r>
        <w:r>
          <w:rPr>
            <w:noProof/>
            <w:webHidden/>
          </w:rPr>
          <w:fldChar w:fldCharType="separate"/>
        </w:r>
        <w:r>
          <w:rPr>
            <w:noProof/>
            <w:webHidden/>
          </w:rPr>
          <w:t>93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40" w:history="1">
        <w:r w:rsidRPr="00CD0B56">
          <w:rPr>
            <w:rStyle w:val="Hyperlink"/>
            <w:noProof/>
          </w:rPr>
          <w:t>2.1.172</w:t>
        </w:r>
        <w:r>
          <w:rPr>
            <w:rFonts w:asciiTheme="minorHAnsi" w:eastAsiaTheme="minorEastAsia" w:hAnsiTheme="minorHAnsi" w:cstheme="minorBidi"/>
            <w:noProof/>
            <w:sz w:val="22"/>
            <w:szCs w:val="22"/>
          </w:rPr>
          <w:tab/>
        </w:r>
        <w:r w:rsidRPr="00CD0B56">
          <w:rPr>
            <w:rStyle w:val="Hyperlink"/>
            <w:noProof/>
          </w:rPr>
          <w:t>Part 1 Section 17.4.72, textDirection (Table Cell Text Flow Direction)</w:t>
        </w:r>
        <w:r>
          <w:rPr>
            <w:noProof/>
            <w:webHidden/>
          </w:rPr>
          <w:tab/>
        </w:r>
        <w:r>
          <w:rPr>
            <w:noProof/>
            <w:webHidden/>
          </w:rPr>
          <w:fldChar w:fldCharType="begin"/>
        </w:r>
        <w:r>
          <w:rPr>
            <w:noProof/>
            <w:webHidden/>
          </w:rPr>
          <w:instrText xml:space="preserve"> PAGEREF _Toc12260240 \h </w:instrText>
        </w:r>
        <w:r>
          <w:rPr>
            <w:noProof/>
            <w:webHidden/>
          </w:rPr>
        </w:r>
        <w:r>
          <w:rPr>
            <w:noProof/>
            <w:webHidden/>
          </w:rPr>
          <w:fldChar w:fldCharType="separate"/>
        </w:r>
        <w:r>
          <w:rPr>
            <w:noProof/>
            <w:webHidden/>
          </w:rPr>
          <w:t>93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41" w:history="1">
        <w:r w:rsidRPr="00CD0B56">
          <w:rPr>
            <w:rStyle w:val="Hyperlink"/>
            <w:noProof/>
          </w:rPr>
          <w:t>2.1.173</w:t>
        </w:r>
        <w:r>
          <w:rPr>
            <w:rFonts w:asciiTheme="minorHAnsi" w:eastAsiaTheme="minorEastAsia" w:hAnsiTheme="minorHAnsi" w:cstheme="minorBidi"/>
            <w:noProof/>
            <w:sz w:val="22"/>
            <w:szCs w:val="22"/>
          </w:rPr>
          <w:tab/>
        </w:r>
        <w:r w:rsidRPr="00CD0B56">
          <w:rPr>
            <w:rStyle w:val="Hyperlink"/>
            <w:noProof/>
          </w:rPr>
          <w:t>Part 1 Section 17.4.73, tl2br (Table Cell Top Left to Bottom Right Diagonal Border)</w:t>
        </w:r>
        <w:r>
          <w:rPr>
            <w:noProof/>
            <w:webHidden/>
          </w:rPr>
          <w:tab/>
        </w:r>
        <w:r>
          <w:rPr>
            <w:noProof/>
            <w:webHidden/>
          </w:rPr>
          <w:fldChar w:fldCharType="begin"/>
        </w:r>
        <w:r>
          <w:rPr>
            <w:noProof/>
            <w:webHidden/>
          </w:rPr>
          <w:instrText xml:space="preserve"> PAGEREF _Toc12260241 \h </w:instrText>
        </w:r>
        <w:r>
          <w:rPr>
            <w:noProof/>
            <w:webHidden/>
          </w:rPr>
        </w:r>
        <w:r>
          <w:rPr>
            <w:noProof/>
            <w:webHidden/>
          </w:rPr>
          <w:fldChar w:fldCharType="separate"/>
        </w:r>
        <w:r>
          <w:rPr>
            <w:noProof/>
            <w:webHidden/>
          </w:rPr>
          <w:t>93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42" w:history="1">
        <w:r w:rsidRPr="00CD0B56">
          <w:rPr>
            <w:rStyle w:val="Hyperlink"/>
            <w:noProof/>
          </w:rPr>
          <w:t>2.1.174</w:t>
        </w:r>
        <w:r>
          <w:rPr>
            <w:rFonts w:asciiTheme="minorHAnsi" w:eastAsiaTheme="minorEastAsia" w:hAnsiTheme="minorHAnsi" w:cstheme="minorBidi"/>
            <w:noProof/>
            <w:sz w:val="22"/>
            <w:szCs w:val="22"/>
          </w:rPr>
          <w:tab/>
        </w:r>
        <w:r w:rsidRPr="00CD0B56">
          <w:rPr>
            <w:rStyle w:val="Hyperlink"/>
            <w:noProof/>
          </w:rPr>
          <w:t>Part 1 Section 17.4.74, top (Table Cell Top Border)</w:t>
        </w:r>
        <w:r>
          <w:rPr>
            <w:noProof/>
            <w:webHidden/>
          </w:rPr>
          <w:tab/>
        </w:r>
        <w:r>
          <w:rPr>
            <w:noProof/>
            <w:webHidden/>
          </w:rPr>
          <w:fldChar w:fldCharType="begin"/>
        </w:r>
        <w:r>
          <w:rPr>
            <w:noProof/>
            <w:webHidden/>
          </w:rPr>
          <w:instrText xml:space="preserve"> PAGEREF _Toc12260242 \h </w:instrText>
        </w:r>
        <w:r>
          <w:rPr>
            <w:noProof/>
            <w:webHidden/>
          </w:rPr>
        </w:r>
        <w:r>
          <w:rPr>
            <w:noProof/>
            <w:webHidden/>
          </w:rPr>
          <w:fldChar w:fldCharType="separate"/>
        </w:r>
        <w:r>
          <w:rPr>
            <w:noProof/>
            <w:webHidden/>
          </w:rPr>
          <w:t>93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43" w:history="1">
        <w:r w:rsidRPr="00CD0B56">
          <w:rPr>
            <w:rStyle w:val="Hyperlink"/>
            <w:noProof/>
          </w:rPr>
          <w:t>2.1.175</w:t>
        </w:r>
        <w:r>
          <w:rPr>
            <w:rFonts w:asciiTheme="minorHAnsi" w:eastAsiaTheme="minorEastAsia" w:hAnsiTheme="minorHAnsi" w:cstheme="minorBidi"/>
            <w:noProof/>
            <w:sz w:val="22"/>
            <w:szCs w:val="22"/>
          </w:rPr>
          <w:tab/>
        </w:r>
        <w:r w:rsidRPr="00CD0B56">
          <w:rPr>
            <w:rStyle w:val="Hyperlink"/>
            <w:noProof/>
          </w:rPr>
          <w:t>Part 1 Section 17.4.75, top (Table Cell Top Margin Default)</w:t>
        </w:r>
        <w:r>
          <w:rPr>
            <w:noProof/>
            <w:webHidden/>
          </w:rPr>
          <w:tab/>
        </w:r>
        <w:r>
          <w:rPr>
            <w:noProof/>
            <w:webHidden/>
          </w:rPr>
          <w:fldChar w:fldCharType="begin"/>
        </w:r>
        <w:r>
          <w:rPr>
            <w:noProof/>
            <w:webHidden/>
          </w:rPr>
          <w:instrText xml:space="preserve"> PAGEREF _Toc12260243 \h </w:instrText>
        </w:r>
        <w:r>
          <w:rPr>
            <w:noProof/>
            <w:webHidden/>
          </w:rPr>
        </w:r>
        <w:r>
          <w:rPr>
            <w:noProof/>
            <w:webHidden/>
          </w:rPr>
          <w:fldChar w:fldCharType="separate"/>
        </w:r>
        <w:r>
          <w:rPr>
            <w:noProof/>
            <w:webHidden/>
          </w:rPr>
          <w:t>93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44" w:history="1">
        <w:r w:rsidRPr="00CD0B56">
          <w:rPr>
            <w:rStyle w:val="Hyperlink"/>
            <w:noProof/>
          </w:rPr>
          <w:t>2.1.176</w:t>
        </w:r>
        <w:r>
          <w:rPr>
            <w:rFonts w:asciiTheme="minorHAnsi" w:eastAsiaTheme="minorEastAsia" w:hAnsiTheme="minorHAnsi" w:cstheme="minorBidi"/>
            <w:noProof/>
            <w:sz w:val="22"/>
            <w:szCs w:val="22"/>
          </w:rPr>
          <w:tab/>
        </w:r>
        <w:r w:rsidRPr="00CD0B56">
          <w:rPr>
            <w:rStyle w:val="Hyperlink"/>
            <w:noProof/>
          </w:rPr>
          <w:t>Part 1 Section 17.4.76, top (Table Top Border)</w:t>
        </w:r>
        <w:r>
          <w:rPr>
            <w:noProof/>
            <w:webHidden/>
          </w:rPr>
          <w:tab/>
        </w:r>
        <w:r>
          <w:rPr>
            <w:noProof/>
            <w:webHidden/>
          </w:rPr>
          <w:fldChar w:fldCharType="begin"/>
        </w:r>
        <w:r>
          <w:rPr>
            <w:noProof/>
            <w:webHidden/>
          </w:rPr>
          <w:instrText xml:space="preserve"> PAGEREF _Toc12260244 \h </w:instrText>
        </w:r>
        <w:r>
          <w:rPr>
            <w:noProof/>
            <w:webHidden/>
          </w:rPr>
        </w:r>
        <w:r>
          <w:rPr>
            <w:noProof/>
            <w:webHidden/>
          </w:rPr>
          <w:fldChar w:fldCharType="separate"/>
        </w:r>
        <w:r>
          <w:rPr>
            <w:noProof/>
            <w:webHidden/>
          </w:rPr>
          <w:t>93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45" w:history="1">
        <w:r w:rsidRPr="00CD0B56">
          <w:rPr>
            <w:rStyle w:val="Hyperlink"/>
            <w:noProof/>
          </w:rPr>
          <w:t>2.1.177</w:t>
        </w:r>
        <w:r>
          <w:rPr>
            <w:rFonts w:asciiTheme="minorHAnsi" w:eastAsiaTheme="minorEastAsia" w:hAnsiTheme="minorHAnsi" w:cstheme="minorBidi"/>
            <w:noProof/>
            <w:sz w:val="22"/>
            <w:szCs w:val="22"/>
          </w:rPr>
          <w:tab/>
        </w:r>
        <w:r w:rsidRPr="00CD0B56">
          <w:rPr>
            <w:rStyle w:val="Hyperlink"/>
            <w:noProof/>
          </w:rPr>
          <w:t>Part 1 Section 17.4.77, top (Table Cell Top Margin Exception)</w:t>
        </w:r>
        <w:r>
          <w:rPr>
            <w:noProof/>
            <w:webHidden/>
          </w:rPr>
          <w:tab/>
        </w:r>
        <w:r>
          <w:rPr>
            <w:noProof/>
            <w:webHidden/>
          </w:rPr>
          <w:fldChar w:fldCharType="begin"/>
        </w:r>
        <w:r>
          <w:rPr>
            <w:noProof/>
            <w:webHidden/>
          </w:rPr>
          <w:instrText xml:space="preserve"> PAGEREF _Toc12260245 \h </w:instrText>
        </w:r>
        <w:r>
          <w:rPr>
            <w:noProof/>
            <w:webHidden/>
          </w:rPr>
        </w:r>
        <w:r>
          <w:rPr>
            <w:noProof/>
            <w:webHidden/>
          </w:rPr>
          <w:fldChar w:fldCharType="separate"/>
        </w:r>
        <w:r>
          <w:rPr>
            <w:noProof/>
            <w:webHidden/>
          </w:rPr>
          <w:t>93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46" w:history="1">
        <w:r w:rsidRPr="00CD0B56">
          <w:rPr>
            <w:rStyle w:val="Hyperlink"/>
            <w:noProof/>
          </w:rPr>
          <w:t>2.1.178</w:t>
        </w:r>
        <w:r>
          <w:rPr>
            <w:rFonts w:asciiTheme="minorHAnsi" w:eastAsiaTheme="minorEastAsia" w:hAnsiTheme="minorHAnsi" w:cstheme="minorBidi"/>
            <w:noProof/>
            <w:sz w:val="22"/>
            <w:szCs w:val="22"/>
          </w:rPr>
          <w:tab/>
        </w:r>
        <w:r w:rsidRPr="00CD0B56">
          <w:rPr>
            <w:rStyle w:val="Hyperlink"/>
            <w:noProof/>
          </w:rPr>
          <w:t>Part 1 Section 17.4.78, tr (Table Row)</w:t>
        </w:r>
        <w:r>
          <w:rPr>
            <w:noProof/>
            <w:webHidden/>
          </w:rPr>
          <w:tab/>
        </w:r>
        <w:r>
          <w:rPr>
            <w:noProof/>
            <w:webHidden/>
          </w:rPr>
          <w:fldChar w:fldCharType="begin"/>
        </w:r>
        <w:r>
          <w:rPr>
            <w:noProof/>
            <w:webHidden/>
          </w:rPr>
          <w:instrText xml:space="preserve"> PAGEREF _Toc12260246 \h </w:instrText>
        </w:r>
        <w:r>
          <w:rPr>
            <w:noProof/>
            <w:webHidden/>
          </w:rPr>
        </w:r>
        <w:r>
          <w:rPr>
            <w:noProof/>
            <w:webHidden/>
          </w:rPr>
          <w:fldChar w:fldCharType="separate"/>
        </w:r>
        <w:r>
          <w:rPr>
            <w:noProof/>
            <w:webHidden/>
          </w:rPr>
          <w:t>94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47" w:history="1">
        <w:r w:rsidRPr="00CD0B56">
          <w:rPr>
            <w:rStyle w:val="Hyperlink"/>
            <w:noProof/>
          </w:rPr>
          <w:t>2.1.179</w:t>
        </w:r>
        <w:r>
          <w:rPr>
            <w:rFonts w:asciiTheme="minorHAnsi" w:eastAsiaTheme="minorEastAsia" w:hAnsiTheme="minorHAnsi" w:cstheme="minorBidi"/>
            <w:noProof/>
            <w:sz w:val="22"/>
            <w:szCs w:val="22"/>
          </w:rPr>
          <w:tab/>
        </w:r>
        <w:r w:rsidRPr="00CD0B56">
          <w:rPr>
            <w:rStyle w:val="Hyperlink"/>
            <w:noProof/>
          </w:rPr>
          <w:t>Part 1 Section 17.4.79, tr2bl (Table Cell Top Right to Bottom Left Diagonal Border)</w:t>
        </w:r>
        <w:r>
          <w:rPr>
            <w:noProof/>
            <w:webHidden/>
          </w:rPr>
          <w:tab/>
        </w:r>
        <w:r>
          <w:rPr>
            <w:noProof/>
            <w:webHidden/>
          </w:rPr>
          <w:fldChar w:fldCharType="begin"/>
        </w:r>
        <w:r>
          <w:rPr>
            <w:noProof/>
            <w:webHidden/>
          </w:rPr>
          <w:instrText xml:space="preserve"> PAGEREF _Toc12260247 \h </w:instrText>
        </w:r>
        <w:r>
          <w:rPr>
            <w:noProof/>
            <w:webHidden/>
          </w:rPr>
        </w:r>
        <w:r>
          <w:rPr>
            <w:noProof/>
            <w:webHidden/>
          </w:rPr>
          <w:fldChar w:fldCharType="separate"/>
        </w:r>
        <w:r>
          <w:rPr>
            <w:noProof/>
            <w:webHidden/>
          </w:rPr>
          <w:t>94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48" w:history="1">
        <w:r w:rsidRPr="00CD0B56">
          <w:rPr>
            <w:rStyle w:val="Hyperlink"/>
            <w:noProof/>
          </w:rPr>
          <w:t>2.1.180</w:t>
        </w:r>
        <w:r>
          <w:rPr>
            <w:rFonts w:asciiTheme="minorHAnsi" w:eastAsiaTheme="minorEastAsia" w:hAnsiTheme="minorHAnsi" w:cstheme="minorBidi"/>
            <w:noProof/>
            <w:sz w:val="22"/>
            <w:szCs w:val="22"/>
          </w:rPr>
          <w:tab/>
        </w:r>
        <w:r w:rsidRPr="00CD0B56">
          <w:rPr>
            <w:rStyle w:val="Hyperlink"/>
            <w:noProof/>
          </w:rPr>
          <w:t>Part 1 Section 17.4.80, trHeight (Table Row Height)</w:t>
        </w:r>
        <w:r>
          <w:rPr>
            <w:noProof/>
            <w:webHidden/>
          </w:rPr>
          <w:tab/>
        </w:r>
        <w:r>
          <w:rPr>
            <w:noProof/>
            <w:webHidden/>
          </w:rPr>
          <w:fldChar w:fldCharType="begin"/>
        </w:r>
        <w:r>
          <w:rPr>
            <w:noProof/>
            <w:webHidden/>
          </w:rPr>
          <w:instrText xml:space="preserve"> PAGEREF _Toc12260248 \h </w:instrText>
        </w:r>
        <w:r>
          <w:rPr>
            <w:noProof/>
            <w:webHidden/>
          </w:rPr>
        </w:r>
        <w:r>
          <w:rPr>
            <w:noProof/>
            <w:webHidden/>
          </w:rPr>
          <w:fldChar w:fldCharType="separate"/>
        </w:r>
        <w:r>
          <w:rPr>
            <w:noProof/>
            <w:webHidden/>
          </w:rPr>
          <w:t>94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49" w:history="1">
        <w:r w:rsidRPr="00CD0B56">
          <w:rPr>
            <w:rStyle w:val="Hyperlink"/>
            <w:noProof/>
          </w:rPr>
          <w:t>2.1.181</w:t>
        </w:r>
        <w:r>
          <w:rPr>
            <w:rFonts w:asciiTheme="minorHAnsi" w:eastAsiaTheme="minorEastAsia" w:hAnsiTheme="minorHAnsi" w:cstheme="minorBidi"/>
            <w:noProof/>
            <w:sz w:val="22"/>
            <w:szCs w:val="22"/>
          </w:rPr>
          <w:tab/>
        </w:r>
        <w:r w:rsidRPr="00CD0B56">
          <w:rPr>
            <w:rStyle w:val="Hyperlink"/>
            <w:noProof/>
          </w:rPr>
          <w:t>Part 1 Section 17.4.83, vAlign (Table Cell Vertical Alignment)</w:t>
        </w:r>
        <w:r>
          <w:rPr>
            <w:noProof/>
            <w:webHidden/>
          </w:rPr>
          <w:tab/>
        </w:r>
        <w:r>
          <w:rPr>
            <w:noProof/>
            <w:webHidden/>
          </w:rPr>
          <w:fldChar w:fldCharType="begin"/>
        </w:r>
        <w:r>
          <w:rPr>
            <w:noProof/>
            <w:webHidden/>
          </w:rPr>
          <w:instrText xml:space="preserve"> PAGEREF _Toc12260249 \h </w:instrText>
        </w:r>
        <w:r>
          <w:rPr>
            <w:noProof/>
            <w:webHidden/>
          </w:rPr>
        </w:r>
        <w:r>
          <w:rPr>
            <w:noProof/>
            <w:webHidden/>
          </w:rPr>
          <w:fldChar w:fldCharType="separate"/>
        </w:r>
        <w:r>
          <w:rPr>
            <w:noProof/>
            <w:webHidden/>
          </w:rPr>
          <w:t>94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50" w:history="1">
        <w:r w:rsidRPr="00CD0B56">
          <w:rPr>
            <w:rStyle w:val="Hyperlink"/>
            <w:noProof/>
          </w:rPr>
          <w:t>2.1.182</w:t>
        </w:r>
        <w:r>
          <w:rPr>
            <w:rFonts w:asciiTheme="minorHAnsi" w:eastAsiaTheme="minorEastAsia" w:hAnsiTheme="minorHAnsi" w:cstheme="minorBidi"/>
            <w:noProof/>
            <w:sz w:val="22"/>
            <w:szCs w:val="22"/>
          </w:rPr>
          <w:tab/>
        </w:r>
        <w:r w:rsidRPr="00CD0B56">
          <w:rPr>
            <w:rStyle w:val="Hyperlink"/>
            <w:noProof/>
          </w:rPr>
          <w:t>Part 1 Section 17.4.84, vMerge (Vertically Merged Cell)</w:t>
        </w:r>
        <w:r>
          <w:rPr>
            <w:noProof/>
            <w:webHidden/>
          </w:rPr>
          <w:tab/>
        </w:r>
        <w:r>
          <w:rPr>
            <w:noProof/>
            <w:webHidden/>
          </w:rPr>
          <w:fldChar w:fldCharType="begin"/>
        </w:r>
        <w:r>
          <w:rPr>
            <w:noProof/>
            <w:webHidden/>
          </w:rPr>
          <w:instrText xml:space="preserve"> PAGEREF _Toc12260250 \h </w:instrText>
        </w:r>
        <w:r>
          <w:rPr>
            <w:noProof/>
            <w:webHidden/>
          </w:rPr>
        </w:r>
        <w:r>
          <w:rPr>
            <w:noProof/>
            <w:webHidden/>
          </w:rPr>
          <w:fldChar w:fldCharType="separate"/>
        </w:r>
        <w:r>
          <w:rPr>
            <w:noProof/>
            <w:webHidden/>
          </w:rPr>
          <w:t>95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51" w:history="1">
        <w:r w:rsidRPr="00CD0B56">
          <w:rPr>
            <w:rStyle w:val="Hyperlink"/>
            <w:noProof/>
          </w:rPr>
          <w:t>2.1.183</w:t>
        </w:r>
        <w:r>
          <w:rPr>
            <w:rFonts w:asciiTheme="minorHAnsi" w:eastAsiaTheme="minorEastAsia" w:hAnsiTheme="minorHAnsi" w:cstheme="minorBidi"/>
            <w:noProof/>
            <w:sz w:val="22"/>
            <w:szCs w:val="22"/>
          </w:rPr>
          <w:tab/>
        </w:r>
        <w:r w:rsidRPr="00CD0B56">
          <w:rPr>
            <w:rStyle w:val="Hyperlink"/>
            <w:noProof/>
          </w:rPr>
          <w:t>Part 1 Section 17.4.85, wAfter (Preferred Width After Table Row)</w:t>
        </w:r>
        <w:r>
          <w:rPr>
            <w:noProof/>
            <w:webHidden/>
          </w:rPr>
          <w:tab/>
        </w:r>
        <w:r>
          <w:rPr>
            <w:noProof/>
            <w:webHidden/>
          </w:rPr>
          <w:fldChar w:fldCharType="begin"/>
        </w:r>
        <w:r>
          <w:rPr>
            <w:noProof/>
            <w:webHidden/>
          </w:rPr>
          <w:instrText xml:space="preserve"> PAGEREF _Toc12260251 \h </w:instrText>
        </w:r>
        <w:r>
          <w:rPr>
            <w:noProof/>
            <w:webHidden/>
          </w:rPr>
        </w:r>
        <w:r>
          <w:rPr>
            <w:noProof/>
            <w:webHidden/>
          </w:rPr>
          <w:fldChar w:fldCharType="separate"/>
        </w:r>
        <w:r>
          <w:rPr>
            <w:noProof/>
            <w:webHidden/>
          </w:rPr>
          <w:t>95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52" w:history="1">
        <w:r w:rsidRPr="00CD0B56">
          <w:rPr>
            <w:rStyle w:val="Hyperlink"/>
            <w:noProof/>
          </w:rPr>
          <w:t>2.1.184</w:t>
        </w:r>
        <w:r>
          <w:rPr>
            <w:rFonts w:asciiTheme="minorHAnsi" w:eastAsiaTheme="minorEastAsia" w:hAnsiTheme="minorHAnsi" w:cstheme="minorBidi"/>
            <w:noProof/>
            <w:sz w:val="22"/>
            <w:szCs w:val="22"/>
          </w:rPr>
          <w:tab/>
        </w:r>
        <w:r w:rsidRPr="00CD0B56">
          <w:rPr>
            <w:rStyle w:val="Hyperlink"/>
            <w:noProof/>
          </w:rPr>
          <w:t>Part 1 Section 17.4.86, wBefore (Preferred Width Before Table Row)</w:t>
        </w:r>
        <w:r>
          <w:rPr>
            <w:noProof/>
            <w:webHidden/>
          </w:rPr>
          <w:tab/>
        </w:r>
        <w:r>
          <w:rPr>
            <w:noProof/>
            <w:webHidden/>
          </w:rPr>
          <w:fldChar w:fldCharType="begin"/>
        </w:r>
        <w:r>
          <w:rPr>
            <w:noProof/>
            <w:webHidden/>
          </w:rPr>
          <w:instrText xml:space="preserve"> PAGEREF _Toc12260252 \h </w:instrText>
        </w:r>
        <w:r>
          <w:rPr>
            <w:noProof/>
            <w:webHidden/>
          </w:rPr>
        </w:r>
        <w:r>
          <w:rPr>
            <w:noProof/>
            <w:webHidden/>
          </w:rPr>
          <w:fldChar w:fldCharType="separate"/>
        </w:r>
        <w:r>
          <w:rPr>
            <w:noProof/>
            <w:webHidden/>
          </w:rPr>
          <w:t>95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53" w:history="1">
        <w:r w:rsidRPr="00CD0B56">
          <w:rPr>
            <w:rStyle w:val="Hyperlink"/>
            <w:noProof/>
          </w:rPr>
          <w:t>2.1.185</w:t>
        </w:r>
        <w:r>
          <w:rPr>
            <w:rFonts w:asciiTheme="minorHAnsi" w:eastAsiaTheme="minorEastAsia" w:hAnsiTheme="minorHAnsi" w:cstheme="minorBidi"/>
            <w:noProof/>
            <w:sz w:val="22"/>
            <w:szCs w:val="22"/>
          </w:rPr>
          <w:tab/>
        </w:r>
        <w:r w:rsidRPr="00CD0B56">
          <w:rPr>
            <w:rStyle w:val="Hyperlink"/>
            <w:noProof/>
          </w:rPr>
          <w:t>Part 1 Section 17.4.87, Table Measurement (CT_TblWidth)</w:t>
        </w:r>
        <w:r>
          <w:rPr>
            <w:noProof/>
            <w:webHidden/>
          </w:rPr>
          <w:tab/>
        </w:r>
        <w:r>
          <w:rPr>
            <w:noProof/>
            <w:webHidden/>
          </w:rPr>
          <w:fldChar w:fldCharType="begin"/>
        </w:r>
        <w:r>
          <w:rPr>
            <w:noProof/>
            <w:webHidden/>
          </w:rPr>
          <w:instrText xml:space="preserve"> PAGEREF _Toc12260253 \h </w:instrText>
        </w:r>
        <w:r>
          <w:rPr>
            <w:noProof/>
            <w:webHidden/>
          </w:rPr>
        </w:r>
        <w:r>
          <w:rPr>
            <w:noProof/>
            <w:webHidden/>
          </w:rPr>
          <w:fldChar w:fldCharType="separate"/>
        </w:r>
        <w:r>
          <w:rPr>
            <w:noProof/>
            <w:webHidden/>
          </w:rPr>
          <w:t>95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54" w:history="1">
        <w:r w:rsidRPr="00CD0B56">
          <w:rPr>
            <w:rStyle w:val="Hyperlink"/>
            <w:noProof/>
          </w:rPr>
          <w:t>2.1.186</w:t>
        </w:r>
        <w:r>
          <w:rPr>
            <w:rFonts w:asciiTheme="minorHAnsi" w:eastAsiaTheme="minorEastAsia" w:hAnsiTheme="minorHAnsi" w:cstheme="minorBidi"/>
            <w:noProof/>
            <w:sz w:val="22"/>
            <w:szCs w:val="22"/>
          </w:rPr>
          <w:tab/>
        </w:r>
        <w:r w:rsidRPr="00CD0B56">
          <w:rPr>
            <w:rStyle w:val="Hyperlink"/>
            <w:noProof/>
          </w:rPr>
          <w:t>Part 1 Section 17.5.1.1, attr (Custom XML Attribute)</w:t>
        </w:r>
        <w:r>
          <w:rPr>
            <w:noProof/>
            <w:webHidden/>
          </w:rPr>
          <w:tab/>
        </w:r>
        <w:r>
          <w:rPr>
            <w:noProof/>
            <w:webHidden/>
          </w:rPr>
          <w:fldChar w:fldCharType="begin"/>
        </w:r>
        <w:r>
          <w:rPr>
            <w:noProof/>
            <w:webHidden/>
          </w:rPr>
          <w:instrText xml:space="preserve"> PAGEREF _Toc12260254 \h </w:instrText>
        </w:r>
        <w:r>
          <w:rPr>
            <w:noProof/>
            <w:webHidden/>
          </w:rPr>
        </w:r>
        <w:r>
          <w:rPr>
            <w:noProof/>
            <w:webHidden/>
          </w:rPr>
          <w:fldChar w:fldCharType="separate"/>
        </w:r>
        <w:r>
          <w:rPr>
            <w:noProof/>
            <w:webHidden/>
          </w:rPr>
          <w:t>95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55" w:history="1">
        <w:r w:rsidRPr="00CD0B56">
          <w:rPr>
            <w:rStyle w:val="Hyperlink"/>
            <w:noProof/>
          </w:rPr>
          <w:t>2.1.187</w:t>
        </w:r>
        <w:r>
          <w:rPr>
            <w:rFonts w:asciiTheme="minorHAnsi" w:eastAsiaTheme="minorEastAsia" w:hAnsiTheme="minorHAnsi" w:cstheme="minorBidi"/>
            <w:noProof/>
            <w:sz w:val="22"/>
            <w:szCs w:val="22"/>
          </w:rPr>
          <w:tab/>
        </w:r>
        <w:r w:rsidRPr="00CD0B56">
          <w:rPr>
            <w:rStyle w:val="Hyperlink"/>
            <w:noProof/>
          </w:rPr>
          <w:t>Part 1 Section 17.5.1.2, attr (Smart Tag Property)</w:t>
        </w:r>
        <w:r>
          <w:rPr>
            <w:noProof/>
            <w:webHidden/>
          </w:rPr>
          <w:tab/>
        </w:r>
        <w:r>
          <w:rPr>
            <w:noProof/>
            <w:webHidden/>
          </w:rPr>
          <w:fldChar w:fldCharType="begin"/>
        </w:r>
        <w:r>
          <w:rPr>
            <w:noProof/>
            <w:webHidden/>
          </w:rPr>
          <w:instrText xml:space="preserve"> PAGEREF _Toc12260255 \h </w:instrText>
        </w:r>
        <w:r>
          <w:rPr>
            <w:noProof/>
            <w:webHidden/>
          </w:rPr>
        </w:r>
        <w:r>
          <w:rPr>
            <w:noProof/>
            <w:webHidden/>
          </w:rPr>
          <w:fldChar w:fldCharType="separate"/>
        </w:r>
        <w:r>
          <w:rPr>
            <w:noProof/>
            <w:webHidden/>
          </w:rPr>
          <w:t>96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56" w:history="1">
        <w:r w:rsidRPr="00CD0B56">
          <w:rPr>
            <w:rStyle w:val="Hyperlink"/>
            <w:noProof/>
          </w:rPr>
          <w:t>2.1.188</w:t>
        </w:r>
        <w:r>
          <w:rPr>
            <w:rFonts w:asciiTheme="minorHAnsi" w:eastAsiaTheme="minorEastAsia" w:hAnsiTheme="minorHAnsi" w:cstheme="minorBidi"/>
            <w:noProof/>
            <w:sz w:val="22"/>
            <w:szCs w:val="22"/>
          </w:rPr>
          <w:tab/>
        </w:r>
        <w:r w:rsidRPr="00CD0B56">
          <w:rPr>
            <w:rStyle w:val="Hyperlink"/>
            <w:noProof/>
          </w:rPr>
          <w:t>Part 1 Section 17.5.1.3, customXml (Inline-Level Custom XML Element)</w:t>
        </w:r>
        <w:r>
          <w:rPr>
            <w:noProof/>
            <w:webHidden/>
          </w:rPr>
          <w:tab/>
        </w:r>
        <w:r>
          <w:rPr>
            <w:noProof/>
            <w:webHidden/>
          </w:rPr>
          <w:fldChar w:fldCharType="begin"/>
        </w:r>
        <w:r>
          <w:rPr>
            <w:noProof/>
            <w:webHidden/>
          </w:rPr>
          <w:instrText xml:space="preserve"> PAGEREF _Toc12260256 \h </w:instrText>
        </w:r>
        <w:r>
          <w:rPr>
            <w:noProof/>
            <w:webHidden/>
          </w:rPr>
        </w:r>
        <w:r>
          <w:rPr>
            <w:noProof/>
            <w:webHidden/>
          </w:rPr>
          <w:fldChar w:fldCharType="separate"/>
        </w:r>
        <w:r>
          <w:rPr>
            <w:noProof/>
            <w:webHidden/>
          </w:rPr>
          <w:t>96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57" w:history="1">
        <w:r w:rsidRPr="00CD0B56">
          <w:rPr>
            <w:rStyle w:val="Hyperlink"/>
            <w:noProof/>
          </w:rPr>
          <w:t>2.1.189</w:t>
        </w:r>
        <w:r>
          <w:rPr>
            <w:rFonts w:asciiTheme="minorHAnsi" w:eastAsiaTheme="minorEastAsia" w:hAnsiTheme="minorHAnsi" w:cstheme="minorBidi"/>
            <w:noProof/>
            <w:sz w:val="22"/>
            <w:szCs w:val="22"/>
          </w:rPr>
          <w:tab/>
        </w:r>
        <w:r w:rsidRPr="00CD0B56">
          <w:rPr>
            <w:rStyle w:val="Hyperlink"/>
            <w:noProof/>
          </w:rPr>
          <w:t>Part 1 Section 17.5.1.4, customXml (Cell-Level Custom XML Element)</w:t>
        </w:r>
        <w:r>
          <w:rPr>
            <w:noProof/>
            <w:webHidden/>
          </w:rPr>
          <w:tab/>
        </w:r>
        <w:r>
          <w:rPr>
            <w:noProof/>
            <w:webHidden/>
          </w:rPr>
          <w:fldChar w:fldCharType="begin"/>
        </w:r>
        <w:r>
          <w:rPr>
            <w:noProof/>
            <w:webHidden/>
          </w:rPr>
          <w:instrText xml:space="preserve"> PAGEREF _Toc12260257 \h </w:instrText>
        </w:r>
        <w:r>
          <w:rPr>
            <w:noProof/>
            <w:webHidden/>
          </w:rPr>
        </w:r>
        <w:r>
          <w:rPr>
            <w:noProof/>
            <w:webHidden/>
          </w:rPr>
          <w:fldChar w:fldCharType="separate"/>
        </w:r>
        <w:r>
          <w:rPr>
            <w:noProof/>
            <w:webHidden/>
          </w:rPr>
          <w:t>96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58" w:history="1">
        <w:r w:rsidRPr="00CD0B56">
          <w:rPr>
            <w:rStyle w:val="Hyperlink"/>
            <w:noProof/>
          </w:rPr>
          <w:t>2.1.190</w:t>
        </w:r>
        <w:r>
          <w:rPr>
            <w:rFonts w:asciiTheme="minorHAnsi" w:eastAsiaTheme="minorEastAsia" w:hAnsiTheme="minorHAnsi" w:cstheme="minorBidi"/>
            <w:noProof/>
            <w:sz w:val="22"/>
            <w:szCs w:val="22"/>
          </w:rPr>
          <w:tab/>
        </w:r>
        <w:r w:rsidRPr="00CD0B56">
          <w:rPr>
            <w:rStyle w:val="Hyperlink"/>
            <w:noProof/>
          </w:rPr>
          <w:t>Part 1 Section 17.5.1.5, customXml (Row-Level Custom XML Element)</w:t>
        </w:r>
        <w:r>
          <w:rPr>
            <w:noProof/>
            <w:webHidden/>
          </w:rPr>
          <w:tab/>
        </w:r>
        <w:r>
          <w:rPr>
            <w:noProof/>
            <w:webHidden/>
          </w:rPr>
          <w:fldChar w:fldCharType="begin"/>
        </w:r>
        <w:r>
          <w:rPr>
            <w:noProof/>
            <w:webHidden/>
          </w:rPr>
          <w:instrText xml:space="preserve"> PAGEREF _Toc12260258 \h </w:instrText>
        </w:r>
        <w:r>
          <w:rPr>
            <w:noProof/>
            <w:webHidden/>
          </w:rPr>
        </w:r>
        <w:r>
          <w:rPr>
            <w:noProof/>
            <w:webHidden/>
          </w:rPr>
          <w:fldChar w:fldCharType="separate"/>
        </w:r>
        <w:r>
          <w:rPr>
            <w:noProof/>
            <w:webHidden/>
          </w:rPr>
          <w:t>96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59" w:history="1">
        <w:r w:rsidRPr="00CD0B56">
          <w:rPr>
            <w:rStyle w:val="Hyperlink"/>
            <w:noProof/>
          </w:rPr>
          <w:t>2.1.191</w:t>
        </w:r>
        <w:r>
          <w:rPr>
            <w:rFonts w:asciiTheme="minorHAnsi" w:eastAsiaTheme="minorEastAsia" w:hAnsiTheme="minorHAnsi" w:cstheme="minorBidi"/>
            <w:noProof/>
            <w:sz w:val="22"/>
            <w:szCs w:val="22"/>
          </w:rPr>
          <w:tab/>
        </w:r>
        <w:r w:rsidRPr="00CD0B56">
          <w:rPr>
            <w:rStyle w:val="Hyperlink"/>
            <w:noProof/>
          </w:rPr>
          <w:t>Part 1 Section 17.5.1.6, customXml (Block-Level Custom XML Element)</w:t>
        </w:r>
        <w:r>
          <w:rPr>
            <w:noProof/>
            <w:webHidden/>
          </w:rPr>
          <w:tab/>
        </w:r>
        <w:r>
          <w:rPr>
            <w:noProof/>
            <w:webHidden/>
          </w:rPr>
          <w:fldChar w:fldCharType="begin"/>
        </w:r>
        <w:r>
          <w:rPr>
            <w:noProof/>
            <w:webHidden/>
          </w:rPr>
          <w:instrText xml:space="preserve"> PAGEREF _Toc12260259 \h </w:instrText>
        </w:r>
        <w:r>
          <w:rPr>
            <w:noProof/>
            <w:webHidden/>
          </w:rPr>
        </w:r>
        <w:r>
          <w:rPr>
            <w:noProof/>
            <w:webHidden/>
          </w:rPr>
          <w:fldChar w:fldCharType="separate"/>
        </w:r>
        <w:r>
          <w:rPr>
            <w:noProof/>
            <w:webHidden/>
          </w:rPr>
          <w:t>96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60" w:history="1">
        <w:r w:rsidRPr="00CD0B56">
          <w:rPr>
            <w:rStyle w:val="Hyperlink"/>
            <w:noProof/>
          </w:rPr>
          <w:t>2.1.192</w:t>
        </w:r>
        <w:r>
          <w:rPr>
            <w:rFonts w:asciiTheme="minorHAnsi" w:eastAsiaTheme="minorEastAsia" w:hAnsiTheme="minorHAnsi" w:cstheme="minorBidi"/>
            <w:noProof/>
            <w:sz w:val="22"/>
            <w:szCs w:val="22"/>
          </w:rPr>
          <w:tab/>
        </w:r>
        <w:r w:rsidRPr="00CD0B56">
          <w:rPr>
            <w:rStyle w:val="Hyperlink"/>
            <w:noProof/>
          </w:rPr>
          <w:t>Part 1 Section 17.5.1.9, smartTag (Inline-Level Smart Tag)</w:t>
        </w:r>
        <w:r>
          <w:rPr>
            <w:noProof/>
            <w:webHidden/>
          </w:rPr>
          <w:tab/>
        </w:r>
        <w:r>
          <w:rPr>
            <w:noProof/>
            <w:webHidden/>
          </w:rPr>
          <w:fldChar w:fldCharType="begin"/>
        </w:r>
        <w:r>
          <w:rPr>
            <w:noProof/>
            <w:webHidden/>
          </w:rPr>
          <w:instrText xml:space="preserve"> PAGEREF _Toc12260260 \h </w:instrText>
        </w:r>
        <w:r>
          <w:rPr>
            <w:noProof/>
            <w:webHidden/>
          </w:rPr>
        </w:r>
        <w:r>
          <w:rPr>
            <w:noProof/>
            <w:webHidden/>
          </w:rPr>
          <w:fldChar w:fldCharType="separate"/>
        </w:r>
        <w:r>
          <w:rPr>
            <w:noProof/>
            <w:webHidden/>
          </w:rPr>
          <w:t>97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61" w:history="1">
        <w:r w:rsidRPr="00CD0B56">
          <w:rPr>
            <w:rStyle w:val="Hyperlink"/>
            <w:noProof/>
          </w:rPr>
          <w:t>2.1.193</w:t>
        </w:r>
        <w:r>
          <w:rPr>
            <w:rFonts w:asciiTheme="minorHAnsi" w:eastAsiaTheme="minorEastAsia" w:hAnsiTheme="minorHAnsi" w:cstheme="minorBidi"/>
            <w:noProof/>
            <w:sz w:val="22"/>
            <w:szCs w:val="22"/>
          </w:rPr>
          <w:tab/>
        </w:r>
        <w:r w:rsidRPr="00CD0B56">
          <w:rPr>
            <w:rStyle w:val="Hyperlink"/>
            <w:noProof/>
          </w:rPr>
          <w:t>Part 1 Section 17.5.2.6, dataBinding (XML Mapping)</w:t>
        </w:r>
        <w:r>
          <w:rPr>
            <w:noProof/>
            <w:webHidden/>
          </w:rPr>
          <w:tab/>
        </w:r>
        <w:r>
          <w:rPr>
            <w:noProof/>
            <w:webHidden/>
          </w:rPr>
          <w:fldChar w:fldCharType="begin"/>
        </w:r>
        <w:r>
          <w:rPr>
            <w:noProof/>
            <w:webHidden/>
          </w:rPr>
          <w:instrText xml:space="preserve"> PAGEREF _Toc12260261 \h </w:instrText>
        </w:r>
        <w:r>
          <w:rPr>
            <w:noProof/>
            <w:webHidden/>
          </w:rPr>
        </w:r>
        <w:r>
          <w:rPr>
            <w:noProof/>
            <w:webHidden/>
          </w:rPr>
          <w:fldChar w:fldCharType="separate"/>
        </w:r>
        <w:r>
          <w:rPr>
            <w:noProof/>
            <w:webHidden/>
          </w:rPr>
          <w:t>97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62" w:history="1">
        <w:r w:rsidRPr="00CD0B56">
          <w:rPr>
            <w:rStyle w:val="Hyperlink"/>
            <w:noProof/>
          </w:rPr>
          <w:t>2.1.194</w:t>
        </w:r>
        <w:r>
          <w:rPr>
            <w:rFonts w:asciiTheme="minorHAnsi" w:eastAsiaTheme="minorEastAsia" w:hAnsiTheme="minorHAnsi" w:cstheme="minorBidi"/>
            <w:noProof/>
            <w:sz w:val="22"/>
            <w:szCs w:val="22"/>
          </w:rPr>
          <w:tab/>
        </w:r>
        <w:r w:rsidRPr="00CD0B56">
          <w:rPr>
            <w:rStyle w:val="Hyperlink"/>
            <w:noProof/>
          </w:rPr>
          <w:t>Part 1 Section 17.5.2.7, date (Date Structured Document Tag)</w:t>
        </w:r>
        <w:r>
          <w:rPr>
            <w:noProof/>
            <w:webHidden/>
          </w:rPr>
          <w:tab/>
        </w:r>
        <w:r>
          <w:rPr>
            <w:noProof/>
            <w:webHidden/>
          </w:rPr>
          <w:fldChar w:fldCharType="begin"/>
        </w:r>
        <w:r>
          <w:rPr>
            <w:noProof/>
            <w:webHidden/>
          </w:rPr>
          <w:instrText xml:space="preserve"> PAGEREF _Toc12260262 \h </w:instrText>
        </w:r>
        <w:r>
          <w:rPr>
            <w:noProof/>
            <w:webHidden/>
          </w:rPr>
        </w:r>
        <w:r>
          <w:rPr>
            <w:noProof/>
            <w:webHidden/>
          </w:rPr>
          <w:fldChar w:fldCharType="separate"/>
        </w:r>
        <w:r>
          <w:rPr>
            <w:noProof/>
            <w:webHidden/>
          </w:rPr>
          <w:t>97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63" w:history="1">
        <w:r w:rsidRPr="00CD0B56">
          <w:rPr>
            <w:rStyle w:val="Hyperlink"/>
            <w:noProof/>
          </w:rPr>
          <w:t>2.1.195</w:t>
        </w:r>
        <w:r>
          <w:rPr>
            <w:rFonts w:asciiTheme="minorHAnsi" w:eastAsiaTheme="minorEastAsia" w:hAnsiTheme="minorHAnsi" w:cstheme="minorBidi"/>
            <w:noProof/>
            <w:sz w:val="22"/>
            <w:szCs w:val="22"/>
          </w:rPr>
          <w:tab/>
        </w:r>
        <w:r w:rsidRPr="00CD0B56">
          <w:rPr>
            <w:rStyle w:val="Hyperlink"/>
            <w:noProof/>
          </w:rPr>
          <w:t>Part 1 Section 17.5.2.9, docPart (Document Part Reference)</w:t>
        </w:r>
        <w:r>
          <w:rPr>
            <w:noProof/>
            <w:webHidden/>
          </w:rPr>
          <w:tab/>
        </w:r>
        <w:r>
          <w:rPr>
            <w:noProof/>
            <w:webHidden/>
          </w:rPr>
          <w:fldChar w:fldCharType="begin"/>
        </w:r>
        <w:r>
          <w:rPr>
            <w:noProof/>
            <w:webHidden/>
          </w:rPr>
          <w:instrText xml:space="preserve"> PAGEREF _Toc12260263 \h </w:instrText>
        </w:r>
        <w:r>
          <w:rPr>
            <w:noProof/>
            <w:webHidden/>
          </w:rPr>
        </w:r>
        <w:r>
          <w:rPr>
            <w:noProof/>
            <w:webHidden/>
          </w:rPr>
          <w:fldChar w:fldCharType="separate"/>
        </w:r>
        <w:r>
          <w:rPr>
            <w:noProof/>
            <w:webHidden/>
          </w:rPr>
          <w:t>97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64" w:history="1">
        <w:r w:rsidRPr="00CD0B56">
          <w:rPr>
            <w:rStyle w:val="Hyperlink"/>
            <w:noProof/>
          </w:rPr>
          <w:t>2.1.196</w:t>
        </w:r>
        <w:r>
          <w:rPr>
            <w:rFonts w:asciiTheme="minorHAnsi" w:eastAsiaTheme="minorEastAsia" w:hAnsiTheme="minorHAnsi" w:cstheme="minorBidi"/>
            <w:noProof/>
            <w:sz w:val="22"/>
            <w:szCs w:val="22"/>
          </w:rPr>
          <w:tab/>
        </w:r>
        <w:r w:rsidRPr="00CD0B56">
          <w:rPr>
            <w:rStyle w:val="Hyperlink"/>
            <w:noProof/>
          </w:rPr>
          <w:t>Part 1 Section 17.5.2.18, id (Unique ID)</w:t>
        </w:r>
        <w:r>
          <w:rPr>
            <w:noProof/>
            <w:webHidden/>
          </w:rPr>
          <w:tab/>
        </w:r>
        <w:r>
          <w:rPr>
            <w:noProof/>
            <w:webHidden/>
          </w:rPr>
          <w:fldChar w:fldCharType="begin"/>
        </w:r>
        <w:r>
          <w:rPr>
            <w:noProof/>
            <w:webHidden/>
          </w:rPr>
          <w:instrText xml:space="preserve"> PAGEREF _Toc12260264 \h </w:instrText>
        </w:r>
        <w:r>
          <w:rPr>
            <w:noProof/>
            <w:webHidden/>
          </w:rPr>
        </w:r>
        <w:r>
          <w:rPr>
            <w:noProof/>
            <w:webHidden/>
          </w:rPr>
          <w:fldChar w:fldCharType="separate"/>
        </w:r>
        <w:r>
          <w:rPr>
            <w:noProof/>
            <w:webHidden/>
          </w:rPr>
          <w:t>97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65" w:history="1">
        <w:r w:rsidRPr="00CD0B56">
          <w:rPr>
            <w:rStyle w:val="Hyperlink"/>
            <w:noProof/>
          </w:rPr>
          <w:t>2.1.197</w:t>
        </w:r>
        <w:r>
          <w:rPr>
            <w:rFonts w:asciiTheme="minorHAnsi" w:eastAsiaTheme="minorEastAsia" w:hAnsiTheme="minorHAnsi" w:cstheme="minorBidi"/>
            <w:noProof/>
            <w:sz w:val="22"/>
            <w:szCs w:val="22"/>
          </w:rPr>
          <w:tab/>
        </w:r>
        <w:r w:rsidRPr="00CD0B56">
          <w:rPr>
            <w:rStyle w:val="Hyperlink"/>
            <w:noProof/>
          </w:rPr>
          <w:t>Part 1 Section 17.5.2.19, label (Structured Document Tag Label)</w:t>
        </w:r>
        <w:r>
          <w:rPr>
            <w:noProof/>
            <w:webHidden/>
          </w:rPr>
          <w:tab/>
        </w:r>
        <w:r>
          <w:rPr>
            <w:noProof/>
            <w:webHidden/>
          </w:rPr>
          <w:fldChar w:fldCharType="begin"/>
        </w:r>
        <w:r>
          <w:rPr>
            <w:noProof/>
            <w:webHidden/>
          </w:rPr>
          <w:instrText xml:space="preserve"> PAGEREF _Toc12260265 \h </w:instrText>
        </w:r>
        <w:r>
          <w:rPr>
            <w:noProof/>
            <w:webHidden/>
          </w:rPr>
        </w:r>
        <w:r>
          <w:rPr>
            <w:noProof/>
            <w:webHidden/>
          </w:rPr>
          <w:fldChar w:fldCharType="separate"/>
        </w:r>
        <w:r>
          <w:rPr>
            <w:noProof/>
            <w:webHidden/>
          </w:rPr>
          <w:t>97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66" w:history="1">
        <w:r w:rsidRPr="00CD0B56">
          <w:rPr>
            <w:rStyle w:val="Hyperlink"/>
            <w:noProof/>
          </w:rPr>
          <w:t>2.1.198</w:t>
        </w:r>
        <w:r>
          <w:rPr>
            <w:rFonts w:asciiTheme="minorHAnsi" w:eastAsiaTheme="minorEastAsia" w:hAnsiTheme="minorHAnsi" w:cstheme="minorBidi"/>
            <w:noProof/>
            <w:sz w:val="22"/>
            <w:szCs w:val="22"/>
          </w:rPr>
          <w:tab/>
        </w:r>
        <w:r w:rsidRPr="00CD0B56">
          <w:rPr>
            <w:rStyle w:val="Hyperlink"/>
            <w:noProof/>
          </w:rPr>
          <w:t>Part 1 Section 17.5.2.20, lid (Date Picker Language ID)</w:t>
        </w:r>
        <w:r>
          <w:rPr>
            <w:noProof/>
            <w:webHidden/>
          </w:rPr>
          <w:tab/>
        </w:r>
        <w:r>
          <w:rPr>
            <w:noProof/>
            <w:webHidden/>
          </w:rPr>
          <w:fldChar w:fldCharType="begin"/>
        </w:r>
        <w:r>
          <w:rPr>
            <w:noProof/>
            <w:webHidden/>
          </w:rPr>
          <w:instrText xml:space="preserve"> PAGEREF _Toc12260266 \h </w:instrText>
        </w:r>
        <w:r>
          <w:rPr>
            <w:noProof/>
            <w:webHidden/>
          </w:rPr>
        </w:r>
        <w:r>
          <w:rPr>
            <w:noProof/>
            <w:webHidden/>
          </w:rPr>
          <w:fldChar w:fldCharType="separate"/>
        </w:r>
        <w:r>
          <w:rPr>
            <w:noProof/>
            <w:webHidden/>
          </w:rPr>
          <w:t>98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67" w:history="1">
        <w:r w:rsidRPr="00CD0B56">
          <w:rPr>
            <w:rStyle w:val="Hyperlink"/>
            <w:noProof/>
          </w:rPr>
          <w:t>2.1.199</w:t>
        </w:r>
        <w:r>
          <w:rPr>
            <w:rFonts w:asciiTheme="minorHAnsi" w:eastAsiaTheme="minorEastAsia" w:hAnsiTheme="minorHAnsi" w:cstheme="minorBidi"/>
            <w:noProof/>
            <w:sz w:val="22"/>
            <w:szCs w:val="22"/>
          </w:rPr>
          <w:tab/>
        </w:r>
        <w:r w:rsidRPr="00CD0B56">
          <w:rPr>
            <w:rStyle w:val="Hyperlink"/>
            <w:noProof/>
          </w:rPr>
          <w:t>Part 1 Section 17.5.2.25, placeholder (Structured Document Tag Placeholder Text)</w:t>
        </w:r>
        <w:r>
          <w:rPr>
            <w:noProof/>
            <w:webHidden/>
          </w:rPr>
          <w:tab/>
        </w:r>
        <w:r>
          <w:rPr>
            <w:noProof/>
            <w:webHidden/>
          </w:rPr>
          <w:fldChar w:fldCharType="begin"/>
        </w:r>
        <w:r>
          <w:rPr>
            <w:noProof/>
            <w:webHidden/>
          </w:rPr>
          <w:instrText xml:space="preserve"> PAGEREF _Toc12260267 \h </w:instrText>
        </w:r>
        <w:r>
          <w:rPr>
            <w:noProof/>
            <w:webHidden/>
          </w:rPr>
        </w:r>
        <w:r>
          <w:rPr>
            <w:noProof/>
            <w:webHidden/>
          </w:rPr>
          <w:fldChar w:fldCharType="separate"/>
        </w:r>
        <w:r>
          <w:rPr>
            <w:noProof/>
            <w:webHidden/>
          </w:rPr>
          <w:t>98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68" w:history="1">
        <w:r w:rsidRPr="00CD0B56">
          <w:rPr>
            <w:rStyle w:val="Hyperlink"/>
            <w:noProof/>
          </w:rPr>
          <w:t>2.1.200</w:t>
        </w:r>
        <w:r>
          <w:rPr>
            <w:rFonts w:asciiTheme="minorHAnsi" w:eastAsiaTheme="minorEastAsia" w:hAnsiTheme="minorHAnsi" w:cstheme="minorBidi"/>
            <w:noProof/>
            <w:sz w:val="22"/>
            <w:szCs w:val="22"/>
          </w:rPr>
          <w:tab/>
        </w:r>
        <w:r w:rsidRPr="00CD0B56">
          <w:rPr>
            <w:rStyle w:val="Hyperlink"/>
            <w:noProof/>
          </w:rPr>
          <w:t>Part 1 Section 17.5.2.27, rPr (Run Properties For Structured Document Tag Contents)</w:t>
        </w:r>
        <w:r>
          <w:rPr>
            <w:noProof/>
            <w:webHidden/>
          </w:rPr>
          <w:tab/>
        </w:r>
        <w:r>
          <w:rPr>
            <w:noProof/>
            <w:webHidden/>
          </w:rPr>
          <w:fldChar w:fldCharType="begin"/>
        </w:r>
        <w:r>
          <w:rPr>
            <w:noProof/>
            <w:webHidden/>
          </w:rPr>
          <w:instrText xml:space="preserve"> PAGEREF _Toc12260268 \h </w:instrText>
        </w:r>
        <w:r>
          <w:rPr>
            <w:noProof/>
            <w:webHidden/>
          </w:rPr>
        </w:r>
        <w:r>
          <w:rPr>
            <w:noProof/>
            <w:webHidden/>
          </w:rPr>
          <w:fldChar w:fldCharType="separate"/>
        </w:r>
        <w:r>
          <w:rPr>
            <w:noProof/>
            <w:webHidden/>
          </w:rPr>
          <w:t>98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69" w:history="1">
        <w:r w:rsidRPr="00CD0B56">
          <w:rPr>
            <w:rStyle w:val="Hyperlink"/>
            <w:noProof/>
          </w:rPr>
          <w:t>2.1.201</w:t>
        </w:r>
        <w:r>
          <w:rPr>
            <w:rFonts w:asciiTheme="minorHAnsi" w:eastAsiaTheme="minorEastAsia" w:hAnsiTheme="minorHAnsi" w:cstheme="minorBidi"/>
            <w:noProof/>
            <w:sz w:val="22"/>
            <w:szCs w:val="22"/>
          </w:rPr>
          <w:tab/>
        </w:r>
        <w:r w:rsidRPr="00CD0B56">
          <w:rPr>
            <w:rStyle w:val="Hyperlink"/>
            <w:noProof/>
          </w:rPr>
          <w:t>Part 1 Section 17.5.2.28, rPr (Structured Document Tag End Character Run Properties)</w:t>
        </w:r>
        <w:r>
          <w:rPr>
            <w:noProof/>
            <w:webHidden/>
          </w:rPr>
          <w:tab/>
        </w:r>
        <w:r>
          <w:rPr>
            <w:noProof/>
            <w:webHidden/>
          </w:rPr>
          <w:fldChar w:fldCharType="begin"/>
        </w:r>
        <w:r>
          <w:rPr>
            <w:noProof/>
            <w:webHidden/>
          </w:rPr>
          <w:instrText xml:space="preserve"> PAGEREF _Toc12260269 \h </w:instrText>
        </w:r>
        <w:r>
          <w:rPr>
            <w:noProof/>
            <w:webHidden/>
          </w:rPr>
        </w:r>
        <w:r>
          <w:rPr>
            <w:noProof/>
            <w:webHidden/>
          </w:rPr>
          <w:fldChar w:fldCharType="separate"/>
        </w:r>
        <w:r>
          <w:rPr>
            <w:noProof/>
            <w:webHidden/>
          </w:rPr>
          <w:t>98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70" w:history="1">
        <w:r w:rsidRPr="00CD0B56">
          <w:rPr>
            <w:rStyle w:val="Hyperlink"/>
            <w:noProof/>
          </w:rPr>
          <w:t>2.1.202</w:t>
        </w:r>
        <w:r>
          <w:rPr>
            <w:rFonts w:asciiTheme="minorHAnsi" w:eastAsiaTheme="minorEastAsia" w:hAnsiTheme="minorHAnsi" w:cstheme="minorBidi"/>
            <w:noProof/>
            <w:sz w:val="22"/>
            <w:szCs w:val="22"/>
          </w:rPr>
          <w:tab/>
        </w:r>
        <w:r w:rsidRPr="00CD0B56">
          <w:rPr>
            <w:rStyle w:val="Hyperlink"/>
            <w:noProof/>
          </w:rPr>
          <w:t>Part 1 Section 17.5.2.30, sdt (Row-Level Structured Document Tag)</w:t>
        </w:r>
        <w:r>
          <w:rPr>
            <w:noProof/>
            <w:webHidden/>
          </w:rPr>
          <w:tab/>
        </w:r>
        <w:r>
          <w:rPr>
            <w:noProof/>
            <w:webHidden/>
          </w:rPr>
          <w:fldChar w:fldCharType="begin"/>
        </w:r>
        <w:r>
          <w:rPr>
            <w:noProof/>
            <w:webHidden/>
          </w:rPr>
          <w:instrText xml:space="preserve"> PAGEREF _Toc12260270 \h </w:instrText>
        </w:r>
        <w:r>
          <w:rPr>
            <w:noProof/>
            <w:webHidden/>
          </w:rPr>
        </w:r>
        <w:r>
          <w:rPr>
            <w:noProof/>
            <w:webHidden/>
          </w:rPr>
          <w:fldChar w:fldCharType="separate"/>
        </w:r>
        <w:r>
          <w:rPr>
            <w:noProof/>
            <w:webHidden/>
          </w:rPr>
          <w:t>98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71" w:history="1">
        <w:r w:rsidRPr="00CD0B56">
          <w:rPr>
            <w:rStyle w:val="Hyperlink"/>
            <w:noProof/>
          </w:rPr>
          <w:t>2.1.203</w:t>
        </w:r>
        <w:r>
          <w:rPr>
            <w:rFonts w:asciiTheme="minorHAnsi" w:eastAsiaTheme="minorEastAsia" w:hAnsiTheme="minorHAnsi" w:cstheme="minorBidi"/>
            <w:noProof/>
            <w:sz w:val="22"/>
            <w:szCs w:val="22"/>
          </w:rPr>
          <w:tab/>
        </w:r>
        <w:r w:rsidRPr="00CD0B56">
          <w:rPr>
            <w:rStyle w:val="Hyperlink"/>
            <w:noProof/>
          </w:rPr>
          <w:t>Part 1 Section 17.5.2.31, sdt (Inline-Level Structured Document Tag)</w:t>
        </w:r>
        <w:r>
          <w:rPr>
            <w:noProof/>
            <w:webHidden/>
          </w:rPr>
          <w:tab/>
        </w:r>
        <w:r>
          <w:rPr>
            <w:noProof/>
            <w:webHidden/>
          </w:rPr>
          <w:fldChar w:fldCharType="begin"/>
        </w:r>
        <w:r>
          <w:rPr>
            <w:noProof/>
            <w:webHidden/>
          </w:rPr>
          <w:instrText xml:space="preserve"> PAGEREF _Toc12260271 \h </w:instrText>
        </w:r>
        <w:r>
          <w:rPr>
            <w:noProof/>
            <w:webHidden/>
          </w:rPr>
        </w:r>
        <w:r>
          <w:rPr>
            <w:noProof/>
            <w:webHidden/>
          </w:rPr>
          <w:fldChar w:fldCharType="separate"/>
        </w:r>
        <w:r>
          <w:rPr>
            <w:noProof/>
            <w:webHidden/>
          </w:rPr>
          <w:t>99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72" w:history="1">
        <w:r w:rsidRPr="00CD0B56">
          <w:rPr>
            <w:rStyle w:val="Hyperlink"/>
            <w:noProof/>
          </w:rPr>
          <w:t>2.1.204</w:t>
        </w:r>
        <w:r>
          <w:rPr>
            <w:rFonts w:asciiTheme="minorHAnsi" w:eastAsiaTheme="minorEastAsia" w:hAnsiTheme="minorHAnsi" w:cstheme="minorBidi"/>
            <w:noProof/>
            <w:sz w:val="22"/>
            <w:szCs w:val="22"/>
          </w:rPr>
          <w:tab/>
        </w:r>
        <w:r w:rsidRPr="00CD0B56">
          <w:rPr>
            <w:rStyle w:val="Hyperlink"/>
            <w:noProof/>
          </w:rPr>
          <w:t>Part 1 Section 17.5.2.32, sdt (Cell-Level Structured Document Tag)</w:t>
        </w:r>
        <w:r>
          <w:rPr>
            <w:noProof/>
            <w:webHidden/>
          </w:rPr>
          <w:tab/>
        </w:r>
        <w:r>
          <w:rPr>
            <w:noProof/>
            <w:webHidden/>
          </w:rPr>
          <w:fldChar w:fldCharType="begin"/>
        </w:r>
        <w:r>
          <w:rPr>
            <w:noProof/>
            <w:webHidden/>
          </w:rPr>
          <w:instrText xml:space="preserve"> PAGEREF _Toc12260272 \h </w:instrText>
        </w:r>
        <w:r>
          <w:rPr>
            <w:noProof/>
            <w:webHidden/>
          </w:rPr>
        </w:r>
        <w:r>
          <w:rPr>
            <w:noProof/>
            <w:webHidden/>
          </w:rPr>
          <w:fldChar w:fldCharType="separate"/>
        </w:r>
        <w:r>
          <w:rPr>
            <w:noProof/>
            <w:webHidden/>
          </w:rPr>
          <w:t>99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73" w:history="1">
        <w:r w:rsidRPr="00CD0B56">
          <w:rPr>
            <w:rStyle w:val="Hyperlink"/>
            <w:noProof/>
          </w:rPr>
          <w:t>2.1.205</w:t>
        </w:r>
        <w:r>
          <w:rPr>
            <w:rFonts w:asciiTheme="minorHAnsi" w:eastAsiaTheme="minorEastAsia" w:hAnsiTheme="minorHAnsi" w:cstheme="minorBidi"/>
            <w:noProof/>
            <w:sz w:val="22"/>
            <w:szCs w:val="22"/>
          </w:rPr>
          <w:tab/>
        </w:r>
        <w:r w:rsidRPr="00CD0B56">
          <w:rPr>
            <w:rStyle w:val="Hyperlink"/>
            <w:noProof/>
          </w:rPr>
          <w:t>Part 1 Section 17.5.2.33, sdtContent (Cell-Level Structured Document Tag Content)</w:t>
        </w:r>
        <w:r>
          <w:rPr>
            <w:noProof/>
            <w:webHidden/>
          </w:rPr>
          <w:tab/>
        </w:r>
        <w:r>
          <w:rPr>
            <w:noProof/>
            <w:webHidden/>
          </w:rPr>
          <w:fldChar w:fldCharType="begin"/>
        </w:r>
        <w:r>
          <w:rPr>
            <w:noProof/>
            <w:webHidden/>
          </w:rPr>
          <w:instrText xml:space="preserve"> PAGEREF _Toc12260273 \h </w:instrText>
        </w:r>
        <w:r>
          <w:rPr>
            <w:noProof/>
            <w:webHidden/>
          </w:rPr>
        </w:r>
        <w:r>
          <w:rPr>
            <w:noProof/>
            <w:webHidden/>
          </w:rPr>
          <w:fldChar w:fldCharType="separate"/>
        </w:r>
        <w:r>
          <w:rPr>
            <w:noProof/>
            <w:webHidden/>
          </w:rPr>
          <w:t>100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74" w:history="1">
        <w:r w:rsidRPr="00CD0B56">
          <w:rPr>
            <w:rStyle w:val="Hyperlink"/>
            <w:noProof/>
          </w:rPr>
          <w:t>2.1.206</w:t>
        </w:r>
        <w:r>
          <w:rPr>
            <w:rFonts w:asciiTheme="minorHAnsi" w:eastAsiaTheme="minorEastAsia" w:hAnsiTheme="minorHAnsi" w:cstheme="minorBidi"/>
            <w:noProof/>
            <w:sz w:val="22"/>
            <w:szCs w:val="22"/>
          </w:rPr>
          <w:tab/>
        </w:r>
        <w:r w:rsidRPr="00CD0B56">
          <w:rPr>
            <w:rStyle w:val="Hyperlink"/>
            <w:noProof/>
          </w:rPr>
          <w:t>Part 1 Section 17.5.2.34, sdtContent (Block-Level Structured Document Tag Content)</w:t>
        </w:r>
        <w:r>
          <w:rPr>
            <w:noProof/>
            <w:webHidden/>
          </w:rPr>
          <w:tab/>
        </w:r>
        <w:r>
          <w:rPr>
            <w:noProof/>
            <w:webHidden/>
          </w:rPr>
          <w:fldChar w:fldCharType="begin"/>
        </w:r>
        <w:r>
          <w:rPr>
            <w:noProof/>
            <w:webHidden/>
          </w:rPr>
          <w:instrText xml:space="preserve"> PAGEREF _Toc12260274 \h </w:instrText>
        </w:r>
        <w:r>
          <w:rPr>
            <w:noProof/>
            <w:webHidden/>
          </w:rPr>
        </w:r>
        <w:r>
          <w:rPr>
            <w:noProof/>
            <w:webHidden/>
          </w:rPr>
          <w:fldChar w:fldCharType="separate"/>
        </w:r>
        <w:r>
          <w:rPr>
            <w:noProof/>
            <w:webHidden/>
          </w:rPr>
          <w:t>100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75" w:history="1">
        <w:r w:rsidRPr="00CD0B56">
          <w:rPr>
            <w:rStyle w:val="Hyperlink"/>
            <w:noProof/>
          </w:rPr>
          <w:t>2.1.207</w:t>
        </w:r>
        <w:r>
          <w:rPr>
            <w:rFonts w:asciiTheme="minorHAnsi" w:eastAsiaTheme="minorEastAsia" w:hAnsiTheme="minorHAnsi" w:cstheme="minorBidi"/>
            <w:noProof/>
            <w:sz w:val="22"/>
            <w:szCs w:val="22"/>
          </w:rPr>
          <w:tab/>
        </w:r>
        <w:r w:rsidRPr="00CD0B56">
          <w:rPr>
            <w:rStyle w:val="Hyperlink"/>
            <w:noProof/>
          </w:rPr>
          <w:t>Part 1 Section 17.5.2.35, sdtContent (Row-Level Structured Document Tag Content)</w:t>
        </w:r>
        <w:r>
          <w:rPr>
            <w:noProof/>
            <w:webHidden/>
          </w:rPr>
          <w:tab/>
        </w:r>
        <w:r>
          <w:rPr>
            <w:noProof/>
            <w:webHidden/>
          </w:rPr>
          <w:fldChar w:fldCharType="begin"/>
        </w:r>
        <w:r>
          <w:rPr>
            <w:noProof/>
            <w:webHidden/>
          </w:rPr>
          <w:instrText xml:space="preserve"> PAGEREF _Toc12260275 \h </w:instrText>
        </w:r>
        <w:r>
          <w:rPr>
            <w:noProof/>
            <w:webHidden/>
          </w:rPr>
        </w:r>
        <w:r>
          <w:rPr>
            <w:noProof/>
            <w:webHidden/>
          </w:rPr>
          <w:fldChar w:fldCharType="separate"/>
        </w:r>
        <w:r>
          <w:rPr>
            <w:noProof/>
            <w:webHidden/>
          </w:rPr>
          <w:t>100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76" w:history="1">
        <w:r w:rsidRPr="00CD0B56">
          <w:rPr>
            <w:rStyle w:val="Hyperlink"/>
            <w:noProof/>
          </w:rPr>
          <w:t>2.1.208</w:t>
        </w:r>
        <w:r>
          <w:rPr>
            <w:rFonts w:asciiTheme="minorHAnsi" w:eastAsiaTheme="minorEastAsia" w:hAnsiTheme="minorHAnsi" w:cstheme="minorBidi"/>
            <w:noProof/>
            <w:sz w:val="22"/>
            <w:szCs w:val="22"/>
          </w:rPr>
          <w:tab/>
        </w:r>
        <w:r w:rsidRPr="00CD0B56">
          <w:rPr>
            <w:rStyle w:val="Hyperlink"/>
            <w:noProof/>
          </w:rPr>
          <w:t>Part 1 Section 17.5.2.36, sdtContent (Inline-Level Structured Document Tag Content)</w:t>
        </w:r>
        <w:r>
          <w:rPr>
            <w:noProof/>
            <w:webHidden/>
          </w:rPr>
          <w:tab/>
        </w:r>
        <w:r>
          <w:rPr>
            <w:noProof/>
            <w:webHidden/>
          </w:rPr>
          <w:fldChar w:fldCharType="begin"/>
        </w:r>
        <w:r>
          <w:rPr>
            <w:noProof/>
            <w:webHidden/>
          </w:rPr>
          <w:instrText xml:space="preserve"> PAGEREF _Toc12260276 \h </w:instrText>
        </w:r>
        <w:r>
          <w:rPr>
            <w:noProof/>
            <w:webHidden/>
          </w:rPr>
        </w:r>
        <w:r>
          <w:rPr>
            <w:noProof/>
            <w:webHidden/>
          </w:rPr>
          <w:fldChar w:fldCharType="separate"/>
        </w:r>
        <w:r>
          <w:rPr>
            <w:noProof/>
            <w:webHidden/>
          </w:rPr>
          <w:t>100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77" w:history="1">
        <w:r w:rsidRPr="00CD0B56">
          <w:rPr>
            <w:rStyle w:val="Hyperlink"/>
            <w:noProof/>
          </w:rPr>
          <w:t>2.1.209</w:t>
        </w:r>
        <w:r>
          <w:rPr>
            <w:rFonts w:asciiTheme="minorHAnsi" w:eastAsiaTheme="minorEastAsia" w:hAnsiTheme="minorHAnsi" w:cstheme="minorBidi"/>
            <w:noProof/>
            <w:sz w:val="22"/>
            <w:szCs w:val="22"/>
          </w:rPr>
          <w:tab/>
        </w:r>
        <w:r w:rsidRPr="00CD0B56">
          <w:rPr>
            <w:rStyle w:val="Hyperlink"/>
            <w:noProof/>
          </w:rPr>
          <w:t>Part 1 Section 17.5.2.41, tabIndex (Structured Document Tag Navigation Order Index)</w:t>
        </w:r>
        <w:r>
          <w:rPr>
            <w:noProof/>
            <w:webHidden/>
          </w:rPr>
          <w:tab/>
        </w:r>
        <w:r>
          <w:rPr>
            <w:noProof/>
            <w:webHidden/>
          </w:rPr>
          <w:fldChar w:fldCharType="begin"/>
        </w:r>
        <w:r>
          <w:rPr>
            <w:noProof/>
            <w:webHidden/>
          </w:rPr>
          <w:instrText xml:space="preserve"> PAGEREF _Toc12260277 \h </w:instrText>
        </w:r>
        <w:r>
          <w:rPr>
            <w:noProof/>
            <w:webHidden/>
          </w:rPr>
        </w:r>
        <w:r>
          <w:rPr>
            <w:noProof/>
            <w:webHidden/>
          </w:rPr>
          <w:fldChar w:fldCharType="separate"/>
        </w:r>
        <w:r>
          <w:rPr>
            <w:noProof/>
            <w:webHidden/>
          </w:rPr>
          <w:t>101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78" w:history="1">
        <w:r w:rsidRPr="00CD0B56">
          <w:rPr>
            <w:rStyle w:val="Hyperlink"/>
            <w:noProof/>
          </w:rPr>
          <w:t>2.1.210</w:t>
        </w:r>
        <w:r>
          <w:rPr>
            <w:rFonts w:asciiTheme="minorHAnsi" w:eastAsiaTheme="minorEastAsia" w:hAnsiTheme="minorHAnsi" w:cstheme="minorBidi"/>
            <w:noProof/>
            <w:sz w:val="22"/>
            <w:szCs w:val="22"/>
          </w:rPr>
          <w:tab/>
        </w:r>
        <w:r w:rsidRPr="00CD0B56">
          <w:rPr>
            <w:rStyle w:val="Hyperlink"/>
            <w:noProof/>
          </w:rPr>
          <w:t>Part 1 Section 17.5.2.43, temporary (Remove Structured Document Tag When Contents Are Edited)</w:t>
        </w:r>
        <w:r>
          <w:rPr>
            <w:noProof/>
            <w:webHidden/>
          </w:rPr>
          <w:tab/>
        </w:r>
        <w:r>
          <w:rPr>
            <w:noProof/>
            <w:webHidden/>
          </w:rPr>
          <w:fldChar w:fldCharType="begin"/>
        </w:r>
        <w:r>
          <w:rPr>
            <w:noProof/>
            <w:webHidden/>
          </w:rPr>
          <w:instrText xml:space="preserve"> PAGEREF _Toc12260278 \h </w:instrText>
        </w:r>
        <w:r>
          <w:rPr>
            <w:noProof/>
            <w:webHidden/>
          </w:rPr>
        </w:r>
        <w:r>
          <w:rPr>
            <w:noProof/>
            <w:webHidden/>
          </w:rPr>
          <w:fldChar w:fldCharType="separate"/>
        </w:r>
        <w:r>
          <w:rPr>
            <w:noProof/>
            <w:webHidden/>
          </w:rPr>
          <w:t>101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79" w:history="1">
        <w:r w:rsidRPr="00CD0B56">
          <w:rPr>
            <w:rStyle w:val="Hyperlink"/>
            <w:noProof/>
          </w:rPr>
          <w:t>2.1.211</w:t>
        </w:r>
        <w:r>
          <w:rPr>
            <w:rFonts w:asciiTheme="minorHAnsi" w:eastAsiaTheme="minorEastAsia" w:hAnsiTheme="minorHAnsi" w:cstheme="minorBidi"/>
            <w:noProof/>
            <w:sz w:val="22"/>
            <w:szCs w:val="22"/>
          </w:rPr>
          <w:tab/>
        </w:r>
        <w:r w:rsidRPr="00CD0B56">
          <w:rPr>
            <w:rStyle w:val="Hyperlink"/>
            <w:noProof/>
          </w:rPr>
          <w:t>Part 1 Section 17.6.2, bottom (Bottom Border)</w:t>
        </w:r>
        <w:r>
          <w:rPr>
            <w:noProof/>
            <w:webHidden/>
          </w:rPr>
          <w:tab/>
        </w:r>
        <w:r>
          <w:rPr>
            <w:noProof/>
            <w:webHidden/>
          </w:rPr>
          <w:fldChar w:fldCharType="begin"/>
        </w:r>
        <w:r>
          <w:rPr>
            <w:noProof/>
            <w:webHidden/>
          </w:rPr>
          <w:instrText xml:space="preserve"> PAGEREF _Toc12260279 \h </w:instrText>
        </w:r>
        <w:r>
          <w:rPr>
            <w:noProof/>
            <w:webHidden/>
          </w:rPr>
        </w:r>
        <w:r>
          <w:rPr>
            <w:noProof/>
            <w:webHidden/>
          </w:rPr>
          <w:fldChar w:fldCharType="separate"/>
        </w:r>
        <w:r>
          <w:rPr>
            <w:noProof/>
            <w:webHidden/>
          </w:rPr>
          <w:t>101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80" w:history="1">
        <w:r w:rsidRPr="00CD0B56">
          <w:rPr>
            <w:rStyle w:val="Hyperlink"/>
            <w:noProof/>
          </w:rPr>
          <w:t>2.1.212</w:t>
        </w:r>
        <w:r>
          <w:rPr>
            <w:rFonts w:asciiTheme="minorHAnsi" w:eastAsiaTheme="minorEastAsia" w:hAnsiTheme="minorHAnsi" w:cstheme="minorBidi"/>
            <w:noProof/>
            <w:sz w:val="22"/>
            <w:szCs w:val="22"/>
          </w:rPr>
          <w:tab/>
        </w:r>
        <w:r w:rsidRPr="00CD0B56">
          <w:rPr>
            <w:rStyle w:val="Hyperlink"/>
            <w:noProof/>
          </w:rPr>
          <w:t>Part 1 Section 17.6.3, col (Single Column Definition)</w:t>
        </w:r>
        <w:r>
          <w:rPr>
            <w:noProof/>
            <w:webHidden/>
          </w:rPr>
          <w:tab/>
        </w:r>
        <w:r>
          <w:rPr>
            <w:noProof/>
            <w:webHidden/>
          </w:rPr>
          <w:fldChar w:fldCharType="begin"/>
        </w:r>
        <w:r>
          <w:rPr>
            <w:noProof/>
            <w:webHidden/>
          </w:rPr>
          <w:instrText xml:space="preserve"> PAGEREF _Toc12260280 \h </w:instrText>
        </w:r>
        <w:r>
          <w:rPr>
            <w:noProof/>
            <w:webHidden/>
          </w:rPr>
        </w:r>
        <w:r>
          <w:rPr>
            <w:noProof/>
            <w:webHidden/>
          </w:rPr>
          <w:fldChar w:fldCharType="separate"/>
        </w:r>
        <w:r>
          <w:rPr>
            <w:noProof/>
            <w:webHidden/>
          </w:rPr>
          <w:t>101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81" w:history="1">
        <w:r w:rsidRPr="00CD0B56">
          <w:rPr>
            <w:rStyle w:val="Hyperlink"/>
            <w:noProof/>
          </w:rPr>
          <w:t>2.1.213</w:t>
        </w:r>
        <w:r>
          <w:rPr>
            <w:rFonts w:asciiTheme="minorHAnsi" w:eastAsiaTheme="minorEastAsia" w:hAnsiTheme="minorHAnsi" w:cstheme="minorBidi"/>
            <w:noProof/>
            <w:sz w:val="22"/>
            <w:szCs w:val="22"/>
          </w:rPr>
          <w:tab/>
        </w:r>
        <w:r w:rsidRPr="00CD0B56">
          <w:rPr>
            <w:rStyle w:val="Hyperlink"/>
            <w:noProof/>
          </w:rPr>
          <w:t>Part 1 Section 17.6.4, cols (Column Definitions)</w:t>
        </w:r>
        <w:r>
          <w:rPr>
            <w:noProof/>
            <w:webHidden/>
          </w:rPr>
          <w:tab/>
        </w:r>
        <w:r>
          <w:rPr>
            <w:noProof/>
            <w:webHidden/>
          </w:rPr>
          <w:fldChar w:fldCharType="begin"/>
        </w:r>
        <w:r>
          <w:rPr>
            <w:noProof/>
            <w:webHidden/>
          </w:rPr>
          <w:instrText xml:space="preserve"> PAGEREF _Toc12260281 \h </w:instrText>
        </w:r>
        <w:r>
          <w:rPr>
            <w:noProof/>
            <w:webHidden/>
          </w:rPr>
        </w:r>
        <w:r>
          <w:rPr>
            <w:noProof/>
            <w:webHidden/>
          </w:rPr>
          <w:fldChar w:fldCharType="separate"/>
        </w:r>
        <w:r>
          <w:rPr>
            <w:noProof/>
            <w:webHidden/>
          </w:rPr>
          <w:t>101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82" w:history="1">
        <w:r w:rsidRPr="00CD0B56">
          <w:rPr>
            <w:rStyle w:val="Hyperlink"/>
            <w:noProof/>
          </w:rPr>
          <w:t>2.1.214</w:t>
        </w:r>
        <w:r>
          <w:rPr>
            <w:rFonts w:asciiTheme="minorHAnsi" w:eastAsiaTheme="minorEastAsia" w:hAnsiTheme="minorHAnsi" w:cstheme="minorBidi"/>
            <w:noProof/>
            <w:sz w:val="22"/>
            <w:szCs w:val="22"/>
          </w:rPr>
          <w:tab/>
        </w:r>
        <w:r w:rsidRPr="00CD0B56">
          <w:rPr>
            <w:rStyle w:val="Hyperlink"/>
            <w:noProof/>
          </w:rPr>
          <w:t>Part 1 Section 17.6.7, left (Left Border)</w:t>
        </w:r>
        <w:r>
          <w:rPr>
            <w:noProof/>
            <w:webHidden/>
          </w:rPr>
          <w:tab/>
        </w:r>
        <w:r>
          <w:rPr>
            <w:noProof/>
            <w:webHidden/>
          </w:rPr>
          <w:fldChar w:fldCharType="begin"/>
        </w:r>
        <w:r>
          <w:rPr>
            <w:noProof/>
            <w:webHidden/>
          </w:rPr>
          <w:instrText xml:space="preserve"> PAGEREF _Toc12260282 \h </w:instrText>
        </w:r>
        <w:r>
          <w:rPr>
            <w:noProof/>
            <w:webHidden/>
          </w:rPr>
        </w:r>
        <w:r>
          <w:rPr>
            <w:noProof/>
            <w:webHidden/>
          </w:rPr>
          <w:fldChar w:fldCharType="separate"/>
        </w:r>
        <w:r>
          <w:rPr>
            <w:noProof/>
            <w:webHidden/>
          </w:rPr>
          <w:t>101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83" w:history="1">
        <w:r w:rsidRPr="00CD0B56">
          <w:rPr>
            <w:rStyle w:val="Hyperlink"/>
            <w:noProof/>
          </w:rPr>
          <w:t>2.1.215</w:t>
        </w:r>
        <w:r>
          <w:rPr>
            <w:rFonts w:asciiTheme="minorHAnsi" w:eastAsiaTheme="minorEastAsia" w:hAnsiTheme="minorHAnsi" w:cstheme="minorBidi"/>
            <w:noProof/>
            <w:sz w:val="22"/>
            <w:szCs w:val="22"/>
          </w:rPr>
          <w:tab/>
        </w:r>
        <w:r w:rsidRPr="00CD0B56">
          <w:rPr>
            <w:rStyle w:val="Hyperlink"/>
            <w:noProof/>
          </w:rPr>
          <w:t>Part 1 Section 17.6.8, lnNumType (Line Numbering Settings)</w:t>
        </w:r>
        <w:r>
          <w:rPr>
            <w:noProof/>
            <w:webHidden/>
          </w:rPr>
          <w:tab/>
        </w:r>
        <w:r>
          <w:rPr>
            <w:noProof/>
            <w:webHidden/>
          </w:rPr>
          <w:fldChar w:fldCharType="begin"/>
        </w:r>
        <w:r>
          <w:rPr>
            <w:noProof/>
            <w:webHidden/>
          </w:rPr>
          <w:instrText xml:space="preserve"> PAGEREF _Toc12260283 \h </w:instrText>
        </w:r>
        <w:r>
          <w:rPr>
            <w:noProof/>
            <w:webHidden/>
          </w:rPr>
        </w:r>
        <w:r>
          <w:rPr>
            <w:noProof/>
            <w:webHidden/>
          </w:rPr>
          <w:fldChar w:fldCharType="separate"/>
        </w:r>
        <w:r>
          <w:rPr>
            <w:noProof/>
            <w:webHidden/>
          </w:rPr>
          <w:t>102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84" w:history="1">
        <w:r w:rsidRPr="00CD0B56">
          <w:rPr>
            <w:rStyle w:val="Hyperlink"/>
            <w:noProof/>
          </w:rPr>
          <w:t>2.1.216</w:t>
        </w:r>
        <w:r>
          <w:rPr>
            <w:rFonts w:asciiTheme="minorHAnsi" w:eastAsiaTheme="minorEastAsia" w:hAnsiTheme="minorHAnsi" w:cstheme="minorBidi"/>
            <w:noProof/>
            <w:sz w:val="22"/>
            <w:szCs w:val="22"/>
          </w:rPr>
          <w:tab/>
        </w:r>
        <w:r w:rsidRPr="00CD0B56">
          <w:rPr>
            <w:rStyle w:val="Hyperlink"/>
            <w:noProof/>
          </w:rPr>
          <w:t>Part 1 Section 17.6.9, paperSrc (Paper Source Information)</w:t>
        </w:r>
        <w:r>
          <w:rPr>
            <w:noProof/>
            <w:webHidden/>
          </w:rPr>
          <w:tab/>
        </w:r>
        <w:r>
          <w:rPr>
            <w:noProof/>
            <w:webHidden/>
          </w:rPr>
          <w:fldChar w:fldCharType="begin"/>
        </w:r>
        <w:r>
          <w:rPr>
            <w:noProof/>
            <w:webHidden/>
          </w:rPr>
          <w:instrText xml:space="preserve"> PAGEREF _Toc12260284 \h </w:instrText>
        </w:r>
        <w:r>
          <w:rPr>
            <w:noProof/>
            <w:webHidden/>
          </w:rPr>
        </w:r>
        <w:r>
          <w:rPr>
            <w:noProof/>
            <w:webHidden/>
          </w:rPr>
          <w:fldChar w:fldCharType="separate"/>
        </w:r>
        <w:r>
          <w:rPr>
            <w:noProof/>
            <w:webHidden/>
          </w:rPr>
          <w:t>102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85" w:history="1">
        <w:r w:rsidRPr="00CD0B56">
          <w:rPr>
            <w:rStyle w:val="Hyperlink"/>
            <w:noProof/>
          </w:rPr>
          <w:t>2.1.217</w:t>
        </w:r>
        <w:r>
          <w:rPr>
            <w:rFonts w:asciiTheme="minorHAnsi" w:eastAsiaTheme="minorEastAsia" w:hAnsiTheme="minorHAnsi" w:cstheme="minorBidi"/>
            <w:noProof/>
            <w:sz w:val="22"/>
            <w:szCs w:val="22"/>
          </w:rPr>
          <w:tab/>
        </w:r>
        <w:r w:rsidRPr="00CD0B56">
          <w:rPr>
            <w:rStyle w:val="Hyperlink"/>
            <w:noProof/>
          </w:rPr>
          <w:t>Part 1 Section 17.6.10, pgBorders (Page Borders)</w:t>
        </w:r>
        <w:r>
          <w:rPr>
            <w:noProof/>
            <w:webHidden/>
          </w:rPr>
          <w:tab/>
        </w:r>
        <w:r>
          <w:rPr>
            <w:noProof/>
            <w:webHidden/>
          </w:rPr>
          <w:fldChar w:fldCharType="begin"/>
        </w:r>
        <w:r>
          <w:rPr>
            <w:noProof/>
            <w:webHidden/>
          </w:rPr>
          <w:instrText xml:space="preserve"> PAGEREF _Toc12260285 \h </w:instrText>
        </w:r>
        <w:r>
          <w:rPr>
            <w:noProof/>
            <w:webHidden/>
          </w:rPr>
        </w:r>
        <w:r>
          <w:rPr>
            <w:noProof/>
            <w:webHidden/>
          </w:rPr>
          <w:fldChar w:fldCharType="separate"/>
        </w:r>
        <w:r>
          <w:rPr>
            <w:noProof/>
            <w:webHidden/>
          </w:rPr>
          <w:t>102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86" w:history="1">
        <w:r w:rsidRPr="00CD0B56">
          <w:rPr>
            <w:rStyle w:val="Hyperlink"/>
            <w:noProof/>
          </w:rPr>
          <w:t>2.1.218</w:t>
        </w:r>
        <w:r>
          <w:rPr>
            <w:rFonts w:asciiTheme="minorHAnsi" w:eastAsiaTheme="minorEastAsia" w:hAnsiTheme="minorHAnsi" w:cstheme="minorBidi"/>
            <w:noProof/>
            <w:sz w:val="22"/>
            <w:szCs w:val="22"/>
          </w:rPr>
          <w:tab/>
        </w:r>
        <w:r w:rsidRPr="00CD0B56">
          <w:rPr>
            <w:rStyle w:val="Hyperlink"/>
            <w:noProof/>
          </w:rPr>
          <w:t>Part 1 Section 17.6.11, pgMar (Page Margins)</w:t>
        </w:r>
        <w:r>
          <w:rPr>
            <w:noProof/>
            <w:webHidden/>
          </w:rPr>
          <w:tab/>
        </w:r>
        <w:r>
          <w:rPr>
            <w:noProof/>
            <w:webHidden/>
          </w:rPr>
          <w:fldChar w:fldCharType="begin"/>
        </w:r>
        <w:r>
          <w:rPr>
            <w:noProof/>
            <w:webHidden/>
          </w:rPr>
          <w:instrText xml:space="preserve"> PAGEREF _Toc12260286 \h </w:instrText>
        </w:r>
        <w:r>
          <w:rPr>
            <w:noProof/>
            <w:webHidden/>
          </w:rPr>
        </w:r>
        <w:r>
          <w:rPr>
            <w:noProof/>
            <w:webHidden/>
          </w:rPr>
          <w:fldChar w:fldCharType="separate"/>
        </w:r>
        <w:r>
          <w:rPr>
            <w:noProof/>
            <w:webHidden/>
          </w:rPr>
          <w:t>102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87" w:history="1">
        <w:r w:rsidRPr="00CD0B56">
          <w:rPr>
            <w:rStyle w:val="Hyperlink"/>
            <w:noProof/>
          </w:rPr>
          <w:t>2.1.219</w:t>
        </w:r>
        <w:r>
          <w:rPr>
            <w:rFonts w:asciiTheme="minorHAnsi" w:eastAsiaTheme="minorEastAsia" w:hAnsiTheme="minorHAnsi" w:cstheme="minorBidi"/>
            <w:noProof/>
            <w:sz w:val="22"/>
            <w:szCs w:val="22"/>
          </w:rPr>
          <w:tab/>
        </w:r>
        <w:r w:rsidRPr="00CD0B56">
          <w:rPr>
            <w:rStyle w:val="Hyperlink"/>
            <w:noProof/>
          </w:rPr>
          <w:t>Part 1 Section 17.6.12, pgNumType (Page Numbering Settings)</w:t>
        </w:r>
        <w:r>
          <w:rPr>
            <w:noProof/>
            <w:webHidden/>
          </w:rPr>
          <w:tab/>
        </w:r>
        <w:r>
          <w:rPr>
            <w:noProof/>
            <w:webHidden/>
          </w:rPr>
          <w:fldChar w:fldCharType="begin"/>
        </w:r>
        <w:r>
          <w:rPr>
            <w:noProof/>
            <w:webHidden/>
          </w:rPr>
          <w:instrText xml:space="preserve"> PAGEREF _Toc12260287 \h </w:instrText>
        </w:r>
        <w:r>
          <w:rPr>
            <w:noProof/>
            <w:webHidden/>
          </w:rPr>
        </w:r>
        <w:r>
          <w:rPr>
            <w:noProof/>
            <w:webHidden/>
          </w:rPr>
          <w:fldChar w:fldCharType="separate"/>
        </w:r>
        <w:r>
          <w:rPr>
            <w:noProof/>
            <w:webHidden/>
          </w:rPr>
          <w:t>102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88" w:history="1">
        <w:r w:rsidRPr="00CD0B56">
          <w:rPr>
            <w:rStyle w:val="Hyperlink"/>
            <w:noProof/>
          </w:rPr>
          <w:t>2.1.220</w:t>
        </w:r>
        <w:r>
          <w:rPr>
            <w:rFonts w:asciiTheme="minorHAnsi" w:eastAsiaTheme="minorEastAsia" w:hAnsiTheme="minorHAnsi" w:cstheme="minorBidi"/>
            <w:noProof/>
            <w:sz w:val="22"/>
            <w:szCs w:val="22"/>
          </w:rPr>
          <w:tab/>
        </w:r>
        <w:r w:rsidRPr="00CD0B56">
          <w:rPr>
            <w:rStyle w:val="Hyperlink"/>
            <w:noProof/>
          </w:rPr>
          <w:t>Part 1 Section 17.6.13, pgSz (Page Size)</w:t>
        </w:r>
        <w:r>
          <w:rPr>
            <w:noProof/>
            <w:webHidden/>
          </w:rPr>
          <w:tab/>
        </w:r>
        <w:r>
          <w:rPr>
            <w:noProof/>
            <w:webHidden/>
          </w:rPr>
          <w:fldChar w:fldCharType="begin"/>
        </w:r>
        <w:r>
          <w:rPr>
            <w:noProof/>
            <w:webHidden/>
          </w:rPr>
          <w:instrText xml:space="preserve"> PAGEREF _Toc12260288 \h </w:instrText>
        </w:r>
        <w:r>
          <w:rPr>
            <w:noProof/>
            <w:webHidden/>
          </w:rPr>
        </w:r>
        <w:r>
          <w:rPr>
            <w:noProof/>
            <w:webHidden/>
          </w:rPr>
          <w:fldChar w:fldCharType="separate"/>
        </w:r>
        <w:r>
          <w:rPr>
            <w:noProof/>
            <w:webHidden/>
          </w:rPr>
          <w:t>103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89" w:history="1">
        <w:r w:rsidRPr="00CD0B56">
          <w:rPr>
            <w:rStyle w:val="Hyperlink"/>
            <w:noProof/>
          </w:rPr>
          <w:t>2.1.221</w:t>
        </w:r>
        <w:r>
          <w:rPr>
            <w:rFonts w:asciiTheme="minorHAnsi" w:eastAsiaTheme="minorEastAsia" w:hAnsiTheme="minorHAnsi" w:cstheme="minorBidi"/>
            <w:noProof/>
            <w:sz w:val="22"/>
            <w:szCs w:val="22"/>
          </w:rPr>
          <w:tab/>
        </w:r>
        <w:r w:rsidRPr="00CD0B56">
          <w:rPr>
            <w:rStyle w:val="Hyperlink"/>
            <w:noProof/>
          </w:rPr>
          <w:t>Part 1 Section 17.6.14, printerSettings (Reference to Printer Settings Data)</w:t>
        </w:r>
        <w:r>
          <w:rPr>
            <w:noProof/>
            <w:webHidden/>
          </w:rPr>
          <w:tab/>
        </w:r>
        <w:r>
          <w:rPr>
            <w:noProof/>
            <w:webHidden/>
          </w:rPr>
          <w:fldChar w:fldCharType="begin"/>
        </w:r>
        <w:r>
          <w:rPr>
            <w:noProof/>
            <w:webHidden/>
          </w:rPr>
          <w:instrText xml:space="preserve"> PAGEREF _Toc12260289 \h </w:instrText>
        </w:r>
        <w:r>
          <w:rPr>
            <w:noProof/>
            <w:webHidden/>
          </w:rPr>
        </w:r>
        <w:r>
          <w:rPr>
            <w:noProof/>
            <w:webHidden/>
          </w:rPr>
          <w:fldChar w:fldCharType="separate"/>
        </w:r>
        <w:r>
          <w:rPr>
            <w:noProof/>
            <w:webHidden/>
          </w:rPr>
          <w:t>103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90" w:history="1">
        <w:r w:rsidRPr="00CD0B56">
          <w:rPr>
            <w:rStyle w:val="Hyperlink"/>
            <w:noProof/>
          </w:rPr>
          <w:t>2.1.222</w:t>
        </w:r>
        <w:r>
          <w:rPr>
            <w:rFonts w:asciiTheme="minorHAnsi" w:eastAsiaTheme="minorEastAsia" w:hAnsiTheme="minorHAnsi" w:cstheme="minorBidi"/>
            <w:noProof/>
            <w:sz w:val="22"/>
            <w:szCs w:val="22"/>
          </w:rPr>
          <w:tab/>
        </w:r>
        <w:r w:rsidRPr="00CD0B56">
          <w:rPr>
            <w:rStyle w:val="Hyperlink"/>
            <w:noProof/>
          </w:rPr>
          <w:t>Part 1 Section 17.6.15, right (Right Border)</w:t>
        </w:r>
        <w:r>
          <w:rPr>
            <w:noProof/>
            <w:webHidden/>
          </w:rPr>
          <w:tab/>
        </w:r>
        <w:r>
          <w:rPr>
            <w:noProof/>
            <w:webHidden/>
          </w:rPr>
          <w:fldChar w:fldCharType="begin"/>
        </w:r>
        <w:r>
          <w:rPr>
            <w:noProof/>
            <w:webHidden/>
          </w:rPr>
          <w:instrText xml:space="preserve"> PAGEREF _Toc12260290 \h </w:instrText>
        </w:r>
        <w:r>
          <w:rPr>
            <w:noProof/>
            <w:webHidden/>
          </w:rPr>
        </w:r>
        <w:r>
          <w:rPr>
            <w:noProof/>
            <w:webHidden/>
          </w:rPr>
          <w:fldChar w:fldCharType="separate"/>
        </w:r>
        <w:r>
          <w:rPr>
            <w:noProof/>
            <w:webHidden/>
          </w:rPr>
          <w:t>103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91" w:history="1">
        <w:r w:rsidRPr="00CD0B56">
          <w:rPr>
            <w:rStyle w:val="Hyperlink"/>
            <w:noProof/>
          </w:rPr>
          <w:t>2.1.223</w:t>
        </w:r>
        <w:r>
          <w:rPr>
            <w:rFonts w:asciiTheme="minorHAnsi" w:eastAsiaTheme="minorEastAsia" w:hAnsiTheme="minorHAnsi" w:cstheme="minorBidi"/>
            <w:noProof/>
            <w:sz w:val="22"/>
            <w:szCs w:val="22"/>
          </w:rPr>
          <w:tab/>
        </w:r>
        <w:r w:rsidRPr="00CD0B56">
          <w:rPr>
            <w:rStyle w:val="Hyperlink"/>
            <w:noProof/>
          </w:rPr>
          <w:t>Part 1 Section 17.6.17, sectPr (Document Final Section Properties)</w:t>
        </w:r>
        <w:r>
          <w:rPr>
            <w:noProof/>
            <w:webHidden/>
          </w:rPr>
          <w:tab/>
        </w:r>
        <w:r>
          <w:rPr>
            <w:noProof/>
            <w:webHidden/>
          </w:rPr>
          <w:fldChar w:fldCharType="begin"/>
        </w:r>
        <w:r>
          <w:rPr>
            <w:noProof/>
            <w:webHidden/>
          </w:rPr>
          <w:instrText xml:space="preserve"> PAGEREF _Toc12260291 \h </w:instrText>
        </w:r>
        <w:r>
          <w:rPr>
            <w:noProof/>
            <w:webHidden/>
          </w:rPr>
        </w:r>
        <w:r>
          <w:rPr>
            <w:noProof/>
            <w:webHidden/>
          </w:rPr>
          <w:fldChar w:fldCharType="separate"/>
        </w:r>
        <w:r>
          <w:rPr>
            <w:noProof/>
            <w:webHidden/>
          </w:rPr>
          <w:t>103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92" w:history="1">
        <w:r w:rsidRPr="00CD0B56">
          <w:rPr>
            <w:rStyle w:val="Hyperlink"/>
            <w:noProof/>
          </w:rPr>
          <w:t>2.1.224</w:t>
        </w:r>
        <w:r>
          <w:rPr>
            <w:rFonts w:asciiTheme="minorHAnsi" w:eastAsiaTheme="minorEastAsia" w:hAnsiTheme="minorHAnsi" w:cstheme="minorBidi"/>
            <w:noProof/>
            <w:sz w:val="22"/>
            <w:szCs w:val="22"/>
          </w:rPr>
          <w:tab/>
        </w:r>
        <w:r w:rsidRPr="00CD0B56">
          <w:rPr>
            <w:rStyle w:val="Hyperlink"/>
            <w:noProof/>
          </w:rPr>
          <w:t>Part 1 Section 17.6.18, sectPr (Section Properties)</w:t>
        </w:r>
        <w:r>
          <w:rPr>
            <w:noProof/>
            <w:webHidden/>
          </w:rPr>
          <w:tab/>
        </w:r>
        <w:r>
          <w:rPr>
            <w:noProof/>
            <w:webHidden/>
          </w:rPr>
          <w:fldChar w:fldCharType="begin"/>
        </w:r>
        <w:r>
          <w:rPr>
            <w:noProof/>
            <w:webHidden/>
          </w:rPr>
          <w:instrText xml:space="preserve"> PAGEREF _Toc12260292 \h </w:instrText>
        </w:r>
        <w:r>
          <w:rPr>
            <w:noProof/>
            <w:webHidden/>
          </w:rPr>
        </w:r>
        <w:r>
          <w:rPr>
            <w:noProof/>
            <w:webHidden/>
          </w:rPr>
          <w:fldChar w:fldCharType="separate"/>
        </w:r>
        <w:r>
          <w:rPr>
            <w:noProof/>
            <w:webHidden/>
          </w:rPr>
          <w:t>103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93" w:history="1">
        <w:r w:rsidRPr="00CD0B56">
          <w:rPr>
            <w:rStyle w:val="Hyperlink"/>
            <w:noProof/>
          </w:rPr>
          <w:t>2.1.225</w:t>
        </w:r>
        <w:r>
          <w:rPr>
            <w:rFonts w:asciiTheme="minorHAnsi" w:eastAsiaTheme="minorEastAsia" w:hAnsiTheme="minorHAnsi" w:cstheme="minorBidi"/>
            <w:noProof/>
            <w:sz w:val="22"/>
            <w:szCs w:val="22"/>
          </w:rPr>
          <w:tab/>
        </w:r>
        <w:r w:rsidRPr="00CD0B56">
          <w:rPr>
            <w:rStyle w:val="Hyperlink"/>
            <w:noProof/>
          </w:rPr>
          <w:t>Part 1 Section 17.6.19, sectPr (Previous Section Properties)</w:t>
        </w:r>
        <w:r>
          <w:rPr>
            <w:noProof/>
            <w:webHidden/>
          </w:rPr>
          <w:tab/>
        </w:r>
        <w:r>
          <w:rPr>
            <w:noProof/>
            <w:webHidden/>
          </w:rPr>
          <w:fldChar w:fldCharType="begin"/>
        </w:r>
        <w:r>
          <w:rPr>
            <w:noProof/>
            <w:webHidden/>
          </w:rPr>
          <w:instrText xml:space="preserve"> PAGEREF _Toc12260293 \h </w:instrText>
        </w:r>
        <w:r>
          <w:rPr>
            <w:noProof/>
            <w:webHidden/>
          </w:rPr>
        </w:r>
        <w:r>
          <w:rPr>
            <w:noProof/>
            <w:webHidden/>
          </w:rPr>
          <w:fldChar w:fldCharType="separate"/>
        </w:r>
        <w:r>
          <w:rPr>
            <w:noProof/>
            <w:webHidden/>
          </w:rPr>
          <w:t>104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94" w:history="1">
        <w:r w:rsidRPr="00CD0B56">
          <w:rPr>
            <w:rStyle w:val="Hyperlink"/>
            <w:noProof/>
          </w:rPr>
          <w:t>2.1.226</w:t>
        </w:r>
        <w:r>
          <w:rPr>
            <w:rFonts w:asciiTheme="minorHAnsi" w:eastAsiaTheme="minorEastAsia" w:hAnsiTheme="minorHAnsi" w:cstheme="minorBidi"/>
            <w:noProof/>
            <w:sz w:val="22"/>
            <w:szCs w:val="22"/>
          </w:rPr>
          <w:tab/>
        </w:r>
        <w:r w:rsidRPr="00CD0B56">
          <w:rPr>
            <w:rStyle w:val="Hyperlink"/>
            <w:noProof/>
          </w:rPr>
          <w:t>Part 1 Section 17.6.21, top (Top Border)</w:t>
        </w:r>
        <w:r>
          <w:rPr>
            <w:noProof/>
            <w:webHidden/>
          </w:rPr>
          <w:tab/>
        </w:r>
        <w:r>
          <w:rPr>
            <w:noProof/>
            <w:webHidden/>
          </w:rPr>
          <w:fldChar w:fldCharType="begin"/>
        </w:r>
        <w:r>
          <w:rPr>
            <w:noProof/>
            <w:webHidden/>
          </w:rPr>
          <w:instrText xml:space="preserve"> PAGEREF _Toc12260294 \h </w:instrText>
        </w:r>
        <w:r>
          <w:rPr>
            <w:noProof/>
            <w:webHidden/>
          </w:rPr>
        </w:r>
        <w:r>
          <w:rPr>
            <w:noProof/>
            <w:webHidden/>
          </w:rPr>
          <w:fldChar w:fldCharType="separate"/>
        </w:r>
        <w:r>
          <w:rPr>
            <w:noProof/>
            <w:webHidden/>
          </w:rPr>
          <w:t>104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95" w:history="1">
        <w:r w:rsidRPr="00CD0B56">
          <w:rPr>
            <w:rStyle w:val="Hyperlink"/>
            <w:noProof/>
          </w:rPr>
          <w:t>2.1.227</w:t>
        </w:r>
        <w:r>
          <w:rPr>
            <w:rFonts w:asciiTheme="minorHAnsi" w:eastAsiaTheme="minorEastAsia" w:hAnsiTheme="minorHAnsi" w:cstheme="minorBidi"/>
            <w:noProof/>
            <w:sz w:val="22"/>
            <w:szCs w:val="22"/>
          </w:rPr>
          <w:tab/>
        </w:r>
        <w:r w:rsidRPr="00CD0B56">
          <w:rPr>
            <w:rStyle w:val="Hyperlink"/>
            <w:noProof/>
          </w:rPr>
          <w:t>Part 1 Section 17.6.22, type (Section Type)</w:t>
        </w:r>
        <w:r>
          <w:rPr>
            <w:noProof/>
            <w:webHidden/>
          </w:rPr>
          <w:tab/>
        </w:r>
        <w:r>
          <w:rPr>
            <w:noProof/>
            <w:webHidden/>
          </w:rPr>
          <w:fldChar w:fldCharType="begin"/>
        </w:r>
        <w:r>
          <w:rPr>
            <w:noProof/>
            <w:webHidden/>
          </w:rPr>
          <w:instrText xml:space="preserve"> PAGEREF _Toc12260295 \h </w:instrText>
        </w:r>
        <w:r>
          <w:rPr>
            <w:noProof/>
            <w:webHidden/>
          </w:rPr>
        </w:r>
        <w:r>
          <w:rPr>
            <w:noProof/>
            <w:webHidden/>
          </w:rPr>
          <w:fldChar w:fldCharType="separate"/>
        </w:r>
        <w:r>
          <w:rPr>
            <w:noProof/>
            <w:webHidden/>
          </w:rPr>
          <w:t>104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96" w:history="1">
        <w:r w:rsidRPr="00CD0B56">
          <w:rPr>
            <w:rStyle w:val="Hyperlink"/>
            <w:noProof/>
          </w:rPr>
          <w:t>2.1.228</w:t>
        </w:r>
        <w:r>
          <w:rPr>
            <w:rFonts w:asciiTheme="minorHAnsi" w:eastAsiaTheme="minorEastAsia" w:hAnsiTheme="minorHAnsi" w:cstheme="minorBidi"/>
            <w:noProof/>
            <w:sz w:val="22"/>
            <w:szCs w:val="22"/>
          </w:rPr>
          <w:tab/>
        </w:r>
        <w:r w:rsidRPr="00CD0B56">
          <w:rPr>
            <w:rStyle w:val="Hyperlink"/>
            <w:noProof/>
          </w:rPr>
          <w:t>Part 1 Section 17.7.1, Style Inheritance</w:t>
        </w:r>
        <w:r>
          <w:rPr>
            <w:noProof/>
            <w:webHidden/>
          </w:rPr>
          <w:tab/>
        </w:r>
        <w:r>
          <w:rPr>
            <w:noProof/>
            <w:webHidden/>
          </w:rPr>
          <w:fldChar w:fldCharType="begin"/>
        </w:r>
        <w:r>
          <w:rPr>
            <w:noProof/>
            <w:webHidden/>
          </w:rPr>
          <w:instrText xml:space="preserve"> PAGEREF _Toc12260296 \h </w:instrText>
        </w:r>
        <w:r>
          <w:rPr>
            <w:noProof/>
            <w:webHidden/>
          </w:rPr>
        </w:r>
        <w:r>
          <w:rPr>
            <w:noProof/>
            <w:webHidden/>
          </w:rPr>
          <w:fldChar w:fldCharType="separate"/>
        </w:r>
        <w:r>
          <w:rPr>
            <w:noProof/>
            <w:webHidden/>
          </w:rPr>
          <w:t>104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97" w:history="1">
        <w:r w:rsidRPr="00CD0B56">
          <w:rPr>
            <w:rStyle w:val="Hyperlink"/>
            <w:noProof/>
          </w:rPr>
          <w:t>2.1.229</w:t>
        </w:r>
        <w:r>
          <w:rPr>
            <w:rFonts w:asciiTheme="minorHAnsi" w:eastAsiaTheme="minorEastAsia" w:hAnsiTheme="minorHAnsi" w:cstheme="minorBidi"/>
            <w:noProof/>
            <w:sz w:val="22"/>
            <w:szCs w:val="22"/>
          </w:rPr>
          <w:tab/>
        </w:r>
        <w:r w:rsidRPr="00CD0B56">
          <w:rPr>
            <w:rStyle w:val="Hyperlink"/>
            <w:noProof/>
          </w:rPr>
          <w:t>Part 1 Section 17.7.2, Style Hierarchy</w:t>
        </w:r>
        <w:r>
          <w:rPr>
            <w:noProof/>
            <w:webHidden/>
          </w:rPr>
          <w:tab/>
        </w:r>
        <w:r>
          <w:rPr>
            <w:noProof/>
            <w:webHidden/>
          </w:rPr>
          <w:fldChar w:fldCharType="begin"/>
        </w:r>
        <w:r>
          <w:rPr>
            <w:noProof/>
            <w:webHidden/>
          </w:rPr>
          <w:instrText xml:space="preserve"> PAGEREF _Toc12260297 \h </w:instrText>
        </w:r>
        <w:r>
          <w:rPr>
            <w:noProof/>
            <w:webHidden/>
          </w:rPr>
        </w:r>
        <w:r>
          <w:rPr>
            <w:noProof/>
            <w:webHidden/>
          </w:rPr>
          <w:fldChar w:fldCharType="separate"/>
        </w:r>
        <w:r>
          <w:rPr>
            <w:noProof/>
            <w:webHidden/>
          </w:rPr>
          <w:t>104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98" w:history="1">
        <w:r w:rsidRPr="00CD0B56">
          <w:rPr>
            <w:rStyle w:val="Hyperlink"/>
            <w:noProof/>
          </w:rPr>
          <w:t>2.1.230</w:t>
        </w:r>
        <w:r>
          <w:rPr>
            <w:rFonts w:asciiTheme="minorHAnsi" w:eastAsiaTheme="minorEastAsia" w:hAnsiTheme="minorHAnsi" w:cstheme="minorBidi"/>
            <w:noProof/>
            <w:sz w:val="22"/>
            <w:szCs w:val="22"/>
          </w:rPr>
          <w:tab/>
        </w:r>
        <w:r w:rsidRPr="00CD0B56">
          <w:rPr>
            <w:rStyle w:val="Hyperlink"/>
            <w:noProof/>
          </w:rPr>
          <w:t>Part 1 Section 17.7.3, Toggle Properties</w:t>
        </w:r>
        <w:r>
          <w:rPr>
            <w:noProof/>
            <w:webHidden/>
          </w:rPr>
          <w:tab/>
        </w:r>
        <w:r>
          <w:rPr>
            <w:noProof/>
            <w:webHidden/>
          </w:rPr>
          <w:fldChar w:fldCharType="begin"/>
        </w:r>
        <w:r>
          <w:rPr>
            <w:noProof/>
            <w:webHidden/>
          </w:rPr>
          <w:instrText xml:space="preserve"> PAGEREF _Toc12260298 \h </w:instrText>
        </w:r>
        <w:r>
          <w:rPr>
            <w:noProof/>
            <w:webHidden/>
          </w:rPr>
        </w:r>
        <w:r>
          <w:rPr>
            <w:noProof/>
            <w:webHidden/>
          </w:rPr>
          <w:fldChar w:fldCharType="separate"/>
        </w:r>
        <w:r>
          <w:rPr>
            <w:noProof/>
            <w:webHidden/>
          </w:rPr>
          <w:t>105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299" w:history="1">
        <w:r w:rsidRPr="00CD0B56">
          <w:rPr>
            <w:rStyle w:val="Hyperlink"/>
            <w:noProof/>
          </w:rPr>
          <w:t>2.1.231</w:t>
        </w:r>
        <w:r>
          <w:rPr>
            <w:rFonts w:asciiTheme="minorHAnsi" w:eastAsiaTheme="minorEastAsia" w:hAnsiTheme="minorHAnsi" w:cstheme="minorBidi"/>
            <w:noProof/>
            <w:sz w:val="22"/>
            <w:szCs w:val="22"/>
          </w:rPr>
          <w:tab/>
        </w:r>
        <w:r w:rsidRPr="00CD0B56">
          <w:rPr>
            <w:rStyle w:val="Hyperlink"/>
            <w:noProof/>
          </w:rPr>
          <w:t>Part 1 Section 17.7.4.1, aliases (Alternate Style Names)</w:t>
        </w:r>
        <w:r>
          <w:rPr>
            <w:noProof/>
            <w:webHidden/>
          </w:rPr>
          <w:tab/>
        </w:r>
        <w:r>
          <w:rPr>
            <w:noProof/>
            <w:webHidden/>
          </w:rPr>
          <w:fldChar w:fldCharType="begin"/>
        </w:r>
        <w:r>
          <w:rPr>
            <w:noProof/>
            <w:webHidden/>
          </w:rPr>
          <w:instrText xml:space="preserve"> PAGEREF _Toc12260299 \h </w:instrText>
        </w:r>
        <w:r>
          <w:rPr>
            <w:noProof/>
            <w:webHidden/>
          </w:rPr>
        </w:r>
        <w:r>
          <w:rPr>
            <w:noProof/>
            <w:webHidden/>
          </w:rPr>
          <w:fldChar w:fldCharType="separate"/>
        </w:r>
        <w:r>
          <w:rPr>
            <w:noProof/>
            <w:webHidden/>
          </w:rPr>
          <w:t>105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00" w:history="1">
        <w:r w:rsidRPr="00CD0B56">
          <w:rPr>
            <w:rStyle w:val="Hyperlink"/>
            <w:noProof/>
          </w:rPr>
          <w:t>2.1.232</w:t>
        </w:r>
        <w:r>
          <w:rPr>
            <w:rFonts w:asciiTheme="minorHAnsi" w:eastAsiaTheme="minorEastAsia" w:hAnsiTheme="minorHAnsi" w:cstheme="minorBidi"/>
            <w:noProof/>
            <w:sz w:val="22"/>
            <w:szCs w:val="22"/>
          </w:rPr>
          <w:tab/>
        </w:r>
        <w:r w:rsidRPr="00CD0B56">
          <w:rPr>
            <w:rStyle w:val="Hyperlink"/>
            <w:noProof/>
          </w:rPr>
          <w:t>Part 1 Section 17.7.4.2, autoRedefine (Automatically Merge User Formatting Into Style Definition)</w:t>
        </w:r>
        <w:r>
          <w:rPr>
            <w:noProof/>
            <w:webHidden/>
          </w:rPr>
          <w:tab/>
        </w:r>
        <w:r>
          <w:rPr>
            <w:noProof/>
            <w:webHidden/>
          </w:rPr>
          <w:fldChar w:fldCharType="begin"/>
        </w:r>
        <w:r>
          <w:rPr>
            <w:noProof/>
            <w:webHidden/>
          </w:rPr>
          <w:instrText xml:space="preserve"> PAGEREF _Toc12260300 \h </w:instrText>
        </w:r>
        <w:r>
          <w:rPr>
            <w:noProof/>
            <w:webHidden/>
          </w:rPr>
        </w:r>
        <w:r>
          <w:rPr>
            <w:noProof/>
            <w:webHidden/>
          </w:rPr>
          <w:fldChar w:fldCharType="separate"/>
        </w:r>
        <w:r>
          <w:rPr>
            <w:noProof/>
            <w:webHidden/>
          </w:rPr>
          <w:t>105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01" w:history="1">
        <w:r w:rsidRPr="00CD0B56">
          <w:rPr>
            <w:rStyle w:val="Hyperlink"/>
            <w:noProof/>
          </w:rPr>
          <w:t>2.1.233</w:t>
        </w:r>
        <w:r>
          <w:rPr>
            <w:rFonts w:asciiTheme="minorHAnsi" w:eastAsiaTheme="minorEastAsia" w:hAnsiTheme="minorHAnsi" w:cstheme="minorBidi"/>
            <w:noProof/>
            <w:sz w:val="22"/>
            <w:szCs w:val="22"/>
          </w:rPr>
          <w:tab/>
        </w:r>
        <w:r w:rsidRPr="00CD0B56">
          <w:rPr>
            <w:rStyle w:val="Hyperlink"/>
            <w:noProof/>
          </w:rPr>
          <w:t>Part 1 Section 17.7.4.3, basedOn (Parent Style ID)</w:t>
        </w:r>
        <w:r>
          <w:rPr>
            <w:noProof/>
            <w:webHidden/>
          </w:rPr>
          <w:tab/>
        </w:r>
        <w:r>
          <w:rPr>
            <w:noProof/>
            <w:webHidden/>
          </w:rPr>
          <w:fldChar w:fldCharType="begin"/>
        </w:r>
        <w:r>
          <w:rPr>
            <w:noProof/>
            <w:webHidden/>
          </w:rPr>
          <w:instrText xml:space="preserve"> PAGEREF _Toc12260301 \h </w:instrText>
        </w:r>
        <w:r>
          <w:rPr>
            <w:noProof/>
            <w:webHidden/>
          </w:rPr>
        </w:r>
        <w:r>
          <w:rPr>
            <w:noProof/>
            <w:webHidden/>
          </w:rPr>
          <w:fldChar w:fldCharType="separate"/>
        </w:r>
        <w:r>
          <w:rPr>
            <w:noProof/>
            <w:webHidden/>
          </w:rPr>
          <w:t>105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02" w:history="1">
        <w:r w:rsidRPr="00CD0B56">
          <w:rPr>
            <w:rStyle w:val="Hyperlink"/>
            <w:noProof/>
          </w:rPr>
          <w:t>2.1.234</w:t>
        </w:r>
        <w:r>
          <w:rPr>
            <w:rFonts w:asciiTheme="minorHAnsi" w:eastAsiaTheme="minorEastAsia" w:hAnsiTheme="minorHAnsi" w:cstheme="minorBidi"/>
            <w:noProof/>
            <w:sz w:val="22"/>
            <w:szCs w:val="22"/>
          </w:rPr>
          <w:tab/>
        </w:r>
        <w:r w:rsidRPr="00CD0B56">
          <w:rPr>
            <w:rStyle w:val="Hyperlink"/>
            <w:noProof/>
          </w:rPr>
          <w:t>Part 1 Section 17.7.4.5, latentStyles (Latent Style Information)</w:t>
        </w:r>
        <w:r>
          <w:rPr>
            <w:noProof/>
            <w:webHidden/>
          </w:rPr>
          <w:tab/>
        </w:r>
        <w:r>
          <w:rPr>
            <w:noProof/>
            <w:webHidden/>
          </w:rPr>
          <w:fldChar w:fldCharType="begin"/>
        </w:r>
        <w:r>
          <w:rPr>
            <w:noProof/>
            <w:webHidden/>
          </w:rPr>
          <w:instrText xml:space="preserve"> PAGEREF _Toc12260302 \h </w:instrText>
        </w:r>
        <w:r>
          <w:rPr>
            <w:noProof/>
            <w:webHidden/>
          </w:rPr>
        </w:r>
        <w:r>
          <w:rPr>
            <w:noProof/>
            <w:webHidden/>
          </w:rPr>
          <w:fldChar w:fldCharType="separate"/>
        </w:r>
        <w:r>
          <w:rPr>
            <w:noProof/>
            <w:webHidden/>
          </w:rPr>
          <w:t>106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03" w:history="1">
        <w:r w:rsidRPr="00CD0B56">
          <w:rPr>
            <w:rStyle w:val="Hyperlink"/>
            <w:noProof/>
          </w:rPr>
          <w:t>2.1.235</w:t>
        </w:r>
        <w:r>
          <w:rPr>
            <w:rFonts w:asciiTheme="minorHAnsi" w:eastAsiaTheme="minorEastAsia" w:hAnsiTheme="minorHAnsi" w:cstheme="minorBidi"/>
            <w:noProof/>
            <w:sz w:val="22"/>
            <w:szCs w:val="22"/>
          </w:rPr>
          <w:tab/>
        </w:r>
        <w:r w:rsidRPr="00CD0B56">
          <w:rPr>
            <w:rStyle w:val="Hyperlink"/>
            <w:noProof/>
          </w:rPr>
          <w:t>Part 1 Section 17.7.4.6, link (Linked Style Reference)</w:t>
        </w:r>
        <w:r>
          <w:rPr>
            <w:noProof/>
            <w:webHidden/>
          </w:rPr>
          <w:tab/>
        </w:r>
        <w:r>
          <w:rPr>
            <w:noProof/>
            <w:webHidden/>
          </w:rPr>
          <w:fldChar w:fldCharType="begin"/>
        </w:r>
        <w:r>
          <w:rPr>
            <w:noProof/>
            <w:webHidden/>
          </w:rPr>
          <w:instrText xml:space="preserve"> PAGEREF _Toc12260303 \h </w:instrText>
        </w:r>
        <w:r>
          <w:rPr>
            <w:noProof/>
            <w:webHidden/>
          </w:rPr>
        </w:r>
        <w:r>
          <w:rPr>
            <w:noProof/>
            <w:webHidden/>
          </w:rPr>
          <w:fldChar w:fldCharType="separate"/>
        </w:r>
        <w:r>
          <w:rPr>
            <w:noProof/>
            <w:webHidden/>
          </w:rPr>
          <w:t>106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04" w:history="1">
        <w:r w:rsidRPr="00CD0B56">
          <w:rPr>
            <w:rStyle w:val="Hyperlink"/>
            <w:noProof/>
          </w:rPr>
          <w:t>2.1.236</w:t>
        </w:r>
        <w:r>
          <w:rPr>
            <w:rFonts w:asciiTheme="minorHAnsi" w:eastAsiaTheme="minorEastAsia" w:hAnsiTheme="minorHAnsi" w:cstheme="minorBidi"/>
            <w:noProof/>
            <w:sz w:val="22"/>
            <w:szCs w:val="22"/>
          </w:rPr>
          <w:tab/>
        </w:r>
        <w:r w:rsidRPr="00CD0B56">
          <w:rPr>
            <w:rStyle w:val="Hyperlink"/>
            <w:noProof/>
          </w:rPr>
          <w:t>Part 1 Section 17.7.4.8, lsdException (Latent Style Exception)</w:t>
        </w:r>
        <w:r>
          <w:rPr>
            <w:noProof/>
            <w:webHidden/>
          </w:rPr>
          <w:tab/>
        </w:r>
        <w:r>
          <w:rPr>
            <w:noProof/>
            <w:webHidden/>
          </w:rPr>
          <w:fldChar w:fldCharType="begin"/>
        </w:r>
        <w:r>
          <w:rPr>
            <w:noProof/>
            <w:webHidden/>
          </w:rPr>
          <w:instrText xml:space="preserve"> PAGEREF _Toc12260304 \h </w:instrText>
        </w:r>
        <w:r>
          <w:rPr>
            <w:noProof/>
            <w:webHidden/>
          </w:rPr>
        </w:r>
        <w:r>
          <w:rPr>
            <w:noProof/>
            <w:webHidden/>
          </w:rPr>
          <w:fldChar w:fldCharType="separate"/>
        </w:r>
        <w:r>
          <w:rPr>
            <w:noProof/>
            <w:webHidden/>
          </w:rPr>
          <w:t>106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05" w:history="1">
        <w:r w:rsidRPr="00CD0B56">
          <w:rPr>
            <w:rStyle w:val="Hyperlink"/>
            <w:noProof/>
          </w:rPr>
          <w:t>2.1.237</w:t>
        </w:r>
        <w:r>
          <w:rPr>
            <w:rFonts w:asciiTheme="minorHAnsi" w:eastAsiaTheme="minorEastAsia" w:hAnsiTheme="minorHAnsi" w:cstheme="minorBidi"/>
            <w:noProof/>
            <w:sz w:val="22"/>
            <w:szCs w:val="22"/>
          </w:rPr>
          <w:tab/>
        </w:r>
        <w:r w:rsidRPr="00CD0B56">
          <w:rPr>
            <w:rStyle w:val="Hyperlink"/>
            <w:noProof/>
          </w:rPr>
          <w:t>Part 1 Section 17.7.4.9, name (Primary Style Name)</w:t>
        </w:r>
        <w:r>
          <w:rPr>
            <w:noProof/>
            <w:webHidden/>
          </w:rPr>
          <w:tab/>
        </w:r>
        <w:r>
          <w:rPr>
            <w:noProof/>
            <w:webHidden/>
          </w:rPr>
          <w:fldChar w:fldCharType="begin"/>
        </w:r>
        <w:r>
          <w:rPr>
            <w:noProof/>
            <w:webHidden/>
          </w:rPr>
          <w:instrText xml:space="preserve"> PAGEREF _Toc12260305 \h </w:instrText>
        </w:r>
        <w:r>
          <w:rPr>
            <w:noProof/>
            <w:webHidden/>
          </w:rPr>
        </w:r>
        <w:r>
          <w:rPr>
            <w:noProof/>
            <w:webHidden/>
          </w:rPr>
          <w:fldChar w:fldCharType="separate"/>
        </w:r>
        <w:r>
          <w:rPr>
            <w:noProof/>
            <w:webHidden/>
          </w:rPr>
          <w:t>106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06" w:history="1">
        <w:r w:rsidRPr="00CD0B56">
          <w:rPr>
            <w:rStyle w:val="Hyperlink"/>
            <w:noProof/>
          </w:rPr>
          <w:t>2.1.238</w:t>
        </w:r>
        <w:r>
          <w:rPr>
            <w:rFonts w:asciiTheme="minorHAnsi" w:eastAsiaTheme="minorEastAsia" w:hAnsiTheme="minorHAnsi" w:cstheme="minorBidi"/>
            <w:noProof/>
            <w:sz w:val="22"/>
            <w:szCs w:val="22"/>
          </w:rPr>
          <w:tab/>
        </w:r>
        <w:r w:rsidRPr="00CD0B56">
          <w:rPr>
            <w:rStyle w:val="Hyperlink"/>
            <w:noProof/>
          </w:rPr>
          <w:t>Part 1 Section 17.7.4.10, next (Style For Next Paragraph)</w:t>
        </w:r>
        <w:r>
          <w:rPr>
            <w:noProof/>
            <w:webHidden/>
          </w:rPr>
          <w:tab/>
        </w:r>
        <w:r>
          <w:rPr>
            <w:noProof/>
            <w:webHidden/>
          </w:rPr>
          <w:fldChar w:fldCharType="begin"/>
        </w:r>
        <w:r>
          <w:rPr>
            <w:noProof/>
            <w:webHidden/>
          </w:rPr>
          <w:instrText xml:space="preserve"> PAGEREF _Toc12260306 \h </w:instrText>
        </w:r>
        <w:r>
          <w:rPr>
            <w:noProof/>
            <w:webHidden/>
          </w:rPr>
        </w:r>
        <w:r>
          <w:rPr>
            <w:noProof/>
            <w:webHidden/>
          </w:rPr>
          <w:fldChar w:fldCharType="separate"/>
        </w:r>
        <w:r>
          <w:rPr>
            <w:noProof/>
            <w:webHidden/>
          </w:rPr>
          <w:t>115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07" w:history="1">
        <w:r w:rsidRPr="00CD0B56">
          <w:rPr>
            <w:rStyle w:val="Hyperlink"/>
            <w:noProof/>
          </w:rPr>
          <w:t>2.1.239</w:t>
        </w:r>
        <w:r>
          <w:rPr>
            <w:rFonts w:asciiTheme="minorHAnsi" w:eastAsiaTheme="minorEastAsia" w:hAnsiTheme="minorHAnsi" w:cstheme="minorBidi"/>
            <w:noProof/>
            <w:sz w:val="22"/>
            <w:szCs w:val="22"/>
          </w:rPr>
          <w:tab/>
        </w:r>
        <w:r w:rsidRPr="00CD0B56">
          <w:rPr>
            <w:rStyle w:val="Hyperlink"/>
            <w:noProof/>
          </w:rPr>
          <w:t>Part 1 Section 17.7.4.11, personal (E-Mail Message Text Style)</w:t>
        </w:r>
        <w:r>
          <w:rPr>
            <w:noProof/>
            <w:webHidden/>
          </w:rPr>
          <w:tab/>
        </w:r>
        <w:r>
          <w:rPr>
            <w:noProof/>
            <w:webHidden/>
          </w:rPr>
          <w:fldChar w:fldCharType="begin"/>
        </w:r>
        <w:r>
          <w:rPr>
            <w:noProof/>
            <w:webHidden/>
          </w:rPr>
          <w:instrText xml:space="preserve"> PAGEREF _Toc12260307 \h </w:instrText>
        </w:r>
        <w:r>
          <w:rPr>
            <w:noProof/>
            <w:webHidden/>
          </w:rPr>
        </w:r>
        <w:r>
          <w:rPr>
            <w:noProof/>
            <w:webHidden/>
          </w:rPr>
          <w:fldChar w:fldCharType="separate"/>
        </w:r>
        <w:r>
          <w:rPr>
            <w:noProof/>
            <w:webHidden/>
          </w:rPr>
          <w:t>115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08" w:history="1">
        <w:r w:rsidRPr="00CD0B56">
          <w:rPr>
            <w:rStyle w:val="Hyperlink"/>
            <w:noProof/>
          </w:rPr>
          <w:t>2.1.240</w:t>
        </w:r>
        <w:r>
          <w:rPr>
            <w:rFonts w:asciiTheme="minorHAnsi" w:eastAsiaTheme="minorEastAsia" w:hAnsiTheme="minorHAnsi" w:cstheme="minorBidi"/>
            <w:noProof/>
            <w:sz w:val="22"/>
            <w:szCs w:val="22"/>
          </w:rPr>
          <w:tab/>
        </w:r>
        <w:r w:rsidRPr="00CD0B56">
          <w:rPr>
            <w:rStyle w:val="Hyperlink"/>
            <w:noProof/>
          </w:rPr>
          <w:t>Part 1 Section 17.7.4.12, personalCompose (E-Mail Message Composition Style)</w:t>
        </w:r>
        <w:r>
          <w:rPr>
            <w:noProof/>
            <w:webHidden/>
          </w:rPr>
          <w:tab/>
        </w:r>
        <w:r>
          <w:rPr>
            <w:noProof/>
            <w:webHidden/>
          </w:rPr>
          <w:fldChar w:fldCharType="begin"/>
        </w:r>
        <w:r>
          <w:rPr>
            <w:noProof/>
            <w:webHidden/>
          </w:rPr>
          <w:instrText xml:space="preserve"> PAGEREF _Toc12260308 \h </w:instrText>
        </w:r>
        <w:r>
          <w:rPr>
            <w:noProof/>
            <w:webHidden/>
          </w:rPr>
        </w:r>
        <w:r>
          <w:rPr>
            <w:noProof/>
            <w:webHidden/>
          </w:rPr>
          <w:fldChar w:fldCharType="separate"/>
        </w:r>
        <w:r>
          <w:rPr>
            <w:noProof/>
            <w:webHidden/>
          </w:rPr>
          <w:t>115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09" w:history="1">
        <w:r w:rsidRPr="00CD0B56">
          <w:rPr>
            <w:rStyle w:val="Hyperlink"/>
            <w:noProof/>
          </w:rPr>
          <w:t>2.1.241</w:t>
        </w:r>
        <w:r>
          <w:rPr>
            <w:rFonts w:asciiTheme="minorHAnsi" w:eastAsiaTheme="minorEastAsia" w:hAnsiTheme="minorHAnsi" w:cstheme="minorBidi"/>
            <w:noProof/>
            <w:sz w:val="22"/>
            <w:szCs w:val="22"/>
          </w:rPr>
          <w:tab/>
        </w:r>
        <w:r w:rsidRPr="00CD0B56">
          <w:rPr>
            <w:rStyle w:val="Hyperlink"/>
            <w:noProof/>
          </w:rPr>
          <w:t>Part 1 Section 17.7.4.13, personalReply (E-Mail Message Reply Style)</w:t>
        </w:r>
        <w:r>
          <w:rPr>
            <w:noProof/>
            <w:webHidden/>
          </w:rPr>
          <w:tab/>
        </w:r>
        <w:r>
          <w:rPr>
            <w:noProof/>
            <w:webHidden/>
          </w:rPr>
          <w:fldChar w:fldCharType="begin"/>
        </w:r>
        <w:r>
          <w:rPr>
            <w:noProof/>
            <w:webHidden/>
          </w:rPr>
          <w:instrText xml:space="preserve"> PAGEREF _Toc12260309 \h </w:instrText>
        </w:r>
        <w:r>
          <w:rPr>
            <w:noProof/>
            <w:webHidden/>
          </w:rPr>
        </w:r>
        <w:r>
          <w:rPr>
            <w:noProof/>
            <w:webHidden/>
          </w:rPr>
          <w:fldChar w:fldCharType="separate"/>
        </w:r>
        <w:r>
          <w:rPr>
            <w:noProof/>
            <w:webHidden/>
          </w:rPr>
          <w:t>116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10" w:history="1">
        <w:r w:rsidRPr="00CD0B56">
          <w:rPr>
            <w:rStyle w:val="Hyperlink"/>
            <w:noProof/>
          </w:rPr>
          <w:t>2.1.242</w:t>
        </w:r>
        <w:r>
          <w:rPr>
            <w:rFonts w:asciiTheme="minorHAnsi" w:eastAsiaTheme="minorEastAsia" w:hAnsiTheme="minorHAnsi" w:cstheme="minorBidi"/>
            <w:noProof/>
            <w:sz w:val="22"/>
            <w:szCs w:val="22"/>
          </w:rPr>
          <w:tab/>
        </w:r>
        <w:r w:rsidRPr="00CD0B56">
          <w:rPr>
            <w:rStyle w:val="Hyperlink"/>
            <w:noProof/>
          </w:rPr>
          <w:t>Part 1 Section 17.7.4.17, style (Style Definition)</w:t>
        </w:r>
        <w:r>
          <w:rPr>
            <w:noProof/>
            <w:webHidden/>
          </w:rPr>
          <w:tab/>
        </w:r>
        <w:r>
          <w:rPr>
            <w:noProof/>
            <w:webHidden/>
          </w:rPr>
          <w:fldChar w:fldCharType="begin"/>
        </w:r>
        <w:r>
          <w:rPr>
            <w:noProof/>
            <w:webHidden/>
          </w:rPr>
          <w:instrText xml:space="preserve"> PAGEREF _Toc12260310 \h </w:instrText>
        </w:r>
        <w:r>
          <w:rPr>
            <w:noProof/>
            <w:webHidden/>
          </w:rPr>
        </w:r>
        <w:r>
          <w:rPr>
            <w:noProof/>
            <w:webHidden/>
          </w:rPr>
          <w:fldChar w:fldCharType="separate"/>
        </w:r>
        <w:r>
          <w:rPr>
            <w:noProof/>
            <w:webHidden/>
          </w:rPr>
          <w:t>116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11" w:history="1">
        <w:r w:rsidRPr="00CD0B56">
          <w:rPr>
            <w:rStyle w:val="Hyperlink"/>
            <w:noProof/>
          </w:rPr>
          <w:t>2.1.243</w:t>
        </w:r>
        <w:r>
          <w:rPr>
            <w:rFonts w:asciiTheme="minorHAnsi" w:eastAsiaTheme="minorEastAsia" w:hAnsiTheme="minorHAnsi" w:cstheme="minorBidi"/>
            <w:noProof/>
            <w:sz w:val="22"/>
            <w:szCs w:val="22"/>
          </w:rPr>
          <w:tab/>
        </w:r>
        <w:r w:rsidRPr="00CD0B56">
          <w:rPr>
            <w:rStyle w:val="Hyperlink"/>
            <w:noProof/>
          </w:rPr>
          <w:t>Part 1 Section 17.7.4.19, uiPriority (Optional User Interface Sorting Order)</w:t>
        </w:r>
        <w:r>
          <w:rPr>
            <w:noProof/>
            <w:webHidden/>
          </w:rPr>
          <w:tab/>
        </w:r>
        <w:r>
          <w:rPr>
            <w:noProof/>
            <w:webHidden/>
          </w:rPr>
          <w:fldChar w:fldCharType="begin"/>
        </w:r>
        <w:r>
          <w:rPr>
            <w:noProof/>
            <w:webHidden/>
          </w:rPr>
          <w:instrText xml:space="preserve"> PAGEREF _Toc12260311 \h </w:instrText>
        </w:r>
        <w:r>
          <w:rPr>
            <w:noProof/>
            <w:webHidden/>
          </w:rPr>
        </w:r>
        <w:r>
          <w:rPr>
            <w:noProof/>
            <w:webHidden/>
          </w:rPr>
          <w:fldChar w:fldCharType="separate"/>
        </w:r>
        <w:r>
          <w:rPr>
            <w:noProof/>
            <w:webHidden/>
          </w:rPr>
          <w:t>116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12" w:history="1">
        <w:r w:rsidRPr="00CD0B56">
          <w:rPr>
            <w:rStyle w:val="Hyperlink"/>
            <w:noProof/>
          </w:rPr>
          <w:t>2.1.244</w:t>
        </w:r>
        <w:r>
          <w:rPr>
            <w:rFonts w:asciiTheme="minorHAnsi" w:eastAsiaTheme="minorEastAsia" w:hAnsiTheme="minorHAnsi" w:cstheme="minorBidi"/>
            <w:noProof/>
            <w:sz w:val="22"/>
            <w:szCs w:val="22"/>
          </w:rPr>
          <w:tab/>
        </w:r>
        <w:r w:rsidRPr="00CD0B56">
          <w:rPr>
            <w:rStyle w:val="Hyperlink"/>
            <w:noProof/>
          </w:rPr>
          <w:t>Part 1 Section 17.7.5.2, pPr (Paragraph Properties)</w:t>
        </w:r>
        <w:r>
          <w:rPr>
            <w:noProof/>
            <w:webHidden/>
          </w:rPr>
          <w:tab/>
        </w:r>
        <w:r>
          <w:rPr>
            <w:noProof/>
            <w:webHidden/>
          </w:rPr>
          <w:fldChar w:fldCharType="begin"/>
        </w:r>
        <w:r>
          <w:rPr>
            <w:noProof/>
            <w:webHidden/>
          </w:rPr>
          <w:instrText xml:space="preserve"> PAGEREF _Toc12260312 \h </w:instrText>
        </w:r>
        <w:r>
          <w:rPr>
            <w:noProof/>
            <w:webHidden/>
          </w:rPr>
        </w:r>
        <w:r>
          <w:rPr>
            <w:noProof/>
            <w:webHidden/>
          </w:rPr>
          <w:fldChar w:fldCharType="separate"/>
        </w:r>
        <w:r>
          <w:rPr>
            <w:noProof/>
            <w:webHidden/>
          </w:rPr>
          <w:t>116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13" w:history="1">
        <w:r w:rsidRPr="00CD0B56">
          <w:rPr>
            <w:rStyle w:val="Hyperlink"/>
            <w:noProof/>
          </w:rPr>
          <w:t>2.1.245</w:t>
        </w:r>
        <w:r>
          <w:rPr>
            <w:rFonts w:asciiTheme="minorHAnsi" w:eastAsiaTheme="minorEastAsia" w:hAnsiTheme="minorHAnsi" w:cstheme="minorBidi"/>
            <w:noProof/>
            <w:sz w:val="22"/>
            <w:szCs w:val="22"/>
          </w:rPr>
          <w:tab/>
        </w:r>
        <w:r w:rsidRPr="00CD0B56">
          <w:rPr>
            <w:rStyle w:val="Hyperlink"/>
            <w:noProof/>
          </w:rPr>
          <w:t>Part 1 Section 17.7.5.4, rPr (Run Properties)</w:t>
        </w:r>
        <w:r>
          <w:rPr>
            <w:noProof/>
            <w:webHidden/>
          </w:rPr>
          <w:tab/>
        </w:r>
        <w:r>
          <w:rPr>
            <w:noProof/>
            <w:webHidden/>
          </w:rPr>
          <w:fldChar w:fldCharType="begin"/>
        </w:r>
        <w:r>
          <w:rPr>
            <w:noProof/>
            <w:webHidden/>
          </w:rPr>
          <w:instrText xml:space="preserve"> PAGEREF _Toc12260313 \h </w:instrText>
        </w:r>
        <w:r>
          <w:rPr>
            <w:noProof/>
            <w:webHidden/>
          </w:rPr>
        </w:r>
        <w:r>
          <w:rPr>
            <w:noProof/>
            <w:webHidden/>
          </w:rPr>
          <w:fldChar w:fldCharType="separate"/>
        </w:r>
        <w:r>
          <w:rPr>
            <w:noProof/>
            <w:webHidden/>
          </w:rPr>
          <w:t>116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14" w:history="1">
        <w:r w:rsidRPr="00CD0B56">
          <w:rPr>
            <w:rStyle w:val="Hyperlink"/>
            <w:noProof/>
          </w:rPr>
          <w:t>2.1.246</w:t>
        </w:r>
        <w:r>
          <w:rPr>
            <w:rFonts w:asciiTheme="minorHAnsi" w:eastAsiaTheme="minorEastAsia" w:hAnsiTheme="minorHAnsi" w:cstheme="minorBidi"/>
            <w:noProof/>
            <w:sz w:val="22"/>
            <w:szCs w:val="22"/>
          </w:rPr>
          <w:tab/>
        </w:r>
        <w:r w:rsidRPr="00CD0B56">
          <w:rPr>
            <w:rStyle w:val="Hyperlink"/>
            <w:noProof/>
          </w:rPr>
          <w:t>Part 1 Section 17.7.6, Table Styles</w:t>
        </w:r>
        <w:r>
          <w:rPr>
            <w:noProof/>
            <w:webHidden/>
          </w:rPr>
          <w:tab/>
        </w:r>
        <w:r>
          <w:rPr>
            <w:noProof/>
            <w:webHidden/>
          </w:rPr>
          <w:fldChar w:fldCharType="begin"/>
        </w:r>
        <w:r>
          <w:rPr>
            <w:noProof/>
            <w:webHidden/>
          </w:rPr>
          <w:instrText xml:space="preserve"> PAGEREF _Toc12260314 \h </w:instrText>
        </w:r>
        <w:r>
          <w:rPr>
            <w:noProof/>
            <w:webHidden/>
          </w:rPr>
        </w:r>
        <w:r>
          <w:rPr>
            <w:noProof/>
            <w:webHidden/>
          </w:rPr>
          <w:fldChar w:fldCharType="separate"/>
        </w:r>
        <w:r>
          <w:rPr>
            <w:noProof/>
            <w:webHidden/>
          </w:rPr>
          <w:t>116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15" w:history="1">
        <w:r w:rsidRPr="00CD0B56">
          <w:rPr>
            <w:rStyle w:val="Hyperlink"/>
            <w:noProof/>
          </w:rPr>
          <w:t>2.1.247</w:t>
        </w:r>
        <w:r>
          <w:rPr>
            <w:rFonts w:asciiTheme="minorHAnsi" w:eastAsiaTheme="minorEastAsia" w:hAnsiTheme="minorHAnsi" w:cstheme="minorBidi"/>
            <w:noProof/>
            <w:sz w:val="22"/>
            <w:szCs w:val="22"/>
          </w:rPr>
          <w:tab/>
        </w:r>
        <w:r w:rsidRPr="00CD0B56">
          <w:rPr>
            <w:rStyle w:val="Hyperlink"/>
            <w:noProof/>
          </w:rPr>
          <w:t>Part 1 Section 17.7.6.1, pPr (Table Style Conditional Formatting Paragraph Properties)</w:t>
        </w:r>
        <w:r>
          <w:rPr>
            <w:noProof/>
            <w:webHidden/>
          </w:rPr>
          <w:tab/>
        </w:r>
        <w:r>
          <w:rPr>
            <w:noProof/>
            <w:webHidden/>
          </w:rPr>
          <w:fldChar w:fldCharType="begin"/>
        </w:r>
        <w:r>
          <w:rPr>
            <w:noProof/>
            <w:webHidden/>
          </w:rPr>
          <w:instrText xml:space="preserve"> PAGEREF _Toc12260315 \h </w:instrText>
        </w:r>
        <w:r>
          <w:rPr>
            <w:noProof/>
            <w:webHidden/>
          </w:rPr>
        </w:r>
        <w:r>
          <w:rPr>
            <w:noProof/>
            <w:webHidden/>
          </w:rPr>
          <w:fldChar w:fldCharType="separate"/>
        </w:r>
        <w:r>
          <w:rPr>
            <w:noProof/>
            <w:webHidden/>
          </w:rPr>
          <w:t>117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16" w:history="1">
        <w:r w:rsidRPr="00CD0B56">
          <w:rPr>
            <w:rStyle w:val="Hyperlink"/>
            <w:noProof/>
          </w:rPr>
          <w:t>2.1.248</w:t>
        </w:r>
        <w:r>
          <w:rPr>
            <w:rFonts w:asciiTheme="minorHAnsi" w:eastAsiaTheme="minorEastAsia" w:hAnsiTheme="minorHAnsi" w:cstheme="minorBidi"/>
            <w:noProof/>
            <w:sz w:val="22"/>
            <w:szCs w:val="22"/>
          </w:rPr>
          <w:tab/>
        </w:r>
        <w:r w:rsidRPr="00CD0B56">
          <w:rPr>
            <w:rStyle w:val="Hyperlink"/>
            <w:noProof/>
          </w:rPr>
          <w:t>Part 1 Section 17.7.6.2, rPr (Table Style Conditional Formatting Run Properties)</w:t>
        </w:r>
        <w:r>
          <w:rPr>
            <w:noProof/>
            <w:webHidden/>
          </w:rPr>
          <w:tab/>
        </w:r>
        <w:r>
          <w:rPr>
            <w:noProof/>
            <w:webHidden/>
          </w:rPr>
          <w:fldChar w:fldCharType="begin"/>
        </w:r>
        <w:r>
          <w:rPr>
            <w:noProof/>
            <w:webHidden/>
          </w:rPr>
          <w:instrText xml:space="preserve"> PAGEREF _Toc12260316 \h </w:instrText>
        </w:r>
        <w:r>
          <w:rPr>
            <w:noProof/>
            <w:webHidden/>
          </w:rPr>
        </w:r>
        <w:r>
          <w:rPr>
            <w:noProof/>
            <w:webHidden/>
          </w:rPr>
          <w:fldChar w:fldCharType="separate"/>
        </w:r>
        <w:r>
          <w:rPr>
            <w:noProof/>
            <w:webHidden/>
          </w:rPr>
          <w:t>117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17" w:history="1">
        <w:r w:rsidRPr="00CD0B56">
          <w:rPr>
            <w:rStyle w:val="Hyperlink"/>
            <w:noProof/>
          </w:rPr>
          <w:t>2.1.249</w:t>
        </w:r>
        <w:r>
          <w:rPr>
            <w:rFonts w:asciiTheme="minorHAnsi" w:eastAsiaTheme="minorEastAsia" w:hAnsiTheme="minorHAnsi" w:cstheme="minorBidi"/>
            <w:noProof/>
            <w:sz w:val="22"/>
            <w:szCs w:val="22"/>
          </w:rPr>
          <w:tab/>
        </w:r>
        <w:r w:rsidRPr="00CD0B56">
          <w:rPr>
            <w:rStyle w:val="Hyperlink"/>
            <w:noProof/>
          </w:rPr>
          <w:t>Part 1 Section 17.7.6.3, tblPr (Table Style Conditional Formatting Table Properties)</w:t>
        </w:r>
        <w:r>
          <w:rPr>
            <w:noProof/>
            <w:webHidden/>
          </w:rPr>
          <w:tab/>
        </w:r>
        <w:r>
          <w:rPr>
            <w:noProof/>
            <w:webHidden/>
          </w:rPr>
          <w:fldChar w:fldCharType="begin"/>
        </w:r>
        <w:r>
          <w:rPr>
            <w:noProof/>
            <w:webHidden/>
          </w:rPr>
          <w:instrText xml:space="preserve"> PAGEREF _Toc12260317 \h </w:instrText>
        </w:r>
        <w:r>
          <w:rPr>
            <w:noProof/>
            <w:webHidden/>
          </w:rPr>
        </w:r>
        <w:r>
          <w:rPr>
            <w:noProof/>
            <w:webHidden/>
          </w:rPr>
          <w:fldChar w:fldCharType="separate"/>
        </w:r>
        <w:r>
          <w:rPr>
            <w:noProof/>
            <w:webHidden/>
          </w:rPr>
          <w:t>117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18" w:history="1">
        <w:r w:rsidRPr="00CD0B56">
          <w:rPr>
            <w:rStyle w:val="Hyperlink"/>
            <w:noProof/>
          </w:rPr>
          <w:t>2.1.250</w:t>
        </w:r>
        <w:r>
          <w:rPr>
            <w:rFonts w:asciiTheme="minorHAnsi" w:eastAsiaTheme="minorEastAsia" w:hAnsiTheme="minorHAnsi" w:cstheme="minorBidi"/>
            <w:noProof/>
            <w:sz w:val="22"/>
            <w:szCs w:val="22"/>
          </w:rPr>
          <w:tab/>
        </w:r>
        <w:r w:rsidRPr="00CD0B56">
          <w:rPr>
            <w:rStyle w:val="Hyperlink"/>
            <w:noProof/>
          </w:rPr>
          <w:t>Part 1 Section 17.7.6.4, tblPr (Style Table Properties)</w:t>
        </w:r>
        <w:r>
          <w:rPr>
            <w:noProof/>
            <w:webHidden/>
          </w:rPr>
          <w:tab/>
        </w:r>
        <w:r>
          <w:rPr>
            <w:noProof/>
            <w:webHidden/>
          </w:rPr>
          <w:fldChar w:fldCharType="begin"/>
        </w:r>
        <w:r>
          <w:rPr>
            <w:noProof/>
            <w:webHidden/>
          </w:rPr>
          <w:instrText xml:space="preserve"> PAGEREF _Toc12260318 \h </w:instrText>
        </w:r>
        <w:r>
          <w:rPr>
            <w:noProof/>
            <w:webHidden/>
          </w:rPr>
        </w:r>
        <w:r>
          <w:rPr>
            <w:noProof/>
            <w:webHidden/>
          </w:rPr>
          <w:fldChar w:fldCharType="separate"/>
        </w:r>
        <w:r>
          <w:rPr>
            <w:noProof/>
            <w:webHidden/>
          </w:rPr>
          <w:t>117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19" w:history="1">
        <w:r w:rsidRPr="00CD0B56">
          <w:rPr>
            <w:rStyle w:val="Hyperlink"/>
            <w:noProof/>
          </w:rPr>
          <w:t>2.1.251</w:t>
        </w:r>
        <w:r>
          <w:rPr>
            <w:rFonts w:asciiTheme="minorHAnsi" w:eastAsiaTheme="minorEastAsia" w:hAnsiTheme="minorHAnsi" w:cstheme="minorBidi"/>
            <w:noProof/>
            <w:sz w:val="22"/>
            <w:szCs w:val="22"/>
          </w:rPr>
          <w:tab/>
        </w:r>
        <w:r w:rsidRPr="00CD0B56">
          <w:rPr>
            <w:rStyle w:val="Hyperlink"/>
            <w:noProof/>
          </w:rPr>
          <w:t>Part 1 Section 17.7.6.5, tblStyleColBandSize (Number of Columns in Column Band)</w:t>
        </w:r>
        <w:r>
          <w:rPr>
            <w:noProof/>
            <w:webHidden/>
          </w:rPr>
          <w:tab/>
        </w:r>
        <w:r>
          <w:rPr>
            <w:noProof/>
            <w:webHidden/>
          </w:rPr>
          <w:fldChar w:fldCharType="begin"/>
        </w:r>
        <w:r>
          <w:rPr>
            <w:noProof/>
            <w:webHidden/>
          </w:rPr>
          <w:instrText xml:space="preserve"> PAGEREF _Toc12260319 \h </w:instrText>
        </w:r>
        <w:r>
          <w:rPr>
            <w:noProof/>
            <w:webHidden/>
          </w:rPr>
        </w:r>
        <w:r>
          <w:rPr>
            <w:noProof/>
            <w:webHidden/>
          </w:rPr>
          <w:fldChar w:fldCharType="separate"/>
        </w:r>
        <w:r>
          <w:rPr>
            <w:noProof/>
            <w:webHidden/>
          </w:rPr>
          <w:t>118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20" w:history="1">
        <w:r w:rsidRPr="00CD0B56">
          <w:rPr>
            <w:rStyle w:val="Hyperlink"/>
            <w:noProof/>
          </w:rPr>
          <w:t>2.1.252</w:t>
        </w:r>
        <w:r>
          <w:rPr>
            <w:rFonts w:asciiTheme="minorHAnsi" w:eastAsiaTheme="minorEastAsia" w:hAnsiTheme="minorHAnsi" w:cstheme="minorBidi"/>
            <w:noProof/>
            <w:sz w:val="22"/>
            <w:szCs w:val="22"/>
          </w:rPr>
          <w:tab/>
        </w:r>
        <w:r w:rsidRPr="00CD0B56">
          <w:rPr>
            <w:rStyle w:val="Hyperlink"/>
            <w:noProof/>
          </w:rPr>
          <w:t>Part 1 Section 17.7.6.6, tblStylePr (Style Conditional Table Formatting Properties)</w:t>
        </w:r>
        <w:r>
          <w:rPr>
            <w:noProof/>
            <w:webHidden/>
          </w:rPr>
          <w:tab/>
        </w:r>
        <w:r>
          <w:rPr>
            <w:noProof/>
            <w:webHidden/>
          </w:rPr>
          <w:fldChar w:fldCharType="begin"/>
        </w:r>
        <w:r>
          <w:rPr>
            <w:noProof/>
            <w:webHidden/>
          </w:rPr>
          <w:instrText xml:space="preserve"> PAGEREF _Toc12260320 \h </w:instrText>
        </w:r>
        <w:r>
          <w:rPr>
            <w:noProof/>
            <w:webHidden/>
          </w:rPr>
        </w:r>
        <w:r>
          <w:rPr>
            <w:noProof/>
            <w:webHidden/>
          </w:rPr>
          <w:fldChar w:fldCharType="separate"/>
        </w:r>
        <w:r>
          <w:rPr>
            <w:noProof/>
            <w:webHidden/>
          </w:rPr>
          <w:t>118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21" w:history="1">
        <w:r w:rsidRPr="00CD0B56">
          <w:rPr>
            <w:rStyle w:val="Hyperlink"/>
            <w:noProof/>
          </w:rPr>
          <w:t>2.1.253</w:t>
        </w:r>
        <w:r>
          <w:rPr>
            <w:rFonts w:asciiTheme="minorHAnsi" w:eastAsiaTheme="minorEastAsia" w:hAnsiTheme="minorHAnsi" w:cstheme="minorBidi"/>
            <w:noProof/>
            <w:sz w:val="22"/>
            <w:szCs w:val="22"/>
          </w:rPr>
          <w:tab/>
        </w:r>
        <w:r w:rsidRPr="00CD0B56">
          <w:rPr>
            <w:rStyle w:val="Hyperlink"/>
            <w:noProof/>
          </w:rPr>
          <w:t>Part 1 Section 17.7.6.7, tblStyleRowBandSize (Number of Rows in Row Band)</w:t>
        </w:r>
        <w:r>
          <w:rPr>
            <w:noProof/>
            <w:webHidden/>
          </w:rPr>
          <w:tab/>
        </w:r>
        <w:r>
          <w:rPr>
            <w:noProof/>
            <w:webHidden/>
          </w:rPr>
          <w:fldChar w:fldCharType="begin"/>
        </w:r>
        <w:r>
          <w:rPr>
            <w:noProof/>
            <w:webHidden/>
          </w:rPr>
          <w:instrText xml:space="preserve"> PAGEREF _Toc12260321 \h </w:instrText>
        </w:r>
        <w:r>
          <w:rPr>
            <w:noProof/>
            <w:webHidden/>
          </w:rPr>
        </w:r>
        <w:r>
          <w:rPr>
            <w:noProof/>
            <w:webHidden/>
          </w:rPr>
          <w:fldChar w:fldCharType="separate"/>
        </w:r>
        <w:r>
          <w:rPr>
            <w:noProof/>
            <w:webHidden/>
          </w:rPr>
          <w:t>118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22" w:history="1">
        <w:r w:rsidRPr="00CD0B56">
          <w:rPr>
            <w:rStyle w:val="Hyperlink"/>
            <w:noProof/>
          </w:rPr>
          <w:t>2.1.254</w:t>
        </w:r>
        <w:r>
          <w:rPr>
            <w:rFonts w:asciiTheme="minorHAnsi" w:eastAsiaTheme="minorEastAsia" w:hAnsiTheme="minorHAnsi" w:cstheme="minorBidi"/>
            <w:noProof/>
            <w:sz w:val="22"/>
            <w:szCs w:val="22"/>
          </w:rPr>
          <w:tab/>
        </w:r>
        <w:r w:rsidRPr="00CD0B56">
          <w:rPr>
            <w:rStyle w:val="Hyperlink"/>
            <w:noProof/>
          </w:rPr>
          <w:t>Part 1 Section 17.7.6.8, tcPr (Table Style Conditional Formatting Table Cell Properties)</w:t>
        </w:r>
        <w:r>
          <w:rPr>
            <w:noProof/>
            <w:webHidden/>
          </w:rPr>
          <w:tab/>
        </w:r>
        <w:r>
          <w:rPr>
            <w:noProof/>
            <w:webHidden/>
          </w:rPr>
          <w:fldChar w:fldCharType="begin"/>
        </w:r>
        <w:r>
          <w:rPr>
            <w:noProof/>
            <w:webHidden/>
          </w:rPr>
          <w:instrText xml:space="preserve"> PAGEREF _Toc12260322 \h </w:instrText>
        </w:r>
        <w:r>
          <w:rPr>
            <w:noProof/>
            <w:webHidden/>
          </w:rPr>
        </w:r>
        <w:r>
          <w:rPr>
            <w:noProof/>
            <w:webHidden/>
          </w:rPr>
          <w:fldChar w:fldCharType="separate"/>
        </w:r>
        <w:r>
          <w:rPr>
            <w:noProof/>
            <w:webHidden/>
          </w:rPr>
          <w:t>119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23" w:history="1">
        <w:r w:rsidRPr="00CD0B56">
          <w:rPr>
            <w:rStyle w:val="Hyperlink"/>
            <w:noProof/>
          </w:rPr>
          <w:t>2.1.255</w:t>
        </w:r>
        <w:r>
          <w:rPr>
            <w:rFonts w:asciiTheme="minorHAnsi" w:eastAsiaTheme="minorEastAsia" w:hAnsiTheme="minorHAnsi" w:cstheme="minorBidi"/>
            <w:noProof/>
            <w:sz w:val="22"/>
            <w:szCs w:val="22"/>
          </w:rPr>
          <w:tab/>
        </w:r>
        <w:r w:rsidRPr="00CD0B56">
          <w:rPr>
            <w:rStyle w:val="Hyperlink"/>
            <w:noProof/>
          </w:rPr>
          <w:t>Part 1 Section 17.7.6.9, tcPr (Style Table Cell Properties)</w:t>
        </w:r>
        <w:r>
          <w:rPr>
            <w:noProof/>
            <w:webHidden/>
          </w:rPr>
          <w:tab/>
        </w:r>
        <w:r>
          <w:rPr>
            <w:noProof/>
            <w:webHidden/>
          </w:rPr>
          <w:fldChar w:fldCharType="begin"/>
        </w:r>
        <w:r>
          <w:rPr>
            <w:noProof/>
            <w:webHidden/>
          </w:rPr>
          <w:instrText xml:space="preserve"> PAGEREF _Toc12260323 \h </w:instrText>
        </w:r>
        <w:r>
          <w:rPr>
            <w:noProof/>
            <w:webHidden/>
          </w:rPr>
        </w:r>
        <w:r>
          <w:rPr>
            <w:noProof/>
            <w:webHidden/>
          </w:rPr>
          <w:fldChar w:fldCharType="separate"/>
        </w:r>
        <w:r>
          <w:rPr>
            <w:noProof/>
            <w:webHidden/>
          </w:rPr>
          <w:t>119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24" w:history="1">
        <w:r w:rsidRPr="00CD0B56">
          <w:rPr>
            <w:rStyle w:val="Hyperlink"/>
            <w:noProof/>
          </w:rPr>
          <w:t>2.1.256</w:t>
        </w:r>
        <w:r>
          <w:rPr>
            <w:rFonts w:asciiTheme="minorHAnsi" w:eastAsiaTheme="minorEastAsia" w:hAnsiTheme="minorHAnsi" w:cstheme="minorBidi"/>
            <w:noProof/>
            <w:sz w:val="22"/>
            <w:szCs w:val="22"/>
          </w:rPr>
          <w:tab/>
        </w:r>
        <w:r w:rsidRPr="00CD0B56">
          <w:rPr>
            <w:rStyle w:val="Hyperlink"/>
            <w:noProof/>
          </w:rPr>
          <w:t>Part 1 Section 17.7.6.10, trPr (Table Style Conditional Formatting Table Row Properties)</w:t>
        </w:r>
        <w:r>
          <w:rPr>
            <w:noProof/>
            <w:webHidden/>
          </w:rPr>
          <w:tab/>
        </w:r>
        <w:r>
          <w:rPr>
            <w:noProof/>
            <w:webHidden/>
          </w:rPr>
          <w:fldChar w:fldCharType="begin"/>
        </w:r>
        <w:r>
          <w:rPr>
            <w:noProof/>
            <w:webHidden/>
          </w:rPr>
          <w:instrText xml:space="preserve"> PAGEREF _Toc12260324 \h </w:instrText>
        </w:r>
        <w:r>
          <w:rPr>
            <w:noProof/>
            <w:webHidden/>
          </w:rPr>
        </w:r>
        <w:r>
          <w:rPr>
            <w:noProof/>
            <w:webHidden/>
          </w:rPr>
          <w:fldChar w:fldCharType="separate"/>
        </w:r>
        <w:r>
          <w:rPr>
            <w:noProof/>
            <w:webHidden/>
          </w:rPr>
          <w:t>119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25" w:history="1">
        <w:r w:rsidRPr="00CD0B56">
          <w:rPr>
            <w:rStyle w:val="Hyperlink"/>
            <w:noProof/>
          </w:rPr>
          <w:t>2.1.257</w:t>
        </w:r>
        <w:r>
          <w:rPr>
            <w:rFonts w:asciiTheme="minorHAnsi" w:eastAsiaTheme="minorEastAsia" w:hAnsiTheme="minorHAnsi" w:cstheme="minorBidi"/>
            <w:noProof/>
            <w:sz w:val="22"/>
            <w:szCs w:val="22"/>
          </w:rPr>
          <w:tab/>
        </w:r>
        <w:r w:rsidRPr="00CD0B56">
          <w:rPr>
            <w:rStyle w:val="Hyperlink"/>
            <w:noProof/>
          </w:rPr>
          <w:t>Part 1 Section 17.7.6.11, trPr (Style Table Row Properties)</w:t>
        </w:r>
        <w:r>
          <w:rPr>
            <w:noProof/>
            <w:webHidden/>
          </w:rPr>
          <w:tab/>
        </w:r>
        <w:r>
          <w:rPr>
            <w:noProof/>
            <w:webHidden/>
          </w:rPr>
          <w:fldChar w:fldCharType="begin"/>
        </w:r>
        <w:r>
          <w:rPr>
            <w:noProof/>
            <w:webHidden/>
          </w:rPr>
          <w:instrText xml:space="preserve"> PAGEREF _Toc12260325 \h </w:instrText>
        </w:r>
        <w:r>
          <w:rPr>
            <w:noProof/>
            <w:webHidden/>
          </w:rPr>
        </w:r>
        <w:r>
          <w:rPr>
            <w:noProof/>
            <w:webHidden/>
          </w:rPr>
          <w:fldChar w:fldCharType="separate"/>
        </w:r>
        <w:r>
          <w:rPr>
            <w:noProof/>
            <w:webHidden/>
          </w:rPr>
          <w:t>119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26" w:history="1">
        <w:r w:rsidRPr="00CD0B56">
          <w:rPr>
            <w:rStyle w:val="Hyperlink"/>
            <w:noProof/>
          </w:rPr>
          <w:t>2.1.258</w:t>
        </w:r>
        <w:r>
          <w:rPr>
            <w:rFonts w:asciiTheme="minorHAnsi" w:eastAsiaTheme="minorEastAsia" w:hAnsiTheme="minorHAnsi" w:cstheme="minorBidi"/>
            <w:noProof/>
            <w:sz w:val="22"/>
            <w:szCs w:val="22"/>
          </w:rPr>
          <w:tab/>
        </w:r>
        <w:r w:rsidRPr="00CD0B56">
          <w:rPr>
            <w:rStyle w:val="Hyperlink"/>
            <w:noProof/>
          </w:rPr>
          <w:t>Part 1 Section 17.7.8, Paragraph Styles</w:t>
        </w:r>
        <w:r>
          <w:rPr>
            <w:noProof/>
            <w:webHidden/>
          </w:rPr>
          <w:tab/>
        </w:r>
        <w:r>
          <w:rPr>
            <w:noProof/>
            <w:webHidden/>
          </w:rPr>
          <w:fldChar w:fldCharType="begin"/>
        </w:r>
        <w:r>
          <w:rPr>
            <w:noProof/>
            <w:webHidden/>
          </w:rPr>
          <w:instrText xml:space="preserve"> PAGEREF _Toc12260326 \h </w:instrText>
        </w:r>
        <w:r>
          <w:rPr>
            <w:noProof/>
            <w:webHidden/>
          </w:rPr>
        </w:r>
        <w:r>
          <w:rPr>
            <w:noProof/>
            <w:webHidden/>
          </w:rPr>
          <w:fldChar w:fldCharType="separate"/>
        </w:r>
        <w:r>
          <w:rPr>
            <w:noProof/>
            <w:webHidden/>
          </w:rPr>
          <w:t>119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27" w:history="1">
        <w:r w:rsidRPr="00CD0B56">
          <w:rPr>
            <w:rStyle w:val="Hyperlink"/>
            <w:noProof/>
          </w:rPr>
          <w:t>2.1.259</w:t>
        </w:r>
        <w:r>
          <w:rPr>
            <w:rFonts w:asciiTheme="minorHAnsi" w:eastAsiaTheme="minorEastAsia" w:hAnsiTheme="minorHAnsi" w:cstheme="minorBidi"/>
            <w:noProof/>
            <w:sz w:val="22"/>
            <w:szCs w:val="22"/>
          </w:rPr>
          <w:tab/>
        </w:r>
        <w:r w:rsidRPr="00CD0B56">
          <w:rPr>
            <w:rStyle w:val="Hyperlink"/>
            <w:noProof/>
          </w:rPr>
          <w:t>Part 1 Section 17.7.8.2, pPr (Style Paragraph Properties)</w:t>
        </w:r>
        <w:r>
          <w:rPr>
            <w:noProof/>
            <w:webHidden/>
          </w:rPr>
          <w:tab/>
        </w:r>
        <w:r>
          <w:rPr>
            <w:noProof/>
            <w:webHidden/>
          </w:rPr>
          <w:fldChar w:fldCharType="begin"/>
        </w:r>
        <w:r>
          <w:rPr>
            <w:noProof/>
            <w:webHidden/>
          </w:rPr>
          <w:instrText xml:space="preserve"> PAGEREF _Toc12260327 \h </w:instrText>
        </w:r>
        <w:r>
          <w:rPr>
            <w:noProof/>
            <w:webHidden/>
          </w:rPr>
        </w:r>
        <w:r>
          <w:rPr>
            <w:noProof/>
            <w:webHidden/>
          </w:rPr>
          <w:fldChar w:fldCharType="separate"/>
        </w:r>
        <w:r>
          <w:rPr>
            <w:noProof/>
            <w:webHidden/>
          </w:rPr>
          <w:t>120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28" w:history="1">
        <w:r w:rsidRPr="00CD0B56">
          <w:rPr>
            <w:rStyle w:val="Hyperlink"/>
            <w:noProof/>
          </w:rPr>
          <w:t>2.1.260</w:t>
        </w:r>
        <w:r>
          <w:rPr>
            <w:rFonts w:asciiTheme="minorHAnsi" w:eastAsiaTheme="minorEastAsia" w:hAnsiTheme="minorHAnsi" w:cstheme="minorBidi"/>
            <w:noProof/>
            <w:sz w:val="22"/>
            <w:szCs w:val="22"/>
          </w:rPr>
          <w:tab/>
        </w:r>
        <w:r w:rsidRPr="00CD0B56">
          <w:rPr>
            <w:rStyle w:val="Hyperlink"/>
            <w:noProof/>
          </w:rPr>
          <w:t>Part 1 Section 17.7.9.1, rPr (Run Properties)</w:t>
        </w:r>
        <w:r>
          <w:rPr>
            <w:noProof/>
            <w:webHidden/>
          </w:rPr>
          <w:tab/>
        </w:r>
        <w:r>
          <w:rPr>
            <w:noProof/>
            <w:webHidden/>
          </w:rPr>
          <w:fldChar w:fldCharType="begin"/>
        </w:r>
        <w:r>
          <w:rPr>
            <w:noProof/>
            <w:webHidden/>
          </w:rPr>
          <w:instrText xml:space="preserve"> PAGEREF _Toc12260328 \h </w:instrText>
        </w:r>
        <w:r>
          <w:rPr>
            <w:noProof/>
            <w:webHidden/>
          </w:rPr>
        </w:r>
        <w:r>
          <w:rPr>
            <w:noProof/>
            <w:webHidden/>
          </w:rPr>
          <w:fldChar w:fldCharType="separate"/>
        </w:r>
        <w:r>
          <w:rPr>
            <w:noProof/>
            <w:webHidden/>
          </w:rPr>
          <w:t>120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29" w:history="1">
        <w:r w:rsidRPr="00CD0B56">
          <w:rPr>
            <w:rStyle w:val="Hyperlink"/>
            <w:noProof/>
          </w:rPr>
          <w:t>2.1.261</w:t>
        </w:r>
        <w:r>
          <w:rPr>
            <w:rFonts w:asciiTheme="minorHAnsi" w:eastAsiaTheme="minorEastAsia" w:hAnsiTheme="minorHAnsi" w:cstheme="minorBidi"/>
            <w:noProof/>
            <w:sz w:val="22"/>
            <w:szCs w:val="22"/>
          </w:rPr>
          <w:tab/>
        </w:r>
        <w:r w:rsidRPr="00CD0B56">
          <w:rPr>
            <w:rStyle w:val="Hyperlink"/>
            <w:noProof/>
          </w:rPr>
          <w:t>Part 1 Section 17.8, Fonts</w:t>
        </w:r>
        <w:r>
          <w:rPr>
            <w:noProof/>
            <w:webHidden/>
          </w:rPr>
          <w:tab/>
        </w:r>
        <w:r>
          <w:rPr>
            <w:noProof/>
            <w:webHidden/>
          </w:rPr>
          <w:fldChar w:fldCharType="begin"/>
        </w:r>
        <w:r>
          <w:rPr>
            <w:noProof/>
            <w:webHidden/>
          </w:rPr>
          <w:instrText xml:space="preserve"> PAGEREF _Toc12260329 \h </w:instrText>
        </w:r>
        <w:r>
          <w:rPr>
            <w:noProof/>
            <w:webHidden/>
          </w:rPr>
        </w:r>
        <w:r>
          <w:rPr>
            <w:noProof/>
            <w:webHidden/>
          </w:rPr>
          <w:fldChar w:fldCharType="separate"/>
        </w:r>
        <w:r>
          <w:rPr>
            <w:noProof/>
            <w:webHidden/>
          </w:rPr>
          <w:t>120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30" w:history="1">
        <w:r w:rsidRPr="00CD0B56">
          <w:rPr>
            <w:rStyle w:val="Hyperlink"/>
            <w:noProof/>
          </w:rPr>
          <w:t>2.1.262</w:t>
        </w:r>
        <w:r>
          <w:rPr>
            <w:rFonts w:asciiTheme="minorHAnsi" w:eastAsiaTheme="minorEastAsia" w:hAnsiTheme="minorHAnsi" w:cstheme="minorBidi"/>
            <w:noProof/>
            <w:sz w:val="22"/>
            <w:szCs w:val="22"/>
          </w:rPr>
          <w:tab/>
        </w:r>
        <w:r w:rsidRPr="00CD0B56">
          <w:rPr>
            <w:rStyle w:val="Hyperlink"/>
            <w:noProof/>
          </w:rPr>
          <w:t>Part 1 Section 17.8.3.1, altName (Alternate Names for Font)</w:t>
        </w:r>
        <w:r>
          <w:rPr>
            <w:noProof/>
            <w:webHidden/>
          </w:rPr>
          <w:tab/>
        </w:r>
        <w:r>
          <w:rPr>
            <w:noProof/>
            <w:webHidden/>
          </w:rPr>
          <w:fldChar w:fldCharType="begin"/>
        </w:r>
        <w:r>
          <w:rPr>
            <w:noProof/>
            <w:webHidden/>
          </w:rPr>
          <w:instrText xml:space="preserve"> PAGEREF _Toc12260330 \h </w:instrText>
        </w:r>
        <w:r>
          <w:rPr>
            <w:noProof/>
            <w:webHidden/>
          </w:rPr>
        </w:r>
        <w:r>
          <w:rPr>
            <w:noProof/>
            <w:webHidden/>
          </w:rPr>
          <w:fldChar w:fldCharType="separate"/>
        </w:r>
        <w:r>
          <w:rPr>
            <w:noProof/>
            <w:webHidden/>
          </w:rPr>
          <w:t>120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31" w:history="1">
        <w:r w:rsidRPr="00CD0B56">
          <w:rPr>
            <w:rStyle w:val="Hyperlink"/>
            <w:noProof/>
          </w:rPr>
          <w:t>2.1.263</w:t>
        </w:r>
        <w:r>
          <w:rPr>
            <w:rFonts w:asciiTheme="minorHAnsi" w:eastAsiaTheme="minorEastAsia" w:hAnsiTheme="minorHAnsi" w:cstheme="minorBidi"/>
            <w:noProof/>
            <w:sz w:val="22"/>
            <w:szCs w:val="22"/>
          </w:rPr>
          <w:tab/>
        </w:r>
        <w:r w:rsidRPr="00CD0B56">
          <w:rPr>
            <w:rStyle w:val="Hyperlink"/>
            <w:noProof/>
          </w:rPr>
          <w:t>Part 1 Section 17.8.3.2, charset (Character Set Supported By Font)</w:t>
        </w:r>
        <w:r>
          <w:rPr>
            <w:noProof/>
            <w:webHidden/>
          </w:rPr>
          <w:tab/>
        </w:r>
        <w:r>
          <w:rPr>
            <w:noProof/>
            <w:webHidden/>
          </w:rPr>
          <w:fldChar w:fldCharType="begin"/>
        </w:r>
        <w:r>
          <w:rPr>
            <w:noProof/>
            <w:webHidden/>
          </w:rPr>
          <w:instrText xml:space="preserve"> PAGEREF _Toc12260331 \h </w:instrText>
        </w:r>
        <w:r>
          <w:rPr>
            <w:noProof/>
            <w:webHidden/>
          </w:rPr>
        </w:r>
        <w:r>
          <w:rPr>
            <w:noProof/>
            <w:webHidden/>
          </w:rPr>
          <w:fldChar w:fldCharType="separate"/>
        </w:r>
        <w:r>
          <w:rPr>
            <w:noProof/>
            <w:webHidden/>
          </w:rPr>
          <w:t>121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32" w:history="1">
        <w:r w:rsidRPr="00CD0B56">
          <w:rPr>
            <w:rStyle w:val="Hyperlink"/>
            <w:noProof/>
          </w:rPr>
          <w:t>2.1.264</w:t>
        </w:r>
        <w:r>
          <w:rPr>
            <w:rFonts w:asciiTheme="minorHAnsi" w:eastAsiaTheme="minorEastAsia" w:hAnsiTheme="minorHAnsi" w:cstheme="minorBidi"/>
            <w:noProof/>
            <w:sz w:val="22"/>
            <w:szCs w:val="22"/>
          </w:rPr>
          <w:tab/>
        </w:r>
        <w:r w:rsidRPr="00CD0B56">
          <w:rPr>
            <w:rStyle w:val="Hyperlink"/>
            <w:noProof/>
          </w:rPr>
          <w:t>Part 1 Section 17.8.3.3, embedBold (Bold Style Font Style Embedding)</w:t>
        </w:r>
        <w:r>
          <w:rPr>
            <w:noProof/>
            <w:webHidden/>
          </w:rPr>
          <w:tab/>
        </w:r>
        <w:r>
          <w:rPr>
            <w:noProof/>
            <w:webHidden/>
          </w:rPr>
          <w:fldChar w:fldCharType="begin"/>
        </w:r>
        <w:r>
          <w:rPr>
            <w:noProof/>
            <w:webHidden/>
          </w:rPr>
          <w:instrText xml:space="preserve"> PAGEREF _Toc12260332 \h </w:instrText>
        </w:r>
        <w:r>
          <w:rPr>
            <w:noProof/>
            <w:webHidden/>
          </w:rPr>
        </w:r>
        <w:r>
          <w:rPr>
            <w:noProof/>
            <w:webHidden/>
          </w:rPr>
          <w:fldChar w:fldCharType="separate"/>
        </w:r>
        <w:r>
          <w:rPr>
            <w:noProof/>
            <w:webHidden/>
          </w:rPr>
          <w:t>121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33" w:history="1">
        <w:r w:rsidRPr="00CD0B56">
          <w:rPr>
            <w:rStyle w:val="Hyperlink"/>
            <w:noProof/>
          </w:rPr>
          <w:t>2.1.265</w:t>
        </w:r>
        <w:r>
          <w:rPr>
            <w:rFonts w:asciiTheme="minorHAnsi" w:eastAsiaTheme="minorEastAsia" w:hAnsiTheme="minorHAnsi" w:cstheme="minorBidi"/>
            <w:noProof/>
            <w:sz w:val="22"/>
            <w:szCs w:val="22"/>
          </w:rPr>
          <w:tab/>
        </w:r>
        <w:r w:rsidRPr="00CD0B56">
          <w:rPr>
            <w:rStyle w:val="Hyperlink"/>
            <w:noProof/>
          </w:rPr>
          <w:t>Part 1 Section 17.8.3.4, embedBoldItalic (Bold Italic Font Style Embedding)</w:t>
        </w:r>
        <w:r>
          <w:rPr>
            <w:noProof/>
            <w:webHidden/>
          </w:rPr>
          <w:tab/>
        </w:r>
        <w:r>
          <w:rPr>
            <w:noProof/>
            <w:webHidden/>
          </w:rPr>
          <w:fldChar w:fldCharType="begin"/>
        </w:r>
        <w:r>
          <w:rPr>
            <w:noProof/>
            <w:webHidden/>
          </w:rPr>
          <w:instrText xml:space="preserve"> PAGEREF _Toc12260333 \h </w:instrText>
        </w:r>
        <w:r>
          <w:rPr>
            <w:noProof/>
            <w:webHidden/>
          </w:rPr>
        </w:r>
        <w:r>
          <w:rPr>
            <w:noProof/>
            <w:webHidden/>
          </w:rPr>
          <w:fldChar w:fldCharType="separate"/>
        </w:r>
        <w:r>
          <w:rPr>
            <w:noProof/>
            <w:webHidden/>
          </w:rPr>
          <w:t>121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34" w:history="1">
        <w:r w:rsidRPr="00CD0B56">
          <w:rPr>
            <w:rStyle w:val="Hyperlink"/>
            <w:noProof/>
          </w:rPr>
          <w:t>2.1.266</w:t>
        </w:r>
        <w:r>
          <w:rPr>
            <w:rFonts w:asciiTheme="minorHAnsi" w:eastAsiaTheme="minorEastAsia" w:hAnsiTheme="minorHAnsi" w:cstheme="minorBidi"/>
            <w:noProof/>
            <w:sz w:val="22"/>
            <w:szCs w:val="22"/>
          </w:rPr>
          <w:tab/>
        </w:r>
        <w:r w:rsidRPr="00CD0B56">
          <w:rPr>
            <w:rStyle w:val="Hyperlink"/>
            <w:noProof/>
          </w:rPr>
          <w:t>Part 1 Section 17.8.3.5, embedItalic (Italic Font Style Embedding)</w:t>
        </w:r>
        <w:r>
          <w:rPr>
            <w:noProof/>
            <w:webHidden/>
          </w:rPr>
          <w:tab/>
        </w:r>
        <w:r>
          <w:rPr>
            <w:noProof/>
            <w:webHidden/>
          </w:rPr>
          <w:fldChar w:fldCharType="begin"/>
        </w:r>
        <w:r>
          <w:rPr>
            <w:noProof/>
            <w:webHidden/>
          </w:rPr>
          <w:instrText xml:space="preserve"> PAGEREF _Toc12260334 \h </w:instrText>
        </w:r>
        <w:r>
          <w:rPr>
            <w:noProof/>
            <w:webHidden/>
          </w:rPr>
        </w:r>
        <w:r>
          <w:rPr>
            <w:noProof/>
            <w:webHidden/>
          </w:rPr>
          <w:fldChar w:fldCharType="separate"/>
        </w:r>
        <w:r>
          <w:rPr>
            <w:noProof/>
            <w:webHidden/>
          </w:rPr>
          <w:t>121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35" w:history="1">
        <w:r w:rsidRPr="00CD0B56">
          <w:rPr>
            <w:rStyle w:val="Hyperlink"/>
            <w:noProof/>
          </w:rPr>
          <w:t>2.1.267</w:t>
        </w:r>
        <w:r>
          <w:rPr>
            <w:rFonts w:asciiTheme="minorHAnsi" w:eastAsiaTheme="minorEastAsia" w:hAnsiTheme="minorHAnsi" w:cstheme="minorBidi"/>
            <w:noProof/>
            <w:sz w:val="22"/>
            <w:szCs w:val="22"/>
          </w:rPr>
          <w:tab/>
        </w:r>
        <w:r w:rsidRPr="00CD0B56">
          <w:rPr>
            <w:rStyle w:val="Hyperlink"/>
            <w:noProof/>
          </w:rPr>
          <w:t>Part 1 Section 17.8.3.6, embedRegular (Regular Font Style Embedding)</w:t>
        </w:r>
        <w:r>
          <w:rPr>
            <w:noProof/>
            <w:webHidden/>
          </w:rPr>
          <w:tab/>
        </w:r>
        <w:r>
          <w:rPr>
            <w:noProof/>
            <w:webHidden/>
          </w:rPr>
          <w:fldChar w:fldCharType="begin"/>
        </w:r>
        <w:r>
          <w:rPr>
            <w:noProof/>
            <w:webHidden/>
          </w:rPr>
          <w:instrText xml:space="preserve"> PAGEREF _Toc12260335 \h </w:instrText>
        </w:r>
        <w:r>
          <w:rPr>
            <w:noProof/>
            <w:webHidden/>
          </w:rPr>
        </w:r>
        <w:r>
          <w:rPr>
            <w:noProof/>
            <w:webHidden/>
          </w:rPr>
          <w:fldChar w:fldCharType="separate"/>
        </w:r>
        <w:r>
          <w:rPr>
            <w:noProof/>
            <w:webHidden/>
          </w:rPr>
          <w:t>121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36" w:history="1">
        <w:r w:rsidRPr="00CD0B56">
          <w:rPr>
            <w:rStyle w:val="Hyperlink"/>
            <w:noProof/>
          </w:rPr>
          <w:t>2.1.268</w:t>
        </w:r>
        <w:r>
          <w:rPr>
            <w:rFonts w:asciiTheme="minorHAnsi" w:eastAsiaTheme="minorEastAsia" w:hAnsiTheme="minorHAnsi" w:cstheme="minorBidi"/>
            <w:noProof/>
            <w:sz w:val="22"/>
            <w:szCs w:val="22"/>
          </w:rPr>
          <w:tab/>
        </w:r>
        <w:r w:rsidRPr="00CD0B56">
          <w:rPr>
            <w:rStyle w:val="Hyperlink"/>
            <w:noProof/>
          </w:rPr>
          <w:t>Part 1 Section 17.8.3.8, embedTrueTypeFonts (Embed TrueType Fonts)</w:t>
        </w:r>
        <w:r>
          <w:rPr>
            <w:noProof/>
            <w:webHidden/>
          </w:rPr>
          <w:tab/>
        </w:r>
        <w:r>
          <w:rPr>
            <w:noProof/>
            <w:webHidden/>
          </w:rPr>
          <w:fldChar w:fldCharType="begin"/>
        </w:r>
        <w:r>
          <w:rPr>
            <w:noProof/>
            <w:webHidden/>
          </w:rPr>
          <w:instrText xml:space="preserve"> PAGEREF _Toc12260336 \h </w:instrText>
        </w:r>
        <w:r>
          <w:rPr>
            <w:noProof/>
            <w:webHidden/>
          </w:rPr>
        </w:r>
        <w:r>
          <w:rPr>
            <w:noProof/>
            <w:webHidden/>
          </w:rPr>
          <w:fldChar w:fldCharType="separate"/>
        </w:r>
        <w:r>
          <w:rPr>
            <w:noProof/>
            <w:webHidden/>
          </w:rPr>
          <w:t>121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37" w:history="1">
        <w:r w:rsidRPr="00CD0B56">
          <w:rPr>
            <w:rStyle w:val="Hyperlink"/>
            <w:noProof/>
          </w:rPr>
          <w:t>2.1.269</w:t>
        </w:r>
        <w:r>
          <w:rPr>
            <w:rFonts w:asciiTheme="minorHAnsi" w:eastAsiaTheme="minorEastAsia" w:hAnsiTheme="minorHAnsi" w:cstheme="minorBidi"/>
            <w:noProof/>
            <w:sz w:val="22"/>
            <w:szCs w:val="22"/>
          </w:rPr>
          <w:tab/>
        </w:r>
        <w:r w:rsidRPr="00CD0B56">
          <w:rPr>
            <w:rStyle w:val="Hyperlink"/>
            <w:noProof/>
          </w:rPr>
          <w:t>Part 1 Section 17.8.3.9, family (Font Family)</w:t>
        </w:r>
        <w:r>
          <w:rPr>
            <w:noProof/>
            <w:webHidden/>
          </w:rPr>
          <w:tab/>
        </w:r>
        <w:r>
          <w:rPr>
            <w:noProof/>
            <w:webHidden/>
          </w:rPr>
          <w:fldChar w:fldCharType="begin"/>
        </w:r>
        <w:r>
          <w:rPr>
            <w:noProof/>
            <w:webHidden/>
          </w:rPr>
          <w:instrText xml:space="preserve"> PAGEREF _Toc12260337 \h </w:instrText>
        </w:r>
        <w:r>
          <w:rPr>
            <w:noProof/>
            <w:webHidden/>
          </w:rPr>
        </w:r>
        <w:r>
          <w:rPr>
            <w:noProof/>
            <w:webHidden/>
          </w:rPr>
          <w:fldChar w:fldCharType="separate"/>
        </w:r>
        <w:r>
          <w:rPr>
            <w:noProof/>
            <w:webHidden/>
          </w:rPr>
          <w:t>121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38" w:history="1">
        <w:r w:rsidRPr="00CD0B56">
          <w:rPr>
            <w:rStyle w:val="Hyperlink"/>
            <w:noProof/>
          </w:rPr>
          <w:t>2.1.270</w:t>
        </w:r>
        <w:r>
          <w:rPr>
            <w:rFonts w:asciiTheme="minorHAnsi" w:eastAsiaTheme="minorEastAsia" w:hAnsiTheme="minorHAnsi" w:cstheme="minorBidi"/>
            <w:noProof/>
            <w:sz w:val="22"/>
            <w:szCs w:val="22"/>
          </w:rPr>
          <w:tab/>
        </w:r>
        <w:r w:rsidRPr="00CD0B56">
          <w:rPr>
            <w:rStyle w:val="Hyperlink"/>
            <w:noProof/>
          </w:rPr>
          <w:t>Part 1 Section 17.8.3.10, font (Properties for a Single Font)</w:t>
        </w:r>
        <w:r>
          <w:rPr>
            <w:noProof/>
            <w:webHidden/>
          </w:rPr>
          <w:tab/>
        </w:r>
        <w:r>
          <w:rPr>
            <w:noProof/>
            <w:webHidden/>
          </w:rPr>
          <w:fldChar w:fldCharType="begin"/>
        </w:r>
        <w:r>
          <w:rPr>
            <w:noProof/>
            <w:webHidden/>
          </w:rPr>
          <w:instrText xml:space="preserve"> PAGEREF _Toc12260338 \h </w:instrText>
        </w:r>
        <w:r>
          <w:rPr>
            <w:noProof/>
            <w:webHidden/>
          </w:rPr>
        </w:r>
        <w:r>
          <w:rPr>
            <w:noProof/>
            <w:webHidden/>
          </w:rPr>
          <w:fldChar w:fldCharType="separate"/>
        </w:r>
        <w:r>
          <w:rPr>
            <w:noProof/>
            <w:webHidden/>
          </w:rPr>
          <w:t>122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39" w:history="1">
        <w:r w:rsidRPr="00CD0B56">
          <w:rPr>
            <w:rStyle w:val="Hyperlink"/>
            <w:noProof/>
          </w:rPr>
          <w:t>2.1.271</w:t>
        </w:r>
        <w:r>
          <w:rPr>
            <w:rFonts w:asciiTheme="minorHAnsi" w:eastAsiaTheme="minorEastAsia" w:hAnsiTheme="minorHAnsi" w:cstheme="minorBidi"/>
            <w:noProof/>
            <w:sz w:val="22"/>
            <w:szCs w:val="22"/>
          </w:rPr>
          <w:tab/>
        </w:r>
        <w:r w:rsidRPr="00CD0B56">
          <w:rPr>
            <w:rStyle w:val="Hyperlink"/>
            <w:noProof/>
          </w:rPr>
          <w:t>Part 1 Section 17.8.3.12, notTrueType (Raster or Vector Font)</w:t>
        </w:r>
        <w:r>
          <w:rPr>
            <w:noProof/>
            <w:webHidden/>
          </w:rPr>
          <w:tab/>
        </w:r>
        <w:r>
          <w:rPr>
            <w:noProof/>
            <w:webHidden/>
          </w:rPr>
          <w:fldChar w:fldCharType="begin"/>
        </w:r>
        <w:r>
          <w:rPr>
            <w:noProof/>
            <w:webHidden/>
          </w:rPr>
          <w:instrText xml:space="preserve"> PAGEREF _Toc12260339 \h </w:instrText>
        </w:r>
        <w:r>
          <w:rPr>
            <w:noProof/>
            <w:webHidden/>
          </w:rPr>
        </w:r>
        <w:r>
          <w:rPr>
            <w:noProof/>
            <w:webHidden/>
          </w:rPr>
          <w:fldChar w:fldCharType="separate"/>
        </w:r>
        <w:r>
          <w:rPr>
            <w:noProof/>
            <w:webHidden/>
          </w:rPr>
          <w:t>122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40" w:history="1">
        <w:r w:rsidRPr="00CD0B56">
          <w:rPr>
            <w:rStyle w:val="Hyperlink"/>
            <w:noProof/>
          </w:rPr>
          <w:t>2.1.272</w:t>
        </w:r>
        <w:r>
          <w:rPr>
            <w:rFonts w:asciiTheme="minorHAnsi" w:eastAsiaTheme="minorEastAsia" w:hAnsiTheme="minorHAnsi" w:cstheme="minorBidi"/>
            <w:noProof/>
            <w:sz w:val="22"/>
            <w:szCs w:val="22"/>
          </w:rPr>
          <w:tab/>
        </w:r>
        <w:r w:rsidRPr="00CD0B56">
          <w:rPr>
            <w:rStyle w:val="Hyperlink"/>
            <w:noProof/>
          </w:rPr>
          <w:t>Part 1 Section 17.8.3.13, panose1 (Panose-1 Typeface Classification Number)</w:t>
        </w:r>
        <w:r>
          <w:rPr>
            <w:noProof/>
            <w:webHidden/>
          </w:rPr>
          <w:tab/>
        </w:r>
        <w:r>
          <w:rPr>
            <w:noProof/>
            <w:webHidden/>
          </w:rPr>
          <w:fldChar w:fldCharType="begin"/>
        </w:r>
        <w:r>
          <w:rPr>
            <w:noProof/>
            <w:webHidden/>
          </w:rPr>
          <w:instrText xml:space="preserve"> PAGEREF _Toc12260340 \h </w:instrText>
        </w:r>
        <w:r>
          <w:rPr>
            <w:noProof/>
            <w:webHidden/>
          </w:rPr>
        </w:r>
        <w:r>
          <w:rPr>
            <w:noProof/>
            <w:webHidden/>
          </w:rPr>
          <w:fldChar w:fldCharType="separate"/>
        </w:r>
        <w:r>
          <w:rPr>
            <w:noProof/>
            <w:webHidden/>
          </w:rPr>
          <w:t>122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41" w:history="1">
        <w:r w:rsidRPr="00CD0B56">
          <w:rPr>
            <w:rStyle w:val="Hyperlink"/>
            <w:noProof/>
          </w:rPr>
          <w:t>2.1.273</w:t>
        </w:r>
        <w:r>
          <w:rPr>
            <w:rFonts w:asciiTheme="minorHAnsi" w:eastAsiaTheme="minorEastAsia" w:hAnsiTheme="minorHAnsi" w:cstheme="minorBidi"/>
            <w:noProof/>
            <w:sz w:val="22"/>
            <w:szCs w:val="22"/>
          </w:rPr>
          <w:tab/>
        </w:r>
        <w:r w:rsidRPr="00CD0B56">
          <w:rPr>
            <w:rStyle w:val="Hyperlink"/>
            <w:noProof/>
          </w:rPr>
          <w:t>Part 1 Section 17.8.3.14, pitch (Font Pitch)</w:t>
        </w:r>
        <w:r>
          <w:rPr>
            <w:noProof/>
            <w:webHidden/>
          </w:rPr>
          <w:tab/>
        </w:r>
        <w:r>
          <w:rPr>
            <w:noProof/>
            <w:webHidden/>
          </w:rPr>
          <w:fldChar w:fldCharType="begin"/>
        </w:r>
        <w:r>
          <w:rPr>
            <w:noProof/>
            <w:webHidden/>
          </w:rPr>
          <w:instrText xml:space="preserve"> PAGEREF _Toc12260341 \h </w:instrText>
        </w:r>
        <w:r>
          <w:rPr>
            <w:noProof/>
            <w:webHidden/>
          </w:rPr>
        </w:r>
        <w:r>
          <w:rPr>
            <w:noProof/>
            <w:webHidden/>
          </w:rPr>
          <w:fldChar w:fldCharType="separate"/>
        </w:r>
        <w:r>
          <w:rPr>
            <w:noProof/>
            <w:webHidden/>
          </w:rPr>
          <w:t>122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42" w:history="1">
        <w:r w:rsidRPr="00CD0B56">
          <w:rPr>
            <w:rStyle w:val="Hyperlink"/>
            <w:noProof/>
          </w:rPr>
          <w:t>2.1.274</w:t>
        </w:r>
        <w:r>
          <w:rPr>
            <w:rFonts w:asciiTheme="minorHAnsi" w:eastAsiaTheme="minorEastAsia" w:hAnsiTheme="minorHAnsi" w:cstheme="minorBidi"/>
            <w:noProof/>
            <w:sz w:val="22"/>
            <w:szCs w:val="22"/>
          </w:rPr>
          <w:tab/>
        </w:r>
        <w:r w:rsidRPr="00CD0B56">
          <w:rPr>
            <w:rStyle w:val="Hyperlink"/>
            <w:noProof/>
          </w:rPr>
          <w:t>Part 1 Section 17.8.3.16, sig (Supported Unicode Subranges and Code Pages)</w:t>
        </w:r>
        <w:r>
          <w:rPr>
            <w:noProof/>
            <w:webHidden/>
          </w:rPr>
          <w:tab/>
        </w:r>
        <w:r>
          <w:rPr>
            <w:noProof/>
            <w:webHidden/>
          </w:rPr>
          <w:fldChar w:fldCharType="begin"/>
        </w:r>
        <w:r>
          <w:rPr>
            <w:noProof/>
            <w:webHidden/>
          </w:rPr>
          <w:instrText xml:space="preserve"> PAGEREF _Toc12260342 \h </w:instrText>
        </w:r>
        <w:r>
          <w:rPr>
            <w:noProof/>
            <w:webHidden/>
          </w:rPr>
        </w:r>
        <w:r>
          <w:rPr>
            <w:noProof/>
            <w:webHidden/>
          </w:rPr>
          <w:fldChar w:fldCharType="separate"/>
        </w:r>
        <w:r>
          <w:rPr>
            <w:noProof/>
            <w:webHidden/>
          </w:rPr>
          <w:t>122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43" w:history="1">
        <w:r w:rsidRPr="00CD0B56">
          <w:rPr>
            <w:rStyle w:val="Hyperlink"/>
            <w:noProof/>
          </w:rPr>
          <w:t>2.1.275</w:t>
        </w:r>
        <w:r>
          <w:rPr>
            <w:rFonts w:asciiTheme="minorHAnsi" w:eastAsiaTheme="minorEastAsia" w:hAnsiTheme="minorHAnsi" w:cstheme="minorBidi"/>
            <w:noProof/>
            <w:sz w:val="22"/>
            <w:szCs w:val="22"/>
          </w:rPr>
          <w:tab/>
        </w:r>
        <w:r w:rsidRPr="00CD0B56">
          <w:rPr>
            <w:rStyle w:val="Hyperlink"/>
            <w:noProof/>
          </w:rPr>
          <w:t>Part 1 Section 17.9.1, abstractNum (Abstract Numbering Definition)</w:t>
        </w:r>
        <w:r>
          <w:rPr>
            <w:noProof/>
            <w:webHidden/>
          </w:rPr>
          <w:tab/>
        </w:r>
        <w:r>
          <w:rPr>
            <w:noProof/>
            <w:webHidden/>
          </w:rPr>
          <w:fldChar w:fldCharType="begin"/>
        </w:r>
        <w:r>
          <w:rPr>
            <w:noProof/>
            <w:webHidden/>
          </w:rPr>
          <w:instrText xml:space="preserve"> PAGEREF _Toc12260343 \h </w:instrText>
        </w:r>
        <w:r>
          <w:rPr>
            <w:noProof/>
            <w:webHidden/>
          </w:rPr>
        </w:r>
        <w:r>
          <w:rPr>
            <w:noProof/>
            <w:webHidden/>
          </w:rPr>
          <w:fldChar w:fldCharType="separate"/>
        </w:r>
        <w:r>
          <w:rPr>
            <w:noProof/>
            <w:webHidden/>
          </w:rPr>
          <w:t>123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44" w:history="1">
        <w:r w:rsidRPr="00CD0B56">
          <w:rPr>
            <w:rStyle w:val="Hyperlink"/>
            <w:noProof/>
          </w:rPr>
          <w:t>2.1.276</w:t>
        </w:r>
        <w:r>
          <w:rPr>
            <w:rFonts w:asciiTheme="minorHAnsi" w:eastAsiaTheme="minorEastAsia" w:hAnsiTheme="minorHAnsi" w:cstheme="minorBidi"/>
            <w:noProof/>
            <w:sz w:val="22"/>
            <w:szCs w:val="22"/>
          </w:rPr>
          <w:tab/>
        </w:r>
        <w:r w:rsidRPr="00CD0B56">
          <w:rPr>
            <w:rStyle w:val="Hyperlink"/>
            <w:noProof/>
          </w:rPr>
          <w:t>Part 1 Section 17.9.2, abstractNumId (Abstract Numbering Definition Reference)</w:t>
        </w:r>
        <w:r>
          <w:rPr>
            <w:noProof/>
            <w:webHidden/>
          </w:rPr>
          <w:tab/>
        </w:r>
        <w:r>
          <w:rPr>
            <w:noProof/>
            <w:webHidden/>
          </w:rPr>
          <w:fldChar w:fldCharType="begin"/>
        </w:r>
        <w:r>
          <w:rPr>
            <w:noProof/>
            <w:webHidden/>
          </w:rPr>
          <w:instrText xml:space="preserve"> PAGEREF _Toc12260344 \h </w:instrText>
        </w:r>
        <w:r>
          <w:rPr>
            <w:noProof/>
            <w:webHidden/>
          </w:rPr>
        </w:r>
        <w:r>
          <w:rPr>
            <w:noProof/>
            <w:webHidden/>
          </w:rPr>
          <w:fldChar w:fldCharType="separate"/>
        </w:r>
        <w:r>
          <w:rPr>
            <w:noProof/>
            <w:webHidden/>
          </w:rPr>
          <w:t>123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45" w:history="1">
        <w:r w:rsidRPr="00CD0B56">
          <w:rPr>
            <w:rStyle w:val="Hyperlink"/>
            <w:noProof/>
          </w:rPr>
          <w:t>2.1.277</w:t>
        </w:r>
        <w:r>
          <w:rPr>
            <w:rFonts w:asciiTheme="minorHAnsi" w:eastAsiaTheme="minorEastAsia" w:hAnsiTheme="minorHAnsi" w:cstheme="minorBidi"/>
            <w:noProof/>
            <w:sz w:val="22"/>
            <w:szCs w:val="22"/>
          </w:rPr>
          <w:tab/>
        </w:r>
        <w:r w:rsidRPr="00CD0B56">
          <w:rPr>
            <w:rStyle w:val="Hyperlink"/>
            <w:noProof/>
          </w:rPr>
          <w:t>Part 1 Section 17.9.3, ilvl (Numbering Level Reference)</w:t>
        </w:r>
        <w:r>
          <w:rPr>
            <w:noProof/>
            <w:webHidden/>
          </w:rPr>
          <w:tab/>
        </w:r>
        <w:r>
          <w:rPr>
            <w:noProof/>
            <w:webHidden/>
          </w:rPr>
          <w:fldChar w:fldCharType="begin"/>
        </w:r>
        <w:r>
          <w:rPr>
            <w:noProof/>
            <w:webHidden/>
          </w:rPr>
          <w:instrText xml:space="preserve"> PAGEREF _Toc12260345 \h </w:instrText>
        </w:r>
        <w:r>
          <w:rPr>
            <w:noProof/>
            <w:webHidden/>
          </w:rPr>
        </w:r>
        <w:r>
          <w:rPr>
            <w:noProof/>
            <w:webHidden/>
          </w:rPr>
          <w:fldChar w:fldCharType="separate"/>
        </w:r>
        <w:r>
          <w:rPr>
            <w:noProof/>
            <w:webHidden/>
          </w:rPr>
          <w:t>123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46" w:history="1">
        <w:r w:rsidRPr="00CD0B56">
          <w:rPr>
            <w:rStyle w:val="Hyperlink"/>
            <w:noProof/>
          </w:rPr>
          <w:t>2.1.278</w:t>
        </w:r>
        <w:r>
          <w:rPr>
            <w:rFonts w:asciiTheme="minorHAnsi" w:eastAsiaTheme="minorEastAsia" w:hAnsiTheme="minorHAnsi" w:cstheme="minorBidi"/>
            <w:noProof/>
            <w:sz w:val="22"/>
            <w:szCs w:val="22"/>
          </w:rPr>
          <w:tab/>
        </w:r>
        <w:r w:rsidRPr="00CD0B56">
          <w:rPr>
            <w:rStyle w:val="Hyperlink"/>
            <w:noProof/>
          </w:rPr>
          <w:t>Part 1 Section 17.9.4, isLgl (Display All Levels Using Arabic Numerals)</w:t>
        </w:r>
        <w:r>
          <w:rPr>
            <w:noProof/>
            <w:webHidden/>
          </w:rPr>
          <w:tab/>
        </w:r>
        <w:r>
          <w:rPr>
            <w:noProof/>
            <w:webHidden/>
          </w:rPr>
          <w:fldChar w:fldCharType="begin"/>
        </w:r>
        <w:r>
          <w:rPr>
            <w:noProof/>
            <w:webHidden/>
          </w:rPr>
          <w:instrText xml:space="preserve"> PAGEREF _Toc12260346 \h </w:instrText>
        </w:r>
        <w:r>
          <w:rPr>
            <w:noProof/>
            <w:webHidden/>
          </w:rPr>
        </w:r>
        <w:r>
          <w:rPr>
            <w:noProof/>
            <w:webHidden/>
          </w:rPr>
          <w:fldChar w:fldCharType="separate"/>
        </w:r>
        <w:r>
          <w:rPr>
            <w:noProof/>
            <w:webHidden/>
          </w:rPr>
          <w:t>123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47" w:history="1">
        <w:r w:rsidRPr="00CD0B56">
          <w:rPr>
            <w:rStyle w:val="Hyperlink"/>
            <w:noProof/>
          </w:rPr>
          <w:t>2.1.279</w:t>
        </w:r>
        <w:r>
          <w:rPr>
            <w:rFonts w:asciiTheme="minorHAnsi" w:eastAsiaTheme="minorEastAsia" w:hAnsiTheme="minorHAnsi" w:cstheme="minorBidi"/>
            <w:noProof/>
            <w:sz w:val="22"/>
            <w:szCs w:val="22"/>
          </w:rPr>
          <w:tab/>
        </w:r>
        <w:r w:rsidRPr="00CD0B56">
          <w:rPr>
            <w:rStyle w:val="Hyperlink"/>
            <w:noProof/>
          </w:rPr>
          <w:t>Part 1 Section 17.9.5, lvl (Numbering Level Override Definition)</w:t>
        </w:r>
        <w:r>
          <w:rPr>
            <w:noProof/>
            <w:webHidden/>
          </w:rPr>
          <w:tab/>
        </w:r>
        <w:r>
          <w:rPr>
            <w:noProof/>
            <w:webHidden/>
          </w:rPr>
          <w:fldChar w:fldCharType="begin"/>
        </w:r>
        <w:r>
          <w:rPr>
            <w:noProof/>
            <w:webHidden/>
          </w:rPr>
          <w:instrText xml:space="preserve"> PAGEREF _Toc12260347 \h </w:instrText>
        </w:r>
        <w:r>
          <w:rPr>
            <w:noProof/>
            <w:webHidden/>
          </w:rPr>
        </w:r>
        <w:r>
          <w:rPr>
            <w:noProof/>
            <w:webHidden/>
          </w:rPr>
          <w:fldChar w:fldCharType="separate"/>
        </w:r>
        <w:r>
          <w:rPr>
            <w:noProof/>
            <w:webHidden/>
          </w:rPr>
          <w:t>123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48" w:history="1">
        <w:r w:rsidRPr="00CD0B56">
          <w:rPr>
            <w:rStyle w:val="Hyperlink"/>
            <w:noProof/>
          </w:rPr>
          <w:t>2.1.280</w:t>
        </w:r>
        <w:r>
          <w:rPr>
            <w:rFonts w:asciiTheme="minorHAnsi" w:eastAsiaTheme="minorEastAsia" w:hAnsiTheme="minorHAnsi" w:cstheme="minorBidi"/>
            <w:noProof/>
            <w:sz w:val="22"/>
            <w:szCs w:val="22"/>
          </w:rPr>
          <w:tab/>
        </w:r>
        <w:r w:rsidRPr="00CD0B56">
          <w:rPr>
            <w:rStyle w:val="Hyperlink"/>
            <w:noProof/>
          </w:rPr>
          <w:t>Part 1 Section 17.9.6, lvl (Numbering Level Definition)</w:t>
        </w:r>
        <w:r>
          <w:rPr>
            <w:noProof/>
            <w:webHidden/>
          </w:rPr>
          <w:tab/>
        </w:r>
        <w:r>
          <w:rPr>
            <w:noProof/>
            <w:webHidden/>
          </w:rPr>
          <w:fldChar w:fldCharType="begin"/>
        </w:r>
        <w:r>
          <w:rPr>
            <w:noProof/>
            <w:webHidden/>
          </w:rPr>
          <w:instrText xml:space="preserve"> PAGEREF _Toc12260348 \h </w:instrText>
        </w:r>
        <w:r>
          <w:rPr>
            <w:noProof/>
            <w:webHidden/>
          </w:rPr>
        </w:r>
        <w:r>
          <w:rPr>
            <w:noProof/>
            <w:webHidden/>
          </w:rPr>
          <w:fldChar w:fldCharType="separate"/>
        </w:r>
        <w:r>
          <w:rPr>
            <w:noProof/>
            <w:webHidden/>
          </w:rPr>
          <w:t>123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49" w:history="1">
        <w:r w:rsidRPr="00CD0B56">
          <w:rPr>
            <w:rStyle w:val="Hyperlink"/>
            <w:noProof/>
          </w:rPr>
          <w:t>2.1.281</w:t>
        </w:r>
        <w:r>
          <w:rPr>
            <w:rFonts w:asciiTheme="minorHAnsi" w:eastAsiaTheme="minorEastAsia" w:hAnsiTheme="minorHAnsi" w:cstheme="minorBidi"/>
            <w:noProof/>
            <w:sz w:val="22"/>
            <w:szCs w:val="22"/>
          </w:rPr>
          <w:tab/>
        </w:r>
        <w:r w:rsidRPr="00CD0B56">
          <w:rPr>
            <w:rStyle w:val="Hyperlink"/>
            <w:noProof/>
          </w:rPr>
          <w:t>Part 1 Section 17.9.7, lvlJc (Justification)</w:t>
        </w:r>
        <w:r>
          <w:rPr>
            <w:noProof/>
            <w:webHidden/>
          </w:rPr>
          <w:tab/>
        </w:r>
        <w:r>
          <w:rPr>
            <w:noProof/>
            <w:webHidden/>
          </w:rPr>
          <w:fldChar w:fldCharType="begin"/>
        </w:r>
        <w:r>
          <w:rPr>
            <w:noProof/>
            <w:webHidden/>
          </w:rPr>
          <w:instrText xml:space="preserve"> PAGEREF _Toc12260349 \h </w:instrText>
        </w:r>
        <w:r>
          <w:rPr>
            <w:noProof/>
            <w:webHidden/>
          </w:rPr>
        </w:r>
        <w:r>
          <w:rPr>
            <w:noProof/>
            <w:webHidden/>
          </w:rPr>
          <w:fldChar w:fldCharType="separate"/>
        </w:r>
        <w:r>
          <w:rPr>
            <w:noProof/>
            <w:webHidden/>
          </w:rPr>
          <w:t>123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50" w:history="1">
        <w:r w:rsidRPr="00CD0B56">
          <w:rPr>
            <w:rStyle w:val="Hyperlink"/>
            <w:noProof/>
          </w:rPr>
          <w:t>2.1.282</w:t>
        </w:r>
        <w:r>
          <w:rPr>
            <w:rFonts w:asciiTheme="minorHAnsi" w:eastAsiaTheme="minorEastAsia" w:hAnsiTheme="minorHAnsi" w:cstheme="minorBidi"/>
            <w:noProof/>
            <w:sz w:val="22"/>
            <w:szCs w:val="22"/>
          </w:rPr>
          <w:tab/>
        </w:r>
        <w:r w:rsidRPr="00CD0B56">
          <w:rPr>
            <w:rStyle w:val="Hyperlink"/>
            <w:noProof/>
          </w:rPr>
          <w:t>Part 1 Section 17.9.10, lvlRestart (Restart Numbering Level Symbol)</w:t>
        </w:r>
        <w:r>
          <w:rPr>
            <w:noProof/>
            <w:webHidden/>
          </w:rPr>
          <w:tab/>
        </w:r>
        <w:r>
          <w:rPr>
            <w:noProof/>
            <w:webHidden/>
          </w:rPr>
          <w:fldChar w:fldCharType="begin"/>
        </w:r>
        <w:r>
          <w:rPr>
            <w:noProof/>
            <w:webHidden/>
          </w:rPr>
          <w:instrText xml:space="preserve"> PAGEREF _Toc12260350 \h </w:instrText>
        </w:r>
        <w:r>
          <w:rPr>
            <w:noProof/>
            <w:webHidden/>
          </w:rPr>
        </w:r>
        <w:r>
          <w:rPr>
            <w:noProof/>
            <w:webHidden/>
          </w:rPr>
          <w:fldChar w:fldCharType="separate"/>
        </w:r>
        <w:r>
          <w:rPr>
            <w:noProof/>
            <w:webHidden/>
          </w:rPr>
          <w:t>123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51" w:history="1">
        <w:r w:rsidRPr="00CD0B56">
          <w:rPr>
            <w:rStyle w:val="Hyperlink"/>
            <w:noProof/>
          </w:rPr>
          <w:t>2.1.283</w:t>
        </w:r>
        <w:r>
          <w:rPr>
            <w:rFonts w:asciiTheme="minorHAnsi" w:eastAsiaTheme="minorEastAsia" w:hAnsiTheme="minorHAnsi" w:cstheme="minorBidi"/>
            <w:noProof/>
            <w:sz w:val="22"/>
            <w:szCs w:val="22"/>
          </w:rPr>
          <w:tab/>
        </w:r>
        <w:r w:rsidRPr="00CD0B56">
          <w:rPr>
            <w:rStyle w:val="Hyperlink"/>
            <w:noProof/>
          </w:rPr>
          <w:t>Part 1 Section 17.9.11, lvlText (Numbering Level Text)</w:t>
        </w:r>
        <w:r>
          <w:rPr>
            <w:noProof/>
            <w:webHidden/>
          </w:rPr>
          <w:tab/>
        </w:r>
        <w:r>
          <w:rPr>
            <w:noProof/>
            <w:webHidden/>
          </w:rPr>
          <w:fldChar w:fldCharType="begin"/>
        </w:r>
        <w:r>
          <w:rPr>
            <w:noProof/>
            <w:webHidden/>
          </w:rPr>
          <w:instrText xml:space="preserve"> PAGEREF _Toc12260351 \h </w:instrText>
        </w:r>
        <w:r>
          <w:rPr>
            <w:noProof/>
            <w:webHidden/>
          </w:rPr>
        </w:r>
        <w:r>
          <w:rPr>
            <w:noProof/>
            <w:webHidden/>
          </w:rPr>
          <w:fldChar w:fldCharType="separate"/>
        </w:r>
        <w:r>
          <w:rPr>
            <w:noProof/>
            <w:webHidden/>
          </w:rPr>
          <w:t>124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52" w:history="1">
        <w:r w:rsidRPr="00CD0B56">
          <w:rPr>
            <w:rStyle w:val="Hyperlink"/>
            <w:noProof/>
          </w:rPr>
          <w:t>2.1.284</w:t>
        </w:r>
        <w:r>
          <w:rPr>
            <w:rFonts w:asciiTheme="minorHAnsi" w:eastAsiaTheme="minorEastAsia" w:hAnsiTheme="minorHAnsi" w:cstheme="minorBidi"/>
            <w:noProof/>
            <w:sz w:val="22"/>
            <w:szCs w:val="22"/>
          </w:rPr>
          <w:tab/>
        </w:r>
        <w:r w:rsidRPr="00CD0B56">
          <w:rPr>
            <w:rStyle w:val="Hyperlink"/>
            <w:noProof/>
          </w:rPr>
          <w:t>Part 1 Section 17.9.13, name (Abstract Numbering Definition Name)</w:t>
        </w:r>
        <w:r>
          <w:rPr>
            <w:noProof/>
            <w:webHidden/>
          </w:rPr>
          <w:tab/>
        </w:r>
        <w:r>
          <w:rPr>
            <w:noProof/>
            <w:webHidden/>
          </w:rPr>
          <w:fldChar w:fldCharType="begin"/>
        </w:r>
        <w:r>
          <w:rPr>
            <w:noProof/>
            <w:webHidden/>
          </w:rPr>
          <w:instrText xml:space="preserve"> PAGEREF _Toc12260352 \h </w:instrText>
        </w:r>
        <w:r>
          <w:rPr>
            <w:noProof/>
            <w:webHidden/>
          </w:rPr>
        </w:r>
        <w:r>
          <w:rPr>
            <w:noProof/>
            <w:webHidden/>
          </w:rPr>
          <w:fldChar w:fldCharType="separate"/>
        </w:r>
        <w:r>
          <w:rPr>
            <w:noProof/>
            <w:webHidden/>
          </w:rPr>
          <w:t>124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53" w:history="1">
        <w:r w:rsidRPr="00CD0B56">
          <w:rPr>
            <w:rStyle w:val="Hyperlink"/>
            <w:noProof/>
          </w:rPr>
          <w:t>2.1.285</w:t>
        </w:r>
        <w:r>
          <w:rPr>
            <w:rFonts w:asciiTheme="minorHAnsi" w:eastAsiaTheme="minorEastAsia" w:hAnsiTheme="minorHAnsi" w:cstheme="minorBidi"/>
            <w:noProof/>
            <w:sz w:val="22"/>
            <w:szCs w:val="22"/>
          </w:rPr>
          <w:tab/>
        </w:r>
        <w:r w:rsidRPr="00CD0B56">
          <w:rPr>
            <w:rStyle w:val="Hyperlink"/>
            <w:noProof/>
          </w:rPr>
          <w:t>Part 1 Section 17.9.15, num (Numbering Definition Instance)</w:t>
        </w:r>
        <w:r>
          <w:rPr>
            <w:noProof/>
            <w:webHidden/>
          </w:rPr>
          <w:tab/>
        </w:r>
        <w:r>
          <w:rPr>
            <w:noProof/>
            <w:webHidden/>
          </w:rPr>
          <w:fldChar w:fldCharType="begin"/>
        </w:r>
        <w:r>
          <w:rPr>
            <w:noProof/>
            <w:webHidden/>
          </w:rPr>
          <w:instrText xml:space="preserve"> PAGEREF _Toc12260353 \h </w:instrText>
        </w:r>
        <w:r>
          <w:rPr>
            <w:noProof/>
            <w:webHidden/>
          </w:rPr>
        </w:r>
        <w:r>
          <w:rPr>
            <w:noProof/>
            <w:webHidden/>
          </w:rPr>
          <w:fldChar w:fldCharType="separate"/>
        </w:r>
        <w:r>
          <w:rPr>
            <w:noProof/>
            <w:webHidden/>
          </w:rPr>
          <w:t>124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54" w:history="1">
        <w:r w:rsidRPr="00CD0B56">
          <w:rPr>
            <w:rStyle w:val="Hyperlink"/>
            <w:noProof/>
          </w:rPr>
          <w:t>2.1.286</w:t>
        </w:r>
        <w:r>
          <w:rPr>
            <w:rFonts w:asciiTheme="minorHAnsi" w:eastAsiaTheme="minorEastAsia" w:hAnsiTheme="minorHAnsi" w:cstheme="minorBidi"/>
            <w:noProof/>
            <w:sz w:val="22"/>
            <w:szCs w:val="22"/>
          </w:rPr>
          <w:tab/>
        </w:r>
        <w:r w:rsidRPr="00CD0B56">
          <w:rPr>
            <w:rStyle w:val="Hyperlink"/>
            <w:noProof/>
          </w:rPr>
          <w:t>Part 1 Section 17.9.17, numFmt (Numbering Format)</w:t>
        </w:r>
        <w:r>
          <w:rPr>
            <w:noProof/>
            <w:webHidden/>
          </w:rPr>
          <w:tab/>
        </w:r>
        <w:r>
          <w:rPr>
            <w:noProof/>
            <w:webHidden/>
          </w:rPr>
          <w:fldChar w:fldCharType="begin"/>
        </w:r>
        <w:r>
          <w:rPr>
            <w:noProof/>
            <w:webHidden/>
          </w:rPr>
          <w:instrText xml:space="preserve"> PAGEREF _Toc12260354 \h </w:instrText>
        </w:r>
        <w:r>
          <w:rPr>
            <w:noProof/>
            <w:webHidden/>
          </w:rPr>
        </w:r>
        <w:r>
          <w:rPr>
            <w:noProof/>
            <w:webHidden/>
          </w:rPr>
          <w:fldChar w:fldCharType="separate"/>
        </w:r>
        <w:r>
          <w:rPr>
            <w:noProof/>
            <w:webHidden/>
          </w:rPr>
          <w:t>124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55" w:history="1">
        <w:r w:rsidRPr="00CD0B56">
          <w:rPr>
            <w:rStyle w:val="Hyperlink"/>
            <w:noProof/>
          </w:rPr>
          <w:t>2.1.287</w:t>
        </w:r>
        <w:r>
          <w:rPr>
            <w:rFonts w:asciiTheme="minorHAnsi" w:eastAsiaTheme="minorEastAsia" w:hAnsiTheme="minorHAnsi" w:cstheme="minorBidi"/>
            <w:noProof/>
            <w:sz w:val="22"/>
            <w:szCs w:val="22"/>
          </w:rPr>
          <w:tab/>
        </w:r>
        <w:r w:rsidRPr="00CD0B56">
          <w:rPr>
            <w:rStyle w:val="Hyperlink"/>
            <w:noProof/>
          </w:rPr>
          <w:t>Part 1 Section 17.9.18, numId (Numbering Definition Instance Reference)</w:t>
        </w:r>
        <w:r>
          <w:rPr>
            <w:noProof/>
            <w:webHidden/>
          </w:rPr>
          <w:tab/>
        </w:r>
        <w:r>
          <w:rPr>
            <w:noProof/>
            <w:webHidden/>
          </w:rPr>
          <w:fldChar w:fldCharType="begin"/>
        </w:r>
        <w:r>
          <w:rPr>
            <w:noProof/>
            <w:webHidden/>
          </w:rPr>
          <w:instrText xml:space="preserve"> PAGEREF _Toc12260355 \h </w:instrText>
        </w:r>
        <w:r>
          <w:rPr>
            <w:noProof/>
            <w:webHidden/>
          </w:rPr>
        </w:r>
        <w:r>
          <w:rPr>
            <w:noProof/>
            <w:webHidden/>
          </w:rPr>
          <w:fldChar w:fldCharType="separate"/>
        </w:r>
        <w:r>
          <w:rPr>
            <w:noProof/>
            <w:webHidden/>
          </w:rPr>
          <w:t>125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56" w:history="1">
        <w:r w:rsidRPr="00CD0B56">
          <w:rPr>
            <w:rStyle w:val="Hyperlink"/>
            <w:noProof/>
          </w:rPr>
          <w:t>2.1.288</w:t>
        </w:r>
        <w:r>
          <w:rPr>
            <w:rFonts w:asciiTheme="minorHAnsi" w:eastAsiaTheme="minorEastAsia" w:hAnsiTheme="minorHAnsi" w:cstheme="minorBidi"/>
            <w:noProof/>
            <w:sz w:val="22"/>
            <w:szCs w:val="22"/>
          </w:rPr>
          <w:tab/>
        </w:r>
        <w:r w:rsidRPr="00CD0B56">
          <w:rPr>
            <w:rStyle w:val="Hyperlink"/>
            <w:noProof/>
          </w:rPr>
          <w:t>Part 1 Section 17.9.21, numStyleLink (Numbering Style Reference)</w:t>
        </w:r>
        <w:r>
          <w:rPr>
            <w:noProof/>
            <w:webHidden/>
          </w:rPr>
          <w:tab/>
        </w:r>
        <w:r>
          <w:rPr>
            <w:noProof/>
            <w:webHidden/>
          </w:rPr>
          <w:fldChar w:fldCharType="begin"/>
        </w:r>
        <w:r>
          <w:rPr>
            <w:noProof/>
            <w:webHidden/>
          </w:rPr>
          <w:instrText xml:space="preserve"> PAGEREF _Toc12260356 \h </w:instrText>
        </w:r>
        <w:r>
          <w:rPr>
            <w:noProof/>
            <w:webHidden/>
          </w:rPr>
        </w:r>
        <w:r>
          <w:rPr>
            <w:noProof/>
            <w:webHidden/>
          </w:rPr>
          <w:fldChar w:fldCharType="separate"/>
        </w:r>
        <w:r>
          <w:rPr>
            <w:noProof/>
            <w:webHidden/>
          </w:rPr>
          <w:t>125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57" w:history="1">
        <w:r w:rsidRPr="00CD0B56">
          <w:rPr>
            <w:rStyle w:val="Hyperlink"/>
            <w:noProof/>
          </w:rPr>
          <w:t>2.1.289</w:t>
        </w:r>
        <w:r>
          <w:rPr>
            <w:rFonts w:asciiTheme="minorHAnsi" w:eastAsiaTheme="minorEastAsia" w:hAnsiTheme="minorHAnsi" w:cstheme="minorBidi"/>
            <w:noProof/>
            <w:sz w:val="22"/>
            <w:szCs w:val="22"/>
          </w:rPr>
          <w:tab/>
        </w:r>
        <w:r w:rsidRPr="00CD0B56">
          <w:rPr>
            <w:rStyle w:val="Hyperlink"/>
            <w:noProof/>
          </w:rPr>
          <w:t>Part 1 Section 17.9.22, pPr (Numbering Level Associated Paragraph Properties)</w:t>
        </w:r>
        <w:r>
          <w:rPr>
            <w:noProof/>
            <w:webHidden/>
          </w:rPr>
          <w:tab/>
        </w:r>
        <w:r>
          <w:rPr>
            <w:noProof/>
            <w:webHidden/>
          </w:rPr>
          <w:fldChar w:fldCharType="begin"/>
        </w:r>
        <w:r>
          <w:rPr>
            <w:noProof/>
            <w:webHidden/>
          </w:rPr>
          <w:instrText xml:space="preserve"> PAGEREF _Toc12260357 \h </w:instrText>
        </w:r>
        <w:r>
          <w:rPr>
            <w:noProof/>
            <w:webHidden/>
          </w:rPr>
        </w:r>
        <w:r>
          <w:rPr>
            <w:noProof/>
            <w:webHidden/>
          </w:rPr>
          <w:fldChar w:fldCharType="separate"/>
        </w:r>
        <w:r>
          <w:rPr>
            <w:noProof/>
            <w:webHidden/>
          </w:rPr>
          <w:t>125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58" w:history="1">
        <w:r w:rsidRPr="00CD0B56">
          <w:rPr>
            <w:rStyle w:val="Hyperlink"/>
            <w:noProof/>
          </w:rPr>
          <w:t>2.1.290</w:t>
        </w:r>
        <w:r>
          <w:rPr>
            <w:rFonts w:asciiTheme="minorHAnsi" w:eastAsiaTheme="minorEastAsia" w:hAnsiTheme="minorHAnsi" w:cstheme="minorBidi"/>
            <w:noProof/>
            <w:sz w:val="22"/>
            <w:szCs w:val="22"/>
          </w:rPr>
          <w:tab/>
        </w:r>
        <w:r w:rsidRPr="00CD0B56">
          <w:rPr>
            <w:rStyle w:val="Hyperlink"/>
            <w:noProof/>
          </w:rPr>
          <w:t>Part 1 Section 17.9.23, pStyle (Paragraph Style's Associated Numbering Level)</w:t>
        </w:r>
        <w:r>
          <w:rPr>
            <w:noProof/>
            <w:webHidden/>
          </w:rPr>
          <w:tab/>
        </w:r>
        <w:r>
          <w:rPr>
            <w:noProof/>
            <w:webHidden/>
          </w:rPr>
          <w:fldChar w:fldCharType="begin"/>
        </w:r>
        <w:r>
          <w:rPr>
            <w:noProof/>
            <w:webHidden/>
          </w:rPr>
          <w:instrText xml:space="preserve"> PAGEREF _Toc12260358 \h </w:instrText>
        </w:r>
        <w:r>
          <w:rPr>
            <w:noProof/>
            <w:webHidden/>
          </w:rPr>
        </w:r>
        <w:r>
          <w:rPr>
            <w:noProof/>
            <w:webHidden/>
          </w:rPr>
          <w:fldChar w:fldCharType="separate"/>
        </w:r>
        <w:r>
          <w:rPr>
            <w:noProof/>
            <w:webHidden/>
          </w:rPr>
          <w:t>125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59" w:history="1">
        <w:r w:rsidRPr="00CD0B56">
          <w:rPr>
            <w:rStyle w:val="Hyperlink"/>
            <w:noProof/>
          </w:rPr>
          <w:t>2.1.291</w:t>
        </w:r>
        <w:r>
          <w:rPr>
            <w:rFonts w:asciiTheme="minorHAnsi" w:eastAsiaTheme="minorEastAsia" w:hAnsiTheme="minorHAnsi" w:cstheme="minorBidi"/>
            <w:noProof/>
            <w:sz w:val="22"/>
            <w:szCs w:val="22"/>
          </w:rPr>
          <w:tab/>
        </w:r>
        <w:r w:rsidRPr="00CD0B56">
          <w:rPr>
            <w:rStyle w:val="Hyperlink"/>
            <w:noProof/>
          </w:rPr>
          <w:t>Part 1 Section 17.9.24, rPr (Numbering Symbol Run Properties)</w:t>
        </w:r>
        <w:r>
          <w:rPr>
            <w:noProof/>
            <w:webHidden/>
          </w:rPr>
          <w:tab/>
        </w:r>
        <w:r>
          <w:rPr>
            <w:noProof/>
            <w:webHidden/>
          </w:rPr>
          <w:fldChar w:fldCharType="begin"/>
        </w:r>
        <w:r>
          <w:rPr>
            <w:noProof/>
            <w:webHidden/>
          </w:rPr>
          <w:instrText xml:space="preserve"> PAGEREF _Toc12260359 \h </w:instrText>
        </w:r>
        <w:r>
          <w:rPr>
            <w:noProof/>
            <w:webHidden/>
          </w:rPr>
        </w:r>
        <w:r>
          <w:rPr>
            <w:noProof/>
            <w:webHidden/>
          </w:rPr>
          <w:fldChar w:fldCharType="separate"/>
        </w:r>
        <w:r>
          <w:rPr>
            <w:noProof/>
            <w:webHidden/>
          </w:rPr>
          <w:t>125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60" w:history="1">
        <w:r w:rsidRPr="00CD0B56">
          <w:rPr>
            <w:rStyle w:val="Hyperlink"/>
            <w:noProof/>
          </w:rPr>
          <w:t>2.1.292</w:t>
        </w:r>
        <w:r>
          <w:rPr>
            <w:rFonts w:asciiTheme="minorHAnsi" w:eastAsiaTheme="minorEastAsia" w:hAnsiTheme="minorHAnsi" w:cstheme="minorBidi"/>
            <w:noProof/>
            <w:sz w:val="22"/>
            <w:szCs w:val="22"/>
          </w:rPr>
          <w:tab/>
        </w:r>
        <w:r w:rsidRPr="00CD0B56">
          <w:rPr>
            <w:rStyle w:val="Hyperlink"/>
            <w:noProof/>
          </w:rPr>
          <w:t>Part 1 Section 17.9.25, start (Starting Value)</w:t>
        </w:r>
        <w:r>
          <w:rPr>
            <w:noProof/>
            <w:webHidden/>
          </w:rPr>
          <w:tab/>
        </w:r>
        <w:r>
          <w:rPr>
            <w:noProof/>
            <w:webHidden/>
          </w:rPr>
          <w:fldChar w:fldCharType="begin"/>
        </w:r>
        <w:r>
          <w:rPr>
            <w:noProof/>
            <w:webHidden/>
          </w:rPr>
          <w:instrText xml:space="preserve"> PAGEREF _Toc12260360 \h </w:instrText>
        </w:r>
        <w:r>
          <w:rPr>
            <w:noProof/>
            <w:webHidden/>
          </w:rPr>
        </w:r>
        <w:r>
          <w:rPr>
            <w:noProof/>
            <w:webHidden/>
          </w:rPr>
          <w:fldChar w:fldCharType="separate"/>
        </w:r>
        <w:r>
          <w:rPr>
            <w:noProof/>
            <w:webHidden/>
          </w:rPr>
          <w:t>125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61" w:history="1">
        <w:r w:rsidRPr="00CD0B56">
          <w:rPr>
            <w:rStyle w:val="Hyperlink"/>
            <w:noProof/>
          </w:rPr>
          <w:t>2.1.293</w:t>
        </w:r>
        <w:r>
          <w:rPr>
            <w:rFonts w:asciiTheme="minorHAnsi" w:eastAsiaTheme="minorEastAsia" w:hAnsiTheme="minorHAnsi" w:cstheme="minorBidi"/>
            <w:noProof/>
            <w:sz w:val="22"/>
            <w:szCs w:val="22"/>
          </w:rPr>
          <w:tab/>
        </w:r>
        <w:r w:rsidRPr="00CD0B56">
          <w:rPr>
            <w:rStyle w:val="Hyperlink"/>
            <w:noProof/>
          </w:rPr>
          <w:t>Part 1 Section 17.9.27, styleLink (Numbering Style Definition)</w:t>
        </w:r>
        <w:r>
          <w:rPr>
            <w:noProof/>
            <w:webHidden/>
          </w:rPr>
          <w:tab/>
        </w:r>
        <w:r>
          <w:rPr>
            <w:noProof/>
            <w:webHidden/>
          </w:rPr>
          <w:fldChar w:fldCharType="begin"/>
        </w:r>
        <w:r>
          <w:rPr>
            <w:noProof/>
            <w:webHidden/>
          </w:rPr>
          <w:instrText xml:space="preserve"> PAGEREF _Toc12260361 \h </w:instrText>
        </w:r>
        <w:r>
          <w:rPr>
            <w:noProof/>
            <w:webHidden/>
          </w:rPr>
        </w:r>
        <w:r>
          <w:rPr>
            <w:noProof/>
            <w:webHidden/>
          </w:rPr>
          <w:fldChar w:fldCharType="separate"/>
        </w:r>
        <w:r>
          <w:rPr>
            <w:noProof/>
            <w:webHidden/>
          </w:rPr>
          <w:t>126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62" w:history="1">
        <w:r w:rsidRPr="00CD0B56">
          <w:rPr>
            <w:rStyle w:val="Hyperlink"/>
            <w:noProof/>
          </w:rPr>
          <w:t>2.1.294</w:t>
        </w:r>
        <w:r>
          <w:rPr>
            <w:rFonts w:asciiTheme="minorHAnsi" w:eastAsiaTheme="minorEastAsia" w:hAnsiTheme="minorHAnsi" w:cstheme="minorBidi"/>
            <w:noProof/>
            <w:sz w:val="22"/>
            <w:szCs w:val="22"/>
          </w:rPr>
          <w:tab/>
        </w:r>
        <w:r w:rsidRPr="00CD0B56">
          <w:rPr>
            <w:rStyle w:val="Hyperlink"/>
            <w:noProof/>
          </w:rPr>
          <w:t>Part 1 Section 17.10.1, evenAndOddHeaders (Different Even/Odd Page Headers and Footers)</w:t>
        </w:r>
        <w:r>
          <w:rPr>
            <w:noProof/>
            <w:webHidden/>
          </w:rPr>
          <w:tab/>
        </w:r>
        <w:r>
          <w:rPr>
            <w:noProof/>
            <w:webHidden/>
          </w:rPr>
          <w:fldChar w:fldCharType="begin"/>
        </w:r>
        <w:r>
          <w:rPr>
            <w:noProof/>
            <w:webHidden/>
          </w:rPr>
          <w:instrText xml:space="preserve"> PAGEREF _Toc12260362 \h </w:instrText>
        </w:r>
        <w:r>
          <w:rPr>
            <w:noProof/>
            <w:webHidden/>
          </w:rPr>
        </w:r>
        <w:r>
          <w:rPr>
            <w:noProof/>
            <w:webHidden/>
          </w:rPr>
          <w:fldChar w:fldCharType="separate"/>
        </w:r>
        <w:r>
          <w:rPr>
            <w:noProof/>
            <w:webHidden/>
          </w:rPr>
          <w:t>126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63" w:history="1">
        <w:r w:rsidRPr="00CD0B56">
          <w:rPr>
            <w:rStyle w:val="Hyperlink"/>
            <w:noProof/>
          </w:rPr>
          <w:t>2.1.295</w:t>
        </w:r>
        <w:r>
          <w:rPr>
            <w:rFonts w:asciiTheme="minorHAnsi" w:eastAsiaTheme="minorEastAsia" w:hAnsiTheme="minorHAnsi" w:cstheme="minorBidi"/>
            <w:noProof/>
            <w:sz w:val="22"/>
            <w:szCs w:val="22"/>
          </w:rPr>
          <w:tab/>
        </w:r>
        <w:r w:rsidRPr="00CD0B56">
          <w:rPr>
            <w:rStyle w:val="Hyperlink"/>
            <w:noProof/>
          </w:rPr>
          <w:t>Part 1 Section 17.10.2, footerReference (Footer Reference)</w:t>
        </w:r>
        <w:r>
          <w:rPr>
            <w:noProof/>
            <w:webHidden/>
          </w:rPr>
          <w:tab/>
        </w:r>
        <w:r>
          <w:rPr>
            <w:noProof/>
            <w:webHidden/>
          </w:rPr>
          <w:fldChar w:fldCharType="begin"/>
        </w:r>
        <w:r>
          <w:rPr>
            <w:noProof/>
            <w:webHidden/>
          </w:rPr>
          <w:instrText xml:space="preserve"> PAGEREF _Toc12260363 \h </w:instrText>
        </w:r>
        <w:r>
          <w:rPr>
            <w:noProof/>
            <w:webHidden/>
          </w:rPr>
        </w:r>
        <w:r>
          <w:rPr>
            <w:noProof/>
            <w:webHidden/>
          </w:rPr>
          <w:fldChar w:fldCharType="separate"/>
        </w:r>
        <w:r>
          <w:rPr>
            <w:noProof/>
            <w:webHidden/>
          </w:rPr>
          <w:t>126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64" w:history="1">
        <w:r w:rsidRPr="00CD0B56">
          <w:rPr>
            <w:rStyle w:val="Hyperlink"/>
            <w:noProof/>
          </w:rPr>
          <w:t>2.1.296</w:t>
        </w:r>
        <w:r>
          <w:rPr>
            <w:rFonts w:asciiTheme="minorHAnsi" w:eastAsiaTheme="minorEastAsia" w:hAnsiTheme="minorHAnsi" w:cstheme="minorBidi"/>
            <w:noProof/>
            <w:sz w:val="22"/>
            <w:szCs w:val="22"/>
          </w:rPr>
          <w:tab/>
        </w:r>
        <w:r w:rsidRPr="00CD0B56">
          <w:rPr>
            <w:rStyle w:val="Hyperlink"/>
            <w:noProof/>
          </w:rPr>
          <w:t>Part 1 Section 17.10.3, ftr (Footer)</w:t>
        </w:r>
        <w:r>
          <w:rPr>
            <w:noProof/>
            <w:webHidden/>
          </w:rPr>
          <w:tab/>
        </w:r>
        <w:r>
          <w:rPr>
            <w:noProof/>
            <w:webHidden/>
          </w:rPr>
          <w:fldChar w:fldCharType="begin"/>
        </w:r>
        <w:r>
          <w:rPr>
            <w:noProof/>
            <w:webHidden/>
          </w:rPr>
          <w:instrText xml:space="preserve"> PAGEREF _Toc12260364 \h </w:instrText>
        </w:r>
        <w:r>
          <w:rPr>
            <w:noProof/>
            <w:webHidden/>
          </w:rPr>
        </w:r>
        <w:r>
          <w:rPr>
            <w:noProof/>
            <w:webHidden/>
          </w:rPr>
          <w:fldChar w:fldCharType="separate"/>
        </w:r>
        <w:r>
          <w:rPr>
            <w:noProof/>
            <w:webHidden/>
          </w:rPr>
          <w:t>126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65" w:history="1">
        <w:r w:rsidRPr="00CD0B56">
          <w:rPr>
            <w:rStyle w:val="Hyperlink"/>
            <w:noProof/>
          </w:rPr>
          <w:t>2.1.297</w:t>
        </w:r>
        <w:r>
          <w:rPr>
            <w:rFonts w:asciiTheme="minorHAnsi" w:eastAsiaTheme="minorEastAsia" w:hAnsiTheme="minorHAnsi" w:cstheme="minorBidi"/>
            <w:noProof/>
            <w:sz w:val="22"/>
            <w:szCs w:val="22"/>
          </w:rPr>
          <w:tab/>
        </w:r>
        <w:r w:rsidRPr="00CD0B56">
          <w:rPr>
            <w:rStyle w:val="Hyperlink"/>
            <w:noProof/>
          </w:rPr>
          <w:t>Part 1 Section 17.10.4, hdr (Header)</w:t>
        </w:r>
        <w:r>
          <w:rPr>
            <w:noProof/>
            <w:webHidden/>
          </w:rPr>
          <w:tab/>
        </w:r>
        <w:r>
          <w:rPr>
            <w:noProof/>
            <w:webHidden/>
          </w:rPr>
          <w:fldChar w:fldCharType="begin"/>
        </w:r>
        <w:r>
          <w:rPr>
            <w:noProof/>
            <w:webHidden/>
          </w:rPr>
          <w:instrText xml:space="preserve"> PAGEREF _Toc12260365 \h </w:instrText>
        </w:r>
        <w:r>
          <w:rPr>
            <w:noProof/>
            <w:webHidden/>
          </w:rPr>
        </w:r>
        <w:r>
          <w:rPr>
            <w:noProof/>
            <w:webHidden/>
          </w:rPr>
          <w:fldChar w:fldCharType="separate"/>
        </w:r>
        <w:r>
          <w:rPr>
            <w:noProof/>
            <w:webHidden/>
          </w:rPr>
          <w:t>126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66" w:history="1">
        <w:r w:rsidRPr="00CD0B56">
          <w:rPr>
            <w:rStyle w:val="Hyperlink"/>
            <w:noProof/>
          </w:rPr>
          <w:t>2.1.298</w:t>
        </w:r>
        <w:r>
          <w:rPr>
            <w:rFonts w:asciiTheme="minorHAnsi" w:eastAsiaTheme="minorEastAsia" w:hAnsiTheme="minorHAnsi" w:cstheme="minorBidi"/>
            <w:noProof/>
            <w:sz w:val="22"/>
            <w:szCs w:val="22"/>
          </w:rPr>
          <w:tab/>
        </w:r>
        <w:r w:rsidRPr="00CD0B56">
          <w:rPr>
            <w:rStyle w:val="Hyperlink"/>
            <w:noProof/>
          </w:rPr>
          <w:t>Part 1 Section 17.10.5, headerReference (Header Reference)</w:t>
        </w:r>
        <w:r>
          <w:rPr>
            <w:noProof/>
            <w:webHidden/>
          </w:rPr>
          <w:tab/>
        </w:r>
        <w:r>
          <w:rPr>
            <w:noProof/>
            <w:webHidden/>
          </w:rPr>
          <w:fldChar w:fldCharType="begin"/>
        </w:r>
        <w:r>
          <w:rPr>
            <w:noProof/>
            <w:webHidden/>
          </w:rPr>
          <w:instrText xml:space="preserve"> PAGEREF _Toc12260366 \h </w:instrText>
        </w:r>
        <w:r>
          <w:rPr>
            <w:noProof/>
            <w:webHidden/>
          </w:rPr>
        </w:r>
        <w:r>
          <w:rPr>
            <w:noProof/>
            <w:webHidden/>
          </w:rPr>
          <w:fldChar w:fldCharType="separate"/>
        </w:r>
        <w:r>
          <w:rPr>
            <w:noProof/>
            <w:webHidden/>
          </w:rPr>
          <w:t>126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67" w:history="1">
        <w:r w:rsidRPr="00CD0B56">
          <w:rPr>
            <w:rStyle w:val="Hyperlink"/>
            <w:noProof/>
          </w:rPr>
          <w:t>2.1.299</w:t>
        </w:r>
        <w:r>
          <w:rPr>
            <w:rFonts w:asciiTheme="minorHAnsi" w:eastAsiaTheme="minorEastAsia" w:hAnsiTheme="minorHAnsi" w:cstheme="minorBidi"/>
            <w:noProof/>
            <w:sz w:val="22"/>
            <w:szCs w:val="22"/>
          </w:rPr>
          <w:tab/>
        </w:r>
        <w:r w:rsidRPr="00CD0B56">
          <w:rPr>
            <w:rStyle w:val="Hyperlink"/>
            <w:noProof/>
          </w:rPr>
          <w:t>Part 1 Section 17.10.6, titlePg (Different First Page Headers and Footers)</w:t>
        </w:r>
        <w:r>
          <w:rPr>
            <w:noProof/>
            <w:webHidden/>
          </w:rPr>
          <w:tab/>
        </w:r>
        <w:r>
          <w:rPr>
            <w:noProof/>
            <w:webHidden/>
          </w:rPr>
          <w:fldChar w:fldCharType="begin"/>
        </w:r>
        <w:r>
          <w:rPr>
            <w:noProof/>
            <w:webHidden/>
          </w:rPr>
          <w:instrText xml:space="preserve"> PAGEREF _Toc12260367 \h </w:instrText>
        </w:r>
        <w:r>
          <w:rPr>
            <w:noProof/>
            <w:webHidden/>
          </w:rPr>
        </w:r>
        <w:r>
          <w:rPr>
            <w:noProof/>
            <w:webHidden/>
          </w:rPr>
          <w:fldChar w:fldCharType="separate"/>
        </w:r>
        <w:r>
          <w:rPr>
            <w:noProof/>
            <w:webHidden/>
          </w:rPr>
          <w:t>127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68" w:history="1">
        <w:r w:rsidRPr="00CD0B56">
          <w:rPr>
            <w:rStyle w:val="Hyperlink"/>
            <w:noProof/>
          </w:rPr>
          <w:t>2.1.300</w:t>
        </w:r>
        <w:r>
          <w:rPr>
            <w:rFonts w:asciiTheme="minorHAnsi" w:eastAsiaTheme="minorEastAsia" w:hAnsiTheme="minorHAnsi" w:cstheme="minorBidi"/>
            <w:noProof/>
            <w:sz w:val="22"/>
            <w:szCs w:val="22"/>
          </w:rPr>
          <w:tab/>
        </w:r>
        <w:r w:rsidRPr="00CD0B56">
          <w:rPr>
            <w:rStyle w:val="Hyperlink"/>
            <w:noProof/>
          </w:rPr>
          <w:t>Part 1 Section 17.11.2, endnote (Endnote Content)</w:t>
        </w:r>
        <w:r>
          <w:rPr>
            <w:noProof/>
            <w:webHidden/>
          </w:rPr>
          <w:tab/>
        </w:r>
        <w:r>
          <w:rPr>
            <w:noProof/>
            <w:webHidden/>
          </w:rPr>
          <w:fldChar w:fldCharType="begin"/>
        </w:r>
        <w:r>
          <w:rPr>
            <w:noProof/>
            <w:webHidden/>
          </w:rPr>
          <w:instrText xml:space="preserve"> PAGEREF _Toc12260368 \h </w:instrText>
        </w:r>
        <w:r>
          <w:rPr>
            <w:noProof/>
            <w:webHidden/>
          </w:rPr>
        </w:r>
        <w:r>
          <w:rPr>
            <w:noProof/>
            <w:webHidden/>
          </w:rPr>
          <w:fldChar w:fldCharType="separate"/>
        </w:r>
        <w:r>
          <w:rPr>
            <w:noProof/>
            <w:webHidden/>
          </w:rPr>
          <w:t>127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69" w:history="1">
        <w:r w:rsidRPr="00CD0B56">
          <w:rPr>
            <w:rStyle w:val="Hyperlink"/>
            <w:noProof/>
          </w:rPr>
          <w:t>2.1.301</w:t>
        </w:r>
        <w:r>
          <w:rPr>
            <w:rFonts w:asciiTheme="minorHAnsi" w:eastAsiaTheme="minorEastAsia" w:hAnsiTheme="minorHAnsi" w:cstheme="minorBidi"/>
            <w:noProof/>
            <w:sz w:val="22"/>
            <w:szCs w:val="22"/>
          </w:rPr>
          <w:tab/>
        </w:r>
        <w:r w:rsidRPr="00CD0B56">
          <w:rPr>
            <w:rStyle w:val="Hyperlink"/>
            <w:noProof/>
          </w:rPr>
          <w:t>Part 1 Section 17.11.3, endnote (Special Endnote List)</w:t>
        </w:r>
        <w:r>
          <w:rPr>
            <w:noProof/>
            <w:webHidden/>
          </w:rPr>
          <w:tab/>
        </w:r>
        <w:r>
          <w:rPr>
            <w:noProof/>
            <w:webHidden/>
          </w:rPr>
          <w:fldChar w:fldCharType="begin"/>
        </w:r>
        <w:r>
          <w:rPr>
            <w:noProof/>
            <w:webHidden/>
          </w:rPr>
          <w:instrText xml:space="preserve"> PAGEREF _Toc12260369 \h </w:instrText>
        </w:r>
        <w:r>
          <w:rPr>
            <w:noProof/>
            <w:webHidden/>
          </w:rPr>
        </w:r>
        <w:r>
          <w:rPr>
            <w:noProof/>
            <w:webHidden/>
          </w:rPr>
          <w:fldChar w:fldCharType="separate"/>
        </w:r>
        <w:r>
          <w:rPr>
            <w:noProof/>
            <w:webHidden/>
          </w:rPr>
          <w:t>127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70" w:history="1">
        <w:r w:rsidRPr="00CD0B56">
          <w:rPr>
            <w:rStyle w:val="Hyperlink"/>
            <w:noProof/>
          </w:rPr>
          <w:t>2.1.302</w:t>
        </w:r>
        <w:r>
          <w:rPr>
            <w:rFonts w:asciiTheme="minorHAnsi" w:eastAsiaTheme="minorEastAsia" w:hAnsiTheme="minorHAnsi" w:cstheme="minorBidi"/>
            <w:noProof/>
            <w:sz w:val="22"/>
            <w:szCs w:val="22"/>
          </w:rPr>
          <w:tab/>
        </w:r>
        <w:r w:rsidRPr="00CD0B56">
          <w:rPr>
            <w:rStyle w:val="Hyperlink"/>
            <w:noProof/>
          </w:rPr>
          <w:t>Part 1 Section 17.11.7, endnoteReference (Endnote Reference)</w:t>
        </w:r>
        <w:r>
          <w:rPr>
            <w:noProof/>
            <w:webHidden/>
          </w:rPr>
          <w:tab/>
        </w:r>
        <w:r>
          <w:rPr>
            <w:noProof/>
            <w:webHidden/>
          </w:rPr>
          <w:fldChar w:fldCharType="begin"/>
        </w:r>
        <w:r>
          <w:rPr>
            <w:noProof/>
            <w:webHidden/>
          </w:rPr>
          <w:instrText xml:space="preserve"> PAGEREF _Toc12260370 \h </w:instrText>
        </w:r>
        <w:r>
          <w:rPr>
            <w:noProof/>
            <w:webHidden/>
          </w:rPr>
        </w:r>
        <w:r>
          <w:rPr>
            <w:noProof/>
            <w:webHidden/>
          </w:rPr>
          <w:fldChar w:fldCharType="separate"/>
        </w:r>
        <w:r>
          <w:rPr>
            <w:noProof/>
            <w:webHidden/>
          </w:rPr>
          <w:t>127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71" w:history="1">
        <w:r w:rsidRPr="00CD0B56">
          <w:rPr>
            <w:rStyle w:val="Hyperlink"/>
            <w:noProof/>
          </w:rPr>
          <w:t>2.1.303</w:t>
        </w:r>
        <w:r>
          <w:rPr>
            <w:rFonts w:asciiTheme="minorHAnsi" w:eastAsiaTheme="minorEastAsia" w:hAnsiTheme="minorHAnsi" w:cstheme="minorBidi"/>
            <w:noProof/>
            <w:sz w:val="22"/>
            <w:szCs w:val="22"/>
          </w:rPr>
          <w:tab/>
        </w:r>
        <w:r w:rsidRPr="00CD0B56">
          <w:rPr>
            <w:rStyle w:val="Hyperlink"/>
            <w:noProof/>
          </w:rPr>
          <w:t>Part 1 Section 17.11.9, footnote (Special Footnote List)</w:t>
        </w:r>
        <w:r>
          <w:rPr>
            <w:noProof/>
            <w:webHidden/>
          </w:rPr>
          <w:tab/>
        </w:r>
        <w:r>
          <w:rPr>
            <w:noProof/>
            <w:webHidden/>
          </w:rPr>
          <w:fldChar w:fldCharType="begin"/>
        </w:r>
        <w:r>
          <w:rPr>
            <w:noProof/>
            <w:webHidden/>
          </w:rPr>
          <w:instrText xml:space="preserve"> PAGEREF _Toc12260371 \h </w:instrText>
        </w:r>
        <w:r>
          <w:rPr>
            <w:noProof/>
            <w:webHidden/>
          </w:rPr>
        </w:r>
        <w:r>
          <w:rPr>
            <w:noProof/>
            <w:webHidden/>
          </w:rPr>
          <w:fldChar w:fldCharType="separate"/>
        </w:r>
        <w:r>
          <w:rPr>
            <w:noProof/>
            <w:webHidden/>
          </w:rPr>
          <w:t>128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72" w:history="1">
        <w:r w:rsidRPr="00CD0B56">
          <w:rPr>
            <w:rStyle w:val="Hyperlink"/>
            <w:noProof/>
          </w:rPr>
          <w:t>2.1.304</w:t>
        </w:r>
        <w:r>
          <w:rPr>
            <w:rFonts w:asciiTheme="minorHAnsi" w:eastAsiaTheme="minorEastAsia" w:hAnsiTheme="minorHAnsi" w:cstheme="minorBidi"/>
            <w:noProof/>
            <w:sz w:val="22"/>
            <w:szCs w:val="22"/>
          </w:rPr>
          <w:tab/>
        </w:r>
        <w:r w:rsidRPr="00CD0B56">
          <w:rPr>
            <w:rStyle w:val="Hyperlink"/>
            <w:noProof/>
          </w:rPr>
          <w:t>Part 1 Section 17.11.10, footnote (Footnote Content)</w:t>
        </w:r>
        <w:r>
          <w:rPr>
            <w:noProof/>
            <w:webHidden/>
          </w:rPr>
          <w:tab/>
        </w:r>
        <w:r>
          <w:rPr>
            <w:noProof/>
            <w:webHidden/>
          </w:rPr>
          <w:fldChar w:fldCharType="begin"/>
        </w:r>
        <w:r>
          <w:rPr>
            <w:noProof/>
            <w:webHidden/>
          </w:rPr>
          <w:instrText xml:space="preserve"> PAGEREF _Toc12260372 \h </w:instrText>
        </w:r>
        <w:r>
          <w:rPr>
            <w:noProof/>
            <w:webHidden/>
          </w:rPr>
        </w:r>
        <w:r>
          <w:rPr>
            <w:noProof/>
            <w:webHidden/>
          </w:rPr>
          <w:fldChar w:fldCharType="separate"/>
        </w:r>
        <w:r>
          <w:rPr>
            <w:noProof/>
            <w:webHidden/>
          </w:rPr>
          <w:t>128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73" w:history="1">
        <w:r w:rsidRPr="00CD0B56">
          <w:rPr>
            <w:rStyle w:val="Hyperlink"/>
            <w:noProof/>
          </w:rPr>
          <w:t>2.1.305</w:t>
        </w:r>
        <w:r>
          <w:rPr>
            <w:rFonts w:asciiTheme="minorHAnsi" w:eastAsiaTheme="minorEastAsia" w:hAnsiTheme="minorHAnsi" w:cstheme="minorBidi"/>
            <w:noProof/>
            <w:sz w:val="22"/>
            <w:szCs w:val="22"/>
          </w:rPr>
          <w:tab/>
        </w:r>
        <w:r w:rsidRPr="00CD0B56">
          <w:rPr>
            <w:rStyle w:val="Hyperlink"/>
            <w:noProof/>
          </w:rPr>
          <w:t>Part 1 Section 17.11.14, footnoteReference (Footnote Reference)</w:t>
        </w:r>
        <w:r>
          <w:rPr>
            <w:noProof/>
            <w:webHidden/>
          </w:rPr>
          <w:tab/>
        </w:r>
        <w:r>
          <w:rPr>
            <w:noProof/>
            <w:webHidden/>
          </w:rPr>
          <w:fldChar w:fldCharType="begin"/>
        </w:r>
        <w:r>
          <w:rPr>
            <w:noProof/>
            <w:webHidden/>
          </w:rPr>
          <w:instrText xml:space="preserve"> PAGEREF _Toc12260373 \h </w:instrText>
        </w:r>
        <w:r>
          <w:rPr>
            <w:noProof/>
            <w:webHidden/>
          </w:rPr>
        </w:r>
        <w:r>
          <w:rPr>
            <w:noProof/>
            <w:webHidden/>
          </w:rPr>
          <w:fldChar w:fldCharType="separate"/>
        </w:r>
        <w:r>
          <w:rPr>
            <w:noProof/>
            <w:webHidden/>
          </w:rPr>
          <w:t>128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74" w:history="1">
        <w:r w:rsidRPr="00CD0B56">
          <w:rPr>
            <w:rStyle w:val="Hyperlink"/>
            <w:noProof/>
          </w:rPr>
          <w:t>2.1.306</w:t>
        </w:r>
        <w:r>
          <w:rPr>
            <w:rFonts w:asciiTheme="minorHAnsi" w:eastAsiaTheme="minorEastAsia" w:hAnsiTheme="minorHAnsi" w:cstheme="minorBidi"/>
            <w:noProof/>
            <w:sz w:val="22"/>
            <w:szCs w:val="22"/>
          </w:rPr>
          <w:tab/>
        </w:r>
        <w:r w:rsidRPr="00CD0B56">
          <w:rPr>
            <w:rStyle w:val="Hyperlink"/>
            <w:noProof/>
          </w:rPr>
          <w:t>Part 1 Section 17.11.17, numFmt (Endnote Numbering Format)</w:t>
        </w:r>
        <w:r>
          <w:rPr>
            <w:noProof/>
            <w:webHidden/>
          </w:rPr>
          <w:tab/>
        </w:r>
        <w:r>
          <w:rPr>
            <w:noProof/>
            <w:webHidden/>
          </w:rPr>
          <w:fldChar w:fldCharType="begin"/>
        </w:r>
        <w:r>
          <w:rPr>
            <w:noProof/>
            <w:webHidden/>
          </w:rPr>
          <w:instrText xml:space="preserve"> PAGEREF _Toc12260374 \h </w:instrText>
        </w:r>
        <w:r>
          <w:rPr>
            <w:noProof/>
            <w:webHidden/>
          </w:rPr>
        </w:r>
        <w:r>
          <w:rPr>
            <w:noProof/>
            <w:webHidden/>
          </w:rPr>
          <w:fldChar w:fldCharType="separate"/>
        </w:r>
        <w:r>
          <w:rPr>
            <w:noProof/>
            <w:webHidden/>
          </w:rPr>
          <w:t>128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75" w:history="1">
        <w:r w:rsidRPr="00CD0B56">
          <w:rPr>
            <w:rStyle w:val="Hyperlink"/>
            <w:noProof/>
          </w:rPr>
          <w:t>2.1.307</w:t>
        </w:r>
        <w:r>
          <w:rPr>
            <w:rFonts w:asciiTheme="minorHAnsi" w:eastAsiaTheme="minorEastAsia" w:hAnsiTheme="minorHAnsi" w:cstheme="minorBidi"/>
            <w:noProof/>
            <w:sz w:val="22"/>
            <w:szCs w:val="22"/>
          </w:rPr>
          <w:tab/>
        </w:r>
        <w:r w:rsidRPr="00CD0B56">
          <w:rPr>
            <w:rStyle w:val="Hyperlink"/>
            <w:noProof/>
          </w:rPr>
          <w:t>Part 1 Section 17.11.18, numFmt (Footnote Numbering Format)</w:t>
        </w:r>
        <w:r>
          <w:rPr>
            <w:noProof/>
            <w:webHidden/>
          </w:rPr>
          <w:tab/>
        </w:r>
        <w:r>
          <w:rPr>
            <w:noProof/>
            <w:webHidden/>
          </w:rPr>
          <w:fldChar w:fldCharType="begin"/>
        </w:r>
        <w:r>
          <w:rPr>
            <w:noProof/>
            <w:webHidden/>
          </w:rPr>
          <w:instrText xml:space="preserve"> PAGEREF _Toc12260375 \h </w:instrText>
        </w:r>
        <w:r>
          <w:rPr>
            <w:noProof/>
            <w:webHidden/>
          </w:rPr>
        </w:r>
        <w:r>
          <w:rPr>
            <w:noProof/>
            <w:webHidden/>
          </w:rPr>
          <w:fldChar w:fldCharType="separate"/>
        </w:r>
        <w:r>
          <w:rPr>
            <w:noProof/>
            <w:webHidden/>
          </w:rPr>
          <w:t>128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76" w:history="1">
        <w:r w:rsidRPr="00CD0B56">
          <w:rPr>
            <w:rStyle w:val="Hyperlink"/>
            <w:noProof/>
          </w:rPr>
          <w:t>2.1.308</w:t>
        </w:r>
        <w:r>
          <w:rPr>
            <w:rFonts w:asciiTheme="minorHAnsi" w:eastAsiaTheme="minorEastAsia" w:hAnsiTheme="minorHAnsi" w:cstheme="minorBidi"/>
            <w:noProof/>
            <w:sz w:val="22"/>
            <w:szCs w:val="22"/>
          </w:rPr>
          <w:tab/>
        </w:r>
        <w:r w:rsidRPr="00CD0B56">
          <w:rPr>
            <w:rStyle w:val="Hyperlink"/>
            <w:noProof/>
          </w:rPr>
          <w:t>Part 1 Section 17.11.20, numStart (Footnote and Endnote Numbering Starting Value)</w:t>
        </w:r>
        <w:r>
          <w:rPr>
            <w:noProof/>
            <w:webHidden/>
          </w:rPr>
          <w:tab/>
        </w:r>
        <w:r>
          <w:rPr>
            <w:noProof/>
            <w:webHidden/>
          </w:rPr>
          <w:fldChar w:fldCharType="begin"/>
        </w:r>
        <w:r>
          <w:rPr>
            <w:noProof/>
            <w:webHidden/>
          </w:rPr>
          <w:instrText xml:space="preserve"> PAGEREF _Toc12260376 \h </w:instrText>
        </w:r>
        <w:r>
          <w:rPr>
            <w:noProof/>
            <w:webHidden/>
          </w:rPr>
        </w:r>
        <w:r>
          <w:rPr>
            <w:noProof/>
            <w:webHidden/>
          </w:rPr>
          <w:fldChar w:fldCharType="separate"/>
        </w:r>
        <w:r>
          <w:rPr>
            <w:noProof/>
            <w:webHidden/>
          </w:rPr>
          <w:t>128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77" w:history="1">
        <w:r w:rsidRPr="00CD0B56">
          <w:rPr>
            <w:rStyle w:val="Hyperlink"/>
            <w:noProof/>
          </w:rPr>
          <w:t>2.1.309</w:t>
        </w:r>
        <w:r>
          <w:rPr>
            <w:rFonts w:asciiTheme="minorHAnsi" w:eastAsiaTheme="minorEastAsia" w:hAnsiTheme="minorHAnsi" w:cstheme="minorBidi"/>
            <w:noProof/>
            <w:sz w:val="22"/>
            <w:szCs w:val="22"/>
          </w:rPr>
          <w:tab/>
        </w:r>
        <w:r w:rsidRPr="00CD0B56">
          <w:rPr>
            <w:rStyle w:val="Hyperlink"/>
            <w:noProof/>
          </w:rPr>
          <w:t>Part 1 Section 17.11.21, pos (Footnote Placement)</w:t>
        </w:r>
        <w:r>
          <w:rPr>
            <w:noProof/>
            <w:webHidden/>
          </w:rPr>
          <w:tab/>
        </w:r>
        <w:r>
          <w:rPr>
            <w:noProof/>
            <w:webHidden/>
          </w:rPr>
          <w:fldChar w:fldCharType="begin"/>
        </w:r>
        <w:r>
          <w:rPr>
            <w:noProof/>
            <w:webHidden/>
          </w:rPr>
          <w:instrText xml:space="preserve"> PAGEREF _Toc12260377 \h </w:instrText>
        </w:r>
        <w:r>
          <w:rPr>
            <w:noProof/>
            <w:webHidden/>
          </w:rPr>
        </w:r>
        <w:r>
          <w:rPr>
            <w:noProof/>
            <w:webHidden/>
          </w:rPr>
          <w:fldChar w:fldCharType="separate"/>
        </w:r>
        <w:r>
          <w:rPr>
            <w:noProof/>
            <w:webHidden/>
          </w:rPr>
          <w:t>129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78" w:history="1">
        <w:r w:rsidRPr="00CD0B56">
          <w:rPr>
            <w:rStyle w:val="Hyperlink"/>
            <w:noProof/>
          </w:rPr>
          <w:t>2.1.310</w:t>
        </w:r>
        <w:r>
          <w:rPr>
            <w:rFonts w:asciiTheme="minorHAnsi" w:eastAsiaTheme="minorEastAsia" w:hAnsiTheme="minorHAnsi" w:cstheme="minorBidi"/>
            <w:noProof/>
            <w:sz w:val="22"/>
            <w:szCs w:val="22"/>
          </w:rPr>
          <w:tab/>
        </w:r>
        <w:r w:rsidRPr="00CD0B56">
          <w:rPr>
            <w:rStyle w:val="Hyperlink"/>
            <w:noProof/>
          </w:rPr>
          <w:t>Part 1 Section 17.12.6, docPartBody (Contents of Glossary Document Entry)</w:t>
        </w:r>
        <w:r>
          <w:rPr>
            <w:noProof/>
            <w:webHidden/>
          </w:rPr>
          <w:tab/>
        </w:r>
        <w:r>
          <w:rPr>
            <w:noProof/>
            <w:webHidden/>
          </w:rPr>
          <w:fldChar w:fldCharType="begin"/>
        </w:r>
        <w:r>
          <w:rPr>
            <w:noProof/>
            <w:webHidden/>
          </w:rPr>
          <w:instrText xml:space="preserve"> PAGEREF _Toc12260378 \h </w:instrText>
        </w:r>
        <w:r>
          <w:rPr>
            <w:noProof/>
            <w:webHidden/>
          </w:rPr>
        </w:r>
        <w:r>
          <w:rPr>
            <w:noProof/>
            <w:webHidden/>
          </w:rPr>
          <w:fldChar w:fldCharType="separate"/>
        </w:r>
        <w:r>
          <w:rPr>
            <w:noProof/>
            <w:webHidden/>
          </w:rPr>
          <w:t>129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79" w:history="1">
        <w:r w:rsidRPr="00CD0B56">
          <w:rPr>
            <w:rStyle w:val="Hyperlink"/>
            <w:noProof/>
          </w:rPr>
          <w:t>2.1.311</w:t>
        </w:r>
        <w:r>
          <w:rPr>
            <w:rFonts w:asciiTheme="minorHAnsi" w:eastAsiaTheme="minorEastAsia" w:hAnsiTheme="minorHAnsi" w:cstheme="minorBidi"/>
            <w:noProof/>
            <w:sz w:val="22"/>
            <w:szCs w:val="22"/>
          </w:rPr>
          <w:tab/>
        </w:r>
        <w:r w:rsidRPr="00CD0B56">
          <w:rPr>
            <w:rStyle w:val="Hyperlink"/>
            <w:noProof/>
          </w:rPr>
          <w:t>Part 1 Section 17.12.7, docPartPr (Glossary Document Entry Properties)</w:t>
        </w:r>
        <w:r>
          <w:rPr>
            <w:noProof/>
            <w:webHidden/>
          </w:rPr>
          <w:tab/>
        </w:r>
        <w:r>
          <w:rPr>
            <w:noProof/>
            <w:webHidden/>
          </w:rPr>
          <w:fldChar w:fldCharType="begin"/>
        </w:r>
        <w:r>
          <w:rPr>
            <w:noProof/>
            <w:webHidden/>
          </w:rPr>
          <w:instrText xml:space="preserve"> PAGEREF _Toc12260379 \h </w:instrText>
        </w:r>
        <w:r>
          <w:rPr>
            <w:noProof/>
            <w:webHidden/>
          </w:rPr>
        </w:r>
        <w:r>
          <w:rPr>
            <w:noProof/>
            <w:webHidden/>
          </w:rPr>
          <w:fldChar w:fldCharType="separate"/>
        </w:r>
        <w:r>
          <w:rPr>
            <w:noProof/>
            <w:webHidden/>
          </w:rPr>
          <w:t>129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80" w:history="1">
        <w:r w:rsidRPr="00CD0B56">
          <w:rPr>
            <w:rStyle w:val="Hyperlink"/>
            <w:noProof/>
          </w:rPr>
          <w:t>2.1.312</w:t>
        </w:r>
        <w:r>
          <w:rPr>
            <w:rFonts w:asciiTheme="minorHAnsi" w:eastAsiaTheme="minorEastAsia" w:hAnsiTheme="minorHAnsi" w:cstheme="minorBidi"/>
            <w:noProof/>
            <w:sz w:val="22"/>
            <w:szCs w:val="22"/>
          </w:rPr>
          <w:tab/>
        </w:r>
        <w:r w:rsidRPr="00CD0B56">
          <w:rPr>
            <w:rStyle w:val="Hyperlink"/>
            <w:noProof/>
          </w:rPr>
          <w:t>Part 1 Section 17.12.8, docParts (List of Glossary Document Entries)</w:t>
        </w:r>
        <w:r>
          <w:rPr>
            <w:noProof/>
            <w:webHidden/>
          </w:rPr>
          <w:tab/>
        </w:r>
        <w:r>
          <w:rPr>
            <w:noProof/>
            <w:webHidden/>
          </w:rPr>
          <w:fldChar w:fldCharType="begin"/>
        </w:r>
        <w:r>
          <w:rPr>
            <w:noProof/>
            <w:webHidden/>
          </w:rPr>
          <w:instrText xml:space="preserve"> PAGEREF _Toc12260380 \h </w:instrText>
        </w:r>
        <w:r>
          <w:rPr>
            <w:noProof/>
            <w:webHidden/>
          </w:rPr>
        </w:r>
        <w:r>
          <w:rPr>
            <w:noProof/>
            <w:webHidden/>
          </w:rPr>
          <w:fldChar w:fldCharType="separate"/>
        </w:r>
        <w:r>
          <w:rPr>
            <w:noProof/>
            <w:webHidden/>
          </w:rPr>
          <w:t>129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81" w:history="1">
        <w:r w:rsidRPr="00CD0B56">
          <w:rPr>
            <w:rStyle w:val="Hyperlink"/>
            <w:noProof/>
          </w:rPr>
          <w:t>2.1.313</w:t>
        </w:r>
        <w:r>
          <w:rPr>
            <w:rFonts w:asciiTheme="minorHAnsi" w:eastAsiaTheme="minorEastAsia" w:hAnsiTheme="minorHAnsi" w:cstheme="minorBidi"/>
            <w:noProof/>
            <w:sz w:val="22"/>
            <w:szCs w:val="22"/>
          </w:rPr>
          <w:tab/>
        </w:r>
        <w:r w:rsidRPr="00CD0B56">
          <w:rPr>
            <w:rStyle w:val="Hyperlink"/>
            <w:noProof/>
          </w:rPr>
          <w:t>Part 1 Section 17.13.4.2, comment (Comment Content)</w:t>
        </w:r>
        <w:r>
          <w:rPr>
            <w:noProof/>
            <w:webHidden/>
          </w:rPr>
          <w:tab/>
        </w:r>
        <w:r>
          <w:rPr>
            <w:noProof/>
            <w:webHidden/>
          </w:rPr>
          <w:fldChar w:fldCharType="begin"/>
        </w:r>
        <w:r>
          <w:rPr>
            <w:noProof/>
            <w:webHidden/>
          </w:rPr>
          <w:instrText xml:space="preserve"> PAGEREF _Toc12260381 \h </w:instrText>
        </w:r>
        <w:r>
          <w:rPr>
            <w:noProof/>
            <w:webHidden/>
          </w:rPr>
        </w:r>
        <w:r>
          <w:rPr>
            <w:noProof/>
            <w:webHidden/>
          </w:rPr>
          <w:fldChar w:fldCharType="separate"/>
        </w:r>
        <w:r>
          <w:rPr>
            <w:noProof/>
            <w:webHidden/>
          </w:rPr>
          <w:t>129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82" w:history="1">
        <w:r w:rsidRPr="00CD0B56">
          <w:rPr>
            <w:rStyle w:val="Hyperlink"/>
            <w:noProof/>
          </w:rPr>
          <w:t>2.1.314</w:t>
        </w:r>
        <w:r>
          <w:rPr>
            <w:rFonts w:asciiTheme="minorHAnsi" w:eastAsiaTheme="minorEastAsia" w:hAnsiTheme="minorHAnsi" w:cstheme="minorBidi"/>
            <w:noProof/>
            <w:sz w:val="22"/>
            <w:szCs w:val="22"/>
          </w:rPr>
          <w:tab/>
        </w:r>
        <w:r w:rsidRPr="00CD0B56">
          <w:rPr>
            <w:rStyle w:val="Hyperlink"/>
            <w:noProof/>
          </w:rPr>
          <w:t>Part 1 Section 17.13.4.3, commentRangeEnd (Comment Anchor Range End)</w:t>
        </w:r>
        <w:r>
          <w:rPr>
            <w:noProof/>
            <w:webHidden/>
          </w:rPr>
          <w:tab/>
        </w:r>
        <w:r>
          <w:rPr>
            <w:noProof/>
            <w:webHidden/>
          </w:rPr>
          <w:fldChar w:fldCharType="begin"/>
        </w:r>
        <w:r>
          <w:rPr>
            <w:noProof/>
            <w:webHidden/>
          </w:rPr>
          <w:instrText xml:space="preserve"> PAGEREF _Toc12260382 \h </w:instrText>
        </w:r>
        <w:r>
          <w:rPr>
            <w:noProof/>
            <w:webHidden/>
          </w:rPr>
        </w:r>
        <w:r>
          <w:rPr>
            <w:noProof/>
            <w:webHidden/>
          </w:rPr>
          <w:fldChar w:fldCharType="separate"/>
        </w:r>
        <w:r>
          <w:rPr>
            <w:noProof/>
            <w:webHidden/>
          </w:rPr>
          <w:t>131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83" w:history="1">
        <w:r w:rsidRPr="00CD0B56">
          <w:rPr>
            <w:rStyle w:val="Hyperlink"/>
            <w:noProof/>
          </w:rPr>
          <w:t>2.1.315</w:t>
        </w:r>
        <w:r>
          <w:rPr>
            <w:rFonts w:asciiTheme="minorHAnsi" w:eastAsiaTheme="minorEastAsia" w:hAnsiTheme="minorHAnsi" w:cstheme="minorBidi"/>
            <w:noProof/>
            <w:sz w:val="22"/>
            <w:szCs w:val="22"/>
          </w:rPr>
          <w:tab/>
        </w:r>
        <w:r w:rsidRPr="00CD0B56">
          <w:rPr>
            <w:rStyle w:val="Hyperlink"/>
            <w:noProof/>
          </w:rPr>
          <w:t>Part 1 Section 17.13.4.4, commentRangeStart (Comment Anchor Range Start)</w:t>
        </w:r>
        <w:r>
          <w:rPr>
            <w:noProof/>
            <w:webHidden/>
          </w:rPr>
          <w:tab/>
        </w:r>
        <w:r>
          <w:rPr>
            <w:noProof/>
            <w:webHidden/>
          </w:rPr>
          <w:fldChar w:fldCharType="begin"/>
        </w:r>
        <w:r>
          <w:rPr>
            <w:noProof/>
            <w:webHidden/>
          </w:rPr>
          <w:instrText xml:space="preserve"> PAGEREF _Toc12260383 \h </w:instrText>
        </w:r>
        <w:r>
          <w:rPr>
            <w:noProof/>
            <w:webHidden/>
          </w:rPr>
        </w:r>
        <w:r>
          <w:rPr>
            <w:noProof/>
            <w:webHidden/>
          </w:rPr>
          <w:fldChar w:fldCharType="separate"/>
        </w:r>
        <w:r>
          <w:rPr>
            <w:noProof/>
            <w:webHidden/>
          </w:rPr>
          <w:t>131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84" w:history="1">
        <w:r w:rsidRPr="00CD0B56">
          <w:rPr>
            <w:rStyle w:val="Hyperlink"/>
            <w:noProof/>
          </w:rPr>
          <w:t>2.1.316</w:t>
        </w:r>
        <w:r>
          <w:rPr>
            <w:rFonts w:asciiTheme="minorHAnsi" w:eastAsiaTheme="minorEastAsia" w:hAnsiTheme="minorHAnsi" w:cstheme="minorBidi"/>
            <w:noProof/>
            <w:sz w:val="22"/>
            <w:szCs w:val="22"/>
          </w:rPr>
          <w:tab/>
        </w:r>
        <w:r w:rsidRPr="00CD0B56">
          <w:rPr>
            <w:rStyle w:val="Hyperlink"/>
            <w:noProof/>
          </w:rPr>
          <w:t>Part 1 Section 17.13.4.5, commentReference (Comment Content Reference Mark)</w:t>
        </w:r>
        <w:r>
          <w:rPr>
            <w:noProof/>
            <w:webHidden/>
          </w:rPr>
          <w:tab/>
        </w:r>
        <w:r>
          <w:rPr>
            <w:noProof/>
            <w:webHidden/>
          </w:rPr>
          <w:fldChar w:fldCharType="begin"/>
        </w:r>
        <w:r>
          <w:rPr>
            <w:noProof/>
            <w:webHidden/>
          </w:rPr>
          <w:instrText xml:space="preserve"> PAGEREF _Toc12260384 \h </w:instrText>
        </w:r>
        <w:r>
          <w:rPr>
            <w:noProof/>
            <w:webHidden/>
          </w:rPr>
        </w:r>
        <w:r>
          <w:rPr>
            <w:noProof/>
            <w:webHidden/>
          </w:rPr>
          <w:fldChar w:fldCharType="separate"/>
        </w:r>
        <w:r>
          <w:rPr>
            <w:noProof/>
            <w:webHidden/>
          </w:rPr>
          <w:t>132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85" w:history="1">
        <w:r w:rsidRPr="00CD0B56">
          <w:rPr>
            <w:rStyle w:val="Hyperlink"/>
            <w:noProof/>
          </w:rPr>
          <w:t>2.1.317</w:t>
        </w:r>
        <w:r>
          <w:rPr>
            <w:rFonts w:asciiTheme="minorHAnsi" w:eastAsiaTheme="minorEastAsia" w:hAnsiTheme="minorHAnsi" w:cstheme="minorBidi"/>
            <w:noProof/>
            <w:sz w:val="22"/>
            <w:szCs w:val="22"/>
          </w:rPr>
          <w:tab/>
        </w:r>
        <w:r w:rsidRPr="00CD0B56">
          <w:rPr>
            <w:rStyle w:val="Hyperlink"/>
            <w:noProof/>
          </w:rPr>
          <w:t>Part 1 Section 17.13.5.1, cellDel (Table Cell Deletion)</w:t>
        </w:r>
        <w:r>
          <w:rPr>
            <w:noProof/>
            <w:webHidden/>
          </w:rPr>
          <w:tab/>
        </w:r>
        <w:r>
          <w:rPr>
            <w:noProof/>
            <w:webHidden/>
          </w:rPr>
          <w:fldChar w:fldCharType="begin"/>
        </w:r>
        <w:r>
          <w:rPr>
            <w:noProof/>
            <w:webHidden/>
          </w:rPr>
          <w:instrText xml:space="preserve"> PAGEREF _Toc12260385 \h </w:instrText>
        </w:r>
        <w:r>
          <w:rPr>
            <w:noProof/>
            <w:webHidden/>
          </w:rPr>
        </w:r>
        <w:r>
          <w:rPr>
            <w:noProof/>
            <w:webHidden/>
          </w:rPr>
          <w:fldChar w:fldCharType="separate"/>
        </w:r>
        <w:r>
          <w:rPr>
            <w:noProof/>
            <w:webHidden/>
          </w:rPr>
          <w:t>132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86" w:history="1">
        <w:r w:rsidRPr="00CD0B56">
          <w:rPr>
            <w:rStyle w:val="Hyperlink"/>
            <w:noProof/>
          </w:rPr>
          <w:t>2.1.318</w:t>
        </w:r>
        <w:r>
          <w:rPr>
            <w:rFonts w:asciiTheme="minorHAnsi" w:eastAsiaTheme="minorEastAsia" w:hAnsiTheme="minorHAnsi" w:cstheme="minorBidi"/>
            <w:noProof/>
            <w:sz w:val="22"/>
            <w:szCs w:val="22"/>
          </w:rPr>
          <w:tab/>
        </w:r>
        <w:r w:rsidRPr="00CD0B56">
          <w:rPr>
            <w:rStyle w:val="Hyperlink"/>
            <w:noProof/>
          </w:rPr>
          <w:t>Part 1 Section 17.13.5.2, cellIns (Table Cell Insertion)</w:t>
        </w:r>
        <w:r>
          <w:rPr>
            <w:noProof/>
            <w:webHidden/>
          </w:rPr>
          <w:tab/>
        </w:r>
        <w:r>
          <w:rPr>
            <w:noProof/>
            <w:webHidden/>
          </w:rPr>
          <w:fldChar w:fldCharType="begin"/>
        </w:r>
        <w:r>
          <w:rPr>
            <w:noProof/>
            <w:webHidden/>
          </w:rPr>
          <w:instrText xml:space="preserve"> PAGEREF _Toc12260386 \h </w:instrText>
        </w:r>
        <w:r>
          <w:rPr>
            <w:noProof/>
            <w:webHidden/>
          </w:rPr>
        </w:r>
        <w:r>
          <w:rPr>
            <w:noProof/>
            <w:webHidden/>
          </w:rPr>
          <w:fldChar w:fldCharType="separate"/>
        </w:r>
        <w:r>
          <w:rPr>
            <w:noProof/>
            <w:webHidden/>
          </w:rPr>
          <w:t>132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87" w:history="1">
        <w:r w:rsidRPr="00CD0B56">
          <w:rPr>
            <w:rStyle w:val="Hyperlink"/>
            <w:noProof/>
          </w:rPr>
          <w:t>2.1.319</w:t>
        </w:r>
        <w:r>
          <w:rPr>
            <w:rFonts w:asciiTheme="minorHAnsi" w:eastAsiaTheme="minorEastAsia" w:hAnsiTheme="minorHAnsi" w:cstheme="minorBidi"/>
            <w:noProof/>
            <w:sz w:val="22"/>
            <w:szCs w:val="22"/>
          </w:rPr>
          <w:tab/>
        </w:r>
        <w:r w:rsidRPr="00CD0B56">
          <w:rPr>
            <w:rStyle w:val="Hyperlink"/>
            <w:noProof/>
          </w:rPr>
          <w:t>Part 1 Section 17.13.5.3, cellMerge (Vertically Merged/Split Table Cells)</w:t>
        </w:r>
        <w:r>
          <w:rPr>
            <w:noProof/>
            <w:webHidden/>
          </w:rPr>
          <w:tab/>
        </w:r>
        <w:r>
          <w:rPr>
            <w:noProof/>
            <w:webHidden/>
          </w:rPr>
          <w:fldChar w:fldCharType="begin"/>
        </w:r>
        <w:r>
          <w:rPr>
            <w:noProof/>
            <w:webHidden/>
          </w:rPr>
          <w:instrText xml:space="preserve"> PAGEREF _Toc12260387 \h </w:instrText>
        </w:r>
        <w:r>
          <w:rPr>
            <w:noProof/>
            <w:webHidden/>
          </w:rPr>
        </w:r>
        <w:r>
          <w:rPr>
            <w:noProof/>
            <w:webHidden/>
          </w:rPr>
          <w:fldChar w:fldCharType="separate"/>
        </w:r>
        <w:r>
          <w:rPr>
            <w:noProof/>
            <w:webHidden/>
          </w:rPr>
          <w:t>132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88" w:history="1">
        <w:r w:rsidRPr="00CD0B56">
          <w:rPr>
            <w:rStyle w:val="Hyperlink"/>
            <w:noProof/>
          </w:rPr>
          <w:t>2.1.320</w:t>
        </w:r>
        <w:r>
          <w:rPr>
            <w:rFonts w:asciiTheme="minorHAnsi" w:eastAsiaTheme="minorEastAsia" w:hAnsiTheme="minorHAnsi" w:cstheme="minorBidi"/>
            <w:noProof/>
            <w:sz w:val="22"/>
            <w:szCs w:val="22"/>
          </w:rPr>
          <w:tab/>
        </w:r>
        <w:r w:rsidRPr="00CD0B56">
          <w:rPr>
            <w:rStyle w:val="Hyperlink"/>
            <w:noProof/>
          </w:rPr>
          <w:t>Part 1 Section 17.13.5.4, customXmlDelRangeEnd (Custom XML Markup Deletion End)</w:t>
        </w:r>
        <w:r>
          <w:rPr>
            <w:noProof/>
            <w:webHidden/>
          </w:rPr>
          <w:tab/>
        </w:r>
        <w:r>
          <w:rPr>
            <w:noProof/>
            <w:webHidden/>
          </w:rPr>
          <w:fldChar w:fldCharType="begin"/>
        </w:r>
        <w:r>
          <w:rPr>
            <w:noProof/>
            <w:webHidden/>
          </w:rPr>
          <w:instrText xml:space="preserve"> PAGEREF _Toc12260388 \h </w:instrText>
        </w:r>
        <w:r>
          <w:rPr>
            <w:noProof/>
            <w:webHidden/>
          </w:rPr>
        </w:r>
        <w:r>
          <w:rPr>
            <w:noProof/>
            <w:webHidden/>
          </w:rPr>
          <w:fldChar w:fldCharType="separate"/>
        </w:r>
        <w:r>
          <w:rPr>
            <w:noProof/>
            <w:webHidden/>
          </w:rPr>
          <w:t>132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89" w:history="1">
        <w:r w:rsidRPr="00CD0B56">
          <w:rPr>
            <w:rStyle w:val="Hyperlink"/>
            <w:noProof/>
          </w:rPr>
          <w:t>2.1.321</w:t>
        </w:r>
        <w:r>
          <w:rPr>
            <w:rFonts w:asciiTheme="minorHAnsi" w:eastAsiaTheme="minorEastAsia" w:hAnsiTheme="minorHAnsi" w:cstheme="minorBidi"/>
            <w:noProof/>
            <w:sz w:val="22"/>
            <w:szCs w:val="22"/>
          </w:rPr>
          <w:tab/>
        </w:r>
        <w:r w:rsidRPr="00CD0B56">
          <w:rPr>
            <w:rStyle w:val="Hyperlink"/>
            <w:noProof/>
          </w:rPr>
          <w:t>Part 1 Section 17.13.5.5, customXmlDelRangeStart (Custom XML Markup Deletion Start)</w:t>
        </w:r>
        <w:r>
          <w:rPr>
            <w:noProof/>
            <w:webHidden/>
          </w:rPr>
          <w:tab/>
        </w:r>
        <w:r>
          <w:rPr>
            <w:noProof/>
            <w:webHidden/>
          </w:rPr>
          <w:fldChar w:fldCharType="begin"/>
        </w:r>
        <w:r>
          <w:rPr>
            <w:noProof/>
            <w:webHidden/>
          </w:rPr>
          <w:instrText xml:space="preserve"> PAGEREF _Toc12260389 \h </w:instrText>
        </w:r>
        <w:r>
          <w:rPr>
            <w:noProof/>
            <w:webHidden/>
          </w:rPr>
        </w:r>
        <w:r>
          <w:rPr>
            <w:noProof/>
            <w:webHidden/>
          </w:rPr>
          <w:fldChar w:fldCharType="separate"/>
        </w:r>
        <w:r>
          <w:rPr>
            <w:noProof/>
            <w:webHidden/>
          </w:rPr>
          <w:t>132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90" w:history="1">
        <w:r w:rsidRPr="00CD0B56">
          <w:rPr>
            <w:rStyle w:val="Hyperlink"/>
            <w:noProof/>
          </w:rPr>
          <w:t>2.1.322</w:t>
        </w:r>
        <w:r>
          <w:rPr>
            <w:rFonts w:asciiTheme="minorHAnsi" w:eastAsiaTheme="minorEastAsia" w:hAnsiTheme="minorHAnsi" w:cstheme="minorBidi"/>
            <w:noProof/>
            <w:sz w:val="22"/>
            <w:szCs w:val="22"/>
          </w:rPr>
          <w:tab/>
        </w:r>
        <w:r w:rsidRPr="00CD0B56">
          <w:rPr>
            <w:rStyle w:val="Hyperlink"/>
            <w:noProof/>
          </w:rPr>
          <w:t>Part 1 Section 17.13.5.6, customXmlInsRangeEnd (Custom XML Markup Insertion End)</w:t>
        </w:r>
        <w:r>
          <w:rPr>
            <w:noProof/>
            <w:webHidden/>
          </w:rPr>
          <w:tab/>
        </w:r>
        <w:r>
          <w:rPr>
            <w:noProof/>
            <w:webHidden/>
          </w:rPr>
          <w:fldChar w:fldCharType="begin"/>
        </w:r>
        <w:r>
          <w:rPr>
            <w:noProof/>
            <w:webHidden/>
          </w:rPr>
          <w:instrText xml:space="preserve"> PAGEREF _Toc12260390 \h </w:instrText>
        </w:r>
        <w:r>
          <w:rPr>
            <w:noProof/>
            <w:webHidden/>
          </w:rPr>
        </w:r>
        <w:r>
          <w:rPr>
            <w:noProof/>
            <w:webHidden/>
          </w:rPr>
          <w:fldChar w:fldCharType="separate"/>
        </w:r>
        <w:r>
          <w:rPr>
            <w:noProof/>
            <w:webHidden/>
          </w:rPr>
          <w:t>133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91" w:history="1">
        <w:r w:rsidRPr="00CD0B56">
          <w:rPr>
            <w:rStyle w:val="Hyperlink"/>
            <w:noProof/>
          </w:rPr>
          <w:t>2.1.323</w:t>
        </w:r>
        <w:r>
          <w:rPr>
            <w:rFonts w:asciiTheme="minorHAnsi" w:eastAsiaTheme="minorEastAsia" w:hAnsiTheme="minorHAnsi" w:cstheme="minorBidi"/>
            <w:noProof/>
            <w:sz w:val="22"/>
            <w:szCs w:val="22"/>
          </w:rPr>
          <w:tab/>
        </w:r>
        <w:r w:rsidRPr="00CD0B56">
          <w:rPr>
            <w:rStyle w:val="Hyperlink"/>
            <w:noProof/>
          </w:rPr>
          <w:t>Part 1 Section 17.13.5.7, customXmlInsRangeStart (Custom XML Markup Insertion Start)</w:t>
        </w:r>
        <w:r>
          <w:rPr>
            <w:noProof/>
            <w:webHidden/>
          </w:rPr>
          <w:tab/>
        </w:r>
        <w:r>
          <w:rPr>
            <w:noProof/>
            <w:webHidden/>
          </w:rPr>
          <w:fldChar w:fldCharType="begin"/>
        </w:r>
        <w:r>
          <w:rPr>
            <w:noProof/>
            <w:webHidden/>
          </w:rPr>
          <w:instrText xml:space="preserve"> PAGEREF _Toc12260391 \h </w:instrText>
        </w:r>
        <w:r>
          <w:rPr>
            <w:noProof/>
            <w:webHidden/>
          </w:rPr>
        </w:r>
        <w:r>
          <w:rPr>
            <w:noProof/>
            <w:webHidden/>
          </w:rPr>
          <w:fldChar w:fldCharType="separate"/>
        </w:r>
        <w:r>
          <w:rPr>
            <w:noProof/>
            <w:webHidden/>
          </w:rPr>
          <w:t>133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92" w:history="1">
        <w:r w:rsidRPr="00CD0B56">
          <w:rPr>
            <w:rStyle w:val="Hyperlink"/>
            <w:noProof/>
          </w:rPr>
          <w:t>2.1.324</w:t>
        </w:r>
        <w:r>
          <w:rPr>
            <w:rFonts w:asciiTheme="minorHAnsi" w:eastAsiaTheme="minorEastAsia" w:hAnsiTheme="minorHAnsi" w:cstheme="minorBidi"/>
            <w:noProof/>
            <w:sz w:val="22"/>
            <w:szCs w:val="22"/>
          </w:rPr>
          <w:tab/>
        </w:r>
        <w:r w:rsidRPr="00CD0B56">
          <w:rPr>
            <w:rStyle w:val="Hyperlink"/>
            <w:noProof/>
          </w:rPr>
          <w:t>Part 1 Section 17.13.5.8, customXmlMoveFromRangeEnd (Custom XML Markup Move Source End)</w:t>
        </w:r>
        <w:r>
          <w:rPr>
            <w:noProof/>
            <w:webHidden/>
          </w:rPr>
          <w:tab/>
        </w:r>
        <w:r>
          <w:rPr>
            <w:noProof/>
            <w:webHidden/>
          </w:rPr>
          <w:fldChar w:fldCharType="begin"/>
        </w:r>
        <w:r>
          <w:rPr>
            <w:noProof/>
            <w:webHidden/>
          </w:rPr>
          <w:instrText xml:space="preserve"> PAGEREF _Toc12260392 \h </w:instrText>
        </w:r>
        <w:r>
          <w:rPr>
            <w:noProof/>
            <w:webHidden/>
          </w:rPr>
        </w:r>
        <w:r>
          <w:rPr>
            <w:noProof/>
            <w:webHidden/>
          </w:rPr>
          <w:fldChar w:fldCharType="separate"/>
        </w:r>
        <w:r>
          <w:rPr>
            <w:noProof/>
            <w:webHidden/>
          </w:rPr>
          <w:t>133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93" w:history="1">
        <w:r w:rsidRPr="00CD0B56">
          <w:rPr>
            <w:rStyle w:val="Hyperlink"/>
            <w:noProof/>
          </w:rPr>
          <w:t>2.1.325</w:t>
        </w:r>
        <w:r>
          <w:rPr>
            <w:rFonts w:asciiTheme="minorHAnsi" w:eastAsiaTheme="minorEastAsia" w:hAnsiTheme="minorHAnsi" w:cstheme="minorBidi"/>
            <w:noProof/>
            <w:sz w:val="22"/>
            <w:szCs w:val="22"/>
          </w:rPr>
          <w:tab/>
        </w:r>
        <w:r w:rsidRPr="00CD0B56">
          <w:rPr>
            <w:rStyle w:val="Hyperlink"/>
            <w:noProof/>
          </w:rPr>
          <w:t>Part 1 Section 17.13.5.9, customXmlMoveFromRangeStart (Custom XML Markup Move Source Start)</w:t>
        </w:r>
        <w:r>
          <w:rPr>
            <w:noProof/>
            <w:webHidden/>
          </w:rPr>
          <w:tab/>
        </w:r>
        <w:r>
          <w:rPr>
            <w:noProof/>
            <w:webHidden/>
          </w:rPr>
          <w:fldChar w:fldCharType="begin"/>
        </w:r>
        <w:r>
          <w:rPr>
            <w:noProof/>
            <w:webHidden/>
          </w:rPr>
          <w:instrText xml:space="preserve"> PAGEREF _Toc12260393 \h </w:instrText>
        </w:r>
        <w:r>
          <w:rPr>
            <w:noProof/>
            <w:webHidden/>
          </w:rPr>
        </w:r>
        <w:r>
          <w:rPr>
            <w:noProof/>
            <w:webHidden/>
          </w:rPr>
          <w:fldChar w:fldCharType="separate"/>
        </w:r>
        <w:r>
          <w:rPr>
            <w:noProof/>
            <w:webHidden/>
          </w:rPr>
          <w:t>134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94" w:history="1">
        <w:r w:rsidRPr="00CD0B56">
          <w:rPr>
            <w:rStyle w:val="Hyperlink"/>
            <w:noProof/>
          </w:rPr>
          <w:t>2.1.326</w:t>
        </w:r>
        <w:r>
          <w:rPr>
            <w:rFonts w:asciiTheme="minorHAnsi" w:eastAsiaTheme="minorEastAsia" w:hAnsiTheme="minorHAnsi" w:cstheme="minorBidi"/>
            <w:noProof/>
            <w:sz w:val="22"/>
            <w:szCs w:val="22"/>
          </w:rPr>
          <w:tab/>
        </w:r>
        <w:r w:rsidRPr="00CD0B56">
          <w:rPr>
            <w:rStyle w:val="Hyperlink"/>
            <w:noProof/>
          </w:rPr>
          <w:t>Part 1 Section 17.13.5.10, customXmlMoveToRangeEnd (Custom XML Markup Move Destination Location End)</w:t>
        </w:r>
        <w:r>
          <w:rPr>
            <w:noProof/>
            <w:webHidden/>
          </w:rPr>
          <w:tab/>
        </w:r>
        <w:r>
          <w:rPr>
            <w:noProof/>
            <w:webHidden/>
          </w:rPr>
          <w:fldChar w:fldCharType="begin"/>
        </w:r>
        <w:r>
          <w:rPr>
            <w:noProof/>
            <w:webHidden/>
          </w:rPr>
          <w:instrText xml:space="preserve"> PAGEREF _Toc12260394 \h </w:instrText>
        </w:r>
        <w:r>
          <w:rPr>
            <w:noProof/>
            <w:webHidden/>
          </w:rPr>
        </w:r>
        <w:r>
          <w:rPr>
            <w:noProof/>
            <w:webHidden/>
          </w:rPr>
          <w:fldChar w:fldCharType="separate"/>
        </w:r>
        <w:r>
          <w:rPr>
            <w:noProof/>
            <w:webHidden/>
          </w:rPr>
          <w:t>134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95" w:history="1">
        <w:r w:rsidRPr="00CD0B56">
          <w:rPr>
            <w:rStyle w:val="Hyperlink"/>
            <w:noProof/>
          </w:rPr>
          <w:t>2.1.327</w:t>
        </w:r>
        <w:r>
          <w:rPr>
            <w:rFonts w:asciiTheme="minorHAnsi" w:eastAsiaTheme="minorEastAsia" w:hAnsiTheme="minorHAnsi" w:cstheme="minorBidi"/>
            <w:noProof/>
            <w:sz w:val="22"/>
            <w:szCs w:val="22"/>
          </w:rPr>
          <w:tab/>
        </w:r>
        <w:r w:rsidRPr="00CD0B56">
          <w:rPr>
            <w:rStyle w:val="Hyperlink"/>
            <w:noProof/>
          </w:rPr>
          <w:t>Part 1 Section 17.13.5.11, customXmlMoveToRangeStart (Custom XML Markup Move Destination Location Start)</w:t>
        </w:r>
        <w:r>
          <w:rPr>
            <w:noProof/>
            <w:webHidden/>
          </w:rPr>
          <w:tab/>
        </w:r>
        <w:r>
          <w:rPr>
            <w:noProof/>
            <w:webHidden/>
          </w:rPr>
          <w:fldChar w:fldCharType="begin"/>
        </w:r>
        <w:r>
          <w:rPr>
            <w:noProof/>
            <w:webHidden/>
          </w:rPr>
          <w:instrText xml:space="preserve"> PAGEREF _Toc12260395 \h </w:instrText>
        </w:r>
        <w:r>
          <w:rPr>
            <w:noProof/>
            <w:webHidden/>
          </w:rPr>
        </w:r>
        <w:r>
          <w:rPr>
            <w:noProof/>
            <w:webHidden/>
          </w:rPr>
          <w:fldChar w:fldCharType="separate"/>
        </w:r>
        <w:r>
          <w:rPr>
            <w:noProof/>
            <w:webHidden/>
          </w:rPr>
          <w:t>134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96" w:history="1">
        <w:r w:rsidRPr="00CD0B56">
          <w:rPr>
            <w:rStyle w:val="Hyperlink"/>
            <w:noProof/>
          </w:rPr>
          <w:t>2.1.328</w:t>
        </w:r>
        <w:r>
          <w:rPr>
            <w:rFonts w:asciiTheme="minorHAnsi" w:eastAsiaTheme="minorEastAsia" w:hAnsiTheme="minorHAnsi" w:cstheme="minorBidi"/>
            <w:noProof/>
            <w:sz w:val="22"/>
            <w:szCs w:val="22"/>
          </w:rPr>
          <w:tab/>
        </w:r>
        <w:r w:rsidRPr="00CD0B56">
          <w:rPr>
            <w:rStyle w:val="Hyperlink"/>
            <w:noProof/>
          </w:rPr>
          <w:t>Part 1 Section 17.13.5.12, del (Deleted Table Row)</w:t>
        </w:r>
        <w:r>
          <w:rPr>
            <w:noProof/>
            <w:webHidden/>
          </w:rPr>
          <w:tab/>
        </w:r>
        <w:r>
          <w:rPr>
            <w:noProof/>
            <w:webHidden/>
          </w:rPr>
          <w:fldChar w:fldCharType="begin"/>
        </w:r>
        <w:r>
          <w:rPr>
            <w:noProof/>
            <w:webHidden/>
          </w:rPr>
          <w:instrText xml:space="preserve"> PAGEREF _Toc12260396 \h </w:instrText>
        </w:r>
        <w:r>
          <w:rPr>
            <w:noProof/>
            <w:webHidden/>
          </w:rPr>
        </w:r>
        <w:r>
          <w:rPr>
            <w:noProof/>
            <w:webHidden/>
          </w:rPr>
          <w:fldChar w:fldCharType="separate"/>
        </w:r>
        <w:r>
          <w:rPr>
            <w:noProof/>
            <w:webHidden/>
          </w:rPr>
          <w:t>135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97" w:history="1">
        <w:r w:rsidRPr="00CD0B56">
          <w:rPr>
            <w:rStyle w:val="Hyperlink"/>
            <w:noProof/>
          </w:rPr>
          <w:t>2.1.329</w:t>
        </w:r>
        <w:r>
          <w:rPr>
            <w:rFonts w:asciiTheme="minorHAnsi" w:eastAsiaTheme="minorEastAsia" w:hAnsiTheme="minorHAnsi" w:cstheme="minorBidi"/>
            <w:noProof/>
            <w:sz w:val="22"/>
            <w:szCs w:val="22"/>
          </w:rPr>
          <w:tab/>
        </w:r>
        <w:r w:rsidRPr="00CD0B56">
          <w:rPr>
            <w:rStyle w:val="Hyperlink"/>
            <w:noProof/>
          </w:rPr>
          <w:t>Part 1 Section 17.13.5.13, del (Deleted Math Control Character)</w:t>
        </w:r>
        <w:r>
          <w:rPr>
            <w:noProof/>
            <w:webHidden/>
          </w:rPr>
          <w:tab/>
        </w:r>
        <w:r>
          <w:rPr>
            <w:noProof/>
            <w:webHidden/>
          </w:rPr>
          <w:fldChar w:fldCharType="begin"/>
        </w:r>
        <w:r>
          <w:rPr>
            <w:noProof/>
            <w:webHidden/>
          </w:rPr>
          <w:instrText xml:space="preserve"> PAGEREF _Toc12260397 \h </w:instrText>
        </w:r>
        <w:r>
          <w:rPr>
            <w:noProof/>
            <w:webHidden/>
          </w:rPr>
        </w:r>
        <w:r>
          <w:rPr>
            <w:noProof/>
            <w:webHidden/>
          </w:rPr>
          <w:fldChar w:fldCharType="separate"/>
        </w:r>
        <w:r>
          <w:rPr>
            <w:noProof/>
            <w:webHidden/>
          </w:rPr>
          <w:t>135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98" w:history="1">
        <w:r w:rsidRPr="00CD0B56">
          <w:rPr>
            <w:rStyle w:val="Hyperlink"/>
            <w:noProof/>
          </w:rPr>
          <w:t>2.1.330</w:t>
        </w:r>
        <w:r>
          <w:rPr>
            <w:rFonts w:asciiTheme="minorHAnsi" w:eastAsiaTheme="minorEastAsia" w:hAnsiTheme="minorHAnsi" w:cstheme="minorBidi"/>
            <w:noProof/>
            <w:sz w:val="22"/>
            <w:szCs w:val="22"/>
          </w:rPr>
          <w:tab/>
        </w:r>
        <w:r w:rsidRPr="00CD0B56">
          <w:rPr>
            <w:rStyle w:val="Hyperlink"/>
            <w:noProof/>
          </w:rPr>
          <w:t>Part 1 Section 17.13.5.14, del (Deleted Run Content)</w:t>
        </w:r>
        <w:r>
          <w:rPr>
            <w:noProof/>
            <w:webHidden/>
          </w:rPr>
          <w:tab/>
        </w:r>
        <w:r>
          <w:rPr>
            <w:noProof/>
            <w:webHidden/>
          </w:rPr>
          <w:fldChar w:fldCharType="begin"/>
        </w:r>
        <w:r>
          <w:rPr>
            <w:noProof/>
            <w:webHidden/>
          </w:rPr>
          <w:instrText xml:space="preserve"> PAGEREF _Toc12260398 \h </w:instrText>
        </w:r>
        <w:r>
          <w:rPr>
            <w:noProof/>
            <w:webHidden/>
          </w:rPr>
        </w:r>
        <w:r>
          <w:rPr>
            <w:noProof/>
            <w:webHidden/>
          </w:rPr>
          <w:fldChar w:fldCharType="separate"/>
        </w:r>
        <w:r>
          <w:rPr>
            <w:noProof/>
            <w:webHidden/>
          </w:rPr>
          <w:t>135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399" w:history="1">
        <w:r w:rsidRPr="00CD0B56">
          <w:rPr>
            <w:rStyle w:val="Hyperlink"/>
            <w:noProof/>
          </w:rPr>
          <w:t>2.1.331</w:t>
        </w:r>
        <w:r>
          <w:rPr>
            <w:rFonts w:asciiTheme="minorHAnsi" w:eastAsiaTheme="minorEastAsia" w:hAnsiTheme="minorHAnsi" w:cstheme="minorBidi"/>
            <w:noProof/>
            <w:sz w:val="22"/>
            <w:szCs w:val="22"/>
          </w:rPr>
          <w:tab/>
        </w:r>
        <w:r w:rsidRPr="00CD0B56">
          <w:rPr>
            <w:rStyle w:val="Hyperlink"/>
            <w:noProof/>
          </w:rPr>
          <w:t>Part 1 Section 17.13.5.15, del (Deleted Paragraph)</w:t>
        </w:r>
        <w:r>
          <w:rPr>
            <w:noProof/>
            <w:webHidden/>
          </w:rPr>
          <w:tab/>
        </w:r>
        <w:r>
          <w:rPr>
            <w:noProof/>
            <w:webHidden/>
          </w:rPr>
          <w:fldChar w:fldCharType="begin"/>
        </w:r>
        <w:r>
          <w:rPr>
            <w:noProof/>
            <w:webHidden/>
          </w:rPr>
          <w:instrText xml:space="preserve"> PAGEREF _Toc12260399 \h </w:instrText>
        </w:r>
        <w:r>
          <w:rPr>
            <w:noProof/>
            <w:webHidden/>
          </w:rPr>
        </w:r>
        <w:r>
          <w:rPr>
            <w:noProof/>
            <w:webHidden/>
          </w:rPr>
          <w:fldChar w:fldCharType="separate"/>
        </w:r>
        <w:r>
          <w:rPr>
            <w:noProof/>
            <w:webHidden/>
          </w:rPr>
          <w:t>135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00" w:history="1">
        <w:r w:rsidRPr="00CD0B56">
          <w:rPr>
            <w:rStyle w:val="Hyperlink"/>
            <w:noProof/>
          </w:rPr>
          <w:t>2.1.332</w:t>
        </w:r>
        <w:r>
          <w:rPr>
            <w:rFonts w:asciiTheme="minorHAnsi" w:eastAsiaTheme="minorEastAsia" w:hAnsiTheme="minorHAnsi" w:cstheme="minorBidi"/>
            <w:noProof/>
            <w:sz w:val="22"/>
            <w:szCs w:val="22"/>
          </w:rPr>
          <w:tab/>
        </w:r>
        <w:r w:rsidRPr="00CD0B56">
          <w:rPr>
            <w:rStyle w:val="Hyperlink"/>
            <w:noProof/>
          </w:rPr>
          <w:t>Part 1 Section 17.13.5.16, ins (Inserted Math Control Character)</w:t>
        </w:r>
        <w:r>
          <w:rPr>
            <w:noProof/>
            <w:webHidden/>
          </w:rPr>
          <w:tab/>
        </w:r>
        <w:r>
          <w:rPr>
            <w:noProof/>
            <w:webHidden/>
          </w:rPr>
          <w:fldChar w:fldCharType="begin"/>
        </w:r>
        <w:r>
          <w:rPr>
            <w:noProof/>
            <w:webHidden/>
          </w:rPr>
          <w:instrText xml:space="preserve"> PAGEREF _Toc12260400 \h </w:instrText>
        </w:r>
        <w:r>
          <w:rPr>
            <w:noProof/>
            <w:webHidden/>
          </w:rPr>
        </w:r>
        <w:r>
          <w:rPr>
            <w:noProof/>
            <w:webHidden/>
          </w:rPr>
          <w:fldChar w:fldCharType="separate"/>
        </w:r>
        <w:r>
          <w:rPr>
            <w:noProof/>
            <w:webHidden/>
          </w:rPr>
          <w:t>136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01" w:history="1">
        <w:r w:rsidRPr="00CD0B56">
          <w:rPr>
            <w:rStyle w:val="Hyperlink"/>
            <w:noProof/>
          </w:rPr>
          <w:t>2.1.333</w:t>
        </w:r>
        <w:r>
          <w:rPr>
            <w:rFonts w:asciiTheme="minorHAnsi" w:eastAsiaTheme="minorEastAsia" w:hAnsiTheme="minorHAnsi" w:cstheme="minorBidi"/>
            <w:noProof/>
            <w:sz w:val="22"/>
            <w:szCs w:val="22"/>
          </w:rPr>
          <w:tab/>
        </w:r>
        <w:r w:rsidRPr="00CD0B56">
          <w:rPr>
            <w:rStyle w:val="Hyperlink"/>
            <w:noProof/>
          </w:rPr>
          <w:t>Part 1 Section 17.13.5.17, ins (Inserted Table Row)</w:t>
        </w:r>
        <w:r>
          <w:rPr>
            <w:noProof/>
            <w:webHidden/>
          </w:rPr>
          <w:tab/>
        </w:r>
        <w:r>
          <w:rPr>
            <w:noProof/>
            <w:webHidden/>
          </w:rPr>
          <w:fldChar w:fldCharType="begin"/>
        </w:r>
        <w:r>
          <w:rPr>
            <w:noProof/>
            <w:webHidden/>
          </w:rPr>
          <w:instrText xml:space="preserve"> PAGEREF _Toc12260401 \h </w:instrText>
        </w:r>
        <w:r>
          <w:rPr>
            <w:noProof/>
            <w:webHidden/>
          </w:rPr>
        </w:r>
        <w:r>
          <w:rPr>
            <w:noProof/>
            <w:webHidden/>
          </w:rPr>
          <w:fldChar w:fldCharType="separate"/>
        </w:r>
        <w:r>
          <w:rPr>
            <w:noProof/>
            <w:webHidden/>
          </w:rPr>
          <w:t>136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02" w:history="1">
        <w:r w:rsidRPr="00CD0B56">
          <w:rPr>
            <w:rStyle w:val="Hyperlink"/>
            <w:noProof/>
          </w:rPr>
          <w:t>2.1.334</w:t>
        </w:r>
        <w:r>
          <w:rPr>
            <w:rFonts w:asciiTheme="minorHAnsi" w:eastAsiaTheme="minorEastAsia" w:hAnsiTheme="minorHAnsi" w:cstheme="minorBidi"/>
            <w:noProof/>
            <w:sz w:val="22"/>
            <w:szCs w:val="22"/>
          </w:rPr>
          <w:tab/>
        </w:r>
        <w:r w:rsidRPr="00CD0B56">
          <w:rPr>
            <w:rStyle w:val="Hyperlink"/>
            <w:noProof/>
          </w:rPr>
          <w:t>Part 1 Section 17.13.5.18, ins (Inserted Run Content)</w:t>
        </w:r>
        <w:r>
          <w:rPr>
            <w:noProof/>
            <w:webHidden/>
          </w:rPr>
          <w:tab/>
        </w:r>
        <w:r>
          <w:rPr>
            <w:noProof/>
            <w:webHidden/>
          </w:rPr>
          <w:fldChar w:fldCharType="begin"/>
        </w:r>
        <w:r>
          <w:rPr>
            <w:noProof/>
            <w:webHidden/>
          </w:rPr>
          <w:instrText xml:space="preserve"> PAGEREF _Toc12260402 \h </w:instrText>
        </w:r>
        <w:r>
          <w:rPr>
            <w:noProof/>
            <w:webHidden/>
          </w:rPr>
        </w:r>
        <w:r>
          <w:rPr>
            <w:noProof/>
            <w:webHidden/>
          </w:rPr>
          <w:fldChar w:fldCharType="separate"/>
        </w:r>
        <w:r>
          <w:rPr>
            <w:noProof/>
            <w:webHidden/>
          </w:rPr>
          <w:t>136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03" w:history="1">
        <w:r w:rsidRPr="00CD0B56">
          <w:rPr>
            <w:rStyle w:val="Hyperlink"/>
            <w:noProof/>
          </w:rPr>
          <w:t>2.1.335</w:t>
        </w:r>
        <w:r>
          <w:rPr>
            <w:rFonts w:asciiTheme="minorHAnsi" w:eastAsiaTheme="minorEastAsia" w:hAnsiTheme="minorHAnsi" w:cstheme="minorBidi"/>
            <w:noProof/>
            <w:sz w:val="22"/>
            <w:szCs w:val="22"/>
          </w:rPr>
          <w:tab/>
        </w:r>
        <w:r w:rsidRPr="00CD0B56">
          <w:rPr>
            <w:rStyle w:val="Hyperlink"/>
            <w:noProof/>
          </w:rPr>
          <w:t>Part 1 Section 17.13.5.19, ins (Inserted Numbering Properties)</w:t>
        </w:r>
        <w:r>
          <w:rPr>
            <w:noProof/>
            <w:webHidden/>
          </w:rPr>
          <w:tab/>
        </w:r>
        <w:r>
          <w:rPr>
            <w:noProof/>
            <w:webHidden/>
          </w:rPr>
          <w:fldChar w:fldCharType="begin"/>
        </w:r>
        <w:r>
          <w:rPr>
            <w:noProof/>
            <w:webHidden/>
          </w:rPr>
          <w:instrText xml:space="preserve"> PAGEREF _Toc12260403 \h </w:instrText>
        </w:r>
        <w:r>
          <w:rPr>
            <w:noProof/>
            <w:webHidden/>
          </w:rPr>
        </w:r>
        <w:r>
          <w:rPr>
            <w:noProof/>
            <w:webHidden/>
          </w:rPr>
          <w:fldChar w:fldCharType="separate"/>
        </w:r>
        <w:r>
          <w:rPr>
            <w:noProof/>
            <w:webHidden/>
          </w:rPr>
          <w:t>136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04" w:history="1">
        <w:r w:rsidRPr="00CD0B56">
          <w:rPr>
            <w:rStyle w:val="Hyperlink"/>
            <w:noProof/>
          </w:rPr>
          <w:t>2.1.336</w:t>
        </w:r>
        <w:r>
          <w:rPr>
            <w:rFonts w:asciiTheme="minorHAnsi" w:eastAsiaTheme="minorEastAsia" w:hAnsiTheme="minorHAnsi" w:cstheme="minorBidi"/>
            <w:noProof/>
            <w:sz w:val="22"/>
            <w:szCs w:val="22"/>
          </w:rPr>
          <w:tab/>
        </w:r>
        <w:r w:rsidRPr="00CD0B56">
          <w:rPr>
            <w:rStyle w:val="Hyperlink"/>
            <w:noProof/>
          </w:rPr>
          <w:t>Part 1 Section 17.13.5.20, ins (Inserted Paragraph)</w:t>
        </w:r>
        <w:r>
          <w:rPr>
            <w:noProof/>
            <w:webHidden/>
          </w:rPr>
          <w:tab/>
        </w:r>
        <w:r>
          <w:rPr>
            <w:noProof/>
            <w:webHidden/>
          </w:rPr>
          <w:fldChar w:fldCharType="begin"/>
        </w:r>
        <w:r>
          <w:rPr>
            <w:noProof/>
            <w:webHidden/>
          </w:rPr>
          <w:instrText xml:space="preserve"> PAGEREF _Toc12260404 \h </w:instrText>
        </w:r>
        <w:r>
          <w:rPr>
            <w:noProof/>
            <w:webHidden/>
          </w:rPr>
        </w:r>
        <w:r>
          <w:rPr>
            <w:noProof/>
            <w:webHidden/>
          </w:rPr>
          <w:fldChar w:fldCharType="separate"/>
        </w:r>
        <w:r>
          <w:rPr>
            <w:noProof/>
            <w:webHidden/>
          </w:rPr>
          <w:t>136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05" w:history="1">
        <w:r w:rsidRPr="00CD0B56">
          <w:rPr>
            <w:rStyle w:val="Hyperlink"/>
            <w:noProof/>
          </w:rPr>
          <w:t>2.1.337</w:t>
        </w:r>
        <w:r>
          <w:rPr>
            <w:rFonts w:asciiTheme="minorHAnsi" w:eastAsiaTheme="minorEastAsia" w:hAnsiTheme="minorHAnsi" w:cstheme="minorBidi"/>
            <w:noProof/>
            <w:sz w:val="22"/>
            <w:szCs w:val="22"/>
          </w:rPr>
          <w:tab/>
        </w:r>
        <w:r w:rsidRPr="00CD0B56">
          <w:rPr>
            <w:rStyle w:val="Hyperlink"/>
            <w:noProof/>
          </w:rPr>
          <w:t>Part 1 Section 17.13.5.21, moveFrom (Move Source Paragraph)</w:t>
        </w:r>
        <w:r>
          <w:rPr>
            <w:noProof/>
            <w:webHidden/>
          </w:rPr>
          <w:tab/>
        </w:r>
        <w:r>
          <w:rPr>
            <w:noProof/>
            <w:webHidden/>
          </w:rPr>
          <w:fldChar w:fldCharType="begin"/>
        </w:r>
        <w:r>
          <w:rPr>
            <w:noProof/>
            <w:webHidden/>
          </w:rPr>
          <w:instrText xml:space="preserve"> PAGEREF _Toc12260405 \h </w:instrText>
        </w:r>
        <w:r>
          <w:rPr>
            <w:noProof/>
            <w:webHidden/>
          </w:rPr>
        </w:r>
        <w:r>
          <w:rPr>
            <w:noProof/>
            <w:webHidden/>
          </w:rPr>
          <w:fldChar w:fldCharType="separate"/>
        </w:r>
        <w:r>
          <w:rPr>
            <w:noProof/>
            <w:webHidden/>
          </w:rPr>
          <w:t>136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06" w:history="1">
        <w:r w:rsidRPr="00CD0B56">
          <w:rPr>
            <w:rStyle w:val="Hyperlink"/>
            <w:noProof/>
          </w:rPr>
          <w:t>2.1.338</w:t>
        </w:r>
        <w:r>
          <w:rPr>
            <w:rFonts w:asciiTheme="minorHAnsi" w:eastAsiaTheme="minorEastAsia" w:hAnsiTheme="minorHAnsi" w:cstheme="minorBidi"/>
            <w:noProof/>
            <w:sz w:val="22"/>
            <w:szCs w:val="22"/>
          </w:rPr>
          <w:tab/>
        </w:r>
        <w:r w:rsidRPr="00CD0B56">
          <w:rPr>
            <w:rStyle w:val="Hyperlink"/>
            <w:noProof/>
          </w:rPr>
          <w:t>Part 1 Section 17.13.5.22, moveFrom (Move Source Run Content)</w:t>
        </w:r>
        <w:r>
          <w:rPr>
            <w:noProof/>
            <w:webHidden/>
          </w:rPr>
          <w:tab/>
        </w:r>
        <w:r>
          <w:rPr>
            <w:noProof/>
            <w:webHidden/>
          </w:rPr>
          <w:fldChar w:fldCharType="begin"/>
        </w:r>
        <w:r>
          <w:rPr>
            <w:noProof/>
            <w:webHidden/>
          </w:rPr>
          <w:instrText xml:space="preserve"> PAGEREF _Toc12260406 \h </w:instrText>
        </w:r>
        <w:r>
          <w:rPr>
            <w:noProof/>
            <w:webHidden/>
          </w:rPr>
        </w:r>
        <w:r>
          <w:rPr>
            <w:noProof/>
            <w:webHidden/>
          </w:rPr>
          <w:fldChar w:fldCharType="separate"/>
        </w:r>
        <w:r>
          <w:rPr>
            <w:noProof/>
            <w:webHidden/>
          </w:rPr>
          <w:t>137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07" w:history="1">
        <w:r w:rsidRPr="00CD0B56">
          <w:rPr>
            <w:rStyle w:val="Hyperlink"/>
            <w:noProof/>
          </w:rPr>
          <w:t>2.1.339</w:t>
        </w:r>
        <w:r>
          <w:rPr>
            <w:rFonts w:asciiTheme="minorHAnsi" w:eastAsiaTheme="minorEastAsia" w:hAnsiTheme="minorHAnsi" w:cstheme="minorBidi"/>
            <w:noProof/>
            <w:sz w:val="22"/>
            <w:szCs w:val="22"/>
          </w:rPr>
          <w:tab/>
        </w:r>
        <w:r w:rsidRPr="00CD0B56">
          <w:rPr>
            <w:rStyle w:val="Hyperlink"/>
            <w:noProof/>
          </w:rPr>
          <w:t>Part 1 Section 17.13.5.23, moveFromRangeEnd (Move Source Location Container - End)</w:t>
        </w:r>
        <w:r>
          <w:rPr>
            <w:noProof/>
            <w:webHidden/>
          </w:rPr>
          <w:tab/>
        </w:r>
        <w:r>
          <w:rPr>
            <w:noProof/>
            <w:webHidden/>
          </w:rPr>
          <w:fldChar w:fldCharType="begin"/>
        </w:r>
        <w:r>
          <w:rPr>
            <w:noProof/>
            <w:webHidden/>
          </w:rPr>
          <w:instrText xml:space="preserve"> PAGEREF _Toc12260407 \h </w:instrText>
        </w:r>
        <w:r>
          <w:rPr>
            <w:noProof/>
            <w:webHidden/>
          </w:rPr>
        </w:r>
        <w:r>
          <w:rPr>
            <w:noProof/>
            <w:webHidden/>
          </w:rPr>
          <w:fldChar w:fldCharType="separate"/>
        </w:r>
        <w:r>
          <w:rPr>
            <w:noProof/>
            <w:webHidden/>
          </w:rPr>
          <w:t>137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08" w:history="1">
        <w:r w:rsidRPr="00CD0B56">
          <w:rPr>
            <w:rStyle w:val="Hyperlink"/>
            <w:noProof/>
          </w:rPr>
          <w:t>2.1.340</w:t>
        </w:r>
        <w:r>
          <w:rPr>
            <w:rFonts w:asciiTheme="minorHAnsi" w:eastAsiaTheme="minorEastAsia" w:hAnsiTheme="minorHAnsi" w:cstheme="minorBidi"/>
            <w:noProof/>
            <w:sz w:val="22"/>
            <w:szCs w:val="22"/>
          </w:rPr>
          <w:tab/>
        </w:r>
        <w:r w:rsidRPr="00CD0B56">
          <w:rPr>
            <w:rStyle w:val="Hyperlink"/>
            <w:noProof/>
          </w:rPr>
          <w:t>Part 1 Section 17.13.5.24, moveFromRangeStart (Move Source Location Container - Start)</w:t>
        </w:r>
        <w:r>
          <w:rPr>
            <w:noProof/>
            <w:webHidden/>
          </w:rPr>
          <w:tab/>
        </w:r>
        <w:r>
          <w:rPr>
            <w:noProof/>
            <w:webHidden/>
          </w:rPr>
          <w:fldChar w:fldCharType="begin"/>
        </w:r>
        <w:r>
          <w:rPr>
            <w:noProof/>
            <w:webHidden/>
          </w:rPr>
          <w:instrText xml:space="preserve"> PAGEREF _Toc12260408 \h </w:instrText>
        </w:r>
        <w:r>
          <w:rPr>
            <w:noProof/>
            <w:webHidden/>
          </w:rPr>
        </w:r>
        <w:r>
          <w:rPr>
            <w:noProof/>
            <w:webHidden/>
          </w:rPr>
          <w:fldChar w:fldCharType="separate"/>
        </w:r>
        <w:r>
          <w:rPr>
            <w:noProof/>
            <w:webHidden/>
          </w:rPr>
          <w:t>137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09" w:history="1">
        <w:r w:rsidRPr="00CD0B56">
          <w:rPr>
            <w:rStyle w:val="Hyperlink"/>
            <w:noProof/>
          </w:rPr>
          <w:t>2.1.341</w:t>
        </w:r>
        <w:r>
          <w:rPr>
            <w:rFonts w:asciiTheme="minorHAnsi" w:eastAsiaTheme="minorEastAsia" w:hAnsiTheme="minorHAnsi" w:cstheme="minorBidi"/>
            <w:noProof/>
            <w:sz w:val="22"/>
            <w:szCs w:val="22"/>
          </w:rPr>
          <w:tab/>
        </w:r>
        <w:r w:rsidRPr="00CD0B56">
          <w:rPr>
            <w:rStyle w:val="Hyperlink"/>
            <w:noProof/>
          </w:rPr>
          <w:t>Part 1 Section 17.13.5.25, moveTo (Move Destination Run Content)</w:t>
        </w:r>
        <w:r>
          <w:rPr>
            <w:noProof/>
            <w:webHidden/>
          </w:rPr>
          <w:tab/>
        </w:r>
        <w:r>
          <w:rPr>
            <w:noProof/>
            <w:webHidden/>
          </w:rPr>
          <w:fldChar w:fldCharType="begin"/>
        </w:r>
        <w:r>
          <w:rPr>
            <w:noProof/>
            <w:webHidden/>
          </w:rPr>
          <w:instrText xml:space="preserve"> PAGEREF _Toc12260409 \h </w:instrText>
        </w:r>
        <w:r>
          <w:rPr>
            <w:noProof/>
            <w:webHidden/>
          </w:rPr>
        </w:r>
        <w:r>
          <w:rPr>
            <w:noProof/>
            <w:webHidden/>
          </w:rPr>
          <w:fldChar w:fldCharType="separate"/>
        </w:r>
        <w:r>
          <w:rPr>
            <w:noProof/>
            <w:webHidden/>
          </w:rPr>
          <w:t>137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10" w:history="1">
        <w:r w:rsidRPr="00CD0B56">
          <w:rPr>
            <w:rStyle w:val="Hyperlink"/>
            <w:noProof/>
          </w:rPr>
          <w:t>2.1.342</w:t>
        </w:r>
        <w:r>
          <w:rPr>
            <w:rFonts w:asciiTheme="minorHAnsi" w:eastAsiaTheme="minorEastAsia" w:hAnsiTheme="minorHAnsi" w:cstheme="minorBidi"/>
            <w:noProof/>
            <w:sz w:val="22"/>
            <w:szCs w:val="22"/>
          </w:rPr>
          <w:tab/>
        </w:r>
        <w:r w:rsidRPr="00CD0B56">
          <w:rPr>
            <w:rStyle w:val="Hyperlink"/>
            <w:noProof/>
          </w:rPr>
          <w:t>Part 1 Section 17.13.5.26, moveTo (Move Destination Paragraph)</w:t>
        </w:r>
        <w:r>
          <w:rPr>
            <w:noProof/>
            <w:webHidden/>
          </w:rPr>
          <w:tab/>
        </w:r>
        <w:r>
          <w:rPr>
            <w:noProof/>
            <w:webHidden/>
          </w:rPr>
          <w:fldChar w:fldCharType="begin"/>
        </w:r>
        <w:r>
          <w:rPr>
            <w:noProof/>
            <w:webHidden/>
          </w:rPr>
          <w:instrText xml:space="preserve"> PAGEREF _Toc12260410 \h </w:instrText>
        </w:r>
        <w:r>
          <w:rPr>
            <w:noProof/>
            <w:webHidden/>
          </w:rPr>
        </w:r>
        <w:r>
          <w:rPr>
            <w:noProof/>
            <w:webHidden/>
          </w:rPr>
          <w:fldChar w:fldCharType="separate"/>
        </w:r>
        <w:r>
          <w:rPr>
            <w:noProof/>
            <w:webHidden/>
          </w:rPr>
          <w:t>137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11" w:history="1">
        <w:r w:rsidRPr="00CD0B56">
          <w:rPr>
            <w:rStyle w:val="Hyperlink"/>
            <w:noProof/>
          </w:rPr>
          <w:t>2.1.343</w:t>
        </w:r>
        <w:r>
          <w:rPr>
            <w:rFonts w:asciiTheme="minorHAnsi" w:eastAsiaTheme="minorEastAsia" w:hAnsiTheme="minorHAnsi" w:cstheme="minorBidi"/>
            <w:noProof/>
            <w:sz w:val="22"/>
            <w:szCs w:val="22"/>
          </w:rPr>
          <w:tab/>
        </w:r>
        <w:r w:rsidRPr="00CD0B56">
          <w:rPr>
            <w:rStyle w:val="Hyperlink"/>
            <w:noProof/>
          </w:rPr>
          <w:t>Part 1 Section 17.13.5.27, moveToRangeEnd (Move Destination Location Container - End)</w:t>
        </w:r>
        <w:r>
          <w:rPr>
            <w:noProof/>
            <w:webHidden/>
          </w:rPr>
          <w:tab/>
        </w:r>
        <w:r>
          <w:rPr>
            <w:noProof/>
            <w:webHidden/>
          </w:rPr>
          <w:fldChar w:fldCharType="begin"/>
        </w:r>
        <w:r>
          <w:rPr>
            <w:noProof/>
            <w:webHidden/>
          </w:rPr>
          <w:instrText xml:space="preserve"> PAGEREF _Toc12260411 \h </w:instrText>
        </w:r>
        <w:r>
          <w:rPr>
            <w:noProof/>
            <w:webHidden/>
          </w:rPr>
        </w:r>
        <w:r>
          <w:rPr>
            <w:noProof/>
            <w:webHidden/>
          </w:rPr>
          <w:fldChar w:fldCharType="separate"/>
        </w:r>
        <w:r>
          <w:rPr>
            <w:noProof/>
            <w:webHidden/>
          </w:rPr>
          <w:t>138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12" w:history="1">
        <w:r w:rsidRPr="00CD0B56">
          <w:rPr>
            <w:rStyle w:val="Hyperlink"/>
            <w:noProof/>
          </w:rPr>
          <w:t>2.1.344</w:t>
        </w:r>
        <w:r>
          <w:rPr>
            <w:rFonts w:asciiTheme="minorHAnsi" w:eastAsiaTheme="minorEastAsia" w:hAnsiTheme="minorHAnsi" w:cstheme="minorBidi"/>
            <w:noProof/>
            <w:sz w:val="22"/>
            <w:szCs w:val="22"/>
          </w:rPr>
          <w:tab/>
        </w:r>
        <w:r w:rsidRPr="00CD0B56">
          <w:rPr>
            <w:rStyle w:val="Hyperlink"/>
            <w:noProof/>
          </w:rPr>
          <w:t>Part 1 Section 17.13.5.28, moveToRangeStart (Move Destination Location Container - Start)</w:t>
        </w:r>
        <w:r>
          <w:rPr>
            <w:noProof/>
            <w:webHidden/>
          </w:rPr>
          <w:tab/>
        </w:r>
        <w:r>
          <w:rPr>
            <w:noProof/>
            <w:webHidden/>
          </w:rPr>
          <w:fldChar w:fldCharType="begin"/>
        </w:r>
        <w:r>
          <w:rPr>
            <w:noProof/>
            <w:webHidden/>
          </w:rPr>
          <w:instrText xml:space="preserve"> PAGEREF _Toc12260412 \h </w:instrText>
        </w:r>
        <w:r>
          <w:rPr>
            <w:noProof/>
            <w:webHidden/>
          </w:rPr>
        </w:r>
        <w:r>
          <w:rPr>
            <w:noProof/>
            <w:webHidden/>
          </w:rPr>
          <w:fldChar w:fldCharType="separate"/>
        </w:r>
        <w:r>
          <w:rPr>
            <w:noProof/>
            <w:webHidden/>
          </w:rPr>
          <w:t>138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13" w:history="1">
        <w:r w:rsidRPr="00CD0B56">
          <w:rPr>
            <w:rStyle w:val="Hyperlink"/>
            <w:noProof/>
          </w:rPr>
          <w:t>2.1.345</w:t>
        </w:r>
        <w:r>
          <w:rPr>
            <w:rFonts w:asciiTheme="minorHAnsi" w:eastAsiaTheme="minorEastAsia" w:hAnsiTheme="minorHAnsi" w:cstheme="minorBidi"/>
            <w:noProof/>
            <w:sz w:val="22"/>
            <w:szCs w:val="22"/>
          </w:rPr>
          <w:tab/>
        </w:r>
        <w:r w:rsidRPr="00CD0B56">
          <w:rPr>
            <w:rStyle w:val="Hyperlink"/>
            <w:noProof/>
          </w:rPr>
          <w:t>Part 1 Section 17.13.5.29, pPrChange (Revision Information for Paragraph Properties)</w:t>
        </w:r>
        <w:r>
          <w:rPr>
            <w:noProof/>
            <w:webHidden/>
          </w:rPr>
          <w:tab/>
        </w:r>
        <w:r>
          <w:rPr>
            <w:noProof/>
            <w:webHidden/>
          </w:rPr>
          <w:fldChar w:fldCharType="begin"/>
        </w:r>
        <w:r>
          <w:rPr>
            <w:noProof/>
            <w:webHidden/>
          </w:rPr>
          <w:instrText xml:space="preserve"> PAGEREF _Toc12260413 \h </w:instrText>
        </w:r>
        <w:r>
          <w:rPr>
            <w:noProof/>
            <w:webHidden/>
          </w:rPr>
        </w:r>
        <w:r>
          <w:rPr>
            <w:noProof/>
            <w:webHidden/>
          </w:rPr>
          <w:fldChar w:fldCharType="separate"/>
        </w:r>
        <w:r>
          <w:rPr>
            <w:noProof/>
            <w:webHidden/>
          </w:rPr>
          <w:t>138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14" w:history="1">
        <w:r w:rsidRPr="00CD0B56">
          <w:rPr>
            <w:rStyle w:val="Hyperlink"/>
            <w:noProof/>
          </w:rPr>
          <w:t>2.1.346</w:t>
        </w:r>
        <w:r>
          <w:rPr>
            <w:rFonts w:asciiTheme="minorHAnsi" w:eastAsiaTheme="minorEastAsia" w:hAnsiTheme="minorHAnsi" w:cstheme="minorBidi"/>
            <w:noProof/>
            <w:sz w:val="22"/>
            <w:szCs w:val="22"/>
          </w:rPr>
          <w:tab/>
        </w:r>
        <w:r w:rsidRPr="00CD0B56">
          <w:rPr>
            <w:rStyle w:val="Hyperlink"/>
            <w:noProof/>
          </w:rPr>
          <w:t>Part 1 Section 17.13.5.30, rPrChange (Revision Information for Run Properties on the Paragraph Mark)</w:t>
        </w:r>
        <w:r>
          <w:rPr>
            <w:noProof/>
            <w:webHidden/>
          </w:rPr>
          <w:tab/>
        </w:r>
        <w:r>
          <w:rPr>
            <w:noProof/>
            <w:webHidden/>
          </w:rPr>
          <w:fldChar w:fldCharType="begin"/>
        </w:r>
        <w:r>
          <w:rPr>
            <w:noProof/>
            <w:webHidden/>
          </w:rPr>
          <w:instrText xml:space="preserve"> PAGEREF _Toc12260414 \h </w:instrText>
        </w:r>
        <w:r>
          <w:rPr>
            <w:noProof/>
            <w:webHidden/>
          </w:rPr>
        </w:r>
        <w:r>
          <w:rPr>
            <w:noProof/>
            <w:webHidden/>
          </w:rPr>
          <w:fldChar w:fldCharType="separate"/>
        </w:r>
        <w:r>
          <w:rPr>
            <w:noProof/>
            <w:webHidden/>
          </w:rPr>
          <w:t>138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15" w:history="1">
        <w:r w:rsidRPr="00CD0B56">
          <w:rPr>
            <w:rStyle w:val="Hyperlink"/>
            <w:noProof/>
          </w:rPr>
          <w:t>2.1.347</w:t>
        </w:r>
        <w:r>
          <w:rPr>
            <w:rFonts w:asciiTheme="minorHAnsi" w:eastAsiaTheme="minorEastAsia" w:hAnsiTheme="minorHAnsi" w:cstheme="minorBidi"/>
            <w:noProof/>
            <w:sz w:val="22"/>
            <w:szCs w:val="22"/>
          </w:rPr>
          <w:tab/>
        </w:r>
        <w:r w:rsidRPr="00CD0B56">
          <w:rPr>
            <w:rStyle w:val="Hyperlink"/>
            <w:noProof/>
          </w:rPr>
          <w:t>Part 1 Section 17.13.5.31, rPrChange (Revision Information for Run Properties)</w:t>
        </w:r>
        <w:r>
          <w:rPr>
            <w:noProof/>
            <w:webHidden/>
          </w:rPr>
          <w:tab/>
        </w:r>
        <w:r>
          <w:rPr>
            <w:noProof/>
            <w:webHidden/>
          </w:rPr>
          <w:fldChar w:fldCharType="begin"/>
        </w:r>
        <w:r>
          <w:rPr>
            <w:noProof/>
            <w:webHidden/>
          </w:rPr>
          <w:instrText xml:space="preserve"> PAGEREF _Toc12260415 \h </w:instrText>
        </w:r>
        <w:r>
          <w:rPr>
            <w:noProof/>
            <w:webHidden/>
          </w:rPr>
        </w:r>
        <w:r>
          <w:rPr>
            <w:noProof/>
            <w:webHidden/>
          </w:rPr>
          <w:fldChar w:fldCharType="separate"/>
        </w:r>
        <w:r>
          <w:rPr>
            <w:noProof/>
            <w:webHidden/>
          </w:rPr>
          <w:t>138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16" w:history="1">
        <w:r w:rsidRPr="00CD0B56">
          <w:rPr>
            <w:rStyle w:val="Hyperlink"/>
            <w:noProof/>
          </w:rPr>
          <w:t>2.1.348</w:t>
        </w:r>
        <w:r>
          <w:rPr>
            <w:rFonts w:asciiTheme="minorHAnsi" w:eastAsiaTheme="minorEastAsia" w:hAnsiTheme="minorHAnsi" w:cstheme="minorBidi"/>
            <w:noProof/>
            <w:sz w:val="22"/>
            <w:szCs w:val="22"/>
          </w:rPr>
          <w:tab/>
        </w:r>
        <w:r w:rsidRPr="00CD0B56">
          <w:rPr>
            <w:rStyle w:val="Hyperlink"/>
            <w:noProof/>
          </w:rPr>
          <w:t>Part 1 Section 17.13.5.32, sectPrChange (Revision Information for Section Properties)</w:t>
        </w:r>
        <w:r>
          <w:rPr>
            <w:noProof/>
            <w:webHidden/>
          </w:rPr>
          <w:tab/>
        </w:r>
        <w:r>
          <w:rPr>
            <w:noProof/>
            <w:webHidden/>
          </w:rPr>
          <w:fldChar w:fldCharType="begin"/>
        </w:r>
        <w:r>
          <w:rPr>
            <w:noProof/>
            <w:webHidden/>
          </w:rPr>
          <w:instrText xml:space="preserve"> PAGEREF _Toc12260416 \h </w:instrText>
        </w:r>
        <w:r>
          <w:rPr>
            <w:noProof/>
            <w:webHidden/>
          </w:rPr>
        </w:r>
        <w:r>
          <w:rPr>
            <w:noProof/>
            <w:webHidden/>
          </w:rPr>
          <w:fldChar w:fldCharType="separate"/>
        </w:r>
        <w:r>
          <w:rPr>
            <w:noProof/>
            <w:webHidden/>
          </w:rPr>
          <w:t>138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17" w:history="1">
        <w:r w:rsidRPr="00CD0B56">
          <w:rPr>
            <w:rStyle w:val="Hyperlink"/>
            <w:noProof/>
          </w:rPr>
          <w:t>2.1.349</w:t>
        </w:r>
        <w:r>
          <w:rPr>
            <w:rFonts w:asciiTheme="minorHAnsi" w:eastAsiaTheme="minorEastAsia" w:hAnsiTheme="minorHAnsi" w:cstheme="minorBidi"/>
            <w:noProof/>
            <w:sz w:val="22"/>
            <w:szCs w:val="22"/>
          </w:rPr>
          <w:tab/>
        </w:r>
        <w:r w:rsidRPr="00CD0B56">
          <w:rPr>
            <w:rStyle w:val="Hyperlink"/>
            <w:noProof/>
          </w:rPr>
          <w:t>Part 1 Section 17.13.5.33, tblGridChange (Revision Information for Table Grid Column Definitions)</w:t>
        </w:r>
        <w:r>
          <w:rPr>
            <w:noProof/>
            <w:webHidden/>
          </w:rPr>
          <w:tab/>
        </w:r>
        <w:r>
          <w:rPr>
            <w:noProof/>
            <w:webHidden/>
          </w:rPr>
          <w:fldChar w:fldCharType="begin"/>
        </w:r>
        <w:r>
          <w:rPr>
            <w:noProof/>
            <w:webHidden/>
          </w:rPr>
          <w:instrText xml:space="preserve"> PAGEREF _Toc12260417 \h </w:instrText>
        </w:r>
        <w:r>
          <w:rPr>
            <w:noProof/>
            <w:webHidden/>
          </w:rPr>
        </w:r>
        <w:r>
          <w:rPr>
            <w:noProof/>
            <w:webHidden/>
          </w:rPr>
          <w:fldChar w:fldCharType="separate"/>
        </w:r>
        <w:r>
          <w:rPr>
            <w:noProof/>
            <w:webHidden/>
          </w:rPr>
          <w:t>139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18" w:history="1">
        <w:r w:rsidRPr="00CD0B56">
          <w:rPr>
            <w:rStyle w:val="Hyperlink"/>
            <w:noProof/>
          </w:rPr>
          <w:t>2.1.350</w:t>
        </w:r>
        <w:r>
          <w:rPr>
            <w:rFonts w:asciiTheme="minorHAnsi" w:eastAsiaTheme="minorEastAsia" w:hAnsiTheme="minorHAnsi" w:cstheme="minorBidi"/>
            <w:noProof/>
            <w:sz w:val="22"/>
            <w:szCs w:val="22"/>
          </w:rPr>
          <w:tab/>
        </w:r>
        <w:r w:rsidRPr="00CD0B56">
          <w:rPr>
            <w:rStyle w:val="Hyperlink"/>
            <w:noProof/>
          </w:rPr>
          <w:t>Part 1 Section 17.13.5.34, tblPrChange (Revision Information for Table Properties)</w:t>
        </w:r>
        <w:r>
          <w:rPr>
            <w:noProof/>
            <w:webHidden/>
          </w:rPr>
          <w:tab/>
        </w:r>
        <w:r>
          <w:rPr>
            <w:noProof/>
            <w:webHidden/>
          </w:rPr>
          <w:fldChar w:fldCharType="begin"/>
        </w:r>
        <w:r>
          <w:rPr>
            <w:noProof/>
            <w:webHidden/>
          </w:rPr>
          <w:instrText xml:space="preserve"> PAGEREF _Toc12260418 \h </w:instrText>
        </w:r>
        <w:r>
          <w:rPr>
            <w:noProof/>
            <w:webHidden/>
          </w:rPr>
        </w:r>
        <w:r>
          <w:rPr>
            <w:noProof/>
            <w:webHidden/>
          </w:rPr>
          <w:fldChar w:fldCharType="separate"/>
        </w:r>
        <w:r>
          <w:rPr>
            <w:noProof/>
            <w:webHidden/>
          </w:rPr>
          <w:t>139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19" w:history="1">
        <w:r w:rsidRPr="00CD0B56">
          <w:rPr>
            <w:rStyle w:val="Hyperlink"/>
            <w:noProof/>
          </w:rPr>
          <w:t>2.1.351</w:t>
        </w:r>
        <w:r>
          <w:rPr>
            <w:rFonts w:asciiTheme="minorHAnsi" w:eastAsiaTheme="minorEastAsia" w:hAnsiTheme="minorHAnsi" w:cstheme="minorBidi"/>
            <w:noProof/>
            <w:sz w:val="22"/>
            <w:szCs w:val="22"/>
          </w:rPr>
          <w:tab/>
        </w:r>
        <w:r w:rsidRPr="00CD0B56">
          <w:rPr>
            <w:rStyle w:val="Hyperlink"/>
            <w:noProof/>
          </w:rPr>
          <w:t>Part 1 Section 17.13.5.35, tblPrExChange (Revision Information for Table-Level Property Exceptions)</w:t>
        </w:r>
        <w:r>
          <w:rPr>
            <w:noProof/>
            <w:webHidden/>
          </w:rPr>
          <w:tab/>
        </w:r>
        <w:r>
          <w:rPr>
            <w:noProof/>
            <w:webHidden/>
          </w:rPr>
          <w:fldChar w:fldCharType="begin"/>
        </w:r>
        <w:r>
          <w:rPr>
            <w:noProof/>
            <w:webHidden/>
          </w:rPr>
          <w:instrText xml:space="preserve"> PAGEREF _Toc12260419 \h </w:instrText>
        </w:r>
        <w:r>
          <w:rPr>
            <w:noProof/>
            <w:webHidden/>
          </w:rPr>
        </w:r>
        <w:r>
          <w:rPr>
            <w:noProof/>
            <w:webHidden/>
          </w:rPr>
          <w:fldChar w:fldCharType="separate"/>
        </w:r>
        <w:r>
          <w:rPr>
            <w:noProof/>
            <w:webHidden/>
          </w:rPr>
          <w:t>139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20" w:history="1">
        <w:r w:rsidRPr="00CD0B56">
          <w:rPr>
            <w:rStyle w:val="Hyperlink"/>
            <w:noProof/>
          </w:rPr>
          <w:t>2.1.352</w:t>
        </w:r>
        <w:r>
          <w:rPr>
            <w:rFonts w:asciiTheme="minorHAnsi" w:eastAsiaTheme="minorEastAsia" w:hAnsiTheme="minorHAnsi" w:cstheme="minorBidi"/>
            <w:noProof/>
            <w:sz w:val="22"/>
            <w:szCs w:val="22"/>
          </w:rPr>
          <w:tab/>
        </w:r>
        <w:r w:rsidRPr="00CD0B56">
          <w:rPr>
            <w:rStyle w:val="Hyperlink"/>
            <w:noProof/>
          </w:rPr>
          <w:t>Part 1 Section 17.13.5.36, tcPrChange (Revision Information for Table Cell Properties)</w:t>
        </w:r>
        <w:r>
          <w:rPr>
            <w:noProof/>
            <w:webHidden/>
          </w:rPr>
          <w:tab/>
        </w:r>
        <w:r>
          <w:rPr>
            <w:noProof/>
            <w:webHidden/>
          </w:rPr>
          <w:fldChar w:fldCharType="begin"/>
        </w:r>
        <w:r>
          <w:rPr>
            <w:noProof/>
            <w:webHidden/>
          </w:rPr>
          <w:instrText xml:space="preserve"> PAGEREF _Toc12260420 \h </w:instrText>
        </w:r>
        <w:r>
          <w:rPr>
            <w:noProof/>
            <w:webHidden/>
          </w:rPr>
        </w:r>
        <w:r>
          <w:rPr>
            <w:noProof/>
            <w:webHidden/>
          </w:rPr>
          <w:fldChar w:fldCharType="separate"/>
        </w:r>
        <w:r>
          <w:rPr>
            <w:noProof/>
            <w:webHidden/>
          </w:rPr>
          <w:t>139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21" w:history="1">
        <w:r w:rsidRPr="00CD0B56">
          <w:rPr>
            <w:rStyle w:val="Hyperlink"/>
            <w:noProof/>
          </w:rPr>
          <w:t>2.1.353</w:t>
        </w:r>
        <w:r>
          <w:rPr>
            <w:rFonts w:asciiTheme="minorHAnsi" w:eastAsiaTheme="minorEastAsia" w:hAnsiTheme="minorHAnsi" w:cstheme="minorBidi"/>
            <w:noProof/>
            <w:sz w:val="22"/>
            <w:szCs w:val="22"/>
          </w:rPr>
          <w:tab/>
        </w:r>
        <w:r w:rsidRPr="00CD0B56">
          <w:rPr>
            <w:rStyle w:val="Hyperlink"/>
            <w:noProof/>
          </w:rPr>
          <w:t>Part 1 Section 17.13.5.37, trPrChange (Revision Information for Table Row Properties)</w:t>
        </w:r>
        <w:r>
          <w:rPr>
            <w:noProof/>
            <w:webHidden/>
          </w:rPr>
          <w:tab/>
        </w:r>
        <w:r>
          <w:rPr>
            <w:noProof/>
            <w:webHidden/>
          </w:rPr>
          <w:fldChar w:fldCharType="begin"/>
        </w:r>
        <w:r>
          <w:rPr>
            <w:noProof/>
            <w:webHidden/>
          </w:rPr>
          <w:instrText xml:space="preserve"> PAGEREF _Toc12260421 \h </w:instrText>
        </w:r>
        <w:r>
          <w:rPr>
            <w:noProof/>
            <w:webHidden/>
          </w:rPr>
        </w:r>
        <w:r>
          <w:rPr>
            <w:noProof/>
            <w:webHidden/>
          </w:rPr>
          <w:fldChar w:fldCharType="separate"/>
        </w:r>
        <w:r>
          <w:rPr>
            <w:noProof/>
            <w:webHidden/>
          </w:rPr>
          <w:t>139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22" w:history="1">
        <w:r w:rsidRPr="00CD0B56">
          <w:rPr>
            <w:rStyle w:val="Hyperlink"/>
            <w:noProof/>
          </w:rPr>
          <w:t>2.1.354</w:t>
        </w:r>
        <w:r>
          <w:rPr>
            <w:rFonts w:asciiTheme="minorHAnsi" w:eastAsiaTheme="minorEastAsia" w:hAnsiTheme="minorHAnsi" w:cstheme="minorBidi"/>
            <w:noProof/>
            <w:sz w:val="22"/>
            <w:szCs w:val="22"/>
          </w:rPr>
          <w:tab/>
        </w:r>
        <w:r w:rsidRPr="00CD0B56">
          <w:rPr>
            <w:rStyle w:val="Hyperlink"/>
            <w:noProof/>
          </w:rPr>
          <w:t>Part 1 Section 17.13.6, Bookmarks</w:t>
        </w:r>
        <w:r>
          <w:rPr>
            <w:noProof/>
            <w:webHidden/>
          </w:rPr>
          <w:tab/>
        </w:r>
        <w:r>
          <w:rPr>
            <w:noProof/>
            <w:webHidden/>
          </w:rPr>
          <w:fldChar w:fldCharType="begin"/>
        </w:r>
        <w:r>
          <w:rPr>
            <w:noProof/>
            <w:webHidden/>
          </w:rPr>
          <w:instrText xml:space="preserve"> PAGEREF _Toc12260422 \h </w:instrText>
        </w:r>
        <w:r>
          <w:rPr>
            <w:noProof/>
            <w:webHidden/>
          </w:rPr>
        </w:r>
        <w:r>
          <w:rPr>
            <w:noProof/>
            <w:webHidden/>
          </w:rPr>
          <w:fldChar w:fldCharType="separate"/>
        </w:r>
        <w:r>
          <w:rPr>
            <w:noProof/>
            <w:webHidden/>
          </w:rPr>
          <w:t>139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23" w:history="1">
        <w:r w:rsidRPr="00CD0B56">
          <w:rPr>
            <w:rStyle w:val="Hyperlink"/>
            <w:noProof/>
          </w:rPr>
          <w:t>2.1.355</w:t>
        </w:r>
        <w:r>
          <w:rPr>
            <w:rFonts w:asciiTheme="minorHAnsi" w:eastAsiaTheme="minorEastAsia" w:hAnsiTheme="minorHAnsi" w:cstheme="minorBidi"/>
            <w:noProof/>
            <w:sz w:val="22"/>
            <w:szCs w:val="22"/>
          </w:rPr>
          <w:tab/>
        </w:r>
        <w:r w:rsidRPr="00CD0B56">
          <w:rPr>
            <w:rStyle w:val="Hyperlink"/>
            <w:noProof/>
          </w:rPr>
          <w:t>Part 1 Section 17.13.6.1, bookmarkEnd (Bookmark End)</w:t>
        </w:r>
        <w:r>
          <w:rPr>
            <w:noProof/>
            <w:webHidden/>
          </w:rPr>
          <w:tab/>
        </w:r>
        <w:r>
          <w:rPr>
            <w:noProof/>
            <w:webHidden/>
          </w:rPr>
          <w:fldChar w:fldCharType="begin"/>
        </w:r>
        <w:r>
          <w:rPr>
            <w:noProof/>
            <w:webHidden/>
          </w:rPr>
          <w:instrText xml:space="preserve"> PAGEREF _Toc12260423 \h </w:instrText>
        </w:r>
        <w:r>
          <w:rPr>
            <w:noProof/>
            <w:webHidden/>
          </w:rPr>
        </w:r>
        <w:r>
          <w:rPr>
            <w:noProof/>
            <w:webHidden/>
          </w:rPr>
          <w:fldChar w:fldCharType="separate"/>
        </w:r>
        <w:r>
          <w:rPr>
            <w:noProof/>
            <w:webHidden/>
          </w:rPr>
          <w:t>139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24" w:history="1">
        <w:r w:rsidRPr="00CD0B56">
          <w:rPr>
            <w:rStyle w:val="Hyperlink"/>
            <w:noProof/>
          </w:rPr>
          <w:t>2.1.356</w:t>
        </w:r>
        <w:r>
          <w:rPr>
            <w:rFonts w:asciiTheme="minorHAnsi" w:eastAsiaTheme="minorEastAsia" w:hAnsiTheme="minorHAnsi" w:cstheme="minorBidi"/>
            <w:noProof/>
            <w:sz w:val="22"/>
            <w:szCs w:val="22"/>
          </w:rPr>
          <w:tab/>
        </w:r>
        <w:r w:rsidRPr="00CD0B56">
          <w:rPr>
            <w:rStyle w:val="Hyperlink"/>
            <w:noProof/>
          </w:rPr>
          <w:t>Part 1 Section 17.13.6.2, bookmarkStart (Bookmark Start)</w:t>
        </w:r>
        <w:r>
          <w:rPr>
            <w:noProof/>
            <w:webHidden/>
          </w:rPr>
          <w:tab/>
        </w:r>
        <w:r>
          <w:rPr>
            <w:noProof/>
            <w:webHidden/>
          </w:rPr>
          <w:fldChar w:fldCharType="begin"/>
        </w:r>
        <w:r>
          <w:rPr>
            <w:noProof/>
            <w:webHidden/>
          </w:rPr>
          <w:instrText xml:space="preserve"> PAGEREF _Toc12260424 \h </w:instrText>
        </w:r>
        <w:r>
          <w:rPr>
            <w:noProof/>
            <w:webHidden/>
          </w:rPr>
        </w:r>
        <w:r>
          <w:rPr>
            <w:noProof/>
            <w:webHidden/>
          </w:rPr>
          <w:fldChar w:fldCharType="separate"/>
        </w:r>
        <w:r>
          <w:rPr>
            <w:noProof/>
            <w:webHidden/>
          </w:rPr>
          <w:t>140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25" w:history="1">
        <w:r w:rsidRPr="00CD0B56">
          <w:rPr>
            <w:rStyle w:val="Hyperlink"/>
            <w:noProof/>
          </w:rPr>
          <w:t>2.1.357</w:t>
        </w:r>
        <w:r>
          <w:rPr>
            <w:rFonts w:asciiTheme="minorHAnsi" w:eastAsiaTheme="minorEastAsia" w:hAnsiTheme="minorHAnsi" w:cstheme="minorBidi"/>
            <w:noProof/>
            <w:sz w:val="22"/>
            <w:szCs w:val="22"/>
          </w:rPr>
          <w:tab/>
        </w:r>
        <w:r w:rsidRPr="00CD0B56">
          <w:rPr>
            <w:rStyle w:val="Hyperlink"/>
            <w:noProof/>
          </w:rPr>
          <w:t>Part 1 Section 17.13.7.1, permEnd (Range Permission End)</w:t>
        </w:r>
        <w:r>
          <w:rPr>
            <w:noProof/>
            <w:webHidden/>
          </w:rPr>
          <w:tab/>
        </w:r>
        <w:r>
          <w:rPr>
            <w:noProof/>
            <w:webHidden/>
          </w:rPr>
          <w:fldChar w:fldCharType="begin"/>
        </w:r>
        <w:r>
          <w:rPr>
            <w:noProof/>
            <w:webHidden/>
          </w:rPr>
          <w:instrText xml:space="preserve"> PAGEREF _Toc12260425 \h </w:instrText>
        </w:r>
        <w:r>
          <w:rPr>
            <w:noProof/>
            <w:webHidden/>
          </w:rPr>
        </w:r>
        <w:r>
          <w:rPr>
            <w:noProof/>
            <w:webHidden/>
          </w:rPr>
          <w:fldChar w:fldCharType="separate"/>
        </w:r>
        <w:r>
          <w:rPr>
            <w:noProof/>
            <w:webHidden/>
          </w:rPr>
          <w:t>140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26" w:history="1">
        <w:r w:rsidRPr="00CD0B56">
          <w:rPr>
            <w:rStyle w:val="Hyperlink"/>
            <w:noProof/>
          </w:rPr>
          <w:t>2.1.358</w:t>
        </w:r>
        <w:r>
          <w:rPr>
            <w:rFonts w:asciiTheme="minorHAnsi" w:eastAsiaTheme="minorEastAsia" w:hAnsiTheme="minorHAnsi" w:cstheme="minorBidi"/>
            <w:noProof/>
            <w:sz w:val="22"/>
            <w:szCs w:val="22"/>
          </w:rPr>
          <w:tab/>
        </w:r>
        <w:r w:rsidRPr="00CD0B56">
          <w:rPr>
            <w:rStyle w:val="Hyperlink"/>
            <w:noProof/>
          </w:rPr>
          <w:t>Part 1 Section 17.13.7.2, permStart (Range Permission Start)</w:t>
        </w:r>
        <w:r>
          <w:rPr>
            <w:noProof/>
            <w:webHidden/>
          </w:rPr>
          <w:tab/>
        </w:r>
        <w:r>
          <w:rPr>
            <w:noProof/>
            <w:webHidden/>
          </w:rPr>
          <w:fldChar w:fldCharType="begin"/>
        </w:r>
        <w:r>
          <w:rPr>
            <w:noProof/>
            <w:webHidden/>
          </w:rPr>
          <w:instrText xml:space="preserve"> PAGEREF _Toc12260426 \h </w:instrText>
        </w:r>
        <w:r>
          <w:rPr>
            <w:noProof/>
            <w:webHidden/>
          </w:rPr>
        </w:r>
        <w:r>
          <w:rPr>
            <w:noProof/>
            <w:webHidden/>
          </w:rPr>
          <w:fldChar w:fldCharType="separate"/>
        </w:r>
        <w:r>
          <w:rPr>
            <w:noProof/>
            <w:webHidden/>
          </w:rPr>
          <w:t>140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27" w:history="1">
        <w:r w:rsidRPr="00CD0B56">
          <w:rPr>
            <w:rStyle w:val="Hyperlink"/>
            <w:noProof/>
          </w:rPr>
          <w:t>2.1.359</w:t>
        </w:r>
        <w:r>
          <w:rPr>
            <w:rFonts w:asciiTheme="minorHAnsi" w:eastAsiaTheme="minorEastAsia" w:hAnsiTheme="minorHAnsi" w:cstheme="minorBidi"/>
            <w:noProof/>
            <w:sz w:val="22"/>
            <w:szCs w:val="22"/>
          </w:rPr>
          <w:tab/>
        </w:r>
        <w:r w:rsidRPr="00CD0B56">
          <w:rPr>
            <w:rStyle w:val="Hyperlink"/>
            <w:noProof/>
          </w:rPr>
          <w:t>Part 1 Section 17.14, Mail Merge</w:t>
        </w:r>
        <w:r>
          <w:rPr>
            <w:noProof/>
            <w:webHidden/>
          </w:rPr>
          <w:tab/>
        </w:r>
        <w:r>
          <w:rPr>
            <w:noProof/>
            <w:webHidden/>
          </w:rPr>
          <w:fldChar w:fldCharType="begin"/>
        </w:r>
        <w:r>
          <w:rPr>
            <w:noProof/>
            <w:webHidden/>
          </w:rPr>
          <w:instrText xml:space="preserve"> PAGEREF _Toc12260427 \h </w:instrText>
        </w:r>
        <w:r>
          <w:rPr>
            <w:noProof/>
            <w:webHidden/>
          </w:rPr>
        </w:r>
        <w:r>
          <w:rPr>
            <w:noProof/>
            <w:webHidden/>
          </w:rPr>
          <w:fldChar w:fldCharType="separate"/>
        </w:r>
        <w:r>
          <w:rPr>
            <w:noProof/>
            <w:webHidden/>
          </w:rPr>
          <w:t>141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28" w:history="1">
        <w:r w:rsidRPr="00CD0B56">
          <w:rPr>
            <w:rStyle w:val="Hyperlink"/>
            <w:noProof/>
          </w:rPr>
          <w:t>2.1.360</w:t>
        </w:r>
        <w:r>
          <w:rPr>
            <w:rFonts w:asciiTheme="minorHAnsi" w:eastAsiaTheme="minorEastAsia" w:hAnsiTheme="minorHAnsi" w:cstheme="minorBidi"/>
            <w:noProof/>
            <w:sz w:val="22"/>
            <w:szCs w:val="22"/>
          </w:rPr>
          <w:tab/>
        </w:r>
        <w:r w:rsidRPr="00CD0B56">
          <w:rPr>
            <w:rStyle w:val="Hyperlink"/>
            <w:noProof/>
          </w:rPr>
          <w:t>Part 1 Section 17.14.2, activeRecord (Record Currently Displayed In Merged Document)</w:t>
        </w:r>
        <w:r>
          <w:rPr>
            <w:noProof/>
            <w:webHidden/>
          </w:rPr>
          <w:tab/>
        </w:r>
        <w:r>
          <w:rPr>
            <w:noProof/>
            <w:webHidden/>
          </w:rPr>
          <w:fldChar w:fldCharType="begin"/>
        </w:r>
        <w:r>
          <w:rPr>
            <w:noProof/>
            <w:webHidden/>
          </w:rPr>
          <w:instrText xml:space="preserve"> PAGEREF _Toc12260428 \h </w:instrText>
        </w:r>
        <w:r>
          <w:rPr>
            <w:noProof/>
            <w:webHidden/>
          </w:rPr>
        </w:r>
        <w:r>
          <w:rPr>
            <w:noProof/>
            <w:webHidden/>
          </w:rPr>
          <w:fldChar w:fldCharType="separate"/>
        </w:r>
        <w:r>
          <w:rPr>
            <w:noProof/>
            <w:webHidden/>
          </w:rPr>
          <w:t>141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29" w:history="1">
        <w:r w:rsidRPr="00CD0B56">
          <w:rPr>
            <w:rStyle w:val="Hyperlink"/>
            <w:noProof/>
          </w:rPr>
          <w:t>2.1.361</w:t>
        </w:r>
        <w:r>
          <w:rPr>
            <w:rFonts w:asciiTheme="minorHAnsi" w:eastAsiaTheme="minorEastAsia" w:hAnsiTheme="minorHAnsi" w:cstheme="minorBidi"/>
            <w:noProof/>
            <w:sz w:val="22"/>
            <w:szCs w:val="22"/>
          </w:rPr>
          <w:tab/>
        </w:r>
        <w:r w:rsidRPr="00CD0B56">
          <w:rPr>
            <w:rStyle w:val="Hyperlink"/>
            <w:noProof/>
          </w:rPr>
          <w:t>Part 1 Section 17.14.4, checkErrors (Mail Merge Error Reporting Setting)</w:t>
        </w:r>
        <w:r>
          <w:rPr>
            <w:noProof/>
            <w:webHidden/>
          </w:rPr>
          <w:tab/>
        </w:r>
        <w:r>
          <w:rPr>
            <w:noProof/>
            <w:webHidden/>
          </w:rPr>
          <w:fldChar w:fldCharType="begin"/>
        </w:r>
        <w:r>
          <w:rPr>
            <w:noProof/>
            <w:webHidden/>
          </w:rPr>
          <w:instrText xml:space="preserve"> PAGEREF _Toc12260429 \h </w:instrText>
        </w:r>
        <w:r>
          <w:rPr>
            <w:noProof/>
            <w:webHidden/>
          </w:rPr>
        </w:r>
        <w:r>
          <w:rPr>
            <w:noProof/>
            <w:webHidden/>
          </w:rPr>
          <w:fldChar w:fldCharType="separate"/>
        </w:r>
        <w:r>
          <w:rPr>
            <w:noProof/>
            <w:webHidden/>
          </w:rPr>
          <w:t>141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30" w:history="1">
        <w:r w:rsidRPr="00CD0B56">
          <w:rPr>
            <w:rStyle w:val="Hyperlink"/>
            <w:noProof/>
          </w:rPr>
          <w:t>2.1.362</w:t>
        </w:r>
        <w:r>
          <w:rPr>
            <w:rFonts w:asciiTheme="minorHAnsi" w:eastAsiaTheme="minorEastAsia" w:hAnsiTheme="minorHAnsi" w:cstheme="minorBidi"/>
            <w:noProof/>
            <w:sz w:val="22"/>
            <w:szCs w:val="22"/>
          </w:rPr>
          <w:tab/>
        </w:r>
        <w:r w:rsidRPr="00CD0B56">
          <w:rPr>
            <w:rStyle w:val="Hyperlink"/>
            <w:noProof/>
          </w:rPr>
          <w:t>Part 1 Section 17.14.5, colDelim (Column Delimiter for Data Source)</w:t>
        </w:r>
        <w:r>
          <w:rPr>
            <w:noProof/>
            <w:webHidden/>
          </w:rPr>
          <w:tab/>
        </w:r>
        <w:r>
          <w:rPr>
            <w:noProof/>
            <w:webHidden/>
          </w:rPr>
          <w:fldChar w:fldCharType="begin"/>
        </w:r>
        <w:r>
          <w:rPr>
            <w:noProof/>
            <w:webHidden/>
          </w:rPr>
          <w:instrText xml:space="preserve"> PAGEREF _Toc12260430 \h </w:instrText>
        </w:r>
        <w:r>
          <w:rPr>
            <w:noProof/>
            <w:webHidden/>
          </w:rPr>
        </w:r>
        <w:r>
          <w:rPr>
            <w:noProof/>
            <w:webHidden/>
          </w:rPr>
          <w:fldChar w:fldCharType="separate"/>
        </w:r>
        <w:r>
          <w:rPr>
            <w:noProof/>
            <w:webHidden/>
          </w:rPr>
          <w:t>141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31" w:history="1">
        <w:r w:rsidRPr="00CD0B56">
          <w:rPr>
            <w:rStyle w:val="Hyperlink"/>
            <w:noProof/>
          </w:rPr>
          <w:t>2.1.363</w:t>
        </w:r>
        <w:r>
          <w:rPr>
            <w:rFonts w:asciiTheme="minorHAnsi" w:eastAsiaTheme="minorEastAsia" w:hAnsiTheme="minorHAnsi" w:cstheme="minorBidi"/>
            <w:noProof/>
            <w:sz w:val="22"/>
            <w:szCs w:val="22"/>
          </w:rPr>
          <w:tab/>
        </w:r>
        <w:r w:rsidRPr="00CD0B56">
          <w:rPr>
            <w:rStyle w:val="Hyperlink"/>
            <w:noProof/>
          </w:rPr>
          <w:t>Part 1 Section 17.14.6, column (Index of Column Being Mapped)</w:t>
        </w:r>
        <w:r>
          <w:rPr>
            <w:noProof/>
            <w:webHidden/>
          </w:rPr>
          <w:tab/>
        </w:r>
        <w:r>
          <w:rPr>
            <w:noProof/>
            <w:webHidden/>
          </w:rPr>
          <w:fldChar w:fldCharType="begin"/>
        </w:r>
        <w:r>
          <w:rPr>
            <w:noProof/>
            <w:webHidden/>
          </w:rPr>
          <w:instrText xml:space="preserve"> PAGEREF _Toc12260431 \h </w:instrText>
        </w:r>
        <w:r>
          <w:rPr>
            <w:noProof/>
            <w:webHidden/>
          </w:rPr>
        </w:r>
        <w:r>
          <w:rPr>
            <w:noProof/>
            <w:webHidden/>
          </w:rPr>
          <w:fldChar w:fldCharType="separate"/>
        </w:r>
        <w:r>
          <w:rPr>
            <w:noProof/>
            <w:webHidden/>
          </w:rPr>
          <w:t>141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32" w:history="1">
        <w:r w:rsidRPr="00CD0B56">
          <w:rPr>
            <w:rStyle w:val="Hyperlink"/>
            <w:noProof/>
          </w:rPr>
          <w:t>2.1.364</w:t>
        </w:r>
        <w:r>
          <w:rPr>
            <w:rFonts w:asciiTheme="minorHAnsi" w:eastAsiaTheme="minorEastAsia" w:hAnsiTheme="minorHAnsi" w:cstheme="minorBidi"/>
            <w:noProof/>
            <w:sz w:val="22"/>
            <w:szCs w:val="22"/>
          </w:rPr>
          <w:tab/>
        </w:r>
        <w:r w:rsidRPr="00CD0B56">
          <w:rPr>
            <w:rStyle w:val="Hyperlink"/>
            <w:noProof/>
          </w:rPr>
          <w:t>Part 1 Section 17.14.7, column (Index of Column Containing Unique Values for Record)</w:t>
        </w:r>
        <w:r>
          <w:rPr>
            <w:noProof/>
            <w:webHidden/>
          </w:rPr>
          <w:tab/>
        </w:r>
        <w:r>
          <w:rPr>
            <w:noProof/>
            <w:webHidden/>
          </w:rPr>
          <w:fldChar w:fldCharType="begin"/>
        </w:r>
        <w:r>
          <w:rPr>
            <w:noProof/>
            <w:webHidden/>
          </w:rPr>
          <w:instrText xml:space="preserve"> PAGEREF _Toc12260432 \h </w:instrText>
        </w:r>
        <w:r>
          <w:rPr>
            <w:noProof/>
            <w:webHidden/>
          </w:rPr>
        </w:r>
        <w:r>
          <w:rPr>
            <w:noProof/>
            <w:webHidden/>
          </w:rPr>
          <w:fldChar w:fldCharType="separate"/>
        </w:r>
        <w:r>
          <w:rPr>
            <w:noProof/>
            <w:webHidden/>
          </w:rPr>
          <w:t>142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33" w:history="1">
        <w:r w:rsidRPr="00CD0B56">
          <w:rPr>
            <w:rStyle w:val="Hyperlink"/>
            <w:noProof/>
          </w:rPr>
          <w:t>2.1.365</w:t>
        </w:r>
        <w:r>
          <w:rPr>
            <w:rFonts w:asciiTheme="minorHAnsi" w:eastAsiaTheme="minorEastAsia" w:hAnsiTheme="minorHAnsi" w:cstheme="minorBidi"/>
            <w:noProof/>
            <w:sz w:val="22"/>
            <w:szCs w:val="22"/>
          </w:rPr>
          <w:tab/>
        </w:r>
        <w:r w:rsidRPr="00CD0B56">
          <w:rPr>
            <w:rStyle w:val="Hyperlink"/>
            <w:noProof/>
          </w:rPr>
          <w:t>Part 1 Section 17.14.9, dataSource (Data Source File Path)</w:t>
        </w:r>
        <w:r>
          <w:rPr>
            <w:noProof/>
            <w:webHidden/>
          </w:rPr>
          <w:tab/>
        </w:r>
        <w:r>
          <w:rPr>
            <w:noProof/>
            <w:webHidden/>
          </w:rPr>
          <w:fldChar w:fldCharType="begin"/>
        </w:r>
        <w:r>
          <w:rPr>
            <w:noProof/>
            <w:webHidden/>
          </w:rPr>
          <w:instrText xml:space="preserve"> PAGEREF _Toc12260433 \h </w:instrText>
        </w:r>
        <w:r>
          <w:rPr>
            <w:noProof/>
            <w:webHidden/>
          </w:rPr>
        </w:r>
        <w:r>
          <w:rPr>
            <w:noProof/>
            <w:webHidden/>
          </w:rPr>
          <w:fldChar w:fldCharType="separate"/>
        </w:r>
        <w:r>
          <w:rPr>
            <w:noProof/>
            <w:webHidden/>
          </w:rPr>
          <w:t>142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34" w:history="1">
        <w:r w:rsidRPr="00CD0B56">
          <w:rPr>
            <w:rStyle w:val="Hyperlink"/>
            <w:noProof/>
          </w:rPr>
          <w:t>2.1.366</w:t>
        </w:r>
        <w:r>
          <w:rPr>
            <w:rFonts w:asciiTheme="minorHAnsi" w:eastAsiaTheme="minorEastAsia" w:hAnsiTheme="minorHAnsi" w:cstheme="minorBidi"/>
            <w:noProof/>
            <w:sz w:val="22"/>
            <w:szCs w:val="22"/>
          </w:rPr>
          <w:tab/>
        </w:r>
        <w:r w:rsidRPr="00CD0B56">
          <w:rPr>
            <w:rStyle w:val="Hyperlink"/>
            <w:noProof/>
          </w:rPr>
          <w:t>Part 1 Section 17.14.12, doNotSuppressBlankLines (Remove Blank Lines from Merged Documents)</w:t>
        </w:r>
        <w:r>
          <w:rPr>
            <w:noProof/>
            <w:webHidden/>
          </w:rPr>
          <w:tab/>
        </w:r>
        <w:r>
          <w:rPr>
            <w:noProof/>
            <w:webHidden/>
          </w:rPr>
          <w:fldChar w:fldCharType="begin"/>
        </w:r>
        <w:r>
          <w:rPr>
            <w:noProof/>
            <w:webHidden/>
          </w:rPr>
          <w:instrText xml:space="preserve"> PAGEREF _Toc12260434 \h </w:instrText>
        </w:r>
        <w:r>
          <w:rPr>
            <w:noProof/>
            <w:webHidden/>
          </w:rPr>
        </w:r>
        <w:r>
          <w:rPr>
            <w:noProof/>
            <w:webHidden/>
          </w:rPr>
          <w:fldChar w:fldCharType="separate"/>
        </w:r>
        <w:r>
          <w:rPr>
            <w:noProof/>
            <w:webHidden/>
          </w:rPr>
          <w:t>142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35" w:history="1">
        <w:r w:rsidRPr="00CD0B56">
          <w:rPr>
            <w:rStyle w:val="Hyperlink"/>
            <w:noProof/>
          </w:rPr>
          <w:t>2.1.367</w:t>
        </w:r>
        <w:r>
          <w:rPr>
            <w:rFonts w:asciiTheme="minorHAnsi" w:eastAsiaTheme="minorEastAsia" w:hAnsiTheme="minorHAnsi" w:cstheme="minorBidi"/>
            <w:noProof/>
            <w:sz w:val="22"/>
            <w:szCs w:val="22"/>
          </w:rPr>
          <w:tab/>
        </w:r>
        <w:r w:rsidRPr="00CD0B56">
          <w:rPr>
            <w:rStyle w:val="Hyperlink"/>
            <w:noProof/>
          </w:rPr>
          <w:t>Part 1 Section 17.14.13, dynamicAddress (Use Country-Based Address Field Ordering)</w:t>
        </w:r>
        <w:r>
          <w:rPr>
            <w:noProof/>
            <w:webHidden/>
          </w:rPr>
          <w:tab/>
        </w:r>
        <w:r>
          <w:rPr>
            <w:noProof/>
            <w:webHidden/>
          </w:rPr>
          <w:fldChar w:fldCharType="begin"/>
        </w:r>
        <w:r>
          <w:rPr>
            <w:noProof/>
            <w:webHidden/>
          </w:rPr>
          <w:instrText xml:space="preserve"> PAGEREF _Toc12260435 \h </w:instrText>
        </w:r>
        <w:r>
          <w:rPr>
            <w:noProof/>
            <w:webHidden/>
          </w:rPr>
        </w:r>
        <w:r>
          <w:rPr>
            <w:noProof/>
            <w:webHidden/>
          </w:rPr>
          <w:fldChar w:fldCharType="separate"/>
        </w:r>
        <w:r>
          <w:rPr>
            <w:noProof/>
            <w:webHidden/>
          </w:rPr>
          <w:t>142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36" w:history="1">
        <w:r w:rsidRPr="00CD0B56">
          <w:rPr>
            <w:rStyle w:val="Hyperlink"/>
            <w:noProof/>
          </w:rPr>
          <w:t>2.1.368</w:t>
        </w:r>
        <w:r>
          <w:rPr>
            <w:rFonts w:asciiTheme="minorHAnsi" w:eastAsiaTheme="minorEastAsia" w:hAnsiTheme="minorHAnsi" w:cstheme="minorBidi"/>
            <w:noProof/>
            <w:sz w:val="22"/>
            <w:szCs w:val="22"/>
          </w:rPr>
          <w:tab/>
        </w:r>
        <w:r w:rsidRPr="00CD0B56">
          <w:rPr>
            <w:rStyle w:val="Hyperlink"/>
            <w:noProof/>
          </w:rPr>
          <w:t>Part 1 Section 17.14.14, fHdr (First Row of Data Source Contains Column Names)</w:t>
        </w:r>
        <w:r>
          <w:rPr>
            <w:noProof/>
            <w:webHidden/>
          </w:rPr>
          <w:tab/>
        </w:r>
        <w:r>
          <w:rPr>
            <w:noProof/>
            <w:webHidden/>
          </w:rPr>
          <w:fldChar w:fldCharType="begin"/>
        </w:r>
        <w:r>
          <w:rPr>
            <w:noProof/>
            <w:webHidden/>
          </w:rPr>
          <w:instrText xml:space="preserve"> PAGEREF _Toc12260436 \h </w:instrText>
        </w:r>
        <w:r>
          <w:rPr>
            <w:noProof/>
            <w:webHidden/>
          </w:rPr>
        </w:r>
        <w:r>
          <w:rPr>
            <w:noProof/>
            <w:webHidden/>
          </w:rPr>
          <w:fldChar w:fldCharType="separate"/>
        </w:r>
        <w:r>
          <w:rPr>
            <w:noProof/>
            <w:webHidden/>
          </w:rPr>
          <w:t>142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37" w:history="1">
        <w:r w:rsidRPr="00CD0B56">
          <w:rPr>
            <w:rStyle w:val="Hyperlink"/>
            <w:noProof/>
          </w:rPr>
          <w:t>2.1.369</w:t>
        </w:r>
        <w:r>
          <w:rPr>
            <w:rFonts w:asciiTheme="minorHAnsi" w:eastAsiaTheme="minorEastAsia" w:hAnsiTheme="minorHAnsi" w:cstheme="minorBidi"/>
            <w:noProof/>
            <w:sz w:val="22"/>
            <w:szCs w:val="22"/>
          </w:rPr>
          <w:tab/>
        </w:r>
        <w:r w:rsidRPr="00CD0B56">
          <w:rPr>
            <w:rStyle w:val="Hyperlink"/>
            <w:noProof/>
          </w:rPr>
          <w:t>Part 1 Section 17.14.15, fieldMapData (External Data Source to Merge Field Mapping)</w:t>
        </w:r>
        <w:r>
          <w:rPr>
            <w:noProof/>
            <w:webHidden/>
          </w:rPr>
          <w:tab/>
        </w:r>
        <w:r>
          <w:rPr>
            <w:noProof/>
            <w:webHidden/>
          </w:rPr>
          <w:fldChar w:fldCharType="begin"/>
        </w:r>
        <w:r>
          <w:rPr>
            <w:noProof/>
            <w:webHidden/>
          </w:rPr>
          <w:instrText xml:space="preserve"> PAGEREF _Toc12260437 \h </w:instrText>
        </w:r>
        <w:r>
          <w:rPr>
            <w:noProof/>
            <w:webHidden/>
          </w:rPr>
        </w:r>
        <w:r>
          <w:rPr>
            <w:noProof/>
            <w:webHidden/>
          </w:rPr>
          <w:fldChar w:fldCharType="separate"/>
        </w:r>
        <w:r>
          <w:rPr>
            <w:noProof/>
            <w:webHidden/>
          </w:rPr>
          <w:t>142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38" w:history="1">
        <w:r w:rsidRPr="00CD0B56">
          <w:rPr>
            <w:rStyle w:val="Hyperlink"/>
            <w:noProof/>
          </w:rPr>
          <w:t>2.1.370</w:t>
        </w:r>
        <w:r>
          <w:rPr>
            <w:rFonts w:asciiTheme="minorHAnsi" w:eastAsiaTheme="minorEastAsia" w:hAnsiTheme="minorHAnsi" w:cstheme="minorBidi"/>
            <w:noProof/>
            <w:sz w:val="22"/>
            <w:szCs w:val="22"/>
          </w:rPr>
          <w:tab/>
        </w:r>
        <w:r w:rsidRPr="00CD0B56">
          <w:rPr>
            <w:rStyle w:val="Hyperlink"/>
            <w:noProof/>
          </w:rPr>
          <w:t>Part 1 Section 17.14.16, headerSource (Header Definition File Path)</w:t>
        </w:r>
        <w:r>
          <w:rPr>
            <w:noProof/>
            <w:webHidden/>
          </w:rPr>
          <w:tab/>
        </w:r>
        <w:r>
          <w:rPr>
            <w:noProof/>
            <w:webHidden/>
          </w:rPr>
          <w:fldChar w:fldCharType="begin"/>
        </w:r>
        <w:r>
          <w:rPr>
            <w:noProof/>
            <w:webHidden/>
          </w:rPr>
          <w:instrText xml:space="preserve"> PAGEREF _Toc12260438 \h </w:instrText>
        </w:r>
        <w:r>
          <w:rPr>
            <w:noProof/>
            <w:webHidden/>
          </w:rPr>
        </w:r>
        <w:r>
          <w:rPr>
            <w:noProof/>
            <w:webHidden/>
          </w:rPr>
          <w:fldChar w:fldCharType="separate"/>
        </w:r>
        <w:r>
          <w:rPr>
            <w:noProof/>
            <w:webHidden/>
          </w:rPr>
          <w:t>143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39" w:history="1">
        <w:r w:rsidRPr="00CD0B56">
          <w:rPr>
            <w:rStyle w:val="Hyperlink"/>
            <w:noProof/>
          </w:rPr>
          <w:t>2.1.371</w:t>
        </w:r>
        <w:r>
          <w:rPr>
            <w:rFonts w:asciiTheme="minorHAnsi" w:eastAsiaTheme="minorEastAsia" w:hAnsiTheme="minorHAnsi" w:cstheme="minorBidi"/>
            <w:noProof/>
            <w:sz w:val="22"/>
            <w:szCs w:val="22"/>
          </w:rPr>
          <w:tab/>
        </w:r>
        <w:r w:rsidRPr="00CD0B56">
          <w:rPr>
            <w:rStyle w:val="Hyperlink"/>
            <w:noProof/>
          </w:rPr>
          <w:t>Part 1 Section 17.14.17, lid (Merge Field Name Language ID)</w:t>
        </w:r>
        <w:r>
          <w:rPr>
            <w:noProof/>
            <w:webHidden/>
          </w:rPr>
          <w:tab/>
        </w:r>
        <w:r>
          <w:rPr>
            <w:noProof/>
            <w:webHidden/>
          </w:rPr>
          <w:fldChar w:fldCharType="begin"/>
        </w:r>
        <w:r>
          <w:rPr>
            <w:noProof/>
            <w:webHidden/>
          </w:rPr>
          <w:instrText xml:space="preserve"> PAGEREF _Toc12260439 \h </w:instrText>
        </w:r>
        <w:r>
          <w:rPr>
            <w:noProof/>
            <w:webHidden/>
          </w:rPr>
        </w:r>
        <w:r>
          <w:rPr>
            <w:noProof/>
            <w:webHidden/>
          </w:rPr>
          <w:fldChar w:fldCharType="separate"/>
        </w:r>
        <w:r>
          <w:rPr>
            <w:noProof/>
            <w:webHidden/>
          </w:rPr>
          <w:t>144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40" w:history="1">
        <w:r w:rsidRPr="00CD0B56">
          <w:rPr>
            <w:rStyle w:val="Hyperlink"/>
            <w:noProof/>
          </w:rPr>
          <w:t>2.1.372</w:t>
        </w:r>
        <w:r>
          <w:rPr>
            <w:rFonts w:asciiTheme="minorHAnsi" w:eastAsiaTheme="minorEastAsia" w:hAnsiTheme="minorHAnsi" w:cstheme="minorBidi"/>
            <w:noProof/>
            <w:sz w:val="22"/>
            <w:szCs w:val="22"/>
          </w:rPr>
          <w:tab/>
        </w:r>
        <w:r w:rsidRPr="00CD0B56">
          <w:rPr>
            <w:rStyle w:val="Hyperlink"/>
            <w:noProof/>
          </w:rPr>
          <w:t>Part 1 Section 17.14.18, linkToQuery (Query Contains Link to External Query File)</w:t>
        </w:r>
        <w:r>
          <w:rPr>
            <w:noProof/>
            <w:webHidden/>
          </w:rPr>
          <w:tab/>
        </w:r>
        <w:r>
          <w:rPr>
            <w:noProof/>
            <w:webHidden/>
          </w:rPr>
          <w:fldChar w:fldCharType="begin"/>
        </w:r>
        <w:r>
          <w:rPr>
            <w:noProof/>
            <w:webHidden/>
          </w:rPr>
          <w:instrText xml:space="preserve"> PAGEREF _Toc12260440 \h </w:instrText>
        </w:r>
        <w:r>
          <w:rPr>
            <w:noProof/>
            <w:webHidden/>
          </w:rPr>
        </w:r>
        <w:r>
          <w:rPr>
            <w:noProof/>
            <w:webHidden/>
          </w:rPr>
          <w:fldChar w:fldCharType="separate"/>
        </w:r>
        <w:r>
          <w:rPr>
            <w:noProof/>
            <w:webHidden/>
          </w:rPr>
          <w:t>144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41" w:history="1">
        <w:r w:rsidRPr="00CD0B56">
          <w:rPr>
            <w:rStyle w:val="Hyperlink"/>
            <w:noProof/>
          </w:rPr>
          <w:t>2.1.373</w:t>
        </w:r>
        <w:r>
          <w:rPr>
            <w:rFonts w:asciiTheme="minorHAnsi" w:eastAsiaTheme="minorEastAsia" w:hAnsiTheme="minorHAnsi" w:cstheme="minorBidi"/>
            <w:noProof/>
            <w:sz w:val="22"/>
            <w:szCs w:val="22"/>
          </w:rPr>
          <w:tab/>
        </w:r>
        <w:r w:rsidRPr="00CD0B56">
          <w:rPr>
            <w:rStyle w:val="Hyperlink"/>
            <w:noProof/>
          </w:rPr>
          <w:t>Part 1 Section 17.14.20, mailMerge (Mail Merge Settings)</w:t>
        </w:r>
        <w:r>
          <w:rPr>
            <w:noProof/>
            <w:webHidden/>
          </w:rPr>
          <w:tab/>
        </w:r>
        <w:r>
          <w:rPr>
            <w:noProof/>
            <w:webHidden/>
          </w:rPr>
          <w:fldChar w:fldCharType="begin"/>
        </w:r>
        <w:r>
          <w:rPr>
            <w:noProof/>
            <w:webHidden/>
          </w:rPr>
          <w:instrText xml:space="preserve"> PAGEREF _Toc12260441 \h </w:instrText>
        </w:r>
        <w:r>
          <w:rPr>
            <w:noProof/>
            <w:webHidden/>
          </w:rPr>
        </w:r>
        <w:r>
          <w:rPr>
            <w:noProof/>
            <w:webHidden/>
          </w:rPr>
          <w:fldChar w:fldCharType="separate"/>
        </w:r>
        <w:r>
          <w:rPr>
            <w:noProof/>
            <w:webHidden/>
          </w:rPr>
          <w:t>144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42" w:history="1">
        <w:r w:rsidRPr="00CD0B56">
          <w:rPr>
            <w:rStyle w:val="Hyperlink"/>
            <w:noProof/>
          </w:rPr>
          <w:t>2.1.374</w:t>
        </w:r>
        <w:r>
          <w:rPr>
            <w:rFonts w:asciiTheme="minorHAnsi" w:eastAsiaTheme="minorEastAsia" w:hAnsiTheme="minorHAnsi" w:cstheme="minorBidi"/>
            <w:noProof/>
            <w:sz w:val="22"/>
            <w:szCs w:val="22"/>
          </w:rPr>
          <w:tab/>
        </w:r>
        <w:r w:rsidRPr="00CD0B56">
          <w:rPr>
            <w:rStyle w:val="Hyperlink"/>
            <w:noProof/>
          </w:rPr>
          <w:t>Part 1 Section 17.14.23, mappedName (Predefined Merge Field Name)</w:t>
        </w:r>
        <w:r>
          <w:rPr>
            <w:noProof/>
            <w:webHidden/>
          </w:rPr>
          <w:tab/>
        </w:r>
        <w:r>
          <w:rPr>
            <w:noProof/>
            <w:webHidden/>
          </w:rPr>
          <w:fldChar w:fldCharType="begin"/>
        </w:r>
        <w:r>
          <w:rPr>
            <w:noProof/>
            <w:webHidden/>
          </w:rPr>
          <w:instrText xml:space="preserve"> PAGEREF _Toc12260442 \h </w:instrText>
        </w:r>
        <w:r>
          <w:rPr>
            <w:noProof/>
            <w:webHidden/>
          </w:rPr>
        </w:r>
        <w:r>
          <w:rPr>
            <w:noProof/>
            <w:webHidden/>
          </w:rPr>
          <w:fldChar w:fldCharType="separate"/>
        </w:r>
        <w:r>
          <w:rPr>
            <w:noProof/>
            <w:webHidden/>
          </w:rPr>
          <w:t>144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43" w:history="1">
        <w:r w:rsidRPr="00CD0B56">
          <w:rPr>
            <w:rStyle w:val="Hyperlink"/>
            <w:noProof/>
          </w:rPr>
          <w:t>2.1.375</w:t>
        </w:r>
        <w:r>
          <w:rPr>
            <w:rFonts w:asciiTheme="minorHAnsi" w:eastAsiaTheme="minorEastAsia" w:hAnsiTheme="minorHAnsi" w:cstheme="minorBidi"/>
            <w:noProof/>
            <w:sz w:val="22"/>
            <w:szCs w:val="22"/>
          </w:rPr>
          <w:tab/>
        </w:r>
        <w:r w:rsidRPr="00CD0B56">
          <w:rPr>
            <w:rStyle w:val="Hyperlink"/>
            <w:noProof/>
          </w:rPr>
          <w:t>Part 1 Section 17.14.24, name (Data Source Name for Column)</w:t>
        </w:r>
        <w:r>
          <w:rPr>
            <w:noProof/>
            <w:webHidden/>
          </w:rPr>
          <w:tab/>
        </w:r>
        <w:r>
          <w:rPr>
            <w:noProof/>
            <w:webHidden/>
          </w:rPr>
          <w:fldChar w:fldCharType="begin"/>
        </w:r>
        <w:r>
          <w:rPr>
            <w:noProof/>
            <w:webHidden/>
          </w:rPr>
          <w:instrText xml:space="preserve"> PAGEREF _Toc12260443 \h </w:instrText>
        </w:r>
        <w:r>
          <w:rPr>
            <w:noProof/>
            <w:webHidden/>
          </w:rPr>
        </w:r>
        <w:r>
          <w:rPr>
            <w:noProof/>
            <w:webHidden/>
          </w:rPr>
          <w:fldChar w:fldCharType="separate"/>
        </w:r>
        <w:r>
          <w:rPr>
            <w:noProof/>
            <w:webHidden/>
          </w:rPr>
          <w:t>144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44" w:history="1">
        <w:r w:rsidRPr="00CD0B56">
          <w:rPr>
            <w:rStyle w:val="Hyperlink"/>
            <w:noProof/>
          </w:rPr>
          <w:t>2.1.376</w:t>
        </w:r>
        <w:r>
          <w:rPr>
            <w:rFonts w:asciiTheme="minorHAnsi" w:eastAsiaTheme="minorEastAsia" w:hAnsiTheme="minorHAnsi" w:cstheme="minorBidi"/>
            <w:noProof/>
            <w:sz w:val="22"/>
            <w:szCs w:val="22"/>
          </w:rPr>
          <w:tab/>
        </w:r>
        <w:r w:rsidRPr="00CD0B56">
          <w:rPr>
            <w:rStyle w:val="Hyperlink"/>
            <w:noProof/>
          </w:rPr>
          <w:t>Part 1 Section 17.14.25, odso (Office Data Source Object Settings)</w:t>
        </w:r>
        <w:r>
          <w:rPr>
            <w:noProof/>
            <w:webHidden/>
          </w:rPr>
          <w:tab/>
        </w:r>
        <w:r>
          <w:rPr>
            <w:noProof/>
            <w:webHidden/>
          </w:rPr>
          <w:fldChar w:fldCharType="begin"/>
        </w:r>
        <w:r>
          <w:rPr>
            <w:noProof/>
            <w:webHidden/>
          </w:rPr>
          <w:instrText xml:space="preserve"> PAGEREF _Toc12260444 \h </w:instrText>
        </w:r>
        <w:r>
          <w:rPr>
            <w:noProof/>
            <w:webHidden/>
          </w:rPr>
        </w:r>
        <w:r>
          <w:rPr>
            <w:noProof/>
            <w:webHidden/>
          </w:rPr>
          <w:fldChar w:fldCharType="separate"/>
        </w:r>
        <w:r>
          <w:rPr>
            <w:noProof/>
            <w:webHidden/>
          </w:rPr>
          <w:t>144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45" w:history="1">
        <w:r w:rsidRPr="00CD0B56">
          <w:rPr>
            <w:rStyle w:val="Hyperlink"/>
            <w:noProof/>
          </w:rPr>
          <w:t>2.1.377</w:t>
        </w:r>
        <w:r>
          <w:rPr>
            <w:rFonts w:asciiTheme="minorHAnsi" w:eastAsiaTheme="minorEastAsia" w:hAnsiTheme="minorHAnsi" w:cstheme="minorBidi"/>
            <w:noProof/>
            <w:sz w:val="22"/>
            <w:szCs w:val="22"/>
          </w:rPr>
          <w:tab/>
        </w:r>
        <w:r w:rsidRPr="00CD0B56">
          <w:rPr>
            <w:rStyle w:val="Hyperlink"/>
            <w:noProof/>
          </w:rPr>
          <w:t>Part 1 Section 17.14.26, query (Query For Data Source Records To Merge)</w:t>
        </w:r>
        <w:r>
          <w:rPr>
            <w:noProof/>
            <w:webHidden/>
          </w:rPr>
          <w:tab/>
        </w:r>
        <w:r>
          <w:rPr>
            <w:noProof/>
            <w:webHidden/>
          </w:rPr>
          <w:fldChar w:fldCharType="begin"/>
        </w:r>
        <w:r>
          <w:rPr>
            <w:noProof/>
            <w:webHidden/>
          </w:rPr>
          <w:instrText xml:space="preserve"> PAGEREF _Toc12260445 \h </w:instrText>
        </w:r>
        <w:r>
          <w:rPr>
            <w:noProof/>
            <w:webHidden/>
          </w:rPr>
        </w:r>
        <w:r>
          <w:rPr>
            <w:noProof/>
            <w:webHidden/>
          </w:rPr>
          <w:fldChar w:fldCharType="separate"/>
        </w:r>
        <w:r>
          <w:rPr>
            <w:noProof/>
            <w:webHidden/>
          </w:rPr>
          <w:t>145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46" w:history="1">
        <w:r w:rsidRPr="00CD0B56">
          <w:rPr>
            <w:rStyle w:val="Hyperlink"/>
            <w:noProof/>
          </w:rPr>
          <w:t>2.1.378</w:t>
        </w:r>
        <w:r>
          <w:rPr>
            <w:rFonts w:asciiTheme="minorHAnsi" w:eastAsiaTheme="minorEastAsia" w:hAnsiTheme="minorHAnsi" w:cstheme="minorBidi"/>
            <w:noProof/>
            <w:sz w:val="22"/>
            <w:szCs w:val="22"/>
          </w:rPr>
          <w:tab/>
        </w:r>
        <w:r w:rsidRPr="00CD0B56">
          <w:rPr>
            <w:rStyle w:val="Hyperlink"/>
            <w:noProof/>
          </w:rPr>
          <w:t>Part 1 Section 17.14.28, recipientData (Reference to Inclusion/Exclusion Data for Data Source)</w:t>
        </w:r>
        <w:r>
          <w:rPr>
            <w:noProof/>
            <w:webHidden/>
          </w:rPr>
          <w:tab/>
        </w:r>
        <w:r>
          <w:rPr>
            <w:noProof/>
            <w:webHidden/>
          </w:rPr>
          <w:fldChar w:fldCharType="begin"/>
        </w:r>
        <w:r>
          <w:rPr>
            <w:noProof/>
            <w:webHidden/>
          </w:rPr>
          <w:instrText xml:space="preserve"> PAGEREF _Toc12260446 \h </w:instrText>
        </w:r>
        <w:r>
          <w:rPr>
            <w:noProof/>
            <w:webHidden/>
          </w:rPr>
        </w:r>
        <w:r>
          <w:rPr>
            <w:noProof/>
            <w:webHidden/>
          </w:rPr>
          <w:fldChar w:fldCharType="separate"/>
        </w:r>
        <w:r>
          <w:rPr>
            <w:noProof/>
            <w:webHidden/>
          </w:rPr>
          <w:t>145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47" w:history="1">
        <w:r w:rsidRPr="00CD0B56">
          <w:rPr>
            <w:rStyle w:val="Hyperlink"/>
            <w:noProof/>
          </w:rPr>
          <w:t>2.1.379</w:t>
        </w:r>
        <w:r>
          <w:rPr>
            <w:rFonts w:asciiTheme="minorHAnsi" w:eastAsiaTheme="minorEastAsia" w:hAnsiTheme="minorHAnsi" w:cstheme="minorBidi"/>
            <w:noProof/>
            <w:sz w:val="22"/>
            <w:szCs w:val="22"/>
          </w:rPr>
          <w:tab/>
        </w:r>
        <w:r w:rsidRPr="00CD0B56">
          <w:rPr>
            <w:rStyle w:val="Hyperlink"/>
            <w:noProof/>
          </w:rPr>
          <w:t>Part 1 Section 17.14.30, src (ODSO Data Source File Path)</w:t>
        </w:r>
        <w:r>
          <w:rPr>
            <w:noProof/>
            <w:webHidden/>
          </w:rPr>
          <w:tab/>
        </w:r>
        <w:r>
          <w:rPr>
            <w:noProof/>
            <w:webHidden/>
          </w:rPr>
          <w:fldChar w:fldCharType="begin"/>
        </w:r>
        <w:r>
          <w:rPr>
            <w:noProof/>
            <w:webHidden/>
          </w:rPr>
          <w:instrText xml:space="preserve"> PAGEREF _Toc12260447 \h </w:instrText>
        </w:r>
        <w:r>
          <w:rPr>
            <w:noProof/>
            <w:webHidden/>
          </w:rPr>
        </w:r>
        <w:r>
          <w:rPr>
            <w:noProof/>
            <w:webHidden/>
          </w:rPr>
          <w:fldChar w:fldCharType="separate"/>
        </w:r>
        <w:r>
          <w:rPr>
            <w:noProof/>
            <w:webHidden/>
          </w:rPr>
          <w:t>145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48" w:history="1">
        <w:r w:rsidRPr="00CD0B56">
          <w:rPr>
            <w:rStyle w:val="Hyperlink"/>
            <w:noProof/>
          </w:rPr>
          <w:t>2.1.380</w:t>
        </w:r>
        <w:r>
          <w:rPr>
            <w:rFonts w:asciiTheme="minorHAnsi" w:eastAsiaTheme="minorEastAsia" w:hAnsiTheme="minorHAnsi" w:cstheme="minorBidi"/>
            <w:noProof/>
            <w:sz w:val="22"/>
            <w:szCs w:val="22"/>
          </w:rPr>
          <w:tab/>
        </w:r>
        <w:r w:rsidRPr="00CD0B56">
          <w:rPr>
            <w:rStyle w:val="Hyperlink"/>
            <w:noProof/>
          </w:rPr>
          <w:t>Part 1 Section 17.14.31, table (Data Source Table Name)</w:t>
        </w:r>
        <w:r>
          <w:rPr>
            <w:noProof/>
            <w:webHidden/>
          </w:rPr>
          <w:tab/>
        </w:r>
        <w:r>
          <w:rPr>
            <w:noProof/>
            <w:webHidden/>
          </w:rPr>
          <w:fldChar w:fldCharType="begin"/>
        </w:r>
        <w:r>
          <w:rPr>
            <w:noProof/>
            <w:webHidden/>
          </w:rPr>
          <w:instrText xml:space="preserve"> PAGEREF _Toc12260448 \h </w:instrText>
        </w:r>
        <w:r>
          <w:rPr>
            <w:noProof/>
            <w:webHidden/>
          </w:rPr>
        </w:r>
        <w:r>
          <w:rPr>
            <w:noProof/>
            <w:webHidden/>
          </w:rPr>
          <w:fldChar w:fldCharType="separate"/>
        </w:r>
        <w:r>
          <w:rPr>
            <w:noProof/>
            <w:webHidden/>
          </w:rPr>
          <w:t>145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49" w:history="1">
        <w:r w:rsidRPr="00CD0B56">
          <w:rPr>
            <w:rStyle w:val="Hyperlink"/>
            <w:noProof/>
          </w:rPr>
          <w:t>2.1.381</w:t>
        </w:r>
        <w:r>
          <w:rPr>
            <w:rFonts w:asciiTheme="minorHAnsi" w:eastAsiaTheme="minorEastAsia" w:hAnsiTheme="minorHAnsi" w:cstheme="minorBidi"/>
            <w:noProof/>
            <w:sz w:val="22"/>
            <w:szCs w:val="22"/>
          </w:rPr>
          <w:tab/>
        </w:r>
        <w:r w:rsidRPr="00CD0B56">
          <w:rPr>
            <w:rStyle w:val="Hyperlink"/>
            <w:noProof/>
          </w:rPr>
          <w:t>Part 1 Section 17.14.34, udl (UDL Connection String)</w:t>
        </w:r>
        <w:r>
          <w:rPr>
            <w:noProof/>
            <w:webHidden/>
          </w:rPr>
          <w:tab/>
        </w:r>
        <w:r>
          <w:rPr>
            <w:noProof/>
            <w:webHidden/>
          </w:rPr>
          <w:fldChar w:fldCharType="begin"/>
        </w:r>
        <w:r>
          <w:rPr>
            <w:noProof/>
            <w:webHidden/>
          </w:rPr>
          <w:instrText xml:space="preserve"> PAGEREF _Toc12260449 \h </w:instrText>
        </w:r>
        <w:r>
          <w:rPr>
            <w:noProof/>
            <w:webHidden/>
          </w:rPr>
        </w:r>
        <w:r>
          <w:rPr>
            <w:noProof/>
            <w:webHidden/>
          </w:rPr>
          <w:fldChar w:fldCharType="separate"/>
        </w:r>
        <w:r>
          <w:rPr>
            <w:noProof/>
            <w:webHidden/>
          </w:rPr>
          <w:t>145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50" w:history="1">
        <w:r w:rsidRPr="00CD0B56">
          <w:rPr>
            <w:rStyle w:val="Hyperlink"/>
            <w:noProof/>
          </w:rPr>
          <w:t>2.1.382</w:t>
        </w:r>
        <w:r>
          <w:rPr>
            <w:rFonts w:asciiTheme="minorHAnsi" w:eastAsiaTheme="minorEastAsia" w:hAnsiTheme="minorHAnsi" w:cstheme="minorBidi"/>
            <w:noProof/>
            <w:sz w:val="22"/>
            <w:szCs w:val="22"/>
          </w:rPr>
          <w:tab/>
        </w:r>
        <w:r w:rsidRPr="00CD0B56">
          <w:rPr>
            <w:rStyle w:val="Hyperlink"/>
            <w:noProof/>
          </w:rPr>
          <w:t>Part 1 Section 17.14.35, uniqueTag (Unique Value for Record)</w:t>
        </w:r>
        <w:r>
          <w:rPr>
            <w:noProof/>
            <w:webHidden/>
          </w:rPr>
          <w:tab/>
        </w:r>
        <w:r>
          <w:rPr>
            <w:noProof/>
            <w:webHidden/>
          </w:rPr>
          <w:fldChar w:fldCharType="begin"/>
        </w:r>
        <w:r>
          <w:rPr>
            <w:noProof/>
            <w:webHidden/>
          </w:rPr>
          <w:instrText xml:space="preserve"> PAGEREF _Toc12260450 \h </w:instrText>
        </w:r>
        <w:r>
          <w:rPr>
            <w:noProof/>
            <w:webHidden/>
          </w:rPr>
        </w:r>
        <w:r>
          <w:rPr>
            <w:noProof/>
            <w:webHidden/>
          </w:rPr>
          <w:fldChar w:fldCharType="separate"/>
        </w:r>
        <w:r>
          <w:rPr>
            <w:noProof/>
            <w:webHidden/>
          </w:rPr>
          <w:t>145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51" w:history="1">
        <w:r w:rsidRPr="00CD0B56">
          <w:rPr>
            <w:rStyle w:val="Hyperlink"/>
            <w:noProof/>
          </w:rPr>
          <w:t>2.1.383</w:t>
        </w:r>
        <w:r>
          <w:rPr>
            <w:rFonts w:asciiTheme="minorHAnsi" w:eastAsiaTheme="minorEastAsia" w:hAnsiTheme="minorHAnsi" w:cstheme="minorBidi"/>
            <w:noProof/>
            <w:sz w:val="22"/>
            <w:szCs w:val="22"/>
          </w:rPr>
          <w:tab/>
        </w:r>
        <w:r w:rsidRPr="00CD0B56">
          <w:rPr>
            <w:rStyle w:val="Hyperlink"/>
            <w:noProof/>
          </w:rPr>
          <w:t>Part 1 Section 17.15.1.1, activeWritingStyle (Grammar Checking Settings)</w:t>
        </w:r>
        <w:r>
          <w:rPr>
            <w:noProof/>
            <w:webHidden/>
          </w:rPr>
          <w:tab/>
        </w:r>
        <w:r>
          <w:rPr>
            <w:noProof/>
            <w:webHidden/>
          </w:rPr>
          <w:fldChar w:fldCharType="begin"/>
        </w:r>
        <w:r>
          <w:rPr>
            <w:noProof/>
            <w:webHidden/>
          </w:rPr>
          <w:instrText xml:space="preserve"> PAGEREF _Toc12260451 \h </w:instrText>
        </w:r>
        <w:r>
          <w:rPr>
            <w:noProof/>
            <w:webHidden/>
          </w:rPr>
        </w:r>
        <w:r>
          <w:rPr>
            <w:noProof/>
            <w:webHidden/>
          </w:rPr>
          <w:fldChar w:fldCharType="separate"/>
        </w:r>
        <w:r>
          <w:rPr>
            <w:noProof/>
            <w:webHidden/>
          </w:rPr>
          <w:t>147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52" w:history="1">
        <w:r w:rsidRPr="00CD0B56">
          <w:rPr>
            <w:rStyle w:val="Hyperlink"/>
            <w:noProof/>
          </w:rPr>
          <w:t>2.1.384</w:t>
        </w:r>
        <w:r>
          <w:rPr>
            <w:rFonts w:asciiTheme="minorHAnsi" w:eastAsiaTheme="minorEastAsia" w:hAnsiTheme="minorHAnsi" w:cstheme="minorBidi"/>
            <w:noProof/>
            <w:sz w:val="22"/>
            <w:szCs w:val="22"/>
          </w:rPr>
          <w:tab/>
        </w:r>
        <w:r w:rsidRPr="00CD0B56">
          <w:rPr>
            <w:rStyle w:val="Hyperlink"/>
            <w:noProof/>
          </w:rPr>
          <w:t>Part 1 Section 17.15.1.3, alwaysMergeEmptyNamespace (Do Not Mark Custom XML Elements With No Namespace As Invalid)</w:t>
        </w:r>
        <w:r>
          <w:rPr>
            <w:noProof/>
            <w:webHidden/>
          </w:rPr>
          <w:tab/>
        </w:r>
        <w:r>
          <w:rPr>
            <w:noProof/>
            <w:webHidden/>
          </w:rPr>
          <w:fldChar w:fldCharType="begin"/>
        </w:r>
        <w:r>
          <w:rPr>
            <w:noProof/>
            <w:webHidden/>
          </w:rPr>
          <w:instrText xml:space="preserve"> PAGEREF _Toc12260452 \h </w:instrText>
        </w:r>
        <w:r>
          <w:rPr>
            <w:noProof/>
            <w:webHidden/>
          </w:rPr>
        </w:r>
        <w:r>
          <w:rPr>
            <w:noProof/>
            <w:webHidden/>
          </w:rPr>
          <w:fldChar w:fldCharType="separate"/>
        </w:r>
        <w:r>
          <w:rPr>
            <w:noProof/>
            <w:webHidden/>
          </w:rPr>
          <w:t>147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53" w:history="1">
        <w:r w:rsidRPr="00CD0B56">
          <w:rPr>
            <w:rStyle w:val="Hyperlink"/>
            <w:noProof/>
          </w:rPr>
          <w:t>2.1.385</w:t>
        </w:r>
        <w:r>
          <w:rPr>
            <w:rFonts w:asciiTheme="minorHAnsi" w:eastAsiaTheme="minorEastAsia" w:hAnsiTheme="minorHAnsi" w:cstheme="minorBidi"/>
            <w:noProof/>
            <w:sz w:val="22"/>
            <w:szCs w:val="22"/>
          </w:rPr>
          <w:tab/>
        </w:r>
        <w:r w:rsidRPr="00CD0B56">
          <w:rPr>
            <w:rStyle w:val="Hyperlink"/>
            <w:noProof/>
          </w:rPr>
          <w:t>Part 1 Section 17.15.1.6, attachedTemplate (Attached Document Template)</w:t>
        </w:r>
        <w:r>
          <w:rPr>
            <w:noProof/>
            <w:webHidden/>
          </w:rPr>
          <w:tab/>
        </w:r>
        <w:r>
          <w:rPr>
            <w:noProof/>
            <w:webHidden/>
          </w:rPr>
          <w:fldChar w:fldCharType="begin"/>
        </w:r>
        <w:r>
          <w:rPr>
            <w:noProof/>
            <w:webHidden/>
          </w:rPr>
          <w:instrText xml:space="preserve"> PAGEREF _Toc12260453 \h </w:instrText>
        </w:r>
        <w:r>
          <w:rPr>
            <w:noProof/>
            <w:webHidden/>
          </w:rPr>
        </w:r>
        <w:r>
          <w:rPr>
            <w:noProof/>
            <w:webHidden/>
          </w:rPr>
          <w:fldChar w:fldCharType="separate"/>
        </w:r>
        <w:r>
          <w:rPr>
            <w:noProof/>
            <w:webHidden/>
          </w:rPr>
          <w:t>147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54" w:history="1">
        <w:r w:rsidRPr="00CD0B56">
          <w:rPr>
            <w:rStyle w:val="Hyperlink"/>
            <w:noProof/>
          </w:rPr>
          <w:t>2.1.386</w:t>
        </w:r>
        <w:r>
          <w:rPr>
            <w:rFonts w:asciiTheme="minorHAnsi" w:eastAsiaTheme="minorEastAsia" w:hAnsiTheme="minorHAnsi" w:cstheme="minorBidi"/>
            <w:noProof/>
            <w:sz w:val="22"/>
            <w:szCs w:val="22"/>
          </w:rPr>
          <w:tab/>
        </w:r>
        <w:r w:rsidRPr="00CD0B56">
          <w:rPr>
            <w:rStyle w:val="Hyperlink"/>
            <w:noProof/>
          </w:rPr>
          <w:t>Part 1 Section 17.15.1.7, autoCaption (Single Automatic Captioning Setting)</w:t>
        </w:r>
        <w:r>
          <w:rPr>
            <w:noProof/>
            <w:webHidden/>
          </w:rPr>
          <w:tab/>
        </w:r>
        <w:r>
          <w:rPr>
            <w:noProof/>
            <w:webHidden/>
          </w:rPr>
          <w:fldChar w:fldCharType="begin"/>
        </w:r>
        <w:r>
          <w:rPr>
            <w:noProof/>
            <w:webHidden/>
          </w:rPr>
          <w:instrText xml:space="preserve"> PAGEREF _Toc12260454 \h </w:instrText>
        </w:r>
        <w:r>
          <w:rPr>
            <w:noProof/>
            <w:webHidden/>
          </w:rPr>
        </w:r>
        <w:r>
          <w:rPr>
            <w:noProof/>
            <w:webHidden/>
          </w:rPr>
          <w:fldChar w:fldCharType="separate"/>
        </w:r>
        <w:r>
          <w:rPr>
            <w:noProof/>
            <w:webHidden/>
          </w:rPr>
          <w:t>148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55" w:history="1">
        <w:r w:rsidRPr="00CD0B56">
          <w:rPr>
            <w:rStyle w:val="Hyperlink"/>
            <w:noProof/>
          </w:rPr>
          <w:t>2.1.387</w:t>
        </w:r>
        <w:r>
          <w:rPr>
            <w:rFonts w:asciiTheme="minorHAnsi" w:eastAsiaTheme="minorEastAsia" w:hAnsiTheme="minorHAnsi" w:cstheme="minorBidi"/>
            <w:noProof/>
            <w:sz w:val="22"/>
            <w:szCs w:val="22"/>
          </w:rPr>
          <w:tab/>
        </w:r>
        <w:r w:rsidRPr="00CD0B56">
          <w:rPr>
            <w:rStyle w:val="Hyperlink"/>
            <w:noProof/>
          </w:rPr>
          <w:t>Part 1 Section 17.15.1.8, autoCaptions (Automatic Captioning Settings)</w:t>
        </w:r>
        <w:r>
          <w:rPr>
            <w:noProof/>
            <w:webHidden/>
          </w:rPr>
          <w:tab/>
        </w:r>
        <w:r>
          <w:rPr>
            <w:noProof/>
            <w:webHidden/>
          </w:rPr>
          <w:fldChar w:fldCharType="begin"/>
        </w:r>
        <w:r>
          <w:rPr>
            <w:noProof/>
            <w:webHidden/>
          </w:rPr>
          <w:instrText xml:space="preserve"> PAGEREF _Toc12260455 \h </w:instrText>
        </w:r>
        <w:r>
          <w:rPr>
            <w:noProof/>
            <w:webHidden/>
          </w:rPr>
        </w:r>
        <w:r>
          <w:rPr>
            <w:noProof/>
            <w:webHidden/>
          </w:rPr>
          <w:fldChar w:fldCharType="separate"/>
        </w:r>
        <w:r>
          <w:rPr>
            <w:noProof/>
            <w:webHidden/>
          </w:rPr>
          <w:t>148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56" w:history="1">
        <w:r w:rsidRPr="00CD0B56">
          <w:rPr>
            <w:rStyle w:val="Hyperlink"/>
            <w:noProof/>
          </w:rPr>
          <w:t>2.1.388</w:t>
        </w:r>
        <w:r>
          <w:rPr>
            <w:rFonts w:asciiTheme="minorHAnsi" w:eastAsiaTheme="minorEastAsia" w:hAnsiTheme="minorHAnsi" w:cstheme="minorBidi"/>
            <w:noProof/>
            <w:sz w:val="22"/>
            <w:szCs w:val="22"/>
          </w:rPr>
          <w:tab/>
        </w:r>
        <w:r w:rsidRPr="00CD0B56">
          <w:rPr>
            <w:rStyle w:val="Hyperlink"/>
            <w:noProof/>
          </w:rPr>
          <w:t>Part 1 Section 17.15.1.9, autoFormatOverride (Allow Automatic Formatting to Override Formatting Protection Settings)</w:t>
        </w:r>
        <w:r>
          <w:rPr>
            <w:noProof/>
            <w:webHidden/>
          </w:rPr>
          <w:tab/>
        </w:r>
        <w:r>
          <w:rPr>
            <w:noProof/>
            <w:webHidden/>
          </w:rPr>
          <w:fldChar w:fldCharType="begin"/>
        </w:r>
        <w:r>
          <w:rPr>
            <w:noProof/>
            <w:webHidden/>
          </w:rPr>
          <w:instrText xml:space="preserve"> PAGEREF _Toc12260456 \h </w:instrText>
        </w:r>
        <w:r>
          <w:rPr>
            <w:noProof/>
            <w:webHidden/>
          </w:rPr>
        </w:r>
        <w:r>
          <w:rPr>
            <w:noProof/>
            <w:webHidden/>
          </w:rPr>
          <w:fldChar w:fldCharType="separate"/>
        </w:r>
        <w:r>
          <w:rPr>
            <w:noProof/>
            <w:webHidden/>
          </w:rPr>
          <w:t>148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57" w:history="1">
        <w:r w:rsidRPr="00CD0B56">
          <w:rPr>
            <w:rStyle w:val="Hyperlink"/>
            <w:noProof/>
          </w:rPr>
          <w:t>2.1.389</w:t>
        </w:r>
        <w:r>
          <w:rPr>
            <w:rFonts w:asciiTheme="minorHAnsi" w:eastAsiaTheme="minorEastAsia" w:hAnsiTheme="minorHAnsi" w:cstheme="minorBidi"/>
            <w:noProof/>
            <w:sz w:val="22"/>
            <w:szCs w:val="22"/>
          </w:rPr>
          <w:tab/>
        </w:r>
        <w:r w:rsidRPr="00CD0B56">
          <w:rPr>
            <w:rStyle w:val="Hyperlink"/>
            <w:noProof/>
          </w:rPr>
          <w:t>Part 1 Section 17.15.1.11, bookFoldPrinting (Book Fold Printing)</w:t>
        </w:r>
        <w:r>
          <w:rPr>
            <w:noProof/>
            <w:webHidden/>
          </w:rPr>
          <w:tab/>
        </w:r>
        <w:r>
          <w:rPr>
            <w:noProof/>
            <w:webHidden/>
          </w:rPr>
          <w:fldChar w:fldCharType="begin"/>
        </w:r>
        <w:r>
          <w:rPr>
            <w:noProof/>
            <w:webHidden/>
          </w:rPr>
          <w:instrText xml:space="preserve"> PAGEREF _Toc12260457 \h </w:instrText>
        </w:r>
        <w:r>
          <w:rPr>
            <w:noProof/>
            <w:webHidden/>
          </w:rPr>
        </w:r>
        <w:r>
          <w:rPr>
            <w:noProof/>
            <w:webHidden/>
          </w:rPr>
          <w:fldChar w:fldCharType="separate"/>
        </w:r>
        <w:r>
          <w:rPr>
            <w:noProof/>
            <w:webHidden/>
          </w:rPr>
          <w:t>148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58" w:history="1">
        <w:r w:rsidRPr="00CD0B56">
          <w:rPr>
            <w:rStyle w:val="Hyperlink"/>
            <w:noProof/>
          </w:rPr>
          <w:t>2.1.390</w:t>
        </w:r>
        <w:r>
          <w:rPr>
            <w:rFonts w:asciiTheme="minorHAnsi" w:eastAsiaTheme="minorEastAsia" w:hAnsiTheme="minorHAnsi" w:cstheme="minorBidi"/>
            <w:noProof/>
            <w:sz w:val="22"/>
            <w:szCs w:val="22"/>
          </w:rPr>
          <w:tab/>
        </w:r>
        <w:r w:rsidRPr="00CD0B56">
          <w:rPr>
            <w:rStyle w:val="Hyperlink"/>
            <w:noProof/>
          </w:rPr>
          <w:t>Part 1 Section 17.15.1.12, bookFoldPrintingSheets (Number of Pages Per Booklet)</w:t>
        </w:r>
        <w:r>
          <w:rPr>
            <w:noProof/>
            <w:webHidden/>
          </w:rPr>
          <w:tab/>
        </w:r>
        <w:r>
          <w:rPr>
            <w:noProof/>
            <w:webHidden/>
          </w:rPr>
          <w:fldChar w:fldCharType="begin"/>
        </w:r>
        <w:r>
          <w:rPr>
            <w:noProof/>
            <w:webHidden/>
          </w:rPr>
          <w:instrText xml:space="preserve"> PAGEREF _Toc12260458 \h </w:instrText>
        </w:r>
        <w:r>
          <w:rPr>
            <w:noProof/>
            <w:webHidden/>
          </w:rPr>
        </w:r>
        <w:r>
          <w:rPr>
            <w:noProof/>
            <w:webHidden/>
          </w:rPr>
          <w:fldChar w:fldCharType="separate"/>
        </w:r>
        <w:r>
          <w:rPr>
            <w:noProof/>
            <w:webHidden/>
          </w:rPr>
          <w:t>148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59" w:history="1">
        <w:r w:rsidRPr="00CD0B56">
          <w:rPr>
            <w:rStyle w:val="Hyperlink"/>
            <w:noProof/>
          </w:rPr>
          <w:t>2.1.391</w:t>
        </w:r>
        <w:r>
          <w:rPr>
            <w:rFonts w:asciiTheme="minorHAnsi" w:eastAsiaTheme="minorEastAsia" w:hAnsiTheme="minorHAnsi" w:cstheme="minorBidi"/>
            <w:noProof/>
            <w:sz w:val="22"/>
            <w:szCs w:val="22"/>
          </w:rPr>
          <w:tab/>
        </w:r>
        <w:r w:rsidRPr="00CD0B56">
          <w:rPr>
            <w:rStyle w:val="Hyperlink"/>
            <w:noProof/>
          </w:rPr>
          <w:t>Part 1 Section 17.15.1.13, bookFoldRevPrinting (Reverse Book Fold Printing)</w:t>
        </w:r>
        <w:r>
          <w:rPr>
            <w:noProof/>
            <w:webHidden/>
          </w:rPr>
          <w:tab/>
        </w:r>
        <w:r>
          <w:rPr>
            <w:noProof/>
            <w:webHidden/>
          </w:rPr>
          <w:fldChar w:fldCharType="begin"/>
        </w:r>
        <w:r>
          <w:rPr>
            <w:noProof/>
            <w:webHidden/>
          </w:rPr>
          <w:instrText xml:space="preserve"> PAGEREF _Toc12260459 \h </w:instrText>
        </w:r>
        <w:r>
          <w:rPr>
            <w:noProof/>
            <w:webHidden/>
          </w:rPr>
        </w:r>
        <w:r>
          <w:rPr>
            <w:noProof/>
            <w:webHidden/>
          </w:rPr>
          <w:fldChar w:fldCharType="separate"/>
        </w:r>
        <w:r>
          <w:rPr>
            <w:noProof/>
            <w:webHidden/>
          </w:rPr>
          <w:t>149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60" w:history="1">
        <w:r w:rsidRPr="00CD0B56">
          <w:rPr>
            <w:rStyle w:val="Hyperlink"/>
            <w:noProof/>
          </w:rPr>
          <w:t>2.1.392</w:t>
        </w:r>
        <w:r>
          <w:rPr>
            <w:rFonts w:asciiTheme="minorHAnsi" w:eastAsiaTheme="minorEastAsia" w:hAnsiTheme="minorHAnsi" w:cstheme="minorBidi"/>
            <w:noProof/>
            <w:sz w:val="22"/>
            <w:szCs w:val="22"/>
          </w:rPr>
          <w:tab/>
        </w:r>
        <w:r w:rsidRPr="00CD0B56">
          <w:rPr>
            <w:rStyle w:val="Hyperlink"/>
            <w:noProof/>
          </w:rPr>
          <w:t>Part 1 Section 17.15.1.16, caption (Single Caption Type Definition)</w:t>
        </w:r>
        <w:r>
          <w:rPr>
            <w:noProof/>
            <w:webHidden/>
          </w:rPr>
          <w:tab/>
        </w:r>
        <w:r>
          <w:rPr>
            <w:noProof/>
            <w:webHidden/>
          </w:rPr>
          <w:fldChar w:fldCharType="begin"/>
        </w:r>
        <w:r>
          <w:rPr>
            <w:noProof/>
            <w:webHidden/>
          </w:rPr>
          <w:instrText xml:space="preserve"> PAGEREF _Toc12260460 \h </w:instrText>
        </w:r>
        <w:r>
          <w:rPr>
            <w:noProof/>
            <w:webHidden/>
          </w:rPr>
        </w:r>
        <w:r>
          <w:rPr>
            <w:noProof/>
            <w:webHidden/>
          </w:rPr>
          <w:fldChar w:fldCharType="separate"/>
        </w:r>
        <w:r>
          <w:rPr>
            <w:noProof/>
            <w:webHidden/>
          </w:rPr>
          <w:t>149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61" w:history="1">
        <w:r w:rsidRPr="00CD0B56">
          <w:rPr>
            <w:rStyle w:val="Hyperlink"/>
            <w:noProof/>
          </w:rPr>
          <w:t>2.1.393</w:t>
        </w:r>
        <w:r>
          <w:rPr>
            <w:rFonts w:asciiTheme="minorHAnsi" w:eastAsiaTheme="minorEastAsia" w:hAnsiTheme="minorHAnsi" w:cstheme="minorBidi"/>
            <w:noProof/>
            <w:sz w:val="22"/>
            <w:szCs w:val="22"/>
          </w:rPr>
          <w:tab/>
        </w:r>
        <w:r w:rsidRPr="00CD0B56">
          <w:rPr>
            <w:rStyle w:val="Hyperlink"/>
            <w:noProof/>
          </w:rPr>
          <w:t>Part 1 Section 17.15.1.17, captions (Caption Settings)</w:t>
        </w:r>
        <w:r>
          <w:rPr>
            <w:noProof/>
            <w:webHidden/>
          </w:rPr>
          <w:tab/>
        </w:r>
        <w:r>
          <w:rPr>
            <w:noProof/>
            <w:webHidden/>
          </w:rPr>
          <w:fldChar w:fldCharType="begin"/>
        </w:r>
        <w:r>
          <w:rPr>
            <w:noProof/>
            <w:webHidden/>
          </w:rPr>
          <w:instrText xml:space="preserve"> PAGEREF _Toc12260461 \h </w:instrText>
        </w:r>
        <w:r>
          <w:rPr>
            <w:noProof/>
            <w:webHidden/>
          </w:rPr>
        </w:r>
        <w:r>
          <w:rPr>
            <w:noProof/>
            <w:webHidden/>
          </w:rPr>
          <w:fldChar w:fldCharType="separate"/>
        </w:r>
        <w:r>
          <w:rPr>
            <w:noProof/>
            <w:webHidden/>
          </w:rPr>
          <w:t>149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62" w:history="1">
        <w:r w:rsidRPr="00CD0B56">
          <w:rPr>
            <w:rStyle w:val="Hyperlink"/>
            <w:noProof/>
          </w:rPr>
          <w:t>2.1.394</w:t>
        </w:r>
        <w:r>
          <w:rPr>
            <w:rFonts w:asciiTheme="minorHAnsi" w:eastAsiaTheme="minorEastAsia" w:hAnsiTheme="minorHAnsi" w:cstheme="minorBidi"/>
            <w:noProof/>
            <w:sz w:val="22"/>
            <w:szCs w:val="22"/>
          </w:rPr>
          <w:tab/>
        </w:r>
        <w:r w:rsidRPr="00CD0B56">
          <w:rPr>
            <w:rStyle w:val="Hyperlink"/>
            <w:noProof/>
          </w:rPr>
          <w:t>Part 1 Section 17.15.1.19, clickAndTypeStyle (Paragraph Style Applied to Automatically Generated Paragraphs)</w:t>
        </w:r>
        <w:r>
          <w:rPr>
            <w:noProof/>
            <w:webHidden/>
          </w:rPr>
          <w:tab/>
        </w:r>
        <w:r>
          <w:rPr>
            <w:noProof/>
            <w:webHidden/>
          </w:rPr>
          <w:fldChar w:fldCharType="begin"/>
        </w:r>
        <w:r>
          <w:rPr>
            <w:noProof/>
            <w:webHidden/>
          </w:rPr>
          <w:instrText xml:space="preserve"> PAGEREF _Toc12260462 \h </w:instrText>
        </w:r>
        <w:r>
          <w:rPr>
            <w:noProof/>
            <w:webHidden/>
          </w:rPr>
        </w:r>
        <w:r>
          <w:rPr>
            <w:noProof/>
            <w:webHidden/>
          </w:rPr>
          <w:fldChar w:fldCharType="separate"/>
        </w:r>
        <w:r>
          <w:rPr>
            <w:noProof/>
            <w:webHidden/>
          </w:rPr>
          <w:t>150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63" w:history="1">
        <w:r w:rsidRPr="00CD0B56">
          <w:rPr>
            <w:rStyle w:val="Hyperlink"/>
            <w:noProof/>
          </w:rPr>
          <w:t>2.1.395</w:t>
        </w:r>
        <w:r>
          <w:rPr>
            <w:rFonts w:asciiTheme="minorHAnsi" w:eastAsiaTheme="minorEastAsia" w:hAnsiTheme="minorHAnsi" w:cstheme="minorBidi"/>
            <w:noProof/>
            <w:sz w:val="22"/>
            <w:szCs w:val="22"/>
          </w:rPr>
          <w:tab/>
        </w:r>
        <w:r w:rsidRPr="00CD0B56">
          <w:rPr>
            <w:rStyle w:val="Hyperlink"/>
            <w:noProof/>
          </w:rPr>
          <w:t>Part 1 Section 17.15.1.20, clrSchemeMapping (Theme Color Mappings)</w:t>
        </w:r>
        <w:r>
          <w:rPr>
            <w:noProof/>
            <w:webHidden/>
          </w:rPr>
          <w:tab/>
        </w:r>
        <w:r>
          <w:rPr>
            <w:noProof/>
            <w:webHidden/>
          </w:rPr>
          <w:fldChar w:fldCharType="begin"/>
        </w:r>
        <w:r>
          <w:rPr>
            <w:noProof/>
            <w:webHidden/>
          </w:rPr>
          <w:instrText xml:space="preserve"> PAGEREF _Toc12260463 \h </w:instrText>
        </w:r>
        <w:r>
          <w:rPr>
            <w:noProof/>
            <w:webHidden/>
          </w:rPr>
        </w:r>
        <w:r>
          <w:rPr>
            <w:noProof/>
            <w:webHidden/>
          </w:rPr>
          <w:fldChar w:fldCharType="separate"/>
        </w:r>
        <w:r>
          <w:rPr>
            <w:noProof/>
            <w:webHidden/>
          </w:rPr>
          <w:t>150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64" w:history="1">
        <w:r w:rsidRPr="00CD0B56">
          <w:rPr>
            <w:rStyle w:val="Hyperlink"/>
            <w:noProof/>
          </w:rPr>
          <w:t>2.1.396</w:t>
        </w:r>
        <w:r>
          <w:rPr>
            <w:rFonts w:asciiTheme="minorHAnsi" w:eastAsiaTheme="minorEastAsia" w:hAnsiTheme="minorHAnsi" w:cstheme="minorBidi"/>
            <w:noProof/>
            <w:sz w:val="22"/>
            <w:szCs w:val="22"/>
          </w:rPr>
          <w:tab/>
        </w:r>
        <w:r w:rsidRPr="00CD0B56">
          <w:rPr>
            <w:rStyle w:val="Hyperlink"/>
            <w:noProof/>
          </w:rPr>
          <w:t>Part 1 Section 17.15.1.22, consecutiveHyphenLimit (Maximum Number of Consecutively Hyphenated Lines)</w:t>
        </w:r>
        <w:r>
          <w:rPr>
            <w:noProof/>
            <w:webHidden/>
          </w:rPr>
          <w:tab/>
        </w:r>
        <w:r>
          <w:rPr>
            <w:noProof/>
            <w:webHidden/>
          </w:rPr>
          <w:fldChar w:fldCharType="begin"/>
        </w:r>
        <w:r>
          <w:rPr>
            <w:noProof/>
            <w:webHidden/>
          </w:rPr>
          <w:instrText xml:space="preserve"> PAGEREF _Toc12260464 \h </w:instrText>
        </w:r>
        <w:r>
          <w:rPr>
            <w:noProof/>
            <w:webHidden/>
          </w:rPr>
        </w:r>
        <w:r>
          <w:rPr>
            <w:noProof/>
            <w:webHidden/>
          </w:rPr>
          <w:fldChar w:fldCharType="separate"/>
        </w:r>
        <w:r>
          <w:rPr>
            <w:noProof/>
            <w:webHidden/>
          </w:rPr>
          <w:t>150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65" w:history="1">
        <w:r w:rsidRPr="00CD0B56">
          <w:rPr>
            <w:rStyle w:val="Hyperlink"/>
            <w:noProof/>
          </w:rPr>
          <w:t>2.1.397</w:t>
        </w:r>
        <w:r>
          <w:rPr>
            <w:rFonts w:asciiTheme="minorHAnsi" w:eastAsiaTheme="minorEastAsia" w:hAnsiTheme="minorHAnsi" w:cstheme="minorBidi"/>
            <w:noProof/>
            <w:sz w:val="22"/>
            <w:szCs w:val="22"/>
          </w:rPr>
          <w:tab/>
        </w:r>
        <w:r w:rsidRPr="00CD0B56">
          <w:rPr>
            <w:rStyle w:val="Hyperlink"/>
            <w:noProof/>
          </w:rPr>
          <w:t>Part 1 Section 17.15.1.23, decimalSymbol (Radix Point for Field Code Evaluation)</w:t>
        </w:r>
        <w:r>
          <w:rPr>
            <w:noProof/>
            <w:webHidden/>
          </w:rPr>
          <w:tab/>
        </w:r>
        <w:r>
          <w:rPr>
            <w:noProof/>
            <w:webHidden/>
          </w:rPr>
          <w:fldChar w:fldCharType="begin"/>
        </w:r>
        <w:r>
          <w:rPr>
            <w:noProof/>
            <w:webHidden/>
          </w:rPr>
          <w:instrText xml:space="preserve"> PAGEREF _Toc12260465 \h </w:instrText>
        </w:r>
        <w:r>
          <w:rPr>
            <w:noProof/>
            <w:webHidden/>
          </w:rPr>
        </w:r>
        <w:r>
          <w:rPr>
            <w:noProof/>
            <w:webHidden/>
          </w:rPr>
          <w:fldChar w:fldCharType="separate"/>
        </w:r>
        <w:r>
          <w:rPr>
            <w:noProof/>
            <w:webHidden/>
          </w:rPr>
          <w:t>150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66" w:history="1">
        <w:r w:rsidRPr="00CD0B56">
          <w:rPr>
            <w:rStyle w:val="Hyperlink"/>
            <w:noProof/>
          </w:rPr>
          <w:t>2.1.398</w:t>
        </w:r>
        <w:r>
          <w:rPr>
            <w:rFonts w:asciiTheme="minorHAnsi" w:eastAsiaTheme="minorEastAsia" w:hAnsiTheme="minorHAnsi" w:cstheme="minorBidi"/>
            <w:noProof/>
            <w:sz w:val="22"/>
            <w:szCs w:val="22"/>
          </w:rPr>
          <w:tab/>
        </w:r>
        <w:r w:rsidRPr="00CD0B56">
          <w:rPr>
            <w:rStyle w:val="Hyperlink"/>
            <w:noProof/>
          </w:rPr>
          <w:t>Part 1 Section 17.15.1.24, defaultTableStyle (Default Table Style for Newly Inserted Tables)</w:t>
        </w:r>
        <w:r>
          <w:rPr>
            <w:noProof/>
            <w:webHidden/>
          </w:rPr>
          <w:tab/>
        </w:r>
        <w:r>
          <w:rPr>
            <w:noProof/>
            <w:webHidden/>
          </w:rPr>
          <w:fldChar w:fldCharType="begin"/>
        </w:r>
        <w:r>
          <w:rPr>
            <w:noProof/>
            <w:webHidden/>
          </w:rPr>
          <w:instrText xml:space="preserve"> PAGEREF _Toc12260466 \h </w:instrText>
        </w:r>
        <w:r>
          <w:rPr>
            <w:noProof/>
            <w:webHidden/>
          </w:rPr>
        </w:r>
        <w:r>
          <w:rPr>
            <w:noProof/>
            <w:webHidden/>
          </w:rPr>
          <w:fldChar w:fldCharType="separate"/>
        </w:r>
        <w:r>
          <w:rPr>
            <w:noProof/>
            <w:webHidden/>
          </w:rPr>
          <w:t>150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67" w:history="1">
        <w:r w:rsidRPr="00CD0B56">
          <w:rPr>
            <w:rStyle w:val="Hyperlink"/>
            <w:noProof/>
          </w:rPr>
          <w:t>2.1.399</w:t>
        </w:r>
        <w:r>
          <w:rPr>
            <w:rFonts w:asciiTheme="minorHAnsi" w:eastAsiaTheme="minorEastAsia" w:hAnsiTheme="minorHAnsi" w:cstheme="minorBidi"/>
            <w:noProof/>
            <w:sz w:val="22"/>
            <w:szCs w:val="22"/>
          </w:rPr>
          <w:tab/>
        </w:r>
        <w:r w:rsidRPr="00CD0B56">
          <w:rPr>
            <w:rStyle w:val="Hyperlink"/>
            <w:noProof/>
          </w:rPr>
          <w:t>Part 1 Section 17.15.1.25, defaultTabStop (Distance Between Automatic Tab Stops)</w:t>
        </w:r>
        <w:r>
          <w:rPr>
            <w:noProof/>
            <w:webHidden/>
          </w:rPr>
          <w:tab/>
        </w:r>
        <w:r>
          <w:rPr>
            <w:noProof/>
            <w:webHidden/>
          </w:rPr>
          <w:fldChar w:fldCharType="begin"/>
        </w:r>
        <w:r>
          <w:rPr>
            <w:noProof/>
            <w:webHidden/>
          </w:rPr>
          <w:instrText xml:space="preserve"> PAGEREF _Toc12260467 \h </w:instrText>
        </w:r>
        <w:r>
          <w:rPr>
            <w:noProof/>
            <w:webHidden/>
          </w:rPr>
        </w:r>
        <w:r>
          <w:rPr>
            <w:noProof/>
            <w:webHidden/>
          </w:rPr>
          <w:fldChar w:fldCharType="separate"/>
        </w:r>
        <w:r>
          <w:rPr>
            <w:noProof/>
            <w:webHidden/>
          </w:rPr>
          <w:t>151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68" w:history="1">
        <w:r w:rsidRPr="00CD0B56">
          <w:rPr>
            <w:rStyle w:val="Hyperlink"/>
            <w:noProof/>
          </w:rPr>
          <w:t>2.1.400</w:t>
        </w:r>
        <w:r>
          <w:rPr>
            <w:rFonts w:asciiTheme="minorHAnsi" w:eastAsiaTheme="minorEastAsia" w:hAnsiTheme="minorHAnsi" w:cstheme="minorBidi"/>
            <w:noProof/>
            <w:sz w:val="22"/>
            <w:szCs w:val="22"/>
          </w:rPr>
          <w:tab/>
        </w:r>
        <w:r w:rsidRPr="00CD0B56">
          <w:rPr>
            <w:rStyle w:val="Hyperlink"/>
            <w:noProof/>
          </w:rPr>
          <w:t>Part 1 Section 17.15.1.27, displayHorizontalDrawingGridEvery (Distance between Horizontal Gridlines)</w:t>
        </w:r>
        <w:r>
          <w:rPr>
            <w:noProof/>
            <w:webHidden/>
          </w:rPr>
          <w:tab/>
        </w:r>
        <w:r>
          <w:rPr>
            <w:noProof/>
            <w:webHidden/>
          </w:rPr>
          <w:fldChar w:fldCharType="begin"/>
        </w:r>
        <w:r>
          <w:rPr>
            <w:noProof/>
            <w:webHidden/>
          </w:rPr>
          <w:instrText xml:space="preserve"> PAGEREF _Toc12260468 \h </w:instrText>
        </w:r>
        <w:r>
          <w:rPr>
            <w:noProof/>
            <w:webHidden/>
          </w:rPr>
        </w:r>
        <w:r>
          <w:rPr>
            <w:noProof/>
            <w:webHidden/>
          </w:rPr>
          <w:fldChar w:fldCharType="separate"/>
        </w:r>
        <w:r>
          <w:rPr>
            <w:noProof/>
            <w:webHidden/>
          </w:rPr>
          <w:t>151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69" w:history="1">
        <w:r w:rsidRPr="00CD0B56">
          <w:rPr>
            <w:rStyle w:val="Hyperlink"/>
            <w:noProof/>
          </w:rPr>
          <w:t>2.1.401</w:t>
        </w:r>
        <w:r>
          <w:rPr>
            <w:rFonts w:asciiTheme="minorHAnsi" w:eastAsiaTheme="minorEastAsia" w:hAnsiTheme="minorHAnsi" w:cstheme="minorBidi"/>
            <w:noProof/>
            <w:sz w:val="22"/>
            <w:szCs w:val="22"/>
          </w:rPr>
          <w:tab/>
        </w:r>
        <w:r w:rsidRPr="00CD0B56">
          <w:rPr>
            <w:rStyle w:val="Hyperlink"/>
            <w:noProof/>
          </w:rPr>
          <w:t>Part 1 Section 17.15.1.28, displayVerticalDrawingGridEvery (Distance between Vertical Gridlines)</w:t>
        </w:r>
        <w:r>
          <w:rPr>
            <w:noProof/>
            <w:webHidden/>
          </w:rPr>
          <w:tab/>
        </w:r>
        <w:r>
          <w:rPr>
            <w:noProof/>
            <w:webHidden/>
          </w:rPr>
          <w:fldChar w:fldCharType="begin"/>
        </w:r>
        <w:r>
          <w:rPr>
            <w:noProof/>
            <w:webHidden/>
          </w:rPr>
          <w:instrText xml:space="preserve"> PAGEREF _Toc12260469 \h </w:instrText>
        </w:r>
        <w:r>
          <w:rPr>
            <w:noProof/>
            <w:webHidden/>
          </w:rPr>
        </w:r>
        <w:r>
          <w:rPr>
            <w:noProof/>
            <w:webHidden/>
          </w:rPr>
          <w:fldChar w:fldCharType="separate"/>
        </w:r>
        <w:r>
          <w:rPr>
            <w:noProof/>
            <w:webHidden/>
          </w:rPr>
          <w:t>151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70" w:history="1">
        <w:r w:rsidRPr="00CD0B56">
          <w:rPr>
            <w:rStyle w:val="Hyperlink"/>
            <w:noProof/>
          </w:rPr>
          <w:t>2.1.402</w:t>
        </w:r>
        <w:r>
          <w:rPr>
            <w:rFonts w:asciiTheme="minorHAnsi" w:eastAsiaTheme="minorEastAsia" w:hAnsiTheme="minorHAnsi" w:cstheme="minorBidi"/>
            <w:noProof/>
            <w:sz w:val="22"/>
            <w:szCs w:val="22"/>
          </w:rPr>
          <w:tab/>
        </w:r>
        <w:r w:rsidRPr="00CD0B56">
          <w:rPr>
            <w:rStyle w:val="Hyperlink"/>
            <w:noProof/>
          </w:rPr>
          <w:t>Part 1 Section 17.15.1.29, documentProtection (Document Editing Restrictions)</w:t>
        </w:r>
        <w:r>
          <w:rPr>
            <w:noProof/>
            <w:webHidden/>
          </w:rPr>
          <w:tab/>
        </w:r>
        <w:r>
          <w:rPr>
            <w:noProof/>
            <w:webHidden/>
          </w:rPr>
          <w:fldChar w:fldCharType="begin"/>
        </w:r>
        <w:r>
          <w:rPr>
            <w:noProof/>
            <w:webHidden/>
          </w:rPr>
          <w:instrText xml:space="preserve"> PAGEREF _Toc12260470 \h </w:instrText>
        </w:r>
        <w:r>
          <w:rPr>
            <w:noProof/>
            <w:webHidden/>
          </w:rPr>
        </w:r>
        <w:r>
          <w:rPr>
            <w:noProof/>
            <w:webHidden/>
          </w:rPr>
          <w:fldChar w:fldCharType="separate"/>
        </w:r>
        <w:r>
          <w:rPr>
            <w:noProof/>
            <w:webHidden/>
          </w:rPr>
          <w:t>151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71" w:history="1">
        <w:r w:rsidRPr="00CD0B56">
          <w:rPr>
            <w:rStyle w:val="Hyperlink"/>
            <w:noProof/>
          </w:rPr>
          <w:t>2.1.403</w:t>
        </w:r>
        <w:r>
          <w:rPr>
            <w:rFonts w:asciiTheme="minorHAnsi" w:eastAsiaTheme="minorEastAsia" w:hAnsiTheme="minorHAnsi" w:cstheme="minorBidi"/>
            <w:noProof/>
            <w:sz w:val="22"/>
            <w:szCs w:val="22"/>
          </w:rPr>
          <w:tab/>
        </w:r>
        <w:r w:rsidRPr="00CD0B56">
          <w:rPr>
            <w:rStyle w:val="Hyperlink"/>
            <w:noProof/>
          </w:rPr>
          <w:t>Part 1 Section 17.15.1.31, docVar (Single Document Variable)</w:t>
        </w:r>
        <w:r>
          <w:rPr>
            <w:noProof/>
            <w:webHidden/>
          </w:rPr>
          <w:tab/>
        </w:r>
        <w:r>
          <w:rPr>
            <w:noProof/>
            <w:webHidden/>
          </w:rPr>
          <w:fldChar w:fldCharType="begin"/>
        </w:r>
        <w:r>
          <w:rPr>
            <w:noProof/>
            <w:webHidden/>
          </w:rPr>
          <w:instrText xml:space="preserve"> PAGEREF _Toc12260471 \h </w:instrText>
        </w:r>
        <w:r>
          <w:rPr>
            <w:noProof/>
            <w:webHidden/>
          </w:rPr>
        </w:r>
        <w:r>
          <w:rPr>
            <w:noProof/>
            <w:webHidden/>
          </w:rPr>
          <w:fldChar w:fldCharType="separate"/>
        </w:r>
        <w:r>
          <w:rPr>
            <w:noProof/>
            <w:webHidden/>
          </w:rPr>
          <w:t>153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72" w:history="1">
        <w:r w:rsidRPr="00CD0B56">
          <w:rPr>
            <w:rStyle w:val="Hyperlink"/>
            <w:noProof/>
          </w:rPr>
          <w:t>2.1.404</w:t>
        </w:r>
        <w:r>
          <w:rPr>
            <w:rFonts w:asciiTheme="minorHAnsi" w:eastAsiaTheme="minorEastAsia" w:hAnsiTheme="minorHAnsi" w:cstheme="minorBidi"/>
            <w:noProof/>
            <w:sz w:val="22"/>
            <w:szCs w:val="22"/>
          </w:rPr>
          <w:tab/>
        </w:r>
        <w:r w:rsidRPr="00CD0B56">
          <w:rPr>
            <w:rStyle w:val="Hyperlink"/>
            <w:noProof/>
          </w:rPr>
          <w:t>Part 1 Section 17.15.1.42, doNotUseMarginsForDrawingGridOrigin (Do Not Use Margins for Drawing Grid Origin)</w:t>
        </w:r>
        <w:r>
          <w:rPr>
            <w:noProof/>
            <w:webHidden/>
          </w:rPr>
          <w:tab/>
        </w:r>
        <w:r>
          <w:rPr>
            <w:noProof/>
            <w:webHidden/>
          </w:rPr>
          <w:fldChar w:fldCharType="begin"/>
        </w:r>
        <w:r>
          <w:rPr>
            <w:noProof/>
            <w:webHidden/>
          </w:rPr>
          <w:instrText xml:space="preserve"> PAGEREF _Toc12260472 \h </w:instrText>
        </w:r>
        <w:r>
          <w:rPr>
            <w:noProof/>
            <w:webHidden/>
          </w:rPr>
        </w:r>
        <w:r>
          <w:rPr>
            <w:noProof/>
            <w:webHidden/>
          </w:rPr>
          <w:fldChar w:fldCharType="separate"/>
        </w:r>
        <w:r>
          <w:rPr>
            <w:noProof/>
            <w:webHidden/>
          </w:rPr>
          <w:t>154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73" w:history="1">
        <w:r w:rsidRPr="00CD0B56">
          <w:rPr>
            <w:rStyle w:val="Hyperlink"/>
            <w:noProof/>
          </w:rPr>
          <w:t>2.1.405</w:t>
        </w:r>
        <w:r>
          <w:rPr>
            <w:rFonts w:asciiTheme="minorHAnsi" w:eastAsiaTheme="minorEastAsia" w:hAnsiTheme="minorHAnsi" w:cstheme="minorBidi"/>
            <w:noProof/>
            <w:sz w:val="22"/>
            <w:szCs w:val="22"/>
          </w:rPr>
          <w:tab/>
        </w:r>
        <w:r w:rsidRPr="00CD0B56">
          <w:rPr>
            <w:rStyle w:val="Hyperlink"/>
            <w:noProof/>
          </w:rPr>
          <w:t>Part 1 Section 17.15.1.44, drawingGridHorizontalOrigin (Drawing Grid Horizontal Origin Point)</w:t>
        </w:r>
        <w:r>
          <w:rPr>
            <w:noProof/>
            <w:webHidden/>
          </w:rPr>
          <w:tab/>
        </w:r>
        <w:r>
          <w:rPr>
            <w:noProof/>
            <w:webHidden/>
          </w:rPr>
          <w:fldChar w:fldCharType="begin"/>
        </w:r>
        <w:r>
          <w:rPr>
            <w:noProof/>
            <w:webHidden/>
          </w:rPr>
          <w:instrText xml:space="preserve"> PAGEREF _Toc12260473 \h </w:instrText>
        </w:r>
        <w:r>
          <w:rPr>
            <w:noProof/>
            <w:webHidden/>
          </w:rPr>
        </w:r>
        <w:r>
          <w:rPr>
            <w:noProof/>
            <w:webHidden/>
          </w:rPr>
          <w:fldChar w:fldCharType="separate"/>
        </w:r>
        <w:r>
          <w:rPr>
            <w:noProof/>
            <w:webHidden/>
          </w:rPr>
          <w:t>154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74" w:history="1">
        <w:r w:rsidRPr="00CD0B56">
          <w:rPr>
            <w:rStyle w:val="Hyperlink"/>
            <w:noProof/>
          </w:rPr>
          <w:t>2.1.406</w:t>
        </w:r>
        <w:r>
          <w:rPr>
            <w:rFonts w:asciiTheme="minorHAnsi" w:eastAsiaTheme="minorEastAsia" w:hAnsiTheme="minorHAnsi" w:cstheme="minorBidi"/>
            <w:noProof/>
            <w:sz w:val="22"/>
            <w:szCs w:val="22"/>
          </w:rPr>
          <w:tab/>
        </w:r>
        <w:r w:rsidRPr="00CD0B56">
          <w:rPr>
            <w:rStyle w:val="Hyperlink"/>
            <w:noProof/>
          </w:rPr>
          <w:t>Part 1 Section 17.15.1.46, drawingGridVerticalOrigin (Drawing Grid Vertical Origin Point)</w:t>
        </w:r>
        <w:r>
          <w:rPr>
            <w:noProof/>
            <w:webHidden/>
          </w:rPr>
          <w:tab/>
        </w:r>
        <w:r>
          <w:rPr>
            <w:noProof/>
            <w:webHidden/>
          </w:rPr>
          <w:fldChar w:fldCharType="begin"/>
        </w:r>
        <w:r>
          <w:rPr>
            <w:noProof/>
            <w:webHidden/>
          </w:rPr>
          <w:instrText xml:space="preserve"> PAGEREF _Toc12260474 \h </w:instrText>
        </w:r>
        <w:r>
          <w:rPr>
            <w:noProof/>
            <w:webHidden/>
          </w:rPr>
        </w:r>
        <w:r>
          <w:rPr>
            <w:noProof/>
            <w:webHidden/>
          </w:rPr>
          <w:fldChar w:fldCharType="separate"/>
        </w:r>
        <w:r>
          <w:rPr>
            <w:noProof/>
            <w:webHidden/>
          </w:rPr>
          <w:t>154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75" w:history="1">
        <w:r w:rsidRPr="00CD0B56">
          <w:rPr>
            <w:rStyle w:val="Hyperlink"/>
            <w:noProof/>
          </w:rPr>
          <w:t>2.1.407</w:t>
        </w:r>
        <w:r>
          <w:rPr>
            <w:rFonts w:asciiTheme="minorHAnsi" w:eastAsiaTheme="minorEastAsia" w:hAnsiTheme="minorHAnsi" w:cstheme="minorBidi"/>
            <w:noProof/>
            <w:sz w:val="22"/>
            <w:szCs w:val="22"/>
          </w:rPr>
          <w:tab/>
        </w:r>
        <w:r w:rsidRPr="00CD0B56">
          <w:rPr>
            <w:rStyle w:val="Hyperlink"/>
            <w:noProof/>
          </w:rPr>
          <w:t>Part 1 Section 17.15.1.53, hyphenationZone (Hyphenation Zone)</w:t>
        </w:r>
        <w:r>
          <w:rPr>
            <w:noProof/>
            <w:webHidden/>
          </w:rPr>
          <w:tab/>
        </w:r>
        <w:r>
          <w:rPr>
            <w:noProof/>
            <w:webHidden/>
          </w:rPr>
          <w:fldChar w:fldCharType="begin"/>
        </w:r>
        <w:r>
          <w:rPr>
            <w:noProof/>
            <w:webHidden/>
          </w:rPr>
          <w:instrText xml:space="preserve"> PAGEREF _Toc12260475 \h </w:instrText>
        </w:r>
        <w:r>
          <w:rPr>
            <w:noProof/>
            <w:webHidden/>
          </w:rPr>
        </w:r>
        <w:r>
          <w:rPr>
            <w:noProof/>
            <w:webHidden/>
          </w:rPr>
          <w:fldChar w:fldCharType="separate"/>
        </w:r>
        <w:r>
          <w:rPr>
            <w:noProof/>
            <w:webHidden/>
          </w:rPr>
          <w:t>154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76" w:history="1">
        <w:r w:rsidRPr="00CD0B56">
          <w:rPr>
            <w:rStyle w:val="Hyperlink"/>
            <w:noProof/>
          </w:rPr>
          <w:t>2.1.408</w:t>
        </w:r>
        <w:r>
          <w:rPr>
            <w:rFonts w:asciiTheme="minorHAnsi" w:eastAsiaTheme="minorEastAsia" w:hAnsiTheme="minorHAnsi" w:cstheme="minorBidi"/>
            <w:noProof/>
            <w:sz w:val="22"/>
            <w:szCs w:val="22"/>
          </w:rPr>
          <w:tab/>
        </w:r>
        <w:r w:rsidRPr="00CD0B56">
          <w:rPr>
            <w:rStyle w:val="Hyperlink"/>
            <w:noProof/>
          </w:rPr>
          <w:t>Part 1 Section 17.15.1.56, listSeparator (List Separator for Field Code Evaluation)</w:t>
        </w:r>
        <w:r>
          <w:rPr>
            <w:noProof/>
            <w:webHidden/>
          </w:rPr>
          <w:tab/>
        </w:r>
        <w:r>
          <w:rPr>
            <w:noProof/>
            <w:webHidden/>
          </w:rPr>
          <w:fldChar w:fldCharType="begin"/>
        </w:r>
        <w:r>
          <w:rPr>
            <w:noProof/>
            <w:webHidden/>
          </w:rPr>
          <w:instrText xml:space="preserve"> PAGEREF _Toc12260476 \h </w:instrText>
        </w:r>
        <w:r>
          <w:rPr>
            <w:noProof/>
            <w:webHidden/>
          </w:rPr>
        </w:r>
        <w:r>
          <w:rPr>
            <w:noProof/>
            <w:webHidden/>
          </w:rPr>
          <w:fldChar w:fldCharType="separate"/>
        </w:r>
        <w:r>
          <w:rPr>
            <w:noProof/>
            <w:webHidden/>
          </w:rPr>
          <w:t>154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77" w:history="1">
        <w:r w:rsidRPr="00CD0B56">
          <w:rPr>
            <w:rStyle w:val="Hyperlink"/>
            <w:noProof/>
          </w:rPr>
          <w:t>2.1.409</w:t>
        </w:r>
        <w:r>
          <w:rPr>
            <w:rFonts w:asciiTheme="minorHAnsi" w:eastAsiaTheme="minorEastAsia" w:hAnsiTheme="minorHAnsi" w:cstheme="minorBidi"/>
            <w:noProof/>
            <w:sz w:val="22"/>
            <w:szCs w:val="22"/>
          </w:rPr>
          <w:tab/>
        </w:r>
        <w:r w:rsidRPr="00CD0B56">
          <w:rPr>
            <w:rStyle w:val="Hyperlink"/>
            <w:noProof/>
          </w:rPr>
          <w:t>Part 1 Section 17.15.1.58, noLineBreaksAfter (Custom Set of Characters Which Cannot End a Line)</w:t>
        </w:r>
        <w:r>
          <w:rPr>
            <w:noProof/>
            <w:webHidden/>
          </w:rPr>
          <w:tab/>
        </w:r>
        <w:r>
          <w:rPr>
            <w:noProof/>
            <w:webHidden/>
          </w:rPr>
          <w:fldChar w:fldCharType="begin"/>
        </w:r>
        <w:r>
          <w:rPr>
            <w:noProof/>
            <w:webHidden/>
          </w:rPr>
          <w:instrText xml:space="preserve"> PAGEREF _Toc12260477 \h </w:instrText>
        </w:r>
        <w:r>
          <w:rPr>
            <w:noProof/>
            <w:webHidden/>
          </w:rPr>
        </w:r>
        <w:r>
          <w:rPr>
            <w:noProof/>
            <w:webHidden/>
          </w:rPr>
          <w:fldChar w:fldCharType="separate"/>
        </w:r>
        <w:r>
          <w:rPr>
            <w:noProof/>
            <w:webHidden/>
          </w:rPr>
          <w:t>154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78" w:history="1">
        <w:r w:rsidRPr="00CD0B56">
          <w:rPr>
            <w:rStyle w:val="Hyperlink"/>
            <w:noProof/>
          </w:rPr>
          <w:t>2.1.410</w:t>
        </w:r>
        <w:r>
          <w:rPr>
            <w:rFonts w:asciiTheme="minorHAnsi" w:eastAsiaTheme="minorEastAsia" w:hAnsiTheme="minorHAnsi" w:cstheme="minorBidi"/>
            <w:noProof/>
            <w:sz w:val="22"/>
            <w:szCs w:val="22"/>
          </w:rPr>
          <w:tab/>
        </w:r>
        <w:r w:rsidRPr="00CD0B56">
          <w:rPr>
            <w:rStyle w:val="Hyperlink"/>
            <w:noProof/>
          </w:rPr>
          <w:t>Part 1 Section 17.15.1.59, noLineBreaksBefore (Custom Set Of Characters Which Cannot Begin A Line)</w:t>
        </w:r>
        <w:r>
          <w:rPr>
            <w:noProof/>
            <w:webHidden/>
          </w:rPr>
          <w:tab/>
        </w:r>
        <w:r>
          <w:rPr>
            <w:noProof/>
            <w:webHidden/>
          </w:rPr>
          <w:fldChar w:fldCharType="begin"/>
        </w:r>
        <w:r>
          <w:rPr>
            <w:noProof/>
            <w:webHidden/>
          </w:rPr>
          <w:instrText xml:space="preserve"> PAGEREF _Toc12260478 \h </w:instrText>
        </w:r>
        <w:r>
          <w:rPr>
            <w:noProof/>
            <w:webHidden/>
          </w:rPr>
        </w:r>
        <w:r>
          <w:rPr>
            <w:noProof/>
            <w:webHidden/>
          </w:rPr>
          <w:fldChar w:fldCharType="separate"/>
        </w:r>
        <w:r>
          <w:rPr>
            <w:noProof/>
            <w:webHidden/>
          </w:rPr>
          <w:t>155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79" w:history="1">
        <w:r w:rsidRPr="00CD0B56">
          <w:rPr>
            <w:rStyle w:val="Hyperlink"/>
            <w:noProof/>
          </w:rPr>
          <w:t>2.1.411</w:t>
        </w:r>
        <w:r>
          <w:rPr>
            <w:rFonts w:asciiTheme="minorHAnsi" w:eastAsiaTheme="minorEastAsia" w:hAnsiTheme="minorHAnsi" w:cstheme="minorBidi"/>
            <w:noProof/>
            <w:sz w:val="22"/>
            <w:szCs w:val="22"/>
          </w:rPr>
          <w:tab/>
        </w:r>
        <w:r w:rsidRPr="00CD0B56">
          <w:rPr>
            <w:rStyle w:val="Hyperlink"/>
            <w:noProof/>
          </w:rPr>
          <w:t>Part 1 Section 17.15.1.60, noPunctuationKerning (Never Kern Punctuation Characters)</w:t>
        </w:r>
        <w:r>
          <w:rPr>
            <w:noProof/>
            <w:webHidden/>
          </w:rPr>
          <w:tab/>
        </w:r>
        <w:r>
          <w:rPr>
            <w:noProof/>
            <w:webHidden/>
          </w:rPr>
          <w:fldChar w:fldCharType="begin"/>
        </w:r>
        <w:r>
          <w:rPr>
            <w:noProof/>
            <w:webHidden/>
          </w:rPr>
          <w:instrText xml:space="preserve"> PAGEREF _Toc12260479 \h </w:instrText>
        </w:r>
        <w:r>
          <w:rPr>
            <w:noProof/>
            <w:webHidden/>
          </w:rPr>
        </w:r>
        <w:r>
          <w:rPr>
            <w:noProof/>
            <w:webHidden/>
          </w:rPr>
          <w:fldChar w:fldCharType="separate"/>
        </w:r>
        <w:r>
          <w:rPr>
            <w:noProof/>
            <w:webHidden/>
          </w:rPr>
          <w:t>155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80" w:history="1">
        <w:r w:rsidRPr="00CD0B56">
          <w:rPr>
            <w:rStyle w:val="Hyperlink"/>
            <w:noProof/>
          </w:rPr>
          <w:t>2.1.412</w:t>
        </w:r>
        <w:r>
          <w:rPr>
            <w:rFonts w:asciiTheme="minorHAnsi" w:eastAsiaTheme="minorEastAsia" w:hAnsiTheme="minorHAnsi" w:cstheme="minorBidi"/>
            <w:noProof/>
            <w:sz w:val="22"/>
            <w:szCs w:val="22"/>
          </w:rPr>
          <w:tab/>
        </w:r>
        <w:r w:rsidRPr="00CD0B56">
          <w:rPr>
            <w:rStyle w:val="Hyperlink"/>
            <w:noProof/>
          </w:rPr>
          <w:t>Part 1 Section 17.15.1.62, printFractionalCharacterWidth (Print Fractional Character Widths)</w:t>
        </w:r>
        <w:r>
          <w:rPr>
            <w:noProof/>
            <w:webHidden/>
          </w:rPr>
          <w:tab/>
        </w:r>
        <w:r>
          <w:rPr>
            <w:noProof/>
            <w:webHidden/>
          </w:rPr>
          <w:fldChar w:fldCharType="begin"/>
        </w:r>
        <w:r>
          <w:rPr>
            <w:noProof/>
            <w:webHidden/>
          </w:rPr>
          <w:instrText xml:space="preserve"> PAGEREF _Toc12260480 \h </w:instrText>
        </w:r>
        <w:r>
          <w:rPr>
            <w:noProof/>
            <w:webHidden/>
          </w:rPr>
        </w:r>
        <w:r>
          <w:rPr>
            <w:noProof/>
            <w:webHidden/>
          </w:rPr>
          <w:fldChar w:fldCharType="separate"/>
        </w:r>
        <w:r>
          <w:rPr>
            <w:noProof/>
            <w:webHidden/>
          </w:rPr>
          <w:t>155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81" w:history="1">
        <w:r w:rsidRPr="00CD0B56">
          <w:rPr>
            <w:rStyle w:val="Hyperlink"/>
            <w:noProof/>
          </w:rPr>
          <w:t>2.1.413</w:t>
        </w:r>
        <w:r>
          <w:rPr>
            <w:rFonts w:asciiTheme="minorHAnsi" w:eastAsiaTheme="minorEastAsia" w:hAnsiTheme="minorHAnsi" w:cstheme="minorBidi"/>
            <w:noProof/>
            <w:sz w:val="22"/>
            <w:szCs w:val="22"/>
          </w:rPr>
          <w:tab/>
        </w:r>
        <w:r w:rsidRPr="00CD0B56">
          <w:rPr>
            <w:rStyle w:val="Hyperlink"/>
            <w:noProof/>
          </w:rPr>
          <w:t>Part 1 Section 17.15.1.63, printPostScriptOverText (Print PostScript Codes With Document Text)</w:t>
        </w:r>
        <w:r>
          <w:rPr>
            <w:noProof/>
            <w:webHidden/>
          </w:rPr>
          <w:tab/>
        </w:r>
        <w:r>
          <w:rPr>
            <w:noProof/>
            <w:webHidden/>
          </w:rPr>
          <w:fldChar w:fldCharType="begin"/>
        </w:r>
        <w:r>
          <w:rPr>
            <w:noProof/>
            <w:webHidden/>
          </w:rPr>
          <w:instrText xml:space="preserve"> PAGEREF _Toc12260481 \h </w:instrText>
        </w:r>
        <w:r>
          <w:rPr>
            <w:noProof/>
            <w:webHidden/>
          </w:rPr>
        </w:r>
        <w:r>
          <w:rPr>
            <w:noProof/>
            <w:webHidden/>
          </w:rPr>
          <w:fldChar w:fldCharType="separate"/>
        </w:r>
        <w:r>
          <w:rPr>
            <w:noProof/>
            <w:webHidden/>
          </w:rPr>
          <w:t>155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82" w:history="1">
        <w:r w:rsidRPr="00CD0B56">
          <w:rPr>
            <w:rStyle w:val="Hyperlink"/>
            <w:noProof/>
          </w:rPr>
          <w:t>2.1.414</w:t>
        </w:r>
        <w:r>
          <w:rPr>
            <w:rFonts w:asciiTheme="minorHAnsi" w:eastAsiaTheme="minorEastAsia" w:hAnsiTheme="minorHAnsi" w:cstheme="minorBidi"/>
            <w:noProof/>
            <w:sz w:val="22"/>
            <w:szCs w:val="22"/>
          </w:rPr>
          <w:tab/>
        </w:r>
        <w:r w:rsidRPr="00CD0B56">
          <w:rPr>
            <w:rStyle w:val="Hyperlink"/>
            <w:noProof/>
          </w:rPr>
          <w:t>Part 1 Section 17.15.1.69, revisionView (Visibility of Annotation Types)</w:t>
        </w:r>
        <w:r>
          <w:rPr>
            <w:noProof/>
            <w:webHidden/>
          </w:rPr>
          <w:tab/>
        </w:r>
        <w:r>
          <w:rPr>
            <w:noProof/>
            <w:webHidden/>
          </w:rPr>
          <w:fldChar w:fldCharType="begin"/>
        </w:r>
        <w:r>
          <w:rPr>
            <w:noProof/>
            <w:webHidden/>
          </w:rPr>
          <w:instrText xml:space="preserve"> PAGEREF _Toc12260482 \h </w:instrText>
        </w:r>
        <w:r>
          <w:rPr>
            <w:noProof/>
            <w:webHidden/>
          </w:rPr>
        </w:r>
        <w:r>
          <w:rPr>
            <w:noProof/>
            <w:webHidden/>
          </w:rPr>
          <w:fldChar w:fldCharType="separate"/>
        </w:r>
        <w:r>
          <w:rPr>
            <w:noProof/>
            <w:webHidden/>
          </w:rPr>
          <w:t>155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83" w:history="1">
        <w:r w:rsidRPr="00CD0B56">
          <w:rPr>
            <w:rStyle w:val="Hyperlink"/>
            <w:noProof/>
          </w:rPr>
          <w:t>2.1.415</w:t>
        </w:r>
        <w:r>
          <w:rPr>
            <w:rFonts w:asciiTheme="minorHAnsi" w:eastAsiaTheme="minorEastAsia" w:hAnsiTheme="minorHAnsi" w:cstheme="minorBidi"/>
            <w:noProof/>
            <w:sz w:val="22"/>
            <w:szCs w:val="22"/>
          </w:rPr>
          <w:tab/>
        </w:r>
        <w:r w:rsidRPr="00CD0B56">
          <w:rPr>
            <w:rStyle w:val="Hyperlink"/>
            <w:noProof/>
          </w:rPr>
          <w:t>Part 1 Section 17.15.1.70, rsid (Single Session Revision Save ID)</w:t>
        </w:r>
        <w:r>
          <w:rPr>
            <w:noProof/>
            <w:webHidden/>
          </w:rPr>
          <w:tab/>
        </w:r>
        <w:r>
          <w:rPr>
            <w:noProof/>
            <w:webHidden/>
          </w:rPr>
          <w:fldChar w:fldCharType="begin"/>
        </w:r>
        <w:r>
          <w:rPr>
            <w:noProof/>
            <w:webHidden/>
          </w:rPr>
          <w:instrText xml:space="preserve"> PAGEREF _Toc12260483 \h </w:instrText>
        </w:r>
        <w:r>
          <w:rPr>
            <w:noProof/>
            <w:webHidden/>
          </w:rPr>
        </w:r>
        <w:r>
          <w:rPr>
            <w:noProof/>
            <w:webHidden/>
          </w:rPr>
          <w:fldChar w:fldCharType="separate"/>
        </w:r>
        <w:r>
          <w:rPr>
            <w:noProof/>
            <w:webHidden/>
          </w:rPr>
          <w:t>156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84" w:history="1">
        <w:r w:rsidRPr="00CD0B56">
          <w:rPr>
            <w:rStyle w:val="Hyperlink"/>
            <w:noProof/>
          </w:rPr>
          <w:t>2.1.416</w:t>
        </w:r>
        <w:r>
          <w:rPr>
            <w:rFonts w:asciiTheme="minorHAnsi" w:eastAsiaTheme="minorEastAsia" w:hAnsiTheme="minorHAnsi" w:cstheme="minorBidi"/>
            <w:noProof/>
            <w:sz w:val="22"/>
            <w:szCs w:val="22"/>
          </w:rPr>
          <w:tab/>
        </w:r>
        <w:r w:rsidRPr="00CD0B56">
          <w:rPr>
            <w:rStyle w:val="Hyperlink"/>
            <w:noProof/>
          </w:rPr>
          <w:t>Part 1 Section 17.15.1.74, saveInvalidXml (Allow Saving Document As XML File When Custom XML Markup Is Invalid)</w:t>
        </w:r>
        <w:r>
          <w:rPr>
            <w:noProof/>
            <w:webHidden/>
          </w:rPr>
          <w:tab/>
        </w:r>
        <w:r>
          <w:rPr>
            <w:noProof/>
            <w:webHidden/>
          </w:rPr>
          <w:fldChar w:fldCharType="begin"/>
        </w:r>
        <w:r>
          <w:rPr>
            <w:noProof/>
            <w:webHidden/>
          </w:rPr>
          <w:instrText xml:space="preserve"> PAGEREF _Toc12260484 \h </w:instrText>
        </w:r>
        <w:r>
          <w:rPr>
            <w:noProof/>
            <w:webHidden/>
          </w:rPr>
        </w:r>
        <w:r>
          <w:rPr>
            <w:noProof/>
            <w:webHidden/>
          </w:rPr>
          <w:fldChar w:fldCharType="separate"/>
        </w:r>
        <w:r>
          <w:rPr>
            <w:noProof/>
            <w:webHidden/>
          </w:rPr>
          <w:t>156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85" w:history="1">
        <w:r w:rsidRPr="00CD0B56">
          <w:rPr>
            <w:rStyle w:val="Hyperlink"/>
            <w:noProof/>
          </w:rPr>
          <w:t>2.1.417</w:t>
        </w:r>
        <w:r>
          <w:rPr>
            <w:rFonts w:asciiTheme="minorHAnsi" w:eastAsiaTheme="minorEastAsia" w:hAnsiTheme="minorHAnsi" w:cstheme="minorBidi"/>
            <w:noProof/>
            <w:sz w:val="22"/>
            <w:szCs w:val="22"/>
          </w:rPr>
          <w:tab/>
        </w:r>
        <w:r w:rsidRPr="00CD0B56">
          <w:rPr>
            <w:rStyle w:val="Hyperlink"/>
            <w:noProof/>
          </w:rPr>
          <w:t>Part 1 Section 17.15.1.76, saveThroughXslt (Custom XSL Transform To Use When Saving As XML File)</w:t>
        </w:r>
        <w:r>
          <w:rPr>
            <w:noProof/>
            <w:webHidden/>
          </w:rPr>
          <w:tab/>
        </w:r>
        <w:r>
          <w:rPr>
            <w:noProof/>
            <w:webHidden/>
          </w:rPr>
          <w:fldChar w:fldCharType="begin"/>
        </w:r>
        <w:r>
          <w:rPr>
            <w:noProof/>
            <w:webHidden/>
          </w:rPr>
          <w:instrText xml:space="preserve"> PAGEREF _Toc12260485 \h </w:instrText>
        </w:r>
        <w:r>
          <w:rPr>
            <w:noProof/>
            <w:webHidden/>
          </w:rPr>
        </w:r>
        <w:r>
          <w:rPr>
            <w:noProof/>
            <w:webHidden/>
          </w:rPr>
          <w:fldChar w:fldCharType="separate"/>
        </w:r>
        <w:r>
          <w:rPr>
            <w:noProof/>
            <w:webHidden/>
          </w:rPr>
          <w:t>156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86" w:history="1">
        <w:r w:rsidRPr="00CD0B56">
          <w:rPr>
            <w:rStyle w:val="Hyperlink"/>
            <w:noProof/>
          </w:rPr>
          <w:t>2.1.418</w:t>
        </w:r>
        <w:r>
          <w:rPr>
            <w:rFonts w:asciiTheme="minorHAnsi" w:eastAsiaTheme="minorEastAsia" w:hAnsiTheme="minorHAnsi" w:cstheme="minorBidi"/>
            <w:noProof/>
            <w:sz w:val="22"/>
            <w:szCs w:val="22"/>
          </w:rPr>
          <w:tab/>
        </w:r>
        <w:r w:rsidRPr="00CD0B56">
          <w:rPr>
            <w:rStyle w:val="Hyperlink"/>
            <w:noProof/>
          </w:rPr>
          <w:t>Part 1 Section 17.15.1.80, showXMLTags (Show Visual Indicators for Custom XML Markup Start/End Locations)</w:t>
        </w:r>
        <w:r>
          <w:rPr>
            <w:noProof/>
            <w:webHidden/>
          </w:rPr>
          <w:tab/>
        </w:r>
        <w:r>
          <w:rPr>
            <w:noProof/>
            <w:webHidden/>
          </w:rPr>
          <w:fldChar w:fldCharType="begin"/>
        </w:r>
        <w:r>
          <w:rPr>
            <w:noProof/>
            <w:webHidden/>
          </w:rPr>
          <w:instrText xml:space="preserve"> PAGEREF _Toc12260486 \h </w:instrText>
        </w:r>
        <w:r>
          <w:rPr>
            <w:noProof/>
            <w:webHidden/>
          </w:rPr>
        </w:r>
        <w:r>
          <w:rPr>
            <w:noProof/>
            <w:webHidden/>
          </w:rPr>
          <w:fldChar w:fldCharType="separate"/>
        </w:r>
        <w:r>
          <w:rPr>
            <w:noProof/>
            <w:webHidden/>
          </w:rPr>
          <w:t>156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87" w:history="1">
        <w:r w:rsidRPr="00CD0B56">
          <w:rPr>
            <w:rStyle w:val="Hyperlink"/>
            <w:noProof/>
          </w:rPr>
          <w:t>2.1.419</w:t>
        </w:r>
        <w:r>
          <w:rPr>
            <w:rFonts w:asciiTheme="minorHAnsi" w:eastAsiaTheme="minorEastAsia" w:hAnsiTheme="minorHAnsi" w:cstheme="minorBidi"/>
            <w:noProof/>
            <w:sz w:val="22"/>
            <w:szCs w:val="22"/>
          </w:rPr>
          <w:tab/>
        </w:r>
        <w:r w:rsidRPr="00CD0B56">
          <w:rPr>
            <w:rStyle w:val="Hyperlink"/>
            <w:noProof/>
          </w:rPr>
          <w:t>Part 1 Section 17.15.1.81, smartTagType (Supplementary Smart Tag Information)</w:t>
        </w:r>
        <w:r>
          <w:rPr>
            <w:noProof/>
            <w:webHidden/>
          </w:rPr>
          <w:tab/>
        </w:r>
        <w:r>
          <w:rPr>
            <w:noProof/>
            <w:webHidden/>
          </w:rPr>
          <w:fldChar w:fldCharType="begin"/>
        </w:r>
        <w:r>
          <w:rPr>
            <w:noProof/>
            <w:webHidden/>
          </w:rPr>
          <w:instrText xml:space="preserve"> PAGEREF _Toc12260487 \h </w:instrText>
        </w:r>
        <w:r>
          <w:rPr>
            <w:noProof/>
            <w:webHidden/>
          </w:rPr>
        </w:r>
        <w:r>
          <w:rPr>
            <w:noProof/>
            <w:webHidden/>
          </w:rPr>
          <w:fldChar w:fldCharType="separate"/>
        </w:r>
        <w:r>
          <w:rPr>
            <w:noProof/>
            <w:webHidden/>
          </w:rPr>
          <w:t>156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88" w:history="1">
        <w:r w:rsidRPr="00CD0B56">
          <w:rPr>
            <w:rStyle w:val="Hyperlink"/>
            <w:noProof/>
          </w:rPr>
          <w:t>2.1.420</w:t>
        </w:r>
        <w:r>
          <w:rPr>
            <w:rFonts w:asciiTheme="minorHAnsi" w:eastAsiaTheme="minorEastAsia" w:hAnsiTheme="minorHAnsi" w:cstheme="minorBidi"/>
            <w:noProof/>
            <w:sz w:val="22"/>
            <w:szCs w:val="22"/>
          </w:rPr>
          <w:tab/>
        </w:r>
        <w:r w:rsidRPr="00CD0B56">
          <w:rPr>
            <w:rStyle w:val="Hyperlink"/>
            <w:noProof/>
          </w:rPr>
          <w:t>Part 1 Section 17.15.1.82, strictFirstAndLastChars (Use Strict Kinsoku Rules for Japanese Text)</w:t>
        </w:r>
        <w:r>
          <w:rPr>
            <w:noProof/>
            <w:webHidden/>
          </w:rPr>
          <w:tab/>
        </w:r>
        <w:r>
          <w:rPr>
            <w:noProof/>
            <w:webHidden/>
          </w:rPr>
          <w:fldChar w:fldCharType="begin"/>
        </w:r>
        <w:r>
          <w:rPr>
            <w:noProof/>
            <w:webHidden/>
          </w:rPr>
          <w:instrText xml:space="preserve"> PAGEREF _Toc12260488 \h </w:instrText>
        </w:r>
        <w:r>
          <w:rPr>
            <w:noProof/>
            <w:webHidden/>
          </w:rPr>
        </w:r>
        <w:r>
          <w:rPr>
            <w:noProof/>
            <w:webHidden/>
          </w:rPr>
          <w:fldChar w:fldCharType="separate"/>
        </w:r>
        <w:r>
          <w:rPr>
            <w:noProof/>
            <w:webHidden/>
          </w:rPr>
          <w:t>156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89" w:history="1">
        <w:r w:rsidRPr="00CD0B56">
          <w:rPr>
            <w:rStyle w:val="Hyperlink"/>
            <w:noProof/>
          </w:rPr>
          <w:t>2.1.421</w:t>
        </w:r>
        <w:r>
          <w:rPr>
            <w:rFonts w:asciiTheme="minorHAnsi" w:eastAsiaTheme="minorEastAsia" w:hAnsiTheme="minorHAnsi" w:cstheme="minorBidi"/>
            <w:noProof/>
            <w:sz w:val="22"/>
            <w:szCs w:val="22"/>
          </w:rPr>
          <w:tab/>
        </w:r>
        <w:r w:rsidRPr="00CD0B56">
          <w:rPr>
            <w:rStyle w:val="Hyperlink"/>
            <w:noProof/>
          </w:rPr>
          <w:t>Part 1 Section 17.15.1.85, stylePaneFormatFilter (Suggested Filtering for List of Document Styles)</w:t>
        </w:r>
        <w:r>
          <w:rPr>
            <w:noProof/>
            <w:webHidden/>
          </w:rPr>
          <w:tab/>
        </w:r>
        <w:r>
          <w:rPr>
            <w:noProof/>
            <w:webHidden/>
          </w:rPr>
          <w:fldChar w:fldCharType="begin"/>
        </w:r>
        <w:r>
          <w:rPr>
            <w:noProof/>
            <w:webHidden/>
          </w:rPr>
          <w:instrText xml:space="preserve"> PAGEREF _Toc12260489 \h </w:instrText>
        </w:r>
        <w:r>
          <w:rPr>
            <w:noProof/>
            <w:webHidden/>
          </w:rPr>
        </w:r>
        <w:r>
          <w:rPr>
            <w:noProof/>
            <w:webHidden/>
          </w:rPr>
          <w:fldChar w:fldCharType="separate"/>
        </w:r>
        <w:r>
          <w:rPr>
            <w:noProof/>
            <w:webHidden/>
          </w:rPr>
          <w:t>157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90" w:history="1">
        <w:r w:rsidRPr="00CD0B56">
          <w:rPr>
            <w:rStyle w:val="Hyperlink"/>
            <w:noProof/>
          </w:rPr>
          <w:t>2.1.422</w:t>
        </w:r>
        <w:r>
          <w:rPr>
            <w:rFonts w:asciiTheme="minorHAnsi" w:eastAsiaTheme="minorEastAsia" w:hAnsiTheme="minorHAnsi" w:cstheme="minorBidi"/>
            <w:noProof/>
            <w:sz w:val="22"/>
            <w:szCs w:val="22"/>
          </w:rPr>
          <w:tab/>
        </w:r>
        <w:r w:rsidRPr="00CD0B56">
          <w:rPr>
            <w:rStyle w:val="Hyperlink"/>
            <w:noProof/>
          </w:rPr>
          <w:t>Part 1 Section 17.15.1.87, summaryLength (Percentage of Document to Use When Generating Summary)</w:t>
        </w:r>
        <w:r>
          <w:rPr>
            <w:noProof/>
            <w:webHidden/>
          </w:rPr>
          <w:tab/>
        </w:r>
        <w:r>
          <w:rPr>
            <w:noProof/>
            <w:webHidden/>
          </w:rPr>
          <w:fldChar w:fldCharType="begin"/>
        </w:r>
        <w:r>
          <w:rPr>
            <w:noProof/>
            <w:webHidden/>
          </w:rPr>
          <w:instrText xml:space="preserve"> PAGEREF _Toc12260490 \h </w:instrText>
        </w:r>
        <w:r>
          <w:rPr>
            <w:noProof/>
            <w:webHidden/>
          </w:rPr>
        </w:r>
        <w:r>
          <w:rPr>
            <w:noProof/>
            <w:webHidden/>
          </w:rPr>
          <w:fldChar w:fldCharType="separate"/>
        </w:r>
        <w:r>
          <w:rPr>
            <w:noProof/>
            <w:webHidden/>
          </w:rPr>
          <w:t>157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91" w:history="1">
        <w:r w:rsidRPr="00CD0B56">
          <w:rPr>
            <w:rStyle w:val="Hyperlink"/>
            <w:noProof/>
          </w:rPr>
          <w:t>2.1.423</w:t>
        </w:r>
        <w:r>
          <w:rPr>
            <w:rFonts w:asciiTheme="minorHAnsi" w:eastAsiaTheme="minorEastAsia" w:hAnsiTheme="minorHAnsi" w:cstheme="minorBidi"/>
            <w:noProof/>
            <w:sz w:val="22"/>
            <w:szCs w:val="22"/>
          </w:rPr>
          <w:tab/>
        </w:r>
        <w:r w:rsidRPr="00CD0B56">
          <w:rPr>
            <w:rStyle w:val="Hyperlink"/>
            <w:noProof/>
          </w:rPr>
          <w:t>Part 1 Section 17.15.1.88, themeFontLang (Theme Font Languages)</w:t>
        </w:r>
        <w:r>
          <w:rPr>
            <w:noProof/>
            <w:webHidden/>
          </w:rPr>
          <w:tab/>
        </w:r>
        <w:r>
          <w:rPr>
            <w:noProof/>
            <w:webHidden/>
          </w:rPr>
          <w:fldChar w:fldCharType="begin"/>
        </w:r>
        <w:r>
          <w:rPr>
            <w:noProof/>
            <w:webHidden/>
          </w:rPr>
          <w:instrText xml:space="preserve"> PAGEREF _Toc12260491 \h </w:instrText>
        </w:r>
        <w:r>
          <w:rPr>
            <w:noProof/>
            <w:webHidden/>
          </w:rPr>
        </w:r>
        <w:r>
          <w:rPr>
            <w:noProof/>
            <w:webHidden/>
          </w:rPr>
          <w:fldChar w:fldCharType="separate"/>
        </w:r>
        <w:r>
          <w:rPr>
            <w:noProof/>
            <w:webHidden/>
          </w:rPr>
          <w:t>157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92" w:history="1">
        <w:r w:rsidRPr="00CD0B56">
          <w:rPr>
            <w:rStyle w:val="Hyperlink"/>
            <w:noProof/>
          </w:rPr>
          <w:t>2.1.424</w:t>
        </w:r>
        <w:r>
          <w:rPr>
            <w:rFonts w:asciiTheme="minorHAnsi" w:eastAsiaTheme="minorEastAsia" w:hAnsiTheme="minorHAnsi" w:cstheme="minorBidi"/>
            <w:noProof/>
            <w:sz w:val="22"/>
            <w:szCs w:val="22"/>
          </w:rPr>
          <w:tab/>
        </w:r>
        <w:r w:rsidRPr="00CD0B56">
          <w:rPr>
            <w:rStyle w:val="Hyperlink"/>
            <w:noProof/>
          </w:rPr>
          <w:t>Part 1 Section 17.15.1.90, updateFields (Automatically Recalculate Fields on Open)</w:t>
        </w:r>
        <w:r>
          <w:rPr>
            <w:noProof/>
            <w:webHidden/>
          </w:rPr>
          <w:tab/>
        </w:r>
        <w:r>
          <w:rPr>
            <w:noProof/>
            <w:webHidden/>
          </w:rPr>
          <w:fldChar w:fldCharType="begin"/>
        </w:r>
        <w:r>
          <w:rPr>
            <w:noProof/>
            <w:webHidden/>
          </w:rPr>
          <w:instrText xml:space="preserve"> PAGEREF _Toc12260492 \h </w:instrText>
        </w:r>
        <w:r>
          <w:rPr>
            <w:noProof/>
            <w:webHidden/>
          </w:rPr>
        </w:r>
        <w:r>
          <w:rPr>
            <w:noProof/>
            <w:webHidden/>
          </w:rPr>
          <w:fldChar w:fldCharType="separate"/>
        </w:r>
        <w:r>
          <w:rPr>
            <w:noProof/>
            <w:webHidden/>
          </w:rPr>
          <w:t>157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93" w:history="1">
        <w:r w:rsidRPr="00CD0B56">
          <w:rPr>
            <w:rStyle w:val="Hyperlink"/>
            <w:noProof/>
          </w:rPr>
          <w:t>2.1.425</w:t>
        </w:r>
        <w:r>
          <w:rPr>
            <w:rFonts w:asciiTheme="minorHAnsi" w:eastAsiaTheme="minorEastAsia" w:hAnsiTheme="minorHAnsi" w:cstheme="minorBidi"/>
            <w:noProof/>
            <w:sz w:val="22"/>
            <w:szCs w:val="22"/>
          </w:rPr>
          <w:tab/>
        </w:r>
        <w:r w:rsidRPr="00CD0B56">
          <w:rPr>
            <w:rStyle w:val="Hyperlink"/>
            <w:noProof/>
          </w:rPr>
          <w:t>Part 1 Section 17.15.1.92, view (Document View Setting)</w:t>
        </w:r>
        <w:r>
          <w:rPr>
            <w:noProof/>
            <w:webHidden/>
          </w:rPr>
          <w:tab/>
        </w:r>
        <w:r>
          <w:rPr>
            <w:noProof/>
            <w:webHidden/>
          </w:rPr>
          <w:fldChar w:fldCharType="begin"/>
        </w:r>
        <w:r>
          <w:rPr>
            <w:noProof/>
            <w:webHidden/>
          </w:rPr>
          <w:instrText xml:space="preserve"> PAGEREF _Toc12260493 \h </w:instrText>
        </w:r>
        <w:r>
          <w:rPr>
            <w:noProof/>
            <w:webHidden/>
          </w:rPr>
        </w:r>
        <w:r>
          <w:rPr>
            <w:noProof/>
            <w:webHidden/>
          </w:rPr>
          <w:fldChar w:fldCharType="separate"/>
        </w:r>
        <w:r>
          <w:rPr>
            <w:noProof/>
            <w:webHidden/>
          </w:rPr>
          <w:t>158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94" w:history="1">
        <w:r w:rsidRPr="00CD0B56">
          <w:rPr>
            <w:rStyle w:val="Hyperlink"/>
            <w:noProof/>
          </w:rPr>
          <w:t>2.1.426</w:t>
        </w:r>
        <w:r>
          <w:rPr>
            <w:rFonts w:asciiTheme="minorHAnsi" w:eastAsiaTheme="minorEastAsia" w:hAnsiTheme="minorHAnsi" w:cstheme="minorBidi"/>
            <w:noProof/>
            <w:sz w:val="22"/>
            <w:szCs w:val="22"/>
          </w:rPr>
          <w:tab/>
        </w:r>
        <w:r w:rsidRPr="00CD0B56">
          <w:rPr>
            <w:rStyle w:val="Hyperlink"/>
            <w:noProof/>
          </w:rPr>
          <w:t>Part 1 Section 17.15.1.93, writeProtection (Write Protection)</w:t>
        </w:r>
        <w:r>
          <w:rPr>
            <w:noProof/>
            <w:webHidden/>
          </w:rPr>
          <w:tab/>
        </w:r>
        <w:r>
          <w:rPr>
            <w:noProof/>
            <w:webHidden/>
          </w:rPr>
          <w:fldChar w:fldCharType="begin"/>
        </w:r>
        <w:r>
          <w:rPr>
            <w:noProof/>
            <w:webHidden/>
          </w:rPr>
          <w:instrText xml:space="preserve"> PAGEREF _Toc12260494 \h </w:instrText>
        </w:r>
        <w:r>
          <w:rPr>
            <w:noProof/>
            <w:webHidden/>
          </w:rPr>
        </w:r>
        <w:r>
          <w:rPr>
            <w:noProof/>
            <w:webHidden/>
          </w:rPr>
          <w:fldChar w:fldCharType="separate"/>
        </w:r>
        <w:r>
          <w:rPr>
            <w:noProof/>
            <w:webHidden/>
          </w:rPr>
          <w:t>158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95" w:history="1">
        <w:r w:rsidRPr="00CD0B56">
          <w:rPr>
            <w:rStyle w:val="Hyperlink"/>
            <w:noProof/>
          </w:rPr>
          <w:t>2.1.427</w:t>
        </w:r>
        <w:r>
          <w:rPr>
            <w:rFonts w:asciiTheme="minorHAnsi" w:eastAsiaTheme="minorEastAsia" w:hAnsiTheme="minorHAnsi" w:cstheme="minorBidi"/>
            <w:noProof/>
            <w:sz w:val="22"/>
            <w:szCs w:val="22"/>
          </w:rPr>
          <w:tab/>
        </w:r>
        <w:r w:rsidRPr="00CD0B56">
          <w:rPr>
            <w:rStyle w:val="Hyperlink"/>
            <w:noProof/>
          </w:rPr>
          <w:t>Part 1 Section 17.15.1.94, zoom (Magnification Setting)</w:t>
        </w:r>
        <w:r>
          <w:rPr>
            <w:noProof/>
            <w:webHidden/>
          </w:rPr>
          <w:tab/>
        </w:r>
        <w:r>
          <w:rPr>
            <w:noProof/>
            <w:webHidden/>
          </w:rPr>
          <w:fldChar w:fldCharType="begin"/>
        </w:r>
        <w:r>
          <w:rPr>
            <w:noProof/>
            <w:webHidden/>
          </w:rPr>
          <w:instrText xml:space="preserve"> PAGEREF _Toc12260495 \h </w:instrText>
        </w:r>
        <w:r>
          <w:rPr>
            <w:noProof/>
            <w:webHidden/>
          </w:rPr>
        </w:r>
        <w:r>
          <w:rPr>
            <w:noProof/>
            <w:webHidden/>
          </w:rPr>
          <w:fldChar w:fldCharType="separate"/>
        </w:r>
        <w:r>
          <w:rPr>
            <w:noProof/>
            <w:webHidden/>
          </w:rPr>
          <w:t>160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96" w:history="1">
        <w:r w:rsidRPr="00CD0B56">
          <w:rPr>
            <w:rStyle w:val="Hyperlink"/>
            <w:noProof/>
          </w:rPr>
          <w:t>2.1.428</w:t>
        </w:r>
        <w:r>
          <w:rPr>
            <w:rFonts w:asciiTheme="minorHAnsi" w:eastAsiaTheme="minorEastAsia" w:hAnsiTheme="minorHAnsi" w:cstheme="minorBidi"/>
            <w:noProof/>
            <w:sz w:val="22"/>
            <w:szCs w:val="22"/>
          </w:rPr>
          <w:tab/>
        </w:r>
        <w:r w:rsidRPr="00CD0B56">
          <w:rPr>
            <w:rStyle w:val="Hyperlink"/>
            <w:noProof/>
          </w:rPr>
          <w:t>Part 1 Section 17.15.2.1, allowPNG (Allow PNG as Graphic Format)</w:t>
        </w:r>
        <w:r>
          <w:rPr>
            <w:noProof/>
            <w:webHidden/>
          </w:rPr>
          <w:tab/>
        </w:r>
        <w:r>
          <w:rPr>
            <w:noProof/>
            <w:webHidden/>
          </w:rPr>
          <w:fldChar w:fldCharType="begin"/>
        </w:r>
        <w:r>
          <w:rPr>
            <w:noProof/>
            <w:webHidden/>
          </w:rPr>
          <w:instrText xml:space="preserve"> PAGEREF _Toc12260496 \h </w:instrText>
        </w:r>
        <w:r>
          <w:rPr>
            <w:noProof/>
            <w:webHidden/>
          </w:rPr>
        </w:r>
        <w:r>
          <w:rPr>
            <w:noProof/>
            <w:webHidden/>
          </w:rPr>
          <w:fldChar w:fldCharType="separate"/>
        </w:r>
        <w:r>
          <w:rPr>
            <w:noProof/>
            <w:webHidden/>
          </w:rPr>
          <w:t>160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97" w:history="1">
        <w:r w:rsidRPr="00CD0B56">
          <w:rPr>
            <w:rStyle w:val="Hyperlink"/>
            <w:noProof/>
          </w:rPr>
          <w:t>2.1.429</w:t>
        </w:r>
        <w:r>
          <w:rPr>
            <w:rFonts w:asciiTheme="minorHAnsi" w:eastAsiaTheme="minorEastAsia" w:hAnsiTheme="minorHAnsi" w:cstheme="minorBidi"/>
            <w:noProof/>
            <w:sz w:val="22"/>
            <w:szCs w:val="22"/>
          </w:rPr>
          <w:tab/>
        </w:r>
        <w:r w:rsidRPr="00CD0B56">
          <w:rPr>
            <w:rStyle w:val="Hyperlink"/>
            <w:noProof/>
          </w:rPr>
          <w:t>Part 1 Section 17.15.2.2, blockQuote (Data for HTML blockquote Element)</w:t>
        </w:r>
        <w:r>
          <w:rPr>
            <w:noProof/>
            <w:webHidden/>
          </w:rPr>
          <w:tab/>
        </w:r>
        <w:r>
          <w:rPr>
            <w:noProof/>
            <w:webHidden/>
          </w:rPr>
          <w:fldChar w:fldCharType="begin"/>
        </w:r>
        <w:r>
          <w:rPr>
            <w:noProof/>
            <w:webHidden/>
          </w:rPr>
          <w:instrText xml:space="preserve"> PAGEREF _Toc12260497 \h </w:instrText>
        </w:r>
        <w:r>
          <w:rPr>
            <w:noProof/>
            <w:webHidden/>
          </w:rPr>
        </w:r>
        <w:r>
          <w:rPr>
            <w:noProof/>
            <w:webHidden/>
          </w:rPr>
          <w:fldChar w:fldCharType="separate"/>
        </w:r>
        <w:r>
          <w:rPr>
            <w:noProof/>
            <w:webHidden/>
          </w:rPr>
          <w:t>160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98" w:history="1">
        <w:r w:rsidRPr="00CD0B56">
          <w:rPr>
            <w:rStyle w:val="Hyperlink"/>
            <w:noProof/>
          </w:rPr>
          <w:t>2.1.430</w:t>
        </w:r>
        <w:r>
          <w:rPr>
            <w:rFonts w:asciiTheme="minorHAnsi" w:eastAsiaTheme="minorEastAsia" w:hAnsiTheme="minorHAnsi" w:cstheme="minorBidi"/>
            <w:noProof/>
            <w:sz w:val="22"/>
            <w:szCs w:val="22"/>
          </w:rPr>
          <w:tab/>
        </w:r>
        <w:r w:rsidRPr="00CD0B56">
          <w:rPr>
            <w:rStyle w:val="Hyperlink"/>
            <w:noProof/>
          </w:rPr>
          <w:t>Part 1 Section 17.15.2.3, bodyDiv (Data for HTML body Element)</w:t>
        </w:r>
        <w:r>
          <w:rPr>
            <w:noProof/>
            <w:webHidden/>
          </w:rPr>
          <w:tab/>
        </w:r>
        <w:r>
          <w:rPr>
            <w:noProof/>
            <w:webHidden/>
          </w:rPr>
          <w:fldChar w:fldCharType="begin"/>
        </w:r>
        <w:r>
          <w:rPr>
            <w:noProof/>
            <w:webHidden/>
          </w:rPr>
          <w:instrText xml:space="preserve"> PAGEREF _Toc12260498 \h </w:instrText>
        </w:r>
        <w:r>
          <w:rPr>
            <w:noProof/>
            <w:webHidden/>
          </w:rPr>
        </w:r>
        <w:r>
          <w:rPr>
            <w:noProof/>
            <w:webHidden/>
          </w:rPr>
          <w:fldChar w:fldCharType="separate"/>
        </w:r>
        <w:r>
          <w:rPr>
            <w:noProof/>
            <w:webHidden/>
          </w:rPr>
          <w:t>160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499" w:history="1">
        <w:r w:rsidRPr="00CD0B56">
          <w:rPr>
            <w:rStyle w:val="Hyperlink"/>
            <w:noProof/>
          </w:rPr>
          <w:t>2.1.431</w:t>
        </w:r>
        <w:r>
          <w:rPr>
            <w:rFonts w:asciiTheme="minorHAnsi" w:eastAsiaTheme="minorEastAsia" w:hAnsiTheme="minorHAnsi" w:cstheme="minorBidi"/>
            <w:noProof/>
            <w:sz w:val="22"/>
            <w:szCs w:val="22"/>
          </w:rPr>
          <w:tab/>
        </w:r>
        <w:r w:rsidRPr="00CD0B56">
          <w:rPr>
            <w:rStyle w:val="Hyperlink"/>
            <w:noProof/>
          </w:rPr>
          <w:t>Part 1 Section 17.15.2.4, bottom (Bottom Border for HTML div)</w:t>
        </w:r>
        <w:r>
          <w:rPr>
            <w:noProof/>
            <w:webHidden/>
          </w:rPr>
          <w:tab/>
        </w:r>
        <w:r>
          <w:rPr>
            <w:noProof/>
            <w:webHidden/>
          </w:rPr>
          <w:fldChar w:fldCharType="begin"/>
        </w:r>
        <w:r>
          <w:rPr>
            <w:noProof/>
            <w:webHidden/>
          </w:rPr>
          <w:instrText xml:space="preserve"> PAGEREF _Toc12260499 \h </w:instrText>
        </w:r>
        <w:r>
          <w:rPr>
            <w:noProof/>
            <w:webHidden/>
          </w:rPr>
        </w:r>
        <w:r>
          <w:rPr>
            <w:noProof/>
            <w:webHidden/>
          </w:rPr>
          <w:fldChar w:fldCharType="separate"/>
        </w:r>
        <w:r>
          <w:rPr>
            <w:noProof/>
            <w:webHidden/>
          </w:rPr>
          <w:t>160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00" w:history="1">
        <w:r w:rsidRPr="00CD0B56">
          <w:rPr>
            <w:rStyle w:val="Hyperlink"/>
            <w:noProof/>
          </w:rPr>
          <w:t>2.1.432</w:t>
        </w:r>
        <w:r>
          <w:rPr>
            <w:rFonts w:asciiTheme="minorHAnsi" w:eastAsiaTheme="minorEastAsia" w:hAnsiTheme="minorHAnsi" w:cstheme="minorBidi"/>
            <w:noProof/>
            <w:sz w:val="22"/>
            <w:szCs w:val="22"/>
          </w:rPr>
          <w:tab/>
        </w:r>
        <w:r w:rsidRPr="00CD0B56">
          <w:rPr>
            <w:rStyle w:val="Hyperlink"/>
            <w:noProof/>
          </w:rPr>
          <w:t>Part 1 Section 17.15.2.5, color (Frameset Splitter Color)</w:t>
        </w:r>
        <w:r>
          <w:rPr>
            <w:noProof/>
            <w:webHidden/>
          </w:rPr>
          <w:tab/>
        </w:r>
        <w:r>
          <w:rPr>
            <w:noProof/>
            <w:webHidden/>
          </w:rPr>
          <w:fldChar w:fldCharType="begin"/>
        </w:r>
        <w:r>
          <w:rPr>
            <w:noProof/>
            <w:webHidden/>
          </w:rPr>
          <w:instrText xml:space="preserve"> PAGEREF _Toc12260500 \h </w:instrText>
        </w:r>
        <w:r>
          <w:rPr>
            <w:noProof/>
            <w:webHidden/>
          </w:rPr>
        </w:r>
        <w:r>
          <w:rPr>
            <w:noProof/>
            <w:webHidden/>
          </w:rPr>
          <w:fldChar w:fldCharType="separate"/>
        </w:r>
        <w:r>
          <w:rPr>
            <w:noProof/>
            <w:webHidden/>
          </w:rPr>
          <w:t>160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01" w:history="1">
        <w:r w:rsidRPr="00CD0B56">
          <w:rPr>
            <w:rStyle w:val="Hyperlink"/>
            <w:noProof/>
          </w:rPr>
          <w:t>2.1.433</w:t>
        </w:r>
        <w:r>
          <w:rPr>
            <w:rFonts w:asciiTheme="minorHAnsi" w:eastAsiaTheme="minorEastAsia" w:hAnsiTheme="minorHAnsi" w:cstheme="minorBidi"/>
            <w:noProof/>
            <w:sz w:val="22"/>
            <w:szCs w:val="22"/>
          </w:rPr>
          <w:tab/>
        </w:r>
        <w:r w:rsidRPr="00CD0B56">
          <w:rPr>
            <w:rStyle w:val="Hyperlink"/>
            <w:noProof/>
          </w:rPr>
          <w:t>Part 1 Section 17.15.2.6, div (Information About Single HTML div Element)</w:t>
        </w:r>
        <w:r>
          <w:rPr>
            <w:noProof/>
            <w:webHidden/>
          </w:rPr>
          <w:tab/>
        </w:r>
        <w:r>
          <w:rPr>
            <w:noProof/>
            <w:webHidden/>
          </w:rPr>
          <w:fldChar w:fldCharType="begin"/>
        </w:r>
        <w:r>
          <w:rPr>
            <w:noProof/>
            <w:webHidden/>
          </w:rPr>
          <w:instrText xml:space="preserve"> PAGEREF _Toc12260501 \h </w:instrText>
        </w:r>
        <w:r>
          <w:rPr>
            <w:noProof/>
            <w:webHidden/>
          </w:rPr>
        </w:r>
        <w:r>
          <w:rPr>
            <w:noProof/>
            <w:webHidden/>
          </w:rPr>
          <w:fldChar w:fldCharType="separate"/>
        </w:r>
        <w:r>
          <w:rPr>
            <w:noProof/>
            <w:webHidden/>
          </w:rPr>
          <w:t>161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02" w:history="1">
        <w:r w:rsidRPr="00CD0B56">
          <w:rPr>
            <w:rStyle w:val="Hyperlink"/>
            <w:noProof/>
          </w:rPr>
          <w:t>2.1.434</w:t>
        </w:r>
        <w:r>
          <w:rPr>
            <w:rFonts w:asciiTheme="minorHAnsi" w:eastAsiaTheme="minorEastAsia" w:hAnsiTheme="minorHAnsi" w:cstheme="minorBidi"/>
            <w:noProof/>
            <w:sz w:val="22"/>
            <w:szCs w:val="22"/>
          </w:rPr>
          <w:tab/>
        </w:r>
        <w:r w:rsidRPr="00CD0B56">
          <w:rPr>
            <w:rStyle w:val="Hyperlink"/>
            <w:noProof/>
          </w:rPr>
          <w:t>Part 1 Section 17.15.2.10, doNotOrganizeInFolder (Do Not Place Supporting Files in Subdirectory)</w:t>
        </w:r>
        <w:r>
          <w:rPr>
            <w:noProof/>
            <w:webHidden/>
          </w:rPr>
          <w:tab/>
        </w:r>
        <w:r>
          <w:rPr>
            <w:noProof/>
            <w:webHidden/>
          </w:rPr>
          <w:fldChar w:fldCharType="begin"/>
        </w:r>
        <w:r>
          <w:rPr>
            <w:noProof/>
            <w:webHidden/>
          </w:rPr>
          <w:instrText xml:space="preserve"> PAGEREF _Toc12260502 \h </w:instrText>
        </w:r>
        <w:r>
          <w:rPr>
            <w:noProof/>
            <w:webHidden/>
          </w:rPr>
        </w:r>
        <w:r>
          <w:rPr>
            <w:noProof/>
            <w:webHidden/>
          </w:rPr>
          <w:fldChar w:fldCharType="separate"/>
        </w:r>
        <w:r>
          <w:rPr>
            <w:noProof/>
            <w:webHidden/>
          </w:rPr>
          <w:t>161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03" w:history="1">
        <w:r w:rsidRPr="00CD0B56">
          <w:rPr>
            <w:rStyle w:val="Hyperlink"/>
            <w:noProof/>
          </w:rPr>
          <w:t>2.1.435</w:t>
        </w:r>
        <w:r>
          <w:rPr>
            <w:rFonts w:asciiTheme="minorHAnsi" w:eastAsiaTheme="minorEastAsia" w:hAnsiTheme="minorHAnsi" w:cstheme="minorBidi"/>
            <w:noProof/>
            <w:sz w:val="22"/>
            <w:szCs w:val="22"/>
          </w:rPr>
          <w:tab/>
        </w:r>
        <w:r w:rsidRPr="00CD0B56">
          <w:rPr>
            <w:rStyle w:val="Hyperlink"/>
            <w:noProof/>
          </w:rPr>
          <w:t>Part 1 Section 17.15.2.14, encoding (Output Encoding When Saving as Web Page)</w:t>
        </w:r>
        <w:r>
          <w:rPr>
            <w:noProof/>
            <w:webHidden/>
          </w:rPr>
          <w:tab/>
        </w:r>
        <w:r>
          <w:rPr>
            <w:noProof/>
            <w:webHidden/>
          </w:rPr>
          <w:fldChar w:fldCharType="begin"/>
        </w:r>
        <w:r>
          <w:rPr>
            <w:noProof/>
            <w:webHidden/>
          </w:rPr>
          <w:instrText xml:space="preserve"> PAGEREF _Toc12260503 \h </w:instrText>
        </w:r>
        <w:r>
          <w:rPr>
            <w:noProof/>
            <w:webHidden/>
          </w:rPr>
        </w:r>
        <w:r>
          <w:rPr>
            <w:noProof/>
            <w:webHidden/>
          </w:rPr>
          <w:fldChar w:fldCharType="separate"/>
        </w:r>
        <w:r>
          <w:rPr>
            <w:noProof/>
            <w:webHidden/>
          </w:rPr>
          <w:t>161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04" w:history="1">
        <w:r w:rsidRPr="00CD0B56">
          <w:rPr>
            <w:rStyle w:val="Hyperlink"/>
            <w:noProof/>
          </w:rPr>
          <w:t>2.1.436</w:t>
        </w:r>
        <w:r>
          <w:rPr>
            <w:rFonts w:asciiTheme="minorHAnsi" w:eastAsiaTheme="minorEastAsia" w:hAnsiTheme="minorHAnsi" w:cstheme="minorBidi"/>
            <w:noProof/>
            <w:sz w:val="22"/>
            <w:szCs w:val="22"/>
          </w:rPr>
          <w:tab/>
        </w:r>
        <w:r w:rsidRPr="00CD0B56">
          <w:rPr>
            <w:rStyle w:val="Hyperlink"/>
            <w:noProof/>
          </w:rPr>
          <w:t>Part 1 Section 17.15.2.17, frameLayout (Frameset Layout)</w:t>
        </w:r>
        <w:r>
          <w:rPr>
            <w:noProof/>
            <w:webHidden/>
          </w:rPr>
          <w:tab/>
        </w:r>
        <w:r>
          <w:rPr>
            <w:noProof/>
            <w:webHidden/>
          </w:rPr>
          <w:fldChar w:fldCharType="begin"/>
        </w:r>
        <w:r>
          <w:rPr>
            <w:noProof/>
            <w:webHidden/>
          </w:rPr>
          <w:instrText xml:space="preserve"> PAGEREF _Toc12260504 \h </w:instrText>
        </w:r>
        <w:r>
          <w:rPr>
            <w:noProof/>
            <w:webHidden/>
          </w:rPr>
        </w:r>
        <w:r>
          <w:rPr>
            <w:noProof/>
            <w:webHidden/>
          </w:rPr>
          <w:fldChar w:fldCharType="separate"/>
        </w:r>
        <w:r>
          <w:rPr>
            <w:noProof/>
            <w:webHidden/>
          </w:rPr>
          <w:t>161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05" w:history="1">
        <w:r w:rsidRPr="00CD0B56">
          <w:rPr>
            <w:rStyle w:val="Hyperlink"/>
            <w:noProof/>
          </w:rPr>
          <w:t>2.1.437</w:t>
        </w:r>
        <w:r>
          <w:rPr>
            <w:rFonts w:asciiTheme="minorHAnsi" w:eastAsiaTheme="minorEastAsia" w:hAnsiTheme="minorHAnsi" w:cstheme="minorBidi"/>
            <w:noProof/>
            <w:sz w:val="22"/>
            <w:szCs w:val="22"/>
          </w:rPr>
          <w:tab/>
        </w:r>
        <w:r w:rsidRPr="00CD0B56">
          <w:rPr>
            <w:rStyle w:val="Hyperlink"/>
            <w:noProof/>
          </w:rPr>
          <w:t>Part 1 Section 17.15.2.18, frameset (Nested Frameset Definition)</w:t>
        </w:r>
        <w:r>
          <w:rPr>
            <w:noProof/>
            <w:webHidden/>
          </w:rPr>
          <w:tab/>
        </w:r>
        <w:r>
          <w:rPr>
            <w:noProof/>
            <w:webHidden/>
          </w:rPr>
          <w:fldChar w:fldCharType="begin"/>
        </w:r>
        <w:r>
          <w:rPr>
            <w:noProof/>
            <w:webHidden/>
          </w:rPr>
          <w:instrText xml:space="preserve"> PAGEREF _Toc12260505 \h </w:instrText>
        </w:r>
        <w:r>
          <w:rPr>
            <w:noProof/>
            <w:webHidden/>
          </w:rPr>
        </w:r>
        <w:r>
          <w:rPr>
            <w:noProof/>
            <w:webHidden/>
          </w:rPr>
          <w:fldChar w:fldCharType="separate"/>
        </w:r>
        <w:r>
          <w:rPr>
            <w:noProof/>
            <w:webHidden/>
          </w:rPr>
          <w:t>161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06" w:history="1">
        <w:r w:rsidRPr="00CD0B56">
          <w:rPr>
            <w:rStyle w:val="Hyperlink"/>
            <w:noProof/>
          </w:rPr>
          <w:t>2.1.438</w:t>
        </w:r>
        <w:r>
          <w:rPr>
            <w:rFonts w:asciiTheme="minorHAnsi" w:eastAsiaTheme="minorEastAsia" w:hAnsiTheme="minorHAnsi" w:cstheme="minorBidi"/>
            <w:noProof/>
            <w:sz w:val="22"/>
            <w:szCs w:val="22"/>
          </w:rPr>
          <w:tab/>
        </w:r>
        <w:r w:rsidRPr="00CD0B56">
          <w:rPr>
            <w:rStyle w:val="Hyperlink"/>
            <w:noProof/>
          </w:rPr>
          <w:t>Part 1 Section 17.15.2.19, frameset (Root Frameset Definition)</w:t>
        </w:r>
        <w:r>
          <w:rPr>
            <w:noProof/>
            <w:webHidden/>
          </w:rPr>
          <w:tab/>
        </w:r>
        <w:r>
          <w:rPr>
            <w:noProof/>
            <w:webHidden/>
          </w:rPr>
          <w:fldChar w:fldCharType="begin"/>
        </w:r>
        <w:r>
          <w:rPr>
            <w:noProof/>
            <w:webHidden/>
          </w:rPr>
          <w:instrText xml:space="preserve"> PAGEREF _Toc12260506 \h </w:instrText>
        </w:r>
        <w:r>
          <w:rPr>
            <w:noProof/>
            <w:webHidden/>
          </w:rPr>
        </w:r>
        <w:r>
          <w:rPr>
            <w:noProof/>
            <w:webHidden/>
          </w:rPr>
          <w:fldChar w:fldCharType="separate"/>
        </w:r>
        <w:r>
          <w:rPr>
            <w:noProof/>
            <w:webHidden/>
          </w:rPr>
          <w:t>161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07" w:history="1">
        <w:r w:rsidRPr="00CD0B56">
          <w:rPr>
            <w:rStyle w:val="Hyperlink"/>
            <w:noProof/>
          </w:rPr>
          <w:t>2.1.439</w:t>
        </w:r>
        <w:r>
          <w:rPr>
            <w:rFonts w:asciiTheme="minorHAnsi" w:eastAsiaTheme="minorEastAsia" w:hAnsiTheme="minorHAnsi" w:cstheme="minorBidi"/>
            <w:noProof/>
            <w:sz w:val="22"/>
            <w:szCs w:val="22"/>
          </w:rPr>
          <w:tab/>
        </w:r>
        <w:r w:rsidRPr="00CD0B56">
          <w:rPr>
            <w:rStyle w:val="Hyperlink"/>
            <w:noProof/>
          </w:rPr>
          <w:t>Part 1 Section 17.15.2.21, left (Left Border for HTML div)</w:t>
        </w:r>
        <w:r>
          <w:rPr>
            <w:noProof/>
            <w:webHidden/>
          </w:rPr>
          <w:tab/>
        </w:r>
        <w:r>
          <w:rPr>
            <w:noProof/>
            <w:webHidden/>
          </w:rPr>
          <w:fldChar w:fldCharType="begin"/>
        </w:r>
        <w:r>
          <w:rPr>
            <w:noProof/>
            <w:webHidden/>
          </w:rPr>
          <w:instrText xml:space="preserve"> PAGEREF _Toc12260507 \h </w:instrText>
        </w:r>
        <w:r>
          <w:rPr>
            <w:noProof/>
            <w:webHidden/>
          </w:rPr>
        </w:r>
        <w:r>
          <w:rPr>
            <w:noProof/>
            <w:webHidden/>
          </w:rPr>
          <w:fldChar w:fldCharType="separate"/>
        </w:r>
        <w:r>
          <w:rPr>
            <w:noProof/>
            <w:webHidden/>
          </w:rPr>
          <w:t>162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08" w:history="1">
        <w:r w:rsidRPr="00CD0B56">
          <w:rPr>
            <w:rStyle w:val="Hyperlink"/>
            <w:noProof/>
          </w:rPr>
          <w:t>2.1.440</w:t>
        </w:r>
        <w:r>
          <w:rPr>
            <w:rFonts w:asciiTheme="minorHAnsi" w:eastAsiaTheme="minorEastAsia" w:hAnsiTheme="minorHAnsi" w:cstheme="minorBidi"/>
            <w:noProof/>
            <w:sz w:val="22"/>
            <w:szCs w:val="22"/>
          </w:rPr>
          <w:tab/>
        </w:r>
        <w:r w:rsidRPr="00CD0B56">
          <w:rPr>
            <w:rStyle w:val="Hyperlink"/>
            <w:noProof/>
          </w:rPr>
          <w:t>Part 1 Section 17.15.2.23, longDesc (Frame Long Description)</w:t>
        </w:r>
        <w:r>
          <w:rPr>
            <w:noProof/>
            <w:webHidden/>
          </w:rPr>
          <w:tab/>
        </w:r>
        <w:r>
          <w:rPr>
            <w:noProof/>
            <w:webHidden/>
          </w:rPr>
          <w:fldChar w:fldCharType="begin"/>
        </w:r>
        <w:r>
          <w:rPr>
            <w:noProof/>
            <w:webHidden/>
          </w:rPr>
          <w:instrText xml:space="preserve"> PAGEREF _Toc12260508 \h </w:instrText>
        </w:r>
        <w:r>
          <w:rPr>
            <w:noProof/>
            <w:webHidden/>
          </w:rPr>
        </w:r>
        <w:r>
          <w:rPr>
            <w:noProof/>
            <w:webHidden/>
          </w:rPr>
          <w:fldChar w:fldCharType="separate"/>
        </w:r>
        <w:r>
          <w:rPr>
            <w:noProof/>
            <w:webHidden/>
          </w:rPr>
          <w:t>162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09" w:history="1">
        <w:r w:rsidRPr="00CD0B56">
          <w:rPr>
            <w:rStyle w:val="Hyperlink"/>
            <w:noProof/>
          </w:rPr>
          <w:t>2.1.441</w:t>
        </w:r>
        <w:r>
          <w:rPr>
            <w:rFonts w:asciiTheme="minorHAnsi" w:eastAsiaTheme="minorEastAsia" w:hAnsiTheme="minorHAnsi" w:cstheme="minorBidi"/>
            <w:noProof/>
            <w:sz w:val="22"/>
            <w:szCs w:val="22"/>
          </w:rPr>
          <w:tab/>
        </w:r>
        <w:r w:rsidRPr="00CD0B56">
          <w:rPr>
            <w:rStyle w:val="Hyperlink"/>
            <w:noProof/>
          </w:rPr>
          <w:t>Part 1 Section 17.15.2.30, name (Frame Name)</w:t>
        </w:r>
        <w:r>
          <w:rPr>
            <w:noProof/>
            <w:webHidden/>
          </w:rPr>
          <w:tab/>
        </w:r>
        <w:r>
          <w:rPr>
            <w:noProof/>
            <w:webHidden/>
          </w:rPr>
          <w:fldChar w:fldCharType="begin"/>
        </w:r>
        <w:r>
          <w:rPr>
            <w:noProof/>
            <w:webHidden/>
          </w:rPr>
          <w:instrText xml:space="preserve"> PAGEREF _Toc12260509 \h </w:instrText>
        </w:r>
        <w:r>
          <w:rPr>
            <w:noProof/>
            <w:webHidden/>
          </w:rPr>
        </w:r>
        <w:r>
          <w:rPr>
            <w:noProof/>
            <w:webHidden/>
          </w:rPr>
          <w:fldChar w:fldCharType="separate"/>
        </w:r>
        <w:r>
          <w:rPr>
            <w:noProof/>
            <w:webHidden/>
          </w:rPr>
          <w:t>162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10" w:history="1">
        <w:r w:rsidRPr="00CD0B56">
          <w:rPr>
            <w:rStyle w:val="Hyperlink"/>
            <w:noProof/>
          </w:rPr>
          <w:t>2.1.442</w:t>
        </w:r>
        <w:r>
          <w:rPr>
            <w:rFonts w:asciiTheme="minorHAnsi" w:eastAsiaTheme="minorEastAsia" w:hAnsiTheme="minorHAnsi" w:cstheme="minorBidi"/>
            <w:noProof/>
            <w:sz w:val="22"/>
            <w:szCs w:val="22"/>
          </w:rPr>
          <w:tab/>
        </w:r>
        <w:r w:rsidRPr="00CD0B56">
          <w:rPr>
            <w:rStyle w:val="Hyperlink"/>
            <w:noProof/>
          </w:rPr>
          <w:t>Part 1 Section 17.15.2.33, optimizeForBrowser (Disable Features Not Supported by Target Web Profile)</w:t>
        </w:r>
        <w:r>
          <w:rPr>
            <w:noProof/>
            <w:webHidden/>
          </w:rPr>
          <w:tab/>
        </w:r>
        <w:r>
          <w:rPr>
            <w:noProof/>
            <w:webHidden/>
          </w:rPr>
          <w:fldChar w:fldCharType="begin"/>
        </w:r>
        <w:r>
          <w:rPr>
            <w:noProof/>
            <w:webHidden/>
          </w:rPr>
          <w:instrText xml:space="preserve"> PAGEREF _Toc12260510 \h </w:instrText>
        </w:r>
        <w:r>
          <w:rPr>
            <w:noProof/>
            <w:webHidden/>
          </w:rPr>
        </w:r>
        <w:r>
          <w:rPr>
            <w:noProof/>
            <w:webHidden/>
          </w:rPr>
          <w:fldChar w:fldCharType="separate"/>
        </w:r>
        <w:r>
          <w:rPr>
            <w:noProof/>
            <w:webHidden/>
          </w:rPr>
          <w:t>162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11" w:history="1">
        <w:r w:rsidRPr="00CD0B56">
          <w:rPr>
            <w:rStyle w:val="Hyperlink"/>
            <w:noProof/>
          </w:rPr>
          <w:t>2.1.443</w:t>
        </w:r>
        <w:r>
          <w:rPr>
            <w:rFonts w:asciiTheme="minorHAnsi" w:eastAsiaTheme="minorEastAsia" w:hAnsiTheme="minorHAnsi" w:cstheme="minorBidi"/>
            <w:noProof/>
            <w:sz w:val="22"/>
            <w:szCs w:val="22"/>
          </w:rPr>
          <w:tab/>
        </w:r>
        <w:r w:rsidRPr="00CD0B56">
          <w:rPr>
            <w:rStyle w:val="Hyperlink"/>
            <w:noProof/>
          </w:rPr>
          <w:t>Part 1 Section 17.15.2.34, pixelsPerInch (Pixels per Inch for Graphics/Images)</w:t>
        </w:r>
        <w:r>
          <w:rPr>
            <w:noProof/>
            <w:webHidden/>
          </w:rPr>
          <w:tab/>
        </w:r>
        <w:r>
          <w:rPr>
            <w:noProof/>
            <w:webHidden/>
          </w:rPr>
          <w:fldChar w:fldCharType="begin"/>
        </w:r>
        <w:r>
          <w:rPr>
            <w:noProof/>
            <w:webHidden/>
          </w:rPr>
          <w:instrText xml:space="preserve"> PAGEREF _Toc12260511 \h </w:instrText>
        </w:r>
        <w:r>
          <w:rPr>
            <w:noProof/>
            <w:webHidden/>
          </w:rPr>
        </w:r>
        <w:r>
          <w:rPr>
            <w:noProof/>
            <w:webHidden/>
          </w:rPr>
          <w:fldChar w:fldCharType="separate"/>
        </w:r>
        <w:r>
          <w:rPr>
            <w:noProof/>
            <w:webHidden/>
          </w:rPr>
          <w:t>162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12" w:history="1">
        <w:r w:rsidRPr="00CD0B56">
          <w:rPr>
            <w:rStyle w:val="Hyperlink"/>
            <w:noProof/>
          </w:rPr>
          <w:t>2.1.444</w:t>
        </w:r>
        <w:r>
          <w:rPr>
            <w:rFonts w:asciiTheme="minorHAnsi" w:eastAsiaTheme="minorEastAsia" w:hAnsiTheme="minorHAnsi" w:cstheme="minorBidi"/>
            <w:noProof/>
            <w:sz w:val="22"/>
            <w:szCs w:val="22"/>
          </w:rPr>
          <w:tab/>
        </w:r>
        <w:r w:rsidRPr="00CD0B56">
          <w:rPr>
            <w:rStyle w:val="Hyperlink"/>
            <w:noProof/>
          </w:rPr>
          <w:t>Part 1 Section 17.15.2.35, right (Right Border for HTML div)</w:t>
        </w:r>
        <w:r>
          <w:rPr>
            <w:noProof/>
            <w:webHidden/>
          </w:rPr>
          <w:tab/>
        </w:r>
        <w:r>
          <w:rPr>
            <w:noProof/>
            <w:webHidden/>
          </w:rPr>
          <w:fldChar w:fldCharType="begin"/>
        </w:r>
        <w:r>
          <w:rPr>
            <w:noProof/>
            <w:webHidden/>
          </w:rPr>
          <w:instrText xml:space="preserve"> PAGEREF _Toc12260512 \h </w:instrText>
        </w:r>
        <w:r>
          <w:rPr>
            <w:noProof/>
            <w:webHidden/>
          </w:rPr>
        </w:r>
        <w:r>
          <w:rPr>
            <w:noProof/>
            <w:webHidden/>
          </w:rPr>
          <w:fldChar w:fldCharType="separate"/>
        </w:r>
        <w:r>
          <w:rPr>
            <w:noProof/>
            <w:webHidden/>
          </w:rPr>
          <w:t>162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13" w:history="1">
        <w:r w:rsidRPr="00CD0B56">
          <w:rPr>
            <w:rStyle w:val="Hyperlink"/>
            <w:noProof/>
          </w:rPr>
          <w:t>2.1.445</w:t>
        </w:r>
        <w:r>
          <w:rPr>
            <w:rFonts w:asciiTheme="minorHAnsi" w:eastAsiaTheme="minorEastAsia" w:hAnsiTheme="minorHAnsi" w:cstheme="minorBidi"/>
            <w:noProof/>
            <w:sz w:val="22"/>
            <w:szCs w:val="22"/>
          </w:rPr>
          <w:tab/>
        </w:r>
        <w:r w:rsidRPr="00CD0B56">
          <w:rPr>
            <w:rStyle w:val="Hyperlink"/>
            <w:noProof/>
          </w:rPr>
          <w:t>Part 1 Section 17.15.2.38, sourceFileName (Source File for Frame)</w:t>
        </w:r>
        <w:r>
          <w:rPr>
            <w:noProof/>
            <w:webHidden/>
          </w:rPr>
          <w:tab/>
        </w:r>
        <w:r>
          <w:rPr>
            <w:noProof/>
            <w:webHidden/>
          </w:rPr>
          <w:fldChar w:fldCharType="begin"/>
        </w:r>
        <w:r>
          <w:rPr>
            <w:noProof/>
            <w:webHidden/>
          </w:rPr>
          <w:instrText xml:space="preserve"> PAGEREF _Toc12260513 \h </w:instrText>
        </w:r>
        <w:r>
          <w:rPr>
            <w:noProof/>
            <w:webHidden/>
          </w:rPr>
        </w:r>
        <w:r>
          <w:rPr>
            <w:noProof/>
            <w:webHidden/>
          </w:rPr>
          <w:fldChar w:fldCharType="separate"/>
        </w:r>
        <w:r>
          <w:rPr>
            <w:noProof/>
            <w:webHidden/>
          </w:rPr>
          <w:t>162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14" w:history="1">
        <w:r w:rsidRPr="00CD0B56">
          <w:rPr>
            <w:rStyle w:val="Hyperlink"/>
            <w:noProof/>
          </w:rPr>
          <w:t>2.1.446</w:t>
        </w:r>
        <w:r>
          <w:rPr>
            <w:rFonts w:asciiTheme="minorHAnsi" w:eastAsiaTheme="minorEastAsia" w:hAnsiTheme="minorHAnsi" w:cstheme="minorBidi"/>
            <w:noProof/>
            <w:sz w:val="22"/>
            <w:szCs w:val="22"/>
          </w:rPr>
          <w:tab/>
        </w:r>
        <w:r w:rsidRPr="00CD0B56">
          <w:rPr>
            <w:rStyle w:val="Hyperlink"/>
            <w:noProof/>
          </w:rPr>
          <w:t>Part 1 Section 17.15.2.39, sz (Frame Size)</w:t>
        </w:r>
        <w:r>
          <w:rPr>
            <w:noProof/>
            <w:webHidden/>
          </w:rPr>
          <w:tab/>
        </w:r>
        <w:r>
          <w:rPr>
            <w:noProof/>
            <w:webHidden/>
          </w:rPr>
          <w:fldChar w:fldCharType="begin"/>
        </w:r>
        <w:r>
          <w:rPr>
            <w:noProof/>
            <w:webHidden/>
          </w:rPr>
          <w:instrText xml:space="preserve"> PAGEREF _Toc12260514 \h </w:instrText>
        </w:r>
        <w:r>
          <w:rPr>
            <w:noProof/>
            <w:webHidden/>
          </w:rPr>
        </w:r>
        <w:r>
          <w:rPr>
            <w:noProof/>
            <w:webHidden/>
          </w:rPr>
          <w:fldChar w:fldCharType="separate"/>
        </w:r>
        <w:r>
          <w:rPr>
            <w:noProof/>
            <w:webHidden/>
          </w:rPr>
          <w:t>162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15" w:history="1">
        <w:r w:rsidRPr="00CD0B56">
          <w:rPr>
            <w:rStyle w:val="Hyperlink"/>
            <w:noProof/>
          </w:rPr>
          <w:t>2.1.447</w:t>
        </w:r>
        <w:r>
          <w:rPr>
            <w:rFonts w:asciiTheme="minorHAnsi" w:eastAsiaTheme="minorEastAsia" w:hAnsiTheme="minorHAnsi" w:cstheme="minorBidi"/>
            <w:noProof/>
            <w:sz w:val="22"/>
            <w:szCs w:val="22"/>
          </w:rPr>
          <w:tab/>
        </w:r>
        <w:r w:rsidRPr="00CD0B56">
          <w:rPr>
            <w:rStyle w:val="Hyperlink"/>
            <w:noProof/>
          </w:rPr>
          <w:t>Part 1 Section 17.15.2.40, sz (Nested Frameset Size)</w:t>
        </w:r>
        <w:r>
          <w:rPr>
            <w:noProof/>
            <w:webHidden/>
          </w:rPr>
          <w:tab/>
        </w:r>
        <w:r>
          <w:rPr>
            <w:noProof/>
            <w:webHidden/>
          </w:rPr>
          <w:fldChar w:fldCharType="begin"/>
        </w:r>
        <w:r>
          <w:rPr>
            <w:noProof/>
            <w:webHidden/>
          </w:rPr>
          <w:instrText xml:space="preserve"> PAGEREF _Toc12260515 \h </w:instrText>
        </w:r>
        <w:r>
          <w:rPr>
            <w:noProof/>
            <w:webHidden/>
          </w:rPr>
        </w:r>
        <w:r>
          <w:rPr>
            <w:noProof/>
            <w:webHidden/>
          </w:rPr>
          <w:fldChar w:fldCharType="separate"/>
        </w:r>
        <w:r>
          <w:rPr>
            <w:noProof/>
            <w:webHidden/>
          </w:rPr>
          <w:t>163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16" w:history="1">
        <w:r w:rsidRPr="00CD0B56">
          <w:rPr>
            <w:rStyle w:val="Hyperlink"/>
            <w:noProof/>
          </w:rPr>
          <w:t>2.1.448</w:t>
        </w:r>
        <w:r>
          <w:rPr>
            <w:rFonts w:asciiTheme="minorHAnsi" w:eastAsiaTheme="minorEastAsia" w:hAnsiTheme="minorHAnsi" w:cstheme="minorBidi"/>
            <w:noProof/>
            <w:sz w:val="22"/>
            <w:szCs w:val="22"/>
          </w:rPr>
          <w:tab/>
        </w:r>
        <w:r w:rsidRPr="00CD0B56">
          <w:rPr>
            <w:rStyle w:val="Hyperlink"/>
            <w:noProof/>
          </w:rPr>
          <w:t>Part 1 Section 17.15.2.41, targetScreenSz (Target Screen Size for Web Page)</w:t>
        </w:r>
        <w:r>
          <w:rPr>
            <w:noProof/>
            <w:webHidden/>
          </w:rPr>
          <w:tab/>
        </w:r>
        <w:r>
          <w:rPr>
            <w:noProof/>
            <w:webHidden/>
          </w:rPr>
          <w:fldChar w:fldCharType="begin"/>
        </w:r>
        <w:r>
          <w:rPr>
            <w:noProof/>
            <w:webHidden/>
          </w:rPr>
          <w:instrText xml:space="preserve"> PAGEREF _Toc12260516 \h </w:instrText>
        </w:r>
        <w:r>
          <w:rPr>
            <w:noProof/>
            <w:webHidden/>
          </w:rPr>
        </w:r>
        <w:r>
          <w:rPr>
            <w:noProof/>
            <w:webHidden/>
          </w:rPr>
          <w:fldChar w:fldCharType="separate"/>
        </w:r>
        <w:r>
          <w:rPr>
            <w:noProof/>
            <w:webHidden/>
          </w:rPr>
          <w:t>163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17" w:history="1">
        <w:r w:rsidRPr="00CD0B56">
          <w:rPr>
            <w:rStyle w:val="Hyperlink"/>
            <w:noProof/>
          </w:rPr>
          <w:t>2.1.449</w:t>
        </w:r>
        <w:r>
          <w:rPr>
            <w:rFonts w:asciiTheme="minorHAnsi" w:eastAsiaTheme="minorEastAsia" w:hAnsiTheme="minorHAnsi" w:cstheme="minorBidi"/>
            <w:noProof/>
            <w:sz w:val="22"/>
            <w:szCs w:val="22"/>
          </w:rPr>
          <w:tab/>
        </w:r>
        <w:r w:rsidRPr="00CD0B56">
          <w:rPr>
            <w:rStyle w:val="Hyperlink"/>
            <w:noProof/>
          </w:rPr>
          <w:t>Part 1 Section 17.15.2.42, title (Frame or Frameset Title)</w:t>
        </w:r>
        <w:r>
          <w:rPr>
            <w:noProof/>
            <w:webHidden/>
          </w:rPr>
          <w:tab/>
        </w:r>
        <w:r>
          <w:rPr>
            <w:noProof/>
            <w:webHidden/>
          </w:rPr>
          <w:fldChar w:fldCharType="begin"/>
        </w:r>
        <w:r>
          <w:rPr>
            <w:noProof/>
            <w:webHidden/>
          </w:rPr>
          <w:instrText xml:space="preserve"> PAGEREF _Toc12260517 \h </w:instrText>
        </w:r>
        <w:r>
          <w:rPr>
            <w:noProof/>
            <w:webHidden/>
          </w:rPr>
        </w:r>
        <w:r>
          <w:rPr>
            <w:noProof/>
            <w:webHidden/>
          </w:rPr>
          <w:fldChar w:fldCharType="separate"/>
        </w:r>
        <w:r>
          <w:rPr>
            <w:noProof/>
            <w:webHidden/>
          </w:rPr>
          <w:t>163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18" w:history="1">
        <w:r w:rsidRPr="00CD0B56">
          <w:rPr>
            <w:rStyle w:val="Hyperlink"/>
            <w:noProof/>
          </w:rPr>
          <w:t>2.1.450</w:t>
        </w:r>
        <w:r>
          <w:rPr>
            <w:rFonts w:asciiTheme="minorHAnsi" w:eastAsiaTheme="minorEastAsia" w:hAnsiTheme="minorHAnsi" w:cstheme="minorBidi"/>
            <w:noProof/>
            <w:sz w:val="22"/>
            <w:szCs w:val="22"/>
          </w:rPr>
          <w:tab/>
        </w:r>
        <w:r w:rsidRPr="00CD0B56">
          <w:rPr>
            <w:rStyle w:val="Hyperlink"/>
            <w:noProof/>
          </w:rPr>
          <w:t>Part 1 Section 17.15.2.43, top (Top Border for HTML div)</w:t>
        </w:r>
        <w:r>
          <w:rPr>
            <w:noProof/>
            <w:webHidden/>
          </w:rPr>
          <w:tab/>
        </w:r>
        <w:r>
          <w:rPr>
            <w:noProof/>
            <w:webHidden/>
          </w:rPr>
          <w:fldChar w:fldCharType="begin"/>
        </w:r>
        <w:r>
          <w:rPr>
            <w:noProof/>
            <w:webHidden/>
          </w:rPr>
          <w:instrText xml:space="preserve"> PAGEREF _Toc12260518 \h </w:instrText>
        </w:r>
        <w:r>
          <w:rPr>
            <w:noProof/>
            <w:webHidden/>
          </w:rPr>
        </w:r>
        <w:r>
          <w:rPr>
            <w:noProof/>
            <w:webHidden/>
          </w:rPr>
          <w:fldChar w:fldCharType="separate"/>
        </w:r>
        <w:r>
          <w:rPr>
            <w:noProof/>
            <w:webHidden/>
          </w:rPr>
          <w:t>163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19" w:history="1">
        <w:r w:rsidRPr="00CD0B56">
          <w:rPr>
            <w:rStyle w:val="Hyperlink"/>
            <w:noProof/>
          </w:rPr>
          <w:t>2.1.451</w:t>
        </w:r>
        <w:r>
          <w:rPr>
            <w:rFonts w:asciiTheme="minorHAnsi" w:eastAsiaTheme="minorEastAsia" w:hAnsiTheme="minorHAnsi" w:cstheme="minorBidi"/>
            <w:noProof/>
            <w:sz w:val="22"/>
            <w:szCs w:val="22"/>
          </w:rPr>
          <w:tab/>
        </w:r>
        <w:r w:rsidRPr="00CD0B56">
          <w:rPr>
            <w:rStyle w:val="Hyperlink"/>
            <w:noProof/>
          </w:rPr>
          <w:t>Part 1 Section 17.15.3.2, applyBreakingRules (Use Legacy Ethiopic and Amharic Line Breaking Rules)</w:t>
        </w:r>
        <w:r>
          <w:rPr>
            <w:noProof/>
            <w:webHidden/>
          </w:rPr>
          <w:tab/>
        </w:r>
        <w:r>
          <w:rPr>
            <w:noProof/>
            <w:webHidden/>
          </w:rPr>
          <w:fldChar w:fldCharType="begin"/>
        </w:r>
        <w:r>
          <w:rPr>
            <w:noProof/>
            <w:webHidden/>
          </w:rPr>
          <w:instrText xml:space="preserve"> PAGEREF _Toc12260519 \h </w:instrText>
        </w:r>
        <w:r>
          <w:rPr>
            <w:noProof/>
            <w:webHidden/>
          </w:rPr>
        </w:r>
        <w:r>
          <w:rPr>
            <w:noProof/>
            <w:webHidden/>
          </w:rPr>
          <w:fldChar w:fldCharType="separate"/>
        </w:r>
        <w:r>
          <w:rPr>
            <w:noProof/>
            <w:webHidden/>
          </w:rPr>
          <w:t>163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20" w:history="1">
        <w:r w:rsidRPr="00CD0B56">
          <w:rPr>
            <w:rStyle w:val="Hyperlink"/>
            <w:noProof/>
          </w:rPr>
          <w:t>2.1.452</w:t>
        </w:r>
        <w:r>
          <w:rPr>
            <w:rFonts w:asciiTheme="minorHAnsi" w:eastAsiaTheme="minorEastAsia" w:hAnsiTheme="minorHAnsi" w:cstheme="minorBidi"/>
            <w:noProof/>
            <w:sz w:val="22"/>
            <w:szCs w:val="22"/>
          </w:rPr>
          <w:tab/>
        </w:r>
        <w:r w:rsidRPr="00CD0B56">
          <w:rPr>
            <w:rStyle w:val="Hyperlink"/>
            <w:noProof/>
          </w:rPr>
          <w:t>Part 1 Section 17.15.3.6, doNotLeaveBackslashAlone (Display Backslash As Yen Sign)</w:t>
        </w:r>
        <w:r>
          <w:rPr>
            <w:noProof/>
            <w:webHidden/>
          </w:rPr>
          <w:tab/>
        </w:r>
        <w:r>
          <w:rPr>
            <w:noProof/>
            <w:webHidden/>
          </w:rPr>
          <w:fldChar w:fldCharType="begin"/>
        </w:r>
        <w:r>
          <w:rPr>
            <w:noProof/>
            <w:webHidden/>
          </w:rPr>
          <w:instrText xml:space="preserve"> PAGEREF _Toc12260520 \h </w:instrText>
        </w:r>
        <w:r>
          <w:rPr>
            <w:noProof/>
            <w:webHidden/>
          </w:rPr>
        </w:r>
        <w:r>
          <w:rPr>
            <w:noProof/>
            <w:webHidden/>
          </w:rPr>
          <w:fldChar w:fldCharType="separate"/>
        </w:r>
        <w:r>
          <w:rPr>
            <w:noProof/>
            <w:webHidden/>
          </w:rPr>
          <w:t>164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21" w:history="1">
        <w:r w:rsidRPr="00CD0B56">
          <w:rPr>
            <w:rStyle w:val="Hyperlink"/>
            <w:noProof/>
          </w:rPr>
          <w:t>2.1.453</w:t>
        </w:r>
        <w:r>
          <w:rPr>
            <w:rFonts w:asciiTheme="minorHAnsi" w:eastAsiaTheme="minorEastAsia" w:hAnsiTheme="minorHAnsi" w:cstheme="minorBidi"/>
            <w:noProof/>
            <w:sz w:val="22"/>
            <w:szCs w:val="22"/>
          </w:rPr>
          <w:tab/>
        </w:r>
        <w:r w:rsidRPr="00CD0B56">
          <w:rPr>
            <w:rStyle w:val="Hyperlink"/>
            <w:noProof/>
          </w:rPr>
          <w:t>Part 1 Section 17.16.1, Syntax</w:t>
        </w:r>
        <w:r>
          <w:rPr>
            <w:noProof/>
            <w:webHidden/>
          </w:rPr>
          <w:tab/>
        </w:r>
        <w:r>
          <w:rPr>
            <w:noProof/>
            <w:webHidden/>
          </w:rPr>
          <w:fldChar w:fldCharType="begin"/>
        </w:r>
        <w:r>
          <w:rPr>
            <w:noProof/>
            <w:webHidden/>
          </w:rPr>
          <w:instrText xml:space="preserve"> PAGEREF _Toc12260521 \h </w:instrText>
        </w:r>
        <w:r>
          <w:rPr>
            <w:noProof/>
            <w:webHidden/>
          </w:rPr>
        </w:r>
        <w:r>
          <w:rPr>
            <w:noProof/>
            <w:webHidden/>
          </w:rPr>
          <w:fldChar w:fldCharType="separate"/>
        </w:r>
        <w:r>
          <w:rPr>
            <w:noProof/>
            <w:webHidden/>
          </w:rPr>
          <w:t>164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22" w:history="1">
        <w:r w:rsidRPr="00CD0B56">
          <w:rPr>
            <w:rStyle w:val="Hyperlink"/>
            <w:noProof/>
          </w:rPr>
          <w:t>2.1.454</w:t>
        </w:r>
        <w:r>
          <w:rPr>
            <w:rFonts w:asciiTheme="minorHAnsi" w:eastAsiaTheme="minorEastAsia" w:hAnsiTheme="minorHAnsi" w:cstheme="minorBidi"/>
            <w:noProof/>
            <w:sz w:val="22"/>
            <w:szCs w:val="22"/>
          </w:rPr>
          <w:tab/>
        </w:r>
        <w:r w:rsidRPr="00CD0B56">
          <w:rPr>
            <w:rStyle w:val="Hyperlink"/>
            <w:noProof/>
          </w:rPr>
          <w:t>Part 1 Section 17.16.2, XML representation</w:t>
        </w:r>
        <w:r>
          <w:rPr>
            <w:noProof/>
            <w:webHidden/>
          </w:rPr>
          <w:tab/>
        </w:r>
        <w:r>
          <w:rPr>
            <w:noProof/>
            <w:webHidden/>
          </w:rPr>
          <w:fldChar w:fldCharType="begin"/>
        </w:r>
        <w:r>
          <w:rPr>
            <w:noProof/>
            <w:webHidden/>
          </w:rPr>
          <w:instrText xml:space="preserve"> PAGEREF _Toc12260522 \h </w:instrText>
        </w:r>
        <w:r>
          <w:rPr>
            <w:noProof/>
            <w:webHidden/>
          </w:rPr>
        </w:r>
        <w:r>
          <w:rPr>
            <w:noProof/>
            <w:webHidden/>
          </w:rPr>
          <w:fldChar w:fldCharType="separate"/>
        </w:r>
        <w:r>
          <w:rPr>
            <w:noProof/>
            <w:webHidden/>
          </w:rPr>
          <w:t>164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23" w:history="1">
        <w:r w:rsidRPr="00CD0B56">
          <w:rPr>
            <w:rStyle w:val="Hyperlink"/>
            <w:noProof/>
          </w:rPr>
          <w:t>2.1.455</w:t>
        </w:r>
        <w:r>
          <w:rPr>
            <w:rFonts w:asciiTheme="minorHAnsi" w:eastAsiaTheme="minorEastAsia" w:hAnsiTheme="minorHAnsi" w:cstheme="minorBidi"/>
            <w:noProof/>
            <w:sz w:val="22"/>
            <w:szCs w:val="22"/>
          </w:rPr>
          <w:tab/>
        </w:r>
        <w:r w:rsidRPr="00CD0B56">
          <w:rPr>
            <w:rStyle w:val="Hyperlink"/>
            <w:noProof/>
          </w:rPr>
          <w:t>Part 1 Section 17.16.3.2, Bookmarks</w:t>
        </w:r>
        <w:r>
          <w:rPr>
            <w:noProof/>
            <w:webHidden/>
          </w:rPr>
          <w:tab/>
        </w:r>
        <w:r>
          <w:rPr>
            <w:noProof/>
            <w:webHidden/>
          </w:rPr>
          <w:fldChar w:fldCharType="begin"/>
        </w:r>
        <w:r>
          <w:rPr>
            <w:noProof/>
            <w:webHidden/>
          </w:rPr>
          <w:instrText xml:space="preserve"> PAGEREF _Toc12260523 \h </w:instrText>
        </w:r>
        <w:r>
          <w:rPr>
            <w:noProof/>
            <w:webHidden/>
          </w:rPr>
        </w:r>
        <w:r>
          <w:rPr>
            <w:noProof/>
            <w:webHidden/>
          </w:rPr>
          <w:fldChar w:fldCharType="separate"/>
        </w:r>
        <w:r>
          <w:rPr>
            <w:noProof/>
            <w:webHidden/>
          </w:rPr>
          <w:t>165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24" w:history="1">
        <w:r w:rsidRPr="00CD0B56">
          <w:rPr>
            <w:rStyle w:val="Hyperlink"/>
            <w:noProof/>
          </w:rPr>
          <w:t>2.1.456</w:t>
        </w:r>
        <w:r>
          <w:rPr>
            <w:rFonts w:asciiTheme="minorHAnsi" w:eastAsiaTheme="minorEastAsia" w:hAnsiTheme="minorHAnsi" w:cstheme="minorBidi"/>
            <w:noProof/>
            <w:sz w:val="22"/>
            <w:szCs w:val="22"/>
          </w:rPr>
          <w:tab/>
        </w:r>
        <w:r w:rsidRPr="00CD0B56">
          <w:rPr>
            <w:rStyle w:val="Hyperlink"/>
            <w:noProof/>
          </w:rPr>
          <w:t>Part 1 Section 17.16.3.3, Operators</w:t>
        </w:r>
        <w:r>
          <w:rPr>
            <w:noProof/>
            <w:webHidden/>
          </w:rPr>
          <w:tab/>
        </w:r>
        <w:r>
          <w:rPr>
            <w:noProof/>
            <w:webHidden/>
          </w:rPr>
          <w:fldChar w:fldCharType="begin"/>
        </w:r>
        <w:r>
          <w:rPr>
            <w:noProof/>
            <w:webHidden/>
          </w:rPr>
          <w:instrText xml:space="preserve"> PAGEREF _Toc12260524 \h </w:instrText>
        </w:r>
        <w:r>
          <w:rPr>
            <w:noProof/>
            <w:webHidden/>
          </w:rPr>
        </w:r>
        <w:r>
          <w:rPr>
            <w:noProof/>
            <w:webHidden/>
          </w:rPr>
          <w:fldChar w:fldCharType="separate"/>
        </w:r>
        <w:r>
          <w:rPr>
            <w:noProof/>
            <w:webHidden/>
          </w:rPr>
          <w:t>165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25" w:history="1">
        <w:r w:rsidRPr="00CD0B56">
          <w:rPr>
            <w:rStyle w:val="Hyperlink"/>
            <w:noProof/>
          </w:rPr>
          <w:t>2.1.457</w:t>
        </w:r>
        <w:r>
          <w:rPr>
            <w:rFonts w:asciiTheme="minorHAnsi" w:eastAsiaTheme="minorEastAsia" w:hAnsiTheme="minorHAnsi" w:cstheme="minorBidi"/>
            <w:noProof/>
            <w:sz w:val="22"/>
            <w:szCs w:val="22"/>
          </w:rPr>
          <w:tab/>
        </w:r>
        <w:r w:rsidRPr="00CD0B56">
          <w:rPr>
            <w:rStyle w:val="Hyperlink"/>
            <w:noProof/>
          </w:rPr>
          <w:t>Part 1 Section 17.16.3.5, Table cell references</w:t>
        </w:r>
        <w:r>
          <w:rPr>
            <w:noProof/>
            <w:webHidden/>
          </w:rPr>
          <w:tab/>
        </w:r>
        <w:r>
          <w:rPr>
            <w:noProof/>
            <w:webHidden/>
          </w:rPr>
          <w:fldChar w:fldCharType="begin"/>
        </w:r>
        <w:r>
          <w:rPr>
            <w:noProof/>
            <w:webHidden/>
          </w:rPr>
          <w:instrText xml:space="preserve"> PAGEREF _Toc12260525 \h </w:instrText>
        </w:r>
        <w:r>
          <w:rPr>
            <w:noProof/>
            <w:webHidden/>
          </w:rPr>
        </w:r>
        <w:r>
          <w:rPr>
            <w:noProof/>
            <w:webHidden/>
          </w:rPr>
          <w:fldChar w:fldCharType="separate"/>
        </w:r>
        <w:r>
          <w:rPr>
            <w:noProof/>
            <w:webHidden/>
          </w:rPr>
          <w:t>165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26" w:history="1">
        <w:r w:rsidRPr="00CD0B56">
          <w:rPr>
            <w:rStyle w:val="Hyperlink"/>
            <w:noProof/>
          </w:rPr>
          <w:t>2.1.458</w:t>
        </w:r>
        <w:r>
          <w:rPr>
            <w:rFonts w:asciiTheme="minorHAnsi" w:eastAsiaTheme="minorEastAsia" w:hAnsiTheme="minorHAnsi" w:cstheme="minorBidi"/>
            <w:noProof/>
            <w:sz w:val="22"/>
            <w:szCs w:val="22"/>
          </w:rPr>
          <w:tab/>
        </w:r>
        <w:r w:rsidRPr="00CD0B56">
          <w:rPr>
            <w:rStyle w:val="Hyperlink"/>
            <w:noProof/>
          </w:rPr>
          <w:t>Part 1 Section 17.16.4.1, Date and time formatting</w:t>
        </w:r>
        <w:r>
          <w:rPr>
            <w:noProof/>
            <w:webHidden/>
          </w:rPr>
          <w:tab/>
        </w:r>
        <w:r>
          <w:rPr>
            <w:noProof/>
            <w:webHidden/>
          </w:rPr>
          <w:fldChar w:fldCharType="begin"/>
        </w:r>
        <w:r>
          <w:rPr>
            <w:noProof/>
            <w:webHidden/>
          </w:rPr>
          <w:instrText xml:space="preserve"> PAGEREF _Toc12260526 \h </w:instrText>
        </w:r>
        <w:r>
          <w:rPr>
            <w:noProof/>
            <w:webHidden/>
          </w:rPr>
        </w:r>
        <w:r>
          <w:rPr>
            <w:noProof/>
            <w:webHidden/>
          </w:rPr>
          <w:fldChar w:fldCharType="separate"/>
        </w:r>
        <w:r>
          <w:rPr>
            <w:noProof/>
            <w:webHidden/>
          </w:rPr>
          <w:t>165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27" w:history="1">
        <w:r w:rsidRPr="00CD0B56">
          <w:rPr>
            <w:rStyle w:val="Hyperlink"/>
            <w:noProof/>
          </w:rPr>
          <w:t>2.1.459</w:t>
        </w:r>
        <w:r>
          <w:rPr>
            <w:rFonts w:asciiTheme="minorHAnsi" w:eastAsiaTheme="minorEastAsia" w:hAnsiTheme="minorHAnsi" w:cstheme="minorBidi"/>
            <w:noProof/>
            <w:sz w:val="22"/>
            <w:szCs w:val="22"/>
          </w:rPr>
          <w:tab/>
        </w:r>
        <w:r w:rsidRPr="00CD0B56">
          <w:rPr>
            <w:rStyle w:val="Hyperlink"/>
            <w:noProof/>
          </w:rPr>
          <w:t>Part 1 Section 17.16.4.3, General formatting</w:t>
        </w:r>
        <w:r>
          <w:rPr>
            <w:noProof/>
            <w:webHidden/>
          </w:rPr>
          <w:tab/>
        </w:r>
        <w:r>
          <w:rPr>
            <w:noProof/>
            <w:webHidden/>
          </w:rPr>
          <w:fldChar w:fldCharType="begin"/>
        </w:r>
        <w:r>
          <w:rPr>
            <w:noProof/>
            <w:webHidden/>
          </w:rPr>
          <w:instrText xml:space="preserve"> PAGEREF _Toc12260527 \h </w:instrText>
        </w:r>
        <w:r>
          <w:rPr>
            <w:noProof/>
            <w:webHidden/>
          </w:rPr>
        </w:r>
        <w:r>
          <w:rPr>
            <w:noProof/>
            <w:webHidden/>
          </w:rPr>
          <w:fldChar w:fldCharType="separate"/>
        </w:r>
        <w:r>
          <w:rPr>
            <w:noProof/>
            <w:webHidden/>
          </w:rPr>
          <w:t>165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28" w:history="1">
        <w:r w:rsidRPr="00CD0B56">
          <w:rPr>
            <w:rStyle w:val="Hyperlink"/>
            <w:noProof/>
          </w:rPr>
          <w:t>2.1.460</w:t>
        </w:r>
        <w:r>
          <w:rPr>
            <w:rFonts w:asciiTheme="minorHAnsi" w:eastAsiaTheme="minorEastAsia" w:hAnsiTheme="minorHAnsi" w:cstheme="minorBidi"/>
            <w:noProof/>
            <w:sz w:val="22"/>
            <w:szCs w:val="22"/>
          </w:rPr>
          <w:tab/>
        </w:r>
        <w:r w:rsidRPr="00CD0B56">
          <w:rPr>
            <w:rStyle w:val="Hyperlink"/>
            <w:noProof/>
          </w:rPr>
          <w:t>Part 1 Section 17.16.5.1, ADDRESSBLOCK</w:t>
        </w:r>
        <w:r>
          <w:rPr>
            <w:noProof/>
            <w:webHidden/>
          </w:rPr>
          <w:tab/>
        </w:r>
        <w:r>
          <w:rPr>
            <w:noProof/>
            <w:webHidden/>
          </w:rPr>
          <w:fldChar w:fldCharType="begin"/>
        </w:r>
        <w:r>
          <w:rPr>
            <w:noProof/>
            <w:webHidden/>
          </w:rPr>
          <w:instrText xml:space="preserve"> PAGEREF _Toc12260528 \h </w:instrText>
        </w:r>
        <w:r>
          <w:rPr>
            <w:noProof/>
            <w:webHidden/>
          </w:rPr>
        </w:r>
        <w:r>
          <w:rPr>
            <w:noProof/>
            <w:webHidden/>
          </w:rPr>
          <w:fldChar w:fldCharType="separate"/>
        </w:r>
        <w:r>
          <w:rPr>
            <w:noProof/>
            <w:webHidden/>
          </w:rPr>
          <w:t>166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29" w:history="1">
        <w:r w:rsidRPr="00CD0B56">
          <w:rPr>
            <w:rStyle w:val="Hyperlink"/>
            <w:noProof/>
          </w:rPr>
          <w:t>2.1.461</w:t>
        </w:r>
        <w:r>
          <w:rPr>
            <w:rFonts w:asciiTheme="minorHAnsi" w:eastAsiaTheme="minorEastAsia" w:hAnsiTheme="minorHAnsi" w:cstheme="minorBidi"/>
            <w:noProof/>
            <w:sz w:val="22"/>
            <w:szCs w:val="22"/>
          </w:rPr>
          <w:tab/>
        </w:r>
        <w:r w:rsidRPr="00CD0B56">
          <w:rPr>
            <w:rStyle w:val="Hyperlink"/>
            <w:noProof/>
          </w:rPr>
          <w:t>Part 1 Section 17.16.5.2, ADVANCE</w:t>
        </w:r>
        <w:r>
          <w:rPr>
            <w:noProof/>
            <w:webHidden/>
          </w:rPr>
          <w:tab/>
        </w:r>
        <w:r>
          <w:rPr>
            <w:noProof/>
            <w:webHidden/>
          </w:rPr>
          <w:fldChar w:fldCharType="begin"/>
        </w:r>
        <w:r>
          <w:rPr>
            <w:noProof/>
            <w:webHidden/>
          </w:rPr>
          <w:instrText xml:space="preserve"> PAGEREF _Toc12260529 \h </w:instrText>
        </w:r>
        <w:r>
          <w:rPr>
            <w:noProof/>
            <w:webHidden/>
          </w:rPr>
        </w:r>
        <w:r>
          <w:rPr>
            <w:noProof/>
            <w:webHidden/>
          </w:rPr>
          <w:fldChar w:fldCharType="separate"/>
        </w:r>
        <w:r>
          <w:rPr>
            <w:noProof/>
            <w:webHidden/>
          </w:rPr>
          <w:t>184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30" w:history="1">
        <w:r w:rsidRPr="00CD0B56">
          <w:rPr>
            <w:rStyle w:val="Hyperlink"/>
            <w:noProof/>
          </w:rPr>
          <w:t>2.1.462</w:t>
        </w:r>
        <w:r>
          <w:rPr>
            <w:rFonts w:asciiTheme="minorHAnsi" w:eastAsiaTheme="minorEastAsia" w:hAnsiTheme="minorHAnsi" w:cstheme="minorBidi"/>
            <w:noProof/>
            <w:sz w:val="22"/>
            <w:szCs w:val="22"/>
          </w:rPr>
          <w:tab/>
        </w:r>
        <w:r w:rsidRPr="00CD0B56">
          <w:rPr>
            <w:rStyle w:val="Hyperlink"/>
            <w:noProof/>
          </w:rPr>
          <w:t>Part 1 Section 17.16.5.4, AUTHOR</w:t>
        </w:r>
        <w:r>
          <w:rPr>
            <w:noProof/>
            <w:webHidden/>
          </w:rPr>
          <w:tab/>
        </w:r>
        <w:r>
          <w:rPr>
            <w:noProof/>
            <w:webHidden/>
          </w:rPr>
          <w:fldChar w:fldCharType="begin"/>
        </w:r>
        <w:r>
          <w:rPr>
            <w:noProof/>
            <w:webHidden/>
          </w:rPr>
          <w:instrText xml:space="preserve"> PAGEREF _Toc12260530 \h </w:instrText>
        </w:r>
        <w:r>
          <w:rPr>
            <w:noProof/>
            <w:webHidden/>
          </w:rPr>
        </w:r>
        <w:r>
          <w:rPr>
            <w:noProof/>
            <w:webHidden/>
          </w:rPr>
          <w:fldChar w:fldCharType="separate"/>
        </w:r>
        <w:r>
          <w:rPr>
            <w:noProof/>
            <w:webHidden/>
          </w:rPr>
          <w:t>184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31" w:history="1">
        <w:r w:rsidRPr="00CD0B56">
          <w:rPr>
            <w:rStyle w:val="Hyperlink"/>
            <w:noProof/>
          </w:rPr>
          <w:t>2.1.463</w:t>
        </w:r>
        <w:r>
          <w:rPr>
            <w:rFonts w:asciiTheme="minorHAnsi" w:eastAsiaTheme="minorEastAsia" w:hAnsiTheme="minorHAnsi" w:cstheme="minorBidi"/>
            <w:noProof/>
            <w:sz w:val="22"/>
            <w:szCs w:val="22"/>
          </w:rPr>
          <w:tab/>
        </w:r>
        <w:r w:rsidRPr="00CD0B56">
          <w:rPr>
            <w:rStyle w:val="Hyperlink"/>
            <w:noProof/>
          </w:rPr>
          <w:t>Part 1 Section 17.16.5.7, BIBLIOGRAPHY</w:t>
        </w:r>
        <w:r>
          <w:rPr>
            <w:noProof/>
            <w:webHidden/>
          </w:rPr>
          <w:tab/>
        </w:r>
        <w:r>
          <w:rPr>
            <w:noProof/>
            <w:webHidden/>
          </w:rPr>
          <w:fldChar w:fldCharType="begin"/>
        </w:r>
        <w:r>
          <w:rPr>
            <w:noProof/>
            <w:webHidden/>
          </w:rPr>
          <w:instrText xml:space="preserve"> PAGEREF _Toc12260531 \h </w:instrText>
        </w:r>
        <w:r>
          <w:rPr>
            <w:noProof/>
            <w:webHidden/>
          </w:rPr>
        </w:r>
        <w:r>
          <w:rPr>
            <w:noProof/>
            <w:webHidden/>
          </w:rPr>
          <w:fldChar w:fldCharType="separate"/>
        </w:r>
        <w:r>
          <w:rPr>
            <w:noProof/>
            <w:webHidden/>
          </w:rPr>
          <w:t>184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32" w:history="1">
        <w:r w:rsidRPr="00CD0B56">
          <w:rPr>
            <w:rStyle w:val="Hyperlink"/>
            <w:noProof/>
          </w:rPr>
          <w:t>2.1.464</w:t>
        </w:r>
        <w:r>
          <w:rPr>
            <w:rFonts w:asciiTheme="minorHAnsi" w:eastAsiaTheme="minorEastAsia" w:hAnsiTheme="minorHAnsi" w:cstheme="minorBidi"/>
            <w:noProof/>
            <w:sz w:val="22"/>
            <w:szCs w:val="22"/>
          </w:rPr>
          <w:tab/>
        </w:r>
        <w:r w:rsidRPr="00CD0B56">
          <w:rPr>
            <w:rStyle w:val="Hyperlink"/>
            <w:noProof/>
          </w:rPr>
          <w:t>Part 1 Section 17.16.5.8, CITATION</w:t>
        </w:r>
        <w:r>
          <w:rPr>
            <w:noProof/>
            <w:webHidden/>
          </w:rPr>
          <w:tab/>
        </w:r>
        <w:r>
          <w:rPr>
            <w:noProof/>
            <w:webHidden/>
          </w:rPr>
          <w:fldChar w:fldCharType="begin"/>
        </w:r>
        <w:r>
          <w:rPr>
            <w:noProof/>
            <w:webHidden/>
          </w:rPr>
          <w:instrText xml:space="preserve"> PAGEREF _Toc12260532 \h </w:instrText>
        </w:r>
        <w:r>
          <w:rPr>
            <w:noProof/>
            <w:webHidden/>
          </w:rPr>
        </w:r>
        <w:r>
          <w:rPr>
            <w:noProof/>
            <w:webHidden/>
          </w:rPr>
          <w:fldChar w:fldCharType="separate"/>
        </w:r>
        <w:r>
          <w:rPr>
            <w:noProof/>
            <w:webHidden/>
          </w:rPr>
          <w:t>185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33" w:history="1">
        <w:r w:rsidRPr="00CD0B56">
          <w:rPr>
            <w:rStyle w:val="Hyperlink"/>
            <w:noProof/>
          </w:rPr>
          <w:t>2.1.465</w:t>
        </w:r>
        <w:r>
          <w:rPr>
            <w:rFonts w:asciiTheme="minorHAnsi" w:eastAsiaTheme="minorEastAsia" w:hAnsiTheme="minorHAnsi" w:cstheme="minorBidi"/>
            <w:noProof/>
            <w:sz w:val="22"/>
            <w:szCs w:val="22"/>
          </w:rPr>
          <w:tab/>
        </w:r>
        <w:r w:rsidRPr="00CD0B56">
          <w:rPr>
            <w:rStyle w:val="Hyperlink"/>
            <w:noProof/>
          </w:rPr>
          <w:t>Part 1 Section 17.16.5.9, COMMENTS</w:t>
        </w:r>
        <w:r>
          <w:rPr>
            <w:noProof/>
            <w:webHidden/>
          </w:rPr>
          <w:tab/>
        </w:r>
        <w:r>
          <w:rPr>
            <w:noProof/>
            <w:webHidden/>
          </w:rPr>
          <w:fldChar w:fldCharType="begin"/>
        </w:r>
        <w:r>
          <w:rPr>
            <w:noProof/>
            <w:webHidden/>
          </w:rPr>
          <w:instrText xml:space="preserve"> PAGEREF _Toc12260533 \h </w:instrText>
        </w:r>
        <w:r>
          <w:rPr>
            <w:noProof/>
            <w:webHidden/>
          </w:rPr>
        </w:r>
        <w:r>
          <w:rPr>
            <w:noProof/>
            <w:webHidden/>
          </w:rPr>
          <w:fldChar w:fldCharType="separate"/>
        </w:r>
        <w:r>
          <w:rPr>
            <w:noProof/>
            <w:webHidden/>
          </w:rPr>
          <w:t>185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34" w:history="1">
        <w:r w:rsidRPr="00CD0B56">
          <w:rPr>
            <w:rStyle w:val="Hyperlink"/>
            <w:noProof/>
          </w:rPr>
          <w:t>2.1.466</w:t>
        </w:r>
        <w:r>
          <w:rPr>
            <w:rFonts w:asciiTheme="minorHAnsi" w:eastAsiaTheme="minorEastAsia" w:hAnsiTheme="minorHAnsi" w:cstheme="minorBidi"/>
            <w:noProof/>
            <w:sz w:val="22"/>
            <w:szCs w:val="22"/>
          </w:rPr>
          <w:tab/>
        </w:r>
        <w:r w:rsidRPr="00CD0B56">
          <w:rPr>
            <w:rStyle w:val="Hyperlink"/>
            <w:noProof/>
          </w:rPr>
          <w:t>Part 1 Section 17.16.5.10, COMPARE</w:t>
        </w:r>
        <w:r>
          <w:rPr>
            <w:noProof/>
            <w:webHidden/>
          </w:rPr>
          <w:tab/>
        </w:r>
        <w:r>
          <w:rPr>
            <w:noProof/>
            <w:webHidden/>
          </w:rPr>
          <w:fldChar w:fldCharType="begin"/>
        </w:r>
        <w:r>
          <w:rPr>
            <w:noProof/>
            <w:webHidden/>
          </w:rPr>
          <w:instrText xml:space="preserve"> PAGEREF _Toc12260534 \h </w:instrText>
        </w:r>
        <w:r>
          <w:rPr>
            <w:noProof/>
            <w:webHidden/>
          </w:rPr>
        </w:r>
        <w:r>
          <w:rPr>
            <w:noProof/>
            <w:webHidden/>
          </w:rPr>
          <w:fldChar w:fldCharType="separate"/>
        </w:r>
        <w:r>
          <w:rPr>
            <w:noProof/>
            <w:webHidden/>
          </w:rPr>
          <w:t>185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35" w:history="1">
        <w:r w:rsidRPr="00CD0B56">
          <w:rPr>
            <w:rStyle w:val="Hyperlink"/>
            <w:noProof/>
          </w:rPr>
          <w:t>2.1.467</w:t>
        </w:r>
        <w:r>
          <w:rPr>
            <w:rFonts w:asciiTheme="minorHAnsi" w:eastAsiaTheme="minorEastAsia" w:hAnsiTheme="minorHAnsi" w:cstheme="minorBidi"/>
            <w:noProof/>
            <w:sz w:val="22"/>
            <w:szCs w:val="22"/>
          </w:rPr>
          <w:tab/>
        </w:r>
        <w:r w:rsidRPr="00CD0B56">
          <w:rPr>
            <w:rStyle w:val="Hyperlink"/>
            <w:noProof/>
          </w:rPr>
          <w:t>Part 1 Section 17.16.5.11, CREATEDATE</w:t>
        </w:r>
        <w:r>
          <w:rPr>
            <w:noProof/>
            <w:webHidden/>
          </w:rPr>
          <w:tab/>
        </w:r>
        <w:r>
          <w:rPr>
            <w:noProof/>
            <w:webHidden/>
          </w:rPr>
          <w:fldChar w:fldCharType="begin"/>
        </w:r>
        <w:r>
          <w:rPr>
            <w:noProof/>
            <w:webHidden/>
          </w:rPr>
          <w:instrText xml:space="preserve"> PAGEREF _Toc12260535 \h </w:instrText>
        </w:r>
        <w:r>
          <w:rPr>
            <w:noProof/>
            <w:webHidden/>
          </w:rPr>
        </w:r>
        <w:r>
          <w:rPr>
            <w:noProof/>
            <w:webHidden/>
          </w:rPr>
          <w:fldChar w:fldCharType="separate"/>
        </w:r>
        <w:r>
          <w:rPr>
            <w:noProof/>
            <w:webHidden/>
          </w:rPr>
          <w:t>185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36" w:history="1">
        <w:r w:rsidRPr="00CD0B56">
          <w:rPr>
            <w:rStyle w:val="Hyperlink"/>
            <w:noProof/>
          </w:rPr>
          <w:t>2.1.468</w:t>
        </w:r>
        <w:r>
          <w:rPr>
            <w:rFonts w:asciiTheme="minorHAnsi" w:eastAsiaTheme="minorEastAsia" w:hAnsiTheme="minorHAnsi" w:cstheme="minorBidi"/>
            <w:noProof/>
            <w:sz w:val="22"/>
            <w:szCs w:val="22"/>
          </w:rPr>
          <w:tab/>
        </w:r>
        <w:r w:rsidRPr="00CD0B56">
          <w:rPr>
            <w:rStyle w:val="Hyperlink"/>
            <w:noProof/>
          </w:rPr>
          <w:t>Part 1 Section 17.16.5.12, DATABASE</w:t>
        </w:r>
        <w:r>
          <w:rPr>
            <w:noProof/>
            <w:webHidden/>
          </w:rPr>
          <w:tab/>
        </w:r>
        <w:r>
          <w:rPr>
            <w:noProof/>
            <w:webHidden/>
          </w:rPr>
          <w:fldChar w:fldCharType="begin"/>
        </w:r>
        <w:r>
          <w:rPr>
            <w:noProof/>
            <w:webHidden/>
          </w:rPr>
          <w:instrText xml:space="preserve"> PAGEREF _Toc12260536 \h </w:instrText>
        </w:r>
        <w:r>
          <w:rPr>
            <w:noProof/>
            <w:webHidden/>
          </w:rPr>
        </w:r>
        <w:r>
          <w:rPr>
            <w:noProof/>
            <w:webHidden/>
          </w:rPr>
          <w:fldChar w:fldCharType="separate"/>
        </w:r>
        <w:r>
          <w:rPr>
            <w:noProof/>
            <w:webHidden/>
          </w:rPr>
          <w:t>185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37" w:history="1">
        <w:r w:rsidRPr="00CD0B56">
          <w:rPr>
            <w:rStyle w:val="Hyperlink"/>
            <w:noProof/>
          </w:rPr>
          <w:t>2.1.469</w:t>
        </w:r>
        <w:r>
          <w:rPr>
            <w:rFonts w:asciiTheme="minorHAnsi" w:eastAsiaTheme="minorEastAsia" w:hAnsiTheme="minorHAnsi" w:cstheme="minorBidi"/>
            <w:noProof/>
            <w:sz w:val="22"/>
            <w:szCs w:val="22"/>
          </w:rPr>
          <w:tab/>
        </w:r>
        <w:r w:rsidRPr="00CD0B56">
          <w:rPr>
            <w:rStyle w:val="Hyperlink"/>
            <w:noProof/>
          </w:rPr>
          <w:t>Part 1 Section 17.16.5.13, DATE</w:t>
        </w:r>
        <w:r>
          <w:rPr>
            <w:noProof/>
            <w:webHidden/>
          </w:rPr>
          <w:tab/>
        </w:r>
        <w:r>
          <w:rPr>
            <w:noProof/>
            <w:webHidden/>
          </w:rPr>
          <w:fldChar w:fldCharType="begin"/>
        </w:r>
        <w:r>
          <w:rPr>
            <w:noProof/>
            <w:webHidden/>
          </w:rPr>
          <w:instrText xml:space="preserve"> PAGEREF _Toc12260537 \h </w:instrText>
        </w:r>
        <w:r>
          <w:rPr>
            <w:noProof/>
            <w:webHidden/>
          </w:rPr>
        </w:r>
        <w:r>
          <w:rPr>
            <w:noProof/>
            <w:webHidden/>
          </w:rPr>
          <w:fldChar w:fldCharType="separate"/>
        </w:r>
        <w:r>
          <w:rPr>
            <w:noProof/>
            <w:webHidden/>
          </w:rPr>
          <w:t>213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38" w:history="1">
        <w:r w:rsidRPr="00CD0B56">
          <w:rPr>
            <w:rStyle w:val="Hyperlink"/>
            <w:noProof/>
          </w:rPr>
          <w:t>2.1.470</w:t>
        </w:r>
        <w:r>
          <w:rPr>
            <w:rFonts w:asciiTheme="minorHAnsi" w:eastAsiaTheme="minorEastAsia" w:hAnsiTheme="minorHAnsi" w:cstheme="minorBidi"/>
            <w:noProof/>
            <w:sz w:val="22"/>
            <w:szCs w:val="22"/>
          </w:rPr>
          <w:tab/>
        </w:r>
        <w:r w:rsidRPr="00CD0B56">
          <w:rPr>
            <w:rStyle w:val="Hyperlink"/>
            <w:noProof/>
          </w:rPr>
          <w:t>Part 1 Section 17.16.5.14, DOCPROPERTY</w:t>
        </w:r>
        <w:r>
          <w:rPr>
            <w:noProof/>
            <w:webHidden/>
          </w:rPr>
          <w:tab/>
        </w:r>
        <w:r>
          <w:rPr>
            <w:noProof/>
            <w:webHidden/>
          </w:rPr>
          <w:fldChar w:fldCharType="begin"/>
        </w:r>
        <w:r>
          <w:rPr>
            <w:noProof/>
            <w:webHidden/>
          </w:rPr>
          <w:instrText xml:space="preserve"> PAGEREF _Toc12260538 \h </w:instrText>
        </w:r>
        <w:r>
          <w:rPr>
            <w:noProof/>
            <w:webHidden/>
          </w:rPr>
        </w:r>
        <w:r>
          <w:rPr>
            <w:noProof/>
            <w:webHidden/>
          </w:rPr>
          <w:fldChar w:fldCharType="separate"/>
        </w:r>
        <w:r>
          <w:rPr>
            <w:noProof/>
            <w:webHidden/>
          </w:rPr>
          <w:t>213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39" w:history="1">
        <w:r w:rsidRPr="00CD0B56">
          <w:rPr>
            <w:rStyle w:val="Hyperlink"/>
            <w:noProof/>
          </w:rPr>
          <w:t>2.1.471</w:t>
        </w:r>
        <w:r>
          <w:rPr>
            <w:rFonts w:asciiTheme="minorHAnsi" w:eastAsiaTheme="minorEastAsia" w:hAnsiTheme="minorHAnsi" w:cstheme="minorBidi"/>
            <w:noProof/>
            <w:sz w:val="22"/>
            <w:szCs w:val="22"/>
          </w:rPr>
          <w:tab/>
        </w:r>
        <w:r w:rsidRPr="00CD0B56">
          <w:rPr>
            <w:rStyle w:val="Hyperlink"/>
            <w:noProof/>
          </w:rPr>
          <w:t>Part 1 Section 17.16.5.17, FILENAME</w:t>
        </w:r>
        <w:r>
          <w:rPr>
            <w:noProof/>
            <w:webHidden/>
          </w:rPr>
          <w:tab/>
        </w:r>
        <w:r>
          <w:rPr>
            <w:noProof/>
            <w:webHidden/>
          </w:rPr>
          <w:fldChar w:fldCharType="begin"/>
        </w:r>
        <w:r>
          <w:rPr>
            <w:noProof/>
            <w:webHidden/>
          </w:rPr>
          <w:instrText xml:space="preserve"> PAGEREF _Toc12260539 \h </w:instrText>
        </w:r>
        <w:r>
          <w:rPr>
            <w:noProof/>
            <w:webHidden/>
          </w:rPr>
        </w:r>
        <w:r>
          <w:rPr>
            <w:noProof/>
            <w:webHidden/>
          </w:rPr>
          <w:fldChar w:fldCharType="separate"/>
        </w:r>
        <w:r>
          <w:rPr>
            <w:noProof/>
            <w:webHidden/>
          </w:rPr>
          <w:t>213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40" w:history="1">
        <w:r w:rsidRPr="00CD0B56">
          <w:rPr>
            <w:rStyle w:val="Hyperlink"/>
            <w:noProof/>
          </w:rPr>
          <w:t>2.1.472</w:t>
        </w:r>
        <w:r>
          <w:rPr>
            <w:rFonts w:asciiTheme="minorHAnsi" w:eastAsiaTheme="minorEastAsia" w:hAnsiTheme="minorHAnsi" w:cstheme="minorBidi"/>
            <w:noProof/>
            <w:sz w:val="22"/>
            <w:szCs w:val="22"/>
          </w:rPr>
          <w:tab/>
        </w:r>
        <w:r w:rsidRPr="00CD0B56">
          <w:rPr>
            <w:rStyle w:val="Hyperlink"/>
            <w:noProof/>
          </w:rPr>
          <w:t>Part 1 Section 17.16.5.18, FILESIZE</w:t>
        </w:r>
        <w:r>
          <w:rPr>
            <w:noProof/>
            <w:webHidden/>
          </w:rPr>
          <w:tab/>
        </w:r>
        <w:r>
          <w:rPr>
            <w:noProof/>
            <w:webHidden/>
          </w:rPr>
          <w:fldChar w:fldCharType="begin"/>
        </w:r>
        <w:r>
          <w:rPr>
            <w:noProof/>
            <w:webHidden/>
          </w:rPr>
          <w:instrText xml:space="preserve"> PAGEREF _Toc12260540 \h </w:instrText>
        </w:r>
        <w:r>
          <w:rPr>
            <w:noProof/>
            <w:webHidden/>
          </w:rPr>
        </w:r>
        <w:r>
          <w:rPr>
            <w:noProof/>
            <w:webHidden/>
          </w:rPr>
          <w:fldChar w:fldCharType="separate"/>
        </w:r>
        <w:r>
          <w:rPr>
            <w:noProof/>
            <w:webHidden/>
          </w:rPr>
          <w:t>213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41" w:history="1">
        <w:r w:rsidRPr="00CD0B56">
          <w:rPr>
            <w:rStyle w:val="Hyperlink"/>
            <w:noProof/>
          </w:rPr>
          <w:t>2.1.473</w:t>
        </w:r>
        <w:r>
          <w:rPr>
            <w:rFonts w:asciiTheme="minorHAnsi" w:eastAsiaTheme="minorEastAsia" w:hAnsiTheme="minorHAnsi" w:cstheme="minorBidi"/>
            <w:noProof/>
            <w:sz w:val="22"/>
            <w:szCs w:val="22"/>
          </w:rPr>
          <w:tab/>
        </w:r>
        <w:r w:rsidRPr="00CD0B56">
          <w:rPr>
            <w:rStyle w:val="Hyperlink"/>
            <w:noProof/>
          </w:rPr>
          <w:t>Part 1 Section 17.16.5.20, FORMCHECKBOX</w:t>
        </w:r>
        <w:r>
          <w:rPr>
            <w:noProof/>
            <w:webHidden/>
          </w:rPr>
          <w:tab/>
        </w:r>
        <w:r>
          <w:rPr>
            <w:noProof/>
            <w:webHidden/>
          </w:rPr>
          <w:fldChar w:fldCharType="begin"/>
        </w:r>
        <w:r>
          <w:rPr>
            <w:noProof/>
            <w:webHidden/>
          </w:rPr>
          <w:instrText xml:space="preserve"> PAGEREF _Toc12260541 \h </w:instrText>
        </w:r>
        <w:r>
          <w:rPr>
            <w:noProof/>
            <w:webHidden/>
          </w:rPr>
        </w:r>
        <w:r>
          <w:rPr>
            <w:noProof/>
            <w:webHidden/>
          </w:rPr>
          <w:fldChar w:fldCharType="separate"/>
        </w:r>
        <w:r>
          <w:rPr>
            <w:noProof/>
            <w:webHidden/>
          </w:rPr>
          <w:t>213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42" w:history="1">
        <w:r w:rsidRPr="00CD0B56">
          <w:rPr>
            <w:rStyle w:val="Hyperlink"/>
            <w:noProof/>
          </w:rPr>
          <w:t>2.1.474</w:t>
        </w:r>
        <w:r>
          <w:rPr>
            <w:rFonts w:asciiTheme="minorHAnsi" w:eastAsiaTheme="minorEastAsia" w:hAnsiTheme="minorHAnsi" w:cstheme="minorBidi"/>
            <w:noProof/>
            <w:sz w:val="22"/>
            <w:szCs w:val="22"/>
          </w:rPr>
          <w:tab/>
        </w:r>
        <w:r w:rsidRPr="00CD0B56">
          <w:rPr>
            <w:rStyle w:val="Hyperlink"/>
            <w:noProof/>
          </w:rPr>
          <w:t>Part 1 Section 17.16.5.21, FORMDROPDOWN</w:t>
        </w:r>
        <w:r>
          <w:rPr>
            <w:noProof/>
            <w:webHidden/>
          </w:rPr>
          <w:tab/>
        </w:r>
        <w:r>
          <w:rPr>
            <w:noProof/>
            <w:webHidden/>
          </w:rPr>
          <w:fldChar w:fldCharType="begin"/>
        </w:r>
        <w:r>
          <w:rPr>
            <w:noProof/>
            <w:webHidden/>
          </w:rPr>
          <w:instrText xml:space="preserve"> PAGEREF _Toc12260542 \h </w:instrText>
        </w:r>
        <w:r>
          <w:rPr>
            <w:noProof/>
            <w:webHidden/>
          </w:rPr>
        </w:r>
        <w:r>
          <w:rPr>
            <w:noProof/>
            <w:webHidden/>
          </w:rPr>
          <w:fldChar w:fldCharType="separate"/>
        </w:r>
        <w:r>
          <w:rPr>
            <w:noProof/>
            <w:webHidden/>
          </w:rPr>
          <w:t>213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43" w:history="1">
        <w:r w:rsidRPr="00CD0B56">
          <w:rPr>
            <w:rStyle w:val="Hyperlink"/>
            <w:noProof/>
          </w:rPr>
          <w:t>2.1.475</w:t>
        </w:r>
        <w:r>
          <w:rPr>
            <w:rFonts w:asciiTheme="minorHAnsi" w:eastAsiaTheme="minorEastAsia" w:hAnsiTheme="minorHAnsi" w:cstheme="minorBidi"/>
            <w:noProof/>
            <w:sz w:val="22"/>
            <w:szCs w:val="22"/>
          </w:rPr>
          <w:tab/>
        </w:r>
        <w:r w:rsidRPr="00CD0B56">
          <w:rPr>
            <w:rStyle w:val="Hyperlink"/>
            <w:noProof/>
          </w:rPr>
          <w:t>Part 1 Section 17.16.5.23, GOTOBUTTON</w:t>
        </w:r>
        <w:r>
          <w:rPr>
            <w:noProof/>
            <w:webHidden/>
          </w:rPr>
          <w:tab/>
        </w:r>
        <w:r>
          <w:rPr>
            <w:noProof/>
            <w:webHidden/>
          </w:rPr>
          <w:fldChar w:fldCharType="begin"/>
        </w:r>
        <w:r>
          <w:rPr>
            <w:noProof/>
            <w:webHidden/>
          </w:rPr>
          <w:instrText xml:space="preserve"> PAGEREF _Toc12260543 \h </w:instrText>
        </w:r>
        <w:r>
          <w:rPr>
            <w:noProof/>
            <w:webHidden/>
          </w:rPr>
        </w:r>
        <w:r>
          <w:rPr>
            <w:noProof/>
            <w:webHidden/>
          </w:rPr>
          <w:fldChar w:fldCharType="separate"/>
        </w:r>
        <w:r>
          <w:rPr>
            <w:noProof/>
            <w:webHidden/>
          </w:rPr>
          <w:t>213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44" w:history="1">
        <w:r w:rsidRPr="00CD0B56">
          <w:rPr>
            <w:rStyle w:val="Hyperlink"/>
            <w:noProof/>
          </w:rPr>
          <w:t>2.1.476</w:t>
        </w:r>
        <w:r>
          <w:rPr>
            <w:rFonts w:asciiTheme="minorHAnsi" w:eastAsiaTheme="minorEastAsia" w:hAnsiTheme="minorHAnsi" w:cstheme="minorBidi"/>
            <w:noProof/>
            <w:sz w:val="22"/>
            <w:szCs w:val="22"/>
          </w:rPr>
          <w:tab/>
        </w:r>
        <w:r w:rsidRPr="00CD0B56">
          <w:rPr>
            <w:rStyle w:val="Hyperlink"/>
            <w:noProof/>
          </w:rPr>
          <w:t>Part 1 Section 17.16.5.24, GREETINGLINE</w:t>
        </w:r>
        <w:r>
          <w:rPr>
            <w:noProof/>
            <w:webHidden/>
          </w:rPr>
          <w:tab/>
        </w:r>
        <w:r>
          <w:rPr>
            <w:noProof/>
            <w:webHidden/>
          </w:rPr>
          <w:fldChar w:fldCharType="begin"/>
        </w:r>
        <w:r>
          <w:rPr>
            <w:noProof/>
            <w:webHidden/>
          </w:rPr>
          <w:instrText xml:space="preserve"> PAGEREF _Toc12260544 \h </w:instrText>
        </w:r>
        <w:r>
          <w:rPr>
            <w:noProof/>
            <w:webHidden/>
          </w:rPr>
        </w:r>
        <w:r>
          <w:rPr>
            <w:noProof/>
            <w:webHidden/>
          </w:rPr>
          <w:fldChar w:fldCharType="separate"/>
        </w:r>
        <w:r>
          <w:rPr>
            <w:noProof/>
            <w:webHidden/>
          </w:rPr>
          <w:t>214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45" w:history="1">
        <w:r w:rsidRPr="00CD0B56">
          <w:rPr>
            <w:rStyle w:val="Hyperlink"/>
            <w:noProof/>
          </w:rPr>
          <w:t>2.1.477</w:t>
        </w:r>
        <w:r>
          <w:rPr>
            <w:rFonts w:asciiTheme="minorHAnsi" w:eastAsiaTheme="minorEastAsia" w:hAnsiTheme="minorHAnsi" w:cstheme="minorBidi"/>
            <w:noProof/>
            <w:sz w:val="22"/>
            <w:szCs w:val="22"/>
          </w:rPr>
          <w:tab/>
        </w:r>
        <w:r w:rsidRPr="00CD0B56">
          <w:rPr>
            <w:rStyle w:val="Hyperlink"/>
            <w:noProof/>
          </w:rPr>
          <w:t>Part 1 Section 17.16.5.25, HYPERLINK</w:t>
        </w:r>
        <w:r>
          <w:rPr>
            <w:noProof/>
            <w:webHidden/>
          </w:rPr>
          <w:tab/>
        </w:r>
        <w:r>
          <w:rPr>
            <w:noProof/>
            <w:webHidden/>
          </w:rPr>
          <w:fldChar w:fldCharType="begin"/>
        </w:r>
        <w:r>
          <w:rPr>
            <w:noProof/>
            <w:webHidden/>
          </w:rPr>
          <w:instrText xml:space="preserve"> PAGEREF _Toc12260545 \h </w:instrText>
        </w:r>
        <w:r>
          <w:rPr>
            <w:noProof/>
            <w:webHidden/>
          </w:rPr>
        </w:r>
        <w:r>
          <w:rPr>
            <w:noProof/>
            <w:webHidden/>
          </w:rPr>
          <w:fldChar w:fldCharType="separate"/>
        </w:r>
        <w:r>
          <w:rPr>
            <w:noProof/>
            <w:webHidden/>
          </w:rPr>
          <w:t>215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46" w:history="1">
        <w:r w:rsidRPr="00CD0B56">
          <w:rPr>
            <w:rStyle w:val="Hyperlink"/>
            <w:noProof/>
          </w:rPr>
          <w:t>2.1.478</w:t>
        </w:r>
        <w:r>
          <w:rPr>
            <w:rFonts w:asciiTheme="minorHAnsi" w:eastAsiaTheme="minorEastAsia" w:hAnsiTheme="minorHAnsi" w:cstheme="minorBidi"/>
            <w:noProof/>
            <w:sz w:val="22"/>
            <w:szCs w:val="22"/>
          </w:rPr>
          <w:tab/>
        </w:r>
        <w:r w:rsidRPr="00CD0B56">
          <w:rPr>
            <w:rStyle w:val="Hyperlink"/>
            <w:noProof/>
          </w:rPr>
          <w:t>Part 1 Section 17.16.5.26, IF</w:t>
        </w:r>
        <w:r>
          <w:rPr>
            <w:noProof/>
            <w:webHidden/>
          </w:rPr>
          <w:tab/>
        </w:r>
        <w:r>
          <w:rPr>
            <w:noProof/>
            <w:webHidden/>
          </w:rPr>
          <w:fldChar w:fldCharType="begin"/>
        </w:r>
        <w:r>
          <w:rPr>
            <w:noProof/>
            <w:webHidden/>
          </w:rPr>
          <w:instrText xml:space="preserve"> PAGEREF _Toc12260546 \h </w:instrText>
        </w:r>
        <w:r>
          <w:rPr>
            <w:noProof/>
            <w:webHidden/>
          </w:rPr>
        </w:r>
        <w:r>
          <w:rPr>
            <w:noProof/>
            <w:webHidden/>
          </w:rPr>
          <w:fldChar w:fldCharType="separate"/>
        </w:r>
        <w:r>
          <w:rPr>
            <w:noProof/>
            <w:webHidden/>
          </w:rPr>
          <w:t>215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47" w:history="1">
        <w:r w:rsidRPr="00CD0B56">
          <w:rPr>
            <w:rStyle w:val="Hyperlink"/>
            <w:noProof/>
          </w:rPr>
          <w:t>2.1.479</w:t>
        </w:r>
        <w:r>
          <w:rPr>
            <w:rFonts w:asciiTheme="minorHAnsi" w:eastAsiaTheme="minorEastAsia" w:hAnsiTheme="minorHAnsi" w:cstheme="minorBidi"/>
            <w:noProof/>
            <w:sz w:val="22"/>
            <w:szCs w:val="22"/>
          </w:rPr>
          <w:tab/>
        </w:r>
        <w:r w:rsidRPr="00CD0B56">
          <w:rPr>
            <w:rStyle w:val="Hyperlink"/>
            <w:noProof/>
          </w:rPr>
          <w:t>Part 1 Section 17.16.5.28, INCLUDETEXT</w:t>
        </w:r>
        <w:r>
          <w:rPr>
            <w:noProof/>
            <w:webHidden/>
          </w:rPr>
          <w:tab/>
        </w:r>
        <w:r>
          <w:rPr>
            <w:noProof/>
            <w:webHidden/>
          </w:rPr>
          <w:fldChar w:fldCharType="begin"/>
        </w:r>
        <w:r>
          <w:rPr>
            <w:noProof/>
            <w:webHidden/>
          </w:rPr>
          <w:instrText xml:space="preserve"> PAGEREF _Toc12260547 \h </w:instrText>
        </w:r>
        <w:r>
          <w:rPr>
            <w:noProof/>
            <w:webHidden/>
          </w:rPr>
        </w:r>
        <w:r>
          <w:rPr>
            <w:noProof/>
            <w:webHidden/>
          </w:rPr>
          <w:fldChar w:fldCharType="separate"/>
        </w:r>
        <w:r>
          <w:rPr>
            <w:noProof/>
            <w:webHidden/>
          </w:rPr>
          <w:t>215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48" w:history="1">
        <w:r w:rsidRPr="00CD0B56">
          <w:rPr>
            <w:rStyle w:val="Hyperlink"/>
            <w:noProof/>
          </w:rPr>
          <w:t>2.1.480</w:t>
        </w:r>
        <w:r>
          <w:rPr>
            <w:rFonts w:asciiTheme="minorHAnsi" w:eastAsiaTheme="minorEastAsia" w:hAnsiTheme="minorHAnsi" w:cstheme="minorBidi"/>
            <w:noProof/>
            <w:sz w:val="22"/>
            <w:szCs w:val="22"/>
          </w:rPr>
          <w:tab/>
        </w:r>
        <w:r w:rsidRPr="00CD0B56">
          <w:rPr>
            <w:rStyle w:val="Hyperlink"/>
            <w:noProof/>
          </w:rPr>
          <w:t>Part 1 Section 17.16.5.29, INDEX</w:t>
        </w:r>
        <w:r>
          <w:rPr>
            <w:noProof/>
            <w:webHidden/>
          </w:rPr>
          <w:tab/>
        </w:r>
        <w:r>
          <w:rPr>
            <w:noProof/>
            <w:webHidden/>
          </w:rPr>
          <w:fldChar w:fldCharType="begin"/>
        </w:r>
        <w:r>
          <w:rPr>
            <w:noProof/>
            <w:webHidden/>
          </w:rPr>
          <w:instrText xml:space="preserve"> PAGEREF _Toc12260548 \h </w:instrText>
        </w:r>
        <w:r>
          <w:rPr>
            <w:noProof/>
            <w:webHidden/>
          </w:rPr>
        </w:r>
        <w:r>
          <w:rPr>
            <w:noProof/>
            <w:webHidden/>
          </w:rPr>
          <w:fldChar w:fldCharType="separate"/>
        </w:r>
        <w:r>
          <w:rPr>
            <w:noProof/>
            <w:webHidden/>
          </w:rPr>
          <w:t>216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49" w:history="1">
        <w:r w:rsidRPr="00CD0B56">
          <w:rPr>
            <w:rStyle w:val="Hyperlink"/>
            <w:noProof/>
          </w:rPr>
          <w:t>2.1.481</w:t>
        </w:r>
        <w:r>
          <w:rPr>
            <w:rFonts w:asciiTheme="minorHAnsi" w:eastAsiaTheme="minorEastAsia" w:hAnsiTheme="minorHAnsi" w:cstheme="minorBidi"/>
            <w:noProof/>
            <w:sz w:val="22"/>
            <w:szCs w:val="22"/>
          </w:rPr>
          <w:tab/>
        </w:r>
        <w:r w:rsidRPr="00CD0B56">
          <w:rPr>
            <w:rStyle w:val="Hyperlink"/>
            <w:noProof/>
          </w:rPr>
          <w:t>Part 1 Section 17.16.5.30, KEYWORDS</w:t>
        </w:r>
        <w:r>
          <w:rPr>
            <w:noProof/>
            <w:webHidden/>
          </w:rPr>
          <w:tab/>
        </w:r>
        <w:r>
          <w:rPr>
            <w:noProof/>
            <w:webHidden/>
          </w:rPr>
          <w:fldChar w:fldCharType="begin"/>
        </w:r>
        <w:r>
          <w:rPr>
            <w:noProof/>
            <w:webHidden/>
          </w:rPr>
          <w:instrText xml:space="preserve"> PAGEREF _Toc12260549 \h </w:instrText>
        </w:r>
        <w:r>
          <w:rPr>
            <w:noProof/>
            <w:webHidden/>
          </w:rPr>
        </w:r>
        <w:r>
          <w:rPr>
            <w:noProof/>
            <w:webHidden/>
          </w:rPr>
          <w:fldChar w:fldCharType="separate"/>
        </w:r>
        <w:r>
          <w:rPr>
            <w:noProof/>
            <w:webHidden/>
          </w:rPr>
          <w:t>216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50" w:history="1">
        <w:r w:rsidRPr="00CD0B56">
          <w:rPr>
            <w:rStyle w:val="Hyperlink"/>
            <w:noProof/>
          </w:rPr>
          <w:t>2.1.482</w:t>
        </w:r>
        <w:r>
          <w:rPr>
            <w:rFonts w:asciiTheme="minorHAnsi" w:eastAsiaTheme="minorEastAsia" w:hAnsiTheme="minorHAnsi" w:cstheme="minorBidi"/>
            <w:noProof/>
            <w:sz w:val="22"/>
            <w:szCs w:val="22"/>
          </w:rPr>
          <w:tab/>
        </w:r>
        <w:r w:rsidRPr="00CD0B56">
          <w:rPr>
            <w:rStyle w:val="Hyperlink"/>
            <w:noProof/>
          </w:rPr>
          <w:t>Part 1 Section 17.16.5.31, LASTSAVEDBY</w:t>
        </w:r>
        <w:r>
          <w:rPr>
            <w:noProof/>
            <w:webHidden/>
          </w:rPr>
          <w:tab/>
        </w:r>
        <w:r>
          <w:rPr>
            <w:noProof/>
            <w:webHidden/>
          </w:rPr>
          <w:fldChar w:fldCharType="begin"/>
        </w:r>
        <w:r>
          <w:rPr>
            <w:noProof/>
            <w:webHidden/>
          </w:rPr>
          <w:instrText xml:space="preserve"> PAGEREF _Toc12260550 \h </w:instrText>
        </w:r>
        <w:r>
          <w:rPr>
            <w:noProof/>
            <w:webHidden/>
          </w:rPr>
        </w:r>
        <w:r>
          <w:rPr>
            <w:noProof/>
            <w:webHidden/>
          </w:rPr>
          <w:fldChar w:fldCharType="separate"/>
        </w:r>
        <w:r>
          <w:rPr>
            <w:noProof/>
            <w:webHidden/>
          </w:rPr>
          <w:t>216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51" w:history="1">
        <w:r w:rsidRPr="00CD0B56">
          <w:rPr>
            <w:rStyle w:val="Hyperlink"/>
            <w:noProof/>
          </w:rPr>
          <w:t>2.1.483</w:t>
        </w:r>
        <w:r>
          <w:rPr>
            <w:rFonts w:asciiTheme="minorHAnsi" w:eastAsiaTheme="minorEastAsia" w:hAnsiTheme="minorHAnsi" w:cstheme="minorBidi"/>
            <w:noProof/>
            <w:sz w:val="22"/>
            <w:szCs w:val="22"/>
          </w:rPr>
          <w:tab/>
        </w:r>
        <w:r w:rsidRPr="00CD0B56">
          <w:rPr>
            <w:rStyle w:val="Hyperlink"/>
            <w:noProof/>
          </w:rPr>
          <w:t>Part 1 Section 17.16.5.32, LINK</w:t>
        </w:r>
        <w:r>
          <w:rPr>
            <w:noProof/>
            <w:webHidden/>
          </w:rPr>
          <w:tab/>
        </w:r>
        <w:r>
          <w:rPr>
            <w:noProof/>
            <w:webHidden/>
          </w:rPr>
          <w:fldChar w:fldCharType="begin"/>
        </w:r>
        <w:r>
          <w:rPr>
            <w:noProof/>
            <w:webHidden/>
          </w:rPr>
          <w:instrText xml:space="preserve"> PAGEREF _Toc12260551 \h </w:instrText>
        </w:r>
        <w:r>
          <w:rPr>
            <w:noProof/>
            <w:webHidden/>
          </w:rPr>
        </w:r>
        <w:r>
          <w:rPr>
            <w:noProof/>
            <w:webHidden/>
          </w:rPr>
          <w:fldChar w:fldCharType="separate"/>
        </w:r>
        <w:r>
          <w:rPr>
            <w:noProof/>
            <w:webHidden/>
          </w:rPr>
          <w:t>216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52" w:history="1">
        <w:r w:rsidRPr="00CD0B56">
          <w:rPr>
            <w:rStyle w:val="Hyperlink"/>
            <w:noProof/>
          </w:rPr>
          <w:t>2.1.484</w:t>
        </w:r>
        <w:r>
          <w:rPr>
            <w:rFonts w:asciiTheme="minorHAnsi" w:eastAsiaTheme="minorEastAsia" w:hAnsiTheme="minorHAnsi" w:cstheme="minorBidi"/>
            <w:noProof/>
            <w:sz w:val="22"/>
            <w:szCs w:val="22"/>
          </w:rPr>
          <w:tab/>
        </w:r>
        <w:r w:rsidRPr="00CD0B56">
          <w:rPr>
            <w:rStyle w:val="Hyperlink"/>
            <w:noProof/>
          </w:rPr>
          <w:t>Part 1 Section 17.16.5.33, LISTNUM</w:t>
        </w:r>
        <w:r>
          <w:rPr>
            <w:noProof/>
            <w:webHidden/>
          </w:rPr>
          <w:tab/>
        </w:r>
        <w:r>
          <w:rPr>
            <w:noProof/>
            <w:webHidden/>
          </w:rPr>
          <w:fldChar w:fldCharType="begin"/>
        </w:r>
        <w:r>
          <w:rPr>
            <w:noProof/>
            <w:webHidden/>
          </w:rPr>
          <w:instrText xml:space="preserve"> PAGEREF _Toc12260552 \h </w:instrText>
        </w:r>
        <w:r>
          <w:rPr>
            <w:noProof/>
            <w:webHidden/>
          </w:rPr>
        </w:r>
        <w:r>
          <w:rPr>
            <w:noProof/>
            <w:webHidden/>
          </w:rPr>
          <w:fldChar w:fldCharType="separate"/>
        </w:r>
        <w:r>
          <w:rPr>
            <w:noProof/>
            <w:webHidden/>
          </w:rPr>
          <w:t>217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53" w:history="1">
        <w:r w:rsidRPr="00CD0B56">
          <w:rPr>
            <w:rStyle w:val="Hyperlink"/>
            <w:noProof/>
          </w:rPr>
          <w:t>2.1.485</w:t>
        </w:r>
        <w:r>
          <w:rPr>
            <w:rFonts w:asciiTheme="minorHAnsi" w:eastAsiaTheme="minorEastAsia" w:hAnsiTheme="minorHAnsi" w:cstheme="minorBidi"/>
            <w:noProof/>
            <w:sz w:val="22"/>
            <w:szCs w:val="22"/>
          </w:rPr>
          <w:tab/>
        </w:r>
        <w:r w:rsidRPr="00CD0B56">
          <w:rPr>
            <w:rStyle w:val="Hyperlink"/>
            <w:noProof/>
          </w:rPr>
          <w:t>Part 1 Section 17.16.5.34, MACROBUTTON</w:t>
        </w:r>
        <w:r>
          <w:rPr>
            <w:noProof/>
            <w:webHidden/>
          </w:rPr>
          <w:tab/>
        </w:r>
        <w:r>
          <w:rPr>
            <w:noProof/>
            <w:webHidden/>
          </w:rPr>
          <w:fldChar w:fldCharType="begin"/>
        </w:r>
        <w:r>
          <w:rPr>
            <w:noProof/>
            <w:webHidden/>
          </w:rPr>
          <w:instrText xml:space="preserve"> PAGEREF _Toc12260553 \h </w:instrText>
        </w:r>
        <w:r>
          <w:rPr>
            <w:noProof/>
            <w:webHidden/>
          </w:rPr>
        </w:r>
        <w:r>
          <w:rPr>
            <w:noProof/>
            <w:webHidden/>
          </w:rPr>
          <w:fldChar w:fldCharType="separate"/>
        </w:r>
        <w:r>
          <w:rPr>
            <w:noProof/>
            <w:webHidden/>
          </w:rPr>
          <w:t>217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54" w:history="1">
        <w:r w:rsidRPr="00CD0B56">
          <w:rPr>
            <w:rStyle w:val="Hyperlink"/>
            <w:noProof/>
          </w:rPr>
          <w:t>2.1.486</w:t>
        </w:r>
        <w:r>
          <w:rPr>
            <w:rFonts w:asciiTheme="minorHAnsi" w:eastAsiaTheme="minorEastAsia" w:hAnsiTheme="minorHAnsi" w:cstheme="minorBidi"/>
            <w:noProof/>
            <w:sz w:val="22"/>
            <w:szCs w:val="22"/>
          </w:rPr>
          <w:tab/>
        </w:r>
        <w:r w:rsidRPr="00CD0B56">
          <w:rPr>
            <w:rStyle w:val="Hyperlink"/>
            <w:noProof/>
          </w:rPr>
          <w:t>Part 1 Section 17.16.5.35, MERGEFIELD</w:t>
        </w:r>
        <w:r>
          <w:rPr>
            <w:noProof/>
            <w:webHidden/>
          </w:rPr>
          <w:tab/>
        </w:r>
        <w:r>
          <w:rPr>
            <w:noProof/>
            <w:webHidden/>
          </w:rPr>
          <w:fldChar w:fldCharType="begin"/>
        </w:r>
        <w:r>
          <w:rPr>
            <w:noProof/>
            <w:webHidden/>
          </w:rPr>
          <w:instrText xml:space="preserve"> PAGEREF _Toc12260554 \h </w:instrText>
        </w:r>
        <w:r>
          <w:rPr>
            <w:noProof/>
            <w:webHidden/>
          </w:rPr>
        </w:r>
        <w:r>
          <w:rPr>
            <w:noProof/>
            <w:webHidden/>
          </w:rPr>
          <w:fldChar w:fldCharType="separate"/>
        </w:r>
        <w:r>
          <w:rPr>
            <w:noProof/>
            <w:webHidden/>
          </w:rPr>
          <w:t>217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55" w:history="1">
        <w:r w:rsidRPr="00CD0B56">
          <w:rPr>
            <w:rStyle w:val="Hyperlink"/>
            <w:noProof/>
          </w:rPr>
          <w:t>2.1.487</w:t>
        </w:r>
        <w:r>
          <w:rPr>
            <w:rFonts w:asciiTheme="minorHAnsi" w:eastAsiaTheme="minorEastAsia" w:hAnsiTheme="minorHAnsi" w:cstheme="minorBidi"/>
            <w:noProof/>
            <w:sz w:val="22"/>
            <w:szCs w:val="22"/>
          </w:rPr>
          <w:tab/>
        </w:r>
        <w:r w:rsidRPr="00CD0B56">
          <w:rPr>
            <w:rStyle w:val="Hyperlink"/>
            <w:noProof/>
          </w:rPr>
          <w:t>Part 1 Section 17.16.5.39, NEXTIF</w:t>
        </w:r>
        <w:r>
          <w:rPr>
            <w:noProof/>
            <w:webHidden/>
          </w:rPr>
          <w:tab/>
        </w:r>
        <w:r>
          <w:rPr>
            <w:noProof/>
            <w:webHidden/>
          </w:rPr>
          <w:fldChar w:fldCharType="begin"/>
        </w:r>
        <w:r>
          <w:rPr>
            <w:noProof/>
            <w:webHidden/>
          </w:rPr>
          <w:instrText xml:space="preserve"> PAGEREF _Toc12260555 \h </w:instrText>
        </w:r>
        <w:r>
          <w:rPr>
            <w:noProof/>
            <w:webHidden/>
          </w:rPr>
        </w:r>
        <w:r>
          <w:rPr>
            <w:noProof/>
            <w:webHidden/>
          </w:rPr>
          <w:fldChar w:fldCharType="separate"/>
        </w:r>
        <w:r>
          <w:rPr>
            <w:noProof/>
            <w:webHidden/>
          </w:rPr>
          <w:t>217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56" w:history="1">
        <w:r w:rsidRPr="00CD0B56">
          <w:rPr>
            <w:rStyle w:val="Hyperlink"/>
            <w:noProof/>
          </w:rPr>
          <w:t>2.1.488</w:t>
        </w:r>
        <w:r>
          <w:rPr>
            <w:rFonts w:asciiTheme="minorHAnsi" w:eastAsiaTheme="minorEastAsia" w:hAnsiTheme="minorHAnsi" w:cstheme="minorBidi"/>
            <w:noProof/>
            <w:sz w:val="22"/>
            <w:szCs w:val="22"/>
          </w:rPr>
          <w:tab/>
        </w:r>
        <w:r w:rsidRPr="00CD0B56">
          <w:rPr>
            <w:rStyle w:val="Hyperlink"/>
            <w:noProof/>
          </w:rPr>
          <w:t>Part 1 Section 17.16.5.40, NOTEREF</w:t>
        </w:r>
        <w:r>
          <w:rPr>
            <w:noProof/>
            <w:webHidden/>
          </w:rPr>
          <w:tab/>
        </w:r>
        <w:r>
          <w:rPr>
            <w:noProof/>
            <w:webHidden/>
          </w:rPr>
          <w:fldChar w:fldCharType="begin"/>
        </w:r>
        <w:r>
          <w:rPr>
            <w:noProof/>
            <w:webHidden/>
          </w:rPr>
          <w:instrText xml:space="preserve"> PAGEREF _Toc12260556 \h </w:instrText>
        </w:r>
        <w:r>
          <w:rPr>
            <w:noProof/>
            <w:webHidden/>
          </w:rPr>
        </w:r>
        <w:r>
          <w:rPr>
            <w:noProof/>
            <w:webHidden/>
          </w:rPr>
          <w:fldChar w:fldCharType="separate"/>
        </w:r>
        <w:r>
          <w:rPr>
            <w:noProof/>
            <w:webHidden/>
          </w:rPr>
          <w:t>218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57" w:history="1">
        <w:r w:rsidRPr="00CD0B56">
          <w:rPr>
            <w:rStyle w:val="Hyperlink"/>
            <w:noProof/>
          </w:rPr>
          <w:t>2.1.489</w:t>
        </w:r>
        <w:r>
          <w:rPr>
            <w:rFonts w:asciiTheme="minorHAnsi" w:eastAsiaTheme="minorEastAsia" w:hAnsiTheme="minorHAnsi" w:cstheme="minorBidi"/>
            <w:noProof/>
            <w:sz w:val="22"/>
            <w:szCs w:val="22"/>
          </w:rPr>
          <w:tab/>
        </w:r>
        <w:r w:rsidRPr="00CD0B56">
          <w:rPr>
            <w:rStyle w:val="Hyperlink"/>
            <w:noProof/>
          </w:rPr>
          <w:t>Part 1 Section 17.16.5.42 NUMPAGES</w:t>
        </w:r>
        <w:r>
          <w:rPr>
            <w:noProof/>
            <w:webHidden/>
          </w:rPr>
          <w:tab/>
        </w:r>
        <w:r>
          <w:rPr>
            <w:noProof/>
            <w:webHidden/>
          </w:rPr>
          <w:fldChar w:fldCharType="begin"/>
        </w:r>
        <w:r>
          <w:rPr>
            <w:noProof/>
            <w:webHidden/>
          </w:rPr>
          <w:instrText xml:space="preserve"> PAGEREF _Toc12260557 \h </w:instrText>
        </w:r>
        <w:r>
          <w:rPr>
            <w:noProof/>
            <w:webHidden/>
          </w:rPr>
        </w:r>
        <w:r>
          <w:rPr>
            <w:noProof/>
            <w:webHidden/>
          </w:rPr>
          <w:fldChar w:fldCharType="separate"/>
        </w:r>
        <w:r>
          <w:rPr>
            <w:noProof/>
            <w:webHidden/>
          </w:rPr>
          <w:t>218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58" w:history="1">
        <w:r w:rsidRPr="00CD0B56">
          <w:rPr>
            <w:rStyle w:val="Hyperlink"/>
            <w:noProof/>
          </w:rPr>
          <w:t>2.1.490</w:t>
        </w:r>
        <w:r>
          <w:rPr>
            <w:rFonts w:asciiTheme="minorHAnsi" w:eastAsiaTheme="minorEastAsia" w:hAnsiTheme="minorHAnsi" w:cstheme="minorBidi"/>
            <w:noProof/>
            <w:sz w:val="22"/>
            <w:szCs w:val="22"/>
          </w:rPr>
          <w:tab/>
        </w:r>
        <w:r w:rsidRPr="00CD0B56">
          <w:rPr>
            <w:rStyle w:val="Hyperlink"/>
            <w:noProof/>
          </w:rPr>
          <w:t>Part 1 Section 17.16.5.45, PAGEREF</w:t>
        </w:r>
        <w:r>
          <w:rPr>
            <w:noProof/>
            <w:webHidden/>
          </w:rPr>
          <w:tab/>
        </w:r>
        <w:r>
          <w:rPr>
            <w:noProof/>
            <w:webHidden/>
          </w:rPr>
          <w:fldChar w:fldCharType="begin"/>
        </w:r>
        <w:r>
          <w:rPr>
            <w:noProof/>
            <w:webHidden/>
          </w:rPr>
          <w:instrText xml:space="preserve"> PAGEREF _Toc12260558 \h </w:instrText>
        </w:r>
        <w:r>
          <w:rPr>
            <w:noProof/>
            <w:webHidden/>
          </w:rPr>
        </w:r>
        <w:r>
          <w:rPr>
            <w:noProof/>
            <w:webHidden/>
          </w:rPr>
          <w:fldChar w:fldCharType="separate"/>
        </w:r>
        <w:r>
          <w:rPr>
            <w:noProof/>
            <w:webHidden/>
          </w:rPr>
          <w:t>218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59" w:history="1">
        <w:r w:rsidRPr="00CD0B56">
          <w:rPr>
            <w:rStyle w:val="Hyperlink"/>
            <w:noProof/>
          </w:rPr>
          <w:t>2.1.491</w:t>
        </w:r>
        <w:r>
          <w:rPr>
            <w:rFonts w:asciiTheme="minorHAnsi" w:eastAsiaTheme="minorEastAsia" w:hAnsiTheme="minorHAnsi" w:cstheme="minorBidi"/>
            <w:noProof/>
            <w:sz w:val="22"/>
            <w:szCs w:val="22"/>
          </w:rPr>
          <w:tab/>
        </w:r>
        <w:r w:rsidRPr="00CD0B56">
          <w:rPr>
            <w:rStyle w:val="Hyperlink"/>
            <w:noProof/>
          </w:rPr>
          <w:t>Part 1 Section 17.16.5.46, PRINT</w:t>
        </w:r>
        <w:r>
          <w:rPr>
            <w:noProof/>
            <w:webHidden/>
          </w:rPr>
          <w:tab/>
        </w:r>
        <w:r>
          <w:rPr>
            <w:noProof/>
            <w:webHidden/>
          </w:rPr>
          <w:fldChar w:fldCharType="begin"/>
        </w:r>
        <w:r>
          <w:rPr>
            <w:noProof/>
            <w:webHidden/>
          </w:rPr>
          <w:instrText xml:space="preserve"> PAGEREF _Toc12260559 \h </w:instrText>
        </w:r>
        <w:r>
          <w:rPr>
            <w:noProof/>
            <w:webHidden/>
          </w:rPr>
        </w:r>
        <w:r>
          <w:rPr>
            <w:noProof/>
            <w:webHidden/>
          </w:rPr>
          <w:fldChar w:fldCharType="separate"/>
        </w:r>
        <w:r>
          <w:rPr>
            <w:noProof/>
            <w:webHidden/>
          </w:rPr>
          <w:t>218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60" w:history="1">
        <w:r w:rsidRPr="00CD0B56">
          <w:rPr>
            <w:rStyle w:val="Hyperlink"/>
            <w:noProof/>
          </w:rPr>
          <w:t>2.1.492</w:t>
        </w:r>
        <w:r>
          <w:rPr>
            <w:rFonts w:asciiTheme="minorHAnsi" w:eastAsiaTheme="minorEastAsia" w:hAnsiTheme="minorHAnsi" w:cstheme="minorBidi"/>
            <w:noProof/>
            <w:sz w:val="22"/>
            <w:szCs w:val="22"/>
          </w:rPr>
          <w:tab/>
        </w:r>
        <w:r w:rsidRPr="00CD0B56">
          <w:rPr>
            <w:rStyle w:val="Hyperlink"/>
            <w:noProof/>
          </w:rPr>
          <w:t>Part 1 Section 17.16.5.47, PRINTDATE</w:t>
        </w:r>
        <w:r>
          <w:rPr>
            <w:noProof/>
            <w:webHidden/>
          </w:rPr>
          <w:tab/>
        </w:r>
        <w:r>
          <w:rPr>
            <w:noProof/>
            <w:webHidden/>
          </w:rPr>
          <w:fldChar w:fldCharType="begin"/>
        </w:r>
        <w:r>
          <w:rPr>
            <w:noProof/>
            <w:webHidden/>
          </w:rPr>
          <w:instrText xml:space="preserve"> PAGEREF _Toc12260560 \h </w:instrText>
        </w:r>
        <w:r>
          <w:rPr>
            <w:noProof/>
            <w:webHidden/>
          </w:rPr>
        </w:r>
        <w:r>
          <w:rPr>
            <w:noProof/>
            <w:webHidden/>
          </w:rPr>
          <w:fldChar w:fldCharType="separate"/>
        </w:r>
        <w:r>
          <w:rPr>
            <w:noProof/>
            <w:webHidden/>
          </w:rPr>
          <w:t>219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61" w:history="1">
        <w:r w:rsidRPr="00CD0B56">
          <w:rPr>
            <w:rStyle w:val="Hyperlink"/>
            <w:noProof/>
          </w:rPr>
          <w:t>2.1.493</w:t>
        </w:r>
        <w:r>
          <w:rPr>
            <w:rFonts w:asciiTheme="minorHAnsi" w:eastAsiaTheme="minorEastAsia" w:hAnsiTheme="minorHAnsi" w:cstheme="minorBidi"/>
            <w:noProof/>
            <w:sz w:val="22"/>
            <w:szCs w:val="22"/>
          </w:rPr>
          <w:tab/>
        </w:r>
        <w:r w:rsidRPr="00CD0B56">
          <w:rPr>
            <w:rStyle w:val="Hyperlink"/>
            <w:noProof/>
          </w:rPr>
          <w:t>Part 1 Section 17.16.5.49, QUOTE</w:t>
        </w:r>
        <w:r>
          <w:rPr>
            <w:noProof/>
            <w:webHidden/>
          </w:rPr>
          <w:tab/>
        </w:r>
        <w:r>
          <w:rPr>
            <w:noProof/>
            <w:webHidden/>
          </w:rPr>
          <w:fldChar w:fldCharType="begin"/>
        </w:r>
        <w:r>
          <w:rPr>
            <w:noProof/>
            <w:webHidden/>
          </w:rPr>
          <w:instrText xml:space="preserve"> PAGEREF _Toc12260561 \h </w:instrText>
        </w:r>
        <w:r>
          <w:rPr>
            <w:noProof/>
            <w:webHidden/>
          </w:rPr>
        </w:r>
        <w:r>
          <w:rPr>
            <w:noProof/>
            <w:webHidden/>
          </w:rPr>
          <w:fldChar w:fldCharType="separate"/>
        </w:r>
        <w:r>
          <w:rPr>
            <w:noProof/>
            <w:webHidden/>
          </w:rPr>
          <w:t>219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62" w:history="1">
        <w:r w:rsidRPr="00CD0B56">
          <w:rPr>
            <w:rStyle w:val="Hyperlink"/>
            <w:noProof/>
          </w:rPr>
          <w:t>2.1.494</w:t>
        </w:r>
        <w:r>
          <w:rPr>
            <w:rFonts w:asciiTheme="minorHAnsi" w:eastAsiaTheme="minorEastAsia" w:hAnsiTheme="minorHAnsi" w:cstheme="minorBidi"/>
            <w:noProof/>
            <w:sz w:val="22"/>
            <w:szCs w:val="22"/>
          </w:rPr>
          <w:tab/>
        </w:r>
        <w:r w:rsidRPr="00CD0B56">
          <w:rPr>
            <w:rStyle w:val="Hyperlink"/>
            <w:noProof/>
          </w:rPr>
          <w:t>Part 1 Section 17.16.5.50, RD</w:t>
        </w:r>
        <w:r>
          <w:rPr>
            <w:noProof/>
            <w:webHidden/>
          </w:rPr>
          <w:tab/>
        </w:r>
        <w:r>
          <w:rPr>
            <w:noProof/>
            <w:webHidden/>
          </w:rPr>
          <w:fldChar w:fldCharType="begin"/>
        </w:r>
        <w:r>
          <w:rPr>
            <w:noProof/>
            <w:webHidden/>
          </w:rPr>
          <w:instrText xml:space="preserve"> PAGEREF _Toc12260562 \h </w:instrText>
        </w:r>
        <w:r>
          <w:rPr>
            <w:noProof/>
            <w:webHidden/>
          </w:rPr>
        </w:r>
        <w:r>
          <w:rPr>
            <w:noProof/>
            <w:webHidden/>
          </w:rPr>
          <w:fldChar w:fldCharType="separate"/>
        </w:r>
        <w:r>
          <w:rPr>
            <w:noProof/>
            <w:webHidden/>
          </w:rPr>
          <w:t>219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63" w:history="1">
        <w:r w:rsidRPr="00CD0B56">
          <w:rPr>
            <w:rStyle w:val="Hyperlink"/>
            <w:noProof/>
          </w:rPr>
          <w:t>2.1.495</w:t>
        </w:r>
        <w:r>
          <w:rPr>
            <w:rFonts w:asciiTheme="minorHAnsi" w:eastAsiaTheme="minorEastAsia" w:hAnsiTheme="minorHAnsi" w:cstheme="minorBidi"/>
            <w:noProof/>
            <w:sz w:val="22"/>
            <w:szCs w:val="22"/>
          </w:rPr>
          <w:tab/>
        </w:r>
        <w:r w:rsidRPr="00CD0B56">
          <w:rPr>
            <w:rStyle w:val="Hyperlink"/>
            <w:noProof/>
          </w:rPr>
          <w:t>Part 1 Section 17.16.5.51, REF</w:t>
        </w:r>
        <w:r>
          <w:rPr>
            <w:noProof/>
            <w:webHidden/>
          </w:rPr>
          <w:tab/>
        </w:r>
        <w:r>
          <w:rPr>
            <w:noProof/>
            <w:webHidden/>
          </w:rPr>
          <w:fldChar w:fldCharType="begin"/>
        </w:r>
        <w:r>
          <w:rPr>
            <w:noProof/>
            <w:webHidden/>
          </w:rPr>
          <w:instrText xml:space="preserve"> PAGEREF _Toc12260563 \h </w:instrText>
        </w:r>
        <w:r>
          <w:rPr>
            <w:noProof/>
            <w:webHidden/>
          </w:rPr>
        </w:r>
        <w:r>
          <w:rPr>
            <w:noProof/>
            <w:webHidden/>
          </w:rPr>
          <w:fldChar w:fldCharType="separate"/>
        </w:r>
        <w:r>
          <w:rPr>
            <w:noProof/>
            <w:webHidden/>
          </w:rPr>
          <w:t>219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64" w:history="1">
        <w:r w:rsidRPr="00CD0B56">
          <w:rPr>
            <w:rStyle w:val="Hyperlink"/>
            <w:noProof/>
          </w:rPr>
          <w:t>2.1.496</w:t>
        </w:r>
        <w:r>
          <w:rPr>
            <w:rFonts w:asciiTheme="minorHAnsi" w:eastAsiaTheme="minorEastAsia" w:hAnsiTheme="minorHAnsi" w:cstheme="minorBidi"/>
            <w:noProof/>
            <w:sz w:val="22"/>
            <w:szCs w:val="22"/>
          </w:rPr>
          <w:tab/>
        </w:r>
        <w:r w:rsidRPr="00CD0B56">
          <w:rPr>
            <w:rStyle w:val="Hyperlink"/>
            <w:noProof/>
          </w:rPr>
          <w:t>Part 1 Section 17.16.5.52, REVNUM</w:t>
        </w:r>
        <w:r>
          <w:rPr>
            <w:noProof/>
            <w:webHidden/>
          </w:rPr>
          <w:tab/>
        </w:r>
        <w:r>
          <w:rPr>
            <w:noProof/>
            <w:webHidden/>
          </w:rPr>
          <w:fldChar w:fldCharType="begin"/>
        </w:r>
        <w:r>
          <w:rPr>
            <w:noProof/>
            <w:webHidden/>
          </w:rPr>
          <w:instrText xml:space="preserve"> PAGEREF _Toc12260564 \h </w:instrText>
        </w:r>
        <w:r>
          <w:rPr>
            <w:noProof/>
            <w:webHidden/>
          </w:rPr>
        </w:r>
        <w:r>
          <w:rPr>
            <w:noProof/>
            <w:webHidden/>
          </w:rPr>
          <w:fldChar w:fldCharType="separate"/>
        </w:r>
        <w:r>
          <w:rPr>
            <w:noProof/>
            <w:webHidden/>
          </w:rPr>
          <w:t>221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65" w:history="1">
        <w:r w:rsidRPr="00CD0B56">
          <w:rPr>
            <w:rStyle w:val="Hyperlink"/>
            <w:noProof/>
          </w:rPr>
          <w:t>2.1.497</w:t>
        </w:r>
        <w:r>
          <w:rPr>
            <w:rFonts w:asciiTheme="minorHAnsi" w:eastAsiaTheme="minorEastAsia" w:hAnsiTheme="minorHAnsi" w:cstheme="minorBidi"/>
            <w:noProof/>
            <w:sz w:val="22"/>
            <w:szCs w:val="22"/>
          </w:rPr>
          <w:tab/>
        </w:r>
        <w:r w:rsidRPr="00CD0B56">
          <w:rPr>
            <w:rStyle w:val="Hyperlink"/>
            <w:noProof/>
          </w:rPr>
          <w:t>Part 1 Section 17.16.5.53, SAVEDATE</w:t>
        </w:r>
        <w:r>
          <w:rPr>
            <w:noProof/>
            <w:webHidden/>
          </w:rPr>
          <w:tab/>
        </w:r>
        <w:r>
          <w:rPr>
            <w:noProof/>
            <w:webHidden/>
          </w:rPr>
          <w:fldChar w:fldCharType="begin"/>
        </w:r>
        <w:r>
          <w:rPr>
            <w:noProof/>
            <w:webHidden/>
          </w:rPr>
          <w:instrText xml:space="preserve"> PAGEREF _Toc12260565 \h </w:instrText>
        </w:r>
        <w:r>
          <w:rPr>
            <w:noProof/>
            <w:webHidden/>
          </w:rPr>
        </w:r>
        <w:r>
          <w:rPr>
            <w:noProof/>
            <w:webHidden/>
          </w:rPr>
          <w:fldChar w:fldCharType="separate"/>
        </w:r>
        <w:r>
          <w:rPr>
            <w:noProof/>
            <w:webHidden/>
          </w:rPr>
          <w:t>221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66" w:history="1">
        <w:r w:rsidRPr="00CD0B56">
          <w:rPr>
            <w:rStyle w:val="Hyperlink"/>
            <w:noProof/>
          </w:rPr>
          <w:t>2.1.498</w:t>
        </w:r>
        <w:r>
          <w:rPr>
            <w:rFonts w:asciiTheme="minorHAnsi" w:eastAsiaTheme="minorEastAsia" w:hAnsiTheme="minorHAnsi" w:cstheme="minorBidi"/>
            <w:noProof/>
            <w:sz w:val="22"/>
            <w:szCs w:val="22"/>
          </w:rPr>
          <w:tab/>
        </w:r>
        <w:r w:rsidRPr="00CD0B56">
          <w:rPr>
            <w:rStyle w:val="Hyperlink"/>
            <w:noProof/>
          </w:rPr>
          <w:t>Part 1 Section 17.16.5.54, SECTION</w:t>
        </w:r>
        <w:r>
          <w:rPr>
            <w:noProof/>
            <w:webHidden/>
          </w:rPr>
          <w:tab/>
        </w:r>
        <w:r>
          <w:rPr>
            <w:noProof/>
            <w:webHidden/>
          </w:rPr>
          <w:fldChar w:fldCharType="begin"/>
        </w:r>
        <w:r>
          <w:rPr>
            <w:noProof/>
            <w:webHidden/>
          </w:rPr>
          <w:instrText xml:space="preserve"> PAGEREF _Toc12260566 \h </w:instrText>
        </w:r>
        <w:r>
          <w:rPr>
            <w:noProof/>
            <w:webHidden/>
          </w:rPr>
        </w:r>
        <w:r>
          <w:rPr>
            <w:noProof/>
            <w:webHidden/>
          </w:rPr>
          <w:fldChar w:fldCharType="separate"/>
        </w:r>
        <w:r>
          <w:rPr>
            <w:noProof/>
            <w:webHidden/>
          </w:rPr>
          <w:t>221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67" w:history="1">
        <w:r w:rsidRPr="00CD0B56">
          <w:rPr>
            <w:rStyle w:val="Hyperlink"/>
            <w:noProof/>
          </w:rPr>
          <w:t>2.1.499</w:t>
        </w:r>
        <w:r>
          <w:rPr>
            <w:rFonts w:asciiTheme="minorHAnsi" w:eastAsiaTheme="minorEastAsia" w:hAnsiTheme="minorHAnsi" w:cstheme="minorBidi"/>
            <w:noProof/>
            <w:sz w:val="22"/>
            <w:szCs w:val="22"/>
          </w:rPr>
          <w:tab/>
        </w:r>
        <w:r w:rsidRPr="00CD0B56">
          <w:rPr>
            <w:rStyle w:val="Hyperlink"/>
            <w:noProof/>
          </w:rPr>
          <w:t>Part 1 Section 17.16.5.55, SECTIONPAGES</w:t>
        </w:r>
        <w:r>
          <w:rPr>
            <w:noProof/>
            <w:webHidden/>
          </w:rPr>
          <w:tab/>
        </w:r>
        <w:r>
          <w:rPr>
            <w:noProof/>
            <w:webHidden/>
          </w:rPr>
          <w:fldChar w:fldCharType="begin"/>
        </w:r>
        <w:r>
          <w:rPr>
            <w:noProof/>
            <w:webHidden/>
          </w:rPr>
          <w:instrText xml:space="preserve"> PAGEREF _Toc12260567 \h </w:instrText>
        </w:r>
        <w:r>
          <w:rPr>
            <w:noProof/>
            <w:webHidden/>
          </w:rPr>
        </w:r>
        <w:r>
          <w:rPr>
            <w:noProof/>
            <w:webHidden/>
          </w:rPr>
          <w:fldChar w:fldCharType="separate"/>
        </w:r>
        <w:r>
          <w:rPr>
            <w:noProof/>
            <w:webHidden/>
          </w:rPr>
          <w:t>221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68" w:history="1">
        <w:r w:rsidRPr="00CD0B56">
          <w:rPr>
            <w:rStyle w:val="Hyperlink"/>
            <w:noProof/>
          </w:rPr>
          <w:t>2.1.500</w:t>
        </w:r>
        <w:r>
          <w:rPr>
            <w:rFonts w:asciiTheme="minorHAnsi" w:eastAsiaTheme="minorEastAsia" w:hAnsiTheme="minorHAnsi" w:cstheme="minorBidi"/>
            <w:noProof/>
            <w:sz w:val="22"/>
            <w:szCs w:val="22"/>
          </w:rPr>
          <w:tab/>
        </w:r>
        <w:r w:rsidRPr="00CD0B56">
          <w:rPr>
            <w:rStyle w:val="Hyperlink"/>
            <w:noProof/>
          </w:rPr>
          <w:t>Part 1 Section 17.16.5.56, SEQ</w:t>
        </w:r>
        <w:r>
          <w:rPr>
            <w:noProof/>
            <w:webHidden/>
          </w:rPr>
          <w:tab/>
        </w:r>
        <w:r>
          <w:rPr>
            <w:noProof/>
            <w:webHidden/>
          </w:rPr>
          <w:fldChar w:fldCharType="begin"/>
        </w:r>
        <w:r>
          <w:rPr>
            <w:noProof/>
            <w:webHidden/>
          </w:rPr>
          <w:instrText xml:space="preserve"> PAGEREF _Toc12260568 \h </w:instrText>
        </w:r>
        <w:r>
          <w:rPr>
            <w:noProof/>
            <w:webHidden/>
          </w:rPr>
        </w:r>
        <w:r>
          <w:rPr>
            <w:noProof/>
            <w:webHidden/>
          </w:rPr>
          <w:fldChar w:fldCharType="separate"/>
        </w:r>
        <w:r>
          <w:rPr>
            <w:noProof/>
            <w:webHidden/>
          </w:rPr>
          <w:t>221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69" w:history="1">
        <w:r w:rsidRPr="00CD0B56">
          <w:rPr>
            <w:rStyle w:val="Hyperlink"/>
            <w:noProof/>
          </w:rPr>
          <w:t>2.1.501</w:t>
        </w:r>
        <w:r>
          <w:rPr>
            <w:rFonts w:asciiTheme="minorHAnsi" w:eastAsiaTheme="minorEastAsia" w:hAnsiTheme="minorHAnsi" w:cstheme="minorBidi"/>
            <w:noProof/>
            <w:sz w:val="22"/>
            <w:szCs w:val="22"/>
          </w:rPr>
          <w:tab/>
        </w:r>
        <w:r w:rsidRPr="00CD0B56">
          <w:rPr>
            <w:rStyle w:val="Hyperlink"/>
            <w:noProof/>
          </w:rPr>
          <w:t>Part 1 Section 17.16.5.58, SKIPIF</w:t>
        </w:r>
        <w:r>
          <w:rPr>
            <w:noProof/>
            <w:webHidden/>
          </w:rPr>
          <w:tab/>
        </w:r>
        <w:r>
          <w:rPr>
            <w:noProof/>
            <w:webHidden/>
          </w:rPr>
          <w:fldChar w:fldCharType="begin"/>
        </w:r>
        <w:r>
          <w:rPr>
            <w:noProof/>
            <w:webHidden/>
          </w:rPr>
          <w:instrText xml:space="preserve"> PAGEREF _Toc12260569 \h </w:instrText>
        </w:r>
        <w:r>
          <w:rPr>
            <w:noProof/>
            <w:webHidden/>
          </w:rPr>
        </w:r>
        <w:r>
          <w:rPr>
            <w:noProof/>
            <w:webHidden/>
          </w:rPr>
          <w:fldChar w:fldCharType="separate"/>
        </w:r>
        <w:r>
          <w:rPr>
            <w:noProof/>
            <w:webHidden/>
          </w:rPr>
          <w:t>221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70" w:history="1">
        <w:r w:rsidRPr="00CD0B56">
          <w:rPr>
            <w:rStyle w:val="Hyperlink"/>
            <w:noProof/>
          </w:rPr>
          <w:t>2.1.502</w:t>
        </w:r>
        <w:r>
          <w:rPr>
            <w:rFonts w:asciiTheme="minorHAnsi" w:eastAsiaTheme="minorEastAsia" w:hAnsiTheme="minorHAnsi" w:cstheme="minorBidi"/>
            <w:noProof/>
            <w:sz w:val="22"/>
            <w:szCs w:val="22"/>
          </w:rPr>
          <w:tab/>
        </w:r>
        <w:r w:rsidRPr="00CD0B56">
          <w:rPr>
            <w:rStyle w:val="Hyperlink"/>
            <w:noProof/>
          </w:rPr>
          <w:t>Part 1 Section 17.16.5.59, STYLEREF</w:t>
        </w:r>
        <w:r>
          <w:rPr>
            <w:noProof/>
            <w:webHidden/>
          </w:rPr>
          <w:tab/>
        </w:r>
        <w:r>
          <w:rPr>
            <w:noProof/>
            <w:webHidden/>
          </w:rPr>
          <w:fldChar w:fldCharType="begin"/>
        </w:r>
        <w:r>
          <w:rPr>
            <w:noProof/>
            <w:webHidden/>
          </w:rPr>
          <w:instrText xml:space="preserve"> PAGEREF _Toc12260570 \h </w:instrText>
        </w:r>
        <w:r>
          <w:rPr>
            <w:noProof/>
            <w:webHidden/>
          </w:rPr>
        </w:r>
        <w:r>
          <w:rPr>
            <w:noProof/>
            <w:webHidden/>
          </w:rPr>
          <w:fldChar w:fldCharType="separate"/>
        </w:r>
        <w:r>
          <w:rPr>
            <w:noProof/>
            <w:webHidden/>
          </w:rPr>
          <w:t>222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71" w:history="1">
        <w:r w:rsidRPr="00CD0B56">
          <w:rPr>
            <w:rStyle w:val="Hyperlink"/>
            <w:noProof/>
          </w:rPr>
          <w:t>2.1.503</w:t>
        </w:r>
        <w:r>
          <w:rPr>
            <w:rFonts w:asciiTheme="minorHAnsi" w:eastAsiaTheme="minorEastAsia" w:hAnsiTheme="minorHAnsi" w:cstheme="minorBidi"/>
            <w:noProof/>
            <w:sz w:val="22"/>
            <w:szCs w:val="22"/>
          </w:rPr>
          <w:tab/>
        </w:r>
        <w:r w:rsidRPr="00CD0B56">
          <w:rPr>
            <w:rStyle w:val="Hyperlink"/>
            <w:noProof/>
          </w:rPr>
          <w:t>Part 1 Section 17.16.5.60, SUBJECT</w:t>
        </w:r>
        <w:r>
          <w:rPr>
            <w:noProof/>
            <w:webHidden/>
          </w:rPr>
          <w:tab/>
        </w:r>
        <w:r>
          <w:rPr>
            <w:noProof/>
            <w:webHidden/>
          </w:rPr>
          <w:fldChar w:fldCharType="begin"/>
        </w:r>
        <w:r>
          <w:rPr>
            <w:noProof/>
            <w:webHidden/>
          </w:rPr>
          <w:instrText xml:space="preserve"> PAGEREF _Toc12260571 \h </w:instrText>
        </w:r>
        <w:r>
          <w:rPr>
            <w:noProof/>
            <w:webHidden/>
          </w:rPr>
        </w:r>
        <w:r>
          <w:rPr>
            <w:noProof/>
            <w:webHidden/>
          </w:rPr>
          <w:fldChar w:fldCharType="separate"/>
        </w:r>
        <w:r>
          <w:rPr>
            <w:noProof/>
            <w:webHidden/>
          </w:rPr>
          <w:t>222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72" w:history="1">
        <w:r w:rsidRPr="00CD0B56">
          <w:rPr>
            <w:rStyle w:val="Hyperlink"/>
            <w:noProof/>
          </w:rPr>
          <w:t>2.1.504</w:t>
        </w:r>
        <w:r>
          <w:rPr>
            <w:rFonts w:asciiTheme="minorHAnsi" w:eastAsiaTheme="minorEastAsia" w:hAnsiTheme="minorHAnsi" w:cstheme="minorBidi"/>
            <w:noProof/>
            <w:sz w:val="22"/>
            <w:szCs w:val="22"/>
          </w:rPr>
          <w:tab/>
        </w:r>
        <w:r w:rsidRPr="00CD0B56">
          <w:rPr>
            <w:rStyle w:val="Hyperlink"/>
            <w:noProof/>
          </w:rPr>
          <w:t>Part 1 Section 17.16.5.61, SYMBOL</w:t>
        </w:r>
        <w:r>
          <w:rPr>
            <w:noProof/>
            <w:webHidden/>
          </w:rPr>
          <w:tab/>
        </w:r>
        <w:r>
          <w:rPr>
            <w:noProof/>
            <w:webHidden/>
          </w:rPr>
          <w:fldChar w:fldCharType="begin"/>
        </w:r>
        <w:r>
          <w:rPr>
            <w:noProof/>
            <w:webHidden/>
          </w:rPr>
          <w:instrText xml:space="preserve"> PAGEREF _Toc12260572 \h </w:instrText>
        </w:r>
        <w:r>
          <w:rPr>
            <w:noProof/>
            <w:webHidden/>
          </w:rPr>
        </w:r>
        <w:r>
          <w:rPr>
            <w:noProof/>
            <w:webHidden/>
          </w:rPr>
          <w:fldChar w:fldCharType="separate"/>
        </w:r>
        <w:r>
          <w:rPr>
            <w:noProof/>
            <w:webHidden/>
          </w:rPr>
          <w:t>223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73" w:history="1">
        <w:r w:rsidRPr="00CD0B56">
          <w:rPr>
            <w:rStyle w:val="Hyperlink"/>
            <w:noProof/>
          </w:rPr>
          <w:t>2.1.505</w:t>
        </w:r>
        <w:r>
          <w:rPr>
            <w:rFonts w:asciiTheme="minorHAnsi" w:eastAsiaTheme="minorEastAsia" w:hAnsiTheme="minorHAnsi" w:cstheme="minorBidi"/>
            <w:noProof/>
            <w:sz w:val="22"/>
            <w:szCs w:val="22"/>
          </w:rPr>
          <w:tab/>
        </w:r>
        <w:r w:rsidRPr="00CD0B56">
          <w:rPr>
            <w:rStyle w:val="Hyperlink"/>
            <w:noProof/>
          </w:rPr>
          <w:t>Part 1 Section 17.16.5.62, TA</w:t>
        </w:r>
        <w:r>
          <w:rPr>
            <w:noProof/>
            <w:webHidden/>
          </w:rPr>
          <w:tab/>
        </w:r>
        <w:r>
          <w:rPr>
            <w:noProof/>
            <w:webHidden/>
          </w:rPr>
          <w:fldChar w:fldCharType="begin"/>
        </w:r>
        <w:r>
          <w:rPr>
            <w:noProof/>
            <w:webHidden/>
          </w:rPr>
          <w:instrText xml:space="preserve"> PAGEREF _Toc12260573 \h </w:instrText>
        </w:r>
        <w:r>
          <w:rPr>
            <w:noProof/>
            <w:webHidden/>
          </w:rPr>
        </w:r>
        <w:r>
          <w:rPr>
            <w:noProof/>
            <w:webHidden/>
          </w:rPr>
          <w:fldChar w:fldCharType="separate"/>
        </w:r>
        <w:r>
          <w:rPr>
            <w:noProof/>
            <w:webHidden/>
          </w:rPr>
          <w:t>223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74" w:history="1">
        <w:r w:rsidRPr="00CD0B56">
          <w:rPr>
            <w:rStyle w:val="Hyperlink"/>
            <w:noProof/>
          </w:rPr>
          <w:t>2.1.506</w:t>
        </w:r>
        <w:r>
          <w:rPr>
            <w:rFonts w:asciiTheme="minorHAnsi" w:eastAsiaTheme="minorEastAsia" w:hAnsiTheme="minorHAnsi" w:cstheme="minorBidi"/>
            <w:noProof/>
            <w:sz w:val="22"/>
            <w:szCs w:val="22"/>
          </w:rPr>
          <w:tab/>
        </w:r>
        <w:r w:rsidRPr="00CD0B56">
          <w:rPr>
            <w:rStyle w:val="Hyperlink"/>
            <w:noProof/>
          </w:rPr>
          <w:t>Part 1 Section 17.16.5.64, TEMPLATE</w:t>
        </w:r>
        <w:r>
          <w:rPr>
            <w:noProof/>
            <w:webHidden/>
          </w:rPr>
          <w:tab/>
        </w:r>
        <w:r>
          <w:rPr>
            <w:noProof/>
            <w:webHidden/>
          </w:rPr>
          <w:fldChar w:fldCharType="begin"/>
        </w:r>
        <w:r>
          <w:rPr>
            <w:noProof/>
            <w:webHidden/>
          </w:rPr>
          <w:instrText xml:space="preserve"> PAGEREF _Toc12260574 \h </w:instrText>
        </w:r>
        <w:r>
          <w:rPr>
            <w:noProof/>
            <w:webHidden/>
          </w:rPr>
        </w:r>
        <w:r>
          <w:rPr>
            <w:noProof/>
            <w:webHidden/>
          </w:rPr>
          <w:fldChar w:fldCharType="separate"/>
        </w:r>
        <w:r>
          <w:rPr>
            <w:noProof/>
            <w:webHidden/>
          </w:rPr>
          <w:t>223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75" w:history="1">
        <w:r w:rsidRPr="00CD0B56">
          <w:rPr>
            <w:rStyle w:val="Hyperlink"/>
            <w:noProof/>
          </w:rPr>
          <w:t>2.1.507</w:t>
        </w:r>
        <w:r>
          <w:rPr>
            <w:rFonts w:asciiTheme="minorHAnsi" w:eastAsiaTheme="minorEastAsia" w:hAnsiTheme="minorHAnsi" w:cstheme="minorBidi"/>
            <w:noProof/>
            <w:sz w:val="22"/>
            <w:szCs w:val="22"/>
          </w:rPr>
          <w:tab/>
        </w:r>
        <w:r w:rsidRPr="00CD0B56">
          <w:rPr>
            <w:rStyle w:val="Hyperlink"/>
            <w:noProof/>
          </w:rPr>
          <w:t>Part 1 Section 17.16.5.66, TITLE</w:t>
        </w:r>
        <w:r>
          <w:rPr>
            <w:noProof/>
            <w:webHidden/>
          </w:rPr>
          <w:tab/>
        </w:r>
        <w:r>
          <w:rPr>
            <w:noProof/>
            <w:webHidden/>
          </w:rPr>
          <w:fldChar w:fldCharType="begin"/>
        </w:r>
        <w:r>
          <w:rPr>
            <w:noProof/>
            <w:webHidden/>
          </w:rPr>
          <w:instrText xml:space="preserve"> PAGEREF _Toc12260575 \h </w:instrText>
        </w:r>
        <w:r>
          <w:rPr>
            <w:noProof/>
            <w:webHidden/>
          </w:rPr>
        </w:r>
        <w:r>
          <w:rPr>
            <w:noProof/>
            <w:webHidden/>
          </w:rPr>
          <w:fldChar w:fldCharType="separate"/>
        </w:r>
        <w:r>
          <w:rPr>
            <w:noProof/>
            <w:webHidden/>
          </w:rPr>
          <w:t>223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76" w:history="1">
        <w:r w:rsidRPr="00CD0B56">
          <w:rPr>
            <w:rStyle w:val="Hyperlink"/>
            <w:noProof/>
          </w:rPr>
          <w:t>2.1.508</w:t>
        </w:r>
        <w:r>
          <w:rPr>
            <w:rFonts w:asciiTheme="minorHAnsi" w:eastAsiaTheme="minorEastAsia" w:hAnsiTheme="minorHAnsi" w:cstheme="minorBidi"/>
            <w:noProof/>
            <w:sz w:val="22"/>
            <w:szCs w:val="22"/>
          </w:rPr>
          <w:tab/>
        </w:r>
        <w:r w:rsidRPr="00CD0B56">
          <w:rPr>
            <w:rStyle w:val="Hyperlink"/>
            <w:noProof/>
          </w:rPr>
          <w:t>Part 1 Section 17.16.5.67, TOA</w:t>
        </w:r>
        <w:r>
          <w:rPr>
            <w:noProof/>
            <w:webHidden/>
          </w:rPr>
          <w:tab/>
        </w:r>
        <w:r>
          <w:rPr>
            <w:noProof/>
            <w:webHidden/>
          </w:rPr>
          <w:fldChar w:fldCharType="begin"/>
        </w:r>
        <w:r>
          <w:rPr>
            <w:noProof/>
            <w:webHidden/>
          </w:rPr>
          <w:instrText xml:space="preserve"> PAGEREF _Toc12260576 \h </w:instrText>
        </w:r>
        <w:r>
          <w:rPr>
            <w:noProof/>
            <w:webHidden/>
          </w:rPr>
        </w:r>
        <w:r>
          <w:rPr>
            <w:noProof/>
            <w:webHidden/>
          </w:rPr>
          <w:fldChar w:fldCharType="separate"/>
        </w:r>
        <w:r>
          <w:rPr>
            <w:noProof/>
            <w:webHidden/>
          </w:rPr>
          <w:t>223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77" w:history="1">
        <w:r w:rsidRPr="00CD0B56">
          <w:rPr>
            <w:rStyle w:val="Hyperlink"/>
            <w:noProof/>
          </w:rPr>
          <w:t>2.1.509</w:t>
        </w:r>
        <w:r>
          <w:rPr>
            <w:rFonts w:asciiTheme="minorHAnsi" w:eastAsiaTheme="minorEastAsia" w:hAnsiTheme="minorHAnsi" w:cstheme="minorBidi"/>
            <w:noProof/>
            <w:sz w:val="22"/>
            <w:szCs w:val="22"/>
          </w:rPr>
          <w:tab/>
        </w:r>
        <w:r w:rsidRPr="00CD0B56">
          <w:rPr>
            <w:rStyle w:val="Hyperlink"/>
            <w:noProof/>
          </w:rPr>
          <w:t>Part 1 Section 17.16.5.68, TOC</w:t>
        </w:r>
        <w:r>
          <w:rPr>
            <w:noProof/>
            <w:webHidden/>
          </w:rPr>
          <w:tab/>
        </w:r>
        <w:r>
          <w:rPr>
            <w:noProof/>
            <w:webHidden/>
          </w:rPr>
          <w:fldChar w:fldCharType="begin"/>
        </w:r>
        <w:r>
          <w:rPr>
            <w:noProof/>
            <w:webHidden/>
          </w:rPr>
          <w:instrText xml:space="preserve"> PAGEREF _Toc12260577 \h </w:instrText>
        </w:r>
        <w:r>
          <w:rPr>
            <w:noProof/>
            <w:webHidden/>
          </w:rPr>
        </w:r>
        <w:r>
          <w:rPr>
            <w:noProof/>
            <w:webHidden/>
          </w:rPr>
          <w:fldChar w:fldCharType="separate"/>
        </w:r>
        <w:r>
          <w:rPr>
            <w:noProof/>
            <w:webHidden/>
          </w:rPr>
          <w:t>223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78" w:history="1">
        <w:r w:rsidRPr="00CD0B56">
          <w:rPr>
            <w:rStyle w:val="Hyperlink"/>
            <w:noProof/>
          </w:rPr>
          <w:t>2.1.510</w:t>
        </w:r>
        <w:r>
          <w:rPr>
            <w:rFonts w:asciiTheme="minorHAnsi" w:eastAsiaTheme="minorEastAsia" w:hAnsiTheme="minorHAnsi" w:cstheme="minorBidi"/>
            <w:noProof/>
            <w:sz w:val="22"/>
            <w:szCs w:val="22"/>
          </w:rPr>
          <w:tab/>
        </w:r>
        <w:r w:rsidRPr="00CD0B56">
          <w:rPr>
            <w:rStyle w:val="Hyperlink"/>
            <w:noProof/>
          </w:rPr>
          <w:t>Part 1 Section 17.16.5.69, USERADDRESS</w:t>
        </w:r>
        <w:r>
          <w:rPr>
            <w:noProof/>
            <w:webHidden/>
          </w:rPr>
          <w:tab/>
        </w:r>
        <w:r>
          <w:rPr>
            <w:noProof/>
            <w:webHidden/>
          </w:rPr>
          <w:fldChar w:fldCharType="begin"/>
        </w:r>
        <w:r>
          <w:rPr>
            <w:noProof/>
            <w:webHidden/>
          </w:rPr>
          <w:instrText xml:space="preserve"> PAGEREF _Toc12260578 \h </w:instrText>
        </w:r>
        <w:r>
          <w:rPr>
            <w:noProof/>
            <w:webHidden/>
          </w:rPr>
        </w:r>
        <w:r>
          <w:rPr>
            <w:noProof/>
            <w:webHidden/>
          </w:rPr>
          <w:fldChar w:fldCharType="separate"/>
        </w:r>
        <w:r>
          <w:rPr>
            <w:noProof/>
            <w:webHidden/>
          </w:rPr>
          <w:t>224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79" w:history="1">
        <w:r w:rsidRPr="00CD0B56">
          <w:rPr>
            <w:rStyle w:val="Hyperlink"/>
            <w:noProof/>
          </w:rPr>
          <w:t>2.1.511</w:t>
        </w:r>
        <w:r>
          <w:rPr>
            <w:rFonts w:asciiTheme="minorHAnsi" w:eastAsiaTheme="minorEastAsia" w:hAnsiTheme="minorHAnsi" w:cstheme="minorBidi"/>
            <w:noProof/>
            <w:sz w:val="22"/>
            <w:szCs w:val="22"/>
          </w:rPr>
          <w:tab/>
        </w:r>
        <w:r w:rsidRPr="00CD0B56">
          <w:rPr>
            <w:rStyle w:val="Hyperlink"/>
            <w:noProof/>
          </w:rPr>
          <w:t>Part 1 Section 17.16.5.70, USERINITIALS</w:t>
        </w:r>
        <w:r>
          <w:rPr>
            <w:noProof/>
            <w:webHidden/>
          </w:rPr>
          <w:tab/>
        </w:r>
        <w:r>
          <w:rPr>
            <w:noProof/>
            <w:webHidden/>
          </w:rPr>
          <w:fldChar w:fldCharType="begin"/>
        </w:r>
        <w:r>
          <w:rPr>
            <w:noProof/>
            <w:webHidden/>
          </w:rPr>
          <w:instrText xml:space="preserve"> PAGEREF _Toc12260579 \h </w:instrText>
        </w:r>
        <w:r>
          <w:rPr>
            <w:noProof/>
            <w:webHidden/>
          </w:rPr>
        </w:r>
        <w:r>
          <w:rPr>
            <w:noProof/>
            <w:webHidden/>
          </w:rPr>
          <w:fldChar w:fldCharType="separate"/>
        </w:r>
        <w:r>
          <w:rPr>
            <w:noProof/>
            <w:webHidden/>
          </w:rPr>
          <w:t>224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80" w:history="1">
        <w:r w:rsidRPr="00CD0B56">
          <w:rPr>
            <w:rStyle w:val="Hyperlink"/>
            <w:noProof/>
          </w:rPr>
          <w:t>2.1.512</w:t>
        </w:r>
        <w:r>
          <w:rPr>
            <w:rFonts w:asciiTheme="minorHAnsi" w:eastAsiaTheme="minorEastAsia" w:hAnsiTheme="minorHAnsi" w:cstheme="minorBidi"/>
            <w:noProof/>
            <w:sz w:val="22"/>
            <w:szCs w:val="22"/>
          </w:rPr>
          <w:tab/>
        </w:r>
        <w:r w:rsidRPr="00CD0B56">
          <w:rPr>
            <w:rStyle w:val="Hyperlink"/>
            <w:noProof/>
          </w:rPr>
          <w:t>Part 1 Section 17.16.5.71, USERNAME</w:t>
        </w:r>
        <w:r>
          <w:rPr>
            <w:noProof/>
            <w:webHidden/>
          </w:rPr>
          <w:tab/>
        </w:r>
        <w:r>
          <w:rPr>
            <w:noProof/>
            <w:webHidden/>
          </w:rPr>
          <w:fldChar w:fldCharType="begin"/>
        </w:r>
        <w:r>
          <w:rPr>
            <w:noProof/>
            <w:webHidden/>
          </w:rPr>
          <w:instrText xml:space="preserve"> PAGEREF _Toc12260580 \h </w:instrText>
        </w:r>
        <w:r>
          <w:rPr>
            <w:noProof/>
            <w:webHidden/>
          </w:rPr>
        </w:r>
        <w:r>
          <w:rPr>
            <w:noProof/>
            <w:webHidden/>
          </w:rPr>
          <w:fldChar w:fldCharType="separate"/>
        </w:r>
        <w:r>
          <w:rPr>
            <w:noProof/>
            <w:webHidden/>
          </w:rPr>
          <w:t>224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81" w:history="1">
        <w:r w:rsidRPr="00CD0B56">
          <w:rPr>
            <w:rStyle w:val="Hyperlink"/>
            <w:noProof/>
          </w:rPr>
          <w:t>2.1.513</w:t>
        </w:r>
        <w:r>
          <w:rPr>
            <w:rFonts w:asciiTheme="minorHAnsi" w:eastAsiaTheme="minorEastAsia" w:hAnsiTheme="minorHAnsi" w:cstheme="minorBidi"/>
            <w:noProof/>
            <w:sz w:val="22"/>
            <w:szCs w:val="22"/>
          </w:rPr>
          <w:tab/>
        </w:r>
        <w:r w:rsidRPr="00CD0B56">
          <w:rPr>
            <w:rStyle w:val="Hyperlink"/>
            <w:noProof/>
          </w:rPr>
          <w:t>Part 1 Section 17.16.5.72, XE</w:t>
        </w:r>
        <w:r>
          <w:rPr>
            <w:noProof/>
            <w:webHidden/>
          </w:rPr>
          <w:tab/>
        </w:r>
        <w:r>
          <w:rPr>
            <w:noProof/>
            <w:webHidden/>
          </w:rPr>
          <w:fldChar w:fldCharType="begin"/>
        </w:r>
        <w:r>
          <w:rPr>
            <w:noProof/>
            <w:webHidden/>
          </w:rPr>
          <w:instrText xml:space="preserve"> PAGEREF _Toc12260581 \h </w:instrText>
        </w:r>
        <w:r>
          <w:rPr>
            <w:noProof/>
            <w:webHidden/>
          </w:rPr>
        </w:r>
        <w:r>
          <w:rPr>
            <w:noProof/>
            <w:webHidden/>
          </w:rPr>
          <w:fldChar w:fldCharType="separate"/>
        </w:r>
        <w:r>
          <w:rPr>
            <w:noProof/>
            <w:webHidden/>
          </w:rPr>
          <w:t>224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82" w:history="1">
        <w:r w:rsidRPr="00CD0B56">
          <w:rPr>
            <w:rStyle w:val="Hyperlink"/>
            <w:noProof/>
          </w:rPr>
          <w:t>2.1.514</w:t>
        </w:r>
        <w:r>
          <w:rPr>
            <w:rFonts w:asciiTheme="minorHAnsi" w:eastAsiaTheme="minorEastAsia" w:hAnsiTheme="minorHAnsi" w:cstheme="minorBidi"/>
            <w:noProof/>
            <w:sz w:val="22"/>
            <w:szCs w:val="22"/>
          </w:rPr>
          <w:tab/>
        </w:r>
        <w:r w:rsidRPr="00CD0B56">
          <w:rPr>
            <w:rStyle w:val="Hyperlink"/>
            <w:noProof/>
          </w:rPr>
          <w:t>Part 1 Section 17.16.9, ddList (Drop-Down List Form Field Properties)</w:t>
        </w:r>
        <w:r>
          <w:rPr>
            <w:noProof/>
            <w:webHidden/>
          </w:rPr>
          <w:tab/>
        </w:r>
        <w:r>
          <w:rPr>
            <w:noProof/>
            <w:webHidden/>
          </w:rPr>
          <w:fldChar w:fldCharType="begin"/>
        </w:r>
        <w:r>
          <w:rPr>
            <w:noProof/>
            <w:webHidden/>
          </w:rPr>
          <w:instrText xml:space="preserve"> PAGEREF _Toc12260582 \h </w:instrText>
        </w:r>
        <w:r>
          <w:rPr>
            <w:noProof/>
            <w:webHidden/>
          </w:rPr>
        </w:r>
        <w:r>
          <w:rPr>
            <w:noProof/>
            <w:webHidden/>
          </w:rPr>
          <w:fldChar w:fldCharType="separate"/>
        </w:r>
        <w:r>
          <w:rPr>
            <w:noProof/>
            <w:webHidden/>
          </w:rPr>
          <w:t>224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83" w:history="1">
        <w:r w:rsidRPr="00CD0B56">
          <w:rPr>
            <w:rStyle w:val="Hyperlink"/>
            <w:noProof/>
          </w:rPr>
          <w:t>2.1.515</w:t>
        </w:r>
        <w:r>
          <w:rPr>
            <w:rFonts w:asciiTheme="minorHAnsi" w:eastAsiaTheme="minorEastAsia" w:hAnsiTheme="minorHAnsi" w:cstheme="minorBidi"/>
            <w:noProof/>
            <w:sz w:val="22"/>
            <w:szCs w:val="22"/>
          </w:rPr>
          <w:tab/>
        </w:r>
        <w:r w:rsidRPr="00CD0B56">
          <w:rPr>
            <w:rStyle w:val="Hyperlink"/>
            <w:noProof/>
          </w:rPr>
          <w:t>Part 1 Section 17.16.10, default (Default Text Box Form Field String)</w:t>
        </w:r>
        <w:r>
          <w:rPr>
            <w:noProof/>
            <w:webHidden/>
          </w:rPr>
          <w:tab/>
        </w:r>
        <w:r>
          <w:rPr>
            <w:noProof/>
            <w:webHidden/>
          </w:rPr>
          <w:fldChar w:fldCharType="begin"/>
        </w:r>
        <w:r>
          <w:rPr>
            <w:noProof/>
            <w:webHidden/>
          </w:rPr>
          <w:instrText xml:space="preserve"> PAGEREF _Toc12260583 \h </w:instrText>
        </w:r>
        <w:r>
          <w:rPr>
            <w:noProof/>
            <w:webHidden/>
          </w:rPr>
        </w:r>
        <w:r>
          <w:rPr>
            <w:noProof/>
            <w:webHidden/>
          </w:rPr>
          <w:fldChar w:fldCharType="separate"/>
        </w:r>
        <w:r>
          <w:rPr>
            <w:noProof/>
            <w:webHidden/>
          </w:rPr>
          <w:t>224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84" w:history="1">
        <w:r w:rsidRPr="00CD0B56">
          <w:rPr>
            <w:rStyle w:val="Hyperlink"/>
            <w:noProof/>
          </w:rPr>
          <w:t>2.1.516</w:t>
        </w:r>
        <w:r>
          <w:rPr>
            <w:rFonts w:asciiTheme="minorHAnsi" w:eastAsiaTheme="minorEastAsia" w:hAnsiTheme="minorHAnsi" w:cstheme="minorBidi"/>
            <w:noProof/>
            <w:sz w:val="22"/>
            <w:szCs w:val="22"/>
          </w:rPr>
          <w:tab/>
        </w:r>
        <w:r w:rsidRPr="00CD0B56">
          <w:rPr>
            <w:rStyle w:val="Hyperlink"/>
            <w:noProof/>
          </w:rPr>
          <w:t>Part 1 Section 17.16.11, default (Default Drop-Down List Item Index)</w:t>
        </w:r>
        <w:r>
          <w:rPr>
            <w:noProof/>
            <w:webHidden/>
          </w:rPr>
          <w:tab/>
        </w:r>
        <w:r>
          <w:rPr>
            <w:noProof/>
            <w:webHidden/>
          </w:rPr>
          <w:fldChar w:fldCharType="begin"/>
        </w:r>
        <w:r>
          <w:rPr>
            <w:noProof/>
            <w:webHidden/>
          </w:rPr>
          <w:instrText xml:space="preserve"> PAGEREF _Toc12260584 \h </w:instrText>
        </w:r>
        <w:r>
          <w:rPr>
            <w:noProof/>
            <w:webHidden/>
          </w:rPr>
        </w:r>
        <w:r>
          <w:rPr>
            <w:noProof/>
            <w:webHidden/>
          </w:rPr>
          <w:fldChar w:fldCharType="separate"/>
        </w:r>
        <w:r>
          <w:rPr>
            <w:noProof/>
            <w:webHidden/>
          </w:rPr>
          <w:t>224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85" w:history="1">
        <w:r w:rsidRPr="00CD0B56">
          <w:rPr>
            <w:rStyle w:val="Hyperlink"/>
            <w:noProof/>
          </w:rPr>
          <w:t>2.1.517</w:t>
        </w:r>
        <w:r>
          <w:rPr>
            <w:rFonts w:asciiTheme="minorHAnsi" w:eastAsiaTheme="minorEastAsia" w:hAnsiTheme="minorHAnsi" w:cstheme="minorBidi"/>
            <w:noProof/>
            <w:sz w:val="22"/>
            <w:szCs w:val="22"/>
          </w:rPr>
          <w:tab/>
        </w:r>
        <w:r w:rsidRPr="00CD0B56">
          <w:rPr>
            <w:rStyle w:val="Hyperlink"/>
            <w:noProof/>
          </w:rPr>
          <w:t>Part 1 Section 17.16.12, default (Default Checkbox Form Field State)</w:t>
        </w:r>
        <w:r>
          <w:rPr>
            <w:noProof/>
            <w:webHidden/>
          </w:rPr>
          <w:tab/>
        </w:r>
        <w:r>
          <w:rPr>
            <w:noProof/>
            <w:webHidden/>
          </w:rPr>
          <w:fldChar w:fldCharType="begin"/>
        </w:r>
        <w:r>
          <w:rPr>
            <w:noProof/>
            <w:webHidden/>
          </w:rPr>
          <w:instrText xml:space="preserve"> PAGEREF _Toc12260585 \h </w:instrText>
        </w:r>
        <w:r>
          <w:rPr>
            <w:noProof/>
            <w:webHidden/>
          </w:rPr>
        </w:r>
        <w:r>
          <w:rPr>
            <w:noProof/>
            <w:webHidden/>
          </w:rPr>
          <w:fldChar w:fldCharType="separate"/>
        </w:r>
        <w:r>
          <w:rPr>
            <w:noProof/>
            <w:webHidden/>
          </w:rPr>
          <w:t>225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86" w:history="1">
        <w:r w:rsidRPr="00CD0B56">
          <w:rPr>
            <w:rStyle w:val="Hyperlink"/>
            <w:noProof/>
          </w:rPr>
          <w:t>2.1.518</w:t>
        </w:r>
        <w:r>
          <w:rPr>
            <w:rFonts w:asciiTheme="minorHAnsi" w:eastAsiaTheme="minorEastAsia" w:hAnsiTheme="minorHAnsi" w:cstheme="minorBidi"/>
            <w:noProof/>
            <w:sz w:val="22"/>
            <w:szCs w:val="22"/>
          </w:rPr>
          <w:tab/>
        </w:r>
        <w:r w:rsidRPr="00CD0B56">
          <w:rPr>
            <w:rStyle w:val="Hyperlink"/>
            <w:noProof/>
          </w:rPr>
          <w:t>Part 1 Section 17.16.17, ffData (Form Field Properties)</w:t>
        </w:r>
        <w:r>
          <w:rPr>
            <w:noProof/>
            <w:webHidden/>
          </w:rPr>
          <w:tab/>
        </w:r>
        <w:r>
          <w:rPr>
            <w:noProof/>
            <w:webHidden/>
          </w:rPr>
          <w:fldChar w:fldCharType="begin"/>
        </w:r>
        <w:r>
          <w:rPr>
            <w:noProof/>
            <w:webHidden/>
          </w:rPr>
          <w:instrText xml:space="preserve"> PAGEREF _Toc12260586 \h </w:instrText>
        </w:r>
        <w:r>
          <w:rPr>
            <w:noProof/>
            <w:webHidden/>
          </w:rPr>
        </w:r>
        <w:r>
          <w:rPr>
            <w:noProof/>
            <w:webHidden/>
          </w:rPr>
          <w:fldChar w:fldCharType="separate"/>
        </w:r>
        <w:r>
          <w:rPr>
            <w:noProof/>
            <w:webHidden/>
          </w:rPr>
          <w:t>225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87" w:history="1">
        <w:r w:rsidRPr="00CD0B56">
          <w:rPr>
            <w:rStyle w:val="Hyperlink"/>
            <w:noProof/>
          </w:rPr>
          <w:t>2.1.519</w:t>
        </w:r>
        <w:r>
          <w:rPr>
            <w:rFonts w:asciiTheme="minorHAnsi" w:eastAsiaTheme="minorEastAsia" w:hAnsiTheme="minorHAnsi" w:cstheme="minorBidi"/>
            <w:noProof/>
            <w:sz w:val="22"/>
            <w:szCs w:val="22"/>
          </w:rPr>
          <w:tab/>
        </w:r>
        <w:r w:rsidRPr="00CD0B56">
          <w:rPr>
            <w:rStyle w:val="Hyperlink"/>
            <w:noProof/>
          </w:rPr>
          <w:t>Part 1 Section 17.16.19, fldSimple (Simple Field)</w:t>
        </w:r>
        <w:r>
          <w:rPr>
            <w:noProof/>
            <w:webHidden/>
          </w:rPr>
          <w:tab/>
        </w:r>
        <w:r>
          <w:rPr>
            <w:noProof/>
            <w:webHidden/>
          </w:rPr>
          <w:fldChar w:fldCharType="begin"/>
        </w:r>
        <w:r>
          <w:rPr>
            <w:noProof/>
            <w:webHidden/>
          </w:rPr>
          <w:instrText xml:space="preserve"> PAGEREF _Toc12260587 \h </w:instrText>
        </w:r>
        <w:r>
          <w:rPr>
            <w:noProof/>
            <w:webHidden/>
          </w:rPr>
        </w:r>
        <w:r>
          <w:rPr>
            <w:noProof/>
            <w:webHidden/>
          </w:rPr>
          <w:fldChar w:fldCharType="separate"/>
        </w:r>
        <w:r>
          <w:rPr>
            <w:noProof/>
            <w:webHidden/>
          </w:rPr>
          <w:t>225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88" w:history="1">
        <w:r w:rsidRPr="00CD0B56">
          <w:rPr>
            <w:rStyle w:val="Hyperlink"/>
            <w:noProof/>
          </w:rPr>
          <w:t>2.1.520</w:t>
        </w:r>
        <w:r>
          <w:rPr>
            <w:rFonts w:asciiTheme="minorHAnsi" w:eastAsiaTheme="minorEastAsia" w:hAnsiTheme="minorHAnsi" w:cstheme="minorBidi"/>
            <w:noProof/>
            <w:sz w:val="22"/>
            <w:szCs w:val="22"/>
          </w:rPr>
          <w:tab/>
        </w:r>
        <w:r w:rsidRPr="00CD0B56">
          <w:rPr>
            <w:rStyle w:val="Hyperlink"/>
            <w:noProof/>
          </w:rPr>
          <w:t>Part 1 Section 17.16.20, format (Text Box Form Field Formatting)</w:t>
        </w:r>
        <w:r>
          <w:rPr>
            <w:noProof/>
            <w:webHidden/>
          </w:rPr>
          <w:tab/>
        </w:r>
        <w:r>
          <w:rPr>
            <w:noProof/>
            <w:webHidden/>
          </w:rPr>
          <w:fldChar w:fldCharType="begin"/>
        </w:r>
        <w:r>
          <w:rPr>
            <w:noProof/>
            <w:webHidden/>
          </w:rPr>
          <w:instrText xml:space="preserve"> PAGEREF _Toc12260588 \h </w:instrText>
        </w:r>
        <w:r>
          <w:rPr>
            <w:noProof/>
            <w:webHidden/>
          </w:rPr>
        </w:r>
        <w:r>
          <w:rPr>
            <w:noProof/>
            <w:webHidden/>
          </w:rPr>
          <w:fldChar w:fldCharType="separate"/>
        </w:r>
        <w:r>
          <w:rPr>
            <w:noProof/>
            <w:webHidden/>
          </w:rPr>
          <w:t>225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89" w:history="1">
        <w:r w:rsidRPr="00CD0B56">
          <w:rPr>
            <w:rStyle w:val="Hyperlink"/>
            <w:noProof/>
          </w:rPr>
          <w:t>2.1.521</w:t>
        </w:r>
        <w:r>
          <w:rPr>
            <w:rFonts w:asciiTheme="minorHAnsi" w:eastAsiaTheme="minorEastAsia" w:hAnsiTheme="minorHAnsi" w:cstheme="minorBidi"/>
            <w:noProof/>
            <w:sz w:val="22"/>
            <w:szCs w:val="22"/>
          </w:rPr>
          <w:tab/>
        </w:r>
        <w:r w:rsidRPr="00CD0B56">
          <w:rPr>
            <w:rStyle w:val="Hyperlink"/>
            <w:noProof/>
          </w:rPr>
          <w:t>Part 1 Section 17.16.22, hyperlink (Hyperlink)</w:t>
        </w:r>
        <w:r>
          <w:rPr>
            <w:noProof/>
            <w:webHidden/>
          </w:rPr>
          <w:tab/>
        </w:r>
        <w:r>
          <w:rPr>
            <w:noProof/>
            <w:webHidden/>
          </w:rPr>
          <w:fldChar w:fldCharType="begin"/>
        </w:r>
        <w:r>
          <w:rPr>
            <w:noProof/>
            <w:webHidden/>
          </w:rPr>
          <w:instrText xml:space="preserve"> PAGEREF _Toc12260589 \h </w:instrText>
        </w:r>
        <w:r>
          <w:rPr>
            <w:noProof/>
            <w:webHidden/>
          </w:rPr>
        </w:r>
        <w:r>
          <w:rPr>
            <w:noProof/>
            <w:webHidden/>
          </w:rPr>
          <w:fldChar w:fldCharType="separate"/>
        </w:r>
        <w:r>
          <w:rPr>
            <w:noProof/>
            <w:webHidden/>
          </w:rPr>
          <w:t>225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90" w:history="1">
        <w:r w:rsidRPr="00CD0B56">
          <w:rPr>
            <w:rStyle w:val="Hyperlink"/>
            <w:noProof/>
          </w:rPr>
          <w:t>2.1.522</w:t>
        </w:r>
        <w:r>
          <w:rPr>
            <w:rFonts w:asciiTheme="minorHAnsi" w:eastAsiaTheme="minorEastAsia" w:hAnsiTheme="minorHAnsi" w:cstheme="minorBidi"/>
            <w:noProof/>
            <w:sz w:val="22"/>
            <w:szCs w:val="22"/>
          </w:rPr>
          <w:tab/>
        </w:r>
        <w:r w:rsidRPr="00CD0B56">
          <w:rPr>
            <w:rStyle w:val="Hyperlink"/>
            <w:noProof/>
          </w:rPr>
          <w:t>Part 1 Section 17.16.24, label (Form Field Label)</w:t>
        </w:r>
        <w:r>
          <w:rPr>
            <w:noProof/>
            <w:webHidden/>
          </w:rPr>
          <w:tab/>
        </w:r>
        <w:r>
          <w:rPr>
            <w:noProof/>
            <w:webHidden/>
          </w:rPr>
          <w:fldChar w:fldCharType="begin"/>
        </w:r>
        <w:r>
          <w:rPr>
            <w:noProof/>
            <w:webHidden/>
          </w:rPr>
          <w:instrText xml:space="preserve"> PAGEREF _Toc12260590 \h </w:instrText>
        </w:r>
        <w:r>
          <w:rPr>
            <w:noProof/>
            <w:webHidden/>
          </w:rPr>
        </w:r>
        <w:r>
          <w:rPr>
            <w:noProof/>
            <w:webHidden/>
          </w:rPr>
          <w:fldChar w:fldCharType="separate"/>
        </w:r>
        <w:r>
          <w:rPr>
            <w:noProof/>
            <w:webHidden/>
          </w:rPr>
          <w:t>226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91" w:history="1">
        <w:r w:rsidRPr="00CD0B56">
          <w:rPr>
            <w:rStyle w:val="Hyperlink"/>
            <w:noProof/>
          </w:rPr>
          <w:t>2.1.523</w:t>
        </w:r>
        <w:r>
          <w:rPr>
            <w:rFonts w:asciiTheme="minorHAnsi" w:eastAsiaTheme="minorEastAsia" w:hAnsiTheme="minorHAnsi" w:cstheme="minorBidi"/>
            <w:noProof/>
            <w:sz w:val="22"/>
            <w:szCs w:val="22"/>
          </w:rPr>
          <w:tab/>
        </w:r>
        <w:r w:rsidRPr="00CD0B56">
          <w:rPr>
            <w:rStyle w:val="Hyperlink"/>
            <w:noProof/>
          </w:rPr>
          <w:t>Part 1 Section 17.16.25, listEntry (Drop-Down List Entry)</w:t>
        </w:r>
        <w:r>
          <w:rPr>
            <w:noProof/>
            <w:webHidden/>
          </w:rPr>
          <w:tab/>
        </w:r>
        <w:r>
          <w:rPr>
            <w:noProof/>
            <w:webHidden/>
          </w:rPr>
          <w:fldChar w:fldCharType="begin"/>
        </w:r>
        <w:r>
          <w:rPr>
            <w:noProof/>
            <w:webHidden/>
          </w:rPr>
          <w:instrText xml:space="preserve"> PAGEREF _Toc12260591 \h </w:instrText>
        </w:r>
        <w:r>
          <w:rPr>
            <w:noProof/>
            <w:webHidden/>
          </w:rPr>
        </w:r>
        <w:r>
          <w:rPr>
            <w:noProof/>
            <w:webHidden/>
          </w:rPr>
          <w:fldChar w:fldCharType="separate"/>
        </w:r>
        <w:r>
          <w:rPr>
            <w:noProof/>
            <w:webHidden/>
          </w:rPr>
          <w:t>226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92" w:history="1">
        <w:r w:rsidRPr="00CD0B56">
          <w:rPr>
            <w:rStyle w:val="Hyperlink"/>
            <w:noProof/>
          </w:rPr>
          <w:t>2.1.524</w:t>
        </w:r>
        <w:r>
          <w:rPr>
            <w:rFonts w:asciiTheme="minorHAnsi" w:eastAsiaTheme="minorEastAsia" w:hAnsiTheme="minorHAnsi" w:cstheme="minorBidi"/>
            <w:noProof/>
            <w:sz w:val="22"/>
            <w:szCs w:val="22"/>
          </w:rPr>
          <w:tab/>
        </w:r>
        <w:r w:rsidRPr="00CD0B56">
          <w:rPr>
            <w:rStyle w:val="Hyperlink"/>
            <w:noProof/>
          </w:rPr>
          <w:t>Part 1 Section 17.16.26, maxLength (Text Box Form Field Maximum Length)</w:t>
        </w:r>
        <w:r>
          <w:rPr>
            <w:noProof/>
            <w:webHidden/>
          </w:rPr>
          <w:tab/>
        </w:r>
        <w:r>
          <w:rPr>
            <w:noProof/>
            <w:webHidden/>
          </w:rPr>
          <w:fldChar w:fldCharType="begin"/>
        </w:r>
        <w:r>
          <w:rPr>
            <w:noProof/>
            <w:webHidden/>
          </w:rPr>
          <w:instrText xml:space="preserve"> PAGEREF _Toc12260592 \h </w:instrText>
        </w:r>
        <w:r>
          <w:rPr>
            <w:noProof/>
            <w:webHidden/>
          </w:rPr>
        </w:r>
        <w:r>
          <w:rPr>
            <w:noProof/>
            <w:webHidden/>
          </w:rPr>
          <w:fldChar w:fldCharType="separate"/>
        </w:r>
        <w:r>
          <w:rPr>
            <w:noProof/>
            <w:webHidden/>
          </w:rPr>
          <w:t>226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93" w:history="1">
        <w:r w:rsidRPr="00CD0B56">
          <w:rPr>
            <w:rStyle w:val="Hyperlink"/>
            <w:noProof/>
          </w:rPr>
          <w:t>2.1.525</w:t>
        </w:r>
        <w:r>
          <w:rPr>
            <w:rFonts w:asciiTheme="minorHAnsi" w:eastAsiaTheme="minorEastAsia" w:hAnsiTheme="minorHAnsi" w:cstheme="minorBidi"/>
            <w:noProof/>
            <w:sz w:val="22"/>
            <w:szCs w:val="22"/>
          </w:rPr>
          <w:tab/>
        </w:r>
        <w:r w:rsidRPr="00CD0B56">
          <w:rPr>
            <w:rStyle w:val="Hyperlink"/>
            <w:noProof/>
          </w:rPr>
          <w:t>Part 1 Section 17.16.32, tabIndex (Form Field Navigation Order Index)</w:t>
        </w:r>
        <w:r>
          <w:rPr>
            <w:noProof/>
            <w:webHidden/>
          </w:rPr>
          <w:tab/>
        </w:r>
        <w:r>
          <w:rPr>
            <w:noProof/>
            <w:webHidden/>
          </w:rPr>
          <w:fldChar w:fldCharType="begin"/>
        </w:r>
        <w:r>
          <w:rPr>
            <w:noProof/>
            <w:webHidden/>
          </w:rPr>
          <w:instrText xml:space="preserve"> PAGEREF _Toc12260593 \h </w:instrText>
        </w:r>
        <w:r>
          <w:rPr>
            <w:noProof/>
            <w:webHidden/>
          </w:rPr>
        </w:r>
        <w:r>
          <w:rPr>
            <w:noProof/>
            <w:webHidden/>
          </w:rPr>
          <w:fldChar w:fldCharType="separate"/>
        </w:r>
        <w:r>
          <w:rPr>
            <w:noProof/>
            <w:webHidden/>
          </w:rPr>
          <w:t>226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94" w:history="1">
        <w:r w:rsidRPr="00CD0B56">
          <w:rPr>
            <w:rStyle w:val="Hyperlink"/>
            <w:noProof/>
          </w:rPr>
          <w:t>2.1.526</w:t>
        </w:r>
        <w:r>
          <w:rPr>
            <w:rFonts w:asciiTheme="minorHAnsi" w:eastAsiaTheme="minorEastAsia" w:hAnsiTheme="minorHAnsi" w:cstheme="minorBidi"/>
            <w:noProof/>
            <w:sz w:val="22"/>
            <w:szCs w:val="22"/>
          </w:rPr>
          <w:tab/>
        </w:r>
        <w:r w:rsidRPr="00CD0B56">
          <w:rPr>
            <w:rStyle w:val="Hyperlink"/>
            <w:noProof/>
          </w:rPr>
          <w:t>Part 1 Section 17.17.1.1, subDoc (Anchor for Subdocument Location)</w:t>
        </w:r>
        <w:r>
          <w:rPr>
            <w:noProof/>
            <w:webHidden/>
          </w:rPr>
          <w:tab/>
        </w:r>
        <w:r>
          <w:rPr>
            <w:noProof/>
            <w:webHidden/>
          </w:rPr>
          <w:fldChar w:fldCharType="begin"/>
        </w:r>
        <w:r>
          <w:rPr>
            <w:noProof/>
            <w:webHidden/>
          </w:rPr>
          <w:instrText xml:space="preserve"> PAGEREF _Toc12260594 \h </w:instrText>
        </w:r>
        <w:r>
          <w:rPr>
            <w:noProof/>
            <w:webHidden/>
          </w:rPr>
        </w:r>
        <w:r>
          <w:rPr>
            <w:noProof/>
            <w:webHidden/>
          </w:rPr>
          <w:fldChar w:fldCharType="separate"/>
        </w:r>
        <w:r>
          <w:rPr>
            <w:noProof/>
            <w:webHidden/>
          </w:rPr>
          <w:t>226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95" w:history="1">
        <w:r w:rsidRPr="00CD0B56">
          <w:rPr>
            <w:rStyle w:val="Hyperlink"/>
            <w:noProof/>
          </w:rPr>
          <w:t>2.1.527</w:t>
        </w:r>
        <w:r>
          <w:rPr>
            <w:rFonts w:asciiTheme="minorHAnsi" w:eastAsiaTheme="minorEastAsia" w:hAnsiTheme="minorHAnsi" w:cstheme="minorBidi"/>
            <w:noProof/>
            <w:sz w:val="22"/>
            <w:szCs w:val="22"/>
          </w:rPr>
          <w:tab/>
        </w:r>
        <w:r w:rsidRPr="00CD0B56">
          <w:rPr>
            <w:rStyle w:val="Hyperlink"/>
            <w:noProof/>
          </w:rPr>
          <w:t>Part 1 Section 17.17.2.1, altChunk (Anchor for Imported External Content)</w:t>
        </w:r>
        <w:r>
          <w:rPr>
            <w:noProof/>
            <w:webHidden/>
          </w:rPr>
          <w:tab/>
        </w:r>
        <w:r>
          <w:rPr>
            <w:noProof/>
            <w:webHidden/>
          </w:rPr>
          <w:fldChar w:fldCharType="begin"/>
        </w:r>
        <w:r>
          <w:rPr>
            <w:noProof/>
            <w:webHidden/>
          </w:rPr>
          <w:instrText xml:space="preserve"> PAGEREF _Toc12260595 \h </w:instrText>
        </w:r>
        <w:r>
          <w:rPr>
            <w:noProof/>
            <w:webHidden/>
          </w:rPr>
        </w:r>
        <w:r>
          <w:rPr>
            <w:noProof/>
            <w:webHidden/>
          </w:rPr>
          <w:fldChar w:fldCharType="separate"/>
        </w:r>
        <w:r>
          <w:rPr>
            <w:noProof/>
            <w:webHidden/>
          </w:rPr>
          <w:t>226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96" w:history="1">
        <w:r w:rsidRPr="00CD0B56">
          <w:rPr>
            <w:rStyle w:val="Hyperlink"/>
            <w:noProof/>
          </w:rPr>
          <w:t>2.1.528</w:t>
        </w:r>
        <w:r>
          <w:rPr>
            <w:rFonts w:asciiTheme="minorHAnsi" w:eastAsiaTheme="minorEastAsia" w:hAnsiTheme="minorHAnsi" w:cstheme="minorBidi"/>
            <w:noProof/>
            <w:sz w:val="22"/>
            <w:szCs w:val="22"/>
          </w:rPr>
          <w:tab/>
        </w:r>
        <w:r w:rsidRPr="00CD0B56">
          <w:rPr>
            <w:rStyle w:val="Hyperlink"/>
            <w:noProof/>
          </w:rPr>
          <w:t>Part 1 Section 17.18.2, ST_Border (Border Styles)</w:t>
        </w:r>
        <w:r>
          <w:rPr>
            <w:noProof/>
            <w:webHidden/>
          </w:rPr>
          <w:tab/>
        </w:r>
        <w:r>
          <w:rPr>
            <w:noProof/>
            <w:webHidden/>
          </w:rPr>
          <w:fldChar w:fldCharType="begin"/>
        </w:r>
        <w:r>
          <w:rPr>
            <w:noProof/>
            <w:webHidden/>
          </w:rPr>
          <w:instrText xml:space="preserve"> PAGEREF _Toc12260596 \h </w:instrText>
        </w:r>
        <w:r>
          <w:rPr>
            <w:noProof/>
            <w:webHidden/>
          </w:rPr>
        </w:r>
        <w:r>
          <w:rPr>
            <w:noProof/>
            <w:webHidden/>
          </w:rPr>
          <w:fldChar w:fldCharType="separate"/>
        </w:r>
        <w:r>
          <w:rPr>
            <w:noProof/>
            <w:webHidden/>
          </w:rPr>
          <w:t>227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97" w:history="1">
        <w:r w:rsidRPr="00CD0B56">
          <w:rPr>
            <w:rStyle w:val="Hyperlink"/>
            <w:noProof/>
          </w:rPr>
          <w:t>2.1.529</w:t>
        </w:r>
        <w:r>
          <w:rPr>
            <w:rFonts w:asciiTheme="minorHAnsi" w:eastAsiaTheme="minorEastAsia" w:hAnsiTheme="minorHAnsi" w:cstheme="minorBidi"/>
            <w:noProof/>
            <w:sz w:val="22"/>
            <w:szCs w:val="22"/>
          </w:rPr>
          <w:tab/>
        </w:r>
        <w:r w:rsidRPr="00CD0B56">
          <w:rPr>
            <w:rStyle w:val="Hyperlink"/>
            <w:noProof/>
          </w:rPr>
          <w:t>Part 1 Section 17.18.3, ST_BrClear (Line Break Text Wrapping Restart Location)</w:t>
        </w:r>
        <w:r>
          <w:rPr>
            <w:noProof/>
            <w:webHidden/>
          </w:rPr>
          <w:tab/>
        </w:r>
        <w:r>
          <w:rPr>
            <w:noProof/>
            <w:webHidden/>
          </w:rPr>
          <w:fldChar w:fldCharType="begin"/>
        </w:r>
        <w:r>
          <w:rPr>
            <w:noProof/>
            <w:webHidden/>
          </w:rPr>
          <w:instrText xml:space="preserve"> PAGEREF _Toc12260597 \h </w:instrText>
        </w:r>
        <w:r>
          <w:rPr>
            <w:noProof/>
            <w:webHidden/>
          </w:rPr>
        </w:r>
        <w:r>
          <w:rPr>
            <w:noProof/>
            <w:webHidden/>
          </w:rPr>
          <w:fldChar w:fldCharType="separate"/>
        </w:r>
        <w:r>
          <w:rPr>
            <w:noProof/>
            <w:webHidden/>
          </w:rPr>
          <w:t>227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98" w:history="1">
        <w:r w:rsidRPr="00CD0B56">
          <w:rPr>
            <w:rStyle w:val="Hyperlink"/>
            <w:noProof/>
          </w:rPr>
          <w:t>2.1.530</w:t>
        </w:r>
        <w:r>
          <w:rPr>
            <w:rFonts w:asciiTheme="minorHAnsi" w:eastAsiaTheme="minorEastAsia" w:hAnsiTheme="minorHAnsi" w:cstheme="minorBidi"/>
            <w:noProof/>
            <w:sz w:val="22"/>
            <w:szCs w:val="22"/>
          </w:rPr>
          <w:tab/>
        </w:r>
        <w:r w:rsidRPr="00CD0B56">
          <w:rPr>
            <w:rStyle w:val="Hyperlink"/>
            <w:noProof/>
          </w:rPr>
          <w:t>Part 1 Section 17.18.5, ST_CaptionPos (Automatic Caption Positioning Values)</w:t>
        </w:r>
        <w:r>
          <w:rPr>
            <w:noProof/>
            <w:webHidden/>
          </w:rPr>
          <w:tab/>
        </w:r>
        <w:r>
          <w:rPr>
            <w:noProof/>
            <w:webHidden/>
          </w:rPr>
          <w:fldChar w:fldCharType="begin"/>
        </w:r>
        <w:r>
          <w:rPr>
            <w:noProof/>
            <w:webHidden/>
          </w:rPr>
          <w:instrText xml:space="preserve"> PAGEREF _Toc12260598 \h </w:instrText>
        </w:r>
        <w:r>
          <w:rPr>
            <w:noProof/>
            <w:webHidden/>
          </w:rPr>
        </w:r>
        <w:r>
          <w:rPr>
            <w:noProof/>
            <w:webHidden/>
          </w:rPr>
          <w:fldChar w:fldCharType="separate"/>
        </w:r>
        <w:r>
          <w:rPr>
            <w:noProof/>
            <w:webHidden/>
          </w:rPr>
          <w:t>227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599" w:history="1">
        <w:r w:rsidRPr="00CD0B56">
          <w:rPr>
            <w:rStyle w:val="Hyperlink"/>
            <w:noProof/>
          </w:rPr>
          <w:t>2.1.531</w:t>
        </w:r>
        <w:r>
          <w:rPr>
            <w:rFonts w:asciiTheme="minorHAnsi" w:eastAsiaTheme="minorEastAsia" w:hAnsiTheme="minorHAnsi" w:cstheme="minorBidi"/>
            <w:noProof/>
            <w:sz w:val="22"/>
            <w:szCs w:val="22"/>
          </w:rPr>
          <w:tab/>
        </w:r>
        <w:r w:rsidRPr="00CD0B56">
          <w:rPr>
            <w:rStyle w:val="Hyperlink"/>
            <w:noProof/>
          </w:rPr>
          <w:t>Part 1 Section 17.18.7, ST_CharacterSpacing (Character-Level Whitespace Compression Settings)</w:t>
        </w:r>
        <w:r>
          <w:rPr>
            <w:noProof/>
            <w:webHidden/>
          </w:rPr>
          <w:tab/>
        </w:r>
        <w:r>
          <w:rPr>
            <w:noProof/>
            <w:webHidden/>
          </w:rPr>
          <w:fldChar w:fldCharType="begin"/>
        </w:r>
        <w:r>
          <w:rPr>
            <w:noProof/>
            <w:webHidden/>
          </w:rPr>
          <w:instrText xml:space="preserve"> PAGEREF _Toc12260599 \h </w:instrText>
        </w:r>
        <w:r>
          <w:rPr>
            <w:noProof/>
            <w:webHidden/>
          </w:rPr>
        </w:r>
        <w:r>
          <w:rPr>
            <w:noProof/>
            <w:webHidden/>
          </w:rPr>
          <w:fldChar w:fldCharType="separate"/>
        </w:r>
        <w:r>
          <w:rPr>
            <w:noProof/>
            <w:webHidden/>
          </w:rPr>
          <w:t>227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00" w:history="1">
        <w:r w:rsidRPr="00CD0B56">
          <w:rPr>
            <w:rStyle w:val="Hyperlink"/>
            <w:noProof/>
          </w:rPr>
          <w:t>2.1.532</w:t>
        </w:r>
        <w:r>
          <w:rPr>
            <w:rFonts w:asciiTheme="minorHAnsi" w:eastAsiaTheme="minorEastAsia" w:hAnsiTheme="minorHAnsi" w:cstheme="minorBidi"/>
            <w:noProof/>
            <w:sz w:val="22"/>
            <w:szCs w:val="22"/>
          </w:rPr>
          <w:tab/>
        </w:r>
        <w:r w:rsidRPr="00CD0B56">
          <w:rPr>
            <w:rStyle w:val="Hyperlink"/>
            <w:noProof/>
          </w:rPr>
          <w:t>Part 1 Section 17.18.10, ST_DecimalNumber (Decimal Number Value)</w:t>
        </w:r>
        <w:r>
          <w:rPr>
            <w:noProof/>
            <w:webHidden/>
          </w:rPr>
          <w:tab/>
        </w:r>
        <w:r>
          <w:rPr>
            <w:noProof/>
            <w:webHidden/>
          </w:rPr>
          <w:fldChar w:fldCharType="begin"/>
        </w:r>
        <w:r>
          <w:rPr>
            <w:noProof/>
            <w:webHidden/>
          </w:rPr>
          <w:instrText xml:space="preserve"> PAGEREF _Toc12260600 \h </w:instrText>
        </w:r>
        <w:r>
          <w:rPr>
            <w:noProof/>
            <w:webHidden/>
          </w:rPr>
        </w:r>
        <w:r>
          <w:rPr>
            <w:noProof/>
            <w:webHidden/>
          </w:rPr>
          <w:fldChar w:fldCharType="separate"/>
        </w:r>
        <w:r>
          <w:rPr>
            <w:noProof/>
            <w:webHidden/>
          </w:rPr>
          <w:t>227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01" w:history="1">
        <w:r w:rsidRPr="00CD0B56">
          <w:rPr>
            <w:rStyle w:val="Hyperlink"/>
            <w:noProof/>
          </w:rPr>
          <w:t>2.1.533</w:t>
        </w:r>
        <w:r>
          <w:rPr>
            <w:rFonts w:asciiTheme="minorHAnsi" w:eastAsiaTheme="minorEastAsia" w:hAnsiTheme="minorHAnsi" w:cstheme="minorBidi"/>
            <w:noProof/>
            <w:sz w:val="22"/>
            <w:szCs w:val="22"/>
          </w:rPr>
          <w:tab/>
        </w:r>
        <w:r w:rsidRPr="00CD0B56">
          <w:rPr>
            <w:rStyle w:val="Hyperlink"/>
            <w:noProof/>
          </w:rPr>
          <w:t>Part 1 Section 17.18.13, ST_DisplacedByCustomXml (Location of Custom XML Markup Displacing an Annotation)</w:t>
        </w:r>
        <w:r>
          <w:rPr>
            <w:noProof/>
            <w:webHidden/>
          </w:rPr>
          <w:tab/>
        </w:r>
        <w:r>
          <w:rPr>
            <w:noProof/>
            <w:webHidden/>
          </w:rPr>
          <w:fldChar w:fldCharType="begin"/>
        </w:r>
        <w:r>
          <w:rPr>
            <w:noProof/>
            <w:webHidden/>
          </w:rPr>
          <w:instrText xml:space="preserve"> PAGEREF _Toc12260601 \h </w:instrText>
        </w:r>
        <w:r>
          <w:rPr>
            <w:noProof/>
            <w:webHidden/>
          </w:rPr>
        </w:r>
        <w:r>
          <w:rPr>
            <w:noProof/>
            <w:webHidden/>
          </w:rPr>
          <w:fldChar w:fldCharType="separate"/>
        </w:r>
        <w:r>
          <w:rPr>
            <w:noProof/>
            <w:webHidden/>
          </w:rPr>
          <w:t>228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02" w:history="1">
        <w:r w:rsidRPr="00CD0B56">
          <w:rPr>
            <w:rStyle w:val="Hyperlink"/>
            <w:noProof/>
          </w:rPr>
          <w:t>2.1.534</w:t>
        </w:r>
        <w:r>
          <w:rPr>
            <w:rFonts w:asciiTheme="minorHAnsi" w:eastAsiaTheme="minorEastAsia" w:hAnsiTheme="minorHAnsi" w:cstheme="minorBidi"/>
            <w:noProof/>
            <w:sz w:val="22"/>
            <w:szCs w:val="22"/>
          </w:rPr>
          <w:tab/>
        </w:r>
        <w:r w:rsidRPr="00CD0B56">
          <w:rPr>
            <w:rStyle w:val="Hyperlink"/>
            <w:noProof/>
          </w:rPr>
          <w:t>Part 1 Section 17.18.14, ST_DocGrid (Document Grid Types)</w:t>
        </w:r>
        <w:r>
          <w:rPr>
            <w:noProof/>
            <w:webHidden/>
          </w:rPr>
          <w:tab/>
        </w:r>
        <w:r>
          <w:rPr>
            <w:noProof/>
            <w:webHidden/>
          </w:rPr>
          <w:fldChar w:fldCharType="begin"/>
        </w:r>
        <w:r>
          <w:rPr>
            <w:noProof/>
            <w:webHidden/>
          </w:rPr>
          <w:instrText xml:space="preserve"> PAGEREF _Toc12260602 \h </w:instrText>
        </w:r>
        <w:r>
          <w:rPr>
            <w:noProof/>
            <w:webHidden/>
          </w:rPr>
        </w:r>
        <w:r>
          <w:rPr>
            <w:noProof/>
            <w:webHidden/>
          </w:rPr>
          <w:fldChar w:fldCharType="separate"/>
        </w:r>
        <w:r>
          <w:rPr>
            <w:noProof/>
            <w:webHidden/>
          </w:rPr>
          <w:t>228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03" w:history="1">
        <w:r w:rsidRPr="00CD0B56">
          <w:rPr>
            <w:rStyle w:val="Hyperlink"/>
            <w:noProof/>
          </w:rPr>
          <w:t>2.1.535</w:t>
        </w:r>
        <w:r>
          <w:rPr>
            <w:rFonts w:asciiTheme="minorHAnsi" w:eastAsiaTheme="minorEastAsia" w:hAnsiTheme="minorHAnsi" w:cstheme="minorBidi"/>
            <w:noProof/>
            <w:sz w:val="22"/>
            <w:szCs w:val="22"/>
          </w:rPr>
          <w:tab/>
        </w:r>
        <w:r w:rsidRPr="00CD0B56">
          <w:rPr>
            <w:rStyle w:val="Hyperlink"/>
            <w:noProof/>
          </w:rPr>
          <w:t>Part 1 Section 17.18.15, ST_DocPartBehavior (Insertion Behavior Types)</w:t>
        </w:r>
        <w:r>
          <w:rPr>
            <w:noProof/>
            <w:webHidden/>
          </w:rPr>
          <w:tab/>
        </w:r>
        <w:r>
          <w:rPr>
            <w:noProof/>
            <w:webHidden/>
          </w:rPr>
          <w:fldChar w:fldCharType="begin"/>
        </w:r>
        <w:r>
          <w:rPr>
            <w:noProof/>
            <w:webHidden/>
          </w:rPr>
          <w:instrText xml:space="preserve"> PAGEREF _Toc12260603 \h </w:instrText>
        </w:r>
        <w:r>
          <w:rPr>
            <w:noProof/>
            <w:webHidden/>
          </w:rPr>
        </w:r>
        <w:r>
          <w:rPr>
            <w:noProof/>
            <w:webHidden/>
          </w:rPr>
          <w:fldChar w:fldCharType="separate"/>
        </w:r>
        <w:r>
          <w:rPr>
            <w:noProof/>
            <w:webHidden/>
          </w:rPr>
          <w:t>228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04" w:history="1">
        <w:r w:rsidRPr="00CD0B56">
          <w:rPr>
            <w:rStyle w:val="Hyperlink"/>
            <w:noProof/>
          </w:rPr>
          <w:t>2.1.536</w:t>
        </w:r>
        <w:r>
          <w:rPr>
            <w:rFonts w:asciiTheme="minorHAnsi" w:eastAsiaTheme="minorEastAsia" w:hAnsiTheme="minorHAnsi" w:cstheme="minorBidi"/>
            <w:noProof/>
            <w:sz w:val="22"/>
            <w:szCs w:val="22"/>
          </w:rPr>
          <w:tab/>
        </w:r>
        <w:r w:rsidRPr="00CD0B56">
          <w:rPr>
            <w:rStyle w:val="Hyperlink"/>
            <w:noProof/>
          </w:rPr>
          <w:t>Part 1 Section 17.18.24, ST_Em (Emphasis Mark Type)</w:t>
        </w:r>
        <w:r>
          <w:rPr>
            <w:noProof/>
            <w:webHidden/>
          </w:rPr>
          <w:tab/>
        </w:r>
        <w:r>
          <w:rPr>
            <w:noProof/>
            <w:webHidden/>
          </w:rPr>
          <w:fldChar w:fldCharType="begin"/>
        </w:r>
        <w:r>
          <w:rPr>
            <w:noProof/>
            <w:webHidden/>
          </w:rPr>
          <w:instrText xml:space="preserve"> PAGEREF _Toc12260604 \h </w:instrText>
        </w:r>
        <w:r>
          <w:rPr>
            <w:noProof/>
            <w:webHidden/>
          </w:rPr>
        </w:r>
        <w:r>
          <w:rPr>
            <w:noProof/>
            <w:webHidden/>
          </w:rPr>
          <w:fldChar w:fldCharType="separate"/>
        </w:r>
        <w:r>
          <w:rPr>
            <w:noProof/>
            <w:webHidden/>
          </w:rPr>
          <w:t>228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05" w:history="1">
        <w:r w:rsidRPr="00CD0B56">
          <w:rPr>
            <w:rStyle w:val="Hyperlink"/>
            <w:noProof/>
          </w:rPr>
          <w:t>2.1.537</w:t>
        </w:r>
        <w:r>
          <w:rPr>
            <w:rFonts w:asciiTheme="minorHAnsi" w:eastAsiaTheme="minorEastAsia" w:hAnsiTheme="minorHAnsi" w:cstheme="minorBidi"/>
            <w:noProof/>
            <w:sz w:val="22"/>
            <w:szCs w:val="22"/>
          </w:rPr>
          <w:tab/>
        </w:r>
        <w:r w:rsidRPr="00CD0B56">
          <w:rPr>
            <w:rStyle w:val="Hyperlink"/>
            <w:noProof/>
          </w:rPr>
          <w:t>Part 1 Section 17.18.25, ST_FFHelpTextVal (Help Text Value)</w:t>
        </w:r>
        <w:r>
          <w:rPr>
            <w:noProof/>
            <w:webHidden/>
          </w:rPr>
          <w:tab/>
        </w:r>
        <w:r>
          <w:rPr>
            <w:noProof/>
            <w:webHidden/>
          </w:rPr>
          <w:fldChar w:fldCharType="begin"/>
        </w:r>
        <w:r>
          <w:rPr>
            <w:noProof/>
            <w:webHidden/>
          </w:rPr>
          <w:instrText xml:space="preserve"> PAGEREF _Toc12260605 \h </w:instrText>
        </w:r>
        <w:r>
          <w:rPr>
            <w:noProof/>
            <w:webHidden/>
          </w:rPr>
        </w:r>
        <w:r>
          <w:rPr>
            <w:noProof/>
            <w:webHidden/>
          </w:rPr>
          <w:fldChar w:fldCharType="separate"/>
        </w:r>
        <w:r>
          <w:rPr>
            <w:noProof/>
            <w:webHidden/>
          </w:rPr>
          <w:t>229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06" w:history="1">
        <w:r w:rsidRPr="00CD0B56">
          <w:rPr>
            <w:rStyle w:val="Hyperlink"/>
            <w:noProof/>
          </w:rPr>
          <w:t>2.1.538</w:t>
        </w:r>
        <w:r>
          <w:rPr>
            <w:rFonts w:asciiTheme="minorHAnsi" w:eastAsiaTheme="minorEastAsia" w:hAnsiTheme="minorHAnsi" w:cstheme="minorBidi"/>
            <w:noProof/>
            <w:sz w:val="22"/>
            <w:szCs w:val="22"/>
          </w:rPr>
          <w:tab/>
        </w:r>
        <w:r w:rsidRPr="00CD0B56">
          <w:rPr>
            <w:rStyle w:val="Hyperlink"/>
            <w:noProof/>
          </w:rPr>
          <w:t>Part 1 Section 17.18.26, ST_FFName (Form Field Name Value)</w:t>
        </w:r>
        <w:r>
          <w:rPr>
            <w:noProof/>
            <w:webHidden/>
          </w:rPr>
          <w:tab/>
        </w:r>
        <w:r>
          <w:rPr>
            <w:noProof/>
            <w:webHidden/>
          </w:rPr>
          <w:fldChar w:fldCharType="begin"/>
        </w:r>
        <w:r>
          <w:rPr>
            <w:noProof/>
            <w:webHidden/>
          </w:rPr>
          <w:instrText xml:space="preserve"> PAGEREF _Toc12260606 \h </w:instrText>
        </w:r>
        <w:r>
          <w:rPr>
            <w:noProof/>
            <w:webHidden/>
          </w:rPr>
        </w:r>
        <w:r>
          <w:rPr>
            <w:noProof/>
            <w:webHidden/>
          </w:rPr>
          <w:fldChar w:fldCharType="separate"/>
        </w:r>
        <w:r>
          <w:rPr>
            <w:noProof/>
            <w:webHidden/>
          </w:rPr>
          <w:t>229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07" w:history="1">
        <w:r w:rsidRPr="00CD0B56">
          <w:rPr>
            <w:rStyle w:val="Hyperlink"/>
            <w:noProof/>
          </w:rPr>
          <w:t>2.1.539</w:t>
        </w:r>
        <w:r>
          <w:rPr>
            <w:rFonts w:asciiTheme="minorHAnsi" w:eastAsiaTheme="minorEastAsia" w:hAnsiTheme="minorHAnsi" w:cstheme="minorBidi"/>
            <w:noProof/>
            <w:sz w:val="22"/>
            <w:szCs w:val="22"/>
          </w:rPr>
          <w:tab/>
        </w:r>
        <w:r w:rsidRPr="00CD0B56">
          <w:rPr>
            <w:rStyle w:val="Hyperlink"/>
            <w:noProof/>
          </w:rPr>
          <w:t>Part 1 Section 17.18.27, ST_FFStatusTextVal (Status Text Value)</w:t>
        </w:r>
        <w:r>
          <w:rPr>
            <w:noProof/>
            <w:webHidden/>
          </w:rPr>
          <w:tab/>
        </w:r>
        <w:r>
          <w:rPr>
            <w:noProof/>
            <w:webHidden/>
          </w:rPr>
          <w:fldChar w:fldCharType="begin"/>
        </w:r>
        <w:r>
          <w:rPr>
            <w:noProof/>
            <w:webHidden/>
          </w:rPr>
          <w:instrText xml:space="preserve"> PAGEREF _Toc12260607 \h </w:instrText>
        </w:r>
        <w:r>
          <w:rPr>
            <w:noProof/>
            <w:webHidden/>
          </w:rPr>
        </w:r>
        <w:r>
          <w:rPr>
            <w:noProof/>
            <w:webHidden/>
          </w:rPr>
          <w:fldChar w:fldCharType="separate"/>
        </w:r>
        <w:r>
          <w:rPr>
            <w:noProof/>
            <w:webHidden/>
          </w:rPr>
          <w:t>229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08" w:history="1">
        <w:r w:rsidRPr="00CD0B56">
          <w:rPr>
            <w:rStyle w:val="Hyperlink"/>
            <w:noProof/>
          </w:rPr>
          <w:t>2.1.540</w:t>
        </w:r>
        <w:r>
          <w:rPr>
            <w:rFonts w:asciiTheme="minorHAnsi" w:eastAsiaTheme="minorEastAsia" w:hAnsiTheme="minorHAnsi" w:cstheme="minorBidi"/>
            <w:noProof/>
            <w:sz w:val="22"/>
            <w:szCs w:val="22"/>
          </w:rPr>
          <w:tab/>
        </w:r>
        <w:r w:rsidRPr="00CD0B56">
          <w:rPr>
            <w:rStyle w:val="Hyperlink"/>
            <w:noProof/>
          </w:rPr>
          <w:t>Part 1 Section 17.18.31, ST_FrameLayout (Frameset Layout Order)</w:t>
        </w:r>
        <w:r>
          <w:rPr>
            <w:noProof/>
            <w:webHidden/>
          </w:rPr>
          <w:tab/>
        </w:r>
        <w:r>
          <w:rPr>
            <w:noProof/>
            <w:webHidden/>
          </w:rPr>
          <w:fldChar w:fldCharType="begin"/>
        </w:r>
        <w:r>
          <w:rPr>
            <w:noProof/>
            <w:webHidden/>
          </w:rPr>
          <w:instrText xml:space="preserve"> PAGEREF _Toc12260608 \h </w:instrText>
        </w:r>
        <w:r>
          <w:rPr>
            <w:noProof/>
            <w:webHidden/>
          </w:rPr>
        </w:r>
        <w:r>
          <w:rPr>
            <w:noProof/>
            <w:webHidden/>
          </w:rPr>
          <w:fldChar w:fldCharType="separate"/>
        </w:r>
        <w:r>
          <w:rPr>
            <w:noProof/>
            <w:webHidden/>
          </w:rPr>
          <w:t>229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09" w:history="1">
        <w:r w:rsidRPr="00CD0B56">
          <w:rPr>
            <w:rStyle w:val="Hyperlink"/>
            <w:noProof/>
          </w:rPr>
          <w:t>2.1.541</w:t>
        </w:r>
        <w:r>
          <w:rPr>
            <w:rFonts w:asciiTheme="minorHAnsi" w:eastAsiaTheme="minorEastAsia" w:hAnsiTheme="minorHAnsi" w:cstheme="minorBidi"/>
            <w:noProof/>
            <w:sz w:val="22"/>
            <w:szCs w:val="22"/>
          </w:rPr>
          <w:tab/>
        </w:r>
        <w:r w:rsidRPr="00CD0B56">
          <w:rPr>
            <w:rStyle w:val="Hyperlink"/>
            <w:noProof/>
          </w:rPr>
          <w:t>Part 1 Section 17.18.34, ST_FtnPos (Footnote Positioning Location)</w:t>
        </w:r>
        <w:r>
          <w:rPr>
            <w:noProof/>
            <w:webHidden/>
          </w:rPr>
          <w:tab/>
        </w:r>
        <w:r>
          <w:rPr>
            <w:noProof/>
            <w:webHidden/>
          </w:rPr>
          <w:fldChar w:fldCharType="begin"/>
        </w:r>
        <w:r>
          <w:rPr>
            <w:noProof/>
            <w:webHidden/>
          </w:rPr>
          <w:instrText xml:space="preserve"> PAGEREF _Toc12260609 \h </w:instrText>
        </w:r>
        <w:r>
          <w:rPr>
            <w:noProof/>
            <w:webHidden/>
          </w:rPr>
        </w:r>
        <w:r>
          <w:rPr>
            <w:noProof/>
            <w:webHidden/>
          </w:rPr>
          <w:fldChar w:fldCharType="separate"/>
        </w:r>
        <w:r>
          <w:rPr>
            <w:noProof/>
            <w:webHidden/>
          </w:rPr>
          <w:t>229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10" w:history="1">
        <w:r w:rsidRPr="00CD0B56">
          <w:rPr>
            <w:rStyle w:val="Hyperlink"/>
            <w:noProof/>
          </w:rPr>
          <w:t>2.1.542</w:t>
        </w:r>
        <w:r>
          <w:rPr>
            <w:rFonts w:asciiTheme="minorHAnsi" w:eastAsiaTheme="minorEastAsia" w:hAnsiTheme="minorHAnsi" w:cstheme="minorBidi"/>
            <w:noProof/>
            <w:sz w:val="22"/>
            <w:szCs w:val="22"/>
          </w:rPr>
          <w:tab/>
        </w:r>
        <w:r w:rsidRPr="00CD0B56">
          <w:rPr>
            <w:rStyle w:val="Hyperlink"/>
            <w:noProof/>
          </w:rPr>
          <w:t>Part 1 Section 17.18.36, ST_HdrFtr (Header or Footer Type)</w:t>
        </w:r>
        <w:r>
          <w:rPr>
            <w:noProof/>
            <w:webHidden/>
          </w:rPr>
          <w:tab/>
        </w:r>
        <w:r>
          <w:rPr>
            <w:noProof/>
            <w:webHidden/>
          </w:rPr>
          <w:fldChar w:fldCharType="begin"/>
        </w:r>
        <w:r>
          <w:rPr>
            <w:noProof/>
            <w:webHidden/>
          </w:rPr>
          <w:instrText xml:space="preserve"> PAGEREF _Toc12260610 \h </w:instrText>
        </w:r>
        <w:r>
          <w:rPr>
            <w:noProof/>
            <w:webHidden/>
          </w:rPr>
        </w:r>
        <w:r>
          <w:rPr>
            <w:noProof/>
            <w:webHidden/>
          </w:rPr>
          <w:fldChar w:fldCharType="separate"/>
        </w:r>
        <w:r>
          <w:rPr>
            <w:noProof/>
            <w:webHidden/>
          </w:rPr>
          <w:t>229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11" w:history="1">
        <w:r w:rsidRPr="00CD0B56">
          <w:rPr>
            <w:rStyle w:val="Hyperlink"/>
            <w:noProof/>
          </w:rPr>
          <w:t>2.1.543</w:t>
        </w:r>
        <w:r>
          <w:rPr>
            <w:rFonts w:asciiTheme="minorHAnsi" w:eastAsiaTheme="minorEastAsia" w:hAnsiTheme="minorHAnsi" w:cstheme="minorBidi"/>
            <w:noProof/>
            <w:sz w:val="22"/>
            <w:szCs w:val="22"/>
          </w:rPr>
          <w:tab/>
        </w:r>
        <w:r w:rsidRPr="00CD0B56">
          <w:rPr>
            <w:rStyle w:val="Hyperlink"/>
            <w:noProof/>
          </w:rPr>
          <w:t>Part 1 Section 17.18.42, ST_HpsMeasure (Measurement in Half-Points)</w:t>
        </w:r>
        <w:r>
          <w:rPr>
            <w:noProof/>
            <w:webHidden/>
          </w:rPr>
          <w:tab/>
        </w:r>
        <w:r>
          <w:rPr>
            <w:noProof/>
            <w:webHidden/>
          </w:rPr>
          <w:fldChar w:fldCharType="begin"/>
        </w:r>
        <w:r>
          <w:rPr>
            <w:noProof/>
            <w:webHidden/>
          </w:rPr>
          <w:instrText xml:space="preserve"> PAGEREF _Toc12260611 \h </w:instrText>
        </w:r>
        <w:r>
          <w:rPr>
            <w:noProof/>
            <w:webHidden/>
          </w:rPr>
        </w:r>
        <w:r>
          <w:rPr>
            <w:noProof/>
            <w:webHidden/>
          </w:rPr>
          <w:fldChar w:fldCharType="separate"/>
        </w:r>
        <w:r>
          <w:rPr>
            <w:noProof/>
            <w:webHidden/>
          </w:rPr>
          <w:t>229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12" w:history="1">
        <w:r w:rsidRPr="00CD0B56">
          <w:rPr>
            <w:rStyle w:val="Hyperlink"/>
            <w:noProof/>
          </w:rPr>
          <w:t>2.1.544</w:t>
        </w:r>
        <w:r>
          <w:rPr>
            <w:rFonts w:asciiTheme="minorHAnsi" w:eastAsiaTheme="minorEastAsia" w:hAnsiTheme="minorHAnsi" w:cstheme="minorBidi"/>
            <w:noProof/>
            <w:sz w:val="22"/>
            <w:szCs w:val="22"/>
          </w:rPr>
          <w:tab/>
        </w:r>
        <w:r w:rsidRPr="00CD0B56">
          <w:rPr>
            <w:rStyle w:val="Hyperlink"/>
            <w:noProof/>
          </w:rPr>
          <w:t>Part 1 Section 17.18.44, ST_Jc (Horizontal Alignment Type)</w:t>
        </w:r>
        <w:r>
          <w:rPr>
            <w:noProof/>
            <w:webHidden/>
          </w:rPr>
          <w:tab/>
        </w:r>
        <w:r>
          <w:rPr>
            <w:noProof/>
            <w:webHidden/>
          </w:rPr>
          <w:fldChar w:fldCharType="begin"/>
        </w:r>
        <w:r>
          <w:rPr>
            <w:noProof/>
            <w:webHidden/>
          </w:rPr>
          <w:instrText xml:space="preserve"> PAGEREF _Toc12260612 \h </w:instrText>
        </w:r>
        <w:r>
          <w:rPr>
            <w:noProof/>
            <w:webHidden/>
          </w:rPr>
        </w:r>
        <w:r>
          <w:rPr>
            <w:noProof/>
            <w:webHidden/>
          </w:rPr>
          <w:fldChar w:fldCharType="separate"/>
        </w:r>
        <w:r>
          <w:rPr>
            <w:noProof/>
            <w:webHidden/>
          </w:rPr>
          <w:t>230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13" w:history="1">
        <w:r w:rsidRPr="00CD0B56">
          <w:rPr>
            <w:rStyle w:val="Hyperlink"/>
            <w:noProof/>
          </w:rPr>
          <w:t>2.1.545</w:t>
        </w:r>
        <w:r>
          <w:rPr>
            <w:rFonts w:asciiTheme="minorHAnsi" w:eastAsiaTheme="minorEastAsia" w:hAnsiTheme="minorHAnsi" w:cstheme="minorBidi"/>
            <w:noProof/>
            <w:sz w:val="22"/>
            <w:szCs w:val="22"/>
          </w:rPr>
          <w:tab/>
        </w:r>
        <w:r w:rsidRPr="00CD0B56">
          <w:rPr>
            <w:rStyle w:val="Hyperlink"/>
            <w:noProof/>
          </w:rPr>
          <w:t>Part 1 Section 17.18.52, ST_MailMergeDataType (Mail Merge Data Source Type Values)</w:t>
        </w:r>
        <w:r>
          <w:rPr>
            <w:noProof/>
            <w:webHidden/>
          </w:rPr>
          <w:tab/>
        </w:r>
        <w:r>
          <w:rPr>
            <w:noProof/>
            <w:webHidden/>
          </w:rPr>
          <w:fldChar w:fldCharType="begin"/>
        </w:r>
        <w:r>
          <w:rPr>
            <w:noProof/>
            <w:webHidden/>
          </w:rPr>
          <w:instrText xml:space="preserve"> PAGEREF _Toc12260613 \h </w:instrText>
        </w:r>
        <w:r>
          <w:rPr>
            <w:noProof/>
            <w:webHidden/>
          </w:rPr>
        </w:r>
        <w:r>
          <w:rPr>
            <w:noProof/>
            <w:webHidden/>
          </w:rPr>
          <w:fldChar w:fldCharType="separate"/>
        </w:r>
        <w:r>
          <w:rPr>
            <w:noProof/>
            <w:webHidden/>
          </w:rPr>
          <w:t>230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14" w:history="1">
        <w:r w:rsidRPr="00CD0B56">
          <w:rPr>
            <w:rStyle w:val="Hyperlink"/>
            <w:noProof/>
          </w:rPr>
          <w:t>2.1.546</w:t>
        </w:r>
        <w:r>
          <w:rPr>
            <w:rFonts w:asciiTheme="minorHAnsi" w:eastAsiaTheme="minorEastAsia" w:hAnsiTheme="minorHAnsi" w:cstheme="minorBidi"/>
            <w:noProof/>
            <w:sz w:val="22"/>
            <w:szCs w:val="22"/>
          </w:rPr>
          <w:tab/>
        </w:r>
        <w:r w:rsidRPr="00CD0B56">
          <w:rPr>
            <w:rStyle w:val="Hyperlink"/>
            <w:noProof/>
          </w:rPr>
          <w:t>Part 1 Section 17.18.57, ST_Merge (Merged Cell Type)</w:t>
        </w:r>
        <w:r>
          <w:rPr>
            <w:noProof/>
            <w:webHidden/>
          </w:rPr>
          <w:tab/>
        </w:r>
        <w:r>
          <w:rPr>
            <w:noProof/>
            <w:webHidden/>
          </w:rPr>
          <w:fldChar w:fldCharType="begin"/>
        </w:r>
        <w:r>
          <w:rPr>
            <w:noProof/>
            <w:webHidden/>
          </w:rPr>
          <w:instrText xml:space="preserve"> PAGEREF _Toc12260614 \h </w:instrText>
        </w:r>
        <w:r>
          <w:rPr>
            <w:noProof/>
            <w:webHidden/>
          </w:rPr>
        </w:r>
        <w:r>
          <w:rPr>
            <w:noProof/>
            <w:webHidden/>
          </w:rPr>
          <w:fldChar w:fldCharType="separate"/>
        </w:r>
        <w:r>
          <w:rPr>
            <w:noProof/>
            <w:webHidden/>
          </w:rPr>
          <w:t>230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15" w:history="1">
        <w:r w:rsidRPr="00CD0B56">
          <w:rPr>
            <w:rStyle w:val="Hyperlink"/>
            <w:noProof/>
          </w:rPr>
          <w:t>2.1.547</w:t>
        </w:r>
        <w:r>
          <w:rPr>
            <w:rFonts w:asciiTheme="minorHAnsi" w:eastAsiaTheme="minorEastAsia" w:hAnsiTheme="minorHAnsi" w:cstheme="minorBidi"/>
            <w:noProof/>
            <w:sz w:val="22"/>
            <w:szCs w:val="22"/>
          </w:rPr>
          <w:tab/>
        </w:r>
        <w:r w:rsidRPr="00CD0B56">
          <w:rPr>
            <w:rStyle w:val="Hyperlink"/>
            <w:noProof/>
          </w:rPr>
          <w:t>Part 1 Section 17.18.59, ST_NumberFormat (Numbering Format)</w:t>
        </w:r>
        <w:r>
          <w:rPr>
            <w:noProof/>
            <w:webHidden/>
          </w:rPr>
          <w:tab/>
        </w:r>
        <w:r>
          <w:rPr>
            <w:noProof/>
            <w:webHidden/>
          </w:rPr>
          <w:fldChar w:fldCharType="begin"/>
        </w:r>
        <w:r>
          <w:rPr>
            <w:noProof/>
            <w:webHidden/>
          </w:rPr>
          <w:instrText xml:space="preserve"> PAGEREF _Toc12260615 \h </w:instrText>
        </w:r>
        <w:r>
          <w:rPr>
            <w:noProof/>
            <w:webHidden/>
          </w:rPr>
        </w:r>
        <w:r>
          <w:rPr>
            <w:noProof/>
            <w:webHidden/>
          </w:rPr>
          <w:fldChar w:fldCharType="separate"/>
        </w:r>
        <w:r>
          <w:rPr>
            <w:noProof/>
            <w:webHidden/>
          </w:rPr>
          <w:t>230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16" w:history="1">
        <w:r w:rsidRPr="00CD0B56">
          <w:rPr>
            <w:rStyle w:val="Hyperlink"/>
            <w:noProof/>
          </w:rPr>
          <w:t>2.1.548</w:t>
        </w:r>
        <w:r>
          <w:rPr>
            <w:rFonts w:asciiTheme="minorHAnsi" w:eastAsiaTheme="minorEastAsia" w:hAnsiTheme="minorHAnsi" w:cstheme="minorBidi"/>
            <w:noProof/>
            <w:sz w:val="22"/>
            <w:szCs w:val="22"/>
          </w:rPr>
          <w:tab/>
        </w:r>
        <w:r w:rsidRPr="00CD0B56">
          <w:rPr>
            <w:rStyle w:val="Hyperlink"/>
            <w:noProof/>
          </w:rPr>
          <w:t>Part 1 Section 17.18.62, ST_PageBorderDisplay (Page Border Display Options)</w:t>
        </w:r>
        <w:r>
          <w:rPr>
            <w:noProof/>
            <w:webHidden/>
          </w:rPr>
          <w:tab/>
        </w:r>
        <w:r>
          <w:rPr>
            <w:noProof/>
            <w:webHidden/>
          </w:rPr>
          <w:fldChar w:fldCharType="begin"/>
        </w:r>
        <w:r>
          <w:rPr>
            <w:noProof/>
            <w:webHidden/>
          </w:rPr>
          <w:instrText xml:space="preserve"> PAGEREF _Toc12260616 \h </w:instrText>
        </w:r>
        <w:r>
          <w:rPr>
            <w:noProof/>
            <w:webHidden/>
          </w:rPr>
        </w:r>
        <w:r>
          <w:rPr>
            <w:noProof/>
            <w:webHidden/>
          </w:rPr>
          <w:fldChar w:fldCharType="separate"/>
        </w:r>
        <w:r>
          <w:rPr>
            <w:noProof/>
            <w:webHidden/>
          </w:rPr>
          <w:t>233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17" w:history="1">
        <w:r w:rsidRPr="00CD0B56">
          <w:rPr>
            <w:rStyle w:val="Hyperlink"/>
            <w:noProof/>
          </w:rPr>
          <w:t>2.1.549</w:t>
        </w:r>
        <w:r>
          <w:rPr>
            <w:rFonts w:asciiTheme="minorHAnsi" w:eastAsiaTheme="minorEastAsia" w:hAnsiTheme="minorHAnsi" w:cstheme="minorBidi"/>
            <w:noProof/>
            <w:sz w:val="22"/>
            <w:szCs w:val="22"/>
          </w:rPr>
          <w:tab/>
        </w:r>
        <w:r w:rsidRPr="00CD0B56">
          <w:rPr>
            <w:rStyle w:val="Hyperlink"/>
            <w:noProof/>
          </w:rPr>
          <w:t>Part 1 Section 17.18.68, ST_PointMeasure (Measurement in Points)</w:t>
        </w:r>
        <w:r>
          <w:rPr>
            <w:noProof/>
            <w:webHidden/>
          </w:rPr>
          <w:tab/>
        </w:r>
        <w:r>
          <w:rPr>
            <w:noProof/>
            <w:webHidden/>
          </w:rPr>
          <w:fldChar w:fldCharType="begin"/>
        </w:r>
        <w:r>
          <w:rPr>
            <w:noProof/>
            <w:webHidden/>
          </w:rPr>
          <w:instrText xml:space="preserve"> PAGEREF _Toc12260617 \h </w:instrText>
        </w:r>
        <w:r>
          <w:rPr>
            <w:noProof/>
            <w:webHidden/>
          </w:rPr>
        </w:r>
        <w:r>
          <w:rPr>
            <w:noProof/>
            <w:webHidden/>
          </w:rPr>
          <w:fldChar w:fldCharType="separate"/>
        </w:r>
        <w:r>
          <w:rPr>
            <w:noProof/>
            <w:webHidden/>
          </w:rPr>
          <w:t>233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18" w:history="1">
        <w:r w:rsidRPr="00CD0B56">
          <w:rPr>
            <w:rStyle w:val="Hyperlink"/>
            <w:noProof/>
          </w:rPr>
          <w:t>2.1.550</w:t>
        </w:r>
        <w:r>
          <w:rPr>
            <w:rFonts w:asciiTheme="minorHAnsi" w:eastAsiaTheme="minorEastAsia" w:hAnsiTheme="minorHAnsi" w:cstheme="minorBidi"/>
            <w:noProof/>
            <w:sz w:val="22"/>
            <w:szCs w:val="22"/>
          </w:rPr>
          <w:tab/>
        </w:r>
        <w:r w:rsidRPr="00CD0B56">
          <w:rPr>
            <w:rStyle w:val="Hyperlink"/>
            <w:noProof/>
          </w:rPr>
          <w:t>Part 1 Section 17.18.70, ST_ProofErr (Proofing Error Type)</w:t>
        </w:r>
        <w:r>
          <w:rPr>
            <w:noProof/>
            <w:webHidden/>
          </w:rPr>
          <w:tab/>
        </w:r>
        <w:r>
          <w:rPr>
            <w:noProof/>
            <w:webHidden/>
          </w:rPr>
          <w:fldChar w:fldCharType="begin"/>
        </w:r>
        <w:r>
          <w:rPr>
            <w:noProof/>
            <w:webHidden/>
          </w:rPr>
          <w:instrText xml:space="preserve"> PAGEREF _Toc12260618 \h </w:instrText>
        </w:r>
        <w:r>
          <w:rPr>
            <w:noProof/>
            <w:webHidden/>
          </w:rPr>
        </w:r>
        <w:r>
          <w:rPr>
            <w:noProof/>
            <w:webHidden/>
          </w:rPr>
          <w:fldChar w:fldCharType="separate"/>
        </w:r>
        <w:r>
          <w:rPr>
            <w:noProof/>
            <w:webHidden/>
          </w:rPr>
          <w:t>233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19" w:history="1">
        <w:r w:rsidRPr="00CD0B56">
          <w:rPr>
            <w:rStyle w:val="Hyperlink"/>
            <w:noProof/>
          </w:rPr>
          <w:t>2.1.551</w:t>
        </w:r>
        <w:r>
          <w:rPr>
            <w:rFonts w:asciiTheme="minorHAnsi" w:eastAsiaTheme="minorEastAsia" w:hAnsiTheme="minorHAnsi" w:cstheme="minorBidi"/>
            <w:noProof/>
            <w:sz w:val="22"/>
            <w:szCs w:val="22"/>
          </w:rPr>
          <w:tab/>
        </w:r>
        <w:r w:rsidRPr="00CD0B56">
          <w:rPr>
            <w:rStyle w:val="Hyperlink"/>
            <w:noProof/>
          </w:rPr>
          <w:t>Part 1 Section 17.18.75, ST_RubyAlign (Phonetic Guide Text Alignment)</w:t>
        </w:r>
        <w:r>
          <w:rPr>
            <w:noProof/>
            <w:webHidden/>
          </w:rPr>
          <w:tab/>
        </w:r>
        <w:r>
          <w:rPr>
            <w:noProof/>
            <w:webHidden/>
          </w:rPr>
          <w:fldChar w:fldCharType="begin"/>
        </w:r>
        <w:r>
          <w:rPr>
            <w:noProof/>
            <w:webHidden/>
          </w:rPr>
          <w:instrText xml:space="preserve"> PAGEREF _Toc12260619 \h </w:instrText>
        </w:r>
        <w:r>
          <w:rPr>
            <w:noProof/>
            <w:webHidden/>
          </w:rPr>
        </w:r>
        <w:r>
          <w:rPr>
            <w:noProof/>
            <w:webHidden/>
          </w:rPr>
          <w:fldChar w:fldCharType="separate"/>
        </w:r>
        <w:r>
          <w:rPr>
            <w:noProof/>
            <w:webHidden/>
          </w:rPr>
          <w:t>233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20" w:history="1">
        <w:r w:rsidRPr="00CD0B56">
          <w:rPr>
            <w:rStyle w:val="Hyperlink"/>
            <w:noProof/>
          </w:rPr>
          <w:t>2.1.552</w:t>
        </w:r>
        <w:r>
          <w:rPr>
            <w:rFonts w:asciiTheme="minorHAnsi" w:eastAsiaTheme="minorEastAsia" w:hAnsiTheme="minorHAnsi" w:cstheme="minorBidi"/>
            <w:noProof/>
            <w:sz w:val="22"/>
            <w:szCs w:val="22"/>
          </w:rPr>
          <w:tab/>
        </w:r>
        <w:r w:rsidRPr="00CD0B56">
          <w:rPr>
            <w:rStyle w:val="Hyperlink"/>
            <w:noProof/>
          </w:rPr>
          <w:t>Part 1 Section 17.18.78, ST_Shd (Shading Patterns)</w:t>
        </w:r>
        <w:r>
          <w:rPr>
            <w:noProof/>
            <w:webHidden/>
          </w:rPr>
          <w:tab/>
        </w:r>
        <w:r>
          <w:rPr>
            <w:noProof/>
            <w:webHidden/>
          </w:rPr>
          <w:fldChar w:fldCharType="begin"/>
        </w:r>
        <w:r>
          <w:rPr>
            <w:noProof/>
            <w:webHidden/>
          </w:rPr>
          <w:instrText xml:space="preserve"> PAGEREF _Toc12260620 \h </w:instrText>
        </w:r>
        <w:r>
          <w:rPr>
            <w:noProof/>
            <w:webHidden/>
          </w:rPr>
        </w:r>
        <w:r>
          <w:rPr>
            <w:noProof/>
            <w:webHidden/>
          </w:rPr>
          <w:fldChar w:fldCharType="separate"/>
        </w:r>
        <w:r>
          <w:rPr>
            <w:noProof/>
            <w:webHidden/>
          </w:rPr>
          <w:t>233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21" w:history="1">
        <w:r w:rsidRPr="00CD0B56">
          <w:rPr>
            <w:rStyle w:val="Hyperlink"/>
            <w:noProof/>
          </w:rPr>
          <w:t>2.1.553</w:t>
        </w:r>
        <w:r>
          <w:rPr>
            <w:rFonts w:asciiTheme="minorHAnsi" w:eastAsiaTheme="minorEastAsia" w:hAnsiTheme="minorHAnsi" w:cstheme="minorBidi"/>
            <w:noProof/>
            <w:sz w:val="22"/>
            <w:szCs w:val="22"/>
          </w:rPr>
          <w:tab/>
        </w:r>
        <w:r w:rsidRPr="00CD0B56">
          <w:rPr>
            <w:rStyle w:val="Hyperlink"/>
            <w:noProof/>
          </w:rPr>
          <w:t>Part 1 Section 17.18.80, ST_SignedHpsMeasure (Signed Measurement in Half-Points)</w:t>
        </w:r>
        <w:r>
          <w:rPr>
            <w:noProof/>
            <w:webHidden/>
          </w:rPr>
          <w:tab/>
        </w:r>
        <w:r>
          <w:rPr>
            <w:noProof/>
            <w:webHidden/>
          </w:rPr>
          <w:fldChar w:fldCharType="begin"/>
        </w:r>
        <w:r>
          <w:rPr>
            <w:noProof/>
            <w:webHidden/>
          </w:rPr>
          <w:instrText xml:space="preserve"> PAGEREF _Toc12260621 \h </w:instrText>
        </w:r>
        <w:r>
          <w:rPr>
            <w:noProof/>
            <w:webHidden/>
          </w:rPr>
        </w:r>
        <w:r>
          <w:rPr>
            <w:noProof/>
            <w:webHidden/>
          </w:rPr>
          <w:fldChar w:fldCharType="separate"/>
        </w:r>
        <w:r>
          <w:rPr>
            <w:noProof/>
            <w:webHidden/>
          </w:rPr>
          <w:t>233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22" w:history="1">
        <w:r w:rsidRPr="00CD0B56">
          <w:rPr>
            <w:rStyle w:val="Hyperlink"/>
            <w:noProof/>
          </w:rPr>
          <w:t>2.1.554</w:t>
        </w:r>
        <w:r>
          <w:rPr>
            <w:rFonts w:asciiTheme="minorHAnsi" w:eastAsiaTheme="minorEastAsia" w:hAnsiTheme="minorHAnsi" w:cstheme="minorBidi"/>
            <w:noProof/>
            <w:sz w:val="22"/>
            <w:szCs w:val="22"/>
          </w:rPr>
          <w:tab/>
        </w:r>
        <w:r w:rsidRPr="00CD0B56">
          <w:rPr>
            <w:rStyle w:val="Hyperlink"/>
            <w:noProof/>
          </w:rPr>
          <w:t>Part 1 Section 17.18.81, ST_SignedTwipsMeasure (Signed Measurement in Twentieths of a Point)</w:t>
        </w:r>
        <w:r>
          <w:rPr>
            <w:noProof/>
            <w:webHidden/>
          </w:rPr>
          <w:tab/>
        </w:r>
        <w:r>
          <w:rPr>
            <w:noProof/>
            <w:webHidden/>
          </w:rPr>
          <w:fldChar w:fldCharType="begin"/>
        </w:r>
        <w:r>
          <w:rPr>
            <w:noProof/>
            <w:webHidden/>
          </w:rPr>
          <w:instrText xml:space="preserve"> PAGEREF _Toc12260622 \h </w:instrText>
        </w:r>
        <w:r>
          <w:rPr>
            <w:noProof/>
            <w:webHidden/>
          </w:rPr>
        </w:r>
        <w:r>
          <w:rPr>
            <w:noProof/>
            <w:webHidden/>
          </w:rPr>
          <w:fldChar w:fldCharType="separate"/>
        </w:r>
        <w:r>
          <w:rPr>
            <w:noProof/>
            <w:webHidden/>
          </w:rPr>
          <w:t>234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23" w:history="1">
        <w:r w:rsidRPr="00CD0B56">
          <w:rPr>
            <w:rStyle w:val="Hyperlink"/>
            <w:noProof/>
          </w:rPr>
          <w:t>2.1.555</w:t>
        </w:r>
        <w:r>
          <w:rPr>
            <w:rFonts w:asciiTheme="minorHAnsi" w:eastAsiaTheme="minorEastAsia" w:hAnsiTheme="minorHAnsi" w:cstheme="minorBidi"/>
            <w:noProof/>
            <w:sz w:val="22"/>
            <w:szCs w:val="22"/>
          </w:rPr>
          <w:tab/>
        </w:r>
        <w:r w:rsidRPr="00CD0B56">
          <w:rPr>
            <w:rStyle w:val="Hyperlink"/>
            <w:noProof/>
          </w:rPr>
          <w:t>Part 1 Section 17.18.84, ST_TabJc (Custom Tab Stop Type)</w:t>
        </w:r>
        <w:r>
          <w:rPr>
            <w:noProof/>
            <w:webHidden/>
          </w:rPr>
          <w:tab/>
        </w:r>
        <w:r>
          <w:rPr>
            <w:noProof/>
            <w:webHidden/>
          </w:rPr>
          <w:fldChar w:fldCharType="begin"/>
        </w:r>
        <w:r>
          <w:rPr>
            <w:noProof/>
            <w:webHidden/>
          </w:rPr>
          <w:instrText xml:space="preserve"> PAGEREF _Toc12260623 \h </w:instrText>
        </w:r>
        <w:r>
          <w:rPr>
            <w:noProof/>
            <w:webHidden/>
          </w:rPr>
        </w:r>
        <w:r>
          <w:rPr>
            <w:noProof/>
            <w:webHidden/>
          </w:rPr>
          <w:fldChar w:fldCharType="separate"/>
        </w:r>
        <w:r>
          <w:rPr>
            <w:noProof/>
            <w:webHidden/>
          </w:rPr>
          <w:t>234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24" w:history="1">
        <w:r w:rsidRPr="00CD0B56">
          <w:rPr>
            <w:rStyle w:val="Hyperlink"/>
            <w:noProof/>
          </w:rPr>
          <w:t>2.1.556</w:t>
        </w:r>
        <w:r>
          <w:rPr>
            <w:rFonts w:asciiTheme="minorHAnsi" w:eastAsiaTheme="minorEastAsia" w:hAnsiTheme="minorHAnsi" w:cstheme="minorBidi"/>
            <w:noProof/>
            <w:sz w:val="22"/>
            <w:szCs w:val="22"/>
          </w:rPr>
          <w:tab/>
        </w:r>
        <w:r w:rsidRPr="00CD0B56">
          <w:rPr>
            <w:rStyle w:val="Hyperlink"/>
            <w:noProof/>
          </w:rPr>
          <w:t>Part 1 Section 17.18.89, ST_TblStyleOverrideType (Conditional Table Style Formatting Types)</w:t>
        </w:r>
        <w:r>
          <w:rPr>
            <w:noProof/>
            <w:webHidden/>
          </w:rPr>
          <w:tab/>
        </w:r>
        <w:r>
          <w:rPr>
            <w:noProof/>
            <w:webHidden/>
          </w:rPr>
          <w:fldChar w:fldCharType="begin"/>
        </w:r>
        <w:r>
          <w:rPr>
            <w:noProof/>
            <w:webHidden/>
          </w:rPr>
          <w:instrText xml:space="preserve"> PAGEREF _Toc12260624 \h </w:instrText>
        </w:r>
        <w:r>
          <w:rPr>
            <w:noProof/>
            <w:webHidden/>
          </w:rPr>
        </w:r>
        <w:r>
          <w:rPr>
            <w:noProof/>
            <w:webHidden/>
          </w:rPr>
          <w:fldChar w:fldCharType="separate"/>
        </w:r>
        <w:r>
          <w:rPr>
            <w:noProof/>
            <w:webHidden/>
          </w:rPr>
          <w:t>234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25" w:history="1">
        <w:r w:rsidRPr="00CD0B56">
          <w:rPr>
            <w:rStyle w:val="Hyperlink"/>
            <w:noProof/>
          </w:rPr>
          <w:t>2.1.557</w:t>
        </w:r>
        <w:r>
          <w:rPr>
            <w:rFonts w:asciiTheme="minorHAnsi" w:eastAsiaTheme="minorEastAsia" w:hAnsiTheme="minorHAnsi" w:cstheme="minorBidi"/>
            <w:noProof/>
            <w:sz w:val="22"/>
            <w:szCs w:val="22"/>
          </w:rPr>
          <w:tab/>
        </w:r>
        <w:r w:rsidRPr="00CD0B56">
          <w:rPr>
            <w:rStyle w:val="Hyperlink"/>
            <w:noProof/>
          </w:rPr>
          <w:t>Part 1 Section 17.18.93, ST_TextDirection (Text Flow Direction)</w:t>
        </w:r>
        <w:r>
          <w:rPr>
            <w:noProof/>
            <w:webHidden/>
          </w:rPr>
          <w:tab/>
        </w:r>
        <w:r>
          <w:rPr>
            <w:noProof/>
            <w:webHidden/>
          </w:rPr>
          <w:fldChar w:fldCharType="begin"/>
        </w:r>
        <w:r>
          <w:rPr>
            <w:noProof/>
            <w:webHidden/>
          </w:rPr>
          <w:instrText xml:space="preserve"> PAGEREF _Toc12260625 \h </w:instrText>
        </w:r>
        <w:r>
          <w:rPr>
            <w:noProof/>
            <w:webHidden/>
          </w:rPr>
        </w:r>
        <w:r>
          <w:rPr>
            <w:noProof/>
            <w:webHidden/>
          </w:rPr>
          <w:fldChar w:fldCharType="separate"/>
        </w:r>
        <w:r>
          <w:rPr>
            <w:noProof/>
            <w:webHidden/>
          </w:rPr>
          <w:t>234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26" w:history="1">
        <w:r w:rsidRPr="00CD0B56">
          <w:rPr>
            <w:rStyle w:val="Hyperlink"/>
            <w:noProof/>
          </w:rPr>
          <w:t>2.1.558</w:t>
        </w:r>
        <w:r>
          <w:rPr>
            <w:rFonts w:asciiTheme="minorHAnsi" w:eastAsiaTheme="minorEastAsia" w:hAnsiTheme="minorHAnsi" w:cstheme="minorBidi"/>
            <w:noProof/>
            <w:sz w:val="22"/>
            <w:szCs w:val="22"/>
          </w:rPr>
          <w:tab/>
        </w:r>
        <w:r w:rsidRPr="00CD0B56">
          <w:rPr>
            <w:rStyle w:val="Hyperlink"/>
            <w:noProof/>
          </w:rPr>
          <w:t>Part 1 Section 17.18.94, ST_TextEffect (Animated Text Effects)</w:t>
        </w:r>
        <w:r>
          <w:rPr>
            <w:noProof/>
            <w:webHidden/>
          </w:rPr>
          <w:tab/>
        </w:r>
        <w:r>
          <w:rPr>
            <w:noProof/>
            <w:webHidden/>
          </w:rPr>
          <w:fldChar w:fldCharType="begin"/>
        </w:r>
        <w:r>
          <w:rPr>
            <w:noProof/>
            <w:webHidden/>
          </w:rPr>
          <w:instrText xml:space="preserve"> PAGEREF _Toc12260626 \h </w:instrText>
        </w:r>
        <w:r>
          <w:rPr>
            <w:noProof/>
            <w:webHidden/>
          </w:rPr>
        </w:r>
        <w:r>
          <w:rPr>
            <w:noProof/>
            <w:webHidden/>
          </w:rPr>
          <w:fldChar w:fldCharType="separate"/>
        </w:r>
        <w:r>
          <w:rPr>
            <w:noProof/>
            <w:webHidden/>
          </w:rPr>
          <w:t>236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27" w:history="1">
        <w:r w:rsidRPr="00CD0B56">
          <w:rPr>
            <w:rStyle w:val="Hyperlink"/>
            <w:noProof/>
          </w:rPr>
          <w:t>2.1.559</w:t>
        </w:r>
        <w:r>
          <w:rPr>
            <w:rFonts w:asciiTheme="minorHAnsi" w:eastAsiaTheme="minorEastAsia" w:hAnsiTheme="minorHAnsi" w:cstheme="minorBidi"/>
            <w:noProof/>
            <w:sz w:val="22"/>
            <w:szCs w:val="22"/>
          </w:rPr>
          <w:tab/>
        </w:r>
        <w:r w:rsidRPr="00CD0B56">
          <w:rPr>
            <w:rStyle w:val="Hyperlink"/>
            <w:noProof/>
          </w:rPr>
          <w:t>Part 1 Section 17.18.95, ST_TextScale (Text Expansion/Compression Percentage)</w:t>
        </w:r>
        <w:r>
          <w:rPr>
            <w:noProof/>
            <w:webHidden/>
          </w:rPr>
          <w:tab/>
        </w:r>
        <w:r>
          <w:rPr>
            <w:noProof/>
            <w:webHidden/>
          </w:rPr>
          <w:fldChar w:fldCharType="begin"/>
        </w:r>
        <w:r>
          <w:rPr>
            <w:noProof/>
            <w:webHidden/>
          </w:rPr>
          <w:instrText xml:space="preserve"> PAGEREF _Toc12260627 \h </w:instrText>
        </w:r>
        <w:r>
          <w:rPr>
            <w:noProof/>
            <w:webHidden/>
          </w:rPr>
        </w:r>
        <w:r>
          <w:rPr>
            <w:noProof/>
            <w:webHidden/>
          </w:rPr>
          <w:fldChar w:fldCharType="separate"/>
        </w:r>
        <w:r>
          <w:rPr>
            <w:noProof/>
            <w:webHidden/>
          </w:rPr>
          <w:t>236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28" w:history="1">
        <w:r w:rsidRPr="00CD0B56">
          <w:rPr>
            <w:rStyle w:val="Hyperlink"/>
            <w:noProof/>
          </w:rPr>
          <w:t>2.1.560</w:t>
        </w:r>
        <w:r>
          <w:rPr>
            <w:rFonts w:asciiTheme="minorHAnsi" w:eastAsiaTheme="minorEastAsia" w:hAnsiTheme="minorHAnsi" w:cstheme="minorBidi"/>
            <w:noProof/>
            <w:sz w:val="22"/>
            <w:szCs w:val="22"/>
          </w:rPr>
          <w:tab/>
        </w:r>
        <w:r w:rsidRPr="00CD0B56">
          <w:rPr>
            <w:rStyle w:val="Hyperlink"/>
            <w:noProof/>
          </w:rPr>
          <w:t>Part 1 Section 17.18.101, ST_VerticalJc (Vertical Alignment Type)</w:t>
        </w:r>
        <w:r>
          <w:rPr>
            <w:noProof/>
            <w:webHidden/>
          </w:rPr>
          <w:tab/>
        </w:r>
        <w:r>
          <w:rPr>
            <w:noProof/>
            <w:webHidden/>
          </w:rPr>
          <w:fldChar w:fldCharType="begin"/>
        </w:r>
        <w:r>
          <w:rPr>
            <w:noProof/>
            <w:webHidden/>
          </w:rPr>
          <w:instrText xml:space="preserve"> PAGEREF _Toc12260628 \h </w:instrText>
        </w:r>
        <w:r>
          <w:rPr>
            <w:noProof/>
            <w:webHidden/>
          </w:rPr>
        </w:r>
        <w:r>
          <w:rPr>
            <w:noProof/>
            <w:webHidden/>
          </w:rPr>
          <w:fldChar w:fldCharType="separate"/>
        </w:r>
        <w:r>
          <w:rPr>
            <w:noProof/>
            <w:webHidden/>
          </w:rPr>
          <w:t>236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29" w:history="1">
        <w:r w:rsidRPr="00CD0B56">
          <w:rPr>
            <w:rStyle w:val="Hyperlink"/>
            <w:noProof/>
          </w:rPr>
          <w:t>2.1.561</w:t>
        </w:r>
        <w:r>
          <w:rPr>
            <w:rFonts w:asciiTheme="minorHAnsi" w:eastAsiaTheme="minorEastAsia" w:hAnsiTheme="minorHAnsi" w:cstheme="minorBidi"/>
            <w:noProof/>
            <w:sz w:val="22"/>
            <w:szCs w:val="22"/>
          </w:rPr>
          <w:tab/>
        </w:r>
        <w:r w:rsidRPr="00CD0B56">
          <w:rPr>
            <w:rStyle w:val="Hyperlink"/>
            <w:noProof/>
          </w:rPr>
          <w:t>Part 1 Section 17.18.102, ST_View (Document View Values)</w:t>
        </w:r>
        <w:r>
          <w:rPr>
            <w:noProof/>
            <w:webHidden/>
          </w:rPr>
          <w:tab/>
        </w:r>
        <w:r>
          <w:rPr>
            <w:noProof/>
            <w:webHidden/>
          </w:rPr>
          <w:fldChar w:fldCharType="begin"/>
        </w:r>
        <w:r>
          <w:rPr>
            <w:noProof/>
            <w:webHidden/>
          </w:rPr>
          <w:instrText xml:space="preserve"> PAGEREF _Toc12260629 \h </w:instrText>
        </w:r>
        <w:r>
          <w:rPr>
            <w:noProof/>
            <w:webHidden/>
          </w:rPr>
        </w:r>
        <w:r>
          <w:rPr>
            <w:noProof/>
            <w:webHidden/>
          </w:rPr>
          <w:fldChar w:fldCharType="separate"/>
        </w:r>
        <w:r>
          <w:rPr>
            <w:noProof/>
            <w:webHidden/>
          </w:rPr>
          <w:t>236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30" w:history="1">
        <w:r w:rsidRPr="00CD0B56">
          <w:rPr>
            <w:rStyle w:val="Hyperlink"/>
            <w:noProof/>
          </w:rPr>
          <w:t>2.1.562</w:t>
        </w:r>
        <w:r>
          <w:rPr>
            <w:rFonts w:asciiTheme="minorHAnsi" w:eastAsiaTheme="minorEastAsia" w:hAnsiTheme="minorHAnsi" w:cstheme="minorBidi"/>
            <w:noProof/>
            <w:sz w:val="22"/>
            <w:szCs w:val="22"/>
          </w:rPr>
          <w:tab/>
        </w:r>
        <w:r w:rsidRPr="00CD0B56">
          <w:rPr>
            <w:rStyle w:val="Hyperlink"/>
            <w:noProof/>
          </w:rPr>
          <w:t>Part 1 Section 17.18.104, ST_Wrap (Text Wrapping around Text Frame Type)</w:t>
        </w:r>
        <w:r>
          <w:rPr>
            <w:noProof/>
            <w:webHidden/>
          </w:rPr>
          <w:tab/>
        </w:r>
        <w:r>
          <w:rPr>
            <w:noProof/>
            <w:webHidden/>
          </w:rPr>
          <w:fldChar w:fldCharType="begin"/>
        </w:r>
        <w:r>
          <w:rPr>
            <w:noProof/>
            <w:webHidden/>
          </w:rPr>
          <w:instrText xml:space="preserve"> PAGEREF _Toc12260630 \h </w:instrText>
        </w:r>
        <w:r>
          <w:rPr>
            <w:noProof/>
            <w:webHidden/>
          </w:rPr>
        </w:r>
        <w:r>
          <w:rPr>
            <w:noProof/>
            <w:webHidden/>
          </w:rPr>
          <w:fldChar w:fldCharType="separate"/>
        </w:r>
        <w:r>
          <w:rPr>
            <w:noProof/>
            <w:webHidden/>
          </w:rPr>
          <w:t>236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31" w:history="1">
        <w:r w:rsidRPr="00CD0B56">
          <w:rPr>
            <w:rStyle w:val="Hyperlink"/>
            <w:noProof/>
          </w:rPr>
          <w:t>2.1.563</w:t>
        </w:r>
        <w:r>
          <w:rPr>
            <w:rFonts w:asciiTheme="minorHAnsi" w:eastAsiaTheme="minorEastAsia" w:hAnsiTheme="minorHAnsi" w:cstheme="minorBidi"/>
            <w:noProof/>
            <w:sz w:val="22"/>
            <w:szCs w:val="22"/>
          </w:rPr>
          <w:tab/>
        </w:r>
        <w:r w:rsidRPr="00CD0B56">
          <w:rPr>
            <w:rStyle w:val="Hyperlink"/>
            <w:noProof/>
          </w:rPr>
          <w:t>Part 1 Section 18.2.1, bookViews (Workbook Views)</w:t>
        </w:r>
        <w:r>
          <w:rPr>
            <w:noProof/>
            <w:webHidden/>
          </w:rPr>
          <w:tab/>
        </w:r>
        <w:r>
          <w:rPr>
            <w:noProof/>
            <w:webHidden/>
          </w:rPr>
          <w:fldChar w:fldCharType="begin"/>
        </w:r>
        <w:r>
          <w:rPr>
            <w:noProof/>
            <w:webHidden/>
          </w:rPr>
          <w:instrText xml:space="preserve"> PAGEREF _Toc12260631 \h </w:instrText>
        </w:r>
        <w:r>
          <w:rPr>
            <w:noProof/>
            <w:webHidden/>
          </w:rPr>
        </w:r>
        <w:r>
          <w:rPr>
            <w:noProof/>
            <w:webHidden/>
          </w:rPr>
          <w:fldChar w:fldCharType="separate"/>
        </w:r>
        <w:r>
          <w:rPr>
            <w:noProof/>
            <w:webHidden/>
          </w:rPr>
          <w:t>236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32" w:history="1">
        <w:r w:rsidRPr="00CD0B56">
          <w:rPr>
            <w:rStyle w:val="Hyperlink"/>
            <w:noProof/>
          </w:rPr>
          <w:t>2.1.564</w:t>
        </w:r>
        <w:r>
          <w:rPr>
            <w:rFonts w:asciiTheme="minorHAnsi" w:eastAsiaTheme="minorEastAsia" w:hAnsiTheme="minorHAnsi" w:cstheme="minorBidi"/>
            <w:noProof/>
            <w:sz w:val="22"/>
            <w:szCs w:val="22"/>
          </w:rPr>
          <w:tab/>
        </w:r>
        <w:r w:rsidRPr="00CD0B56">
          <w:rPr>
            <w:rStyle w:val="Hyperlink"/>
            <w:noProof/>
          </w:rPr>
          <w:t>Part 1 Section 18.2.2, calcPr (Calculation Properties)</w:t>
        </w:r>
        <w:r>
          <w:rPr>
            <w:noProof/>
            <w:webHidden/>
          </w:rPr>
          <w:tab/>
        </w:r>
        <w:r>
          <w:rPr>
            <w:noProof/>
            <w:webHidden/>
          </w:rPr>
          <w:fldChar w:fldCharType="begin"/>
        </w:r>
        <w:r>
          <w:rPr>
            <w:noProof/>
            <w:webHidden/>
          </w:rPr>
          <w:instrText xml:space="preserve"> PAGEREF _Toc12260632 \h </w:instrText>
        </w:r>
        <w:r>
          <w:rPr>
            <w:noProof/>
            <w:webHidden/>
          </w:rPr>
        </w:r>
        <w:r>
          <w:rPr>
            <w:noProof/>
            <w:webHidden/>
          </w:rPr>
          <w:fldChar w:fldCharType="separate"/>
        </w:r>
        <w:r>
          <w:rPr>
            <w:noProof/>
            <w:webHidden/>
          </w:rPr>
          <w:t>236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33" w:history="1">
        <w:r w:rsidRPr="00CD0B56">
          <w:rPr>
            <w:rStyle w:val="Hyperlink"/>
            <w:noProof/>
          </w:rPr>
          <w:t>2.1.565</w:t>
        </w:r>
        <w:r>
          <w:rPr>
            <w:rFonts w:asciiTheme="minorHAnsi" w:eastAsiaTheme="minorEastAsia" w:hAnsiTheme="minorHAnsi" w:cstheme="minorBidi"/>
            <w:noProof/>
            <w:sz w:val="22"/>
            <w:szCs w:val="22"/>
          </w:rPr>
          <w:tab/>
        </w:r>
        <w:r w:rsidRPr="00CD0B56">
          <w:rPr>
            <w:rStyle w:val="Hyperlink"/>
            <w:noProof/>
          </w:rPr>
          <w:t>Part 1 Section 18.2.3, customWorkbookView (Custom Workbook View)</w:t>
        </w:r>
        <w:r>
          <w:rPr>
            <w:noProof/>
            <w:webHidden/>
          </w:rPr>
          <w:tab/>
        </w:r>
        <w:r>
          <w:rPr>
            <w:noProof/>
            <w:webHidden/>
          </w:rPr>
          <w:fldChar w:fldCharType="begin"/>
        </w:r>
        <w:r>
          <w:rPr>
            <w:noProof/>
            <w:webHidden/>
          </w:rPr>
          <w:instrText xml:space="preserve"> PAGEREF _Toc12260633 \h </w:instrText>
        </w:r>
        <w:r>
          <w:rPr>
            <w:noProof/>
            <w:webHidden/>
          </w:rPr>
        </w:r>
        <w:r>
          <w:rPr>
            <w:noProof/>
            <w:webHidden/>
          </w:rPr>
          <w:fldChar w:fldCharType="separate"/>
        </w:r>
        <w:r>
          <w:rPr>
            <w:noProof/>
            <w:webHidden/>
          </w:rPr>
          <w:t>237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34" w:history="1">
        <w:r w:rsidRPr="00CD0B56">
          <w:rPr>
            <w:rStyle w:val="Hyperlink"/>
            <w:noProof/>
          </w:rPr>
          <w:t>2.1.566</w:t>
        </w:r>
        <w:r>
          <w:rPr>
            <w:rFonts w:asciiTheme="minorHAnsi" w:eastAsiaTheme="minorEastAsia" w:hAnsiTheme="minorHAnsi" w:cstheme="minorBidi"/>
            <w:noProof/>
            <w:sz w:val="22"/>
            <w:szCs w:val="22"/>
          </w:rPr>
          <w:tab/>
        </w:r>
        <w:r w:rsidRPr="00CD0B56">
          <w:rPr>
            <w:rStyle w:val="Hyperlink"/>
            <w:noProof/>
          </w:rPr>
          <w:t>Part 1 Section 18.2.4, customWorkbookViews (Custom Workbook Views)</w:t>
        </w:r>
        <w:r>
          <w:rPr>
            <w:noProof/>
            <w:webHidden/>
          </w:rPr>
          <w:tab/>
        </w:r>
        <w:r>
          <w:rPr>
            <w:noProof/>
            <w:webHidden/>
          </w:rPr>
          <w:fldChar w:fldCharType="begin"/>
        </w:r>
        <w:r>
          <w:rPr>
            <w:noProof/>
            <w:webHidden/>
          </w:rPr>
          <w:instrText xml:space="preserve"> PAGEREF _Toc12260634 \h </w:instrText>
        </w:r>
        <w:r>
          <w:rPr>
            <w:noProof/>
            <w:webHidden/>
          </w:rPr>
        </w:r>
        <w:r>
          <w:rPr>
            <w:noProof/>
            <w:webHidden/>
          </w:rPr>
          <w:fldChar w:fldCharType="separate"/>
        </w:r>
        <w:r>
          <w:rPr>
            <w:noProof/>
            <w:webHidden/>
          </w:rPr>
          <w:t>237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35" w:history="1">
        <w:r w:rsidRPr="00CD0B56">
          <w:rPr>
            <w:rStyle w:val="Hyperlink"/>
            <w:noProof/>
          </w:rPr>
          <w:t>2.1.567</w:t>
        </w:r>
        <w:r>
          <w:rPr>
            <w:rFonts w:asciiTheme="minorHAnsi" w:eastAsiaTheme="minorEastAsia" w:hAnsiTheme="minorHAnsi" w:cstheme="minorBidi"/>
            <w:noProof/>
            <w:sz w:val="22"/>
            <w:szCs w:val="22"/>
          </w:rPr>
          <w:tab/>
        </w:r>
        <w:r w:rsidRPr="00CD0B56">
          <w:rPr>
            <w:rStyle w:val="Hyperlink"/>
            <w:noProof/>
          </w:rPr>
          <w:t>Part 1 Section 18.2.5, definedName (Defined Name)</w:t>
        </w:r>
        <w:r>
          <w:rPr>
            <w:noProof/>
            <w:webHidden/>
          </w:rPr>
          <w:tab/>
        </w:r>
        <w:r>
          <w:rPr>
            <w:noProof/>
            <w:webHidden/>
          </w:rPr>
          <w:fldChar w:fldCharType="begin"/>
        </w:r>
        <w:r>
          <w:rPr>
            <w:noProof/>
            <w:webHidden/>
          </w:rPr>
          <w:instrText xml:space="preserve"> PAGEREF _Toc12260635 \h </w:instrText>
        </w:r>
        <w:r>
          <w:rPr>
            <w:noProof/>
            <w:webHidden/>
          </w:rPr>
        </w:r>
        <w:r>
          <w:rPr>
            <w:noProof/>
            <w:webHidden/>
          </w:rPr>
          <w:fldChar w:fldCharType="separate"/>
        </w:r>
        <w:r>
          <w:rPr>
            <w:noProof/>
            <w:webHidden/>
          </w:rPr>
          <w:t>237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36" w:history="1">
        <w:r w:rsidRPr="00CD0B56">
          <w:rPr>
            <w:rStyle w:val="Hyperlink"/>
            <w:noProof/>
          </w:rPr>
          <w:t>2.1.568</w:t>
        </w:r>
        <w:r>
          <w:rPr>
            <w:rFonts w:asciiTheme="minorHAnsi" w:eastAsiaTheme="minorEastAsia" w:hAnsiTheme="minorHAnsi" w:cstheme="minorBidi"/>
            <w:noProof/>
            <w:sz w:val="22"/>
            <w:szCs w:val="22"/>
          </w:rPr>
          <w:tab/>
        </w:r>
        <w:r w:rsidRPr="00CD0B56">
          <w:rPr>
            <w:rStyle w:val="Hyperlink"/>
            <w:noProof/>
          </w:rPr>
          <w:t>Part 1 Section 18.2.6, definedNames (Defined Names)</w:t>
        </w:r>
        <w:r>
          <w:rPr>
            <w:noProof/>
            <w:webHidden/>
          </w:rPr>
          <w:tab/>
        </w:r>
        <w:r>
          <w:rPr>
            <w:noProof/>
            <w:webHidden/>
          </w:rPr>
          <w:fldChar w:fldCharType="begin"/>
        </w:r>
        <w:r>
          <w:rPr>
            <w:noProof/>
            <w:webHidden/>
          </w:rPr>
          <w:instrText xml:space="preserve"> PAGEREF _Toc12260636 \h </w:instrText>
        </w:r>
        <w:r>
          <w:rPr>
            <w:noProof/>
            <w:webHidden/>
          </w:rPr>
        </w:r>
        <w:r>
          <w:rPr>
            <w:noProof/>
            <w:webHidden/>
          </w:rPr>
          <w:fldChar w:fldCharType="separate"/>
        </w:r>
        <w:r>
          <w:rPr>
            <w:noProof/>
            <w:webHidden/>
          </w:rPr>
          <w:t>239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37" w:history="1">
        <w:r w:rsidRPr="00CD0B56">
          <w:rPr>
            <w:rStyle w:val="Hyperlink"/>
            <w:noProof/>
          </w:rPr>
          <w:t>2.1.569</w:t>
        </w:r>
        <w:r>
          <w:rPr>
            <w:rFonts w:asciiTheme="minorHAnsi" w:eastAsiaTheme="minorEastAsia" w:hAnsiTheme="minorHAnsi" w:cstheme="minorBidi"/>
            <w:noProof/>
            <w:sz w:val="22"/>
            <w:szCs w:val="22"/>
          </w:rPr>
          <w:tab/>
        </w:r>
        <w:r w:rsidRPr="00CD0B56">
          <w:rPr>
            <w:rStyle w:val="Hyperlink"/>
            <w:noProof/>
          </w:rPr>
          <w:t>Part 1 Section 18.2.7, ext (Extension)</w:t>
        </w:r>
        <w:r>
          <w:rPr>
            <w:noProof/>
            <w:webHidden/>
          </w:rPr>
          <w:tab/>
        </w:r>
        <w:r>
          <w:rPr>
            <w:noProof/>
            <w:webHidden/>
          </w:rPr>
          <w:fldChar w:fldCharType="begin"/>
        </w:r>
        <w:r>
          <w:rPr>
            <w:noProof/>
            <w:webHidden/>
          </w:rPr>
          <w:instrText xml:space="preserve"> PAGEREF _Toc12260637 \h </w:instrText>
        </w:r>
        <w:r>
          <w:rPr>
            <w:noProof/>
            <w:webHidden/>
          </w:rPr>
        </w:r>
        <w:r>
          <w:rPr>
            <w:noProof/>
            <w:webHidden/>
          </w:rPr>
          <w:fldChar w:fldCharType="separate"/>
        </w:r>
        <w:r>
          <w:rPr>
            <w:noProof/>
            <w:webHidden/>
          </w:rPr>
          <w:t>239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38" w:history="1">
        <w:r w:rsidRPr="00CD0B56">
          <w:rPr>
            <w:rStyle w:val="Hyperlink"/>
            <w:noProof/>
          </w:rPr>
          <w:t>2.1.570</w:t>
        </w:r>
        <w:r>
          <w:rPr>
            <w:rFonts w:asciiTheme="minorHAnsi" w:eastAsiaTheme="minorEastAsia" w:hAnsiTheme="minorHAnsi" w:cstheme="minorBidi"/>
            <w:noProof/>
            <w:sz w:val="22"/>
            <w:szCs w:val="22"/>
          </w:rPr>
          <w:tab/>
        </w:r>
        <w:r w:rsidRPr="00CD0B56">
          <w:rPr>
            <w:rStyle w:val="Hyperlink"/>
            <w:noProof/>
          </w:rPr>
          <w:t>Part 1 Section 18.2.9, externalReferences (External References)</w:t>
        </w:r>
        <w:r>
          <w:rPr>
            <w:noProof/>
            <w:webHidden/>
          </w:rPr>
          <w:tab/>
        </w:r>
        <w:r>
          <w:rPr>
            <w:noProof/>
            <w:webHidden/>
          </w:rPr>
          <w:fldChar w:fldCharType="begin"/>
        </w:r>
        <w:r>
          <w:rPr>
            <w:noProof/>
            <w:webHidden/>
          </w:rPr>
          <w:instrText xml:space="preserve"> PAGEREF _Toc12260638 \h </w:instrText>
        </w:r>
        <w:r>
          <w:rPr>
            <w:noProof/>
            <w:webHidden/>
          </w:rPr>
        </w:r>
        <w:r>
          <w:rPr>
            <w:noProof/>
            <w:webHidden/>
          </w:rPr>
          <w:fldChar w:fldCharType="separate"/>
        </w:r>
        <w:r>
          <w:rPr>
            <w:noProof/>
            <w:webHidden/>
          </w:rPr>
          <w:t>239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39" w:history="1">
        <w:r w:rsidRPr="00CD0B56">
          <w:rPr>
            <w:rStyle w:val="Hyperlink"/>
            <w:noProof/>
          </w:rPr>
          <w:t>2.1.571</w:t>
        </w:r>
        <w:r>
          <w:rPr>
            <w:rFonts w:asciiTheme="minorHAnsi" w:eastAsiaTheme="minorEastAsia" w:hAnsiTheme="minorHAnsi" w:cstheme="minorBidi"/>
            <w:noProof/>
            <w:sz w:val="22"/>
            <w:szCs w:val="22"/>
          </w:rPr>
          <w:tab/>
        </w:r>
        <w:r w:rsidRPr="00CD0B56">
          <w:rPr>
            <w:rStyle w:val="Hyperlink"/>
            <w:noProof/>
          </w:rPr>
          <w:t>Part 1 Section 18.2.11, fileRecoveryPr (File Recovery Properties)</w:t>
        </w:r>
        <w:r>
          <w:rPr>
            <w:noProof/>
            <w:webHidden/>
          </w:rPr>
          <w:tab/>
        </w:r>
        <w:r>
          <w:rPr>
            <w:noProof/>
            <w:webHidden/>
          </w:rPr>
          <w:fldChar w:fldCharType="begin"/>
        </w:r>
        <w:r>
          <w:rPr>
            <w:noProof/>
            <w:webHidden/>
          </w:rPr>
          <w:instrText xml:space="preserve"> PAGEREF _Toc12260639 \h </w:instrText>
        </w:r>
        <w:r>
          <w:rPr>
            <w:noProof/>
            <w:webHidden/>
          </w:rPr>
        </w:r>
        <w:r>
          <w:rPr>
            <w:noProof/>
            <w:webHidden/>
          </w:rPr>
          <w:fldChar w:fldCharType="separate"/>
        </w:r>
        <w:r>
          <w:rPr>
            <w:noProof/>
            <w:webHidden/>
          </w:rPr>
          <w:t>239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40" w:history="1">
        <w:r w:rsidRPr="00CD0B56">
          <w:rPr>
            <w:rStyle w:val="Hyperlink"/>
            <w:noProof/>
          </w:rPr>
          <w:t>2.1.572</w:t>
        </w:r>
        <w:r>
          <w:rPr>
            <w:rFonts w:asciiTheme="minorHAnsi" w:eastAsiaTheme="minorEastAsia" w:hAnsiTheme="minorHAnsi" w:cstheme="minorBidi"/>
            <w:noProof/>
            <w:sz w:val="22"/>
            <w:szCs w:val="22"/>
          </w:rPr>
          <w:tab/>
        </w:r>
        <w:r w:rsidRPr="00CD0B56">
          <w:rPr>
            <w:rStyle w:val="Hyperlink"/>
            <w:noProof/>
          </w:rPr>
          <w:t>Part 1 Section 18.2.12, fileSharing (File Sharing)</w:t>
        </w:r>
        <w:r>
          <w:rPr>
            <w:noProof/>
            <w:webHidden/>
          </w:rPr>
          <w:tab/>
        </w:r>
        <w:r>
          <w:rPr>
            <w:noProof/>
            <w:webHidden/>
          </w:rPr>
          <w:fldChar w:fldCharType="begin"/>
        </w:r>
        <w:r>
          <w:rPr>
            <w:noProof/>
            <w:webHidden/>
          </w:rPr>
          <w:instrText xml:space="preserve"> PAGEREF _Toc12260640 \h </w:instrText>
        </w:r>
        <w:r>
          <w:rPr>
            <w:noProof/>
            <w:webHidden/>
          </w:rPr>
        </w:r>
        <w:r>
          <w:rPr>
            <w:noProof/>
            <w:webHidden/>
          </w:rPr>
          <w:fldChar w:fldCharType="separate"/>
        </w:r>
        <w:r>
          <w:rPr>
            <w:noProof/>
            <w:webHidden/>
          </w:rPr>
          <w:t>239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41" w:history="1">
        <w:r w:rsidRPr="00CD0B56">
          <w:rPr>
            <w:rStyle w:val="Hyperlink"/>
            <w:noProof/>
          </w:rPr>
          <w:t>2.1.573</w:t>
        </w:r>
        <w:r>
          <w:rPr>
            <w:rFonts w:asciiTheme="minorHAnsi" w:eastAsiaTheme="minorEastAsia" w:hAnsiTheme="minorHAnsi" w:cstheme="minorBidi"/>
            <w:noProof/>
            <w:sz w:val="22"/>
            <w:szCs w:val="22"/>
          </w:rPr>
          <w:tab/>
        </w:r>
        <w:r w:rsidRPr="00CD0B56">
          <w:rPr>
            <w:rStyle w:val="Hyperlink"/>
            <w:noProof/>
          </w:rPr>
          <w:t>Part 1 Section 18.2.13, fileVersion (File Version)</w:t>
        </w:r>
        <w:r>
          <w:rPr>
            <w:noProof/>
            <w:webHidden/>
          </w:rPr>
          <w:tab/>
        </w:r>
        <w:r>
          <w:rPr>
            <w:noProof/>
            <w:webHidden/>
          </w:rPr>
          <w:fldChar w:fldCharType="begin"/>
        </w:r>
        <w:r>
          <w:rPr>
            <w:noProof/>
            <w:webHidden/>
          </w:rPr>
          <w:instrText xml:space="preserve"> PAGEREF _Toc12260641 \h </w:instrText>
        </w:r>
        <w:r>
          <w:rPr>
            <w:noProof/>
            <w:webHidden/>
          </w:rPr>
        </w:r>
        <w:r>
          <w:rPr>
            <w:noProof/>
            <w:webHidden/>
          </w:rPr>
          <w:fldChar w:fldCharType="separate"/>
        </w:r>
        <w:r>
          <w:rPr>
            <w:noProof/>
            <w:webHidden/>
          </w:rPr>
          <w:t>241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42" w:history="1">
        <w:r w:rsidRPr="00CD0B56">
          <w:rPr>
            <w:rStyle w:val="Hyperlink"/>
            <w:noProof/>
          </w:rPr>
          <w:t>2.1.574</w:t>
        </w:r>
        <w:r>
          <w:rPr>
            <w:rFonts w:asciiTheme="minorHAnsi" w:eastAsiaTheme="minorEastAsia" w:hAnsiTheme="minorHAnsi" w:cstheme="minorBidi"/>
            <w:noProof/>
            <w:sz w:val="22"/>
            <w:szCs w:val="22"/>
          </w:rPr>
          <w:tab/>
        </w:r>
        <w:r w:rsidRPr="00CD0B56">
          <w:rPr>
            <w:rStyle w:val="Hyperlink"/>
            <w:noProof/>
          </w:rPr>
          <w:t>Part 1 Section 18.2.14, functionGroup (Function Group)</w:t>
        </w:r>
        <w:r>
          <w:rPr>
            <w:noProof/>
            <w:webHidden/>
          </w:rPr>
          <w:tab/>
        </w:r>
        <w:r>
          <w:rPr>
            <w:noProof/>
            <w:webHidden/>
          </w:rPr>
          <w:fldChar w:fldCharType="begin"/>
        </w:r>
        <w:r>
          <w:rPr>
            <w:noProof/>
            <w:webHidden/>
          </w:rPr>
          <w:instrText xml:space="preserve"> PAGEREF _Toc12260642 \h </w:instrText>
        </w:r>
        <w:r>
          <w:rPr>
            <w:noProof/>
            <w:webHidden/>
          </w:rPr>
        </w:r>
        <w:r>
          <w:rPr>
            <w:noProof/>
            <w:webHidden/>
          </w:rPr>
          <w:fldChar w:fldCharType="separate"/>
        </w:r>
        <w:r>
          <w:rPr>
            <w:noProof/>
            <w:webHidden/>
          </w:rPr>
          <w:t>242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43" w:history="1">
        <w:r w:rsidRPr="00CD0B56">
          <w:rPr>
            <w:rStyle w:val="Hyperlink"/>
            <w:noProof/>
          </w:rPr>
          <w:t>2.1.575</w:t>
        </w:r>
        <w:r>
          <w:rPr>
            <w:rFonts w:asciiTheme="minorHAnsi" w:eastAsiaTheme="minorEastAsia" w:hAnsiTheme="minorHAnsi" w:cstheme="minorBidi"/>
            <w:noProof/>
            <w:sz w:val="22"/>
            <w:szCs w:val="22"/>
          </w:rPr>
          <w:tab/>
        </w:r>
        <w:r w:rsidRPr="00CD0B56">
          <w:rPr>
            <w:rStyle w:val="Hyperlink"/>
            <w:noProof/>
          </w:rPr>
          <w:t>Part 1 Section 18.2.15, functionGroups (Function Groups)</w:t>
        </w:r>
        <w:r>
          <w:rPr>
            <w:noProof/>
            <w:webHidden/>
          </w:rPr>
          <w:tab/>
        </w:r>
        <w:r>
          <w:rPr>
            <w:noProof/>
            <w:webHidden/>
          </w:rPr>
          <w:fldChar w:fldCharType="begin"/>
        </w:r>
        <w:r>
          <w:rPr>
            <w:noProof/>
            <w:webHidden/>
          </w:rPr>
          <w:instrText xml:space="preserve"> PAGEREF _Toc12260643 \h </w:instrText>
        </w:r>
        <w:r>
          <w:rPr>
            <w:noProof/>
            <w:webHidden/>
          </w:rPr>
        </w:r>
        <w:r>
          <w:rPr>
            <w:noProof/>
            <w:webHidden/>
          </w:rPr>
          <w:fldChar w:fldCharType="separate"/>
        </w:r>
        <w:r>
          <w:rPr>
            <w:noProof/>
            <w:webHidden/>
          </w:rPr>
          <w:t>242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44" w:history="1">
        <w:r w:rsidRPr="00CD0B56">
          <w:rPr>
            <w:rStyle w:val="Hyperlink"/>
            <w:noProof/>
          </w:rPr>
          <w:t>2.1.576</w:t>
        </w:r>
        <w:r>
          <w:rPr>
            <w:rFonts w:asciiTheme="minorHAnsi" w:eastAsiaTheme="minorEastAsia" w:hAnsiTheme="minorHAnsi" w:cstheme="minorBidi"/>
            <w:noProof/>
            <w:sz w:val="22"/>
            <w:szCs w:val="22"/>
          </w:rPr>
          <w:tab/>
        </w:r>
        <w:r w:rsidRPr="00CD0B56">
          <w:rPr>
            <w:rStyle w:val="Hyperlink"/>
            <w:noProof/>
          </w:rPr>
          <w:t>Part 1 Section 18.2.16, oleSize (Embedded Object Size)</w:t>
        </w:r>
        <w:r>
          <w:rPr>
            <w:noProof/>
            <w:webHidden/>
          </w:rPr>
          <w:tab/>
        </w:r>
        <w:r>
          <w:rPr>
            <w:noProof/>
            <w:webHidden/>
          </w:rPr>
          <w:fldChar w:fldCharType="begin"/>
        </w:r>
        <w:r>
          <w:rPr>
            <w:noProof/>
            <w:webHidden/>
          </w:rPr>
          <w:instrText xml:space="preserve"> PAGEREF _Toc12260644 \h </w:instrText>
        </w:r>
        <w:r>
          <w:rPr>
            <w:noProof/>
            <w:webHidden/>
          </w:rPr>
        </w:r>
        <w:r>
          <w:rPr>
            <w:noProof/>
            <w:webHidden/>
          </w:rPr>
          <w:fldChar w:fldCharType="separate"/>
        </w:r>
        <w:r>
          <w:rPr>
            <w:noProof/>
            <w:webHidden/>
          </w:rPr>
          <w:t>243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45" w:history="1">
        <w:r w:rsidRPr="00CD0B56">
          <w:rPr>
            <w:rStyle w:val="Hyperlink"/>
            <w:noProof/>
          </w:rPr>
          <w:t>2.1.577</w:t>
        </w:r>
        <w:r>
          <w:rPr>
            <w:rFonts w:asciiTheme="minorHAnsi" w:eastAsiaTheme="minorEastAsia" w:hAnsiTheme="minorHAnsi" w:cstheme="minorBidi"/>
            <w:noProof/>
            <w:sz w:val="22"/>
            <w:szCs w:val="22"/>
          </w:rPr>
          <w:tab/>
        </w:r>
        <w:r w:rsidRPr="00CD0B56">
          <w:rPr>
            <w:rStyle w:val="Hyperlink"/>
            <w:noProof/>
          </w:rPr>
          <w:t>Part 1 Section 18.2.19, sheet (Sheet Information)</w:t>
        </w:r>
        <w:r>
          <w:rPr>
            <w:noProof/>
            <w:webHidden/>
          </w:rPr>
          <w:tab/>
        </w:r>
        <w:r>
          <w:rPr>
            <w:noProof/>
            <w:webHidden/>
          </w:rPr>
          <w:fldChar w:fldCharType="begin"/>
        </w:r>
        <w:r>
          <w:rPr>
            <w:noProof/>
            <w:webHidden/>
          </w:rPr>
          <w:instrText xml:space="preserve"> PAGEREF _Toc12260645 \h </w:instrText>
        </w:r>
        <w:r>
          <w:rPr>
            <w:noProof/>
            <w:webHidden/>
          </w:rPr>
        </w:r>
        <w:r>
          <w:rPr>
            <w:noProof/>
            <w:webHidden/>
          </w:rPr>
          <w:fldChar w:fldCharType="separate"/>
        </w:r>
        <w:r>
          <w:rPr>
            <w:noProof/>
            <w:webHidden/>
          </w:rPr>
          <w:t>243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46" w:history="1">
        <w:r w:rsidRPr="00CD0B56">
          <w:rPr>
            <w:rStyle w:val="Hyperlink"/>
            <w:noProof/>
          </w:rPr>
          <w:t>2.1.578</w:t>
        </w:r>
        <w:r>
          <w:rPr>
            <w:rFonts w:asciiTheme="minorHAnsi" w:eastAsiaTheme="minorEastAsia" w:hAnsiTheme="minorHAnsi" w:cstheme="minorBidi"/>
            <w:noProof/>
            <w:sz w:val="22"/>
            <w:szCs w:val="22"/>
          </w:rPr>
          <w:tab/>
        </w:r>
        <w:r w:rsidRPr="00CD0B56">
          <w:rPr>
            <w:rStyle w:val="Hyperlink"/>
            <w:noProof/>
          </w:rPr>
          <w:t>Part 1 Section 18.2.20, sheets (Sheets)</w:t>
        </w:r>
        <w:r>
          <w:rPr>
            <w:noProof/>
            <w:webHidden/>
          </w:rPr>
          <w:tab/>
        </w:r>
        <w:r>
          <w:rPr>
            <w:noProof/>
            <w:webHidden/>
          </w:rPr>
          <w:fldChar w:fldCharType="begin"/>
        </w:r>
        <w:r>
          <w:rPr>
            <w:noProof/>
            <w:webHidden/>
          </w:rPr>
          <w:instrText xml:space="preserve"> PAGEREF _Toc12260646 \h </w:instrText>
        </w:r>
        <w:r>
          <w:rPr>
            <w:noProof/>
            <w:webHidden/>
          </w:rPr>
        </w:r>
        <w:r>
          <w:rPr>
            <w:noProof/>
            <w:webHidden/>
          </w:rPr>
          <w:fldChar w:fldCharType="separate"/>
        </w:r>
        <w:r>
          <w:rPr>
            <w:noProof/>
            <w:webHidden/>
          </w:rPr>
          <w:t>243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47" w:history="1">
        <w:r w:rsidRPr="00CD0B56">
          <w:rPr>
            <w:rStyle w:val="Hyperlink"/>
            <w:noProof/>
          </w:rPr>
          <w:t>2.1.579</w:t>
        </w:r>
        <w:r>
          <w:rPr>
            <w:rFonts w:asciiTheme="minorHAnsi" w:eastAsiaTheme="minorEastAsia" w:hAnsiTheme="minorHAnsi" w:cstheme="minorBidi"/>
            <w:noProof/>
            <w:sz w:val="22"/>
            <w:szCs w:val="22"/>
          </w:rPr>
          <w:tab/>
        </w:r>
        <w:r w:rsidRPr="00CD0B56">
          <w:rPr>
            <w:rStyle w:val="Hyperlink"/>
            <w:noProof/>
          </w:rPr>
          <w:t>Part 1 Section 18.2.22, smartTagType (Smart Tag Type)</w:t>
        </w:r>
        <w:r>
          <w:rPr>
            <w:noProof/>
            <w:webHidden/>
          </w:rPr>
          <w:tab/>
        </w:r>
        <w:r>
          <w:rPr>
            <w:noProof/>
            <w:webHidden/>
          </w:rPr>
          <w:fldChar w:fldCharType="begin"/>
        </w:r>
        <w:r>
          <w:rPr>
            <w:noProof/>
            <w:webHidden/>
          </w:rPr>
          <w:instrText xml:space="preserve"> PAGEREF _Toc12260647 \h </w:instrText>
        </w:r>
        <w:r>
          <w:rPr>
            <w:noProof/>
            <w:webHidden/>
          </w:rPr>
        </w:r>
        <w:r>
          <w:rPr>
            <w:noProof/>
            <w:webHidden/>
          </w:rPr>
          <w:fldChar w:fldCharType="separate"/>
        </w:r>
        <w:r>
          <w:rPr>
            <w:noProof/>
            <w:webHidden/>
          </w:rPr>
          <w:t>243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48" w:history="1">
        <w:r w:rsidRPr="00CD0B56">
          <w:rPr>
            <w:rStyle w:val="Hyperlink"/>
            <w:noProof/>
          </w:rPr>
          <w:t>2.1.580</w:t>
        </w:r>
        <w:r>
          <w:rPr>
            <w:rFonts w:asciiTheme="minorHAnsi" w:eastAsiaTheme="minorEastAsia" w:hAnsiTheme="minorHAnsi" w:cstheme="minorBidi"/>
            <w:noProof/>
            <w:sz w:val="22"/>
            <w:szCs w:val="22"/>
          </w:rPr>
          <w:tab/>
        </w:r>
        <w:r w:rsidRPr="00CD0B56">
          <w:rPr>
            <w:rStyle w:val="Hyperlink"/>
            <w:noProof/>
          </w:rPr>
          <w:t>Part 1 Section 18.2.23, smartTagTypes (Smart Tag Types)</w:t>
        </w:r>
        <w:r>
          <w:rPr>
            <w:noProof/>
            <w:webHidden/>
          </w:rPr>
          <w:tab/>
        </w:r>
        <w:r>
          <w:rPr>
            <w:noProof/>
            <w:webHidden/>
          </w:rPr>
          <w:fldChar w:fldCharType="begin"/>
        </w:r>
        <w:r>
          <w:rPr>
            <w:noProof/>
            <w:webHidden/>
          </w:rPr>
          <w:instrText xml:space="preserve"> PAGEREF _Toc12260648 \h </w:instrText>
        </w:r>
        <w:r>
          <w:rPr>
            <w:noProof/>
            <w:webHidden/>
          </w:rPr>
        </w:r>
        <w:r>
          <w:rPr>
            <w:noProof/>
            <w:webHidden/>
          </w:rPr>
          <w:fldChar w:fldCharType="separate"/>
        </w:r>
        <w:r>
          <w:rPr>
            <w:noProof/>
            <w:webHidden/>
          </w:rPr>
          <w:t>243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49" w:history="1">
        <w:r w:rsidRPr="00CD0B56">
          <w:rPr>
            <w:rStyle w:val="Hyperlink"/>
            <w:noProof/>
          </w:rPr>
          <w:t>2.1.581</w:t>
        </w:r>
        <w:r>
          <w:rPr>
            <w:rFonts w:asciiTheme="minorHAnsi" w:eastAsiaTheme="minorEastAsia" w:hAnsiTheme="minorHAnsi" w:cstheme="minorBidi"/>
            <w:noProof/>
            <w:sz w:val="22"/>
            <w:szCs w:val="22"/>
          </w:rPr>
          <w:tab/>
        </w:r>
        <w:r w:rsidRPr="00CD0B56">
          <w:rPr>
            <w:rStyle w:val="Hyperlink"/>
            <w:noProof/>
          </w:rPr>
          <w:t>Part 1 Section 18.2.24, webPublishing (Web Publishing Properties)</w:t>
        </w:r>
        <w:r>
          <w:rPr>
            <w:noProof/>
            <w:webHidden/>
          </w:rPr>
          <w:tab/>
        </w:r>
        <w:r>
          <w:rPr>
            <w:noProof/>
            <w:webHidden/>
          </w:rPr>
          <w:fldChar w:fldCharType="begin"/>
        </w:r>
        <w:r>
          <w:rPr>
            <w:noProof/>
            <w:webHidden/>
          </w:rPr>
          <w:instrText xml:space="preserve"> PAGEREF _Toc12260649 \h </w:instrText>
        </w:r>
        <w:r>
          <w:rPr>
            <w:noProof/>
            <w:webHidden/>
          </w:rPr>
        </w:r>
        <w:r>
          <w:rPr>
            <w:noProof/>
            <w:webHidden/>
          </w:rPr>
          <w:fldChar w:fldCharType="separate"/>
        </w:r>
        <w:r>
          <w:rPr>
            <w:noProof/>
            <w:webHidden/>
          </w:rPr>
          <w:t>244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50" w:history="1">
        <w:r w:rsidRPr="00CD0B56">
          <w:rPr>
            <w:rStyle w:val="Hyperlink"/>
            <w:noProof/>
          </w:rPr>
          <w:t>2.1.582</w:t>
        </w:r>
        <w:r>
          <w:rPr>
            <w:rFonts w:asciiTheme="minorHAnsi" w:eastAsiaTheme="minorEastAsia" w:hAnsiTheme="minorHAnsi" w:cstheme="minorBidi"/>
            <w:noProof/>
            <w:sz w:val="22"/>
            <w:szCs w:val="22"/>
          </w:rPr>
          <w:tab/>
        </w:r>
        <w:r w:rsidRPr="00CD0B56">
          <w:rPr>
            <w:rStyle w:val="Hyperlink"/>
            <w:noProof/>
          </w:rPr>
          <w:t>Part 1 Section 18.2.25, webPublishObject (Web Publishing Object)</w:t>
        </w:r>
        <w:r>
          <w:rPr>
            <w:noProof/>
            <w:webHidden/>
          </w:rPr>
          <w:tab/>
        </w:r>
        <w:r>
          <w:rPr>
            <w:noProof/>
            <w:webHidden/>
          </w:rPr>
          <w:fldChar w:fldCharType="begin"/>
        </w:r>
        <w:r>
          <w:rPr>
            <w:noProof/>
            <w:webHidden/>
          </w:rPr>
          <w:instrText xml:space="preserve"> PAGEREF _Toc12260650 \h </w:instrText>
        </w:r>
        <w:r>
          <w:rPr>
            <w:noProof/>
            <w:webHidden/>
          </w:rPr>
        </w:r>
        <w:r>
          <w:rPr>
            <w:noProof/>
            <w:webHidden/>
          </w:rPr>
          <w:fldChar w:fldCharType="separate"/>
        </w:r>
        <w:r>
          <w:rPr>
            <w:noProof/>
            <w:webHidden/>
          </w:rPr>
          <w:t>244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51" w:history="1">
        <w:r w:rsidRPr="00CD0B56">
          <w:rPr>
            <w:rStyle w:val="Hyperlink"/>
            <w:noProof/>
          </w:rPr>
          <w:t>2.1.583</w:t>
        </w:r>
        <w:r>
          <w:rPr>
            <w:rFonts w:asciiTheme="minorHAnsi" w:eastAsiaTheme="minorEastAsia" w:hAnsiTheme="minorHAnsi" w:cstheme="minorBidi"/>
            <w:noProof/>
            <w:sz w:val="22"/>
            <w:szCs w:val="22"/>
          </w:rPr>
          <w:tab/>
        </w:r>
        <w:r w:rsidRPr="00CD0B56">
          <w:rPr>
            <w:rStyle w:val="Hyperlink"/>
            <w:noProof/>
          </w:rPr>
          <w:t>Part 1 Section 18.2.27, workbook (Workbook)</w:t>
        </w:r>
        <w:r>
          <w:rPr>
            <w:noProof/>
            <w:webHidden/>
          </w:rPr>
          <w:tab/>
        </w:r>
        <w:r>
          <w:rPr>
            <w:noProof/>
            <w:webHidden/>
          </w:rPr>
          <w:fldChar w:fldCharType="begin"/>
        </w:r>
        <w:r>
          <w:rPr>
            <w:noProof/>
            <w:webHidden/>
          </w:rPr>
          <w:instrText xml:space="preserve"> PAGEREF _Toc12260651 \h </w:instrText>
        </w:r>
        <w:r>
          <w:rPr>
            <w:noProof/>
            <w:webHidden/>
          </w:rPr>
        </w:r>
        <w:r>
          <w:rPr>
            <w:noProof/>
            <w:webHidden/>
          </w:rPr>
          <w:fldChar w:fldCharType="separate"/>
        </w:r>
        <w:r>
          <w:rPr>
            <w:noProof/>
            <w:webHidden/>
          </w:rPr>
          <w:t>244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52" w:history="1">
        <w:r w:rsidRPr="00CD0B56">
          <w:rPr>
            <w:rStyle w:val="Hyperlink"/>
            <w:noProof/>
          </w:rPr>
          <w:t>2.1.584</w:t>
        </w:r>
        <w:r>
          <w:rPr>
            <w:rFonts w:asciiTheme="minorHAnsi" w:eastAsiaTheme="minorEastAsia" w:hAnsiTheme="minorHAnsi" w:cstheme="minorBidi"/>
            <w:noProof/>
            <w:sz w:val="22"/>
            <w:szCs w:val="22"/>
          </w:rPr>
          <w:tab/>
        </w:r>
        <w:r w:rsidRPr="00CD0B56">
          <w:rPr>
            <w:rStyle w:val="Hyperlink"/>
            <w:noProof/>
          </w:rPr>
          <w:t>Part 1 Section 18.2.28, workbookPr (Workbook Properties)</w:t>
        </w:r>
        <w:r>
          <w:rPr>
            <w:noProof/>
            <w:webHidden/>
          </w:rPr>
          <w:tab/>
        </w:r>
        <w:r>
          <w:rPr>
            <w:noProof/>
            <w:webHidden/>
          </w:rPr>
          <w:fldChar w:fldCharType="begin"/>
        </w:r>
        <w:r>
          <w:rPr>
            <w:noProof/>
            <w:webHidden/>
          </w:rPr>
          <w:instrText xml:space="preserve"> PAGEREF _Toc12260652 \h </w:instrText>
        </w:r>
        <w:r>
          <w:rPr>
            <w:noProof/>
            <w:webHidden/>
          </w:rPr>
        </w:r>
        <w:r>
          <w:rPr>
            <w:noProof/>
            <w:webHidden/>
          </w:rPr>
          <w:fldChar w:fldCharType="separate"/>
        </w:r>
        <w:r>
          <w:rPr>
            <w:noProof/>
            <w:webHidden/>
          </w:rPr>
          <w:t>244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53" w:history="1">
        <w:r w:rsidRPr="00CD0B56">
          <w:rPr>
            <w:rStyle w:val="Hyperlink"/>
            <w:noProof/>
          </w:rPr>
          <w:t>2.1.585</w:t>
        </w:r>
        <w:r>
          <w:rPr>
            <w:rFonts w:asciiTheme="minorHAnsi" w:eastAsiaTheme="minorEastAsia" w:hAnsiTheme="minorHAnsi" w:cstheme="minorBidi"/>
            <w:noProof/>
            <w:sz w:val="22"/>
            <w:szCs w:val="22"/>
          </w:rPr>
          <w:tab/>
        </w:r>
        <w:r w:rsidRPr="00CD0B56">
          <w:rPr>
            <w:rStyle w:val="Hyperlink"/>
            <w:noProof/>
          </w:rPr>
          <w:t>Part 1 Section 18.2.29, workbookProtection (Workbook Protection)</w:t>
        </w:r>
        <w:r>
          <w:rPr>
            <w:noProof/>
            <w:webHidden/>
          </w:rPr>
          <w:tab/>
        </w:r>
        <w:r>
          <w:rPr>
            <w:noProof/>
            <w:webHidden/>
          </w:rPr>
          <w:fldChar w:fldCharType="begin"/>
        </w:r>
        <w:r>
          <w:rPr>
            <w:noProof/>
            <w:webHidden/>
          </w:rPr>
          <w:instrText xml:space="preserve"> PAGEREF _Toc12260653 \h </w:instrText>
        </w:r>
        <w:r>
          <w:rPr>
            <w:noProof/>
            <w:webHidden/>
          </w:rPr>
        </w:r>
        <w:r>
          <w:rPr>
            <w:noProof/>
            <w:webHidden/>
          </w:rPr>
          <w:fldChar w:fldCharType="separate"/>
        </w:r>
        <w:r>
          <w:rPr>
            <w:noProof/>
            <w:webHidden/>
          </w:rPr>
          <w:t>245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54" w:history="1">
        <w:r w:rsidRPr="00CD0B56">
          <w:rPr>
            <w:rStyle w:val="Hyperlink"/>
            <w:noProof/>
          </w:rPr>
          <w:t>2.1.586</w:t>
        </w:r>
        <w:r>
          <w:rPr>
            <w:rFonts w:asciiTheme="minorHAnsi" w:eastAsiaTheme="minorEastAsia" w:hAnsiTheme="minorHAnsi" w:cstheme="minorBidi"/>
            <w:noProof/>
            <w:sz w:val="22"/>
            <w:szCs w:val="22"/>
          </w:rPr>
          <w:tab/>
        </w:r>
        <w:r w:rsidRPr="00CD0B56">
          <w:rPr>
            <w:rStyle w:val="Hyperlink"/>
            <w:noProof/>
          </w:rPr>
          <w:t>Part 1 Section 18.2.30, workbookView (Workbook View)</w:t>
        </w:r>
        <w:r>
          <w:rPr>
            <w:noProof/>
            <w:webHidden/>
          </w:rPr>
          <w:tab/>
        </w:r>
        <w:r>
          <w:rPr>
            <w:noProof/>
            <w:webHidden/>
          </w:rPr>
          <w:fldChar w:fldCharType="begin"/>
        </w:r>
        <w:r>
          <w:rPr>
            <w:noProof/>
            <w:webHidden/>
          </w:rPr>
          <w:instrText xml:space="preserve"> PAGEREF _Toc12260654 \h </w:instrText>
        </w:r>
        <w:r>
          <w:rPr>
            <w:noProof/>
            <w:webHidden/>
          </w:rPr>
        </w:r>
        <w:r>
          <w:rPr>
            <w:noProof/>
            <w:webHidden/>
          </w:rPr>
          <w:fldChar w:fldCharType="separate"/>
        </w:r>
        <w:r>
          <w:rPr>
            <w:noProof/>
            <w:webHidden/>
          </w:rPr>
          <w:t>249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55" w:history="1">
        <w:r w:rsidRPr="00CD0B56">
          <w:rPr>
            <w:rStyle w:val="Hyperlink"/>
            <w:noProof/>
          </w:rPr>
          <w:t>2.1.587</w:t>
        </w:r>
        <w:r>
          <w:rPr>
            <w:rFonts w:asciiTheme="minorHAnsi" w:eastAsiaTheme="minorEastAsia" w:hAnsiTheme="minorHAnsi" w:cstheme="minorBidi"/>
            <w:noProof/>
            <w:sz w:val="22"/>
            <w:szCs w:val="22"/>
          </w:rPr>
          <w:tab/>
        </w:r>
        <w:r w:rsidRPr="00CD0B56">
          <w:rPr>
            <w:rStyle w:val="Hyperlink"/>
            <w:noProof/>
          </w:rPr>
          <w:t>Part 1 Section 18.3.1.1, anchor (Object Cell Anchor)</w:t>
        </w:r>
        <w:r>
          <w:rPr>
            <w:noProof/>
            <w:webHidden/>
          </w:rPr>
          <w:tab/>
        </w:r>
        <w:r>
          <w:rPr>
            <w:noProof/>
            <w:webHidden/>
          </w:rPr>
          <w:fldChar w:fldCharType="begin"/>
        </w:r>
        <w:r>
          <w:rPr>
            <w:noProof/>
            <w:webHidden/>
          </w:rPr>
          <w:instrText xml:space="preserve"> PAGEREF _Toc12260655 \h </w:instrText>
        </w:r>
        <w:r>
          <w:rPr>
            <w:noProof/>
            <w:webHidden/>
          </w:rPr>
        </w:r>
        <w:r>
          <w:rPr>
            <w:noProof/>
            <w:webHidden/>
          </w:rPr>
          <w:fldChar w:fldCharType="separate"/>
        </w:r>
        <w:r>
          <w:rPr>
            <w:noProof/>
            <w:webHidden/>
          </w:rPr>
          <w:t>249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56" w:history="1">
        <w:r w:rsidRPr="00CD0B56">
          <w:rPr>
            <w:rStyle w:val="Hyperlink"/>
            <w:noProof/>
          </w:rPr>
          <w:t>2.1.588</w:t>
        </w:r>
        <w:r>
          <w:rPr>
            <w:rFonts w:asciiTheme="minorHAnsi" w:eastAsiaTheme="minorEastAsia" w:hAnsiTheme="minorHAnsi" w:cstheme="minorBidi"/>
            <w:noProof/>
            <w:sz w:val="22"/>
            <w:szCs w:val="22"/>
          </w:rPr>
          <w:tab/>
        </w:r>
        <w:r w:rsidRPr="00CD0B56">
          <w:rPr>
            <w:rStyle w:val="Hyperlink"/>
            <w:noProof/>
          </w:rPr>
          <w:t>Part 1 Section 18.3.1.3, brk (Break)</w:t>
        </w:r>
        <w:r>
          <w:rPr>
            <w:noProof/>
            <w:webHidden/>
          </w:rPr>
          <w:tab/>
        </w:r>
        <w:r>
          <w:rPr>
            <w:noProof/>
            <w:webHidden/>
          </w:rPr>
          <w:fldChar w:fldCharType="begin"/>
        </w:r>
        <w:r>
          <w:rPr>
            <w:noProof/>
            <w:webHidden/>
          </w:rPr>
          <w:instrText xml:space="preserve"> PAGEREF _Toc12260656 \h </w:instrText>
        </w:r>
        <w:r>
          <w:rPr>
            <w:noProof/>
            <w:webHidden/>
          </w:rPr>
        </w:r>
        <w:r>
          <w:rPr>
            <w:noProof/>
            <w:webHidden/>
          </w:rPr>
          <w:fldChar w:fldCharType="separate"/>
        </w:r>
        <w:r>
          <w:rPr>
            <w:noProof/>
            <w:webHidden/>
          </w:rPr>
          <w:t>250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57" w:history="1">
        <w:r w:rsidRPr="00CD0B56">
          <w:rPr>
            <w:rStyle w:val="Hyperlink"/>
            <w:noProof/>
          </w:rPr>
          <w:t>2.1.589</w:t>
        </w:r>
        <w:r>
          <w:rPr>
            <w:rFonts w:asciiTheme="minorHAnsi" w:eastAsiaTheme="minorEastAsia" w:hAnsiTheme="minorHAnsi" w:cstheme="minorBidi"/>
            <w:noProof/>
            <w:sz w:val="22"/>
            <w:szCs w:val="22"/>
          </w:rPr>
          <w:tab/>
        </w:r>
        <w:r w:rsidRPr="00CD0B56">
          <w:rPr>
            <w:rStyle w:val="Hyperlink"/>
            <w:noProof/>
          </w:rPr>
          <w:t>Part 1 Section 18.3.1.4, c (Cell)</w:t>
        </w:r>
        <w:r>
          <w:rPr>
            <w:noProof/>
            <w:webHidden/>
          </w:rPr>
          <w:tab/>
        </w:r>
        <w:r>
          <w:rPr>
            <w:noProof/>
            <w:webHidden/>
          </w:rPr>
          <w:fldChar w:fldCharType="begin"/>
        </w:r>
        <w:r>
          <w:rPr>
            <w:noProof/>
            <w:webHidden/>
          </w:rPr>
          <w:instrText xml:space="preserve"> PAGEREF _Toc12260657 \h </w:instrText>
        </w:r>
        <w:r>
          <w:rPr>
            <w:noProof/>
            <w:webHidden/>
          </w:rPr>
        </w:r>
        <w:r>
          <w:rPr>
            <w:noProof/>
            <w:webHidden/>
          </w:rPr>
          <w:fldChar w:fldCharType="separate"/>
        </w:r>
        <w:r>
          <w:rPr>
            <w:noProof/>
            <w:webHidden/>
          </w:rPr>
          <w:t>250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58" w:history="1">
        <w:r w:rsidRPr="00CD0B56">
          <w:rPr>
            <w:rStyle w:val="Hyperlink"/>
            <w:noProof/>
          </w:rPr>
          <w:t>2.1.590</w:t>
        </w:r>
        <w:r>
          <w:rPr>
            <w:rFonts w:asciiTheme="minorHAnsi" w:eastAsiaTheme="minorEastAsia" w:hAnsiTheme="minorHAnsi" w:cstheme="minorBidi"/>
            <w:noProof/>
            <w:sz w:val="22"/>
            <w:szCs w:val="22"/>
          </w:rPr>
          <w:tab/>
        </w:r>
        <w:r w:rsidRPr="00CD0B56">
          <w:rPr>
            <w:rStyle w:val="Hyperlink"/>
            <w:noProof/>
          </w:rPr>
          <w:t>Part 1 Section 18.3.1.5, cellSmartTag (Cell Smart Tag)</w:t>
        </w:r>
        <w:r>
          <w:rPr>
            <w:noProof/>
            <w:webHidden/>
          </w:rPr>
          <w:tab/>
        </w:r>
        <w:r>
          <w:rPr>
            <w:noProof/>
            <w:webHidden/>
          </w:rPr>
          <w:fldChar w:fldCharType="begin"/>
        </w:r>
        <w:r>
          <w:rPr>
            <w:noProof/>
            <w:webHidden/>
          </w:rPr>
          <w:instrText xml:space="preserve"> PAGEREF _Toc12260658 \h </w:instrText>
        </w:r>
        <w:r>
          <w:rPr>
            <w:noProof/>
            <w:webHidden/>
          </w:rPr>
        </w:r>
        <w:r>
          <w:rPr>
            <w:noProof/>
            <w:webHidden/>
          </w:rPr>
          <w:fldChar w:fldCharType="separate"/>
        </w:r>
        <w:r>
          <w:rPr>
            <w:noProof/>
            <w:webHidden/>
          </w:rPr>
          <w:t>251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59" w:history="1">
        <w:r w:rsidRPr="00CD0B56">
          <w:rPr>
            <w:rStyle w:val="Hyperlink"/>
            <w:noProof/>
          </w:rPr>
          <w:t>2.1.591</w:t>
        </w:r>
        <w:r>
          <w:rPr>
            <w:rFonts w:asciiTheme="minorHAnsi" w:eastAsiaTheme="minorEastAsia" w:hAnsiTheme="minorHAnsi" w:cstheme="minorBidi"/>
            <w:noProof/>
            <w:sz w:val="22"/>
            <w:szCs w:val="22"/>
          </w:rPr>
          <w:tab/>
        </w:r>
        <w:r w:rsidRPr="00CD0B56">
          <w:rPr>
            <w:rStyle w:val="Hyperlink"/>
            <w:noProof/>
          </w:rPr>
          <w:t>Part 1 Section 18.3.1.6, cellSmartTagPr (Smart Tag Properties)</w:t>
        </w:r>
        <w:r>
          <w:rPr>
            <w:noProof/>
            <w:webHidden/>
          </w:rPr>
          <w:tab/>
        </w:r>
        <w:r>
          <w:rPr>
            <w:noProof/>
            <w:webHidden/>
          </w:rPr>
          <w:fldChar w:fldCharType="begin"/>
        </w:r>
        <w:r>
          <w:rPr>
            <w:noProof/>
            <w:webHidden/>
          </w:rPr>
          <w:instrText xml:space="preserve"> PAGEREF _Toc12260659 \h </w:instrText>
        </w:r>
        <w:r>
          <w:rPr>
            <w:noProof/>
            <w:webHidden/>
          </w:rPr>
        </w:r>
        <w:r>
          <w:rPr>
            <w:noProof/>
            <w:webHidden/>
          </w:rPr>
          <w:fldChar w:fldCharType="separate"/>
        </w:r>
        <w:r>
          <w:rPr>
            <w:noProof/>
            <w:webHidden/>
          </w:rPr>
          <w:t>251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60" w:history="1">
        <w:r w:rsidRPr="00CD0B56">
          <w:rPr>
            <w:rStyle w:val="Hyperlink"/>
            <w:noProof/>
          </w:rPr>
          <w:t>2.1.592</w:t>
        </w:r>
        <w:r>
          <w:rPr>
            <w:rFonts w:asciiTheme="minorHAnsi" w:eastAsiaTheme="minorEastAsia" w:hAnsiTheme="minorHAnsi" w:cstheme="minorBidi"/>
            <w:noProof/>
            <w:sz w:val="22"/>
            <w:szCs w:val="22"/>
          </w:rPr>
          <w:tab/>
        </w:r>
        <w:r w:rsidRPr="00CD0B56">
          <w:rPr>
            <w:rStyle w:val="Hyperlink"/>
            <w:noProof/>
          </w:rPr>
          <w:t>Part 1 Section 18.3.1.7, cellSmartTags (Cell Smart Tags)</w:t>
        </w:r>
        <w:r>
          <w:rPr>
            <w:noProof/>
            <w:webHidden/>
          </w:rPr>
          <w:tab/>
        </w:r>
        <w:r>
          <w:rPr>
            <w:noProof/>
            <w:webHidden/>
          </w:rPr>
          <w:fldChar w:fldCharType="begin"/>
        </w:r>
        <w:r>
          <w:rPr>
            <w:noProof/>
            <w:webHidden/>
          </w:rPr>
          <w:instrText xml:space="preserve"> PAGEREF _Toc12260660 \h </w:instrText>
        </w:r>
        <w:r>
          <w:rPr>
            <w:noProof/>
            <w:webHidden/>
          </w:rPr>
        </w:r>
        <w:r>
          <w:rPr>
            <w:noProof/>
            <w:webHidden/>
          </w:rPr>
          <w:fldChar w:fldCharType="separate"/>
        </w:r>
        <w:r>
          <w:rPr>
            <w:noProof/>
            <w:webHidden/>
          </w:rPr>
          <w:t>251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61" w:history="1">
        <w:r w:rsidRPr="00CD0B56">
          <w:rPr>
            <w:rStyle w:val="Hyperlink"/>
            <w:noProof/>
          </w:rPr>
          <w:t>2.1.593</w:t>
        </w:r>
        <w:r>
          <w:rPr>
            <w:rFonts w:asciiTheme="minorHAnsi" w:eastAsiaTheme="minorEastAsia" w:hAnsiTheme="minorHAnsi" w:cstheme="minorBidi"/>
            <w:noProof/>
            <w:sz w:val="22"/>
            <w:szCs w:val="22"/>
          </w:rPr>
          <w:tab/>
        </w:r>
        <w:r w:rsidRPr="00CD0B56">
          <w:rPr>
            <w:rStyle w:val="Hyperlink"/>
            <w:noProof/>
          </w:rPr>
          <w:t>Part 1 Section 18.3.1.8, cellWatch (Cell Watch Item)</w:t>
        </w:r>
        <w:r>
          <w:rPr>
            <w:noProof/>
            <w:webHidden/>
          </w:rPr>
          <w:tab/>
        </w:r>
        <w:r>
          <w:rPr>
            <w:noProof/>
            <w:webHidden/>
          </w:rPr>
          <w:fldChar w:fldCharType="begin"/>
        </w:r>
        <w:r>
          <w:rPr>
            <w:noProof/>
            <w:webHidden/>
          </w:rPr>
          <w:instrText xml:space="preserve"> PAGEREF _Toc12260661 \h </w:instrText>
        </w:r>
        <w:r>
          <w:rPr>
            <w:noProof/>
            <w:webHidden/>
          </w:rPr>
        </w:r>
        <w:r>
          <w:rPr>
            <w:noProof/>
            <w:webHidden/>
          </w:rPr>
          <w:fldChar w:fldCharType="separate"/>
        </w:r>
        <w:r>
          <w:rPr>
            <w:noProof/>
            <w:webHidden/>
          </w:rPr>
          <w:t>251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62" w:history="1">
        <w:r w:rsidRPr="00CD0B56">
          <w:rPr>
            <w:rStyle w:val="Hyperlink"/>
            <w:noProof/>
          </w:rPr>
          <w:t>2.1.594</w:t>
        </w:r>
        <w:r>
          <w:rPr>
            <w:rFonts w:asciiTheme="minorHAnsi" w:eastAsiaTheme="minorEastAsia" w:hAnsiTheme="minorHAnsi" w:cstheme="minorBidi"/>
            <w:noProof/>
            <w:sz w:val="22"/>
            <w:szCs w:val="22"/>
          </w:rPr>
          <w:tab/>
        </w:r>
        <w:r w:rsidRPr="00CD0B56">
          <w:rPr>
            <w:rStyle w:val="Hyperlink"/>
            <w:noProof/>
          </w:rPr>
          <w:t>Part 1 Section 18.3.1.10, cfRule (Conditional Formatting Rule)</w:t>
        </w:r>
        <w:r>
          <w:rPr>
            <w:noProof/>
            <w:webHidden/>
          </w:rPr>
          <w:tab/>
        </w:r>
        <w:r>
          <w:rPr>
            <w:noProof/>
            <w:webHidden/>
          </w:rPr>
          <w:fldChar w:fldCharType="begin"/>
        </w:r>
        <w:r>
          <w:rPr>
            <w:noProof/>
            <w:webHidden/>
          </w:rPr>
          <w:instrText xml:space="preserve"> PAGEREF _Toc12260662 \h </w:instrText>
        </w:r>
        <w:r>
          <w:rPr>
            <w:noProof/>
            <w:webHidden/>
          </w:rPr>
        </w:r>
        <w:r>
          <w:rPr>
            <w:noProof/>
            <w:webHidden/>
          </w:rPr>
          <w:fldChar w:fldCharType="separate"/>
        </w:r>
        <w:r>
          <w:rPr>
            <w:noProof/>
            <w:webHidden/>
          </w:rPr>
          <w:t>251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63" w:history="1">
        <w:r w:rsidRPr="00CD0B56">
          <w:rPr>
            <w:rStyle w:val="Hyperlink"/>
            <w:noProof/>
          </w:rPr>
          <w:t>2.1.595</w:t>
        </w:r>
        <w:r>
          <w:rPr>
            <w:rFonts w:asciiTheme="minorHAnsi" w:eastAsiaTheme="minorEastAsia" w:hAnsiTheme="minorHAnsi" w:cstheme="minorBidi"/>
            <w:noProof/>
            <w:sz w:val="22"/>
            <w:szCs w:val="22"/>
          </w:rPr>
          <w:tab/>
        </w:r>
        <w:r w:rsidRPr="00CD0B56">
          <w:rPr>
            <w:rStyle w:val="Hyperlink"/>
            <w:noProof/>
          </w:rPr>
          <w:t>Part 1 Section 18.3.1.11, cfvo (Conditional Format Value Object)</w:t>
        </w:r>
        <w:r>
          <w:rPr>
            <w:noProof/>
            <w:webHidden/>
          </w:rPr>
          <w:tab/>
        </w:r>
        <w:r>
          <w:rPr>
            <w:noProof/>
            <w:webHidden/>
          </w:rPr>
          <w:fldChar w:fldCharType="begin"/>
        </w:r>
        <w:r>
          <w:rPr>
            <w:noProof/>
            <w:webHidden/>
          </w:rPr>
          <w:instrText xml:space="preserve"> PAGEREF _Toc12260663 \h </w:instrText>
        </w:r>
        <w:r>
          <w:rPr>
            <w:noProof/>
            <w:webHidden/>
          </w:rPr>
        </w:r>
        <w:r>
          <w:rPr>
            <w:noProof/>
            <w:webHidden/>
          </w:rPr>
          <w:fldChar w:fldCharType="separate"/>
        </w:r>
        <w:r>
          <w:rPr>
            <w:noProof/>
            <w:webHidden/>
          </w:rPr>
          <w:t>252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64" w:history="1">
        <w:r w:rsidRPr="00CD0B56">
          <w:rPr>
            <w:rStyle w:val="Hyperlink"/>
            <w:noProof/>
          </w:rPr>
          <w:t>2.1.596</w:t>
        </w:r>
        <w:r>
          <w:rPr>
            <w:rFonts w:asciiTheme="minorHAnsi" w:eastAsiaTheme="minorEastAsia" w:hAnsiTheme="minorHAnsi" w:cstheme="minorBidi"/>
            <w:noProof/>
            <w:sz w:val="22"/>
            <w:szCs w:val="22"/>
          </w:rPr>
          <w:tab/>
        </w:r>
        <w:r w:rsidRPr="00CD0B56">
          <w:rPr>
            <w:rStyle w:val="Hyperlink"/>
            <w:noProof/>
          </w:rPr>
          <w:t>Part 1 Section 18.3.1.12, chartsheet (Chart Sheet)</w:t>
        </w:r>
        <w:r>
          <w:rPr>
            <w:noProof/>
            <w:webHidden/>
          </w:rPr>
          <w:tab/>
        </w:r>
        <w:r>
          <w:rPr>
            <w:noProof/>
            <w:webHidden/>
          </w:rPr>
          <w:fldChar w:fldCharType="begin"/>
        </w:r>
        <w:r>
          <w:rPr>
            <w:noProof/>
            <w:webHidden/>
          </w:rPr>
          <w:instrText xml:space="preserve"> PAGEREF _Toc12260664 \h </w:instrText>
        </w:r>
        <w:r>
          <w:rPr>
            <w:noProof/>
            <w:webHidden/>
          </w:rPr>
        </w:r>
        <w:r>
          <w:rPr>
            <w:noProof/>
            <w:webHidden/>
          </w:rPr>
          <w:fldChar w:fldCharType="separate"/>
        </w:r>
        <w:r>
          <w:rPr>
            <w:noProof/>
            <w:webHidden/>
          </w:rPr>
          <w:t>252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65" w:history="1">
        <w:r w:rsidRPr="00CD0B56">
          <w:rPr>
            <w:rStyle w:val="Hyperlink"/>
            <w:noProof/>
          </w:rPr>
          <w:t>2.1.597</w:t>
        </w:r>
        <w:r>
          <w:rPr>
            <w:rFonts w:asciiTheme="minorHAnsi" w:eastAsiaTheme="minorEastAsia" w:hAnsiTheme="minorHAnsi" w:cstheme="minorBidi"/>
            <w:noProof/>
            <w:sz w:val="22"/>
            <w:szCs w:val="22"/>
          </w:rPr>
          <w:tab/>
        </w:r>
        <w:r w:rsidRPr="00CD0B56">
          <w:rPr>
            <w:rStyle w:val="Hyperlink"/>
            <w:noProof/>
          </w:rPr>
          <w:t>Part 1 Section 18.3.1.13, col (Column Width &amp; Formatting)</w:t>
        </w:r>
        <w:r>
          <w:rPr>
            <w:noProof/>
            <w:webHidden/>
          </w:rPr>
          <w:tab/>
        </w:r>
        <w:r>
          <w:rPr>
            <w:noProof/>
            <w:webHidden/>
          </w:rPr>
          <w:fldChar w:fldCharType="begin"/>
        </w:r>
        <w:r>
          <w:rPr>
            <w:noProof/>
            <w:webHidden/>
          </w:rPr>
          <w:instrText xml:space="preserve"> PAGEREF _Toc12260665 \h </w:instrText>
        </w:r>
        <w:r>
          <w:rPr>
            <w:noProof/>
            <w:webHidden/>
          </w:rPr>
        </w:r>
        <w:r>
          <w:rPr>
            <w:noProof/>
            <w:webHidden/>
          </w:rPr>
          <w:fldChar w:fldCharType="separate"/>
        </w:r>
        <w:r>
          <w:rPr>
            <w:noProof/>
            <w:webHidden/>
          </w:rPr>
          <w:t>252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66" w:history="1">
        <w:r w:rsidRPr="00CD0B56">
          <w:rPr>
            <w:rStyle w:val="Hyperlink"/>
            <w:noProof/>
          </w:rPr>
          <w:t>2.1.598</w:t>
        </w:r>
        <w:r>
          <w:rPr>
            <w:rFonts w:asciiTheme="minorHAnsi" w:eastAsiaTheme="minorEastAsia" w:hAnsiTheme="minorHAnsi" w:cstheme="minorBidi"/>
            <w:noProof/>
            <w:sz w:val="22"/>
            <w:szCs w:val="22"/>
          </w:rPr>
          <w:tab/>
        </w:r>
        <w:r w:rsidRPr="00CD0B56">
          <w:rPr>
            <w:rStyle w:val="Hyperlink"/>
            <w:noProof/>
          </w:rPr>
          <w:t>Part 1 Section 18.3.1.14, colBreaks (Vertical Page Breaks)</w:t>
        </w:r>
        <w:r>
          <w:rPr>
            <w:noProof/>
            <w:webHidden/>
          </w:rPr>
          <w:tab/>
        </w:r>
        <w:r>
          <w:rPr>
            <w:noProof/>
            <w:webHidden/>
          </w:rPr>
          <w:fldChar w:fldCharType="begin"/>
        </w:r>
        <w:r>
          <w:rPr>
            <w:noProof/>
            <w:webHidden/>
          </w:rPr>
          <w:instrText xml:space="preserve"> PAGEREF _Toc12260666 \h </w:instrText>
        </w:r>
        <w:r>
          <w:rPr>
            <w:noProof/>
            <w:webHidden/>
          </w:rPr>
        </w:r>
        <w:r>
          <w:rPr>
            <w:noProof/>
            <w:webHidden/>
          </w:rPr>
          <w:fldChar w:fldCharType="separate"/>
        </w:r>
        <w:r>
          <w:rPr>
            <w:noProof/>
            <w:webHidden/>
          </w:rPr>
          <w:t>253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67" w:history="1">
        <w:r w:rsidRPr="00CD0B56">
          <w:rPr>
            <w:rStyle w:val="Hyperlink"/>
            <w:noProof/>
          </w:rPr>
          <w:t>2.1.599</w:t>
        </w:r>
        <w:r>
          <w:rPr>
            <w:rFonts w:asciiTheme="minorHAnsi" w:eastAsiaTheme="minorEastAsia" w:hAnsiTheme="minorHAnsi" w:cstheme="minorBidi"/>
            <w:noProof/>
            <w:sz w:val="22"/>
            <w:szCs w:val="22"/>
          </w:rPr>
          <w:tab/>
        </w:r>
        <w:r w:rsidRPr="00CD0B56">
          <w:rPr>
            <w:rStyle w:val="Hyperlink"/>
            <w:noProof/>
          </w:rPr>
          <w:t>Part 1 Section 18.3.1.15, color (Data Bar Color)</w:t>
        </w:r>
        <w:r>
          <w:rPr>
            <w:noProof/>
            <w:webHidden/>
          </w:rPr>
          <w:tab/>
        </w:r>
        <w:r>
          <w:rPr>
            <w:noProof/>
            <w:webHidden/>
          </w:rPr>
          <w:fldChar w:fldCharType="begin"/>
        </w:r>
        <w:r>
          <w:rPr>
            <w:noProof/>
            <w:webHidden/>
          </w:rPr>
          <w:instrText xml:space="preserve"> PAGEREF _Toc12260667 \h </w:instrText>
        </w:r>
        <w:r>
          <w:rPr>
            <w:noProof/>
            <w:webHidden/>
          </w:rPr>
        </w:r>
        <w:r>
          <w:rPr>
            <w:noProof/>
            <w:webHidden/>
          </w:rPr>
          <w:fldChar w:fldCharType="separate"/>
        </w:r>
        <w:r>
          <w:rPr>
            <w:noProof/>
            <w:webHidden/>
          </w:rPr>
          <w:t>253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68" w:history="1">
        <w:r w:rsidRPr="00CD0B56">
          <w:rPr>
            <w:rStyle w:val="Hyperlink"/>
            <w:noProof/>
          </w:rPr>
          <w:t>2.1.600</w:t>
        </w:r>
        <w:r>
          <w:rPr>
            <w:rFonts w:asciiTheme="minorHAnsi" w:eastAsiaTheme="minorEastAsia" w:hAnsiTheme="minorHAnsi" w:cstheme="minorBidi"/>
            <w:noProof/>
            <w:sz w:val="22"/>
            <w:szCs w:val="22"/>
          </w:rPr>
          <w:tab/>
        </w:r>
        <w:r w:rsidRPr="00CD0B56">
          <w:rPr>
            <w:rStyle w:val="Hyperlink"/>
            <w:noProof/>
          </w:rPr>
          <w:t>Part 1 Section 18.3.1.16, colorScale (Color Scale)</w:t>
        </w:r>
        <w:r>
          <w:rPr>
            <w:noProof/>
            <w:webHidden/>
          </w:rPr>
          <w:tab/>
        </w:r>
        <w:r>
          <w:rPr>
            <w:noProof/>
            <w:webHidden/>
          </w:rPr>
          <w:fldChar w:fldCharType="begin"/>
        </w:r>
        <w:r>
          <w:rPr>
            <w:noProof/>
            <w:webHidden/>
          </w:rPr>
          <w:instrText xml:space="preserve"> PAGEREF _Toc12260668 \h </w:instrText>
        </w:r>
        <w:r>
          <w:rPr>
            <w:noProof/>
            <w:webHidden/>
          </w:rPr>
        </w:r>
        <w:r>
          <w:rPr>
            <w:noProof/>
            <w:webHidden/>
          </w:rPr>
          <w:fldChar w:fldCharType="separate"/>
        </w:r>
        <w:r>
          <w:rPr>
            <w:noProof/>
            <w:webHidden/>
          </w:rPr>
          <w:t>253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69" w:history="1">
        <w:r w:rsidRPr="00CD0B56">
          <w:rPr>
            <w:rStyle w:val="Hyperlink"/>
            <w:noProof/>
          </w:rPr>
          <w:t>2.1.601</w:t>
        </w:r>
        <w:r>
          <w:rPr>
            <w:rFonts w:asciiTheme="minorHAnsi" w:eastAsiaTheme="minorEastAsia" w:hAnsiTheme="minorHAnsi" w:cstheme="minorBidi"/>
            <w:noProof/>
            <w:sz w:val="22"/>
            <w:szCs w:val="22"/>
          </w:rPr>
          <w:tab/>
        </w:r>
        <w:r w:rsidRPr="00CD0B56">
          <w:rPr>
            <w:rStyle w:val="Hyperlink"/>
            <w:noProof/>
          </w:rPr>
          <w:t>Part 1 Section 18.3.1.18, conditionalFormatting (Conditional Formatting)</w:t>
        </w:r>
        <w:r>
          <w:rPr>
            <w:noProof/>
            <w:webHidden/>
          </w:rPr>
          <w:tab/>
        </w:r>
        <w:r>
          <w:rPr>
            <w:noProof/>
            <w:webHidden/>
          </w:rPr>
          <w:fldChar w:fldCharType="begin"/>
        </w:r>
        <w:r>
          <w:rPr>
            <w:noProof/>
            <w:webHidden/>
          </w:rPr>
          <w:instrText xml:space="preserve"> PAGEREF _Toc12260669 \h </w:instrText>
        </w:r>
        <w:r>
          <w:rPr>
            <w:noProof/>
            <w:webHidden/>
          </w:rPr>
        </w:r>
        <w:r>
          <w:rPr>
            <w:noProof/>
            <w:webHidden/>
          </w:rPr>
          <w:fldChar w:fldCharType="separate"/>
        </w:r>
        <w:r>
          <w:rPr>
            <w:noProof/>
            <w:webHidden/>
          </w:rPr>
          <w:t>254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70" w:history="1">
        <w:r w:rsidRPr="00CD0B56">
          <w:rPr>
            <w:rStyle w:val="Hyperlink"/>
            <w:noProof/>
          </w:rPr>
          <w:t>2.1.602</w:t>
        </w:r>
        <w:r>
          <w:rPr>
            <w:rFonts w:asciiTheme="minorHAnsi" w:eastAsiaTheme="minorEastAsia" w:hAnsiTheme="minorHAnsi" w:cstheme="minorBidi"/>
            <w:noProof/>
            <w:sz w:val="22"/>
            <w:szCs w:val="22"/>
          </w:rPr>
          <w:tab/>
        </w:r>
        <w:r w:rsidRPr="00CD0B56">
          <w:rPr>
            <w:rStyle w:val="Hyperlink"/>
            <w:noProof/>
          </w:rPr>
          <w:t>Part 1 Section 18.3.1.19, control (Embedded Control)</w:t>
        </w:r>
        <w:r>
          <w:rPr>
            <w:noProof/>
            <w:webHidden/>
          </w:rPr>
          <w:tab/>
        </w:r>
        <w:r>
          <w:rPr>
            <w:noProof/>
            <w:webHidden/>
          </w:rPr>
          <w:fldChar w:fldCharType="begin"/>
        </w:r>
        <w:r>
          <w:rPr>
            <w:noProof/>
            <w:webHidden/>
          </w:rPr>
          <w:instrText xml:space="preserve"> PAGEREF _Toc12260670 \h </w:instrText>
        </w:r>
        <w:r>
          <w:rPr>
            <w:noProof/>
            <w:webHidden/>
          </w:rPr>
        </w:r>
        <w:r>
          <w:rPr>
            <w:noProof/>
            <w:webHidden/>
          </w:rPr>
          <w:fldChar w:fldCharType="separate"/>
        </w:r>
        <w:r>
          <w:rPr>
            <w:noProof/>
            <w:webHidden/>
          </w:rPr>
          <w:t>254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71" w:history="1">
        <w:r w:rsidRPr="00CD0B56">
          <w:rPr>
            <w:rStyle w:val="Hyperlink"/>
            <w:noProof/>
          </w:rPr>
          <w:t>2.1.603</w:t>
        </w:r>
        <w:r>
          <w:rPr>
            <w:rFonts w:asciiTheme="minorHAnsi" w:eastAsiaTheme="minorEastAsia" w:hAnsiTheme="minorHAnsi" w:cstheme="minorBidi"/>
            <w:noProof/>
            <w:sz w:val="22"/>
            <w:szCs w:val="22"/>
          </w:rPr>
          <w:tab/>
        </w:r>
        <w:r w:rsidRPr="00CD0B56">
          <w:rPr>
            <w:rStyle w:val="Hyperlink"/>
            <w:noProof/>
          </w:rPr>
          <w:t>Part 1 Section 18.3.1.20, controlPr (Embedded Control Properties)</w:t>
        </w:r>
        <w:r>
          <w:rPr>
            <w:noProof/>
            <w:webHidden/>
          </w:rPr>
          <w:tab/>
        </w:r>
        <w:r>
          <w:rPr>
            <w:noProof/>
            <w:webHidden/>
          </w:rPr>
          <w:fldChar w:fldCharType="begin"/>
        </w:r>
        <w:r>
          <w:rPr>
            <w:noProof/>
            <w:webHidden/>
          </w:rPr>
          <w:instrText xml:space="preserve"> PAGEREF _Toc12260671 \h </w:instrText>
        </w:r>
        <w:r>
          <w:rPr>
            <w:noProof/>
            <w:webHidden/>
          </w:rPr>
        </w:r>
        <w:r>
          <w:rPr>
            <w:noProof/>
            <w:webHidden/>
          </w:rPr>
          <w:fldChar w:fldCharType="separate"/>
        </w:r>
        <w:r>
          <w:rPr>
            <w:noProof/>
            <w:webHidden/>
          </w:rPr>
          <w:t>254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72" w:history="1">
        <w:r w:rsidRPr="00CD0B56">
          <w:rPr>
            <w:rStyle w:val="Hyperlink"/>
            <w:noProof/>
          </w:rPr>
          <w:t>2.1.604</w:t>
        </w:r>
        <w:r>
          <w:rPr>
            <w:rFonts w:asciiTheme="minorHAnsi" w:eastAsiaTheme="minorEastAsia" w:hAnsiTheme="minorHAnsi" w:cstheme="minorBidi"/>
            <w:noProof/>
            <w:sz w:val="22"/>
            <w:szCs w:val="22"/>
          </w:rPr>
          <w:tab/>
        </w:r>
        <w:r w:rsidRPr="00CD0B56">
          <w:rPr>
            <w:rStyle w:val="Hyperlink"/>
            <w:noProof/>
          </w:rPr>
          <w:t>Part 1 Section 18.3.1.21, controls (Embedded Controls)</w:t>
        </w:r>
        <w:r>
          <w:rPr>
            <w:noProof/>
            <w:webHidden/>
          </w:rPr>
          <w:tab/>
        </w:r>
        <w:r>
          <w:rPr>
            <w:noProof/>
            <w:webHidden/>
          </w:rPr>
          <w:fldChar w:fldCharType="begin"/>
        </w:r>
        <w:r>
          <w:rPr>
            <w:noProof/>
            <w:webHidden/>
          </w:rPr>
          <w:instrText xml:space="preserve"> PAGEREF _Toc12260672 \h </w:instrText>
        </w:r>
        <w:r>
          <w:rPr>
            <w:noProof/>
            <w:webHidden/>
          </w:rPr>
        </w:r>
        <w:r>
          <w:rPr>
            <w:noProof/>
            <w:webHidden/>
          </w:rPr>
          <w:fldChar w:fldCharType="separate"/>
        </w:r>
        <w:r>
          <w:rPr>
            <w:noProof/>
            <w:webHidden/>
          </w:rPr>
          <w:t>254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73" w:history="1">
        <w:r w:rsidRPr="00CD0B56">
          <w:rPr>
            <w:rStyle w:val="Hyperlink"/>
            <w:noProof/>
          </w:rPr>
          <w:t>2.1.605</w:t>
        </w:r>
        <w:r>
          <w:rPr>
            <w:rFonts w:asciiTheme="minorHAnsi" w:eastAsiaTheme="minorEastAsia" w:hAnsiTheme="minorHAnsi" w:cstheme="minorBidi"/>
            <w:noProof/>
            <w:sz w:val="22"/>
            <w:szCs w:val="22"/>
          </w:rPr>
          <w:tab/>
        </w:r>
        <w:r w:rsidRPr="00CD0B56">
          <w:rPr>
            <w:rStyle w:val="Hyperlink"/>
            <w:noProof/>
          </w:rPr>
          <w:t>Part 1 Section 18.3.1.22, customPr (Custom Property)</w:t>
        </w:r>
        <w:r>
          <w:rPr>
            <w:noProof/>
            <w:webHidden/>
          </w:rPr>
          <w:tab/>
        </w:r>
        <w:r>
          <w:rPr>
            <w:noProof/>
            <w:webHidden/>
          </w:rPr>
          <w:fldChar w:fldCharType="begin"/>
        </w:r>
        <w:r>
          <w:rPr>
            <w:noProof/>
            <w:webHidden/>
          </w:rPr>
          <w:instrText xml:space="preserve"> PAGEREF _Toc12260673 \h </w:instrText>
        </w:r>
        <w:r>
          <w:rPr>
            <w:noProof/>
            <w:webHidden/>
          </w:rPr>
        </w:r>
        <w:r>
          <w:rPr>
            <w:noProof/>
            <w:webHidden/>
          </w:rPr>
          <w:fldChar w:fldCharType="separate"/>
        </w:r>
        <w:r>
          <w:rPr>
            <w:noProof/>
            <w:webHidden/>
          </w:rPr>
          <w:t>254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74" w:history="1">
        <w:r w:rsidRPr="00CD0B56">
          <w:rPr>
            <w:rStyle w:val="Hyperlink"/>
            <w:noProof/>
          </w:rPr>
          <w:t>2.1.606</w:t>
        </w:r>
        <w:r>
          <w:rPr>
            <w:rFonts w:asciiTheme="minorHAnsi" w:eastAsiaTheme="minorEastAsia" w:hAnsiTheme="minorHAnsi" w:cstheme="minorBidi"/>
            <w:noProof/>
            <w:sz w:val="22"/>
            <w:szCs w:val="22"/>
          </w:rPr>
          <w:tab/>
        </w:r>
        <w:r w:rsidRPr="00CD0B56">
          <w:rPr>
            <w:rStyle w:val="Hyperlink"/>
            <w:noProof/>
          </w:rPr>
          <w:t>Part 1 Section 18.3.1.24, customSheetView (Custom Chart Sheet View)</w:t>
        </w:r>
        <w:r>
          <w:rPr>
            <w:noProof/>
            <w:webHidden/>
          </w:rPr>
          <w:tab/>
        </w:r>
        <w:r>
          <w:rPr>
            <w:noProof/>
            <w:webHidden/>
          </w:rPr>
          <w:fldChar w:fldCharType="begin"/>
        </w:r>
        <w:r>
          <w:rPr>
            <w:noProof/>
            <w:webHidden/>
          </w:rPr>
          <w:instrText xml:space="preserve"> PAGEREF _Toc12260674 \h </w:instrText>
        </w:r>
        <w:r>
          <w:rPr>
            <w:noProof/>
            <w:webHidden/>
          </w:rPr>
        </w:r>
        <w:r>
          <w:rPr>
            <w:noProof/>
            <w:webHidden/>
          </w:rPr>
          <w:fldChar w:fldCharType="separate"/>
        </w:r>
        <w:r>
          <w:rPr>
            <w:noProof/>
            <w:webHidden/>
          </w:rPr>
          <w:t>254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75" w:history="1">
        <w:r w:rsidRPr="00CD0B56">
          <w:rPr>
            <w:rStyle w:val="Hyperlink"/>
            <w:noProof/>
          </w:rPr>
          <w:t>2.1.607</w:t>
        </w:r>
        <w:r>
          <w:rPr>
            <w:rFonts w:asciiTheme="minorHAnsi" w:eastAsiaTheme="minorEastAsia" w:hAnsiTheme="minorHAnsi" w:cstheme="minorBidi"/>
            <w:noProof/>
            <w:sz w:val="22"/>
            <w:szCs w:val="22"/>
          </w:rPr>
          <w:tab/>
        </w:r>
        <w:r w:rsidRPr="00CD0B56">
          <w:rPr>
            <w:rStyle w:val="Hyperlink"/>
            <w:noProof/>
          </w:rPr>
          <w:t>Part 1 Section 18.3.1.25, customSheetView (Custom Sheet View)</w:t>
        </w:r>
        <w:r>
          <w:rPr>
            <w:noProof/>
            <w:webHidden/>
          </w:rPr>
          <w:tab/>
        </w:r>
        <w:r>
          <w:rPr>
            <w:noProof/>
            <w:webHidden/>
          </w:rPr>
          <w:fldChar w:fldCharType="begin"/>
        </w:r>
        <w:r>
          <w:rPr>
            <w:noProof/>
            <w:webHidden/>
          </w:rPr>
          <w:instrText xml:space="preserve"> PAGEREF _Toc12260675 \h </w:instrText>
        </w:r>
        <w:r>
          <w:rPr>
            <w:noProof/>
            <w:webHidden/>
          </w:rPr>
        </w:r>
        <w:r>
          <w:rPr>
            <w:noProof/>
            <w:webHidden/>
          </w:rPr>
          <w:fldChar w:fldCharType="separate"/>
        </w:r>
        <w:r>
          <w:rPr>
            <w:noProof/>
            <w:webHidden/>
          </w:rPr>
          <w:t>255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76" w:history="1">
        <w:r w:rsidRPr="00CD0B56">
          <w:rPr>
            <w:rStyle w:val="Hyperlink"/>
            <w:noProof/>
          </w:rPr>
          <w:t>2.1.608</w:t>
        </w:r>
        <w:r>
          <w:rPr>
            <w:rFonts w:asciiTheme="minorHAnsi" w:eastAsiaTheme="minorEastAsia" w:hAnsiTheme="minorHAnsi" w:cstheme="minorBidi"/>
            <w:noProof/>
            <w:sz w:val="22"/>
            <w:szCs w:val="22"/>
          </w:rPr>
          <w:tab/>
        </w:r>
        <w:r w:rsidRPr="00CD0B56">
          <w:rPr>
            <w:rStyle w:val="Hyperlink"/>
            <w:noProof/>
          </w:rPr>
          <w:t>Part 1 Section 18.3.1.26, customSheetViews (Custom Chart Sheet Views)</w:t>
        </w:r>
        <w:r>
          <w:rPr>
            <w:noProof/>
            <w:webHidden/>
          </w:rPr>
          <w:tab/>
        </w:r>
        <w:r>
          <w:rPr>
            <w:noProof/>
            <w:webHidden/>
          </w:rPr>
          <w:fldChar w:fldCharType="begin"/>
        </w:r>
        <w:r>
          <w:rPr>
            <w:noProof/>
            <w:webHidden/>
          </w:rPr>
          <w:instrText xml:space="preserve"> PAGEREF _Toc12260676 \h </w:instrText>
        </w:r>
        <w:r>
          <w:rPr>
            <w:noProof/>
            <w:webHidden/>
          </w:rPr>
        </w:r>
        <w:r>
          <w:rPr>
            <w:noProof/>
            <w:webHidden/>
          </w:rPr>
          <w:fldChar w:fldCharType="separate"/>
        </w:r>
        <w:r>
          <w:rPr>
            <w:noProof/>
            <w:webHidden/>
          </w:rPr>
          <w:t>255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77" w:history="1">
        <w:r w:rsidRPr="00CD0B56">
          <w:rPr>
            <w:rStyle w:val="Hyperlink"/>
            <w:noProof/>
          </w:rPr>
          <w:t>2.1.609</w:t>
        </w:r>
        <w:r>
          <w:rPr>
            <w:rFonts w:asciiTheme="minorHAnsi" w:eastAsiaTheme="minorEastAsia" w:hAnsiTheme="minorHAnsi" w:cstheme="minorBidi"/>
            <w:noProof/>
            <w:sz w:val="22"/>
            <w:szCs w:val="22"/>
          </w:rPr>
          <w:tab/>
        </w:r>
        <w:r w:rsidRPr="00CD0B56">
          <w:rPr>
            <w:rStyle w:val="Hyperlink"/>
            <w:noProof/>
          </w:rPr>
          <w:t>Part 1 Section 18.3.1.27, customSheetViews (Custom Sheet Views)</w:t>
        </w:r>
        <w:r>
          <w:rPr>
            <w:noProof/>
            <w:webHidden/>
          </w:rPr>
          <w:tab/>
        </w:r>
        <w:r>
          <w:rPr>
            <w:noProof/>
            <w:webHidden/>
          </w:rPr>
          <w:fldChar w:fldCharType="begin"/>
        </w:r>
        <w:r>
          <w:rPr>
            <w:noProof/>
            <w:webHidden/>
          </w:rPr>
          <w:instrText xml:space="preserve"> PAGEREF _Toc12260677 \h </w:instrText>
        </w:r>
        <w:r>
          <w:rPr>
            <w:noProof/>
            <w:webHidden/>
          </w:rPr>
        </w:r>
        <w:r>
          <w:rPr>
            <w:noProof/>
            <w:webHidden/>
          </w:rPr>
          <w:fldChar w:fldCharType="separate"/>
        </w:r>
        <w:r>
          <w:rPr>
            <w:noProof/>
            <w:webHidden/>
          </w:rPr>
          <w:t>255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78" w:history="1">
        <w:r w:rsidRPr="00CD0B56">
          <w:rPr>
            <w:rStyle w:val="Hyperlink"/>
            <w:noProof/>
          </w:rPr>
          <w:t>2.1.610</w:t>
        </w:r>
        <w:r>
          <w:rPr>
            <w:rFonts w:asciiTheme="minorHAnsi" w:eastAsiaTheme="minorEastAsia" w:hAnsiTheme="minorHAnsi" w:cstheme="minorBidi"/>
            <w:noProof/>
            <w:sz w:val="22"/>
            <w:szCs w:val="22"/>
          </w:rPr>
          <w:tab/>
        </w:r>
        <w:r w:rsidRPr="00CD0B56">
          <w:rPr>
            <w:rStyle w:val="Hyperlink"/>
            <w:noProof/>
          </w:rPr>
          <w:t>Part 1 Section 18.3.1.28, dataBar (Data Bar)</w:t>
        </w:r>
        <w:r>
          <w:rPr>
            <w:noProof/>
            <w:webHidden/>
          </w:rPr>
          <w:tab/>
        </w:r>
        <w:r>
          <w:rPr>
            <w:noProof/>
            <w:webHidden/>
          </w:rPr>
          <w:fldChar w:fldCharType="begin"/>
        </w:r>
        <w:r>
          <w:rPr>
            <w:noProof/>
            <w:webHidden/>
          </w:rPr>
          <w:instrText xml:space="preserve"> PAGEREF _Toc12260678 \h </w:instrText>
        </w:r>
        <w:r>
          <w:rPr>
            <w:noProof/>
            <w:webHidden/>
          </w:rPr>
        </w:r>
        <w:r>
          <w:rPr>
            <w:noProof/>
            <w:webHidden/>
          </w:rPr>
          <w:fldChar w:fldCharType="separate"/>
        </w:r>
        <w:r>
          <w:rPr>
            <w:noProof/>
            <w:webHidden/>
          </w:rPr>
          <w:t>255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79" w:history="1">
        <w:r w:rsidRPr="00CD0B56">
          <w:rPr>
            <w:rStyle w:val="Hyperlink"/>
            <w:noProof/>
          </w:rPr>
          <w:t>2.1.611</w:t>
        </w:r>
        <w:r>
          <w:rPr>
            <w:rFonts w:asciiTheme="minorHAnsi" w:eastAsiaTheme="minorEastAsia" w:hAnsiTheme="minorHAnsi" w:cstheme="minorBidi"/>
            <w:noProof/>
            <w:sz w:val="22"/>
            <w:szCs w:val="22"/>
          </w:rPr>
          <w:tab/>
        </w:r>
        <w:r w:rsidRPr="00CD0B56">
          <w:rPr>
            <w:rStyle w:val="Hyperlink"/>
            <w:noProof/>
          </w:rPr>
          <w:t>Part 1 Section 18.3.1.29, dataConsolidate (Data Consolidate)</w:t>
        </w:r>
        <w:r>
          <w:rPr>
            <w:noProof/>
            <w:webHidden/>
          </w:rPr>
          <w:tab/>
        </w:r>
        <w:r>
          <w:rPr>
            <w:noProof/>
            <w:webHidden/>
          </w:rPr>
          <w:fldChar w:fldCharType="begin"/>
        </w:r>
        <w:r>
          <w:rPr>
            <w:noProof/>
            <w:webHidden/>
          </w:rPr>
          <w:instrText xml:space="preserve"> PAGEREF _Toc12260679 \h </w:instrText>
        </w:r>
        <w:r>
          <w:rPr>
            <w:noProof/>
            <w:webHidden/>
          </w:rPr>
        </w:r>
        <w:r>
          <w:rPr>
            <w:noProof/>
            <w:webHidden/>
          </w:rPr>
          <w:fldChar w:fldCharType="separate"/>
        </w:r>
        <w:r>
          <w:rPr>
            <w:noProof/>
            <w:webHidden/>
          </w:rPr>
          <w:t>255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80" w:history="1">
        <w:r w:rsidRPr="00CD0B56">
          <w:rPr>
            <w:rStyle w:val="Hyperlink"/>
            <w:noProof/>
          </w:rPr>
          <w:t>2.1.612</w:t>
        </w:r>
        <w:r>
          <w:rPr>
            <w:rFonts w:asciiTheme="minorHAnsi" w:eastAsiaTheme="minorEastAsia" w:hAnsiTheme="minorHAnsi" w:cstheme="minorBidi"/>
            <w:noProof/>
            <w:sz w:val="22"/>
            <w:szCs w:val="22"/>
          </w:rPr>
          <w:tab/>
        </w:r>
        <w:r w:rsidRPr="00CD0B56">
          <w:rPr>
            <w:rStyle w:val="Hyperlink"/>
            <w:noProof/>
          </w:rPr>
          <w:t>Part 1 Section 18.3.1.32, dataValidation (Data Validation)</w:t>
        </w:r>
        <w:r>
          <w:rPr>
            <w:noProof/>
            <w:webHidden/>
          </w:rPr>
          <w:tab/>
        </w:r>
        <w:r>
          <w:rPr>
            <w:noProof/>
            <w:webHidden/>
          </w:rPr>
          <w:fldChar w:fldCharType="begin"/>
        </w:r>
        <w:r>
          <w:rPr>
            <w:noProof/>
            <w:webHidden/>
          </w:rPr>
          <w:instrText xml:space="preserve"> PAGEREF _Toc12260680 \h </w:instrText>
        </w:r>
        <w:r>
          <w:rPr>
            <w:noProof/>
            <w:webHidden/>
          </w:rPr>
        </w:r>
        <w:r>
          <w:rPr>
            <w:noProof/>
            <w:webHidden/>
          </w:rPr>
          <w:fldChar w:fldCharType="separate"/>
        </w:r>
        <w:r>
          <w:rPr>
            <w:noProof/>
            <w:webHidden/>
          </w:rPr>
          <w:t>256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81" w:history="1">
        <w:r w:rsidRPr="00CD0B56">
          <w:rPr>
            <w:rStyle w:val="Hyperlink"/>
            <w:noProof/>
          </w:rPr>
          <w:t>2.1.613</w:t>
        </w:r>
        <w:r>
          <w:rPr>
            <w:rFonts w:asciiTheme="minorHAnsi" w:eastAsiaTheme="minorEastAsia" w:hAnsiTheme="minorHAnsi" w:cstheme="minorBidi"/>
            <w:noProof/>
            <w:sz w:val="22"/>
            <w:szCs w:val="22"/>
          </w:rPr>
          <w:tab/>
        </w:r>
        <w:r w:rsidRPr="00CD0B56">
          <w:rPr>
            <w:rStyle w:val="Hyperlink"/>
            <w:noProof/>
          </w:rPr>
          <w:t>Part 1 Section 18.3.1.33, dataValidations (Data Validations)</w:t>
        </w:r>
        <w:r>
          <w:rPr>
            <w:noProof/>
            <w:webHidden/>
          </w:rPr>
          <w:tab/>
        </w:r>
        <w:r>
          <w:rPr>
            <w:noProof/>
            <w:webHidden/>
          </w:rPr>
          <w:fldChar w:fldCharType="begin"/>
        </w:r>
        <w:r>
          <w:rPr>
            <w:noProof/>
            <w:webHidden/>
          </w:rPr>
          <w:instrText xml:space="preserve"> PAGEREF _Toc12260681 \h </w:instrText>
        </w:r>
        <w:r>
          <w:rPr>
            <w:noProof/>
            <w:webHidden/>
          </w:rPr>
        </w:r>
        <w:r>
          <w:rPr>
            <w:noProof/>
            <w:webHidden/>
          </w:rPr>
          <w:fldChar w:fldCharType="separate"/>
        </w:r>
        <w:r>
          <w:rPr>
            <w:noProof/>
            <w:webHidden/>
          </w:rPr>
          <w:t>256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82" w:history="1">
        <w:r w:rsidRPr="00CD0B56">
          <w:rPr>
            <w:rStyle w:val="Hyperlink"/>
            <w:noProof/>
          </w:rPr>
          <w:t>2.1.614</w:t>
        </w:r>
        <w:r>
          <w:rPr>
            <w:rFonts w:asciiTheme="minorHAnsi" w:eastAsiaTheme="minorEastAsia" w:hAnsiTheme="minorHAnsi" w:cstheme="minorBidi"/>
            <w:noProof/>
            <w:sz w:val="22"/>
            <w:szCs w:val="22"/>
          </w:rPr>
          <w:tab/>
        </w:r>
        <w:r w:rsidRPr="00CD0B56">
          <w:rPr>
            <w:rStyle w:val="Hyperlink"/>
            <w:noProof/>
          </w:rPr>
          <w:t>Part 1 Section 18.3.1.34, dialogsheet (Dialog Sheet)</w:t>
        </w:r>
        <w:r>
          <w:rPr>
            <w:noProof/>
            <w:webHidden/>
          </w:rPr>
          <w:tab/>
        </w:r>
        <w:r>
          <w:rPr>
            <w:noProof/>
            <w:webHidden/>
          </w:rPr>
          <w:fldChar w:fldCharType="begin"/>
        </w:r>
        <w:r>
          <w:rPr>
            <w:noProof/>
            <w:webHidden/>
          </w:rPr>
          <w:instrText xml:space="preserve"> PAGEREF _Toc12260682 \h </w:instrText>
        </w:r>
        <w:r>
          <w:rPr>
            <w:noProof/>
            <w:webHidden/>
          </w:rPr>
        </w:r>
        <w:r>
          <w:rPr>
            <w:noProof/>
            <w:webHidden/>
          </w:rPr>
          <w:fldChar w:fldCharType="separate"/>
        </w:r>
        <w:r>
          <w:rPr>
            <w:noProof/>
            <w:webHidden/>
          </w:rPr>
          <w:t>256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83" w:history="1">
        <w:r w:rsidRPr="00CD0B56">
          <w:rPr>
            <w:rStyle w:val="Hyperlink"/>
            <w:noProof/>
          </w:rPr>
          <w:t>2.1.615</w:t>
        </w:r>
        <w:r>
          <w:rPr>
            <w:rFonts w:asciiTheme="minorHAnsi" w:eastAsiaTheme="minorEastAsia" w:hAnsiTheme="minorHAnsi" w:cstheme="minorBidi"/>
            <w:noProof/>
            <w:sz w:val="22"/>
            <w:szCs w:val="22"/>
          </w:rPr>
          <w:tab/>
        </w:r>
        <w:r w:rsidRPr="00CD0B56">
          <w:rPr>
            <w:rStyle w:val="Hyperlink"/>
            <w:noProof/>
          </w:rPr>
          <w:t>Part 1 Section 18.3.1.36, drawing (Drawing)</w:t>
        </w:r>
        <w:r>
          <w:rPr>
            <w:noProof/>
            <w:webHidden/>
          </w:rPr>
          <w:tab/>
        </w:r>
        <w:r>
          <w:rPr>
            <w:noProof/>
            <w:webHidden/>
          </w:rPr>
          <w:fldChar w:fldCharType="begin"/>
        </w:r>
        <w:r>
          <w:rPr>
            <w:noProof/>
            <w:webHidden/>
          </w:rPr>
          <w:instrText xml:space="preserve"> PAGEREF _Toc12260683 \h </w:instrText>
        </w:r>
        <w:r>
          <w:rPr>
            <w:noProof/>
            <w:webHidden/>
          </w:rPr>
        </w:r>
        <w:r>
          <w:rPr>
            <w:noProof/>
            <w:webHidden/>
          </w:rPr>
          <w:fldChar w:fldCharType="separate"/>
        </w:r>
        <w:r>
          <w:rPr>
            <w:noProof/>
            <w:webHidden/>
          </w:rPr>
          <w:t>257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84" w:history="1">
        <w:r w:rsidRPr="00CD0B56">
          <w:rPr>
            <w:rStyle w:val="Hyperlink"/>
            <w:noProof/>
          </w:rPr>
          <w:t>2.1.616</w:t>
        </w:r>
        <w:r>
          <w:rPr>
            <w:rFonts w:asciiTheme="minorHAnsi" w:eastAsiaTheme="minorEastAsia" w:hAnsiTheme="minorHAnsi" w:cstheme="minorBidi"/>
            <w:noProof/>
            <w:sz w:val="22"/>
            <w:szCs w:val="22"/>
          </w:rPr>
          <w:tab/>
        </w:r>
        <w:r w:rsidRPr="00CD0B56">
          <w:rPr>
            <w:rStyle w:val="Hyperlink"/>
            <w:noProof/>
          </w:rPr>
          <w:t>Part 1 Section 18.3.1.37, drawingHF (Drawing Reference in Header Footer)</w:t>
        </w:r>
        <w:r>
          <w:rPr>
            <w:noProof/>
            <w:webHidden/>
          </w:rPr>
          <w:tab/>
        </w:r>
        <w:r>
          <w:rPr>
            <w:noProof/>
            <w:webHidden/>
          </w:rPr>
          <w:fldChar w:fldCharType="begin"/>
        </w:r>
        <w:r>
          <w:rPr>
            <w:noProof/>
            <w:webHidden/>
          </w:rPr>
          <w:instrText xml:space="preserve"> PAGEREF _Toc12260684 \h </w:instrText>
        </w:r>
        <w:r>
          <w:rPr>
            <w:noProof/>
            <w:webHidden/>
          </w:rPr>
        </w:r>
        <w:r>
          <w:rPr>
            <w:noProof/>
            <w:webHidden/>
          </w:rPr>
          <w:fldChar w:fldCharType="separate"/>
        </w:r>
        <w:r>
          <w:rPr>
            <w:noProof/>
            <w:webHidden/>
          </w:rPr>
          <w:t>257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85" w:history="1">
        <w:r w:rsidRPr="00CD0B56">
          <w:rPr>
            <w:rStyle w:val="Hyperlink"/>
            <w:noProof/>
          </w:rPr>
          <w:t>2.1.617</w:t>
        </w:r>
        <w:r>
          <w:rPr>
            <w:rFonts w:asciiTheme="minorHAnsi" w:eastAsiaTheme="minorEastAsia" w:hAnsiTheme="minorHAnsi" w:cstheme="minorBidi"/>
            <w:noProof/>
            <w:sz w:val="22"/>
            <w:szCs w:val="22"/>
          </w:rPr>
          <w:tab/>
        </w:r>
        <w:r w:rsidRPr="00CD0B56">
          <w:rPr>
            <w:rStyle w:val="Hyperlink"/>
            <w:noProof/>
          </w:rPr>
          <w:t>Part 1 Section 18.3.1.38, evenFooter (Even Page Footer)</w:t>
        </w:r>
        <w:r>
          <w:rPr>
            <w:noProof/>
            <w:webHidden/>
          </w:rPr>
          <w:tab/>
        </w:r>
        <w:r>
          <w:rPr>
            <w:noProof/>
            <w:webHidden/>
          </w:rPr>
          <w:fldChar w:fldCharType="begin"/>
        </w:r>
        <w:r>
          <w:rPr>
            <w:noProof/>
            <w:webHidden/>
          </w:rPr>
          <w:instrText xml:space="preserve"> PAGEREF _Toc12260685 \h </w:instrText>
        </w:r>
        <w:r>
          <w:rPr>
            <w:noProof/>
            <w:webHidden/>
          </w:rPr>
        </w:r>
        <w:r>
          <w:rPr>
            <w:noProof/>
            <w:webHidden/>
          </w:rPr>
          <w:fldChar w:fldCharType="separate"/>
        </w:r>
        <w:r>
          <w:rPr>
            <w:noProof/>
            <w:webHidden/>
          </w:rPr>
          <w:t>257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86" w:history="1">
        <w:r w:rsidRPr="00CD0B56">
          <w:rPr>
            <w:rStyle w:val="Hyperlink"/>
            <w:noProof/>
          </w:rPr>
          <w:t>2.1.618</w:t>
        </w:r>
        <w:r>
          <w:rPr>
            <w:rFonts w:asciiTheme="minorHAnsi" w:eastAsiaTheme="minorEastAsia" w:hAnsiTheme="minorHAnsi" w:cstheme="minorBidi"/>
            <w:noProof/>
            <w:sz w:val="22"/>
            <w:szCs w:val="22"/>
          </w:rPr>
          <w:tab/>
        </w:r>
        <w:r w:rsidRPr="00CD0B56">
          <w:rPr>
            <w:rStyle w:val="Hyperlink"/>
            <w:noProof/>
          </w:rPr>
          <w:t>Part 1 Section 18.3.1.39, evenHeader (Even Page Header)</w:t>
        </w:r>
        <w:r>
          <w:rPr>
            <w:noProof/>
            <w:webHidden/>
          </w:rPr>
          <w:tab/>
        </w:r>
        <w:r>
          <w:rPr>
            <w:noProof/>
            <w:webHidden/>
          </w:rPr>
          <w:fldChar w:fldCharType="begin"/>
        </w:r>
        <w:r>
          <w:rPr>
            <w:noProof/>
            <w:webHidden/>
          </w:rPr>
          <w:instrText xml:space="preserve"> PAGEREF _Toc12260686 \h </w:instrText>
        </w:r>
        <w:r>
          <w:rPr>
            <w:noProof/>
            <w:webHidden/>
          </w:rPr>
        </w:r>
        <w:r>
          <w:rPr>
            <w:noProof/>
            <w:webHidden/>
          </w:rPr>
          <w:fldChar w:fldCharType="separate"/>
        </w:r>
        <w:r>
          <w:rPr>
            <w:noProof/>
            <w:webHidden/>
          </w:rPr>
          <w:t>257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87" w:history="1">
        <w:r w:rsidRPr="00CD0B56">
          <w:rPr>
            <w:rStyle w:val="Hyperlink"/>
            <w:noProof/>
          </w:rPr>
          <w:t>2.1.619</w:t>
        </w:r>
        <w:r>
          <w:rPr>
            <w:rFonts w:asciiTheme="minorHAnsi" w:eastAsiaTheme="minorEastAsia" w:hAnsiTheme="minorHAnsi" w:cstheme="minorBidi"/>
            <w:noProof/>
            <w:sz w:val="22"/>
            <w:szCs w:val="22"/>
          </w:rPr>
          <w:tab/>
        </w:r>
        <w:r w:rsidRPr="00CD0B56">
          <w:rPr>
            <w:rStyle w:val="Hyperlink"/>
            <w:noProof/>
          </w:rPr>
          <w:t>Part 1 Section 18.3.1.40, f (Formula)</w:t>
        </w:r>
        <w:r>
          <w:rPr>
            <w:noProof/>
            <w:webHidden/>
          </w:rPr>
          <w:tab/>
        </w:r>
        <w:r>
          <w:rPr>
            <w:noProof/>
            <w:webHidden/>
          </w:rPr>
          <w:fldChar w:fldCharType="begin"/>
        </w:r>
        <w:r>
          <w:rPr>
            <w:noProof/>
            <w:webHidden/>
          </w:rPr>
          <w:instrText xml:space="preserve"> PAGEREF _Toc12260687 \h </w:instrText>
        </w:r>
        <w:r>
          <w:rPr>
            <w:noProof/>
            <w:webHidden/>
          </w:rPr>
        </w:r>
        <w:r>
          <w:rPr>
            <w:noProof/>
            <w:webHidden/>
          </w:rPr>
          <w:fldChar w:fldCharType="separate"/>
        </w:r>
        <w:r>
          <w:rPr>
            <w:noProof/>
            <w:webHidden/>
          </w:rPr>
          <w:t>260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88" w:history="1">
        <w:r w:rsidRPr="00CD0B56">
          <w:rPr>
            <w:rStyle w:val="Hyperlink"/>
            <w:noProof/>
          </w:rPr>
          <w:t>2.1.620</w:t>
        </w:r>
        <w:r>
          <w:rPr>
            <w:rFonts w:asciiTheme="minorHAnsi" w:eastAsiaTheme="minorEastAsia" w:hAnsiTheme="minorHAnsi" w:cstheme="minorBidi"/>
            <w:noProof/>
            <w:sz w:val="22"/>
            <w:szCs w:val="22"/>
          </w:rPr>
          <w:tab/>
        </w:r>
        <w:r w:rsidRPr="00CD0B56">
          <w:rPr>
            <w:rStyle w:val="Hyperlink"/>
            <w:noProof/>
          </w:rPr>
          <w:t>Part 1 Section 18.3.1.41, firstFooter (First Page Footer)</w:t>
        </w:r>
        <w:r>
          <w:rPr>
            <w:noProof/>
            <w:webHidden/>
          </w:rPr>
          <w:tab/>
        </w:r>
        <w:r>
          <w:rPr>
            <w:noProof/>
            <w:webHidden/>
          </w:rPr>
          <w:fldChar w:fldCharType="begin"/>
        </w:r>
        <w:r>
          <w:rPr>
            <w:noProof/>
            <w:webHidden/>
          </w:rPr>
          <w:instrText xml:space="preserve"> PAGEREF _Toc12260688 \h </w:instrText>
        </w:r>
        <w:r>
          <w:rPr>
            <w:noProof/>
            <w:webHidden/>
          </w:rPr>
        </w:r>
        <w:r>
          <w:rPr>
            <w:noProof/>
            <w:webHidden/>
          </w:rPr>
          <w:fldChar w:fldCharType="separate"/>
        </w:r>
        <w:r>
          <w:rPr>
            <w:noProof/>
            <w:webHidden/>
          </w:rPr>
          <w:t>261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89" w:history="1">
        <w:r w:rsidRPr="00CD0B56">
          <w:rPr>
            <w:rStyle w:val="Hyperlink"/>
            <w:noProof/>
          </w:rPr>
          <w:t>2.1.621</w:t>
        </w:r>
        <w:r>
          <w:rPr>
            <w:rFonts w:asciiTheme="minorHAnsi" w:eastAsiaTheme="minorEastAsia" w:hAnsiTheme="minorHAnsi" w:cstheme="minorBidi"/>
            <w:noProof/>
            <w:sz w:val="22"/>
            <w:szCs w:val="22"/>
          </w:rPr>
          <w:tab/>
        </w:r>
        <w:r w:rsidRPr="00CD0B56">
          <w:rPr>
            <w:rStyle w:val="Hyperlink"/>
            <w:noProof/>
          </w:rPr>
          <w:t>Part 1 Section 18.3.1.42, firstHeader (First Page Header)</w:t>
        </w:r>
        <w:r>
          <w:rPr>
            <w:noProof/>
            <w:webHidden/>
          </w:rPr>
          <w:tab/>
        </w:r>
        <w:r>
          <w:rPr>
            <w:noProof/>
            <w:webHidden/>
          </w:rPr>
          <w:fldChar w:fldCharType="begin"/>
        </w:r>
        <w:r>
          <w:rPr>
            <w:noProof/>
            <w:webHidden/>
          </w:rPr>
          <w:instrText xml:space="preserve"> PAGEREF _Toc12260689 \h </w:instrText>
        </w:r>
        <w:r>
          <w:rPr>
            <w:noProof/>
            <w:webHidden/>
          </w:rPr>
        </w:r>
        <w:r>
          <w:rPr>
            <w:noProof/>
            <w:webHidden/>
          </w:rPr>
          <w:fldChar w:fldCharType="separate"/>
        </w:r>
        <w:r>
          <w:rPr>
            <w:noProof/>
            <w:webHidden/>
          </w:rPr>
          <w:t>261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90" w:history="1">
        <w:r w:rsidRPr="00CD0B56">
          <w:rPr>
            <w:rStyle w:val="Hyperlink"/>
            <w:noProof/>
          </w:rPr>
          <w:t>2.1.622</w:t>
        </w:r>
        <w:r>
          <w:rPr>
            <w:rFonts w:asciiTheme="minorHAnsi" w:eastAsiaTheme="minorEastAsia" w:hAnsiTheme="minorHAnsi" w:cstheme="minorBidi"/>
            <w:noProof/>
            <w:sz w:val="22"/>
            <w:szCs w:val="22"/>
          </w:rPr>
          <w:tab/>
        </w:r>
        <w:r w:rsidRPr="00CD0B56">
          <w:rPr>
            <w:rStyle w:val="Hyperlink"/>
            <w:noProof/>
          </w:rPr>
          <w:t>Part 1 Section 18.3.1.43, formula (Formula)</w:t>
        </w:r>
        <w:r>
          <w:rPr>
            <w:noProof/>
            <w:webHidden/>
          </w:rPr>
          <w:tab/>
        </w:r>
        <w:r>
          <w:rPr>
            <w:noProof/>
            <w:webHidden/>
          </w:rPr>
          <w:fldChar w:fldCharType="begin"/>
        </w:r>
        <w:r>
          <w:rPr>
            <w:noProof/>
            <w:webHidden/>
          </w:rPr>
          <w:instrText xml:space="preserve"> PAGEREF _Toc12260690 \h </w:instrText>
        </w:r>
        <w:r>
          <w:rPr>
            <w:noProof/>
            <w:webHidden/>
          </w:rPr>
        </w:r>
        <w:r>
          <w:rPr>
            <w:noProof/>
            <w:webHidden/>
          </w:rPr>
          <w:fldChar w:fldCharType="separate"/>
        </w:r>
        <w:r>
          <w:rPr>
            <w:noProof/>
            <w:webHidden/>
          </w:rPr>
          <w:t>261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91" w:history="1">
        <w:r w:rsidRPr="00CD0B56">
          <w:rPr>
            <w:rStyle w:val="Hyperlink"/>
            <w:noProof/>
          </w:rPr>
          <w:t>2.1.623</w:t>
        </w:r>
        <w:r>
          <w:rPr>
            <w:rFonts w:asciiTheme="minorHAnsi" w:eastAsiaTheme="minorEastAsia" w:hAnsiTheme="minorHAnsi" w:cstheme="minorBidi"/>
            <w:noProof/>
            <w:sz w:val="22"/>
            <w:szCs w:val="22"/>
          </w:rPr>
          <w:tab/>
        </w:r>
        <w:r w:rsidRPr="00CD0B56">
          <w:rPr>
            <w:rStyle w:val="Hyperlink"/>
            <w:noProof/>
          </w:rPr>
          <w:t>Part 1 Section 18.3.1.44, formula1 (Formula 1)</w:t>
        </w:r>
        <w:r>
          <w:rPr>
            <w:noProof/>
            <w:webHidden/>
          </w:rPr>
          <w:tab/>
        </w:r>
        <w:r>
          <w:rPr>
            <w:noProof/>
            <w:webHidden/>
          </w:rPr>
          <w:fldChar w:fldCharType="begin"/>
        </w:r>
        <w:r>
          <w:rPr>
            <w:noProof/>
            <w:webHidden/>
          </w:rPr>
          <w:instrText xml:space="preserve"> PAGEREF _Toc12260691 \h </w:instrText>
        </w:r>
        <w:r>
          <w:rPr>
            <w:noProof/>
            <w:webHidden/>
          </w:rPr>
        </w:r>
        <w:r>
          <w:rPr>
            <w:noProof/>
            <w:webHidden/>
          </w:rPr>
          <w:fldChar w:fldCharType="separate"/>
        </w:r>
        <w:r>
          <w:rPr>
            <w:noProof/>
            <w:webHidden/>
          </w:rPr>
          <w:t>262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92" w:history="1">
        <w:r w:rsidRPr="00CD0B56">
          <w:rPr>
            <w:rStyle w:val="Hyperlink"/>
            <w:noProof/>
          </w:rPr>
          <w:t>2.1.624</w:t>
        </w:r>
        <w:r>
          <w:rPr>
            <w:rFonts w:asciiTheme="minorHAnsi" w:eastAsiaTheme="minorEastAsia" w:hAnsiTheme="minorHAnsi" w:cstheme="minorBidi"/>
            <w:noProof/>
            <w:sz w:val="22"/>
            <w:szCs w:val="22"/>
          </w:rPr>
          <w:tab/>
        </w:r>
        <w:r w:rsidRPr="00CD0B56">
          <w:rPr>
            <w:rStyle w:val="Hyperlink"/>
            <w:noProof/>
          </w:rPr>
          <w:t>Part 1 Section 18.3.1.45, formula2 (Formula 2)</w:t>
        </w:r>
        <w:r>
          <w:rPr>
            <w:noProof/>
            <w:webHidden/>
          </w:rPr>
          <w:tab/>
        </w:r>
        <w:r>
          <w:rPr>
            <w:noProof/>
            <w:webHidden/>
          </w:rPr>
          <w:fldChar w:fldCharType="begin"/>
        </w:r>
        <w:r>
          <w:rPr>
            <w:noProof/>
            <w:webHidden/>
          </w:rPr>
          <w:instrText xml:space="preserve"> PAGEREF _Toc12260692 \h </w:instrText>
        </w:r>
        <w:r>
          <w:rPr>
            <w:noProof/>
            <w:webHidden/>
          </w:rPr>
        </w:r>
        <w:r>
          <w:rPr>
            <w:noProof/>
            <w:webHidden/>
          </w:rPr>
          <w:fldChar w:fldCharType="separate"/>
        </w:r>
        <w:r>
          <w:rPr>
            <w:noProof/>
            <w:webHidden/>
          </w:rPr>
          <w:t>262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93" w:history="1">
        <w:r w:rsidRPr="00CD0B56">
          <w:rPr>
            <w:rStyle w:val="Hyperlink"/>
            <w:noProof/>
          </w:rPr>
          <w:t>2.1.625</w:t>
        </w:r>
        <w:r>
          <w:rPr>
            <w:rFonts w:asciiTheme="minorHAnsi" w:eastAsiaTheme="minorEastAsia" w:hAnsiTheme="minorHAnsi" w:cstheme="minorBidi"/>
            <w:noProof/>
            <w:sz w:val="22"/>
            <w:szCs w:val="22"/>
          </w:rPr>
          <w:tab/>
        </w:r>
        <w:r w:rsidRPr="00CD0B56">
          <w:rPr>
            <w:rStyle w:val="Hyperlink"/>
            <w:noProof/>
          </w:rPr>
          <w:t>Part 1 Section 18.3.1.47, hyperlink (Hyperlink)</w:t>
        </w:r>
        <w:r>
          <w:rPr>
            <w:noProof/>
            <w:webHidden/>
          </w:rPr>
          <w:tab/>
        </w:r>
        <w:r>
          <w:rPr>
            <w:noProof/>
            <w:webHidden/>
          </w:rPr>
          <w:fldChar w:fldCharType="begin"/>
        </w:r>
        <w:r>
          <w:rPr>
            <w:noProof/>
            <w:webHidden/>
          </w:rPr>
          <w:instrText xml:space="preserve"> PAGEREF _Toc12260693 \h </w:instrText>
        </w:r>
        <w:r>
          <w:rPr>
            <w:noProof/>
            <w:webHidden/>
          </w:rPr>
        </w:r>
        <w:r>
          <w:rPr>
            <w:noProof/>
            <w:webHidden/>
          </w:rPr>
          <w:fldChar w:fldCharType="separate"/>
        </w:r>
        <w:r>
          <w:rPr>
            <w:noProof/>
            <w:webHidden/>
          </w:rPr>
          <w:t>262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94" w:history="1">
        <w:r w:rsidRPr="00CD0B56">
          <w:rPr>
            <w:rStyle w:val="Hyperlink"/>
            <w:noProof/>
          </w:rPr>
          <w:t>2.1.626</w:t>
        </w:r>
        <w:r>
          <w:rPr>
            <w:rFonts w:asciiTheme="minorHAnsi" w:eastAsiaTheme="minorEastAsia" w:hAnsiTheme="minorHAnsi" w:cstheme="minorBidi"/>
            <w:noProof/>
            <w:sz w:val="22"/>
            <w:szCs w:val="22"/>
          </w:rPr>
          <w:tab/>
        </w:r>
        <w:r w:rsidRPr="00CD0B56">
          <w:rPr>
            <w:rStyle w:val="Hyperlink"/>
            <w:noProof/>
          </w:rPr>
          <w:t>Part 1 Section 18.3.1.50, ignoredError (Ignored Error)</w:t>
        </w:r>
        <w:r>
          <w:rPr>
            <w:noProof/>
            <w:webHidden/>
          </w:rPr>
          <w:tab/>
        </w:r>
        <w:r>
          <w:rPr>
            <w:noProof/>
            <w:webHidden/>
          </w:rPr>
          <w:fldChar w:fldCharType="begin"/>
        </w:r>
        <w:r>
          <w:rPr>
            <w:noProof/>
            <w:webHidden/>
          </w:rPr>
          <w:instrText xml:space="preserve"> PAGEREF _Toc12260694 \h </w:instrText>
        </w:r>
        <w:r>
          <w:rPr>
            <w:noProof/>
            <w:webHidden/>
          </w:rPr>
        </w:r>
        <w:r>
          <w:rPr>
            <w:noProof/>
            <w:webHidden/>
          </w:rPr>
          <w:fldChar w:fldCharType="separate"/>
        </w:r>
        <w:r>
          <w:rPr>
            <w:noProof/>
            <w:webHidden/>
          </w:rPr>
          <w:t>262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95" w:history="1">
        <w:r w:rsidRPr="00CD0B56">
          <w:rPr>
            <w:rStyle w:val="Hyperlink"/>
            <w:noProof/>
          </w:rPr>
          <w:t>2.1.627</w:t>
        </w:r>
        <w:r>
          <w:rPr>
            <w:rFonts w:asciiTheme="minorHAnsi" w:eastAsiaTheme="minorEastAsia" w:hAnsiTheme="minorHAnsi" w:cstheme="minorBidi"/>
            <w:noProof/>
            <w:sz w:val="22"/>
            <w:szCs w:val="22"/>
          </w:rPr>
          <w:tab/>
        </w:r>
        <w:r w:rsidRPr="00CD0B56">
          <w:rPr>
            <w:rStyle w:val="Hyperlink"/>
            <w:noProof/>
          </w:rPr>
          <w:t>Part 1 Section 18.3.1.51, ignoredErrors (Ignored Errors)</w:t>
        </w:r>
        <w:r>
          <w:rPr>
            <w:noProof/>
            <w:webHidden/>
          </w:rPr>
          <w:tab/>
        </w:r>
        <w:r>
          <w:rPr>
            <w:noProof/>
            <w:webHidden/>
          </w:rPr>
          <w:fldChar w:fldCharType="begin"/>
        </w:r>
        <w:r>
          <w:rPr>
            <w:noProof/>
            <w:webHidden/>
          </w:rPr>
          <w:instrText xml:space="preserve"> PAGEREF _Toc12260695 \h </w:instrText>
        </w:r>
        <w:r>
          <w:rPr>
            <w:noProof/>
            <w:webHidden/>
          </w:rPr>
        </w:r>
        <w:r>
          <w:rPr>
            <w:noProof/>
            <w:webHidden/>
          </w:rPr>
          <w:fldChar w:fldCharType="separate"/>
        </w:r>
        <w:r>
          <w:rPr>
            <w:noProof/>
            <w:webHidden/>
          </w:rPr>
          <w:t>263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96" w:history="1">
        <w:r w:rsidRPr="00CD0B56">
          <w:rPr>
            <w:rStyle w:val="Hyperlink"/>
            <w:noProof/>
          </w:rPr>
          <w:t>2.1.628</w:t>
        </w:r>
        <w:r>
          <w:rPr>
            <w:rFonts w:asciiTheme="minorHAnsi" w:eastAsiaTheme="minorEastAsia" w:hAnsiTheme="minorHAnsi" w:cstheme="minorBidi"/>
            <w:noProof/>
            <w:sz w:val="22"/>
            <w:szCs w:val="22"/>
          </w:rPr>
          <w:tab/>
        </w:r>
        <w:r w:rsidRPr="00CD0B56">
          <w:rPr>
            <w:rStyle w:val="Hyperlink"/>
            <w:noProof/>
          </w:rPr>
          <w:t>Part 1 Section 18.3.1.52, inputCells (Input Cells)</w:t>
        </w:r>
        <w:r>
          <w:rPr>
            <w:noProof/>
            <w:webHidden/>
          </w:rPr>
          <w:tab/>
        </w:r>
        <w:r>
          <w:rPr>
            <w:noProof/>
            <w:webHidden/>
          </w:rPr>
          <w:fldChar w:fldCharType="begin"/>
        </w:r>
        <w:r>
          <w:rPr>
            <w:noProof/>
            <w:webHidden/>
          </w:rPr>
          <w:instrText xml:space="preserve"> PAGEREF _Toc12260696 \h </w:instrText>
        </w:r>
        <w:r>
          <w:rPr>
            <w:noProof/>
            <w:webHidden/>
          </w:rPr>
        </w:r>
        <w:r>
          <w:rPr>
            <w:noProof/>
            <w:webHidden/>
          </w:rPr>
          <w:fldChar w:fldCharType="separate"/>
        </w:r>
        <w:r>
          <w:rPr>
            <w:noProof/>
            <w:webHidden/>
          </w:rPr>
          <w:t>263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97" w:history="1">
        <w:r w:rsidRPr="00CD0B56">
          <w:rPr>
            <w:rStyle w:val="Hyperlink"/>
            <w:noProof/>
          </w:rPr>
          <w:t>2.1.629</w:t>
        </w:r>
        <w:r>
          <w:rPr>
            <w:rFonts w:asciiTheme="minorHAnsi" w:eastAsiaTheme="minorEastAsia" w:hAnsiTheme="minorHAnsi" w:cstheme="minorBidi"/>
            <w:noProof/>
            <w:sz w:val="22"/>
            <w:szCs w:val="22"/>
          </w:rPr>
          <w:tab/>
        </w:r>
        <w:r w:rsidRPr="00CD0B56">
          <w:rPr>
            <w:rStyle w:val="Hyperlink"/>
            <w:noProof/>
          </w:rPr>
          <w:t>Part 1 Section 18.3.1.53, is (Rich Text Inline)</w:t>
        </w:r>
        <w:r>
          <w:rPr>
            <w:noProof/>
            <w:webHidden/>
          </w:rPr>
          <w:tab/>
        </w:r>
        <w:r>
          <w:rPr>
            <w:noProof/>
            <w:webHidden/>
          </w:rPr>
          <w:fldChar w:fldCharType="begin"/>
        </w:r>
        <w:r>
          <w:rPr>
            <w:noProof/>
            <w:webHidden/>
          </w:rPr>
          <w:instrText xml:space="preserve"> PAGEREF _Toc12260697 \h </w:instrText>
        </w:r>
        <w:r>
          <w:rPr>
            <w:noProof/>
            <w:webHidden/>
          </w:rPr>
        </w:r>
        <w:r>
          <w:rPr>
            <w:noProof/>
            <w:webHidden/>
          </w:rPr>
          <w:fldChar w:fldCharType="separate"/>
        </w:r>
        <w:r>
          <w:rPr>
            <w:noProof/>
            <w:webHidden/>
          </w:rPr>
          <w:t>263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98" w:history="1">
        <w:r w:rsidRPr="00CD0B56">
          <w:rPr>
            <w:rStyle w:val="Hyperlink"/>
            <w:noProof/>
          </w:rPr>
          <w:t>2.1.630</w:t>
        </w:r>
        <w:r>
          <w:rPr>
            <w:rFonts w:asciiTheme="minorHAnsi" w:eastAsiaTheme="minorEastAsia" w:hAnsiTheme="minorHAnsi" w:cstheme="minorBidi"/>
            <w:noProof/>
            <w:sz w:val="22"/>
            <w:szCs w:val="22"/>
          </w:rPr>
          <w:tab/>
        </w:r>
        <w:r w:rsidRPr="00CD0B56">
          <w:rPr>
            <w:rStyle w:val="Hyperlink"/>
            <w:noProof/>
          </w:rPr>
          <w:t>Part 1 Section 18.3.1.55, mergeCells (Merge Cells)</w:t>
        </w:r>
        <w:r>
          <w:rPr>
            <w:noProof/>
            <w:webHidden/>
          </w:rPr>
          <w:tab/>
        </w:r>
        <w:r>
          <w:rPr>
            <w:noProof/>
            <w:webHidden/>
          </w:rPr>
          <w:fldChar w:fldCharType="begin"/>
        </w:r>
        <w:r>
          <w:rPr>
            <w:noProof/>
            <w:webHidden/>
          </w:rPr>
          <w:instrText xml:space="preserve"> PAGEREF _Toc12260698 \h </w:instrText>
        </w:r>
        <w:r>
          <w:rPr>
            <w:noProof/>
            <w:webHidden/>
          </w:rPr>
        </w:r>
        <w:r>
          <w:rPr>
            <w:noProof/>
            <w:webHidden/>
          </w:rPr>
          <w:fldChar w:fldCharType="separate"/>
        </w:r>
        <w:r>
          <w:rPr>
            <w:noProof/>
            <w:webHidden/>
          </w:rPr>
          <w:t>263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699" w:history="1">
        <w:r w:rsidRPr="00CD0B56">
          <w:rPr>
            <w:rStyle w:val="Hyperlink"/>
            <w:noProof/>
          </w:rPr>
          <w:t>2.1.631</w:t>
        </w:r>
        <w:r>
          <w:rPr>
            <w:rFonts w:asciiTheme="minorHAnsi" w:eastAsiaTheme="minorEastAsia" w:hAnsiTheme="minorHAnsi" w:cstheme="minorBidi"/>
            <w:noProof/>
            <w:sz w:val="22"/>
            <w:szCs w:val="22"/>
          </w:rPr>
          <w:tab/>
        </w:r>
        <w:r w:rsidRPr="00CD0B56">
          <w:rPr>
            <w:rStyle w:val="Hyperlink"/>
            <w:noProof/>
          </w:rPr>
          <w:t>Part 1 Section 18.3.1.56, objectPr (Embedded Object Properties)</w:t>
        </w:r>
        <w:r>
          <w:rPr>
            <w:noProof/>
            <w:webHidden/>
          </w:rPr>
          <w:tab/>
        </w:r>
        <w:r>
          <w:rPr>
            <w:noProof/>
            <w:webHidden/>
          </w:rPr>
          <w:fldChar w:fldCharType="begin"/>
        </w:r>
        <w:r>
          <w:rPr>
            <w:noProof/>
            <w:webHidden/>
          </w:rPr>
          <w:instrText xml:space="preserve"> PAGEREF _Toc12260699 \h </w:instrText>
        </w:r>
        <w:r>
          <w:rPr>
            <w:noProof/>
            <w:webHidden/>
          </w:rPr>
        </w:r>
        <w:r>
          <w:rPr>
            <w:noProof/>
            <w:webHidden/>
          </w:rPr>
          <w:fldChar w:fldCharType="separate"/>
        </w:r>
        <w:r>
          <w:rPr>
            <w:noProof/>
            <w:webHidden/>
          </w:rPr>
          <w:t>263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00" w:history="1">
        <w:r w:rsidRPr="00CD0B56">
          <w:rPr>
            <w:rStyle w:val="Hyperlink"/>
            <w:noProof/>
          </w:rPr>
          <w:t>2.1.632</w:t>
        </w:r>
        <w:r>
          <w:rPr>
            <w:rFonts w:asciiTheme="minorHAnsi" w:eastAsiaTheme="minorEastAsia" w:hAnsiTheme="minorHAnsi" w:cstheme="minorBidi"/>
            <w:noProof/>
            <w:sz w:val="22"/>
            <w:szCs w:val="22"/>
          </w:rPr>
          <w:tab/>
        </w:r>
        <w:r w:rsidRPr="00CD0B56">
          <w:rPr>
            <w:rStyle w:val="Hyperlink"/>
            <w:noProof/>
          </w:rPr>
          <w:t>Part 1 Section 18.3.1.57, oddFooter (Odd Page Footer)</w:t>
        </w:r>
        <w:r>
          <w:rPr>
            <w:noProof/>
            <w:webHidden/>
          </w:rPr>
          <w:tab/>
        </w:r>
        <w:r>
          <w:rPr>
            <w:noProof/>
            <w:webHidden/>
          </w:rPr>
          <w:fldChar w:fldCharType="begin"/>
        </w:r>
        <w:r>
          <w:rPr>
            <w:noProof/>
            <w:webHidden/>
          </w:rPr>
          <w:instrText xml:space="preserve"> PAGEREF _Toc12260700 \h </w:instrText>
        </w:r>
        <w:r>
          <w:rPr>
            <w:noProof/>
            <w:webHidden/>
          </w:rPr>
        </w:r>
        <w:r>
          <w:rPr>
            <w:noProof/>
            <w:webHidden/>
          </w:rPr>
          <w:fldChar w:fldCharType="separate"/>
        </w:r>
        <w:r>
          <w:rPr>
            <w:noProof/>
            <w:webHidden/>
          </w:rPr>
          <w:t>263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01" w:history="1">
        <w:r w:rsidRPr="00CD0B56">
          <w:rPr>
            <w:rStyle w:val="Hyperlink"/>
            <w:noProof/>
          </w:rPr>
          <w:t>2.1.633</w:t>
        </w:r>
        <w:r>
          <w:rPr>
            <w:rFonts w:asciiTheme="minorHAnsi" w:eastAsiaTheme="minorEastAsia" w:hAnsiTheme="minorHAnsi" w:cstheme="minorBidi"/>
            <w:noProof/>
            <w:sz w:val="22"/>
            <w:szCs w:val="22"/>
          </w:rPr>
          <w:tab/>
        </w:r>
        <w:r w:rsidRPr="00CD0B56">
          <w:rPr>
            <w:rStyle w:val="Hyperlink"/>
            <w:noProof/>
          </w:rPr>
          <w:t>Part 1 Section 18.3.1.58, oddHeader (Odd Header)</w:t>
        </w:r>
        <w:r>
          <w:rPr>
            <w:noProof/>
            <w:webHidden/>
          </w:rPr>
          <w:tab/>
        </w:r>
        <w:r>
          <w:rPr>
            <w:noProof/>
            <w:webHidden/>
          </w:rPr>
          <w:fldChar w:fldCharType="begin"/>
        </w:r>
        <w:r>
          <w:rPr>
            <w:noProof/>
            <w:webHidden/>
          </w:rPr>
          <w:instrText xml:space="preserve"> PAGEREF _Toc12260701 \h </w:instrText>
        </w:r>
        <w:r>
          <w:rPr>
            <w:noProof/>
            <w:webHidden/>
          </w:rPr>
        </w:r>
        <w:r>
          <w:rPr>
            <w:noProof/>
            <w:webHidden/>
          </w:rPr>
          <w:fldChar w:fldCharType="separate"/>
        </w:r>
        <w:r>
          <w:rPr>
            <w:noProof/>
            <w:webHidden/>
          </w:rPr>
          <w:t>264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02" w:history="1">
        <w:r w:rsidRPr="00CD0B56">
          <w:rPr>
            <w:rStyle w:val="Hyperlink"/>
            <w:noProof/>
          </w:rPr>
          <w:t>2.1.634</w:t>
        </w:r>
        <w:r>
          <w:rPr>
            <w:rFonts w:asciiTheme="minorHAnsi" w:eastAsiaTheme="minorEastAsia" w:hAnsiTheme="minorHAnsi" w:cstheme="minorBidi"/>
            <w:noProof/>
            <w:sz w:val="22"/>
            <w:szCs w:val="22"/>
          </w:rPr>
          <w:tab/>
        </w:r>
        <w:r w:rsidRPr="00CD0B56">
          <w:rPr>
            <w:rStyle w:val="Hyperlink"/>
            <w:noProof/>
          </w:rPr>
          <w:t>Part 1 Section 18.3.1.59, oleObject (Embedded Object)</w:t>
        </w:r>
        <w:r>
          <w:rPr>
            <w:noProof/>
            <w:webHidden/>
          </w:rPr>
          <w:tab/>
        </w:r>
        <w:r>
          <w:rPr>
            <w:noProof/>
            <w:webHidden/>
          </w:rPr>
          <w:fldChar w:fldCharType="begin"/>
        </w:r>
        <w:r>
          <w:rPr>
            <w:noProof/>
            <w:webHidden/>
          </w:rPr>
          <w:instrText xml:space="preserve"> PAGEREF _Toc12260702 \h </w:instrText>
        </w:r>
        <w:r>
          <w:rPr>
            <w:noProof/>
            <w:webHidden/>
          </w:rPr>
        </w:r>
        <w:r>
          <w:rPr>
            <w:noProof/>
            <w:webHidden/>
          </w:rPr>
          <w:fldChar w:fldCharType="separate"/>
        </w:r>
        <w:r>
          <w:rPr>
            <w:noProof/>
            <w:webHidden/>
          </w:rPr>
          <w:t>264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03" w:history="1">
        <w:r w:rsidRPr="00CD0B56">
          <w:rPr>
            <w:rStyle w:val="Hyperlink"/>
            <w:noProof/>
          </w:rPr>
          <w:t>2.1.635</w:t>
        </w:r>
        <w:r>
          <w:rPr>
            <w:rFonts w:asciiTheme="minorHAnsi" w:eastAsiaTheme="minorEastAsia" w:hAnsiTheme="minorHAnsi" w:cstheme="minorBidi"/>
            <w:noProof/>
            <w:sz w:val="22"/>
            <w:szCs w:val="22"/>
          </w:rPr>
          <w:tab/>
        </w:r>
        <w:r w:rsidRPr="00CD0B56">
          <w:rPr>
            <w:rStyle w:val="Hyperlink"/>
            <w:noProof/>
          </w:rPr>
          <w:t>Part 1 Section 18.3.1.60, oleObjects (Embedded Objects)</w:t>
        </w:r>
        <w:r>
          <w:rPr>
            <w:noProof/>
            <w:webHidden/>
          </w:rPr>
          <w:tab/>
        </w:r>
        <w:r>
          <w:rPr>
            <w:noProof/>
            <w:webHidden/>
          </w:rPr>
          <w:fldChar w:fldCharType="begin"/>
        </w:r>
        <w:r>
          <w:rPr>
            <w:noProof/>
            <w:webHidden/>
          </w:rPr>
          <w:instrText xml:space="preserve"> PAGEREF _Toc12260703 \h </w:instrText>
        </w:r>
        <w:r>
          <w:rPr>
            <w:noProof/>
            <w:webHidden/>
          </w:rPr>
        </w:r>
        <w:r>
          <w:rPr>
            <w:noProof/>
            <w:webHidden/>
          </w:rPr>
          <w:fldChar w:fldCharType="separate"/>
        </w:r>
        <w:r>
          <w:rPr>
            <w:noProof/>
            <w:webHidden/>
          </w:rPr>
          <w:t>264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04" w:history="1">
        <w:r w:rsidRPr="00CD0B56">
          <w:rPr>
            <w:rStyle w:val="Hyperlink"/>
            <w:noProof/>
          </w:rPr>
          <w:t>2.1.636</w:t>
        </w:r>
        <w:r>
          <w:rPr>
            <w:rFonts w:asciiTheme="minorHAnsi" w:eastAsiaTheme="minorEastAsia" w:hAnsiTheme="minorHAnsi" w:cstheme="minorBidi"/>
            <w:noProof/>
            <w:sz w:val="22"/>
            <w:szCs w:val="22"/>
          </w:rPr>
          <w:tab/>
        </w:r>
        <w:r w:rsidRPr="00CD0B56">
          <w:rPr>
            <w:rStyle w:val="Hyperlink"/>
            <w:noProof/>
          </w:rPr>
          <w:t>Part 1 Section 18.3.1.62, pageMargins (Page Margins)</w:t>
        </w:r>
        <w:r>
          <w:rPr>
            <w:noProof/>
            <w:webHidden/>
          </w:rPr>
          <w:tab/>
        </w:r>
        <w:r>
          <w:rPr>
            <w:noProof/>
            <w:webHidden/>
          </w:rPr>
          <w:fldChar w:fldCharType="begin"/>
        </w:r>
        <w:r>
          <w:rPr>
            <w:noProof/>
            <w:webHidden/>
          </w:rPr>
          <w:instrText xml:space="preserve"> PAGEREF _Toc12260704 \h </w:instrText>
        </w:r>
        <w:r>
          <w:rPr>
            <w:noProof/>
            <w:webHidden/>
          </w:rPr>
        </w:r>
        <w:r>
          <w:rPr>
            <w:noProof/>
            <w:webHidden/>
          </w:rPr>
          <w:fldChar w:fldCharType="separate"/>
        </w:r>
        <w:r>
          <w:rPr>
            <w:noProof/>
            <w:webHidden/>
          </w:rPr>
          <w:t>265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05" w:history="1">
        <w:r w:rsidRPr="00CD0B56">
          <w:rPr>
            <w:rStyle w:val="Hyperlink"/>
            <w:noProof/>
          </w:rPr>
          <w:t>2.1.637</w:t>
        </w:r>
        <w:r>
          <w:rPr>
            <w:rFonts w:asciiTheme="minorHAnsi" w:eastAsiaTheme="minorEastAsia" w:hAnsiTheme="minorHAnsi" w:cstheme="minorBidi"/>
            <w:noProof/>
            <w:sz w:val="22"/>
            <w:szCs w:val="22"/>
          </w:rPr>
          <w:tab/>
        </w:r>
        <w:r w:rsidRPr="00CD0B56">
          <w:rPr>
            <w:rStyle w:val="Hyperlink"/>
            <w:noProof/>
          </w:rPr>
          <w:t>Part 1 Section 18.3.1.63, pageSetup (Page Setup Settings)</w:t>
        </w:r>
        <w:r>
          <w:rPr>
            <w:noProof/>
            <w:webHidden/>
          </w:rPr>
          <w:tab/>
        </w:r>
        <w:r>
          <w:rPr>
            <w:noProof/>
            <w:webHidden/>
          </w:rPr>
          <w:fldChar w:fldCharType="begin"/>
        </w:r>
        <w:r>
          <w:rPr>
            <w:noProof/>
            <w:webHidden/>
          </w:rPr>
          <w:instrText xml:space="preserve"> PAGEREF _Toc12260705 \h </w:instrText>
        </w:r>
        <w:r>
          <w:rPr>
            <w:noProof/>
            <w:webHidden/>
          </w:rPr>
        </w:r>
        <w:r>
          <w:rPr>
            <w:noProof/>
            <w:webHidden/>
          </w:rPr>
          <w:fldChar w:fldCharType="separate"/>
        </w:r>
        <w:r>
          <w:rPr>
            <w:noProof/>
            <w:webHidden/>
          </w:rPr>
          <w:t>265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06" w:history="1">
        <w:r w:rsidRPr="00CD0B56">
          <w:rPr>
            <w:rStyle w:val="Hyperlink"/>
            <w:noProof/>
          </w:rPr>
          <w:t>2.1.638</w:t>
        </w:r>
        <w:r>
          <w:rPr>
            <w:rFonts w:asciiTheme="minorHAnsi" w:eastAsiaTheme="minorEastAsia" w:hAnsiTheme="minorHAnsi" w:cstheme="minorBidi"/>
            <w:noProof/>
            <w:sz w:val="22"/>
            <w:szCs w:val="22"/>
          </w:rPr>
          <w:tab/>
        </w:r>
        <w:r w:rsidRPr="00CD0B56">
          <w:rPr>
            <w:rStyle w:val="Hyperlink"/>
            <w:noProof/>
          </w:rPr>
          <w:t>Part 1 Section 18.3.1.64, pageSetup (Chart Sheet Page Setup)</w:t>
        </w:r>
        <w:r>
          <w:rPr>
            <w:noProof/>
            <w:webHidden/>
          </w:rPr>
          <w:tab/>
        </w:r>
        <w:r>
          <w:rPr>
            <w:noProof/>
            <w:webHidden/>
          </w:rPr>
          <w:fldChar w:fldCharType="begin"/>
        </w:r>
        <w:r>
          <w:rPr>
            <w:noProof/>
            <w:webHidden/>
          </w:rPr>
          <w:instrText xml:space="preserve"> PAGEREF _Toc12260706 \h </w:instrText>
        </w:r>
        <w:r>
          <w:rPr>
            <w:noProof/>
            <w:webHidden/>
          </w:rPr>
        </w:r>
        <w:r>
          <w:rPr>
            <w:noProof/>
            <w:webHidden/>
          </w:rPr>
          <w:fldChar w:fldCharType="separate"/>
        </w:r>
        <w:r>
          <w:rPr>
            <w:noProof/>
            <w:webHidden/>
          </w:rPr>
          <w:t>270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07" w:history="1">
        <w:r w:rsidRPr="00CD0B56">
          <w:rPr>
            <w:rStyle w:val="Hyperlink"/>
            <w:noProof/>
          </w:rPr>
          <w:t>2.1.639</w:t>
        </w:r>
        <w:r>
          <w:rPr>
            <w:rFonts w:asciiTheme="minorHAnsi" w:eastAsiaTheme="minorEastAsia" w:hAnsiTheme="minorHAnsi" w:cstheme="minorBidi"/>
            <w:noProof/>
            <w:sz w:val="22"/>
            <w:szCs w:val="22"/>
          </w:rPr>
          <w:tab/>
        </w:r>
        <w:r w:rsidRPr="00CD0B56">
          <w:rPr>
            <w:rStyle w:val="Hyperlink"/>
            <w:noProof/>
          </w:rPr>
          <w:t>Part 1 Section 18.3.1.66, pane (View Pane)</w:t>
        </w:r>
        <w:r>
          <w:rPr>
            <w:noProof/>
            <w:webHidden/>
          </w:rPr>
          <w:tab/>
        </w:r>
        <w:r>
          <w:rPr>
            <w:noProof/>
            <w:webHidden/>
          </w:rPr>
          <w:fldChar w:fldCharType="begin"/>
        </w:r>
        <w:r>
          <w:rPr>
            <w:noProof/>
            <w:webHidden/>
          </w:rPr>
          <w:instrText xml:space="preserve"> PAGEREF _Toc12260707 \h </w:instrText>
        </w:r>
        <w:r>
          <w:rPr>
            <w:noProof/>
            <w:webHidden/>
          </w:rPr>
        </w:r>
        <w:r>
          <w:rPr>
            <w:noProof/>
            <w:webHidden/>
          </w:rPr>
          <w:fldChar w:fldCharType="separate"/>
        </w:r>
        <w:r>
          <w:rPr>
            <w:noProof/>
            <w:webHidden/>
          </w:rPr>
          <w:t>274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08" w:history="1">
        <w:r w:rsidRPr="00CD0B56">
          <w:rPr>
            <w:rStyle w:val="Hyperlink"/>
            <w:noProof/>
          </w:rPr>
          <w:t>2.1.640</w:t>
        </w:r>
        <w:r>
          <w:rPr>
            <w:rFonts w:asciiTheme="minorHAnsi" w:eastAsiaTheme="minorEastAsia" w:hAnsiTheme="minorHAnsi" w:cstheme="minorBidi"/>
            <w:noProof/>
            <w:sz w:val="22"/>
            <w:szCs w:val="22"/>
          </w:rPr>
          <w:tab/>
        </w:r>
        <w:r w:rsidRPr="00CD0B56">
          <w:rPr>
            <w:rStyle w:val="Hyperlink"/>
            <w:noProof/>
          </w:rPr>
          <w:t>Part 1 Section 18.3.1.68, pivotArea (Pivot Area)</w:t>
        </w:r>
        <w:r>
          <w:rPr>
            <w:noProof/>
            <w:webHidden/>
          </w:rPr>
          <w:tab/>
        </w:r>
        <w:r>
          <w:rPr>
            <w:noProof/>
            <w:webHidden/>
          </w:rPr>
          <w:fldChar w:fldCharType="begin"/>
        </w:r>
        <w:r>
          <w:rPr>
            <w:noProof/>
            <w:webHidden/>
          </w:rPr>
          <w:instrText xml:space="preserve"> PAGEREF _Toc12260708 \h </w:instrText>
        </w:r>
        <w:r>
          <w:rPr>
            <w:noProof/>
            <w:webHidden/>
          </w:rPr>
        </w:r>
        <w:r>
          <w:rPr>
            <w:noProof/>
            <w:webHidden/>
          </w:rPr>
          <w:fldChar w:fldCharType="separate"/>
        </w:r>
        <w:r>
          <w:rPr>
            <w:noProof/>
            <w:webHidden/>
          </w:rPr>
          <w:t>275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09" w:history="1">
        <w:r w:rsidRPr="00CD0B56">
          <w:rPr>
            <w:rStyle w:val="Hyperlink"/>
            <w:noProof/>
          </w:rPr>
          <w:t>2.1.641</w:t>
        </w:r>
        <w:r>
          <w:rPr>
            <w:rFonts w:asciiTheme="minorHAnsi" w:eastAsiaTheme="minorEastAsia" w:hAnsiTheme="minorHAnsi" w:cstheme="minorBidi"/>
            <w:noProof/>
            <w:sz w:val="22"/>
            <w:szCs w:val="22"/>
          </w:rPr>
          <w:tab/>
        </w:r>
        <w:r w:rsidRPr="00CD0B56">
          <w:rPr>
            <w:rStyle w:val="Hyperlink"/>
            <w:noProof/>
          </w:rPr>
          <w:t>Part 1 Section 18.3.1.69, pivotSelection (PivotTable Selection)</w:t>
        </w:r>
        <w:r>
          <w:rPr>
            <w:noProof/>
            <w:webHidden/>
          </w:rPr>
          <w:tab/>
        </w:r>
        <w:r>
          <w:rPr>
            <w:noProof/>
            <w:webHidden/>
          </w:rPr>
          <w:fldChar w:fldCharType="begin"/>
        </w:r>
        <w:r>
          <w:rPr>
            <w:noProof/>
            <w:webHidden/>
          </w:rPr>
          <w:instrText xml:space="preserve"> PAGEREF _Toc12260709 \h </w:instrText>
        </w:r>
        <w:r>
          <w:rPr>
            <w:noProof/>
            <w:webHidden/>
          </w:rPr>
        </w:r>
        <w:r>
          <w:rPr>
            <w:noProof/>
            <w:webHidden/>
          </w:rPr>
          <w:fldChar w:fldCharType="separate"/>
        </w:r>
        <w:r>
          <w:rPr>
            <w:noProof/>
            <w:webHidden/>
          </w:rPr>
          <w:t>275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10" w:history="1">
        <w:r w:rsidRPr="00CD0B56">
          <w:rPr>
            <w:rStyle w:val="Hyperlink"/>
            <w:noProof/>
          </w:rPr>
          <w:t>2.1.642</w:t>
        </w:r>
        <w:r>
          <w:rPr>
            <w:rFonts w:asciiTheme="minorHAnsi" w:eastAsiaTheme="minorEastAsia" w:hAnsiTheme="minorHAnsi" w:cstheme="minorBidi"/>
            <w:noProof/>
            <w:sz w:val="22"/>
            <w:szCs w:val="22"/>
          </w:rPr>
          <w:tab/>
        </w:r>
        <w:r w:rsidRPr="00CD0B56">
          <w:rPr>
            <w:rStyle w:val="Hyperlink"/>
            <w:noProof/>
          </w:rPr>
          <w:t>Part 1 Section 18.3.1.71, protectedRange (Protected Range)</w:t>
        </w:r>
        <w:r>
          <w:rPr>
            <w:noProof/>
            <w:webHidden/>
          </w:rPr>
          <w:tab/>
        </w:r>
        <w:r>
          <w:rPr>
            <w:noProof/>
            <w:webHidden/>
          </w:rPr>
          <w:fldChar w:fldCharType="begin"/>
        </w:r>
        <w:r>
          <w:rPr>
            <w:noProof/>
            <w:webHidden/>
          </w:rPr>
          <w:instrText xml:space="preserve"> PAGEREF _Toc12260710 \h </w:instrText>
        </w:r>
        <w:r>
          <w:rPr>
            <w:noProof/>
            <w:webHidden/>
          </w:rPr>
        </w:r>
        <w:r>
          <w:rPr>
            <w:noProof/>
            <w:webHidden/>
          </w:rPr>
          <w:fldChar w:fldCharType="separate"/>
        </w:r>
        <w:r>
          <w:rPr>
            <w:noProof/>
            <w:webHidden/>
          </w:rPr>
          <w:t>277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11" w:history="1">
        <w:r w:rsidRPr="00CD0B56">
          <w:rPr>
            <w:rStyle w:val="Hyperlink"/>
            <w:noProof/>
          </w:rPr>
          <w:t>2.1.643</w:t>
        </w:r>
        <w:r>
          <w:rPr>
            <w:rFonts w:asciiTheme="minorHAnsi" w:eastAsiaTheme="minorEastAsia" w:hAnsiTheme="minorHAnsi" w:cstheme="minorBidi"/>
            <w:noProof/>
            <w:sz w:val="22"/>
            <w:szCs w:val="22"/>
          </w:rPr>
          <w:tab/>
        </w:r>
        <w:r w:rsidRPr="00CD0B56">
          <w:rPr>
            <w:rStyle w:val="Hyperlink"/>
            <w:noProof/>
          </w:rPr>
          <w:t>Part 1 Section 18.3.1.73, row (Row)</w:t>
        </w:r>
        <w:r>
          <w:rPr>
            <w:noProof/>
            <w:webHidden/>
          </w:rPr>
          <w:tab/>
        </w:r>
        <w:r>
          <w:rPr>
            <w:noProof/>
            <w:webHidden/>
          </w:rPr>
          <w:fldChar w:fldCharType="begin"/>
        </w:r>
        <w:r>
          <w:rPr>
            <w:noProof/>
            <w:webHidden/>
          </w:rPr>
          <w:instrText xml:space="preserve"> PAGEREF _Toc12260711 \h </w:instrText>
        </w:r>
        <w:r>
          <w:rPr>
            <w:noProof/>
            <w:webHidden/>
          </w:rPr>
        </w:r>
        <w:r>
          <w:rPr>
            <w:noProof/>
            <w:webHidden/>
          </w:rPr>
          <w:fldChar w:fldCharType="separate"/>
        </w:r>
        <w:r>
          <w:rPr>
            <w:noProof/>
            <w:webHidden/>
          </w:rPr>
          <w:t>279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12" w:history="1">
        <w:r w:rsidRPr="00CD0B56">
          <w:rPr>
            <w:rStyle w:val="Hyperlink"/>
            <w:noProof/>
          </w:rPr>
          <w:t>2.1.644</w:t>
        </w:r>
        <w:r>
          <w:rPr>
            <w:rFonts w:asciiTheme="minorHAnsi" w:eastAsiaTheme="minorEastAsia" w:hAnsiTheme="minorHAnsi" w:cstheme="minorBidi"/>
            <w:noProof/>
            <w:sz w:val="22"/>
            <w:szCs w:val="22"/>
          </w:rPr>
          <w:tab/>
        </w:r>
        <w:r w:rsidRPr="00CD0B56">
          <w:rPr>
            <w:rStyle w:val="Hyperlink"/>
            <w:noProof/>
          </w:rPr>
          <w:t>Part 1 Section 18.3.1.74, rowBreaks (Horizontal Page Breaks (Row))</w:t>
        </w:r>
        <w:r>
          <w:rPr>
            <w:noProof/>
            <w:webHidden/>
          </w:rPr>
          <w:tab/>
        </w:r>
        <w:r>
          <w:rPr>
            <w:noProof/>
            <w:webHidden/>
          </w:rPr>
          <w:fldChar w:fldCharType="begin"/>
        </w:r>
        <w:r>
          <w:rPr>
            <w:noProof/>
            <w:webHidden/>
          </w:rPr>
          <w:instrText xml:space="preserve"> PAGEREF _Toc12260712 \h </w:instrText>
        </w:r>
        <w:r>
          <w:rPr>
            <w:noProof/>
            <w:webHidden/>
          </w:rPr>
        </w:r>
        <w:r>
          <w:rPr>
            <w:noProof/>
            <w:webHidden/>
          </w:rPr>
          <w:fldChar w:fldCharType="separate"/>
        </w:r>
        <w:r>
          <w:rPr>
            <w:noProof/>
            <w:webHidden/>
          </w:rPr>
          <w:t>279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13" w:history="1">
        <w:r w:rsidRPr="00CD0B56">
          <w:rPr>
            <w:rStyle w:val="Hyperlink"/>
            <w:noProof/>
          </w:rPr>
          <w:t>2.1.645</w:t>
        </w:r>
        <w:r>
          <w:rPr>
            <w:rFonts w:asciiTheme="minorHAnsi" w:eastAsiaTheme="minorEastAsia" w:hAnsiTheme="minorHAnsi" w:cstheme="minorBidi"/>
            <w:noProof/>
            <w:sz w:val="22"/>
            <w:szCs w:val="22"/>
          </w:rPr>
          <w:tab/>
        </w:r>
        <w:r w:rsidRPr="00CD0B56">
          <w:rPr>
            <w:rStyle w:val="Hyperlink"/>
            <w:noProof/>
          </w:rPr>
          <w:t>Part 1 Section 18.3.1.75, scenario (Scenario)</w:t>
        </w:r>
        <w:r>
          <w:rPr>
            <w:noProof/>
            <w:webHidden/>
          </w:rPr>
          <w:tab/>
        </w:r>
        <w:r>
          <w:rPr>
            <w:noProof/>
            <w:webHidden/>
          </w:rPr>
          <w:fldChar w:fldCharType="begin"/>
        </w:r>
        <w:r>
          <w:rPr>
            <w:noProof/>
            <w:webHidden/>
          </w:rPr>
          <w:instrText xml:space="preserve"> PAGEREF _Toc12260713 \h </w:instrText>
        </w:r>
        <w:r>
          <w:rPr>
            <w:noProof/>
            <w:webHidden/>
          </w:rPr>
        </w:r>
        <w:r>
          <w:rPr>
            <w:noProof/>
            <w:webHidden/>
          </w:rPr>
          <w:fldChar w:fldCharType="separate"/>
        </w:r>
        <w:r>
          <w:rPr>
            <w:noProof/>
            <w:webHidden/>
          </w:rPr>
          <w:t>279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14" w:history="1">
        <w:r w:rsidRPr="00CD0B56">
          <w:rPr>
            <w:rStyle w:val="Hyperlink"/>
            <w:noProof/>
          </w:rPr>
          <w:t>2.1.646</w:t>
        </w:r>
        <w:r>
          <w:rPr>
            <w:rFonts w:asciiTheme="minorHAnsi" w:eastAsiaTheme="minorEastAsia" w:hAnsiTheme="minorHAnsi" w:cstheme="minorBidi"/>
            <w:noProof/>
            <w:sz w:val="22"/>
            <w:szCs w:val="22"/>
          </w:rPr>
          <w:tab/>
        </w:r>
        <w:r w:rsidRPr="00CD0B56">
          <w:rPr>
            <w:rStyle w:val="Hyperlink"/>
            <w:noProof/>
          </w:rPr>
          <w:t>Part 1 Section 18.3.1.76, scenarios (Scenarios)</w:t>
        </w:r>
        <w:r>
          <w:rPr>
            <w:noProof/>
            <w:webHidden/>
          </w:rPr>
          <w:tab/>
        </w:r>
        <w:r>
          <w:rPr>
            <w:noProof/>
            <w:webHidden/>
          </w:rPr>
          <w:fldChar w:fldCharType="begin"/>
        </w:r>
        <w:r>
          <w:rPr>
            <w:noProof/>
            <w:webHidden/>
          </w:rPr>
          <w:instrText xml:space="preserve"> PAGEREF _Toc12260714 \h </w:instrText>
        </w:r>
        <w:r>
          <w:rPr>
            <w:noProof/>
            <w:webHidden/>
          </w:rPr>
        </w:r>
        <w:r>
          <w:rPr>
            <w:noProof/>
            <w:webHidden/>
          </w:rPr>
          <w:fldChar w:fldCharType="separate"/>
        </w:r>
        <w:r>
          <w:rPr>
            <w:noProof/>
            <w:webHidden/>
          </w:rPr>
          <w:t>280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15" w:history="1">
        <w:r w:rsidRPr="00CD0B56">
          <w:rPr>
            <w:rStyle w:val="Hyperlink"/>
            <w:noProof/>
          </w:rPr>
          <w:t>2.1.647</w:t>
        </w:r>
        <w:r>
          <w:rPr>
            <w:rFonts w:asciiTheme="minorHAnsi" w:eastAsiaTheme="minorEastAsia" w:hAnsiTheme="minorHAnsi" w:cstheme="minorBidi"/>
            <w:noProof/>
            <w:sz w:val="22"/>
            <w:szCs w:val="22"/>
          </w:rPr>
          <w:tab/>
        </w:r>
        <w:r w:rsidRPr="00CD0B56">
          <w:rPr>
            <w:rStyle w:val="Hyperlink"/>
            <w:noProof/>
          </w:rPr>
          <w:t>Part 1 Section 18.3.1.77, securityDescriptor (Security Descriptor)</w:t>
        </w:r>
        <w:r>
          <w:rPr>
            <w:noProof/>
            <w:webHidden/>
          </w:rPr>
          <w:tab/>
        </w:r>
        <w:r>
          <w:rPr>
            <w:noProof/>
            <w:webHidden/>
          </w:rPr>
          <w:fldChar w:fldCharType="begin"/>
        </w:r>
        <w:r>
          <w:rPr>
            <w:noProof/>
            <w:webHidden/>
          </w:rPr>
          <w:instrText xml:space="preserve"> PAGEREF _Toc12260715 \h </w:instrText>
        </w:r>
        <w:r>
          <w:rPr>
            <w:noProof/>
            <w:webHidden/>
          </w:rPr>
        </w:r>
        <w:r>
          <w:rPr>
            <w:noProof/>
            <w:webHidden/>
          </w:rPr>
          <w:fldChar w:fldCharType="separate"/>
        </w:r>
        <w:r>
          <w:rPr>
            <w:noProof/>
            <w:webHidden/>
          </w:rPr>
          <w:t>280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16" w:history="1">
        <w:r w:rsidRPr="00CD0B56">
          <w:rPr>
            <w:rStyle w:val="Hyperlink"/>
            <w:noProof/>
          </w:rPr>
          <w:t>2.1.648</w:t>
        </w:r>
        <w:r>
          <w:rPr>
            <w:rFonts w:asciiTheme="minorHAnsi" w:eastAsiaTheme="minorEastAsia" w:hAnsiTheme="minorHAnsi" w:cstheme="minorBidi"/>
            <w:noProof/>
            <w:sz w:val="22"/>
            <w:szCs w:val="22"/>
          </w:rPr>
          <w:tab/>
        </w:r>
        <w:r w:rsidRPr="00CD0B56">
          <w:rPr>
            <w:rStyle w:val="Hyperlink"/>
            <w:noProof/>
          </w:rPr>
          <w:t>Part 1 Section 18.3.1.78, selection (Selection)</w:t>
        </w:r>
        <w:r>
          <w:rPr>
            <w:noProof/>
            <w:webHidden/>
          </w:rPr>
          <w:tab/>
        </w:r>
        <w:r>
          <w:rPr>
            <w:noProof/>
            <w:webHidden/>
          </w:rPr>
          <w:fldChar w:fldCharType="begin"/>
        </w:r>
        <w:r>
          <w:rPr>
            <w:noProof/>
            <w:webHidden/>
          </w:rPr>
          <w:instrText xml:space="preserve"> PAGEREF _Toc12260716 \h </w:instrText>
        </w:r>
        <w:r>
          <w:rPr>
            <w:noProof/>
            <w:webHidden/>
          </w:rPr>
        </w:r>
        <w:r>
          <w:rPr>
            <w:noProof/>
            <w:webHidden/>
          </w:rPr>
          <w:fldChar w:fldCharType="separate"/>
        </w:r>
        <w:r>
          <w:rPr>
            <w:noProof/>
            <w:webHidden/>
          </w:rPr>
          <w:t>280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17" w:history="1">
        <w:r w:rsidRPr="00CD0B56">
          <w:rPr>
            <w:rStyle w:val="Hyperlink"/>
            <w:noProof/>
          </w:rPr>
          <w:t>2.1.649</w:t>
        </w:r>
        <w:r>
          <w:rPr>
            <w:rFonts w:asciiTheme="minorHAnsi" w:eastAsiaTheme="minorEastAsia" w:hAnsiTheme="minorHAnsi" w:cstheme="minorBidi"/>
            <w:noProof/>
            <w:sz w:val="22"/>
            <w:szCs w:val="22"/>
          </w:rPr>
          <w:tab/>
        </w:r>
        <w:r w:rsidRPr="00CD0B56">
          <w:rPr>
            <w:rStyle w:val="Hyperlink"/>
            <w:noProof/>
          </w:rPr>
          <w:t>Part 1 Section 18.3.1.81, sheetFormatPr (Sheet Format Properties)</w:t>
        </w:r>
        <w:r>
          <w:rPr>
            <w:noProof/>
            <w:webHidden/>
          </w:rPr>
          <w:tab/>
        </w:r>
        <w:r>
          <w:rPr>
            <w:noProof/>
            <w:webHidden/>
          </w:rPr>
          <w:fldChar w:fldCharType="begin"/>
        </w:r>
        <w:r>
          <w:rPr>
            <w:noProof/>
            <w:webHidden/>
          </w:rPr>
          <w:instrText xml:space="preserve"> PAGEREF _Toc12260717 \h </w:instrText>
        </w:r>
        <w:r>
          <w:rPr>
            <w:noProof/>
            <w:webHidden/>
          </w:rPr>
        </w:r>
        <w:r>
          <w:rPr>
            <w:noProof/>
            <w:webHidden/>
          </w:rPr>
          <w:fldChar w:fldCharType="separate"/>
        </w:r>
        <w:r>
          <w:rPr>
            <w:noProof/>
            <w:webHidden/>
          </w:rPr>
          <w:t>280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18" w:history="1">
        <w:r w:rsidRPr="00CD0B56">
          <w:rPr>
            <w:rStyle w:val="Hyperlink"/>
            <w:noProof/>
          </w:rPr>
          <w:t>2.1.650</w:t>
        </w:r>
        <w:r>
          <w:rPr>
            <w:rFonts w:asciiTheme="minorHAnsi" w:eastAsiaTheme="minorEastAsia" w:hAnsiTheme="minorHAnsi" w:cstheme="minorBidi"/>
            <w:noProof/>
            <w:sz w:val="22"/>
            <w:szCs w:val="22"/>
          </w:rPr>
          <w:tab/>
        </w:r>
        <w:r w:rsidRPr="00CD0B56">
          <w:rPr>
            <w:rStyle w:val="Hyperlink"/>
            <w:noProof/>
          </w:rPr>
          <w:t>Part 1 Section 18.3.1.82, sheetPr (Sheet Properties)</w:t>
        </w:r>
        <w:r>
          <w:rPr>
            <w:noProof/>
            <w:webHidden/>
          </w:rPr>
          <w:tab/>
        </w:r>
        <w:r>
          <w:rPr>
            <w:noProof/>
            <w:webHidden/>
          </w:rPr>
          <w:fldChar w:fldCharType="begin"/>
        </w:r>
        <w:r>
          <w:rPr>
            <w:noProof/>
            <w:webHidden/>
          </w:rPr>
          <w:instrText xml:space="preserve"> PAGEREF _Toc12260718 \h </w:instrText>
        </w:r>
        <w:r>
          <w:rPr>
            <w:noProof/>
            <w:webHidden/>
          </w:rPr>
        </w:r>
        <w:r>
          <w:rPr>
            <w:noProof/>
            <w:webHidden/>
          </w:rPr>
          <w:fldChar w:fldCharType="separate"/>
        </w:r>
        <w:r>
          <w:rPr>
            <w:noProof/>
            <w:webHidden/>
          </w:rPr>
          <w:t>280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19" w:history="1">
        <w:r w:rsidRPr="00CD0B56">
          <w:rPr>
            <w:rStyle w:val="Hyperlink"/>
            <w:noProof/>
          </w:rPr>
          <w:t>2.1.651</w:t>
        </w:r>
        <w:r>
          <w:rPr>
            <w:rFonts w:asciiTheme="minorHAnsi" w:eastAsiaTheme="minorEastAsia" w:hAnsiTheme="minorHAnsi" w:cstheme="minorBidi"/>
            <w:noProof/>
            <w:sz w:val="22"/>
            <w:szCs w:val="22"/>
          </w:rPr>
          <w:tab/>
        </w:r>
        <w:r w:rsidRPr="00CD0B56">
          <w:rPr>
            <w:rStyle w:val="Hyperlink"/>
            <w:noProof/>
          </w:rPr>
          <w:t>Part 1 Section 18.3.1.83, sheetPr (Chart Sheet Properties)</w:t>
        </w:r>
        <w:r>
          <w:rPr>
            <w:noProof/>
            <w:webHidden/>
          </w:rPr>
          <w:tab/>
        </w:r>
        <w:r>
          <w:rPr>
            <w:noProof/>
            <w:webHidden/>
          </w:rPr>
          <w:fldChar w:fldCharType="begin"/>
        </w:r>
        <w:r>
          <w:rPr>
            <w:noProof/>
            <w:webHidden/>
          </w:rPr>
          <w:instrText xml:space="preserve"> PAGEREF _Toc12260719 \h </w:instrText>
        </w:r>
        <w:r>
          <w:rPr>
            <w:noProof/>
            <w:webHidden/>
          </w:rPr>
        </w:r>
        <w:r>
          <w:rPr>
            <w:noProof/>
            <w:webHidden/>
          </w:rPr>
          <w:fldChar w:fldCharType="separate"/>
        </w:r>
        <w:r>
          <w:rPr>
            <w:noProof/>
            <w:webHidden/>
          </w:rPr>
          <w:t>281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20" w:history="1">
        <w:r w:rsidRPr="00CD0B56">
          <w:rPr>
            <w:rStyle w:val="Hyperlink"/>
            <w:noProof/>
          </w:rPr>
          <w:t>2.1.652</w:t>
        </w:r>
        <w:r>
          <w:rPr>
            <w:rFonts w:asciiTheme="minorHAnsi" w:eastAsiaTheme="minorEastAsia" w:hAnsiTheme="minorHAnsi" w:cstheme="minorBidi"/>
            <w:noProof/>
            <w:sz w:val="22"/>
            <w:szCs w:val="22"/>
          </w:rPr>
          <w:tab/>
        </w:r>
        <w:r w:rsidRPr="00CD0B56">
          <w:rPr>
            <w:rStyle w:val="Hyperlink"/>
            <w:noProof/>
          </w:rPr>
          <w:t>Part 1 Section 18.3.1.84, sheetProtection (Chart Sheet Protection)</w:t>
        </w:r>
        <w:r>
          <w:rPr>
            <w:noProof/>
            <w:webHidden/>
          </w:rPr>
          <w:tab/>
        </w:r>
        <w:r>
          <w:rPr>
            <w:noProof/>
            <w:webHidden/>
          </w:rPr>
          <w:fldChar w:fldCharType="begin"/>
        </w:r>
        <w:r>
          <w:rPr>
            <w:noProof/>
            <w:webHidden/>
          </w:rPr>
          <w:instrText xml:space="preserve"> PAGEREF _Toc12260720 \h </w:instrText>
        </w:r>
        <w:r>
          <w:rPr>
            <w:noProof/>
            <w:webHidden/>
          </w:rPr>
        </w:r>
        <w:r>
          <w:rPr>
            <w:noProof/>
            <w:webHidden/>
          </w:rPr>
          <w:fldChar w:fldCharType="separate"/>
        </w:r>
        <w:r>
          <w:rPr>
            <w:noProof/>
            <w:webHidden/>
          </w:rPr>
          <w:t>281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21" w:history="1">
        <w:r w:rsidRPr="00CD0B56">
          <w:rPr>
            <w:rStyle w:val="Hyperlink"/>
            <w:noProof/>
          </w:rPr>
          <w:t>2.1.653</w:t>
        </w:r>
        <w:r>
          <w:rPr>
            <w:rFonts w:asciiTheme="minorHAnsi" w:eastAsiaTheme="minorEastAsia" w:hAnsiTheme="minorHAnsi" w:cstheme="minorBidi"/>
            <w:noProof/>
            <w:sz w:val="22"/>
            <w:szCs w:val="22"/>
          </w:rPr>
          <w:tab/>
        </w:r>
        <w:r w:rsidRPr="00CD0B56">
          <w:rPr>
            <w:rStyle w:val="Hyperlink"/>
            <w:noProof/>
          </w:rPr>
          <w:t>Part 1 Section 18.3.1.85, sheetProtection (Sheet Protection Options)</w:t>
        </w:r>
        <w:r>
          <w:rPr>
            <w:noProof/>
            <w:webHidden/>
          </w:rPr>
          <w:tab/>
        </w:r>
        <w:r>
          <w:rPr>
            <w:noProof/>
            <w:webHidden/>
          </w:rPr>
          <w:fldChar w:fldCharType="begin"/>
        </w:r>
        <w:r>
          <w:rPr>
            <w:noProof/>
            <w:webHidden/>
          </w:rPr>
          <w:instrText xml:space="preserve"> PAGEREF _Toc12260721 \h </w:instrText>
        </w:r>
        <w:r>
          <w:rPr>
            <w:noProof/>
            <w:webHidden/>
          </w:rPr>
        </w:r>
        <w:r>
          <w:rPr>
            <w:noProof/>
            <w:webHidden/>
          </w:rPr>
          <w:fldChar w:fldCharType="separate"/>
        </w:r>
        <w:r>
          <w:rPr>
            <w:noProof/>
            <w:webHidden/>
          </w:rPr>
          <w:t>283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22" w:history="1">
        <w:r w:rsidRPr="00CD0B56">
          <w:rPr>
            <w:rStyle w:val="Hyperlink"/>
            <w:noProof/>
          </w:rPr>
          <w:t>2.1.654</w:t>
        </w:r>
        <w:r>
          <w:rPr>
            <w:rFonts w:asciiTheme="minorHAnsi" w:eastAsiaTheme="minorEastAsia" w:hAnsiTheme="minorHAnsi" w:cstheme="minorBidi"/>
            <w:noProof/>
            <w:sz w:val="22"/>
            <w:szCs w:val="22"/>
          </w:rPr>
          <w:tab/>
        </w:r>
        <w:r w:rsidRPr="00CD0B56">
          <w:rPr>
            <w:rStyle w:val="Hyperlink"/>
            <w:noProof/>
          </w:rPr>
          <w:t>Part 1 Section 18.3.1.87, sheetView (Worksheet View)</w:t>
        </w:r>
        <w:r>
          <w:rPr>
            <w:noProof/>
            <w:webHidden/>
          </w:rPr>
          <w:tab/>
        </w:r>
        <w:r>
          <w:rPr>
            <w:noProof/>
            <w:webHidden/>
          </w:rPr>
          <w:fldChar w:fldCharType="begin"/>
        </w:r>
        <w:r>
          <w:rPr>
            <w:noProof/>
            <w:webHidden/>
          </w:rPr>
          <w:instrText xml:space="preserve"> PAGEREF _Toc12260722 \h </w:instrText>
        </w:r>
        <w:r>
          <w:rPr>
            <w:noProof/>
            <w:webHidden/>
          </w:rPr>
        </w:r>
        <w:r>
          <w:rPr>
            <w:noProof/>
            <w:webHidden/>
          </w:rPr>
          <w:fldChar w:fldCharType="separate"/>
        </w:r>
        <w:r>
          <w:rPr>
            <w:noProof/>
            <w:webHidden/>
          </w:rPr>
          <w:t>285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23" w:history="1">
        <w:r w:rsidRPr="00CD0B56">
          <w:rPr>
            <w:rStyle w:val="Hyperlink"/>
            <w:noProof/>
          </w:rPr>
          <w:t>2.1.655</w:t>
        </w:r>
        <w:r>
          <w:rPr>
            <w:rFonts w:asciiTheme="minorHAnsi" w:eastAsiaTheme="minorEastAsia" w:hAnsiTheme="minorHAnsi" w:cstheme="minorBidi"/>
            <w:noProof/>
            <w:sz w:val="22"/>
            <w:szCs w:val="22"/>
          </w:rPr>
          <w:tab/>
        </w:r>
        <w:r w:rsidRPr="00CD0B56">
          <w:rPr>
            <w:rStyle w:val="Hyperlink"/>
            <w:noProof/>
          </w:rPr>
          <w:t>Part 1 Section 18.3.1.88, sheetViews (Sheet Views)</w:t>
        </w:r>
        <w:r>
          <w:rPr>
            <w:noProof/>
            <w:webHidden/>
          </w:rPr>
          <w:tab/>
        </w:r>
        <w:r>
          <w:rPr>
            <w:noProof/>
            <w:webHidden/>
          </w:rPr>
          <w:fldChar w:fldCharType="begin"/>
        </w:r>
        <w:r>
          <w:rPr>
            <w:noProof/>
            <w:webHidden/>
          </w:rPr>
          <w:instrText xml:space="preserve"> PAGEREF _Toc12260723 \h </w:instrText>
        </w:r>
        <w:r>
          <w:rPr>
            <w:noProof/>
            <w:webHidden/>
          </w:rPr>
        </w:r>
        <w:r>
          <w:rPr>
            <w:noProof/>
            <w:webHidden/>
          </w:rPr>
          <w:fldChar w:fldCharType="separate"/>
        </w:r>
        <w:r>
          <w:rPr>
            <w:noProof/>
            <w:webHidden/>
          </w:rPr>
          <w:t>285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24" w:history="1">
        <w:r w:rsidRPr="00CD0B56">
          <w:rPr>
            <w:rStyle w:val="Hyperlink"/>
            <w:noProof/>
          </w:rPr>
          <w:t>2.1.656</w:t>
        </w:r>
        <w:r>
          <w:rPr>
            <w:rFonts w:asciiTheme="minorHAnsi" w:eastAsiaTheme="minorEastAsia" w:hAnsiTheme="minorHAnsi" w:cstheme="minorBidi"/>
            <w:noProof/>
            <w:sz w:val="22"/>
            <w:szCs w:val="22"/>
          </w:rPr>
          <w:tab/>
        </w:r>
        <w:r w:rsidRPr="00CD0B56">
          <w:rPr>
            <w:rStyle w:val="Hyperlink"/>
            <w:noProof/>
          </w:rPr>
          <w:t>Part 1 Section 18.3.1.89, sheetViews (Chart Sheet Views)</w:t>
        </w:r>
        <w:r>
          <w:rPr>
            <w:noProof/>
            <w:webHidden/>
          </w:rPr>
          <w:tab/>
        </w:r>
        <w:r>
          <w:rPr>
            <w:noProof/>
            <w:webHidden/>
          </w:rPr>
          <w:fldChar w:fldCharType="begin"/>
        </w:r>
        <w:r>
          <w:rPr>
            <w:noProof/>
            <w:webHidden/>
          </w:rPr>
          <w:instrText xml:space="preserve"> PAGEREF _Toc12260724 \h </w:instrText>
        </w:r>
        <w:r>
          <w:rPr>
            <w:noProof/>
            <w:webHidden/>
          </w:rPr>
        </w:r>
        <w:r>
          <w:rPr>
            <w:noProof/>
            <w:webHidden/>
          </w:rPr>
          <w:fldChar w:fldCharType="separate"/>
        </w:r>
        <w:r>
          <w:rPr>
            <w:noProof/>
            <w:webHidden/>
          </w:rPr>
          <w:t>285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25" w:history="1">
        <w:r w:rsidRPr="00CD0B56">
          <w:rPr>
            <w:rStyle w:val="Hyperlink"/>
            <w:noProof/>
          </w:rPr>
          <w:t>2.1.657</w:t>
        </w:r>
        <w:r>
          <w:rPr>
            <w:rFonts w:asciiTheme="minorHAnsi" w:eastAsiaTheme="minorEastAsia" w:hAnsiTheme="minorHAnsi" w:cstheme="minorBidi"/>
            <w:noProof/>
            <w:sz w:val="22"/>
            <w:szCs w:val="22"/>
          </w:rPr>
          <w:tab/>
        </w:r>
        <w:r w:rsidRPr="00CD0B56">
          <w:rPr>
            <w:rStyle w:val="Hyperlink"/>
            <w:noProof/>
          </w:rPr>
          <w:t>Part 1 Section 18.3.1.91, sortCondition (Sort Condition)</w:t>
        </w:r>
        <w:r>
          <w:rPr>
            <w:noProof/>
            <w:webHidden/>
          </w:rPr>
          <w:tab/>
        </w:r>
        <w:r>
          <w:rPr>
            <w:noProof/>
            <w:webHidden/>
          </w:rPr>
          <w:fldChar w:fldCharType="begin"/>
        </w:r>
        <w:r>
          <w:rPr>
            <w:noProof/>
            <w:webHidden/>
          </w:rPr>
          <w:instrText xml:space="preserve"> PAGEREF _Toc12260725 \h </w:instrText>
        </w:r>
        <w:r>
          <w:rPr>
            <w:noProof/>
            <w:webHidden/>
          </w:rPr>
        </w:r>
        <w:r>
          <w:rPr>
            <w:noProof/>
            <w:webHidden/>
          </w:rPr>
          <w:fldChar w:fldCharType="separate"/>
        </w:r>
        <w:r>
          <w:rPr>
            <w:noProof/>
            <w:webHidden/>
          </w:rPr>
          <w:t>285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26" w:history="1">
        <w:r w:rsidRPr="00CD0B56">
          <w:rPr>
            <w:rStyle w:val="Hyperlink"/>
            <w:noProof/>
          </w:rPr>
          <w:t>2.1.658</w:t>
        </w:r>
        <w:r>
          <w:rPr>
            <w:rFonts w:asciiTheme="minorHAnsi" w:eastAsiaTheme="minorEastAsia" w:hAnsiTheme="minorHAnsi" w:cstheme="minorBidi"/>
            <w:noProof/>
            <w:sz w:val="22"/>
            <w:szCs w:val="22"/>
          </w:rPr>
          <w:tab/>
        </w:r>
        <w:r w:rsidRPr="00CD0B56">
          <w:rPr>
            <w:rStyle w:val="Hyperlink"/>
            <w:noProof/>
          </w:rPr>
          <w:t>Part 1 Section 18.3.1.93, tabColor (Sheet Tab Color)</w:t>
        </w:r>
        <w:r>
          <w:rPr>
            <w:noProof/>
            <w:webHidden/>
          </w:rPr>
          <w:tab/>
        </w:r>
        <w:r>
          <w:rPr>
            <w:noProof/>
            <w:webHidden/>
          </w:rPr>
          <w:fldChar w:fldCharType="begin"/>
        </w:r>
        <w:r>
          <w:rPr>
            <w:noProof/>
            <w:webHidden/>
          </w:rPr>
          <w:instrText xml:space="preserve"> PAGEREF _Toc12260726 \h </w:instrText>
        </w:r>
        <w:r>
          <w:rPr>
            <w:noProof/>
            <w:webHidden/>
          </w:rPr>
        </w:r>
        <w:r>
          <w:rPr>
            <w:noProof/>
            <w:webHidden/>
          </w:rPr>
          <w:fldChar w:fldCharType="separate"/>
        </w:r>
        <w:r>
          <w:rPr>
            <w:noProof/>
            <w:webHidden/>
          </w:rPr>
          <w:t>285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27" w:history="1">
        <w:r w:rsidRPr="00CD0B56">
          <w:rPr>
            <w:rStyle w:val="Hyperlink"/>
            <w:noProof/>
          </w:rPr>
          <w:t>2.1.659</w:t>
        </w:r>
        <w:r>
          <w:rPr>
            <w:rFonts w:asciiTheme="minorHAnsi" w:eastAsiaTheme="minorEastAsia" w:hAnsiTheme="minorHAnsi" w:cstheme="minorBidi"/>
            <w:noProof/>
            <w:sz w:val="22"/>
            <w:szCs w:val="22"/>
          </w:rPr>
          <w:tab/>
        </w:r>
        <w:r w:rsidRPr="00CD0B56">
          <w:rPr>
            <w:rStyle w:val="Hyperlink"/>
            <w:noProof/>
          </w:rPr>
          <w:t>Part 1 Section 18.3.1.96, v (Cell Value)</w:t>
        </w:r>
        <w:r>
          <w:rPr>
            <w:noProof/>
            <w:webHidden/>
          </w:rPr>
          <w:tab/>
        </w:r>
        <w:r>
          <w:rPr>
            <w:noProof/>
            <w:webHidden/>
          </w:rPr>
          <w:fldChar w:fldCharType="begin"/>
        </w:r>
        <w:r>
          <w:rPr>
            <w:noProof/>
            <w:webHidden/>
          </w:rPr>
          <w:instrText xml:space="preserve"> PAGEREF _Toc12260727 \h </w:instrText>
        </w:r>
        <w:r>
          <w:rPr>
            <w:noProof/>
            <w:webHidden/>
          </w:rPr>
        </w:r>
        <w:r>
          <w:rPr>
            <w:noProof/>
            <w:webHidden/>
          </w:rPr>
          <w:fldChar w:fldCharType="separate"/>
        </w:r>
        <w:r>
          <w:rPr>
            <w:noProof/>
            <w:webHidden/>
          </w:rPr>
          <w:t>285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28" w:history="1">
        <w:r w:rsidRPr="00CD0B56">
          <w:rPr>
            <w:rStyle w:val="Hyperlink"/>
            <w:noProof/>
          </w:rPr>
          <w:t>2.1.660</w:t>
        </w:r>
        <w:r>
          <w:rPr>
            <w:rFonts w:asciiTheme="minorHAnsi" w:eastAsiaTheme="minorEastAsia" w:hAnsiTheme="minorHAnsi" w:cstheme="minorBidi"/>
            <w:noProof/>
            <w:sz w:val="22"/>
            <w:szCs w:val="22"/>
          </w:rPr>
          <w:tab/>
        </w:r>
        <w:r w:rsidRPr="00CD0B56">
          <w:rPr>
            <w:rStyle w:val="Hyperlink"/>
            <w:noProof/>
          </w:rPr>
          <w:t>Part 1 Section 18.3.1.97, webPublishItem (Web Publishing Item)</w:t>
        </w:r>
        <w:r>
          <w:rPr>
            <w:noProof/>
            <w:webHidden/>
          </w:rPr>
          <w:tab/>
        </w:r>
        <w:r>
          <w:rPr>
            <w:noProof/>
            <w:webHidden/>
          </w:rPr>
          <w:fldChar w:fldCharType="begin"/>
        </w:r>
        <w:r>
          <w:rPr>
            <w:noProof/>
            <w:webHidden/>
          </w:rPr>
          <w:instrText xml:space="preserve"> PAGEREF _Toc12260728 \h </w:instrText>
        </w:r>
        <w:r>
          <w:rPr>
            <w:noProof/>
            <w:webHidden/>
          </w:rPr>
        </w:r>
        <w:r>
          <w:rPr>
            <w:noProof/>
            <w:webHidden/>
          </w:rPr>
          <w:fldChar w:fldCharType="separate"/>
        </w:r>
        <w:r>
          <w:rPr>
            <w:noProof/>
            <w:webHidden/>
          </w:rPr>
          <w:t>286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29" w:history="1">
        <w:r w:rsidRPr="00CD0B56">
          <w:rPr>
            <w:rStyle w:val="Hyperlink"/>
            <w:noProof/>
          </w:rPr>
          <w:t>2.1.661</w:t>
        </w:r>
        <w:r>
          <w:rPr>
            <w:rFonts w:asciiTheme="minorHAnsi" w:eastAsiaTheme="minorEastAsia" w:hAnsiTheme="minorHAnsi" w:cstheme="minorBidi"/>
            <w:noProof/>
            <w:sz w:val="22"/>
            <w:szCs w:val="22"/>
          </w:rPr>
          <w:tab/>
        </w:r>
        <w:r w:rsidRPr="00CD0B56">
          <w:rPr>
            <w:rStyle w:val="Hyperlink"/>
            <w:noProof/>
          </w:rPr>
          <w:t>Part 1 Section 18.3.1.99, worksheet (Worksheet)</w:t>
        </w:r>
        <w:r>
          <w:rPr>
            <w:noProof/>
            <w:webHidden/>
          </w:rPr>
          <w:tab/>
        </w:r>
        <w:r>
          <w:rPr>
            <w:noProof/>
            <w:webHidden/>
          </w:rPr>
          <w:fldChar w:fldCharType="begin"/>
        </w:r>
        <w:r>
          <w:rPr>
            <w:noProof/>
            <w:webHidden/>
          </w:rPr>
          <w:instrText xml:space="preserve"> PAGEREF _Toc12260729 \h </w:instrText>
        </w:r>
        <w:r>
          <w:rPr>
            <w:noProof/>
            <w:webHidden/>
          </w:rPr>
        </w:r>
        <w:r>
          <w:rPr>
            <w:noProof/>
            <w:webHidden/>
          </w:rPr>
          <w:fldChar w:fldCharType="separate"/>
        </w:r>
        <w:r>
          <w:rPr>
            <w:noProof/>
            <w:webHidden/>
          </w:rPr>
          <w:t>287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30" w:history="1">
        <w:r w:rsidRPr="00CD0B56">
          <w:rPr>
            <w:rStyle w:val="Hyperlink"/>
            <w:noProof/>
          </w:rPr>
          <w:t>2.1.662</w:t>
        </w:r>
        <w:r>
          <w:rPr>
            <w:rFonts w:asciiTheme="minorHAnsi" w:eastAsiaTheme="minorEastAsia" w:hAnsiTheme="minorHAnsi" w:cstheme="minorBidi"/>
            <w:noProof/>
            <w:sz w:val="22"/>
            <w:szCs w:val="22"/>
          </w:rPr>
          <w:tab/>
        </w:r>
        <w:r w:rsidRPr="00CD0B56">
          <w:rPr>
            <w:rStyle w:val="Hyperlink"/>
            <w:noProof/>
          </w:rPr>
          <w:t>Part 1 Section 18.3.2.1, colorFilter (Color Filter Criteria)</w:t>
        </w:r>
        <w:r>
          <w:rPr>
            <w:noProof/>
            <w:webHidden/>
          </w:rPr>
          <w:tab/>
        </w:r>
        <w:r>
          <w:rPr>
            <w:noProof/>
            <w:webHidden/>
          </w:rPr>
          <w:fldChar w:fldCharType="begin"/>
        </w:r>
        <w:r>
          <w:rPr>
            <w:noProof/>
            <w:webHidden/>
          </w:rPr>
          <w:instrText xml:space="preserve"> PAGEREF _Toc12260730 \h </w:instrText>
        </w:r>
        <w:r>
          <w:rPr>
            <w:noProof/>
            <w:webHidden/>
          </w:rPr>
        </w:r>
        <w:r>
          <w:rPr>
            <w:noProof/>
            <w:webHidden/>
          </w:rPr>
          <w:fldChar w:fldCharType="separate"/>
        </w:r>
        <w:r>
          <w:rPr>
            <w:noProof/>
            <w:webHidden/>
          </w:rPr>
          <w:t>287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31" w:history="1">
        <w:r w:rsidRPr="00CD0B56">
          <w:rPr>
            <w:rStyle w:val="Hyperlink"/>
            <w:noProof/>
          </w:rPr>
          <w:t>2.1.663</w:t>
        </w:r>
        <w:r>
          <w:rPr>
            <w:rFonts w:asciiTheme="minorHAnsi" w:eastAsiaTheme="minorEastAsia" w:hAnsiTheme="minorHAnsi" w:cstheme="minorBidi"/>
            <w:noProof/>
            <w:sz w:val="22"/>
            <w:szCs w:val="22"/>
          </w:rPr>
          <w:tab/>
        </w:r>
        <w:r w:rsidRPr="00CD0B56">
          <w:rPr>
            <w:rStyle w:val="Hyperlink"/>
            <w:noProof/>
          </w:rPr>
          <w:t>Part 1 Section 18.3.2.4, dateGroupItem (Date Grouping)</w:t>
        </w:r>
        <w:r>
          <w:rPr>
            <w:noProof/>
            <w:webHidden/>
          </w:rPr>
          <w:tab/>
        </w:r>
        <w:r>
          <w:rPr>
            <w:noProof/>
            <w:webHidden/>
          </w:rPr>
          <w:fldChar w:fldCharType="begin"/>
        </w:r>
        <w:r>
          <w:rPr>
            <w:noProof/>
            <w:webHidden/>
          </w:rPr>
          <w:instrText xml:space="preserve"> PAGEREF _Toc12260731 \h </w:instrText>
        </w:r>
        <w:r>
          <w:rPr>
            <w:noProof/>
            <w:webHidden/>
          </w:rPr>
        </w:r>
        <w:r>
          <w:rPr>
            <w:noProof/>
            <w:webHidden/>
          </w:rPr>
          <w:fldChar w:fldCharType="separate"/>
        </w:r>
        <w:r>
          <w:rPr>
            <w:noProof/>
            <w:webHidden/>
          </w:rPr>
          <w:t>287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32" w:history="1">
        <w:r w:rsidRPr="00CD0B56">
          <w:rPr>
            <w:rStyle w:val="Hyperlink"/>
            <w:noProof/>
          </w:rPr>
          <w:t>2.1.664</w:t>
        </w:r>
        <w:r>
          <w:rPr>
            <w:rFonts w:asciiTheme="minorHAnsi" w:eastAsiaTheme="minorEastAsia" w:hAnsiTheme="minorHAnsi" w:cstheme="minorBidi"/>
            <w:noProof/>
            <w:sz w:val="22"/>
            <w:szCs w:val="22"/>
          </w:rPr>
          <w:tab/>
        </w:r>
        <w:r w:rsidRPr="00CD0B56">
          <w:rPr>
            <w:rStyle w:val="Hyperlink"/>
            <w:noProof/>
          </w:rPr>
          <w:t>Part 1 Section 18.3.2.5, dynamicFilter (Dynamic Filter)</w:t>
        </w:r>
        <w:r>
          <w:rPr>
            <w:noProof/>
            <w:webHidden/>
          </w:rPr>
          <w:tab/>
        </w:r>
        <w:r>
          <w:rPr>
            <w:noProof/>
            <w:webHidden/>
          </w:rPr>
          <w:fldChar w:fldCharType="begin"/>
        </w:r>
        <w:r>
          <w:rPr>
            <w:noProof/>
            <w:webHidden/>
          </w:rPr>
          <w:instrText xml:space="preserve"> PAGEREF _Toc12260732 \h </w:instrText>
        </w:r>
        <w:r>
          <w:rPr>
            <w:noProof/>
            <w:webHidden/>
          </w:rPr>
        </w:r>
        <w:r>
          <w:rPr>
            <w:noProof/>
            <w:webHidden/>
          </w:rPr>
          <w:fldChar w:fldCharType="separate"/>
        </w:r>
        <w:r>
          <w:rPr>
            <w:noProof/>
            <w:webHidden/>
          </w:rPr>
          <w:t>287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33" w:history="1">
        <w:r w:rsidRPr="00CD0B56">
          <w:rPr>
            <w:rStyle w:val="Hyperlink"/>
            <w:noProof/>
          </w:rPr>
          <w:t>2.1.665</w:t>
        </w:r>
        <w:r>
          <w:rPr>
            <w:rFonts w:asciiTheme="minorHAnsi" w:eastAsiaTheme="minorEastAsia" w:hAnsiTheme="minorHAnsi" w:cstheme="minorBidi"/>
            <w:noProof/>
            <w:sz w:val="22"/>
            <w:szCs w:val="22"/>
          </w:rPr>
          <w:tab/>
        </w:r>
        <w:r w:rsidRPr="00CD0B56">
          <w:rPr>
            <w:rStyle w:val="Hyperlink"/>
            <w:noProof/>
          </w:rPr>
          <w:t>Part 1 Section 18.3.2.6, filter (Filter)</w:t>
        </w:r>
        <w:r>
          <w:rPr>
            <w:noProof/>
            <w:webHidden/>
          </w:rPr>
          <w:tab/>
        </w:r>
        <w:r>
          <w:rPr>
            <w:noProof/>
            <w:webHidden/>
          </w:rPr>
          <w:fldChar w:fldCharType="begin"/>
        </w:r>
        <w:r>
          <w:rPr>
            <w:noProof/>
            <w:webHidden/>
          </w:rPr>
          <w:instrText xml:space="preserve"> PAGEREF _Toc12260733 \h </w:instrText>
        </w:r>
        <w:r>
          <w:rPr>
            <w:noProof/>
            <w:webHidden/>
          </w:rPr>
        </w:r>
        <w:r>
          <w:rPr>
            <w:noProof/>
            <w:webHidden/>
          </w:rPr>
          <w:fldChar w:fldCharType="separate"/>
        </w:r>
        <w:r>
          <w:rPr>
            <w:noProof/>
            <w:webHidden/>
          </w:rPr>
          <w:t>288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34" w:history="1">
        <w:r w:rsidRPr="00CD0B56">
          <w:rPr>
            <w:rStyle w:val="Hyperlink"/>
            <w:noProof/>
          </w:rPr>
          <w:t>2.1.666</w:t>
        </w:r>
        <w:r>
          <w:rPr>
            <w:rFonts w:asciiTheme="minorHAnsi" w:eastAsiaTheme="minorEastAsia" w:hAnsiTheme="minorHAnsi" w:cstheme="minorBidi"/>
            <w:noProof/>
            <w:sz w:val="22"/>
            <w:szCs w:val="22"/>
          </w:rPr>
          <w:tab/>
        </w:r>
        <w:r w:rsidRPr="00CD0B56">
          <w:rPr>
            <w:rStyle w:val="Hyperlink"/>
            <w:noProof/>
          </w:rPr>
          <w:t>Part 1 Section 18.3.2.7, filterColumn (AutoFilter Column)</w:t>
        </w:r>
        <w:r>
          <w:rPr>
            <w:noProof/>
            <w:webHidden/>
          </w:rPr>
          <w:tab/>
        </w:r>
        <w:r>
          <w:rPr>
            <w:noProof/>
            <w:webHidden/>
          </w:rPr>
          <w:fldChar w:fldCharType="begin"/>
        </w:r>
        <w:r>
          <w:rPr>
            <w:noProof/>
            <w:webHidden/>
          </w:rPr>
          <w:instrText xml:space="preserve"> PAGEREF _Toc12260734 \h </w:instrText>
        </w:r>
        <w:r>
          <w:rPr>
            <w:noProof/>
            <w:webHidden/>
          </w:rPr>
        </w:r>
        <w:r>
          <w:rPr>
            <w:noProof/>
            <w:webHidden/>
          </w:rPr>
          <w:fldChar w:fldCharType="separate"/>
        </w:r>
        <w:r>
          <w:rPr>
            <w:noProof/>
            <w:webHidden/>
          </w:rPr>
          <w:t>288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35" w:history="1">
        <w:r w:rsidRPr="00CD0B56">
          <w:rPr>
            <w:rStyle w:val="Hyperlink"/>
            <w:noProof/>
          </w:rPr>
          <w:t>2.1.667</w:t>
        </w:r>
        <w:r>
          <w:rPr>
            <w:rFonts w:asciiTheme="minorHAnsi" w:eastAsiaTheme="minorEastAsia" w:hAnsiTheme="minorHAnsi" w:cstheme="minorBidi"/>
            <w:noProof/>
            <w:sz w:val="22"/>
            <w:szCs w:val="22"/>
          </w:rPr>
          <w:tab/>
        </w:r>
        <w:r w:rsidRPr="00CD0B56">
          <w:rPr>
            <w:rStyle w:val="Hyperlink"/>
            <w:noProof/>
          </w:rPr>
          <w:t>Part 1 Section 18.3.2.8, filters (Filter Criteria)</w:t>
        </w:r>
        <w:r>
          <w:rPr>
            <w:noProof/>
            <w:webHidden/>
          </w:rPr>
          <w:tab/>
        </w:r>
        <w:r>
          <w:rPr>
            <w:noProof/>
            <w:webHidden/>
          </w:rPr>
          <w:fldChar w:fldCharType="begin"/>
        </w:r>
        <w:r>
          <w:rPr>
            <w:noProof/>
            <w:webHidden/>
          </w:rPr>
          <w:instrText xml:space="preserve"> PAGEREF _Toc12260735 \h </w:instrText>
        </w:r>
        <w:r>
          <w:rPr>
            <w:noProof/>
            <w:webHidden/>
          </w:rPr>
        </w:r>
        <w:r>
          <w:rPr>
            <w:noProof/>
            <w:webHidden/>
          </w:rPr>
          <w:fldChar w:fldCharType="separate"/>
        </w:r>
        <w:r>
          <w:rPr>
            <w:noProof/>
            <w:webHidden/>
          </w:rPr>
          <w:t>288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36" w:history="1">
        <w:r w:rsidRPr="00CD0B56">
          <w:rPr>
            <w:rStyle w:val="Hyperlink"/>
            <w:noProof/>
          </w:rPr>
          <w:t>2.1.668</w:t>
        </w:r>
        <w:r>
          <w:rPr>
            <w:rFonts w:asciiTheme="minorHAnsi" w:eastAsiaTheme="minorEastAsia" w:hAnsiTheme="minorHAnsi" w:cstheme="minorBidi"/>
            <w:noProof/>
            <w:sz w:val="22"/>
            <w:szCs w:val="22"/>
          </w:rPr>
          <w:tab/>
        </w:r>
        <w:r w:rsidRPr="00CD0B56">
          <w:rPr>
            <w:rStyle w:val="Hyperlink"/>
            <w:noProof/>
          </w:rPr>
          <w:t>Part 1 Section 18.3.2.9, iconFilter (Icon Filter)</w:t>
        </w:r>
        <w:r>
          <w:rPr>
            <w:noProof/>
            <w:webHidden/>
          </w:rPr>
          <w:tab/>
        </w:r>
        <w:r>
          <w:rPr>
            <w:noProof/>
            <w:webHidden/>
          </w:rPr>
          <w:fldChar w:fldCharType="begin"/>
        </w:r>
        <w:r>
          <w:rPr>
            <w:noProof/>
            <w:webHidden/>
          </w:rPr>
          <w:instrText xml:space="preserve"> PAGEREF _Toc12260736 \h </w:instrText>
        </w:r>
        <w:r>
          <w:rPr>
            <w:noProof/>
            <w:webHidden/>
          </w:rPr>
        </w:r>
        <w:r>
          <w:rPr>
            <w:noProof/>
            <w:webHidden/>
          </w:rPr>
          <w:fldChar w:fldCharType="separate"/>
        </w:r>
        <w:r>
          <w:rPr>
            <w:noProof/>
            <w:webHidden/>
          </w:rPr>
          <w:t>288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37" w:history="1">
        <w:r w:rsidRPr="00CD0B56">
          <w:rPr>
            <w:rStyle w:val="Hyperlink"/>
            <w:noProof/>
          </w:rPr>
          <w:t>2.1.669</w:t>
        </w:r>
        <w:r>
          <w:rPr>
            <w:rFonts w:asciiTheme="minorHAnsi" w:eastAsiaTheme="minorEastAsia" w:hAnsiTheme="minorHAnsi" w:cstheme="minorBidi"/>
            <w:noProof/>
            <w:sz w:val="22"/>
            <w:szCs w:val="22"/>
          </w:rPr>
          <w:tab/>
        </w:r>
        <w:r w:rsidRPr="00CD0B56">
          <w:rPr>
            <w:rStyle w:val="Hyperlink"/>
            <w:noProof/>
          </w:rPr>
          <w:t>Part 1 Section 18.3.2.10, top10 (Top 10)</w:t>
        </w:r>
        <w:r>
          <w:rPr>
            <w:noProof/>
            <w:webHidden/>
          </w:rPr>
          <w:tab/>
        </w:r>
        <w:r>
          <w:rPr>
            <w:noProof/>
            <w:webHidden/>
          </w:rPr>
          <w:fldChar w:fldCharType="begin"/>
        </w:r>
        <w:r>
          <w:rPr>
            <w:noProof/>
            <w:webHidden/>
          </w:rPr>
          <w:instrText xml:space="preserve"> PAGEREF _Toc12260737 \h </w:instrText>
        </w:r>
        <w:r>
          <w:rPr>
            <w:noProof/>
            <w:webHidden/>
          </w:rPr>
        </w:r>
        <w:r>
          <w:rPr>
            <w:noProof/>
            <w:webHidden/>
          </w:rPr>
          <w:fldChar w:fldCharType="separate"/>
        </w:r>
        <w:r>
          <w:rPr>
            <w:noProof/>
            <w:webHidden/>
          </w:rPr>
          <w:t>288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38" w:history="1">
        <w:r w:rsidRPr="00CD0B56">
          <w:rPr>
            <w:rStyle w:val="Hyperlink"/>
            <w:noProof/>
          </w:rPr>
          <w:t>2.1.670</w:t>
        </w:r>
        <w:r>
          <w:rPr>
            <w:rFonts w:asciiTheme="minorHAnsi" w:eastAsiaTheme="minorEastAsia" w:hAnsiTheme="minorHAnsi" w:cstheme="minorBidi"/>
            <w:noProof/>
            <w:sz w:val="22"/>
            <w:szCs w:val="22"/>
          </w:rPr>
          <w:tab/>
        </w:r>
        <w:r w:rsidRPr="00CD0B56">
          <w:rPr>
            <w:rStyle w:val="Hyperlink"/>
            <w:noProof/>
          </w:rPr>
          <w:t>Part 1 Section 18.4.3, phoneticPr (Phonetic Properties)</w:t>
        </w:r>
        <w:r>
          <w:rPr>
            <w:noProof/>
            <w:webHidden/>
          </w:rPr>
          <w:tab/>
        </w:r>
        <w:r>
          <w:rPr>
            <w:noProof/>
            <w:webHidden/>
          </w:rPr>
          <w:fldChar w:fldCharType="begin"/>
        </w:r>
        <w:r>
          <w:rPr>
            <w:noProof/>
            <w:webHidden/>
          </w:rPr>
          <w:instrText xml:space="preserve"> PAGEREF _Toc12260738 \h </w:instrText>
        </w:r>
        <w:r>
          <w:rPr>
            <w:noProof/>
            <w:webHidden/>
          </w:rPr>
        </w:r>
        <w:r>
          <w:rPr>
            <w:noProof/>
            <w:webHidden/>
          </w:rPr>
          <w:fldChar w:fldCharType="separate"/>
        </w:r>
        <w:r>
          <w:rPr>
            <w:noProof/>
            <w:webHidden/>
          </w:rPr>
          <w:t>288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39" w:history="1">
        <w:r w:rsidRPr="00CD0B56">
          <w:rPr>
            <w:rStyle w:val="Hyperlink"/>
            <w:noProof/>
          </w:rPr>
          <w:t>2.1.671</w:t>
        </w:r>
        <w:r>
          <w:rPr>
            <w:rFonts w:asciiTheme="minorHAnsi" w:eastAsiaTheme="minorEastAsia" w:hAnsiTheme="minorHAnsi" w:cstheme="minorBidi"/>
            <w:noProof/>
            <w:sz w:val="22"/>
            <w:szCs w:val="22"/>
          </w:rPr>
          <w:tab/>
        </w:r>
        <w:r w:rsidRPr="00CD0B56">
          <w:rPr>
            <w:rStyle w:val="Hyperlink"/>
            <w:noProof/>
          </w:rPr>
          <w:t>Part 1 Section 18.4.5, rFont (Font)</w:t>
        </w:r>
        <w:r>
          <w:rPr>
            <w:noProof/>
            <w:webHidden/>
          </w:rPr>
          <w:tab/>
        </w:r>
        <w:r>
          <w:rPr>
            <w:noProof/>
            <w:webHidden/>
          </w:rPr>
          <w:fldChar w:fldCharType="begin"/>
        </w:r>
        <w:r>
          <w:rPr>
            <w:noProof/>
            <w:webHidden/>
          </w:rPr>
          <w:instrText xml:space="preserve"> PAGEREF _Toc12260739 \h </w:instrText>
        </w:r>
        <w:r>
          <w:rPr>
            <w:noProof/>
            <w:webHidden/>
          </w:rPr>
        </w:r>
        <w:r>
          <w:rPr>
            <w:noProof/>
            <w:webHidden/>
          </w:rPr>
          <w:fldChar w:fldCharType="separate"/>
        </w:r>
        <w:r>
          <w:rPr>
            <w:noProof/>
            <w:webHidden/>
          </w:rPr>
          <w:t>289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40" w:history="1">
        <w:r w:rsidRPr="00CD0B56">
          <w:rPr>
            <w:rStyle w:val="Hyperlink"/>
            <w:noProof/>
          </w:rPr>
          <w:t>2.1.672</w:t>
        </w:r>
        <w:r>
          <w:rPr>
            <w:rFonts w:asciiTheme="minorHAnsi" w:eastAsiaTheme="minorEastAsia" w:hAnsiTheme="minorHAnsi" w:cstheme="minorBidi"/>
            <w:noProof/>
            <w:sz w:val="22"/>
            <w:szCs w:val="22"/>
          </w:rPr>
          <w:tab/>
        </w:r>
        <w:r w:rsidRPr="00CD0B56">
          <w:rPr>
            <w:rStyle w:val="Hyperlink"/>
            <w:noProof/>
          </w:rPr>
          <w:t>Part 1 Section 18.4.6, rPh (Phonetic Run)</w:t>
        </w:r>
        <w:r>
          <w:rPr>
            <w:noProof/>
            <w:webHidden/>
          </w:rPr>
          <w:tab/>
        </w:r>
        <w:r>
          <w:rPr>
            <w:noProof/>
            <w:webHidden/>
          </w:rPr>
          <w:fldChar w:fldCharType="begin"/>
        </w:r>
        <w:r>
          <w:rPr>
            <w:noProof/>
            <w:webHidden/>
          </w:rPr>
          <w:instrText xml:space="preserve"> PAGEREF _Toc12260740 \h </w:instrText>
        </w:r>
        <w:r>
          <w:rPr>
            <w:noProof/>
            <w:webHidden/>
          </w:rPr>
        </w:r>
        <w:r>
          <w:rPr>
            <w:noProof/>
            <w:webHidden/>
          </w:rPr>
          <w:fldChar w:fldCharType="separate"/>
        </w:r>
        <w:r>
          <w:rPr>
            <w:noProof/>
            <w:webHidden/>
          </w:rPr>
          <w:t>289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41" w:history="1">
        <w:r w:rsidRPr="00CD0B56">
          <w:rPr>
            <w:rStyle w:val="Hyperlink"/>
            <w:noProof/>
          </w:rPr>
          <w:t>2.1.673</w:t>
        </w:r>
        <w:r>
          <w:rPr>
            <w:rFonts w:asciiTheme="minorHAnsi" w:eastAsiaTheme="minorEastAsia" w:hAnsiTheme="minorHAnsi" w:cstheme="minorBidi"/>
            <w:noProof/>
            <w:sz w:val="22"/>
            <w:szCs w:val="22"/>
          </w:rPr>
          <w:tab/>
        </w:r>
        <w:r w:rsidRPr="00CD0B56">
          <w:rPr>
            <w:rStyle w:val="Hyperlink"/>
            <w:noProof/>
          </w:rPr>
          <w:t>Part 1 Section 18.4.7, rPr (Run Properties)</w:t>
        </w:r>
        <w:r>
          <w:rPr>
            <w:noProof/>
            <w:webHidden/>
          </w:rPr>
          <w:tab/>
        </w:r>
        <w:r>
          <w:rPr>
            <w:noProof/>
            <w:webHidden/>
          </w:rPr>
          <w:fldChar w:fldCharType="begin"/>
        </w:r>
        <w:r>
          <w:rPr>
            <w:noProof/>
            <w:webHidden/>
          </w:rPr>
          <w:instrText xml:space="preserve"> PAGEREF _Toc12260741 \h </w:instrText>
        </w:r>
        <w:r>
          <w:rPr>
            <w:noProof/>
            <w:webHidden/>
          </w:rPr>
        </w:r>
        <w:r>
          <w:rPr>
            <w:noProof/>
            <w:webHidden/>
          </w:rPr>
          <w:fldChar w:fldCharType="separate"/>
        </w:r>
        <w:r>
          <w:rPr>
            <w:noProof/>
            <w:webHidden/>
          </w:rPr>
          <w:t>289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42" w:history="1">
        <w:r w:rsidRPr="00CD0B56">
          <w:rPr>
            <w:rStyle w:val="Hyperlink"/>
            <w:noProof/>
          </w:rPr>
          <w:t>2.1.674</w:t>
        </w:r>
        <w:r>
          <w:rPr>
            <w:rFonts w:asciiTheme="minorHAnsi" w:eastAsiaTheme="minorEastAsia" w:hAnsiTheme="minorHAnsi" w:cstheme="minorBidi"/>
            <w:noProof/>
            <w:sz w:val="22"/>
            <w:szCs w:val="22"/>
          </w:rPr>
          <w:tab/>
        </w:r>
        <w:r w:rsidRPr="00CD0B56">
          <w:rPr>
            <w:rStyle w:val="Hyperlink"/>
            <w:noProof/>
          </w:rPr>
          <w:t>Part 1 Section 18.4.8, si (String Item)</w:t>
        </w:r>
        <w:r>
          <w:rPr>
            <w:noProof/>
            <w:webHidden/>
          </w:rPr>
          <w:tab/>
        </w:r>
        <w:r>
          <w:rPr>
            <w:noProof/>
            <w:webHidden/>
          </w:rPr>
          <w:fldChar w:fldCharType="begin"/>
        </w:r>
        <w:r>
          <w:rPr>
            <w:noProof/>
            <w:webHidden/>
          </w:rPr>
          <w:instrText xml:space="preserve"> PAGEREF _Toc12260742 \h </w:instrText>
        </w:r>
        <w:r>
          <w:rPr>
            <w:noProof/>
            <w:webHidden/>
          </w:rPr>
        </w:r>
        <w:r>
          <w:rPr>
            <w:noProof/>
            <w:webHidden/>
          </w:rPr>
          <w:fldChar w:fldCharType="separate"/>
        </w:r>
        <w:r>
          <w:rPr>
            <w:noProof/>
            <w:webHidden/>
          </w:rPr>
          <w:t>289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43" w:history="1">
        <w:r w:rsidRPr="00CD0B56">
          <w:rPr>
            <w:rStyle w:val="Hyperlink"/>
            <w:noProof/>
          </w:rPr>
          <w:t>2.1.675</w:t>
        </w:r>
        <w:r>
          <w:rPr>
            <w:rFonts w:asciiTheme="minorHAnsi" w:eastAsiaTheme="minorEastAsia" w:hAnsiTheme="minorHAnsi" w:cstheme="minorBidi"/>
            <w:noProof/>
            <w:sz w:val="22"/>
            <w:szCs w:val="22"/>
          </w:rPr>
          <w:tab/>
        </w:r>
        <w:r w:rsidRPr="00CD0B56">
          <w:rPr>
            <w:rStyle w:val="Hyperlink"/>
            <w:noProof/>
          </w:rPr>
          <w:t>Part 1 Section 18.4.9, sst (Shared String Table)</w:t>
        </w:r>
        <w:r>
          <w:rPr>
            <w:noProof/>
            <w:webHidden/>
          </w:rPr>
          <w:tab/>
        </w:r>
        <w:r>
          <w:rPr>
            <w:noProof/>
            <w:webHidden/>
          </w:rPr>
          <w:fldChar w:fldCharType="begin"/>
        </w:r>
        <w:r>
          <w:rPr>
            <w:noProof/>
            <w:webHidden/>
          </w:rPr>
          <w:instrText xml:space="preserve"> PAGEREF _Toc12260743 \h </w:instrText>
        </w:r>
        <w:r>
          <w:rPr>
            <w:noProof/>
            <w:webHidden/>
          </w:rPr>
        </w:r>
        <w:r>
          <w:rPr>
            <w:noProof/>
            <w:webHidden/>
          </w:rPr>
          <w:fldChar w:fldCharType="separate"/>
        </w:r>
        <w:r>
          <w:rPr>
            <w:noProof/>
            <w:webHidden/>
          </w:rPr>
          <w:t>289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44" w:history="1">
        <w:r w:rsidRPr="00CD0B56">
          <w:rPr>
            <w:rStyle w:val="Hyperlink"/>
            <w:noProof/>
          </w:rPr>
          <w:t>2.1.676</w:t>
        </w:r>
        <w:r>
          <w:rPr>
            <w:rFonts w:asciiTheme="minorHAnsi" w:eastAsiaTheme="minorEastAsia" w:hAnsiTheme="minorHAnsi" w:cstheme="minorBidi"/>
            <w:noProof/>
            <w:sz w:val="22"/>
            <w:szCs w:val="22"/>
          </w:rPr>
          <w:tab/>
        </w:r>
        <w:r w:rsidRPr="00CD0B56">
          <w:rPr>
            <w:rStyle w:val="Hyperlink"/>
            <w:noProof/>
          </w:rPr>
          <w:t>Part 1 Section 18.4.11, sz (Font Size)</w:t>
        </w:r>
        <w:r>
          <w:rPr>
            <w:noProof/>
            <w:webHidden/>
          </w:rPr>
          <w:tab/>
        </w:r>
        <w:r>
          <w:rPr>
            <w:noProof/>
            <w:webHidden/>
          </w:rPr>
          <w:fldChar w:fldCharType="begin"/>
        </w:r>
        <w:r>
          <w:rPr>
            <w:noProof/>
            <w:webHidden/>
          </w:rPr>
          <w:instrText xml:space="preserve"> PAGEREF _Toc12260744 \h </w:instrText>
        </w:r>
        <w:r>
          <w:rPr>
            <w:noProof/>
            <w:webHidden/>
          </w:rPr>
        </w:r>
        <w:r>
          <w:rPr>
            <w:noProof/>
            <w:webHidden/>
          </w:rPr>
          <w:fldChar w:fldCharType="separate"/>
        </w:r>
        <w:r>
          <w:rPr>
            <w:noProof/>
            <w:webHidden/>
          </w:rPr>
          <w:t>289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45" w:history="1">
        <w:r w:rsidRPr="00CD0B56">
          <w:rPr>
            <w:rStyle w:val="Hyperlink"/>
            <w:noProof/>
          </w:rPr>
          <w:t>2.1.677</w:t>
        </w:r>
        <w:r>
          <w:rPr>
            <w:rFonts w:asciiTheme="minorHAnsi" w:eastAsiaTheme="minorEastAsia" w:hAnsiTheme="minorHAnsi" w:cstheme="minorBidi"/>
            <w:noProof/>
            <w:sz w:val="22"/>
            <w:szCs w:val="22"/>
          </w:rPr>
          <w:tab/>
        </w:r>
        <w:r w:rsidRPr="00CD0B56">
          <w:rPr>
            <w:rStyle w:val="Hyperlink"/>
            <w:noProof/>
          </w:rPr>
          <w:t>Part 1 Section 18.4.12, t (Text)</w:t>
        </w:r>
        <w:r>
          <w:rPr>
            <w:noProof/>
            <w:webHidden/>
          </w:rPr>
          <w:tab/>
        </w:r>
        <w:r>
          <w:rPr>
            <w:noProof/>
            <w:webHidden/>
          </w:rPr>
          <w:fldChar w:fldCharType="begin"/>
        </w:r>
        <w:r>
          <w:rPr>
            <w:noProof/>
            <w:webHidden/>
          </w:rPr>
          <w:instrText xml:space="preserve"> PAGEREF _Toc12260745 \h </w:instrText>
        </w:r>
        <w:r>
          <w:rPr>
            <w:noProof/>
            <w:webHidden/>
          </w:rPr>
        </w:r>
        <w:r>
          <w:rPr>
            <w:noProof/>
            <w:webHidden/>
          </w:rPr>
          <w:fldChar w:fldCharType="separate"/>
        </w:r>
        <w:r>
          <w:rPr>
            <w:noProof/>
            <w:webHidden/>
          </w:rPr>
          <w:t>290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46" w:history="1">
        <w:r w:rsidRPr="00CD0B56">
          <w:rPr>
            <w:rStyle w:val="Hyperlink"/>
            <w:noProof/>
          </w:rPr>
          <w:t>2.1.678</w:t>
        </w:r>
        <w:r>
          <w:rPr>
            <w:rFonts w:asciiTheme="minorHAnsi" w:eastAsiaTheme="minorEastAsia" w:hAnsiTheme="minorHAnsi" w:cstheme="minorBidi"/>
            <w:noProof/>
            <w:sz w:val="22"/>
            <w:szCs w:val="22"/>
          </w:rPr>
          <w:tab/>
        </w:r>
        <w:r w:rsidRPr="00CD0B56">
          <w:rPr>
            <w:rStyle w:val="Hyperlink"/>
            <w:noProof/>
          </w:rPr>
          <w:t>Part 1 Section 18.5.1.1, calculatedColumnFormula (Calculated Column Formula)</w:t>
        </w:r>
        <w:r>
          <w:rPr>
            <w:noProof/>
            <w:webHidden/>
          </w:rPr>
          <w:tab/>
        </w:r>
        <w:r>
          <w:rPr>
            <w:noProof/>
            <w:webHidden/>
          </w:rPr>
          <w:fldChar w:fldCharType="begin"/>
        </w:r>
        <w:r>
          <w:rPr>
            <w:noProof/>
            <w:webHidden/>
          </w:rPr>
          <w:instrText xml:space="preserve"> PAGEREF _Toc12260746 \h </w:instrText>
        </w:r>
        <w:r>
          <w:rPr>
            <w:noProof/>
            <w:webHidden/>
          </w:rPr>
        </w:r>
        <w:r>
          <w:rPr>
            <w:noProof/>
            <w:webHidden/>
          </w:rPr>
          <w:fldChar w:fldCharType="separate"/>
        </w:r>
        <w:r>
          <w:rPr>
            <w:noProof/>
            <w:webHidden/>
          </w:rPr>
          <w:t>290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47" w:history="1">
        <w:r w:rsidRPr="00CD0B56">
          <w:rPr>
            <w:rStyle w:val="Hyperlink"/>
            <w:noProof/>
          </w:rPr>
          <w:t>2.1.679</w:t>
        </w:r>
        <w:r>
          <w:rPr>
            <w:rFonts w:asciiTheme="minorHAnsi" w:eastAsiaTheme="minorEastAsia" w:hAnsiTheme="minorHAnsi" w:cstheme="minorBidi"/>
            <w:noProof/>
            <w:sz w:val="22"/>
            <w:szCs w:val="22"/>
          </w:rPr>
          <w:tab/>
        </w:r>
        <w:r w:rsidRPr="00CD0B56">
          <w:rPr>
            <w:rStyle w:val="Hyperlink"/>
            <w:noProof/>
          </w:rPr>
          <w:t>Part 1 Section 18.5.1.2, table (Table)</w:t>
        </w:r>
        <w:r>
          <w:rPr>
            <w:noProof/>
            <w:webHidden/>
          </w:rPr>
          <w:tab/>
        </w:r>
        <w:r>
          <w:rPr>
            <w:noProof/>
            <w:webHidden/>
          </w:rPr>
          <w:fldChar w:fldCharType="begin"/>
        </w:r>
        <w:r>
          <w:rPr>
            <w:noProof/>
            <w:webHidden/>
          </w:rPr>
          <w:instrText xml:space="preserve"> PAGEREF _Toc12260747 \h </w:instrText>
        </w:r>
        <w:r>
          <w:rPr>
            <w:noProof/>
            <w:webHidden/>
          </w:rPr>
        </w:r>
        <w:r>
          <w:rPr>
            <w:noProof/>
            <w:webHidden/>
          </w:rPr>
          <w:fldChar w:fldCharType="separate"/>
        </w:r>
        <w:r>
          <w:rPr>
            <w:noProof/>
            <w:webHidden/>
          </w:rPr>
          <w:t>290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48" w:history="1">
        <w:r w:rsidRPr="00CD0B56">
          <w:rPr>
            <w:rStyle w:val="Hyperlink"/>
            <w:noProof/>
          </w:rPr>
          <w:t>2.1.680</w:t>
        </w:r>
        <w:r>
          <w:rPr>
            <w:rFonts w:asciiTheme="minorHAnsi" w:eastAsiaTheme="minorEastAsia" w:hAnsiTheme="minorHAnsi" w:cstheme="minorBidi"/>
            <w:noProof/>
            <w:sz w:val="22"/>
            <w:szCs w:val="22"/>
          </w:rPr>
          <w:tab/>
        </w:r>
        <w:r w:rsidRPr="00CD0B56">
          <w:rPr>
            <w:rStyle w:val="Hyperlink"/>
            <w:noProof/>
          </w:rPr>
          <w:t>Part 1 Section 18.5.1.3, tableColumn (Table Column)</w:t>
        </w:r>
        <w:r>
          <w:rPr>
            <w:noProof/>
            <w:webHidden/>
          </w:rPr>
          <w:tab/>
        </w:r>
        <w:r>
          <w:rPr>
            <w:noProof/>
            <w:webHidden/>
          </w:rPr>
          <w:fldChar w:fldCharType="begin"/>
        </w:r>
        <w:r>
          <w:rPr>
            <w:noProof/>
            <w:webHidden/>
          </w:rPr>
          <w:instrText xml:space="preserve"> PAGEREF _Toc12260748 \h </w:instrText>
        </w:r>
        <w:r>
          <w:rPr>
            <w:noProof/>
            <w:webHidden/>
          </w:rPr>
        </w:r>
        <w:r>
          <w:rPr>
            <w:noProof/>
            <w:webHidden/>
          </w:rPr>
          <w:fldChar w:fldCharType="separate"/>
        </w:r>
        <w:r>
          <w:rPr>
            <w:noProof/>
            <w:webHidden/>
          </w:rPr>
          <w:t>291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49" w:history="1">
        <w:r w:rsidRPr="00CD0B56">
          <w:rPr>
            <w:rStyle w:val="Hyperlink"/>
            <w:noProof/>
          </w:rPr>
          <w:t>2.1.681</w:t>
        </w:r>
        <w:r>
          <w:rPr>
            <w:rFonts w:asciiTheme="minorHAnsi" w:eastAsiaTheme="minorEastAsia" w:hAnsiTheme="minorHAnsi" w:cstheme="minorBidi"/>
            <w:noProof/>
            <w:sz w:val="22"/>
            <w:szCs w:val="22"/>
          </w:rPr>
          <w:tab/>
        </w:r>
        <w:r w:rsidRPr="00CD0B56">
          <w:rPr>
            <w:rStyle w:val="Hyperlink"/>
            <w:noProof/>
          </w:rPr>
          <w:t>Part 1 Section 18.5.1.5, tableStyleInfo (Table Style)</w:t>
        </w:r>
        <w:r>
          <w:rPr>
            <w:noProof/>
            <w:webHidden/>
          </w:rPr>
          <w:tab/>
        </w:r>
        <w:r>
          <w:rPr>
            <w:noProof/>
            <w:webHidden/>
          </w:rPr>
          <w:fldChar w:fldCharType="begin"/>
        </w:r>
        <w:r>
          <w:rPr>
            <w:noProof/>
            <w:webHidden/>
          </w:rPr>
          <w:instrText xml:space="preserve"> PAGEREF _Toc12260749 \h </w:instrText>
        </w:r>
        <w:r>
          <w:rPr>
            <w:noProof/>
            <w:webHidden/>
          </w:rPr>
        </w:r>
        <w:r>
          <w:rPr>
            <w:noProof/>
            <w:webHidden/>
          </w:rPr>
          <w:fldChar w:fldCharType="separate"/>
        </w:r>
        <w:r>
          <w:rPr>
            <w:noProof/>
            <w:webHidden/>
          </w:rPr>
          <w:t>292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50" w:history="1">
        <w:r w:rsidRPr="00CD0B56">
          <w:rPr>
            <w:rStyle w:val="Hyperlink"/>
            <w:noProof/>
          </w:rPr>
          <w:t>2.1.682</w:t>
        </w:r>
        <w:r>
          <w:rPr>
            <w:rFonts w:asciiTheme="minorHAnsi" w:eastAsiaTheme="minorEastAsia" w:hAnsiTheme="minorHAnsi" w:cstheme="minorBidi"/>
            <w:noProof/>
            <w:sz w:val="22"/>
            <w:szCs w:val="22"/>
          </w:rPr>
          <w:tab/>
        </w:r>
        <w:r w:rsidRPr="00CD0B56">
          <w:rPr>
            <w:rStyle w:val="Hyperlink"/>
            <w:noProof/>
          </w:rPr>
          <w:t>Part 1 Section 18.5.1.6, totalsRowFormula (Totals Row Formula)</w:t>
        </w:r>
        <w:r>
          <w:rPr>
            <w:noProof/>
            <w:webHidden/>
          </w:rPr>
          <w:tab/>
        </w:r>
        <w:r>
          <w:rPr>
            <w:noProof/>
            <w:webHidden/>
          </w:rPr>
          <w:fldChar w:fldCharType="begin"/>
        </w:r>
        <w:r>
          <w:rPr>
            <w:noProof/>
            <w:webHidden/>
          </w:rPr>
          <w:instrText xml:space="preserve"> PAGEREF _Toc12260750 \h </w:instrText>
        </w:r>
        <w:r>
          <w:rPr>
            <w:noProof/>
            <w:webHidden/>
          </w:rPr>
        </w:r>
        <w:r>
          <w:rPr>
            <w:noProof/>
            <w:webHidden/>
          </w:rPr>
          <w:fldChar w:fldCharType="separate"/>
        </w:r>
        <w:r>
          <w:rPr>
            <w:noProof/>
            <w:webHidden/>
          </w:rPr>
          <w:t>292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51" w:history="1">
        <w:r w:rsidRPr="00CD0B56">
          <w:rPr>
            <w:rStyle w:val="Hyperlink"/>
            <w:noProof/>
          </w:rPr>
          <w:t>2.1.683</w:t>
        </w:r>
        <w:r>
          <w:rPr>
            <w:rFonts w:asciiTheme="minorHAnsi" w:eastAsiaTheme="minorEastAsia" w:hAnsiTheme="minorHAnsi" w:cstheme="minorBidi"/>
            <w:noProof/>
            <w:sz w:val="22"/>
            <w:szCs w:val="22"/>
          </w:rPr>
          <w:tab/>
        </w:r>
        <w:r w:rsidRPr="00CD0B56">
          <w:rPr>
            <w:rStyle w:val="Hyperlink"/>
            <w:noProof/>
          </w:rPr>
          <w:t>Part 1 Section 18.5.1.7, xmlColumnPr (XML Column Properties)</w:t>
        </w:r>
        <w:r>
          <w:rPr>
            <w:noProof/>
            <w:webHidden/>
          </w:rPr>
          <w:tab/>
        </w:r>
        <w:r>
          <w:rPr>
            <w:noProof/>
            <w:webHidden/>
          </w:rPr>
          <w:fldChar w:fldCharType="begin"/>
        </w:r>
        <w:r>
          <w:rPr>
            <w:noProof/>
            <w:webHidden/>
          </w:rPr>
          <w:instrText xml:space="preserve"> PAGEREF _Toc12260751 \h </w:instrText>
        </w:r>
        <w:r>
          <w:rPr>
            <w:noProof/>
            <w:webHidden/>
          </w:rPr>
        </w:r>
        <w:r>
          <w:rPr>
            <w:noProof/>
            <w:webHidden/>
          </w:rPr>
          <w:fldChar w:fldCharType="separate"/>
        </w:r>
        <w:r>
          <w:rPr>
            <w:noProof/>
            <w:webHidden/>
          </w:rPr>
          <w:t>292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52" w:history="1">
        <w:r w:rsidRPr="00CD0B56">
          <w:rPr>
            <w:rStyle w:val="Hyperlink"/>
            <w:noProof/>
          </w:rPr>
          <w:t>2.1.684</w:t>
        </w:r>
        <w:r>
          <w:rPr>
            <w:rFonts w:asciiTheme="minorHAnsi" w:eastAsiaTheme="minorEastAsia" w:hAnsiTheme="minorHAnsi" w:cstheme="minorBidi"/>
            <w:noProof/>
            <w:sz w:val="22"/>
            <w:szCs w:val="22"/>
          </w:rPr>
          <w:tab/>
        </w:r>
        <w:r w:rsidRPr="00CD0B56">
          <w:rPr>
            <w:rStyle w:val="Hyperlink"/>
            <w:noProof/>
          </w:rPr>
          <w:t>Part 1 Section 18.5.2.1, singleXmlCell (Table Properties)</w:t>
        </w:r>
        <w:r>
          <w:rPr>
            <w:noProof/>
            <w:webHidden/>
          </w:rPr>
          <w:tab/>
        </w:r>
        <w:r>
          <w:rPr>
            <w:noProof/>
            <w:webHidden/>
          </w:rPr>
          <w:fldChar w:fldCharType="begin"/>
        </w:r>
        <w:r>
          <w:rPr>
            <w:noProof/>
            <w:webHidden/>
          </w:rPr>
          <w:instrText xml:space="preserve"> PAGEREF _Toc12260752 \h </w:instrText>
        </w:r>
        <w:r>
          <w:rPr>
            <w:noProof/>
            <w:webHidden/>
          </w:rPr>
        </w:r>
        <w:r>
          <w:rPr>
            <w:noProof/>
            <w:webHidden/>
          </w:rPr>
          <w:fldChar w:fldCharType="separate"/>
        </w:r>
        <w:r>
          <w:rPr>
            <w:noProof/>
            <w:webHidden/>
          </w:rPr>
          <w:t>293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53" w:history="1">
        <w:r w:rsidRPr="00CD0B56">
          <w:rPr>
            <w:rStyle w:val="Hyperlink"/>
            <w:noProof/>
          </w:rPr>
          <w:t>2.1.685</w:t>
        </w:r>
        <w:r>
          <w:rPr>
            <w:rFonts w:asciiTheme="minorHAnsi" w:eastAsiaTheme="minorEastAsia" w:hAnsiTheme="minorHAnsi" w:cstheme="minorBidi"/>
            <w:noProof/>
            <w:sz w:val="22"/>
            <w:szCs w:val="22"/>
          </w:rPr>
          <w:tab/>
        </w:r>
        <w:r w:rsidRPr="00CD0B56">
          <w:rPr>
            <w:rStyle w:val="Hyperlink"/>
            <w:noProof/>
          </w:rPr>
          <w:t>Part 1 Section 18.5.2.3, xmlCellPr (Cell Properties)</w:t>
        </w:r>
        <w:r>
          <w:rPr>
            <w:noProof/>
            <w:webHidden/>
          </w:rPr>
          <w:tab/>
        </w:r>
        <w:r>
          <w:rPr>
            <w:noProof/>
            <w:webHidden/>
          </w:rPr>
          <w:fldChar w:fldCharType="begin"/>
        </w:r>
        <w:r>
          <w:rPr>
            <w:noProof/>
            <w:webHidden/>
          </w:rPr>
          <w:instrText xml:space="preserve"> PAGEREF _Toc12260753 \h </w:instrText>
        </w:r>
        <w:r>
          <w:rPr>
            <w:noProof/>
            <w:webHidden/>
          </w:rPr>
        </w:r>
        <w:r>
          <w:rPr>
            <w:noProof/>
            <w:webHidden/>
          </w:rPr>
          <w:fldChar w:fldCharType="separate"/>
        </w:r>
        <w:r>
          <w:rPr>
            <w:noProof/>
            <w:webHidden/>
          </w:rPr>
          <w:t>293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54" w:history="1">
        <w:r w:rsidRPr="00CD0B56">
          <w:rPr>
            <w:rStyle w:val="Hyperlink"/>
            <w:noProof/>
          </w:rPr>
          <w:t>2.1.686</w:t>
        </w:r>
        <w:r>
          <w:rPr>
            <w:rFonts w:asciiTheme="minorHAnsi" w:eastAsiaTheme="minorEastAsia" w:hAnsiTheme="minorHAnsi" w:cstheme="minorBidi"/>
            <w:noProof/>
            <w:sz w:val="22"/>
            <w:szCs w:val="22"/>
          </w:rPr>
          <w:tab/>
        </w:r>
        <w:r w:rsidRPr="00CD0B56">
          <w:rPr>
            <w:rStyle w:val="Hyperlink"/>
            <w:noProof/>
          </w:rPr>
          <w:t>Part 1 Section 18.5.2.4, xmlPr (Column XML Properties)</w:t>
        </w:r>
        <w:r>
          <w:rPr>
            <w:noProof/>
            <w:webHidden/>
          </w:rPr>
          <w:tab/>
        </w:r>
        <w:r>
          <w:rPr>
            <w:noProof/>
            <w:webHidden/>
          </w:rPr>
          <w:fldChar w:fldCharType="begin"/>
        </w:r>
        <w:r>
          <w:rPr>
            <w:noProof/>
            <w:webHidden/>
          </w:rPr>
          <w:instrText xml:space="preserve"> PAGEREF _Toc12260754 \h </w:instrText>
        </w:r>
        <w:r>
          <w:rPr>
            <w:noProof/>
            <w:webHidden/>
          </w:rPr>
        </w:r>
        <w:r>
          <w:rPr>
            <w:noProof/>
            <w:webHidden/>
          </w:rPr>
          <w:fldChar w:fldCharType="separate"/>
        </w:r>
        <w:r>
          <w:rPr>
            <w:noProof/>
            <w:webHidden/>
          </w:rPr>
          <w:t>293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55" w:history="1">
        <w:r w:rsidRPr="00CD0B56">
          <w:rPr>
            <w:rStyle w:val="Hyperlink"/>
            <w:noProof/>
          </w:rPr>
          <w:t>2.1.687</w:t>
        </w:r>
        <w:r>
          <w:rPr>
            <w:rFonts w:asciiTheme="minorHAnsi" w:eastAsiaTheme="minorEastAsia" w:hAnsiTheme="minorHAnsi" w:cstheme="minorBidi"/>
            <w:noProof/>
            <w:sz w:val="22"/>
            <w:szCs w:val="22"/>
          </w:rPr>
          <w:tab/>
        </w:r>
        <w:r w:rsidRPr="00CD0B56">
          <w:rPr>
            <w:rStyle w:val="Hyperlink"/>
            <w:noProof/>
          </w:rPr>
          <w:t>Part 1 Section 18.6.1, c (Cell)</w:t>
        </w:r>
        <w:r>
          <w:rPr>
            <w:noProof/>
            <w:webHidden/>
          </w:rPr>
          <w:tab/>
        </w:r>
        <w:r>
          <w:rPr>
            <w:noProof/>
            <w:webHidden/>
          </w:rPr>
          <w:fldChar w:fldCharType="begin"/>
        </w:r>
        <w:r>
          <w:rPr>
            <w:noProof/>
            <w:webHidden/>
          </w:rPr>
          <w:instrText xml:space="preserve"> PAGEREF _Toc12260755 \h </w:instrText>
        </w:r>
        <w:r>
          <w:rPr>
            <w:noProof/>
            <w:webHidden/>
          </w:rPr>
        </w:r>
        <w:r>
          <w:rPr>
            <w:noProof/>
            <w:webHidden/>
          </w:rPr>
          <w:fldChar w:fldCharType="separate"/>
        </w:r>
        <w:r>
          <w:rPr>
            <w:noProof/>
            <w:webHidden/>
          </w:rPr>
          <w:t>293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56" w:history="1">
        <w:r w:rsidRPr="00CD0B56">
          <w:rPr>
            <w:rStyle w:val="Hyperlink"/>
            <w:noProof/>
          </w:rPr>
          <w:t>2.1.688</w:t>
        </w:r>
        <w:r>
          <w:rPr>
            <w:rFonts w:asciiTheme="minorHAnsi" w:eastAsiaTheme="minorEastAsia" w:hAnsiTheme="minorHAnsi" w:cstheme="minorBidi"/>
            <w:noProof/>
            <w:sz w:val="22"/>
            <w:szCs w:val="22"/>
          </w:rPr>
          <w:tab/>
        </w:r>
        <w:r w:rsidRPr="00CD0B56">
          <w:rPr>
            <w:rStyle w:val="Hyperlink"/>
            <w:noProof/>
          </w:rPr>
          <w:t>Part 1 Section 18.7.1, author (Author)</w:t>
        </w:r>
        <w:r>
          <w:rPr>
            <w:noProof/>
            <w:webHidden/>
          </w:rPr>
          <w:tab/>
        </w:r>
        <w:r>
          <w:rPr>
            <w:noProof/>
            <w:webHidden/>
          </w:rPr>
          <w:fldChar w:fldCharType="begin"/>
        </w:r>
        <w:r>
          <w:rPr>
            <w:noProof/>
            <w:webHidden/>
          </w:rPr>
          <w:instrText xml:space="preserve"> PAGEREF _Toc12260756 \h </w:instrText>
        </w:r>
        <w:r>
          <w:rPr>
            <w:noProof/>
            <w:webHidden/>
          </w:rPr>
        </w:r>
        <w:r>
          <w:rPr>
            <w:noProof/>
            <w:webHidden/>
          </w:rPr>
          <w:fldChar w:fldCharType="separate"/>
        </w:r>
        <w:r>
          <w:rPr>
            <w:noProof/>
            <w:webHidden/>
          </w:rPr>
          <w:t>294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57" w:history="1">
        <w:r w:rsidRPr="00CD0B56">
          <w:rPr>
            <w:rStyle w:val="Hyperlink"/>
            <w:noProof/>
          </w:rPr>
          <w:t>2.1.689</w:t>
        </w:r>
        <w:r>
          <w:rPr>
            <w:rFonts w:asciiTheme="minorHAnsi" w:eastAsiaTheme="minorEastAsia" w:hAnsiTheme="minorHAnsi" w:cstheme="minorBidi"/>
            <w:noProof/>
            <w:sz w:val="22"/>
            <w:szCs w:val="22"/>
          </w:rPr>
          <w:tab/>
        </w:r>
        <w:r w:rsidRPr="00CD0B56">
          <w:rPr>
            <w:rStyle w:val="Hyperlink"/>
            <w:noProof/>
          </w:rPr>
          <w:t>Part 1 Section 18.7.3, comment (Comment)</w:t>
        </w:r>
        <w:r>
          <w:rPr>
            <w:noProof/>
            <w:webHidden/>
          </w:rPr>
          <w:tab/>
        </w:r>
        <w:r>
          <w:rPr>
            <w:noProof/>
            <w:webHidden/>
          </w:rPr>
          <w:fldChar w:fldCharType="begin"/>
        </w:r>
        <w:r>
          <w:rPr>
            <w:noProof/>
            <w:webHidden/>
          </w:rPr>
          <w:instrText xml:space="preserve"> PAGEREF _Toc12260757 \h </w:instrText>
        </w:r>
        <w:r>
          <w:rPr>
            <w:noProof/>
            <w:webHidden/>
          </w:rPr>
        </w:r>
        <w:r>
          <w:rPr>
            <w:noProof/>
            <w:webHidden/>
          </w:rPr>
          <w:fldChar w:fldCharType="separate"/>
        </w:r>
        <w:r>
          <w:rPr>
            <w:noProof/>
            <w:webHidden/>
          </w:rPr>
          <w:t>294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58" w:history="1">
        <w:r w:rsidRPr="00CD0B56">
          <w:rPr>
            <w:rStyle w:val="Hyperlink"/>
            <w:noProof/>
          </w:rPr>
          <w:t>2.1.690</w:t>
        </w:r>
        <w:r>
          <w:rPr>
            <w:rFonts w:asciiTheme="minorHAnsi" w:eastAsiaTheme="minorEastAsia" w:hAnsiTheme="minorHAnsi" w:cstheme="minorBidi"/>
            <w:noProof/>
            <w:sz w:val="22"/>
            <w:szCs w:val="22"/>
          </w:rPr>
          <w:tab/>
        </w:r>
        <w:r w:rsidRPr="00CD0B56">
          <w:rPr>
            <w:rStyle w:val="Hyperlink"/>
            <w:noProof/>
          </w:rPr>
          <w:t>Part 1 Section 18.7.5, commentPr (Comment Properties)</w:t>
        </w:r>
        <w:r>
          <w:rPr>
            <w:noProof/>
            <w:webHidden/>
          </w:rPr>
          <w:tab/>
        </w:r>
        <w:r>
          <w:rPr>
            <w:noProof/>
            <w:webHidden/>
          </w:rPr>
          <w:fldChar w:fldCharType="begin"/>
        </w:r>
        <w:r>
          <w:rPr>
            <w:noProof/>
            <w:webHidden/>
          </w:rPr>
          <w:instrText xml:space="preserve"> PAGEREF _Toc12260758 \h </w:instrText>
        </w:r>
        <w:r>
          <w:rPr>
            <w:noProof/>
            <w:webHidden/>
          </w:rPr>
        </w:r>
        <w:r>
          <w:rPr>
            <w:noProof/>
            <w:webHidden/>
          </w:rPr>
          <w:fldChar w:fldCharType="separate"/>
        </w:r>
        <w:r>
          <w:rPr>
            <w:noProof/>
            <w:webHidden/>
          </w:rPr>
          <w:t>294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59" w:history="1">
        <w:r w:rsidRPr="00CD0B56">
          <w:rPr>
            <w:rStyle w:val="Hyperlink"/>
            <w:noProof/>
          </w:rPr>
          <w:t>2.1.691</w:t>
        </w:r>
        <w:r>
          <w:rPr>
            <w:rFonts w:asciiTheme="minorHAnsi" w:eastAsiaTheme="minorEastAsia" w:hAnsiTheme="minorHAnsi" w:cstheme="minorBidi"/>
            <w:noProof/>
            <w:sz w:val="22"/>
            <w:szCs w:val="22"/>
          </w:rPr>
          <w:tab/>
        </w:r>
        <w:r w:rsidRPr="00CD0B56">
          <w:rPr>
            <w:rStyle w:val="Hyperlink"/>
            <w:noProof/>
          </w:rPr>
          <w:t>Part 1 Section 18.7.7, text (Comment Text)</w:t>
        </w:r>
        <w:r>
          <w:rPr>
            <w:noProof/>
            <w:webHidden/>
          </w:rPr>
          <w:tab/>
        </w:r>
        <w:r>
          <w:rPr>
            <w:noProof/>
            <w:webHidden/>
          </w:rPr>
          <w:fldChar w:fldCharType="begin"/>
        </w:r>
        <w:r>
          <w:rPr>
            <w:noProof/>
            <w:webHidden/>
          </w:rPr>
          <w:instrText xml:space="preserve"> PAGEREF _Toc12260759 \h </w:instrText>
        </w:r>
        <w:r>
          <w:rPr>
            <w:noProof/>
            <w:webHidden/>
          </w:rPr>
        </w:r>
        <w:r>
          <w:rPr>
            <w:noProof/>
            <w:webHidden/>
          </w:rPr>
          <w:fldChar w:fldCharType="separate"/>
        </w:r>
        <w:r>
          <w:rPr>
            <w:noProof/>
            <w:webHidden/>
          </w:rPr>
          <w:t>294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60" w:history="1">
        <w:r w:rsidRPr="00CD0B56">
          <w:rPr>
            <w:rStyle w:val="Hyperlink"/>
            <w:noProof/>
          </w:rPr>
          <w:t>2.1.692</w:t>
        </w:r>
        <w:r>
          <w:rPr>
            <w:rFonts w:asciiTheme="minorHAnsi" w:eastAsiaTheme="minorEastAsia" w:hAnsiTheme="minorHAnsi" w:cstheme="minorBidi"/>
            <w:noProof/>
            <w:sz w:val="22"/>
            <w:szCs w:val="22"/>
          </w:rPr>
          <w:tab/>
        </w:r>
        <w:r w:rsidRPr="00CD0B56">
          <w:rPr>
            <w:rStyle w:val="Hyperlink"/>
            <w:noProof/>
          </w:rPr>
          <w:t>Part 1 Section 18.8.1, alignment (Alignment)</w:t>
        </w:r>
        <w:r>
          <w:rPr>
            <w:noProof/>
            <w:webHidden/>
          </w:rPr>
          <w:tab/>
        </w:r>
        <w:r>
          <w:rPr>
            <w:noProof/>
            <w:webHidden/>
          </w:rPr>
          <w:fldChar w:fldCharType="begin"/>
        </w:r>
        <w:r>
          <w:rPr>
            <w:noProof/>
            <w:webHidden/>
          </w:rPr>
          <w:instrText xml:space="preserve"> PAGEREF _Toc12260760 \h </w:instrText>
        </w:r>
        <w:r>
          <w:rPr>
            <w:noProof/>
            <w:webHidden/>
          </w:rPr>
        </w:r>
        <w:r>
          <w:rPr>
            <w:noProof/>
            <w:webHidden/>
          </w:rPr>
          <w:fldChar w:fldCharType="separate"/>
        </w:r>
        <w:r>
          <w:rPr>
            <w:noProof/>
            <w:webHidden/>
          </w:rPr>
          <w:t>295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61" w:history="1">
        <w:r w:rsidRPr="00CD0B56">
          <w:rPr>
            <w:rStyle w:val="Hyperlink"/>
            <w:noProof/>
          </w:rPr>
          <w:t>2.1.693</w:t>
        </w:r>
        <w:r>
          <w:rPr>
            <w:rFonts w:asciiTheme="minorHAnsi" w:eastAsiaTheme="minorEastAsia" w:hAnsiTheme="minorHAnsi" w:cstheme="minorBidi"/>
            <w:noProof/>
            <w:sz w:val="22"/>
            <w:szCs w:val="22"/>
          </w:rPr>
          <w:tab/>
        </w:r>
        <w:r w:rsidRPr="00CD0B56">
          <w:rPr>
            <w:rStyle w:val="Hyperlink"/>
            <w:noProof/>
          </w:rPr>
          <w:t>Part 1 Section 18.8.3, bgColor (Background Color)</w:t>
        </w:r>
        <w:r>
          <w:rPr>
            <w:noProof/>
            <w:webHidden/>
          </w:rPr>
          <w:tab/>
        </w:r>
        <w:r>
          <w:rPr>
            <w:noProof/>
            <w:webHidden/>
          </w:rPr>
          <w:fldChar w:fldCharType="begin"/>
        </w:r>
        <w:r>
          <w:rPr>
            <w:noProof/>
            <w:webHidden/>
          </w:rPr>
          <w:instrText xml:space="preserve"> PAGEREF _Toc12260761 \h </w:instrText>
        </w:r>
        <w:r>
          <w:rPr>
            <w:noProof/>
            <w:webHidden/>
          </w:rPr>
        </w:r>
        <w:r>
          <w:rPr>
            <w:noProof/>
            <w:webHidden/>
          </w:rPr>
          <w:fldChar w:fldCharType="separate"/>
        </w:r>
        <w:r>
          <w:rPr>
            <w:noProof/>
            <w:webHidden/>
          </w:rPr>
          <w:t>295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62" w:history="1">
        <w:r w:rsidRPr="00CD0B56">
          <w:rPr>
            <w:rStyle w:val="Hyperlink"/>
            <w:noProof/>
          </w:rPr>
          <w:t>2.1.694</w:t>
        </w:r>
        <w:r>
          <w:rPr>
            <w:rFonts w:asciiTheme="minorHAnsi" w:eastAsiaTheme="minorEastAsia" w:hAnsiTheme="minorHAnsi" w:cstheme="minorBidi"/>
            <w:noProof/>
            <w:sz w:val="22"/>
            <w:szCs w:val="22"/>
          </w:rPr>
          <w:tab/>
        </w:r>
        <w:r w:rsidRPr="00CD0B56">
          <w:rPr>
            <w:rStyle w:val="Hyperlink"/>
            <w:noProof/>
          </w:rPr>
          <w:t>Part 1 Section 18.8.4, border (Border)</w:t>
        </w:r>
        <w:r>
          <w:rPr>
            <w:noProof/>
            <w:webHidden/>
          </w:rPr>
          <w:tab/>
        </w:r>
        <w:r>
          <w:rPr>
            <w:noProof/>
            <w:webHidden/>
          </w:rPr>
          <w:fldChar w:fldCharType="begin"/>
        </w:r>
        <w:r>
          <w:rPr>
            <w:noProof/>
            <w:webHidden/>
          </w:rPr>
          <w:instrText xml:space="preserve"> PAGEREF _Toc12260762 \h </w:instrText>
        </w:r>
        <w:r>
          <w:rPr>
            <w:noProof/>
            <w:webHidden/>
          </w:rPr>
        </w:r>
        <w:r>
          <w:rPr>
            <w:noProof/>
            <w:webHidden/>
          </w:rPr>
          <w:fldChar w:fldCharType="separate"/>
        </w:r>
        <w:r>
          <w:rPr>
            <w:noProof/>
            <w:webHidden/>
          </w:rPr>
          <w:t>296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63" w:history="1">
        <w:r w:rsidRPr="00CD0B56">
          <w:rPr>
            <w:rStyle w:val="Hyperlink"/>
            <w:noProof/>
          </w:rPr>
          <w:t>2.1.695</w:t>
        </w:r>
        <w:r>
          <w:rPr>
            <w:rFonts w:asciiTheme="minorHAnsi" w:eastAsiaTheme="minorEastAsia" w:hAnsiTheme="minorHAnsi" w:cstheme="minorBidi"/>
            <w:noProof/>
            <w:sz w:val="22"/>
            <w:szCs w:val="22"/>
          </w:rPr>
          <w:tab/>
        </w:r>
        <w:r w:rsidRPr="00CD0B56">
          <w:rPr>
            <w:rStyle w:val="Hyperlink"/>
            <w:noProof/>
          </w:rPr>
          <w:t>Part 1 Section 18.8.5, borders (Borders)</w:t>
        </w:r>
        <w:r>
          <w:rPr>
            <w:noProof/>
            <w:webHidden/>
          </w:rPr>
          <w:tab/>
        </w:r>
        <w:r>
          <w:rPr>
            <w:noProof/>
            <w:webHidden/>
          </w:rPr>
          <w:fldChar w:fldCharType="begin"/>
        </w:r>
        <w:r>
          <w:rPr>
            <w:noProof/>
            <w:webHidden/>
          </w:rPr>
          <w:instrText xml:space="preserve"> PAGEREF _Toc12260763 \h </w:instrText>
        </w:r>
        <w:r>
          <w:rPr>
            <w:noProof/>
            <w:webHidden/>
          </w:rPr>
        </w:r>
        <w:r>
          <w:rPr>
            <w:noProof/>
            <w:webHidden/>
          </w:rPr>
          <w:fldChar w:fldCharType="separate"/>
        </w:r>
        <w:r>
          <w:rPr>
            <w:noProof/>
            <w:webHidden/>
          </w:rPr>
          <w:t>296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64" w:history="1">
        <w:r w:rsidRPr="00CD0B56">
          <w:rPr>
            <w:rStyle w:val="Hyperlink"/>
            <w:noProof/>
          </w:rPr>
          <w:t>2.1.696</w:t>
        </w:r>
        <w:r>
          <w:rPr>
            <w:rFonts w:asciiTheme="minorHAnsi" w:eastAsiaTheme="minorEastAsia" w:hAnsiTheme="minorHAnsi" w:cstheme="minorBidi"/>
            <w:noProof/>
            <w:sz w:val="22"/>
            <w:szCs w:val="22"/>
          </w:rPr>
          <w:tab/>
        </w:r>
        <w:r w:rsidRPr="00CD0B56">
          <w:rPr>
            <w:rStyle w:val="Hyperlink"/>
            <w:noProof/>
          </w:rPr>
          <w:t>Part 1 Section 18.8.7, cellStyle (Cell Style)</w:t>
        </w:r>
        <w:r>
          <w:rPr>
            <w:noProof/>
            <w:webHidden/>
          </w:rPr>
          <w:tab/>
        </w:r>
        <w:r>
          <w:rPr>
            <w:noProof/>
            <w:webHidden/>
          </w:rPr>
          <w:fldChar w:fldCharType="begin"/>
        </w:r>
        <w:r>
          <w:rPr>
            <w:noProof/>
            <w:webHidden/>
          </w:rPr>
          <w:instrText xml:space="preserve"> PAGEREF _Toc12260764 \h </w:instrText>
        </w:r>
        <w:r>
          <w:rPr>
            <w:noProof/>
            <w:webHidden/>
          </w:rPr>
        </w:r>
        <w:r>
          <w:rPr>
            <w:noProof/>
            <w:webHidden/>
          </w:rPr>
          <w:fldChar w:fldCharType="separate"/>
        </w:r>
        <w:r>
          <w:rPr>
            <w:noProof/>
            <w:webHidden/>
          </w:rPr>
          <w:t>296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65" w:history="1">
        <w:r w:rsidRPr="00CD0B56">
          <w:rPr>
            <w:rStyle w:val="Hyperlink"/>
            <w:noProof/>
          </w:rPr>
          <w:t>2.1.697</w:t>
        </w:r>
        <w:r>
          <w:rPr>
            <w:rFonts w:asciiTheme="minorHAnsi" w:eastAsiaTheme="minorEastAsia" w:hAnsiTheme="minorHAnsi" w:cstheme="minorBidi"/>
            <w:noProof/>
            <w:sz w:val="22"/>
            <w:szCs w:val="22"/>
          </w:rPr>
          <w:tab/>
        </w:r>
        <w:r w:rsidRPr="00CD0B56">
          <w:rPr>
            <w:rStyle w:val="Hyperlink"/>
            <w:noProof/>
          </w:rPr>
          <w:t>Part 1 Section 18.8.8, cellStyles (Cell Styles)</w:t>
        </w:r>
        <w:r>
          <w:rPr>
            <w:noProof/>
            <w:webHidden/>
          </w:rPr>
          <w:tab/>
        </w:r>
        <w:r>
          <w:rPr>
            <w:noProof/>
            <w:webHidden/>
          </w:rPr>
          <w:fldChar w:fldCharType="begin"/>
        </w:r>
        <w:r>
          <w:rPr>
            <w:noProof/>
            <w:webHidden/>
          </w:rPr>
          <w:instrText xml:space="preserve"> PAGEREF _Toc12260765 \h </w:instrText>
        </w:r>
        <w:r>
          <w:rPr>
            <w:noProof/>
            <w:webHidden/>
          </w:rPr>
        </w:r>
        <w:r>
          <w:rPr>
            <w:noProof/>
            <w:webHidden/>
          </w:rPr>
          <w:fldChar w:fldCharType="separate"/>
        </w:r>
        <w:r>
          <w:rPr>
            <w:noProof/>
            <w:webHidden/>
          </w:rPr>
          <w:t>296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66" w:history="1">
        <w:r w:rsidRPr="00CD0B56">
          <w:rPr>
            <w:rStyle w:val="Hyperlink"/>
            <w:noProof/>
          </w:rPr>
          <w:t>2.1.698</w:t>
        </w:r>
        <w:r>
          <w:rPr>
            <w:rFonts w:asciiTheme="minorHAnsi" w:eastAsiaTheme="minorEastAsia" w:hAnsiTheme="minorHAnsi" w:cstheme="minorBidi"/>
            <w:noProof/>
            <w:sz w:val="22"/>
            <w:szCs w:val="22"/>
          </w:rPr>
          <w:tab/>
        </w:r>
        <w:r w:rsidRPr="00CD0B56">
          <w:rPr>
            <w:rStyle w:val="Hyperlink"/>
            <w:noProof/>
          </w:rPr>
          <w:t>Part 1 Section 18.8.9, cellStyleXfs (Formatting Records)</w:t>
        </w:r>
        <w:r>
          <w:rPr>
            <w:noProof/>
            <w:webHidden/>
          </w:rPr>
          <w:tab/>
        </w:r>
        <w:r>
          <w:rPr>
            <w:noProof/>
            <w:webHidden/>
          </w:rPr>
          <w:fldChar w:fldCharType="begin"/>
        </w:r>
        <w:r>
          <w:rPr>
            <w:noProof/>
            <w:webHidden/>
          </w:rPr>
          <w:instrText xml:space="preserve"> PAGEREF _Toc12260766 \h </w:instrText>
        </w:r>
        <w:r>
          <w:rPr>
            <w:noProof/>
            <w:webHidden/>
          </w:rPr>
        </w:r>
        <w:r>
          <w:rPr>
            <w:noProof/>
            <w:webHidden/>
          </w:rPr>
          <w:fldChar w:fldCharType="separate"/>
        </w:r>
        <w:r>
          <w:rPr>
            <w:noProof/>
            <w:webHidden/>
          </w:rPr>
          <w:t>297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67" w:history="1">
        <w:r w:rsidRPr="00CD0B56">
          <w:rPr>
            <w:rStyle w:val="Hyperlink"/>
            <w:noProof/>
          </w:rPr>
          <w:t>2.1.699</w:t>
        </w:r>
        <w:r>
          <w:rPr>
            <w:rFonts w:asciiTheme="minorHAnsi" w:eastAsiaTheme="minorEastAsia" w:hAnsiTheme="minorHAnsi" w:cstheme="minorBidi"/>
            <w:noProof/>
            <w:sz w:val="22"/>
            <w:szCs w:val="22"/>
          </w:rPr>
          <w:tab/>
        </w:r>
        <w:r w:rsidRPr="00CD0B56">
          <w:rPr>
            <w:rStyle w:val="Hyperlink"/>
            <w:noProof/>
          </w:rPr>
          <w:t>Part 1 Section 18.8.10, cellXfs (Cell Formats)</w:t>
        </w:r>
        <w:r>
          <w:rPr>
            <w:noProof/>
            <w:webHidden/>
          </w:rPr>
          <w:tab/>
        </w:r>
        <w:r>
          <w:rPr>
            <w:noProof/>
            <w:webHidden/>
          </w:rPr>
          <w:fldChar w:fldCharType="begin"/>
        </w:r>
        <w:r>
          <w:rPr>
            <w:noProof/>
            <w:webHidden/>
          </w:rPr>
          <w:instrText xml:space="preserve"> PAGEREF _Toc12260767 \h </w:instrText>
        </w:r>
        <w:r>
          <w:rPr>
            <w:noProof/>
            <w:webHidden/>
          </w:rPr>
        </w:r>
        <w:r>
          <w:rPr>
            <w:noProof/>
            <w:webHidden/>
          </w:rPr>
          <w:fldChar w:fldCharType="separate"/>
        </w:r>
        <w:r>
          <w:rPr>
            <w:noProof/>
            <w:webHidden/>
          </w:rPr>
          <w:t>297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68" w:history="1">
        <w:r w:rsidRPr="00CD0B56">
          <w:rPr>
            <w:rStyle w:val="Hyperlink"/>
            <w:noProof/>
          </w:rPr>
          <w:t>2.1.700</w:t>
        </w:r>
        <w:r>
          <w:rPr>
            <w:rFonts w:asciiTheme="minorHAnsi" w:eastAsiaTheme="minorEastAsia" w:hAnsiTheme="minorHAnsi" w:cstheme="minorBidi"/>
            <w:noProof/>
            <w:sz w:val="22"/>
            <w:szCs w:val="22"/>
          </w:rPr>
          <w:tab/>
        </w:r>
        <w:r w:rsidRPr="00CD0B56">
          <w:rPr>
            <w:rStyle w:val="Hyperlink"/>
            <w:noProof/>
          </w:rPr>
          <w:t>Part 1 Section 18.8.15, dxfs (Formats)</w:t>
        </w:r>
        <w:r>
          <w:rPr>
            <w:noProof/>
            <w:webHidden/>
          </w:rPr>
          <w:tab/>
        </w:r>
        <w:r>
          <w:rPr>
            <w:noProof/>
            <w:webHidden/>
          </w:rPr>
          <w:fldChar w:fldCharType="begin"/>
        </w:r>
        <w:r>
          <w:rPr>
            <w:noProof/>
            <w:webHidden/>
          </w:rPr>
          <w:instrText xml:space="preserve"> PAGEREF _Toc12260768 \h </w:instrText>
        </w:r>
        <w:r>
          <w:rPr>
            <w:noProof/>
            <w:webHidden/>
          </w:rPr>
        </w:r>
        <w:r>
          <w:rPr>
            <w:noProof/>
            <w:webHidden/>
          </w:rPr>
          <w:fldChar w:fldCharType="separate"/>
        </w:r>
        <w:r>
          <w:rPr>
            <w:noProof/>
            <w:webHidden/>
          </w:rPr>
          <w:t>297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69" w:history="1">
        <w:r w:rsidRPr="00CD0B56">
          <w:rPr>
            <w:rStyle w:val="Hyperlink"/>
            <w:noProof/>
          </w:rPr>
          <w:t>2.1.701</w:t>
        </w:r>
        <w:r>
          <w:rPr>
            <w:rFonts w:asciiTheme="minorHAnsi" w:eastAsiaTheme="minorEastAsia" w:hAnsiTheme="minorHAnsi" w:cstheme="minorBidi"/>
            <w:noProof/>
            <w:sz w:val="22"/>
            <w:szCs w:val="22"/>
          </w:rPr>
          <w:tab/>
        </w:r>
        <w:r w:rsidRPr="00CD0B56">
          <w:rPr>
            <w:rStyle w:val="Hyperlink"/>
            <w:noProof/>
          </w:rPr>
          <w:t>Part 1 Section 18.8.16, end (Trailing Edge Border)</w:t>
        </w:r>
        <w:r>
          <w:rPr>
            <w:noProof/>
            <w:webHidden/>
          </w:rPr>
          <w:tab/>
        </w:r>
        <w:r>
          <w:rPr>
            <w:noProof/>
            <w:webHidden/>
          </w:rPr>
          <w:fldChar w:fldCharType="begin"/>
        </w:r>
        <w:r>
          <w:rPr>
            <w:noProof/>
            <w:webHidden/>
          </w:rPr>
          <w:instrText xml:space="preserve"> PAGEREF _Toc12260769 \h </w:instrText>
        </w:r>
        <w:r>
          <w:rPr>
            <w:noProof/>
            <w:webHidden/>
          </w:rPr>
        </w:r>
        <w:r>
          <w:rPr>
            <w:noProof/>
            <w:webHidden/>
          </w:rPr>
          <w:fldChar w:fldCharType="separate"/>
        </w:r>
        <w:r>
          <w:rPr>
            <w:noProof/>
            <w:webHidden/>
          </w:rPr>
          <w:t>297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70" w:history="1">
        <w:r w:rsidRPr="00CD0B56">
          <w:rPr>
            <w:rStyle w:val="Hyperlink"/>
            <w:noProof/>
          </w:rPr>
          <w:t>2.1.702</w:t>
        </w:r>
        <w:r>
          <w:rPr>
            <w:rFonts w:asciiTheme="minorHAnsi" w:eastAsiaTheme="minorEastAsia" w:hAnsiTheme="minorHAnsi" w:cstheme="minorBidi"/>
            <w:noProof/>
            <w:sz w:val="22"/>
            <w:szCs w:val="22"/>
          </w:rPr>
          <w:tab/>
        </w:r>
        <w:r w:rsidRPr="00CD0B56">
          <w:rPr>
            <w:rStyle w:val="Hyperlink"/>
            <w:noProof/>
          </w:rPr>
          <w:t>Part 1 Section 18.8.18, family (Font Family)</w:t>
        </w:r>
        <w:r>
          <w:rPr>
            <w:noProof/>
            <w:webHidden/>
          </w:rPr>
          <w:tab/>
        </w:r>
        <w:r>
          <w:rPr>
            <w:noProof/>
            <w:webHidden/>
          </w:rPr>
          <w:fldChar w:fldCharType="begin"/>
        </w:r>
        <w:r>
          <w:rPr>
            <w:noProof/>
            <w:webHidden/>
          </w:rPr>
          <w:instrText xml:space="preserve"> PAGEREF _Toc12260770 \h </w:instrText>
        </w:r>
        <w:r>
          <w:rPr>
            <w:noProof/>
            <w:webHidden/>
          </w:rPr>
        </w:r>
        <w:r>
          <w:rPr>
            <w:noProof/>
            <w:webHidden/>
          </w:rPr>
          <w:fldChar w:fldCharType="separate"/>
        </w:r>
        <w:r>
          <w:rPr>
            <w:noProof/>
            <w:webHidden/>
          </w:rPr>
          <w:t>297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71" w:history="1">
        <w:r w:rsidRPr="00CD0B56">
          <w:rPr>
            <w:rStyle w:val="Hyperlink"/>
            <w:noProof/>
          </w:rPr>
          <w:t>2.1.703</w:t>
        </w:r>
        <w:r>
          <w:rPr>
            <w:rFonts w:asciiTheme="minorHAnsi" w:eastAsiaTheme="minorEastAsia" w:hAnsiTheme="minorHAnsi" w:cstheme="minorBidi"/>
            <w:noProof/>
            <w:sz w:val="22"/>
            <w:szCs w:val="22"/>
          </w:rPr>
          <w:tab/>
        </w:r>
        <w:r w:rsidRPr="00CD0B56">
          <w:rPr>
            <w:rStyle w:val="Hyperlink"/>
            <w:noProof/>
          </w:rPr>
          <w:t>Part 1 Section 18.8.19, fgColor (Foreground Color)</w:t>
        </w:r>
        <w:r>
          <w:rPr>
            <w:noProof/>
            <w:webHidden/>
          </w:rPr>
          <w:tab/>
        </w:r>
        <w:r>
          <w:rPr>
            <w:noProof/>
            <w:webHidden/>
          </w:rPr>
          <w:fldChar w:fldCharType="begin"/>
        </w:r>
        <w:r>
          <w:rPr>
            <w:noProof/>
            <w:webHidden/>
          </w:rPr>
          <w:instrText xml:space="preserve"> PAGEREF _Toc12260771 \h </w:instrText>
        </w:r>
        <w:r>
          <w:rPr>
            <w:noProof/>
            <w:webHidden/>
          </w:rPr>
        </w:r>
        <w:r>
          <w:rPr>
            <w:noProof/>
            <w:webHidden/>
          </w:rPr>
          <w:fldChar w:fldCharType="separate"/>
        </w:r>
        <w:r>
          <w:rPr>
            <w:noProof/>
            <w:webHidden/>
          </w:rPr>
          <w:t>298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72" w:history="1">
        <w:r w:rsidRPr="00CD0B56">
          <w:rPr>
            <w:rStyle w:val="Hyperlink"/>
            <w:noProof/>
          </w:rPr>
          <w:t>2.1.704</w:t>
        </w:r>
        <w:r>
          <w:rPr>
            <w:rFonts w:asciiTheme="minorHAnsi" w:eastAsiaTheme="minorEastAsia" w:hAnsiTheme="minorHAnsi" w:cstheme="minorBidi"/>
            <w:noProof/>
            <w:sz w:val="22"/>
            <w:szCs w:val="22"/>
          </w:rPr>
          <w:tab/>
        </w:r>
        <w:r w:rsidRPr="00CD0B56">
          <w:rPr>
            <w:rStyle w:val="Hyperlink"/>
            <w:noProof/>
          </w:rPr>
          <w:t>Part 1 Section 18.8.21, fills (Fills)</w:t>
        </w:r>
        <w:r>
          <w:rPr>
            <w:noProof/>
            <w:webHidden/>
          </w:rPr>
          <w:tab/>
        </w:r>
        <w:r>
          <w:rPr>
            <w:noProof/>
            <w:webHidden/>
          </w:rPr>
          <w:fldChar w:fldCharType="begin"/>
        </w:r>
        <w:r>
          <w:rPr>
            <w:noProof/>
            <w:webHidden/>
          </w:rPr>
          <w:instrText xml:space="preserve"> PAGEREF _Toc12260772 \h </w:instrText>
        </w:r>
        <w:r>
          <w:rPr>
            <w:noProof/>
            <w:webHidden/>
          </w:rPr>
        </w:r>
        <w:r>
          <w:rPr>
            <w:noProof/>
            <w:webHidden/>
          </w:rPr>
          <w:fldChar w:fldCharType="separate"/>
        </w:r>
        <w:r>
          <w:rPr>
            <w:noProof/>
            <w:webHidden/>
          </w:rPr>
          <w:t>298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73" w:history="1">
        <w:r w:rsidRPr="00CD0B56">
          <w:rPr>
            <w:rStyle w:val="Hyperlink"/>
            <w:noProof/>
          </w:rPr>
          <w:t>2.1.705</w:t>
        </w:r>
        <w:r>
          <w:rPr>
            <w:rFonts w:asciiTheme="minorHAnsi" w:eastAsiaTheme="minorEastAsia" w:hAnsiTheme="minorHAnsi" w:cstheme="minorBidi"/>
            <w:noProof/>
            <w:sz w:val="22"/>
            <w:szCs w:val="22"/>
          </w:rPr>
          <w:tab/>
        </w:r>
        <w:r w:rsidRPr="00CD0B56">
          <w:rPr>
            <w:rStyle w:val="Hyperlink"/>
            <w:noProof/>
          </w:rPr>
          <w:t>Part 1 Section 18.8.22, font (Font)</w:t>
        </w:r>
        <w:r>
          <w:rPr>
            <w:noProof/>
            <w:webHidden/>
          </w:rPr>
          <w:tab/>
        </w:r>
        <w:r>
          <w:rPr>
            <w:noProof/>
            <w:webHidden/>
          </w:rPr>
          <w:fldChar w:fldCharType="begin"/>
        </w:r>
        <w:r>
          <w:rPr>
            <w:noProof/>
            <w:webHidden/>
          </w:rPr>
          <w:instrText xml:space="preserve"> PAGEREF _Toc12260773 \h </w:instrText>
        </w:r>
        <w:r>
          <w:rPr>
            <w:noProof/>
            <w:webHidden/>
          </w:rPr>
        </w:r>
        <w:r>
          <w:rPr>
            <w:noProof/>
            <w:webHidden/>
          </w:rPr>
          <w:fldChar w:fldCharType="separate"/>
        </w:r>
        <w:r>
          <w:rPr>
            <w:noProof/>
            <w:webHidden/>
          </w:rPr>
          <w:t>298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74" w:history="1">
        <w:r w:rsidRPr="00CD0B56">
          <w:rPr>
            <w:rStyle w:val="Hyperlink"/>
            <w:noProof/>
          </w:rPr>
          <w:t>2.1.706</w:t>
        </w:r>
        <w:r>
          <w:rPr>
            <w:rFonts w:asciiTheme="minorHAnsi" w:eastAsiaTheme="minorEastAsia" w:hAnsiTheme="minorHAnsi" w:cstheme="minorBidi"/>
            <w:noProof/>
            <w:sz w:val="22"/>
            <w:szCs w:val="22"/>
          </w:rPr>
          <w:tab/>
        </w:r>
        <w:r w:rsidRPr="00CD0B56">
          <w:rPr>
            <w:rStyle w:val="Hyperlink"/>
            <w:noProof/>
          </w:rPr>
          <w:t>Part 1 Section 18.8.23, fonts (Fonts)</w:t>
        </w:r>
        <w:r>
          <w:rPr>
            <w:noProof/>
            <w:webHidden/>
          </w:rPr>
          <w:tab/>
        </w:r>
        <w:r>
          <w:rPr>
            <w:noProof/>
            <w:webHidden/>
          </w:rPr>
          <w:fldChar w:fldCharType="begin"/>
        </w:r>
        <w:r>
          <w:rPr>
            <w:noProof/>
            <w:webHidden/>
          </w:rPr>
          <w:instrText xml:space="preserve"> PAGEREF _Toc12260774 \h </w:instrText>
        </w:r>
        <w:r>
          <w:rPr>
            <w:noProof/>
            <w:webHidden/>
          </w:rPr>
        </w:r>
        <w:r>
          <w:rPr>
            <w:noProof/>
            <w:webHidden/>
          </w:rPr>
          <w:fldChar w:fldCharType="separate"/>
        </w:r>
        <w:r>
          <w:rPr>
            <w:noProof/>
            <w:webHidden/>
          </w:rPr>
          <w:t>298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75" w:history="1">
        <w:r w:rsidRPr="00CD0B56">
          <w:rPr>
            <w:rStyle w:val="Hyperlink"/>
            <w:noProof/>
          </w:rPr>
          <w:t>2.1.707</w:t>
        </w:r>
        <w:r>
          <w:rPr>
            <w:rFonts w:asciiTheme="minorHAnsi" w:eastAsiaTheme="minorEastAsia" w:hAnsiTheme="minorHAnsi" w:cstheme="minorBidi"/>
            <w:noProof/>
            <w:sz w:val="22"/>
            <w:szCs w:val="22"/>
          </w:rPr>
          <w:tab/>
        </w:r>
        <w:r w:rsidRPr="00CD0B56">
          <w:rPr>
            <w:rStyle w:val="Hyperlink"/>
            <w:noProof/>
          </w:rPr>
          <w:t>Part 1 Section 18.8.24, gradientFill (Gradient)</w:t>
        </w:r>
        <w:r>
          <w:rPr>
            <w:noProof/>
            <w:webHidden/>
          </w:rPr>
          <w:tab/>
        </w:r>
        <w:r>
          <w:rPr>
            <w:noProof/>
            <w:webHidden/>
          </w:rPr>
          <w:fldChar w:fldCharType="begin"/>
        </w:r>
        <w:r>
          <w:rPr>
            <w:noProof/>
            <w:webHidden/>
          </w:rPr>
          <w:instrText xml:space="preserve"> PAGEREF _Toc12260775 \h </w:instrText>
        </w:r>
        <w:r>
          <w:rPr>
            <w:noProof/>
            <w:webHidden/>
          </w:rPr>
        </w:r>
        <w:r>
          <w:rPr>
            <w:noProof/>
            <w:webHidden/>
          </w:rPr>
          <w:fldChar w:fldCharType="separate"/>
        </w:r>
        <w:r>
          <w:rPr>
            <w:noProof/>
            <w:webHidden/>
          </w:rPr>
          <w:t>298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76" w:history="1">
        <w:r w:rsidRPr="00CD0B56">
          <w:rPr>
            <w:rStyle w:val="Hyperlink"/>
            <w:noProof/>
          </w:rPr>
          <w:t>2.1.708</w:t>
        </w:r>
        <w:r>
          <w:rPr>
            <w:rFonts w:asciiTheme="minorHAnsi" w:eastAsiaTheme="minorEastAsia" w:hAnsiTheme="minorHAnsi" w:cstheme="minorBidi"/>
            <w:noProof/>
            <w:sz w:val="22"/>
            <w:szCs w:val="22"/>
          </w:rPr>
          <w:tab/>
        </w:r>
        <w:r w:rsidRPr="00CD0B56">
          <w:rPr>
            <w:rStyle w:val="Hyperlink"/>
            <w:noProof/>
          </w:rPr>
          <w:t>Part 1 Section 18.8.27, indexedColors (Color Indexes)</w:t>
        </w:r>
        <w:r>
          <w:rPr>
            <w:noProof/>
            <w:webHidden/>
          </w:rPr>
          <w:tab/>
        </w:r>
        <w:r>
          <w:rPr>
            <w:noProof/>
            <w:webHidden/>
          </w:rPr>
          <w:fldChar w:fldCharType="begin"/>
        </w:r>
        <w:r>
          <w:rPr>
            <w:noProof/>
            <w:webHidden/>
          </w:rPr>
          <w:instrText xml:space="preserve"> PAGEREF _Toc12260776 \h </w:instrText>
        </w:r>
        <w:r>
          <w:rPr>
            <w:noProof/>
            <w:webHidden/>
          </w:rPr>
        </w:r>
        <w:r>
          <w:rPr>
            <w:noProof/>
            <w:webHidden/>
          </w:rPr>
          <w:fldChar w:fldCharType="separate"/>
        </w:r>
        <w:r>
          <w:rPr>
            <w:noProof/>
            <w:webHidden/>
          </w:rPr>
          <w:t>298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77" w:history="1">
        <w:r w:rsidRPr="00CD0B56">
          <w:rPr>
            <w:rStyle w:val="Hyperlink"/>
            <w:noProof/>
          </w:rPr>
          <w:t>2.1.709</w:t>
        </w:r>
        <w:r>
          <w:rPr>
            <w:rFonts w:asciiTheme="minorHAnsi" w:eastAsiaTheme="minorEastAsia" w:hAnsiTheme="minorHAnsi" w:cstheme="minorBidi"/>
            <w:noProof/>
            <w:sz w:val="22"/>
            <w:szCs w:val="22"/>
          </w:rPr>
          <w:tab/>
        </w:r>
        <w:r w:rsidRPr="00CD0B56">
          <w:rPr>
            <w:rStyle w:val="Hyperlink"/>
            <w:noProof/>
          </w:rPr>
          <w:t>Part 1 Section 18.8.28, mruColors (MRU Colors)</w:t>
        </w:r>
        <w:r>
          <w:rPr>
            <w:noProof/>
            <w:webHidden/>
          </w:rPr>
          <w:tab/>
        </w:r>
        <w:r>
          <w:rPr>
            <w:noProof/>
            <w:webHidden/>
          </w:rPr>
          <w:fldChar w:fldCharType="begin"/>
        </w:r>
        <w:r>
          <w:rPr>
            <w:noProof/>
            <w:webHidden/>
          </w:rPr>
          <w:instrText xml:space="preserve"> PAGEREF _Toc12260777 \h </w:instrText>
        </w:r>
        <w:r>
          <w:rPr>
            <w:noProof/>
            <w:webHidden/>
          </w:rPr>
        </w:r>
        <w:r>
          <w:rPr>
            <w:noProof/>
            <w:webHidden/>
          </w:rPr>
          <w:fldChar w:fldCharType="separate"/>
        </w:r>
        <w:r>
          <w:rPr>
            <w:noProof/>
            <w:webHidden/>
          </w:rPr>
          <w:t>298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78" w:history="1">
        <w:r w:rsidRPr="00CD0B56">
          <w:rPr>
            <w:rStyle w:val="Hyperlink"/>
            <w:noProof/>
          </w:rPr>
          <w:t>2.1.710</w:t>
        </w:r>
        <w:r>
          <w:rPr>
            <w:rFonts w:asciiTheme="minorHAnsi" w:eastAsiaTheme="minorEastAsia" w:hAnsiTheme="minorHAnsi" w:cstheme="minorBidi"/>
            <w:noProof/>
            <w:sz w:val="22"/>
            <w:szCs w:val="22"/>
          </w:rPr>
          <w:tab/>
        </w:r>
        <w:r w:rsidRPr="00CD0B56">
          <w:rPr>
            <w:rStyle w:val="Hyperlink"/>
            <w:noProof/>
          </w:rPr>
          <w:t>Part 1 Section 18.8.29, name (Font Name)</w:t>
        </w:r>
        <w:r>
          <w:rPr>
            <w:noProof/>
            <w:webHidden/>
          </w:rPr>
          <w:tab/>
        </w:r>
        <w:r>
          <w:rPr>
            <w:noProof/>
            <w:webHidden/>
          </w:rPr>
          <w:fldChar w:fldCharType="begin"/>
        </w:r>
        <w:r>
          <w:rPr>
            <w:noProof/>
            <w:webHidden/>
          </w:rPr>
          <w:instrText xml:space="preserve"> PAGEREF _Toc12260778 \h </w:instrText>
        </w:r>
        <w:r>
          <w:rPr>
            <w:noProof/>
            <w:webHidden/>
          </w:rPr>
        </w:r>
        <w:r>
          <w:rPr>
            <w:noProof/>
            <w:webHidden/>
          </w:rPr>
          <w:fldChar w:fldCharType="separate"/>
        </w:r>
        <w:r>
          <w:rPr>
            <w:noProof/>
            <w:webHidden/>
          </w:rPr>
          <w:t>298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79" w:history="1">
        <w:r w:rsidRPr="00CD0B56">
          <w:rPr>
            <w:rStyle w:val="Hyperlink"/>
            <w:noProof/>
          </w:rPr>
          <w:t>2.1.711</w:t>
        </w:r>
        <w:r>
          <w:rPr>
            <w:rFonts w:asciiTheme="minorHAnsi" w:eastAsiaTheme="minorEastAsia" w:hAnsiTheme="minorHAnsi" w:cstheme="minorBidi"/>
            <w:noProof/>
            <w:sz w:val="22"/>
            <w:szCs w:val="22"/>
          </w:rPr>
          <w:tab/>
        </w:r>
        <w:r w:rsidRPr="00CD0B56">
          <w:rPr>
            <w:rStyle w:val="Hyperlink"/>
            <w:noProof/>
          </w:rPr>
          <w:t>Part 1 Section 18.8.30, numFmt (Number Format)</w:t>
        </w:r>
        <w:r>
          <w:rPr>
            <w:noProof/>
            <w:webHidden/>
          </w:rPr>
          <w:tab/>
        </w:r>
        <w:r>
          <w:rPr>
            <w:noProof/>
            <w:webHidden/>
          </w:rPr>
          <w:fldChar w:fldCharType="begin"/>
        </w:r>
        <w:r>
          <w:rPr>
            <w:noProof/>
            <w:webHidden/>
          </w:rPr>
          <w:instrText xml:space="preserve"> PAGEREF _Toc12260779 \h </w:instrText>
        </w:r>
        <w:r>
          <w:rPr>
            <w:noProof/>
            <w:webHidden/>
          </w:rPr>
        </w:r>
        <w:r>
          <w:rPr>
            <w:noProof/>
            <w:webHidden/>
          </w:rPr>
          <w:fldChar w:fldCharType="separate"/>
        </w:r>
        <w:r>
          <w:rPr>
            <w:noProof/>
            <w:webHidden/>
          </w:rPr>
          <w:t>299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80" w:history="1">
        <w:r w:rsidRPr="00CD0B56">
          <w:rPr>
            <w:rStyle w:val="Hyperlink"/>
            <w:noProof/>
          </w:rPr>
          <w:t>2.1.712</w:t>
        </w:r>
        <w:r>
          <w:rPr>
            <w:rFonts w:asciiTheme="minorHAnsi" w:eastAsiaTheme="minorEastAsia" w:hAnsiTheme="minorHAnsi" w:cstheme="minorBidi"/>
            <w:noProof/>
            <w:sz w:val="22"/>
            <w:szCs w:val="22"/>
          </w:rPr>
          <w:tab/>
        </w:r>
        <w:r w:rsidRPr="00CD0B56">
          <w:rPr>
            <w:rStyle w:val="Hyperlink"/>
            <w:noProof/>
          </w:rPr>
          <w:t>Part 1 Section 18.8.31, numFmts (Number Formats)</w:t>
        </w:r>
        <w:r>
          <w:rPr>
            <w:noProof/>
            <w:webHidden/>
          </w:rPr>
          <w:tab/>
        </w:r>
        <w:r>
          <w:rPr>
            <w:noProof/>
            <w:webHidden/>
          </w:rPr>
          <w:fldChar w:fldCharType="begin"/>
        </w:r>
        <w:r>
          <w:rPr>
            <w:noProof/>
            <w:webHidden/>
          </w:rPr>
          <w:instrText xml:space="preserve"> PAGEREF _Toc12260780 \h </w:instrText>
        </w:r>
        <w:r>
          <w:rPr>
            <w:noProof/>
            <w:webHidden/>
          </w:rPr>
        </w:r>
        <w:r>
          <w:rPr>
            <w:noProof/>
            <w:webHidden/>
          </w:rPr>
          <w:fldChar w:fldCharType="separate"/>
        </w:r>
        <w:r>
          <w:rPr>
            <w:noProof/>
            <w:webHidden/>
          </w:rPr>
          <w:t>309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81" w:history="1">
        <w:r w:rsidRPr="00CD0B56">
          <w:rPr>
            <w:rStyle w:val="Hyperlink"/>
            <w:noProof/>
          </w:rPr>
          <w:t>2.1.713</w:t>
        </w:r>
        <w:r>
          <w:rPr>
            <w:rFonts w:asciiTheme="minorHAnsi" w:eastAsiaTheme="minorEastAsia" w:hAnsiTheme="minorHAnsi" w:cstheme="minorBidi"/>
            <w:noProof/>
            <w:sz w:val="22"/>
            <w:szCs w:val="22"/>
          </w:rPr>
          <w:tab/>
        </w:r>
        <w:r w:rsidRPr="00CD0B56">
          <w:rPr>
            <w:rStyle w:val="Hyperlink"/>
            <w:noProof/>
          </w:rPr>
          <w:t>Part 1 Section 18.8.33, protection (Protection Properties)</w:t>
        </w:r>
        <w:r>
          <w:rPr>
            <w:noProof/>
            <w:webHidden/>
          </w:rPr>
          <w:tab/>
        </w:r>
        <w:r>
          <w:rPr>
            <w:noProof/>
            <w:webHidden/>
          </w:rPr>
          <w:fldChar w:fldCharType="begin"/>
        </w:r>
        <w:r>
          <w:rPr>
            <w:noProof/>
            <w:webHidden/>
          </w:rPr>
          <w:instrText xml:space="preserve"> PAGEREF _Toc12260781 \h </w:instrText>
        </w:r>
        <w:r>
          <w:rPr>
            <w:noProof/>
            <w:webHidden/>
          </w:rPr>
        </w:r>
        <w:r>
          <w:rPr>
            <w:noProof/>
            <w:webHidden/>
          </w:rPr>
          <w:fldChar w:fldCharType="separate"/>
        </w:r>
        <w:r>
          <w:rPr>
            <w:noProof/>
            <w:webHidden/>
          </w:rPr>
          <w:t>310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82" w:history="1">
        <w:r w:rsidRPr="00CD0B56">
          <w:rPr>
            <w:rStyle w:val="Hyperlink"/>
            <w:noProof/>
          </w:rPr>
          <w:t>2.1.714</w:t>
        </w:r>
        <w:r>
          <w:rPr>
            <w:rFonts w:asciiTheme="minorHAnsi" w:eastAsiaTheme="minorEastAsia" w:hAnsiTheme="minorHAnsi" w:cstheme="minorBidi"/>
            <w:noProof/>
            <w:sz w:val="22"/>
            <w:szCs w:val="22"/>
          </w:rPr>
          <w:tab/>
        </w:r>
        <w:r w:rsidRPr="00CD0B56">
          <w:rPr>
            <w:rStyle w:val="Hyperlink"/>
            <w:noProof/>
          </w:rPr>
          <w:t>Part 1 Section 18.8.37, start (Leading Edge Border)</w:t>
        </w:r>
        <w:r>
          <w:rPr>
            <w:noProof/>
            <w:webHidden/>
          </w:rPr>
          <w:tab/>
        </w:r>
        <w:r>
          <w:rPr>
            <w:noProof/>
            <w:webHidden/>
          </w:rPr>
          <w:fldChar w:fldCharType="begin"/>
        </w:r>
        <w:r>
          <w:rPr>
            <w:noProof/>
            <w:webHidden/>
          </w:rPr>
          <w:instrText xml:space="preserve"> PAGEREF _Toc12260782 \h </w:instrText>
        </w:r>
        <w:r>
          <w:rPr>
            <w:noProof/>
            <w:webHidden/>
          </w:rPr>
        </w:r>
        <w:r>
          <w:rPr>
            <w:noProof/>
            <w:webHidden/>
          </w:rPr>
          <w:fldChar w:fldCharType="separate"/>
        </w:r>
        <w:r>
          <w:rPr>
            <w:noProof/>
            <w:webHidden/>
          </w:rPr>
          <w:t>310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83" w:history="1">
        <w:r w:rsidRPr="00CD0B56">
          <w:rPr>
            <w:rStyle w:val="Hyperlink"/>
            <w:noProof/>
          </w:rPr>
          <w:t>2.1.715</w:t>
        </w:r>
        <w:r>
          <w:rPr>
            <w:rFonts w:asciiTheme="minorHAnsi" w:eastAsiaTheme="minorEastAsia" w:hAnsiTheme="minorHAnsi" w:cstheme="minorBidi"/>
            <w:noProof/>
            <w:sz w:val="22"/>
            <w:szCs w:val="22"/>
          </w:rPr>
          <w:tab/>
        </w:r>
        <w:r w:rsidRPr="00CD0B56">
          <w:rPr>
            <w:rStyle w:val="Hyperlink"/>
            <w:noProof/>
          </w:rPr>
          <w:t>Part 1 Section 18.8.38, stop (Gradient Stop)</w:t>
        </w:r>
        <w:r>
          <w:rPr>
            <w:noProof/>
            <w:webHidden/>
          </w:rPr>
          <w:tab/>
        </w:r>
        <w:r>
          <w:rPr>
            <w:noProof/>
            <w:webHidden/>
          </w:rPr>
          <w:fldChar w:fldCharType="begin"/>
        </w:r>
        <w:r>
          <w:rPr>
            <w:noProof/>
            <w:webHidden/>
          </w:rPr>
          <w:instrText xml:space="preserve"> PAGEREF _Toc12260783 \h </w:instrText>
        </w:r>
        <w:r>
          <w:rPr>
            <w:noProof/>
            <w:webHidden/>
          </w:rPr>
        </w:r>
        <w:r>
          <w:rPr>
            <w:noProof/>
            <w:webHidden/>
          </w:rPr>
          <w:fldChar w:fldCharType="separate"/>
        </w:r>
        <w:r>
          <w:rPr>
            <w:noProof/>
            <w:webHidden/>
          </w:rPr>
          <w:t>310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84" w:history="1">
        <w:r w:rsidRPr="00CD0B56">
          <w:rPr>
            <w:rStyle w:val="Hyperlink"/>
            <w:noProof/>
          </w:rPr>
          <w:t>2.1.716</w:t>
        </w:r>
        <w:r>
          <w:rPr>
            <w:rFonts w:asciiTheme="minorHAnsi" w:eastAsiaTheme="minorEastAsia" w:hAnsiTheme="minorHAnsi" w:cstheme="minorBidi"/>
            <w:noProof/>
            <w:sz w:val="22"/>
            <w:szCs w:val="22"/>
          </w:rPr>
          <w:tab/>
        </w:r>
        <w:r w:rsidRPr="00CD0B56">
          <w:rPr>
            <w:rStyle w:val="Hyperlink"/>
            <w:noProof/>
          </w:rPr>
          <w:t>Part 1 Section 18.8.39, styleSheet (Style Sheet)</w:t>
        </w:r>
        <w:r>
          <w:rPr>
            <w:noProof/>
            <w:webHidden/>
          </w:rPr>
          <w:tab/>
        </w:r>
        <w:r>
          <w:rPr>
            <w:noProof/>
            <w:webHidden/>
          </w:rPr>
          <w:fldChar w:fldCharType="begin"/>
        </w:r>
        <w:r>
          <w:rPr>
            <w:noProof/>
            <w:webHidden/>
          </w:rPr>
          <w:instrText xml:space="preserve"> PAGEREF _Toc12260784 \h </w:instrText>
        </w:r>
        <w:r>
          <w:rPr>
            <w:noProof/>
            <w:webHidden/>
          </w:rPr>
        </w:r>
        <w:r>
          <w:rPr>
            <w:noProof/>
            <w:webHidden/>
          </w:rPr>
          <w:fldChar w:fldCharType="separate"/>
        </w:r>
        <w:r>
          <w:rPr>
            <w:noProof/>
            <w:webHidden/>
          </w:rPr>
          <w:t>310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85" w:history="1">
        <w:r w:rsidRPr="00CD0B56">
          <w:rPr>
            <w:rStyle w:val="Hyperlink"/>
            <w:noProof/>
          </w:rPr>
          <w:t>2.1.717</w:t>
        </w:r>
        <w:r>
          <w:rPr>
            <w:rFonts w:asciiTheme="minorHAnsi" w:eastAsiaTheme="minorEastAsia" w:hAnsiTheme="minorHAnsi" w:cstheme="minorBidi"/>
            <w:noProof/>
            <w:sz w:val="22"/>
            <w:szCs w:val="22"/>
          </w:rPr>
          <w:tab/>
        </w:r>
        <w:r w:rsidRPr="00CD0B56">
          <w:rPr>
            <w:rStyle w:val="Hyperlink"/>
            <w:noProof/>
          </w:rPr>
          <w:t>Part 1 Section 18.8.40, tableStyle (Table Style)</w:t>
        </w:r>
        <w:r>
          <w:rPr>
            <w:noProof/>
            <w:webHidden/>
          </w:rPr>
          <w:tab/>
        </w:r>
        <w:r>
          <w:rPr>
            <w:noProof/>
            <w:webHidden/>
          </w:rPr>
          <w:fldChar w:fldCharType="begin"/>
        </w:r>
        <w:r>
          <w:rPr>
            <w:noProof/>
            <w:webHidden/>
          </w:rPr>
          <w:instrText xml:space="preserve"> PAGEREF _Toc12260785 \h </w:instrText>
        </w:r>
        <w:r>
          <w:rPr>
            <w:noProof/>
            <w:webHidden/>
          </w:rPr>
        </w:r>
        <w:r>
          <w:rPr>
            <w:noProof/>
            <w:webHidden/>
          </w:rPr>
          <w:fldChar w:fldCharType="separate"/>
        </w:r>
        <w:r>
          <w:rPr>
            <w:noProof/>
            <w:webHidden/>
          </w:rPr>
          <w:t>310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86" w:history="1">
        <w:r w:rsidRPr="00CD0B56">
          <w:rPr>
            <w:rStyle w:val="Hyperlink"/>
            <w:noProof/>
          </w:rPr>
          <w:t>2.1.718</w:t>
        </w:r>
        <w:r>
          <w:rPr>
            <w:rFonts w:asciiTheme="minorHAnsi" w:eastAsiaTheme="minorEastAsia" w:hAnsiTheme="minorHAnsi" w:cstheme="minorBidi"/>
            <w:noProof/>
            <w:sz w:val="22"/>
            <w:szCs w:val="22"/>
          </w:rPr>
          <w:tab/>
        </w:r>
        <w:r w:rsidRPr="00CD0B56">
          <w:rPr>
            <w:rStyle w:val="Hyperlink"/>
            <w:noProof/>
          </w:rPr>
          <w:t>Part 1 Section 18.8.41, tableStyleElement (Table Style)</w:t>
        </w:r>
        <w:r>
          <w:rPr>
            <w:noProof/>
            <w:webHidden/>
          </w:rPr>
          <w:tab/>
        </w:r>
        <w:r>
          <w:rPr>
            <w:noProof/>
            <w:webHidden/>
          </w:rPr>
          <w:fldChar w:fldCharType="begin"/>
        </w:r>
        <w:r>
          <w:rPr>
            <w:noProof/>
            <w:webHidden/>
          </w:rPr>
          <w:instrText xml:space="preserve"> PAGEREF _Toc12260786 \h </w:instrText>
        </w:r>
        <w:r>
          <w:rPr>
            <w:noProof/>
            <w:webHidden/>
          </w:rPr>
        </w:r>
        <w:r>
          <w:rPr>
            <w:noProof/>
            <w:webHidden/>
          </w:rPr>
          <w:fldChar w:fldCharType="separate"/>
        </w:r>
        <w:r>
          <w:rPr>
            <w:noProof/>
            <w:webHidden/>
          </w:rPr>
          <w:t>310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87" w:history="1">
        <w:r w:rsidRPr="00CD0B56">
          <w:rPr>
            <w:rStyle w:val="Hyperlink"/>
            <w:noProof/>
          </w:rPr>
          <w:t>2.1.719</w:t>
        </w:r>
        <w:r>
          <w:rPr>
            <w:rFonts w:asciiTheme="minorHAnsi" w:eastAsiaTheme="minorEastAsia" w:hAnsiTheme="minorHAnsi" w:cstheme="minorBidi"/>
            <w:noProof/>
            <w:sz w:val="22"/>
            <w:szCs w:val="22"/>
          </w:rPr>
          <w:tab/>
        </w:r>
        <w:r w:rsidRPr="00CD0B56">
          <w:rPr>
            <w:rStyle w:val="Hyperlink"/>
            <w:noProof/>
          </w:rPr>
          <w:t>Part 1 Section 18.8.42, tableStyles (Table Styles)</w:t>
        </w:r>
        <w:r>
          <w:rPr>
            <w:noProof/>
            <w:webHidden/>
          </w:rPr>
          <w:tab/>
        </w:r>
        <w:r>
          <w:rPr>
            <w:noProof/>
            <w:webHidden/>
          </w:rPr>
          <w:fldChar w:fldCharType="begin"/>
        </w:r>
        <w:r>
          <w:rPr>
            <w:noProof/>
            <w:webHidden/>
          </w:rPr>
          <w:instrText xml:space="preserve"> PAGEREF _Toc12260787 \h </w:instrText>
        </w:r>
        <w:r>
          <w:rPr>
            <w:noProof/>
            <w:webHidden/>
          </w:rPr>
        </w:r>
        <w:r>
          <w:rPr>
            <w:noProof/>
            <w:webHidden/>
          </w:rPr>
          <w:fldChar w:fldCharType="separate"/>
        </w:r>
        <w:r>
          <w:rPr>
            <w:noProof/>
            <w:webHidden/>
          </w:rPr>
          <w:t>310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88" w:history="1">
        <w:r w:rsidRPr="00CD0B56">
          <w:rPr>
            <w:rStyle w:val="Hyperlink"/>
            <w:noProof/>
          </w:rPr>
          <w:t>2.1.720</w:t>
        </w:r>
        <w:r>
          <w:rPr>
            <w:rFonts w:asciiTheme="minorHAnsi" w:eastAsiaTheme="minorEastAsia" w:hAnsiTheme="minorHAnsi" w:cstheme="minorBidi"/>
            <w:noProof/>
            <w:sz w:val="22"/>
            <w:szCs w:val="22"/>
          </w:rPr>
          <w:tab/>
        </w:r>
        <w:r w:rsidRPr="00CD0B56">
          <w:rPr>
            <w:rStyle w:val="Hyperlink"/>
            <w:noProof/>
          </w:rPr>
          <w:t>Part 1 Section 18.8.45, xf (Format)</w:t>
        </w:r>
        <w:r>
          <w:rPr>
            <w:noProof/>
            <w:webHidden/>
          </w:rPr>
          <w:tab/>
        </w:r>
        <w:r>
          <w:rPr>
            <w:noProof/>
            <w:webHidden/>
          </w:rPr>
          <w:fldChar w:fldCharType="begin"/>
        </w:r>
        <w:r>
          <w:rPr>
            <w:noProof/>
            <w:webHidden/>
          </w:rPr>
          <w:instrText xml:space="preserve"> PAGEREF _Toc12260788 \h </w:instrText>
        </w:r>
        <w:r>
          <w:rPr>
            <w:noProof/>
            <w:webHidden/>
          </w:rPr>
        </w:r>
        <w:r>
          <w:rPr>
            <w:noProof/>
            <w:webHidden/>
          </w:rPr>
          <w:fldChar w:fldCharType="separate"/>
        </w:r>
        <w:r>
          <w:rPr>
            <w:noProof/>
            <w:webHidden/>
          </w:rPr>
          <w:t>311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89" w:history="1">
        <w:r w:rsidRPr="00CD0B56">
          <w:rPr>
            <w:rStyle w:val="Hyperlink"/>
            <w:noProof/>
          </w:rPr>
          <w:t>2.1.721</w:t>
        </w:r>
        <w:r>
          <w:rPr>
            <w:rFonts w:asciiTheme="minorHAnsi" w:eastAsiaTheme="minorEastAsia" w:hAnsiTheme="minorHAnsi" w:cstheme="minorBidi"/>
            <w:noProof/>
            <w:sz w:val="22"/>
            <w:szCs w:val="22"/>
          </w:rPr>
          <w:tab/>
        </w:r>
        <w:r w:rsidRPr="00CD0B56">
          <w:rPr>
            <w:rStyle w:val="Hyperlink"/>
            <w:noProof/>
          </w:rPr>
          <w:t>Part 1 Section 18.9.1, bk (Metadata Block)</w:t>
        </w:r>
        <w:r>
          <w:rPr>
            <w:noProof/>
            <w:webHidden/>
          </w:rPr>
          <w:tab/>
        </w:r>
        <w:r>
          <w:rPr>
            <w:noProof/>
            <w:webHidden/>
          </w:rPr>
          <w:fldChar w:fldCharType="begin"/>
        </w:r>
        <w:r>
          <w:rPr>
            <w:noProof/>
            <w:webHidden/>
          </w:rPr>
          <w:instrText xml:space="preserve"> PAGEREF _Toc12260789 \h </w:instrText>
        </w:r>
        <w:r>
          <w:rPr>
            <w:noProof/>
            <w:webHidden/>
          </w:rPr>
        </w:r>
        <w:r>
          <w:rPr>
            <w:noProof/>
            <w:webHidden/>
          </w:rPr>
          <w:fldChar w:fldCharType="separate"/>
        </w:r>
        <w:r>
          <w:rPr>
            <w:noProof/>
            <w:webHidden/>
          </w:rPr>
          <w:t>312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90" w:history="1">
        <w:r w:rsidRPr="00CD0B56">
          <w:rPr>
            <w:rStyle w:val="Hyperlink"/>
            <w:noProof/>
          </w:rPr>
          <w:t>2.1.722</w:t>
        </w:r>
        <w:r>
          <w:rPr>
            <w:rFonts w:asciiTheme="minorHAnsi" w:eastAsiaTheme="minorEastAsia" w:hAnsiTheme="minorHAnsi" w:cstheme="minorBidi"/>
            <w:noProof/>
            <w:sz w:val="22"/>
            <w:szCs w:val="22"/>
          </w:rPr>
          <w:tab/>
        </w:r>
        <w:r w:rsidRPr="00CD0B56">
          <w:rPr>
            <w:rStyle w:val="Hyperlink"/>
            <w:noProof/>
          </w:rPr>
          <w:t>Part 1 Section 18.9.3, cellMetadata (Cell Metadata)</w:t>
        </w:r>
        <w:r>
          <w:rPr>
            <w:noProof/>
            <w:webHidden/>
          </w:rPr>
          <w:tab/>
        </w:r>
        <w:r>
          <w:rPr>
            <w:noProof/>
            <w:webHidden/>
          </w:rPr>
          <w:fldChar w:fldCharType="begin"/>
        </w:r>
        <w:r>
          <w:rPr>
            <w:noProof/>
            <w:webHidden/>
          </w:rPr>
          <w:instrText xml:space="preserve"> PAGEREF _Toc12260790 \h </w:instrText>
        </w:r>
        <w:r>
          <w:rPr>
            <w:noProof/>
            <w:webHidden/>
          </w:rPr>
        </w:r>
        <w:r>
          <w:rPr>
            <w:noProof/>
            <w:webHidden/>
          </w:rPr>
          <w:fldChar w:fldCharType="separate"/>
        </w:r>
        <w:r>
          <w:rPr>
            <w:noProof/>
            <w:webHidden/>
          </w:rPr>
          <w:t>312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91" w:history="1">
        <w:r w:rsidRPr="00CD0B56">
          <w:rPr>
            <w:rStyle w:val="Hyperlink"/>
            <w:noProof/>
          </w:rPr>
          <w:t>2.1.723</w:t>
        </w:r>
        <w:r>
          <w:rPr>
            <w:rFonts w:asciiTheme="minorHAnsi" w:eastAsiaTheme="minorEastAsia" w:hAnsiTheme="minorHAnsi" w:cstheme="minorBidi"/>
            <w:noProof/>
            <w:sz w:val="22"/>
            <w:szCs w:val="22"/>
          </w:rPr>
          <w:tab/>
        </w:r>
        <w:r w:rsidRPr="00CD0B56">
          <w:rPr>
            <w:rStyle w:val="Hyperlink"/>
            <w:noProof/>
          </w:rPr>
          <w:t>Part 1 Section 18.9.4, futureMetadata (Future Metadata)</w:t>
        </w:r>
        <w:r>
          <w:rPr>
            <w:noProof/>
            <w:webHidden/>
          </w:rPr>
          <w:tab/>
        </w:r>
        <w:r>
          <w:rPr>
            <w:noProof/>
            <w:webHidden/>
          </w:rPr>
          <w:fldChar w:fldCharType="begin"/>
        </w:r>
        <w:r>
          <w:rPr>
            <w:noProof/>
            <w:webHidden/>
          </w:rPr>
          <w:instrText xml:space="preserve"> PAGEREF _Toc12260791 \h </w:instrText>
        </w:r>
        <w:r>
          <w:rPr>
            <w:noProof/>
            <w:webHidden/>
          </w:rPr>
        </w:r>
        <w:r>
          <w:rPr>
            <w:noProof/>
            <w:webHidden/>
          </w:rPr>
          <w:fldChar w:fldCharType="separate"/>
        </w:r>
        <w:r>
          <w:rPr>
            <w:noProof/>
            <w:webHidden/>
          </w:rPr>
          <w:t>312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92" w:history="1">
        <w:r w:rsidRPr="00CD0B56">
          <w:rPr>
            <w:rStyle w:val="Hyperlink"/>
            <w:noProof/>
          </w:rPr>
          <w:t>2.1.724</w:t>
        </w:r>
        <w:r>
          <w:rPr>
            <w:rFonts w:asciiTheme="minorHAnsi" w:eastAsiaTheme="minorEastAsia" w:hAnsiTheme="minorHAnsi" w:cstheme="minorBidi"/>
            <w:noProof/>
            <w:sz w:val="22"/>
            <w:szCs w:val="22"/>
          </w:rPr>
          <w:tab/>
        </w:r>
        <w:r w:rsidRPr="00CD0B56">
          <w:rPr>
            <w:rStyle w:val="Hyperlink"/>
            <w:noProof/>
          </w:rPr>
          <w:t>Part 1 Section 18.9.5, k (KPI MDX Metadata)</w:t>
        </w:r>
        <w:r>
          <w:rPr>
            <w:noProof/>
            <w:webHidden/>
          </w:rPr>
          <w:tab/>
        </w:r>
        <w:r>
          <w:rPr>
            <w:noProof/>
            <w:webHidden/>
          </w:rPr>
          <w:fldChar w:fldCharType="begin"/>
        </w:r>
        <w:r>
          <w:rPr>
            <w:noProof/>
            <w:webHidden/>
          </w:rPr>
          <w:instrText xml:space="preserve"> PAGEREF _Toc12260792 \h </w:instrText>
        </w:r>
        <w:r>
          <w:rPr>
            <w:noProof/>
            <w:webHidden/>
          </w:rPr>
        </w:r>
        <w:r>
          <w:rPr>
            <w:noProof/>
            <w:webHidden/>
          </w:rPr>
          <w:fldChar w:fldCharType="separate"/>
        </w:r>
        <w:r>
          <w:rPr>
            <w:noProof/>
            <w:webHidden/>
          </w:rPr>
          <w:t>313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93" w:history="1">
        <w:r w:rsidRPr="00CD0B56">
          <w:rPr>
            <w:rStyle w:val="Hyperlink"/>
            <w:noProof/>
          </w:rPr>
          <w:t>2.1.725</w:t>
        </w:r>
        <w:r>
          <w:rPr>
            <w:rFonts w:asciiTheme="minorHAnsi" w:eastAsiaTheme="minorEastAsia" w:hAnsiTheme="minorHAnsi" w:cstheme="minorBidi"/>
            <w:noProof/>
            <w:sz w:val="22"/>
            <w:szCs w:val="22"/>
          </w:rPr>
          <w:tab/>
        </w:r>
        <w:r w:rsidRPr="00CD0B56">
          <w:rPr>
            <w:rStyle w:val="Hyperlink"/>
            <w:noProof/>
          </w:rPr>
          <w:t>Part 1 Section 18.9.6, mdx (MDX Metadata Record)</w:t>
        </w:r>
        <w:r>
          <w:rPr>
            <w:noProof/>
            <w:webHidden/>
          </w:rPr>
          <w:tab/>
        </w:r>
        <w:r>
          <w:rPr>
            <w:noProof/>
            <w:webHidden/>
          </w:rPr>
          <w:fldChar w:fldCharType="begin"/>
        </w:r>
        <w:r>
          <w:rPr>
            <w:noProof/>
            <w:webHidden/>
          </w:rPr>
          <w:instrText xml:space="preserve"> PAGEREF _Toc12260793 \h </w:instrText>
        </w:r>
        <w:r>
          <w:rPr>
            <w:noProof/>
            <w:webHidden/>
          </w:rPr>
        </w:r>
        <w:r>
          <w:rPr>
            <w:noProof/>
            <w:webHidden/>
          </w:rPr>
          <w:fldChar w:fldCharType="separate"/>
        </w:r>
        <w:r>
          <w:rPr>
            <w:noProof/>
            <w:webHidden/>
          </w:rPr>
          <w:t>313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94" w:history="1">
        <w:r w:rsidRPr="00CD0B56">
          <w:rPr>
            <w:rStyle w:val="Hyperlink"/>
            <w:noProof/>
          </w:rPr>
          <w:t>2.1.726</w:t>
        </w:r>
        <w:r>
          <w:rPr>
            <w:rFonts w:asciiTheme="minorHAnsi" w:eastAsiaTheme="minorEastAsia" w:hAnsiTheme="minorHAnsi" w:cstheme="minorBidi"/>
            <w:noProof/>
            <w:sz w:val="22"/>
            <w:szCs w:val="22"/>
          </w:rPr>
          <w:tab/>
        </w:r>
        <w:r w:rsidRPr="00CD0B56">
          <w:rPr>
            <w:rStyle w:val="Hyperlink"/>
            <w:noProof/>
          </w:rPr>
          <w:t>Part 1 Section 18.9.7, mdxMetadata (MDX Metadata Information)</w:t>
        </w:r>
        <w:r>
          <w:rPr>
            <w:noProof/>
            <w:webHidden/>
          </w:rPr>
          <w:tab/>
        </w:r>
        <w:r>
          <w:rPr>
            <w:noProof/>
            <w:webHidden/>
          </w:rPr>
          <w:fldChar w:fldCharType="begin"/>
        </w:r>
        <w:r>
          <w:rPr>
            <w:noProof/>
            <w:webHidden/>
          </w:rPr>
          <w:instrText xml:space="preserve"> PAGEREF _Toc12260794 \h </w:instrText>
        </w:r>
        <w:r>
          <w:rPr>
            <w:noProof/>
            <w:webHidden/>
          </w:rPr>
        </w:r>
        <w:r>
          <w:rPr>
            <w:noProof/>
            <w:webHidden/>
          </w:rPr>
          <w:fldChar w:fldCharType="separate"/>
        </w:r>
        <w:r>
          <w:rPr>
            <w:noProof/>
            <w:webHidden/>
          </w:rPr>
          <w:t>313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95" w:history="1">
        <w:r w:rsidRPr="00CD0B56">
          <w:rPr>
            <w:rStyle w:val="Hyperlink"/>
            <w:noProof/>
          </w:rPr>
          <w:t>2.1.727</w:t>
        </w:r>
        <w:r>
          <w:rPr>
            <w:rFonts w:asciiTheme="minorHAnsi" w:eastAsiaTheme="minorEastAsia" w:hAnsiTheme="minorHAnsi" w:cstheme="minorBidi"/>
            <w:noProof/>
            <w:sz w:val="22"/>
            <w:szCs w:val="22"/>
          </w:rPr>
          <w:tab/>
        </w:r>
        <w:r w:rsidRPr="00CD0B56">
          <w:rPr>
            <w:rStyle w:val="Hyperlink"/>
            <w:noProof/>
          </w:rPr>
          <w:t>Part 1 Section 18.9.9, metadataStrings (Metadata String Store)</w:t>
        </w:r>
        <w:r>
          <w:rPr>
            <w:noProof/>
            <w:webHidden/>
          </w:rPr>
          <w:tab/>
        </w:r>
        <w:r>
          <w:rPr>
            <w:noProof/>
            <w:webHidden/>
          </w:rPr>
          <w:fldChar w:fldCharType="begin"/>
        </w:r>
        <w:r>
          <w:rPr>
            <w:noProof/>
            <w:webHidden/>
          </w:rPr>
          <w:instrText xml:space="preserve"> PAGEREF _Toc12260795 \h </w:instrText>
        </w:r>
        <w:r>
          <w:rPr>
            <w:noProof/>
            <w:webHidden/>
          </w:rPr>
        </w:r>
        <w:r>
          <w:rPr>
            <w:noProof/>
            <w:webHidden/>
          </w:rPr>
          <w:fldChar w:fldCharType="separate"/>
        </w:r>
        <w:r>
          <w:rPr>
            <w:noProof/>
            <w:webHidden/>
          </w:rPr>
          <w:t>313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96" w:history="1">
        <w:r w:rsidRPr="00CD0B56">
          <w:rPr>
            <w:rStyle w:val="Hyperlink"/>
            <w:noProof/>
          </w:rPr>
          <w:t>2.1.728</w:t>
        </w:r>
        <w:r>
          <w:rPr>
            <w:rFonts w:asciiTheme="minorHAnsi" w:eastAsiaTheme="minorEastAsia" w:hAnsiTheme="minorHAnsi" w:cstheme="minorBidi"/>
            <w:noProof/>
            <w:sz w:val="22"/>
            <w:szCs w:val="22"/>
          </w:rPr>
          <w:tab/>
        </w:r>
        <w:r w:rsidRPr="00CD0B56">
          <w:rPr>
            <w:rStyle w:val="Hyperlink"/>
            <w:noProof/>
          </w:rPr>
          <w:t>Part 1 Section 18.9.10, metadataType (Metadata Type Information)</w:t>
        </w:r>
        <w:r>
          <w:rPr>
            <w:noProof/>
            <w:webHidden/>
          </w:rPr>
          <w:tab/>
        </w:r>
        <w:r>
          <w:rPr>
            <w:noProof/>
            <w:webHidden/>
          </w:rPr>
          <w:fldChar w:fldCharType="begin"/>
        </w:r>
        <w:r>
          <w:rPr>
            <w:noProof/>
            <w:webHidden/>
          </w:rPr>
          <w:instrText xml:space="preserve"> PAGEREF _Toc12260796 \h </w:instrText>
        </w:r>
        <w:r>
          <w:rPr>
            <w:noProof/>
            <w:webHidden/>
          </w:rPr>
        </w:r>
        <w:r>
          <w:rPr>
            <w:noProof/>
            <w:webHidden/>
          </w:rPr>
          <w:fldChar w:fldCharType="separate"/>
        </w:r>
        <w:r>
          <w:rPr>
            <w:noProof/>
            <w:webHidden/>
          </w:rPr>
          <w:t>313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97" w:history="1">
        <w:r w:rsidRPr="00CD0B56">
          <w:rPr>
            <w:rStyle w:val="Hyperlink"/>
            <w:noProof/>
          </w:rPr>
          <w:t>2.1.729</w:t>
        </w:r>
        <w:r>
          <w:rPr>
            <w:rFonts w:asciiTheme="minorHAnsi" w:eastAsiaTheme="minorEastAsia" w:hAnsiTheme="minorHAnsi" w:cstheme="minorBidi"/>
            <w:noProof/>
            <w:sz w:val="22"/>
            <w:szCs w:val="22"/>
          </w:rPr>
          <w:tab/>
        </w:r>
        <w:r w:rsidRPr="00CD0B56">
          <w:rPr>
            <w:rStyle w:val="Hyperlink"/>
            <w:noProof/>
          </w:rPr>
          <w:t>Part 1 Section 18.9.11, metadataTypes (Metadata Types Collection)</w:t>
        </w:r>
        <w:r>
          <w:rPr>
            <w:noProof/>
            <w:webHidden/>
          </w:rPr>
          <w:tab/>
        </w:r>
        <w:r>
          <w:rPr>
            <w:noProof/>
            <w:webHidden/>
          </w:rPr>
          <w:fldChar w:fldCharType="begin"/>
        </w:r>
        <w:r>
          <w:rPr>
            <w:noProof/>
            <w:webHidden/>
          </w:rPr>
          <w:instrText xml:space="preserve"> PAGEREF _Toc12260797 \h </w:instrText>
        </w:r>
        <w:r>
          <w:rPr>
            <w:noProof/>
            <w:webHidden/>
          </w:rPr>
        </w:r>
        <w:r>
          <w:rPr>
            <w:noProof/>
            <w:webHidden/>
          </w:rPr>
          <w:fldChar w:fldCharType="separate"/>
        </w:r>
        <w:r>
          <w:rPr>
            <w:noProof/>
            <w:webHidden/>
          </w:rPr>
          <w:t>317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98" w:history="1">
        <w:r w:rsidRPr="00CD0B56">
          <w:rPr>
            <w:rStyle w:val="Hyperlink"/>
            <w:noProof/>
          </w:rPr>
          <w:t>2.1.730</w:t>
        </w:r>
        <w:r>
          <w:rPr>
            <w:rFonts w:asciiTheme="minorHAnsi" w:eastAsiaTheme="minorEastAsia" w:hAnsiTheme="minorHAnsi" w:cstheme="minorBidi"/>
            <w:noProof/>
            <w:sz w:val="22"/>
            <w:szCs w:val="22"/>
          </w:rPr>
          <w:tab/>
        </w:r>
        <w:r w:rsidRPr="00CD0B56">
          <w:rPr>
            <w:rStyle w:val="Hyperlink"/>
            <w:noProof/>
          </w:rPr>
          <w:t>Part 1 Section 18.9.12, ms (Set MDX Metadata)</w:t>
        </w:r>
        <w:r>
          <w:rPr>
            <w:noProof/>
            <w:webHidden/>
          </w:rPr>
          <w:tab/>
        </w:r>
        <w:r>
          <w:rPr>
            <w:noProof/>
            <w:webHidden/>
          </w:rPr>
          <w:fldChar w:fldCharType="begin"/>
        </w:r>
        <w:r>
          <w:rPr>
            <w:noProof/>
            <w:webHidden/>
          </w:rPr>
          <w:instrText xml:space="preserve"> PAGEREF _Toc12260798 \h </w:instrText>
        </w:r>
        <w:r>
          <w:rPr>
            <w:noProof/>
            <w:webHidden/>
          </w:rPr>
        </w:r>
        <w:r>
          <w:rPr>
            <w:noProof/>
            <w:webHidden/>
          </w:rPr>
          <w:fldChar w:fldCharType="separate"/>
        </w:r>
        <w:r>
          <w:rPr>
            <w:noProof/>
            <w:webHidden/>
          </w:rPr>
          <w:t>317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799" w:history="1">
        <w:r w:rsidRPr="00CD0B56">
          <w:rPr>
            <w:rStyle w:val="Hyperlink"/>
            <w:noProof/>
          </w:rPr>
          <w:t>2.1.731</w:t>
        </w:r>
        <w:r>
          <w:rPr>
            <w:rFonts w:asciiTheme="minorHAnsi" w:eastAsiaTheme="minorEastAsia" w:hAnsiTheme="minorHAnsi" w:cstheme="minorBidi"/>
            <w:noProof/>
            <w:sz w:val="22"/>
            <w:szCs w:val="22"/>
          </w:rPr>
          <w:tab/>
        </w:r>
        <w:r w:rsidRPr="00CD0B56">
          <w:rPr>
            <w:rStyle w:val="Hyperlink"/>
            <w:noProof/>
          </w:rPr>
          <w:t>Part 1 Section 18.9.13, n (Member Unique Name Index)</w:t>
        </w:r>
        <w:r>
          <w:rPr>
            <w:noProof/>
            <w:webHidden/>
          </w:rPr>
          <w:tab/>
        </w:r>
        <w:r>
          <w:rPr>
            <w:noProof/>
            <w:webHidden/>
          </w:rPr>
          <w:fldChar w:fldCharType="begin"/>
        </w:r>
        <w:r>
          <w:rPr>
            <w:noProof/>
            <w:webHidden/>
          </w:rPr>
          <w:instrText xml:space="preserve"> PAGEREF _Toc12260799 \h </w:instrText>
        </w:r>
        <w:r>
          <w:rPr>
            <w:noProof/>
            <w:webHidden/>
          </w:rPr>
        </w:r>
        <w:r>
          <w:rPr>
            <w:noProof/>
            <w:webHidden/>
          </w:rPr>
          <w:fldChar w:fldCharType="separate"/>
        </w:r>
        <w:r>
          <w:rPr>
            <w:noProof/>
            <w:webHidden/>
          </w:rPr>
          <w:t>317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00" w:history="1">
        <w:r w:rsidRPr="00CD0B56">
          <w:rPr>
            <w:rStyle w:val="Hyperlink"/>
            <w:noProof/>
          </w:rPr>
          <w:t>2.1.732</w:t>
        </w:r>
        <w:r>
          <w:rPr>
            <w:rFonts w:asciiTheme="minorHAnsi" w:eastAsiaTheme="minorEastAsia" w:hAnsiTheme="minorHAnsi" w:cstheme="minorBidi"/>
            <w:noProof/>
            <w:sz w:val="22"/>
            <w:szCs w:val="22"/>
          </w:rPr>
          <w:tab/>
        </w:r>
        <w:r w:rsidRPr="00CD0B56">
          <w:rPr>
            <w:rStyle w:val="Hyperlink"/>
            <w:noProof/>
          </w:rPr>
          <w:t>Part 1 Section 18.9.14, p (Member Property MDX Metadata)</w:t>
        </w:r>
        <w:r>
          <w:rPr>
            <w:noProof/>
            <w:webHidden/>
          </w:rPr>
          <w:tab/>
        </w:r>
        <w:r>
          <w:rPr>
            <w:noProof/>
            <w:webHidden/>
          </w:rPr>
          <w:fldChar w:fldCharType="begin"/>
        </w:r>
        <w:r>
          <w:rPr>
            <w:noProof/>
            <w:webHidden/>
          </w:rPr>
          <w:instrText xml:space="preserve"> PAGEREF _Toc12260800 \h </w:instrText>
        </w:r>
        <w:r>
          <w:rPr>
            <w:noProof/>
            <w:webHidden/>
          </w:rPr>
        </w:r>
        <w:r>
          <w:rPr>
            <w:noProof/>
            <w:webHidden/>
          </w:rPr>
          <w:fldChar w:fldCharType="separate"/>
        </w:r>
        <w:r>
          <w:rPr>
            <w:noProof/>
            <w:webHidden/>
          </w:rPr>
          <w:t>317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01" w:history="1">
        <w:r w:rsidRPr="00CD0B56">
          <w:rPr>
            <w:rStyle w:val="Hyperlink"/>
            <w:noProof/>
          </w:rPr>
          <w:t>2.1.733</w:t>
        </w:r>
        <w:r>
          <w:rPr>
            <w:rFonts w:asciiTheme="minorHAnsi" w:eastAsiaTheme="minorEastAsia" w:hAnsiTheme="minorHAnsi" w:cstheme="minorBidi"/>
            <w:noProof/>
            <w:sz w:val="22"/>
            <w:szCs w:val="22"/>
          </w:rPr>
          <w:tab/>
        </w:r>
        <w:r w:rsidRPr="00CD0B56">
          <w:rPr>
            <w:rStyle w:val="Hyperlink"/>
            <w:noProof/>
          </w:rPr>
          <w:t>Part 1 Section 18.9.15, rc (Metadata Record)</w:t>
        </w:r>
        <w:r>
          <w:rPr>
            <w:noProof/>
            <w:webHidden/>
          </w:rPr>
          <w:tab/>
        </w:r>
        <w:r>
          <w:rPr>
            <w:noProof/>
            <w:webHidden/>
          </w:rPr>
          <w:fldChar w:fldCharType="begin"/>
        </w:r>
        <w:r>
          <w:rPr>
            <w:noProof/>
            <w:webHidden/>
          </w:rPr>
          <w:instrText xml:space="preserve"> PAGEREF _Toc12260801 \h </w:instrText>
        </w:r>
        <w:r>
          <w:rPr>
            <w:noProof/>
            <w:webHidden/>
          </w:rPr>
        </w:r>
        <w:r>
          <w:rPr>
            <w:noProof/>
            <w:webHidden/>
          </w:rPr>
          <w:fldChar w:fldCharType="separate"/>
        </w:r>
        <w:r>
          <w:rPr>
            <w:noProof/>
            <w:webHidden/>
          </w:rPr>
          <w:t>317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02" w:history="1">
        <w:r w:rsidRPr="00CD0B56">
          <w:rPr>
            <w:rStyle w:val="Hyperlink"/>
            <w:noProof/>
          </w:rPr>
          <w:t>2.1.734</w:t>
        </w:r>
        <w:r>
          <w:rPr>
            <w:rFonts w:asciiTheme="minorHAnsi" w:eastAsiaTheme="minorEastAsia" w:hAnsiTheme="minorHAnsi" w:cstheme="minorBidi"/>
            <w:noProof/>
            <w:sz w:val="22"/>
            <w:szCs w:val="22"/>
          </w:rPr>
          <w:tab/>
        </w:r>
        <w:r w:rsidRPr="00CD0B56">
          <w:rPr>
            <w:rStyle w:val="Hyperlink"/>
            <w:noProof/>
          </w:rPr>
          <w:t>Part 1 Section 18.9.16, t (Tuple MDX Metadata)</w:t>
        </w:r>
        <w:r>
          <w:rPr>
            <w:noProof/>
            <w:webHidden/>
          </w:rPr>
          <w:tab/>
        </w:r>
        <w:r>
          <w:rPr>
            <w:noProof/>
            <w:webHidden/>
          </w:rPr>
          <w:fldChar w:fldCharType="begin"/>
        </w:r>
        <w:r>
          <w:rPr>
            <w:noProof/>
            <w:webHidden/>
          </w:rPr>
          <w:instrText xml:space="preserve"> PAGEREF _Toc12260802 \h </w:instrText>
        </w:r>
        <w:r>
          <w:rPr>
            <w:noProof/>
            <w:webHidden/>
          </w:rPr>
        </w:r>
        <w:r>
          <w:rPr>
            <w:noProof/>
            <w:webHidden/>
          </w:rPr>
          <w:fldChar w:fldCharType="separate"/>
        </w:r>
        <w:r>
          <w:rPr>
            <w:noProof/>
            <w:webHidden/>
          </w:rPr>
          <w:t>318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03" w:history="1">
        <w:r w:rsidRPr="00CD0B56">
          <w:rPr>
            <w:rStyle w:val="Hyperlink"/>
            <w:noProof/>
          </w:rPr>
          <w:t>2.1.735</w:t>
        </w:r>
        <w:r>
          <w:rPr>
            <w:rFonts w:asciiTheme="minorHAnsi" w:eastAsiaTheme="minorEastAsia" w:hAnsiTheme="minorHAnsi" w:cstheme="minorBidi"/>
            <w:noProof/>
            <w:sz w:val="22"/>
            <w:szCs w:val="22"/>
          </w:rPr>
          <w:tab/>
        </w:r>
        <w:r w:rsidRPr="00CD0B56">
          <w:rPr>
            <w:rStyle w:val="Hyperlink"/>
            <w:noProof/>
          </w:rPr>
          <w:t>Part 1 Section 18.9.17, valueMetadata (Value Metadata)</w:t>
        </w:r>
        <w:r>
          <w:rPr>
            <w:noProof/>
            <w:webHidden/>
          </w:rPr>
          <w:tab/>
        </w:r>
        <w:r>
          <w:rPr>
            <w:noProof/>
            <w:webHidden/>
          </w:rPr>
          <w:fldChar w:fldCharType="begin"/>
        </w:r>
        <w:r>
          <w:rPr>
            <w:noProof/>
            <w:webHidden/>
          </w:rPr>
          <w:instrText xml:space="preserve"> PAGEREF _Toc12260803 \h </w:instrText>
        </w:r>
        <w:r>
          <w:rPr>
            <w:noProof/>
            <w:webHidden/>
          </w:rPr>
        </w:r>
        <w:r>
          <w:rPr>
            <w:noProof/>
            <w:webHidden/>
          </w:rPr>
          <w:fldChar w:fldCharType="separate"/>
        </w:r>
        <w:r>
          <w:rPr>
            <w:noProof/>
            <w:webHidden/>
          </w:rPr>
          <w:t>325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04" w:history="1">
        <w:r w:rsidRPr="00CD0B56">
          <w:rPr>
            <w:rStyle w:val="Hyperlink"/>
            <w:noProof/>
          </w:rPr>
          <w:t>2.1.736</w:t>
        </w:r>
        <w:r>
          <w:rPr>
            <w:rFonts w:asciiTheme="minorHAnsi" w:eastAsiaTheme="minorEastAsia" w:hAnsiTheme="minorHAnsi" w:cstheme="minorBidi"/>
            <w:noProof/>
            <w:sz w:val="22"/>
            <w:szCs w:val="22"/>
          </w:rPr>
          <w:tab/>
        </w:r>
        <w:r w:rsidRPr="00CD0B56">
          <w:rPr>
            <w:rStyle w:val="Hyperlink"/>
            <w:noProof/>
          </w:rPr>
          <w:t>Part 1 Section 18.10.1.1, autoSortScope (AutoSort Scope)</w:t>
        </w:r>
        <w:r>
          <w:rPr>
            <w:noProof/>
            <w:webHidden/>
          </w:rPr>
          <w:tab/>
        </w:r>
        <w:r>
          <w:rPr>
            <w:noProof/>
            <w:webHidden/>
          </w:rPr>
          <w:fldChar w:fldCharType="begin"/>
        </w:r>
        <w:r>
          <w:rPr>
            <w:noProof/>
            <w:webHidden/>
          </w:rPr>
          <w:instrText xml:space="preserve"> PAGEREF _Toc12260804 \h </w:instrText>
        </w:r>
        <w:r>
          <w:rPr>
            <w:noProof/>
            <w:webHidden/>
          </w:rPr>
        </w:r>
        <w:r>
          <w:rPr>
            <w:noProof/>
            <w:webHidden/>
          </w:rPr>
          <w:fldChar w:fldCharType="separate"/>
        </w:r>
        <w:r>
          <w:rPr>
            <w:noProof/>
            <w:webHidden/>
          </w:rPr>
          <w:t>325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05" w:history="1">
        <w:r w:rsidRPr="00CD0B56">
          <w:rPr>
            <w:rStyle w:val="Hyperlink"/>
            <w:noProof/>
          </w:rPr>
          <w:t>2.1.737</w:t>
        </w:r>
        <w:r>
          <w:rPr>
            <w:rFonts w:asciiTheme="minorHAnsi" w:eastAsiaTheme="minorEastAsia" w:hAnsiTheme="minorHAnsi" w:cstheme="minorBidi"/>
            <w:noProof/>
            <w:sz w:val="22"/>
            <w:szCs w:val="22"/>
          </w:rPr>
          <w:tab/>
        </w:r>
        <w:r w:rsidRPr="00CD0B56">
          <w:rPr>
            <w:rStyle w:val="Hyperlink"/>
            <w:noProof/>
          </w:rPr>
          <w:t>Part 1 Section 18.10.1.2, b (Boolean)</w:t>
        </w:r>
        <w:r>
          <w:rPr>
            <w:noProof/>
            <w:webHidden/>
          </w:rPr>
          <w:tab/>
        </w:r>
        <w:r>
          <w:rPr>
            <w:noProof/>
            <w:webHidden/>
          </w:rPr>
          <w:fldChar w:fldCharType="begin"/>
        </w:r>
        <w:r>
          <w:rPr>
            <w:noProof/>
            <w:webHidden/>
          </w:rPr>
          <w:instrText xml:space="preserve"> PAGEREF _Toc12260805 \h </w:instrText>
        </w:r>
        <w:r>
          <w:rPr>
            <w:noProof/>
            <w:webHidden/>
          </w:rPr>
        </w:r>
        <w:r>
          <w:rPr>
            <w:noProof/>
            <w:webHidden/>
          </w:rPr>
          <w:fldChar w:fldCharType="separate"/>
        </w:r>
        <w:r>
          <w:rPr>
            <w:noProof/>
            <w:webHidden/>
          </w:rPr>
          <w:t>325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06" w:history="1">
        <w:r w:rsidRPr="00CD0B56">
          <w:rPr>
            <w:rStyle w:val="Hyperlink"/>
            <w:noProof/>
          </w:rPr>
          <w:t>2.1.738</w:t>
        </w:r>
        <w:r>
          <w:rPr>
            <w:rFonts w:asciiTheme="minorHAnsi" w:eastAsiaTheme="minorEastAsia" w:hAnsiTheme="minorHAnsi" w:cstheme="minorBidi"/>
            <w:noProof/>
            <w:sz w:val="22"/>
            <w:szCs w:val="22"/>
          </w:rPr>
          <w:tab/>
        </w:r>
        <w:r w:rsidRPr="00CD0B56">
          <w:rPr>
            <w:rStyle w:val="Hyperlink"/>
            <w:noProof/>
          </w:rPr>
          <w:t>Part 1 Section 18.10.1.3, cacheField (PivotCache Field)</w:t>
        </w:r>
        <w:r>
          <w:rPr>
            <w:noProof/>
            <w:webHidden/>
          </w:rPr>
          <w:tab/>
        </w:r>
        <w:r>
          <w:rPr>
            <w:noProof/>
            <w:webHidden/>
          </w:rPr>
          <w:fldChar w:fldCharType="begin"/>
        </w:r>
        <w:r>
          <w:rPr>
            <w:noProof/>
            <w:webHidden/>
          </w:rPr>
          <w:instrText xml:space="preserve"> PAGEREF _Toc12260806 \h </w:instrText>
        </w:r>
        <w:r>
          <w:rPr>
            <w:noProof/>
            <w:webHidden/>
          </w:rPr>
        </w:r>
        <w:r>
          <w:rPr>
            <w:noProof/>
            <w:webHidden/>
          </w:rPr>
          <w:fldChar w:fldCharType="separate"/>
        </w:r>
        <w:r>
          <w:rPr>
            <w:noProof/>
            <w:webHidden/>
          </w:rPr>
          <w:t>325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07" w:history="1">
        <w:r w:rsidRPr="00CD0B56">
          <w:rPr>
            <w:rStyle w:val="Hyperlink"/>
            <w:noProof/>
          </w:rPr>
          <w:t>2.1.739</w:t>
        </w:r>
        <w:r>
          <w:rPr>
            <w:rFonts w:asciiTheme="minorHAnsi" w:eastAsiaTheme="minorEastAsia" w:hAnsiTheme="minorHAnsi" w:cstheme="minorBidi"/>
            <w:noProof/>
            <w:sz w:val="22"/>
            <w:szCs w:val="22"/>
          </w:rPr>
          <w:tab/>
        </w:r>
        <w:r w:rsidRPr="00CD0B56">
          <w:rPr>
            <w:rStyle w:val="Hyperlink"/>
            <w:noProof/>
          </w:rPr>
          <w:t>Part 1 Section 18.10.1.4, cacheFields (PivotCache Fields)</w:t>
        </w:r>
        <w:r>
          <w:rPr>
            <w:noProof/>
            <w:webHidden/>
          </w:rPr>
          <w:tab/>
        </w:r>
        <w:r>
          <w:rPr>
            <w:noProof/>
            <w:webHidden/>
          </w:rPr>
          <w:fldChar w:fldCharType="begin"/>
        </w:r>
        <w:r>
          <w:rPr>
            <w:noProof/>
            <w:webHidden/>
          </w:rPr>
          <w:instrText xml:space="preserve"> PAGEREF _Toc12260807 \h </w:instrText>
        </w:r>
        <w:r>
          <w:rPr>
            <w:noProof/>
            <w:webHidden/>
          </w:rPr>
        </w:r>
        <w:r>
          <w:rPr>
            <w:noProof/>
            <w:webHidden/>
          </w:rPr>
          <w:fldChar w:fldCharType="separate"/>
        </w:r>
        <w:r>
          <w:rPr>
            <w:noProof/>
            <w:webHidden/>
          </w:rPr>
          <w:t>326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08" w:history="1">
        <w:r w:rsidRPr="00CD0B56">
          <w:rPr>
            <w:rStyle w:val="Hyperlink"/>
            <w:noProof/>
          </w:rPr>
          <w:t>2.1.740</w:t>
        </w:r>
        <w:r>
          <w:rPr>
            <w:rFonts w:asciiTheme="minorHAnsi" w:eastAsiaTheme="minorEastAsia" w:hAnsiTheme="minorHAnsi" w:cstheme="minorBidi"/>
            <w:noProof/>
            <w:sz w:val="22"/>
            <w:szCs w:val="22"/>
          </w:rPr>
          <w:tab/>
        </w:r>
        <w:r w:rsidRPr="00CD0B56">
          <w:rPr>
            <w:rStyle w:val="Hyperlink"/>
            <w:noProof/>
          </w:rPr>
          <w:t>Part 1 Section 18.10.1.5, cacheHierarchies (PivotCache Hierarchies)</w:t>
        </w:r>
        <w:r>
          <w:rPr>
            <w:noProof/>
            <w:webHidden/>
          </w:rPr>
          <w:tab/>
        </w:r>
        <w:r>
          <w:rPr>
            <w:noProof/>
            <w:webHidden/>
          </w:rPr>
          <w:fldChar w:fldCharType="begin"/>
        </w:r>
        <w:r>
          <w:rPr>
            <w:noProof/>
            <w:webHidden/>
          </w:rPr>
          <w:instrText xml:space="preserve"> PAGEREF _Toc12260808 \h </w:instrText>
        </w:r>
        <w:r>
          <w:rPr>
            <w:noProof/>
            <w:webHidden/>
          </w:rPr>
        </w:r>
        <w:r>
          <w:rPr>
            <w:noProof/>
            <w:webHidden/>
          </w:rPr>
          <w:fldChar w:fldCharType="separate"/>
        </w:r>
        <w:r>
          <w:rPr>
            <w:noProof/>
            <w:webHidden/>
          </w:rPr>
          <w:t>327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09" w:history="1">
        <w:r w:rsidRPr="00CD0B56">
          <w:rPr>
            <w:rStyle w:val="Hyperlink"/>
            <w:noProof/>
          </w:rPr>
          <w:t>2.1.741</w:t>
        </w:r>
        <w:r>
          <w:rPr>
            <w:rFonts w:asciiTheme="minorHAnsi" w:eastAsiaTheme="minorEastAsia" w:hAnsiTheme="minorHAnsi" w:cstheme="minorBidi"/>
            <w:noProof/>
            <w:sz w:val="22"/>
            <w:szCs w:val="22"/>
          </w:rPr>
          <w:tab/>
        </w:r>
        <w:r w:rsidRPr="00CD0B56">
          <w:rPr>
            <w:rStyle w:val="Hyperlink"/>
            <w:noProof/>
          </w:rPr>
          <w:t>Part 1 Section 18.10.1.6, cacheHierarchy (PivotCache Hierarchy)</w:t>
        </w:r>
        <w:r>
          <w:rPr>
            <w:noProof/>
            <w:webHidden/>
          </w:rPr>
          <w:tab/>
        </w:r>
        <w:r>
          <w:rPr>
            <w:noProof/>
            <w:webHidden/>
          </w:rPr>
          <w:fldChar w:fldCharType="begin"/>
        </w:r>
        <w:r>
          <w:rPr>
            <w:noProof/>
            <w:webHidden/>
          </w:rPr>
          <w:instrText xml:space="preserve"> PAGEREF _Toc12260809 \h </w:instrText>
        </w:r>
        <w:r>
          <w:rPr>
            <w:noProof/>
            <w:webHidden/>
          </w:rPr>
        </w:r>
        <w:r>
          <w:rPr>
            <w:noProof/>
            <w:webHidden/>
          </w:rPr>
          <w:fldChar w:fldCharType="separate"/>
        </w:r>
        <w:r>
          <w:rPr>
            <w:noProof/>
            <w:webHidden/>
          </w:rPr>
          <w:t>327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10" w:history="1">
        <w:r w:rsidRPr="00CD0B56">
          <w:rPr>
            <w:rStyle w:val="Hyperlink"/>
            <w:noProof/>
          </w:rPr>
          <w:t>2.1.742</w:t>
        </w:r>
        <w:r>
          <w:rPr>
            <w:rFonts w:asciiTheme="minorHAnsi" w:eastAsiaTheme="minorEastAsia" w:hAnsiTheme="minorHAnsi" w:cstheme="minorBidi"/>
            <w:noProof/>
            <w:sz w:val="22"/>
            <w:szCs w:val="22"/>
          </w:rPr>
          <w:tab/>
        </w:r>
        <w:r w:rsidRPr="00CD0B56">
          <w:rPr>
            <w:rStyle w:val="Hyperlink"/>
            <w:noProof/>
          </w:rPr>
          <w:t>Part 1 Section 18.10.1.7, cacheSource (PivotCache Source Description)</w:t>
        </w:r>
        <w:r>
          <w:rPr>
            <w:noProof/>
            <w:webHidden/>
          </w:rPr>
          <w:tab/>
        </w:r>
        <w:r>
          <w:rPr>
            <w:noProof/>
            <w:webHidden/>
          </w:rPr>
          <w:fldChar w:fldCharType="begin"/>
        </w:r>
        <w:r>
          <w:rPr>
            <w:noProof/>
            <w:webHidden/>
          </w:rPr>
          <w:instrText xml:space="preserve"> PAGEREF _Toc12260810 \h </w:instrText>
        </w:r>
        <w:r>
          <w:rPr>
            <w:noProof/>
            <w:webHidden/>
          </w:rPr>
        </w:r>
        <w:r>
          <w:rPr>
            <w:noProof/>
            <w:webHidden/>
          </w:rPr>
          <w:fldChar w:fldCharType="separate"/>
        </w:r>
        <w:r>
          <w:rPr>
            <w:noProof/>
            <w:webHidden/>
          </w:rPr>
          <w:t>328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11" w:history="1">
        <w:r w:rsidRPr="00CD0B56">
          <w:rPr>
            <w:rStyle w:val="Hyperlink"/>
            <w:noProof/>
          </w:rPr>
          <w:t>2.1.743</w:t>
        </w:r>
        <w:r>
          <w:rPr>
            <w:rFonts w:asciiTheme="minorHAnsi" w:eastAsiaTheme="minorEastAsia" w:hAnsiTheme="minorHAnsi" w:cstheme="minorBidi"/>
            <w:noProof/>
            <w:sz w:val="22"/>
            <w:szCs w:val="22"/>
          </w:rPr>
          <w:tab/>
        </w:r>
        <w:r w:rsidRPr="00CD0B56">
          <w:rPr>
            <w:rStyle w:val="Hyperlink"/>
            <w:noProof/>
          </w:rPr>
          <w:t>Part 1 Section 18.10.1.8, calculatedItem (Calculated Item)</w:t>
        </w:r>
        <w:r>
          <w:rPr>
            <w:noProof/>
            <w:webHidden/>
          </w:rPr>
          <w:tab/>
        </w:r>
        <w:r>
          <w:rPr>
            <w:noProof/>
            <w:webHidden/>
          </w:rPr>
          <w:fldChar w:fldCharType="begin"/>
        </w:r>
        <w:r>
          <w:rPr>
            <w:noProof/>
            <w:webHidden/>
          </w:rPr>
          <w:instrText xml:space="preserve"> PAGEREF _Toc12260811 \h </w:instrText>
        </w:r>
        <w:r>
          <w:rPr>
            <w:noProof/>
            <w:webHidden/>
          </w:rPr>
        </w:r>
        <w:r>
          <w:rPr>
            <w:noProof/>
            <w:webHidden/>
          </w:rPr>
          <w:fldChar w:fldCharType="separate"/>
        </w:r>
        <w:r>
          <w:rPr>
            <w:noProof/>
            <w:webHidden/>
          </w:rPr>
          <w:t>328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12" w:history="1">
        <w:r w:rsidRPr="00CD0B56">
          <w:rPr>
            <w:rStyle w:val="Hyperlink"/>
            <w:noProof/>
          </w:rPr>
          <w:t>2.1.744</w:t>
        </w:r>
        <w:r>
          <w:rPr>
            <w:rFonts w:asciiTheme="minorHAnsi" w:eastAsiaTheme="minorEastAsia" w:hAnsiTheme="minorHAnsi" w:cstheme="minorBidi"/>
            <w:noProof/>
            <w:sz w:val="22"/>
            <w:szCs w:val="22"/>
          </w:rPr>
          <w:tab/>
        </w:r>
        <w:r w:rsidRPr="00CD0B56">
          <w:rPr>
            <w:rStyle w:val="Hyperlink"/>
            <w:noProof/>
          </w:rPr>
          <w:t>Part 1 Section 18.10.1.10, calculatedMember (Calculated Member)</w:t>
        </w:r>
        <w:r>
          <w:rPr>
            <w:noProof/>
            <w:webHidden/>
          </w:rPr>
          <w:tab/>
        </w:r>
        <w:r>
          <w:rPr>
            <w:noProof/>
            <w:webHidden/>
          </w:rPr>
          <w:fldChar w:fldCharType="begin"/>
        </w:r>
        <w:r>
          <w:rPr>
            <w:noProof/>
            <w:webHidden/>
          </w:rPr>
          <w:instrText xml:space="preserve"> PAGEREF _Toc12260812 \h </w:instrText>
        </w:r>
        <w:r>
          <w:rPr>
            <w:noProof/>
            <w:webHidden/>
          </w:rPr>
        </w:r>
        <w:r>
          <w:rPr>
            <w:noProof/>
            <w:webHidden/>
          </w:rPr>
          <w:fldChar w:fldCharType="separate"/>
        </w:r>
        <w:r>
          <w:rPr>
            <w:noProof/>
            <w:webHidden/>
          </w:rPr>
          <w:t>329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13" w:history="1">
        <w:r w:rsidRPr="00CD0B56">
          <w:rPr>
            <w:rStyle w:val="Hyperlink"/>
            <w:noProof/>
          </w:rPr>
          <w:t>2.1.745</w:t>
        </w:r>
        <w:r>
          <w:rPr>
            <w:rFonts w:asciiTheme="minorHAnsi" w:eastAsiaTheme="minorEastAsia" w:hAnsiTheme="minorHAnsi" w:cstheme="minorBidi"/>
            <w:noProof/>
            <w:sz w:val="22"/>
            <w:szCs w:val="22"/>
          </w:rPr>
          <w:tab/>
        </w:r>
        <w:r w:rsidRPr="00CD0B56">
          <w:rPr>
            <w:rStyle w:val="Hyperlink"/>
            <w:noProof/>
          </w:rPr>
          <w:t>Part 1 Section 18.10.1.12, chartFormat (PivotChart Format)</w:t>
        </w:r>
        <w:r>
          <w:rPr>
            <w:noProof/>
            <w:webHidden/>
          </w:rPr>
          <w:tab/>
        </w:r>
        <w:r>
          <w:rPr>
            <w:noProof/>
            <w:webHidden/>
          </w:rPr>
          <w:fldChar w:fldCharType="begin"/>
        </w:r>
        <w:r>
          <w:rPr>
            <w:noProof/>
            <w:webHidden/>
          </w:rPr>
          <w:instrText xml:space="preserve"> PAGEREF _Toc12260813 \h </w:instrText>
        </w:r>
        <w:r>
          <w:rPr>
            <w:noProof/>
            <w:webHidden/>
          </w:rPr>
        </w:r>
        <w:r>
          <w:rPr>
            <w:noProof/>
            <w:webHidden/>
          </w:rPr>
          <w:fldChar w:fldCharType="separate"/>
        </w:r>
        <w:r>
          <w:rPr>
            <w:noProof/>
            <w:webHidden/>
          </w:rPr>
          <w:t>329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14" w:history="1">
        <w:r w:rsidRPr="00CD0B56">
          <w:rPr>
            <w:rStyle w:val="Hyperlink"/>
            <w:noProof/>
          </w:rPr>
          <w:t>2.1.746</w:t>
        </w:r>
        <w:r>
          <w:rPr>
            <w:rFonts w:asciiTheme="minorHAnsi" w:eastAsiaTheme="minorEastAsia" w:hAnsiTheme="minorHAnsi" w:cstheme="minorBidi"/>
            <w:noProof/>
            <w:sz w:val="22"/>
            <w:szCs w:val="22"/>
          </w:rPr>
          <w:tab/>
        </w:r>
        <w:r w:rsidRPr="00CD0B56">
          <w:rPr>
            <w:rStyle w:val="Hyperlink"/>
            <w:noProof/>
          </w:rPr>
          <w:t>Part 1 Section 18.10.1.15, colHierarchiesUsage (Column OLAP Hierarchy References)</w:t>
        </w:r>
        <w:r>
          <w:rPr>
            <w:noProof/>
            <w:webHidden/>
          </w:rPr>
          <w:tab/>
        </w:r>
        <w:r>
          <w:rPr>
            <w:noProof/>
            <w:webHidden/>
          </w:rPr>
          <w:fldChar w:fldCharType="begin"/>
        </w:r>
        <w:r>
          <w:rPr>
            <w:noProof/>
            <w:webHidden/>
          </w:rPr>
          <w:instrText xml:space="preserve"> PAGEREF _Toc12260814 \h </w:instrText>
        </w:r>
        <w:r>
          <w:rPr>
            <w:noProof/>
            <w:webHidden/>
          </w:rPr>
        </w:r>
        <w:r>
          <w:rPr>
            <w:noProof/>
            <w:webHidden/>
          </w:rPr>
          <w:fldChar w:fldCharType="separate"/>
        </w:r>
        <w:r>
          <w:rPr>
            <w:noProof/>
            <w:webHidden/>
          </w:rPr>
          <w:t>330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15" w:history="1">
        <w:r w:rsidRPr="00CD0B56">
          <w:rPr>
            <w:rStyle w:val="Hyperlink"/>
            <w:noProof/>
          </w:rPr>
          <w:t>2.1.747</w:t>
        </w:r>
        <w:r>
          <w:rPr>
            <w:rFonts w:asciiTheme="minorHAnsi" w:eastAsiaTheme="minorEastAsia" w:hAnsiTheme="minorHAnsi" w:cstheme="minorBidi"/>
            <w:noProof/>
            <w:sz w:val="22"/>
            <w:szCs w:val="22"/>
          </w:rPr>
          <w:tab/>
        </w:r>
        <w:r w:rsidRPr="00CD0B56">
          <w:rPr>
            <w:rStyle w:val="Hyperlink"/>
            <w:noProof/>
          </w:rPr>
          <w:t>Part 1 Section 18.10.1.16, colHierarchyUsage (Column OLAP Hierarchies)</w:t>
        </w:r>
        <w:r>
          <w:rPr>
            <w:noProof/>
            <w:webHidden/>
          </w:rPr>
          <w:tab/>
        </w:r>
        <w:r>
          <w:rPr>
            <w:noProof/>
            <w:webHidden/>
          </w:rPr>
          <w:fldChar w:fldCharType="begin"/>
        </w:r>
        <w:r>
          <w:rPr>
            <w:noProof/>
            <w:webHidden/>
          </w:rPr>
          <w:instrText xml:space="preserve"> PAGEREF _Toc12260815 \h </w:instrText>
        </w:r>
        <w:r>
          <w:rPr>
            <w:noProof/>
            <w:webHidden/>
          </w:rPr>
        </w:r>
        <w:r>
          <w:rPr>
            <w:noProof/>
            <w:webHidden/>
          </w:rPr>
          <w:fldChar w:fldCharType="separate"/>
        </w:r>
        <w:r>
          <w:rPr>
            <w:noProof/>
            <w:webHidden/>
          </w:rPr>
          <w:t>330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16" w:history="1">
        <w:r w:rsidRPr="00CD0B56">
          <w:rPr>
            <w:rStyle w:val="Hyperlink"/>
            <w:noProof/>
          </w:rPr>
          <w:t>2.1.748</w:t>
        </w:r>
        <w:r>
          <w:rPr>
            <w:rFonts w:asciiTheme="minorHAnsi" w:eastAsiaTheme="minorEastAsia" w:hAnsiTheme="minorHAnsi" w:cstheme="minorBidi"/>
            <w:noProof/>
            <w:sz w:val="22"/>
            <w:szCs w:val="22"/>
          </w:rPr>
          <w:tab/>
        </w:r>
        <w:r w:rsidRPr="00CD0B56">
          <w:rPr>
            <w:rStyle w:val="Hyperlink"/>
            <w:noProof/>
          </w:rPr>
          <w:t>Part 1 Section 18.10.1.17, colItems (Column Items)</w:t>
        </w:r>
        <w:r>
          <w:rPr>
            <w:noProof/>
            <w:webHidden/>
          </w:rPr>
          <w:tab/>
        </w:r>
        <w:r>
          <w:rPr>
            <w:noProof/>
            <w:webHidden/>
          </w:rPr>
          <w:fldChar w:fldCharType="begin"/>
        </w:r>
        <w:r>
          <w:rPr>
            <w:noProof/>
            <w:webHidden/>
          </w:rPr>
          <w:instrText xml:space="preserve"> PAGEREF _Toc12260816 \h </w:instrText>
        </w:r>
        <w:r>
          <w:rPr>
            <w:noProof/>
            <w:webHidden/>
          </w:rPr>
        </w:r>
        <w:r>
          <w:rPr>
            <w:noProof/>
            <w:webHidden/>
          </w:rPr>
          <w:fldChar w:fldCharType="separate"/>
        </w:r>
        <w:r>
          <w:rPr>
            <w:noProof/>
            <w:webHidden/>
          </w:rPr>
          <w:t>330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17" w:history="1">
        <w:r w:rsidRPr="00CD0B56">
          <w:rPr>
            <w:rStyle w:val="Hyperlink"/>
            <w:noProof/>
          </w:rPr>
          <w:t>2.1.749</w:t>
        </w:r>
        <w:r>
          <w:rPr>
            <w:rFonts w:asciiTheme="minorHAnsi" w:eastAsiaTheme="minorEastAsia" w:hAnsiTheme="minorHAnsi" w:cstheme="minorBidi"/>
            <w:noProof/>
            <w:sz w:val="22"/>
            <w:szCs w:val="22"/>
          </w:rPr>
          <w:tab/>
        </w:r>
        <w:r w:rsidRPr="00CD0B56">
          <w:rPr>
            <w:rStyle w:val="Hyperlink"/>
            <w:noProof/>
          </w:rPr>
          <w:t>Part 1 Section 18.10.1.18, conditionalFormat (Conditional Formatting)</w:t>
        </w:r>
        <w:r>
          <w:rPr>
            <w:noProof/>
            <w:webHidden/>
          </w:rPr>
          <w:tab/>
        </w:r>
        <w:r>
          <w:rPr>
            <w:noProof/>
            <w:webHidden/>
          </w:rPr>
          <w:fldChar w:fldCharType="begin"/>
        </w:r>
        <w:r>
          <w:rPr>
            <w:noProof/>
            <w:webHidden/>
          </w:rPr>
          <w:instrText xml:space="preserve"> PAGEREF _Toc12260817 \h </w:instrText>
        </w:r>
        <w:r>
          <w:rPr>
            <w:noProof/>
            <w:webHidden/>
          </w:rPr>
        </w:r>
        <w:r>
          <w:rPr>
            <w:noProof/>
            <w:webHidden/>
          </w:rPr>
          <w:fldChar w:fldCharType="separate"/>
        </w:r>
        <w:r>
          <w:rPr>
            <w:noProof/>
            <w:webHidden/>
          </w:rPr>
          <w:t>330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18" w:history="1">
        <w:r w:rsidRPr="00CD0B56">
          <w:rPr>
            <w:rStyle w:val="Hyperlink"/>
            <w:noProof/>
          </w:rPr>
          <w:t>2.1.750</w:t>
        </w:r>
        <w:r>
          <w:rPr>
            <w:rFonts w:asciiTheme="minorHAnsi" w:eastAsiaTheme="minorEastAsia" w:hAnsiTheme="minorHAnsi" w:cstheme="minorBidi"/>
            <w:noProof/>
            <w:sz w:val="22"/>
            <w:szCs w:val="22"/>
          </w:rPr>
          <w:tab/>
        </w:r>
        <w:r w:rsidRPr="00CD0B56">
          <w:rPr>
            <w:rStyle w:val="Hyperlink"/>
            <w:noProof/>
          </w:rPr>
          <w:t>Part 1 Section 18.10.1.21, d (Date Time)</w:t>
        </w:r>
        <w:r>
          <w:rPr>
            <w:noProof/>
            <w:webHidden/>
          </w:rPr>
          <w:tab/>
        </w:r>
        <w:r>
          <w:rPr>
            <w:noProof/>
            <w:webHidden/>
          </w:rPr>
          <w:fldChar w:fldCharType="begin"/>
        </w:r>
        <w:r>
          <w:rPr>
            <w:noProof/>
            <w:webHidden/>
          </w:rPr>
          <w:instrText xml:space="preserve"> PAGEREF _Toc12260818 \h </w:instrText>
        </w:r>
        <w:r>
          <w:rPr>
            <w:noProof/>
            <w:webHidden/>
          </w:rPr>
        </w:r>
        <w:r>
          <w:rPr>
            <w:noProof/>
            <w:webHidden/>
          </w:rPr>
          <w:fldChar w:fldCharType="separate"/>
        </w:r>
        <w:r>
          <w:rPr>
            <w:noProof/>
            <w:webHidden/>
          </w:rPr>
          <w:t>330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19" w:history="1">
        <w:r w:rsidRPr="00CD0B56">
          <w:rPr>
            <w:rStyle w:val="Hyperlink"/>
            <w:noProof/>
          </w:rPr>
          <w:t>2.1.751</w:t>
        </w:r>
        <w:r>
          <w:rPr>
            <w:rFonts w:asciiTheme="minorHAnsi" w:eastAsiaTheme="minorEastAsia" w:hAnsiTheme="minorHAnsi" w:cstheme="minorBidi"/>
            <w:noProof/>
            <w:sz w:val="22"/>
            <w:szCs w:val="22"/>
          </w:rPr>
          <w:tab/>
        </w:r>
        <w:r w:rsidRPr="00CD0B56">
          <w:rPr>
            <w:rStyle w:val="Hyperlink"/>
            <w:noProof/>
          </w:rPr>
          <w:t>Part 1 Section 18.10.1.22, dataField (Data Field Item)</w:t>
        </w:r>
        <w:r>
          <w:rPr>
            <w:noProof/>
            <w:webHidden/>
          </w:rPr>
          <w:tab/>
        </w:r>
        <w:r>
          <w:rPr>
            <w:noProof/>
            <w:webHidden/>
          </w:rPr>
          <w:fldChar w:fldCharType="begin"/>
        </w:r>
        <w:r>
          <w:rPr>
            <w:noProof/>
            <w:webHidden/>
          </w:rPr>
          <w:instrText xml:space="preserve"> PAGEREF _Toc12260819 \h </w:instrText>
        </w:r>
        <w:r>
          <w:rPr>
            <w:noProof/>
            <w:webHidden/>
          </w:rPr>
        </w:r>
        <w:r>
          <w:rPr>
            <w:noProof/>
            <w:webHidden/>
          </w:rPr>
          <w:fldChar w:fldCharType="separate"/>
        </w:r>
        <w:r>
          <w:rPr>
            <w:noProof/>
            <w:webHidden/>
          </w:rPr>
          <w:t>331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20" w:history="1">
        <w:r w:rsidRPr="00CD0B56">
          <w:rPr>
            <w:rStyle w:val="Hyperlink"/>
            <w:noProof/>
          </w:rPr>
          <w:t>2.1.752</w:t>
        </w:r>
        <w:r>
          <w:rPr>
            <w:rFonts w:asciiTheme="minorHAnsi" w:eastAsiaTheme="minorEastAsia" w:hAnsiTheme="minorHAnsi" w:cstheme="minorBidi"/>
            <w:noProof/>
            <w:sz w:val="22"/>
            <w:szCs w:val="22"/>
          </w:rPr>
          <w:tab/>
        </w:r>
        <w:r w:rsidRPr="00CD0B56">
          <w:rPr>
            <w:rStyle w:val="Hyperlink"/>
            <w:noProof/>
          </w:rPr>
          <w:t>Part 1 Section 18.10.1.24, dimension (OLAP Dimension)</w:t>
        </w:r>
        <w:r>
          <w:rPr>
            <w:noProof/>
            <w:webHidden/>
          </w:rPr>
          <w:tab/>
        </w:r>
        <w:r>
          <w:rPr>
            <w:noProof/>
            <w:webHidden/>
          </w:rPr>
          <w:fldChar w:fldCharType="begin"/>
        </w:r>
        <w:r>
          <w:rPr>
            <w:noProof/>
            <w:webHidden/>
          </w:rPr>
          <w:instrText xml:space="preserve"> PAGEREF _Toc12260820 \h </w:instrText>
        </w:r>
        <w:r>
          <w:rPr>
            <w:noProof/>
            <w:webHidden/>
          </w:rPr>
        </w:r>
        <w:r>
          <w:rPr>
            <w:noProof/>
            <w:webHidden/>
          </w:rPr>
          <w:fldChar w:fldCharType="separate"/>
        </w:r>
        <w:r>
          <w:rPr>
            <w:noProof/>
            <w:webHidden/>
          </w:rPr>
          <w:t>331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21" w:history="1">
        <w:r w:rsidRPr="00CD0B56">
          <w:rPr>
            <w:rStyle w:val="Hyperlink"/>
            <w:noProof/>
          </w:rPr>
          <w:t>2.1.753</w:t>
        </w:r>
        <w:r>
          <w:rPr>
            <w:rFonts w:asciiTheme="minorHAnsi" w:eastAsiaTheme="minorEastAsia" w:hAnsiTheme="minorHAnsi" w:cstheme="minorBidi"/>
            <w:noProof/>
            <w:sz w:val="22"/>
            <w:szCs w:val="22"/>
          </w:rPr>
          <w:tab/>
        </w:r>
        <w:r w:rsidRPr="00CD0B56">
          <w:rPr>
            <w:rStyle w:val="Hyperlink"/>
            <w:noProof/>
          </w:rPr>
          <w:t>Part 1 Section 18.10.1.26, discretePr (Discrete Grouping Properties)</w:t>
        </w:r>
        <w:r>
          <w:rPr>
            <w:noProof/>
            <w:webHidden/>
          </w:rPr>
          <w:tab/>
        </w:r>
        <w:r>
          <w:rPr>
            <w:noProof/>
            <w:webHidden/>
          </w:rPr>
          <w:fldChar w:fldCharType="begin"/>
        </w:r>
        <w:r>
          <w:rPr>
            <w:noProof/>
            <w:webHidden/>
          </w:rPr>
          <w:instrText xml:space="preserve"> PAGEREF _Toc12260821 \h </w:instrText>
        </w:r>
        <w:r>
          <w:rPr>
            <w:noProof/>
            <w:webHidden/>
          </w:rPr>
        </w:r>
        <w:r>
          <w:rPr>
            <w:noProof/>
            <w:webHidden/>
          </w:rPr>
          <w:fldChar w:fldCharType="separate"/>
        </w:r>
        <w:r>
          <w:rPr>
            <w:noProof/>
            <w:webHidden/>
          </w:rPr>
          <w:t>332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22" w:history="1">
        <w:r w:rsidRPr="00CD0B56">
          <w:rPr>
            <w:rStyle w:val="Hyperlink"/>
            <w:noProof/>
          </w:rPr>
          <w:t>2.1.754</w:t>
        </w:r>
        <w:r>
          <w:rPr>
            <w:rFonts w:asciiTheme="minorHAnsi" w:eastAsiaTheme="minorEastAsia" w:hAnsiTheme="minorHAnsi" w:cstheme="minorBidi"/>
            <w:noProof/>
            <w:sz w:val="22"/>
            <w:szCs w:val="22"/>
          </w:rPr>
          <w:tab/>
        </w:r>
        <w:r w:rsidRPr="00CD0B56">
          <w:rPr>
            <w:rStyle w:val="Hyperlink"/>
            <w:noProof/>
          </w:rPr>
          <w:t>Part 1 Section 18.10.1.27, e (Error Value)</w:t>
        </w:r>
        <w:r>
          <w:rPr>
            <w:noProof/>
            <w:webHidden/>
          </w:rPr>
          <w:tab/>
        </w:r>
        <w:r>
          <w:rPr>
            <w:noProof/>
            <w:webHidden/>
          </w:rPr>
          <w:fldChar w:fldCharType="begin"/>
        </w:r>
        <w:r>
          <w:rPr>
            <w:noProof/>
            <w:webHidden/>
          </w:rPr>
          <w:instrText xml:space="preserve"> PAGEREF _Toc12260822 \h </w:instrText>
        </w:r>
        <w:r>
          <w:rPr>
            <w:noProof/>
            <w:webHidden/>
          </w:rPr>
        </w:r>
        <w:r>
          <w:rPr>
            <w:noProof/>
            <w:webHidden/>
          </w:rPr>
          <w:fldChar w:fldCharType="separate"/>
        </w:r>
        <w:r>
          <w:rPr>
            <w:noProof/>
            <w:webHidden/>
          </w:rPr>
          <w:t>332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23" w:history="1">
        <w:r w:rsidRPr="00CD0B56">
          <w:rPr>
            <w:rStyle w:val="Hyperlink"/>
            <w:noProof/>
          </w:rPr>
          <w:t>2.1.755</w:t>
        </w:r>
        <w:r>
          <w:rPr>
            <w:rFonts w:asciiTheme="minorHAnsi" w:eastAsiaTheme="minorEastAsia" w:hAnsiTheme="minorHAnsi" w:cstheme="minorBidi"/>
            <w:noProof/>
            <w:sz w:val="22"/>
            <w:szCs w:val="22"/>
          </w:rPr>
          <w:tab/>
        </w:r>
        <w:r w:rsidRPr="00CD0B56">
          <w:rPr>
            <w:rStyle w:val="Hyperlink"/>
            <w:noProof/>
          </w:rPr>
          <w:t>Part 1 Section 18.10.1.29, field (Field)</w:t>
        </w:r>
        <w:r>
          <w:rPr>
            <w:noProof/>
            <w:webHidden/>
          </w:rPr>
          <w:tab/>
        </w:r>
        <w:r>
          <w:rPr>
            <w:noProof/>
            <w:webHidden/>
          </w:rPr>
          <w:fldChar w:fldCharType="begin"/>
        </w:r>
        <w:r>
          <w:rPr>
            <w:noProof/>
            <w:webHidden/>
          </w:rPr>
          <w:instrText xml:space="preserve"> PAGEREF _Toc12260823 \h </w:instrText>
        </w:r>
        <w:r>
          <w:rPr>
            <w:noProof/>
            <w:webHidden/>
          </w:rPr>
        </w:r>
        <w:r>
          <w:rPr>
            <w:noProof/>
            <w:webHidden/>
          </w:rPr>
          <w:fldChar w:fldCharType="separate"/>
        </w:r>
        <w:r>
          <w:rPr>
            <w:noProof/>
            <w:webHidden/>
          </w:rPr>
          <w:t>333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24" w:history="1">
        <w:r w:rsidRPr="00CD0B56">
          <w:rPr>
            <w:rStyle w:val="Hyperlink"/>
            <w:noProof/>
          </w:rPr>
          <w:t>2.1.756</w:t>
        </w:r>
        <w:r>
          <w:rPr>
            <w:rFonts w:asciiTheme="minorHAnsi" w:eastAsiaTheme="minorEastAsia" w:hAnsiTheme="minorHAnsi" w:cstheme="minorBidi"/>
            <w:noProof/>
            <w:sz w:val="22"/>
            <w:szCs w:val="22"/>
          </w:rPr>
          <w:tab/>
        </w:r>
        <w:r w:rsidRPr="00CD0B56">
          <w:rPr>
            <w:rStyle w:val="Hyperlink"/>
            <w:noProof/>
          </w:rPr>
          <w:t>Part 1 Section 18.10.1.30, fieldGroup (Field Group Properties)</w:t>
        </w:r>
        <w:r>
          <w:rPr>
            <w:noProof/>
            <w:webHidden/>
          </w:rPr>
          <w:tab/>
        </w:r>
        <w:r>
          <w:rPr>
            <w:noProof/>
            <w:webHidden/>
          </w:rPr>
          <w:fldChar w:fldCharType="begin"/>
        </w:r>
        <w:r>
          <w:rPr>
            <w:noProof/>
            <w:webHidden/>
          </w:rPr>
          <w:instrText xml:space="preserve"> PAGEREF _Toc12260824 \h </w:instrText>
        </w:r>
        <w:r>
          <w:rPr>
            <w:noProof/>
            <w:webHidden/>
          </w:rPr>
        </w:r>
        <w:r>
          <w:rPr>
            <w:noProof/>
            <w:webHidden/>
          </w:rPr>
          <w:fldChar w:fldCharType="separate"/>
        </w:r>
        <w:r>
          <w:rPr>
            <w:noProof/>
            <w:webHidden/>
          </w:rPr>
          <w:t>333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25" w:history="1">
        <w:r w:rsidRPr="00CD0B56">
          <w:rPr>
            <w:rStyle w:val="Hyperlink"/>
            <w:noProof/>
          </w:rPr>
          <w:t>2.1.757</w:t>
        </w:r>
        <w:r>
          <w:rPr>
            <w:rFonts w:asciiTheme="minorHAnsi" w:eastAsiaTheme="minorEastAsia" w:hAnsiTheme="minorHAnsi" w:cstheme="minorBidi"/>
            <w:noProof/>
            <w:sz w:val="22"/>
            <w:szCs w:val="22"/>
          </w:rPr>
          <w:tab/>
        </w:r>
        <w:r w:rsidRPr="00CD0B56">
          <w:rPr>
            <w:rStyle w:val="Hyperlink"/>
            <w:noProof/>
          </w:rPr>
          <w:t>Part 1 Section 18.10.1.31, fieldsUsage (Fields Usage)</w:t>
        </w:r>
        <w:r>
          <w:rPr>
            <w:noProof/>
            <w:webHidden/>
          </w:rPr>
          <w:tab/>
        </w:r>
        <w:r>
          <w:rPr>
            <w:noProof/>
            <w:webHidden/>
          </w:rPr>
          <w:fldChar w:fldCharType="begin"/>
        </w:r>
        <w:r>
          <w:rPr>
            <w:noProof/>
            <w:webHidden/>
          </w:rPr>
          <w:instrText xml:space="preserve"> PAGEREF _Toc12260825 \h </w:instrText>
        </w:r>
        <w:r>
          <w:rPr>
            <w:noProof/>
            <w:webHidden/>
          </w:rPr>
        </w:r>
        <w:r>
          <w:rPr>
            <w:noProof/>
            <w:webHidden/>
          </w:rPr>
          <w:fldChar w:fldCharType="separate"/>
        </w:r>
        <w:r>
          <w:rPr>
            <w:noProof/>
            <w:webHidden/>
          </w:rPr>
          <w:t>333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26" w:history="1">
        <w:r w:rsidRPr="00CD0B56">
          <w:rPr>
            <w:rStyle w:val="Hyperlink"/>
            <w:noProof/>
          </w:rPr>
          <w:t>2.1.758</w:t>
        </w:r>
        <w:r>
          <w:rPr>
            <w:rFonts w:asciiTheme="minorHAnsi" w:eastAsiaTheme="minorEastAsia" w:hAnsiTheme="minorHAnsi" w:cstheme="minorBidi"/>
            <w:noProof/>
            <w:sz w:val="22"/>
            <w:szCs w:val="22"/>
          </w:rPr>
          <w:tab/>
        </w:r>
        <w:r w:rsidRPr="00CD0B56">
          <w:rPr>
            <w:rStyle w:val="Hyperlink"/>
            <w:noProof/>
          </w:rPr>
          <w:t>Part 1 Section 18.10.1.32, fieldUsage (PivotCache Field Id)</w:t>
        </w:r>
        <w:r>
          <w:rPr>
            <w:noProof/>
            <w:webHidden/>
          </w:rPr>
          <w:tab/>
        </w:r>
        <w:r>
          <w:rPr>
            <w:noProof/>
            <w:webHidden/>
          </w:rPr>
          <w:fldChar w:fldCharType="begin"/>
        </w:r>
        <w:r>
          <w:rPr>
            <w:noProof/>
            <w:webHidden/>
          </w:rPr>
          <w:instrText xml:space="preserve"> PAGEREF _Toc12260826 \h </w:instrText>
        </w:r>
        <w:r>
          <w:rPr>
            <w:noProof/>
            <w:webHidden/>
          </w:rPr>
        </w:r>
        <w:r>
          <w:rPr>
            <w:noProof/>
            <w:webHidden/>
          </w:rPr>
          <w:fldChar w:fldCharType="separate"/>
        </w:r>
        <w:r>
          <w:rPr>
            <w:noProof/>
            <w:webHidden/>
          </w:rPr>
          <w:t>334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27" w:history="1">
        <w:r w:rsidRPr="00CD0B56">
          <w:rPr>
            <w:rStyle w:val="Hyperlink"/>
            <w:noProof/>
          </w:rPr>
          <w:t>2.1.759</w:t>
        </w:r>
        <w:r>
          <w:rPr>
            <w:rFonts w:asciiTheme="minorHAnsi" w:eastAsiaTheme="minorEastAsia" w:hAnsiTheme="minorHAnsi" w:cstheme="minorBidi"/>
            <w:noProof/>
            <w:sz w:val="22"/>
            <w:szCs w:val="22"/>
          </w:rPr>
          <w:tab/>
        </w:r>
        <w:r w:rsidRPr="00CD0B56">
          <w:rPr>
            <w:rStyle w:val="Hyperlink"/>
            <w:noProof/>
          </w:rPr>
          <w:t>Part 1 Section 18.10.1.33, filter (PivotTable Advanced Filter)</w:t>
        </w:r>
        <w:r>
          <w:rPr>
            <w:noProof/>
            <w:webHidden/>
          </w:rPr>
          <w:tab/>
        </w:r>
        <w:r>
          <w:rPr>
            <w:noProof/>
            <w:webHidden/>
          </w:rPr>
          <w:fldChar w:fldCharType="begin"/>
        </w:r>
        <w:r>
          <w:rPr>
            <w:noProof/>
            <w:webHidden/>
          </w:rPr>
          <w:instrText xml:space="preserve"> PAGEREF _Toc12260827 \h </w:instrText>
        </w:r>
        <w:r>
          <w:rPr>
            <w:noProof/>
            <w:webHidden/>
          </w:rPr>
        </w:r>
        <w:r>
          <w:rPr>
            <w:noProof/>
            <w:webHidden/>
          </w:rPr>
          <w:fldChar w:fldCharType="separate"/>
        </w:r>
        <w:r>
          <w:rPr>
            <w:noProof/>
            <w:webHidden/>
          </w:rPr>
          <w:t>334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28" w:history="1">
        <w:r w:rsidRPr="00CD0B56">
          <w:rPr>
            <w:rStyle w:val="Hyperlink"/>
            <w:noProof/>
          </w:rPr>
          <w:t>2.1.760</w:t>
        </w:r>
        <w:r>
          <w:rPr>
            <w:rFonts w:asciiTheme="minorHAnsi" w:eastAsiaTheme="minorEastAsia" w:hAnsiTheme="minorHAnsi" w:cstheme="minorBidi"/>
            <w:noProof/>
            <w:sz w:val="22"/>
            <w:szCs w:val="22"/>
          </w:rPr>
          <w:tab/>
        </w:r>
        <w:r w:rsidRPr="00CD0B56">
          <w:rPr>
            <w:rStyle w:val="Hyperlink"/>
            <w:noProof/>
          </w:rPr>
          <w:t>Part 1 Section 18.10.1.35, format (PivotTable Format)</w:t>
        </w:r>
        <w:r>
          <w:rPr>
            <w:noProof/>
            <w:webHidden/>
          </w:rPr>
          <w:tab/>
        </w:r>
        <w:r>
          <w:rPr>
            <w:noProof/>
            <w:webHidden/>
          </w:rPr>
          <w:fldChar w:fldCharType="begin"/>
        </w:r>
        <w:r>
          <w:rPr>
            <w:noProof/>
            <w:webHidden/>
          </w:rPr>
          <w:instrText xml:space="preserve"> PAGEREF _Toc12260828 \h </w:instrText>
        </w:r>
        <w:r>
          <w:rPr>
            <w:noProof/>
            <w:webHidden/>
          </w:rPr>
        </w:r>
        <w:r>
          <w:rPr>
            <w:noProof/>
            <w:webHidden/>
          </w:rPr>
          <w:fldChar w:fldCharType="separate"/>
        </w:r>
        <w:r>
          <w:rPr>
            <w:noProof/>
            <w:webHidden/>
          </w:rPr>
          <w:t>334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29" w:history="1">
        <w:r w:rsidRPr="00CD0B56">
          <w:rPr>
            <w:rStyle w:val="Hyperlink"/>
            <w:noProof/>
          </w:rPr>
          <w:t>2.1.761</w:t>
        </w:r>
        <w:r>
          <w:rPr>
            <w:rFonts w:asciiTheme="minorHAnsi" w:eastAsiaTheme="minorEastAsia" w:hAnsiTheme="minorHAnsi" w:cstheme="minorBidi"/>
            <w:noProof/>
            <w:sz w:val="22"/>
            <w:szCs w:val="22"/>
          </w:rPr>
          <w:tab/>
        </w:r>
        <w:r w:rsidRPr="00CD0B56">
          <w:rPr>
            <w:rStyle w:val="Hyperlink"/>
            <w:noProof/>
          </w:rPr>
          <w:t>Part 1 Section 18.10.1.37, group (OLAP Group)</w:t>
        </w:r>
        <w:r>
          <w:rPr>
            <w:noProof/>
            <w:webHidden/>
          </w:rPr>
          <w:tab/>
        </w:r>
        <w:r>
          <w:rPr>
            <w:noProof/>
            <w:webHidden/>
          </w:rPr>
          <w:fldChar w:fldCharType="begin"/>
        </w:r>
        <w:r>
          <w:rPr>
            <w:noProof/>
            <w:webHidden/>
          </w:rPr>
          <w:instrText xml:space="preserve"> PAGEREF _Toc12260829 \h </w:instrText>
        </w:r>
        <w:r>
          <w:rPr>
            <w:noProof/>
            <w:webHidden/>
          </w:rPr>
        </w:r>
        <w:r>
          <w:rPr>
            <w:noProof/>
            <w:webHidden/>
          </w:rPr>
          <w:fldChar w:fldCharType="separate"/>
        </w:r>
        <w:r>
          <w:rPr>
            <w:noProof/>
            <w:webHidden/>
          </w:rPr>
          <w:t>334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30" w:history="1">
        <w:r w:rsidRPr="00CD0B56">
          <w:rPr>
            <w:rStyle w:val="Hyperlink"/>
            <w:noProof/>
          </w:rPr>
          <w:t>2.1.762</w:t>
        </w:r>
        <w:r>
          <w:rPr>
            <w:rFonts w:asciiTheme="minorHAnsi" w:eastAsiaTheme="minorEastAsia" w:hAnsiTheme="minorHAnsi" w:cstheme="minorBidi"/>
            <w:noProof/>
            <w:sz w:val="22"/>
            <w:szCs w:val="22"/>
          </w:rPr>
          <w:tab/>
        </w:r>
        <w:r w:rsidRPr="00CD0B56">
          <w:rPr>
            <w:rStyle w:val="Hyperlink"/>
            <w:noProof/>
          </w:rPr>
          <w:t>Part 1 Section 18.10.1.38, groupItems (OLAP Group Items)</w:t>
        </w:r>
        <w:r>
          <w:rPr>
            <w:noProof/>
            <w:webHidden/>
          </w:rPr>
          <w:tab/>
        </w:r>
        <w:r>
          <w:rPr>
            <w:noProof/>
            <w:webHidden/>
          </w:rPr>
          <w:fldChar w:fldCharType="begin"/>
        </w:r>
        <w:r>
          <w:rPr>
            <w:noProof/>
            <w:webHidden/>
          </w:rPr>
          <w:instrText xml:space="preserve"> PAGEREF _Toc12260830 \h </w:instrText>
        </w:r>
        <w:r>
          <w:rPr>
            <w:noProof/>
            <w:webHidden/>
          </w:rPr>
        </w:r>
        <w:r>
          <w:rPr>
            <w:noProof/>
            <w:webHidden/>
          </w:rPr>
          <w:fldChar w:fldCharType="separate"/>
        </w:r>
        <w:r>
          <w:rPr>
            <w:noProof/>
            <w:webHidden/>
          </w:rPr>
          <w:t>335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31" w:history="1">
        <w:r w:rsidRPr="00CD0B56">
          <w:rPr>
            <w:rStyle w:val="Hyperlink"/>
            <w:noProof/>
          </w:rPr>
          <w:t>2.1.763</w:t>
        </w:r>
        <w:r>
          <w:rPr>
            <w:rFonts w:asciiTheme="minorHAnsi" w:eastAsiaTheme="minorEastAsia" w:hAnsiTheme="minorHAnsi" w:cstheme="minorBidi"/>
            <w:noProof/>
            <w:sz w:val="22"/>
            <w:szCs w:val="22"/>
          </w:rPr>
          <w:tab/>
        </w:r>
        <w:r w:rsidRPr="00CD0B56">
          <w:rPr>
            <w:rStyle w:val="Hyperlink"/>
            <w:noProof/>
          </w:rPr>
          <w:t>Part 1 Section 18.10.1.39, groupLevel (OLAP Grouping Levels)</w:t>
        </w:r>
        <w:r>
          <w:rPr>
            <w:noProof/>
            <w:webHidden/>
          </w:rPr>
          <w:tab/>
        </w:r>
        <w:r>
          <w:rPr>
            <w:noProof/>
            <w:webHidden/>
          </w:rPr>
          <w:fldChar w:fldCharType="begin"/>
        </w:r>
        <w:r>
          <w:rPr>
            <w:noProof/>
            <w:webHidden/>
          </w:rPr>
          <w:instrText xml:space="preserve"> PAGEREF _Toc12260831 \h </w:instrText>
        </w:r>
        <w:r>
          <w:rPr>
            <w:noProof/>
            <w:webHidden/>
          </w:rPr>
        </w:r>
        <w:r>
          <w:rPr>
            <w:noProof/>
            <w:webHidden/>
          </w:rPr>
          <w:fldChar w:fldCharType="separate"/>
        </w:r>
        <w:r>
          <w:rPr>
            <w:noProof/>
            <w:webHidden/>
          </w:rPr>
          <w:t>335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32" w:history="1">
        <w:r w:rsidRPr="00CD0B56">
          <w:rPr>
            <w:rStyle w:val="Hyperlink"/>
            <w:noProof/>
          </w:rPr>
          <w:t>2.1.764</w:t>
        </w:r>
        <w:r>
          <w:rPr>
            <w:rFonts w:asciiTheme="minorHAnsi" w:eastAsiaTheme="minorEastAsia" w:hAnsiTheme="minorHAnsi" w:cstheme="minorBidi"/>
            <w:noProof/>
            <w:sz w:val="22"/>
            <w:szCs w:val="22"/>
          </w:rPr>
          <w:tab/>
        </w:r>
        <w:r w:rsidRPr="00CD0B56">
          <w:rPr>
            <w:rStyle w:val="Hyperlink"/>
            <w:noProof/>
          </w:rPr>
          <w:t>Part 1 Section 18.10.1.41, groupMember (OLAP Group Member)</w:t>
        </w:r>
        <w:r>
          <w:rPr>
            <w:noProof/>
            <w:webHidden/>
          </w:rPr>
          <w:tab/>
        </w:r>
        <w:r>
          <w:rPr>
            <w:noProof/>
            <w:webHidden/>
          </w:rPr>
          <w:fldChar w:fldCharType="begin"/>
        </w:r>
        <w:r>
          <w:rPr>
            <w:noProof/>
            <w:webHidden/>
          </w:rPr>
          <w:instrText xml:space="preserve"> PAGEREF _Toc12260832 \h </w:instrText>
        </w:r>
        <w:r>
          <w:rPr>
            <w:noProof/>
            <w:webHidden/>
          </w:rPr>
        </w:r>
        <w:r>
          <w:rPr>
            <w:noProof/>
            <w:webHidden/>
          </w:rPr>
          <w:fldChar w:fldCharType="separate"/>
        </w:r>
        <w:r>
          <w:rPr>
            <w:noProof/>
            <w:webHidden/>
          </w:rPr>
          <w:t>335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33" w:history="1">
        <w:r w:rsidRPr="00CD0B56">
          <w:rPr>
            <w:rStyle w:val="Hyperlink"/>
            <w:noProof/>
          </w:rPr>
          <w:t>2.1.765</w:t>
        </w:r>
        <w:r>
          <w:rPr>
            <w:rFonts w:asciiTheme="minorHAnsi" w:eastAsiaTheme="minorEastAsia" w:hAnsiTheme="minorHAnsi" w:cstheme="minorBidi"/>
            <w:noProof/>
            <w:sz w:val="22"/>
            <w:szCs w:val="22"/>
          </w:rPr>
          <w:tab/>
        </w:r>
        <w:r w:rsidRPr="00CD0B56">
          <w:rPr>
            <w:rStyle w:val="Hyperlink"/>
            <w:noProof/>
          </w:rPr>
          <w:t>Part 1 Section 18.10.1.44, i (Row Items)</w:t>
        </w:r>
        <w:r>
          <w:rPr>
            <w:noProof/>
            <w:webHidden/>
          </w:rPr>
          <w:tab/>
        </w:r>
        <w:r>
          <w:rPr>
            <w:noProof/>
            <w:webHidden/>
          </w:rPr>
          <w:fldChar w:fldCharType="begin"/>
        </w:r>
        <w:r>
          <w:rPr>
            <w:noProof/>
            <w:webHidden/>
          </w:rPr>
          <w:instrText xml:space="preserve"> PAGEREF _Toc12260833 \h </w:instrText>
        </w:r>
        <w:r>
          <w:rPr>
            <w:noProof/>
            <w:webHidden/>
          </w:rPr>
        </w:r>
        <w:r>
          <w:rPr>
            <w:noProof/>
            <w:webHidden/>
          </w:rPr>
          <w:fldChar w:fldCharType="separate"/>
        </w:r>
        <w:r>
          <w:rPr>
            <w:noProof/>
            <w:webHidden/>
          </w:rPr>
          <w:t>335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34" w:history="1">
        <w:r w:rsidRPr="00CD0B56">
          <w:rPr>
            <w:rStyle w:val="Hyperlink"/>
            <w:noProof/>
          </w:rPr>
          <w:t>2.1.766</w:t>
        </w:r>
        <w:r>
          <w:rPr>
            <w:rFonts w:asciiTheme="minorHAnsi" w:eastAsiaTheme="minorEastAsia" w:hAnsiTheme="minorHAnsi" w:cstheme="minorBidi"/>
            <w:noProof/>
            <w:sz w:val="22"/>
            <w:szCs w:val="22"/>
          </w:rPr>
          <w:tab/>
        </w:r>
        <w:r w:rsidRPr="00CD0B56">
          <w:rPr>
            <w:rStyle w:val="Hyperlink"/>
            <w:noProof/>
          </w:rPr>
          <w:t>Part 1 Section 18.10.1.45, item (PivotTable Field Item)</w:t>
        </w:r>
        <w:r>
          <w:rPr>
            <w:noProof/>
            <w:webHidden/>
          </w:rPr>
          <w:tab/>
        </w:r>
        <w:r>
          <w:rPr>
            <w:noProof/>
            <w:webHidden/>
          </w:rPr>
          <w:fldChar w:fldCharType="begin"/>
        </w:r>
        <w:r>
          <w:rPr>
            <w:noProof/>
            <w:webHidden/>
          </w:rPr>
          <w:instrText xml:space="preserve"> PAGEREF _Toc12260834 \h </w:instrText>
        </w:r>
        <w:r>
          <w:rPr>
            <w:noProof/>
            <w:webHidden/>
          </w:rPr>
        </w:r>
        <w:r>
          <w:rPr>
            <w:noProof/>
            <w:webHidden/>
          </w:rPr>
          <w:fldChar w:fldCharType="separate"/>
        </w:r>
        <w:r>
          <w:rPr>
            <w:noProof/>
            <w:webHidden/>
          </w:rPr>
          <w:t>336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35" w:history="1">
        <w:r w:rsidRPr="00CD0B56">
          <w:rPr>
            <w:rStyle w:val="Hyperlink"/>
            <w:noProof/>
          </w:rPr>
          <w:t>2.1.767</w:t>
        </w:r>
        <w:r>
          <w:rPr>
            <w:rFonts w:asciiTheme="minorHAnsi" w:eastAsiaTheme="minorEastAsia" w:hAnsiTheme="minorHAnsi" w:cstheme="minorBidi"/>
            <w:noProof/>
            <w:sz w:val="22"/>
            <w:szCs w:val="22"/>
          </w:rPr>
          <w:tab/>
        </w:r>
        <w:r w:rsidRPr="00CD0B56">
          <w:rPr>
            <w:rStyle w:val="Hyperlink"/>
            <w:noProof/>
          </w:rPr>
          <w:t>Part 1 Section 18.10.1.46, items (Field Items)</w:t>
        </w:r>
        <w:r>
          <w:rPr>
            <w:noProof/>
            <w:webHidden/>
          </w:rPr>
          <w:tab/>
        </w:r>
        <w:r>
          <w:rPr>
            <w:noProof/>
            <w:webHidden/>
          </w:rPr>
          <w:fldChar w:fldCharType="begin"/>
        </w:r>
        <w:r>
          <w:rPr>
            <w:noProof/>
            <w:webHidden/>
          </w:rPr>
          <w:instrText xml:space="preserve"> PAGEREF _Toc12260835 \h </w:instrText>
        </w:r>
        <w:r>
          <w:rPr>
            <w:noProof/>
            <w:webHidden/>
          </w:rPr>
        </w:r>
        <w:r>
          <w:rPr>
            <w:noProof/>
            <w:webHidden/>
          </w:rPr>
          <w:fldChar w:fldCharType="separate"/>
        </w:r>
        <w:r>
          <w:rPr>
            <w:noProof/>
            <w:webHidden/>
          </w:rPr>
          <w:t>337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36" w:history="1">
        <w:r w:rsidRPr="00CD0B56">
          <w:rPr>
            <w:rStyle w:val="Hyperlink"/>
            <w:noProof/>
          </w:rPr>
          <w:t>2.1.768</w:t>
        </w:r>
        <w:r>
          <w:rPr>
            <w:rFonts w:asciiTheme="minorHAnsi" w:eastAsiaTheme="minorEastAsia" w:hAnsiTheme="minorHAnsi" w:cstheme="minorBidi"/>
            <w:noProof/>
            <w:sz w:val="22"/>
            <w:szCs w:val="22"/>
          </w:rPr>
          <w:tab/>
        </w:r>
        <w:r w:rsidRPr="00CD0B56">
          <w:rPr>
            <w:rStyle w:val="Hyperlink"/>
            <w:noProof/>
          </w:rPr>
          <w:t>Part 1 Section 18.10.1.47, kpi (OLAP KPI)</w:t>
        </w:r>
        <w:r>
          <w:rPr>
            <w:noProof/>
            <w:webHidden/>
          </w:rPr>
          <w:tab/>
        </w:r>
        <w:r>
          <w:rPr>
            <w:noProof/>
            <w:webHidden/>
          </w:rPr>
          <w:fldChar w:fldCharType="begin"/>
        </w:r>
        <w:r>
          <w:rPr>
            <w:noProof/>
            <w:webHidden/>
          </w:rPr>
          <w:instrText xml:space="preserve"> PAGEREF _Toc12260836 \h </w:instrText>
        </w:r>
        <w:r>
          <w:rPr>
            <w:noProof/>
            <w:webHidden/>
          </w:rPr>
        </w:r>
        <w:r>
          <w:rPr>
            <w:noProof/>
            <w:webHidden/>
          </w:rPr>
          <w:fldChar w:fldCharType="separate"/>
        </w:r>
        <w:r>
          <w:rPr>
            <w:noProof/>
            <w:webHidden/>
          </w:rPr>
          <w:t>337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37" w:history="1">
        <w:r w:rsidRPr="00CD0B56">
          <w:rPr>
            <w:rStyle w:val="Hyperlink"/>
            <w:noProof/>
          </w:rPr>
          <w:t>2.1.769</w:t>
        </w:r>
        <w:r>
          <w:rPr>
            <w:rFonts w:asciiTheme="minorHAnsi" w:eastAsiaTheme="minorEastAsia" w:hAnsiTheme="minorHAnsi" w:cstheme="minorBidi"/>
            <w:noProof/>
            <w:sz w:val="22"/>
            <w:szCs w:val="22"/>
          </w:rPr>
          <w:tab/>
        </w:r>
        <w:r w:rsidRPr="00CD0B56">
          <w:rPr>
            <w:rStyle w:val="Hyperlink"/>
            <w:noProof/>
          </w:rPr>
          <w:t>Part 1 Section 18.10.1.49, location (PivotTable Location)</w:t>
        </w:r>
        <w:r>
          <w:rPr>
            <w:noProof/>
            <w:webHidden/>
          </w:rPr>
          <w:tab/>
        </w:r>
        <w:r>
          <w:rPr>
            <w:noProof/>
            <w:webHidden/>
          </w:rPr>
          <w:fldChar w:fldCharType="begin"/>
        </w:r>
        <w:r>
          <w:rPr>
            <w:noProof/>
            <w:webHidden/>
          </w:rPr>
          <w:instrText xml:space="preserve"> PAGEREF _Toc12260837 \h </w:instrText>
        </w:r>
        <w:r>
          <w:rPr>
            <w:noProof/>
            <w:webHidden/>
          </w:rPr>
        </w:r>
        <w:r>
          <w:rPr>
            <w:noProof/>
            <w:webHidden/>
          </w:rPr>
          <w:fldChar w:fldCharType="separate"/>
        </w:r>
        <w:r>
          <w:rPr>
            <w:noProof/>
            <w:webHidden/>
          </w:rPr>
          <w:t>339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38" w:history="1">
        <w:r w:rsidRPr="00CD0B56">
          <w:rPr>
            <w:rStyle w:val="Hyperlink"/>
            <w:noProof/>
          </w:rPr>
          <w:t>2.1.770</w:t>
        </w:r>
        <w:r>
          <w:rPr>
            <w:rFonts w:asciiTheme="minorHAnsi" w:eastAsiaTheme="minorEastAsia" w:hAnsiTheme="minorHAnsi" w:cstheme="minorBidi"/>
            <w:noProof/>
            <w:sz w:val="22"/>
            <w:szCs w:val="22"/>
          </w:rPr>
          <w:tab/>
        </w:r>
        <w:r w:rsidRPr="00CD0B56">
          <w:rPr>
            <w:rStyle w:val="Hyperlink"/>
            <w:noProof/>
          </w:rPr>
          <w:t>Part 1 Section 18.10.1.50, m (No Value)</w:t>
        </w:r>
        <w:r>
          <w:rPr>
            <w:noProof/>
            <w:webHidden/>
          </w:rPr>
          <w:tab/>
        </w:r>
        <w:r>
          <w:rPr>
            <w:noProof/>
            <w:webHidden/>
          </w:rPr>
          <w:fldChar w:fldCharType="begin"/>
        </w:r>
        <w:r>
          <w:rPr>
            <w:noProof/>
            <w:webHidden/>
          </w:rPr>
          <w:instrText xml:space="preserve"> PAGEREF _Toc12260838 \h </w:instrText>
        </w:r>
        <w:r>
          <w:rPr>
            <w:noProof/>
            <w:webHidden/>
          </w:rPr>
        </w:r>
        <w:r>
          <w:rPr>
            <w:noProof/>
            <w:webHidden/>
          </w:rPr>
          <w:fldChar w:fldCharType="separate"/>
        </w:r>
        <w:r>
          <w:rPr>
            <w:noProof/>
            <w:webHidden/>
          </w:rPr>
          <w:t>339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39" w:history="1">
        <w:r w:rsidRPr="00CD0B56">
          <w:rPr>
            <w:rStyle w:val="Hyperlink"/>
            <w:noProof/>
          </w:rPr>
          <w:t>2.1.771</w:t>
        </w:r>
        <w:r>
          <w:rPr>
            <w:rFonts w:asciiTheme="minorHAnsi" w:eastAsiaTheme="minorEastAsia" w:hAnsiTheme="minorHAnsi" w:cstheme="minorBidi"/>
            <w:noProof/>
            <w:sz w:val="22"/>
            <w:szCs w:val="22"/>
          </w:rPr>
          <w:tab/>
        </w:r>
        <w:r w:rsidRPr="00CD0B56">
          <w:rPr>
            <w:rStyle w:val="Hyperlink"/>
            <w:noProof/>
          </w:rPr>
          <w:t>Part 1 Section 18.10.1.51, map (OLAP Measure Group)</w:t>
        </w:r>
        <w:r>
          <w:rPr>
            <w:noProof/>
            <w:webHidden/>
          </w:rPr>
          <w:tab/>
        </w:r>
        <w:r>
          <w:rPr>
            <w:noProof/>
            <w:webHidden/>
          </w:rPr>
          <w:fldChar w:fldCharType="begin"/>
        </w:r>
        <w:r>
          <w:rPr>
            <w:noProof/>
            <w:webHidden/>
          </w:rPr>
          <w:instrText xml:space="preserve"> PAGEREF _Toc12260839 \h </w:instrText>
        </w:r>
        <w:r>
          <w:rPr>
            <w:noProof/>
            <w:webHidden/>
          </w:rPr>
        </w:r>
        <w:r>
          <w:rPr>
            <w:noProof/>
            <w:webHidden/>
          </w:rPr>
          <w:fldChar w:fldCharType="separate"/>
        </w:r>
        <w:r>
          <w:rPr>
            <w:noProof/>
            <w:webHidden/>
          </w:rPr>
          <w:t>340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40" w:history="1">
        <w:r w:rsidRPr="00CD0B56">
          <w:rPr>
            <w:rStyle w:val="Hyperlink"/>
            <w:noProof/>
          </w:rPr>
          <w:t>2.1.772</w:t>
        </w:r>
        <w:r>
          <w:rPr>
            <w:rFonts w:asciiTheme="minorHAnsi" w:eastAsiaTheme="minorEastAsia" w:hAnsiTheme="minorHAnsi" w:cstheme="minorBidi"/>
            <w:noProof/>
            <w:sz w:val="22"/>
            <w:szCs w:val="22"/>
          </w:rPr>
          <w:tab/>
        </w:r>
        <w:r w:rsidRPr="00CD0B56">
          <w:rPr>
            <w:rStyle w:val="Hyperlink"/>
            <w:noProof/>
          </w:rPr>
          <w:t>Part 1 Section 18.10.1.53, measureGroup (OLAP Measure Group)</w:t>
        </w:r>
        <w:r>
          <w:rPr>
            <w:noProof/>
            <w:webHidden/>
          </w:rPr>
          <w:tab/>
        </w:r>
        <w:r>
          <w:rPr>
            <w:noProof/>
            <w:webHidden/>
          </w:rPr>
          <w:fldChar w:fldCharType="begin"/>
        </w:r>
        <w:r>
          <w:rPr>
            <w:noProof/>
            <w:webHidden/>
          </w:rPr>
          <w:instrText xml:space="preserve"> PAGEREF _Toc12260840 \h </w:instrText>
        </w:r>
        <w:r>
          <w:rPr>
            <w:noProof/>
            <w:webHidden/>
          </w:rPr>
        </w:r>
        <w:r>
          <w:rPr>
            <w:noProof/>
            <w:webHidden/>
          </w:rPr>
          <w:fldChar w:fldCharType="separate"/>
        </w:r>
        <w:r>
          <w:rPr>
            <w:noProof/>
            <w:webHidden/>
          </w:rPr>
          <w:t>340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41" w:history="1">
        <w:r w:rsidRPr="00CD0B56">
          <w:rPr>
            <w:rStyle w:val="Hyperlink"/>
            <w:noProof/>
          </w:rPr>
          <w:t>2.1.773</w:t>
        </w:r>
        <w:r>
          <w:rPr>
            <w:rFonts w:asciiTheme="minorHAnsi" w:eastAsiaTheme="minorEastAsia" w:hAnsiTheme="minorHAnsi" w:cstheme="minorBidi"/>
            <w:noProof/>
            <w:sz w:val="22"/>
            <w:szCs w:val="22"/>
          </w:rPr>
          <w:tab/>
        </w:r>
        <w:r w:rsidRPr="00CD0B56">
          <w:rPr>
            <w:rStyle w:val="Hyperlink"/>
            <w:noProof/>
          </w:rPr>
          <w:t>Part 1 Section 18.10.1.55, member (Member)</w:t>
        </w:r>
        <w:r>
          <w:rPr>
            <w:noProof/>
            <w:webHidden/>
          </w:rPr>
          <w:tab/>
        </w:r>
        <w:r>
          <w:rPr>
            <w:noProof/>
            <w:webHidden/>
          </w:rPr>
          <w:fldChar w:fldCharType="begin"/>
        </w:r>
        <w:r>
          <w:rPr>
            <w:noProof/>
            <w:webHidden/>
          </w:rPr>
          <w:instrText xml:space="preserve"> PAGEREF _Toc12260841 \h </w:instrText>
        </w:r>
        <w:r>
          <w:rPr>
            <w:noProof/>
            <w:webHidden/>
          </w:rPr>
        </w:r>
        <w:r>
          <w:rPr>
            <w:noProof/>
            <w:webHidden/>
          </w:rPr>
          <w:fldChar w:fldCharType="separate"/>
        </w:r>
        <w:r>
          <w:rPr>
            <w:noProof/>
            <w:webHidden/>
          </w:rPr>
          <w:t>340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42" w:history="1">
        <w:r w:rsidRPr="00CD0B56">
          <w:rPr>
            <w:rStyle w:val="Hyperlink"/>
            <w:noProof/>
          </w:rPr>
          <w:t>2.1.774</w:t>
        </w:r>
        <w:r>
          <w:rPr>
            <w:rFonts w:asciiTheme="minorHAnsi" w:eastAsiaTheme="minorEastAsia" w:hAnsiTheme="minorHAnsi" w:cstheme="minorBidi"/>
            <w:noProof/>
            <w:sz w:val="22"/>
            <w:szCs w:val="22"/>
          </w:rPr>
          <w:tab/>
        </w:r>
        <w:r w:rsidRPr="00CD0B56">
          <w:rPr>
            <w:rStyle w:val="Hyperlink"/>
            <w:noProof/>
          </w:rPr>
          <w:t>Part 1 Section 18.10.1.56, members (Members)</w:t>
        </w:r>
        <w:r>
          <w:rPr>
            <w:noProof/>
            <w:webHidden/>
          </w:rPr>
          <w:tab/>
        </w:r>
        <w:r>
          <w:rPr>
            <w:noProof/>
            <w:webHidden/>
          </w:rPr>
          <w:fldChar w:fldCharType="begin"/>
        </w:r>
        <w:r>
          <w:rPr>
            <w:noProof/>
            <w:webHidden/>
          </w:rPr>
          <w:instrText xml:space="preserve"> PAGEREF _Toc12260842 \h </w:instrText>
        </w:r>
        <w:r>
          <w:rPr>
            <w:noProof/>
            <w:webHidden/>
          </w:rPr>
        </w:r>
        <w:r>
          <w:rPr>
            <w:noProof/>
            <w:webHidden/>
          </w:rPr>
          <w:fldChar w:fldCharType="separate"/>
        </w:r>
        <w:r>
          <w:rPr>
            <w:noProof/>
            <w:webHidden/>
          </w:rPr>
          <w:t>341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43" w:history="1">
        <w:r w:rsidRPr="00CD0B56">
          <w:rPr>
            <w:rStyle w:val="Hyperlink"/>
            <w:noProof/>
          </w:rPr>
          <w:t>2.1.775</w:t>
        </w:r>
        <w:r>
          <w:rPr>
            <w:rFonts w:asciiTheme="minorHAnsi" w:eastAsiaTheme="minorEastAsia" w:hAnsiTheme="minorHAnsi" w:cstheme="minorBidi"/>
            <w:noProof/>
            <w:sz w:val="22"/>
            <w:szCs w:val="22"/>
          </w:rPr>
          <w:tab/>
        </w:r>
        <w:r w:rsidRPr="00CD0B56">
          <w:rPr>
            <w:rStyle w:val="Hyperlink"/>
            <w:noProof/>
          </w:rPr>
          <w:t>Part 1 Section 18.10.1.57, mp (OLAP Member Property)</w:t>
        </w:r>
        <w:r>
          <w:rPr>
            <w:noProof/>
            <w:webHidden/>
          </w:rPr>
          <w:tab/>
        </w:r>
        <w:r>
          <w:rPr>
            <w:noProof/>
            <w:webHidden/>
          </w:rPr>
          <w:fldChar w:fldCharType="begin"/>
        </w:r>
        <w:r>
          <w:rPr>
            <w:noProof/>
            <w:webHidden/>
          </w:rPr>
          <w:instrText xml:space="preserve"> PAGEREF _Toc12260843 \h </w:instrText>
        </w:r>
        <w:r>
          <w:rPr>
            <w:noProof/>
            <w:webHidden/>
          </w:rPr>
        </w:r>
        <w:r>
          <w:rPr>
            <w:noProof/>
            <w:webHidden/>
          </w:rPr>
          <w:fldChar w:fldCharType="separate"/>
        </w:r>
        <w:r>
          <w:rPr>
            <w:noProof/>
            <w:webHidden/>
          </w:rPr>
          <w:t>341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44" w:history="1">
        <w:r w:rsidRPr="00CD0B56">
          <w:rPr>
            <w:rStyle w:val="Hyperlink"/>
            <w:noProof/>
          </w:rPr>
          <w:t>2.1.776</w:t>
        </w:r>
        <w:r>
          <w:rPr>
            <w:rFonts w:asciiTheme="minorHAnsi" w:eastAsiaTheme="minorEastAsia" w:hAnsiTheme="minorHAnsi" w:cstheme="minorBidi"/>
            <w:noProof/>
            <w:sz w:val="22"/>
            <w:szCs w:val="22"/>
          </w:rPr>
          <w:tab/>
        </w:r>
        <w:r w:rsidRPr="00CD0B56">
          <w:rPr>
            <w:rStyle w:val="Hyperlink"/>
            <w:noProof/>
          </w:rPr>
          <w:t>Part 1 Section 18.10.1.58, mpMap (Member Properties Map)</w:t>
        </w:r>
        <w:r>
          <w:rPr>
            <w:noProof/>
            <w:webHidden/>
          </w:rPr>
          <w:tab/>
        </w:r>
        <w:r>
          <w:rPr>
            <w:noProof/>
            <w:webHidden/>
          </w:rPr>
          <w:fldChar w:fldCharType="begin"/>
        </w:r>
        <w:r>
          <w:rPr>
            <w:noProof/>
            <w:webHidden/>
          </w:rPr>
          <w:instrText xml:space="preserve"> PAGEREF _Toc12260844 \h </w:instrText>
        </w:r>
        <w:r>
          <w:rPr>
            <w:noProof/>
            <w:webHidden/>
          </w:rPr>
        </w:r>
        <w:r>
          <w:rPr>
            <w:noProof/>
            <w:webHidden/>
          </w:rPr>
          <w:fldChar w:fldCharType="separate"/>
        </w:r>
        <w:r>
          <w:rPr>
            <w:noProof/>
            <w:webHidden/>
          </w:rPr>
          <w:t>342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45" w:history="1">
        <w:r w:rsidRPr="00CD0B56">
          <w:rPr>
            <w:rStyle w:val="Hyperlink"/>
            <w:noProof/>
          </w:rPr>
          <w:t>2.1.777</w:t>
        </w:r>
        <w:r>
          <w:rPr>
            <w:rFonts w:asciiTheme="minorHAnsi" w:eastAsiaTheme="minorEastAsia" w:hAnsiTheme="minorHAnsi" w:cstheme="minorBidi"/>
            <w:noProof/>
            <w:sz w:val="22"/>
            <w:szCs w:val="22"/>
          </w:rPr>
          <w:tab/>
        </w:r>
        <w:r w:rsidRPr="00CD0B56">
          <w:rPr>
            <w:rStyle w:val="Hyperlink"/>
            <w:noProof/>
          </w:rPr>
          <w:t>Part 1 Section 18.10.1.60, n (Numeric)</w:t>
        </w:r>
        <w:r>
          <w:rPr>
            <w:noProof/>
            <w:webHidden/>
          </w:rPr>
          <w:tab/>
        </w:r>
        <w:r>
          <w:rPr>
            <w:noProof/>
            <w:webHidden/>
          </w:rPr>
          <w:fldChar w:fldCharType="begin"/>
        </w:r>
        <w:r>
          <w:rPr>
            <w:noProof/>
            <w:webHidden/>
          </w:rPr>
          <w:instrText xml:space="preserve"> PAGEREF _Toc12260845 \h </w:instrText>
        </w:r>
        <w:r>
          <w:rPr>
            <w:noProof/>
            <w:webHidden/>
          </w:rPr>
        </w:r>
        <w:r>
          <w:rPr>
            <w:noProof/>
            <w:webHidden/>
          </w:rPr>
          <w:fldChar w:fldCharType="separate"/>
        </w:r>
        <w:r>
          <w:rPr>
            <w:noProof/>
            <w:webHidden/>
          </w:rPr>
          <w:t>342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46" w:history="1">
        <w:r w:rsidRPr="00CD0B56">
          <w:rPr>
            <w:rStyle w:val="Hyperlink"/>
            <w:noProof/>
          </w:rPr>
          <w:t>2.1.778</w:t>
        </w:r>
        <w:r>
          <w:rPr>
            <w:rFonts w:asciiTheme="minorHAnsi" w:eastAsiaTheme="minorEastAsia" w:hAnsiTheme="minorHAnsi" w:cstheme="minorBidi"/>
            <w:noProof/>
            <w:sz w:val="22"/>
            <w:szCs w:val="22"/>
          </w:rPr>
          <w:tab/>
        </w:r>
        <w:r w:rsidRPr="00CD0B56">
          <w:rPr>
            <w:rStyle w:val="Hyperlink"/>
            <w:noProof/>
          </w:rPr>
          <w:t>Part 1 Section 18.10.1.62, pageField (Page Field)</w:t>
        </w:r>
        <w:r>
          <w:rPr>
            <w:noProof/>
            <w:webHidden/>
          </w:rPr>
          <w:tab/>
        </w:r>
        <w:r>
          <w:rPr>
            <w:noProof/>
            <w:webHidden/>
          </w:rPr>
          <w:fldChar w:fldCharType="begin"/>
        </w:r>
        <w:r>
          <w:rPr>
            <w:noProof/>
            <w:webHidden/>
          </w:rPr>
          <w:instrText xml:space="preserve"> PAGEREF _Toc12260846 \h </w:instrText>
        </w:r>
        <w:r>
          <w:rPr>
            <w:noProof/>
            <w:webHidden/>
          </w:rPr>
        </w:r>
        <w:r>
          <w:rPr>
            <w:noProof/>
            <w:webHidden/>
          </w:rPr>
          <w:fldChar w:fldCharType="separate"/>
        </w:r>
        <w:r>
          <w:rPr>
            <w:noProof/>
            <w:webHidden/>
          </w:rPr>
          <w:t>343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47" w:history="1">
        <w:r w:rsidRPr="00CD0B56">
          <w:rPr>
            <w:rStyle w:val="Hyperlink"/>
            <w:noProof/>
          </w:rPr>
          <w:t>2.1.779</w:t>
        </w:r>
        <w:r>
          <w:rPr>
            <w:rFonts w:asciiTheme="minorHAnsi" w:eastAsiaTheme="minorEastAsia" w:hAnsiTheme="minorHAnsi" w:cstheme="minorBidi"/>
            <w:noProof/>
            <w:sz w:val="22"/>
            <w:szCs w:val="22"/>
          </w:rPr>
          <w:tab/>
        </w:r>
        <w:r w:rsidRPr="00CD0B56">
          <w:rPr>
            <w:rStyle w:val="Hyperlink"/>
            <w:noProof/>
          </w:rPr>
          <w:t>Part 1 Section 18.10.1.63, pageFields (Page Field Items)</w:t>
        </w:r>
        <w:r>
          <w:rPr>
            <w:noProof/>
            <w:webHidden/>
          </w:rPr>
          <w:tab/>
        </w:r>
        <w:r>
          <w:rPr>
            <w:noProof/>
            <w:webHidden/>
          </w:rPr>
          <w:fldChar w:fldCharType="begin"/>
        </w:r>
        <w:r>
          <w:rPr>
            <w:noProof/>
            <w:webHidden/>
          </w:rPr>
          <w:instrText xml:space="preserve"> PAGEREF _Toc12260847 \h </w:instrText>
        </w:r>
        <w:r>
          <w:rPr>
            <w:noProof/>
            <w:webHidden/>
          </w:rPr>
        </w:r>
        <w:r>
          <w:rPr>
            <w:noProof/>
            <w:webHidden/>
          </w:rPr>
          <w:fldChar w:fldCharType="separate"/>
        </w:r>
        <w:r>
          <w:rPr>
            <w:noProof/>
            <w:webHidden/>
          </w:rPr>
          <w:t>344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48" w:history="1">
        <w:r w:rsidRPr="00CD0B56">
          <w:rPr>
            <w:rStyle w:val="Hyperlink"/>
            <w:noProof/>
          </w:rPr>
          <w:t>2.1.780</w:t>
        </w:r>
        <w:r>
          <w:rPr>
            <w:rFonts w:asciiTheme="minorHAnsi" w:eastAsiaTheme="minorEastAsia" w:hAnsiTheme="minorHAnsi" w:cstheme="minorBidi"/>
            <w:noProof/>
            <w:sz w:val="22"/>
            <w:szCs w:val="22"/>
          </w:rPr>
          <w:tab/>
        </w:r>
        <w:r w:rsidRPr="00CD0B56">
          <w:rPr>
            <w:rStyle w:val="Hyperlink"/>
            <w:noProof/>
          </w:rPr>
          <w:t>Part 1 Section 18.10.1.64, pageItem (Page Item)</w:t>
        </w:r>
        <w:r>
          <w:rPr>
            <w:noProof/>
            <w:webHidden/>
          </w:rPr>
          <w:tab/>
        </w:r>
        <w:r>
          <w:rPr>
            <w:noProof/>
            <w:webHidden/>
          </w:rPr>
          <w:fldChar w:fldCharType="begin"/>
        </w:r>
        <w:r>
          <w:rPr>
            <w:noProof/>
            <w:webHidden/>
          </w:rPr>
          <w:instrText xml:space="preserve"> PAGEREF _Toc12260848 \h </w:instrText>
        </w:r>
        <w:r>
          <w:rPr>
            <w:noProof/>
            <w:webHidden/>
          </w:rPr>
        </w:r>
        <w:r>
          <w:rPr>
            <w:noProof/>
            <w:webHidden/>
          </w:rPr>
          <w:fldChar w:fldCharType="separate"/>
        </w:r>
        <w:r>
          <w:rPr>
            <w:noProof/>
            <w:webHidden/>
          </w:rPr>
          <w:t>344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49" w:history="1">
        <w:r w:rsidRPr="00CD0B56">
          <w:rPr>
            <w:rStyle w:val="Hyperlink"/>
            <w:noProof/>
          </w:rPr>
          <w:t>2.1.781</w:t>
        </w:r>
        <w:r>
          <w:rPr>
            <w:rFonts w:asciiTheme="minorHAnsi" w:eastAsiaTheme="minorEastAsia" w:hAnsiTheme="minorHAnsi" w:cstheme="minorBidi"/>
            <w:noProof/>
            <w:sz w:val="22"/>
            <w:szCs w:val="22"/>
          </w:rPr>
          <w:tab/>
        </w:r>
        <w:r w:rsidRPr="00CD0B56">
          <w:rPr>
            <w:rStyle w:val="Hyperlink"/>
            <w:noProof/>
          </w:rPr>
          <w:t>Part 1 Section 18.10.1.67, pivotCacheDefinition (PivotCache Definition)</w:t>
        </w:r>
        <w:r>
          <w:rPr>
            <w:noProof/>
            <w:webHidden/>
          </w:rPr>
          <w:tab/>
        </w:r>
        <w:r>
          <w:rPr>
            <w:noProof/>
            <w:webHidden/>
          </w:rPr>
          <w:fldChar w:fldCharType="begin"/>
        </w:r>
        <w:r>
          <w:rPr>
            <w:noProof/>
            <w:webHidden/>
          </w:rPr>
          <w:instrText xml:space="preserve"> PAGEREF _Toc12260849 \h </w:instrText>
        </w:r>
        <w:r>
          <w:rPr>
            <w:noProof/>
            <w:webHidden/>
          </w:rPr>
        </w:r>
        <w:r>
          <w:rPr>
            <w:noProof/>
            <w:webHidden/>
          </w:rPr>
          <w:fldChar w:fldCharType="separate"/>
        </w:r>
        <w:r>
          <w:rPr>
            <w:noProof/>
            <w:webHidden/>
          </w:rPr>
          <w:t>344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50" w:history="1">
        <w:r w:rsidRPr="00CD0B56">
          <w:rPr>
            <w:rStyle w:val="Hyperlink"/>
            <w:noProof/>
          </w:rPr>
          <w:t>2.1.782</w:t>
        </w:r>
        <w:r>
          <w:rPr>
            <w:rFonts w:asciiTheme="minorHAnsi" w:eastAsiaTheme="minorEastAsia" w:hAnsiTheme="minorHAnsi" w:cstheme="minorBidi"/>
            <w:noProof/>
            <w:sz w:val="22"/>
            <w:szCs w:val="22"/>
          </w:rPr>
          <w:tab/>
        </w:r>
        <w:r w:rsidRPr="00CD0B56">
          <w:rPr>
            <w:rStyle w:val="Hyperlink"/>
            <w:noProof/>
          </w:rPr>
          <w:t>Part 1 Section 18.10.1.69, pivotField (PivotTable Field)</w:t>
        </w:r>
        <w:r>
          <w:rPr>
            <w:noProof/>
            <w:webHidden/>
          </w:rPr>
          <w:tab/>
        </w:r>
        <w:r>
          <w:rPr>
            <w:noProof/>
            <w:webHidden/>
          </w:rPr>
          <w:fldChar w:fldCharType="begin"/>
        </w:r>
        <w:r>
          <w:rPr>
            <w:noProof/>
            <w:webHidden/>
          </w:rPr>
          <w:instrText xml:space="preserve"> PAGEREF _Toc12260850 \h </w:instrText>
        </w:r>
        <w:r>
          <w:rPr>
            <w:noProof/>
            <w:webHidden/>
          </w:rPr>
        </w:r>
        <w:r>
          <w:rPr>
            <w:noProof/>
            <w:webHidden/>
          </w:rPr>
          <w:fldChar w:fldCharType="separate"/>
        </w:r>
        <w:r>
          <w:rPr>
            <w:noProof/>
            <w:webHidden/>
          </w:rPr>
          <w:t>345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51" w:history="1">
        <w:r w:rsidRPr="00CD0B56">
          <w:rPr>
            <w:rStyle w:val="Hyperlink"/>
            <w:noProof/>
          </w:rPr>
          <w:t>2.1.783</w:t>
        </w:r>
        <w:r>
          <w:rPr>
            <w:rFonts w:asciiTheme="minorHAnsi" w:eastAsiaTheme="minorEastAsia" w:hAnsiTheme="minorHAnsi" w:cstheme="minorBidi"/>
            <w:noProof/>
            <w:sz w:val="22"/>
            <w:szCs w:val="22"/>
          </w:rPr>
          <w:tab/>
        </w:r>
        <w:r w:rsidRPr="00CD0B56">
          <w:rPr>
            <w:rStyle w:val="Hyperlink"/>
            <w:noProof/>
          </w:rPr>
          <w:t>Part 1 Section 18.10.1.70, pivotFields (PivotTable Fields)</w:t>
        </w:r>
        <w:r>
          <w:rPr>
            <w:noProof/>
            <w:webHidden/>
          </w:rPr>
          <w:tab/>
        </w:r>
        <w:r>
          <w:rPr>
            <w:noProof/>
            <w:webHidden/>
          </w:rPr>
          <w:fldChar w:fldCharType="begin"/>
        </w:r>
        <w:r>
          <w:rPr>
            <w:noProof/>
            <w:webHidden/>
          </w:rPr>
          <w:instrText xml:space="preserve"> PAGEREF _Toc12260851 \h </w:instrText>
        </w:r>
        <w:r>
          <w:rPr>
            <w:noProof/>
            <w:webHidden/>
          </w:rPr>
        </w:r>
        <w:r>
          <w:rPr>
            <w:noProof/>
            <w:webHidden/>
          </w:rPr>
          <w:fldChar w:fldCharType="separate"/>
        </w:r>
        <w:r>
          <w:rPr>
            <w:noProof/>
            <w:webHidden/>
          </w:rPr>
          <w:t>349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52" w:history="1">
        <w:r w:rsidRPr="00CD0B56">
          <w:rPr>
            <w:rStyle w:val="Hyperlink"/>
            <w:noProof/>
          </w:rPr>
          <w:t>2.1.784</w:t>
        </w:r>
        <w:r>
          <w:rPr>
            <w:rFonts w:asciiTheme="minorHAnsi" w:eastAsiaTheme="minorEastAsia" w:hAnsiTheme="minorHAnsi" w:cstheme="minorBidi"/>
            <w:noProof/>
            <w:sz w:val="22"/>
            <w:szCs w:val="22"/>
          </w:rPr>
          <w:tab/>
        </w:r>
        <w:r w:rsidRPr="00CD0B56">
          <w:rPr>
            <w:rStyle w:val="Hyperlink"/>
            <w:noProof/>
          </w:rPr>
          <w:t>Part 1 Section 18.10.1.71, pivotHierarchies (PivotTable OLAP Hierarchies)</w:t>
        </w:r>
        <w:r>
          <w:rPr>
            <w:noProof/>
            <w:webHidden/>
          </w:rPr>
          <w:tab/>
        </w:r>
        <w:r>
          <w:rPr>
            <w:noProof/>
            <w:webHidden/>
          </w:rPr>
          <w:fldChar w:fldCharType="begin"/>
        </w:r>
        <w:r>
          <w:rPr>
            <w:noProof/>
            <w:webHidden/>
          </w:rPr>
          <w:instrText xml:space="preserve"> PAGEREF _Toc12260852 \h </w:instrText>
        </w:r>
        <w:r>
          <w:rPr>
            <w:noProof/>
            <w:webHidden/>
          </w:rPr>
        </w:r>
        <w:r>
          <w:rPr>
            <w:noProof/>
            <w:webHidden/>
          </w:rPr>
          <w:fldChar w:fldCharType="separate"/>
        </w:r>
        <w:r>
          <w:rPr>
            <w:noProof/>
            <w:webHidden/>
          </w:rPr>
          <w:t>349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53" w:history="1">
        <w:r w:rsidRPr="00CD0B56">
          <w:rPr>
            <w:rStyle w:val="Hyperlink"/>
            <w:noProof/>
          </w:rPr>
          <w:t>2.1.785</w:t>
        </w:r>
        <w:r>
          <w:rPr>
            <w:rFonts w:asciiTheme="minorHAnsi" w:eastAsiaTheme="minorEastAsia" w:hAnsiTheme="minorHAnsi" w:cstheme="minorBidi"/>
            <w:noProof/>
            <w:sz w:val="22"/>
            <w:szCs w:val="22"/>
          </w:rPr>
          <w:tab/>
        </w:r>
        <w:r w:rsidRPr="00CD0B56">
          <w:rPr>
            <w:rStyle w:val="Hyperlink"/>
            <w:noProof/>
          </w:rPr>
          <w:t>Part 1 Section 18.10.1.72, pivotHierarchy (OLAP Hierarchy)</w:t>
        </w:r>
        <w:r>
          <w:rPr>
            <w:noProof/>
            <w:webHidden/>
          </w:rPr>
          <w:tab/>
        </w:r>
        <w:r>
          <w:rPr>
            <w:noProof/>
            <w:webHidden/>
          </w:rPr>
          <w:fldChar w:fldCharType="begin"/>
        </w:r>
        <w:r>
          <w:rPr>
            <w:noProof/>
            <w:webHidden/>
          </w:rPr>
          <w:instrText xml:space="preserve"> PAGEREF _Toc12260853 \h </w:instrText>
        </w:r>
        <w:r>
          <w:rPr>
            <w:noProof/>
            <w:webHidden/>
          </w:rPr>
        </w:r>
        <w:r>
          <w:rPr>
            <w:noProof/>
            <w:webHidden/>
          </w:rPr>
          <w:fldChar w:fldCharType="separate"/>
        </w:r>
        <w:r>
          <w:rPr>
            <w:noProof/>
            <w:webHidden/>
          </w:rPr>
          <w:t>349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54" w:history="1">
        <w:r w:rsidRPr="00CD0B56">
          <w:rPr>
            <w:rStyle w:val="Hyperlink"/>
            <w:noProof/>
          </w:rPr>
          <w:t>2.1.786</w:t>
        </w:r>
        <w:r>
          <w:rPr>
            <w:rFonts w:asciiTheme="minorHAnsi" w:eastAsiaTheme="minorEastAsia" w:hAnsiTheme="minorHAnsi" w:cstheme="minorBidi"/>
            <w:noProof/>
            <w:sz w:val="22"/>
            <w:szCs w:val="22"/>
          </w:rPr>
          <w:tab/>
        </w:r>
        <w:r w:rsidRPr="00CD0B56">
          <w:rPr>
            <w:rStyle w:val="Hyperlink"/>
            <w:noProof/>
          </w:rPr>
          <w:t>Part 1 Section 18.10.1.73, pivotTableDefinition (PivotTable Definition)</w:t>
        </w:r>
        <w:r>
          <w:rPr>
            <w:noProof/>
            <w:webHidden/>
          </w:rPr>
          <w:tab/>
        </w:r>
        <w:r>
          <w:rPr>
            <w:noProof/>
            <w:webHidden/>
          </w:rPr>
          <w:fldChar w:fldCharType="begin"/>
        </w:r>
        <w:r>
          <w:rPr>
            <w:noProof/>
            <w:webHidden/>
          </w:rPr>
          <w:instrText xml:space="preserve"> PAGEREF _Toc12260854 \h </w:instrText>
        </w:r>
        <w:r>
          <w:rPr>
            <w:noProof/>
            <w:webHidden/>
          </w:rPr>
        </w:r>
        <w:r>
          <w:rPr>
            <w:noProof/>
            <w:webHidden/>
          </w:rPr>
          <w:fldChar w:fldCharType="separate"/>
        </w:r>
        <w:r>
          <w:rPr>
            <w:noProof/>
            <w:webHidden/>
          </w:rPr>
          <w:t>350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55" w:history="1">
        <w:r w:rsidRPr="00CD0B56">
          <w:rPr>
            <w:rStyle w:val="Hyperlink"/>
            <w:noProof/>
          </w:rPr>
          <w:t>2.1.787</w:t>
        </w:r>
        <w:r>
          <w:rPr>
            <w:rFonts w:asciiTheme="minorHAnsi" w:eastAsiaTheme="minorEastAsia" w:hAnsiTheme="minorHAnsi" w:cstheme="minorBidi"/>
            <w:noProof/>
            <w:sz w:val="22"/>
            <w:szCs w:val="22"/>
          </w:rPr>
          <w:tab/>
        </w:r>
        <w:r w:rsidRPr="00CD0B56">
          <w:rPr>
            <w:rStyle w:val="Hyperlink"/>
            <w:noProof/>
          </w:rPr>
          <w:t>Part 1 Section 18.10.1.74, pivotTableStyleInfo (PivotTable Style)</w:t>
        </w:r>
        <w:r>
          <w:rPr>
            <w:noProof/>
            <w:webHidden/>
          </w:rPr>
          <w:tab/>
        </w:r>
        <w:r>
          <w:rPr>
            <w:noProof/>
            <w:webHidden/>
          </w:rPr>
          <w:fldChar w:fldCharType="begin"/>
        </w:r>
        <w:r>
          <w:rPr>
            <w:noProof/>
            <w:webHidden/>
          </w:rPr>
          <w:instrText xml:space="preserve"> PAGEREF _Toc12260855 \h </w:instrText>
        </w:r>
        <w:r>
          <w:rPr>
            <w:noProof/>
            <w:webHidden/>
          </w:rPr>
        </w:r>
        <w:r>
          <w:rPr>
            <w:noProof/>
            <w:webHidden/>
          </w:rPr>
          <w:fldChar w:fldCharType="separate"/>
        </w:r>
        <w:r>
          <w:rPr>
            <w:noProof/>
            <w:webHidden/>
          </w:rPr>
          <w:t>352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56" w:history="1">
        <w:r w:rsidRPr="00CD0B56">
          <w:rPr>
            <w:rStyle w:val="Hyperlink"/>
            <w:noProof/>
          </w:rPr>
          <w:t>2.1.788</w:t>
        </w:r>
        <w:r>
          <w:rPr>
            <w:rFonts w:asciiTheme="minorHAnsi" w:eastAsiaTheme="minorEastAsia" w:hAnsiTheme="minorHAnsi" w:cstheme="minorBidi"/>
            <w:noProof/>
            <w:sz w:val="22"/>
            <w:szCs w:val="22"/>
          </w:rPr>
          <w:tab/>
        </w:r>
        <w:r w:rsidRPr="00CD0B56">
          <w:rPr>
            <w:rStyle w:val="Hyperlink"/>
            <w:noProof/>
          </w:rPr>
          <w:t>Part 1 Section 18.10.1.75, query (Query)</w:t>
        </w:r>
        <w:r>
          <w:rPr>
            <w:noProof/>
            <w:webHidden/>
          </w:rPr>
          <w:tab/>
        </w:r>
        <w:r>
          <w:rPr>
            <w:noProof/>
            <w:webHidden/>
          </w:rPr>
          <w:fldChar w:fldCharType="begin"/>
        </w:r>
        <w:r>
          <w:rPr>
            <w:noProof/>
            <w:webHidden/>
          </w:rPr>
          <w:instrText xml:space="preserve"> PAGEREF _Toc12260856 \h </w:instrText>
        </w:r>
        <w:r>
          <w:rPr>
            <w:noProof/>
            <w:webHidden/>
          </w:rPr>
        </w:r>
        <w:r>
          <w:rPr>
            <w:noProof/>
            <w:webHidden/>
          </w:rPr>
          <w:fldChar w:fldCharType="separate"/>
        </w:r>
        <w:r>
          <w:rPr>
            <w:noProof/>
            <w:webHidden/>
          </w:rPr>
          <w:t>353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57" w:history="1">
        <w:r w:rsidRPr="00CD0B56">
          <w:rPr>
            <w:rStyle w:val="Hyperlink"/>
            <w:noProof/>
          </w:rPr>
          <w:t>2.1.789</w:t>
        </w:r>
        <w:r>
          <w:rPr>
            <w:rFonts w:asciiTheme="minorHAnsi" w:eastAsiaTheme="minorEastAsia" w:hAnsiTheme="minorHAnsi" w:cstheme="minorBidi"/>
            <w:noProof/>
            <w:sz w:val="22"/>
            <w:szCs w:val="22"/>
          </w:rPr>
          <w:tab/>
        </w:r>
        <w:r w:rsidRPr="00CD0B56">
          <w:rPr>
            <w:rStyle w:val="Hyperlink"/>
            <w:noProof/>
          </w:rPr>
          <w:t>Part 1 Section 18.10.1.77, r (PivotCache Record)</w:t>
        </w:r>
        <w:r>
          <w:rPr>
            <w:noProof/>
            <w:webHidden/>
          </w:rPr>
          <w:tab/>
        </w:r>
        <w:r>
          <w:rPr>
            <w:noProof/>
            <w:webHidden/>
          </w:rPr>
          <w:fldChar w:fldCharType="begin"/>
        </w:r>
        <w:r>
          <w:rPr>
            <w:noProof/>
            <w:webHidden/>
          </w:rPr>
          <w:instrText xml:space="preserve"> PAGEREF _Toc12260857 \h </w:instrText>
        </w:r>
        <w:r>
          <w:rPr>
            <w:noProof/>
            <w:webHidden/>
          </w:rPr>
        </w:r>
        <w:r>
          <w:rPr>
            <w:noProof/>
            <w:webHidden/>
          </w:rPr>
          <w:fldChar w:fldCharType="separate"/>
        </w:r>
        <w:r>
          <w:rPr>
            <w:noProof/>
            <w:webHidden/>
          </w:rPr>
          <w:t>353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58" w:history="1">
        <w:r w:rsidRPr="00CD0B56">
          <w:rPr>
            <w:rStyle w:val="Hyperlink"/>
            <w:noProof/>
          </w:rPr>
          <w:t>2.1.790</w:t>
        </w:r>
        <w:r>
          <w:rPr>
            <w:rFonts w:asciiTheme="minorHAnsi" w:eastAsiaTheme="minorEastAsia" w:hAnsiTheme="minorHAnsi" w:cstheme="minorBidi"/>
            <w:noProof/>
            <w:sz w:val="22"/>
            <w:szCs w:val="22"/>
          </w:rPr>
          <w:tab/>
        </w:r>
        <w:r w:rsidRPr="00CD0B56">
          <w:rPr>
            <w:rStyle w:val="Hyperlink"/>
            <w:noProof/>
          </w:rPr>
          <w:t>Part 1 Section 18.10.1.78, rangePr (Range Grouping Properties)</w:t>
        </w:r>
        <w:r>
          <w:rPr>
            <w:noProof/>
            <w:webHidden/>
          </w:rPr>
          <w:tab/>
        </w:r>
        <w:r>
          <w:rPr>
            <w:noProof/>
            <w:webHidden/>
          </w:rPr>
          <w:fldChar w:fldCharType="begin"/>
        </w:r>
        <w:r>
          <w:rPr>
            <w:noProof/>
            <w:webHidden/>
          </w:rPr>
          <w:instrText xml:space="preserve"> PAGEREF _Toc12260858 \h </w:instrText>
        </w:r>
        <w:r>
          <w:rPr>
            <w:noProof/>
            <w:webHidden/>
          </w:rPr>
        </w:r>
        <w:r>
          <w:rPr>
            <w:noProof/>
            <w:webHidden/>
          </w:rPr>
          <w:fldChar w:fldCharType="separate"/>
        </w:r>
        <w:r>
          <w:rPr>
            <w:noProof/>
            <w:webHidden/>
          </w:rPr>
          <w:t>353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59" w:history="1">
        <w:r w:rsidRPr="00CD0B56">
          <w:rPr>
            <w:rStyle w:val="Hyperlink"/>
            <w:noProof/>
          </w:rPr>
          <w:t>2.1.791</w:t>
        </w:r>
        <w:r>
          <w:rPr>
            <w:rFonts w:asciiTheme="minorHAnsi" w:eastAsiaTheme="minorEastAsia" w:hAnsiTheme="minorHAnsi" w:cstheme="minorBidi"/>
            <w:noProof/>
            <w:sz w:val="22"/>
            <w:szCs w:val="22"/>
          </w:rPr>
          <w:tab/>
        </w:r>
        <w:r w:rsidRPr="00CD0B56">
          <w:rPr>
            <w:rStyle w:val="Hyperlink"/>
            <w:noProof/>
          </w:rPr>
          <w:t>Part 1 Section 18.10.1.79, rangeSet (Range Set)</w:t>
        </w:r>
        <w:r>
          <w:rPr>
            <w:noProof/>
            <w:webHidden/>
          </w:rPr>
          <w:tab/>
        </w:r>
        <w:r>
          <w:rPr>
            <w:noProof/>
            <w:webHidden/>
          </w:rPr>
          <w:fldChar w:fldCharType="begin"/>
        </w:r>
        <w:r>
          <w:rPr>
            <w:noProof/>
            <w:webHidden/>
          </w:rPr>
          <w:instrText xml:space="preserve"> PAGEREF _Toc12260859 \h </w:instrText>
        </w:r>
        <w:r>
          <w:rPr>
            <w:noProof/>
            <w:webHidden/>
          </w:rPr>
        </w:r>
        <w:r>
          <w:rPr>
            <w:noProof/>
            <w:webHidden/>
          </w:rPr>
          <w:fldChar w:fldCharType="separate"/>
        </w:r>
        <w:r>
          <w:rPr>
            <w:noProof/>
            <w:webHidden/>
          </w:rPr>
          <w:t>354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60" w:history="1">
        <w:r w:rsidRPr="00CD0B56">
          <w:rPr>
            <w:rStyle w:val="Hyperlink"/>
            <w:noProof/>
          </w:rPr>
          <w:t>2.1.792</w:t>
        </w:r>
        <w:r>
          <w:rPr>
            <w:rFonts w:asciiTheme="minorHAnsi" w:eastAsiaTheme="minorEastAsia" w:hAnsiTheme="minorHAnsi" w:cstheme="minorBidi"/>
            <w:noProof/>
            <w:sz w:val="22"/>
            <w:szCs w:val="22"/>
          </w:rPr>
          <w:tab/>
        </w:r>
        <w:r w:rsidRPr="00CD0B56">
          <w:rPr>
            <w:rStyle w:val="Hyperlink"/>
            <w:noProof/>
          </w:rPr>
          <w:t>Part 1 Section 18.10.1.83, rowHierarchyUsage (Row OLAP Hierarchies)</w:t>
        </w:r>
        <w:r>
          <w:rPr>
            <w:noProof/>
            <w:webHidden/>
          </w:rPr>
          <w:tab/>
        </w:r>
        <w:r>
          <w:rPr>
            <w:noProof/>
            <w:webHidden/>
          </w:rPr>
          <w:fldChar w:fldCharType="begin"/>
        </w:r>
        <w:r>
          <w:rPr>
            <w:noProof/>
            <w:webHidden/>
          </w:rPr>
          <w:instrText xml:space="preserve"> PAGEREF _Toc12260860 \h </w:instrText>
        </w:r>
        <w:r>
          <w:rPr>
            <w:noProof/>
            <w:webHidden/>
          </w:rPr>
        </w:r>
        <w:r>
          <w:rPr>
            <w:noProof/>
            <w:webHidden/>
          </w:rPr>
          <w:fldChar w:fldCharType="separate"/>
        </w:r>
        <w:r>
          <w:rPr>
            <w:noProof/>
            <w:webHidden/>
          </w:rPr>
          <w:t>355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61" w:history="1">
        <w:r w:rsidRPr="00CD0B56">
          <w:rPr>
            <w:rStyle w:val="Hyperlink"/>
            <w:noProof/>
          </w:rPr>
          <w:t>2.1.793</w:t>
        </w:r>
        <w:r>
          <w:rPr>
            <w:rFonts w:asciiTheme="minorHAnsi" w:eastAsiaTheme="minorEastAsia" w:hAnsiTheme="minorHAnsi" w:cstheme="minorBidi"/>
            <w:noProof/>
            <w:sz w:val="22"/>
            <w:szCs w:val="22"/>
          </w:rPr>
          <w:tab/>
        </w:r>
        <w:r w:rsidRPr="00CD0B56">
          <w:rPr>
            <w:rStyle w:val="Hyperlink"/>
            <w:noProof/>
          </w:rPr>
          <w:t>Part 1 Section 18.10.1.85, s (Character Value)</w:t>
        </w:r>
        <w:r>
          <w:rPr>
            <w:noProof/>
            <w:webHidden/>
          </w:rPr>
          <w:tab/>
        </w:r>
        <w:r>
          <w:rPr>
            <w:noProof/>
            <w:webHidden/>
          </w:rPr>
          <w:fldChar w:fldCharType="begin"/>
        </w:r>
        <w:r>
          <w:rPr>
            <w:noProof/>
            <w:webHidden/>
          </w:rPr>
          <w:instrText xml:space="preserve"> PAGEREF _Toc12260861 \h </w:instrText>
        </w:r>
        <w:r>
          <w:rPr>
            <w:noProof/>
            <w:webHidden/>
          </w:rPr>
        </w:r>
        <w:r>
          <w:rPr>
            <w:noProof/>
            <w:webHidden/>
          </w:rPr>
          <w:fldChar w:fldCharType="separate"/>
        </w:r>
        <w:r>
          <w:rPr>
            <w:noProof/>
            <w:webHidden/>
          </w:rPr>
          <w:t>355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62" w:history="1">
        <w:r w:rsidRPr="00CD0B56">
          <w:rPr>
            <w:rStyle w:val="Hyperlink"/>
            <w:noProof/>
          </w:rPr>
          <w:t>2.1.794</w:t>
        </w:r>
        <w:r>
          <w:rPr>
            <w:rFonts w:asciiTheme="minorHAnsi" w:eastAsiaTheme="minorEastAsia" w:hAnsiTheme="minorHAnsi" w:cstheme="minorBidi"/>
            <w:noProof/>
            <w:sz w:val="22"/>
            <w:szCs w:val="22"/>
          </w:rPr>
          <w:tab/>
        </w:r>
        <w:r w:rsidRPr="00CD0B56">
          <w:rPr>
            <w:rStyle w:val="Hyperlink"/>
            <w:noProof/>
          </w:rPr>
          <w:t>Part 1 Section 18.10.1.86, serverFormat (Server Format)</w:t>
        </w:r>
        <w:r>
          <w:rPr>
            <w:noProof/>
            <w:webHidden/>
          </w:rPr>
          <w:tab/>
        </w:r>
        <w:r>
          <w:rPr>
            <w:noProof/>
            <w:webHidden/>
          </w:rPr>
          <w:fldChar w:fldCharType="begin"/>
        </w:r>
        <w:r>
          <w:rPr>
            <w:noProof/>
            <w:webHidden/>
          </w:rPr>
          <w:instrText xml:space="preserve"> PAGEREF _Toc12260862 \h </w:instrText>
        </w:r>
        <w:r>
          <w:rPr>
            <w:noProof/>
            <w:webHidden/>
          </w:rPr>
        </w:r>
        <w:r>
          <w:rPr>
            <w:noProof/>
            <w:webHidden/>
          </w:rPr>
          <w:fldChar w:fldCharType="separate"/>
        </w:r>
        <w:r>
          <w:rPr>
            <w:noProof/>
            <w:webHidden/>
          </w:rPr>
          <w:t>356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63" w:history="1">
        <w:r w:rsidRPr="00CD0B56">
          <w:rPr>
            <w:rStyle w:val="Hyperlink"/>
            <w:noProof/>
          </w:rPr>
          <w:t>2.1.795</w:t>
        </w:r>
        <w:r>
          <w:rPr>
            <w:rFonts w:asciiTheme="minorHAnsi" w:eastAsiaTheme="minorEastAsia" w:hAnsiTheme="minorHAnsi" w:cstheme="minorBidi"/>
            <w:noProof/>
            <w:sz w:val="22"/>
            <w:szCs w:val="22"/>
          </w:rPr>
          <w:tab/>
        </w:r>
        <w:r w:rsidRPr="00CD0B56">
          <w:rPr>
            <w:rStyle w:val="Hyperlink"/>
            <w:noProof/>
          </w:rPr>
          <w:t>Part 1 Section 18.10.1.88, set (OLAP Set)</w:t>
        </w:r>
        <w:r>
          <w:rPr>
            <w:noProof/>
            <w:webHidden/>
          </w:rPr>
          <w:tab/>
        </w:r>
        <w:r>
          <w:rPr>
            <w:noProof/>
            <w:webHidden/>
          </w:rPr>
          <w:fldChar w:fldCharType="begin"/>
        </w:r>
        <w:r>
          <w:rPr>
            <w:noProof/>
            <w:webHidden/>
          </w:rPr>
          <w:instrText xml:space="preserve"> PAGEREF _Toc12260863 \h </w:instrText>
        </w:r>
        <w:r>
          <w:rPr>
            <w:noProof/>
            <w:webHidden/>
          </w:rPr>
        </w:r>
        <w:r>
          <w:rPr>
            <w:noProof/>
            <w:webHidden/>
          </w:rPr>
          <w:fldChar w:fldCharType="separate"/>
        </w:r>
        <w:r>
          <w:rPr>
            <w:noProof/>
            <w:webHidden/>
          </w:rPr>
          <w:t>363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64" w:history="1">
        <w:r w:rsidRPr="00CD0B56">
          <w:rPr>
            <w:rStyle w:val="Hyperlink"/>
            <w:noProof/>
          </w:rPr>
          <w:t>2.1.796</w:t>
        </w:r>
        <w:r>
          <w:rPr>
            <w:rFonts w:asciiTheme="minorHAnsi" w:eastAsiaTheme="minorEastAsia" w:hAnsiTheme="minorHAnsi" w:cstheme="minorBidi"/>
            <w:noProof/>
            <w:sz w:val="22"/>
            <w:szCs w:val="22"/>
          </w:rPr>
          <w:tab/>
        </w:r>
        <w:r w:rsidRPr="00CD0B56">
          <w:rPr>
            <w:rStyle w:val="Hyperlink"/>
            <w:noProof/>
          </w:rPr>
          <w:t>Part 1 Section 18.10.1.90, sharedItems (Shared Items)</w:t>
        </w:r>
        <w:r>
          <w:rPr>
            <w:noProof/>
            <w:webHidden/>
          </w:rPr>
          <w:tab/>
        </w:r>
        <w:r>
          <w:rPr>
            <w:noProof/>
            <w:webHidden/>
          </w:rPr>
          <w:fldChar w:fldCharType="begin"/>
        </w:r>
        <w:r>
          <w:rPr>
            <w:noProof/>
            <w:webHidden/>
          </w:rPr>
          <w:instrText xml:space="preserve"> PAGEREF _Toc12260864 \h </w:instrText>
        </w:r>
        <w:r>
          <w:rPr>
            <w:noProof/>
            <w:webHidden/>
          </w:rPr>
        </w:r>
        <w:r>
          <w:rPr>
            <w:noProof/>
            <w:webHidden/>
          </w:rPr>
          <w:fldChar w:fldCharType="separate"/>
        </w:r>
        <w:r>
          <w:rPr>
            <w:noProof/>
            <w:webHidden/>
          </w:rPr>
          <w:t>363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65" w:history="1">
        <w:r w:rsidRPr="00CD0B56">
          <w:rPr>
            <w:rStyle w:val="Hyperlink"/>
            <w:noProof/>
          </w:rPr>
          <w:t>2.1.797</w:t>
        </w:r>
        <w:r>
          <w:rPr>
            <w:rFonts w:asciiTheme="minorHAnsi" w:eastAsiaTheme="minorEastAsia" w:hAnsiTheme="minorHAnsi" w:cstheme="minorBidi"/>
            <w:noProof/>
            <w:sz w:val="22"/>
            <w:szCs w:val="22"/>
          </w:rPr>
          <w:tab/>
        </w:r>
        <w:r w:rsidRPr="00CD0B56">
          <w:rPr>
            <w:rStyle w:val="Hyperlink"/>
            <w:noProof/>
          </w:rPr>
          <w:t>Part 1 Section 18.10.1.91, sortByTuple (Sort By Tuple)</w:t>
        </w:r>
        <w:r>
          <w:rPr>
            <w:noProof/>
            <w:webHidden/>
          </w:rPr>
          <w:tab/>
        </w:r>
        <w:r>
          <w:rPr>
            <w:noProof/>
            <w:webHidden/>
          </w:rPr>
          <w:fldChar w:fldCharType="begin"/>
        </w:r>
        <w:r>
          <w:rPr>
            <w:noProof/>
            <w:webHidden/>
          </w:rPr>
          <w:instrText xml:space="preserve"> PAGEREF _Toc12260865 \h </w:instrText>
        </w:r>
        <w:r>
          <w:rPr>
            <w:noProof/>
            <w:webHidden/>
          </w:rPr>
        </w:r>
        <w:r>
          <w:rPr>
            <w:noProof/>
            <w:webHidden/>
          </w:rPr>
          <w:fldChar w:fldCharType="separate"/>
        </w:r>
        <w:r>
          <w:rPr>
            <w:noProof/>
            <w:webHidden/>
          </w:rPr>
          <w:t>365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66" w:history="1">
        <w:r w:rsidRPr="00CD0B56">
          <w:rPr>
            <w:rStyle w:val="Hyperlink"/>
            <w:noProof/>
          </w:rPr>
          <w:t>2.1.798</w:t>
        </w:r>
        <w:r>
          <w:rPr>
            <w:rFonts w:asciiTheme="minorHAnsi" w:eastAsiaTheme="minorEastAsia" w:hAnsiTheme="minorHAnsi" w:cstheme="minorBidi"/>
            <w:noProof/>
            <w:sz w:val="22"/>
            <w:szCs w:val="22"/>
          </w:rPr>
          <w:tab/>
        </w:r>
        <w:r w:rsidRPr="00CD0B56">
          <w:rPr>
            <w:rStyle w:val="Hyperlink"/>
            <w:noProof/>
          </w:rPr>
          <w:t>Part 1 Section 18.10.1.92, tpl (Tuple)</w:t>
        </w:r>
        <w:r>
          <w:rPr>
            <w:noProof/>
            <w:webHidden/>
          </w:rPr>
          <w:tab/>
        </w:r>
        <w:r>
          <w:rPr>
            <w:noProof/>
            <w:webHidden/>
          </w:rPr>
          <w:fldChar w:fldCharType="begin"/>
        </w:r>
        <w:r>
          <w:rPr>
            <w:noProof/>
            <w:webHidden/>
          </w:rPr>
          <w:instrText xml:space="preserve"> PAGEREF _Toc12260866 \h </w:instrText>
        </w:r>
        <w:r>
          <w:rPr>
            <w:noProof/>
            <w:webHidden/>
          </w:rPr>
        </w:r>
        <w:r>
          <w:rPr>
            <w:noProof/>
            <w:webHidden/>
          </w:rPr>
          <w:fldChar w:fldCharType="separate"/>
        </w:r>
        <w:r>
          <w:rPr>
            <w:noProof/>
            <w:webHidden/>
          </w:rPr>
          <w:t>365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67" w:history="1">
        <w:r w:rsidRPr="00CD0B56">
          <w:rPr>
            <w:rStyle w:val="Hyperlink"/>
            <w:noProof/>
          </w:rPr>
          <w:t>2.1.799</w:t>
        </w:r>
        <w:r>
          <w:rPr>
            <w:rFonts w:asciiTheme="minorHAnsi" w:eastAsiaTheme="minorEastAsia" w:hAnsiTheme="minorHAnsi" w:cstheme="minorBidi"/>
            <w:noProof/>
            <w:sz w:val="22"/>
            <w:szCs w:val="22"/>
          </w:rPr>
          <w:tab/>
        </w:r>
        <w:r w:rsidRPr="00CD0B56">
          <w:rPr>
            <w:rStyle w:val="Hyperlink"/>
            <w:noProof/>
          </w:rPr>
          <w:t>Part 1 Section 18.10.1.95, worksheetSource (Worksheet PivotCache Source)</w:t>
        </w:r>
        <w:r>
          <w:rPr>
            <w:noProof/>
            <w:webHidden/>
          </w:rPr>
          <w:tab/>
        </w:r>
        <w:r>
          <w:rPr>
            <w:noProof/>
            <w:webHidden/>
          </w:rPr>
          <w:fldChar w:fldCharType="begin"/>
        </w:r>
        <w:r>
          <w:rPr>
            <w:noProof/>
            <w:webHidden/>
          </w:rPr>
          <w:instrText xml:space="preserve"> PAGEREF _Toc12260867 \h </w:instrText>
        </w:r>
        <w:r>
          <w:rPr>
            <w:noProof/>
            <w:webHidden/>
          </w:rPr>
        </w:r>
        <w:r>
          <w:rPr>
            <w:noProof/>
            <w:webHidden/>
          </w:rPr>
          <w:fldChar w:fldCharType="separate"/>
        </w:r>
        <w:r>
          <w:rPr>
            <w:noProof/>
            <w:webHidden/>
          </w:rPr>
          <w:t>365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68" w:history="1">
        <w:r w:rsidRPr="00CD0B56">
          <w:rPr>
            <w:rStyle w:val="Hyperlink"/>
            <w:noProof/>
          </w:rPr>
          <w:t>2.1.800</w:t>
        </w:r>
        <w:r>
          <w:rPr>
            <w:rFonts w:asciiTheme="minorHAnsi" w:eastAsiaTheme="minorEastAsia" w:hAnsiTheme="minorHAnsi" w:cstheme="minorBidi"/>
            <w:noProof/>
            <w:sz w:val="22"/>
            <w:szCs w:val="22"/>
          </w:rPr>
          <w:tab/>
        </w:r>
        <w:r w:rsidRPr="00CD0B56">
          <w:rPr>
            <w:rStyle w:val="Hyperlink"/>
            <w:noProof/>
          </w:rPr>
          <w:t>Part 1 Section 18.10.1.96, x (Member Property Index)</w:t>
        </w:r>
        <w:r>
          <w:rPr>
            <w:noProof/>
            <w:webHidden/>
          </w:rPr>
          <w:tab/>
        </w:r>
        <w:r>
          <w:rPr>
            <w:noProof/>
            <w:webHidden/>
          </w:rPr>
          <w:fldChar w:fldCharType="begin"/>
        </w:r>
        <w:r>
          <w:rPr>
            <w:noProof/>
            <w:webHidden/>
          </w:rPr>
          <w:instrText xml:space="preserve"> PAGEREF _Toc12260868 \h </w:instrText>
        </w:r>
        <w:r>
          <w:rPr>
            <w:noProof/>
            <w:webHidden/>
          </w:rPr>
        </w:r>
        <w:r>
          <w:rPr>
            <w:noProof/>
            <w:webHidden/>
          </w:rPr>
          <w:fldChar w:fldCharType="separate"/>
        </w:r>
        <w:r>
          <w:rPr>
            <w:noProof/>
            <w:webHidden/>
          </w:rPr>
          <w:t>366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69" w:history="1">
        <w:r w:rsidRPr="00CD0B56">
          <w:rPr>
            <w:rStyle w:val="Hyperlink"/>
            <w:noProof/>
          </w:rPr>
          <w:t>2.1.801</w:t>
        </w:r>
        <w:r>
          <w:rPr>
            <w:rFonts w:asciiTheme="minorHAnsi" w:eastAsiaTheme="minorEastAsia" w:hAnsiTheme="minorHAnsi" w:cstheme="minorBidi"/>
            <w:noProof/>
            <w:sz w:val="22"/>
            <w:szCs w:val="22"/>
          </w:rPr>
          <w:tab/>
        </w:r>
        <w:r w:rsidRPr="00CD0B56">
          <w:rPr>
            <w:rStyle w:val="Hyperlink"/>
            <w:noProof/>
          </w:rPr>
          <w:t>Part 1 Section 18.10.1.97, x (Shared Items Index)</w:t>
        </w:r>
        <w:r>
          <w:rPr>
            <w:noProof/>
            <w:webHidden/>
          </w:rPr>
          <w:tab/>
        </w:r>
        <w:r>
          <w:rPr>
            <w:noProof/>
            <w:webHidden/>
          </w:rPr>
          <w:fldChar w:fldCharType="begin"/>
        </w:r>
        <w:r>
          <w:rPr>
            <w:noProof/>
            <w:webHidden/>
          </w:rPr>
          <w:instrText xml:space="preserve"> PAGEREF _Toc12260869 \h </w:instrText>
        </w:r>
        <w:r>
          <w:rPr>
            <w:noProof/>
            <w:webHidden/>
          </w:rPr>
        </w:r>
        <w:r>
          <w:rPr>
            <w:noProof/>
            <w:webHidden/>
          </w:rPr>
          <w:fldChar w:fldCharType="separate"/>
        </w:r>
        <w:r>
          <w:rPr>
            <w:noProof/>
            <w:webHidden/>
          </w:rPr>
          <w:t>366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70" w:history="1">
        <w:r w:rsidRPr="00CD0B56">
          <w:rPr>
            <w:rStyle w:val="Hyperlink"/>
            <w:noProof/>
          </w:rPr>
          <w:t>2.1.802</w:t>
        </w:r>
        <w:r>
          <w:rPr>
            <w:rFonts w:asciiTheme="minorHAnsi" w:eastAsiaTheme="minorEastAsia" w:hAnsiTheme="minorHAnsi" w:cstheme="minorBidi"/>
            <w:noProof/>
            <w:sz w:val="22"/>
            <w:szCs w:val="22"/>
          </w:rPr>
          <w:tab/>
        </w:r>
        <w:r w:rsidRPr="00CD0B56">
          <w:rPr>
            <w:rStyle w:val="Hyperlink"/>
            <w:noProof/>
          </w:rPr>
          <w:t>Part 1 Section 18.10.2.1, reference (Reference)</w:t>
        </w:r>
        <w:r>
          <w:rPr>
            <w:noProof/>
            <w:webHidden/>
          </w:rPr>
          <w:tab/>
        </w:r>
        <w:r>
          <w:rPr>
            <w:noProof/>
            <w:webHidden/>
          </w:rPr>
          <w:fldChar w:fldCharType="begin"/>
        </w:r>
        <w:r>
          <w:rPr>
            <w:noProof/>
            <w:webHidden/>
          </w:rPr>
          <w:instrText xml:space="preserve"> PAGEREF _Toc12260870 \h </w:instrText>
        </w:r>
        <w:r>
          <w:rPr>
            <w:noProof/>
            <w:webHidden/>
          </w:rPr>
        </w:r>
        <w:r>
          <w:rPr>
            <w:noProof/>
            <w:webHidden/>
          </w:rPr>
          <w:fldChar w:fldCharType="separate"/>
        </w:r>
        <w:r>
          <w:rPr>
            <w:noProof/>
            <w:webHidden/>
          </w:rPr>
          <w:t>366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71" w:history="1">
        <w:r w:rsidRPr="00CD0B56">
          <w:rPr>
            <w:rStyle w:val="Hyperlink"/>
            <w:noProof/>
          </w:rPr>
          <w:t>2.1.803</w:t>
        </w:r>
        <w:r>
          <w:rPr>
            <w:rFonts w:asciiTheme="minorHAnsi" w:eastAsiaTheme="minorEastAsia" w:hAnsiTheme="minorHAnsi" w:cstheme="minorBidi"/>
            <w:noProof/>
            <w:sz w:val="22"/>
            <w:szCs w:val="22"/>
          </w:rPr>
          <w:tab/>
        </w:r>
        <w:r w:rsidRPr="00CD0B56">
          <w:rPr>
            <w:rStyle w:val="Hyperlink"/>
            <w:noProof/>
          </w:rPr>
          <w:t>Part 1 Section 18.11.1.1, header (Header)</w:t>
        </w:r>
        <w:r>
          <w:rPr>
            <w:noProof/>
            <w:webHidden/>
          </w:rPr>
          <w:tab/>
        </w:r>
        <w:r>
          <w:rPr>
            <w:noProof/>
            <w:webHidden/>
          </w:rPr>
          <w:fldChar w:fldCharType="begin"/>
        </w:r>
        <w:r>
          <w:rPr>
            <w:noProof/>
            <w:webHidden/>
          </w:rPr>
          <w:instrText xml:space="preserve"> PAGEREF _Toc12260871 \h </w:instrText>
        </w:r>
        <w:r>
          <w:rPr>
            <w:noProof/>
            <w:webHidden/>
          </w:rPr>
        </w:r>
        <w:r>
          <w:rPr>
            <w:noProof/>
            <w:webHidden/>
          </w:rPr>
          <w:fldChar w:fldCharType="separate"/>
        </w:r>
        <w:r>
          <w:rPr>
            <w:noProof/>
            <w:webHidden/>
          </w:rPr>
          <w:t>367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72" w:history="1">
        <w:r w:rsidRPr="00CD0B56">
          <w:rPr>
            <w:rStyle w:val="Hyperlink"/>
            <w:noProof/>
          </w:rPr>
          <w:t>2.1.804</w:t>
        </w:r>
        <w:r>
          <w:rPr>
            <w:rFonts w:asciiTheme="minorHAnsi" w:eastAsiaTheme="minorEastAsia" w:hAnsiTheme="minorHAnsi" w:cstheme="minorBidi"/>
            <w:noProof/>
            <w:sz w:val="22"/>
            <w:szCs w:val="22"/>
          </w:rPr>
          <w:tab/>
        </w:r>
        <w:r w:rsidRPr="00CD0B56">
          <w:rPr>
            <w:rStyle w:val="Hyperlink"/>
            <w:noProof/>
          </w:rPr>
          <w:t>Part 1 Section 18.11.1.2, headers (Revision Headers)</w:t>
        </w:r>
        <w:r>
          <w:rPr>
            <w:noProof/>
            <w:webHidden/>
          </w:rPr>
          <w:tab/>
        </w:r>
        <w:r>
          <w:rPr>
            <w:noProof/>
            <w:webHidden/>
          </w:rPr>
          <w:fldChar w:fldCharType="begin"/>
        </w:r>
        <w:r>
          <w:rPr>
            <w:noProof/>
            <w:webHidden/>
          </w:rPr>
          <w:instrText xml:space="preserve"> PAGEREF _Toc12260872 \h </w:instrText>
        </w:r>
        <w:r>
          <w:rPr>
            <w:noProof/>
            <w:webHidden/>
          </w:rPr>
        </w:r>
        <w:r>
          <w:rPr>
            <w:noProof/>
            <w:webHidden/>
          </w:rPr>
          <w:fldChar w:fldCharType="separate"/>
        </w:r>
        <w:r>
          <w:rPr>
            <w:noProof/>
            <w:webHidden/>
          </w:rPr>
          <w:t>367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73" w:history="1">
        <w:r w:rsidRPr="00CD0B56">
          <w:rPr>
            <w:rStyle w:val="Hyperlink"/>
            <w:noProof/>
          </w:rPr>
          <w:t>2.1.805</w:t>
        </w:r>
        <w:r>
          <w:rPr>
            <w:rFonts w:asciiTheme="minorHAnsi" w:eastAsiaTheme="minorEastAsia" w:hAnsiTheme="minorHAnsi" w:cstheme="minorBidi"/>
            <w:noProof/>
            <w:sz w:val="22"/>
            <w:szCs w:val="22"/>
          </w:rPr>
          <w:tab/>
        </w:r>
        <w:r w:rsidRPr="00CD0B56">
          <w:rPr>
            <w:rStyle w:val="Hyperlink"/>
            <w:noProof/>
          </w:rPr>
          <w:t>Part 1 Section 18.11.1.3, nc (New Cell Data)</w:t>
        </w:r>
        <w:r>
          <w:rPr>
            <w:noProof/>
            <w:webHidden/>
          </w:rPr>
          <w:tab/>
        </w:r>
        <w:r>
          <w:rPr>
            <w:noProof/>
            <w:webHidden/>
          </w:rPr>
          <w:fldChar w:fldCharType="begin"/>
        </w:r>
        <w:r>
          <w:rPr>
            <w:noProof/>
            <w:webHidden/>
          </w:rPr>
          <w:instrText xml:space="preserve"> PAGEREF _Toc12260873 \h </w:instrText>
        </w:r>
        <w:r>
          <w:rPr>
            <w:noProof/>
            <w:webHidden/>
          </w:rPr>
        </w:r>
        <w:r>
          <w:rPr>
            <w:noProof/>
            <w:webHidden/>
          </w:rPr>
          <w:fldChar w:fldCharType="separate"/>
        </w:r>
        <w:r>
          <w:rPr>
            <w:noProof/>
            <w:webHidden/>
          </w:rPr>
          <w:t>368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74" w:history="1">
        <w:r w:rsidRPr="00CD0B56">
          <w:rPr>
            <w:rStyle w:val="Hyperlink"/>
            <w:noProof/>
          </w:rPr>
          <w:t>2.1.806</w:t>
        </w:r>
        <w:r>
          <w:rPr>
            <w:rFonts w:asciiTheme="minorHAnsi" w:eastAsiaTheme="minorEastAsia" w:hAnsiTheme="minorHAnsi" w:cstheme="minorBidi"/>
            <w:noProof/>
            <w:sz w:val="22"/>
            <w:szCs w:val="22"/>
          </w:rPr>
          <w:tab/>
        </w:r>
        <w:r w:rsidRPr="00CD0B56">
          <w:rPr>
            <w:rStyle w:val="Hyperlink"/>
            <w:noProof/>
          </w:rPr>
          <w:t>Part 1 Section 18.11.1.5, oc (Old Cell Data)</w:t>
        </w:r>
        <w:r>
          <w:rPr>
            <w:noProof/>
            <w:webHidden/>
          </w:rPr>
          <w:tab/>
        </w:r>
        <w:r>
          <w:rPr>
            <w:noProof/>
            <w:webHidden/>
          </w:rPr>
          <w:fldChar w:fldCharType="begin"/>
        </w:r>
        <w:r>
          <w:rPr>
            <w:noProof/>
            <w:webHidden/>
          </w:rPr>
          <w:instrText xml:space="preserve"> PAGEREF _Toc12260874 \h </w:instrText>
        </w:r>
        <w:r>
          <w:rPr>
            <w:noProof/>
            <w:webHidden/>
          </w:rPr>
        </w:r>
        <w:r>
          <w:rPr>
            <w:noProof/>
            <w:webHidden/>
          </w:rPr>
          <w:fldChar w:fldCharType="separate"/>
        </w:r>
        <w:r>
          <w:rPr>
            <w:noProof/>
            <w:webHidden/>
          </w:rPr>
          <w:t>368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75" w:history="1">
        <w:r w:rsidRPr="00CD0B56">
          <w:rPr>
            <w:rStyle w:val="Hyperlink"/>
            <w:noProof/>
          </w:rPr>
          <w:t>2.1.807</w:t>
        </w:r>
        <w:r>
          <w:rPr>
            <w:rFonts w:asciiTheme="minorHAnsi" w:eastAsiaTheme="minorEastAsia" w:hAnsiTheme="minorHAnsi" w:cstheme="minorBidi"/>
            <w:noProof/>
            <w:sz w:val="22"/>
            <w:szCs w:val="22"/>
          </w:rPr>
          <w:tab/>
        </w:r>
        <w:r w:rsidRPr="00CD0B56">
          <w:rPr>
            <w:rStyle w:val="Hyperlink"/>
            <w:noProof/>
          </w:rPr>
          <w:t>Part 1 Section 18.11.1.7, oldFormula (Old Formula)</w:t>
        </w:r>
        <w:r>
          <w:rPr>
            <w:noProof/>
            <w:webHidden/>
          </w:rPr>
          <w:tab/>
        </w:r>
        <w:r>
          <w:rPr>
            <w:noProof/>
            <w:webHidden/>
          </w:rPr>
          <w:fldChar w:fldCharType="begin"/>
        </w:r>
        <w:r>
          <w:rPr>
            <w:noProof/>
            <w:webHidden/>
          </w:rPr>
          <w:instrText xml:space="preserve"> PAGEREF _Toc12260875 \h </w:instrText>
        </w:r>
        <w:r>
          <w:rPr>
            <w:noProof/>
            <w:webHidden/>
          </w:rPr>
        </w:r>
        <w:r>
          <w:rPr>
            <w:noProof/>
            <w:webHidden/>
          </w:rPr>
          <w:fldChar w:fldCharType="separate"/>
        </w:r>
        <w:r>
          <w:rPr>
            <w:noProof/>
            <w:webHidden/>
          </w:rPr>
          <w:t>368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76" w:history="1">
        <w:r w:rsidRPr="00CD0B56">
          <w:rPr>
            <w:rStyle w:val="Hyperlink"/>
            <w:noProof/>
          </w:rPr>
          <w:t>2.1.808</w:t>
        </w:r>
        <w:r>
          <w:rPr>
            <w:rFonts w:asciiTheme="minorHAnsi" w:eastAsiaTheme="minorEastAsia" w:hAnsiTheme="minorHAnsi" w:cstheme="minorBidi"/>
            <w:noProof/>
            <w:sz w:val="22"/>
            <w:szCs w:val="22"/>
          </w:rPr>
          <w:tab/>
        </w:r>
        <w:r w:rsidRPr="00CD0B56">
          <w:rPr>
            <w:rStyle w:val="Hyperlink"/>
            <w:noProof/>
          </w:rPr>
          <w:t>Part 1 Section 18.11.1.8, raf (Revision AutoFormat)</w:t>
        </w:r>
        <w:r>
          <w:rPr>
            <w:noProof/>
            <w:webHidden/>
          </w:rPr>
          <w:tab/>
        </w:r>
        <w:r>
          <w:rPr>
            <w:noProof/>
            <w:webHidden/>
          </w:rPr>
          <w:fldChar w:fldCharType="begin"/>
        </w:r>
        <w:r>
          <w:rPr>
            <w:noProof/>
            <w:webHidden/>
          </w:rPr>
          <w:instrText xml:space="preserve"> PAGEREF _Toc12260876 \h </w:instrText>
        </w:r>
        <w:r>
          <w:rPr>
            <w:noProof/>
            <w:webHidden/>
          </w:rPr>
        </w:r>
        <w:r>
          <w:rPr>
            <w:noProof/>
            <w:webHidden/>
          </w:rPr>
          <w:fldChar w:fldCharType="separate"/>
        </w:r>
        <w:r>
          <w:rPr>
            <w:noProof/>
            <w:webHidden/>
          </w:rPr>
          <w:t>369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77" w:history="1">
        <w:r w:rsidRPr="00CD0B56">
          <w:rPr>
            <w:rStyle w:val="Hyperlink"/>
            <w:noProof/>
          </w:rPr>
          <w:t>2.1.809</w:t>
        </w:r>
        <w:r>
          <w:rPr>
            <w:rFonts w:asciiTheme="minorHAnsi" w:eastAsiaTheme="minorEastAsia" w:hAnsiTheme="minorHAnsi" w:cstheme="minorBidi"/>
            <w:noProof/>
            <w:sz w:val="22"/>
            <w:szCs w:val="22"/>
          </w:rPr>
          <w:tab/>
        </w:r>
        <w:r w:rsidRPr="00CD0B56">
          <w:rPr>
            <w:rStyle w:val="Hyperlink"/>
            <w:noProof/>
          </w:rPr>
          <w:t>Part 1 Section 18.11.1.9, rcc (Revision Cell Change)</w:t>
        </w:r>
        <w:r>
          <w:rPr>
            <w:noProof/>
            <w:webHidden/>
          </w:rPr>
          <w:tab/>
        </w:r>
        <w:r>
          <w:rPr>
            <w:noProof/>
            <w:webHidden/>
          </w:rPr>
          <w:fldChar w:fldCharType="begin"/>
        </w:r>
        <w:r>
          <w:rPr>
            <w:noProof/>
            <w:webHidden/>
          </w:rPr>
          <w:instrText xml:space="preserve"> PAGEREF _Toc12260877 \h </w:instrText>
        </w:r>
        <w:r>
          <w:rPr>
            <w:noProof/>
            <w:webHidden/>
          </w:rPr>
        </w:r>
        <w:r>
          <w:rPr>
            <w:noProof/>
            <w:webHidden/>
          </w:rPr>
          <w:fldChar w:fldCharType="separate"/>
        </w:r>
        <w:r>
          <w:rPr>
            <w:noProof/>
            <w:webHidden/>
          </w:rPr>
          <w:t>369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78" w:history="1">
        <w:r w:rsidRPr="00CD0B56">
          <w:rPr>
            <w:rStyle w:val="Hyperlink"/>
            <w:noProof/>
          </w:rPr>
          <w:t>2.1.810</w:t>
        </w:r>
        <w:r>
          <w:rPr>
            <w:rFonts w:asciiTheme="minorHAnsi" w:eastAsiaTheme="minorEastAsia" w:hAnsiTheme="minorHAnsi" w:cstheme="minorBidi"/>
            <w:noProof/>
            <w:sz w:val="22"/>
            <w:szCs w:val="22"/>
          </w:rPr>
          <w:tab/>
        </w:r>
        <w:r w:rsidRPr="00CD0B56">
          <w:rPr>
            <w:rStyle w:val="Hyperlink"/>
            <w:noProof/>
          </w:rPr>
          <w:t>Part 1 Section 18.11.1.10, rcft (Revision Merge Conflict)</w:t>
        </w:r>
        <w:r>
          <w:rPr>
            <w:noProof/>
            <w:webHidden/>
          </w:rPr>
          <w:tab/>
        </w:r>
        <w:r>
          <w:rPr>
            <w:noProof/>
            <w:webHidden/>
          </w:rPr>
          <w:fldChar w:fldCharType="begin"/>
        </w:r>
        <w:r>
          <w:rPr>
            <w:noProof/>
            <w:webHidden/>
          </w:rPr>
          <w:instrText xml:space="preserve"> PAGEREF _Toc12260878 \h </w:instrText>
        </w:r>
        <w:r>
          <w:rPr>
            <w:noProof/>
            <w:webHidden/>
          </w:rPr>
        </w:r>
        <w:r>
          <w:rPr>
            <w:noProof/>
            <w:webHidden/>
          </w:rPr>
          <w:fldChar w:fldCharType="separate"/>
        </w:r>
        <w:r>
          <w:rPr>
            <w:noProof/>
            <w:webHidden/>
          </w:rPr>
          <w:t>369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79" w:history="1">
        <w:r w:rsidRPr="00CD0B56">
          <w:rPr>
            <w:rStyle w:val="Hyperlink"/>
            <w:noProof/>
          </w:rPr>
          <w:t>2.1.811</w:t>
        </w:r>
        <w:r>
          <w:rPr>
            <w:rFonts w:asciiTheme="minorHAnsi" w:eastAsiaTheme="minorEastAsia" w:hAnsiTheme="minorHAnsi" w:cstheme="minorBidi"/>
            <w:noProof/>
            <w:sz w:val="22"/>
            <w:szCs w:val="22"/>
          </w:rPr>
          <w:tab/>
        </w:r>
        <w:r w:rsidRPr="00CD0B56">
          <w:rPr>
            <w:rStyle w:val="Hyperlink"/>
            <w:noProof/>
          </w:rPr>
          <w:t>Part 1 Section 18.11.1.11, rcmt (Revision Cell Comment)</w:t>
        </w:r>
        <w:r>
          <w:rPr>
            <w:noProof/>
            <w:webHidden/>
          </w:rPr>
          <w:tab/>
        </w:r>
        <w:r>
          <w:rPr>
            <w:noProof/>
            <w:webHidden/>
          </w:rPr>
          <w:fldChar w:fldCharType="begin"/>
        </w:r>
        <w:r>
          <w:rPr>
            <w:noProof/>
            <w:webHidden/>
          </w:rPr>
          <w:instrText xml:space="preserve"> PAGEREF _Toc12260879 \h </w:instrText>
        </w:r>
        <w:r>
          <w:rPr>
            <w:noProof/>
            <w:webHidden/>
          </w:rPr>
        </w:r>
        <w:r>
          <w:rPr>
            <w:noProof/>
            <w:webHidden/>
          </w:rPr>
          <w:fldChar w:fldCharType="separate"/>
        </w:r>
        <w:r>
          <w:rPr>
            <w:noProof/>
            <w:webHidden/>
          </w:rPr>
          <w:t>369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80" w:history="1">
        <w:r w:rsidRPr="00CD0B56">
          <w:rPr>
            <w:rStyle w:val="Hyperlink"/>
            <w:noProof/>
          </w:rPr>
          <w:t>2.1.812</w:t>
        </w:r>
        <w:r>
          <w:rPr>
            <w:rFonts w:asciiTheme="minorHAnsi" w:eastAsiaTheme="minorEastAsia" w:hAnsiTheme="minorHAnsi" w:cstheme="minorBidi"/>
            <w:noProof/>
            <w:sz w:val="22"/>
            <w:szCs w:val="22"/>
          </w:rPr>
          <w:tab/>
        </w:r>
        <w:r w:rsidRPr="00CD0B56">
          <w:rPr>
            <w:rStyle w:val="Hyperlink"/>
            <w:noProof/>
          </w:rPr>
          <w:t>Part 1 Section 18.11.1.13, rdn (Revision Defined Name)</w:t>
        </w:r>
        <w:r>
          <w:rPr>
            <w:noProof/>
            <w:webHidden/>
          </w:rPr>
          <w:tab/>
        </w:r>
        <w:r>
          <w:rPr>
            <w:noProof/>
            <w:webHidden/>
          </w:rPr>
          <w:fldChar w:fldCharType="begin"/>
        </w:r>
        <w:r>
          <w:rPr>
            <w:noProof/>
            <w:webHidden/>
          </w:rPr>
          <w:instrText xml:space="preserve"> PAGEREF _Toc12260880 \h </w:instrText>
        </w:r>
        <w:r>
          <w:rPr>
            <w:noProof/>
            <w:webHidden/>
          </w:rPr>
        </w:r>
        <w:r>
          <w:rPr>
            <w:noProof/>
            <w:webHidden/>
          </w:rPr>
          <w:fldChar w:fldCharType="separate"/>
        </w:r>
        <w:r>
          <w:rPr>
            <w:noProof/>
            <w:webHidden/>
          </w:rPr>
          <w:t>370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81" w:history="1">
        <w:r w:rsidRPr="00CD0B56">
          <w:rPr>
            <w:rStyle w:val="Hyperlink"/>
            <w:noProof/>
          </w:rPr>
          <w:t>2.1.813</w:t>
        </w:r>
        <w:r>
          <w:rPr>
            <w:rFonts w:asciiTheme="minorHAnsi" w:eastAsiaTheme="minorEastAsia" w:hAnsiTheme="minorHAnsi" w:cstheme="minorBidi"/>
            <w:noProof/>
            <w:sz w:val="22"/>
            <w:szCs w:val="22"/>
          </w:rPr>
          <w:tab/>
        </w:r>
        <w:r w:rsidRPr="00CD0B56">
          <w:rPr>
            <w:rStyle w:val="Hyperlink"/>
            <w:noProof/>
          </w:rPr>
          <w:t>Part 1 Section 18.11.1.14, reviewed (Reviewed)</w:t>
        </w:r>
        <w:r>
          <w:rPr>
            <w:noProof/>
            <w:webHidden/>
          </w:rPr>
          <w:tab/>
        </w:r>
        <w:r>
          <w:rPr>
            <w:noProof/>
            <w:webHidden/>
          </w:rPr>
          <w:fldChar w:fldCharType="begin"/>
        </w:r>
        <w:r>
          <w:rPr>
            <w:noProof/>
            <w:webHidden/>
          </w:rPr>
          <w:instrText xml:space="preserve"> PAGEREF _Toc12260881 \h </w:instrText>
        </w:r>
        <w:r>
          <w:rPr>
            <w:noProof/>
            <w:webHidden/>
          </w:rPr>
        </w:r>
        <w:r>
          <w:rPr>
            <w:noProof/>
            <w:webHidden/>
          </w:rPr>
          <w:fldChar w:fldCharType="separate"/>
        </w:r>
        <w:r>
          <w:rPr>
            <w:noProof/>
            <w:webHidden/>
          </w:rPr>
          <w:t>371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82" w:history="1">
        <w:r w:rsidRPr="00CD0B56">
          <w:rPr>
            <w:rStyle w:val="Hyperlink"/>
            <w:noProof/>
          </w:rPr>
          <w:t>2.1.814</w:t>
        </w:r>
        <w:r>
          <w:rPr>
            <w:rFonts w:asciiTheme="minorHAnsi" w:eastAsiaTheme="minorEastAsia" w:hAnsiTheme="minorHAnsi" w:cstheme="minorBidi"/>
            <w:noProof/>
            <w:sz w:val="22"/>
            <w:szCs w:val="22"/>
          </w:rPr>
          <w:tab/>
        </w:r>
        <w:r w:rsidRPr="00CD0B56">
          <w:rPr>
            <w:rStyle w:val="Hyperlink"/>
            <w:noProof/>
          </w:rPr>
          <w:t>Part 1 Section 18.11.1.17, rfmt (Revision Format)</w:t>
        </w:r>
        <w:r>
          <w:rPr>
            <w:noProof/>
            <w:webHidden/>
          </w:rPr>
          <w:tab/>
        </w:r>
        <w:r>
          <w:rPr>
            <w:noProof/>
            <w:webHidden/>
          </w:rPr>
          <w:fldChar w:fldCharType="begin"/>
        </w:r>
        <w:r>
          <w:rPr>
            <w:noProof/>
            <w:webHidden/>
          </w:rPr>
          <w:instrText xml:space="preserve"> PAGEREF _Toc12260882 \h </w:instrText>
        </w:r>
        <w:r>
          <w:rPr>
            <w:noProof/>
            <w:webHidden/>
          </w:rPr>
        </w:r>
        <w:r>
          <w:rPr>
            <w:noProof/>
            <w:webHidden/>
          </w:rPr>
          <w:fldChar w:fldCharType="separate"/>
        </w:r>
        <w:r>
          <w:rPr>
            <w:noProof/>
            <w:webHidden/>
          </w:rPr>
          <w:t>371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83" w:history="1">
        <w:r w:rsidRPr="00CD0B56">
          <w:rPr>
            <w:rStyle w:val="Hyperlink"/>
            <w:noProof/>
          </w:rPr>
          <w:t>2.1.815</w:t>
        </w:r>
        <w:r>
          <w:rPr>
            <w:rFonts w:asciiTheme="minorHAnsi" w:eastAsiaTheme="minorEastAsia" w:hAnsiTheme="minorHAnsi" w:cstheme="minorBidi"/>
            <w:noProof/>
            <w:sz w:val="22"/>
            <w:szCs w:val="22"/>
          </w:rPr>
          <w:tab/>
        </w:r>
        <w:r w:rsidRPr="00CD0B56">
          <w:rPr>
            <w:rStyle w:val="Hyperlink"/>
            <w:noProof/>
          </w:rPr>
          <w:t>Part 1 Section 18.11.1.18, ris (Revision Insert Sheet)</w:t>
        </w:r>
        <w:r>
          <w:rPr>
            <w:noProof/>
            <w:webHidden/>
          </w:rPr>
          <w:tab/>
        </w:r>
        <w:r>
          <w:rPr>
            <w:noProof/>
            <w:webHidden/>
          </w:rPr>
          <w:fldChar w:fldCharType="begin"/>
        </w:r>
        <w:r>
          <w:rPr>
            <w:noProof/>
            <w:webHidden/>
          </w:rPr>
          <w:instrText xml:space="preserve"> PAGEREF _Toc12260883 \h </w:instrText>
        </w:r>
        <w:r>
          <w:rPr>
            <w:noProof/>
            <w:webHidden/>
          </w:rPr>
        </w:r>
        <w:r>
          <w:rPr>
            <w:noProof/>
            <w:webHidden/>
          </w:rPr>
          <w:fldChar w:fldCharType="separate"/>
        </w:r>
        <w:r>
          <w:rPr>
            <w:noProof/>
            <w:webHidden/>
          </w:rPr>
          <w:t>371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84" w:history="1">
        <w:r w:rsidRPr="00CD0B56">
          <w:rPr>
            <w:rStyle w:val="Hyperlink"/>
            <w:noProof/>
          </w:rPr>
          <w:t>2.1.816</w:t>
        </w:r>
        <w:r>
          <w:rPr>
            <w:rFonts w:asciiTheme="minorHAnsi" w:eastAsiaTheme="minorEastAsia" w:hAnsiTheme="minorHAnsi" w:cstheme="minorBidi"/>
            <w:noProof/>
            <w:sz w:val="22"/>
            <w:szCs w:val="22"/>
          </w:rPr>
          <w:tab/>
        </w:r>
        <w:r w:rsidRPr="00CD0B56">
          <w:rPr>
            <w:rStyle w:val="Hyperlink"/>
            <w:noProof/>
          </w:rPr>
          <w:t>Part 1 Section 18.11.1.19, rm (Revision Cell Move)</w:t>
        </w:r>
        <w:r>
          <w:rPr>
            <w:noProof/>
            <w:webHidden/>
          </w:rPr>
          <w:tab/>
        </w:r>
        <w:r>
          <w:rPr>
            <w:noProof/>
            <w:webHidden/>
          </w:rPr>
          <w:fldChar w:fldCharType="begin"/>
        </w:r>
        <w:r>
          <w:rPr>
            <w:noProof/>
            <w:webHidden/>
          </w:rPr>
          <w:instrText xml:space="preserve"> PAGEREF _Toc12260884 \h </w:instrText>
        </w:r>
        <w:r>
          <w:rPr>
            <w:noProof/>
            <w:webHidden/>
          </w:rPr>
        </w:r>
        <w:r>
          <w:rPr>
            <w:noProof/>
            <w:webHidden/>
          </w:rPr>
          <w:fldChar w:fldCharType="separate"/>
        </w:r>
        <w:r>
          <w:rPr>
            <w:noProof/>
            <w:webHidden/>
          </w:rPr>
          <w:t>371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85" w:history="1">
        <w:r w:rsidRPr="00CD0B56">
          <w:rPr>
            <w:rStyle w:val="Hyperlink"/>
            <w:noProof/>
          </w:rPr>
          <w:t>2.1.817</w:t>
        </w:r>
        <w:r>
          <w:rPr>
            <w:rFonts w:asciiTheme="minorHAnsi" w:eastAsiaTheme="minorEastAsia" w:hAnsiTheme="minorHAnsi" w:cstheme="minorBidi"/>
            <w:noProof/>
            <w:sz w:val="22"/>
            <w:szCs w:val="22"/>
          </w:rPr>
          <w:tab/>
        </w:r>
        <w:r w:rsidRPr="00CD0B56">
          <w:rPr>
            <w:rStyle w:val="Hyperlink"/>
            <w:noProof/>
          </w:rPr>
          <w:t>Part 1 Section 18.11.1.20, rqt (Revision Query Table)</w:t>
        </w:r>
        <w:r>
          <w:rPr>
            <w:noProof/>
            <w:webHidden/>
          </w:rPr>
          <w:tab/>
        </w:r>
        <w:r>
          <w:rPr>
            <w:noProof/>
            <w:webHidden/>
          </w:rPr>
          <w:fldChar w:fldCharType="begin"/>
        </w:r>
        <w:r>
          <w:rPr>
            <w:noProof/>
            <w:webHidden/>
          </w:rPr>
          <w:instrText xml:space="preserve"> PAGEREF _Toc12260885 \h </w:instrText>
        </w:r>
        <w:r>
          <w:rPr>
            <w:noProof/>
            <w:webHidden/>
          </w:rPr>
        </w:r>
        <w:r>
          <w:rPr>
            <w:noProof/>
            <w:webHidden/>
          </w:rPr>
          <w:fldChar w:fldCharType="separate"/>
        </w:r>
        <w:r>
          <w:rPr>
            <w:noProof/>
            <w:webHidden/>
          </w:rPr>
          <w:t>372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86" w:history="1">
        <w:r w:rsidRPr="00CD0B56">
          <w:rPr>
            <w:rStyle w:val="Hyperlink"/>
            <w:noProof/>
          </w:rPr>
          <w:t>2.1.818</w:t>
        </w:r>
        <w:r>
          <w:rPr>
            <w:rFonts w:asciiTheme="minorHAnsi" w:eastAsiaTheme="minorEastAsia" w:hAnsiTheme="minorHAnsi" w:cstheme="minorBidi"/>
            <w:noProof/>
            <w:sz w:val="22"/>
            <w:szCs w:val="22"/>
          </w:rPr>
          <w:tab/>
        </w:r>
        <w:r w:rsidRPr="00CD0B56">
          <w:rPr>
            <w:rStyle w:val="Hyperlink"/>
            <w:noProof/>
          </w:rPr>
          <w:t>Part 1 Section 18.11.1.21, rrc (Revision Row Column Insert Delete)</w:t>
        </w:r>
        <w:r>
          <w:rPr>
            <w:noProof/>
            <w:webHidden/>
          </w:rPr>
          <w:tab/>
        </w:r>
        <w:r>
          <w:rPr>
            <w:noProof/>
            <w:webHidden/>
          </w:rPr>
          <w:fldChar w:fldCharType="begin"/>
        </w:r>
        <w:r>
          <w:rPr>
            <w:noProof/>
            <w:webHidden/>
          </w:rPr>
          <w:instrText xml:space="preserve"> PAGEREF _Toc12260886 \h </w:instrText>
        </w:r>
        <w:r>
          <w:rPr>
            <w:noProof/>
            <w:webHidden/>
          </w:rPr>
        </w:r>
        <w:r>
          <w:rPr>
            <w:noProof/>
            <w:webHidden/>
          </w:rPr>
          <w:fldChar w:fldCharType="separate"/>
        </w:r>
        <w:r>
          <w:rPr>
            <w:noProof/>
            <w:webHidden/>
          </w:rPr>
          <w:t>372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87" w:history="1">
        <w:r w:rsidRPr="00CD0B56">
          <w:rPr>
            <w:rStyle w:val="Hyperlink"/>
            <w:noProof/>
          </w:rPr>
          <w:t>2.1.819</w:t>
        </w:r>
        <w:r>
          <w:rPr>
            <w:rFonts w:asciiTheme="minorHAnsi" w:eastAsiaTheme="minorEastAsia" w:hAnsiTheme="minorHAnsi" w:cstheme="minorBidi"/>
            <w:noProof/>
            <w:sz w:val="22"/>
            <w:szCs w:val="22"/>
          </w:rPr>
          <w:tab/>
        </w:r>
        <w:r w:rsidRPr="00CD0B56">
          <w:rPr>
            <w:rStyle w:val="Hyperlink"/>
            <w:noProof/>
          </w:rPr>
          <w:t>Part 1 Section 18.11.1.22, rsnm (Revision Sheet Name)</w:t>
        </w:r>
        <w:r>
          <w:rPr>
            <w:noProof/>
            <w:webHidden/>
          </w:rPr>
          <w:tab/>
        </w:r>
        <w:r>
          <w:rPr>
            <w:noProof/>
            <w:webHidden/>
          </w:rPr>
          <w:fldChar w:fldCharType="begin"/>
        </w:r>
        <w:r>
          <w:rPr>
            <w:noProof/>
            <w:webHidden/>
          </w:rPr>
          <w:instrText xml:space="preserve"> PAGEREF _Toc12260887 \h </w:instrText>
        </w:r>
        <w:r>
          <w:rPr>
            <w:noProof/>
            <w:webHidden/>
          </w:rPr>
        </w:r>
        <w:r>
          <w:rPr>
            <w:noProof/>
            <w:webHidden/>
          </w:rPr>
          <w:fldChar w:fldCharType="separate"/>
        </w:r>
        <w:r>
          <w:rPr>
            <w:noProof/>
            <w:webHidden/>
          </w:rPr>
          <w:t>372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88" w:history="1">
        <w:r w:rsidRPr="00CD0B56">
          <w:rPr>
            <w:rStyle w:val="Hyperlink"/>
            <w:noProof/>
          </w:rPr>
          <w:t>2.1.820</w:t>
        </w:r>
        <w:r>
          <w:rPr>
            <w:rFonts w:asciiTheme="minorHAnsi" w:eastAsiaTheme="minorEastAsia" w:hAnsiTheme="minorHAnsi" w:cstheme="minorBidi"/>
            <w:noProof/>
            <w:sz w:val="22"/>
            <w:szCs w:val="22"/>
          </w:rPr>
          <w:tab/>
        </w:r>
        <w:r w:rsidRPr="00CD0B56">
          <w:rPr>
            <w:rStyle w:val="Hyperlink"/>
            <w:noProof/>
          </w:rPr>
          <w:t>Part 1 Section 18.11.1.23, sheetId (Sheet Id)</w:t>
        </w:r>
        <w:r>
          <w:rPr>
            <w:noProof/>
            <w:webHidden/>
          </w:rPr>
          <w:tab/>
        </w:r>
        <w:r>
          <w:rPr>
            <w:noProof/>
            <w:webHidden/>
          </w:rPr>
          <w:fldChar w:fldCharType="begin"/>
        </w:r>
        <w:r>
          <w:rPr>
            <w:noProof/>
            <w:webHidden/>
          </w:rPr>
          <w:instrText xml:space="preserve"> PAGEREF _Toc12260888 \h </w:instrText>
        </w:r>
        <w:r>
          <w:rPr>
            <w:noProof/>
            <w:webHidden/>
          </w:rPr>
        </w:r>
        <w:r>
          <w:rPr>
            <w:noProof/>
            <w:webHidden/>
          </w:rPr>
          <w:fldChar w:fldCharType="separate"/>
        </w:r>
        <w:r>
          <w:rPr>
            <w:noProof/>
            <w:webHidden/>
          </w:rPr>
          <w:t>372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89" w:history="1">
        <w:r w:rsidRPr="00CD0B56">
          <w:rPr>
            <w:rStyle w:val="Hyperlink"/>
            <w:noProof/>
          </w:rPr>
          <w:t>2.1.821</w:t>
        </w:r>
        <w:r>
          <w:rPr>
            <w:rFonts w:asciiTheme="minorHAnsi" w:eastAsiaTheme="minorEastAsia" w:hAnsiTheme="minorHAnsi" w:cstheme="minorBidi"/>
            <w:noProof/>
            <w:sz w:val="22"/>
            <w:szCs w:val="22"/>
          </w:rPr>
          <w:tab/>
        </w:r>
        <w:r w:rsidRPr="00CD0B56">
          <w:rPr>
            <w:rStyle w:val="Hyperlink"/>
            <w:noProof/>
          </w:rPr>
          <w:t>Part 1 Section 18.11.1.24, sheetIdMap (Sheet Id Map)</w:t>
        </w:r>
        <w:r>
          <w:rPr>
            <w:noProof/>
            <w:webHidden/>
          </w:rPr>
          <w:tab/>
        </w:r>
        <w:r>
          <w:rPr>
            <w:noProof/>
            <w:webHidden/>
          </w:rPr>
          <w:fldChar w:fldCharType="begin"/>
        </w:r>
        <w:r>
          <w:rPr>
            <w:noProof/>
            <w:webHidden/>
          </w:rPr>
          <w:instrText xml:space="preserve"> PAGEREF _Toc12260889 \h </w:instrText>
        </w:r>
        <w:r>
          <w:rPr>
            <w:noProof/>
            <w:webHidden/>
          </w:rPr>
        </w:r>
        <w:r>
          <w:rPr>
            <w:noProof/>
            <w:webHidden/>
          </w:rPr>
          <w:fldChar w:fldCharType="separate"/>
        </w:r>
        <w:r>
          <w:rPr>
            <w:noProof/>
            <w:webHidden/>
          </w:rPr>
          <w:t>372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90" w:history="1">
        <w:r w:rsidRPr="00CD0B56">
          <w:rPr>
            <w:rStyle w:val="Hyperlink"/>
            <w:noProof/>
          </w:rPr>
          <w:t>2.1.822</w:t>
        </w:r>
        <w:r>
          <w:rPr>
            <w:rFonts w:asciiTheme="minorHAnsi" w:eastAsiaTheme="minorEastAsia" w:hAnsiTheme="minorHAnsi" w:cstheme="minorBidi"/>
            <w:noProof/>
            <w:sz w:val="22"/>
            <w:szCs w:val="22"/>
          </w:rPr>
          <w:tab/>
        </w:r>
        <w:r w:rsidRPr="00CD0B56">
          <w:rPr>
            <w:rStyle w:val="Hyperlink"/>
            <w:noProof/>
          </w:rPr>
          <w:t>Part 1 Section 18.11.1.25, undo (Undo)</w:t>
        </w:r>
        <w:r>
          <w:rPr>
            <w:noProof/>
            <w:webHidden/>
          </w:rPr>
          <w:tab/>
        </w:r>
        <w:r>
          <w:rPr>
            <w:noProof/>
            <w:webHidden/>
          </w:rPr>
          <w:fldChar w:fldCharType="begin"/>
        </w:r>
        <w:r>
          <w:rPr>
            <w:noProof/>
            <w:webHidden/>
          </w:rPr>
          <w:instrText xml:space="preserve"> PAGEREF _Toc12260890 \h </w:instrText>
        </w:r>
        <w:r>
          <w:rPr>
            <w:noProof/>
            <w:webHidden/>
          </w:rPr>
        </w:r>
        <w:r>
          <w:rPr>
            <w:noProof/>
            <w:webHidden/>
          </w:rPr>
          <w:fldChar w:fldCharType="separate"/>
        </w:r>
        <w:r>
          <w:rPr>
            <w:noProof/>
            <w:webHidden/>
          </w:rPr>
          <w:t>373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91" w:history="1">
        <w:r w:rsidRPr="00CD0B56">
          <w:rPr>
            <w:rStyle w:val="Hyperlink"/>
            <w:noProof/>
          </w:rPr>
          <w:t>2.1.823</w:t>
        </w:r>
        <w:r>
          <w:rPr>
            <w:rFonts w:asciiTheme="minorHAnsi" w:eastAsiaTheme="minorEastAsia" w:hAnsiTheme="minorHAnsi" w:cstheme="minorBidi"/>
            <w:noProof/>
            <w:sz w:val="22"/>
            <w:szCs w:val="22"/>
          </w:rPr>
          <w:tab/>
        </w:r>
        <w:r w:rsidRPr="00CD0B56">
          <w:rPr>
            <w:rStyle w:val="Hyperlink"/>
            <w:noProof/>
          </w:rPr>
          <w:t>Part 1 Section 18.11.2.2, users (User List)</w:t>
        </w:r>
        <w:r>
          <w:rPr>
            <w:noProof/>
            <w:webHidden/>
          </w:rPr>
          <w:tab/>
        </w:r>
        <w:r>
          <w:rPr>
            <w:noProof/>
            <w:webHidden/>
          </w:rPr>
          <w:fldChar w:fldCharType="begin"/>
        </w:r>
        <w:r>
          <w:rPr>
            <w:noProof/>
            <w:webHidden/>
          </w:rPr>
          <w:instrText xml:space="preserve"> PAGEREF _Toc12260891 \h </w:instrText>
        </w:r>
        <w:r>
          <w:rPr>
            <w:noProof/>
            <w:webHidden/>
          </w:rPr>
        </w:r>
        <w:r>
          <w:rPr>
            <w:noProof/>
            <w:webHidden/>
          </w:rPr>
          <w:fldChar w:fldCharType="separate"/>
        </w:r>
        <w:r>
          <w:rPr>
            <w:noProof/>
            <w:webHidden/>
          </w:rPr>
          <w:t>373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92" w:history="1">
        <w:r w:rsidRPr="00CD0B56">
          <w:rPr>
            <w:rStyle w:val="Hyperlink"/>
            <w:noProof/>
          </w:rPr>
          <w:t>2.1.824</w:t>
        </w:r>
        <w:r>
          <w:rPr>
            <w:rFonts w:asciiTheme="minorHAnsi" w:eastAsiaTheme="minorEastAsia" w:hAnsiTheme="minorHAnsi" w:cstheme="minorBidi"/>
            <w:noProof/>
            <w:sz w:val="22"/>
            <w:szCs w:val="22"/>
          </w:rPr>
          <w:tab/>
        </w:r>
        <w:r w:rsidRPr="00CD0B56">
          <w:rPr>
            <w:rStyle w:val="Hyperlink"/>
            <w:noProof/>
          </w:rPr>
          <w:t>Part 1 Section 18.12.1, deletedField (Deleted Field)</w:t>
        </w:r>
        <w:r>
          <w:rPr>
            <w:noProof/>
            <w:webHidden/>
          </w:rPr>
          <w:tab/>
        </w:r>
        <w:r>
          <w:rPr>
            <w:noProof/>
            <w:webHidden/>
          </w:rPr>
          <w:fldChar w:fldCharType="begin"/>
        </w:r>
        <w:r>
          <w:rPr>
            <w:noProof/>
            <w:webHidden/>
          </w:rPr>
          <w:instrText xml:space="preserve"> PAGEREF _Toc12260892 \h </w:instrText>
        </w:r>
        <w:r>
          <w:rPr>
            <w:noProof/>
            <w:webHidden/>
          </w:rPr>
        </w:r>
        <w:r>
          <w:rPr>
            <w:noProof/>
            <w:webHidden/>
          </w:rPr>
          <w:fldChar w:fldCharType="separate"/>
        </w:r>
        <w:r>
          <w:rPr>
            <w:noProof/>
            <w:webHidden/>
          </w:rPr>
          <w:t>373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93" w:history="1">
        <w:r w:rsidRPr="00CD0B56">
          <w:rPr>
            <w:rStyle w:val="Hyperlink"/>
            <w:noProof/>
          </w:rPr>
          <w:t>2.1.825</w:t>
        </w:r>
        <w:r>
          <w:rPr>
            <w:rFonts w:asciiTheme="minorHAnsi" w:eastAsiaTheme="minorEastAsia" w:hAnsiTheme="minorHAnsi" w:cstheme="minorBidi"/>
            <w:noProof/>
            <w:sz w:val="22"/>
            <w:szCs w:val="22"/>
          </w:rPr>
          <w:tab/>
        </w:r>
        <w:r w:rsidRPr="00CD0B56">
          <w:rPr>
            <w:rStyle w:val="Hyperlink"/>
            <w:noProof/>
          </w:rPr>
          <w:t>Part 1 Section 18.12.2, queryTable (Query Table)</w:t>
        </w:r>
        <w:r>
          <w:rPr>
            <w:noProof/>
            <w:webHidden/>
          </w:rPr>
          <w:tab/>
        </w:r>
        <w:r>
          <w:rPr>
            <w:noProof/>
            <w:webHidden/>
          </w:rPr>
          <w:fldChar w:fldCharType="begin"/>
        </w:r>
        <w:r>
          <w:rPr>
            <w:noProof/>
            <w:webHidden/>
          </w:rPr>
          <w:instrText xml:space="preserve"> PAGEREF _Toc12260893 \h </w:instrText>
        </w:r>
        <w:r>
          <w:rPr>
            <w:noProof/>
            <w:webHidden/>
          </w:rPr>
        </w:r>
        <w:r>
          <w:rPr>
            <w:noProof/>
            <w:webHidden/>
          </w:rPr>
          <w:fldChar w:fldCharType="separate"/>
        </w:r>
        <w:r>
          <w:rPr>
            <w:noProof/>
            <w:webHidden/>
          </w:rPr>
          <w:t>373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94" w:history="1">
        <w:r w:rsidRPr="00CD0B56">
          <w:rPr>
            <w:rStyle w:val="Hyperlink"/>
            <w:noProof/>
          </w:rPr>
          <w:t>2.1.826</w:t>
        </w:r>
        <w:r>
          <w:rPr>
            <w:rFonts w:asciiTheme="minorHAnsi" w:eastAsiaTheme="minorEastAsia" w:hAnsiTheme="minorHAnsi" w:cstheme="minorBidi"/>
            <w:noProof/>
            <w:sz w:val="22"/>
            <w:szCs w:val="22"/>
          </w:rPr>
          <w:tab/>
        </w:r>
        <w:r w:rsidRPr="00CD0B56">
          <w:rPr>
            <w:rStyle w:val="Hyperlink"/>
            <w:noProof/>
          </w:rPr>
          <w:t>Part 1 Section 18.12.4, queryTableField (QueryTable Field)</w:t>
        </w:r>
        <w:r>
          <w:rPr>
            <w:noProof/>
            <w:webHidden/>
          </w:rPr>
          <w:tab/>
        </w:r>
        <w:r>
          <w:rPr>
            <w:noProof/>
            <w:webHidden/>
          </w:rPr>
          <w:fldChar w:fldCharType="begin"/>
        </w:r>
        <w:r>
          <w:rPr>
            <w:noProof/>
            <w:webHidden/>
          </w:rPr>
          <w:instrText xml:space="preserve"> PAGEREF _Toc12260894 \h </w:instrText>
        </w:r>
        <w:r>
          <w:rPr>
            <w:noProof/>
            <w:webHidden/>
          </w:rPr>
        </w:r>
        <w:r>
          <w:rPr>
            <w:noProof/>
            <w:webHidden/>
          </w:rPr>
          <w:fldChar w:fldCharType="separate"/>
        </w:r>
        <w:r>
          <w:rPr>
            <w:noProof/>
            <w:webHidden/>
          </w:rPr>
          <w:t>374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95" w:history="1">
        <w:r w:rsidRPr="00CD0B56">
          <w:rPr>
            <w:rStyle w:val="Hyperlink"/>
            <w:noProof/>
          </w:rPr>
          <w:t>2.1.827</w:t>
        </w:r>
        <w:r>
          <w:rPr>
            <w:rFonts w:asciiTheme="minorHAnsi" w:eastAsiaTheme="minorEastAsia" w:hAnsiTheme="minorHAnsi" w:cstheme="minorBidi"/>
            <w:noProof/>
            <w:sz w:val="22"/>
            <w:szCs w:val="22"/>
          </w:rPr>
          <w:tab/>
        </w:r>
        <w:r w:rsidRPr="00CD0B56">
          <w:rPr>
            <w:rStyle w:val="Hyperlink"/>
            <w:noProof/>
          </w:rPr>
          <w:t>Part 1 Section 18.12.6, queryTableRefresh (QueryTable Refresh Information)</w:t>
        </w:r>
        <w:r>
          <w:rPr>
            <w:noProof/>
            <w:webHidden/>
          </w:rPr>
          <w:tab/>
        </w:r>
        <w:r>
          <w:rPr>
            <w:noProof/>
            <w:webHidden/>
          </w:rPr>
          <w:fldChar w:fldCharType="begin"/>
        </w:r>
        <w:r>
          <w:rPr>
            <w:noProof/>
            <w:webHidden/>
          </w:rPr>
          <w:instrText xml:space="preserve"> PAGEREF _Toc12260895 \h </w:instrText>
        </w:r>
        <w:r>
          <w:rPr>
            <w:noProof/>
            <w:webHidden/>
          </w:rPr>
        </w:r>
        <w:r>
          <w:rPr>
            <w:noProof/>
            <w:webHidden/>
          </w:rPr>
          <w:fldChar w:fldCharType="separate"/>
        </w:r>
        <w:r>
          <w:rPr>
            <w:noProof/>
            <w:webHidden/>
          </w:rPr>
          <w:t>374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96" w:history="1">
        <w:r w:rsidRPr="00CD0B56">
          <w:rPr>
            <w:rStyle w:val="Hyperlink"/>
            <w:noProof/>
          </w:rPr>
          <w:t>2.1.828</w:t>
        </w:r>
        <w:r>
          <w:rPr>
            <w:rFonts w:asciiTheme="minorHAnsi" w:eastAsiaTheme="minorEastAsia" w:hAnsiTheme="minorHAnsi" w:cstheme="minorBidi"/>
            <w:noProof/>
            <w:sz w:val="22"/>
            <w:szCs w:val="22"/>
          </w:rPr>
          <w:tab/>
        </w:r>
        <w:r w:rsidRPr="00CD0B56">
          <w:rPr>
            <w:rStyle w:val="Hyperlink"/>
            <w:noProof/>
          </w:rPr>
          <w:t>Part 1 Section 18.13.1, connection (Connection)</w:t>
        </w:r>
        <w:r>
          <w:rPr>
            <w:noProof/>
            <w:webHidden/>
          </w:rPr>
          <w:tab/>
        </w:r>
        <w:r>
          <w:rPr>
            <w:noProof/>
            <w:webHidden/>
          </w:rPr>
          <w:fldChar w:fldCharType="begin"/>
        </w:r>
        <w:r>
          <w:rPr>
            <w:noProof/>
            <w:webHidden/>
          </w:rPr>
          <w:instrText xml:space="preserve"> PAGEREF _Toc12260896 \h </w:instrText>
        </w:r>
        <w:r>
          <w:rPr>
            <w:noProof/>
            <w:webHidden/>
          </w:rPr>
        </w:r>
        <w:r>
          <w:rPr>
            <w:noProof/>
            <w:webHidden/>
          </w:rPr>
          <w:fldChar w:fldCharType="separate"/>
        </w:r>
        <w:r>
          <w:rPr>
            <w:noProof/>
            <w:webHidden/>
          </w:rPr>
          <w:t>375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97" w:history="1">
        <w:r w:rsidRPr="00CD0B56">
          <w:rPr>
            <w:rStyle w:val="Hyperlink"/>
            <w:noProof/>
          </w:rPr>
          <w:t>2.1.829</w:t>
        </w:r>
        <w:r>
          <w:rPr>
            <w:rFonts w:asciiTheme="minorHAnsi" w:eastAsiaTheme="minorEastAsia" w:hAnsiTheme="minorHAnsi" w:cstheme="minorBidi"/>
            <w:noProof/>
            <w:sz w:val="22"/>
            <w:szCs w:val="22"/>
          </w:rPr>
          <w:tab/>
        </w:r>
        <w:r w:rsidRPr="00CD0B56">
          <w:rPr>
            <w:rStyle w:val="Hyperlink"/>
            <w:noProof/>
          </w:rPr>
          <w:t>Part 1 Section 18.13.3, dbPr (Database Properties)</w:t>
        </w:r>
        <w:r>
          <w:rPr>
            <w:noProof/>
            <w:webHidden/>
          </w:rPr>
          <w:tab/>
        </w:r>
        <w:r>
          <w:rPr>
            <w:noProof/>
            <w:webHidden/>
          </w:rPr>
          <w:fldChar w:fldCharType="begin"/>
        </w:r>
        <w:r>
          <w:rPr>
            <w:noProof/>
            <w:webHidden/>
          </w:rPr>
          <w:instrText xml:space="preserve"> PAGEREF _Toc12260897 \h </w:instrText>
        </w:r>
        <w:r>
          <w:rPr>
            <w:noProof/>
            <w:webHidden/>
          </w:rPr>
        </w:r>
        <w:r>
          <w:rPr>
            <w:noProof/>
            <w:webHidden/>
          </w:rPr>
          <w:fldChar w:fldCharType="separate"/>
        </w:r>
        <w:r>
          <w:rPr>
            <w:noProof/>
            <w:webHidden/>
          </w:rPr>
          <w:t>376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98" w:history="1">
        <w:r w:rsidRPr="00CD0B56">
          <w:rPr>
            <w:rStyle w:val="Hyperlink"/>
            <w:noProof/>
          </w:rPr>
          <w:t>2.1.830</w:t>
        </w:r>
        <w:r>
          <w:rPr>
            <w:rFonts w:asciiTheme="minorHAnsi" w:eastAsiaTheme="minorEastAsia" w:hAnsiTheme="minorHAnsi" w:cstheme="minorBidi"/>
            <w:noProof/>
            <w:sz w:val="22"/>
            <w:szCs w:val="22"/>
          </w:rPr>
          <w:tab/>
        </w:r>
        <w:r w:rsidRPr="00CD0B56">
          <w:rPr>
            <w:rStyle w:val="Hyperlink"/>
            <w:noProof/>
          </w:rPr>
          <w:t>Part 1 Section 18.13.5, olapPr (OLAP Properties)</w:t>
        </w:r>
        <w:r>
          <w:rPr>
            <w:noProof/>
            <w:webHidden/>
          </w:rPr>
          <w:tab/>
        </w:r>
        <w:r>
          <w:rPr>
            <w:noProof/>
            <w:webHidden/>
          </w:rPr>
          <w:fldChar w:fldCharType="begin"/>
        </w:r>
        <w:r>
          <w:rPr>
            <w:noProof/>
            <w:webHidden/>
          </w:rPr>
          <w:instrText xml:space="preserve"> PAGEREF _Toc12260898 \h </w:instrText>
        </w:r>
        <w:r>
          <w:rPr>
            <w:noProof/>
            <w:webHidden/>
          </w:rPr>
        </w:r>
        <w:r>
          <w:rPr>
            <w:noProof/>
            <w:webHidden/>
          </w:rPr>
          <w:fldChar w:fldCharType="separate"/>
        </w:r>
        <w:r>
          <w:rPr>
            <w:noProof/>
            <w:webHidden/>
          </w:rPr>
          <w:t>376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899" w:history="1">
        <w:r w:rsidRPr="00CD0B56">
          <w:rPr>
            <w:rStyle w:val="Hyperlink"/>
            <w:noProof/>
          </w:rPr>
          <w:t>2.1.831</w:t>
        </w:r>
        <w:r>
          <w:rPr>
            <w:rFonts w:asciiTheme="minorHAnsi" w:eastAsiaTheme="minorEastAsia" w:hAnsiTheme="minorHAnsi" w:cstheme="minorBidi"/>
            <w:noProof/>
            <w:sz w:val="22"/>
            <w:szCs w:val="22"/>
          </w:rPr>
          <w:tab/>
        </w:r>
        <w:r w:rsidRPr="00CD0B56">
          <w:rPr>
            <w:rStyle w:val="Hyperlink"/>
            <w:noProof/>
          </w:rPr>
          <w:t>Part 1 Section 18.13.6, parameter (Parameter Properties)</w:t>
        </w:r>
        <w:r>
          <w:rPr>
            <w:noProof/>
            <w:webHidden/>
          </w:rPr>
          <w:tab/>
        </w:r>
        <w:r>
          <w:rPr>
            <w:noProof/>
            <w:webHidden/>
          </w:rPr>
          <w:fldChar w:fldCharType="begin"/>
        </w:r>
        <w:r>
          <w:rPr>
            <w:noProof/>
            <w:webHidden/>
          </w:rPr>
          <w:instrText xml:space="preserve"> PAGEREF _Toc12260899 \h </w:instrText>
        </w:r>
        <w:r>
          <w:rPr>
            <w:noProof/>
            <w:webHidden/>
          </w:rPr>
        </w:r>
        <w:r>
          <w:rPr>
            <w:noProof/>
            <w:webHidden/>
          </w:rPr>
          <w:fldChar w:fldCharType="separate"/>
        </w:r>
        <w:r>
          <w:rPr>
            <w:noProof/>
            <w:webHidden/>
          </w:rPr>
          <w:t>376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00" w:history="1">
        <w:r w:rsidRPr="00CD0B56">
          <w:rPr>
            <w:rStyle w:val="Hyperlink"/>
            <w:noProof/>
          </w:rPr>
          <w:t>2.1.832</w:t>
        </w:r>
        <w:r>
          <w:rPr>
            <w:rFonts w:asciiTheme="minorHAnsi" w:eastAsiaTheme="minorEastAsia" w:hAnsiTheme="minorHAnsi" w:cstheme="minorBidi"/>
            <w:noProof/>
            <w:sz w:val="22"/>
            <w:szCs w:val="22"/>
          </w:rPr>
          <w:tab/>
        </w:r>
        <w:r w:rsidRPr="00CD0B56">
          <w:rPr>
            <w:rStyle w:val="Hyperlink"/>
            <w:noProof/>
          </w:rPr>
          <w:t>Part 1 Section 18.13.8, s (Character Value)</w:t>
        </w:r>
        <w:r>
          <w:rPr>
            <w:noProof/>
            <w:webHidden/>
          </w:rPr>
          <w:tab/>
        </w:r>
        <w:r>
          <w:rPr>
            <w:noProof/>
            <w:webHidden/>
          </w:rPr>
          <w:fldChar w:fldCharType="begin"/>
        </w:r>
        <w:r>
          <w:rPr>
            <w:noProof/>
            <w:webHidden/>
          </w:rPr>
          <w:instrText xml:space="preserve"> PAGEREF _Toc12260900 \h </w:instrText>
        </w:r>
        <w:r>
          <w:rPr>
            <w:noProof/>
            <w:webHidden/>
          </w:rPr>
        </w:r>
        <w:r>
          <w:rPr>
            <w:noProof/>
            <w:webHidden/>
          </w:rPr>
          <w:fldChar w:fldCharType="separate"/>
        </w:r>
        <w:r>
          <w:rPr>
            <w:noProof/>
            <w:webHidden/>
          </w:rPr>
          <w:t>377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01" w:history="1">
        <w:r w:rsidRPr="00CD0B56">
          <w:rPr>
            <w:rStyle w:val="Hyperlink"/>
            <w:noProof/>
          </w:rPr>
          <w:t>2.1.833</w:t>
        </w:r>
        <w:r>
          <w:rPr>
            <w:rFonts w:asciiTheme="minorHAnsi" w:eastAsiaTheme="minorEastAsia" w:hAnsiTheme="minorHAnsi" w:cstheme="minorBidi"/>
            <w:noProof/>
            <w:sz w:val="22"/>
            <w:szCs w:val="22"/>
          </w:rPr>
          <w:tab/>
        </w:r>
        <w:r w:rsidRPr="00CD0B56">
          <w:rPr>
            <w:rStyle w:val="Hyperlink"/>
            <w:noProof/>
          </w:rPr>
          <w:t>Part 1 Section 18.13.10, textField (Text Import Field Settings)</w:t>
        </w:r>
        <w:r>
          <w:rPr>
            <w:noProof/>
            <w:webHidden/>
          </w:rPr>
          <w:tab/>
        </w:r>
        <w:r>
          <w:rPr>
            <w:noProof/>
            <w:webHidden/>
          </w:rPr>
          <w:fldChar w:fldCharType="begin"/>
        </w:r>
        <w:r>
          <w:rPr>
            <w:noProof/>
            <w:webHidden/>
          </w:rPr>
          <w:instrText xml:space="preserve"> PAGEREF _Toc12260901 \h </w:instrText>
        </w:r>
        <w:r>
          <w:rPr>
            <w:noProof/>
            <w:webHidden/>
          </w:rPr>
        </w:r>
        <w:r>
          <w:rPr>
            <w:noProof/>
            <w:webHidden/>
          </w:rPr>
          <w:fldChar w:fldCharType="separate"/>
        </w:r>
        <w:r>
          <w:rPr>
            <w:noProof/>
            <w:webHidden/>
          </w:rPr>
          <w:t>377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02" w:history="1">
        <w:r w:rsidRPr="00CD0B56">
          <w:rPr>
            <w:rStyle w:val="Hyperlink"/>
            <w:noProof/>
          </w:rPr>
          <w:t>2.1.834</w:t>
        </w:r>
        <w:r>
          <w:rPr>
            <w:rFonts w:asciiTheme="minorHAnsi" w:eastAsiaTheme="minorEastAsia" w:hAnsiTheme="minorHAnsi" w:cstheme="minorBidi"/>
            <w:noProof/>
            <w:sz w:val="22"/>
            <w:szCs w:val="22"/>
          </w:rPr>
          <w:tab/>
        </w:r>
        <w:r w:rsidRPr="00CD0B56">
          <w:rPr>
            <w:rStyle w:val="Hyperlink"/>
            <w:noProof/>
          </w:rPr>
          <w:t>Part 1 Section 18.13.11, textFields (Fields)</w:t>
        </w:r>
        <w:r>
          <w:rPr>
            <w:noProof/>
            <w:webHidden/>
          </w:rPr>
          <w:tab/>
        </w:r>
        <w:r>
          <w:rPr>
            <w:noProof/>
            <w:webHidden/>
          </w:rPr>
          <w:fldChar w:fldCharType="begin"/>
        </w:r>
        <w:r>
          <w:rPr>
            <w:noProof/>
            <w:webHidden/>
          </w:rPr>
          <w:instrText xml:space="preserve"> PAGEREF _Toc12260902 \h </w:instrText>
        </w:r>
        <w:r>
          <w:rPr>
            <w:noProof/>
            <w:webHidden/>
          </w:rPr>
        </w:r>
        <w:r>
          <w:rPr>
            <w:noProof/>
            <w:webHidden/>
          </w:rPr>
          <w:fldChar w:fldCharType="separate"/>
        </w:r>
        <w:r>
          <w:rPr>
            <w:noProof/>
            <w:webHidden/>
          </w:rPr>
          <w:t>377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03" w:history="1">
        <w:r w:rsidRPr="00CD0B56">
          <w:rPr>
            <w:rStyle w:val="Hyperlink"/>
            <w:noProof/>
          </w:rPr>
          <w:t>2.1.835</w:t>
        </w:r>
        <w:r>
          <w:rPr>
            <w:rFonts w:asciiTheme="minorHAnsi" w:eastAsiaTheme="minorEastAsia" w:hAnsiTheme="minorHAnsi" w:cstheme="minorBidi"/>
            <w:noProof/>
            <w:sz w:val="22"/>
            <w:szCs w:val="22"/>
          </w:rPr>
          <w:tab/>
        </w:r>
        <w:r w:rsidRPr="00CD0B56">
          <w:rPr>
            <w:rStyle w:val="Hyperlink"/>
            <w:noProof/>
          </w:rPr>
          <w:t>Part 1 Section 18.13.12, textPr (Text Import Settings)</w:t>
        </w:r>
        <w:r>
          <w:rPr>
            <w:noProof/>
            <w:webHidden/>
          </w:rPr>
          <w:tab/>
        </w:r>
        <w:r>
          <w:rPr>
            <w:noProof/>
            <w:webHidden/>
          </w:rPr>
          <w:fldChar w:fldCharType="begin"/>
        </w:r>
        <w:r>
          <w:rPr>
            <w:noProof/>
            <w:webHidden/>
          </w:rPr>
          <w:instrText xml:space="preserve"> PAGEREF _Toc12260903 \h </w:instrText>
        </w:r>
        <w:r>
          <w:rPr>
            <w:noProof/>
            <w:webHidden/>
          </w:rPr>
        </w:r>
        <w:r>
          <w:rPr>
            <w:noProof/>
            <w:webHidden/>
          </w:rPr>
          <w:fldChar w:fldCharType="separate"/>
        </w:r>
        <w:r>
          <w:rPr>
            <w:noProof/>
            <w:webHidden/>
          </w:rPr>
          <w:t>377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04" w:history="1">
        <w:r w:rsidRPr="00CD0B56">
          <w:rPr>
            <w:rStyle w:val="Hyperlink"/>
            <w:noProof/>
          </w:rPr>
          <w:t>2.1.836</w:t>
        </w:r>
        <w:r>
          <w:rPr>
            <w:rFonts w:asciiTheme="minorHAnsi" w:eastAsiaTheme="minorEastAsia" w:hAnsiTheme="minorHAnsi" w:cstheme="minorBidi"/>
            <w:noProof/>
            <w:sz w:val="22"/>
            <w:szCs w:val="22"/>
          </w:rPr>
          <w:tab/>
        </w:r>
        <w:r w:rsidRPr="00CD0B56">
          <w:rPr>
            <w:rStyle w:val="Hyperlink"/>
            <w:noProof/>
          </w:rPr>
          <w:t>Part 1 Section 18.13.13, webPr (Web Query Properties)</w:t>
        </w:r>
        <w:r>
          <w:rPr>
            <w:noProof/>
            <w:webHidden/>
          </w:rPr>
          <w:tab/>
        </w:r>
        <w:r>
          <w:rPr>
            <w:noProof/>
            <w:webHidden/>
          </w:rPr>
          <w:fldChar w:fldCharType="begin"/>
        </w:r>
        <w:r>
          <w:rPr>
            <w:noProof/>
            <w:webHidden/>
          </w:rPr>
          <w:instrText xml:space="preserve"> PAGEREF _Toc12260904 \h </w:instrText>
        </w:r>
        <w:r>
          <w:rPr>
            <w:noProof/>
            <w:webHidden/>
          </w:rPr>
        </w:r>
        <w:r>
          <w:rPr>
            <w:noProof/>
            <w:webHidden/>
          </w:rPr>
          <w:fldChar w:fldCharType="separate"/>
        </w:r>
        <w:r>
          <w:rPr>
            <w:noProof/>
            <w:webHidden/>
          </w:rPr>
          <w:t>378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05" w:history="1">
        <w:r w:rsidRPr="00CD0B56">
          <w:rPr>
            <w:rStyle w:val="Hyperlink"/>
            <w:noProof/>
          </w:rPr>
          <w:t>2.1.837</w:t>
        </w:r>
        <w:r>
          <w:rPr>
            <w:rFonts w:asciiTheme="minorHAnsi" w:eastAsiaTheme="minorEastAsia" w:hAnsiTheme="minorHAnsi" w:cstheme="minorBidi"/>
            <w:noProof/>
            <w:sz w:val="22"/>
            <w:szCs w:val="22"/>
          </w:rPr>
          <w:tab/>
        </w:r>
        <w:r w:rsidRPr="00CD0B56">
          <w:rPr>
            <w:rStyle w:val="Hyperlink"/>
            <w:noProof/>
          </w:rPr>
          <w:t>Part 1 Section 18.14.1, cell (External Cell Data)</w:t>
        </w:r>
        <w:r>
          <w:rPr>
            <w:noProof/>
            <w:webHidden/>
          </w:rPr>
          <w:tab/>
        </w:r>
        <w:r>
          <w:rPr>
            <w:noProof/>
            <w:webHidden/>
          </w:rPr>
          <w:fldChar w:fldCharType="begin"/>
        </w:r>
        <w:r>
          <w:rPr>
            <w:noProof/>
            <w:webHidden/>
          </w:rPr>
          <w:instrText xml:space="preserve"> PAGEREF _Toc12260905 \h </w:instrText>
        </w:r>
        <w:r>
          <w:rPr>
            <w:noProof/>
            <w:webHidden/>
          </w:rPr>
        </w:r>
        <w:r>
          <w:rPr>
            <w:noProof/>
            <w:webHidden/>
          </w:rPr>
          <w:fldChar w:fldCharType="separate"/>
        </w:r>
        <w:r>
          <w:rPr>
            <w:noProof/>
            <w:webHidden/>
          </w:rPr>
          <w:t>378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06" w:history="1">
        <w:r w:rsidRPr="00CD0B56">
          <w:rPr>
            <w:rStyle w:val="Hyperlink"/>
            <w:noProof/>
          </w:rPr>
          <w:t>2.1.838</w:t>
        </w:r>
        <w:r>
          <w:rPr>
            <w:rFonts w:asciiTheme="minorHAnsi" w:eastAsiaTheme="minorEastAsia" w:hAnsiTheme="minorHAnsi" w:cstheme="minorBidi"/>
            <w:noProof/>
            <w:sz w:val="22"/>
            <w:szCs w:val="22"/>
          </w:rPr>
          <w:tab/>
        </w:r>
        <w:r w:rsidRPr="00CD0B56">
          <w:rPr>
            <w:rStyle w:val="Hyperlink"/>
            <w:noProof/>
          </w:rPr>
          <w:t>Part 1 Section 18.14.2, ddeItem (DDE Item definition)</w:t>
        </w:r>
        <w:r>
          <w:rPr>
            <w:noProof/>
            <w:webHidden/>
          </w:rPr>
          <w:tab/>
        </w:r>
        <w:r>
          <w:rPr>
            <w:noProof/>
            <w:webHidden/>
          </w:rPr>
          <w:fldChar w:fldCharType="begin"/>
        </w:r>
        <w:r>
          <w:rPr>
            <w:noProof/>
            <w:webHidden/>
          </w:rPr>
          <w:instrText xml:space="preserve"> PAGEREF _Toc12260906 \h </w:instrText>
        </w:r>
        <w:r>
          <w:rPr>
            <w:noProof/>
            <w:webHidden/>
          </w:rPr>
        </w:r>
        <w:r>
          <w:rPr>
            <w:noProof/>
            <w:webHidden/>
          </w:rPr>
          <w:fldChar w:fldCharType="separate"/>
        </w:r>
        <w:r>
          <w:rPr>
            <w:noProof/>
            <w:webHidden/>
          </w:rPr>
          <w:t>379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07" w:history="1">
        <w:r w:rsidRPr="00CD0B56">
          <w:rPr>
            <w:rStyle w:val="Hyperlink"/>
            <w:noProof/>
          </w:rPr>
          <w:t>2.1.839</w:t>
        </w:r>
        <w:r>
          <w:rPr>
            <w:rFonts w:asciiTheme="minorHAnsi" w:eastAsiaTheme="minorEastAsia" w:hAnsiTheme="minorHAnsi" w:cstheme="minorBidi"/>
            <w:noProof/>
            <w:sz w:val="22"/>
            <w:szCs w:val="22"/>
          </w:rPr>
          <w:tab/>
        </w:r>
        <w:r w:rsidRPr="00CD0B56">
          <w:rPr>
            <w:rStyle w:val="Hyperlink"/>
            <w:noProof/>
          </w:rPr>
          <w:t>Part 1 Section 18.14.4, ddeLink (DDE Connection)</w:t>
        </w:r>
        <w:r>
          <w:rPr>
            <w:noProof/>
            <w:webHidden/>
          </w:rPr>
          <w:tab/>
        </w:r>
        <w:r>
          <w:rPr>
            <w:noProof/>
            <w:webHidden/>
          </w:rPr>
          <w:fldChar w:fldCharType="begin"/>
        </w:r>
        <w:r>
          <w:rPr>
            <w:noProof/>
            <w:webHidden/>
          </w:rPr>
          <w:instrText xml:space="preserve"> PAGEREF _Toc12260907 \h </w:instrText>
        </w:r>
        <w:r>
          <w:rPr>
            <w:noProof/>
            <w:webHidden/>
          </w:rPr>
        </w:r>
        <w:r>
          <w:rPr>
            <w:noProof/>
            <w:webHidden/>
          </w:rPr>
          <w:fldChar w:fldCharType="separate"/>
        </w:r>
        <w:r>
          <w:rPr>
            <w:noProof/>
            <w:webHidden/>
          </w:rPr>
          <w:t>379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08" w:history="1">
        <w:r w:rsidRPr="00CD0B56">
          <w:rPr>
            <w:rStyle w:val="Hyperlink"/>
            <w:noProof/>
          </w:rPr>
          <w:t>2.1.840</w:t>
        </w:r>
        <w:r>
          <w:rPr>
            <w:rFonts w:asciiTheme="minorHAnsi" w:eastAsiaTheme="minorEastAsia" w:hAnsiTheme="minorHAnsi" w:cstheme="minorBidi"/>
            <w:noProof/>
            <w:sz w:val="22"/>
            <w:szCs w:val="22"/>
          </w:rPr>
          <w:tab/>
        </w:r>
        <w:r w:rsidRPr="00CD0B56">
          <w:rPr>
            <w:rStyle w:val="Hyperlink"/>
            <w:noProof/>
          </w:rPr>
          <w:t>Part 1 Section 18.14.5, definedName (Defined Name)</w:t>
        </w:r>
        <w:r>
          <w:rPr>
            <w:noProof/>
            <w:webHidden/>
          </w:rPr>
          <w:tab/>
        </w:r>
        <w:r>
          <w:rPr>
            <w:noProof/>
            <w:webHidden/>
          </w:rPr>
          <w:fldChar w:fldCharType="begin"/>
        </w:r>
        <w:r>
          <w:rPr>
            <w:noProof/>
            <w:webHidden/>
          </w:rPr>
          <w:instrText xml:space="preserve"> PAGEREF _Toc12260908 \h </w:instrText>
        </w:r>
        <w:r>
          <w:rPr>
            <w:noProof/>
            <w:webHidden/>
          </w:rPr>
        </w:r>
        <w:r>
          <w:rPr>
            <w:noProof/>
            <w:webHidden/>
          </w:rPr>
          <w:fldChar w:fldCharType="separate"/>
        </w:r>
        <w:r>
          <w:rPr>
            <w:noProof/>
            <w:webHidden/>
          </w:rPr>
          <w:t>379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09" w:history="1">
        <w:r w:rsidRPr="00CD0B56">
          <w:rPr>
            <w:rStyle w:val="Hyperlink"/>
            <w:noProof/>
          </w:rPr>
          <w:t>2.1.841</w:t>
        </w:r>
        <w:r>
          <w:rPr>
            <w:rFonts w:asciiTheme="minorHAnsi" w:eastAsiaTheme="minorEastAsia" w:hAnsiTheme="minorHAnsi" w:cstheme="minorBidi"/>
            <w:noProof/>
            <w:sz w:val="22"/>
            <w:szCs w:val="22"/>
          </w:rPr>
          <w:tab/>
        </w:r>
        <w:r w:rsidRPr="00CD0B56">
          <w:rPr>
            <w:rStyle w:val="Hyperlink"/>
            <w:noProof/>
          </w:rPr>
          <w:t>Part 1 Section 18.14.8, externalLink (External Reference)</w:t>
        </w:r>
        <w:r>
          <w:rPr>
            <w:noProof/>
            <w:webHidden/>
          </w:rPr>
          <w:tab/>
        </w:r>
        <w:r>
          <w:rPr>
            <w:noProof/>
            <w:webHidden/>
          </w:rPr>
          <w:fldChar w:fldCharType="begin"/>
        </w:r>
        <w:r>
          <w:rPr>
            <w:noProof/>
            <w:webHidden/>
          </w:rPr>
          <w:instrText xml:space="preserve"> PAGEREF _Toc12260909 \h </w:instrText>
        </w:r>
        <w:r>
          <w:rPr>
            <w:noProof/>
            <w:webHidden/>
          </w:rPr>
        </w:r>
        <w:r>
          <w:rPr>
            <w:noProof/>
            <w:webHidden/>
          </w:rPr>
          <w:fldChar w:fldCharType="separate"/>
        </w:r>
        <w:r>
          <w:rPr>
            <w:noProof/>
            <w:webHidden/>
          </w:rPr>
          <w:t>380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10" w:history="1">
        <w:r w:rsidRPr="00CD0B56">
          <w:rPr>
            <w:rStyle w:val="Hyperlink"/>
            <w:noProof/>
          </w:rPr>
          <w:t>2.1.842</w:t>
        </w:r>
        <w:r>
          <w:rPr>
            <w:rFonts w:asciiTheme="minorHAnsi" w:eastAsiaTheme="minorEastAsia" w:hAnsiTheme="minorHAnsi" w:cstheme="minorBidi"/>
            <w:noProof/>
            <w:sz w:val="22"/>
            <w:szCs w:val="22"/>
          </w:rPr>
          <w:tab/>
        </w:r>
        <w:r w:rsidRPr="00CD0B56">
          <w:rPr>
            <w:rStyle w:val="Hyperlink"/>
            <w:noProof/>
          </w:rPr>
          <w:t>Part 1 Section 18.14.9, oleItem (Object Link Item)</w:t>
        </w:r>
        <w:r>
          <w:rPr>
            <w:noProof/>
            <w:webHidden/>
          </w:rPr>
          <w:tab/>
        </w:r>
        <w:r>
          <w:rPr>
            <w:noProof/>
            <w:webHidden/>
          </w:rPr>
          <w:fldChar w:fldCharType="begin"/>
        </w:r>
        <w:r>
          <w:rPr>
            <w:noProof/>
            <w:webHidden/>
          </w:rPr>
          <w:instrText xml:space="preserve"> PAGEREF _Toc12260910 \h </w:instrText>
        </w:r>
        <w:r>
          <w:rPr>
            <w:noProof/>
            <w:webHidden/>
          </w:rPr>
        </w:r>
        <w:r>
          <w:rPr>
            <w:noProof/>
            <w:webHidden/>
          </w:rPr>
          <w:fldChar w:fldCharType="separate"/>
        </w:r>
        <w:r>
          <w:rPr>
            <w:noProof/>
            <w:webHidden/>
          </w:rPr>
          <w:t>380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11" w:history="1">
        <w:r w:rsidRPr="00CD0B56">
          <w:rPr>
            <w:rStyle w:val="Hyperlink"/>
            <w:noProof/>
          </w:rPr>
          <w:t>2.1.843</w:t>
        </w:r>
        <w:r>
          <w:rPr>
            <w:rFonts w:asciiTheme="minorHAnsi" w:eastAsiaTheme="minorEastAsia" w:hAnsiTheme="minorHAnsi" w:cstheme="minorBidi"/>
            <w:noProof/>
            <w:sz w:val="22"/>
            <w:szCs w:val="22"/>
          </w:rPr>
          <w:tab/>
        </w:r>
        <w:r w:rsidRPr="00CD0B56">
          <w:rPr>
            <w:rStyle w:val="Hyperlink"/>
            <w:noProof/>
          </w:rPr>
          <w:t>Part 1 Section 18.14.11, oleLink (Generic Object Link Connection)</w:t>
        </w:r>
        <w:r>
          <w:rPr>
            <w:noProof/>
            <w:webHidden/>
          </w:rPr>
          <w:tab/>
        </w:r>
        <w:r>
          <w:rPr>
            <w:noProof/>
            <w:webHidden/>
          </w:rPr>
          <w:fldChar w:fldCharType="begin"/>
        </w:r>
        <w:r>
          <w:rPr>
            <w:noProof/>
            <w:webHidden/>
          </w:rPr>
          <w:instrText xml:space="preserve"> PAGEREF _Toc12260911 \h </w:instrText>
        </w:r>
        <w:r>
          <w:rPr>
            <w:noProof/>
            <w:webHidden/>
          </w:rPr>
        </w:r>
        <w:r>
          <w:rPr>
            <w:noProof/>
            <w:webHidden/>
          </w:rPr>
          <w:fldChar w:fldCharType="separate"/>
        </w:r>
        <w:r>
          <w:rPr>
            <w:noProof/>
            <w:webHidden/>
          </w:rPr>
          <w:t>380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12" w:history="1">
        <w:r w:rsidRPr="00CD0B56">
          <w:rPr>
            <w:rStyle w:val="Hyperlink"/>
            <w:noProof/>
          </w:rPr>
          <w:t>2.1.844</w:t>
        </w:r>
        <w:r>
          <w:rPr>
            <w:rFonts w:asciiTheme="minorHAnsi" w:eastAsiaTheme="minorEastAsia" w:hAnsiTheme="minorHAnsi" w:cstheme="minorBidi"/>
            <w:noProof/>
            <w:sz w:val="22"/>
            <w:szCs w:val="22"/>
          </w:rPr>
          <w:tab/>
        </w:r>
        <w:r w:rsidRPr="00CD0B56">
          <w:rPr>
            <w:rStyle w:val="Hyperlink"/>
            <w:noProof/>
          </w:rPr>
          <w:t>Part 1 Section 18.14.12, row (Row)</w:t>
        </w:r>
        <w:r>
          <w:rPr>
            <w:noProof/>
            <w:webHidden/>
          </w:rPr>
          <w:tab/>
        </w:r>
        <w:r>
          <w:rPr>
            <w:noProof/>
            <w:webHidden/>
          </w:rPr>
          <w:fldChar w:fldCharType="begin"/>
        </w:r>
        <w:r>
          <w:rPr>
            <w:noProof/>
            <w:webHidden/>
          </w:rPr>
          <w:instrText xml:space="preserve"> PAGEREF _Toc12260912 \h </w:instrText>
        </w:r>
        <w:r>
          <w:rPr>
            <w:noProof/>
            <w:webHidden/>
          </w:rPr>
        </w:r>
        <w:r>
          <w:rPr>
            <w:noProof/>
            <w:webHidden/>
          </w:rPr>
          <w:fldChar w:fldCharType="separate"/>
        </w:r>
        <w:r>
          <w:rPr>
            <w:noProof/>
            <w:webHidden/>
          </w:rPr>
          <w:t>380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13" w:history="1">
        <w:r w:rsidRPr="00CD0B56">
          <w:rPr>
            <w:rStyle w:val="Hyperlink"/>
            <w:noProof/>
          </w:rPr>
          <w:t>2.1.845</w:t>
        </w:r>
        <w:r>
          <w:rPr>
            <w:rFonts w:asciiTheme="minorHAnsi" w:eastAsiaTheme="minorEastAsia" w:hAnsiTheme="minorHAnsi" w:cstheme="minorBidi"/>
            <w:noProof/>
            <w:sz w:val="22"/>
            <w:szCs w:val="22"/>
          </w:rPr>
          <w:tab/>
        </w:r>
        <w:r w:rsidRPr="00CD0B56">
          <w:rPr>
            <w:rStyle w:val="Hyperlink"/>
            <w:noProof/>
          </w:rPr>
          <w:t>Part 1 Section 18.14.13, sheetData (External Sheet Data Set)</w:t>
        </w:r>
        <w:r>
          <w:rPr>
            <w:noProof/>
            <w:webHidden/>
          </w:rPr>
          <w:tab/>
        </w:r>
        <w:r>
          <w:rPr>
            <w:noProof/>
            <w:webHidden/>
          </w:rPr>
          <w:fldChar w:fldCharType="begin"/>
        </w:r>
        <w:r>
          <w:rPr>
            <w:noProof/>
            <w:webHidden/>
          </w:rPr>
          <w:instrText xml:space="preserve"> PAGEREF _Toc12260913 \h </w:instrText>
        </w:r>
        <w:r>
          <w:rPr>
            <w:noProof/>
            <w:webHidden/>
          </w:rPr>
        </w:r>
        <w:r>
          <w:rPr>
            <w:noProof/>
            <w:webHidden/>
          </w:rPr>
          <w:fldChar w:fldCharType="separate"/>
        </w:r>
        <w:r>
          <w:rPr>
            <w:noProof/>
            <w:webHidden/>
          </w:rPr>
          <w:t>380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14" w:history="1">
        <w:r w:rsidRPr="00CD0B56">
          <w:rPr>
            <w:rStyle w:val="Hyperlink"/>
            <w:noProof/>
          </w:rPr>
          <w:t>2.1.846</w:t>
        </w:r>
        <w:r>
          <w:rPr>
            <w:rFonts w:asciiTheme="minorHAnsi" w:eastAsiaTheme="minorEastAsia" w:hAnsiTheme="minorHAnsi" w:cstheme="minorBidi"/>
            <w:noProof/>
            <w:sz w:val="22"/>
            <w:szCs w:val="22"/>
          </w:rPr>
          <w:tab/>
        </w:r>
        <w:r w:rsidRPr="00CD0B56">
          <w:rPr>
            <w:rStyle w:val="Hyperlink"/>
            <w:noProof/>
          </w:rPr>
          <w:t>Part 1 Section 18.14.15, sheetName (Sheet Name)</w:t>
        </w:r>
        <w:r>
          <w:rPr>
            <w:noProof/>
            <w:webHidden/>
          </w:rPr>
          <w:tab/>
        </w:r>
        <w:r>
          <w:rPr>
            <w:noProof/>
            <w:webHidden/>
          </w:rPr>
          <w:fldChar w:fldCharType="begin"/>
        </w:r>
        <w:r>
          <w:rPr>
            <w:noProof/>
            <w:webHidden/>
          </w:rPr>
          <w:instrText xml:space="preserve"> PAGEREF _Toc12260914 \h </w:instrText>
        </w:r>
        <w:r>
          <w:rPr>
            <w:noProof/>
            <w:webHidden/>
          </w:rPr>
        </w:r>
        <w:r>
          <w:rPr>
            <w:noProof/>
            <w:webHidden/>
          </w:rPr>
          <w:fldChar w:fldCharType="separate"/>
        </w:r>
        <w:r>
          <w:rPr>
            <w:noProof/>
            <w:webHidden/>
          </w:rPr>
          <w:t>381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15" w:history="1">
        <w:r w:rsidRPr="00CD0B56">
          <w:rPr>
            <w:rStyle w:val="Hyperlink"/>
            <w:noProof/>
          </w:rPr>
          <w:t>2.1.847</w:t>
        </w:r>
        <w:r>
          <w:rPr>
            <w:rFonts w:asciiTheme="minorHAnsi" w:eastAsiaTheme="minorEastAsia" w:hAnsiTheme="minorHAnsi" w:cstheme="minorBidi"/>
            <w:noProof/>
            <w:sz w:val="22"/>
            <w:szCs w:val="22"/>
          </w:rPr>
          <w:tab/>
        </w:r>
        <w:r w:rsidRPr="00CD0B56">
          <w:rPr>
            <w:rStyle w:val="Hyperlink"/>
            <w:noProof/>
          </w:rPr>
          <w:t>Part 1 Section 18.14.16, sheetNames (Supporting Workbook Sheet Names)</w:t>
        </w:r>
        <w:r>
          <w:rPr>
            <w:noProof/>
            <w:webHidden/>
          </w:rPr>
          <w:tab/>
        </w:r>
        <w:r>
          <w:rPr>
            <w:noProof/>
            <w:webHidden/>
          </w:rPr>
          <w:fldChar w:fldCharType="begin"/>
        </w:r>
        <w:r>
          <w:rPr>
            <w:noProof/>
            <w:webHidden/>
          </w:rPr>
          <w:instrText xml:space="preserve"> PAGEREF _Toc12260915 \h </w:instrText>
        </w:r>
        <w:r>
          <w:rPr>
            <w:noProof/>
            <w:webHidden/>
          </w:rPr>
        </w:r>
        <w:r>
          <w:rPr>
            <w:noProof/>
            <w:webHidden/>
          </w:rPr>
          <w:fldChar w:fldCharType="separate"/>
        </w:r>
        <w:r>
          <w:rPr>
            <w:noProof/>
            <w:webHidden/>
          </w:rPr>
          <w:t>381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16" w:history="1">
        <w:r w:rsidRPr="00CD0B56">
          <w:rPr>
            <w:rStyle w:val="Hyperlink"/>
            <w:noProof/>
          </w:rPr>
          <w:t>2.1.848</w:t>
        </w:r>
        <w:r>
          <w:rPr>
            <w:rFonts w:asciiTheme="minorHAnsi" w:eastAsiaTheme="minorEastAsia" w:hAnsiTheme="minorHAnsi" w:cstheme="minorBidi"/>
            <w:noProof/>
            <w:sz w:val="22"/>
            <w:szCs w:val="22"/>
          </w:rPr>
          <w:tab/>
        </w:r>
        <w:r w:rsidRPr="00CD0B56">
          <w:rPr>
            <w:rStyle w:val="Hyperlink"/>
            <w:noProof/>
          </w:rPr>
          <w:t>Part 1 Section 18.14.17, val (DDE Link Value)</w:t>
        </w:r>
        <w:r>
          <w:rPr>
            <w:noProof/>
            <w:webHidden/>
          </w:rPr>
          <w:tab/>
        </w:r>
        <w:r>
          <w:rPr>
            <w:noProof/>
            <w:webHidden/>
          </w:rPr>
          <w:fldChar w:fldCharType="begin"/>
        </w:r>
        <w:r>
          <w:rPr>
            <w:noProof/>
            <w:webHidden/>
          </w:rPr>
          <w:instrText xml:space="preserve"> PAGEREF _Toc12260916 \h </w:instrText>
        </w:r>
        <w:r>
          <w:rPr>
            <w:noProof/>
            <w:webHidden/>
          </w:rPr>
        </w:r>
        <w:r>
          <w:rPr>
            <w:noProof/>
            <w:webHidden/>
          </w:rPr>
          <w:fldChar w:fldCharType="separate"/>
        </w:r>
        <w:r>
          <w:rPr>
            <w:noProof/>
            <w:webHidden/>
          </w:rPr>
          <w:t>381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17" w:history="1">
        <w:r w:rsidRPr="00CD0B56">
          <w:rPr>
            <w:rStyle w:val="Hyperlink"/>
            <w:noProof/>
          </w:rPr>
          <w:t>2.1.849</w:t>
        </w:r>
        <w:r>
          <w:rPr>
            <w:rFonts w:asciiTheme="minorHAnsi" w:eastAsiaTheme="minorEastAsia" w:hAnsiTheme="minorHAnsi" w:cstheme="minorBidi"/>
            <w:noProof/>
            <w:sz w:val="22"/>
            <w:szCs w:val="22"/>
          </w:rPr>
          <w:tab/>
        </w:r>
        <w:r w:rsidRPr="00CD0B56">
          <w:rPr>
            <w:rStyle w:val="Hyperlink"/>
            <w:noProof/>
          </w:rPr>
          <w:t>Part 1 Section 18.14.18, value (Value)</w:t>
        </w:r>
        <w:r>
          <w:rPr>
            <w:noProof/>
            <w:webHidden/>
          </w:rPr>
          <w:tab/>
        </w:r>
        <w:r>
          <w:rPr>
            <w:noProof/>
            <w:webHidden/>
          </w:rPr>
          <w:fldChar w:fldCharType="begin"/>
        </w:r>
        <w:r>
          <w:rPr>
            <w:noProof/>
            <w:webHidden/>
          </w:rPr>
          <w:instrText xml:space="preserve"> PAGEREF _Toc12260917 \h </w:instrText>
        </w:r>
        <w:r>
          <w:rPr>
            <w:noProof/>
            <w:webHidden/>
          </w:rPr>
        </w:r>
        <w:r>
          <w:rPr>
            <w:noProof/>
            <w:webHidden/>
          </w:rPr>
          <w:fldChar w:fldCharType="separate"/>
        </w:r>
        <w:r>
          <w:rPr>
            <w:noProof/>
            <w:webHidden/>
          </w:rPr>
          <w:t>381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18" w:history="1">
        <w:r w:rsidRPr="00CD0B56">
          <w:rPr>
            <w:rStyle w:val="Hyperlink"/>
            <w:noProof/>
          </w:rPr>
          <w:t>2.1.850</w:t>
        </w:r>
        <w:r>
          <w:rPr>
            <w:rFonts w:asciiTheme="minorHAnsi" w:eastAsiaTheme="minorEastAsia" w:hAnsiTheme="minorHAnsi" w:cstheme="minorBidi"/>
            <w:noProof/>
            <w:sz w:val="22"/>
            <w:szCs w:val="22"/>
          </w:rPr>
          <w:tab/>
        </w:r>
        <w:r w:rsidRPr="00CD0B56">
          <w:rPr>
            <w:rStyle w:val="Hyperlink"/>
            <w:noProof/>
          </w:rPr>
          <w:t>Part 1 Section 18.14.19, values (DDE Name Values)</w:t>
        </w:r>
        <w:r>
          <w:rPr>
            <w:noProof/>
            <w:webHidden/>
          </w:rPr>
          <w:tab/>
        </w:r>
        <w:r>
          <w:rPr>
            <w:noProof/>
            <w:webHidden/>
          </w:rPr>
          <w:fldChar w:fldCharType="begin"/>
        </w:r>
        <w:r>
          <w:rPr>
            <w:noProof/>
            <w:webHidden/>
          </w:rPr>
          <w:instrText xml:space="preserve"> PAGEREF _Toc12260918 \h </w:instrText>
        </w:r>
        <w:r>
          <w:rPr>
            <w:noProof/>
            <w:webHidden/>
          </w:rPr>
        </w:r>
        <w:r>
          <w:rPr>
            <w:noProof/>
            <w:webHidden/>
          </w:rPr>
          <w:fldChar w:fldCharType="separate"/>
        </w:r>
        <w:r>
          <w:rPr>
            <w:noProof/>
            <w:webHidden/>
          </w:rPr>
          <w:t>381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19" w:history="1">
        <w:r w:rsidRPr="00CD0B56">
          <w:rPr>
            <w:rStyle w:val="Hyperlink"/>
            <w:noProof/>
          </w:rPr>
          <w:t>2.1.851</w:t>
        </w:r>
        <w:r>
          <w:rPr>
            <w:rFonts w:asciiTheme="minorHAnsi" w:eastAsiaTheme="minorEastAsia" w:hAnsiTheme="minorHAnsi" w:cstheme="minorBidi"/>
            <w:noProof/>
            <w:sz w:val="22"/>
            <w:szCs w:val="22"/>
          </w:rPr>
          <w:tab/>
        </w:r>
        <w:r w:rsidRPr="00CD0B56">
          <w:rPr>
            <w:rStyle w:val="Hyperlink"/>
            <w:noProof/>
          </w:rPr>
          <w:t>Part 1 Section 18.15.1, main (Main)</w:t>
        </w:r>
        <w:r>
          <w:rPr>
            <w:noProof/>
            <w:webHidden/>
          </w:rPr>
          <w:tab/>
        </w:r>
        <w:r>
          <w:rPr>
            <w:noProof/>
            <w:webHidden/>
          </w:rPr>
          <w:fldChar w:fldCharType="begin"/>
        </w:r>
        <w:r>
          <w:rPr>
            <w:noProof/>
            <w:webHidden/>
          </w:rPr>
          <w:instrText xml:space="preserve"> PAGEREF _Toc12260919 \h </w:instrText>
        </w:r>
        <w:r>
          <w:rPr>
            <w:noProof/>
            <w:webHidden/>
          </w:rPr>
        </w:r>
        <w:r>
          <w:rPr>
            <w:noProof/>
            <w:webHidden/>
          </w:rPr>
          <w:fldChar w:fldCharType="separate"/>
        </w:r>
        <w:r>
          <w:rPr>
            <w:noProof/>
            <w:webHidden/>
          </w:rPr>
          <w:t>381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20" w:history="1">
        <w:r w:rsidRPr="00CD0B56">
          <w:rPr>
            <w:rStyle w:val="Hyperlink"/>
            <w:noProof/>
          </w:rPr>
          <w:t>2.1.852</w:t>
        </w:r>
        <w:r>
          <w:rPr>
            <w:rFonts w:asciiTheme="minorHAnsi" w:eastAsiaTheme="minorEastAsia" w:hAnsiTheme="minorHAnsi" w:cstheme="minorBidi"/>
            <w:noProof/>
            <w:sz w:val="22"/>
            <w:szCs w:val="22"/>
          </w:rPr>
          <w:tab/>
        </w:r>
        <w:r w:rsidRPr="00CD0B56">
          <w:rPr>
            <w:rStyle w:val="Hyperlink"/>
            <w:noProof/>
          </w:rPr>
          <w:t>Part 1 Section 18.15.2, stp (Strings in Subtopic)</w:t>
        </w:r>
        <w:r>
          <w:rPr>
            <w:noProof/>
            <w:webHidden/>
          </w:rPr>
          <w:tab/>
        </w:r>
        <w:r>
          <w:rPr>
            <w:noProof/>
            <w:webHidden/>
          </w:rPr>
          <w:fldChar w:fldCharType="begin"/>
        </w:r>
        <w:r>
          <w:rPr>
            <w:noProof/>
            <w:webHidden/>
          </w:rPr>
          <w:instrText xml:space="preserve"> PAGEREF _Toc12260920 \h </w:instrText>
        </w:r>
        <w:r>
          <w:rPr>
            <w:noProof/>
            <w:webHidden/>
          </w:rPr>
        </w:r>
        <w:r>
          <w:rPr>
            <w:noProof/>
            <w:webHidden/>
          </w:rPr>
          <w:fldChar w:fldCharType="separate"/>
        </w:r>
        <w:r>
          <w:rPr>
            <w:noProof/>
            <w:webHidden/>
          </w:rPr>
          <w:t>381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21" w:history="1">
        <w:r w:rsidRPr="00CD0B56">
          <w:rPr>
            <w:rStyle w:val="Hyperlink"/>
            <w:noProof/>
          </w:rPr>
          <w:t>2.1.853</w:t>
        </w:r>
        <w:r>
          <w:rPr>
            <w:rFonts w:asciiTheme="minorHAnsi" w:eastAsiaTheme="minorEastAsia" w:hAnsiTheme="minorHAnsi" w:cstheme="minorBidi"/>
            <w:noProof/>
            <w:sz w:val="22"/>
            <w:szCs w:val="22"/>
          </w:rPr>
          <w:tab/>
        </w:r>
        <w:r w:rsidRPr="00CD0B56">
          <w:rPr>
            <w:rStyle w:val="Hyperlink"/>
            <w:noProof/>
          </w:rPr>
          <w:t>Part 1 Section 18.15.3, tp (Topic)</w:t>
        </w:r>
        <w:r>
          <w:rPr>
            <w:noProof/>
            <w:webHidden/>
          </w:rPr>
          <w:tab/>
        </w:r>
        <w:r>
          <w:rPr>
            <w:noProof/>
            <w:webHidden/>
          </w:rPr>
          <w:fldChar w:fldCharType="begin"/>
        </w:r>
        <w:r>
          <w:rPr>
            <w:noProof/>
            <w:webHidden/>
          </w:rPr>
          <w:instrText xml:space="preserve"> PAGEREF _Toc12260921 \h </w:instrText>
        </w:r>
        <w:r>
          <w:rPr>
            <w:noProof/>
            <w:webHidden/>
          </w:rPr>
        </w:r>
        <w:r>
          <w:rPr>
            <w:noProof/>
            <w:webHidden/>
          </w:rPr>
          <w:fldChar w:fldCharType="separate"/>
        </w:r>
        <w:r>
          <w:rPr>
            <w:noProof/>
            <w:webHidden/>
          </w:rPr>
          <w:t>382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22" w:history="1">
        <w:r w:rsidRPr="00CD0B56">
          <w:rPr>
            <w:rStyle w:val="Hyperlink"/>
            <w:noProof/>
          </w:rPr>
          <w:t>2.1.854</w:t>
        </w:r>
        <w:r>
          <w:rPr>
            <w:rFonts w:asciiTheme="minorHAnsi" w:eastAsiaTheme="minorEastAsia" w:hAnsiTheme="minorHAnsi" w:cstheme="minorBidi"/>
            <w:noProof/>
            <w:sz w:val="22"/>
            <w:szCs w:val="22"/>
          </w:rPr>
          <w:tab/>
        </w:r>
        <w:r w:rsidRPr="00CD0B56">
          <w:rPr>
            <w:rStyle w:val="Hyperlink"/>
            <w:noProof/>
          </w:rPr>
          <w:t>Part 1 Section 18.15.4, tr (References)</w:t>
        </w:r>
        <w:r>
          <w:rPr>
            <w:noProof/>
            <w:webHidden/>
          </w:rPr>
          <w:tab/>
        </w:r>
        <w:r>
          <w:rPr>
            <w:noProof/>
            <w:webHidden/>
          </w:rPr>
          <w:fldChar w:fldCharType="begin"/>
        </w:r>
        <w:r>
          <w:rPr>
            <w:noProof/>
            <w:webHidden/>
          </w:rPr>
          <w:instrText xml:space="preserve"> PAGEREF _Toc12260922 \h </w:instrText>
        </w:r>
        <w:r>
          <w:rPr>
            <w:noProof/>
            <w:webHidden/>
          </w:rPr>
        </w:r>
        <w:r>
          <w:rPr>
            <w:noProof/>
            <w:webHidden/>
          </w:rPr>
          <w:fldChar w:fldCharType="separate"/>
        </w:r>
        <w:r>
          <w:rPr>
            <w:noProof/>
            <w:webHidden/>
          </w:rPr>
          <w:t>382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23" w:history="1">
        <w:r w:rsidRPr="00CD0B56">
          <w:rPr>
            <w:rStyle w:val="Hyperlink"/>
            <w:noProof/>
          </w:rPr>
          <w:t>2.1.855</w:t>
        </w:r>
        <w:r>
          <w:rPr>
            <w:rFonts w:asciiTheme="minorHAnsi" w:eastAsiaTheme="minorEastAsia" w:hAnsiTheme="minorHAnsi" w:cstheme="minorBidi"/>
            <w:noProof/>
            <w:sz w:val="22"/>
            <w:szCs w:val="22"/>
          </w:rPr>
          <w:tab/>
        </w:r>
        <w:r w:rsidRPr="00CD0B56">
          <w:rPr>
            <w:rStyle w:val="Hyperlink"/>
            <w:noProof/>
          </w:rPr>
          <w:t>Part 1 Section 18.16.1, DataBinding (XML Mapping)</w:t>
        </w:r>
        <w:r>
          <w:rPr>
            <w:noProof/>
            <w:webHidden/>
          </w:rPr>
          <w:tab/>
        </w:r>
        <w:r>
          <w:rPr>
            <w:noProof/>
            <w:webHidden/>
          </w:rPr>
          <w:fldChar w:fldCharType="begin"/>
        </w:r>
        <w:r>
          <w:rPr>
            <w:noProof/>
            <w:webHidden/>
          </w:rPr>
          <w:instrText xml:space="preserve"> PAGEREF _Toc12260923 \h </w:instrText>
        </w:r>
        <w:r>
          <w:rPr>
            <w:noProof/>
            <w:webHidden/>
          </w:rPr>
        </w:r>
        <w:r>
          <w:rPr>
            <w:noProof/>
            <w:webHidden/>
          </w:rPr>
          <w:fldChar w:fldCharType="separate"/>
        </w:r>
        <w:r>
          <w:rPr>
            <w:noProof/>
            <w:webHidden/>
          </w:rPr>
          <w:t>382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24" w:history="1">
        <w:r w:rsidRPr="00CD0B56">
          <w:rPr>
            <w:rStyle w:val="Hyperlink"/>
            <w:noProof/>
          </w:rPr>
          <w:t>2.1.856</w:t>
        </w:r>
        <w:r>
          <w:rPr>
            <w:rFonts w:asciiTheme="minorHAnsi" w:eastAsiaTheme="minorEastAsia" w:hAnsiTheme="minorHAnsi" w:cstheme="minorBidi"/>
            <w:noProof/>
            <w:sz w:val="22"/>
            <w:szCs w:val="22"/>
          </w:rPr>
          <w:tab/>
        </w:r>
        <w:r w:rsidRPr="00CD0B56">
          <w:rPr>
            <w:rStyle w:val="Hyperlink"/>
            <w:noProof/>
          </w:rPr>
          <w:t>Part 1 Section 18.16.2, Map (XML Mapping Properties)</w:t>
        </w:r>
        <w:r>
          <w:rPr>
            <w:noProof/>
            <w:webHidden/>
          </w:rPr>
          <w:tab/>
        </w:r>
        <w:r>
          <w:rPr>
            <w:noProof/>
            <w:webHidden/>
          </w:rPr>
          <w:fldChar w:fldCharType="begin"/>
        </w:r>
        <w:r>
          <w:rPr>
            <w:noProof/>
            <w:webHidden/>
          </w:rPr>
          <w:instrText xml:space="preserve"> PAGEREF _Toc12260924 \h </w:instrText>
        </w:r>
        <w:r>
          <w:rPr>
            <w:noProof/>
            <w:webHidden/>
          </w:rPr>
        </w:r>
        <w:r>
          <w:rPr>
            <w:noProof/>
            <w:webHidden/>
          </w:rPr>
          <w:fldChar w:fldCharType="separate"/>
        </w:r>
        <w:r>
          <w:rPr>
            <w:noProof/>
            <w:webHidden/>
          </w:rPr>
          <w:t>383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25" w:history="1">
        <w:r w:rsidRPr="00CD0B56">
          <w:rPr>
            <w:rStyle w:val="Hyperlink"/>
            <w:noProof/>
          </w:rPr>
          <w:t>2.1.857</w:t>
        </w:r>
        <w:r>
          <w:rPr>
            <w:rFonts w:asciiTheme="minorHAnsi" w:eastAsiaTheme="minorEastAsia" w:hAnsiTheme="minorHAnsi" w:cstheme="minorBidi"/>
            <w:noProof/>
            <w:sz w:val="22"/>
            <w:szCs w:val="22"/>
          </w:rPr>
          <w:tab/>
        </w:r>
        <w:r w:rsidRPr="00CD0B56">
          <w:rPr>
            <w:rStyle w:val="Hyperlink"/>
            <w:noProof/>
          </w:rPr>
          <w:t>Part 1 Section 18.16.4, Schema (XML Schema)</w:t>
        </w:r>
        <w:r>
          <w:rPr>
            <w:noProof/>
            <w:webHidden/>
          </w:rPr>
          <w:tab/>
        </w:r>
        <w:r>
          <w:rPr>
            <w:noProof/>
            <w:webHidden/>
          </w:rPr>
          <w:fldChar w:fldCharType="begin"/>
        </w:r>
        <w:r>
          <w:rPr>
            <w:noProof/>
            <w:webHidden/>
          </w:rPr>
          <w:instrText xml:space="preserve"> PAGEREF _Toc12260925 \h </w:instrText>
        </w:r>
        <w:r>
          <w:rPr>
            <w:noProof/>
            <w:webHidden/>
          </w:rPr>
        </w:r>
        <w:r>
          <w:rPr>
            <w:noProof/>
            <w:webHidden/>
          </w:rPr>
          <w:fldChar w:fldCharType="separate"/>
        </w:r>
        <w:r>
          <w:rPr>
            <w:noProof/>
            <w:webHidden/>
          </w:rPr>
          <w:t>383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26" w:history="1">
        <w:r w:rsidRPr="00CD0B56">
          <w:rPr>
            <w:rStyle w:val="Hyperlink"/>
            <w:noProof/>
          </w:rPr>
          <w:t>2.1.858</w:t>
        </w:r>
        <w:r>
          <w:rPr>
            <w:rFonts w:asciiTheme="minorHAnsi" w:eastAsiaTheme="minorEastAsia" w:hAnsiTheme="minorHAnsi" w:cstheme="minorBidi"/>
            <w:noProof/>
            <w:sz w:val="22"/>
            <w:szCs w:val="22"/>
          </w:rPr>
          <w:tab/>
        </w:r>
        <w:r w:rsidRPr="00CD0B56">
          <w:rPr>
            <w:rStyle w:val="Hyperlink"/>
            <w:noProof/>
          </w:rPr>
          <w:t>Part 1 Section 18.17, Formulas</w:t>
        </w:r>
        <w:r>
          <w:rPr>
            <w:noProof/>
            <w:webHidden/>
          </w:rPr>
          <w:tab/>
        </w:r>
        <w:r>
          <w:rPr>
            <w:noProof/>
            <w:webHidden/>
          </w:rPr>
          <w:fldChar w:fldCharType="begin"/>
        </w:r>
        <w:r>
          <w:rPr>
            <w:noProof/>
            <w:webHidden/>
          </w:rPr>
          <w:instrText xml:space="preserve"> PAGEREF _Toc12260926 \h </w:instrText>
        </w:r>
        <w:r>
          <w:rPr>
            <w:noProof/>
            <w:webHidden/>
          </w:rPr>
        </w:r>
        <w:r>
          <w:rPr>
            <w:noProof/>
            <w:webHidden/>
          </w:rPr>
          <w:fldChar w:fldCharType="separate"/>
        </w:r>
        <w:r>
          <w:rPr>
            <w:noProof/>
            <w:webHidden/>
          </w:rPr>
          <w:t>384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27" w:history="1">
        <w:r w:rsidRPr="00CD0B56">
          <w:rPr>
            <w:rStyle w:val="Hyperlink"/>
            <w:noProof/>
          </w:rPr>
          <w:t>2.1.859</w:t>
        </w:r>
        <w:r>
          <w:rPr>
            <w:rFonts w:asciiTheme="minorHAnsi" w:eastAsiaTheme="minorEastAsia" w:hAnsiTheme="minorHAnsi" w:cstheme="minorBidi"/>
            <w:noProof/>
            <w:sz w:val="22"/>
            <w:szCs w:val="22"/>
          </w:rPr>
          <w:tab/>
        </w:r>
        <w:r w:rsidRPr="00CD0B56">
          <w:rPr>
            <w:rStyle w:val="Hyperlink"/>
            <w:noProof/>
          </w:rPr>
          <w:t>Part 1 Section 18.17.2, Syntax</w:t>
        </w:r>
        <w:r>
          <w:rPr>
            <w:noProof/>
            <w:webHidden/>
          </w:rPr>
          <w:tab/>
        </w:r>
        <w:r>
          <w:rPr>
            <w:noProof/>
            <w:webHidden/>
          </w:rPr>
          <w:fldChar w:fldCharType="begin"/>
        </w:r>
        <w:r>
          <w:rPr>
            <w:noProof/>
            <w:webHidden/>
          </w:rPr>
          <w:instrText xml:space="preserve"> PAGEREF _Toc12260927 \h </w:instrText>
        </w:r>
        <w:r>
          <w:rPr>
            <w:noProof/>
            <w:webHidden/>
          </w:rPr>
        </w:r>
        <w:r>
          <w:rPr>
            <w:noProof/>
            <w:webHidden/>
          </w:rPr>
          <w:fldChar w:fldCharType="separate"/>
        </w:r>
        <w:r>
          <w:rPr>
            <w:noProof/>
            <w:webHidden/>
          </w:rPr>
          <w:t>385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28" w:history="1">
        <w:r w:rsidRPr="00CD0B56">
          <w:rPr>
            <w:rStyle w:val="Hyperlink"/>
            <w:noProof/>
          </w:rPr>
          <w:t>2.1.860</w:t>
        </w:r>
        <w:r>
          <w:rPr>
            <w:rFonts w:asciiTheme="minorHAnsi" w:eastAsiaTheme="minorEastAsia" w:hAnsiTheme="minorHAnsi" w:cstheme="minorBidi"/>
            <w:noProof/>
            <w:sz w:val="22"/>
            <w:szCs w:val="22"/>
          </w:rPr>
          <w:tab/>
        </w:r>
        <w:r w:rsidRPr="00CD0B56">
          <w:rPr>
            <w:rStyle w:val="Hyperlink"/>
            <w:noProof/>
          </w:rPr>
          <w:t>Part 1 Section 18.17.2.1, Constants</w:t>
        </w:r>
        <w:r>
          <w:rPr>
            <w:noProof/>
            <w:webHidden/>
          </w:rPr>
          <w:tab/>
        </w:r>
        <w:r>
          <w:rPr>
            <w:noProof/>
            <w:webHidden/>
          </w:rPr>
          <w:fldChar w:fldCharType="begin"/>
        </w:r>
        <w:r>
          <w:rPr>
            <w:noProof/>
            <w:webHidden/>
          </w:rPr>
          <w:instrText xml:space="preserve"> PAGEREF _Toc12260928 \h </w:instrText>
        </w:r>
        <w:r>
          <w:rPr>
            <w:noProof/>
            <w:webHidden/>
          </w:rPr>
        </w:r>
        <w:r>
          <w:rPr>
            <w:noProof/>
            <w:webHidden/>
          </w:rPr>
          <w:fldChar w:fldCharType="separate"/>
        </w:r>
        <w:r>
          <w:rPr>
            <w:noProof/>
            <w:webHidden/>
          </w:rPr>
          <w:t>389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29" w:history="1">
        <w:r w:rsidRPr="00CD0B56">
          <w:rPr>
            <w:rStyle w:val="Hyperlink"/>
            <w:noProof/>
          </w:rPr>
          <w:t>2.1.861</w:t>
        </w:r>
        <w:r>
          <w:rPr>
            <w:rFonts w:asciiTheme="minorHAnsi" w:eastAsiaTheme="minorEastAsia" w:hAnsiTheme="minorHAnsi" w:cstheme="minorBidi"/>
            <w:noProof/>
            <w:sz w:val="22"/>
            <w:szCs w:val="22"/>
          </w:rPr>
          <w:tab/>
        </w:r>
        <w:r w:rsidRPr="00CD0B56">
          <w:rPr>
            <w:rStyle w:val="Hyperlink"/>
            <w:noProof/>
          </w:rPr>
          <w:t>Part 1 Section 18.17.2.2, Operators</w:t>
        </w:r>
        <w:r>
          <w:rPr>
            <w:noProof/>
            <w:webHidden/>
          </w:rPr>
          <w:tab/>
        </w:r>
        <w:r>
          <w:rPr>
            <w:noProof/>
            <w:webHidden/>
          </w:rPr>
          <w:fldChar w:fldCharType="begin"/>
        </w:r>
        <w:r>
          <w:rPr>
            <w:noProof/>
            <w:webHidden/>
          </w:rPr>
          <w:instrText xml:space="preserve"> PAGEREF _Toc12260929 \h </w:instrText>
        </w:r>
        <w:r>
          <w:rPr>
            <w:noProof/>
            <w:webHidden/>
          </w:rPr>
        </w:r>
        <w:r>
          <w:rPr>
            <w:noProof/>
            <w:webHidden/>
          </w:rPr>
          <w:fldChar w:fldCharType="separate"/>
        </w:r>
        <w:r>
          <w:rPr>
            <w:noProof/>
            <w:webHidden/>
          </w:rPr>
          <w:t>390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30" w:history="1">
        <w:r w:rsidRPr="00CD0B56">
          <w:rPr>
            <w:rStyle w:val="Hyperlink"/>
            <w:noProof/>
          </w:rPr>
          <w:t>2.1.862</w:t>
        </w:r>
        <w:r>
          <w:rPr>
            <w:rFonts w:asciiTheme="minorHAnsi" w:eastAsiaTheme="minorEastAsia" w:hAnsiTheme="minorHAnsi" w:cstheme="minorBidi"/>
            <w:noProof/>
            <w:sz w:val="22"/>
            <w:szCs w:val="22"/>
          </w:rPr>
          <w:tab/>
        </w:r>
        <w:r w:rsidRPr="00CD0B56">
          <w:rPr>
            <w:rStyle w:val="Hyperlink"/>
            <w:noProof/>
          </w:rPr>
          <w:t>Part 1 Section 18.17.2.3, Cell References</w:t>
        </w:r>
        <w:r>
          <w:rPr>
            <w:noProof/>
            <w:webHidden/>
          </w:rPr>
          <w:tab/>
        </w:r>
        <w:r>
          <w:rPr>
            <w:noProof/>
            <w:webHidden/>
          </w:rPr>
          <w:fldChar w:fldCharType="begin"/>
        </w:r>
        <w:r>
          <w:rPr>
            <w:noProof/>
            <w:webHidden/>
          </w:rPr>
          <w:instrText xml:space="preserve"> PAGEREF _Toc12260930 \h </w:instrText>
        </w:r>
        <w:r>
          <w:rPr>
            <w:noProof/>
            <w:webHidden/>
          </w:rPr>
        </w:r>
        <w:r>
          <w:rPr>
            <w:noProof/>
            <w:webHidden/>
          </w:rPr>
          <w:fldChar w:fldCharType="separate"/>
        </w:r>
        <w:r>
          <w:rPr>
            <w:noProof/>
            <w:webHidden/>
          </w:rPr>
          <w:t>391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31" w:history="1">
        <w:r w:rsidRPr="00CD0B56">
          <w:rPr>
            <w:rStyle w:val="Hyperlink"/>
            <w:noProof/>
          </w:rPr>
          <w:t>2.1.863</w:t>
        </w:r>
        <w:r>
          <w:rPr>
            <w:rFonts w:asciiTheme="minorHAnsi" w:eastAsiaTheme="minorEastAsia" w:hAnsiTheme="minorHAnsi" w:cstheme="minorBidi"/>
            <w:noProof/>
            <w:sz w:val="22"/>
            <w:szCs w:val="22"/>
          </w:rPr>
          <w:tab/>
        </w:r>
        <w:r w:rsidRPr="00CD0B56">
          <w:rPr>
            <w:rStyle w:val="Hyperlink"/>
            <w:noProof/>
          </w:rPr>
          <w:t>Part 1 Section 18.17.2.3.1, A1-Style Cell References</w:t>
        </w:r>
        <w:r>
          <w:rPr>
            <w:noProof/>
            <w:webHidden/>
          </w:rPr>
          <w:tab/>
        </w:r>
        <w:r>
          <w:rPr>
            <w:noProof/>
            <w:webHidden/>
          </w:rPr>
          <w:fldChar w:fldCharType="begin"/>
        </w:r>
        <w:r>
          <w:rPr>
            <w:noProof/>
            <w:webHidden/>
          </w:rPr>
          <w:instrText xml:space="preserve"> PAGEREF _Toc12260931 \h </w:instrText>
        </w:r>
        <w:r>
          <w:rPr>
            <w:noProof/>
            <w:webHidden/>
          </w:rPr>
        </w:r>
        <w:r>
          <w:rPr>
            <w:noProof/>
            <w:webHidden/>
          </w:rPr>
          <w:fldChar w:fldCharType="separate"/>
        </w:r>
        <w:r>
          <w:rPr>
            <w:noProof/>
            <w:webHidden/>
          </w:rPr>
          <w:t>392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32" w:history="1">
        <w:r w:rsidRPr="00CD0B56">
          <w:rPr>
            <w:rStyle w:val="Hyperlink"/>
            <w:noProof/>
          </w:rPr>
          <w:t>2.1.864</w:t>
        </w:r>
        <w:r>
          <w:rPr>
            <w:rFonts w:asciiTheme="minorHAnsi" w:eastAsiaTheme="minorEastAsia" w:hAnsiTheme="minorHAnsi" w:cstheme="minorBidi"/>
            <w:noProof/>
            <w:sz w:val="22"/>
            <w:szCs w:val="22"/>
          </w:rPr>
          <w:tab/>
        </w:r>
        <w:r w:rsidRPr="00CD0B56">
          <w:rPr>
            <w:rStyle w:val="Hyperlink"/>
            <w:noProof/>
          </w:rPr>
          <w:t>Part 1 Section 18.17.2.3.2, R1C1-Style Cell Reference</w:t>
        </w:r>
        <w:r>
          <w:rPr>
            <w:noProof/>
            <w:webHidden/>
          </w:rPr>
          <w:tab/>
        </w:r>
        <w:r>
          <w:rPr>
            <w:noProof/>
            <w:webHidden/>
          </w:rPr>
          <w:fldChar w:fldCharType="begin"/>
        </w:r>
        <w:r>
          <w:rPr>
            <w:noProof/>
            <w:webHidden/>
          </w:rPr>
          <w:instrText xml:space="preserve"> PAGEREF _Toc12260932 \h </w:instrText>
        </w:r>
        <w:r>
          <w:rPr>
            <w:noProof/>
            <w:webHidden/>
          </w:rPr>
        </w:r>
        <w:r>
          <w:rPr>
            <w:noProof/>
            <w:webHidden/>
          </w:rPr>
          <w:fldChar w:fldCharType="separate"/>
        </w:r>
        <w:r>
          <w:rPr>
            <w:noProof/>
            <w:webHidden/>
          </w:rPr>
          <w:t>392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33" w:history="1">
        <w:r w:rsidRPr="00CD0B56">
          <w:rPr>
            <w:rStyle w:val="Hyperlink"/>
            <w:noProof/>
          </w:rPr>
          <w:t>2.1.865</w:t>
        </w:r>
        <w:r>
          <w:rPr>
            <w:rFonts w:asciiTheme="minorHAnsi" w:eastAsiaTheme="minorEastAsia" w:hAnsiTheme="minorHAnsi" w:cstheme="minorBidi"/>
            <w:noProof/>
            <w:sz w:val="22"/>
            <w:szCs w:val="22"/>
          </w:rPr>
          <w:tab/>
        </w:r>
        <w:r w:rsidRPr="00CD0B56">
          <w:rPr>
            <w:rStyle w:val="Hyperlink"/>
            <w:noProof/>
          </w:rPr>
          <w:t>Part 1 Section 18.17.2.4, Functions</w:t>
        </w:r>
        <w:r>
          <w:rPr>
            <w:noProof/>
            <w:webHidden/>
          </w:rPr>
          <w:tab/>
        </w:r>
        <w:r>
          <w:rPr>
            <w:noProof/>
            <w:webHidden/>
          </w:rPr>
          <w:fldChar w:fldCharType="begin"/>
        </w:r>
        <w:r>
          <w:rPr>
            <w:noProof/>
            <w:webHidden/>
          </w:rPr>
          <w:instrText xml:space="preserve"> PAGEREF _Toc12260933 \h </w:instrText>
        </w:r>
        <w:r>
          <w:rPr>
            <w:noProof/>
            <w:webHidden/>
          </w:rPr>
        </w:r>
        <w:r>
          <w:rPr>
            <w:noProof/>
            <w:webHidden/>
          </w:rPr>
          <w:fldChar w:fldCharType="separate"/>
        </w:r>
        <w:r>
          <w:rPr>
            <w:noProof/>
            <w:webHidden/>
          </w:rPr>
          <w:t>393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34" w:history="1">
        <w:r w:rsidRPr="00CD0B56">
          <w:rPr>
            <w:rStyle w:val="Hyperlink"/>
            <w:noProof/>
          </w:rPr>
          <w:t>2.1.866</w:t>
        </w:r>
        <w:r>
          <w:rPr>
            <w:rFonts w:asciiTheme="minorHAnsi" w:eastAsiaTheme="minorEastAsia" w:hAnsiTheme="minorHAnsi" w:cstheme="minorBidi"/>
            <w:noProof/>
            <w:sz w:val="22"/>
            <w:szCs w:val="22"/>
          </w:rPr>
          <w:tab/>
        </w:r>
        <w:r w:rsidRPr="00CD0B56">
          <w:rPr>
            <w:rStyle w:val="Hyperlink"/>
            <w:noProof/>
          </w:rPr>
          <w:t>Part 1 Section 18.17.2.5, Names</w:t>
        </w:r>
        <w:r>
          <w:rPr>
            <w:noProof/>
            <w:webHidden/>
          </w:rPr>
          <w:tab/>
        </w:r>
        <w:r>
          <w:rPr>
            <w:noProof/>
            <w:webHidden/>
          </w:rPr>
          <w:fldChar w:fldCharType="begin"/>
        </w:r>
        <w:r>
          <w:rPr>
            <w:noProof/>
            <w:webHidden/>
          </w:rPr>
          <w:instrText xml:space="preserve"> PAGEREF _Toc12260934 \h </w:instrText>
        </w:r>
        <w:r>
          <w:rPr>
            <w:noProof/>
            <w:webHidden/>
          </w:rPr>
        </w:r>
        <w:r>
          <w:rPr>
            <w:noProof/>
            <w:webHidden/>
          </w:rPr>
          <w:fldChar w:fldCharType="separate"/>
        </w:r>
        <w:r>
          <w:rPr>
            <w:noProof/>
            <w:webHidden/>
          </w:rPr>
          <w:t>393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35" w:history="1">
        <w:r w:rsidRPr="00CD0B56">
          <w:rPr>
            <w:rStyle w:val="Hyperlink"/>
            <w:noProof/>
          </w:rPr>
          <w:t>2.1.867</w:t>
        </w:r>
        <w:r>
          <w:rPr>
            <w:rFonts w:asciiTheme="minorHAnsi" w:eastAsiaTheme="minorEastAsia" w:hAnsiTheme="minorHAnsi" w:cstheme="minorBidi"/>
            <w:noProof/>
            <w:sz w:val="22"/>
            <w:szCs w:val="22"/>
          </w:rPr>
          <w:tab/>
        </w:r>
        <w:r w:rsidRPr="00CD0B56">
          <w:rPr>
            <w:rStyle w:val="Hyperlink"/>
            <w:noProof/>
          </w:rPr>
          <w:t>Part 1 Section 18.17.2.6, Types and Values</w:t>
        </w:r>
        <w:r>
          <w:rPr>
            <w:noProof/>
            <w:webHidden/>
          </w:rPr>
          <w:tab/>
        </w:r>
        <w:r>
          <w:rPr>
            <w:noProof/>
            <w:webHidden/>
          </w:rPr>
          <w:fldChar w:fldCharType="begin"/>
        </w:r>
        <w:r>
          <w:rPr>
            <w:noProof/>
            <w:webHidden/>
          </w:rPr>
          <w:instrText xml:space="preserve"> PAGEREF _Toc12260935 \h </w:instrText>
        </w:r>
        <w:r>
          <w:rPr>
            <w:noProof/>
            <w:webHidden/>
          </w:rPr>
        </w:r>
        <w:r>
          <w:rPr>
            <w:noProof/>
            <w:webHidden/>
          </w:rPr>
          <w:fldChar w:fldCharType="separate"/>
        </w:r>
        <w:r>
          <w:rPr>
            <w:noProof/>
            <w:webHidden/>
          </w:rPr>
          <w:t>394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36" w:history="1">
        <w:r w:rsidRPr="00CD0B56">
          <w:rPr>
            <w:rStyle w:val="Hyperlink"/>
            <w:noProof/>
          </w:rPr>
          <w:t>2.1.868</w:t>
        </w:r>
        <w:r>
          <w:rPr>
            <w:rFonts w:asciiTheme="minorHAnsi" w:eastAsiaTheme="minorEastAsia" w:hAnsiTheme="minorHAnsi" w:cstheme="minorBidi"/>
            <w:noProof/>
            <w:sz w:val="22"/>
            <w:szCs w:val="22"/>
          </w:rPr>
          <w:tab/>
        </w:r>
        <w:r w:rsidRPr="00CD0B56">
          <w:rPr>
            <w:rStyle w:val="Hyperlink"/>
            <w:noProof/>
          </w:rPr>
          <w:t>Part 1 Section 18.17.3, Error values</w:t>
        </w:r>
        <w:r>
          <w:rPr>
            <w:noProof/>
            <w:webHidden/>
          </w:rPr>
          <w:tab/>
        </w:r>
        <w:r>
          <w:rPr>
            <w:noProof/>
            <w:webHidden/>
          </w:rPr>
          <w:fldChar w:fldCharType="begin"/>
        </w:r>
        <w:r>
          <w:rPr>
            <w:noProof/>
            <w:webHidden/>
          </w:rPr>
          <w:instrText xml:space="preserve"> PAGEREF _Toc12260936 \h </w:instrText>
        </w:r>
        <w:r>
          <w:rPr>
            <w:noProof/>
            <w:webHidden/>
          </w:rPr>
        </w:r>
        <w:r>
          <w:rPr>
            <w:noProof/>
            <w:webHidden/>
          </w:rPr>
          <w:fldChar w:fldCharType="separate"/>
        </w:r>
        <w:r>
          <w:rPr>
            <w:noProof/>
            <w:webHidden/>
          </w:rPr>
          <w:t>394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37" w:history="1">
        <w:r w:rsidRPr="00CD0B56">
          <w:rPr>
            <w:rStyle w:val="Hyperlink"/>
            <w:noProof/>
          </w:rPr>
          <w:t>2.1.869</w:t>
        </w:r>
        <w:r>
          <w:rPr>
            <w:rFonts w:asciiTheme="minorHAnsi" w:eastAsiaTheme="minorEastAsia" w:hAnsiTheme="minorHAnsi" w:cstheme="minorBidi"/>
            <w:noProof/>
            <w:sz w:val="22"/>
            <w:szCs w:val="22"/>
          </w:rPr>
          <w:tab/>
        </w:r>
        <w:r w:rsidRPr="00CD0B56">
          <w:rPr>
            <w:rStyle w:val="Hyperlink"/>
            <w:noProof/>
          </w:rPr>
          <w:t>Part 1 Section 18.17.5.2, Precision</w:t>
        </w:r>
        <w:r>
          <w:rPr>
            <w:noProof/>
            <w:webHidden/>
          </w:rPr>
          <w:tab/>
        </w:r>
        <w:r>
          <w:rPr>
            <w:noProof/>
            <w:webHidden/>
          </w:rPr>
          <w:fldChar w:fldCharType="begin"/>
        </w:r>
        <w:r>
          <w:rPr>
            <w:noProof/>
            <w:webHidden/>
          </w:rPr>
          <w:instrText xml:space="preserve"> PAGEREF _Toc12260937 \h </w:instrText>
        </w:r>
        <w:r>
          <w:rPr>
            <w:noProof/>
            <w:webHidden/>
          </w:rPr>
        </w:r>
        <w:r>
          <w:rPr>
            <w:noProof/>
            <w:webHidden/>
          </w:rPr>
          <w:fldChar w:fldCharType="separate"/>
        </w:r>
        <w:r>
          <w:rPr>
            <w:noProof/>
            <w:webHidden/>
          </w:rPr>
          <w:t>394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38" w:history="1">
        <w:r w:rsidRPr="00CD0B56">
          <w:rPr>
            <w:rStyle w:val="Hyperlink"/>
            <w:noProof/>
          </w:rPr>
          <w:t>2.1.870</w:t>
        </w:r>
        <w:r>
          <w:rPr>
            <w:rFonts w:asciiTheme="minorHAnsi" w:eastAsiaTheme="minorEastAsia" w:hAnsiTheme="minorHAnsi" w:cstheme="minorBidi"/>
            <w:noProof/>
            <w:sz w:val="22"/>
            <w:szCs w:val="22"/>
          </w:rPr>
          <w:tab/>
        </w:r>
        <w:r w:rsidRPr="00CD0B56">
          <w:rPr>
            <w:rStyle w:val="Hyperlink"/>
            <w:noProof/>
          </w:rPr>
          <w:t>Part 1 Section 18.17.5.4, Interpretation</w:t>
        </w:r>
        <w:r>
          <w:rPr>
            <w:noProof/>
            <w:webHidden/>
          </w:rPr>
          <w:tab/>
        </w:r>
        <w:r>
          <w:rPr>
            <w:noProof/>
            <w:webHidden/>
          </w:rPr>
          <w:fldChar w:fldCharType="begin"/>
        </w:r>
        <w:r>
          <w:rPr>
            <w:noProof/>
            <w:webHidden/>
          </w:rPr>
          <w:instrText xml:space="preserve"> PAGEREF _Toc12260938 \h </w:instrText>
        </w:r>
        <w:r>
          <w:rPr>
            <w:noProof/>
            <w:webHidden/>
          </w:rPr>
        </w:r>
        <w:r>
          <w:rPr>
            <w:noProof/>
            <w:webHidden/>
          </w:rPr>
          <w:fldChar w:fldCharType="separate"/>
        </w:r>
        <w:r>
          <w:rPr>
            <w:noProof/>
            <w:webHidden/>
          </w:rPr>
          <w:t>394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39" w:history="1">
        <w:r w:rsidRPr="00CD0B56">
          <w:rPr>
            <w:rStyle w:val="Hyperlink"/>
            <w:noProof/>
          </w:rPr>
          <w:t>2.1.871</w:t>
        </w:r>
        <w:r>
          <w:rPr>
            <w:rFonts w:asciiTheme="minorHAnsi" w:eastAsiaTheme="minorEastAsia" w:hAnsiTheme="minorHAnsi" w:cstheme="minorBidi"/>
            <w:noProof/>
            <w:sz w:val="22"/>
            <w:szCs w:val="22"/>
          </w:rPr>
          <w:tab/>
        </w:r>
        <w:r w:rsidRPr="00CD0B56">
          <w:rPr>
            <w:rStyle w:val="Hyperlink"/>
            <w:noProof/>
          </w:rPr>
          <w:t>Part 1 Section 18.17.6.3, Array Formulas</w:t>
        </w:r>
        <w:r>
          <w:rPr>
            <w:noProof/>
            <w:webHidden/>
          </w:rPr>
          <w:tab/>
        </w:r>
        <w:r>
          <w:rPr>
            <w:noProof/>
            <w:webHidden/>
          </w:rPr>
          <w:fldChar w:fldCharType="begin"/>
        </w:r>
        <w:r>
          <w:rPr>
            <w:noProof/>
            <w:webHidden/>
          </w:rPr>
          <w:instrText xml:space="preserve"> PAGEREF _Toc12260939 \h </w:instrText>
        </w:r>
        <w:r>
          <w:rPr>
            <w:noProof/>
            <w:webHidden/>
          </w:rPr>
        </w:r>
        <w:r>
          <w:rPr>
            <w:noProof/>
            <w:webHidden/>
          </w:rPr>
          <w:fldChar w:fldCharType="separate"/>
        </w:r>
        <w:r>
          <w:rPr>
            <w:noProof/>
            <w:webHidden/>
          </w:rPr>
          <w:t>395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40" w:history="1">
        <w:r w:rsidRPr="00CD0B56">
          <w:rPr>
            <w:rStyle w:val="Hyperlink"/>
            <w:noProof/>
          </w:rPr>
          <w:t>2.1.872</w:t>
        </w:r>
        <w:r>
          <w:rPr>
            <w:rFonts w:asciiTheme="minorHAnsi" w:eastAsiaTheme="minorEastAsia" w:hAnsiTheme="minorHAnsi" w:cstheme="minorBidi"/>
            <w:noProof/>
            <w:sz w:val="22"/>
            <w:szCs w:val="22"/>
          </w:rPr>
          <w:tab/>
        </w:r>
        <w:r w:rsidRPr="00CD0B56">
          <w:rPr>
            <w:rStyle w:val="Hyperlink"/>
            <w:noProof/>
          </w:rPr>
          <w:t>Part 1 Section 18.17.6.5, Name Representation</w:t>
        </w:r>
        <w:r>
          <w:rPr>
            <w:noProof/>
            <w:webHidden/>
          </w:rPr>
          <w:tab/>
        </w:r>
        <w:r>
          <w:rPr>
            <w:noProof/>
            <w:webHidden/>
          </w:rPr>
          <w:fldChar w:fldCharType="begin"/>
        </w:r>
        <w:r>
          <w:rPr>
            <w:noProof/>
            <w:webHidden/>
          </w:rPr>
          <w:instrText xml:space="preserve"> PAGEREF _Toc12260940 \h </w:instrText>
        </w:r>
        <w:r>
          <w:rPr>
            <w:noProof/>
            <w:webHidden/>
          </w:rPr>
        </w:r>
        <w:r>
          <w:rPr>
            <w:noProof/>
            <w:webHidden/>
          </w:rPr>
          <w:fldChar w:fldCharType="separate"/>
        </w:r>
        <w:r>
          <w:rPr>
            <w:noProof/>
            <w:webHidden/>
          </w:rPr>
          <w:t>395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41" w:history="1">
        <w:r w:rsidRPr="00CD0B56">
          <w:rPr>
            <w:rStyle w:val="Hyperlink"/>
            <w:noProof/>
          </w:rPr>
          <w:t>2.1.873</w:t>
        </w:r>
        <w:r>
          <w:rPr>
            <w:rFonts w:asciiTheme="minorHAnsi" w:eastAsiaTheme="minorEastAsia" w:hAnsiTheme="minorHAnsi" w:cstheme="minorBidi"/>
            <w:noProof/>
            <w:sz w:val="22"/>
            <w:szCs w:val="22"/>
          </w:rPr>
          <w:tab/>
        </w:r>
        <w:r w:rsidRPr="00CD0B56">
          <w:rPr>
            <w:rStyle w:val="Hyperlink"/>
            <w:noProof/>
          </w:rPr>
          <w:t>Part 1 Section 18.17.7.2, ACCRINT</w:t>
        </w:r>
        <w:r>
          <w:rPr>
            <w:noProof/>
            <w:webHidden/>
          </w:rPr>
          <w:tab/>
        </w:r>
        <w:r>
          <w:rPr>
            <w:noProof/>
            <w:webHidden/>
          </w:rPr>
          <w:fldChar w:fldCharType="begin"/>
        </w:r>
        <w:r>
          <w:rPr>
            <w:noProof/>
            <w:webHidden/>
          </w:rPr>
          <w:instrText xml:space="preserve"> PAGEREF _Toc12260941 \h </w:instrText>
        </w:r>
        <w:r>
          <w:rPr>
            <w:noProof/>
            <w:webHidden/>
          </w:rPr>
        </w:r>
        <w:r>
          <w:rPr>
            <w:noProof/>
            <w:webHidden/>
          </w:rPr>
          <w:fldChar w:fldCharType="separate"/>
        </w:r>
        <w:r>
          <w:rPr>
            <w:noProof/>
            <w:webHidden/>
          </w:rPr>
          <w:t>395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42" w:history="1">
        <w:r w:rsidRPr="00CD0B56">
          <w:rPr>
            <w:rStyle w:val="Hyperlink"/>
            <w:noProof/>
          </w:rPr>
          <w:t>2.1.874</w:t>
        </w:r>
        <w:r>
          <w:rPr>
            <w:rFonts w:asciiTheme="minorHAnsi" w:eastAsiaTheme="minorEastAsia" w:hAnsiTheme="minorHAnsi" w:cstheme="minorBidi"/>
            <w:noProof/>
            <w:sz w:val="22"/>
            <w:szCs w:val="22"/>
          </w:rPr>
          <w:tab/>
        </w:r>
        <w:r w:rsidRPr="00CD0B56">
          <w:rPr>
            <w:rStyle w:val="Hyperlink"/>
            <w:noProof/>
          </w:rPr>
          <w:t>Part 1 Section 18.17.7.3, ACCRINTM</w:t>
        </w:r>
        <w:r>
          <w:rPr>
            <w:noProof/>
            <w:webHidden/>
          </w:rPr>
          <w:tab/>
        </w:r>
        <w:r>
          <w:rPr>
            <w:noProof/>
            <w:webHidden/>
          </w:rPr>
          <w:fldChar w:fldCharType="begin"/>
        </w:r>
        <w:r>
          <w:rPr>
            <w:noProof/>
            <w:webHidden/>
          </w:rPr>
          <w:instrText xml:space="preserve"> PAGEREF _Toc12260942 \h </w:instrText>
        </w:r>
        <w:r>
          <w:rPr>
            <w:noProof/>
            <w:webHidden/>
          </w:rPr>
        </w:r>
        <w:r>
          <w:rPr>
            <w:noProof/>
            <w:webHidden/>
          </w:rPr>
          <w:fldChar w:fldCharType="separate"/>
        </w:r>
        <w:r>
          <w:rPr>
            <w:noProof/>
            <w:webHidden/>
          </w:rPr>
          <w:t>396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43" w:history="1">
        <w:r w:rsidRPr="00CD0B56">
          <w:rPr>
            <w:rStyle w:val="Hyperlink"/>
            <w:noProof/>
          </w:rPr>
          <w:t>2.1.875</w:t>
        </w:r>
        <w:r>
          <w:rPr>
            <w:rFonts w:asciiTheme="minorHAnsi" w:eastAsiaTheme="minorEastAsia" w:hAnsiTheme="minorHAnsi" w:cstheme="minorBidi"/>
            <w:noProof/>
            <w:sz w:val="22"/>
            <w:szCs w:val="22"/>
          </w:rPr>
          <w:tab/>
        </w:r>
        <w:r w:rsidRPr="00CD0B56">
          <w:rPr>
            <w:rStyle w:val="Hyperlink"/>
            <w:noProof/>
          </w:rPr>
          <w:t>Part 1 Section 18.17.7.4, ACOS</w:t>
        </w:r>
        <w:r>
          <w:rPr>
            <w:noProof/>
            <w:webHidden/>
          </w:rPr>
          <w:tab/>
        </w:r>
        <w:r>
          <w:rPr>
            <w:noProof/>
            <w:webHidden/>
          </w:rPr>
          <w:fldChar w:fldCharType="begin"/>
        </w:r>
        <w:r>
          <w:rPr>
            <w:noProof/>
            <w:webHidden/>
          </w:rPr>
          <w:instrText xml:space="preserve"> PAGEREF _Toc12260943 \h </w:instrText>
        </w:r>
        <w:r>
          <w:rPr>
            <w:noProof/>
            <w:webHidden/>
          </w:rPr>
        </w:r>
        <w:r>
          <w:rPr>
            <w:noProof/>
            <w:webHidden/>
          </w:rPr>
          <w:fldChar w:fldCharType="separate"/>
        </w:r>
        <w:r>
          <w:rPr>
            <w:noProof/>
            <w:webHidden/>
          </w:rPr>
          <w:t>397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44" w:history="1">
        <w:r w:rsidRPr="00CD0B56">
          <w:rPr>
            <w:rStyle w:val="Hyperlink"/>
            <w:noProof/>
          </w:rPr>
          <w:t>2.1.876</w:t>
        </w:r>
        <w:r>
          <w:rPr>
            <w:rFonts w:asciiTheme="minorHAnsi" w:eastAsiaTheme="minorEastAsia" w:hAnsiTheme="minorHAnsi" w:cstheme="minorBidi"/>
            <w:noProof/>
            <w:sz w:val="22"/>
            <w:szCs w:val="22"/>
          </w:rPr>
          <w:tab/>
        </w:r>
        <w:r w:rsidRPr="00CD0B56">
          <w:rPr>
            <w:rStyle w:val="Hyperlink"/>
            <w:noProof/>
          </w:rPr>
          <w:t>Part 1 Section 18.17.7.6, ADDRESS</w:t>
        </w:r>
        <w:r>
          <w:rPr>
            <w:noProof/>
            <w:webHidden/>
          </w:rPr>
          <w:tab/>
        </w:r>
        <w:r>
          <w:rPr>
            <w:noProof/>
            <w:webHidden/>
          </w:rPr>
          <w:fldChar w:fldCharType="begin"/>
        </w:r>
        <w:r>
          <w:rPr>
            <w:noProof/>
            <w:webHidden/>
          </w:rPr>
          <w:instrText xml:space="preserve"> PAGEREF _Toc12260944 \h </w:instrText>
        </w:r>
        <w:r>
          <w:rPr>
            <w:noProof/>
            <w:webHidden/>
          </w:rPr>
        </w:r>
        <w:r>
          <w:rPr>
            <w:noProof/>
            <w:webHidden/>
          </w:rPr>
          <w:fldChar w:fldCharType="separate"/>
        </w:r>
        <w:r>
          <w:rPr>
            <w:noProof/>
            <w:webHidden/>
          </w:rPr>
          <w:t>397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45" w:history="1">
        <w:r w:rsidRPr="00CD0B56">
          <w:rPr>
            <w:rStyle w:val="Hyperlink"/>
            <w:noProof/>
          </w:rPr>
          <w:t>2.1.877</w:t>
        </w:r>
        <w:r>
          <w:rPr>
            <w:rFonts w:asciiTheme="minorHAnsi" w:eastAsiaTheme="minorEastAsia" w:hAnsiTheme="minorHAnsi" w:cstheme="minorBidi"/>
            <w:noProof/>
            <w:sz w:val="22"/>
            <w:szCs w:val="22"/>
          </w:rPr>
          <w:tab/>
        </w:r>
        <w:r w:rsidRPr="00CD0B56">
          <w:rPr>
            <w:rStyle w:val="Hyperlink"/>
            <w:noProof/>
          </w:rPr>
          <w:t>Part 1 Section 18.17.7.7, AMORDEGRC</w:t>
        </w:r>
        <w:r>
          <w:rPr>
            <w:noProof/>
            <w:webHidden/>
          </w:rPr>
          <w:tab/>
        </w:r>
        <w:r>
          <w:rPr>
            <w:noProof/>
            <w:webHidden/>
          </w:rPr>
          <w:fldChar w:fldCharType="begin"/>
        </w:r>
        <w:r>
          <w:rPr>
            <w:noProof/>
            <w:webHidden/>
          </w:rPr>
          <w:instrText xml:space="preserve"> PAGEREF _Toc12260945 \h </w:instrText>
        </w:r>
        <w:r>
          <w:rPr>
            <w:noProof/>
            <w:webHidden/>
          </w:rPr>
        </w:r>
        <w:r>
          <w:rPr>
            <w:noProof/>
            <w:webHidden/>
          </w:rPr>
          <w:fldChar w:fldCharType="separate"/>
        </w:r>
        <w:r>
          <w:rPr>
            <w:noProof/>
            <w:webHidden/>
          </w:rPr>
          <w:t>397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46" w:history="1">
        <w:r w:rsidRPr="00CD0B56">
          <w:rPr>
            <w:rStyle w:val="Hyperlink"/>
            <w:noProof/>
          </w:rPr>
          <w:t>2.1.878</w:t>
        </w:r>
        <w:r>
          <w:rPr>
            <w:rFonts w:asciiTheme="minorHAnsi" w:eastAsiaTheme="minorEastAsia" w:hAnsiTheme="minorHAnsi" w:cstheme="minorBidi"/>
            <w:noProof/>
            <w:sz w:val="22"/>
            <w:szCs w:val="22"/>
          </w:rPr>
          <w:tab/>
        </w:r>
        <w:r w:rsidRPr="00CD0B56">
          <w:rPr>
            <w:rStyle w:val="Hyperlink"/>
            <w:noProof/>
          </w:rPr>
          <w:t>Part 1 Section 18.17.7.8, AMORLINC</w:t>
        </w:r>
        <w:r>
          <w:rPr>
            <w:noProof/>
            <w:webHidden/>
          </w:rPr>
          <w:tab/>
        </w:r>
        <w:r>
          <w:rPr>
            <w:noProof/>
            <w:webHidden/>
          </w:rPr>
          <w:fldChar w:fldCharType="begin"/>
        </w:r>
        <w:r>
          <w:rPr>
            <w:noProof/>
            <w:webHidden/>
          </w:rPr>
          <w:instrText xml:space="preserve"> PAGEREF _Toc12260946 \h </w:instrText>
        </w:r>
        <w:r>
          <w:rPr>
            <w:noProof/>
            <w:webHidden/>
          </w:rPr>
        </w:r>
        <w:r>
          <w:rPr>
            <w:noProof/>
            <w:webHidden/>
          </w:rPr>
          <w:fldChar w:fldCharType="separate"/>
        </w:r>
        <w:r>
          <w:rPr>
            <w:noProof/>
            <w:webHidden/>
          </w:rPr>
          <w:t>398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47" w:history="1">
        <w:r w:rsidRPr="00CD0B56">
          <w:rPr>
            <w:rStyle w:val="Hyperlink"/>
            <w:noProof/>
          </w:rPr>
          <w:t>2.1.879</w:t>
        </w:r>
        <w:r>
          <w:rPr>
            <w:rFonts w:asciiTheme="minorHAnsi" w:eastAsiaTheme="minorEastAsia" w:hAnsiTheme="minorHAnsi" w:cstheme="minorBidi"/>
            <w:noProof/>
            <w:sz w:val="22"/>
            <w:szCs w:val="22"/>
          </w:rPr>
          <w:tab/>
        </w:r>
        <w:r w:rsidRPr="00CD0B56">
          <w:rPr>
            <w:rStyle w:val="Hyperlink"/>
            <w:noProof/>
          </w:rPr>
          <w:t>Part 1 Section 18.17.7.10, AREAS</w:t>
        </w:r>
        <w:r>
          <w:rPr>
            <w:noProof/>
            <w:webHidden/>
          </w:rPr>
          <w:tab/>
        </w:r>
        <w:r>
          <w:rPr>
            <w:noProof/>
            <w:webHidden/>
          </w:rPr>
          <w:fldChar w:fldCharType="begin"/>
        </w:r>
        <w:r>
          <w:rPr>
            <w:noProof/>
            <w:webHidden/>
          </w:rPr>
          <w:instrText xml:space="preserve"> PAGEREF _Toc12260947 \h </w:instrText>
        </w:r>
        <w:r>
          <w:rPr>
            <w:noProof/>
            <w:webHidden/>
          </w:rPr>
        </w:r>
        <w:r>
          <w:rPr>
            <w:noProof/>
            <w:webHidden/>
          </w:rPr>
          <w:fldChar w:fldCharType="separate"/>
        </w:r>
        <w:r>
          <w:rPr>
            <w:noProof/>
            <w:webHidden/>
          </w:rPr>
          <w:t>399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48" w:history="1">
        <w:r w:rsidRPr="00CD0B56">
          <w:rPr>
            <w:rStyle w:val="Hyperlink"/>
            <w:noProof/>
          </w:rPr>
          <w:t>2.1.880</w:t>
        </w:r>
        <w:r>
          <w:rPr>
            <w:rFonts w:asciiTheme="minorHAnsi" w:eastAsiaTheme="minorEastAsia" w:hAnsiTheme="minorHAnsi" w:cstheme="minorBidi"/>
            <w:noProof/>
            <w:sz w:val="22"/>
            <w:szCs w:val="22"/>
          </w:rPr>
          <w:tab/>
        </w:r>
        <w:r w:rsidRPr="00CD0B56">
          <w:rPr>
            <w:rStyle w:val="Hyperlink"/>
            <w:noProof/>
          </w:rPr>
          <w:t>Part 1 Section 18.17.7.12, ASIN</w:t>
        </w:r>
        <w:r>
          <w:rPr>
            <w:noProof/>
            <w:webHidden/>
          </w:rPr>
          <w:tab/>
        </w:r>
        <w:r>
          <w:rPr>
            <w:noProof/>
            <w:webHidden/>
          </w:rPr>
          <w:fldChar w:fldCharType="begin"/>
        </w:r>
        <w:r>
          <w:rPr>
            <w:noProof/>
            <w:webHidden/>
          </w:rPr>
          <w:instrText xml:space="preserve"> PAGEREF _Toc12260948 \h </w:instrText>
        </w:r>
        <w:r>
          <w:rPr>
            <w:noProof/>
            <w:webHidden/>
          </w:rPr>
        </w:r>
        <w:r>
          <w:rPr>
            <w:noProof/>
            <w:webHidden/>
          </w:rPr>
          <w:fldChar w:fldCharType="separate"/>
        </w:r>
        <w:r>
          <w:rPr>
            <w:noProof/>
            <w:webHidden/>
          </w:rPr>
          <w:t>399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49" w:history="1">
        <w:r w:rsidRPr="00CD0B56">
          <w:rPr>
            <w:rStyle w:val="Hyperlink"/>
            <w:noProof/>
          </w:rPr>
          <w:t>2.1.881</w:t>
        </w:r>
        <w:r>
          <w:rPr>
            <w:rFonts w:asciiTheme="minorHAnsi" w:eastAsiaTheme="minorEastAsia" w:hAnsiTheme="minorHAnsi" w:cstheme="minorBidi"/>
            <w:noProof/>
            <w:sz w:val="22"/>
            <w:szCs w:val="22"/>
          </w:rPr>
          <w:tab/>
        </w:r>
        <w:r w:rsidRPr="00CD0B56">
          <w:rPr>
            <w:rStyle w:val="Hyperlink"/>
            <w:noProof/>
          </w:rPr>
          <w:t>Part 1 Section 18.17.7.13, ASINH</w:t>
        </w:r>
        <w:r>
          <w:rPr>
            <w:noProof/>
            <w:webHidden/>
          </w:rPr>
          <w:tab/>
        </w:r>
        <w:r>
          <w:rPr>
            <w:noProof/>
            <w:webHidden/>
          </w:rPr>
          <w:fldChar w:fldCharType="begin"/>
        </w:r>
        <w:r>
          <w:rPr>
            <w:noProof/>
            <w:webHidden/>
          </w:rPr>
          <w:instrText xml:space="preserve"> PAGEREF _Toc12260949 \h </w:instrText>
        </w:r>
        <w:r>
          <w:rPr>
            <w:noProof/>
            <w:webHidden/>
          </w:rPr>
        </w:r>
        <w:r>
          <w:rPr>
            <w:noProof/>
            <w:webHidden/>
          </w:rPr>
          <w:fldChar w:fldCharType="separate"/>
        </w:r>
        <w:r>
          <w:rPr>
            <w:noProof/>
            <w:webHidden/>
          </w:rPr>
          <w:t>399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50" w:history="1">
        <w:r w:rsidRPr="00CD0B56">
          <w:rPr>
            <w:rStyle w:val="Hyperlink"/>
            <w:noProof/>
          </w:rPr>
          <w:t>2.1.882</w:t>
        </w:r>
        <w:r>
          <w:rPr>
            <w:rFonts w:asciiTheme="minorHAnsi" w:eastAsiaTheme="minorEastAsia" w:hAnsiTheme="minorHAnsi" w:cstheme="minorBidi"/>
            <w:noProof/>
            <w:sz w:val="22"/>
            <w:szCs w:val="22"/>
          </w:rPr>
          <w:tab/>
        </w:r>
        <w:r w:rsidRPr="00CD0B56">
          <w:rPr>
            <w:rStyle w:val="Hyperlink"/>
            <w:noProof/>
          </w:rPr>
          <w:t>Part 1 Section 18.17.7.14, ATAN</w:t>
        </w:r>
        <w:r>
          <w:rPr>
            <w:noProof/>
            <w:webHidden/>
          </w:rPr>
          <w:tab/>
        </w:r>
        <w:r>
          <w:rPr>
            <w:noProof/>
            <w:webHidden/>
          </w:rPr>
          <w:fldChar w:fldCharType="begin"/>
        </w:r>
        <w:r>
          <w:rPr>
            <w:noProof/>
            <w:webHidden/>
          </w:rPr>
          <w:instrText xml:space="preserve"> PAGEREF _Toc12260950 \h </w:instrText>
        </w:r>
        <w:r>
          <w:rPr>
            <w:noProof/>
            <w:webHidden/>
          </w:rPr>
        </w:r>
        <w:r>
          <w:rPr>
            <w:noProof/>
            <w:webHidden/>
          </w:rPr>
          <w:fldChar w:fldCharType="separate"/>
        </w:r>
        <w:r>
          <w:rPr>
            <w:noProof/>
            <w:webHidden/>
          </w:rPr>
          <w:t>399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51" w:history="1">
        <w:r w:rsidRPr="00CD0B56">
          <w:rPr>
            <w:rStyle w:val="Hyperlink"/>
            <w:noProof/>
          </w:rPr>
          <w:t>2.1.883</w:t>
        </w:r>
        <w:r>
          <w:rPr>
            <w:rFonts w:asciiTheme="minorHAnsi" w:eastAsiaTheme="minorEastAsia" w:hAnsiTheme="minorHAnsi" w:cstheme="minorBidi"/>
            <w:noProof/>
            <w:sz w:val="22"/>
            <w:szCs w:val="22"/>
          </w:rPr>
          <w:tab/>
        </w:r>
        <w:r w:rsidRPr="00CD0B56">
          <w:rPr>
            <w:rStyle w:val="Hyperlink"/>
            <w:noProof/>
          </w:rPr>
          <w:t>Part 1 Section 18.17.7.15, ATAN2</w:t>
        </w:r>
        <w:r>
          <w:rPr>
            <w:noProof/>
            <w:webHidden/>
          </w:rPr>
          <w:tab/>
        </w:r>
        <w:r>
          <w:rPr>
            <w:noProof/>
            <w:webHidden/>
          </w:rPr>
          <w:fldChar w:fldCharType="begin"/>
        </w:r>
        <w:r>
          <w:rPr>
            <w:noProof/>
            <w:webHidden/>
          </w:rPr>
          <w:instrText xml:space="preserve"> PAGEREF _Toc12260951 \h </w:instrText>
        </w:r>
        <w:r>
          <w:rPr>
            <w:noProof/>
            <w:webHidden/>
          </w:rPr>
        </w:r>
        <w:r>
          <w:rPr>
            <w:noProof/>
            <w:webHidden/>
          </w:rPr>
          <w:fldChar w:fldCharType="separate"/>
        </w:r>
        <w:r>
          <w:rPr>
            <w:noProof/>
            <w:webHidden/>
          </w:rPr>
          <w:t>399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52" w:history="1">
        <w:r w:rsidRPr="00CD0B56">
          <w:rPr>
            <w:rStyle w:val="Hyperlink"/>
            <w:noProof/>
          </w:rPr>
          <w:t>2.1.884</w:t>
        </w:r>
        <w:r>
          <w:rPr>
            <w:rFonts w:asciiTheme="minorHAnsi" w:eastAsiaTheme="minorEastAsia" w:hAnsiTheme="minorHAnsi" w:cstheme="minorBidi"/>
            <w:noProof/>
            <w:sz w:val="22"/>
            <w:szCs w:val="22"/>
          </w:rPr>
          <w:tab/>
        </w:r>
        <w:r w:rsidRPr="00CD0B56">
          <w:rPr>
            <w:rStyle w:val="Hyperlink"/>
            <w:noProof/>
          </w:rPr>
          <w:t>Part 1 Section 18.17.7.17, AVEDEV</w:t>
        </w:r>
        <w:r>
          <w:rPr>
            <w:noProof/>
            <w:webHidden/>
          </w:rPr>
          <w:tab/>
        </w:r>
        <w:r>
          <w:rPr>
            <w:noProof/>
            <w:webHidden/>
          </w:rPr>
          <w:fldChar w:fldCharType="begin"/>
        </w:r>
        <w:r>
          <w:rPr>
            <w:noProof/>
            <w:webHidden/>
          </w:rPr>
          <w:instrText xml:space="preserve"> PAGEREF _Toc12260952 \h </w:instrText>
        </w:r>
        <w:r>
          <w:rPr>
            <w:noProof/>
            <w:webHidden/>
          </w:rPr>
        </w:r>
        <w:r>
          <w:rPr>
            <w:noProof/>
            <w:webHidden/>
          </w:rPr>
          <w:fldChar w:fldCharType="separate"/>
        </w:r>
        <w:r>
          <w:rPr>
            <w:noProof/>
            <w:webHidden/>
          </w:rPr>
          <w:t>400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53" w:history="1">
        <w:r w:rsidRPr="00CD0B56">
          <w:rPr>
            <w:rStyle w:val="Hyperlink"/>
            <w:noProof/>
          </w:rPr>
          <w:t>2.1.885</w:t>
        </w:r>
        <w:r>
          <w:rPr>
            <w:rFonts w:asciiTheme="minorHAnsi" w:eastAsiaTheme="minorEastAsia" w:hAnsiTheme="minorHAnsi" w:cstheme="minorBidi"/>
            <w:noProof/>
            <w:sz w:val="22"/>
            <w:szCs w:val="22"/>
          </w:rPr>
          <w:tab/>
        </w:r>
        <w:r w:rsidRPr="00CD0B56">
          <w:rPr>
            <w:rStyle w:val="Hyperlink"/>
            <w:noProof/>
          </w:rPr>
          <w:t>Part 1 Section 18.17.7.19, AVERAGEA</w:t>
        </w:r>
        <w:r>
          <w:rPr>
            <w:noProof/>
            <w:webHidden/>
          </w:rPr>
          <w:tab/>
        </w:r>
        <w:r>
          <w:rPr>
            <w:noProof/>
            <w:webHidden/>
          </w:rPr>
          <w:fldChar w:fldCharType="begin"/>
        </w:r>
        <w:r>
          <w:rPr>
            <w:noProof/>
            <w:webHidden/>
          </w:rPr>
          <w:instrText xml:space="preserve"> PAGEREF _Toc12260953 \h </w:instrText>
        </w:r>
        <w:r>
          <w:rPr>
            <w:noProof/>
            <w:webHidden/>
          </w:rPr>
        </w:r>
        <w:r>
          <w:rPr>
            <w:noProof/>
            <w:webHidden/>
          </w:rPr>
          <w:fldChar w:fldCharType="separate"/>
        </w:r>
        <w:r>
          <w:rPr>
            <w:noProof/>
            <w:webHidden/>
          </w:rPr>
          <w:t>400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54" w:history="1">
        <w:r w:rsidRPr="00CD0B56">
          <w:rPr>
            <w:rStyle w:val="Hyperlink"/>
            <w:noProof/>
          </w:rPr>
          <w:t>2.1.886</w:t>
        </w:r>
        <w:r>
          <w:rPr>
            <w:rFonts w:asciiTheme="minorHAnsi" w:eastAsiaTheme="minorEastAsia" w:hAnsiTheme="minorHAnsi" w:cstheme="minorBidi"/>
            <w:noProof/>
            <w:sz w:val="22"/>
            <w:szCs w:val="22"/>
          </w:rPr>
          <w:tab/>
        </w:r>
        <w:r w:rsidRPr="00CD0B56">
          <w:rPr>
            <w:rStyle w:val="Hyperlink"/>
            <w:noProof/>
          </w:rPr>
          <w:t>Part 1 Section 18.17.7.20, AVERAGEIF</w:t>
        </w:r>
        <w:r>
          <w:rPr>
            <w:noProof/>
            <w:webHidden/>
          </w:rPr>
          <w:tab/>
        </w:r>
        <w:r>
          <w:rPr>
            <w:noProof/>
            <w:webHidden/>
          </w:rPr>
          <w:fldChar w:fldCharType="begin"/>
        </w:r>
        <w:r>
          <w:rPr>
            <w:noProof/>
            <w:webHidden/>
          </w:rPr>
          <w:instrText xml:space="preserve"> PAGEREF _Toc12260954 \h </w:instrText>
        </w:r>
        <w:r>
          <w:rPr>
            <w:noProof/>
            <w:webHidden/>
          </w:rPr>
        </w:r>
        <w:r>
          <w:rPr>
            <w:noProof/>
            <w:webHidden/>
          </w:rPr>
          <w:fldChar w:fldCharType="separate"/>
        </w:r>
        <w:r>
          <w:rPr>
            <w:noProof/>
            <w:webHidden/>
          </w:rPr>
          <w:t>400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55" w:history="1">
        <w:r w:rsidRPr="00CD0B56">
          <w:rPr>
            <w:rStyle w:val="Hyperlink"/>
            <w:noProof/>
          </w:rPr>
          <w:t>2.1.887</w:t>
        </w:r>
        <w:r>
          <w:rPr>
            <w:rFonts w:asciiTheme="minorHAnsi" w:eastAsiaTheme="minorEastAsia" w:hAnsiTheme="minorHAnsi" w:cstheme="minorBidi"/>
            <w:noProof/>
            <w:sz w:val="22"/>
            <w:szCs w:val="22"/>
          </w:rPr>
          <w:tab/>
        </w:r>
        <w:r w:rsidRPr="00CD0B56">
          <w:rPr>
            <w:rStyle w:val="Hyperlink"/>
            <w:noProof/>
          </w:rPr>
          <w:t>Part 1 Section 18.17.7.21, AVERAGEIFS</w:t>
        </w:r>
        <w:r>
          <w:rPr>
            <w:noProof/>
            <w:webHidden/>
          </w:rPr>
          <w:tab/>
        </w:r>
        <w:r>
          <w:rPr>
            <w:noProof/>
            <w:webHidden/>
          </w:rPr>
          <w:fldChar w:fldCharType="begin"/>
        </w:r>
        <w:r>
          <w:rPr>
            <w:noProof/>
            <w:webHidden/>
          </w:rPr>
          <w:instrText xml:space="preserve"> PAGEREF _Toc12260955 \h </w:instrText>
        </w:r>
        <w:r>
          <w:rPr>
            <w:noProof/>
            <w:webHidden/>
          </w:rPr>
        </w:r>
        <w:r>
          <w:rPr>
            <w:noProof/>
            <w:webHidden/>
          </w:rPr>
          <w:fldChar w:fldCharType="separate"/>
        </w:r>
        <w:r>
          <w:rPr>
            <w:noProof/>
            <w:webHidden/>
          </w:rPr>
          <w:t>400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56" w:history="1">
        <w:r w:rsidRPr="00CD0B56">
          <w:rPr>
            <w:rStyle w:val="Hyperlink"/>
            <w:noProof/>
          </w:rPr>
          <w:t>2.1.888</w:t>
        </w:r>
        <w:r>
          <w:rPr>
            <w:rFonts w:asciiTheme="minorHAnsi" w:eastAsiaTheme="minorEastAsia" w:hAnsiTheme="minorHAnsi" w:cstheme="minorBidi"/>
            <w:noProof/>
            <w:sz w:val="22"/>
            <w:szCs w:val="22"/>
          </w:rPr>
          <w:tab/>
        </w:r>
        <w:r w:rsidRPr="00CD0B56">
          <w:rPr>
            <w:rStyle w:val="Hyperlink"/>
            <w:noProof/>
          </w:rPr>
          <w:t>Part 1 Section 18.17.7.23, BESSELI</w:t>
        </w:r>
        <w:r>
          <w:rPr>
            <w:noProof/>
            <w:webHidden/>
          </w:rPr>
          <w:tab/>
        </w:r>
        <w:r>
          <w:rPr>
            <w:noProof/>
            <w:webHidden/>
          </w:rPr>
          <w:fldChar w:fldCharType="begin"/>
        </w:r>
        <w:r>
          <w:rPr>
            <w:noProof/>
            <w:webHidden/>
          </w:rPr>
          <w:instrText xml:space="preserve"> PAGEREF _Toc12260956 \h </w:instrText>
        </w:r>
        <w:r>
          <w:rPr>
            <w:noProof/>
            <w:webHidden/>
          </w:rPr>
        </w:r>
        <w:r>
          <w:rPr>
            <w:noProof/>
            <w:webHidden/>
          </w:rPr>
          <w:fldChar w:fldCharType="separate"/>
        </w:r>
        <w:r>
          <w:rPr>
            <w:noProof/>
            <w:webHidden/>
          </w:rPr>
          <w:t>400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57" w:history="1">
        <w:r w:rsidRPr="00CD0B56">
          <w:rPr>
            <w:rStyle w:val="Hyperlink"/>
            <w:noProof/>
          </w:rPr>
          <w:t>2.1.889</w:t>
        </w:r>
        <w:r>
          <w:rPr>
            <w:rFonts w:asciiTheme="minorHAnsi" w:eastAsiaTheme="minorEastAsia" w:hAnsiTheme="minorHAnsi" w:cstheme="minorBidi"/>
            <w:noProof/>
            <w:sz w:val="22"/>
            <w:szCs w:val="22"/>
          </w:rPr>
          <w:tab/>
        </w:r>
        <w:r w:rsidRPr="00CD0B56">
          <w:rPr>
            <w:rStyle w:val="Hyperlink"/>
            <w:noProof/>
          </w:rPr>
          <w:t>Part 1 Section 18.17.7.24, BESSELJ</w:t>
        </w:r>
        <w:r>
          <w:rPr>
            <w:noProof/>
            <w:webHidden/>
          </w:rPr>
          <w:tab/>
        </w:r>
        <w:r>
          <w:rPr>
            <w:noProof/>
            <w:webHidden/>
          </w:rPr>
          <w:fldChar w:fldCharType="begin"/>
        </w:r>
        <w:r>
          <w:rPr>
            <w:noProof/>
            <w:webHidden/>
          </w:rPr>
          <w:instrText xml:space="preserve"> PAGEREF _Toc12260957 \h </w:instrText>
        </w:r>
        <w:r>
          <w:rPr>
            <w:noProof/>
            <w:webHidden/>
          </w:rPr>
        </w:r>
        <w:r>
          <w:rPr>
            <w:noProof/>
            <w:webHidden/>
          </w:rPr>
          <w:fldChar w:fldCharType="separate"/>
        </w:r>
        <w:r>
          <w:rPr>
            <w:noProof/>
            <w:webHidden/>
          </w:rPr>
          <w:t>400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58" w:history="1">
        <w:r w:rsidRPr="00CD0B56">
          <w:rPr>
            <w:rStyle w:val="Hyperlink"/>
            <w:noProof/>
          </w:rPr>
          <w:t>2.1.890</w:t>
        </w:r>
        <w:r>
          <w:rPr>
            <w:rFonts w:asciiTheme="minorHAnsi" w:eastAsiaTheme="minorEastAsia" w:hAnsiTheme="minorHAnsi" w:cstheme="minorBidi"/>
            <w:noProof/>
            <w:sz w:val="22"/>
            <w:szCs w:val="22"/>
          </w:rPr>
          <w:tab/>
        </w:r>
        <w:r w:rsidRPr="00CD0B56">
          <w:rPr>
            <w:rStyle w:val="Hyperlink"/>
            <w:noProof/>
          </w:rPr>
          <w:t>Part 1 Section 18.17.7.25, BESSELK</w:t>
        </w:r>
        <w:r>
          <w:rPr>
            <w:noProof/>
            <w:webHidden/>
          </w:rPr>
          <w:tab/>
        </w:r>
        <w:r>
          <w:rPr>
            <w:noProof/>
            <w:webHidden/>
          </w:rPr>
          <w:fldChar w:fldCharType="begin"/>
        </w:r>
        <w:r>
          <w:rPr>
            <w:noProof/>
            <w:webHidden/>
          </w:rPr>
          <w:instrText xml:space="preserve"> PAGEREF _Toc12260958 \h </w:instrText>
        </w:r>
        <w:r>
          <w:rPr>
            <w:noProof/>
            <w:webHidden/>
          </w:rPr>
        </w:r>
        <w:r>
          <w:rPr>
            <w:noProof/>
            <w:webHidden/>
          </w:rPr>
          <w:fldChar w:fldCharType="separate"/>
        </w:r>
        <w:r>
          <w:rPr>
            <w:noProof/>
            <w:webHidden/>
          </w:rPr>
          <w:t>401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59" w:history="1">
        <w:r w:rsidRPr="00CD0B56">
          <w:rPr>
            <w:rStyle w:val="Hyperlink"/>
            <w:noProof/>
          </w:rPr>
          <w:t>2.1.891</w:t>
        </w:r>
        <w:r>
          <w:rPr>
            <w:rFonts w:asciiTheme="minorHAnsi" w:eastAsiaTheme="minorEastAsia" w:hAnsiTheme="minorHAnsi" w:cstheme="minorBidi"/>
            <w:noProof/>
            <w:sz w:val="22"/>
            <w:szCs w:val="22"/>
          </w:rPr>
          <w:tab/>
        </w:r>
        <w:r w:rsidRPr="00CD0B56">
          <w:rPr>
            <w:rStyle w:val="Hyperlink"/>
            <w:noProof/>
          </w:rPr>
          <w:t>Part 1 Section 18.17.7.26, BESSELY</w:t>
        </w:r>
        <w:r>
          <w:rPr>
            <w:noProof/>
            <w:webHidden/>
          </w:rPr>
          <w:tab/>
        </w:r>
        <w:r>
          <w:rPr>
            <w:noProof/>
            <w:webHidden/>
          </w:rPr>
          <w:fldChar w:fldCharType="begin"/>
        </w:r>
        <w:r>
          <w:rPr>
            <w:noProof/>
            <w:webHidden/>
          </w:rPr>
          <w:instrText xml:space="preserve"> PAGEREF _Toc12260959 \h </w:instrText>
        </w:r>
        <w:r>
          <w:rPr>
            <w:noProof/>
            <w:webHidden/>
          </w:rPr>
        </w:r>
        <w:r>
          <w:rPr>
            <w:noProof/>
            <w:webHidden/>
          </w:rPr>
          <w:fldChar w:fldCharType="separate"/>
        </w:r>
        <w:r>
          <w:rPr>
            <w:noProof/>
            <w:webHidden/>
          </w:rPr>
          <w:t>401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60" w:history="1">
        <w:r w:rsidRPr="00CD0B56">
          <w:rPr>
            <w:rStyle w:val="Hyperlink"/>
            <w:noProof/>
          </w:rPr>
          <w:t>2.1.892</w:t>
        </w:r>
        <w:r>
          <w:rPr>
            <w:rFonts w:asciiTheme="minorHAnsi" w:eastAsiaTheme="minorEastAsia" w:hAnsiTheme="minorHAnsi" w:cstheme="minorBidi"/>
            <w:noProof/>
            <w:sz w:val="22"/>
            <w:szCs w:val="22"/>
          </w:rPr>
          <w:tab/>
        </w:r>
        <w:r w:rsidRPr="00CD0B56">
          <w:rPr>
            <w:rStyle w:val="Hyperlink"/>
            <w:noProof/>
          </w:rPr>
          <w:t>Part 1 Section 18.17.7.28, BETAINV</w:t>
        </w:r>
        <w:r>
          <w:rPr>
            <w:noProof/>
            <w:webHidden/>
          </w:rPr>
          <w:tab/>
        </w:r>
        <w:r>
          <w:rPr>
            <w:noProof/>
            <w:webHidden/>
          </w:rPr>
          <w:fldChar w:fldCharType="begin"/>
        </w:r>
        <w:r>
          <w:rPr>
            <w:noProof/>
            <w:webHidden/>
          </w:rPr>
          <w:instrText xml:space="preserve"> PAGEREF _Toc12260960 \h </w:instrText>
        </w:r>
        <w:r>
          <w:rPr>
            <w:noProof/>
            <w:webHidden/>
          </w:rPr>
        </w:r>
        <w:r>
          <w:rPr>
            <w:noProof/>
            <w:webHidden/>
          </w:rPr>
          <w:fldChar w:fldCharType="separate"/>
        </w:r>
        <w:r>
          <w:rPr>
            <w:noProof/>
            <w:webHidden/>
          </w:rPr>
          <w:t>401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61" w:history="1">
        <w:r w:rsidRPr="00CD0B56">
          <w:rPr>
            <w:rStyle w:val="Hyperlink"/>
            <w:noProof/>
          </w:rPr>
          <w:t>2.1.893</w:t>
        </w:r>
        <w:r>
          <w:rPr>
            <w:rFonts w:asciiTheme="minorHAnsi" w:eastAsiaTheme="minorEastAsia" w:hAnsiTheme="minorHAnsi" w:cstheme="minorBidi"/>
            <w:noProof/>
            <w:sz w:val="22"/>
            <w:szCs w:val="22"/>
          </w:rPr>
          <w:tab/>
        </w:r>
        <w:r w:rsidRPr="00CD0B56">
          <w:rPr>
            <w:rStyle w:val="Hyperlink"/>
            <w:noProof/>
          </w:rPr>
          <w:t>Part 1 Section 18.17.7.29, BIN2DEC</w:t>
        </w:r>
        <w:r>
          <w:rPr>
            <w:noProof/>
            <w:webHidden/>
          </w:rPr>
          <w:tab/>
        </w:r>
        <w:r>
          <w:rPr>
            <w:noProof/>
            <w:webHidden/>
          </w:rPr>
          <w:fldChar w:fldCharType="begin"/>
        </w:r>
        <w:r>
          <w:rPr>
            <w:noProof/>
            <w:webHidden/>
          </w:rPr>
          <w:instrText xml:space="preserve"> PAGEREF _Toc12260961 \h </w:instrText>
        </w:r>
        <w:r>
          <w:rPr>
            <w:noProof/>
            <w:webHidden/>
          </w:rPr>
        </w:r>
        <w:r>
          <w:rPr>
            <w:noProof/>
            <w:webHidden/>
          </w:rPr>
          <w:fldChar w:fldCharType="separate"/>
        </w:r>
        <w:r>
          <w:rPr>
            <w:noProof/>
            <w:webHidden/>
          </w:rPr>
          <w:t>401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62" w:history="1">
        <w:r w:rsidRPr="00CD0B56">
          <w:rPr>
            <w:rStyle w:val="Hyperlink"/>
            <w:noProof/>
          </w:rPr>
          <w:t>2.1.894</w:t>
        </w:r>
        <w:r>
          <w:rPr>
            <w:rFonts w:asciiTheme="minorHAnsi" w:eastAsiaTheme="minorEastAsia" w:hAnsiTheme="minorHAnsi" w:cstheme="minorBidi"/>
            <w:noProof/>
            <w:sz w:val="22"/>
            <w:szCs w:val="22"/>
          </w:rPr>
          <w:tab/>
        </w:r>
        <w:r w:rsidRPr="00CD0B56">
          <w:rPr>
            <w:rStyle w:val="Hyperlink"/>
            <w:noProof/>
          </w:rPr>
          <w:t>Part 1 Section 18.17.7.33, CEILING</w:t>
        </w:r>
        <w:r>
          <w:rPr>
            <w:noProof/>
            <w:webHidden/>
          </w:rPr>
          <w:tab/>
        </w:r>
        <w:r>
          <w:rPr>
            <w:noProof/>
            <w:webHidden/>
          </w:rPr>
          <w:fldChar w:fldCharType="begin"/>
        </w:r>
        <w:r>
          <w:rPr>
            <w:noProof/>
            <w:webHidden/>
          </w:rPr>
          <w:instrText xml:space="preserve"> PAGEREF _Toc12260962 \h </w:instrText>
        </w:r>
        <w:r>
          <w:rPr>
            <w:noProof/>
            <w:webHidden/>
          </w:rPr>
        </w:r>
        <w:r>
          <w:rPr>
            <w:noProof/>
            <w:webHidden/>
          </w:rPr>
          <w:fldChar w:fldCharType="separate"/>
        </w:r>
        <w:r>
          <w:rPr>
            <w:noProof/>
            <w:webHidden/>
          </w:rPr>
          <w:t>401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63" w:history="1">
        <w:r w:rsidRPr="00CD0B56">
          <w:rPr>
            <w:rStyle w:val="Hyperlink"/>
            <w:noProof/>
          </w:rPr>
          <w:t>2.1.895</w:t>
        </w:r>
        <w:r>
          <w:rPr>
            <w:rFonts w:asciiTheme="minorHAnsi" w:eastAsiaTheme="minorEastAsia" w:hAnsiTheme="minorHAnsi" w:cstheme="minorBidi"/>
            <w:noProof/>
            <w:sz w:val="22"/>
            <w:szCs w:val="22"/>
          </w:rPr>
          <w:tab/>
        </w:r>
        <w:r w:rsidRPr="00CD0B56">
          <w:rPr>
            <w:rStyle w:val="Hyperlink"/>
            <w:noProof/>
          </w:rPr>
          <w:t>Part 1 Section 18.17.7.34, CELL</w:t>
        </w:r>
        <w:r>
          <w:rPr>
            <w:noProof/>
            <w:webHidden/>
          </w:rPr>
          <w:tab/>
        </w:r>
        <w:r>
          <w:rPr>
            <w:noProof/>
            <w:webHidden/>
          </w:rPr>
          <w:fldChar w:fldCharType="begin"/>
        </w:r>
        <w:r>
          <w:rPr>
            <w:noProof/>
            <w:webHidden/>
          </w:rPr>
          <w:instrText xml:space="preserve"> PAGEREF _Toc12260963 \h </w:instrText>
        </w:r>
        <w:r>
          <w:rPr>
            <w:noProof/>
            <w:webHidden/>
          </w:rPr>
        </w:r>
        <w:r>
          <w:rPr>
            <w:noProof/>
            <w:webHidden/>
          </w:rPr>
          <w:fldChar w:fldCharType="separate"/>
        </w:r>
        <w:r>
          <w:rPr>
            <w:noProof/>
            <w:webHidden/>
          </w:rPr>
          <w:t>401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64" w:history="1">
        <w:r w:rsidRPr="00CD0B56">
          <w:rPr>
            <w:rStyle w:val="Hyperlink"/>
            <w:noProof/>
          </w:rPr>
          <w:t>2.1.896</w:t>
        </w:r>
        <w:r>
          <w:rPr>
            <w:rFonts w:asciiTheme="minorHAnsi" w:eastAsiaTheme="minorEastAsia" w:hAnsiTheme="minorHAnsi" w:cstheme="minorBidi"/>
            <w:noProof/>
            <w:sz w:val="22"/>
            <w:szCs w:val="22"/>
          </w:rPr>
          <w:tab/>
        </w:r>
        <w:r w:rsidRPr="00CD0B56">
          <w:rPr>
            <w:rStyle w:val="Hyperlink"/>
            <w:noProof/>
          </w:rPr>
          <w:t>Part 1 Section 18.17.7.37, CHIINV</w:t>
        </w:r>
        <w:r>
          <w:rPr>
            <w:noProof/>
            <w:webHidden/>
          </w:rPr>
          <w:tab/>
        </w:r>
        <w:r>
          <w:rPr>
            <w:noProof/>
            <w:webHidden/>
          </w:rPr>
          <w:fldChar w:fldCharType="begin"/>
        </w:r>
        <w:r>
          <w:rPr>
            <w:noProof/>
            <w:webHidden/>
          </w:rPr>
          <w:instrText xml:space="preserve"> PAGEREF _Toc12260964 \h </w:instrText>
        </w:r>
        <w:r>
          <w:rPr>
            <w:noProof/>
            <w:webHidden/>
          </w:rPr>
        </w:r>
        <w:r>
          <w:rPr>
            <w:noProof/>
            <w:webHidden/>
          </w:rPr>
          <w:fldChar w:fldCharType="separate"/>
        </w:r>
        <w:r>
          <w:rPr>
            <w:noProof/>
            <w:webHidden/>
          </w:rPr>
          <w:t>406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65" w:history="1">
        <w:r w:rsidRPr="00CD0B56">
          <w:rPr>
            <w:rStyle w:val="Hyperlink"/>
            <w:noProof/>
          </w:rPr>
          <w:t>2.1.897</w:t>
        </w:r>
        <w:r>
          <w:rPr>
            <w:rFonts w:asciiTheme="minorHAnsi" w:eastAsiaTheme="minorEastAsia" w:hAnsiTheme="minorHAnsi" w:cstheme="minorBidi"/>
            <w:noProof/>
            <w:sz w:val="22"/>
            <w:szCs w:val="22"/>
          </w:rPr>
          <w:tab/>
        </w:r>
        <w:r w:rsidRPr="00CD0B56">
          <w:rPr>
            <w:rStyle w:val="Hyperlink"/>
            <w:noProof/>
          </w:rPr>
          <w:t>Part 1 Section 18.17.7.40, CLEAN</w:t>
        </w:r>
        <w:r>
          <w:rPr>
            <w:noProof/>
            <w:webHidden/>
          </w:rPr>
          <w:tab/>
        </w:r>
        <w:r>
          <w:rPr>
            <w:noProof/>
            <w:webHidden/>
          </w:rPr>
          <w:fldChar w:fldCharType="begin"/>
        </w:r>
        <w:r>
          <w:rPr>
            <w:noProof/>
            <w:webHidden/>
          </w:rPr>
          <w:instrText xml:space="preserve"> PAGEREF _Toc12260965 \h </w:instrText>
        </w:r>
        <w:r>
          <w:rPr>
            <w:noProof/>
            <w:webHidden/>
          </w:rPr>
        </w:r>
        <w:r>
          <w:rPr>
            <w:noProof/>
            <w:webHidden/>
          </w:rPr>
          <w:fldChar w:fldCharType="separate"/>
        </w:r>
        <w:r>
          <w:rPr>
            <w:noProof/>
            <w:webHidden/>
          </w:rPr>
          <w:t>406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66" w:history="1">
        <w:r w:rsidRPr="00CD0B56">
          <w:rPr>
            <w:rStyle w:val="Hyperlink"/>
            <w:noProof/>
          </w:rPr>
          <w:t>2.1.898</w:t>
        </w:r>
        <w:r>
          <w:rPr>
            <w:rFonts w:asciiTheme="minorHAnsi" w:eastAsiaTheme="minorEastAsia" w:hAnsiTheme="minorHAnsi" w:cstheme="minorBidi"/>
            <w:noProof/>
            <w:sz w:val="22"/>
            <w:szCs w:val="22"/>
          </w:rPr>
          <w:tab/>
        </w:r>
        <w:r w:rsidRPr="00CD0B56">
          <w:rPr>
            <w:rStyle w:val="Hyperlink"/>
            <w:noProof/>
          </w:rPr>
          <w:t>Part 1 Section 18.17.7.45, COMPLEX</w:t>
        </w:r>
        <w:r>
          <w:rPr>
            <w:noProof/>
            <w:webHidden/>
          </w:rPr>
          <w:tab/>
        </w:r>
        <w:r>
          <w:rPr>
            <w:noProof/>
            <w:webHidden/>
          </w:rPr>
          <w:fldChar w:fldCharType="begin"/>
        </w:r>
        <w:r>
          <w:rPr>
            <w:noProof/>
            <w:webHidden/>
          </w:rPr>
          <w:instrText xml:space="preserve"> PAGEREF _Toc12260966 \h </w:instrText>
        </w:r>
        <w:r>
          <w:rPr>
            <w:noProof/>
            <w:webHidden/>
          </w:rPr>
        </w:r>
        <w:r>
          <w:rPr>
            <w:noProof/>
            <w:webHidden/>
          </w:rPr>
          <w:fldChar w:fldCharType="separate"/>
        </w:r>
        <w:r>
          <w:rPr>
            <w:noProof/>
            <w:webHidden/>
          </w:rPr>
          <w:t>407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67" w:history="1">
        <w:r w:rsidRPr="00CD0B56">
          <w:rPr>
            <w:rStyle w:val="Hyperlink"/>
            <w:noProof/>
          </w:rPr>
          <w:t>2.1.899</w:t>
        </w:r>
        <w:r>
          <w:rPr>
            <w:rFonts w:asciiTheme="minorHAnsi" w:eastAsiaTheme="minorEastAsia" w:hAnsiTheme="minorHAnsi" w:cstheme="minorBidi"/>
            <w:noProof/>
            <w:sz w:val="22"/>
            <w:szCs w:val="22"/>
          </w:rPr>
          <w:tab/>
        </w:r>
        <w:r w:rsidRPr="00CD0B56">
          <w:rPr>
            <w:rStyle w:val="Hyperlink"/>
            <w:noProof/>
          </w:rPr>
          <w:t>Part 1 Section 18.17.7.47, CONFIDENCE</w:t>
        </w:r>
        <w:r>
          <w:rPr>
            <w:noProof/>
            <w:webHidden/>
          </w:rPr>
          <w:tab/>
        </w:r>
        <w:r>
          <w:rPr>
            <w:noProof/>
            <w:webHidden/>
          </w:rPr>
          <w:fldChar w:fldCharType="begin"/>
        </w:r>
        <w:r>
          <w:rPr>
            <w:noProof/>
            <w:webHidden/>
          </w:rPr>
          <w:instrText xml:space="preserve"> PAGEREF _Toc12260967 \h </w:instrText>
        </w:r>
        <w:r>
          <w:rPr>
            <w:noProof/>
            <w:webHidden/>
          </w:rPr>
        </w:r>
        <w:r>
          <w:rPr>
            <w:noProof/>
            <w:webHidden/>
          </w:rPr>
          <w:fldChar w:fldCharType="separate"/>
        </w:r>
        <w:r>
          <w:rPr>
            <w:noProof/>
            <w:webHidden/>
          </w:rPr>
          <w:t>407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68" w:history="1">
        <w:r w:rsidRPr="00CD0B56">
          <w:rPr>
            <w:rStyle w:val="Hyperlink"/>
            <w:noProof/>
          </w:rPr>
          <w:t>2.1.900</w:t>
        </w:r>
        <w:r>
          <w:rPr>
            <w:rFonts w:asciiTheme="minorHAnsi" w:eastAsiaTheme="minorEastAsia" w:hAnsiTheme="minorHAnsi" w:cstheme="minorBidi"/>
            <w:noProof/>
            <w:sz w:val="22"/>
            <w:szCs w:val="22"/>
          </w:rPr>
          <w:tab/>
        </w:r>
        <w:r w:rsidRPr="00CD0B56">
          <w:rPr>
            <w:rStyle w:val="Hyperlink"/>
            <w:noProof/>
          </w:rPr>
          <w:t>Part 1 Section 18.17.7.48, CONVERT</w:t>
        </w:r>
        <w:r>
          <w:rPr>
            <w:noProof/>
            <w:webHidden/>
          </w:rPr>
          <w:tab/>
        </w:r>
        <w:r>
          <w:rPr>
            <w:noProof/>
            <w:webHidden/>
          </w:rPr>
          <w:fldChar w:fldCharType="begin"/>
        </w:r>
        <w:r>
          <w:rPr>
            <w:noProof/>
            <w:webHidden/>
          </w:rPr>
          <w:instrText xml:space="preserve"> PAGEREF _Toc12260968 \h </w:instrText>
        </w:r>
        <w:r>
          <w:rPr>
            <w:noProof/>
            <w:webHidden/>
          </w:rPr>
        </w:r>
        <w:r>
          <w:rPr>
            <w:noProof/>
            <w:webHidden/>
          </w:rPr>
          <w:fldChar w:fldCharType="separate"/>
        </w:r>
        <w:r>
          <w:rPr>
            <w:noProof/>
            <w:webHidden/>
          </w:rPr>
          <w:t>407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69" w:history="1">
        <w:r w:rsidRPr="00CD0B56">
          <w:rPr>
            <w:rStyle w:val="Hyperlink"/>
            <w:noProof/>
          </w:rPr>
          <w:t>2.1.901</w:t>
        </w:r>
        <w:r>
          <w:rPr>
            <w:rFonts w:asciiTheme="minorHAnsi" w:eastAsiaTheme="minorEastAsia" w:hAnsiTheme="minorHAnsi" w:cstheme="minorBidi"/>
            <w:noProof/>
            <w:sz w:val="22"/>
            <w:szCs w:val="22"/>
          </w:rPr>
          <w:tab/>
        </w:r>
        <w:r w:rsidRPr="00CD0B56">
          <w:rPr>
            <w:rStyle w:val="Hyperlink"/>
            <w:noProof/>
          </w:rPr>
          <w:t>Part 1 Section 18.17.7.49, CORREL</w:t>
        </w:r>
        <w:r>
          <w:rPr>
            <w:noProof/>
            <w:webHidden/>
          </w:rPr>
          <w:tab/>
        </w:r>
        <w:r>
          <w:rPr>
            <w:noProof/>
            <w:webHidden/>
          </w:rPr>
          <w:fldChar w:fldCharType="begin"/>
        </w:r>
        <w:r>
          <w:rPr>
            <w:noProof/>
            <w:webHidden/>
          </w:rPr>
          <w:instrText xml:space="preserve"> PAGEREF _Toc12260969 \h </w:instrText>
        </w:r>
        <w:r>
          <w:rPr>
            <w:noProof/>
            <w:webHidden/>
          </w:rPr>
        </w:r>
        <w:r>
          <w:rPr>
            <w:noProof/>
            <w:webHidden/>
          </w:rPr>
          <w:fldChar w:fldCharType="separate"/>
        </w:r>
        <w:r>
          <w:rPr>
            <w:noProof/>
            <w:webHidden/>
          </w:rPr>
          <w:t>407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70" w:history="1">
        <w:r w:rsidRPr="00CD0B56">
          <w:rPr>
            <w:rStyle w:val="Hyperlink"/>
            <w:noProof/>
          </w:rPr>
          <w:t>2.1.902</w:t>
        </w:r>
        <w:r>
          <w:rPr>
            <w:rFonts w:asciiTheme="minorHAnsi" w:eastAsiaTheme="minorEastAsia" w:hAnsiTheme="minorHAnsi" w:cstheme="minorBidi"/>
            <w:noProof/>
            <w:sz w:val="22"/>
            <w:szCs w:val="22"/>
          </w:rPr>
          <w:tab/>
        </w:r>
        <w:r w:rsidRPr="00CD0B56">
          <w:rPr>
            <w:rStyle w:val="Hyperlink"/>
            <w:noProof/>
          </w:rPr>
          <w:t>Part 1 Section 18.17.7.50, COS</w:t>
        </w:r>
        <w:r>
          <w:rPr>
            <w:noProof/>
            <w:webHidden/>
          </w:rPr>
          <w:tab/>
        </w:r>
        <w:r>
          <w:rPr>
            <w:noProof/>
            <w:webHidden/>
          </w:rPr>
          <w:fldChar w:fldCharType="begin"/>
        </w:r>
        <w:r>
          <w:rPr>
            <w:noProof/>
            <w:webHidden/>
          </w:rPr>
          <w:instrText xml:space="preserve"> PAGEREF _Toc12260970 \h </w:instrText>
        </w:r>
        <w:r>
          <w:rPr>
            <w:noProof/>
            <w:webHidden/>
          </w:rPr>
        </w:r>
        <w:r>
          <w:rPr>
            <w:noProof/>
            <w:webHidden/>
          </w:rPr>
          <w:fldChar w:fldCharType="separate"/>
        </w:r>
        <w:r>
          <w:rPr>
            <w:noProof/>
            <w:webHidden/>
          </w:rPr>
          <w:t>407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71" w:history="1">
        <w:r w:rsidRPr="00CD0B56">
          <w:rPr>
            <w:rStyle w:val="Hyperlink"/>
            <w:noProof/>
          </w:rPr>
          <w:t>2.1.903</w:t>
        </w:r>
        <w:r>
          <w:rPr>
            <w:rFonts w:asciiTheme="minorHAnsi" w:eastAsiaTheme="minorEastAsia" w:hAnsiTheme="minorHAnsi" w:cstheme="minorBidi"/>
            <w:noProof/>
            <w:sz w:val="22"/>
            <w:szCs w:val="22"/>
          </w:rPr>
          <w:tab/>
        </w:r>
        <w:r w:rsidRPr="00CD0B56">
          <w:rPr>
            <w:rStyle w:val="Hyperlink"/>
            <w:noProof/>
          </w:rPr>
          <w:t>Part 1 Section 18.17.7.52, COUNT</w:t>
        </w:r>
        <w:r>
          <w:rPr>
            <w:noProof/>
            <w:webHidden/>
          </w:rPr>
          <w:tab/>
        </w:r>
        <w:r>
          <w:rPr>
            <w:noProof/>
            <w:webHidden/>
          </w:rPr>
          <w:fldChar w:fldCharType="begin"/>
        </w:r>
        <w:r>
          <w:rPr>
            <w:noProof/>
            <w:webHidden/>
          </w:rPr>
          <w:instrText xml:space="preserve"> PAGEREF _Toc12260971 \h </w:instrText>
        </w:r>
        <w:r>
          <w:rPr>
            <w:noProof/>
            <w:webHidden/>
          </w:rPr>
        </w:r>
        <w:r>
          <w:rPr>
            <w:noProof/>
            <w:webHidden/>
          </w:rPr>
          <w:fldChar w:fldCharType="separate"/>
        </w:r>
        <w:r>
          <w:rPr>
            <w:noProof/>
            <w:webHidden/>
          </w:rPr>
          <w:t>407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72" w:history="1">
        <w:r w:rsidRPr="00CD0B56">
          <w:rPr>
            <w:rStyle w:val="Hyperlink"/>
            <w:noProof/>
          </w:rPr>
          <w:t>2.1.904</w:t>
        </w:r>
        <w:r>
          <w:rPr>
            <w:rFonts w:asciiTheme="minorHAnsi" w:eastAsiaTheme="minorEastAsia" w:hAnsiTheme="minorHAnsi" w:cstheme="minorBidi"/>
            <w:noProof/>
            <w:sz w:val="22"/>
            <w:szCs w:val="22"/>
          </w:rPr>
          <w:tab/>
        </w:r>
        <w:r w:rsidRPr="00CD0B56">
          <w:rPr>
            <w:rStyle w:val="Hyperlink"/>
            <w:noProof/>
          </w:rPr>
          <w:t>Part 1 Section 18.17.7.53, COUNTA</w:t>
        </w:r>
        <w:r>
          <w:rPr>
            <w:noProof/>
            <w:webHidden/>
          </w:rPr>
          <w:tab/>
        </w:r>
        <w:r>
          <w:rPr>
            <w:noProof/>
            <w:webHidden/>
          </w:rPr>
          <w:fldChar w:fldCharType="begin"/>
        </w:r>
        <w:r>
          <w:rPr>
            <w:noProof/>
            <w:webHidden/>
          </w:rPr>
          <w:instrText xml:space="preserve"> PAGEREF _Toc12260972 \h </w:instrText>
        </w:r>
        <w:r>
          <w:rPr>
            <w:noProof/>
            <w:webHidden/>
          </w:rPr>
        </w:r>
        <w:r>
          <w:rPr>
            <w:noProof/>
            <w:webHidden/>
          </w:rPr>
          <w:fldChar w:fldCharType="separate"/>
        </w:r>
        <w:r>
          <w:rPr>
            <w:noProof/>
            <w:webHidden/>
          </w:rPr>
          <w:t>408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73" w:history="1">
        <w:r w:rsidRPr="00CD0B56">
          <w:rPr>
            <w:rStyle w:val="Hyperlink"/>
            <w:noProof/>
          </w:rPr>
          <w:t>2.1.905</w:t>
        </w:r>
        <w:r>
          <w:rPr>
            <w:rFonts w:asciiTheme="minorHAnsi" w:eastAsiaTheme="minorEastAsia" w:hAnsiTheme="minorHAnsi" w:cstheme="minorBidi"/>
            <w:noProof/>
            <w:sz w:val="22"/>
            <w:szCs w:val="22"/>
          </w:rPr>
          <w:tab/>
        </w:r>
        <w:r w:rsidRPr="00CD0B56">
          <w:rPr>
            <w:rStyle w:val="Hyperlink"/>
            <w:noProof/>
          </w:rPr>
          <w:t>Part 1 Section 18.17.7.56, COUNTIFS</w:t>
        </w:r>
        <w:r>
          <w:rPr>
            <w:noProof/>
            <w:webHidden/>
          </w:rPr>
          <w:tab/>
        </w:r>
        <w:r>
          <w:rPr>
            <w:noProof/>
            <w:webHidden/>
          </w:rPr>
          <w:fldChar w:fldCharType="begin"/>
        </w:r>
        <w:r>
          <w:rPr>
            <w:noProof/>
            <w:webHidden/>
          </w:rPr>
          <w:instrText xml:space="preserve"> PAGEREF _Toc12260973 \h </w:instrText>
        </w:r>
        <w:r>
          <w:rPr>
            <w:noProof/>
            <w:webHidden/>
          </w:rPr>
        </w:r>
        <w:r>
          <w:rPr>
            <w:noProof/>
            <w:webHidden/>
          </w:rPr>
          <w:fldChar w:fldCharType="separate"/>
        </w:r>
        <w:r>
          <w:rPr>
            <w:noProof/>
            <w:webHidden/>
          </w:rPr>
          <w:t>408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74" w:history="1">
        <w:r w:rsidRPr="00CD0B56">
          <w:rPr>
            <w:rStyle w:val="Hyperlink"/>
            <w:noProof/>
          </w:rPr>
          <w:t>2.1.906</w:t>
        </w:r>
        <w:r>
          <w:rPr>
            <w:rFonts w:asciiTheme="minorHAnsi" w:eastAsiaTheme="minorEastAsia" w:hAnsiTheme="minorHAnsi" w:cstheme="minorBidi"/>
            <w:noProof/>
            <w:sz w:val="22"/>
            <w:szCs w:val="22"/>
          </w:rPr>
          <w:tab/>
        </w:r>
        <w:r w:rsidRPr="00CD0B56">
          <w:rPr>
            <w:rStyle w:val="Hyperlink"/>
            <w:noProof/>
          </w:rPr>
          <w:t>Part 1 Section 18.17.7.57, COUPDAYBS</w:t>
        </w:r>
        <w:r>
          <w:rPr>
            <w:noProof/>
            <w:webHidden/>
          </w:rPr>
          <w:tab/>
        </w:r>
        <w:r>
          <w:rPr>
            <w:noProof/>
            <w:webHidden/>
          </w:rPr>
          <w:fldChar w:fldCharType="begin"/>
        </w:r>
        <w:r>
          <w:rPr>
            <w:noProof/>
            <w:webHidden/>
          </w:rPr>
          <w:instrText xml:space="preserve"> PAGEREF _Toc12260974 \h </w:instrText>
        </w:r>
        <w:r>
          <w:rPr>
            <w:noProof/>
            <w:webHidden/>
          </w:rPr>
        </w:r>
        <w:r>
          <w:rPr>
            <w:noProof/>
            <w:webHidden/>
          </w:rPr>
          <w:fldChar w:fldCharType="separate"/>
        </w:r>
        <w:r>
          <w:rPr>
            <w:noProof/>
            <w:webHidden/>
          </w:rPr>
          <w:t>408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75" w:history="1">
        <w:r w:rsidRPr="00CD0B56">
          <w:rPr>
            <w:rStyle w:val="Hyperlink"/>
            <w:noProof/>
          </w:rPr>
          <w:t>2.1.907</w:t>
        </w:r>
        <w:r>
          <w:rPr>
            <w:rFonts w:asciiTheme="minorHAnsi" w:eastAsiaTheme="minorEastAsia" w:hAnsiTheme="minorHAnsi" w:cstheme="minorBidi"/>
            <w:noProof/>
            <w:sz w:val="22"/>
            <w:szCs w:val="22"/>
          </w:rPr>
          <w:tab/>
        </w:r>
        <w:r w:rsidRPr="00CD0B56">
          <w:rPr>
            <w:rStyle w:val="Hyperlink"/>
            <w:noProof/>
          </w:rPr>
          <w:t>Part 1 Section 18.17.7.58, COUPDAYS</w:t>
        </w:r>
        <w:r>
          <w:rPr>
            <w:noProof/>
            <w:webHidden/>
          </w:rPr>
          <w:tab/>
        </w:r>
        <w:r>
          <w:rPr>
            <w:noProof/>
            <w:webHidden/>
          </w:rPr>
          <w:fldChar w:fldCharType="begin"/>
        </w:r>
        <w:r>
          <w:rPr>
            <w:noProof/>
            <w:webHidden/>
          </w:rPr>
          <w:instrText xml:space="preserve"> PAGEREF _Toc12260975 \h </w:instrText>
        </w:r>
        <w:r>
          <w:rPr>
            <w:noProof/>
            <w:webHidden/>
          </w:rPr>
        </w:r>
        <w:r>
          <w:rPr>
            <w:noProof/>
            <w:webHidden/>
          </w:rPr>
          <w:fldChar w:fldCharType="separate"/>
        </w:r>
        <w:r>
          <w:rPr>
            <w:noProof/>
            <w:webHidden/>
          </w:rPr>
          <w:t>409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76" w:history="1">
        <w:r w:rsidRPr="00CD0B56">
          <w:rPr>
            <w:rStyle w:val="Hyperlink"/>
            <w:noProof/>
          </w:rPr>
          <w:t>2.1.908</w:t>
        </w:r>
        <w:r>
          <w:rPr>
            <w:rFonts w:asciiTheme="minorHAnsi" w:eastAsiaTheme="minorEastAsia" w:hAnsiTheme="minorHAnsi" w:cstheme="minorBidi"/>
            <w:noProof/>
            <w:sz w:val="22"/>
            <w:szCs w:val="22"/>
          </w:rPr>
          <w:tab/>
        </w:r>
        <w:r w:rsidRPr="00CD0B56">
          <w:rPr>
            <w:rStyle w:val="Hyperlink"/>
            <w:noProof/>
          </w:rPr>
          <w:t>Part 1 Section 18.17.7.59, COUPDAYSNC</w:t>
        </w:r>
        <w:r>
          <w:rPr>
            <w:noProof/>
            <w:webHidden/>
          </w:rPr>
          <w:tab/>
        </w:r>
        <w:r>
          <w:rPr>
            <w:noProof/>
            <w:webHidden/>
          </w:rPr>
          <w:fldChar w:fldCharType="begin"/>
        </w:r>
        <w:r>
          <w:rPr>
            <w:noProof/>
            <w:webHidden/>
          </w:rPr>
          <w:instrText xml:space="preserve"> PAGEREF _Toc12260976 \h </w:instrText>
        </w:r>
        <w:r>
          <w:rPr>
            <w:noProof/>
            <w:webHidden/>
          </w:rPr>
        </w:r>
        <w:r>
          <w:rPr>
            <w:noProof/>
            <w:webHidden/>
          </w:rPr>
          <w:fldChar w:fldCharType="separate"/>
        </w:r>
        <w:r>
          <w:rPr>
            <w:noProof/>
            <w:webHidden/>
          </w:rPr>
          <w:t>409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77" w:history="1">
        <w:r w:rsidRPr="00CD0B56">
          <w:rPr>
            <w:rStyle w:val="Hyperlink"/>
            <w:noProof/>
          </w:rPr>
          <w:t>2.1.909</w:t>
        </w:r>
        <w:r>
          <w:rPr>
            <w:rFonts w:asciiTheme="minorHAnsi" w:eastAsiaTheme="minorEastAsia" w:hAnsiTheme="minorHAnsi" w:cstheme="minorBidi"/>
            <w:noProof/>
            <w:sz w:val="22"/>
            <w:szCs w:val="22"/>
          </w:rPr>
          <w:tab/>
        </w:r>
        <w:r w:rsidRPr="00CD0B56">
          <w:rPr>
            <w:rStyle w:val="Hyperlink"/>
            <w:noProof/>
          </w:rPr>
          <w:t>Part 1 Section 18.17.7.60, COUPNCD</w:t>
        </w:r>
        <w:r>
          <w:rPr>
            <w:noProof/>
            <w:webHidden/>
          </w:rPr>
          <w:tab/>
        </w:r>
        <w:r>
          <w:rPr>
            <w:noProof/>
            <w:webHidden/>
          </w:rPr>
          <w:fldChar w:fldCharType="begin"/>
        </w:r>
        <w:r>
          <w:rPr>
            <w:noProof/>
            <w:webHidden/>
          </w:rPr>
          <w:instrText xml:space="preserve"> PAGEREF _Toc12260977 \h </w:instrText>
        </w:r>
        <w:r>
          <w:rPr>
            <w:noProof/>
            <w:webHidden/>
          </w:rPr>
        </w:r>
        <w:r>
          <w:rPr>
            <w:noProof/>
            <w:webHidden/>
          </w:rPr>
          <w:fldChar w:fldCharType="separate"/>
        </w:r>
        <w:r>
          <w:rPr>
            <w:noProof/>
            <w:webHidden/>
          </w:rPr>
          <w:t>410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78" w:history="1">
        <w:r w:rsidRPr="00CD0B56">
          <w:rPr>
            <w:rStyle w:val="Hyperlink"/>
            <w:noProof/>
          </w:rPr>
          <w:t>2.1.910</w:t>
        </w:r>
        <w:r>
          <w:rPr>
            <w:rFonts w:asciiTheme="minorHAnsi" w:eastAsiaTheme="minorEastAsia" w:hAnsiTheme="minorHAnsi" w:cstheme="minorBidi"/>
            <w:noProof/>
            <w:sz w:val="22"/>
            <w:szCs w:val="22"/>
          </w:rPr>
          <w:tab/>
        </w:r>
        <w:r w:rsidRPr="00CD0B56">
          <w:rPr>
            <w:rStyle w:val="Hyperlink"/>
            <w:noProof/>
          </w:rPr>
          <w:t>Part 1 Section 18.17.7.61, COUPNUM</w:t>
        </w:r>
        <w:r>
          <w:rPr>
            <w:noProof/>
            <w:webHidden/>
          </w:rPr>
          <w:tab/>
        </w:r>
        <w:r>
          <w:rPr>
            <w:noProof/>
            <w:webHidden/>
          </w:rPr>
          <w:fldChar w:fldCharType="begin"/>
        </w:r>
        <w:r>
          <w:rPr>
            <w:noProof/>
            <w:webHidden/>
          </w:rPr>
          <w:instrText xml:space="preserve"> PAGEREF _Toc12260978 \h </w:instrText>
        </w:r>
        <w:r>
          <w:rPr>
            <w:noProof/>
            <w:webHidden/>
          </w:rPr>
        </w:r>
        <w:r>
          <w:rPr>
            <w:noProof/>
            <w:webHidden/>
          </w:rPr>
          <w:fldChar w:fldCharType="separate"/>
        </w:r>
        <w:r>
          <w:rPr>
            <w:noProof/>
            <w:webHidden/>
          </w:rPr>
          <w:t>411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79" w:history="1">
        <w:r w:rsidRPr="00CD0B56">
          <w:rPr>
            <w:rStyle w:val="Hyperlink"/>
            <w:noProof/>
          </w:rPr>
          <w:t>2.1.911</w:t>
        </w:r>
        <w:r>
          <w:rPr>
            <w:rFonts w:asciiTheme="minorHAnsi" w:eastAsiaTheme="minorEastAsia" w:hAnsiTheme="minorHAnsi" w:cstheme="minorBidi"/>
            <w:noProof/>
            <w:sz w:val="22"/>
            <w:szCs w:val="22"/>
          </w:rPr>
          <w:tab/>
        </w:r>
        <w:r w:rsidRPr="00CD0B56">
          <w:rPr>
            <w:rStyle w:val="Hyperlink"/>
            <w:noProof/>
          </w:rPr>
          <w:t>Part 1 Section 18.17.7.62, COUPPCD</w:t>
        </w:r>
        <w:r>
          <w:rPr>
            <w:noProof/>
            <w:webHidden/>
          </w:rPr>
          <w:tab/>
        </w:r>
        <w:r>
          <w:rPr>
            <w:noProof/>
            <w:webHidden/>
          </w:rPr>
          <w:fldChar w:fldCharType="begin"/>
        </w:r>
        <w:r>
          <w:rPr>
            <w:noProof/>
            <w:webHidden/>
          </w:rPr>
          <w:instrText xml:space="preserve"> PAGEREF _Toc12260979 \h </w:instrText>
        </w:r>
        <w:r>
          <w:rPr>
            <w:noProof/>
            <w:webHidden/>
          </w:rPr>
        </w:r>
        <w:r>
          <w:rPr>
            <w:noProof/>
            <w:webHidden/>
          </w:rPr>
          <w:fldChar w:fldCharType="separate"/>
        </w:r>
        <w:r>
          <w:rPr>
            <w:noProof/>
            <w:webHidden/>
          </w:rPr>
          <w:t>412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80" w:history="1">
        <w:r w:rsidRPr="00CD0B56">
          <w:rPr>
            <w:rStyle w:val="Hyperlink"/>
            <w:noProof/>
          </w:rPr>
          <w:t>2.1.912</w:t>
        </w:r>
        <w:r>
          <w:rPr>
            <w:rFonts w:asciiTheme="minorHAnsi" w:eastAsiaTheme="minorEastAsia" w:hAnsiTheme="minorHAnsi" w:cstheme="minorBidi"/>
            <w:noProof/>
            <w:sz w:val="22"/>
            <w:szCs w:val="22"/>
          </w:rPr>
          <w:tab/>
        </w:r>
        <w:r w:rsidRPr="00CD0B56">
          <w:rPr>
            <w:rStyle w:val="Hyperlink"/>
            <w:noProof/>
          </w:rPr>
          <w:t>Part 1 Section 18.17.7.64, CRITBINOM</w:t>
        </w:r>
        <w:r>
          <w:rPr>
            <w:noProof/>
            <w:webHidden/>
          </w:rPr>
          <w:tab/>
        </w:r>
        <w:r>
          <w:rPr>
            <w:noProof/>
            <w:webHidden/>
          </w:rPr>
          <w:fldChar w:fldCharType="begin"/>
        </w:r>
        <w:r>
          <w:rPr>
            <w:noProof/>
            <w:webHidden/>
          </w:rPr>
          <w:instrText xml:space="preserve"> PAGEREF _Toc12260980 \h </w:instrText>
        </w:r>
        <w:r>
          <w:rPr>
            <w:noProof/>
            <w:webHidden/>
          </w:rPr>
        </w:r>
        <w:r>
          <w:rPr>
            <w:noProof/>
            <w:webHidden/>
          </w:rPr>
          <w:fldChar w:fldCharType="separate"/>
        </w:r>
        <w:r>
          <w:rPr>
            <w:noProof/>
            <w:webHidden/>
          </w:rPr>
          <w:t>413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81" w:history="1">
        <w:r w:rsidRPr="00CD0B56">
          <w:rPr>
            <w:rStyle w:val="Hyperlink"/>
            <w:noProof/>
          </w:rPr>
          <w:t>2.1.913</w:t>
        </w:r>
        <w:r>
          <w:rPr>
            <w:rFonts w:asciiTheme="minorHAnsi" w:eastAsiaTheme="minorEastAsia" w:hAnsiTheme="minorHAnsi" w:cstheme="minorBidi"/>
            <w:noProof/>
            <w:sz w:val="22"/>
            <w:szCs w:val="22"/>
          </w:rPr>
          <w:tab/>
        </w:r>
        <w:r w:rsidRPr="00CD0B56">
          <w:rPr>
            <w:rStyle w:val="Hyperlink"/>
            <w:noProof/>
          </w:rPr>
          <w:t>Part 1 Section 18.17.7.65, CUBEKPIMEMBER</w:t>
        </w:r>
        <w:r>
          <w:rPr>
            <w:noProof/>
            <w:webHidden/>
          </w:rPr>
          <w:tab/>
        </w:r>
        <w:r>
          <w:rPr>
            <w:noProof/>
            <w:webHidden/>
          </w:rPr>
          <w:fldChar w:fldCharType="begin"/>
        </w:r>
        <w:r>
          <w:rPr>
            <w:noProof/>
            <w:webHidden/>
          </w:rPr>
          <w:instrText xml:space="preserve"> PAGEREF _Toc12260981 \h </w:instrText>
        </w:r>
        <w:r>
          <w:rPr>
            <w:noProof/>
            <w:webHidden/>
          </w:rPr>
        </w:r>
        <w:r>
          <w:rPr>
            <w:noProof/>
            <w:webHidden/>
          </w:rPr>
          <w:fldChar w:fldCharType="separate"/>
        </w:r>
        <w:r>
          <w:rPr>
            <w:noProof/>
            <w:webHidden/>
          </w:rPr>
          <w:t>413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82" w:history="1">
        <w:r w:rsidRPr="00CD0B56">
          <w:rPr>
            <w:rStyle w:val="Hyperlink"/>
            <w:noProof/>
          </w:rPr>
          <w:t>2.1.914</w:t>
        </w:r>
        <w:r>
          <w:rPr>
            <w:rFonts w:asciiTheme="minorHAnsi" w:eastAsiaTheme="minorEastAsia" w:hAnsiTheme="minorHAnsi" w:cstheme="minorBidi"/>
            <w:noProof/>
            <w:sz w:val="22"/>
            <w:szCs w:val="22"/>
          </w:rPr>
          <w:tab/>
        </w:r>
        <w:r w:rsidRPr="00CD0B56">
          <w:rPr>
            <w:rStyle w:val="Hyperlink"/>
            <w:noProof/>
          </w:rPr>
          <w:t>Part 1 Section 18.17.7.69, CUBESET</w:t>
        </w:r>
        <w:r>
          <w:rPr>
            <w:noProof/>
            <w:webHidden/>
          </w:rPr>
          <w:tab/>
        </w:r>
        <w:r>
          <w:rPr>
            <w:noProof/>
            <w:webHidden/>
          </w:rPr>
          <w:fldChar w:fldCharType="begin"/>
        </w:r>
        <w:r>
          <w:rPr>
            <w:noProof/>
            <w:webHidden/>
          </w:rPr>
          <w:instrText xml:space="preserve"> PAGEREF _Toc12260982 \h </w:instrText>
        </w:r>
        <w:r>
          <w:rPr>
            <w:noProof/>
            <w:webHidden/>
          </w:rPr>
        </w:r>
        <w:r>
          <w:rPr>
            <w:noProof/>
            <w:webHidden/>
          </w:rPr>
          <w:fldChar w:fldCharType="separate"/>
        </w:r>
        <w:r>
          <w:rPr>
            <w:noProof/>
            <w:webHidden/>
          </w:rPr>
          <w:t>413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83" w:history="1">
        <w:r w:rsidRPr="00CD0B56">
          <w:rPr>
            <w:rStyle w:val="Hyperlink"/>
            <w:noProof/>
          </w:rPr>
          <w:t>2.1.915</w:t>
        </w:r>
        <w:r>
          <w:rPr>
            <w:rFonts w:asciiTheme="minorHAnsi" w:eastAsiaTheme="minorEastAsia" w:hAnsiTheme="minorHAnsi" w:cstheme="minorBidi"/>
            <w:noProof/>
            <w:sz w:val="22"/>
            <w:szCs w:val="22"/>
          </w:rPr>
          <w:tab/>
        </w:r>
        <w:r w:rsidRPr="00CD0B56">
          <w:rPr>
            <w:rStyle w:val="Hyperlink"/>
            <w:noProof/>
          </w:rPr>
          <w:t>Part 1 Section 18.17.7.70, CUBESETCOUNT</w:t>
        </w:r>
        <w:r>
          <w:rPr>
            <w:noProof/>
            <w:webHidden/>
          </w:rPr>
          <w:tab/>
        </w:r>
        <w:r>
          <w:rPr>
            <w:noProof/>
            <w:webHidden/>
          </w:rPr>
          <w:fldChar w:fldCharType="begin"/>
        </w:r>
        <w:r>
          <w:rPr>
            <w:noProof/>
            <w:webHidden/>
          </w:rPr>
          <w:instrText xml:space="preserve"> PAGEREF _Toc12260983 \h </w:instrText>
        </w:r>
        <w:r>
          <w:rPr>
            <w:noProof/>
            <w:webHidden/>
          </w:rPr>
        </w:r>
        <w:r>
          <w:rPr>
            <w:noProof/>
            <w:webHidden/>
          </w:rPr>
          <w:fldChar w:fldCharType="separate"/>
        </w:r>
        <w:r>
          <w:rPr>
            <w:noProof/>
            <w:webHidden/>
          </w:rPr>
          <w:t>413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84" w:history="1">
        <w:r w:rsidRPr="00CD0B56">
          <w:rPr>
            <w:rStyle w:val="Hyperlink"/>
            <w:noProof/>
          </w:rPr>
          <w:t>2.1.916</w:t>
        </w:r>
        <w:r>
          <w:rPr>
            <w:rFonts w:asciiTheme="minorHAnsi" w:eastAsiaTheme="minorEastAsia" w:hAnsiTheme="minorHAnsi" w:cstheme="minorBidi"/>
            <w:noProof/>
            <w:sz w:val="22"/>
            <w:szCs w:val="22"/>
          </w:rPr>
          <w:tab/>
        </w:r>
        <w:r w:rsidRPr="00CD0B56">
          <w:rPr>
            <w:rStyle w:val="Hyperlink"/>
            <w:noProof/>
          </w:rPr>
          <w:t>Part 1 Section 18.17.7.72, CUMIPMT</w:t>
        </w:r>
        <w:r>
          <w:rPr>
            <w:noProof/>
            <w:webHidden/>
          </w:rPr>
          <w:tab/>
        </w:r>
        <w:r>
          <w:rPr>
            <w:noProof/>
            <w:webHidden/>
          </w:rPr>
          <w:fldChar w:fldCharType="begin"/>
        </w:r>
        <w:r>
          <w:rPr>
            <w:noProof/>
            <w:webHidden/>
          </w:rPr>
          <w:instrText xml:space="preserve"> PAGEREF _Toc12260984 \h </w:instrText>
        </w:r>
        <w:r>
          <w:rPr>
            <w:noProof/>
            <w:webHidden/>
          </w:rPr>
        </w:r>
        <w:r>
          <w:rPr>
            <w:noProof/>
            <w:webHidden/>
          </w:rPr>
          <w:fldChar w:fldCharType="separate"/>
        </w:r>
        <w:r>
          <w:rPr>
            <w:noProof/>
            <w:webHidden/>
          </w:rPr>
          <w:t>413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85" w:history="1">
        <w:r w:rsidRPr="00CD0B56">
          <w:rPr>
            <w:rStyle w:val="Hyperlink"/>
            <w:noProof/>
          </w:rPr>
          <w:t>2.1.917</w:t>
        </w:r>
        <w:r>
          <w:rPr>
            <w:rFonts w:asciiTheme="minorHAnsi" w:eastAsiaTheme="minorEastAsia" w:hAnsiTheme="minorHAnsi" w:cstheme="minorBidi"/>
            <w:noProof/>
            <w:sz w:val="22"/>
            <w:szCs w:val="22"/>
          </w:rPr>
          <w:tab/>
        </w:r>
        <w:r w:rsidRPr="00CD0B56">
          <w:rPr>
            <w:rStyle w:val="Hyperlink"/>
            <w:noProof/>
          </w:rPr>
          <w:t>Part 1 Section 18.17.7.73, CUMPRINC</w:t>
        </w:r>
        <w:r>
          <w:rPr>
            <w:noProof/>
            <w:webHidden/>
          </w:rPr>
          <w:tab/>
        </w:r>
        <w:r>
          <w:rPr>
            <w:noProof/>
            <w:webHidden/>
          </w:rPr>
          <w:fldChar w:fldCharType="begin"/>
        </w:r>
        <w:r>
          <w:rPr>
            <w:noProof/>
            <w:webHidden/>
          </w:rPr>
          <w:instrText xml:space="preserve"> PAGEREF _Toc12260985 \h </w:instrText>
        </w:r>
        <w:r>
          <w:rPr>
            <w:noProof/>
            <w:webHidden/>
          </w:rPr>
        </w:r>
        <w:r>
          <w:rPr>
            <w:noProof/>
            <w:webHidden/>
          </w:rPr>
          <w:fldChar w:fldCharType="separate"/>
        </w:r>
        <w:r>
          <w:rPr>
            <w:noProof/>
            <w:webHidden/>
          </w:rPr>
          <w:t>414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86" w:history="1">
        <w:r w:rsidRPr="00CD0B56">
          <w:rPr>
            <w:rStyle w:val="Hyperlink"/>
            <w:noProof/>
          </w:rPr>
          <w:t>2.1.918</w:t>
        </w:r>
        <w:r>
          <w:rPr>
            <w:rFonts w:asciiTheme="minorHAnsi" w:eastAsiaTheme="minorEastAsia" w:hAnsiTheme="minorHAnsi" w:cstheme="minorBidi"/>
            <w:noProof/>
            <w:sz w:val="22"/>
            <w:szCs w:val="22"/>
          </w:rPr>
          <w:tab/>
        </w:r>
        <w:r w:rsidRPr="00CD0B56">
          <w:rPr>
            <w:rStyle w:val="Hyperlink"/>
            <w:noProof/>
          </w:rPr>
          <w:t>Part 1 Section 18.17.7.74, DATE</w:t>
        </w:r>
        <w:r>
          <w:rPr>
            <w:noProof/>
            <w:webHidden/>
          </w:rPr>
          <w:tab/>
        </w:r>
        <w:r>
          <w:rPr>
            <w:noProof/>
            <w:webHidden/>
          </w:rPr>
          <w:fldChar w:fldCharType="begin"/>
        </w:r>
        <w:r>
          <w:rPr>
            <w:noProof/>
            <w:webHidden/>
          </w:rPr>
          <w:instrText xml:space="preserve"> PAGEREF _Toc12260986 \h </w:instrText>
        </w:r>
        <w:r>
          <w:rPr>
            <w:noProof/>
            <w:webHidden/>
          </w:rPr>
        </w:r>
        <w:r>
          <w:rPr>
            <w:noProof/>
            <w:webHidden/>
          </w:rPr>
          <w:fldChar w:fldCharType="separate"/>
        </w:r>
        <w:r>
          <w:rPr>
            <w:noProof/>
            <w:webHidden/>
          </w:rPr>
          <w:t>414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87" w:history="1">
        <w:r w:rsidRPr="00CD0B56">
          <w:rPr>
            <w:rStyle w:val="Hyperlink"/>
            <w:noProof/>
          </w:rPr>
          <w:t>2.1.919</w:t>
        </w:r>
        <w:r>
          <w:rPr>
            <w:rFonts w:asciiTheme="minorHAnsi" w:eastAsiaTheme="minorEastAsia" w:hAnsiTheme="minorHAnsi" w:cstheme="minorBidi"/>
            <w:noProof/>
            <w:sz w:val="22"/>
            <w:szCs w:val="22"/>
          </w:rPr>
          <w:tab/>
        </w:r>
        <w:r w:rsidRPr="00CD0B56">
          <w:rPr>
            <w:rStyle w:val="Hyperlink"/>
            <w:noProof/>
          </w:rPr>
          <w:t>Part 1 Section 18.17.7.76, DATEVALUE</w:t>
        </w:r>
        <w:r>
          <w:rPr>
            <w:noProof/>
            <w:webHidden/>
          </w:rPr>
          <w:tab/>
        </w:r>
        <w:r>
          <w:rPr>
            <w:noProof/>
            <w:webHidden/>
          </w:rPr>
          <w:fldChar w:fldCharType="begin"/>
        </w:r>
        <w:r>
          <w:rPr>
            <w:noProof/>
            <w:webHidden/>
          </w:rPr>
          <w:instrText xml:space="preserve"> PAGEREF _Toc12260987 \h </w:instrText>
        </w:r>
        <w:r>
          <w:rPr>
            <w:noProof/>
            <w:webHidden/>
          </w:rPr>
        </w:r>
        <w:r>
          <w:rPr>
            <w:noProof/>
            <w:webHidden/>
          </w:rPr>
          <w:fldChar w:fldCharType="separate"/>
        </w:r>
        <w:r>
          <w:rPr>
            <w:noProof/>
            <w:webHidden/>
          </w:rPr>
          <w:t>414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88" w:history="1">
        <w:r w:rsidRPr="00CD0B56">
          <w:rPr>
            <w:rStyle w:val="Hyperlink"/>
            <w:noProof/>
          </w:rPr>
          <w:t>2.1.920</w:t>
        </w:r>
        <w:r>
          <w:rPr>
            <w:rFonts w:asciiTheme="minorHAnsi" w:eastAsiaTheme="minorEastAsia" w:hAnsiTheme="minorHAnsi" w:cstheme="minorBidi"/>
            <w:noProof/>
            <w:sz w:val="22"/>
            <w:szCs w:val="22"/>
          </w:rPr>
          <w:tab/>
        </w:r>
        <w:r w:rsidRPr="00CD0B56">
          <w:rPr>
            <w:rStyle w:val="Hyperlink"/>
            <w:noProof/>
          </w:rPr>
          <w:t>Part 1 Section 18.17.7.77, DAVERAGE</w:t>
        </w:r>
        <w:r>
          <w:rPr>
            <w:noProof/>
            <w:webHidden/>
          </w:rPr>
          <w:tab/>
        </w:r>
        <w:r>
          <w:rPr>
            <w:noProof/>
            <w:webHidden/>
          </w:rPr>
          <w:fldChar w:fldCharType="begin"/>
        </w:r>
        <w:r>
          <w:rPr>
            <w:noProof/>
            <w:webHidden/>
          </w:rPr>
          <w:instrText xml:space="preserve"> PAGEREF _Toc12260988 \h </w:instrText>
        </w:r>
        <w:r>
          <w:rPr>
            <w:noProof/>
            <w:webHidden/>
          </w:rPr>
        </w:r>
        <w:r>
          <w:rPr>
            <w:noProof/>
            <w:webHidden/>
          </w:rPr>
          <w:fldChar w:fldCharType="separate"/>
        </w:r>
        <w:r>
          <w:rPr>
            <w:noProof/>
            <w:webHidden/>
          </w:rPr>
          <w:t>415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89" w:history="1">
        <w:r w:rsidRPr="00CD0B56">
          <w:rPr>
            <w:rStyle w:val="Hyperlink"/>
            <w:noProof/>
          </w:rPr>
          <w:t>2.1.921</w:t>
        </w:r>
        <w:r>
          <w:rPr>
            <w:rFonts w:asciiTheme="minorHAnsi" w:eastAsiaTheme="minorEastAsia" w:hAnsiTheme="minorHAnsi" w:cstheme="minorBidi"/>
            <w:noProof/>
            <w:sz w:val="22"/>
            <w:szCs w:val="22"/>
          </w:rPr>
          <w:tab/>
        </w:r>
        <w:r w:rsidRPr="00CD0B56">
          <w:rPr>
            <w:rStyle w:val="Hyperlink"/>
            <w:noProof/>
          </w:rPr>
          <w:t>Part 1 Section 18.17.7.78, DAY</w:t>
        </w:r>
        <w:r>
          <w:rPr>
            <w:noProof/>
            <w:webHidden/>
          </w:rPr>
          <w:tab/>
        </w:r>
        <w:r>
          <w:rPr>
            <w:noProof/>
            <w:webHidden/>
          </w:rPr>
          <w:fldChar w:fldCharType="begin"/>
        </w:r>
        <w:r>
          <w:rPr>
            <w:noProof/>
            <w:webHidden/>
          </w:rPr>
          <w:instrText xml:space="preserve"> PAGEREF _Toc12260989 \h </w:instrText>
        </w:r>
        <w:r>
          <w:rPr>
            <w:noProof/>
            <w:webHidden/>
          </w:rPr>
        </w:r>
        <w:r>
          <w:rPr>
            <w:noProof/>
            <w:webHidden/>
          </w:rPr>
          <w:fldChar w:fldCharType="separate"/>
        </w:r>
        <w:r>
          <w:rPr>
            <w:noProof/>
            <w:webHidden/>
          </w:rPr>
          <w:t>415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90" w:history="1">
        <w:r w:rsidRPr="00CD0B56">
          <w:rPr>
            <w:rStyle w:val="Hyperlink"/>
            <w:noProof/>
          </w:rPr>
          <w:t>2.1.922</w:t>
        </w:r>
        <w:r>
          <w:rPr>
            <w:rFonts w:asciiTheme="minorHAnsi" w:eastAsiaTheme="minorEastAsia" w:hAnsiTheme="minorHAnsi" w:cstheme="minorBidi"/>
            <w:noProof/>
            <w:sz w:val="22"/>
            <w:szCs w:val="22"/>
          </w:rPr>
          <w:tab/>
        </w:r>
        <w:r w:rsidRPr="00CD0B56">
          <w:rPr>
            <w:rStyle w:val="Hyperlink"/>
            <w:noProof/>
          </w:rPr>
          <w:t>Part 1 Section 18.17.7.79, DAYS360</w:t>
        </w:r>
        <w:r>
          <w:rPr>
            <w:noProof/>
            <w:webHidden/>
          </w:rPr>
          <w:tab/>
        </w:r>
        <w:r>
          <w:rPr>
            <w:noProof/>
            <w:webHidden/>
          </w:rPr>
          <w:fldChar w:fldCharType="begin"/>
        </w:r>
        <w:r>
          <w:rPr>
            <w:noProof/>
            <w:webHidden/>
          </w:rPr>
          <w:instrText xml:space="preserve"> PAGEREF _Toc12260990 \h </w:instrText>
        </w:r>
        <w:r>
          <w:rPr>
            <w:noProof/>
            <w:webHidden/>
          </w:rPr>
        </w:r>
        <w:r>
          <w:rPr>
            <w:noProof/>
            <w:webHidden/>
          </w:rPr>
          <w:fldChar w:fldCharType="separate"/>
        </w:r>
        <w:r>
          <w:rPr>
            <w:noProof/>
            <w:webHidden/>
          </w:rPr>
          <w:t>415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91" w:history="1">
        <w:r w:rsidRPr="00CD0B56">
          <w:rPr>
            <w:rStyle w:val="Hyperlink"/>
            <w:noProof/>
          </w:rPr>
          <w:t>2.1.923</w:t>
        </w:r>
        <w:r>
          <w:rPr>
            <w:rFonts w:asciiTheme="minorHAnsi" w:eastAsiaTheme="minorEastAsia" w:hAnsiTheme="minorHAnsi" w:cstheme="minorBidi"/>
            <w:noProof/>
            <w:sz w:val="22"/>
            <w:szCs w:val="22"/>
          </w:rPr>
          <w:tab/>
        </w:r>
        <w:r w:rsidRPr="00CD0B56">
          <w:rPr>
            <w:rStyle w:val="Hyperlink"/>
            <w:noProof/>
          </w:rPr>
          <w:t>Part 1 Section 18.17.7.80, DB</w:t>
        </w:r>
        <w:r>
          <w:rPr>
            <w:noProof/>
            <w:webHidden/>
          </w:rPr>
          <w:tab/>
        </w:r>
        <w:r>
          <w:rPr>
            <w:noProof/>
            <w:webHidden/>
          </w:rPr>
          <w:fldChar w:fldCharType="begin"/>
        </w:r>
        <w:r>
          <w:rPr>
            <w:noProof/>
            <w:webHidden/>
          </w:rPr>
          <w:instrText xml:space="preserve"> PAGEREF _Toc12260991 \h </w:instrText>
        </w:r>
        <w:r>
          <w:rPr>
            <w:noProof/>
            <w:webHidden/>
          </w:rPr>
        </w:r>
        <w:r>
          <w:rPr>
            <w:noProof/>
            <w:webHidden/>
          </w:rPr>
          <w:fldChar w:fldCharType="separate"/>
        </w:r>
        <w:r>
          <w:rPr>
            <w:noProof/>
            <w:webHidden/>
          </w:rPr>
          <w:t>415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92" w:history="1">
        <w:r w:rsidRPr="00CD0B56">
          <w:rPr>
            <w:rStyle w:val="Hyperlink"/>
            <w:noProof/>
          </w:rPr>
          <w:t>2.1.924</w:t>
        </w:r>
        <w:r>
          <w:rPr>
            <w:rFonts w:asciiTheme="minorHAnsi" w:eastAsiaTheme="minorEastAsia" w:hAnsiTheme="minorHAnsi" w:cstheme="minorBidi"/>
            <w:noProof/>
            <w:sz w:val="22"/>
            <w:szCs w:val="22"/>
          </w:rPr>
          <w:tab/>
        </w:r>
        <w:r w:rsidRPr="00CD0B56">
          <w:rPr>
            <w:rStyle w:val="Hyperlink"/>
            <w:noProof/>
          </w:rPr>
          <w:t>Part 1 Section 18.17.7.81, DCOUNT</w:t>
        </w:r>
        <w:r>
          <w:rPr>
            <w:noProof/>
            <w:webHidden/>
          </w:rPr>
          <w:tab/>
        </w:r>
        <w:r>
          <w:rPr>
            <w:noProof/>
            <w:webHidden/>
          </w:rPr>
          <w:fldChar w:fldCharType="begin"/>
        </w:r>
        <w:r>
          <w:rPr>
            <w:noProof/>
            <w:webHidden/>
          </w:rPr>
          <w:instrText xml:space="preserve"> PAGEREF _Toc12260992 \h </w:instrText>
        </w:r>
        <w:r>
          <w:rPr>
            <w:noProof/>
            <w:webHidden/>
          </w:rPr>
        </w:r>
        <w:r>
          <w:rPr>
            <w:noProof/>
            <w:webHidden/>
          </w:rPr>
          <w:fldChar w:fldCharType="separate"/>
        </w:r>
        <w:r>
          <w:rPr>
            <w:noProof/>
            <w:webHidden/>
          </w:rPr>
          <w:t>415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93" w:history="1">
        <w:r w:rsidRPr="00CD0B56">
          <w:rPr>
            <w:rStyle w:val="Hyperlink"/>
            <w:noProof/>
          </w:rPr>
          <w:t>2.1.925</w:t>
        </w:r>
        <w:r>
          <w:rPr>
            <w:rFonts w:asciiTheme="minorHAnsi" w:eastAsiaTheme="minorEastAsia" w:hAnsiTheme="minorHAnsi" w:cstheme="minorBidi"/>
            <w:noProof/>
            <w:sz w:val="22"/>
            <w:szCs w:val="22"/>
          </w:rPr>
          <w:tab/>
        </w:r>
        <w:r w:rsidRPr="00CD0B56">
          <w:rPr>
            <w:rStyle w:val="Hyperlink"/>
            <w:noProof/>
          </w:rPr>
          <w:t>Part 1 Section 18.17.7.82, DCOUNTA</w:t>
        </w:r>
        <w:r>
          <w:rPr>
            <w:noProof/>
            <w:webHidden/>
          </w:rPr>
          <w:tab/>
        </w:r>
        <w:r>
          <w:rPr>
            <w:noProof/>
            <w:webHidden/>
          </w:rPr>
          <w:fldChar w:fldCharType="begin"/>
        </w:r>
        <w:r>
          <w:rPr>
            <w:noProof/>
            <w:webHidden/>
          </w:rPr>
          <w:instrText xml:space="preserve"> PAGEREF _Toc12260993 \h </w:instrText>
        </w:r>
        <w:r>
          <w:rPr>
            <w:noProof/>
            <w:webHidden/>
          </w:rPr>
        </w:r>
        <w:r>
          <w:rPr>
            <w:noProof/>
            <w:webHidden/>
          </w:rPr>
          <w:fldChar w:fldCharType="separate"/>
        </w:r>
        <w:r>
          <w:rPr>
            <w:noProof/>
            <w:webHidden/>
          </w:rPr>
          <w:t>415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94" w:history="1">
        <w:r w:rsidRPr="00CD0B56">
          <w:rPr>
            <w:rStyle w:val="Hyperlink"/>
            <w:noProof/>
          </w:rPr>
          <w:t>2.1.926</w:t>
        </w:r>
        <w:r>
          <w:rPr>
            <w:rFonts w:asciiTheme="minorHAnsi" w:eastAsiaTheme="minorEastAsia" w:hAnsiTheme="minorHAnsi" w:cstheme="minorBidi"/>
            <w:noProof/>
            <w:sz w:val="22"/>
            <w:szCs w:val="22"/>
          </w:rPr>
          <w:tab/>
        </w:r>
        <w:r w:rsidRPr="00CD0B56">
          <w:rPr>
            <w:rStyle w:val="Hyperlink"/>
            <w:noProof/>
          </w:rPr>
          <w:t>Part 1 Section 18.17.7.83, DDB</w:t>
        </w:r>
        <w:r>
          <w:rPr>
            <w:noProof/>
            <w:webHidden/>
          </w:rPr>
          <w:tab/>
        </w:r>
        <w:r>
          <w:rPr>
            <w:noProof/>
            <w:webHidden/>
          </w:rPr>
          <w:fldChar w:fldCharType="begin"/>
        </w:r>
        <w:r>
          <w:rPr>
            <w:noProof/>
            <w:webHidden/>
          </w:rPr>
          <w:instrText xml:space="preserve"> PAGEREF _Toc12260994 \h </w:instrText>
        </w:r>
        <w:r>
          <w:rPr>
            <w:noProof/>
            <w:webHidden/>
          </w:rPr>
        </w:r>
        <w:r>
          <w:rPr>
            <w:noProof/>
            <w:webHidden/>
          </w:rPr>
          <w:fldChar w:fldCharType="separate"/>
        </w:r>
        <w:r>
          <w:rPr>
            <w:noProof/>
            <w:webHidden/>
          </w:rPr>
          <w:t>416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95" w:history="1">
        <w:r w:rsidRPr="00CD0B56">
          <w:rPr>
            <w:rStyle w:val="Hyperlink"/>
            <w:noProof/>
          </w:rPr>
          <w:t>2.1.927</w:t>
        </w:r>
        <w:r>
          <w:rPr>
            <w:rFonts w:asciiTheme="minorHAnsi" w:eastAsiaTheme="minorEastAsia" w:hAnsiTheme="minorHAnsi" w:cstheme="minorBidi"/>
            <w:noProof/>
            <w:sz w:val="22"/>
            <w:szCs w:val="22"/>
          </w:rPr>
          <w:tab/>
        </w:r>
        <w:r w:rsidRPr="00CD0B56">
          <w:rPr>
            <w:rStyle w:val="Hyperlink"/>
            <w:noProof/>
          </w:rPr>
          <w:t>Part 1 Section 18.17.7.84, DEC2BIN</w:t>
        </w:r>
        <w:r>
          <w:rPr>
            <w:noProof/>
            <w:webHidden/>
          </w:rPr>
          <w:tab/>
        </w:r>
        <w:r>
          <w:rPr>
            <w:noProof/>
            <w:webHidden/>
          </w:rPr>
          <w:fldChar w:fldCharType="begin"/>
        </w:r>
        <w:r>
          <w:rPr>
            <w:noProof/>
            <w:webHidden/>
          </w:rPr>
          <w:instrText xml:space="preserve"> PAGEREF _Toc12260995 \h </w:instrText>
        </w:r>
        <w:r>
          <w:rPr>
            <w:noProof/>
            <w:webHidden/>
          </w:rPr>
        </w:r>
        <w:r>
          <w:rPr>
            <w:noProof/>
            <w:webHidden/>
          </w:rPr>
          <w:fldChar w:fldCharType="separate"/>
        </w:r>
        <w:r>
          <w:rPr>
            <w:noProof/>
            <w:webHidden/>
          </w:rPr>
          <w:t>416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96" w:history="1">
        <w:r w:rsidRPr="00CD0B56">
          <w:rPr>
            <w:rStyle w:val="Hyperlink"/>
            <w:noProof/>
          </w:rPr>
          <w:t>2.1.928</w:t>
        </w:r>
        <w:r>
          <w:rPr>
            <w:rFonts w:asciiTheme="minorHAnsi" w:eastAsiaTheme="minorEastAsia" w:hAnsiTheme="minorHAnsi" w:cstheme="minorBidi"/>
            <w:noProof/>
            <w:sz w:val="22"/>
            <w:szCs w:val="22"/>
          </w:rPr>
          <w:tab/>
        </w:r>
        <w:r w:rsidRPr="00CD0B56">
          <w:rPr>
            <w:rStyle w:val="Hyperlink"/>
            <w:noProof/>
          </w:rPr>
          <w:t>Part 1 Section 18.17.7.85, DEC2HEX</w:t>
        </w:r>
        <w:r>
          <w:rPr>
            <w:noProof/>
            <w:webHidden/>
          </w:rPr>
          <w:tab/>
        </w:r>
        <w:r>
          <w:rPr>
            <w:noProof/>
            <w:webHidden/>
          </w:rPr>
          <w:fldChar w:fldCharType="begin"/>
        </w:r>
        <w:r>
          <w:rPr>
            <w:noProof/>
            <w:webHidden/>
          </w:rPr>
          <w:instrText xml:space="preserve"> PAGEREF _Toc12260996 \h </w:instrText>
        </w:r>
        <w:r>
          <w:rPr>
            <w:noProof/>
            <w:webHidden/>
          </w:rPr>
        </w:r>
        <w:r>
          <w:rPr>
            <w:noProof/>
            <w:webHidden/>
          </w:rPr>
          <w:fldChar w:fldCharType="separate"/>
        </w:r>
        <w:r>
          <w:rPr>
            <w:noProof/>
            <w:webHidden/>
          </w:rPr>
          <w:t>416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97" w:history="1">
        <w:r w:rsidRPr="00CD0B56">
          <w:rPr>
            <w:rStyle w:val="Hyperlink"/>
            <w:noProof/>
          </w:rPr>
          <w:t>2.1.929</w:t>
        </w:r>
        <w:r>
          <w:rPr>
            <w:rFonts w:asciiTheme="minorHAnsi" w:eastAsiaTheme="minorEastAsia" w:hAnsiTheme="minorHAnsi" w:cstheme="minorBidi"/>
            <w:noProof/>
            <w:sz w:val="22"/>
            <w:szCs w:val="22"/>
          </w:rPr>
          <w:tab/>
        </w:r>
        <w:r w:rsidRPr="00CD0B56">
          <w:rPr>
            <w:rStyle w:val="Hyperlink"/>
            <w:noProof/>
          </w:rPr>
          <w:t>Part 1 Section 18.17.7.86, DEC2OCT</w:t>
        </w:r>
        <w:r>
          <w:rPr>
            <w:noProof/>
            <w:webHidden/>
          </w:rPr>
          <w:tab/>
        </w:r>
        <w:r>
          <w:rPr>
            <w:noProof/>
            <w:webHidden/>
          </w:rPr>
          <w:fldChar w:fldCharType="begin"/>
        </w:r>
        <w:r>
          <w:rPr>
            <w:noProof/>
            <w:webHidden/>
          </w:rPr>
          <w:instrText xml:space="preserve"> PAGEREF _Toc12260997 \h </w:instrText>
        </w:r>
        <w:r>
          <w:rPr>
            <w:noProof/>
            <w:webHidden/>
          </w:rPr>
        </w:r>
        <w:r>
          <w:rPr>
            <w:noProof/>
            <w:webHidden/>
          </w:rPr>
          <w:fldChar w:fldCharType="separate"/>
        </w:r>
        <w:r>
          <w:rPr>
            <w:noProof/>
            <w:webHidden/>
          </w:rPr>
          <w:t>416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98" w:history="1">
        <w:r w:rsidRPr="00CD0B56">
          <w:rPr>
            <w:rStyle w:val="Hyperlink"/>
            <w:noProof/>
          </w:rPr>
          <w:t>2.1.930</w:t>
        </w:r>
        <w:r>
          <w:rPr>
            <w:rFonts w:asciiTheme="minorHAnsi" w:eastAsiaTheme="minorEastAsia" w:hAnsiTheme="minorHAnsi" w:cstheme="minorBidi"/>
            <w:noProof/>
            <w:sz w:val="22"/>
            <w:szCs w:val="22"/>
          </w:rPr>
          <w:tab/>
        </w:r>
        <w:r w:rsidRPr="00CD0B56">
          <w:rPr>
            <w:rStyle w:val="Hyperlink"/>
            <w:noProof/>
          </w:rPr>
          <w:t>Part 1 Section 18.17.7.89, DEVSQ</w:t>
        </w:r>
        <w:r>
          <w:rPr>
            <w:noProof/>
            <w:webHidden/>
          </w:rPr>
          <w:tab/>
        </w:r>
        <w:r>
          <w:rPr>
            <w:noProof/>
            <w:webHidden/>
          </w:rPr>
          <w:fldChar w:fldCharType="begin"/>
        </w:r>
        <w:r>
          <w:rPr>
            <w:noProof/>
            <w:webHidden/>
          </w:rPr>
          <w:instrText xml:space="preserve"> PAGEREF _Toc12260998 \h </w:instrText>
        </w:r>
        <w:r>
          <w:rPr>
            <w:noProof/>
            <w:webHidden/>
          </w:rPr>
        </w:r>
        <w:r>
          <w:rPr>
            <w:noProof/>
            <w:webHidden/>
          </w:rPr>
          <w:fldChar w:fldCharType="separate"/>
        </w:r>
        <w:r>
          <w:rPr>
            <w:noProof/>
            <w:webHidden/>
          </w:rPr>
          <w:t>416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0999" w:history="1">
        <w:r w:rsidRPr="00CD0B56">
          <w:rPr>
            <w:rStyle w:val="Hyperlink"/>
            <w:noProof/>
          </w:rPr>
          <w:t>2.1.931</w:t>
        </w:r>
        <w:r>
          <w:rPr>
            <w:rFonts w:asciiTheme="minorHAnsi" w:eastAsiaTheme="minorEastAsia" w:hAnsiTheme="minorHAnsi" w:cstheme="minorBidi"/>
            <w:noProof/>
            <w:sz w:val="22"/>
            <w:szCs w:val="22"/>
          </w:rPr>
          <w:tab/>
        </w:r>
        <w:r w:rsidRPr="00CD0B56">
          <w:rPr>
            <w:rStyle w:val="Hyperlink"/>
            <w:noProof/>
          </w:rPr>
          <w:t>Part 1 Section 18.17.7.90, DGET</w:t>
        </w:r>
        <w:r>
          <w:rPr>
            <w:noProof/>
            <w:webHidden/>
          </w:rPr>
          <w:tab/>
        </w:r>
        <w:r>
          <w:rPr>
            <w:noProof/>
            <w:webHidden/>
          </w:rPr>
          <w:fldChar w:fldCharType="begin"/>
        </w:r>
        <w:r>
          <w:rPr>
            <w:noProof/>
            <w:webHidden/>
          </w:rPr>
          <w:instrText xml:space="preserve"> PAGEREF _Toc12260999 \h </w:instrText>
        </w:r>
        <w:r>
          <w:rPr>
            <w:noProof/>
            <w:webHidden/>
          </w:rPr>
        </w:r>
        <w:r>
          <w:rPr>
            <w:noProof/>
            <w:webHidden/>
          </w:rPr>
          <w:fldChar w:fldCharType="separate"/>
        </w:r>
        <w:r>
          <w:rPr>
            <w:noProof/>
            <w:webHidden/>
          </w:rPr>
          <w:t>416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00" w:history="1">
        <w:r w:rsidRPr="00CD0B56">
          <w:rPr>
            <w:rStyle w:val="Hyperlink"/>
            <w:noProof/>
          </w:rPr>
          <w:t>2.1.932</w:t>
        </w:r>
        <w:r>
          <w:rPr>
            <w:rFonts w:asciiTheme="minorHAnsi" w:eastAsiaTheme="minorEastAsia" w:hAnsiTheme="minorHAnsi" w:cstheme="minorBidi"/>
            <w:noProof/>
            <w:sz w:val="22"/>
            <w:szCs w:val="22"/>
          </w:rPr>
          <w:tab/>
        </w:r>
        <w:r w:rsidRPr="00CD0B56">
          <w:rPr>
            <w:rStyle w:val="Hyperlink"/>
            <w:noProof/>
          </w:rPr>
          <w:t>Part 1 Section 18.17.7.91, DISC</w:t>
        </w:r>
        <w:r>
          <w:rPr>
            <w:noProof/>
            <w:webHidden/>
          </w:rPr>
          <w:tab/>
        </w:r>
        <w:r>
          <w:rPr>
            <w:noProof/>
            <w:webHidden/>
          </w:rPr>
          <w:fldChar w:fldCharType="begin"/>
        </w:r>
        <w:r>
          <w:rPr>
            <w:noProof/>
            <w:webHidden/>
          </w:rPr>
          <w:instrText xml:space="preserve"> PAGEREF _Toc12261000 \h </w:instrText>
        </w:r>
        <w:r>
          <w:rPr>
            <w:noProof/>
            <w:webHidden/>
          </w:rPr>
        </w:r>
        <w:r>
          <w:rPr>
            <w:noProof/>
            <w:webHidden/>
          </w:rPr>
          <w:fldChar w:fldCharType="separate"/>
        </w:r>
        <w:r>
          <w:rPr>
            <w:noProof/>
            <w:webHidden/>
          </w:rPr>
          <w:t>416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01" w:history="1">
        <w:r w:rsidRPr="00CD0B56">
          <w:rPr>
            <w:rStyle w:val="Hyperlink"/>
            <w:noProof/>
          </w:rPr>
          <w:t>2.1.933</w:t>
        </w:r>
        <w:r>
          <w:rPr>
            <w:rFonts w:asciiTheme="minorHAnsi" w:eastAsiaTheme="minorEastAsia" w:hAnsiTheme="minorHAnsi" w:cstheme="minorBidi"/>
            <w:noProof/>
            <w:sz w:val="22"/>
            <w:szCs w:val="22"/>
          </w:rPr>
          <w:tab/>
        </w:r>
        <w:r w:rsidRPr="00CD0B56">
          <w:rPr>
            <w:rStyle w:val="Hyperlink"/>
            <w:noProof/>
          </w:rPr>
          <w:t>Part 1 Section 18.17.7.92, DMAX</w:t>
        </w:r>
        <w:r>
          <w:rPr>
            <w:noProof/>
            <w:webHidden/>
          </w:rPr>
          <w:tab/>
        </w:r>
        <w:r>
          <w:rPr>
            <w:noProof/>
            <w:webHidden/>
          </w:rPr>
          <w:fldChar w:fldCharType="begin"/>
        </w:r>
        <w:r>
          <w:rPr>
            <w:noProof/>
            <w:webHidden/>
          </w:rPr>
          <w:instrText xml:space="preserve"> PAGEREF _Toc12261001 \h </w:instrText>
        </w:r>
        <w:r>
          <w:rPr>
            <w:noProof/>
            <w:webHidden/>
          </w:rPr>
        </w:r>
        <w:r>
          <w:rPr>
            <w:noProof/>
            <w:webHidden/>
          </w:rPr>
          <w:fldChar w:fldCharType="separate"/>
        </w:r>
        <w:r>
          <w:rPr>
            <w:noProof/>
            <w:webHidden/>
          </w:rPr>
          <w:t>417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02" w:history="1">
        <w:r w:rsidRPr="00CD0B56">
          <w:rPr>
            <w:rStyle w:val="Hyperlink"/>
            <w:noProof/>
          </w:rPr>
          <w:t>2.1.934</w:t>
        </w:r>
        <w:r>
          <w:rPr>
            <w:rFonts w:asciiTheme="minorHAnsi" w:eastAsiaTheme="minorEastAsia" w:hAnsiTheme="minorHAnsi" w:cstheme="minorBidi"/>
            <w:noProof/>
            <w:sz w:val="22"/>
            <w:szCs w:val="22"/>
          </w:rPr>
          <w:tab/>
        </w:r>
        <w:r w:rsidRPr="00CD0B56">
          <w:rPr>
            <w:rStyle w:val="Hyperlink"/>
            <w:noProof/>
          </w:rPr>
          <w:t>Part 1 Section 18.17.7.93, DMIN</w:t>
        </w:r>
        <w:r>
          <w:rPr>
            <w:noProof/>
            <w:webHidden/>
          </w:rPr>
          <w:tab/>
        </w:r>
        <w:r>
          <w:rPr>
            <w:noProof/>
            <w:webHidden/>
          </w:rPr>
          <w:fldChar w:fldCharType="begin"/>
        </w:r>
        <w:r>
          <w:rPr>
            <w:noProof/>
            <w:webHidden/>
          </w:rPr>
          <w:instrText xml:space="preserve"> PAGEREF _Toc12261002 \h </w:instrText>
        </w:r>
        <w:r>
          <w:rPr>
            <w:noProof/>
            <w:webHidden/>
          </w:rPr>
        </w:r>
        <w:r>
          <w:rPr>
            <w:noProof/>
            <w:webHidden/>
          </w:rPr>
          <w:fldChar w:fldCharType="separate"/>
        </w:r>
        <w:r>
          <w:rPr>
            <w:noProof/>
            <w:webHidden/>
          </w:rPr>
          <w:t>417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03" w:history="1">
        <w:r w:rsidRPr="00CD0B56">
          <w:rPr>
            <w:rStyle w:val="Hyperlink"/>
            <w:noProof/>
          </w:rPr>
          <w:t>2.1.935</w:t>
        </w:r>
        <w:r>
          <w:rPr>
            <w:rFonts w:asciiTheme="minorHAnsi" w:eastAsiaTheme="minorEastAsia" w:hAnsiTheme="minorHAnsi" w:cstheme="minorBidi"/>
            <w:noProof/>
            <w:sz w:val="22"/>
            <w:szCs w:val="22"/>
          </w:rPr>
          <w:tab/>
        </w:r>
        <w:r w:rsidRPr="00CD0B56">
          <w:rPr>
            <w:rStyle w:val="Hyperlink"/>
            <w:noProof/>
          </w:rPr>
          <w:t>Part 1 Section 18.17.7.94, DOLLAR</w:t>
        </w:r>
        <w:r>
          <w:rPr>
            <w:noProof/>
            <w:webHidden/>
          </w:rPr>
          <w:tab/>
        </w:r>
        <w:r>
          <w:rPr>
            <w:noProof/>
            <w:webHidden/>
          </w:rPr>
          <w:fldChar w:fldCharType="begin"/>
        </w:r>
        <w:r>
          <w:rPr>
            <w:noProof/>
            <w:webHidden/>
          </w:rPr>
          <w:instrText xml:space="preserve"> PAGEREF _Toc12261003 \h </w:instrText>
        </w:r>
        <w:r>
          <w:rPr>
            <w:noProof/>
            <w:webHidden/>
          </w:rPr>
        </w:r>
        <w:r>
          <w:rPr>
            <w:noProof/>
            <w:webHidden/>
          </w:rPr>
          <w:fldChar w:fldCharType="separate"/>
        </w:r>
        <w:r>
          <w:rPr>
            <w:noProof/>
            <w:webHidden/>
          </w:rPr>
          <w:t>418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04" w:history="1">
        <w:r w:rsidRPr="00CD0B56">
          <w:rPr>
            <w:rStyle w:val="Hyperlink"/>
            <w:noProof/>
          </w:rPr>
          <w:t>2.1.936</w:t>
        </w:r>
        <w:r>
          <w:rPr>
            <w:rFonts w:asciiTheme="minorHAnsi" w:eastAsiaTheme="minorEastAsia" w:hAnsiTheme="minorHAnsi" w:cstheme="minorBidi"/>
            <w:noProof/>
            <w:sz w:val="22"/>
            <w:szCs w:val="22"/>
          </w:rPr>
          <w:tab/>
        </w:r>
        <w:r w:rsidRPr="00CD0B56">
          <w:rPr>
            <w:rStyle w:val="Hyperlink"/>
            <w:noProof/>
          </w:rPr>
          <w:t>Part 1 Section 18.17.7.95, DOLLARDE</w:t>
        </w:r>
        <w:r>
          <w:rPr>
            <w:noProof/>
            <w:webHidden/>
          </w:rPr>
          <w:tab/>
        </w:r>
        <w:r>
          <w:rPr>
            <w:noProof/>
            <w:webHidden/>
          </w:rPr>
          <w:fldChar w:fldCharType="begin"/>
        </w:r>
        <w:r>
          <w:rPr>
            <w:noProof/>
            <w:webHidden/>
          </w:rPr>
          <w:instrText xml:space="preserve"> PAGEREF _Toc12261004 \h </w:instrText>
        </w:r>
        <w:r>
          <w:rPr>
            <w:noProof/>
            <w:webHidden/>
          </w:rPr>
        </w:r>
        <w:r>
          <w:rPr>
            <w:noProof/>
            <w:webHidden/>
          </w:rPr>
          <w:fldChar w:fldCharType="separate"/>
        </w:r>
        <w:r>
          <w:rPr>
            <w:noProof/>
            <w:webHidden/>
          </w:rPr>
          <w:t>418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05" w:history="1">
        <w:r w:rsidRPr="00CD0B56">
          <w:rPr>
            <w:rStyle w:val="Hyperlink"/>
            <w:noProof/>
          </w:rPr>
          <w:t>2.1.937</w:t>
        </w:r>
        <w:r>
          <w:rPr>
            <w:rFonts w:asciiTheme="minorHAnsi" w:eastAsiaTheme="minorEastAsia" w:hAnsiTheme="minorHAnsi" w:cstheme="minorBidi"/>
            <w:noProof/>
            <w:sz w:val="22"/>
            <w:szCs w:val="22"/>
          </w:rPr>
          <w:tab/>
        </w:r>
        <w:r w:rsidRPr="00CD0B56">
          <w:rPr>
            <w:rStyle w:val="Hyperlink"/>
            <w:noProof/>
          </w:rPr>
          <w:t>Part 1 Section 18.17.7.96, DOLLARFR</w:t>
        </w:r>
        <w:r>
          <w:rPr>
            <w:noProof/>
            <w:webHidden/>
          </w:rPr>
          <w:tab/>
        </w:r>
        <w:r>
          <w:rPr>
            <w:noProof/>
            <w:webHidden/>
          </w:rPr>
          <w:fldChar w:fldCharType="begin"/>
        </w:r>
        <w:r>
          <w:rPr>
            <w:noProof/>
            <w:webHidden/>
          </w:rPr>
          <w:instrText xml:space="preserve"> PAGEREF _Toc12261005 \h </w:instrText>
        </w:r>
        <w:r>
          <w:rPr>
            <w:noProof/>
            <w:webHidden/>
          </w:rPr>
        </w:r>
        <w:r>
          <w:rPr>
            <w:noProof/>
            <w:webHidden/>
          </w:rPr>
          <w:fldChar w:fldCharType="separate"/>
        </w:r>
        <w:r>
          <w:rPr>
            <w:noProof/>
            <w:webHidden/>
          </w:rPr>
          <w:t>418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06" w:history="1">
        <w:r w:rsidRPr="00CD0B56">
          <w:rPr>
            <w:rStyle w:val="Hyperlink"/>
            <w:noProof/>
          </w:rPr>
          <w:t>2.1.938</w:t>
        </w:r>
        <w:r>
          <w:rPr>
            <w:rFonts w:asciiTheme="minorHAnsi" w:eastAsiaTheme="minorEastAsia" w:hAnsiTheme="minorHAnsi" w:cstheme="minorBidi"/>
            <w:noProof/>
            <w:sz w:val="22"/>
            <w:szCs w:val="22"/>
          </w:rPr>
          <w:tab/>
        </w:r>
        <w:r w:rsidRPr="00CD0B56">
          <w:rPr>
            <w:rStyle w:val="Hyperlink"/>
            <w:noProof/>
          </w:rPr>
          <w:t>Part 1 Section 18.17.7.97, DPRODUCT</w:t>
        </w:r>
        <w:r>
          <w:rPr>
            <w:noProof/>
            <w:webHidden/>
          </w:rPr>
          <w:tab/>
        </w:r>
        <w:r>
          <w:rPr>
            <w:noProof/>
            <w:webHidden/>
          </w:rPr>
          <w:fldChar w:fldCharType="begin"/>
        </w:r>
        <w:r>
          <w:rPr>
            <w:noProof/>
            <w:webHidden/>
          </w:rPr>
          <w:instrText xml:space="preserve"> PAGEREF _Toc12261006 \h </w:instrText>
        </w:r>
        <w:r>
          <w:rPr>
            <w:noProof/>
            <w:webHidden/>
          </w:rPr>
        </w:r>
        <w:r>
          <w:rPr>
            <w:noProof/>
            <w:webHidden/>
          </w:rPr>
          <w:fldChar w:fldCharType="separate"/>
        </w:r>
        <w:r>
          <w:rPr>
            <w:noProof/>
            <w:webHidden/>
          </w:rPr>
          <w:t>418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07" w:history="1">
        <w:r w:rsidRPr="00CD0B56">
          <w:rPr>
            <w:rStyle w:val="Hyperlink"/>
            <w:noProof/>
          </w:rPr>
          <w:t>2.1.939</w:t>
        </w:r>
        <w:r>
          <w:rPr>
            <w:rFonts w:asciiTheme="minorHAnsi" w:eastAsiaTheme="minorEastAsia" w:hAnsiTheme="minorHAnsi" w:cstheme="minorBidi"/>
            <w:noProof/>
            <w:sz w:val="22"/>
            <w:szCs w:val="22"/>
          </w:rPr>
          <w:tab/>
        </w:r>
        <w:r w:rsidRPr="00CD0B56">
          <w:rPr>
            <w:rStyle w:val="Hyperlink"/>
            <w:noProof/>
          </w:rPr>
          <w:t>Part 1 Section 18.17.7.98, DSTDEV</w:t>
        </w:r>
        <w:r>
          <w:rPr>
            <w:noProof/>
            <w:webHidden/>
          </w:rPr>
          <w:tab/>
        </w:r>
        <w:r>
          <w:rPr>
            <w:noProof/>
            <w:webHidden/>
          </w:rPr>
          <w:fldChar w:fldCharType="begin"/>
        </w:r>
        <w:r>
          <w:rPr>
            <w:noProof/>
            <w:webHidden/>
          </w:rPr>
          <w:instrText xml:space="preserve"> PAGEREF _Toc12261007 \h </w:instrText>
        </w:r>
        <w:r>
          <w:rPr>
            <w:noProof/>
            <w:webHidden/>
          </w:rPr>
        </w:r>
        <w:r>
          <w:rPr>
            <w:noProof/>
            <w:webHidden/>
          </w:rPr>
          <w:fldChar w:fldCharType="separate"/>
        </w:r>
        <w:r>
          <w:rPr>
            <w:noProof/>
            <w:webHidden/>
          </w:rPr>
          <w:t>418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08" w:history="1">
        <w:r w:rsidRPr="00CD0B56">
          <w:rPr>
            <w:rStyle w:val="Hyperlink"/>
            <w:noProof/>
          </w:rPr>
          <w:t>2.1.940</w:t>
        </w:r>
        <w:r>
          <w:rPr>
            <w:rFonts w:asciiTheme="minorHAnsi" w:eastAsiaTheme="minorEastAsia" w:hAnsiTheme="minorHAnsi" w:cstheme="minorBidi"/>
            <w:noProof/>
            <w:sz w:val="22"/>
            <w:szCs w:val="22"/>
          </w:rPr>
          <w:tab/>
        </w:r>
        <w:r w:rsidRPr="00CD0B56">
          <w:rPr>
            <w:rStyle w:val="Hyperlink"/>
            <w:noProof/>
          </w:rPr>
          <w:t>Part 1 Section 18.17.7.99, DSTDEVP</w:t>
        </w:r>
        <w:r>
          <w:rPr>
            <w:noProof/>
            <w:webHidden/>
          </w:rPr>
          <w:tab/>
        </w:r>
        <w:r>
          <w:rPr>
            <w:noProof/>
            <w:webHidden/>
          </w:rPr>
          <w:fldChar w:fldCharType="begin"/>
        </w:r>
        <w:r>
          <w:rPr>
            <w:noProof/>
            <w:webHidden/>
          </w:rPr>
          <w:instrText xml:space="preserve"> PAGEREF _Toc12261008 \h </w:instrText>
        </w:r>
        <w:r>
          <w:rPr>
            <w:noProof/>
            <w:webHidden/>
          </w:rPr>
        </w:r>
        <w:r>
          <w:rPr>
            <w:noProof/>
            <w:webHidden/>
          </w:rPr>
          <w:fldChar w:fldCharType="separate"/>
        </w:r>
        <w:r>
          <w:rPr>
            <w:noProof/>
            <w:webHidden/>
          </w:rPr>
          <w:t>418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09" w:history="1">
        <w:r w:rsidRPr="00CD0B56">
          <w:rPr>
            <w:rStyle w:val="Hyperlink"/>
            <w:noProof/>
          </w:rPr>
          <w:t>2.1.941</w:t>
        </w:r>
        <w:r>
          <w:rPr>
            <w:rFonts w:asciiTheme="minorHAnsi" w:eastAsiaTheme="minorEastAsia" w:hAnsiTheme="minorHAnsi" w:cstheme="minorBidi"/>
            <w:noProof/>
            <w:sz w:val="22"/>
            <w:szCs w:val="22"/>
          </w:rPr>
          <w:tab/>
        </w:r>
        <w:r w:rsidRPr="00CD0B56">
          <w:rPr>
            <w:rStyle w:val="Hyperlink"/>
            <w:noProof/>
          </w:rPr>
          <w:t>Part 1 Section 18.17.7.100, DSUM</w:t>
        </w:r>
        <w:r>
          <w:rPr>
            <w:noProof/>
            <w:webHidden/>
          </w:rPr>
          <w:tab/>
        </w:r>
        <w:r>
          <w:rPr>
            <w:noProof/>
            <w:webHidden/>
          </w:rPr>
          <w:fldChar w:fldCharType="begin"/>
        </w:r>
        <w:r>
          <w:rPr>
            <w:noProof/>
            <w:webHidden/>
          </w:rPr>
          <w:instrText xml:space="preserve"> PAGEREF _Toc12261009 \h </w:instrText>
        </w:r>
        <w:r>
          <w:rPr>
            <w:noProof/>
            <w:webHidden/>
          </w:rPr>
        </w:r>
        <w:r>
          <w:rPr>
            <w:noProof/>
            <w:webHidden/>
          </w:rPr>
          <w:fldChar w:fldCharType="separate"/>
        </w:r>
        <w:r>
          <w:rPr>
            <w:noProof/>
            <w:webHidden/>
          </w:rPr>
          <w:t>419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10" w:history="1">
        <w:r w:rsidRPr="00CD0B56">
          <w:rPr>
            <w:rStyle w:val="Hyperlink"/>
            <w:noProof/>
          </w:rPr>
          <w:t>2.1.942</w:t>
        </w:r>
        <w:r>
          <w:rPr>
            <w:rFonts w:asciiTheme="minorHAnsi" w:eastAsiaTheme="minorEastAsia" w:hAnsiTheme="minorHAnsi" w:cstheme="minorBidi"/>
            <w:noProof/>
            <w:sz w:val="22"/>
            <w:szCs w:val="22"/>
          </w:rPr>
          <w:tab/>
        </w:r>
        <w:r w:rsidRPr="00CD0B56">
          <w:rPr>
            <w:rStyle w:val="Hyperlink"/>
            <w:noProof/>
          </w:rPr>
          <w:t>Part 1 Section 18.17.7.101, DURATION</w:t>
        </w:r>
        <w:r>
          <w:rPr>
            <w:noProof/>
            <w:webHidden/>
          </w:rPr>
          <w:tab/>
        </w:r>
        <w:r>
          <w:rPr>
            <w:noProof/>
            <w:webHidden/>
          </w:rPr>
          <w:fldChar w:fldCharType="begin"/>
        </w:r>
        <w:r>
          <w:rPr>
            <w:noProof/>
            <w:webHidden/>
          </w:rPr>
          <w:instrText xml:space="preserve"> PAGEREF _Toc12261010 \h </w:instrText>
        </w:r>
        <w:r>
          <w:rPr>
            <w:noProof/>
            <w:webHidden/>
          </w:rPr>
        </w:r>
        <w:r>
          <w:rPr>
            <w:noProof/>
            <w:webHidden/>
          </w:rPr>
          <w:fldChar w:fldCharType="separate"/>
        </w:r>
        <w:r>
          <w:rPr>
            <w:noProof/>
            <w:webHidden/>
          </w:rPr>
          <w:t>419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11" w:history="1">
        <w:r w:rsidRPr="00CD0B56">
          <w:rPr>
            <w:rStyle w:val="Hyperlink"/>
            <w:noProof/>
          </w:rPr>
          <w:t>2.1.943</w:t>
        </w:r>
        <w:r>
          <w:rPr>
            <w:rFonts w:asciiTheme="minorHAnsi" w:eastAsiaTheme="minorEastAsia" w:hAnsiTheme="minorHAnsi" w:cstheme="minorBidi"/>
            <w:noProof/>
            <w:sz w:val="22"/>
            <w:szCs w:val="22"/>
          </w:rPr>
          <w:tab/>
        </w:r>
        <w:r w:rsidRPr="00CD0B56">
          <w:rPr>
            <w:rStyle w:val="Hyperlink"/>
            <w:noProof/>
          </w:rPr>
          <w:t>Part 1 Section 18.17.7.102, DVAR</w:t>
        </w:r>
        <w:r>
          <w:rPr>
            <w:noProof/>
            <w:webHidden/>
          </w:rPr>
          <w:tab/>
        </w:r>
        <w:r>
          <w:rPr>
            <w:noProof/>
            <w:webHidden/>
          </w:rPr>
          <w:fldChar w:fldCharType="begin"/>
        </w:r>
        <w:r>
          <w:rPr>
            <w:noProof/>
            <w:webHidden/>
          </w:rPr>
          <w:instrText xml:space="preserve"> PAGEREF _Toc12261011 \h </w:instrText>
        </w:r>
        <w:r>
          <w:rPr>
            <w:noProof/>
            <w:webHidden/>
          </w:rPr>
        </w:r>
        <w:r>
          <w:rPr>
            <w:noProof/>
            <w:webHidden/>
          </w:rPr>
          <w:fldChar w:fldCharType="separate"/>
        </w:r>
        <w:r>
          <w:rPr>
            <w:noProof/>
            <w:webHidden/>
          </w:rPr>
          <w:t>420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12" w:history="1">
        <w:r w:rsidRPr="00CD0B56">
          <w:rPr>
            <w:rStyle w:val="Hyperlink"/>
            <w:noProof/>
          </w:rPr>
          <w:t>2.1.944</w:t>
        </w:r>
        <w:r>
          <w:rPr>
            <w:rFonts w:asciiTheme="minorHAnsi" w:eastAsiaTheme="minorEastAsia" w:hAnsiTheme="minorHAnsi" w:cstheme="minorBidi"/>
            <w:noProof/>
            <w:sz w:val="22"/>
            <w:szCs w:val="22"/>
          </w:rPr>
          <w:tab/>
        </w:r>
        <w:r w:rsidRPr="00CD0B56">
          <w:rPr>
            <w:rStyle w:val="Hyperlink"/>
            <w:noProof/>
          </w:rPr>
          <w:t>Part 1 Section 18.17.7.103, DVARP</w:t>
        </w:r>
        <w:r>
          <w:rPr>
            <w:noProof/>
            <w:webHidden/>
          </w:rPr>
          <w:tab/>
        </w:r>
        <w:r>
          <w:rPr>
            <w:noProof/>
            <w:webHidden/>
          </w:rPr>
          <w:fldChar w:fldCharType="begin"/>
        </w:r>
        <w:r>
          <w:rPr>
            <w:noProof/>
            <w:webHidden/>
          </w:rPr>
          <w:instrText xml:space="preserve"> PAGEREF _Toc12261012 \h </w:instrText>
        </w:r>
        <w:r>
          <w:rPr>
            <w:noProof/>
            <w:webHidden/>
          </w:rPr>
        </w:r>
        <w:r>
          <w:rPr>
            <w:noProof/>
            <w:webHidden/>
          </w:rPr>
          <w:fldChar w:fldCharType="separate"/>
        </w:r>
        <w:r>
          <w:rPr>
            <w:noProof/>
            <w:webHidden/>
          </w:rPr>
          <w:t>420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13" w:history="1">
        <w:r w:rsidRPr="00CD0B56">
          <w:rPr>
            <w:rStyle w:val="Hyperlink"/>
            <w:noProof/>
          </w:rPr>
          <w:t>2.1.945</w:t>
        </w:r>
        <w:r>
          <w:rPr>
            <w:rFonts w:asciiTheme="minorHAnsi" w:eastAsiaTheme="minorEastAsia" w:hAnsiTheme="minorHAnsi" w:cstheme="minorBidi"/>
            <w:noProof/>
            <w:sz w:val="22"/>
            <w:szCs w:val="22"/>
          </w:rPr>
          <w:tab/>
        </w:r>
        <w:r w:rsidRPr="00CD0B56">
          <w:rPr>
            <w:rStyle w:val="Hyperlink"/>
            <w:noProof/>
          </w:rPr>
          <w:t>Part 1 Section 18.17.7.105, EDATE</w:t>
        </w:r>
        <w:r>
          <w:rPr>
            <w:noProof/>
            <w:webHidden/>
          </w:rPr>
          <w:tab/>
        </w:r>
        <w:r>
          <w:rPr>
            <w:noProof/>
            <w:webHidden/>
          </w:rPr>
          <w:fldChar w:fldCharType="begin"/>
        </w:r>
        <w:r>
          <w:rPr>
            <w:noProof/>
            <w:webHidden/>
          </w:rPr>
          <w:instrText xml:space="preserve"> PAGEREF _Toc12261013 \h </w:instrText>
        </w:r>
        <w:r>
          <w:rPr>
            <w:noProof/>
            <w:webHidden/>
          </w:rPr>
        </w:r>
        <w:r>
          <w:rPr>
            <w:noProof/>
            <w:webHidden/>
          </w:rPr>
          <w:fldChar w:fldCharType="separate"/>
        </w:r>
        <w:r>
          <w:rPr>
            <w:noProof/>
            <w:webHidden/>
          </w:rPr>
          <w:t>420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14" w:history="1">
        <w:r w:rsidRPr="00CD0B56">
          <w:rPr>
            <w:rStyle w:val="Hyperlink"/>
            <w:noProof/>
          </w:rPr>
          <w:t>2.1.946</w:t>
        </w:r>
        <w:r>
          <w:rPr>
            <w:rFonts w:asciiTheme="minorHAnsi" w:eastAsiaTheme="minorEastAsia" w:hAnsiTheme="minorHAnsi" w:cstheme="minorBidi"/>
            <w:noProof/>
            <w:sz w:val="22"/>
            <w:szCs w:val="22"/>
          </w:rPr>
          <w:tab/>
        </w:r>
        <w:r w:rsidRPr="00CD0B56">
          <w:rPr>
            <w:rStyle w:val="Hyperlink"/>
            <w:noProof/>
          </w:rPr>
          <w:t>Part 1 Section 18.17.7.108, ERF</w:t>
        </w:r>
        <w:r>
          <w:rPr>
            <w:noProof/>
            <w:webHidden/>
          </w:rPr>
          <w:tab/>
        </w:r>
        <w:r>
          <w:rPr>
            <w:noProof/>
            <w:webHidden/>
          </w:rPr>
          <w:fldChar w:fldCharType="begin"/>
        </w:r>
        <w:r>
          <w:rPr>
            <w:noProof/>
            <w:webHidden/>
          </w:rPr>
          <w:instrText xml:space="preserve"> PAGEREF _Toc12261014 \h </w:instrText>
        </w:r>
        <w:r>
          <w:rPr>
            <w:noProof/>
            <w:webHidden/>
          </w:rPr>
        </w:r>
        <w:r>
          <w:rPr>
            <w:noProof/>
            <w:webHidden/>
          </w:rPr>
          <w:fldChar w:fldCharType="separate"/>
        </w:r>
        <w:r>
          <w:rPr>
            <w:noProof/>
            <w:webHidden/>
          </w:rPr>
          <w:t>420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15" w:history="1">
        <w:r w:rsidRPr="00CD0B56">
          <w:rPr>
            <w:rStyle w:val="Hyperlink"/>
            <w:noProof/>
          </w:rPr>
          <w:t>2.1.947</w:t>
        </w:r>
        <w:r>
          <w:rPr>
            <w:rFonts w:asciiTheme="minorHAnsi" w:eastAsiaTheme="minorEastAsia" w:hAnsiTheme="minorHAnsi" w:cstheme="minorBidi"/>
            <w:noProof/>
            <w:sz w:val="22"/>
            <w:szCs w:val="22"/>
          </w:rPr>
          <w:tab/>
        </w:r>
        <w:r w:rsidRPr="00CD0B56">
          <w:rPr>
            <w:rStyle w:val="Hyperlink"/>
            <w:noProof/>
          </w:rPr>
          <w:t>Part 1 Section 18.17.7.109, ERFC</w:t>
        </w:r>
        <w:r>
          <w:rPr>
            <w:noProof/>
            <w:webHidden/>
          </w:rPr>
          <w:tab/>
        </w:r>
        <w:r>
          <w:rPr>
            <w:noProof/>
            <w:webHidden/>
          </w:rPr>
          <w:fldChar w:fldCharType="begin"/>
        </w:r>
        <w:r>
          <w:rPr>
            <w:noProof/>
            <w:webHidden/>
          </w:rPr>
          <w:instrText xml:space="preserve"> PAGEREF _Toc12261015 \h </w:instrText>
        </w:r>
        <w:r>
          <w:rPr>
            <w:noProof/>
            <w:webHidden/>
          </w:rPr>
        </w:r>
        <w:r>
          <w:rPr>
            <w:noProof/>
            <w:webHidden/>
          </w:rPr>
          <w:fldChar w:fldCharType="separate"/>
        </w:r>
        <w:r>
          <w:rPr>
            <w:noProof/>
            <w:webHidden/>
          </w:rPr>
          <w:t>420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16" w:history="1">
        <w:r w:rsidRPr="00CD0B56">
          <w:rPr>
            <w:rStyle w:val="Hyperlink"/>
            <w:noProof/>
          </w:rPr>
          <w:t>2.1.948</w:t>
        </w:r>
        <w:r>
          <w:rPr>
            <w:rFonts w:asciiTheme="minorHAnsi" w:eastAsiaTheme="minorEastAsia" w:hAnsiTheme="minorHAnsi" w:cstheme="minorBidi"/>
            <w:noProof/>
            <w:sz w:val="22"/>
            <w:szCs w:val="22"/>
          </w:rPr>
          <w:tab/>
        </w:r>
        <w:r w:rsidRPr="00CD0B56">
          <w:rPr>
            <w:rStyle w:val="Hyperlink"/>
            <w:noProof/>
          </w:rPr>
          <w:t>Part 1 Section 18.17.7.110, ERROR.TYPE</w:t>
        </w:r>
        <w:r>
          <w:rPr>
            <w:noProof/>
            <w:webHidden/>
          </w:rPr>
          <w:tab/>
        </w:r>
        <w:r>
          <w:rPr>
            <w:noProof/>
            <w:webHidden/>
          </w:rPr>
          <w:fldChar w:fldCharType="begin"/>
        </w:r>
        <w:r>
          <w:rPr>
            <w:noProof/>
            <w:webHidden/>
          </w:rPr>
          <w:instrText xml:space="preserve"> PAGEREF _Toc12261016 \h </w:instrText>
        </w:r>
        <w:r>
          <w:rPr>
            <w:noProof/>
            <w:webHidden/>
          </w:rPr>
        </w:r>
        <w:r>
          <w:rPr>
            <w:noProof/>
            <w:webHidden/>
          </w:rPr>
          <w:fldChar w:fldCharType="separate"/>
        </w:r>
        <w:r>
          <w:rPr>
            <w:noProof/>
            <w:webHidden/>
          </w:rPr>
          <w:t>420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17" w:history="1">
        <w:r w:rsidRPr="00CD0B56">
          <w:rPr>
            <w:rStyle w:val="Hyperlink"/>
            <w:noProof/>
          </w:rPr>
          <w:t>2.1.949</w:t>
        </w:r>
        <w:r>
          <w:rPr>
            <w:rFonts w:asciiTheme="minorHAnsi" w:eastAsiaTheme="minorEastAsia" w:hAnsiTheme="minorHAnsi" w:cstheme="minorBidi"/>
            <w:noProof/>
            <w:sz w:val="22"/>
            <w:szCs w:val="22"/>
          </w:rPr>
          <w:tab/>
        </w:r>
        <w:r w:rsidRPr="00CD0B56">
          <w:rPr>
            <w:rStyle w:val="Hyperlink"/>
            <w:noProof/>
          </w:rPr>
          <w:t>Part 1 Section 18.17.7.119, FIND</w:t>
        </w:r>
        <w:r>
          <w:rPr>
            <w:noProof/>
            <w:webHidden/>
          </w:rPr>
          <w:tab/>
        </w:r>
        <w:r>
          <w:rPr>
            <w:noProof/>
            <w:webHidden/>
          </w:rPr>
          <w:fldChar w:fldCharType="begin"/>
        </w:r>
        <w:r>
          <w:rPr>
            <w:noProof/>
            <w:webHidden/>
          </w:rPr>
          <w:instrText xml:space="preserve"> PAGEREF _Toc12261017 \h </w:instrText>
        </w:r>
        <w:r>
          <w:rPr>
            <w:noProof/>
            <w:webHidden/>
          </w:rPr>
        </w:r>
        <w:r>
          <w:rPr>
            <w:noProof/>
            <w:webHidden/>
          </w:rPr>
          <w:fldChar w:fldCharType="separate"/>
        </w:r>
        <w:r>
          <w:rPr>
            <w:noProof/>
            <w:webHidden/>
          </w:rPr>
          <w:t>420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18" w:history="1">
        <w:r w:rsidRPr="00CD0B56">
          <w:rPr>
            <w:rStyle w:val="Hyperlink"/>
            <w:noProof/>
          </w:rPr>
          <w:t>2.1.950</w:t>
        </w:r>
        <w:r>
          <w:rPr>
            <w:rFonts w:asciiTheme="minorHAnsi" w:eastAsiaTheme="minorEastAsia" w:hAnsiTheme="minorHAnsi" w:cstheme="minorBidi"/>
            <w:noProof/>
            <w:sz w:val="22"/>
            <w:szCs w:val="22"/>
          </w:rPr>
          <w:tab/>
        </w:r>
        <w:r w:rsidRPr="00CD0B56">
          <w:rPr>
            <w:rStyle w:val="Hyperlink"/>
            <w:noProof/>
          </w:rPr>
          <w:t>Part 1 Section 18.17.7.120, FINDB</w:t>
        </w:r>
        <w:r>
          <w:rPr>
            <w:noProof/>
            <w:webHidden/>
          </w:rPr>
          <w:tab/>
        </w:r>
        <w:r>
          <w:rPr>
            <w:noProof/>
            <w:webHidden/>
          </w:rPr>
          <w:fldChar w:fldCharType="begin"/>
        </w:r>
        <w:r>
          <w:rPr>
            <w:noProof/>
            <w:webHidden/>
          </w:rPr>
          <w:instrText xml:space="preserve"> PAGEREF _Toc12261018 \h </w:instrText>
        </w:r>
        <w:r>
          <w:rPr>
            <w:noProof/>
            <w:webHidden/>
          </w:rPr>
        </w:r>
        <w:r>
          <w:rPr>
            <w:noProof/>
            <w:webHidden/>
          </w:rPr>
          <w:fldChar w:fldCharType="separate"/>
        </w:r>
        <w:r>
          <w:rPr>
            <w:noProof/>
            <w:webHidden/>
          </w:rPr>
          <w:t>421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19" w:history="1">
        <w:r w:rsidRPr="00CD0B56">
          <w:rPr>
            <w:rStyle w:val="Hyperlink"/>
            <w:noProof/>
          </w:rPr>
          <w:t>2.1.951</w:t>
        </w:r>
        <w:r>
          <w:rPr>
            <w:rFonts w:asciiTheme="minorHAnsi" w:eastAsiaTheme="minorEastAsia" w:hAnsiTheme="minorHAnsi" w:cstheme="minorBidi"/>
            <w:noProof/>
            <w:sz w:val="22"/>
            <w:szCs w:val="22"/>
          </w:rPr>
          <w:tab/>
        </w:r>
        <w:r w:rsidRPr="00CD0B56">
          <w:rPr>
            <w:rStyle w:val="Hyperlink"/>
            <w:noProof/>
          </w:rPr>
          <w:t>Part 1 Section 18.17.7.121, FINV</w:t>
        </w:r>
        <w:r>
          <w:rPr>
            <w:noProof/>
            <w:webHidden/>
          </w:rPr>
          <w:tab/>
        </w:r>
        <w:r>
          <w:rPr>
            <w:noProof/>
            <w:webHidden/>
          </w:rPr>
          <w:fldChar w:fldCharType="begin"/>
        </w:r>
        <w:r>
          <w:rPr>
            <w:noProof/>
            <w:webHidden/>
          </w:rPr>
          <w:instrText xml:space="preserve"> PAGEREF _Toc12261019 \h </w:instrText>
        </w:r>
        <w:r>
          <w:rPr>
            <w:noProof/>
            <w:webHidden/>
          </w:rPr>
        </w:r>
        <w:r>
          <w:rPr>
            <w:noProof/>
            <w:webHidden/>
          </w:rPr>
          <w:fldChar w:fldCharType="separate"/>
        </w:r>
        <w:r>
          <w:rPr>
            <w:noProof/>
            <w:webHidden/>
          </w:rPr>
          <w:t>421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20" w:history="1">
        <w:r w:rsidRPr="00CD0B56">
          <w:rPr>
            <w:rStyle w:val="Hyperlink"/>
            <w:noProof/>
          </w:rPr>
          <w:t>2.1.952</w:t>
        </w:r>
        <w:r>
          <w:rPr>
            <w:rFonts w:asciiTheme="minorHAnsi" w:eastAsiaTheme="minorEastAsia" w:hAnsiTheme="minorHAnsi" w:cstheme="minorBidi"/>
            <w:noProof/>
            <w:sz w:val="22"/>
            <w:szCs w:val="22"/>
          </w:rPr>
          <w:tab/>
        </w:r>
        <w:r w:rsidRPr="00CD0B56">
          <w:rPr>
            <w:rStyle w:val="Hyperlink"/>
            <w:noProof/>
          </w:rPr>
          <w:t>Part 1 Section 18.17.7.124, FIXED</w:t>
        </w:r>
        <w:r>
          <w:rPr>
            <w:noProof/>
            <w:webHidden/>
          </w:rPr>
          <w:tab/>
        </w:r>
        <w:r>
          <w:rPr>
            <w:noProof/>
            <w:webHidden/>
          </w:rPr>
          <w:fldChar w:fldCharType="begin"/>
        </w:r>
        <w:r>
          <w:rPr>
            <w:noProof/>
            <w:webHidden/>
          </w:rPr>
          <w:instrText xml:space="preserve"> PAGEREF _Toc12261020 \h </w:instrText>
        </w:r>
        <w:r>
          <w:rPr>
            <w:noProof/>
            <w:webHidden/>
          </w:rPr>
        </w:r>
        <w:r>
          <w:rPr>
            <w:noProof/>
            <w:webHidden/>
          </w:rPr>
          <w:fldChar w:fldCharType="separate"/>
        </w:r>
        <w:r>
          <w:rPr>
            <w:noProof/>
            <w:webHidden/>
          </w:rPr>
          <w:t>421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21" w:history="1">
        <w:r w:rsidRPr="00CD0B56">
          <w:rPr>
            <w:rStyle w:val="Hyperlink"/>
            <w:noProof/>
          </w:rPr>
          <w:t>2.1.953</w:t>
        </w:r>
        <w:r>
          <w:rPr>
            <w:rFonts w:asciiTheme="minorHAnsi" w:eastAsiaTheme="minorEastAsia" w:hAnsiTheme="minorHAnsi" w:cstheme="minorBidi"/>
            <w:noProof/>
            <w:sz w:val="22"/>
            <w:szCs w:val="22"/>
          </w:rPr>
          <w:tab/>
        </w:r>
        <w:r w:rsidRPr="00CD0B56">
          <w:rPr>
            <w:rStyle w:val="Hyperlink"/>
            <w:noProof/>
          </w:rPr>
          <w:t>Part 1 Section 18.17.7.125, FLOOR</w:t>
        </w:r>
        <w:r>
          <w:rPr>
            <w:noProof/>
            <w:webHidden/>
          </w:rPr>
          <w:tab/>
        </w:r>
        <w:r>
          <w:rPr>
            <w:noProof/>
            <w:webHidden/>
          </w:rPr>
          <w:fldChar w:fldCharType="begin"/>
        </w:r>
        <w:r>
          <w:rPr>
            <w:noProof/>
            <w:webHidden/>
          </w:rPr>
          <w:instrText xml:space="preserve"> PAGEREF _Toc12261021 \h </w:instrText>
        </w:r>
        <w:r>
          <w:rPr>
            <w:noProof/>
            <w:webHidden/>
          </w:rPr>
        </w:r>
        <w:r>
          <w:rPr>
            <w:noProof/>
            <w:webHidden/>
          </w:rPr>
          <w:fldChar w:fldCharType="separate"/>
        </w:r>
        <w:r>
          <w:rPr>
            <w:noProof/>
            <w:webHidden/>
          </w:rPr>
          <w:t>421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22" w:history="1">
        <w:r w:rsidRPr="00CD0B56">
          <w:rPr>
            <w:rStyle w:val="Hyperlink"/>
            <w:noProof/>
          </w:rPr>
          <w:t>2.1.954</w:t>
        </w:r>
        <w:r>
          <w:rPr>
            <w:rFonts w:asciiTheme="minorHAnsi" w:eastAsiaTheme="minorEastAsia" w:hAnsiTheme="minorHAnsi" w:cstheme="minorBidi"/>
            <w:noProof/>
            <w:sz w:val="22"/>
            <w:szCs w:val="22"/>
          </w:rPr>
          <w:tab/>
        </w:r>
        <w:r w:rsidRPr="00CD0B56">
          <w:rPr>
            <w:rStyle w:val="Hyperlink"/>
            <w:noProof/>
          </w:rPr>
          <w:t>Part 1 Section 18.17.7.126, FORECAST</w:t>
        </w:r>
        <w:r>
          <w:rPr>
            <w:noProof/>
            <w:webHidden/>
          </w:rPr>
          <w:tab/>
        </w:r>
        <w:r>
          <w:rPr>
            <w:noProof/>
            <w:webHidden/>
          </w:rPr>
          <w:fldChar w:fldCharType="begin"/>
        </w:r>
        <w:r>
          <w:rPr>
            <w:noProof/>
            <w:webHidden/>
          </w:rPr>
          <w:instrText xml:space="preserve"> PAGEREF _Toc12261022 \h </w:instrText>
        </w:r>
        <w:r>
          <w:rPr>
            <w:noProof/>
            <w:webHidden/>
          </w:rPr>
        </w:r>
        <w:r>
          <w:rPr>
            <w:noProof/>
            <w:webHidden/>
          </w:rPr>
          <w:fldChar w:fldCharType="separate"/>
        </w:r>
        <w:r>
          <w:rPr>
            <w:noProof/>
            <w:webHidden/>
          </w:rPr>
          <w:t>421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23" w:history="1">
        <w:r w:rsidRPr="00CD0B56">
          <w:rPr>
            <w:rStyle w:val="Hyperlink"/>
            <w:noProof/>
          </w:rPr>
          <w:t>2.1.955</w:t>
        </w:r>
        <w:r>
          <w:rPr>
            <w:rFonts w:asciiTheme="minorHAnsi" w:eastAsiaTheme="minorEastAsia" w:hAnsiTheme="minorHAnsi" w:cstheme="minorBidi"/>
            <w:noProof/>
            <w:sz w:val="22"/>
            <w:szCs w:val="22"/>
          </w:rPr>
          <w:tab/>
        </w:r>
        <w:r w:rsidRPr="00CD0B56">
          <w:rPr>
            <w:rStyle w:val="Hyperlink"/>
            <w:noProof/>
          </w:rPr>
          <w:t>Part 1 Section 18.17.7.129, FV</w:t>
        </w:r>
        <w:r>
          <w:rPr>
            <w:noProof/>
            <w:webHidden/>
          </w:rPr>
          <w:tab/>
        </w:r>
        <w:r>
          <w:rPr>
            <w:noProof/>
            <w:webHidden/>
          </w:rPr>
          <w:fldChar w:fldCharType="begin"/>
        </w:r>
        <w:r>
          <w:rPr>
            <w:noProof/>
            <w:webHidden/>
          </w:rPr>
          <w:instrText xml:space="preserve"> PAGEREF _Toc12261023 \h </w:instrText>
        </w:r>
        <w:r>
          <w:rPr>
            <w:noProof/>
            <w:webHidden/>
          </w:rPr>
        </w:r>
        <w:r>
          <w:rPr>
            <w:noProof/>
            <w:webHidden/>
          </w:rPr>
          <w:fldChar w:fldCharType="separate"/>
        </w:r>
        <w:r>
          <w:rPr>
            <w:noProof/>
            <w:webHidden/>
          </w:rPr>
          <w:t>422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24" w:history="1">
        <w:r w:rsidRPr="00CD0B56">
          <w:rPr>
            <w:rStyle w:val="Hyperlink"/>
            <w:noProof/>
          </w:rPr>
          <w:t>2.1.956</w:t>
        </w:r>
        <w:r>
          <w:rPr>
            <w:rFonts w:asciiTheme="minorHAnsi" w:eastAsiaTheme="minorEastAsia" w:hAnsiTheme="minorHAnsi" w:cstheme="minorBidi"/>
            <w:noProof/>
            <w:sz w:val="22"/>
            <w:szCs w:val="22"/>
          </w:rPr>
          <w:tab/>
        </w:r>
        <w:r w:rsidRPr="00CD0B56">
          <w:rPr>
            <w:rStyle w:val="Hyperlink"/>
            <w:noProof/>
          </w:rPr>
          <w:t>Part 1 Section 18.17.7.132, GAMMAINV</w:t>
        </w:r>
        <w:r>
          <w:rPr>
            <w:noProof/>
            <w:webHidden/>
          </w:rPr>
          <w:tab/>
        </w:r>
        <w:r>
          <w:rPr>
            <w:noProof/>
            <w:webHidden/>
          </w:rPr>
          <w:fldChar w:fldCharType="begin"/>
        </w:r>
        <w:r>
          <w:rPr>
            <w:noProof/>
            <w:webHidden/>
          </w:rPr>
          <w:instrText xml:space="preserve"> PAGEREF _Toc12261024 \h </w:instrText>
        </w:r>
        <w:r>
          <w:rPr>
            <w:noProof/>
            <w:webHidden/>
          </w:rPr>
        </w:r>
        <w:r>
          <w:rPr>
            <w:noProof/>
            <w:webHidden/>
          </w:rPr>
          <w:fldChar w:fldCharType="separate"/>
        </w:r>
        <w:r>
          <w:rPr>
            <w:noProof/>
            <w:webHidden/>
          </w:rPr>
          <w:t>422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25" w:history="1">
        <w:r w:rsidRPr="00CD0B56">
          <w:rPr>
            <w:rStyle w:val="Hyperlink"/>
            <w:noProof/>
          </w:rPr>
          <w:t>2.1.957</w:t>
        </w:r>
        <w:r>
          <w:rPr>
            <w:rFonts w:asciiTheme="minorHAnsi" w:eastAsiaTheme="minorEastAsia" w:hAnsiTheme="minorHAnsi" w:cstheme="minorBidi"/>
            <w:noProof/>
            <w:sz w:val="22"/>
            <w:szCs w:val="22"/>
          </w:rPr>
          <w:tab/>
        </w:r>
        <w:r w:rsidRPr="00CD0B56">
          <w:rPr>
            <w:rStyle w:val="Hyperlink"/>
            <w:noProof/>
          </w:rPr>
          <w:t>Part 1 Section 18.17.7.135, GEOMEAN</w:t>
        </w:r>
        <w:r>
          <w:rPr>
            <w:noProof/>
            <w:webHidden/>
          </w:rPr>
          <w:tab/>
        </w:r>
        <w:r>
          <w:rPr>
            <w:noProof/>
            <w:webHidden/>
          </w:rPr>
          <w:fldChar w:fldCharType="begin"/>
        </w:r>
        <w:r>
          <w:rPr>
            <w:noProof/>
            <w:webHidden/>
          </w:rPr>
          <w:instrText xml:space="preserve"> PAGEREF _Toc12261025 \h </w:instrText>
        </w:r>
        <w:r>
          <w:rPr>
            <w:noProof/>
            <w:webHidden/>
          </w:rPr>
        </w:r>
        <w:r>
          <w:rPr>
            <w:noProof/>
            <w:webHidden/>
          </w:rPr>
          <w:fldChar w:fldCharType="separate"/>
        </w:r>
        <w:r>
          <w:rPr>
            <w:noProof/>
            <w:webHidden/>
          </w:rPr>
          <w:t>422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26" w:history="1">
        <w:r w:rsidRPr="00CD0B56">
          <w:rPr>
            <w:rStyle w:val="Hyperlink"/>
            <w:noProof/>
          </w:rPr>
          <w:t>2.1.958</w:t>
        </w:r>
        <w:r>
          <w:rPr>
            <w:rFonts w:asciiTheme="minorHAnsi" w:eastAsiaTheme="minorEastAsia" w:hAnsiTheme="minorHAnsi" w:cstheme="minorBidi"/>
            <w:noProof/>
            <w:sz w:val="22"/>
            <w:szCs w:val="22"/>
          </w:rPr>
          <w:tab/>
        </w:r>
        <w:r w:rsidRPr="00CD0B56">
          <w:rPr>
            <w:rStyle w:val="Hyperlink"/>
            <w:noProof/>
          </w:rPr>
          <w:t>Part 1 Section 18.17.7.137, GETPIVOTDATA</w:t>
        </w:r>
        <w:r>
          <w:rPr>
            <w:noProof/>
            <w:webHidden/>
          </w:rPr>
          <w:tab/>
        </w:r>
        <w:r>
          <w:rPr>
            <w:noProof/>
            <w:webHidden/>
          </w:rPr>
          <w:fldChar w:fldCharType="begin"/>
        </w:r>
        <w:r>
          <w:rPr>
            <w:noProof/>
            <w:webHidden/>
          </w:rPr>
          <w:instrText xml:space="preserve"> PAGEREF _Toc12261026 \h </w:instrText>
        </w:r>
        <w:r>
          <w:rPr>
            <w:noProof/>
            <w:webHidden/>
          </w:rPr>
        </w:r>
        <w:r>
          <w:rPr>
            <w:noProof/>
            <w:webHidden/>
          </w:rPr>
          <w:fldChar w:fldCharType="separate"/>
        </w:r>
        <w:r>
          <w:rPr>
            <w:noProof/>
            <w:webHidden/>
          </w:rPr>
          <w:t>422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27" w:history="1">
        <w:r w:rsidRPr="00CD0B56">
          <w:rPr>
            <w:rStyle w:val="Hyperlink"/>
            <w:noProof/>
          </w:rPr>
          <w:t>2.1.959</w:t>
        </w:r>
        <w:r>
          <w:rPr>
            <w:rFonts w:asciiTheme="minorHAnsi" w:eastAsiaTheme="minorEastAsia" w:hAnsiTheme="minorHAnsi" w:cstheme="minorBidi"/>
            <w:noProof/>
            <w:sz w:val="22"/>
            <w:szCs w:val="22"/>
          </w:rPr>
          <w:tab/>
        </w:r>
        <w:r w:rsidRPr="00CD0B56">
          <w:rPr>
            <w:rStyle w:val="Hyperlink"/>
            <w:noProof/>
          </w:rPr>
          <w:t>Part 1 Section 18.17.7.139, HARMEAN</w:t>
        </w:r>
        <w:r>
          <w:rPr>
            <w:noProof/>
            <w:webHidden/>
          </w:rPr>
          <w:tab/>
        </w:r>
        <w:r>
          <w:rPr>
            <w:noProof/>
            <w:webHidden/>
          </w:rPr>
          <w:fldChar w:fldCharType="begin"/>
        </w:r>
        <w:r>
          <w:rPr>
            <w:noProof/>
            <w:webHidden/>
          </w:rPr>
          <w:instrText xml:space="preserve"> PAGEREF _Toc12261027 \h </w:instrText>
        </w:r>
        <w:r>
          <w:rPr>
            <w:noProof/>
            <w:webHidden/>
          </w:rPr>
        </w:r>
        <w:r>
          <w:rPr>
            <w:noProof/>
            <w:webHidden/>
          </w:rPr>
          <w:fldChar w:fldCharType="separate"/>
        </w:r>
        <w:r>
          <w:rPr>
            <w:noProof/>
            <w:webHidden/>
          </w:rPr>
          <w:t>422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28" w:history="1">
        <w:r w:rsidRPr="00CD0B56">
          <w:rPr>
            <w:rStyle w:val="Hyperlink"/>
            <w:noProof/>
          </w:rPr>
          <w:t>2.1.960</w:t>
        </w:r>
        <w:r>
          <w:rPr>
            <w:rFonts w:asciiTheme="minorHAnsi" w:eastAsiaTheme="minorEastAsia" w:hAnsiTheme="minorHAnsi" w:cstheme="minorBidi"/>
            <w:noProof/>
            <w:sz w:val="22"/>
            <w:szCs w:val="22"/>
          </w:rPr>
          <w:tab/>
        </w:r>
        <w:r w:rsidRPr="00CD0B56">
          <w:rPr>
            <w:rStyle w:val="Hyperlink"/>
            <w:noProof/>
          </w:rPr>
          <w:t>Part 1 Section 18.17.7.143, HLOOKUP</w:t>
        </w:r>
        <w:r>
          <w:rPr>
            <w:noProof/>
            <w:webHidden/>
          </w:rPr>
          <w:tab/>
        </w:r>
        <w:r>
          <w:rPr>
            <w:noProof/>
            <w:webHidden/>
          </w:rPr>
          <w:fldChar w:fldCharType="begin"/>
        </w:r>
        <w:r>
          <w:rPr>
            <w:noProof/>
            <w:webHidden/>
          </w:rPr>
          <w:instrText xml:space="preserve"> PAGEREF _Toc12261028 \h </w:instrText>
        </w:r>
        <w:r>
          <w:rPr>
            <w:noProof/>
            <w:webHidden/>
          </w:rPr>
        </w:r>
        <w:r>
          <w:rPr>
            <w:noProof/>
            <w:webHidden/>
          </w:rPr>
          <w:fldChar w:fldCharType="separate"/>
        </w:r>
        <w:r>
          <w:rPr>
            <w:noProof/>
            <w:webHidden/>
          </w:rPr>
          <w:t>422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29" w:history="1">
        <w:r w:rsidRPr="00CD0B56">
          <w:rPr>
            <w:rStyle w:val="Hyperlink"/>
            <w:noProof/>
          </w:rPr>
          <w:t>2.1.961</w:t>
        </w:r>
        <w:r>
          <w:rPr>
            <w:rFonts w:asciiTheme="minorHAnsi" w:eastAsiaTheme="minorEastAsia" w:hAnsiTheme="minorHAnsi" w:cstheme="minorBidi"/>
            <w:noProof/>
            <w:sz w:val="22"/>
            <w:szCs w:val="22"/>
          </w:rPr>
          <w:tab/>
        </w:r>
        <w:r w:rsidRPr="00CD0B56">
          <w:rPr>
            <w:rStyle w:val="Hyperlink"/>
            <w:noProof/>
          </w:rPr>
          <w:t>Part 1 Section 18.17.7.144, HOUR</w:t>
        </w:r>
        <w:r>
          <w:rPr>
            <w:noProof/>
            <w:webHidden/>
          </w:rPr>
          <w:tab/>
        </w:r>
        <w:r>
          <w:rPr>
            <w:noProof/>
            <w:webHidden/>
          </w:rPr>
          <w:fldChar w:fldCharType="begin"/>
        </w:r>
        <w:r>
          <w:rPr>
            <w:noProof/>
            <w:webHidden/>
          </w:rPr>
          <w:instrText xml:space="preserve"> PAGEREF _Toc12261029 \h </w:instrText>
        </w:r>
        <w:r>
          <w:rPr>
            <w:noProof/>
            <w:webHidden/>
          </w:rPr>
        </w:r>
        <w:r>
          <w:rPr>
            <w:noProof/>
            <w:webHidden/>
          </w:rPr>
          <w:fldChar w:fldCharType="separate"/>
        </w:r>
        <w:r>
          <w:rPr>
            <w:noProof/>
            <w:webHidden/>
          </w:rPr>
          <w:t>422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30" w:history="1">
        <w:r w:rsidRPr="00CD0B56">
          <w:rPr>
            <w:rStyle w:val="Hyperlink"/>
            <w:noProof/>
          </w:rPr>
          <w:t>2.1.962</w:t>
        </w:r>
        <w:r>
          <w:rPr>
            <w:rFonts w:asciiTheme="minorHAnsi" w:eastAsiaTheme="minorEastAsia" w:hAnsiTheme="minorHAnsi" w:cstheme="minorBidi"/>
            <w:noProof/>
            <w:sz w:val="22"/>
            <w:szCs w:val="22"/>
          </w:rPr>
          <w:tab/>
        </w:r>
        <w:r w:rsidRPr="00CD0B56">
          <w:rPr>
            <w:rStyle w:val="Hyperlink"/>
            <w:noProof/>
          </w:rPr>
          <w:t>Part 1 Section 18.17.7.147, IF</w:t>
        </w:r>
        <w:r>
          <w:rPr>
            <w:noProof/>
            <w:webHidden/>
          </w:rPr>
          <w:tab/>
        </w:r>
        <w:r>
          <w:rPr>
            <w:noProof/>
            <w:webHidden/>
          </w:rPr>
          <w:fldChar w:fldCharType="begin"/>
        </w:r>
        <w:r>
          <w:rPr>
            <w:noProof/>
            <w:webHidden/>
          </w:rPr>
          <w:instrText xml:space="preserve"> PAGEREF _Toc12261030 \h </w:instrText>
        </w:r>
        <w:r>
          <w:rPr>
            <w:noProof/>
            <w:webHidden/>
          </w:rPr>
        </w:r>
        <w:r>
          <w:rPr>
            <w:noProof/>
            <w:webHidden/>
          </w:rPr>
          <w:fldChar w:fldCharType="separate"/>
        </w:r>
        <w:r>
          <w:rPr>
            <w:noProof/>
            <w:webHidden/>
          </w:rPr>
          <w:t>423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31" w:history="1">
        <w:r w:rsidRPr="00CD0B56">
          <w:rPr>
            <w:rStyle w:val="Hyperlink"/>
            <w:noProof/>
          </w:rPr>
          <w:t>2.1.963</w:t>
        </w:r>
        <w:r>
          <w:rPr>
            <w:rFonts w:asciiTheme="minorHAnsi" w:eastAsiaTheme="minorEastAsia" w:hAnsiTheme="minorHAnsi" w:cstheme="minorBidi"/>
            <w:noProof/>
            <w:sz w:val="22"/>
            <w:szCs w:val="22"/>
          </w:rPr>
          <w:tab/>
        </w:r>
        <w:r w:rsidRPr="00CD0B56">
          <w:rPr>
            <w:rStyle w:val="Hyperlink"/>
            <w:noProof/>
          </w:rPr>
          <w:t>Part 1 Section 18.17.7.148, IFERROR</w:t>
        </w:r>
        <w:r>
          <w:rPr>
            <w:noProof/>
            <w:webHidden/>
          </w:rPr>
          <w:tab/>
        </w:r>
        <w:r>
          <w:rPr>
            <w:noProof/>
            <w:webHidden/>
          </w:rPr>
          <w:fldChar w:fldCharType="begin"/>
        </w:r>
        <w:r>
          <w:rPr>
            <w:noProof/>
            <w:webHidden/>
          </w:rPr>
          <w:instrText xml:space="preserve"> PAGEREF _Toc12261031 \h </w:instrText>
        </w:r>
        <w:r>
          <w:rPr>
            <w:noProof/>
            <w:webHidden/>
          </w:rPr>
        </w:r>
        <w:r>
          <w:rPr>
            <w:noProof/>
            <w:webHidden/>
          </w:rPr>
          <w:fldChar w:fldCharType="separate"/>
        </w:r>
        <w:r>
          <w:rPr>
            <w:noProof/>
            <w:webHidden/>
          </w:rPr>
          <w:t>423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32" w:history="1">
        <w:r w:rsidRPr="00CD0B56">
          <w:rPr>
            <w:rStyle w:val="Hyperlink"/>
            <w:noProof/>
          </w:rPr>
          <w:t>2.1.964</w:t>
        </w:r>
        <w:r>
          <w:rPr>
            <w:rFonts w:asciiTheme="minorHAnsi" w:eastAsiaTheme="minorEastAsia" w:hAnsiTheme="minorHAnsi" w:cstheme="minorBidi"/>
            <w:noProof/>
            <w:sz w:val="22"/>
            <w:szCs w:val="22"/>
          </w:rPr>
          <w:tab/>
        </w:r>
        <w:r w:rsidRPr="00CD0B56">
          <w:rPr>
            <w:rStyle w:val="Hyperlink"/>
            <w:noProof/>
          </w:rPr>
          <w:t>Part 1 Section 18.17.7.151, IMARGUMENT</w:t>
        </w:r>
        <w:r>
          <w:rPr>
            <w:noProof/>
            <w:webHidden/>
          </w:rPr>
          <w:tab/>
        </w:r>
        <w:r>
          <w:rPr>
            <w:noProof/>
            <w:webHidden/>
          </w:rPr>
          <w:fldChar w:fldCharType="begin"/>
        </w:r>
        <w:r>
          <w:rPr>
            <w:noProof/>
            <w:webHidden/>
          </w:rPr>
          <w:instrText xml:space="preserve"> PAGEREF _Toc12261032 \h </w:instrText>
        </w:r>
        <w:r>
          <w:rPr>
            <w:noProof/>
            <w:webHidden/>
          </w:rPr>
        </w:r>
        <w:r>
          <w:rPr>
            <w:noProof/>
            <w:webHidden/>
          </w:rPr>
          <w:fldChar w:fldCharType="separate"/>
        </w:r>
        <w:r>
          <w:rPr>
            <w:noProof/>
            <w:webHidden/>
          </w:rPr>
          <w:t>423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33" w:history="1">
        <w:r w:rsidRPr="00CD0B56">
          <w:rPr>
            <w:rStyle w:val="Hyperlink"/>
            <w:noProof/>
          </w:rPr>
          <w:t>2.1.965</w:t>
        </w:r>
        <w:r>
          <w:rPr>
            <w:rFonts w:asciiTheme="minorHAnsi" w:eastAsiaTheme="minorEastAsia" w:hAnsiTheme="minorHAnsi" w:cstheme="minorBidi"/>
            <w:noProof/>
            <w:sz w:val="22"/>
            <w:szCs w:val="22"/>
          </w:rPr>
          <w:tab/>
        </w:r>
        <w:r w:rsidRPr="00CD0B56">
          <w:rPr>
            <w:rStyle w:val="Hyperlink"/>
            <w:noProof/>
          </w:rPr>
          <w:t>Part 1 Section 18.17.7.154, IMDIV</w:t>
        </w:r>
        <w:r>
          <w:rPr>
            <w:noProof/>
            <w:webHidden/>
          </w:rPr>
          <w:tab/>
        </w:r>
        <w:r>
          <w:rPr>
            <w:noProof/>
            <w:webHidden/>
          </w:rPr>
          <w:fldChar w:fldCharType="begin"/>
        </w:r>
        <w:r>
          <w:rPr>
            <w:noProof/>
            <w:webHidden/>
          </w:rPr>
          <w:instrText xml:space="preserve"> PAGEREF _Toc12261033 \h </w:instrText>
        </w:r>
        <w:r>
          <w:rPr>
            <w:noProof/>
            <w:webHidden/>
          </w:rPr>
        </w:r>
        <w:r>
          <w:rPr>
            <w:noProof/>
            <w:webHidden/>
          </w:rPr>
          <w:fldChar w:fldCharType="separate"/>
        </w:r>
        <w:r>
          <w:rPr>
            <w:noProof/>
            <w:webHidden/>
          </w:rPr>
          <w:t>423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34" w:history="1">
        <w:r w:rsidRPr="00CD0B56">
          <w:rPr>
            <w:rStyle w:val="Hyperlink"/>
            <w:noProof/>
          </w:rPr>
          <w:t>2.1.966</w:t>
        </w:r>
        <w:r>
          <w:rPr>
            <w:rFonts w:asciiTheme="minorHAnsi" w:eastAsiaTheme="minorEastAsia" w:hAnsiTheme="minorHAnsi" w:cstheme="minorBidi"/>
            <w:noProof/>
            <w:sz w:val="22"/>
            <w:szCs w:val="22"/>
          </w:rPr>
          <w:tab/>
        </w:r>
        <w:r w:rsidRPr="00CD0B56">
          <w:rPr>
            <w:rStyle w:val="Hyperlink"/>
            <w:noProof/>
          </w:rPr>
          <w:t>Part 1 Section 18.17.7.156, IMLN</w:t>
        </w:r>
        <w:r>
          <w:rPr>
            <w:noProof/>
            <w:webHidden/>
          </w:rPr>
          <w:tab/>
        </w:r>
        <w:r>
          <w:rPr>
            <w:noProof/>
            <w:webHidden/>
          </w:rPr>
          <w:fldChar w:fldCharType="begin"/>
        </w:r>
        <w:r>
          <w:rPr>
            <w:noProof/>
            <w:webHidden/>
          </w:rPr>
          <w:instrText xml:space="preserve"> PAGEREF _Toc12261034 \h </w:instrText>
        </w:r>
        <w:r>
          <w:rPr>
            <w:noProof/>
            <w:webHidden/>
          </w:rPr>
        </w:r>
        <w:r>
          <w:rPr>
            <w:noProof/>
            <w:webHidden/>
          </w:rPr>
          <w:fldChar w:fldCharType="separate"/>
        </w:r>
        <w:r>
          <w:rPr>
            <w:noProof/>
            <w:webHidden/>
          </w:rPr>
          <w:t>423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35" w:history="1">
        <w:r w:rsidRPr="00CD0B56">
          <w:rPr>
            <w:rStyle w:val="Hyperlink"/>
            <w:noProof/>
          </w:rPr>
          <w:t>2.1.967</w:t>
        </w:r>
        <w:r>
          <w:rPr>
            <w:rFonts w:asciiTheme="minorHAnsi" w:eastAsiaTheme="minorEastAsia" w:hAnsiTheme="minorHAnsi" w:cstheme="minorBidi"/>
            <w:noProof/>
            <w:sz w:val="22"/>
            <w:szCs w:val="22"/>
          </w:rPr>
          <w:tab/>
        </w:r>
        <w:r w:rsidRPr="00CD0B56">
          <w:rPr>
            <w:rStyle w:val="Hyperlink"/>
            <w:noProof/>
          </w:rPr>
          <w:t>Part 1 Section 18.17.7.157, IMLOG10</w:t>
        </w:r>
        <w:r>
          <w:rPr>
            <w:noProof/>
            <w:webHidden/>
          </w:rPr>
          <w:tab/>
        </w:r>
        <w:r>
          <w:rPr>
            <w:noProof/>
            <w:webHidden/>
          </w:rPr>
          <w:fldChar w:fldCharType="begin"/>
        </w:r>
        <w:r>
          <w:rPr>
            <w:noProof/>
            <w:webHidden/>
          </w:rPr>
          <w:instrText xml:space="preserve"> PAGEREF _Toc12261035 \h </w:instrText>
        </w:r>
        <w:r>
          <w:rPr>
            <w:noProof/>
            <w:webHidden/>
          </w:rPr>
        </w:r>
        <w:r>
          <w:rPr>
            <w:noProof/>
            <w:webHidden/>
          </w:rPr>
          <w:fldChar w:fldCharType="separate"/>
        </w:r>
        <w:r>
          <w:rPr>
            <w:noProof/>
            <w:webHidden/>
          </w:rPr>
          <w:t>423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36" w:history="1">
        <w:r w:rsidRPr="00CD0B56">
          <w:rPr>
            <w:rStyle w:val="Hyperlink"/>
            <w:noProof/>
          </w:rPr>
          <w:t>2.1.968</w:t>
        </w:r>
        <w:r>
          <w:rPr>
            <w:rFonts w:asciiTheme="minorHAnsi" w:eastAsiaTheme="minorEastAsia" w:hAnsiTheme="minorHAnsi" w:cstheme="minorBidi"/>
            <w:noProof/>
            <w:sz w:val="22"/>
            <w:szCs w:val="22"/>
          </w:rPr>
          <w:tab/>
        </w:r>
        <w:r w:rsidRPr="00CD0B56">
          <w:rPr>
            <w:rStyle w:val="Hyperlink"/>
            <w:noProof/>
          </w:rPr>
          <w:t>Part 1 Section 18.17.7.158, IMLOG2</w:t>
        </w:r>
        <w:r>
          <w:rPr>
            <w:noProof/>
            <w:webHidden/>
          </w:rPr>
          <w:tab/>
        </w:r>
        <w:r>
          <w:rPr>
            <w:noProof/>
            <w:webHidden/>
          </w:rPr>
          <w:fldChar w:fldCharType="begin"/>
        </w:r>
        <w:r>
          <w:rPr>
            <w:noProof/>
            <w:webHidden/>
          </w:rPr>
          <w:instrText xml:space="preserve"> PAGEREF _Toc12261036 \h </w:instrText>
        </w:r>
        <w:r>
          <w:rPr>
            <w:noProof/>
            <w:webHidden/>
          </w:rPr>
        </w:r>
        <w:r>
          <w:rPr>
            <w:noProof/>
            <w:webHidden/>
          </w:rPr>
          <w:fldChar w:fldCharType="separate"/>
        </w:r>
        <w:r>
          <w:rPr>
            <w:noProof/>
            <w:webHidden/>
          </w:rPr>
          <w:t>424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37" w:history="1">
        <w:r w:rsidRPr="00CD0B56">
          <w:rPr>
            <w:rStyle w:val="Hyperlink"/>
            <w:noProof/>
          </w:rPr>
          <w:t>2.1.969</w:t>
        </w:r>
        <w:r>
          <w:rPr>
            <w:rFonts w:asciiTheme="minorHAnsi" w:eastAsiaTheme="minorEastAsia" w:hAnsiTheme="minorHAnsi" w:cstheme="minorBidi"/>
            <w:noProof/>
            <w:sz w:val="22"/>
            <w:szCs w:val="22"/>
          </w:rPr>
          <w:tab/>
        </w:r>
        <w:r w:rsidRPr="00CD0B56">
          <w:rPr>
            <w:rStyle w:val="Hyperlink"/>
            <w:noProof/>
          </w:rPr>
          <w:t>Part 1 Section 18.17.7.159, IMPOWER</w:t>
        </w:r>
        <w:r>
          <w:rPr>
            <w:noProof/>
            <w:webHidden/>
          </w:rPr>
          <w:tab/>
        </w:r>
        <w:r>
          <w:rPr>
            <w:noProof/>
            <w:webHidden/>
          </w:rPr>
          <w:fldChar w:fldCharType="begin"/>
        </w:r>
        <w:r>
          <w:rPr>
            <w:noProof/>
            <w:webHidden/>
          </w:rPr>
          <w:instrText xml:space="preserve"> PAGEREF _Toc12261037 \h </w:instrText>
        </w:r>
        <w:r>
          <w:rPr>
            <w:noProof/>
            <w:webHidden/>
          </w:rPr>
        </w:r>
        <w:r>
          <w:rPr>
            <w:noProof/>
            <w:webHidden/>
          </w:rPr>
          <w:fldChar w:fldCharType="separate"/>
        </w:r>
        <w:r>
          <w:rPr>
            <w:noProof/>
            <w:webHidden/>
          </w:rPr>
          <w:t>424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38" w:history="1">
        <w:r w:rsidRPr="00CD0B56">
          <w:rPr>
            <w:rStyle w:val="Hyperlink"/>
            <w:noProof/>
          </w:rPr>
          <w:t>2.1.970</w:t>
        </w:r>
        <w:r>
          <w:rPr>
            <w:rFonts w:asciiTheme="minorHAnsi" w:eastAsiaTheme="minorEastAsia" w:hAnsiTheme="minorHAnsi" w:cstheme="minorBidi"/>
            <w:noProof/>
            <w:sz w:val="22"/>
            <w:szCs w:val="22"/>
          </w:rPr>
          <w:tab/>
        </w:r>
        <w:r w:rsidRPr="00CD0B56">
          <w:rPr>
            <w:rStyle w:val="Hyperlink"/>
            <w:noProof/>
          </w:rPr>
          <w:t>Part 1 Section 18.17.7.162, IMSIN</w:t>
        </w:r>
        <w:r>
          <w:rPr>
            <w:noProof/>
            <w:webHidden/>
          </w:rPr>
          <w:tab/>
        </w:r>
        <w:r>
          <w:rPr>
            <w:noProof/>
            <w:webHidden/>
          </w:rPr>
          <w:fldChar w:fldCharType="begin"/>
        </w:r>
        <w:r>
          <w:rPr>
            <w:noProof/>
            <w:webHidden/>
          </w:rPr>
          <w:instrText xml:space="preserve"> PAGEREF _Toc12261038 \h </w:instrText>
        </w:r>
        <w:r>
          <w:rPr>
            <w:noProof/>
            <w:webHidden/>
          </w:rPr>
        </w:r>
        <w:r>
          <w:rPr>
            <w:noProof/>
            <w:webHidden/>
          </w:rPr>
          <w:fldChar w:fldCharType="separate"/>
        </w:r>
        <w:r>
          <w:rPr>
            <w:noProof/>
            <w:webHidden/>
          </w:rPr>
          <w:t>424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39" w:history="1">
        <w:r w:rsidRPr="00CD0B56">
          <w:rPr>
            <w:rStyle w:val="Hyperlink"/>
            <w:noProof/>
          </w:rPr>
          <w:t>2.1.971</w:t>
        </w:r>
        <w:r>
          <w:rPr>
            <w:rFonts w:asciiTheme="minorHAnsi" w:eastAsiaTheme="minorEastAsia" w:hAnsiTheme="minorHAnsi" w:cstheme="minorBidi"/>
            <w:noProof/>
            <w:sz w:val="22"/>
            <w:szCs w:val="22"/>
          </w:rPr>
          <w:tab/>
        </w:r>
        <w:r w:rsidRPr="00CD0B56">
          <w:rPr>
            <w:rStyle w:val="Hyperlink"/>
            <w:noProof/>
          </w:rPr>
          <w:t>Part 1 Section 18.17.7.163, IMSQRT</w:t>
        </w:r>
        <w:r>
          <w:rPr>
            <w:noProof/>
            <w:webHidden/>
          </w:rPr>
          <w:tab/>
        </w:r>
        <w:r>
          <w:rPr>
            <w:noProof/>
            <w:webHidden/>
          </w:rPr>
          <w:fldChar w:fldCharType="begin"/>
        </w:r>
        <w:r>
          <w:rPr>
            <w:noProof/>
            <w:webHidden/>
          </w:rPr>
          <w:instrText xml:space="preserve"> PAGEREF _Toc12261039 \h </w:instrText>
        </w:r>
        <w:r>
          <w:rPr>
            <w:noProof/>
            <w:webHidden/>
          </w:rPr>
        </w:r>
        <w:r>
          <w:rPr>
            <w:noProof/>
            <w:webHidden/>
          </w:rPr>
          <w:fldChar w:fldCharType="separate"/>
        </w:r>
        <w:r>
          <w:rPr>
            <w:noProof/>
            <w:webHidden/>
          </w:rPr>
          <w:t>424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40" w:history="1">
        <w:r w:rsidRPr="00CD0B56">
          <w:rPr>
            <w:rStyle w:val="Hyperlink"/>
            <w:noProof/>
          </w:rPr>
          <w:t>2.1.972</w:t>
        </w:r>
        <w:r>
          <w:rPr>
            <w:rFonts w:asciiTheme="minorHAnsi" w:eastAsiaTheme="minorEastAsia" w:hAnsiTheme="minorHAnsi" w:cstheme="minorBidi"/>
            <w:noProof/>
            <w:sz w:val="22"/>
            <w:szCs w:val="22"/>
          </w:rPr>
          <w:tab/>
        </w:r>
        <w:r w:rsidRPr="00CD0B56">
          <w:rPr>
            <w:rStyle w:val="Hyperlink"/>
            <w:noProof/>
          </w:rPr>
          <w:t>Part 1 Section 18.17.7.166, INDEX</w:t>
        </w:r>
        <w:r>
          <w:rPr>
            <w:noProof/>
            <w:webHidden/>
          </w:rPr>
          <w:tab/>
        </w:r>
        <w:r>
          <w:rPr>
            <w:noProof/>
            <w:webHidden/>
          </w:rPr>
          <w:fldChar w:fldCharType="begin"/>
        </w:r>
        <w:r>
          <w:rPr>
            <w:noProof/>
            <w:webHidden/>
          </w:rPr>
          <w:instrText xml:space="preserve"> PAGEREF _Toc12261040 \h </w:instrText>
        </w:r>
        <w:r>
          <w:rPr>
            <w:noProof/>
            <w:webHidden/>
          </w:rPr>
        </w:r>
        <w:r>
          <w:rPr>
            <w:noProof/>
            <w:webHidden/>
          </w:rPr>
          <w:fldChar w:fldCharType="separate"/>
        </w:r>
        <w:r>
          <w:rPr>
            <w:noProof/>
            <w:webHidden/>
          </w:rPr>
          <w:t>424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41" w:history="1">
        <w:r w:rsidRPr="00CD0B56">
          <w:rPr>
            <w:rStyle w:val="Hyperlink"/>
            <w:noProof/>
          </w:rPr>
          <w:t>2.1.973</w:t>
        </w:r>
        <w:r>
          <w:rPr>
            <w:rFonts w:asciiTheme="minorHAnsi" w:eastAsiaTheme="minorEastAsia" w:hAnsiTheme="minorHAnsi" w:cstheme="minorBidi"/>
            <w:noProof/>
            <w:sz w:val="22"/>
            <w:szCs w:val="22"/>
          </w:rPr>
          <w:tab/>
        </w:r>
        <w:r w:rsidRPr="00CD0B56">
          <w:rPr>
            <w:rStyle w:val="Hyperlink"/>
            <w:noProof/>
          </w:rPr>
          <w:t>Part 1 Section 18.17.7.167, INDIRECT</w:t>
        </w:r>
        <w:r>
          <w:rPr>
            <w:noProof/>
            <w:webHidden/>
          </w:rPr>
          <w:tab/>
        </w:r>
        <w:r>
          <w:rPr>
            <w:noProof/>
            <w:webHidden/>
          </w:rPr>
          <w:fldChar w:fldCharType="begin"/>
        </w:r>
        <w:r>
          <w:rPr>
            <w:noProof/>
            <w:webHidden/>
          </w:rPr>
          <w:instrText xml:space="preserve"> PAGEREF _Toc12261041 \h </w:instrText>
        </w:r>
        <w:r>
          <w:rPr>
            <w:noProof/>
            <w:webHidden/>
          </w:rPr>
        </w:r>
        <w:r>
          <w:rPr>
            <w:noProof/>
            <w:webHidden/>
          </w:rPr>
          <w:fldChar w:fldCharType="separate"/>
        </w:r>
        <w:r>
          <w:rPr>
            <w:noProof/>
            <w:webHidden/>
          </w:rPr>
          <w:t>424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42" w:history="1">
        <w:r w:rsidRPr="00CD0B56">
          <w:rPr>
            <w:rStyle w:val="Hyperlink"/>
            <w:noProof/>
          </w:rPr>
          <w:t>2.1.974</w:t>
        </w:r>
        <w:r>
          <w:rPr>
            <w:rFonts w:asciiTheme="minorHAnsi" w:eastAsiaTheme="minorEastAsia" w:hAnsiTheme="minorHAnsi" w:cstheme="minorBidi"/>
            <w:noProof/>
            <w:sz w:val="22"/>
            <w:szCs w:val="22"/>
          </w:rPr>
          <w:tab/>
        </w:r>
        <w:r w:rsidRPr="00CD0B56">
          <w:rPr>
            <w:rStyle w:val="Hyperlink"/>
            <w:noProof/>
          </w:rPr>
          <w:t>Part 1 Section 18.17.7.168, INFO</w:t>
        </w:r>
        <w:r>
          <w:rPr>
            <w:noProof/>
            <w:webHidden/>
          </w:rPr>
          <w:tab/>
        </w:r>
        <w:r>
          <w:rPr>
            <w:noProof/>
            <w:webHidden/>
          </w:rPr>
          <w:fldChar w:fldCharType="begin"/>
        </w:r>
        <w:r>
          <w:rPr>
            <w:noProof/>
            <w:webHidden/>
          </w:rPr>
          <w:instrText xml:space="preserve"> PAGEREF _Toc12261042 \h </w:instrText>
        </w:r>
        <w:r>
          <w:rPr>
            <w:noProof/>
            <w:webHidden/>
          </w:rPr>
        </w:r>
        <w:r>
          <w:rPr>
            <w:noProof/>
            <w:webHidden/>
          </w:rPr>
          <w:fldChar w:fldCharType="separate"/>
        </w:r>
        <w:r>
          <w:rPr>
            <w:noProof/>
            <w:webHidden/>
          </w:rPr>
          <w:t>425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43" w:history="1">
        <w:r w:rsidRPr="00CD0B56">
          <w:rPr>
            <w:rStyle w:val="Hyperlink"/>
            <w:noProof/>
          </w:rPr>
          <w:t>2.1.975</w:t>
        </w:r>
        <w:r>
          <w:rPr>
            <w:rFonts w:asciiTheme="minorHAnsi" w:eastAsiaTheme="minorEastAsia" w:hAnsiTheme="minorHAnsi" w:cstheme="minorBidi"/>
            <w:noProof/>
            <w:sz w:val="22"/>
            <w:szCs w:val="22"/>
          </w:rPr>
          <w:tab/>
        </w:r>
        <w:r w:rsidRPr="00CD0B56">
          <w:rPr>
            <w:rStyle w:val="Hyperlink"/>
            <w:noProof/>
          </w:rPr>
          <w:t>Part 1 Section 18.17.7.170, INTERCEPT</w:t>
        </w:r>
        <w:r>
          <w:rPr>
            <w:noProof/>
            <w:webHidden/>
          </w:rPr>
          <w:tab/>
        </w:r>
        <w:r>
          <w:rPr>
            <w:noProof/>
            <w:webHidden/>
          </w:rPr>
          <w:fldChar w:fldCharType="begin"/>
        </w:r>
        <w:r>
          <w:rPr>
            <w:noProof/>
            <w:webHidden/>
          </w:rPr>
          <w:instrText xml:space="preserve"> PAGEREF _Toc12261043 \h </w:instrText>
        </w:r>
        <w:r>
          <w:rPr>
            <w:noProof/>
            <w:webHidden/>
          </w:rPr>
        </w:r>
        <w:r>
          <w:rPr>
            <w:noProof/>
            <w:webHidden/>
          </w:rPr>
          <w:fldChar w:fldCharType="separate"/>
        </w:r>
        <w:r>
          <w:rPr>
            <w:noProof/>
            <w:webHidden/>
          </w:rPr>
          <w:t>425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44" w:history="1">
        <w:r w:rsidRPr="00CD0B56">
          <w:rPr>
            <w:rStyle w:val="Hyperlink"/>
            <w:noProof/>
          </w:rPr>
          <w:t>2.1.976</w:t>
        </w:r>
        <w:r>
          <w:rPr>
            <w:rFonts w:asciiTheme="minorHAnsi" w:eastAsiaTheme="minorEastAsia" w:hAnsiTheme="minorHAnsi" w:cstheme="minorBidi"/>
            <w:noProof/>
            <w:sz w:val="22"/>
            <w:szCs w:val="22"/>
          </w:rPr>
          <w:tab/>
        </w:r>
        <w:r w:rsidRPr="00CD0B56">
          <w:rPr>
            <w:rStyle w:val="Hyperlink"/>
            <w:noProof/>
          </w:rPr>
          <w:t>Part 1 Section 18.17.7.171, INTRATE</w:t>
        </w:r>
        <w:r>
          <w:rPr>
            <w:noProof/>
            <w:webHidden/>
          </w:rPr>
          <w:tab/>
        </w:r>
        <w:r>
          <w:rPr>
            <w:noProof/>
            <w:webHidden/>
          </w:rPr>
          <w:fldChar w:fldCharType="begin"/>
        </w:r>
        <w:r>
          <w:rPr>
            <w:noProof/>
            <w:webHidden/>
          </w:rPr>
          <w:instrText xml:space="preserve"> PAGEREF _Toc12261044 \h </w:instrText>
        </w:r>
        <w:r>
          <w:rPr>
            <w:noProof/>
            <w:webHidden/>
          </w:rPr>
        </w:r>
        <w:r>
          <w:rPr>
            <w:noProof/>
            <w:webHidden/>
          </w:rPr>
          <w:fldChar w:fldCharType="separate"/>
        </w:r>
        <w:r>
          <w:rPr>
            <w:noProof/>
            <w:webHidden/>
          </w:rPr>
          <w:t>425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45" w:history="1">
        <w:r w:rsidRPr="00CD0B56">
          <w:rPr>
            <w:rStyle w:val="Hyperlink"/>
            <w:noProof/>
          </w:rPr>
          <w:t>2.1.977</w:t>
        </w:r>
        <w:r>
          <w:rPr>
            <w:rFonts w:asciiTheme="minorHAnsi" w:eastAsiaTheme="minorEastAsia" w:hAnsiTheme="minorHAnsi" w:cstheme="minorBidi"/>
            <w:noProof/>
            <w:sz w:val="22"/>
            <w:szCs w:val="22"/>
          </w:rPr>
          <w:tab/>
        </w:r>
        <w:r w:rsidRPr="00CD0B56">
          <w:rPr>
            <w:rStyle w:val="Hyperlink"/>
            <w:noProof/>
          </w:rPr>
          <w:t>Part 1 Section 18.17.7.172, IPMT</w:t>
        </w:r>
        <w:r>
          <w:rPr>
            <w:noProof/>
            <w:webHidden/>
          </w:rPr>
          <w:tab/>
        </w:r>
        <w:r>
          <w:rPr>
            <w:noProof/>
            <w:webHidden/>
          </w:rPr>
          <w:fldChar w:fldCharType="begin"/>
        </w:r>
        <w:r>
          <w:rPr>
            <w:noProof/>
            <w:webHidden/>
          </w:rPr>
          <w:instrText xml:space="preserve"> PAGEREF _Toc12261045 \h </w:instrText>
        </w:r>
        <w:r>
          <w:rPr>
            <w:noProof/>
            <w:webHidden/>
          </w:rPr>
        </w:r>
        <w:r>
          <w:rPr>
            <w:noProof/>
            <w:webHidden/>
          </w:rPr>
          <w:fldChar w:fldCharType="separate"/>
        </w:r>
        <w:r>
          <w:rPr>
            <w:noProof/>
            <w:webHidden/>
          </w:rPr>
          <w:t>426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46" w:history="1">
        <w:r w:rsidRPr="00CD0B56">
          <w:rPr>
            <w:rStyle w:val="Hyperlink"/>
            <w:noProof/>
          </w:rPr>
          <w:t>2.1.978</w:t>
        </w:r>
        <w:r>
          <w:rPr>
            <w:rFonts w:asciiTheme="minorHAnsi" w:eastAsiaTheme="minorEastAsia" w:hAnsiTheme="minorHAnsi" w:cstheme="minorBidi"/>
            <w:noProof/>
            <w:sz w:val="22"/>
            <w:szCs w:val="22"/>
          </w:rPr>
          <w:tab/>
        </w:r>
        <w:r w:rsidRPr="00CD0B56">
          <w:rPr>
            <w:rStyle w:val="Hyperlink"/>
            <w:noProof/>
          </w:rPr>
          <w:t>Part 1 Section 18.17.7.173, IRR</w:t>
        </w:r>
        <w:r>
          <w:rPr>
            <w:noProof/>
            <w:webHidden/>
          </w:rPr>
          <w:tab/>
        </w:r>
        <w:r>
          <w:rPr>
            <w:noProof/>
            <w:webHidden/>
          </w:rPr>
          <w:fldChar w:fldCharType="begin"/>
        </w:r>
        <w:r>
          <w:rPr>
            <w:noProof/>
            <w:webHidden/>
          </w:rPr>
          <w:instrText xml:space="preserve"> PAGEREF _Toc12261046 \h </w:instrText>
        </w:r>
        <w:r>
          <w:rPr>
            <w:noProof/>
            <w:webHidden/>
          </w:rPr>
        </w:r>
        <w:r>
          <w:rPr>
            <w:noProof/>
            <w:webHidden/>
          </w:rPr>
          <w:fldChar w:fldCharType="separate"/>
        </w:r>
        <w:r>
          <w:rPr>
            <w:noProof/>
            <w:webHidden/>
          </w:rPr>
          <w:t>427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47" w:history="1">
        <w:r w:rsidRPr="00CD0B56">
          <w:rPr>
            <w:rStyle w:val="Hyperlink"/>
            <w:noProof/>
          </w:rPr>
          <w:t>2.1.979</w:t>
        </w:r>
        <w:r>
          <w:rPr>
            <w:rFonts w:asciiTheme="minorHAnsi" w:eastAsiaTheme="minorEastAsia" w:hAnsiTheme="minorHAnsi" w:cstheme="minorBidi"/>
            <w:noProof/>
            <w:sz w:val="22"/>
            <w:szCs w:val="22"/>
          </w:rPr>
          <w:tab/>
        </w:r>
        <w:r w:rsidRPr="00CD0B56">
          <w:rPr>
            <w:rStyle w:val="Hyperlink"/>
            <w:noProof/>
          </w:rPr>
          <w:t>Part 1 Section 18.17.7.184, ISPMT</w:t>
        </w:r>
        <w:r>
          <w:rPr>
            <w:noProof/>
            <w:webHidden/>
          </w:rPr>
          <w:tab/>
        </w:r>
        <w:r>
          <w:rPr>
            <w:noProof/>
            <w:webHidden/>
          </w:rPr>
          <w:fldChar w:fldCharType="begin"/>
        </w:r>
        <w:r>
          <w:rPr>
            <w:noProof/>
            <w:webHidden/>
          </w:rPr>
          <w:instrText xml:space="preserve"> PAGEREF _Toc12261047 \h </w:instrText>
        </w:r>
        <w:r>
          <w:rPr>
            <w:noProof/>
            <w:webHidden/>
          </w:rPr>
        </w:r>
        <w:r>
          <w:rPr>
            <w:noProof/>
            <w:webHidden/>
          </w:rPr>
          <w:fldChar w:fldCharType="separate"/>
        </w:r>
        <w:r>
          <w:rPr>
            <w:noProof/>
            <w:webHidden/>
          </w:rPr>
          <w:t>427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48" w:history="1">
        <w:r w:rsidRPr="00CD0B56">
          <w:rPr>
            <w:rStyle w:val="Hyperlink"/>
            <w:noProof/>
          </w:rPr>
          <w:t>2.1.980</w:t>
        </w:r>
        <w:r>
          <w:rPr>
            <w:rFonts w:asciiTheme="minorHAnsi" w:eastAsiaTheme="minorEastAsia" w:hAnsiTheme="minorHAnsi" w:cstheme="minorBidi"/>
            <w:noProof/>
            <w:sz w:val="22"/>
            <w:szCs w:val="22"/>
          </w:rPr>
          <w:tab/>
        </w:r>
        <w:r w:rsidRPr="00CD0B56">
          <w:rPr>
            <w:rStyle w:val="Hyperlink"/>
            <w:noProof/>
          </w:rPr>
          <w:t>Part 1 Section 18.17.7.191, LEFT</w:t>
        </w:r>
        <w:r>
          <w:rPr>
            <w:noProof/>
            <w:webHidden/>
          </w:rPr>
          <w:tab/>
        </w:r>
        <w:r>
          <w:rPr>
            <w:noProof/>
            <w:webHidden/>
          </w:rPr>
          <w:fldChar w:fldCharType="begin"/>
        </w:r>
        <w:r>
          <w:rPr>
            <w:noProof/>
            <w:webHidden/>
          </w:rPr>
          <w:instrText xml:space="preserve"> PAGEREF _Toc12261048 \h </w:instrText>
        </w:r>
        <w:r>
          <w:rPr>
            <w:noProof/>
            <w:webHidden/>
          </w:rPr>
        </w:r>
        <w:r>
          <w:rPr>
            <w:noProof/>
            <w:webHidden/>
          </w:rPr>
          <w:fldChar w:fldCharType="separate"/>
        </w:r>
        <w:r>
          <w:rPr>
            <w:noProof/>
            <w:webHidden/>
          </w:rPr>
          <w:t>427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49" w:history="1">
        <w:r w:rsidRPr="00CD0B56">
          <w:rPr>
            <w:rStyle w:val="Hyperlink"/>
            <w:noProof/>
          </w:rPr>
          <w:t>2.1.981</w:t>
        </w:r>
        <w:r>
          <w:rPr>
            <w:rFonts w:asciiTheme="minorHAnsi" w:eastAsiaTheme="minorEastAsia" w:hAnsiTheme="minorHAnsi" w:cstheme="minorBidi"/>
            <w:noProof/>
            <w:sz w:val="22"/>
            <w:szCs w:val="22"/>
          </w:rPr>
          <w:tab/>
        </w:r>
        <w:r w:rsidRPr="00CD0B56">
          <w:rPr>
            <w:rStyle w:val="Hyperlink"/>
            <w:noProof/>
          </w:rPr>
          <w:t>Part 1 Section 18.17.7.192, LEFTB</w:t>
        </w:r>
        <w:r>
          <w:rPr>
            <w:noProof/>
            <w:webHidden/>
          </w:rPr>
          <w:tab/>
        </w:r>
        <w:r>
          <w:rPr>
            <w:noProof/>
            <w:webHidden/>
          </w:rPr>
          <w:fldChar w:fldCharType="begin"/>
        </w:r>
        <w:r>
          <w:rPr>
            <w:noProof/>
            <w:webHidden/>
          </w:rPr>
          <w:instrText xml:space="preserve"> PAGEREF _Toc12261049 \h </w:instrText>
        </w:r>
        <w:r>
          <w:rPr>
            <w:noProof/>
            <w:webHidden/>
          </w:rPr>
        </w:r>
        <w:r>
          <w:rPr>
            <w:noProof/>
            <w:webHidden/>
          </w:rPr>
          <w:fldChar w:fldCharType="separate"/>
        </w:r>
        <w:r>
          <w:rPr>
            <w:noProof/>
            <w:webHidden/>
          </w:rPr>
          <w:t>427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50" w:history="1">
        <w:r w:rsidRPr="00CD0B56">
          <w:rPr>
            <w:rStyle w:val="Hyperlink"/>
            <w:noProof/>
          </w:rPr>
          <w:t>2.1.982</w:t>
        </w:r>
        <w:r>
          <w:rPr>
            <w:rFonts w:asciiTheme="minorHAnsi" w:eastAsiaTheme="minorEastAsia" w:hAnsiTheme="minorHAnsi" w:cstheme="minorBidi"/>
            <w:noProof/>
            <w:sz w:val="22"/>
            <w:szCs w:val="22"/>
          </w:rPr>
          <w:tab/>
        </w:r>
        <w:r w:rsidRPr="00CD0B56">
          <w:rPr>
            <w:rStyle w:val="Hyperlink"/>
            <w:noProof/>
          </w:rPr>
          <w:t>Part 1 Section 18.17.7.193, LEN</w:t>
        </w:r>
        <w:r>
          <w:rPr>
            <w:noProof/>
            <w:webHidden/>
          </w:rPr>
          <w:tab/>
        </w:r>
        <w:r>
          <w:rPr>
            <w:noProof/>
            <w:webHidden/>
          </w:rPr>
          <w:fldChar w:fldCharType="begin"/>
        </w:r>
        <w:r>
          <w:rPr>
            <w:noProof/>
            <w:webHidden/>
          </w:rPr>
          <w:instrText xml:space="preserve"> PAGEREF _Toc12261050 \h </w:instrText>
        </w:r>
        <w:r>
          <w:rPr>
            <w:noProof/>
            <w:webHidden/>
          </w:rPr>
        </w:r>
        <w:r>
          <w:rPr>
            <w:noProof/>
            <w:webHidden/>
          </w:rPr>
          <w:fldChar w:fldCharType="separate"/>
        </w:r>
        <w:r>
          <w:rPr>
            <w:noProof/>
            <w:webHidden/>
          </w:rPr>
          <w:t>427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51" w:history="1">
        <w:r w:rsidRPr="00CD0B56">
          <w:rPr>
            <w:rStyle w:val="Hyperlink"/>
            <w:noProof/>
          </w:rPr>
          <w:t>2.1.983</w:t>
        </w:r>
        <w:r>
          <w:rPr>
            <w:rFonts w:asciiTheme="minorHAnsi" w:eastAsiaTheme="minorEastAsia" w:hAnsiTheme="minorHAnsi" w:cstheme="minorBidi"/>
            <w:noProof/>
            <w:sz w:val="22"/>
            <w:szCs w:val="22"/>
          </w:rPr>
          <w:tab/>
        </w:r>
        <w:r w:rsidRPr="00CD0B56">
          <w:rPr>
            <w:rStyle w:val="Hyperlink"/>
            <w:noProof/>
          </w:rPr>
          <w:t>Part 1 Section 18.17.7.194, LENB</w:t>
        </w:r>
        <w:r>
          <w:rPr>
            <w:noProof/>
            <w:webHidden/>
          </w:rPr>
          <w:tab/>
        </w:r>
        <w:r>
          <w:rPr>
            <w:noProof/>
            <w:webHidden/>
          </w:rPr>
          <w:fldChar w:fldCharType="begin"/>
        </w:r>
        <w:r>
          <w:rPr>
            <w:noProof/>
            <w:webHidden/>
          </w:rPr>
          <w:instrText xml:space="preserve"> PAGEREF _Toc12261051 \h </w:instrText>
        </w:r>
        <w:r>
          <w:rPr>
            <w:noProof/>
            <w:webHidden/>
          </w:rPr>
        </w:r>
        <w:r>
          <w:rPr>
            <w:noProof/>
            <w:webHidden/>
          </w:rPr>
          <w:fldChar w:fldCharType="separate"/>
        </w:r>
        <w:r>
          <w:rPr>
            <w:noProof/>
            <w:webHidden/>
          </w:rPr>
          <w:t>428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52" w:history="1">
        <w:r w:rsidRPr="00CD0B56">
          <w:rPr>
            <w:rStyle w:val="Hyperlink"/>
            <w:noProof/>
          </w:rPr>
          <w:t>2.1.984</w:t>
        </w:r>
        <w:r>
          <w:rPr>
            <w:rFonts w:asciiTheme="minorHAnsi" w:eastAsiaTheme="minorEastAsia" w:hAnsiTheme="minorHAnsi" w:cstheme="minorBidi"/>
            <w:noProof/>
            <w:sz w:val="22"/>
            <w:szCs w:val="22"/>
          </w:rPr>
          <w:tab/>
        </w:r>
        <w:r w:rsidRPr="00CD0B56">
          <w:rPr>
            <w:rStyle w:val="Hyperlink"/>
            <w:noProof/>
          </w:rPr>
          <w:t>Part 1 Section 18.17.7.195, LINEST</w:t>
        </w:r>
        <w:r>
          <w:rPr>
            <w:noProof/>
            <w:webHidden/>
          </w:rPr>
          <w:tab/>
        </w:r>
        <w:r>
          <w:rPr>
            <w:noProof/>
            <w:webHidden/>
          </w:rPr>
          <w:fldChar w:fldCharType="begin"/>
        </w:r>
        <w:r>
          <w:rPr>
            <w:noProof/>
            <w:webHidden/>
          </w:rPr>
          <w:instrText xml:space="preserve"> PAGEREF _Toc12261052 \h </w:instrText>
        </w:r>
        <w:r>
          <w:rPr>
            <w:noProof/>
            <w:webHidden/>
          </w:rPr>
        </w:r>
        <w:r>
          <w:rPr>
            <w:noProof/>
            <w:webHidden/>
          </w:rPr>
          <w:fldChar w:fldCharType="separate"/>
        </w:r>
        <w:r>
          <w:rPr>
            <w:noProof/>
            <w:webHidden/>
          </w:rPr>
          <w:t>428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53" w:history="1">
        <w:r w:rsidRPr="00CD0B56">
          <w:rPr>
            <w:rStyle w:val="Hyperlink"/>
            <w:noProof/>
          </w:rPr>
          <w:t>2.1.985</w:t>
        </w:r>
        <w:r>
          <w:rPr>
            <w:rFonts w:asciiTheme="minorHAnsi" w:eastAsiaTheme="minorEastAsia" w:hAnsiTheme="minorHAnsi" w:cstheme="minorBidi"/>
            <w:noProof/>
            <w:sz w:val="22"/>
            <w:szCs w:val="22"/>
          </w:rPr>
          <w:tab/>
        </w:r>
        <w:r w:rsidRPr="00CD0B56">
          <w:rPr>
            <w:rStyle w:val="Hyperlink"/>
            <w:noProof/>
          </w:rPr>
          <w:t>Part 1 Section 18.17.7.197, LOG</w:t>
        </w:r>
        <w:r>
          <w:rPr>
            <w:noProof/>
            <w:webHidden/>
          </w:rPr>
          <w:tab/>
        </w:r>
        <w:r>
          <w:rPr>
            <w:noProof/>
            <w:webHidden/>
          </w:rPr>
          <w:fldChar w:fldCharType="begin"/>
        </w:r>
        <w:r>
          <w:rPr>
            <w:noProof/>
            <w:webHidden/>
          </w:rPr>
          <w:instrText xml:space="preserve"> PAGEREF _Toc12261053 \h </w:instrText>
        </w:r>
        <w:r>
          <w:rPr>
            <w:noProof/>
            <w:webHidden/>
          </w:rPr>
        </w:r>
        <w:r>
          <w:rPr>
            <w:noProof/>
            <w:webHidden/>
          </w:rPr>
          <w:fldChar w:fldCharType="separate"/>
        </w:r>
        <w:r>
          <w:rPr>
            <w:noProof/>
            <w:webHidden/>
          </w:rPr>
          <w:t>428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54" w:history="1">
        <w:r w:rsidRPr="00CD0B56">
          <w:rPr>
            <w:rStyle w:val="Hyperlink"/>
            <w:noProof/>
          </w:rPr>
          <w:t>2.1.986</w:t>
        </w:r>
        <w:r>
          <w:rPr>
            <w:rFonts w:asciiTheme="minorHAnsi" w:eastAsiaTheme="minorEastAsia" w:hAnsiTheme="minorHAnsi" w:cstheme="minorBidi"/>
            <w:noProof/>
            <w:sz w:val="22"/>
            <w:szCs w:val="22"/>
          </w:rPr>
          <w:tab/>
        </w:r>
        <w:r w:rsidRPr="00CD0B56">
          <w:rPr>
            <w:rStyle w:val="Hyperlink"/>
            <w:noProof/>
          </w:rPr>
          <w:t>Part 1 Section 18.17.7.199, LOGEST</w:t>
        </w:r>
        <w:r>
          <w:rPr>
            <w:noProof/>
            <w:webHidden/>
          </w:rPr>
          <w:tab/>
        </w:r>
        <w:r>
          <w:rPr>
            <w:noProof/>
            <w:webHidden/>
          </w:rPr>
          <w:fldChar w:fldCharType="begin"/>
        </w:r>
        <w:r>
          <w:rPr>
            <w:noProof/>
            <w:webHidden/>
          </w:rPr>
          <w:instrText xml:space="preserve"> PAGEREF _Toc12261054 \h </w:instrText>
        </w:r>
        <w:r>
          <w:rPr>
            <w:noProof/>
            <w:webHidden/>
          </w:rPr>
        </w:r>
        <w:r>
          <w:rPr>
            <w:noProof/>
            <w:webHidden/>
          </w:rPr>
          <w:fldChar w:fldCharType="separate"/>
        </w:r>
        <w:r>
          <w:rPr>
            <w:noProof/>
            <w:webHidden/>
          </w:rPr>
          <w:t>429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55" w:history="1">
        <w:r w:rsidRPr="00CD0B56">
          <w:rPr>
            <w:rStyle w:val="Hyperlink"/>
            <w:noProof/>
          </w:rPr>
          <w:t>2.1.987</w:t>
        </w:r>
        <w:r>
          <w:rPr>
            <w:rFonts w:asciiTheme="minorHAnsi" w:eastAsiaTheme="minorEastAsia" w:hAnsiTheme="minorHAnsi" w:cstheme="minorBidi"/>
            <w:noProof/>
            <w:sz w:val="22"/>
            <w:szCs w:val="22"/>
          </w:rPr>
          <w:tab/>
        </w:r>
        <w:r w:rsidRPr="00CD0B56">
          <w:rPr>
            <w:rStyle w:val="Hyperlink"/>
            <w:noProof/>
          </w:rPr>
          <w:t>Part 1 Section 18.17.7.200, LOGINV</w:t>
        </w:r>
        <w:r>
          <w:rPr>
            <w:noProof/>
            <w:webHidden/>
          </w:rPr>
          <w:tab/>
        </w:r>
        <w:r>
          <w:rPr>
            <w:noProof/>
            <w:webHidden/>
          </w:rPr>
          <w:fldChar w:fldCharType="begin"/>
        </w:r>
        <w:r>
          <w:rPr>
            <w:noProof/>
            <w:webHidden/>
          </w:rPr>
          <w:instrText xml:space="preserve"> PAGEREF _Toc12261055 \h </w:instrText>
        </w:r>
        <w:r>
          <w:rPr>
            <w:noProof/>
            <w:webHidden/>
          </w:rPr>
        </w:r>
        <w:r>
          <w:rPr>
            <w:noProof/>
            <w:webHidden/>
          </w:rPr>
          <w:fldChar w:fldCharType="separate"/>
        </w:r>
        <w:r>
          <w:rPr>
            <w:noProof/>
            <w:webHidden/>
          </w:rPr>
          <w:t>429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56" w:history="1">
        <w:r w:rsidRPr="00CD0B56">
          <w:rPr>
            <w:rStyle w:val="Hyperlink"/>
            <w:noProof/>
          </w:rPr>
          <w:t>2.1.988</w:t>
        </w:r>
        <w:r>
          <w:rPr>
            <w:rFonts w:asciiTheme="minorHAnsi" w:eastAsiaTheme="minorEastAsia" w:hAnsiTheme="minorHAnsi" w:cstheme="minorBidi"/>
            <w:noProof/>
            <w:sz w:val="22"/>
            <w:szCs w:val="22"/>
          </w:rPr>
          <w:tab/>
        </w:r>
        <w:r w:rsidRPr="00CD0B56">
          <w:rPr>
            <w:rStyle w:val="Hyperlink"/>
            <w:noProof/>
          </w:rPr>
          <w:t>Part 1 Section 18.17.7.201, LOGNORMDIST</w:t>
        </w:r>
        <w:r>
          <w:rPr>
            <w:noProof/>
            <w:webHidden/>
          </w:rPr>
          <w:tab/>
        </w:r>
        <w:r>
          <w:rPr>
            <w:noProof/>
            <w:webHidden/>
          </w:rPr>
          <w:fldChar w:fldCharType="begin"/>
        </w:r>
        <w:r>
          <w:rPr>
            <w:noProof/>
            <w:webHidden/>
          </w:rPr>
          <w:instrText xml:space="preserve"> PAGEREF _Toc12261056 \h </w:instrText>
        </w:r>
        <w:r>
          <w:rPr>
            <w:noProof/>
            <w:webHidden/>
          </w:rPr>
        </w:r>
        <w:r>
          <w:rPr>
            <w:noProof/>
            <w:webHidden/>
          </w:rPr>
          <w:fldChar w:fldCharType="separate"/>
        </w:r>
        <w:r>
          <w:rPr>
            <w:noProof/>
            <w:webHidden/>
          </w:rPr>
          <w:t>429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57" w:history="1">
        <w:r w:rsidRPr="00CD0B56">
          <w:rPr>
            <w:rStyle w:val="Hyperlink"/>
            <w:noProof/>
          </w:rPr>
          <w:t>2.1.989</w:t>
        </w:r>
        <w:r>
          <w:rPr>
            <w:rFonts w:asciiTheme="minorHAnsi" w:eastAsiaTheme="minorEastAsia" w:hAnsiTheme="minorHAnsi" w:cstheme="minorBidi"/>
            <w:noProof/>
            <w:sz w:val="22"/>
            <w:szCs w:val="22"/>
          </w:rPr>
          <w:tab/>
        </w:r>
        <w:r w:rsidRPr="00CD0B56">
          <w:rPr>
            <w:rStyle w:val="Hyperlink"/>
            <w:noProof/>
          </w:rPr>
          <w:t>Part 1 Section 18.17.7.204, MATCH</w:t>
        </w:r>
        <w:r>
          <w:rPr>
            <w:noProof/>
            <w:webHidden/>
          </w:rPr>
          <w:tab/>
        </w:r>
        <w:r>
          <w:rPr>
            <w:noProof/>
            <w:webHidden/>
          </w:rPr>
          <w:fldChar w:fldCharType="begin"/>
        </w:r>
        <w:r>
          <w:rPr>
            <w:noProof/>
            <w:webHidden/>
          </w:rPr>
          <w:instrText xml:space="preserve"> PAGEREF _Toc12261057 \h </w:instrText>
        </w:r>
        <w:r>
          <w:rPr>
            <w:noProof/>
            <w:webHidden/>
          </w:rPr>
        </w:r>
        <w:r>
          <w:rPr>
            <w:noProof/>
            <w:webHidden/>
          </w:rPr>
          <w:fldChar w:fldCharType="separate"/>
        </w:r>
        <w:r>
          <w:rPr>
            <w:noProof/>
            <w:webHidden/>
          </w:rPr>
          <w:t>429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58" w:history="1">
        <w:r w:rsidRPr="00CD0B56">
          <w:rPr>
            <w:rStyle w:val="Hyperlink"/>
            <w:noProof/>
          </w:rPr>
          <w:t>2.1.990</w:t>
        </w:r>
        <w:r>
          <w:rPr>
            <w:rFonts w:asciiTheme="minorHAnsi" w:eastAsiaTheme="minorEastAsia" w:hAnsiTheme="minorHAnsi" w:cstheme="minorBidi"/>
            <w:noProof/>
            <w:sz w:val="22"/>
            <w:szCs w:val="22"/>
          </w:rPr>
          <w:tab/>
        </w:r>
        <w:r w:rsidRPr="00CD0B56">
          <w:rPr>
            <w:rStyle w:val="Hyperlink"/>
            <w:noProof/>
          </w:rPr>
          <w:t>Part 1 Section 18.17.7.208, MDURATION</w:t>
        </w:r>
        <w:r>
          <w:rPr>
            <w:noProof/>
            <w:webHidden/>
          </w:rPr>
          <w:tab/>
        </w:r>
        <w:r>
          <w:rPr>
            <w:noProof/>
            <w:webHidden/>
          </w:rPr>
          <w:fldChar w:fldCharType="begin"/>
        </w:r>
        <w:r>
          <w:rPr>
            <w:noProof/>
            <w:webHidden/>
          </w:rPr>
          <w:instrText xml:space="preserve"> PAGEREF _Toc12261058 \h </w:instrText>
        </w:r>
        <w:r>
          <w:rPr>
            <w:noProof/>
            <w:webHidden/>
          </w:rPr>
        </w:r>
        <w:r>
          <w:rPr>
            <w:noProof/>
            <w:webHidden/>
          </w:rPr>
          <w:fldChar w:fldCharType="separate"/>
        </w:r>
        <w:r>
          <w:rPr>
            <w:noProof/>
            <w:webHidden/>
          </w:rPr>
          <w:t>429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59" w:history="1">
        <w:r w:rsidRPr="00CD0B56">
          <w:rPr>
            <w:rStyle w:val="Hyperlink"/>
            <w:noProof/>
          </w:rPr>
          <w:t>2.1.991</w:t>
        </w:r>
        <w:r>
          <w:rPr>
            <w:rFonts w:asciiTheme="minorHAnsi" w:eastAsiaTheme="minorEastAsia" w:hAnsiTheme="minorHAnsi" w:cstheme="minorBidi"/>
            <w:noProof/>
            <w:sz w:val="22"/>
            <w:szCs w:val="22"/>
          </w:rPr>
          <w:tab/>
        </w:r>
        <w:r w:rsidRPr="00CD0B56">
          <w:rPr>
            <w:rStyle w:val="Hyperlink"/>
            <w:noProof/>
          </w:rPr>
          <w:t>Part 1 Section 18.17.7.210, MID</w:t>
        </w:r>
        <w:r>
          <w:rPr>
            <w:noProof/>
            <w:webHidden/>
          </w:rPr>
          <w:tab/>
        </w:r>
        <w:r>
          <w:rPr>
            <w:noProof/>
            <w:webHidden/>
          </w:rPr>
          <w:fldChar w:fldCharType="begin"/>
        </w:r>
        <w:r>
          <w:rPr>
            <w:noProof/>
            <w:webHidden/>
          </w:rPr>
          <w:instrText xml:space="preserve"> PAGEREF _Toc12261059 \h </w:instrText>
        </w:r>
        <w:r>
          <w:rPr>
            <w:noProof/>
            <w:webHidden/>
          </w:rPr>
        </w:r>
        <w:r>
          <w:rPr>
            <w:noProof/>
            <w:webHidden/>
          </w:rPr>
          <w:fldChar w:fldCharType="separate"/>
        </w:r>
        <w:r>
          <w:rPr>
            <w:noProof/>
            <w:webHidden/>
          </w:rPr>
          <w:t>430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60" w:history="1">
        <w:r w:rsidRPr="00CD0B56">
          <w:rPr>
            <w:rStyle w:val="Hyperlink"/>
            <w:noProof/>
          </w:rPr>
          <w:t>2.1.992</w:t>
        </w:r>
        <w:r>
          <w:rPr>
            <w:rFonts w:asciiTheme="minorHAnsi" w:eastAsiaTheme="minorEastAsia" w:hAnsiTheme="minorHAnsi" w:cstheme="minorBidi"/>
            <w:noProof/>
            <w:sz w:val="22"/>
            <w:szCs w:val="22"/>
          </w:rPr>
          <w:tab/>
        </w:r>
        <w:r w:rsidRPr="00CD0B56">
          <w:rPr>
            <w:rStyle w:val="Hyperlink"/>
            <w:noProof/>
          </w:rPr>
          <w:t>Part 1 Section 18.17.7.211, MIDB</w:t>
        </w:r>
        <w:r>
          <w:rPr>
            <w:noProof/>
            <w:webHidden/>
          </w:rPr>
          <w:tab/>
        </w:r>
        <w:r>
          <w:rPr>
            <w:noProof/>
            <w:webHidden/>
          </w:rPr>
          <w:fldChar w:fldCharType="begin"/>
        </w:r>
        <w:r>
          <w:rPr>
            <w:noProof/>
            <w:webHidden/>
          </w:rPr>
          <w:instrText xml:space="preserve"> PAGEREF _Toc12261060 \h </w:instrText>
        </w:r>
        <w:r>
          <w:rPr>
            <w:noProof/>
            <w:webHidden/>
          </w:rPr>
        </w:r>
        <w:r>
          <w:rPr>
            <w:noProof/>
            <w:webHidden/>
          </w:rPr>
          <w:fldChar w:fldCharType="separate"/>
        </w:r>
        <w:r>
          <w:rPr>
            <w:noProof/>
            <w:webHidden/>
          </w:rPr>
          <w:t>431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61" w:history="1">
        <w:r w:rsidRPr="00CD0B56">
          <w:rPr>
            <w:rStyle w:val="Hyperlink"/>
            <w:noProof/>
          </w:rPr>
          <w:t>2.1.993</w:t>
        </w:r>
        <w:r>
          <w:rPr>
            <w:rFonts w:asciiTheme="minorHAnsi" w:eastAsiaTheme="minorEastAsia" w:hAnsiTheme="minorHAnsi" w:cstheme="minorBidi"/>
            <w:noProof/>
            <w:sz w:val="22"/>
            <w:szCs w:val="22"/>
          </w:rPr>
          <w:tab/>
        </w:r>
        <w:r w:rsidRPr="00CD0B56">
          <w:rPr>
            <w:rStyle w:val="Hyperlink"/>
            <w:noProof/>
          </w:rPr>
          <w:t>Part 1 Section 18.17.7.212, MIN</w:t>
        </w:r>
        <w:r>
          <w:rPr>
            <w:noProof/>
            <w:webHidden/>
          </w:rPr>
          <w:tab/>
        </w:r>
        <w:r>
          <w:rPr>
            <w:noProof/>
            <w:webHidden/>
          </w:rPr>
          <w:fldChar w:fldCharType="begin"/>
        </w:r>
        <w:r>
          <w:rPr>
            <w:noProof/>
            <w:webHidden/>
          </w:rPr>
          <w:instrText xml:space="preserve"> PAGEREF _Toc12261061 \h </w:instrText>
        </w:r>
        <w:r>
          <w:rPr>
            <w:noProof/>
            <w:webHidden/>
          </w:rPr>
        </w:r>
        <w:r>
          <w:rPr>
            <w:noProof/>
            <w:webHidden/>
          </w:rPr>
          <w:fldChar w:fldCharType="separate"/>
        </w:r>
        <w:r>
          <w:rPr>
            <w:noProof/>
            <w:webHidden/>
          </w:rPr>
          <w:t>431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62" w:history="1">
        <w:r w:rsidRPr="00CD0B56">
          <w:rPr>
            <w:rStyle w:val="Hyperlink"/>
            <w:noProof/>
          </w:rPr>
          <w:t>2.1.994</w:t>
        </w:r>
        <w:r>
          <w:rPr>
            <w:rFonts w:asciiTheme="minorHAnsi" w:eastAsiaTheme="minorEastAsia" w:hAnsiTheme="minorHAnsi" w:cstheme="minorBidi"/>
            <w:noProof/>
            <w:sz w:val="22"/>
            <w:szCs w:val="22"/>
          </w:rPr>
          <w:tab/>
        </w:r>
        <w:r w:rsidRPr="00CD0B56">
          <w:rPr>
            <w:rStyle w:val="Hyperlink"/>
            <w:noProof/>
          </w:rPr>
          <w:t>Part 1 Section 18.17.7.213, MINA</w:t>
        </w:r>
        <w:r>
          <w:rPr>
            <w:noProof/>
            <w:webHidden/>
          </w:rPr>
          <w:tab/>
        </w:r>
        <w:r>
          <w:rPr>
            <w:noProof/>
            <w:webHidden/>
          </w:rPr>
          <w:fldChar w:fldCharType="begin"/>
        </w:r>
        <w:r>
          <w:rPr>
            <w:noProof/>
            <w:webHidden/>
          </w:rPr>
          <w:instrText xml:space="preserve"> PAGEREF _Toc12261062 \h </w:instrText>
        </w:r>
        <w:r>
          <w:rPr>
            <w:noProof/>
            <w:webHidden/>
          </w:rPr>
        </w:r>
        <w:r>
          <w:rPr>
            <w:noProof/>
            <w:webHidden/>
          </w:rPr>
          <w:fldChar w:fldCharType="separate"/>
        </w:r>
        <w:r>
          <w:rPr>
            <w:noProof/>
            <w:webHidden/>
          </w:rPr>
          <w:t>431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63" w:history="1">
        <w:r w:rsidRPr="00CD0B56">
          <w:rPr>
            <w:rStyle w:val="Hyperlink"/>
            <w:noProof/>
          </w:rPr>
          <w:t>2.1.995</w:t>
        </w:r>
        <w:r>
          <w:rPr>
            <w:rFonts w:asciiTheme="minorHAnsi" w:eastAsiaTheme="minorEastAsia" w:hAnsiTheme="minorHAnsi" w:cstheme="minorBidi"/>
            <w:noProof/>
            <w:sz w:val="22"/>
            <w:szCs w:val="22"/>
          </w:rPr>
          <w:tab/>
        </w:r>
        <w:r w:rsidRPr="00CD0B56">
          <w:rPr>
            <w:rStyle w:val="Hyperlink"/>
            <w:noProof/>
          </w:rPr>
          <w:t>Part 1 Section 18.17.7.215, MINVERSE</w:t>
        </w:r>
        <w:r>
          <w:rPr>
            <w:noProof/>
            <w:webHidden/>
          </w:rPr>
          <w:tab/>
        </w:r>
        <w:r>
          <w:rPr>
            <w:noProof/>
            <w:webHidden/>
          </w:rPr>
          <w:fldChar w:fldCharType="begin"/>
        </w:r>
        <w:r>
          <w:rPr>
            <w:noProof/>
            <w:webHidden/>
          </w:rPr>
          <w:instrText xml:space="preserve"> PAGEREF _Toc12261063 \h </w:instrText>
        </w:r>
        <w:r>
          <w:rPr>
            <w:noProof/>
            <w:webHidden/>
          </w:rPr>
        </w:r>
        <w:r>
          <w:rPr>
            <w:noProof/>
            <w:webHidden/>
          </w:rPr>
          <w:fldChar w:fldCharType="separate"/>
        </w:r>
        <w:r>
          <w:rPr>
            <w:noProof/>
            <w:webHidden/>
          </w:rPr>
          <w:t>432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64" w:history="1">
        <w:r w:rsidRPr="00CD0B56">
          <w:rPr>
            <w:rStyle w:val="Hyperlink"/>
            <w:noProof/>
          </w:rPr>
          <w:t>2.1.996</w:t>
        </w:r>
        <w:r>
          <w:rPr>
            <w:rFonts w:asciiTheme="minorHAnsi" w:eastAsiaTheme="minorEastAsia" w:hAnsiTheme="minorHAnsi" w:cstheme="minorBidi"/>
            <w:noProof/>
            <w:sz w:val="22"/>
            <w:szCs w:val="22"/>
          </w:rPr>
          <w:tab/>
        </w:r>
        <w:r w:rsidRPr="00CD0B56">
          <w:rPr>
            <w:rStyle w:val="Hyperlink"/>
            <w:noProof/>
          </w:rPr>
          <w:t>Part 1 Section 18.17.7.222, MULTINOMIAL</w:t>
        </w:r>
        <w:r>
          <w:rPr>
            <w:noProof/>
            <w:webHidden/>
          </w:rPr>
          <w:tab/>
        </w:r>
        <w:r>
          <w:rPr>
            <w:noProof/>
            <w:webHidden/>
          </w:rPr>
          <w:fldChar w:fldCharType="begin"/>
        </w:r>
        <w:r>
          <w:rPr>
            <w:noProof/>
            <w:webHidden/>
          </w:rPr>
          <w:instrText xml:space="preserve"> PAGEREF _Toc12261064 \h </w:instrText>
        </w:r>
        <w:r>
          <w:rPr>
            <w:noProof/>
            <w:webHidden/>
          </w:rPr>
        </w:r>
        <w:r>
          <w:rPr>
            <w:noProof/>
            <w:webHidden/>
          </w:rPr>
          <w:fldChar w:fldCharType="separate"/>
        </w:r>
        <w:r>
          <w:rPr>
            <w:noProof/>
            <w:webHidden/>
          </w:rPr>
          <w:t>432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65" w:history="1">
        <w:r w:rsidRPr="00CD0B56">
          <w:rPr>
            <w:rStyle w:val="Hyperlink"/>
            <w:noProof/>
          </w:rPr>
          <w:t>2.1.997</w:t>
        </w:r>
        <w:r>
          <w:rPr>
            <w:rFonts w:asciiTheme="minorHAnsi" w:eastAsiaTheme="minorEastAsia" w:hAnsiTheme="minorHAnsi" w:cstheme="minorBidi"/>
            <w:noProof/>
            <w:sz w:val="22"/>
            <w:szCs w:val="22"/>
          </w:rPr>
          <w:tab/>
        </w:r>
        <w:r w:rsidRPr="00CD0B56">
          <w:rPr>
            <w:rStyle w:val="Hyperlink"/>
            <w:noProof/>
          </w:rPr>
          <w:t>Part 1 Section 18.17.7.223, N</w:t>
        </w:r>
        <w:r>
          <w:rPr>
            <w:noProof/>
            <w:webHidden/>
          </w:rPr>
          <w:tab/>
        </w:r>
        <w:r>
          <w:rPr>
            <w:noProof/>
            <w:webHidden/>
          </w:rPr>
          <w:fldChar w:fldCharType="begin"/>
        </w:r>
        <w:r>
          <w:rPr>
            <w:noProof/>
            <w:webHidden/>
          </w:rPr>
          <w:instrText xml:space="preserve"> PAGEREF _Toc12261065 \h </w:instrText>
        </w:r>
        <w:r>
          <w:rPr>
            <w:noProof/>
            <w:webHidden/>
          </w:rPr>
        </w:r>
        <w:r>
          <w:rPr>
            <w:noProof/>
            <w:webHidden/>
          </w:rPr>
          <w:fldChar w:fldCharType="separate"/>
        </w:r>
        <w:r>
          <w:rPr>
            <w:noProof/>
            <w:webHidden/>
          </w:rPr>
          <w:t>432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66" w:history="1">
        <w:r w:rsidRPr="00CD0B56">
          <w:rPr>
            <w:rStyle w:val="Hyperlink"/>
            <w:noProof/>
          </w:rPr>
          <w:t>2.1.998</w:t>
        </w:r>
        <w:r>
          <w:rPr>
            <w:rFonts w:asciiTheme="minorHAnsi" w:eastAsiaTheme="minorEastAsia" w:hAnsiTheme="minorHAnsi" w:cstheme="minorBidi"/>
            <w:noProof/>
            <w:sz w:val="22"/>
            <w:szCs w:val="22"/>
          </w:rPr>
          <w:tab/>
        </w:r>
        <w:r w:rsidRPr="00CD0B56">
          <w:rPr>
            <w:rStyle w:val="Hyperlink"/>
            <w:noProof/>
          </w:rPr>
          <w:t>Part 1 Section 18.17.7.225, NEGBINOMDIST</w:t>
        </w:r>
        <w:r>
          <w:rPr>
            <w:noProof/>
            <w:webHidden/>
          </w:rPr>
          <w:tab/>
        </w:r>
        <w:r>
          <w:rPr>
            <w:noProof/>
            <w:webHidden/>
          </w:rPr>
          <w:fldChar w:fldCharType="begin"/>
        </w:r>
        <w:r>
          <w:rPr>
            <w:noProof/>
            <w:webHidden/>
          </w:rPr>
          <w:instrText xml:space="preserve"> PAGEREF _Toc12261066 \h </w:instrText>
        </w:r>
        <w:r>
          <w:rPr>
            <w:noProof/>
            <w:webHidden/>
          </w:rPr>
        </w:r>
        <w:r>
          <w:rPr>
            <w:noProof/>
            <w:webHidden/>
          </w:rPr>
          <w:fldChar w:fldCharType="separate"/>
        </w:r>
        <w:r>
          <w:rPr>
            <w:noProof/>
            <w:webHidden/>
          </w:rPr>
          <w:t>432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67" w:history="1">
        <w:r w:rsidRPr="00CD0B56">
          <w:rPr>
            <w:rStyle w:val="Hyperlink"/>
            <w:noProof/>
          </w:rPr>
          <w:t>2.1.999</w:t>
        </w:r>
        <w:r>
          <w:rPr>
            <w:rFonts w:asciiTheme="minorHAnsi" w:eastAsiaTheme="minorEastAsia" w:hAnsiTheme="minorHAnsi" w:cstheme="minorBidi"/>
            <w:noProof/>
            <w:sz w:val="22"/>
            <w:szCs w:val="22"/>
          </w:rPr>
          <w:tab/>
        </w:r>
        <w:r w:rsidRPr="00CD0B56">
          <w:rPr>
            <w:rStyle w:val="Hyperlink"/>
            <w:noProof/>
          </w:rPr>
          <w:t>Part 1 Section 18.17.7.226, NETWORKDAYS</w:t>
        </w:r>
        <w:r>
          <w:rPr>
            <w:noProof/>
            <w:webHidden/>
          </w:rPr>
          <w:tab/>
        </w:r>
        <w:r>
          <w:rPr>
            <w:noProof/>
            <w:webHidden/>
          </w:rPr>
          <w:fldChar w:fldCharType="begin"/>
        </w:r>
        <w:r>
          <w:rPr>
            <w:noProof/>
            <w:webHidden/>
          </w:rPr>
          <w:instrText xml:space="preserve"> PAGEREF _Toc12261067 \h </w:instrText>
        </w:r>
        <w:r>
          <w:rPr>
            <w:noProof/>
            <w:webHidden/>
          </w:rPr>
        </w:r>
        <w:r>
          <w:rPr>
            <w:noProof/>
            <w:webHidden/>
          </w:rPr>
          <w:fldChar w:fldCharType="separate"/>
        </w:r>
        <w:r>
          <w:rPr>
            <w:noProof/>
            <w:webHidden/>
          </w:rPr>
          <w:t>432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68" w:history="1">
        <w:r w:rsidRPr="00CD0B56">
          <w:rPr>
            <w:rStyle w:val="Hyperlink"/>
            <w:noProof/>
          </w:rPr>
          <w:t>2.1.1000</w:t>
        </w:r>
        <w:r>
          <w:rPr>
            <w:rFonts w:asciiTheme="minorHAnsi" w:eastAsiaTheme="minorEastAsia" w:hAnsiTheme="minorHAnsi" w:cstheme="minorBidi"/>
            <w:noProof/>
            <w:sz w:val="22"/>
            <w:szCs w:val="22"/>
          </w:rPr>
          <w:tab/>
        </w:r>
        <w:r w:rsidRPr="00CD0B56">
          <w:rPr>
            <w:rStyle w:val="Hyperlink"/>
            <w:noProof/>
          </w:rPr>
          <w:t>Part 1 Section 18.17.7.230, NORMINV</w:t>
        </w:r>
        <w:r>
          <w:rPr>
            <w:noProof/>
            <w:webHidden/>
          </w:rPr>
          <w:tab/>
        </w:r>
        <w:r>
          <w:rPr>
            <w:noProof/>
            <w:webHidden/>
          </w:rPr>
          <w:fldChar w:fldCharType="begin"/>
        </w:r>
        <w:r>
          <w:rPr>
            <w:noProof/>
            <w:webHidden/>
          </w:rPr>
          <w:instrText xml:space="preserve"> PAGEREF _Toc12261068 \h </w:instrText>
        </w:r>
        <w:r>
          <w:rPr>
            <w:noProof/>
            <w:webHidden/>
          </w:rPr>
        </w:r>
        <w:r>
          <w:rPr>
            <w:noProof/>
            <w:webHidden/>
          </w:rPr>
          <w:fldChar w:fldCharType="separate"/>
        </w:r>
        <w:r>
          <w:rPr>
            <w:noProof/>
            <w:webHidden/>
          </w:rPr>
          <w:t>432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69" w:history="1">
        <w:r w:rsidRPr="00CD0B56">
          <w:rPr>
            <w:rStyle w:val="Hyperlink"/>
            <w:noProof/>
          </w:rPr>
          <w:t>2.1.1001</w:t>
        </w:r>
        <w:r>
          <w:rPr>
            <w:rFonts w:asciiTheme="minorHAnsi" w:eastAsiaTheme="minorEastAsia" w:hAnsiTheme="minorHAnsi" w:cstheme="minorBidi"/>
            <w:noProof/>
            <w:sz w:val="22"/>
            <w:szCs w:val="22"/>
          </w:rPr>
          <w:tab/>
        </w:r>
        <w:r w:rsidRPr="00CD0B56">
          <w:rPr>
            <w:rStyle w:val="Hyperlink"/>
            <w:noProof/>
          </w:rPr>
          <w:t>Part 1 Section 18.17.7.231, NORMSDIST</w:t>
        </w:r>
        <w:r>
          <w:rPr>
            <w:noProof/>
            <w:webHidden/>
          </w:rPr>
          <w:tab/>
        </w:r>
        <w:r>
          <w:rPr>
            <w:noProof/>
            <w:webHidden/>
          </w:rPr>
          <w:fldChar w:fldCharType="begin"/>
        </w:r>
        <w:r>
          <w:rPr>
            <w:noProof/>
            <w:webHidden/>
          </w:rPr>
          <w:instrText xml:space="preserve"> PAGEREF _Toc12261069 \h </w:instrText>
        </w:r>
        <w:r>
          <w:rPr>
            <w:noProof/>
            <w:webHidden/>
          </w:rPr>
        </w:r>
        <w:r>
          <w:rPr>
            <w:noProof/>
            <w:webHidden/>
          </w:rPr>
          <w:fldChar w:fldCharType="separate"/>
        </w:r>
        <w:r>
          <w:rPr>
            <w:noProof/>
            <w:webHidden/>
          </w:rPr>
          <w:t>433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70" w:history="1">
        <w:r w:rsidRPr="00CD0B56">
          <w:rPr>
            <w:rStyle w:val="Hyperlink"/>
            <w:noProof/>
          </w:rPr>
          <w:t>2.1.1002</w:t>
        </w:r>
        <w:r>
          <w:rPr>
            <w:rFonts w:asciiTheme="minorHAnsi" w:eastAsiaTheme="minorEastAsia" w:hAnsiTheme="minorHAnsi" w:cstheme="minorBidi"/>
            <w:noProof/>
            <w:sz w:val="22"/>
            <w:szCs w:val="22"/>
          </w:rPr>
          <w:tab/>
        </w:r>
        <w:r w:rsidRPr="00CD0B56">
          <w:rPr>
            <w:rStyle w:val="Hyperlink"/>
            <w:noProof/>
          </w:rPr>
          <w:t>Part 1 Section 18.17.7.232, NORMSINV</w:t>
        </w:r>
        <w:r>
          <w:rPr>
            <w:noProof/>
            <w:webHidden/>
          </w:rPr>
          <w:tab/>
        </w:r>
        <w:r>
          <w:rPr>
            <w:noProof/>
            <w:webHidden/>
          </w:rPr>
          <w:fldChar w:fldCharType="begin"/>
        </w:r>
        <w:r>
          <w:rPr>
            <w:noProof/>
            <w:webHidden/>
          </w:rPr>
          <w:instrText xml:space="preserve"> PAGEREF _Toc12261070 \h </w:instrText>
        </w:r>
        <w:r>
          <w:rPr>
            <w:noProof/>
            <w:webHidden/>
          </w:rPr>
        </w:r>
        <w:r>
          <w:rPr>
            <w:noProof/>
            <w:webHidden/>
          </w:rPr>
          <w:fldChar w:fldCharType="separate"/>
        </w:r>
        <w:r>
          <w:rPr>
            <w:noProof/>
            <w:webHidden/>
          </w:rPr>
          <w:t>433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71" w:history="1">
        <w:r w:rsidRPr="00CD0B56">
          <w:rPr>
            <w:rStyle w:val="Hyperlink"/>
            <w:noProof/>
          </w:rPr>
          <w:t>2.1.1003</w:t>
        </w:r>
        <w:r>
          <w:rPr>
            <w:rFonts w:asciiTheme="minorHAnsi" w:eastAsiaTheme="minorEastAsia" w:hAnsiTheme="minorHAnsi" w:cstheme="minorBidi"/>
            <w:noProof/>
            <w:sz w:val="22"/>
            <w:szCs w:val="22"/>
          </w:rPr>
          <w:tab/>
        </w:r>
        <w:r w:rsidRPr="00CD0B56">
          <w:rPr>
            <w:rStyle w:val="Hyperlink"/>
            <w:noProof/>
          </w:rPr>
          <w:t>Part 1 Section 18.17.7.235, NPER</w:t>
        </w:r>
        <w:r>
          <w:rPr>
            <w:noProof/>
            <w:webHidden/>
          </w:rPr>
          <w:tab/>
        </w:r>
        <w:r>
          <w:rPr>
            <w:noProof/>
            <w:webHidden/>
          </w:rPr>
          <w:fldChar w:fldCharType="begin"/>
        </w:r>
        <w:r>
          <w:rPr>
            <w:noProof/>
            <w:webHidden/>
          </w:rPr>
          <w:instrText xml:space="preserve"> PAGEREF _Toc12261071 \h </w:instrText>
        </w:r>
        <w:r>
          <w:rPr>
            <w:noProof/>
            <w:webHidden/>
          </w:rPr>
        </w:r>
        <w:r>
          <w:rPr>
            <w:noProof/>
            <w:webHidden/>
          </w:rPr>
          <w:fldChar w:fldCharType="separate"/>
        </w:r>
        <w:r>
          <w:rPr>
            <w:noProof/>
            <w:webHidden/>
          </w:rPr>
          <w:t>433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72" w:history="1">
        <w:r w:rsidRPr="00CD0B56">
          <w:rPr>
            <w:rStyle w:val="Hyperlink"/>
            <w:noProof/>
          </w:rPr>
          <w:t>2.1.1004</w:t>
        </w:r>
        <w:r>
          <w:rPr>
            <w:rFonts w:asciiTheme="minorHAnsi" w:eastAsiaTheme="minorEastAsia" w:hAnsiTheme="minorHAnsi" w:cstheme="minorBidi"/>
            <w:noProof/>
            <w:sz w:val="22"/>
            <w:szCs w:val="22"/>
          </w:rPr>
          <w:tab/>
        </w:r>
        <w:r w:rsidRPr="00CD0B56">
          <w:rPr>
            <w:rStyle w:val="Hyperlink"/>
            <w:noProof/>
          </w:rPr>
          <w:t>Part 1 Section 18.17.7.236, NPV</w:t>
        </w:r>
        <w:r>
          <w:rPr>
            <w:noProof/>
            <w:webHidden/>
          </w:rPr>
          <w:tab/>
        </w:r>
        <w:r>
          <w:rPr>
            <w:noProof/>
            <w:webHidden/>
          </w:rPr>
          <w:fldChar w:fldCharType="begin"/>
        </w:r>
        <w:r>
          <w:rPr>
            <w:noProof/>
            <w:webHidden/>
          </w:rPr>
          <w:instrText xml:space="preserve"> PAGEREF _Toc12261072 \h </w:instrText>
        </w:r>
        <w:r>
          <w:rPr>
            <w:noProof/>
            <w:webHidden/>
          </w:rPr>
        </w:r>
        <w:r>
          <w:rPr>
            <w:noProof/>
            <w:webHidden/>
          </w:rPr>
          <w:fldChar w:fldCharType="separate"/>
        </w:r>
        <w:r>
          <w:rPr>
            <w:noProof/>
            <w:webHidden/>
          </w:rPr>
          <w:t>433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73" w:history="1">
        <w:r w:rsidRPr="00CD0B56">
          <w:rPr>
            <w:rStyle w:val="Hyperlink"/>
            <w:noProof/>
          </w:rPr>
          <w:t>2.1.1005</w:t>
        </w:r>
        <w:r>
          <w:rPr>
            <w:rFonts w:asciiTheme="minorHAnsi" w:eastAsiaTheme="minorEastAsia" w:hAnsiTheme="minorHAnsi" w:cstheme="minorBidi"/>
            <w:noProof/>
            <w:sz w:val="22"/>
            <w:szCs w:val="22"/>
          </w:rPr>
          <w:tab/>
        </w:r>
        <w:r w:rsidRPr="00CD0B56">
          <w:rPr>
            <w:rStyle w:val="Hyperlink"/>
            <w:noProof/>
          </w:rPr>
          <w:t>Part 1 Section 18.17.7.237, OCT2BIN</w:t>
        </w:r>
        <w:r>
          <w:rPr>
            <w:noProof/>
            <w:webHidden/>
          </w:rPr>
          <w:tab/>
        </w:r>
        <w:r>
          <w:rPr>
            <w:noProof/>
            <w:webHidden/>
          </w:rPr>
          <w:fldChar w:fldCharType="begin"/>
        </w:r>
        <w:r>
          <w:rPr>
            <w:noProof/>
            <w:webHidden/>
          </w:rPr>
          <w:instrText xml:space="preserve"> PAGEREF _Toc12261073 \h </w:instrText>
        </w:r>
        <w:r>
          <w:rPr>
            <w:noProof/>
            <w:webHidden/>
          </w:rPr>
        </w:r>
        <w:r>
          <w:rPr>
            <w:noProof/>
            <w:webHidden/>
          </w:rPr>
          <w:fldChar w:fldCharType="separate"/>
        </w:r>
        <w:r>
          <w:rPr>
            <w:noProof/>
            <w:webHidden/>
          </w:rPr>
          <w:t>434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74" w:history="1">
        <w:r w:rsidRPr="00CD0B56">
          <w:rPr>
            <w:rStyle w:val="Hyperlink"/>
            <w:noProof/>
          </w:rPr>
          <w:t>2.1.1006</w:t>
        </w:r>
        <w:r>
          <w:rPr>
            <w:rFonts w:asciiTheme="minorHAnsi" w:eastAsiaTheme="minorEastAsia" w:hAnsiTheme="minorHAnsi" w:cstheme="minorBidi"/>
            <w:noProof/>
            <w:sz w:val="22"/>
            <w:szCs w:val="22"/>
          </w:rPr>
          <w:tab/>
        </w:r>
        <w:r w:rsidRPr="00CD0B56">
          <w:rPr>
            <w:rStyle w:val="Hyperlink"/>
            <w:noProof/>
          </w:rPr>
          <w:t>Part 1 Section 18.17.7.238, OCT2DEC</w:t>
        </w:r>
        <w:r>
          <w:rPr>
            <w:noProof/>
            <w:webHidden/>
          </w:rPr>
          <w:tab/>
        </w:r>
        <w:r>
          <w:rPr>
            <w:noProof/>
            <w:webHidden/>
          </w:rPr>
          <w:fldChar w:fldCharType="begin"/>
        </w:r>
        <w:r>
          <w:rPr>
            <w:noProof/>
            <w:webHidden/>
          </w:rPr>
          <w:instrText xml:space="preserve"> PAGEREF _Toc12261074 \h </w:instrText>
        </w:r>
        <w:r>
          <w:rPr>
            <w:noProof/>
            <w:webHidden/>
          </w:rPr>
        </w:r>
        <w:r>
          <w:rPr>
            <w:noProof/>
            <w:webHidden/>
          </w:rPr>
          <w:fldChar w:fldCharType="separate"/>
        </w:r>
        <w:r>
          <w:rPr>
            <w:noProof/>
            <w:webHidden/>
          </w:rPr>
          <w:t>434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75" w:history="1">
        <w:r w:rsidRPr="00CD0B56">
          <w:rPr>
            <w:rStyle w:val="Hyperlink"/>
            <w:noProof/>
          </w:rPr>
          <w:t>2.1.1007</w:t>
        </w:r>
        <w:r>
          <w:rPr>
            <w:rFonts w:asciiTheme="minorHAnsi" w:eastAsiaTheme="minorEastAsia" w:hAnsiTheme="minorHAnsi" w:cstheme="minorBidi"/>
            <w:noProof/>
            <w:sz w:val="22"/>
            <w:szCs w:val="22"/>
          </w:rPr>
          <w:tab/>
        </w:r>
        <w:r w:rsidRPr="00CD0B56">
          <w:rPr>
            <w:rStyle w:val="Hyperlink"/>
            <w:noProof/>
          </w:rPr>
          <w:t>Part 1 Section 18.17.7.241, ODDFPRICE</w:t>
        </w:r>
        <w:r>
          <w:rPr>
            <w:noProof/>
            <w:webHidden/>
          </w:rPr>
          <w:tab/>
        </w:r>
        <w:r>
          <w:rPr>
            <w:noProof/>
            <w:webHidden/>
          </w:rPr>
          <w:fldChar w:fldCharType="begin"/>
        </w:r>
        <w:r>
          <w:rPr>
            <w:noProof/>
            <w:webHidden/>
          </w:rPr>
          <w:instrText xml:space="preserve"> PAGEREF _Toc12261075 \h </w:instrText>
        </w:r>
        <w:r>
          <w:rPr>
            <w:noProof/>
            <w:webHidden/>
          </w:rPr>
        </w:r>
        <w:r>
          <w:rPr>
            <w:noProof/>
            <w:webHidden/>
          </w:rPr>
          <w:fldChar w:fldCharType="separate"/>
        </w:r>
        <w:r>
          <w:rPr>
            <w:noProof/>
            <w:webHidden/>
          </w:rPr>
          <w:t>434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76" w:history="1">
        <w:r w:rsidRPr="00CD0B56">
          <w:rPr>
            <w:rStyle w:val="Hyperlink"/>
            <w:noProof/>
          </w:rPr>
          <w:t>2.1.1008</w:t>
        </w:r>
        <w:r>
          <w:rPr>
            <w:rFonts w:asciiTheme="minorHAnsi" w:eastAsiaTheme="minorEastAsia" w:hAnsiTheme="minorHAnsi" w:cstheme="minorBidi"/>
            <w:noProof/>
            <w:sz w:val="22"/>
            <w:szCs w:val="22"/>
          </w:rPr>
          <w:tab/>
        </w:r>
        <w:r w:rsidRPr="00CD0B56">
          <w:rPr>
            <w:rStyle w:val="Hyperlink"/>
            <w:noProof/>
          </w:rPr>
          <w:t>Part 1 Section 18.17.7.242, ODDFYIELD</w:t>
        </w:r>
        <w:r>
          <w:rPr>
            <w:noProof/>
            <w:webHidden/>
          </w:rPr>
          <w:tab/>
        </w:r>
        <w:r>
          <w:rPr>
            <w:noProof/>
            <w:webHidden/>
          </w:rPr>
          <w:fldChar w:fldCharType="begin"/>
        </w:r>
        <w:r>
          <w:rPr>
            <w:noProof/>
            <w:webHidden/>
          </w:rPr>
          <w:instrText xml:space="preserve"> PAGEREF _Toc12261076 \h </w:instrText>
        </w:r>
        <w:r>
          <w:rPr>
            <w:noProof/>
            <w:webHidden/>
          </w:rPr>
        </w:r>
        <w:r>
          <w:rPr>
            <w:noProof/>
            <w:webHidden/>
          </w:rPr>
          <w:fldChar w:fldCharType="separate"/>
        </w:r>
        <w:r>
          <w:rPr>
            <w:noProof/>
            <w:webHidden/>
          </w:rPr>
          <w:t>435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77" w:history="1">
        <w:r w:rsidRPr="00CD0B56">
          <w:rPr>
            <w:rStyle w:val="Hyperlink"/>
            <w:noProof/>
          </w:rPr>
          <w:t>2.1.1009</w:t>
        </w:r>
        <w:r>
          <w:rPr>
            <w:rFonts w:asciiTheme="minorHAnsi" w:eastAsiaTheme="minorEastAsia" w:hAnsiTheme="minorHAnsi" w:cstheme="minorBidi"/>
            <w:noProof/>
            <w:sz w:val="22"/>
            <w:szCs w:val="22"/>
          </w:rPr>
          <w:tab/>
        </w:r>
        <w:r w:rsidRPr="00CD0B56">
          <w:rPr>
            <w:rStyle w:val="Hyperlink"/>
            <w:noProof/>
          </w:rPr>
          <w:t>Part 1 Section 18.17.7.243, ODDLPRICE</w:t>
        </w:r>
        <w:r>
          <w:rPr>
            <w:noProof/>
            <w:webHidden/>
          </w:rPr>
          <w:tab/>
        </w:r>
        <w:r>
          <w:rPr>
            <w:noProof/>
            <w:webHidden/>
          </w:rPr>
          <w:fldChar w:fldCharType="begin"/>
        </w:r>
        <w:r>
          <w:rPr>
            <w:noProof/>
            <w:webHidden/>
          </w:rPr>
          <w:instrText xml:space="preserve"> PAGEREF _Toc12261077 \h </w:instrText>
        </w:r>
        <w:r>
          <w:rPr>
            <w:noProof/>
            <w:webHidden/>
          </w:rPr>
        </w:r>
        <w:r>
          <w:rPr>
            <w:noProof/>
            <w:webHidden/>
          </w:rPr>
          <w:fldChar w:fldCharType="separate"/>
        </w:r>
        <w:r>
          <w:rPr>
            <w:noProof/>
            <w:webHidden/>
          </w:rPr>
          <w:t>436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78" w:history="1">
        <w:r w:rsidRPr="00CD0B56">
          <w:rPr>
            <w:rStyle w:val="Hyperlink"/>
            <w:noProof/>
          </w:rPr>
          <w:t>2.1.1010</w:t>
        </w:r>
        <w:r>
          <w:rPr>
            <w:rFonts w:asciiTheme="minorHAnsi" w:eastAsiaTheme="minorEastAsia" w:hAnsiTheme="minorHAnsi" w:cstheme="minorBidi"/>
            <w:noProof/>
            <w:sz w:val="22"/>
            <w:szCs w:val="22"/>
          </w:rPr>
          <w:tab/>
        </w:r>
        <w:r w:rsidRPr="00CD0B56">
          <w:rPr>
            <w:rStyle w:val="Hyperlink"/>
            <w:noProof/>
          </w:rPr>
          <w:t>Part 1 Section 18.17.7.244, ODDLYIELD</w:t>
        </w:r>
        <w:r>
          <w:rPr>
            <w:noProof/>
            <w:webHidden/>
          </w:rPr>
          <w:tab/>
        </w:r>
        <w:r>
          <w:rPr>
            <w:noProof/>
            <w:webHidden/>
          </w:rPr>
          <w:fldChar w:fldCharType="begin"/>
        </w:r>
        <w:r>
          <w:rPr>
            <w:noProof/>
            <w:webHidden/>
          </w:rPr>
          <w:instrText xml:space="preserve"> PAGEREF _Toc12261078 \h </w:instrText>
        </w:r>
        <w:r>
          <w:rPr>
            <w:noProof/>
            <w:webHidden/>
          </w:rPr>
        </w:r>
        <w:r>
          <w:rPr>
            <w:noProof/>
            <w:webHidden/>
          </w:rPr>
          <w:fldChar w:fldCharType="separate"/>
        </w:r>
        <w:r>
          <w:rPr>
            <w:noProof/>
            <w:webHidden/>
          </w:rPr>
          <w:t>436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79" w:history="1">
        <w:r w:rsidRPr="00CD0B56">
          <w:rPr>
            <w:rStyle w:val="Hyperlink"/>
            <w:noProof/>
          </w:rPr>
          <w:t>2.1.1011</w:t>
        </w:r>
        <w:r>
          <w:rPr>
            <w:rFonts w:asciiTheme="minorHAnsi" w:eastAsiaTheme="minorEastAsia" w:hAnsiTheme="minorHAnsi" w:cstheme="minorBidi"/>
            <w:noProof/>
            <w:sz w:val="22"/>
            <w:szCs w:val="22"/>
          </w:rPr>
          <w:tab/>
        </w:r>
        <w:r w:rsidRPr="00CD0B56">
          <w:rPr>
            <w:rStyle w:val="Hyperlink"/>
            <w:noProof/>
          </w:rPr>
          <w:t>Part 1 Section 18.17.7.245, OFFSET</w:t>
        </w:r>
        <w:r>
          <w:rPr>
            <w:noProof/>
            <w:webHidden/>
          </w:rPr>
          <w:tab/>
        </w:r>
        <w:r>
          <w:rPr>
            <w:noProof/>
            <w:webHidden/>
          </w:rPr>
          <w:fldChar w:fldCharType="begin"/>
        </w:r>
        <w:r>
          <w:rPr>
            <w:noProof/>
            <w:webHidden/>
          </w:rPr>
          <w:instrText xml:space="preserve"> PAGEREF _Toc12261079 \h </w:instrText>
        </w:r>
        <w:r>
          <w:rPr>
            <w:noProof/>
            <w:webHidden/>
          </w:rPr>
        </w:r>
        <w:r>
          <w:rPr>
            <w:noProof/>
            <w:webHidden/>
          </w:rPr>
          <w:fldChar w:fldCharType="separate"/>
        </w:r>
        <w:r>
          <w:rPr>
            <w:noProof/>
            <w:webHidden/>
          </w:rPr>
          <w:t>437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80" w:history="1">
        <w:r w:rsidRPr="00CD0B56">
          <w:rPr>
            <w:rStyle w:val="Hyperlink"/>
            <w:noProof/>
          </w:rPr>
          <w:t>2.1.1012</w:t>
        </w:r>
        <w:r>
          <w:rPr>
            <w:rFonts w:asciiTheme="minorHAnsi" w:eastAsiaTheme="minorEastAsia" w:hAnsiTheme="minorHAnsi" w:cstheme="minorBidi"/>
            <w:noProof/>
            <w:sz w:val="22"/>
            <w:szCs w:val="22"/>
          </w:rPr>
          <w:tab/>
        </w:r>
        <w:r w:rsidRPr="00CD0B56">
          <w:rPr>
            <w:rStyle w:val="Hyperlink"/>
            <w:noProof/>
          </w:rPr>
          <w:t>Part 1 Section 18.17.7.247, PEARSON</w:t>
        </w:r>
        <w:r>
          <w:rPr>
            <w:noProof/>
            <w:webHidden/>
          </w:rPr>
          <w:tab/>
        </w:r>
        <w:r>
          <w:rPr>
            <w:noProof/>
            <w:webHidden/>
          </w:rPr>
          <w:fldChar w:fldCharType="begin"/>
        </w:r>
        <w:r>
          <w:rPr>
            <w:noProof/>
            <w:webHidden/>
          </w:rPr>
          <w:instrText xml:space="preserve"> PAGEREF _Toc12261080 \h </w:instrText>
        </w:r>
        <w:r>
          <w:rPr>
            <w:noProof/>
            <w:webHidden/>
          </w:rPr>
        </w:r>
        <w:r>
          <w:rPr>
            <w:noProof/>
            <w:webHidden/>
          </w:rPr>
          <w:fldChar w:fldCharType="separate"/>
        </w:r>
        <w:r>
          <w:rPr>
            <w:noProof/>
            <w:webHidden/>
          </w:rPr>
          <w:t>437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81" w:history="1">
        <w:r w:rsidRPr="00CD0B56">
          <w:rPr>
            <w:rStyle w:val="Hyperlink"/>
            <w:noProof/>
          </w:rPr>
          <w:t>2.1.1013</w:t>
        </w:r>
        <w:r>
          <w:rPr>
            <w:rFonts w:asciiTheme="minorHAnsi" w:eastAsiaTheme="minorEastAsia" w:hAnsiTheme="minorHAnsi" w:cstheme="minorBidi"/>
            <w:noProof/>
            <w:sz w:val="22"/>
            <w:szCs w:val="22"/>
          </w:rPr>
          <w:tab/>
        </w:r>
        <w:r w:rsidRPr="00CD0B56">
          <w:rPr>
            <w:rStyle w:val="Hyperlink"/>
            <w:noProof/>
          </w:rPr>
          <w:t>Part 1 Section 18.17.7.248, PERCENTILE</w:t>
        </w:r>
        <w:r>
          <w:rPr>
            <w:noProof/>
            <w:webHidden/>
          </w:rPr>
          <w:tab/>
        </w:r>
        <w:r>
          <w:rPr>
            <w:noProof/>
            <w:webHidden/>
          </w:rPr>
          <w:fldChar w:fldCharType="begin"/>
        </w:r>
        <w:r>
          <w:rPr>
            <w:noProof/>
            <w:webHidden/>
          </w:rPr>
          <w:instrText xml:space="preserve"> PAGEREF _Toc12261081 \h </w:instrText>
        </w:r>
        <w:r>
          <w:rPr>
            <w:noProof/>
            <w:webHidden/>
          </w:rPr>
        </w:r>
        <w:r>
          <w:rPr>
            <w:noProof/>
            <w:webHidden/>
          </w:rPr>
          <w:fldChar w:fldCharType="separate"/>
        </w:r>
        <w:r>
          <w:rPr>
            <w:noProof/>
            <w:webHidden/>
          </w:rPr>
          <w:t>438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82" w:history="1">
        <w:r w:rsidRPr="00CD0B56">
          <w:rPr>
            <w:rStyle w:val="Hyperlink"/>
            <w:noProof/>
          </w:rPr>
          <w:t>2.1.1014</w:t>
        </w:r>
        <w:r>
          <w:rPr>
            <w:rFonts w:asciiTheme="minorHAnsi" w:eastAsiaTheme="minorEastAsia" w:hAnsiTheme="minorHAnsi" w:cstheme="minorBidi"/>
            <w:noProof/>
            <w:sz w:val="22"/>
            <w:szCs w:val="22"/>
          </w:rPr>
          <w:tab/>
        </w:r>
        <w:r w:rsidRPr="00CD0B56">
          <w:rPr>
            <w:rStyle w:val="Hyperlink"/>
            <w:noProof/>
          </w:rPr>
          <w:t>Part 1 Section 18.17.7.249, PERCENTRANK</w:t>
        </w:r>
        <w:r>
          <w:rPr>
            <w:noProof/>
            <w:webHidden/>
          </w:rPr>
          <w:tab/>
        </w:r>
        <w:r>
          <w:rPr>
            <w:noProof/>
            <w:webHidden/>
          </w:rPr>
          <w:fldChar w:fldCharType="begin"/>
        </w:r>
        <w:r>
          <w:rPr>
            <w:noProof/>
            <w:webHidden/>
          </w:rPr>
          <w:instrText xml:space="preserve"> PAGEREF _Toc12261082 \h </w:instrText>
        </w:r>
        <w:r>
          <w:rPr>
            <w:noProof/>
            <w:webHidden/>
          </w:rPr>
        </w:r>
        <w:r>
          <w:rPr>
            <w:noProof/>
            <w:webHidden/>
          </w:rPr>
          <w:fldChar w:fldCharType="separate"/>
        </w:r>
        <w:r>
          <w:rPr>
            <w:noProof/>
            <w:webHidden/>
          </w:rPr>
          <w:t>438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83" w:history="1">
        <w:r w:rsidRPr="00CD0B56">
          <w:rPr>
            <w:rStyle w:val="Hyperlink"/>
            <w:noProof/>
          </w:rPr>
          <w:t>2.1.1015</w:t>
        </w:r>
        <w:r>
          <w:rPr>
            <w:rFonts w:asciiTheme="minorHAnsi" w:eastAsiaTheme="minorEastAsia" w:hAnsiTheme="minorHAnsi" w:cstheme="minorBidi"/>
            <w:noProof/>
            <w:sz w:val="22"/>
            <w:szCs w:val="22"/>
          </w:rPr>
          <w:tab/>
        </w:r>
        <w:r w:rsidRPr="00CD0B56">
          <w:rPr>
            <w:rStyle w:val="Hyperlink"/>
            <w:noProof/>
          </w:rPr>
          <w:t>Part 1 Section 18.17.7.253, PMT</w:t>
        </w:r>
        <w:r>
          <w:rPr>
            <w:noProof/>
            <w:webHidden/>
          </w:rPr>
          <w:tab/>
        </w:r>
        <w:r>
          <w:rPr>
            <w:noProof/>
            <w:webHidden/>
          </w:rPr>
          <w:fldChar w:fldCharType="begin"/>
        </w:r>
        <w:r>
          <w:rPr>
            <w:noProof/>
            <w:webHidden/>
          </w:rPr>
          <w:instrText xml:space="preserve"> PAGEREF _Toc12261083 \h </w:instrText>
        </w:r>
        <w:r>
          <w:rPr>
            <w:noProof/>
            <w:webHidden/>
          </w:rPr>
        </w:r>
        <w:r>
          <w:rPr>
            <w:noProof/>
            <w:webHidden/>
          </w:rPr>
          <w:fldChar w:fldCharType="separate"/>
        </w:r>
        <w:r>
          <w:rPr>
            <w:noProof/>
            <w:webHidden/>
          </w:rPr>
          <w:t>438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84" w:history="1">
        <w:r w:rsidRPr="00CD0B56">
          <w:rPr>
            <w:rStyle w:val="Hyperlink"/>
            <w:noProof/>
          </w:rPr>
          <w:t>2.1.1016</w:t>
        </w:r>
        <w:r>
          <w:rPr>
            <w:rFonts w:asciiTheme="minorHAnsi" w:eastAsiaTheme="minorEastAsia" w:hAnsiTheme="minorHAnsi" w:cstheme="minorBidi"/>
            <w:noProof/>
            <w:sz w:val="22"/>
            <w:szCs w:val="22"/>
          </w:rPr>
          <w:tab/>
        </w:r>
        <w:r w:rsidRPr="00CD0B56">
          <w:rPr>
            <w:rStyle w:val="Hyperlink"/>
            <w:noProof/>
          </w:rPr>
          <w:t>Part 1 Section 18.17.7.254, POISSON</w:t>
        </w:r>
        <w:r>
          <w:rPr>
            <w:noProof/>
            <w:webHidden/>
          </w:rPr>
          <w:tab/>
        </w:r>
        <w:r>
          <w:rPr>
            <w:noProof/>
            <w:webHidden/>
          </w:rPr>
          <w:fldChar w:fldCharType="begin"/>
        </w:r>
        <w:r>
          <w:rPr>
            <w:noProof/>
            <w:webHidden/>
          </w:rPr>
          <w:instrText xml:space="preserve"> PAGEREF _Toc12261084 \h </w:instrText>
        </w:r>
        <w:r>
          <w:rPr>
            <w:noProof/>
            <w:webHidden/>
          </w:rPr>
        </w:r>
        <w:r>
          <w:rPr>
            <w:noProof/>
            <w:webHidden/>
          </w:rPr>
          <w:fldChar w:fldCharType="separate"/>
        </w:r>
        <w:r>
          <w:rPr>
            <w:noProof/>
            <w:webHidden/>
          </w:rPr>
          <w:t>438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85" w:history="1">
        <w:r w:rsidRPr="00CD0B56">
          <w:rPr>
            <w:rStyle w:val="Hyperlink"/>
            <w:noProof/>
          </w:rPr>
          <w:t>2.1.1017</w:t>
        </w:r>
        <w:r>
          <w:rPr>
            <w:rFonts w:asciiTheme="minorHAnsi" w:eastAsiaTheme="minorEastAsia" w:hAnsiTheme="minorHAnsi" w:cstheme="minorBidi"/>
            <w:noProof/>
            <w:sz w:val="22"/>
            <w:szCs w:val="22"/>
          </w:rPr>
          <w:tab/>
        </w:r>
        <w:r w:rsidRPr="00CD0B56">
          <w:rPr>
            <w:rStyle w:val="Hyperlink"/>
            <w:noProof/>
          </w:rPr>
          <w:t>Part 1 Section 18.17.7.255, POWER</w:t>
        </w:r>
        <w:r>
          <w:rPr>
            <w:noProof/>
            <w:webHidden/>
          </w:rPr>
          <w:tab/>
        </w:r>
        <w:r>
          <w:rPr>
            <w:noProof/>
            <w:webHidden/>
          </w:rPr>
          <w:fldChar w:fldCharType="begin"/>
        </w:r>
        <w:r>
          <w:rPr>
            <w:noProof/>
            <w:webHidden/>
          </w:rPr>
          <w:instrText xml:space="preserve"> PAGEREF _Toc12261085 \h </w:instrText>
        </w:r>
        <w:r>
          <w:rPr>
            <w:noProof/>
            <w:webHidden/>
          </w:rPr>
        </w:r>
        <w:r>
          <w:rPr>
            <w:noProof/>
            <w:webHidden/>
          </w:rPr>
          <w:fldChar w:fldCharType="separate"/>
        </w:r>
        <w:r>
          <w:rPr>
            <w:noProof/>
            <w:webHidden/>
          </w:rPr>
          <w:t>438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86" w:history="1">
        <w:r w:rsidRPr="00CD0B56">
          <w:rPr>
            <w:rStyle w:val="Hyperlink"/>
            <w:noProof/>
          </w:rPr>
          <w:t>2.1.1018</w:t>
        </w:r>
        <w:r>
          <w:rPr>
            <w:rFonts w:asciiTheme="minorHAnsi" w:eastAsiaTheme="minorEastAsia" w:hAnsiTheme="minorHAnsi" w:cstheme="minorBidi"/>
            <w:noProof/>
            <w:sz w:val="22"/>
            <w:szCs w:val="22"/>
          </w:rPr>
          <w:tab/>
        </w:r>
        <w:r w:rsidRPr="00CD0B56">
          <w:rPr>
            <w:rStyle w:val="Hyperlink"/>
            <w:noProof/>
          </w:rPr>
          <w:t>Part 1 Section 18.17.7.256, PPMT</w:t>
        </w:r>
        <w:r>
          <w:rPr>
            <w:noProof/>
            <w:webHidden/>
          </w:rPr>
          <w:tab/>
        </w:r>
        <w:r>
          <w:rPr>
            <w:noProof/>
            <w:webHidden/>
          </w:rPr>
          <w:fldChar w:fldCharType="begin"/>
        </w:r>
        <w:r>
          <w:rPr>
            <w:noProof/>
            <w:webHidden/>
          </w:rPr>
          <w:instrText xml:space="preserve"> PAGEREF _Toc12261086 \h </w:instrText>
        </w:r>
        <w:r>
          <w:rPr>
            <w:noProof/>
            <w:webHidden/>
          </w:rPr>
        </w:r>
        <w:r>
          <w:rPr>
            <w:noProof/>
            <w:webHidden/>
          </w:rPr>
          <w:fldChar w:fldCharType="separate"/>
        </w:r>
        <w:r>
          <w:rPr>
            <w:noProof/>
            <w:webHidden/>
          </w:rPr>
          <w:t>438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87" w:history="1">
        <w:r w:rsidRPr="00CD0B56">
          <w:rPr>
            <w:rStyle w:val="Hyperlink"/>
            <w:noProof/>
          </w:rPr>
          <w:t>2.1.1019</w:t>
        </w:r>
        <w:r>
          <w:rPr>
            <w:rFonts w:asciiTheme="minorHAnsi" w:eastAsiaTheme="minorEastAsia" w:hAnsiTheme="minorHAnsi" w:cstheme="minorBidi"/>
            <w:noProof/>
            <w:sz w:val="22"/>
            <w:szCs w:val="22"/>
          </w:rPr>
          <w:tab/>
        </w:r>
        <w:r w:rsidRPr="00CD0B56">
          <w:rPr>
            <w:rStyle w:val="Hyperlink"/>
            <w:noProof/>
          </w:rPr>
          <w:t>Part 1 Section 18.17.7.257, PRICE</w:t>
        </w:r>
        <w:r>
          <w:rPr>
            <w:noProof/>
            <w:webHidden/>
          </w:rPr>
          <w:tab/>
        </w:r>
        <w:r>
          <w:rPr>
            <w:noProof/>
            <w:webHidden/>
          </w:rPr>
          <w:fldChar w:fldCharType="begin"/>
        </w:r>
        <w:r>
          <w:rPr>
            <w:noProof/>
            <w:webHidden/>
          </w:rPr>
          <w:instrText xml:space="preserve"> PAGEREF _Toc12261087 \h </w:instrText>
        </w:r>
        <w:r>
          <w:rPr>
            <w:noProof/>
            <w:webHidden/>
          </w:rPr>
        </w:r>
        <w:r>
          <w:rPr>
            <w:noProof/>
            <w:webHidden/>
          </w:rPr>
          <w:fldChar w:fldCharType="separate"/>
        </w:r>
        <w:r>
          <w:rPr>
            <w:noProof/>
            <w:webHidden/>
          </w:rPr>
          <w:t>439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88" w:history="1">
        <w:r w:rsidRPr="00CD0B56">
          <w:rPr>
            <w:rStyle w:val="Hyperlink"/>
            <w:noProof/>
          </w:rPr>
          <w:t>2.1.1020</w:t>
        </w:r>
        <w:r>
          <w:rPr>
            <w:rFonts w:asciiTheme="minorHAnsi" w:eastAsiaTheme="minorEastAsia" w:hAnsiTheme="minorHAnsi" w:cstheme="minorBidi"/>
            <w:noProof/>
            <w:sz w:val="22"/>
            <w:szCs w:val="22"/>
          </w:rPr>
          <w:tab/>
        </w:r>
        <w:r w:rsidRPr="00CD0B56">
          <w:rPr>
            <w:rStyle w:val="Hyperlink"/>
            <w:noProof/>
          </w:rPr>
          <w:t>Part 1 Section 18.17.7.258, PRICEDISC</w:t>
        </w:r>
        <w:r>
          <w:rPr>
            <w:noProof/>
            <w:webHidden/>
          </w:rPr>
          <w:tab/>
        </w:r>
        <w:r>
          <w:rPr>
            <w:noProof/>
            <w:webHidden/>
          </w:rPr>
          <w:fldChar w:fldCharType="begin"/>
        </w:r>
        <w:r>
          <w:rPr>
            <w:noProof/>
            <w:webHidden/>
          </w:rPr>
          <w:instrText xml:space="preserve"> PAGEREF _Toc12261088 \h </w:instrText>
        </w:r>
        <w:r>
          <w:rPr>
            <w:noProof/>
            <w:webHidden/>
          </w:rPr>
        </w:r>
        <w:r>
          <w:rPr>
            <w:noProof/>
            <w:webHidden/>
          </w:rPr>
          <w:fldChar w:fldCharType="separate"/>
        </w:r>
        <w:r>
          <w:rPr>
            <w:noProof/>
            <w:webHidden/>
          </w:rPr>
          <w:t>440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89" w:history="1">
        <w:r w:rsidRPr="00CD0B56">
          <w:rPr>
            <w:rStyle w:val="Hyperlink"/>
            <w:noProof/>
          </w:rPr>
          <w:t>2.1.1021</w:t>
        </w:r>
        <w:r>
          <w:rPr>
            <w:rFonts w:asciiTheme="minorHAnsi" w:eastAsiaTheme="minorEastAsia" w:hAnsiTheme="minorHAnsi" w:cstheme="minorBidi"/>
            <w:noProof/>
            <w:sz w:val="22"/>
            <w:szCs w:val="22"/>
          </w:rPr>
          <w:tab/>
        </w:r>
        <w:r w:rsidRPr="00CD0B56">
          <w:rPr>
            <w:rStyle w:val="Hyperlink"/>
            <w:noProof/>
          </w:rPr>
          <w:t>Part 1 Section 18.17.7.259, PRICEMAT</w:t>
        </w:r>
        <w:r>
          <w:rPr>
            <w:noProof/>
            <w:webHidden/>
          </w:rPr>
          <w:tab/>
        </w:r>
        <w:r>
          <w:rPr>
            <w:noProof/>
            <w:webHidden/>
          </w:rPr>
          <w:fldChar w:fldCharType="begin"/>
        </w:r>
        <w:r>
          <w:rPr>
            <w:noProof/>
            <w:webHidden/>
          </w:rPr>
          <w:instrText xml:space="preserve"> PAGEREF _Toc12261089 \h </w:instrText>
        </w:r>
        <w:r>
          <w:rPr>
            <w:noProof/>
            <w:webHidden/>
          </w:rPr>
        </w:r>
        <w:r>
          <w:rPr>
            <w:noProof/>
            <w:webHidden/>
          </w:rPr>
          <w:fldChar w:fldCharType="separate"/>
        </w:r>
        <w:r>
          <w:rPr>
            <w:noProof/>
            <w:webHidden/>
          </w:rPr>
          <w:t>440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90" w:history="1">
        <w:r w:rsidRPr="00CD0B56">
          <w:rPr>
            <w:rStyle w:val="Hyperlink"/>
            <w:noProof/>
          </w:rPr>
          <w:t>2.1.1022</w:t>
        </w:r>
        <w:r>
          <w:rPr>
            <w:rFonts w:asciiTheme="minorHAnsi" w:eastAsiaTheme="minorEastAsia" w:hAnsiTheme="minorHAnsi" w:cstheme="minorBidi"/>
            <w:noProof/>
            <w:sz w:val="22"/>
            <w:szCs w:val="22"/>
          </w:rPr>
          <w:tab/>
        </w:r>
        <w:r w:rsidRPr="00CD0B56">
          <w:rPr>
            <w:rStyle w:val="Hyperlink"/>
            <w:noProof/>
          </w:rPr>
          <w:t>Part 1 Section 18.17.7.260, PROB</w:t>
        </w:r>
        <w:r>
          <w:rPr>
            <w:noProof/>
            <w:webHidden/>
          </w:rPr>
          <w:tab/>
        </w:r>
        <w:r>
          <w:rPr>
            <w:noProof/>
            <w:webHidden/>
          </w:rPr>
          <w:fldChar w:fldCharType="begin"/>
        </w:r>
        <w:r>
          <w:rPr>
            <w:noProof/>
            <w:webHidden/>
          </w:rPr>
          <w:instrText xml:space="preserve"> PAGEREF _Toc12261090 \h </w:instrText>
        </w:r>
        <w:r>
          <w:rPr>
            <w:noProof/>
            <w:webHidden/>
          </w:rPr>
        </w:r>
        <w:r>
          <w:rPr>
            <w:noProof/>
            <w:webHidden/>
          </w:rPr>
          <w:fldChar w:fldCharType="separate"/>
        </w:r>
        <w:r>
          <w:rPr>
            <w:noProof/>
            <w:webHidden/>
          </w:rPr>
          <w:t>441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91" w:history="1">
        <w:r w:rsidRPr="00CD0B56">
          <w:rPr>
            <w:rStyle w:val="Hyperlink"/>
            <w:noProof/>
          </w:rPr>
          <w:t>2.1.1023</w:t>
        </w:r>
        <w:r>
          <w:rPr>
            <w:rFonts w:asciiTheme="minorHAnsi" w:eastAsiaTheme="minorEastAsia" w:hAnsiTheme="minorHAnsi" w:cstheme="minorBidi"/>
            <w:noProof/>
            <w:sz w:val="22"/>
            <w:szCs w:val="22"/>
          </w:rPr>
          <w:tab/>
        </w:r>
        <w:r w:rsidRPr="00CD0B56">
          <w:rPr>
            <w:rStyle w:val="Hyperlink"/>
            <w:noProof/>
          </w:rPr>
          <w:t>Part 1 Section 18.17.7.261, PRODUCT</w:t>
        </w:r>
        <w:r>
          <w:rPr>
            <w:noProof/>
            <w:webHidden/>
          </w:rPr>
          <w:tab/>
        </w:r>
        <w:r>
          <w:rPr>
            <w:noProof/>
            <w:webHidden/>
          </w:rPr>
          <w:fldChar w:fldCharType="begin"/>
        </w:r>
        <w:r>
          <w:rPr>
            <w:noProof/>
            <w:webHidden/>
          </w:rPr>
          <w:instrText xml:space="preserve"> PAGEREF _Toc12261091 \h </w:instrText>
        </w:r>
        <w:r>
          <w:rPr>
            <w:noProof/>
            <w:webHidden/>
          </w:rPr>
        </w:r>
        <w:r>
          <w:rPr>
            <w:noProof/>
            <w:webHidden/>
          </w:rPr>
          <w:fldChar w:fldCharType="separate"/>
        </w:r>
        <w:r>
          <w:rPr>
            <w:noProof/>
            <w:webHidden/>
          </w:rPr>
          <w:t>441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92" w:history="1">
        <w:r w:rsidRPr="00CD0B56">
          <w:rPr>
            <w:rStyle w:val="Hyperlink"/>
            <w:noProof/>
          </w:rPr>
          <w:t>2.1.1024</w:t>
        </w:r>
        <w:r>
          <w:rPr>
            <w:rFonts w:asciiTheme="minorHAnsi" w:eastAsiaTheme="minorEastAsia" w:hAnsiTheme="minorHAnsi" w:cstheme="minorBidi"/>
            <w:noProof/>
            <w:sz w:val="22"/>
            <w:szCs w:val="22"/>
          </w:rPr>
          <w:tab/>
        </w:r>
        <w:r w:rsidRPr="00CD0B56">
          <w:rPr>
            <w:rStyle w:val="Hyperlink"/>
            <w:noProof/>
          </w:rPr>
          <w:t>Part 1 Section 18.17.7.263, PV</w:t>
        </w:r>
        <w:r>
          <w:rPr>
            <w:noProof/>
            <w:webHidden/>
          </w:rPr>
          <w:tab/>
        </w:r>
        <w:r>
          <w:rPr>
            <w:noProof/>
            <w:webHidden/>
          </w:rPr>
          <w:fldChar w:fldCharType="begin"/>
        </w:r>
        <w:r>
          <w:rPr>
            <w:noProof/>
            <w:webHidden/>
          </w:rPr>
          <w:instrText xml:space="preserve"> PAGEREF _Toc12261092 \h </w:instrText>
        </w:r>
        <w:r>
          <w:rPr>
            <w:noProof/>
            <w:webHidden/>
          </w:rPr>
        </w:r>
        <w:r>
          <w:rPr>
            <w:noProof/>
            <w:webHidden/>
          </w:rPr>
          <w:fldChar w:fldCharType="separate"/>
        </w:r>
        <w:r>
          <w:rPr>
            <w:noProof/>
            <w:webHidden/>
          </w:rPr>
          <w:t>442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93" w:history="1">
        <w:r w:rsidRPr="00CD0B56">
          <w:rPr>
            <w:rStyle w:val="Hyperlink"/>
            <w:noProof/>
          </w:rPr>
          <w:t>2.1.1025</w:t>
        </w:r>
        <w:r>
          <w:rPr>
            <w:rFonts w:asciiTheme="minorHAnsi" w:eastAsiaTheme="minorEastAsia" w:hAnsiTheme="minorHAnsi" w:cstheme="minorBidi"/>
            <w:noProof/>
            <w:sz w:val="22"/>
            <w:szCs w:val="22"/>
          </w:rPr>
          <w:tab/>
        </w:r>
        <w:r w:rsidRPr="00CD0B56">
          <w:rPr>
            <w:rStyle w:val="Hyperlink"/>
            <w:noProof/>
          </w:rPr>
          <w:t>Part 1 Section 18.17.7.269, RANK</w:t>
        </w:r>
        <w:r>
          <w:rPr>
            <w:noProof/>
            <w:webHidden/>
          </w:rPr>
          <w:tab/>
        </w:r>
        <w:r>
          <w:rPr>
            <w:noProof/>
            <w:webHidden/>
          </w:rPr>
          <w:fldChar w:fldCharType="begin"/>
        </w:r>
        <w:r>
          <w:rPr>
            <w:noProof/>
            <w:webHidden/>
          </w:rPr>
          <w:instrText xml:space="preserve"> PAGEREF _Toc12261093 \h </w:instrText>
        </w:r>
        <w:r>
          <w:rPr>
            <w:noProof/>
            <w:webHidden/>
          </w:rPr>
        </w:r>
        <w:r>
          <w:rPr>
            <w:noProof/>
            <w:webHidden/>
          </w:rPr>
          <w:fldChar w:fldCharType="separate"/>
        </w:r>
        <w:r>
          <w:rPr>
            <w:noProof/>
            <w:webHidden/>
          </w:rPr>
          <w:t>442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94" w:history="1">
        <w:r w:rsidRPr="00CD0B56">
          <w:rPr>
            <w:rStyle w:val="Hyperlink"/>
            <w:noProof/>
          </w:rPr>
          <w:t>2.1.1026</w:t>
        </w:r>
        <w:r>
          <w:rPr>
            <w:rFonts w:asciiTheme="minorHAnsi" w:eastAsiaTheme="minorEastAsia" w:hAnsiTheme="minorHAnsi" w:cstheme="minorBidi"/>
            <w:noProof/>
            <w:sz w:val="22"/>
            <w:szCs w:val="22"/>
          </w:rPr>
          <w:tab/>
        </w:r>
        <w:r w:rsidRPr="00CD0B56">
          <w:rPr>
            <w:rStyle w:val="Hyperlink"/>
            <w:noProof/>
          </w:rPr>
          <w:t>Part 1 Section 18.17.7.270, RATE</w:t>
        </w:r>
        <w:r>
          <w:rPr>
            <w:noProof/>
            <w:webHidden/>
          </w:rPr>
          <w:tab/>
        </w:r>
        <w:r>
          <w:rPr>
            <w:noProof/>
            <w:webHidden/>
          </w:rPr>
          <w:fldChar w:fldCharType="begin"/>
        </w:r>
        <w:r>
          <w:rPr>
            <w:noProof/>
            <w:webHidden/>
          </w:rPr>
          <w:instrText xml:space="preserve"> PAGEREF _Toc12261094 \h </w:instrText>
        </w:r>
        <w:r>
          <w:rPr>
            <w:noProof/>
            <w:webHidden/>
          </w:rPr>
        </w:r>
        <w:r>
          <w:rPr>
            <w:noProof/>
            <w:webHidden/>
          </w:rPr>
          <w:fldChar w:fldCharType="separate"/>
        </w:r>
        <w:r>
          <w:rPr>
            <w:noProof/>
            <w:webHidden/>
          </w:rPr>
          <w:t>442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95" w:history="1">
        <w:r w:rsidRPr="00CD0B56">
          <w:rPr>
            <w:rStyle w:val="Hyperlink"/>
            <w:noProof/>
          </w:rPr>
          <w:t>2.1.1027</w:t>
        </w:r>
        <w:r>
          <w:rPr>
            <w:rFonts w:asciiTheme="minorHAnsi" w:eastAsiaTheme="minorEastAsia" w:hAnsiTheme="minorHAnsi" w:cstheme="minorBidi"/>
            <w:noProof/>
            <w:sz w:val="22"/>
            <w:szCs w:val="22"/>
          </w:rPr>
          <w:tab/>
        </w:r>
        <w:r w:rsidRPr="00CD0B56">
          <w:rPr>
            <w:rStyle w:val="Hyperlink"/>
            <w:noProof/>
          </w:rPr>
          <w:t>Part 1 Section 18.17.7.271, RECEIVED</w:t>
        </w:r>
        <w:r>
          <w:rPr>
            <w:noProof/>
            <w:webHidden/>
          </w:rPr>
          <w:tab/>
        </w:r>
        <w:r>
          <w:rPr>
            <w:noProof/>
            <w:webHidden/>
          </w:rPr>
          <w:fldChar w:fldCharType="begin"/>
        </w:r>
        <w:r>
          <w:rPr>
            <w:noProof/>
            <w:webHidden/>
          </w:rPr>
          <w:instrText xml:space="preserve"> PAGEREF _Toc12261095 \h </w:instrText>
        </w:r>
        <w:r>
          <w:rPr>
            <w:noProof/>
            <w:webHidden/>
          </w:rPr>
        </w:r>
        <w:r>
          <w:rPr>
            <w:noProof/>
            <w:webHidden/>
          </w:rPr>
          <w:fldChar w:fldCharType="separate"/>
        </w:r>
        <w:r>
          <w:rPr>
            <w:noProof/>
            <w:webHidden/>
          </w:rPr>
          <w:t>442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96" w:history="1">
        <w:r w:rsidRPr="00CD0B56">
          <w:rPr>
            <w:rStyle w:val="Hyperlink"/>
            <w:noProof/>
          </w:rPr>
          <w:t>2.1.1028</w:t>
        </w:r>
        <w:r>
          <w:rPr>
            <w:rFonts w:asciiTheme="minorHAnsi" w:eastAsiaTheme="minorEastAsia" w:hAnsiTheme="minorHAnsi" w:cstheme="minorBidi"/>
            <w:noProof/>
            <w:sz w:val="22"/>
            <w:szCs w:val="22"/>
          </w:rPr>
          <w:tab/>
        </w:r>
        <w:r w:rsidRPr="00CD0B56">
          <w:rPr>
            <w:rStyle w:val="Hyperlink"/>
            <w:noProof/>
          </w:rPr>
          <w:t>Part 1 Section 18.17.7.272, REPLACE</w:t>
        </w:r>
        <w:r>
          <w:rPr>
            <w:noProof/>
            <w:webHidden/>
          </w:rPr>
          <w:tab/>
        </w:r>
        <w:r>
          <w:rPr>
            <w:noProof/>
            <w:webHidden/>
          </w:rPr>
          <w:fldChar w:fldCharType="begin"/>
        </w:r>
        <w:r>
          <w:rPr>
            <w:noProof/>
            <w:webHidden/>
          </w:rPr>
          <w:instrText xml:space="preserve"> PAGEREF _Toc12261096 \h </w:instrText>
        </w:r>
        <w:r>
          <w:rPr>
            <w:noProof/>
            <w:webHidden/>
          </w:rPr>
        </w:r>
        <w:r>
          <w:rPr>
            <w:noProof/>
            <w:webHidden/>
          </w:rPr>
          <w:fldChar w:fldCharType="separate"/>
        </w:r>
        <w:r>
          <w:rPr>
            <w:noProof/>
            <w:webHidden/>
          </w:rPr>
          <w:t>443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97" w:history="1">
        <w:r w:rsidRPr="00CD0B56">
          <w:rPr>
            <w:rStyle w:val="Hyperlink"/>
            <w:noProof/>
          </w:rPr>
          <w:t>2.1.1029</w:t>
        </w:r>
        <w:r>
          <w:rPr>
            <w:rFonts w:asciiTheme="minorHAnsi" w:eastAsiaTheme="minorEastAsia" w:hAnsiTheme="minorHAnsi" w:cstheme="minorBidi"/>
            <w:noProof/>
            <w:sz w:val="22"/>
            <w:szCs w:val="22"/>
          </w:rPr>
          <w:tab/>
        </w:r>
        <w:r w:rsidRPr="00CD0B56">
          <w:rPr>
            <w:rStyle w:val="Hyperlink"/>
            <w:noProof/>
          </w:rPr>
          <w:t>Part 1 Section 18.17.7.273, REPLACEB</w:t>
        </w:r>
        <w:r>
          <w:rPr>
            <w:noProof/>
            <w:webHidden/>
          </w:rPr>
          <w:tab/>
        </w:r>
        <w:r>
          <w:rPr>
            <w:noProof/>
            <w:webHidden/>
          </w:rPr>
          <w:fldChar w:fldCharType="begin"/>
        </w:r>
        <w:r>
          <w:rPr>
            <w:noProof/>
            <w:webHidden/>
          </w:rPr>
          <w:instrText xml:space="preserve"> PAGEREF _Toc12261097 \h </w:instrText>
        </w:r>
        <w:r>
          <w:rPr>
            <w:noProof/>
            <w:webHidden/>
          </w:rPr>
        </w:r>
        <w:r>
          <w:rPr>
            <w:noProof/>
            <w:webHidden/>
          </w:rPr>
          <w:fldChar w:fldCharType="separate"/>
        </w:r>
        <w:r>
          <w:rPr>
            <w:noProof/>
            <w:webHidden/>
          </w:rPr>
          <w:t>443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98" w:history="1">
        <w:r w:rsidRPr="00CD0B56">
          <w:rPr>
            <w:rStyle w:val="Hyperlink"/>
            <w:noProof/>
          </w:rPr>
          <w:t>2.1.1030</w:t>
        </w:r>
        <w:r>
          <w:rPr>
            <w:rFonts w:asciiTheme="minorHAnsi" w:eastAsiaTheme="minorEastAsia" w:hAnsiTheme="minorHAnsi" w:cstheme="minorBidi"/>
            <w:noProof/>
            <w:sz w:val="22"/>
            <w:szCs w:val="22"/>
          </w:rPr>
          <w:tab/>
        </w:r>
        <w:r w:rsidRPr="00CD0B56">
          <w:rPr>
            <w:rStyle w:val="Hyperlink"/>
            <w:noProof/>
          </w:rPr>
          <w:t>Part 1 Section 18.17.7.275, RIGHT</w:t>
        </w:r>
        <w:r>
          <w:rPr>
            <w:noProof/>
            <w:webHidden/>
          </w:rPr>
          <w:tab/>
        </w:r>
        <w:r>
          <w:rPr>
            <w:noProof/>
            <w:webHidden/>
          </w:rPr>
          <w:fldChar w:fldCharType="begin"/>
        </w:r>
        <w:r>
          <w:rPr>
            <w:noProof/>
            <w:webHidden/>
          </w:rPr>
          <w:instrText xml:space="preserve"> PAGEREF _Toc12261098 \h </w:instrText>
        </w:r>
        <w:r>
          <w:rPr>
            <w:noProof/>
            <w:webHidden/>
          </w:rPr>
        </w:r>
        <w:r>
          <w:rPr>
            <w:noProof/>
            <w:webHidden/>
          </w:rPr>
          <w:fldChar w:fldCharType="separate"/>
        </w:r>
        <w:r>
          <w:rPr>
            <w:noProof/>
            <w:webHidden/>
          </w:rPr>
          <w:t>444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099" w:history="1">
        <w:r w:rsidRPr="00CD0B56">
          <w:rPr>
            <w:rStyle w:val="Hyperlink"/>
            <w:noProof/>
          </w:rPr>
          <w:t>2.1.1031</w:t>
        </w:r>
        <w:r>
          <w:rPr>
            <w:rFonts w:asciiTheme="minorHAnsi" w:eastAsiaTheme="minorEastAsia" w:hAnsiTheme="minorHAnsi" w:cstheme="minorBidi"/>
            <w:noProof/>
            <w:sz w:val="22"/>
            <w:szCs w:val="22"/>
          </w:rPr>
          <w:tab/>
        </w:r>
        <w:r w:rsidRPr="00CD0B56">
          <w:rPr>
            <w:rStyle w:val="Hyperlink"/>
            <w:noProof/>
          </w:rPr>
          <w:t>Part 1 Section 18.17.7.276, RIGHTB</w:t>
        </w:r>
        <w:r>
          <w:rPr>
            <w:noProof/>
            <w:webHidden/>
          </w:rPr>
          <w:tab/>
        </w:r>
        <w:r>
          <w:rPr>
            <w:noProof/>
            <w:webHidden/>
          </w:rPr>
          <w:fldChar w:fldCharType="begin"/>
        </w:r>
        <w:r>
          <w:rPr>
            <w:noProof/>
            <w:webHidden/>
          </w:rPr>
          <w:instrText xml:space="preserve"> PAGEREF _Toc12261099 \h </w:instrText>
        </w:r>
        <w:r>
          <w:rPr>
            <w:noProof/>
            <w:webHidden/>
          </w:rPr>
        </w:r>
        <w:r>
          <w:rPr>
            <w:noProof/>
            <w:webHidden/>
          </w:rPr>
          <w:fldChar w:fldCharType="separate"/>
        </w:r>
        <w:r>
          <w:rPr>
            <w:noProof/>
            <w:webHidden/>
          </w:rPr>
          <w:t>444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00" w:history="1">
        <w:r w:rsidRPr="00CD0B56">
          <w:rPr>
            <w:rStyle w:val="Hyperlink"/>
            <w:noProof/>
          </w:rPr>
          <w:t>2.1.1032</w:t>
        </w:r>
        <w:r>
          <w:rPr>
            <w:rFonts w:asciiTheme="minorHAnsi" w:eastAsiaTheme="minorEastAsia" w:hAnsiTheme="minorHAnsi" w:cstheme="minorBidi"/>
            <w:noProof/>
            <w:sz w:val="22"/>
            <w:szCs w:val="22"/>
          </w:rPr>
          <w:tab/>
        </w:r>
        <w:r w:rsidRPr="00CD0B56">
          <w:rPr>
            <w:rStyle w:val="Hyperlink"/>
            <w:noProof/>
          </w:rPr>
          <w:t>Part 1 Section 18.17.7.277, ROMAN</w:t>
        </w:r>
        <w:r>
          <w:rPr>
            <w:noProof/>
            <w:webHidden/>
          </w:rPr>
          <w:tab/>
        </w:r>
        <w:r>
          <w:rPr>
            <w:noProof/>
            <w:webHidden/>
          </w:rPr>
          <w:fldChar w:fldCharType="begin"/>
        </w:r>
        <w:r>
          <w:rPr>
            <w:noProof/>
            <w:webHidden/>
          </w:rPr>
          <w:instrText xml:space="preserve"> PAGEREF _Toc12261100 \h </w:instrText>
        </w:r>
        <w:r>
          <w:rPr>
            <w:noProof/>
            <w:webHidden/>
          </w:rPr>
        </w:r>
        <w:r>
          <w:rPr>
            <w:noProof/>
            <w:webHidden/>
          </w:rPr>
          <w:fldChar w:fldCharType="separate"/>
        </w:r>
        <w:r>
          <w:rPr>
            <w:noProof/>
            <w:webHidden/>
          </w:rPr>
          <w:t>444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01" w:history="1">
        <w:r w:rsidRPr="00CD0B56">
          <w:rPr>
            <w:rStyle w:val="Hyperlink"/>
            <w:noProof/>
          </w:rPr>
          <w:t>2.1.1033</w:t>
        </w:r>
        <w:r>
          <w:rPr>
            <w:rFonts w:asciiTheme="minorHAnsi" w:eastAsiaTheme="minorEastAsia" w:hAnsiTheme="minorHAnsi" w:cstheme="minorBidi"/>
            <w:noProof/>
            <w:sz w:val="22"/>
            <w:szCs w:val="22"/>
          </w:rPr>
          <w:tab/>
        </w:r>
        <w:r w:rsidRPr="00CD0B56">
          <w:rPr>
            <w:rStyle w:val="Hyperlink"/>
            <w:noProof/>
          </w:rPr>
          <w:t>Part 1 Section 18.17.7.278, ROUND</w:t>
        </w:r>
        <w:r>
          <w:rPr>
            <w:noProof/>
            <w:webHidden/>
          </w:rPr>
          <w:tab/>
        </w:r>
        <w:r>
          <w:rPr>
            <w:noProof/>
            <w:webHidden/>
          </w:rPr>
          <w:fldChar w:fldCharType="begin"/>
        </w:r>
        <w:r>
          <w:rPr>
            <w:noProof/>
            <w:webHidden/>
          </w:rPr>
          <w:instrText xml:space="preserve"> PAGEREF _Toc12261101 \h </w:instrText>
        </w:r>
        <w:r>
          <w:rPr>
            <w:noProof/>
            <w:webHidden/>
          </w:rPr>
        </w:r>
        <w:r>
          <w:rPr>
            <w:noProof/>
            <w:webHidden/>
          </w:rPr>
          <w:fldChar w:fldCharType="separate"/>
        </w:r>
        <w:r>
          <w:rPr>
            <w:noProof/>
            <w:webHidden/>
          </w:rPr>
          <w:t>444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02" w:history="1">
        <w:r w:rsidRPr="00CD0B56">
          <w:rPr>
            <w:rStyle w:val="Hyperlink"/>
            <w:noProof/>
          </w:rPr>
          <w:t>2.1.1034</w:t>
        </w:r>
        <w:r>
          <w:rPr>
            <w:rFonts w:asciiTheme="minorHAnsi" w:eastAsiaTheme="minorEastAsia" w:hAnsiTheme="minorHAnsi" w:cstheme="minorBidi"/>
            <w:noProof/>
            <w:sz w:val="22"/>
            <w:szCs w:val="22"/>
          </w:rPr>
          <w:tab/>
        </w:r>
        <w:r w:rsidRPr="00CD0B56">
          <w:rPr>
            <w:rStyle w:val="Hyperlink"/>
            <w:noProof/>
          </w:rPr>
          <w:t>Part 1 Section 18.17.7.282, ROWS</w:t>
        </w:r>
        <w:r>
          <w:rPr>
            <w:noProof/>
            <w:webHidden/>
          </w:rPr>
          <w:tab/>
        </w:r>
        <w:r>
          <w:rPr>
            <w:noProof/>
            <w:webHidden/>
          </w:rPr>
          <w:fldChar w:fldCharType="begin"/>
        </w:r>
        <w:r>
          <w:rPr>
            <w:noProof/>
            <w:webHidden/>
          </w:rPr>
          <w:instrText xml:space="preserve"> PAGEREF _Toc12261102 \h </w:instrText>
        </w:r>
        <w:r>
          <w:rPr>
            <w:noProof/>
            <w:webHidden/>
          </w:rPr>
        </w:r>
        <w:r>
          <w:rPr>
            <w:noProof/>
            <w:webHidden/>
          </w:rPr>
          <w:fldChar w:fldCharType="separate"/>
        </w:r>
        <w:r>
          <w:rPr>
            <w:noProof/>
            <w:webHidden/>
          </w:rPr>
          <w:t>444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03" w:history="1">
        <w:r w:rsidRPr="00CD0B56">
          <w:rPr>
            <w:rStyle w:val="Hyperlink"/>
            <w:noProof/>
          </w:rPr>
          <w:t>2.1.1035</w:t>
        </w:r>
        <w:r>
          <w:rPr>
            <w:rFonts w:asciiTheme="minorHAnsi" w:eastAsiaTheme="minorEastAsia" w:hAnsiTheme="minorHAnsi" w:cstheme="minorBidi"/>
            <w:noProof/>
            <w:sz w:val="22"/>
            <w:szCs w:val="22"/>
          </w:rPr>
          <w:tab/>
        </w:r>
        <w:r w:rsidRPr="00CD0B56">
          <w:rPr>
            <w:rStyle w:val="Hyperlink"/>
            <w:noProof/>
          </w:rPr>
          <w:t>Part 1 Section 18.17.7.284, RTD</w:t>
        </w:r>
        <w:r>
          <w:rPr>
            <w:noProof/>
            <w:webHidden/>
          </w:rPr>
          <w:tab/>
        </w:r>
        <w:r>
          <w:rPr>
            <w:noProof/>
            <w:webHidden/>
          </w:rPr>
          <w:fldChar w:fldCharType="begin"/>
        </w:r>
        <w:r>
          <w:rPr>
            <w:noProof/>
            <w:webHidden/>
          </w:rPr>
          <w:instrText xml:space="preserve"> PAGEREF _Toc12261103 \h </w:instrText>
        </w:r>
        <w:r>
          <w:rPr>
            <w:noProof/>
            <w:webHidden/>
          </w:rPr>
        </w:r>
        <w:r>
          <w:rPr>
            <w:noProof/>
            <w:webHidden/>
          </w:rPr>
          <w:fldChar w:fldCharType="separate"/>
        </w:r>
        <w:r>
          <w:rPr>
            <w:noProof/>
            <w:webHidden/>
          </w:rPr>
          <w:t>444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04" w:history="1">
        <w:r w:rsidRPr="00CD0B56">
          <w:rPr>
            <w:rStyle w:val="Hyperlink"/>
            <w:noProof/>
          </w:rPr>
          <w:t>2.1.1036</w:t>
        </w:r>
        <w:r>
          <w:rPr>
            <w:rFonts w:asciiTheme="minorHAnsi" w:eastAsiaTheme="minorEastAsia" w:hAnsiTheme="minorHAnsi" w:cstheme="minorBidi"/>
            <w:noProof/>
            <w:sz w:val="22"/>
            <w:szCs w:val="22"/>
          </w:rPr>
          <w:tab/>
        </w:r>
        <w:r w:rsidRPr="00CD0B56">
          <w:rPr>
            <w:rStyle w:val="Hyperlink"/>
            <w:noProof/>
          </w:rPr>
          <w:t>Part 1 Section 18.17.7.285, SEARCH</w:t>
        </w:r>
        <w:r>
          <w:rPr>
            <w:noProof/>
            <w:webHidden/>
          </w:rPr>
          <w:tab/>
        </w:r>
        <w:r>
          <w:rPr>
            <w:noProof/>
            <w:webHidden/>
          </w:rPr>
          <w:fldChar w:fldCharType="begin"/>
        </w:r>
        <w:r>
          <w:rPr>
            <w:noProof/>
            <w:webHidden/>
          </w:rPr>
          <w:instrText xml:space="preserve"> PAGEREF _Toc12261104 \h </w:instrText>
        </w:r>
        <w:r>
          <w:rPr>
            <w:noProof/>
            <w:webHidden/>
          </w:rPr>
        </w:r>
        <w:r>
          <w:rPr>
            <w:noProof/>
            <w:webHidden/>
          </w:rPr>
          <w:fldChar w:fldCharType="separate"/>
        </w:r>
        <w:r>
          <w:rPr>
            <w:noProof/>
            <w:webHidden/>
          </w:rPr>
          <w:t>445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05" w:history="1">
        <w:r w:rsidRPr="00CD0B56">
          <w:rPr>
            <w:rStyle w:val="Hyperlink"/>
            <w:noProof/>
          </w:rPr>
          <w:t>2.1.1037</w:t>
        </w:r>
        <w:r>
          <w:rPr>
            <w:rFonts w:asciiTheme="minorHAnsi" w:eastAsiaTheme="minorEastAsia" w:hAnsiTheme="minorHAnsi" w:cstheme="minorBidi"/>
            <w:noProof/>
            <w:sz w:val="22"/>
            <w:szCs w:val="22"/>
          </w:rPr>
          <w:tab/>
        </w:r>
        <w:r w:rsidRPr="00CD0B56">
          <w:rPr>
            <w:rStyle w:val="Hyperlink"/>
            <w:noProof/>
          </w:rPr>
          <w:t>Part 1 Section 18.17.7.286, SEARCHB</w:t>
        </w:r>
        <w:r>
          <w:rPr>
            <w:noProof/>
            <w:webHidden/>
          </w:rPr>
          <w:tab/>
        </w:r>
        <w:r>
          <w:rPr>
            <w:noProof/>
            <w:webHidden/>
          </w:rPr>
          <w:fldChar w:fldCharType="begin"/>
        </w:r>
        <w:r>
          <w:rPr>
            <w:noProof/>
            <w:webHidden/>
          </w:rPr>
          <w:instrText xml:space="preserve"> PAGEREF _Toc12261105 \h </w:instrText>
        </w:r>
        <w:r>
          <w:rPr>
            <w:noProof/>
            <w:webHidden/>
          </w:rPr>
        </w:r>
        <w:r>
          <w:rPr>
            <w:noProof/>
            <w:webHidden/>
          </w:rPr>
          <w:fldChar w:fldCharType="separate"/>
        </w:r>
        <w:r>
          <w:rPr>
            <w:noProof/>
            <w:webHidden/>
          </w:rPr>
          <w:t>445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06" w:history="1">
        <w:r w:rsidRPr="00CD0B56">
          <w:rPr>
            <w:rStyle w:val="Hyperlink"/>
            <w:noProof/>
          </w:rPr>
          <w:t>2.1.1038</w:t>
        </w:r>
        <w:r>
          <w:rPr>
            <w:rFonts w:asciiTheme="minorHAnsi" w:eastAsiaTheme="minorEastAsia" w:hAnsiTheme="minorHAnsi" w:cstheme="minorBidi"/>
            <w:noProof/>
            <w:sz w:val="22"/>
            <w:szCs w:val="22"/>
          </w:rPr>
          <w:tab/>
        </w:r>
        <w:r w:rsidRPr="00CD0B56">
          <w:rPr>
            <w:rStyle w:val="Hyperlink"/>
            <w:noProof/>
          </w:rPr>
          <w:t>Part 1 Section 18.17.7.288, SERIESSUM</w:t>
        </w:r>
        <w:r>
          <w:rPr>
            <w:noProof/>
            <w:webHidden/>
          </w:rPr>
          <w:tab/>
        </w:r>
        <w:r>
          <w:rPr>
            <w:noProof/>
            <w:webHidden/>
          </w:rPr>
          <w:fldChar w:fldCharType="begin"/>
        </w:r>
        <w:r>
          <w:rPr>
            <w:noProof/>
            <w:webHidden/>
          </w:rPr>
          <w:instrText xml:space="preserve"> PAGEREF _Toc12261106 \h </w:instrText>
        </w:r>
        <w:r>
          <w:rPr>
            <w:noProof/>
            <w:webHidden/>
          </w:rPr>
        </w:r>
        <w:r>
          <w:rPr>
            <w:noProof/>
            <w:webHidden/>
          </w:rPr>
          <w:fldChar w:fldCharType="separate"/>
        </w:r>
        <w:r>
          <w:rPr>
            <w:noProof/>
            <w:webHidden/>
          </w:rPr>
          <w:t>445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07" w:history="1">
        <w:r w:rsidRPr="00CD0B56">
          <w:rPr>
            <w:rStyle w:val="Hyperlink"/>
            <w:noProof/>
          </w:rPr>
          <w:t>2.1.1039</w:t>
        </w:r>
        <w:r>
          <w:rPr>
            <w:rFonts w:asciiTheme="minorHAnsi" w:eastAsiaTheme="minorEastAsia" w:hAnsiTheme="minorHAnsi" w:cstheme="minorBidi"/>
            <w:noProof/>
            <w:sz w:val="22"/>
            <w:szCs w:val="22"/>
          </w:rPr>
          <w:tab/>
        </w:r>
        <w:r w:rsidRPr="00CD0B56">
          <w:rPr>
            <w:rStyle w:val="Hyperlink"/>
            <w:noProof/>
          </w:rPr>
          <w:t>Part 1 Section 18.17.7.290, SIN</w:t>
        </w:r>
        <w:r>
          <w:rPr>
            <w:noProof/>
            <w:webHidden/>
          </w:rPr>
          <w:tab/>
        </w:r>
        <w:r>
          <w:rPr>
            <w:noProof/>
            <w:webHidden/>
          </w:rPr>
          <w:fldChar w:fldCharType="begin"/>
        </w:r>
        <w:r>
          <w:rPr>
            <w:noProof/>
            <w:webHidden/>
          </w:rPr>
          <w:instrText xml:space="preserve"> PAGEREF _Toc12261107 \h </w:instrText>
        </w:r>
        <w:r>
          <w:rPr>
            <w:noProof/>
            <w:webHidden/>
          </w:rPr>
        </w:r>
        <w:r>
          <w:rPr>
            <w:noProof/>
            <w:webHidden/>
          </w:rPr>
          <w:fldChar w:fldCharType="separate"/>
        </w:r>
        <w:r>
          <w:rPr>
            <w:noProof/>
            <w:webHidden/>
          </w:rPr>
          <w:t>446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08" w:history="1">
        <w:r w:rsidRPr="00CD0B56">
          <w:rPr>
            <w:rStyle w:val="Hyperlink"/>
            <w:noProof/>
          </w:rPr>
          <w:t>2.1.1040</w:t>
        </w:r>
        <w:r>
          <w:rPr>
            <w:rFonts w:asciiTheme="minorHAnsi" w:eastAsiaTheme="minorEastAsia" w:hAnsiTheme="minorHAnsi" w:cstheme="minorBidi"/>
            <w:noProof/>
            <w:sz w:val="22"/>
            <w:szCs w:val="22"/>
          </w:rPr>
          <w:tab/>
        </w:r>
        <w:r w:rsidRPr="00CD0B56">
          <w:rPr>
            <w:rStyle w:val="Hyperlink"/>
            <w:noProof/>
          </w:rPr>
          <w:t>Part 1 Section 18.17.7.294, SLOPE</w:t>
        </w:r>
        <w:r>
          <w:rPr>
            <w:noProof/>
            <w:webHidden/>
          </w:rPr>
          <w:tab/>
        </w:r>
        <w:r>
          <w:rPr>
            <w:noProof/>
            <w:webHidden/>
          </w:rPr>
          <w:fldChar w:fldCharType="begin"/>
        </w:r>
        <w:r>
          <w:rPr>
            <w:noProof/>
            <w:webHidden/>
          </w:rPr>
          <w:instrText xml:space="preserve"> PAGEREF _Toc12261108 \h </w:instrText>
        </w:r>
        <w:r>
          <w:rPr>
            <w:noProof/>
            <w:webHidden/>
          </w:rPr>
        </w:r>
        <w:r>
          <w:rPr>
            <w:noProof/>
            <w:webHidden/>
          </w:rPr>
          <w:fldChar w:fldCharType="separate"/>
        </w:r>
        <w:r>
          <w:rPr>
            <w:noProof/>
            <w:webHidden/>
          </w:rPr>
          <w:t>446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09" w:history="1">
        <w:r w:rsidRPr="00CD0B56">
          <w:rPr>
            <w:rStyle w:val="Hyperlink"/>
            <w:noProof/>
          </w:rPr>
          <w:t>2.1.1041</w:t>
        </w:r>
        <w:r>
          <w:rPr>
            <w:rFonts w:asciiTheme="minorHAnsi" w:eastAsiaTheme="minorEastAsia" w:hAnsiTheme="minorHAnsi" w:cstheme="minorBidi"/>
            <w:noProof/>
            <w:sz w:val="22"/>
            <w:szCs w:val="22"/>
          </w:rPr>
          <w:tab/>
        </w:r>
        <w:r w:rsidRPr="00CD0B56">
          <w:rPr>
            <w:rStyle w:val="Hyperlink"/>
            <w:noProof/>
          </w:rPr>
          <w:t>Part 1 Section 18.17.7.299, STDEV</w:t>
        </w:r>
        <w:r>
          <w:rPr>
            <w:noProof/>
            <w:webHidden/>
          </w:rPr>
          <w:tab/>
        </w:r>
        <w:r>
          <w:rPr>
            <w:noProof/>
            <w:webHidden/>
          </w:rPr>
          <w:fldChar w:fldCharType="begin"/>
        </w:r>
        <w:r>
          <w:rPr>
            <w:noProof/>
            <w:webHidden/>
          </w:rPr>
          <w:instrText xml:space="preserve"> PAGEREF _Toc12261109 \h </w:instrText>
        </w:r>
        <w:r>
          <w:rPr>
            <w:noProof/>
            <w:webHidden/>
          </w:rPr>
        </w:r>
        <w:r>
          <w:rPr>
            <w:noProof/>
            <w:webHidden/>
          </w:rPr>
          <w:fldChar w:fldCharType="separate"/>
        </w:r>
        <w:r>
          <w:rPr>
            <w:noProof/>
            <w:webHidden/>
          </w:rPr>
          <w:t>446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10" w:history="1">
        <w:r w:rsidRPr="00CD0B56">
          <w:rPr>
            <w:rStyle w:val="Hyperlink"/>
            <w:noProof/>
          </w:rPr>
          <w:t>2.1.1042</w:t>
        </w:r>
        <w:r>
          <w:rPr>
            <w:rFonts w:asciiTheme="minorHAnsi" w:eastAsiaTheme="minorEastAsia" w:hAnsiTheme="minorHAnsi" w:cstheme="minorBidi"/>
            <w:noProof/>
            <w:sz w:val="22"/>
            <w:szCs w:val="22"/>
          </w:rPr>
          <w:tab/>
        </w:r>
        <w:r w:rsidRPr="00CD0B56">
          <w:rPr>
            <w:rStyle w:val="Hyperlink"/>
            <w:noProof/>
          </w:rPr>
          <w:t>Part 1 Section 18.17.7.300, STDEVA</w:t>
        </w:r>
        <w:r>
          <w:rPr>
            <w:noProof/>
            <w:webHidden/>
          </w:rPr>
          <w:tab/>
        </w:r>
        <w:r>
          <w:rPr>
            <w:noProof/>
            <w:webHidden/>
          </w:rPr>
          <w:fldChar w:fldCharType="begin"/>
        </w:r>
        <w:r>
          <w:rPr>
            <w:noProof/>
            <w:webHidden/>
          </w:rPr>
          <w:instrText xml:space="preserve"> PAGEREF _Toc12261110 \h </w:instrText>
        </w:r>
        <w:r>
          <w:rPr>
            <w:noProof/>
            <w:webHidden/>
          </w:rPr>
        </w:r>
        <w:r>
          <w:rPr>
            <w:noProof/>
            <w:webHidden/>
          </w:rPr>
          <w:fldChar w:fldCharType="separate"/>
        </w:r>
        <w:r>
          <w:rPr>
            <w:noProof/>
            <w:webHidden/>
          </w:rPr>
          <w:t>446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11" w:history="1">
        <w:r w:rsidRPr="00CD0B56">
          <w:rPr>
            <w:rStyle w:val="Hyperlink"/>
            <w:noProof/>
          </w:rPr>
          <w:t>2.1.1043</w:t>
        </w:r>
        <w:r>
          <w:rPr>
            <w:rFonts w:asciiTheme="minorHAnsi" w:eastAsiaTheme="minorEastAsia" w:hAnsiTheme="minorHAnsi" w:cstheme="minorBidi"/>
            <w:noProof/>
            <w:sz w:val="22"/>
            <w:szCs w:val="22"/>
          </w:rPr>
          <w:tab/>
        </w:r>
        <w:r w:rsidRPr="00CD0B56">
          <w:rPr>
            <w:rStyle w:val="Hyperlink"/>
            <w:noProof/>
          </w:rPr>
          <w:t>Part 1 Section 18.17.7.301, STDEVP</w:t>
        </w:r>
        <w:r>
          <w:rPr>
            <w:noProof/>
            <w:webHidden/>
          </w:rPr>
          <w:tab/>
        </w:r>
        <w:r>
          <w:rPr>
            <w:noProof/>
            <w:webHidden/>
          </w:rPr>
          <w:fldChar w:fldCharType="begin"/>
        </w:r>
        <w:r>
          <w:rPr>
            <w:noProof/>
            <w:webHidden/>
          </w:rPr>
          <w:instrText xml:space="preserve"> PAGEREF _Toc12261111 \h </w:instrText>
        </w:r>
        <w:r>
          <w:rPr>
            <w:noProof/>
            <w:webHidden/>
          </w:rPr>
        </w:r>
        <w:r>
          <w:rPr>
            <w:noProof/>
            <w:webHidden/>
          </w:rPr>
          <w:fldChar w:fldCharType="separate"/>
        </w:r>
        <w:r>
          <w:rPr>
            <w:noProof/>
            <w:webHidden/>
          </w:rPr>
          <w:t>446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12" w:history="1">
        <w:r w:rsidRPr="00CD0B56">
          <w:rPr>
            <w:rStyle w:val="Hyperlink"/>
            <w:noProof/>
          </w:rPr>
          <w:t>2.1.1044</w:t>
        </w:r>
        <w:r>
          <w:rPr>
            <w:rFonts w:asciiTheme="minorHAnsi" w:eastAsiaTheme="minorEastAsia" w:hAnsiTheme="minorHAnsi" w:cstheme="minorBidi"/>
            <w:noProof/>
            <w:sz w:val="22"/>
            <w:szCs w:val="22"/>
          </w:rPr>
          <w:tab/>
        </w:r>
        <w:r w:rsidRPr="00CD0B56">
          <w:rPr>
            <w:rStyle w:val="Hyperlink"/>
            <w:noProof/>
          </w:rPr>
          <w:t>Part 1 Section 18.17.7.302, STDEVPA</w:t>
        </w:r>
        <w:r>
          <w:rPr>
            <w:noProof/>
            <w:webHidden/>
          </w:rPr>
          <w:tab/>
        </w:r>
        <w:r>
          <w:rPr>
            <w:noProof/>
            <w:webHidden/>
          </w:rPr>
          <w:fldChar w:fldCharType="begin"/>
        </w:r>
        <w:r>
          <w:rPr>
            <w:noProof/>
            <w:webHidden/>
          </w:rPr>
          <w:instrText xml:space="preserve"> PAGEREF _Toc12261112 \h </w:instrText>
        </w:r>
        <w:r>
          <w:rPr>
            <w:noProof/>
            <w:webHidden/>
          </w:rPr>
        </w:r>
        <w:r>
          <w:rPr>
            <w:noProof/>
            <w:webHidden/>
          </w:rPr>
          <w:fldChar w:fldCharType="separate"/>
        </w:r>
        <w:r>
          <w:rPr>
            <w:noProof/>
            <w:webHidden/>
          </w:rPr>
          <w:t>446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13" w:history="1">
        <w:r w:rsidRPr="00CD0B56">
          <w:rPr>
            <w:rStyle w:val="Hyperlink"/>
            <w:noProof/>
          </w:rPr>
          <w:t>2.1.1045</w:t>
        </w:r>
        <w:r>
          <w:rPr>
            <w:rFonts w:asciiTheme="minorHAnsi" w:eastAsiaTheme="minorEastAsia" w:hAnsiTheme="minorHAnsi" w:cstheme="minorBidi"/>
            <w:noProof/>
            <w:sz w:val="22"/>
            <w:szCs w:val="22"/>
          </w:rPr>
          <w:tab/>
        </w:r>
        <w:r w:rsidRPr="00CD0B56">
          <w:rPr>
            <w:rStyle w:val="Hyperlink"/>
            <w:noProof/>
          </w:rPr>
          <w:t>Part 1 Section 18.17.7.304, SUBSTITUTE</w:t>
        </w:r>
        <w:r>
          <w:rPr>
            <w:noProof/>
            <w:webHidden/>
          </w:rPr>
          <w:tab/>
        </w:r>
        <w:r>
          <w:rPr>
            <w:noProof/>
            <w:webHidden/>
          </w:rPr>
          <w:fldChar w:fldCharType="begin"/>
        </w:r>
        <w:r>
          <w:rPr>
            <w:noProof/>
            <w:webHidden/>
          </w:rPr>
          <w:instrText xml:space="preserve"> PAGEREF _Toc12261113 \h </w:instrText>
        </w:r>
        <w:r>
          <w:rPr>
            <w:noProof/>
            <w:webHidden/>
          </w:rPr>
        </w:r>
        <w:r>
          <w:rPr>
            <w:noProof/>
            <w:webHidden/>
          </w:rPr>
          <w:fldChar w:fldCharType="separate"/>
        </w:r>
        <w:r>
          <w:rPr>
            <w:noProof/>
            <w:webHidden/>
          </w:rPr>
          <w:t>447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14" w:history="1">
        <w:r w:rsidRPr="00CD0B56">
          <w:rPr>
            <w:rStyle w:val="Hyperlink"/>
            <w:noProof/>
          </w:rPr>
          <w:t>2.1.1046</w:t>
        </w:r>
        <w:r>
          <w:rPr>
            <w:rFonts w:asciiTheme="minorHAnsi" w:eastAsiaTheme="minorEastAsia" w:hAnsiTheme="minorHAnsi" w:cstheme="minorBidi"/>
            <w:noProof/>
            <w:sz w:val="22"/>
            <w:szCs w:val="22"/>
          </w:rPr>
          <w:tab/>
        </w:r>
        <w:r w:rsidRPr="00CD0B56">
          <w:rPr>
            <w:rStyle w:val="Hyperlink"/>
            <w:noProof/>
          </w:rPr>
          <w:t>Part 1 Section 18.17.7.306, SUM</w:t>
        </w:r>
        <w:r>
          <w:rPr>
            <w:noProof/>
            <w:webHidden/>
          </w:rPr>
          <w:tab/>
        </w:r>
        <w:r>
          <w:rPr>
            <w:noProof/>
            <w:webHidden/>
          </w:rPr>
          <w:fldChar w:fldCharType="begin"/>
        </w:r>
        <w:r>
          <w:rPr>
            <w:noProof/>
            <w:webHidden/>
          </w:rPr>
          <w:instrText xml:space="preserve"> PAGEREF _Toc12261114 \h </w:instrText>
        </w:r>
        <w:r>
          <w:rPr>
            <w:noProof/>
            <w:webHidden/>
          </w:rPr>
        </w:r>
        <w:r>
          <w:rPr>
            <w:noProof/>
            <w:webHidden/>
          </w:rPr>
          <w:fldChar w:fldCharType="separate"/>
        </w:r>
        <w:r>
          <w:rPr>
            <w:noProof/>
            <w:webHidden/>
          </w:rPr>
          <w:t>447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15" w:history="1">
        <w:r w:rsidRPr="00CD0B56">
          <w:rPr>
            <w:rStyle w:val="Hyperlink"/>
            <w:noProof/>
          </w:rPr>
          <w:t>2.1.1047</w:t>
        </w:r>
        <w:r>
          <w:rPr>
            <w:rFonts w:asciiTheme="minorHAnsi" w:eastAsiaTheme="minorEastAsia" w:hAnsiTheme="minorHAnsi" w:cstheme="minorBidi"/>
            <w:noProof/>
            <w:sz w:val="22"/>
            <w:szCs w:val="22"/>
          </w:rPr>
          <w:tab/>
        </w:r>
        <w:r w:rsidRPr="00CD0B56">
          <w:rPr>
            <w:rStyle w:val="Hyperlink"/>
            <w:noProof/>
          </w:rPr>
          <w:t>Part 1 Section 18.17.7.308, SUMIFS</w:t>
        </w:r>
        <w:r>
          <w:rPr>
            <w:noProof/>
            <w:webHidden/>
          </w:rPr>
          <w:tab/>
        </w:r>
        <w:r>
          <w:rPr>
            <w:noProof/>
            <w:webHidden/>
          </w:rPr>
          <w:fldChar w:fldCharType="begin"/>
        </w:r>
        <w:r>
          <w:rPr>
            <w:noProof/>
            <w:webHidden/>
          </w:rPr>
          <w:instrText xml:space="preserve"> PAGEREF _Toc12261115 \h </w:instrText>
        </w:r>
        <w:r>
          <w:rPr>
            <w:noProof/>
            <w:webHidden/>
          </w:rPr>
        </w:r>
        <w:r>
          <w:rPr>
            <w:noProof/>
            <w:webHidden/>
          </w:rPr>
          <w:fldChar w:fldCharType="separate"/>
        </w:r>
        <w:r>
          <w:rPr>
            <w:noProof/>
            <w:webHidden/>
          </w:rPr>
          <w:t>447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16" w:history="1">
        <w:r w:rsidRPr="00CD0B56">
          <w:rPr>
            <w:rStyle w:val="Hyperlink"/>
            <w:noProof/>
          </w:rPr>
          <w:t>2.1.1048</w:t>
        </w:r>
        <w:r>
          <w:rPr>
            <w:rFonts w:asciiTheme="minorHAnsi" w:eastAsiaTheme="minorEastAsia" w:hAnsiTheme="minorHAnsi" w:cstheme="minorBidi"/>
            <w:noProof/>
            <w:sz w:val="22"/>
            <w:szCs w:val="22"/>
          </w:rPr>
          <w:tab/>
        </w:r>
        <w:r w:rsidRPr="00CD0B56">
          <w:rPr>
            <w:rStyle w:val="Hyperlink"/>
            <w:noProof/>
          </w:rPr>
          <w:t>Part 1 Section 18.17.7.309, SUMPRODUCT</w:t>
        </w:r>
        <w:r>
          <w:rPr>
            <w:noProof/>
            <w:webHidden/>
          </w:rPr>
          <w:tab/>
        </w:r>
        <w:r>
          <w:rPr>
            <w:noProof/>
            <w:webHidden/>
          </w:rPr>
          <w:fldChar w:fldCharType="begin"/>
        </w:r>
        <w:r>
          <w:rPr>
            <w:noProof/>
            <w:webHidden/>
          </w:rPr>
          <w:instrText xml:space="preserve"> PAGEREF _Toc12261116 \h </w:instrText>
        </w:r>
        <w:r>
          <w:rPr>
            <w:noProof/>
            <w:webHidden/>
          </w:rPr>
        </w:r>
        <w:r>
          <w:rPr>
            <w:noProof/>
            <w:webHidden/>
          </w:rPr>
          <w:fldChar w:fldCharType="separate"/>
        </w:r>
        <w:r>
          <w:rPr>
            <w:noProof/>
            <w:webHidden/>
          </w:rPr>
          <w:t>447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17" w:history="1">
        <w:r w:rsidRPr="00CD0B56">
          <w:rPr>
            <w:rStyle w:val="Hyperlink"/>
            <w:noProof/>
          </w:rPr>
          <w:t>2.1.1049</w:t>
        </w:r>
        <w:r>
          <w:rPr>
            <w:rFonts w:asciiTheme="minorHAnsi" w:eastAsiaTheme="minorEastAsia" w:hAnsiTheme="minorHAnsi" w:cstheme="minorBidi"/>
            <w:noProof/>
            <w:sz w:val="22"/>
            <w:szCs w:val="22"/>
          </w:rPr>
          <w:tab/>
        </w:r>
        <w:r w:rsidRPr="00CD0B56">
          <w:rPr>
            <w:rStyle w:val="Hyperlink"/>
            <w:noProof/>
          </w:rPr>
          <w:t>Part 1 Section 18.17.7.310, SUMSQ</w:t>
        </w:r>
        <w:r>
          <w:rPr>
            <w:noProof/>
            <w:webHidden/>
          </w:rPr>
          <w:tab/>
        </w:r>
        <w:r>
          <w:rPr>
            <w:noProof/>
            <w:webHidden/>
          </w:rPr>
          <w:fldChar w:fldCharType="begin"/>
        </w:r>
        <w:r>
          <w:rPr>
            <w:noProof/>
            <w:webHidden/>
          </w:rPr>
          <w:instrText xml:space="preserve"> PAGEREF _Toc12261117 \h </w:instrText>
        </w:r>
        <w:r>
          <w:rPr>
            <w:noProof/>
            <w:webHidden/>
          </w:rPr>
        </w:r>
        <w:r>
          <w:rPr>
            <w:noProof/>
            <w:webHidden/>
          </w:rPr>
          <w:fldChar w:fldCharType="separate"/>
        </w:r>
        <w:r>
          <w:rPr>
            <w:noProof/>
            <w:webHidden/>
          </w:rPr>
          <w:t>447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18" w:history="1">
        <w:r w:rsidRPr="00CD0B56">
          <w:rPr>
            <w:rStyle w:val="Hyperlink"/>
            <w:noProof/>
          </w:rPr>
          <w:t>2.1.1050</w:t>
        </w:r>
        <w:r>
          <w:rPr>
            <w:rFonts w:asciiTheme="minorHAnsi" w:eastAsiaTheme="minorEastAsia" w:hAnsiTheme="minorHAnsi" w:cstheme="minorBidi"/>
            <w:noProof/>
            <w:sz w:val="22"/>
            <w:szCs w:val="22"/>
          </w:rPr>
          <w:tab/>
        </w:r>
        <w:r w:rsidRPr="00CD0B56">
          <w:rPr>
            <w:rStyle w:val="Hyperlink"/>
            <w:noProof/>
          </w:rPr>
          <w:t>Part 1 Section 18.17.7.316, TAN</w:t>
        </w:r>
        <w:r>
          <w:rPr>
            <w:noProof/>
            <w:webHidden/>
          </w:rPr>
          <w:tab/>
        </w:r>
        <w:r>
          <w:rPr>
            <w:noProof/>
            <w:webHidden/>
          </w:rPr>
          <w:fldChar w:fldCharType="begin"/>
        </w:r>
        <w:r>
          <w:rPr>
            <w:noProof/>
            <w:webHidden/>
          </w:rPr>
          <w:instrText xml:space="preserve"> PAGEREF _Toc12261118 \h </w:instrText>
        </w:r>
        <w:r>
          <w:rPr>
            <w:noProof/>
            <w:webHidden/>
          </w:rPr>
        </w:r>
        <w:r>
          <w:rPr>
            <w:noProof/>
            <w:webHidden/>
          </w:rPr>
          <w:fldChar w:fldCharType="separate"/>
        </w:r>
        <w:r>
          <w:rPr>
            <w:noProof/>
            <w:webHidden/>
          </w:rPr>
          <w:t>447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19" w:history="1">
        <w:r w:rsidRPr="00CD0B56">
          <w:rPr>
            <w:rStyle w:val="Hyperlink"/>
            <w:noProof/>
          </w:rPr>
          <w:t>2.1.1051</w:t>
        </w:r>
        <w:r>
          <w:rPr>
            <w:rFonts w:asciiTheme="minorHAnsi" w:eastAsiaTheme="minorEastAsia" w:hAnsiTheme="minorHAnsi" w:cstheme="minorBidi"/>
            <w:noProof/>
            <w:sz w:val="22"/>
            <w:szCs w:val="22"/>
          </w:rPr>
          <w:tab/>
        </w:r>
        <w:r w:rsidRPr="00CD0B56">
          <w:rPr>
            <w:rStyle w:val="Hyperlink"/>
            <w:noProof/>
          </w:rPr>
          <w:t>Part 1 Section 18.17.7.319, TBILLPRICE</w:t>
        </w:r>
        <w:r>
          <w:rPr>
            <w:noProof/>
            <w:webHidden/>
          </w:rPr>
          <w:tab/>
        </w:r>
        <w:r>
          <w:rPr>
            <w:noProof/>
            <w:webHidden/>
          </w:rPr>
          <w:fldChar w:fldCharType="begin"/>
        </w:r>
        <w:r>
          <w:rPr>
            <w:noProof/>
            <w:webHidden/>
          </w:rPr>
          <w:instrText xml:space="preserve"> PAGEREF _Toc12261119 \h </w:instrText>
        </w:r>
        <w:r>
          <w:rPr>
            <w:noProof/>
            <w:webHidden/>
          </w:rPr>
        </w:r>
        <w:r>
          <w:rPr>
            <w:noProof/>
            <w:webHidden/>
          </w:rPr>
          <w:fldChar w:fldCharType="separate"/>
        </w:r>
        <w:r>
          <w:rPr>
            <w:noProof/>
            <w:webHidden/>
          </w:rPr>
          <w:t>447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20" w:history="1">
        <w:r w:rsidRPr="00CD0B56">
          <w:rPr>
            <w:rStyle w:val="Hyperlink"/>
            <w:noProof/>
          </w:rPr>
          <w:t>2.1.1052</w:t>
        </w:r>
        <w:r>
          <w:rPr>
            <w:rFonts w:asciiTheme="minorHAnsi" w:eastAsiaTheme="minorEastAsia" w:hAnsiTheme="minorHAnsi" w:cstheme="minorBidi"/>
            <w:noProof/>
            <w:sz w:val="22"/>
            <w:szCs w:val="22"/>
          </w:rPr>
          <w:tab/>
        </w:r>
        <w:r w:rsidRPr="00CD0B56">
          <w:rPr>
            <w:rStyle w:val="Hyperlink"/>
            <w:noProof/>
          </w:rPr>
          <w:t>Part 1 Section 18.17.7.320, TBILLYIELD</w:t>
        </w:r>
        <w:r>
          <w:rPr>
            <w:noProof/>
            <w:webHidden/>
          </w:rPr>
          <w:tab/>
        </w:r>
        <w:r>
          <w:rPr>
            <w:noProof/>
            <w:webHidden/>
          </w:rPr>
          <w:fldChar w:fldCharType="begin"/>
        </w:r>
        <w:r>
          <w:rPr>
            <w:noProof/>
            <w:webHidden/>
          </w:rPr>
          <w:instrText xml:space="preserve"> PAGEREF _Toc12261120 \h </w:instrText>
        </w:r>
        <w:r>
          <w:rPr>
            <w:noProof/>
            <w:webHidden/>
          </w:rPr>
        </w:r>
        <w:r>
          <w:rPr>
            <w:noProof/>
            <w:webHidden/>
          </w:rPr>
          <w:fldChar w:fldCharType="separate"/>
        </w:r>
        <w:r>
          <w:rPr>
            <w:noProof/>
            <w:webHidden/>
          </w:rPr>
          <w:t>448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21" w:history="1">
        <w:r w:rsidRPr="00CD0B56">
          <w:rPr>
            <w:rStyle w:val="Hyperlink"/>
            <w:noProof/>
          </w:rPr>
          <w:t>2.1.1053</w:t>
        </w:r>
        <w:r>
          <w:rPr>
            <w:rFonts w:asciiTheme="minorHAnsi" w:eastAsiaTheme="minorEastAsia" w:hAnsiTheme="minorHAnsi" w:cstheme="minorBidi"/>
            <w:noProof/>
            <w:sz w:val="22"/>
            <w:szCs w:val="22"/>
          </w:rPr>
          <w:tab/>
        </w:r>
        <w:r w:rsidRPr="00CD0B56">
          <w:rPr>
            <w:rStyle w:val="Hyperlink"/>
            <w:noProof/>
          </w:rPr>
          <w:t>Part 1 Section 18.17.7.323, TIME</w:t>
        </w:r>
        <w:r>
          <w:rPr>
            <w:noProof/>
            <w:webHidden/>
          </w:rPr>
          <w:tab/>
        </w:r>
        <w:r>
          <w:rPr>
            <w:noProof/>
            <w:webHidden/>
          </w:rPr>
          <w:fldChar w:fldCharType="begin"/>
        </w:r>
        <w:r>
          <w:rPr>
            <w:noProof/>
            <w:webHidden/>
          </w:rPr>
          <w:instrText xml:space="preserve"> PAGEREF _Toc12261121 \h </w:instrText>
        </w:r>
        <w:r>
          <w:rPr>
            <w:noProof/>
            <w:webHidden/>
          </w:rPr>
        </w:r>
        <w:r>
          <w:rPr>
            <w:noProof/>
            <w:webHidden/>
          </w:rPr>
          <w:fldChar w:fldCharType="separate"/>
        </w:r>
        <w:r>
          <w:rPr>
            <w:noProof/>
            <w:webHidden/>
          </w:rPr>
          <w:t>448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22" w:history="1">
        <w:r w:rsidRPr="00CD0B56">
          <w:rPr>
            <w:rStyle w:val="Hyperlink"/>
            <w:noProof/>
          </w:rPr>
          <w:t>2.1.1054</w:t>
        </w:r>
        <w:r>
          <w:rPr>
            <w:rFonts w:asciiTheme="minorHAnsi" w:eastAsiaTheme="minorEastAsia" w:hAnsiTheme="minorHAnsi" w:cstheme="minorBidi"/>
            <w:noProof/>
            <w:sz w:val="22"/>
            <w:szCs w:val="22"/>
          </w:rPr>
          <w:tab/>
        </w:r>
        <w:r w:rsidRPr="00CD0B56">
          <w:rPr>
            <w:rStyle w:val="Hyperlink"/>
            <w:noProof/>
          </w:rPr>
          <w:t>Part 1 Section 18.17.7.324, TIMEVALUE</w:t>
        </w:r>
        <w:r>
          <w:rPr>
            <w:noProof/>
            <w:webHidden/>
          </w:rPr>
          <w:tab/>
        </w:r>
        <w:r>
          <w:rPr>
            <w:noProof/>
            <w:webHidden/>
          </w:rPr>
          <w:fldChar w:fldCharType="begin"/>
        </w:r>
        <w:r>
          <w:rPr>
            <w:noProof/>
            <w:webHidden/>
          </w:rPr>
          <w:instrText xml:space="preserve"> PAGEREF _Toc12261122 \h </w:instrText>
        </w:r>
        <w:r>
          <w:rPr>
            <w:noProof/>
            <w:webHidden/>
          </w:rPr>
        </w:r>
        <w:r>
          <w:rPr>
            <w:noProof/>
            <w:webHidden/>
          </w:rPr>
          <w:fldChar w:fldCharType="separate"/>
        </w:r>
        <w:r>
          <w:rPr>
            <w:noProof/>
            <w:webHidden/>
          </w:rPr>
          <w:t>448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23" w:history="1">
        <w:r w:rsidRPr="00CD0B56">
          <w:rPr>
            <w:rStyle w:val="Hyperlink"/>
            <w:noProof/>
          </w:rPr>
          <w:t>2.1.1055</w:t>
        </w:r>
        <w:r>
          <w:rPr>
            <w:rFonts w:asciiTheme="minorHAnsi" w:eastAsiaTheme="minorEastAsia" w:hAnsiTheme="minorHAnsi" w:cstheme="minorBidi"/>
            <w:noProof/>
            <w:sz w:val="22"/>
            <w:szCs w:val="22"/>
          </w:rPr>
          <w:tab/>
        </w:r>
        <w:r w:rsidRPr="00CD0B56">
          <w:rPr>
            <w:rStyle w:val="Hyperlink"/>
            <w:noProof/>
          </w:rPr>
          <w:t>Part 1 Section 18.17.7.330, TRIMMEAN</w:t>
        </w:r>
        <w:r>
          <w:rPr>
            <w:noProof/>
            <w:webHidden/>
          </w:rPr>
          <w:tab/>
        </w:r>
        <w:r>
          <w:rPr>
            <w:noProof/>
            <w:webHidden/>
          </w:rPr>
          <w:fldChar w:fldCharType="begin"/>
        </w:r>
        <w:r>
          <w:rPr>
            <w:noProof/>
            <w:webHidden/>
          </w:rPr>
          <w:instrText xml:space="preserve"> PAGEREF _Toc12261123 \h </w:instrText>
        </w:r>
        <w:r>
          <w:rPr>
            <w:noProof/>
            <w:webHidden/>
          </w:rPr>
        </w:r>
        <w:r>
          <w:rPr>
            <w:noProof/>
            <w:webHidden/>
          </w:rPr>
          <w:fldChar w:fldCharType="separate"/>
        </w:r>
        <w:r>
          <w:rPr>
            <w:noProof/>
            <w:webHidden/>
          </w:rPr>
          <w:t>448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24" w:history="1">
        <w:r w:rsidRPr="00CD0B56">
          <w:rPr>
            <w:rStyle w:val="Hyperlink"/>
            <w:noProof/>
          </w:rPr>
          <w:t>2.1.1056</w:t>
        </w:r>
        <w:r>
          <w:rPr>
            <w:rFonts w:asciiTheme="minorHAnsi" w:eastAsiaTheme="minorEastAsia" w:hAnsiTheme="minorHAnsi" w:cstheme="minorBidi"/>
            <w:noProof/>
            <w:sz w:val="22"/>
            <w:szCs w:val="22"/>
          </w:rPr>
          <w:tab/>
        </w:r>
        <w:r w:rsidRPr="00CD0B56">
          <w:rPr>
            <w:rStyle w:val="Hyperlink"/>
            <w:noProof/>
          </w:rPr>
          <w:t>Part 1 Section 18.17.7.332, TRUNC</w:t>
        </w:r>
        <w:r>
          <w:rPr>
            <w:noProof/>
            <w:webHidden/>
          </w:rPr>
          <w:tab/>
        </w:r>
        <w:r>
          <w:rPr>
            <w:noProof/>
            <w:webHidden/>
          </w:rPr>
          <w:fldChar w:fldCharType="begin"/>
        </w:r>
        <w:r>
          <w:rPr>
            <w:noProof/>
            <w:webHidden/>
          </w:rPr>
          <w:instrText xml:space="preserve"> PAGEREF _Toc12261124 \h </w:instrText>
        </w:r>
        <w:r>
          <w:rPr>
            <w:noProof/>
            <w:webHidden/>
          </w:rPr>
        </w:r>
        <w:r>
          <w:rPr>
            <w:noProof/>
            <w:webHidden/>
          </w:rPr>
          <w:fldChar w:fldCharType="separate"/>
        </w:r>
        <w:r>
          <w:rPr>
            <w:noProof/>
            <w:webHidden/>
          </w:rPr>
          <w:t>448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25" w:history="1">
        <w:r w:rsidRPr="00CD0B56">
          <w:rPr>
            <w:rStyle w:val="Hyperlink"/>
            <w:noProof/>
          </w:rPr>
          <w:t>2.1.1057</w:t>
        </w:r>
        <w:r>
          <w:rPr>
            <w:rFonts w:asciiTheme="minorHAnsi" w:eastAsiaTheme="minorEastAsia" w:hAnsiTheme="minorHAnsi" w:cstheme="minorBidi"/>
            <w:noProof/>
            <w:sz w:val="22"/>
            <w:szCs w:val="22"/>
          </w:rPr>
          <w:tab/>
        </w:r>
        <w:r w:rsidRPr="00CD0B56">
          <w:rPr>
            <w:rStyle w:val="Hyperlink"/>
            <w:noProof/>
          </w:rPr>
          <w:t>Part 1 Section 18.17.7.333, TTEST</w:t>
        </w:r>
        <w:r>
          <w:rPr>
            <w:noProof/>
            <w:webHidden/>
          </w:rPr>
          <w:tab/>
        </w:r>
        <w:r>
          <w:rPr>
            <w:noProof/>
            <w:webHidden/>
          </w:rPr>
          <w:fldChar w:fldCharType="begin"/>
        </w:r>
        <w:r>
          <w:rPr>
            <w:noProof/>
            <w:webHidden/>
          </w:rPr>
          <w:instrText xml:space="preserve"> PAGEREF _Toc12261125 \h </w:instrText>
        </w:r>
        <w:r>
          <w:rPr>
            <w:noProof/>
            <w:webHidden/>
          </w:rPr>
        </w:r>
        <w:r>
          <w:rPr>
            <w:noProof/>
            <w:webHidden/>
          </w:rPr>
          <w:fldChar w:fldCharType="separate"/>
        </w:r>
        <w:r>
          <w:rPr>
            <w:noProof/>
            <w:webHidden/>
          </w:rPr>
          <w:t>448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26" w:history="1">
        <w:r w:rsidRPr="00CD0B56">
          <w:rPr>
            <w:rStyle w:val="Hyperlink"/>
            <w:noProof/>
          </w:rPr>
          <w:t>2.1.1058</w:t>
        </w:r>
        <w:r>
          <w:rPr>
            <w:rFonts w:asciiTheme="minorHAnsi" w:eastAsiaTheme="minorEastAsia" w:hAnsiTheme="minorHAnsi" w:cstheme="minorBidi"/>
            <w:noProof/>
            <w:sz w:val="22"/>
            <w:szCs w:val="22"/>
          </w:rPr>
          <w:tab/>
        </w:r>
        <w:r w:rsidRPr="00CD0B56">
          <w:rPr>
            <w:rStyle w:val="Hyperlink"/>
            <w:noProof/>
          </w:rPr>
          <w:t>Part 1 Section 18.17.7.334, TYPE</w:t>
        </w:r>
        <w:r>
          <w:rPr>
            <w:noProof/>
            <w:webHidden/>
          </w:rPr>
          <w:tab/>
        </w:r>
        <w:r>
          <w:rPr>
            <w:noProof/>
            <w:webHidden/>
          </w:rPr>
          <w:fldChar w:fldCharType="begin"/>
        </w:r>
        <w:r>
          <w:rPr>
            <w:noProof/>
            <w:webHidden/>
          </w:rPr>
          <w:instrText xml:space="preserve"> PAGEREF _Toc12261126 \h </w:instrText>
        </w:r>
        <w:r>
          <w:rPr>
            <w:noProof/>
            <w:webHidden/>
          </w:rPr>
        </w:r>
        <w:r>
          <w:rPr>
            <w:noProof/>
            <w:webHidden/>
          </w:rPr>
          <w:fldChar w:fldCharType="separate"/>
        </w:r>
        <w:r>
          <w:rPr>
            <w:noProof/>
            <w:webHidden/>
          </w:rPr>
          <w:t>448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27" w:history="1">
        <w:r w:rsidRPr="00CD0B56">
          <w:rPr>
            <w:rStyle w:val="Hyperlink"/>
            <w:noProof/>
          </w:rPr>
          <w:t>2.1.1059</w:t>
        </w:r>
        <w:r>
          <w:rPr>
            <w:rFonts w:asciiTheme="minorHAnsi" w:eastAsiaTheme="minorEastAsia" w:hAnsiTheme="minorHAnsi" w:cstheme="minorBidi"/>
            <w:noProof/>
            <w:sz w:val="22"/>
            <w:szCs w:val="22"/>
          </w:rPr>
          <w:tab/>
        </w:r>
        <w:r w:rsidRPr="00CD0B56">
          <w:rPr>
            <w:rStyle w:val="Hyperlink"/>
            <w:noProof/>
          </w:rPr>
          <w:t>Part 1 Section 18.17.7.336, USDOLLAR</w:t>
        </w:r>
        <w:r>
          <w:rPr>
            <w:noProof/>
            <w:webHidden/>
          </w:rPr>
          <w:tab/>
        </w:r>
        <w:r>
          <w:rPr>
            <w:noProof/>
            <w:webHidden/>
          </w:rPr>
          <w:fldChar w:fldCharType="begin"/>
        </w:r>
        <w:r>
          <w:rPr>
            <w:noProof/>
            <w:webHidden/>
          </w:rPr>
          <w:instrText xml:space="preserve"> PAGEREF _Toc12261127 \h </w:instrText>
        </w:r>
        <w:r>
          <w:rPr>
            <w:noProof/>
            <w:webHidden/>
          </w:rPr>
        </w:r>
        <w:r>
          <w:rPr>
            <w:noProof/>
            <w:webHidden/>
          </w:rPr>
          <w:fldChar w:fldCharType="separate"/>
        </w:r>
        <w:r>
          <w:rPr>
            <w:noProof/>
            <w:webHidden/>
          </w:rPr>
          <w:t>448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28" w:history="1">
        <w:r w:rsidRPr="00CD0B56">
          <w:rPr>
            <w:rStyle w:val="Hyperlink"/>
            <w:noProof/>
          </w:rPr>
          <w:t>2.1.1060</w:t>
        </w:r>
        <w:r>
          <w:rPr>
            <w:rFonts w:asciiTheme="minorHAnsi" w:eastAsiaTheme="minorEastAsia" w:hAnsiTheme="minorHAnsi" w:cstheme="minorBidi"/>
            <w:noProof/>
            <w:sz w:val="22"/>
            <w:szCs w:val="22"/>
          </w:rPr>
          <w:tab/>
        </w:r>
        <w:r w:rsidRPr="00CD0B56">
          <w:rPr>
            <w:rStyle w:val="Hyperlink"/>
            <w:noProof/>
          </w:rPr>
          <w:t>Part 1 Section 18.17.7.337, VALUE</w:t>
        </w:r>
        <w:r>
          <w:rPr>
            <w:noProof/>
            <w:webHidden/>
          </w:rPr>
          <w:tab/>
        </w:r>
        <w:r>
          <w:rPr>
            <w:noProof/>
            <w:webHidden/>
          </w:rPr>
          <w:fldChar w:fldCharType="begin"/>
        </w:r>
        <w:r>
          <w:rPr>
            <w:noProof/>
            <w:webHidden/>
          </w:rPr>
          <w:instrText xml:space="preserve"> PAGEREF _Toc12261128 \h </w:instrText>
        </w:r>
        <w:r>
          <w:rPr>
            <w:noProof/>
            <w:webHidden/>
          </w:rPr>
        </w:r>
        <w:r>
          <w:rPr>
            <w:noProof/>
            <w:webHidden/>
          </w:rPr>
          <w:fldChar w:fldCharType="separate"/>
        </w:r>
        <w:r>
          <w:rPr>
            <w:noProof/>
            <w:webHidden/>
          </w:rPr>
          <w:t>449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29" w:history="1">
        <w:r w:rsidRPr="00CD0B56">
          <w:rPr>
            <w:rStyle w:val="Hyperlink"/>
            <w:noProof/>
          </w:rPr>
          <w:t>2.1.1061</w:t>
        </w:r>
        <w:r>
          <w:rPr>
            <w:rFonts w:asciiTheme="minorHAnsi" w:eastAsiaTheme="minorEastAsia" w:hAnsiTheme="minorHAnsi" w:cstheme="minorBidi"/>
            <w:noProof/>
            <w:sz w:val="22"/>
            <w:szCs w:val="22"/>
          </w:rPr>
          <w:tab/>
        </w:r>
        <w:r w:rsidRPr="00CD0B56">
          <w:rPr>
            <w:rStyle w:val="Hyperlink"/>
            <w:noProof/>
          </w:rPr>
          <w:t>Part 1 Section 18.17.7.338, VAR</w:t>
        </w:r>
        <w:r>
          <w:rPr>
            <w:noProof/>
            <w:webHidden/>
          </w:rPr>
          <w:tab/>
        </w:r>
        <w:r>
          <w:rPr>
            <w:noProof/>
            <w:webHidden/>
          </w:rPr>
          <w:fldChar w:fldCharType="begin"/>
        </w:r>
        <w:r>
          <w:rPr>
            <w:noProof/>
            <w:webHidden/>
          </w:rPr>
          <w:instrText xml:space="preserve"> PAGEREF _Toc12261129 \h </w:instrText>
        </w:r>
        <w:r>
          <w:rPr>
            <w:noProof/>
            <w:webHidden/>
          </w:rPr>
        </w:r>
        <w:r>
          <w:rPr>
            <w:noProof/>
            <w:webHidden/>
          </w:rPr>
          <w:fldChar w:fldCharType="separate"/>
        </w:r>
        <w:r>
          <w:rPr>
            <w:noProof/>
            <w:webHidden/>
          </w:rPr>
          <w:t>449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30" w:history="1">
        <w:r w:rsidRPr="00CD0B56">
          <w:rPr>
            <w:rStyle w:val="Hyperlink"/>
            <w:noProof/>
          </w:rPr>
          <w:t>2.1.1062</w:t>
        </w:r>
        <w:r>
          <w:rPr>
            <w:rFonts w:asciiTheme="minorHAnsi" w:eastAsiaTheme="minorEastAsia" w:hAnsiTheme="minorHAnsi" w:cstheme="minorBidi"/>
            <w:noProof/>
            <w:sz w:val="22"/>
            <w:szCs w:val="22"/>
          </w:rPr>
          <w:tab/>
        </w:r>
        <w:r w:rsidRPr="00CD0B56">
          <w:rPr>
            <w:rStyle w:val="Hyperlink"/>
            <w:noProof/>
          </w:rPr>
          <w:t>Part 1 Section 18.17.7.339, VARA</w:t>
        </w:r>
        <w:r>
          <w:rPr>
            <w:noProof/>
            <w:webHidden/>
          </w:rPr>
          <w:tab/>
        </w:r>
        <w:r>
          <w:rPr>
            <w:noProof/>
            <w:webHidden/>
          </w:rPr>
          <w:fldChar w:fldCharType="begin"/>
        </w:r>
        <w:r>
          <w:rPr>
            <w:noProof/>
            <w:webHidden/>
          </w:rPr>
          <w:instrText xml:space="preserve"> PAGEREF _Toc12261130 \h </w:instrText>
        </w:r>
        <w:r>
          <w:rPr>
            <w:noProof/>
            <w:webHidden/>
          </w:rPr>
        </w:r>
        <w:r>
          <w:rPr>
            <w:noProof/>
            <w:webHidden/>
          </w:rPr>
          <w:fldChar w:fldCharType="separate"/>
        </w:r>
        <w:r>
          <w:rPr>
            <w:noProof/>
            <w:webHidden/>
          </w:rPr>
          <w:t>449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31" w:history="1">
        <w:r w:rsidRPr="00CD0B56">
          <w:rPr>
            <w:rStyle w:val="Hyperlink"/>
            <w:noProof/>
          </w:rPr>
          <w:t>2.1.1063</w:t>
        </w:r>
        <w:r>
          <w:rPr>
            <w:rFonts w:asciiTheme="minorHAnsi" w:eastAsiaTheme="minorEastAsia" w:hAnsiTheme="minorHAnsi" w:cstheme="minorBidi"/>
            <w:noProof/>
            <w:sz w:val="22"/>
            <w:szCs w:val="22"/>
          </w:rPr>
          <w:tab/>
        </w:r>
        <w:r w:rsidRPr="00CD0B56">
          <w:rPr>
            <w:rStyle w:val="Hyperlink"/>
            <w:noProof/>
          </w:rPr>
          <w:t>Part 1 Section 18.17.7.340, VARP</w:t>
        </w:r>
        <w:r>
          <w:rPr>
            <w:noProof/>
            <w:webHidden/>
          </w:rPr>
          <w:tab/>
        </w:r>
        <w:r>
          <w:rPr>
            <w:noProof/>
            <w:webHidden/>
          </w:rPr>
          <w:fldChar w:fldCharType="begin"/>
        </w:r>
        <w:r>
          <w:rPr>
            <w:noProof/>
            <w:webHidden/>
          </w:rPr>
          <w:instrText xml:space="preserve"> PAGEREF _Toc12261131 \h </w:instrText>
        </w:r>
        <w:r>
          <w:rPr>
            <w:noProof/>
            <w:webHidden/>
          </w:rPr>
        </w:r>
        <w:r>
          <w:rPr>
            <w:noProof/>
            <w:webHidden/>
          </w:rPr>
          <w:fldChar w:fldCharType="separate"/>
        </w:r>
        <w:r>
          <w:rPr>
            <w:noProof/>
            <w:webHidden/>
          </w:rPr>
          <w:t>449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32" w:history="1">
        <w:r w:rsidRPr="00CD0B56">
          <w:rPr>
            <w:rStyle w:val="Hyperlink"/>
            <w:noProof/>
          </w:rPr>
          <w:t>2.1.1064</w:t>
        </w:r>
        <w:r>
          <w:rPr>
            <w:rFonts w:asciiTheme="minorHAnsi" w:eastAsiaTheme="minorEastAsia" w:hAnsiTheme="minorHAnsi" w:cstheme="minorBidi"/>
            <w:noProof/>
            <w:sz w:val="22"/>
            <w:szCs w:val="22"/>
          </w:rPr>
          <w:tab/>
        </w:r>
        <w:r w:rsidRPr="00CD0B56">
          <w:rPr>
            <w:rStyle w:val="Hyperlink"/>
            <w:noProof/>
          </w:rPr>
          <w:t>Part 1 Section 18.17.7.341, VARPA</w:t>
        </w:r>
        <w:r>
          <w:rPr>
            <w:noProof/>
            <w:webHidden/>
          </w:rPr>
          <w:tab/>
        </w:r>
        <w:r>
          <w:rPr>
            <w:noProof/>
            <w:webHidden/>
          </w:rPr>
          <w:fldChar w:fldCharType="begin"/>
        </w:r>
        <w:r>
          <w:rPr>
            <w:noProof/>
            <w:webHidden/>
          </w:rPr>
          <w:instrText xml:space="preserve"> PAGEREF _Toc12261132 \h </w:instrText>
        </w:r>
        <w:r>
          <w:rPr>
            <w:noProof/>
            <w:webHidden/>
          </w:rPr>
        </w:r>
        <w:r>
          <w:rPr>
            <w:noProof/>
            <w:webHidden/>
          </w:rPr>
          <w:fldChar w:fldCharType="separate"/>
        </w:r>
        <w:r>
          <w:rPr>
            <w:noProof/>
            <w:webHidden/>
          </w:rPr>
          <w:t>449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33" w:history="1">
        <w:r w:rsidRPr="00CD0B56">
          <w:rPr>
            <w:rStyle w:val="Hyperlink"/>
            <w:noProof/>
          </w:rPr>
          <w:t>2.1.1065</w:t>
        </w:r>
        <w:r>
          <w:rPr>
            <w:rFonts w:asciiTheme="minorHAnsi" w:eastAsiaTheme="minorEastAsia" w:hAnsiTheme="minorHAnsi" w:cstheme="minorBidi"/>
            <w:noProof/>
            <w:sz w:val="22"/>
            <w:szCs w:val="22"/>
          </w:rPr>
          <w:tab/>
        </w:r>
        <w:r w:rsidRPr="00CD0B56">
          <w:rPr>
            <w:rStyle w:val="Hyperlink"/>
            <w:noProof/>
          </w:rPr>
          <w:t>Part 1 Section 18.17.7.342, VDB</w:t>
        </w:r>
        <w:r>
          <w:rPr>
            <w:noProof/>
            <w:webHidden/>
          </w:rPr>
          <w:tab/>
        </w:r>
        <w:r>
          <w:rPr>
            <w:noProof/>
            <w:webHidden/>
          </w:rPr>
          <w:fldChar w:fldCharType="begin"/>
        </w:r>
        <w:r>
          <w:rPr>
            <w:noProof/>
            <w:webHidden/>
          </w:rPr>
          <w:instrText xml:space="preserve"> PAGEREF _Toc12261133 \h </w:instrText>
        </w:r>
        <w:r>
          <w:rPr>
            <w:noProof/>
            <w:webHidden/>
          </w:rPr>
        </w:r>
        <w:r>
          <w:rPr>
            <w:noProof/>
            <w:webHidden/>
          </w:rPr>
          <w:fldChar w:fldCharType="separate"/>
        </w:r>
        <w:r>
          <w:rPr>
            <w:noProof/>
            <w:webHidden/>
          </w:rPr>
          <w:t>450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34" w:history="1">
        <w:r w:rsidRPr="00CD0B56">
          <w:rPr>
            <w:rStyle w:val="Hyperlink"/>
            <w:noProof/>
          </w:rPr>
          <w:t>2.1.1066</w:t>
        </w:r>
        <w:r>
          <w:rPr>
            <w:rFonts w:asciiTheme="minorHAnsi" w:eastAsiaTheme="minorEastAsia" w:hAnsiTheme="minorHAnsi" w:cstheme="minorBidi"/>
            <w:noProof/>
            <w:sz w:val="22"/>
            <w:szCs w:val="22"/>
          </w:rPr>
          <w:tab/>
        </w:r>
        <w:r w:rsidRPr="00CD0B56">
          <w:rPr>
            <w:rStyle w:val="Hyperlink"/>
            <w:noProof/>
          </w:rPr>
          <w:t>Part 1 Section 18.17.7.343, VLOOKUP</w:t>
        </w:r>
        <w:r>
          <w:rPr>
            <w:noProof/>
            <w:webHidden/>
          </w:rPr>
          <w:tab/>
        </w:r>
        <w:r>
          <w:rPr>
            <w:noProof/>
            <w:webHidden/>
          </w:rPr>
          <w:fldChar w:fldCharType="begin"/>
        </w:r>
        <w:r>
          <w:rPr>
            <w:noProof/>
            <w:webHidden/>
          </w:rPr>
          <w:instrText xml:space="preserve"> PAGEREF _Toc12261134 \h </w:instrText>
        </w:r>
        <w:r>
          <w:rPr>
            <w:noProof/>
            <w:webHidden/>
          </w:rPr>
        </w:r>
        <w:r>
          <w:rPr>
            <w:noProof/>
            <w:webHidden/>
          </w:rPr>
          <w:fldChar w:fldCharType="separate"/>
        </w:r>
        <w:r>
          <w:rPr>
            <w:noProof/>
            <w:webHidden/>
          </w:rPr>
          <w:t>450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35" w:history="1">
        <w:r w:rsidRPr="00CD0B56">
          <w:rPr>
            <w:rStyle w:val="Hyperlink"/>
            <w:noProof/>
          </w:rPr>
          <w:t>2.1.1067</w:t>
        </w:r>
        <w:r>
          <w:rPr>
            <w:rFonts w:asciiTheme="minorHAnsi" w:eastAsiaTheme="minorEastAsia" w:hAnsiTheme="minorHAnsi" w:cstheme="minorBidi"/>
            <w:noProof/>
            <w:sz w:val="22"/>
            <w:szCs w:val="22"/>
          </w:rPr>
          <w:tab/>
        </w:r>
        <w:r w:rsidRPr="00CD0B56">
          <w:rPr>
            <w:rStyle w:val="Hyperlink"/>
            <w:noProof/>
          </w:rPr>
          <w:t>Part 1 Section 18.17.7.346, WEIBULL</w:t>
        </w:r>
        <w:r>
          <w:rPr>
            <w:noProof/>
            <w:webHidden/>
          </w:rPr>
          <w:tab/>
        </w:r>
        <w:r>
          <w:rPr>
            <w:noProof/>
            <w:webHidden/>
          </w:rPr>
          <w:fldChar w:fldCharType="begin"/>
        </w:r>
        <w:r>
          <w:rPr>
            <w:noProof/>
            <w:webHidden/>
          </w:rPr>
          <w:instrText xml:space="preserve"> PAGEREF _Toc12261135 \h </w:instrText>
        </w:r>
        <w:r>
          <w:rPr>
            <w:noProof/>
            <w:webHidden/>
          </w:rPr>
        </w:r>
        <w:r>
          <w:rPr>
            <w:noProof/>
            <w:webHidden/>
          </w:rPr>
          <w:fldChar w:fldCharType="separate"/>
        </w:r>
        <w:r>
          <w:rPr>
            <w:noProof/>
            <w:webHidden/>
          </w:rPr>
          <w:t>450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36" w:history="1">
        <w:r w:rsidRPr="00CD0B56">
          <w:rPr>
            <w:rStyle w:val="Hyperlink"/>
            <w:noProof/>
          </w:rPr>
          <w:t>2.1.1068</w:t>
        </w:r>
        <w:r>
          <w:rPr>
            <w:rFonts w:asciiTheme="minorHAnsi" w:eastAsiaTheme="minorEastAsia" w:hAnsiTheme="minorHAnsi" w:cstheme="minorBidi"/>
            <w:noProof/>
            <w:sz w:val="22"/>
            <w:szCs w:val="22"/>
          </w:rPr>
          <w:tab/>
        </w:r>
        <w:r w:rsidRPr="00CD0B56">
          <w:rPr>
            <w:rStyle w:val="Hyperlink"/>
            <w:noProof/>
          </w:rPr>
          <w:t>Part 1 Section 18.17.7.347, WORKDAY</w:t>
        </w:r>
        <w:r>
          <w:rPr>
            <w:noProof/>
            <w:webHidden/>
          </w:rPr>
          <w:tab/>
        </w:r>
        <w:r>
          <w:rPr>
            <w:noProof/>
            <w:webHidden/>
          </w:rPr>
          <w:fldChar w:fldCharType="begin"/>
        </w:r>
        <w:r>
          <w:rPr>
            <w:noProof/>
            <w:webHidden/>
          </w:rPr>
          <w:instrText xml:space="preserve"> PAGEREF _Toc12261136 \h </w:instrText>
        </w:r>
        <w:r>
          <w:rPr>
            <w:noProof/>
            <w:webHidden/>
          </w:rPr>
        </w:r>
        <w:r>
          <w:rPr>
            <w:noProof/>
            <w:webHidden/>
          </w:rPr>
          <w:fldChar w:fldCharType="separate"/>
        </w:r>
        <w:r>
          <w:rPr>
            <w:noProof/>
            <w:webHidden/>
          </w:rPr>
          <w:t>450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37" w:history="1">
        <w:r w:rsidRPr="00CD0B56">
          <w:rPr>
            <w:rStyle w:val="Hyperlink"/>
            <w:noProof/>
          </w:rPr>
          <w:t>2.1.1069</w:t>
        </w:r>
        <w:r>
          <w:rPr>
            <w:rFonts w:asciiTheme="minorHAnsi" w:eastAsiaTheme="minorEastAsia" w:hAnsiTheme="minorHAnsi" w:cstheme="minorBidi"/>
            <w:noProof/>
            <w:sz w:val="22"/>
            <w:szCs w:val="22"/>
          </w:rPr>
          <w:tab/>
        </w:r>
        <w:r w:rsidRPr="00CD0B56">
          <w:rPr>
            <w:rStyle w:val="Hyperlink"/>
            <w:noProof/>
          </w:rPr>
          <w:t>Part 1 Section 18.17.7.349, XIRR</w:t>
        </w:r>
        <w:r>
          <w:rPr>
            <w:noProof/>
            <w:webHidden/>
          </w:rPr>
          <w:tab/>
        </w:r>
        <w:r>
          <w:rPr>
            <w:noProof/>
            <w:webHidden/>
          </w:rPr>
          <w:fldChar w:fldCharType="begin"/>
        </w:r>
        <w:r>
          <w:rPr>
            <w:noProof/>
            <w:webHidden/>
          </w:rPr>
          <w:instrText xml:space="preserve"> PAGEREF _Toc12261137 \h </w:instrText>
        </w:r>
        <w:r>
          <w:rPr>
            <w:noProof/>
            <w:webHidden/>
          </w:rPr>
        </w:r>
        <w:r>
          <w:rPr>
            <w:noProof/>
            <w:webHidden/>
          </w:rPr>
          <w:fldChar w:fldCharType="separate"/>
        </w:r>
        <w:r>
          <w:rPr>
            <w:noProof/>
            <w:webHidden/>
          </w:rPr>
          <w:t>450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38" w:history="1">
        <w:r w:rsidRPr="00CD0B56">
          <w:rPr>
            <w:rStyle w:val="Hyperlink"/>
            <w:noProof/>
          </w:rPr>
          <w:t>2.1.1070</w:t>
        </w:r>
        <w:r>
          <w:rPr>
            <w:rFonts w:asciiTheme="minorHAnsi" w:eastAsiaTheme="minorEastAsia" w:hAnsiTheme="minorHAnsi" w:cstheme="minorBidi"/>
            <w:noProof/>
            <w:sz w:val="22"/>
            <w:szCs w:val="22"/>
          </w:rPr>
          <w:tab/>
        </w:r>
        <w:r w:rsidRPr="00CD0B56">
          <w:rPr>
            <w:rStyle w:val="Hyperlink"/>
            <w:noProof/>
          </w:rPr>
          <w:t>Part 1 Section 18.17.7.350, XNPV</w:t>
        </w:r>
        <w:r>
          <w:rPr>
            <w:noProof/>
            <w:webHidden/>
          </w:rPr>
          <w:tab/>
        </w:r>
        <w:r>
          <w:rPr>
            <w:noProof/>
            <w:webHidden/>
          </w:rPr>
          <w:fldChar w:fldCharType="begin"/>
        </w:r>
        <w:r>
          <w:rPr>
            <w:noProof/>
            <w:webHidden/>
          </w:rPr>
          <w:instrText xml:space="preserve"> PAGEREF _Toc12261138 \h </w:instrText>
        </w:r>
        <w:r>
          <w:rPr>
            <w:noProof/>
            <w:webHidden/>
          </w:rPr>
        </w:r>
        <w:r>
          <w:rPr>
            <w:noProof/>
            <w:webHidden/>
          </w:rPr>
          <w:fldChar w:fldCharType="separate"/>
        </w:r>
        <w:r>
          <w:rPr>
            <w:noProof/>
            <w:webHidden/>
          </w:rPr>
          <w:t>451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39" w:history="1">
        <w:r w:rsidRPr="00CD0B56">
          <w:rPr>
            <w:rStyle w:val="Hyperlink"/>
            <w:noProof/>
          </w:rPr>
          <w:t>2.1.1071</w:t>
        </w:r>
        <w:r>
          <w:rPr>
            <w:rFonts w:asciiTheme="minorHAnsi" w:eastAsiaTheme="minorEastAsia" w:hAnsiTheme="minorHAnsi" w:cstheme="minorBidi"/>
            <w:noProof/>
            <w:sz w:val="22"/>
            <w:szCs w:val="22"/>
          </w:rPr>
          <w:tab/>
        </w:r>
        <w:r w:rsidRPr="00CD0B56">
          <w:rPr>
            <w:rStyle w:val="Hyperlink"/>
            <w:noProof/>
          </w:rPr>
          <w:t>Part 1 Section 18.17.7.352, YEARFRAC</w:t>
        </w:r>
        <w:r>
          <w:rPr>
            <w:noProof/>
            <w:webHidden/>
          </w:rPr>
          <w:tab/>
        </w:r>
        <w:r>
          <w:rPr>
            <w:noProof/>
            <w:webHidden/>
          </w:rPr>
          <w:fldChar w:fldCharType="begin"/>
        </w:r>
        <w:r>
          <w:rPr>
            <w:noProof/>
            <w:webHidden/>
          </w:rPr>
          <w:instrText xml:space="preserve"> PAGEREF _Toc12261139 \h </w:instrText>
        </w:r>
        <w:r>
          <w:rPr>
            <w:noProof/>
            <w:webHidden/>
          </w:rPr>
        </w:r>
        <w:r>
          <w:rPr>
            <w:noProof/>
            <w:webHidden/>
          </w:rPr>
          <w:fldChar w:fldCharType="separate"/>
        </w:r>
        <w:r>
          <w:rPr>
            <w:noProof/>
            <w:webHidden/>
          </w:rPr>
          <w:t>451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40" w:history="1">
        <w:r w:rsidRPr="00CD0B56">
          <w:rPr>
            <w:rStyle w:val="Hyperlink"/>
            <w:noProof/>
          </w:rPr>
          <w:t>2.1.1072</w:t>
        </w:r>
        <w:r>
          <w:rPr>
            <w:rFonts w:asciiTheme="minorHAnsi" w:eastAsiaTheme="minorEastAsia" w:hAnsiTheme="minorHAnsi" w:cstheme="minorBidi"/>
            <w:noProof/>
            <w:sz w:val="22"/>
            <w:szCs w:val="22"/>
          </w:rPr>
          <w:tab/>
        </w:r>
        <w:r w:rsidRPr="00CD0B56">
          <w:rPr>
            <w:rStyle w:val="Hyperlink"/>
            <w:noProof/>
          </w:rPr>
          <w:t>Part 1 Section 18.17.7.353, YIELD</w:t>
        </w:r>
        <w:r>
          <w:rPr>
            <w:noProof/>
            <w:webHidden/>
          </w:rPr>
          <w:tab/>
        </w:r>
        <w:r>
          <w:rPr>
            <w:noProof/>
            <w:webHidden/>
          </w:rPr>
          <w:fldChar w:fldCharType="begin"/>
        </w:r>
        <w:r>
          <w:rPr>
            <w:noProof/>
            <w:webHidden/>
          </w:rPr>
          <w:instrText xml:space="preserve"> PAGEREF _Toc12261140 \h </w:instrText>
        </w:r>
        <w:r>
          <w:rPr>
            <w:noProof/>
            <w:webHidden/>
          </w:rPr>
        </w:r>
        <w:r>
          <w:rPr>
            <w:noProof/>
            <w:webHidden/>
          </w:rPr>
          <w:fldChar w:fldCharType="separate"/>
        </w:r>
        <w:r>
          <w:rPr>
            <w:noProof/>
            <w:webHidden/>
          </w:rPr>
          <w:t>452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41" w:history="1">
        <w:r w:rsidRPr="00CD0B56">
          <w:rPr>
            <w:rStyle w:val="Hyperlink"/>
            <w:noProof/>
          </w:rPr>
          <w:t>2.1.1073</w:t>
        </w:r>
        <w:r>
          <w:rPr>
            <w:rFonts w:asciiTheme="minorHAnsi" w:eastAsiaTheme="minorEastAsia" w:hAnsiTheme="minorHAnsi" w:cstheme="minorBidi"/>
            <w:noProof/>
            <w:sz w:val="22"/>
            <w:szCs w:val="22"/>
          </w:rPr>
          <w:tab/>
        </w:r>
        <w:r w:rsidRPr="00CD0B56">
          <w:rPr>
            <w:rStyle w:val="Hyperlink"/>
            <w:noProof/>
          </w:rPr>
          <w:t>Part 1 Section 18.17.7.354, YIELDDISC</w:t>
        </w:r>
        <w:r>
          <w:rPr>
            <w:noProof/>
            <w:webHidden/>
          </w:rPr>
          <w:tab/>
        </w:r>
        <w:r>
          <w:rPr>
            <w:noProof/>
            <w:webHidden/>
          </w:rPr>
          <w:fldChar w:fldCharType="begin"/>
        </w:r>
        <w:r>
          <w:rPr>
            <w:noProof/>
            <w:webHidden/>
          </w:rPr>
          <w:instrText xml:space="preserve"> PAGEREF _Toc12261141 \h </w:instrText>
        </w:r>
        <w:r>
          <w:rPr>
            <w:noProof/>
            <w:webHidden/>
          </w:rPr>
        </w:r>
        <w:r>
          <w:rPr>
            <w:noProof/>
            <w:webHidden/>
          </w:rPr>
          <w:fldChar w:fldCharType="separate"/>
        </w:r>
        <w:r>
          <w:rPr>
            <w:noProof/>
            <w:webHidden/>
          </w:rPr>
          <w:t>452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42" w:history="1">
        <w:r w:rsidRPr="00CD0B56">
          <w:rPr>
            <w:rStyle w:val="Hyperlink"/>
            <w:noProof/>
          </w:rPr>
          <w:t>2.1.1074</w:t>
        </w:r>
        <w:r>
          <w:rPr>
            <w:rFonts w:asciiTheme="minorHAnsi" w:eastAsiaTheme="minorEastAsia" w:hAnsiTheme="minorHAnsi" w:cstheme="minorBidi"/>
            <w:noProof/>
            <w:sz w:val="22"/>
            <w:szCs w:val="22"/>
          </w:rPr>
          <w:tab/>
        </w:r>
        <w:r w:rsidRPr="00CD0B56">
          <w:rPr>
            <w:rStyle w:val="Hyperlink"/>
            <w:noProof/>
          </w:rPr>
          <w:t>Part 1 Section 18.17.7.355, YIELDMAT</w:t>
        </w:r>
        <w:r>
          <w:rPr>
            <w:noProof/>
            <w:webHidden/>
          </w:rPr>
          <w:tab/>
        </w:r>
        <w:r>
          <w:rPr>
            <w:noProof/>
            <w:webHidden/>
          </w:rPr>
          <w:fldChar w:fldCharType="begin"/>
        </w:r>
        <w:r>
          <w:rPr>
            <w:noProof/>
            <w:webHidden/>
          </w:rPr>
          <w:instrText xml:space="preserve"> PAGEREF _Toc12261142 \h </w:instrText>
        </w:r>
        <w:r>
          <w:rPr>
            <w:noProof/>
            <w:webHidden/>
          </w:rPr>
        </w:r>
        <w:r>
          <w:rPr>
            <w:noProof/>
            <w:webHidden/>
          </w:rPr>
          <w:fldChar w:fldCharType="separate"/>
        </w:r>
        <w:r>
          <w:rPr>
            <w:noProof/>
            <w:webHidden/>
          </w:rPr>
          <w:t>453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43" w:history="1">
        <w:r w:rsidRPr="00CD0B56">
          <w:rPr>
            <w:rStyle w:val="Hyperlink"/>
            <w:noProof/>
          </w:rPr>
          <w:t>2.1.1075</w:t>
        </w:r>
        <w:r>
          <w:rPr>
            <w:rFonts w:asciiTheme="minorHAnsi" w:eastAsiaTheme="minorEastAsia" w:hAnsiTheme="minorHAnsi" w:cstheme="minorBidi"/>
            <w:noProof/>
            <w:sz w:val="22"/>
            <w:szCs w:val="22"/>
          </w:rPr>
          <w:tab/>
        </w:r>
        <w:r w:rsidRPr="00CD0B56">
          <w:rPr>
            <w:rStyle w:val="Hyperlink"/>
            <w:noProof/>
          </w:rPr>
          <w:t>Part 1 Section 18.17.7.356, ZTEST</w:t>
        </w:r>
        <w:r>
          <w:rPr>
            <w:noProof/>
            <w:webHidden/>
          </w:rPr>
          <w:tab/>
        </w:r>
        <w:r>
          <w:rPr>
            <w:noProof/>
            <w:webHidden/>
          </w:rPr>
          <w:fldChar w:fldCharType="begin"/>
        </w:r>
        <w:r>
          <w:rPr>
            <w:noProof/>
            <w:webHidden/>
          </w:rPr>
          <w:instrText xml:space="preserve"> PAGEREF _Toc12261143 \h </w:instrText>
        </w:r>
        <w:r>
          <w:rPr>
            <w:noProof/>
            <w:webHidden/>
          </w:rPr>
        </w:r>
        <w:r>
          <w:rPr>
            <w:noProof/>
            <w:webHidden/>
          </w:rPr>
          <w:fldChar w:fldCharType="separate"/>
        </w:r>
        <w:r>
          <w:rPr>
            <w:noProof/>
            <w:webHidden/>
          </w:rPr>
          <w:t>454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44" w:history="1">
        <w:r w:rsidRPr="00CD0B56">
          <w:rPr>
            <w:rStyle w:val="Hyperlink"/>
            <w:noProof/>
          </w:rPr>
          <w:t>2.1.1076</w:t>
        </w:r>
        <w:r>
          <w:rPr>
            <w:rFonts w:asciiTheme="minorHAnsi" w:eastAsiaTheme="minorEastAsia" w:hAnsiTheme="minorHAnsi" w:cstheme="minorBidi"/>
            <w:noProof/>
            <w:sz w:val="22"/>
            <w:szCs w:val="22"/>
          </w:rPr>
          <w:tab/>
        </w:r>
        <w:r w:rsidRPr="00CD0B56">
          <w:rPr>
            <w:rStyle w:val="Hyperlink"/>
            <w:noProof/>
          </w:rPr>
          <w:t>Part 1 Section 18.18.2, ST_BorderId (Border Id)</w:t>
        </w:r>
        <w:r>
          <w:rPr>
            <w:noProof/>
            <w:webHidden/>
          </w:rPr>
          <w:tab/>
        </w:r>
        <w:r>
          <w:rPr>
            <w:noProof/>
            <w:webHidden/>
          </w:rPr>
          <w:fldChar w:fldCharType="begin"/>
        </w:r>
        <w:r>
          <w:rPr>
            <w:noProof/>
            <w:webHidden/>
          </w:rPr>
          <w:instrText xml:space="preserve"> PAGEREF _Toc12261144 \h </w:instrText>
        </w:r>
        <w:r>
          <w:rPr>
            <w:noProof/>
            <w:webHidden/>
          </w:rPr>
        </w:r>
        <w:r>
          <w:rPr>
            <w:noProof/>
            <w:webHidden/>
          </w:rPr>
          <w:fldChar w:fldCharType="separate"/>
        </w:r>
        <w:r>
          <w:rPr>
            <w:noProof/>
            <w:webHidden/>
          </w:rPr>
          <w:t>454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45" w:history="1">
        <w:r w:rsidRPr="00CD0B56">
          <w:rPr>
            <w:rStyle w:val="Hyperlink"/>
            <w:noProof/>
          </w:rPr>
          <w:t>2.1.1077</w:t>
        </w:r>
        <w:r>
          <w:rPr>
            <w:rFonts w:asciiTheme="minorHAnsi" w:eastAsiaTheme="minorEastAsia" w:hAnsiTheme="minorHAnsi" w:cstheme="minorBidi"/>
            <w:noProof/>
            <w:sz w:val="22"/>
            <w:szCs w:val="22"/>
          </w:rPr>
          <w:tab/>
        </w:r>
        <w:r w:rsidRPr="00CD0B56">
          <w:rPr>
            <w:rStyle w:val="Hyperlink"/>
            <w:noProof/>
          </w:rPr>
          <w:t>Part 1 Section 18.18.6, ST_CellFormulaType (Formula Type)</w:t>
        </w:r>
        <w:r>
          <w:rPr>
            <w:noProof/>
            <w:webHidden/>
          </w:rPr>
          <w:tab/>
        </w:r>
        <w:r>
          <w:rPr>
            <w:noProof/>
            <w:webHidden/>
          </w:rPr>
          <w:fldChar w:fldCharType="begin"/>
        </w:r>
        <w:r>
          <w:rPr>
            <w:noProof/>
            <w:webHidden/>
          </w:rPr>
          <w:instrText xml:space="preserve"> PAGEREF _Toc12261145 \h </w:instrText>
        </w:r>
        <w:r>
          <w:rPr>
            <w:noProof/>
            <w:webHidden/>
          </w:rPr>
        </w:r>
        <w:r>
          <w:rPr>
            <w:noProof/>
            <w:webHidden/>
          </w:rPr>
          <w:fldChar w:fldCharType="separate"/>
        </w:r>
        <w:r>
          <w:rPr>
            <w:noProof/>
            <w:webHidden/>
          </w:rPr>
          <w:t>454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46" w:history="1">
        <w:r w:rsidRPr="00CD0B56">
          <w:rPr>
            <w:rStyle w:val="Hyperlink"/>
            <w:noProof/>
          </w:rPr>
          <w:t>2.1.1078</w:t>
        </w:r>
        <w:r>
          <w:rPr>
            <w:rFonts w:asciiTheme="minorHAnsi" w:eastAsiaTheme="minorEastAsia" w:hAnsiTheme="minorHAnsi" w:cstheme="minorBidi"/>
            <w:noProof/>
            <w:sz w:val="22"/>
            <w:szCs w:val="22"/>
          </w:rPr>
          <w:tab/>
        </w:r>
        <w:r w:rsidRPr="00CD0B56">
          <w:rPr>
            <w:rStyle w:val="Hyperlink"/>
            <w:noProof/>
          </w:rPr>
          <w:t>Part 1 Section 18.18.7, ST_CellRef (Cell Reference)</w:t>
        </w:r>
        <w:r>
          <w:rPr>
            <w:noProof/>
            <w:webHidden/>
          </w:rPr>
          <w:tab/>
        </w:r>
        <w:r>
          <w:rPr>
            <w:noProof/>
            <w:webHidden/>
          </w:rPr>
          <w:fldChar w:fldCharType="begin"/>
        </w:r>
        <w:r>
          <w:rPr>
            <w:noProof/>
            <w:webHidden/>
          </w:rPr>
          <w:instrText xml:space="preserve"> PAGEREF _Toc12261146 \h </w:instrText>
        </w:r>
        <w:r>
          <w:rPr>
            <w:noProof/>
            <w:webHidden/>
          </w:rPr>
        </w:r>
        <w:r>
          <w:rPr>
            <w:noProof/>
            <w:webHidden/>
          </w:rPr>
          <w:fldChar w:fldCharType="separate"/>
        </w:r>
        <w:r>
          <w:rPr>
            <w:noProof/>
            <w:webHidden/>
          </w:rPr>
          <w:t>454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47" w:history="1">
        <w:r w:rsidRPr="00CD0B56">
          <w:rPr>
            <w:rStyle w:val="Hyperlink"/>
            <w:noProof/>
          </w:rPr>
          <w:t>2.1.1079</w:t>
        </w:r>
        <w:r>
          <w:rPr>
            <w:rFonts w:asciiTheme="minorHAnsi" w:eastAsiaTheme="minorEastAsia" w:hAnsiTheme="minorHAnsi" w:cstheme="minorBidi"/>
            <w:noProof/>
            <w:sz w:val="22"/>
            <w:szCs w:val="22"/>
          </w:rPr>
          <w:tab/>
        </w:r>
        <w:r w:rsidRPr="00CD0B56">
          <w:rPr>
            <w:rStyle w:val="Hyperlink"/>
            <w:noProof/>
          </w:rPr>
          <w:t>Part 1 Section 18.18.8, ST_CellSpan (Cell Span Type)</w:t>
        </w:r>
        <w:r>
          <w:rPr>
            <w:noProof/>
            <w:webHidden/>
          </w:rPr>
          <w:tab/>
        </w:r>
        <w:r>
          <w:rPr>
            <w:noProof/>
            <w:webHidden/>
          </w:rPr>
          <w:fldChar w:fldCharType="begin"/>
        </w:r>
        <w:r>
          <w:rPr>
            <w:noProof/>
            <w:webHidden/>
          </w:rPr>
          <w:instrText xml:space="preserve"> PAGEREF _Toc12261147 \h </w:instrText>
        </w:r>
        <w:r>
          <w:rPr>
            <w:noProof/>
            <w:webHidden/>
          </w:rPr>
        </w:r>
        <w:r>
          <w:rPr>
            <w:noProof/>
            <w:webHidden/>
          </w:rPr>
          <w:fldChar w:fldCharType="separate"/>
        </w:r>
        <w:r>
          <w:rPr>
            <w:noProof/>
            <w:webHidden/>
          </w:rPr>
          <w:t>455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48" w:history="1">
        <w:r w:rsidRPr="00CD0B56">
          <w:rPr>
            <w:rStyle w:val="Hyperlink"/>
            <w:noProof/>
          </w:rPr>
          <w:t>2.1.1080</w:t>
        </w:r>
        <w:r>
          <w:rPr>
            <w:rFonts w:asciiTheme="minorHAnsi" w:eastAsiaTheme="minorEastAsia" w:hAnsiTheme="minorHAnsi" w:cstheme="minorBidi"/>
            <w:noProof/>
            <w:sz w:val="22"/>
            <w:szCs w:val="22"/>
          </w:rPr>
          <w:tab/>
        </w:r>
        <w:r w:rsidRPr="00CD0B56">
          <w:rPr>
            <w:rStyle w:val="Hyperlink"/>
            <w:noProof/>
          </w:rPr>
          <w:t>Part 1 Section 18.18.16, ST_CredMethod (Credentials Method)</w:t>
        </w:r>
        <w:r>
          <w:rPr>
            <w:noProof/>
            <w:webHidden/>
          </w:rPr>
          <w:tab/>
        </w:r>
        <w:r>
          <w:rPr>
            <w:noProof/>
            <w:webHidden/>
          </w:rPr>
          <w:fldChar w:fldCharType="begin"/>
        </w:r>
        <w:r>
          <w:rPr>
            <w:noProof/>
            <w:webHidden/>
          </w:rPr>
          <w:instrText xml:space="preserve"> PAGEREF _Toc12261148 \h </w:instrText>
        </w:r>
        <w:r>
          <w:rPr>
            <w:noProof/>
            <w:webHidden/>
          </w:rPr>
        </w:r>
        <w:r>
          <w:rPr>
            <w:noProof/>
            <w:webHidden/>
          </w:rPr>
          <w:fldChar w:fldCharType="separate"/>
        </w:r>
        <w:r>
          <w:rPr>
            <w:noProof/>
            <w:webHidden/>
          </w:rPr>
          <w:t>455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49" w:history="1">
        <w:r w:rsidRPr="00CD0B56">
          <w:rPr>
            <w:rStyle w:val="Hyperlink"/>
            <w:noProof/>
          </w:rPr>
          <w:t>2.1.1081</w:t>
        </w:r>
        <w:r>
          <w:rPr>
            <w:rFonts w:asciiTheme="minorHAnsi" w:eastAsiaTheme="minorEastAsia" w:hAnsiTheme="minorHAnsi" w:cstheme="minorBidi"/>
            <w:noProof/>
            <w:sz w:val="22"/>
            <w:szCs w:val="22"/>
          </w:rPr>
          <w:tab/>
        </w:r>
        <w:r w:rsidRPr="00CD0B56">
          <w:rPr>
            <w:rStyle w:val="Hyperlink"/>
            <w:noProof/>
          </w:rPr>
          <w:t>Part 1 Section 18.18.25, ST_DxfId (Format Id)</w:t>
        </w:r>
        <w:r>
          <w:rPr>
            <w:noProof/>
            <w:webHidden/>
          </w:rPr>
          <w:tab/>
        </w:r>
        <w:r>
          <w:rPr>
            <w:noProof/>
            <w:webHidden/>
          </w:rPr>
          <w:fldChar w:fldCharType="begin"/>
        </w:r>
        <w:r>
          <w:rPr>
            <w:noProof/>
            <w:webHidden/>
          </w:rPr>
          <w:instrText xml:space="preserve"> PAGEREF _Toc12261149 \h </w:instrText>
        </w:r>
        <w:r>
          <w:rPr>
            <w:noProof/>
            <w:webHidden/>
          </w:rPr>
        </w:r>
        <w:r>
          <w:rPr>
            <w:noProof/>
            <w:webHidden/>
          </w:rPr>
          <w:fldChar w:fldCharType="separate"/>
        </w:r>
        <w:r>
          <w:rPr>
            <w:noProof/>
            <w:webHidden/>
          </w:rPr>
          <w:t>456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50" w:history="1">
        <w:r w:rsidRPr="00CD0B56">
          <w:rPr>
            <w:rStyle w:val="Hyperlink"/>
            <w:noProof/>
          </w:rPr>
          <w:t>2.1.1082</w:t>
        </w:r>
        <w:r>
          <w:rPr>
            <w:rFonts w:asciiTheme="minorHAnsi" w:eastAsiaTheme="minorEastAsia" w:hAnsiTheme="minorHAnsi" w:cstheme="minorBidi"/>
            <w:noProof/>
            <w:sz w:val="22"/>
            <w:szCs w:val="22"/>
          </w:rPr>
          <w:tab/>
        </w:r>
        <w:r w:rsidRPr="00CD0B56">
          <w:rPr>
            <w:rStyle w:val="Hyperlink"/>
            <w:noProof/>
          </w:rPr>
          <w:t>Part 1 Section 18.18.29, ST_FileType (File Type)</w:t>
        </w:r>
        <w:r>
          <w:rPr>
            <w:noProof/>
            <w:webHidden/>
          </w:rPr>
          <w:tab/>
        </w:r>
        <w:r>
          <w:rPr>
            <w:noProof/>
            <w:webHidden/>
          </w:rPr>
          <w:fldChar w:fldCharType="begin"/>
        </w:r>
        <w:r>
          <w:rPr>
            <w:noProof/>
            <w:webHidden/>
          </w:rPr>
          <w:instrText xml:space="preserve"> PAGEREF _Toc12261150 \h </w:instrText>
        </w:r>
        <w:r>
          <w:rPr>
            <w:noProof/>
            <w:webHidden/>
          </w:rPr>
        </w:r>
        <w:r>
          <w:rPr>
            <w:noProof/>
            <w:webHidden/>
          </w:rPr>
          <w:fldChar w:fldCharType="separate"/>
        </w:r>
        <w:r>
          <w:rPr>
            <w:noProof/>
            <w:webHidden/>
          </w:rPr>
          <w:t>456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51" w:history="1">
        <w:r w:rsidRPr="00CD0B56">
          <w:rPr>
            <w:rStyle w:val="Hyperlink"/>
            <w:noProof/>
          </w:rPr>
          <w:t>2.1.1083</w:t>
        </w:r>
        <w:r>
          <w:rPr>
            <w:rFonts w:asciiTheme="minorHAnsi" w:eastAsiaTheme="minorEastAsia" w:hAnsiTheme="minorHAnsi" w:cstheme="minorBidi"/>
            <w:noProof/>
            <w:sz w:val="22"/>
            <w:szCs w:val="22"/>
          </w:rPr>
          <w:tab/>
        </w:r>
        <w:r w:rsidRPr="00CD0B56">
          <w:rPr>
            <w:rStyle w:val="Hyperlink"/>
            <w:noProof/>
          </w:rPr>
          <w:t>Part 1 Section 18.18.30, ST_FillId (Fill Id)</w:t>
        </w:r>
        <w:r>
          <w:rPr>
            <w:noProof/>
            <w:webHidden/>
          </w:rPr>
          <w:tab/>
        </w:r>
        <w:r>
          <w:rPr>
            <w:noProof/>
            <w:webHidden/>
          </w:rPr>
          <w:fldChar w:fldCharType="begin"/>
        </w:r>
        <w:r>
          <w:rPr>
            <w:noProof/>
            <w:webHidden/>
          </w:rPr>
          <w:instrText xml:space="preserve"> PAGEREF _Toc12261151 \h </w:instrText>
        </w:r>
        <w:r>
          <w:rPr>
            <w:noProof/>
            <w:webHidden/>
          </w:rPr>
        </w:r>
        <w:r>
          <w:rPr>
            <w:noProof/>
            <w:webHidden/>
          </w:rPr>
          <w:fldChar w:fldCharType="separate"/>
        </w:r>
        <w:r>
          <w:rPr>
            <w:noProof/>
            <w:webHidden/>
          </w:rPr>
          <w:t>456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52" w:history="1">
        <w:r w:rsidRPr="00CD0B56">
          <w:rPr>
            <w:rStyle w:val="Hyperlink"/>
            <w:noProof/>
          </w:rPr>
          <w:t>2.1.1084</w:t>
        </w:r>
        <w:r>
          <w:rPr>
            <w:rFonts w:asciiTheme="minorHAnsi" w:eastAsiaTheme="minorEastAsia" w:hAnsiTheme="minorHAnsi" w:cstheme="minorBidi"/>
            <w:noProof/>
            <w:sz w:val="22"/>
            <w:szCs w:val="22"/>
          </w:rPr>
          <w:tab/>
        </w:r>
        <w:r w:rsidRPr="00CD0B56">
          <w:rPr>
            <w:rStyle w:val="Hyperlink"/>
            <w:noProof/>
          </w:rPr>
          <w:t>Part 1 Section 18.18.35, ST_Formula (Formula)</w:t>
        </w:r>
        <w:r>
          <w:rPr>
            <w:noProof/>
            <w:webHidden/>
          </w:rPr>
          <w:tab/>
        </w:r>
        <w:r>
          <w:rPr>
            <w:noProof/>
            <w:webHidden/>
          </w:rPr>
          <w:fldChar w:fldCharType="begin"/>
        </w:r>
        <w:r>
          <w:rPr>
            <w:noProof/>
            <w:webHidden/>
          </w:rPr>
          <w:instrText xml:space="preserve"> PAGEREF _Toc12261152 \h </w:instrText>
        </w:r>
        <w:r>
          <w:rPr>
            <w:noProof/>
            <w:webHidden/>
          </w:rPr>
        </w:r>
        <w:r>
          <w:rPr>
            <w:noProof/>
            <w:webHidden/>
          </w:rPr>
          <w:fldChar w:fldCharType="separate"/>
        </w:r>
        <w:r>
          <w:rPr>
            <w:noProof/>
            <w:webHidden/>
          </w:rPr>
          <w:t>456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53" w:history="1">
        <w:r w:rsidRPr="00CD0B56">
          <w:rPr>
            <w:rStyle w:val="Hyperlink"/>
            <w:noProof/>
          </w:rPr>
          <w:t>2.1.1085</w:t>
        </w:r>
        <w:r>
          <w:rPr>
            <w:rFonts w:asciiTheme="minorHAnsi" w:eastAsiaTheme="minorEastAsia" w:hAnsiTheme="minorHAnsi" w:cstheme="minorBidi"/>
            <w:noProof/>
            <w:sz w:val="22"/>
            <w:szCs w:val="22"/>
          </w:rPr>
          <w:tab/>
        </w:r>
        <w:r w:rsidRPr="00CD0B56">
          <w:rPr>
            <w:rStyle w:val="Hyperlink"/>
            <w:noProof/>
          </w:rPr>
          <w:t>Part 1 Section 18.18.42, ST_IconSetType (Icon Set Type)</w:t>
        </w:r>
        <w:r>
          <w:rPr>
            <w:noProof/>
            <w:webHidden/>
          </w:rPr>
          <w:tab/>
        </w:r>
        <w:r>
          <w:rPr>
            <w:noProof/>
            <w:webHidden/>
          </w:rPr>
          <w:fldChar w:fldCharType="begin"/>
        </w:r>
        <w:r>
          <w:rPr>
            <w:noProof/>
            <w:webHidden/>
          </w:rPr>
          <w:instrText xml:space="preserve"> PAGEREF _Toc12261153 \h </w:instrText>
        </w:r>
        <w:r>
          <w:rPr>
            <w:noProof/>
            <w:webHidden/>
          </w:rPr>
        </w:r>
        <w:r>
          <w:rPr>
            <w:noProof/>
            <w:webHidden/>
          </w:rPr>
          <w:fldChar w:fldCharType="separate"/>
        </w:r>
        <w:r>
          <w:rPr>
            <w:noProof/>
            <w:webHidden/>
          </w:rPr>
          <w:t>456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54" w:history="1">
        <w:r w:rsidRPr="00CD0B56">
          <w:rPr>
            <w:rStyle w:val="Hyperlink"/>
            <w:noProof/>
          </w:rPr>
          <w:t>2.1.1086</w:t>
        </w:r>
        <w:r>
          <w:rPr>
            <w:rFonts w:asciiTheme="minorHAnsi" w:eastAsiaTheme="minorEastAsia" w:hAnsiTheme="minorHAnsi" w:cstheme="minorBidi"/>
            <w:noProof/>
            <w:sz w:val="22"/>
            <w:szCs w:val="22"/>
          </w:rPr>
          <w:tab/>
        </w:r>
        <w:r w:rsidRPr="00CD0B56">
          <w:rPr>
            <w:rStyle w:val="Hyperlink"/>
            <w:noProof/>
          </w:rPr>
          <w:t>Part 1 Section 18.18.47, ST_NumFmtId (Number Format Id)</w:t>
        </w:r>
        <w:r>
          <w:rPr>
            <w:noProof/>
            <w:webHidden/>
          </w:rPr>
          <w:tab/>
        </w:r>
        <w:r>
          <w:rPr>
            <w:noProof/>
            <w:webHidden/>
          </w:rPr>
          <w:fldChar w:fldCharType="begin"/>
        </w:r>
        <w:r>
          <w:rPr>
            <w:noProof/>
            <w:webHidden/>
          </w:rPr>
          <w:instrText xml:space="preserve"> PAGEREF _Toc12261154 \h </w:instrText>
        </w:r>
        <w:r>
          <w:rPr>
            <w:noProof/>
            <w:webHidden/>
          </w:rPr>
        </w:r>
        <w:r>
          <w:rPr>
            <w:noProof/>
            <w:webHidden/>
          </w:rPr>
          <w:fldChar w:fldCharType="separate"/>
        </w:r>
        <w:r>
          <w:rPr>
            <w:noProof/>
            <w:webHidden/>
          </w:rPr>
          <w:t>456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55" w:history="1">
        <w:r w:rsidRPr="00CD0B56">
          <w:rPr>
            <w:rStyle w:val="Hyperlink"/>
            <w:noProof/>
          </w:rPr>
          <w:t>2.1.1087</w:t>
        </w:r>
        <w:r>
          <w:rPr>
            <w:rFonts w:asciiTheme="minorHAnsi" w:eastAsiaTheme="minorEastAsia" w:hAnsiTheme="minorHAnsi" w:cstheme="minorBidi"/>
            <w:noProof/>
            <w:sz w:val="22"/>
            <w:szCs w:val="22"/>
          </w:rPr>
          <w:tab/>
        </w:r>
        <w:r w:rsidRPr="00CD0B56">
          <w:rPr>
            <w:rStyle w:val="Hyperlink"/>
            <w:noProof/>
          </w:rPr>
          <w:t>Part 1 Section 18.18.57, ST_PhoneticType (Phonetic Type)</w:t>
        </w:r>
        <w:r>
          <w:rPr>
            <w:noProof/>
            <w:webHidden/>
          </w:rPr>
          <w:tab/>
        </w:r>
        <w:r>
          <w:rPr>
            <w:noProof/>
            <w:webHidden/>
          </w:rPr>
          <w:fldChar w:fldCharType="begin"/>
        </w:r>
        <w:r>
          <w:rPr>
            <w:noProof/>
            <w:webHidden/>
          </w:rPr>
          <w:instrText xml:space="preserve"> PAGEREF _Toc12261155 \h </w:instrText>
        </w:r>
        <w:r>
          <w:rPr>
            <w:noProof/>
            <w:webHidden/>
          </w:rPr>
        </w:r>
        <w:r>
          <w:rPr>
            <w:noProof/>
            <w:webHidden/>
          </w:rPr>
          <w:fldChar w:fldCharType="separate"/>
        </w:r>
        <w:r>
          <w:rPr>
            <w:noProof/>
            <w:webHidden/>
          </w:rPr>
          <w:t>457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56" w:history="1">
        <w:r w:rsidRPr="00CD0B56">
          <w:rPr>
            <w:rStyle w:val="Hyperlink"/>
            <w:noProof/>
          </w:rPr>
          <w:t>2.1.1088</w:t>
        </w:r>
        <w:r>
          <w:rPr>
            <w:rFonts w:asciiTheme="minorHAnsi" w:eastAsiaTheme="minorEastAsia" w:hAnsiTheme="minorHAnsi" w:cstheme="minorBidi"/>
            <w:noProof/>
            <w:sz w:val="22"/>
            <w:szCs w:val="22"/>
          </w:rPr>
          <w:tab/>
        </w:r>
        <w:r w:rsidRPr="00CD0B56">
          <w:rPr>
            <w:rStyle w:val="Hyperlink"/>
            <w:noProof/>
          </w:rPr>
          <w:t>Part 1 Section 18.18.59, ST_PivotFilterType (Pivot Filter Types)</w:t>
        </w:r>
        <w:r>
          <w:rPr>
            <w:noProof/>
            <w:webHidden/>
          </w:rPr>
          <w:tab/>
        </w:r>
        <w:r>
          <w:rPr>
            <w:noProof/>
            <w:webHidden/>
          </w:rPr>
          <w:fldChar w:fldCharType="begin"/>
        </w:r>
        <w:r>
          <w:rPr>
            <w:noProof/>
            <w:webHidden/>
          </w:rPr>
          <w:instrText xml:space="preserve"> PAGEREF _Toc12261156 \h </w:instrText>
        </w:r>
        <w:r>
          <w:rPr>
            <w:noProof/>
            <w:webHidden/>
          </w:rPr>
        </w:r>
        <w:r>
          <w:rPr>
            <w:noProof/>
            <w:webHidden/>
          </w:rPr>
          <w:fldChar w:fldCharType="separate"/>
        </w:r>
        <w:r>
          <w:rPr>
            <w:noProof/>
            <w:webHidden/>
          </w:rPr>
          <w:t>457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57" w:history="1">
        <w:r w:rsidRPr="00CD0B56">
          <w:rPr>
            <w:rStyle w:val="Hyperlink"/>
            <w:noProof/>
          </w:rPr>
          <w:t>2.1.1089</w:t>
        </w:r>
        <w:r>
          <w:rPr>
            <w:rFonts w:asciiTheme="minorHAnsi" w:eastAsiaTheme="minorEastAsia" w:hAnsiTheme="minorHAnsi" w:cstheme="minorBidi"/>
            <w:noProof/>
            <w:sz w:val="22"/>
            <w:szCs w:val="22"/>
          </w:rPr>
          <w:tab/>
        </w:r>
        <w:r w:rsidRPr="00CD0B56">
          <w:rPr>
            <w:rStyle w:val="Hyperlink"/>
            <w:noProof/>
          </w:rPr>
          <w:t>Part 1 Section 18.18.62, ST_Ref (Cell References)</w:t>
        </w:r>
        <w:r>
          <w:rPr>
            <w:noProof/>
            <w:webHidden/>
          </w:rPr>
          <w:tab/>
        </w:r>
        <w:r>
          <w:rPr>
            <w:noProof/>
            <w:webHidden/>
          </w:rPr>
          <w:fldChar w:fldCharType="begin"/>
        </w:r>
        <w:r>
          <w:rPr>
            <w:noProof/>
            <w:webHidden/>
          </w:rPr>
          <w:instrText xml:space="preserve"> PAGEREF _Toc12261157 \h </w:instrText>
        </w:r>
        <w:r>
          <w:rPr>
            <w:noProof/>
            <w:webHidden/>
          </w:rPr>
        </w:r>
        <w:r>
          <w:rPr>
            <w:noProof/>
            <w:webHidden/>
          </w:rPr>
          <w:fldChar w:fldCharType="separate"/>
        </w:r>
        <w:r>
          <w:rPr>
            <w:noProof/>
            <w:webHidden/>
          </w:rPr>
          <w:t>457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58" w:history="1">
        <w:r w:rsidRPr="00CD0B56">
          <w:rPr>
            <w:rStyle w:val="Hyperlink"/>
            <w:noProof/>
          </w:rPr>
          <w:t>2.1.1090</w:t>
        </w:r>
        <w:r>
          <w:rPr>
            <w:rFonts w:asciiTheme="minorHAnsi" w:eastAsiaTheme="minorEastAsia" w:hAnsiTheme="minorHAnsi" w:cstheme="minorBidi"/>
            <w:noProof/>
            <w:sz w:val="22"/>
            <w:szCs w:val="22"/>
          </w:rPr>
          <w:tab/>
        </w:r>
        <w:r w:rsidRPr="00CD0B56">
          <w:rPr>
            <w:rStyle w:val="Hyperlink"/>
            <w:noProof/>
          </w:rPr>
          <w:t>Part 1 Section 18.18.63, ST_RefA (Single Cell Reference)</w:t>
        </w:r>
        <w:r>
          <w:rPr>
            <w:noProof/>
            <w:webHidden/>
          </w:rPr>
          <w:tab/>
        </w:r>
        <w:r>
          <w:rPr>
            <w:noProof/>
            <w:webHidden/>
          </w:rPr>
          <w:fldChar w:fldCharType="begin"/>
        </w:r>
        <w:r>
          <w:rPr>
            <w:noProof/>
            <w:webHidden/>
          </w:rPr>
          <w:instrText xml:space="preserve"> PAGEREF _Toc12261158 \h </w:instrText>
        </w:r>
        <w:r>
          <w:rPr>
            <w:noProof/>
            <w:webHidden/>
          </w:rPr>
        </w:r>
        <w:r>
          <w:rPr>
            <w:noProof/>
            <w:webHidden/>
          </w:rPr>
          <w:fldChar w:fldCharType="separate"/>
        </w:r>
        <w:r>
          <w:rPr>
            <w:noProof/>
            <w:webHidden/>
          </w:rPr>
          <w:t>457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59" w:history="1">
        <w:r w:rsidRPr="00CD0B56">
          <w:rPr>
            <w:rStyle w:val="Hyperlink"/>
            <w:noProof/>
          </w:rPr>
          <w:t>2.1.1091</w:t>
        </w:r>
        <w:r>
          <w:rPr>
            <w:rFonts w:asciiTheme="minorHAnsi" w:eastAsiaTheme="minorEastAsia" w:hAnsiTheme="minorHAnsi" w:cstheme="minorBidi"/>
            <w:noProof/>
            <w:sz w:val="22"/>
            <w:szCs w:val="22"/>
          </w:rPr>
          <w:tab/>
        </w:r>
        <w:r w:rsidRPr="00CD0B56">
          <w:rPr>
            <w:rStyle w:val="Hyperlink"/>
            <w:noProof/>
          </w:rPr>
          <w:t>Part 1 Section 18.18.76, ST_Sqref (Reference Sequence)</w:t>
        </w:r>
        <w:r>
          <w:rPr>
            <w:noProof/>
            <w:webHidden/>
          </w:rPr>
          <w:tab/>
        </w:r>
        <w:r>
          <w:rPr>
            <w:noProof/>
            <w:webHidden/>
          </w:rPr>
          <w:fldChar w:fldCharType="begin"/>
        </w:r>
        <w:r>
          <w:rPr>
            <w:noProof/>
            <w:webHidden/>
          </w:rPr>
          <w:instrText xml:space="preserve"> PAGEREF _Toc12261159 \h </w:instrText>
        </w:r>
        <w:r>
          <w:rPr>
            <w:noProof/>
            <w:webHidden/>
          </w:rPr>
        </w:r>
        <w:r>
          <w:rPr>
            <w:noProof/>
            <w:webHidden/>
          </w:rPr>
          <w:fldChar w:fldCharType="separate"/>
        </w:r>
        <w:r>
          <w:rPr>
            <w:noProof/>
            <w:webHidden/>
          </w:rPr>
          <w:t>457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60" w:history="1">
        <w:r w:rsidRPr="00CD0B56">
          <w:rPr>
            <w:rStyle w:val="Hyperlink"/>
            <w:noProof/>
          </w:rPr>
          <w:t>2.1.1092</w:t>
        </w:r>
        <w:r>
          <w:rPr>
            <w:rFonts w:asciiTheme="minorHAnsi" w:eastAsiaTheme="minorEastAsia" w:hAnsiTheme="minorHAnsi" w:cstheme="minorBidi"/>
            <w:noProof/>
            <w:sz w:val="22"/>
            <w:szCs w:val="22"/>
          </w:rPr>
          <w:tab/>
        </w:r>
        <w:r w:rsidRPr="00CD0B56">
          <w:rPr>
            <w:rStyle w:val="Hyperlink"/>
            <w:noProof/>
          </w:rPr>
          <w:t>Part 1 Section 18.18.77, ST_TableStyleType (Table Style Type)</w:t>
        </w:r>
        <w:r>
          <w:rPr>
            <w:noProof/>
            <w:webHidden/>
          </w:rPr>
          <w:tab/>
        </w:r>
        <w:r>
          <w:rPr>
            <w:noProof/>
            <w:webHidden/>
          </w:rPr>
          <w:fldChar w:fldCharType="begin"/>
        </w:r>
        <w:r>
          <w:rPr>
            <w:noProof/>
            <w:webHidden/>
          </w:rPr>
          <w:instrText xml:space="preserve"> PAGEREF _Toc12261160 \h </w:instrText>
        </w:r>
        <w:r>
          <w:rPr>
            <w:noProof/>
            <w:webHidden/>
          </w:rPr>
        </w:r>
        <w:r>
          <w:rPr>
            <w:noProof/>
            <w:webHidden/>
          </w:rPr>
          <w:fldChar w:fldCharType="separate"/>
        </w:r>
        <w:r>
          <w:rPr>
            <w:noProof/>
            <w:webHidden/>
          </w:rPr>
          <w:t>458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61" w:history="1">
        <w:r w:rsidRPr="00CD0B56">
          <w:rPr>
            <w:rStyle w:val="Hyperlink"/>
            <w:noProof/>
          </w:rPr>
          <w:t>2.1.1093</w:t>
        </w:r>
        <w:r>
          <w:rPr>
            <w:rFonts w:asciiTheme="minorHAnsi" w:eastAsiaTheme="minorEastAsia" w:hAnsiTheme="minorHAnsi" w:cstheme="minorBidi"/>
            <w:noProof/>
            <w:sz w:val="22"/>
            <w:szCs w:val="22"/>
          </w:rPr>
          <w:tab/>
        </w:r>
        <w:r w:rsidRPr="00CD0B56">
          <w:rPr>
            <w:rStyle w:val="Hyperlink"/>
            <w:noProof/>
          </w:rPr>
          <w:t>Part 1 Section 18.18.83, ST_TotalsRowFunction (Totals Row Function Types)</w:t>
        </w:r>
        <w:r>
          <w:rPr>
            <w:noProof/>
            <w:webHidden/>
          </w:rPr>
          <w:tab/>
        </w:r>
        <w:r>
          <w:rPr>
            <w:noProof/>
            <w:webHidden/>
          </w:rPr>
          <w:fldChar w:fldCharType="begin"/>
        </w:r>
        <w:r>
          <w:rPr>
            <w:noProof/>
            <w:webHidden/>
          </w:rPr>
          <w:instrText xml:space="preserve"> PAGEREF _Toc12261161 \h </w:instrText>
        </w:r>
        <w:r>
          <w:rPr>
            <w:noProof/>
            <w:webHidden/>
          </w:rPr>
        </w:r>
        <w:r>
          <w:rPr>
            <w:noProof/>
            <w:webHidden/>
          </w:rPr>
          <w:fldChar w:fldCharType="separate"/>
        </w:r>
        <w:r>
          <w:rPr>
            <w:noProof/>
            <w:webHidden/>
          </w:rPr>
          <w:t>458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62" w:history="1">
        <w:r w:rsidRPr="00CD0B56">
          <w:rPr>
            <w:rStyle w:val="Hyperlink"/>
            <w:noProof/>
          </w:rPr>
          <w:t>2.1.1094</w:t>
        </w:r>
        <w:r>
          <w:rPr>
            <w:rFonts w:asciiTheme="minorHAnsi" w:eastAsiaTheme="minorEastAsia" w:hAnsiTheme="minorHAnsi" w:cstheme="minorBidi"/>
            <w:noProof/>
            <w:sz w:val="22"/>
            <w:szCs w:val="22"/>
          </w:rPr>
          <w:tab/>
        </w:r>
        <w:r w:rsidRPr="00CD0B56">
          <w:rPr>
            <w:rStyle w:val="Hyperlink"/>
            <w:noProof/>
          </w:rPr>
          <w:t>Part 1 Section 18.18.87, ST_UpdateLinks (Update Links Behavior Types)</w:t>
        </w:r>
        <w:r>
          <w:rPr>
            <w:noProof/>
            <w:webHidden/>
          </w:rPr>
          <w:tab/>
        </w:r>
        <w:r>
          <w:rPr>
            <w:noProof/>
            <w:webHidden/>
          </w:rPr>
          <w:fldChar w:fldCharType="begin"/>
        </w:r>
        <w:r>
          <w:rPr>
            <w:noProof/>
            <w:webHidden/>
          </w:rPr>
          <w:instrText xml:space="preserve"> PAGEREF _Toc12261162 \h </w:instrText>
        </w:r>
        <w:r>
          <w:rPr>
            <w:noProof/>
            <w:webHidden/>
          </w:rPr>
        </w:r>
        <w:r>
          <w:rPr>
            <w:noProof/>
            <w:webHidden/>
          </w:rPr>
          <w:fldChar w:fldCharType="separate"/>
        </w:r>
        <w:r>
          <w:rPr>
            <w:noProof/>
            <w:webHidden/>
          </w:rPr>
          <w:t>458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63" w:history="1">
        <w:r w:rsidRPr="00CD0B56">
          <w:rPr>
            <w:rStyle w:val="Hyperlink"/>
            <w:noProof/>
          </w:rPr>
          <w:t>2.1.1095</w:t>
        </w:r>
        <w:r>
          <w:rPr>
            <w:rFonts w:asciiTheme="minorHAnsi" w:eastAsiaTheme="minorEastAsia" w:hAnsiTheme="minorHAnsi" w:cstheme="minorBidi"/>
            <w:noProof/>
            <w:sz w:val="22"/>
            <w:szCs w:val="22"/>
          </w:rPr>
          <w:tab/>
        </w:r>
        <w:r w:rsidRPr="00CD0B56">
          <w:rPr>
            <w:rStyle w:val="Hyperlink"/>
            <w:noProof/>
          </w:rPr>
          <w:t>Part 1 Section 18.18.89, ST_Visibility (Visibility Types)</w:t>
        </w:r>
        <w:r>
          <w:rPr>
            <w:noProof/>
            <w:webHidden/>
          </w:rPr>
          <w:tab/>
        </w:r>
        <w:r>
          <w:rPr>
            <w:noProof/>
            <w:webHidden/>
          </w:rPr>
          <w:fldChar w:fldCharType="begin"/>
        </w:r>
        <w:r>
          <w:rPr>
            <w:noProof/>
            <w:webHidden/>
          </w:rPr>
          <w:instrText xml:space="preserve"> PAGEREF _Toc12261163 \h </w:instrText>
        </w:r>
        <w:r>
          <w:rPr>
            <w:noProof/>
            <w:webHidden/>
          </w:rPr>
        </w:r>
        <w:r>
          <w:rPr>
            <w:noProof/>
            <w:webHidden/>
          </w:rPr>
          <w:fldChar w:fldCharType="separate"/>
        </w:r>
        <w:r>
          <w:rPr>
            <w:noProof/>
            <w:webHidden/>
          </w:rPr>
          <w:t>459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64" w:history="1">
        <w:r w:rsidRPr="00CD0B56">
          <w:rPr>
            <w:rStyle w:val="Hyperlink"/>
            <w:noProof/>
          </w:rPr>
          <w:t>2.1.1096</w:t>
        </w:r>
        <w:r>
          <w:rPr>
            <w:rFonts w:asciiTheme="minorHAnsi" w:eastAsiaTheme="minorEastAsia" w:hAnsiTheme="minorHAnsi" w:cstheme="minorBidi"/>
            <w:noProof/>
            <w:sz w:val="22"/>
            <w:szCs w:val="22"/>
          </w:rPr>
          <w:tab/>
        </w:r>
        <w:r w:rsidRPr="00CD0B56">
          <w:rPr>
            <w:rStyle w:val="Hyperlink"/>
            <w:noProof/>
          </w:rPr>
          <w:t>Part 1 Section 18.18.92, ST_WebSourceType (Web Source Type)</w:t>
        </w:r>
        <w:r>
          <w:rPr>
            <w:noProof/>
            <w:webHidden/>
          </w:rPr>
          <w:tab/>
        </w:r>
        <w:r>
          <w:rPr>
            <w:noProof/>
            <w:webHidden/>
          </w:rPr>
          <w:fldChar w:fldCharType="begin"/>
        </w:r>
        <w:r>
          <w:rPr>
            <w:noProof/>
            <w:webHidden/>
          </w:rPr>
          <w:instrText xml:space="preserve"> PAGEREF _Toc12261164 \h </w:instrText>
        </w:r>
        <w:r>
          <w:rPr>
            <w:noProof/>
            <w:webHidden/>
          </w:rPr>
        </w:r>
        <w:r>
          <w:rPr>
            <w:noProof/>
            <w:webHidden/>
          </w:rPr>
          <w:fldChar w:fldCharType="separate"/>
        </w:r>
        <w:r>
          <w:rPr>
            <w:noProof/>
            <w:webHidden/>
          </w:rPr>
          <w:t>459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65" w:history="1">
        <w:r w:rsidRPr="00CD0B56">
          <w:rPr>
            <w:rStyle w:val="Hyperlink"/>
            <w:noProof/>
          </w:rPr>
          <w:t>2.1.1097</w:t>
        </w:r>
        <w:r>
          <w:rPr>
            <w:rFonts w:asciiTheme="minorHAnsi" w:eastAsiaTheme="minorEastAsia" w:hAnsiTheme="minorHAnsi" w:cstheme="minorBidi"/>
            <w:noProof/>
            <w:sz w:val="22"/>
            <w:szCs w:val="22"/>
          </w:rPr>
          <w:tab/>
        </w:r>
        <w:r w:rsidRPr="00CD0B56">
          <w:rPr>
            <w:rStyle w:val="Hyperlink"/>
            <w:noProof/>
          </w:rPr>
          <w:t>Part 1 Section 19.2.1.5, custShow (Custom Show)</w:t>
        </w:r>
        <w:r>
          <w:rPr>
            <w:noProof/>
            <w:webHidden/>
          </w:rPr>
          <w:tab/>
        </w:r>
        <w:r>
          <w:rPr>
            <w:noProof/>
            <w:webHidden/>
          </w:rPr>
          <w:fldChar w:fldCharType="begin"/>
        </w:r>
        <w:r>
          <w:rPr>
            <w:noProof/>
            <w:webHidden/>
          </w:rPr>
          <w:instrText xml:space="preserve"> PAGEREF _Toc12261165 \h </w:instrText>
        </w:r>
        <w:r>
          <w:rPr>
            <w:noProof/>
            <w:webHidden/>
          </w:rPr>
        </w:r>
        <w:r>
          <w:rPr>
            <w:noProof/>
            <w:webHidden/>
          </w:rPr>
          <w:fldChar w:fldCharType="separate"/>
        </w:r>
        <w:r>
          <w:rPr>
            <w:noProof/>
            <w:webHidden/>
          </w:rPr>
          <w:t>459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66" w:history="1">
        <w:r w:rsidRPr="00CD0B56">
          <w:rPr>
            <w:rStyle w:val="Hyperlink"/>
            <w:noProof/>
          </w:rPr>
          <w:t>2.1.1098</w:t>
        </w:r>
        <w:r>
          <w:rPr>
            <w:rFonts w:asciiTheme="minorHAnsi" w:eastAsiaTheme="minorEastAsia" w:hAnsiTheme="minorHAnsi" w:cstheme="minorBidi"/>
            <w:noProof/>
            <w:sz w:val="22"/>
            <w:szCs w:val="22"/>
          </w:rPr>
          <w:tab/>
        </w:r>
        <w:r w:rsidRPr="00CD0B56">
          <w:rPr>
            <w:rStyle w:val="Hyperlink"/>
            <w:noProof/>
          </w:rPr>
          <w:t>Part 1 Section 19.2.1.6, custShow (Custom Show)</w:t>
        </w:r>
        <w:r>
          <w:rPr>
            <w:noProof/>
            <w:webHidden/>
          </w:rPr>
          <w:tab/>
        </w:r>
        <w:r>
          <w:rPr>
            <w:noProof/>
            <w:webHidden/>
          </w:rPr>
          <w:fldChar w:fldCharType="begin"/>
        </w:r>
        <w:r>
          <w:rPr>
            <w:noProof/>
            <w:webHidden/>
          </w:rPr>
          <w:instrText xml:space="preserve"> PAGEREF _Toc12261166 \h </w:instrText>
        </w:r>
        <w:r>
          <w:rPr>
            <w:noProof/>
            <w:webHidden/>
          </w:rPr>
        </w:r>
        <w:r>
          <w:rPr>
            <w:noProof/>
            <w:webHidden/>
          </w:rPr>
          <w:fldChar w:fldCharType="separate"/>
        </w:r>
        <w:r>
          <w:rPr>
            <w:noProof/>
            <w:webHidden/>
          </w:rPr>
          <w:t>459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67" w:history="1">
        <w:r w:rsidRPr="00CD0B56">
          <w:rPr>
            <w:rStyle w:val="Hyperlink"/>
            <w:noProof/>
          </w:rPr>
          <w:t>2.1.1099</w:t>
        </w:r>
        <w:r>
          <w:rPr>
            <w:rFonts w:asciiTheme="minorHAnsi" w:eastAsiaTheme="minorEastAsia" w:hAnsiTheme="minorHAnsi" w:cstheme="minorBidi"/>
            <w:noProof/>
            <w:sz w:val="22"/>
            <w:szCs w:val="22"/>
          </w:rPr>
          <w:tab/>
        </w:r>
        <w:r w:rsidRPr="00CD0B56">
          <w:rPr>
            <w:rStyle w:val="Hyperlink"/>
            <w:noProof/>
          </w:rPr>
          <w:t>Part 1 Section 19.2.1.10, embeddedFontLst (Embedded Font List)</w:t>
        </w:r>
        <w:r>
          <w:rPr>
            <w:noProof/>
            <w:webHidden/>
          </w:rPr>
          <w:tab/>
        </w:r>
        <w:r>
          <w:rPr>
            <w:noProof/>
            <w:webHidden/>
          </w:rPr>
          <w:fldChar w:fldCharType="begin"/>
        </w:r>
        <w:r>
          <w:rPr>
            <w:noProof/>
            <w:webHidden/>
          </w:rPr>
          <w:instrText xml:space="preserve"> PAGEREF _Toc12261167 \h </w:instrText>
        </w:r>
        <w:r>
          <w:rPr>
            <w:noProof/>
            <w:webHidden/>
          </w:rPr>
        </w:r>
        <w:r>
          <w:rPr>
            <w:noProof/>
            <w:webHidden/>
          </w:rPr>
          <w:fldChar w:fldCharType="separate"/>
        </w:r>
        <w:r>
          <w:rPr>
            <w:noProof/>
            <w:webHidden/>
          </w:rPr>
          <w:t>459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68" w:history="1">
        <w:r w:rsidRPr="00CD0B56">
          <w:rPr>
            <w:rStyle w:val="Hyperlink"/>
            <w:noProof/>
          </w:rPr>
          <w:t>2.1.1100</w:t>
        </w:r>
        <w:r>
          <w:rPr>
            <w:rFonts w:asciiTheme="minorHAnsi" w:eastAsiaTheme="minorEastAsia" w:hAnsiTheme="minorHAnsi" w:cstheme="minorBidi"/>
            <w:noProof/>
            <w:sz w:val="22"/>
            <w:szCs w:val="22"/>
          </w:rPr>
          <w:tab/>
        </w:r>
        <w:r w:rsidRPr="00CD0B56">
          <w:rPr>
            <w:rStyle w:val="Hyperlink"/>
            <w:noProof/>
          </w:rPr>
          <w:t>Part 1 Section 19.2.1.11, ext (Extension)</w:t>
        </w:r>
        <w:r>
          <w:rPr>
            <w:noProof/>
            <w:webHidden/>
          </w:rPr>
          <w:tab/>
        </w:r>
        <w:r>
          <w:rPr>
            <w:noProof/>
            <w:webHidden/>
          </w:rPr>
          <w:fldChar w:fldCharType="begin"/>
        </w:r>
        <w:r>
          <w:rPr>
            <w:noProof/>
            <w:webHidden/>
          </w:rPr>
          <w:instrText xml:space="preserve"> PAGEREF _Toc12261168 \h </w:instrText>
        </w:r>
        <w:r>
          <w:rPr>
            <w:noProof/>
            <w:webHidden/>
          </w:rPr>
        </w:r>
        <w:r>
          <w:rPr>
            <w:noProof/>
            <w:webHidden/>
          </w:rPr>
          <w:fldChar w:fldCharType="separate"/>
        </w:r>
        <w:r>
          <w:rPr>
            <w:noProof/>
            <w:webHidden/>
          </w:rPr>
          <w:t>459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69" w:history="1">
        <w:r w:rsidRPr="00CD0B56">
          <w:rPr>
            <w:rStyle w:val="Hyperlink"/>
            <w:noProof/>
          </w:rPr>
          <w:t>2.1.1101</w:t>
        </w:r>
        <w:r>
          <w:rPr>
            <w:rFonts w:asciiTheme="minorHAnsi" w:eastAsiaTheme="minorEastAsia" w:hAnsiTheme="minorHAnsi" w:cstheme="minorBidi"/>
            <w:noProof/>
            <w:sz w:val="22"/>
            <w:szCs w:val="22"/>
          </w:rPr>
          <w:tab/>
        </w:r>
        <w:r w:rsidRPr="00CD0B56">
          <w:rPr>
            <w:rStyle w:val="Hyperlink"/>
            <w:noProof/>
          </w:rPr>
          <w:t>Part 1 Section 19.2.1.13, font (Embedded Font Name)</w:t>
        </w:r>
        <w:r>
          <w:rPr>
            <w:noProof/>
            <w:webHidden/>
          </w:rPr>
          <w:tab/>
        </w:r>
        <w:r>
          <w:rPr>
            <w:noProof/>
            <w:webHidden/>
          </w:rPr>
          <w:fldChar w:fldCharType="begin"/>
        </w:r>
        <w:r>
          <w:rPr>
            <w:noProof/>
            <w:webHidden/>
          </w:rPr>
          <w:instrText xml:space="preserve"> PAGEREF _Toc12261169 \h </w:instrText>
        </w:r>
        <w:r>
          <w:rPr>
            <w:noProof/>
            <w:webHidden/>
          </w:rPr>
        </w:r>
        <w:r>
          <w:rPr>
            <w:noProof/>
            <w:webHidden/>
          </w:rPr>
          <w:fldChar w:fldCharType="separate"/>
        </w:r>
        <w:r>
          <w:rPr>
            <w:noProof/>
            <w:webHidden/>
          </w:rPr>
          <w:t>459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70" w:history="1">
        <w:r w:rsidRPr="00CD0B56">
          <w:rPr>
            <w:rStyle w:val="Hyperlink"/>
            <w:noProof/>
          </w:rPr>
          <w:t>2.1.1102</w:t>
        </w:r>
        <w:r>
          <w:rPr>
            <w:rFonts w:asciiTheme="minorHAnsi" w:eastAsiaTheme="minorEastAsia" w:hAnsiTheme="minorHAnsi" w:cstheme="minorBidi"/>
            <w:noProof/>
            <w:sz w:val="22"/>
            <w:szCs w:val="22"/>
          </w:rPr>
          <w:tab/>
        </w:r>
        <w:r w:rsidRPr="00CD0B56">
          <w:rPr>
            <w:rStyle w:val="Hyperlink"/>
            <w:noProof/>
          </w:rPr>
          <w:t>Part 1 Section 19.2.1.17, kinsoku (Kinsoku Settings)</w:t>
        </w:r>
        <w:r>
          <w:rPr>
            <w:noProof/>
            <w:webHidden/>
          </w:rPr>
          <w:tab/>
        </w:r>
        <w:r>
          <w:rPr>
            <w:noProof/>
            <w:webHidden/>
          </w:rPr>
          <w:fldChar w:fldCharType="begin"/>
        </w:r>
        <w:r>
          <w:rPr>
            <w:noProof/>
            <w:webHidden/>
          </w:rPr>
          <w:instrText xml:space="preserve"> PAGEREF _Toc12261170 \h </w:instrText>
        </w:r>
        <w:r>
          <w:rPr>
            <w:noProof/>
            <w:webHidden/>
          </w:rPr>
        </w:r>
        <w:r>
          <w:rPr>
            <w:noProof/>
            <w:webHidden/>
          </w:rPr>
          <w:fldChar w:fldCharType="separate"/>
        </w:r>
        <w:r>
          <w:rPr>
            <w:noProof/>
            <w:webHidden/>
          </w:rPr>
          <w:t>460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71" w:history="1">
        <w:r w:rsidRPr="00CD0B56">
          <w:rPr>
            <w:rStyle w:val="Hyperlink"/>
            <w:noProof/>
          </w:rPr>
          <w:t>2.1.1103</w:t>
        </w:r>
        <w:r>
          <w:rPr>
            <w:rFonts w:asciiTheme="minorHAnsi" w:eastAsiaTheme="minorEastAsia" w:hAnsiTheme="minorHAnsi" w:cstheme="minorBidi"/>
            <w:noProof/>
            <w:sz w:val="22"/>
            <w:szCs w:val="22"/>
          </w:rPr>
          <w:tab/>
        </w:r>
        <w:r w:rsidRPr="00CD0B56">
          <w:rPr>
            <w:rStyle w:val="Hyperlink"/>
            <w:noProof/>
          </w:rPr>
          <w:t>Part 1 Section 19.2.1.19, modifyVerifier (Modification Verifier)</w:t>
        </w:r>
        <w:r>
          <w:rPr>
            <w:noProof/>
            <w:webHidden/>
          </w:rPr>
          <w:tab/>
        </w:r>
        <w:r>
          <w:rPr>
            <w:noProof/>
            <w:webHidden/>
          </w:rPr>
          <w:fldChar w:fldCharType="begin"/>
        </w:r>
        <w:r>
          <w:rPr>
            <w:noProof/>
            <w:webHidden/>
          </w:rPr>
          <w:instrText xml:space="preserve"> PAGEREF _Toc12261171 \h </w:instrText>
        </w:r>
        <w:r>
          <w:rPr>
            <w:noProof/>
            <w:webHidden/>
          </w:rPr>
        </w:r>
        <w:r>
          <w:rPr>
            <w:noProof/>
            <w:webHidden/>
          </w:rPr>
          <w:fldChar w:fldCharType="separate"/>
        </w:r>
        <w:r>
          <w:rPr>
            <w:noProof/>
            <w:webHidden/>
          </w:rPr>
          <w:t>460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72" w:history="1">
        <w:r w:rsidRPr="00CD0B56">
          <w:rPr>
            <w:rStyle w:val="Hyperlink"/>
            <w:noProof/>
          </w:rPr>
          <w:t>2.1.1104</w:t>
        </w:r>
        <w:r>
          <w:rPr>
            <w:rFonts w:asciiTheme="minorHAnsi" w:eastAsiaTheme="minorEastAsia" w:hAnsiTheme="minorHAnsi" w:cstheme="minorBidi"/>
            <w:noProof/>
            <w:sz w:val="22"/>
            <w:szCs w:val="22"/>
          </w:rPr>
          <w:tab/>
        </w:r>
        <w:r w:rsidRPr="00CD0B56">
          <w:rPr>
            <w:rStyle w:val="Hyperlink"/>
            <w:noProof/>
          </w:rPr>
          <w:t>Part 1 Section 19.2.1.22, notesSz (Notes Slide Size)</w:t>
        </w:r>
        <w:r>
          <w:rPr>
            <w:noProof/>
            <w:webHidden/>
          </w:rPr>
          <w:tab/>
        </w:r>
        <w:r>
          <w:rPr>
            <w:noProof/>
            <w:webHidden/>
          </w:rPr>
          <w:fldChar w:fldCharType="begin"/>
        </w:r>
        <w:r>
          <w:rPr>
            <w:noProof/>
            <w:webHidden/>
          </w:rPr>
          <w:instrText xml:space="preserve"> PAGEREF _Toc12261172 \h </w:instrText>
        </w:r>
        <w:r>
          <w:rPr>
            <w:noProof/>
            <w:webHidden/>
          </w:rPr>
        </w:r>
        <w:r>
          <w:rPr>
            <w:noProof/>
            <w:webHidden/>
          </w:rPr>
          <w:fldChar w:fldCharType="separate"/>
        </w:r>
        <w:r>
          <w:rPr>
            <w:noProof/>
            <w:webHidden/>
          </w:rPr>
          <w:t>462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73" w:history="1">
        <w:r w:rsidRPr="00CD0B56">
          <w:rPr>
            <w:rStyle w:val="Hyperlink"/>
            <w:noProof/>
          </w:rPr>
          <w:t>2.1.1105</w:t>
        </w:r>
        <w:r>
          <w:rPr>
            <w:rFonts w:asciiTheme="minorHAnsi" w:eastAsiaTheme="minorEastAsia" w:hAnsiTheme="minorHAnsi" w:cstheme="minorBidi"/>
            <w:noProof/>
            <w:sz w:val="22"/>
            <w:szCs w:val="22"/>
          </w:rPr>
          <w:tab/>
        </w:r>
        <w:r w:rsidRPr="00CD0B56">
          <w:rPr>
            <w:rStyle w:val="Hyperlink"/>
            <w:noProof/>
          </w:rPr>
          <w:t>Part 1 Section 19.2.1.24, photoAlbum (Photo Album Information)</w:t>
        </w:r>
        <w:r>
          <w:rPr>
            <w:noProof/>
            <w:webHidden/>
          </w:rPr>
          <w:tab/>
        </w:r>
        <w:r>
          <w:rPr>
            <w:noProof/>
            <w:webHidden/>
          </w:rPr>
          <w:fldChar w:fldCharType="begin"/>
        </w:r>
        <w:r>
          <w:rPr>
            <w:noProof/>
            <w:webHidden/>
          </w:rPr>
          <w:instrText xml:space="preserve"> PAGEREF _Toc12261173 \h </w:instrText>
        </w:r>
        <w:r>
          <w:rPr>
            <w:noProof/>
            <w:webHidden/>
          </w:rPr>
        </w:r>
        <w:r>
          <w:rPr>
            <w:noProof/>
            <w:webHidden/>
          </w:rPr>
          <w:fldChar w:fldCharType="separate"/>
        </w:r>
        <w:r>
          <w:rPr>
            <w:noProof/>
            <w:webHidden/>
          </w:rPr>
          <w:t>463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74" w:history="1">
        <w:r w:rsidRPr="00CD0B56">
          <w:rPr>
            <w:rStyle w:val="Hyperlink"/>
            <w:noProof/>
          </w:rPr>
          <w:t>2.1.1106</w:t>
        </w:r>
        <w:r>
          <w:rPr>
            <w:rFonts w:asciiTheme="minorHAnsi" w:eastAsiaTheme="minorEastAsia" w:hAnsiTheme="minorHAnsi" w:cstheme="minorBidi"/>
            <w:noProof/>
            <w:sz w:val="22"/>
            <w:szCs w:val="22"/>
          </w:rPr>
          <w:tab/>
        </w:r>
        <w:r w:rsidRPr="00CD0B56">
          <w:rPr>
            <w:rStyle w:val="Hyperlink"/>
            <w:noProof/>
          </w:rPr>
          <w:t>Part 1 Section 19.2.1.25, present (Presenter Slide Show Mode)</w:t>
        </w:r>
        <w:r>
          <w:rPr>
            <w:noProof/>
            <w:webHidden/>
          </w:rPr>
          <w:tab/>
        </w:r>
        <w:r>
          <w:rPr>
            <w:noProof/>
            <w:webHidden/>
          </w:rPr>
          <w:fldChar w:fldCharType="begin"/>
        </w:r>
        <w:r>
          <w:rPr>
            <w:noProof/>
            <w:webHidden/>
          </w:rPr>
          <w:instrText xml:space="preserve"> PAGEREF _Toc12261174 \h </w:instrText>
        </w:r>
        <w:r>
          <w:rPr>
            <w:noProof/>
            <w:webHidden/>
          </w:rPr>
        </w:r>
        <w:r>
          <w:rPr>
            <w:noProof/>
            <w:webHidden/>
          </w:rPr>
          <w:fldChar w:fldCharType="separate"/>
        </w:r>
        <w:r>
          <w:rPr>
            <w:noProof/>
            <w:webHidden/>
          </w:rPr>
          <w:t>463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75" w:history="1">
        <w:r w:rsidRPr="00CD0B56">
          <w:rPr>
            <w:rStyle w:val="Hyperlink"/>
            <w:noProof/>
          </w:rPr>
          <w:t>2.1.1107</w:t>
        </w:r>
        <w:r>
          <w:rPr>
            <w:rFonts w:asciiTheme="minorHAnsi" w:eastAsiaTheme="minorEastAsia" w:hAnsiTheme="minorHAnsi" w:cstheme="minorBidi"/>
            <w:noProof/>
            <w:sz w:val="22"/>
            <w:szCs w:val="22"/>
          </w:rPr>
          <w:tab/>
        </w:r>
        <w:r w:rsidRPr="00CD0B56">
          <w:rPr>
            <w:rStyle w:val="Hyperlink"/>
            <w:noProof/>
          </w:rPr>
          <w:t>Part 1 Section 19.2.1.26, presentation (Presentation)</w:t>
        </w:r>
        <w:r>
          <w:rPr>
            <w:noProof/>
            <w:webHidden/>
          </w:rPr>
          <w:tab/>
        </w:r>
        <w:r>
          <w:rPr>
            <w:noProof/>
            <w:webHidden/>
          </w:rPr>
          <w:fldChar w:fldCharType="begin"/>
        </w:r>
        <w:r>
          <w:rPr>
            <w:noProof/>
            <w:webHidden/>
          </w:rPr>
          <w:instrText xml:space="preserve"> PAGEREF _Toc12261175 \h </w:instrText>
        </w:r>
        <w:r>
          <w:rPr>
            <w:noProof/>
            <w:webHidden/>
          </w:rPr>
        </w:r>
        <w:r>
          <w:rPr>
            <w:noProof/>
            <w:webHidden/>
          </w:rPr>
          <w:fldChar w:fldCharType="separate"/>
        </w:r>
        <w:r>
          <w:rPr>
            <w:noProof/>
            <w:webHidden/>
          </w:rPr>
          <w:t>463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76" w:history="1">
        <w:r w:rsidRPr="00CD0B56">
          <w:rPr>
            <w:rStyle w:val="Hyperlink"/>
            <w:noProof/>
          </w:rPr>
          <w:t>2.1.1108</w:t>
        </w:r>
        <w:r>
          <w:rPr>
            <w:rFonts w:asciiTheme="minorHAnsi" w:eastAsiaTheme="minorEastAsia" w:hAnsiTheme="minorHAnsi" w:cstheme="minorBidi"/>
            <w:noProof/>
            <w:sz w:val="22"/>
            <w:szCs w:val="22"/>
          </w:rPr>
          <w:tab/>
        </w:r>
        <w:r w:rsidRPr="00CD0B56">
          <w:rPr>
            <w:rStyle w:val="Hyperlink"/>
            <w:noProof/>
          </w:rPr>
          <w:t>Part 1 Section 19.2.1.38, sldRg (Slide Range)</w:t>
        </w:r>
        <w:r>
          <w:rPr>
            <w:noProof/>
            <w:webHidden/>
          </w:rPr>
          <w:tab/>
        </w:r>
        <w:r>
          <w:rPr>
            <w:noProof/>
            <w:webHidden/>
          </w:rPr>
          <w:fldChar w:fldCharType="begin"/>
        </w:r>
        <w:r>
          <w:rPr>
            <w:noProof/>
            <w:webHidden/>
          </w:rPr>
          <w:instrText xml:space="preserve"> PAGEREF _Toc12261176 \h </w:instrText>
        </w:r>
        <w:r>
          <w:rPr>
            <w:noProof/>
            <w:webHidden/>
          </w:rPr>
        </w:r>
        <w:r>
          <w:rPr>
            <w:noProof/>
            <w:webHidden/>
          </w:rPr>
          <w:fldChar w:fldCharType="separate"/>
        </w:r>
        <w:r>
          <w:rPr>
            <w:noProof/>
            <w:webHidden/>
          </w:rPr>
          <w:t>464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77" w:history="1">
        <w:r w:rsidRPr="00CD0B56">
          <w:rPr>
            <w:rStyle w:val="Hyperlink"/>
            <w:noProof/>
          </w:rPr>
          <w:t>2.1.1109</w:t>
        </w:r>
        <w:r>
          <w:rPr>
            <w:rFonts w:asciiTheme="minorHAnsi" w:eastAsiaTheme="minorEastAsia" w:hAnsiTheme="minorHAnsi" w:cstheme="minorBidi"/>
            <w:noProof/>
            <w:sz w:val="22"/>
            <w:szCs w:val="22"/>
          </w:rPr>
          <w:tab/>
        </w:r>
        <w:r w:rsidRPr="00CD0B56">
          <w:rPr>
            <w:rStyle w:val="Hyperlink"/>
            <w:noProof/>
          </w:rPr>
          <w:t>Part 1 Section 19.2.1.39, sldSz (Presentation Slide Size)</w:t>
        </w:r>
        <w:r>
          <w:rPr>
            <w:noProof/>
            <w:webHidden/>
          </w:rPr>
          <w:tab/>
        </w:r>
        <w:r>
          <w:rPr>
            <w:noProof/>
            <w:webHidden/>
          </w:rPr>
          <w:fldChar w:fldCharType="begin"/>
        </w:r>
        <w:r>
          <w:rPr>
            <w:noProof/>
            <w:webHidden/>
          </w:rPr>
          <w:instrText xml:space="preserve"> PAGEREF _Toc12261177 \h </w:instrText>
        </w:r>
        <w:r>
          <w:rPr>
            <w:noProof/>
            <w:webHidden/>
          </w:rPr>
        </w:r>
        <w:r>
          <w:rPr>
            <w:noProof/>
            <w:webHidden/>
          </w:rPr>
          <w:fldChar w:fldCharType="separate"/>
        </w:r>
        <w:r>
          <w:rPr>
            <w:noProof/>
            <w:webHidden/>
          </w:rPr>
          <w:t>464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78" w:history="1">
        <w:r w:rsidRPr="00CD0B56">
          <w:rPr>
            <w:rStyle w:val="Hyperlink"/>
            <w:noProof/>
          </w:rPr>
          <w:t>2.1.1110</w:t>
        </w:r>
        <w:r>
          <w:rPr>
            <w:rFonts w:asciiTheme="minorHAnsi" w:eastAsiaTheme="minorEastAsia" w:hAnsiTheme="minorHAnsi" w:cstheme="minorBidi"/>
            <w:noProof/>
            <w:sz w:val="22"/>
            <w:szCs w:val="22"/>
          </w:rPr>
          <w:tab/>
        </w:r>
        <w:r w:rsidRPr="00CD0B56">
          <w:rPr>
            <w:rStyle w:val="Hyperlink"/>
            <w:noProof/>
          </w:rPr>
          <w:t>Part 1 Section 19.2.1.40, smartTags (Smart Tags)</w:t>
        </w:r>
        <w:r>
          <w:rPr>
            <w:noProof/>
            <w:webHidden/>
          </w:rPr>
          <w:tab/>
        </w:r>
        <w:r>
          <w:rPr>
            <w:noProof/>
            <w:webHidden/>
          </w:rPr>
          <w:fldChar w:fldCharType="begin"/>
        </w:r>
        <w:r>
          <w:rPr>
            <w:noProof/>
            <w:webHidden/>
          </w:rPr>
          <w:instrText xml:space="preserve"> PAGEREF _Toc12261178 \h </w:instrText>
        </w:r>
        <w:r>
          <w:rPr>
            <w:noProof/>
            <w:webHidden/>
          </w:rPr>
        </w:r>
        <w:r>
          <w:rPr>
            <w:noProof/>
            <w:webHidden/>
          </w:rPr>
          <w:fldChar w:fldCharType="separate"/>
        </w:r>
        <w:r>
          <w:rPr>
            <w:noProof/>
            <w:webHidden/>
          </w:rPr>
          <w:t>464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79" w:history="1">
        <w:r w:rsidRPr="00CD0B56">
          <w:rPr>
            <w:rStyle w:val="Hyperlink"/>
            <w:noProof/>
          </w:rPr>
          <w:t>2.1.1111</w:t>
        </w:r>
        <w:r>
          <w:rPr>
            <w:rFonts w:asciiTheme="minorHAnsi" w:eastAsiaTheme="minorEastAsia" w:hAnsiTheme="minorHAnsi" w:cstheme="minorBidi"/>
            <w:noProof/>
            <w:sz w:val="22"/>
            <w:szCs w:val="22"/>
          </w:rPr>
          <w:tab/>
        </w:r>
        <w:r w:rsidRPr="00CD0B56">
          <w:rPr>
            <w:rStyle w:val="Hyperlink"/>
            <w:noProof/>
          </w:rPr>
          <w:t>Part 1 Section 19.2.2.4, guide (A Guide)</w:t>
        </w:r>
        <w:r>
          <w:rPr>
            <w:noProof/>
            <w:webHidden/>
          </w:rPr>
          <w:tab/>
        </w:r>
        <w:r>
          <w:rPr>
            <w:noProof/>
            <w:webHidden/>
          </w:rPr>
          <w:fldChar w:fldCharType="begin"/>
        </w:r>
        <w:r>
          <w:rPr>
            <w:noProof/>
            <w:webHidden/>
          </w:rPr>
          <w:instrText xml:space="preserve"> PAGEREF _Toc12261179 \h </w:instrText>
        </w:r>
        <w:r>
          <w:rPr>
            <w:noProof/>
            <w:webHidden/>
          </w:rPr>
        </w:r>
        <w:r>
          <w:rPr>
            <w:noProof/>
            <w:webHidden/>
          </w:rPr>
          <w:fldChar w:fldCharType="separate"/>
        </w:r>
        <w:r>
          <w:rPr>
            <w:noProof/>
            <w:webHidden/>
          </w:rPr>
          <w:t>465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80" w:history="1">
        <w:r w:rsidRPr="00CD0B56">
          <w:rPr>
            <w:rStyle w:val="Hyperlink"/>
            <w:noProof/>
          </w:rPr>
          <w:t>2.1.1112</w:t>
        </w:r>
        <w:r>
          <w:rPr>
            <w:rFonts w:asciiTheme="minorHAnsi" w:eastAsiaTheme="minorEastAsia" w:hAnsiTheme="minorHAnsi" w:cstheme="minorBidi"/>
            <w:noProof/>
            <w:sz w:val="22"/>
            <w:szCs w:val="22"/>
          </w:rPr>
          <w:tab/>
        </w:r>
        <w:r w:rsidRPr="00CD0B56">
          <w:rPr>
            <w:rStyle w:val="Hyperlink"/>
            <w:noProof/>
          </w:rPr>
          <w:t>Part 1 Section 19.2.2.6, normalViewPr (Normal View Properties)</w:t>
        </w:r>
        <w:r>
          <w:rPr>
            <w:noProof/>
            <w:webHidden/>
          </w:rPr>
          <w:tab/>
        </w:r>
        <w:r>
          <w:rPr>
            <w:noProof/>
            <w:webHidden/>
          </w:rPr>
          <w:fldChar w:fldCharType="begin"/>
        </w:r>
        <w:r>
          <w:rPr>
            <w:noProof/>
            <w:webHidden/>
          </w:rPr>
          <w:instrText xml:space="preserve"> PAGEREF _Toc12261180 \h </w:instrText>
        </w:r>
        <w:r>
          <w:rPr>
            <w:noProof/>
            <w:webHidden/>
          </w:rPr>
        </w:r>
        <w:r>
          <w:rPr>
            <w:noProof/>
            <w:webHidden/>
          </w:rPr>
          <w:fldChar w:fldCharType="separate"/>
        </w:r>
        <w:r>
          <w:rPr>
            <w:noProof/>
            <w:webHidden/>
          </w:rPr>
          <w:t>465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81" w:history="1">
        <w:r w:rsidRPr="00CD0B56">
          <w:rPr>
            <w:rStyle w:val="Hyperlink"/>
            <w:noProof/>
          </w:rPr>
          <w:t>2.1.1113</w:t>
        </w:r>
        <w:r>
          <w:rPr>
            <w:rFonts w:asciiTheme="minorHAnsi" w:eastAsiaTheme="minorEastAsia" w:hAnsiTheme="minorHAnsi" w:cstheme="minorBidi"/>
            <w:noProof/>
            <w:sz w:val="22"/>
            <w:szCs w:val="22"/>
          </w:rPr>
          <w:tab/>
        </w:r>
        <w:r w:rsidRPr="00CD0B56">
          <w:rPr>
            <w:rStyle w:val="Hyperlink"/>
            <w:noProof/>
          </w:rPr>
          <w:t>Part 1 Section 19.2.2.9, origin (View Origin)</w:t>
        </w:r>
        <w:r>
          <w:rPr>
            <w:noProof/>
            <w:webHidden/>
          </w:rPr>
          <w:tab/>
        </w:r>
        <w:r>
          <w:rPr>
            <w:noProof/>
            <w:webHidden/>
          </w:rPr>
          <w:fldChar w:fldCharType="begin"/>
        </w:r>
        <w:r>
          <w:rPr>
            <w:noProof/>
            <w:webHidden/>
          </w:rPr>
          <w:instrText xml:space="preserve"> PAGEREF _Toc12261181 \h </w:instrText>
        </w:r>
        <w:r>
          <w:rPr>
            <w:noProof/>
            <w:webHidden/>
          </w:rPr>
        </w:r>
        <w:r>
          <w:rPr>
            <w:noProof/>
            <w:webHidden/>
          </w:rPr>
          <w:fldChar w:fldCharType="separate"/>
        </w:r>
        <w:r>
          <w:rPr>
            <w:noProof/>
            <w:webHidden/>
          </w:rPr>
          <w:t>465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82" w:history="1">
        <w:r w:rsidRPr="00CD0B56">
          <w:rPr>
            <w:rStyle w:val="Hyperlink"/>
            <w:noProof/>
          </w:rPr>
          <w:t>2.1.1114</w:t>
        </w:r>
        <w:r>
          <w:rPr>
            <w:rFonts w:asciiTheme="minorHAnsi" w:eastAsiaTheme="minorEastAsia" w:hAnsiTheme="minorHAnsi" w:cstheme="minorBidi"/>
            <w:noProof/>
            <w:sz w:val="22"/>
            <w:szCs w:val="22"/>
          </w:rPr>
          <w:tab/>
        </w:r>
        <w:r w:rsidRPr="00CD0B56">
          <w:rPr>
            <w:rStyle w:val="Hyperlink"/>
            <w:noProof/>
          </w:rPr>
          <w:t>Part 1 Section 19.2.2.11, restoredLeft (Normal View Restored Left Properties)</w:t>
        </w:r>
        <w:r>
          <w:rPr>
            <w:noProof/>
            <w:webHidden/>
          </w:rPr>
          <w:tab/>
        </w:r>
        <w:r>
          <w:rPr>
            <w:noProof/>
            <w:webHidden/>
          </w:rPr>
          <w:fldChar w:fldCharType="begin"/>
        </w:r>
        <w:r>
          <w:rPr>
            <w:noProof/>
            <w:webHidden/>
          </w:rPr>
          <w:instrText xml:space="preserve"> PAGEREF _Toc12261182 \h </w:instrText>
        </w:r>
        <w:r>
          <w:rPr>
            <w:noProof/>
            <w:webHidden/>
          </w:rPr>
        </w:r>
        <w:r>
          <w:rPr>
            <w:noProof/>
            <w:webHidden/>
          </w:rPr>
          <w:fldChar w:fldCharType="separate"/>
        </w:r>
        <w:r>
          <w:rPr>
            <w:noProof/>
            <w:webHidden/>
          </w:rPr>
          <w:t>465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83" w:history="1">
        <w:r w:rsidRPr="00CD0B56">
          <w:rPr>
            <w:rStyle w:val="Hyperlink"/>
            <w:noProof/>
          </w:rPr>
          <w:t>2.1.1115</w:t>
        </w:r>
        <w:r>
          <w:rPr>
            <w:rFonts w:asciiTheme="minorHAnsi" w:eastAsiaTheme="minorEastAsia" w:hAnsiTheme="minorHAnsi" w:cstheme="minorBidi"/>
            <w:noProof/>
            <w:sz w:val="22"/>
            <w:szCs w:val="22"/>
          </w:rPr>
          <w:tab/>
        </w:r>
        <w:r w:rsidRPr="00CD0B56">
          <w:rPr>
            <w:rStyle w:val="Hyperlink"/>
            <w:noProof/>
          </w:rPr>
          <w:t>Part 1 Section 19.2.2.12, restoredTop (Normal View Restored Top Properties)</w:t>
        </w:r>
        <w:r>
          <w:rPr>
            <w:noProof/>
            <w:webHidden/>
          </w:rPr>
          <w:tab/>
        </w:r>
        <w:r>
          <w:rPr>
            <w:noProof/>
            <w:webHidden/>
          </w:rPr>
          <w:fldChar w:fldCharType="begin"/>
        </w:r>
        <w:r>
          <w:rPr>
            <w:noProof/>
            <w:webHidden/>
          </w:rPr>
          <w:instrText xml:space="preserve"> PAGEREF _Toc12261183 \h </w:instrText>
        </w:r>
        <w:r>
          <w:rPr>
            <w:noProof/>
            <w:webHidden/>
          </w:rPr>
        </w:r>
        <w:r>
          <w:rPr>
            <w:noProof/>
            <w:webHidden/>
          </w:rPr>
          <w:fldChar w:fldCharType="separate"/>
        </w:r>
        <w:r>
          <w:rPr>
            <w:noProof/>
            <w:webHidden/>
          </w:rPr>
          <w:t>465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84" w:history="1">
        <w:r w:rsidRPr="00CD0B56">
          <w:rPr>
            <w:rStyle w:val="Hyperlink"/>
            <w:noProof/>
          </w:rPr>
          <w:t>2.1.1116</w:t>
        </w:r>
        <w:r>
          <w:rPr>
            <w:rFonts w:asciiTheme="minorHAnsi" w:eastAsiaTheme="minorEastAsia" w:hAnsiTheme="minorHAnsi" w:cstheme="minorBidi"/>
            <w:noProof/>
            <w:sz w:val="22"/>
            <w:szCs w:val="22"/>
          </w:rPr>
          <w:tab/>
        </w:r>
        <w:r w:rsidRPr="00CD0B56">
          <w:rPr>
            <w:rStyle w:val="Hyperlink"/>
            <w:noProof/>
          </w:rPr>
          <w:t>Part 1 Section 19.2.2.13, scale (View Scale)</w:t>
        </w:r>
        <w:r>
          <w:rPr>
            <w:noProof/>
            <w:webHidden/>
          </w:rPr>
          <w:tab/>
        </w:r>
        <w:r>
          <w:rPr>
            <w:noProof/>
            <w:webHidden/>
          </w:rPr>
          <w:fldChar w:fldCharType="begin"/>
        </w:r>
        <w:r>
          <w:rPr>
            <w:noProof/>
            <w:webHidden/>
          </w:rPr>
          <w:instrText xml:space="preserve"> PAGEREF _Toc12261184 \h </w:instrText>
        </w:r>
        <w:r>
          <w:rPr>
            <w:noProof/>
            <w:webHidden/>
          </w:rPr>
        </w:r>
        <w:r>
          <w:rPr>
            <w:noProof/>
            <w:webHidden/>
          </w:rPr>
          <w:fldChar w:fldCharType="separate"/>
        </w:r>
        <w:r>
          <w:rPr>
            <w:noProof/>
            <w:webHidden/>
          </w:rPr>
          <w:t>466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85" w:history="1">
        <w:r w:rsidRPr="00CD0B56">
          <w:rPr>
            <w:rStyle w:val="Hyperlink"/>
            <w:noProof/>
          </w:rPr>
          <w:t>2.1.1117</w:t>
        </w:r>
        <w:r>
          <w:rPr>
            <w:rFonts w:asciiTheme="minorHAnsi" w:eastAsiaTheme="minorEastAsia" w:hAnsiTheme="minorHAnsi" w:cstheme="minorBidi"/>
            <w:noProof/>
            <w:sz w:val="22"/>
            <w:szCs w:val="22"/>
          </w:rPr>
          <w:tab/>
        </w:r>
        <w:r w:rsidRPr="00CD0B56">
          <w:rPr>
            <w:rStyle w:val="Hyperlink"/>
            <w:noProof/>
          </w:rPr>
          <w:t>Part 1 Section 19.3.1.1, bg (Slide Background)</w:t>
        </w:r>
        <w:r>
          <w:rPr>
            <w:noProof/>
            <w:webHidden/>
          </w:rPr>
          <w:tab/>
        </w:r>
        <w:r>
          <w:rPr>
            <w:noProof/>
            <w:webHidden/>
          </w:rPr>
          <w:fldChar w:fldCharType="begin"/>
        </w:r>
        <w:r>
          <w:rPr>
            <w:noProof/>
            <w:webHidden/>
          </w:rPr>
          <w:instrText xml:space="preserve"> PAGEREF _Toc12261185 \h </w:instrText>
        </w:r>
        <w:r>
          <w:rPr>
            <w:noProof/>
            <w:webHidden/>
          </w:rPr>
        </w:r>
        <w:r>
          <w:rPr>
            <w:noProof/>
            <w:webHidden/>
          </w:rPr>
          <w:fldChar w:fldCharType="separate"/>
        </w:r>
        <w:r>
          <w:rPr>
            <w:noProof/>
            <w:webHidden/>
          </w:rPr>
          <w:t>466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86" w:history="1">
        <w:r w:rsidRPr="00CD0B56">
          <w:rPr>
            <w:rStyle w:val="Hyperlink"/>
            <w:noProof/>
          </w:rPr>
          <w:t>2.1.1118</w:t>
        </w:r>
        <w:r>
          <w:rPr>
            <w:rFonts w:asciiTheme="minorHAnsi" w:eastAsiaTheme="minorEastAsia" w:hAnsiTheme="minorHAnsi" w:cstheme="minorBidi"/>
            <w:noProof/>
            <w:sz w:val="22"/>
            <w:szCs w:val="22"/>
          </w:rPr>
          <w:tab/>
        </w:r>
        <w:r w:rsidRPr="00CD0B56">
          <w:rPr>
            <w:rStyle w:val="Hyperlink"/>
            <w:noProof/>
          </w:rPr>
          <w:t>Part 1 Section 19.3.1.2, bgPr (Background Properties)</w:t>
        </w:r>
        <w:r>
          <w:rPr>
            <w:noProof/>
            <w:webHidden/>
          </w:rPr>
          <w:tab/>
        </w:r>
        <w:r>
          <w:rPr>
            <w:noProof/>
            <w:webHidden/>
          </w:rPr>
          <w:fldChar w:fldCharType="begin"/>
        </w:r>
        <w:r>
          <w:rPr>
            <w:noProof/>
            <w:webHidden/>
          </w:rPr>
          <w:instrText xml:space="preserve"> PAGEREF _Toc12261186 \h </w:instrText>
        </w:r>
        <w:r>
          <w:rPr>
            <w:noProof/>
            <w:webHidden/>
          </w:rPr>
        </w:r>
        <w:r>
          <w:rPr>
            <w:noProof/>
            <w:webHidden/>
          </w:rPr>
          <w:fldChar w:fldCharType="separate"/>
        </w:r>
        <w:r>
          <w:rPr>
            <w:noProof/>
            <w:webHidden/>
          </w:rPr>
          <w:t>466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87" w:history="1">
        <w:r w:rsidRPr="00CD0B56">
          <w:rPr>
            <w:rStyle w:val="Hyperlink"/>
            <w:noProof/>
          </w:rPr>
          <w:t>2.1.1119</w:t>
        </w:r>
        <w:r>
          <w:rPr>
            <w:rFonts w:asciiTheme="minorHAnsi" w:eastAsiaTheme="minorEastAsia" w:hAnsiTheme="minorHAnsi" w:cstheme="minorBidi"/>
            <w:noProof/>
            <w:sz w:val="22"/>
            <w:szCs w:val="22"/>
          </w:rPr>
          <w:tab/>
        </w:r>
        <w:r w:rsidRPr="00CD0B56">
          <w:rPr>
            <w:rStyle w:val="Hyperlink"/>
            <w:noProof/>
          </w:rPr>
          <w:t>Part 1 Section 19.3.1.4, blipFill (Picture Fill)</w:t>
        </w:r>
        <w:r>
          <w:rPr>
            <w:noProof/>
            <w:webHidden/>
          </w:rPr>
          <w:tab/>
        </w:r>
        <w:r>
          <w:rPr>
            <w:noProof/>
            <w:webHidden/>
          </w:rPr>
          <w:fldChar w:fldCharType="begin"/>
        </w:r>
        <w:r>
          <w:rPr>
            <w:noProof/>
            <w:webHidden/>
          </w:rPr>
          <w:instrText xml:space="preserve"> PAGEREF _Toc12261187 \h </w:instrText>
        </w:r>
        <w:r>
          <w:rPr>
            <w:noProof/>
            <w:webHidden/>
          </w:rPr>
        </w:r>
        <w:r>
          <w:rPr>
            <w:noProof/>
            <w:webHidden/>
          </w:rPr>
          <w:fldChar w:fldCharType="separate"/>
        </w:r>
        <w:r>
          <w:rPr>
            <w:noProof/>
            <w:webHidden/>
          </w:rPr>
          <w:t>466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88" w:history="1">
        <w:r w:rsidRPr="00CD0B56">
          <w:rPr>
            <w:rStyle w:val="Hyperlink"/>
            <w:noProof/>
          </w:rPr>
          <w:t>2.1.1120</w:t>
        </w:r>
        <w:r>
          <w:rPr>
            <w:rFonts w:asciiTheme="minorHAnsi" w:eastAsiaTheme="minorEastAsia" w:hAnsiTheme="minorHAnsi" w:cstheme="minorBidi"/>
            <w:noProof/>
            <w:sz w:val="22"/>
            <w:szCs w:val="22"/>
          </w:rPr>
          <w:tab/>
        </w:r>
        <w:r w:rsidRPr="00CD0B56">
          <w:rPr>
            <w:rStyle w:val="Hyperlink"/>
            <w:noProof/>
          </w:rPr>
          <w:t>Part 1 Section 19.3.1.16, cSld (Common Slide Data)</w:t>
        </w:r>
        <w:r>
          <w:rPr>
            <w:noProof/>
            <w:webHidden/>
          </w:rPr>
          <w:tab/>
        </w:r>
        <w:r>
          <w:rPr>
            <w:noProof/>
            <w:webHidden/>
          </w:rPr>
          <w:fldChar w:fldCharType="begin"/>
        </w:r>
        <w:r>
          <w:rPr>
            <w:noProof/>
            <w:webHidden/>
          </w:rPr>
          <w:instrText xml:space="preserve"> PAGEREF _Toc12261188 \h </w:instrText>
        </w:r>
        <w:r>
          <w:rPr>
            <w:noProof/>
            <w:webHidden/>
          </w:rPr>
        </w:r>
        <w:r>
          <w:rPr>
            <w:noProof/>
            <w:webHidden/>
          </w:rPr>
          <w:fldChar w:fldCharType="separate"/>
        </w:r>
        <w:r>
          <w:rPr>
            <w:noProof/>
            <w:webHidden/>
          </w:rPr>
          <w:t>466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89" w:history="1">
        <w:r w:rsidRPr="00CD0B56">
          <w:rPr>
            <w:rStyle w:val="Hyperlink"/>
            <w:noProof/>
          </w:rPr>
          <w:t>2.1.1121</w:t>
        </w:r>
        <w:r>
          <w:rPr>
            <w:rFonts w:asciiTheme="minorHAnsi" w:eastAsiaTheme="minorEastAsia" w:hAnsiTheme="minorHAnsi" w:cstheme="minorBidi"/>
            <w:noProof/>
            <w:sz w:val="22"/>
            <w:szCs w:val="22"/>
          </w:rPr>
          <w:tab/>
        </w:r>
        <w:r w:rsidRPr="00CD0B56">
          <w:rPr>
            <w:rStyle w:val="Hyperlink"/>
            <w:noProof/>
          </w:rPr>
          <w:t>Part 1 Section 19.3.1.17, custData (Customer Data)</w:t>
        </w:r>
        <w:r>
          <w:rPr>
            <w:noProof/>
            <w:webHidden/>
          </w:rPr>
          <w:tab/>
        </w:r>
        <w:r>
          <w:rPr>
            <w:noProof/>
            <w:webHidden/>
          </w:rPr>
          <w:fldChar w:fldCharType="begin"/>
        </w:r>
        <w:r>
          <w:rPr>
            <w:noProof/>
            <w:webHidden/>
          </w:rPr>
          <w:instrText xml:space="preserve"> PAGEREF _Toc12261189 \h </w:instrText>
        </w:r>
        <w:r>
          <w:rPr>
            <w:noProof/>
            <w:webHidden/>
          </w:rPr>
        </w:r>
        <w:r>
          <w:rPr>
            <w:noProof/>
            <w:webHidden/>
          </w:rPr>
          <w:fldChar w:fldCharType="separate"/>
        </w:r>
        <w:r>
          <w:rPr>
            <w:noProof/>
            <w:webHidden/>
          </w:rPr>
          <w:t>466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90" w:history="1">
        <w:r w:rsidRPr="00CD0B56">
          <w:rPr>
            <w:rStyle w:val="Hyperlink"/>
            <w:noProof/>
          </w:rPr>
          <w:t>2.1.1122</w:t>
        </w:r>
        <w:r>
          <w:rPr>
            <w:rFonts w:asciiTheme="minorHAnsi" w:eastAsiaTheme="minorEastAsia" w:hAnsiTheme="minorHAnsi" w:cstheme="minorBidi"/>
            <w:noProof/>
            <w:sz w:val="22"/>
            <w:szCs w:val="22"/>
          </w:rPr>
          <w:tab/>
        </w:r>
        <w:r w:rsidRPr="00CD0B56">
          <w:rPr>
            <w:rStyle w:val="Hyperlink"/>
            <w:noProof/>
          </w:rPr>
          <w:t>Part 1 Section 19.3.1.23, grpSpPr (Group Shape Properties)</w:t>
        </w:r>
        <w:r>
          <w:rPr>
            <w:noProof/>
            <w:webHidden/>
          </w:rPr>
          <w:tab/>
        </w:r>
        <w:r>
          <w:rPr>
            <w:noProof/>
            <w:webHidden/>
          </w:rPr>
          <w:fldChar w:fldCharType="begin"/>
        </w:r>
        <w:r>
          <w:rPr>
            <w:noProof/>
            <w:webHidden/>
          </w:rPr>
          <w:instrText xml:space="preserve"> PAGEREF _Toc12261190 \h </w:instrText>
        </w:r>
        <w:r>
          <w:rPr>
            <w:noProof/>
            <w:webHidden/>
          </w:rPr>
        </w:r>
        <w:r>
          <w:rPr>
            <w:noProof/>
            <w:webHidden/>
          </w:rPr>
          <w:fldChar w:fldCharType="separate"/>
        </w:r>
        <w:r>
          <w:rPr>
            <w:noProof/>
            <w:webHidden/>
          </w:rPr>
          <w:t>466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91" w:history="1">
        <w:r w:rsidRPr="00CD0B56">
          <w:rPr>
            <w:rStyle w:val="Hyperlink"/>
            <w:noProof/>
          </w:rPr>
          <w:t>2.1.1123</w:t>
        </w:r>
        <w:r>
          <w:rPr>
            <w:rFonts w:asciiTheme="minorHAnsi" w:eastAsiaTheme="minorEastAsia" w:hAnsiTheme="minorHAnsi" w:cstheme="minorBidi"/>
            <w:noProof/>
            <w:sz w:val="22"/>
            <w:szCs w:val="22"/>
          </w:rPr>
          <w:tab/>
        </w:r>
        <w:r w:rsidRPr="00CD0B56">
          <w:rPr>
            <w:rStyle w:val="Hyperlink"/>
            <w:noProof/>
          </w:rPr>
          <w:t>Part 1 Section 19.3.1.27, notesMaster (Notes Master)</w:t>
        </w:r>
        <w:r>
          <w:rPr>
            <w:noProof/>
            <w:webHidden/>
          </w:rPr>
          <w:tab/>
        </w:r>
        <w:r>
          <w:rPr>
            <w:noProof/>
            <w:webHidden/>
          </w:rPr>
          <w:fldChar w:fldCharType="begin"/>
        </w:r>
        <w:r>
          <w:rPr>
            <w:noProof/>
            <w:webHidden/>
          </w:rPr>
          <w:instrText xml:space="preserve"> PAGEREF _Toc12261191 \h </w:instrText>
        </w:r>
        <w:r>
          <w:rPr>
            <w:noProof/>
            <w:webHidden/>
          </w:rPr>
        </w:r>
        <w:r>
          <w:rPr>
            <w:noProof/>
            <w:webHidden/>
          </w:rPr>
          <w:fldChar w:fldCharType="separate"/>
        </w:r>
        <w:r>
          <w:rPr>
            <w:noProof/>
            <w:webHidden/>
          </w:rPr>
          <w:t>467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92" w:history="1">
        <w:r w:rsidRPr="00CD0B56">
          <w:rPr>
            <w:rStyle w:val="Hyperlink"/>
            <w:noProof/>
          </w:rPr>
          <w:t>2.1.1124</w:t>
        </w:r>
        <w:r>
          <w:rPr>
            <w:rFonts w:asciiTheme="minorHAnsi" w:eastAsiaTheme="minorEastAsia" w:hAnsiTheme="minorHAnsi" w:cstheme="minorBidi"/>
            <w:noProof/>
            <w:sz w:val="22"/>
            <w:szCs w:val="22"/>
          </w:rPr>
          <w:tab/>
        </w:r>
        <w:r w:rsidRPr="00CD0B56">
          <w:rPr>
            <w:rStyle w:val="Hyperlink"/>
            <w:noProof/>
          </w:rPr>
          <w:t>Part 1 Section 19.3.1.28, notesStyle (Notes Text Style)</w:t>
        </w:r>
        <w:r>
          <w:rPr>
            <w:noProof/>
            <w:webHidden/>
          </w:rPr>
          <w:tab/>
        </w:r>
        <w:r>
          <w:rPr>
            <w:noProof/>
            <w:webHidden/>
          </w:rPr>
          <w:fldChar w:fldCharType="begin"/>
        </w:r>
        <w:r>
          <w:rPr>
            <w:noProof/>
            <w:webHidden/>
          </w:rPr>
          <w:instrText xml:space="preserve"> PAGEREF _Toc12261192 \h </w:instrText>
        </w:r>
        <w:r>
          <w:rPr>
            <w:noProof/>
            <w:webHidden/>
          </w:rPr>
        </w:r>
        <w:r>
          <w:rPr>
            <w:noProof/>
            <w:webHidden/>
          </w:rPr>
          <w:fldChar w:fldCharType="separate"/>
        </w:r>
        <w:r>
          <w:rPr>
            <w:noProof/>
            <w:webHidden/>
          </w:rPr>
          <w:t>467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93" w:history="1">
        <w:r w:rsidRPr="00CD0B56">
          <w:rPr>
            <w:rStyle w:val="Hyperlink"/>
            <w:noProof/>
          </w:rPr>
          <w:t>2.1.1125</w:t>
        </w:r>
        <w:r>
          <w:rPr>
            <w:rFonts w:asciiTheme="minorHAnsi" w:eastAsiaTheme="minorEastAsia" w:hAnsiTheme="minorHAnsi" w:cstheme="minorBidi"/>
            <w:noProof/>
            <w:sz w:val="22"/>
            <w:szCs w:val="22"/>
          </w:rPr>
          <w:tab/>
        </w:r>
        <w:r w:rsidRPr="00CD0B56">
          <w:rPr>
            <w:rStyle w:val="Hyperlink"/>
            <w:noProof/>
          </w:rPr>
          <w:t>Part 1 Section 19.3.1.33, nvPr (Non-Visual Properties)</w:t>
        </w:r>
        <w:r>
          <w:rPr>
            <w:noProof/>
            <w:webHidden/>
          </w:rPr>
          <w:tab/>
        </w:r>
        <w:r>
          <w:rPr>
            <w:noProof/>
            <w:webHidden/>
          </w:rPr>
          <w:fldChar w:fldCharType="begin"/>
        </w:r>
        <w:r>
          <w:rPr>
            <w:noProof/>
            <w:webHidden/>
          </w:rPr>
          <w:instrText xml:space="preserve"> PAGEREF _Toc12261193 \h </w:instrText>
        </w:r>
        <w:r>
          <w:rPr>
            <w:noProof/>
            <w:webHidden/>
          </w:rPr>
        </w:r>
        <w:r>
          <w:rPr>
            <w:noProof/>
            <w:webHidden/>
          </w:rPr>
          <w:fldChar w:fldCharType="separate"/>
        </w:r>
        <w:r>
          <w:rPr>
            <w:noProof/>
            <w:webHidden/>
          </w:rPr>
          <w:t>467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94" w:history="1">
        <w:r w:rsidRPr="00CD0B56">
          <w:rPr>
            <w:rStyle w:val="Hyperlink"/>
            <w:noProof/>
          </w:rPr>
          <w:t>2.1.1126</w:t>
        </w:r>
        <w:r>
          <w:rPr>
            <w:rFonts w:asciiTheme="minorHAnsi" w:eastAsiaTheme="minorEastAsia" w:hAnsiTheme="minorHAnsi" w:cstheme="minorBidi"/>
            <w:noProof/>
            <w:sz w:val="22"/>
            <w:szCs w:val="22"/>
          </w:rPr>
          <w:tab/>
        </w:r>
        <w:r w:rsidRPr="00CD0B56">
          <w:rPr>
            <w:rStyle w:val="Hyperlink"/>
            <w:noProof/>
          </w:rPr>
          <w:t>Part 1 Section 19.3.1.36, ph (Placeholder Shape)</w:t>
        </w:r>
        <w:r>
          <w:rPr>
            <w:noProof/>
            <w:webHidden/>
          </w:rPr>
          <w:tab/>
        </w:r>
        <w:r>
          <w:rPr>
            <w:noProof/>
            <w:webHidden/>
          </w:rPr>
          <w:fldChar w:fldCharType="begin"/>
        </w:r>
        <w:r>
          <w:rPr>
            <w:noProof/>
            <w:webHidden/>
          </w:rPr>
          <w:instrText xml:space="preserve"> PAGEREF _Toc12261194 \h </w:instrText>
        </w:r>
        <w:r>
          <w:rPr>
            <w:noProof/>
            <w:webHidden/>
          </w:rPr>
        </w:r>
        <w:r>
          <w:rPr>
            <w:noProof/>
            <w:webHidden/>
          </w:rPr>
          <w:fldChar w:fldCharType="separate"/>
        </w:r>
        <w:r>
          <w:rPr>
            <w:noProof/>
            <w:webHidden/>
          </w:rPr>
          <w:t>467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95" w:history="1">
        <w:r w:rsidRPr="00CD0B56">
          <w:rPr>
            <w:rStyle w:val="Hyperlink"/>
            <w:noProof/>
          </w:rPr>
          <w:t>2.1.1127</w:t>
        </w:r>
        <w:r>
          <w:rPr>
            <w:rFonts w:asciiTheme="minorHAnsi" w:eastAsiaTheme="minorEastAsia" w:hAnsiTheme="minorHAnsi" w:cstheme="minorBidi"/>
            <w:noProof/>
            <w:sz w:val="22"/>
            <w:szCs w:val="22"/>
          </w:rPr>
          <w:tab/>
        </w:r>
        <w:r w:rsidRPr="00CD0B56">
          <w:rPr>
            <w:rStyle w:val="Hyperlink"/>
            <w:noProof/>
          </w:rPr>
          <w:t>Part 1 Section 19.3.1.38, sld (Presentation Slide)</w:t>
        </w:r>
        <w:r>
          <w:rPr>
            <w:noProof/>
            <w:webHidden/>
          </w:rPr>
          <w:tab/>
        </w:r>
        <w:r>
          <w:rPr>
            <w:noProof/>
            <w:webHidden/>
          </w:rPr>
          <w:fldChar w:fldCharType="begin"/>
        </w:r>
        <w:r>
          <w:rPr>
            <w:noProof/>
            <w:webHidden/>
          </w:rPr>
          <w:instrText xml:space="preserve"> PAGEREF _Toc12261195 \h </w:instrText>
        </w:r>
        <w:r>
          <w:rPr>
            <w:noProof/>
            <w:webHidden/>
          </w:rPr>
        </w:r>
        <w:r>
          <w:rPr>
            <w:noProof/>
            <w:webHidden/>
          </w:rPr>
          <w:fldChar w:fldCharType="separate"/>
        </w:r>
        <w:r>
          <w:rPr>
            <w:noProof/>
            <w:webHidden/>
          </w:rPr>
          <w:t>467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96" w:history="1">
        <w:r w:rsidRPr="00CD0B56">
          <w:rPr>
            <w:rStyle w:val="Hyperlink"/>
            <w:noProof/>
          </w:rPr>
          <w:t>2.1.1128</w:t>
        </w:r>
        <w:r>
          <w:rPr>
            <w:rFonts w:asciiTheme="minorHAnsi" w:eastAsiaTheme="minorEastAsia" w:hAnsiTheme="minorHAnsi" w:cstheme="minorBidi"/>
            <w:noProof/>
            <w:sz w:val="22"/>
            <w:szCs w:val="22"/>
          </w:rPr>
          <w:tab/>
        </w:r>
        <w:r w:rsidRPr="00CD0B56">
          <w:rPr>
            <w:rStyle w:val="Hyperlink"/>
            <w:noProof/>
          </w:rPr>
          <w:t>Part 1 Section 19.3.1.44, spPr (Shape Properties)</w:t>
        </w:r>
        <w:r>
          <w:rPr>
            <w:noProof/>
            <w:webHidden/>
          </w:rPr>
          <w:tab/>
        </w:r>
        <w:r>
          <w:rPr>
            <w:noProof/>
            <w:webHidden/>
          </w:rPr>
          <w:fldChar w:fldCharType="begin"/>
        </w:r>
        <w:r>
          <w:rPr>
            <w:noProof/>
            <w:webHidden/>
          </w:rPr>
          <w:instrText xml:space="preserve"> PAGEREF _Toc12261196 \h </w:instrText>
        </w:r>
        <w:r>
          <w:rPr>
            <w:noProof/>
            <w:webHidden/>
          </w:rPr>
        </w:r>
        <w:r>
          <w:rPr>
            <w:noProof/>
            <w:webHidden/>
          </w:rPr>
          <w:fldChar w:fldCharType="separate"/>
        </w:r>
        <w:r>
          <w:rPr>
            <w:noProof/>
            <w:webHidden/>
          </w:rPr>
          <w:t>468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97" w:history="1">
        <w:r w:rsidRPr="00CD0B56">
          <w:rPr>
            <w:rStyle w:val="Hyperlink"/>
            <w:noProof/>
          </w:rPr>
          <w:t>2.1.1129</w:t>
        </w:r>
        <w:r>
          <w:rPr>
            <w:rFonts w:asciiTheme="minorHAnsi" w:eastAsiaTheme="minorEastAsia" w:hAnsiTheme="minorHAnsi" w:cstheme="minorBidi"/>
            <w:noProof/>
            <w:sz w:val="22"/>
            <w:szCs w:val="22"/>
          </w:rPr>
          <w:tab/>
        </w:r>
        <w:r w:rsidRPr="00CD0B56">
          <w:rPr>
            <w:rStyle w:val="Hyperlink"/>
            <w:noProof/>
          </w:rPr>
          <w:t>Part 1 Section 19.3.1.53, xfrm (2D Transform for Graphic Frame)</w:t>
        </w:r>
        <w:r>
          <w:rPr>
            <w:noProof/>
            <w:webHidden/>
          </w:rPr>
          <w:tab/>
        </w:r>
        <w:r>
          <w:rPr>
            <w:noProof/>
            <w:webHidden/>
          </w:rPr>
          <w:fldChar w:fldCharType="begin"/>
        </w:r>
        <w:r>
          <w:rPr>
            <w:noProof/>
            <w:webHidden/>
          </w:rPr>
          <w:instrText xml:space="preserve"> PAGEREF _Toc12261197 \h </w:instrText>
        </w:r>
        <w:r>
          <w:rPr>
            <w:noProof/>
            <w:webHidden/>
          </w:rPr>
        </w:r>
        <w:r>
          <w:rPr>
            <w:noProof/>
            <w:webHidden/>
          </w:rPr>
          <w:fldChar w:fldCharType="separate"/>
        </w:r>
        <w:r>
          <w:rPr>
            <w:noProof/>
            <w:webHidden/>
          </w:rPr>
          <w:t>468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98" w:history="1">
        <w:r w:rsidRPr="00CD0B56">
          <w:rPr>
            <w:rStyle w:val="Hyperlink"/>
            <w:noProof/>
          </w:rPr>
          <w:t>2.1.1130</w:t>
        </w:r>
        <w:r>
          <w:rPr>
            <w:rFonts w:asciiTheme="minorHAnsi" w:eastAsiaTheme="minorEastAsia" w:hAnsiTheme="minorHAnsi" w:cstheme="minorBidi"/>
            <w:noProof/>
            <w:sz w:val="22"/>
            <w:szCs w:val="22"/>
          </w:rPr>
          <w:tab/>
        </w:r>
        <w:r w:rsidRPr="00CD0B56">
          <w:rPr>
            <w:rStyle w:val="Hyperlink"/>
            <w:noProof/>
          </w:rPr>
          <w:t>Part 1 Section 19.3.2.1, control (Embedded Control)</w:t>
        </w:r>
        <w:r>
          <w:rPr>
            <w:noProof/>
            <w:webHidden/>
          </w:rPr>
          <w:tab/>
        </w:r>
        <w:r>
          <w:rPr>
            <w:noProof/>
            <w:webHidden/>
          </w:rPr>
          <w:fldChar w:fldCharType="begin"/>
        </w:r>
        <w:r>
          <w:rPr>
            <w:noProof/>
            <w:webHidden/>
          </w:rPr>
          <w:instrText xml:space="preserve"> PAGEREF _Toc12261198 \h </w:instrText>
        </w:r>
        <w:r>
          <w:rPr>
            <w:noProof/>
            <w:webHidden/>
          </w:rPr>
        </w:r>
        <w:r>
          <w:rPr>
            <w:noProof/>
            <w:webHidden/>
          </w:rPr>
          <w:fldChar w:fldCharType="separate"/>
        </w:r>
        <w:r>
          <w:rPr>
            <w:noProof/>
            <w:webHidden/>
          </w:rPr>
          <w:t>468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199" w:history="1">
        <w:r w:rsidRPr="00CD0B56">
          <w:rPr>
            <w:rStyle w:val="Hyperlink"/>
            <w:noProof/>
          </w:rPr>
          <w:t>2.1.1131</w:t>
        </w:r>
        <w:r>
          <w:rPr>
            <w:rFonts w:asciiTheme="minorHAnsi" w:eastAsiaTheme="minorEastAsia" w:hAnsiTheme="minorHAnsi" w:cstheme="minorBidi"/>
            <w:noProof/>
            <w:sz w:val="22"/>
            <w:szCs w:val="22"/>
          </w:rPr>
          <w:tab/>
        </w:r>
        <w:r w:rsidRPr="00CD0B56">
          <w:rPr>
            <w:rStyle w:val="Hyperlink"/>
            <w:noProof/>
          </w:rPr>
          <w:t>Part 1 Section 19.3.2.2, embed (Embedded Object or Control)</w:t>
        </w:r>
        <w:r>
          <w:rPr>
            <w:noProof/>
            <w:webHidden/>
          </w:rPr>
          <w:tab/>
        </w:r>
        <w:r>
          <w:rPr>
            <w:noProof/>
            <w:webHidden/>
          </w:rPr>
          <w:fldChar w:fldCharType="begin"/>
        </w:r>
        <w:r>
          <w:rPr>
            <w:noProof/>
            <w:webHidden/>
          </w:rPr>
          <w:instrText xml:space="preserve"> PAGEREF _Toc12261199 \h </w:instrText>
        </w:r>
        <w:r>
          <w:rPr>
            <w:noProof/>
            <w:webHidden/>
          </w:rPr>
        </w:r>
        <w:r>
          <w:rPr>
            <w:noProof/>
            <w:webHidden/>
          </w:rPr>
          <w:fldChar w:fldCharType="separate"/>
        </w:r>
        <w:r>
          <w:rPr>
            <w:noProof/>
            <w:webHidden/>
          </w:rPr>
          <w:t>468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00" w:history="1">
        <w:r w:rsidRPr="00CD0B56">
          <w:rPr>
            <w:rStyle w:val="Hyperlink"/>
            <w:noProof/>
          </w:rPr>
          <w:t>2.1.1132</w:t>
        </w:r>
        <w:r>
          <w:rPr>
            <w:rFonts w:asciiTheme="minorHAnsi" w:eastAsiaTheme="minorEastAsia" w:hAnsiTheme="minorHAnsi" w:cstheme="minorBidi"/>
            <w:noProof/>
            <w:sz w:val="22"/>
            <w:szCs w:val="22"/>
          </w:rPr>
          <w:tab/>
        </w:r>
        <w:r w:rsidRPr="00CD0B56">
          <w:rPr>
            <w:rStyle w:val="Hyperlink"/>
            <w:noProof/>
          </w:rPr>
          <w:t>Part 1 Section 19.3.2.3, link (Linked Object or Control)</w:t>
        </w:r>
        <w:r>
          <w:rPr>
            <w:noProof/>
            <w:webHidden/>
          </w:rPr>
          <w:tab/>
        </w:r>
        <w:r>
          <w:rPr>
            <w:noProof/>
            <w:webHidden/>
          </w:rPr>
          <w:fldChar w:fldCharType="begin"/>
        </w:r>
        <w:r>
          <w:rPr>
            <w:noProof/>
            <w:webHidden/>
          </w:rPr>
          <w:instrText xml:space="preserve"> PAGEREF _Toc12261200 \h </w:instrText>
        </w:r>
        <w:r>
          <w:rPr>
            <w:noProof/>
            <w:webHidden/>
          </w:rPr>
        </w:r>
        <w:r>
          <w:rPr>
            <w:noProof/>
            <w:webHidden/>
          </w:rPr>
          <w:fldChar w:fldCharType="separate"/>
        </w:r>
        <w:r>
          <w:rPr>
            <w:noProof/>
            <w:webHidden/>
          </w:rPr>
          <w:t>468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01" w:history="1">
        <w:r w:rsidRPr="00CD0B56">
          <w:rPr>
            <w:rStyle w:val="Hyperlink"/>
            <w:noProof/>
          </w:rPr>
          <w:t>2.1.1133</w:t>
        </w:r>
        <w:r>
          <w:rPr>
            <w:rFonts w:asciiTheme="minorHAnsi" w:eastAsiaTheme="minorEastAsia" w:hAnsiTheme="minorHAnsi" w:cstheme="minorBidi"/>
            <w:noProof/>
            <w:sz w:val="22"/>
            <w:szCs w:val="22"/>
          </w:rPr>
          <w:tab/>
        </w:r>
        <w:r w:rsidRPr="00CD0B56">
          <w:rPr>
            <w:rStyle w:val="Hyperlink"/>
            <w:noProof/>
          </w:rPr>
          <w:t>Part 1 Section 19.3.2.4, oleObj (Global Element for Embedded objects and Controls)</w:t>
        </w:r>
        <w:r>
          <w:rPr>
            <w:noProof/>
            <w:webHidden/>
          </w:rPr>
          <w:tab/>
        </w:r>
        <w:r>
          <w:rPr>
            <w:noProof/>
            <w:webHidden/>
          </w:rPr>
          <w:fldChar w:fldCharType="begin"/>
        </w:r>
        <w:r>
          <w:rPr>
            <w:noProof/>
            <w:webHidden/>
          </w:rPr>
          <w:instrText xml:space="preserve"> PAGEREF _Toc12261201 \h </w:instrText>
        </w:r>
        <w:r>
          <w:rPr>
            <w:noProof/>
            <w:webHidden/>
          </w:rPr>
        </w:r>
        <w:r>
          <w:rPr>
            <w:noProof/>
            <w:webHidden/>
          </w:rPr>
          <w:fldChar w:fldCharType="separate"/>
        </w:r>
        <w:r>
          <w:rPr>
            <w:noProof/>
            <w:webHidden/>
          </w:rPr>
          <w:t>468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02" w:history="1">
        <w:r w:rsidRPr="00CD0B56">
          <w:rPr>
            <w:rStyle w:val="Hyperlink"/>
            <w:noProof/>
          </w:rPr>
          <w:t>2.1.1134</w:t>
        </w:r>
        <w:r>
          <w:rPr>
            <w:rFonts w:asciiTheme="minorHAnsi" w:eastAsiaTheme="minorEastAsia" w:hAnsiTheme="minorHAnsi" w:cstheme="minorBidi"/>
            <w:noProof/>
            <w:sz w:val="22"/>
            <w:szCs w:val="22"/>
          </w:rPr>
          <w:tab/>
        </w:r>
        <w:r w:rsidRPr="00CD0B56">
          <w:rPr>
            <w:rStyle w:val="Hyperlink"/>
            <w:noProof/>
          </w:rPr>
          <w:t>Part 1 Section 19.3.3.1, tag (Programmable Extensibility Tag)</w:t>
        </w:r>
        <w:r>
          <w:rPr>
            <w:noProof/>
            <w:webHidden/>
          </w:rPr>
          <w:tab/>
        </w:r>
        <w:r>
          <w:rPr>
            <w:noProof/>
            <w:webHidden/>
          </w:rPr>
          <w:fldChar w:fldCharType="begin"/>
        </w:r>
        <w:r>
          <w:rPr>
            <w:noProof/>
            <w:webHidden/>
          </w:rPr>
          <w:instrText xml:space="preserve"> PAGEREF _Toc12261202 \h </w:instrText>
        </w:r>
        <w:r>
          <w:rPr>
            <w:noProof/>
            <w:webHidden/>
          </w:rPr>
        </w:r>
        <w:r>
          <w:rPr>
            <w:noProof/>
            <w:webHidden/>
          </w:rPr>
          <w:fldChar w:fldCharType="separate"/>
        </w:r>
        <w:r>
          <w:rPr>
            <w:noProof/>
            <w:webHidden/>
          </w:rPr>
          <w:t>469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03" w:history="1">
        <w:r w:rsidRPr="00CD0B56">
          <w:rPr>
            <w:rStyle w:val="Hyperlink"/>
            <w:noProof/>
          </w:rPr>
          <w:t>2.1.1135</w:t>
        </w:r>
        <w:r>
          <w:rPr>
            <w:rFonts w:asciiTheme="minorHAnsi" w:eastAsiaTheme="minorEastAsia" w:hAnsiTheme="minorHAnsi" w:cstheme="minorBidi"/>
            <w:noProof/>
            <w:sz w:val="22"/>
            <w:szCs w:val="22"/>
          </w:rPr>
          <w:tab/>
        </w:r>
        <w:r w:rsidRPr="00CD0B56">
          <w:rPr>
            <w:rStyle w:val="Hyperlink"/>
            <w:noProof/>
          </w:rPr>
          <w:t>Part 1 Section 19.4.1, cm (Comment)</w:t>
        </w:r>
        <w:r>
          <w:rPr>
            <w:noProof/>
            <w:webHidden/>
          </w:rPr>
          <w:tab/>
        </w:r>
        <w:r>
          <w:rPr>
            <w:noProof/>
            <w:webHidden/>
          </w:rPr>
          <w:fldChar w:fldCharType="begin"/>
        </w:r>
        <w:r>
          <w:rPr>
            <w:noProof/>
            <w:webHidden/>
          </w:rPr>
          <w:instrText xml:space="preserve"> PAGEREF _Toc12261203 \h </w:instrText>
        </w:r>
        <w:r>
          <w:rPr>
            <w:noProof/>
            <w:webHidden/>
          </w:rPr>
        </w:r>
        <w:r>
          <w:rPr>
            <w:noProof/>
            <w:webHidden/>
          </w:rPr>
          <w:fldChar w:fldCharType="separate"/>
        </w:r>
        <w:r>
          <w:rPr>
            <w:noProof/>
            <w:webHidden/>
          </w:rPr>
          <w:t>469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04" w:history="1">
        <w:r w:rsidRPr="00CD0B56">
          <w:rPr>
            <w:rStyle w:val="Hyperlink"/>
            <w:noProof/>
          </w:rPr>
          <w:t>2.1.1136</w:t>
        </w:r>
        <w:r>
          <w:rPr>
            <w:rFonts w:asciiTheme="minorHAnsi" w:eastAsiaTheme="minorEastAsia" w:hAnsiTheme="minorHAnsi" w:cstheme="minorBidi"/>
            <w:noProof/>
            <w:sz w:val="22"/>
            <w:szCs w:val="22"/>
          </w:rPr>
          <w:tab/>
        </w:r>
        <w:r w:rsidRPr="00CD0B56">
          <w:rPr>
            <w:rStyle w:val="Hyperlink"/>
            <w:noProof/>
          </w:rPr>
          <w:t>Part 1 Section 19.4.5, pos (Comment Position)</w:t>
        </w:r>
        <w:r>
          <w:rPr>
            <w:noProof/>
            <w:webHidden/>
          </w:rPr>
          <w:tab/>
        </w:r>
        <w:r>
          <w:rPr>
            <w:noProof/>
            <w:webHidden/>
          </w:rPr>
          <w:fldChar w:fldCharType="begin"/>
        </w:r>
        <w:r>
          <w:rPr>
            <w:noProof/>
            <w:webHidden/>
          </w:rPr>
          <w:instrText xml:space="preserve"> PAGEREF _Toc12261204 \h </w:instrText>
        </w:r>
        <w:r>
          <w:rPr>
            <w:noProof/>
            <w:webHidden/>
          </w:rPr>
        </w:r>
        <w:r>
          <w:rPr>
            <w:noProof/>
            <w:webHidden/>
          </w:rPr>
          <w:fldChar w:fldCharType="separate"/>
        </w:r>
        <w:r>
          <w:rPr>
            <w:noProof/>
            <w:webHidden/>
          </w:rPr>
          <w:t>470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05" w:history="1">
        <w:r w:rsidRPr="00CD0B56">
          <w:rPr>
            <w:rStyle w:val="Hyperlink"/>
            <w:noProof/>
          </w:rPr>
          <w:t>2.1.1137</w:t>
        </w:r>
        <w:r>
          <w:rPr>
            <w:rFonts w:asciiTheme="minorHAnsi" w:eastAsiaTheme="minorEastAsia" w:hAnsiTheme="minorHAnsi" w:cstheme="minorBidi"/>
            <w:noProof/>
            <w:sz w:val="22"/>
            <w:szCs w:val="22"/>
          </w:rPr>
          <w:tab/>
        </w:r>
        <w:r w:rsidRPr="00CD0B56">
          <w:rPr>
            <w:rStyle w:val="Hyperlink"/>
            <w:noProof/>
          </w:rPr>
          <w:t>Part 1 Section 19.5.1, anim (Animate)</w:t>
        </w:r>
        <w:r>
          <w:rPr>
            <w:noProof/>
            <w:webHidden/>
          </w:rPr>
          <w:tab/>
        </w:r>
        <w:r>
          <w:rPr>
            <w:noProof/>
            <w:webHidden/>
          </w:rPr>
          <w:fldChar w:fldCharType="begin"/>
        </w:r>
        <w:r>
          <w:rPr>
            <w:noProof/>
            <w:webHidden/>
          </w:rPr>
          <w:instrText xml:space="preserve"> PAGEREF _Toc12261205 \h </w:instrText>
        </w:r>
        <w:r>
          <w:rPr>
            <w:noProof/>
            <w:webHidden/>
          </w:rPr>
        </w:r>
        <w:r>
          <w:rPr>
            <w:noProof/>
            <w:webHidden/>
          </w:rPr>
          <w:fldChar w:fldCharType="separate"/>
        </w:r>
        <w:r>
          <w:rPr>
            <w:noProof/>
            <w:webHidden/>
          </w:rPr>
          <w:t>470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06" w:history="1">
        <w:r w:rsidRPr="00CD0B56">
          <w:rPr>
            <w:rStyle w:val="Hyperlink"/>
            <w:noProof/>
          </w:rPr>
          <w:t>2.1.1138</w:t>
        </w:r>
        <w:r>
          <w:rPr>
            <w:rFonts w:asciiTheme="minorHAnsi" w:eastAsiaTheme="minorEastAsia" w:hAnsiTheme="minorHAnsi" w:cstheme="minorBidi"/>
            <w:noProof/>
            <w:sz w:val="22"/>
            <w:szCs w:val="22"/>
          </w:rPr>
          <w:tab/>
        </w:r>
        <w:r w:rsidRPr="00CD0B56">
          <w:rPr>
            <w:rStyle w:val="Hyperlink"/>
            <w:noProof/>
          </w:rPr>
          <w:t>Part 1 Section 19.5.2, animClr (Animate Color Behavior)</w:t>
        </w:r>
        <w:r>
          <w:rPr>
            <w:noProof/>
            <w:webHidden/>
          </w:rPr>
          <w:tab/>
        </w:r>
        <w:r>
          <w:rPr>
            <w:noProof/>
            <w:webHidden/>
          </w:rPr>
          <w:fldChar w:fldCharType="begin"/>
        </w:r>
        <w:r>
          <w:rPr>
            <w:noProof/>
            <w:webHidden/>
          </w:rPr>
          <w:instrText xml:space="preserve"> PAGEREF _Toc12261206 \h </w:instrText>
        </w:r>
        <w:r>
          <w:rPr>
            <w:noProof/>
            <w:webHidden/>
          </w:rPr>
        </w:r>
        <w:r>
          <w:rPr>
            <w:noProof/>
            <w:webHidden/>
          </w:rPr>
          <w:fldChar w:fldCharType="separate"/>
        </w:r>
        <w:r>
          <w:rPr>
            <w:noProof/>
            <w:webHidden/>
          </w:rPr>
          <w:t>471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07" w:history="1">
        <w:r w:rsidRPr="00CD0B56">
          <w:rPr>
            <w:rStyle w:val="Hyperlink"/>
            <w:noProof/>
          </w:rPr>
          <w:t>2.1.1139</w:t>
        </w:r>
        <w:r>
          <w:rPr>
            <w:rFonts w:asciiTheme="minorHAnsi" w:eastAsiaTheme="minorEastAsia" w:hAnsiTheme="minorHAnsi" w:cstheme="minorBidi"/>
            <w:noProof/>
            <w:sz w:val="22"/>
            <w:szCs w:val="22"/>
          </w:rPr>
          <w:tab/>
        </w:r>
        <w:r w:rsidRPr="00CD0B56">
          <w:rPr>
            <w:rStyle w:val="Hyperlink"/>
            <w:noProof/>
          </w:rPr>
          <w:t>Part 1 Section 19.5.3, animEffect (Animate Effect)</w:t>
        </w:r>
        <w:r>
          <w:rPr>
            <w:noProof/>
            <w:webHidden/>
          </w:rPr>
          <w:tab/>
        </w:r>
        <w:r>
          <w:rPr>
            <w:noProof/>
            <w:webHidden/>
          </w:rPr>
          <w:fldChar w:fldCharType="begin"/>
        </w:r>
        <w:r>
          <w:rPr>
            <w:noProof/>
            <w:webHidden/>
          </w:rPr>
          <w:instrText xml:space="preserve"> PAGEREF _Toc12261207 \h </w:instrText>
        </w:r>
        <w:r>
          <w:rPr>
            <w:noProof/>
            <w:webHidden/>
          </w:rPr>
        </w:r>
        <w:r>
          <w:rPr>
            <w:noProof/>
            <w:webHidden/>
          </w:rPr>
          <w:fldChar w:fldCharType="separate"/>
        </w:r>
        <w:r>
          <w:rPr>
            <w:noProof/>
            <w:webHidden/>
          </w:rPr>
          <w:t>471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08" w:history="1">
        <w:r w:rsidRPr="00CD0B56">
          <w:rPr>
            <w:rStyle w:val="Hyperlink"/>
            <w:noProof/>
          </w:rPr>
          <w:t>2.1.1140</w:t>
        </w:r>
        <w:r>
          <w:rPr>
            <w:rFonts w:asciiTheme="minorHAnsi" w:eastAsiaTheme="minorEastAsia" w:hAnsiTheme="minorHAnsi" w:cstheme="minorBidi"/>
            <w:noProof/>
            <w:sz w:val="22"/>
            <w:szCs w:val="22"/>
          </w:rPr>
          <w:tab/>
        </w:r>
        <w:r w:rsidRPr="00CD0B56">
          <w:rPr>
            <w:rStyle w:val="Hyperlink"/>
            <w:noProof/>
          </w:rPr>
          <w:t>Part 1 Section 19.5.4, animMotion (Animate Motion)</w:t>
        </w:r>
        <w:r>
          <w:rPr>
            <w:noProof/>
            <w:webHidden/>
          </w:rPr>
          <w:tab/>
        </w:r>
        <w:r>
          <w:rPr>
            <w:noProof/>
            <w:webHidden/>
          </w:rPr>
          <w:fldChar w:fldCharType="begin"/>
        </w:r>
        <w:r>
          <w:rPr>
            <w:noProof/>
            <w:webHidden/>
          </w:rPr>
          <w:instrText xml:space="preserve"> PAGEREF _Toc12261208 \h </w:instrText>
        </w:r>
        <w:r>
          <w:rPr>
            <w:noProof/>
            <w:webHidden/>
          </w:rPr>
        </w:r>
        <w:r>
          <w:rPr>
            <w:noProof/>
            <w:webHidden/>
          </w:rPr>
          <w:fldChar w:fldCharType="separate"/>
        </w:r>
        <w:r>
          <w:rPr>
            <w:noProof/>
            <w:webHidden/>
          </w:rPr>
          <w:t>472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09" w:history="1">
        <w:r w:rsidRPr="00CD0B56">
          <w:rPr>
            <w:rStyle w:val="Hyperlink"/>
            <w:noProof/>
          </w:rPr>
          <w:t>2.1.1141</w:t>
        </w:r>
        <w:r>
          <w:rPr>
            <w:rFonts w:asciiTheme="minorHAnsi" w:eastAsiaTheme="minorEastAsia" w:hAnsiTheme="minorHAnsi" w:cstheme="minorBidi"/>
            <w:noProof/>
            <w:sz w:val="22"/>
            <w:szCs w:val="22"/>
          </w:rPr>
          <w:tab/>
        </w:r>
        <w:r w:rsidRPr="00CD0B56">
          <w:rPr>
            <w:rStyle w:val="Hyperlink"/>
            <w:noProof/>
          </w:rPr>
          <w:t>Part 1 Section 19.5.5, animRot (Animate Rotation)</w:t>
        </w:r>
        <w:r>
          <w:rPr>
            <w:noProof/>
            <w:webHidden/>
          </w:rPr>
          <w:tab/>
        </w:r>
        <w:r>
          <w:rPr>
            <w:noProof/>
            <w:webHidden/>
          </w:rPr>
          <w:fldChar w:fldCharType="begin"/>
        </w:r>
        <w:r>
          <w:rPr>
            <w:noProof/>
            <w:webHidden/>
          </w:rPr>
          <w:instrText xml:space="preserve"> PAGEREF _Toc12261209 \h </w:instrText>
        </w:r>
        <w:r>
          <w:rPr>
            <w:noProof/>
            <w:webHidden/>
          </w:rPr>
        </w:r>
        <w:r>
          <w:rPr>
            <w:noProof/>
            <w:webHidden/>
          </w:rPr>
          <w:fldChar w:fldCharType="separate"/>
        </w:r>
        <w:r>
          <w:rPr>
            <w:noProof/>
            <w:webHidden/>
          </w:rPr>
          <w:t>473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10" w:history="1">
        <w:r w:rsidRPr="00CD0B56">
          <w:rPr>
            <w:rStyle w:val="Hyperlink"/>
            <w:noProof/>
          </w:rPr>
          <w:t>2.1.1142</w:t>
        </w:r>
        <w:r>
          <w:rPr>
            <w:rFonts w:asciiTheme="minorHAnsi" w:eastAsiaTheme="minorEastAsia" w:hAnsiTheme="minorHAnsi" w:cstheme="minorBidi"/>
            <w:noProof/>
            <w:sz w:val="22"/>
            <w:szCs w:val="22"/>
          </w:rPr>
          <w:tab/>
        </w:r>
        <w:r w:rsidRPr="00CD0B56">
          <w:rPr>
            <w:rStyle w:val="Hyperlink"/>
            <w:noProof/>
          </w:rPr>
          <w:t>Part 1 Section 19.5.6, animScale (Animate Scale)</w:t>
        </w:r>
        <w:r>
          <w:rPr>
            <w:noProof/>
            <w:webHidden/>
          </w:rPr>
          <w:tab/>
        </w:r>
        <w:r>
          <w:rPr>
            <w:noProof/>
            <w:webHidden/>
          </w:rPr>
          <w:fldChar w:fldCharType="begin"/>
        </w:r>
        <w:r>
          <w:rPr>
            <w:noProof/>
            <w:webHidden/>
          </w:rPr>
          <w:instrText xml:space="preserve"> PAGEREF _Toc12261210 \h </w:instrText>
        </w:r>
        <w:r>
          <w:rPr>
            <w:noProof/>
            <w:webHidden/>
          </w:rPr>
        </w:r>
        <w:r>
          <w:rPr>
            <w:noProof/>
            <w:webHidden/>
          </w:rPr>
          <w:fldChar w:fldCharType="separate"/>
        </w:r>
        <w:r>
          <w:rPr>
            <w:noProof/>
            <w:webHidden/>
          </w:rPr>
          <w:t>474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11" w:history="1">
        <w:r w:rsidRPr="00CD0B56">
          <w:rPr>
            <w:rStyle w:val="Hyperlink"/>
            <w:noProof/>
          </w:rPr>
          <w:t>2.1.1143</w:t>
        </w:r>
        <w:r>
          <w:rPr>
            <w:rFonts w:asciiTheme="minorHAnsi" w:eastAsiaTheme="minorEastAsia" w:hAnsiTheme="minorHAnsi" w:cstheme="minorBidi"/>
            <w:noProof/>
            <w:sz w:val="22"/>
            <w:szCs w:val="22"/>
          </w:rPr>
          <w:tab/>
        </w:r>
        <w:r w:rsidRPr="00CD0B56">
          <w:rPr>
            <w:rStyle w:val="Hyperlink"/>
            <w:noProof/>
          </w:rPr>
          <w:t>Part 1 Section 19.5.7, attrName (Attribute Name)</w:t>
        </w:r>
        <w:r>
          <w:rPr>
            <w:noProof/>
            <w:webHidden/>
          </w:rPr>
          <w:tab/>
        </w:r>
        <w:r>
          <w:rPr>
            <w:noProof/>
            <w:webHidden/>
          </w:rPr>
          <w:fldChar w:fldCharType="begin"/>
        </w:r>
        <w:r>
          <w:rPr>
            <w:noProof/>
            <w:webHidden/>
          </w:rPr>
          <w:instrText xml:space="preserve"> PAGEREF _Toc12261211 \h </w:instrText>
        </w:r>
        <w:r>
          <w:rPr>
            <w:noProof/>
            <w:webHidden/>
          </w:rPr>
        </w:r>
        <w:r>
          <w:rPr>
            <w:noProof/>
            <w:webHidden/>
          </w:rPr>
          <w:fldChar w:fldCharType="separate"/>
        </w:r>
        <w:r>
          <w:rPr>
            <w:noProof/>
            <w:webHidden/>
          </w:rPr>
          <w:t>474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12" w:history="1">
        <w:r w:rsidRPr="00CD0B56">
          <w:rPr>
            <w:rStyle w:val="Hyperlink"/>
            <w:noProof/>
          </w:rPr>
          <w:t>2.1.1144</w:t>
        </w:r>
        <w:r>
          <w:rPr>
            <w:rFonts w:asciiTheme="minorHAnsi" w:eastAsiaTheme="minorEastAsia" w:hAnsiTheme="minorHAnsi" w:cstheme="minorBidi"/>
            <w:noProof/>
            <w:sz w:val="22"/>
            <w:szCs w:val="22"/>
          </w:rPr>
          <w:tab/>
        </w:r>
        <w:r w:rsidRPr="00CD0B56">
          <w:rPr>
            <w:rStyle w:val="Hyperlink"/>
            <w:noProof/>
          </w:rPr>
          <w:t>Part 1 Section 19.5.9, audio (Audio)</w:t>
        </w:r>
        <w:r>
          <w:rPr>
            <w:noProof/>
            <w:webHidden/>
          </w:rPr>
          <w:tab/>
        </w:r>
        <w:r>
          <w:rPr>
            <w:noProof/>
            <w:webHidden/>
          </w:rPr>
          <w:fldChar w:fldCharType="begin"/>
        </w:r>
        <w:r>
          <w:rPr>
            <w:noProof/>
            <w:webHidden/>
          </w:rPr>
          <w:instrText xml:space="preserve"> PAGEREF _Toc12261212 \h </w:instrText>
        </w:r>
        <w:r>
          <w:rPr>
            <w:noProof/>
            <w:webHidden/>
          </w:rPr>
        </w:r>
        <w:r>
          <w:rPr>
            <w:noProof/>
            <w:webHidden/>
          </w:rPr>
          <w:fldChar w:fldCharType="separate"/>
        </w:r>
        <w:r>
          <w:rPr>
            <w:noProof/>
            <w:webHidden/>
          </w:rPr>
          <w:t>475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13" w:history="1">
        <w:r w:rsidRPr="00CD0B56">
          <w:rPr>
            <w:rStyle w:val="Hyperlink"/>
            <w:noProof/>
          </w:rPr>
          <w:t>2.1.1145</w:t>
        </w:r>
        <w:r>
          <w:rPr>
            <w:rFonts w:asciiTheme="minorHAnsi" w:eastAsiaTheme="minorEastAsia" w:hAnsiTheme="minorHAnsi" w:cstheme="minorBidi"/>
            <w:noProof/>
            <w:sz w:val="22"/>
            <w:szCs w:val="22"/>
          </w:rPr>
          <w:tab/>
        </w:r>
        <w:r w:rsidRPr="00CD0B56">
          <w:rPr>
            <w:rStyle w:val="Hyperlink"/>
            <w:noProof/>
          </w:rPr>
          <w:t>Part 1 Section 19.5.12, bldDgm (Build Diagram)</w:t>
        </w:r>
        <w:r>
          <w:rPr>
            <w:noProof/>
            <w:webHidden/>
          </w:rPr>
          <w:tab/>
        </w:r>
        <w:r>
          <w:rPr>
            <w:noProof/>
            <w:webHidden/>
          </w:rPr>
          <w:fldChar w:fldCharType="begin"/>
        </w:r>
        <w:r>
          <w:rPr>
            <w:noProof/>
            <w:webHidden/>
          </w:rPr>
          <w:instrText xml:space="preserve"> PAGEREF _Toc12261213 \h </w:instrText>
        </w:r>
        <w:r>
          <w:rPr>
            <w:noProof/>
            <w:webHidden/>
          </w:rPr>
        </w:r>
        <w:r>
          <w:rPr>
            <w:noProof/>
            <w:webHidden/>
          </w:rPr>
          <w:fldChar w:fldCharType="separate"/>
        </w:r>
        <w:r>
          <w:rPr>
            <w:noProof/>
            <w:webHidden/>
          </w:rPr>
          <w:t>476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14" w:history="1">
        <w:r w:rsidRPr="00CD0B56">
          <w:rPr>
            <w:rStyle w:val="Hyperlink"/>
            <w:noProof/>
          </w:rPr>
          <w:t>2.1.1146</w:t>
        </w:r>
        <w:r>
          <w:rPr>
            <w:rFonts w:asciiTheme="minorHAnsi" w:eastAsiaTheme="minorEastAsia" w:hAnsiTheme="minorHAnsi" w:cstheme="minorBidi"/>
            <w:noProof/>
            <w:sz w:val="22"/>
            <w:szCs w:val="22"/>
          </w:rPr>
          <w:tab/>
        </w:r>
        <w:r w:rsidRPr="00CD0B56">
          <w:rPr>
            <w:rStyle w:val="Hyperlink"/>
            <w:noProof/>
          </w:rPr>
          <w:t>Part 1 Section 19.5.13, bldGraphic (Build Graphics)</w:t>
        </w:r>
        <w:r>
          <w:rPr>
            <w:noProof/>
            <w:webHidden/>
          </w:rPr>
          <w:tab/>
        </w:r>
        <w:r>
          <w:rPr>
            <w:noProof/>
            <w:webHidden/>
          </w:rPr>
          <w:fldChar w:fldCharType="begin"/>
        </w:r>
        <w:r>
          <w:rPr>
            <w:noProof/>
            <w:webHidden/>
          </w:rPr>
          <w:instrText xml:space="preserve"> PAGEREF _Toc12261214 \h </w:instrText>
        </w:r>
        <w:r>
          <w:rPr>
            <w:noProof/>
            <w:webHidden/>
          </w:rPr>
        </w:r>
        <w:r>
          <w:rPr>
            <w:noProof/>
            <w:webHidden/>
          </w:rPr>
          <w:fldChar w:fldCharType="separate"/>
        </w:r>
        <w:r>
          <w:rPr>
            <w:noProof/>
            <w:webHidden/>
          </w:rPr>
          <w:t>476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15" w:history="1">
        <w:r w:rsidRPr="00CD0B56">
          <w:rPr>
            <w:rStyle w:val="Hyperlink"/>
            <w:noProof/>
          </w:rPr>
          <w:t>2.1.1147</w:t>
        </w:r>
        <w:r>
          <w:rPr>
            <w:rFonts w:asciiTheme="minorHAnsi" w:eastAsiaTheme="minorEastAsia" w:hAnsiTheme="minorHAnsi" w:cstheme="minorBidi"/>
            <w:noProof/>
            <w:sz w:val="22"/>
            <w:szCs w:val="22"/>
          </w:rPr>
          <w:tab/>
        </w:r>
        <w:r w:rsidRPr="00CD0B56">
          <w:rPr>
            <w:rStyle w:val="Hyperlink"/>
            <w:noProof/>
          </w:rPr>
          <w:t>Part 1 Section 19.5.15, bldOleChart (Build Embedded Chart)</w:t>
        </w:r>
        <w:r>
          <w:rPr>
            <w:noProof/>
            <w:webHidden/>
          </w:rPr>
          <w:tab/>
        </w:r>
        <w:r>
          <w:rPr>
            <w:noProof/>
            <w:webHidden/>
          </w:rPr>
          <w:fldChar w:fldCharType="begin"/>
        </w:r>
        <w:r>
          <w:rPr>
            <w:noProof/>
            <w:webHidden/>
          </w:rPr>
          <w:instrText xml:space="preserve"> PAGEREF _Toc12261215 \h </w:instrText>
        </w:r>
        <w:r>
          <w:rPr>
            <w:noProof/>
            <w:webHidden/>
          </w:rPr>
        </w:r>
        <w:r>
          <w:rPr>
            <w:noProof/>
            <w:webHidden/>
          </w:rPr>
          <w:fldChar w:fldCharType="separate"/>
        </w:r>
        <w:r>
          <w:rPr>
            <w:noProof/>
            <w:webHidden/>
          </w:rPr>
          <w:t>476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16" w:history="1">
        <w:r w:rsidRPr="00CD0B56">
          <w:rPr>
            <w:rStyle w:val="Hyperlink"/>
            <w:noProof/>
          </w:rPr>
          <w:t>2.1.1148</w:t>
        </w:r>
        <w:r>
          <w:rPr>
            <w:rFonts w:asciiTheme="minorHAnsi" w:eastAsiaTheme="minorEastAsia" w:hAnsiTheme="minorHAnsi" w:cstheme="minorBidi"/>
            <w:noProof/>
            <w:sz w:val="22"/>
            <w:szCs w:val="22"/>
          </w:rPr>
          <w:tab/>
        </w:r>
        <w:r w:rsidRPr="00CD0B56">
          <w:rPr>
            <w:rStyle w:val="Hyperlink"/>
            <w:noProof/>
          </w:rPr>
          <w:t>Part 1 Section 19.5.16, bldP (Build Paragraph)</w:t>
        </w:r>
        <w:r>
          <w:rPr>
            <w:noProof/>
            <w:webHidden/>
          </w:rPr>
          <w:tab/>
        </w:r>
        <w:r>
          <w:rPr>
            <w:noProof/>
            <w:webHidden/>
          </w:rPr>
          <w:fldChar w:fldCharType="begin"/>
        </w:r>
        <w:r>
          <w:rPr>
            <w:noProof/>
            <w:webHidden/>
          </w:rPr>
          <w:instrText xml:space="preserve"> PAGEREF _Toc12261216 \h </w:instrText>
        </w:r>
        <w:r>
          <w:rPr>
            <w:noProof/>
            <w:webHidden/>
          </w:rPr>
        </w:r>
        <w:r>
          <w:rPr>
            <w:noProof/>
            <w:webHidden/>
          </w:rPr>
          <w:fldChar w:fldCharType="separate"/>
        </w:r>
        <w:r>
          <w:rPr>
            <w:noProof/>
            <w:webHidden/>
          </w:rPr>
          <w:t>477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17" w:history="1">
        <w:r w:rsidRPr="00CD0B56">
          <w:rPr>
            <w:rStyle w:val="Hyperlink"/>
            <w:noProof/>
          </w:rPr>
          <w:t>2.1.1149</w:t>
        </w:r>
        <w:r>
          <w:rPr>
            <w:rFonts w:asciiTheme="minorHAnsi" w:eastAsiaTheme="minorEastAsia" w:hAnsiTheme="minorHAnsi" w:cstheme="minorBidi"/>
            <w:noProof/>
            <w:sz w:val="22"/>
            <w:szCs w:val="22"/>
          </w:rPr>
          <w:tab/>
        </w:r>
        <w:r w:rsidRPr="00CD0B56">
          <w:rPr>
            <w:rStyle w:val="Hyperlink"/>
            <w:noProof/>
          </w:rPr>
          <w:t>Part 1 Section 19.5.17, bldSub (Build Sub Elements)</w:t>
        </w:r>
        <w:r>
          <w:rPr>
            <w:noProof/>
            <w:webHidden/>
          </w:rPr>
          <w:tab/>
        </w:r>
        <w:r>
          <w:rPr>
            <w:noProof/>
            <w:webHidden/>
          </w:rPr>
          <w:fldChar w:fldCharType="begin"/>
        </w:r>
        <w:r>
          <w:rPr>
            <w:noProof/>
            <w:webHidden/>
          </w:rPr>
          <w:instrText xml:space="preserve"> PAGEREF _Toc12261217 \h </w:instrText>
        </w:r>
        <w:r>
          <w:rPr>
            <w:noProof/>
            <w:webHidden/>
          </w:rPr>
        </w:r>
        <w:r>
          <w:rPr>
            <w:noProof/>
            <w:webHidden/>
          </w:rPr>
          <w:fldChar w:fldCharType="separate"/>
        </w:r>
        <w:r>
          <w:rPr>
            <w:noProof/>
            <w:webHidden/>
          </w:rPr>
          <w:t>477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18" w:history="1">
        <w:r w:rsidRPr="00CD0B56">
          <w:rPr>
            <w:rStyle w:val="Hyperlink"/>
            <w:noProof/>
          </w:rPr>
          <w:t>2.1.1150</w:t>
        </w:r>
        <w:r>
          <w:rPr>
            <w:rFonts w:asciiTheme="minorHAnsi" w:eastAsiaTheme="minorEastAsia" w:hAnsiTheme="minorHAnsi" w:cstheme="minorBidi"/>
            <w:noProof/>
            <w:sz w:val="22"/>
            <w:szCs w:val="22"/>
          </w:rPr>
          <w:tab/>
        </w:r>
        <w:r w:rsidRPr="00CD0B56">
          <w:rPr>
            <w:rStyle w:val="Hyperlink"/>
            <w:noProof/>
          </w:rPr>
          <w:t>Part 1 Section 19.5.21, by (By)</w:t>
        </w:r>
        <w:r>
          <w:rPr>
            <w:noProof/>
            <w:webHidden/>
          </w:rPr>
          <w:tab/>
        </w:r>
        <w:r>
          <w:rPr>
            <w:noProof/>
            <w:webHidden/>
          </w:rPr>
          <w:fldChar w:fldCharType="begin"/>
        </w:r>
        <w:r>
          <w:rPr>
            <w:noProof/>
            <w:webHidden/>
          </w:rPr>
          <w:instrText xml:space="preserve"> PAGEREF _Toc12261218 \h </w:instrText>
        </w:r>
        <w:r>
          <w:rPr>
            <w:noProof/>
            <w:webHidden/>
          </w:rPr>
        </w:r>
        <w:r>
          <w:rPr>
            <w:noProof/>
            <w:webHidden/>
          </w:rPr>
          <w:fldChar w:fldCharType="separate"/>
        </w:r>
        <w:r>
          <w:rPr>
            <w:noProof/>
            <w:webHidden/>
          </w:rPr>
          <w:t>477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19" w:history="1">
        <w:r w:rsidRPr="00CD0B56">
          <w:rPr>
            <w:rStyle w:val="Hyperlink"/>
            <w:noProof/>
          </w:rPr>
          <w:t>2.1.1151</w:t>
        </w:r>
        <w:r>
          <w:rPr>
            <w:rFonts w:asciiTheme="minorHAnsi" w:eastAsiaTheme="minorEastAsia" w:hAnsiTheme="minorHAnsi" w:cstheme="minorBidi"/>
            <w:noProof/>
            <w:sz w:val="22"/>
            <w:szCs w:val="22"/>
          </w:rPr>
          <w:tab/>
        </w:r>
        <w:r w:rsidRPr="00CD0B56">
          <w:rPr>
            <w:rStyle w:val="Hyperlink"/>
            <w:noProof/>
          </w:rPr>
          <w:t>Part 1 Section 19.5.22, cBhvr (Common Behavior)</w:t>
        </w:r>
        <w:r>
          <w:rPr>
            <w:noProof/>
            <w:webHidden/>
          </w:rPr>
          <w:tab/>
        </w:r>
        <w:r>
          <w:rPr>
            <w:noProof/>
            <w:webHidden/>
          </w:rPr>
          <w:fldChar w:fldCharType="begin"/>
        </w:r>
        <w:r>
          <w:rPr>
            <w:noProof/>
            <w:webHidden/>
          </w:rPr>
          <w:instrText xml:space="preserve"> PAGEREF _Toc12261219 \h </w:instrText>
        </w:r>
        <w:r>
          <w:rPr>
            <w:noProof/>
            <w:webHidden/>
          </w:rPr>
        </w:r>
        <w:r>
          <w:rPr>
            <w:noProof/>
            <w:webHidden/>
          </w:rPr>
          <w:fldChar w:fldCharType="separate"/>
        </w:r>
        <w:r>
          <w:rPr>
            <w:noProof/>
            <w:webHidden/>
          </w:rPr>
          <w:t>478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20" w:history="1">
        <w:r w:rsidRPr="00CD0B56">
          <w:rPr>
            <w:rStyle w:val="Hyperlink"/>
            <w:noProof/>
          </w:rPr>
          <w:t>2.1.1152</w:t>
        </w:r>
        <w:r>
          <w:rPr>
            <w:rFonts w:asciiTheme="minorHAnsi" w:eastAsiaTheme="minorEastAsia" w:hAnsiTheme="minorHAnsi" w:cstheme="minorBidi"/>
            <w:noProof/>
            <w:sz w:val="22"/>
            <w:szCs w:val="22"/>
          </w:rPr>
          <w:tab/>
        </w:r>
        <w:r w:rsidRPr="00CD0B56">
          <w:rPr>
            <w:rStyle w:val="Hyperlink"/>
            <w:noProof/>
          </w:rPr>
          <w:t>Part 1 Section 19.5.23, charRg (Character Range)</w:t>
        </w:r>
        <w:r>
          <w:rPr>
            <w:noProof/>
            <w:webHidden/>
          </w:rPr>
          <w:tab/>
        </w:r>
        <w:r>
          <w:rPr>
            <w:noProof/>
            <w:webHidden/>
          </w:rPr>
          <w:fldChar w:fldCharType="begin"/>
        </w:r>
        <w:r>
          <w:rPr>
            <w:noProof/>
            <w:webHidden/>
          </w:rPr>
          <w:instrText xml:space="preserve"> PAGEREF _Toc12261220 \h </w:instrText>
        </w:r>
        <w:r>
          <w:rPr>
            <w:noProof/>
            <w:webHidden/>
          </w:rPr>
        </w:r>
        <w:r>
          <w:rPr>
            <w:noProof/>
            <w:webHidden/>
          </w:rPr>
          <w:fldChar w:fldCharType="separate"/>
        </w:r>
        <w:r>
          <w:rPr>
            <w:noProof/>
            <w:webHidden/>
          </w:rPr>
          <w:t>479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21" w:history="1">
        <w:r w:rsidRPr="00CD0B56">
          <w:rPr>
            <w:rStyle w:val="Hyperlink"/>
            <w:noProof/>
          </w:rPr>
          <w:t>2.1.1153</w:t>
        </w:r>
        <w:r>
          <w:rPr>
            <w:rFonts w:asciiTheme="minorHAnsi" w:eastAsiaTheme="minorEastAsia" w:hAnsiTheme="minorHAnsi" w:cstheme="minorBidi"/>
            <w:noProof/>
            <w:sz w:val="22"/>
            <w:szCs w:val="22"/>
          </w:rPr>
          <w:tab/>
        </w:r>
        <w:r w:rsidRPr="00CD0B56">
          <w:rPr>
            <w:rStyle w:val="Hyperlink"/>
            <w:noProof/>
          </w:rPr>
          <w:t>Part 1 Section 19.5.28, cmd (Command)</w:t>
        </w:r>
        <w:r>
          <w:rPr>
            <w:noProof/>
            <w:webHidden/>
          </w:rPr>
          <w:tab/>
        </w:r>
        <w:r>
          <w:rPr>
            <w:noProof/>
            <w:webHidden/>
          </w:rPr>
          <w:fldChar w:fldCharType="begin"/>
        </w:r>
        <w:r>
          <w:rPr>
            <w:noProof/>
            <w:webHidden/>
          </w:rPr>
          <w:instrText xml:space="preserve"> PAGEREF _Toc12261221 \h </w:instrText>
        </w:r>
        <w:r>
          <w:rPr>
            <w:noProof/>
            <w:webHidden/>
          </w:rPr>
        </w:r>
        <w:r>
          <w:rPr>
            <w:noProof/>
            <w:webHidden/>
          </w:rPr>
          <w:fldChar w:fldCharType="separate"/>
        </w:r>
        <w:r>
          <w:rPr>
            <w:noProof/>
            <w:webHidden/>
          </w:rPr>
          <w:t>479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22" w:history="1">
        <w:r w:rsidRPr="00CD0B56">
          <w:rPr>
            <w:rStyle w:val="Hyperlink"/>
            <w:noProof/>
          </w:rPr>
          <w:t>2.1.1154</w:t>
        </w:r>
        <w:r>
          <w:rPr>
            <w:rFonts w:asciiTheme="minorHAnsi" w:eastAsiaTheme="minorEastAsia" w:hAnsiTheme="minorHAnsi" w:cstheme="minorBidi"/>
            <w:noProof/>
            <w:sz w:val="22"/>
            <w:szCs w:val="22"/>
          </w:rPr>
          <w:tab/>
        </w:r>
        <w:r w:rsidRPr="00CD0B56">
          <w:rPr>
            <w:rStyle w:val="Hyperlink"/>
            <w:noProof/>
          </w:rPr>
          <w:t>Part 1 Section 19.5.29, cMediaNode (Common Media Node Properties)</w:t>
        </w:r>
        <w:r>
          <w:rPr>
            <w:noProof/>
            <w:webHidden/>
          </w:rPr>
          <w:tab/>
        </w:r>
        <w:r>
          <w:rPr>
            <w:noProof/>
            <w:webHidden/>
          </w:rPr>
          <w:fldChar w:fldCharType="begin"/>
        </w:r>
        <w:r>
          <w:rPr>
            <w:noProof/>
            <w:webHidden/>
          </w:rPr>
          <w:instrText xml:space="preserve"> PAGEREF _Toc12261222 \h </w:instrText>
        </w:r>
        <w:r>
          <w:rPr>
            <w:noProof/>
            <w:webHidden/>
          </w:rPr>
        </w:r>
        <w:r>
          <w:rPr>
            <w:noProof/>
            <w:webHidden/>
          </w:rPr>
          <w:fldChar w:fldCharType="separate"/>
        </w:r>
        <w:r>
          <w:rPr>
            <w:noProof/>
            <w:webHidden/>
          </w:rPr>
          <w:t>480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23" w:history="1">
        <w:r w:rsidRPr="00CD0B56">
          <w:rPr>
            <w:rStyle w:val="Hyperlink"/>
            <w:noProof/>
          </w:rPr>
          <w:t>2.1.1155</w:t>
        </w:r>
        <w:r>
          <w:rPr>
            <w:rFonts w:asciiTheme="minorHAnsi" w:eastAsiaTheme="minorEastAsia" w:hAnsiTheme="minorHAnsi" w:cstheme="minorBidi"/>
            <w:noProof/>
            <w:sz w:val="22"/>
            <w:szCs w:val="22"/>
          </w:rPr>
          <w:tab/>
        </w:r>
        <w:r w:rsidRPr="00CD0B56">
          <w:rPr>
            <w:rStyle w:val="Hyperlink"/>
            <w:noProof/>
          </w:rPr>
          <w:t>Part 1 Section 19.5.31, cond (Condition)</w:t>
        </w:r>
        <w:r>
          <w:rPr>
            <w:noProof/>
            <w:webHidden/>
          </w:rPr>
          <w:tab/>
        </w:r>
        <w:r>
          <w:rPr>
            <w:noProof/>
            <w:webHidden/>
          </w:rPr>
          <w:fldChar w:fldCharType="begin"/>
        </w:r>
        <w:r>
          <w:rPr>
            <w:noProof/>
            <w:webHidden/>
          </w:rPr>
          <w:instrText xml:space="preserve"> PAGEREF _Toc12261223 \h </w:instrText>
        </w:r>
        <w:r>
          <w:rPr>
            <w:noProof/>
            <w:webHidden/>
          </w:rPr>
        </w:r>
        <w:r>
          <w:rPr>
            <w:noProof/>
            <w:webHidden/>
          </w:rPr>
          <w:fldChar w:fldCharType="separate"/>
        </w:r>
        <w:r>
          <w:rPr>
            <w:noProof/>
            <w:webHidden/>
          </w:rPr>
          <w:t>480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24" w:history="1">
        <w:r w:rsidRPr="00CD0B56">
          <w:rPr>
            <w:rStyle w:val="Hyperlink"/>
            <w:noProof/>
          </w:rPr>
          <w:t>2.1.1156</w:t>
        </w:r>
        <w:r>
          <w:rPr>
            <w:rFonts w:asciiTheme="minorHAnsi" w:eastAsiaTheme="minorEastAsia" w:hAnsiTheme="minorHAnsi" w:cstheme="minorBidi"/>
            <w:noProof/>
            <w:sz w:val="22"/>
            <w:szCs w:val="22"/>
          </w:rPr>
          <w:tab/>
        </w:r>
        <w:r w:rsidRPr="00CD0B56">
          <w:rPr>
            <w:rStyle w:val="Hyperlink"/>
            <w:noProof/>
          </w:rPr>
          <w:t>Part 1 Section 19.5.33, cTn (Common Time Node Properties)</w:t>
        </w:r>
        <w:r>
          <w:rPr>
            <w:noProof/>
            <w:webHidden/>
          </w:rPr>
          <w:tab/>
        </w:r>
        <w:r>
          <w:rPr>
            <w:noProof/>
            <w:webHidden/>
          </w:rPr>
          <w:fldChar w:fldCharType="begin"/>
        </w:r>
        <w:r>
          <w:rPr>
            <w:noProof/>
            <w:webHidden/>
          </w:rPr>
          <w:instrText xml:space="preserve"> PAGEREF _Toc12261224 \h </w:instrText>
        </w:r>
        <w:r>
          <w:rPr>
            <w:noProof/>
            <w:webHidden/>
          </w:rPr>
        </w:r>
        <w:r>
          <w:rPr>
            <w:noProof/>
            <w:webHidden/>
          </w:rPr>
          <w:fldChar w:fldCharType="separate"/>
        </w:r>
        <w:r>
          <w:rPr>
            <w:noProof/>
            <w:webHidden/>
          </w:rPr>
          <w:t>480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25" w:history="1">
        <w:r w:rsidRPr="00CD0B56">
          <w:rPr>
            <w:rStyle w:val="Hyperlink"/>
            <w:noProof/>
          </w:rPr>
          <w:t>2.1.1157</w:t>
        </w:r>
        <w:r>
          <w:rPr>
            <w:rFonts w:asciiTheme="minorHAnsi" w:eastAsiaTheme="minorEastAsia" w:hAnsiTheme="minorHAnsi" w:cstheme="minorBidi"/>
            <w:noProof/>
            <w:sz w:val="22"/>
            <w:szCs w:val="22"/>
          </w:rPr>
          <w:tab/>
        </w:r>
        <w:r w:rsidRPr="00CD0B56">
          <w:rPr>
            <w:rStyle w:val="Hyperlink"/>
            <w:noProof/>
          </w:rPr>
          <w:t>Part 1 Section 19.5.39, endSync (EndSync)</w:t>
        </w:r>
        <w:r>
          <w:rPr>
            <w:noProof/>
            <w:webHidden/>
          </w:rPr>
          <w:tab/>
        </w:r>
        <w:r>
          <w:rPr>
            <w:noProof/>
            <w:webHidden/>
          </w:rPr>
          <w:fldChar w:fldCharType="begin"/>
        </w:r>
        <w:r>
          <w:rPr>
            <w:noProof/>
            <w:webHidden/>
          </w:rPr>
          <w:instrText xml:space="preserve"> PAGEREF _Toc12261225 \h </w:instrText>
        </w:r>
        <w:r>
          <w:rPr>
            <w:noProof/>
            <w:webHidden/>
          </w:rPr>
        </w:r>
        <w:r>
          <w:rPr>
            <w:noProof/>
            <w:webHidden/>
          </w:rPr>
          <w:fldChar w:fldCharType="separate"/>
        </w:r>
        <w:r>
          <w:rPr>
            <w:noProof/>
            <w:webHidden/>
          </w:rPr>
          <w:t>481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26" w:history="1">
        <w:r w:rsidRPr="00CD0B56">
          <w:rPr>
            <w:rStyle w:val="Hyperlink"/>
            <w:noProof/>
          </w:rPr>
          <w:t>2.1.1158</w:t>
        </w:r>
        <w:r>
          <w:rPr>
            <w:rFonts w:asciiTheme="minorHAnsi" w:eastAsiaTheme="minorEastAsia" w:hAnsiTheme="minorHAnsi" w:cstheme="minorBidi"/>
            <w:noProof/>
            <w:sz w:val="22"/>
            <w:szCs w:val="22"/>
          </w:rPr>
          <w:tab/>
        </w:r>
        <w:r w:rsidRPr="00CD0B56">
          <w:rPr>
            <w:rStyle w:val="Hyperlink"/>
            <w:noProof/>
          </w:rPr>
          <w:t>Part 1 Section 19.5.40, excl (Exclusive)</w:t>
        </w:r>
        <w:r>
          <w:rPr>
            <w:noProof/>
            <w:webHidden/>
          </w:rPr>
          <w:tab/>
        </w:r>
        <w:r>
          <w:rPr>
            <w:noProof/>
            <w:webHidden/>
          </w:rPr>
          <w:fldChar w:fldCharType="begin"/>
        </w:r>
        <w:r>
          <w:rPr>
            <w:noProof/>
            <w:webHidden/>
          </w:rPr>
          <w:instrText xml:space="preserve"> PAGEREF _Toc12261226 \h </w:instrText>
        </w:r>
        <w:r>
          <w:rPr>
            <w:noProof/>
            <w:webHidden/>
          </w:rPr>
        </w:r>
        <w:r>
          <w:rPr>
            <w:noProof/>
            <w:webHidden/>
          </w:rPr>
          <w:fldChar w:fldCharType="separate"/>
        </w:r>
        <w:r>
          <w:rPr>
            <w:noProof/>
            <w:webHidden/>
          </w:rPr>
          <w:t>481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27" w:history="1">
        <w:r w:rsidRPr="00CD0B56">
          <w:rPr>
            <w:rStyle w:val="Hyperlink"/>
            <w:noProof/>
          </w:rPr>
          <w:t>2.1.1159</w:t>
        </w:r>
        <w:r>
          <w:rPr>
            <w:rFonts w:asciiTheme="minorHAnsi" w:eastAsiaTheme="minorEastAsia" w:hAnsiTheme="minorHAnsi" w:cstheme="minorBidi"/>
            <w:noProof/>
            <w:sz w:val="22"/>
            <w:szCs w:val="22"/>
          </w:rPr>
          <w:tab/>
        </w:r>
        <w:r w:rsidRPr="00CD0B56">
          <w:rPr>
            <w:rStyle w:val="Hyperlink"/>
            <w:noProof/>
          </w:rPr>
          <w:t>Part 1 Section 19.5.43, from (From)</w:t>
        </w:r>
        <w:r>
          <w:rPr>
            <w:noProof/>
            <w:webHidden/>
          </w:rPr>
          <w:tab/>
        </w:r>
        <w:r>
          <w:rPr>
            <w:noProof/>
            <w:webHidden/>
          </w:rPr>
          <w:fldChar w:fldCharType="begin"/>
        </w:r>
        <w:r>
          <w:rPr>
            <w:noProof/>
            <w:webHidden/>
          </w:rPr>
          <w:instrText xml:space="preserve"> PAGEREF _Toc12261227 \h </w:instrText>
        </w:r>
        <w:r>
          <w:rPr>
            <w:noProof/>
            <w:webHidden/>
          </w:rPr>
        </w:r>
        <w:r>
          <w:rPr>
            <w:noProof/>
            <w:webHidden/>
          </w:rPr>
          <w:fldChar w:fldCharType="separate"/>
        </w:r>
        <w:r>
          <w:rPr>
            <w:noProof/>
            <w:webHidden/>
          </w:rPr>
          <w:t>481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28" w:history="1">
        <w:r w:rsidRPr="00CD0B56">
          <w:rPr>
            <w:rStyle w:val="Hyperlink"/>
            <w:noProof/>
          </w:rPr>
          <w:t>2.1.1160</w:t>
        </w:r>
        <w:r>
          <w:rPr>
            <w:rFonts w:asciiTheme="minorHAnsi" w:eastAsiaTheme="minorEastAsia" w:hAnsiTheme="minorHAnsi" w:cstheme="minorBidi"/>
            <w:noProof/>
            <w:sz w:val="22"/>
            <w:szCs w:val="22"/>
          </w:rPr>
          <w:tab/>
        </w:r>
        <w:r w:rsidRPr="00CD0B56">
          <w:rPr>
            <w:rStyle w:val="Hyperlink"/>
            <w:noProof/>
          </w:rPr>
          <w:t>Part 1 Section 19.5.44, from (From)</w:t>
        </w:r>
        <w:r>
          <w:rPr>
            <w:noProof/>
            <w:webHidden/>
          </w:rPr>
          <w:tab/>
        </w:r>
        <w:r>
          <w:rPr>
            <w:noProof/>
            <w:webHidden/>
          </w:rPr>
          <w:fldChar w:fldCharType="begin"/>
        </w:r>
        <w:r>
          <w:rPr>
            <w:noProof/>
            <w:webHidden/>
          </w:rPr>
          <w:instrText xml:space="preserve"> PAGEREF _Toc12261228 \h </w:instrText>
        </w:r>
        <w:r>
          <w:rPr>
            <w:noProof/>
            <w:webHidden/>
          </w:rPr>
        </w:r>
        <w:r>
          <w:rPr>
            <w:noProof/>
            <w:webHidden/>
          </w:rPr>
          <w:fldChar w:fldCharType="separate"/>
        </w:r>
        <w:r>
          <w:rPr>
            <w:noProof/>
            <w:webHidden/>
          </w:rPr>
          <w:t>482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29" w:history="1">
        <w:r w:rsidRPr="00CD0B56">
          <w:rPr>
            <w:rStyle w:val="Hyperlink"/>
            <w:noProof/>
          </w:rPr>
          <w:t>2.1.1161</w:t>
        </w:r>
        <w:r>
          <w:rPr>
            <w:rFonts w:asciiTheme="minorHAnsi" w:eastAsiaTheme="minorEastAsia" w:hAnsiTheme="minorHAnsi" w:cstheme="minorBidi"/>
            <w:noProof/>
            <w:sz w:val="22"/>
            <w:szCs w:val="22"/>
          </w:rPr>
          <w:tab/>
        </w:r>
        <w:r w:rsidRPr="00CD0B56">
          <w:rPr>
            <w:rStyle w:val="Hyperlink"/>
            <w:noProof/>
          </w:rPr>
          <w:t>Part 1 Section 19.5.45, graphicEl (Graphic Element)</w:t>
        </w:r>
        <w:r>
          <w:rPr>
            <w:noProof/>
            <w:webHidden/>
          </w:rPr>
          <w:tab/>
        </w:r>
        <w:r>
          <w:rPr>
            <w:noProof/>
            <w:webHidden/>
          </w:rPr>
          <w:fldChar w:fldCharType="begin"/>
        </w:r>
        <w:r>
          <w:rPr>
            <w:noProof/>
            <w:webHidden/>
          </w:rPr>
          <w:instrText xml:space="preserve"> PAGEREF _Toc12261229 \h </w:instrText>
        </w:r>
        <w:r>
          <w:rPr>
            <w:noProof/>
            <w:webHidden/>
          </w:rPr>
        </w:r>
        <w:r>
          <w:rPr>
            <w:noProof/>
            <w:webHidden/>
          </w:rPr>
          <w:fldChar w:fldCharType="separate"/>
        </w:r>
        <w:r>
          <w:rPr>
            <w:noProof/>
            <w:webHidden/>
          </w:rPr>
          <w:t>482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30" w:history="1">
        <w:r w:rsidRPr="00CD0B56">
          <w:rPr>
            <w:rStyle w:val="Hyperlink"/>
            <w:noProof/>
          </w:rPr>
          <w:t>2.1.1162</w:t>
        </w:r>
        <w:r>
          <w:rPr>
            <w:rFonts w:asciiTheme="minorHAnsi" w:eastAsiaTheme="minorEastAsia" w:hAnsiTheme="minorHAnsi" w:cstheme="minorBidi"/>
            <w:noProof/>
            <w:sz w:val="22"/>
            <w:szCs w:val="22"/>
          </w:rPr>
          <w:tab/>
        </w:r>
        <w:r w:rsidRPr="00CD0B56">
          <w:rPr>
            <w:rStyle w:val="Hyperlink"/>
            <w:noProof/>
          </w:rPr>
          <w:t>Part 1 Section 19.5.46, hsl (HSL)</w:t>
        </w:r>
        <w:r>
          <w:rPr>
            <w:noProof/>
            <w:webHidden/>
          </w:rPr>
          <w:tab/>
        </w:r>
        <w:r>
          <w:rPr>
            <w:noProof/>
            <w:webHidden/>
          </w:rPr>
          <w:fldChar w:fldCharType="begin"/>
        </w:r>
        <w:r>
          <w:rPr>
            <w:noProof/>
            <w:webHidden/>
          </w:rPr>
          <w:instrText xml:space="preserve"> PAGEREF _Toc12261230 \h </w:instrText>
        </w:r>
        <w:r>
          <w:rPr>
            <w:noProof/>
            <w:webHidden/>
          </w:rPr>
        </w:r>
        <w:r>
          <w:rPr>
            <w:noProof/>
            <w:webHidden/>
          </w:rPr>
          <w:fldChar w:fldCharType="separate"/>
        </w:r>
        <w:r>
          <w:rPr>
            <w:noProof/>
            <w:webHidden/>
          </w:rPr>
          <w:t>482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31" w:history="1">
        <w:r w:rsidRPr="00CD0B56">
          <w:rPr>
            <w:rStyle w:val="Hyperlink"/>
            <w:noProof/>
          </w:rPr>
          <w:t>2.1.1163</w:t>
        </w:r>
        <w:r>
          <w:rPr>
            <w:rFonts w:asciiTheme="minorHAnsi" w:eastAsiaTheme="minorEastAsia" w:hAnsiTheme="minorHAnsi" w:cstheme="minorBidi"/>
            <w:noProof/>
            <w:sz w:val="22"/>
            <w:szCs w:val="22"/>
          </w:rPr>
          <w:tab/>
        </w:r>
        <w:r w:rsidRPr="00CD0B56">
          <w:rPr>
            <w:rStyle w:val="Hyperlink"/>
            <w:noProof/>
          </w:rPr>
          <w:t>Part 1 Section 19.5.47, inkTgt (Ink Target)</w:t>
        </w:r>
        <w:r>
          <w:rPr>
            <w:noProof/>
            <w:webHidden/>
          </w:rPr>
          <w:tab/>
        </w:r>
        <w:r>
          <w:rPr>
            <w:noProof/>
            <w:webHidden/>
          </w:rPr>
          <w:fldChar w:fldCharType="begin"/>
        </w:r>
        <w:r>
          <w:rPr>
            <w:noProof/>
            <w:webHidden/>
          </w:rPr>
          <w:instrText xml:space="preserve"> PAGEREF _Toc12261231 \h </w:instrText>
        </w:r>
        <w:r>
          <w:rPr>
            <w:noProof/>
            <w:webHidden/>
          </w:rPr>
        </w:r>
        <w:r>
          <w:rPr>
            <w:noProof/>
            <w:webHidden/>
          </w:rPr>
          <w:fldChar w:fldCharType="separate"/>
        </w:r>
        <w:r>
          <w:rPr>
            <w:noProof/>
            <w:webHidden/>
          </w:rPr>
          <w:t>482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32" w:history="1">
        <w:r w:rsidRPr="00CD0B56">
          <w:rPr>
            <w:rStyle w:val="Hyperlink"/>
            <w:noProof/>
          </w:rPr>
          <w:t>2.1.1164</w:t>
        </w:r>
        <w:r>
          <w:rPr>
            <w:rFonts w:asciiTheme="minorHAnsi" w:eastAsiaTheme="minorEastAsia" w:hAnsiTheme="minorHAnsi" w:cstheme="minorBidi"/>
            <w:noProof/>
            <w:sz w:val="22"/>
            <w:szCs w:val="22"/>
          </w:rPr>
          <w:tab/>
        </w:r>
        <w:r w:rsidRPr="00CD0B56">
          <w:rPr>
            <w:rStyle w:val="Hyperlink"/>
            <w:noProof/>
          </w:rPr>
          <w:t>Part 1 Section 19.5.49, iterate (Iterate)</w:t>
        </w:r>
        <w:r>
          <w:rPr>
            <w:noProof/>
            <w:webHidden/>
          </w:rPr>
          <w:tab/>
        </w:r>
        <w:r>
          <w:rPr>
            <w:noProof/>
            <w:webHidden/>
          </w:rPr>
          <w:fldChar w:fldCharType="begin"/>
        </w:r>
        <w:r>
          <w:rPr>
            <w:noProof/>
            <w:webHidden/>
          </w:rPr>
          <w:instrText xml:space="preserve"> PAGEREF _Toc12261232 \h </w:instrText>
        </w:r>
        <w:r>
          <w:rPr>
            <w:noProof/>
            <w:webHidden/>
          </w:rPr>
        </w:r>
        <w:r>
          <w:rPr>
            <w:noProof/>
            <w:webHidden/>
          </w:rPr>
          <w:fldChar w:fldCharType="separate"/>
        </w:r>
        <w:r>
          <w:rPr>
            <w:noProof/>
            <w:webHidden/>
          </w:rPr>
          <w:t>483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33" w:history="1">
        <w:r w:rsidRPr="00CD0B56">
          <w:rPr>
            <w:rStyle w:val="Hyperlink"/>
            <w:noProof/>
          </w:rPr>
          <w:t>2.1.1165</w:t>
        </w:r>
        <w:r>
          <w:rPr>
            <w:rFonts w:asciiTheme="minorHAnsi" w:eastAsiaTheme="minorEastAsia" w:hAnsiTheme="minorHAnsi" w:cstheme="minorBidi"/>
            <w:noProof/>
            <w:sz w:val="22"/>
            <w:szCs w:val="22"/>
          </w:rPr>
          <w:tab/>
        </w:r>
        <w:r w:rsidRPr="00CD0B56">
          <w:rPr>
            <w:rStyle w:val="Hyperlink"/>
            <w:noProof/>
          </w:rPr>
          <w:t>Part 1 Section 19.5.51, nextCondLst (Next Conditions List)</w:t>
        </w:r>
        <w:r>
          <w:rPr>
            <w:noProof/>
            <w:webHidden/>
          </w:rPr>
          <w:tab/>
        </w:r>
        <w:r>
          <w:rPr>
            <w:noProof/>
            <w:webHidden/>
          </w:rPr>
          <w:fldChar w:fldCharType="begin"/>
        </w:r>
        <w:r>
          <w:rPr>
            <w:noProof/>
            <w:webHidden/>
          </w:rPr>
          <w:instrText xml:space="preserve"> PAGEREF _Toc12261233 \h </w:instrText>
        </w:r>
        <w:r>
          <w:rPr>
            <w:noProof/>
            <w:webHidden/>
          </w:rPr>
        </w:r>
        <w:r>
          <w:rPr>
            <w:noProof/>
            <w:webHidden/>
          </w:rPr>
          <w:fldChar w:fldCharType="separate"/>
        </w:r>
        <w:r>
          <w:rPr>
            <w:noProof/>
            <w:webHidden/>
          </w:rPr>
          <w:t>483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34" w:history="1">
        <w:r w:rsidRPr="00CD0B56">
          <w:rPr>
            <w:rStyle w:val="Hyperlink"/>
            <w:noProof/>
          </w:rPr>
          <w:t>2.1.1166</w:t>
        </w:r>
        <w:r>
          <w:rPr>
            <w:rFonts w:asciiTheme="minorHAnsi" w:eastAsiaTheme="minorEastAsia" w:hAnsiTheme="minorHAnsi" w:cstheme="minorBidi"/>
            <w:noProof/>
            <w:sz w:val="22"/>
            <w:szCs w:val="22"/>
          </w:rPr>
          <w:tab/>
        </w:r>
        <w:r w:rsidRPr="00CD0B56">
          <w:rPr>
            <w:rStyle w:val="Hyperlink"/>
            <w:noProof/>
          </w:rPr>
          <w:t>Part 1 Section 19.5.52, oleChartEl (Embedded Chart Element)</w:t>
        </w:r>
        <w:r>
          <w:rPr>
            <w:noProof/>
            <w:webHidden/>
          </w:rPr>
          <w:tab/>
        </w:r>
        <w:r>
          <w:rPr>
            <w:noProof/>
            <w:webHidden/>
          </w:rPr>
          <w:fldChar w:fldCharType="begin"/>
        </w:r>
        <w:r>
          <w:rPr>
            <w:noProof/>
            <w:webHidden/>
          </w:rPr>
          <w:instrText xml:space="preserve"> PAGEREF _Toc12261234 \h </w:instrText>
        </w:r>
        <w:r>
          <w:rPr>
            <w:noProof/>
            <w:webHidden/>
          </w:rPr>
        </w:r>
        <w:r>
          <w:rPr>
            <w:noProof/>
            <w:webHidden/>
          </w:rPr>
          <w:fldChar w:fldCharType="separate"/>
        </w:r>
        <w:r>
          <w:rPr>
            <w:noProof/>
            <w:webHidden/>
          </w:rPr>
          <w:t>483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35" w:history="1">
        <w:r w:rsidRPr="00CD0B56">
          <w:rPr>
            <w:rStyle w:val="Hyperlink"/>
            <w:noProof/>
          </w:rPr>
          <w:t>2.1.1167</w:t>
        </w:r>
        <w:r>
          <w:rPr>
            <w:rFonts w:asciiTheme="minorHAnsi" w:eastAsiaTheme="minorEastAsia" w:hAnsiTheme="minorHAnsi" w:cstheme="minorBidi"/>
            <w:noProof/>
            <w:sz w:val="22"/>
            <w:szCs w:val="22"/>
          </w:rPr>
          <w:tab/>
        </w:r>
        <w:r w:rsidRPr="00CD0B56">
          <w:rPr>
            <w:rStyle w:val="Hyperlink"/>
            <w:noProof/>
          </w:rPr>
          <w:t>Part 1 Section 19.5.55, prevCondLst (Previous Conditions List)</w:t>
        </w:r>
        <w:r>
          <w:rPr>
            <w:noProof/>
            <w:webHidden/>
          </w:rPr>
          <w:tab/>
        </w:r>
        <w:r>
          <w:rPr>
            <w:noProof/>
            <w:webHidden/>
          </w:rPr>
          <w:fldChar w:fldCharType="begin"/>
        </w:r>
        <w:r>
          <w:rPr>
            <w:noProof/>
            <w:webHidden/>
          </w:rPr>
          <w:instrText xml:space="preserve"> PAGEREF _Toc12261235 \h </w:instrText>
        </w:r>
        <w:r>
          <w:rPr>
            <w:noProof/>
            <w:webHidden/>
          </w:rPr>
        </w:r>
        <w:r>
          <w:rPr>
            <w:noProof/>
            <w:webHidden/>
          </w:rPr>
          <w:fldChar w:fldCharType="separate"/>
        </w:r>
        <w:r>
          <w:rPr>
            <w:noProof/>
            <w:webHidden/>
          </w:rPr>
          <w:t>483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36" w:history="1">
        <w:r w:rsidRPr="00CD0B56">
          <w:rPr>
            <w:rStyle w:val="Hyperlink"/>
            <w:noProof/>
          </w:rPr>
          <w:t>2.1.1168</w:t>
        </w:r>
        <w:r>
          <w:rPr>
            <w:rFonts w:asciiTheme="minorHAnsi" w:eastAsiaTheme="minorEastAsia" w:hAnsiTheme="minorHAnsi" w:cstheme="minorBidi"/>
            <w:noProof/>
            <w:sz w:val="22"/>
            <w:szCs w:val="22"/>
          </w:rPr>
          <w:tab/>
        </w:r>
        <w:r w:rsidRPr="00CD0B56">
          <w:rPr>
            <w:rStyle w:val="Hyperlink"/>
            <w:noProof/>
          </w:rPr>
          <w:t>Part 1 Section 19.5.56, pRg (Paragraph Text Range)</w:t>
        </w:r>
        <w:r>
          <w:rPr>
            <w:noProof/>
            <w:webHidden/>
          </w:rPr>
          <w:tab/>
        </w:r>
        <w:r>
          <w:rPr>
            <w:noProof/>
            <w:webHidden/>
          </w:rPr>
          <w:fldChar w:fldCharType="begin"/>
        </w:r>
        <w:r>
          <w:rPr>
            <w:noProof/>
            <w:webHidden/>
          </w:rPr>
          <w:instrText xml:space="preserve"> PAGEREF _Toc12261236 \h </w:instrText>
        </w:r>
        <w:r>
          <w:rPr>
            <w:noProof/>
            <w:webHidden/>
          </w:rPr>
        </w:r>
        <w:r>
          <w:rPr>
            <w:noProof/>
            <w:webHidden/>
          </w:rPr>
          <w:fldChar w:fldCharType="separate"/>
        </w:r>
        <w:r>
          <w:rPr>
            <w:noProof/>
            <w:webHidden/>
          </w:rPr>
          <w:t>483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37" w:history="1">
        <w:r w:rsidRPr="00CD0B56">
          <w:rPr>
            <w:rStyle w:val="Hyperlink"/>
            <w:noProof/>
          </w:rPr>
          <w:t>2.1.1169</w:t>
        </w:r>
        <w:r>
          <w:rPr>
            <w:rFonts w:asciiTheme="minorHAnsi" w:eastAsiaTheme="minorEastAsia" w:hAnsiTheme="minorHAnsi" w:cstheme="minorBidi"/>
            <w:noProof/>
            <w:sz w:val="22"/>
            <w:szCs w:val="22"/>
          </w:rPr>
          <w:tab/>
        </w:r>
        <w:r w:rsidRPr="00CD0B56">
          <w:rPr>
            <w:rStyle w:val="Hyperlink"/>
            <w:noProof/>
          </w:rPr>
          <w:t>Part 1 Section 19.5.57, progress (Progress)</w:t>
        </w:r>
        <w:r>
          <w:rPr>
            <w:noProof/>
            <w:webHidden/>
          </w:rPr>
          <w:tab/>
        </w:r>
        <w:r>
          <w:rPr>
            <w:noProof/>
            <w:webHidden/>
          </w:rPr>
          <w:fldChar w:fldCharType="begin"/>
        </w:r>
        <w:r>
          <w:rPr>
            <w:noProof/>
            <w:webHidden/>
          </w:rPr>
          <w:instrText xml:space="preserve"> PAGEREF _Toc12261237 \h </w:instrText>
        </w:r>
        <w:r>
          <w:rPr>
            <w:noProof/>
            <w:webHidden/>
          </w:rPr>
        </w:r>
        <w:r>
          <w:rPr>
            <w:noProof/>
            <w:webHidden/>
          </w:rPr>
          <w:fldChar w:fldCharType="separate"/>
        </w:r>
        <w:r>
          <w:rPr>
            <w:noProof/>
            <w:webHidden/>
          </w:rPr>
          <w:t>483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38" w:history="1">
        <w:r w:rsidRPr="00CD0B56">
          <w:rPr>
            <w:rStyle w:val="Hyperlink"/>
            <w:noProof/>
          </w:rPr>
          <w:t>2.1.1170</w:t>
        </w:r>
        <w:r>
          <w:rPr>
            <w:rFonts w:asciiTheme="minorHAnsi" w:eastAsiaTheme="minorEastAsia" w:hAnsiTheme="minorHAnsi" w:cstheme="minorBidi"/>
            <w:noProof/>
            <w:sz w:val="22"/>
            <w:szCs w:val="22"/>
          </w:rPr>
          <w:tab/>
        </w:r>
        <w:r w:rsidRPr="00CD0B56">
          <w:rPr>
            <w:rStyle w:val="Hyperlink"/>
            <w:noProof/>
          </w:rPr>
          <w:t>Part 1 Section 19.5.62, rCtr (Rotation Center)</w:t>
        </w:r>
        <w:r>
          <w:rPr>
            <w:noProof/>
            <w:webHidden/>
          </w:rPr>
          <w:tab/>
        </w:r>
        <w:r>
          <w:rPr>
            <w:noProof/>
            <w:webHidden/>
          </w:rPr>
          <w:fldChar w:fldCharType="begin"/>
        </w:r>
        <w:r>
          <w:rPr>
            <w:noProof/>
            <w:webHidden/>
          </w:rPr>
          <w:instrText xml:space="preserve"> PAGEREF _Toc12261238 \h </w:instrText>
        </w:r>
        <w:r>
          <w:rPr>
            <w:noProof/>
            <w:webHidden/>
          </w:rPr>
        </w:r>
        <w:r>
          <w:rPr>
            <w:noProof/>
            <w:webHidden/>
          </w:rPr>
          <w:fldChar w:fldCharType="separate"/>
        </w:r>
        <w:r>
          <w:rPr>
            <w:noProof/>
            <w:webHidden/>
          </w:rPr>
          <w:t>484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39" w:history="1">
        <w:r w:rsidRPr="00CD0B56">
          <w:rPr>
            <w:rStyle w:val="Hyperlink"/>
            <w:noProof/>
          </w:rPr>
          <w:t>2.1.1171</w:t>
        </w:r>
        <w:r>
          <w:rPr>
            <w:rFonts w:asciiTheme="minorHAnsi" w:eastAsiaTheme="minorEastAsia" w:hAnsiTheme="minorHAnsi" w:cstheme="minorBidi"/>
            <w:noProof/>
            <w:sz w:val="22"/>
            <w:szCs w:val="22"/>
          </w:rPr>
          <w:tab/>
        </w:r>
        <w:r w:rsidRPr="00CD0B56">
          <w:rPr>
            <w:rStyle w:val="Hyperlink"/>
            <w:noProof/>
          </w:rPr>
          <w:t>Part 1 Section 19.5.63, rgb (RGB)</w:t>
        </w:r>
        <w:r>
          <w:rPr>
            <w:noProof/>
            <w:webHidden/>
          </w:rPr>
          <w:tab/>
        </w:r>
        <w:r>
          <w:rPr>
            <w:noProof/>
            <w:webHidden/>
          </w:rPr>
          <w:fldChar w:fldCharType="begin"/>
        </w:r>
        <w:r>
          <w:rPr>
            <w:noProof/>
            <w:webHidden/>
          </w:rPr>
          <w:instrText xml:space="preserve"> PAGEREF _Toc12261239 \h </w:instrText>
        </w:r>
        <w:r>
          <w:rPr>
            <w:noProof/>
            <w:webHidden/>
          </w:rPr>
        </w:r>
        <w:r>
          <w:rPr>
            <w:noProof/>
            <w:webHidden/>
          </w:rPr>
          <w:fldChar w:fldCharType="separate"/>
        </w:r>
        <w:r>
          <w:rPr>
            <w:noProof/>
            <w:webHidden/>
          </w:rPr>
          <w:t>484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40" w:history="1">
        <w:r w:rsidRPr="00CD0B56">
          <w:rPr>
            <w:rStyle w:val="Hyperlink"/>
            <w:noProof/>
          </w:rPr>
          <w:t>2.1.1172</w:t>
        </w:r>
        <w:r>
          <w:rPr>
            <w:rFonts w:asciiTheme="minorHAnsi" w:eastAsiaTheme="minorEastAsia" w:hAnsiTheme="minorHAnsi" w:cstheme="minorBidi"/>
            <w:noProof/>
            <w:sz w:val="22"/>
            <w:szCs w:val="22"/>
          </w:rPr>
          <w:tab/>
        </w:r>
        <w:r w:rsidRPr="00CD0B56">
          <w:rPr>
            <w:rStyle w:val="Hyperlink"/>
            <w:noProof/>
          </w:rPr>
          <w:t>Part 1 Section 19.5.65, seq (Sequence Time Node)</w:t>
        </w:r>
        <w:r>
          <w:rPr>
            <w:noProof/>
            <w:webHidden/>
          </w:rPr>
          <w:tab/>
        </w:r>
        <w:r>
          <w:rPr>
            <w:noProof/>
            <w:webHidden/>
          </w:rPr>
          <w:fldChar w:fldCharType="begin"/>
        </w:r>
        <w:r>
          <w:rPr>
            <w:noProof/>
            <w:webHidden/>
          </w:rPr>
          <w:instrText xml:space="preserve"> PAGEREF _Toc12261240 \h </w:instrText>
        </w:r>
        <w:r>
          <w:rPr>
            <w:noProof/>
            <w:webHidden/>
          </w:rPr>
        </w:r>
        <w:r>
          <w:rPr>
            <w:noProof/>
            <w:webHidden/>
          </w:rPr>
          <w:fldChar w:fldCharType="separate"/>
        </w:r>
        <w:r>
          <w:rPr>
            <w:noProof/>
            <w:webHidden/>
          </w:rPr>
          <w:t>484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41" w:history="1">
        <w:r w:rsidRPr="00CD0B56">
          <w:rPr>
            <w:rStyle w:val="Hyperlink"/>
            <w:noProof/>
          </w:rPr>
          <w:t>2.1.1173</w:t>
        </w:r>
        <w:r>
          <w:rPr>
            <w:rFonts w:asciiTheme="minorHAnsi" w:eastAsiaTheme="minorEastAsia" w:hAnsiTheme="minorHAnsi" w:cstheme="minorBidi"/>
            <w:noProof/>
            <w:sz w:val="22"/>
            <w:szCs w:val="22"/>
          </w:rPr>
          <w:tab/>
        </w:r>
        <w:r w:rsidRPr="00CD0B56">
          <w:rPr>
            <w:rStyle w:val="Hyperlink"/>
            <w:noProof/>
          </w:rPr>
          <w:t>Part 1 Section 19.5.66, set (Set Time Node Behavior)</w:t>
        </w:r>
        <w:r>
          <w:rPr>
            <w:noProof/>
            <w:webHidden/>
          </w:rPr>
          <w:tab/>
        </w:r>
        <w:r>
          <w:rPr>
            <w:noProof/>
            <w:webHidden/>
          </w:rPr>
          <w:fldChar w:fldCharType="begin"/>
        </w:r>
        <w:r>
          <w:rPr>
            <w:noProof/>
            <w:webHidden/>
          </w:rPr>
          <w:instrText xml:space="preserve"> PAGEREF _Toc12261241 \h </w:instrText>
        </w:r>
        <w:r>
          <w:rPr>
            <w:noProof/>
            <w:webHidden/>
          </w:rPr>
        </w:r>
        <w:r>
          <w:rPr>
            <w:noProof/>
            <w:webHidden/>
          </w:rPr>
          <w:fldChar w:fldCharType="separate"/>
        </w:r>
        <w:r>
          <w:rPr>
            <w:noProof/>
            <w:webHidden/>
          </w:rPr>
          <w:t>484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42" w:history="1">
        <w:r w:rsidRPr="00CD0B56">
          <w:rPr>
            <w:rStyle w:val="Hyperlink"/>
            <w:noProof/>
          </w:rPr>
          <w:t>2.1.1174</w:t>
        </w:r>
        <w:r>
          <w:rPr>
            <w:rFonts w:asciiTheme="minorHAnsi" w:eastAsiaTheme="minorEastAsia" w:hAnsiTheme="minorHAnsi" w:cstheme="minorBidi"/>
            <w:noProof/>
            <w:sz w:val="22"/>
            <w:szCs w:val="22"/>
          </w:rPr>
          <w:tab/>
        </w:r>
        <w:r w:rsidRPr="00CD0B56">
          <w:rPr>
            <w:rStyle w:val="Hyperlink"/>
            <w:noProof/>
          </w:rPr>
          <w:t>Part 1 Section 19.5.67, sldTgt (Slide Target)</w:t>
        </w:r>
        <w:r>
          <w:rPr>
            <w:noProof/>
            <w:webHidden/>
          </w:rPr>
          <w:tab/>
        </w:r>
        <w:r>
          <w:rPr>
            <w:noProof/>
            <w:webHidden/>
          </w:rPr>
          <w:fldChar w:fldCharType="begin"/>
        </w:r>
        <w:r>
          <w:rPr>
            <w:noProof/>
            <w:webHidden/>
          </w:rPr>
          <w:instrText xml:space="preserve"> PAGEREF _Toc12261242 \h </w:instrText>
        </w:r>
        <w:r>
          <w:rPr>
            <w:noProof/>
            <w:webHidden/>
          </w:rPr>
        </w:r>
        <w:r>
          <w:rPr>
            <w:noProof/>
            <w:webHidden/>
          </w:rPr>
          <w:fldChar w:fldCharType="separate"/>
        </w:r>
        <w:r>
          <w:rPr>
            <w:noProof/>
            <w:webHidden/>
          </w:rPr>
          <w:t>484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43" w:history="1">
        <w:r w:rsidRPr="00CD0B56">
          <w:rPr>
            <w:rStyle w:val="Hyperlink"/>
            <w:noProof/>
          </w:rPr>
          <w:t>2.1.1175</w:t>
        </w:r>
        <w:r>
          <w:rPr>
            <w:rFonts w:asciiTheme="minorHAnsi" w:eastAsiaTheme="minorEastAsia" w:hAnsiTheme="minorHAnsi" w:cstheme="minorBidi"/>
            <w:noProof/>
            <w:sz w:val="22"/>
            <w:szCs w:val="22"/>
          </w:rPr>
          <w:tab/>
        </w:r>
        <w:r w:rsidRPr="00CD0B56">
          <w:rPr>
            <w:rStyle w:val="Hyperlink"/>
            <w:noProof/>
          </w:rPr>
          <w:t>Part 1 Section 19.5.72, spTgt (Shape Target)</w:t>
        </w:r>
        <w:r>
          <w:rPr>
            <w:noProof/>
            <w:webHidden/>
          </w:rPr>
          <w:tab/>
        </w:r>
        <w:r>
          <w:rPr>
            <w:noProof/>
            <w:webHidden/>
          </w:rPr>
          <w:fldChar w:fldCharType="begin"/>
        </w:r>
        <w:r>
          <w:rPr>
            <w:noProof/>
            <w:webHidden/>
          </w:rPr>
          <w:instrText xml:space="preserve"> PAGEREF _Toc12261243 \h </w:instrText>
        </w:r>
        <w:r>
          <w:rPr>
            <w:noProof/>
            <w:webHidden/>
          </w:rPr>
        </w:r>
        <w:r>
          <w:rPr>
            <w:noProof/>
            <w:webHidden/>
          </w:rPr>
          <w:fldChar w:fldCharType="separate"/>
        </w:r>
        <w:r>
          <w:rPr>
            <w:noProof/>
            <w:webHidden/>
          </w:rPr>
          <w:t>484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44" w:history="1">
        <w:r w:rsidRPr="00CD0B56">
          <w:rPr>
            <w:rStyle w:val="Hyperlink"/>
            <w:noProof/>
          </w:rPr>
          <w:t>2.1.1176</w:t>
        </w:r>
        <w:r>
          <w:rPr>
            <w:rFonts w:asciiTheme="minorHAnsi" w:eastAsiaTheme="minorEastAsia" w:hAnsiTheme="minorHAnsi" w:cstheme="minorBidi"/>
            <w:noProof/>
            <w:sz w:val="22"/>
            <w:szCs w:val="22"/>
          </w:rPr>
          <w:tab/>
        </w:r>
        <w:r w:rsidRPr="00CD0B56">
          <w:rPr>
            <w:rStyle w:val="Hyperlink"/>
            <w:noProof/>
          </w:rPr>
          <w:t>Part 1 Section 19.5.77, subSp (Subshape)</w:t>
        </w:r>
        <w:r>
          <w:rPr>
            <w:noProof/>
            <w:webHidden/>
          </w:rPr>
          <w:tab/>
        </w:r>
        <w:r>
          <w:rPr>
            <w:noProof/>
            <w:webHidden/>
          </w:rPr>
          <w:fldChar w:fldCharType="begin"/>
        </w:r>
        <w:r>
          <w:rPr>
            <w:noProof/>
            <w:webHidden/>
          </w:rPr>
          <w:instrText xml:space="preserve"> PAGEREF _Toc12261244 \h </w:instrText>
        </w:r>
        <w:r>
          <w:rPr>
            <w:noProof/>
            <w:webHidden/>
          </w:rPr>
        </w:r>
        <w:r>
          <w:rPr>
            <w:noProof/>
            <w:webHidden/>
          </w:rPr>
          <w:fldChar w:fldCharType="separate"/>
        </w:r>
        <w:r>
          <w:rPr>
            <w:noProof/>
            <w:webHidden/>
          </w:rPr>
          <w:t>485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45" w:history="1">
        <w:r w:rsidRPr="00CD0B56">
          <w:rPr>
            <w:rStyle w:val="Hyperlink"/>
            <w:noProof/>
          </w:rPr>
          <w:t>2.1.1177</w:t>
        </w:r>
        <w:r>
          <w:rPr>
            <w:rFonts w:asciiTheme="minorHAnsi" w:eastAsiaTheme="minorEastAsia" w:hAnsiTheme="minorHAnsi" w:cstheme="minorBidi"/>
            <w:noProof/>
            <w:sz w:val="22"/>
            <w:szCs w:val="22"/>
          </w:rPr>
          <w:tab/>
        </w:r>
        <w:r w:rsidRPr="00CD0B56">
          <w:rPr>
            <w:rStyle w:val="Hyperlink"/>
            <w:noProof/>
          </w:rPr>
          <w:t>Part 1 Section 19.5.78, subTnLst (Sub-TimeNodes List)</w:t>
        </w:r>
        <w:r>
          <w:rPr>
            <w:noProof/>
            <w:webHidden/>
          </w:rPr>
          <w:tab/>
        </w:r>
        <w:r>
          <w:rPr>
            <w:noProof/>
            <w:webHidden/>
          </w:rPr>
          <w:fldChar w:fldCharType="begin"/>
        </w:r>
        <w:r>
          <w:rPr>
            <w:noProof/>
            <w:webHidden/>
          </w:rPr>
          <w:instrText xml:space="preserve"> PAGEREF _Toc12261245 \h </w:instrText>
        </w:r>
        <w:r>
          <w:rPr>
            <w:noProof/>
            <w:webHidden/>
          </w:rPr>
        </w:r>
        <w:r>
          <w:rPr>
            <w:noProof/>
            <w:webHidden/>
          </w:rPr>
          <w:fldChar w:fldCharType="separate"/>
        </w:r>
        <w:r>
          <w:rPr>
            <w:noProof/>
            <w:webHidden/>
          </w:rPr>
          <w:t>485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46" w:history="1">
        <w:r w:rsidRPr="00CD0B56">
          <w:rPr>
            <w:rStyle w:val="Hyperlink"/>
            <w:noProof/>
          </w:rPr>
          <w:t>2.1.1178</w:t>
        </w:r>
        <w:r>
          <w:rPr>
            <w:rFonts w:asciiTheme="minorHAnsi" w:eastAsiaTheme="minorEastAsia" w:hAnsiTheme="minorHAnsi" w:cstheme="minorBidi"/>
            <w:noProof/>
            <w:sz w:val="22"/>
            <w:szCs w:val="22"/>
          </w:rPr>
          <w:tab/>
        </w:r>
        <w:r w:rsidRPr="00CD0B56">
          <w:rPr>
            <w:rStyle w:val="Hyperlink"/>
            <w:noProof/>
          </w:rPr>
          <w:t>Part 1 Section 19.5.84, tmpl (Template Effects)</w:t>
        </w:r>
        <w:r>
          <w:rPr>
            <w:noProof/>
            <w:webHidden/>
          </w:rPr>
          <w:tab/>
        </w:r>
        <w:r>
          <w:rPr>
            <w:noProof/>
            <w:webHidden/>
          </w:rPr>
          <w:fldChar w:fldCharType="begin"/>
        </w:r>
        <w:r>
          <w:rPr>
            <w:noProof/>
            <w:webHidden/>
          </w:rPr>
          <w:instrText xml:space="preserve"> PAGEREF _Toc12261246 \h </w:instrText>
        </w:r>
        <w:r>
          <w:rPr>
            <w:noProof/>
            <w:webHidden/>
          </w:rPr>
        </w:r>
        <w:r>
          <w:rPr>
            <w:noProof/>
            <w:webHidden/>
          </w:rPr>
          <w:fldChar w:fldCharType="separate"/>
        </w:r>
        <w:r>
          <w:rPr>
            <w:noProof/>
            <w:webHidden/>
          </w:rPr>
          <w:t>485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47" w:history="1">
        <w:r w:rsidRPr="00CD0B56">
          <w:rPr>
            <w:rStyle w:val="Hyperlink"/>
            <w:noProof/>
          </w:rPr>
          <w:t>2.1.1179</w:t>
        </w:r>
        <w:r>
          <w:rPr>
            <w:rFonts w:asciiTheme="minorHAnsi" w:eastAsiaTheme="minorEastAsia" w:hAnsiTheme="minorHAnsi" w:cstheme="minorBidi"/>
            <w:noProof/>
            <w:sz w:val="22"/>
            <w:szCs w:val="22"/>
          </w:rPr>
          <w:tab/>
        </w:r>
        <w:r w:rsidRPr="00CD0B56">
          <w:rPr>
            <w:rStyle w:val="Hyperlink"/>
            <w:noProof/>
          </w:rPr>
          <w:t>Part 1 Section 19.5.85, tmplLst (Template effects)</w:t>
        </w:r>
        <w:r>
          <w:rPr>
            <w:noProof/>
            <w:webHidden/>
          </w:rPr>
          <w:tab/>
        </w:r>
        <w:r>
          <w:rPr>
            <w:noProof/>
            <w:webHidden/>
          </w:rPr>
          <w:fldChar w:fldCharType="begin"/>
        </w:r>
        <w:r>
          <w:rPr>
            <w:noProof/>
            <w:webHidden/>
          </w:rPr>
          <w:instrText xml:space="preserve"> PAGEREF _Toc12261247 \h </w:instrText>
        </w:r>
        <w:r>
          <w:rPr>
            <w:noProof/>
            <w:webHidden/>
          </w:rPr>
        </w:r>
        <w:r>
          <w:rPr>
            <w:noProof/>
            <w:webHidden/>
          </w:rPr>
          <w:fldChar w:fldCharType="separate"/>
        </w:r>
        <w:r>
          <w:rPr>
            <w:noProof/>
            <w:webHidden/>
          </w:rPr>
          <w:t>485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48" w:history="1">
        <w:r w:rsidRPr="00CD0B56">
          <w:rPr>
            <w:rStyle w:val="Hyperlink"/>
            <w:noProof/>
          </w:rPr>
          <w:t>2.1.1180</w:t>
        </w:r>
        <w:r>
          <w:rPr>
            <w:rFonts w:asciiTheme="minorHAnsi" w:eastAsiaTheme="minorEastAsia" w:hAnsiTheme="minorHAnsi" w:cstheme="minorBidi"/>
            <w:noProof/>
            <w:sz w:val="22"/>
            <w:szCs w:val="22"/>
          </w:rPr>
          <w:tab/>
        </w:r>
        <w:r w:rsidRPr="00CD0B56">
          <w:rPr>
            <w:rStyle w:val="Hyperlink"/>
            <w:noProof/>
          </w:rPr>
          <w:t>Part 1 Section 19.5.87, tnLst (Time Node List)</w:t>
        </w:r>
        <w:r>
          <w:rPr>
            <w:noProof/>
            <w:webHidden/>
          </w:rPr>
          <w:tab/>
        </w:r>
        <w:r>
          <w:rPr>
            <w:noProof/>
            <w:webHidden/>
          </w:rPr>
          <w:fldChar w:fldCharType="begin"/>
        </w:r>
        <w:r>
          <w:rPr>
            <w:noProof/>
            <w:webHidden/>
          </w:rPr>
          <w:instrText xml:space="preserve"> PAGEREF _Toc12261248 \h </w:instrText>
        </w:r>
        <w:r>
          <w:rPr>
            <w:noProof/>
            <w:webHidden/>
          </w:rPr>
        </w:r>
        <w:r>
          <w:rPr>
            <w:noProof/>
            <w:webHidden/>
          </w:rPr>
          <w:fldChar w:fldCharType="separate"/>
        </w:r>
        <w:r>
          <w:rPr>
            <w:noProof/>
            <w:webHidden/>
          </w:rPr>
          <w:t>486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49" w:history="1">
        <w:r w:rsidRPr="00CD0B56">
          <w:rPr>
            <w:rStyle w:val="Hyperlink"/>
            <w:noProof/>
          </w:rPr>
          <w:t>2.1.1181</w:t>
        </w:r>
        <w:r>
          <w:rPr>
            <w:rFonts w:asciiTheme="minorHAnsi" w:eastAsiaTheme="minorEastAsia" w:hAnsiTheme="minorHAnsi" w:cstheme="minorBidi"/>
            <w:noProof/>
            <w:sz w:val="22"/>
            <w:szCs w:val="22"/>
          </w:rPr>
          <w:tab/>
        </w:r>
        <w:r w:rsidRPr="00CD0B56">
          <w:rPr>
            <w:rStyle w:val="Hyperlink"/>
            <w:noProof/>
          </w:rPr>
          <w:t>Part 1 Section 19.5.88, to (To)</w:t>
        </w:r>
        <w:r>
          <w:rPr>
            <w:noProof/>
            <w:webHidden/>
          </w:rPr>
          <w:tab/>
        </w:r>
        <w:r>
          <w:rPr>
            <w:noProof/>
            <w:webHidden/>
          </w:rPr>
          <w:fldChar w:fldCharType="begin"/>
        </w:r>
        <w:r>
          <w:rPr>
            <w:noProof/>
            <w:webHidden/>
          </w:rPr>
          <w:instrText xml:space="preserve"> PAGEREF _Toc12261249 \h </w:instrText>
        </w:r>
        <w:r>
          <w:rPr>
            <w:noProof/>
            <w:webHidden/>
          </w:rPr>
        </w:r>
        <w:r>
          <w:rPr>
            <w:noProof/>
            <w:webHidden/>
          </w:rPr>
          <w:fldChar w:fldCharType="separate"/>
        </w:r>
        <w:r>
          <w:rPr>
            <w:noProof/>
            <w:webHidden/>
          </w:rPr>
          <w:t>486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50" w:history="1">
        <w:r w:rsidRPr="00CD0B56">
          <w:rPr>
            <w:rStyle w:val="Hyperlink"/>
            <w:noProof/>
          </w:rPr>
          <w:t>2.1.1182</w:t>
        </w:r>
        <w:r>
          <w:rPr>
            <w:rFonts w:asciiTheme="minorHAnsi" w:eastAsiaTheme="minorEastAsia" w:hAnsiTheme="minorHAnsi" w:cstheme="minorBidi"/>
            <w:noProof/>
            <w:sz w:val="22"/>
            <w:szCs w:val="22"/>
          </w:rPr>
          <w:tab/>
        </w:r>
        <w:r w:rsidRPr="00CD0B56">
          <w:rPr>
            <w:rStyle w:val="Hyperlink"/>
            <w:noProof/>
          </w:rPr>
          <w:t>Part 1 Section 19.5.89, to (To)</w:t>
        </w:r>
        <w:r>
          <w:rPr>
            <w:noProof/>
            <w:webHidden/>
          </w:rPr>
          <w:tab/>
        </w:r>
        <w:r>
          <w:rPr>
            <w:noProof/>
            <w:webHidden/>
          </w:rPr>
          <w:fldChar w:fldCharType="begin"/>
        </w:r>
        <w:r>
          <w:rPr>
            <w:noProof/>
            <w:webHidden/>
          </w:rPr>
          <w:instrText xml:space="preserve"> PAGEREF _Toc12261250 \h </w:instrText>
        </w:r>
        <w:r>
          <w:rPr>
            <w:noProof/>
            <w:webHidden/>
          </w:rPr>
        </w:r>
        <w:r>
          <w:rPr>
            <w:noProof/>
            <w:webHidden/>
          </w:rPr>
          <w:fldChar w:fldCharType="separate"/>
        </w:r>
        <w:r>
          <w:rPr>
            <w:noProof/>
            <w:webHidden/>
          </w:rPr>
          <w:t>486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51" w:history="1">
        <w:r w:rsidRPr="00CD0B56">
          <w:rPr>
            <w:rStyle w:val="Hyperlink"/>
            <w:noProof/>
          </w:rPr>
          <w:t>2.1.1183</w:t>
        </w:r>
        <w:r>
          <w:rPr>
            <w:rFonts w:asciiTheme="minorHAnsi" w:eastAsiaTheme="minorEastAsia" w:hAnsiTheme="minorHAnsi" w:cstheme="minorBidi"/>
            <w:noProof/>
            <w:sz w:val="22"/>
            <w:szCs w:val="22"/>
          </w:rPr>
          <w:tab/>
        </w:r>
        <w:r w:rsidRPr="00CD0B56">
          <w:rPr>
            <w:rStyle w:val="Hyperlink"/>
            <w:noProof/>
          </w:rPr>
          <w:t>Part 1 Section 19.5.90, to (To)</w:t>
        </w:r>
        <w:r>
          <w:rPr>
            <w:noProof/>
            <w:webHidden/>
          </w:rPr>
          <w:tab/>
        </w:r>
        <w:r>
          <w:rPr>
            <w:noProof/>
            <w:webHidden/>
          </w:rPr>
          <w:fldChar w:fldCharType="begin"/>
        </w:r>
        <w:r>
          <w:rPr>
            <w:noProof/>
            <w:webHidden/>
          </w:rPr>
          <w:instrText xml:space="preserve"> PAGEREF _Toc12261251 \h </w:instrText>
        </w:r>
        <w:r>
          <w:rPr>
            <w:noProof/>
            <w:webHidden/>
          </w:rPr>
        </w:r>
        <w:r>
          <w:rPr>
            <w:noProof/>
            <w:webHidden/>
          </w:rPr>
          <w:fldChar w:fldCharType="separate"/>
        </w:r>
        <w:r>
          <w:rPr>
            <w:noProof/>
            <w:webHidden/>
          </w:rPr>
          <w:t>489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52" w:history="1">
        <w:r w:rsidRPr="00CD0B56">
          <w:rPr>
            <w:rStyle w:val="Hyperlink"/>
            <w:noProof/>
          </w:rPr>
          <w:t>2.1.1184</w:t>
        </w:r>
        <w:r>
          <w:rPr>
            <w:rFonts w:asciiTheme="minorHAnsi" w:eastAsiaTheme="minorEastAsia" w:hAnsiTheme="minorHAnsi" w:cstheme="minorBidi"/>
            <w:noProof/>
            <w:sz w:val="22"/>
            <w:szCs w:val="22"/>
          </w:rPr>
          <w:tab/>
        </w:r>
        <w:r w:rsidRPr="00CD0B56">
          <w:rPr>
            <w:rStyle w:val="Hyperlink"/>
            <w:noProof/>
          </w:rPr>
          <w:t>Part 1 Section 19.5.93, video (Video)</w:t>
        </w:r>
        <w:r>
          <w:rPr>
            <w:noProof/>
            <w:webHidden/>
          </w:rPr>
          <w:tab/>
        </w:r>
        <w:r>
          <w:rPr>
            <w:noProof/>
            <w:webHidden/>
          </w:rPr>
          <w:fldChar w:fldCharType="begin"/>
        </w:r>
        <w:r>
          <w:rPr>
            <w:noProof/>
            <w:webHidden/>
          </w:rPr>
          <w:instrText xml:space="preserve"> PAGEREF _Toc12261252 \h </w:instrText>
        </w:r>
        <w:r>
          <w:rPr>
            <w:noProof/>
            <w:webHidden/>
          </w:rPr>
        </w:r>
        <w:r>
          <w:rPr>
            <w:noProof/>
            <w:webHidden/>
          </w:rPr>
          <w:fldChar w:fldCharType="separate"/>
        </w:r>
        <w:r>
          <w:rPr>
            <w:noProof/>
            <w:webHidden/>
          </w:rPr>
          <w:t>489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53" w:history="1">
        <w:r w:rsidRPr="00CD0B56">
          <w:rPr>
            <w:rStyle w:val="Hyperlink"/>
            <w:noProof/>
          </w:rPr>
          <w:t>2.1.1185</w:t>
        </w:r>
        <w:r>
          <w:rPr>
            <w:rFonts w:asciiTheme="minorHAnsi" w:eastAsiaTheme="minorEastAsia" w:hAnsiTheme="minorHAnsi" w:cstheme="minorBidi"/>
            <w:noProof/>
            <w:sz w:val="22"/>
            <w:szCs w:val="22"/>
          </w:rPr>
          <w:tab/>
        </w:r>
        <w:r w:rsidRPr="00CD0B56">
          <w:rPr>
            <w:rStyle w:val="Hyperlink"/>
            <w:noProof/>
          </w:rPr>
          <w:t>Part 1 Section 19.5.95, wheel (Wheel Slide Transition)</w:t>
        </w:r>
        <w:r>
          <w:rPr>
            <w:noProof/>
            <w:webHidden/>
          </w:rPr>
          <w:tab/>
        </w:r>
        <w:r>
          <w:rPr>
            <w:noProof/>
            <w:webHidden/>
          </w:rPr>
          <w:fldChar w:fldCharType="begin"/>
        </w:r>
        <w:r>
          <w:rPr>
            <w:noProof/>
            <w:webHidden/>
          </w:rPr>
          <w:instrText xml:space="preserve"> PAGEREF _Toc12261253 \h </w:instrText>
        </w:r>
        <w:r>
          <w:rPr>
            <w:noProof/>
            <w:webHidden/>
          </w:rPr>
        </w:r>
        <w:r>
          <w:rPr>
            <w:noProof/>
            <w:webHidden/>
          </w:rPr>
          <w:fldChar w:fldCharType="separate"/>
        </w:r>
        <w:r>
          <w:rPr>
            <w:noProof/>
            <w:webHidden/>
          </w:rPr>
          <w:t>489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54" w:history="1">
        <w:r w:rsidRPr="00CD0B56">
          <w:rPr>
            <w:rStyle w:val="Hyperlink"/>
            <w:noProof/>
          </w:rPr>
          <w:t>2.1.1186</w:t>
        </w:r>
        <w:r>
          <w:rPr>
            <w:rFonts w:asciiTheme="minorHAnsi" w:eastAsiaTheme="minorEastAsia" w:hAnsiTheme="minorHAnsi" w:cstheme="minorBidi"/>
            <w:noProof/>
            <w:sz w:val="22"/>
            <w:szCs w:val="22"/>
          </w:rPr>
          <w:tab/>
        </w:r>
        <w:r w:rsidRPr="00CD0B56">
          <w:rPr>
            <w:rStyle w:val="Hyperlink"/>
            <w:noProof/>
          </w:rPr>
          <w:t>Part 1 Section 19.7.7, ST_PhotoAlbumFrameShape (Photo Album Shape for Photo Mask)</w:t>
        </w:r>
        <w:r>
          <w:rPr>
            <w:noProof/>
            <w:webHidden/>
          </w:rPr>
          <w:tab/>
        </w:r>
        <w:r>
          <w:rPr>
            <w:noProof/>
            <w:webHidden/>
          </w:rPr>
          <w:fldChar w:fldCharType="begin"/>
        </w:r>
        <w:r>
          <w:rPr>
            <w:noProof/>
            <w:webHidden/>
          </w:rPr>
          <w:instrText xml:space="preserve"> PAGEREF _Toc12261254 \h </w:instrText>
        </w:r>
        <w:r>
          <w:rPr>
            <w:noProof/>
            <w:webHidden/>
          </w:rPr>
        </w:r>
        <w:r>
          <w:rPr>
            <w:noProof/>
            <w:webHidden/>
          </w:rPr>
          <w:fldChar w:fldCharType="separate"/>
        </w:r>
        <w:r>
          <w:rPr>
            <w:noProof/>
            <w:webHidden/>
          </w:rPr>
          <w:t>490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55" w:history="1">
        <w:r w:rsidRPr="00CD0B56">
          <w:rPr>
            <w:rStyle w:val="Hyperlink"/>
            <w:noProof/>
          </w:rPr>
          <w:t>2.1.1187</w:t>
        </w:r>
        <w:r>
          <w:rPr>
            <w:rFonts w:asciiTheme="minorHAnsi" w:eastAsiaTheme="minorEastAsia" w:hAnsiTheme="minorHAnsi" w:cstheme="minorBidi"/>
            <w:noProof/>
            <w:sz w:val="22"/>
            <w:szCs w:val="22"/>
          </w:rPr>
          <w:tab/>
        </w:r>
        <w:r w:rsidRPr="00CD0B56">
          <w:rPr>
            <w:rStyle w:val="Hyperlink"/>
            <w:noProof/>
          </w:rPr>
          <w:t>Part 1 Section 19.7.24, ST_TLAnimateEffectTransition (Time List Animate Effect Transition)</w:t>
        </w:r>
        <w:r>
          <w:rPr>
            <w:noProof/>
            <w:webHidden/>
          </w:rPr>
          <w:tab/>
        </w:r>
        <w:r>
          <w:rPr>
            <w:noProof/>
            <w:webHidden/>
          </w:rPr>
          <w:fldChar w:fldCharType="begin"/>
        </w:r>
        <w:r>
          <w:rPr>
            <w:noProof/>
            <w:webHidden/>
          </w:rPr>
          <w:instrText xml:space="preserve"> PAGEREF _Toc12261255 \h </w:instrText>
        </w:r>
        <w:r>
          <w:rPr>
            <w:noProof/>
            <w:webHidden/>
          </w:rPr>
        </w:r>
        <w:r>
          <w:rPr>
            <w:noProof/>
            <w:webHidden/>
          </w:rPr>
          <w:fldChar w:fldCharType="separate"/>
        </w:r>
        <w:r>
          <w:rPr>
            <w:noProof/>
            <w:webHidden/>
          </w:rPr>
          <w:t>492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56" w:history="1">
        <w:r w:rsidRPr="00CD0B56">
          <w:rPr>
            <w:rStyle w:val="Hyperlink"/>
            <w:noProof/>
          </w:rPr>
          <w:t>2.1.1188</w:t>
        </w:r>
        <w:r>
          <w:rPr>
            <w:rFonts w:asciiTheme="minorHAnsi" w:eastAsiaTheme="minorEastAsia" w:hAnsiTheme="minorHAnsi" w:cstheme="minorBidi"/>
            <w:noProof/>
            <w:sz w:val="22"/>
            <w:szCs w:val="22"/>
          </w:rPr>
          <w:tab/>
        </w:r>
        <w:r w:rsidRPr="00CD0B56">
          <w:rPr>
            <w:rStyle w:val="Hyperlink"/>
            <w:noProof/>
          </w:rPr>
          <w:t>Part 1 Section 19.7.25, ST_TLAnimateMotionBehaviorOrigin (Time List Animate Motion Behavior Origin)</w:t>
        </w:r>
        <w:r>
          <w:rPr>
            <w:noProof/>
            <w:webHidden/>
          </w:rPr>
          <w:tab/>
        </w:r>
        <w:r>
          <w:rPr>
            <w:noProof/>
            <w:webHidden/>
          </w:rPr>
          <w:fldChar w:fldCharType="begin"/>
        </w:r>
        <w:r>
          <w:rPr>
            <w:noProof/>
            <w:webHidden/>
          </w:rPr>
          <w:instrText xml:space="preserve"> PAGEREF _Toc12261256 \h </w:instrText>
        </w:r>
        <w:r>
          <w:rPr>
            <w:noProof/>
            <w:webHidden/>
          </w:rPr>
        </w:r>
        <w:r>
          <w:rPr>
            <w:noProof/>
            <w:webHidden/>
          </w:rPr>
          <w:fldChar w:fldCharType="separate"/>
        </w:r>
        <w:r>
          <w:rPr>
            <w:noProof/>
            <w:webHidden/>
          </w:rPr>
          <w:t>492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57" w:history="1">
        <w:r w:rsidRPr="00CD0B56">
          <w:rPr>
            <w:rStyle w:val="Hyperlink"/>
            <w:noProof/>
          </w:rPr>
          <w:t>2.1.1189</w:t>
        </w:r>
        <w:r>
          <w:rPr>
            <w:rFonts w:asciiTheme="minorHAnsi" w:eastAsiaTheme="minorEastAsia" w:hAnsiTheme="minorHAnsi" w:cstheme="minorBidi"/>
            <w:noProof/>
            <w:sz w:val="22"/>
            <w:szCs w:val="22"/>
          </w:rPr>
          <w:tab/>
        </w:r>
        <w:r w:rsidRPr="00CD0B56">
          <w:rPr>
            <w:rStyle w:val="Hyperlink"/>
            <w:noProof/>
          </w:rPr>
          <w:t>Part 1 Section 19.7.28, ST_TLBehaviorAdditiveType (Behavior Additive Type)</w:t>
        </w:r>
        <w:r>
          <w:rPr>
            <w:noProof/>
            <w:webHidden/>
          </w:rPr>
          <w:tab/>
        </w:r>
        <w:r>
          <w:rPr>
            <w:noProof/>
            <w:webHidden/>
          </w:rPr>
          <w:fldChar w:fldCharType="begin"/>
        </w:r>
        <w:r>
          <w:rPr>
            <w:noProof/>
            <w:webHidden/>
          </w:rPr>
          <w:instrText xml:space="preserve"> PAGEREF _Toc12261257 \h </w:instrText>
        </w:r>
        <w:r>
          <w:rPr>
            <w:noProof/>
            <w:webHidden/>
          </w:rPr>
        </w:r>
        <w:r>
          <w:rPr>
            <w:noProof/>
            <w:webHidden/>
          </w:rPr>
          <w:fldChar w:fldCharType="separate"/>
        </w:r>
        <w:r>
          <w:rPr>
            <w:noProof/>
            <w:webHidden/>
          </w:rPr>
          <w:t>492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58" w:history="1">
        <w:r w:rsidRPr="00CD0B56">
          <w:rPr>
            <w:rStyle w:val="Hyperlink"/>
            <w:noProof/>
          </w:rPr>
          <w:t>2.1.1190</w:t>
        </w:r>
        <w:r>
          <w:rPr>
            <w:rFonts w:asciiTheme="minorHAnsi" w:eastAsiaTheme="minorEastAsia" w:hAnsiTheme="minorHAnsi" w:cstheme="minorBidi"/>
            <w:noProof/>
            <w:sz w:val="22"/>
            <w:szCs w:val="22"/>
          </w:rPr>
          <w:tab/>
        </w:r>
        <w:r w:rsidRPr="00CD0B56">
          <w:rPr>
            <w:rStyle w:val="Hyperlink"/>
            <w:noProof/>
          </w:rPr>
          <w:t>Part 1 Section 19.7.30, ST_TLBehaviorTransformType (Behavior Transform Type)</w:t>
        </w:r>
        <w:r>
          <w:rPr>
            <w:noProof/>
            <w:webHidden/>
          </w:rPr>
          <w:tab/>
        </w:r>
        <w:r>
          <w:rPr>
            <w:noProof/>
            <w:webHidden/>
          </w:rPr>
          <w:fldChar w:fldCharType="begin"/>
        </w:r>
        <w:r>
          <w:rPr>
            <w:noProof/>
            <w:webHidden/>
          </w:rPr>
          <w:instrText xml:space="preserve"> PAGEREF _Toc12261258 \h </w:instrText>
        </w:r>
        <w:r>
          <w:rPr>
            <w:noProof/>
            <w:webHidden/>
          </w:rPr>
        </w:r>
        <w:r>
          <w:rPr>
            <w:noProof/>
            <w:webHidden/>
          </w:rPr>
          <w:fldChar w:fldCharType="separate"/>
        </w:r>
        <w:r>
          <w:rPr>
            <w:noProof/>
            <w:webHidden/>
          </w:rPr>
          <w:t>492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59" w:history="1">
        <w:r w:rsidRPr="00CD0B56">
          <w:rPr>
            <w:rStyle w:val="Hyperlink"/>
            <w:noProof/>
          </w:rPr>
          <w:t>2.1.1191</w:t>
        </w:r>
        <w:r>
          <w:rPr>
            <w:rFonts w:asciiTheme="minorHAnsi" w:eastAsiaTheme="minorEastAsia" w:hAnsiTheme="minorHAnsi" w:cstheme="minorBidi"/>
            <w:noProof/>
            <w:sz w:val="22"/>
            <w:szCs w:val="22"/>
          </w:rPr>
          <w:tab/>
        </w:r>
        <w:r w:rsidRPr="00CD0B56">
          <w:rPr>
            <w:rStyle w:val="Hyperlink"/>
            <w:noProof/>
          </w:rPr>
          <w:t>Part 1 Section 19.7.38, ST_TLTime (Time)</w:t>
        </w:r>
        <w:r>
          <w:rPr>
            <w:noProof/>
            <w:webHidden/>
          </w:rPr>
          <w:tab/>
        </w:r>
        <w:r>
          <w:rPr>
            <w:noProof/>
            <w:webHidden/>
          </w:rPr>
          <w:fldChar w:fldCharType="begin"/>
        </w:r>
        <w:r>
          <w:rPr>
            <w:noProof/>
            <w:webHidden/>
          </w:rPr>
          <w:instrText xml:space="preserve"> PAGEREF _Toc12261259 \h </w:instrText>
        </w:r>
        <w:r>
          <w:rPr>
            <w:noProof/>
            <w:webHidden/>
          </w:rPr>
        </w:r>
        <w:r>
          <w:rPr>
            <w:noProof/>
            <w:webHidden/>
          </w:rPr>
          <w:fldChar w:fldCharType="separate"/>
        </w:r>
        <w:r>
          <w:rPr>
            <w:noProof/>
            <w:webHidden/>
          </w:rPr>
          <w:t>492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60" w:history="1">
        <w:r w:rsidRPr="00CD0B56">
          <w:rPr>
            <w:rStyle w:val="Hyperlink"/>
            <w:noProof/>
          </w:rPr>
          <w:t>2.1.1192</w:t>
        </w:r>
        <w:r>
          <w:rPr>
            <w:rFonts w:asciiTheme="minorHAnsi" w:eastAsiaTheme="minorEastAsia" w:hAnsiTheme="minorHAnsi" w:cstheme="minorBidi"/>
            <w:noProof/>
            <w:sz w:val="22"/>
            <w:szCs w:val="22"/>
          </w:rPr>
          <w:tab/>
        </w:r>
        <w:r w:rsidRPr="00CD0B56">
          <w:rPr>
            <w:rStyle w:val="Hyperlink"/>
            <w:noProof/>
          </w:rPr>
          <w:t>Part 1 Section 19.7.41, ST_TLTimeNodeFillType (Time Node Fill Type)</w:t>
        </w:r>
        <w:r>
          <w:rPr>
            <w:noProof/>
            <w:webHidden/>
          </w:rPr>
          <w:tab/>
        </w:r>
        <w:r>
          <w:rPr>
            <w:noProof/>
            <w:webHidden/>
          </w:rPr>
          <w:fldChar w:fldCharType="begin"/>
        </w:r>
        <w:r>
          <w:rPr>
            <w:noProof/>
            <w:webHidden/>
          </w:rPr>
          <w:instrText xml:space="preserve"> PAGEREF _Toc12261260 \h </w:instrText>
        </w:r>
        <w:r>
          <w:rPr>
            <w:noProof/>
            <w:webHidden/>
          </w:rPr>
        </w:r>
        <w:r>
          <w:rPr>
            <w:noProof/>
            <w:webHidden/>
          </w:rPr>
          <w:fldChar w:fldCharType="separate"/>
        </w:r>
        <w:r>
          <w:rPr>
            <w:noProof/>
            <w:webHidden/>
          </w:rPr>
          <w:t>492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61" w:history="1">
        <w:r w:rsidRPr="00CD0B56">
          <w:rPr>
            <w:rStyle w:val="Hyperlink"/>
            <w:noProof/>
          </w:rPr>
          <w:t>2.1.1193</w:t>
        </w:r>
        <w:r>
          <w:rPr>
            <w:rFonts w:asciiTheme="minorHAnsi" w:eastAsiaTheme="minorEastAsia" w:hAnsiTheme="minorHAnsi" w:cstheme="minorBidi"/>
            <w:noProof/>
            <w:sz w:val="22"/>
            <w:szCs w:val="22"/>
          </w:rPr>
          <w:tab/>
        </w:r>
        <w:r w:rsidRPr="00CD0B56">
          <w:rPr>
            <w:rStyle w:val="Hyperlink"/>
            <w:noProof/>
          </w:rPr>
          <w:t>Part 1 Section 19.7.43, ST_TLTimeNodeMasterRelation (Time Node Master Relation)</w:t>
        </w:r>
        <w:r>
          <w:rPr>
            <w:noProof/>
            <w:webHidden/>
          </w:rPr>
          <w:tab/>
        </w:r>
        <w:r>
          <w:rPr>
            <w:noProof/>
            <w:webHidden/>
          </w:rPr>
          <w:fldChar w:fldCharType="begin"/>
        </w:r>
        <w:r>
          <w:rPr>
            <w:noProof/>
            <w:webHidden/>
          </w:rPr>
          <w:instrText xml:space="preserve"> PAGEREF _Toc12261261 \h </w:instrText>
        </w:r>
        <w:r>
          <w:rPr>
            <w:noProof/>
            <w:webHidden/>
          </w:rPr>
        </w:r>
        <w:r>
          <w:rPr>
            <w:noProof/>
            <w:webHidden/>
          </w:rPr>
          <w:fldChar w:fldCharType="separate"/>
        </w:r>
        <w:r>
          <w:rPr>
            <w:noProof/>
            <w:webHidden/>
          </w:rPr>
          <w:t>493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62" w:history="1">
        <w:r w:rsidRPr="00CD0B56">
          <w:rPr>
            <w:rStyle w:val="Hyperlink"/>
            <w:noProof/>
          </w:rPr>
          <w:t>2.1.1194</w:t>
        </w:r>
        <w:r>
          <w:rPr>
            <w:rFonts w:asciiTheme="minorHAnsi" w:eastAsiaTheme="minorEastAsia" w:hAnsiTheme="minorHAnsi" w:cstheme="minorBidi"/>
            <w:noProof/>
            <w:sz w:val="22"/>
            <w:szCs w:val="22"/>
          </w:rPr>
          <w:tab/>
        </w:r>
        <w:r w:rsidRPr="00CD0B56">
          <w:rPr>
            <w:rStyle w:val="Hyperlink"/>
            <w:noProof/>
          </w:rPr>
          <w:t>Part 1 Section 19.7.45, ST_TLTimeNodeRestartType (Time Node Restart Type)</w:t>
        </w:r>
        <w:r>
          <w:rPr>
            <w:noProof/>
            <w:webHidden/>
          </w:rPr>
          <w:tab/>
        </w:r>
        <w:r>
          <w:rPr>
            <w:noProof/>
            <w:webHidden/>
          </w:rPr>
          <w:fldChar w:fldCharType="begin"/>
        </w:r>
        <w:r>
          <w:rPr>
            <w:noProof/>
            <w:webHidden/>
          </w:rPr>
          <w:instrText xml:space="preserve"> PAGEREF _Toc12261262 \h </w:instrText>
        </w:r>
        <w:r>
          <w:rPr>
            <w:noProof/>
            <w:webHidden/>
          </w:rPr>
        </w:r>
        <w:r>
          <w:rPr>
            <w:noProof/>
            <w:webHidden/>
          </w:rPr>
          <w:fldChar w:fldCharType="separate"/>
        </w:r>
        <w:r>
          <w:rPr>
            <w:noProof/>
            <w:webHidden/>
          </w:rPr>
          <w:t>493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63" w:history="1">
        <w:r w:rsidRPr="00CD0B56">
          <w:rPr>
            <w:rStyle w:val="Hyperlink"/>
            <w:noProof/>
          </w:rPr>
          <w:t>2.1.1195</w:t>
        </w:r>
        <w:r>
          <w:rPr>
            <w:rFonts w:asciiTheme="minorHAnsi" w:eastAsiaTheme="minorEastAsia" w:hAnsiTheme="minorHAnsi" w:cstheme="minorBidi"/>
            <w:noProof/>
            <w:sz w:val="22"/>
            <w:szCs w:val="22"/>
          </w:rPr>
          <w:tab/>
        </w:r>
        <w:r w:rsidRPr="00CD0B56">
          <w:rPr>
            <w:rStyle w:val="Hyperlink"/>
            <w:noProof/>
          </w:rPr>
          <w:t>Part 1 Section 19.7.48, ST_TLTriggerEvent (Trigger Event)</w:t>
        </w:r>
        <w:r>
          <w:rPr>
            <w:noProof/>
            <w:webHidden/>
          </w:rPr>
          <w:tab/>
        </w:r>
        <w:r>
          <w:rPr>
            <w:noProof/>
            <w:webHidden/>
          </w:rPr>
          <w:fldChar w:fldCharType="begin"/>
        </w:r>
        <w:r>
          <w:rPr>
            <w:noProof/>
            <w:webHidden/>
          </w:rPr>
          <w:instrText xml:space="preserve"> PAGEREF _Toc12261263 \h </w:instrText>
        </w:r>
        <w:r>
          <w:rPr>
            <w:noProof/>
            <w:webHidden/>
          </w:rPr>
        </w:r>
        <w:r>
          <w:rPr>
            <w:noProof/>
            <w:webHidden/>
          </w:rPr>
          <w:fldChar w:fldCharType="separate"/>
        </w:r>
        <w:r>
          <w:rPr>
            <w:noProof/>
            <w:webHidden/>
          </w:rPr>
          <w:t>493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64" w:history="1">
        <w:r w:rsidRPr="00CD0B56">
          <w:rPr>
            <w:rStyle w:val="Hyperlink"/>
            <w:noProof/>
          </w:rPr>
          <w:t>2.1.1196</w:t>
        </w:r>
        <w:r>
          <w:rPr>
            <w:rFonts w:asciiTheme="minorHAnsi" w:eastAsiaTheme="minorEastAsia" w:hAnsiTheme="minorHAnsi" w:cstheme="minorBidi"/>
            <w:noProof/>
            <w:sz w:val="22"/>
            <w:szCs w:val="22"/>
          </w:rPr>
          <w:tab/>
        </w:r>
        <w:r w:rsidRPr="00CD0B56">
          <w:rPr>
            <w:rStyle w:val="Hyperlink"/>
            <w:noProof/>
          </w:rPr>
          <w:t>Part 1 Section 19.7.55, ST_ViewType (List of View Types)</w:t>
        </w:r>
        <w:r>
          <w:rPr>
            <w:noProof/>
            <w:webHidden/>
          </w:rPr>
          <w:tab/>
        </w:r>
        <w:r>
          <w:rPr>
            <w:noProof/>
            <w:webHidden/>
          </w:rPr>
          <w:fldChar w:fldCharType="begin"/>
        </w:r>
        <w:r>
          <w:rPr>
            <w:noProof/>
            <w:webHidden/>
          </w:rPr>
          <w:instrText xml:space="preserve"> PAGEREF _Toc12261264 \h </w:instrText>
        </w:r>
        <w:r>
          <w:rPr>
            <w:noProof/>
            <w:webHidden/>
          </w:rPr>
        </w:r>
        <w:r>
          <w:rPr>
            <w:noProof/>
            <w:webHidden/>
          </w:rPr>
          <w:fldChar w:fldCharType="separate"/>
        </w:r>
        <w:r>
          <w:rPr>
            <w:noProof/>
            <w:webHidden/>
          </w:rPr>
          <w:t>494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65" w:history="1">
        <w:r w:rsidRPr="00CD0B56">
          <w:rPr>
            <w:rStyle w:val="Hyperlink"/>
            <w:noProof/>
          </w:rPr>
          <w:t>2.1.1197</w:t>
        </w:r>
        <w:r>
          <w:rPr>
            <w:rFonts w:asciiTheme="minorHAnsi" w:eastAsiaTheme="minorEastAsia" w:hAnsiTheme="minorHAnsi" w:cstheme="minorBidi"/>
            <w:noProof/>
            <w:sz w:val="22"/>
            <w:szCs w:val="22"/>
          </w:rPr>
          <w:tab/>
        </w:r>
        <w:r w:rsidRPr="00CD0B56">
          <w:rPr>
            <w:rStyle w:val="Hyperlink"/>
            <w:noProof/>
          </w:rPr>
          <w:t>Part 1 Section 20.1.2.2.1, bldChart (Build Chart)</w:t>
        </w:r>
        <w:r>
          <w:rPr>
            <w:noProof/>
            <w:webHidden/>
          </w:rPr>
          <w:tab/>
        </w:r>
        <w:r>
          <w:rPr>
            <w:noProof/>
            <w:webHidden/>
          </w:rPr>
          <w:fldChar w:fldCharType="begin"/>
        </w:r>
        <w:r>
          <w:rPr>
            <w:noProof/>
            <w:webHidden/>
          </w:rPr>
          <w:instrText xml:space="preserve"> PAGEREF _Toc12261265 \h </w:instrText>
        </w:r>
        <w:r>
          <w:rPr>
            <w:noProof/>
            <w:webHidden/>
          </w:rPr>
        </w:r>
        <w:r>
          <w:rPr>
            <w:noProof/>
            <w:webHidden/>
          </w:rPr>
          <w:fldChar w:fldCharType="separate"/>
        </w:r>
        <w:r>
          <w:rPr>
            <w:noProof/>
            <w:webHidden/>
          </w:rPr>
          <w:t>494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66" w:history="1">
        <w:r w:rsidRPr="00CD0B56">
          <w:rPr>
            <w:rStyle w:val="Hyperlink"/>
            <w:noProof/>
          </w:rPr>
          <w:t>2.1.1198</w:t>
        </w:r>
        <w:r>
          <w:rPr>
            <w:rFonts w:asciiTheme="minorHAnsi" w:eastAsiaTheme="minorEastAsia" w:hAnsiTheme="minorHAnsi" w:cstheme="minorBidi"/>
            <w:noProof/>
            <w:sz w:val="22"/>
            <w:szCs w:val="22"/>
          </w:rPr>
          <w:tab/>
        </w:r>
        <w:r w:rsidRPr="00CD0B56">
          <w:rPr>
            <w:rStyle w:val="Hyperlink"/>
            <w:noProof/>
          </w:rPr>
          <w:t>Part 1 Section 20.1.2.2.2, bldDgm (Build Diagram)</w:t>
        </w:r>
        <w:r>
          <w:rPr>
            <w:noProof/>
            <w:webHidden/>
          </w:rPr>
          <w:tab/>
        </w:r>
        <w:r>
          <w:rPr>
            <w:noProof/>
            <w:webHidden/>
          </w:rPr>
          <w:fldChar w:fldCharType="begin"/>
        </w:r>
        <w:r>
          <w:rPr>
            <w:noProof/>
            <w:webHidden/>
          </w:rPr>
          <w:instrText xml:space="preserve"> PAGEREF _Toc12261266 \h </w:instrText>
        </w:r>
        <w:r>
          <w:rPr>
            <w:noProof/>
            <w:webHidden/>
          </w:rPr>
        </w:r>
        <w:r>
          <w:rPr>
            <w:noProof/>
            <w:webHidden/>
          </w:rPr>
          <w:fldChar w:fldCharType="separate"/>
        </w:r>
        <w:r>
          <w:rPr>
            <w:noProof/>
            <w:webHidden/>
          </w:rPr>
          <w:t>494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67" w:history="1">
        <w:r w:rsidRPr="00CD0B56">
          <w:rPr>
            <w:rStyle w:val="Hyperlink"/>
            <w:noProof/>
          </w:rPr>
          <w:t>2.1.1199</w:t>
        </w:r>
        <w:r>
          <w:rPr>
            <w:rFonts w:asciiTheme="minorHAnsi" w:eastAsiaTheme="minorEastAsia" w:hAnsiTheme="minorHAnsi" w:cstheme="minorBidi"/>
            <w:noProof/>
            <w:sz w:val="22"/>
            <w:szCs w:val="22"/>
          </w:rPr>
          <w:tab/>
        </w:r>
        <w:r w:rsidRPr="00CD0B56">
          <w:rPr>
            <w:rStyle w:val="Hyperlink"/>
            <w:noProof/>
          </w:rPr>
          <w:t>Part 1 Section 20.1.2.2.4, cNvCxnSpPr (Non-Visual Connector Shape Drawing Properties)</w:t>
        </w:r>
        <w:r>
          <w:rPr>
            <w:noProof/>
            <w:webHidden/>
          </w:rPr>
          <w:tab/>
        </w:r>
        <w:r>
          <w:rPr>
            <w:noProof/>
            <w:webHidden/>
          </w:rPr>
          <w:fldChar w:fldCharType="begin"/>
        </w:r>
        <w:r>
          <w:rPr>
            <w:noProof/>
            <w:webHidden/>
          </w:rPr>
          <w:instrText xml:space="preserve"> PAGEREF _Toc12261267 \h </w:instrText>
        </w:r>
        <w:r>
          <w:rPr>
            <w:noProof/>
            <w:webHidden/>
          </w:rPr>
        </w:r>
        <w:r>
          <w:rPr>
            <w:noProof/>
            <w:webHidden/>
          </w:rPr>
          <w:fldChar w:fldCharType="separate"/>
        </w:r>
        <w:r>
          <w:rPr>
            <w:noProof/>
            <w:webHidden/>
          </w:rPr>
          <w:t>494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68" w:history="1">
        <w:r w:rsidRPr="00CD0B56">
          <w:rPr>
            <w:rStyle w:val="Hyperlink"/>
            <w:noProof/>
          </w:rPr>
          <w:t>2.1.1200</w:t>
        </w:r>
        <w:r>
          <w:rPr>
            <w:rFonts w:asciiTheme="minorHAnsi" w:eastAsiaTheme="minorEastAsia" w:hAnsiTheme="minorHAnsi" w:cstheme="minorBidi"/>
            <w:noProof/>
            <w:sz w:val="22"/>
            <w:szCs w:val="22"/>
          </w:rPr>
          <w:tab/>
        </w:r>
        <w:r w:rsidRPr="00CD0B56">
          <w:rPr>
            <w:rStyle w:val="Hyperlink"/>
            <w:noProof/>
          </w:rPr>
          <w:t>Part 1 Section 20.1.2.2.5, cNvGraphicFramePr (Non-Visual Graphic Frame Drawing Properties)</w:t>
        </w:r>
        <w:r>
          <w:rPr>
            <w:noProof/>
            <w:webHidden/>
          </w:rPr>
          <w:tab/>
        </w:r>
        <w:r>
          <w:rPr>
            <w:noProof/>
            <w:webHidden/>
          </w:rPr>
          <w:fldChar w:fldCharType="begin"/>
        </w:r>
        <w:r>
          <w:rPr>
            <w:noProof/>
            <w:webHidden/>
          </w:rPr>
          <w:instrText xml:space="preserve"> PAGEREF _Toc12261268 \h </w:instrText>
        </w:r>
        <w:r>
          <w:rPr>
            <w:noProof/>
            <w:webHidden/>
          </w:rPr>
        </w:r>
        <w:r>
          <w:rPr>
            <w:noProof/>
            <w:webHidden/>
          </w:rPr>
          <w:fldChar w:fldCharType="separate"/>
        </w:r>
        <w:r>
          <w:rPr>
            <w:noProof/>
            <w:webHidden/>
          </w:rPr>
          <w:t>494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69" w:history="1">
        <w:r w:rsidRPr="00CD0B56">
          <w:rPr>
            <w:rStyle w:val="Hyperlink"/>
            <w:noProof/>
          </w:rPr>
          <w:t>2.1.1201</w:t>
        </w:r>
        <w:r>
          <w:rPr>
            <w:rFonts w:asciiTheme="minorHAnsi" w:eastAsiaTheme="minorEastAsia" w:hAnsiTheme="minorHAnsi" w:cstheme="minorBidi"/>
            <w:noProof/>
            <w:sz w:val="22"/>
            <w:szCs w:val="22"/>
          </w:rPr>
          <w:tab/>
        </w:r>
        <w:r w:rsidRPr="00CD0B56">
          <w:rPr>
            <w:rStyle w:val="Hyperlink"/>
            <w:noProof/>
          </w:rPr>
          <w:t>Part 1 Section 20.1.2.2.6, cNvGrpSpPr (Non-Visual Group Shape Drawing Properties)</w:t>
        </w:r>
        <w:r>
          <w:rPr>
            <w:noProof/>
            <w:webHidden/>
          </w:rPr>
          <w:tab/>
        </w:r>
        <w:r>
          <w:rPr>
            <w:noProof/>
            <w:webHidden/>
          </w:rPr>
          <w:fldChar w:fldCharType="begin"/>
        </w:r>
        <w:r>
          <w:rPr>
            <w:noProof/>
            <w:webHidden/>
          </w:rPr>
          <w:instrText xml:space="preserve"> PAGEREF _Toc12261269 \h </w:instrText>
        </w:r>
        <w:r>
          <w:rPr>
            <w:noProof/>
            <w:webHidden/>
          </w:rPr>
        </w:r>
        <w:r>
          <w:rPr>
            <w:noProof/>
            <w:webHidden/>
          </w:rPr>
          <w:fldChar w:fldCharType="separate"/>
        </w:r>
        <w:r>
          <w:rPr>
            <w:noProof/>
            <w:webHidden/>
          </w:rPr>
          <w:t>494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70" w:history="1">
        <w:r w:rsidRPr="00CD0B56">
          <w:rPr>
            <w:rStyle w:val="Hyperlink"/>
            <w:noProof/>
          </w:rPr>
          <w:t>2.1.1202</w:t>
        </w:r>
        <w:r>
          <w:rPr>
            <w:rFonts w:asciiTheme="minorHAnsi" w:eastAsiaTheme="minorEastAsia" w:hAnsiTheme="minorHAnsi" w:cstheme="minorBidi"/>
            <w:noProof/>
            <w:sz w:val="22"/>
            <w:szCs w:val="22"/>
          </w:rPr>
          <w:tab/>
        </w:r>
        <w:r w:rsidRPr="00CD0B56">
          <w:rPr>
            <w:rStyle w:val="Hyperlink"/>
            <w:noProof/>
          </w:rPr>
          <w:t>Part 1 Section 20.1.2.2.11, cxnSpLocks (Connection Shape Locks)</w:t>
        </w:r>
        <w:r>
          <w:rPr>
            <w:noProof/>
            <w:webHidden/>
          </w:rPr>
          <w:tab/>
        </w:r>
        <w:r>
          <w:rPr>
            <w:noProof/>
            <w:webHidden/>
          </w:rPr>
          <w:fldChar w:fldCharType="begin"/>
        </w:r>
        <w:r>
          <w:rPr>
            <w:noProof/>
            <w:webHidden/>
          </w:rPr>
          <w:instrText xml:space="preserve"> PAGEREF _Toc12261270 \h </w:instrText>
        </w:r>
        <w:r>
          <w:rPr>
            <w:noProof/>
            <w:webHidden/>
          </w:rPr>
        </w:r>
        <w:r>
          <w:rPr>
            <w:noProof/>
            <w:webHidden/>
          </w:rPr>
          <w:fldChar w:fldCharType="separate"/>
        </w:r>
        <w:r>
          <w:rPr>
            <w:noProof/>
            <w:webHidden/>
          </w:rPr>
          <w:t>494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71" w:history="1">
        <w:r w:rsidRPr="00CD0B56">
          <w:rPr>
            <w:rStyle w:val="Hyperlink"/>
            <w:noProof/>
          </w:rPr>
          <w:t>2.1.1203</w:t>
        </w:r>
        <w:r>
          <w:rPr>
            <w:rFonts w:asciiTheme="minorHAnsi" w:eastAsiaTheme="minorEastAsia" w:hAnsiTheme="minorHAnsi" w:cstheme="minorBidi"/>
            <w:noProof/>
            <w:sz w:val="22"/>
            <w:szCs w:val="22"/>
          </w:rPr>
          <w:tab/>
        </w:r>
        <w:r w:rsidRPr="00CD0B56">
          <w:rPr>
            <w:rStyle w:val="Hyperlink"/>
            <w:noProof/>
          </w:rPr>
          <w:t>Part 1 Section 20.1.2.2.12, dgm (Diagram to Animate)</w:t>
        </w:r>
        <w:r>
          <w:rPr>
            <w:noProof/>
            <w:webHidden/>
          </w:rPr>
          <w:tab/>
        </w:r>
        <w:r>
          <w:rPr>
            <w:noProof/>
            <w:webHidden/>
          </w:rPr>
          <w:fldChar w:fldCharType="begin"/>
        </w:r>
        <w:r>
          <w:rPr>
            <w:noProof/>
            <w:webHidden/>
          </w:rPr>
          <w:instrText xml:space="preserve"> PAGEREF _Toc12261271 \h </w:instrText>
        </w:r>
        <w:r>
          <w:rPr>
            <w:noProof/>
            <w:webHidden/>
          </w:rPr>
        </w:r>
        <w:r>
          <w:rPr>
            <w:noProof/>
            <w:webHidden/>
          </w:rPr>
          <w:fldChar w:fldCharType="separate"/>
        </w:r>
        <w:r>
          <w:rPr>
            <w:noProof/>
            <w:webHidden/>
          </w:rPr>
          <w:t>495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72" w:history="1">
        <w:r w:rsidRPr="00CD0B56">
          <w:rPr>
            <w:rStyle w:val="Hyperlink"/>
            <w:noProof/>
          </w:rPr>
          <w:t>2.1.1204</w:t>
        </w:r>
        <w:r>
          <w:rPr>
            <w:rFonts w:asciiTheme="minorHAnsi" w:eastAsiaTheme="minorEastAsia" w:hAnsiTheme="minorHAnsi" w:cstheme="minorBidi"/>
            <w:noProof/>
            <w:sz w:val="22"/>
            <w:szCs w:val="22"/>
          </w:rPr>
          <w:tab/>
        </w:r>
        <w:r w:rsidRPr="00CD0B56">
          <w:rPr>
            <w:rStyle w:val="Hyperlink"/>
            <w:noProof/>
          </w:rPr>
          <w:t>Part 1 Section 20.1.2.2.13, endCxn (Connection End)</w:t>
        </w:r>
        <w:r>
          <w:rPr>
            <w:noProof/>
            <w:webHidden/>
          </w:rPr>
          <w:tab/>
        </w:r>
        <w:r>
          <w:rPr>
            <w:noProof/>
            <w:webHidden/>
          </w:rPr>
          <w:fldChar w:fldCharType="begin"/>
        </w:r>
        <w:r>
          <w:rPr>
            <w:noProof/>
            <w:webHidden/>
          </w:rPr>
          <w:instrText xml:space="preserve"> PAGEREF _Toc12261272 \h </w:instrText>
        </w:r>
        <w:r>
          <w:rPr>
            <w:noProof/>
            <w:webHidden/>
          </w:rPr>
        </w:r>
        <w:r>
          <w:rPr>
            <w:noProof/>
            <w:webHidden/>
          </w:rPr>
          <w:fldChar w:fldCharType="separate"/>
        </w:r>
        <w:r>
          <w:rPr>
            <w:noProof/>
            <w:webHidden/>
          </w:rPr>
          <w:t>495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73" w:history="1">
        <w:r w:rsidRPr="00CD0B56">
          <w:rPr>
            <w:rStyle w:val="Hyperlink"/>
            <w:noProof/>
          </w:rPr>
          <w:t>2.1.1205</w:t>
        </w:r>
        <w:r>
          <w:rPr>
            <w:rFonts w:asciiTheme="minorHAnsi" w:eastAsiaTheme="minorEastAsia" w:hAnsiTheme="minorHAnsi" w:cstheme="minorBidi"/>
            <w:noProof/>
            <w:sz w:val="22"/>
            <w:szCs w:val="22"/>
          </w:rPr>
          <w:tab/>
        </w:r>
        <w:r w:rsidRPr="00CD0B56">
          <w:rPr>
            <w:rStyle w:val="Hyperlink"/>
            <w:noProof/>
          </w:rPr>
          <w:t>Part 1 Section 20.1.2.2.14, ext (Extension)</w:t>
        </w:r>
        <w:r>
          <w:rPr>
            <w:noProof/>
            <w:webHidden/>
          </w:rPr>
          <w:tab/>
        </w:r>
        <w:r>
          <w:rPr>
            <w:noProof/>
            <w:webHidden/>
          </w:rPr>
          <w:fldChar w:fldCharType="begin"/>
        </w:r>
        <w:r>
          <w:rPr>
            <w:noProof/>
            <w:webHidden/>
          </w:rPr>
          <w:instrText xml:space="preserve"> PAGEREF _Toc12261273 \h </w:instrText>
        </w:r>
        <w:r>
          <w:rPr>
            <w:noProof/>
            <w:webHidden/>
          </w:rPr>
        </w:r>
        <w:r>
          <w:rPr>
            <w:noProof/>
            <w:webHidden/>
          </w:rPr>
          <w:fldChar w:fldCharType="separate"/>
        </w:r>
        <w:r>
          <w:rPr>
            <w:noProof/>
            <w:webHidden/>
          </w:rPr>
          <w:t>495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74" w:history="1">
        <w:r w:rsidRPr="00CD0B56">
          <w:rPr>
            <w:rStyle w:val="Hyperlink"/>
            <w:noProof/>
          </w:rPr>
          <w:t>2.1.1206</w:t>
        </w:r>
        <w:r>
          <w:rPr>
            <w:rFonts w:asciiTheme="minorHAnsi" w:eastAsiaTheme="minorEastAsia" w:hAnsiTheme="minorHAnsi" w:cstheme="minorBidi"/>
            <w:noProof/>
            <w:sz w:val="22"/>
            <w:szCs w:val="22"/>
          </w:rPr>
          <w:tab/>
        </w:r>
        <w:r w:rsidRPr="00CD0B56">
          <w:rPr>
            <w:rStyle w:val="Hyperlink"/>
            <w:noProof/>
          </w:rPr>
          <w:t>Part 1 Section 20.1.2.2.17, graphicData (Graphic Object Data)</w:t>
        </w:r>
        <w:r>
          <w:rPr>
            <w:noProof/>
            <w:webHidden/>
          </w:rPr>
          <w:tab/>
        </w:r>
        <w:r>
          <w:rPr>
            <w:noProof/>
            <w:webHidden/>
          </w:rPr>
          <w:fldChar w:fldCharType="begin"/>
        </w:r>
        <w:r>
          <w:rPr>
            <w:noProof/>
            <w:webHidden/>
          </w:rPr>
          <w:instrText xml:space="preserve"> PAGEREF _Toc12261274 \h </w:instrText>
        </w:r>
        <w:r>
          <w:rPr>
            <w:noProof/>
            <w:webHidden/>
          </w:rPr>
        </w:r>
        <w:r>
          <w:rPr>
            <w:noProof/>
            <w:webHidden/>
          </w:rPr>
          <w:fldChar w:fldCharType="separate"/>
        </w:r>
        <w:r>
          <w:rPr>
            <w:noProof/>
            <w:webHidden/>
          </w:rPr>
          <w:t>495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75" w:history="1">
        <w:r w:rsidRPr="00CD0B56">
          <w:rPr>
            <w:rStyle w:val="Hyperlink"/>
            <w:noProof/>
          </w:rPr>
          <w:t>2.1.1207</w:t>
        </w:r>
        <w:r>
          <w:rPr>
            <w:rFonts w:asciiTheme="minorHAnsi" w:eastAsiaTheme="minorEastAsia" w:hAnsiTheme="minorHAnsi" w:cstheme="minorBidi"/>
            <w:noProof/>
            <w:sz w:val="22"/>
            <w:szCs w:val="22"/>
          </w:rPr>
          <w:tab/>
        </w:r>
        <w:r w:rsidRPr="00CD0B56">
          <w:rPr>
            <w:rStyle w:val="Hyperlink"/>
            <w:noProof/>
          </w:rPr>
          <w:t>Part 1 Section 20.1.2.2.19, graphicFrameLocks (Graphic Frame Locks)</w:t>
        </w:r>
        <w:r>
          <w:rPr>
            <w:noProof/>
            <w:webHidden/>
          </w:rPr>
          <w:tab/>
        </w:r>
        <w:r>
          <w:rPr>
            <w:noProof/>
            <w:webHidden/>
          </w:rPr>
          <w:fldChar w:fldCharType="begin"/>
        </w:r>
        <w:r>
          <w:rPr>
            <w:noProof/>
            <w:webHidden/>
          </w:rPr>
          <w:instrText xml:space="preserve"> PAGEREF _Toc12261275 \h </w:instrText>
        </w:r>
        <w:r>
          <w:rPr>
            <w:noProof/>
            <w:webHidden/>
          </w:rPr>
        </w:r>
        <w:r>
          <w:rPr>
            <w:noProof/>
            <w:webHidden/>
          </w:rPr>
          <w:fldChar w:fldCharType="separate"/>
        </w:r>
        <w:r>
          <w:rPr>
            <w:noProof/>
            <w:webHidden/>
          </w:rPr>
          <w:t>496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76" w:history="1">
        <w:r w:rsidRPr="00CD0B56">
          <w:rPr>
            <w:rStyle w:val="Hyperlink"/>
            <w:noProof/>
          </w:rPr>
          <w:t>2.1.1208</w:t>
        </w:r>
        <w:r>
          <w:rPr>
            <w:rFonts w:asciiTheme="minorHAnsi" w:eastAsiaTheme="minorEastAsia" w:hAnsiTheme="minorHAnsi" w:cstheme="minorBidi"/>
            <w:noProof/>
            <w:sz w:val="22"/>
            <w:szCs w:val="22"/>
          </w:rPr>
          <w:tab/>
        </w:r>
        <w:r w:rsidRPr="00CD0B56">
          <w:rPr>
            <w:rStyle w:val="Hyperlink"/>
            <w:noProof/>
          </w:rPr>
          <w:t>Part 1 Section 20.1.2.2.21, grpSpLocks (Group Shape Locks)</w:t>
        </w:r>
        <w:r>
          <w:rPr>
            <w:noProof/>
            <w:webHidden/>
          </w:rPr>
          <w:tab/>
        </w:r>
        <w:r>
          <w:rPr>
            <w:noProof/>
            <w:webHidden/>
          </w:rPr>
          <w:fldChar w:fldCharType="begin"/>
        </w:r>
        <w:r>
          <w:rPr>
            <w:noProof/>
            <w:webHidden/>
          </w:rPr>
          <w:instrText xml:space="preserve"> PAGEREF _Toc12261276 \h </w:instrText>
        </w:r>
        <w:r>
          <w:rPr>
            <w:noProof/>
            <w:webHidden/>
          </w:rPr>
        </w:r>
        <w:r>
          <w:rPr>
            <w:noProof/>
            <w:webHidden/>
          </w:rPr>
          <w:fldChar w:fldCharType="separate"/>
        </w:r>
        <w:r>
          <w:rPr>
            <w:noProof/>
            <w:webHidden/>
          </w:rPr>
          <w:t>496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77" w:history="1">
        <w:r w:rsidRPr="00CD0B56">
          <w:rPr>
            <w:rStyle w:val="Hyperlink"/>
            <w:noProof/>
          </w:rPr>
          <w:t>2.1.1209</w:t>
        </w:r>
        <w:r>
          <w:rPr>
            <w:rFonts w:asciiTheme="minorHAnsi" w:eastAsiaTheme="minorEastAsia" w:hAnsiTheme="minorHAnsi" w:cstheme="minorBidi"/>
            <w:noProof/>
            <w:sz w:val="22"/>
            <w:szCs w:val="22"/>
          </w:rPr>
          <w:tab/>
        </w:r>
        <w:r w:rsidRPr="00CD0B56">
          <w:rPr>
            <w:rStyle w:val="Hyperlink"/>
            <w:noProof/>
          </w:rPr>
          <w:t>Part 1 Section 20.1.2.2.22, grpSpPr (Visual Group Shape Properties)</w:t>
        </w:r>
        <w:r>
          <w:rPr>
            <w:noProof/>
            <w:webHidden/>
          </w:rPr>
          <w:tab/>
        </w:r>
        <w:r>
          <w:rPr>
            <w:noProof/>
            <w:webHidden/>
          </w:rPr>
          <w:fldChar w:fldCharType="begin"/>
        </w:r>
        <w:r>
          <w:rPr>
            <w:noProof/>
            <w:webHidden/>
          </w:rPr>
          <w:instrText xml:space="preserve"> PAGEREF _Toc12261277 \h </w:instrText>
        </w:r>
        <w:r>
          <w:rPr>
            <w:noProof/>
            <w:webHidden/>
          </w:rPr>
        </w:r>
        <w:r>
          <w:rPr>
            <w:noProof/>
            <w:webHidden/>
          </w:rPr>
          <w:fldChar w:fldCharType="separate"/>
        </w:r>
        <w:r>
          <w:rPr>
            <w:noProof/>
            <w:webHidden/>
          </w:rPr>
          <w:t>496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78" w:history="1">
        <w:r w:rsidRPr="00CD0B56">
          <w:rPr>
            <w:rStyle w:val="Hyperlink"/>
            <w:noProof/>
          </w:rPr>
          <w:t>2.1.1210</w:t>
        </w:r>
        <w:r>
          <w:rPr>
            <w:rFonts w:asciiTheme="minorHAnsi" w:eastAsiaTheme="minorEastAsia" w:hAnsiTheme="minorHAnsi" w:cstheme="minorBidi"/>
            <w:noProof/>
            <w:sz w:val="22"/>
            <w:szCs w:val="22"/>
          </w:rPr>
          <w:tab/>
        </w:r>
        <w:r w:rsidRPr="00CD0B56">
          <w:rPr>
            <w:rStyle w:val="Hyperlink"/>
            <w:noProof/>
          </w:rPr>
          <w:t>Part 1 Section 20.1.2.2.23, hlinkHover (Hyperlink for Hover)</w:t>
        </w:r>
        <w:r>
          <w:rPr>
            <w:noProof/>
            <w:webHidden/>
          </w:rPr>
          <w:tab/>
        </w:r>
        <w:r>
          <w:rPr>
            <w:noProof/>
            <w:webHidden/>
          </w:rPr>
          <w:fldChar w:fldCharType="begin"/>
        </w:r>
        <w:r>
          <w:rPr>
            <w:noProof/>
            <w:webHidden/>
          </w:rPr>
          <w:instrText xml:space="preserve"> PAGEREF _Toc12261278 \h </w:instrText>
        </w:r>
        <w:r>
          <w:rPr>
            <w:noProof/>
            <w:webHidden/>
          </w:rPr>
        </w:r>
        <w:r>
          <w:rPr>
            <w:noProof/>
            <w:webHidden/>
          </w:rPr>
          <w:fldChar w:fldCharType="separate"/>
        </w:r>
        <w:r>
          <w:rPr>
            <w:noProof/>
            <w:webHidden/>
          </w:rPr>
          <w:t>496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79" w:history="1">
        <w:r w:rsidRPr="00CD0B56">
          <w:rPr>
            <w:rStyle w:val="Hyperlink"/>
            <w:noProof/>
          </w:rPr>
          <w:t>2.1.1211</w:t>
        </w:r>
        <w:r>
          <w:rPr>
            <w:rFonts w:asciiTheme="minorHAnsi" w:eastAsiaTheme="minorEastAsia" w:hAnsiTheme="minorHAnsi" w:cstheme="minorBidi"/>
            <w:noProof/>
            <w:sz w:val="22"/>
            <w:szCs w:val="22"/>
          </w:rPr>
          <w:tab/>
        </w:r>
        <w:r w:rsidRPr="00CD0B56">
          <w:rPr>
            <w:rStyle w:val="Hyperlink"/>
            <w:noProof/>
          </w:rPr>
          <w:t>Part 1 Section 20.1.2.2.24, ln (Outline)</w:t>
        </w:r>
        <w:r>
          <w:rPr>
            <w:noProof/>
            <w:webHidden/>
          </w:rPr>
          <w:tab/>
        </w:r>
        <w:r>
          <w:rPr>
            <w:noProof/>
            <w:webHidden/>
          </w:rPr>
          <w:fldChar w:fldCharType="begin"/>
        </w:r>
        <w:r>
          <w:rPr>
            <w:noProof/>
            <w:webHidden/>
          </w:rPr>
          <w:instrText xml:space="preserve"> PAGEREF _Toc12261279 \h </w:instrText>
        </w:r>
        <w:r>
          <w:rPr>
            <w:noProof/>
            <w:webHidden/>
          </w:rPr>
        </w:r>
        <w:r>
          <w:rPr>
            <w:noProof/>
            <w:webHidden/>
          </w:rPr>
          <w:fldChar w:fldCharType="separate"/>
        </w:r>
        <w:r>
          <w:rPr>
            <w:noProof/>
            <w:webHidden/>
          </w:rPr>
          <w:t>496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80" w:history="1">
        <w:r w:rsidRPr="00CD0B56">
          <w:rPr>
            <w:rStyle w:val="Hyperlink"/>
            <w:noProof/>
          </w:rPr>
          <w:t>2.1.1212</w:t>
        </w:r>
        <w:r>
          <w:rPr>
            <w:rFonts w:asciiTheme="minorHAnsi" w:eastAsiaTheme="minorEastAsia" w:hAnsiTheme="minorHAnsi" w:cstheme="minorBidi"/>
            <w:noProof/>
            <w:sz w:val="22"/>
            <w:szCs w:val="22"/>
          </w:rPr>
          <w:tab/>
        </w:r>
        <w:r w:rsidRPr="00CD0B56">
          <w:rPr>
            <w:rStyle w:val="Hyperlink"/>
            <w:noProof/>
          </w:rPr>
          <w:t>Part 1 Section 20.1.2.2.31, picLocks (Picture Locks)</w:t>
        </w:r>
        <w:r>
          <w:rPr>
            <w:noProof/>
            <w:webHidden/>
          </w:rPr>
          <w:tab/>
        </w:r>
        <w:r>
          <w:rPr>
            <w:noProof/>
            <w:webHidden/>
          </w:rPr>
          <w:fldChar w:fldCharType="begin"/>
        </w:r>
        <w:r>
          <w:rPr>
            <w:noProof/>
            <w:webHidden/>
          </w:rPr>
          <w:instrText xml:space="preserve"> PAGEREF _Toc12261280 \h </w:instrText>
        </w:r>
        <w:r>
          <w:rPr>
            <w:noProof/>
            <w:webHidden/>
          </w:rPr>
        </w:r>
        <w:r>
          <w:rPr>
            <w:noProof/>
            <w:webHidden/>
          </w:rPr>
          <w:fldChar w:fldCharType="separate"/>
        </w:r>
        <w:r>
          <w:rPr>
            <w:noProof/>
            <w:webHidden/>
          </w:rPr>
          <w:t>497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81" w:history="1">
        <w:r w:rsidRPr="00CD0B56">
          <w:rPr>
            <w:rStyle w:val="Hyperlink"/>
            <w:noProof/>
          </w:rPr>
          <w:t>2.1.1213</w:t>
        </w:r>
        <w:r>
          <w:rPr>
            <w:rFonts w:asciiTheme="minorHAnsi" w:eastAsiaTheme="minorEastAsia" w:hAnsiTheme="minorHAnsi" w:cstheme="minorBidi"/>
            <w:noProof/>
            <w:sz w:val="22"/>
            <w:szCs w:val="22"/>
          </w:rPr>
          <w:tab/>
        </w:r>
        <w:r w:rsidRPr="00CD0B56">
          <w:rPr>
            <w:rStyle w:val="Hyperlink"/>
            <w:noProof/>
          </w:rPr>
          <w:t>Part 1 Section 20.1.2.2.34, spLocks (Shape Locks)</w:t>
        </w:r>
        <w:r>
          <w:rPr>
            <w:noProof/>
            <w:webHidden/>
          </w:rPr>
          <w:tab/>
        </w:r>
        <w:r>
          <w:rPr>
            <w:noProof/>
            <w:webHidden/>
          </w:rPr>
          <w:fldChar w:fldCharType="begin"/>
        </w:r>
        <w:r>
          <w:rPr>
            <w:noProof/>
            <w:webHidden/>
          </w:rPr>
          <w:instrText xml:space="preserve"> PAGEREF _Toc12261281 \h </w:instrText>
        </w:r>
        <w:r>
          <w:rPr>
            <w:noProof/>
            <w:webHidden/>
          </w:rPr>
        </w:r>
        <w:r>
          <w:rPr>
            <w:noProof/>
            <w:webHidden/>
          </w:rPr>
          <w:fldChar w:fldCharType="separate"/>
        </w:r>
        <w:r>
          <w:rPr>
            <w:noProof/>
            <w:webHidden/>
          </w:rPr>
          <w:t>497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82" w:history="1">
        <w:r w:rsidRPr="00CD0B56">
          <w:rPr>
            <w:rStyle w:val="Hyperlink"/>
            <w:noProof/>
          </w:rPr>
          <w:t>2.1.1214</w:t>
        </w:r>
        <w:r>
          <w:rPr>
            <w:rFonts w:asciiTheme="minorHAnsi" w:eastAsiaTheme="minorEastAsia" w:hAnsiTheme="minorHAnsi" w:cstheme="minorBidi"/>
            <w:noProof/>
            <w:sz w:val="22"/>
            <w:szCs w:val="22"/>
          </w:rPr>
          <w:tab/>
        </w:r>
        <w:r w:rsidRPr="00CD0B56">
          <w:rPr>
            <w:rStyle w:val="Hyperlink"/>
            <w:noProof/>
          </w:rPr>
          <w:t>Part 1 Section 20.1.2.2.35, spPr (Shape Properties)</w:t>
        </w:r>
        <w:r>
          <w:rPr>
            <w:noProof/>
            <w:webHidden/>
          </w:rPr>
          <w:tab/>
        </w:r>
        <w:r>
          <w:rPr>
            <w:noProof/>
            <w:webHidden/>
          </w:rPr>
          <w:fldChar w:fldCharType="begin"/>
        </w:r>
        <w:r>
          <w:rPr>
            <w:noProof/>
            <w:webHidden/>
          </w:rPr>
          <w:instrText xml:space="preserve"> PAGEREF _Toc12261282 \h </w:instrText>
        </w:r>
        <w:r>
          <w:rPr>
            <w:noProof/>
            <w:webHidden/>
          </w:rPr>
        </w:r>
        <w:r>
          <w:rPr>
            <w:noProof/>
            <w:webHidden/>
          </w:rPr>
          <w:fldChar w:fldCharType="separate"/>
        </w:r>
        <w:r>
          <w:rPr>
            <w:noProof/>
            <w:webHidden/>
          </w:rPr>
          <w:t>497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83" w:history="1">
        <w:r w:rsidRPr="00CD0B56">
          <w:rPr>
            <w:rStyle w:val="Hyperlink"/>
            <w:noProof/>
          </w:rPr>
          <w:t>2.1.1215</w:t>
        </w:r>
        <w:r>
          <w:rPr>
            <w:rFonts w:asciiTheme="minorHAnsi" w:eastAsiaTheme="minorEastAsia" w:hAnsiTheme="minorHAnsi" w:cstheme="minorBidi"/>
            <w:noProof/>
            <w:sz w:val="22"/>
            <w:szCs w:val="22"/>
          </w:rPr>
          <w:tab/>
        </w:r>
        <w:r w:rsidRPr="00CD0B56">
          <w:rPr>
            <w:rStyle w:val="Hyperlink"/>
            <w:noProof/>
          </w:rPr>
          <w:t>Part 1 Section 20.1.2.2.36, stCxn (Connection Start)</w:t>
        </w:r>
        <w:r>
          <w:rPr>
            <w:noProof/>
            <w:webHidden/>
          </w:rPr>
          <w:tab/>
        </w:r>
        <w:r>
          <w:rPr>
            <w:noProof/>
            <w:webHidden/>
          </w:rPr>
          <w:fldChar w:fldCharType="begin"/>
        </w:r>
        <w:r>
          <w:rPr>
            <w:noProof/>
            <w:webHidden/>
          </w:rPr>
          <w:instrText xml:space="preserve"> PAGEREF _Toc12261283 \h </w:instrText>
        </w:r>
        <w:r>
          <w:rPr>
            <w:noProof/>
            <w:webHidden/>
          </w:rPr>
        </w:r>
        <w:r>
          <w:rPr>
            <w:noProof/>
            <w:webHidden/>
          </w:rPr>
          <w:fldChar w:fldCharType="separate"/>
        </w:r>
        <w:r>
          <w:rPr>
            <w:noProof/>
            <w:webHidden/>
          </w:rPr>
          <w:t>497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84" w:history="1">
        <w:r w:rsidRPr="00CD0B56">
          <w:rPr>
            <w:rStyle w:val="Hyperlink"/>
            <w:noProof/>
          </w:rPr>
          <w:t>2.1.1216</w:t>
        </w:r>
        <w:r>
          <w:rPr>
            <w:rFonts w:asciiTheme="minorHAnsi" w:eastAsiaTheme="minorEastAsia" w:hAnsiTheme="minorHAnsi" w:cstheme="minorBidi"/>
            <w:noProof/>
            <w:sz w:val="22"/>
            <w:szCs w:val="22"/>
          </w:rPr>
          <w:tab/>
        </w:r>
        <w:r w:rsidRPr="00CD0B56">
          <w:rPr>
            <w:rStyle w:val="Hyperlink"/>
            <w:noProof/>
          </w:rPr>
          <w:t>Part 1 Section 20.1.2.2.37, style (Shape Style)</w:t>
        </w:r>
        <w:r>
          <w:rPr>
            <w:noProof/>
            <w:webHidden/>
          </w:rPr>
          <w:tab/>
        </w:r>
        <w:r>
          <w:rPr>
            <w:noProof/>
            <w:webHidden/>
          </w:rPr>
          <w:fldChar w:fldCharType="begin"/>
        </w:r>
        <w:r>
          <w:rPr>
            <w:noProof/>
            <w:webHidden/>
          </w:rPr>
          <w:instrText xml:space="preserve"> PAGEREF _Toc12261284 \h </w:instrText>
        </w:r>
        <w:r>
          <w:rPr>
            <w:noProof/>
            <w:webHidden/>
          </w:rPr>
        </w:r>
        <w:r>
          <w:rPr>
            <w:noProof/>
            <w:webHidden/>
          </w:rPr>
          <w:fldChar w:fldCharType="separate"/>
        </w:r>
        <w:r>
          <w:rPr>
            <w:noProof/>
            <w:webHidden/>
          </w:rPr>
          <w:t>497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85" w:history="1">
        <w:r w:rsidRPr="00CD0B56">
          <w:rPr>
            <w:rStyle w:val="Hyperlink"/>
            <w:noProof/>
          </w:rPr>
          <w:t>2.1.1217</w:t>
        </w:r>
        <w:r>
          <w:rPr>
            <w:rFonts w:asciiTheme="minorHAnsi" w:eastAsiaTheme="minorEastAsia" w:hAnsiTheme="minorHAnsi" w:cstheme="minorBidi"/>
            <w:noProof/>
            <w:sz w:val="22"/>
            <w:szCs w:val="22"/>
          </w:rPr>
          <w:tab/>
        </w:r>
        <w:r w:rsidRPr="00CD0B56">
          <w:rPr>
            <w:rStyle w:val="Hyperlink"/>
            <w:noProof/>
          </w:rPr>
          <w:t>Part 1 Section 20.1.2.3.1, alpha (Alpha)</w:t>
        </w:r>
        <w:r>
          <w:rPr>
            <w:noProof/>
            <w:webHidden/>
          </w:rPr>
          <w:tab/>
        </w:r>
        <w:r>
          <w:rPr>
            <w:noProof/>
            <w:webHidden/>
          </w:rPr>
          <w:fldChar w:fldCharType="begin"/>
        </w:r>
        <w:r>
          <w:rPr>
            <w:noProof/>
            <w:webHidden/>
          </w:rPr>
          <w:instrText xml:space="preserve"> PAGEREF _Toc12261285 \h </w:instrText>
        </w:r>
        <w:r>
          <w:rPr>
            <w:noProof/>
            <w:webHidden/>
          </w:rPr>
        </w:r>
        <w:r>
          <w:rPr>
            <w:noProof/>
            <w:webHidden/>
          </w:rPr>
          <w:fldChar w:fldCharType="separate"/>
        </w:r>
        <w:r>
          <w:rPr>
            <w:noProof/>
            <w:webHidden/>
          </w:rPr>
          <w:t>497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86" w:history="1">
        <w:r w:rsidRPr="00CD0B56">
          <w:rPr>
            <w:rStyle w:val="Hyperlink"/>
            <w:noProof/>
          </w:rPr>
          <w:t>2.1.1218</w:t>
        </w:r>
        <w:r>
          <w:rPr>
            <w:rFonts w:asciiTheme="minorHAnsi" w:eastAsiaTheme="minorEastAsia" w:hAnsiTheme="minorHAnsi" w:cstheme="minorBidi"/>
            <w:noProof/>
            <w:sz w:val="22"/>
            <w:szCs w:val="22"/>
          </w:rPr>
          <w:tab/>
        </w:r>
        <w:r w:rsidRPr="00CD0B56">
          <w:rPr>
            <w:rStyle w:val="Hyperlink"/>
            <w:noProof/>
          </w:rPr>
          <w:t>Part 1 Section 20.1.2.3.2, alphaMod (Alpha Modulation)</w:t>
        </w:r>
        <w:r>
          <w:rPr>
            <w:noProof/>
            <w:webHidden/>
          </w:rPr>
          <w:tab/>
        </w:r>
        <w:r>
          <w:rPr>
            <w:noProof/>
            <w:webHidden/>
          </w:rPr>
          <w:fldChar w:fldCharType="begin"/>
        </w:r>
        <w:r>
          <w:rPr>
            <w:noProof/>
            <w:webHidden/>
          </w:rPr>
          <w:instrText xml:space="preserve"> PAGEREF _Toc12261286 \h </w:instrText>
        </w:r>
        <w:r>
          <w:rPr>
            <w:noProof/>
            <w:webHidden/>
          </w:rPr>
        </w:r>
        <w:r>
          <w:rPr>
            <w:noProof/>
            <w:webHidden/>
          </w:rPr>
          <w:fldChar w:fldCharType="separate"/>
        </w:r>
        <w:r>
          <w:rPr>
            <w:noProof/>
            <w:webHidden/>
          </w:rPr>
          <w:t>498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87" w:history="1">
        <w:r w:rsidRPr="00CD0B56">
          <w:rPr>
            <w:rStyle w:val="Hyperlink"/>
            <w:noProof/>
          </w:rPr>
          <w:t>2.1.1219</w:t>
        </w:r>
        <w:r>
          <w:rPr>
            <w:rFonts w:asciiTheme="minorHAnsi" w:eastAsiaTheme="minorEastAsia" w:hAnsiTheme="minorHAnsi" w:cstheme="minorBidi"/>
            <w:noProof/>
            <w:sz w:val="22"/>
            <w:szCs w:val="22"/>
          </w:rPr>
          <w:tab/>
        </w:r>
        <w:r w:rsidRPr="00CD0B56">
          <w:rPr>
            <w:rStyle w:val="Hyperlink"/>
            <w:noProof/>
          </w:rPr>
          <w:t>Part 1 Section 20.1.2.3.3, alphaOff (Alpha Offset)</w:t>
        </w:r>
        <w:r>
          <w:rPr>
            <w:noProof/>
            <w:webHidden/>
          </w:rPr>
          <w:tab/>
        </w:r>
        <w:r>
          <w:rPr>
            <w:noProof/>
            <w:webHidden/>
          </w:rPr>
          <w:fldChar w:fldCharType="begin"/>
        </w:r>
        <w:r>
          <w:rPr>
            <w:noProof/>
            <w:webHidden/>
          </w:rPr>
          <w:instrText xml:space="preserve"> PAGEREF _Toc12261287 \h </w:instrText>
        </w:r>
        <w:r>
          <w:rPr>
            <w:noProof/>
            <w:webHidden/>
          </w:rPr>
        </w:r>
        <w:r>
          <w:rPr>
            <w:noProof/>
            <w:webHidden/>
          </w:rPr>
          <w:fldChar w:fldCharType="separate"/>
        </w:r>
        <w:r>
          <w:rPr>
            <w:noProof/>
            <w:webHidden/>
          </w:rPr>
          <w:t>498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88" w:history="1">
        <w:r w:rsidRPr="00CD0B56">
          <w:rPr>
            <w:rStyle w:val="Hyperlink"/>
            <w:noProof/>
          </w:rPr>
          <w:t>2.1.1220</w:t>
        </w:r>
        <w:r>
          <w:rPr>
            <w:rFonts w:asciiTheme="minorHAnsi" w:eastAsiaTheme="minorEastAsia" w:hAnsiTheme="minorHAnsi" w:cstheme="minorBidi"/>
            <w:noProof/>
            <w:sz w:val="22"/>
            <w:szCs w:val="22"/>
          </w:rPr>
          <w:tab/>
        </w:r>
        <w:r w:rsidRPr="00CD0B56">
          <w:rPr>
            <w:rStyle w:val="Hyperlink"/>
            <w:noProof/>
          </w:rPr>
          <w:t>Part 1 Section 20.1.2.3.4, blue (Blue)</w:t>
        </w:r>
        <w:r>
          <w:rPr>
            <w:noProof/>
            <w:webHidden/>
          </w:rPr>
          <w:tab/>
        </w:r>
        <w:r>
          <w:rPr>
            <w:noProof/>
            <w:webHidden/>
          </w:rPr>
          <w:fldChar w:fldCharType="begin"/>
        </w:r>
        <w:r>
          <w:rPr>
            <w:noProof/>
            <w:webHidden/>
          </w:rPr>
          <w:instrText xml:space="preserve"> PAGEREF _Toc12261288 \h </w:instrText>
        </w:r>
        <w:r>
          <w:rPr>
            <w:noProof/>
            <w:webHidden/>
          </w:rPr>
        </w:r>
        <w:r>
          <w:rPr>
            <w:noProof/>
            <w:webHidden/>
          </w:rPr>
          <w:fldChar w:fldCharType="separate"/>
        </w:r>
        <w:r>
          <w:rPr>
            <w:noProof/>
            <w:webHidden/>
          </w:rPr>
          <w:t>498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89" w:history="1">
        <w:r w:rsidRPr="00CD0B56">
          <w:rPr>
            <w:rStyle w:val="Hyperlink"/>
            <w:noProof/>
          </w:rPr>
          <w:t>2.1.1221</w:t>
        </w:r>
        <w:r>
          <w:rPr>
            <w:rFonts w:asciiTheme="minorHAnsi" w:eastAsiaTheme="minorEastAsia" w:hAnsiTheme="minorHAnsi" w:cstheme="minorBidi"/>
            <w:noProof/>
            <w:sz w:val="22"/>
            <w:szCs w:val="22"/>
          </w:rPr>
          <w:tab/>
        </w:r>
        <w:r w:rsidRPr="00CD0B56">
          <w:rPr>
            <w:rStyle w:val="Hyperlink"/>
            <w:noProof/>
          </w:rPr>
          <w:t>Part 1 Section 20.1.2.3.5, blueMod (Blue Modification)</w:t>
        </w:r>
        <w:r>
          <w:rPr>
            <w:noProof/>
            <w:webHidden/>
          </w:rPr>
          <w:tab/>
        </w:r>
        <w:r>
          <w:rPr>
            <w:noProof/>
            <w:webHidden/>
          </w:rPr>
          <w:fldChar w:fldCharType="begin"/>
        </w:r>
        <w:r>
          <w:rPr>
            <w:noProof/>
            <w:webHidden/>
          </w:rPr>
          <w:instrText xml:space="preserve"> PAGEREF _Toc12261289 \h </w:instrText>
        </w:r>
        <w:r>
          <w:rPr>
            <w:noProof/>
            <w:webHidden/>
          </w:rPr>
        </w:r>
        <w:r>
          <w:rPr>
            <w:noProof/>
            <w:webHidden/>
          </w:rPr>
          <w:fldChar w:fldCharType="separate"/>
        </w:r>
        <w:r>
          <w:rPr>
            <w:noProof/>
            <w:webHidden/>
          </w:rPr>
          <w:t>498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90" w:history="1">
        <w:r w:rsidRPr="00CD0B56">
          <w:rPr>
            <w:rStyle w:val="Hyperlink"/>
            <w:noProof/>
          </w:rPr>
          <w:t>2.1.1222</w:t>
        </w:r>
        <w:r>
          <w:rPr>
            <w:rFonts w:asciiTheme="minorHAnsi" w:eastAsiaTheme="minorEastAsia" w:hAnsiTheme="minorHAnsi" w:cstheme="minorBidi"/>
            <w:noProof/>
            <w:sz w:val="22"/>
            <w:szCs w:val="22"/>
          </w:rPr>
          <w:tab/>
        </w:r>
        <w:r w:rsidRPr="00CD0B56">
          <w:rPr>
            <w:rStyle w:val="Hyperlink"/>
            <w:noProof/>
          </w:rPr>
          <w:t>Part 1 Section 20.1.2.3.6, blueOff (Blue Offset)</w:t>
        </w:r>
        <w:r>
          <w:rPr>
            <w:noProof/>
            <w:webHidden/>
          </w:rPr>
          <w:tab/>
        </w:r>
        <w:r>
          <w:rPr>
            <w:noProof/>
            <w:webHidden/>
          </w:rPr>
          <w:fldChar w:fldCharType="begin"/>
        </w:r>
        <w:r>
          <w:rPr>
            <w:noProof/>
            <w:webHidden/>
          </w:rPr>
          <w:instrText xml:space="preserve"> PAGEREF _Toc12261290 \h </w:instrText>
        </w:r>
        <w:r>
          <w:rPr>
            <w:noProof/>
            <w:webHidden/>
          </w:rPr>
        </w:r>
        <w:r>
          <w:rPr>
            <w:noProof/>
            <w:webHidden/>
          </w:rPr>
          <w:fldChar w:fldCharType="separate"/>
        </w:r>
        <w:r>
          <w:rPr>
            <w:noProof/>
            <w:webHidden/>
          </w:rPr>
          <w:t>498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91" w:history="1">
        <w:r w:rsidRPr="00CD0B56">
          <w:rPr>
            <w:rStyle w:val="Hyperlink"/>
            <w:noProof/>
          </w:rPr>
          <w:t>2.1.1223</w:t>
        </w:r>
        <w:r>
          <w:rPr>
            <w:rFonts w:asciiTheme="minorHAnsi" w:eastAsiaTheme="minorEastAsia" w:hAnsiTheme="minorHAnsi" w:cstheme="minorBidi"/>
            <w:noProof/>
            <w:sz w:val="22"/>
            <w:szCs w:val="22"/>
          </w:rPr>
          <w:tab/>
        </w:r>
        <w:r w:rsidRPr="00CD0B56">
          <w:rPr>
            <w:rStyle w:val="Hyperlink"/>
            <w:noProof/>
          </w:rPr>
          <w:t>Part 1 Section 20.1.2.3.10, green (Green)</w:t>
        </w:r>
        <w:r>
          <w:rPr>
            <w:noProof/>
            <w:webHidden/>
          </w:rPr>
          <w:tab/>
        </w:r>
        <w:r>
          <w:rPr>
            <w:noProof/>
            <w:webHidden/>
          </w:rPr>
          <w:fldChar w:fldCharType="begin"/>
        </w:r>
        <w:r>
          <w:rPr>
            <w:noProof/>
            <w:webHidden/>
          </w:rPr>
          <w:instrText xml:space="preserve"> PAGEREF _Toc12261291 \h </w:instrText>
        </w:r>
        <w:r>
          <w:rPr>
            <w:noProof/>
            <w:webHidden/>
          </w:rPr>
        </w:r>
        <w:r>
          <w:rPr>
            <w:noProof/>
            <w:webHidden/>
          </w:rPr>
          <w:fldChar w:fldCharType="separate"/>
        </w:r>
        <w:r>
          <w:rPr>
            <w:noProof/>
            <w:webHidden/>
          </w:rPr>
          <w:t>499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92" w:history="1">
        <w:r w:rsidRPr="00CD0B56">
          <w:rPr>
            <w:rStyle w:val="Hyperlink"/>
            <w:noProof/>
          </w:rPr>
          <w:t>2.1.1224</w:t>
        </w:r>
        <w:r>
          <w:rPr>
            <w:rFonts w:asciiTheme="minorHAnsi" w:eastAsiaTheme="minorEastAsia" w:hAnsiTheme="minorHAnsi" w:cstheme="minorBidi"/>
            <w:noProof/>
            <w:sz w:val="22"/>
            <w:szCs w:val="22"/>
          </w:rPr>
          <w:tab/>
        </w:r>
        <w:r w:rsidRPr="00CD0B56">
          <w:rPr>
            <w:rStyle w:val="Hyperlink"/>
            <w:noProof/>
          </w:rPr>
          <w:t>Part 1 Section 20.1.2.3.11, greenMod (Green Modification)</w:t>
        </w:r>
        <w:r>
          <w:rPr>
            <w:noProof/>
            <w:webHidden/>
          </w:rPr>
          <w:tab/>
        </w:r>
        <w:r>
          <w:rPr>
            <w:noProof/>
            <w:webHidden/>
          </w:rPr>
          <w:fldChar w:fldCharType="begin"/>
        </w:r>
        <w:r>
          <w:rPr>
            <w:noProof/>
            <w:webHidden/>
          </w:rPr>
          <w:instrText xml:space="preserve"> PAGEREF _Toc12261292 \h </w:instrText>
        </w:r>
        <w:r>
          <w:rPr>
            <w:noProof/>
            <w:webHidden/>
          </w:rPr>
        </w:r>
        <w:r>
          <w:rPr>
            <w:noProof/>
            <w:webHidden/>
          </w:rPr>
          <w:fldChar w:fldCharType="separate"/>
        </w:r>
        <w:r>
          <w:rPr>
            <w:noProof/>
            <w:webHidden/>
          </w:rPr>
          <w:t>499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93" w:history="1">
        <w:r w:rsidRPr="00CD0B56">
          <w:rPr>
            <w:rStyle w:val="Hyperlink"/>
            <w:noProof/>
          </w:rPr>
          <w:t>2.1.1225</w:t>
        </w:r>
        <w:r>
          <w:rPr>
            <w:rFonts w:asciiTheme="minorHAnsi" w:eastAsiaTheme="minorEastAsia" w:hAnsiTheme="minorHAnsi" w:cstheme="minorBidi"/>
            <w:noProof/>
            <w:sz w:val="22"/>
            <w:szCs w:val="22"/>
          </w:rPr>
          <w:tab/>
        </w:r>
        <w:r w:rsidRPr="00CD0B56">
          <w:rPr>
            <w:rStyle w:val="Hyperlink"/>
            <w:noProof/>
          </w:rPr>
          <w:t>Part 1 Section 20.1.2.3.12, greenOff (Green Offset)</w:t>
        </w:r>
        <w:r>
          <w:rPr>
            <w:noProof/>
            <w:webHidden/>
          </w:rPr>
          <w:tab/>
        </w:r>
        <w:r>
          <w:rPr>
            <w:noProof/>
            <w:webHidden/>
          </w:rPr>
          <w:fldChar w:fldCharType="begin"/>
        </w:r>
        <w:r>
          <w:rPr>
            <w:noProof/>
            <w:webHidden/>
          </w:rPr>
          <w:instrText xml:space="preserve"> PAGEREF _Toc12261293 \h </w:instrText>
        </w:r>
        <w:r>
          <w:rPr>
            <w:noProof/>
            <w:webHidden/>
          </w:rPr>
        </w:r>
        <w:r>
          <w:rPr>
            <w:noProof/>
            <w:webHidden/>
          </w:rPr>
          <w:fldChar w:fldCharType="separate"/>
        </w:r>
        <w:r>
          <w:rPr>
            <w:noProof/>
            <w:webHidden/>
          </w:rPr>
          <w:t>499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94" w:history="1">
        <w:r w:rsidRPr="00CD0B56">
          <w:rPr>
            <w:rStyle w:val="Hyperlink"/>
            <w:noProof/>
          </w:rPr>
          <w:t>2.1.1226</w:t>
        </w:r>
        <w:r>
          <w:rPr>
            <w:rFonts w:asciiTheme="minorHAnsi" w:eastAsiaTheme="minorEastAsia" w:hAnsiTheme="minorHAnsi" w:cstheme="minorBidi"/>
            <w:noProof/>
            <w:sz w:val="22"/>
            <w:szCs w:val="22"/>
          </w:rPr>
          <w:tab/>
        </w:r>
        <w:r w:rsidRPr="00CD0B56">
          <w:rPr>
            <w:rStyle w:val="Hyperlink"/>
            <w:noProof/>
          </w:rPr>
          <w:t>Part 1 Section 20.1.2.3.13, hslClr (Hue, Saturation, Luminance Color Model)</w:t>
        </w:r>
        <w:r>
          <w:rPr>
            <w:noProof/>
            <w:webHidden/>
          </w:rPr>
          <w:tab/>
        </w:r>
        <w:r>
          <w:rPr>
            <w:noProof/>
            <w:webHidden/>
          </w:rPr>
          <w:fldChar w:fldCharType="begin"/>
        </w:r>
        <w:r>
          <w:rPr>
            <w:noProof/>
            <w:webHidden/>
          </w:rPr>
          <w:instrText xml:space="preserve"> PAGEREF _Toc12261294 \h </w:instrText>
        </w:r>
        <w:r>
          <w:rPr>
            <w:noProof/>
            <w:webHidden/>
          </w:rPr>
        </w:r>
        <w:r>
          <w:rPr>
            <w:noProof/>
            <w:webHidden/>
          </w:rPr>
          <w:fldChar w:fldCharType="separate"/>
        </w:r>
        <w:r>
          <w:rPr>
            <w:noProof/>
            <w:webHidden/>
          </w:rPr>
          <w:t>499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95" w:history="1">
        <w:r w:rsidRPr="00CD0B56">
          <w:rPr>
            <w:rStyle w:val="Hyperlink"/>
            <w:noProof/>
          </w:rPr>
          <w:t>2.1.1227</w:t>
        </w:r>
        <w:r>
          <w:rPr>
            <w:rFonts w:asciiTheme="minorHAnsi" w:eastAsiaTheme="minorEastAsia" w:hAnsiTheme="minorHAnsi" w:cstheme="minorBidi"/>
            <w:noProof/>
            <w:sz w:val="22"/>
            <w:szCs w:val="22"/>
          </w:rPr>
          <w:tab/>
        </w:r>
        <w:r w:rsidRPr="00CD0B56">
          <w:rPr>
            <w:rStyle w:val="Hyperlink"/>
            <w:noProof/>
          </w:rPr>
          <w:t>Part 1 Section 20.1.2.3.14, hue (Hue)</w:t>
        </w:r>
        <w:r>
          <w:rPr>
            <w:noProof/>
            <w:webHidden/>
          </w:rPr>
          <w:tab/>
        </w:r>
        <w:r>
          <w:rPr>
            <w:noProof/>
            <w:webHidden/>
          </w:rPr>
          <w:fldChar w:fldCharType="begin"/>
        </w:r>
        <w:r>
          <w:rPr>
            <w:noProof/>
            <w:webHidden/>
          </w:rPr>
          <w:instrText xml:space="preserve"> PAGEREF _Toc12261295 \h </w:instrText>
        </w:r>
        <w:r>
          <w:rPr>
            <w:noProof/>
            <w:webHidden/>
          </w:rPr>
        </w:r>
        <w:r>
          <w:rPr>
            <w:noProof/>
            <w:webHidden/>
          </w:rPr>
          <w:fldChar w:fldCharType="separate"/>
        </w:r>
        <w:r>
          <w:rPr>
            <w:noProof/>
            <w:webHidden/>
          </w:rPr>
          <w:t>499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96" w:history="1">
        <w:r w:rsidRPr="00CD0B56">
          <w:rPr>
            <w:rStyle w:val="Hyperlink"/>
            <w:noProof/>
          </w:rPr>
          <w:t>2.1.1228</w:t>
        </w:r>
        <w:r>
          <w:rPr>
            <w:rFonts w:asciiTheme="minorHAnsi" w:eastAsiaTheme="minorEastAsia" w:hAnsiTheme="minorHAnsi" w:cstheme="minorBidi"/>
            <w:noProof/>
            <w:sz w:val="22"/>
            <w:szCs w:val="22"/>
          </w:rPr>
          <w:tab/>
        </w:r>
        <w:r w:rsidRPr="00CD0B56">
          <w:rPr>
            <w:rStyle w:val="Hyperlink"/>
            <w:noProof/>
          </w:rPr>
          <w:t>Part 1 Section 20.1.2.3.15, hueMod (Hue Modulate)</w:t>
        </w:r>
        <w:r>
          <w:rPr>
            <w:noProof/>
            <w:webHidden/>
          </w:rPr>
          <w:tab/>
        </w:r>
        <w:r>
          <w:rPr>
            <w:noProof/>
            <w:webHidden/>
          </w:rPr>
          <w:fldChar w:fldCharType="begin"/>
        </w:r>
        <w:r>
          <w:rPr>
            <w:noProof/>
            <w:webHidden/>
          </w:rPr>
          <w:instrText xml:space="preserve"> PAGEREF _Toc12261296 \h </w:instrText>
        </w:r>
        <w:r>
          <w:rPr>
            <w:noProof/>
            <w:webHidden/>
          </w:rPr>
        </w:r>
        <w:r>
          <w:rPr>
            <w:noProof/>
            <w:webHidden/>
          </w:rPr>
          <w:fldChar w:fldCharType="separate"/>
        </w:r>
        <w:r>
          <w:rPr>
            <w:noProof/>
            <w:webHidden/>
          </w:rPr>
          <w:t>500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97" w:history="1">
        <w:r w:rsidRPr="00CD0B56">
          <w:rPr>
            <w:rStyle w:val="Hyperlink"/>
            <w:noProof/>
          </w:rPr>
          <w:t>2.1.1229</w:t>
        </w:r>
        <w:r>
          <w:rPr>
            <w:rFonts w:asciiTheme="minorHAnsi" w:eastAsiaTheme="minorEastAsia" w:hAnsiTheme="minorHAnsi" w:cstheme="minorBidi"/>
            <w:noProof/>
            <w:sz w:val="22"/>
            <w:szCs w:val="22"/>
          </w:rPr>
          <w:tab/>
        </w:r>
        <w:r w:rsidRPr="00CD0B56">
          <w:rPr>
            <w:rStyle w:val="Hyperlink"/>
            <w:noProof/>
          </w:rPr>
          <w:t>Part 1 Section 20.1.2.3.16, hueOff (Hue Offset)</w:t>
        </w:r>
        <w:r>
          <w:rPr>
            <w:noProof/>
            <w:webHidden/>
          </w:rPr>
          <w:tab/>
        </w:r>
        <w:r>
          <w:rPr>
            <w:noProof/>
            <w:webHidden/>
          </w:rPr>
          <w:fldChar w:fldCharType="begin"/>
        </w:r>
        <w:r>
          <w:rPr>
            <w:noProof/>
            <w:webHidden/>
          </w:rPr>
          <w:instrText xml:space="preserve"> PAGEREF _Toc12261297 \h </w:instrText>
        </w:r>
        <w:r>
          <w:rPr>
            <w:noProof/>
            <w:webHidden/>
          </w:rPr>
        </w:r>
        <w:r>
          <w:rPr>
            <w:noProof/>
            <w:webHidden/>
          </w:rPr>
          <w:fldChar w:fldCharType="separate"/>
        </w:r>
        <w:r>
          <w:rPr>
            <w:noProof/>
            <w:webHidden/>
          </w:rPr>
          <w:t>500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98" w:history="1">
        <w:r w:rsidRPr="00CD0B56">
          <w:rPr>
            <w:rStyle w:val="Hyperlink"/>
            <w:noProof/>
          </w:rPr>
          <w:t>2.1.1230</w:t>
        </w:r>
        <w:r>
          <w:rPr>
            <w:rFonts w:asciiTheme="minorHAnsi" w:eastAsiaTheme="minorEastAsia" w:hAnsiTheme="minorHAnsi" w:cstheme="minorBidi"/>
            <w:noProof/>
            <w:sz w:val="22"/>
            <w:szCs w:val="22"/>
          </w:rPr>
          <w:tab/>
        </w:r>
        <w:r w:rsidRPr="00CD0B56">
          <w:rPr>
            <w:rStyle w:val="Hyperlink"/>
            <w:noProof/>
          </w:rPr>
          <w:t>Part 1 Section 20.1.2.3.19, lum (Luminance)</w:t>
        </w:r>
        <w:r>
          <w:rPr>
            <w:noProof/>
            <w:webHidden/>
          </w:rPr>
          <w:tab/>
        </w:r>
        <w:r>
          <w:rPr>
            <w:noProof/>
            <w:webHidden/>
          </w:rPr>
          <w:fldChar w:fldCharType="begin"/>
        </w:r>
        <w:r>
          <w:rPr>
            <w:noProof/>
            <w:webHidden/>
          </w:rPr>
          <w:instrText xml:space="preserve"> PAGEREF _Toc12261298 \h </w:instrText>
        </w:r>
        <w:r>
          <w:rPr>
            <w:noProof/>
            <w:webHidden/>
          </w:rPr>
        </w:r>
        <w:r>
          <w:rPr>
            <w:noProof/>
            <w:webHidden/>
          </w:rPr>
          <w:fldChar w:fldCharType="separate"/>
        </w:r>
        <w:r>
          <w:rPr>
            <w:noProof/>
            <w:webHidden/>
          </w:rPr>
          <w:t>500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299" w:history="1">
        <w:r w:rsidRPr="00CD0B56">
          <w:rPr>
            <w:rStyle w:val="Hyperlink"/>
            <w:noProof/>
          </w:rPr>
          <w:t>2.1.1231</w:t>
        </w:r>
        <w:r>
          <w:rPr>
            <w:rFonts w:asciiTheme="minorHAnsi" w:eastAsiaTheme="minorEastAsia" w:hAnsiTheme="minorHAnsi" w:cstheme="minorBidi"/>
            <w:noProof/>
            <w:sz w:val="22"/>
            <w:szCs w:val="22"/>
          </w:rPr>
          <w:tab/>
        </w:r>
        <w:r w:rsidRPr="00CD0B56">
          <w:rPr>
            <w:rStyle w:val="Hyperlink"/>
            <w:noProof/>
          </w:rPr>
          <w:t>Part 1 Section 20.1.2.3.20, lumMod (Luminance Modulation)</w:t>
        </w:r>
        <w:r>
          <w:rPr>
            <w:noProof/>
            <w:webHidden/>
          </w:rPr>
          <w:tab/>
        </w:r>
        <w:r>
          <w:rPr>
            <w:noProof/>
            <w:webHidden/>
          </w:rPr>
          <w:fldChar w:fldCharType="begin"/>
        </w:r>
        <w:r>
          <w:rPr>
            <w:noProof/>
            <w:webHidden/>
          </w:rPr>
          <w:instrText xml:space="preserve"> PAGEREF _Toc12261299 \h </w:instrText>
        </w:r>
        <w:r>
          <w:rPr>
            <w:noProof/>
            <w:webHidden/>
          </w:rPr>
        </w:r>
        <w:r>
          <w:rPr>
            <w:noProof/>
            <w:webHidden/>
          </w:rPr>
          <w:fldChar w:fldCharType="separate"/>
        </w:r>
        <w:r>
          <w:rPr>
            <w:noProof/>
            <w:webHidden/>
          </w:rPr>
          <w:t>500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00" w:history="1">
        <w:r w:rsidRPr="00CD0B56">
          <w:rPr>
            <w:rStyle w:val="Hyperlink"/>
            <w:noProof/>
          </w:rPr>
          <w:t>2.1.1232</w:t>
        </w:r>
        <w:r>
          <w:rPr>
            <w:rFonts w:asciiTheme="minorHAnsi" w:eastAsiaTheme="minorEastAsia" w:hAnsiTheme="minorHAnsi" w:cstheme="minorBidi"/>
            <w:noProof/>
            <w:sz w:val="22"/>
            <w:szCs w:val="22"/>
          </w:rPr>
          <w:tab/>
        </w:r>
        <w:r w:rsidRPr="00CD0B56">
          <w:rPr>
            <w:rStyle w:val="Hyperlink"/>
            <w:noProof/>
          </w:rPr>
          <w:t>Part 1 Section 20.1.2.3.21, lumOff (Luminance Offset)</w:t>
        </w:r>
        <w:r>
          <w:rPr>
            <w:noProof/>
            <w:webHidden/>
          </w:rPr>
          <w:tab/>
        </w:r>
        <w:r>
          <w:rPr>
            <w:noProof/>
            <w:webHidden/>
          </w:rPr>
          <w:fldChar w:fldCharType="begin"/>
        </w:r>
        <w:r>
          <w:rPr>
            <w:noProof/>
            <w:webHidden/>
          </w:rPr>
          <w:instrText xml:space="preserve"> PAGEREF _Toc12261300 \h </w:instrText>
        </w:r>
        <w:r>
          <w:rPr>
            <w:noProof/>
            <w:webHidden/>
          </w:rPr>
        </w:r>
        <w:r>
          <w:rPr>
            <w:noProof/>
            <w:webHidden/>
          </w:rPr>
          <w:fldChar w:fldCharType="separate"/>
        </w:r>
        <w:r>
          <w:rPr>
            <w:noProof/>
            <w:webHidden/>
          </w:rPr>
          <w:t>500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01" w:history="1">
        <w:r w:rsidRPr="00CD0B56">
          <w:rPr>
            <w:rStyle w:val="Hyperlink"/>
            <w:noProof/>
          </w:rPr>
          <w:t>2.1.1233</w:t>
        </w:r>
        <w:r>
          <w:rPr>
            <w:rFonts w:asciiTheme="minorHAnsi" w:eastAsiaTheme="minorEastAsia" w:hAnsiTheme="minorHAnsi" w:cstheme="minorBidi"/>
            <w:noProof/>
            <w:sz w:val="22"/>
            <w:szCs w:val="22"/>
          </w:rPr>
          <w:tab/>
        </w:r>
        <w:r w:rsidRPr="00CD0B56">
          <w:rPr>
            <w:rStyle w:val="Hyperlink"/>
            <w:noProof/>
          </w:rPr>
          <w:t>Part 1 Section 20.1.2.3.22, prstClr (Preset Color)</w:t>
        </w:r>
        <w:r>
          <w:rPr>
            <w:noProof/>
            <w:webHidden/>
          </w:rPr>
          <w:tab/>
        </w:r>
        <w:r>
          <w:rPr>
            <w:noProof/>
            <w:webHidden/>
          </w:rPr>
          <w:fldChar w:fldCharType="begin"/>
        </w:r>
        <w:r>
          <w:rPr>
            <w:noProof/>
            <w:webHidden/>
          </w:rPr>
          <w:instrText xml:space="preserve"> PAGEREF _Toc12261301 \h </w:instrText>
        </w:r>
        <w:r>
          <w:rPr>
            <w:noProof/>
            <w:webHidden/>
          </w:rPr>
        </w:r>
        <w:r>
          <w:rPr>
            <w:noProof/>
            <w:webHidden/>
          </w:rPr>
          <w:fldChar w:fldCharType="separate"/>
        </w:r>
        <w:r>
          <w:rPr>
            <w:noProof/>
            <w:webHidden/>
          </w:rPr>
          <w:t>501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02" w:history="1">
        <w:r w:rsidRPr="00CD0B56">
          <w:rPr>
            <w:rStyle w:val="Hyperlink"/>
            <w:noProof/>
          </w:rPr>
          <w:t>2.1.1234</w:t>
        </w:r>
        <w:r>
          <w:rPr>
            <w:rFonts w:asciiTheme="minorHAnsi" w:eastAsiaTheme="minorEastAsia" w:hAnsiTheme="minorHAnsi" w:cstheme="minorBidi"/>
            <w:noProof/>
            <w:sz w:val="22"/>
            <w:szCs w:val="22"/>
          </w:rPr>
          <w:tab/>
        </w:r>
        <w:r w:rsidRPr="00CD0B56">
          <w:rPr>
            <w:rStyle w:val="Hyperlink"/>
            <w:noProof/>
          </w:rPr>
          <w:t>Part 1 Section 20.1.2.3.23, red (Red)</w:t>
        </w:r>
        <w:r>
          <w:rPr>
            <w:noProof/>
            <w:webHidden/>
          </w:rPr>
          <w:tab/>
        </w:r>
        <w:r>
          <w:rPr>
            <w:noProof/>
            <w:webHidden/>
          </w:rPr>
          <w:fldChar w:fldCharType="begin"/>
        </w:r>
        <w:r>
          <w:rPr>
            <w:noProof/>
            <w:webHidden/>
          </w:rPr>
          <w:instrText xml:space="preserve"> PAGEREF _Toc12261302 \h </w:instrText>
        </w:r>
        <w:r>
          <w:rPr>
            <w:noProof/>
            <w:webHidden/>
          </w:rPr>
        </w:r>
        <w:r>
          <w:rPr>
            <w:noProof/>
            <w:webHidden/>
          </w:rPr>
          <w:fldChar w:fldCharType="separate"/>
        </w:r>
        <w:r>
          <w:rPr>
            <w:noProof/>
            <w:webHidden/>
          </w:rPr>
          <w:t>501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03" w:history="1">
        <w:r w:rsidRPr="00CD0B56">
          <w:rPr>
            <w:rStyle w:val="Hyperlink"/>
            <w:noProof/>
          </w:rPr>
          <w:t>2.1.1235</w:t>
        </w:r>
        <w:r>
          <w:rPr>
            <w:rFonts w:asciiTheme="minorHAnsi" w:eastAsiaTheme="minorEastAsia" w:hAnsiTheme="minorHAnsi" w:cstheme="minorBidi"/>
            <w:noProof/>
            <w:sz w:val="22"/>
            <w:szCs w:val="22"/>
          </w:rPr>
          <w:tab/>
        </w:r>
        <w:r w:rsidRPr="00CD0B56">
          <w:rPr>
            <w:rStyle w:val="Hyperlink"/>
            <w:noProof/>
          </w:rPr>
          <w:t>Part 1 Section 20.1.2.3.24, redMod (Red Modulation)</w:t>
        </w:r>
        <w:r>
          <w:rPr>
            <w:noProof/>
            <w:webHidden/>
          </w:rPr>
          <w:tab/>
        </w:r>
        <w:r>
          <w:rPr>
            <w:noProof/>
            <w:webHidden/>
          </w:rPr>
          <w:fldChar w:fldCharType="begin"/>
        </w:r>
        <w:r>
          <w:rPr>
            <w:noProof/>
            <w:webHidden/>
          </w:rPr>
          <w:instrText xml:space="preserve"> PAGEREF _Toc12261303 \h </w:instrText>
        </w:r>
        <w:r>
          <w:rPr>
            <w:noProof/>
            <w:webHidden/>
          </w:rPr>
        </w:r>
        <w:r>
          <w:rPr>
            <w:noProof/>
            <w:webHidden/>
          </w:rPr>
          <w:fldChar w:fldCharType="separate"/>
        </w:r>
        <w:r>
          <w:rPr>
            <w:noProof/>
            <w:webHidden/>
          </w:rPr>
          <w:t>501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04" w:history="1">
        <w:r w:rsidRPr="00CD0B56">
          <w:rPr>
            <w:rStyle w:val="Hyperlink"/>
            <w:noProof/>
          </w:rPr>
          <w:t>2.1.1236</w:t>
        </w:r>
        <w:r>
          <w:rPr>
            <w:rFonts w:asciiTheme="minorHAnsi" w:eastAsiaTheme="minorEastAsia" w:hAnsiTheme="minorHAnsi" w:cstheme="minorBidi"/>
            <w:noProof/>
            <w:sz w:val="22"/>
            <w:szCs w:val="22"/>
          </w:rPr>
          <w:tab/>
        </w:r>
        <w:r w:rsidRPr="00CD0B56">
          <w:rPr>
            <w:rStyle w:val="Hyperlink"/>
            <w:noProof/>
          </w:rPr>
          <w:t>Part 1 Section 20.1.2.3.25, redOff (Red Offset)</w:t>
        </w:r>
        <w:r>
          <w:rPr>
            <w:noProof/>
            <w:webHidden/>
          </w:rPr>
          <w:tab/>
        </w:r>
        <w:r>
          <w:rPr>
            <w:noProof/>
            <w:webHidden/>
          </w:rPr>
          <w:fldChar w:fldCharType="begin"/>
        </w:r>
        <w:r>
          <w:rPr>
            <w:noProof/>
            <w:webHidden/>
          </w:rPr>
          <w:instrText xml:space="preserve"> PAGEREF _Toc12261304 \h </w:instrText>
        </w:r>
        <w:r>
          <w:rPr>
            <w:noProof/>
            <w:webHidden/>
          </w:rPr>
        </w:r>
        <w:r>
          <w:rPr>
            <w:noProof/>
            <w:webHidden/>
          </w:rPr>
          <w:fldChar w:fldCharType="separate"/>
        </w:r>
        <w:r>
          <w:rPr>
            <w:noProof/>
            <w:webHidden/>
          </w:rPr>
          <w:t>501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05" w:history="1">
        <w:r w:rsidRPr="00CD0B56">
          <w:rPr>
            <w:rStyle w:val="Hyperlink"/>
            <w:noProof/>
          </w:rPr>
          <w:t>2.1.1237</w:t>
        </w:r>
        <w:r>
          <w:rPr>
            <w:rFonts w:asciiTheme="minorHAnsi" w:eastAsiaTheme="minorEastAsia" w:hAnsiTheme="minorHAnsi" w:cstheme="minorBidi"/>
            <w:noProof/>
            <w:sz w:val="22"/>
            <w:szCs w:val="22"/>
          </w:rPr>
          <w:tab/>
        </w:r>
        <w:r w:rsidRPr="00CD0B56">
          <w:rPr>
            <w:rStyle w:val="Hyperlink"/>
            <w:noProof/>
          </w:rPr>
          <w:t>Part 1 Section 20.1.2.3.26, sat (Saturation)</w:t>
        </w:r>
        <w:r>
          <w:rPr>
            <w:noProof/>
            <w:webHidden/>
          </w:rPr>
          <w:tab/>
        </w:r>
        <w:r>
          <w:rPr>
            <w:noProof/>
            <w:webHidden/>
          </w:rPr>
          <w:fldChar w:fldCharType="begin"/>
        </w:r>
        <w:r>
          <w:rPr>
            <w:noProof/>
            <w:webHidden/>
          </w:rPr>
          <w:instrText xml:space="preserve"> PAGEREF _Toc12261305 \h </w:instrText>
        </w:r>
        <w:r>
          <w:rPr>
            <w:noProof/>
            <w:webHidden/>
          </w:rPr>
        </w:r>
        <w:r>
          <w:rPr>
            <w:noProof/>
            <w:webHidden/>
          </w:rPr>
          <w:fldChar w:fldCharType="separate"/>
        </w:r>
        <w:r>
          <w:rPr>
            <w:noProof/>
            <w:webHidden/>
          </w:rPr>
          <w:t>501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06" w:history="1">
        <w:r w:rsidRPr="00CD0B56">
          <w:rPr>
            <w:rStyle w:val="Hyperlink"/>
            <w:noProof/>
          </w:rPr>
          <w:t>2.1.1238</w:t>
        </w:r>
        <w:r>
          <w:rPr>
            <w:rFonts w:asciiTheme="minorHAnsi" w:eastAsiaTheme="minorEastAsia" w:hAnsiTheme="minorHAnsi" w:cstheme="minorBidi"/>
            <w:noProof/>
            <w:sz w:val="22"/>
            <w:szCs w:val="22"/>
          </w:rPr>
          <w:tab/>
        </w:r>
        <w:r w:rsidRPr="00CD0B56">
          <w:rPr>
            <w:rStyle w:val="Hyperlink"/>
            <w:noProof/>
          </w:rPr>
          <w:t>Part 1 Section 20.1.2.3.27, satMod (Saturation Modulation)</w:t>
        </w:r>
        <w:r>
          <w:rPr>
            <w:noProof/>
            <w:webHidden/>
          </w:rPr>
          <w:tab/>
        </w:r>
        <w:r>
          <w:rPr>
            <w:noProof/>
            <w:webHidden/>
          </w:rPr>
          <w:fldChar w:fldCharType="begin"/>
        </w:r>
        <w:r>
          <w:rPr>
            <w:noProof/>
            <w:webHidden/>
          </w:rPr>
          <w:instrText xml:space="preserve"> PAGEREF _Toc12261306 \h </w:instrText>
        </w:r>
        <w:r>
          <w:rPr>
            <w:noProof/>
            <w:webHidden/>
          </w:rPr>
        </w:r>
        <w:r>
          <w:rPr>
            <w:noProof/>
            <w:webHidden/>
          </w:rPr>
          <w:fldChar w:fldCharType="separate"/>
        </w:r>
        <w:r>
          <w:rPr>
            <w:noProof/>
            <w:webHidden/>
          </w:rPr>
          <w:t>502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07" w:history="1">
        <w:r w:rsidRPr="00CD0B56">
          <w:rPr>
            <w:rStyle w:val="Hyperlink"/>
            <w:noProof/>
          </w:rPr>
          <w:t>2.1.1239</w:t>
        </w:r>
        <w:r>
          <w:rPr>
            <w:rFonts w:asciiTheme="minorHAnsi" w:eastAsiaTheme="minorEastAsia" w:hAnsiTheme="minorHAnsi" w:cstheme="minorBidi"/>
            <w:noProof/>
            <w:sz w:val="22"/>
            <w:szCs w:val="22"/>
          </w:rPr>
          <w:tab/>
        </w:r>
        <w:r w:rsidRPr="00CD0B56">
          <w:rPr>
            <w:rStyle w:val="Hyperlink"/>
            <w:noProof/>
          </w:rPr>
          <w:t>Part 1 Section 20.1.2.3.28, satOff (Saturation Offset)</w:t>
        </w:r>
        <w:r>
          <w:rPr>
            <w:noProof/>
            <w:webHidden/>
          </w:rPr>
          <w:tab/>
        </w:r>
        <w:r>
          <w:rPr>
            <w:noProof/>
            <w:webHidden/>
          </w:rPr>
          <w:fldChar w:fldCharType="begin"/>
        </w:r>
        <w:r>
          <w:rPr>
            <w:noProof/>
            <w:webHidden/>
          </w:rPr>
          <w:instrText xml:space="preserve"> PAGEREF _Toc12261307 \h </w:instrText>
        </w:r>
        <w:r>
          <w:rPr>
            <w:noProof/>
            <w:webHidden/>
          </w:rPr>
        </w:r>
        <w:r>
          <w:rPr>
            <w:noProof/>
            <w:webHidden/>
          </w:rPr>
          <w:fldChar w:fldCharType="separate"/>
        </w:r>
        <w:r>
          <w:rPr>
            <w:noProof/>
            <w:webHidden/>
          </w:rPr>
          <w:t>502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08" w:history="1">
        <w:r w:rsidRPr="00CD0B56">
          <w:rPr>
            <w:rStyle w:val="Hyperlink"/>
            <w:noProof/>
          </w:rPr>
          <w:t>2.1.1240</w:t>
        </w:r>
        <w:r>
          <w:rPr>
            <w:rFonts w:asciiTheme="minorHAnsi" w:eastAsiaTheme="minorEastAsia" w:hAnsiTheme="minorHAnsi" w:cstheme="minorBidi"/>
            <w:noProof/>
            <w:sz w:val="22"/>
            <w:szCs w:val="22"/>
          </w:rPr>
          <w:tab/>
        </w:r>
        <w:r w:rsidRPr="00CD0B56">
          <w:rPr>
            <w:rStyle w:val="Hyperlink"/>
            <w:noProof/>
          </w:rPr>
          <w:t>Part 1 Section 20.1.2.3.31, shade (Shade)</w:t>
        </w:r>
        <w:r>
          <w:rPr>
            <w:noProof/>
            <w:webHidden/>
          </w:rPr>
          <w:tab/>
        </w:r>
        <w:r>
          <w:rPr>
            <w:noProof/>
            <w:webHidden/>
          </w:rPr>
          <w:fldChar w:fldCharType="begin"/>
        </w:r>
        <w:r>
          <w:rPr>
            <w:noProof/>
            <w:webHidden/>
          </w:rPr>
          <w:instrText xml:space="preserve"> PAGEREF _Toc12261308 \h </w:instrText>
        </w:r>
        <w:r>
          <w:rPr>
            <w:noProof/>
            <w:webHidden/>
          </w:rPr>
        </w:r>
        <w:r>
          <w:rPr>
            <w:noProof/>
            <w:webHidden/>
          </w:rPr>
          <w:fldChar w:fldCharType="separate"/>
        </w:r>
        <w:r>
          <w:rPr>
            <w:noProof/>
            <w:webHidden/>
          </w:rPr>
          <w:t>502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09" w:history="1">
        <w:r w:rsidRPr="00CD0B56">
          <w:rPr>
            <w:rStyle w:val="Hyperlink"/>
            <w:noProof/>
          </w:rPr>
          <w:t>2.1.1241</w:t>
        </w:r>
        <w:r>
          <w:rPr>
            <w:rFonts w:asciiTheme="minorHAnsi" w:eastAsiaTheme="minorEastAsia" w:hAnsiTheme="minorHAnsi" w:cstheme="minorBidi"/>
            <w:noProof/>
            <w:sz w:val="22"/>
            <w:szCs w:val="22"/>
          </w:rPr>
          <w:tab/>
        </w:r>
        <w:r w:rsidRPr="00CD0B56">
          <w:rPr>
            <w:rStyle w:val="Hyperlink"/>
            <w:noProof/>
          </w:rPr>
          <w:t>Part 1 Section 20.1.2.3.33, sysClr (System Color)</w:t>
        </w:r>
        <w:r>
          <w:rPr>
            <w:noProof/>
            <w:webHidden/>
          </w:rPr>
          <w:tab/>
        </w:r>
        <w:r>
          <w:rPr>
            <w:noProof/>
            <w:webHidden/>
          </w:rPr>
          <w:fldChar w:fldCharType="begin"/>
        </w:r>
        <w:r>
          <w:rPr>
            <w:noProof/>
            <w:webHidden/>
          </w:rPr>
          <w:instrText xml:space="preserve"> PAGEREF _Toc12261309 \h </w:instrText>
        </w:r>
        <w:r>
          <w:rPr>
            <w:noProof/>
            <w:webHidden/>
          </w:rPr>
        </w:r>
        <w:r>
          <w:rPr>
            <w:noProof/>
            <w:webHidden/>
          </w:rPr>
          <w:fldChar w:fldCharType="separate"/>
        </w:r>
        <w:r>
          <w:rPr>
            <w:noProof/>
            <w:webHidden/>
          </w:rPr>
          <w:t>502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10" w:history="1">
        <w:r w:rsidRPr="00CD0B56">
          <w:rPr>
            <w:rStyle w:val="Hyperlink"/>
            <w:noProof/>
          </w:rPr>
          <w:t>2.1.1242</w:t>
        </w:r>
        <w:r>
          <w:rPr>
            <w:rFonts w:asciiTheme="minorHAnsi" w:eastAsiaTheme="minorEastAsia" w:hAnsiTheme="minorHAnsi" w:cstheme="minorBidi"/>
            <w:noProof/>
            <w:sz w:val="22"/>
            <w:szCs w:val="22"/>
          </w:rPr>
          <w:tab/>
        </w:r>
        <w:r w:rsidRPr="00CD0B56">
          <w:rPr>
            <w:rStyle w:val="Hyperlink"/>
            <w:noProof/>
          </w:rPr>
          <w:t>Part 1 Section 20.1.2.3.34, tint (Tint)</w:t>
        </w:r>
        <w:r>
          <w:rPr>
            <w:noProof/>
            <w:webHidden/>
          </w:rPr>
          <w:tab/>
        </w:r>
        <w:r>
          <w:rPr>
            <w:noProof/>
            <w:webHidden/>
          </w:rPr>
          <w:fldChar w:fldCharType="begin"/>
        </w:r>
        <w:r>
          <w:rPr>
            <w:noProof/>
            <w:webHidden/>
          </w:rPr>
          <w:instrText xml:space="preserve"> PAGEREF _Toc12261310 \h </w:instrText>
        </w:r>
        <w:r>
          <w:rPr>
            <w:noProof/>
            <w:webHidden/>
          </w:rPr>
        </w:r>
        <w:r>
          <w:rPr>
            <w:noProof/>
            <w:webHidden/>
          </w:rPr>
          <w:fldChar w:fldCharType="separate"/>
        </w:r>
        <w:r>
          <w:rPr>
            <w:noProof/>
            <w:webHidden/>
          </w:rPr>
          <w:t>503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11" w:history="1">
        <w:r w:rsidRPr="00CD0B56">
          <w:rPr>
            <w:rStyle w:val="Hyperlink"/>
            <w:noProof/>
          </w:rPr>
          <w:t>2.1.1243</w:t>
        </w:r>
        <w:r>
          <w:rPr>
            <w:rFonts w:asciiTheme="minorHAnsi" w:eastAsiaTheme="minorEastAsia" w:hAnsiTheme="minorHAnsi" w:cstheme="minorBidi"/>
            <w:noProof/>
            <w:sz w:val="22"/>
            <w:szCs w:val="22"/>
          </w:rPr>
          <w:tab/>
        </w:r>
        <w:r w:rsidRPr="00CD0B56">
          <w:rPr>
            <w:rStyle w:val="Hyperlink"/>
            <w:noProof/>
          </w:rPr>
          <w:t>Part 1 Section 20.1.3.2, audioFile (Audio from File)</w:t>
        </w:r>
        <w:r>
          <w:rPr>
            <w:noProof/>
            <w:webHidden/>
          </w:rPr>
          <w:tab/>
        </w:r>
        <w:r>
          <w:rPr>
            <w:noProof/>
            <w:webHidden/>
          </w:rPr>
          <w:fldChar w:fldCharType="begin"/>
        </w:r>
        <w:r>
          <w:rPr>
            <w:noProof/>
            <w:webHidden/>
          </w:rPr>
          <w:instrText xml:space="preserve"> PAGEREF _Toc12261311 \h </w:instrText>
        </w:r>
        <w:r>
          <w:rPr>
            <w:noProof/>
            <w:webHidden/>
          </w:rPr>
        </w:r>
        <w:r>
          <w:rPr>
            <w:noProof/>
            <w:webHidden/>
          </w:rPr>
          <w:fldChar w:fldCharType="separate"/>
        </w:r>
        <w:r>
          <w:rPr>
            <w:noProof/>
            <w:webHidden/>
          </w:rPr>
          <w:t>503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12" w:history="1">
        <w:r w:rsidRPr="00CD0B56">
          <w:rPr>
            <w:rStyle w:val="Hyperlink"/>
            <w:noProof/>
          </w:rPr>
          <w:t>2.1.1244</w:t>
        </w:r>
        <w:r>
          <w:rPr>
            <w:rFonts w:asciiTheme="minorHAnsi" w:eastAsiaTheme="minorEastAsia" w:hAnsiTheme="minorHAnsi" w:cstheme="minorBidi"/>
            <w:noProof/>
            <w:sz w:val="22"/>
            <w:szCs w:val="22"/>
          </w:rPr>
          <w:tab/>
        </w:r>
        <w:r w:rsidRPr="00CD0B56">
          <w:rPr>
            <w:rStyle w:val="Hyperlink"/>
            <w:noProof/>
          </w:rPr>
          <w:t>Part 1 Section 20.1.3.3, end (Audio End Time)</w:t>
        </w:r>
        <w:r>
          <w:rPr>
            <w:noProof/>
            <w:webHidden/>
          </w:rPr>
          <w:tab/>
        </w:r>
        <w:r>
          <w:rPr>
            <w:noProof/>
            <w:webHidden/>
          </w:rPr>
          <w:fldChar w:fldCharType="begin"/>
        </w:r>
        <w:r>
          <w:rPr>
            <w:noProof/>
            <w:webHidden/>
          </w:rPr>
          <w:instrText xml:space="preserve"> PAGEREF _Toc12261312 \h </w:instrText>
        </w:r>
        <w:r>
          <w:rPr>
            <w:noProof/>
            <w:webHidden/>
          </w:rPr>
        </w:r>
        <w:r>
          <w:rPr>
            <w:noProof/>
            <w:webHidden/>
          </w:rPr>
          <w:fldChar w:fldCharType="separate"/>
        </w:r>
        <w:r>
          <w:rPr>
            <w:noProof/>
            <w:webHidden/>
          </w:rPr>
          <w:t>503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13" w:history="1">
        <w:r w:rsidRPr="00CD0B56">
          <w:rPr>
            <w:rStyle w:val="Hyperlink"/>
            <w:noProof/>
          </w:rPr>
          <w:t>2.1.1245</w:t>
        </w:r>
        <w:r>
          <w:rPr>
            <w:rFonts w:asciiTheme="minorHAnsi" w:eastAsiaTheme="minorEastAsia" w:hAnsiTheme="minorHAnsi" w:cstheme="minorBidi"/>
            <w:noProof/>
            <w:sz w:val="22"/>
            <w:szCs w:val="22"/>
          </w:rPr>
          <w:tab/>
        </w:r>
        <w:r w:rsidRPr="00CD0B56">
          <w:rPr>
            <w:rStyle w:val="Hyperlink"/>
            <w:noProof/>
          </w:rPr>
          <w:t>Part 1 Section 20.1.3.5, st (Audio Start Time)</w:t>
        </w:r>
        <w:r>
          <w:rPr>
            <w:noProof/>
            <w:webHidden/>
          </w:rPr>
          <w:tab/>
        </w:r>
        <w:r>
          <w:rPr>
            <w:noProof/>
            <w:webHidden/>
          </w:rPr>
          <w:fldChar w:fldCharType="begin"/>
        </w:r>
        <w:r>
          <w:rPr>
            <w:noProof/>
            <w:webHidden/>
          </w:rPr>
          <w:instrText xml:space="preserve"> PAGEREF _Toc12261313 \h </w:instrText>
        </w:r>
        <w:r>
          <w:rPr>
            <w:noProof/>
            <w:webHidden/>
          </w:rPr>
        </w:r>
        <w:r>
          <w:rPr>
            <w:noProof/>
            <w:webHidden/>
          </w:rPr>
          <w:fldChar w:fldCharType="separate"/>
        </w:r>
        <w:r>
          <w:rPr>
            <w:noProof/>
            <w:webHidden/>
          </w:rPr>
          <w:t>503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14" w:history="1">
        <w:r w:rsidRPr="00CD0B56">
          <w:rPr>
            <w:rStyle w:val="Hyperlink"/>
            <w:noProof/>
          </w:rPr>
          <w:t>2.1.1246</w:t>
        </w:r>
        <w:r>
          <w:rPr>
            <w:rFonts w:asciiTheme="minorHAnsi" w:eastAsiaTheme="minorEastAsia" w:hAnsiTheme="minorHAnsi" w:cstheme="minorBidi"/>
            <w:noProof/>
            <w:sz w:val="22"/>
            <w:szCs w:val="22"/>
          </w:rPr>
          <w:tab/>
        </w:r>
        <w:r w:rsidRPr="00CD0B56">
          <w:rPr>
            <w:rStyle w:val="Hyperlink"/>
            <w:noProof/>
          </w:rPr>
          <w:t>Part 1 Section 20.1.3.6, videoFile (Video from File)</w:t>
        </w:r>
        <w:r>
          <w:rPr>
            <w:noProof/>
            <w:webHidden/>
          </w:rPr>
          <w:tab/>
        </w:r>
        <w:r>
          <w:rPr>
            <w:noProof/>
            <w:webHidden/>
          </w:rPr>
          <w:fldChar w:fldCharType="begin"/>
        </w:r>
        <w:r>
          <w:rPr>
            <w:noProof/>
            <w:webHidden/>
          </w:rPr>
          <w:instrText xml:space="preserve"> PAGEREF _Toc12261314 \h </w:instrText>
        </w:r>
        <w:r>
          <w:rPr>
            <w:noProof/>
            <w:webHidden/>
          </w:rPr>
        </w:r>
        <w:r>
          <w:rPr>
            <w:noProof/>
            <w:webHidden/>
          </w:rPr>
          <w:fldChar w:fldCharType="separate"/>
        </w:r>
        <w:r>
          <w:rPr>
            <w:noProof/>
            <w:webHidden/>
          </w:rPr>
          <w:t>503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15" w:history="1">
        <w:r w:rsidRPr="00CD0B56">
          <w:rPr>
            <w:rStyle w:val="Hyperlink"/>
            <w:noProof/>
          </w:rPr>
          <w:t>2.1.1247</w:t>
        </w:r>
        <w:r>
          <w:rPr>
            <w:rFonts w:asciiTheme="minorHAnsi" w:eastAsiaTheme="minorEastAsia" w:hAnsiTheme="minorHAnsi" w:cstheme="minorBidi"/>
            <w:noProof/>
            <w:sz w:val="22"/>
            <w:szCs w:val="22"/>
          </w:rPr>
          <w:tab/>
        </w:r>
        <w:r w:rsidRPr="00CD0B56">
          <w:rPr>
            <w:rStyle w:val="Hyperlink"/>
            <w:noProof/>
          </w:rPr>
          <w:t>Part 1 Section 20.1.4.1.1, accent1 (Accent 1)</w:t>
        </w:r>
        <w:r>
          <w:rPr>
            <w:noProof/>
            <w:webHidden/>
          </w:rPr>
          <w:tab/>
        </w:r>
        <w:r>
          <w:rPr>
            <w:noProof/>
            <w:webHidden/>
          </w:rPr>
          <w:fldChar w:fldCharType="begin"/>
        </w:r>
        <w:r>
          <w:rPr>
            <w:noProof/>
            <w:webHidden/>
          </w:rPr>
          <w:instrText xml:space="preserve"> PAGEREF _Toc12261315 \h </w:instrText>
        </w:r>
        <w:r>
          <w:rPr>
            <w:noProof/>
            <w:webHidden/>
          </w:rPr>
        </w:r>
        <w:r>
          <w:rPr>
            <w:noProof/>
            <w:webHidden/>
          </w:rPr>
          <w:fldChar w:fldCharType="separate"/>
        </w:r>
        <w:r>
          <w:rPr>
            <w:noProof/>
            <w:webHidden/>
          </w:rPr>
          <w:t>503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16" w:history="1">
        <w:r w:rsidRPr="00CD0B56">
          <w:rPr>
            <w:rStyle w:val="Hyperlink"/>
            <w:noProof/>
          </w:rPr>
          <w:t>2.1.1248</w:t>
        </w:r>
        <w:r>
          <w:rPr>
            <w:rFonts w:asciiTheme="minorHAnsi" w:eastAsiaTheme="minorEastAsia" w:hAnsiTheme="minorHAnsi" w:cstheme="minorBidi"/>
            <w:noProof/>
            <w:sz w:val="22"/>
            <w:szCs w:val="22"/>
          </w:rPr>
          <w:tab/>
        </w:r>
        <w:r w:rsidRPr="00CD0B56">
          <w:rPr>
            <w:rStyle w:val="Hyperlink"/>
            <w:noProof/>
          </w:rPr>
          <w:t>Part 1 Section 20.1.4.1.2, accent2 (Accent 2)</w:t>
        </w:r>
        <w:r>
          <w:rPr>
            <w:noProof/>
            <w:webHidden/>
          </w:rPr>
          <w:tab/>
        </w:r>
        <w:r>
          <w:rPr>
            <w:noProof/>
            <w:webHidden/>
          </w:rPr>
          <w:fldChar w:fldCharType="begin"/>
        </w:r>
        <w:r>
          <w:rPr>
            <w:noProof/>
            <w:webHidden/>
          </w:rPr>
          <w:instrText xml:space="preserve"> PAGEREF _Toc12261316 \h </w:instrText>
        </w:r>
        <w:r>
          <w:rPr>
            <w:noProof/>
            <w:webHidden/>
          </w:rPr>
        </w:r>
        <w:r>
          <w:rPr>
            <w:noProof/>
            <w:webHidden/>
          </w:rPr>
          <w:fldChar w:fldCharType="separate"/>
        </w:r>
        <w:r>
          <w:rPr>
            <w:noProof/>
            <w:webHidden/>
          </w:rPr>
          <w:t>503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17" w:history="1">
        <w:r w:rsidRPr="00CD0B56">
          <w:rPr>
            <w:rStyle w:val="Hyperlink"/>
            <w:noProof/>
          </w:rPr>
          <w:t>2.1.1249</w:t>
        </w:r>
        <w:r>
          <w:rPr>
            <w:rFonts w:asciiTheme="minorHAnsi" w:eastAsiaTheme="minorEastAsia" w:hAnsiTheme="minorHAnsi" w:cstheme="minorBidi"/>
            <w:noProof/>
            <w:sz w:val="22"/>
            <w:szCs w:val="22"/>
          </w:rPr>
          <w:tab/>
        </w:r>
        <w:r w:rsidRPr="00CD0B56">
          <w:rPr>
            <w:rStyle w:val="Hyperlink"/>
            <w:noProof/>
          </w:rPr>
          <w:t>Part 1 Section 20.1.4.1.3, accent3 (Accent 3)</w:t>
        </w:r>
        <w:r>
          <w:rPr>
            <w:noProof/>
            <w:webHidden/>
          </w:rPr>
          <w:tab/>
        </w:r>
        <w:r>
          <w:rPr>
            <w:noProof/>
            <w:webHidden/>
          </w:rPr>
          <w:fldChar w:fldCharType="begin"/>
        </w:r>
        <w:r>
          <w:rPr>
            <w:noProof/>
            <w:webHidden/>
          </w:rPr>
          <w:instrText xml:space="preserve"> PAGEREF _Toc12261317 \h </w:instrText>
        </w:r>
        <w:r>
          <w:rPr>
            <w:noProof/>
            <w:webHidden/>
          </w:rPr>
        </w:r>
        <w:r>
          <w:rPr>
            <w:noProof/>
            <w:webHidden/>
          </w:rPr>
          <w:fldChar w:fldCharType="separate"/>
        </w:r>
        <w:r>
          <w:rPr>
            <w:noProof/>
            <w:webHidden/>
          </w:rPr>
          <w:t>504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18" w:history="1">
        <w:r w:rsidRPr="00CD0B56">
          <w:rPr>
            <w:rStyle w:val="Hyperlink"/>
            <w:noProof/>
          </w:rPr>
          <w:t>2.1.1250</w:t>
        </w:r>
        <w:r>
          <w:rPr>
            <w:rFonts w:asciiTheme="minorHAnsi" w:eastAsiaTheme="minorEastAsia" w:hAnsiTheme="minorHAnsi" w:cstheme="minorBidi"/>
            <w:noProof/>
            <w:sz w:val="22"/>
            <w:szCs w:val="22"/>
          </w:rPr>
          <w:tab/>
        </w:r>
        <w:r w:rsidRPr="00CD0B56">
          <w:rPr>
            <w:rStyle w:val="Hyperlink"/>
            <w:noProof/>
          </w:rPr>
          <w:t>Part 1 Section 20.1.4.1.4, accent4 (Accent 4)</w:t>
        </w:r>
        <w:r>
          <w:rPr>
            <w:noProof/>
            <w:webHidden/>
          </w:rPr>
          <w:tab/>
        </w:r>
        <w:r>
          <w:rPr>
            <w:noProof/>
            <w:webHidden/>
          </w:rPr>
          <w:fldChar w:fldCharType="begin"/>
        </w:r>
        <w:r>
          <w:rPr>
            <w:noProof/>
            <w:webHidden/>
          </w:rPr>
          <w:instrText xml:space="preserve"> PAGEREF _Toc12261318 \h </w:instrText>
        </w:r>
        <w:r>
          <w:rPr>
            <w:noProof/>
            <w:webHidden/>
          </w:rPr>
        </w:r>
        <w:r>
          <w:rPr>
            <w:noProof/>
            <w:webHidden/>
          </w:rPr>
          <w:fldChar w:fldCharType="separate"/>
        </w:r>
        <w:r>
          <w:rPr>
            <w:noProof/>
            <w:webHidden/>
          </w:rPr>
          <w:t>504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19" w:history="1">
        <w:r w:rsidRPr="00CD0B56">
          <w:rPr>
            <w:rStyle w:val="Hyperlink"/>
            <w:noProof/>
          </w:rPr>
          <w:t>2.1.1251</w:t>
        </w:r>
        <w:r>
          <w:rPr>
            <w:rFonts w:asciiTheme="minorHAnsi" w:eastAsiaTheme="minorEastAsia" w:hAnsiTheme="minorHAnsi" w:cstheme="minorBidi"/>
            <w:noProof/>
            <w:sz w:val="22"/>
            <w:szCs w:val="22"/>
          </w:rPr>
          <w:tab/>
        </w:r>
        <w:r w:rsidRPr="00CD0B56">
          <w:rPr>
            <w:rStyle w:val="Hyperlink"/>
            <w:noProof/>
          </w:rPr>
          <w:t>Part 1 Section 20.1.4.1.5, accent5 (Accent 5)</w:t>
        </w:r>
        <w:r>
          <w:rPr>
            <w:noProof/>
            <w:webHidden/>
          </w:rPr>
          <w:tab/>
        </w:r>
        <w:r>
          <w:rPr>
            <w:noProof/>
            <w:webHidden/>
          </w:rPr>
          <w:fldChar w:fldCharType="begin"/>
        </w:r>
        <w:r>
          <w:rPr>
            <w:noProof/>
            <w:webHidden/>
          </w:rPr>
          <w:instrText xml:space="preserve"> PAGEREF _Toc12261319 \h </w:instrText>
        </w:r>
        <w:r>
          <w:rPr>
            <w:noProof/>
            <w:webHidden/>
          </w:rPr>
        </w:r>
        <w:r>
          <w:rPr>
            <w:noProof/>
            <w:webHidden/>
          </w:rPr>
          <w:fldChar w:fldCharType="separate"/>
        </w:r>
        <w:r>
          <w:rPr>
            <w:noProof/>
            <w:webHidden/>
          </w:rPr>
          <w:t>504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20" w:history="1">
        <w:r w:rsidRPr="00CD0B56">
          <w:rPr>
            <w:rStyle w:val="Hyperlink"/>
            <w:noProof/>
          </w:rPr>
          <w:t>2.1.1252</w:t>
        </w:r>
        <w:r>
          <w:rPr>
            <w:rFonts w:asciiTheme="minorHAnsi" w:eastAsiaTheme="minorEastAsia" w:hAnsiTheme="minorHAnsi" w:cstheme="minorBidi"/>
            <w:noProof/>
            <w:sz w:val="22"/>
            <w:szCs w:val="22"/>
          </w:rPr>
          <w:tab/>
        </w:r>
        <w:r w:rsidRPr="00CD0B56">
          <w:rPr>
            <w:rStyle w:val="Hyperlink"/>
            <w:noProof/>
          </w:rPr>
          <w:t>Part 1 Section 20.1.4.1.6, accent6 (Accent 6)</w:t>
        </w:r>
        <w:r>
          <w:rPr>
            <w:noProof/>
            <w:webHidden/>
          </w:rPr>
          <w:tab/>
        </w:r>
        <w:r>
          <w:rPr>
            <w:noProof/>
            <w:webHidden/>
          </w:rPr>
          <w:fldChar w:fldCharType="begin"/>
        </w:r>
        <w:r>
          <w:rPr>
            <w:noProof/>
            <w:webHidden/>
          </w:rPr>
          <w:instrText xml:space="preserve"> PAGEREF _Toc12261320 \h </w:instrText>
        </w:r>
        <w:r>
          <w:rPr>
            <w:noProof/>
            <w:webHidden/>
          </w:rPr>
        </w:r>
        <w:r>
          <w:rPr>
            <w:noProof/>
            <w:webHidden/>
          </w:rPr>
          <w:fldChar w:fldCharType="separate"/>
        </w:r>
        <w:r>
          <w:rPr>
            <w:noProof/>
            <w:webHidden/>
          </w:rPr>
          <w:t>504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21" w:history="1">
        <w:r w:rsidRPr="00CD0B56">
          <w:rPr>
            <w:rStyle w:val="Hyperlink"/>
            <w:noProof/>
          </w:rPr>
          <w:t>2.1.1253</w:t>
        </w:r>
        <w:r>
          <w:rPr>
            <w:rFonts w:asciiTheme="minorHAnsi" w:eastAsiaTheme="minorEastAsia" w:hAnsiTheme="minorHAnsi" w:cstheme="minorBidi"/>
            <w:noProof/>
            <w:sz w:val="22"/>
            <w:szCs w:val="22"/>
          </w:rPr>
          <w:tab/>
        </w:r>
        <w:r w:rsidRPr="00CD0B56">
          <w:rPr>
            <w:rStyle w:val="Hyperlink"/>
            <w:noProof/>
          </w:rPr>
          <w:t>Part 1 Section 20.1.4.1.9, dk1 (Dark 1)</w:t>
        </w:r>
        <w:r>
          <w:rPr>
            <w:noProof/>
            <w:webHidden/>
          </w:rPr>
          <w:tab/>
        </w:r>
        <w:r>
          <w:rPr>
            <w:noProof/>
            <w:webHidden/>
          </w:rPr>
          <w:fldChar w:fldCharType="begin"/>
        </w:r>
        <w:r>
          <w:rPr>
            <w:noProof/>
            <w:webHidden/>
          </w:rPr>
          <w:instrText xml:space="preserve"> PAGEREF _Toc12261321 \h </w:instrText>
        </w:r>
        <w:r>
          <w:rPr>
            <w:noProof/>
            <w:webHidden/>
          </w:rPr>
        </w:r>
        <w:r>
          <w:rPr>
            <w:noProof/>
            <w:webHidden/>
          </w:rPr>
          <w:fldChar w:fldCharType="separate"/>
        </w:r>
        <w:r>
          <w:rPr>
            <w:noProof/>
            <w:webHidden/>
          </w:rPr>
          <w:t>504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22" w:history="1">
        <w:r w:rsidRPr="00CD0B56">
          <w:rPr>
            <w:rStyle w:val="Hyperlink"/>
            <w:noProof/>
          </w:rPr>
          <w:t>2.1.1254</w:t>
        </w:r>
        <w:r>
          <w:rPr>
            <w:rFonts w:asciiTheme="minorHAnsi" w:eastAsiaTheme="minorEastAsia" w:hAnsiTheme="minorHAnsi" w:cstheme="minorBidi"/>
            <w:noProof/>
            <w:sz w:val="22"/>
            <w:szCs w:val="22"/>
          </w:rPr>
          <w:tab/>
        </w:r>
        <w:r w:rsidRPr="00CD0B56">
          <w:rPr>
            <w:rStyle w:val="Hyperlink"/>
            <w:noProof/>
          </w:rPr>
          <w:t>Part 1 Section 20.1.4.1.10, dk2 (Dark 2)</w:t>
        </w:r>
        <w:r>
          <w:rPr>
            <w:noProof/>
            <w:webHidden/>
          </w:rPr>
          <w:tab/>
        </w:r>
        <w:r>
          <w:rPr>
            <w:noProof/>
            <w:webHidden/>
          </w:rPr>
          <w:fldChar w:fldCharType="begin"/>
        </w:r>
        <w:r>
          <w:rPr>
            <w:noProof/>
            <w:webHidden/>
          </w:rPr>
          <w:instrText xml:space="preserve"> PAGEREF _Toc12261322 \h </w:instrText>
        </w:r>
        <w:r>
          <w:rPr>
            <w:noProof/>
            <w:webHidden/>
          </w:rPr>
        </w:r>
        <w:r>
          <w:rPr>
            <w:noProof/>
            <w:webHidden/>
          </w:rPr>
          <w:fldChar w:fldCharType="separate"/>
        </w:r>
        <w:r>
          <w:rPr>
            <w:noProof/>
            <w:webHidden/>
          </w:rPr>
          <w:t>504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23" w:history="1">
        <w:r w:rsidRPr="00CD0B56">
          <w:rPr>
            <w:rStyle w:val="Hyperlink"/>
            <w:noProof/>
          </w:rPr>
          <w:t>2.1.1255</w:t>
        </w:r>
        <w:r>
          <w:rPr>
            <w:rFonts w:asciiTheme="minorHAnsi" w:eastAsiaTheme="minorEastAsia" w:hAnsiTheme="minorHAnsi" w:cstheme="minorBidi"/>
            <w:noProof/>
            <w:sz w:val="22"/>
            <w:szCs w:val="22"/>
          </w:rPr>
          <w:tab/>
        </w:r>
        <w:r w:rsidRPr="00CD0B56">
          <w:rPr>
            <w:rStyle w:val="Hyperlink"/>
            <w:noProof/>
          </w:rPr>
          <w:t>Part 1 Section 20.1.4.1.15, folHlink (Followed Hyperlink)</w:t>
        </w:r>
        <w:r>
          <w:rPr>
            <w:noProof/>
            <w:webHidden/>
          </w:rPr>
          <w:tab/>
        </w:r>
        <w:r>
          <w:rPr>
            <w:noProof/>
            <w:webHidden/>
          </w:rPr>
          <w:fldChar w:fldCharType="begin"/>
        </w:r>
        <w:r>
          <w:rPr>
            <w:noProof/>
            <w:webHidden/>
          </w:rPr>
          <w:instrText xml:space="preserve"> PAGEREF _Toc12261323 \h </w:instrText>
        </w:r>
        <w:r>
          <w:rPr>
            <w:noProof/>
            <w:webHidden/>
          </w:rPr>
        </w:r>
        <w:r>
          <w:rPr>
            <w:noProof/>
            <w:webHidden/>
          </w:rPr>
          <w:fldChar w:fldCharType="separate"/>
        </w:r>
        <w:r>
          <w:rPr>
            <w:noProof/>
            <w:webHidden/>
          </w:rPr>
          <w:t>504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24" w:history="1">
        <w:r w:rsidRPr="00CD0B56">
          <w:rPr>
            <w:rStyle w:val="Hyperlink"/>
            <w:noProof/>
          </w:rPr>
          <w:t>2.1.1256</w:t>
        </w:r>
        <w:r>
          <w:rPr>
            <w:rFonts w:asciiTheme="minorHAnsi" w:eastAsiaTheme="minorEastAsia" w:hAnsiTheme="minorHAnsi" w:cstheme="minorBidi"/>
            <w:noProof/>
            <w:sz w:val="22"/>
            <w:szCs w:val="22"/>
          </w:rPr>
          <w:tab/>
        </w:r>
        <w:r w:rsidRPr="00CD0B56">
          <w:rPr>
            <w:rStyle w:val="Hyperlink"/>
            <w:noProof/>
          </w:rPr>
          <w:t>Part 1 Section 20.1.4.1.17, fontRef (Font Reference)</w:t>
        </w:r>
        <w:r>
          <w:rPr>
            <w:noProof/>
            <w:webHidden/>
          </w:rPr>
          <w:tab/>
        </w:r>
        <w:r>
          <w:rPr>
            <w:noProof/>
            <w:webHidden/>
          </w:rPr>
          <w:fldChar w:fldCharType="begin"/>
        </w:r>
        <w:r>
          <w:rPr>
            <w:noProof/>
            <w:webHidden/>
          </w:rPr>
          <w:instrText xml:space="preserve"> PAGEREF _Toc12261324 \h </w:instrText>
        </w:r>
        <w:r>
          <w:rPr>
            <w:noProof/>
            <w:webHidden/>
          </w:rPr>
        </w:r>
        <w:r>
          <w:rPr>
            <w:noProof/>
            <w:webHidden/>
          </w:rPr>
          <w:fldChar w:fldCharType="separate"/>
        </w:r>
        <w:r>
          <w:rPr>
            <w:noProof/>
            <w:webHidden/>
          </w:rPr>
          <w:t>504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25" w:history="1">
        <w:r w:rsidRPr="00CD0B56">
          <w:rPr>
            <w:rStyle w:val="Hyperlink"/>
            <w:noProof/>
          </w:rPr>
          <w:t>2.1.1257</w:t>
        </w:r>
        <w:r>
          <w:rPr>
            <w:rFonts w:asciiTheme="minorHAnsi" w:eastAsiaTheme="minorEastAsia" w:hAnsiTheme="minorHAnsi" w:cstheme="minorBidi"/>
            <w:noProof/>
            <w:sz w:val="22"/>
            <w:szCs w:val="22"/>
          </w:rPr>
          <w:tab/>
        </w:r>
        <w:r w:rsidRPr="00CD0B56">
          <w:rPr>
            <w:rStyle w:val="Hyperlink"/>
            <w:noProof/>
          </w:rPr>
          <w:t>Part 1 Section 20.1.4.1.19, hlink (Hyperlink)</w:t>
        </w:r>
        <w:r>
          <w:rPr>
            <w:noProof/>
            <w:webHidden/>
          </w:rPr>
          <w:tab/>
        </w:r>
        <w:r>
          <w:rPr>
            <w:noProof/>
            <w:webHidden/>
          </w:rPr>
          <w:fldChar w:fldCharType="begin"/>
        </w:r>
        <w:r>
          <w:rPr>
            <w:noProof/>
            <w:webHidden/>
          </w:rPr>
          <w:instrText xml:space="preserve"> PAGEREF _Toc12261325 \h </w:instrText>
        </w:r>
        <w:r>
          <w:rPr>
            <w:noProof/>
            <w:webHidden/>
          </w:rPr>
        </w:r>
        <w:r>
          <w:rPr>
            <w:noProof/>
            <w:webHidden/>
          </w:rPr>
          <w:fldChar w:fldCharType="separate"/>
        </w:r>
        <w:r>
          <w:rPr>
            <w:noProof/>
            <w:webHidden/>
          </w:rPr>
          <w:t>504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26" w:history="1">
        <w:r w:rsidRPr="00CD0B56">
          <w:rPr>
            <w:rStyle w:val="Hyperlink"/>
            <w:noProof/>
          </w:rPr>
          <w:t>2.1.1258</w:t>
        </w:r>
        <w:r>
          <w:rPr>
            <w:rFonts w:asciiTheme="minorHAnsi" w:eastAsiaTheme="minorEastAsia" w:hAnsiTheme="minorHAnsi" w:cstheme="minorBidi"/>
            <w:noProof/>
            <w:sz w:val="22"/>
            <w:szCs w:val="22"/>
          </w:rPr>
          <w:tab/>
        </w:r>
        <w:r w:rsidRPr="00CD0B56">
          <w:rPr>
            <w:rStyle w:val="Hyperlink"/>
            <w:noProof/>
          </w:rPr>
          <w:t>Part 1 Section 20.1.4.1.22, lt1 (Light 1)</w:t>
        </w:r>
        <w:r>
          <w:rPr>
            <w:noProof/>
            <w:webHidden/>
          </w:rPr>
          <w:tab/>
        </w:r>
        <w:r>
          <w:rPr>
            <w:noProof/>
            <w:webHidden/>
          </w:rPr>
          <w:fldChar w:fldCharType="begin"/>
        </w:r>
        <w:r>
          <w:rPr>
            <w:noProof/>
            <w:webHidden/>
          </w:rPr>
          <w:instrText xml:space="preserve"> PAGEREF _Toc12261326 \h </w:instrText>
        </w:r>
        <w:r>
          <w:rPr>
            <w:noProof/>
            <w:webHidden/>
          </w:rPr>
        </w:r>
        <w:r>
          <w:rPr>
            <w:noProof/>
            <w:webHidden/>
          </w:rPr>
          <w:fldChar w:fldCharType="separate"/>
        </w:r>
        <w:r>
          <w:rPr>
            <w:noProof/>
            <w:webHidden/>
          </w:rPr>
          <w:t>505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27" w:history="1">
        <w:r w:rsidRPr="00CD0B56">
          <w:rPr>
            <w:rStyle w:val="Hyperlink"/>
            <w:noProof/>
          </w:rPr>
          <w:t>2.1.1259</w:t>
        </w:r>
        <w:r>
          <w:rPr>
            <w:rFonts w:asciiTheme="minorHAnsi" w:eastAsiaTheme="minorEastAsia" w:hAnsiTheme="minorHAnsi" w:cstheme="minorBidi"/>
            <w:noProof/>
            <w:sz w:val="22"/>
            <w:szCs w:val="22"/>
          </w:rPr>
          <w:tab/>
        </w:r>
        <w:r w:rsidRPr="00CD0B56">
          <w:rPr>
            <w:rStyle w:val="Hyperlink"/>
            <w:noProof/>
          </w:rPr>
          <w:t>Part 1 Section 20.1.4.1.23, lt2 (Light 2)</w:t>
        </w:r>
        <w:r>
          <w:rPr>
            <w:noProof/>
            <w:webHidden/>
          </w:rPr>
          <w:tab/>
        </w:r>
        <w:r>
          <w:rPr>
            <w:noProof/>
            <w:webHidden/>
          </w:rPr>
          <w:fldChar w:fldCharType="begin"/>
        </w:r>
        <w:r>
          <w:rPr>
            <w:noProof/>
            <w:webHidden/>
          </w:rPr>
          <w:instrText xml:space="preserve"> PAGEREF _Toc12261327 \h </w:instrText>
        </w:r>
        <w:r>
          <w:rPr>
            <w:noProof/>
            <w:webHidden/>
          </w:rPr>
        </w:r>
        <w:r>
          <w:rPr>
            <w:noProof/>
            <w:webHidden/>
          </w:rPr>
          <w:fldChar w:fldCharType="separate"/>
        </w:r>
        <w:r>
          <w:rPr>
            <w:noProof/>
            <w:webHidden/>
          </w:rPr>
          <w:t>505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28" w:history="1">
        <w:r w:rsidRPr="00CD0B56">
          <w:rPr>
            <w:rStyle w:val="Hyperlink"/>
            <w:noProof/>
          </w:rPr>
          <w:t>2.1.1260</w:t>
        </w:r>
        <w:r>
          <w:rPr>
            <w:rFonts w:asciiTheme="minorHAnsi" w:eastAsiaTheme="minorEastAsia" w:hAnsiTheme="minorHAnsi" w:cstheme="minorBidi"/>
            <w:noProof/>
            <w:sz w:val="22"/>
            <w:szCs w:val="22"/>
          </w:rPr>
          <w:tab/>
        </w:r>
        <w:r w:rsidRPr="00CD0B56">
          <w:rPr>
            <w:rStyle w:val="Hyperlink"/>
            <w:noProof/>
          </w:rPr>
          <w:t>Part 1 Section 20.1.4.2.2, band1V (Band 1 Vertical)</w:t>
        </w:r>
        <w:r>
          <w:rPr>
            <w:noProof/>
            <w:webHidden/>
          </w:rPr>
          <w:tab/>
        </w:r>
        <w:r>
          <w:rPr>
            <w:noProof/>
            <w:webHidden/>
          </w:rPr>
          <w:fldChar w:fldCharType="begin"/>
        </w:r>
        <w:r>
          <w:rPr>
            <w:noProof/>
            <w:webHidden/>
          </w:rPr>
          <w:instrText xml:space="preserve"> PAGEREF _Toc12261328 \h </w:instrText>
        </w:r>
        <w:r>
          <w:rPr>
            <w:noProof/>
            <w:webHidden/>
          </w:rPr>
        </w:r>
        <w:r>
          <w:rPr>
            <w:noProof/>
            <w:webHidden/>
          </w:rPr>
          <w:fldChar w:fldCharType="separate"/>
        </w:r>
        <w:r>
          <w:rPr>
            <w:noProof/>
            <w:webHidden/>
          </w:rPr>
          <w:t>505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29" w:history="1">
        <w:r w:rsidRPr="00CD0B56">
          <w:rPr>
            <w:rStyle w:val="Hyperlink"/>
            <w:noProof/>
          </w:rPr>
          <w:t>2.1.1261</w:t>
        </w:r>
        <w:r>
          <w:rPr>
            <w:rFonts w:asciiTheme="minorHAnsi" w:eastAsiaTheme="minorEastAsia" w:hAnsiTheme="minorHAnsi" w:cstheme="minorBidi"/>
            <w:noProof/>
            <w:sz w:val="22"/>
            <w:szCs w:val="22"/>
          </w:rPr>
          <w:tab/>
        </w:r>
        <w:r w:rsidRPr="00CD0B56">
          <w:rPr>
            <w:rStyle w:val="Hyperlink"/>
            <w:noProof/>
          </w:rPr>
          <w:t>Part 1 Section 20.1.4.2.4, band2V (Band 2 Vertical)</w:t>
        </w:r>
        <w:r>
          <w:rPr>
            <w:noProof/>
            <w:webHidden/>
          </w:rPr>
          <w:tab/>
        </w:r>
        <w:r>
          <w:rPr>
            <w:noProof/>
            <w:webHidden/>
          </w:rPr>
          <w:fldChar w:fldCharType="begin"/>
        </w:r>
        <w:r>
          <w:rPr>
            <w:noProof/>
            <w:webHidden/>
          </w:rPr>
          <w:instrText xml:space="preserve"> PAGEREF _Toc12261329 \h </w:instrText>
        </w:r>
        <w:r>
          <w:rPr>
            <w:noProof/>
            <w:webHidden/>
          </w:rPr>
        </w:r>
        <w:r>
          <w:rPr>
            <w:noProof/>
            <w:webHidden/>
          </w:rPr>
          <w:fldChar w:fldCharType="separate"/>
        </w:r>
        <w:r>
          <w:rPr>
            <w:noProof/>
            <w:webHidden/>
          </w:rPr>
          <w:t>505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30" w:history="1">
        <w:r w:rsidRPr="00CD0B56">
          <w:rPr>
            <w:rStyle w:val="Hyperlink"/>
            <w:noProof/>
          </w:rPr>
          <w:t>2.1.1262</w:t>
        </w:r>
        <w:r>
          <w:rPr>
            <w:rFonts w:asciiTheme="minorHAnsi" w:eastAsiaTheme="minorEastAsia" w:hAnsiTheme="minorHAnsi" w:cstheme="minorBidi"/>
            <w:noProof/>
            <w:sz w:val="22"/>
            <w:szCs w:val="22"/>
          </w:rPr>
          <w:tab/>
        </w:r>
        <w:r w:rsidRPr="00CD0B56">
          <w:rPr>
            <w:rStyle w:val="Hyperlink"/>
            <w:noProof/>
          </w:rPr>
          <w:t>Part 1 Section 20.1.4.2.9, fill (Fill)</w:t>
        </w:r>
        <w:r>
          <w:rPr>
            <w:noProof/>
            <w:webHidden/>
          </w:rPr>
          <w:tab/>
        </w:r>
        <w:r>
          <w:rPr>
            <w:noProof/>
            <w:webHidden/>
          </w:rPr>
          <w:fldChar w:fldCharType="begin"/>
        </w:r>
        <w:r>
          <w:rPr>
            <w:noProof/>
            <w:webHidden/>
          </w:rPr>
          <w:instrText xml:space="preserve"> PAGEREF _Toc12261330 \h </w:instrText>
        </w:r>
        <w:r>
          <w:rPr>
            <w:noProof/>
            <w:webHidden/>
          </w:rPr>
        </w:r>
        <w:r>
          <w:rPr>
            <w:noProof/>
            <w:webHidden/>
          </w:rPr>
          <w:fldChar w:fldCharType="separate"/>
        </w:r>
        <w:r>
          <w:rPr>
            <w:noProof/>
            <w:webHidden/>
          </w:rPr>
          <w:t>505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31" w:history="1">
        <w:r w:rsidRPr="00CD0B56">
          <w:rPr>
            <w:rStyle w:val="Hyperlink"/>
            <w:noProof/>
          </w:rPr>
          <w:t>2.1.1263</w:t>
        </w:r>
        <w:r>
          <w:rPr>
            <w:rFonts w:asciiTheme="minorHAnsi" w:eastAsiaTheme="minorEastAsia" w:hAnsiTheme="minorHAnsi" w:cstheme="minorBidi"/>
            <w:noProof/>
            <w:sz w:val="22"/>
            <w:szCs w:val="22"/>
          </w:rPr>
          <w:tab/>
        </w:r>
        <w:r w:rsidRPr="00CD0B56">
          <w:rPr>
            <w:rStyle w:val="Hyperlink"/>
            <w:noProof/>
          </w:rPr>
          <w:t>Part 1 Section 20.1.4.2.19, lnRef (Line Reference)</w:t>
        </w:r>
        <w:r>
          <w:rPr>
            <w:noProof/>
            <w:webHidden/>
          </w:rPr>
          <w:tab/>
        </w:r>
        <w:r>
          <w:rPr>
            <w:noProof/>
            <w:webHidden/>
          </w:rPr>
          <w:fldChar w:fldCharType="begin"/>
        </w:r>
        <w:r>
          <w:rPr>
            <w:noProof/>
            <w:webHidden/>
          </w:rPr>
          <w:instrText xml:space="preserve"> PAGEREF _Toc12261331 \h </w:instrText>
        </w:r>
        <w:r>
          <w:rPr>
            <w:noProof/>
            <w:webHidden/>
          </w:rPr>
        </w:r>
        <w:r>
          <w:rPr>
            <w:noProof/>
            <w:webHidden/>
          </w:rPr>
          <w:fldChar w:fldCharType="separate"/>
        </w:r>
        <w:r>
          <w:rPr>
            <w:noProof/>
            <w:webHidden/>
          </w:rPr>
          <w:t>505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32" w:history="1">
        <w:r w:rsidRPr="00CD0B56">
          <w:rPr>
            <w:rStyle w:val="Hyperlink"/>
            <w:noProof/>
          </w:rPr>
          <w:t>2.1.1264</w:t>
        </w:r>
        <w:r>
          <w:rPr>
            <w:rFonts w:asciiTheme="minorHAnsi" w:eastAsiaTheme="minorEastAsia" w:hAnsiTheme="minorHAnsi" w:cstheme="minorBidi"/>
            <w:noProof/>
            <w:sz w:val="22"/>
            <w:szCs w:val="22"/>
          </w:rPr>
          <w:tab/>
        </w:r>
        <w:r w:rsidRPr="00CD0B56">
          <w:rPr>
            <w:rStyle w:val="Hyperlink"/>
            <w:noProof/>
          </w:rPr>
          <w:t>Part 1 Section 20.1.4.2.26, tblStyle (Table Style)</w:t>
        </w:r>
        <w:r>
          <w:rPr>
            <w:noProof/>
            <w:webHidden/>
          </w:rPr>
          <w:tab/>
        </w:r>
        <w:r>
          <w:rPr>
            <w:noProof/>
            <w:webHidden/>
          </w:rPr>
          <w:fldChar w:fldCharType="begin"/>
        </w:r>
        <w:r>
          <w:rPr>
            <w:noProof/>
            <w:webHidden/>
          </w:rPr>
          <w:instrText xml:space="preserve"> PAGEREF _Toc12261332 \h </w:instrText>
        </w:r>
        <w:r>
          <w:rPr>
            <w:noProof/>
            <w:webHidden/>
          </w:rPr>
        </w:r>
        <w:r>
          <w:rPr>
            <w:noProof/>
            <w:webHidden/>
          </w:rPr>
          <w:fldChar w:fldCharType="separate"/>
        </w:r>
        <w:r>
          <w:rPr>
            <w:noProof/>
            <w:webHidden/>
          </w:rPr>
          <w:t>505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33" w:history="1">
        <w:r w:rsidRPr="00CD0B56">
          <w:rPr>
            <w:rStyle w:val="Hyperlink"/>
            <w:noProof/>
          </w:rPr>
          <w:t>2.1.1265</w:t>
        </w:r>
        <w:r>
          <w:rPr>
            <w:rFonts w:asciiTheme="minorHAnsi" w:eastAsiaTheme="minorEastAsia" w:hAnsiTheme="minorHAnsi" w:cstheme="minorBidi"/>
            <w:noProof/>
            <w:sz w:val="22"/>
            <w:szCs w:val="22"/>
          </w:rPr>
          <w:tab/>
        </w:r>
        <w:r w:rsidRPr="00CD0B56">
          <w:rPr>
            <w:rStyle w:val="Hyperlink"/>
            <w:noProof/>
          </w:rPr>
          <w:t>Part 1 Section 20.1.5.1, anchor (Anchor Point)</w:t>
        </w:r>
        <w:r>
          <w:rPr>
            <w:noProof/>
            <w:webHidden/>
          </w:rPr>
          <w:tab/>
        </w:r>
        <w:r>
          <w:rPr>
            <w:noProof/>
            <w:webHidden/>
          </w:rPr>
          <w:fldChar w:fldCharType="begin"/>
        </w:r>
        <w:r>
          <w:rPr>
            <w:noProof/>
            <w:webHidden/>
          </w:rPr>
          <w:instrText xml:space="preserve"> PAGEREF _Toc12261333 \h </w:instrText>
        </w:r>
        <w:r>
          <w:rPr>
            <w:noProof/>
            <w:webHidden/>
          </w:rPr>
        </w:r>
        <w:r>
          <w:rPr>
            <w:noProof/>
            <w:webHidden/>
          </w:rPr>
          <w:fldChar w:fldCharType="separate"/>
        </w:r>
        <w:r>
          <w:rPr>
            <w:noProof/>
            <w:webHidden/>
          </w:rPr>
          <w:t>506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34" w:history="1">
        <w:r w:rsidRPr="00CD0B56">
          <w:rPr>
            <w:rStyle w:val="Hyperlink"/>
            <w:noProof/>
          </w:rPr>
          <w:t>2.1.1266</w:t>
        </w:r>
        <w:r>
          <w:rPr>
            <w:rFonts w:asciiTheme="minorHAnsi" w:eastAsiaTheme="minorEastAsia" w:hAnsiTheme="minorHAnsi" w:cstheme="minorBidi"/>
            <w:noProof/>
            <w:sz w:val="22"/>
            <w:szCs w:val="22"/>
          </w:rPr>
          <w:tab/>
        </w:r>
        <w:r w:rsidRPr="00CD0B56">
          <w:rPr>
            <w:rStyle w:val="Hyperlink"/>
            <w:noProof/>
          </w:rPr>
          <w:t>Part 1 Section 20.1.5.2, backdrop (Backdrop Plane)</w:t>
        </w:r>
        <w:r>
          <w:rPr>
            <w:noProof/>
            <w:webHidden/>
          </w:rPr>
          <w:tab/>
        </w:r>
        <w:r>
          <w:rPr>
            <w:noProof/>
            <w:webHidden/>
          </w:rPr>
          <w:fldChar w:fldCharType="begin"/>
        </w:r>
        <w:r>
          <w:rPr>
            <w:noProof/>
            <w:webHidden/>
          </w:rPr>
          <w:instrText xml:space="preserve"> PAGEREF _Toc12261334 \h </w:instrText>
        </w:r>
        <w:r>
          <w:rPr>
            <w:noProof/>
            <w:webHidden/>
          </w:rPr>
        </w:r>
        <w:r>
          <w:rPr>
            <w:noProof/>
            <w:webHidden/>
          </w:rPr>
          <w:fldChar w:fldCharType="separate"/>
        </w:r>
        <w:r>
          <w:rPr>
            <w:noProof/>
            <w:webHidden/>
          </w:rPr>
          <w:t>506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35" w:history="1">
        <w:r w:rsidRPr="00CD0B56">
          <w:rPr>
            <w:rStyle w:val="Hyperlink"/>
            <w:noProof/>
          </w:rPr>
          <w:t>2.1.1267</w:t>
        </w:r>
        <w:r>
          <w:rPr>
            <w:rFonts w:asciiTheme="minorHAnsi" w:eastAsiaTheme="minorEastAsia" w:hAnsiTheme="minorHAnsi" w:cstheme="minorBidi"/>
            <w:noProof/>
            <w:sz w:val="22"/>
            <w:szCs w:val="22"/>
          </w:rPr>
          <w:tab/>
        </w:r>
        <w:r w:rsidRPr="00CD0B56">
          <w:rPr>
            <w:rStyle w:val="Hyperlink"/>
            <w:noProof/>
          </w:rPr>
          <w:t>Part 1 Section 20.1.5.3, bevelB (Bottom Bevel)</w:t>
        </w:r>
        <w:r>
          <w:rPr>
            <w:noProof/>
            <w:webHidden/>
          </w:rPr>
          <w:tab/>
        </w:r>
        <w:r>
          <w:rPr>
            <w:noProof/>
            <w:webHidden/>
          </w:rPr>
          <w:fldChar w:fldCharType="begin"/>
        </w:r>
        <w:r>
          <w:rPr>
            <w:noProof/>
            <w:webHidden/>
          </w:rPr>
          <w:instrText xml:space="preserve"> PAGEREF _Toc12261335 \h </w:instrText>
        </w:r>
        <w:r>
          <w:rPr>
            <w:noProof/>
            <w:webHidden/>
          </w:rPr>
        </w:r>
        <w:r>
          <w:rPr>
            <w:noProof/>
            <w:webHidden/>
          </w:rPr>
          <w:fldChar w:fldCharType="separate"/>
        </w:r>
        <w:r>
          <w:rPr>
            <w:noProof/>
            <w:webHidden/>
          </w:rPr>
          <w:t>506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36" w:history="1">
        <w:r w:rsidRPr="00CD0B56">
          <w:rPr>
            <w:rStyle w:val="Hyperlink"/>
            <w:noProof/>
          </w:rPr>
          <w:t>2.1.1268</w:t>
        </w:r>
        <w:r>
          <w:rPr>
            <w:rFonts w:asciiTheme="minorHAnsi" w:eastAsiaTheme="minorEastAsia" w:hAnsiTheme="minorHAnsi" w:cstheme="minorBidi"/>
            <w:noProof/>
            <w:sz w:val="22"/>
            <w:szCs w:val="22"/>
          </w:rPr>
          <w:tab/>
        </w:r>
        <w:r w:rsidRPr="00CD0B56">
          <w:rPr>
            <w:rStyle w:val="Hyperlink"/>
            <w:noProof/>
          </w:rPr>
          <w:t>Part 1 Section 20.1.5.4, bevelT (Top Bevel)</w:t>
        </w:r>
        <w:r>
          <w:rPr>
            <w:noProof/>
            <w:webHidden/>
          </w:rPr>
          <w:tab/>
        </w:r>
        <w:r>
          <w:rPr>
            <w:noProof/>
            <w:webHidden/>
          </w:rPr>
          <w:fldChar w:fldCharType="begin"/>
        </w:r>
        <w:r>
          <w:rPr>
            <w:noProof/>
            <w:webHidden/>
          </w:rPr>
          <w:instrText xml:space="preserve"> PAGEREF _Toc12261336 \h </w:instrText>
        </w:r>
        <w:r>
          <w:rPr>
            <w:noProof/>
            <w:webHidden/>
          </w:rPr>
        </w:r>
        <w:r>
          <w:rPr>
            <w:noProof/>
            <w:webHidden/>
          </w:rPr>
          <w:fldChar w:fldCharType="separate"/>
        </w:r>
        <w:r>
          <w:rPr>
            <w:noProof/>
            <w:webHidden/>
          </w:rPr>
          <w:t>506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37" w:history="1">
        <w:r w:rsidRPr="00CD0B56">
          <w:rPr>
            <w:rStyle w:val="Hyperlink"/>
            <w:noProof/>
          </w:rPr>
          <w:t>2.1.1269</w:t>
        </w:r>
        <w:r>
          <w:rPr>
            <w:rFonts w:asciiTheme="minorHAnsi" w:eastAsiaTheme="minorEastAsia" w:hAnsiTheme="minorHAnsi" w:cstheme="minorBidi"/>
            <w:noProof/>
            <w:sz w:val="22"/>
            <w:szCs w:val="22"/>
          </w:rPr>
          <w:tab/>
        </w:r>
        <w:r w:rsidRPr="00CD0B56">
          <w:rPr>
            <w:rStyle w:val="Hyperlink"/>
            <w:noProof/>
          </w:rPr>
          <w:t>Part 1 Section 20.1.5.5, camera (Camera)</w:t>
        </w:r>
        <w:r>
          <w:rPr>
            <w:noProof/>
            <w:webHidden/>
          </w:rPr>
          <w:tab/>
        </w:r>
        <w:r>
          <w:rPr>
            <w:noProof/>
            <w:webHidden/>
          </w:rPr>
          <w:fldChar w:fldCharType="begin"/>
        </w:r>
        <w:r>
          <w:rPr>
            <w:noProof/>
            <w:webHidden/>
          </w:rPr>
          <w:instrText xml:space="preserve"> PAGEREF _Toc12261337 \h </w:instrText>
        </w:r>
        <w:r>
          <w:rPr>
            <w:noProof/>
            <w:webHidden/>
          </w:rPr>
        </w:r>
        <w:r>
          <w:rPr>
            <w:noProof/>
            <w:webHidden/>
          </w:rPr>
          <w:fldChar w:fldCharType="separate"/>
        </w:r>
        <w:r>
          <w:rPr>
            <w:noProof/>
            <w:webHidden/>
          </w:rPr>
          <w:t>506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38" w:history="1">
        <w:r w:rsidRPr="00CD0B56">
          <w:rPr>
            <w:rStyle w:val="Hyperlink"/>
            <w:noProof/>
          </w:rPr>
          <w:t>2.1.1270</w:t>
        </w:r>
        <w:r>
          <w:rPr>
            <w:rFonts w:asciiTheme="minorHAnsi" w:eastAsiaTheme="minorEastAsia" w:hAnsiTheme="minorHAnsi" w:cstheme="minorBidi"/>
            <w:noProof/>
            <w:sz w:val="22"/>
            <w:szCs w:val="22"/>
          </w:rPr>
          <w:tab/>
        </w:r>
        <w:r w:rsidRPr="00CD0B56">
          <w:rPr>
            <w:rStyle w:val="Hyperlink"/>
            <w:noProof/>
          </w:rPr>
          <w:t>Part 1 Section 20.1.5.6, contourClr (Contour Color)</w:t>
        </w:r>
        <w:r>
          <w:rPr>
            <w:noProof/>
            <w:webHidden/>
          </w:rPr>
          <w:tab/>
        </w:r>
        <w:r>
          <w:rPr>
            <w:noProof/>
            <w:webHidden/>
          </w:rPr>
          <w:fldChar w:fldCharType="begin"/>
        </w:r>
        <w:r>
          <w:rPr>
            <w:noProof/>
            <w:webHidden/>
          </w:rPr>
          <w:instrText xml:space="preserve"> PAGEREF _Toc12261338 \h </w:instrText>
        </w:r>
        <w:r>
          <w:rPr>
            <w:noProof/>
            <w:webHidden/>
          </w:rPr>
        </w:r>
        <w:r>
          <w:rPr>
            <w:noProof/>
            <w:webHidden/>
          </w:rPr>
          <w:fldChar w:fldCharType="separate"/>
        </w:r>
        <w:r>
          <w:rPr>
            <w:noProof/>
            <w:webHidden/>
          </w:rPr>
          <w:t>506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39" w:history="1">
        <w:r w:rsidRPr="00CD0B56">
          <w:rPr>
            <w:rStyle w:val="Hyperlink"/>
            <w:noProof/>
          </w:rPr>
          <w:t>2.1.1271</w:t>
        </w:r>
        <w:r>
          <w:rPr>
            <w:rFonts w:asciiTheme="minorHAnsi" w:eastAsiaTheme="minorEastAsia" w:hAnsiTheme="minorHAnsi" w:cstheme="minorBidi"/>
            <w:noProof/>
            <w:sz w:val="22"/>
            <w:szCs w:val="22"/>
          </w:rPr>
          <w:tab/>
        </w:r>
        <w:r w:rsidRPr="00CD0B56">
          <w:rPr>
            <w:rStyle w:val="Hyperlink"/>
            <w:noProof/>
          </w:rPr>
          <w:t>Part 1 Section 20.1.5.7, extrusionClr (Extrusion Color)</w:t>
        </w:r>
        <w:r>
          <w:rPr>
            <w:noProof/>
            <w:webHidden/>
          </w:rPr>
          <w:tab/>
        </w:r>
        <w:r>
          <w:rPr>
            <w:noProof/>
            <w:webHidden/>
          </w:rPr>
          <w:fldChar w:fldCharType="begin"/>
        </w:r>
        <w:r>
          <w:rPr>
            <w:noProof/>
            <w:webHidden/>
          </w:rPr>
          <w:instrText xml:space="preserve"> PAGEREF _Toc12261339 \h </w:instrText>
        </w:r>
        <w:r>
          <w:rPr>
            <w:noProof/>
            <w:webHidden/>
          </w:rPr>
        </w:r>
        <w:r>
          <w:rPr>
            <w:noProof/>
            <w:webHidden/>
          </w:rPr>
          <w:fldChar w:fldCharType="separate"/>
        </w:r>
        <w:r>
          <w:rPr>
            <w:noProof/>
            <w:webHidden/>
          </w:rPr>
          <w:t>506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40" w:history="1">
        <w:r w:rsidRPr="00CD0B56">
          <w:rPr>
            <w:rStyle w:val="Hyperlink"/>
            <w:noProof/>
          </w:rPr>
          <w:t>2.1.1272</w:t>
        </w:r>
        <w:r>
          <w:rPr>
            <w:rFonts w:asciiTheme="minorHAnsi" w:eastAsiaTheme="minorEastAsia" w:hAnsiTheme="minorHAnsi" w:cstheme="minorBidi"/>
            <w:noProof/>
            <w:sz w:val="22"/>
            <w:szCs w:val="22"/>
          </w:rPr>
          <w:tab/>
        </w:r>
        <w:r w:rsidRPr="00CD0B56">
          <w:rPr>
            <w:rStyle w:val="Hyperlink"/>
            <w:noProof/>
          </w:rPr>
          <w:t>Part 1 Section 20.1.5.8, flatTx (No text in 3D scene)</w:t>
        </w:r>
        <w:r>
          <w:rPr>
            <w:noProof/>
            <w:webHidden/>
          </w:rPr>
          <w:tab/>
        </w:r>
        <w:r>
          <w:rPr>
            <w:noProof/>
            <w:webHidden/>
          </w:rPr>
          <w:fldChar w:fldCharType="begin"/>
        </w:r>
        <w:r>
          <w:rPr>
            <w:noProof/>
            <w:webHidden/>
          </w:rPr>
          <w:instrText xml:space="preserve"> PAGEREF _Toc12261340 \h </w:instrText>
        </w:r>
        <w:r>
          <w:rPr>
            <w:noProof/>
            <w:webHidden/>
          </w:rPr>
        </w:r>
        <w:r>
          <w:rPr>
            <w:noProof/>
            <w:webHidden/>
          </w:rPr>
          <w:fldChar w:fldCharType="separate"/>
        </w:r>
        <w:r>
          <w:rPr>
            <w:noProof/>
            <w:webHidden/>
          </w:rPr>
          <w:t>507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41" w:history="1">
        <w:r w:rsidRPr="00CD0B56">
          <w:rPr>
            <w:rStyle w:val="Hyperlink"/>
            <w:noProof/>
          </w:rPr>
          <w:t>2.1.1273</w:t>
        </w:r>
        <w:r>
          <w:rPr>
            <w:rFonts w:asciiTheme="minorHAnsi" w:eastAsiaTheme="minorEastAsia" w:hAnsiTheme="minorHAnsi" w:cstheme="minorBidi"/>
            <w:noProof/>
            <w:sz w:val="22"/>
            <w:szCs w:val="22"/>
          </w:rPr>
          <w:tab/>
        </w:r>
        <w:r w:rsidRPr="00CD0B56">
          <w:rPr>
            <w:rStyle w:val="Hyperlink"/>
            <w:noProof/>
          </w:rPr>
          <w:t>Part 1 Section 20.1.5.9, lightRig (Light Rig)</w:t>
        </w:r>
        <w:r>
          <w:rPr>
            <w:noProof/>
            <w:webHidden/>
          </w:rPr>
          <w:tab/>
        </w:r>
        <w:r>
          <w:rPr>
            <w:noProof/>
            <w:webHidden/>
          </w:rPr>
          <w:fldChar w:fldCharType="begin"/>
        </w:r>
        <w:r>
          <w:rPr>
            <w:noProof/>
            <w:webHidden/>
          </w:rPr>
          <w:instrText xml:space="preserve"> PAGEREF _Toc12261341 \h </w:instrText>
        </w:r>
        <w:r>
          <w:rPr>
            <w:noProof/>
            <w:webHidden/>
          </w:rPr>
        </w:r>
        <w:r>
          <w:rPr>
            <w:noProof/>
            <w:webHidden/>
          </w:rPr>
          <w:fldChar w:fldCharType="separate"/>
        </w:r>
        <w:r>
          <w:rPr>
            <w:noProof/>
            <w:webHidden/>
          </w:rPr>
          <w:t>507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42" w:history="1">
        <w:r w:rsidRPr="00CD0B56">
          <w:rPr>
            <w:rStyle w:val="Hyperlink"/>
            <w:noProof/>
          </w:rPr>
          <w:t>2.1.1274</w:t>
        </w:r>
        <w:r>
          <w:rPr>
            <w:rFonts w:asciiTheme="minorHAnsi" w:eastAsiaTheme="minorEastAsia" w:hAnsiTheme="minorHAnsi" w:cstheme="minorBidi"/>
            <w:noProof/>
            <w:sz w:val="22"/>
            <w:szCs w:val="22"/>
          </w:rPr>
          <w:tab/>
        </w:r>
        <w:r w:rsidRPr="00CD0B56">
          <w:rPr>
            <w:rStyle w:val="Hyperlink"/>
            <w:noProof/>
          </w:rPr>
          <w:t>Part 1 Section 20.1.5.10, norm (Normal)</w:t>
        </w:r>
        <w:r>
          <w:rPr>
            <w:noProof/>
            <w:webHidden/>
          </w:rPr>
          <w:tab/>
        </w:r>
        <w:r>
          <w:rPr>
            <w:noProof/>
            <w:webHidden/>
          </w:rPr>
          <w:fldChar w:fldCharType="begin"/>
        </w:r>
        <w:r>
          <w:rPr>
            <w:noProof/>
            <w:webHidden/>
          </w:rPr>
          <w:instrText xml:space="preserve"> PAGEREF _Toc12261342 \h </w:instrText>
        </w:r>
        <w:r>
          <w:rPr>
            <w:noProof/>
            <w:webHidden/>
          </w:rPr>
        </w:r>
        <w:r>
          <w:rPr>
            <w:noProof/>
            <w:webHidden/>
          </w:rPr>
          <w:fldChar w:fldCharType="separate"/>
        </w:r>
        <w:r>
          <w:rPr>
            <w:noProof/>
            <w:webHidden/>
          </w:rPr>
          <w:t>507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43" w:history="1">
        <w:r w:rsidRPr="00CD0B56">
          <w:rPr>
            <w:rStyle w:val="Hyperlink"/>
            <w:noProof/>
          </w:rPr>
          <w:t>2.1.1275</w:t>
        </w:r>
        <w:r>
          <w:rPr>
            <w:rFonts w:asciiTheme="minorHAnsi" w:eastAsiaTheme="minorEastAsia" w:hAnsiTheme="minorHAnsi" w:cstheme="minorBidi"/>
            <w:noProof/>
            <w:sz w:val="22"/>
            <w:szCs w:val="22"/>
          </w:rPr>
          <w:tab/>
        </w:r>
        <w:r w:rsidRPr="00CD0B56">
          <w:rPr>
            <w:rStyle w:val="Hyperlink"/>
            <w:noProof/>
          </w:rPr>
          <w:t>Part 1 Section 20.1.5.12, sp3d (Apply 3D shape properties)</w:t>
        </w:r>
        <w:r>
          <w:rPr>
            <w:noProof/>
            <w:webHidden/>
          </w:rPr>
          <w:tab/>
        </w:r>
        <w:r>
          <w:rPr>
            <w:noProof/>
            <w:webHidden/>
          </w:rPr>
          <w:fldChar w:fldCharType="begin"/>
        </w:r>
        <w:r>
          <w:rPr>
            <w:noProof/>
            <w:webHidden/>
          </w:rPr>
          <w:instrText xml:space="preserve"> PAGEREF _Toc12261343 \h </w:instrText>
        </w:r>
        <w:r>
          <w:rPr>
            <w:noProof/>
            <w:webHidden/>
          </w:rPr>
        </w:r>
        <w:r>
          <w:rPr>
            <w:noProof/>
            <w:webHidden/>
          </w:rPr>
          <w:fldChar w:fldCharType="separate"/>
        </w:r>
        <w:r>
          <w:rPr>
            <w:noProof/>
            <w:webHidden/>
          </w:rPr>
          <w:t>507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44" w:history="1">
        <w:r w:rsidRPr="00CD0B56">
          <w:rPr>
            <w:rStyle w:val="Hyperlink"/>
            <w:noProof/>
          </w:rPr>
          <w:t>2.1.1276</w:t>
        </w:r>
        <w:r>
          <w:rPr>
            <w:rFonts w:asciiTheme="minorHAnsi" w:eastAsiaTheme="minorEastAsia" w:hAnsiTheme="minorHAnsi" w:cstheme="minorBidi"/>
            <w:noProof/>
            <w:sz w:val="22"/>
            <w:szCs w:val="22"/>
          </w:rPr>
          <w:tab/>
        </w:r>
        <w:r w:rsidRPr="00CD0B56">
          <w:rPr>
            <w:rStyle w:val="Hyperlink"/>
            <w:noProof/>
          </w:rPr>
          <w:t>Part 1 Section 20.1.5.13, up (Up Vector)</w:t>
        </w:r>
        <w:r>
          <w:rPr>
            <w:noProof/>
            <w:webHidden/>
          </w:rPr>
          <w:tab/>
        </w:r>
        <w:r>
          <w:rPr>
            <w:noProof/>
            <w:webHidden/>
          </w:rPr>
          <w:fldChar w:fldCharType="begin"/>
        </w:r>
        <w:r>
          <w:rPr>
            <w:noProof/>
            <w:webHidden/>
          </w:rPr>
          <w:instrText xml:space="preserve"> PAGEREF _Toc12261344 \h </w:instrText>
        </w:r>
        <w:r>
          <w:rPr>
            <w:noProof/>
            <w:webHidden/>
          </w:rPr>
        </w:r>
        <w:r>
          <w:rPr>
            <w:noProof/>
            <w:webHidden/>
          </w:rPr>
          <w:fldChar w:fldCharType="separate"/>
        </w:r>
        <w:r>
          <w:rPr>
            <w:noProof/>
            <w:webHidden/>
          </w:rPr>
          <w:t>507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45" w:history="1">
        <w:r w:rsidRPr="00CD0B56">
          <w:rPr>
            <w:rStyle w:val="Hyperlink"/>
            <w:noProof/>
          </w:rPr>
          <w:t>2.1.1277</w:t>
        </w:r>
        <w:r>
          <w:rPr>
            <w:rFonts w:asciiTheme="minorHAnsi" w:eastAsiaTheme="minorEastAsia" w:hAnsiTheme="minorHAnsi" w:cstheme="minorBidi"/>
            <w:noProof/>
            <w:sz w:val="22"/>
            <w:szCs w:val="22"/>
          </w:rPr>
          <w:tab/>
        </w:r>
        <w:r w:rsidRPr="00CD0B56">
          <w:rPr>
            <w:rStyle w:val="Hyperlink"/>
            <w:noProof/>
          </w:rPr>
          <w:t>Part 1 Section 20.1.7.1, chExt (Child Extents)</w:t>
        </w:r>
        <w:r>
          <w:rPr>
            <w:noProof/>
            <w:webHidden/>
          </w:rPr>
          <w:tab/>
        </w:r>
        <w:r>
          <w:rPr>
            <w:noProof/>
            <w:webHidden/>
          </w:rPr>
          <w:fldChar w:fldCharType="begin"/>
        </w:r>
        <w:r>
          <w:rPr>
            <w:noProof/>
            <w:webHidden/>
          </w:rPr>
          <w:instrText xml:space="preserve"> PAGEREF _Toc12261345 \h </w:instrText>
        </w:r>
        <w:r>
          <w:rPr>
            <w:noProof/>
            <w:webHidden/>
          </w:rPr>
        </w:r>
        <w:r>
          <w:rPr>
            <w:noProof/>
            <w:webHidden/>
          </w:rPr>
          <w:fldChar w:fldCharType="separate"/>
        </w:r>
        <w:r>
          <w:rPr>
            <w:noProof/>
            <w:webHidden/>
          </w:rPr>
          <w:t>507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46" w:history="1">
        <w:r w:rsidRPr="00CD0B56">
          <w:rPr>
            <w:rStyle w:val="Hyperlink"/>
            <w:noProof/>
          </w:rPr>
          <w:t>2.1.1278</w:t>
        </w:r>
        <w:r>
          <w:rPr>
            <w:rFonts w:asciiTheme="minorHAnsi" w:eastAsiaTheme="minorEastAsia" w:hAnsiTheme="minorHAnsi" w:cstheme="minorBidi"/>
            <w:noProof/>
            <w:sz w:val="22"/>
            <w:szCs w:val="22"/>
          </w:rPr>
          <w:tab/>
        </w:r>
        <w:r w:rsidRPr="00CD0B56">
          <w:rPr>
            <w:rStyle w:val="Hyperlink"/>
            <w:noProof/>
          </w:rPr>
          <w:t>Part 1 Section 20.1.7.2, chOff (Child Offset)</w:t>
        </w:r>
        <w:r>
          <w:rPr>
            <w:noProof/>
            <w:webHidden/>
          </w:rPr>
          <w:tab/>
        </w:r>
        <w:r>
          <w:rPr>
            <w:noProof/>
            <w:webHidden/>
          </w:rPr>
          <w:fldChar w:fldCharType="begin"/>
        </w:r>
        <w:r>
          <w:rPr>
            <w:noProof/>
            <w:webHidden/>
          </w:rPr>
          <w:instrText xml:space="preserve"> PAGEREF _Toc12261346 \h </w:instrText>
        </w:r>
        <w:r>
          <w:rPr>
            <w:noProof/>
            <w:webHidden/>
          </w:rPr>
        </w:r>
        <w:r>
          <w:rPr>
            <w:noProof/>
            <w:webHidden/>
          </w:rPr>
          <w:fldChar w:fldCharType="separate"/>
        </w:r>
        <w:r>
          <w:rPr>
            <w:noProof/>
            <w:webHidden/>
          </w:rPr>
          <w:t>508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47" w:history="1">
        <w:r w:rsidRPr="00CD0B56">
          <w:rPr>
            <w:rStyle w:val="Hyperlink"/>
            <w:noProof/>
          </w:rPr>
          <w:t>2.1.1279</w:t>
        </w:r>
        <w:r>
          <w:rPr>
            <w:rFonts w:asciiTheme="minorHAnsi" w:eastAsiaTheme="minorEastAsia" w:hAnsiTheme="minorHAnsi" w:cstheme="minorBidi"/>
            <w:noProof/>
            <w:sz w:val="22"/>
            <w:szCs w:val="22"/>
          </w:rPr>
          <w:tab/>
        </w:r>
        <w:r w:rsidRPr="00CD0B56">
          <w:rPr>
            <w:rStyle w:val="Hyperlink"/>
            <w:noProof/>
          </w:rPr>
          <w:t>Part 1 Section 20.1.7.3, ext (Extents)</w:t>
        </w:r>
        <w:r>
          <w:rPr>
            <w:noProof/>
            <w:webHidden/>
          </w:rPr>
          <w:tab/>
        </w:r>
        <w:r>
          <w:rPr>
            <w:noProof/>
            <w:webHidden/>
          </w:rPr>
          <w:fldChar w:fldCharType="begin"/>
        </w:r>
        <w:r>
          <w:rPr>
            <w:noProof/>
            <w:webHidden/>
          </w:rPr>
          <w:instrText xml:space="preserve"> PAGEREF _Toc12261347 \h </w:instrText>
        </w:r>
        <w:r>
          <w:rPr>
            <w:noProof/>
            <w:webHidden/>
          </w:rPr>
        </w:r>
        <w:r>
          <w:rPr>
            <w:noProof/>
            <w:webHidden/>
          </w:rPr>
          <w:fldChar w:fldCharType="separate"/>
        </w:r>
        <w:r>
          <w:rPr>
            <w:noProof/>
            <w:webHidden/>
          </w:rPr>
          <w:t>508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48" w:history="1">
        <w:r w:rsidRPr="00CD0B56">
          <w:rPr>
            <w:rStyle w:val="Hyperlink"/>
            <w:noProof/>
          </w:rPr>
          <w:t>2.1.1280</w:t>
        </w:r>
        <w:r>
          <w:rPr>
            <w:rFonts w:asciiTheme="minorHAnsi" w:eastAsiaTheme="minorEastAsia" w:hAnsiTheme="minorHAnsi" w:cstheme="minorBidi"/>
            <w:noProof/>
            <w:sz w:val="22"/>
            <w:szCs w:val="22"/>
          </w:rPr>
          <w:tab/>
        </w:r>
        <w:r w:rsidRPr="00CD0B56">
          <w:rPr>
            <w:rStyle w:val="Hyperlink"/>
            <w:noProof/>
          </w:rPr>
          <w:t>Part 1 Section 20.1.7.4, off (Offset)</w:t>
        </w:r>
        <w:r>
          <w:rPr>
            <w:noProof/>
            <w:webHidden/>
          </w:rPr>
          <w:tab/>
        </w:r>
        <w:r>
          <w:rPr>
            <w:noProof/>
            <w:webHidden/>
          </w:rPr>
          <w:fldChar w:fldCharType="begin"/>
        </w:r>
        <w:r>
          <w:rPr>
            <w:noProof/>
            <w:webHidden/>
          </w:rPr>
          <w:instrText xml:space="preserve"> PAGEREF _Toc12261348 \h </w:instrText>
        </w:r>
        <w:r>
          <w:rPr>
            <w:noProof/>
            <w:webHidden/>
          </w:rPr>
        </w:r>
        <w:r>
          <w:rPr>
            <w:noProof/>
            <w:webHidden/>
          </w:rPr>
          <w:fldChar w:fldCharType="separate"/>
        </w:r>
        <w:r>
          <w:rPr>
            <w:noProof/>
            <w:webHidden/>
          </w:rPr>
          <w:t>508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49" w:history="1">
        <w:r w:rsidRPr="00CD0B56">
          <w:rPr>
            <w:rStyle w:val="Hyperlink"/>
            <w:noProof/>
          </w:rPr>
          <w:t>2.1.1281</w:t>
        </w:r>
        <w:r>
          <w:rPr>
            <w:rFonts w:asciiTheme="minorHAnsi" w:eastAsiaTheme="minorEastAsia" w:hAnsiTheme="minorHAnsi" w:cstheme="minorBidi"/>
            <w:noProof/>
            <w:sz w:val="22"/>
            <w:szCs w:val="22"/>
          </w:rPr>
          <w:tab/>
        </w:r>
        <w:r w:rsidRPr="00CD0B56">
          <w:rPr>
            <w:rStyle w:val="Hyperlink"/>
            <w:noProof/>
          </w:rPr>
          <w:t>Part 1 Section 20.1.7.5, xfrm (2D Transform for Grouped Objects)</w:t>
        </w:r>
        <w:r>
          <w:rPr>
            <w:noProof/>
            <w:webHidden/>
          </w:rPr>
          <w:tab/>
        </w:r>
        <w:r>
          <w:rPr>
            <w:noProof/>
            <w:webHidden/>
          </w:rPr>
          <w:fldChar w:fldCharType="begin"/>
        </w:r>
        <w:r>
          <w:rPr>
            <w:noProof/>
            <w:webHidden/>
          </w:rPr>
          <w:instrText xml:space="preserve"> PAGEREF _Toc12261349 \h </w:instrText>
        </w:r>
        <w:r>
          <w:rPr>
            <w:noProof/>
            <w:webHidden/>
          </w:rPr>
        </w:r>
        <w:r>
          <w:rPr>
            <w:noProof/>
            <w:webHidden/>
          </w:rPr>
          <w:fldChar w:fldCharType="separate"/>
        </w:r>
        <w:r>
          <w:rPr>
            <w:noProof/>
            <w:webHidden/>
          </w:rPr>
          <w:t>508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50" w:history="1">
        <w:r w:rsidRPr="00CD0B56">
          <w:rPr>
            <w:rStyle w:val="Hyperlink"/>
            <w:noProof/>
          </w:rPr>
          <w:t>2.1.1282</w:t>
        </w:r>
        <w:r>
          <w:rPr>
            <w:rFonts w:asciiTheme="minorHAnsi" w:eastAsiaTheme="minorEastAsia" w:hAnsiTheme="minorHAnsi" w:cstheme="minorBidi"/>
            <w:noProof/>
            <w:sz w:val="22"/>
            <w:szCs w:val="22"/>
          </w:rPr>
          <w:tab/>
        </w:r>
        <w:r w:rsidRPr="00CD0B56">
          <w:rPr>
            <w:rStyle w:val="Hyperlink"/>
            <w:noProof/>
          </w:rPr>
          <w:t>Part 1 Section 20.1.7.6, xfrm (2D Transform for Individual Objects)</w:t>
        </w:r>
        <w:r>
          <w:rPr>
            <w:noProof/>
            <w:webHidden/>
          </w:rPr>
          <w:tab/>
        </w:r>
        <w:r>
          <w:rPr>
            <w:noProof/>
            <w:webHidden/>
          </w:rPr>
          <w:fldChar w:fldCharType="begin"/>
        </w:r>
        <w:r>
          <w:rPr>
            <w:noProof/>
            <w:webHidden/>
          </w:rPr>
          <w:instrText xml:space="preserve"> PAGEREF _Toc12261350 \h </w:instrText>
        </w:r>
        <w:r>
          <w:rPr>
            <w:noProof/>
            <w:webHidden/>
          </w:rPr>
        </w:r>
        <w:r>
          <w:rPr>
            <w:noProof/>
            <w:webHidden/>
          </w:rPr>
          <w:fldChar w:fldCharType="separate"/>
        </w:r>
        <w:r>
          <w:rPr>
            <w:noProof/>
            <w:webHidden/>
          </w:rPr>
          <w:t>508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51" w:history="1">
        <w:r w:rsidRPr="00CD0B56">
          <w:rPr>
            <w:rStyle w:val="Hyperlink"/>
            <w:noProof/>
          </w:rPr>
          <w:t>2.1.1283</w:t>
        </w:r>
        <w:r>
          <w:rPr>
            <w:rFonts w:asciiTheme="minorHAnsi" w:eastAsiaTheme="minorEastAsia" w:hAnsiTheme="minorHAnsi" w:cstheme="minorBidi"/>
            <w:noProof/>
            <w:sz w:val="22"/>
            <w:szCs w:val="22"/>
          </w:rPr>
          <w:tab/>
        </w:r>
        <w:r w:rsidRPr="00CD0B56">
          <w:rPr>
            <w:rStyle w:val="Hyperlink"/>
            <w:noProof/>
          </w:rPr>
          <w:t>Part 1 Section 20.1.8, Shape, Fills, Effects and Line Properties</w:t>
        </w:r>
        <w:r>
          <w:rPr>
            <w:noProof/>
            <w:webHidden/>
          </w:rPr>
          <w:tab/>
        </w:r>
        <w:r>
          <w:rPr>
            <w:noProof/>
            <w:webHidden/>
          </w:rPr>
          <w:fldChar w:fldCharType="begin"/>
        </w:r>
        <w:r>
          <w:rPr>
            <w:noProof/>
            <w:webHidden/>
          </w:rPr>
          <w:instrText xml:space="preserve"> PAGEREF _Toc12261351 \h </w:instrText>
        </w:r>
        <w:r>
          <w:rPr>
            <w:noProof/>
            <w:webHidden/>
          </w:rPr>
        </w:r>
        <w:r>
          <w:rPr>
            <w:noProof/>
            <w:webHidden/>
          </w:rPr>
          <w:fldChar w:fldCharType="separate"/>
        </w:r>
        <w:r>
          <w:rPr>
            <w:noProof/>
            <w:webHidden/>
          </w:rPr>
          <w:t>509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52" w:history="1">
        <w:r w:rsidRPr="00CD0B56">
          <w:rPr>
            <w:rStyle w:val="Hyperlink"/>
            <w:noProof/>
          </w:rPr>
          <w:t>2.1.1284</w:t>
        </w:r>
        <w:r>
          <w:rPr>
            <w:rFonts w:asciiTheme="minorHAnsi" w:eastAsiaTheme="minorEastAsia" w:hAnsiTheme="minorHAnsi" w:cstheme="minorBidi"/>
            <w:noProof/>
            <w:sz w:val="22"/>
            <w:szCs w:val="22"/>
          </w:rPr>
          <w:tab/>
        </w:r>
        <w:r w:rsidRPr="00CD0B56">
          <w:rPr>
            <w:rStyle w:val="Hyperlink"/>
            <w:noProof/>
          </w:rPr>
          <w:t>Part 1 Section 20.1.8.4, alphaInv (Alpha Inverse Effect)</w:t>
        </w:r>
        <w:r>
          <w:rPr>
            <w:noProof/>
            <w:webHidden/>
          </w:rPr>
          <w:tab/>
        </w:r>
        <w:r>
          <w:rPr>
            <w:noProof/>
            <w:webHidden/>
          </w:rPr>
          <w:fldChar w:fldCharType="begin"/>
        </w:r>
        <w:r>
          <w:rPr>
            <w:noProof/>
            <w:webHidden/>
          </w:rPr>
          <w:instrText xml:space="preserve"> PAGEREF _Toc12261352 \h </w:instrText>
        </w:r>
        <w:r>
          <w:rPr>
            <w:noProof/>
            <w:webHidden/>
          </w:rPr>
        </w:r>
        <w:r>
          <w:rPr>
            <w:noProof/>
            <w:webHidden/>
          </w:rPr>
          <w:fldChar w:fldCharType="separate"/>
        </w:r>
        <w:r>
          <w:rPr>
            <w:noProof/>
            <w:webHidden/>
          </w:rPr>
          <w:t>510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53" w:history="1">
        <w:r w:rsidRPr="00CD0B56">
          <w:rPr>
            <w:rStyle w:val="Hyperlink"/>
            <w:noProof/>
          </w:rPr>
          <w:t>2.1.1285</w:t>
        </w:r>
        <w:r>
          <w:rPr>
            <w:rFonts w:asciiTheme="minorHAnsi" w:eastAsiaTheme="minorEastAsia" w:hAnsiTheme="minorHAnsi" w:cstheme="minorBidi"/>
            <w:noProof/>
            <w:sz w:val="22"/>
            <w:szCs w:val="22"/>
          </w:rPr>
          <w:tab/>
        </w:r>
        <w:r w:rsidRPr="00CD0B56">
          <w:rPr>
            <w:rStyle w:val="Hyperlink"/>
            <w:noProof/>
          </w:rPr>
          <w:t>Part 1 Section 20.1.8.5, alphaMod (Alpha Modulate Effect)</w:t>
        </w:r>
        <w:r>
          <w:rPr>
            <w:noProof/>
            <w:webHidden/>
          </w:rPr>
          <w:tab/>
        </w:r>
        <w:r>
          <w:rPr>
            <w:noProof/>
            <w:webHidden/>
          </w:rPr>
          <w:fldChar w:fldCharType="begin"/>
        </w:r>
        <w:r>
          <w:rPr>
            <w:noProof/>
            <w:webHidden/>
          </w:rPr>
          <w:instrText xml:space="preserve"> PAGEREF _Toc12261353 \h </w:instrText>
        </w:r>
        <w:r>
          <w:rPr>
            <w:noProof/>
            <w:webHidden/>
          </w:rPr>
        </w:r>
        <w:r>
          <w:rPr>
            <w:noProof/>
            <w:webHidden/>
          </w:rPr>
          <w:fldChar w:fldCharType="separate"/>
        </w:r>
        <w:r>
          <w:rPr>
            <w:noProof/>
            <w:webHidden/>
          </w:rPr>
          <w:t>510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54" w:history="1">
        <w:r w:rsidRPr="00CD0B56">
          <w:rPr>
            <w:rStyle w:val="Hyperlink"/>
            <w:noProof/>
          </w:rPr>
          <w:t>2.1.1286</w:t>
        </w:r>
        <w:r>
          <w:rPr>
            <w:rFonts w:asciiTheme="minorHAnsi" w:eastAsiaTheme="minorEastAsia" w:hAnsiTheme="minorHAnsi" w:cstheme="minorBidi"/>
            <w:noProof/>
            <w:sz w:val="22"/>
            <w:szCs w:val="22"/>
          </w:rPr>
          <w:tab/>
        </w:r>
        <w:r w:rsidRPr="00CD0B56">
          <w:rPr>
            <w:rStyle w:val="Hyperlink"/>
            <w:noProof/>
          </w:rPr>
          <w:t>Part 1 Section 20.1.8.6, alphaModFix (Alpha Modulate Fixed Effect)</w:t>
        </w:r>
        <w:r>
          <w:rPr>
            <w:noProof/>
            <w:webHidden/>
          </w:rPr>
          <w:tab/>
        </w:r>
        <w:r>
          <w:rPr>
            <w:noProof/>
            <w:webHidden/>
          </w:rPr>
          <w:fldChar w:fldCharType="begin"/>
        </w:r>
        <w:r>
          <w:rPr>
            <w:noProof/>
            <w:webHidden/>
          </w:rPr>
          <w:instrText xml:space="preserve"> PAGEREF _Toc12261354 \h </w:instrText>
        </w:r>
        <w:r>
          <w:rPr>
            <w:noProof/>
            <w:webHidden/>
          </w:rPr>
        </w:r>
        <w:r>
          <w:rPr>
            <w:noProof/>
            <w:webHidden/>
          </w:rPr>
          <w:fldChar w:fldCharType="separate"/>
        </w:r>
        <w:r>
          <w:rPr>
            <w:noProof/>
            <w:webHidden/>
          </w:rPr>
          <w:t>510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55" w:history="1">
        <w:r w:rsidRPr="00CD0B56">
          <w:rPr>
            <w:rStyle w:val="Hyperlink"/>
            <w:noProof/>
          </w:rPr>
          <w:t>2.1.1287</w:t>
        </w:r>
        <w:r>
          <w:rPr>
            <w:rFonts w:asciiTheme="minorHAnsi" w:eastAsiaTheme="minorEastAsia" w:hAnsiTheme="minorHAnsi" w:cstheme="minorBidi"/>
            <w:noProof/>
            <w:sz w:val="22"/>
            <w:szCs w:val="22"/>
          </w:rPr>
          <w:tab/>
        </w:r>
        <w:r w:rsidRPr="00CD0B56">
          <w:rPr>
            <w:rStyle w:val="Hyperlink"/>
            <w:noProof/>
          </w:rPr>
          <w:t>Part 1 Section 20.1.8.14, blipFill (Picture Fill)</w:t>
        </w:r>
        <w:r>
          <w:rPr>
            <w:noProof/>
            <w:webHidden/>
          </w:rPr>
          <w:tab/>
        </w:r>
        <w:r>
          <w:rPr>
            <w:noProof/>
            <w:webHidden/>
          </w:rPr>
          <w:fldChar w:fldCharType="begin"/>
        </w:r>
        <w:r>
          <w:rPr>
            <w:noProof/>
            <w:webHidden/>
          </w:rPr>
          <w:instrText xml:space="preserve"> PAGEREF _Toc12261355 \h </w:instrText>
        </w:r>
        <w:r>
          <w:rPr>
            <w:noProof/>
            <w:webHidden/>
          </w:rPr>
        </w:r>
        <w:r>
          <w:rPr>
            <w:noProof/>
            <w:webHidden/>
          </w:rPr>
          <w:fldChar w:fldCharType="separate"/>
        </w:r>
        <w:r>
          <w:rPr>
            <w:noProof/>
            <w:webHidden/>
          </w:rPr>
          <w:t>511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56" w:history="1">
        <w:r w:rsidRPr="00CD0B56">
          <w:rPr>
            <w:rStyle w:val="Hyperlink"/>
            <w:noProof/>
          </w:rPr>
          <w:t>2.1.1288</w:t>
        </w:r>
        <w:r>
          <w:rPr>
            <w:rFonts w:asciiTheme="minorHAnsi" w:eastAsiaTheme="minorEastAsia" w:hAnsiTheme="minorHAnsi" w:cstheme="minorBidi"/>
            <w:noProof/>
            <w:sz w:val="22"/>
            <w:szCs w:val="22"/>
          </w:rPr>
          <w:tab/>
        </w:r>
        <w:r w:rsidRPr="00CD0B56">
          <w:rPr>
            <w:rStyle w:val="Hyperlink"/>
            <w:noProof/>
          </w:rPr>
          <w:t>Part 1 Section 20.1.8.15, blur (Blur Effect)</w:t>
        </w:r>
        <w:r>
          <w:rPr>
            <w:noProof/>
            <w:webHidden/>
          </w:rPr>
          <w:tab/>
        </w:r>
        <w:r>
          <w:rPr>
            <w:noProof/>
            <w:webHidden/>
          </w:rPr>
          <w:fldChar w:fldCharType="begin"/>
        </w:r>
        <w:r>
          <w:rPr>
            <w:noProof/>
            <w:webHidden/>
          </w:rPr>
          <w:instrText xml:space="preserve"> PAGEREF _Toc12261356 \h </w:instrText>
        </w:r>
        <w:r>
          <w:rPr>
            <w:noProof/>
            <w:webHidden/>
          </w:rPr>
        </w:r>
        <w:r>
          <w:rPr>
            <w:noProof/>
            <w:webHidden/>
          </w:rPr>
          <w:fldChar w:fldCharType="separate"/>
        </w:r>
        <w:r>
          <w:rPr>
            <w:noProof/>
            <w:webHidden/>
          </w:rPr>
          <w:t>511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57" w:history="1">
        <w:r w:rsidRPr="00CD0B56">
          <w:rPr>
            <w:rStyle w:val="Hyperlink"/>
            <w:noProof/>
          </w:rPr>
          <w:t>2.1.1289</w:t>
        </w:r>
        <w:r>
          <w:rPr>
            <w:rFonts w:asciiTheme="minorHAnsi" w:eastAsiaTheme="minorEastAsia" w:hAnsiTheme="minorHAnsi" w:cstheme="minorBidi"/>
            <w:noProof/>
            <w:sz w:val="22"/>
            <w:szCs w:val="22"/>
          </w:rPr>
          <w:tab/>
        </w:r>
        <w:r w:rsidRPr="00CD0B56">
          <w:rPr>
            <w:rStyle w:val="Hyperlink"/>
            <w:noProof/>
          </w:rPr>
          <w:t>Part 1 Section 20.1.8.16, clrChange (Color Change Effect)</w:t>
        </w:r>
        <w:r>
          <w:rPr>
            <w:noProof/>
            <w:webHidden/>
          </w:rPr>
          <w:tab/>
        </w:r>
        <w:r>
          <w:rPr>
            <w:noProof/>
            <w:webHidden/>
          </w:rPr>
          <w:fldChar w:fldCharType="begin"/>
        </w:r>
        <w:r>
          <w:rPr>
            <w:noProof/>
            <w:webHidden/>
          </w:rPr>
          <w:instrText xml:space="preserve"> PAGEREF _Toc12261357 \h </w:instrText>
        </w:r>
        <w:r>
          <w:rPr>
            <w:noProof/>
            <w:webHidden/>
          </w:rPr>
        </w:r>
        <w:r>
          <w:rPr>
            <w:noProof/>
            <w:webHidden/>
          </w:rPr>
          <w:fldChar w:fldCharType="separate"/>
        </w:r>
        <w:r>
          <w:rPr>
            <w:noProof/>
            <w:webHidden/>
          </w:rPr>
          <w:t>511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58" w:history="1">
        <w:r w:rsidRPr="00CD0B56">
          <w:rPr>
            <w:rStyle w:val="Hyperlink"/>
            <w:noProof/>
          </w:rPr>
          <w:t>2.1.1290</w:t>
        </w:r>
        <w:r>
          <w:rPr>
            <w:rFonts w:asciiTheme="minorHAnsi" w:eastAsiaTheme="minorEastAsia" w:hAnsiTheme="minorHAnsi" w:cstheme="minorBidi"/>
            <w:noProof/>
            <w:sz w:val="22"/>
            <w:szCs w:val="22"/>
          </w:rPr>
          <w:tab/>
        </w:r>
        <w:r w:rsidRPr="00CD0B56">
          <w:rPr>
            <w:rStyle w:val="Hyperlink"/>
            <w:noProof/>
          </w:rPr>
          <w:t>Part 1 Section 20.1.8.20, cont (Effect Container)</w:t>
        </w:r>
        <w:r>
          <w:rPr>
            <w:noProof/>
            <w:webHidden/>
          </w:rPr>
          <w:tab/>
        </w:r>
        <w:r>
          <w:rPr>
            <w:noProof/>
            <w:webHidden/>
          </w:rPr>
          <w:fldChar w:fldCharType="begin"/>
        </w:r>
        <w:r>
          <w:rPr>
            <w:noProof/>
            <w:webHidden/>
          </w:rPr>
          <w:instrText xml:space="preserve"> PAGEREF _Toc12261358 \h </w:instrText>
        </w:r>
        <w:r>
          <w:rPr>
            <w:noProof/>
            <w:webHidden/>
          </w:rPr>
        </w:r>
        <w:r>
          <w:rPr>
            <w:noProof/>
            <w:webHidden/>
          </w:rPr>
          <w:fldChar w:fldCharType="separate"/>
        </w:r>
        <w:r>
          <w:rPr>
            <w:noProof/>
            <w:webHidden/>
          </w:rPr>
          <w:t>511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59" w:history="1">
        <w:r w:rsidRPr="00CD0B56">
          <w:rPr>
            <w:rStyle w:val="Hyperlink"/>
            <w:noProof/>
          </w:rPr>
          <w:t>2.1.1291</w:t>
        </w:r>
        <w:r>
          <w:rPr>
            <w:rFonts w:asciiTheme="minorHAnsi" w:eastAsiaTheme="minorEastAsia" w:hAnsiTheme="minorHAnsi" w:cstheme="minorBidi"/>
            <w:noProof/>
            <w:sz w:val="22"/>
            <w:szCs w:val="22"/>
          </w:rPr>
          <w:tab/>
        </w:r>
        <w:r w:rsidRPr="00CD0B56">
          <w:rPr>
            <w:rStyle w:val="Hyperlink"/>
            <w:noProof/>
          </w:rPr>
          <w:t>Part 1 Section 20.1.8.22, ds (Dash Stop)</w:t>
        </w:r>
        <w:r>
          <w:rPr>
            <w:noProof/>
            <w:webHidden/>
          </w:rPr>
          <w:tab/>
        </w:r>
        <w:r>
          <w:rPr>
            <w:noProof/>
            <w:webHidden/>
          </w:rPr>
          <w:fldChar w:fldCharType="begin"/>
        </w:r>
        <w:r>
          <w:rPr>
            <w:noProof/>
            <w:webHidden/>
          </w:rPr>
          <w:instrText xml:space="preserve"> PAGEREF _Toc12261359 \h </w:instrText>
        </w:r>
        <w:r>
          <w:rPr>
            <w:noProof/>
            <w:webHidden/>
          </w:rPr>
        </w:r>
        <w:r>
          <w:rPr>
            <w:noProof/>
            <w:webHidden/>
          </w:rPr>
          <w:fldChar w:fldCharType="separate"/>
        </w:r>
        <w:r>
          <w:rPr>
            <w:noProof/>
            <w:webHidden/>
          </w:rPr>
          <w:t>511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60" w:history="1">
        <w:r w:rsidRPr="00CD0B56">
          <w:rPr>
            <w:rStyle w:val="Hyperlink"/>
            <w:noProof/>
          </w:rPr>
          <w:t>2.1.1292</w:t>
        </w:r>
        <w:r>
          <w:rPr>
            <w:rFonts w:asciiTheme="minorHAnsi" w:eastAsiaTheme="minorEastAsia" w:hAnsiTheme="minorHAnsi" w:cstheme="minorBidi"/>
            <w:noProof/>
            <w:sz w:val="22"/>
            <w:szCs w:val="22"/>
          </w:rPr>
          <w:tab/>
        </w:r>
        <w:r w:rsidRPr="00CD0B56">
          <w:rPr>
            <w:rStyle w:val="Hyperlink"/>
            <w:noProof/>
          </w:rPr>
          <w:t>Part 1 Section 20.1.8.23, duotone (Duotone Effect)</w:t>
        </w:r>
        <w:r>
          <w:rPr>
            <w:noProof/>
            <w:webHidden/>
          </w:rPr>
          <w:tab/>
        </w:r>
        <w:r>
          <w:rPr>
            <w:noProof/>
            <w:webHidden/>
          </w:rPr>
          <w:fldChar w:fldCharType="begin"/>
        </w:r>
        <w:r>
          <w:rPr>
            <w:noProof/>
            <w:webHidden/>
          </w:rPr>
          <w:instrText xml:space="preserve"> PAGEREF _Toc12261360 \h </w:instrText>
        </w:r>
        <w:r>
          <w:rPr>
            <w:noProof/>
            <w:webHidden/>
          </w:rPr>
        </w:r>
        <w:r>
          <w:rPr>
            <w:noProof/>
            <w:webHidden/>
          </w:rPr>
          <w:fldChar w:fldCharType="separate"/>
        </w:r>
        <w:r>
          <w:rPr>
            <w:noProof/>
            <w:webHidden/>
          </w:rPr>
          <w:t>511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61" w:history="1">
        <w:r w:rsidRPr="00CD0B56">
          <w:rPr>
            <w:rStyle w:val="Hyperlink"/>
            <w:noProof/>
          </w:rPr>
          <w:t>2.1.1293</w:t>
        </w:r>
        <w:r>
          <w:rPr>
            <w:rFonts w:asciiTheme="minorHAnsi" w:eastAsiaTheme="minorEastAsia" w:hAnsiTheme="minorHAnsi" w:cstheme="minorBidi"/>
            <w:noProof/>
            <w:sz w:val="22"/>
            <w:szCs w:val="22"/>
          </w:rPr>
          <w:tab/>
        </w:r>
        <w:r w:rsidRPr="00CD0B56">
          <w:rPr>
            <w:rStyle w:val="Hyperlink"/>
            <w:noProof/>
          </w:rPr>
          <w:t>Part 1 Section 20.1.8.24, effect (Effect)</w:t>
        </w:r>
        <w:r>
          <w:rPr>
            <w:noProof/>
            <w:webHidden/>
          </w:rPr>
          <w:tab/>
        </w:r>
        <w:r>
          <w:rPr>
            <w:noProof/>
            <w:webHidden/>
          </w:rPr>
          <w:fldChar w:fldCharType="begin"/>
        </w:r>
        <w:r>
          <w:rPr>
            <w:noProof/>
            <w:webHidden/>
          </w:rPr>
          <w:instrText xml:space="preserve"> PAGEREF _Toc12261361 \h </w:instrText>
        </w:r>
        <w:r>
          <w:rPr>
            <w:noProof/>
            <w:webHidden/>
          </w:rPr>
        </w:r>
        <w:r>
          <w:rPr>
            <w:noProof/>
            <w:webHidden/>
          </w:rPr>
          <w:fldChar w:fldCharType="separate"/>
        </w:r>
        <w:r>
          <w:rPr>
            <w:noProof/>
            <w:webHidden/>
          </w:rPr>
          <w:t>512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62" w:history="1">
        <w:r w:rsidRPr="00CD0B56">
          <w:rPr>
            <w:rStyle w:val="Hyperlink"/>
            <w:noProof/>
          </w:rPr>
          <w:t>2.1.1294</w:t>
        </w:r>
        <w:r>
          <w:rPr>
            <w:rFonts w:asciiTheme="minorHAnsi" w:eastAsiaTheme="minorEastAsia" w:hAnsiTheme="minorHAnsi" w:cstheme="minorBidi"/>
            <w:noProof/>
            <w:sz w:val="22"/>
            <w:szCs w:val="22"/>
          </w:rPr>
          <w:tab/>
        </w:r>
        <w:r w:rsidRPr="00CD0B56">
          <w:rPr>
            <w:rStyle w:val="Hyperlink"/>
            <w:noProof/>
          </w:rPr>
          <w:t>Part 1 Section 20.1.8.25, effectDag (Effect Container)</w:t>
        </w:r>
        <w:r>
          <w:rPr>
            <w:noProof/>
            <w:webHidden/>
          </w:rPr>
          <w:tab/>
        </w:r>
        <w:r>
          <w:rPr>
            <w:noProof/>
            <w:webHidden/>
          </w:rPr>
          <w:fldChar w:fldCharType="begin"/>
        </w:r>
        <w:r>
          <w:rPr>
            <w:noProof/>
            <w:webHidden/>
          </w:rPr>
          <w:instrText xml:space="preserve"> PAGEREF _Toc12261362 \h </w:instrText>
        </w:r>
        <w:r>
          <w:rPr>
            <w:noProof/>
            <w:webHidden/>
          </w:rPr>
        </w:r>
        <w:r>
          <w:rPr>
            <w:noProof/>
            <w:webHidden/>
          </w:rPr>
          <w:fldChar w:fldCharType="separate"/>
        </w:r>
        <w:r>
          <w:rPr>
            <w:noProof/>
            <w:webHidden/>
          </w:rPr>
          <w:t>512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63" w:history="1">
        <w:r w:rsidRPr="00CD0B56">
          <w:rPr>
            <w:rStyle w:val="Hyperlink"/>
            <w:noProof/>
          </w:rPr>
          <w:t>2.1.1295</w:t>
        </w:r>
        <w:r>
          <w:rPr>
            <w:rFonts w:asciiTheme="minorHAnsi" w:eastAsiaTheme="minorEastAsia" w:hAnsiTheme="minorHAnsi" w:cstheme="minorBidi"/>
            <w:noProof/>
            <w:sz w:val="22"/>
            <w:szCs w:val="22"/>
          </w:rPr>
          <w:tab/>
        </w:r>
        <w:r w:rsidRPr="00CD0B56">
          <w:rPr>
            <w:rStyle w:val="Hyperlink"/>
            <w:noProof/>
          </w:rPr>
          <w:t>Part 1 Section 20.1.8.31, fillToRect (Fill To Rectangle)</w:t>
        </w:r>
        <w:r>
          <w:rPr>
            <w:noProof/>
            <w:webHidden/>
          </w:rPr>
          <w:tab/>
        </w:r>
        <w:r>
          <w:rPr>
            <w:noProof/>
            <w:webHidden/>
          </w:rPr>
          <w:fldChar w:fldCharType="begin"/>
        </w:r>
        <w:r>
          <w:rPr>
            <w:noProof/>
            <w:webHidden/>
          </w:rPr>
          <w:instrText xml:space="preserve"> PAGEREF _Toc12261363 \h </w:instrText>
        </w:r>
        <w:r>
          <w:rPr>
            <w:noProof/>
            <w:webHidden/>
          </w:rPr>
        </w:r>
        <w:r>
          <w:rPr>
            <w:noProof/>
            <w:webHidden/>
          </w:rPr>
          <w:fldChar w:fldCharType="separate"/>
        </w:r>
        <w:r>
          <w:rPr>
            <w:noProof/>
            <w:webHidden/>
          </w:rPr>
          <w:t>512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64" w:history="1">
        <w:r w:rsidRPr="00CD0B56">
          <w:rPr>
            <w:rStyle w:val="Hyperlink"/>
            <w:noProof/>
          </w:rPr>
          <w:t>2.1.1296</w:t>
        </w:r>
        <w:r>
          <w:rPr>
            <w:rFonts w:asciiTheme="minorHAnsi" w:eastAsiaTheme="minorEastAsia" w:hAnsiTheme="minorHAnsi" w:cstheme="minorBidi"/>
            <w:noProof/>
            <w:sz w:val="22"/>
            <w:szCs w:val="22"/>
          </w:rPr>
          <w:tab/>
        </w:r>
        <w:r w:rsidRPr="00CD0B56">
          <w:rPr>
            <w:rStyle w:val="Hyperlink"/>
            <w:noProof/>
          </w:rPr>
          <w:t>Part 1 Section 20.1.8.33, gradFill (Gradient Fill)</w:t>
        </w:r>
        <w:r>
          <w:rPr>
            <w:noProof/>
            <w:webHidden/>
          </w:rPr>
          <w:tab/>
        </w:r>
        <w:r>
          <w:rPr>
            <w:noProof/>
            <w:webHidden/>
          </w:rPr>
          <w:fldChar w:fldCharType="begin"/>
        </w:r>
        <w:r>
          <w:rPr>
            <w:noProof/>
            <w:webHidden/>
          </w:rPr>
          <w:instrText xml:space="preserve"> PAGEREF _Toc12261364 \h </w:instrText>
        </w:r>
        <w:r>
          <w:rPr>
            <w:noProof/>
            <w:webHidden/>
          </w:rPr>
        </w:r>
        <w:r>
          <w:rPr>
            <w:noProof/>
            <w:webHidden/>
          </w:rPr>
          <w:fldChar w:fldCharType="separate"/>
        </w:r>
        <w:r>
          <w:rPr>
            <w:noProof/>
            <w:webHidden/>
          </w:rPr>
          <w:t>512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65" w:history="1">
        <w:r w:rsidRPr="00CD0B56">
          <w:rPr>
            <w:rStyle w:val="Hyperlink"/>
            <w:noProof/>
          </w:rPr>
          <w:t>2.1.1297</w:t>
        </w:r>
        <w:r>
          <w:rPr>
            <w:rFonts w:asciiTheme="minorHAnsi" w:eastAsiaTheme="minorEastAsia" w:hAnsiTheme="minorHAnsi" w:cstheme="minorBidi"/>
            <w:noProof/>
            <w:sz w:val="22"/>
            <w:szCs w:val="22"/>
          </w:rPr>
          <w:tab/>
        </w:r>
        <w:r w:rsidRPr="00CD0B56">
          <w:rPr>
            <w:rStyle w:val="Hyperlink"/>
            <w:noProof/>
          </w:rPr>
          <w:t>Part 1 Section 20.1.8.35, grpFill (Group Fill)</w:t>
        </w:r>
        <w:r>
          <w:rPr>
            <w:noProof/>
            <w:webHidden/>
          </w:rPr>
          <w:tab/>
        </w:r>
        <w:r>
          <w:rPr>
            <w:noProof/>
            <w:webHidden/>
          </w:rPr>
          <w:fldChar w:fldCharType="begin"/>
        </w:r>
        <w:r>
          <w:rPr>
            <w:noProof/>
            <w:webHidden/>
          </w:rPr>
          <w:instrText xml:space="preserve"> PAGEREF _Toc12261365 \h </w:instrText>
        </w:r>
        <w:r>
          <w:rPr>
            <w:noProof/>
            <w:webHidden/>
          </w:rPr>
        </w:r>
        <w:r>
          <w:rPr>
            <w:noProof/>
            <w:webHidden/>
          </w:rPr>
          <w:fldChar w:fldCharType="separate"/>
        </w:r>
        <w:r>
          <w:rPr>
            <w:noProof/>
            <w:webHidden/>
          </w:rPr>
          <w:t>512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66" w:history="1">
        <w:r w:rsidRPr="00CD0B56">
          <w:rPr>
            <w:rStyle w:val="Hyperlink"/>
            <w:noProof/>
          </w:rPr>
          <w:t>2.1.1298</w:t>
        </w:r>
        <w:r>
          <w:rPr>
            <w:rFonts w:asciiTheme="minorHAnsi" w:eastAsiaTheme="minorEastAsia" w:hAnsiTheme="minorHAnsi" w:cstheme="minorBidi"/>
            <w:noProof/>
            <w:sz w:val="22"/>
            <w:szCs w:val="22"/>
          </w:rPr>
          <w:tab/>
        </w:r>
        <w:r w:rsidRPr="00CD0B56">
          <w:rPr>
            <w:rStyle w:val="Hyperlink"/>
            <w:noProof/>
          </w:rPr>
          <w:t>Part 1 Section 20.1.8.39, hsl (Hue Saturation Luminance Effect)</w:t>
        </w:r>
        <w:r>
          <w:rPr>
            <w:noProof/>
            <w:webHidden/>
          </w:rPr>
          <w:tab/>
        </w:r>
        <w:r>
          <w:rPr>
            <w:noProof/>
            <w:webHidden/>
          </w:rPr>
          <w:fldChar w:fldCharType="begin"/>
        </w:r>
        <w:r>
          <w:rPr>
            <w:noProof/>
            <w:webHidden/>
          </w:rPr>
          <w:instrText xml:space="preserve"> PAGEREF _Toc12261366 \h </w:instrText>
        </w:r>
        <w:r>
          <w:rPr>
            <w:noProof/>
            <w:webHidden/>
          </w:rPr>
        </w:r>
        <w:r>
          <w:rPr>
            <w:noProof/>
            <w:webHidden/>
          </w:rPr>
          <w:fldChar w:fldCharType="separate"/>
        </w:r>
        <w:r>
          <w:rPr>
            <w:noProof/>
            <w:webHidden/>
          </w:rPr>
          <w:t>512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67" w:history="1">
        <w:r w:rsidRPr="00CD0B56">
          <w:rPr>
            <w:rStyle w:val="Hyperlink"/>
            <w:noProof/>
          </w:rPr>
          <w:t>2.1.1299</w:t>
        </w:r>
        <w:r>
          <w:rPr>
            <w:rFonts w:asciiTheme="minorHAnsi" w:eastAsiaTheme="minorEastAsia" w:hAnsiTheme="minorHAnsi" w:cstheme="minorBidi"/>
            <w:noProof/>
            <w:sz w:val="22"/>
            <w:szCs w:val="22"/>
          </w:rPr>
          <w:tab/>
        </w:r>
        <w:r w:rsidRPr="00CD0B56">
          <w:rPr>
            <w:rStyle w:val="Hyperlink"/>
            <w:noProof/>
          </w:rPr>
          <w:t>Part 1 Section 20.1.8.40, innerShdw (Inner Shadow Effect)</w:t>
        </w:r>
        <w:r>
          <w:rPr>
            <w:noProof/>
            <w:webHidden/>
          </w:rPr>
          <w:tab/>
        </w:r>
        <w:r>
          <w:rPr>
            <w:noProof/>
            <w:webHidden/>
          </w:rPr>
          <w:fldChar w:fldCharType="begin"/>
        </w:r>
        <w:r>
          <w:rPr>
            <w:noProof/>
            <w:webHidden/>
          </w:rPr>
          <w:instrText xml:space="preserve"> PAGEREF _Toc12261367 \h </w:instrText>
        </w:r>
        <w:r>
          <w:rPr>
            <w:noProof/>
            <w:webHidden/>
          </w:rPr>
        </w:r>
        <w:r>
          <w:rPr>
            <w:noProof/>
            <w:webHidden/>
          </w:rPr>
          <w:fldChar w:fldCharType="separate"/>
        </w:r>
        <w:r>
          <w:rPr>
            <w:noProof/>
            <w:webHidden/>
          </w:rPr>
          <w:t>513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68" w:history="1">
        <w:r w:rsidRPr="00CD0B56">
          <w:rPr>
            <w:rStyle w:val="Hyperlink"/>
            <w:noProof/>
          </w:rPr>
          <w:t>2.1.1300</w:t>
        </w:r>
        <w:r>
          <w:rPr>
            <w:rFonts w:asciiTheme="minorHAnsi" w:eastAsiaTheme="minorEastAsia" w:hAnsiTheme="minorHAnsi" w:cstheme="minorBidi"/>
            <w:noProof/>
            <w:sz w:val="22"/>
            <w:szCs w:val="22"/>
          </w:rPr>
          <w:tab/>
        </w:r>
        <w:r w:rsidRPr="00CD0B56">
          <w:rPr>
            <w:rStyle w:val="Hyperlink"/>
            <w:noProof/>
          </w:rPr>
          <w:t>Part 1 Section 20.1.8.42, lum (Luminance Effect)</w:t>
        </w:r>
        <w:r>
          <w:rPr>
            <w:noProof/>
            <w:webHidden/>
          </w:rPr>
          <w:tab/>
        </w:r>
        <w:r>
          <w:rPr>
            <w:noProof/>
            <w:webHidden/>
          </w:rPr>
          <w:fldChar w:fldCharType="begin"/>
        </w:r>
        <w:r>
          <w:rPr>
            <w:noProof/>
            <w:webHidden/>
          </w:rPr>
          <w:instrText xml:space="preserve"> PAGEREF _Toc12261368 \h </w:instrText>
        </w:r>
        <w:r>
          <w:rPr>
            <w:noProof/>
            <w:webHidden/>
          </w:rPr>
        </w:r>
        <w:r>
          <w:rPr>
            <w:noProof/>
            <w:webHidden/>
          </w:rPr>
          <w:fldChar w:fldCharType="separate"/>
        </w:r>
        <w:r>
          <w:rPr>
            <w:noProof/>
            <w:webHidden/>
          </w:rPr>
          <w:t>513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69" w:history="1">
        <w:r w:rsidRPr="00CD0B56">
          <w:rPr>
            <w:rStyle w:val="Hyperlink"/>
            <w:noProof/>
          </w:rPr>
          <w:t>2.1.1301</w:t>
        </w:r>
        <w:r>
          <w:rPr>
            <w:rFonts w:asciiTheme="minorHAnsi" w:eastAsiaTheme="minorEastAsia" w:hAnsiTheme="minorHAnsi" w:cstheme="minorBidi"/>
            <w:noProof/>
            <w:sz w:val="22"/>
            <w:szCs w:val="22"/>
          </w:rPr>
          <w:tab/>
        </w:r>
        <w:r w:rsidRPr="00CD0B56">
          <w:rPr>
            <w:rStyle w:val="Hyperlink"/>
            <w:noProof/>
          </w:rPr>
          <w:t>Part 1 Section 20.1.8.43, miter (Miter Line Join)</w:t>
        </w:r>
        <w:r>
          <w:rPr>
            <w:noProof/>
            <w:webHidden/>
          </w:rPr>
          <w:tab/>
        </w:r>
        <w:r>
          <w:rPr>
            <w:noProof/>
            <w:webHidden/>
          </w:rPr>
          <w:fldChar w:fldCharType="begin"/>
        </w:r>
        <w:r>
          <w:rPr>
            <w:noProof/>
            <w:webHidden/>
          </w:rPr>
          <w:instrText xml:space="preserve"> PAGEREF _Toc12261369 \h </w:instrText>
        </w:r>
        <w:r>
          <w:rPr>
            <w:noProof/>
            <w:webHidden/>
          </w:rPr>
        </w:r>
        <w:r>
          <w:rPr>
            <w:noProof/>
            <w:webHidden/>
          </w:rPr>
          <w:fldChar w:fldCharType="separate"/>
        </w:r>
        <w:r>
          <w:rPr>
            <w:noProof/>
            <w:webHidden/>
          </w:rPr>
          <w:t>513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70" w:history="1">
        <w:r w:rsidRPr="00CD0B56">
          <w:rPr>
            <w:rStyle w:val="Hyperlink"/>
            <w:noProof/>
          </w:rPr>
          <w:t>2.1.1302</w:t>
        </w:r>
        <w:r>
          <w:rPr>
            <w:rFonts w:asciiTheme="minorHAnsi" w:eastAsiaTheme="minorEastAsia" w:hAnsiTheme="minorHAnsi" w:cstheme="minorBidi"/>
            <w:noProof/>
            <w:sz w:val="22"/>
            <w:szCs w:val="22"/>
          </w:rPr>
          <w:tab/>
        </w:r>
        <w:r w:rsidRPr="00CD0B56">
          <w:rPr>
            <w:rStyle w:val="Hyperlink"/>
            <w:noProof/>
          </w:rPr>
          <w:t>Part 1 Section 20.1.8.45, outerShdw (Outer Shadow Effect)</w:t>
        </w:r>
        <w:r>
          <w:rPr>
            <w:noProof/>
            <w:webHidden/>
          </w:rPr>
          <w:tab/>
        </w:r>
        <w:r>
          <w:rPr>
            <w:noProof/>
            <w:webHidden/>
          </w:rPr>
          <w:fldChar w:fldCharType="begin"/>
        </w:r>
        <w:r>
          <w:rPr>
            <w:noProof/>
            <w:webHidden/>
          </w:rPr>
          <w:instrText xml:space="preserve"> PAGEREF _Toc12261370 \h </w:instrText>
        </w:r>
        <w:r>
          <w:rPr>
            <w:noProof/>
            <w:webHidden/>
          </w:rPr>
        </w:r>
        <w:r>
          <w:rPr>
            <w:noProof/>
            <w:webHidden/>
          </w:rPr>
          <w:fldChar w:fldCharType="separate"/>
        </w:r>
        <w:r>
          <w:rPr>
            <w:noProof/>
            <w:webHidden/>
          </w:rPr>
          <w:t>513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71" w:history="1">
        <w:r w:rsidRPr="00CD0B56">
          <w:rPr>
            <w:rStyle w:val="Hyperlink"/>
            <w:noProof/>
          </w:rPr>
          <w:t>2.1.1303</w:t>
        </w:r>
        <w:r>
          <w:rPr>
            <w:rFonts w:asciiTheme="minorHAnsi" w:eastAsiaTheme="minorEastAsia" w:hAnsiTheme="minorHAnsi" w:cstheme="minorBidi"/>
            <w:noProof/>
            <w:sz w:val="22"/>
            <w:szCs w:val="22"/>
          </w:rPr>
          <w:tab/>
        </w:r>
        <w:r w:rsidRPr="00CD0B56">
          <w:rPr>
            <w:rStyle w:val="Hyperlink"/>
            <w:noProof/>
          </w:rPr>
          <w:t>Part 1 Section 20.1.8.50, reflection (Reflection Effect)</w:t>
        </w:r>
        <w:r>
          <w:rPr>
            <w:noProof/>
            <w:webHidden/>
          </w:rPr>
          <w:tab/>
        </w:r>
        <w:r>
          <w:rPr>
            <w:noProof/>
            <w:webHidden/>
          </w:rPr>
          <w:fldChar w:fldCharType="begin"/>
        </w:r>
        <w:r>
          <w:rPr>
            <w:noProof/>
            <w:webHidden/>
          </w:rPr>
          <w:instrText xml:space="preserve"> PAGEREF _Toc12261371 \h </w:instrText>
        </w:r>
        <w:r>
          <w:rPr>
            <w:noProof/>
            <w:webHidden/>
          </w:rPr>
        </w:r>
        <w:r>
          <w:rPr>
            <w:noProof/>
            <w:webHidden/>
          </w:rPr>
          <w:fldChar w:fldCharType="separate"/>
        </w:r>
        <w:r>
          <w:rPr>
            <w:noProof/>
            <w:webHidden/>
          </w:rPr>
          <w:t>513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72" w:history="1">
        <w:r w:rsidRPr="00CD0B56">
          <w:rPr>
            <w:rStyle w:val="Hyperlink"/>
            <w:noProof/>
          </w:rPr>
          <w:t>2.1.1304</w:t>
        </w:r>
        <w:r>
          <w:rPr>
            <w:rFonts w:asciiTheme="minorHAnsi" w:eastAsiaTheme="minorEastAsia" w:hAnsiTheme="minorHAnsi" w:cstheme="minorBidi"/>
            <w:noProof/>
            <w:sz w:val="22"/>
            <w:szCs w:val="22"/>
          </w:rPr>
          <w:tab/>
        </w:r>
        <w:r w:rsidRPr="00CD0B56">
          <w:rPr>
            <w:rStyle w:val="Hyperlink"/>
            <w:noProof/>
          </w:rPr>
          <w:t>Part 1 Section 20.1.8.52, round (Round Line Join)</w:t>
        </w:r>
        <w:r>
          <w:rPr>
            <w:noProof/>
            <w:webHidden/>
          </w:rPr>
          <w:tab/>
        </w:r>
        <w:r>
          <w:rPr>
            <w:noProof/>
            <w:webHidden/>
          </w:rPr>
          <w:fldChar w:fldCharType="begin"/>
        </w:r>
        <w:r>
          <w:rPr>
            <w:noProof/>
            <w:webHidden/>
          </w:rPr>
          <w:instrText xml:space="preserve"> PAGEREF _Toc12261372 \h </w:instrText>
        </w:r>
        <w:r>
          <w:rPr>
            <w:noProof/>
            <w:webHidden/>
          </w:rPr>
        </w:r>
        <w:r>
          <w:rPr>
            <w:noProof/>
            <w:webHidden/>
          </w:rPr>
          <w:fldChar w:fldCharType="separate"/>
        </w:r>
        <w:r>
          <w:rPr>
            <w:noProof/>
            <w:webHidden/>
          </w:rPr>
          <w:t>513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73" w:history="1">
        <w:r w:rsidRPr="00CD0B56">
          <w:rPr>
            <w:rStyle w:val="Hyperlink"/>
            <w:noProof/>
          </w:rPr>
          <w:t>2.1.1305</w:t>
        </w:r>
        <w:r>
          <w:rPr>
            <w:rFonts w:asciiTheme="minorHAnsi" w:eastAsiaTheme="minorEastAsia" w:hAnsiTheme="minorHAnsi" w:cstheme="minorBidi"/>
            <w:noProof/>
            <w:sz w:val="22"/>
            <w:szCs w:val="22"/>
          </w:rPr>
          <w:tab/>
        </w:r>
        <w:r w:rsidRPr="00CD0B56">
          <w:rPr>
            <w:rStyle w:val="Hyperlink"/>
            <w:noProof/>
          </w:rPr>
          <w:t>Part 1 Section 20.1.8.53, softEdge (Soft Edge Effect)</w:t>
        </w:r>
        <w:r>
          <w:rPr>
            <w:noProof/>
            <w:webHidden/>
          </w:rPr>
          <w:tab/>
        </w:r>
        <w:r>
          <w:rPr>
            <w:noProof/>
            <w:webHidden/>
          </w:rPr>
          <w:fldChar w:fldCharType="begin"/>
        </w:r>
        <w:r>
          <w:rPr>
            <w:noProof/>
            <w:webHidden/>
          </w:rPr>
          <w:instrText xml:space="preserve"> PAGEREF _Toc12261373 \h </w:instrText>
        </w:r>
        <w:r>
          <w:rPr>
            <w:noProof/>
            <w:webHidden/>
          </w:rPr>
        </w:r>
        <w:r>
          <w:rPr>
            <w:noProof/>
            <w:webHidden/>
          </w:rPr>
          <w:fldChar w:fldCharType="separate"/>
        </w:r>
        <w:r>
          <w:rPr>
            <w:noProof/>
            <w:webHidden/>
          </w:rPr>
          <w:t>514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74" w:history="1">
        <w:r w:rsidRPr="00CD0B56">
          <w:rPr>
            <w:rStyle w:val="Hyperlink"/>
            <w:noProof/>
          </w:rPr>
          <w:t>2.1.1306</w:t>
        </w:r>
        <w:r>
          <w:rPr>
            <w:rFonts w:asciiTheme="minorHAnsi" w:eastAsiaTheme="minorEastAsia" w:hAnsiTheme="minorHAnsi" w:cstheme="minorBidi"/>
            <w:noProof/>
            <w:sz w:val="22"/>
            <w:szCs w:val="22"/>
          </w:rPr>
          <w:tab/>
        </w:r>
        <w:r w:rsidRPr="00CD0B56">
          <w:rPr>
            <w:rStyle w:val="Hyperlink"/>
            <w:noProof/>
          </w:rPr>
          <w:t>Part 1 Section 20.1.8.55, srcRect (Source Rectangle)</w:t>
        </w:r>
        <w:r>
          <w:rPr>
            <w:noProof/>
            <w:webHidden/>
          </w:rPr>
          <w:tab/>
        </w:r>
        <w:r>
          <w:rPr>
            <w:noProof/>
            <w:webHidden/>
          </w:rPr>
          <w:fldChar w:fldCharType="begin"/>
        </w:r>
        <w:r>
          <w:rPr>
            <w:noProof/>
            <w:webHidden/>
          </w:rPr>
          <w:instrText xml:space="preserve"> PAGEREF _Toc12261374 \h </w:instrText>
        </w:r>
        <w:r>
          <w:rPr>
            <w:noProof/>
            <w:webHidden/>
          </w:rPr>
        </w:r>
        <w:r>
          <w:rPr>
            <w:noProof/>
            <w:webHidden/>
          </w:rPr>
          <w:fldChar w:fldCharType="separate"/>
        </w:r>
        <w:r>
          <w:rPr>
            <w:noProof/>
            <w:webHidden/>
          </w:rPr>
          <w:t>514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75" w:history="1">
        <w:r w:rsidRPr="00CD0B56">
          <w:rPr>
            <w:rStyle w:val="Hyperlink"/>
            <w:noProof/>
          </w:rPr>
          <w:t>2.1.1307</w:t>
        </w:r>
        <w:r>
          <w:rPr>
            <w:rFonts w:asciiTheme="minorHAnsi" w:eastAsiaTheme="minorEastAsia" w:hAnsiTheme="minorHAnsi" w:cstheme="minorBidi"/>
            <w:noProof/>
            <w:sz w:val="22"/>
            <w:szCs w:val="22"/>
          </w:rPr>
          <w:tab/>
        </w:r>
        <w:r w:rsidRPr="00CD0B56">
          <w:rPr>
            <w:rStyle w:val="Hyperlink"/>
            <w:noProof/>
          </w:rPr>
          <w:t>Part 1 Section 20.1.8.59, tileRect (Tile Rectangle)</w:t>
        </w:r>
        <w:r>
          <w:rPr>
            <w:noProof/>
            <w:webHidden/>
          </w:rPr>
          <w:tab/>
        </w:r>
        <w:r>
          <w:rPr>
            <w:noProof/>
            <w:webHidden/>
          </w:rPr>
          <w:fldChar w:fldCharType="begin"/>
        </w:r>
        <w:r>
          <w:rPr>
            <w:noProof/>
            <w:webHidden/>
          </w:rPr>
          <w:instrText xml:space="preserve"> PAGEREF _Toc12261375 \h </w:instrText>
        </w:r>
        <w:r>
          <w:rPr>
            <w:noProof/>
            <w:webHidden/>
          </w:rPr>
        </w:r>
        <w:r>
          <w:rPr>
            <w:noProof/>
            <w:webHidden/>
          </w:rPr>
          <w:fldChar w:fldCharType="separate"/>
        </w:r>
        <w:r>
          <w:rPr>
            <w:noProof/>
            <w:webHidden/>
          </w:rPr>
          <w:t>514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76" w:history="1">
        <w:r w:rsidRPr="00CD0B56">
          <w:rPr>
            <w:rStyle w:val="Hyperlink"/>
            <w:noProof/>
          </w:rPr>
          <w:t>2.1.1308</w:t>
        </w:r>
        <w:r>
          <w:rPr>
            <w:rFonts w:asciiTheme="minorHAnsi" w:eastAsiaTheme="minorEastAsia" w:hAnsiTheme="minorHAnsi" w:cstheme="minorBidi"/>
            <w:noProof/>
            <w:sz w:val="22"/>
            <w:szCs w:val="22"/>
          </w:rPr>
          <w:tab/>
        </w:r>
        <w:r w:rsidRPr="00CD0B56">
          <w:rPr>
            <w:rStyle w:val="Hyperlink"/>
            <w:noProof/>
          </w:rPr>
          <w:t>Part 1 Section 20.1.9.11, gd (Shape Guide)</w:t>
        </w:r>
        <w:r>
          <w:rPr>
            <w:noProof/>
            <w:webHidden/>
          </w:rPr>
          <w:tab/>
        </w:r>
        <w:r>
          <w:rPr>
            <w:noProof/>
            <w:webHidden/>
          </w:rPr>
          <w:fldChar w:fldCharType="begin"/>
        </w:r>
        <w:r>
          <w:rPr>
            <w:noProof/>
            <w:webHidden/>
          </w:rPr>
          <w:instrText xml:space="preserve"> PAGEREF _Toc12261376 \h </w:instrText>
        </w:r>
        <w:r>
          <w:rPr>
            <w:noProof/>
            <w:webHidden/>
          </w:rPr>
        </w:r>
        <w:r>
          <w:rPr>
            <w:noProof/>
            <w:webHidden/>
          </w:rPr>
          <w:fldChar w:fldCharType="separate"/>
        </w:r>
        <w:r>
          <w:rPr>
            <w:noProof/>
            <w:webHidden/>
          </w:rPr>
          <w:t>514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77" w:history="1">
        <w:r w:rsidRPr="00CD0B56">
          <w:rPr>
            <w:rStyle w:val="Hyperlink"/>
            <w:noProof/>
          </w:rPr>
          <w:t>2.1.1309</w:t>
        </w:r>
        <w:r>
          <w:rPr>
            <w:rFonts w:asciiTheme="minorHAnsi" w:eastAsiaTheme="minorEastAsia" w:hAnsiTheme="minorHAnsi" w:cstheme="minorBidi"/>
            <w:noProof/>
            <w:sz w:val="22"/>
            <w:szCs w:val="22"/>
          </w:rPr>
          <w:tab/>
        </w:r>
        <w:r w:rsidRPr="00CD0B56">
          <w:rPr>
            <w:rStyle w:val="Hyperlink"/>
            <w:noProof/>
          </w:rPr>
          <w:t>Part 1 Section 20.1.9.15, path (Shape Path)</w:t>
        </w:r>
        <w:r>
          <w:rPr>
            <w:noProof/>
            <w:webHidden/>
          </w:rPr>
          <w:tab/>
        </w:r>
        <w:r>
          <w:rPr>
            <w:noProof/>
            <w:webHidden/>
          </w:rPr>
          <w:fldChar w:fldCharType="begin"/>
        </w:r>
        <w:r>
          <w:rPr>
            <w:noProof/>
            <w:webHidden/>
          </w:rPr>
          <w:instrText xml:space="preserve"> PAGEREF _Toc12261377 \h </w:instrText>
        </w:r>
        <w:r>
          <w:rPr>
            <w:noProof/>
            <w:webHidden/>
          </w:rPr>
        </w:r>
        <w:r>
          <w:rPr>
            <w:noProof/>
            <w:webHidden/>
          </w:rPr>
          <w:fldChar w:fldCharType="separate"/>
        </w:r>
        <w:r>
          <w:rPr>
            <w:noProof/>
            <w:webHidden/>
          </w:rPr>
          <w:t>514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78" w:history="1">
        <w:r w:rsidRPr="00CD0B56">
          <w:rPr>
            <w:rStyle w:val="Hyperlink"/>
            <w:noProof/>
          </w:rPr>
          <w:t>2.1.1310</w:t>
        </w:r>
        <w:r>
          <w:rPr>
            <w:rFonts w:asciiTheme="minorHAnsi" w:eastAsiaTheme="minorEastAsia" w:hAnsiTheme="minorHAnsi" w:cstheme="minorBidi"/>
            <w:noProof/>
            <w:sz w:val="22"/>
            <w:szCs w:val="22"/>
          </w:rPr>
          <w:tab/>
        </w:r>
        <w:r w:rsidRPr="00CD0B56">
          <w:rPr>
            <w:rStyle w:val="Hyperlink"/>
            <w:noProof/>
          </w:rPr>
          <w:t>Part 1 Section 20.1.9.17, pos (Shape Position Coordinate)</w:t>
        </w:r>
        <w:r>
          <w:rPr>
            <w:noProof/>
            <w:webHidden/>
          </w:rPr>
          <w:tab/>
        </w:r>
        <w:r>
          <w:rPr>
            <w:noProof/>
            <w:webHidden/>
          </w:rPr>
          <w:fldChar w:fldCharType="begin"/>
        </w:r>
        <w:r>
          <w:rPr>
            <w:noProof/>
            <w:webHidden/>
          </w:rPr>
          <w:instrText xml:space="preserve"> PAGEREF _Toc12261378 \h </w:instrText>
        </w:r>
        <w:r>
          <w:rPr>
            <w:noProof/>
            <w:webHidden/>
          </w:rPr>
        </w:r>
        <w:r>
          <w:rPr>
            <w:noProof/>
            <w:webHidden/>
          </w:rPr>
          <w:fldChar w:fldCharType="separate"/>
        </w:r>
        <w:r>
          <w:rPr>
            <w:noProof/>
            <w:webHidden/>
          </w:rPr>
          <w:t>515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79" w:history="1">
        <w:r w:rsidRPr="00CD0B56">
          <w:rPr>
            <w:rStyle w:val="Hyperlink"/>
            <w:noProof/>
          </w:rPr>
          <w:t>2.1.1311</w:t>
        </w:r>
        <w:r>
          <w:rPr>
            <w:rFonts w:asciiTheme="minorHAnsi" w:eastAsiaTheme="minorEastAsia" w:hAnsiTheme="minorHAnsi" w:cstheme="minorBidi"/>
            <w:noProof/>
            <w:sz w:val="22"/>
            <w:szCs w:val="22"/>
          </w:rPr>
          <w:tab/>
        </w:r>
        <w:r w:rsidRPr="00CD0B56">
          <w:rPr>
            <w:rStyle w:val="Hyperlink"/>
            <w:noProof/>
          </w:rPr>
          <w:t>Part 1 Section 20.1.9.20, pt (Shape Path Point)</w:t>
        </w:r>
        <w:r>
          <w:rPr>
            <w:noProof/>
            <w:webHidden/>
          </w:rPr>
          <w:tab/>
        </w:r>
        <w:r>
          <w:rPr>
            <w:noProof/>
            <w:webHidden/>
          </w:rPr>
          <w:fldChar w:fldCharType="begin"/>
        </w:r>
        <w:r>
          <w:rPr>
            <w:noProof/>
            <w:webHidden/>
          </w:rPr>
          <w:instrText xml:space="preserve"> PAGEREF _Toc12261379 \h </w:instrText>
        </w:r>
        <w:r>
          <w:rPr>
            <w:noProof/>
            <w:webHidden/>
          </w:rPr>
        </w:r>
        <w:r>
          <w:rPr>
            <w:noProof/>
            <w:webHidden/>
          </w:rPr>
          <w:fldChar w:fldCharType="separate"/>
        </w:r>
        <w:r>
          <w:rPr>
            <w:noProof/>
            <w:webHidden/>
          </w:rPr>
          <w:t>515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80" w:history="1">
        <w:r w:rsidRPr="00CD0B56">
          <w:rPr>
            <w:rStyle w:val="Hyperlink"/>
            <w:noProof/>
          </w:rPr>
          <w:t>2.1.1312</w:t>
        </w:r>
        <w:r>
          <w:rPr>
            <w:rFonts w:asciiTheme="minorHAnsi" w:eastAsiaTheme="minorEastAsia" w:hAnsiTheme="minorHAnsi" w:cstheme="minorBidi"/>
            <w:noProof/>
            <w:sz w:val="22"/>
            <w:szCs w:val="22"/>
          </w:rPr>
          <w:tab/>
        </w:r>
        <w:r w:rsidRPr="00CD0B56">
          <w:rPr>
            <w:rStyle w:val="Hyperlink"/>
            <w:noProof/>
          </w:rPr>
          <w:t>Part 1 Section 20.1.10.12, ST_BlipCompression (Blip Compression Type)</w:t>
        </w:r>
        <w:r>
          <w:rPr>
            <w:noProof/>
            <w:webHidden/>
          </w:rPr>
          <w:tab/>
        </w:r>
        <w:r>
          <w:rPr>
            <w:noProof/>
            <w:webHidden/>
          </w:rPr>
          <w:fldChar w:fldCharType="begin"/>
        </w:r>
        <w:r>
          <w:rPr>
            <w:noProof/>
            <w:webHidden/>
          </w:rPr>
          <w:instrText xml:space="preserve"> PAGEREF _Toc12261380 \h </w:instrText>
        </w:r>
        <w:r>
          <w:rPr>
            <w:noProof/>
            <w:webHidden/>
          </w:rPr>
        </w:r>
        <w:r>
          <w:rPr>
            <w:noProof/>
            <w:webHidden/>
          </w:rPr>
          <w:fldChar w:fldCharType="separate"/>
        </w:r>
        <w:r>
          <w:rPr>
            <w:noProof/>
            <w:webHidden/>
          </w:rPr>
          <w:t>515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81" w:history="1">
        <w:r w:rsidRPr="00CD0B56">
          <w:rPr>
            <w:rStyle w:val="Hyperlink"/>
            <w:noProof/>
          </w:rPr>
          <w:t>2.1.1313</w:t>
        </w:r>
        <w:r>
          <w:rPr>
            <w:rFonts w:asciiTheme="minorHAnsi" w:eastAsiaTheme="minorEastAsia" w:hAnsiTheme="minorHAnsi" w:cstheme="minorBidi"/>
            <w:noProof/>
            <w:sz w:val="22"/>
            <w:szCs w:val="22"/>
          </w:rPr>
          <w:tab/>
        </w:r>
        <w:r w:rsidRPr="00CD0B56">
          <w:rPr>
            <w:rStyle w:val="Hyperlink"/>
            <w:noProof/>
          </w:rPr>
          <w:t>Part 1 Section 20.1.10.15, ST_CompoundLine (Compound Line Type)</w:t>
        </w:r>
        <w:r>
          <w:rPr>
            <w:noProof/>
            <w:webHidden/>
          </w:rPr>
          <w:tab/>
        </w:r>
        <w:r>
          <w:rPr>
            <w:noProof/>
            <w:webHidden/>
          </w:rPr>
          <w:fldChar w:fldCharType="begin"/>
        </w:r>
        <w:r>
          <w:rPr>
            <w:noProof/>
            <w:webHidden/>
          </w:rPr>
          <w:instrText xml:space="preserve"> PAGEREF _Toc12261381 \h </w:instrText>
        </w:r>
        <w:r>
          <w:rPr>
            <w:noProof/>
            <w:webHidden/>
          </w:rPr>
        </w:r>
        <w:r>
          <w:rPr>
            <w:noProof/>
            <w:webHidden/>
          </w:rPr>
          <w:fldChar w:fldCharType="separate"/>
        </w:r>
        <w:r>
          <w:rPr>
            <w:noProof/>
            <w:webHidden/>
          </w:rPr>
          <w:t>515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82" w:history="1">
        <w:r w:rsidRPr="00CD0B56">
          <w:rPr>
            <w:rStyle w:val="Hyperlink"/>
            <w:noProof/>
          </w:rPr>
          <w:t>2.1.1314</w:t>
        </w:r>
        <w:r>
          <w:rPr>
            <w:rFonts w:asciiTheme="minorHAnsi" w:eastAsiaTheme="minorEastAsia" w:hAnsiTheme="minorHAnsi" w:cstheme="minorBidi"/>
            <w:noProof/>
            <w:sz w:val="22"/>
            <w:szCs w:val="22"/>
          </w:rPr>
          <w:tab/>
        </w:r>
        <w:r w:rsidRPr="00CD0B56">
          <w:rPr>
            <w:rStyle w:val="Hyperlink"/>
            <w:noProof/>
          </w:rPr>
          <w:t>Part 1 Section 20.1.10.16, ST_Coordinate (Coordinate)</w:t>
        </w:r>
        <w:r>
          <w:rPr>
            <w:noProof/>
            <w:webHidden/>
          </w:rPr>
          <w:tab/>
        </w:r>
        <w:r>
          <w:rPr>
            <w:noProof/>
            <w:webHidden/>
          </w:rPr>
          <w:fldChar w:fldCharType="begin"/>
        </w:r>
        <w:r>
          <w:rPr>
            <w:noProof/>
            <w:webHidden/>
          </w:rPr>
          <w:instrText xml:space="preserve"> PAGEREF _Toc12261382 \h </w:instrText>
        </w:r>
        <w:r>
          <w:rPr>
            <w:noProof/>
            <w:webHidden/>
          </w:rPr>
        </w:r>
        <w:r>
          <w:rPr>
            <w:noProof/>
            <w:webHidden/>
          </w:rPr>
          <w:fldChar w:fldCharType="separate"/>
        </w:r>
        <w:r>
          <w:rPr>
            <w:noProof/>
            <w:webHidden/>
          </w:rPr>
          <w:t>515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83" w:history="1">
        <w:r w:rsidRPr="00CD0B56">
          <w:rPr>
            <w:rStyle w:val="Hyperlink"/>
            <w:noProof/>
          </w:rPr>
          <w:t>2.1.1315</w:t>
        </w:r>
        <w:r>
          <w:rPr>
            <w:rFonts w:asciiTheme="minorHAnsi" w:eastAsiaTheme="minorEastAsia" w:hAnsiTheme="minorHAnsi" w:cstheme="minorBidi"/>
            <w:noProof/>
            <w:sz w:val="22"/>
            <w:szCs w:val="22"/>
          </w:rPr>
          <w:tab/>
        </w:r>
        <w:r w:rsidRPr="00CD0B56">
          <w:rPr>
            <w:rStyle w:val="Hyperlink"/>
            <w:noProof/>
          </w:rPr>
          <w:t>Part 1 Section 20.1.10.17, ST_Coordinate32 (Coordinate Point)</w:t>
        </w:r>
        <w:r>
          <w:rPr>
            <w:noProof/>
            <w:webHidden/>
          </w:rPr>
          <w:tab/>
        </w:r>
        <w:r>
          <w:rPr>
            <w:noProof/>
            <w:webHidden/>
          </w:rPr>
          <w:fldChar w:fldCharType="begin"/>
        </w:r>
        <w:r>
          <w:rPr>
            <w:noProof/>
            <w:webHidden/>
          </w:rPr>
          <w:instrText xml:space="preserve"> PAGEREF _Toc12261383 \h </w:instrText>
        </w:r>
        <w:r>
          <w:rPr>
            <w:noProof/>
            <w:webHidden/>
          </w:rPr>
        </w:r>
        <w:r>
          <w:rPr>
            <w:noProof/>
            <w:webHidden/>
          </w:rPr>
          <w:fldChar w:fldCharType="separate"/>
        </w:r>
        <w:r>
          <w:rPr>
            <w:noProof/>
            <w:webHidden/>
          </w:rPr>
          <w:t>515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84" w:history="1">
        <w:r w:rsidRPr="00CD0B56">
          <w:rPr>
            <w:rStyle w:val="Hyperlink"/>
            <w:noProof/>
          </w:rPr>
          <w:t>2.1.1316</w:t>
        </w:r>
        <w:r>
          <w:rPr>
            <w:rFonts w:asciiTheme="minorHAnsi" w:eastAsiaTheme="minorEastAsia" w:hAnsiTheme="minorHAnsi" w:cstheme="minorBidi"/>
            <w:noProof/>
            <w:sz w:val="22"/>
            <w:szCs w:val="22"/>
          </w:rPr>
          <w:tab/>
        </w:r>
        <w:r w:rsidRPr="00CD0B56">
          <w:rPr>
            <w:rStyle w:val="Hyperlink"/>
            <w:noProof/>
          </w:rPr>
          <w:t>Part 1 Section 20.1.10.21, ST_DrawingElementId (Drawing Element ID)</w:t>
        </w:r>
        <w:r>
          <w:rPr>
            <w:noProof/>
            <w:webHidden/>
          </w:rPr>
          <w:tab/>
        </w:r>
        <w:r>
          <w:rPr>
            <w:noProof/>
            <w:webHidden/>
          </w:rPr>
          <w:fldChar w:fldCharType="begin"/>
        </w:r>
        <w:r>
          <w:rPr>
            <w:noProof/>
            <w:webHidden/>
          </w:rPr>
          <w:instrText xml:space="preserve"> PAGEREF _Toc12261384 \h </w:instrText>
        </w:r>
        <w:r>
          <w:rPr>
            <w:noProof/>
            <w:webHidden/>
          </w:rPr>
        </w:r>
        <w:r>
          <w:rPr>
            <w:noProof/>
            <w:webHidden/>
          </w:rPr>
          <w:fldChar w:fldCharType="separate"/>
        </w:r>
        <w:r>
          <w:rPr>
            <w:noProof/>
            <w:webHidden/>
          </w:rPr>
          <w:t>515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85" w:history="1">
        <w:r w:rsidRPr="00CD0B56">
          <w:rPr>
            <w:rStyle w:val="Hyperlink"/>
            <w:noProof/>
          </w:rPr>
          <w:t>2.1.1317</w:t>
        </w:r>
        <w:r>
          <w:rPr>
            <w:rFonts w:asciiTheme="minorHAnsi" w:eastAsiaTheme="minorEastAsia" w:hAnsiTheme="minorHAnsi" w:cstheme="minorBidi"/>
            <w:noProof/>
            <w:sz w:val="22"/>
            <w:szCs w:val="22"/>
          </w:rPr>
          <w:tab/>
        </w:r>
        <w:r w:rsidRPr="00CD0B56">
          <w:rPr>
            <w:rStyle w:val="Hyperlink"/>
            <w:noProof/>
          </w:rPr>
          <w:t>Part 1 Section 20.1.10.24, ST_FixedPercentage (Fixed Percentage)</w:t>
        </w:r>
        <w:r>
          <w:rPr>
            <w:noProof/>
            <w:webHidden/>
          </w:rPr>
          <w:tab/>
        </w:r>
        <w:r>
          <w:rPr>
            <w:noProof/>
            <w:webHidden/>
          </w:rPr>
          <w:fldChar w:fldCharType="begin"/>
        </w:r>
        <w:r>
          <w:rPr>
            <w:noProof/>
            <w:webHidden/>
          </w:rPr>
          <w:instrText xml:space="preserve"> PAGEREF _Toc12261385 \h </w:instrText>
        </w:r>
        <w:r>
          <w:rPr>
            <w:noProof/>
            <w:webHidden/>
          </w:rPr>
        </w:r>
        <w:r>
          <w:rPr>
            <w:noProof/>
            <w:webHidden/>
          </w:rPr>
          <w:fldChar w:fldCharType="separate"/>
        </w:r>
        <w:r>
          <w:rPr>
            <w:noProof/>
            <w:webHidden/>
          </w:rPr>
          <w:t>515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86" w:history="1">
        <w:r w:rsidRPr="00CD0B56">
          <w:rPr>
            <w:rStyle w:val="Hyperlink"/>
            <w:noProof/>
          </w:rPr>
          <w:t>2.1.1318</w:t>
        </w:r>
        <w:r>
          <w:rPr>
            <w:rFonts w:asciiTheme="minorHAnsi" w:eastAsiaTheme="minorEastAsia" w:hAnsiTheme="minorHAnsi" w:cstheme="minorBidi"/>
            <w:noProof/>
            <w:sz w:val="22"/>
            <w:szCs w:val="22"/>
          </w:rPr>
          <w:tab/>
        </w:r>
        <w:r w:rsidRPr="00CD0B56">
          <w:rPr>
            <w:rStyle w:val="Hyperlink"/>
            <w:noProof/>
          </w:rPr>
          <w:t>Part 1 Section 20.1.10.29, ST_LightRigDirection (Light Rig Direction)</w:t>
        </w:r>
        <w:r>
          <w:rPr>
            <w:noProof/>
            <w:webHidden/>
          </w:rPr>
          <w:tab/>
        </w:r>
        <w:r>
          <w:rPr>
            <w:noProof/>
            <w:webHidden/>
          </w:rPr>
          <w:fldChar w:fldCharType="begin"/>
        </w:r>
        <w:r>
          <w:rPr>
            <w:noProof/>
            <w:webHidden/>
          </w:rPr>
          <w:instrText xml:space="preserve"> PAGEREF _Toc12261386 \h </w:instrText>
        </w:r>
        <w:r>
          <w:rPr>
            <w:noProof/>
            <w:webHidden/>
          </w:rPr>
        </w:r>
        <w:r>
          <w:rPr>
            <w:noProof/>
            <w:webHidden/>
          </w:rPr>
          <w:fldChar w:fldCharType="separate"/>
        </w:r>
        <w:r>
          <w:rPr>
            <w:noProof/>
            <w:webHidden/>
          </w:rPr>
          <w:t>516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87" w:history="1">
        <w:r w:rsidRPr="00CD0B56">
          <w:rPr>
            <w:rStyle w:val="Hyperlink"/>
            <w:noProof/>
          </w:rPr>
          <w:t>2.1.1319</w:t>
        </w:r>
        <w:r>
          <w:rPr>
            <w:rFonts w:asciiTheme="minorHAnsi" w:eastAsiaTheme="minorEastAsia" w:hAnsiTheme="minorHAnsi" w:cstheme="minorBidi"/>
            <w:noProof/>
            <w:sz w:val="22"/>
            <w:szCs w:val="22"/>
          </w:rPr>
          <w:tab/>
        </w:r>
        <w:r w:rsidRPr="00CD0B56">
          <w:rPr>
            <w:rStyle w:val="Hyperlink"/>
            <w:noProof/>
          </w:rPr>
          <w:t>Part 1 Section 20.1.10.30, ST_LightRigType (Light Rig Type)</w:t>
        </w:r>
        <w:r>
          <w:rPr>
            <w:noProof/>
            <w:webHidden/>
          </w:rPr>
          <w:tab/>
        </w:r>
        <w:r>
          <w:rPr>
            <w:noProof/>
            <w:webHidden/>
          </w:rPr>
          <w:fldChar w:fldCharType="begin"/>
        </w:r>
        <w:r>
          <w:rPr>
            <w:noProof/>
            <w:webHidden/>
          </w:rPr>
          <w:instrText xml:space="preserve"> PAGEREF _Toc12261387 \h </w:instrText>
        </w:r>
        <w:r>
          <w:rPr>
            <w:noProof/>
            <w:webHidden/>
          </w:rPr>
        </w:r>
        <w:r>
          <w:rPr>
            <w:noProof/>
            <w:webHidden/>
          </w:rPr>
          <w:fldChar w:fldCharType="separate"/>
        </w:r>
        <w:r>
          <w:rPr>
            <w:noProof/>
            <w:webHidden/>
          </w:rPr>
          <w:t>516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88" w:history="1">
        <w:r w:rsidRPr="00CD0B56">
          <w:rPr>
            <w:rStyle w:val="Hyperlink"/>
            <w:noProof/>
          </w:rPr>
          <w:t>2.1.1320</w:t>
        </w:r>
        <w:r>
          <w:rPr>
            <w:rFonts w:asciiTheme="minorHAnsi" w:eastAsiaTheme="minorEastAsia" w:hAnsiTheme="minorHAnsi" w:cstheme="minorBidi"/>
            <w:noProof/>
            <w:sz w:val="22"/>
            <w:szCs w:val="22"/>
          </w:rPr>
          <w:tab/>
        </w:r>
        <w:r w:rsidRPr="00CD0B56">
          <w:rPr>
            <w:rStyle w:val="Hyperlink"/>
            <w:noProof/>
          </w:rPr>
          <w:t>Part 1 Section 20.1.10.32, ST_LineEndLength (Line End Length)</w:t>
        </w:r>
        <w:r>
          <w:rPr>
            <w:noProof/>
            <w:webHidden/>
          </w:rPr>
          <w:tab/>
        </w:r>
        <w:r>
          <w:rPr>
            <w:noProof/>
            <w:webHidden/>
          </w:rPr>
          <w:fldChar w:fldCharType="begin"/>
        </w:r>
        <w:r>
          <w:rPr>
            <w:noProof/>
            <w:webHidden/>
          </w:rPr>
          <w:instrText xml:space="preserve"> PAGEREF _Toc12261388 \h </w:instrText>
        </w:r>
        <w:r>
          <w:rPr>
            <w:noProof/>
            <w:webHidden/>
          </w:rPr>
        </w:r>
        <w:r>
          <w:rPr>
            <w:noProof/>
            <w:webHidden/>
          </w:rPr>
          <w:fldChar w:fldCharType="separate"/>
        </w:r>
        <w:r>
          <w:rPr>
            <w:noProof/>
            <w:webHidden/>
          </w:rPr>
          <w:t>516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89" w:history="1">
        <w:r w:rsidRPr="00CD0B56">
          <w:rPr>
            <w:rStyle w:val="Hyperlink"/>
            <w:noProof/>
          </w:rPr>
          <w:t>2.1.1321</w:t>
        </w:r>
        <w:r>
          <w:rPr>
            <w:rFonts w:asciiTheme="minorHAnsi" w:eastAsiaTheme="minorEastAsia" w:hAnsiTheme="minorHAnsi" w:cstheme="minorBidi"/>
            <w:noProof/>
            <w:sz w:val="22"/>
            <w:szCs w:val="22"/>
          </w:rPr>
          <w:tab/>
        </w:r>
        <w:r w:rsidRPr="00CD0B56">
          <w:rPr>
            <w:rStyle w:val="Hyperlink"/>
            <w:noProof/>
          </w:rPr>
          <w:t>Part 1 Section 20.1.10.35, ST_LineWidth (Line Width)</w:t>
        </w:r>
        <w:r>
          <w:rPr>
            <w:noProof/>
            <w:webHidden/>
          </w:rPr>
          <w:tab/>
        </w:r>
        <w:r>
          <w:rPr>
            <w:noProof/>
            <w:webHidden/>
          </w:rPr>
          <w:fldChar w:fldCharType="begin"/>
        </w:r>
        <w:r>
          <w:rPr>
            <w:noProof/>
            <w:webHidden/>
          </w:rPr>
          <w:instrText xml:space="preserve"> PAGEREF _Toc12261389 \h </w:instrText>
        </w:r>
        <w:r>
          <w:rPr>
            <w:noProof/>
            <w:webHidden/>
          </w:rPr>
        </w:r>
        <w:r>
          <w:rPr>
            <w:noProof/>
            <w:webHidden/>
          </w:rPr>
          <w:fldChar w:fldCharType="separate"/>
        </w:r>
        <w:r>
          <w:rPr>
            <w:noProof/>
            <w:webHidden/>
          </w:rPr>
          <w:t>517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90" w:history="1">
        <w:r w:rsidRPr="00CD0B56">
          <w:rPr>
            <w:rStyle w:val="Hyperlink"/>
            <w:noProof/>
          </w:rPr>
          <w:t>2.1.1322</w:t>
        </w:r>
        <w:r>
          <w:rPr>
            <w:rFonts w:asciiTheme="minorHAnsi" w:eastAsiaTheme="minorEastAsia" w:hAnsiTheme="minorHAnsi" w:cstheme="minorBidi"/>
            <w:noProof/>
            <w:sz w:val="22"/>
            <w:szCs w:val="22"/>
          </w:rPr>
          <w:tab/>
        </w:r>
        <w:r w:rsidRPr="00CD0B56">
          <w:rPr>
            <w:rStyle w:val="Hyperlink"/>
            <w:noProof/>
          </w:rPr>
          <w:t>Part 1 Section 20.1.10.37, ST_PathFillMode (Path Fill Mode)</w:t>
        </w:r>
        <w:r>
          <w:rPr>
            <w:noProof/>
            <w:webHidden/>
          </w:rPr>
          <w:tab/>
        </w:r>
        <w:r>
          <w:rPr>
            <w:noProof/>
            <w:webHidden/>
          </w:rPr>
          <w:fldChar w:fldCharType="begin"/>
        </w:r>
        <w:r>
          <w:rPr>
            <w:noProof/>
            <w:webHidden/>
          </w:rPr>
          <w:instrText xml:space="preserve"> PAGEREF _Toc12261390 \h </w:instrText>
        </w:r>
        <w:r>
          <w:rPr>
            <w:noProof/>
            <w:webHidden/>
          </w:rPr>
        </w:r>
        <w:r>
          <w:rPr>
            <w:noProof/>
            <w:webHidden/>
          </w:rPr>
          <w:fldChar w:fldCharType="separate"/>
        </w:r>
        <w:r>
          <w:rPr>
            <w:noProof/>
            <w:webHidden/>
          </w:rPr>
          <w:t>517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91" w:history="1">
        <w:r w:rsidRPr="00CD0B56">
          <w:rPr>
            <w:rStyle w:val="Hyperlink"/>
            <w:noProof/>
          </w:rPr>
          <w:t>2.1.1323</w:t>
        </w:r>
        <w:r>
          <w:rPr>
            <w:rFonts w:asciiTheme="minorHAnsi" w:eastAsiaTheme="minorEastAsia" w:hAnsiTheme="minorHAnsi" w:cstheme="minorBidi"/>
            <w:noProof/>
            <w:sz w:val="22"/>
            <w:szCs w:val="22"/>
          </w:rPr>
          <w:tab/>
        </w:r>
        <w:r w:rsidRPr="00CD0B56">
          <w:rPr>
            <w:rStyle w:val="Hyperlink"/>
            <w:noProof/>
          </w:rPr>
          <w:t>Part 1 Section 20.1.10.39, ST_PenAlignment (Alignment Type)</w:t>
        </w:r>
        <w:r>
          <w:rPr>
            <w:noProof/>
            <w:webHidden/>
          </w:rPr>
          <w:tab/>
        </w:r>
        <w:r>
          <w:rPr>
            <w:noProof/>
            <w:webHidden/>
          </w:rPr>
          <w:fldChar w:fldCharType="begin"/>
        </w:r>
        <w:r>
          <w:rPr>
            <w:noProof/>
            <w:webHidden/>
          </w:rPr>
          <w:instrText xml:space="preserve"> PAGEREF _Toc12261391 \h </w:instrText>
        </w:r>
        <w:r>
          <w:rPr>
            <w:noProof/>
            <w:webHidden/>
          </w:rPr>
        </w:r>
        <w:r>
          <w:rPr>
            <w:noProof/>
            <w:webHidden/>
          </w:rPr>
          <w:fldChar w:fldCharType="separate"/>
        </w:r>
        <w:r>
          <w:rPr>
            <w:noProof/>
            <w:webHidden/>
          </w:rPr>
          <w:t>517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92" w:history="1">
        <w:r w:rsidRPr="00CD0B56">
          <w:rPr>
            <w:rStyle w:val="Hyperlink"/>
            <w:noProof/>
          </w:rPr>
          <w:t>2.1.1324</w:t>
        </w:r>
        <w:r>
          <w:rPr>
            <w:rFonts w:asciiTheme="minorHAnsi" w:eastAsiaTheme="minorEastAsia" w:hAnsiTheme="minorHAnsi" w:cstheme="minorBidi"/>
            <w:noProof/>
            <w:sz w:val="22"/>
            <w:szCs w:val="22"/>
          </w:rPr>
          <w:tab/>
        </w:r>
        <w:r w:rsidRPr="00CD0B56">
          <w:rPr>
            <w:rStyle w:val="Hyperlink"/>
            <w:noProof/>
          </w:rPr>
          <w:t>Part 1 Section 20.1.10.40, ST_Percentage (Percentage)</w:t>
        </w:r>
        <w:r>
          <w:rPr>
            <w:noProof/>
            <w:webHidden/>
          </w:rPr>
          <w:tab/>
        </w:r>
        <w:r>
          <w:rPr>
            <w:noProof/>
            <w:webHidden/>
          </w:rPr>
          <w:fldChar w:fldCharType="begin"/>
        </w:r>
        <w:r>
          <w:rPr>
            <w:noProof/>
            <w:webHidden/>
          </w:rPr>
          <w:instrText xml:space="preserve"> PAGEREF _Toc12261392 \h </w:instrText>
        </w:r>
        <w:r>
          <w:rPr>
            <w:noProof/>
            <w:webHidden/>
          </w:rPr>
        </w:r>
        <w:r>
          <w:rPr>
            <w:noProof/>
            <w:webHidden/>
          </w:rPr>
          <w:fldChar w:fldCharType="separate"/>
        </w:r>
        <w:r>
          <w:rPr>
            <w:noProof/>
            <w:webHidden/>
          </w:rPr>
          <w:t>517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93" w:history="1">
        <w:r w:rsidRPr="00CD0B56">
          <w:rPr>
            <w:rStyle w:val="Hyperlink"/>
            <w:noProof/>
          </w:rPr>
          <w:t>2.1.1325</w:t>
        </w:r>
        <w:r>
          <w:rPr>
            <w:rFonts w:asciiTheme="minorHAnsi" w:eastAsiaTheme="minorEastAsia" w:hAnsiTheme="minorHAnsi" w:cstheme="minorBidi"/>
            <w:noProof/>
            <w:sz w:val="22"/>
            <w:szCs w:val="22"/>
          </w:rPr>
          <w:tab/>
        </w:r>
        <w:r w:rsidRPr="00CD0B56">
          <w:rPr>
            <w:rStyle w:val="Hyperlink"/>
            <w:noProof/>
          </w:rPr>
          <w:t>Part 1 Section 20.1.10.41, ST_PositiveCoordinate (Positive Coordinate)</w:t>
        </w:r>
        <w:r>
          <w:rPr>
            <w:noProof/>
            <w:webHidden/>
          </w:rPr>
          <w:tab/>
        </w:r>
        <w:r>
          <w:rPr>
            <w:noProof/>
            <w:webHidden/>
          </w:rPr>
          <w:fldChar w:fldCharType="begin"/>
        </w:r>
        <w:r>
          <w:rPr>
            <w:noProof/>
            <w:webHidden/>
          </w:rPr>
          <w:instrText xml:space="preserve"> PAGEREF _Toc12261393 \h </w:instrText>
        </w:r>
        <w:r>
          <w:rPr>
            <w:noProof/>
            <w:webHidden/>
          </w:rPr>
        </w:r>
        <w:r>
          <w:rPr>
            <w:noProof/>
            <w:webHidden/>
          </w:rPr>
          <w:fldChar w:fldCharType="separate"/>
        </w:r>
        <w:r>
          <w:rPr>
            <w:noProof/>
            <w:webHidden/>
          </w:rPr>
          <w:t>517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94" w:history="1">
        <w:r w:rsidRPr="00CD0B56">
          <w:rPr>
            <w:rStyle w:val="Hyperlink"/>
            <w:noProof/>
          </w:rPr>
          <w:t>2.1.1326</w:t>
        </w:r>
        <w:r>
          <w:rPr>
            <w:rFonts w:asciiTheme="minorHAnsi" w:eastAsiaTheme="minorEastAsia" w:hAnsiTheme="minorHAnsi" w:cstheme="minorBidi"/>
            <w:noProof/>
            <w:sz w:val="22"/>
            <w:szCs w:val="22"/>
          </w:rPr>
          <w:tab/>
        </w:r>
        <w:r w:rsidRPr="00CD0B56">
          <w:rPr>
            <w:rStyle w:val="Hyperlink"/>
            <w:noProof/>
          </w:rPr>
          <w:t>Part 1 Section 20.1.10.44, ST_PositiveFixedPercentage (Positive Fixed Percentage)</w:t>
        </w:r>
        <w:r>
          <w:rPr>
            <w:noProof/>
            <w:webHidden/>
          </w:rPr>
          <w:tab/>
        </w:r>
        <w:r>
          <w:rPr>
            <w:noProof/>
            <w:webHidden/>
          </w:rPr>
          <w:fldChar w:fldCharType="begin"/>
        </w:r>
        <w:r>
          <w:rPr>
            <w:noProof/>
            <w:webHidden/>
          </w:rPr>
          <w:instrText xml:space="preserve"> PAGEREF _Toc12261394 \h </w:instrText>
        </w:r>
        <w:r>
          <w:rPr>
            <w:noProof/>
            <w:webHidden/>
          </w:rPr>
        </w:r>
        <w:r>
          <w:rPr>
            <w:noProof/>
            <w:webHidden/>
          </w:rPr>
          <w:fldChar w:fldCharType="separate"/>
        </w:r>
        <w:r>
          <w:rPr>
            <w:noProof/>
            <w:webHidden/>
          </w:rPr>
          <w:t>517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95" w:history="1">
        <w:r w:rsidRPr="00CD0B56">
          <w:rPr>
            <w:rStyle w:val="Hyperlink"/>
            <w:noProof/>
          </w:rPr>
          <w:t>2.1.1327</w:t>
        </w:r>
        <w:r>
          <w:rPr>
            <w:rFonts w:asciiTheme="minorHAnsi" w:eastAsiaTheme="minorEastAsia" w:hAnsiTheme="minorHAnsi" w:cstheme="minorBidi"/>
            <w:noProof/>
            <w:sz w:val="22"/>
            <w:szCs w:val="22"/>
          </w:rPr>
          <w:tab/>
        </w:r>
        <w:r w:rsidRPr="00CD0B56">
          <w:rPr>
            <w:rStyle w:val="Hyperlink"/>
            <w:noProof/>
          </w:rPr>
          <w:t>Part 1 Section 20.1.10.45, ST_PositivePercentage (Positive Percentage)</w:t>
        </w:r>
        <w:r>
          <w:rPr>
            <w:noProof/>
            <w:webHidden/>
          </w:rPr>
          <w:tab/>
        </w:r>
        <w:r>
          <w:rPr>
            <w:noProof/>
            <w:webHidden/>
          </w:rPr>
          <w:fldChar w:fldCharType="begin"/>
        </w:r>
        <w:r>
          <w:rPr>
            <w:noProof/>
            <w:webHidden/>
          </w:rPr>
          <w:instrText xml:space="preserve"> PAGEREF _Toc12261395 \h </w:instrText>
        </w:r>
        <w:r>
          <w:rPr>
            <w:noProof/>
            <w:webHidden/>
          </w:rPr>
        </w:r>
        <w:r>
          <w:rPr>
            <w:noProof/>
            <w:webHidden/>
          </w:rPr>
          <w:fldChar w:fldCharType="separate"/>
        </w:r>
        <w:r>
          <w:rPr>
            <w:noProof/>
            <w:webHidden/>
          </w:rPr>
          <w:t>518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96" w:history="1">
        <w:r w:rsidRPr="00CD0B56">
          <w:rPr>
            <w:rStyle w:val="Hyperlink"/>
            <w:noProof/>
          </w:rPr>
          <w:t>2.1.1328</w:t>
        </w:r>
        <w:r>
          <w:rPr>
            <w:rFonts w:asciiTheme="minorHAnsi" w:eastAsiaTheme="minorEastAsia" w:hAnsiTheme="minorHAnsi" w:cstheme="minorBidi"/>
            <w:noProof/>
            <w:sz w:val="22"/>
            <w:szCs w:val="22"/>
          </w:rPr>
          <w:tab/>
        </w:r>
        <w:r w:rsidRPr="00CD0B56">
          <w:rPr>
            <w:rStyle w:val="Hyperlink"/>
            <w:noProof/>
          </w:rPr>
          <w:t>Part 1 Section 20.1.10.47, ST_PresetColorVal (Preset Color Value)</w:t>
        </w:r>
        <w:r>
          <w:rPr>
            <w:noProof/>
            <w:webHidden/>
          </w:rPr>
          <w:tab/>
        </w:r>
        <w:r>
          <w:rPr>
            <w:noProof/>
            <w:webHidden/>
          </w:rPr>
          <w:fldChar w:fldCharType="begin"/>
        </w:r>
        <w:r>
          <w:rPr>
            <w:noProof/>
            <w:webHidden/>
          </w:rPr>
          <w:instrText xml:space="preserve"> PAGEREF _Toc12261396 \h </w:instrText>
        </w:r>
        <w:r>
          <w:rPr>
            <w:noProof/>
            <w:webHidden/>
          </w:rPr>
        </w:r>
        <w:r>
          <w:rPr>
            <w:noProof/>
            <w:webHidden/>
          </w:rPr>
          <w:fldChar w:fldCharType="separate"/>
        </w:r>
        <w:r>
          <w:rPr>
            <w:noProof/>
            <w:webHidden/>
          </w:rPr>
          <w:t>518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97" w:history="1">
        <w:r w:rsidRPr="00CD0B56">
          <w:rPr>
            <w:rStyle w:val="Hyperlink"/>
            <w:noProof/>
          </w:rPr>
          <w:t>2.1.1329</w:t>
        </w:r>
        <w:r>
          <w:rPr>
            <w:rFonts w:asciiTheme="minorHAnsi" w:eastAsiaTheme="minorEastAsia" w:hAnsiTheme="minorHAnsi" w:cstheme="minorBidi"/>
            <w:noProof/>
            <w:sz w:val="22"/>
            <w:szCs w:val="22"/>
          </w:rPr>
          <w:tab/>
        </w:r>
        <w:r w:rsidRPr="00CD0B56">
          <w:rPr>
            <w:rStyle w:val="Hyperlink"/>
            <w:noProof/>
          </w:rPr>
          <w:t>Part 1 Section 20.1.10.49, ST_PresetMaterialType (Preset Material Type)</w:t>
        </w:r>
        <w:r>
          <w:rPr>
            <w:noProof/>
            <w:webHidden/>
          </w:rPr>
          <w:tab/>
        </w:r>
        <w:r>
          <w:rPr>
            <w:noProof/>
            <w:webHidden/>
          </w:rPr>
          <w:fldChar w:fldCharType="begin"/>
        </w:r>
        <w:r>
          <w:rPr>
            <w:noProof/>
            <w:webHidden/>
          </w:rPr>
          <w:instrText xml:space="preserve"> PAGEREF _Toc12261397 \h </w:instrText>
        </w:r>
        <w:r>
          <w:rPr>
            <w:noProof/>
            <w:webHidden/>
          </w:rPr>
        </w:r>
        <w:r>
          <w:rPr>
            <w:noProof/>
            <w:webHidden/>
          </w:rPr>
          <w:fldChar w:fldCharType="separate"/>
        </w:r>
        <w:r>
          <w:rPr>
            <w:noProof/>
            <w:webHidden/>
          </w:rPr>
          <w:t>518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98" w:history="1">
        <w:r w:rsidRPr="00CD0B56">
          <w:rPr>
            <w:rStyle w:val="Hyperlink"/>
            <w:noProof/>
          </w:rPr>
          <w:t>2.1.1330</w:t>
        </w:r>
        <w:r>
          <w:rPr>
            <w:rFonts w:asciiTheme="minorHAnsi" w:eastAsiaTheme="minorEastAsia" w:hAnsiTheme="minorHAnsi" w:cstheme="minorBidi"/>
            <w:noProof/>
            <w:sz w:val="22"/>
            <w:szCs w:val="22"/>
          </w:rPr>
          <w:tab/>
        </w:r>
        <w:r w:rsidRPr="00CD0B56">
          <w:rPr>
            <w:rStyle w:val="Hyperlink"/>
            <w:noProof/>
          </w:rPr>
          <w:t>Part 1 Section 20.1.10.54, ST_ShapeID (Shape ID)</w:t>
        </w:r>
        <w:r>
          <w:rPr>
            <w:noProof/>
            <w:webHidden/>
          </w:rPr>
          <w:tab/>
        </w:r>
        <w:r>
          <w:rPr>
            <w:noProof/>
            <w:webHidden/>
          </w:rPr>
          <w:fldChar w:fldCharType="begin"/>
        </w:r>
        <w:r>
          <w:rPr>
            <w:noProof/>
            <w:webHidden/>
          </w:rPr>
          <w:instrText xml:space="preserve"> PAGEREF _Toc12261398 \h </w:instrText>
        </w:r>
        <w:r>
          <w:rPr>
            <w:noProof/>
            <w:webHidden/>
          </w:rPr>
        </w:r>
        <w:r>
          <w:rPr>
            <w:noProof/>
            <w:webHidden/>
          </w:rPr>
          <w:fldChar w:fldCharType="separate"/>
        </w:r>
        <w:r>
          <w:rPr>
            <w:noProof/>
            <w:webHidden/>
          </w:rPr>
          <w:t>518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399" w:history="1">
        <w:r w:rsidRPr="00CD0B56">
          <w:rPr>
            <w:rStyle w:val="Hyperlink"/>
            <w:noProof/>
          </w:rPr>
          <w:t>2.1.1331</w:t>
        </w:r>
        <w:r>
          <w:rPr>
            <w:rFonts w:asciiTheme="minorHAnsi" w:eastAsiaTheme="minorEastAsia" w:hAnsiTheme="minorHAnsi" w:cstheme="minorBidi"/>
            <w:noProof/>
            <w:sz w:val="22"/>
            <w:szCs w:val="22"/>
          </w:rPr>
          <w:tab/>
        </w:r>
        <w:r w:rsidRPr="00CD0B56">
          <w:rPr>
            <w:rStyle w:val="Hyperlink"/>
            <w:noProof/>
          </w:rPr>
          <w:t>Part 1 Section 20.1.10.55, ST_ShapeType (Preset Shape Types)</w:t>
        </w:r>
        <w:r>
          <w:rPr>
            <w:noProof/>
            <w:webHidden/>
          </w:rPr>
          <w:tab/>
        </w:r>
        <w:r>
          <w:rPr>
            <w:noProof/>
            <w:webHidden/>
          </w:rPr>
          <w:fldChar w:fldCharType="begin"/>
        </w:r>
        <w:r>
          <w:rPr>
            <w:noProof/>
            <w:webHidden/>
          </w:rPr>
          <w:instrText xml:space="preserve"> PAGEREF _Toc12261399 \h </w:instrText>
        </w:r>
        <w:r>
          <w:rPr>
            <w:noProof/>
            <w:webHidden/>
          </w:rPr>
        </w:r>
        <w:r>
          <w:rPr>
            <w:noProof/>
            <w:webHidden/>
          </w:rPr>
          <w:fldChar w:fldCharType="separate"/>
        </w:r>
        <w:r>
          <w:rPr>
            <w:noProof/>
            <w:webHidden/>
          </w:rPr>
          <w:t>519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00" w:history="1">
        <w:r w:rsidRPr="00CD0B56">
          <w:rPr>
            <w:rStyle w:val="Hyperlink"/>
            <w:noProof/>
          </w:rPr>
          <w:t>2.1.1332</w:t>
        </w:r>
        <w:r>
          <w:rPr>
            <w:rFonts w:asciiTheme="minorHAnsi" w:eastAsiaTheme="minorEastAsia" w:hAnsiTheme="minorHAnsi" w:cstheme="minorBidi"/>
            <w:noProof/>
            <w:sz w:val="22"/>
            <w:szCs w:val="22"/>
          </w:rPr>
          <w:tab/>
        </w:r>
        <w:r w:rsidRPr="00CD0B56">
          <w:rPr>
            <w:rStyle w:val="Hyperlink"/>
            <w:noProof/>
          </w:rPr>
          <w:t>Part 1 Section 20.1.10.59, ST_TextAnchoringType (Text Anchoring Types)</w:t>
        </w:r>
        <w:r>
          <w:rPr>
            <w:noProof/>
            <w:webHidden/>
          </w:rPr>
          <w:tab/>
        </w:r>
        <w:r>
          <w:rPr>
            <w:noProof/>
            <w:webHidden/>
          </w:rPr>
          <w:fldChar w:fldCharType="begin"/>
        </w:r>
        <w:r>
          <w:rPr>
            <w:noProof/>
            <w:webHidden/>
          </w:rPr>
          <w:instrText xml:space="preserve"> PAGEREF _Toc12261400 \h </w:instrText>
        </w:r>
        <w:r>
          <w:rPr>
            <w:noProof/>
            <w:webHidden/>
          </w:rPr>
        </w:r>
        <w:r>
          <w:rPr>
            <w:noProof/>
            <w:webHidden/>
          </w:rPr>
          <w:fldChar w:fldCharType="separate"/>
        </w:r>
        <w:r>
          <w:rPr>
            <w:noProof/>
            <w:webHidden/>
          </w:rPr>
          <w:t>519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01" w:history="1">
        <w:r w:rsidRPr="00CD0B56">
          <w:rPr>
            <w:rStyle w:val="Hyperlink"/>
            <w:noProof/>
          </w:rPr>
          <w:t>2.1.1333</w:t>
        </w:r>
        <w:r>
          <w:rPr>
            <w:rFonts w:asciiTheme="minorHAnsi" w:eastAsiaTheme="minorEastAsia" w:hAnsiTheme="minorHAnsi" w:cstheme="minorBidi"/>
            <w:noProof/>
            <w:sz w:val="22"/>
            <w:szCs w:val="22"/>
          </w:rPr>
          <w:tab/>
        </w:r>
        <w:r w:rsidRPr="00CD0B56">
          <w:rPr>
            <w:rStyle w:val="Hyperlink"/>
            <w:noProof/>
          </w:rPr>
          <w:t>Part 1 Section 20.1.10.61, ST_TextAutonumberScheme (Text Auto-number Schemes)</w:t>
        </w:r>
        <w:r>
          <w:rPr>
            <w:noProof/>
            <w:webHidden/>
          </w:rPr>
          <w:tab/>
        </w:r>
        <w:r>
          <w:rPr>
            <w:noProof/>
            <w:webHidden/>
          </w:rPr>
          <w:fldChar w:fldCharType="begin"/>
        </w:r>
        <w:r>
          <w:rPr>
            <w:noProof/>
            <w:webHidden/>
          </w:rPr>
          <w:instrText xml:space="preserve"> PAGEREF _Toc12261401 \h </w:instrText>
        </w:r>
        <w:r>
          <w:rPr>
            <w:noProof/>
            <w:webHidden/>
          </w:rPr>
        </w:r>
        <w:r>
          <w:rPr>
            <w:noProof/>
            <w:webHidden/>
          </w:rPr>
          <w:fldChar w:fldCharType="separate"/>
        </w:r>
        <w:r>
          <w:rPr>
            <w:noProof/>
            <w:webHidden/>
          </w:rPr>
          <w:t>519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02" w:history="1">
        <w:r w:rsidRPr="00CD0B56">
          <w:rPr>
            <w:rStyle w:val="Hyperlink"/>
            <w:noProof/>
          </w:rPr>
          <w:t>2.1.1334</w:t>
        </w:r>
        <w:r>
          <w:rPr>
            <w:rFonts w:asciiTheme="minorHAnsi" w:eastAsiaTheme="minorEastAsia" w:hAnsiTheme="minorHAnsi" w:cstheme="minorBidi"/>
            <w:noProof/>
            <w:sz w:val="22"/>
            <w:szCs w:val="22"/>
          </w:rPr>
          <w:tab/>
        </w:r>
        <w:r w:rsidRPr="00CD0B56">
          <w:rPr>
            <w:rStyle w:val="Hyperlink"/>
            <w:noProof/>
          </w:rPr>
          <w:t>Part 1 Section 20.1.10.63, ST_TextCapsType (Text Cap Types)</w:t>
        </w:r>
        <w:r>
          <w:rPr>
            <w:noProof/>
            <w:webHidden/>
          </w:rPr>
          <w:tab/>
        </w:r>
        <w:r>
          <w:rPr>
            <w:noProof/>
            <w:webHidden/>
          </w:rPr>
          <w:fldChar w:fldCharType="begin"/>
        </w:r>
        <w:r>
          <w:rPr>
            <w:noProof/>
            <w:webHidden/>
          </w:rPr>
          <w:instrText xml:space="preserve"> PAGEREF _Toc12261402 \h </w:instrText>
        </w:r>
        <w:r>
          <w:rPr>
            <w:noProof/>
            <w:webHidden/>
          </w:rPr>
        </w:r>
        <w:r>
          <w:rPr>
            <w:noProof/>
            <w:webHidden/>
          </w:rPr>
          <w:fldChar w:fldCharType="separate"/>
        </w:r>
        <w:r>
          <w:rPr>
            <w:noProof/>
            <w:webHidden/>
          </w:rPr>
          <w:t>519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03" w:history="1">
        <w:r w:rsidRPr="00CD0B56">
          <w:rPr>
            <w:rStyle w:val="Hyperlink"/>
            <w:noProof/>
          </w:rPr>
          <w:t>2.1.1335</w:t>
        </w:r>
        <w:r>
          <w:rPr>
            <w:rFonts w:asciiTheme="minorHAnsi" w:eastAsiaTheme="minorEastAsia" w:hAnsiTheme="minorHAnsi" w:cstheme="minorBidi"/>
            <w:noProof/>
            <w:sz w:val="22"/>
            <w:szCs w:val="22"/>
          </w:rPr>
          <w:tab/>
        </w:r>
        <w:r w:rsidRPr="00CD0B56">
          <w:rPr>
            <w:rStyle w:val="Hyperlink"/>
            <w:noProof/>
          </w:rPr>
          <w:t>Part 1 Section 20.1.10.66, ST_TextFontScalePercentOrPercentString (Text Font Scale Percentage)</w:t>
        </w:r>
        <w:r>
          <w:rPr>
            <w:noProof/>
            <w:webHidden/>
          </w:rPr>
          <w:tab/>
        </w:r>
        <w:r>
          <w:rPr>
            <w:noProof/>
            <w:webHidden/>
          </w:rPr>
          <w:fldChar w:fldCharType="begin"/>
        </w:r>
        <w:r>
          <w:rPr>
            <w:noProof/>
            <w:webHidden/>
          </w:rPr>
          <w:instrText xml:space="preserve"> PAGEREF _Toc12261403 \h </w:instrText>
        </w:r>
        <w:r>
          <w:rPr>
            <w:noProof/>
            <w:webHidden/>
          </w:rPr>
        </w:r>
        <w:r>
          <w:rPr>
            <w:noProof/>
            <w:webHidden/>
          </w:rPr>
          <w:fldChar w:fldCharType="separate"/>
        </w:r>
        <w:r>
          <w:rPr>
            <w:noProof/>
            <w:webHidden/>
          </w:rPr>
          <w:t>519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04" w:history="1">
        <w:r w:rsidRPr="00CD0B56">
          <w:rPr>
            <w:rStyle w:val="Hyperlink"/>
            <w:noProof/>
          </w:rPr>
          <w:t>2.1.1336</w:t>
        </w:r>
        <w:r>
          <w:rPr>
            <w:rFonts w:asciiTheme="minorHAnsi" w:eastAsiaTheme="minorEastAsia" w:hAnsiTheme="minorHAnsi" w:cstheme="minorBidi"/>
            <w:noProof/>
            <w:sz w:val="22"/>
            <w:szCs w:val="22"/>
          </w:rPr>
          <w:tab/>
        </w:r>
        <w:r w:rsidRPr="00CD0B56">
          <w:rPr>
            <w:rStyle w:val="Hyperlink"/>
            <w:noProof/>
          </w:rPr>
          <w:t>Part 1 Section 20.1.10.72, ST_TextNonNegativePoint (Text Non-Negative Point)</w:t>
        </w:r>
        <w:r>
          <w:rPr>
            <w:noProof/>
            <w:webHidden/>
          </w:rPr>
          <w:tab/>
        </w:r>
        <w:r>
          <w:rPr>
            <w:noProof/>
            <w:webHidden/>
          </w:rPr>
          <w:fldChar w:fldCharType="begin"/>
        </w:r>
        <w:r>
          <w:rPr>
            <w:noProof/>
            <w:webHidden/>
          </w:rPr>
          <w:instrText xml:space="preserve"> PAGEREF _Toc12261404 \h </w:instrText>
        </w:r>
        <w:r>
          <w:rPr>
            <w:noProof/>
            <w:webHidden/>
          </w:rPr>
        </w:r>
        <w:r>
          <w:rPr>
            <w:noProof/>
            <w:webHidden/>
          </w:rPr>
          <w:fldChar w:fldCharType="separate"/>
        </w:r>
        <w:r>
          <w:rPr>
            <w:noProof/>
            <w:webHidden/>
          </w:rPr>
          <w:t>520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05" w:history="1">
        <w:r w:rsidRPr="00CD0B56">
          <w:rPr>
            <w:rStyle w:val="Hyperlink"/>
            <w:noProof/>
          </w:rPr>
          <w:t>2.1.1337</w:t>
        </w:r>
        <w:r>
          <w:rPr>
            <w:rFonts w:asciiTheme="minorHAnsi" w:eastAsiaTheme="minorEastAsia" w:hAnsiTheme="minorHAnsi" w:cstheme="minorBidi"/>
            <w:noProof/>
            <w:sz w:val="22"/>
            <w:szCs w:val="22"/>
          </w:rPr>
          <w:tab/>
        </w:r>
        <w:r w:rsidRPr="00CD0B56">
          <w:rPr>
            <w:rStyle w:val="Hyperlink"/>
            <w:noProof/>
          </w:rPr>
          <w:t>Part 1 Section 20.1.10.73, ST_TextPoint (Text Point)</w:t>
        </w:r>
        <w:r>
          <w:rPr>
            <w:noProof/>
            <w:webHidden/>
          </w:rPr>
          <w:tab/>
        </w:r>
        <w:r>
          <w:rPr>
            <w:noProof/>
            <w:webHidden/>
          </w:rPr>
          <w:fldChar w:fldCharType="begin"/>
        </w:r>
        <w:r>
          <w:rPr>
            <w:noProof/>
            <w:webHidden/>
          </w:rPr>
          <w:instrText xml:space="preserve"> PAGEREF _Toc12261405 \h </w:instrText>
        </w:r>
        <w:r>
          <w:rPr>
            <w:noProof/>
            <w:webHidden/>
          </w:rPr>
        </w:r>
        <w:r>
          <w:rPr>
            <w:noProof/>
            <w:webHidden/>
          </w:rPr>
          <w:fldChar w:fldCharType="separate"/>
        </w:r>
        <w:r>
          <w:rPr>
            <w:noProof/>
            <w:webHidden/>
          </w:rPr>
          <w:t>520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06" w:history="1">
        <w:r w:rsidRPr="00CD0B56">
          <w:rPr>
            <w:rStyle w:val="Hyperlink"/>
            <w:noProof/>
          </w:rPr>
          <w:t>2.1.1338</w:t>
        </w:r>
        <w:r>
          <w:rPr>
            <w:rFonts w:asciiTheme="minorHAnsi" w:eastAsiaTheme="minorEastAsia" w:hAnsiTheme="minorHAnsi" w:cstheme="minorBidi"/>
            <w:noProof/>
            <w:sz w:val="22"/>
            <w:szCs w:val="22"/>
          </w:rPr>
          <w:tab/>
        </w:r>
        <w:r w:rsidRPr="00CD0B56">
          <w:rPr>
            <w:rStyle w:val="Hyperlink"/>
            <w:noProof/>
          </w:rPr>
          <w:t>Part 1 Section 20.1.10.75, ST_TextShapeType (Preset Text Shape Types)</w:t>
        </w:r>
        <w:r>
          <w:rPr>
            <w:noProof/>
            <w:webHidden/>
          </w:rPr>
          <w:tab/>
        </w:r>
        <w:r>
          <w:rPr>
            <w:noProof/>
            <w:webHidden/>
          </w:rPr>
          <w:fldChar w:fldCharType="begin"/>
        </w:r>
        <w:r>
          <w:rPr>
            <w:noProof/>
            <w:webHidden/>
          </w:rPr>
          <w:instrText xml:space="preserve"> PAGEREF _Toc12261406 \h </w:instrText>
        </w:r>
        <w:r>
          <w:rPr>
            <w:noProof/>
            <w:webHidden/>
          </w:rPr>
        </w:r>
        <w:r>
          <w:rPr>
            <w:noProof/>
            <w:webHidden/>
          </w:rPr>
          <w:fldChar w:fldCharType="separate"/>
        </w:r>
        <w:r>
          <w:rPr>
            <w:noProof/>
            <w:webHidden/>
          </w:rPr>
          <w:t>520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07" w:history="1">
        <w:r w:rsidRPr="00CD0B56">
          <w:rPr>
            <w:rStyle w:val="Hyperlink"/>
            <w:noProof/>
          </w:rPr>
          <w:t>2.1.1339</w:t>
        </w:r>
        <w:r>
          <w:rPr>
            <w:rFonts w:asciiTheme="minorHAnsi" w:eastAsiaTheme="minorEastAsia" w:hAnsiTheme="minorHAnsi" w:cstheme="minorBidi"/>
            <w:noProof/>
            <w:sz w:val="22"/>
            <w:szCs w:val="22"/>
          </w:rPr>
          <w:tab/>
        </w:r>
        <w:r w:rsidRPr="00CD0B56">
          <w:rPr>
            <w:rStyle w:val="Hyperlink"/>
            <w:noProof/>
          </w:rPr>
          <w:t>Part 1 Section 20.1.10.76, ST_TextSpacingPercentOrPercentString (Text Spacing Percent)</w:t>
        </w:r>
        <w:r>
          <w:rPr>
            <w:noProof/>
            <w:webHidden/>
          </w:rPr>
          <w:tab/>
        </w:r>
        <w:r>
          <w:rPr>
            <w:noProof/>
            <w:webHidden/>
          </w:rPr>
          <w:fldChar w:fldCharType="begin"/>
        </w:r>
        <w:r>
          <w:rPr>
            <w:noProof/>
            <w:webHidden/>
          </w:rPr>
          <w:instrText xml:space="preserve"> PAGEREF _Toc12261407 \h </w:instrText>
        </w:r>
        <w:r>
          <w:rPr>
            <w:noProof/>
            <w:webHidden/>
          </w:rPr>
        </w:r>
        <w:r>
          <w:rPr>
            <w:noProof/>
            <w:webHidden/>
          </w:rPr>
          <w:fldChar w:fldCharType="separate"/>
        </w:r>
        <w:r>
          <w:rPr>
            <w:noProof/>
            <w:webHidden/>
          </w:rPr>
          <w:t>521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08" w:history="1">
        <w:r w:rsidRPr="00CD0B56">
          <w:rPr>
            <w:rStyle w:val="Hyperlink"/>
            <w:noProof/>
          </w:rPr>
          <w:t>2.1.1340</w:t>
        </w:r>
        <w:r>
          <w:rPr>
            <w:rFonts w:asciiTheme="minorHAnsi" w:eastAsiaTheme="minorEastAsia" w:hAnsiTheme="minorHAnsi" w:cstheme="minorBidi"/>
            <w:noProof/>
            <w:sz w:val="22"/>
            <w:szCs w:val="22"/>
          </w:rPr>
          <w:tab/>
        </w:r>
        <w:r w:rsidRPr="00CD0B56">
          <w:rPr>
            <w:rStyle w:val="Hyperlink"/>
            <w:noProof/>
          </w:rPr>
          <w:t>Part 1 Section 20.1.10.77, ST_TextSpacingPoint (Text Spacing Point)</w:t>
        </w:r>
        <w:r>
          <w:rPr>
            <w:noProof/>
            <w:webHidden/>
          </w:rPr>
          <w:tab/>
        </w:r>
        <w:r>
          <w:rPr>
            <w:noProof/>
            <w:webHidden/>
          </w:rPr>
          <w:fldChar w:fldCharType="begin"/>
        </w:r>
        <w:r>
          <w:rPr>
            <w:noProof/>
            <w:webHidden/>
          </w:rPr>
          <w:instrText xml:space="preserve"> PAGEREF _Toc12261408 \h </w:instrText>
        </w:r>
        <w:r>
          <w:rPr>
            <w:noProof/>
            <w:webHidden/>
          </w:rPr>
        </w:r>
        <w:r>
          <w:rPr>
            <w:noProof/>
            <w:webHidden/>
          </w:rPr>
          <w:fldChar w:fldCharType="separate"/>
        </w:r>
        <w:r>
          <w:rPr>
            <w:noProof/>
            <w:webHidden/>
          </w:rPr>
          <w:t>521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09" w:history="1">
        <w:r w:rsidRPr="00CD0B56">
          <w:rPr>
            <w:rStyle w:val="Hyperlink"/>
            <w:noProof/>
          </w:rPr>
          <w:t>2.1.1341</w:t>
        </w:r>
        <w:r>
          <w:rPr>
            <w:rFonts w:asciiTheme="minorHAnsi" w:eastAsiaTheme="minorEastAsia" w:hAnsiTheme="minorHAnsi" w:cstheme="minorBidi"/>
            <w:noProof/>
            <w:sz w:val="22"/>
            <w:szCs w:val="22"/>
          </w:rPr>
          <w:tab/>
        </w:r>
        <w:r w:rsidRPr="00CD0B56">
          <w:rPr>
            <w:rStyle w:val="Hyperlink"/>
            <w:noProof/>
          </w:rPr>
          <w:t>Part 1 Section 20.1.10.81, ST_TextUnderlineType (Text Underline Types)</w:t>
        </w:r>
        <w:r>
          <w:rPr>
            <w:noProof/>
            <w:webHidden/>
          </w:rPr>
          <w:tab/>
        </w:r>
        <w:r>
          <w:rPr>
            <w:noProof/>
            <w:webHidden/>
          </w:rPr>
          <w:fldChar w:fldCharType="begin"/>
        </w:r>
        <w:r>
          <w:rPr>
            <w:noProof/>
            <w:webHidden/>
          </w:rPr>
          <w:instrText xml:space="preserve"> PAGEREF _Toc12261409 \h </w:instrText>
        </w:r>
        <w:r>
          <w:rPr>
            <w:noProof/>
            <w:webHidden/>
          </w:rPr>
        </w:r>
        <w:r>
          <w:rPr>
            <w:noProof/>
            <w:webHidden/>
          </w:rPr>
          <w:fldChar w:fldCharType="separate"/>
        </w:r>
        <w:r>
          <w:rPr>
            <w:noProof/>
            <w:webHidden/>
          </w:rPr>
          <w:t>521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10" w:history="1">
        <w:r w:rsidRPr="00CD0B56">
          <w:rPr>
            <w:rStyle w:val="Hyperlink"/>
            <w:noProof/>
          </w:rPr>
          <w:t>2.1.1342</w:t>
        </w:r>
        <w:r>
          <w:rPr>
            <w:rFonts w:asciiTheme="minorHAnsi" w:eastAsiaTheme="minorEastAsia" w:hAnsiTheme="minorHAnsi" w:cstheme="minorBidi"/>
            <w:noProof/>
            <w:sz w:val="22"/>
            <w:szCs w:val="22"/>
          </w:rPr>
          <w:tab/>
        </w:r>
        <w:r w:rsidRPr="00CD0B56">
          <w:rPr>
            <w:rStyle w:val="Hyperlink"/>
            <w:noProof/>
          </w:rPr>
          <w:t>Part 1 Section 20.2.2.1, blipFill (Picture Fill)</w:t>
        </w:r>
        <w:r>
          <w:rPr>
            <w:noProof/>
            <w:webHidden/>
          </w:rPr>
          <w:tab/>
        </w:r>
        <w:r>
          <w:rPr>
            <w:noProof/>
            <w:webHidden/>
          </w:rPr>
          <w:fldChar w:fldCharType="begin"/>
        </w:r>
        <w:r>
          <w:rPr>
            <w:noProof/>
            <w:webHidden/>
          </w:rPr>
          <w:instrText xml:space="preserve"> PAGEREF _Toc12261410 \h </w:instrText>
        </w:r>
        <w:r>
          <w:rPr>
            <w:noProof/>
            <w:webHidden/>
          </w:rPr>
        </w:r>
        <w:r>
          <w:rPr>
            <w:noProof/>
            <w:webHidden/>
          </w:rPr>
          <w:fldChar w:fldCharType="separate"/>
        </w:r>
        <w:r>
          <w:rPr>
            <w:noProof/>
            <w:webHidden/>
          </w:rPr>
          <w:t>521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11" w:history="1">
        <w:r w:rsidRPr="00CD0B56">
          <w:rPr>
            <w:rStyle w:val="Hyperlink"/>
            <w:noProof/>
          </w:rPr>
          <w:t>2.1.1343</w:t>
        </w:r>
        <w:r>
          <w:rPr>
            <w:rFonts w:asciiTheme="minorHAnsi" w:eastAsiaTheme="minorEastAsia" w:hAnsiTheme="minorHAnsi" w:cstheme="minorBidi"/>
            <w:noProof/>
            <w:sz w:val="22"/>
            <w:szCs w:val="22"/>
          </w:rPr>
          <w:tab/>
        </w:r>
        <w:r w:rsidRPr="00CD0B56">
          <w:rPr>
            <w:rStyle w:val="Hyperlink"/>
            <w:noProof/>
          </w:rPr>
          <w:t>Part 1 Section 20.2.2.6, spPr (Shape Properties)</w:t>
        </w:r>
        <w:r>
          <w:rPr>
            <w:noProof/>
            <w:webHidden/>
          </w:rPr>
          <w:tab/>
        </w:r>
        <w:r>
          <w:rPr>
            <w:noProof/>
            <w:webHidden/>
          </w:rPr>
          <w:fldChar w:fldCharType="begin"/>
        </w:r>
        <w:r>
          <w:rPr>
            <w:noProof/>
            <w:webHidden/>
          </w:rPr>
          <w:instrText xml:space="preserve"> PAGEREF _Toc12261411 \h </w:instrText>
        </w:r>
        <w:r>
          <w:rPr>
            <w:noProof/>
            <w:webHidden/>
          </w:rPr>
        </w:r>
        <w:r>
          <w:rPr>
            <w:noProof/>
            <w:webHidden/>
          </w:rPr>
          <w:fldChar w:fldCharType="separate"/>
        </w:r>
        <w:r>
          <w:rPr>
            <w:noProof/>
            <w:webHidden/>
          </w:rPr>
          <w:t>521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12" w:history="1">
        <w:r w:rsidRPr="00CD0B56">
          <w:rPr>
            <w:rStyle w:val="Hyperlink"/>
            <w:noProof/>
          </w:rPr>
          <w:t>2.1.1344</w:t>
        </w:r>
        <w:r>
          <w:rPr>
            <w:rFonts w:asciiTheme="minorHAnsi" w:eastAsiaTheme="minorEastAsia" w:hAnsiTheme="minorHAnsi" w:cstheme="minorBidi"/>
            <w:noProof/>
            <w:sz w:val="22"/>
            <w:szCs w:val="22"/>
          </w:rPr>
          <w:tab/>
        </w:r>
        <w:r w:rsidRPr="00CD0B56">
          <w:rPr>
            <w:rStyle w:val="Hyperlink"/>
            <w:noProof/>
          </w:rPr>
          <w:t>Part 1 Section 20.4.2.3, anchor (Anchor for Floating DrawingML Object)</w:t>
        </w:r>
        <w:r>
          <w:rPr>
            <w:noProof/>
            <w:webHidden/>
          </w:rPr>
          <w:tab/>
        </w:r>
        <w:r>
          <w:rPr>
            <w:noProof/>
            <w:webHidden/>
          </w:rPr>
          <w:fldChar w:fldCharType="begin"/>
        </w:r>
        <w:r>
          <w:rPr>
            <w:noProof/>
            <w:webHidden/>
          </w:rPr>
          <w:instrText xml:space="preserve"> PAGEREF _Toc12261412 \h </w:instrText>
        </w:r>
        <w:r>
          <w:rPr>
            <w:noProof/>
            <w:webHidden/>
          </w:rPr>
        </w:r>
        <w:r>
          <w:rPr>
            <w:noProof/>
            <w:webHidden/>
          </w:rPr>
          <w:fldChar w:fldCharType="separate"/>
        </w:r>
        <w:r>
          <w:rPr>
            <w:noProof/>
            <w:webHidden/>
          </w:rPr>
          <w:t>521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13" w:history="1">
        <w:r w:rsidRPr="00CD0B56">
          <w:rPr>
            <w:rStyle w:val="Hyperlink"/>
            <w:noProof/>
          </w:rPr>
          <w:t>2.1.1345</w:t>
        </w:r>
        <w:r>
          <w:rPr>
            <w:rFonts w:asciiTheme="minorHAnsi" w:eastAsiaTheme="minorEastAsia" w:hAnsiTheme="minorHAnsi" w:cstheme="minorBidi"/>
            <w:noProof/>
            <w:sz w:val="22"/>
            <w:szCs w:val="22"/>
          </w:rPr>
          <w:tab/>
        </w:r>
        <w:r w:rsidRPr="00CD0B56">
          <w:rPr>
            <w:rStyle w:val="Hyperlink"/>
            <w:noProof/>
          </w:rPr>
          <w:t>Part 1 Section 20.4.2.5, docPr (Drawing Object Non-Visual Properties)</w:t>
        </w:r>
        <w:r>
          <w:rPr>
            <w:noProof/>
            <w:webHidden/>
          </w:rPr>
          <w:tab/>
        </w:r>
        <w:r>
          <w:rPr>
            <w:noProof/>
            <w:webHidden/>
          </w:rPr>
          <w:fldChar w:fldCharType="begin"/>
        </w:r>
        <w:r>
          <w:rPr>
            <w:noProof/>
            <w:webHidden/>
          </w:rPr>
          <w:instrText xml:space="preserve"> PAGEREF _Toc12261413 \h </w:instrText>
        </w:r>
        <w:r>
          <w:rPr>
            <w:noProof/>
            <w:webHidden/>
          </w:rPr>
        </w:r>
        <w:r>
          <w:rPr>
            <w:noProof/>
            <w:webHidden/>
          </w:rPr>
          <w:fldChar w:fldCharType="separate"/>
        </w:r>
        <w:r>
          <w:rPr>
            <w:noProof/>
            <w:webHidden/>
          </w:rPr>
          <w:t>521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14" w:history="1">
        <w:r w:rsidRPr="00CD0B56">
          <w:rPr>
            <w:rStyle w:val="Hyperlink"/>
            <w:noProof/>
          </w:rPr>
          <w:t>2.1.1346</w:t>
        </w:r>
        <w:r>
          <w:rPr>
            <w:rFonts w:asciiTheme="minorHAnsi" w:eastAsiaTheme="minorEastAsia" w:hAnsiTheme="minorHAnsi" w:cstheme="minorBidi"/>
            <w:noProof/>
            <w:sz w:val="22"/>
            <w:szCs w:val="22"/>
          </w:rPr>
          <w:tab/>
        </w:r>
        <w:r w:rsidRPr="00CD0B56">
          <w:rPr>
            <w:rStyle w:val="Hyperlink"/>
            <w:noProof/>
          </w:rPr>
          <w:t>Part 1 Section 20.4.2.6, effectExtent (Object Extents Including Effects)</w:t>
        </w:r>
        <w:r>
          <w:rPr>
            <w:noProof/>
            <w:webHidden/>
          </w:rPr>
          <w:tab/>
        </w:r>
        <w:r>
          <w:rPr>
            <w:noProof/>
            <w:webHidden/>
          </w:rPr>
          <w:fldChar w:fldCharType="begin"/>
        </w:r>
        <w:r>
          <w:rPr>
            <w:noProof/>
            <w:webHidden/>
          </w:rPr>
          <w:instrText xml:space="preserve"> PAGEREF _Toc12261414 \h </w:instrText>
        </w:r>
        <w:r>
          <w:rPr>
            <w:noProof/>
            <w:webHidden/>
          </w:rPr>
        </w:r>
        <w:r>
          <w:rPr>
            <w:noProof/>
            <w:webHidden/>
          </w:rPr>
          <w:fldChar w:fldCharType="separate"/>
        </w:r>
        <w:r>
          <w:rPr>
            <w:noProof/>
            <w:webHidden/>
          </w:rPr>
          <w:t>522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15" w:history="1">
        <w:r w:rsidRPr="00CD0B56">
          <w:rPr>
            <w:rStyle w:val="Hyperlink"/>
            <w:noProof/>
          </w:rPr>
          <w:t>2.1.1347</w:t>
        </w:r>
        <w:r>
          <w:rPr>
            <w:rFonts w:asciiTheme="minorHAnsi" w:eastAsiaTheme="minorEastAsia" w:hAnsiTheme="minorHAnsi" w:cstheme="minorBidi"/>
            <w:noProof/>
            <w:sz w:val="22"/>
            <w:szCs w:val="22"/>
          </w:rPr>
          <w:tab/>
        </w:r>
        <w:r w:rsidRPr="00CD0B56">
          <w:rPr>
            <w:rStyle w:val="Hyperlink"/>
            <w:noProof/>
          </w:rPr>
          <w:t>Part 1 Section 20.4.2.7, extent (Drawing Object Size)</w:t>
        </w:r>
        <w:r>
          <w:rPr>
            <w:noProof/>
            <w:webHidden/>
          </w:rPr>
          <w:tab/>
        </w:r>
        <w:r>
          <w:rPr>
            <w:noProof/>
            <w:webHidden/>
          </w:rPr>
          <w:fldChar w:fldCharType="begin"/>
        </w:r>
        <w:r>
          <w:rPr>
            <w:noProof/>
            <w:webHidden/>
          </w:rPr>
          <w:instrText xml:space="preserve"> PAGEREF _Toc12261415 \h </w:instrText>
        </w:r>
        <w:r>
          <w:rPr>
            <w:noProof/>
            <w:webHidden/>
          </w:rPr>
        </w:r>
        <w:r>
          <w:rPr>
            <w:noProof/>
            <w:webHidden/>
          </w:rPr>
          <w:fldChar w:fldCharType="separate"/>
        </w:r>
        <w:r>
          <w:rPr>
            <w:noProof/>
            <w:webHidden/>
          </w:rPr>
          <w:t>522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16" w:history="1">
        <w:r w:rsidRPr="00CD0B56">
          <w:rPr>
            <w:rStyle w:val="Hyperlink"/>
            <w:noProof/>
          </w:rPr>
          <w:t>2.1.1348</w:t>
        </w:r>
        <w:r>
          <w:rPr>
            <w:rFonts w:asciiTheme="minorHAnsi" w:eastAsiaTheme="minorEastAsia" w:hAnsiTheme="minorHAnsi" w:cstheme="minorBidi"/>
            <w:noProof/>
            <w:sz w:val="22"/>
            <w:szCs w:val="22"/>
          </w:rPr>
          <w:tab/>
        </w:r>
        <w:r w:rsidRPr="00CD0B56">
          <w:rPr>
            <w:rStyle w:val="Hyperlink"/>
            <w:noProof/>
          </w:rPr>
          <w:t>Part 1 Section 20.4.2.9, lineTo (Wrapping Polygon Line End Position)</w:t>
        </w:r>
        <w:r>
          <w:rPr>
            <w:noProof/>
            <w:webHidden/>
          </w:rPr>
          <w:tab/>
        </w:r>
        <w:r>
          <w:rPr>
            <w:noProof/>
            <w:webHidden/>
          </w:rPr>
          <w:fldChar w:fldCharType="begin"/>
        </w:r>
        <w:r>
          <w:rPr>
            <w:noProof/>
            <w:webHidden/>
          </w:rPr>
          <w:instrText xml:space="preserve"> PAGEREF _Toc12261416 \h </w:instrText>
        </w:r>
        <w:r>
          <w:rPr>
            <w:noProof/>
            <w:webHidden/>
          </w:rPr>
        </w:r>
        <w:r>
          <w:rPr>
            <w:noProof/>
            <w:webHidden/>
          </w:rPr>
          <w:fldChar w:fldCharType="separate"/>
        </w:r>
        <w:r>
          <w:rPr>
            <w:noProof/>
            <w:webHidden/>
          </w:rPr>
          <w:t>522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17" w:history="1">
        <w:r w:rsidRPr="00CD0B56">
          <w:rPr>
            <w:rStyle w:val="Hyperlink"/>
            <w:noProof/>
          </w:rPr>
          <w:t>2.1.1349</w:t>
        </w:r>
        <w:r>
          <w:rPr>
            <w:rFonts w:asciiTheme="minorHAnsi" w:eastAsiaTheme="minorEastAsia" w:hAnsiTheme="minorHAnsi" w:cstheme="minorBidi"/>
            <w:noProof/>
            <w:sz w:val="22"/>
            <w:szCs w:val="22"/>
          </w:rPr>
          <w:tab/>
        </w:r>
        <w:r w:rsidRPr="00CD0B56">
          <w:rPr>
            <w:rStyle w:val="Hyperlink"/>
            <w:noProof/>
          </w:rPr>
          <w:t>Part 1 Section 20.4.2.11, positionV (Vertical Positioning)</w:t>
        </w:r>
        <w:r>
          <w:rPr>
            <w:noProof/>
            <w:webHidden/>
          </w:rPr>
          <w:tab/>
        </w:r>
        <w:r>
          <w:rPr>
            <w:noProof/>
            <w:webHidden/>
          </w:rPr>
          <w:fldChar w:fldCharType="begin"/>
        </w:r>
        <w:r>
          <w:rPr>
            <w:noProof/>
            <w:webHidden/>
          </w:rPr>
          <w:instrText xml:space="preserve"> PAGEREF _Toc12261417 \h </w:instrText>
        </w:r>
        <w:r>
          <w:rPr>
            <w:noProof/>
            <w:webHidden/>
          </w:rPr>
        </w:r>
        <w:r>
          <w:rPr>
            <w:noProof/>
            <w:webHidden/>
          </w:rPr>
          <w:fldChar w:fldCharType="separate"/>
        </w:r>
        <w:r>
          <w:rPr>
            <w:noProof/>
            <w:webHidden/>
          </w:rPr>
          <w:t>522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18" w:history="1">
        <w:r w:rsidRPr="00CD0B56">
          <w:rPr>
            <w:rStyle w:val="Hyperlink"/>
            <w:noProof/>
          </w:rPr>
          <w:t>2.1.1350</w:t>
        </w:r>
        <w:r>
          <w:rPr>
            <w:rFonts w:asciiTheme="minorHAnsi" w:eastAsiaTheme="minorEastAsia" w:hAnsiTheme="minorHAnsi" w:cstheme="minorBidi"/>
            <w:noProof/>
            <w:sz w:val="22"/>
            <w:szCs w:val="22"/>
          </w:rPr>
          <w:tab/>
        </w:r>
        <w:r w:rsidRPr="00CD0B56">
          <w:rPr>
            <w:rStyle w:val="Hyperlink"/>
            <w:noProof/>
          </w:rPr>
          <w:t>Part 1 Section 20.4.2.13, simplePos (Simple Positioning Coordinates)</w:t>
        </w:r>
        <w:r>
          <w:rPr>
            <w:noProof/>
            <w:webHidden/>
          </w:rPr>
          <w:tab/>
        </w:r>
        <w:r>
          <w:rPr>
            <w:noProof/>
            <w:webHidden/>
          </w:rPr>
          <w:fldChar w:fldCharType="begin"/>
        </w:r>
        <w:r>
          <w:rPr>
            <w:noProof/>
            <w:webHidden/>
          </w:rPr>
          <w:instrText xml:space="preserve"> PAGEREF _Toc12261418 \h </w:instrText>
        </w:r>
        <w:r>
          <w:rPr>
            <w:noProof/>
            <w:webHidden/>
          </w:rPr>
        </w:r>
        <w:r>
          <w:rPr>
            <w:noProof/>
            <w:webHidden/>
          </w:rPr>
          <w:fldChar w:fldCharType="separate"/>
        </w:r>
        <w:r>
          <w:rPr>
            <w:noProof/>
            <w:webHidden/>
          </w:rPr>
          <w:t>522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19" w:history="1">
        <w:r w:rsidRPr="00CD0B56">
          <w:rPr>
            <w:rStyle w:val="Hyperlink"/>
            <w:noProof/>
          </w:rPr>
          <w:t>2.1.1351</w:t>
        </w:r>
        <w:r>
          <w:rPr>
            <w:rFonts w:asciiTheme="minorHAnsi" w:eastAsiaTheme="minorEastAsia" w:hAnsiTheme="minorHAnsi" w:cstheme="minorBidi"/>
            <w:noProof/>
            <w:sz w:val="22"/>
            <w:szCs w:val="22"/>
          </w:rPr>
          <w:tab/>
        </w:r>
        <w:r w:rsidRPr="00CD0B56">
          <w:rPr>
            <w:rStyle w:val="Hyperlink"/>
            <w:noProof/>
          </w:rPr>
          <w:t>Part 1 Section 20.4.2.14, start (Wrapping Polygon Start)</w:t>
        </w:r>
        <w:r>
          <w:rPr>
            <w:noProof/>
            <w:webHidden/>
          </w:rPr>
          <w:tab/>
        </w:r>
        <w:r>
          <w:rPr>
            <w:noProof/>
            <w:webHidden/>
          </w:rPr>
          <w:fldChar w:fldCharType="begin"/>
        </w:r>
        <w:r>
          <w:rPr>
            <w:noProof/>
            <w:webHidden/>
          </w:rPr>
          <w:instrText xml:space="preserve"> PAGEREF _Toc12261419 \h </w:instrText>
        </w:r>
        <w:r>
          <w:rPr>
            <w:noProof/>
            <w:webHidden/>
          </w:rPr>
        </w:r>
        <w:r>
          <w:rPr>
            <w:noProof/>
            <w:webHidden/>
          </w:rPr>
          <w:fldChar w:fldCharType="separate"/>
        </w:r>
        <w:r>
          <w:rPr>
            <w:noProof/>
            <w:webHidden/>
          </w:rPr>
          <w:t>522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20" w:history="1">
        <w:r w:rsidRPr="00CD0B56">
          <w:rPr>
            <w:rStyle w:val="Hyperlink"/>
            <w:noProof/>
          </w:rPr>
          <w:t>2.1.1352</w:t>
        </w:r>
        <w:r>
          <w:rPr>
            <w:rFonts w:asciiTheme="minorHAnsi" w:eastAsiaTheme="minorEastAsia" w:hAnsiTheme="minorHAnsi" w:cstheme="minorBidi"/>
            <w:noProof/>
            <w:sz w:val="22"/>
            <w:szCs w:val="22"/>
          </w:rPr>
          <w:tab/>
        </w:r>
        <w:r w:rsidRPr="00CD0B56">
          <w:rPr>
            <w:rStyle w:val="Hyperlink"/>
            <w:noProof/>
          </w:rPr>
          <w:t>Part 1 Section 20.5.2.2, blipFill (Picture Fill)</w:t>
        </w:r>
        <w:r>
          <w:rPr>
            <w:noProof/>
            <w:webHidden/>
          </w:rPr>
          <w:tab/>
        </w:r>
        <w:r>
          <w:rPr>
            <w:noProof/>
            <w:webHidden/>
          </w:rPr>
          <w:fldChar w:fldCharType="begin"/>
        </w:r>
        <w:r>
          <w:rPr>
            <w:noProof/>
            <w:webHidden/>
          </w:rPr>
          <w:instrText xml:space="preserve"> PAGEREF _Toc12261420 \h </w:instrText>
        </w:r>
        <w:r>
          <w:rPr>
            <w:noProof/>
            <w:webHidden/>
          </w:rPr>
        </w:r>
        <w:r>
          <w:rPr>
            <w:noProof/>
            <w:webHidden/>
          </w:rPr>
          <w:fldChar w:fldCharType="separate"/>
        </w:r>
        <w:r>
          <w:rPr>
            <w:noProof/>
            <w:webHidden/>
          </w:rPr>
          <w:t>522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21" w:history="1">
        <w:r w:rsidRPr="00CD0B56">
          <w:rPr>
            <w:rStyle w:val="Hyperlink"/>
            <w:noProof/>
          </w:rPr>
          <w:t>2.1.1353</w:t>
        </w:r>
        <w:r>
          <w:rPr>
            <w:rFonts w:asciiTheme="minorHAnsi" w:eastAsiaTheme="minorEastAsia" w:hAnsiTheme="minorHAnsi" w:cstheme="minorBidi"/>
            <w:noProof/>
            <w:sz w:val="22"/>
            <w:szCs w:val="22"/>
          </w:rPr>
          <w:tab/>
        </w:r>
        <w:r w:rsidRPr="00CD0B56">
          <w:rPr>
            <w:rStyle w:val="Hyperlink"/>
            <w:noProof/>
          </w:rPr>
          <w:t>Part 1 Section 20.5.2.8, cNvPr (Non-Visual Drawing Properties)</w:t>
        </w:r>
        <w:r>
          <w:rPr>
            <w:noProof/>
            <w:webHidden/>
          </w:rPr>
          <w:tab/>
        </w:r>
        <w:r>
          <w:rPr>
            <w:noProof/>
            <w:webHidden/>
          </w:rPr>
          <w:fldChar w:fldCharType="begin"/>
        </w:r>
        <w:r>
          <w:rPr>
            <w:noProof/>
            <w:webHidden/>
          </w:rPr>
          <w:instrText xml:space="preserve"> PAGEREF _Toc12261421 \h </w:instrText>
        </w:r>
        <w:r>
          <w:rPr>
            <w:noProof/>
            <w:webHidden/>
          </w:rPr>
        </w:r>
        <w:r>
          <w:rPr>
            <w:noProof/>
            <w:webHidden/>
          </w:rPr>
          <w:fldChar w:fldCharType="separate"/>
        </w:r>
        <w:r>
          <w:rPr>
            <w:noProof/>
            <w:webHidden/>
          </w:rPr>
          <w:t>522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22" w:history="1">
        <w:r w:rsidRPr="00CD0B56">
          <w:rPr>
            <w:rStyle w:val="Hyperlink"/>
            <w:noProof/>
          </w:rPr>
          <w:t>2.1.1354</w:t>
        </w:r>
        <w:r>
          <w:rPr>
            <w:rFonts w:asciiTheme="minorHAnsi" w:eastAsiaTheme="minorEastAsia" w:hAnsiTheme="minorHAnsi" w:cstheme="minorBidi"/>
            <w:noProof/>
            <w:sz w:val="22"/>
            <w:szCs w:val="22"/>
          </w:rPr>
          <w:tab/>
        </w:r>
        <w:r w:rsidRPr="00CD0B56">
          <w:rPr>
            <w:rStyle w:val="Hyperlink"/>
            <w:noProof/>
          </w:rPr>
          <w:t>Part 1 Section 20.5.2.9, cNvSpPr (Connection Non-Visual Shape Properties)</w:t>
        </w:r>
        <w:r>
          <w:rPr>
            <w:noProof/>
            <w:webHidden/>
          </w:rPr>
          <w:tab/>
        </w:r>
        <w:r>
          <w:rPr>
            <w:noProof/>
            <w:webHidden/>
          </w:rPr>
          <w:fldChar w:fldCharType="begin"/>
        </w:r>
        <w:r>
          <w:rPr>
            <w:noProof/>
            <w:webHidden/>
          </w:rPr>
          <w:instrText xml:space="preserve"> PAGEREF _Toc12261422 \h </w:instrText>
        </w:r>
        <w:r>
          <w:rPr>
            <w:noProof/>
            <w:webHidden/>
          </w:rPr>
        </w:r>
        <w:r>
          <w:rPr>
            <w:noProof/>
            <w:webHidden/>
          </w:rPr>
          <w:fldChar w:fldCharType="separate"/>
        </w:r>
        <w:r>
          <w:rPr>
            <w:noProof/>
            <w:webHidden/>
          </w:rPr>
          <w:t>523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23" w:history="1">
        <w:r w:rsidRPr="00CD0B56">
          <w:rPr>
            <w:rStyle w:val="Hyperlink"/>
            <w:noProof/>
          </w:rPr>
          <w:t>2.1.1355</w:t>
        </w:r>
        <w:r>
          <w:rPr>
            <w:rFonts w:asciiTheme="minorHAnsi" w:eastAsiaTheme="minorEastAsia" w:hAnsiTheme="minorHAnsi" w:cstheme="minorBidi"/>
            <w:noProof/>
            <w:sz w:val="22"/>
            <w:szCs w:val="22"/>
          </w:rPr>
          <w:tab/>
        </w:r>
        <w:r w:rsidRPr="00CD0B56">
          <w:rPr>
            <w:rStyle w:val="Hyperlink"/>
            <w:noProof/>
          </w:rPr>
          <w:t>Part 1 Section 20.5.2.10, col (Column))</w:t>
        </w:r>
        <w:r>
          <w:rPr>
            <w:noProof/>
            <w:webHidden/>
          </w:rPr>
          <w:tab/>
        </w:r>
        <w:r>
          <w:rPr>
            <w:noProof/>
            <w:webHidden/>
          </w:rPr>
          <w:fldChar w:fldCharType="begin"/>
        </w:r>
        <w:r>
          <w:rPr>
            <w:noProof/>
            <w:webHidden/>
          </w:rPr>
          <w:instrText xml:space="preserve"> PAGEREF _Toc12261423 \h </w:instrText>
        </w:r>
        <w:r>
          <w:rPr>
            <w:noProof/>
            <w:webHidden/>
          </w:rPr>
        </w:r>
        <w:r>
          <w:rPr>
            <w:noProof/>
            <w:webHidden/>
          </w:rPr>
          <w:fldChar w:fldCharType="separate"/>
        </w:r>
        <w:r>
          <w:rPr>
            <w:noProof/>
            <w:webHidden/>
          </w:rPr>
          <w:t>523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24" w:history="1">
        <w:r w:rsidRPr="00CD0B56">
          <w:rPr>
            <w:rStyle w:val="Hyperlink"/>
            <w:noProof/>
          </w:rPr>
          <w:t>2.1.1356</w:t>
        </w:r>
        <w:r>
          <w:rPr>
            <w:rFonts w:asciiTheme="minorHAnsi" w:eastAsiaTheme="minorEastAsia" w:hAnsiTheme="minorHAnsi" w:cstheme="minorBidi"/>
            <w:noProof/>
            <w:sz w:val="22"/>
            <w:szCs w:val="22"/>
          </w:rPr>
          <w:tab/>
        </w:r>
        <w:r w:rsidRPr="00CD0B56">
          <w:rPr>
            <w:rStyle w:val="Hyperlink"/>
            <w:noProof/>
          </w:rPr>
          <w:t>Part 1 Section 20.5.2.11, colOff (Column Offset)</w:t>
        </w:r>
        <w:r>
          <w:rPr>
            <w:noProof/>
            <w:webHidden/>
          </w:rPr>
          <w:tab/>
        </w:r>
        <w:r>
          <w:rPr>
            <w:noProof/>
            <w:webHidden/>
          </w:rPr>
          <w:fldChar w:fldCharType="begin"/>
        </w:r>
        <w:r>
          <w:rPr>
            <w:noProof/>
            <w:webHidden/>
          </w:rPr>
          <w:instrText xml:space="preserve"> PAGEREF _Toc12261424 \h </w:instrText>
        </w:r>
        <w:r>
          <w:rPr>
            <w:noProof/>
            <w:webHidden/>
          </w:rPr>
        </w:r>
        <w:r>
          <w:rPr>
            <w:noProof/>
            <w:webHidden/>
          </w:rPr>
          <w:fldChar w:fldCharType="separate"/>
        </w:r>
        <w:r>
          <w:rPr>
            <w:noProof/>
            <w:webHidden/>
          </w:rPr>
          <w:t>523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25" w:history="1">
        <w:r w:rsidRPr="00CD0B56">
          <w:rPr>
            <w:rStyle w:val="Hyperlink"/>
            <w:noProof/>
          </w:rPr>
          <w:t>2.1.1357</w:t>
        </w:r>
        <w:r>
          <w:rPr>
            <w:rFonts w:asciiTheme="minorHAnsi" w:eastAsiaTheme="minorEastAsia" w:hAnsiTheme="minorHAnsi" w:cstheme="minorBidi"/>
            <w:noProof/>
            <w:sz w:val="22"/>
            <w:szCs w:val="22"/>
          </w:rPr>
          <w:tab/>
        </w:r>
        <w:r w:rsidRPr="00CD0B56">
          <w:rPr>
            <w:rStyle w:val="Hyperlink"/>
            <w:noProof/>
          </w:rPr>
          <w:t>Part 1 Section 20.5.2.13, cxnSp (Connection Shape)</w:t>
        </w:r>
        <w:r>
          <w:rPr>
            <w:noProof/>
            <w:webHidden/>
          </w:rPr>
          <w:tab/>
        </w:r>
        <w:r>
          <w:rPr>
            <w:noProof/>
            <w:webHidden/>
          </w:rPr>
          <w:fldChar w:fldCharType="begin"/>
        </w:r>
        <w:r>
          <w:rPr>
            <w:noProof/>
            <w:webHidden/>
          </w:rPr>
          <w:instrText xml:space="preserve"> PAGEREF _Toc12261425 \h </w:instrText>
        </w:r>
        <w:r>
          <w:rPr>
            <w:noProof/>
            <w:webHidden/>
          </w:rPr>
        </w:r>
        <w:r>
          <w:rPr>
            <w:noProof/>
            <w:webHidden/>
          </w:rPr>
          <w:fldChar w:fldCharType="separate"/>
        </w:r>
        <w:r>
          <w:rPr>
            <w:noProof/>
            <w:webHidden/>
          </w:rPr>
          <w:t>523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26" w:history="1">
        <w:r w:rsidRPr="00CD0B56">
          <w:rPr>
            <w:rStyle w:val="Hyperlink"/>
            <w:noProof/>
          </w:rPr>
          <w:t>2.1.1358</w:t>
        </w:r>
        <w:r>
          <w:rPr>
            <w:rFonts w:asciiTheme="minorHAnsi" w:eastAsiaTheme="minorEastAsia" w:hAnsiTheme="minorHAnsi" w:cstheme="minorBidi"/>
            <w:noProof/>
            <w:sz w:val="22"/>
            <w:szCs w:val="22"/>
          </w:rPr>
          <w:tab/>
        </w:r>
        <w:r w:rsidRPr="00CD0B56">
          <w:rPr>
            <w:rStyle w:val="Hyperlink"/>
            <w:noProof/>
          </w:rPr>
          <w:t>Part 1 Section 20.5.2.14, ext (Shape Extent)</w:t>
        </w:r>
        <w:r>
          <w:rPr>
            <w:noProof/>
            <w:webHidden/>
          </w:rPr>
          <w:tab/>
        </w:r>
        <w:r>
          <w:rPr>
            <w:noProof/>
            <w:webHidden/>
          </w:rPr>
          <w:fldChar w:fldCharType="begin"/>
        </w:r>
        <w:r>
          <w:rPr>
            <w:noProof/>
            <w:webHidden/>
          </w:rPr>
          <w:instrText xml:space="preserve"> PAGEREF _Toc12261426 \h </w:instrText>
        </w:r>
        <w:r>
          <w:rPr>
            <w:noProof/>
            <w:webHidden/>
          </w:rPr>
        </w:r>
        <w:r>
          <w:rPr>
            <w:noProof/>
            <w:webHidden/>
          </w:rPr>
          <w:fldChar w:fldCharType="separate"/>
        </w:r>
        <w:r>
          <w:rPr>
            <w:noProof/>
            <w:webHidden/>
          </w:rPr>
          <w:t>523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27" w:history="1">
        <w:r w:rsidRPr="00CD0B56">
          <w:rPr>
            <w:rStyle w:val="Hyperlink"/>
            <w:noProof/>
          </w:rPr>
          <w:t>2.1.1359</w:t>
        </w:r>
        <w:r>
          <w:rPr>
            <w:rFonts w:asciiTheme="minorHAnsi" w:eastAsiaTheme="minorEastAsia" w:hAnsiTheme="minorHAnsi" w:cstheme="minorBidi"/>
            <w:noProof/>
            <w:sz w:val="22"/>
            <w:szCs w:val="22"/>
          </w:rPr>
          <w:tab/>
        </w:r>
        <w:r w:rsidRPr="00CD0B56">
          <w:rPr>
            <w:rStyle w:val="Hyperlink"/>
            <w:noProof/>
          </w:rPr>
          <w:t>Part 1 Section 20.5.2.15, from (Starting Anchor Point)</w:t>
        </w:r>
        <w:r>
          <w:rPr>
            <w:noProof/>
            <w:webHidden/>
          </w:rPr>
          <w:tab/>
        </w:r>
        <w:r>
          <w:rPr>
            <w:noProof/>
            <w:webHidden/>
          </w:rPr>
          <w:fldChar w:fldCharType="begin"/>
        </w:r>
        <w:r>
          <w:rPr>
            <w:noProof/>
            <w:webHidden/>
          </w:rPr>
          <w:instrText xml:space="preserve"> PAGEREF _Toc12261427 \h </w:instrText>
        </w:r>
        <w:r>
          <w:rPr>
            <w:noProof/>
            <w:webHidden/>
          </w:rPr>
        </w:r>
        <w:r>
          <w:rPr>
            <w:noProof/>
            <w:webHidden/>
          </w:rPr>
          <w:fldChar w:fldCharType="separate"/>
        </w:r>
        <w:r>
          <w:rPr>
            <w:noProof/>
            <w:webHidden/>
          </w:rPr>
          <w:t>523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28" w:history="1">
        <w:r w:rsidRPr="00CD0B56">
          <w:rPr>
            <w:rStyle w:val="Hyperlink"/>
            <w:noProof/>
          </w:rPr>
          <w:t>2.1.1360</w:t>
        </w:r>
        <w:r>
          <w:rPr>
            <w:rFonts w:asciiTheme="minorHAnsi" w:eastAsiaTheme="minorEastAsia" w:hAnsiTheme="minorHAnsi" w:cstheme="minorBidi"/>
            <w:noProof/>
            <w:sz w:val="22"/>
            <w:szCs w:val="22"/>
          </w:rPr>
          <w:tab/>
        </w:r>
        <w:r w:rsidRPr="00CD0B56">
          <w:rPr>
            <w:rStyle w:val="Hyperlink"/>
            <w:noProof/>
          </w:rPr>
          <w:t>Part 1 Section 20.5.2.16, graphicFrame (Graphic Frame)</w:t>
        </w:r>
        <w:r>
          <w:rPr>
            <w:noProof/>
            <w:webHidden/>
          </w:rPr>
          <w:tab/>
        </w:r>
        <w:r>
          <w:rPr>
            <w:noProof/>
            <w:webHidden/>
          </w:rPr>
          <w:fldChar w:fldCharType="begin"/>
        </w:r>
        <w:r>
          <w:rPr>
            <w:noProof/>
            <w:webHidden/>
          </w:rPr>
          <w:instrText xml:space="preserve"> PAGEREF _Toc12261428 \h </w:instrText>
        </w:r>
        <w:r>
          <w:rPr>
            <w:noProof/>
            <w:webHidden/>
          </w:rPr>
        </w:r>
        <w:r>
          <w:rPr>
            <w:noProof/>
            <w:webHidden/>
          </w:rPr>
          <w:fldChar w:fldCharType="separate"/>
        </w:r>
        <w:r>
          <w:rPr>
            <w:noProof/>
            <w:webHidden/>
          </w:rPr>
          <w:t>523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29" w:history="1">
        <w:r w:rsidRPr="00CD0B56">
          <w:rPr>
            <w:rStyle w:val="Hyperlink"/>
            <w:noProof/>
          </w:rPr>
          <w:t>2.1.1361</w:t>
        </w:r>
        <w:r>
          <w:rPr>
            <w:rFonts w:asciiTheme="minorHAnsi" w:eastAsiaTheme="minorEastAsia" w:hAnsiTheme="minorHAnsi" w:cstheme="minorBidi"/>
            <w:noProof/>
            <w:sz w:val="22"/>
            <w:szCs w:val="22"/>
          </w:rPr>
          <w:tab/>
        </w:r>
        <w:r w:rsidRPr="00CD0B56">
          <w:rPr>
            <w:rStyle w:val="Hyperlink"/>
            <w:noProof/>
          </w:rPr>
          <w:t>Part 1 Section 20.5.2.18, grpSpPr (Group Shape Properties)</w:t>
        </w:r>
        <w:r>
          <w:rPr>
            <w:noProof/>
            <w:webHidden/>
          </w:rPr>
          <w:tab/>
        </w:r>
        <w:r>
          <w:rPr>
            <w:noProof/>
            <w:webHidden/>
          </w:rPr>
          <w:fldChar w:fldCharType="begin"/>
        </w:r>
        <w:r>
          <w:rPr>
            <w:noProof/>
            <w:webHidden/>
          </w:rPr>
          <w:instrText xml:space="preserve"> PAGEREF _Toc12261429 \h </w:instrText>
        </w:r>
        <w:r>
          <w:rPr>
            <w:noProof/>
            <w:webHidden/>
          </w:rPr>
        </w:r>
        <w:r>
          <w:rPr>
            <w:noProof/>
            <w:webHidden/>
          </w:rPr>
          <w:fldChar w:fldCharType="separate"/>
        </w:r>
        <w:r>
          <w:rPr>
            <w:noProof/>
            <w:webHidden/>
          </w:rPr>
          <w:t>523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30" w:history="1">
        <w:r w:rsidRPr="00CD0B56">
          <w:rPr>
            <w:rStyle w:val="Hyperlink"/>
            <w:noProof/>
          </w:rPr>
          <w:t>2.1.1362</w:t>
        </w:r>
        <w:r>
          <w:rPr>
            <w:rFonts w:asciiTheme="minorHAnsi" w:eastAsiaTheme="minorEastAsia" w:hAnsiTheme="minorHAnsi" w:cstheme="minorBidi"/>
            <w:noProof/>
            <w:sz w:val="22"/>
            <w:szCs w:val="22"/>
          </w:rPr>
          <w:tab/>
        </w:r>
        <w:r w:rsidRPr="00CD0B56">
          <w:rPr>
            <w:rStyle w:val="Hyperlink"/>
            <w:noProof/>
          </w:rPr>
          <w:t>Part 1 Section 20.5.2.25, pic (Picture)</w:t>
        </w:r>
        <w:r>
          <w:rPr>
            <w:noProof/>
            <w:webHidden/>
          </w:rPr>
          <w:tab/>
        </w:r>
        <w:r>
          <w:rPr>
            <w:noProof/>
            <w:webHidden/>
          </w:rPr>
          <w:fldChar w:fldCharType="begin"/>
        </w:r>
        <w:r>
          <w:rPr>
            <w:noProof/>
            <w:webHidden/>
          </w:rPr>
          <w:instrText xml:space="preserve"> PAGEREF _Toc12261430 \h </w:instrText>
        </w:r>
        <w:r>
          <w:rPr>
            <w:noProof/>
            <w:webHidden/>
          </w:rPr>
        </w:r>
        <w:r>
          <w:rPr>
            <w:noProof/>
            <w:webHidden/>
          </w:rPr>
          <w:fldChar w:fldCharType="separate"/>
        </w:r>
        <w:r>
          <w:rPr>
            <w:noProof/>
            <w:webHidden/>
          </w:rPr>
          <w:t>524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31" w:history="1">
        <w:r w:rsidRPr="00CD0B56">
          <w:rPr>
            <w:rStyle w:val="Hyperlink"/>
            <w:noProof/>
          </w:rPr>
          <w:t>2.1.1363</w:t>
        </w:r>
        <w:r>
          <w:rPr>
            <w:rFonts w:asciiTheme="minorHAnsi" w:eastAsiaTheme="minorEastAsia" w:hAnsiTheme="minorHAnsi" w:cstheme="minorBidi"/>
            <w:noProof/>
            <w:sz w:val="22"/>
            <w:szCs w:val="22"/>
          </w:rPr>
          <w:tab/>
        </w:r>
        <w:r w:rsidRPr="00CD0B56">
          <w:rPr>
            <w:rStyle w:val="Hyperlink"/>
            <w:noProof/>
          </w:rPr>
          <w:t>Part 1 Section 20.5.2.26, pos (Position)</w:t>
        </w:r>
        <w:r>
          <w:rPr>
            <w:noProof/>
            <w:webHidden/>
          </w:rPr>
          <w:tab/>
        </w:r>
        <w:r>
          <w:rPr>
            <w:noProof/>
            <w:webHidden/>
          </w:rPr>
          <w:fldChar w:fldCharType="begin"/>
        </w:r>
        <w:r>
          <w:rPr>
            <w:noProof/>
            <w:webHidden/>
          </w:rPr>
          <w:instrText xml:space="preserve"> PAGEREF _Toc12261431 \h </w:instrText>
        </w:r>
        <w:r>
          <w:rPr>
            <w:noProof/>
            <w:webHidden/>
          </w:rPr>
        </w:r>
        <w:r>
          <w:rPr>
            <w:noProof/>
            <w:webHidden/>
          </w:rPr>
          <w:fldChar w:fldCharType="separate"/>
        </w:r>
        <w:r>
          <w:rPr>
            <w:noProof/>
            <w:webHidden/>
          </w:rPr>
          <w:t>524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32" w:history="1">
        <w:r w:rsidRPr="00CD0B56">
          <w:rPr>
            <w:rStyle w:val="Hyperlink"/>
            <w:noProof/>
          </w:rPr>
          <w:t>2.1.1364</w:t>
        </w:r>
        <w:r>
          <w:rPr>
            <w:rFonts w:asciiTheme="minorHAnsi" w:eastAsiaTheme="minorEastAsia" w:hAnsiTheme="minorHAnsi" w:cstheme="minorBidi"/>
            <w:noProof/>
            <w:sz w:val="22"/>
            <w:szCs w:val="22"/>
          </w:rPr>
          <w:tab/>
        </w:r>
        <w:r w:rsidRPr="00CD0B56">
          <w:rPr>
            <w:rStyle w:val="Hyperlink"/>
            <w:noProof/>
          </w:rPr>
          <w:t>Part 1 Section 20.5.2.27, row (Row)</w:t>
        </w:r>
        <w:r>
          <w:rPr>
            <w:noProof/>
            <w:webHidden/>
          </w:rPr>
          <w:tab/>
        </w:r>
        <w:r>
          <w:rPr>
            <w:noProof/>
            <w:webHidden/>
          </w:rPr>
          <w:fldChar w:fldCharType="begin"/>
        </w:r>
        <w:r>
          <w:rPr>
            <w:noProof/>
            <w:webHidden/>
          </w:rPr>
          <w:instrText xml:space="preserve"> PAGEREF _Toc12261432 \h </w:instrText>
        </w:r>
        <w:r>
          <w:rPr>
            <w:noProof/>
            <w:webHidden/>
          </w:rPr>
        </w:r>
        <w:r>
          <w:rPr>
            <w:noProof/>
            <w:webHidden/>
          </w:rPr>
          <w:fldChar w:fldCharType="separate"/>
        </w:r>
        <w:r>
          <w:rPr>
            <w:noProof/>
            <w:webHidden/>
          </w:rPr>
          <w:t>524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33" w:history="1">
        <w:r w:rsidRPr="00CD0B56">
          <w:rPr>
            <w:rStyle w:val="Hyperlink"/>
            <w:noProof/>
          </w:rPr>
          <w:t>2.1.1365</w:t>
        </w:r>
        <w:r>
          <w:rPr>
            <w:rFonts w:asciiTheme="minorHAnsi" w:eastAsiaTheme="minorEastAsia" w:hAnsiTheme="minorHAnsi" w:cstheme="minorBidi"/>
            <w:noProof/>
            <w:sz w:val="22"/>
            <w:szCs w:val="22"/>
          </w:rPr>
          <w:tab/>
        </w:r>
        <w:r w:rsidRPr="00CD0B56">
          <w:rPr>
            <w:rStyle w:val="Hyperlink"/>
            <w:noProof/>
          </w:rPr>
          <w:t>Part 1 Section 20.5.2.28, rowOff (Row Offset)</w:t>
        </w:r>
        <w:r>
          <w:rPr>
            <w:noProof/>
            <w:webHidden/>
          </w:rPr>
          <w:tab/>
        </w:r>
        <w:r>
          <w:rPr>
            <w:noProof/>
            <w:webHidden/>
          </w:rPr>
          <w:fldChar w:fldCharType="begin"/>
        </w:r>
        <w:r>
          <w:rPr>
            <w:noProof/>
            <w:webHidden/>
          </w:rPr>
          <w:instrText xml:space="preserve"> PAGEREF _Toc12261433 \h </w:instrText>
        </w:r>
        <w:r>
          <w:rPr>
            <w:noProof/>
            <w:webHidden/>
          </w:rPr>
        </w:r>
        <w:r>
          <w:rPr>
            <w:noProof/>
            <w:webHidden/>
          </w:rPr>
          <w:fldChar w:fldCharType="separate"/>
        </w:r>
        <w:r>
          <w:rPr>
            <w:noProof/>
            <w:webHidden/>
          </w:rPr>
          <w:t>524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34" w:history="1">
        <w:r w:rsidRPr="00CD0B56">
          <w:rPr>
            <w:rStyle w:val="Hyperlink"/>
            <w:noProof/>
          </w:rPr>
          <w:t>2.1.1366</w:t>
        </w:r>
        <w:r>
          <w:rPr>
            <w:rFonts w:asciiTheme="minorHAnsi" w:eastAsiaTheme="minorEastAsia" w:hAnsiTheme="minorHAnsi" w:cstheme="minorBidi"/>
            <w:noProof/>
            <w:sz w:val="22"/>
            <w:szCs w:val="22"/>
          </w:rPr>
          <w:tab/>
        </w:r>
        <w:r w:rsidRPr="00CD0B56">
          <w:rPr>
            <w:rStyle w:val="Hyperlink"/>
            <w:noProof/>
          </w:rPr>
          <w:t>Part 1 Section 20.5.2.29, sp (Shape)</w:t>
        </w:r>
        <w:r>
          <w:rPr>
            <w:noProof/>
            <w:webHidden/>
          </w:rPr>
          <w:tab/>
        </w:r>
        <w:r>
          <w:rPr>
            <w:noProof/>
            <w:webHidden/>
          </w:rPr>
          <w:fldChar w:fldCharType="begin"/>
        </w:r>
        <w:r>
          <w:rPr>
            <w:noProof/>
            <w:webHidden/>
          </w:rPr>
          <w:instrText xml:space="preserve"> PAGEREF _Toc12261434 \h </w:instrText>
        </w:r>
        <w:r>
          <w:rPr>
            <w:noProof/>
            <w:webHidden/>
          </w:rPr>
        </w:r>
        <w:r>
          <w:rPr>
            <w:noProof/>
            <w:webHidden/>
          </w:rPr>
          <w:fldChar w:fldCharType="separate"/>
        </w:r>
        <w:r>
          <w:rPr>
            <w:noProof/>
            <w:webHidden/>
          </w:rPr>
          <w:t>524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35" w:history="1">
        <w:r w:rsidRPr="00CD0B56">
          <w:rPr>
            <w:rStyle w:val="Hyperlink"/>
            <w:noProof/>
          </w:rPr>
          <w:t>2.1.1367</w:t>
        </w:r>
        <w:r>
          <w:rPr>
            <w:rFonts w:asciiTheme="minorHAnsi" w:eastAsiaTheme="minorEastAsia" w:hAnsiTheme="minorHAnsi" w:cstheme="minorBidi"/>
            <w:noProof/>
            <w:sz w:val="22"/>
            <w:szCs w:val="22"/>
          </w:rPr>
          <w:tab/>
        </w:r>
        <w:r w:rsidRPr="00CD0B56">
          <w:rPr>
            <w:rStyle w:val="Hyperlink"/>
            <w:noProof/>
          </w:rPr>
          <w:t>Part 1 Section 20.5.2.30, spPr (Shape Properties)</w:t>
        </w:r>
        <w:r>
          <w:rPr>
            <w:noProof/>
            <w:webHidden/>
          </w:rPr>
          <w:tab/>
        </w:r>
        <w:r>
          <w:rPr>
            <w:noProof/>
            <w:webHidden/>
          </w:rPr>
          <w:fldChar w:fldCharType="begin"/>
        </w:r>
        <w:r>
          <w:rPr>
            <w:noProof/>
            <w:webHidden/>
          </w:rPr>
          <w:instrText xml:space="preserve"> PAGEREF _Toc12261435 \h </w:instrText>
        </w:r>
        <w:r>
          <w:rPr>
            <w:noProof/>
            <w:webHidden/>
          </w:rPr>
        </w:r>
        <w:r>
          <w:rPr>
            <w:noProof/>
            <w:webHidden/>
          </w:rPr>
          <w:fldChar w:fldCharType="separate"/>
        </w:r>
        <w:r>
          <w:rPr>
            <w:noProof/>
            <w:webHidden/>
          </w:rPr>
          <w:t>525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36" w:history="1">
        <w:r w:rsidRPr="00CD0B56">
          <w:rPr>
            <w:rStyle w:val="Hyperlink"/>
            <w:noProof/>
          </w:rPr>
          <w:t>2.1.1368</w:t>
        </w:r>
        <w:r>
          <w:rPr>
            <w:rFonts w:asciiTheme="minorHAnsi" w:eastAsiaTheme="minorEastAsia" w:hAnsiTheme="minorHAnsi" w:cstheme="minorBidi"/>
            <w:noProof/>
            <w:sz w:val="22"/>
            <w:szCs w:val="22"/>
          </w:rPr>
          <w:tab/>
        </w:r>
        <w:r w:rsidRPr="00CD0B56">
          <w:rPr>
            <w:rStyle w:val="Hyperlink"/>
            <w:noProof/>
          </w:rPr>
          <w:t>Part 1 Section 20.5.2.31, style (Shape Style)</w:t>
        </w:r>
        <w:r>
          <w:rPr>
            <w:noProof/>
            <w:webHidden/>
          </w:rPr>
          <w:tab/>
        </w:r>
        <w:r>
          <w:rPr>
            <w:noProof/>
            <w:webHidden/>
          </w:rPr>
          <w:fldChar w:fldCharType="begin"/>
        </w:r>
        <w:r>
          <w:rPr>
            <w:noProof/>
            <w:webHidden/>
          </w:rPr>
          <w:instrText xml:space="preserve"> PAGEREF _Toc12261436 \h </w:instrText>
        </w:r>
        <w:r>
          <w:rPr>
            <w:noProof/>
            <w:webHidden/>
          </w:rPr>
        </w:r>
        <w:r>
          <w:rPr>
            <w:noProof/>
            <w:webHidden/>
          </w:rPr>
          <w:fldChar w:fldCharType="separate"/>
        </w:r>
        <w:r>
          <w:rPr>
            <w:noProof/>
            <w:webHidden/>
          </w:rPr>
          <w:t>525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37" w:history="1">
        <w:r w:rsidRPr="00CD0B56">
          <w:rPr>
            <w:rStyle w:val="Hyperlink"/>
            <w:noProof/>
          </w:rPr>
          <w:t>2.1.1369</w:t>
        </w:r>
        <w:r>
          <w:rPr>
            <w:rFonts w:asciiTheme="minorHAnsi" w:eastAsiaTheme="minorEastAsia" w:hAnsiTheme="minorHAnsi" w:cstheme="minorBidi"/>
            <w:noProof/>
            <w:sz w:val="22"/>
            <w:szCs w:val="22"/>
          </w:rPr>
          <w:tab/>
        </w:r>
        <w:r w:rsidRPr="00CD0B56">
          <w:rPr>
            <w:rStyle w:val="Hyperlink"/>
            <w:noProof/>
          </w:rPr>
          <w:t>Part 1 Section 20.5.2.32, to (Ending Anchor Point)</w:t>
        </w:r>
        <w:r>
          <w:rPr>
            <w:noProof/>
            <w:webHidden/>
          </w:rPr>
          <w:tab/>
        </w:r>
        <w:r>
          <w:rPr>
            <w:noProof/>
            <w:webHidden/>
          </w:rPr>
          <w:fldChar w:fldCharType="begin"/>
        </w:r>
        <w:r>
          <w:rPr>
            <w:noProof/>
            <w:webHidden/>
          </w:rPr>
          <w:instrText xml:space="preserve"> PAGEREF _Toc12261437 \h </w:instrText>
        </w:r>
        <w:r>
          <w:rPr>
            <w:noProof/>
            <w:webHidden/>
          </w:rPr>
        </w:r>
        <w:r>
          <w:rPr>
            <w:noProof/>
            <w:webHidden/>
          </w:rPr>
          <w:fldChar w:fldCharType="separate"/>
        </w:r>
        <w:r>
          <w:rPr>
            <w:noProof/>
            <w:webHidden/>
          </w:rPr>
          <w:t>525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38" w:history="1">
        <w:r w:rsidRPr="00CD0B56">
          <w:rPr>
            <w:rStyle w:val="Hyperlink"/>
            <w:noProof/>
          </w:rPr>
          <w:t>2.1.1370</w:t>
        </w:r>
        <w:r>
          <w:rPr>
            <w:rFonts w:asciiTheme="minorHAnsi" w:eastAsiaTheme="minorEastAsia" w:hAnsiTheme="minorHAnsi" w:cstheme="minorBidi"/>
            <w:noProof/>
            <w:sz w:val="22"/>
            <w:szCs w:val="22"/>
          </w:rPr>
          <w:tab/>
        </w:r>
        <w:r w:rsidRPr="00CD0B56">
          <w:rPr>
            <w:rStyle w:val="Hyperlink"/>
            <w:noProof/>
          </w:rPr>
          <w:t>Part 1 Section 20.5.2.34, txBody (Shape Text Body)</w:t>
        </w:r>
        <w:r>
          <w:rPr>
            <w:noProof/>
            <w:webHidden/>
          </w:rPr>
          <w:tab/>
        </w:r>
        <w:r>
          <w:rPr>
            <w:noProof/>
            <w:webHidden/>
          </w:rPr>
          <w:fldChar w:fldCharType="begin"/>
        </w:r>
        <w:r>
          <w:rPr>
            <w:noProof/>
            <w:webHidden/>
          </w:rPr>
          <w:instrText xml:space="preserve"> PAGEREF _Toc12261438 \h </w:instrText>
        </w:r>
        <w:r>
          <w:rPr>
            <w:noProof/>
            <w:webHidden/>
          </w:rPr>
        </w:r>
        <w:r>
          <w:rPr>
            <w:noProof/>
            <w:webHidden/>
          </w:rPr>
          <w:fldChar w:fldCharType="separate"/>
        </w:r>
        <w:r>
          <w:rPr>
            <w:noProof/>
            <w:webHidden/>
          </w:rPr>
          <w:t>525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39" w:history="1">
        <w:r w:rsidRPr="00CD0B56">
          <w:rPr>
            <w:rStyle w:val="Hyperlink"/>
            <w:noProof/>
          </w:rPr>
          <w:t>2.1.1371</w:t>
        </w:r>
        <w:r>
          <w:rPr>
            <w:rFonts w:asciiTheme="minorHAnsi" w:eastAsiaTheme="minorEastAsia" w:hAnsiTheme="minorHAnsi" w:cstheme="minorBidi"/>
            <w:noProof/>
            <w:sz w:val="22"/>
            <w:szCs w:val="22"/>
          </w:rPr>
          <w:tab/>
        </w:r>
        <w:r w:rsidRPr="00CD0B56">
          <w:rPr>
            <w:rStyle w:val="Hyperlink"/>
            <w:noProof/>
          </w:rPr>
          <w:t>Part 1 Section 20.5.2.36, xfrm (2D Transform for Graphic Frames)</w:t>
        </w:r>
        <w:r>
          <w:rPr>
            <w:noProof/>
            <w:webHidden/>
          </w:rPr>
          <w:tab/>
        </w:r>
        <w:r>
          <w:rPr>
            <w:noProof/>
            <w:webHidden/>
          </w:rPr>
          <w:fldChar w:fldCharType="begin"/>
        </w:r>
        <w:r>
          <w:rPr>
            <w:noProof/>
            <w:webHidden/>
          </w:rPr>
          <w:instrText xml:space="preserve"> PAGEREF _Toc12261439 \h </w:instrText>
        </w:r>
        <w:r>
          <w:rPr>
            <w:noProof/>
            <w:webHidden/>
          </w:rPr>
        </w:r>
        <w:r>
          <w:rPr>
            <w:noProof/>
            <w:webHidden/>
          </w:rPr>
          <w:fldChar w:fldCharType="separate"/>
        </w:r>
        <w:r>
          <w:rPr>
            <w:noProof/>
            <w:webHidden/>
          </w:rPr>
          <w:t>525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40" w:history="1">
        <w:r w:rsidRPr="00CD0B56">
          <w:rPr>
            <w:rStyle w:val="Hyperlink"/>
            <w:noProof/>
          </w:rPr>
          <w:t>2.1.1372</w:t>
        </w:r>
        <w:r>
          <w:rPr>
            <w:rFonts w:asciiTheme="minorHAnsi" w:eastAsiaTheme="minorEastAsia" w:hAnsiTheme="minorHAnsi" w:cstheme="minorBidi"/>
            <w:noProof/>
            <w:sz w:val="22"/>
            <w:szCs w:val="22"/>
          </w:rPr>
          <w:tab/>
        </w:r>
        <w:r w:rsidRPr="00CD0B56">
          <w:rPr>
            <w:rStyle w:val="Hyperlink"/>
            <w:noProof/>
          </w:rPr>
          <w:t>Part 1 Section 21.1.2.1, Body Formatting</w:t>
        </w:r>
        <w:r>
          <w:rPr>
            <w:noProof/>
            <w:webHidden/>
          </w:rPr>
          <w:tab/>
        </w:r>
        <w:r>
          <w:rPr>
            <w:noProof/>
            <w:webHidden/>
          </w:rPr>
          <w:fldChar w:fldCharType="begin"/>
        </w:r>
        <w:r>
          <w:rPr>
            <w:noProof/>
            <w:webHidden/>
          </w:rPr>
          <w:instrText xml:space="preserve"> PAGEREF _Toc12261440 \h </w:instrText>
        </w:r>
        <w:r>
          <w:rPr>
            <w:noProof/>
            <w:webHidden/>
          </w:rPr>
        </w:r>
        <w:r>
          <w:rPr>
            <w:noProof/>
            <w:webHidden/>
          </w:rPr>
          <w:fldChar w:fldCharType="separate"/>
        </w:r>
        <w:r>
          <w:rPr>
            <w:noProof/>
            <w:webHidden/>
          </w:rPr>
          <w:t>526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41" w:history="1">
        <w:r w:rsidRPr="00CD0B56">
          <w:rPr>
            <w:rStyle w:val="Hyperlink"/>
            <w:noProof/>
          </w:rPr>
          <w:t>2.1.1373</w:t>
        </w:r>
        <w:r>
          <w:rPr>
            <w:rFonts w:asciiTheme="minorHAnsi" w:eastAsiaTheme="minorEastAsia" w:hAnsiTheme="minorHAnsi" w:cstheme="minorBidi"/>
            <w:noProof/>
            <w:sz w:val="22"/>
            <w:szCs w:val="22"/>
          </w:rPr>
          <w:tab/>
        </w:r>
        <w:r w:rsidRPr="00CD0B56">
          <w:rPr>
            <w:rStyle w:val="Hyperlink"/>
            <w:noProof/>
          </w:rPr>
          <w:t>Part 1 Section 21.1.2.1.1, bodyPr (Body Properties)</w:t>
        </w:r>
        <w:r>
          <w:rPr>
            <w:noProof/>
            <w:webHidden/>
          </w:rPr>
          <w:tab/>
        </w:r>
        <w:r>
          <w:rPr>
            <w:noProof/>
            <w:webHidden/>
          </w:rPr>
          <w:fldChar w:fldCharType="begin"/>
        </w:r>
        <w:r>
          <w:rPr>
            <w:noProof/>
            <w:webHidden/>
          </w:rPr>
          <w:instrText xml:space="preserve"> PAGEREF _Toc12261441 \h </w:instrText>
        </w:r>
        <w:r>
          <w:rPr>
            <w:noProof/>
            <w:webHidden/>
          </w:rPr>
        </w:r>
        <w:r>
          <w:rPr>
            <w:noProof/>
            <w:webHidden/>
          </w:rPr>
          <w:fldChar w:fldCharType="separate"/>
        </w:r>
        <w:r>
          <w:rPr>
            <w:noProof/>
            <w:webHidden/>
          </w:rPr>
          <w:t>526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42" w:history="1">
        <w:r w:rsidRPr="00CD0B56">
          <w:rPr>
            <w:rStyle w:val="Hyperlink"/>
            <w:noProof/>
          </w:rPr>
          <w:t>2.1.1374</w:t>
        </w:r>
        <w:r>
          <w:rPr>
            <w:rFonts w:asciiTheme="minorHAnsi" w:eastAsiaTheme="minorEastAsia" w:hAnsiTheme="minorHAnsi" w:cstheme="minorBidi"/>
            <w:noProof/>
            <w:sz w:val="22"/>
            <w:szCs w:val="22"/>
          </w:rPr>
          <w:tab/>
        </w:r>
        <w:r w:rsidRPr="00CD0B56">
          <w:rPr>
            <w:rStyle w:val="Hyperlink"/>
            <w:noProof/>
          </w:rPr>
          <w:t>Part 1 Section 21.1.2.1.2, noAutofit (No AutoFit)</w:t>
        </w:r>
        <w:r>
          <w:rPr>
            <w:noProof/>
            <w:webHidden/>
          </w:rPr>
          <w:tab/>
        </w:r>
        <w:r>
          <w:rPr>
            <w:noProof/>
            <w:webHidden/>
          </w:rPr>
          <w:fldChar w:fldCharType="begin"/>
        </w:r>
        <w:r>
          <w:rPr>
            <w:noProof/>
            <w:webHidden/>
          </w:rPr>
          <w:instrText xml:space="preserve"> PAGEREF _Toc12261442 \h </w:instrText>
        </w:r>
        <w:r>
          <w:rPr>
            <w:noProof/>
            <w:webHidden/>
          </w:rPr>
        </w:r>
        <w:r>
          <w:rPr>
            <w:noProof/>
            <w:webHidden/>
          </w:rPr>
          <w:fldChar w:fldCharType="separate"/>
        </w:r>
        <w:r>
          <w:rPr>
            <w:noProof/>
            <w:webHidden/>
          </w:rPr>
          <w:t>526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43" w:history="1">
        <w:r w:rsidRPr="00CD0B56">
          <w:rPr>
            <w:rStyle w:val="Hyperlink"/>
            <w:noProof/>
          </w:rPr>
          <w:t>2.1.1375</w:t>
        </w:r>
        <w:r>
          <w:rPr>
            <w:rFonts w:asciiTheme="minorHAnsi" w:eastAsiaTheme="minorEastAsia" w:hAnsiTheme="minorHAnsi" w:cstheme="minorBidi"/>
            <w:noProof/>
            <w:sz w:val="22"/>
            <w:szCs w:val="22"/>
          </w:rPr>
          <w:tab/>
        </w:r>
        <w:r w:rsidRPr="00CD0B56">
          <w:rPr>
            <w:rStyle w:val="Hyperlink"/>
            <w:noProof/>
          </w:rPr>
          <w:t>Part 1 Section 21.1.2.1.3, normAutofit (Normal AutoFit)</w:t>
        </w:r>
        <w:r>
          <w:rPr>
            <w:noProof/>
            <w:webHidden/>
          </w:rPr>
          <w:tab/>
        </w:r>
        <w:r>
          <w:rPr>
            <w:noProof/>
            <w:webHidden/>
          </w:rPr>
          <w:fldChar w:fldCharType="begin"/>
        </w:r>
        <w:r>
          <w:rPr>
            <w:noProof/>
            <w:webHidden/>
          </w:rPr>
          <w:instrText xml:space="preserve"> PAGEREF _Toc12261443 \h </w:instrText>
        </w:r>
        <w:r>
          <w:rPr>
            <w:noProof/>
            <w:webHidden/>
          </w:rPr>
        </w:r>
        <w:r>
          <w:rPr>
            <w:noProof/>
            <w:webHidden/>
          </w:rPr>
          <w:fldChar w:fldCharType="separate"/>
        </w:r>
        <w:r>
          <w:rPr>
            <w:noProof/>
            <w:webHidden/>
          </w:rPr>
          <w:t>527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44" w:history="1">
        <w:r w:rsidRPr="00CD0B56">
          <w:rPr>
            <w:rStyle w:val="Hyperlink"/>
            <w:noProof/>
          </w:rPr>
          <w:t>2.1.1376</w:t>
        </w:r>
        <w:r>
          <w:rPr>
            <w:rFonts w:asciiTheme="minorHAnsi" w:eastAsiaTheme="minorEastAsia" w:hAnsiTheme="minorHAnsi" w:cstheme="minorBidi"/>
            <w:noProof/>
            <w:sz w:val="22"/>
            <w:szCs w:val="22"/>
          </w:rPr>
          <w:tab/>
        </w:r>
        <w:r w:rsidRPr="00CD0B56">
          <w:rPr>
            <w:rStyle w:val="Hyperlink"/>
            <w:noProof/>
          </w:rPr>
          <w:t>Part 1 Section 21.1.2.1.4, spAutoFit (Shape AutoFit)</w:t>
        </w:r>
        <w:r>
          <w:rPr>
            <w:noProof/>
            <w:webHidden/>
          </w:rPr>
          <w:tab/>
        </w:r>
        <w:r>
          <w:rPr>
            <w:noProof/>
            <w:webHidden/>
          </w:rPr>
          <w:fldChar w:fldCharType="begin"/>
        </w:r>
        <w:r>
          <w:rPr>
            <w:noProof/>
            <w:webHidden/>
          </w:rPr>
          <w:instrText xml:space="preserve"> PAGEREF _Toc12261444 \h </w:instrText>
        </w:r>
        <w:r>
          <w:rPr>
            <w:noProof/>
            <w:webHidden/>
          </w:rPr>
        </w:r>
        <w:r>
          <w:rPr>
            <w:noProof/>
            <w:webHidden/>
          </w:rPr>
          <w:fldChar w:fldCharType="separate"/>
        </w:r>
        <w:r>
          <w:rPr>
            <w:noProof/>
            <w:webHidden/>
          </w:rPr>
          <w:t>527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45" w:history="1">
        <w:r w:rsidRPr="00CD0B56">
          <w:rPr>
            <w:rStyle w:val="Hyperlink"/>
            <w:noProof/>
          </w:rPr>
          <w:t>2.1.1377</w:t>
        </w:r>
        <w:r>
          <w:rPr>
            <w:rFonts w:asciiTheme="minorHAnsi" w:eastAsiaTheme="minorEastAsia" w:hAnsiTheme="minorHAnsi" w:cstheme="minorBidi"/>
            <w:noProof/>
            <w:sz w:val="22"/>
            <w:szCs w:val="22"/>
          </w:rPr>
          <w:tab/>
        </w:r>
        <w:r w:rsidRPr="00CD0B56">
          <w:rPr>
            <w:rStyle w:val="Hyperlink"/>
            <w:noProof/>
          </w:rPr>
          <w:t>Part 1 Section 21.1.2.2.2, defPPr (Default Paragraph Style)</w:t>
        </w:r>
        <w:r>
          <w:rPr>
            <w:noProof/>
            <w:webHidden/>
          </w:rPr>
          <w:tab/>
        </w:r>
        <w:r>
          <w:rPr>
            <w:noProof/>
            <w:webHidden/>
          </w:rPr>
          <w:fldChar w:fldCharType="begin"/>
        </w:r>
        <w:r>
          <w:rPr>
            <w:noProof/>
            <w:webHidden/>
          </w:rPr>
          <w:instrText xml:space="preserve"> PAGEREF _Toc12261445 \h </w:instrText>
        </w:r>
        <w:r>
          <w:rPr>
            <w:noProof/>
            <w:webHidden/>
          </w:rPr>
        </w:r>
        <w:r>
          <w:rPr>
            <w:noProof/>
            <w:webHidden/>
          </w:rPr>
          <w:fldChar w:fldCharType="separate"/>
        </w:r>
        <w:r>
          <w:rPr>
            <w:noProof/>
            <w:webHidden/>
          </w:rPr>
          <w:t>527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46" w:history="1">
        <w:r w:rsidRPr="00CD0B56">
          <w:rPr>
            <w:rStyle w:val="Hyperlink"/>
            <w:noProof/>
          </w:rPr>
          <w:t>2.1.1378</w:t>
        </w:r>
        <w:r>
          <w:rPr>
            <w:rFonts w:asciiTheme="minorHAnsi" w:eastAsiaTheme="minorEastAsia" w:hAnsiTheme="minorHAnsi" w:cstheme="minorBidi"/>
            <w:noProof/>
            <w:sz w:val="22"/>
            <w:szCs w:val="22"/>
          </w:rPr>
          <w:tab/>
        </w:r>
        <w:r w:rsidRPr="00CD0B56">
          <w:rPr>
            <w:rStyle w:val="Hyperlink"/>
            <w:noProof/>
          </w:rPr>
          <w:t>Part 1 Section 21.1.2.2.3, endParaRPr (End Paragraph Run Properties)</w:t>
        </w:r>
        <w:r>
          <w:rPr>
            <w:noProof/>
            <w:webHidden/>
          </w:rPr>
          <w:tab/>
        </w:r>
        <w:r>
          <w:rPr>
            <w:noProof/>
            <w:webHidden/>
          </w:rPr>
          <w:fldChar w:fldCharType="begin"/>
        </w:r>
        <w:r>
          <w:rPr>
            <w:noProof/>
            <w:webHidden/>
          </w:rPr>
          <w:instrText xml:space="preserve"> PAGEREF _Toc12261446 \h </w:instrText>
        </w:r>
        <w:r>
          <w:rPr>
            <w:noProof/>
            <w:webHidden/>
          </w:rPr>
        </w:r>
        <w:r>
          <w:rPr>
            <w:noProof/>
            <w:webHidden/>
          </w:rPr>
          <w:fldChar w:fldCharType="separate"/>
        </w:r>
        <w:r>
          <w:rPr>
            <w:noProof/>
            <w:webHidden/>
          </w:rPr>
          <w:t>527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47" w:history="1">
        <w:r w:rsidRPr="00CD0B56">
          <w:rPr>
            <w:rStyle w:val="Hyperlink"/>
            <w:noProof/>
          </w:rPr>
          <w:t>2.1.1379</w:t>
        </w:r>
        <w:r>
          <w:rPr>
            <w:rFonts w:asciiTheme="minorHAnsi" w:eastAsiaTheme="minorEastAsia" w:hAnsiTheme="minorHAnsi" w:cstheme="minorBidi"/>
            <w:noProof/>
            <w:sz w:val="22"/>
            <w:szCs w:val="22"/>
          </w:rPr>
          <w:tab/>
        </w:r>
        <w:r w:rsidRPr="00CD0B56">
          <w:rPr>
            <w:rStyle w:val="Hyperlink"/>
            <w:noProof/>
          </w:rPr>
          <w:t>Part 1 Section 21.1.2.2.4, fld (Text Field)</w:t>
        </w:r>
        <w:r>
          <w:rPr>
            <w:noProof/>
            <w:webHidden/>
          </w:rPr>
          <w:tab/>
        </w:r>
        <w:r>
          <w:rPr>
            <w:noProof/>
            <w:webHidden/>
          </w:rPr>
          <w:fldChar w:fldCharType="begin"/>
        </w:r>
        <w:r>
          <w:rPr>
            <w:noProof/>
            <w:webHidden/>
          </w:rPr>
          <w:instrText xml:space="preserve"> PAGEREF _Toc12261447 \h </w:instrText>
        </w:r>
        <w:r>
          <w:rPr>
            <w:noProof/>
            <w:webHidden/>
          </w:rPr>
        </w:r>
        <w:r>
          <w:rPr>
            <w:noProof/>
            <w:webHidden/>
          </w:rPr>
          <w:fldChar w:fldCharType="separate"/>
        </w:r>
        <w:r>
          <w:rPr>
            <w:noProof/>
            <w:webHidden/>
          </w:rPr>
          <w:t>527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48" w:history="1">
        <w:r w:rsidRPr="00CD0B56">
          <w:rPr>
            <w:rStyle w:val="Hyperlink"/>
            <w:noProof/>
          </w:rPr>
          <w:t>2.1.1380</w:t>
        </w:r>
        <w:r>
          <w:rPr>
            <w:rFonts w:asciiTheme="minorHAnsi" w:eastAsiaTheme="minorEastAsia" w:hAnsiTheme="minorHAnsi" w:cstheme="minorBidi"/>
            <w:noProof/>
            <w:sz w:val="22"/>
            <w:szCs w:val="22"/>
          </w:rPr>
          <w:tab/>
        </w:r>
        <w:r w:rsidRPr="00CD0B56">
          <w:rPr>
            <w:rStyle w:val="Hyperlink"/>
            <w:noProof/>
          </w:rPr>
          <w:t>Part 1 Section 21.1.2.2.5, lnSpc (Line Spacing)</w:t>
        </w:r>
        <w:r>
          <w:rPr>
            <w:noProof/>
            <w:webHidden/>
          </w:rPr>
          <w:tab/>
        </w:r>
        <w:r>
          <w:rPr>
            <w:noProof/>
            <w:webHidden/>
          </w:rPr>
          <w:fldChar w:fldCharType="begin"/>
        </w:r>
        <w:r>
          <w:rPr>
            <w:noProof/>
            <w:webHidden/>
          </w:rPr>
          <w:instrText xml:space="preserve"> PAGEREF _Toc12261448 \h </w:instrText>
        </w:r>
        <w:r>
          <w:rPr>
            <w:noProof/>
            <w:webHidden/>
          </w:rPr>
        </w:r>
        <w:r>
          <w:rPr>
            <w:noProof/>
            <w:webHidden/>
          </w:rPr>
          <w:fldChar w:fldCharType="separate"/>
        </w:r>
        <w:r>
          <w:rPr>
            <w:noProof/>
            <w:webHidden/>
          </w:rPr>
          <w:t>529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49" w:history="1">
        <w:r w:rsidRPr="00CD0B56">
          <w:rPr>
            <w:rStyle w:val="Hyperlink"/>
            <w:noProof/>
          </w:rPr>
          <w:t>2.1.1381</w:t>
        </w:r>
        <w:r>
          <w:rPr>
            <w:rFonts w:asciiTheme="minorHAnsi" w:eastAsiaTheme="minorEastAsia" w:hAnsiTheme="minorHAnsi" w:cstheme="minorBidi"/>
            <w:noProof/>
            <w:sz w:val="22"/>
            <w:szCs w:val="22"/>
          </w:rPr>
          <w:tab/>
        </w:r>
        <w:r w:rsidRPr="00CD0B56">
          <w:rPr>
            <w:rStyle w:val="Hyperlink"/>
            <w:noProof/>
          </w:rPr>
          <w:t>Part 1 Section 21.1.2.2.6, p (Text Paragraphs)</w:t>
        </w:r>
        <w:r>
          <w:rPr>
            <w:noProof/>
            <w:webHidden/>
          </w:rPr>
          <w:tab/>
        </w:r>
        <w:r>
          <w:rPr>
            <w:noProof/>
            <w:webHidden/>
          </w:rPr>
          <w:fldChar w:fldCharType="begin"/>
        </w:r>
        <w:r>
          <w:rPr>
            <w:noProof/>
            <w:webHidden/>
          </w:rPr>
          <w:instrText xml:space="preserve"> PAGEREF _Toc12261449 \h </w:instrText>
        </w:r>
        <w:r>
          <w:rPr>
            <w:noProof/>
            <w:webHidden/>
          </w:rPr>
        </w:r>
        <w:r>
          <w:rPr>
            <w:noProof/>
            <w:webHidden/>
          </w:rPr>
          <w:fldChar w:fldCharType="separate"/>
        </w:r>
        <w:r>
          <w:rPr>
            <w:noProof/>
            <w:webHidden/>
          </w:rPr>
          <w:t>530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50" w:history="1">
        <w:r w:rsidRPr="00CD0B56">
          <w:rPr>
            <w:rStyle w:val="Hyperlink"/>
            <w:noProof/>
          </w:rPr>
          <w:t>2.1.1382</w:t>
        </w:r>
        <w:r>
          <w:rPr>
            <w:rFonts w:asciiTheme="minorHAnsi" w:eastAsiaTheme="minorEastAsia" w:hAnsiTheme="minorHAnsi" w:cstheme="minorBidi"/>
            <w:noProof/>
            <w:sz w:val="22"/>
            <w:szCs w:val="22"/>
          </w:rPr>
          <w:tab/>
        </w:r>
        <w:r w:rsidRPr="00CD0B56">
          <w:rPr>
            <w:rStyle w:val="Hyperlink"/>
            <w:noProof/>
          </w:rPr>
          <w:t>Part 1 Section 21.1.2.2.7, pPr (Text Paragraph Properties)</w:t>
        </w:r>
        <w:r>
          <w:rPr>
            <w:noProof/>
            <w:webHidden/>
          </w:rPr>
          <w:tab/>
        </w:r>
        <w:r>
          <w:rPr>
            <w:noProof/>
            <w:webHidden/>
          </w:rPr>
          <w:fldChar w:fldCharType="begin"/>
        </w:r>
        <w:r>
          <w:rPr>
            <w:noProof/>
            <w:webHidden/>
          </w:rPr>
          <w:instrText xml:space="preserve"> PAGEREF _Toc12261450 \h </w:instrText>
        </w:r>
        <w:r>
          <w:rPr>
            <w:noProof/>
            <w:webHidden/>
          </w:rPr>
        </w:r>
        <w:r>
          <w:rPr>
            <w:noProof/>
            <w:webHidden/>
          </w:rPr>
          <w:fldChar w:fldCharType="separate"/>
        </w:r>
        <w:r>
          <w:rPr>
            <w:noProof/>
            <w:webHidden/>
          </w:rPr>
          <w:t>530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51" w:history="1">
        <w:r w:rsidRPr="00CD0B56">
          <w:rPr>
            <w:rStyle w:val="Hyperlink"/>
            <w:noProof/>
          </w:rPr>
          <w:t>2.1.1383</w:t>
        </w:r>
        <w:r>
          <w:rPr>
            <w:rFonts w:asciiTheme="minorHAnsi" w:eastAsiaTheme="minorEastAsia" w:hAnsiTheme="minorHAnsi" w:cstheme="minorBidi"/>
            <w:noProof/>
            <w:sz w:val="22"/>
            <w:szCs w:val="22"/>
          </w:rPr>
          <w:tab/>
        </w:r>
        <w:r w:rsidRPr="00CD0B56">
          <w:rPr>
            <w:rStyle w:val="Hyperlink"/>
            <w:noProof/>
          </w:rPr>
          <w:t>Part 1 Section 21.1.2.2.9, spcAft (Space After)</w:t>
        </w:r>
        <w:r>
          <w:rPr>
            <w:noProof/>
            <w:webHidden/>
          </w:rPr>
          <w:tab/>
        </w:r>
        <w:r>
          <w:rPr>
            <w:noProof/>
            <w:webHidden/>
          </w:rPr>
          <w:fldChar w:fldCharType="begin"/>
        </w:r>
        <w:r>
          <w:rPr>
            <w:noProof/>
            <w:webHidden/>
          </w:rPr>
          <w:instrText xml:space="preserve"> PAGEREF _Toc12261451 \h </w:instrText>
        </w:r>
        <w:r>
          <w:rPr>
            <w:noProof/>
            <w:webHidden/>
          </w:rPr>
        </w:r>
        <w:r>
          <w:rPr>
            <w:noProof/>
            <w:webHidden/>
          </w:rPr>
          <w:fldChar w:fldCharType="separate"/>
        </w:r>
        <w:r>
          <w:rPr>
            <w:noProof/>
            <w:webHidden/>
          </w:rPr>
          <w:t>530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52" w:history="1">
        <w:r w:rsidRPr="00CD0B56">
          <w:rPr>
            <w:rStyle w:val="Hyperlink"/>
            <w:noProof/>
          </w:rPr>
          <w:t>2.1.1384</w:t>
        </w:r>
        <w:r>
          <w:rPr>
            <w:rFonts w:asciiTheme="minorHAnsi" w:eastAsiaTheme="minorEastAsia" w:hAnsiTheme="minorHAnsi" w:cstheme="minorBidi"/>
            <w:noProof/>
            <w:sz w:val="22"/>
            <w:szCs w:val="22"/>
          </w:rPr>
          <w:tab/>
        </w:r>
        <w:r w:rsidRPr="00CD0B56">
          <w:rPr>
            <w:rStyle w:val="Hyperlink"/>
            <w:noProof/>
          </w:rPr>
          <w:t>Part 1 Section 21.1.2.2.10, spcBef (Space Before)</w:t>
        </w:r>
        <w:r>
          <w:rPr>
            <w:noProof/>
            <w:webHidden/>
          </w:rPr>
          <w:tab/>
        </w:r>
        <w:r>
          <w:rPr>
            <w:noProof/>
            <w:webHidden/>
          </w:rPr>
          <w:fldChar w:fldCharType="begin"/>
        </w:r>
        <w:r>
          <w:rPr>
            <w:noProof/>
            <w:webHidden/>
          </w:rPr>
          <w:instrText xml:space="preserve"> PAGEREF _Toc12261452 \h </w:instrText>
        </w:r>
        <w:r>
          <w:rPr>
            <w:noProof/>
            <w:webHidden/>
          </w:rPr>
        </w:r>
        <w:r>
          <w:rPr>
            <w:noProof/>
            <w:webHidden/>
          </w:rPr>
          <w:fldChar w:fldCharType="separate"/>
        </w:r>
        <w:r>
          <w:rPr>
            <w:noProof/>
            <w:webHidden/>
          </w:rPr>
          <w:t>530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53" w:history="1">
        <w:r w:rsidRPr="00CD0B56">
          <w:rPr>
            <w:rStyle w:val="Hyperlink"/>
            <w:noProof/>
          </w:rPr>
          <w:t>2.1.1385</w:t>
        </w:r>
        <w:r>
          <w:rPr>
            <w:rFonts w:asciiTheme="minorHAnsi" w:eastAsiaTheme="minorEastAsia" w:hAnsiTheme="minorHAnsi" w:cstheme="minorBidi"/>
            <w:noProof/>
            <w:sz w:val="22"/>
            <w:szCs w:val="22"/>
          </w:rPr>
          <w:tab/>
        </w:r>
        <w:r w:rsidRPr="00CD0B56">
          <w:rPr>
            <w:rStyle w:val="Hyperlink"/>
            <w:noProof/>
          </w:rPr>
          <w:t>Part 1 Section 21.1.2.2.11, spcPct (Spacing Percent)</w:t>
        </w:r>
        <w:r>
          <w:rPr>
            <w:noProof/>
            <w:webHidden/>
          </w:rPr>
          <w:tab/>
        </w:r>
        <w:r>
          <w:rPr>
            <w:noProof/>
            <w:webHidden/>
          </w:rPr>
          <w:fldChar w:fldCharType="begin"/>
        </w:r>
        <w:r>
          <w:rPr>
            <w:noProof/>
            <w:webHidden/>
          </w:rPr>
          <w:instrText xml:space="preserve"> PAGEREF _Toc12261453 \h </w:instrText>
        </w:r>
        <w:r>
          <w:rPr>
            <w:noProof/>
            <w:webHidden/>
          </w:rPr>
        </w:r>
        <w:r>
          <w:rPr>
            <w:noProof/>
            <w:webHidden/>
          </w:rPr>
          <w:fldChar w:fldCharType="separate"/>
        </w:r>
        <w:r>
          <w:rPr>
            <w:noProof/>
            <w:webHidden/>
          </w:rPr>
          <w:t>531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54" w:history="1">
        <w:r w:rsidRPr="00CD0B56">
          <w:rPr>
            <w:rStyle w:val="Hyperlink"/>
            <w:noProof/>
          </w:rPr>
          <w:t>2.1.1386</w:t>
        </w:r>
        <w:r>
          <w:rPr>
            <w:rFonts w:asciiTheme="minorHAnsi" w:eastAsiaTheme="minorEastAsia" w:hAnsiTheme="minorHAnsi" w:cstheme="minorBidi"/>
            <w:noProof/>
            <w:sz w:val="22"/>
            <w:szCs w:val="22"/>
          </w:rPr>
          <w:tab/>
        </w:r>
        <w:r w:rsidRPr="00CD0B56">
          <w:rPr>
            <w:rStyle w:val="Hyperlink"/>
            <w:noProof/>
          </w:rPr>
          <w:t>Part 1 Section 21.1.2.3.1, cs (Complex Script Font)</w:t>
        </w:r>
        <w:r>
          <w:rPr>
            <w:noProof/>
            <w:webHidden/>
          </w:rPr>
          <w:tab/>
        </w:r>
        <w:r>
          <w:rPr>
            <w:noProof/>
            <w:webHidden/>
          </w:rPr>
          <w:fldChar w:fldCharType="begin"/>
        </w:r>
        <w:r>
          <w:rPr>
            <w:noProof/>
            <w:webHidden/>
          </w:rPr>
          <w:instrText xml:space="preserve"> PAGEREF _Toc12261454 \h </w:instrText>
        </w:r>
        <w:r>
          <w:rPr>
            <w:noProof/>
            <w:webHidden/>
          </w:rPr>
        </w:r>
        <w:r>
          <w:rPr>
            <w:noProof/>
            <w:webHidden/>
          </w:rPr>
          <w:fldChar w:fldCharType="separate"/>
        </w:r>
        <w:r>
          <w:rPr>
            <w:noProof/>
            <w:webHidden/>
          </w:rPr>
          <w:t>531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55" w:history="1">
        <w:r w:rsidRPr="00CD0B56">
          <w:rPr>
            <w:rStyle w:val="Hyperlink"/>
            <w:noProof/>
          </w:rPr>
          <w:t>2.1.1387</w:t>
        </w:r>
        <w:r>
          <w:rPr>
            <w:rFonts w:asciiTheme="minorHAnsi" w:eastAsiaTheme="minorEastAsia" w:hAnsiTheme="minorHAnsi" w:cstheme="minorBidi"/>
            <w:noProof/>
            <w:sz w:val="22"/>
            <w:szCs w:val="22"/>
          </w:rPr>
          <w:tab/>
        </w:r>
        <w:r w:rsidRPr="00CD0B56">
          <w:rPr>
            <w:rStyle w:val="Hyperlink"/>
            <w:noProof/>
          </w:rPr>
          <w:t>Part 1 Section 21.1.2.3.2, defRPr (Default Text Run Properties)</w:t>
        </w:r>
        <w:r>
          <w:rPr>
            <w:noProof/>
            <w:webHidden/>
          </w:rPr>
          <w:tab/>
        </w:r>
        <w:r>
          <w:rPr>
            <w:noProof/>
            <w:webHidden/>
          </w:rPr>
          <w:fldChar w:fldCharType="begin"/>
        </w:r>
        <w:r>
          <w:rPr>
            <w:noProof/>
            <w:webHidden/>
          </w:rPr>
          <w:instrText xml:space="preserve"> PAGEREF _Toc12261455 \h </w:instrText>
        </w:r>
        <w:r>
          <w:rPr>
            <w:noProof/>
            <w:webHidden/>
          </w:rPr>
        </w:r>
        <w:r>
          <w:rPr>
            <w:noProof/>
            <w:webHidden/>
          </w:rPr>
          <w:fldChar w:fldCharType="separate"/>
        </w:r>
        <w:r>
          <w:rPr>
            <w:noProof/>
            <w:webHidden/>
          </w:rPr>
          <w:t>531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56" w:history="1">
        <w:r w:rsidRPr="00CD0B56">
          <w:rPr>
            <w:rStyle w:val="Hyperlink"/>
            <w:noProof/>
          </w:rPr>
          <w:t>2.1.1388</w:t>
        </w:r>
        <w:r>
          <w:rPr>
            <w:rFonts w:asciiTheme="minorHAnsi" w:eastAsiaTheme="minorEastAsia" w:hAnsiTheme="minorHAnsi" w:cstheme="minorBidi"/>
            <w:noProof/>
            <w:sz w:val="22"/>
            <w:szCs w:val="22"/>
          </w:rPr>
          <w:tab/>
        </w:r>
        <w:r w:rsidRPr="00CD0B56">
          <w:rPr>
            <w:rStyle w:val="Hyperlink"/>
            <w:noProof/>
          </w:rPr>
          <w:t>Part 1 Section 21.1.2.3.3, ea (East Asian Font)</w:t>
        </w:r>
        <w:r>
          <w:rPr>
            <w:noProof/>
            <w:webHidden/>
          </w:rPr>
          <w:tab/>
        </w:r>
        <w:r>
          <w:rPr>
            <w:noProof/>
            <w:webHidden/>
          </w:rPr>
          <w:fldChar w:fldCharType="begin"/>
        </w:r>
        <w:r>
          <w:rPr>
            <w:noProof/>
            <w:webHidden/>
          </w:rPr>
          <w:instrText xml:space="preserve"> PAGEREF _Toc12261456 \h </w:instrText>
        </w:r>
        <w:r>
          <w:rPr>
            <w:noProof/>
            <w:webHidden/>
          </w:rPr>
        </w:r>
        <w:r>
          <w:rPr>
            <w:noProof/>
            <w:webHidden/>
          </w:rPr>
          <w:fldChar w:fldCharType="separate"/>
        </w:r>
        <w:r>
          <w:rPr>
            <w:noProof/>
            <w:webHidden/>
          </w:rPr>
          <w:t>531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57" w:history="1">
        <w:r w:rsidRPr="00CD0B56">
          <w:rPr>
            <w:rStyle w:val="Hyperlink"/>
            <w:noProof/>
          </w:rPr>
          <w:t>2.1.1389</w:t>
        </w:r>
        <w:r>
          <w:rPr>
            <w:rFonts w:asciiTheme="minorHAnsi" w:eastAsiaTheme="minorEastAsia" w:hAnsiTheme="minorHAnsi" w:cstheme="minorBidi"/>
            <w:noProof/>
            <w:sz w:val="22"/>
            <w:szCs w:val="22"/>
          </w:rPr>
          <w:tab/>
        </w:r>
        <w:r w:rsidRPr="00CD0B56">
          <w:rPr>
            <w:rStyle w:val="Hyperlink"/>
            <w:noProof/>
          </w:rPr>
          <w:t>Part 1 Section 21.1.2.3.5, hlinkClick (Click Hyperlink)</w:t>
        </w:r>
        <w:r>
          <w:rPr>
            <w:noProof/>
            <w:webHidden/>
          </w:rPr>
          <w:tab/>
        </w:r>
        <w:r>
          <w:rPr>
            <w:noProof/>
            <w:webHidden/>
          </w:rPr>
          <w:fldChar w:fldCharType="begin"/>
        </w:r>
        <w:r>
          <w:rPr>
            <w:noProof/>
            <w:webHidden/>
          </w:rPr>
          <w:instrText xml:space="preserve"> PAGEREF _Toc12261457 \h </w:instrText>
        </w:r>
        <w:r>
          <w:rPr>
            <w:noProof/>
            <w:webHidden/>
          </w:rPr>
        </w:r>
        <w:r>
          <w:rPr>
            <w:noProof/>
            <w:webHidden/>
          </w:rPr>
          <w:fldChar w:fldCharType="separate"/>
        </w:r>
        <w:r>
          <w:rPr>
            <w:noProof/>
            <w:webHidden/>
          </w:rPr>
          <w:t>531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58" w:history="1">
        <w:r w:rsidRPr="00CD0B56">
          <w:rPr>
            <w:rStyle w:val="Hyperlink"/>
            <w:noProof/>
          </w:rPr>
          <w:t>2.1.1390</w:t>
        </w:r>
        <w:r>
          <w:rPr>
            <w:rFonts w:asciiTheme="minorHAnsi" w:eastAsiaTheme="minorEastAsia" w:hAnsiTheme="minorHAnsi" w:cstheme="minorBidi"/>
            <w:noProof/>
            <w:sz w:val="22"/>
            <w:szCs w:val="22"/>
          </w:rPr>
          <w:tab/>
        </w:r>
        <w:r w:rsidRPr="00CD0B56">
          <w:rPr>
            <w:rStyle w:val="Hyperlink"/>
            <w:noProof/>
          </w:rPr>
          <w:t>Part 1 Section 21.1.2.3.6, hlinkMouseOver (Mouse-Over Hyperlink)</w:t>
        </w:r>
        <w:r>
          <w:rPr>
            <w:noProof/>
            <w:webHidden/>
          </w:rPr>
          <w:tab/>
        </w:r>
        <w:r>
          <w:rPr>
            <w:noProof/>
            <w:webHidden/>
          </w:rPr>
          <w:fldChar w:fldCharType="begin"/>
        </w:r>
        <w:r>
          <w:rPr>
            <w:noProof/>
            <w:webHidden/>
          </w:rPr>
          <w:instrText xml:space="preserve"> PAGEREF _Toc12261458 \h </w:instrText>
        </w:r>
        <w:r>
          <w:rPr>
            <w:noProof/>
            <w:webHidden/>
          </w:rPr>
        </w:r>
        <w:r>
          <w:rPr>
            <w:noProof/>
            <w:webHidden/>
          </w:rPr>
          <w:fldChar w:fldCharType="separate"/>
        </w:r>
        <w:r>
          <w:rPr>
            <w:noProof/>
            <w:webHidden/>
          </w:rPr>
          <w:t>532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59" w:history="1">
        <w:r w:rsidRPr="00CD0B56">
          <w:rPr>
            <w:rStyle w:val="Hyperlink"/>
            <w:noProof/>
          </w:rPr>
          <w:t>2.1.1391</w:t>
        </w:r>
        <w:r>
          <w:rPr>
            <w:rFonts w:asciiTheme="minorHAnsi" w:eastAsiaTheme="minorEastAsia" w:hAnsiTheme="minorHAnsi" w:cstheme="minorBidi"/>
            <w:noProof/>
            <w:sz w:val="22"/>
            <w:szCs w:val="22"/>
          </w:rPr>
          <w:tab/>
        </w:r>
        <w:r w:rsidRPr="00CD0B56">
          <w:rPr>
            <w:rStyle w:val="Hyperlink"/>
            <w:noProof/>
          </w:rPr>
          <w:t>Part 1 Section 21.1.2.3.7, latin (Latin Font)</w:t>
        </w:r>
        <w:r>
          <w:rPr>
            <w:noProof/>
            <w:webHidden/>
          </w:rPr>
          <w:tab/>
        </w:r>
        <w:r>
          <w:rPr>
            <w:noProof/>
            <w:webHidden/>
          </w:rPr>
          <w:fldChar w:fldCharType="begin"/>
        </w:r>
        <w:r>
          <w:rPr>
            <w:noProof/>
            <w:webHidden/>
          </w:rPr>
          <w:instrText xml:space="preserve"> PAGEREF _Toc12261459 \h </w:instrText>
        </w:r>
        <w:r>
          <w:rPr>
            <w:noProof/>
            <w:webHidden/>
          </w:rPr>
        </w:r>
        <w:r>
          <w:rPr>
            <w:noProof/>
            <w:webHidden/>
          </w:rPr>
          <w:fldChar w:fldCharType="separate"/>
        </w:r>
        <w:r>
          <w:rPr>
            <w:noProof/>
            <w:webHidden/>
          </w:rPr>
          <w:t>533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60" w:history="1">
        <w:r w:rsidRPr="00CD0B56">
          <w:rPr>
            <w:rStyle w:val="Hyperlink"/>
            <w:noProof/>
          </w:rPr>
          <w:t>2.1.1392</w:t>
        </w:r>
        <w:r>
          <w:rPr>
            <w:rFonts w:asciiTheme="minorHAnsi" w:eastAsiaTheme="minorEastAsia" w:hAnsiTheme="minorHAnsi" w:cstheme="minorBidi"/>
            <w:noProof/>
            <w:sz w:val="22"/>
            <w:szCs w:val="22"/>
          </w:rPr>
          <w:tab/>
        </w:r>
        <w:r w:rsidRPr="00CD0B56">
          <w:rPr>
            <w:rStyle w:val="Hyperlink"/>
            <w:noProof/>
          </w:rPr>
          <w:t>Part 1 Section 21.1.2.3.8, r (Text Run)</w:t>
        </w:r>
        <w:r>
          <w:rPr>
            <w:noProof/>
            <w:webHidden/>
          </w:rPr>
          <w:tab/>
        </w:r>
        <w:r>
          <w:rPr>
            <w:noProof/>
            <w:webHidden/>
          </w:rPr>
          <w:fldChar w:fldCharType="begin"/>
        </w:r>
        <w:r>
          <w:rPr>
            <w:noProof/>
            <w:webHidden/>
          </w:rPr>
          <w:instrText xml:space="preserve"> PAGEREF _Toc12261460 \h </w:instrText>
        </w:r>
        <w:r>
          <w:rPr>
            <w:noProof/>
            <w:webHidden/>
          </w:rPr>
        </w:r>
        <w:r>
          <w:rPr>
            <w:noProof/>
            <w:webHidden/>
          </w:rPr>
          <w:fldChar w:fldCharType="separate"/>
        </w:r>
        <w:r>
          <w:rPr>
            <w:noProof/>
            <w:webHidden/>
          </w:rPr>
          <w:t>534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61" w:history="1">
        <w:r w:rsidRPr="00CD0B56">
          <w:rPr>
            <w:rStyle w:val="Hyperlink"/>
            <w:noProof/>
          </w:rPr>
          <w:t>2.1.1393</w:t>
        </w:r>
        <w:r>
          <w:rPr>
            <w:rFonts w:asciiTheme="minorHAnsi" w:eastAsiaTheme="minorEastAsia" w:hAnsiTheme="minorHAnsi" w:cstheme="minorBidi"/>
            <w:noProof/>
            <w:sz w:val="22"/>
            <w:szCs w:val="22"/>
          </w:rPr>
          <w:tab/>
        </w:r>
        <w:r w:rsidRPr="00CD0B56">
          <w:rPr>
            <w:rStyle w:val="Hyperlink"/>
            <w:noProof/>
          </w:rPr>
          <w:t>Part 1 Section 21.1.2.3.9, rPr (Text Run Properties)</w:t>
        </w:r>
        <w:r>
          <w:rPr>
            <w:noProof/>
            <w:webHidden/>
          </w:rPr>
          <w:tab/>
        </w:r>
        <w:r>
          <w:rPr>
            <w:noProof/>
            <w:webHidden/>
          </w:rPr>
          <w:fldChar w:fldCharType="begin"/>
        </w:r>
        <w:r>
          <w:rPr>
            <w:noProof/>
            <w:webHidden/>
          </w:rPr>
          <w:instrText xml:space="preserve"> PAGEREF _Toc12261461 \h </w:instrText>
        </w:r>
        <w:r>
          <w:rPr>
            <w:noProof/>
            <w:webHidden/>
          </w:rPr>
        </w:r>
        <w:r>
          <w:rPr>
            <w:noProof/>
            <w:webHidden/>
          </w:rPr>
          <w:fldChar w:fldCharType="separate"/>
        </w:r>
        <w:r>
          <w:rPr>
            <w:noProof/>
            <w:webHidden/>
          </w:rPr>
          <w:t>535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62" w:history="1">
        <w:r w:rsidRPr="00CD0B56">
          <w:rPr>
            <w:rStyle w:val="Hyperlink"/>
            <w:noProof/>
          </w:rPr>
          <w:t>2.1.1394</w:t>
        </w:r>
        <w:r>
          <w:rPr>
            <w:rFonts w:asciiTheme="minorHAnsi" w:eastAsiaTheme="minorEastAsia" w:hAnsiTheme="minorHAnsi" w:cstheme="minorBidi"/>
            <w:noProof/>
            <w:sz w:val="22"/>
            <w:szCs w:val="22"/>
          </w:rPr>
          <w:tab/>
        </w:r>
        <w:r w:rsidRPr="00CD0B56">
          <w:rPr>
            <w:rStyle w:val="Hyperlink"/>
            <w:noProof/>
          </w:rPr>
          <w:t>Part 1 Section 21.1.2.3.10, sym (Symbol Font)</w:t>
        </w:r>
        <w:r>
          <w:rPr>
            <w:noProof/>
            <w:webHidden/>
          </w:rPr>
          <w:tab/>
        </w:r>
        <w:r>
          <w:rPr>
            <w:noProof/>
            <w:webHidden/>
          </w:rPr>
          <w:fldChar w:fldCharType="begin"/>
        </w:r>
        <w:r>
          <w:rPr>
            <w:noProof/>
            <w:webHidden/>
          </w:rPr>
          <w:instrText xml:space="preserve"> PAGEREF _Toc12261462 \h </w:instrText>
        </w:r>
        <w:r>
          <w:rPr>
            <w:noProof/>
            <w:webHidden/>
          </w:rPr>
        </w:r>
        <w:r>
          <w:rPr>
            <w:noProof/>
            <w:webHidden/>
          </w:rPr>
          <w:fldChar w:fldCharType="separate"/>
        </w:r>
        <w:r>
          <w:rPr>
            <w:noProof/>
            <w:webHidden/>
          </w:rPr>
          <w:t>536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63" w:history="1">
        <w:r w:rsidRPr="00CD0B56">
          <w:rPr>
            <w:rStyle w:val="Hyperlink"/>
            <w:noProof/>
          </w:rPr>
          <w:t>2.1.1395</w:t>
        </w:r>
        <w:r>
          <w:rPr>
            <w:rFonts w:asciiTheme="minorHAnsi" w:eastAsiaTheme="minorEastAsia" w:hAnsiTheme="minorHAnsi" w:cstheme="minorBidi"/>
            <w:noProof/>
            <w:sz w:val="22"/>
            <w:szCs w:val="22"/>
          </w:rPr>
          <w:tab/>
        </w:r>
        <w:r w:rsidRPr="00CD0B56">
          <w:rPr>
            <w:rStyle w:val="Hyperlink"/>
            <w:noProof/>
          </w:rPr>
          <w:t>Part 1 Section 21.1.2.3.13, uFillTx (Underline Fill Properties Follow Text)</w:t>
        </w:r>
        <w:r>
          <w:rPr>
            <w:noProof/>
            <w:webHidden/>
          </w:rPr>
          <w:tab/>
        </w:r>
        <w:r>
          <w:rPr>
            <w:noProof/>
            <w:webHidden/>
          </w:rPr>
          <w:fldChar w:fldCharType="begin"/>
        </w:r>
        <w:r>
          <w:rPr>
            <w:noProof/>
            <w:webHidden/>
          </w:rPr>
          <w:instrText xml:space="preserve"> PAGEREF _Toc12261463 \h </w:instrText>
        </w:r>
        <w:r>
          <w:rPr>
            <w:noProof/>
            <w:webHidden/>
          </w:rPr>
        </w:r>
        <w:r>
          <w:rPr>
            <w:noProof/>
            <w:webHidden/>
          </w:rPr>
          <w:fldChar w:fldCharType="separate"/>
        </w:r>
        <w:r>
          <w:rPr>
            <w:noProof/>
            <w:webHidden/>
          </w:rPr>
          <w:t>536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64" w:history="1">
        <w:r w:rsidRPr="00CD0B56">
          <w:rPr>
            <w:rStyle w:val="Hyperlink"/>
            <w:noProof/>
          </w:rPr>
          <w:t>2.1.1396</w:t>
        </w:r>
        <w:r>
          <w:rPr>
            <w:rFonts w:asciiTheme="minorHAnsi" w:eastAsiaTheme="minorEastAsia" w:hAnsiTheme="minorHAnsi" w:cstheme="minorBidi"/>
            <w:noProof/>
            <w:sz w:val="22"/>
            <w:szCs w:val="22"/>
          </w:rPr>
          <w:tab/>
        </w:r>
        <w:r w:rsidRPr="00CD0B56">
          <w:rPr>
            <w:rStyle w:val="Hyperlink"/>
            <w:noProof/>
          </w:rPr>
          <w:t>Part 1 Section 21.1.2.3.14, uLn (Underline Stroke)</w:t>
        </w:r>
        <w:r>
          <w:rPr>
            <w:noProof/>
            <w:webHidden/>
          </w:rPr>
          <w:tab/>
        </w:r>
        <w:r>
          <w:rPr>
            <w:noProof/>
            <w:webHidden/>
          </w:rPr>
          <w:fldChar w:fldCharType="begin"/>
        </w:r>
        <w:r>
          <w:rPr>
            <w:noProof/>
            <w:webHidden/>
          </w:rPr>
          <w:instrText xml:space="preserve"> PAGEREF _Toc12261464 \h </w:instrText>
        </w:r>
        <w:r>
          <w:rPr>
            <w:noProof/>
            <w:webHidden/>
          </w:rPr>
        </w:r>
        <w:r>
          <w:rPr>
            <w:noProof/>
            <w:webHidden/>
          </w:rPr>
          <w:fldChar w:fldCharType="separate"/>
        </w:r>
        <w:r>
          <w:rPr>
            <w:noProof/>
            <w:webHidden/>
          </w:rPr>
          <w:t>536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65" w:history="1">
        <w:r w:rsidRPr="00CD0B56">
          <w:rPr>
            <w:rStyle w:val="Hyperlink"/>
            <w:noProof/>
          </w:rPr>
          <w:t>2.1.1397</w:t>
        </w:r>
        <w:r>
          <w:rPr>
            <w:rFonts w:asciiTheme="minorHAnsi" w:eastAsiaTheme="minorEastAsia" w:hAnsiTheme="minorHAnsi" w:cstheme="minorBidi"/>
            <w:noProof/>
            <w:sz w:val="22"/>
            <w:szCs w:val="22"/>
          </w:rPr>
          <w:tab/>
        </w:r>
        <w:r w:rsidRPr="00CD0B56">
          <w:rPr>
            <w:rStyle w:val="Hyperlink"/>
            <w:noProof/>
          </w:rPr>
          <w:t>Part 1 Section 21.1.2.4.6, buFont (Specified)</w:t>
        </w:r>
        <w:r>
          <w:rPr>
            <w:noProof/>
            <w:webHidden/>
          </w:rPr>
          <w:tab/>
        </w:r>
        <w:r>
          <w:rPr>
            <w:noProof/>
            <w:webHidden/>
          </w:rPr>
          <w:fldChar w:fldCharType="begin"/>
        </w:r>
        <w:r>
          <w:rPr>
            <w:noProof/>
            <w:webHidden/>
          </w:rPr>
          <w:instrText xml:space="preserve"> PAGEREF _Toc12261465 \h </w:instrText>
        </w:r>
        <w:r>
          <w:rPr>
            <w:noProof/>
            <w:webHidden/>
          </w:rPr>
        </w:r>
        <w:r>
          <w:rPr>
            <w:noProof/>
            <w:webHidden/>
          </w:rPr>
          <w:fldChar w:fldCharType="separate"/>
        </w:r>
        <w:r>
          <w:rPr>
            <w:noProof/>
            <w:webHidden/>
          </w:rPr>
          <w:t>536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66" w:history="1">
        <w:r w:rsidRPr="00CD0B56">
          <w:rPr>
            <w:rStyle w:val="Hyperlink"/>
            <w:noProof/>
          </w:rPr>
          <w:t>2.1.1398</w:t>
        </w:r>
        <w:r>
          <w:rPr>
            <w:rFonts w:asciiTheme="minorHAnsi" w:eastAsiaTheme="minorEastAsia" w:hAnsiTheme="minorHAnsi" w:cstheme="minorBidi"/>
            <w:noProof/>
            <w:sz w:val="22"/>
            <w:szCs w:val="22"/>
          </w:rPr>
          <w:tab/>
        </w:r>
        <w:r w:rsidRPr="00CD0B56">
          <w:rPr>
            <w:rStyle w:val="Hyperlink"/>
            <w:noProof/>
          </w:rPr>
          <w:t>Part 1 Section 21.1.2.4.9, buSzPct (Bullet Size Percentage)</w:t>
        </w:r>
        <w:r>
          <w:rPr>
            <w:noProof/>
            <w:webHidden/>
          </w:rPr>
          <w:tab/>
        </w:r>
        <w:r>
          <w:rPr>
            <w:noProof/>
            <w:webHidden/>
          </w:rPr>
          <w:fldChar w:fldCharType="begin"/>
        </w:r>
        <w:r>
          <w:rPr>
            <w:noProof/>
            <w:webHidden/>
          </w:rPr>
          <w:instrText xml:space="preserve"> PAGEREF _Toc12261466 \h </w:instrText>
        </w:r>
        <w:r>
          <w:rPr>
            <w:noProof/>
            <w:webHidden/>
          </w:rPr>
        </w:r>
        <w:r>
          <w:rPr>
            <w:noProof/>
            <w:webHidden/>
          </w:rPr>
          <w:fldChar w:fldCharType="separate"/>
        </w:r>
        <w:r>
          <w:rPr>
            <w:noProof/>
            <w:webHidden/>
          </w:rPr>
          <w:t>536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67" w:history="1">
        <w:r w:rsidRPr="00CD0B56">
          <w:rPr>
            <w:rStyle w:val="Hyperlink"/>
            <w:noProof/>
          </w:rPr>
          <w:t>2.1.1399</w:t>
        </w:r>
        <w:r>
          <w:rPr>
            <w:rFonts w:asciiTheme="minorHAnsi" w:eastAsiaTheme="minorEastAsia" w:hAnsiTheme="minorHAnsi" w:cstheme="minorBidi"/>
            <w:noProof/>
            <w:sz w:val="22"/>
            <w:szCs w:val="22"/>
          </w:rPr>
          <w:tab/>
        </w:r>
        <w:r w:rsidRPr="00CD0B56">
          <w:rPr>
            <w:rStyle w:val="Hyperlink"/>
            <w:noProof/>
          </w:rPr>
          <w:t>Part 1 Section 21.1.2.4.10, buSzPts (Bullet Size Points)</w:t>
        </w:r>
        <w:r>
          <w:rPr>
            <w:noProof/>
            <w:webHidden/>
          </w:rPr>
          <w:tab/>
        </w:r>
        <w:r>
          <w:rPr>
            <w:noProof/>
            <w:webHidden/>
          </w:rPr>
          <w:fldChar w:fldCharType="begin"/>
        </w:r>
        <w:r>
          <w:rPr>
            <w:noProof/>
            <w:webHidden/>
          </w:rPr>
          <w:instrText xml:space="preserve"> PAGEREF _Toc12261467 \h </w:instrText>
        </w:r>
        <w:r>
          <w:rPr>
            <w:noProof/>
            <w:webHidden/>
          </w:rPr>
        </w:r>
        <w:r>
          <w:rPr>
            <w:noProof/>
            <w:webHidden/>
          </w:rPr>
          <w:fldChar w:fldCharType="separate"/>
        </w:r>
        <w:r>
          <w:rPr>
            <w:noProof/>
            <w:webHidden/>
          </w:rPr>
          <w:t>536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68" w:history="1">
        <w:r w:rsidRPr="00CD0B56">
          <w:rPr>
            <w:rStyle w:val="Hyperlink"/>
            <w:noProof/>
          </w:rPr>
          <w:t>2.1.1400</w:t>
        </w:r>
        <w:r>
          <w:rPr>
            <w:rFonts w:asciiTheme="minorHAnsi" w:eastAsiaTheme="minorEastAsia" w:hAnsiTheme="minorHAnsi" w:cstheme="minorBidi"/>
            <w:noProof/>
            <w:sz w:val="22"/>
            <w:szCs w:val="22"/>
          </w:rPr>
          <w:tab/>
        </w:r>
        <w:r w:rsidRPr="00CD0B56">
          <w:rPr>
            <w:rStyle w:val="Hyperlink"/>
            <w:noProof/>
          </w:rPr>
          <w:t>Part 1 Section 21.1.2.4.13, lvl1pPr (List Level 1 Text Style)</w:t>
        </w:r>
        <w:r>
          <w:rPr>
            <w:noProof/>
            <w:webHidden/>
          </w:rPr>
          <w:tab/>
        </w:r>
        <w:r>
          <w:rPr>
            <w:noProof/>
            <w:webHidden/>
          </w:rPr>
          <w:fldChar w:fldCharType="begin"/>
        </w:r>
        <w:r>
          <w:rPr>
            <w:noProof/>
            <w:webHidden/>
          </w:rPr>
          <w:instrText xml:space="preserve"> PAGEREF _Toc12261468 \h </w:instrText>
        </w:r>
        <w:r>
          <w:rPr>
            <w:noProof/>
            <w:webHidden/>
          </w:rPr>
        </w:r>
        <w:r>
          <w:rPr>
            <w:noProof/>
            <w:webHidden/>
          </w:rPr>
          <w:fldChar w:fldCharType="separate"/>
        </w:r>
        <w:r>
          <w:rPr>
            <w:noProof/>
            <w:webHidden/>
          </w:rPr>
          <w:t>536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69" w:history="1">
        <w:r w:rsidRPr="00CD0B56">
          <w:rPr>
            <w:rStyle w:val="Hyperlink"/>
            <w:noProof/>
          </w:rPr>
          <w:t>2.1.1401</w:t>
        </w:r>
        <w:r>
          <w:rPr>
            <w:rFonts w:asciiTheme="minorHAnsi" w:eastAsiaTheme="minorEastAsia" w:hAnsiTheme="minorHAnsi" w:cstheme="minorBidi"/>
            <w:noProof/>
            <w:sz w:val="22"/>
            <w:szCs w:val="22"/>
          </w:rPr>
          <w:tab/>
        </w:r>
        <w:r w:rsidRPr="00CD0B56">
          <w:rPr>
            <w:rStyle w:val="Hyperlink"/>
            <w:noProof/>
          </w:rPr>
          <w:t>Part 1 Section 21.1.2.4.14, lvl2pPr (List Level 2 Text Style)</w:t>
        </w:r>
        <w:r>
          <w:rPr>
            <w:noProof/>
            <w:webHidden/>
          </w:rPr>
          <w:tab/>
        </w:r>
        <w:r>
          <w:rPr>
            <w:noProof/>
            <w:webHidden/>
          </w:rPr>
          <w:fldChar w:fldCharType="begin"/>
        </w:r>
        <w:r>
          <w:rPr>
            <w:noProof/>
            <w:webHidden/>
          </w:rPr>
          <w:instrText xml:space="preserve"> PAGEREF _Toc12261469 \h </w:instrText>
        </w:r>
        <w:r>
          <w:rPr>
            <w:noProof/>
            <w:webHidden/>
          </w:rPr>
        </w:r>
        <w:r>
          <w:rPr>
            <w:noProof/>
            <w:webHidden/>
          </w:rPr>
          <w:fldChar w:fldCharType="separate"/>
        </w:r>
        <w:r>
          <w:rPr>
            <w:noProof/>
            <w:webHidden/>
          </w:rPr>
          <w:t>537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70" w:history="1">
        <w:r w:rsidRPr="00CD0B56">
          <w:rPr>
            <w:rStyle w:val="Hyperlink"/>
            <w:noProof/>
          </w:rPr>
          <w:t>2.1.1402</w:t>
        </w:r>
        <w:r>
          <w:rPr>
            <w:rFonts w:asciiTheme="minorHAnsi" w:eastAsiaTheme="minorEastAsia" w:hAnsiTheme="minorHAnsi" w:cstheme="minorBidi"/>
            <w:noProof/>
            <w:sz w:val="22"/>
            <w:szCs w:val="22"/>
          </w:rPr>
          <w:tab/>
        </w:r>
        <w:r w:rsidRPr="00CD0B56">
          <w:rPr>
            <w:rStyle w:val="Hyperlink"/>
            <w:noProof/>
          </w:rPr>
          <w:t>Part 1 Section 21.1.2.4.15, lvl3pPr (List Level 3 Text Style)</w:t>
        </w:r>
        <w:r>
          <w:rPr>
            <w:noProof/>
            <w:webHidden/>
          </w:rPr>
          <w:tab/>
        </w:r>
        <w:r>
          <w:rPr>
            <w:noProof/>
            <w:webHidden/>
          </w:rPr>
          <w:fldChar w:fldCharType="begin"/>
        </w:r>
        <w:r>
          <w:rPr>
            <w:noProof/>
            <w:webHidden/>
          </w:rPr>
          <w:instrText xml:space="preserve"> PAGEREF _Toc12261470 \h </w:instrText>
        </w:r>
        <w:r>
          <w:rPr>
            <w:noProof/>
            <w:webHidden/>
          </w:rPr>
        </w:r>
        <w:r>
          <w:rPr>
            <w:noProof/>
            <w:webHidden/>
          </w:rPr>
          <w:fldChar w:fldCharType="separate"/>
        </w:r>
        <w:r>
          <w:rPr>
            <w:noProof/>
            <w:webHidden/>
          </w:rPr>
          <w:t>537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71" w:history="1">
        <w:r w:rsidRPr="00CD0B56">
          <w:rPr>
            <w:rStyle w:val="Hyperlink"/>
            <w:noProof/>
          </w:rPr>
          <w:t>2.1.1403</w:t>
        </w:r>
        <w:r>
          <w:rPr>
            <w:rFonts w:asciiTheme="minorHAnsi" w:eastAsiaTheme="minorEastAsia" w:hAnsiTheme="minorHAnsi" w:cstheme="minorBidi"/>
            <w:noProof/>
            <w:sz w:val="22"/>
            <w:szCs w:val="22"/>
          </w:rPr>
          <w:tab/>
        </w:r>
        <w:r w:rsidRPr="00CD0B56">
          <w:rPr>
            <w:rStyle w:val="Hyperlink"/>
            <w:noProof/>
          </w:rPr>
          <w:t>Part 1 Section 21.1.2.4.16, lvl4pPr (List Level 4 Text Style)</w:t>
        </w:r>
        <w:r>
          <w:rPr>
            <w:noProof/>
            <w:webHidden/>
          </w:rPr>
          <w:tab/>
        </w:r>
        <w:r>
          <w:rPr>
            <w:noProof/>
            <w:webHidden/>
          </w:rPr>
          <w:fldChar w:fldCharType="begin"/>
        </w:r>
        <w:r>
          <w:rPr>
            <w:noProof/>
            <w:webHidden/>
          </w:rPr>
          <w:instrText xml:space="preserve"> PAGEREF _Toc12261471 \h </w:instrText>
        </w:r>
        <w:r>
          <w:rPr>
            <w:noProof/>
            <w:webHidden/>
          </w:rPr>
        </w:r>
        <w:r>
          <w:rPr>
            <w:noProof/>
            <w:webHidden/>
          </w:rPr>
          <w:fldChar w:fldCharType="separate"/>
        </w:r>
        <w:r>
          <w:rPr>
            <w:noProof/>
            <w:webHidden/>
          </w:rPr>
          <w:t>537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72" w:history="1">
        <w:r w:rsidRPr="00CD0B56">
          <w:rPr>
            <w:rStyle w:val="Hyperlink"/>
            <w:noProof/>
          </w:rPr>
          <w:t>2.1.1404</w:t>
        </w:r>
        <w:r>
          <w:rPr>
            <w:rFonts w:asciiTheme="minorHAnsi" w:eastAsiaTheme="minorEastAsia" w:hAnsiTheme="minorHAnsi" w:cstheme="minorBidi"/>
            <w:noProof/>
            <w:sz w:val="22"/>
            <w:szCs w:val="22"/>
          </w:rPr>
          <w:tab/>
        </w:r>
        <w:r w:rsidRPr="00CD0B56">
          <w:rPr>
            <w:rStyle w:val="Hyperlink"/>
            <w:noProof/>
          </w:rPr>
          <w:t>Part 1 Section 21.1.2.4.17, lvl5pPr (List Level 5 Text Style)</w:t>
        </w:r>
        <w:r>
          <w:rPr>
            <w:noProof/>
            <w:webHidden/>
          </w:rPr>
          <w:tab/>
        </w:r>
        <w:r>
          <w:rPr>
            <w:noProof/>
            <w:webHidden/>
          </w:rPr>
          <w:fldChar w:fldCharType="begin"/>
        </w:r>
        <w:r>
          <w:rPr>
            <w:noProof/>
            <w:webHidden/>
          </w:rPr>
          <w:instrText xml:space="preserve"> PAGEREF _Toc12261472 \h </w:instrText>
        </w:r>
        <w:r>
          <w:rPr>
            <w:noProof/>
            <w:webHidden/>
          </w:rPr>
        </w:r>
        <w:r>
          <w:rPr>
            <w:noProof/>
            <w:webHidden/>
          </w:rPr>
          <w:fldChar w:fldCharType="separate"/>
        </w:r>
        <w:r>
          <w:rPr>
            <w:noProof/>
            <w:webHidden/>
          </w:rPr>
          <w:t>537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73" w:history="1">
        <w:r w:rsidRPr="00CD0B56">
          <w:rPr>
            <w:rStyle w:val="Hyperlink"/>
            <w:noProof/>
          </w:rPr>
          <w:t>2.1.1405</w:t>
        </w:r>
        <w:r>
          <w:rPr>
            <w:rFonts w:asciiTheme="minorHAnsi" w:eastAsiaTheme="minorEastAsia" w:hAnsiTheme="minorHAnsi" w:cstheme="minorBidi"/>
            <w:noProof/>
            <w:sz w:val="22"/>
            <w:szCs w:val="22"/>
          </w:rPr>
          <w:tab/>
        </w:r>
        <w:r w:rsidRPr="00CD0B56">
          <w:rPr>
            <w:rStyle w:val="Hyperlink"/>
            <w:noProof/>
          </w:rPr>
          <w:t>Part 1 Section 21.1.2.4.18, lvl6pPr (List Level 6 Text Style)</w:t>
        </w:r>
        <w:r>
          <w:rPr>
            <w:noProof/>
            <w:webHidden/>
          </w:rPr>
          <w:tab/>
        </w:r>
        <w:r>
          <w:rPr>
            <w:noProof/>
            <w:webHidden/>
          </w:rPr>
          <w:fldChar w:fldCharType="begin"/>
        </w:r>
        <w:r>
          <w:rPr>
            <w:noProof/>
            <w:webHidden/>
          </w:rPr>
          <w:instrText xml:space="preserve"> PAGEREF _Toc12261473 \h </w:instrText>
        </w:r>
        <w:r>
          <w:rPr>
            <w:noProof/>
            <w:webHidden/>
          </w:rPr>
        </w:r>
        <w:r>
          <w:rPr>
            <w:noProof/>
            <w:webHidden/>
          </w:rPr>
          <w:fldChar w:fldCharType="separate"/>
        </w:r>
        <w:r>
          <w:rPr>
            <w:noProof/>
            <w:webHidden/>
          </w:rPr>
          <w:t>537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74" w:history="1">
        <w:r w:rsidRPr="00CD0B56">
          <w:rPr>
            <w:rStyle w:val="Hyperlink"/>
            <w:noProof/>
          </w:rPr>
          <w:t>2.1.1406</w:t>
        </w:r>
        <w:r>
          <w:rPr>
            <w:rFonts w:asciiTheme="minorHAnsi" w:eastAsiaTheme="minorEastAsia" w:hAnsiTheme="minorHAnsi" w:cstheme="minorBidi"/>
            <w:noProof/>
            <w:sz w:val="22"/>
            <w:szCs w:val="22"/>
          </w:rPr>
          <w:tab/>
        </w:r>
        <w:r w:rsidRPr="00CD0B56">
          <w:rPr>
            <w:rStyle w:val="Hyperlink"/>
            <w:noProof/>
          </w:rPr>
          <w:t>Part 1 Section 21.1.2.4.19, lvl7pPr (List Level 7 Text Style)</w:t>
        </w:r>
        <w:r>
          <w:rPr>
            <w:noProof/>
            <w:webHidden/>
          </w:rPr>
          <w:tab/>
        </w:r>
        <w:r>
          <w:rPr>
            <w:noProof/>
            <w:webHidden/>
          </w:rPr>
          <w:fldChar w:fldCharType="begin"/>
        </w:r>
        <w:r>
          <w:rPr>
            <w:noProof/>
            <w:webHidden/>
          </w:rPr>
          <w:instrText xml:space="preserve"> PAGEREF _Toc12261474 \h </w:instrText>
        </w:r>
        <w:r>
          <w:rPr>
            <w:noProof/>
            <w:webHidden/>
          </w:rPr>
        </w:r>
        <w:r>
          <w:rPr>
            <w:noProof/>
            <w:webHidden/>
          </w:rPr>
          <w:fldChar w:fldCharType="separate"/>
        </w:r>
        <w:r>
          <w:rPr>
            <w:noProof/>
            <w:webHidden/>
          </w:rPr>
          <w:t>538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75" w:history="1">
        <w:r w:rsidRPr="00CD0B56">
          <w:rPr>
            <w:rStyle w:val="Hyperlink"/>
            <w:noProof/>
          </w:rPr>
          <w:t>2.1.1407</w:t>
        </w:r>
        <w:r>
          <w:rPr>
            <w:rFonts w:asciiTheme="minorHAnsi" w:eastAsiaTheme="minorEastAsia" w:hAnsiTheme="minorHAnsi" w:cstheme="minorBidi"/>
            <w:noProof/>
            <w:sz w:val="22"/>
            <w:szCs w:val="22"/>
          </w:rPr>
          <w:tab/>
        </w:r>
        <w:r w:rsidRPr="00CD0B56">
          <w:rPr>
            <w:rStyle w:val="Hyperlink"/>
            <w:noProof/>
          </w:rPr>
          <w:t>Part 1 Section 21.1.2.4.20, lvl8pPr (List Level 8 Text Style)</w:t>
        </w:r>
        <w:r>
          <w:rPr>
            <w:noProof/>
            <w:webHidden/>
          </w:rPr>
          <w:tab/>
        </w:r>
        <w:r>
          <w:rPr>
            <w:noProof/>
            <w:webHidden/>
          </w:rPr>
          <w:fldChar w:fldCharType="begin"/>
        </w:r>
        <w:r>
          <w:rPr>
            <w:noProof/>
            <w:webHidden/>
          </w:rPr>
          <w:instrText xml:space="preserve"> PAGEREF _Toc12261475 \h </w:instrText>
        </w:r>
        <w:r>
          <w:rPr>
            <w:noProof/>
            <w:webHidden/>
          </w:rPr>
        </w:r>
        <w:r>
          <w:rPr>
            <w:noProof/>
            <w:webHidden/>
          </w:rPr>
          <w:fldChar w:fldCharType="separate"/>
        </w:r>
        <w:r>
          <w:rPr>
            <w:noProof/>
            <w:webHidden/>
          </w:rPr>
          <w:t>538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76" w:history="1">
        <w:r w:rsidRPr="00CD0B56">
          <w:rPr>
            <w:rStyle w:val="Hyperlink"/>
            <w:noProof/>
          </w:rPr>
          <w:t>2.1.1408</w:t>
        </w:r>
        <w:r>
          <w:rPr>
            <w:rFonts w:asciiTheme="minorHAnsi" w:eastAsiaTheme="minorEastAsia" w:hAnsiTheme="minorHAnsi" w:cstheme="minorBidi"/>
            <w:noProof/>
            <w:sz w:val="22"/>
            <w:szCs w:val="22"/>
          </w:rPr>
          <w:tab/>
        </w:r>
        <w:r w:rsidRPr="00CD0B56">
          <w:rPr>
            <w:rStyle w:val="Hyperlink"/>
            <w:noProof/>
          </w:rPr>
          <w:t>Part 1 Section 21.1.2.4.21, lvl9pPr (List Level 9 Text Style)</w:t>
        </w:r>
        <w:r>
          <w:rPr>
            <w:noProof/>
            <w:webHidden/>
          </w:rPr>
          <w:tab/>
        </w:r>
        <w:r>
          <w:rPr>
            <w:noProof/>
            <w:webHidden/>
          </w:rPr>
          <w:fldChar w:fldCharType="begin"/>
        </w:r>
        <w:r>
          <w:rPr>
            <w:noProof/>
            <w:webHidden/>
          </w:rPr>
          <w:instrText xml:space="preserve"> PAGEREF _Toc12261476 \h </w:instrText>
        </w:r>
        <w:r>
          <w:rPr>
            <w:noProof/>
            <w:webHidden/>
          </w:rPr>
        </w:r>
        <w:r>
          <w:rPr>
            <w:noProof/>
            <w:webHidden/>
          </w:rPr>
          <w:fldChar w:fldCharType="separate"/>
        </w:r>
        <w:r>
          <w:rPr>
            <w:noProof/>
            <w:webHidden/>
          </w:rPr>
          <w:t>538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77" w:history="1">
        <w:r w:rsidRPr="00CD0B56">
          <w:rPr>
            <w:rStyle w:val="Hyperlink"/>
            <w:noProof/>
          </w:rPr>
          <w:t>2.1.1409</w:t>
        </w:r>
        <w:r>
          <w:rPr>
            <w:rFonts w:asciiTheme="minorHAnsi" w:eastAsiaTheme="minorEastAsia" w:hAnsiTheme="minorHAnsi" w:cstheme="minorBidi"/>
            <w:noProof/>
            <w:sz w:val="22"/>
            <w:szCs w:val="22"/>
          </w:rPr>
          <w:tab/>
        </w:r>
        <w:r w:rsidRPr="00CD0B56">
          <w:rPr>
            <w:rStyle w:val="Hyperlink"/>
            <w:noProof/>
          </w:rPr>
          <w:t>Part 1 Section 21.1.3.1, cell3D (Cell 3-D)</w:t>
        </w:r>
        <w:r>
          <w:rPr>
            <w:noProof/>
            <w:webHidden/>
          </w:rPr>
          <w:tab/>
        </w:r>
        <w:r>
          <w:rPr>
            <w:noProof/>
            <w:webHidden/>
          </w:rPr>
          <w:fldChar w:fldCharType="begin"/>
        </w:r>
        <w:r>
          <w:rPr>
            <w:noProof/>
            <w:webHidden/>
          </w:rPr>
          <w:instrText xml:space="preserve"> PAGEREF _Toc12261477 \h </w:instrText>
        </w:r>
        <w:r>
          <w:rPr>
            <w:noProof/>
            <w:webHidden/>
          </w:rPr>
        </w:r>
        <w:r>
          <w:rPr>
            <w:noProof/>
            <w:webHidden/>
          </w:rPr>
          <w:fldChar w:fldCharType="separate"/>
        </w:r>
        <w:r>
          <w:rPr>
            <w:noProof/>
            <w:webHidden/>
          </w:rPr>
          <w:t>538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78" w:history="1">
        <w:r w:rsidRPr="00CD0B56">
          <w:rPr>
            <w:rStyle w:val="Hyperlink"/>
            <w:noProof/>
          </w:rPr>
          <w:t>2.1.1410</w:t>
        </w:r>
        <w:r>
          <w:rPr>
            <w:rFonts w:asciiTheme="minorHAnsi" w:eastAsiaTheme="minorEastAsia" w:hAnsiTheme="minorHAnsi" w:cstheme="minorBidi"/>
            <w:noProof/>
            <w:sz w:val="22"/>
            <w:szCs w:val="22"/>
          </w:rPr>
          <w:tab/>
        </w:r>
        <w:r w:rsidRPr="00CD0B56">
          <w:rPr>
            <w:rStyle w:val="Hyperlink"/>
            <w:noProof/>
          </w:rPr>
          <w:t>Part 1 Section 21.1.3.2, gridCol (Table Grid Column)</w:t>
        </w:r>
        <w:r>
          <w:rPr>
            <w:noProof/>
            <w:webHidden/>
          </w:rPr>
          <w:tab/>
        </w:r>
        <w:r>
          <w:rPr>
            <w:noProof/>
            <w:webHidden/>
          </w:rPr>
          <w:fldChar w:fldCharType="begin"/>
        </w:r>
        <w:r>
          <w:rPr>
            <w:noProof/>
            <w:webHidden/>
          </w:rPr>
          <w:instrText xml:space="preserve"> PAGEREF _Toc12261478 \h </w:instrText>
        </w:r>
        <w:r>
          <w:rPr>
            <w:noProof/>
            <w:webHidden/>
          </w:rPr>
        </w:r>
        <w:r>
          <w:rPr>
            <w:noProof/>
            <w:webHidden/>
          </w:rPr>
          <w:fldChar w:fldCharType="separate"/>
        </w:r>
        <w:r>
          <w:rPr>
            <w:noProof/>
            <w:webHidden/>
          </w:rPr>
          <w:t>538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79" w:history="1">
        <w:r w:rsidRPr="00CD0B56">
          <w:rPr>
            <w:rStyle w:val="Hyperlink"/>
            <w:noProof/>
          </w:rPr>
          <w:t>2.1.1411</w:t>
        </w:r>
        <w:r>
          <w:rPr>
            <w:rFonts w:asciiTheme="minorHAnsi" w:eastAsiaTheme="minorEastAsia" w:hAnsiTheme="minorHAnsi" w:cstheme="minorBidi"/>
            <w:noProof/>
            <w:sz w:val="22"/>
            <w:szCs w:val="22"/>
          </w:rPr>
          <w:tab/>
        </w:r>
        <w:r w:rsidRPr="00CD0B56">
          <w:rPr>
            <w:rStyle w:val="Hyperlink"/>
            <w:noProof/>
          </w:rPr>
          <w:t>Part 1 Section 21.1.3.5, lnB (Bottom Border Line Properties)</w:t>
        </w:r>
        <w:r>
          <w:rPr>
            <w:noProof/>
            <w:webHidden/>
          </w:rPr>
          <w:tab/>
        </w:r>
        <w:r>
          <w:rPr>
            <w:noProof/>
            <w:webHidden/>
          </w:rPr>
          <w:fldChar w:fldCharType="begin"/>
        </w:r>
        <w:r>
          <w:rPr>
            <w:noProof/>
            <w:webHidden/>
          </w:rPr>
          <w:instrText xml:space="preserve"> PAGEREF _Toc12261479 \h </w:instrText>
        </w:r>
        <w:r>
          <w:rPr>
            <w:noProof/>
            <w:webHidden/>
          </w:rPr>
        </w:r>
        <w:r>
          <w:rPr>
            <w:noProof/>
            <w:webHidden/>
          </w:rPr>
          <w:fldChar w:fldCharType="separate"/>
        </w:r>
        <w:r>
          <w:rPr>
            <w:noProof/>
            <w:webHidden/>
          </w:rPr>
          <w:t>538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80" w:history="1">
        <w:r w:rsidRPr="00CD0B56">
          <w:rPr>
            <w:rStyle w:val="Hyperlink"/>
            <w:noProof/>
          </w:rPr>
          <w:t>2.1.1412</w:t>
        </w:r>
        <w:r>
          <w:rPr>
            <w:rFonts w:asciiTheme="minorHAnsi" w:eastAsiaTheme="minorEastAsia" w:hAnsiTheme="minorHAnsi" w:cstheme="minorBidi"/>
            <w:noProof/>
            <w:sz w:val="22"/>
            <w:szCs w:val="22"/>
          </w:rPr>
          <w:tab/>
        </w:r>
        <w:r w:rsidRPr="00CD0B56">
          <w:rPr>
            <w:rStyle w:val="Hyperlink"/>
            <w:noProof/>
          </w:rPr>
          <w:t>Part 1 Section 21.1.3.6, lnBlToTr (Bottom-Left to Top-Right Border Line Properties)</w:t>
        </w:r>
        <w:r>
          <w:rPr>
            <w:noProof/>
            <w:webHidden/>
          </w:rPr>
          <w:tab/>
        </w:r>
        <w:r>
          <w:rPr>
            <w:noProof/>
            <w:webHidden/>
          </w:rPr>
          <w:fldChar w:fldCharType="begin"/>
        </w:r>
        <w:r>
          <w:rPr>
            <w:noProof/>
            <w:webHidden/>
          </w:rPr>
          <w:instrText xml:space="preserve"> PAGEREF _Toc12261480 \h </w:instrText>
        </w:r>
        <w:r>
          <w:rPr>
            <w:noProof/>
            <w:webHidden/>
          </w:rPr>
        </w:r>
        <w:r>
          <w:rPr>
            <w:noProof/>
            <w:webHidden/>
          </w:rPr>
          <w:fldChar w:fldCharType="separate"/>
        </w:r>
        <w:r>
          <w:rPr>
            <w:noProof/>
            <w:webHidden/>
          </w:rPr>
          <w:t>538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81" w:history="1">
        <w:r w:rsidRPr="00CD0B56">
          <w:rPr>
            <w:rStyle w:val="Hyperlink"/>
            <w:noProof/>
          </w:rPr>
          <w:t>2.1.1413</w:t>
        </w:r>
        <w:r>
          <w:rPr>
            <w:rFonts w:asciiTheme="minorHAnsi" w:eastAsiaTheme="minorEastAsia" w:hAnsiTheme="minorHAnsi" w:cstheme="minorBidi"/>
            <w:noProof/>
            <w:sz w:val="22"/>
            <w:szCs w:val="22"/>
          </w:rPr>
          <w:tab/>
        </w:r>
        <w:r w:rsidRPr="00CD0B56">
          <w:rPr>
            <w:rStyle w:val="Hyperlink"/>
            <w:noProof/>
          </w:rPr>
          <w:t>Part 1 Section 21.1.3.7, lnL (Left Border Line Properties)</w:t>
        </w:r>
        <w:r>
          <w:rPr>
            <w:noProof/>
            <w:webHidden/>
          </w:rPr>
          <w:tab/>
        </w:r>
        <w:r>
          <w:rPr>
            <w:noProof/>
            <w:webHidden/>
          </w:rPr>
          <w:fldChar w:fldCharType="begin"/>
        </w:r>
        <w:r>
          <w:rPr>
            <w:noProof/>
            <w:webHidden/>
          </w:rPr>
          <w:instrText xml:space="preserve"> PAGEREF _Toc12261481 \h </w:instrText>
        </w:r>
        <w:r>
          <w:rPr>
            <w:noProof/>
            <w:webHidden/>
          </w:rPr>
        </w:r>
        <w:r>
          <w:rPr>
            <w:noProof/>
            <w:webHidden/>
          </w:rPr>
          <w:fldChar w:fldCharType="separate"/>
        </w:r>
        <w:r>
          <w:rPr>
            <w:noProof/>
            <w:webHidden/>
          </w:rPr>
          <w:t>538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82" w:history="1">
        <w:r w:rsidRPr="00CD0B56">
          <w:rPr>
            <w:rStyle w:val="Hyperlink"/>
            <w:noProof/>
          </w:rPr>
          <w:t>2.1.1414</w:t>
        </w:r>
        <w:r>
          <w:rPr>
            <w:rFonts w:asciiTheme="minorHAnsi" w:eastAsiaTheme="minorEastAsia" w:hAnsiTheme="minorHAnsi" w:cstheme="minorBidi"/>
            <w:noProof/>
            <w:sz w:val="22"/>
            <w:szCs w:val="22"/>
          </w:rPr>
          <w:tab/>
        </w:r>
        <w:r w:rsidRPr="00CD0B56">
          <w:rPr>
            <w:rStyle w:val="Hyperlink"/>
            <w:noProof/>
          </w:rPr>
          <w:t>Part 1 Section 21.1.3.8, lnR (Right Border Line Properties)</w:t>
        </w:r>
        <w:r>
          <w:rPr>
            <w:noProof/>
            <w:webHidden/>
          </w:rPr>
          <w:tab/>
        </w:r>
        <w:r>
          <w:rPr>
            <w:noProof/>
            <w:webHidden/>
          </w:rPr>
          <w:fldChar w:fldCharType="begin"/>
        </w:r>
        <w:r>
          <w:rPr>
            <w:noProof/>
            <w:webHidden/>
          </w:rPr>
          <w:instrText xml:space="preserve"> PAGEREF _Toc12261482 \h </w:instrText>
        </w:r>
        <w:r>
          <w:rPr>
            <w:noProof/>
            <w:webHidden/>
          </w:rPr>
        </w:r>
        <w:r>
          <w:rPr>
            <w:noProof/>
            <w:webHidden/>
          </w:rPr>
          <w:fldChar w:fldCharType="separate"/>
        </w:r>
        <w:r>
          <w:rPr>
            <w:noProof/>
            <w:webHidden/>
          </w:rPr>
          <w:t>538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83" w:history="1">
        <w:r w:rsidRPr="00CD0B56">
          <w:rPr>
            <w:rStyle w:val="Hyperlink"/>
            <w:noProof/>
          </w:rPr>
          <w:t>2.1.1415</w:t>
        </w:r>
        <w:r>
          <w:rPr>
            <w:rFonts w:asciiTheme="minorHAnsi" w:eastAsiaTheme="minorEastAsia" w:hAnsiTheme="minorHAnsi" w:cstheme="minorBidi"/>
            <w:noProof/>
            <w:sz w:val="22"/>
            <w:szCs w:val="22"/>
          </w:rPr>
          <w:tab/>
        </w:r>
        <w:r w:rsidRPr="00CD0B56">
          <w:rPr>
            <w:rStyle w:val="Hyperlink"/>
            <w:noProof/>
          </w:rPr>
          <w:t>Part 1 Section 21.1.3.9, lnT (Top Border Line Properties)</w:t>
        </w:r>
        <w:r>
          <w:rPr>
            <w:noProof/>
            <w:webHidden/>
          </w:rPr>
          <w:tab/>
        </w:r>
        <w:r>
          <w:rPr>
            <w:noProof/>
            <w:webHidden/>
          </w:rPr>
          <w:fldChar w:fldCharType="begin"/>
        </w:r>
        <w:r>
          <w:rPr>
            <w:noProof/>
            <w:webHidden/>
          </w:rPr>
          <w:instrText xml:space="preserve"> PAGEREF _Toc12261483 \h </w:instrText>
        </w:r>
        <w:r>
          <w:rPr>
            <w:noProof/>
            <w:webHidden/>
          </w:rPr>
        </w:r>
        <w:r>
          <w:rPr>
            <w:noProof/>
            <w:webHidden/>
          </w:rPr>
          <w:fldChar w:fldCharType="separate"/>
        </w:r>
        <w:r>
          <w:rPr>
            <w:noProof/>
            <w:webHidden/>
          </w:rPr>
          <w:t>539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84" w:history="1">
        <w:r w:rsidRPr="00CD0B56">
          <w:rPr>
            <w:rStyle w:val="Hyperlink"/>
            <w:noProof/>
          </w:rPr>
          <w:t>2.1.1416</w:t>
        </w:r>
        <w:r>
          <w:rPr>
            <w:rFonts w:asciiTheme="minorHAnsi" w:eastAsiaTheme="minorEastAsia" w:hAnsiTheme="minorHAnsi" w:cstheme="minorBidi"/>
            <w:noProof/>
            <w:sz w:val="22"/>
            <w:szCs w:val="22"/>
          </w:rPr>
          <w:tab/>
        </w:r>
        <w:r w:rsidRPr="00CD0B56">
          <w:rPr>
            <w:rStyle w:val="Hyperlink"/>
            <w:noProof/>
          </w:rPr>
          <w:t>Part 1 Section 21.1.3.10, lnTlToBr (Top-Left to Bottom-Right Border Line Properties)</w:t>
        </w:r>
        <w:r>
          <w:rPr>
            <w:noProof/>
            <w:webHidden/>
          </w:rPr>
          <w:tab/>
        </w:r>
        <w:r>
          <w:rPr>
            <w:noProof/>
            <w:webHidden/>
          </w:rPr>
          <w:fldChar w:fldCharType="begin"/>
        </w:r>
        <w:r>
          <w:rPr>
            <w:noProof/>
            <w:webHidden/>
          </w:rPr>
          <w:instrText xml:space="preserve"> PAGEREF _Toc12261484 \h </w:instrText>
        </w:r>
        <w:r>
          <w:rPr>
            <w:noProof/>
            <w:webHidden/>
          </w:rPr>
        </w:r>
        <w:r>
          <w:rPr>
            <w:noProof/>
            <w:webHidden/>
          </w:rPr>
          <w:fldChar w:fldCharType="separate"/>
        </w:r>
        <w:r>
          <w:rPr>
            <w:noProof/>
            <w:webHidden/>
          </w:rPr>
          <w:t>539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85" w:history="1">
        <w:r w:rsidRPr="00CD0B56">
          <w:rPr>
            <w:rStyle w:val="Hyperlink"/>
            <w:noProof/>
          </w:rPr>
          <w:t>2.1.1417</w:t>
        </w:r>
        <w:r>
          <w:rPr>
            <w:rFonts w:asciiTheme="minorHAnsi" w:eastAsiaTheme="minorEastAsia" w:hAnsiTheme="minorHAnsi" w:cstheme="minorBidi"/>
            <w:noProof/>
            <w:sz w:val="22"/>
            <w:szCs w:val="22"/>
          </w:rPr>
          <w:tab/>
        </w:r>
        <w:r w:rsidRPr="00CD0B56">
          <w:rPr>
            <w:rStyle w:val="Hyperlink"/>
            <w:noProof/>
          </w:rPr>
          <w:t>Part 1 Section 21.1.3.12, tableStyleId (Table Style ID)</w:t>
        </w:r>
        <w:r>
          <w:rPr>
            <w:noProof/>
            <w:webHidden/>
          </w:rPr>
          <w:tab/>
        </w:r>
        <w:r>
          <w:rPr>
            <w:noProof/>
            <w:webHidden/>
          </w:rPr>
          <w:fldChar w:fldCharType="begin"/>
        </w:r>
        <w:r>
          <w:rPr>
            <w:noProof/>
            <w:webHidden/>
          </w:rPr>
          <w:instrText xml:space="preserve"> PAGEREF _Toc12261485 \h </w:instrText>
        </w:r>
        <w:r>
          <w:rPr>
            <w:noProof/>
            <w:webHidden/>
          </w:rPr>
        </w:r>
        <w:r>
          <w:rPr>
            <w:noProof/>
            <w:webHidden/>
          </w:rPr>
          <w:fldChar w:fldCharType="separate"/>
        </w:r>
        <w:r>
          <w:rPr>
            <w:noProof/>
            <w:webHidden/>
          </w:rPr>
          <w:t>539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86" w:history="1">
        <w:r w:rsidRPr="00CD0B56">
          <w:rPr>
            <w:rStyle w:val="Hyperlink"/>
            <w:noProof/>
          </w:rPr>
          <w:t>2.1.1418</w:t>
        </w:r>
        <w:r>
          <w:rPr>
            <w:rFonts w:asciiTheme="minorHAnsi" w:eastAsiaTheme="minorEastAsia" w:hAnsiTheme="minorHAnsi" w:cstheme="minorBidi"/>
            <w:noProof/>
            <w:sz w:val="22"/>
            <w:szCs w:val="22"/>
          </w:rPr>
          <w:tab/>
        </w:r>
        <w:r w:rsidRPr="00CD0B56">
          <w:rPr>
            <w:rStyle w:val="Hyperlink"/>
            <w:noProof/>
          </w:rPr>
          <w:t>Part 1 Section 21.1.3.13, tbl (Table)</w:t>
        </w:r>
        <w:r>
          <w:rPr>
            <w:noProof/>
            <w:webHidden/>
          </w:rPr>
          <w:tab/>
        </w:r>
        <w:r>
          <w:rPr>
            <w:noProof/>
            <w:webHidden/>
          </w:rPr>
          <w:fldChar w:fldCharType="begin"/>
        </w:r>
        <w:r>
          <w:rPr>
            <w:noProof/>
            <w:webHidden/>
          </w:rPr>
          <w:instrText xml:space="preserve"> PAGEREF _Toc12261486 \h </w:instrText>
        </w:r>
        <w:r>
          <w:rPr>
            <w:noProof/>
            <w:webHidden/>
          </w:rPr>
        </w:r>
        <w:r>
          <w:rPr>
            <w:noProof/>
            <w:webHidden/>
          </w:rPr>
          <w:fldChar w:fldCharType="separate"/>
        </w:r>
        <w:r>
          <w:rPr>
            <w:noProof/>
            <w:webHidden/>
          </w:rPr>
          <w:t>539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87" w:history="1">
        <w:r w:rsidRPr="00CD0B56">
          <w:rPr>
            <w:rStyle w:val="Hyperlink"/>
            <w:noProof/>
          </w:rPr>
          <w:t>2.1.1419</w:t>
        </w:r>
        <w:r>
          <w:rPr>
            <w:rFonts w:asciiTheme="minorHAnsi" w:eastAsiaTheme="minorEastAsia" w:hAnsiTheme="minorHAnsi" w:cstheme="minorBidi"/>
            <w:noProof/>
            <w:sz w:val="22"/>
            <w:szCs w:val="22"/>
          </w:rPr>
          <w:tab/>
        </w:r>
        <w:r w:rsidRPr="00CD0B56">
          <w:rPr>
            <w:rStyle w:val="Hyperlink"/>
            <w:noProof/>
          </w:rPr>
          <w:t>Part 1 Section 21.1.3.14, tblGrid (Table Grid)</w:t>
        </w:r>
        <w:r>
          <w:rPr>
            <w:noProof/>
            <w:webHidden/>
          </w:rPr>
          <w:tab/>
        </w:r>
        <w:r>
          <w:rPr>
            <w:noProof/>
            <w:webHidden/>
          </w:rPr>
          <w:fldChar w:fldCharType="begin"/>
        </w:r>
        <w:r>
          <w:rPr>
            <w:noProof/>
            <w:webHidden/>
          </w:rPr>
          <w:instrText xml:space="preserve"> PAGEREF _Toc12261487 \h </w:instrText>
        </w:r>
        <w:r>
          <w:rPr>
            <w:noProof/>
            <w:webHidden/>
          </w:rPr>
        </w:r>
        <w:r>
          <w:rPr>
            <w:noProof/>
            <w:webHidden/>
          </w:rPr>
          <w:fldChar w:fldCharType="separate"/>
        </w:r>
        <w:r>
          <w:rPr>
            <w:noProof/>
            <w:webHidden/>
          </w:rPr>
          <w:t>540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88" w:history="1">
        <w:r w:rsidRPr="00CD0B56">
          <w:rPr>
            <w:rStyle w:val="Hyperlink"/>
            <w:noProof/>
          </w:rPr>
          <w:t>2.1.1420</w:t>
        </w:r>
        <w:r>
          <w:rPr>
            <w:rFonts w:asciiTheme="minorHAnsi" w:eastAsiaTheme="minorEastAsia" w:hAnsiTheme="minorHAnsi" w:cstheme="minorBidi"/>
            <w:noProof/>
            <w:sz w:val="22"/>
            <w:szCs w:val="22"/>
          </w:rPr>
          <w:tab/>
        </w:r>
        <w:r w:rsidRPr="00CD0B56">
          <w:rPr>
            <w:rStyle w:val="Hyperlink"/>
            <w:noProof/>
          </w:rPr>
          <w:t>Part 1 Section 21.1.3.16, tc (Table Cell)</w:t>
        </w:r>
        <w:r>
          <w:rPr>
            <w:noProof/>
            <w:webHidden/>
          </w:rPr>
          <w:tab/>
        </w:r>
        <w:r>
          <w:rPr>
            <w:noProof/>
            <w:webHidden/>
          </w:rPr>
          <w:fldChar w:fldCharType="begin"/>
        </w:r>
        <w:r>
          <w:rPr>
            <w:noProof/>
            <w:webHidden/>
          </w:rPr>
          <w:instrText xml:space="preserve"> PAGEREF _Toc12261488 \h </w:instrText>
        </w:r>
        <w:r>
          <w:rPr>
            <w:noProof/>
            <w:webHidden/>
          </w:rPr>
        </w:r>
        <w:r>
          <w:rPr>
            <w:noProof/>
            <w:webHidden/>
          </w:rPr>
          <w:fldChar w:fldCharType="separate"/>
        </w:r>
        <w:r>
          <w:rPr>
            <w:noProof/>
            <w:webHidden/>
          </w:rPr>
          <w:t>540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89" w:history="1">
        <w:r w:rsidRPr="00CD0B56">
          <w:rPr>
            <w:rStyle w:val="Hyperlink"/>
            <w:noProof/>
          </w:rPr>
          <w:t>2.1.1421</w:t>
        </w:r>
        <w:r>
          <w:rPr>
            <w:rFonts w:asciiTheme="minorHAnsi" w:eastAsiaTheme="minorEastAsia" w:hAnsiTheme="minorHAnsi" w:cstheme="minorBidi"/>
            <w:noProof/>
            <w:sz w:val="22"/>
            <w:szCs w:val="22"/>
          </w:rPr>
          <w:tab/>
        </w:r>
        <w:r w:rsidRPr="00CD0B56">
          <w:rPr>
            <w:rStyle w:val="Hyperlink"/>
            <w:noProof/>
          </w:rPr>
          <w:t>Part 1 Section 21.1.3.18, tr (Table Row)</w:t>
        </w:r>
        <w:r>
          <w:rPr>
            <w:noProof/>
            <w:webHidden/>
          </w:rPr>
          <w:tab/>
        </w:r>
        <w:r>
          <w:rPr>
            <w:noProof/>
            <w:webHidden/>
          </w:rPr>
          <w:fldChar w:fldCharType="begin"/>
        </w:r>
        <w:r>
          <w:rPr>
            <w:noProof/>
            <w:webHidden/>
          </w:rPr>
          <w:instrText xml:space="preserve"> PAGEREF _Toc12261489 \h </w:instrText>
        </w:r>
        <w:r>
          <w:rPr>
            <w:noProof/>
            <w:webHidden/>
          </w:rPr>
        </w:r>
        <w:r>
          <w:rPr>
            <w:noProof/>
            <w:webHidden/>
          </w:rPr>
          <w:fldChar w:fldCharType="separate"/>
        </w:r>
        <w:r>
          <w:rPr>
            <w:noProof/>
            <w:webHidden/>
          </w:rPr>
          <w:t>540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90" w:history="1">
        <w:r w:rsidRPr="00CD0B56">
          <w:rPr>
            <w:rStyle w:val="Hyperlink"/>
            <w:noProof/>
          </w:rPr>
          <w:t>2.1.1422</w:t>
        </w:r>
        <w:r>
          <w:rPr>
            <w:rFonts w:asciiTheme="minorHAnsi" w:eastAsiaTheme="minorEastAsia" w:hAnsiTheme="minorHAnsi" w:cstheme="minorBidi"/>
            <w:noProof/>
            <w:sz w:val="22"/>
            <w:szCs w:val="22"/>
          </w:rPr>
          <w:tab/>
        </w:r>
        <w:r w:rsidRPr="00CD0B56">
          <w:rPr>
            <w:rStyle w:val="Hyperlink"/>
            <w:noProof/>
          </w:rPr>
          <w:t>Part 1 Section 21.2.2.2, applyToFront (Apply To Front)</w:t>
        </w:r>
        <w:r>
          <w:rPr>
            <w:noProof/>
            <w:webHidden/>
          </w:rPr>
          <w:tab/>
        </w:r>
        <w:r>
          <w:rPr>
            <w:noProof/>
            <w:webHidden/>
          </w:rPr>
          <w:fldChar w:fldCharType="begin"/>
        </w:r>
        <w:r>
          <w:rPr>
            <w:noProof/>
            <w:webHidden/>
          </w:rPr>
          <w:instrText xml:space="preserve"> PAGEREF _Toc12261490 \h </w:instrText>
        </w:r>
        <w:r>
          <w:rPr>
            <w:noProof/>
            <w:webHidden/>
          </w:rPr>
        </w:r>
        <w:r>
          <w:rPr>
            <w:noProof/>
            <w:webHidden/>
          </w:rPr>
          <w:fldChar w:fldCharType="separate"/>
        </w:r>
        <w:r>
          <w:rPr>
            <w:noProof/>
            <w:webHidden/>
          </w:rPr>
          <w:t>541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91" w:history="1">
        <w:r w:rsidRPr="00CD0B56">
          <w:rPr>
            <w:rStyle w:val="Hyperlink"/>
            <w:noProof/>
          </w:rPr>
          <w:t>2.1.1423</w:t>
        </w:r>
        <w:r>
          <w:rPr>
            <w:rFonts w:asciiTheme="minorHAnsi" w:eastAsiaTheme="minorEastAsia" w:hAnsiTheme="minorHAnsi" w:cstheme="minorBidi"/>
            <w:noProof/>
            <w:sz w:val="22"/>
            <w:szCs w:val="22"/>
          </w:rPr>
          <w:tab/>
        </w:r>
        <w:r w:rsidRPr="00CD0B56">
          <w:rPr>
            <w:rStyle w:val="Hyperlink"/>
            <w:noProof/>
          </w:rPr>
          <w:t>Part 1 Section 21.2.2.3, applyToSides (Apply To Sides)</w:t>
        </w:r>
        <w:r>
          <w:rPr>
            <w:noProof/>
            <w:webHidden/>
          </w:rPr>
          <w:tab/>
        </w:r>
        <w:r>
          <w:rPr>
            <w:noProof/>
            <w:webHidden/>
          </w:rPr>
          <w:fldChar w:fldCharType="begin"/>
        </w:r>
        <w:r>
          <w:rPr>
            <w:noProof/>
            <w:webHidden/>
          </w:rPr>
          <w:instrText xml:space="preserve"> PAGEREF _Toc12261491 \h </w:instrText>
        </w:r>
        <w:r>
          <w:rPr>
            <w:noProof/>
            <w:webHidden/>
          </w:rPr>
        </w:r>
        <w:r>
          <w:rPr>
            <w:noProof/>
            <w:webHidden/>
          </w:rPr>
          <w:fldChar w:fldCharType="separate"/>
        </w:r>
        <w:r>
          <w:rPr>
            <w:noProof/>
            <w:webHidden/>
          </w:rPr>
          <w:t>541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92" w:history="1">
        <w:r w:rsidRPr="00CD0B56">
          <w:rPr>
            <w:rStyle w:val="Hyperlink"/>
            <w:noProof/>
          </w:rPr>
          <w:t>2.1.1424</w:t>
        </w:r>
        <w:r>
          <w:rPr>
            <w:rFonts w:asciiTheme="minorHAnsi" w:eastAsiaTheme="minorEastAsia" w:hAnsiTheme="minorHAnsi" w:cstheme="minorBidi"/>
            <w:noProof/>
            <w:sz w:val="22"/>
            <w:szCs w:val="22"/>
          </w:rPr>
          <w:tab/>
        </w:r>
        <w:r w:rsidRPr="00CD0B56">
          <w:rPr>
            <w:rStyle w:val="Hyperlink"/>
            <w:noProof/>
          </w:rPr>
          <w:t>Part 1 Section 21.2.2.5, areaChart (Area Charts)</w:t>
        </w:r>
        <w:r>
          <w:rPr>
            <w:noProof/>
            <w:webHidden/>
          </w:rPr>
          <w:tab/>
        </w:r>
        <w:r>
          <w:rPr>
            <w:noProof/>
            <w:webHidden/>
          </w:rPr>
          <w:fldChar w:fldCharType="begin"/>
        </w:r>
        <w:r>
          <w:rPr>
            <w:noProof/>
            <w:webHidden/>
          </w:rPr>
          <w:instrText xml:space="preserve"> PAGEREF _Toc12261492 \h </w:instrText>
        </w:r>
        <w:r>
          <w:rPr>
            <w:noProof/>
            <w:webHidden/>
          </w:rPr>
        </w:r>
        <w:r>
          <w:rPr>
            <w:noProof/>
            <w:webHidden/>
          </w:rPr>
          <w:fldChar w:fldCharType="separate"/>
        </w:r>
        <w:r>
          <w:rPr>
            <w:noProof/>
            <w:webHidden/>
          </w:rPr>
          <w:t>541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93" w:history="1">
        <w:r w:rsidRPr="00CD0B56">
          <w:rPr>
            <w:rStyle w:val="Hyperlink"/>
            <w:noProof/>
          </w:rPr>
          <w:t>2.1.1425</w:t>
        </w:r>
        <w:r>
          <w:rPr>
            <w:rFonts w:asciiTheme="minorHAnsi" w:eastAsiaTheme="minorEastAsia" w:hAnsiTheme="minorHAnsi" w:cstheme="minorBidi"/>
            <w:noProof/>
            <w:sz w:val="22"/>
            <w:szCs w:val="22"/>
          </w:rPr>
          <w:tab/>
        </w:r>
        <w:r w:rsidRPr="00CD0B56">
          <w:rPr>
            <w:rStyle w:val="Hyperlink"/>
            <w:noProof/>
          </w:rPr>
          <w:t>Part 1 Section 21.2.2.7, autoTitleDeleted (Auto Title Is Deleted)</w:t>
        </w:r>
        <w:r>
          <w:rPr>
            <w:noProof/>
            <w:webHidden/>
          </w:rPr>
          <w:tab/>
        </w:r>
        <w:r>
          <w:rPr>
            <w:noProof/>
            <w:webHidden/>
          </w:rPr>
          <w:fldChar w:fldCharType="begin"/>
        </w:r>
        <w:r>
          <w:rPr>
            <w:noProof/>
            <w:webHidden/>
          </w:rPr>
          <w:instrText xml:space="preserve"> PAGEREF _Toc12261493 \h </w:instrText>
        </w:r>
        <w:r>
          <w:rPr>
            <w:noProof/>
            <w:webHidden/>
          </w:rPr>
        </w:r>
        <w:r>
          <w:rPr>
            <w:noProof/>
            <w:webHidden/>
          </w:rPr>
          <w:fldChar w:fldCharType="separate"/>
        </w:r>
        <w:r>
          <w:rPr>
            <w:noProof/>
            <w:webHidden/>
          </w:rPr>
          <w:t>541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94" w:history="1">
        <w:r w:rsidRPr="00CD0B56">
          <w:rPr>
            <w:rStyle w:val="Hyperlink"/>
            <w:noProof/>
          </w:rPr>
          <w:t>2.1.1426</w:t>
        </w:r>
        <w:r>
          <w:rPr>
            <w:rFonts w:asciiTheme="minorHAnsi" w:eastAsiaTheme="minorEastAsia" w:hAnsiTheme="minorHAnsi" w:cstheme="minorBidi"/>
            <w:noProof/>
            <w:sz w:val="22"/>
            <w:szCs w:val="22"/>
          </w:rPr>
          <w:tab/>
        </w:r>
        <w:r w:rsidRPr="00CD0B56">
          <w:rPr>
            <w:rStyle w:val="Hyperlink"/>
            <w:noProof/>
          </w:rPr>
          <w:t>Part 1 Section 21.2.2.9, axId (Axis ID)</w:t>
        </w:r>
        <w:r>
          <w:rPr>
            <w:noProof/>
            <w:webHidden/>
          </w:rPr>
          <w:tab/>
        </w:r>
        <w:r>
          <w:rPr>
            <w:noProof/>
            <w:webHidden/>
          </w:rPr>
          <w:fldChar w:fldCharType="begin"/>
        </w:r>
        <w:r>
          <w:rPr>
            <w:noProof/>
            <w:webHidden/>
          </w:rPr>
          <w:instrText xml:space="preserve"> PAGEREF _Toc12261494 \h </w:instrText>
        </w:r>
        <w:r>
          <w:rPr>
            <w:noProof/>
            <w:webHidden/>
          </w:rPr>
        </w:r>
        <w:r>
          <w:rPr>
            <w:noProof/>
            <w:webHidden/>
          </w:rPr>
          <w:fldChar w:fldCharType="separate"/>
        </w:r>
        <w:r>
          <w:rPr>
            <w:noProof/>
            <w:webHidden/>
          </w:rPr>
          <w:t>541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95" w:history="1">
        <w:r w:rsidRPr="00CD0B56">
          <w:rPr>
            <w:rStyle w:val="Hyperlink"/>
            <w:noProof/>
          </w:rPr>
          <w:t>2.1.1427</w:t>
        </w:r>
        <w:r>
          <w:rPr>
            <w:rFonts w:asciiTheme="minorHAnsi" w:eastAsiaTheme="minorEastAsia" w:hAnsiTheme="minorHAnsi" w:cstheme="minorBidi"/>
            <w:noProof/>
            <w:sz w:val="22"/>
            <w:szCs w:val="22"/>
          </w:rPr>
          <w:tab/>
        </w:r>
        <w:r w:rsidRPr="00CD0B56">
          <w:rPr>
            <w:rStyle w:val="Hyperlink"/>
            <w:noProof/>
          </w:rPr>
          <w:t>Part 1 Section 21.2.2.10, axPos (Axis Position)</w:t>
        </w:r>
        <w:r>
          <w:rPr>
            <w:noProof/>
            <w:webHidden/>
          </w:rPr>
          <w:tab/>
        </w:r>
        <w:r>
          <w:rPr>
            <w:noProof/>
            <w:webHidden/>
          </w:rPr>
          <w:fldChar w:fldCharType="begin"/>
        </w:r>
        <w:r>
          <w:rPr>
            <w:noProof/>
            <w:webHidden/>
          </w:rPr>
          <w:instrText xml:space="preserve"> PAGEREF _Toc12261495 \h </w:instrText>
        </w:r>
        <w:r>
          <w:rPr>
            <w:noProof/>
            <w:webHidden/>
          </w:rPr>
        </w:r>
        <w:r>
          <w:rPr>
            <w:noProof/>
            <w:webHidden/>
          </w:rPr>
          <w:fldChar w:fldCharType="separate"/>
        </w:r>
        <w:r>
          <w:rPr>
            <w:noProof/>
            <w:webHidden/>
          </w:rPr>
          <w:t>541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96" w:history="1">
        <w:r w:rsidRPr="00CD0B56">
          <w:rPr>
            <w:rStyle w:val="Hyperlink"/>
            <w:noProof/>
          </w:rPr>
          <w:t>2.1.1428</w:t>
        </w:r>
        <w:r>
          <w:rPr>
            <w:rFonts w:asciiTheme="minorHAnsi" w:eastAsiaTheme="minorEastAsia" w:hAnsiTheme="minorHAnsi" w:cstheme="minorBidi"/>
            <w:noProof/>
            <w:sz w:val="22"/>
            <w:szCs w:val="22"/>
          </w:rPr>
          <w:tab/>
        </w:r>
        <w:r w:rsidRPr="00CD0B56">
          <w:rPr>
            <w:rStyle w:val="Hyperlink"/>
            <w:noProof/>
          </w:rPr>
          <w:t>Part 1 Section 21.2.2.11, backWall (Back Wall)</w:t>
        </w:r>
        <w:r>
          <w:rPr>
            <w:noProof/>
            <w:webHidden/>
          </w:rPr>
          <w:tab/>
        </w:r>
        <w:r>
          <w:rPr>
            <w:noProof/>
            <w:webHidden/>
          </w:rPr>
          <w:fldChar w:fldCharType="begin"/>
        </w:r>
        <w:r>
          <w:rPr>
            <w:noProof/>
            <w:webHidden/>
          </w:rPr>
          <w:instrText xml:space="preserve"> PAGEREF _Toc12261496 \h </w:instrText>
        </w:r>
        <w:r>
          <w:rPr>
            <w:noProof/>
            <w:webHidden/>
          </w:rPr>
        </w:r>
        <w:r>
          <w:rPr>
            <w:noProof/>
            <w:webHidden/>
          </w:rPr>
          <w:fldChar w:fldCharType="separate"/>
        </w:r>
        <w:r>
          <w:rPr>
            <w:noProof/>
            <w:webHidden/>
          </w:rPr>
          <w:t>541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97" w:history="1">
        <w:r w:rsidRPr="00CD0B56">
          <w:rPr>
            <w:rStyle w:val="Hyperlink"/>
            <w:noProof/>
          </w:rPr>
          <w:t>2.1.1429</w:t>
        </w:r>
        <w:r>
          <w:rPr>
            <w:rFonts w:asciiTheme="minorHAnsi" w:eastAsiaTheme="minorEastAsia" w:hAnsiTheme="minorHAnsi" w:cstheme="minorBidi"/>
            <w:noProof/>
            <w:sz w:val="22"/>
            <w:szCs w:val="22"/>
          </w:rPr>
          <w:tab/>
        </w:r>
        <w:r w:rsidRPr="00CD0B56">
          <w:rPr>
            <w:rStyle w:val="Hyperlink"/>
            <w:noProof/>
          </w:rPr>
          <w:t>Part 1 Section 21.2.2.12, backward (Backward)</w:t>
        </w:r>
        <w:r>
          <w:rPr>
            <w:noProof/>
            <w:webHidden/>
          </w:rPr>
          <w:tab/>
        </w:r>
        <w:r>
          <w:rPr>
            <w:noProof/>
            <w:webHidden/>
          </w:rPr>
          <w:fldChar w:fldCharType="begin"/>
        </w:r>
        <w:r>
          <w:rPr>
            <w:noProof/>
            <w:webHidden/>
          </w:rPr>
          <w:instrText xml:space="preserve"> PAGEREF _Toc12261497 \h </w:instrText>
        </w:r>
        <w:r>
          <w:rPr>
            <w:noProof/>
            <w:webHidden/>
          </w:rPr>
        </w:r>
        <w:r>
          <w:rPr>
            <w:noProof/>
            <w:webHidden/>
          </w:rPr>
          <w:fldChar w:fldCharType="separate"/>
        </w:r>
        <w:r>
          <w:rPr>
            <w:noProof/>
            <w:webHidden/>
          </w:rPr>
          <w:t>542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98" w:history="1">
        <w:r w:rsidRPr="00CD0B56">
          <w:rPr>
            <w:rStyle w:val="Hyperlink"/>
            <w:noProof/>
          </w:rPr>
          <w:t>2.1.1430</w:t>
        </w:r>
        <w:r>
          <w:rPr>
            <w:rFonts w:asciiTheme="minorHAnsi" w:eastAsiaTheme="minorEastAsia" w:hAnsiTheme="minorHAnsi" w:cstheme="minorBidi"/>
            <w:noProof/>
            <w:sz w:val="22"/>
            <w:szCs w:val="22"/>
          </w:rPr>
          <w:tab/>
        </w:r>
        <w:r w:rsidRPr="00CD0B56">
          <w:rPr>
            <w:rStyle w:val="Hyperlink"/>
            <w:noProof/>
          </w:rPr>
          <w:t>Part 1 Section 21.2.2.14, bandFmts (Band Formats)</w:t>
        </w:r>
        <w:r>
          <w:rPr>
            <w:noProof/>
            <w:webHidden/>
          </w:rPr>
          <w:tab/>
        </w:r>
        <w:r>
          <w:rPr>
            <w:noProof/>
            <w:webHidden/>
          </w:rPr>
          <w:fldChar w:fldCharType="begin"/>
        </w:r>
        <w:r>
          <w:rPr>
            <w:noProof/>
            <w:webHidden/>
          </w:rPr>
          <w:instrText xml:space="preserve"> PAGEREF _Toc12261498 \h </w:instrText>
        </w:r>
        <w:r>
          <w:rPr>
            <w:noProof/>
            <w:webHidden/>
          </w:rPr>
        </w:r>
        <w:r>
          <w:rPr>
            <w:noProof/>
            <w:webHidden/>
          </w:rPr>
          <w:fldChar w:fldCharType="separate"/>
        </w:r>
        <w:r>
          <w:rPr>
            <w:noProof/>
            <w:webHidden/>
          </w:rPr>
          <w:t>542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499" w:history="1">
        <w:r w:rsidRPr="00CD0B56">
          <w:rPr>
            <w:rStyle w:val="Hyperlink"/>
            <w:noProof/>
          </w:rPr>
          <w:t>2.1.1431</w:t>
        </w:r>
        <w:r>
          <w:rPr>
            <w:rFonts w:asciiTheme="minorHAnsi" w:eastAsiaTheme="minorEastAsia" w:hAnsiTheme="minorHAnsi" w:cstheme="minorBidi"/>
            <w:noProof/>
            <w:sz w:val="22"/>
            <w:szCs w:val="22"/>
          </w:rPr>
          <w:tab/>
        </w:r>
        <w:r w:rsidRPr="00CD0B56">
          <w:rPr>
            <w:rStyle w:val="Hyperlink"/>
            <w:noProof/>
          </w:rPr>
          <w:t>Part 1 Section 21.2.2.15, bar3DChart (3D Bar Charts)</w:t>
        </w:r>
        <w:r>
          <w:rPr>
            <w:noProof/>
            <w:webHidden/>
          </w:rPr>
          <w:tab/>
        </w:r>
        <w:r>
          <w:rPr>
            <w:noProof/>
            <w:webHidden/>
          </w:rPr>
          <w:fldChar w:fldCharType="begin"/>
        </w:r>
        <w:r>
          <w:rPr>
            <w:noProof/>
            <w:webHidden/>
          </w:rPr>
          <w:instrText xml:space="preserve"> PAGEREF _Toc12261499 \h </w:instrText>
        </w:r>
        <w:r>
          <w:rPr>
            <w:noProof/>
            <w:webHidden/>
          </w:rPr>
        </w:r>
        <w:r>
          <w:rPr>
            <w:noProof/>
            <w:webHidden/>
          </w:rPr>
          <w:fldChar w:fldCharType="separate"/>
        </w:r>
        <w:r>
          <w:rPr>
            <w:noProof/>
            <w:webHidden/>
          </w:rPr>
          <w:t>542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00" w:history="1">
        <w:r w:rsidRPr="00CD0B56">
          <w:rPr>
            <w:rStyle w:val="Hyperlink"/>
            <w:noProof/>
          </w:rPr>
          <w:t>2.1.1432</w:t>
        </w:r>
        <w:r>
          <w:rPr>
            <w:rFonts w:asciiTheme="minorHAnsi" w:eastAsiaTheme="minorEastAsia" w:hAnsiTheme="minorHAnsi" w:cstheme="minorBidi"/>
            <w:noProof/>
            <w:sz w:val="22"/>
            <w:szCs w:val="22"/>
          </w:rPr>
          <w:tab/>
        </w:r>
        <w:r w:rsidRPr="00CD0B56">
          <w:rPr>
            <w:rStyle w:val="Hyperlink"/>
            <w:noProof/>
          </w:rPr>
          <w:t>Part 1 Section 21.2.2.16, barChart (Bar Charts)</w:t>
        </w:r>
        <w:r>
          <w:rPr>
            <w:noProof/>
            <w:webHidden/>
          </w:rPr>
          <w:tab/>
        </w:r>
        <w:r>
          <w:rPr>
            <w:noProof/>
            <w:webHidden/>
          </w:rPr>
          <w:fldChar w:fldCharType="begin"/>
        </w:r>
        <w:r>
          <w:rPr>
            <w:noProof/>
            <w:webHidden/>
          </w:rPr>
          <w:instrText xml:space="preserve"> PAGEREF _Toc12261500 \h </w:instrText>
        </w:r>
        <w:r>
          <w:rPr>
            <w:noProof/>
            <w:webHidden/>
          </w:rPr>
        </w:r>
        <w:r>
          <w:rPr>
            <w:noProof/>
            <w:webHidden/>
          </w:rPr>
          <w:fldChar w:fldCharType="separate"/>
        </w:r>
        <w:r>
          <w:rPr>
            <w:noProof/>
            <w:webHidden/>
          </w:rPr>
          <w:t>542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01" w:history="1">
        <w:r w:rsidRPr="00CD0B56">
          <w:rPr>
            <w:rStyle w:val="Hyperlink"/>
            <w:noProof/>
          </w:rPr>
          <w:t>2.1.1433</w:t>
        </w:r>
        <w:r>
          <w:rPr>
            <w:rFonts w:asciiTheme="minorHAnsi" w:eastAsiaTheme="minorEastAsia" w:hAnsiTheme="minorHAnsi" w:cstheme="minorBidi"/>
            <w:noProof/>
            <w:sz w:val="22"/>
            <w:szCs w:val="22"/>
          </w:rPr>
          <w:tab/>
        </w:r>
        <w:r w:rsidRPr="00CD0B56">
          <w:rPr>
            <w:rStyle w:val="Hyperlink"/>
            <w:noProof/>
          </w:rPr>
          <w:t>Part 1 Section 21.2.2.17, barDir (Bar Direction)</w:t>
        </w:r>
        <w:r>
          <w:rPr>
            <w:noProof/>
            <w:webHidden/>
          </w:rPr>
          <w:tab/>
        </w:r>
        <w:r>
          <w:rPr>
            <w:noProof/>
            <w:webHidden/>
          </w:rPr>
          <w:fldChar w:fldCharType="begin"/>
        </w:r>
        <w:r>
          <w:rPr>
            <w:noProof/>
            <w:webHidden/>
          </w:rPr>
          <w:instrText xml:space="preserve"> PAGEREF _Toc12261501 \h </w:instrText>
        </w:r>
        <w:r>
          <w:rPr>
            <w:noProof/>
            <w:webHidden/>
          </w:rPr>
        </w:r>
        <w:r>
          <w:rPr>
            <w:noProof/>
            <w:webHidden/>
          </w:rPr>
          <w:fldChar w:fldCharType="separate"/>
        </w:r>
        <w:r>
          <w:rPr>
            <w:noProof/>
            <w:webHidden/>
          </w:rPr>
          <w:t>542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02" w:history="1">
        <w:r w:rsidRPr="00CD0B56">
          <w:rPr>
            <w:rStyle w:val="Hyperlink"/>
            <w:noProof/>
          </w:rPr>
          <w:t>2.1.1434</w:t>
        </w:r>
        <w:r>
          <w:rPr>
            <w:rFonts w:asciiTheme="minorHAnsi" w:eastAsiaTheme="minorEastAsia" w:hAnsiTheme="minorHAnsi" w:cstheme="minorBidi"/>
            <w:noProof/>
            <w:sz w:val="22"/>
            <w:szCs w:val="22"/>
          </w:rPr>
          <w:tab/>
        </w:r>
        <w:r w:rsidRPr="00CD0B56">
          <w:rPr>
            <w:rStyle w:val="Hyperlink"/>
            <w:noProof/>
          </w:rPr>
          <w:t>Part 1 Section 21.2.2.19, bubble3D (3D Bubble)</w:t>
        </w:r>
        <w:r>
          <w:rPr>
            <w:noProof/>
            <w:webHidden/>
          </w:rPr>
          <w:tab/>
        </w:r>
        <w:r>
          <w:rPr>
            <w:noProof/>
            <w:webHidden/>
          </w:rPr>
          <w:fldChar w:fldCharType="begin"/>
        </w:r>
        <w:r>
          <w:rPr>
            <w:noProof/>
            <w:webHidden/>
          </w:rPr>
          <w:instrText xml:space="preserve"> PAGEREF _Toc12261502 \h </w:instrText>
        </w:r>
        <w:r>
          <w:rPr>
            <w:noProof/>
            <w:webHidden/>
          </w:rPr>
        </w:r>
        <w:r>
          <w:rPr>
            <w:noProof/>
            <w:webHidden/>
          </w:rPr>
          <w:fldChar w:fldCharType="separate"/>
        </w:r>
        <w:r>
          <w:rPr>
            <w:noProof/>
            <w:webHidden/>
          </w:rPr>
          <w:t>542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03" w:history="1">
        <w:r w:rsidRPr="00CD0B56">
          <w:rPr>
            <w:rStyle w:val="Hyperlink"/>
            <w:noProof/>
          </w:rPr>
          <w:t>2.1.1435</w:t>
        </w:r>
        <w:r>
          <w:rPr>
            <w:rFonts w:asciiTheme="minorHAnsi" w:eastAsiaTheme="minorEastAsia" w:hAnsiTheme="minorHAnsi" w:cstheme="minorBidi"/>
            <w:noProof/>
            <w:sz w:val="22"/>
            <w:szCs w:val="22"/>
          </w:rPr>
          <w:tab/>
        </w:r>
        <w:r w:rsidRPr="00CD0B56">
          <w:rPr>
            <w:rStyle w:val="Hyperlink"/>
            <w:noProof/>
          </w:rPr>
          <w:t>Part 1 Section 21.2.2.20, bubbleChart (Bubble Charts)</w:t>
        </w:r>
        <w:r>
          <w:rPr>
            <w:noProof/>
            <w:webHidden/>
          </w:rPr>
          <w:tab/>
        </w:r>
        <w:r>
          <w:rPr>
            <w:noProof/>
            <w:webHidden/>
          </w:rPr>
          <w:fldChar w:fldCharType="begin"/>
        </w:r>
        <w:r>
          <w:rPr>
            <w:noProof/>
            <w:webHidden/>
          </w:rPr>
          <w:instrText xml:space="preserve"> PAGEREF _Toc12261503 \h </w:instrText>
        </w:r>
        <w:r>
          <w:rPr>
            <w:noProof/>
            <w:webHidden/>
          </w:rPr>
        </w:r>
        <w:r>
          <w:rPr>
            <w:noProof/>
            <w:webHidden/>
          </w:rPr>
          <w:fldChar w:fldCharType="separate"/>
        </w:r>
        <w:r>
          <w:rPr>
            <w:noProof/>
            <w:webHidden/>
          </w:rPr>
          <w:t>542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04" w:history="1">
        <w:r w:rsidRPr="00CD0B56">
          <w:rPr>
            <w:rStyle w:val="Hyperlink"/>
            <w:noProof/>
          </w:rPr>
          <w:t>2.1.1436</w:t>
        </w:r>
        <w:r>
          <w:rPr>
            <w:rFonts w:asciiTheme="minorHAnsi" w:eastAsiaTheme="minorEastAsia" w:hAnsiTheme="minorHAnsi" w:cstheme="minorBidi"/>
            <w:noProof/>
            <w:sz w:val="22"/>
            <w:szCs w:val="22"/>
          </w:rPr>
          <w:tab/>
        </w:r>
        <w:r w:rsidRPr="00CD0B56">
          <w:rPr>
            <w:rStyle w:val="Hyperlink"/>
            <w:noProof/>
          </w:rPr>
          <w:t>Part 1 Section 21.2.2.23, builtInUnit (Built in Display Unit Value)</w:t>
        </w:r>
        <w:r>
          <w:rPr>
            <w:noProof/>
            <w:webHidden/>
          </w:rPr>
          <w:tab/>
        </w:r>
        <w:r>
          <w:rPr>
            <w:noProof/>
            <w:webHidden/>
          </w:rPr>
          <w:fldChar w:fldCharType="begin"/>
        </w:r>
        <w:r>
          <w:rPr>
            <w:noProof/>
            <w:webHidden/>
          </w:rPr>
          <w:instrText xml:space="preserve"> PAGEREF _Toc12261504 \h </w:instrText>
        </w:r>
        <w:r>
          <w:rPr>
            <w:noProof/>
            <w:webHidden/>
          </w:rPr>
        </w:r>
        <w:r>
          <w:rPr>
            <w:noProof/>
            <w:webHidden/>
          </w:rPr>
          <w:fldChar w:fldCharType="separate"/>
        </w:r>
        <w:r>
          <w:rPr>
            <w:noProof/>
            <w:webHidden/>
          </w:rPr>
          <w:t>543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05" w:history="1">
        <w:r w:rsidRPr="00CD0B56">
          <w:rPr>
            <w:rStyle w:val="Hyperlink"/>
            <w:noProof/>
          </w:rPr>
          <w:t>2.1.1437</w:t>
        </w:r>
        <w:r>
          <w:rPr>
            <w:rFonts w:asciiTheme="minorHAnsi" w:eastAsiaTheme="minorEastAsia" w:hAnsiTheme="minorHAnsi" w:cstheme="minorBidi"/>
            <w:noProof/>
            <w:sz w:val="22"/>
            <w:szCs w:val="22"/>
          </w:rPr>
          <w:tab/>
        </w:r>
        <w:r w:rsidRPr="00CD0B56">
          <w:rPr>
            <w:rStyle w:val="Hyperlink"/>
            <w:noProof/>
          </w:rPr>
          <w:t>Part 1 Section 21.2.2.24, cat (Category Axis Data)</w:t>
        </w:r>
        <w:r>
          <w:rPr>
            <w:noProof/>
            <w:webHidden/>
          </w:rPr>
          <w:tab/>
        </w:r>
        <w:r>
          <w:rPr>
            <w:noProof/>
            <w:webHidden/>
          </w:rPr>
          <w:fldChar w:fldCharType="begin"/>
        </w:r>
        <w:r>
          <w:rPr>
            <w:noProof/>
            <w:webHidden/>
          </w:rPr>
          <w:instrText xml:space="preserve"> PAGEREF _Toc12261505 \h </w:instrText>
        </w:r>
        <w:r>
          <w:rPr>
            <w:noProof/>
            <w:webHidden/>
          </w:rPr>
        </w:r>
        <w:r>
          <w:rPr>
            <w:noProof/>
            <w:webHidden/>
          </w:rPr>
          <w:fldChar w:fldCharType="separate"/>
        </w:r>
        <w:r>
          <w:rPr>
            <w:noProof/>
            <w:webHidden/>
          </w:rPr>
          <w:t>543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06" w:history="1">
        <w:r w:rsidRPr="00CD0B56">
          <w:rPr>
            <w:rStyle w:val="Hyperlink"/>
            <w:noProof/>
          </w:rPr>
          <w:t>2.1.1438</w:t>
        </w:r>
        <w:r>
          <w:rPr>
            <w:rFonts w:asciiTheme="minorHAnsi" w:eastAsiaTheme="minorEastAsia" w:hAnsiTheme="minorHAnsi" w:cstheme="minorBidi"/>
            <w:noProof/>
            <w:sz w:val="22"/>
            <w:szCs w:val="22"/>
          </w:rPr>
          <w:tab/>
        </w:r>
        <w:r w:rsidRPr="00CD0B56">
          <w:rPr>
            <w:rStyle w:val="Hyperlink"/>
            <w:noProof/>
          </w:rPr>
          <w:t>Part 1 Section 21.2.2.25, catAx (Category Axis Data)</w:t>
        </w:r>
        <w:r>
          <w:rPr>
            <w:noProof/>
            <w:webHidden/>
          </w:rPr>
          <w:tab/>
        </w:r>
        <w:r>
          <w:rPr>
            <w:noProof/>
            <w:webHidden/>
          </w:rPr>
          <w:fldChar w:fldCharType="begin"/>
        </w:r>
        <w:r>
          <w:rPr>
            <w:noProof/>
            <w:webHidden/>
          </w:rPr>
          <w:instrText xml:space="preserve"> PAGEREF _Toc12261506 \h </w:instrText>
        </w:r>
        <w:r>
          <w:rPr>
            <w:noProof/>
            <w:webHidden/>
          </w:rPr>
        </w:r>
        <w:r>
          <w:rPr>
            <w:noProof/>
            <w:webHidden/>
          </w:rPr>
          <w:fldChar w:fldCharType="separate"/>
        </w:r>
        <w:r>
          <w:rPr>
            <w:noProof/>
            <w:webHidden/>
          </w:rPr>
          <w:t>543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07" w:history="1">
        <w:r w:rsidRPr="00CD0B56">
          <w:rPr>
            <w:rStyle w:val="Hyperlink"/>
            <w:noProof/>
          </w:rPr>
          <w:t>2.1.1439</w:t>
        </w:r>
        <w:r>
          <w:rPr>
            <w:rFonts w:asciiTheme="minorHAnsi" w:eastAsiaTheme="minorEastAsia" w:hAnsiTheme="minorHAnsi" w:cstheme="minorBidi"/>
            <w:noProof/>
            <w:sz w:val="22"/>
            <w:szCs w:val="22"/>
          </w:rPr>
          <w:tab/>
        </w:r>
        <w:r w:rsidRPr="00CD0B56">
          <w:rPr>
            <w:rStyle w:val="Hyperlink"/>
            <w:noProof/>
          </w:rPr>
          <w:t>Part 1 Section 21.2.2.28, chartObject (Chart Object)</w:t>
        </w:r>
        <w:r>
          <w:rPr>
            <w:noProof/>
            <w:webHidden/>
          </w:rPr>
          <w:tab/>
        </w:r>
        <w:r>
          <w:rPr>
            <w:noProof/>
            <w:webHidden/>
          </w:rPr>
          <w:fldChar w:fldCharType="begin"/>
        </w:r>
        <w:r>
          <w:rPr>
            <w:noProof/>
            <w:webHidden/>
          </w:rPr>
          <w:instrText xml:space="preserve"> PAGEREF _Toc12261507 \h </w:instrText>
        </w:r>
        <w:r>
          <w:rPr>
            <w:noProof/>
            <w:webHidden/>
          </w:rPr>
        </w:r>
        <w:r>
          <w:rPr>
            <w:noProof/>
            <w:webHidden/>
          </w:rPr>
          <w:fldChar w:fldCharType="separate"/>
        </w:r>
        <w:r>
          <w:rPr>
            <w:noProof/>
            <w:webHidden/>
          </w:rPr>
          <w:t>543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08" w:history="1">
        <w:r w:rsidRPr="00CD0B56">
          <w:rPr>
            <w:rStyle w:val="Hyperlink"/>
            <w:noProof/>
          </w:rPr>
          <w:t>2.1.1440</w:t>
        </w:r>
        <w:r>
          <w:rPr>
            <w:rFonts w:asciiTheme="minorHAnsi" w:eastAsiaTheme="minorEastAsia" w:hAnsiTheme="minorHAnsi" w:cstheme="minorBidi"/>
            <w:noProof/>
            <w:sz w:val="22"/>
            <w:szCs w:val="22"/>
          </w:rPr>
          <w:tab/>
        </w:r>
        <w:r w:rsidRPr="00CD0B56">
          <w:rPr>
            <w:rStyle w:val="Hyperlink"/>
            <w:noProof/>
          </w:rPr>
          <w:t>Part 1 Section 21.2.2.31, crossAx (Crossing Axis ID)</w:t>
        </w:r>
        <w:r>
          <w:rPr>
            <w:noProof/>
            <w:webHidden/>
          </w:rPr>
          <w:tab/>
        </w:r>
        <w:r>
          <w:rPr>
            <w:noProof/>
            <w:webHidden/>
          </w:rPr>
          <w:fldChar w:fldCharType="begin"/>
        </w:r>
        <w:r>
          <w:rPr>
            <w:noProof/>
            <w:webHidden/>
          </w:rPr>
          <w:instrText xml:space="preserve"> PAGEREF _Toc12261508 \h </w:instrText>
        </w:r>
        <w:r>
          <w:rPr>
            <w:noProof/>
            <w:webHidden/>
          </w:rPr>
        </w:r>
        <w:r>
          <w:rPr>
            <w:noProof/>
            <w:webHidden/>
          </w:rPr>
          <w:fldChar w:fldCharType="separate"/>
        </w:r>
        <w:r>
          <w:rPr>
            <w:noProof/>
            <w:webHidden/>
          </w:rPr>
          <w:t>543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09" w:history="1">
        <w:r w:rsidRPr="00CD0B56">
          <w:rPr>
            <w:rStyle w:val="Hyperlink"/>
            <w:noProof/>
          </w:rPr>
          <w:t>2.1.1441</w:t>
        </w:r>
        <w:r>
          <w:rPr>
            <w:rFonts w:asciiTheme="minorHAnsi" w:eastAsiaTheme="minorEastAsia" w:hAnsiTheme="minorHAnsi" w:cstheme="minorBidi"/>
            <w:noProof/>
            <w:sz w:val="22"/>
            <w:szCs w:val="22"/>
          </w:rPr>
          <w:tab/>
        </w:r>
        <w:r w:rsidRPr="00CD0B56">
          <w:rPr>
            <w:rStyle w:val="Hyperlink"/>
            <w:noProof/>
          </w:rPr>
          <w:t>Part 1 Section 21.2.2.34, crossesAt (Crossing Value)</w:t>
        </w:r>
        <w:r>
          <w:rPr>
            <w:noProof/>
            <w:webHidden/>
          </w:rPr>
          <w:tab/>
        </w:r>
        <w:r>
          <w:rPr>
            <w:noProof/>
            <w:webHidden/>
          </w:rPr>
          <w:fldChar w:fldCharType="begin"/>
        </w:r>
        <w:r>
          <w:rPr>
            <w:noProof/>
            <w:webHidden/>
          </w:rPr>
          <w:instrText xml:space="preserve"> PAGEREF _Toc12261509 \h </w:instrText>
        </w:r>
        <w:r>
          <w:rPr>
            <w:noProof/>
            <w:webHidden/>
          </w:rPr>
        </w:r>
        <w:r>
          <w:rPr>
            <w:noProof/>
            <w:webHidden/>
          </w:rPr>
          <w:fldChar w:fldCharType="separate"/>
        </w:r>
        <w:r>
          <w:rPr>
            <w:noProof/>
            <w:webHidden/>
          </w:rPr>
          <w:t>543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10" w:history="1">
        <w:r w:rsidRPr="00CD0B56">
          <w:rPr>
            <w:rStyle w:val="Hyperlink"/>
            <w:noProof/>
          </w:rPr>
          <w:t>2.1.1442</w:t>
        </w:r>
        <w:r>
          <w:rPr>
            <w:rFonts w:asciiTheme="minorHAnsi" w:eastAsiaTheme="minorEastAsia" w:hAnsiTheme="minorHAnsi" w:cstheme="minorBidi"/>
            <w:noProof/>
            <w:sz w:val="22"/>
            <w:szCs w:val="22"/>
          </w:rPr>
          <w:tab/>
        </w:r>
        <w:r w:rsidRPr="00CD0B56">
          <w:rPr>
            <w:rStyle w:val="Hyperlink"/>
            <w:noProof/>
          </w:rPr>
          <w:t>Part 1 Section 21.2.2.36, custUnit (Custom Display Unit)</w:t>
        </w:r>
        <w:r>
          <w:rPr>
            <w:noProof/>
            <w:webHidden/>
          </w:rPr>
          <w:tab/>
        </w:r>
        <w:r>
          <w:rPr>
            <w:noProof/>
            <w:webHidden/>
          </w:rPr>
          <w:fldChar w:fldCharType="begin"/>
        </w:r>
        <w:r>
          <w:rPr>
            <w:noProof/>
            <w:webHidden/>
          </w:rPr>
          <w:instrText xml:space="preserve"> PAGEREF _Toc12261510 \h </w:instrText>
        </w:r>
        <w:r>
          <w:rPr>
            <w:noProof/>
            <w:webHidden/>
          </w:rPr>
        </w:r>
        <w:r>
          <w:rPr>
            <w:noProof/>
            <w:webHidden/>
          </w:rPr>
          <w:fldChar w:fldCharType="separate"/>
        </w:r>
        <w:r>
          <w:rPr>
            <w:noProof/>
            <w:webHidden/>
          </w:rPr>
          <w:t>544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11" w:history="1">
        <w:r w:rsidRPr="00CD0B56">
          <w:rPr>
            <w:rStyle w:val="Hyperlink"/>
            <w:noProof/>
          </w:rPr>
          <w:t>2.1.1443</w:t>
        </w:r>
        <w:r>
          <w:rPr>
            <w:rFonts w:asciiTheme="minorHAnsi" w:eastAsiaTheme="minorEastAsia" w:hAnsiTheme="minorHAnsi" w:cstheme="minorBidi"/>
            <w:noProof/>
            <w:sz w:val="22"/>
            <w:szCs w:val="22"/>
          </w:rPr>
          <w:tab/>
        </w:r>
        <w:r w:rsidRPr="00CD0B56">
          <w:rPr>
            <w:rStyle w:val="Hyperlink"/>
            <w:noProof/>
          </w:rPr>
          <w:t>Part 1 Section 21.2.2.37, data (Data Cannot Be Changed)</w:t>
        </w:r>
        <w:r>
          <w:rPr>
            <w:noProof/>
            <w:webHidden/>
          </w:rPr>
          <w:tab/>
        </w:r>
        <w:r>
          <w:rPr>
            <w:noProof/>
            <w:webHidden/>
          </w:rPr>
          <w:fldChar w:fldCharType="begin"/>
        </w:r>
        <w:r>
          <w:rPr>
            <w:noProof/>
            <w:webHidden/>
          </w:rPr>
          <w:instrText xml:space="preserve"> PAGEREF _Toc12261511 \h </w:instrText>
        </w:r>
        <w:r>
          <w:rPr>
            <w:noProof/>
            <w:webHidden/>
          </w:rPr>
        </w:r>
        <w:r>
          <w:rPr>
            <w:noProof/>
            <w:webHidden/>
          </w:rPr>
          <w:fldChar w:fldCharType="separate"/>
        </w:r>
        <w:r>
          <w:rPr>
            <w:noProof/>
            <w:webHidden/>
          </w:rPr>
          <w:t>544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12" w:history="1">
        <w:r w:rsidRPr="00CD0B56">
          <w:rPr>
            <w:rStyle w:val="Hyperlink"/>
            <w:noProof/>
          </w:rPr>
          <w:t>2.1.1444</w:t>
        </w:r>
        <w:r>
          <w:rPr>
            <w:rFonts w:asciiTheme="minorHAnsi" w:eastAsiaTheme="minorEastAsia" w:hAnsiTheme="minorHAnsi" w:cstheme="minorBidi"/>
            <w:noProof/>
            <w:sz w:val="22"/>
            <w:szCs w:val="22"/>
          </w:rPr>
          <w:tab/>
        </w:r>
        <w:r w:rsidRPr="00CD0B56">
          <w:rPr>
            <w:rStyle w:val="Hyperlink"/>
            <w:noProof/>
          </w:rPr>
          <w:t>Part 1 Section 21.2.2.39, dateAx (Date Axis)</w:t>
        </w:r>
        <w:r>
          <w:rPr>
            <w:noProof/>
            <w:webHidden/>
          </w:rPr>
          <w:tab/>
        </w:r>
        <w:r>
          <w:rPr>
            <w:noProof/>
            <w:webHidden/>
          </w:rPr>
          <w:fldChar w:fldCharType="begin"/>
        </w:r>
        <w:r>
          <w:rPr>
            <w:noProof/>
            <w:webHidden/>
          </w:rPr>
          <w:instrText xml:space="preserve"> PAGEREF _Toc12261512 \h </w:instrText>
        </w:r>
        <w:r>
          <w:rPr>
            <w:noProof/>
            <w:webHidden/>
          </w:rPr>
        </w:r>
        <w:r>
          <w:rPr>
            <w:noProof/>
            <w:webHidden/>
          </w:rPr>
          <w:fldChar w:fldCharType="separate"/>
        </w:r>
        <w:r>
          <w:rPr>
            <w:noProof/>
            <w:webHidden/>
          </w:rPr>
          <w:t>544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13" w:history="1">
        <w:r w:rsidRPr="00CD0B56">
          <w:rPr>
            <w:rStyle w:val="Hyperlink"/>
            <w:noProof/>
          </w:rPr>
          <w:t>2.1.1445</w:t>
        </w:r>
        <w:r>
          <w:rPr>
            <w:rFonts w:asciiTheme="minorHAnsi" w:eastAsiaTheme="minorEastAsia" w:hAnsiTheme="minorHAnsi" w:cstheme="minorBidi"/>
            <w:noProof/>
            <w:sz w:val="22"/>
            <w:szCs w:val="22"/>
          </w:rPr>
          <w:tab/>
        </w:r>
        <w:r w:rsidRPr="00CD0B56">
          <w:rPr>
            <w:rStyle w:val="Hyperlink"/>
            <w:noProof/>
          </w:rPr>
          <w:t>Part 1 Section 21.2.2.41, depthPercent (Depth Percent)</w:t>
        </w:r>
        <w:r>
          <w:rPr>
            <w:noProof/>
            <w:webHidden/>
          </w:rPr>
          <w:tab/>
        </w:r>
        <w:r>
          <w:rPr>
            <w:noProof/>
            <w:webHidden/>
          </w:rPr>
          <w:fldChar w:fldCharType="begin"/>
        </w:r>
        <w:r>
          <w:rPr>
            <w:noProof/>
            <w:webHidden/>
          </w:rPr>
          <w:instrText xml:space="preserve"> PAGEREF _Toc12261513 \h </w:instrText>
        </w:r>
        <w:r>
          <w:rPr>
            <w:noProof/>
            <w:webHidden/>
          </w:rPr>
        </w:r>
        <w:r>
          <w:rPr>
            <w:noProof/>
            <w:webHidden/>
          </w:rPr>
          <w:fldChar w:fldCharType="separate"/>
        </w:r>
        <w:r>
          <w:rPr>
            <w:noProof/>
            <w:webHidden/>
          </w:rPr>
          <w:t>544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14" w:history="1">
        <w:r w:rsidRPr="00CD0B56">
          <w:rPr>
            <w:rStyle w:val="Hyperlink"/>
            <w:noProof/>
          </w:rPr>
          <w:t>2.1.1446</w:t>
        </w:r>
        <w:r>
          <w:rPr>
            <w:rFonts w:asciiTheme="minorHAnsi" w:eastAsiaTheme="minorEastAsia" w:hAnsiTheme="minorHAnsi" w:cstheme="minorBidi"/>
            <w:noProof/>
            <w:sz w:val="22"/>
            <w:szCs w:val="22"/>
          </w:rPr>
          <w:tab/>
        </w:r>
        <w:r w:rsidRPr="00CD0B56">
          <w:rPr>
            <w:rStyle w:val="Hyperlink"/>
            <w:noProof/>
          </w:rPr>
          <w:t>Part 1 Section 21.2.2.42, dispBlanksAs (Display Blanks As)</w:t>
        </w:r>
        <w:r>
          <w:rPr>
            <w:noProof/>
            <w:webHidden/>
          </w:rPr>
          <w:tab/>
        </w:r>
        <w:r>
          <w:rPr>
            <w:noProof/>
            <w:webHidden/>
          </w:rPr>
          <w:fldChar w:fldCharType="begin"/>
        </w:r>
        <w:r>
          <w:rPr>
            <w:noProof/>
            <w:webHidden/>
          </w:rPr>
          <w:instrText xml:space="preserve"> PAGEREF _Toc12261514 \h </w:instrText>
        </w:r>
        <w:r>
          <w:rPr>
            <w:noProof/>
            <w:webHidden/>
          </w:rPr>
        </w:r>
        <w:r>
          <w:rPr>
            <w:noProof/>
            <w:webHidden/>
          </w:rPr>
          <w:fldChar w:fldCharType="separate"/>
        </w:r>
        <w:r>
          <w:rPr>
            <w:noProof/>
            <w:webHidden/>
          </w:rPr>
          <w:t>544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15" w:history="1">
        <w:r w:rsidRPr="00CD0B56">
          <w:rPr>
            <w:rStyle w:val="Hyperlink"/>
            <w:noProof/>
          </w:rPr>
          <w:t>2.1.1447</w:t>
        </w:r>
        <w:r>
          <w:rPr>
            <w:rFonts w:asciiTheme="minorHAnsi" w:eastAsiaTheme="minorEastAsia" w:hAnsiTheme="minorHAnsi" w:cstheme="minorBidi"/>
            <w:noProof/>
            <w:sz w:val="22"/>
            <w:szCs w:val="22"/>
          </w:rPr>
          <w:tab/>
        </w:r>
        <w:r w:rsidRPr="00CD0B56">
          <w:rPr>
            <w:rStyle w:val="Hyperlink"/>
            <w:noProof/>
          </w:rPr>
          <w:t>Part 1 Section 21.2.2.43, dispEq (Display Equation)</w:t>
        </w:r>
        <w:r>
          <w:rPr>
            <w:noProof/>
            <w:webHidden/>
          </w:rPr>
          <w:tab/>
        </w:r>
        <w:r>
          <w:rPr>
            <w:noProof/>
            <w:webHidden/>
          </w:rPr>
          <w:fldChar w:fldCharType="begin"/>
        </w:r>
        <w:r>
          <w:rPr>
            <w:noProof/>
            <w:webHidden/>
          </w:rPr>
          <w:instrText xml:space="preserve"> PAGEREF _Toc12261515 \h </w:instrText>
        </w:r>
        <w:r>
          <w:rPr>
            <w:noProof/>
            <w:webHidden/>
          </w:rPr>
        </w:r>
        <w:r>
          <w:rPr>
            <w:noProof/>
            <w:webHidden/>
          </w:rPr>
          <w:fldChar w:fldCharType="separate"/>
        </w:r>
        <w:r>
          <w:rPr>
            <w:noProof/>
            <w:webHidden/>
          </w:rPr>
          <w:t>545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16" w:history="1">
        <w:r w:rsidRPr="00CD0B56">
          <w:rPr>
            <w:rStyle w:val="Hyperlink"/>
            <w:noProof/>
          </w:rPr>
          <w:t>2.1.1448</w:t>
        </w:r>
        <w:r>
          <w:rPr>
            <w:rFonts w:asciiTheme="minorHAnsi" w:eastAsiaTheme="minorEastAsia" w:hAnsiTheme="minorHAnsi" w:cstheme="minorBidi"/>
            <w:noProof/>
            <w:sz w:val="22"/>
            <w:szCs w:val="22"/>
          </w:rPr>
          <w:tab/>
        </w:r>
        <w:r w:rsidRPr="00CD0B56">
          <w:rPr>
            <w:rStyle w:val="Hyperlink"/>
            <w:noProof/>
          </w:rPr>
          <w:t>Part 1 Section 21.2.2.44, dispRSqr (Display R Squared Value)</w:t>
        </w:r>
        <w:r>
          <w:rPr>
            <w:noProof/>
            <w:webHidden/>
          </w:rPr>
          <w:tab/>
        </w:r>
        <w:r>
          <w:rPr>
            <w:noProof/>
            <w:webHidden/>
          </w:rPr>
          <w:fldChar w:fldCharType="begin"/>
        </w:r>
        <w:r>
          <w:rPr>
            <w:noProof/>
            <w:webHidden/>
          </w:rPr>
          <w:instrText xml:space="preserve"> PAGEREF _Toc12261516 \h </w:instrText>
        </w:r>
        <w:r>
          <w:rPr>
            <w:noProof/>
            <w:webHidden/>
          </w:rPr>
        </w:r>
        <w:r>
          <w:rPr>
            <w:noProof/>
            <w:webHidden/>
          </w:rPr>
          <w:fldChar w:fldCharType="separate"/>
        </w:r>
        <w:r>
          <w:rPr>
            <w:noProof/>
            <w:webHidden/>
          </w:rPr>
          <w:t>546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17" w:history="1">
        <w:r w:rsidRPr="00CD0B56">
          <w:rPr>
            <w:rStyle w:val="Hyperlink"/>
            <w:noProof/>
          </w:rPr>
          <w:t>2.1.1449</w:t>
        </w:r>
        <w:r>
          <w:rPr>
            <w:rFonts w:asciiTheme="minorHAnsi" w:eastAsiaTheme="minorEastAsia" w:hAnsiTheme="minorHAnsi" w:cstheme="minorBidi"/>
            <w:noProof/>
            <w:sz w:val="22"/>
            <w:szCs w:val="22"/>
          </w:rPr>
          <w:tab/>
        </w:r>
        <w:r w:rsidRPr="00CD0B56">
          <w:rPr>
            <w:rStyle w:val="Hyperlink"/>
            <w:noProof/>
          </w:rPr>
          <w:t>Part 1 Section 21.2.2.47, dLbl (Data Label)</w:t>
        </w:r>
        <w:r>
          <w:rPr>
            <w:noProof/>
            <w:webHidden/>
          </w:rPr>
          <w:tab/>
        </w:r>
        <w:r>
          <w:rPr>
            <w:noProof/>
            <w:webHidden/>
          </w:rPr>
          <w:fldChar w:fldCharType="begin"/>
        </w:r>
        <w:r>
          <w:rPr>
            <w:noProof/>
            <w:webHidden/>
          </w:rPr>
          <w:instrText xml:space="preserve"> PAGEREF _Toc12261517 \h </w:instrText>
        </w:r>
        <w:r>
          <w:rPr>
            <w:noProof/>
            <w:webHidden/>
          </w:rPr>
        </w:r>
        <w:r>
          <w:rPr>
            <w:noProof/>
            <w:webHidden/>
          </w:rPr>
          <w:fldChar w:fldCharType="separate"/>
        </w:r>
        <w:r>
          <w:rPr>
            <w:noProof/>
            <w:webHidden/>
          </w:rPr>
          <w:t>546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18" w:history="1">
        <w:r w:rsidRPr="00CD0B56">
          <w:rPr>
            <w:rStyle w:val="Hyperlink"/>
            <w:noProof/>
          </w:rPr>
          <w:t>2.1.1450</w:t>
        </w:r>
        <w:r>
          <w:rPr>
            <w:rFonts w:asciiTheme="minorHAnsi" w:eastAsiaTheme="minorEastAsia" w:hAnsiTheme="minorHAnsi" w:cstheme="minorBidi"/>
            <w:noProof/>
            <w:sz w:val="22"/>
            <w:szCs w:val="22"/>
          </w:rPr>
          <w:tab/>
        </w:r>
        <w:r w:rsidRPr="00CD0B56">
          <w:rPr>
            <w:rStyle w:val="Hyperlink"/>
            <w:noProof/>
          </w:rPr>
          <w:t>Part 1 Section 21.2.2.48, dLblPos (Data Label Position)</w:t>
        </w:r>
        <w:r>
          <w:rPr>
            <w:noProof/>
            <w:webHidden/>
          </w:rPr>
          <w:tab/>
        </w:r>
        <w:r>
          <w:rPr>
            <w:noProof/>
            <w:webHidden/>
          </w:rPr>
          <w:fldChar w:fldCharType="begin"/>
        </w:r>
        <w:r>
          <w:rPr>
            <w:noProof/>
            <w:webHidden/>
          </w:rPr>
          <w:instrText xml:space="preserve"> PAGEREF _Toc12261518 \h </w:instrText>
        </w:r>
        <w:r>
          <w:rPr>
            <w:noProof/>
            <w:webHidden/>
          </w:rPr>
        </w:r>
        <w:r>
          <w:rPr>
            <w:noProof/>
            <w:webHidden/>
          </w:rPr>
          <w:fldChar w:fldCharType="separate"/>
        </w:r>
        <w:r>
          <w:rPr>
            <w:noProof/>
            <w:webHidden/>
          </w:rPr>
          <w:t>546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19" w:history="1">
        <w:r w:rsidRPr="00CD0B56">
          <w:rPr>
            <w:rStyle w:val="Hyperlink"/>
            <w:noProof/>
          </w:rPr>
          <w:t>2.1.1451</w:t>
        </w:r>
        <w:r>
          <w:rPr>
            <w:rFonts w:asciiTheme="minorHAnsi" w:eastAsiaTheme="minorEastAsia" w:hAnsiTheme="minorHAnsi" w:cstheme="minorBidi"/>
            <w:noProof/>
            <w:sz w:val="22"/>
            <w:szCs w:val="22"/>
          </w:rPr>
          <w:tab/>
        </w:r>
        <w:r w:rsidRPr="00CD0B56">
          <w:rPr>
            <w:rStyle w:val="Hyperlink"/>
            <w:noProof/>
          </w:rPr>
          <w:t>Part 1 Section 21.2.2.49, dLbls (Data Labels)</w:t>
        </w:r>
        <w:r>
          <w:rPr>
            <w:noProof/>
            <w:webHidden/>
          </w:rPr>
          <w:tab/>
        </w:r>
        <w:r>
          <w:rPr>
            <w:noProof/>
            <w:webHidden/>
          </w:rPr>
          <w:fldChar w:fldCharType="begin"/>
        </w:r>
        <w:r>
          <w:rPr>
            <w:noProof/>
            <w:webHidden/>
          </w:rPr>
          <w:instrText xml:space="preserve"> PAGEREF _Toc12261519 \h </w:instrText>
        </w:r>
        <w:r>
          <w:rPr>
            <w:noProof/>
            <w:webHidden/>
          </w:rPr>
        </w:r>
        <w:r>
          <w:rPr>
            <w:noProof/>
            <w:webHidden/>
          </w:rPr>
          <w:fldChar w:fldCharType="separate"/>
        </w:r>
        <w:r>
          <w:rPr>
            <w:noProof/>
            <w:webHidden/>
          </w:rPr>
          <w:t>547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20" w:history="1">
        <w:r w:rsidRPr="00CD0B56">
          <w:rPr>
            <w:rStyle w:val="Hyperlink"/>
            <w:noProof/>
          </w:rPr>
          <w:t>2.1.1452</w:t>
        </w:r>
        <w:r>
          <w:rPr>
            <w:rFonts w:asciiTheme="minorHAnsi" w:eastAsiaTheme="minorEastAsia" w:hAnsiTheme="minorHAnsi" w:cstheme="minorBidi"/>
            <w:noProof/>
            <w:sz w:val="22"/>
            <w:szCs w:val="22"/>
          </w:rPr>
          <w:tab/>
        </w:r>
        <w:r w:rsidRPr="00CD0B56">
          <w:rPr>
            <w:rStyle w:val="Hyperlink"/>
            <w:noProof/>
          </w:rPr>
          <w:t>Part 1 Section 21.2.2.50, doughnutChart (Doughnut Charts)</w:t>
        </w:r>
        <w:r>
          <w:rPr>
            <w:noProof/>
            <w:webHidden/>
          </w:rPr>
          <w:tab/>
        </w:r>
        <w:r>
          <w:rPr>
            <w:noProof/>
            <w:webHidden/>
          </w:rPr>
          <w:fldChar w:fldCharType="begin"/>
        </w:r>
        <w:r>
          <w:rPr>
            <w:noProof/>
            <w:webHidden/>
          </w:rPr>
          <w:instrText xml:space="preserve"> PAGEREF _Toc12261520 \h </w:instrText>
        </w:r>
        <w:r>
          <w:rPr>
            <w:noProof/>
            <w:webHidden/>
          </w:rPr>
        </w:r>
        <w:r>
          <w:rPr>
            <w:noProof/>
            <w:webHidden/>
          </w:rPr>
          <w:fldChar w:fldCharType="separate"/>
        </w:r>
        <w:r>
          <w:rPr>
            <w:noProof/>
            <w:webHidden/>
          </w:rPr>
          <w:t>547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21" w:history="1">
        <w:r w:rsidRPr="00CD0B56">
          <w:rPr>
            <w:rStyle w:val="Hyperlink"/>
            <w:noProof/>
          </w:rPr>
          <w:t>2.1.1453</w:t>
        </w:r>
        <w:r>
          <w:rPr>
            <w:rFonts w:asciiTheme="minorHAnsi" w:eastAsiaTheme="minorEastAsia" w:hAnsiTheme="minorHAnsi" w:cstheme="minorBidi"/>
            <w:noProof/>
            <w:sz w:val="22"/>
            <w:szCs w:val="22"/>
          </w:rPr>
          <w:tab/>
        </w:r>
        <w:r w:rsidRPr="00CD0B56">
          <w:rPr>
            <w:rStyle w:val="Hyperlink"/>
            <w:noProof/>
          </w:rPr>
          <w:t>Part 1 Section 21.2.2.55, errBars (Error Bars)</w:t>
        </w:r>
        <w:r>
          <w:rPr>
            <w:noProof/>
            <w:webHidden/>
          </w:rPr>
          <w:tab/>
        </w:r>
        <w:r>
          <w:rPr>
            <w:noProof/>
            <w:webHidden/>
          </w:rPr>
          <w:fldChar w:fldCharType="begin"/>
        </w:r>
        <w:r>
          <w:rPr>
            <w:noProof/>
            <w:webHidden/>
          </w:rPr>
          <w:instrText xml:space="preserve"> PAGEREF _Toc12261521 \h </w:instrText>
        </w:r>
        <w:r>
          <w:rPr>
            <w:noProof/>
            <w:webHidden/>
          </w:rPr>
        </w:r>
        <w:r>
          <w:rPr>
            <w:noProof/>
            <w:webHidden/>
          </w:rPr>
          <w:fldChar w:fldCharType="separate"/>
        </w:r>
        <w:r>
          <w:rPr>
            <w:noProof/>
            <w:webHidden/>
          </w:rPr>
          <w:t>547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22" w:history="1">
        <w:r w:rsidRPr="00CD0B56">
          <w:rPr>
            <w:rStyle w:val="Hyperlink"/>
            <w:noProof/>
          </w:rPr>
          <w:t>2.1.1454</w:t>
        </w:r>
        <w:r>
          <w:rPr>
            <w:rFonts w:asciiTheme="minorHAnsi" w:eastAsiaTheme="minorEastAsia" w:hAnsiTheme="minorHAnsi" w:cstheme="minorBidi"/>
            <w:noProof/>
            <w:sz w:val="22"/>
            <w:szCs w:val="22"/>
          </w:rPr>
          <w:tab/>
        </w:r>
        <w:r w:rsidRPr="00CD0B56">
          <w:rPr>
            <w:rStyle w:val="Hyperlink"/>
            <w:noProof/>
          </w:rPr>
          <w:t>Part 1 Section 21.2.2.56, errBarType (Error Bar Type)</w:t>
        </w:r>
        <w:r>
          <w:rPr>
            <w:noProof/>
            <w:webHidden/>
          </w:rPr>
          <w:tab/>
        </w:r>
        <w:r>
          <w:rPr>
            <w:noProof/>
            <w:webHidden/>
          </w:rPr>
          <w:fldChar w:fldCharType="begin"/>
        </w:r>
        <w:r>
          <w:rPr>
            <w:noProof/>
            <w:webHidden/>
          </w:rPr>
          <w:instrText xml:space="preserve"> PAGEREF _Toc12261522 \h </w:instrText>
        </w:r>
        <w:r>
          <w:rPr>
            <w:noProof/>
            <w:webHidden/>
          </w:rPr>
        </w:r>
        <w:r>
          <w:rPr>
            <w:noProof/>
            <w:webHidden/>
          </w:rPr>
          <w:fldChar w:fldCharType="separate"/>
        </w:r>
        <w:r>
          <w:rPr>
            <w:noProof/>
            <w:webHidden/>
          </w:rPr>
          <w:t>547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23" w:history="1">
        <w:r w:rsidRPr="00CD0B56">
          <w:rPr>
            <w:rStyle w:val="Hyperlink"/>
            <w:noProof/>
          </w:rPr>
          <w:t>2.1.1455</w:t>
        </w:r>
        <w:r>
          <w:rPr>
            <w:rFonts w:asciiTheme="minorHAnsi" w:eastAsiaTheme="minorEastAsia" w:hAnsiTheme="minorHAnsi" w:cstheme="minorBidi"/>
            <w:noProof/>
            <w:sz w:val="22"/>
            <w:szCs w:val="22"/>
          </w:rPr>
          <w:tab/>
        </w:r>
        <w:r w:rsidRPr="00CD0B56">
          <w:rPr>
            <w:rStyle w:val="Hyperlink"/>
            <w:noProof/>
          </w:rPr>
          <w:t>Part 1 Section 21.2.2.57, errDir (Error Bar Direction)</w:t>
        </w:r>
        <w:r>
          <w:rPr>
            <w:noProof/>
            <w:webHidden/>
          </w:rPr>
          <w:tab/>
        </w:r>
        <w:r>
          <w:rPr>
            <w:noProof/>
            <w:webHidden/>
          </w:rPr>
          <w:fldChar w:fldCharType="begin"/>
        </w:r>
        <w:r>
          <w:rPr>
            <w:noProof/>
            <w:webHidden/>
          </w:rPr>
          <w:instrText xml:space="preserve"> PAGEREF _Toc12261523 \h </w:instrText>
        </w:r>
        <w:r>
          <w:rPr>
            <w:noProof/>
            <w:webHidden/>
          </w:rPr>
        </w:r>
        <w:r>
          <w:rPr>
            <w:noProof/>
            <w:webHidden/>
          </w:rPr>
          <w:fldChar w:fldCharType="separate"/>
        </w:r>
        <w:r>
          <w:rPr>
            <w:noProof/>
            <w:webHidden/>
          </w:rPr>
          <w:t>547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24" w:history="1">
        <w:r w:rsidRPr="00CD0B56">
          <w:rPr>
            <w:rStyle w:val="Hyperlink"/>
            <w:noProof/>
          </w:rPr>
          <w:t>2.1.1456</w:t>
        </w:r>
        <w:r>
          <w:rPr>
            <w:rFonts w:asciiTheme="minorHAnsi" w:eastAsiaTheme="minorEastAsia" w:hAnsiTheme="minorHAnsi" w:cstheme="minorBidi"/>
            <w:noProof/>
            <w:sz w:val="22"/>
            <w:szCs w:val="22"/>
          </w:rPr>
          <w:tab/>
        </w:r>
        <w:r w:rsidRPr="00CD0B56">
          <w:rPr>
            <w:rStyle w:val="Hyperlink"/>
            <w:noProof/>
          </w:rPr>
          <w:t>Part 1 Section 21.2.2.58, errValType (Error Bar Value Type)</w:t>
        </w:r>
        <w:r>
          <w:rPr>
            <w:noProof/>
            <w:webHidden/>
          </w:rPr>
          <w:tab/>
        </w:r>
        <w:r>
          <w:rPr>
            <w:noProof/>
            <w:webHidden/>
          </w:rPr>
          <w:fldChar w:fldCharType="begin"/>
        </w:r>
        <w:r>
          <w:rPr>
            <w:noProof/>
            <w:webHidden/>
          </w:rPr>
          <w:instrText xml:space="preserve"> PAGEREF _Toc12261524 \h </w:instrText>
        </w:r>
        <w:r>
          <w:rPr>
            <w:noProof/>
            <w:webHidden/>
          </w:rPr>
        </w:r>
        <w:r>
          <w:rPr>
            <w:noProof/>
            <w:webHidden/>
          </w:rPr>
          <w:fldChar w:fldCharType="separate"/>
        </w:r>
        <w:r>
          <w:rPr>
            <w:noProof/>
            <w:webHidden/>
          </w:rPr>
          <w:t>548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25" w:history="1">
        <w:r w:rsidRPr="00CD0B56">
          <w:rPr>
            <w:rStyle w:val="Hyperlink"/>
            <w:noProof/>
          </w:rPr>
          <w:t>2.1.1457</w:t>
        </w:r>
        <w:r>
          <w:rPr>
            <w:rFonts w:asciiTheme="minorHAnsi" w:eastAsiaTheme="minorEastAsia" w:hAnsiTheme="minorHAnsi" w:cstheme="minorBidi"/>
            <w:noProof/>
            <w:sz w:val="22"/>
            <w:szCs w:val="22"/>
          </w:rPr>
          <w:tab/>
        </w:r>
        <w:r w:rsidRPr="00CD0B56">
          <w:rPr>
            <w:rStyle w:val="Hyperlink"/>
            <w:noProof/>
          </w:rPr>
          <w:t>Part 1 Section 21.2.2.59, evenFooter (Even Footer)</w:t>
        </w:r>
        <w:r>
          <w:rPr>
            <w:noProof/>
            <w:webHidden/>
          </w:rPr>
          <w:tab/>
        </w:r>
        <w:r>
          <w:rPr>
            <w:noProof/>
            <w:webHidden/>
          </w:rPr>
          <w:fldChar w:fldCharType="begin"/>
        </w:r>
        <w:r>
          <w:rPr>
            <w:noProof/>
            <w:webHidden/>
          </w:rPr>
          <w:instrText xml:space="preserve"> PAGEREF _Toc12261525 \h </w:instrText>
        </w:r>
        <w:r>
          <w:rPr>
            <w:noProof/>
            <w:webHidden/>
          </w:rPr>
        </w:r>
        <w:r>
          <w:rPr>
            <w:noProof/>
            <w:webHidden/>
          </w:rPr>
          <w:fldChar w:fldCharType="separate"/>
        </w:r>
        <w:r>
          <w:rPr>
            <w:noProof/>
            <w:webHidden/>
          </w:rPr>
          <w:t>548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26" w:history="1">
        <w:r w:rsidRPr="00CD0B56">
          <w:rPr>
            <w:rStyle w:val="Hyperlink"/>
            <w:noProof/>
          </w:rPr>
          <w:t>2.1.1458</w:t>
        </w:r>
        <w:r>
          <w:rPr>
            <w:rFonts w:asciiTheme="minorHAnsi" w:eastAsiaTheme="minorEastAsia" w:hAnsiTheme="minorHAnsi" w:cstheme="minorBidi"/>
            <w:noProof/>
            <w:sz w:val="22"/>
            <w:szCs w:val="22"/>
          </w:rPr>
          <w:tab/>
        </w:r>
        <w:r w:rsidRPr="00CD0B56">
          <w:rPr>
            <w:rStyle w:val="Hyperlink"/>
            <w:noProof/>
          </w:rPr>
          <w:t>Part 1 Section 21.2.2.60, evenHeader (Even Header)</w:t>
        </w:r>
        <w:r>
          <w:rPr>
            <w:noProof/>
            <w:webHidden/>
          </w:rPr>
          <w:tab/>
        </w:r>
        <w:r>
          <w:rPr>
            <w:noProof/>
            <w:webHidden/>
          </w:rPr>
          <w:fldChar w:fldCharType="begin"/>
        </w:r>
        <w:r>
          <w:rPr>
            <w:noProof/>
            <w:webHidden/>
          </w:rPr>
          <w:instrText xml:space="preserve"> PAGEREF _Toc12261526 \h </w:instrText>
        </w:r>
        <w:r>
          <w:rPr>
            <w:noProof/>
            <w:webHidden/>
          </w:rPr>
        </w:r>
        <w:r>
          <w:rPr>
            <w:noProof/>
            <w:webHidden/>
          </w:rPr>
          <w:fldChar w:fldCharType="separate"/>
        </w:r>
        <w:r>
          <w:rPr>
            <w:noProof/>
            <w:webHidden/>
          </w:rPr>
          <w:t>548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27" w:history="1">
        <w:r w:rsidRPr="00CD0B56">
          <w:rPr>
            <w:rStyle w:val="Hyperlink"/>
            <w:noProof/>
          </w:rPr>
          <w:t>2.1.1459</w:t>
        </w:r>
        <w:r>
          <w:rPr>
            <w:rFonts w:asciiTheme="minorHAnsi" w:eastAsiaTheme="minorEastAsia" w:hAnsiTheme="minorHAnsi" w:cstheme="minorBidi"/>
            <w:noProof/>
            <w:sz w:val="22"/>
            <w:szCs w:val="22"/>
          </w:rPr>
          <w:tab/>
        </w:r>
        <w:r w:rsidRPr="00CD0B56">
          <w:rPr>
            <w:rStyle w:val="Hyperlink"/>
            <w:noProof/>
          </w:rPr>
          <w:t>Part 1 Section 21.2.2.61, explosion (Explosion)</w:t>
        </w:r>
        <w:r>
          <w:rPr>
            <w:noProof/>
            <w:webHidden/>
          </w:rPr>
          <w:tab/>
        </w:r>
        <w:r>
          <w:rPr>
            <w:noProof/>
            <w:webHidden/>
          </w:rPr>
          <w:fldChar w:fldCharType="begin"/>
        </w:r>
        <w:r>
          <w:rPr>
            <w:noProof/>
            <w:webHidden/>
          </w:rPr>
          <w:instrText xml:space="preserve"> PAGEREF _Toc12261527 \h </w:instrText>
        </w:r>
        <w:r>
          <w:rPr>
            <w:noProof/>
            <w:webHidden/>
          </w:rPr>
        </w:r>
        <w:r>
          <w:rPr>
            <w:noProof/>
            <w:webHidden/>
          </w:rPr>
          <w:fldChar w:fldCharType="separate"/>
        </w:r>
        <w:r>
          <w:rPr>
            <w:noProof/>
            <w:webHidden/>
          </w:rPr>
          <w:t>548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28" w:history="1">
        <w:r w:rsidRPr="00CD0B56">
          <w:rPr>
            <w:rStyle w:val="Hyperlink"/>
            <w:noProof/>
          </w:rPr>
          <w:t>2.1.1460</w:t>
        </w:r>
        <w:r>
          <w:rPr>
            <w:rFonts w:asciiTheme="minorHAnsi" w:eastAsiaTheme="minorEastAsia" w:hAnsiTheme="minorHAnsi" w:cstheme="minorBidi"/>
            <w:noProof/>
            <w:sz w:val="22"/>
            <w:szCs w:val="22"/>
          </w:rPr>
          <w:tab/>
        </w:r>
        <w:r w:rsidRPr="00CD0B56">
          <w:rPr>
            <w:rStyle w:val="Hyperlink"/>
            <w:noProof/>
          </w:rPr>
          <w:t>Part 1 Section 21.2.2.63, externalData (External Data Relationship)</w:t>
        </w:r>
        <w:r>
          <w:rPr>
            <w:noProof/>
            <w:webHidden/>
          </w:rPr>
          <w:tab/>
        </w:r>
        <w:r>
          <w:rPr>
            <w:noProof/>
            <w:webHidden/>
          </w:rPr>
          <w:fldChar w:fldCharType="begin"/>
        </w:r>
        <w:r>
          <w:rPr>
            <w:noProof/>
            <w:webHidden/>
          </w:rPr>
          <w:instrText xml:space="preserve"> PAGEREF _Toc12261528 \h </w:instrText>
        </w:r>
        <w:r>
          <w:rPr>
            <w:noProof/>
            <w:webHidden/>
          </w:rPr>
        </w:r>
        <w:r>
          <w:rPr>
            <w:noProof/>
            <w:webHidden/>
          </w:rPr>
          <w:fldChar w:fldCharType="separate"/>
        </w:r>
        <w:r>
          <w:rPr>
            <w:noProof/>
            <w:webHidden/>
          </w:rPr>
          <w:t>548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29" w:history="1">
        <w:r w:rsidRPr="00CD0B56">
          <w:rPr>
            <w:rStyle w:val="Hyperlink"/>
            <w:noProof/>
          </w:rPr>
          <w:t>2.1.1461</w:t>
        </w:r>
        <w:r>
          <w:rPr>
            <w:rFonts w:asciiTheme="minorHAnsi" w:eastAsiaTheme="minorEastAsia" w:hAnsiTheme="minorHAnsi" w:cstheme="minorBidi"/>
            <w:noProof/>
            <w:sz w:val="22"/>
            <w:szCs w:val="22"/>
          </w:rPr>
          <w:tab/>
        </w:r>
        <w:r w:rsidRPr="00CD0B56">
          <w:rPr>
            <w:rStyle w:val="Hyperlink"/>
            <w:noProof/>
          </w:rPr>
          <w:t>Part 1 Section 21.2.2.65, f (Formula)</w:t>
        </w:r>
        <w:r>
          <w:rPr>
            <w:noProof/>
            <w:webHidden/>
          </w:rPr>
          <w:tab/>
        </w:r>
        <w:r>
          <w:rPr>
            <w:noProof/>
            <w:webHidden/>
          </w:rPr>
          <w:fldChar w:fldCharType="begin"/>
        </w:r>
        <w:r>
          <w:rPr>
            <w:noProof/>
            <w:webHidden/>
          </w:rPr>
          <w:instrText xml:space="preserve"> PAGEREF _Toc12261529 \h </w:instrText>
        </w:r>
        <w:r>
          <w:rPr>
            <w:noProof/>
            <w:webHidden/>
          </w:rPr>
        </w:r>
        <w:r>
          <w:rPr>
            <w:noProof/>
            <w:webHidden/>
          </w:rPr>
          <w:fldChar w:fldCharType="separate"/>
        </w:r>
        <w:r>
          <w:rPr>
            <w:noProof/>
            <w:webHidden/>
          </w:rPr>
          <w:t>548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30" w:history="1">
        <w:r w:rsidRPr="00CD0B56">
          <w:rPr>
            <w:rStyle w:val="Hyperlink"/>
            <w:noProof/>
          </w:rPr>
          <w:t>2.1.1462</w:t>
        </w:r>
        <w:r>
          <w:rPr>
            <w:rFonts w:asciiTheme="minorHAnsi" w:eastAsiaTheme="minorEastAsia" w:hAnsiTheme="minorHAnsi" w:cstheme="minorBidi"/>
            <w:noProof/>
            <w:sz w:val="22"/>
            <w:szCs w:val="22"/>
          </w:rPr>
          <w:tab/>
        </w:r>
        <w:r w:rsidRPr="00CD0B56">
          <w:rPr>
            <w:rStyle w:val="Hyperlink"/>
            <w:noProof/>
          </w:rPr>
          <w:t>Part 1 Section 21.2.2.66, firstFooter (First Footer)</w:t>
        </w:r>
        <w:r>
          <w:rPr>
            <w:noProof/>
            <w:webHidden/>
          </w:rPr>
          <w:tab/>
        </w:r>
        <w:r>
          <w:rPr>
            <w:noProof/>
            <w:webHidden/>
          </w:rPr>
          <w:fldChar w:fldCharType="begin"/>
        </w:r>
        <w:r>
          <w:rPr>
            <w:noProof/>
            <w:webHidden/>
          </w:rPr>
          <w:instrText xml:space="preserve"> PAGEREF _Toc12261530 \h </w:instrText>
        </w:r>
        <w:r>
          <w:rPr>
            <w:noProof/>
            <w:webHidden/>
          </w:rPr>
        </w:r>
        <w:r>
          <w:rPr>
            <w:noProof/>
            <w:webHidden/>
          </w:rPr>
          <w:fldChar w:fldCharType="separate"/>
        </w:r>
        <w:r>
          <w:rPr>
            <w:noProof/>
            <w:webHidden/>
          </w:rPr>
          <w:t>548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31" w:history="1">
        <w:r w:rsidRPr="00CD0B56">
          <w:rPr>
            <w:rStyle w:val="Hyperlink"/>
            <w:noProof/>
          </w:rPr>
          <w:t>2.1.1463</w:t>
        </w:r>
        <w:r>
          <w:rPr>
            <w:rFonts w:asciiTheme="minorHAnsi" w:eastAsiaTheme="minorEastAsia" w:hAnsiTheme="minorHAnsi" w:cstheme="minorBidi"/>
            <w:noProof/>
            <w:sz w:val="22"/>
            <w:szCs w:val="22"/>
          </w:rPr>
          <w:tab/>
        </w:r>
        <w:r w:rsidRPr="00CD0B56">
          <w:rPr>
            <w:rStyle w:val="Hyperlink"/>
            <w:noProof/>
          </w:rPr>
          <w:t>Part 1 Section 21.2.2.67, firstHeader (First Header)</w:t>
        </w:r>
        <w:r>
          <w:rPr>
            <w:noProof/>
            <w:webHidden/>
          </w:rPr>
          <w:tab/>
        </w:r>
        <w:r>
          <w:rPr>
            <w:noProof/>
            <w:webHidden/>
          </w:rPr>
          <w:fldChar w:fldCharType="begin"/>
        </w:r>
        <w:r>
          <w:rPr>
            <w:noProof/>
            <w:webHidden/>
          </w:rPr>
          <w:instrText xml:space="preserve"> PAGEREF _Toc12261531 \h </w:instrText>
        </w:r>
        <w:r>
          <w:rPr>
            <w:noProof/>
            <w:webHidden/>
          </w:rPr>
        </w:r>
        <w:r>
          <w:rPr>
            <w:noProof/>
            <w:webHidden/>
          </w:rPr>
          <w:fldChar w:fldCharType="separate"/>
        </w:r>
        <w:r>
          <w:rPr>
            <w:noProof/>
            <w:webHidden/>
          </w:rPr>
          <w:t>549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32" w:history="1">
        <w:r w:rsidRPr="00CD0B56">
          <w:rPr>
            <w:rStyle w:val="Hyperlink"/>
            <w:noProof/>
          </w:rPr>
          <w:t>2.1.1464</w:t>
        </w:r>
        <w:r>
          <w:rPr>
            <w:rFonts w:asciiTheme="minorHAnsi" w:eastAsiaTheme="minorEastAsia" w:hAnsiTheme="minorHAnsi" w:cstheme="minorBidi"/>
            <w:noProof/>
            <w:sz w:val="22"/>
            <w:szCs w:val="22"/>
          </w:rPr>
          <w:tab/>
        </w:r>
        <w:r w:rsidRPr="00CD0B56">
          <w:rPr>
            <w:rStyle w:val="Hyperlink"/>
            <w:noProof/>
          </w:rPr>
          <w:t>Part 1 Section 21.2.2.69, floor (Floor)</w:t>
        </w:r>
        <w:r>
          <w:rPr>
            <w:noProof/>
            <w:webHidden/>
          </w:rPr>
          <w:tab/>
        </w:r>
        <w:r>
          <w:rPr>
            <w:noProof/>
            <w:webHidden/>
          </w:rPr>
          <w:fldChar w:fldCharType="begin"/>
        </w:r>
        <w:r>
          <w:rPr>
            <w:noProof/>
            <w:webHidden/>
          </w:rPr>
          <w:instrText xml:space="preserve"> PAGEREF _Toc12261532 \h </w:instrText>
        </w:r>
        <w:r>
          <w:rPr>
            <w:noProof/>
            <w:webHidden/>
          </w:rPr>
        </w:r>
        <w:r>
          <w:rPr>
            <w:noProof/>
            <w:webHidden/>
          </w:rPr>
          <w:fldChar w:fldCharType="separate"/>
        </w:r>
        <w:r>
          <w:rPr>
            <w:noProof/>
            <w:webHidden/>
          </w:rPr>
          <w:t>549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33" w:history="1">
        <w:r w:rsidRPr="00CD0B56">
          <w:rPr>
            <w:rStyle w:val="Hyperlink"/>
            <w:noProof/>
          </w:rPr>
          <w:t>2.1.1465</w:t>
        </w:r>
        <w:r>
          <w:rPr>
            <w:rFonts w:asciiTheme="minorHAnsi" w:eastAsiaTheme="minorEastAsia" w:hAnsiTheme="minorHAnsi" w:cstheme="minorBidi"/>
            <w:noProof/>
            <w:sz w:val="22"/>
            <w:szCs w:val="22"/>
          </w:rPr>
          <w:tab/>
        </w:r>
        <w:r w:rsidRPr="00CD0B56">
          <w:rPr>
            <w:rStyle w:val="Hyperlink"/>
            <w:noProof/>
          </w:rPr>
          <w:t>Part 1 Section 21.2.2.70, fmtId (Format ID)</w:t>
        </w:r>
        <w:r>
          <w:rPr>
            <w:noProof/>
            <w:webHidden/>
          </w:rPr>
          <w:tab/>
        </w:r>
        <w:r>
          <w:rPr>
            <w:noProof/>
            <w:webHidden/>
          </w:rPr>
          <w:fldChar w:fldCharType="begin"/>
        </w:r>
        <w:r>
          <w:rPr>
            <w:noProof/>
            <w:webHidden/>
          </w:rPr>
          <w:instrText xml:space="preserve"> PAGEREF _Toc12261533 \h </w:instrText>
        </w:r>
        <w:r>
          <w:rPr>
            <w:noProof/>
            <w:webHidden/>
          </w:rPr>
        </w:r>
        <w:r>
          <w:rPr>
            <w:noProof/>
            <w:webHidden/>
          </w:rPr>
          <w:fldChar w:fldCharType="separate"/>
        </w:r>
        <w:r>
          <w:rPr>
            <w:noProof/>
            <w:webHidden/>
          </w:rPr>
          <w:t>549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34" w:history="1">
        <w:r w:rsidRPr="00CD0B56">
          <w:rPr>
            <w:rStyle w:val="Hyperlink"/>
            <w:noProof/>
          </w:rPr>
          <w:t>2.1.1466</w:t>
        </w:r>
        <w:r>
          <w:rPr>
            <w:rFonts w:asciiTheme="minorHAnsi" w:eastAsiaTheme="minorEastAsia" w:hAnsiTheme="minorHAnsi" w:cstheme="minorBidi"/>
            <w:noProof/>
            <w:sz w:val="22"/>
            <w:szCs w:val="22"/>
          </w:rPr>
          <w:tab/>
        </w:r>
        <w:r w:rsidRPr="00CD0B56">
          <w:rPr>
            <w:rStyle w:val="Hyperlink"/>
            <w:noProof/>
          </w:rPr>
          <w:t>Part 1 Section 21.2.2.72, formatting (Formatting)</w:t>
        </w:r>
        <w:r>
          <w:rPr>
            <w:noProof/>
            <w:webHidden/>
          </w:rPr>
          <w:tab/>
        </w:r>
        <w:r>
          <w:rPr>
            <w:noProof/>
            <w:webHidden/>
          </w:rPr>
          <w:fldChar w:fldCharType="begin"/>
        </w:r>
        <w:r>
          <w:rPr>
            <w:noProof/>
            <w:webHidden/>
          </w:rPr>
          <w:instrText xml:space="preserve"> PAGEREF _Toc12261534 \h </w:instrText>
        </w:r>
        <w:r>
          <w:rPr>
            <w:noProof/>
            <w:webHidden/>
          </w:rPr>
        </w:r>
        <w:r>
          <w:rPr>
            <w:noProof/>
            <w:webHidden/>
          </w:rPr>
          <w:fldChar w:fldCharType="separate"/>
        </w:r>
        <w:r>
          <w:rPr>
            <w:noProof/>
            <w:webHidden/>
          </w:rPr>
          <w:t>549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35" w:history="1">
        <w:r w:rsidRPr="00CD0B56">
          <w:rPr>
            <w:rStyle w:val="Hyperlink"/>
            <w:noProof/>
          </w:rPr>
          <w:t>2.1.1467</w:t>
        </w:r>
        <w:r>
          <w:rPr>
            <w:rFonts w:asciiTheme="minorHAnsi" w:eastAsiaTheme="minorEastAsia" w:hAnsiTheme="minorHAnsi" w:cstheme="minorBidi"/>
            <w:noProof/>
            <w:sz w:val="22"/>
            <w:szCs w:val="22"/>
          </w:rPr>
          <w:tab/>
        </w:r>
        <w:r w:rsidRPr="00CD0B56">
          <w:rPr>
            <w:rStyle w:val="Hyperlink"/>
            <w:noProof/>
          </w:rPr>
          <w:t>Part 1 Section 21.2.2.73, forward (Forward)</w:t>
        </w:r>
        <w:r>
          <w:rPr>
            <w:noProof/>
            <w:webHidden/>
          </w:rPr>
          <w:tab/>
        </w:r>
        <w:r>
          <w:rPr>
            <w:noProof/>
            <w:webHidden/>
          </w:rPr>
          <w:fldChar w:fldCharType="begin"/>
        </w:r>
        <w:r>
          <w:rPr>
            <w:noProof/>
            <w:webHidden/>
          </w:rPr>
          <w:instrText xml:space="preserve"> PAGEREF _Toc12261535 \h </w:instrText>
        </w:r>
        <w:r>
          <w:rPr>
            <w:noProof/>
            <w:webHidden/>
          </w:rPr>
        </w:r>
        <w:r>
          <w:rPr>
            <w:noProof/>
            <w:webHidden/>
          </w:rPr>
          <w:fldChar w:fldCharType="separate"/>
        </w:r>
        <w:r>
          <w:rPr>
            <w:noProof/>
            <w:webHidden/>
          </w:rPr>
          <w:t>549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36" w:history="1">
        <w:r w:rsidRPr="00CD0B56">
          <w:rPr>
            <w:rStyle w:val="Hyperlink"/>
            <w:noProof/>
          </w:rPr>
          <w:t>2.1.1468</w:t>
        </w:r>
        <w:r>
          <w:rPr>
            <w:rFonts w:asciiTheme="minorHAnsi" w:eastAsiaTheme="minorEastAsia" w:hAnsiTheme="minorHAnsi" w:cstheme="minorBidi"/>
            <w:noProof/>
            <w:sz w:val="22"/>
            <w:szCs w:val="22"/>
          </w:rPr>
          <w:tab/>
        </w:r>
        <w:r w:rsidRPr="00CD0B56">
          <w:rPr>
            <w:rStyle w:val="Hyperlink"/>
            <w:noProof/>
          </w:rPr>
          <w:t>Part 1 Section 21.2.2.74, gapDepth (Gap Depth)</w:t>
        </w:r>
        <w:r>
          <w:rPr>
            <w:noProof/>
            <w:webHidden/>
          </w:rPr>
          <w:tab/>
        </w:r>
        <w:r>
          <w:rPr>
            <w:noProof/>
            <w:webHidden/>
          </w:rPr>
          <w:fldChar w:fldCharType="begin"/>
        </w:r>
        <w:r>
          <w:rPr>
            <w:noProof/>
            <w:webHidden/>
          </w:rPr>
          <w:instrText xml:space="preserve"> PAGEREF _Toc12261536 \h </w:instrText>
        </w:r>
        <w:r>
          <w:rPr>
            <w:noProof/>
            <w:webHidden/>
          </w:rPr>
        </w:r>
        <w:r>
          <w:rPr>
            <w:noProof/>
            <w:webHidden/>
          </w:rPr>
          <w:fldChar w:fldCharType="separate"/>
        </w:r>
        <w:r>
          <w:rPr>
            <w:noProof/>
            <w:webHidden/>
          </w:rPr>
          <w:t>549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37" w:history="1">
        <w:r w:rsidRPr="00CD0B56">
          <w:rPr>
            <w:rStyle w:val="Hyperlink"/>
            <w:noProof/>
          </w:rPr>
          <w:t>2.1.1469</w:t>
        </w:r>
        <w:r>
          <w:rPr>
            <w:rFonts w:asciiTheme="minorHAnsi" w:eastAsiaTheme="minorEastAsia" w:hAnsiTheme="minorHAnsi" w:cstheme="minorBidi"/>
            <w:noProof/>
            <w:sz w:val="22"/>
            <w:szCs w:val="22"/>
          </w:rPr>
          <w:tab/>
        </w:r>
        <w:r w:rsidRPr="00CD0B56">
          <w:rPr>
            <w:rStyle w:val="Hyperlink"/>
            <w:noProof/>
          </w:rPr>
          <w:t>Part 1 Section 21.2.2.75, gapWidth (Gap Width)</w:t>
        </w:r>
        <w:r>
          <w:rPr>
            <w:noProof/>
            <w:webHidden/>
          </w:rPr>
          <w:tab/>
        </w:r>
        <w:r>
          <w:rPr>
            <w:noProof/>
            <w:webHidden/>
          </w:rPr>
          <w:fldChar w:fldCharType="begin"/>
        </w:r>
        <w:r>
          <w:rPr>
            <w:noProof/>
            <w:webHidden/>
          </w:rPr>
          <w:instrText xml:space="preserve"> PAGEREF _Toc12261537 \h </w:instrText>
        </w:r>
        <w:r>
          <w:rPr>
            <w:noProof/>
            <w:webHidden/>
          </w:rPr>
        </w:r>
        <w:r>
          <w:rPr>
            <w:noProof/>
            <w:webHidden/>
          </w:rPr>
          <w:fldChar w:fldCharType="separate"/>
        </w:r>
        <w:r>
          <w:rPr>
            <w:noProof/>
            <w:webHidden/>
          </w:rPr>
          <w:t>550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38" w:history="1">
        <w:r w:rsidRPr="00CD0B56">
          <w:rPr>
            <w:rStyle w:val="Hyperlink"/>
            <w:noProof/>
          </w:rPr>
          <w:t>2.1.1470</w:t>
        </w:r>
        <w:r>
          <w:rPr>
            <w:rFonts w:asciiTheme="minorHAnsi" w:eastAsiaTheme="minorEastAsia" w:hAnsiTheme="minorHAnsi" w:cstheme="minorBidi"/>
            <w:noProof/>
            <w:sz w:val="22"/>
            <w:szCs w:val="22"/>
          </w:rPr>
          <w:tab/>
        </w:r>
        <w:r w:rsidRPr="00CD0B56">
          <w:rPr>
            <w:rStyle w:val="Hyperlink"/>
            <w:noProof/>
          </w:rPr>
          <w:t>Part 1 Section 21.2.2.76, grouping (Grouping)</w:t>
        </w:r>
        <w:r>
          <w:rPr>
            <w:noProof/>
            <w:webHidden/>
          </w:rPr>
          <w:tab/>
        </w:r>
        <w:r>
          <w:rPr>
            <w:noProof/>
            <w:webHidden/>
          </w:rPr>
          <w:fldChar w:fldCharType="begin"/>
        </w:r>
        <w:r>
          <w:rPr>
            <w:noProof/>
            <w:webHidden/>
          </w:rPr>
          <w:instrText xml:space="preserve"> PAGEREF _Toc12261538 \h </w:instrText>
        </w:r>
        <w:r>
          <w:rPr>
            <w:noProof/>
            <w:webHidden/>
          </w:rPr>
        </w:r>
        <w:r>
          <w:rPr>
            <w:noProof/>
            <w:webHidden/>
          </w:rPr>
          <w:fldChar w:fldCharType="separate"/>
        </w:r>
        <w:r>
          <w:rPr>
            <w:noProof/>
            <w:webHidden/>
          </w:rPr>
          <w:t>550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39" w:history="1">
        <w:r w:rsidRPr="00CD0B56">
          <w:rPr>
            <w:rStyle w:val="Hyperlink"/>
            <w:noProof/>
          </w:rPr>
          <w:t>2.1.1471</w:t>
        </w:r>
        <w:r>
          <w:rPr>
            <w:rFonts w:asciiTheme="minorHAnsi" w:eastAsiaTheme="minorEastAsia" w:hAnsiTheme="minorHAnsi" w:cstheme="minorBidi"/>
            <w:noProof/>
            <w:sz w:val="22"/>
            <w:szCs w:val="22"/>
          </w:rPr>
          <w:tab/>
        </w:r>
        <w:r w:rsidRPr="00CD0B56">
          <w:rPr>
            <w:rStyle w:val="Hyperlink"/>
            <w:noProof/>
          </w:rPr>
          <w:t>Part 1 Section 21.2.2.78, h (Height)</w:t>
        </w:r>
        <w:r>
          <w:rPr>
            <w:noProof/>
            <w:webHidden/>
          </w:rPr>
          <w:tab/>
        </w:r>
        <w:r>
          <w:rPr>
            <w:noProof/>
            <w:webHidden/>
          </w:rPr>
          <w:fldChar w:fldCharType="begin"/>
        </w:r>
        <w:r>
          <w:rPr>
            <w:noProof/>
            <w:webHidden/>
          </w:rPr>
          <w:instrText xml:space="preserve"> PAGEREF _Toc12261539 \h </w:instrText>
        </w:r>
        <w:r>
          <w:rPr>
            <w:noProof/>
            <w:webHidden/>
          </w:rPr>
        </w:r>
        <w:r>
          <w:rPr>
            <w:noProof/>
            <w:webHidden/>
          </w:rPr>
          <w:fldChar w:fldCharType="separate"/>
        </w:r>
        <w:r>
          <w:rPr>
            <w:noProof/>
            <w:webHidden/>
          </w:rPr>
          <w:t>550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40" w:history="1">
        <w:r w:rsidRPr="00CD0B56">
          <w:rPr>
            <w:rStyle w:val="Hyperlink"/>
            <w:noProof/>
          </w:rPr>
          <w:t>2.1.1472</w:t>
        </w:r>
        <w:r>
          <w:rPr>
            <w:rFonts w:asciiTheme="minorHAnsi" w:eastAsiaTheme="minorEastAsia" w:hAnsiTheme="minorHAnsi" w:cstheme="minorBidi"/>
            <w:noProof/>
            <w:sz w:val="22"/>
            <w:szCs w:val="22"/>
          </w:rPr>
          <w:tab/>
        </w:r>
        <w:r w:rsidRPr="00CD0B56">
          <w:rPr>
            <w:rStyle w:val="Hyperlink"/>
            <w:noProof/>
          </w:rPr>
          <w:t>Part 1 Section 21.2.2.79, headerFooter (Header and Footer)</w:t>
        </w:r>
        <w:r>
          <w:rPr>
            <w:noProof/>
            <w:webHidden/>
          </w:rPr>
          <w:tab/>
        </w:r>
        <w:r>
          <w:rPr>
            <w:noProof/>
            <w:webHidden/>
          </w:rPr>
          <w:fldChar w:fldCharType="begin"/>
        </w:r>
        <w:r>
          <w:rPr>
            <w:noProof/>
            <w:webHidden/>
          </w:rPr>
          <w:instrText xml:space="preserve"> PAGEREF _Toc12261540 \h </w:instrText>
        </w:r>
        <w:r>
          <w:rPr>
            <w:noProof/>
            <w:webHidden/>
          </w:rPr>
        </w:r>
        <w:r>
          <w:rPr>
            <w:noProof/>
            <w:webHidden/>
          </w:rPr>
          <w:fldChar w:fldCharType="separate"/>
        </w:r>
        <w:r>
          <w:rPr>
            <w:noProof/>
            <w:webHidden/>
          </w:rPr>
          <w:t>550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41" w:history="1">
        <w:r w:rsidRPr="00CD0B56">
          <w:rPr>
            <w:rStyle w:val="Hyperlink"/>
            <w:noProof/>
          </w:rPr>
          <w:t>2.1.1473</w:t>
        </w:r>
        <w:r>
          <w:rPr>
            <w:rFonts w:asciiTheme="minorHAnsi" w:eastAsiaTheme="minorEastAsia" w:hAnsiTheme="minorHAnsi" w:cstheme="minorBidi"/>
            <w:noProof/>
            <w:sz w:val="22"/>
            <w:szCs w:val="22"/>
          </w:rPr>
          <w:tab/>
        </w:r>
        <w:r w:rsidRPr="00CD0B56">
          <w:rPr>
            <w:rStyle w:val="Hyperlink"/>
            <w:noProof/>
          </w:rPr>
          <w:t>Part 1 Section 21.2.2.81, hMode (Height Mode)</w:t>
        </w:r>
        <w:r>
          <w:rPr>
            <w:noProof/>
            <w:webHidden/>
          </w:rPr>
          <w:tab/>
        </w:r>
        <w:r>
          <w:rPr>
            <w:noProof/>
            <w:webHidden/>
          </w:rPr>
          <w:fldChar w:fldCharType="begin"/>
        </w:r>
        <w:r>
          <w:rPr>
            <w:noProof/>
            <w:webHidden/>
          </w:rPr>
          <w:instrText xml:space="preserve"> PAGEREF _Toc12261541 \h </w:instrText>
        </w:r>
        <w:r>
          <w:rPr>
            <w:noProof/>
            <w:webHidden/>
          </w:rPr>
        </w:r>
        <w:r>
          <w:rPr>
            <w:noProof/>
            <w:webHidden/>
          </w:rPr>
          <w:fldChar w:fldCharType="separate"/>
        </w:r>
        <w:r>
          <w:rPr>
            <w:noProof/>
            <w:webHidden/>
          </w:rPr>
          <w:t>550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42" w:history="1">
        <w:r w:rsidRPr="00CD0B56">
          <w:rPr>
            <w:rStyle w:val="Hyperlink"/>
            <w:noProof/>
          </w:rPr>
          <w:t>2.1.1474</w:t>
        </w:r>
        <w:r>
          <w:rPr>
            <w:rFonts w:asciiTheme="minorHAnsi" w:eastAsiaTheme="minorEastAsia" w:hAnsiTheme="minorHAnsi" w:cstheme="minorBidi"/>
            <w:noProof/>
            <w:sz w:val="22"/>
            <w:szCs w:val="22"/>
          </w:rPr>
          <w:tab/>
        </w:r>
        <w:r w:rsidRPr="00CD0B56">
          <w:rPr>
            <w:rStyle w:val="Hyperlink"/>
            <w:noProof/>
          </w:rPr>
          <w:t>Part 1 Section 21.2.2.82, holeSize (Hole Size)</w:t>
        </w:r>
        <w:r>
          <w:rPr>
            <w:noProof/>
            <w:webHidden/>
          </w:rPr>
          <w:tab/>
        </w:r>
        <w:r>
          <w:rPr>
            <w:noProof/>
            <w:webHidden/>
          </w:rPr>
          <w:fldChar w:fldCharType="begin"/>
        </w:r>
        <w:r>
          <w:rPr>
            <w:noProof/>
            <w:webHidden/>
          </w:rPr>
          <w:instrText xml:space="preserve"> PAGEREF _Toc12261542 \h </w:instrText>
        </w:r>
        <w:r>
          <w:rPr>
            <w:noProof/>
            <w:webHidden/>
          </w:rPr>
        </w:r>
        <w:r>
          <w:rPr>
            <w:noProof/>
            <w:webHidden/>
          </w:rPr>
          <w:fldChar w:fldCharType="separate"/>
        </w:r>
        <w:r>
          <w:rPr>
            <w:noProof/>
            <w:webHidden/>
          </w:rPr>
          <w:t>551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43" w:history="1">
        <w:r w:rsidRPr="00CD0B56">
          <w:rPr>
            <w:rStyle w:val="Hyperlink"/>
            <w:noProof/>
          </w:rPr>
          <w:t>2.1.1475</w:t>
        </w:r>
        <w:r>
          <w:rPr>
            <w:rFonts w:asciiTheme="minorHAnsi" w:eastAsiaTheme="minorEastAsia" w:hAnsiTheme="minorHAnsi" w:cstheme="minorBidi"/>
            <w:noProof/>
            <w:sz w:val="22"/>
            <w:szCs w:val="22"/>
          </w:rPr>
          <w:tab/>
        </w:r>
        <w:r w:rsidRPr="00CD0B56">
          <w:rPr>
            <w:rStyle w:val="Hyperlink"/>
            <w:noProof/>
          </w:rPr>
          <w:t>Part 1 Section 21.2.2.83, hPercent (Height Percent)</w:t>
        </w:r>
        <w:r>
          <w:rPr>
            <w:noProof/>
            <w:webHidden/>
          </w:rPr>
          <w:tab/>
        </w:r>
        <w:r>
          <w:rPr>
            <w:noProof/>
            <w:webHidden/>
          </w:rPr>
          <w:fldChar w:fldCharType="begin"/>
        </w:r>
        <w:r>
          <w:rPr>
            <w:noProof/>
            <w:webHidden/>
          </w:rPr>
          <w:instrText xml:space="preserve"> PAGEREF _Toc12261543 \h </w:instrText>
        </w:r>
        <w:r>
          <w:rPr>
            <w:noProof/>
            <w:webHidden/>
          </w:rPr>
        </w:r>
        <w:r>
          <w:rPr>
            <w:noProof/>
            <w:webHidden/>
          </w:rPr>
          <w:fldChar w:fldCharType="separate"/>
        </w:r>
        <w:r>
          <w:rPr>
            <w:noProof/>
            <w:webHidden/>
          </w:rPr>
          <w:t>551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44" w:history="1">
        <w:r w:rsidRPr="00CD0B56">
          <w:rPr>
            <w:rStyle w:val="Hyperlink"/>
            <w:noProof/>
          </w:rPr>
          <w:t>2.1.1476</w:t>
        </w:r>
        <w:r>
          <w:rPr>
            <w:rFonts w:asciiTheme="minorHAnsi" w:eastAsiaTheme="minorEastAsia" w:hAnsiTheme="minorHAnsi" w:cstheme="minorBidi"/>
            <w:noProof/>
            <w:sz w:val="22"/>
            <w:szCs w:val="22"/>
          </w:rPr>
          <w:tab/>
        </w:r>
        <w:r w:rsidRPr="00CD0B56">
          <w:rPr>
            <w:rStyle w:val="Hyperlink"/>
            <w:noProof/>
          </w:rPr>
          <w:t>Part 1 Section 21.2.2.84, idx (Index)</w:t>
        </w:r>
        <w:r>
          <w:rPr>
            <w:noProof/>
            <w:webHidden/>
          </w:rPr>
          <w:tab/>
        </w:r>
        <w:r>
          <w:rPr>
            <w:noProof/>
            <w:webHidden/>
          </w:rPr>
          <w:fldChar w:fldCharType="begin"/>
        </w:r>
        <w:r>
          <w:rPr>
            <w:noProof/>
            <w:webHidden/>
          </w:rPr>
          <w:instrText xml:space="preserve"> PAGEREF _Toc12261544 \h </w:instrText>
        </w:r>
        <w:r>
          <w:rPr>
            <w:noProof/>
            <w:webHidden/>
          </w:rPr>
        </w:r>
        <w:r>
          <w:rPr>
            <w:noProof/>
            <w:webHidden/>
          </w:rPr>
          <w:fldChar w:fldCharType="separate"/>
        </w:r>
        <w:r>
          <w:rPr>
            <w:noProof/>
            <w:webHidden/>
          </w:rPr>
          <w:t>551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45" w:history="1">
        <w:r w:rsidRPr="00CD0B56">
          <w:rPr>
            <w:rStyle w:val="Hyperlink"/>
            <w:noProof/>
          </w:rPr>
          <w:t>2.1.1477</w:t>
        </w:r>
        <w:r>
          <w:rPr>
            <w:rFonts w:asciiTheme="minorHAnsi" w:eastAsiaTheme="minorEastAsia" w:hAnsiTheme="minorHAnsi" w:cstheme="minorBidi"/>
            <w:noProof/>
            <w:sz w:val="22"/>
            <w:szCs w:val="22"/>
          </w:rPr>
          <w:tab/>
        </w:r>
        <w:r w:rsidRPr="00CD0B56">
          <w:rPr>
            <w:rStyle w:val="Hyperlink"/>
            <w:noProof/>
          </w:rPr>
          <w:t>Part 1 Section 21.2.2.85, intercept (Intercept)</w:t>
        </w:r>
        <w:r>
          <w:rPr>
            <w:noProof/>
            <w:webHidden/>
          </w:rPr>
          <w:tab/>
        </w:r>
        <w:r>
          <w:rPr>
            <w:noProof/>
            <w:webHidden/>
          </w:rPr>
          <w:fldChar w:fldCharType="begin"/>
        </w:r>
        <w:r>
          <w:rPr>
            <w:noProof/>
            <w:webHidden/>
          </w:rPr>
          <w:instrText xml:space="preserve"> PAGEREF _Toc12261545 \h </w:instrText>
        </w:r>
        <w:r>
          <w:rPr>
            <w:noProof/>
            <w:webHidden/>
          </w:rPr>
        </w:r>
        <w:r>
          <w:rPr>
            <w:noProof/>
            <w:webHidden/>
          </w:rPr>
          <w:fldChar w:fldCharType="separate"/>
        </w:r>
        <w:r>
          <w:rPr>
            <w:noProof/>
            <w:webHidden/>
          </w:rPr>
          <w:t>551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46" w:history="1">
        <w:r w:rsidRPr="00CD0B56">
          <w:rPr>
            <w:rStyle w:val="Hyperlink"/>
            <w:noProof/>
          </w:rPr>
          <w:t>2.1.1478</w:t>
        </w:r>
        <w:r>
          <w:rPr>
            <w:rFonts w:asciiTheme="minorHAnsi" w:eastAsiaTheme="minorEastAsia" w:hAnsiTheme="minorHAnsi" w:cstheme="minorBidi"/>
            <w:noProof/>
            <w:sz w:val="22"/>
            <w:szCs w:val="22"/>
          </w:rPr>
          <w:tab/>
        </w:r>
        <w:r w:rsidRPr="00CD0B56">
          <w:rPr>
            <w:rStyle w:val="Hyperlink"/>
            <w:noProof/>
          </w:rPr>
          <w:t>Part 1 Section 21.2.2.86, invertIfNegative (Invert if Negative)</w:t>
        </w:r>
        <w:r>
          <w:rPr>
            <w:noProof/>
            <w:webHidden/>
          </w:rPr>
          <w:tab/>
        </w:r>
        <w:r>
          <w:rPr>
            <w:noProof/>
            <w:webHidden/>
          </w:rPr>
          <w:fldChar w:fldCharType="begin"/>
        </w:r>
        <w:r>
          <w:rPr>
            <w:noProof/>
            <w:webHidden/>
          </w:rPr>
          <w:instrText xml:space="preserve"> PAGEREF _Toc12261546 \h </w:instrText>
        </w:r>
        <w:r>
          <w:rPr>
            <w:noProof/>
            <w:webHidden/>
          </w:rPr>
        </w:r>
        <w:r>
          <w:rPr>
            <w:noProof/>
            <w:webHidden/>
          </w:rPr>
          <w:fldChar w:fldCharType="separate"/>
        </w:r>
        <w:r>
          <w:rPr>
            <w:noProof/>
            <w:webHidden/>
          </w:rPr>
          <w:t>551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47" w:history="1">
        <w:r w:rsidRPr="00CD0B56">
          <w:rPr>
            <w:rStyle w:val="Hyperlink"/>
            <w:noProof/>
          </w:rPr>
          <w:t>2.1.1479</w:t>
        </w:r>
        <w:r>
          <w:rPr>
            <w:rFonts w:asciiTheme="minorHAnsi" w:eastAsiaTheme="minorEastAsia" w:hAnsiTheme="minorHAnsi" w:cstheme="minorBidi"/>
            <w:noProof/>
            <w:sz w:val="22"/>
            <w:szCs w:val="22"/>
          </w:rPr>
          <w:tab/>
        </w:r>
        <w:r w:rsidRPr="00CD0B56">
          <w:rPr>
            <w:rStyle w:val="Hyperlink"/>
            <w:noProof/>
          </w:rPr>
          <w:t>Part 1 Section 21.2.2.88, layout (Layout)</w:t>
        </w:r>
        <w:r>
          <w:rPr>
            <w:noProof/>
            <w:webHidden/>
          </w:rPr>
          <w:tab/>
        </w:r>
        <w:r>
          <w:rPr>
            <w:noProof/>
            <w:webHidden/>
          </w:rPr>
          <w:fldChar w:fldCharType="begin"/>
        </w:r>
        <w:r>
          <w:rPr>
            <w:noProof/>
            <w:webHidden/>
          </w:rPr>
          <w:instrText xml:space="preserve"> PAGEREF _Toc12261547 \h </w:instrText>
        </w:r>
        <w:r>
          <w:rPr>
            <w:noProof/>
            <w:webHidden/>
          </w:rPr>
        </w:r>
        <w:r>
          <w:rPr>
            <w:noProof/>
            <w:webHidden/>
          </w:rPr>
          <w:fldChar w:fldCharType="separate"/>
        </w:r>
        <w:r>
          <w:rPr>
            <w:noProof/>
            <w:webHidden/>
          </w:rPr>
          <w:t>552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48" w:history="1">
        <w:r w:rsidRPr="00CD0B56">
          <w:rPr>
            <w:rStyle w:val="Hyperlink"/>
            <w:noProof/>
          </w:rPr>
          <w:t>2.1.1480</w:t>
        </w:r>
        <w:r>
          <w:rPr>
            <w:rFonts w:asciiTheme="minorHAnsi" w:eastAsiaTheme="minorEastAsia" w:hAnsiTheme="minorHAnsi" w:cstheme="minorBidi"/>
            <w:noProof/>
            <w:sz w:val="22"/>
            <w:szCs w:val="22"/>
          </w:rPr>
          <w:tab/>
        </w:r>
        <w:r w:rsidRPr="00CD0B56">
          <w:rPr>
            <w:rStyle w:val="Hyperlink"/>
            <w:noProof/>
          </w:rPr>
          <w:t>Part 1 Section 21.2.2.89, layoutTarget (Layout Target)</w:t>
        </w:r>
        <w:r>
          <w:rPr>
            <w:noProof/>
            <w:webHidden/>
          </w:rPr>
          <w:tab/>
        </w:r>
        <w:r>
          <w:rPr>
            <w:noProof/>
            <w:webHidden/>
          </w:rPr>
          <w:fldChar w:fldCharType="begin"/>
        </w:r>
        <w:r>
          <w:rPr>
            <w:noProof/>
            <w:webHidden/>
          </w:rPr>
          <w:instrText xml:space="preserve"> PAGEREF _Toc12261548 \h </w:instrText>
        </w:r>
        <w:r>
          <w:rPr>
            <w:noProof/>
            <w:webHidden/>
          </w:rPr>
        </w:r>
        <w:r>
          <w:rPr>
            <w:noProof/>
            <w:webHidden/>
          </w:rPr>
          <w:fldChar w:fldCharType="separate"/>
        </w:r>
        <w:r>
          <w:rPr>
            <w:noProof/>
            <w:webHidden/>
          </w:rPr>
          <w:t>552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49" w:history="1">
        <w:r w:rsidRPr="00CD0B56">
          <w:rPr>
            <w:rStyle w:val="Hyperlink"/>
            <w:noProof/>
          </w:rPr>
          <w:t>2.1.1481</w:t>
        </w:r>
        <w:r>
          <w:rPr>
            <w:rFonts w:asciiTheme="minorHAnsi" w:eastAsiaTheme="minorEastAsia" w:hAnsiTheme="minorHAnsi" w:cstheme="minorBidi"/>
            <w:noProof/>
            <w:sz w:val="22"/>
            <w:szCs w:val="22"/>
          </w:rPr>
          <w:tab/>
        </w:r>
        <w:r w:rsidRPr="00CD0B56">
          <w:rPr>
            <w:rStyle w:val="Hyperlink"/>
            <w:noProof/>
          </w:rPr>
          <w:t>Part 1 Section 21.2.2.92, leaderLines (Leader Lines)</w:t>
        </w:r>
        <w:r>
          <w:rPr>
            <w:noProof/>
            <w:webHidden/>
          </w:rPr>
          <w:tab/>
        </w:r>
        <w:r>
          <w:rPr>
            <w:noProof/>
            <w:webHidden/>
          </w:rPr>
          <w:fldChar w:fldCharType="begin"/>
        </w:r>
        <w:r>
          <w:rPr>
            <w:noProof/>
            <w:webHidden/>
          </w:rPr>
          <w:instrText xml:space="preserve"> PAGEREF _Toc12261549 \h </w:instrText>
        </w:r>
        <w:r>
          <w:rPr>
            <w:noProof/>
            <w:webHidden/>
          </w:rPr>
        </w:r>
        <w:r>
          <w:rPr>
            <w:noProof/>
            <w:webHidden/>
          </w:rPr>
          <w:fldChar w:fldCharType="separate"/>
        </w:r>
        <w:r>
          <w:rPr>
            <w:noProof/>
            <w:webHidden/>
          </w:rPr>
          <w:t>552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50" w:history="1">
        <w:r w:rsidRPr="00CD0B56">
          <w:rPr>
            <w:rStyle w:val="Hyperlink"/>
            <w:noProof/>
          </w:rPr>
          <w:t>2.1.1482</w:t>
        </w:r>
        <w:r>
          <w:rPr>
            <w:rFonts w:asciiTheme="minorHAnsi" w:eastAsiaTheme="minorEastAsia" w:hAnsiTheme="minorHAnsi" w:cstheme="minorBidi"/>
            <w:noProof/>
            <w:sz w:val="22"/>
            <w:szCs w:val="22"/>
          </w:rPr>
          <w:tab/>
        </w:r>
        <w:r w:rsidRPr="00CD0B56">
          <w:rPr>
            <w:rStyle w:val="Hyperlink"/>
            <w:noProof/>
          </w:rPr>
          <w:t>Part 1 Section 21.2.2.95, legendPos (Legend Position)</w:t>
        </w:r>
        <w:r>
          <w:rPr>
            <w:noProof/>
            <w:webHidden/>
          </w:rPr>
          <w:tab/>
        </w:r>
        <w:r>
          <w:rPr>
            <w:noProof/>
            <w:webHidden/>
          </w:rPr>
          <w:fldChar w:fldCharType="begin"/>
        </w:r>
        <w:r>
          <w:rPr>
            <w:noProof/>
            <w:webHidden/>
          </w:rPr>
          <w:instrText xml:space="preserve"> PAGEREF _Toc12261550 \h </w:instrText>
        </w:r>
        <w:r>
          <w:rPr>
            <w:noProof/>
            <w:webHidden/>
          </w:rPr>
        </w:r>
        <w:r>
          <w:rPr>
            <w:noProof/>
            <w:webHidden/>
          </w:rPr>
          <w:fldChar w:fldCharType="separate"/>
        </w:r>
        <w:r>
          <w:rPr>
            <w:noProof/>
            <w:webHidden/>
          </w:rPr>
          <w:t>552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51" w:history="1">
        <w:r w:rsidRPr="00CD0B56">
          <w:rPr>
            <w:rStyle w:val="Hyperlink"/>
            <w:noProof/>
          </w:rPr>
          <w:t>2.1.1483</w:t>
        </w:r>
        <w:r>
          <w:rPr>
            <w:rFonts w:asciiTheme="minorHAnsi" w:eastAsiaTheme="minorEastAsia" w:hAnsiTheme="minorHAnsi" w:cstheme="minorBidi"/>
            <w:noProof/>
            <w:sz w:val="22"/>
            <w:szCs w:val="22"/>
          </w:rPr>
          <w:tab/>
        </w:r>
        <w:r w:rsidRPr="00CD0B56">
          <w:rPr>
            <w:rStyle w:val="Hyperlink"/>
            <w:noProof/>
          </w:rPr>
          <w:t>Part 1 Section 21.2.2.96, line3DChart (3D Line Charts)</w:t>
        </w:r>
        <w:r>
          <w:rPr>
            <w:noProof/>
            <w:webHidden/>
          </w:rPr>
          <w:tab/>
        </w:r>
        <w:r>
          <w:rPr>
            <w:noProof/>
            <w:webHidden/>
          </w:rPr>
          <w:fldChar w:fldCharType="begin"/>
        </w:r>
        <w:r>
          <w:rPr>
            <w:noProof/>
            <w:webHidden/>
          </w:rPr>
          <w:instrText xml:space="preserve"> PAGEREF _Toc12261551 \h </w:instrText>
        </w:r>
        <w:r>
          <w:rPr>
            <w:noProof/>
            <w:webHidden/>
          </w:rPr>
        </w:r>
        <w:r>
          <w:rPr>
            <w:noProof/>
            <w:webHidden/>
          </w:rPr>
          <w:fldChar w:fldCharType="separate"/>
        </w:r>
        <w:r>
          <w:rPr>
            <w:noProof/>
            <w:webHidden/>
          </w:rPr>
          <w:t>552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52" w:history="1">
        <w:r w:rsidRPr="00CD0B56">
          <w:rPr>
            <w:rStyle w:val="Hyperlink"/>
            <w:noProof/>
          </w:rPr>
          <w:t>2.1.1484</w:t>
        </w:r>
        <w:r>
          <w:rPr>
            <w:rFonts w:asciiTheme="minorHAnsi" w:eastAsiaTheme="minorEastAsia" w:hAnsiTheme="minorHAnsi" w:cstheme="minorBidi"/>
            <w:noProof/>
            <w:sz w:val="22"/>
            <w:szCs w:val="22"/>
          </w:rPr>
          <w:tab/>
        </w:r>
        <w:r w:rsidRPr="00CD0B56">
          <w:rPr>
            <w:rStyle w:val="Hyperlink"/>
            <w:noProof/>
          </w:rPr>
          <w:t>Part 1 Section 21.2.2.97, lineChart (Line Charts)</w:t>
        </w:r>
        <w:r>
          <w:rPr>
            <w:noProof/>
            <w:webHidden/>
          </w:rPr>
          <w:tab/>
        </w:r>
        <w:r>
          <w:rPr>
            <w:noProof/>
            <w:webHidden/>
          </w:rPr>
          <w:fldChar w:fldCharType="begin"/>
        </w:r>
        <w:r>
          <w:rPr>
            <w:noProof/>
            <w:webHidden/>
          </w:rPr>
          <w:instrText xml:space="preserve"> PAGEREF _Toc12261552 \h </w:instrText>
        </w:r>
        <w:r>
          <w:rPr>
            <w:noProof/>
            <w:webHidden/>
          </w:rPr>
        </w:r>
        <w:r>
          <w:rPr>
            <w:noProof/>
            <w:webHidden/>
          </w:rPr>
          <w:fldChar w:fldCharType="separate"/>
        </w:r>
        <w:r>
          <w:rPr>
            <w:noProof/>
            <w:webHidden/>
          </w:rPr>
          <w:t>552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53" w:history="1">
        <w:r w:rsidRPr="00CD0B56">
          <w:rPr>
            <w:rStyle w:val="Hyperlink"/>
            <w:noProof/>
          </w:rPr>
          <w:t>2.1.1485</w:t>
        </w:r>
        <w:r>
          <w:rPr>
            <w:rFonts w:asciiTheme="minorHAnsi" w:eastAsiaTheme="minorEastAsia" w:hAnsiTheme="minorHAnsi" w:cstheme="minorBidi"/>
            <w:noProof/>
            <w:sz w:val="22"/>
            <w:szCs w:val="22"/>
          </w:rPr>
          <w:tab/>
        </w:r>
        <w:r w:rsidRPr="00CD0B56">
          <w:rPr>
            <w:rStyle w:val="Hyperlink"/>
            <w:noProof/>
          </w:rPr>
          <w:t>Part 1 Section 21.2.2.99, lvl (Level)</w:t>
        </w:r>
        <w:r>
          <w:rPr>
            <w:noProof/>
            <w:webHidden/>
          </w:rPr>
          <w:tab/>
        </w:r>
        <w:r>
          <w:rPr>
            <w:noProof/>
            <w:webHidden/>
          </w:rPr>
          <w:fldChar w:fldCharType="begin"/>
        </w:r>
        <w:r>
          <w:rPr>
            <w:noProof/>
            <w:webHidden/>
          </w:rPr>
          <w:instrText xml:space="preserve"> PAGEREF _Toc12261553 \h </w:instrText>
        </w:r>
        <w:r>
          <w:rPr>
            <w:noProof/>
            <w:webHidden/>
          </w:rPr>
        </w:r>
        <w:r>
          <w:rPr>
            <w:noProof/>
            <w:webHidden/>
          </w:rPr>
          <w:fldChar w:fldCharType="separate"/>
        </w:r>
        <w:r>
          <w:rPr>
            <w:noProof/>
            <w:webHidden/>
          </w:rPr>
          <w:t>552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54" w:history="1">
        <w:r w:rsidRPr="00CD0B56">
          <w:rPr>
            <w:rStyle w:val="Hyperlink"/>
            <w:noProof/>
          </w:rPr>
          <w:t>2.1.1486</w:t>
        </w:r>
        <w:r>
          <w:rPr>
            <w:rFonts w:asciiTheme="minorHAnsi" w:eastAsiaTheme="minorEastAsia" w:hAnsiTheme="minorHAnsi" w:cstheme="minorBidi"/>
            <w:noProof/>
            <w:sz w:val="22"/>
            <w:szCs w:val="22"/>
          </w:rPr>
          <w:tab/>
        </w:r>
        <w:r w:rsidRPr="00CD0B56">
          <w:rPr>
            <w:rStyle w:val="Hyperlink"/>
            <w:noProof/>
          </w:rPr>
          <w:t>Part 1 Section 21.2.2.101, majorTickMark (Major Tick Mark)</w:t>
        </w:r>
        <w:r>
          <w:rPr>
            <w:noProof/>
            <w:webHidden/>
          </w:rPr>
          <w:tab/>
        </w:r>
        <w:r>
          <w:rPr>
            <w:noProof/>
            <w:webHidden/>
          </w:rPr>
          <w:fldChar w:fldCharType="begin"/>
        </w:r>
        <w:r>
          <w:rPr>
            <w:noProof/>
            <w:webHidden/>
          </w:rPr>
          <w:instrText xml:space="preserve"> PAGEREF _Toc12261554 \h </w:instrText>
        </w:r>
        <w:r>
          <w:rPr>
            <w:noProof/>
            <w:webHidden/>
          </w:rPr>
        </w:r>
        <w:r>
          <w:rPr>
            <w:noProof/>
            <w:webHidden/>
          </w:rPr>
          <w:fldChar w:fldCharType="separate"/>
        </w:r>
        <w:r>
          <w:rPr>
            <w:noProof/>
            <w:webHidden/>
          </w:rPr>
          <w:t>553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55" w:history="1">
        <w:r w:rsidRPr="00CD0B56">
          <w:rPr>
            <w:rStyle w:val="Hyperlink"/>
            <w:noProof/>
          </w:rPr>
          <w:t>2.1.1487</w:t>
        </w:r>
        <w:r>
          <w:rPr>
            <w:rFonts w:asciiTheme="minorHAnsi" w:eastAsiaTheme="minorEastAsia" w:hAnsiTheme="minorHAnsi" w:cstheme="minorBidi"/>
            <w:noProof/>
            <w:sz w:val="22"/>
            <w:szCs w:val="22"/>
          </w:rPr>
          <w:tab/>
        </w:r>
        <w:r w:rsidRPr="00CD0B56">
          <w:rPr>
            <w:rStyle w:val="Hyperlink"/>
            <w:noProof/>
          </w:rPr>
          <w:t>Part 1 Section 21.2.2.103, majorUnit (Major Unit)</w:t>
        </w:r>
        <w:r>
          <w:rPr>
            <w:noProof/>
            <w:webHidden/>
          </w:rPr>
          <w:tab/>
        </w:r>
        <w:r>
          <w:rPr>
            <w:noProof/>
            <w:webHidden/>
          </w:rPr>
          <w:fldChar w:fldCharType="begin"/>
        </w:r>
        <w:r>
          <w:rPr>
            <w:noProof/>
            <w:webHidden/>
          </w:rPr>
          <w:instrText xml:space="preserve"> PAGEREF _Toc12261555 \h </w:instrText>
        </w:r>
        <w:r>
          <w:rPr>
            <w:noProof/>
            <w:webHidden/>
          </w:rPr>
        </w:r>
        <w:r>
          <w:rPr>
            <w:noProof/>
            <w:webHidden/>
          </w:rPr>
          <w:fldChar w:fldCharType="separate"/>
        </w:r>
        <w:r>
          <w:rPr>
            <w:noProof/>
            <w:webHidden/>
          </w:rPr>
          <w:t>553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56" w:history="1">
        <w:r w:rsidRPr="00CD0B56">
          <w:rPr>
            <w:rStyle w:val="Hyperlink"/>
            <w:noProof/>
          </w:rPr>
          <w:t>2.1.1488</w:t>
        </w:r>
        <w:r>
          <w:rPr>
            <w:rFonts w:asciiTheme="minorHAnsi" w:eastAsiaTheme="minorEastAsia" w:hAnsiTheme="minorHAnsi" w:cstheme="minorBidi"/>
            <w:noProof/>
            <w:sz w:val="22"/>
            <w:szCs w:val="22"/>
          </w:rPr>
          <w:tab/>
        </w:r>
        <w:r w:rsidRPr="00CD0B56">
          <w:rPr>
            <w:rStyle w:val="Hyperlink"/>
            <w:noProof/>
          </w:rPr>
          <w:t>Part 1 Section 21.2.2.104, manualLayout (Manual Layout)</w:t>
        </w:r>
        <w:r>
          <w:rPr>
            <w:noProof/>
            <w:webHidden/>
          </w:rPr>
          <w:tab/>
        </w:r>
        <w:r>
          <w:rPr>
            <w:noProof/>
            <w:webHidden/>
          </w:rPr>
          <w:fldChar w:fldCharType="begin"/>
        </w:r>
        <w:r>
          <w:rPr>
            <w:noProof/>
            <w:webHidden/>
          </w:rPr>
          <w:instrText xml:space="preserve"> PAGEREF _Toc12261556 \h </w:instrText>
        </w:r>
        <w:r>
          <w:rPr>
            <w:noProof/>
            <w:webHidden/>
          </w:rPr>
        </w:r>
        <w:r>
          <w:rPr>
            <w:noProof/>
            <w:webHidden/>
          </w:rPr>
          <w:fldChar w:fldCharType="separate"/>
        </w:r>
        <w:r>
          <w:rPr>
            <w:noProof/>
            <w:webHidden/>
          </w:rPr>
          <w:t>553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57" w:history="1">
        <w:r w:rsidRPr="00CD0B56">
          <w:rPr>
            <w:rStyle w:val="Hyperlink"/>
            <w:noProof/>
          </w:rPr>
          <w:t>2.1.1489</w:t>
        </w:r>
        <w:r>
          <w:rPr>
            <w:rFonts w:asciiTheme="minorHAnsi" w:eastAsiaTheme="minorEastAsia" w:hAnsiTheme="minorHAnsi" w:cstheme="minorBidi"/>
            <w:noProof/>
            <w:sz w:val="22"/>
            <w:szCs w:val="22"/>
          </w:rPr>
          <w:tab/>
        </w:r>
        <w:r w:rsidRPr="00CD0B56">
          <w:rPr>
            <w:rStyle w:val="Hyperlink"/>
            <w:noProof/>
          </w:rPr>
          <w:t>Part 1 Section 21.2.2.105, marker (Show Marker)</w:t>
        </w:r>
        <w:r>
          <w:rPr>
            <w:noProof/>
            <w:webHidden/>
          </w:rPr>
          <w:tab/>
        </w:r>
        <w:r>
          <w:rPr>
            <w:noProof/>
            <w:webHidden/>
          </w:rPr>
          <w:fldChar w:fldCharType="begin"/>
        </w:r>
        <w:r>
          <w:rPr>
            <w:noProof/>
            <w:webHidden/>
          </w:rPr>
          <w:instrText xml:space="preserve"> PAGEREF _Toc12261557 \h </w:instrText>
        </w:r>
        <w:r>
          <w:rPr>
            <w:noProof/>
            <w:webHidden/>
          </w:rPr>
        </w:r>
        <w:r>
          <w:rPr>
            <w:noProof/>
            <w:webHidden/>
          </w:rPr>
          <w:fldChar w:fldCharType="separate"/>
        </w:r>
        <w:r>
          <w:rPr>
            <w:noProof/>
            <w:webHidden/>
          </w:rPr>
          <w:t>553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58" w:history="1">
        <w:r w:rsidRPr="00CD0B56">
          <w:rPr>
            <w:rStyle w:val="Hyperlink"/>
            <w:noProof/>
          </w:rPr>
          <w:t>2.1.1490</w:t>
        </w:r>
        <w:r>
          <w:rPr>
            <w:rFonts w:asciiTheme="minorHAnsi" w:eastAsiaTheme="minorEastAsia" w:hAnsiTheme="minorHAnsi" w:cstheme="minorBidi"/>
            <w:noProof/>
            <w:sz w:val="22"/>
            <w:szCs w:val="22"/>
          </w:rPr>
          <w:tab/>
        </w:r>
        <w:r w:rsidRPr="00CD0B56">
          <w:rPr>
            <w:rStyle w:val="Hyperlink"/>
            <w:noProof/>
          </w:rPr>
          <w:t>Part 1 Section 21.2.2.106, marker (Marker)</w:t>
        </w:r>
        <w:r>
          <w:rPr>
            <w:noProof/>
            <w:webHidden/>
          </w:rPr>
          <w:tab/>
        </w:r>
        <w:r>
          <w:rPr>
            <w:noProof/>
            <w:webHidden/>
          </w:rPr>
          <w:fldChar w:fldCharType="begin"/>
        </w:r>
        <w:r>
          <w:rPr>
            <w:noProof/>
            <w:webHidden/>
          </w:rPr>
          <w:instrText xml:space="preserve"> PAGEREF _Toc12261558 \h </w:instrText>
        </w:r>
        <w:r>
          <w:rPr>
            <w:noProof/>
            <w:webHidden/>
          </w:rPr>
        </w:r>
        <w:r>
          <w:rPr>
            <w:noProof/>
            <w:webHidden/>
          </w:rPr>
          <w:fldChar w:fldCharType="separate"/>
        </w:r>
        <w:r>
          <w:rPr>
            <w:noProof/>
            <w:webHidden/>
          </w:rPr>
          <w:t>553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59" w:history="1">
        <w:r w:rsidRPr="00CD0B56">
          <w:rPr>
            <w:rStyle w:val="Hyperlink"/>
            <w:noProof/>
          </w:rPr>
          <w:t>2.1.1491</w:t>
        </w:r>
        <w:r>
          <w:rPr>
            <w:rFonts w:asciiTheme="minorHAnsi" w:eastAsiaTheme="minorEastAsia" w:hAnsiTheme="minorHAnsi" w:cstheme="minorBidi"/>
            <w:noProof/>
            <w:sz w:val="22"/>
            <w:szCs w:val="22"/>
          </w:rPr>
          <w:tab/>
        </w:r>
        <w:r w:rsidRPr="00CD0B56">
          <w:rPr>
            <w:rStyle w:val="Hyperlink"/>
            <w:noProof/>
          </w:rPr>
          <w:t>Part 1 Section 21.2.2.107, max (Maximum)</w:t>
        </w:r>
        <w:r>
          <w:rPr>
            <w:noProof/>
            <w:webHidden/>
          </w:rPr>
          <w:tab/>
        </w:r>
        <w:r>
          <w:rPr>
            <w:noProof/>
            <w:webHidden/>
          </w:rPr>
          <w:fldChar w:fldCharType="begin"/>
        </w:r>
        <w:r>
          <w:rPr>
            <w:noProof/>
            <w:webHidden/>
          </w:rPr>
          <w:instrText xml:space="preserve"> PAGEREF _Toc12261559 \h </w:instrText>
        </w:r>
        <w:r>
          <w:rPr>
            <w:noProof/>
            <w:webHidden/>
          </w:rPr>
        </w:r>
        <w:r>
          <w:rPr>
            <w:noProof/>
            <w:webHidden/>
          </w:rPr>
          <w:fldChar w:fldCharType="separate"/>
        </w:r>
        <w:r>
          <w:rPr>
            <w:noProof/>
            <w:webHidden/>
          </w:rPr>
          <w:t>553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60" w:history="1">
        <w:r w:rsidRPr="00CD0B56">
          <w:rPr>
            <w:rStyle w:val="Hyperlink"/>
            <w:noProof/>
          </w:rPr>
          <w:t>2.1.1492</w:t>
        </w:r>
        <w:r>
          <w:rPr>
            <w:rFonts w:asciiTheme="minorHAnsi" w:eastAsiaTheme="minorEastAsia" w:hAnsiTheme="minorHAnsi" w:cstheme="minorBidi"/>
            <w:noProof/>
            <w:sz w:val="22"/>
            <w:szCs w:val="22"/>
          </w:rPr>
          <w:tab/>
        </w:r>
        <w:r w:rsidRPr="00CD0B56">
          <w:rPr>
            <w:rStyle w:val="Hyperlink"/>
            <w:noProof/>
          </w:rPr>
          <w:t>Part 1 Section 21.2.2.108, min (Minimum)</w:t>
        </w:r>
        <w:r>
          <w:rPr>
            <w:noProof/>
            <w:webHidden/>
          </w:rPr>
          <w:tab/>
        </w:r>
        <w:r>
          <w:rPr>
            <w:noProof/>
            <w:webHidden/>
          </w:rPr>
          <w:fldChar w:fldCharType="begin"/>
        </w:r>
        <w:r>
          <w:rPr>
            <w:noProof/>
            <w:webHidden/>
          </w:rPr>
          <w:instrText xml:space="preserve"> PAGEREF _Toc12261560 \h </w:instrText>
        </w:r>
        <w:r>
          <w:rPr>
            <w:noProof/>
            <w:webHidden/>
          </w:rPr>
        </w:r>
        <w:r>
          <w:rPr>
            <w:noProof/>
            <w:webHidden/>
          </w:rPr>
          <w:fldChar w:fldCharType="separate"/>
        </w:r>
        <w:r>
          <w:rPr>
            <w:noProof/>
            <w:webHidden/>
          </w:rPr>
          <w:t>553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61" w:history="1">
        <w:r w:rsidRPr="00CD0B56">
          <w:rPr>
            <w:rStyle w:val="Hyperlink"/>
            <w:noProof/>
          </w:rPr>
          <w:t>2.1.1493</w:t>
        </w:r>
        <w:r>
          <w:rPr>
            <w:rFonts w:asciiTheme="minorHAnsi" w:eastAsiaTheme="minorEastAsia" w:hAnsiTheme="minorHAnsi" w:cstheme="minorBidi"/>
            <w:noProof/>
            <w:sz w:val="22"/>
            <w:szCs w:val="22"/>
          </w:rPr>
          <w:tab/>
        </w:r>
        <w:r w:rsidRPr="00CD0B56">
          <w:rPr>
            <w:rStyle w:val="Hyperlink"/>
            <w:noProof/>
          </w:rPr>
          <w:t>Part 1 Section 21.2.2.112, minorUnit (Minor Unit)</w:t>
        </w:r>
        <w:r>
          <w:rPr>
            <w:noProof/>
            <w:webHidden/>
          </w:rPr>
          <w:tab/>
        </w:r>
        <w:r>
          <w:rPr>
            <w:noProof/>
            <w:webHidden/>
          </w:rPr>
          <w:fldChar w:fldCharType="begin"/>
        </w:r>
        <w:r>
          <w:rPr>
            <w:noProof/>
            <w:webHidden/>
          </w:rPr>
          <w:instrText xml:space="preserve"> PAGEREF _Toc12261561 \h </w:instrText>
        </w:r>
        <w:r>
          <w:rPr>
            <w:noProof/>
            <w:webHidden/>
          </w:rPr>
        </w:r>
        <w:r>
          <w:rPr>
            <w:noProof/>
            <w:webHidden/>
          </w:rPr>
          <w:fldChar w:fldCharType="separate"/>
        </w:r>
        <w:r>
          <w:rPr>
            <w:noProof/>
            <w:webHidden/>
          </w:rPr>
          <w:t>553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62" w:history="1">
        <w:r w:rsidRPr="00CD0B56">
          <w:rPr>
            <w:rStyle w:val="Hyperlink"/>
            <w:noProof/>
          </w:rPr>
          <w:t>2.1.1494</w:t>
        </w:r>
        <w:r>
          <w:rPr>
            <w:rFonts w:asciiTheme="minorHAnsi" w:eastAsiaTheme="minorEastAsia" w:hAnsiTheme="minorHAnsi" w:cstheme="minorBidi"/>
            <w:noProof/>
            <w:sz w:val="22"/>
            <w:szCs w:val="22"/>
          </w:rPr>
          <w:tab/>
        </w:r>
        <w:r w:rsidRPr="00CD0B56">
          <w:rPr>
            <w:rStyle w:val="Hyperlink"/>
            <w:noProof/>
          </w:rPr>
          <w:t>Part 1 Section 21.2.2.113, minus (Minus)</w:t>
        </w:r>
        <w:r>
          <w:rPr>
            <w:noProof/>
            <w:webHidden/>
          </w:rPr>
          <w:tab/>
        </w:r>
        <w:r>
          <w:rPr>
            <w:noProof/>
            <w:webHidden/>
          </w:rPr>
          <w:fldChar w:fldCharType="begin"/>
        </w:r>
        <w:r>
          <w:rPr>
            <w:noProof/>
            <w:webHidden/>
          </w:rPr>
          <w:instrText xml:space="preserve"> PAGEREF _Toc12261562 \h </w:instrText>
        </w:r>
        <w:r>
          <w:rPr>
            <w:noProof/>
            <w:webHidden/>
          </w:rPr>
        </w:r>
        <w:r>
          <w:rPr>
            <w:noProof/>
            <w:webHidden/>
          </w:rPr>
          <w:fldChar w:fldCharType="separate"/>
        </w:r>
        <w:r>
          <w:rPr>
            <w:noProof/>
            <w:webHidden/>
          </w:rPr>
          <w:t>553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63" w:history="1">
        <w:r w:rsidRPr="00CD0B56">
          <w:rPr>
            <w:rStyle w:val="Hyperlink"/>
            <w:noProof/>
          </w:rPr>
          <w:t>2.1.1495</w:t>
        </w:r>
        <w:r>
          <w:rPr>
            <w:rFonts w:asciiTheme="minorHAnsi" w:eastAsiaTheme="minorEastAsia" w:hAnsiTheme="minorHAnsi" w:cstheme="minorBidi"/>
            <w:noProof/>
            <w:sz w:val="22"/>
            <w:szCs w:val="22"/>
          </w:rPr>
          <w:tab/>
        </w:r>
        <w:r w:rsidRPr="00CD0B56">
          <w:rPr>
            <w:rStyle w:val="Hyperlink"/>
            <w:noProof/>
          </w:rPr>
          <w:t>Part 1 Section 21.2.2.114, multiLvlStrCache (Multi Level String Cache)</w:t>
        </w:r>
        <w:r>
          <w:rPr>
            <w:noProof/>
            <w:webHidden/>
          </w:rPr>
          <w:tab/>
        </w:r>
        <w:r>
          <w:rPr>
            <w:noProof/>
            <w:webHidden/>
          </w:rPr>
          <w:fldChar w:fldCharType="begin"/>
        </w:r>
        <w:r>
          <w:rPr>
            <w:noProof/>
            <w:webHidden/>
          </w:rPr>
          <w:instrText xml:space="preserve"> PAGEREF _Toc12261563 \h </w:instrText>
        </w:r>
        <w:r>
          <w:rPr>
            <w:noProof/>
            <w:webHidden/>
          </w:rPr>
        </w:r>
        <w:r>
          <w:rPr>
            <w:noProof/>
            <w:webHidden/>
          </w:rPr>
          <w:fldChar w:fldCharType="separate"/>
        </w:r>
        <w:r>
          <w:rPr>
            <w:noProof/>
            <w:webHidden/>
          </w:rPr>
          <w:t>554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64" w:history="1">
        <w:r w:rsidRPr="00CD0B56">
          <w:rPr>
            <w:rStyle w:val="Hyperlink"/>
            <w:noProof/>
          </w:rPr>
          <w:t>2.1.1496</w:t>
        </w:r>
        <w:r>
          <w:rPr>
            <w:rFonts w:asciiTheme="minorHAnsi" w:eastAsiaTheme="minorEastAsia" w:hAnsiTheme="minorHAnsi" w:cstheme="minorBidi"/>
            <w:noProof/>
            <w:sz w:val="22"/>
            <w:szCs w:val="22"/>
          </w:rPr>
          <w:tab/>
        </w:r>
        <w:r w:rsidRPr="00CD0B56">
          <w:rPr>
            <w:rStyle w:val="Hyperlink"/>
            <w:noProof/>
          </w:rPr>
          <w:t>Part 1 Section 21.2.2.115, multiLvlStrRef (Multi Level String Reference)</w:t>
        </w:r>
        <w:r>
          <w:rPr>
            <w:noProof/>
            <w:webHidden/>
          </w:rPr>
          <w:tab/>
        </w:r>
        <w:r>
          <w:rPr>
            <w:noProof/>
            <w:webHidden/>
          </w:rPr>
          <w:fldChar w:fldCharType="begin"/>
        </w:r>
        <w:r>
          <w:rPr>
            <w:noProof/>
            <w:webHidden/>
          </w:rPr>
          <w:instrText xml:space="preserve"> PAGEREF _Toc12261564 \h </w:instrText>
        </w:r>
        <w:r>
          <w:rPr>
            <w:noProof/>
            <w:webHidden/>
          </w:rPr>
        </w:r>
        <w:r>
          <w:rPr>
            <w:noProof/>
            <w:webHidden/>
          </w:rPr>
          <w:fldChar w:fldCharType="separate"/>
        </w:r>
        <w:r>
          <w:rPr>
            <w:noProof/>
            <w:webHidden/>
          </w:rPr>
          <w:t>554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65" w:history="1">
        <w:r w:rsidRPr="00CD0B56">
          <w:rPr>
            <w:rStyle w:val="Hyperlink"/>
            <w:noProof/>
          </w:rPr>
          <w:t>2.1.1497</w:t>
        </w:r>
        <w:r>
          <w:rPr>
            <w:rFonts w:asciiTheme="minorHAnsi" w:eastAsiaTheme="minorEastAsia" w:hAnsiTheme="minorHAnsi" w:cstheme="minorBidi"/>
            <w:noProof/>
            <w:sz w:val="22"/>
            <w:szCs w:val="22"/>
          </w:rPr>
          <w:tab/>
        </w:r>
        <w:r w:rsidRPr="00CD0B56">
          <w:rPr>
            <w:rStyle w:val="Hyperlink"/>
            <w:noProof/>
          </w:rPr>
          <w:t>Part 1 Section 21.2.2.117, name (Pivot Name)</w:t>
        </w:r>
        <w:r>
          <w:rPr>
            <w:noProof/>
            <w:webHidden/>
          </w:rPr>
          <w:tab/>
        </w:r>
        <w:r>
          <w:rPr>
            <w:noProof/>
            <w:webHidden/>
          </w:rPr>
          <w:fldChar w:fldCharType="begin"/>
        </w:r>
        <w:r>
          <w:rPr>
            <w:noProof/>
            <w:webHidden/>
          </w:rPr>
          <w:instrText xml:space="preserve"> PAGEREF _Toc12261565 \h </w:instrText>
        </w:r>
        <w:r>
          <w:rPr>
            <w:noProof/>
            <w:webHidden/>
          </w:rPr>
        </w:r>
        <w:r>
          <w:rPr>
            <w:noProof/>
            <w:webHidden/>
          </w:rPr>
          <w:fldChar w:fldCharType="separate"/>
        </w:r>
        <w:r>
          <w:rPr>
            <w:noProof/>
            <w:webHidden/>
          </w:rPr>
          <w:t>554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66" w:history="1">
        <w:r w:rsidRPr="00CD0B56">
          <w:rPr>
            <w:rStyle w:val="Hyperlink"/>
            <w:noProof/>
          </w:rPr>
          <w:t>2.1.1498</w:t>
        </w:r>
        <w:r>
          <w:rPr>
            <w:rFonts w:asciiTheme="minorHAnsi" w:eastAsiaTheme="minorEastAsia" w:hAnsiTheme="minorHAnsi" w:cstheme="minorBidi"/>
            <w:noProof/>
            <w:sz w:val="22"/>
            <w:szCs w:val="22"/>
          </w:rPr>
          <w:tab/>
        </w:r>
        <w:r w:rsidRPr="00CD0B56">
          <w:rPr>
            <w:rStyle w:val="Hyperlink"/>
            <w:noProof/>
          </w:rPr>
          <w:t>Part 1 Section 21.2.2.121, numFmt (Number Format)</w:t>
        </w:r>
        <w:r>
          <w:rPr>
            <w:noProof/>
            <w:webHidden/>
          </w:rPr>
          <w:tab/>
        </w:r>
        <w:r>
          <w:rPr>
            <w:noProof/>
            <w:webHidden/>
          </w:rPr>
          <w:fldChar w:fldCharType="begin"/>
        </w:r>
        <w:r>
          <w:rPr>
            <w:noProof/>
            <w:webHidden/>
          </w:rPr>
          <w:instrText xml:space="preserve"> PAGEREF _Toc12261566 \h </w:instrText>
        </w:r>
        <w:r>
          <w:rPr>
            <w:noProof/>
            <w:webHidden/>
          </w:rPr>
        </w:r>
        <w:r>
          <w:rPr>
            <w:noProof/>
            <w:webHidden/>
          </w:rPr>
          <w:fldChar w:fldCharType="separate"/>
        </w:r>
        <w:r>
          <w:rPr>
            <w:noProof/>
            <w:webHidden/>
          </w:rPr>
          <w:t>554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67" w:history="1">
        <w:r w:rsidRPr="00CD0B56">
          <w:rPr>
            <w:rStyle w:val="Hyperlink"/>
            <w:noProof/>
          </w:rPr>
          <w:t>2.1.1499</w:t>
        </w:r>
        <w:r>
          <w:rPr>
            <w:rFonts w:asciiTheme="minorHAnsi" w:eastAsiaTheme="minorEastAsia" w:hAnsiTheme="minorHAnsi" w:cstheme="minorBidi"/>
            <w:noProof/>
            <w:sz w:val="22"/>
            <w:szCs w:val="22"/>
          </w:rPr>
          <w:tab/>
        </w:r>
        <w:r w:rsidRPr="00CD0B56">
          <w:rPr>
            <w:rStyle w:val="Hyperlink"/>
            <w:noProof/>
          </w:rPr>
          <w:t>Part 1 Section 21.2.2.124, oddFooter (Odd Footer)</w:t>
        </w:r>
        <w:r>
          <w:rPr>
            <w:noProof/>
            <w:webHidden/>
          </w:rPr>
          <w:tab/>
        </w:r>
        <w:r>
          <w:rPr>
            <w:noProof/>
            <w:webHidden/>
          </w:rPr>
          <w:fldChar w:fldCharType="begin"/>
        </w:r>
        <w:r>
          <w:rPr>
            <w:noProof/>
            <w:webHidden/>
          </w:rPr>
          <w:instrText xml:space="preserve"> PAGEREF _Toc12261567 \h </w:instrText>
        </w:r>
        <w:r>
          <w:rPr>
            <w:noProof/>
            <w:webHidden/>
          </w:rPr>
        </w:r>
        <w:r>
          <w:rPr>
            <w:noProof/>
            <w:webHidden/>
          </w:rPr>
          <w:fldChar w:fldCharType="separate"/>
        </w:r>
        <w:r>
          <w:rPr>
            <w:noProof/>
            <w:webHidden/>
          </w:rPr>
          <w:t>554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68" w:history="1">
        <w:r w:rsidRPr="00CD0B56">
          <w:rPr>
            <w:rStyle w:val="Hyperlink"/>
            <w:noProof/>
          </w:rPr>
          <w:t>2.1.1500</w:t>
        </w:r>
        <w:r>
          <w:rPr>
            <w:rFonts w:asciiTheme="minorHAnsi" w:eastAsiaTheme="minorEastAsia" w:hAnsiTheme="minorHAnsi" w:cstheme="minorBidi"/>
            <w:noProof/>
            <w:sz w:val="22"/>
            <w:szCs w:val="22"/>
          </w:rPr>
          <w:tab/>
        </w:r>
        <w:r w:rsidRPr="00CD0B56">
          <w:rPr>
            <w:rStyle w:val="Hyperlink"/>
            <w:noProof/>
          </w:rPr>
          <w:t>Part 1 Section 21.2.2.125, oddHeader (Odd Header)</w:t>
        </w:r>
        <w:r>
          <w:rPr>
            <w:noProof/>
            <w:webHidden/>
          </w:rPr>
          <w:tab/>
        </w:r>
        <w:r>
          <w:rPr>
            <w:noProof/>
            <w:webHidden/>
          </w:rPr>
          <w:fldChar w:fldCharType="begin"/>
        </w:r>
        <w:r>
          <w:rPr>
            <w:noProof/>
            <w:webHidden/>
          </w:rPr>
          <w:instrText xml:space="preserve"> PAGEREF _Toc12261568 \h </w:instrText>
        </w:r>
        <w:r>
          <w:rPr>
            <w:noProof/>
            <w:webHidden/>
          </w:rPr>
        </w:r>
        <w:r>
          <w:rPr>
            <w:noProof/>
            <w:webHidden/>
          </w:rPr>
          <w:fldChar w:fldCharType="separate"/>
        </w:r>
        <w:r>
          <w:rPr>
            <w:noProof/>
            <w:webHidden/>
          </w:rPr>
          <w:t>555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69" w:history="1">
        <w:r w:rsidRPr="00CD0B56">
          <w:rPr>
            <w:rStyle w:val="Hyperlink"/>
            <w:noProof/>
          </w:rPr>
          <w:t>2.1.1501</w:t>
        </w:r>
        <w:r>
          <w:rPr>
            <w:rFonts w:asciiTheme="minorHAnsi" w:eastAsiaTheme="minorEastAsia" w:hAnsiTheme="minorHAnsi" w:cstheme="minorBidi"/>
            <w:noProof/>
            <w:sz w:val="22"/>
            <w:szCs w:val="22"/>
          </w:rPr>
          <w:tab/>
        </w:r>
        <w:r w:rsidRPr="00CD0B56">
          <w:rPr>
            <w:rStyle w:val="Hyperlink"/>
            <w:noProof/>
          </w:rPr>
          <w:t>Part 1 Section 21.2.2.126, ofPieChart (Pie of Pie or Bar of Pie Charts)</w:t>
        </w:r>
        <w:r>
          <w:rPr>
            <w:noProof/>
            <w:webHidden/>
          </w:rPr>
          <w:tab/>
        </w:r>
        <w:r>
          <w:rPr>
            <w:noProof/>
            <w:webHidden/>
          </w:rPr>
          <w:fldChar w:fldCharType="begin"/>
        </w:r>
        <w:r>
          <w:rPr>
            <w:noProof/>
            <w:webHidden/>
          </w:rPr>
          <w:instrText xml:space="preserve"> PAGEREF _Toc12261569 \h </w:instrText>
        </w:r>
        <w:r>
          <w:rPr>
            <w:noProof/>
            <w:webHidden/>
          </w:rPr>
        </w:r>
        <w:r>
          <w:rPr>
            <w:noProof/>
            <w:webHidden/>
          </w:rPr>
          <w:fldChar w:fldCharType="separate"/>
        </w:r>
        <w:r>
          <w:rPr>
            <w:noProof/>
            <w:webHidden/>
          </w:rPr>
          <w:t>555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70" w:history="1">
        <w:r w:rsidRPr="00CD0B56">
          <w:rPr>
            <w:rStyle w:val="Hyperlink"/>
            <w:noProof/>
          </w:rPr>
          <w:t>2.1.1502</w:t>
        </w:r>
        <w:r>
          <w:rPr>
            <w:rFonts w:asciiTheme="minorHAnsi" w:eastAsiaTheme="minorEastAsia" w:hAnsiTheme="minorHAnsi" w:cstheme="minorBidi"/>
            <w:noProof/>
            <w:sz w:val="22"/>
            <w:szCs w:val="22"/>
          </w:rPr>
          <w:tab/>
        </w:r>
        <w:r w:rsidRPr="00CD0B56">
          <w:rPr>
            <w:rStyle w:val="Hyperlink"/>
            <w:noProof/>
          </w:rPr>
          <w:t>Part 1 Section 21.2.2.127, ofPieType (Pie of Pie or Bar of Pie Type)</w:t>
        </w:r>
        <w:r>
          <w:rPr>
            <w:noProof/>
            <w:webHidden/>
          </w:rPr>
          <w:tab/>
        </w:r>
        <w:r>
          <w:rPr>
            <w:noProof/>
            <w:webHidden/>
          </w:rPr>
          <w:fldChar w:fldCharType="begin"/>
        </w:r>
        <w:r>
          <w:rPr>
            <w:noProof/>
            <w:webHidden/>
          </w:rPr>
          <w:instrText xml:space="preserve"> PAGEREF _Toc12261570 \h </w:instrText>
        </w:r>
        <w:r>
          <w:rPr>
            <w:noProof/>
            <w:webHidden/>
          </w:rPr>
        </w:r>
        <w:r>
          <w:rPr>
            <w:noProof/>
            <w:webHidden/>
          </w:rPr>
          <w:fldChar w:fldCharType="separate"/>
        </w:r>
        <w:r>
          <w:rPr>
            <w:noProof/>
            <w:webHidden/>
          </w:rPr>
          <w:t>555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71" w:history="1">
        <w:r w:rsidRPr="00CD0B56">
          <w:rPr>
            <w:rStyle w:val="Hyperlink"/>
            <w:noProof/>
          </w:rPr>
          <w:t>2.1.1503</w:t>
        </w:r>
        <w:r>
          <w:rPr>
            <w:rFonts w:asciiTheme="minorHAnsi" w:eastAsiaTheme="minorEastAsia" w:hAnsiTheme="minorHAnsi" w:cstheme="minorBidi"/>
            <w:noProof/>
            <w:sz w:val="22"/>
            <w:szCs w:val="22"/>
          </w:rPr>
          <w:tab/>
        </w:r>
        <w:r w:rsidRPr="00CD0B56">
          <w:rPr>
            <w:rStyle w:val="Hyperlink"/>
            <w:noProof/>
          </w:rPr>
          <w:t>Part 1 Section 21.2.2.128, order (Order)</w:t>
        </w:r>
        <w:r>
          <w:rPr>
            <w:noProof/>
            <w:webHidden/>
          </w:rPr>
          <w:tab/>
        </w:r>
        <w:r>
          <w:rPr>
            <w:noProof/>
            <w:webHidden/>
          </w:rPr>
          <w:fldChar w:fldCharType="begin"/>
        </w:r>
        <w:r>
          <w:rPr>
            <w:noProof/>
            <w:webHidden/>
          </w:rPr>
          <w:instrText xml:space="preserve"> PAGEREF _Toc12261571 \h </w:instrText>
        </w:r>
        <w:r>
          <w:rPr>
            <w:noProof/>
            <w:webHidden/>
          </w:rPr>
        </w:r>
        <w:r>
          <w:rPr>
            <w:noProof/>
            <w:webHidden/>
          </w:rPr>
          <w:fldChar w:fldCharType="separate"/>
        </w:r>
        <w:r>
          <w:rPr>
            <w:noProof/>
            <w:webHidden/>
          </w:rPr>
          <w:t>555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72" w:history="1">
        <w:r w:rsidRPr="00CD0B56">
          <w:rPr>
            <w:rStyle w:val="Hyperlink"/>
            <w:noProof/>
          </w:rPr>
          <w:t>2.1.1504</w:t>
        </w:r>
        <w:r>
          <w:rPr>
            <w:rFonts w:asciiTheme="minorHAnsi" w:eastAsiaTheme="minorEastAsia" w:hAnsiTheme="minorHAnsi" w:cstheme="minorBidi"/>
            <w:noProof/>
            <w:sz w:val="22"/>
            <w:szCs w:val="22"/>
          </w:rPr>
          <w:tab/>
        </w:r>
        <w:r w:rsidRPr="00CD0B56">
          <w:rPr>
            <w:rStyle w:val="Hyperlink"/>
            <w:noProof/>
          </w:rPr>
          <w:t>Part 1 Section 21.2.2.129, order (Polynomial Trendline Order)</w:t>
        </w:r>
        <w:r>
          <w:rPr>
            <w:noProof/>
            <w:webHidden/>
          </w:rPr>
          <w:tab/>
        </w:r>
        <w:r>
          <w:rPr>
            <w:noProof/>
            <w:webHidden/>
          </w:rPr>
          <w:fldChar w:fldCharType="begin"/>
        </w:r>
        <w:r>
          <w:rPr>
            <w:noProof/>
            <w:webHidden/>
          </w:rPr>
          <w:instrText xml:space="preserve"> PAGEREF _Toc12261572 \h </w:instrText>
        </w:r>
        <w:r>
          <w:rPr>
            <w:noProof/>
            <w:webHidden/>
          </w:rPr>
        </w:r>
        <w:r>
          <w:rPr>
            <w:noProof/>
            <w:webHidden/>
          </w:rPr>
          <w:fldChar w:fldCharType="separate"/>
        </w:r>
        <w:r>
          <w:rPr>
            <w:noProof/>
            <w:webHidden/>
          </w:rPr>
          <w:t>555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73" w:history="1">
        <w:r w:rsidRPr="00CD0B56">
          <w:rPr>
            <w:rStyle w:val="Hyperlink"/>
            <w:noProof/>
          </w:rPr>
          <w:t>2.1.1505</w:t>
        </w:r>
        <w:r>
          <w:rPr>
            <w:rFonts w:asciiTheme="minorHAnsi" w:eastAsiaTheme="minorEastAsia" w:hAnsiTheme="minorHAnsi" w:cstheme="minorBidi"/>
            <w:noProof/>
            <w:sz w:val="22"/>
            <w:szCs w:val="22"/>
          </w:rPr>
          <w:tab/>
        </w:r>
        <w:r w:rsidRPr="00CD0B56">
          <w:rPr>
            <w:rStyle w:val="Hyperlink"/>
            <w:noProof/>
          </w:rPr>
          <w:t>Part 1 Section 21.2.2.130, orientation (Axis Orientation)</w:t>
        </w:r>
        <w:r>
          <w:rPr>
            <w:noProof/>
            <w:webHidden/>
          </w:rPr>
          <w:tab/>
        </w:r>
        <w:r>
          <w:rPr>
            <w:noProof/>
            <w:webHidden/>
          </w:rPr>
          <w:fldChar w:fldCharType="begin"/>
        </w:r>
        <w:r>
          <w:rPr>
            <w:noProof/>
            <w:webHidden/>
          </w:rPr>
          <w:instrText xml:space="preserve"> PAGEREF _Toc12261573 \h </w:instrText>
        </w:r>
        <w:r>
          <w:rPr>
            <w:noProof/>
            <w:webHidden/>
          </w:rPr>
        </w:r>
        <w:r>
          <w:rPr>
            <w:noProof/>
            <w:webHidden/>
          </w:rPr>
          <w:fldChar w:fldCharType="separate"/>
        </w:r>
        <w:r>
          <w:rPr>
            <w:noProof/>
            <w:webHidden/>
          </w:rPr>
          <w:t>555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74" w:history="1">
        <w:r w:rsidRPr="00CD0B56">
          <w:rPr>
            <w:rStyle w:val="Hyperlink"/>
            <w:noProof/>
          </w:rPr>
          <w:t>2.1.1506</w:t>
        </w:r>
        <w:r>
          <w:rPr>
            <w:rFonts w:asciiTheme="minorHAnsi" w:eastAsiaTheme="minorEastAsia" w:hAnsiTheme="minorHAnsi" w:cstheme="minorBidi"/>
            <w:noProof/>
            <w:sz w:val="22"/>
            <w:szCs w:val="22"/>
          </w:rPr>
          <w:tab/>
        </w:r>
        <w:r w:rsidRPr="00CD0B56">
          <w:rPr>
            <w:rStyle w:val="Hyperlink"/>
            <w:noProof/>
          </w:rPr>
          <w:t>Part 1 Section 21.2.2.131, overlap (Overlap)</w:t>
        </w:r>
        <w:r>
          <w:rPr>
            <w:noProof/>
            <w:webHidden/>
          </w:rPr>
          <w:tab/>
        </w:r>
        <w:r>
          <w:rPr>
            <w:noProof/>
            <w:webHidden/>
          </w:rPr>
          <w:fldChar w:fldCharType="begin"/>
        </w:r>
        <w:r>
          <w:rPr>
            <w:noProof/>
            <w:webHidden/>
          </w:rPr>
          <w:instrText xml:space="preserve"> PAGEREF _Toc12261574 \h </w:instrText>
        </w:r>
        <w:r>
          <w:rPr>
            <w:noProof/>
            <w:webHidden/>
          </w:rPr>
        </w:r>
        <w:r>
          <w:rPr>
            <w:noProof/>
            <w:webHidden/>
          </w:rPr>
          <w:fldChar w:fldCharType="separate"/>
        </w:r>
        <w:r>
          <w:rPr>
            <w:noProof/>
            <w:webHidden/>
          </w:rPr>
          <w:t>556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75" w:history="1">
        <w:r w:rsidRPr="00CD0B56">
          <w:rPr>
            <w:rStyle w:val="Hyperlink"/>
            <w:noProof/>
          </w:rPr>
          <w:t>2.1.1507</w:t>
        </w:r>
        <w:r>
          <w:rPr>
            <w:rFonts w:asciiTheme="minorHAnsi" w:eastAsiaTheme="minorEastAsia" w:hAnsiTheme="minorHAnsi" w:cstheme="minorBidi"/>
            <w:noProof/>
            <w:sz w:val="22"/>
            <w:szCs w:val="22"/>
          </w:rPr>
          <w:tab/>
        </w:r>
        <w:r w:rsidRPr="00CD0B56">
          <w:rPr>
            <w:rStyle w:val="Hyperlink"/>
            <w:noProof/>
          </w:rPr>
          <w:t>Part 1 Section 21.2.2.133, pageMargins (Page Margins)</w:t>
        </w:r>
        <w:r>
          <w:rPr>
            <w:noProof/>
            <w:webHidden/>
          </w:rPr>
          <w:tab/>
        </w:r>
        <w:r>
          <w:rPr>
            <w:noProof/>
            <w:webHidden/>
          </w:rPr>
          <w:fldChar w:fldCharType="begin"/>
        </w:r>
        <w:r>
          <w:rPr>
            <w:noProof/>
            <w:webHidden/>
          </w:rPr>
          <w:instrText xml:space="preserve"> PAGEREF _Toc12261575 \h </w:instrText>
        </w:r>
        <w:r>
          <w:rPr>
            <w:noProof/>
            <w:webHidden/>
          </w:rPr>
        </w:r>
        <w:r>
          <w:rPr>
            <w:noProof/>
            <w:webHidden/>
          </w:rPr>
          <w:fldChar w:fldCharType="separate"/>
        </w:r>
        <w:r>
          <w:rPr>
            <w:noProof/>
            <w:webHidden/>
          </w:rPr>
          <w:t>556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76" w:history="1">
        <w:r w:rsidRPr="00CD0B56">
          <w:rPr>
            <w:rStyle w:val="Hyperlink"/>
            <w:noProof/>
          </w:rPr>
          <w:t>2.1.1508</w:t>
        </w:r>
        <w:r>
          <w:rPr>
            <w:rFonts w:asciiTheme="minorHAnsi" w:eastAsiaTheme="minorEastAsia" w:hAnsiTheme="minorHAnsi" w:cstheme="minorBidi"/>
            <w:noProof/>
            <w:sz w:val="22"/>
            <w:szCs w:val="22"/>
          </w:rPr>
          <w:tab/>
        </w:r>
        <w:r w:rsidRPr="00CD0B56">
          <w:rPr>
            <w:rStyle w:val="Hyperlink"/>
            <w:noProof/>
          </w:rPr>
          <w:t>Part 1 Section 21.2.2.134, pageSetup (Page Setup)</w:t>
        </w:r>
        <w:r>
          <w:rPr>
            <w:noProof/>
            <w:webHidden/>
          </w:rPr>
          <w:tab/>
        </w:r>
        <w:r>
          <w:rPr>
            <w:noProof/>
            <w:webHidden/>
          </w:rPr>
          <w:fldChar w:fldCharType="begin"/>
        </w:r>
        <w:r>
          <w:rPr>
            <w:noProof/>
            <w:webHidden/>
          </w:rPr>
          <w:instrText xml:space="preserve"> PAGEREF _Toc12261576 \h </w:instrText>
        </w:r>
        <w:r>
          <w:rPr>
            <w:noProof/>
            <w:webHidden/>
          </w:rPr>
        </w:r>
        <w:r>
          <w:rPr>
            <w:noProof/>
            <w:webHidden/>
          </w:rPr>
          <w:fldChar w:fldCharType="separate"/>
        </w:r>
        <w:r>
          <w:rPr>
            <w:noProof/>
            <w:webHidden/>
          </w:rPr>
          <w:t>556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77" w:history="1">
        <w:r w:rsidRPr="00CD0B56">
          <w:rPr>
            <w:rStyle w:val="Hyperlink"/>
            <w:noProof/>
          </w:rPr>
          <w:t>2.1.1509</w:t>
        </w:r>
        <w:r>
          <w:rPr>
            <w:rFonts w:asciiTheme="minorHAnsi" w:eastAsiaTheme="minorEastAsia" w:hAnsiTheme="minorHAnsi" w:cstheme="minorBidi"/>
            <w:noProof/>
            <w:sz w:val="22"/>
            <w:szCs w:val="22"/>
          </w:rPr>
          <w:tab/>
        </w:r>
        <w:r w:rsidRPr="00CD0B56">
          <w:rPr>
            <w:rStyle w:val="Hyperlink"/>
            <w:noProof/>
          </w:rPr>
          <w:t>Part 1 Section 21.2.2.135, period (Period)</w:t>
        </w:r>
        <w:r>
          <w:rPr>
            <w:noProof/>
            <w:webHidden/>
          </w:rPr>
          <w:tab/>
        </w:r>
        <w:r>
          <w:rPr>
            <w:noProof/>
            <w:webHidden/>
          </w:rPr>
          <w:fldChar w:fldCharType="begin"/>
        </w:r>
        <w:r>
          <w:rPr>
            <w:noProof/>
            <w:webHidden/>
          </w:rPr>
          <w:instrText xml:space="preserve"> PAGEREF _Toc12261577 \h </w:instrText>
        </w:r>
        <w:r>
          <w:rPr>
            <w:noProof/>
            <w:webHidden/>
          </w:rPr>
        </w:r>
        <w:r>
          <w:rPr>
            <w:noProof/>
            <w:webHidden/>
          </w:rPr>
          <w:fldChar w:fldCharType="separate"/>
        </w:r>
        <w:r>
          <w:rPr>
            <w:noProof/>
            <w:webHidden/>
          </w:rPr>
          <w:t>561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78" w:history="1">
        <w:r w:rsidRPr="00CD0B56">
          <w:rPr>
            <w:rStyle w:val="Hyperlink"/>
            <w:noProof/>
          </w:rPr>
          <w:t>2.1.1510</w:t>
        </w:r>
        <w:r>
          <w:rPr>
            <w:rFonts w:asciiTheme="minorHAnsi" w:eastAsiaTheme="minorEastAsia" w:hAnsiTheme="minorHAnsi" w:cstheme="minorBidi"/>
            <w:noProof/>
            <w:sz w:val="22"/>
            <w:szCs w:val="22"/>
          </w:rPr>
          <w:tab/>
        </w:r>
        <w:r w:rsidRPr="00CD0B56">
          <w:rPr>
            <w:rStyle w:val="Hyperlink"/>
            <w:noProof/>
          </w:rPr>
          <w:t>Part 1 Section 21.2.2.136, perspective (Perspective)</w:t>
        </w:r>
        <w:r>
          <w:rPr>
            <w:noProof/>
            <w:webHidden/>
          </w:rPr>
          <w:tab/>
        </w:r>
        <w:r>
          <w:rPr>
            <w:noProof/>
            <w:webHidden/>
          </w:rPr>
          <w:fldChar w:fldCharType="begin"/>
        </w:r>
        <w:r>
          <w:rPr>
            <w:noProof/>
            <w:webHidden/>
          </w:rPr>
          <w:instrText xml:space="preserve"> PAGEREF _Toc12261578 \h </w:instrText>
        </w:r>
        <w:r>
          <w:rPr>
            <w:noProof/>
            <w:webHidden/>
          </w:rPr>
        </w:r>
        <w:r>
          <w:rPr>
            <w:noProof/>
            <w:webHidden/>
          </w:rPr>
          <w:fldChar w:fldCharType="separate"/>
        </w:r>
        <w:r>
          <w:rPr>
            <w:noProof/>
            <w:webHidden/>
          </w:rPr>
          <w:t>561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79" w:history="1">
        <w:r w:rsidRPr="00CD0B56">
          <w:rPr>
            <w:rStyle w:val="Hyperlink"/>
            <w:noProof/>
          </w:rPr>
          <w:t>2.1.1511</w:t>
        </w:r>
        <w:r>
          <w:rPr>
            <w:rFonts w:asciiTheme="minorHAnsi" w:eastAsiaTheme="minorEastAsia" w:hAnsiTheme="minorHAnsi" w:cstheme="minorBidi"/>
            <w:noProof/>
            <w:sz w:val="22"/>
            <w:szCs w:val="22"/>
          </w:rPr>
          <w:tab/>
        </w:r>
        <w:r w:rsidRPr="00CD0B56">
          <w:rPr>
            <w:rStyle w:val="Hyperlink"/>
            <w:noProof/>
          </w:rPr>
          <w:t>Part 1 Section 21.2.2.138, pictureOptions (Picture Options)</w:t>
        </w:r>
        <w:r>
          <w:rPr>
            <w:noProof/>
            <w:webHidden/>
          </w:rPr>
          <w:tab/>
        </w:r>
        <w:r>
          <w:rPr>
            <w:noProof/>
            <w:webHidden/>
          </w:rPr>
          <w:fldChar w:fldCharType="begin"/>
        </w:r>
        <w:r>
          <w:rPr>
            <w:noProof/>
            <w:webHidden/>
          </w:rPr>
          <w:instrText xml:space="preserve"> PAGEREF _Toc12261579 \h </w:instrText>
        </w:r>
        <w:r>
          <w:rPr>
            <w:noProof/>
            <w:webHidden/>
          </w:rPr>
        </w:r>
        <w:r>
          <w:rPr>
            <w:noProof/>
            <w:webHidden/>
          </w:rPr>
          <w:fldChar w:fldCharType="separate"/>
        </w:r>
        <w:r>
          <w:rPr>
            <w:noProof/>
            <w:webHidden/>
          </w:rPr>
          <w:t>561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80" w:history="1">
        <w:r w:rsidRPr="00CD0B56">
          <w:rPr>
            <w:rStyle w:val="Hyperlink"/>
            <w:noProof/>
          </w:rPr>
          <w:t>2.1.1512</w:t>
        </w:r>
        <w:r>
          <w:rPr>
            <w:rFonts w:asciiTheme="minorHAnsi" w:eastAsiaTheme="minorEastAsia" w:hAnsiTheme="minorHAnsi" w:cstheme="minorBidi"/>
            <w:noProof/>
            <w:sz w:val="22"/>
            <w:szCs w:val="22"/>
          </w:rPr>
          <w:tab/>
        </w:r>
        <w:r w:rsidRPr="00CD0B56">
          <w:rPr>
            <w:rStyle w:val="Hyperlink"/>
            <w:noProof/>
          </w:rPr>
          <w:t>Part 1 Section 21.2.2.140, pie3DChart (3D Pie Charts)</w:t>
        </w:r>
        <w:r>
          <w:rPr>
            <w:noProof/>
            <w:webHidden/>
          </w:rPr>
          <w:tab/>
        </w:r>
        <w:r>
          <w:rPr>
            <w:noProof/>
            <w:webHidden/>
          </w:rPr>
          <w:fldChar w:fldCharType="begin"/>
        </w:r>
        <w:r>
          <w:rPr>
            <w:noProof/>
            <w:webHidden/>
          </w:rPr>
          <w:instrText xml:space="preserve"> PAGEREF _Toc12261580 \h </w:instrText>
        </w:r>
        <w:r>
          <w:rPr>
            <w:noProof/>
            <w:webHidden/>
          </w:rPr>
        </w:r>
        <w:r>
          <w:rPr>
            <w:noProof/>
            <w:webHidden/>
          </w:rPr>
          <w:fldChar w:fldCharType="separate"/>
        </w:r>
        <w:r>
          <w:rPr>
            <w:noProof/>
            <w:webHidden/>
          </w:rPr>
          <w:t>561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81" w:history="1">
        <w:r w:rsidRPr="00CD0B56">
          <w:rPr>
            <w:rStyle w:val="Hyperlink"/>
            <w:noProof/>
          </w:rPr>
          <w:t>2.1.1513</w:t>
        </w:r>
        <w:r>
          <w:rPr>
            <w:rFonts w:asciiTheme="minorHAnsi" w:eastAsiaTheme="minorEastAsia" w:hAnsiTheme="minorHAnsi" w:cstheme="minorBidi"/>
            <w:noProof/>
            <w:sz w:val="22"/>
            <w:szCs w:val="22"/>
          </w:rPr>
          <w:tab/>
        </w:r>
        <w:r w:rsidRPr="00CD0B56">
          <w:rPr>
            <w:rStyle w:val="Hyperlink"/>
            <w:noProof/>
          </w:rPr>
          <w:t>Part 1 Section 21.2.2.141, pieChart (Pie Charts)</w:t>
        </w:r>
        <w:r>
          <w:rPr>
            <w:noProof/>
            <w:webHidden/>
          </w:rPr>
          <w:tab/>
        </w:r>
        <w:r>
          <w:rPr>
            <w:noProof/>
            <w:webHidden/>
          </w:rPr>
          <w:fldChar w:fldCharType="begin"/>
        </w:r>
        <w:r>
          <w:rPr>
            <w:noProof/>
            <w:webHidden/>
          </w:rPr>
          <w:instrText xml:space="preserve"> PAGEREF _Toc12261581 \h </w:instrText>
        </w:r>
        <w:r>
          <w:rPr>
            <w:noProof/>
            <w:webHidden/>
          </w:rPr>
        </w:r>
        <w:r>
          <w:rPr>
            <w:noProof/>
            <w:webHidden/>
          </w:rPr>
          <w:fldChar w:fldCharType="separate"/>
        </w:r>
        <w:r>
          <w:rPr>
            <w:noProof/>
            <w:webHidden/>
          </w:rPr>
          <w:t>562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82" w:history="1">
        <w:r w:rsidRPr="00CD0B56">
          <w:rPr>
            <w:rStyle w:val="Hyperlink"/>
            <w:noProof/>
          </w:rPr>
          <w:t>2.1.1514</w:t>
        </w:r>
        <w:r>
          <w:rPr>
            <w:rFonts w:asciiTheme="minorHAnsi" w:eastAsiaTheme="minorEastAsia" w:hAnsiTheme="minorHAnsi" w:cstheme="minorBidi"/>
            <w:noProof/>
            <w:sz w:val="22"/>
            <w:szCs w:val="22"/>
          </w:rPr>
          <w:tab/>
        </w:r>
        <w:r w:rsidRPr="00CD0B56">
          <w:rPr>
            <w:rStyle w:val="Hyperlink"/>
            <w:noProof/>
          </w:rPr>
          <w:t>Part 1 Section 21.2.2.142, pivotFmt (Pivot Format)</w:t>
        </w:r>
        <w:r>
          <w:rPr>
            <w:noProof/>
            <w:webHidden/>
          </w:rPr>
          <w:tab/>
        </w:r>
        <w:r>
          <w:rPr>
            <w:noProof/>
            <w:webHidden/>
          </w:rPr>
          <w:fldChar w:fldCharType="begin"/>
        </w:r>
        <w:r>
          <w:rPr>
            <w:noProof/>
            <w:webHidden/>
          </w:rPr>
          <w:instrText xml:space="preserve"> PAGEREF _Toc12261582 \h </w:instrText>
        </w:r>
        <w:r>
          <w:rPr>
            <w:noProof/>
            <w:webHidden/>
          </w:rPr>
        </w:r>
        <w:r>
          <w:rPr>
            <w:noProof/>
            <w:webHidden/>
          </w:rPr>
          <w:fldChar w:fldCharType="separate"/>
        </w:r>
        <w:r>
          <w:rPr>
            <w:noProof/>
            <w:webHidden/>
          </w:rPr>
          <w:t>562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83" w:history="1">
        <w:r w:rsidRPr="00CD0B56">
          <w:rPr>
            <w:rStyle w:val="Hyperlink"/>
            <w:noProof/>
          </w:rPr>
          <w:t>2.1.1515</w:t>
        </w:r>
        <w:r>
          <w:rPr>
            <w:rFonts w:asciiTheme="minorHAnsi" w:eastAsiaTheme="minorEastAsia" w:hAnsiTheme="minorHAnsi" w:cstheme="minorBidi"/>
            <w:noProof/>
            <w:sz w:val="22"/>
            <w:szCs w:val="22"/>
          </w:rPr>
          <w:tab/>
        </w:r>
        <w:r w:rsidRPr="00CD0B56">
          <w:rPr>
            <w:rStyle w:val="Hyperlink"/>
            <w:noProof/>
          </w:rPr>
          <w:t>Part 1 Section 21.2.2.143, pivotFmts (Pivot Formats)</w:t>
        </w:r>
        <w:r>
          <w:rPr>
            <w:noProof/>
            <w:webHidden/>
          </w:rPr>
          <w:tab/>
        </w:r>
        <w:r>
          <w:rPr>
            <w:noProof/>
            <w:webHidden/>
          </w:rPr>
          <w:fldChar w:fldCharType="begin"/>
        </w:r>
        <w:r>
          <w:rPr>
            <w:noProof/>
            <w:webHidden/>
          </w:rPr>
          <w:instrText xml:space="preserve"> PAGEREF _Toc12261583 \h </w:instrText>
        </w:r>
        <w:r>
          <w:rPr>
            <w:noProof/>
            <w:webHidden/>
          </w:rPr>
        </w:r>
        <w:r>
          <w:rPr>
            <w:noProof/>
            <w:webHidden/>
          </w:rPr>
          <w:fldChar w:fldCharType="separate"/>
        </w:r>
        <w:r>
          <w:rPr>
            <w:noProof/>
            <w:webHidden/>
          </w:rPr>
          <w:t>562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84" w:history="1">
        <w:r w:rsidRPr="00CD0B56">
          <w:rPr>
            <w:rStyle w:val="Hyperlink"/>
            <w:noProof/>
          </w:rPr>
          <w:t>2.1.1516</w:t>
        </w:r>
        <w:r>
          <w:rPr>
            <w:rFonts w:asciiTheme="minorHAnsi" w:eastAsiaTheme="minorEastAsia" w:hAnsiTheme="minorHAnsi" w:cstheme="minorBidi"/>
            <w:noProof/>
            <w:sz w:val="22"/>
            <w:szCs w:val="22"/>
          </w:rPr>
          <w:tab/>
        </w:r>
        <w:r w:rsidRPr="00CD0B56">
          <w:rPr>
            <w:rStyle w:val="Hyperlink"/>
            <w:noProof/>
          </w:rPr>
          <w:t>Part 1 Section 21.2.2.144, pivotSource (Pivot Source)</w:t>
        </w:r>
        <w:r>
          <w:rPr>
            <w:noProof/>
            <w:webHidden/>
          </w:rPr>
          <w:tab/>
        </w:r>
        <w:r>
          <w:rPr>
            <w:noProof/>
            <w:webHidden/>
          </w:rPr>
          <w:fldChar w:fldCharType="begin"/>
        </w:r>
        <w:r>
          <w:rPr>
            <w:noProof/>
            <w:webHidden/>
          </w:rPr>
          <w:instrText xml:space="preserve"> PAGEREF _Toc12261584 \h </w:instrText>
        </w:r>
        <w:r>
          <w:rPr>
            <w:noProof/>
            <w:webHidden/>
          </w:rPr>
        </w:r>
        <w:r>
          <w:rPr>
            <w:noProof/>
            <w:webHidden/>
          </w:rPr>
          <w:fldChar w:fldCharType="separate"/>
        </w:r>
        <w:r>
          <w:rPr>
            <w:noProof/>
            <w:webHidden/>
          </w:rPr>
          <w:t>562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85" w:history="1">
        <w:r w:rsidRPr="00CD0B56">
          <w:rPr>
            <w:rStyle w:val="Hyperlink"/>
            <w:noProof/>
          </w:rPr>
          <w:t>2.1.1517</w:t>
        </w:r>
        <w:r>
          <w:rPr>
            <w:rFonts w:asciiTheme="minorHAnsi" w:eastAsiaTheme="minorEastAsia" w:hAnsiTheme="minorHAnsi" w:cstheme="minorBidi"/>
            <w:noProof/>
            <w:sz w:val="22"/>
            <w:szCs w:val="22"/>
          </w:rPr>
          <w:tab/>
        </w:r>
        <w:r w:rsidRPr="00CD0B56">
          <w:rPr>
            <w:rStyle w:val="Hyperlink"/>
            <w:noProof/>
          </w:rPr>
          <w:t>Part 1 Section 21.2.2.145, plotArea (Plot Area)</w:t>
        </w:r>
        <w:r>
          <w:rPr>
            <w:noProof/>
            <w:webHidden/>
          </w:rPr>
          <w:tab/>
        </w:r>
        <w:r>
          <w:rPr>
            <w:noProof/>
            <w:webHidden/>
          </w:rPr>
          <w:fldChar w:fldCharType="begin"/>
        </w:r>
        <w:r>
          <w:rPr>
            <w:noProof/>
            <w:webHidden/>
          </w:rPr>
          <w:instrText xml:space="preserve"> PAGEREF _Toc12261585 \h </w:instrText>
        </w:r>
        <w:r>
          <w:rPr>
            <w:noProof/>
            <w:webHidden/>
          </w:rPr>
        </w:r>
        <w:r>
          <w:rPr>
            <w:noProof/>
            <w:webHidden/>
          </w:rPr>
          <w:fldChar w:fldCharType="separate"/>
        </w:r>
        <w:r>
          <w:rPr>
            <w:noProof/>
            <w:webHidden/>
          </w:rPr>
          <w:t>562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86" w:history="1">
        <w:r w:rsidRPr="00CD0B56">
          <w:rPr>
            <w:rStyle w:val="Hyperlink"/>
            <w:noProof/>
          </w:rPr>
          <w:t>2.1.1518</w:t>
        </w:r>
        <w:r>
          <w:rPr>
            <w:rFonts w:asciiTheme="minorHAnsi" w:eastAsiaTheme="minorEastAsia" w:hAnsiTheme="minorHAnsi" w:cstheme="minorBidi"/>
            <w:noProof/>
            <w:sz w:val="22"/>
            <w:szCs w:val="22"/>
          </w:rPr>
          <w:tab/>
        </w:r>
        <w:r w:rsidRPr="00CD0B56">
          <w:rPr>
            <w:rStyle w:val="Hyperlink"/>
            <w:noProof/>
          </w:rPr>
          <w:t>Part 1 Section 21.2.2.147, plus (Plus)</w:t>
        </w:r>
        <w:r>
          <w:rPr>
            <w:noProof/>
            <w:webHidden/>
          </w:rPr>
          <w:tab/>
        </w:r>
        <w:r>
          <w:rPr>
            <w:noProof/>
            <w:webHidden/>
          </w:rPr>
          <w:fldChar w:fldCharType="begin"/>
        </w:r>
        <w:r>
          <w:rPr>
            <w:noProof/>
            <w:webHidden/>
          </w:rPr>
          <w:instrText xml:space="preserve"> PAGEREF _Toc12261586 \h </w:instrText>
        </w:r>
        <w:r>
          <w:rPr>
            <w:noProof/>
            <w:webHidden/>
          </w:rPr>
        </w:r>
        <w:r>
          <w:rPr>
            <w:noProof/>
            <w:webHidden/>
          </w:rPr>
          <w:fldChar w:fldCharType="separate"/>
        </w:r>
        <w:r>
          <w:rPr>
            <w:noProof/>
            <w:webHidden/>
          </w:rPr>
          <w:t>562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87" w:history="1">
        <w:r w:rsidRPr="00CD0B56">
          <w:rPr>
            <w:rStyle w:val="Hyperlink"/>
            <w:noProof/>
          </w:rPr>
          <w:t>2.1.1519</w:t>
        </w:r>
        <w:r>
          <w:rPr>
            <w:rFonts w:asciiTheme="minorHAnsi" w:eastAsiaTheme="minorEastAsia" w:hAnsiTheme="minorHAnsi" w:cstheme="minorBidi"/>
            <w:noProof/>
            <w:sz w:val="22"/>
            <w:szCs w:val="22"/>
          </w:rPr>
          <w:tab/>
        </w:r>
        <w:r w:rsidRPr="00CD0B56">
          <w:rPr>
            <w:rStyle w:val="Hyperlink"/>
            <w:noProof/>
          </w:rPr>
          <w:t>Part 1 Section 21.2.2.148, printSettings (Print Settings)</w:t>
        </w:r>
        <w:r>
          <w:rPr>
            <w:noProof/>
            <w:webHidden/>
          </w:rPr>
          <w:tab/>
        </w:r>
        <w:r>
          <w:rPr>
            <w:noProof/>
            <w:webHidden/>
          </w:rPr>
          <w:fldChar w:fldCharType="begin"/>
        </w:r>
        <w:r>
          <w:rPr>
            <w:noProof/>
            <w:webHidden/>
          </w:rPr>
          <w:instrText xml:space="preserve"> PAGEREF _Toc12261587 \h </w:instrText>
        </w:r>
        <w:r>
          <w:rPr>
            <w:noProof/>
            <w:webHidden/>
          </w:rPr>
        </w:r>
        <w:r>
          <w:rPr>
            <w:noProof/>
            <w:webHidden/>
          </w:rPr>
          <w:fldChar w:fldCharType="separate"/>
        </w:r>
        <w:r>
          <w:rPr>
            <w:noProof/>
            <w:webHidden/>
          </w:rPr>
          <w:t>562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88" w:history="1">
        <w:r w:rsidRPr="00CD0B56">
          <w:rPr>
            <w:rStyle w:val="Hyperlink"/>
            <w:noProof/>
          </w:rPr>
          <w:t>2.1.1520</w:t>
        </w:r>
        <w:r>
          <w:rPr>
            <w:rFonts w:asciiTheme="minorHAnsi" w:eastAsiaTheme="minorEastAsia" w:hAnsiTheme="minorHAnsi" w:cstheme="minorBidi"/>
            <w:noProof/>
            <w:sz w:val="22"/>
            <w:szCs w:val="22"/>
          </w:rPr>
          <w:tab/>
        </w:r>
        <w:r w:rsidRPr="00CD0B56">
          <w:rPr>
            <w:rStyle w:val="Hyperlink"/>
            <w:noProof/>
          </w:rPr>
          <w:t>Part 1 Section 21.2.2.149, protection (Protection)</w:t>
        </w:r>
        <w:r>
          <w:rPr>
            <w:noProof/>
            <w:webHidden/>
          </w:rPr>
          <w:tab/>
        </w:r>
        <w:r>
          <w:rPr>
            <w:noProof/>
            <w:webHidden/>
          </w:rPr>
          <w:fldChar w:fldCharType="begin"/>
        </w:r>
        <w:r>
          <w:rPr>
            <w:noProof/>
            <w:webHidden/>
          </w:rPr>
          <w:instrText xml:space="preserve"> PAGEREF _Toc12261588 \h </w:instrText>
        </w:r>
        <w:r>
          <w:rPr>
            <w:noProof/>
            <w:webHidden/>
          </w:rPr>
        </w:r>
        <w:r>
          <w:rPr>
            <w:noProof/>
            <w:webHidden/>
          </w:rPr>
          <w:fldChar w:fldCharType="separate"/>
        </w:r>
        <w:r>
          <w:rPr>
            <w:noProof/>
            <w:webHidden/>
          </w:rPr>
          <w:t>563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89" w:history="1">
        <w:r w:rsidRPr="00CD0B56">
          <w:rPr>
            <w:rStyle w:val="Hyperlink"/>
            <w:noProof/>
          </w:rPr>
          <w:t>2.1.1521</w:t>
        </w:r>
        <w:r>
          <w:rPr>
            <w:rFonts w:asciiTheme="minorHAnsi" w:eastAsiaTheme="minorEastAsia" w:hAnsiTheme="minorHAnsi" w:cstheme="minorBidi"/>
            <w:noProof/>
            <w:sz w:val="22"/>
            <w:szCs w:val="22"/>
          </w:rPr>
          <w:tab/>
        </w:r>
        <w:r w:rsidRPr="00CD0B56">
          <w:rPr>
            <w:rStyle w:val="Hyperlink"/>
            <w:noProof/>
          </w:rPr>
          <w:t>Part 1 Section 21.2.2.150, pt (Numeric Point)</w:t>
        </w:r>
        <w:r>
          <w:rPr>
            <w:noProof/>
            <w:webHidden/>
          </w:rPr>
          <w:tab/>
        </w:r>
        <w:r>
          <w:rPr>
            <w:noProof/>
            <w:webHidden/>
          </w:rPr>
          <w:fldChar w:fldCharType="begin"/>
        </w:r>
        <w:r>
          <w:rPr>
            <w:noProof/>
            <w:webHidden/>
          </w:rPr>
          <w:instrText xml:space="preserve"> PAGEREF _Toc12261589 \h </w:instrText>
        </w:r>
        <w:r>
          <w:rPr>
            <w:noProof/>
            <w:webHidden/>
          </w:rPr>
        </w:r>
        <w:r>
          <w:rPr>
            <w:noProof/>
            <w:webHidden/>
          </w:rPr>
          <w:fldChar w:fldCharType="separate"/>
        </w:r>
        <w:r>
          <w:rPr>
            <w:noProof/>
            <w:webHidden/>
          </w:rPr>
          <w:t>563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90" w:history="1">
        <w:r w:rsidRPr="00CD0B56">
          <w:rPr>
            <w:rStyle w:val="Hyperlink"/>
            <w:noProof/>
          </w:rPr>
          <w:t>2.1.1522</w:t>
        </w:r>
        <w:r>
          <w:rPr>
            <w:rFonts w:asciiTheme="minorHAnsi" w:eastAsiaTheme="minorEastAsia" w:hAnsiTheme="minorHAnsi" w:cstheme="minorBidi"/>
            <w:noProof/>
            <w:sz w:val="22"/>
            <w:szCs w:val="22"/>
          </w:rPr>
          <w:tab/>
        </w:r>
        <w:r w:rsidRPr="00CD0B56">
          <w:rPr>
            <w:rStyle w:val="Hyperlink"/>
            <w:noProof/>
          </w:rPr>
          <w:t>Part 1 Section 21.2.2.151, pt (String Point)</w:t>
        </w:r>
        <w:r>
          <w:rPr>
            <w:noProof/>
            <w:webHidden/>
          </w:rPr>
          <w:tab/>
        </w:r>
        <w:r>
          <w:rPr>
            <w:noProof/>
            <w:webHidden/>
          </w:rPr>
          <w:fldChar w:fldCharType="begin"/>
        </w:r>
        <w:r>
          <w:rPr>
            <w:noProof/>
            <w:webHidden/>
          </w:rPr>
          <w:instrText xml:space="preserve"> PAGEREF _Toc12261590 \h </w:instrText>
        </w:r>
        <w:r>
          <w:rPr>
            <w:noProof/>
            <w:webHidden/>
          </w:rPr>
        </w:r>
        <w:r>
          <w:rPr>
            <w:noProof/>
            <w:webHidden/>
          </w:rPr>
          <w:fldChar w:fldCharType="separate"/>
        </w:r>
        <w:r>
          <w:rPr>
            <w:noProof/>
            <w:webHidden/>
          </w:rPr>
          <w:t>563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91" w:history="1">
        <w:r w:rsidRPr="00CD0B56">
          <w:rPr>
            <w:rStyle w:val="Hyperlink"/>
            <w:noProof/>
          </w:rPr>
          <w:t>2.1.1523</w:t>
        </w:r>
        <w:r>
          <w:rPr>
            <w:rFonts w:asciiTheme="minorHAnsi" w:eastAsiaTheme="minorEastAsia" w:hAnsiTheme="minorHAnsi" w:cstheme="minorBidi"/>
            <w:noProof/>
            <w:sz w:val="22"/>
            <w:szCs w:val="22"/>
          </w:rPr>
          <w:tab/>
        </w:r>
        <w:r w:rsidRPr="00CD0B56">
          <w:rPr>
            <w:rStyle w:val="Hyperlink"/>
            <w:noProof/>
          </w:rPr>
          <w:t>Part 1 Section 21.2.2.152, ptCount (Point Count)</w:t>
        </w:r>
        <w:r>
          <w:rPr>
            <w:noProof/>
            <w:webHidden/>
          </w:rPr>
          <w:tab/>
        </w:r>
        <w:r>
          <w:rPr>
            <w:noProof/>
            <w:webHidden/>
          </w:rPr>
          <w:fldChar w:fldCharType="begin"/>
        </w:r>
        <w:r>
          <w:rPr>
            <w:noProof/>
            <w:webHidden/>
          </w:rPr>
          <w:instrText xml:space="preserve"> PAGEREF _Toc12261591 \h </w:instrText>
        </w:r>
        <w:r>
          <w:rPr>
            <w:noProof/>
            <w:webHidden/>
          </w:rPr>
        </w:r>
        <w:r>
          <w:rPr>
            <w:noProof/>
            <w:webHidden/>
          </w:rPr>
          <w:fldChar w:fldCharType="separate"/>
        </w:r>
        <w:r>
          <w:rPr>
            <w:noProof/>
            <w:webHidden/>
          </w:rPr>
          <w:t>563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92" w:history="1">
        <w:r w:rsidRPr="00CD0B56">
          <w:rPr>
            <w:rStyle w:val="Hyperlink"/>
            <w:noProof/>
          </w:rPr>
          <w:t>2.1.1524</w:t>
        </w:r>
        <w:r>
          <w:rPr>
            <w:rFonts w:asciiTheme="minorHAnsi" w:eastAsiaTheme="minorEastAsia" w:hAnsiTheme="minorHAnsi" w:cstheme="minorBidi"/>
            <w:noProof/>
            <w:sz w:val="22"/>
            <w:szCs w:val="22"/>
          </w:rPr>
          <w:tab/>
        </w:r>
        <w:r w:rsidRPr="00CD0B56">
          <w:rPr>
            <w:rStyle w:val="Hyperlink"/>
            <w:noProof/>
          </w:rPr>
          <w:t>Part 1 Section 21.2.2.153, radarChart (Radar Charts)</w:t>
        </w:r>
        <w:r>
          <w:rPr>
            <w:noProof/>
            <w:webHidden/>
          </w:rPr>
          <w:tab/>
        </w:r>
        <w:r>
          <w:rPr>
            <w:noProof/>
            <w:webHidden/>
          </w:rPr>
          <w:fldChar w:fldCharType="begin"/>
        </w:r>
        <w:r>
          <w:rPr>
            <w:noProof/>
            <w:webHidden/>
          </w:rPr>
          <w:instrText xml:space="preserve"> PAGEREF _Toc12261592 \h </w:instrText>
        </w:r>
        <w:r>
          <w:rPr>
            <w:noProof/>
            <w:webHidden/>
          </w:rPr>
        </w:r>
        <w:r>
          <w:rPr>
            <w:noProof/>
            <w:webHidden/>
          </w:rPr>
          <w:fldChar w:fldCharType="separate"/>
        </w:r>
        <w:r>
          <w:rPr>
            <w:noProof/>
            <w:webHidden/>
          </w:rPr>
          <w:t>563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93" w:history="1">
        <w:r w:rsidRPr="00CD0B56">
          <w:rPr>
            <w:rStyle w:val="Hyperlink"/>
            <w:noProof/>
          </w:rPr>
          <w:t>2.1.1525</w:t>
        </w:r>
        <w:r>
          <w:rPr>
            <w:rFonts w:asciiTheme="minorHAnsi" w:eastAsiaTheme="minorEastAsia" w:hAnsiTheme="minorHAnsi" w:cstheme="minorBidi"/>
            <w:noProof/>
            <w:sz w:val="22"/>
            <w:szCs w:val="22"/>
          </w:rPr>
          <w:tab/>
        </w:r>
        <w:r w:rsidRPr="00CD0B56">
          <w:rPr>
            <w:rStyle w:val="Hyperlink"/>
            <w:noProof/>
          </w:rPr>
          <w:t>Part 1 Section 21.2.2.154, radarStyle (Radar Style)</w:t>
        </w:r>
        <w:r>
          <w:rPr>
            <w:noProof/>
            <w:webHidden/>
          </w:rPr>
          <w:tab/>
        </w:r>
        <w:r>
          <w:rPr>
            <w:noProof/>
            <w:webHidden/>
          </w:rPr>
          <w:fldChar w:fldCharType="begin"/>
        </w:r>
        <w:r>
          <w:rPr>
            <w:noProof/>
            <w:webHidden/>
          </w:rPr>
          <w:instrText xml:space="preserve"> PAGEREF _Toc12261593 \h </w:instrText>
        </w:r>
        <w:r>
          <w:rPr>
            <w:noProof/>
            <w:webHidden/>
          </w:rPr>
        </w:r>
        <w:r>
          <w:rPr>
            <w:noProof/>
            <w:webHidden/>
          </w:rPr>
          <w:fldChar w:fldCharType="separate"/>
        </w:r>
        <w:r>
          <w:rPr>
            <w:noProof/>
            <w:webHidden/>
          </w:rPr>
          <w:t>563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94" w:history="1">
        <w:r w:rsidRPr="00CD0B56">
          <w:rPr>
            <w:rStyle w:val="Hyperlink"/>
            <w:noProof/>
          </w:rPr>
          <w:t>2.1.1526</w:t>
        </w:r>
        <w:r>
          <w:rPr>
            <w:rFonts w:asciiTheme="minorHAnsi" w:eastAsiaTheme="minorEastAsia" w:hAnsiTheme="minorHAnsi" w:cstheme="minorBidi"/>
            <w:noProof/>
            <w:sz w:val="22"/>
            <w:szCs w:val="22"/>
          </w:rPr>
          <w:tab/>
        </w:r>
        <w:r w:rsidRPr="00CD0B56">
          <w:rPr>
            <w:rStyle w:val="Hyperlink"/>
            <w:noProof/>
          </w:rPr>
          <w:t>Part 1 Section 21.2.2.155, rAngAx (Right Angle Axes)</w:t>
        </w:r>
        <w:r>
          <w:rPr>
            <w:noProof/>
            <w:webHidden/>
          </w:rPr>
          <w:tab/>
        </w:r>
        <w:r>
          <w:rPr>
            <w:noProof/>
            <w:webHidden/>
          </w:rPr>
          <w:fldChar w:fldCharType="begin"/>
        </w:r>
        <w:r>
          <w:rPr>
            <w:noProof/>
            <w:webHidden/>
          </w:rPr>
          <w:instrText xml:space="preserve"> PAGEREF _Toc12261594 \h </w:instrText>
        </w:r>
        <w:r>
          <w:rPr>
            <w:noProof/>
            <w:webHidden/>
          </w:rPr>
        </w:r>
        <w:r>
          <w:rPr>
            <w:noProof/>
            <w:webHidden/>
          </w:rPr>
          <w:fldChar w:fldCharType="separate"/>
        </w:r>
        <w:r>
          <w:rPr>
            <w:noProof/>
            <w:webHidden/>
          </w:rPr>
          <w:t>564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95" w:history="1">
        <w:r w:rsidRPr="00CD0B56">
          <w:rPr>
            <w:rStyle w:val="Hyperlink"/>
            <w:noProof/>
          </w:rPr>
          <w:t>2.1.1527</w:t>
        </w:r>
        <w:r>
          <w:rPr>
            <w:rFonts w:asciiTheme="minorHAnsi" w:eastAsiaTheme="minorEastAsia" w:hAnsiTheme="minorHAnsi" w:cstheme="minorBidi"/>
            <w:noProof/>
            <w:sz w:val="22"/>
            <w:szCs w:val="22"/>
          </w:rPr>
          <w:tab/>
        </w:r>
        <w:r w:rsidRPr="00CD0B56">
          <w:rPr>
            <w:rStyle w:val="Hyperlink"/>
            <w:noProof/>
          </w:rPr>
          <w:t>Part 1 Section 21.2.2.156, rich (Rich Text)</w:t>
        </w:r>
        <w:r>
          <w:rPr>
            <w:noProof/>
            <w:webHidden/>
          </w:rPr>
          <w:tab/>
        </w:r>
        <w:r>
          <w:rPr>
            <w:noProof/>
            <w:webHidden/>
          </w:rPr>
          <w:fldChar w:fldCharType="begin"/>
        </w:r>
        <w:r>
          <w:rPr>
            <w:noProof/>
            <w:webHidden/>
          </w:rPr>
          <w:instrText xml:space="preserve"> PAGEREF _Toc12261595 \h </w:instrText>
        </w:r>
        <w:r>
          <w:rPr>
            <w:noProof/>
            <w:webHidden/>
          </w:rPr>
        </w:r>
        <w:r>
          <w:rPr>
            <w:noProof/>
            <w:webHidden/>
          </w:rPr>
          <w:fldChar w:fldCharType="separate"/>
        </w:r>
        <w:r>
          <w:rPr>
            <w:noProof/>
            <w:webHidden/>
          </w:rPr>
          <w:t>564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96" w:history="1">
        <w:r w:rsidRPr="00CD0B56">
          <w:rPr>
            <w:rStyle w:val="Hyperlink"/>
            <w:noProof/>
          </w:rPr>
          <w:t>2.1.1528</w:t>
        </w:r>
        <w:r>
          <w:rPr>
            <w:rFonts w:asciiTheme="minorHAnsi" w:eastAsiaTheme="minorEastAsia" w:hAnsiTheme="minorHAnsi" w:cstheme="minorBidi"/>
            <w:noProof/>
            <w:sz w:val="22"/>
            <w:szCs w:val="22"/>
          </w:rPr>
          <w:tab/>
        </w:r>
        <w:r w:rsidRPr="00CD0B56">
          <w:rPr>
            <w:rStyle w:val="Hyperlink"/>
            <w:noProof/>
          </w:rPr>
          <w:t>Part 1 Section 21.2.2.161, scatterChart (Scatter Charts)</w:t>
        </w:r>
        <w:r>
          <w:rPr>
            <w:noProof/>
            <w:webHidden/>
          </w:rPr>
          <w:tab/>
        </w:r>
        <w:r>
          <w:rPr>
            <w:noProof/>
            <w:webHidden/>
          </w:rPr>
          <w:fldChar w:fldCharType="begin"/>
        </w:r>
        <w:r>
          <w:rPr>
            <w:noProof/>
            <w:webHidden/>
          </w:rPr>
          <w:instrText xml:space="preserve"> PAGEREF _Toc12261596 \h </w:instrText>
        </w:r>
        <w:r>
          <w:rPr>
            <w:noProof/>
            <w:webHidden/>
          </w:rPr>
        </w:r>
        <w:r>
          <w:rPr>
            <w:noProof/>
            <w:webHidden/>
          </w:rPr>
          <w:fldChar w:fldCharType="separate"/>
        </w:r>
        <w:r>
          <w:rPr>
            <w:noProof/>
            <w:webHidden/>
          </w:rPr>
          <w:t>564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97" w:history="1">
        <w:r w:rsidRPr="00CD0B56">
          <w:rPr>
            <w:rStyle w:val="Hyperlink"/>
            <w:noProof/>
          </w:rPr>
          <w:t>2.1.1529</w:t>
        </w:r>
        <w:r>
          <w:rPr>
            <w:rFonts w:asciiTheme="minorHAnsi" w:eastAsiaTheme="minorEastAsia" w:hAnsiTheme="minorHAnsi" w:cstheme="minorBidi"/>
            <w:noProof/>
            <w:sz w:val="22"/>
            <w:szCs w:val="22"/>
          </w:rPr>
          <w:tab/>
        </w:r>
        <w:r w:rsidRPr="00CD0B56">
          <w:rPr>
            <w:rStyle w:val="Hyperlink"/>
            <w:noProof/>
          </w:rPr>
          <w:t>Part 1 Section 21.2.2.163, secondPiePt (Second Pie Point)</w:t>
        </w:r>
        <w:r>
          <w:rPr>
            <w:noProof/>
            <w:webHidden/>
          </w:rPr>
          <w:tab/>
        </w:r>
        <w:r>
          <w:rPr>
            <w:noProof/>
            <w:webHidden/>
          </w:rPr>
          <w:fldChar w:fldCharType="begin"/>
        </w:r>
        <w:r>
          <w:rPr>
            <w:noProof/>
            <w:webHidden/>
          </w:rPr>
          <w:instrText xml:space="preserve"> PAGEREF _Toc12261597 \h </w:instrText>
        </w:r>
        <w:r>
          <w:rPr>
            <w:noProof/>
            <w:webHidden/>
          </w:rPr>
        </w:r>
        <w:r>
          <w:rPr>
            <w:noProof/>
            <w:webHidden/>
          </w:rPr>
          <w:fldChar w:fldCharType="separate"/>
        </w:r>
        <w:r>
          <w:rPr>
            <w:noProof/>
            <w:webHidden/>
          </w:rPr>
          <w:t>564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98" w:history="1">
        <w:r w:rsidRPr="00CD0B56">
          <w:rPr>
            <w:rStyle w:val="Hyperlink"/>
            <w:noProof/>
          </w:rPr>
          <w:t>2.1.1530</w:t>
        </w:r>
        <w:r>
          <w:rPr>
            <w:rFonts w:asciiTheme="minorHAnsi" w:eastAsiaTheme="minorEastAsia" w:hAnsiTheme="minorHAnsi" w:cstheme="minorBidi"/>
            <w:noProof/>
            <w:sz w:val="22"/>
            <w:szCs w:val="22"/>
          </w:rPr>
          <w:tab/>
        </w:r>
        <w:r w:rsidRPr="00CD0B56">
          <w:rPr>
            <w:rStyle w:val="Hyperlink"/>
            <w:noProof/>
          </w:rPr>
          <w:t>Part 1 Section 21.2.2.166, separator (Separator)</w:t>
        </w:r>
        <w:r>
          <w:rPr>
            <w:noProof/>
            <w:webHidden/>
          </w:rPr>
          <w:tab/>
        </w:r>
        <w:r>
          <w:rPr>
            <w:noProof/>
            <w:webHidden/>
          </w:rPr>
          <w:fldChar w:fldCharType="begin"/>
        </w:r>
        <w:r>
          <w:rPr>
            <w:noProof/>
            <w:webHidden/>
          </w:rPr>
          <w:instrText xml:space="preserve"> PAGEREF _Toc12261598 \h </w:instrText>
        </w:r>
        <w:r>
          <w:rPr>
            <w:noProof/>
            <w:webHidden/>
          </w:rPr>
        </w:r>
        <w:r>
          <w:rPr>
            <w:noProof/>
            <w:webHidden/>
          </w:rPr>
          <w:fldChar w:fldCharType="separate"/>
        </w:r>
        <w:r>
          <w:rPr>
            <w:noProof/>
            <w:webHidden/>
          </w:rPr>
          <w:t>564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599" w:history="1">
        <w:r w:rsidRPr="00CD0B56">
          <w:rPr>
            <w:rStyle w:val="Hyperlink"/>
            <w:noProof/>
          </w:rPr>
          <w:t>2.1.1531</w:t>
        </w:r>
        <w:r>
          <w:rPr>
            <w:rFonts w:asciiTheme="minorHAnsi" w:eastAsiaTheme="minorEastAsia" w:hAnsiTheme="minorHAnsi" w:cstheme="minorBidi"/>
            <w:noProof/>
            <w:sz w:val="22"/>
            <w:szCs w:val="22"/>
          </w:rPr>
          <w:tab/>
        </w:r>
        <w:r w:rsidRPr="00CD0B56">
          <w:rPr>
            <w:rStyle w:val="Hyperlink"/>
            <w:noProof/>
          </w:rPr>
          <w:t>Part 1 Section 21.2.2.167, ser (Scatter Chart Series)</w:t>
        </w:r>
        <w:r>
          <w:rPr>
            <w:noProof/>
            <w:webHidden/>
          </w:rPr>
          <w:tab/>
        </w:r>
        <w:r>
          <w:rPr>
            <w:noProof/>
            <w:webHidden/>
          </w:rPr>
          <w:fldChar w:fldCharType="begin"/>
        </w:r>
        <w:r>
          <w:rPr>
            <w:noProof/>
            <w:webHidden/>
          </w:rPr>
          <w:instrText xml:space="preserve"> PAGEREF _Toc12261599 \h </w:instrText>
        </w:r>
        <w:r>
          <w:rPr>
            <w:noProof/>
            <w:webHidden/>
          </w:rPr>
        </w:r>
        <w:r>
          <w:rPr>
            <w:noProof/>
            <w:webHidden/>
          </w:rPr>
          <w:fldChar w:fldCharType="separate"/>
        </w:r>
        <w:r>
          <w:rPr>
            <w:noProof/>
            <w:webHidden/>
          </w:rPr>
          <w:t>564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00" w:history="1">
        <w:r w:rsidRPr="00CD0B56">
          <w:rPr>
            <w:rStyle w:val="Hyperlink"/>
            <w:noProof/>
          </w:rPr>
          <w:t>2.1.1532</w:t>
        </w:r>
        <w:r>
          <w:rPr>
            <w:rFonts w:asciiTheme="minorHAnsi" w:eastAsiaTheme="minorEastAsia" w:hAnsiTheme="minorHAnsi" w:cstheme="minorBidi"/>
            <w:noProof/>
            <w:sz w:val="22"/>
            <w:szCs w:val="22"/>
          </w:rPr>
          <w:tab/>
        </w:r>
        <w:r w:rsidRPr="00CD0B56">
          <w:rPr>
            <w:rStyle w:val="Hyperlink"/>
            <w:noProof/>
          </w:rPr>
          <w:t>Part 1 Section 21.2.2.168, ser (Area Chart Series)</w:t>
        </w:r>
        <w:r>
          <w:rPr>
            <w:noProof/>
            <w:webHidden/>
          </w:rPr>
          <w:tab/>
        </w:r>
        <w:r>
          <w:rPr>
            <w:noProof/>
            <w:webHidden/>
          </w:rPr>
          <w:fldChar w:fldCharType="begin"/>
        </w:r>
        <w:r>
          <w:rPr>
            <w:noProof/>
            <w:webHidden/>
          </w:rPr>
          <w:instrText xml:space="preserve"> PAGEREF _Toc12261600 \h </w:instrText>
        </w:r>
        <w:r>
          <w:rPr>
            <w:noProof/>
            <w:webHidden/>
          </w:rPr>
        </w:r>
        <w:r>
          <w:rPr>
            <w:noProof/>
            <w:webHidden/>
          </w:rPr>
          <w:fldChar w:fldCharType="separate"/>
        </w:r>
        <w:r>
          <w:rPr>
            <w:noProof/>
            <w:webHidden/>
          </w:rPr>
          <w:t>564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01" w:history="1">
        <w:r w:rsidRPr="00CD0B56">
          <w:rPr>
            <w:rStyle w:val="Hyperlink"/>
            <w:noProof/>
          </w:rPr>
          <w:t>2.1.1533</w:t>
        </w:r>
        <w:r>
          <w:rPr>
            <w:rFonts w:asciiTheme="minorHAnsi" w:eastAsiaTheme="minorEastAsia" w:hAnsiTheme="minorHAnsi" w:cstheme="minorBidi"/>
            <w:noProof/>
            <w:sz w:val="22"/>
            <w:szCs w:val="22"/>
          </w:rPr>
          <w:tab/>
        </w:r>
        <w:r w:rsidRPr="00CD0B56">
          <w:rPr>
            <w:rStyle w:val="Hyperlink"/>
            <w:noProof/>
          </w:rPr>
          <w:t>Part 1 Section 21.2.2.169, ser (Radar Chart Series)</w:t>
        </w:r>
        <w:r>
          <w:rPr>
            <w:noProof/>
            <w:webHidden/>
          </w:rPr>
          <w:tab/>
        </w:r>
        <w:r>
          <w:rPr>
            <w:noProof/>
            <w:webHidden/>
          </w:rPr>
          <w:fldChar w:fldCharType="begin"/>
        </w:r>
        <w:r>
          <w:rPr>
            <w:noProof/>
            <w:webHidden/>
          </w:rPr>
          <w:instrText xml:space="preserve"> PAGEREF _Toc12261601 \h </w:instrText>
        </w:r>
        <w:r>
          <w:rPr>
            <w:noProof/>
            <w:webHidden/>
          </w:rPr>
        </w:r>
        <w:r>
          <w:rPr>
            <w:noProof/>
            <w:webHidden/>
          </w:rPr>
          <w:fldChar w:fldCharType="separate"/>
        </w:r>
        <w:r>
          <w:rPr>
            <w:noProof/>
            <w:webHidden/>
          </w:rPr>
          <w:t>565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02" w:history="1">
        <w:r w:rsidRPr="00CD0B56">
          <w:rPr>
            <w:rStyle w:val="Hyperlink"/>
            <w:noProof/>
          </w:rPr>
          <w:t>2.1.1534</w:t>
        </w:r>
        <w:r>
          <w:rPr>
            <w:rFonts w:asciiTheme="minorHAnsi" w:eastAsiaTheme="minorEastAsia" w:hAnsiTheme="minorHAnsi" w:cstheme="minorBidi"/>
            <w:noProof/>
            <w:sz w:val="22"/>
            <w:szCs w:val="22"/>
          </w:rPr>
          <w:tab/>
        </w:r>
        <w:r w:rsidRPr="00CD0B56">
          <w:rPr>
            <w:rStyle w:val="Hyperlink"/>
            <w:noProof/>
          </w:rPr>
          <w:t>Part 1 Section 21.2.2.170, ser (Bar Chart Series)</w:t>
        </w:r>
        <w:r>
          <w:rPr>
            <w:noProof/>
            <w:webHidden/>
          </w:rPr>
          <w:tab/>
        </w:r>
        <w:r>
          <w:rPr>
            <w:noProof/>
            <w:webHidden/>
          </w:rPr>
          <w:fldChar w:fldCharType="begin"/>
        </w:r>
        <w:r>
          <w:rPr>
            <w:noProof/>
            <w:webHidden/>
          </w:rPr>
          <w:instrText xml:space="preserve"> PAGEREF _Toc12261602 \h </w:instrText>
        </w:r>
        <w:r>
          <w:rPr>
            <w:noProof/>
            <w:webHidden/>
          </w:rPr>
        </w:r>
        <w:r>
          <w:rPr>
            <w:noProof/>
            <w:webHidden/>
          </w:rPr>
          <w:fldChar w:fldCharType="separate"/>
        </w:r>
        <w:r>
          <w:rPr>
            <w:noProof/>
            <w:webHidden/>
          </w:rPr>
          <w:t>565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03" w:history="1">
        <w:r w:rsidRPr="00CD0B56">
          <w:rPr>
            <w:rStyle w:val="Hyperlink"/>
            <w:noProof/>
          </w:rPr>
          <w:t>2.1.1535</w:t>
        </w:r>
        <w:r>
          <w:rPr>
            <w:rFonts w:asciiTheme="minorHAnsi" w:eastAsiaTheme="minorEastAsia" w:hAnsiTheme="minorHAnsi" w:cstheme="minorBidi"/>
            <w:noProof/>
            <w:sz w:val="22"/>
            <w:szCs w:val="22"/>
          </w:rPr>
          <w:tab/>
        </w:r>
        <w:r w:rsidRPr="00CD0B56">
          <w:rPr>
            <w:rStyle w:val="Hyperlink"/>
            <w:noProof/>
          </w:rPr>
          <w:t>Part 1 Section 21.2.2.171, ser (Line Chart Series)</w:t>
        </w:r>
        <w:r>
          <w:rPr>
            <w:noProof/>
            <w:webHidden/>
          </w:rPr>
          <w:tab/>
        </w:r>
        <w:r>
          <w:rPr>
            <w:noProof/>
            <w:webHidden/>
          </w:rPr>
          <w:fldChar w:fldCharType="begin"/>
        </w:r>
        <w:r>
          <w:rPr>
            <w:noProof/>
            <w:webHidden/>
          </w:rPr>
          <w:instrText xml:space="preserve"> PAGEREF _Toc12261603 \h </w:instrText>
        </w:r>
        <w:r>
          <w:rPr>
            <w:noProof/>
            <w:webHidden/>
          </w:rPr>
        </w:r>
        <w:r>
          <w:rPr>
            <w:noProof/>
            <w:webHidden/>
          </w:rPr>
          <w:fldChar w:fldCharType="separate"/>
        </w:r>
        <w:r>
          <w:rPr>
            <w:noProof/>
            <w:webHidden/>
          </w:rPr>
          <w:t>565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04" w:history="1">
        <w:r w:rsidRPr="00CD0B56">
          <w:rPr>
            <w:rStyle w:val="Hyperlink"/>
            <w:noProof/>
          </w:rPr>
          <w:t>2.1.1536</w:t>
        </w:r>
        <w:r>
          <w:rPr>
            <w:rFonts w:asciiTheme="minorHAnsi" w:eastAsiaTheme="minorEastAsia" w:hAnsiTheme="minorHAnsi" w:cstheme="minorBidi"/>
            <w:noProof/>
            <w:sz w:val="22"/>
            <w:szCs w:val="22"/>
          </w:rPr>
          <w:tab/>
        </w:r>
        <w:r w:rsidRPr="00CD0B56">
          <w:rPr>
            <w:rStyle w:val="Hyperlink"/>
            <w:noProof/>
          </w:rPr>
          <w:t>Part 1 Section 21.2.2.172, ser (Pie Chart Series)</w:t>
        </w:r>
        <w:r>
          <w:rPr>
            <w:noProof/>
            <w:webHidden/>
          </w:rPr>
          <w:tab/>
        </w:r>
        <w:r>
          <w:rPr>
            <w:noProof/>
            <w:webHidden/>
          </w:rPr>
          <w:fldChar w:fldCharType="begin"/>
        </w:r>
        <w:r>
          <w:rPr>
            <w:noProof/>
            <w:webHidden/>
          </w:rPr>
          <w:instrText xml:space="preserve"> PAGEREF _Toc12261604 \h </w:instrText>
        </w:r>
        <w:r>
          <w:rPr>
            <w:noProof/>
            <w:webHidden/>
          </w:rPr>
        </w:r>
        <w:r>
          <w:rPr>
            <w:noProof/>
            <w:webHidden/>
          </w:rPr>
          <w:fldChar w:fldCharType="separate"/>
        </w:r>
        <w:r>
          <w:rPr>
            <w:noProof/>
            <w:webHidden/>
          </w:rPr>
          <w:t>565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05" w:history="1">
        <w:r w:rsidRPr="00CD0B56">
          <w:rPr>
            <w:rStyle w:val="Hyperlink"/>
            <w:noProof/>
          </w:rPr>
          <w:t>2.1.1537</w:t>
        </w:r>
        <w:r>
          <w:rPr>
            <w:rFonts w:asciiTheme="minorHAnsi" w:eastAsiaTheme="minorEastAsia" w:hAnsiTheme="minorHAnsi" w:cstheme="minorBidi"/>
            <w:noProof/>
            <w:sz w:val="22"/>
            <w:szCs w:val="22"/>
          </w:rPr>
          <w:tab/>
        </w:r>
        <w:r w:rsidRPr="00CD0B56">
          <w:rPr>
            <w:rStyle w:val="Hyperlink"/>
            <w:noProof/>
          </w:rPr>
          <w:t>Part 1 Section 21.2.2.174, ser (Bubble Chart Series)</w:t>
        </w:r>
        <w:r>
          <w:rPr>
            <w:noProof/>
            <w:webHidden/>
          </w:rPr>
          <w:tab/>
        </w:r>
        <w:r>
          <w:rPr>
            <w:noProof/>
            <w:webHidden/>
          </w:rPr>
          <w:fldChar w:fldCharType="begin"/>
        </w:r>
        <w:r>
          <w:rPr>
            <w:noProof/>
            <w:webHidden/>
          </w:rPr>
          <w:instrText xml:space="preserve"> PAGEREF _Toc12261605 \h </w:instrText>
        </w:r>
        <w:r>
          <w:rPr>
            <w:noProof/>
            <w:webHidden/>
          </w:rPr>
        </w:r>
        <w:r>
          <w:rPr>
            <w:noProof/>
            <w:webHidden/>
          </w:rPr>
          <w:fldChar w:fldCharType="separate"/>
        </w:r>
        <w:r>
          <w:rPr>
            <w:noProof/>
            <w:webHidden/>
          </w:rPr>
          <w:t>565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06" w:history="1">
        <w:r w:rsidRPr="00CD0B56">
          <w:rPr>
            <w:rStyle w:val="Hyperlink"/>
            <w:noProof/>
          </w:rPr>
          <w:t>2.1.1538</w:t>
        </w:r>
        <w:r>
          <w:rPr>
            <w:rFonts w:asciiTheme="minorHAnsi" w:eastAsiaTheme="minorEastAsia" w:hAnsiTheme="minorHAnsi" w:cstheme="minorBidi"/>
            <w:noProof/>
            <w:sz w:val="22"/>
            <w:szCs w:val="22"/>
          </w:rPr>
          <w:tab/>
        </w:r>
        <w:r w:rsidRPr="00CD0B56">
          <w:rPr>
            <w:rStyle w:val="Hyperlink"/>
            <w:noProof/>
          </w:rPr>
          <w:t>Part 1 Section 21.2.2.175, serAx (Series Axis)</w:t>
        </w:r>
        <w:r>
          <w:rPr>
            <w:noProof/>
            <w:webHidden/>
          </w:rPr>
          <w:tab/>
        </w:r>
        <w:r>
          <w:rPr>
            <w:noProof/>
            <w:webHidden/>
          </w:rPr>
          <w:fldChar w:fldCharType="begin"/>
        </w:r>
        <w:r>
          <w:rPr>
            <w:noProof/>
            <w:webHidden/>
          </w:rPr>
          <w:instrText xml:space="preserve"> PAGEREF _Toc12261606 \h </w:instrText>
        </w:r>
        <w:r>
          <w:rPr>
            <w:noProof/>
            <w:webHidden/>
          </w:rPr>
        </w:r>
        <w:r>
          <w:rPr>
            <w:noProof/>
            <w:webHidden/>
          </w:rPr>
          <w:fldChar w:fldCharType="separate"/>
        </w:r>
        <w:r>
          <w:rPr>
            <w:noProof/>
            <w:webHidden/>
          </w:rPr>
          <w:t>566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07" w:history="1">
        <w:r w:rsidRPr="00CD0B56">
          <w:rPr>
            <w:rStyle w:val="Hyperlink"/>
            <w:noProof/>
          </w:rPr>
          <w:t>2.1.1539</w:t>
        </w:r>
        <w:r>
          <w:rPr>
            <w:rFonts w:asciiTheme="minorHAnsi" w:eastAsiaTheme="minorEastAsia" w:hAnsiTheme="minorHAnsi" w:cstheme="minorBidi"/>
            <w:noProof/>
            <w:sz w:val="22"/>
            <w:szCs w:val="22"/>
          </w:rPr>
          <w:tab/>
        </w:r>
        <w:r w:rsidRPr="00CD0B56">
          <w:rPr>
            <w:rStyle w:val="Hyperlink"/>
            <w:noProof/>
          </w:rPr>
          <w:t>Part 1 Section 21.2.2.176, serLines (Series Lines)</w:t>
        </w:r>
        <w:r>
          <w:rPr>
            <w:noProof/>
            <w:webHidden/>
          </w:rPr>
          <w:tab/>
        </w:r>
        <w:r>
          <w:rPr>
            <w:noProof/>
            <w:webHidden/>
          </w:rPr>
          <w:fldChar w:fldCharType="begin"/>
        </w:r>
        <w:r>
          <w:rPr>
            <w:noProof/>
            <w:webHidden/>
          </w:rPr>
          <w:instrText xml:space="preserve"> PAGEREF _Toc12261607 \h </w:instrText>
        </w:r>
        <w:r>
          <w:rPr>
            <w:noProof/>
            <w:webHidden/>
          </w:rPr>
        </w:r>
        <w:r>
          <w:rPr>
            <w:noProof/>
            <w:webHidden/>
          </w:rPr>
          <w:fldChar w:fldCharType="separate"/>
        </w:r>
        <w:r>
          <w:rPr>
            <w:noProof/>
            <w:webHidden/>
          </w:rPr>
          <w:t>566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08" w:history="1">
        <w:r w:rsidRPr="00CD0B56">
          <w:rPr>
            <w:rStyle w:val="Hyperlink"/>
            <w:noProof/>
          </w:rPr>
          <w:t>2.1.1540</w:t>
        </w:r>
        <w:r>
          <w:rPr>
            <w:rFonts w:asciiTheme="minorHAnsi" w:eastAsiaTheme="minorEastAsia" w:hAnsiTheme="minorHAnsi" w:cstheme="minorBidi"/>
            <w:noProof/>
            <w:sz w:val="22"/>
            <w:szCs w:val="22"/>
          </w:rPr>
          <w:tab/>
        </w:r>
        <w:r w:rsidRPr="00CD0B56">
          <w:rPr>
            <w:rStyle w:val="Hyperlink"/>
            <w:noProof/>
          </w:rPr>
          <w:t>Part 1 Section 21.2.2.177, shape (Shape)</w:t>
        </w:r>
        <w:r>
          <w:rPr>
            <w:noProof/>
            <w:webHidden/>
          </w:rPr>
          <w:tab/>
        </w:r>
        <w:r>
          <w:rPr>
            <w:noProof/>
            <w:webHidden/>
          </w:rPr>
          <w:fldChar w:fldCharType="begin"/>
        </w:r>
        <w:r>
          <w:rPr>
            <w:noProof/>
            <w:webHidden/>
          </w:rPr>
          <w:instrText xml:space="preserve"> PAGEREF _Toc12261608 \h </w:instrText>
        </w:r>
        <w:r>
          <w:rPr>
            <w:noProof/>
            <w:webHidden/>
          </w:rPr>
        </w:r>
        <w:r>
          <w:rPr>
            <w:noProof/>
            <w:webHidden/>
          </w:rPr>
          <w:fldChar w:fldCharType="separate"/>
        </w:r>
        <w:r>
          <w:rPr>
            <w:noProof/>
            <w:webHidden/>
          </w:rPr>
          <w:t>566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09" w:history="1">
        <w:r w:rsidRPr="00CD0B56">
          <w:rPr>
            <w:rStyle w:val="Hyperlink"/>
            <w:noProof/>
          </w:rPr>
          <w:t>2.1.1541</w:t>
        </w:r>
        <w:r>
          <w:rPr>
            <w:rFonts w:asciiTheme="minorHAnsi" w:eastAsiaTheme="minorEastAsia" w:hAnsiTheme="minorHAnsi" w:cstheme="minorBidi"/>
            <w:noProof/>
            <w:sz w:val="22"/>
            <w:szCs w:val="22"/>
          </w:rPr>
          <w:tab/>
        </w:r>
        <w:r w:rsidRPr="00CD0B56">
          <w:rPr>
            <w:rStyle w:val="Hyperlink"/>
            <w:noProof/>
          </w:rPr>
          <w:t>Part 1 Section 21.2.2.178, showBubbleSize (Show Bubble Size)</w:t>
        </w:r>
        <w:r>
          <w:rPr>
            <w:noProof/>
            <w:webHidden/>
          </w:rPr>
          <w:tab/>
        </w:r>
        <w:r>
          <w:rPr>
            <w:noProof/>
            <w:webHidden/>
          </w:rPr>
          <w:fldChar w:fldCharType="begin"/>
        </w:r>
        <w:r>
          <w:rPr>
            <w:noProof/>
            <w:webHidden/>
          </w:rPr>
          <w:instrText xml:space="preserve"> PAGEREF _Toc12261609 \h </w:instrText>
        </w:r>
        <w:r>
          <w:rPr>
            <w:noProof/>
            <w:webHidden/>
          </w:rPr>
        </w:r>
        <w:r>
          <w:rPr>
            <w:noProof/>
            <w:webHidden/>
          </w:rPr>
          <w:fldChar w:fldCharType="separate"/>
        </w:r>
        <w:r>
          <w:rPr>
            <w:noProof/>
            <w:webHidden/>
          </w:rPr>
          <w:t>566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10" w:history="1">
        <w:r w:rsidRPr="00CD0B56">
          <w:rPr>
            <w:rStyle w:val="Hyperlink"/>
            <w:noProof/>
          </w:rPr>
          <w:t>2.1.1542</w:t>
        </w:r>
        <w:r>
          <w:rPr>
            <w:rFonts w:asciiTheme="minorHAnsi" w:eastAsiaTheme="minorEastAsia" w:hAnsiTheme="minorHAnsi" w:cstheme="minorBidi"/>
            <w:noProof/>
            <w:sz w:val="22"/>
            <w:szCs w:val="22"/>
          </w:rPr>
          <w:tab/>
        </w:r>
        <w:r w:rsidRPr="00CD0B56">
          <w:rPr>
            <w:rStyle w:val="Hyperlink"/>
            <w:noProof/>
          </w:rPr>
          <w:t>Part 1 Section 21.2.2.180, showDLblsOverMax (Show Data Labels over Maximum)</w:t>
        </w:r>
        <w:r>
          <w:rPr>
            <w:noProof/>
            <w:webHidden/>
          </w:rPr>
          <w:tab/>
        </w:r>
        <w:r>
          <w:rPr>
            <w:noProof/>
            <w:webHidden/>
          </w:rPr>
          <w:fldChar w:fldCharType="begin"/>
        </w:r>
        <w:r>
          <w:rPr>
            <w:noProof/>
            <w:webHidden/>
          </w:rPr>
          <w:instrText xml:space="preserve"> PAGEREF _Toc12261610 \h </w:instrText>
        </w:r>
        <w:r>
          <w:rPr>
            <w:noProof/>
            <w:webHidden/>
          </w:rPr>
        </w:r>
        <w:r>
          <w:rPr>
            <w:noProof/>
            <w:webHidden/>
          </w:rPr>
          <w:fldChar w:fldCharType="separate"/>
        </w:r>
        <w:r>
          <w:rPr>
            <w:noProof/>
            <w:webHidden/>
          </w:rPr>
          <w:t>566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11" w:history="1">
        <w:r w:rsidRPr="00CD0B56">
          <w:rPr>
            <w:rStyle w:val="Hyperlink"/>
            <w:noProof/>
          </w:rPr>
          <w:t>2.1.1543</w:t>
        </w:r>
        <w:r>
          <w:rPr>
            <w:rFonts w:asciiTheme="minorHAnsi" w:eastAsiaTheme="minorEastAsia" w:hAnsiTheme="minorHAnsi" w:cstheme="minorBidi"/>
            <w:noProof/>
            <w:sz w:val="22"/>
            <w:szCs w:val="22"/>
          </w:rPr>
          <w:tab/>
        </w:r>
        <w:r w:rsidRPr="00CD0B56">
          <w:rPr>
            <w:rStyle w:val="Hyperlink"/>
            <w:noProof/>
          </w:rPr>
          <w:t>Part 1 Section 21.2.2.183, showLeaderLines (Show Leader Lines)</w:t>
        </w:r>
        <w:r>
          <w:rPr>
            <w:noProof/>
            <w:webHidden/>
          </w:rPr>
          <w:tab/>
        </w:r>
        <w:r>
          <w:rPr>
            <w:noProof/>
            <w:webHidden/>
          </w:rPr>
          <w:fldChar w:fldCharType="begin"/>
        </w:r>
        <w:r>
          <w:rPr>
            <w:noProof/>
            <w:webHidden/>
          </w:rPr>
          <w:instrText xml:space="preserve"> PAGEREF _Toc12261611 \h </w:instrText>
        </w:r>
        <w:r>
          <w:rPr>
            <w:noProof/>
            <w:webHidden/>
          </w:rPr>
        </w:r>
        <w:r>
          <w:rPr>
            <w:noProof/>
            <w:webHidden/>
          </w:rPr>
          <w:fldChar w:fldCharType="separate"/>
        </w:r>
        <w:r>
          <w:rPr>
            <w:noProof/>
            <w:webHidden/>
          </w:rPr>
          <w:t>566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12" w:history="1">
        <w:r w:rsidRPr="00CD0B56">
          <w:rPr>
            <w:rStyle w:val="Hyperlink"/>
            <w:noProof/>
          </w:rPr>
          <w:t>2.1.1544</w:t>
        </w:r>
        <w:r>
          <w:rPr>
            <w:rFonts w:asciiTheme="minorHAnsi" w:eastAsiaTheme="minorEastAsia" w:hAnsiTheme="minorHAnsi" w:cstheme="minorBidi"/>
            <w:noProof/>
            <w:sz w:val="22"/>
            <w:szCs w:val="22"/>
          </w:rPr>
          <w:tab/>
        </w:r>
        <w:r w:rsidRPr="00CD0B56">
          <w:rPr>
            <w:rStyle w:val="Hyperlink"/>
            <w:noProof/>
          </w:rPr>
          <w:t>Part 1 Section 21.2.2.184, showLegendKey (Show Legend Key)</w:t>
        </w:r>
        <w:r>
          <w:rPr>
            <w:noProof/>
            <w:webHidden/>
          </w:rPr>
          <w:tab/>
        </w:r>
        <w:r>
          <w:rPr>
            <w:noProof/>
            <w:webHidden/>
          </w:rPr>
          <w:fldChar w:fldCharType="begin"/>
        </w:r>
        <w:r>
          <w:rPr>
            <w:noProof/>
            <w:webHidden/>
          </w:rPr>
          <w:instrText xml:space="preserve"> PAGEREF _Toc12261612 \h </w:instrText>
        </w:r>
        <w:r>
          <w:rPr>
            <w:noProof/>
            <w:webHidden/>
          </w:rPr>
        </w:r>
        <w:r>
          <w:rPr>
            <w:noProof/>
            <w:webHidden/>
          </w:rPr>
          <w:fldChar w:fldCharType="separate"/>
        </w:r>
        <w:r>
          <w:rPr>
            <w:noProof/>
            <w:webHidden/>
          </w:rPr>
          <w:t>567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13" w:history="1">
        <w:r w:rsidRPr="00CD0B56">
          <w:rPr>
            <w:rStyle w:val="Hyperlink"/>
            <w:noProof/>
          </w:rPr>
          <w:t>2.1.1545</w:t>
        </w:r>
        <w:r>
          <w:rPr>
            <w:rFonts w:asciiTheme="minorHAnsi" w:eastAsiaTheme="minorEastAsia" w:hAnsiTheme="minorHAnsi" w:cstheme="minorBidi"/>
            <w:noProof/>
            <w:sz w:val="22"/>
            <w:szCs w:val="22"/>
          </w:rPr>
          <w:tab/>
        </w:r>
        <w:r w:rsidRPr="00CD0B56">
          <w:rPr>
            <w:rStyle w:val="Hyperlink"/>
            <w:noProof/>
          </w:rPr>
          <w:t>Part 1 Section 21.2.2.187, showPercent (Show Percent)</w:t>
        </w:r>
        <w:r>
          <w:rPr>
            <w:noProof/>
            <w:webHidden/>
          </w:rPr>
          <w:tab/>
        </w:r>
        <w:r>
          <w:rPr>
            <w:noProof/>
            <w:webHidden/>
          </w:rPr>
          <w:fldChar w:fldCharType="begin"/>
        </w:r>
        <w:r>
          <w:rPr>
            <w:noProof/>
            <w:webHidden/>
          </w:rPr>
          <w:instrText xml:space="preserve"> PAGEREF _Toc12261613 \h </w:instrText>
        </w:r>
        <w:r>
          <w:rPr>
            <w:noProof/>
            <w:webHidden/>
          </w:rPr>
        </w:r>
        <w:r>
          <w:rPr>
            <w:noProof/>
            <w:webHidden/>
          </w:rPr>
          <w:fldChar w:fldCharType="separate"/>
        </w:r>
        <w:r>
          <w:rPr>
            <w:noProof/>
            <w:webHidden/>
          </w:rPr>
          <w:t>567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14" w:history="1">
        <w:r w:rsidRPr="00CD0B56">
          <w:rPr>
            <w:rStyle w:val="Hyperlink"/>
            <w:noProof/>
          </w:rPr>
          <w:t>2.1.1546</w:t>
        </w:r>
        <w:r>
          <w:rPr>
            <w:rFonts w:asciiTheme="minorHAnsi" w:eastAsiaTheme="minorEastAsia" w:hAnsiTheme="minorHAnsi" w:cstheme="minorBidi"/>
            <w:noProof/>
            <w:sz w:val="22"/>
            <w:szCs w:val="22"/>
          </w:rPr>
          <w:tab/>
        </w:r>
        <w:r w:rsidRPr="00CD0B56">
          <w:rPr>
            <w:rStyle w:val="Hyperlink"/>
            <w:noProof/>
          </w:rPr>
          <w:t>Part 1 Section 21.2.2.191, sideWall (Side Wall)</w:t>
        </w:r>
        <w:r>
          <w:rPr>
            <w:noProof/>
            <w:webHidden/>
          </w:rPr>
          <w:tab/>
        </w:r>
        <w:r>
          <w:rPr>
            <w:noProof/>
            <w:webHidden/>
          </w:rPr>
          <w:fldChar w:fldCharType="begin"/>
        </w:r>
        <w:r>
          <w:rPr>
            <w:noProof/>
            <w:webHidden/>
          </w:rPr>
          <w:instrText xml:space="preserve"> PAGEREF _Toc12261614 \h </w:instrText>
        </w:r>
        <w:r>
          <w:rPr>
            <w:noProof/>
            <w:webHidden/>
          </w:rPr>
        </w:r>
        <w:r>
          <w:rPr>
            <w:noProof/>
            <w:webHidden/>
          </w:rPr>
          <w:fldChar w:fldCharType="separate"/>
        </w:r>
        <w:r>
          <w:rPr>
            <w:noProof/>
            <w:webHidden/>
          </w:rPr>
          <w:t>567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15" w:history="1">
        <w:r w:rsidRPr="00CD0B56">
          <w:rPr>
            <w:rStyle w:val="Hyperlink"/>
            <w:noProof/>
          </w:rPr>
          <w:t>2.1.1547</w:t>
        </w:r>
        <w:r>
          <w:rPr>
            <w:rFonts w:asciiTheme="minorHAnsi" w:eastAsiaTheme="minorEastAsia" w:hAnsiTheme="minorHAnsi" w:cstheme="minorBidi"/>
            <w:noProof/>
            <w:sz w:val="22"/>
            <w:szCs w:val="22"/>
          </w:rPr>
          <w:tab/>
        </w:r>
        <w:r w:rsidRPr="00CD0B56">
          <w:rPr>
            <w:rStyle w:val="Hyperlink"/>
            <w:noProof/>
          </w:rPr>
          <w:t>Part 1 Section 21.2.2.195, splitPos (Split Position)</w:t>
        </w:r>
        <w:r>
          <w:rPr>
            <w:noProof/>
            <w:webHidden/>
          </w:rPr>
          <w:tab/>
        </w:r>
        <w:r>
          <w:rPr>
            <w:noProof/>
            <w:webHidden/>
          </w:rPr>
          <w:fldChar w:fldCharType="begin"/>
        </w:r>
        <w:r>
          <w:rPr>
            <w:noProof/>
            <w:webHidden/>
          </w:rPr>
          <w:instrText xml:space="preserve"> PAGEREF _Toc12261615 \h </w:instrText>
        </w:r>
        <w:r>
          <w:rPr>
            <w:noProof/>
            <w:webHidden/>
          </w:rPr>
        </w:r>
        <w:r>
          <w:rPr>
            <w:noProof/>
            <w:webHidden/>
          </w:rPr>
          <w:fldChar w:fldCharType="separate"/>
        </w:r>
        <w:r>
          <w:rPr>
            <w:noProof/>
            <w:webHidden/>
          </w:rPr>
          <w:t>567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16" w:history="1">
        <w:r w:rsidRPr="00CD0B56">
          <w:rPr>
            <w:rStyle w:val="Hyperlink"/>
            <w:noProof/>
          </w:rPr>
          <w:t>2.1.1548</w:t>
        </w:r>
        <w:r>
          <w:rPr>
            <w:rFonts w:asciiTheme="minorHAnsi" w:eastAsiaTheme="minorEastAsia" w:hAnsiTheme="minorHAnsi" w:cstheme="minorBidi"/>
            <w:noProof/>
            <w:sz w:val="22"/>
            <w:szCs w:val="22"/>
          </w:rPr>
          <w:tab/>
        </w:r>
        <w:r w:rsidRPr="00CD0B56">
          <w:rPr>
            <w:rStyle w:val="Hyperlink"/>
            <w:noProof/>
          </w:rPr>
          <w:t>Part 1 Section 21.2.2.196, splitType (Split Type)</w:t>
        </w:r>
        <w:r>
          <w:rPr>
            <w:noProof/>
            <w:webHidden/>
          </w:rPr>
          <w:tab/>
        </w:r>
        <w:r>
          <w:rPr>
            <w:noProof/>
            <w:webHidden/>
          </w:rPr>
          <w:fldChar w:fldCharType="begin"/>
        </w:r>
        <w:r>
          <w:rPr>
            <w:noProof/>
            <w:webHidden/>
          </w:rPr>
          <w:instrText xml:space="preserve"> PAGEREF _Toc12261616 \h </w:instrText>
        </w:r>
        <w:r>
          <w:rPr>
            <w:noProof/>
            <w:webHidden/>
          </w:rPr>
        </w:r>
        <w:r>
          <w:rPr>
            <w:noProof/>
            <w:webHidden/>
          </w:rPr>
          <w:fldChar w:fldCharType="separate"/>
        </w:r>
        <w:r>
          <w:rPr>
            <w:noProof/>
            <w:webHidden/>
          </w:rPr>
          <w:t>567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17" w:history="1">
        <w:r w:rsidRPr="00CD0B56">
          <w:rPr>
            <w:rStyle w:val="Hyperlink"/>
            <w:noProof/>
          </w:rPr>
          <w:t>2.1.1549</w:t>
        </w:r>
        <w:r>
          <w:rPr>
            <w:rFonts w:asciiTheme="minorHAnsi" w:eastAsiaTheme="minorEastAsia" w:hAnsiTheme="minorHAnsi" w:cstheme="minorBidi"/>
            <w:noProof/>
            <w:sz w:val="22"/>
            <w:szCs w:val="22"/>
          </w:rPr>
          <w:tab/>
        </w:r>
        <w:r w:rsidRPr="00CD0B56">
          <w:rPr>
            <w:rStyle w:val="Hyperlink"/>
            <w:noProof/>
          </w:rPr>
          <w:t>Part 1 Section 21.2.2.197, spPr (Shape Properties)</w:t>
        </w:r>
        <w:r>
          <w:rPr>
            <w:noProof/>
            <w:webHidden/>
          </w:rPr>
          <w:tab/>
        </w:r>
        <w:r>
          <w:rPr>
            <w:noProof/>
            <w:webHidden/>
          </w:rPr>
          <w:fldChar w:fldCharType="begin"/>
        </w:r>
        <w:r>
          <w:rPr>
            <w:noProof/>
            <w:webHidden/>
          </w:rPr>
          <w:instrText xml:space="preserve"> PAGEREF _Toc12261617 \h </w:instrText>
        </w:r>
        <w:r>
          <w:rPr>
            <w:noProof/>
            <w:webHidden/>
          </w:rPr>
        </w:r>
        <w:r>
          <w:rPr>
            <w:noProof/>
            <w:webHidden/>
          </w:rPr>
          <w:fldChar w:fldCharType="separate"/>
        </w:r>
        <w:r>
          <w:rPr>
            <w:noProof/>
            <w:webHidden/>
          </w:rPr>
          <w:t>568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18" w:history="1">
        <w:r w:rsidRPr="00CD0B56">
          <w:rPr>
            <w:rStyle w:val="Hyperlink"/>
            <w:noProof/>
          </w:rPr>
          <w:t>2.1.1550</w:t>
        </w:r>
        <w:r>
          <w:rPr>
            <w:rFonts w:asciiTheme="minorHAnsi" w:eastAsiaTheme="minorEastAsia" w:hAnsiTheme="minorHAnsi" w:cstheme="minorBidi"/>
            <w:noProof/>
            <w:sz w:val="22"/>
            <w:szCs w:val="22"/>
          </w:rPr>
          <w:tab/>
        </w:r>
        <w:r w:rsidRPr="00CD0B56">
          <w:rPr>
            <w:rStyle w:val="Hyperlink"/>
            <w:noProof/>
          </w:rPr>
          <w:t>Part 1 Section 21.2.2.203, surface3DChart (3D Surface Charts)</w:t>
        </w:r>
        <w:r>
          <w:rPr>
            <w:noProof/>
            <w:webHidden/>
          </w:rPr>
          <w:tab/>
        </w:r>
        <w:r>
          <w:rPr>
            <w:noProof/>
            <w:webHidden/>
          </w:rPr>
          <w:fldChar w:fldCharType="begin"/>
        </w:r>
        <w:r>
          <w:rPr>
            <w:noProof/>
            <w:webHidden/>
          </w:rPr>
          <w:instrText xml:space="preserve"> PAGEREF _Toc12261618 \h </w:instrText>
        </w:r>
        <w:r>
          <w:rPr>
            <w:noProof/>
            <w:webHidden/>
          </w:rPr>
        </w:r>
        <w:r>
          <w:rPr>
            <w:noProof/>
            <w:webHidden/>
          </w:rPr>
          <w:fldChar w:fldCharType="separate"/>
        </w:r>
        <w:r>
          <w:rPr>
            <w:noProof/>
            <w:webHidden/>
          </w:rPr>
          <w:t>568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19" w:history="1">
        <w:r w:rsidRPr="00CD0B56">
          <w:rPr>
            <w:rStyle w:val="Hyperlink"/>
            <w:noProof/>
          </w:rPr>
          <w:t>2.1.1551</w:t>
        </w:r>
        <w:r>
          <w:rPr>
            <w:rFonts w:asciiTheme="minorHAnsi" w:eastAsiaTheme="minorEastAsia" w:hAnsiTheme="minorHAnsi" w:cstheme="minorBidi"/>
            <w:noProof/>
            <w:sz w:val="22"/>
            <w:szCs w:val="22"/>
          </w:rPr>
          <w:tab/>
        </w:r>
        <w:r w:rsidRPr="00CD0B56">
          <w:rPr>
            <w:rStyle w:val="Hyperlink"/>
            <w:noProof/>
          </w:rPr>
          <w:t>Part 1 Section 21.2.2.204, surfaceChart (Surface Charts)</w:t>
        </w:r>
        <w:r>
          <w:rPr>
            <w:noProof/>
            <w:webHidden/>
          </w:rPr>
          <w:tab/>
        </w:r>
        <w:r>
          <w:rPr>
            <w:noProof/>
            <w:webHidden/>
          </w:rPr>
          <w:fldChar w:fldCharType="begin"/>
        </w:r>
        <w:r>
          <w:rPr>
            <w:noProof/>
            <w:webHidden/>
          </w:rPr>
          <w:instrText xml:space="preserve"> PAGEREF _Toc12261619 \h </w:instrText>
        </w:r>
        <w:r>
          <w:rPr>
            <w:noProof/>
            <w:webHidden/>
          </w:rPr>
        </w:r>
        <w:r>
          <w:rPr>
            <w:noProof/>
            <w:webHidden/>
          </w:rPr>
          <w:fldChar w:fldCharType="separate"/>
        </w:r>
        <w:r>
          <w:rPr>
            <w:noProof/>
            <w:webHidden/>
          </w:rPr>
          <w:t>568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20" w:history="1">
        <w:r w:rsidRPr="00CD0B56">
          <w:rPr>
            <w:rStyle w:val="Hyperlink"/>
            <w:noProof/>
          </w:rPr>
          <w:t>2.1.1552</w:t>
        </w:r>
        <w:r>
          <w:rPr>
            <w:rFonts w:asciiTheme="minorHAnsi" w:eastAsiaTheme="minorEastAsia" w:hAnsiTheme="minorHAnsi" w:cstheme="minorBidi"/>
            <w:noProof/>
            <w:sz w:val="22"/>
            <w:szCs w:val="22"/>
          </w:rPr>
          <w:tab/>
        </w:r>
        <w:r w:rsidRPr="00CD0B56">
          <w:rPr>
            <w:rStyle w:val="Hyperlink"/>
            <w:noProof/>
          </w:rPr>
          <w:t>Part 1 Section 21.2.2.206, thickness (Thickness)</w:t>
        </w:r>
        <w:r>
          <w:rPr>
            <w:noProof/>
            <w:webHidden/>
          </w:rPr>
          <w:tab/>
        </w:r>
        <w:r>
          <w:rPr>
            <w:noProof/>
            <w:webHidden/>
          </w:rPr>
          <w:fldChar w:fldCharType="begin"/>
        </w:r>
        <w:r>
          <w:rPr>
            <w:noProof/>
            <w:webHidden/>
          </w:rPr>
          <w:instrText xml:space="preserve"> PAGEREF _Toc12261620 \h </w:instrText>
        </w:r>
        <w:r>
          <w:rPr>
            <w:noProof/>
            <w:webHidden/>
          </w:rPr>
        </w:r>
        <w:r>
          <w:rPr>
            <w:noProof/>
            <w:webHidden/>
          </w:rPr>
          <w:fldChar w:fldCharType="separate"/>
        </w:r>
        <w:r>
          <w:rPr>
            <w:noProof/>
            <w:webHidden/>
          </w:rPr>
          <w:t>568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21" w:history="1">
        <w:r w:rsidRPr="00CD0B56">
          <w:rPr>
            <w:rStyle w:val="Hyperlink"/>
            <w:noProof/>
          </w:rPr>
          <w:t>2.1.1553</w:t>
        </w:r>
        <w:r>
          <w:rPr>
            <w:rFonts w:asciiTheme="minorHAnsi" w:eastAsiaTheme="minorEastAsia" w:hAnsiTheme="minorHAnsi" w:cstheme="minorBidi"/>
            <w:noProof/>
            <w:sz w:val="22"/>
            <w:szCs w:val="22"/>
          </w:rPr>
          <w:tab/>
        </w:r>
        <w:r w:rsidRPr="00CD0B56">
          <w:rPr>
            <w:rStyle w:val="Hyperlink"/>
            <w:noProof/>
          </w:rPr>
          <w:t>Part 1 Section 21.2.2.208, tickLblSkip (Tick Label Skip)</w:t>
        </w:r>
        <w:r>
          <w:rPr>
            <w:noProof/>
            <w:webHidden/>
          </w:rPr>
          <w:tab/>
        </w:r>
        <w:r>
          <w:rPr>
            <w:noProof/>
            <w:webHidden/>
          </w:rPr>
          <w:fldChar w:fldCharType="begin"/>
        </w:r>
        <w:r>
          <w:rPr>
            <w:noProof/>
            <w:webHidden/>
          </w:rPr>
          <w:instrText xml:space="preserve"> PAGEREF _Toc12261621 \h </w:instrText>
        </w:r>
        <w:r>
          <w:rPr>
            <w:noProof/>
            <w:webHidden/>
          </w:rPr>
        </w:r>
        <w:r>
          <w:rPr>
            <w:noProof/>
            <w:webHidden/>
          </w:rPr>
          <w:fldChar w:fldCharType="separate"/>
        </w:r>
        <w:r>
          <w:rPr>
            <w:noProof/>
            <w:webHidden/>
          </w:rPr>
          <w:t>569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22" w:history="1">
        <w:r w:rsidRPr="00CD0B56">
          <w:rPr>
            <w:rStyle w:val="Hyperlink"/>
            <w:noProof/>
          </w:rPr>
          <w:t>2.1.1554</w:t>
        </w:r>
        <w:r>
          <w:rPr>
            <w:rFonts w:asciiTheme="minorHAnsi" w:eastAsiaTheme="minorEastAsia" w:hAnsiTheme="minorHAnsi" w:cstheme="minorBidi"/>
            <w:noProof/>
            <w:sz w:val="22"/>
            <w:szCs w:val="22"/>
          </w:rPr>
          <w:tab/>
        </w:r>
        <w:r w:rsidRPr="00CD0B56">
          <w:rPr>
            <w:rStyle w:val="Hyperlink"/>
            <w:noProof/>
          </w:rPr>
          <w:t>Part 1 Section 21.2.2.209, tickMarkSkip (Tick Mark Skip)</w:t>
        </w:r>
        <w:r>
          <w:rPr>
            <w:noProof/>
            <w:webHidden/>
          </w:rPr>
          <w:tab/>
        </w:r>
        <w:r>
          <w:rPr>
            <w:noProof/>
            <w:webHidden/>
          </w:rPr>
          <w:fldChar w:fldCharType="begin"/>
        </w:r>
        <w:r>
          <w:rPr>
            <w:noProof/>
            <w:webHidden/>
          </w:rPr>
          <w:instrText xml:space="preserve"> PAGEREF _Toc12261622 \h </w:instrText>
        </w:r>
        <w:r>
          <w:rPr>
            <w:noProof/>
            <w:webHidden/>
          </w:rPr>
        </w:r>
        <w:r>
          <w:rPr>
            <w:noProof/>
            <w:webHidden/>
          </w:rPr>
          <w:fldChar w:fldCharType="separate"/>
        </w:r>
        <w:r>
          <w:rPr>
            <w:noProof/>
            <w:webHidden/>
          </w:rPr>
          <w:t>569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23" w:history="1">
        <w:r w:rsidRPr="00CD0B56">
          <w:rPr>
            <w:rStyle w:val="Hyperlink"/>
            <w:noProof/>
          </w:rPr>
          <w:t>2.1.1555</w:t>
        </w:r>
        <w:r>
          <w:rPr>
            <w:rFonts w:asciiTheme="minorHAnsi" w:eastAsiaTheme="minorEastAsia" w:hAnsiTheme="minorHAnsi" w:cstheme="minorBidi"/>
            <w:noProof/>
            <w:sz w:val="22"/>
            <w:szCs w:val="22"/>
          </w:rPr>
          <w:tab/>
        </w:r>
        <w:r w:rsidRPr="00CD0B56">
          <w:rPr>
            <w:rStyle w:val="Hyperlink"/>
            <w:noProof/>
          </w:rPr>
          <w:t>Part 1 Section 21.2.2.210, title (Title)</w:t>
        </w:r>
        <w:r>
          <w:rPr>
            <w:noProof/>
            <w:webHidden/>
          </w:rPr>
          <w:tab/>
        </w:r>
        <w:r>
          <w:rPr>
            <w:noProof/>
            <w:webHidden/>
          </w:rPr>
          <w:fldChar w:fldCharType="begin"/>
        </w:r>
        <w:r>
          <w:rPr>
            <w:noProof/>
            <w:webHidden/>
          </w:rPr>
          <w:instrText xml:space="preserve"> PAGEREF _Toc12261623 \h </w:instrText>
        </w:r>
        <w:r>
          <w:rPr>
            <w:noProof/>
            <w:webHidden/>
          </w:rPr>
        </w:r>
        <w:r>
          <w:rPr>
            <w:noProof/>
            <w:webHidden/>
          </w:rPr>
          <w:fldChar w:fldCharType="separate"/>
        </w:r>
        <w:r>
          <w:rPr>
            <w:noProof/>
            <w:webHidden/>
          </w:rPr>
          <w:t>569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24" w:history="1">
        <w:r w:rsidRPr="00CD0B56">
          <w:rPr>
            <w:rStyle w:val="Hyperlink"/>
            <w:noProof/>
          </w:rPr>
          <w:t>2.1.1556</w:t>
        </w:r>
        <w:r>
          <w:rPr>
            <w:rFonts w:asciiTheme="minorHAnsi" w:eastAsiaTheme="minorEastAsia" w:hAnsiTheme="minorHAnsi" w:cstheme="minorBidi"/>
            <w:noProof/>
            <w:sz w:val="22"/>
            <w:szCs w:val="22"/>
          </w:rPr>
          <w:tab/>
        </w:r>
        <w:r w:rsidRPr="00CD0B56">
          <w:rPr>
            <w:rStyle w:val="Hyperlink"/>
            <w:noProof/>
          </w:rPr>
          <w:t>Part 1 Section 21.2.2.211, trendline (Trendlines)</w:t>
        </w:r>
        <w:r>
          <w:rPr>
            <w:noProof/>
            <w:webHidden/>
          </w:rPr>
          <w:tab/>
        </w:r>
        <w:r>
          <w:rPr>
            <w:noProof/>
            <w:webHidden/>
          </w:rPr>
          <w:fldChar w:fldCharType="begin"/>
        </w:r>
        <w:r>
          <w:rPr>
            <w:noProof/>
            <w:webHidden/>
          </w:rPr>
          <w:instrText xml:space="preserve"> PAGEREF _Toc12261624 \h </w:instrText>
        </w:r>
        <w:r>
          <w:rPr>
            <w:noProof/>
            <w:webHidden/>
          </w:rPr>
        </w:r>
        <w:r>
          <w:rPr>
            <w:noProof/>
            <w:webHidden/>
          </w:rPr>
          <w:fldChar w:fldCharType="separate"/>
        </w:r>
        <w:r>
          <w:rPr>
            <w:noProof/>
            <w:webHidden/>
          </w:rPr>
          <w:t>569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25" w:history="1">
        <w:r w:rsidRPr="00CD0B56">
          <w:rPr>
            <w:rStyle w:val="Hyperlink"/>
            <w:noProof/>
          </w:rPr>
          <w:t>2.1.1557</w:t>
        </w:r>
        <w:r>
          <w:rPr>
            <w:rFonts w:asciiTheme="minorHAnsi" w:eastAsiaTheme="minorEastAsia" w:hAnsiTheme="minorHAnsi" w:cstheme="minorBidi"/>
            <w:noProof/>
            <w:sz w:val="22"/>
            <w:szCs w:val="22"/>
          </w:rPr>
          <w:tab/>
        </w:r>
        <w:r w:rsidRPr="00CD0B56">
          <w:rPr>
            <w:rStyle w:val="Hyperlink"/>
            <w:noProof/>
          </w:rPr>
          <w:t>Part 1 Section 21.2.2.212, trendlineLbl (Trendline Label)</w:t>
        </w:r>
        <w:r>
          <w:rPr>
            <w:noProof/>
            <w:webHidden/>
          </w:rPr>
          <w:tab/>
        </w:r>
        <w:r>
          <w:rPr>
            <w:noProof/>
            <w:webHidden/>
          </w:rPr>
          <w:fldChar w:fldCharType="begin"/>
        </w:r>
        <w:r>
          <w:rPr>
            <w:noProof/>
            <w:webHidden/>
          </w:rPr>
          <w:instrText xml:space="preserve"> PAGEREF _Toc12261625 \h </w:instrText>
        </w:r>
        <w:r>
          <w:rPr>
            <w:noProof/>
            <w:webHidden/>
          </w:rPr>
        </w:r>
        <w:r>
          <w:rPr>
            <w:noProof/>
            <w:webHidden/>
          </w:rPr>
          <w:fldChar w:fldCharType="separate"/>
        </w:r>
        <w:r>
          <w:rPr>
            <w:noProof/>
            <w:webHidden/>
          </w:rPr>
          <w:t>569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26" w:history="1">
        <w:r w:rsidRPr="00CD0B56">
          <w:rPr>
            <w:rStyle w:val="Hyperlink"/>
            <w:noProof/>
          </w:rPr>
          <w:t>2.1.1558</w:t>
        </w:r>
        <w:r>
          <w:rPr>
            <w:rFonts w:asciiTheme="minorHAnsi" w:eastAsiaTheme="minorEastAsia" w:hAnsiTheme="minorHAnsi" w:cstheme="minorBidi"/>
            <w:noProof/>
            <w:sz w:val="22"/>
            <w:szCs w:val="22"/>
          </w:rPr>
          <w:tab/>
        </w:r>
        <w:r w:rsidRPr="00CD0B56">
          <w:rPr>
            <w:rStyle w:val="Hyperlink"/>
            <w:noProof/>
          </w:rPr>
          <w:t>Part 1 Section 21.2.2.213, trendlineType (Trendline Type)</w:t>
        </w:r>
        <w:r>
          <w:rPr>
            <w:noProof/>
            <w:webHidden/>
          </w:rPr>
          <w:tab/>
        </w:r>
        <w:r>
          <w:rPr>
            <w:noProof/>
            <w:webHidden/>
          </w:rPr>
          <w:fldChar w:fldCharType="begin"/>
        </w:r>
        <w:r>
          <w:rPr>
            <w:noProof/>
            <w:webHidden/>
          </w:rPr>
          <w:instrText xml:space="preserve"> PAGEREF _Toc12261626 \h </w:instrText>
        </w:r>
        <w:r>
          <w:rPr>
            <w:noProof/>
            <w:webHidden/>
          </w:rPr>
        </w:r>
        <w:r>
          <w:rPr>
            <w:noProof/>
            <w:webHidden/>
          </w:rPr>
          <w:fldChar w:fldCharType="separate"/>
        </w:r>
        <w:r>
          <w:rPr>
            <w:noProof/>
            <w:webHidden/>
          </w:rPr>
          <w:t>570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27" w:history="1">
        <w:r w:rsidRPr="00CD0B56">
          <w:rPr>
            <w:rStyle w:val="Hyperlink"/>
            <w:noProof/>
          </w:rPr>
          <w:t>2.1.1559</w:t>
        </w:r>
        <w:r>
          <w:rPr>
            <w:rFonts w:asciiTheme="minorHAnsi" w:eastAsiaTheme="minorEastAsia" w:hAnsiTheme="minorHAnsi" w:cstheme="minorBidi"/>
            <w:noProof/>
            <w:sz w:val="22"/>
            <w:szCs w:val="22"/>
          </w:rPr>
          <w:tab/>
        </w:r>
        <w:r w:rsidRPr="00CD0B56">
          <w:rPr>
            <w:rStyle w:val="Hyperlink"/>
            <w:noProof/>
          </w:rPr>
          <w:t>Part 1 Section 21.2.2.215, tx (Series Text)</w:t>
        </w:r>
        <w:r>
          <w:rPr>
            <w:noProof/>
            <w:webHidden/>
          </w:rPr>
          <w:tab/>
        </w:r>
        <w:r>
          <w:rPr>
            <w:noProof/>
            <w:webHidden/>
          </w:rPr>
          <w:fldChar w:fldCharType="begin"/>
        </w:r>
        <w:r>
          <w:rPr>
            <w:noProof/>
            <w:webHidden/>
          </w:rPr>
          <w:instrText xml:space="preserve"> PAGEREF _Toc12261627 \h </w:instrText>
        </w:r>
        <w:r>
          <w:rPr>
            <w:noProof/>
            <w:webHidden/>
          </w:rPr>
        </w:r>
        <w:r>
          <w:rPr>
            <w:noProof/>
            <w:webHidden/>
          </w:rPr>
          <w:fldChar w:fldCharType="separate"/>
        </w:r>
        <w:r>
          <w:rPr>
            <w:noProof/>
            <w:webHidden/>
          </w:rPr>
          <w:t>570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28" w:history="1">
        <w:r w:rsidRPr="00CD0B56">
          <w:rPr>
            <w:rStyle w:val="Hyperlink"/>
            <w:noProof/>
          </w:rPr>
          <w:t>2.1.1560</w:t>
        </w:r>
        <w:r>
          <w:rPr>
            <w:rFonts w:asciiTheme="minorHAnsi" w:eastAsiaTheme="minorEastAsia" w:hAnsiTheme="minorHAnsi" w:cstheme="minorBidi"/>
            <w:noProof/>
            <w:sz w:val="22"/>
            <w:szCs w:val="22"/>
          </w:rPr>
          <w:tab/>
        </w:r>
        <w:r w:rsidRPr="00CD0B56">
          <w:rPr>
            <w:rStyle w:val="Hyperlink"/>
            <w:noProof/>
          </w:rPr>
          <w:t>Part 1 Section 21.2.2.216, txPr (Text Properties)</w:t>
        </w:r>
        <w:r>
          <w:rPr>
            <w:noProof/>
            <w:webHidden/>
          </w:rPr>
          <w:tab/>
        </w:r>
        <w:r>
          <w:rPr>
            <w:noProof/>
            <w:webHidden/>
          </w:rPr>
          <w:fldChar w:fldCharType="begin"/>
        </w:r>
        <w:r>
          <w:rPr>
            <w:noProof/>
            <w:webHidden/>
          </w:rPr>
          <w:instrText xml:space="preserve"> PAGEREF _Toc12261628 \h </w:instrText>
        </w:r>
        <w:r>
          <w:rPr>
            <w:noProof/>
            <w:webHidden/>
          </w:rPr>
        </w:r>
        <w:r>
          <w:rPr>
            <w:noProof/>
            <w:webHidden/>
          </w:rPr>
          <w:fldChar w:fldCharType="separate"/>
        </w:r>
        <w:r>
          <w:rPr>
            <w:noProof/>
            <w:webHidden/>
          </w:rPr>
          <w:t>570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29" w:history="1">
        <w:r w:rsidRPr="00CD0B56">
          <w:rPr>
            <w:rStyle w:val="Hyperlink"/>
            <w:noProof/>
          </w:rPr>
          <w:t>2.1.1561</w:t>
        </w:r>
        <w:r>
          <w:rPr>
            <w:rFonts w:asciiTheme="minorHAnsi" w:eastAsiaTheme="minorEastAsia" w:hAnsiTheme="minorHAnsi" w:cstheme="minorBidi"/>
            <w:noProof/>
            <w:sz w:val="22"/>
            <w:szCs w:val="22"/>
          </w:rPr>
          <w:tab/>
        </w:r>
        <w:r w:rsidRPr="00CD0B56">
          <w:rPr>
            <w:rStyle w:val="Hyperlink"/>
            <w:noProof/>
          </w:rPr>
          <w:t>Part 1 Section 21.2.2.219, userInterface (User Interface)</w:t>
        </w:r>
        <w:r>
          <w:rPr>
            <w:noProof/>
            <w:webHidden/>
          </w:rPr>
          <w:tab/>
        </w:r>
        <w:r>
          <w:rPr>
            <w:noProof/>
            <w:webHidden/>
          </w:rPr>
          <w:fldChar w:fldCharType="begin"/>
        </w:r>
        <w:r>
          <w:rPr>
            <w:noProof/>
            <w:webHidden/>
          </w:rPr>
          <w:instrText xml:space="preserve"> PAGEREF _Toc12261629 \h </w:instrText>
        </w:r>
        <w:r>
          <w:rPr>
            <w:noProof/>
            <w:webHidden/>
          </w:rPr>
        </w:r>
        <w:r>
          <w:rPr>
            <w:noProof/>
            <w:webHidden/>
          </w:rPr>
          <w:fldChar w:fldCharType="separate"/>
        </w:r>
        <w:r>
          <w:rPr>
            <w:noProof/>
            <w:webHidden/>
          </w:rPr>
          <w:t>570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30" w:history="1">
        <w:r w:rsidRPr="00CD0B56">
          <w:rPr>
            <w:rStyle w:val="Hyperlink"/>
            <w:noProof/>
          </w:rPr>
          <w:t>2.1.1562</w:t>
        </w:r>
        <w:r>
          <w:rPr>
            <w:rFonts w:asciiTheme="minorHAnsi" w:eastAsiaTheme="minorEastAsia" w:hAnsiTheme="minorHAnsi" w:cstheme="minorBidi"/>
            <w:noProof/>
            <w:sz w:val="22"/>
            <w:szCs w:val="22"/>
          </w:rPr>
          <w:tab/>
        </w:r>
        <w:r w:rsidRPr="00CD0B56">
          <w:rPr>
            <w:rStyle w:val="Hyperlink"/>
            <w:noProof/>
          </w:rPr>
          <w:t>Part 1 Section 21.2.2.222, v (Numeric Value)</w:t>
        </w:r>
        <w:r>
          <w:rPr>
            <w:noProof/>
            <w:webHidden/>
          </w:rPr>
          <w:tab/>
        </w:r>
        <w:r>
          <w:rPr>
            <w:noProof/>
            <w:webHidden/>
          </w:rPr>
          <w:fldChar w:fldCharType="begin"/>
        </w:r>
        <w:r>
          <w:rPr>
            <w:noProof/>
            <w:webHidden/>
          </w:rPr>
          <w:instrText xml:space="preserve"> PAGEREF _Toc12261630 \h </w:instrText>
        </w:r>
        <w:r>
          <w:rPr>
            <w:noProof/>
            <w:webHidden/>
          </w:rPr>
        </w:r>
        <w:r>
          <w:rPr>
            <w:noProof/>
            <w:webHidden/>
          </w:rPr>
          <w:fldChar w:fldCharType="separate"/>
        </w:r>
        <w:r>
          <w:rPr>
            <w:noProof/>
            <w:webHidden/>
          </w:rPr>
          <w:t>570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31" w:history="1">
        <w:r w:rsidRPr="00CD0B56">
          <w:rPr>
            <w:rStyle w:val="Hyperlink"/>
            <w:noProof/>
          </w:rPr>
          <w:t>2.1.1563</w:t>
        </w:r>
        <w:r>
          <w:rPr>
            <w:rFonts w:asciiTheme="minorHAnsi" w:eastAsiaTheme="minorEastAsia" w:hAnsiTheme="minorHAnsi" w:cstheme="minorBidi"/>
            <w:noProof/>
            <w:sz w:val="22"/>
            <w:szCs w:val="22"/>
          </w:rPr>
          <w:tab/>
        </w:r>
        <w:r w:rsidRPr="00CD0B56">
          <w:rPr>
            <w:rStyle w:val="Hyperlink"/>
            <w:noProof/>
          </w:rPr>
          <w:t>Part 1 Section 21.2.2.225, val (Error Bar Value)</w:t>
        </w:r>
        <w:r>
          <w:rPr>
            <w:noProof/>
            <w:webHidden/>
          </w:rPr>
          <w:tab/>
        </w:r>
        <w:r>
          <w:rPr>
            <w:noProof/>
            <w:webHidden/>
          </w:rPr>
          <w:fldChar w:fldCharType="begin"/>
        </w:r>
        <w:r>
          <w:rPr>
            <w:noProof/>
            <w:webHidden/>
          </w:rPr>
          <w:instrText xml:space="preserve"> PAGEREF _Toc12261631 \h </w:instrText>
        </w:r>
        <w:r>
          <w:rPr>
            <w:noProof/>
            <w:webHidden/>
          </w:rPr>
        </w:r>
        <w:r>
          <w:rPr>
            <w:noProof/>
            <w:webHidden/>
          </w:rPr>
          <w:fldChar w:fldCharType="separate"/>
        </w:r>
        <w:r>
          <w:rPr>
            <w:noProof/>
            <w:webHidden/>
          </w:rPr>
          <w:t>570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32" w:history="1">
        <w:r w:rsidRPr="00CD0B56">
          <w:rPr>
            <w:rStyle w:val="Hyperlink"/>
            <w:noProof/>
          </w:rPr>
          <w:t>2.1.1564</w:t>
        </w:r>
        <w:r>
          <w:rPr>
            <w:rFonts w:asciiTheme="minorHAnsi" w:eastAsiaTheme="minorEastAsia" w:hAnsiTheme="minorHAnsi" w:cstheme="minorBidi"/>
            <w:noProof/>
            <w:sz w:val="22"/>
            <w:szCs w:val="22"/>
          </w:rPr>
          <w:tab/>
        </w:r>
        <w:r w:rsidRPr="00CD0B56">
          <w:rPr>
            <w:rStyle w:val="Hyperlink"/>
            <w:noProof/>
          </w:rPr>
          <w:t>Part 1 Section 21.2.2.226, valAx (Value Axis)</w:t>
        </w:r>
        <w:r>
          <w:rPr>
            <w:noProof/>
            <w:webHidden/>
          </w:rPr>
          <w:tab/>
        </w:r>
        <w:r>
          <w:rPr>
            <w:noProof/>
            <w:webHidden/>
          </w:rPr>
          <w:fldChar w:fldCharType="begin"/>
        </w:r>
        <w:r>
          <w:rPr>
            <w:noProof/>
            <w:webHidden/>
          </w:rPr>
          <w:instrText xml:space="preserve"> PAGEREF _Toc12261632 \h </w:instrText>
        </w:r>
        <w:r>
          <w:rPr>
            <w:noProof/>
            <w:webHidden/>
          </w:rPr>
        </w:r>
        <w:r>
          <w:rPr>
            <w:noProof/>
            <w:webHidden/>
          </w:rPr>
          <w:fldChar w:fldCharType="separate"/>
        </w:r>
        <w:r>
          <w:rPr>
            <w:noProof/>
            <w:webHidden/>
          </w:rPr>
          <w:t>570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33" w:history="1">
        <w:r w:rsidRPr="00CD0B56">
          <w:rPr>
            <w:rStyle w:val="Hyperlink"/>
            <w:noProof/>
          </w:rPr>
          <w:t>2.1.1565</w:t>
        </w:r>
        <w:r>
          <w:rPr>
            <w:rFonts w:asciiTheme="minorHAnsi" w:eastAsiaTheme="minorEastAsia" w:hAnsiTheme="minorHAnsi" w:cstheme="minorBidi"/>
            <w:noProof/>
            <w:sz w:val="22"/>
            <w:szCs w:val="22"/>
          </w:rPr>
          <w:tab/>
        </w:r>
        <w:r w:rsidRPr="00CD0B56">
          <w:rPr>
            <w:rStyle w:val="Hyperlink"/>
            <w:noProof/>
          </w:rPr>
          <w:t>Part 1 Section 21.2.2.227, varyColors (Vary Colors by Point)</w:t>
        </w:r>
        <w:r>
          <w:rPr>
            <w:noProof/>
            <w:webHidden/>
          </w:rPr>
          <w:tab/>
        </w:r>
        <w:r>
          <w:rPr>
            <w:noProof/>
            <w:webHidden/>
          </w:rPr>
          <w:fldChar w:fldCharType="begin"/>
        </w:r>
        <w:r>
          <w:rPr>
            <w:noProof/>
            <w:webHidden/>
          </w:rPr>
          <w:instrText xml:space="preserve"> PAGEREF _Toc12261633 \h </w:instrText>
        </w:r>
        <w:r>
          <w:rPr>
            <w:noProof/>
            <w:webHidden/>
          </w:rPr>
        </w:r>
        <w:r>
          <w:rPr>
            <w:noProof/>
            <w:webHidden/>
          </w:rPr>
          <w:fldChar w:fldCharType="separate"/>
        </w:r>
        <w:r>
          <w:rPr>
            <w:noProof/>
            <w:webHidden/>
          </w:rPr>
          <w:t>571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34" w:history="1">
        <w:r w:rsidRPr="00CD0B56">
          <w:rPr>
            <w:rStyle w:val="Hyperlink"/>
            <w:noProof/>
          </w:rPr>
          <w:t>2.1.1566</w:t>
        </w:r>
        <w:r>
          <w:rPr>
            <w:rFonts w:asciiTheme="minorHAnsi" w:eastAsiaTheme="minorEastAsia" w:hAnsiTheme="minorHAnsi" w:cstheme="minorBidi"/>
            <w:noProof/>
            <w:sz w:val="22"/>
            <w:szCs w:val="22"/>
          </w:rPr>
          <w:tab/>
        </w:r>
        <w:r w:rsidRPr="00CD0B56">
          <w:rPr>
            <w:rStyle w:val="Hyperlink"/>
            <w:noProof/>
          </w:rPr>
          <w:t>Part 1 Section 21.2.2.228, view3D (View In 3D)</w:t>
        </w:r>
        <w:r>
          <w:rPr>
            <w:noProof/>
            <w:webHidden/>
          </w:rPr>
          <w:tab/>
        </w:r>
        <w:r>
          <w:rPr>
            <w:noProof/>
            <w:webHidden/>
          </w:rPr>
          <w:fldChar w:fldCharType="begin"/>
        </w:r>
        <w:r>
          <w:rPr>
            <w:noProof/>
            <w:webHidden/>
          </w:rPr>
          <w:instrText xml:space="preserve"> PAGEREF _Toc12261634 \h </w:instrText>
        </w:r>
        <w:r>
          <w:rPr>
            <w:noProof/>
            <w:webHidden/>
          </w:rPr>
        </w:r>
        <w:r>
          <w:rPr>
            <w:noProof/>
            <w:webHidden/>
          </w:rPr>
          <w:fldChar w:fldCharType="separate"/>
        </w:r>
        <w:r>
          <w:rPr>
            <w:noProof/>
            <w:webHidden/>
          </w:rPr>
          <w:t>571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35" w:history="1">
        <w:r w:rsidRPr="00CD0B56">
          <w:rPr>
            <w:rStyle w:val="Hyperlink"/>
            <w:noProof/>
          </w:rPr>
          <w:t>2.1.1567</w:t>
        </w:r>
        <w:r>
          <w:rPr>
            <w:rFonts w:asciiTheme="minorHAnsi" w:eastAsiaTheme="minorEastAsia" w:hAnsiTheme="minorHAnsi" w:cstheme="minorBidi"/>
            <w:noProof/>
            <w:sz w:val="22"/>
            <w:szCs w:val="22"/>
          </w:rPr>
          <w:tab/>
        </w:r>
        <w:r w:rsidRPr="00CD0B56">
          <w:rPr>
            <w:rStyle w:val="Hyperlink"/>
            <w:noProof/>
          </w:rPr>
          <w:t>Part 1 Section 21.2.2.229, w (Width)</w:t>
        </w:r>
        <w:r>
          <w:rPr>
            <w:noProof/>
            <w:webHidden/>
          </w:rPr>
          <w:tab/>
        </w:r>
        <w:r>
          <w:rPr>
            <w:noProof/>
            <w:webHidden/>
          </w:rPr>
          <w:fldChar w:fldCharType="begin"/>
        </w:r>
        <w:r>
          <w:rPr>
            <w:noProof/>
            <w:webHidden/>
          </w:rPr>
          <w:instrText xml:space="preserve"> PAGEREF _Toc12261635 \h </w:instrText>
        </w:r>
        <w:r>
          <w:rPr>
            <w:noProof/>
            <w:webHidden/>
          </w:rPr>
        </w:r>
        <w:r>
          <w:rPr>
            <w:noProof/>
            <w:webHidden/>
          </w:rPr>
          <w:fldChar w:fldCharType="separate"/>
        </w:r>
        <w:r>
          <w:rPr>
            <w:noProof/>
            <w:webHidden/>
          </w:rPr>
          <w:t>571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36" w:history="1">
        <w:r w:rsidRPr="00CD0B56">
          <w:rPr>
            <w:rStyle w:val="Hyperlink"/>
            <w:noProof/>
          </w:rPr>
          <w:t>2.1.1568</w:t>
        </w:r>
        <w:r>
          <w:rPr>
            <w:rFonts w:asciiTheme="minorHAnsi" w:eastAsiaTheme="minorEastAsia" w:hAnsiTheme="minorHAnsi" w:cstheme="minorBidi"/>
            <w:noProof/>
            <w:sz w:val="22"/>
            <w:szCs w:val="22"/>
          </w:rPr>
          <w:tab/>
        </w:r>
        <w:r w:rsidRPr="00CD0B56">
          <w:rPr>
            <w:rStyle w:val="Hyperlink"/>
            <w:noProof/>
          </w:rPr>
          <w:t>Part 1 Section 21.2.2.231, wMode (Width Mode)</w:t>
        </w:r>
        <w:r>
          <w:rPr>
            <w:noProof/>
            <w:webHidden/>
          </w:rPr>
          <w:tab/>
        </w:r>
        <w:r>
          <w:rPr>
            <w:noProof/>
            <w:webHidden/>
          </w:rPr>
          <w:fldChar w:fldCharType="begin"/>
        </w:r>
        <w:r>
          <w:rPr>
            <w:noProof/>
            <w:webHidden/>
          </w:rPr>
          <w:instrText xml:space="preserve"> PAGEREF _Toc12261636 \h </w:instrText>
        </w:r>
        <w:r>
          <w:rPr>
            <w:noProof/>
            <w:webHidden/>
          </w:rPr>
        </w:r>
        <w:r>
          <w:rPr>
            <w:noProof/>
            <w:webHidden/>
          </w:rPr>
          <w:fldChar w:fldCharType="separate"/>
        </w:r>
        <w:r>
          <w:rPr>
            <w:noProof/>
            <w:webHidden/>
          </w:rPr>
          <w:t>571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37" w:history="1">
        <w:r w:rsidRPr="00CD0B56">
          <w:rPr>
            <w:rStyle w:val="Hyperlink"/>
            <w:noProof/>
          </w:rPr>
          <w:t>2.1.1569</w:t>
        </w:r>
        <w:r>
          <w:rPr>
            <w:rFonts w:asciiTheme="minorHAnsi" w:eastAsiaTheme="minorEastAsia" w:hAnsiTheme="minorHAnsi" w:cstheme="minorBidi"/>
            <w:noProof/>
            <w:sz w:val="22"/>
            <w:szCs w:val="22"/>
          </w:rPr>
          <w:tab/>
        </w:r>
        <w:r w:rsidRPr="00CD0B56">
          <w:rPr>
            <w:rStyle w:val="Hyperlink"/>
            <w:noProof/>
          </w:rPr>
          <w:t>Part 1 Section 21.2.2.232, x (Left)</w:t>
        </w:r>
        <w:r>
          <w:rPr>
            <w:noProof/>
            <w:webHidden/>
          </w:rPr>
          <w:tab/>
        </w:r>
        <w:r>
          <w:rPr>
            <w:noProof/>
            <w:webHidden/>
          </w:rPr>
          <w:fldChar w:fldCharType="begin"/>
        </w:r>
        <w:r>
          <w:rPr>
            <w:noProof/>
            <w:webHidden/>
          </w:rPr>
          <w:instrText xml:space="preserve"> PAGEREF _Toc12261637 \h </w:instrText>
        </w:r>
        <w:r>
          <w:rPr>
            <w:noProof/>
            <w:webHidden/>
          </w:rPr>
        </w:r>
        <w:r>
          <w:rPr>
            <w:noProof/>
            <w:webHidden/>
          </w:rPr>
          <w:fldChar w:fldCharType="separate"/>
        </w:r>
        <w:r>
          <w:rPr>
            <w:noProof/>
            <w:webHidden/>
          </w:rPr>
          <w:t>572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38" w:history="1">
        <w:r w:rsidRPr="00CD0B56">
          <w:rPr>
            <w:rStyle w:val="Hyperlink"/>
            <w:noProof/>
          </w:rPr>
          <w:t>2.1.1570</w:t>
        </w:r>
        <w:r>
          <w:rPr>
            <w:rFonts w:asciiTheme="minorHAnsi" w:eastAsiaTheme="minorEastAsia" w:hAnsiTheme="minorHAnsi" w:cstheme="minorBidi"/>
            <w:noProof/>
            <w:sz w:val="22"/>
            <w:szCs w:val="22"/>
          </w:rPr>
          <w:tab/>
        </w:r>
        <w:r w:rsidRPr="00CD0B56">
          <w:rPr>
            <w:rStyle w:val="Hyperlink"/>
            <w:noProof/>
          </w:rPr>
          <w:t>Part 1 Section 21.2.2.233, xMode (Left Mode)</w:t>
        </w:r>
        <w:r>
          <w:rPr>
            <w:noProof/>
            <w:webHidden/>
          </w:rPr>
          <w:tab/>
        </w:r>
        <w:r>
          <w:rPr>
            <w:noProof/>
            <w:webHidden/>
          </w:rPr>
          <w:fldChar w:fldCharType="begin"/>
        </w:r>
        <w:r>
          <w:rPr>
            <w:noProof/>
            <w:webHidden/>
          </w:rPr>
          <w:instrText xml:space="preserve"> PAGEREF _Toc12261638 \h </w:instrText>
        </w:r>
        <w:r>
          <w:rPr>
            <w:noProof/>
            <w:webHidden/>
          </w:rPr>
        </w:r>
        <w:r>
          <w:rPr>
            <w:noProof/>
            <w:webHidden/>
          </w:rPr>
          <w:fldChar w:fldCharType="separate"/>
        </w:r>
        <w:r>
          <w:rPr>
            <w:noProof/>
            <w:webHidden/>
          </w:rPr>
          <w:t>572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39" w:history="1">
        <w:r w:rsidRPr="00CD0B56">
          <w:rPr>
            <w:rStyle w:val="Hyperlink"/>
            <w:noProof/>
          </w:rPr>
          <w:t>2.1.1571</w:t>
        </w:r>
        <w:r>
          <w:rPr>
            <w:rFonts w:asciiTheme="minorHAnsi" w:eastAsiaTheme="minorEastAsia" w:hAnsiTheme="minorHAnsi" w:cstheme="minorBidi"/>
            <w:noProof/>
            <w:sz w:val="22"/>
            <w:szCs w:val="22"/>
          </w:rPr>
          <w:tab/>
        </w:r>
        <w:r w:rsidRPr="00CD0B56">
          <w:rPr>
            <w:rStyle w:val="Hyperlink"/>
            <w:noProof/>
          </w:rPr>
          <w:t>Part 1 Section 21.2.2.235, y (Top)</w:t>
        </w:r>
        <w:r>
          <w:rPr>
            <w:noProof/>
            <w:webHidden/>
          </w:rPr>
          <w:tab/>
        </w:r>
        <w:r>
          <w:rPr>
            <w:noProof/>
            <w:webHidden/>
          </w:rPr>
          <w:fldChar w:fldCharType="begin"/>
        </w:r>
        <w:r>
          <w:rPr>
            <w:noProof/>
            <w:webHidden/>
          </w:rPr>
          <w:instrText xml:space="preserve"> PAGEREF _Toc12261639 \h </w:instrText>
        </w:r>
        <w:r>
          <w:rPr>
            <w:noProof/>
            <w:webHidden/>
          </w:rPr>
        </w:r>
        <w:r>
          <w:rPr>
            <w:noProof/>
            <w:webHidden/>
          </w:rPr>
          <w:fldChar w:fldCharType="separate"/>
        </w:r>
        <w:r>
          <w:rPr>
            <w:noProof/>
            <w:webHidden/>
          </w:rPr>
          <w:t>572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40" w:history="1">
        <w:r w:rsidRPr="00CD0B56">
          <w:rPr>
            <w:rStyle w:val="Hyperlink"/>
            <w:noProof/>
          </w:rPr>
          <w:t>2.1.1572</w:t>
        </w:r>
        <w:r>
          <w:rPr>
            <w:rFonts w:asciiTheme="minorHAnsi" w:eastAsiaTheme="minorEastAsia" w:hAnsiTheme="minorHAnsi" w:cstheme="minorBidi"/>
            <w:noProof/>
            <w:sz w:val="22"/>
            <w:szCs w:val="22"/>
          </w:rPr>
          <w:tab/>
        </w:r>
        <w:r w:rsidRPr="00CD0B56">
          <w:rPr>
            <w:rStyle w:val="Hyperlink"/>
            <w:noProof/>
          </w:rPr>
          <w:t>Part 1 Section 21.2.2.236, yMode (Top Mode)</w:t>
        </w:r>
        <w:r>
          <w:rPr>
            <w:noProof/>
            <w:webHidden/>
          </w:rPr>
          <w:tab/>
        </w:r>
        <w:r>
          <w:rPr>
            <w:noProof/>
            <w:webHidden/>
          </w:rPr>
          <w:fldChar w:fldCharType="begin"/>
        </w:r>
        <w:r>
          <w:rPr>
            <w:noProof/>
            <w:webHidden/>
          </w:rPr>
          <w:instrText xml:space="preserve"> PAGEREF _Toc12261640 \h </w:instrText>
        </w:r>
        <w:r>
          <w:rPr>
            <w:noProof/>
            <w:webHidden/>
          </w:rPr>
        </w:r>
        <w:r>
          <w:rPr>
            <w:noProof/>
            <w:webHidden/>
          </w:rPr>
          <w:fldChar w:fldCharType="separate"/>
        </w:r>
        <w:r>
          <w:rPr>
            <w:noProof/>
            <w:webHidden/>
          </w:rPr>
          <w:t>573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41" w:history="1">
        <w:r w:rsidRPr="00CD0B56">
          <w:rPr>
            <w:rStyle w:val="Hyperlink"/>
            <w:noProof/>
          </w:rPr>
          <w:t>2.1.1573</w:t>
        </w:r>
        <w:r>
          <w:rPr>
            <w:rFonts w:asciiTheme="minorHAnsi" w:eastAsiaTheme="minorEastAsia" w:hAnsiTheme="minorHAnsi" w:cstheme="minorBidi"/>
            <w:noProof/>
            <w:sz w:val="22"/>
            <w:szCs w:val="22"/>
          </w:rPr>
          <w:tab/>
        </w:r>
        <w:r w:rsidRPr="00CD0B56">
          <w:rPr>
            <w:rStyle w:val="Hyperlink"/>
            <w:noProof/>
          </w:rPr>
          <w:t>Part 1 Section 21.2.3.1, ST_AxisUnit (Axis Unit)</w:t>
        </w:r>
        <w:r>
          <w:rPr>
            <w:noProof/>
            <w:webHidden/>
          </w:rPr>
          <w:tab/>
        </w:r>
        <w:r>
          <w:rPr>
            <w:noProof/>
            <w:webHidden/>
          </w:rPr>
          <w:fldChar w:fldCharType="begin"/>
        </w:r>
        <w:r>
          <w:rPr>
            <w:noProof/>
            <w:webHidden/>
          </w:rPr>
          <w:instrText xml:space="preserve"> PAGEREF _Toc12261641 \h </w:instrText>
        </w:r>
        <w:r>
          <w:rPr>
            <w:noProof/>
            <w:webHidden/>
          </w:rPr>
        </w:r>
        <w:r>
          <w:rPr>
            <w:noProof/>
            <w:webHidden/>
          </w:rPr>
          <w:fldChar w:fldCharType="separate"/>
        </w:r>
        <w:r>
          <w:rPr>
            <w:noProof/>
            <w:webHidden/>
          </w:rPr>
          <w:t>573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42" w:history="1">
        <w:r w:rsidRPr="00CD0B56">
          <w:rPr>
            <w:rStyle w:val="Hyperlink"/>
            <w:noProof/>
          </w:rPr>
          <w:t>2.1.1574</w:t>
        </w:r>
        <w:r>
          <w:rPr>
            <w:rFonts w:asciiTheme="minorHAnsi" w:eastAsiaTheme="minorEastAsia" w:hAnsiTheme="minorHAnsi" w:cstheme="minorBidi"/>
            <w:noProof/>
            <w:sz w:val="22"/>
            <w:szCs w:val="22"/>
          </w:rPr>
          <w:tab/>
        </w:r>
        <w:r w:rsidRPr="00CD0B56">
          <w:rPr>
            <w:rStyle w:val="Hyperlink"/>
            <w:noProof/>
          </w:rPr>
          <w:t>Part 1 Section 21.2.3.3, ST_BarDir (Bar Direction)</w:t>
        </w:r>
        <w:r>
          <w:rPr>
            <w:noProof/>
            <w:webHidden/>
          </w:rPr>
          <w:tab/>
        </w:r>
        <w:r>
          <w:rPr>
            <w:noProof/>
            <w:webHidden/>
          </w:rPr>
          <w:fldChar w:fldCharType="begin"/>
        </w:r>
        <w:r>
          <w:rPr>
            <w:noProof/>
            <w:webHidden/>
          </w:rPr>
          <w:instrText xml:space="preserve"> PAGEREF _Toc12261642 \h </w:instrText>
        </w:r>
        <w:r>
          <w:rPr>
            <w:noProof/>
            <w:webHidden/>
          </w:rPr>
        </w:r>
        <w:r>
          <w:rPr>
            <w:noProof/>
            <w:webHidden/>
          </w:rPr>
          <w:fldChar w:fldCharType="separate"/>
        </w:r>
        <w:r>
          <w:rPr>
            <w:noProof/>
            <w:webHidden/>
          </w:rPr>
          <w:t>573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43" w:history="1">
        <w:r w:rsidRPr="00CD0B56">
          <w:rPr>
            <w:rStyle w:val="Hyperlink"/>
            <w:noProof/>
          </w:rPr>
          <w:t>2.1.1575</w:t>
        </w:r>
        <w:r>
          <w:rPr>
            <w:rFonts w:asciiTheme="minorHAnsi" w:eastAsiaTheme="minorEastAsia" w:hAnsiTheme="minorHAnsi" w:cstheme="minorBidi"/>
            <w:noProof/>
            <w:sz w:val="22"/>
            <w:szCs w:val="22"/>
          </w:rPr>
          <w:tab/>
        </w:r>
        <w:r w:rsidRPr="00CD0B56">
          <w:rPr>
            <w:rStyle w:val="Hyperlink"/>
            <w:noProof/>
          </w:rPr>
          <w:t>Part 1 Section 21.2.3.4, ST_BarGrouping (Bar Grouping)</w:t>
        </w:r>
        <w:r>
          <w:rPr>
            <w:noProof/>
            <w:webHidden/>
          </w:rPr>
          <w:tab/>
        </w:r>
        <w:r>
          <w:rPr>
            <w:noProof/>
            <w:webHidden/>
          </w:rPr>
          <w:fldChar w:fldCharType="begin"/>
        </w:r>
        <w:r>
          <w:rPr>
            <w:noProof/>
            <w:webHidden/>
          </w:rPr>
          <w:instrText xml:space="preserve"> PAGEREF _Toc12261643 \h </w:instrText>
        </w:r>
        <w:r>
          <w:rPr>
            <w:noProof/>
            <w:webHidden/>
          </w:rPr>
        </w:r>
        <w:r>
          <w:rPr>
            <w:noProof/>
            <w:webHidden/>
          </w:rPr>
          <w:fldChar w:fldCharType="separate"/>
        </w:r>
        <w:r>
          <w:rPr>
            <w:noProof/>
            <w:webHidden/>
          </w:rPr>
          <w:t>573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44" w:history="1">
        <w:r w:rsidRPr="00CD0B56">
          <w:rPr>
            <w:rStyle w:val="Hyperlink"/>
            <w:noProof/>
          </w:rPr>
          <w:t>2.1.1576</w:t>
        </w:r>
        <w:r>
          <w:rPr>
            <w:rFonts w:asciiTheme="minorHAnsi" w:eastAsiaTheme="minorEastAsia" w:hAnsiTheme="minorHAnsi" w:cstheme="minorBidi"/>
            <w:noProof/>
            <w:sz w:val="22"/>
            <w:szCs w:val="22"/>
          </w:rPr>
          <w:tab/>
        </w:r>
        <w:r w:rsidRPr="00CD0B56">
          <w:rPr>
            <w:rStyle w:val="Hyperlink"/>
            <w:noProof/>
          </w:rPr>
          <w:t>Part 1 Section 21.2.3.6, ST_BuiltInUnit (Built-In Unit)</w:t>
        </w:r>
        <w:r>
          <w:rPr>
            <w:noProof/>
            <w:webHidden/>
          </w:rPr>
          <w:tab/>
        </w:r>
        <w:r>
          <w:rPr>
            <w:noProof/>
            <w:webHidden/>
          </w:rPr>
          <w:fldChar w:fldCharType="begin"/>
        </w:r>
        <w:r>
          <w:rPr>
            <w:noProof/>
            <w:webHidden/>
          </w:rPr>
          <w:instrText xml:space="preserve"> PAGEREF _Toc12261644 \h </w:instrText>
        </w:r>
        <w:r>
          <w:rPr>
            <w:noProof/>
            <w:webHidden/>
          </w:rPr>
        </w:r>
        <w:r>
          <w:rPr>
            <w:noProof/>
            <w:webHidden/>
          </w:rPr>
          <w:fldChar w:fldCharType="separate"/>
        </w:r>
        <w:r>
          <w:rPr>
            <w:noProof/>
            <w:webHidden/>
          </w:rPr>
          <w:t>573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45" w:history="1">
        <w:r w:rsidRPr="00CD0B56">
          <w:rPr>
            <w:rStyle w:val="Hyperlink"/>
            <w:noProof/>
          </w:rPr>
          <w:t>2.1.1577</w:t>
        </w:r>
        <w:r>
          <w:rPr>
            <w:rFonts w:asciiTheme="minorHAnsi" w:eastAsiaTheme="minorEastAsia" w:hAnsiTheme="minorHAnsi" w:cstheme="minorBidi"/>
            <w:noProof/>
            <w:sz w:val="22"/>
            <w:szCs w:val="22"/>
          </w:rPr>
          <w:tab/>
        </w:r>
        <w:r w:rsidRPr="00CD0B56">
          <w:rPr>
            <w:rStyle w:val="Hyperlink"/>
            <w:noProof/>
          </w:rPr>
          <w:t>Part 1 Section 21.2.3.8, ST_Crosses (Crosses)</w:t>
        </w:r>
        <w:r>
          <w:rPr>
            <w:noProof/>
            <w:webHidden/>
          </w:rPr>
          <w:tab/>
        </w:r>
        <w:r>
          <w:rPr>
            <w:noProof/>
            <w:webHidden/>
          </w:rPr>
          <w:fldChar w:fldCharType="begin"/>
        </w:r>
        <w:r>
          <w:rPr>
            <w:noProof/>
            <w:webHidden/>
          </w:rPr>
          <w:instrText xml:space="preserve"> PAGEREF _Toc12261645 \h </w:instrText>
        </w:r>
        <w:r>
          <w:rPr>
            <w:noProof/>
            <w:webHidden/>
          </w:rPr>
        </w:r>
        <w:r>
          <w:rPr>
            <w:noProof/>
            <w:webHidden/>
          </w:rPr>
          <w:fldChar w:fldCharType="separate"/>
        </w:r>
        <w:r>
          <w:rPr>
            <w:noProof/>
            <w:webHidden/>
          </w:rPr>
          <w:t>573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46" w:history="1">
        <w:r w:rsidRPr="00CD0B56">
          <w:rPr>
            <w:rStyle w:val="Hyperlink"/>
            <w:noProof/>
          </w:rPr>
          <w:t>2.1.1578</w:t>
        </w:r>
        <w:r>
          <w:rPr>
            <w:rFonts w:asciiTheme="minorHAnsi" w:eastAsiaTheme="minorEastAsia" w:hAnsiTheme="minorHAnsi" w:cstheme="minorBidi"/>
            <w:noProof/>
            <w:sz w:val="22"/>
            <w:szCs w:val="22"/>
          </w:rPr>
          <w:tab/>
        </w:r>
        <w:r w:rsidRPr="00CD0B56">
          <w:rPr>
            <w:rStyle w:val="Hyperlink"/>
            <w:noProof/>
          </w:rPr>
          <w:t>Part 1 Section 21.2.3.14, ST_ErrValType (Error Value Type)</w:t>
        </w:r>
        <w:r>
          <w:rPr>
            <w:noProof/>
            <w:webHidden/>
          </w:rPr>
          <w:tab/>
        </w:r>
        <w:r>
          <w:rPr>
            <w:noProof/>
            <w:webHidden/>
          </w:rPr>
          <w:fldChar w:fldCharType="begin"/>
        </w:r>
        <w:r>
          <w:rPr>
            <w:noProof/>
            <w:webHidden/>
          </w:rPr>
          <w:instrText xml:space="preserve"> PAGEREF _Toc12261646 \h </w:instrText>
        </w:r>
        <w:r>
          <w:rPr>
            <w:noProof/>
            <w:webHidden/>
          </w:rPr>
        </w:r>
        <w:r>
          <w:rPr>
            <w:noProof/>
            <w:webHidden/>
          </w:rPr>
          <w:fldChar w:fldCharType="separate"/>
        </w:r>
        <w:r>
          <w:rPr>
            <w:noProof/>
            <w:webHidden/>
          </w:rPr>
          <w:t>574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47" w:history="1">
        <w:r w:rsidRPr="00CD0B56">
          <w:rPr>
            <w:rStyle w:val="Hyperlink"/>
            <w:noProof/>
          </w:rPr>
          <w:t>2.1.1579</w:t>
        </w:r>
        <w:r>
          <w:rPr>
            <w:rFonts w:asciiTheme="minorHAnsi" w:eastAsiaTheme="minorEastAsia" w:hAnsiTheme="minorHAnsi" w:cstheme="minorBidi"/>
            <w:noProof/>
            <w:sz w:val="22"/>
            <w:szCs w:val="22"/>
          </w:rPr>
          <w:tab/>
        </w:r>
        <w:r w:rsidRPr="00CD0B56">
          <w:rPr>
            <w:rStyle w:val="Hyperlink"/>
            <w:noProof/>
          </w:rPr>
          <w:t>Part 1 Section 21.2.3.17, ST_Grouping (Grouping)</w:t>
        </w:r>
        <w:r>
          <w:rPr>
            <w:noProof/>
            <w:webHidden/>
          </w:rPr>
          <w:tab/>
        </w:r>
        <w:r>
          <w:rPr>
            <w:noProof/>
            <w:webHidden/>
          </w:rPr>
          <w:fldChar w:fldCharType="begin"/>
        </w:r>
        <w:r>
          <w:rPr>
            <w:noProof/>
            <w:webHidden/>
          </w:rPr>
          <w:instrText xml:space="preserve"> PAGEREF _Toc12261647 \h </w:instrText>
        </w:r>
        <w:r>
          <w:rPr>
            <w:noProof/>
            <w:webHidden/>
          </w:rPr>
        </w:r>
        <w:r>
          <w:rPr>
            <w:noProof/>
            <w:webHidden/>
          </w:rPr>
          <w:fldChar w:fldCharType="separate"/>
        </w:r>
        <w:r>
          <w:rPr>
            <w:noProof/>
            <w:webHidden/>
          </w:rPr>
          <w:t>574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48" w:history="1">
        <w:r w:rsidRPr="00CD0B56">
          <w:rPr>
            <w:rStyle w:val="Hyperlink"/>
            <w:noProof/>
          </w:rPr>
          <w:t>2.1.1580</w:t>
        </w:r>
        <w:r>
          <w:rPr>
            <w:rFonts w:asciiTheme="minorHAnsi" w:eastAsiaTheme="minorEastAsia" w:hAnsiTheme="minorHAnsi" w:cstheme="minorBidi"/>
            <w:noProof/>
            <w:sz w:val="22"/>
            <w:szCs w:val="22"/>
          </w:rPr>
          <w:tab/>
        </w:r>
        <w:r w:rsidRPr="00CD0B56">
          <w:rPr>
            <w:rStyle w:val="Hyperlink"/>
            <w:noProof/>
          </w:rPr>
          <w:t>Part 1 Section 21.2.3.18, ST_HoleSize (Hole Size)</w:t>
        </w:r>
        <w:r>
          <w:rPr>
            <w:noProof/>
            <w:webHidden/>
          </w:rPr>
          <w:tab/>
        </w:r>
        <w:r>
          <w:rPr>
            <w:noProof/>
            <w:webHidden/>
          </w:rPr>
          <w:fldChar w:fldCharType="begin"/>
        </w:r>
        <w:r>
          <w:rPr>
            <w:noProof/>
            <w:webHidden/>
          </w:rPr>
          <w:instrText xml:space="preserve"> PAGEREF _Toc12261648 \h </w:instrText>
        </w:r>
        <w:r>
          <w:rPr>
            <w:noProof/>
            <w:webHidden/>
          </w:rPr>
        </w:r>
        <w:r>
          <w:rPr>
            <w:noProof/>
            <w:webHidden/>
          </w:rPr>
          <w:fldChar w:fldCharType="separate"/>
        </w:r>
        <w:r>
          <w:rPr>
            <w:noProof/>
            <w:webHidden/>
          </w:rPr>
          <w:t>574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49" w:history="1">
        <w:r w:rsidRPr="00CD0B56">
          <w:rPr>
            <w:rStyle w:val="Hyperlink"/>
            <w:noProof/>
          </w:rPr>
          <w:t>2.1.1581</w:t>
        </w:r>
        <w:r>
          <w:rPr>
            <w:rFonts w:asciiTheme="minorHAnsi" w:eastAsiaTheme="minorEastAsia" w:hAnsiTheme="minorHAnsi" w:cstheme="minorBidi"/>
            <w:noProof/>
            <w:sz w:val="22"/>
            <w:szCs w:val="22"/>
          </w:rPr>
          <w:tab/>
        </w:r>
        <w:r w:rsidRPr="00CD0B56">
          <w:rPr>
            <w:rStyle w:val="Hyperlink"/>
            <w:noProof/>
          </w:rPr>
          <w:t>Part 1 Section 21.2.3.20, ST_LayoutMode (Layout Mode)</w:t>
        </w:r>
        <w:r>
          <w:rPr>
            <w:noProof/>
            <w:webHidden/>
          </w:rPr>
          <w:tab/>
        </w:r>
        <w:r>
          <w:rPr>
            <w:noProof/>
            <w:webHidden/>
          </w:rPr>
          <w:fldChar w:fldCharType="begin"/>
        </w:r>
        <w:r>
          <w:rPr>
            <w:noProof/>
            <w:webHidden/>
          </w:rPr>
          <w:instrText xml:space="preserve"> PAGEREF _Toc12261649 \h </w:instrText>
        </w:r>
        <w:r>
          <w:rPr>
            <w:noProof/>
            <w:webHidden/>
          </w:rPr>
        </w:r>
        <w:r>
          <w:rPr>
            <w:noProof/>
            <w:webHidden/>
          </w:rPr>
          <w:fldChar w:fldCharType="separate"/>
        </w:r>
        <w:r>
          <w:rPr>
            <w:noProof/>
            <w:webHidden/>
          </w:rPr>
          <w:t>574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50" w:history="1">
        <w:r w:rsidRPr="00CD0B56">
          <w:rPr>
            <w:rStyle w:val="Hyperlink"/>
            <w:noProof/>
          </w:rPr>
          <w:t>2.1.1582</w:t>
        </w:r>
        <w:r>
          <w:rPr>
            <w:rFonts w:asciiTheme="minorHAnsi" w:eastAsiaTheme="minorEastAsia" w:hAnsiTheme="minorHAnsi" w:cstheme="minorBidi"/>
            <w:noProof/>
            <w:sz w:val="22"/>
            <w:szCs w:val="22"/>
          </w:rPr>
          <w:tab/>
        </w:r>
        <w:r w:rsidRPr="00CD0B56">
          <w:rPr>
            <w:rStyle w:val="Hyperlink"/>
            <w:noProof/>
          </w:rPr>
          <w:t>Part 1 Section 21.2.3.27, ST_MarkerStyle (Marker Style)</w:t>
        </w:r>
        <w:r>
          <w:rPr>
            <w:noProof/>
            <w:webHidden/>
          </w:rPr>
          <w:tab/>
        </w:r>
        <w:r>
          <w:rPr>
            <w:noProof/>
            <w:webHidden/>
          </w:rPr>
          <w:fldChar w:fldCharType="begin"/>
        </w:r>
        <w:r>
          <w:rPr>
            <w:noProof/>
            <w:webHidden/>
          </w:rPr>
          <w:instrText xml:space="preserve"> PAGEREF _Toc12261650 \h </w:instrText>
        </w:r>
        <w:r>
          <w:rPr>
            <w:noProof/>
            <w:webHidden/>
          </w:rPr>
        </w:r>
        <w:r>
          <w:rPr>
            <w:noProof/>
            <w:webHidden/>
          </w:rPr>
          <w:fldChar w:fldCharType="separate"/>
        </w:r>
        <w:r>
          <w:rPr>
            <w:noProof/>
            <w:webHidden/>
          </w:rPr>
          <w:t>574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51" w:history="1">
        <w:r w:rsidRPr="00CD0B56">
          <w:rPr>
            <w:rStyle w:val="Hyperlink"/>
            <w:noProof/>
          </w:rPr>
          <w:t>2.1.1583</w:t>
        </w:r>
        <w:r>
          <w:rPr>
            <w:rFonts w:asciiTheme="minorHAnsi" w:eastAsiaTheme="minorEastAsia" w:hAnsiTheme="minorHAnsi" w:cstheme="minorBidi"/>
            <w:noProof/>
            <w:sz w:val="22"/>
            <w:szCs w:val="22"/>
          </w:rPr>
          <w:tab/>
        </w:r>
        <w:r w:rsidRPr="00CD0B56">
          <w:rPr>
            <w:rStyle w:val="Hyperlink"/>
            <w:noProof/>
          </w:rPr>
          <w:t>Part 1 Section 21.2.3.30, ST_Orientation (Orientation)</w:t>
        </w:r>
        <w:r>
          <w:rPr>
            <w:noProof/>
            <w:webHidden/>
          </w:rPr>
          <w:tab/>
        </w:r>
        <w:r>
          <w:rPr>
            <w:noProof/>
            <w:webHidden/>
          </w:rPr>
          <w:fldChar w:fldCharType="begin"/>
        </w:r>
        <w:r>
          <w:rPr>
            <w:noProof/>
            <w:webHidden/>
          </w:rPr>
          <w:instrText xml:space="preserve"> PAGEREF _Toc12261651 \h </w:instrText>
        </w:r>
        <w:r>
          <w:rPr>
            <w:noProof/>
            <w:webHidden/>
          </w:rPr>
        </w:r>
        <w:r>
          <w:rPr>
            <w:noProof/>
            <w:webHidden/>
          </w:rPr>
          <w:fldChar w:fldCharType="separate"/>
        </w:r>
        <w:r>
          <w:rPr>
            <w:noProof/>
            <w:webHidden/>
          </w:rPr>
          <w:t>575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52" w:history="1">
        <w:r w:rsidRPr="00CD0B56">
          <w:rPr>
            <w:rStyle w:val="Hyperlink"/>
            <w:noProof/>
          </w:rPr>
          <w:t>2.1.1584</w:t>
        </w:r>
        <w:r>
          <w:rPr>
            <w:rFonts w:asciiTheme="minorHAnsi" w:eastAsiaTheme="minorEastAsia" w:hAnsiTheme="minorHAnsi" w:cstheme="minorBidi"/>
            <w:noProof/>
            <w:sz w:val="22"/>
            <w:szCs w:val="22"/>
          </w:rPr>
          <w:tab/>
        </w:r>
        <w:r w:rsidRPr="00CD0B56">
          <w:rPr>
            <w:rStyle w:val="Hyperlink"/>
            <w:noProof/>
          </w:rPr>
          <w:t>Part 1 Section 21.2.3.33, ST_Period (Period)</w:t>
        </w:r>
        <w:r>
          <w:rPr>
            <w:noProof/>
            <w:webHidden/>
          </w:rPr>
          <w:tab/>
        </w:r>
        <w:r>
          <w:rPr>
            <w:noProof/>
            <w:webHidden/>
          </w:rPr>
          <w:fldChar w:fldCharType="begin"/>
        </w:r>
        <w:r>
          <w:rPr>
            <w:noProof/>
            <w:webHidden/>
          </w:rPr>
          <w:instrText xml:space="preserve"> PAGEREF _Toc12261652 \h </w:instrText>
        </w:r>
        <w:r>
          <w:rPr>
            <w:noProof/>
            <w:webHidden/>
          </w:rPr>
        </w:r>
        <w:r>
          <w:rPr>
            <w:noProof/>
            <w:webHidden/>
          </w:rPr>
          <w:fldChar w:fldCharType="separate"/>
        </w:r>
        <w:r>
          <w:rPr>
            <w:noProof/>
            <w:webHidden/>
          </w:rPr>
          <w:t>575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53" w:history="1">
        <w:r w:rsidRPr="00CD0B56">
          <w:rPr>
            <w:rStyle w:val="Hyperlink"/>
            <w:noProof/>
          </w:rPr>
          <w:t>2.1.1585</w:t>
        </w:r>
        <w:r>
          <w:rPr>
            <w:rFonts w:asciiTheme="minorHAnsi" w:eastAsiaTheme="minorEastAsia" w:hAnsiTheme="minorHAnsi" w:cstheme="minorBidi"/>
            <w:noProof/>
            <w:sz w:val="22"/>
            <w:szCs w:val="22"/>
          </w:rPr>
          <w:tab/>
        </w:r>
        <w:r w:rsidRPr="00CD0B56">
          <w:rPr>
            <w:rStyle w:val="Hyperlink"/>
            <w:noProof/>
          </w:rPr>
          <w:t>Part 1 Section 21.2.3.34, ST_Perspective (Perspective)</w:t>
        </w:r>
        <w:r>
          <w:rPr>
            <w:noProof/>
            <w:webHidden/>
          </w:rPr>
          <w:tab/>
        </w:r>
        <w:r>
          <w:rPr>
            <w:noProof/>
            <w:webHidden/>
          </w:rPr>
          <w:fldChar w:fldCharType="begin"/>
        </w:r>
        <w:r>
          <w:rPr>
            <w:noProof/>
            <w:webHidden/>
          </w:rPr>
          <w:instrText xml:space="preserve"> PAGEREF _Toc12261653 \h </w:instrText>
        </w:r>
        <w:r>
          <w:rPr>
            <w:noProof/>
            <w:webHidden/>
          </w:rPr>
        </w:r>
        <w:r>
          <w:rPr>
            <w:noProof/>
            <w:webHidden/>
          </w:rPr>
          <w:fldChar w:fldCharType="separate"/>
        </w:r>
        <w:r>
          <w:rPr>
            <w:noProof/>
            <w:webHidden/>
          </w:rPr>
          <w:t>575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54" w:history="1">
        <w:r w:rsidRPr="00CD0B56">
          <w:rPr>
            <w:rStyle w:val="Hyperlink"/>
            <w:noProof/>
          </w:rPr>
          <w:t>2.1.1586</w:t>
        </w:r>
        <w:r>
          <w:rPr>
            <w:rFonts w:asciiTheme="minorHAnsi" w:eastAsiaTheme="minorEastAsia" w:hAnsiTheme="minorHAnsi" w:cstheme="minorBidi"/>
            <w:noProof/>
            <w:sz w:val="22"/>
            <w:szCs w:val="22"/>
          </w:rPr>
          <w:tab/>
        </w:r>
        <w:r w:rsidRPr="00CD0B56">
          <w:rPr>
            <w:rStyle w:val="Hyperlink"/>
            <w:noProof/>
          </w:rPr>
          <w:t>Part 1 Section 21.2.3.35, ST_PictureFormat (Picture Format)</w:t>
        </w:r>
        <w:r>
          <w:rPr>
            <w:noProof/>
            <w:webHidden/>
          </w:rPr>
          <w:tab/>
        </w:r>
        <w:r>
          <w:rPr>
            <w:noProof/>
            <w:webHidden/>
          </w:rPr>
          <w:fldChar w:fldCharType="begin"/>
        </w:r>
        <w:r>
          <w:rPr>
            <w:noProof/>
            <w:webHidden/>
          </w:rPr>
          <w:instrText xml:space="preserve"> PAGEREF _Toc12261654 \h </w:instrText>
        </w:r>
        <w:r>
          <w:rPr>
            <w:noProof/>
            <w:webHidden/>
          </w:rPr>
        </w:r>
        <w:r>
          <w:rPr>
            <w:noProof/>
            <w:webHidden/>
          </w:rPr>
          <w:fldChar w:fldCharType="separate"/>
        </w:r>
        <w:r>
          <w:rPr>
            <w:noProof/>
            <w:webHidden/>
          </w:rPr>
          <w:t>575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55" w:history="1">
        <w:r w:rsidRPr="00CD0B56">
          <w:rPr>
            <w:rStyle w:val="Hyperlink"/>
            <w:noProof/>
          </w:rPr>
          <w:t>2.1.1587</w:t>
        </w:r>
        <w:r>
          <w:rPr>
            <w:rFonts w:asciiTheme="minorHAnsi" w:eastAsiaTheme="minorEastAsia" w:hAnsiTheme="minorHAnsi" w:cstheme="minorBidi"/>
            <w:noProof/>
            <w:sz w:val="22"/>
            <w:szCs w:val="22"/>
          </w:rPr>
          <w:tab/>
        </w:r>
        <w:r w:rsidRPr="00CD0B56">
          <w:rPr>
            <w:rStyle w:val="Hyperlink"/>
            <w:noProof/>
          </w:rPr>
          <w:t>Part 1 Section 21.2.3.37, ST_RadarStyle (Radar Style)</w:t>
        </w:r>
        <w:r>
          <w:rPr>
            <w:noProof/>
            <w:webHidden/>
          </w:rPr>
          <w:tab/>
        </w:r>
        <w:r>
          <w:rPr>
            <w:noProof/>
            <w:webHidden/>
          </w:rPr>
          <w:fldChar w:fldCharType="begin"/>
        </w:r>
        <w:r>
          <w:rPr>
            <w:noProof/>
            <w:webHidden/>
          </w:rPr>
          <w:instrText xml:space="preserve"> PAGEREF _Toc12261655 \h </w:instrText>
        </w:r>
        <w:r>
          <w:rPr>
            <w:noProof/>
            <w:webHidden/>
          </w:rPr>
        </w:r>
        <w:r>
          <w:rPr>
            <w:noProof/>
            <w:webHidden/>
          </w:rPr>
          <w:fldChar w:fldCharType="separate"/>
        </w:r>
        <w:r>
          <w:rPr>
            <w:noProof/>
            <w:webHidden/>
          </w:rPr>
          <w:t>575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56" w:history="1">
        <w:r w:rsidRPr="00CD0B56">
          <w:rPr>
            <w:rStyle w:val="Hyperlink"/>
            <w:noProof/>
          </w:rPr>
          <w:t>2.1.1588</w:t>
        </w:r>
        <w:r>
          <w:rPr>
            <w:rFonts w:asciiTheme="minorHAnsi" w:eastAsiaTheme="minorEastAsia" w:hAnsiTheme="minorHAnsi" w:cstheme="minorBidi"/>
            <w:noProof/>
            <w:sz w:val="22"/>
            <w:szCs w:val="22"/>
          </w:rPr>
          <w:tab/>
        </w:r>
        <w:r w:rsidRPr="00CD0B56">
          <w:rPr>
            <w:rStyle w:val="Hyperlink"/>
            <w:noProof/>
          </w:rPr>
          <w:t>Part 1 Section 21.2.3.40, ST_ScatterStyle (Scatter Style)</w:t>
        </w:r>
        <w:r>
          <w:rPr>
            <w:noProof/>
            <w:webHidden/>
          </w:rPr>
          <w:tab/>
        </w:r>
        <w:r>
          <w:rPr>
            <w:noProof/>
            <w:webHidden/>
          </w:rPr>
          <w:fldChar w:fldCharType="begin"/>
        </w:r>
        <w:r>
          <w:rPr>
            <w:noProof/>
            <w:webHidden/>
          </w:rPr>
          <w:instrText xml:space="preserve"> PAGEREF _Toc12261656 \h </w:instrText>
        </w:r>
        <w:r>
          <w:rPr>
            <w:noProof/>
            <w:webHidden/>
          </w:rPr>
        </w:r>
        <w:r>
          <w:rPr>
            <w:noProof/>
            <w:webHidden/>
          </w:rPr>
          <w:fldChar w:fldCharType="separate"/>
        </w:r>
        <w:r>
          <w:rPr>
            <w:noProof/>
            <w:webHidden/>
          </w:rPr>
          <w:t>575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57" w:history="1">
        <w:r w:rsidRPr="00CD0B56">
          <w:rPr>
            <w:rStyle w:val="Hyperlink"/>
            <w:noProof/>
          </w:rPr>
          <w:t>2.1.1589</w:t>
        </w:r>
        <w:r>
          <w:rPr>
            <w:rFonts w:asciiTheme="minorHAnsi" w:eastAsiaTheme="minorEastAsia" w:hAnsiTheme="minorHAnsi" w:cstheme="minorBidi"/>
            <w:noProof/>
            <w:sz w:val="22"/>
            <w:szCs w:val="22"/>
          </w:rPr>
          <w:tab/>
        </w:r>
        <w:r w:rsidRPr="00CD0B56">
          <w:rPr>
            <w:rStyle w:val="Hyperlink"/>
            <w:noProof/>
          </w:rPr>
          <w:t>Part 1 Section 21.2.3.42, ST_Shape (Shape)</w:t>
        </w:r>
        <w:r>
          <w:rPr>
            <w:noProof/>
            <w:webHidden/>
          </w:rPr>
          <w:tab/>
        </w:r>
        <w:r>
          <w:rPr>
            <w:noProof/>
            <w:webHidden/>
          </w:rPr>
          <w:fldChar w:fldCharType="begin"/>
        </w:r>
        <w:r>
          <w:rPr>
            <w:noProof/>
            <w:webHidden/>
          </w:rPr>
          <w:instrText xml:space="preserve"> PAGEREF _Toc12261657 \h </w:instrText>
        </w:r>
        <w:r>
          <w:rPr>
            <w:noProof/>
            <w:webHidden/>
          </w:rPr>
        </w:r>
        <w:r>
          <w:rPr>
            <w:noProof/>
            <w:webHidden/>
          </w:rPr>
          <w:fldChar w:fldCharType="separate"/>
        </w:r>
        <w:r>
          <w:rPr>
            <w:noProof/>
            <w:webHidden/>
          </w:rPr>
          <w:t>576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58" w:history="1">
        <w:r w:rsidRPr="00CD0B56">
          <w:rPr>
            <w:rStyle w:val="Hyperlink"/>
            <w:noProof/>
          </w:rPr>
          <w:t>2.1.1590</w:t>
        </w:r>
        <w:r>
          <w:rPr>
            <w:rFonts w:asciiTheme="minorHAnsi" w:eastAsiaTheme="minorEastAsia" w:hAnsiTheme="minorHAnsi" w:cstheme="minorBidi"/>
            <w:noProof/>
            <w:sz w:val="22"/>
            <w:szCs w:val="22"/>
          </w:rPr>
          <w:tab/>
        </w:r>
        <w:r w:rsidRPr="00CD0B56">
          <w:rPr>
            <w:rStyle w:val="Hyperlink"/>
            <w:noProof/>
          </w:rPr>
          <w:t>Part 1 Section 21.2.3.44, ST_Skip (Skip)</w:t>
        </w:r>
        <w:r>
          <w:rPr>
            <w:noProof/>
            <w:webHidden/>
          </w:rPr>
          <w:tab/>
        </w:r>
        <w:r>
          <w:rPr>
            <w:noProof/>
            <w:webHidden/>
          </w:rPr>
          <w:fldChar w:fldCharType="begin"/>
        </w:r>
        <w:r>
          <w:rPr>
            <w:noProof/>
            <w:webHidden/>
          </w:rPr>
          <w:instrText xml:space="preserve"> PAGEREF _Toc12261658 \h </w:instrText>
        </w:r>
        <w:r>
          <w:rPr>
            <w:noProof/>
            <w:webHidden/>
          </w:rPr>
        </w:r>
        <w:r>
          <w:rPr>
            <w:noProof/>
            <w:webHidden/>
          </w:rPr>
          <w:fldChar w:fldCharType="separate"/>
        </w:r>
        <w:r>
          <w:rPr>
            <w:noProof/>
            <w:webHidden/>
          </w:rPr>
          <w:t>576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59" w:history="1">
        <w:r w:rsidRPr="00CD0B56">
          <w:rPr>
            <w:rStyle w:val="Hyperlink"/>
            <w:noProof/>
          </w:rPr>
          <w:t>2.1.1591</w:t>
        </w:r>
        <w:r>
          <w:rPr>
            <w:rFonts w:asciiTheme="minorHAnsi" w:eastAsiaTheme="minorEastAsia" w:hAnsiTheme="minorHAnsi" w:cstheme="minorBidi"/>
            <w:noProof/>
            <w:sz w:val="22"/>
            <w:szCs w:val="22"/>
          </w:rPr>
          <w:tab/>
        </w:r>
        <w:r w:rsidRPr="00CD0B56">
          <w:rPr>
            <w:rStyle w:val="Hyperlink"/>
            <w:noProof/>
          </w:rPr>
          <w:t>Part 1 Section 21.2.3.45, ST_SplitType (Split Type)</w:t>
        </w:r>
        <w:r>
          <w:rPr>
            <w:noProof/>
            <w:webHidden/>
          </w:rPr>
          <w:tab/>
        </w:r>
        <w:r>
          <w:rPr>
            <w:noProof/>
            <w:webHidden/>
          </w:rPr>
          <w:fldChar w:fldCharType="begin"/>
        </w:r>
        <w:r>
          <w:rPr>
            <w:noProof/>
            <w:webHidden/>
          </w:rPr>
          <w:instrText xml:space="preserve"> PAGEREF _Toc12261659 \h </w:instrText>
        </w:r>
        <w:r>
          <w:rPr>
            <w:noProof/>
            <w:webHidden/>
          </w:rPr>
        </w:r>
        <w:r>
          <w:rPr>
            <w:noProof/>
            <w:webHidden/>
          </w:rPr>
          <w:fldChar w:fldCharType="separate"/>
        </w:r>
        <w:r>
          <w:rPr>
            <w:noProof/>
            <w:webHidden/>
          </w:rPr>
          <w:t>576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60" w:history="1">
        <w:r w:rsidRPr="00CD0B56">
          <w:rPr>
            <w:rStyle w:val="Hyperlink"/>
            <w:noProof/>
          </w:rPr>
          <w:t>2.1.1592</w:t>
        </w:r>
        <w:r>
          <w:rPr>
            <w:rFonts w:asciiTheme="minorHAnsi" w:eastAsiaTheme="minorEastAsia" w:hAnsiTheme="minorHAnsi" w:cstheme="minorBidi"/>
            <w:noProof/>
            <w:sz w:val="22"/>
            <w:szCs w:val="22"/>
          </w:rPr>
          <w:tab/>
        </w:r>
        <w:r w:rsidRPr="00CD0B56">
          <w:rPr>
            <w:rStyle w:val="Hyperlink"/>
            <w:noProof/>
          </w:rPr>
          <w:t>Part 1 Section 21.2.3.46, ST_Style (Style)</w:t>
        </w:r>
        <w:r>
          <w:rPr>
            <w:noProof/>
            <w:webHidden/>
          </w:rPr>
          <w:tab/>
        </w:r>
        <w:r>
          <w:rPr>
            <w:noProof/>
            <w:webHidden/>
          </w:rPr>
          <w:fldChar w:fldCharType="begin"/>
        </w:r>
        <w:r>
          <w:rPr>
            <w:noProof/>
            <w:webHidden/>
          </w:rPr>
          <w:instrText xml:space="preserve"> PAGEREF _Toc12261660 \h </w:instrText>
        </w:r>
        <w:r>
          <w:rPr>
            <w:noProof/>
            <w:webHidden/>
          </w:rPr>
        </w:r>
        <w:r>
          <w:rPr>
            <w:noProof/>
            <w:webHidden/>
          </w:rPr>
          <w:fldChar w:fldCharType="separate"/>
        </w:r>
        <w:r>
          <w:rPr>
            <w:noProof/>
            <w:webHidden/>
          </w:rPr>
          <w:t>576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61" w:history="1">
        <w:r w:rsidRPr="00CD0B56">
          <w:rPr>
            <w:rStyle w:val="Hyperlink"/>
            <w:noProof/>
          </w:rPr>
          <w:t>2.1.1593</w:t>
        </w:r>
        <w:r>
          <w:rPr>
            <w:rFonts w:asciiTheme="minorHAnsi" w:eastAsiaTheme="minorEastAsia" w:hAnsiTheme="minorHAnsi" w:cstheme="minorBidi"/>
            <w:noProof/>
            <w:sz w:val="22"/>
            <w:szCs w:val="22"/>
          </w:rPr>
          <w:tab/>
        </w:r>
        <w:r w:rsidRPr="00CD0B56">
          <w:rPr>
            <w:rStyle w:val="Hyperlink"/>
            <w:noProof/>
          </w:rPr>
          <w:t>Part 1 Section 21.2.3.50, ST_TrendlineType (Trendline Type)</w:t>
        </w:r>
        <w:r>
          <w:rPr>
            <w:noProof/>
            <w:webHidden/>
          </w:rPr>
          <w:tab/>
        </w:r>
        <w:r>
          <w:rPr>
            <w:noProof/>
            <w:webHidden/>
          </w:rPr>
          <w:fldChar w:fldCharType="begin"/>
        </w:r>
        <w:r>
          <w:rPr>
            <w:noProof/>
            <w:webHidden/>
          </w:rPr>
          <w:instrText xml:space="preserve"> PAGEREF _Toc12261661 \h </w:instrText>
        </w:r>
        <w:r>
          <w:rPr>
            <w:noProof/>
            <w:webHidden/>
          </w:rPr>
        </w:r>
        <w:r>
          <w:rPr>
            <w:noProof/>
            <w:webHidden/>
          </w:rPr>
          <w:fldChar w:fldCharType="separate"/>
        </w:r>
        <w:r>
          <w:rPr>
            <w:noProof/>
            <w:webHidden/>
          </w:rPr>
          <w:t>576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62" w:history="1">
        <w:r w:rsidRPr="00CD0B56">
          <w:rPr>
            <w:rStyle w:val="Hyperlink"/>
            <w:noProof/>
          </w:rPr>
          <w:t>2.1.1594</w:t>
        </w:r>
        <w:r>
          <w:rPr>
            <w:rFonts w:asciiTheme="minorHAnsi" w:eastAsiaTheme="minorEastAsia" w:hAnsiTheme="minorHAnsi" w:cstheme="minorBidi"/>
            <w:noProof/>
            <w:sz w:val="22"/>
            <w:szCs w:val="22"/>
          </w:rPr>
          <w:tab/>
        </w:r>
        <w:r w:rsidRPr="00CD0B56">
          <w:rPr>
            <w:rStyle w:val="Hyperlink"/>
            <w:noProof/>
          </w:rPr>
          <w:t>Part 1 Section 21.3.2.1, absSizeAnchor (Absolute Anchor Shape Size)</w:t>
        </w:r>
        <w:r>
          <w:rPr>
            <w:noProof/>
            <w:webHidden/>
          </w:rPr>
          <w:tab/>
        </w:r>
        <w:r>
          <w:rPr>
            <w:noProof/>
            <w:webHidden/>
          </w:rPr>
          <w:fldChar w:fldCharType="begin"/>
        </w:r>
        <w:r>
          <w:rPr>
            <w:noProof/>
            <w:webHidden/>
          </w:rPr>
          <w:instrText xml:space="preserve"> PAGEREF _Toc12261662 \h </w:instrText>
        </w:r>
        <w:r>
          <w:rPr>
            <w:noProof/>
            <w:webHidden/>
          </w:rPr>
        </w:r>
        <w:r>
          <w:rPr>
            <w:noProof/>
            <w:webHidden/>
          </w:rPr>
          <w:fldChar w:fldCharType="separate"/>
        </w:r>
        <w:r>
          <w:rPr>
            <w:noProof/>
            <w:webHidden/>
          </w:rPr>
          <w:t>577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63" w:history="1">
        <w:r w:rsidRPr="00CD0B56">
          <w:rPr>
            <w:rStyle w:val="Hyperlink"/>
            <w:noProof/>
          </w:rPr>
          <w:t>2.1.1595</w:t>
        </w:r>
        <w:r>
          <w:rPr>
            <w:rFonts w:asciiTheme="minorHAnsi" w:eastAsiaTheme="minorEastAsia" w:hAnsiTheme="minorHAnsi" w:cstheme="minorBidi"/>
            <w:noProof/>
            <w:sz w:val="22"/>
            <w:szCs w:val="22"/>
          </w:rPr>
          <w:tab/>
        </w:r>
        <w:r w:rsidRPr="00CD0B56">
          <w:rPr>
            <w:rStyle w:val="Hyperlink"/>
            <w:noProof/>
          </w:rPr>
          <w:t>Part 1 Section 21.3.2.2, blipFill (Picture Fill)</w:t>
        </w:r>
        <w:r>
          <w:rPr>
            <w:noProof/>
            <w:webHidden/>
          </w:rPr>
          <w:tab/>
        </w:r>
        <w:r>
          <w:rPr>
            <w:noProof/>
            <w:webHidden/>
          </w:rPr>
          <w:fldChar w:fldCharType="begin"/>
        </w:r>
        <w:r>
          <w:rPr>
            <w:noProof/>
            <w:webHidden/>
          </w:rPr>
          <w:instrText xml:space="preserve"> PAGEREF _Toc12261663 \h </w:instrText>
        </w:r>
        <w:r>
          <w:rPr>
            <w:noProof/>
            <w:webHidden/>
          </w:rPr>
        </w:r>
        <w:r>
          <w:rPr>
            <w:noProof/>
            <w:webHidden/>
          </w:rPr>
          <w:fldChar w:fldCharType="separate"/>
        </w:r>
        <w:r>
          <w:rPr>
            <w:noProof/>
            <w:webHidden/>
          </w:rPr>
          <w:t>577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64" w:history="1">
        <w:r w:rsidRPr="00CD0B56">
          <w:rPr>
            <w:rStyle w:val="Hyperlink"/>
            <w:noProof/>
          </w:rPr>
          <w:t>2.1.1596</w:t>
        </w:r>
        <w:r>
          <w:rPr>
            <w:rFonts w:asciiTheme="minorHAnsi" w:eastAsiaTheme="minorEastAsia" w:hAnsiTheme="minorHAnsi" w:cstheme="minorBidi"/>
            <w:noProof/>
            <w:sz w:val="22"/>
            <w:szCs w:val="22"/>
          </w:rPr>
          <w:tab/>
        </w:r>
        <w:r w:rsidRPr="00CD0B56">
          <w:rPr>
            <w:rStyle w:val="Hyperlink"/>
            <w:noProof/>
          </w:rPr>
          <w:t>Part 1 Section 21.3.2.7, cNvPr (Non-Visual Drawing Properties)</w:t>
        </w:r>
        <w:r>
          <w:rPr>
            <w:noProof/>
            <w:webHidden/>
          </w:rPr>
          <w:tab/>
        </w:r>
        <w:r>
          <w:rPr>
            <w:noProof/>
            <w:webHidden/>
          </w:rPr>
          <w:fldChar w:fldCharType="begin"/>
        </w:r>
        <w:r>
          <w:rPr>
            <w:noProof/>
            <w:webHidden/>
          </w:rPr>
          <w:instrText xml:space="preserve"> PAGEREF _Toc12261664 \h </w:instrText>
        </w:r>
        <w:r>
          <w:rPr>
            <w:noProof/>
            <w:webHidden/>
          </w:rPr>
        </w:r>
        <w:r>
          <w:rPr>
            <w:noProof/>
            <w:webHidden/>
          </w:rPr>
          <w:fldChar w:fldCharType="separate"/>
        </w:r>
        <w:r>
          <w:rPr>
            <w:noProof/>
            <w:webHidden/>
          </w:rPr>
          <w:t>577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65" w:history="1">
        <w:r w:rsidRPr="00CD0B56">
          <w:rPr>
            <w:rStyle w:val="Hyperlink"/>
            <w:noProof/>
          </w:rPr>
          <w:t>2.1.1597</w:t>
        </w:r>
        <w:r>
          <w:rPr>
            <w:rFonts w:asciiTheme="minorHAnsi" w:eastAsiaTheme="minorEastAsia" w:hAnsiTheme="minorHAnsi" w:cstheme="minorBidi"/>
            <w:noProof/>
            <w:sz w:val="22"/>
            <w:szCs w:val="22"/>
          </w:rPr>
          <w:tab/>
        </w:r>
        <w:r w:rsidRPr="00CD0B56">
          <w:rPr>
            <w:rStyle w:val="Hyperlink"/>
            <w:noProof/>
          </w:rPr>
          <w:t>Part 1 Section 21.3.2.9, cxnSp (Connection Shape)</w:t>
        </w:r>
        <w:r>
          <w:rPr>
            <w:noProof/>
            <w:webHidden/>
          </w:rPr>
          <w:tab/>
        </w:r>
        <w:r>
          <w:rPr>
            <w:noProof/>
            <w:webHidden/>
          </w:rPr>
          <w:fldChar w:fldCharType="begin"/>
        </w:r>
        <w:r>
          <w:rPr>
            <w:noProof/>
            <w:webHidden/>
          </w:rPr>
          <w:instrText xml:space="preserve"> PAGEREF _Toc12261665 \h </w:instrText>
        </w:r>
        <w:r>
          <w:rPr>
            <w:noProof/>
            <w:webHidden/>
          </w:rPr>
        </w:r>
        <w:r>
          <w:rPr>
            <w:noProof/>
            <w:webHidden/>
          </w:rPr>
          <w:fldChar w:fldCharType="separate"/>
        </w:r>
        <w:r>
          <w:rPr>
            <w:noProof/>
            <w:webHidden/>
          </w:rPr>
          <w:t>577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66" w:history="1">
        <w:r w:rsidRPr="00CD0B56">
          <w:rPr>
            <w:rStyle w:val="Hyperlink"/>
            <w:noProof/>
          </w:rPr>
          <w:t>2.1.1598</w:t>
        </w:r>
        <w:r>
          <w:rPr>
            <w:rFonts w:asciiTheme="minorHAnsi" w:eastAsiaTheme="minorEastAsia" w:hAnsiTheme="minorHAnsi" w:cstheme="minorBidi"/>
            <w:noProof/>
            <w:sz w:val="22"/>
            <w:szCs w:val="22"/>
          </w:rPr>
          <w:tab/>
        </w:r>
        <w:r w:rsidRPr="00CD0B56">
          <w:rPr>
            <w:rStyle w:val="Hyperlink"/>
            <w:noProof/>
          </w:rPr>
          <w:t>Part 1 Section 21.3.2.10, ext (Shape Extent)</w:t>
        </w:r>
        <w:r>
          <w:rPr>
            <w:noProof/>
            <w:webHidden/>
          </w:rPr>
          <w:tab/>
        </w:r>
        <w:r>
          <w:rPr>
            <w:noProof/>
            <w:webHidden/>
          </w:rPr>
          <w:fldChar w:fldCharType="begin"/>
        </w:r>
        <w:r>
          <w:rPr>
            <w:noProof/>
            <w:webHidden/>
          </w:rPr>
          <w:instrText xml:space="preserve"> PAGEREF _Toc12261666 \h </w:instrText>
        </w:r>
        <w:r>
          <w:rPr>
            <w:noProof/>
            <w:webHidden/>
          </w:rPr>
        </w:r>
        <w:r>
          <w:rPr>
            <w:noProof/>
            <w:webHidden/>
          </w:rPr>
          <w:fldChar w:fldCharType="separate"/>
        </w:r>
        <w:r>
          <w:rPr>
            <w:noProof/>
            <w:webHidden/>
          </w:rPr>
          <w:t>577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67" w:history="1">
        <w:r w:rsidRPr="00CD0B56">
          <w:rPr>
            <w:rStyle w:val="Hyperlink"/>
            <w:noProof/>
          </w:rPr>
          <w:t>2.1.1599</w:t>
        </w:r>
        <w:r>
          <w:rPr>
            <w:rFonts w:asciiTheme="minorHAnsi" w:eastAsiaTheme="minorEastAsia" w:hAnsiTheme="minorHAnsi" w:cstheme="minorBidi"/>
            <w:noProof/>
            <w:sz w:val="22"/>
            <w:szCs w:val="22"/>
          </w:rPr>
          <w:tab/>
        </w:r>
        <w:r w:rsidRPr="00CD0B56">
          <w:rPr>
            <w:rStyle w:val="Hyperlink"/>
            <w:noProof/>
          </w:rPr>
          <w:t>Part 1 Section 21.3.2.12, graphicFrame (Graphic Frame)</w:t>
        </w:r>
        <w:r>
          <w:rPr>
            <w:noProof/>
            <w:webHidden/>
          </w:rPr>
          <w:tab/>
        </w:r>
        <w:r>
          <w:rPr>
            <w:noProof/>
            <w:webHidden/>
          </w:rPr>
          <w:fldChar w:fldCharType="begin"/>
        </w:r>
        <w:r>
          <w:rPr>
            <w:noProof/>
            <w:webHidden/>
          </w:rPr>
          <w:instrText xml:space="preserve"> PAGEREF _Toc12261667 \h </w:instrText>
        </w:r>
        <w:r>
          <w:rPr>
            <w:noProof/>
            <w:webHidden/>
          </w:rPr>
        </w:r>
        <w:r>
          <w:rPr>
            <w:noProof/>
            <w:webHidden/>
          </w:rPr>
          <w:fldChar w:fldCharType="separate"/>
        </w:r>
        <w:r>
          <w:rPr>
            <w:noProof/>
            <w:webHidden/>
          </w:rPr>
          <w:t>577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68" w:history="1">
        <w:r w:rsidRPr="00CD0B56">
          <w:rPr>
            <w:rStyle w:val="Hyperlink"/>
            <w:noProof/>
          </w:rPr>
          <w:t>2.1.1600</w:t>
        </w:r>
        <w:r>
          <w:rPr>
            <w:rFonts w:asciiTheme="minorHAnsi" w:eastAsiaTheme="minorEastAsia" w:hAnsiTheme="minorHAnsi" w:cstheme="minorBidi"/>
            <w:noProof/>
            <w:sz w:val="22"/>
            <w:szCs w:val="22"/>
          </w:rPr>
          <w:tab/>
        </w:r>
        <w:r w:rsidRPr="00CD0B56">
          <w:rPr>
            <w:rStyle w:val="Hyperlink"/>
            <w:noProof/>
          </w:rPr>
          <w:t>Part 1 Section 21.3.2.14, grpSpPr (Group Shape Properties)</w:t>
        </w:r>
        <w:r>
          <w:rPr>
            <w:noProof/>
            <w:webHidden/>
          </w:rPr>
          <w:tab/>
        </w:r>
        <w:r>
          <w:rPr>
            <w:noProof/>
            <w:webHidden/>
          </w:rPr>
          <w:fldChar w:fldCharType="begin"/>
        </w:r>
        <w:r>
          <w:rPr>
            <w:noProof/>
            <w:webHidden/>
          </w:rPr>
          <w:instrText xml:space="preserve"> PAGEREF _Toc12261668 \h </w:instrText>
        </w:r>
        <w:r>
          <w:rPr>
            <w:noProof/>
            <w:webHidden/>
          </w:rPr>
        </w:r>
        <w:r>
          <w:rPr>
            <w:noProof/>
            <w:webHidden/>
          </w:rPr>
          <w:fldChar w:fldCharType="separate"/>
        </w:r>
        <w:r>
          <w:rPr>
            <w:noProof/>
            <w:webHidden/>
          </w:rPr>
          <w:t>578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69" w:history="1">
        <w:r w:rsidRPr="00CD0B56">
          <w:rPr>
            <w:rStyle w:val="Hyperlink"/>
            <w:noProof/>
          </w:rPr>
          <w:t>2.1.1601</w:t>
        </w:r>
        <w:r>
          <w:rPr>
            <w:rFonts w:asciiTheme="minorHAnsi" w:eastAsiaTheme="minorEastAsia" w:hAnsiTheme="minorHAnsi" w:cstheme="minorBidi"/>
            <w:noProof/>
            <w:sz w:val="22"/>
            <w:szCs w:val="22"/>
          </w:rPr>
          <w:tab/>
        </w:r>
        <w:r w:rsidRPr="00CD0B56">
          <w:rPr>
            <w:rStyle w:val="Hyperlink"/>
            <w:noProof/>
          </w:rPr>
          <w:t>Part 1 Section 21.3.2.20, pic (Picture)</w:t>
        </w:r>
        <w:r>
          <w:rPr>
            <w:noProof/>
            <w:webHidden/>
          </w:rPr>
          <w:tab/>
        </w:r>
        <w:r>
          <w:rPr>
            <w:noProof/>
            <w:webHidden/>
          </w:rPr>
          <w:fldChar w:fldCharType="begin"/>
        </w:r>
        <w:r>
          <w:rPr>
            <w:noProof/>
            <w:webHidden/>
          </w:rPr>
          <w:instrText xml:space="preserve"> PAGEREF _Toc12261669 \h </w:instrText>
        </w:r>
        <w:r>
          <w:rPr>
            <w:noProof/>
            <w:webHidden/>
          </w:rPr>
        </w:r>
        <w:r>
          <w:rPr>
            <w:noProof/>
            <w:webHidden/>
          </w:rPr>
          <w:fldChar w:fldCharType="separate"/>
        </w:r>
        <w:r>
          <w:rPr>
            <w:noProof/>
            <w:webHidden/>
          </w:rPr>
          <w:t>578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70" w:history="1">
        <w:r w:rsidRPr="00CD0B56">
          <w:rPr>
            <w:rStyle w:val="Hyperlink"/>
            <w:noProof/>
          </w:rPr>
          <w:t>2.1.1602</w:t>
        </w:r>
        <w:r>
          <w:rPr>
            <w:rFonts w:asciiTheme="minorHAnsi" w:eastAsiaTheme="minorEastAsia" w:hAnsiTheme="minorHAnsi" w:cstheme="minorBidi"/>
            <w:noProof/>
            <w:sz w:val="22"/>
            <w:szCs w:val="22"/>
          </w:rPr>
          <w:tab/>
        </w:r>
        <w:r w:rsidRPr="00CD0B56">
          <w:rPr>
            <w:rStyle w:val="Hyperlink"/>
            <w:noProof/>
          </w:rPr>
          <w:t>Part 1 Section 21.3.2.21, relSizeAnchor (Relative Anchor Shape Size)</w:t>
        </w:r>
        <w:r>
          <w:rPr>
            <w:noProof/>
            <w:webHidden/>
          </w:rPr>
          <w:tab/>
        </w:r>
        <w:r>
          <w:rPr>
            <w:noProof/>
            <w:webHidden/>
          </w:rPr>
          <w:fldChar w:fldCharType="begin"/>
        </w:r>
        <w:r>
          <w:rPr>
            <w:noProof/>
            <w:webHidden/>
          </w:rPr>
          <w:instrText xml:space="preserve"> PAGEREF _Toc12261670 \h </w:instrText>
        </w:r>
        <w:r>
          <w:rPr>
            <w:noProof/>
            <w:webHidden/>
          </w:rPr>
        </w:r>
        <w:r>
          <w:rPr>
            <w:noProof/>
            <w:webHidden/>
          </w:rPr>
          <w:fldChar w:fldCharType="separate"/>
        </w:r>
        <w:r>
          <w:rPr>
            <w:noProof/>
            <w:webHidden/>
          </w:rPr>
          <w:t>578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71" w:history="1">
        <w:r w:rsidRPr="00CD0B56">
          <w:rPr>
            <w:rStyle w:val="Hyperlink"/>
            <w:noProof/>
          </w:rPr>
          <w:t>2.1.1603</w:t>
        </w:r>
        <w:r>
          <w:rPr>
            <w:rFonts w:asciiTheme="minorHAnsi" w:eastAsiaTheme="minorEastAsia" w:hAnsiTheme="minorHAnsi" w:cstheme="minorBidi"/>
            <w:noProof/>
            <w:sz w:val="22"/>
            <w:szCs w:val="22"/>
          </w:rPr>
          <w:tab/>
        </w:r>
        <w:r w:rsidRPr="00CD0B56">
          <w:rPr>
            <w:rStyle w:val="Hyperlink"/>
            <w:noProof/>
          </w:rPr>
          <w:t>Part 1 Section 21.3.2.22, sp (Shape)</w:t>
        </w:r>
        <w:r>
          <w:rPr>
            <w:noProof/>
            <w:webHidden/>
          </w:rPr>
          <w:tab/>
        </w:r>
        <w:r>
          <w:rPr>
            <w:noProof/>
            <w:webHidden/>
          </w:rPr>
          <w:fldChar w:fldCharType="begin"/>
        </w:r>
        <w:r>
          <w:rPr>
            <w:noProof/>
            <w:webHidden/>
          </w:rPr>
          <w:instrText xml:space="preserve"> PAGEREF _Toc12261671 \h </w:instrText>
        </w:r>
        <w:r>
          <w:rPr>
            <w:noProof/>
            <w:webHidden/>
          </w:rPr>
        </w:r>
        <w:r>
          <w:rPr>
            <w:noProof/>
            <w:webHidden/>
          </w:rPr>
          <w:fldChar w:fldCharType="separate"/>
        </w:r>
        <w:r>
          <w:rPr>
            <w:noProof/>
            <w:webHidden/>
          </w:rPr>
          <w:t>578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72" w:history="1">
        <w:r w:rsidRPr="00CD0B56">
          <w:rPr>
            <w:rStyle w:val="Hyperlink"/>
            <w:noProof/>
          </w:rPr>
          <w:t>2.1.1604</w:t>
        </w:r>
        <w:r>
          <w:rPr>
            <w:rFonts w:asciiTheme="minorHAnsi" w:eastAsiaTheme="minorEastAsia" w:hAnsiTheme="minorHAnsi" w:cstheme="minorBidi"/>
            <w:noProof/>
            <w:sz w:val="22"/>
            <w:szCs w:val="22"/>
          </w:rPr>
          <w:tab/>
        </w:r>
        <w:r w:rsidRPr="00CD0B56">
          <w:rPr>
            <w:rStyle w:val="Hyperlink"/>
            <w:noProof/>
          </w:rPr>
          <w:t>Part 1 Section 21.3.2.23, spPr (Shape Properties)</w:t>
        </w:r>
        <w:r>
          <w:rPr>
            <w:noProof/>
            <w:webHidden/>
          </w:rPr>
          <w:tab/>
        </w:r>
        <w:r>
          <w:rPr>
            <w:noProof/>
            <w:webHidden/>
          </w:rPr>
          <w:fldChar w:fldCharType="begin"/>
        </w:r>
        <w:r>
          <w:rPr>
            <w:noProof/>
            <w:webHidden/>
          </w:rPr>
          <w:instrText xml:space="preserve"> PAGEREF _Toc12261672 \h </w:instrText>
        </w:r>
        <w:r>
          <w:rPr>
            <w:noProof/>
            <w:webHidden/>
          </w:rPr>
        </w:r>
        <w:r>
          <w:rPr>
            <w:noProof/>
            <w:webHidden/>
          </w:rPr>
          <w:fldChar w:fldCharType="separate"/>
        </w:r>
        <w:r>
          <w:rPr>
            <w:noProof/>
            <w:webHidden/>
          </w:rPr>
          <w:t>579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73" w:history="1">
        <w:r w:rsidRPr="00CD0B56">
          <w:rPr>
            <w:rStyle w:val="Hyperlink"/>
            <w:noProof/>
          </w:rPr>
          <w:t>2.1.1605</w:t>
        </w:r>
        <w:r>
          <w:rPr>
            <w:rFonts w:asciiTheme="minorHAnsi" w:eastAsiaTheme="minorEastAsia" w:hAnsiTheme="minorHAnsi" w:cstheme="minorBidi"/>
            <w:noProof/>
            <w:sz w:val="22"/>
            <w:szCs w:val="22"/>
          </w:rPr>
          <w:tab/>
        </w:r>
        <w:r w:rsidRPr="00CD0B56">
          <w:rPr>
            <w:rStyle w:val="Hyperlink"/>
            <w:noProof/>
          </w:rPr>
          <w:t>Part 1 Section 21.3.2.24, style (Shape Style)</w:t>
        </w:r>
        <w:r>
          <w:rPr>
            <w:noProof/>
            <w:webHidden/>
          </w:rPr>
          <w:tab/>
        </w:r>
        <w:r>
          <w:rPr>
            <w:noProof/>
            <w:webHidden/>
          </w:rPr>
          <w:fldChar w:fldCharType="begin"/>
        </w:r>
        <w:r>
          <w:rPr>
            <w:noProof/>
            <w:webHidden/>
          </w:rPr>
          <w:instrText xml:space="preserve"> PAGEREF _Toc12261673 \h </w:instrText>
        </w:r>
        <w:r>
          <w:rPr>
            <w:noProof/>
            <w:webHidden/>
          </w:rPr>
        </w:r>
        <w:r>
          <w:rPr>
            <w:noProof/>
            <w:webHidden/>
          </w:rPr>
          <w:fldChar w:fldCharType="separate"/>
        </w:r>
        <w:r>
          <w:rPr>
            <w:noProof/>
            <w:webHidden/>
          </w:rPr>
          <w:t>579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74" w:history="1">
        <w:r w:rsidRPr="00CD0B56">
          <w:rPr>
            <w:rStyle w:val="Hyperlink"/>
            <w:noProof/>
          </w:rPr>
          <w:t>2.1.1606</w:t>
        </w:r>
        <w:r>
          <w:rPr>
            <w:rFonts w:asciiTheme="minorHAnsi" w:eastAsiaTheme="minorEastAsia" w:hAnsiTheme="minorHAnsi" w:cstheme="minorBidi"/>
            <w:noProof/>
            <w:sz w:val="22"/>
            <w:szCs w:val="22"/>
          </w:rPr>
          <w:tab/>
        </w:r>
        <w:r w:rsidRPr="00CD0B56">
          <w:rPr>
            <w:rStyle w:val="Hyperlink"/>
            <w:noProof/>
          </w:rPr>
          <w:t>Part 1 Section 21.3.2.25, to (Ending Anchor Point)</w:t>
        </w:r>
        <w:r>
          <w:rPr>
            <w:noProof/>
            <w:webHidden/>
          </w:rPr>
          <w:tab/>
        </w:r>
        <w:r>
          <w:rPr>
            <w:noProof/>
            <w:webHidden/>
          </w:rPr>
          <w:fldChar w:fldCharType="begin"/>
        </w:r>
        <w:r>
          <w:rPr>
            <w:noProof/>
            <w:webHidden/>
          </w:rPr>
          <w:instrText xml:space="preserve"> PAGEREF _Toc12261674 \h </w:instrText>
        </w:r>
        <w:r>
          <w:rPr>
            <w:noProof/>
            <w:webHidden/>
          </w:rPr>
        </w:r>
        <w:r>
          <w:rPr>
            <w:noProof/>
            <w:webHidden/>
          </w:rPr>
          <w:fldChar w:fldCharType="separate"/>
        </w:r>
        <w:r>
          <w:rPr>
            <w:noProof/>
            <w:webHidden/>
          </w:rPr>
          <w:t>579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75" w:history="1">
        <w:r w:rsidRPr="00CD0B56">
          <w:rPr>
            <w:rStyle w:val="Hyperlink"/>
            <w:noProof/>
          </w:rPr>
          <w:t>2.1.1607</w:t>
        </w:r>
        <w:r>
          <w:rPr>
            <w:rFonts w:asciiTheme="minorHAnsi" w:eastAsiaTheme="minorEastAsia" w:hAnsiTheme="minorHAnsi" w:cstheme="minorBidi"/>
            <w:noProof/>
            <w:sz w:val="22"/>
            <w:szCs w:val="22"/>
          </w:rPr>
          <w:tab/>
        </w:r>
        <w:r w:rsidRPr="00CD0B56">
          <w:rPr>
            <w:rStyle w:val="Hyperlink"/>
            <w:noProof/>
          </w:rPr>
          <w:t>Part 1 Section 21.3.2.26, txBody (Shape Text Body)</w:t>
        </w:r>
        <w:r>
          <w:rPr>
            <w:noProof/>
            <w:webHidden/>
          </w:rPr>
          <w:tab/>
        </w:r>
        <w:r>
          <w:rPr>
            <w:noProof/>
            <w:webHidden/>
          </w:rPr>
          <w:fldChar w:fldCharType="begin"/>
        </w:r>
        <w:r>
          <w:rPr>
            <w:noProof/>
            <w:webHidden/>
          </w:rPr>
          <w:instrText xml:space="preserve"> PAGEREF _Toc12261675 \h </w:instrText>
        </w:r>
        <w:r>
          <w:rPr>
            <w:noProof/>
            <w:webHidden/>
          </w:rPr>
        </w:r>
        <w:r>
          <w:rPr>
            <w:noProof/>
            <w:webHidden/>
          </w:rPr>
          <w:fldChar w:fldCharType="separate"/>
        </w:r>
        <w:r>
          <w:rPr>
            <w:noProof/>
            <w:webHidden/>
          </w:rPr>
          <w:t>579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76" w:history="1">
        <w:r w:rsidRPr="00CD0B56">
          <w:rPr>
            <w:rStyle w:val="Hyperlink"/>
            <w:noProof/>
          </w:rPr>
          <w:t>2.1.1608</w:t>
        </w:r>
        <w:r>
          <w:rPr>
            <w:rFonts w:asciiTheme="minorHAnsi" w:eastAsiaTheme="minorEastAsia" w:hAnsiTheme="minorHAnsi" w:cstheme="minorBidi"/>
            <w:noProof/>
            <w:sz w:val="22"/>
            <w:szCs w:val="22"/>
          </w:rPr>
          <w:tab/>
        </w:r>
        <w:r w:rsidRPr="00CD0B56">
          <w:rPr>
            <w:rStyle w:val="Hyperlink"/>
            <w:noProof/>
          </w:rPr>
          <w:t>Part 1 Section 21.3.2.28, xfrm (Graphic Frame Transform)</w:t>
        </w:r>
        <w:r>
          <w:rPr>
            <w:noProof/>
            <w:webHidden/>
          </w:rPr>
          <w:tab/>
        </w:r>
        <w:r>
          <w:rPr>
            <w:noProof/>
            <w:webHidden/>
          </w:rPr>
          <w:fldChar w:fldCharType="begin"/>
        </w:r>
        <w:r>
          <w:rPr>
            <w:noProof/>
            <w:webHidden/>
          </w:rPr>
          <w:instrText xml:space="preserve"> PAGEREF _Toc12261676 \h </w:instrText>
        </w:r>
        <w:r>
          <w:rPr>
            <w:noProof/>
            <w:webHidden/>
          </w:rPr>
        </w:r>
        <w:r>
          <w:rPr>
            <w:noProof/>
            <w:webHidden/>
          </w:rPr>
          <w:fldChar w:fldCharType="separate"/>
        </w:r>
        <w:r>
          <w:rPr>
            <w:noProof/>
            <w:webHidden/>
          </w:rPr>
          <w:t>580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77" w:history="1">
        <w:r w:rsidRPr="00CD0B56">
          <w:rPr>
            <w:rStyle w:val="Hyperlink"/>
            <w:noProof/>
          </w:rPr>
          <w:t>2.1.1609</w:t>
        </w:r>
        <w:r>
          <w:rPr>
            <w:rFonts w:asciiTheme="minorHAnsi" w:eastAsiaTheme="minorEastAsia" w:hAnsiTheme="minorHAnsi" w:cstheme="minorBidi"/>
            <w:noProof/>
            <w:sz w:val="22"/>
            <w:szCs w:val="22"/>
          </w:rPr>
          <w:tab/>
        </w:r>
        <w:r w:rsidRPr="00CD0B56">
          <w:rPr>
            <w:rStyle w:val="Hyperlink"/>
            <w:noProof/>
          </w:rPr>
          <w:t>Part 1 Section 21.4.2.1, adj (Shape Adjust)</w:t>
        </w:r>
        <w:r>
          <w:rPr>
            <w:noProof/>
            <w:webHidden/>
          </w:rPr>
          <w:tab/>
        </w:r>
        <w:r>
          <w:rPr>
            <w:noProof/>
            <w:webHidden/>
          </w:rPr>
          <w:fldChar w:fldCharType="begin"/>
        </w:r>
        <w:r>
          <w:rPr>
            <w:noProof/>
            <w:webHidden/>
          </w:rPr>
          <w:instrText xml:space="preserve"> PAGEREF _Toc12261677 \h </w:instrText>
        </w:r>
        <w:r>
          <w:rPr>
            <w:noProof/>
            <w:webHidden/>
          </w:rPr>
        </w:r>
        <w:r>
          <w:rPr>
            <w:noProof/>
            <w:webHidden/>
          </w:rPr>
          <w:fldChar w:fldCharType="separate"/>
        </w:r>
        <w:r>
          <w:rPr>
            <w:noProof/>
            <w:webHidden/>
          </w:rPr>
          <w:t>580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78" w:history="1">
        <w:r w:rsidRPr="00CD0B56">
          <w:rPr>
            <w:rStyle w:val="Hyperlink"/>
            <w:noProof/>
          </w:rPr>
          <w:t>2.1.1610</w:t>
        </w:r>
        <w:r>
          <w:rPr>
            <w:rFonts w:asciiTheme="minorHAnsi" w:eastAsiaTheme="minorEastAsia" w:hAnsiTheme="minorHAnsi" w:cstheme="minorBidi"/>
            <w:noProof/>
            <w:sz w:val="22"/>
            <w:szCs w:val="22"/>
          </w:rPr>
          <w:tab/>
        </w:r>
        <w:r w:rsidRPr="00CD0B56">
          <w:rPr>
            <w:rStyle w:val="Hyperlink"/>
            <w:noProof/>
          </w:rPr>
          <w:t>Part 1 Section 21.4.2.7, clrData (Color Transform Sample Data)</w:t>
        </w:r>
        <w:r>
          <w:rPr>
            <w:noProof/>
            <w:webHidden/>
          </w:rPr>
          <w:tab/>
        </w:r>
        <w:r>
          <w:rPr>
            <w:noProof/>
            <w:webHidden/>
          </w:rPr>
          <w:fldChar w:fldCharType="begin"/>
        </w:r>
        <w:r>
          <w:rPr>
            <w:noProof/>
            <w:webHidden/>
          </w:rPr>
          <w:instrText xml:space="preserve"> PAGEREF _Toc12261678 \h </w:instrText>
        </w:r>
        <w:r>
          <w:rPr>
            <w:noProof/>
            <w:webHidden/>
          </w:rPr>
        </w:r>
        <w:r>
          <w:rPr>
            <w:noProof/>
            <w:webHidden/>
          </w:rPr>
          <w:fldChar w:fldCharType="separate"/>
        </w:r>
        <w:r>
          <w:rPr>
            <w:noProof/>
            <w:webHidden/>
          </w:rPr>
          <w:t>580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79" w:history="1">
        <w:r w:rsidRPr="00CD0B56">
          <w:rPr>
            <w:rStyle w:val="Hyperlink"/>
            <w:noProof/>
          </w:rPr>
          <w:t>2.1.1611</w:t>
        </w:r>
        <w:r>
          <w:rPr>
            <w:rFonts w:asciiTheme="minorHAnsi" w:eastAsiaTheme="minorEastAsia" w:hAnsiTheme="minorHAnsi" w:cstheme="minorBidi"/>
            <w:noProof/>
            <w:sz w:val="22"/>
            <w:szCs w:val="22"/>
          </w:rPr>
          <w:tab/>
        </w:r>
        <w:r w:rsidRPr="00CD0B56">
          <w:rPr>
            <w:rStyle w:val="Hyperlink"/>
            <w:noProof/>
          </w:rPr>
          <w:t>Part 1 Section 21.4.2.13, extLst (Extension List)</w:t>
        </w:r>
        <w:r>
          <w:rPr>
            <w:noProof/>
            <w:webHidden/>
          </w:rPr>
          <w:tab/>
        </w:r>
        <w:r>
          <w:rPr>
            <w:noProof/>
            <w:webHidden/>
          </w:rPr>
          <w:fldChar w:fldCharType="begin"/>
        </w:r>
        <w:r>
          <w:rPr>
            <w:noProof/>
            <w:webHidden/>
          </w:rPr>
          <w:instrText xml:space="preserve"> PAGEREF _Toc12261679 \h </w:instrText>
        </w:r>
        <w:r>
          <w:rPr>
            <w:noProof/>
            <w:webHidden/>
          </w:rPr>
        </w:r>
        <w:r>
          <w:rPr>
            <w:noProof/>
            <w:webHidden/>
          </w:rPr>
          <w:fldChar w:fldCharType="separate"/>
        </w:r>
        <w:r>
          <w:rPr>
            <w:noProof/>
            <w:webHidden/>
          </w:rPr>
          <w:t>580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80" w:history="1">
        <w:r w:rsidRPr="00CD0B56">
          <w:rPr>
            <w:rStyle w:val="Hyperlink"/>
            <w:noProof/>
          </w:rPr>
          <w:t>2.1.1612</w:t>
        </w:r>
        <w:r>
          <w:rPr>
            <w:rFonts w:asciiTheme="minorHAnsi" w:eastAsiaTheme="minorEastAsia" w:hAnsiTheme="minorHAnsi" w:cstheme="minorBidi"/>
            <w:noProof/>
            <w:sz w:val="22"/>
            <w:szCs w:val="22"/>
          </w:rPr>
          <w:tab/>
        </w:r>
        <w:r w:rsidRPr="00CD0B56">
          <w:rPr>
            <w:rStyle w:val="Hyperlink"/>
            <w:noProof/>
          </w:rPr>
          <w:t>Part 1 Section 21.4.2.14, forEach (For Each)</w:t>
        </w:r>
        <w:r>
          <w:rPr>
            <w:noProof/>
            <w:webHidden/>
          </w:rPr>
          <w:tab/>
        </w:r>
        <w:r>
          <w:rPr>
            <w:noProof/>
            <w:webHidden/>
          </w:rPr>
          <w:fldChar w:fldCharType="begin"/>
        </w:r>
        <w:r>
          <w:rPr>
            <w:noProof/>
            <w:webHidden/>
          </w:rPr>
          <w:instrText xml:space="preserve"> PAGEREF _Toc12261680 \h </w:instrText>
        </w:r>
        <w:r>
          <w:rPr>
            <w:noProof/>
            <w:webHidden/>
          </w:rPr>
        </w:r>
        <w:r>
          <w:rPr>
            <w:noProof/>
            <w:webHidden/>
          </w:rPr>
          <w:fldChar w:fldCharType="separate"/>
        </w:r>
        <w:r>
          <w:rPr>
            <w:noProof/>
            <w:webHidden/>
          </w:rPr>
          <w:t>580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81" w:history="1">
        <w:r w:rsidRPr="00CD0B56">
          <w:rPr>
            <w:rStyle w:val="Hyperlink"/>
            <w:noProof/>
          </w:rPr>
          <w:t>2.1.1613</w:t>
        </w:r>
        <w:r>
          <w:rPr>
            <w:rFonts w:asciiTheme="minorHAnsi" w:eastAsiaTheme="minorEastAsia" w:hAnsiTheme="minorHAnsi" w:cstheme="minorBidi"/>
            <w:noProof/>
            <w:sz w:val="22"/>
            <w:szCs w:val="22"/>
          </w:rPr>
          <w:tab/>
        </w:r>
        <w:r w:rsidRPr="00CD0B56">
          <w:rPr>
            <w:rStyle w:val="Hyperlink"/>
            <w:noProof/>
          </w:rPr>
          <w:t>Part 1 Section 21.4.2.20, param (Parameter)</w:t>
        </w:r>
        <w:r>
          <w:rPr>
            <w:noProof/>
            <w:webHidden/>
          </w:rPr>
          <w:tab/>
        </w:r>
        <w:r>
          <w:rPr>
            <w:noProof/>
            <w:webHidden/>
          </w:rPr>
          <w:fldChar w:fldCharType="begin"/>
        </w:r>
        <w:r>
          <w:rPr>
            <w:noProof/>
            <w:webHidden/>
          </w:rPr>
          <w:instrText xml:space="preserve"> PAGEREF _Toc12261681 \h </w:instrText>
        </w:r>
        <w:r>
          <w:rPr>
            <w:noProof/>
            <w:webHidden/>
          </w:rPr>
        </w:r>
        <w:r>
          <w:rPr>
            <w:noProof/>
            <w:webHidden/>
          </w:rPr>
          <w:fldChar w:fldCharType="separate"/>
        </w:r>
        <w:r>
          <w:rPr>
            <w:noProof/>
            <w:webHidden/>
          </w:rPr>
          <w:t>580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82" w:history="1">
        <w:r w:rsidRPr="00CD0B56">
          <w:rPr>
            <w:rStyle w:val="Hyperlink"/>
            <w:noProof/>
          </w:rPr>
          <w:t>2.1.1614</w:t>
        </w:r>
        <w:r>
          <w:rPr>
            <w:rFonts w:asciiTheme="minorHAnsi" w:eastAsiaTheme="minorEastAsia" w:hAnsiTheme="minorHAnsi" w:cstheme="minorBidi"/>
            <w:noProof/>
            <w:sz w:val="22"/>
            <w:szCs w:val="22"/>
          </w:rPr>
          <w:tab/>
        </w:r>
        <w:r w:rsidRPr="00CD0B56">
          <w:rPr>
            <w:rStyle w:val="Hyperlink"/>
            <w:noProof/>
          </w:rPr>
          <w:t>Part 1 Section 21.4.2.26, sampData (Sample Data)</w:t>
        </w:r>
        <w:r>
          <w:rPr>
            <w:noProof/>
            <w:webHidden/>
          </w:rPr>
          <w:tab/>
        </w:r>
        <w:r>
          <w:rPr>
            <w:noProof/>
            <w:webHidden/>
          </w:rPr>
          <w:fldChar w:fldCharType="begin"/>
        </w:r>
        <w:r>
          <w:rPr>
            <w:noProof/>
            <w:webHidden/>
          </w:rPr>
          <w:instrText xml:space="preserve"> PAGEREF _Toc12261682 \h </w:instrText>
        </w:r>
        <w:r>
          <w:rPr>
            <w:noProof/>
            <w:webHidden/>
          </w:rPr>
        </w:r>
        <w:r>
          <w:rPr>
            <w:noProof/>
            <w:webHidden/>
          </w:rPr>
          <w:fldChar w:fldCharType="separate"/>
        </w:r>
        <w:r>
          <w:rPr>
            <w:noProof/>
            <w:webHidden/>
          </w:rPr>
          <w:t>581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83" w:history="1">
        <w:r w:rsidRPr="00CD0B56">
          <w:rPr>
            <w:rStyle w:val="Hyperlink"/>
            <w:noProof/>
          </w:rPr>
          <w:t>2.1.1615</w:t>
        </w:r>
        <w:r>
          <w:rPr>
            <w:rFonts w:asciiTheme="minorHAnsi" w:eastAsiaTheme="minorEastAsia" w:hAnsiTheme="minorHAnsi" w:cstheme="minorBidi"/>
            <w:noProof/>
            <w:sz w:val="22"/>
            <w:szCs w:val="22"/>
          </w:rPr>
          <w:tab/>
        </w:r>
        <w:r w:rsidRPr="00CD0B56">
          <w:rPr>
            <w:rStyle w:val="Hyperlink"/>
            <w:noProof/>
          </w:rPr>
          <w:t>Part 1 Section 21.4.2.27, shape (Shape)</w:t>
        </w:r>
        <w:r>
          <w:rPr>
            <w:noProof/>
            <w:webHidden/>
          </w:rPr>
          <w:tab/>
        </w:r>
        <w:r>
          <w:rPr>
            <w:noProof/>
            <w:webHidden/>
          </w:rPr>
          <w:fldChar w:fldCharType="begin"/>
        </w:r>
        <w:r>
          <w:rPr>
            <w:noProof/>
            <w:webHidden/>
          </w:rPr>
          <w:instrText xml:space="preserve"> PAGEREF _Toc12261683 \h </w:instrText>
        </w:r>
        <w:r>
          <w:rPr>
            <w:noProof/>
            <w:webHidden/>
          </w:rPr>
        </w:r>
        <w:r>
          <w:rPr>
            <w:noProof/>
            <w:webHidden/>
          </w:rPr>
          <w:fldChar w:fldCharType="separate"/>
        </w:r>
        <w:r>
          <w:rPr>
            <w:noProof/>
            <w:webHidden/>
          </w:rPr>
          <w:t>581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84" w:history="1">
        <w:r w:rsidRPr="00CD0B56">
          <w:rPr>
            <w:rStyle w:val="Hyperlink"/>
            <w:noProof/>
          </w:rPr>
          <w:t>2.1.1616</w:t>
        </w:r>
        <w:r>
          <w:rPr>
            <w:rFonts w:asciiTheme="minorHAnsi" w:eastAsiaTheme="minorEastAsia" w:hAnsiTheme="minorHAnsi" w:cstheme="minorBidi"/>
            <w:noProof/>
            <w:sz w:val="22"/>
            <w:szCs w:val="22"/>
          </w:rPr>
          <w:tab/>
        </w:r>
        <w:r w:rsidRPr="00CD0B56">
          <w:rPr>
            <w:rStyle w:val="Hyperlink"/>
            <w:noProof/>
          </w:rPr>
          <w:t>Part 1 Section 21.4.2.29, styleData (Style Data)</w:t>
        </w:r>
        <w:r>
          <w:rPr>
            <w:noProof/>
            <w:webHidden/>
          </w:rPr>
          <w:tab/>
        </w:r>
        <w:r>
          <w:rPr>
            <w:noProof/>
            <w:webHidden/>
          </w:rPr>
          <w:fldChar w:fldCharType="begin"/>
        </w:r>
        <w:r>
          <w:rPr>
            <w:noProof/>
            <w:webHidden/>
          </w:rPr>
          <w:instrText xml:space="preserve"> PAGEREF _Toc12261684 \h </w:instrText>
        </w:r>
        <w:r>
          <w:rPr>
            <w:noProof/>
            <w:webHidden/>
          </w:rPr>
        </w:r>
        <w:r>
          <w:rPr>
            <w:noProof/>
            <w:webHidden/>
          </w:rPr>
          <w:fldChar w:fldCharType="separate"/>
        </w:r>
        <w:r>
          <w:rPr>
            <w:noProof/>
            <w:webHidden/>
          </w:rPr>
          <w:t>581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85" w:history="1">
        <w:r w:rsidRPr="00CD0B56">
          <w:rPr>
            <w:rStyle w:val="Hyperlink"/>
            <w:noProof/>
          </w:rPr>
          <w:t>2.1.1617</w:t>
        </w:r>
        <w:r>
          <w:rPr>
            <w:rFonts w:asciiTheme="minorHAnsi" w:eastAsiaTheme="minorEastAsia" w:hAnsiTheme="minorHAnsi" w:cstheme="minorBidi"/>
            <w:noProof/>
            <w:sz w:val="22"/>
            <w:szCs w:val="22"/>
          </w:rPr>
          <w:tab/>
        </w:r>
        <w:r w:rsidRPr="00CD0B56">
          <w:rPr>
            <w:rStyle w:val="Hyperlink"/>
            <w:noProof/>
          </w:rPr>
          <w:t>Part 1 Section 21.4.3.2, cxn (Connection)</w:t>
        </w:r>
        <w:r>
          <w:rPr>
            <w:noProof/>
            <w:webHidden/>
          </w:rPr>
          <w:tab/>
        </w:r>
        <w:r>
          <w:rPr>
            <w:noProof/>
            <w:webHidden/>
          </w:rPr>
          <w:fldChar w:fldCharType="begin"/>
        </w:r>
        <w:r>
          <w:rPr>
            <w:noProof/>
            <w:webHidden/>
          </w:rPr>
          <w:instrText xml:space="preserve"> PAGEREF _Toc12261685 \h </w:instrText>
        </w:r>
        <w:r>
          <w:rPr>
            <w:noProof/>
            <w:webHidden/>
          </w:rPr>
        </w:r>
        <w:r>
          <w:rPr>
            <w:noProof/>
            <w:webHidden/>
          </w:rPr>
          <w:fldChar w:fldCharType="separate"/>
        </w:r>
        <w:r>
          <w:rPr>
            <w:noProof/>
            <w:webHidden/>
          </w:rPr>
          <w:t>581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86" w:history="1">
        <w:r w:rsidRPr="00CD0B56">
          <w:rPr>
            <w:rStyle w:val="Hyperlink"/>
            <w:noProof/>
          </w:rPr>
          <w:t>2.1.1618</w:t>
        </w:r>
        <w:r>
          <w:rPr>
            <w:rFonts w:asciiTheme="minorHAnsi" w:eastAsiaTheme="minorEastAsia" w:hAnsiTheme="minorHAnsi" w:cstheme="minorBidi"/>
            <w:noProof/>
            <w:sz w:val="22"/>
            <w:szCs w:val="22"/>
          </w:rPr>
          <w:tab/>
        </w:r>
        <w:r w:rsidRPr="00CD0B56">
          <w:rPr>
            <w:rStyle w:val="Hyperlink"/>
            <w:noProof/>
          </w:rPr>
          <w:t>Part 1 Section 21.4.3.4, prSet (Property Set)</w:t>
        </w:r>
        <w:r>
          <w:rPr>
            <w:noProof/>
            <w:webHidden/>
          </w:rPr>
          <w:tab/>
        </w:r>
        <w:r>
          <w:rPr>
            <w:noProof/>
            <w:webHidden/>
          </w:rPr>
          <w:fldChar w:fldCharType="begin"/>
        </w:r>
        <w:r>
          <w:rPr>
            <w:noProof/>
            <w:webHidden/>
          </w:rPr>
          <w:instrText xml:space="preserve"> PAGEREF _Toc12261686 \h </w:instrText>
        </w:r>
        <w:r>
          <w:rPr>
            <w:noProof/>
            <w:webHidden/>
          </w:rPr>
        </w:r>
        <w:r>
          <w:rPr>
            <w:noProof/>
            <w:webHidden/>
          </w:rPr>
          <w:fldChar w:fldCharType="separate"/>
        </w:r>
        <w:r>
          <w:rPr>
            <w:noProof/>
            <w:webHidden/>
          </w:rPr>
          <w:t>581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87" w:history="1">
        <w:r w:rsidRPr="00CD0B56">
          <w:rPr>
            <w:rStyle w:val="Hyperlink"/>
            <w:noProof/>
          </w:rPr>
          <w:t>2.1.1619</w:t>
        </w:r>
        <w:r>
          <w:rPr>
            <w:rFonts w:asciiTheme="minorHAnsi" w:eastAsiaTheme="minorEastAsia" w:hAnsiTheme="minorHAnsi" w:cstheme="minorBidi"/>
            <w:noProof/>
            <w:sz w:val="22"/>
            <w:szCs w:val="22"/>
          </w:rPr>
          <w:tab/>
        </w:r>
        <w:r w:rsidRPr="00CD0B56">
          <w:rPr>
            <w:rStyle w:val="Hyperlink"/>
            <w:noProof/>
          </w:rPr>
          <w:t>Part 1 Section 21.4.3.5, pt (Point)</w:t>
        </w:r>
        <w:r>
          <w:rPr>
            <w:noProof/>
            <w:webHidden/>
          </w:rPr>
          <w:tab/>
        </w:r>
        <w:r>
          <w:rPr>
            <w:noProof/>
            <w:webHidden/>
          </w:rPr>
          <w:fldChar w:fldCharType="begin"/>
        </w:r>
        <w:r>
          <w:rPr>
            <w:noProof/>
            <w:webHidden/>
          </w:rPr>
          <w:instrText xml:space="preserve"> PAGEREF _Toc12261687 \h </w:instrText>
        </w:r>
        <w:r>
          <w:rPr>
            <w:noProof/>
            <w:webHidden/>
          </w:rPr>
        </w:r>
        <w:r>
          <w:rPr>
            <w:noProof/>
            <w:webHidden/>
          </w:rPr>
          <w:fldChar w:fldCharType="separate"/>
        </w:r>
        <w:r>
          <w:rPr>
            <w:noProof/>
            <w:webHidden/>
          </w:rPr>
          <w:t>581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88" w:history="1">
        <w:r w:rsidRPr="00CD0B56">
          <w:rPr>
            <w:rStyle w:val="Hyperlink"/>
            <w:noProof/>
          </w:rPr>
          <w:t>2.1.1620</w:t>
        </w:r>
        <w:r>
          <w:rPr>
            <w:rFonts w:asciiTheme="minorHAnsi" w:eastAsiaTheme="minorEastAsia" w:hAnsiTheme="minorHAnsi" w:cstheme="minorBidi"/>
            <w:noProof/>
            <w:sz w:val="22"/>
            <w:szCs w:val="22"/>
          </w:rPr>
          <w:tab/>
        </w:r>
        <w:r w:rsidRPr="00CD0B56">
          <w:rPr>
            <w:rStyle w:val="Hyperlink"/>
            <w:noProof/>
          </w:rPr>
          <w:t>Part 1 Section 21.4.3.7, spPr (Shape Properties)</w:t>
        </w:r>
        <w:r>
          <w:rPr>
            <w:noProof/>
            <w:webHidden/>
          </w:rPr>
          <w:tab/>
        </w:r>
        <w:r>
          <w:rPr>
            <w:noProof/>
            <w:webHidden/>
          </w:rPr>
          <w:fldChar w:fldCharType="begin"/>
        </w:r>
        <w:r>
          <w:rPr>
            <w:noProof/>
            <w:webHidden/>
          </w:rPr>
          <w:instrText xml:space="preserve"> PAGEREF _Toc12261688 \h </w:instrText>
        </w:r>
        <w:r>
          <w:rPr>
            <w:noProof/>
            <w:webHidden/>
          </w:rPr>
        </w:r>
        <w:r>
          <w:rPr>
            <w:noProof/>
            <w:webHidden/>
          </w:rPr>
          <w:fldChar w:fldCharType="separate"/>
        </w:r>
        <w:r>
          <w:rPr>
            <w:noProof/>
            <w:webHidden/>
          </w:rPr>
          <w:t>582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89" w:history="1">
        <w:r w:rsidRPr="00CD0B56">
          <w:rPr>
            <w:rStyle w:val="Hyperlink"/>
            <w:noProof/>
          </w:rPr>
          <w:t>2.1.1621</w:t>
        </w:r>
        <w:r>
          <w:rPr>
            <w:rFonts w:asciiTheme="minorHAnsi" w:eastAsiaTheme="minorEastAsia" w:hAnsiTheme="minorHAnsi" w:cstheme="minorBidi"/>
            <w:noProof/>
            <w:sz w:val="22"/>
            <w:szCs w:val="22"/>
          </w:rPr>
          <w:tab/>
        </w:r>
        <w:r w:rsidRPr="00CD0B56">
          <w:rPr>
            <w:rStyle w:val="Hyperlink"/>
            <w:noProof/>
          </w:rPr>
          <w:t>Part 1 Section 21.4.3.8, t (Text Body)</w:t>
        </w:r>
        <w:r>
          <w:rPr>
            <w:noProof/>
            <w:webHidden/>
          </w:rPr>
          <w:tab/>
        </w:r>
        <w:r>
          <w:rPr>
            <w:noProof/>
            <w:webHidden/>
          </w:rPr>
          <w:fldChar w:fldCharType="begin"/>
        </w:r>
        <w:r>
          <w:rPr>
            <w:noProof/>
            <w:webHidden/>
          </w:rPr>
          <w:instrText xml:space="preserve"> PAGEREF _Toc12261689 \h </w:instrText>
        </w:r>
        <w:r>
          <w:rPr>
            <w:noProof/>
            <w:webHidden/>
          </w:rPr>
        </w:r>
        <w:r>
          <w:rPr>
            <w:noProof/>
            <w:webHidden/>
          </w:rPr>
          <w:fldChar w:fldCharType="separate"/>
        </w:r>
        <w:r>
          <w:rPr>
            <w:noProof/>
            <w:webHidden/>
          </w:rPr>
          <w:t>582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90" w:history="1">
        <w:r w:rsidRPr="00CD0B56">
          <w:rPr>
            <w:rStyle w:val="Hyperlink"/>
            <w:noProof/>
          </w:rPr>
          <w:t>2.1.1622</w:t>
        </w:r>
        <w:r>
          <w:rPr>
            <w:rFonts w:asciiTheme="minorHAnsi" w:eastAsiaTheme="minorEastAsia" w:hAnsiTheme="minorHAnsi" w:cstheme="minorBidi"/>
            <w:noProof/>
            <w:sz w:val="22"/>
            <w:szCs w:val="22"/>
          </w:rPr>
          <w:tab/>
        </w:r>
        <w:r w:rsidRPr="00CD0B56">
          <w:rPr>
            <w:rStyle w:val="Hyperlink"/>
            <w:noProof/>
          </w:rPr>
          <w:t>Part 1 Section 21.4.4.3, colorsDef (Color Transform Definitions)</w:t>
        </w:r>
        <w:r>
          <w:rPr>
            <w:noProof/>
            <w:webHidden/>
          </w:rPr>
          <w:tab/>
        </w:r>
        <w:r>
          <w:rPr>
            <w:noProof/>
            <w:webHidden/>
          </w:rPr>
          <w:fldChar w:fldCharType="begin"/>
        </w:r>
        <w:r>
          <w:rPr>
            <w:noProof/>
            <w:webHidden/>
          </w:rPr>
          <w:instrText xml:space="preserve"> PAGEREF _Toc12261690 \h </w:instrText>
        </w:r>
        <w:r>
          <w:rPr>
            <w:noProof/>
            <w:webHidden/>
          </w:rPr>
        </w:r>
        <w:r>
          <w:rPr>
            <w:noProof/>
            <w:webHidden/>
          </w:rPr>
          <w:fldChar w:fldCharType="separate"/>
        </w:r>
        <w:r>
          <w:rPr>
            <w:noProof/>
            <w:webHidden/>
          </w:rPr>
          <w:t>582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91" w:history="1">
        <w:r w:rsidRPr="00CD0B56">
          <w:rPr>
            <w:rStyle w:val="Hyperlink"/>
            <w:noProof/>
          </w:rPr>
          <w:t>2.1.1623</w:t>
        </w:r>
        <w:r>
          <w:rPr>
            <w:rFonts w:asciiTheme="minorHAnsi" w:eastAsiaTheme="minorEastAsia" w:hAnsiTheme="minorHAnsi" w:cstheme="minorBidi"/>
            <w:noProof/>
            <w:sz w:val="22"/>
            <w:szCs w:val="22"/>
          </w:rPr>
          <w:tab/>
        </w:r>
        <w:r w:rsidRPr="00CD0B56">
          <w:rPr>
            <w:rStyle w:val="Hyperlink"/>
            <w:noProof/>
          </w:rPr>
          <w:t>Part 1 Section 21.4.4.7, effectClrLst (Effect Color List)</w:t>
        </w:r>
        <w:r>
          <w:rPr>
            <w:noProof/>
            <w:webHidden/>
          </w:rPr>
          <w:tab/>
        </w:r>
        <w:r>
          <w:rPr>
            <w:noProof/>
            <w:webHidden/>
          </w:rPr>
          <w:fldChar w:fldCharType="begin"/>
        </w:r>
        <w:r>
          <w:rPr>
            <w:noProof/>
            <w:webHidden/>
          </w:rPr>
          <w:instrText xml:space="preserve"> PAGEREF _Toc12261691 \h </w:instrText>
        </w:r>
        <w:r>
          <w:rPr>
            <w:noProof/>
            <w:webHidden/>
          </w:rPr>
        </w:r>
        <w:r>
          <w:rPr>
            <w:noProof/>
            <w:webHidden/>
          </w:rPr>
          <w:fldChar w:fldCharType="separate"/>
        </w:r>
        <w:r>
          <w:rPr>
            <w:noProof/>
            <w:webHidden/>
          </w:rPr>
          <w:t>582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92" w:history="1">
        <w:r w:rsidRPr="00CD0B56">
          <w:rPr>
            <w:rStyle w:val="Hyperlink"/>
            <w:noProof/>
          </w:rPr>
          <w:t>2.1.1624</w:t>
        </w:r>
        <w:r>
          <w:rPr>
            <w:rFonts w:asciiTheme="minorHAnsi" w:eastAsiaTheme="minorEastAsia" w:hAnsiTheme="minorHAnsi" w:cstheme="minorBidi"/>
            <w:noProof/>
            <w:sz w:val="22"/>
            <w:szCs w:val="22"/>
          </w:rPr>
          <w:tab/>
        </w:r>
        <w:r w:rsidRPr="00CD0B56">
          <w:rPr>
            <w:rStyle w:val="Hyperlink"/>
            <w:noProof/>
          </w:rPr>
          <w:t>Part 1 Section 21.4.4.8, fillClrLst (Fill Color List)</w:t>
        </w:r>
        <w:r>
          <w:rPr>
            <w:noProof/>
            <w:webHidden/>
          </w:rPr>
          <w:tab/>
        </w:r>
        <w:r>
          <w:rPr>
            <w:noProof/>
            <w:webHidden/>
          </w:rPr>
          <w:fldChar w:fldCharType="begin"/>
        </w:r>
        <w:r>
          <w:rPr>
            <w:noProof/>
            <w:webHidden/>
          </w:rPr>
          <w:instrText xml:space="preserve"> PAGEREF _Toc12261692 \h </w:instrText>
        </w:r>
        <w:r>
          <w:rPr>
            <w:noProof/>
            <w:webHidden/>
          </w:rPr>
        </w:r>
        <w:r>
          <w:rPr>
            <w:noProof/>
            <w:webHidden/>
          </w:rPr>
          <w:fldChar w:fldCharType="separate"/>
        </w:r>
        <w:r>
          <w:rPr>
            <w:noProof/>
            <w:webHidden/>
          </w:rPr>
          <w:t>582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93" w:history="1">
        <w:r w:rsidRPr="00CD0B56">
          <w:rPr>
            <w:rStyle w:val="Hyperlink"/>
            <w:noProof/>
          </w:rPr>
          <w:t>2.1.1625</w:t>
        </w:r>
        <w:r>
          <w:rPr>
            <w:rFonts w:asciiTheme="minorHAnsi" w:eastAsiaTheme="minorEastAsia" w:hAnsiTheme="minorHAnsi" w:cstheme="minorBidi"/>
            <w:noProof/>
            <w:sz w:val="22"/>
            <w:szCs w:val="22"/>
          </w:rPr>
          <w:tab/>
        </w:r>
        <w:r w:rsidRPr="00CD0B56">
          <w:rPr>
            <w:rStyle w:val="Hyperlink"/>
            <w:noProof/>
          </w:rPr>
          <w:t>Part 1 Section 21.4.4.9, linClrLst (Line Color List)</w:t>
        </w:r>
        <w:r>
          <w:rPr>
            <w:noProof/>
            <w:webHidden/>
          </w:rPr>
          <w:tab/>
        </w:r>
        <w:r>
          <w:rPr>
            <w:noProof/>
            <w:webHidden/>
          </w:rPr>
          <w:fldChar w:fldCharType="begin"/>
        </w:r>
        <w:r>
          <w:rPr>
            <w:noProof/>
            <w:webHidden/>
          </w:rPr>
          <w:instrText xml:space="preserve"> PAGEREF _Toc12261693 \h </w:instrText>
        </w:r>
        <w:r>
          <w:rPr>
            <w:noProof/>
            <w:webHidden/>
          </w:rPr>
        </w:r>
        <w:r>
          <w:rPr>
            <w:noProof/>
            <w:webHidden/>
          </w:rPr>
          <w:fldChar w:fldCharType="separate"/>
        </w:r>
        <w:r>
          <w:rPr>
            <w:noProof/>
            <w:webHidden/>
          </w:rPr>
          <w:t>582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94" w:history="1">
        <w:r w:rsidRPr="00CD0B56">
          <w:rPr>
            <w:rStyle w:val="Hyperlink"/>
            <w:noProof/>
          </w:rPr>
          <w:t>2.1.1626</w:t>
        </w:r>
        <w:r>
          <w:rPr>
            <w:rFonts w:asciiTheme="minorHAnsi" w:eastAsiaTheme="minorEastAsia" w:hAnsiTheme="minorHAnsi" w:cstheme="minorBidi"/>
            <w:noProof/>
            <w:sz w:val="22"/>
            <w:szCs w:val="22"/>
          </w:rPr>
          <w:tab/>
        </w:r>
        <w:r w:rsidRPr="00CD0B56">
          <w:rPr>
            <w:rStyle w:val="Hyperlink"/>
            <w:noProof/>
          </w:rPr>
          <w:t>Part 1 Section 21.4.4.12, txEffectClrLst (Text Effect Color List)</w:t>
        </w:r>
        <w:r>
          <w:rPr>
            <w:noProof/>
            <w:webHidden/>
          </w:rPr>
          <w:tab/>
        </w:r>
        <w:r>
          <w:rPr>
            <w:noProof/>
            <w:webHidden/>
          </w:rPr>
          <w:fldChar w:fldCharType="begin"/>
        </w:r>
        <w:r>
          <w:rPr>
            <w:noProof/>
            <w:webHidden/>
          </w:rPr>
          <w:instrText xml:space="preserve"> PAGEREF _Toc12261694 \h </w:instrText>
        </w:r>
        <w:r>
          <w:rPr>
            <w:noProof/>
            <w:webHidden/>
          </w:rPr>
        </w:r>
        <w:r>
          <w:rPr>
            <w:noProof/>
            <w:webHidden/>
          </w:rPr>
          <w:fldChar w:fldCharType="separate"/>
        </w:r>
        <w:r>
          <w:rPr>
            <w:noProof/>
            <w:webHidden/>
          </w:rPr>
          <w:t>583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95" w:history="1">
        <w:r w:rsidRPr="00CD0B56">
          <w:rPr>
            <w:rStyle w:val="Hyperlink"/>
            <w:noProof/>
          </w:rPr>
          <w:t>2.1.1627</w:t>
        </w:r>
        <w:r>
          <w:rPr>
            <w:rFonts w:asciiTheme="minorHAnsi" w:eastAsiaTheme="minorEastAsia" w:hAnsiTheme="minorHAnsi" w:cstheme="minorBidi"/>
            <w:noProof/>
            <w:sz w:val="22"/>
            <w:szCs w:val="22"/>
          </w:rPr>
          <w:tab/>
        </w:r>
        <w:r w:rsidRPr="00CD0B56">
          <w:rPr>
            <w:rStyle w:val="Hyperlink"/>
            <w:noProof/>
          </w:rPr>
          <w:t>Part 1 Section 21.4.4.13, txFillClrLst (Text Fill Color List)</w:t>
        </w:r>
        <w:r>
          <w:rPr>
            <w:noProof/>
            <w:webHidden/>
          </w:rPr>
          <w:tab/>
        </w:r>
        <w:r>
          <w:rPr>
            <w:noProof/>
            <w:webHidden/>
          </w:rPr>
          <w:fldChar w:fldCharType="begin"/>
        </w:r>
        <w:r>
          <w:rPr>
            <w:noProof/>
            <w:webHidden/>
          </w:rPr>
          <w:instrText xml:space="preserve"> PAGEREF _Toc12261695 \h </w:instrText>
        </w:r>
        <w:r>
          <w:rPr>
            <w:noProof/>
            <w:webHidden/>
          </w:rPr>
        </w:r>
        <w:r>
          <w:rPr>
            <w:noProof/>
            <w:webHidden/>
          </w:rPr>
          <w:fldChar w:fldCharType="separate"/>
        </w:r>
        <w:r>
          <w:rPr>
            <w:noProof/>
            <w:webHidden/>
          </w:rPr>
          <w:t>583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96" w:history="1">
        <w:r w:rsidRPr="00CD0B56">
          <w:rPr>
            <w:rStyle w:val="Hyperlink"/>
            <w:noProof/>
          </w:rPr>
          <w:t>2.1.1628</w:t>
        </w:r>
        <w:r>
          <w:rPr>
            <w:rFonts w:asciiTheme="minorHAnsi" w:eastAsiaTheme="minorEastAsia" w:hAnsiTheme="minorHAnsi" w:cstheme="minorBidi"/>
            <w:noProof/>
            <w:sz w:val="22"/>
            <w:szCs w:val="22"/>
          </w:rPr>
          <w:tab/>
        </w:r>
        <w:r w:rsidRPr="00CD0B56">
          <w:rPr>
            <w:rStyle w:val="Hyperlink"/>
            <w:noProof/>
          </w:rPr>
          <w:t>Part 1 Section 21.4.4.14, txLinClrLst (Text Line Color List)</w:t>
        </w:r>
        <w:r>
          <w:rPr>
            <w:noProof/>
            <w:webHidden/>
          </w:rPr>
          <w:tab/>
        </w:r>
        <w:r>
          <w:rPr>
            <w:noProof/>
            <w:webHidden/>
          </w:rPr>
          <w:fldChar w:fldCharType="begin"/>
        </w:r>
        <w:r>
          <w:rPr>
            <w:noProof/>
            <w:webHidden/>
          </w:rPr>
          <w:instrText xml:space="preserve"> PAGEREF _Toc12261696 \h </w:instrText>
        </w:r>
        <w:r>
          <w:rPr>
            <w:noProof/>
            <w:webHidden/>
          </w:rPr>
        </w:r>
        <w:r>
          <w:rPr>
            <w:noProof/>
            <w:webHidden/>
          </w:rPr>
          <w:fldChar w:fldCharType="separate"/>
        </w:r>
        <w:r>
          <w:rPr>
            <w:noProof/>
            <w:webHidden/>
          </w:rPr>
          <w:t>583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97" w:history="1">
        <w:r w:rsidRPr="00CD0B56">
          <w:rPr>
            <w:rStyle w:val="Hyperlink"/>
            <w:noProof/>
          </w:rPr>
          <w:t>2.1.1629</w:t>
        </w:r>
        <w:r>
          <w:rPr>
            <w:rFonts w:asciiTheme="minorHAnsi" w:eastAsiaTheme="minorEastAsia" w:hAnsiTheme="minorHAnsi" w:cstheme="minorBidi"/>
            <w:noProof/>
            <w:sz w:val="22"/>
            <w:szCs w:val="22"/>
          </w:rPr>
          <w:tab/>
        </w:r>
        <w:r w:rsidRPr="00CD0B56">
          <w:rPr>
            <w:rStyle w:val="Hyperlink"/>
            <w:noProof/>
          </w:rPr>
          <w:t>Part 1 Section 21.4.5.6, sp3d (3-D Shape Properties)</w:t>
        </w:r>
        <w:r>
          <w:rPr>
            <w:noProof/>
            <w:webHidden/>
          </w:rPr>
          <w:tab/>
        </w:r>
        <w:r>
          <w:rPr>
            <w:noProof/>
            <w:webHidden/>
          </w:rPr>
          <w:fldChar w:fldCharType="begin"/>
        </w:r>
        <w:r>
          <w:rPr>
            <w:noProof/>
            <w:webHidden/>
          </w:rPr>
          <w:instrText xml:space="preserve"> PAGEREF _Toc12261697 \h </w:instrText>
        </w:r>
        <w:r>
          <w:rPr>
            <w:noProof/>
            <w:webHidden/>
          </w:rPr>
        </w:r>
        <w:r>
          <w:rPr>
            <w:noProof/>
            <w:webHidden/>
          </w:rPr>
          <w:fldChar w:fldCharType="separate"/>
        </w:r>
        <w:r>
          <w:rPr>
            <w:noProof/>
            <w:webHidden/>
          </w:rPr>
          <w:t>583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98" w:history="1">
        <w:r w:rsidRPr="00CD0B56">
          <w:rPr>
            <w:rStyle w:val="Hyperlink"/>
            <w:noProof/>
          </w:rPr>
          <w:t>2.1.1630</w:t>
        </w:r>
        <w:r>
          <w:rPr>
            <w:rFonts w:asciiTheme="minorHAnsi" w:eastAsiaTheme="minorEastAsia" w:hAnsiTheme="minorHAnsi" w:cstheme="minorBidi"/>
            <w:noProof/>
            <w:sz w:val="22"/>
            <w:szCs w:val="22"/>
          </w:rPr>
          <w:tab/>
        </w:r>
        <w:r w:rsidRPr="00CD0B56">
          <w:rPr>
            <w:rStyle w:val="Hyperlink"/>
            <w:noProof/>
          </w:rPr>
          <w:t>Part 1 Section 21.4.5.10, styleLbl (Style Label)</w:t>
        </w:r>
        <w:r>
          <w:rPr>
            <w:noProof/>
            <w:webHidden/>
          </w:rPr>
          <w:tab/>
        </w:r>
        <w:r>
          <w:rPr>
            <w:noProof/>
            <w:webHidden/>
          </w:rPr>
          <w:fldChar w:fldCharType="begin"/>
        </w:r>
        <w:r>
          <w:rPr>
            <w:noProof/>
            <w:webHidden/>
          </w:rPr>
          <w:instrText xml:space="preserve"> PAGEREF _Toc12261698 \h </w:instrText>
        </w:r>
        <w:r>
          <w:rPr>
            <w:noProof/>
            <w:webHidden/>
          </w:rPr>
        </w:r>
        <w:r>
          <w:rPr>
            <w:noProof/>
            <w:webHidden/>
          </w:rPr>
          <w:fldChar w:fldCharType="separate"/>
        </w:r>
        <w:r>
          <w:rPr>
            <w:noProof/>
            <w:webHidden/>
          </w:rPr>
          <w:t>583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699" w:history="1">
        <w:r w:rsidRPr="00CD0B56">
          <w:rPr>
            <w:rStyle w:val="Hyperlink"/>
            <w:noProof/>
          </w:rPr>
          <w:t>2.1.1631</w:t>
        </w:r>
        <w:r>
          <w:rPr>
            <w:rFonts w:asciiTheme="minorHAnsi" w:eastAsiaTheme="minorEastAsia" w:hAnsiTheme="minorHAnsi" w:cstheme="minorBidi"/>
            <w:noProof/>
            <w:sz w:val="22"/>
            <w:szCs w:val="22"/>
          </w:rPr>
          <w:tab/>
        </w:r>
        <w:r w:rsidRPr="00CD0B56">
          <w:rPr>
            <w:rStyle w:val="Hyperlink"/>
            <w:noProof/>
          </w:rPr>
          <w:t>Part 1 Section 21.4.7.3, ST_AnimOneStr (One by One Animation Value Definition)</w:t>
        </w:r>
        <w:r>
          <w:rPr>
            <w:noProof/>
            <w:webHidden/>
          </w:rPr>
          <w:tab/>
        </w:r>
        <w:r>
          <w:rPr>
            <w:noProof/>
            <w:webHidden/>
          </w:rPr>
          <w:fldChar w:fldCharType="begin"/>
        </w:r>
        <w:r>
          <w:rPr>
            <w:noProof/>
            <w:webHidden/>
          </w:rPr>
          <w:instrText xml:space="preserve"> PAGEREF _Toc12261699 \h </w:instrText>
        </w:r>
        <w:r>
          <w:rPr>
            <w:noProof/>
            <w:webHidden/>
          </w:rPr>
        </w:r>
        <w:r>
          <w:rPr>
            <w:noProof/>
            <w:webHidden/>
          </w:rPr>
          <w:fldChar w:fldCharType="separate"/>
        </w:r>
        <w:r>
          <w:rPr>
            <w:noProof/>
            <w:webHidden/>
          </w:rPr>
          <w:t>583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00" w:history="1">
        <w:r w:rsidRPr="00CD0B56">
          <w:rPr>
            <w:rStyle w:val="Hyperlink"/>
            <w:noProof/>
          </w:rPr>
          <w:t>2.1.1632</w:t>
        </w:r>
        <w:r>
          <w:rPr>
            <w:rFonts w:asciiTheme="minorHAnsi" w:eastAsiaTheme="minorEastAsia" w:hAnsiTheme="minorHAnsi" w:cstheme="minorBidi"/>
            <w:noProof/>
            <w:sz w:val="22"/>
            <w:szCs w:val="22"/>
          </w:rPr>
          <w:tab/>
        </w:r>
        <w:r w:rsidRPr="00CD0B56">
          <w:rPr>
            <w:rStyle w:val="Hyperlink"/>
            <w:noProof/>
          </w:rPr>
          <w:t>Part 1 Section 21.4.7.6, ST_AxisType (Axis Type)</w:t>
        </w:r>
        <w:r>
          <w:rPr>
            <w:noProof/>
            <w:webHidden/>
          </w:rPr>
          <w:tab/>
        </w:r>
        <w:r>
          <w:rPr>
            <w:noProof/>
            <w:webHidden/>
          </w:rPr>
          <w:fldChar w:fldCharType="begin"/>
        </w:r>
        <w:r>
          <w:rPr>
            <w:noProof/>
            <w:webHidden/>
          </w:rPr>
          <w:instrText xml:space="preserve"> PAGEREF _Toc12261700 \h </w:instrText>
        </w:r>
        <w:r>
          <w:rPr>
            <w:noProof/>
            <w:webHidden/>
          </w:rPr>
        </w:r>
        <w:r>
          <w:rPr>
            <w:noProof/>
            <w:webHidden/>
          </w:rPr>
          <w:fldChar w:fldCharType="separate"/>
        </w:r>
        <w:r>
          <w:rPr>
            <w:noProof/>
            <w:webHidden/>
          </w:rPr>
          <w:t>583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01" w:history="1">
        <w:r w:rsidRPr="00CD0B56">
          <w:rPr>
            <w:rStyle w:val="Hyperlink"/>
            <w:noProof/>
          </w:rPr>
          <w:t>2.1.1633</w:t>
        </w:r>
        <w:r>
          <w:rPr>
            <w:rFonts w:asciiTheme="minorHAnsi" w:eastAsiaTheme="minorEastAsia" w:hAnsiTheme="minorHAnsi" w:cstheme="minorBidi"/>
            <w:noProof/>
            <w:sz w:val="22"/>
            <w:szCs w:val="22"/>
          </w:rPr>
          <w:tab/>
        </w:r>
        <w:r w:rsidRPr="00CD0B56">
          <w:rPr>
            <w:rStyle w:val="Hyperlink"/>
            <w:noProof/>
          </w:rPr>
          <w:t>Part 1 Section 21.4.7.49, ST_ParameterId (Parameter Identifier)</w:t>
        </w:r>
        <w:r>
          <w:rPr>
            <w:noProof/>
            <w:webHidden/>
          </w:rPr>
          <w:tab/>
        </w:r>
        <w:r>
          <w:rPr>
            <w:noProof/>
            <w:webHidden/>
          </w:rPr>
          <w:fldChar w:fldCharType="begin"/>
        </w:r>
        <w:r>
          <w:rPr>
            <w:noProof/>
            <w:webHidden/>
          </w:rPr>
          <w:instrText xml:space="preserve"> PAGEREF _Toc12261701 \h </w:instrText>
        </w:r>
        <w:r>
          <w:rPr>
            <w:noProof/>
            <w:webHidden/>
          </w:rPr>
        </w:r>
        <w:r>
          <w:rPr>
            <w:noProof/>
            <w:webHidden/>
          </w:rPr>
          <w:fldChar w:fldCharType="separate"/>
        </w:r>
        <w:r>
          <w:rPr>
            <w:noProof/>
            <w:webHidden/>
          </w:rPr>
          <w:t>583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02" w:history="1">
        <w:r w:rsidRPr="00CD0B56">
          <w:rPr>
            <w:rStyle w:val="Hyperlink"/>
            <w:noProof/>
          </w:rPr>
          <w:t>2.1.1634</w:t>
        </w:r>
        <w:r>
          <w:rPr>
            <w:rFonts w:asciiTheme="minorHAnsi" w:eastAsiaTheme="minorEastAsia" w:hAnsiTheme="minorHAnsi" w:cstheme="minorBidi"/>
            <w:noProof/>
            <w:sz w:val="22"/>
            <w:szCs w:val="22"/>
          </w:rPr>
          <w:tab/>
        </w:r>
        <w:r w:rsidRPr="00CD0B56">
          <w:rPr>
            <w:rStyle w:val="Hyperlink"/>
            <w:noProof/>
          </w:rPr>
          <w:t>Part 1 Section 21.4.7.56, ST_SecondaryChildAlignment (Secondary Child Alignment)</w:t>
        </w:r>
        <w:r>
          <w:rPr>
            <w:noProof/>
            <w:webHidden/>
          </w:rPr>
          <w:tab/>
        </w:r>
        <w:r>
          <w:rPr>
            <w:noProof/>
            <w:webHidden/>
          </w:rPr>
          <w:fldChar w:fldCharType="begin"/>
        </w:r>
        <w:r>
          <w:rPr>
            <w:noProof/>
            <w:webHidden/>
          </w:rPr>
          <w:instrText xml:space="preserve"> PAGEREF _Toc12261702 \h </w:instrText>
        </w:r>
        <w:r>
          <w:rPr>
            <w:noProof/>
            <w:webHidden/>
          </w:rPr>
        </w:r>
        <w:r>
          <w:rPr>
            <w:noProof/>
            <w:webHidden/>
          </w:rPr>
          <w:fldChar w:fldCharType="separate"/>
        </w:r>
        <w:r>
          <w:rPr>
            <w:noProof/>
            <w:webHidden/>
          </w:rPr>
          <w:t>590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03" w:history="1">
        <w:r w:rsidRPr="00CD0B56">
          <w:rPr>
            <w:rStyle w:val="Hyperlink"/>
            <w:noProof/>
          </w:rPr>
          <w:t>2.1.1635</w:t>
        </w:r>
        <w:r>
          <w:rPr>
            <w:rFonts w:asciiTheme="minorHAnsi" w:eastAsiaTheme="minorEastAsia" w:hAnsiTheme="minorHAnsi" w:cstheme="minorBidi"/>
            <w:noProof/>
            <w:sz w:val="22"/>
            <w:szCs w:val="22"/>
          </w:rPr>
          <w:tab/>
        </w:r>
        <w:r w:rsidRPr="00CD0B56">
          <w:rPr>
            <w:rStyle w:val="Hyperlink"/>
            <w:noProof/>
          </w:rPr>
          <w:t>Part 1 Section 21.4.7.57, ST_SecondaryLinearDirection (Secondary Linear Direction)</w:t>
        </w:r>
        <w:r>
          <w:rPr>
            <w:noProof/>
            <w:webHidden/>
          </w:rPr>
          <w:tab/>
        </w:r>
        <w:r>
          <w:rPr>
            <w:noProof/>
            <w:webHidden/>
          </w:rPr>
          <w:fldChar w:fldCharType="begin"/>
        </w:r>
        <w:r>
          <w:rPr>
            <w:noProof/>
            <w:webHidden/>
          </w:rPr>
          <w:instrText xml:space="preserve"> PAGEREF _Toc12261703 \h </w:instrText>
        </w:r>
        <w:r>
          <w:rPr>
            <w:noProof/>
            <w:webHidden/>
          </w:rPr>
        </w:r>
        <w:r>
          <w:rPr>
            <w:noProof/>
            <w:webHidden/>
          </w:rPr>
          <w:fldChar w:fldCharType="separate"/>
        </w:r>
        <w:r>
          <w:rPr>
            <w:noProof/>
            <w:webHidden/>
          </w:rPr>
          <w:t>590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04" w:history="1">
        <w:r w:rsidRPr="00CD0B56">
          <w:rPr>
            <w:rStyle w:val="Hyperlink"/>
            <w:noProof/>
          </w:rPr>
          <w:t>2.1.1636</w:t>
        </w:r>
        <w:r>
          <w:rPr>
            <w:rFonts w:asciiTheme="minorHAnsi" w:eastAsiaTheme="minorEastAsia" w:hAnsiTheme="minorHAnsi" w:cstheme="minorBidi"/>
            <w:noProof/>
            <w:sz w:val="22"/>
            <w:szCs w:val="22"/>
          </w:rPr>
          <w:tab/>
        </w:r>
        <w:r w:rsidRPr="00CD0B56">
          <w:rPr>
            <w:rStyle w:val="Hyperlink"/>
            <w:noProof/>
          </w:rPr>
          <w:t>Part 1 Section 22.1, Math</w:t>
        </w:r>
        <w:r>
          <w:rPr>
            <w:noProof/>
            <w:webHidden/>
          </w:rPr>
          <w:tab/>
        </w:r>
        <w:r>
          <w:rPr>
            <w:noProof/>
            <w:webHidden/>
          </w:rPr>
          <w:fldChar w:fldCharType="begin"/>
        </w:r>
        <w:r>
          <w:rPr>
            <w:noProof/>
            <w:webHidden/>
          </w:rPr>
          <w:instrText xml:space="preserve"> PAGEREF _Toc12261704 \h </w:instrText>
        </w:r>
        <w:r>
          <w:rPr>
            <w:noProof/>
            <w:webHidden/>
          </w:rPr>
        </w:r>
        <w:r>
          <w:rPr>
            <w:noProof/>
            <w:webHidden/>
          </w:rPr>
          <w:fldChar w:fldCharType="separate"/>
        </w:r>
        <w:r>
          <w:rPr>
            <w:noProof/>
            <w:webHidden/>
          </w:rPr>
          <w:t>590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05" w:history="1">
        <w:r w:rsidRPr="00CD0B56">
          <w:rPr>
            <w:rStyle w:val="Hyperlink"/>
            <w:noProof/>
          </w:rPr>
          <w:t>2.1.1637</w:t>
        </w:r>
        <w:r>
          <w:rPr>
            <w:rFonts w:asciiTheme="minorHAnsi" w:eastAsiaTheme="minorEastAsia" w:hAnsiTheme="minorHAnsi" w:cstheme="minorBidi"/>
            <w:noProof/>
            <w:sz w:val="22"/>
            <w:szCs w:val="22"/>
          </w:rPr>
          <w:tab/>
        </w:r>
        <w:r w:rsidRPr="00CD0B56">
          <w:rPr>
            <w:rStyle w:val="Hyperlink"/>
            <w:noProof/>
          </w:rPr>
          <w:t>Part 1 Section 22.1.2.1, acc (Accent)</w:t>
        </w:r>
        <w:r>
          <w:rPr>
            <w:noProof/>
            <w:webHidden/>
          </w:rPr>
          <w:tab/>
        </w:r>
        <w:r>
          <w:rPr>
            <w:noProof/>
            <w:webHidden/>
          </w:rPr>
          <w:fldChar w:fldCharType="begin"/>
        </w:r>
        <w:r>
          <w:rPr>
            <w:noProof/>
            <w:webHidden/>
          </w:rPr>
          <w:instrText xml:space="preserve"> PAGEREF _Toc12261705 \h </w:instrText>
        </w:r>
        <w:r>
          <w:rPr>
            <w:noProof/>
            <w:webHidden/>
          </w:rPr>
        </w:r>
        <w:r>
          <w:rPr>
            <w:noProof/>
            <w:webHidden/>
          </w:rPr>
          <w:fldChar w:fldCharType="separate"/>
        </w:r>
        <w:r>
          <w:rPr>
            <w:noProof/>
            <w:webHidden/>
          </w:rPr>
          <w:t>590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06" w:history="1">
        <w:r w:rsidRPr="00CD0B56">
          <w:rPr>
            <w:rStyle w:val="Hyperlink"/>
            <w:noProof/>
          </w:rPr>
          <w:t>2.1.1638</w:t>
        </w:r>
        <w:r>
          <w:rPr>
            <w:rFonts w:asciiTheme="minorHAnsi" w:eastAsiaTheme="minorEastAsia" w:hAnsiTheme="minorHAnsi" w:cstheme="minorBidi"/>
            <w:noProof/>
            <w:sz w:val="22"/>
            <w:szCs w:val="22"/>
          </w:rPr>
          <w:tab/>
        </w:r>
        <w:r w:rsidRPr="00CD0B56">
          <w:rPr>
            <w:rStyle w:val="Hyperlink"/>
            <w:noProof/>
          </w:rPr>
          <w:t>Part 1 Section 22.1.2.3, aln (Alignment)</w:t>
        </w:r>
        <w:r>
          <w:rPr>
            <w:noProof/>
            <w:webHidden/>
          </w:rPr>
          <w:tab/>
        </w:r>
        <w:r>
          <w:rPr>
            <w:noProof/>
            <w:webHidden/>
          </w:rPr>
          <w:fldChar w:fldCharType="begin"/>
        </w:r>
        <w:r>
          <w:rPr>
            <w:noProof/>
            <w:webHidden/>
          </w:rPr>
          <w:instrText xml:space="preserve"> PAGEREF _Toc12261706 \h </w:instrText>
        </w:r>
        <w:r>
          <w:rPr>
            <w:noProof/>
            <w:webHidden/>
          </w:rPr>
        </w:r>
        <w:r>
          <w:rPr>
            <w:noProof/>
            <w:webHidden/>
          </w:rPr>
          <w:fldChar w:fldCharType="separate"/>
        </w:r>
        <w:r>
          <w:rPr>
            <w:noProof/>
            <w:webHidden/>
          </w:rPr>
          <w:t>591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07" w:history="1">
        <w:r w:rsidRPr="00CD0B56">
          <w:rPr>
            <w:rStyle w:val="Hyperlink"/>
            <w:noProof/>
          </w:rPr>
          <w:t>2.1.1639</w:t>
        </w:r>
        <w:r>
          <w:rPr>
            <w:rFonts w:asciiTheme="minorHAnsi" w:eastAsiaTheme="minorEastAsia" w:hAnsiTheme="minorHAnsi" w:cstheme="minorBidi"/>
            <w:noProof/>
            <w:sz w:val="22"/>
            <w:szCs w:val="22"/>
          </w:rPr>
          <w:tab/>
        </w:r>
        <w:r w:rsidRPr="00CD0B56">
          <w:rPr>
            <w:rStyle w:val="Hyperlink"/>
            <w:noProof/>
          </w:rPr>
          <w:t>Part 1 Section 22.1.2.7, bar (Bar)</w:t>
        </w:r>
        <w:r>
          <w:rPr>
            <w:noProof/>
            <w:webHidden/>
          </w:rPr>
          <w:tab/>
        </w:r>
        <w:r>
          <w:rPr>
            <w:noProof/>
            <w:webHidden/>
          </w:rPr>
          <w:fldChar w:fldCharType="begin"/>
        </w:r>
        <w:r>
          <w:rPr>
            <w:noProof/>
            <w:webHidden/>
          </w:rPr>
          <w:instrText xml:space="preserve"> PAGEREF _Toc12261707 \h </w:instrText>
        </w:r>
        <w:r>
          <w:rPr>
            <w:noProof/>
            <w:webHidden/>
          </w:rPr>
        </w:r>
        <w:r>
          <w:rPr>
            <w:noProof/>
            <w:webHidden/>
          </w:rPr>
          <w:fldChar w:fldCharType="separate"/>
        </w:r>
        <w:r>
          <w:rPr>
            <w:noProof/>
            <w:webHidden/>
          </w:rPr>
          <w:t>591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08" w:history="1">
        <w:r w:rsidRPr="00CD0B56">
          <w:rPr>
            <w:rStyle w:val="Hyperlink"/>
            <w:noProof/>
          </w:rPr>
          <w:t>2.1.1640</w:t>
        </w:r>
        <w:r>
          <w:rPr>
            <w:rFonts w:asciiTheme="minorHAnsi" w:eastAsiaTheme="minorEastAsia" w:hAnsiTheme="minorHAnsi" w:cstheme="minorBidi"/>
            <w:noProof/>
            <w:sz w:val="22"/>
            <w:szCs w:val="22"/>
          </w:rPr>
          <w:tab/>
        </w:r>
        <w:r w:rsidRPr="00CD0B56">
          <w:rPr>
            <w:rStyle w:val="Hyperlink"/>
            <w:noProof/>
          </w:rPr>
          <w:t>Part 1 Section 22.1.2.8, barPr (Bar Properties)</w:t>
        </w:r>
        <w:r>
          <w:rPr>
            <w:noProof/>
            <w:webHidden/>
          </w:rPr>
          <w:tab/>
        </w:r>
        <w:r>
          <w:rPr>
            <w:noProof/>
            <w:webHidden/>
          </w:rPr>
          <w:fldChar w:fldCharType="begin"/>
        </w:r>
        <w:r>
          <w:rPr>
            <w:noProof/>
            <w:webHidden/>
          </w:rPr>
          <w:instrText xml:space="preserve"> PAGEREF _Toc12261708 \h </w:instrText>
        </w:r>
        <w:r>
          <w:rPr>
            <w:noProof/>
            <w:webHidden/>
          </w:rPr>
        </w:r>
        <w:r>
          <w:rPr>
            <w:noProof/>
            <w:webHidden/>
          </w:rPr>
          <w:fldChar w:fldCharType="separate"/>
        </w:r>
        <w:r>
          <w:rPr>
            <w:noProof/>
            <w:webHidden/>
          </w:rPr>
          <w:t>591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09" w:history="1">
        <w:r w:rsidRPr="00CD0B56">
          <w:rPr>
            <w:rStyle w:val="Hyperlink"/>
            <w:noProof/>
          </w:rPr>
          <w:t>2.1.1641</w:t>
        </w:r>
        <w:r>
          <w:rPr>
            <w:rFonts w:asciiTheme="minorHAnsi" w:eastAsiaTheme="minorEastAsia" w:hAnsiTheme="minorHAnsi" w:cstheme="minorBidi"/>
            <w:noProof/>
            <w:sz w:val="22"/>
            <w:szCs w:val="22"/>
          </w:rPr>
          <w:tab/>
        </w:r>
        <w:r w:rsidRPr="00CD0B56">
          <w:rPr>
            <w:rStyle w:val="Hyperlink"/>
            <w:noProof/>
          </w:rPr>
          <w:t>Part 1 Section 22.1.2.9, baseJc (Matrix Base Justification)</w:t>
        </w:r>
        <w:r>
          <w:rPr>
            <w:noProof/>
            <w:webHidden/>
          </w:rPr>
          <w:tab/>
        </w:r>
        <w:r>
          <w:rPr>
            <w:noProof/>
            <w:webHidden/>
          </w:rPr>
          <w:fldChar w:fldCharType="begin"/>
        </w:r>
        <w:r>
          <w:rPr>
            <w:noProof/>
            <w:webHidden/>
          </w:rPr>
          <w:instrText xml:space="preserve"> PAGEREF _Toc12261709 \h </w:instrText>
        </w:r>
        <w:r>
          <w:rPr>
            <w:noProof/>
            <w:webHidden/>
          </w:rPr>
        </w:r>
        <w:r>
          <w:rPr>
            <w:noProof/>
            <w:webHidden/>
          </w:rPr>
          <w:fldChar w:fldCharType="separate"/>
        </w:r>
        <w:r>
          <w:rPr>
            <w:noProof/>
            <w:webHidden/>
          </w:rPr>
          <w:t>591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10" w:history="1">
        <w:r w:rsidRPr="00CD0B56">
          <w:rPr>
            <w:rStyle w:val="Hyperlink"/>
            <w:noProof/>
          </w:rPr>
          <w:t>2.1.1642</w:t>
        </w:r>
        <w:r>
          <w:rPr>
            <w:rFonts w:asciiTheme="minorHAnsi" w:eastAsiaTheme="minorEastAsia" w:hAnsiTheme="minorHAnsi" w:cstheme="minorBidi"/>
            <w:noProof/>
            <w:sz w:val="22"/>
            <w:szCs w:val="22"/>
          </w:rPr>
          <w:tab/>
        </w:r>
        <w:r w:rsidRPr="00CD0B56">
          <w:rPr>
            <w:rStyle w:val="Hyperlink"/>
            <w:noProof/>
          </w:rPr>
          <w:t>Part 1 Section 22.1.2.11, borderBox (Border-Box Object)</w:t>
        </w:r>
        <w:r>
          <w:rPr>
            <w:noProof/>
            <w:webHidden/>
          </w:rPr>
          <w:tab/>
        </w:r>
        <w:r>
          <w:rPr>
            <w:noProof/>
            <w:webHidden/>
          </w:rPr>
          <w:fldChar w:fldCharType="begin"/>
        </w:r>
        <w:r>
          <w:rPr>
            <w:noProof/>
            <w:webHidden/>
          </w:rPr>
          <w:instrText xml:space="preserve"> PAGEREF _Toc12261710 \h </w:instrText>
        </w:r>
        <w:r>
          <w:rPr>
            <w:noProof/>
            <w:webHidden/>
          </w:rPr>
        </w:r>
        <w:r>
          <w:rPr>
            <w:noProof/>
            <w:webHidden/>
          </w:rPr>
          <w:fldChar w:fldCharType="separate"/>
        </w:r>
        <w:r>
          <w:rPr>
            <w:noProof/>
            <w:webHidden/>
          </w:rPr>
          <w:t>591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11" w:history="1">
        <w:r w:rsidRPr="00CD0B56">
          <w:rPr>
            <w:rStyle w:val="Hyperlink"/>
            <w:noProof/>
          </w:rPr>
          <w:t>2.1.1643</w:t>
        </w:r>
        <w:r>
          <w:rPr>
            <w:rFonts w:asciiTheme="minorHAnsi" w:eastAsiaTheme="minorEastAsia" w:hAnsiTheme="minorHAnsi" w:cstheme="minorBidi"/>
            <w:noProof/>
            <w:sz w:val="22"/>
            <w:szCs w:val="22"/>
          </w:rPr>
          <w:tab/>
        </w:r>
        <w:r w:rsidRPr="00CD0B56">
          <w:rPr>
            <w:rStyle w:val="Hyperlink"/>
            <w:noProof/>
          </w:rPr>
          <w:t>Part 1 Section 22.1.2.13, box (Box Object)</w:t>
        </w:r>
        <w:r>
          <w:rPr>
            <w:noProof/>
            <w:webHidden/>
          </w:rPr>
          <w:tab/>
        </w:r>
        <w:r>
          <w:rPr>
            <w:noProof/>
            <w:webHidden/>
          </w:rPr>
          <w:fldChar w:fldCharType="begin"/>
        </w:r>
        <w:r>
          <w:rPr>
            <w:noProof/>
            <w:webHidden/>
          </w:rPr>
          <w:instrText xml:space="preserve"> PAGEREF _Toc12261711 \h </w:instrText>
        </w:r>
        <w:r>
          <w:rPr>
            <w:noProof/>
            <w:webHidden/>
          </w:rPr>
        </w:r>
        <w:r>
          <w:rPr>
            <w:noProof/>
            <w:webHidden/>
          </w:rPr>
          <w:fldChar w:fldCharType="separate"/>
        </w:r>
        <w:r>
          <w:rPr>
            <w:noProof/>
            <w:webHidden/>
          </w:rPr>
          <w:t>591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12" w:history="1">
        <w:r w:rsidRPr="00CD0B56">
          <w:rPr>
            <w:rStyle w:val="Hyperlink"/>
            <w:noProof/>
          </w:rPr>
          <w:t>2.1.1644</w:t>
        </w:r>
        <w:r>
          <w:rPr>
            <w:rFonts w:asciiTheme="minorHAnsi" w:eastAsiaTheme="minorEastAsia" w:hAnsiTheme="minorHAnsi" w:cstheme="minorBidi"/>
            <w:noProof/>
            <w:sz w:val="22"/>
            <w:szCs w:val="22"/>
          </w:rPr>
          <w:tab/>
        </w:r>
        <w:r w:rsidRPr="00CD0B56">
          <w:rPr>
            <w:rStyle w:val="Hyperlink"/>
            <w:noProof/>
          </w:rPr>
          <w:t>Part 1 Section 22.1.2.15, brk (Break)</w:t>
        </w:r>
        <w:r>
          <w:rPr>
            <w:noProof/>
            <w:webHidden/>
          </w:rPr>
          <w:tab/>
        </w:r>
        <w:r>
          <w:rPr>
            <w:noProof/>
            <w:webHidden/>
          </w:rPr>
          <w:fldChar w:fldCharType="begin"/>
        </w:r>
        <w:r>
          <w:rPr>
            <w:noProof/>
            <w:webHidden/>
          </w:rPr>
          <w:instrText xml:space="preserve"> PAGEREF _Toc12261712 \h </w:instrText>
        </w:r>
        <w:r>
          <w:rPr>
            <w:noProof/>
            <w:webHidden/>
          </w:rPr>
        </w:r>
        <w:r>
          <w:rPr>
            <w:noProof/>
            <w:webHidden/>
          </w:rPr>
          <w:fldChar w:fldCharType="separate"/>
        </w:r>
        <w:r>
          <w:rPr>
            <w:noProof/>
            <w:webHidden/>
          </w:rPr>
          <w:t>591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13" w:history="1">
        <w:r w:rsidRPr="00CD0B56">
          <w:rPr>
            <w:rStyle w:val="Hyperlink"/>
            <w:noProof/>
          </w:rPr>
          <w:t>2.1.1645</w:t>
        </w:r>
        <w:r>
          <w:rPr>
            <w:rFonts w:asciiTheme="minorHAnsi" w:eastAsiaTheme="minorEastAsia" w:hAnsiTheme="minorHAnsi" w:cstheme="minorBidi"/>
            <w:noProof/>
            <w:sz w:val="22"/>
            <w:szCs w:val="22"/>
          </w:rPr>
          <w:tab/>
        </w:r>
        <w:r w:rsidRPr="00CD0B56">
          <w:rPr>
            <w:rStyle w:val="Hyperlink"/>
            <w:noProof/>
          </w:rPr>
          <w:t>Part 1 Section 22.1.2.18, cGp (Matrix Column Gap)</w:t>
        </w:r>
        <w:r>
          <w:rPr>
            <w:noProof/>
            <w:webHidden/>
          </w:rPr>
          <w:tab/>
        </w:r>
        <w:r>
          <w:rPr>
            <w:noProof/>
            <w:webHidden/>
          </w:rPr>
          <w:fldChar w:fldCharType="begin"/>
        </w:r>
        <w:r>
          <w:rPr>
            <w:noProof/>
            <w:webHidden/>
          </w:rPr>
          <w:instrText xml:space="preserve"> PAGEREF _Toc12261713 \h </w:instrText>
        </w:r>
        <w:r>
          <w:rPr>
            <w:noProof/>
            <w:webHidden/>
          </w:rPr>
        </w:r>
        <w:r>
          <w:rPr>
            <w:noProof/>
            <w:webHidden/>
          </w:rPr>
          <w:fldChar w:fldCharType="separate"/>
        </w:r>
        <w:r>
          <w:rPr>
            <w:noProof/>
            <w:webHidden/>
          </w:rPr>
          <w:t>592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14" w:history="1">
        <w:r w:rsidRPr="00CD0B56">
          <w:rPr>
            <w:rStyle w:val="Hyperlink"/>
            <w:noProof/>
          </w:rPr>
          <w:t>2.1.1646</w:t>
        </w:r>
        <w:r>
          <w:rPr>
            <w:rFonts w:asciiTheme="minorHAnsi" w:eastAsiaTheme="minorEastAsia" w:hAnsiTheme="minorHAnsi" w:cstheme="minorBidi"/>
            <w:noProof/>
            <w:sz w:val="22"/>
            <w:szCs w:val="22"/>
          </w:rPr>
          <w:tab/>
        </w:r>
        <w:r w:rsidRPr="00CD0B56">
          <w:rPr>
            <w:rStyle w:val="Hyperlink"/>
            <w:noProof/>
          </w:rPr>
          <w:t>Part 1 Section 22.1.2.19, cGpRule (Matrix Column Gap Rule)</w:t>
        </w:r>
        <w:r>
          <w:rPr>
            <w:noProof/>
            <w:webHidden/>
          </w:rPr>
          <w:tab/>
        </w:r>
        <w:r>
          <w:rPr>
            <w:noProof/>
            <w:webHidden/>
          </w:rPr>
          <w:fldChar w:fldCharType="begin"/>
        </w:r>
        <w:r>
          <w:rPr>
            <w:noProof/>
            <w:webHidden/>
          </w:rPr>
          <w:instrText xml:space="preserve"> PAGEREF _Toc12261714 \h </w:instrText>
        </w:r>
        <w:r>
          <w:rPr>
            <w:noProof/>
            <w:webHidden/>
          </w:rPr>
        </w:r>
        <w:r>
          <w:rPr>
            <w:noProof/>
            <w:webHidden/>
          </w:rPr>
          <w:fldChar w:fldCharType="separate"/>
        </w:r>
        <w:r>
          <w:rPr>
            <w:noProof/>
            <w:webHidden/>
          </w:rPr>
          <w:t>592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15" w:history="1">
        <w:r w:rsidRPr="00CD0B56">
          <w:rPr>
            <w:rStyle w:val="Hyperlink"/>
            <w:noProof/>
          </w:rPr>
          <w:t>2.1.1647</w:t>
        </w:r>
        <w:r>
          <w:rPr>
            <w:rFonts w:asciiTheme="minorHAnsi" w:eastAsiaTheme="minorEastAsia" w:hAnsiTheme="minorHAnsi" w:cstheme="minorBidi"/>
            <w:noProof/>
            <w:sz w:val="22"/>
            <w:szCs w:val="22"/>
          </w:rPr>
          <w:tab/>
        </w:r>
        <w:r w:rsidRPr="00CD0B56">
          <w:rPr>
            <w:rStyle w:val="Hyperlink"/>
            <w:noProof/>
          </w:rPr>
          <w:t>Part 1 Section 22.1.2.21, count (Matrix Column Count)</w:t>
        </w:r>
        <w:r>
          <w:rPr>
            <w:noProof/>
            <w:webHidden/>
          </w:rPr>
          <w:tab/>
        </w:r>
        <w:r>
          <w:rPr>
            <w:noProof/>
            <w:webHidden/>
          </w:rPr>
          <w:fldChar w:fldCharType="begin"/>
        </w:r>
        <w:r>
          <w:rPr>
            <w:noProof/>
            <w:webHidden/>
          </w:rPr>
          <w:instrText xml:space="preserve"> PAGEREF _Toc12261715 \h </w:instrText>
        </w:r>
        <w:r>
          <w:rPr>
            <w:noProof/>
            <w:webHidden/>
          </w:rPr>
        </w:r>
        <w:r>
          <w:rPr>
            <w:noProof/>
            <w:webHidden/>
          </w:rPr>
          <w:fldChar w:fldCharType="separate"/>
        </w:r>
        <w:r>
          <w:rPr>
            <w:noProof/>
            <w:webHidden/>
          </w:rPr>
          <w:t>592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16" w:history="1">
        <w:r w:rsidRPr="00CD0B56">
          <w:rPr>
            <w:rStyle w:val="Hyperlink"/>
            <w:noProof/>
          </w:rPr>
          <w:t>2.1.1648</w:t>
        </w:r>
        <w:r>
          <w:rPr>
            <w:rFonts w:asciiTheme="minorHAnsi" w:eastAsiaTheme="minorEastAsia" w:hAnsiTheme="minorHAnsi" w:cstheme="minorBidi"/>
            <w:noProof/>
            <w:sz w:val="22"/>
            <w:szCs w:val="22"/>
          </w:rPr>
          <w:tab/>
        </w:r>
        <w:r w:rsidRPr="00CD0B56">
          <w:rPr>
            <w:rStyle w:val="Hyperlink"/>
            <w:noProof/>
          </w:rPr>
          <w:t>Part 1 Section 22.1.2.22, cSp (Minimum Matrix Column Width)</w:t>
        </w:r>
        <w:r>
          <w:rPr>
            <w:noProof/>
            <w:webHidden/>
          </w:rPr>
          <w:tab/>
        </w:r>
        <w:r>
          <w:rPr>
            <w:noProof/>
            <w:webHidden/>
          </w:rPr>
          <w:fldChar w:fldCharType="begin"/>
        </w:r>
        <w:r>
          <w:rPr>
            <w:noProof/>
            <w:webHidden/>
          </w:rPr>
          <w:instrText xml:space="preserve"> PAGEREF _Toc12261716 \h </w:instrText>
        </w:r>
        <w:r>
          <w:rPr>
            <w:noProof/>
            <w:webHidden/>
          </w:rPr>
        </w:r>
        <w:r>
          <w:rPr>
            <w:noProof/>
            <w:webHidden/>
          </w:rPr>
          <w:fldChar w:fldCharType="separate"/>
        </w:r>
        <w:r>
          <w:rPr>
            <w:noProof/>
            <w:webHidden/>
          </w:rPr>
          <w:t>592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17" w:history="1">
        <w:r w:rsidRPr="00CD0B56">
          <w:rPr>
            <w:rStyle w:val="Hyperlink"/>
            <w:noProof/>
          </w:rPr>
          <w:t>2.1.1649</w:t>
        </w:r>
        <w:r>
          <w:rPr>
            <w:rFonts w:asciiTheme="minorHAnsi" w:eastAsiaTheme="minorEastAsia" w:hAnsiTheme="minorHAnsi" w:cstheme="minorBidi"/>
            <w:noProof/>
            <w:sz w:val="22"/>
            <w:szCs w:val="22"/>
          </w:rPr>
          <w:tab/>
        </w:r>
        <w:r w:rsidRPr="00CD0B56">
          <w:rPr>
            <w:rStyle w:val="Hyperlink"/>
            <w:noProof/>
          </w:rPr>
          <w:t>Part 1 Section 22.1.2.23, ctrlPr (Control Properties)</w:t>
        </w:r>
        <w:r>
          <w:rPr>
            <w:noProof/>
            <w:webHidden/>
          </w:rPr>
          <w:tab/>
        </w:r>
        <w:r>
          <w:rPr>
            <w:noProof/>
            <w:webHidden/>
          </w:rPr>
          <w:fldChar w:fldCharType="begin"/>
        </w:r>
        <w:r>
          <w:rPr>
            <w:noProof/>
            <w:webHidden/>
          </w:rPr>
          <w:instrText xml:space="preserve"> PAGEREF _Toc12261717 \h </w:instrText>
        </w:r>
        <w:r>
          <w:rPr>
            <w:noProof/>
            <w:webHidden/>
          </w:rPr>
        </w:r>
        <w:r>
          <w:rPr>
            <w:noProof/>
            <w:webHidden/>
          </w:rPr>
          <w:fldChar w:fldCharType="separate"/>
        </w:r>
        <w:r>
          <w:rPr>
            <w:noProof/>
            <w:webHidden/>
          </w:rPr>
          <w:t>592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18" w:history="1">
        <w:r w:rsidRPr="00CD0B56">
          <w:rPr>
            <w:rStyle w:val="Hyperlink"/>
            <w:noProof/>
          </w:rPr>
          <w:t>2.1.1650</w:t>
        </w:r>
        <w:r>
          <w:rPr>
            <w:rFonts w:asciiTheme="minorHAnsi" w:eastAsiaTheme="minorEastAsia" w:hAnsiTheme="minorHAnsi" w:cstheme="minorBidi"/>
            <w:noProof/>
            <w:sz w:val="22"/>
            <w:szCs w:val="22"/>
          </w:rPr>
          <w:tab/>
        </w:r>
        <w:r w:rsidRPr="00CD0B56">
          <w:rPr>
            <w:rStyle w:val="Hyperlink"/>
            <w:noProof/>
          </w:rPr>
          <w:t>Part 1 Section 22.1.2.24, d (Delimiter Object)</w:t>
        </w:r>
        <w:r>
          <w:rPr>
            <w:noProof/>
            <w:webHidden/>
          </w:rPr>
          <w:tab/>
        </w:r>
        <w:r>
          <w:rPr>
            <w:noProof/>
            <w:webHidden/>
          </w:rPr>
          <w:fldChar w:fldCharType="begin"/>
        </w:r>
        <w:r>
          <w:rPr>
            <w:noProof/>
            <w:webHidden/>
          </w:rPr>
          <w:instrText xml:space="preserve"> PAGEREF _Toc12261718 \h </w:instrText>
        </w:r>
        <w:r>
          <w:rPr>
            <w:noProof/>
            <w:webHidden/>
          </w:rPr>
        </w:r>
        <w:r>
          <w:rPr>
            <w:noProof/>
            <w:webHidden/>
          </w:rPr>
          <w:fldChar w:fldCharType="separate"/>
        </w:r>
        <w:r>
          <w:rPr>
            <w:noProof/>
            <w:webHidden/>
          </w:rPr>
          <w:t>592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19" w:history="1">
        <w:r w:rsidRPr="00CD0B56">
          <w:rPr>
            <w:rStyle w:val="Hyperlink"/>
            <w:noProof/>
          </w:rPr>
          <w:t>2.1.1651</w:t>
        </w:r>
        <w:r>
          <w:rPr>
            <w:rFonts w:asciiTheme="minorHAnsi" w:eastAsiaTheme="minorEastAsia" w:hAnsiTheme="minorHAnsi" w:cstheme="minorBidi"/>
            <w:noProof/>
            <w:sz w:val="22"/>
            <w:szCs w:val="22"/>
          </w:rPr>
          <w:tab/>
        </w:r>
        <w:r w:rsidRPr="00CD0B56">
          <w:rPr>
            <w:rStyle w:val="Hyperlink"/>
            <w:noProof/>
          </w:rPr>
          <w:t>Part 1 Section 22.1.2.25, defJc (Default Justification)</w:t>
        </w:r>
        <w:r>
          <w:rPr>
            <w:noProof/>
            <w:webHidden/>
          </w:rPr>
          <w:tab/>
        </w:r>
        <w:r>
          <w:rPr>
            <w:noProof/>
            <w:webHidden/>
          </w:rPr>
          <w:fldChar w:fldCharType="begin"/>
        </w:r>
        <w:r>
          <w:rPr>
            <w:noProof/>
            <w:webHidden/>
          </w:rPr>
          <w:instrText xml:space="preserve"> PAGEREF _Toc12261719 \h </w:instrText>
        </w:r>
        <w:r>
          <w:rPr>
            <w:noProof/>
            <w:webHidden/>
          </w:rPr>
        </w:r>
        <w:r>
          <w:rPr>
            <w:noProof/>
            <w:webHidden/>
          </w:rPr>
          <w:fldChar w:fldCharType="separate"/>
        </w:r>
        <w:r>
          <w:rPr>
            <w:noProof/>
            <w:webHidden/>
          </w:rPr>
          <w:t>592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20" w:history="1">
        <w:r w:rsidRPr="00CD0B56">
          <w:rPr>
            <w:rStyle w:val="Hyperlink"/>
            <w:noProof/>
          </w:rPr>
          <w:t>2.1.1652</w:t>
        </w:r>
        <w:r>
          <w:rPr>
            <w:rFonts w:asciiTheme="minorHAnsi" w:eastAsiaTheme="minorEastAsia" w:hAnsiTheme="minorHAnsi" w:cstheme="minorBidi"/>
            <w:noProof/>
            <w:sz w:val="22"/>
            <w:szCs w:val="22"/>
          </w:rPr>
          <w:tab/>
        </w:r>
        <w:r w:rsidRPr="00CD0B56">
          <w:rPr>
            <w:rStyle w:val="Hyperlink"/>
            <w:noProof/>
          </w:rPr>
          <w:t>Part 1 Section 22.1.2.26, deg (Degree)</w:t>
        </w:r>
        <w:r>
          <w:rPr>
            <w:noProof/>
            <w:webHidden/>
          </w:rPr>
          <w:tab/>
        </w:r>
        <w:r>
          <w:rPr>
            <w:noProof/>
            <w:webHidden/>
          </w:rPr>
          <w:fldChar w:fldCharType="begin"/>
        </w:r>
        <w:r>
          <w:rPr>
            <w:noProof/>
            <w:webHidden/>
          </w:rPr>
          <w:instrText xml:space="preserve"> PAGEREF _Toc12261720 \h </w:instrText>
        </w:r>
        <w:r>
          <w:rPr>
            <w:noProof/>
            <w:webHidden/>
          </w:rPr>
        </w:r>
        <w:r>
          <w:rPr>
            <w:noProof/>
            <w:webHidden/>
          </w:rPr>
          <w:fldChar w:fldCharType="separate"/>
        </w:r>
        <w:r>
          <w:rPr>
            <w:noProof/>
            <w:webHidden/>
          </w:rPr>
          <w:t>593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21" w:history="1">
        <w:r w:rsidRPr="00CD0B56">
          <w:rPr>
            <w:rStyle w:val="Hyperlink"/>
            <w:noProof/>
          </w:rPr>
          <w:t>2.1.1653</w:t>
        </w:r>
        <w:r>
          <w:rPr>
            <w:rFonts w:asciiTheme="minorHAnsi" w:eastAsiaTheme="minorEastAsia" w:hAnsiTheme="minorHAnsi" w:cstheme="minorBidi"/>
            <w:noProof/>
            <w:sz w:val="22"/>
            <w:szCs w:val="22"/>
          </w:rPr>
          <w:tab/>
        </w:r>
        <w:r w:rsidRPr="00CD0B56">
          <w:rPr>
            <w:rStyle w:val="Hyperlink"/>
            <w:noProof/>
          </w:rPr>
          <w:t>Part 1 Section 22.1.2.27, degHide (Hide Degree)</w:t>
        </w:r>
        <w:r>
          <w:rPr>
            <w:noProof/>
            <w:webHidden/>
          </w:rPr>
          <w:tab/>
        </w:r>
        <w:r>
          <w:rPr>
            <w:noProof/>
            <w:webHidden/>
          </w:rPr>
          <w:fldChar w:fldCharType="begin"/>
        </w:r>
        <w:r>
          <w:rPr>
            <w:noProof/>
            <w:webHidden/>
          </w:rPr>
          <w:instrText xml:space="preserve"> PAGEREF _Toc12261721 \h </w:instrText>
        </w:r>
        <w:r>
          <w:rPr>
            <w:noProof/>
            <w:webHidden/>
          </w:rPr>
        </w:r>
        <w:r>
          <w:rPr>
            <w:noProof/>
            <w:webHidden/>
          </w:rPr>
          <w:fldChar w:fldCharType="separate"/>
        </w:r>
        <w:r>
          <w:rPr>
            <w:noProof/>
            <w:webHidden/>
          </w:rPr>
          <w:t>593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22" w:history="1">
        <w:r w:rsidRPr="00CD0B56">
          <w:rPr>
            <w:rStyle w:val="Hyperlink"/>
            <w:noProof/>
          </w:rPr>
          <w:t>2.1.1654</w:t>
        </w:r>
        <w:r>
          <w:rPr>
            <w:rFonts w:asciiTheme="minorHAnsi" w:eastAsiaTheme="minorEastAsia" w:hAnsiTheme="minorHAnsi" w:cstheme="minorBidi"/>
            <w:noProof/>
            <w:sz w:val="22"/>
            <w:szCs w:val="22"/>
          </w:rPr>
          <w:tab/>
        </w:r>
        <w:r w:rsidRPr="00CD0B56">
          <w:rPr>
            <w:rStyle w:val="Hyperlink"/>
            <w:noProof/>
          </w:rPr>
          <w:t>Part 1 Section 22.1.2.28, den (Denominator)</w:t>
        </w:r>
        <w:r>
          <w:rPr>
            <w:noProof/>
            <w:webHidden/>
          </w:rPr>
          <w:tab/>
        </w:r>
        <w:r>
          <w:rPr>
            <w:noProof/>
            <w:webHidden/>
          </w:rPr>
          <w:fldChar w:fldCharType="begin"/>
        </w:r>
        <w:r>
          <w:rPr>
            <w:noProof/>
            <w:webHidden/>
          </w:rPr>
          <w:instrText xml:space="preserve"> PAGEREF _Toc12261722 \h </w:instrText>
        </w:r>
        <w:r>
          <w:rPr>
            <w:noProof/>
            <w:webHidden/>
          </w:rPr>
        </w:r>
        <w:r>
          <w:rPr>
            <w:noProof/>
            <w:webHidden/>
          </w:rPr>
          <w:fldChar w:fldCharType="separate"/>
        </w:r>
        <w:r>
          <w:rPr>
            <w:noProof/>
            <w:webHidden/>
          </w:rPr>
          <w:t>593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23" w:history="1">
        <w:r w:rsidRPr="00CD0B56">
          <w:rPr>
            <w:rStyle w:val="Hyperlink"/>
            <w:noProof/>
          </w:rPr>
          <w:t>2.1.1655</w:t>
        </w:r>
        <w:r>
          <w:rPr>
            <w:rFonts w:asciiTheme="minorHAnsi" w:eastAsiaTheme="minorEastAsia" w:hAnsiTheme="minorHAnsi" w:cstheme="minorBidi"/>
            <w:noProof/>
            <w:sz w:val="22"/>
            <w:szCs w:val="22"/>
          </w:rPr>
          <w:tab/>
        </w:r>
        <w:r w:rsidRPr="00CD0B56">
          <w:rPr>
            <w:rStyle w:val="Hyperlink"/>
            <w:noProof/>
          </w:rPr>
          <w:t>Part 1 Section 22.1.2.30, dispDef (Use Display Math Defaults)</w:t>
        </w:r>
        <w:r>
          <w:rPr>
            <w:noProof/>
            <w:webHidden/>
          </w:rPr>
          <w:tab/>
        </w:r>
        <w:r>
          <w:rPr>
            <w:noProof/>
            <w:webHidden/>
          </w:rPr>
          <w:fldChar w:fldCharType="begin"/>
        </w:r>
        <w:r>
          <w:rPr>
            <w:noProof/>
            <w:webHidden/>
          </w:rPr>
          <w:instrText xml:space="preserve"> PAGEREF _Toc12261723 \h </w:instrText>
        </w:r>
        <w:r>
          <w:rPr>
            <w:noProof/>
            <w:webHidden/>
          </w:rPr>
        </w:r>
        <w:r>
          <w:rPr>
            <w:noProof/>
            <w:webHidden/>
          </w:rPr>
          <w:fldChar w:fldCharType="separate"/>
        </w:r>
        <w:r>
          <w:rPr>
            <w:noProof/>
            <w:webHidden/>
          </w:rPr>
          <w:t>593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24" w:history="1">
        <w:r w:rsidRPr="00CD0B56">
          <w:rPr>
            <w:rStyle w:val="Hyperlink"/>
            <w:noProof/>
          </w:rPr>
          <w:t>2.1.1656</w:t>
        </w:r>
        <w:r>
          <w:rPr>
            <w:rFonts w:asciiTheme="minorHAnsi" w:eastAsiaTheme="minorEastAsia" w:hAnsiTheme="minorHAnsi" w:cstheme="minorBidi"/>
            <w:noProof/>
            <w:sz w:val="22"/>
            <w:szCs w:val="22"/>
          </w:rPr>
          <w:tab/>
        </w:r>
        <w:r w:rsidRPr="00CD0B56">
          <w:rPr>
            <w:rStyle w:val="Hyperlink"/>
            <w:noProof/>
          </w:rPr>
          <w:t>Part 1 Section 22.1.2.32, e (Element (Argument))</w:t>
        </w:r>
        <w:r>
          <w:rPr>
            <w:noProof/>
            <w:webHidden/>
          </w:rPr>
          <w:tab/>
        </w:r>
        <w:r>
          <w:rPr>
            <w:noProof/>
            <w:webHidden/>
          </w:rPr>
          <w:fldChar w:fldCharType="begin"/>
        </w:r>
        <w:r>
          <w:rPr>
            <w:noProof/>
            <w:webHidden/>
          </w:rPr>
          <w:instrText xml:space="preserve"> PAGEREF _Toc12261724 \h </w:instrText>
        </w:r>
        <w:r>
          <w:rPr>
            <w:noProof/>
            <w:webHidden/>
          </w:rPr>
        </w:r>
        <w:r>
          <w:rPr>
            <w:noProof/>
            <w:webHidden/>
          </w:rPr>
          <w:fldChar w:fldCharType="separate"/>
        </w:r>
        <w:r>
          <w:rPr>
            <w:noProof/>
            <w:webHidden/>
          </w:rPr>
          <w:t>593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25" w:history="1">
        <w:r w:rsidRPr="00CD0B56">
          <w:rPr>
            <w:rStyle w:val="Hyperlink"/>
            <w:noProof/>
          </w:rPr>
          <w:t>2.1.1657</w:t>
        </w:r>
        <w:r>
          <w:rPr>
            <w:rFonts w:asciiTheme="minorHAnsi" w:eastAsiaTheme="minorEastAsia" w:hAnsiTheme="minorHAnsi" w:cstheme="minorBidi"/>
            <w:noProof/>
            <w:sz w:val="22"/>
            <w:szCs w:val="22"/>
          </w:rPr>
          <w:tab/>
        </w:r>
        <w:r w:rsidRPr="00CD0B56">
          <w:rPr>
            <w:rStyle w:val="Hyperlink"/>
            <w:noProof/>
          </w:rPr>
          <w:t>Part 1 Section 22.1.2.34, eqArr (Array Object)</w:t>
        </w:r>
        <w:r>
          <w:rPr>
            <w:noProof/>
            <w:webHidden/>
          </w:rPr>
          <w:tab/>
        </w:r>
        <w:r>
          <w:rPr>
            <w:noProof/>
            <w:webHidden/>
          </w:rPr>
          <w:fldChar w:fldCharType="begin"/>
        </w:r>
        <w:r>
          <w:rPr>
            <w:noProof/>
            <w:webHidden/>
          </w:rPr>
          <w:instrText xml:space="preserve"> PAGEREF _Toc12261725 \h </w:instrText>
        </w:r>
        <w:r>
          <w:rPr>
            <w:noProof/>
            <w:webHidden/>
          </w:rPr>
        </w:r>
        <w:r>
          <w:rPr>
            <w:noProof/>
            <w:webHidden/>
          </w:rPr>
          <w:fldChar w:fldCharType="separate"/>
        </w:r>
        <w:r>
          <w:rPr>
            <w:noProof/>
            <w:webHidden/>
          </w:rPr>
          <w:t>593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26" w:history="1">
        <w:r w:rsidRPr="00CD0B56">
          <w:rPr>
            <w:rStyle w:val="Hyperlink"/>
            <w:noProof/>
          </w:rPr>
          <w:t>2.1.1658</w:t>
        </w:r>
        <w:r>
          <w:rPr>
            <w:rFonts w:asciiTheme="minorHAnsi" w:eastAsiaTheme="minorEastAsia" w:hAnsiTheme="minorHAnsi" w:cstheme="minorBidi"/>
            <w:noProof/>
            <w:sz w:val="22"/>
            <w:szCs w:val="22"/>
          </w:rPr>
          <w:tab/>
        </w:r>
        <w:r w:rsidRPr="00CD0B56">
          <w:rPr>
            <w:rStyle w:val="Hyperlink"/>
            <w:noProof/>
          </w:rPr>
          <w:t>Part 1 Section 22.1.2.36, f (Fraction Object)</w:t>
        </w:r>
        <w:r>
          <w:rPr>
            <w:noProof/>
            <w:webHidden/>
          </w:rPr>
          <w:tab/>
        </w:r>
        <w:r>
          <w:rPr>
            <w:noProof/>
            <w:webHidden/>
          </w:rPr>
          <w:fldChar w:fldCharType="begin"/>
        </w:r>
        <w:r>
          <w:rPr>
            <w:noProof/>
            <w:webHidden/>
          </w:rPr>
          <w:instrText xml:space="preserve"> PAGEREF _Toc12261726 \h </w:instrText>
        </w:r>
        <w:r>
          <w:rPr>
            <w:noProof/>
            <w:webHidden/>
          </w:rPr>
        </w:r>
        <w:r>
          <w:rPr>
            <w:noProof/>
            <w:webHidden/>
          </w:rPr>
          <w:fldChar w:fldCharType="separate"/>
        </w:r>
        <w:r>
          <w:rPr>
            <w:noProof/>
            <w:webHidden/>
          </w:rPr>
          <w:t>593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27" w:history="1">
        <w:r w:rsidRPr="00CD0B56">
          <w:rPr>
            <w:rStyle w:val="Hyperlink"/>
            <w:noProof/>
          </w:rPr>
          <w:t>2.1.1659</w:t>
        </w:r>
        <w:r>
          <w:rPr>
            <w:rFonts w:asciiTheme="minorHAnsi" w:eastAsiaTheme="minorEastAsia" w:hAnsiTheme="minorHAnsi" w:cstheme="minorBidi"/>
            <w:noProof/>
            <w:sz w:val="22"/>
            <w:szCs w:val="22"/>
          </w:rPr>
          <w:tab/>
        </w:r>
        <w:r w:rsidRPr="00CD0B56">
          <w:rPr>
            <w:rStyle w:val="Hyperlink"/>
            <w:noProof/>
          </w:rPr>
          <w:t>Part 1 Section 22.1.2.37, fName (Function Name)</w:t>
        </w:r>
        <w:r>
          <w:rPr>
            <w:noProof/>
            <w:webHidden/>
          </w:rPr>
          <w:tab/>
        </w:r>
        <w:r>
          <w:rPr>
            <w:noProof/>
            <w:webHidden/>
          </w:rPr>
          <w:fldChar w:fldCharType="begin"/>
        </w:r>
        <w:r>
          <w:rPr>
            <w:noProof/>
            <w:webHidden/>
          </w:rPr>
          <w:instrText xml:space="preserve"> PAGEREF _Toc12261727 \h </w:instrText>
        </w:r>
        <w:r>
          <w:rPr>
            <w:noProof/>
            <w:webHidden/>
          </w:rPr>
        </w:r>
        <w:r>
          <w:rPr>
            <w:noProof/>
            <w:webHidden/>
          </w:rPr>
          <w:fldChar w:fldCharType="separate"/>
        </w:r>
        <w:r>
          <w:rPr>
            <w:noProof/>
            <w:webHidden/>
          </w:rPr>
          <w:t>593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28" w:history="1">
        <w:r w:rsidRPr="00CD0B56">
          <w:rPr>
            <w:rStyle w:val="Hyperlink"/>
            <w:noProof/>
          </w:rPr>
          <w:t>2.1.1660</w:t>
        </w:r>
        <w:r>
          <w:rPr>
            <w:rFonts w:asciiTheme="minorHAnsi" w:eastAsiaTheme="minorEastAsia" w:hAnsiTheme="minorHAnsi" w:cstheme="minorBidi"/>
            <w:noProof/>
            <w:sz w:val="22"/>
            <w:szCs w:val="22"/>
          </w:rPr>
          <w:tab/>
        </w:r>
        <w:r w:rsidRPr="00CD0B56">
          <w:rPr>
            <w:rStyle w:val="Hyperlink"/>
            <w:noProof/>
          </w:rPr>
          <w:t>Part 1 Section 22.1.2.39, func (Function Apply Object)</w:t>
        </w:r>
        <w:r>
          <w:rPr>
            <w:noProof/>
            <w:webHidden/>
          </w:rPr>
          <w:tab/>
        </w:r>
        <w:r>
          <w:rPr>
            <w:noProof/>
            <w:webHidden/>
          </w:rPr>
          <w:fldChar w:fldCharType="begin"/>
        </w:r>
        <w:r>
          <w:rPr>
            <w:noProof/>
            <w:webHidden/>
          </w:rPr>
          <w:instrText xml:space="preserve"> PAGEREF _Toc12261728 \h </w:instrText>
        </w:r>
        <w:r>
          <w:rPr>
            <w:noProof/>
            <w:webHidden/>
          </w:rPr>
        </w:r>
        <w:r>
          <w:rPr>
            <w:noProof/>
            <w:webHidden/>
          </w:rPr>
          <w:fldChar w:fldCharType="separate"/>
        </w:r>
        <w:r>
          <w:rPr>
            <w:noProof/>
            <w:webHidden/>
          </w:rPr>
          <w:t>593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29" w:history="1">
        <w:r w:rsidRPr="00CD0B56">
          <w:rPr>
            <w:rStyle w:val="Hyperlink"/>
            <w:noProof/>
          </w:rPr>
          <w:t>2.1.1661</w:t>
        </w:r>
        <w:r>
          <w:rPr>
            <w:rFonts w:asciiTheme="minorHAnsi" w:eastAsiaTheme="minorEastAsia" w:hAnsiTheme="minorHAnsi" w:cstheme="minorBidi"/>
            <w:noProof/>
            <w:sz w:val="22"/>
            <w:szCs w:val="22"/>
          </w:rPr>
          <w:tab/>
        </w:r>
        <w:r w:rsidRPr="00CD0B56">
          <w:rPr>
            <w:rStyle w:val="Hyperlink"/>
            <w:noProof/>
          </w:rPr>
          <w:t>Part 1 Section 22.1.2.41, groupChr (Group-Character Object)</w:t>
        </w:r>
        <w:r>
          <w:rPr>
            <w:noProof/>
            <w:webHidden/>
          </w:rPr>
          <w:tab/>
        </w:r>
        <w:r>
          <w:rPr>
            <w:noProof/>
            <w:webHidden/>
          </w:rPr>
          <w:fldChar w:fldCharType="begin"/>
        </w:r>
        <w:r>
          <w:rPr>
            <w:noProof/>
            <w:webHidden/>
          </w:rPr>
          <w:instrText xml:space="preserve"> PAGEREF _Toc12261729 \h </w:instrText>
        </w:r>
        <w:r>
          <w:rPr>
            <w:noProof/>
            <w:webHidden/>
          </w:rPr>
        </w:r>
        <w:r>
          <w:rPr>
            <w:noProof/>
            <w:webHidden/>
          </w:rPr>
          <w:fldChar w:fldCharType="separate"/>
        </w:r>
        <w:r>
          <w:rPr>
            <w:noProof/>
            <w:webHidden/>
          </w:rPr>
          <w:t>594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30" w:history="1">
        <w:r w:rsidRPr="00CD0B56">
          <w:rPr>
            <w:rStyle w:val="Hyperlink"/>
            <w:noProof/>
          </w:rPr>
          <w:t>2.1.1662</w:t>
        </w:r>
        <w:r>
          <w:rPr>
            <w:rFonts w:asciiTheme="minorHAnsi" w:eastAsiaTheme="minorEastAsia" w:hAnsiTheme="minorHAnsi" w:cstheme="minorBidi"/>
            <w:noProof/>
            <w:sz w:val="22"/>
            <w:szCs w:val="22"/>
          </w:rPr>
          <w:tab/>
        </w:r>
        <w:r w:rsidRPr="00CD0B56">
          <w:rPr>
            <w:rStyle w:val="Hyperlink"/>
            <w:noProof/>
          </w:rPr>
          <w:t>Part 1 Section 22.1.2.43, grow (n-ary Grow)</w:t>
        </w:r>
        <w:r>
          <w:rPr>
            <w:noProof/>
            <w:webHidden/>
          </w:rPr>
          <w:tab/>
        </w:r>
        <w:r>
          <w:rPr>
            <w:noProof/>
            <w:webHidden/>
          </w:rPr>
          <w:fldChar w:fldCharType="begin"/>
        </w:r>
        <w:r>
          <w:rPr>
            <w:noProof/>
            <w:webHidden/>
          </w:rPr>
          <w:instrText xml:space="preserve"> PAGEREF _Toc12261730 \h </w:instrText>
        </w:r>
        <w:r>
          <w:rPr>
            <w:noProof/>
            <w:webHidden/>
          </w:rPr>
        </w:r>
        <w:r>
          <w:rPr>
            <w:noProof/>
            <w:webHidden/>
          </w:rPr>
          <w:fldChar w:fldCharType="separate"/>
        </w:r>
        <w:r>
          <w:rPr>
            <w:noProof/>
            <w:webHidden/>
          </w:rPr>
          <w:t>594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31" w:history="1">
        <w:r w:rsidRPr="00CD0B56">
          <w:rPr>
            <w:rStyle w:val="Hyperlink"/>
            <w:noProof/>
          </w:rPr>
          <w:t>2.1.1663</w:t>
        </w:r>
        <w:r>
          <w:rPr>
            <w:rFonts w:asciiTheme="minorHAnsi" w:eastAsiaTheme="minorEastAsia" w:hAnsiTheme="minorHAnsi" w:cstheme="minorBidi"/>
            <w:noProof/>
            <w:sz w:val="22"/>
            <w:szCs w:val="22"/>
          </w:rPr>
          <w:tab/>
        </w:r>
        <w:r w:rsidRPr="00CD0B56">
          <w:rPr>
            <w:rStyle w:val="Hyperlink"/>
            <w:noProof/>
          </w:rPr>
          <w:t>Part 1 Section 22.1.2.48, interSp (Inter-Equation Spacing)</w:t>
        </w:r>
        <w:r>
          <w:rPr>
            <w:noProof/>
            <w:webHidden/>
          </w:rPr>
          <w:tab/>
        </w:r>
        <w:r>
          <w:rPr>
            <w:noProof/>
            <w:webHidden/>
          </w:rPr>
          <w:fldChar w:fldCharType="begin"/>
        </w:r>
        <w:r>
          <w:rPr>
            <w:noProof/>
            <w:webHidden/>
          </w:rPr>
          <w:instrText xml:space="preserve"> PAGEREF _Toc12261731 \h </w:instrText>
        </w:r>
        <w:r>
          <w:rPr>
            <w:noProof/>
            <w:webHidden/>
          </w:rPr>
        </w:r>
        <w:r>
          <w:rPr>
            <w:noProof/>
            <w:webHidden/>
          </w:rPr>
          <w:fldChar w:fldCharType="separate"/>
        </w:r>
        <w:r>
          <w:rPr>
            <w:noProof/>
            <w:webHidden/>
          </w:rPr>
          <w:t>594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32" w:history="1">
        <w:r w:rsidRPr="00CD0B56">
          <w:rPr>
            <w:rStyle w:val="Hyperlink"/>
            <w:noProof/>
          </w:rPr>
          <w:t>2.1.1664</w:t>
        </w:r>
        <w:r>
          <w:rPr>
            <w:rFonts w:asciiTheme="minorHAnsi" w:eastAsiaTheme="minorEastAsia" w:hAnsiTheme="minorHAnsi" w:cstheme="minorBidi"/>
            <w:noProof/>
            <w:sz w:val="22"/>
            <w:szCs w:val="22"/>
          </w:rPr>
          <w:tab/>
        </w:r>
        <w:r w:rsidRPr="00CD0B56">
          <w:rPr>
            <w:rStyle w:val="Hyperlink"/>
            <w:noProof/>
          </w:rPr>
          <w:t>Part 1 Section 22.1.2.49, intLim (Integral Limit Locations)</w:t>
        </w:r>
        <w:r>
          <w:rPr>
            <w:noProof/>
            <w:webHidden/>
          </w:rPr>
          <w:tab/>
        </w:r>
        <w:r>
          <w:rPr>
            <w:noProof/>
            <w:webHidden/>
          </w:rPr>
          <w:fldChar w:fldCharType="begin"/>
        </w:r>
        <w:r>
          <w:rPr>
            <w:noProof/>
            <w:webHidden/>
          </w:rPr>
          <w:instrText xml:space="preserve"> PAGEREF _Toc12261732 \h </w:instrText>
        </w:r>
        <w:r>
          <w:rPr>
            <w:noProof/>
            <w:webHidden/>
          </w:rPr>
        </w:r>
        <w:r>
          <w:rPr>
            <w:noProof/>
            <w:webHidden/>
          </w:rPr>
          <w:fldChar w:fldCharType="separate"/>
        </w:r>
        <w:r>
          <w:rPr>
            <w:noProof/>
            <w:webHidden/>
          </w:rPr>
          <w:t>594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33" w:history="1">
        <w:r w:rsidRPr="00CD0B56">
          <w:rPr>
            <w:rStyle w:val="Hyperlink"/>
            <w:noProof/>
          </w:rPr>
          <w:t>2.1.1665</w:t>
        </w:r>
        <w:r>
          <w:rPr>
            <w:rFonts w:asciiTheme="minorHAnsi" w:eastAsiaTheme="minorEastAsia" w:hAnsiTheme="minorHAnsi" w:cstheme="minorBidi"/>
            <w:noProof/>
            <w:sz w:val="22"/>
            <w:szCs w:val="22"/>
          </w:rPr>
          <w:tab/>
        </w:r>
        <w:r w:rsidRPr="00CD0B56">
          <w:rPr>
            <w:rStyle w:val="Hyperlink"/>
            <w:noProof/>
          </w:rPr>
          <w:t>Part 1 Section 22.1.2.50, intraSp (Intra-Equation Spacing)</w:t>
        </w:r>
        <w:r>
          <w:rPr>
            <w:noProof/>
            <w:webHidden/>
          </w:rPr>
          <w:tab/>
        </w:r>
        <w:r>
          <w:rPr>
            <w:noProof/>
            <w:webHidden/>
          </w:rPr>
          <w:fldChar w:fldCharType="begin"/>
        </w:r>
        <w:r>
          <w:rPr>
            <w:noProof/>
            <w:webHidden/>
          </w:rPr>
          <w:instrText xml:space="preserve"> PAGEREF _Toc12261733 \h </w:instrText>
        </w:r>
        <w:r>
          <w:rPr>
            <w:noProof/>
            <w:webHidden/>
          </w:rPr>
        </w:r>
        <w:r>
          <w:rPr>
            <w:noProof/>
            <w:webHidden/>
          </w:rPr>
          <w:fldChar w:fldCharType="separate"/>
        </w:r>
        <w:r>
          <w:rPr>
            <w:noProof/>
            <w:webHidden/>
          </w:rPr>
          <w:t>594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34" w:history="1">
        <w:r w:rsidRPr="00CD0B56">
          <w:rPr>
            <w:rStyle w:val="Hyperlink"/>
            <w:noProof/>
          </w:rPr>
          <w:t>2.1.1666</w:t>
        </w:r>
        <w:r>
          <w:rPr>
            <w:rFonts w:asciiTheme="minorHAnsi" w:eastAsiaTheme="minorEastAsia" w:hAnsiTheme="minorHAnsi" w:cstheme="minorBidi"/>
            <w:noProof/>
            <w:sz w:val="22"/>
            <w:szCs w:val="22"/>
          </w:rPr>
          <w:tab/>
        </w:r>
        <w:r w:rsidRPr="00CD0B56">
          <w:rPr>
            <w:rStyle w:val="Hyperlink"/>
            <w:noProof/>
          </w:rPr>
          <w:t>Part 1 Section 22.1.2.51, jc (Justification)</w:t>
        </w:r>
        <w:r>
          <w:rPr>
            <w:noProof/>
            <w:webHidden/>
          </w:rPr>
          <w:tab/>
        </w:r>
        <w:r>
          <w:rPr>
            <w:noProof/>
            <w:webHidden/>
          </w:rPr>
          <w:fldChar w:fldCharType="begin"/>
        </w:r>
        <w:r>
          <w:rPr>
            <w:noProof/>
            <w:webHidden/>
          </w:rPr>
          <w:instrText xml:space="preserve"> PAGEREF _Toc12261734 \h </w:instrText>
        </w:r>
        <w:r>
          <w:rPr>
            <w:noProof/>
            <w:webHidden/>
          </w:rPr>
        </w:r>
        <w:r>
          <w:rPr>
            <w:noProof/>
            <w:webHidden/>
          </w:rPr>
          <w:fldChar w:fldCharType="separate"/>
        </w:r>
        <w:r>
          <w:rPr>
            <w:noProof/>
            <w:webHidden/>
          </w:rPr>
          <w:t>594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35" w:history="1">
        <w:r w:rsidRPr="00CD0B56">
          <w:rPr>
            <w:rStyle w:val="Hyperlink"/>
            <w:noProof/>
          </w:rPr>
          <w:t>2.1.1667</w:t>
        </w:r>
        <w:r>
          <w:rPr>
            <w:rFonts w:asciiTheme="minorHAnsi" w:eastAsiaTheme="minorEastAsia" w:hAnsiTheme="minorHAnsi" w:cstheme="minorBidi"/>
            <w:noProof/>
            <w:sz w:val="22"/>
            <w:szCs w:val="22"/>
          </w:rPr>
          <w:tab/>
        </w:r>
        <w:r w:rsidRPr="00CD0B56">
          <w:rPr>
            <w:rStyle w:val="Hyperlink"/>
            <w:noProof/>
          </w:rPr>
          <w:t>Part 1 Section 22.1.2.52, lim (Limit)</w:t>
        </w:r>
        <w:r>
          <w:rPr>
            <w:noProof/>
            <w:webHidden/>
          </w:rPr>
          <w:tab/>
        </w:r>
        <w:r>
          <w:rPr>
            <w:noProof/>
            <w:webHidden/>
          </w:rPr>
          <w:fldChar w:fldCharType="begin"/>
        </w:r>
        <w:r>
          <w:rPr>
            <w:noProof/>
            <w:webHidden/>
          </w:rPr>
          <w:instrText xml:space="preserve"> PAGEREF _Toc12261735 \h </w:instrText>
        </w:r>
        <w:r>
          <w:rPr>
            <w:noProof/>
            <w:webHidden/>
          </w:rPr>
        </w:r>
        <w:r>
          <w:rPr>
            <w:noProof/>
            <w:webHidden/>
          </w:rPr>
          <w:fldChar w:fldCharType="separate"/>
        </w:r>
        <w:r>
          <w:rPr>
            <w:noProof/>
            <w:webHidden/>
          </w:rPr>
          <w:t>594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36" w:history="1">
        <w:r w:rsidRPr="00CD0B56">
          <w:rPr>
            <w:rStyle w:val="Hyperlink"/>
            <w:noProof/>
          </w:rPr>
          <w:t>2.1.1668</w:t>
        </w:r>
        <w:r>
          <w:rPr>
            <w:rFonts w:asciiTheme="minorHAnsi" w:eastAsiaTheme="minorEastAsia" w:hAnsiTheme="minorHAnsi" w:cstheme="minorBidi"/>
            <w:noProof/>
            <w:sz w:val="22"/>
            <w:szCs w:val="22"/>
          </w:rPr>
          <w:tab/>
        </w:r>
        <w:r w:rsidRPr="00CD0B56">
          <w:rPr>
            <w:rStyle w:val="Hyperlink"/>
            <w:noProof/>
          </w:rPr>
          <w:t>Part 1 Section 22.1.2.54, limLow (Lower-Limit Object)</w:t>
        </w:r>
        <w:r>
          <w:rPr>
            <w:noProof/>
            <w:webHidden/>
          </w:rPr>
          <w:tab/>
        </w:r>
        <w:r>
          <w:rPr>
            <w:noProof/>
            <w:webHidden/>
          </w:rPr>
          <w:fldChar w:fldCharType="begin"/>
        </w:r>
        <w:r>
          <w:rPr>
            <w:noProof/>
            <w:webHidden/>
          </w:rPr>
          <w:instrText xml:space="preserve"> PAGEREF _Toc12261736 \h </w:instrText>
        </w:r>
        <w:r>
          <w:rPr>
            <w:noProof/>
            <w:webHidden/>
          </w:rPr>
        </w:r>
        <w:r>
          <w:rPr>
            <w:noProof/>
            <w:webHidden/>
          </w:rPr>
          <w:fldChar w:fldCharType="separate"/>
        </w:r>
        <w:r>
          <w:rPr>
            <w:noProof/>
            <w:webHidden/>
          </w:rPr>
          <w:t>595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37" w:history="1">
        <w:r w:rsidRPr="00CD0B56">
          <w:rPr>
            <w:rStyle w:val="Hyperlink"/>
            <w:noProof/>
          </w:rPr>
          <w:t>2.1.1669</w:t>
        </w:r>
        <w:r>
          <w:rPr>
            <w:rFonts w:asciiTheme="minorHAnsi" w:eastAsiaTheme="minorEastAsia" w:hAnsiTheme="minorHAnsi" w:cstheme="minorBidi"/>
            <w:noProof/>
            <w:sz w:val="22"/>
            <w:szCs w:val="22"/>
          </w:rPr>
          <w:tab/>
        </w:r>
        <w:r w:rsidRPr="00CD0B56">
          <w:rPr>
            <w:rStyle w:val="Hyperlink"/>
            <w:noProof/>
          </w:rPr>
          <w:t>Part 1 Section 22.1.2.56, limUpp (Upper-Limit Object)</w:t>
        </w:r>
        <w:r>
          <w:rPr>
            <w:noProof/>
            <w:webHidden/>
          </w:rPr>
          <w:tab/>
        </w:r>
        <w:r>
          <w:rPr>
            <w:noProof/>
            <w:webHidden/>
          </w:rPr>
          <w:fldChar w:fldCharType="begin"/>
        </w:r>
        <w:r>
          <w:rPr>
            <w:noProof/>
            <w:webHidden/>
          </w:rPr>
          <w:instrText xml:space="preserve"> PAGEREF _Toc12261737 \h </w:instrText>
        </w:r>
        <w:r>
          <w:rPr>
            <w:noProof/>
            <w:webHidden/>
          </w:rPr>
        </w:r>
        <w:r>
          <w:rPr>
            <w:noProof/>
            <w:webHidden/>
          </w:rPr>
          <w:fldChar w:fldCharType="separate"/>
        </w:r>
        <w:r>
          <w:rPr>
            <w:noProof/>
            <w:webHidden/>
          </w:rPr>
          <w:t>595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38" w:history="1">
        <w:r w:rsidRPr="00CD0B56">
          <w:rPr>
            <w:rStyle w:val="Hyperlink"/>
            <w:noProof/>
          </w:rPr>
          <w:t>2.1.1670</w:t>
        </w:r>
        <w:r>
          <w:rPr>
            <w:rFonts w:asciiTheme="minorHAnsi" w:eastAsiaTheme="minorEastAsia" w:hAnsiTheme="minorHAnsi" w:cstheme="minorBidi"/>
            <w:noProof/>
            <w:sz w:val="22"/>
            <w:szCs w:val="22"/>
          </w:rPr>
          <w:tab/>
        </w:r>
        <w:r w:rsidRPr="00CD0B56">
          <w:rPr>
            <w:rStyle w:val="Hyperlink"/>
            <w:noProof/>
          </w:rPr>
          <w:t>Part 1 Section 22.1.2.60, m (Matrix Object)</w:t>
        </w:r>
        <w:r>
          <w:rPr>
            <w:noProof/>
            <w:webHidden/>
          </w:rPr>
          <w:tab/>
        </w:r>
        <w:r>
          <w:rPr>
            <w:noProof/>
            <w:webHidden/>
          </w:rPr>
          <w:fldChar w:fldCharType="begin"/>
        </w:r>
        <w:r>
          <w:rPr>
            <w:noProof/>
            <w:webHidden/>
          </w:rPr>
          <w:instrText xml:space="preserve"> PAGEREF _Toc12261738 \h </w:instrText>
        </w:r>
        <w:r>
          <w:rPr>
            <w:noProof/>
            <w:webHidden/>
          </w:rPr>
        </w:r>
        <w:r>
          <w:rPr>
            <w:noProof/>
            <w:webHidden/>
          </w:rPr>
          <w:fldChar w:fldCharType="separate"/>
        </w:r>
        <w:r>
          <w:rPr>
            <w:noProof/>
            <w:webHidden/>
          </w:rPr>
          <w:t>595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39" w:history="1">
        <w:r w:rsidRPr="00CD0B56">
          <w:rPr>
            <w:rStyle w:val="Hyperlink"/>
            <w:noProof/>
          </w:rPr>
          <w:t>2.1.1671</w:t>
        </w:r>
        <w:r>
          <w:rPr>
            <w:rFonts w:asciiTheme="minorHAnsi" w:eastAsiaTheme="minorEastAsia" w:hAnsiTheme="minorHAnsi" w:cstheme="minorBidi"/>
            <w:noProof/>
            <w:sz w:val="22"/>
            <w:szCs w:val="22"/>
          </w:rPr>
          <w:tab/>
        </w:r>
        <w:r w:rsidRPr="00CD0B56">
          <w:rPr>
            <w:rStyle w:val="Hyperlink"/>
            <w:noProof/>
          </w:rPr>
          <w:t>Part 1 Section 22.1.2.61, mathFont (Math Font)</w:t>
        </w:r>
        <w:r>
          <w:rPr>
            <w:noProof/>
            <w:webHidden/>
          </w:rPr>
          <w:tab/>
        </w:r>
        <w:r>
          <w:rPr>
            <w:noProof/>
            <w:webHidden/>
          </w:rPr>
          <w:fldChar w:fldCharType="begin"/>
        </w:r>
        <w:r>
          <w:rPr>
            <w:noProof/>
            <w:webHidden/>
          </w:rPr>
          <w:instrText xml:space="preserve"> PAGEREF _Toc12261739 \h </w:instrText>
        </w:r>
        <w:r>
          <w:rPr>
            <w:noProof/>
            <w:webHidden/>
          </w:rPr>
        </w:r>
        <w:r>
          <w:rPr>
            <w:noProof/>
            <w:webHidden/>
          </w:rPr>
          <w:fldChar w:fldCharType="separate"/>
        </w:r>
        <w:r>
          <w:rPr>
            <w:noProof/>
            <w:webHidden/>
          </w:rPr>
          <w:t>595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40" w:history="1">
        <w:r w:rsidRPr="00CD0B56">
          <w:rPr>
            <w:rStyle w:val="Hyperlink"/>
            <w:noProof/>
          </w:rPr>
          <w:t>2.1.1672</w:t>
        </w:r>
        <w:r>
          <w:rPr>
            <w:rFonts w:asciiTheme="minorHAnsi" w:eastAsiaTheme="minorEastAsia" w:hAnsiTheme="minorHAnsi" w:cstheme="minorBidi"/>
            <w:noProof/>
            <w:sz w:val="22"/>
            <w:szCs w:val="22"/>
          </w:rPr>
          <w:tab/>
        </w:r>
        <w:r w:rsidRPr="00CD0B56">
          <w:rPr>
            <w:rStyle w:val="Hyperlink"/>
            <w:noProof/>
          </w:rPr>
          <w:t>Part 1 Section 22.1.2.63, maxDist (Maximum Distribution)</w:t>
        </w:r>
        <w:r>
          <w:rPr>
            <w:noProof/>
            <w:webHidden/>
          </w:rPr>
          <w:tab/>
        </w:r>
        <w:r>
          <w:rPr>
            <w:noProof/>
            <w:webHidden/>
          </w:rPr>
          <w:fldChar w:fldCharType="begin"/>
        </w:r>
        <w:r>
          <w:rPr>
            <w:noProof/>
            <w:webHidden/>
          </w:rPr>
          <w:instrText xml:space="preserve"> PAGEREF _Toc12261740 \h </w:instrText>
        </w:r>
        <w:r>
          <w:rPr>
            <w:noProof/>
            <w:webHidden/>
          </w:rPr>
        </w:r>
        <w:r>
          <w:rPr>
            <w:noProof/>
            <w:webHidden/>
          </w:rPr>
          <w:fldChar w:fldCharType="separate"/>
        </w:r>
        <w:r>
          <w:rPr>
            <w:noProof/>
            <w:webHidden/>
          </w:rPr>
          <w:t>595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41" w:history="1">
        <w:r w:rsidRPr="00CD0B56">
          <w:rPr>
            <w:rStyle w:val="Hyperlink"/>
            <w:noProof/>
          </w:rPr>
          <w:t>2.1.1673</w:t>
        </w:r>
        <w:r>
          <w:rPr>
            <w:rFonts w:asciiTheme="minorHAnsi" w:eastAsiaTheme="minorEastAsia" w:hAnsiTheme="minorHAnsi" w:cstheme="minorBidi"/>
            <w:noProof/>
            <w:sz w:val="22"/>
            <w:szCs w:val="22"/>
          </w:rPr>
          <w:tab/>
        </w:r>
        <w:r w:rsidRPr="00CD0B56">
          <w:rPr>
            <w:rStyle w:val="Hyperlink"/>
            <w:noProof/>
          </w:rPr>
          <w:t>Part 1 Section 22.1.2.64, mc (Matrix Column)</w:t>
        </w:r>
        <w:r>
          <w:rPr>
            <w:noProof/>
            <w:webHidden/>
          </w:rPr>
          <w:tab/>
        </w:r>
        <w:r>
          <w:rPr>
            <w:noProof/>
            <w:webHidden/>
          </w:rPr>
          <w:fldChar w:fldCharType="begin"/>
        </w:r>
        <w:r>
          <w:rPr>
            <w:noProof/>
            <w:webHidden/>
          </w:rPr>
          <w:instrText xml:space="preserve"> PAGEREF _Toc12261741 \h </w:instrText>
        </w:r>
        <w:r>
          <w:rPr>
            <w:noProof/>
            <w:webHidden/>
          </w:rPr>
        </w:r>
        <w:r>
          <w:rPr>
            <w:noProof/>
            <w:webHidden/>
          </w:rPr>
          <w:fldChar w:fldCharType="separate"/>
        </w:r>
        <w:r>
          <w:rPr>
            <w:noProof/>
            <w:webHidden/>
          </w:rPr>
          <w:t>595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42" w:history="1">
        <w:r w:rsidRPr="00CD0B56">
          <w:rPr>
            <w:rStyle w:val="Hyperlink"/>
            <w:noProof/>
          </w:rPr>
          <w:t>2.1.1674</w:t>
        </w:r>
        <w:r>
          <w:rPr>
            <w:rFonts w:asciiTheme="minorHAnsi" w:eastAsiaTheme="minorEastAsia" w:hAnsiTheme="minorHAnsi" w:cstheme="minorBidi"/>
            <w:noProof/>
            <w:sz w:val="22"/>
            <w:szCs w:val="22"/>
          </w:rPr>
          <w:tab/>
        </w:r>
        <w:r w:rsidRPr="00CD0B56">
          <w:rPr>
            <w:rStyle w:val="Hyperlink"/>
            <w:noProof/>
          </w:rPr>
          <w:t>Part 1 Section 22.1.2.67, mcs (Matrix Columns)</w:t>
        </w:r>
        <w:r>
          <w:rPr>
            <w:noProof/>
            <w:webHidden/>
          </w:rPr>
          <w:tab/>
        </w:r>
        <w:r>
          <w:rPr>
            <w:noProof/>
            <w:webHidden/>
          </w:rPr>
          <w:fldChar w:fldCharType="begin"/>
        </w:r>
        <w:r>
          <w:rPr>
            <w:noProof/>
            <w:webHidden/>
          </w:rPr>
          <w:instrText xml:space="preserve"> PAGEREF _Toc12261742 \h </w:instrText>
        </w:r>
        <w:r>
          <w:rPr>
            <w:noProof/>
            <w:webHidden/>
          </w:rPr>
        </w:r>
        <w:r>
          <w:rPr>
            <w:noProof/>
            <w:webHidden/>
          </w:rPr>
          <w:fldChar w:fldCharType="separate"/>
        </w:r>
        <w:r>
          <w:rPr>
            <w:noProof/>
            <w:webHidden/>
          </w:rPr>
          <w:t>595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43" w:history="1">
        <w:r w:rsidRPr="00CD0B56">
          <w:rPr>
            <w:rStyle w:val="Hyperlink"/>
            <w:noProof/>
          </w:rPr>
          <w:t>2.1.1675</w:t>
        </w:r>
        <w:r>
          <w:rPr>
            <w:rFonts w:asciiTheme="minorHAnsi" w:eastAsiaTheme="minorEastAsia" w:hAnsiTheme="minorHAnsi" w:cstheme="minorBidi"/>
            <w:noProof/>
            <w:sz w:val="22"/>
            <w:szCs w:val="22"/>
          </w:rPr>
          <w:tab/>
        </w:r>
        <w:r w:rsidRPr="00CD0B56">
          <w:rPr>
            <w:rStyle w:val="Hyperlink"/>
            <w:noProof/>
          </w:rPr>
          <w:t>Part 1 Section 22.1.2.69, mr (Matrix Row)</w:t>
        </w:r>
        <w:r>
          <w:rPr>
            <w:noProof/>
            <w:webHidden/>
          </w:rPr>
          <w:tab/>
        </w:r>
        <w:r>
          <w:rPr>
            <w:noProof/>
            <w:webHidden/>
          </w:rPr>
          <w:fldChar w:fldCharType="begin"/>
        </w:r>
        <w:r>
          <w:rPr>
            <w:noProof/>
            <w:webHidden/>
          </w:rPr>
          <w:instrText xml:space="preserve"> PAGEREF _Toc12261743 \h </w:instrText>
        </w:r>
        <w:r>
          <w:rPr>
            <w:noProof/>
            <w:webHidden/>
          </w:rPr>
        </w:r>
        <w:r>
          <w:rPr>
            <w:noProof/>
            <w:webHidden/>
          </w:rPr>
          <w:fldChar w:fldCharType="separate"/>
        </w:r>
        <w:r>
          <w:rPr>
            <w:noProof/>
            <w:webHidden/>
          </w:rPr>
          <w:t>596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44" w:history="1">
        <w:r w:rsidRPr="00CD0B56">
          <w:rPr>
            <w:rStyle w:val="Hyperlink"/>
            <w:noProof/>
          </w:rPr>
          <w:t>2.1.1676</w:t>
        </w:r>
        <w:r>
          <w:rPr>
            <w:rFonts w:asciiTheme="minorHAnsi" w:eastAsiaTheme="minorEastAsia" w:hAnsiTheme="minorHAnsi" w:cstheme="minorBidi"/>
            <w:noProof/>
            <w:sz w:val="22"/>
            <w:szCs w:val="22"/>
          </w:rPr>
          <w:tab/>
        </w:r>
        <w:r w:rsidRPr="00CD0B56">
          <w:rPr>
            <w:rStyle w:val="Hyperlink"/>
            <w:noProof/>
          </w:rPr>
          <w:t>Part 1 Section 22.1.2.70, nary (n-ary Operator Object)</w:t>
        </w:r>
        <w:r>
          <w:rPr>
            <w:noProof/>
            <w:webHidden/>
          </w:rPr>
          <w:tab/>
        </w:r>
        <w:r>
          <w:rPr>
            <w:noProof/>
            <w:webHidden/>
          </w:rPr>
          <w:fldChar w:fldCharType="begin"/>
        </w:r>
        <w:r>
          <w:rPr>
            <w:noProof/>
            <w:webHidden/>
          </w:rPr>
          <w:instrText xml:space="preserve"> PAGEREF _Toc12261744 \h </w:instrText>
        </w:r>
        <w:r>
          <w:rPr>
            <w:noProof/>
            <w:webHidden/>
          </w:rPr>
        </w:r>
        <w:r>
          <w:rPr>
            <w:noProof/>
            <w:webHidden/>
          </w:rPr>
          <w:fldChar w:fldCharType="separate"/>
        </w:r>
        <w:r>
          <w:rPr>
            <w:noProof/>
            <w:webHidden/>
          </w:rPr>
          <w:t>596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45" w:history="1">
        <w:r w:rsidRPr="00CD0B56">
          <w:rPr>
            <w:rStyle w:val="Hyperlink"/>
            <w:noProof/>
          </w:rPr>
          <w:t>2.1.1677</w:t>
        </w:r>
        <w:r>
          <w:rPr>
            <w:rFonts w:asciiTheme="minorHAnsi" w:eastAsiaTheme="minorEastAsia" w:hAnsiTheme="minorHAnsi" w:cstheme="minorBidi"/>
            <w:noProof/>
            <w:sz w:val="22"/>
            <w:szCs w:val="22"/>
          </w:rPr>
          <w:tab/>
        </w:r>
        <w:r w:rsidRPr="00CD0B56">
          <w:rPr>
            <w:rStyle w:val="Hyperlink"/>
            <w:noProof/>
          </w:rPr>
          <w:t>Part 1 Section 22.1.2.71, naryLim (n-ary Limit Location)</w:t>
        </w:r>
        <w:r>
          <w:rPr>
            <w:noProof/>
            <w:webHidden/>
          </w:rPr>
          <w:tab/>
        </w:r>
        <w:r>
          <w:rPr>
            <w:noProof/>
            <w:webHidden/>
          </w:rPr>
          <w:fldChar w:fldCharType="begin"/>
        </w:r>
        <w:r>
          <w:rPr>
            <w:noProof/>
            <w:webHidden/>
          </w:rPr>
          <w:instrText xml:space="preserve"> PAGEREF _Toc12261745 \h </w:instrText>
        </w:r>
        <w:r>
          <w:rPr>
            <w:noProof/>
            <w:webHidden/>
          </w:rPr>
        </w:r>
        <w:r>
          <w:rPr>
            <w:noProof/>
            <w:webHidden/>
          </w:rPr>
          <w:fldChar w:fldCharType="separate"/>
        </w:r>
        <w:r>
          <w:rPr>
            <w:noProof/>
            <w:webHidden/>
          </w:rPr>
          <w:t>596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46" w:history="1">
        <w:r w:rsidRPr="00CD0B56">
          <w:rPr>
            <w:rStyle w:val="Hyperlink"/>
            <w:noProof/>
          </w:rPr>
          <w:t>2.1.1678</w:t>
        </w:r>
        <w:r>
          <w:rPr>
            <w:rFonts w:asciiTheme="minorHAnsi" w:eastAsiaTheme="minorEastAsia" w:hAnsiTheme="minorHAnsi" w:cstheme="minorBidi"/>
            <w:noProof/>
            <w:sz w:val="22"/>
            <w:szCs w:val="22"/>
          </w:rPr>
          <w:tab/>
        </w:r>
        <w:r w:rsidRPr="00CD0B56">
          <w:rPr>
            <w:rStyle w:val="Hyperlink"/>
            <w:noProof/>
          </w:rPr>
          <w:t>Part 1 Section 22.1.2.73, noBreak (No Break)</w:t>
        </w:r>
        <w:r>
          <w:rPr>
            <w:noProof/>
            <w:webHidden/>
          </w:rPr>
          <w:tab/>
        </w:r>
        <w:r>
          <w:rPr>
            <w:noProof/>
            <w:webHidden/>
          </w:rPr>
          <w:fldChar w:fldCharType="begin"/>
        </w:r>
        <w:r>
          <w:rPr>
            <w:noProof/>
            <w:webHidden/>
          </w:rPr>
          <w:instrText xml:space="preserve"> PAGEREF _Toc12261746 \h </w:instrText>
        </w:r>
        <w:r>
          <w:rPr>
            <w:noProof/>
            <w:webHidden/>
          </w:rPr>
        </w:r>
        <w:r>
          <w:rPr>
            <w:noProof/>
            <w:webHidden/>
          </w:rPr>
          <w:fldChar w:fldCharType="separate"/>
        </w:r>
        <w:r>
          <w:rPr>
            <w:noProof/>
            <w:webHidden/>
          </w:rPr>
          <w:t>596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47" w:history="1">
        <w:r w:rsidRPr="00CD0B56">
          <w:rPr>
            <w:rStyle w:val="Hyperlink"/>
            <w:noProof/>
          </w:rPr>
          <w:t>2.1.1679</w:t>
        </w:r>
        <w:r>
          <w:rPr>
            <w:rFonts w:asciiTheme="minorHAnsi" w:eastAsiaTheme="minorEastAsia" w:hAnsiTheme="minorHAnsi" w:cstheme="minorBidi"/>
            <w:noProof/>
            <w:sz w:val="22"/>
            <w:szCs w:val="22"/>
          </w:rPr>
          <w:tab/>
        </w:r>
        <w:r w:rsidRPr="00CD0B56">
          <w:rPr>
            <w:rStyle w:val="Hyperlink"/>
            <w:noProof/>
          </w:rPr>
          <w:t>Part 1 Section 22.1.2.75, num (Numerator)</w:t>
        </w:r>
        <w:r>
          <w:rPr>
            <w:noProof/>
            <w:webHidden/>
          </w:rPr>
          <w:tab/>
        </w:r>
        <w:r>
          <w:rPr>
            <w:noProof/>
            <w:webHidden/>
          </w:rPr>
          <w:fldChar w:fldCharType="begin"/>
        </w:r>
        <w:r>
          <w:rPr>
            <w:noProof/>
            <w:webHidden/>
          </w:rPr>
          <w:instrText xml:space="preserve"> PAGEREF _Toc12261747 \h </w:instrText>
        </w:r>
        <w:r>
          <w:rPr>
            <w:noProof/>
            <w:webHidden/>
          </w:rPr>
        </w:r>
        <w:r>
          <w:rPr>
            <w:noProof/>
            <w:webHidden/>
          </w:rPr>
          <w:fldChar w:fldCharType="separate"/>
        </w:r>
        <w:r>
          <w:rPr>
            <w:noProof/>
            <w:webHidden/>
          </w:rPr>
          <w:t>596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48" w:history="1">
        <w:r w:rsidRPr="00CD0B56">
          <w:rPr>
            <w:rStyle w:val="Hyperlink"/>
            <w:noProof/>
          </w:rPr>
          <w:t>2.1.1680</w:t>
        </w:r>
        <w:r>
          <w:rPr>
            <w:rFonts w:asciiTheme="minorHAnsi" w:eastAsiaTheme="minorEastAsia" w:hAnsiTheme="minorHAnsi" w:cstheme="minorBidi"/>
            <w:noProof/>
            <w:sz w:val="22"/>
            <w:szCs w:val="22"/>
          </w:rPr>
          <w:tab/>
        </w:r>
        <w:r w:rsidRPr="00CD0B56">
          <w:rPr>
            <w:rStyle w:val="Hyperlink"/>
            <w:noProof/>
          </w:rPr>
          <w:t>Part 1 Section 22.1.2.76, objDist (Object Distribution)</w:t>
        </w:r>
        <w:r>
          <w:rPr>
            <w:noProof/>
            <w:webHidden/>
          </w:rPr>
          <w:tab/>
        </w:r>
        <w:r>
          <w:rPr>
            <w:noProof/>
            <w:webHidden/>
          </w:rPr>
          <w:fldChar w:fldCharType="begin"/>
        </w:r>
        <w:r>
          <w:rPr>
            <w:noProof/>
            <w:webHidden/>
          </w:rPr>
          <w:instrText xml:space="preserve"> PAGEREF _Toc12261748 \h </w:instrText>
        </w:r>
        <w:r>
          <w:rPr>
            <w:noProof/>
            <w:webHidden/>
          </w:rPr>
        </w:r>
        <w:r>
          <w:rPr>
            <w:noProof/>
            <w:webHidden/>
          </w:rPr>
          <w:fldChar w:fldCharType="separate"/>
        </w:r>
        <w:r>
          <w:rPr>
            <w:noProof/>
            <w:webHidden/>
          </w:rPr>
          <w:t>596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49" w:history="1">
        <w:r w:rsidRPr="00CD0B56">
          <w:rPr>
            <w:rStyle w:val="Hyperlink"/>
            <w:noProof/>
          </w:rPr>
          <w:t>2.1.1681</w:t>
        </w:r>
        <w:r>
          <w:rPr>
            <w:rFonts w:asciiTheme="minorHAnsi" w:eastAsiaTheme="minorEastAsia" w:hAnsiTheme="minorHAnsi" w:cstheme="minorBidi"/>
            <w:noProof/>
            <w:sz w:val="22"/>
            <w:szCs w:val="22"/>
          </w:rPr>
          <w:tab/>
        </w:r>
        <w:r w:rsidRPr="00CD0B56">
          <w:rPr>
            <w:rStyle w:val="Hyperlink"/>
            <w:noProof/>
          </w:rPr>
          <w:t>Part 1 Section 22.1.2.77, oMath (Office Math)</w:t>
        </w:r>
        <w:r>
          <w:rPr>
            <w:noProof/>
            <w:webHidden/>
          </w:rPr>
          <w:tab/>
        </w:r>
        <w:r>
          <w:rPr>
            <w:noProof/>
            <w:webHidden/>
          </w:rPr>
          <w:fldChar w:fldCharType="begin"/>
        </w:r>
        <w:r>
          <w:rPr>
            <w:noProof/>
            <w:webHidden/>
          </w:rPr>
          <w:instrText xml:space="preserve"> PAGEREF _Toc12261749 \h </w:instrText>
        </w:r>
        <w:r>
          <w:rPr>
            <w:noProof/>
            <w:webHidden/>
          </w:rPr>
        </w:r>
        <w:r>
          <w:rPr>
            <w:noProof/>
            <w:webHidden/>
          </w:rPr>
          <w:fldChar w:fldCharType="separate"/>
        </w:r>
        <w:r>
          <w:rPr>
            <w:noProof/>
            <w:webHidden/>
          </w:rPr>
          <w:t>596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50" w:history="1">
        <w:r w:rsidRPr="00CD0B56">
          <w:rPr>
            <w:rStyle w:val="Hyperlink"/>
            <w:noProof/>
          </w:rPr>
          <w:t>2.1.1682</w:t>
        </w:r>
        <w:r>
          <w:rPr>
            <w:rFonts w:asciiTheme="minorHAnsi" w:eastAsiaTheme="minorEastAsia" w:hAnsiTheme="minorHAnsi" w:cstheme="minorBidi"/>
            <w:noProof/>
            <w:sz w:val="22"/>
            <w:szCs w:val="22"/>
          </w:rPr>
          <w:tab/>
        </w:r>
        <w:r w:rsidRPr="00CD0B56">
          <w:rPr>
            <w:rStyle w:val="Hyperlink"/>
            <w:noProof/>
          </w:rPr>
          <w:t>Part 1 Section 22.1.2.78, oMathPara (Office Math Paragraph)</w:t>
        </w:r>
        <w:r>
          <w:rPr>
            <w:noProof/>
            <w:webHidden/>
          </w:rPr>
          <w:tab/>
        </w:r>
        <w:r>
          <w:rPr>
            <w:noProof/>
            <w:webHidden/>
          </w:rPr>
          <w:fldChar w:fldCharType="begin"/>
        </w:r>
        <w:r>
          <w:rPr>
            <w:noProof/>
            <w:webHidden/>
          </w:rPr>
          <w:instrText xml:space="preserve"> PAGEREF _Toc12261750 \h </w:instrText>
        </w:r>
        <w:r>
          <w:rPr>
            <w:noProof/>
            <w:webHidden/>
          </w:rPr>
        </w:r>
        <w:r>
          <w:rPr>
            <w:noProof/>
            <w:webHidden/>
          </w:rPr>
          <w:fldChar w:fldCharType="separate"/>
        </w:r>
        <w:r>
          <w:rPr>
            <w:noProof/>
            <w:webHidden/>
          </w:rPr>
          <w:t>597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51" w:history="1">
        <w:r w:rsidRPr="00CD0B56">
          <w:rPr>
            <w:rStyle w:val="Hyperlink"/>
            <w:noProof/>
          </w:rPr>
          <w:t>2.1.1683</w:t>
        </w:r>
        <w:r>
          <w:rPr>
            <w:rFonts w:asciiTheme="minorHAnsi" w:eastAsiaTheme="minorEastAsia" w:hAnsiTheme="minorHAnsi" w:cstheme="minorBidi"/>
            <w:noProof/>
            <w:sz w:val="22"/>
            <w:szCs w:val="22"/>
          </w:rPr>
          <w:tab/>
        </w:r>
        <w:r w:rsidRPr="00CD0B56">
          <w:rPr>
            <w:rStyle w:val="Hyperlink"/>
            <w:noProof/>
          </w:rPr>
          <w:t>Part 1 Section 22.1.2.80, opEmu (Operator Emulator)</w:t>
        </w:r>
        <w:r>
          <w:rPr>
            <w:noProof/>
            <w:webHidden/>
          </w:rPr>
          <w:tab/>
        </w:r>
        <w:r>
          <w:rPr>
            <w:noProof/>
            <w:webHidden/>
          </w:rPr>
          <w:fldChar w:fldCharType="begin"/>
        </w:r>
        <w:r>
          <w:rPr>
            <w:noProof/>
            <w:webHidden/>
          </w:rPr>
          <w:instrText xml:space="preserve"> PAGEREF _Toc12261751 \h </w:instrText>
        </w:r>
        <w:r>
          <w:rPr>
            <w:noProof/>
            <w:webHidden/>
          </w:rPr>
        </w:r>
        <w:r>
          <w:rPr>
            <w:noProof/>
            <w:webHidden/>
          </w:rPr>
          <w:fldChar w:fldCharType="separate"/>
        </w:r>
        <w:r>
          <w:rPr>
            <w:noProof/>
            <w:webHidden/>
          </w:rPr>
          <w:t>597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52" w:history="1">
        <w:r w:rsidRPr="00CD0B56">
          <w:rPr>
            <w:rStyle w:val="Hyperlink"/>
            <w:noProof/>
          </w:rPr>
          <w:t>2.1.1684</w:t>
        </w:r>
        <w:r>
          <w:rPr>
            <w:rFonts w:asciiTheme="minorHAnsi" w:eastAsiaTheme="minorEastAsia" w:hAnsiTheme="minorHAnsi" w:cstheme="minorBidi"/>
            <w:noProof/>
            <w:sz w:val="22"/>
            <w:szCs w:val="22"/>
          </w:rPr>
          <w:tab/>
        </w:r>
        <w:r w:rsidRPr="00CD0B56">
          <w:rPr>
            <w:rStyle w:val="Hyperlink"/>
            <w:noProof/>
          </w:rPr>
          <w:t>Part 1 Section 22.1.2.81, phant (Phantom Object)</w:t>
        </w:r>
        <w:r>
          <w:rPr>
            <w:noProof/>
            <w:webHidden/>
          </w:rPr>
          <w:tab/>
        </w:r>
        <w:r>
          <w:rPr>
            <w:noProof/>
            <w:webHidden/>
          </w:rPr>
          <w:fldChar w:fldCharType="begin"/>
        </w:r>
        <w:r>
          <w:rPr>
            <w:noProof/>
            <w:webHidden/>
          </w:rPr>
          <w:instrText xml:space="preserve"> PAGEREF _Toc12261752 \h </w:instrText>
        </w:r>
        <w:r>
          <w:rPr>
            <w:noProof/>
            <w:webHidden/>
          </w:rPr>
        </w:r>
        <w:r>
          <w:rPr>
            <w:noProof/>
            <w:webHidden/>
          </w:rPr>
          <w:fldChar w:fldCharType="separate"/>
        </w:r>
        <w:r>
          <w:rPr>
            <w:noProof/>
            <w:webHidden/>
          </w:rPr>
          <w:t>597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53" w:history="1">
        <w:r w:rsidRPr="00CD0B56">
          <w:rPr>
            <w:rStyle w:val="Hyperlink"/>
            <w:noProof/>
          </w:rPr>
          <w:t>2.1.1685</w:t>
        </w:r>
        <w:r>
          <w:rPr>
            <w:rFonts w:asciiTheme="minorHAnsi" w:eastAsiaTheme="minorEastAsia" w:hAnsiTheme="minorHAnsi" w:cstheme="minorBidi"/>
            <w:noProof/>
            <w:sz w:val="22"/>
            <w:szCs w:val="22"/>
          </w:rPr>
          <w:tab/>
        </w:r>
        <w:r w:rsidRPr="00CD0B56">
          <w:rPr>
            <w:rStyle w:val="Hyperlink"/>
            <w:noProof/>
          </w:rPr>
          <w:t>Part 1 Section 22.1.2.84, pos (Position)</w:t>
        </w:r>
        <w:r>
          <w:rPr>
            <w:noProof/>
            <w:webHidden/>
          </w:rPr>
          <w:tab/>
        </w:r>
        <w:r>
          <w:rPr>
            <w:noProof/>
            <w:webHidden/>
          </w:rPr>
          <w:fldChar w:fldCharType="begin"/>
        </w:r>
        <w:r>
          <w:rPr>
            <w:noProof/>
            <w:webHidden/>
          </w:rPr>
          <w:instrText xml:space="preserve"> PAGEREF _Toc12261753 \h </w:instrText>
        </w:r>
        <w:r>
          <w:rPr>
            <w:noProof/>
            <w:webHidden/>
          </w:rPr>
        </w:r>
        <w:r>
          <w:rPr>
            <w:noProof/>
            <w:webHidden/>
          </w:rPr>
          <w:fldChar w:fldCharType="separate"/>
        </w:r>
        <w:r>
          <w:rPr>
            <w:noProof/>
            <w:webHidden/>
          </w:rPr>
          <w:t>597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54" w:history="1">
        <w:r w:rsidRPr="00CD0B56">
          <w:rPr>
            <w:rStyle w:val="Hyperlink"/>
            <w:noProof/>
          </w:rPr>
          <w:t>2.1.1686</w:t>
        </w:r>
        <w:r>
          <w:rPr>
            <w:rFonts w:asciiTheme="minorHAnsi" w:eastAsiaTheme="minorEastAsia" w:hAnsiTheme="minorHAnsi" w:cstheme="minorBidi"/>
            <w:noProof/>
            <w:sz w:val="22"/>
            <w:szCs w:val="22"/>
          </w:rPr>
          <w:tab/>
        </w:r>
        <w:r w:rsidRPr="00CD0B56">
          <w:rPr>
            <w:rStyle w:val="Hyperlink"/>
            <w:noProof/>
          </w:rPr>
          <w:t>Part 1 Section 22.1.2.85, postSp (Post-Paragraph Spacing)</w:t>
        </w:r>
        <w:r>
          <w:rPr>
            <w:noProof/>
            <w:webHidden/>
          </w:rPr>
          <w:tab/>
        </w:r>
        <w:r>
          <w:rPr>
            <w:noProof/>
            <w:webHidden/>
          </w:rPr>
          <w:fldChar w:fldCharType="begin"/>
        </w:r>
        <w:r>
          <w:rPr>
            <w:noProof/>
            <w:webHidden/>
          </w:rPr>
          <w:instrText xml:space="preserve"> PAGEREF _Toc12261754 \h </w:instrText>
        </w:r>
        <w:r>
          <w:rPr>
            <w:noProof/>
            <w:webHidden/>
          </w:rPr>
        </w:r>
        <w:r>
          <w:rPr>
            <w:noProof/>
            <w:webHidden/>
          </w:rPr>
          <w:fldChar w:fldCharType="separate"/>
        </w:r>
        <w:r>
          <w:rPr>
            <w:noProof/>
            <w:webHidden/>
          </w:rPr>
          <w:t>598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55" w:history="1">
        <w:r w:rsidRPr="00CD0B56">
          <w:rPr>
            <w:rStyle w:val="Hyperlink"/>
            <w:noProof/>
          </w:rPr>
          <w:t>2.1.1687</w:t>
        </w:r>
        <w:r>
          <w:rPr>
            <w:rFonts w:asciiTheme="minorHAnsi" w:eastAsiaTheme="minorEastAsia" w:hAnsiTheme="minorHAnsi" w:cstheme="minorBidi"/>
            <w:noProof/>
            <w:sz w:val="22"/>
            <w:szCs w:val="22"/>
          </w:rPr>
          <w:tab/>
        </w:r>
        <w:r w:rsidRPr="00CD0B56">
          <w:rPr>
            <w:rStyle w:val="Hyperlink"/>
            <w:noProof/>
          </w:rPr>
          <w:t>Part 1 Section 22.1.2.86, preSp (Pre-Paragraph Spacing)</w:t>
        </w:r>
        <w:r>
          <w:rPr>
            <w:noProof/>
            <w:webHidden/>
          </w:rPr>
          <w:tab/>
        </w:r>
        <w:r>
          <w:rPr>
            <w:noProof/>
            <w:webHidden/>
          </w:rPr>
          <w:fldChar w:fldCharType="begin"/>
        </w:r>
        <w:r>
          <w:rPr>
            <w:noProof/>
            <w:webHidden/>
          </w:rPr>
          <w:instrText xml:space="preserve"> PAGEREF _Toc12261755 \h </w:instrText>
        </w:r>
        <w:r>
          <w:rPr>
            <w:noProof/>
            <w:webHidden/>
          </w:rPr>
        </w:r>
        <w:r>
          <w:rPr>
            <w:noProof/>
            <w:webHidden/>
          </w:rPr>
          <w:fldChar w:fldCharType="separate"/>
        </w:r>
        <w:r>
          <w:rPr>
            <w:noProof/>
            <w:webHidden/>
          </w:rPr>
          <w:t>598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56" w:history="1">
        <w:r w:rsidRPr="00CD0B56">
          <w:rPr>
            <w:rStyle w:val="Hyperlink"/>
            <w:noProof/>
          </w:rPr>
          <w:t>2.1.1688</w:t>
        </w:r>
        <w:r>
          <w:rPr>
            <w:rFonts w:asciiTheme="minorHAnsi" w:eastAsiaTheme="minorEastAsia" w:hAnsiTheme="minorHAnsi" w:cstheme="minorBidi"/>
            <w:noProof/>
            <w:sz w:val="22"/>
            <w:szCs w:val="22"/>
          </w:rPr>
          <w:tab/>
        </w:r>
        <w:r w:rsidRPr="00CD0B56">
          <w:rPr>
            <w:rStyle w:val="Hyperlink"/>
            <w:noProof/>
          </w:rPr>
          <w:t>Part 1 Section 22.1.2.87, r (Run)</w:t>
        </w:r>
        <w:r>
          <w:rPr>
            <w:noProof/>
            <w:webHidden/>
          </w:rPr>
          <w:tab/>
        </w:r>
        <w:r>
          <w:rPr>
            <w:noProof/>
            <w:webHidden/>
          </w:rPr>
          <w:fldChar w:fldCharType="begin"/>
        </w:r>
        <w:r>
          <w:rPr>
            <w:noProof/>
            <w:webHidden/>
          </w:rPr>
          <w:instrText xml:space="preserve"> PAGEREF _Toc12261756 \h </w:instrText>
        </w:r>
        <w:r>
          <w:rPr>
            <w:noProof/>
            <w:webHidden/>
          </w:rPr>
        </w:r>
        <w:r>
          <w:rPr>
            <w:noProof/>
            <w:webHidden/>
          </w:rPr>
          <w:fldChar w:fldCharType="separate"/>
        </w:r>
        <w:r>
          <w:rPr>
            <w:noProof/>
            <w:webHidden/>
          </w:rPr>
          <w:t>598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57" w:history="1">
        <w:r w:rsidRPr="00CD0B56">
          <w:rPr>
            <w:rStyle w:val="Hyperlink"/>
            <w:noProof/>
          </w:rPr>
          <w:t>2.1.1689</w:t>
        </w:r>
        <w:r>
          <w:rPr>
            <w:rFonts w:asciiTheme="minorHAnsi" w:eastAsiaTheme="minorEastAsia" w:hAnsiTheme="minorHAnsi" w:cstheme="minorBidi"/>
            <w:noProof/>
            <w:sz w:val="22"/>
            <w:szCs w:val="22"/>
          </w:rPr>
          <w:tab/>
        </w:r>
        <w:r w:rsidRPr="00CD0B56">
          <w:rPr>
            <w:rStyle w:val="Hyperlink"/>
            <w:noProof/>
          </w:rPr>
          <w:t>Part 1 Section 22.1.2.88, rad (Radical Object)</w:t>
        </w:r>
        <w:r>
          <w:rPr>
            <w:noProof/>
            <w:webHidden/>
          </w:rPr>
          <w:tab/>
        </w:r>
        <w:r>
          <w:rPr>
            <w:noProof/>
            <w:webHidden/>
          </w:rPr>
          <w:fldChar w:fldCharType="begin"/>
        </w:r>
        <w:r>
          <w:rPr>
            <w:noProof/>
            <w:webHidden/>
          </w:rPr>
          <w:instrText xml:space="preserve"> PAGEREF _Toc12261757 \h </w:instrText>
        </w:r>
        <w:r>
          <w:rPr>
            <w:noProof/>
            <w:webHidden/>
          </w:rPr>
        </w:r>
        <w:r>
          <w:rPr>
            <w:noProof/>
            <w:webHidden/>
          </w:rPr>
          <w:fldChar w:fldCharType="separate"/>
        </w:r>
        <w:r>
          <w:rPr>
            <w:noProof/>
            <w:webHidden/>
          </w:rPr>
          <w:t>598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58" w:history="1">
        <w:r w:rsidRPr="00CD0B56">
          <w:rPr>
            <w:rStyle w:val="Hyperlink"/>
            <w:noProof/>
          </w:rPr>
          <w:t>2.1.1690</w:t>
        </w:r>
        <w:r>
          <w:rPr>
            <w:rFonts w:asciiTheme="minorHAnsi" w:eastAsiaTheme="minorEastAsia" w:hAnsiTheme="minorHAnsi" w:cstheme="minorBidi"/>
            <w:noProof/>
            <w:sz w:val="22"/>
            <w:szCs w:val="22"/>
          </w:rPr>
          <w:tab/>
        </w:r>
        <w:r w:rsidRPr="00CD0B56">
          <w:rPr>
            <w:rStyle w:val="Hyperlink"/>
            <w:noProof/>
          </w:rPr>
          <w:t>Part 1 Section 22.1.2.92, rSp (Row Spacing (Array))</w:t>
        </w:r>
        <w:r>
          <w:rPr>
            <w:noProof/>
            <w:webHidden/>
          </w:rPr>
          <w:tab/>
        </w:r>
        <w:r>
          <w:rPr>
            <w:noProof/>
            <w:webHidden/>
          </w:rPr>
          <w:fldChar w:fldCharType="begin"/>
        </w:r>
        <w:r>
          <w:rPr>
            <w:noProof/>
            <w:webHidden/>
          </w:rPr>
          <w:instrText xml:space="preserve"> PAGEREF _Toc12261758 \h </w:instrText>
        </w:r>
        <w:r>
          <w:rPr>
            <w:noProof/>
            <w:webHidden/>
          </w:rPr>
        </w:r>
        <w:r>
          <w:rPr>
            <w:noProof/>
            <w:webHidden/>
          </w:rPr>
          <w:fldChar w:fldCharType="separate"/>
        </w:r>
        <w:r>
          <w:rPr>
            <w:noProof/>
            <w:webHidden/>
          </w:rPr>
          <w:t>598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59" w:history="1">
        <w:r w:rsidRPr="00CD0B56">
          <w:rPr>
            <w:rStyle w:val="Hyperlink"/>
            <w:noProof/>
          </w:rPr>
          <w:t>2.1.1691</w:t>
        </w:r>
        <w:r>
          <w:rPr>
            <w:rFonts w:asciiTheme="minorHAnsi" w:eastAsiaTheme="minorEastAsia" w:hAnsiTheme="minorHAnsi" w:cstheme="minorBidi"/>
            <w:noProof/>
            <w:sz w:val="22"/>
            <w:szCs w:val="22"/>
          </w:rPr>
          <w:tab/>
        </w:r>
        <w:r w:rsidRPr="00CD0B56">
          <w:rPr>
            <w:rStyle w:val="Hyperlink"/>
            <w:noProof/>
          </w:rPr>
          <w:t>Part 1 Section 22.1.2.93, rSpRule (Row Spacing Rule)</w:t>
        </w:r>
        <w:r>
          <w:rPr>
            <w:noProof/>
            <w:webHidden/>
          </w:rPr>
          <w:tab/>
        </w:r>
        <w:r>
          <w:rPr>
            <w:noProof/>
            <w:webHidden/>
          </w:rPr>
          <w:fldChar w:fldCharType="begin"/>
        </w:r>
        <w:r>
          <w:rPr>
            <w:noProof/>
            <w:webHidden/>
          </w:rPr>
          <w:instrText xml:space="preserve"> PAGEREF _Toc12261759 \h </w:instrText>
        </w:r>
        <w:r>
          <w:rPr>
            <w:noProof/>
            <w:webHidden/>
          </w:rPr>
        </w:r>
        <w:r>
          <w:rPr>
            <w:noProof/>
            <w:webHidden/>
          </w:rPr>
          <w:fldChar w:fldCharType="separate"/>
        </w:r>
        <w:r>
          <w:rPr>
            <w:noProof/>
            <w:webHidden/>
          </w:rPr>
          <w:t>599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60" w:history="1">
        <w:r w:rsidRPr="00CD0B56">
          <w:rPr>
            <w:rStyle w:val="Hyperlink"/>
            <w:noProof/>
          </w:rPr>
          <w:t>2.1.1692</w:t>
        </w:r>
        <w:r>
          <w:rPr>
            <w:rFonts w:asciiTheme="minorHAnsi" w:eastAsiaTheme="minorEastAsia" w:hAnsiTheme="minorHAnsi" w:cstheme="minorBidi"/>
            <w:noProof/>
            <w:sz w:val="22"/>
            <w:szCs w:val="22"/>
          </w:rPr>
          <w:tab/>
        </w:r>
        <w:r w:rsidRPr="00CD0B56">
          <w:rPr>
            <w:rStyle w:val="Hyperlink"/>
            <w:noProof/>
          </w:rPr>
          <w:t>Part 1 Section 22.1.2.94, scr (Script)</w:t>
        </w:r>
        <w:r>
          <w:rPr>
            <w:noProof/>
            <w:webHidden/>
          </w:rPr>
          <w:tab/>
        </w:r>
        <w:r>
          <w:rPr>
            <w:noProof/>
            <w:webHidden/>
          </w:rPr>
          <w:fldChar w:fldCharType="begin"/>
        </w:r>
        <w:r>
          <w:rPr>
            <w:noProof/>
            <w:webHidden/>
          </w:rPr>
          <w:instrText xml:space="preserve"> PAGEREF _Toc12261760 \h </w:instrText>
        </w:r>
        <w:r>
          <w:rPr>
            <w:noProof/>
            <w:webHidden/>
          </w:rPr>
        </w:r>
        <w:r>
          <w:rPr>
            <w:noProof/>
            <w:webHidden/>
          </w:rPr>
          <w:fldChar w:fldCharType="separate"/>
        </w:r>
        <w:r>
          <w:rPr>
            <w:noProof/>
            <w:webHidden/>
          </w:rPr>
          <w:t>599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61" w:history="1">
        <w:r w:rsidRPr="00CD0B56">
          <w:rPr>
            <w:rStyle w:val="Hyperlink"/>
            <w:noProof/>
          </w:rPr>
          <w:t>2.1.1693</w:t>
        </w:r>
        <w:r>
          <w:rPr>
            <w:rFonts w:asciiTheme="minorHAnsi" w:eastAsiaTheme="minorEastAsia" w:hAnsiTheme="minorHAnsi" w:cstheme="minorBidi"/>
            <w:noProof/>
            <w:sz w:val="22"/>
            <w:szCs w:val="22"/>
          </w:rPr>
          <w:tab/>
        </w:r>
        <w:r w:rsidRPr="00CD0B56">
          <w:rPr>
            <w:rStyle w:val="Hyperlink"/>
            <w:noProof/>
          </w:rPr>
          <w:t>Part 1 Section 22.1.2.97, shp (Shape (Delimiters))</w:t>
        </w:r>
        <w:r>
          <w:rPr>
            <w:noProof/>
            <w:webHidden/>
          </w:rPr>
          <w:tab/>
        </w:r>
        <w:r>
          <w:rPr>
            <w:noProof/>
            <w:webHidden/>
          </w:rPr>
          <w:fldChar w:fldCharType="begin"/>
        </w:r>
        <w:r>
          <w:rPr>
            <w:noProof/>
            <w:webHidden/>
          </w:rPr>
          <w:instrText xml:space="preserve"> PAGEREF _Toc12261761 \h </w:instrText>
        </w:r>
        <w:r>
          <w:rPr>
            <w:noProof/>
            <w:webHidden/>
          </w:rPr>
        </w:r>
        <w:r>
          <w:rPr>
            <w:noProof/>
            <w:webHidden/>
          </w:rPr>
          <w:fldChar w:fldCharType="separate"/>
        </w:r>
        <w:r>
          <w:rPr>
            <w:noProof/>
            <w:webHidden/>
          </w:rPr>
          <w:t>599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62" w:history="1">
        <w:r w:rsidRPr="00CD0B56">
          <w:rPr>
            <w:rStyle w:val="Hyperlink"/>
            <w:noProof/>
          </w:rPr>
          <w:t>2.1.1694</w:t>
        </w:r>
        <w:r>
          <w:rPr>
            <w:rFonts w:asciiTheme="minorHAnsi" w:eastAsiaTheme="minorEastAsia" w:hAnsiTheme="minorHAnsi" w:cstheme="minorBidi"/>
            <w:noProof/>
            <w:sz w:val="22"/>
            <w:szCs w:val="22"/>
          </w:rPr>
          <w:tab/>
        </w:r>
        <w:r w:rsidRPr="00CD0B56">
          <w:rPr>
            <w:rStyle w:val="Hyperlink"/>
            <w:noProof/>
          </w:rPr>
          <w:t>Part 1 Section 22.1.2.98, smallFrac (Small Fraction)</w:t>
        </w:r>
        <w:r>
          <w:rPr>
            <w:noProof/>
            <w:webHidden/>
          </w:rPr>
          <w:tab/>
        </w:r>
        <w:r>
          <w:rPr>
            <w:noProof/>
            <w:webHidden/>
          </w:rPr>
          <w:fldChar w:fldCharType="begin"/>
        </w:r>
        <w:r>
          <w:rPr>
            <w:noProof/>
            <w:webHidden/>
          </w:rPr>
          <w:instrText xml:space="preserve"> PAGEREF _Toc12261762 \h </w:instrText>
        </w:r>
        <w:r>
          <w:rPr>
            <w:noProof/>
            <w:webHidden/>
          </w:rPr>
        </w:r>
        <w:r>
          <w:rPr>
            <w:noProof/>
            <w:webHidden/>
          </w:rPr>
          <w:fldChar w:fldCharType="separate"/>
        </w:r>
        <w:r>
          <w:rPr>
            <w:noProof/>
            <w:webHidden/>
          </w:rPr>
          <w:t>599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63" w:history="1">
        <w:r w:rsidRPr="00CD0B56">
          <w:rPr>
            <w:rStyle w:val="Hyperlink"/>
            <w:noProof/>
          </w:rPr>
          <w:t>2.1.1695</w:t>
        </w:r>
        <w:r>
          <w:rPr>
            <w:rFonts w:asciiTheme="minorHAnsi" w:eastAsiaTheme="minorEastAsia" w:hAnsiTheme="minorHAnsi" w:cstheme="minorBidi"/>
            <w:noProof/>
            <w:sz w:val="22"/>
            <w:szCs w:val="22"/>
          </w:rPr>
          <w:tab/>
        </w:r>
        <w:r w:rsidRPr="00CD0B56">
          <w:rPr>
            <w:rStyle w:val="Hyperlink"/>
            <w:noProof/>
          </w:rPr>
          <w:t>Part 1 Section 22.1.2.99, sPre (Pre-Sub-Superscript Object)</w:t>
        </w:r>
        <w:r>
          <w:rPr>
            <w:noProof/>
            <w:webHidden/>
          </w:rPr>
          <w:tab/>
        </w:r>
        <w:r>
          <w:rPr>
            <w:noProof/>
            <w:webHidden/>
          </w:rPr>
          <w:fldChar w:fldCharType="begin"/>
        </w:r>
        <w:r>
          <w:rPr>
            <w:noProof/>
            <w:webHidden/>
          </w:rPr>
          <w:instrText xml:space="preserve"> PAGEREF _Toc12261763 \h </w:instrText>
        </w:r>
        <w:r>
          <w:rPr>
            <w:noProof/>
            <w:webHidden/>
          </w:rPr>
        </w:r>
        <w:r>
          <w:rPr>
            <w:noProof/>
            <w:webHidden/>
          </w:rPr>
          <w:fldChar w:fldCharType="separate"/>
        </w:r>
        <w:r>
          <w:rPr>
            <w:noProof/>
            <w:webHidden/>
          </w:rPr>
          <w:t>600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64" w:history="1">
        <w:r w:rsidRPr="00CD0B56">
          <w:rPr>
            <w:rStyle w:val="Hyperlink"/>
            <w:noProof/>
          </w:rPr>
          <w:t>2.1.1696</w:t>
        </w:r>
        <w:r>
          <w:rPr>
            <w:rFonts w:asciiTheme="minorHAnsi" w:eastAsiaTheme="minorEastAsia" w:hAnsiTheme="minorHAnsi" w:cstheme="minorBidi"/>
            <w:noProof/>
            <w:sz w:val="22"/>
            <w:szCs w:val="22"/>
          </w:rPr>
          <w:tab/>
        </w:r>
        <w:r w:rsidRPr="00CD0B56">
          <w:rPr>
            <w:rStyle w:val="Hyperlink"/>
            <w:noProof/>
          </w:rPr>
          <w:t>Part 1 Section 22.1.2.101, sSub (Subscript Object)</w:t>
        </w:r>
        <w:r>
          <w:rPr>
            <w:noProof/>
            <w:webHidden/>
          </w:rPr>
          <w:tab/>
        </w:r>
        <w:r>
          <w:rPr>
            <w:noProof/>
            <w:webHidden/>
          </w:rPr>
          <w:fldChar w:fldCharType="begin"/>
        </w:r>
        <w:r>
          <w:rPr>
            <w:noProof/>
            <w:webHidden/>
          </w:rPr>
          <w:instrText xml:space="preserve"> PAGEREF _Toc12261764 \h </w:instrText>
        </w:r>
        <w:r>
          <w:rPr>
            <w:noProof/>
            <w:webHidden/>
          </w:rPr>
        </w:r>
        <w:r>
          <w:rPr>
            <w:noProof/>
            <w:webHidden/>
          </w:rPr>
          <w:fldChar w:fldCharType="separate"/>
        </w:r>
        <w:r>
          <w:rPr>
            <w:noProof/>
            <w:webHidden/>
          </w:rPr>
          <w:t>600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65" w:history="1">
        <w:r w:rsidRPr="00CD0B56">
          <w:rPr>
            <w:rStyle w:val="Hyperlink"/>
            <w:noProof/>
          </w:rPr>
          <w:t>2.1.1697</w:t>
        </w:r>
        <w:r>
          <w:rPr>
            <w:rFonts w:asciiTheme="minorHAnsi" w:eastAsiaTheme="minorEastAsia" w:hAnsiTheme="minorHAnsi" w:cstheme="minorBidi"/>
            <w:noProof/>
            <w:sz w:val="22"/>
            <w:szCs w:val="22"/>
          </w:rPr>
          <w:tab/>
        </w:r>
        <w:r w:rsidRPr="00CD0B56">
          <w:rPr>
            <w:rStyle w:val="Hyperlink"/>
            <w:noProof/>
          </w:rPr>
          <w:t>Part 1 Section 22.1.2.103, sSubSup (Sub-Superscript Object)</w:t>
        </w:r>
        <w:r>
          <w:rPr>
            <w:noProof/>
            <w:webHidden/>
          </w:rPr>
          <w:tab/>
        </w:r>
        <w:r>
          <w:rPr>
            <w:noProof/>
            <w:webHidden/>
          </w:rPr>
          <w:fldChar w:fldCharType="begin"/>
        </w:r>
        <w:r>
          <w:rPr>
            <w:noProof/>
            <w:webHidden/>
          </w:rPr>
          <w:instrText xml:space="preserve"> PAGEREF _Toc12261765 \h </w:instrText>
        </w:r>
        <w:r>
          <w:rPr>
            <w:noProof/>
            <w:webHidden/>
          </w:rPr>
        </w:r>
        <w:r>
          <w:rPr>
            <w:noProof/>
            <w:webHidden/>
          </w:rPr>
          <w:fldChar w:fldCharType="separate"/>
        </w:r>
        <w:r>
          <w:rPr>
            <w:noProof/>
            <w:webHidden/>
          </w:rPr>
          <w:t>600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66" w:history="1">
        <w:r w:rsidRPr="00CD0B56">
          <w:rPr>
            <w:rStyle w:val="Hyperlink"/>
            <w:noProof/>
          </w:rPr>
          <w:t>2.1.1698</w:t>
        </w:r>
        <w:r>
          <w:rPr>
            <w:rFonts w:asciiTheme="minorHAnsi" w:eastAsiaTheme="minorEastAsia" w:hAnsiTheme="minorHAnsi" w:cstheme="minorBidi"/>
            <w:noProof/>
            <w:sz w:val="22"/>
            <w:szCs w:val="22"/>
          </w:rPr>
          <w:tab/>
        </w:r>
        <w:r w:rsidRPr="00CD0B56">
          <w:rPr>
            <w:rStyle w:val="Hyperlink"/>
            <w:noProof/>
          </w:rPr>
          <w:t>Part 1 Section 22.1.2.105, sSup (Superscript Object)</w:t>
        </w:r>
        <w:r>
          <w:rPr>
            <w:noProof/>
            <w:webHidden/>
          </w:rPr>
          <w:tab/>
        </w:r>
        <w:r>
          <w:rPr>
            <w:noProof/>
            <w:webHidden/>
          </w:rPr>
          <w:fldChar w:fldCharType="begin"/>
        </w:r>
        <w:r>
          <w:rPr>
            <w:noProof/>
            <w:webHidden/>
          </w:rPr>
          <w:instrText xml:space="preserve"> PAGEREF _Toc12261766 \h </w:instrText>
        </w:r>
        <w:r>
          <w:rPr>
            <w:noProof/>
            <w:webHidden/>
          </w:rPr>
        </w:r>
        <w:r>
          <w:rPr>
            <w:noProof/>
            <w:webHidden/>
          </w:rPr>
          <w:fldChar w:fldCharType="separate"/>
        </w:r>
        <w:r>
          <w:rPr>
            <w:noProof/>
            <w:webHidden/>
          </w:rPr>
          <w:t>600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67" w:history="1">
        <w:r w:rsidRPr="00CD0B56">
          <w:rPr>
            <w:rStyle w:val="Hyperlink"/>
            <w:noProof/>
          </w:rPr>
          <w:t>2.1.1699</w:t>
        </w:r>
        <w:r>
          <w:rPr>
            <w:rFonts w:asciiTheme="minorHAnsi" w:eastAsiaTheme="minorEastAsia" w:hAnsiTheme="minorHAnsi" w:cstheme="minorBidi"/>
            <w:noProof/>
            <w:sz w:val="22"/>
            <w:szCs w:val="22"/>
          </w:rPr>
          <w:tab/>
        </w:r>
        <w:r w:rsidRPr="00CD0B56">
          <w:rPr>
            <w:rStyle w:val="Hyperlink"/>
            <w:noProof/>
          </w:rPr>
          <w:t>Part 1 Section 22.1.2.111, sty (style)</w:t>
        </w:r>
        <w:r>
          <w:rPr>
            <w:noProof/>
            <w:webHidden/>
          </w:rPr>
          <w:tab/>
        </w:r>
        <w:r>
          <w:rPr>
            <w:noProof/>
            <w:webHidden/>
          </w:rPr>
          <w:fldChar w:fldCharType="begin"/>
        </w:r>
        <w:r>
          <w:rPr>
            <w:noProof/>
            <w:webHidden/>
          </w:rPr>
          <w:instrText xml:space="preserve"> PAGEREF _Toc12261767 \h </w:instrText>
        </w:r>
        <w:r>
          <w:rPr>
            <w:noProof/>
            <w:webHidden/>
          </w:rPr>
        </w:r>
        <w:r>
          <w:rPr>
            <w:noProof/>
            <w:webHidden/>
          </w:rPr>
          <w:fldChar w:fldCharType="separate"/>
        </w:r>
        <w:r>
          <w:rPr>
            <w:noProof/>
            <w:webHidden/>
          </w:rPr>
          <w:t>600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68" w:history="1">
        <w:r w:rsidRPr="00CD0B56">
          <w:rPr>
            <w:rStyle w:val="Hyperlink"/>
            <w:noProof/>
          </w:rPr>
          <w:t>2.1.1700</w:t>
        </w:r>
        <w:r>
          <w:rPr>
            <w:rFonts w:asciiTheme="minorHAnsi" w:eastAsiaTheme="minorEastAsia" w:hAnsiTheme="minorHAnsi" w:cstheme="minorBidi"/>
            <w:noProof/>
            <w:sz w:val="22"/>
            <w:szCs w:val="22"/>
          </w:rPr>
          <w:tab/>
        </w:r>
        <w:r w:rsidRPr="00CD0B56">
          <w:rPr>
            <w:rStyle w:val="Hyperlink"/>
            <w:noProof/>
          </w:rPr>
          <w:t>Part 1 Section 22.1.2.112, sub (Subscript (Pre-Sub-Superscript))</w:t>
        </w:r>
        <w:r>
          <w:rPr>
            <w:noProof/>
            <w:webHidden/>
          </w:rPr>
          <w:tab/>
        </w:r>
        <w:r>
          <w:rPr>
            <w:noProof/>
            <w:webHidden/>
          </w:rPr>
          <w:fldChar w:fldCharType="begin"/>
        </w:r>
        <w:r>
          <w:rPr>
            <w:noProof/>
            <w:webHidden/>
          </w:rPr>
          <w:instrText xml:space="preserve"> PAGEREF _Toc12261768 \h </w:instrText>
        </w:r>
        <w:r>
          <w:rPr>
            <w:noProof/>
            <w:webHidden/>
          </w:rPr>
        </w:r>
        <w:r>
          <w:rPr>
            <w:noProof/>
            <w:webHidden/>
          </w:rPr>
          <w:fldChar w:fldCharType="separate"/>
        </w:r>
        <w:r>
          <w:rPr>
            <w:noProof/>
            <w:webHidden/>
          </w:rPr>
          <w:t>600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69" w:history="1">
        <w:r w:rsidRPr="00CD0B56">
          <w:rPr>
            <w:rStyle w:val="Hyperlink"/>
            <w:noProof/>
          </w:rPr>
          <w:t>2.1.1701</w:t>
        </w:r>
        <w:r>
          <w:rPr>
            <w:rFonts w:asciiTheme="minorHAnsi" w:eastAsiaTheme="minorEastAsia" w:hAnsiTheme="minorHAnsi" w:cstheme="minorBidi"/>
            <w:noProof/>
            <w:sz w:val="22"/>
            <w:szCs w:val="22"/>
          </w:rPr>
          <w:tab/>
        </w:r>
        <w:r w:rsidRPr="00CD0B56">
          <w:rPr>
            <w:rStyle w:val="Hyperlink"/>
            <w:noProof/>
          </w:rPr>
          <w:t>Part 1 Section 22.1.2.113, subHide (Hide Subscript (n-ary))</w:t>
        </w:r>
        <w:r>
          <w:rPr>
            <w:noProof/>
            <w:webHidden/>
          </w:rPr>
          <w:tab/>
        </w:r>
        <w:r>
          <w:rPr>
            <w:noProof/>
            <w:webHidden/>
          </w:rPr>
          <w:fldChar w:fldCharType="begin"/>
        </w:r>
        <w:r>
          <w:rPr>
            <w:noProof/>
            <w:webHidden/>
          </w:rPr>
          <w:instrText xml:space="preserve"> PAGEREF _Toc12261769 \h </w:instrText>
        </w:r>
        <w:r>
          <w:rPr>
            <w:noProof/>
            <w:webHidden/>
          </w:rPr>
        </w:r>
        <w:r>
          <w:rPr>
            <w:noProof/>
            <w:webHidden/>
          </w:rPr>
          <w:fldChar w:fldCharType="separate"/>
        </w:r>
        <w:r>
          <w:rPr>
            <w:noProof/>
            <w:webHidden/>
          </w:rPr>
          <w:t>600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70" w:history="1">
        <w:r w:rsidRPr="00CD0B56">
          <w:rPr>
            <w:rStyle w:val="Hyperlink"/>
            <w:noProof/>
          </w:rPr>
          <w:t>2.1.1702</w:t>
        </w:r>
        <w:r>
          <w:rPr>
            <w:rFonts w:asciiTheme="minorHAnsi" w:eastAsiaTheme="minorEastAsia" w:hAnsiTheme="minorHAnsi" w:cstheme="minorBidi"/>
            <w:noProof/>
            <w:sz w:val="22"/>
            <w:szCs w:val="22"/>
          </w:rPr>
          <w:tab/>
        </w:r>
        <w:r w:rsidRPr="00CD0B56">
          <w:rPr>
            <w:rStyle w:val="Hyperlink"/>
            <w:noProof/>
          </w:rPr>
          <w:t>Part 1 Section 22.1.2.114, sup (Superscript (Superscript object))</w:t>
        </w:r>
        <w:r>
          <w:rPr>
            <w:noProof/>
            <w:webHidden/>
          </w:rPr>
          <w:tab/>
        </w:r>
        <w:r>
          <w:rPr>
            <w:noProof/>
            <w:webHidden/>
          </w:rPr>
          <w:fldChar w:fldCharType="begin"/>
        </w:r>
        <w:r>
          <w:rPr>
            <w:noProof/>
            <w:webHidden/>
          </w:rPr>
          <w:instrText xml:space="preserve"> PAGEREF _Toc12261770 \h </w:instrText>
        </w:r>
        <w:r>
          <w:rPr>
            <w:noProof/>
            <w:webHidden/>
          </w:rPr>
        </w:r>
        <w:r>
          <w:rPr>
            <w:noProof/>
            <w:webHidden/>
          </w:rPr>
          <w:fldChar w:fldCharType="separate"/>
        </w:r>
        <w:r>
          <w:rPr>
            <w:noProof/>
            <w:webHidden/>
          </w:rPr>
          <w:t>601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71" w:history="1">
        <w:r w:rsidRPr="00CD0B56">
          <w:rPr>
            <w:rStyle w:val="Hyperlink"/>
            <w:noProof/>
          </w:rPr>
          <w:t>2.1.1703</w:t>
        </w:r>
        <w:r>
          <w:rPr>
            <w:rFonts w:asciiTheme="minorHAnsi" w:eastAsiaTheme="minorEastAsia" w:hAnsiTheme="minorHAnsi" w:cstheme="minorBidi"/>
            <w:noProof/>
            <w:sz w:val="22"/>
            <w:szCs w:val="22"/>
          </w:rPr>
          <w:tab/>
        </w:r>
        <w:r w:rsidRPr="00CD0B56">
          <w:rPr>
            <w:rStyle w:val="Hyperlink"/>
            <w:noProof/>
          </w:rPr>
          <w:t>Part 1 Section 22.1.2.115, supHide (Hide Superscript (n-ary))</w:t>
        </w:r>
        <w:r>
          <w:rPr>
            <w:noProof/>
            <w:webHidden/>
          </w:rPr>
          <w:tab/>
        </w:r>
        <w:r>
          <w:rPr>
            <w:noProof/>
            <w:webHidden/>
          </w:rPr>
          <w:fldChar w:fldCharType="begin"/>
        </w:r>
        <w:r>
          <w:rPr>
            <w:noProof/>
            <w:webHidden/>
          </w:rPr>
          <w:instrText xml:space="preserve"> PAGEREF _Toc12261771 \h </w:instrText>
        </w:r>
        <w:r>
          <w:rPr>
            <w:noProof/>
            <w:webHidden/>
          </w:rPr>
        </w:r>
        <w:r>
          <w:rPr>
            <w:noProof/>
            <w:webHidden/>
          </w:rPr>
          <w:fldChar w:fldCharType="separate"/>
        </w:r>
        <w:r>
          <w:rPr>
            <w:noProof/>
            <w:webHidden/>
          </w:rPr>
          <w:t>601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72" w:history="1">
        <w:r w:rsidRPr="00CD0B56">
          <w:rPr>
            <w:rStyle w:val="Hyperlink"/>
            <w:noProof/>
          </w:rPr>
          <w:t>2.1.1704</w:t>
        </w:r>
        <w:r>
          <w:rPr>
            <w:rFonts w:asciiTheme="minorHAnsi" w:eastAsiaTheme="minorEastAsia" w:hAnsiTheme="minorHAnsi" w:cstheme="minorBidi"/>
            <w:noProof/>
            <w:sz w:val="22"/>
            <w:szCs w:val="22"/>
          </w:rPr>
          <w:tab/>
        </w:r>
        <w:r w:rsidRPr="00CD0B56">
          <w:rPr>
            <w:rStyle w:val="Hyperlink"/>
            <w:noProof/>
          </w:rPr>
          <w:t>Part 1 Section 22.1.2.116, t (Text)</w:t>
        </w:r>
        <w:r>
          <w:rPr>
            <w:noProof/>
            <w:webHidden/>
          </w:rPr>
          <w:tab/>
        </w:r>
        <w:r>
          <w:rPr>
            <w:noProof/>
            <w:webHidden/>
          </w:rPr>
          <w:fldChar w:fldCharType="begin"/>
        </w:r>
        <w:r>
          <w:rPr>
            <w:noProof/>
            <w:webHidden/>
          </w:rPr>
          <w:instrText xml:space="preserve"> PAGEREF _Toc12261772 \h </w:instrText>
        </w:r>
        <w:r>
          <w:rPr>
            <w:noProof/>
            <w:webHidden/>
          </w:rPr>
        </w:r>
        <w:r>
          <w:rPr>
            <w:noProof/>
            <w:webHidden/>
          </w:rPr>
          <w:fldChar w:fldCharType="separate"/>
        </w:r>
        <w:r>
          <w:rPr>
            <w:noProof/>
            <w:webHidden/>
          </w:rPr>
          <w:t>601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73" w:history="1">
        <w:r w:rsidRPr="00CD0B56">
          <w:rPr>
            <w:rStyle w:val="Hyperlink"/>
            <w:noProof/>
          </w:rPr>
          <w:t>2.1.1705</w:t>
        </w:r>
        <w:r>
          <w:rPr>
            <w:rFonts w:asciiTheme="minorHAnsi" w:eastAsiaTheme="minorEastAsia" w:hAnsiTheme="minorHAnsi" w:cstheme="minorBidi"/>
            <w:noProof/>
            <w:sz w:val="22"/>
            <w:szCs w:val="22"/>
          </w:rPr>
          <w:tab/>
        </w:r>
        <w:r w:rsidRPr="00CD0B56">
          <w:rPr>
            <w:rStyle w:val="Hyperlink"/>
            <w:noProof/>
          </w:rPr>
          <w:t>Part 1 Section 22.1.2.117, transp (Transparent (Phantom))</w:t>
        </w:r>
        <w:r>
          <w:rPr>
            <w:noProof/>
            <w:webHidden/>
          </w:rPr>
          <w:tab/>
        </w:r>
        <w:r>
          <w:rPr>
            <w:noProof/>
            <w:webHidden/>
          </w:rPr>
          <w:fldChar w:fldCharType="begin"/>
        </w:r>
        <w:r>
          <w:rPr>
            <w:noProof/>
            <w:webHidden/>
          </w:rPr>
          <w:instrText xml:space="preserve"> PAGEREF _Toc12261773 \h </w:instrText>
        </w:r>
        <w:r>
          <w:rPr>
            <w:noProof/>
            <w:webHidden/>
          </w:rPr>
        </w:r>
        <w:r>
          <w:rPr>
            <w:noProof/>
            <w:webHidden/>
          </w:rPr>
          <w:fldChar w:fldCharType="separate"/>
        </w:r>
        <w:r>
          <w:rPr>
            <w:noProof/>
            <w:webHidden/>
          </w:rPr>
          <w:t>601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74" w:history="1">
        <w:r w:rsidRPr="00CD0B56">
          <w:rPr>
            <w:rStyle w:val="Hyperlink"/>
            <w:noProof/>
          </w:rPr>
          <w:t>2.1.1706</w:t>
        </w:r>
        <w:r>
          <w:rPr>
            <w:rFonts w:asciiTheme="minorHAnsi" w:eastAsiaTheme="minorEastAsia" w:hAnsiTheme="minorHAnsi" w:cstheme="minorBidi"/>
            <w:noProof/>
            <w:sz w:val="22"/>
            <w:szCs w:val="22"/>
          </w:rPr>
          <w:tab/>
        </w:r>
        <w:r w:rsidRPr="00CD0B56">
          <w:rPr>
            <w:rStyle w:val="Hyperlink"/>
            <w:noProof/>
          </w:rPr>
          <w:t>Part 1 Section 22.1.3.1, ST_BreakBin (Break Binary Operators)</w:t>
        </w:r>
        <w:r>
          <w:rPr>
            <w:noProof/>
            <w:webHidden/>
          </w:rPr>
          <w:tab/>
        </w:r>
        <w:r>
          <w:rPr>
            <w:noProof/>
            <w:webHidden/>
          </w:rPr>
          <w:fldChar w:fldCharType="begin"/>
        </w:r>
        <w:r>
          <w:rPr>
            <w:noProof/>
            <w:webHidden/>
          </w:rPr>
          <w:instrText xml:space="preserve"> PAGEREF _Toc12261774 \h </w:instrText>
        </w:r>
        <w:r>
          <w:rPr>
            <w:noProof/>
            <w:webHidden/>
          </w:rPr>
        </w:r>
        <w:r>
          <w:rPr>
            <w:noProof/>
            <w:webHidden/>
          </w:rPr>
          <w:fldChar w:fldCharType="separate"/>
        </w:r>
        <w:r>
          <w:rPr>
            <w:noProof/>
            <w:webHidden/>
          </w:rPr>
          <w:t>601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75" w:history="1">
        <w:r w:rsidRPr="00CD0B56">
          <w:rPr>
            <w:rStyle w:val="Hyperlink"/>
            <w:noProof/>
          </w:rPr>
          <w:t>2.1.1707</w:t>
        </w:r>
        <w:r>
          <w:rPr>
            <w:rFonts w:asciiTheme="minorHAnsi" w:eastAsiaTheme="minorEastAsia" w:hAnsiTheme="minorHAnsi" w:cstheme="minorBidi"/>
            <w:noProof/>
            <w:sz w:val="22"/>
            <w:szCs w:val="22"/>
          </w:rPr>
          <w:tab/>
        </w:r>
        <w:r w:rsidRPr="00CD0B56">
          <w:rPr>
            <w:rStyle w:val="Hyperlink"/>
            <w:noProof/>
          </w:rPr>
          <w:t>Part 1 Section 22.1.3.7, ST_Jc (Justification)</w:t>
        </w:r>
        <w:r>
          <w:rPr>
            <w:noProof/>
            <w:webHidden/>
          </w:rPr>
          <w:tab/>
        </w:r>
        <w:r>
          <w:rPr>
            <w:noProof/>
            <w:webHidden/>
          </w:rPr>
          <w:fldChar w:fldCharType="begin"/>
        </w:r>
        <w:r>
          <w:rPr>
            <w:noProof/>
            <w:webHidden/>
          </w:rPr>
          <w:instrText xml:space="preserve"> PAGEREF _Toc12261775 \h </w:instrText>
        </w:r>
        <w:r>
          <w:rPr>
            <w:noProof/>
            <w:webHidden/>
          </w:rPr>
        </w:r>
        <w:r>
          <w:rPr>
            <w:noProof/>
            <w:webHidden/>
          </w:rPr>
          <w:fldChar w:fldCharType="separate"/>
        </w:r>
        <w:r>
          <w:rPr>
            <w:noProof/>
            <w:webHidden/>
          </w:rPr>
          <w:t>602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76" w:history="1">
        <w:r w:rsidRPr="00CD0B56">
          <w:rPr>
            <w:rStyle w:val="Hyperlink"/>
            <w:noProof/>
          </w:rPr>
          <w:t>2.1.1708</w:t>
        </w:r>
        <w:r>
          <w:rPr>
            <w:rFonts w:asciiTheme="minorHAnsi" w:eastAsiaTheme="minorEastAsia" w:hAnsiTheme="minorHAnsi" w:cstheme="minorBidi"/>
            <w:noProof/>
            <w:sz w:val="22"/>
            <w:szCs w:val="22"/>
          </w:rPr>
          <w:tab/>
        </w:r>
        <w:r w:rsidRPr="00CD0B56">
          <w:rPr>
            <w:rStyle w:val="Hyperlink"/>
            <w:noProof/>
          </w:rPr>
          <w:t>Part 1 Section 22.1.3.10, ST_Shp (Shape (Delimiters))</w:t>
        </w:r>
        <w:r>
          <w:rPr>
            <w:noProof/>
            <w:webHidden/>
          </w:rPr>
          <w:tab/>
        </w:r>
        <w:r>
          <w:rPr>
            <w:noProof/>
            <w:webHidden/>
          </w:rPr>
          <w:fldChar w:fldCharType="begin"/>
        </w:r>
        <w:r>
          <w:rPr>
            <w:noProof/>
            <w:webHidden/>
          </w:rPr>
          <w:instrText xml:space="preserve"> PAGEREF _Toc12261776 \h </w:instrText>
        </w:r>
        <w:r>
          <w:rPr>
            <w:noProof/>
            <w:webHidden/>
          </w:rPr>
        </w:r>
        <w:r>
          <w:rPr>
            <w:noProof/>
            <w:webHidden/>
          </w:rPr>
          <w:fldChar w:fldCharType="separate"/>
        </w:r>
        <w:r>
          <w:rPr>
            <w:noProof/>
            <w:webHidden/>
          </w:rPr>
          <w:t>602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77" w:history="1">
        <w:r w:rsidRPr="00CD0B56">
          <w:rPr>
            <w:rStyle w:val="Hyperlink"/>
            <w:noProof/>
          </w:rPr>
          <w:t>2.1.1709</w:t>
        </w:r>
        <w:r>
          <w:rPr>
            <w:rFonts w:asciiTheme="minorHAnsi" w:eastAsiaTheme="minorEastAsia" w:hAnsiTheme="minorHAnsi" w:cstheme="minorBidi"/>
            <w:noProof/>
            <w:sz w:val="22"/>
            <w:szCs w:val="22"/>
          </w:rPr>
          <w:tab/>
        </w:r>
        <w:r w:rsidRPr="00CD0B56">
          <w:rPr>
            <w:rStyle w:val="Hyperlink"/>
            <w:noProof/>
          </w:rPr>
          <w:t>Part 1 Section 22.1.3.13, ST_TopBot (Top-Bottom)</w:t>
        </w:r>
        <w:r>
          <w:rPr>
            <w:noProof/>
            <w:webHidden/>
          </w:rPr>
          <w:tab/>
        </w:r>
        <w:r>
          <w:rPr>
            <w:noProof/>
            <w:webHidden/>
          </w:rPr>
          <w:fldChar w:fldCharType="begin"/>
        </w:r>
        <w:r>
          <w:rPr>
            <w:noProof/>
            <w:webHidden/>
          </w:rPr>
          <w:instrText xml:space="preserve"> PAGEREF _Toc12261777 \h </w:instrText>
        </w:r>
        <w:r>
          <w:rPr>
            <w:noProof/>
            <w:webHidden/>
          </w:rPr>
        </w:r>
        <w:r>
          <w:rPr>
            <w:noProof/>
            <w:webHidden/>
          </w:rPr>
          <w:fldChar w:fldCharType="separate"/>
        </w:r>
        <w:r>
          <w:rPr>
            <w:noProof/>
            <w:webHidden/>
          </w:rPr>
          <w:t>602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78" w:history="1">
        <w:r w:rsidRPr="00CD0B56">
          <w:rPr>
            <w:rStyle w:val="Hyperlink"/>
            <w:noProof/>
          </w:rPr>
          <w:t>2.1.1710</w:t>
        </w:r>
        <w:r>
          <w:rPr>
            <w:rFonts w:asciiTheme="minorHAnsi" w:eastAsiaTheme="minorEastAsia" w:hAnsiTheme="minorHAnsi" w:cstheme="minorBidi"/>
            <w:noProof/>
            <w:sz w:val="22"/>
            <w:szCs w:val="22"/>
          </w:rPr>
          <w:tab/>
        </w:r>
        <w:r w:rsidRPr="00CD0B56">
          <w:rPr>
            <w:rStyle w:val="Hyperlink"/>
            <w:noProof/>
          </w:rPr>
          <w:t>Part 1 Section 22.1.3.14, ST_UnSignedInteger (Unsigned integer.)</w:t>
        </w:r>
        <w:r>
          <w:rPr>
            <w:noProof/>
            <w:webHidden/>
          </w:rPr>
          <w:tab/>
        </w:r>
        <w:r>
          <w:rPr>
            <w:noProof/>
            <w:webHidden/>
          </w:rPr>
          <w:fldChar w:fldCharType="begin"/>
        </w:r>
        <w:r>
          <w:rPr>
            <w:noProof/>
            <w:webHidden/>
          </w:rPr>
          <w:instrText xml:space="preserve"> PAGEREF _Toc12261778 \h </w:instrText>
        </w:r>
        <w:r>
          <w:rPr>
            <w:noProof/>
            <w:webHidden/>
          </w:rPr>
        </w:r>
        <w:r>
          <w:rPr>
            <w:noProof/>
            <w:webHidden/>
          </w:rPr>
          <w:fldChar w:fldCharType="separate"/>
        </w:r>
        <w:r>
          <w:rPr>
            <w:noProof/>
            <w:webHidden/>
          </w:rPr>
          <w:t>602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79" w:history="1">
        <w:r w:rsidRPr="00CD0B56">
          <w:rPr>
            <w:rStyle w:val="Hyperlink"/>
            <w:noProof/>
          </w:rPr>
          <w:t>2.1.1711</w:t>
        </w:r>
        <w:r>
          <w:rPr>
            <w:rFonts w:asciiTheme="minorHAnsi" w:eastAsiaTheme="minorEastAsia" w:hAnsiTheme="minorHAnsi" w:cstheme="minorBidi"/>
            <w:noProof/>
            <w:sz w:val="22"/>
            <w:szCs w:val="22"/>
          </w:rPr>
          <w:tab/>
        </w:r>
        <w:r w:rsidRPr="00CD0B56">
          <w:rPr>
            <w:rStyle w:val="Hyperlink"/>
            <w:noProof/>
          </w:rPr>
          <w:t>Part 1 Section 22.2.2.2, AppVersion (Application Version)</w:t>
        </w:r>
        <w:r>
          <w:rPr>
            <w:noProof/>
            <w:webHidden/>
          </w:rPr>
          <w:tab/>
        </w:r>
        <w:r>
          <w:rPr>
            <w:noProof/>
            <w:webHidden/>
          </w:rPr>
          <w:fldChar w:fldCharType="begin"/>
        </w:r>
        <w:r>
          <w:rPr>
            <w:noProof/>
            <w:webHidden/>
          </w:rPr>
          <w:instrText xml:space="preserve"> PAGEREF _Toc12261779 \h </w:instrText>
        </w:r>
        <w:r>
          <w:rPr>
            <w:noProof/>
            <w:webHidden/>
          </w:rPr>
        </w:r>
        <w:r>
          <w:rPr>
            <w:noProof/>
            <w:webHidden/>
          </w:rPr>
          <w:fldChar w:fldCharType="separate"/>
        </w:r>
        <w:r>
          <w:rPr>
            <w:noProof/>
            <w:webHidden/>
          </w:rPr>
          <w:t>602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80" w:history="1">
        <w:r w:rsidRPr="00CD0B56">
          <w:rPr>
            <w:rStyle w:val="Hyperlink"/>
            <w:noProof/>
          </w:rPr>
          <w:t>2.1.1712</w:t>
        </w:r>
        <w:r>
          <w:rPr>
            <w:rFonts w:asciiTheme="minorHAnsi" w:eastAsiaTheme="minorEastAsia" w:hAnsiTheme="minorHAnsi" w:cstheme="minorBidi"/>
            <w:noProof/>
            <w:sz w:val="22"/>
            <w:szCs w:val="22"/>
          </w:rPr>
          <w:tab/>
        </w:r>
        <w:r w:rsidRPr="00CD0B56">
          <w:rPr>
            <w:rStyle w:val="Hyperlink"/>
            <w:noProof/>
          </w:rPr>
          <w:t>Part 1 Section 22.2.2.6, DigSig (Digital Signature)</w:t>
        </w:r>
        <w:r>
          <w:rPr>
            <w:noProof/>
            <w:webHidden/>
          </w:rPr>
          <w:tab/>
        </w:r>
        <w:r>
          <w:rPr>
            <w:noProof/>
            <w:webHidden/>
          </w:rPr>
          <w:fldChar w:fldCharType="begin"/>
        </w:r>
        <w:r>
          <w:rPr>
            <w:noProof/>
            <w:webHidden/>
          </w:rPr>
          <w:instrText xml:space="preserve"> PAGEREF _Toc12261780 \h </w:instrText>
        </w:r>
        <w:r>
          <w:rPr>
            <w:noProof/>
            <w:webHidden/>
          </w:rPr>
        </w:r>
        <w:r>
          <w:rPr>
            <w:noProof/>
            <w:webHidden/>
          </w:rPr>
          <w:fldChar w:fldCharType="separate"/>
        </w:r>
        <w:r>
          <w:rPr>
            <w:noProof/>
            <w:webHidden/>
          </w:rPr>
          <w:t>602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81" w:history="1">
        <w:r w:rsidRPr="00CD0B56">
          <w:rPr>
            <w:rStyle w:val="Hyperlink"/>
            <w:noProof/>
          </w:rPr>
          <w:t>2.1.1713</w:t>
        </w:r>
        <w:r>
          <w:rPr>
            <w:rFonts w:asciiTheme="minorHAnsi" w:eastAsiaTheme="minorEastAsia" w:hAnsiTheme="minorHAnsi" w:cstheme="minorBidi"/>
            <w:noProof/>
            <w:sz w:val="22"/>
            <w:szCs w:val="22"/>
          </w:rPr>
          <w:tab/>
        </w:r>
        <w:r w:rsidRPr="00CD0B56">
          <w:rPr>
            <w:rStyle w:val="Hyperlink"/>
            <w:noProof/>
          </w:rPr>
          <w:t>Part 1 Section 22.2.2.7, DocSecurity (Document Security)</w:t>
        </w:r>
        <w:r>
          <w:rPr>
            <w:noProof/>
            <w:webHidden/>
          </w:rPr>
          <w:tab/>
        </w:r>
        <w:r>
          <w:rPr>
            <w:noProof/>
            <w:webHidden/>
          </w:rPr>
          <w:fldChar w:fldCharType="begin"/>
        </w:r>
        <w:r>
          <w:rPr>
            <w:noProof/>
            <w:webHidden/>
          </w:rPr>
          <w:instrText xml:space="preserve"> PAGEREF _Toc12261781 \h </w:instrText>
        </w:r>
        <w:r>
          <w:rPr>
            <w:noProof/>
            <w:webHidden/>
          </w:rPr>
        </w:r>
        <w:r>
          <w:rPr>
            <w:noProof/>
            <w:webHidden/>
          </w:rPr>
          <w:fldChar w:fldCharType="separate"/>
        </w:r>
        <w:r>
          <w:rPr>
            <w:noProof/>
            <w:webHidden/>
          </w:rPr>
          <w:t>603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82" w:history="1">
        <w:r w:rsidRPr="00CD0B56">
          <w:rPr>
            <w:rStyle w:val="Hyperlink"/>
            <w:noProof/>
          </w:rPr>
          <w:t>2.1.1714</w:t>
        </w:r>
        <w:r>
          <w:rPr>
            <w:rFonts w:asciiTheme="minorHAnsi" w:eastAsiaTheme="minorEastAsia" w:hAnsiTheme="minorHAnsi" w:cstheme="minorBidi"/>
            <w:noProof/>
            <w:sz w:val="22"/>
            <w:szCs w:val="22"/>
          </w:rPr>
          <w:tab/>
        </w:r>
        <w:r w:rsidRPr="00CD0B56">
          <w:rPr>
            <w:rStyle w:val="Hyperlink"/>
            <w:noProof/>
          </w:rPr>
          <w:t>Part 1 Section 22.2.2.8, HeadingPairs (Heading Pairs)</w:t>
        </w:r>
        <w:r>
          <w:rPr>
            <w:noProof/>
            <w:webHidden/>
          </w:rPr>
          <w:tab/>
        </w:r>
        <w:r>
          <w:rPr>
            <w:noProof/>
            <w:webHidden/>
          </w:rPr>
          <w:fldChar w:fldCharType="begin"/>
        </w:r>
        <w:r>
          <w:rPr>
            <w:noProof/>
            <w:webHidden/>
          </w:rPr>
          <w:instrText xml:space="preserve"> PAGEREF _Toc12261782 \h </w:instrText>
        </w:r>
        <w:r>
          <w:rPr>
            <w:noProof/>
            <w:webHidden/>
          </w:rPr>
        </w:r>
        <w:r>
          <w:rPr>
            <w:noProof/>
            <w:webHidden/>
          </w:rPr>
          <w:fldChar w:fldCharType="separate"/>
        </w:r>
        <w:r>
          <w:rPr>
            <w:noProof/>
            <w:webHidden/>
          </w:rPr>
          <w:t>603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83" w:history="1">
        <w:r w:rsidRPr="00CD0B56">
          <w:rPr>
            <w:rStyle w:val="Hyperlink"/>
            <w:noProof/>
          </w:rPr>
          <w:t>2.1.1715</w:t>
        </w:r>
        <w:r>
          <w:rPr>
            <w:rFonts w:asciiTheme="minorHAnsi" w:eastAsiaTheme="minorEastAsia" w:hAnsiTheme="minorHAnsi" w:cstheme="minorBidi"/>
            <w:noProof/>
            <w:sz w:val="22"/>
            <w:szCs w:val="22"/>
          </w:rPr>
          <w:tab/>
        </w:r>
        <w:r w:rsidRPr="00CD0B56">
          <w:rPr>
            <w:rStyle w:val="Hyperlink"/>
            <w:noProof/>
          </w:rPr>
          <w:t>Part 1 Section 22.2.2.10, HLinks (Hyperlink List)</w:t>
        </w:r>
        <w:r>
          <w:rPr>
            <w:noProof/>
            <w:webHidden/>
          </w:rPr>
          <w:tab/>
        </w:r>
        <w:r>
          <w:rPr>
            <w:noProof/>
            <w:webHidden/>
          </w:rPr>
          <w:fldChar w:fldCharType="begin"/>
        </w:r>
        <w:r>
          <w:rPr>
            <w:noProof/>
            <w:webHidden/>
          </w:rPr>
          <w:instrText xml:space="preserve"> PAGEREF _Toc12261783 \h </w:instrText>
        </w:r>
        <w:r>
          <w:rPr>
            <w:noProof/>
            <w:webHidden/>
          </w:rPr>
        </w:r>
        <w:r>
          <w:rPr>
            <w:noProof/>
            <w:webHidden/>
          </w:rPr>
          <w:fldChar w:fldCharType="separate"/>
        </w:r>
        <w:r>
          <w:rPr>
            <w:noProof/>
            <w:webHidden/>
          </w:rPr>
          <w:t>603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84" w:history="1">
        <w:r w:rsidRPr="00CD0B56">
          <w:rPr>
            <w:rStyle w:val="Hyperlink"/>
            <w:noProof/>
          </w:rPr>
          <w:t>2.1.1716</w:t>
        </w:r>
        <w:r>
          <w:rPr>
            <w:rFonts w:asciiTheme="minorHAnsi" w:eastAsiaTheme="minorEastAsia" w:hAnsiTheme="minorHAnsi" w:cstheme="minorBidi"/>
            <w:noProof/>
            <w:sz w:val="22"/>
            <w:szCs w:val="22"/>
          </w:rPr>
          <w:tab/>
        </w:r>
        <w:r w:rsidRPr="00CD0B56">
          <w:rPr>
            <w:rStyle w:val="Hyperlink"/>
            <w:noProof/>
          </w:rPr>
          <w:t>Part 1 Section 22.2.2.26, TitlesOfParts (Part Titles)</w:t>
        </w:r>
        <w:r>
          <w:rPr>
            <w:noProof/>
            <w:webHidden/>
          </w:rPr>
          <w:tab/>
        </w:r>
        <w:r>
          <w:rPr>
            <w:noProof/>
            <w:webHidden/>
          </w:rPr>
          <w:fldChar w:fldCharType="begin"/>
        </w:r>
        <w:r>
          <w:rPr>
            <w:noProof/>
            <w:webHidden/>
          </w:rPr>
          <w:instrText xml:space="preserve"> PAGEREF _Toc12261784 \h </w:instrText>
        </w:r>
        <w:r>
          <w:rPr>
            <w:noProof/>
            <w:webHidden/>
          </w:rPr>
        </w:r>
        <w:r>
          <w:rPr>
            <w:noProof/>
            <w:webHidden/>
          </w:rPr>
          <w:fldChar w:fldCharType="separate"/>
        </w:r>
        <w:r>
          <w:rPr>
            <w:noProof/>
            <w:webHidden/>
          </w:rPr>
          <w:t>604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85" w:history="1">
        <w:r w:rsidRPr="00CD0B56">
          <w:rPr>
            <w:rStyle w:val="Hyperlink"/>
            <w:noProof/>
          </w:rPr>
          <w:t>2.1.1717</w:t>
        </w:r>
        <w:r>
          <w:rPr>
            <w:rFonts w:asciiTheme="minorHAnsi" w:eastAsiaTheme="minorEastAsia" w:hAnsiTheme="minorHAnsi" w:cstheme="minorBidi"/>
            <w:noProof/>
            <w:sz w:val="22"/>
            <w:szCs w:val="22"/>
          </w:rPr>
          <w:tab/>
        </w:r>
        <w:r w:rsidRPr="00CD0B56">
          <w:rPr>
            <w:rStyle w:val="Hyperlink"/>
            <w:noProof/>
          </w:rPr>
          <w:t>Part 1 Section 22.2.2.27, TotalTime (Total Edit Time Metadata Element)</w:t>
        </w:r>
        <w:r>
          <w:rPr>
            <w:noProof/>
            <w:webHidden/>
          </w:rPr>
          <w:tab/>
        </w:r>
        <w:r>
          <w:rPr>
            <w:noProof/>
            <w:webHidden/>
          </w:rPr>
          <w:fldChar w:fldCharType="begin"/>
        </w:r>
        <w:r>
          <w:rPr>
            <w:noProof/>
            <w:webHidden/>
          </w:rPr>
          <w:instrText xml:space="preserve"> PAGEREF _Toc12261785 \h </w:instrText>
        </w:r>
        <w:r>
          <w:rPr>
            <w:noProof/>
            <w:webHidden/>
          </w:rPr>
        </w:r>
        <w:r>
          <w:rPr>
            <w:noProof/>
            <w:webHidden/>
          </w:rPr>
          <w:fldChar w:fldCharType="separate"/>
        </w:r>
        <w:r>
          <w:rPr>
            <w:noProof/>
            <w:webHidden/>
          </w:rPr>
          <w:t>605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86" w:history="1">
        <w:r w:rsidRPr="00CD0B56">
          <w:rPr>
            <w:rStyle w:val="Hyperlink"/>
            <w:noProof/>
          </w:rPr>
          <w:t>2.1.1718</w:t>
        </w:r>
        <w:r>
          <w:rPr>
            <w:rFonts w:asciiTheme="minorHAnsi" w:eastAsiaTheme="minorEastAsia" w:hAnsiTheme="minorHAnsi" w:cstheme="minorBidi"/>
            <w:noProof/>
            <w:sz w:val="22"/>
            <w:szCs w:val="22"/>
          </w:rPr>
          <w:tab/>
        </w:r>
        <w:r w:rsidRPr="00CD0B56">
          <w:rPr>
            <w:rStyle w:val="Hyperlink"/>
            <w:noProof/>
          </w:rPr>
          <w:t>Part 1 Section 22.3.2.2, property (Custom File Property)</w:t>
        </w:r>
        <w:r>
          <w:rPr>
            <w:noProof/>
            <w:webHidden/>
          </w:rPr>
          <w:tab/>
        </w:r>
        <w:r>
          <w:rPr>
            <w:noProof/>
            <w:webHidden/>
          </w:rPr>
          <w:fldChar w:fldCharType="begin"/>
        </w:r>
        <w:r>
          <w:rPr>
            <w:noProof/>
            <w:webHidden/>
          </w:rPr>
          <w:instrText xml:space="preserve"> PAGEREF _Toc12261786 \h </w:instrText>
        </w:r>
        <w:r>
          <w:rPr>
            <w:noProof/>
            <w:webHidden/>
          </w:rPr>
        </w:r>
        <w:r>
          <w:rPr>
            <w:noProof/>
            <w:webHidden/>
          </w:rPr>
          <w:fldChar w:fldCharType="separate"/>
        </w:r>
        <w:r>
          <w:rPr>
            <w:noProof/>
            <w:webHidden/>
          </w:rPr>
          <w:t>605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87" w:history="1">
        <w:r w:rsidRPr="00CD0B56">
          <w:rPr>
            <w:rStyle w:val="Hyperlink"/>
            <w:noProof/>
          </w:rPr>
          <w:t>2.1.1719</w:t>
        </w:r>
        <w:r>
          <w:rPr>
            <w:rFonts w:asciiTheme="minorHAnsi" w:eastAsiaTheme="minorEastAsia" w:hAnsiTheme="minorHAnsi" w:cstheme="minorBidi"/>
            <w:noProof/>
            <w:sz w:val="22"/>
            <w:szCs w:val="22"/>
          </w:rPr>
          <w:tab/>
        </w:r>
        <w:r w:rsidRPr="00CD0B56">
          <w:rPr>
            <w:rStyle w:val="Hyperlink"/>
            <w:noProof/>
          </w:rPr>
          <w:t>Part 1 Section 22.4.2.1, array (Array)</w:t>
        </w:r>
        <w:r>
          <w:rPr>
            <w:noProof/>
            <w:webHidden/>
          </w:rPr>
          <w:tab/>
        </w:r>
        <w:r>
          <w:rPr>
            <w:noProof/>
            <w:webHidden/>
          </w:rPr>
          <w:fldChar w:fldCharType="begin"/>
        </w:r>
        <w:r>
          <w:rPr>
            <w:noProof/>
            <w:webHidden/>
          </w:rPr>
          <w:instrText xml:space="preserve"> PAGEREF _Toc12261787 \h </w:instrText>
        </w:r>
        <w:r>
          <w:rPr>
            <w:noProof/>
            <w:webHidden/>
          </w:rPr>
        </w:r>
        <w:r>
          <w:rPr>
            <w:noProof/>
            <w:webHidden/>
          </w:rPr>
          <w:fldChar w:fldCharType="separate"/>
        </w:r>
        <w:r>
          <w:rPr>
            <w:noProof/>
            <w:webHidden/>
          </w:rPr>
          <w:t>607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88" w:history="1">
        <w:r w:rsidRPr="00CD0B56">
          <w:rPr>
            <w:rStyle w:val="Hyperlink"/>
            <w:noProof/>
          </w:rPr>
          <w:t>2.1.1720</w:t>
        </w:r>
        <w:r>
          <w:rPr>
            <w:rFonts w:asciiTheme="minorHAnsi" w:eastAsiaTheme="minorEastAsia" w:hAnsiTheme="minorHAnsi" w:cstheme="minorBidi"/>
            <w:noProof/>
            <w:sz w:val="22"/>
            <w:szCs w:val="22"/>
          </w:rPr>
          <w:tab/>
        </w:r>
        <w:r w:rsidRPr="00CD0B56">
          <w:rPr>
            <w:rStyle w:val="Hyperlink"/>
            <w:noProof/>
          </w:rPr>
          <w:t>Part 1 Section 22.4.2.5, clsid (Class ID)</w:t>
        </w:r>
        <w:r>
          <w:rPr>
            <w:noProof/>
            <w:webHidden/>
          </w:rPr>
          <w:tab/>
        </w:r>
        <w:r>
          <w:rPr>
            <w:noProof/>
            <w:webHidden/>
          </w:rPr>
          <w:fldChar w:fldCharType="begin"/>
        </w:r>
        <w:r>
          <w:rPr>
            <w:noProof/>
            <w:webHidden/>
          </w:rPr>
          <w:instrText xml:space="preserve"> PAGEREF _Toc12261788 \h </w:instrText>
        </w:r>
        <w:r>
          <w:rPr>
            <w:noProof/>
            <w:webHidden/>
          </w:rPr>
        </w:r>
        <w:r>
          <w:rPr>
            <w:noProof/>
            <w:webHidden/>
          </w:rPr>
          <w:fldChar w:fldCharType="separate"/>
        </w:r>
        <w:r>
          <w:rPr>
            <w:noProof/>
            <w:webHidden/>
          </w:rPr>
          <w:t>608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89" w:history="1">
        <w:r w:rsidRPr="00CD0B56">
          <w:rPr>
            <w:rStyle w:val="Hyperlink"/>
            <w:noProof/>
          </w:rPr>
          <w:t>2.1.1721</w:t>
        </w:r>
        <w:r>
          <w:rPr>
            <w:rFonts w:asciiTheme="minorHAnsi" w:eastAsiaTheme="minorEastAsia" w:hAnsiTheme="minorHAnsi" w:cstheme="minorBidi"/>
            <w:noProof/>
            <w:sz w:val="22"/>
            <w:szCs w:val="22"/>
          </w:rPr>
          <w:tab/>
        </w:r>
        <w:r w:rsidRPr="00CD0B56">
          <w:rPr>
            <w:rStyle w:val="Hyperlink"/>
            <w:noProof/>
          </w:rPr>
          <w:t>Part 1 Section 22.4.2.7, date (Date and Time)</w:t>
        </w:r>
        <w:r>
          <w:rPr>
            <w:noProof/>
            <w:webHidden/>
          </w:rPr>
          <w:tab/>
        </w:r>
        <w:r>
          <w:rPr>
            <w:noProof/>
            <w:webHidden/>
          </w:rPr>
          <w:fldChar w:fldCharType="begin"/>
        </w:r>
        <w:r>
          <w:rPr>
            <w:noProof/>
            <w:webHidden/>
          </w:rPr>
          <w:instrText xml:space="preserve"> PAGEREF _Toc12261789 \h </w:instrText>
        </w:r>
        <w:r>
          <w:rPr>
            <w:noProof/>
            <w:webHidden/>
          </w:rPr>
        </w:r>
        <w:r>
          <w:rPr>
            <w:noProof/>
            <w:webHidden/>
          </w:rPr>
          <w:fldChar w:fldCharType="separate"/>
        </w:r>
        <w:r>
          <w:rPr>
            <w:noProof/>
            <w:webHidden/>
          </w:rPr>
          <w:t>608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90" w:history="1">
        <w:r w:rsidRPr="00CD0B56">
          <w:rPr>
            <w:rStyle w:val="Hyperlink"/>
            <w:noProof/>
          </w:rPr>
          <w:t>2.1.1722</w:t>
        </w:r>
        <w:r>
          <w:rPr>
            <w:rFonts w:asciiTheme="minorHAnsi" w:eastAsiaTheme="minorEastAsia" w:hAnsiTheme="minorHAnsi" w:cstheme="minorBidi"/>
            <w:noProof/>
            <w:sz w:val="22"/>
            <w:szCs w:val="22"/>
          </w:rPr>
          <w:tab/>
        </w:r>
        <w:r w:rsidRPr="00CD0B56">
          <w:rPr>
            <w:rStyle w:val="Hyperlink"/>
            <w:noProof/>
          </w:rPr>
          <w:t>Part 1 Section 22.4.2.11, filetime (File Time)</w:t>
        </w:r>
        <w:r>
          <w:rPr>
            <w:noProof/>
            <w:webHidden/>
          </w:rPr>
          <w:tab/>
        </w:r>
        <w:r>
          <w:rPr>
            <w:noProof/>
            <w:webHidden/>
          </w:rPr>
          <w:fldChar w:fldCharType="begin"/>
        </w:r>
        <w:r>
          <w:rPr>
            <w:noProof/>
            <w:webHidden/>
          </w:rPr>
          <w:instrText xml:space="preserve"> PAGEREF _Toc12261790 \h </w:instrText>
        </w:r>
        <w:r>
          <w:rPr>
            <w:noProof/>
            <w:webHidden/>
          </w:rPr>
        </w:r>
        <w:r>
          <w:rPr>
            <w:noProof/>
            <w:webHidden/>
          </w:rPr>
          <w:fldChar w:fldCharType="separate"/>
        </w:r>
        <w:r>
          <w:rPr>
            <w:noProof/>
            <w:webHidden/>
          </w:rPr>
          <w:t>608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91" w:history="1">
        <w:r w:rsidRPr="00CD0B56">
          <w:rPr>
            <w:rStyle w:val="Hyperlink"/>
            <w:noProof/>
          </w:rPr>
          <w:t>2.1.1723</w:t>
        </w:r>
        <w:r>
          <w:rPr>
            <w:rFonts w:asciiTheme="minorHAnsi" w:eastAsiaTheme="minorEastAsia" w:hAnsiTheme="minorHAnsi" w:cstheme="minorBidi"/>
            <w:noProof/>
            <w:sz w:val="22"/>
            <w:szCs w:val="22"/>
          </w:rPr>
          <w:tab/>
        </w:r>
        <w:r w:rsidRPr="00CD0B56">
          <w:rPr>
            <w:rStyle w:val="Hyperlink"/>
            <w:noProof/>
          </w:rPr>
          <w:t>Part 1 Section 22.4.2.19, null (Null)</w:t>
        </w:r>
        <w:r>
          <w:rPr>
            <w:noProof/>
            <w:webHidden/>
          </w:rPr>
          <w:tab/>
        </w:r>
        <w:r>
          <w:rPr>
            <w:noProof/>
            <w:webHidden/>
          </w:rPr>
          <w:fldChar w:fldCharType="begin"/>
        </w:r>
        <w:r>
          <w:rPr>
            <w:noProof/>
            <w:webHidden/>
          </w:rPr>
          <w:instrText xml:space="preserve"> PAGEREF _Toc12261791 \h </w:instrText>
        </w:r>
        <w:r>
          <w:rPr>
            <w:noProof/>
            <w:webHidden/>
          </w:rPr>
        </w:r>
        <w:r>
          <w:rPr>
            <w:noProof/>
            <w:webHidden/>
          </w:rPr>
          <w:fldChar w:fldCharType="separate"/>
        </w:r>
        <w:r>
          <w:rPr>
            <w:noProof/>
            <w:webHidden/>
          </w:rPr>
          <w:t>608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92" w:history="1">
        <w:r w:rsidRPr="00CD0B56">
          <w:rPr>
            <w:rStyle w:val="Hyperlink"/>
            <w:noProof/>
          </w:rPr>
          <w:t>2.1.1724</w:t>
        </w:r>
        <w:r>
          <w:rPr>
            <w:rFonts w:asciiTheme="minorHAnsi" w:eastAsiaTheme="minorEastAsia" w:hAnsiTheme="minorHAnsi" w:cstheme="minorBidi"/>
            <w:noProof/>
            <w:sz w:val="22"/>
            <w:szCs w:val="22"/>
          </w:rPr>
          <w:tab/>
        </w:r>
        <w:r w:rsidRPr="00CD0B56">
          <w:rPr>
            <w:rStyle w:val="Hyperlink"/>
            <w:noProof/>
          </w:rPr>
          <w:t>Part 1 Section 22.4.2.21, ostorage (Binary Storage Object)</w:t>
        </w:r>
        <w:r>
          <w:rPr>
            <w:noProof/>
            <w:webHidden/>
          </w:rPr>
          <w:tab/>
        </w:r>
        <w:r>
          <w:rPr>
            <w:noProof/>
            <w:webHidden/>
          </w:rPr>
          <w:fldChar w:fldCharType="begin"/>
        </w:r>
        <w:r>
          <w:rPr>
            <w:noProof/>
            <w:webHidden/>
          </w:rPr>
          <w:instrText xml:space="preserve"> PAGEREF _Toc12261792 \h </w:instrText>
        </w:r>
        <w:r>
          <w:rPr>
            <w:noProof/>
            <w:webHidden/>
          </w:rPr>
        </w:r>
        <w:r>
          <w:rPr>
            <w:noProof/>
            <w:webHidden/>
          </w:rPr>
          <w:fldChar w:fldCharType="separate"/>
        </w:r>
        <w:r>
          <w:rPr>
            <w:noProof/>
            <w:webHidden/>
          </w:rPr>
          <w:t>608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93" w:history="1">
        <w:r w:rsidRPr="00CD0B56">
          <w:rPr>
            <w:rStyle w:val="Hyperlink"/>
            <w:noProof/>
          </w:rPr>
          <w:t>2.1.1725</w:t>
        </w:r>
        <w:r>
          <w:rPr>
            <w:rFonts w:asciiTheme="minorHAnsi" w:eastAsiaTheme="minorEastAsia" w:hAnsiTheme="minorHAnsi" w:cstheme="minorBidi"/>
            <w:noProof/>
            <w:sz w:val="22"/>
            <w:szCs w:val="22"/>
          </w:rPr>
          <w:tab/>
        </w:r>
        <w:r w:rsidRPr="00CD0B56">
          <w:rPr>
            <w:rStyle w:val="Hyperlink"/>
            <w:noProof/>
          </w:rPr>
          <w:t>Part 1 Section 22.4.2.25, storage (Binary Storage)</w:t>
        </w:r>
        <w:r>
          <w:rPr>
            <w:noProof/>
            <w:webHidden/>
          </w:rPr>
          <w:tab/>
        </w:r>
        <w:r>
          <w:rPr>
            <w:noProof/>
            <w:webHidden/>
          </w:rPr>
          <w:fldChar w:fldCharType="begin"/>
        </w:r>
        <w:r>
          <w:rPr>
            <w:noProof/>
            <w:webHidden/>
          </w:rPr>
          <w:instrText xml:space="preserve"> PAGEREF _Toc12261793 \h </w:instrText>
        </w:r>
        <w:r>
          <w:rPr>
            <w:noProof/>
            <w:webHidden/>
          </w:rPr>
        </w:r>
        <w:r>
          <w:rPr>
            <w:noProof/>
            <w:webHidden/>
          </w:rPr>
          <w:fldChar w:fldCharType="separate"/>
        </w:r>
        <w:r>
          <w:rPr>
            <w:noProof/>
            <w:webHidden/>
          </w:rPr>
          <w:t>608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94" w:history="1">
        <w:r w:rsidRPr="00CD0B56">
          <w:rPr>
            <w:rStyle w:val="Hyperlink"/>
            <w:noProof/>
          </w:rPr>
          <w:t>2.1.1726</w:t>
        </w:r>
        <w:r>
          <w:rPr>
            <w:rFonts w:asciiTheme="minorHAnsi" w:eastAsiaTheme="minorEastAsia" w:hAnsiTheme="minorHAnsi" w:cstheme="minorBidi"/>
            <w:noProof/>
            <w:sz w:val="22"/>
            <w:szCs w:val="22"/>
          </w:rPr>
          <w:tab/>
        </w:r>
        <w:r w:rsidRPr="00CD0B56">
          <w:rPr>
            <w:rStyle w:val="Hyperlink"/>
            <w:noProof/>
          </w:rPr>
          <w:t>Part 1 Section 22.4.2.34, vstream (Binary Versioned Stream)</w:t>
        </w:r>
        <w:r>
          <w:rPr>
            <w:noProof/>
            <w:webHidden/>
          </w:rPr>
          <w:tab/>
        </w:r>
        <w:r>
          <w:rPr>
            <w:noProof/>
            <w:webHidden/>
          </w:rPr>
          <w:fldChar w:fldCharType="begin"/>
        </w:r>
        <w:r>
          <w:rPr>
            <w:noProof/>
            <w:webHidden/>
          </w:rPr>
          <w:instrText xml:space="preserve"> PAGEREF _Toc12261794 \h </w:instrText>
        </w:r>
        <w:r>
          <w:rPr>
            <w:noProof/>
            <w:webHidden/>
          </w:rPr>
        </w:r>
        <w:r>
          <w:rPr>
            <w:noProof/>
            <w:webHidden/>
          </w:rPr>
          <w:fldChar w:fldCharType="separate"/>
        </w:r>
        <w:r>
          <w:rPr>
            <w:noProof/>
            <w:webHidden/>
          </w:rPr>
          <w:t>608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95" w:history="1">
        <w:r w:rsidRPr="00CD0B56">
          <w:rPr>
            <w:rStyle w:val="Hyperlink"/>
            <w:noProof/>
          </w:rPr>
          <w:t>2.1.1727</w:t>
        </w:r>
        <w:r>
          <w:rPr>
            <w:rFonts w:asciiTheme="minorHAnsi" w:eastAsiaTheme="minorEastAsia" w:hAnsiTheme="minorHAnsi" w:cstheme="minorBidi"/>
            <w:noProof/>
            <w:sz w:val="22"/>
            <w:szCs w:val="22"/>
          </w:rPr>
          <w:tab/>
        </w:r>
        <w:r w:rsidRPr="00CD0B56">
          <w:rPr>
            <w:rStyle w:val="Hyperlink"/>
            <w:noProof/>
          </w:rPr>
          <w:t>Part 1 Section 22.4.3.3, ST_Error (Error Status Code Simple Type)</w:t>
        </w:r>
        <w:r>
          <w:rPr>
            <w:noProof/>
            <w:webHidden/>
          </w:rPr>
          <w:tab/>
        </w:r>
        <w:r>
          <w:rPr>
            <w:noProof/>
            <w:webHidden/>
          </w:rPr>
          <w:fldChar w:fldCharType="begin"/>
        </w:r>
        <w:r>
          <w:rPr>
            <w:noProof/>
            <w:webHidden/>
          </w:rPr>
          <w:instrText xml:space="preserve"> PAGEREF _Toc12261795 \h </w:instrText>
        </w:r>
        <w:r>
          <w:rPr>
            <w:noProof/>
            <w:webHidden/>
          </w:rPr>
        </w:r>
        <w:r>
          <w:rPr>
            <w:noProof/>
            <w:webHidden/>
          </w:rPr>
          <w:fldChar w:fldCharType="separate"/>
        </w:r>
        <w:r>
          <w:rPr>
            <w:noProof/>
            <w:webHidden/>
          </w:rPr>
          <w:t>608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96" w:history="1">
        <w:r w:rsidRPr="00CD0B56">
          <w:rPr>
            <w:rStyle w:val="Hyperlink"/>
            <w:noProof/>
          </w:rPr>
          <w:t>2.1.1728</w:t>
        </w:r>
        <w:r>
          <w:rPr>
            <w:rFonts w:asciiTheme="minorHAnsi" w:eastAsiaTheme="minorEastAsia" w:hAnsiTheme="minorHAnsi" w:cstheme="minorBidi"/>
            <w:noProof/>
            <w:sz w:val="22"/>
            <w:szCs w:val="22"/>
          </w:rPr>
          <w:tab/>
        </w:r>
        <w:r w:rsidRPr="00CD0B56">
          <w:rPr>
            <w:rStyle w:val="Hyperlink"/>
            <w:noProof/>
          </w:rPr>
          <w:t>Part 1 Section 22.6.2.4, Author (Contributors List)</w:t>
        </w:r>
        <w:r>
          <w:rPr>
            <w:noProof/>
            <w:webHidden/>
          </w:rPr>
          <w:tab/>
        </w:r>
        <w:r>
          <w:rPr>
            <w:noProof/>
            <w:webHidden/>
          </w:rPr>
          <w:fldChar w:fldCharType="begin"/>
        </w:r>
        <w:r>
          <w:rPr>
            <w:noProof/>
            <w:webHidden/>
          </w:rPr>
          <w:instrText xml:space="preserve"> PAGEREF _Toc12261796 \h </w:instrText>
        </w:r>
        <w:r>
          <w:rPr>
            <w:noProof/>
            <w:webHidden/>
          </w:rPr>
        </w:r>
        <w:r>
          <w:rPr>
            <w:noProof/>
            <w:webHidden/>
          </w:rPr>
          <w:fldChar w:fldCharType="separate"/>
        </w:r>
        <w:r>
          <w:rPr>
            <w:noProof/>
            <w:webHidden/>
          </w:rPr>
          <w:t>609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97" w:history="1">
        <w:r w:rsidRPr="00CD0B56">
          <w:rPr>
            <w:rStyle w:val="Hyperlink"/>
            <w:noProof/>
          </w:rPr>
          <w:t>2.1.1729</w:t>
        </w:r>
        <w:r>
          <w:rPr>
            <w:rFonts w:asciiTheme="minorHAnsi" w:eastAsiaTheme="minorEastAsia" w:hAnsiTheme="minorHAnsi" w:cstheme="minorBidi"/>
            <w:noProof/>
            <w:sz w:val="22"/>
            <w:szCs w:val="22"/>
          </w:rPr>
          <w:tab/>
        </w:r>
        <w:r w:rsidRPr="00CD0B56">
          <w:rPr>
            <w:rStyle w:val="Hyperlink"/>
            <w:noProof/>
          </w:rPr>
          <w:t>Part 1 Section 22.6.2.30, Guid (GUID)</w:t>
        </w:r>
        <w:r>
          <w:rPr>
            <w:noProof/>
            <w:webHidden/>
          </w:rPr>
          <w:tab/>
        </w:r>
        <w:r>
          <w:rPr>
            <w:noProof/>
            <w:webHidden/>
          </w:rPr>
          <w:fldChar w:fldCharType="begin"/>
        </w:r>
        <w:r>
          <w:rPr>
            <w:noProof/>
            <w:webHidden/>
          </w:rPr>
          <w:instrText xml:space="preserve"> PAGEREF _Toc12261797 \h </w:instrText>
        </w:r>
        <w:r>
          <w:rPr>
            <w:noProof/>
            <w:webHidden/>
          </w:rPr>
        </w:r>
        <w:r>
          <w:rPr>
            <w:noProof/>
            <w:webHidden/>
          </w:rPr>
          <w:fldChar w:fldCharType="separate"/>
        </w:r>
        <w:r>
          <w:rPr>
            <w:noProof/>
            <w:webHidden/>
          </w:rPr>
          <w:t>609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98" w:history="1">
        <w:r w:rsidRPr="00CD0B56">
          <w:rPr>
            <w:rStyle w:val="Hyperlink"/>
            <w:noProof/>
          </w:rPr>
          <w:t>2.1.1730</w:t>
        </w:r>
        <w:r>
          <w:rPr>
            <w:rFonts w:asciiTheme="minorHAnsi" w:eastAsiaTheme="minorEastAsia" w:hAnsiTheme="minorHAnsi" w:cstheme="minorBidi"/>
            <w:noProof/>
            <w:sz w:val="22"/>
            <w:szCs w:val="22"/>
          </w:rPr>
          <w:tab/>
        </w:r>
        <w:r w:rsidRPr="00CD0B56">
          <w:rPr>
            <w:rStyle w:val="Hyperlink"/>
            <w:noProof/>
          </w:rPr>
          <w:t>Part 1 Section 22.6.2.39, LCID (Locale ID)</w:t>
        </w:r>
        <w:r>
          <w:rPr>
            <w:noProof/>
            <w:webHidden/>
          </w:rPr>
          <w:tab/>
        </w:r>
        <w:r>
          <w:rPr>
            <w:noProof/>
            <w:webHidden/>
          </w:rPr>
          <w:fldChar w:fldCharType="begin"/>
        </w:r>
        <w:r>
          <w:rPr>
            <w:noProof/>
            <w:webHidden/>
          </w:rPr>
          <w:instrText xml:space="preserve"> PAGEREF _Toc12261798 \h </w:instrText>
        </w:r>
        <w:r>
          <w:rPr>
            <w:noProof/>
            <w:webHidden/>
          </w:rPr>
        </w:r>
        <w:r>
          <w:rPr>
            <w:noProof/>
            <w:webHidden/>
          </w:rPr>
          <w:fldChar w:fldCharType="separate"/>
        </w:r>
        <w:r>
          <w:rPr>
            <w:noProof/>
            <w:webHidden/>
          </w:rPr>
          <w:t>609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799" w:history="1">
        <w:r w:rsidRPr="00CD0B56">
          <w:rPr>
            <w:rStyle w:val="Hyperlink"/>
            <w:noProof/>
          </w:rPr>
          <w:t>2.1.1731</w:t>
        </w:r>
        <w:r>
          <w:rPr>
            <w:rFonts w:asciiTheme="minorHAnsi" w:eastAsiaTheme="minorEastAsia" w:hAnsiTheme="minorHAnsi" w:cstheme="minorBidi"/>
            <w:noProof/>
            <w:sz w:val="22"/>
            <w:szCs w:val="22"/>
          </w:rPr>
          <w:tab/>
        </w:r>
        <w:r w:rsidRPr="00CD0B56">
          <w:rPr>
            <w:rStyle w:val="Hyperlink"/>
            <w:noProof/>
          </w:rPr>
          <w:t>Part 1 Section 22.6.2.50, Person (Person)</w:t>
        </w:r>
        <w:r>
          <w:rPr>
            <w:noProof/>
            <w:webHidden/>
          </w:rPr>
          <w:tab/>
        </w:r>
        <w:r>
          <w:rPr>
            <w:noProof/>
            <w:webHidden/>
          </w:rPr>
          <w:fldChar w:fldCharType="begin"/>
        </w:r>
        <w:r>
          <w:rPr>
            <w:noProof/>
            <w:webHidden/>
          </w:rPr>
          <w:instrText xml:space="preserve"> PAGEREF _Toc12261799 \h </w:instrText>
        </w:r>
        <w:r>
          <w:rPr>
            <w:noProof/>
            <w:webHidden/>
          </w:rPr>
        </w:r>
        <w:r>
          <w:rPr>
            <w:noProof/>
            <w:webHidden/>
          </w:rPr>
          <w:fldChar w:fldCharType="separate"/>
        </w:r>
        <w:r>
          <w:rPr>
            <w:noProof/>
            <w:webHidden/>
          </w:rPr>
          <w:t>609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00" w:history="1">
        <w:r w:rsidRPr="00CD0B56">
          <w:rPr>
            <w:rStyle w:val="Hyperlink"/>
            <w:noProof/>
          </w:rPr>
          <w:t>2.1.1732</w:t>
        </w:r>
        <w:r>
          <w:rPr>
            <w:rFonts w:asciiTheme="minorHAnsi" w:eastAsiaTheme="minorEastAsia" w:hAnsiTheme="minorHAnsi" w:cstheme="minorBidi"/>
            <w:noProof/>
            <w:sz w:val="22"/>
            <w:szCs w:val="22"/>
          </w:rPr>
          <w:tab/>
        </w:r>
        <w:r w:rsidRPr="00CD0B56">
          <w:rPr>
            <w:rStyle w:val="Hyperlink"/>
            <w:noProof/>
          </w:rPr>
          <w:t>Part 1 Section 22.6.2.59, Source (Source)</w:t>
        </w:r>
        <w:r>
          <w:rPr>
            <w:noProof/>
            <w:webHidden/>
          </w:rPr>
          <w:tab/>
        </w:r>
        <w:r>
          <w:rPr>
            <w:noProof/>
            <w:webHidden/>
          </w:rPr>
          <w:fldChar w:fldCharType="begin"/>
        </w:r>
        <w:r>
          <w:rPr>
            <w:noProof/>
            <w:webHidden/>
          </w:rPr>
          <w:instrText xml:space="preserve"> PAGEREF _Toc12261800 \h </w:instrText>
        </w:r>
        <w:r>
          <w:rPr>
            <w:noProof/>
            <w:webHidden/>
          </w:rPr>
        </w:r>
        <w:r>
          <w:rPr>
            <w:noProof/>
            <w:webHidden/>
          </w:rPr>
          <w:fldChar w:fldCharType="separate"/>
        </w:r>
        <w:r>
          <w:rPr>
            <w:noProof/>
            <w:webHidden/>
          </w:rPr>
          <w:t>609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01" w:history="1">
        <w:r w:rsidRPr="00CD0B56">
          <w:rPr>
            <w:rStyle w:val="Hyperlink"/>
            <w:noProof/>
          </w:rPr>
          <w:t>2.1.1733</w:t>
        </w:r>
        <w:r>
          <w:rPr>
            <w:rFonts w:asciiTheme="minorHAnsi" w:eastAsiaTheme="minorEastAsia" w:hAnsiTheme="minorHAnsi" w:cstheme="minorBidi"/>
            <w:noProof/>
            <w:sz w:val="22"/>
            <w:szCs w:val="22"/>
          </w:rPr>
          <w:tab/>
        </w:r>
        <w:r w:rsidRPr="00CD0B56">
          <w:rPr>
            <w:rStyle w:val="Hyperlink"/>
            <w:noProof/>
          </w:rPr>
          <w:t>Part 1 Section 22.6.2.65, Tag (Tag)</w:t>
        </w:r>
        <w:r>
          <w:rPr>
            <w:noProof/>
            <w:webHidden/>
          </w:rPr>
          <w:tab/>
        </w:r>
        <w:r>
          <w:rPr>
            <w:noProof/>
            <w:webHidden/>
          </w:rPr>
          <w:fldChar w:fldCharType="begin"/>
        </w:r>
        <w:r>
          <w:rPr>
            <w:noProof/>
            <w:webHidden/>
          </w:rPr>
          <w:instrText xml:space="preserve"> PAGEREF _Toc12261801 \h </w:instrText>
        </w:r>
        <w:r>
          <w:rPr>
            <w:noProof/>
            <w:webHidden/>
          </w:rPr>
        </w:r>
        <w:r>
          <w:rPr>
            <w:noProof/>
            <w:webHidden/>
          </w:rPr>
          <w:fldChar w:fldCharType="separate"/>
        </w:r>
        <w:r>
          <w:rPr>
            <w:noProof/>
            <w:webHidden/>
          </w:rPr>
          <w:t>609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02" w:history="1">
        <w:r w:rsidRPr="00CD0B56">
          <w:rPr>
            <w:rStyle w:val="Hyperlink"/>
            <w:noProof/>
          </w:rPr>
          <w:t>2.1.1734</w:t>
        </w:r>
        <w:r>
          <w:rPr>
            <w:rFonts w:asciiTheme="minorHAnsi" w:eastAsiaTheme="minorEastAsia" w:hAnsiTheme="minorHAnsi" w:cstheme="minorBidi"/>
            <w:noProof/>
            <w:sz w:val="22"/>
            <w:szCs w:val="22"/>
          </w:rPr>
          <w:tab/>
        </w:r>
        <w:r w:rsidRPr="00CD0B56">
          <w:rPr>
            <w:rStyle w:val="Hyperlink"/>
            <w:noProof/>
          </w:rPr>
          <w:t>Part 1 Section 22.6.2.76, YearAccessed (Year Accessed)</w:t>
        </w:r>
        <w:r>
          <w:rPr>
            <w:noProof/>
            <w:webHidden/>
          </w:rPr>
          <w:tab/>
        </w:r>
        <w:r>
          <w:rPr>
            <w:noProof/>
            <w:webHidden/>
          </w:rPr>
          <w:fldChar w:fldCharType="begin"/>
        </w:r>
        <w:r>
          <w:rPr>
            <w:noProof/>
            <w:webHidden/>
          </w:rPr>
          <w:instrText xml:space="preserve"> PAGEREF _Toc12261802 \h </w:instrText>
        </w:r>
        <w:r>
          <w:rPr>
            <w:noProof/>
            <w:webHidden/>
          </w:rPr>
        </w:r>
        <w:r>
          <w:rPr>
            <w:noProof/>
            <w:webHidden/>
          </w:rPr>
          <w:fldChar w:fldCharType="separate"/>
        </w:r>
        <w:r>
          <w:rPr>
            <w:noProof/>
            <w:webHidden/>
          </w:rPr>
          <w:t>609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03" w:history="1">
        <w:r w:rsidRPr="00CD0B56">
          <w:rPr>
            <w:rStyle w:val="Hyperlink"/>
            <w:noProof/>
          </w:rPr>
          <w:t>2.1.1735</w:t>
        </w:r>
        <w:r>
          <w:rPr>
            <w:rFonts w:asciiTheme="minorHAnsi" w:eastAsiaTheme="minorEastAsia" w:hAnsiTheme="minorHAnsi" w:cstheme="minorBidi"/>
            <w:noProof/>
            <w:sz w:val="22"/>
            <w:szCs w:val="22"/>
          </w:rPr>
          <w:tab/>
        </w:r>
        <w:r w:rsidRPr="00CD0B56">
          <w:rPr>
            <w:rStyle w:val="Hyperlink"/>
            <w:noProof/>
          </w:rPr>
          <w:t>Part 1 Section 22.8.2.1, ST_RelationshipId (Explicit Relationship ID)</w:t>
        </w:r>
        <w:r>
          <w:rPr>
            <w:noProof/>
            <w:webHidden/>
          </w:rPr>
          <w:tab/>
        </w:r>
        <w:r>
          <w:rPr>
            <w:noProof/>
            <w:webHidden/>
          </w:rPr>
          <w:fldChar w:fldCharType="begin"/>
        </w:r>
        <w:r>
          <w:rPr>
            <w:noProof/>
            <w:webHidden/>
          </w:rPr>
          <w:instrText xml:space="preserve"> PAGEREF _Toc12261803 \h </w:instrText>
        </w:r>
        <w:r>
          <w:rPr>
            <w:noProof/>
            <w:webHidden/>
          </w:rPr>
        </w:r>
        <w:r>
          <w:rPr>
            <w:noProof/>
            <w:webHidden/>
          </w:rPr>
          <w:fldChar w:fldCharType="separate"/>
        </w:r>
        <w:r>
          <w:rPr>
            <w:noProof/>
            <w:webHidden/>
          </w:rPr>
          <w:t>609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04" w:history="1">
        <w:r w:rsidRPr="00CD0B56">
          <w:rPr>
            <w:rStyle w:val="Hyperlink"/>
            <w:noProof/>
          </w:rPr>
          <w:t>2.1.1736</w:t>
        </w:r>
        <w:r>
          <w:rPr>
            <w:rFonts w:asciiTheme="minorHAnsi" w:eastAsiaTheme="minorEastAsia" w:hAnsiTheme="minorHAnsi" w:cstheme="minorBidi"/>
            <w:noProof/>
            <w:sz w:val="22"/>
            <w:szCs w:val="22"/>
          </w:rPr>
          <w:tab/>
        </w:r>
        <w:r w:rsidRPr="00CD0B56">
          <w:rPr>
            <w:rStyle w:val="Hyperlink"/>
            <w:noProof/>
          </w:rPr>
          <w:t>Part 1 Section 22.9.2.1, ST_CalendarType (Calendar Types)</w:t>
        </w:r>
        <w:r>
          <w:rPr>
            <w:noProof/>
            <w:webHidden/>
          </w:rPr>
          <w:tab/>
        </w:r>
        <w:r>
          <w:rPr>
            <w:noProof/>
            <w:webHidden/>
          </w:rPr>
          <w:fldChar w:fldCharType="begin"/>
        </w:r>
        <w:r>
          <w:rPr>
            <w:noProof/>
            <w:webHidden/>
          </w:rPr>
          <w:instrText xml:space="preserve"> PAGEREF _Toc12261804 \h </w:instrText>
        </w:r>
        <w:r>
          <w:rPr>
            <w:noProof/>
            <w:webHidden/>
          </w:rPr>
        </w:r>
        <w:r>
          <w:rPr>
            <w:noProof/>
            <w:webHidden/>
          </w:rPr>
          <w:fldChar w:fldCharType="separate"/>
        </w:r>
        <w:r>
          <w:rPr>
            <w:noProof/>
            <w:webHidden/>
          </w:rPr>
          <w:t>610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05" w:history="1">
        <w:r w:rsidRPr="00CD0B56">
          <w:rPr>
            <w:rStyle w:val="Hyperlink"/>
            <w:noProof/>
          </w:rPr>
          <w:t>2.1.1737</w:t>
        </w:r>
        <w:r>
          <w:rPr>
            <w:rFonts w:asciiTheme="minorHAnsi" w:eastAsiaTheme="minorEastAsia" w:hAnsiTheme="minorHAnsi" w:cstheme="minorBidi"/>
            <w:noProof/>
            <w:sz w:val="22"/>
            <w:szCs w:val="22"/>
          </w:rPr>
          <w:tab/>
        </w:r>
        <w:r w:rsidRPr="00CD0B56">
          <w:rPr>
            <w:rStyle w:val="Hyperlink"/>
            <w:noProof/>
          </w:rPr>
          <w:t>Part 1 Section 22.9.2.6, ST_Lang (Language Reference)</w:t>
        </w:r>
        <w:r>
          <w:rPr>
            <w:noProof/>
            <w:webHidden/>
          </w:rPr>
          <w:tab/>
        </w:r>
        <w:r>
          <w:rPr>
            <w:noProof/>
            <w:webHidden/>
          </w:rPr>
          <w:fldChar w:fldCharType="begin"/>
        </w:r>
        <w:r>
          <w:rPr>
            <w:noProof/>
            <w:webHidden/>
          </w:rPr>
          <w:instrText xml:space="preserve"> PAGEREF _Toc12261805 \h </w:instrText>
        </w:r>
        <w:r>
          <w:rPr>
            <w:noProof/>
            <w:webHidden/>
          </w:rPr>
        </w:r>
        <w:r>
          <w:rPr>
            <w:noProof/>
            <w:webHidden/>
          </w:rPr>
          <w:fldChar w:fldCharType="separate"/>
        </w:r>
        <w:r>
          <w:rPr>
            <w:noProof/>
            <w:webHidden/>
          </w:rPr>
          <w:t>610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06" w:history="1">
        <w:r w:rsidRPr="00CD0B56">
          <w:rPr>
            <w:rStyle w:val="Hyperlink"/>
            <w:noProof/>
          </w:rPr>
          <w:t>2.1.1738</w:t>
        </w:r>
        <w:r>
          <w:rPr>
            <w:rFonts w:asciiTheme="minorHAnsi" w:eastAsiaTheme="minorEastAsia" w:hAnsiTheme="minorHAnsi" w:cstheme="minorBidi"/>
            <w:noProof/>
            <w:sz w:val="22"/>
            <w:szCs w:val="22"/>
          </w:rPr>
          <w:tab/>
        </w:r>
        <w:r w:rsidRPr="00CD0B56">
          <w:rPr>
            <w:rStyle w:val="Hyperlink"/>
            <w:noProof/>
          </w:rPr>
          <w:t>Part 1 Section 22.9.2.7, ST_OnOff (On/Off Value)</w:t>
        </w:r>
        <w:r>
          <w:rPr>
            <w:noProof/>
            <w:webHidden/>
          </w:rPr>
          <w:tab/>
        </w:r>
        <w:r>
          <w:rPr>
            <w:noProof/>
            <w:webHidden/>
          </w:rPr>
          <w:fldChar w:fldCharType="begin"/>
        </w:r>
        <w:r>
          <w:rPr>
            <w:noProof/>
            <w:webHidden/>
          </w:rPr>
          <w:instrText xml:space="preserve"> PAGEREF _Toc12261806 \h </w:instrText>
        </w:r>
        <w:r>
          <w:rPr>
            <w:noProof/>
            <w:webHidden/>
          </w:rPr>
        </w:r>
        <w:r>
          <w:rPr>
            <w:noProof/>
            <w:webHidden/>
          </w:rPr>
          <w:fldChar w:fldCharType="separate"/>
        </w:r>
        <w:r>
          <w:rPr>
            <w:noProof/>
            <w:webHidden/>
          </w:rPr>
          <w:t>617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07" w:history="1">
        <w:r w:rsidRPr="00CD0B56">
          <w:rPr>
            <w:rStyle w:val="Hyperlink"/>
            <w:noProof/>
          </w:rPr>
          <w:t>2.1.1739</w:t>
        </w:r>
        <w:r>
          <w:rPr>
            <w:rFonts w:asciiTheme="minorHAnsi" w:eastAsiaTheme="minorEastAsia" w:hAnsiTheme="minorHAnsi" w:cstheme="minorBidi"/>
            <w:noProof/>
            <w:sz w:val="22"/>
            <w:szCs w:val="22"/>
          </w:rPr>
          <w:tab/>
        </w:r>
        <w:r w:rsidRPr="00CD0B56">
          <w:rPr>
            <w:rStyle w:val="Hyperlink"/>
            <w:noProof/>
          </w:rPr>
          <w:t>Part 1 Section 22.9.2.14, ST_TwipsMeasure (Measurement in Twentieths of a Point)</w:t>
        </w:r>
        <w:r>
          <w:rPr>
            <w:noProof/>
            <w:webHidden/>
          </w:rPr>
          <w:tab/>
        </w:r>
        <w:r>
          <w:rPr>
            <w:noProof/>
            <w:webHidden/>
          </w:rPr>
          <w:fldChar w:fldCharType="begin"/>
        </w:r>
        <w:r>
          <w:rPr>
            <w:noProof/>
            <w:webHidden/>
          </w:rPr>
          <w:instrText xml:space="preserve"> PAGEREF _Toc12261807 \h </w:instrText>
        </w:r>
        <w:r>
          <w:rPr>
            <w:noProof/>
            <w:webHidden/>
          </w:rPr>
        </w:r>
        <w:r>
          <w:rPr>
            <w:noProof/>
            <w:webHidden/>
          </w:rPr>
          <w:fldChar w:fldCharType="separate"/>
        </w:r>
        <w:r>
          <w:rPr>
            <w:noProof/>
            <w:webHidden/>
          </w:rPr>
          <w:t>617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08" w:history="1">
        <w:r w:rsidRPr="00CD0B56">
          <w:rPr>
            <w:rStyle w:val="Hyperlink"/>
            <w:noProof/>
          </w:rPr>
          <w:t>2.1.1740</w:t>
        </w:r>
        <w:r>
          <w:rPr>
            <w:rFonts w:asciiTheme="minorHAnsi" w:eastAsiaTheme="minorEastAsia" w:hAnsiTheme="minorHAnsi" w:cstheme="minorBidi"/>
            <w:noProof/>
            <w:sz w:val="22"/>
            <w:szCs w:val="22"/>
          </w:rPr>
          <w:tab/>
        </w:r>
        <w:r w:rsidRPr="00CD0B56">
          <w:rPr>
            <w:rStyle w:val="Hyperlink"/>
            <w:noProof/>
          </w:rPr>
          <w:t>Part 1 Section 22.9.2.16, ST_UnsignedDecimalNumber (Unsigned Decimal Number Value)</w:t>
        </w:r>
        <w:r>
          <w:rPr>
            <w:noProof/>
            <w:webHidden/>
          </w:rPr>
          <w:tab/>
        </w:r>
        <w:r>
          <w:rPr>
            <w:noProof/>
            <w:webHidden/>
          </w:rPr>
          <w:fldChar w:fldCharType="begin"/>
        </w:r>
        <w:r>
          <w:rPr>
            <w:noProof/>
            <w:webHidden/>
          </w:rPr>
          <w:instrText xml:space="preserve"> PAGEREF _Toc12261808 \h </w:instrText>
        </w:r>
        <w:r>
          <w:rPr>
            <w:noProof/>
            <w:webHidden/>
          </w:rPr>
        </w:r>
        <w:r>
          <w:rPr>
            <w:noProof/>
            <w:webHidden/>
          </w:rPr>
          <w:fldChar w:fldCharType="separate"/>
        </w:r>
        <w:r>
          <w:rPr>
            <w:noProof/>
            <w:webHidden/>
          </w:rPr>
          <w:t>618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09" w:history="1">
        <w:r w:rsidRPr="00CD0B56">
          <w:rPr>
            <w:rStyle w:val="Hyperlink"/>
            <w:noProof/>
          </w:rPr>
          <w:t>2.1.1741</w:t>
        </w:r>
        <w:r>
          <w:rPr>
            <w:rFonts w:asciiTheme="minorHAnsi" w:eastAsiaTheme="minorEastAsia" w:hAnsiTheme="minorHAnsi" w:cstheme="minorBidi"/>
            <w:noProof/>
            <w:sz w:val="22"/>
            <w:szCs w:val="22"/>
          </w:rPr>
          <w:tab/>
        </w:r>
        <w:r w:rsidRPr="00CD0B56">
          <w:rPr>
            <w:rStyle w:val="Hyperlink"/>
            <w:noProof/>
          </w:rPr>
          <w:t>Part 1 Section 22.9.2.19, ST_Xstring (Escaped String)</w:t>
        </w:r>
        <w:r>
          <w:rPr>
            <w:noProof/>
            <w:webHidden/>
          </w:rPr>
          <w:tab/>
        </w:r>
        <w:r>
          <w:rPr>
            <w:noProof/>
            <w:webHidden/>
          </w:rPr>
          <w:fldChar w:fldCharType="begin"/>
        </w:r>
        <w:r>
          <w:rPr>
            <w:noProof/>
            <w:webHidden/>
          </w:rPr>
          <w:instrText xml:space="preserve"> PAGEREF _Toc12261809 \h </w:instrText>
        </w:r>
        <w:r>
          <w:rPr>
            <w:noProof/>
            <w:webHidden/>
          </w:rPr>
        </w:r>
        <w:r>
          <w:rPr>
            <w:noProof/>
            <w:webHidden/>
          </w:rPr>
          <w:fldChar w:fldCharType="separate"/>
        </w:r>
        <w:r>
          <w:rPr>
            <w:noProof/>
            <w:webHidden/>
          </w:rPr>
          <w:t>618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10" w:history="1">
        <w:r w:rsidRPr="00CD0B56">
          <w:rPr>
            <w:rStyle w:val="Hyperlink"/>
            <w:noProof/>
          </w:rPr>
          <w:t>2.1.1742</w:t>
        </w:r>
        <w:r>
          <w:rPr>
            <w:rFonts w:asciiTheme="minorHAnsi" w:eastAsiaTheme="minorEastAsia" w:hAnsiTheme="minorHAnsi" w:cstheme="minorBidi"/>
            <w:noProof/>
            <w:sz w:val="22"/>
            <w:szCs w:val="22"/>
          </w:rPr>
          <w:tab/>
        </w:r>
        <w:r w:rsidRPr="00CD0B56">
          <w:rPr>
            <w:rStyle w:val="Hyperlink"/>
            <w:noProof/>
          </w:rPr>
          <w:t>Part 1 Section 23.2.1, schema (Custom XML Schema Reference)</w:t>
        </w:r>
        <w:r>
          <w:rPr>
            <w:noProof/>
            <w:webHidden/>
          </w:rPr>
          <w:tab/>
        </w:r>
        <w:r>
          <w:rPr>
            <w:noProof/>
            <w:webHidden/>
          </w:rPr>
          <w:fldChar w:fldCharType="begin"/>
        </w:r>
        <w:r>
          <w:rPr>
            <w:noProof/>
            <w:webHidden/>
          </w:rPr>
          <w:instrText xml:space="preserve"> PAGEREF _Toc12261810 \h </w:instrText>
        </w:r>
        <w:r>
          <w:rPr>
            <w:noProof/>
            <w:webHidden/>
          </w:rPr>
        </w:r>
        <w:r>
          <w:rPr>
            <w:noProof/>
            <w:webHidden/>
          </w:rPr>
          <w:fldChar w:fldCharType="separate"/>
        </w:r>
        <w:r>
          <w:rPr>
            <w:noProof/>
            <w:webHidden/>
          </w:rPr>
          <w:t>618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11" w:history="1">
        <w:r w:rsidRPr="00CD0B56">
          <w:rPr>
            <w:rStyle w:val="Hyperlink"/>
            <w:noProof/>
          </w:rPr>
          <w:t>2.1.1743</w:t>
        </w:r>
        <w:r>
          <w:rPr>
            <w:rFonts w:asciiTheme="minorHAnsi" w:eastAsiaTheme="minorEastAsia" w:hAnsiTheme="minorHAnsi" w:cstheme="minorBidi"/>
            <w:noProof/>
            <w:sz w:val="22"/>
            <w:szCs w:val="22"/>
          </w:rPr>
          <w:tab/>
        </w:r>
        <w:r w:rsidRPr="00CD0B56">
          <w:rPr>
            <w:rStyle w:val="Hyperlink"/>
            <w:noProof/>
          </w:rPr>
          <w:t>Part 2 Section 9.1.1.1, Part Name Syntax</w:t>
        </w:r>
        <w:r>
          <w:rPr>
            <w:noProof/>
            <w:webHidden/>
          </w:rPr>
          <w:tab/>
        </w:r>
        <w:r>
          <w:rPr>
            <w:noProof/>
            <w:webHidden/>
          </w:rPr>
          <w:fldChar w:fldCharType="begin"/>
        </w:r>
        <w:r>
          <w:rPr>
            <w:noProof/>
            <w:webHidden/>
          </w:rPr>
          <w:instrText xml:space="preserve"> PAGEREF _Toc12261811 \h </w:instrText>
        </w:r>
        <w:r>
          <w:rPr>
            <w:noProof/>
            <w:webHidden/>
          </w:rPr>
        </w:r>
        <w:r>
          <w:rPr>
            <w:noProof/>
            <w:webHidden/>
          </w:rPr>
          <w:fldChar w:fldCharType="separate"/>
        </w:r>
        <w:r>
          <w:rPr>
            <w:noProof/>
            <w:webHidden/>
          </w:rPr>
          <w:t>618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12" w:history="1">
        <w:r w:rsidRPr="00CD0B56">
          <w:rPr>
            <w:rStyle w:val="Hyperlink"/>
            <w:noProof/>
          </w:rPr>
          <w:t>2.1.1744</w:t>
        </w:r>
        <w:r>
          <w:rPr>
            <w:rFonts w:asciiTheme="minorHAnsi" w:eastAsiaTheme="minorEastAsia" w:hAnsiTheme="minorHAnsi" w:cstheme="minorBidi"/>
            <w:noProof/>
            <w:sz w:val="22"/>
            <w:szCs w:val="22"/>
          </w:rPr>
          <w:tab/>
        </w:r>
        <w:r w:rsidRPr="00CD0B56">
          <w:rPr>
            <w:rStyle w:val="Hyperlink"/>
            <w:noProof/>
          </w:rPr>
          <w:t>Part 2 Section 10.2.5, ZIP Package Limitations</w:t>
        </w:r>
        <w:r>
          <w:rPr>
            <w:noProof/>
            <w:webHidden/>
          </w:rPr>
          <w:tab/>
        </w:r>
        <w:r>
          <w:rPr>
            <w:noProof/>
            <w:webHidden/>
          </w:rPr>
          <w:fldChar w:fldCharType="begin"/>
        </w:r>
        <w:r>
          <w:rPr>
            <w:noProof/>
            <w:webHidden/>
          </w:rPr>
          <w:instrText xml:space="preserve"> PAGEREF _Toc12261812 \h </w:instrText>
        </w:r>
        <w:r>
          <w:rPr>
            <w:noProof/>
            <w:webHidden/>
          </w:rPr>
        </w:r>
        <w:r>
          <w:rPr>
            <w:noProof/>
            <w:webHidden/>
          </w:rPr>
          <w:fldChar w:fldCharType="separate"/>
        </w:r>
        <w:r>
          <w:rPr>
            <w:noProof/>
            <w:webHidden/>
          </w:rPr>
          <w:t>619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13" w:history="1">
        <w:r w:rsidRPr="00CD0B56">
          <w:rPr>
            <w:rStyle w:val="Hyperlink"/>
            <w:noProof/>
          </w:rPr>
          <w:t>2.1.1745</w:t>
        </w:r>
        <w:r>
          <w:rPr>
            <w:rFonts w:asciiTheme="minorHAnsi" w:eastAsiaTheme="minorEastAsia" w:hAnsiTheme="minorHAnsi" w:cstheme="minorBidi"/>
            <w:noProof/>
            <w:sz w:val="22"/>
            <w:szCs w:val="22"/>
          </w:rPr>
          <w:tab/>
        </w:r>
        <w:r w:rsidRPr="00CD0B56">
          <w:rPr>
            <w:rStyle w:val="Hyperlink"/>
            <w:noProof/>
          </w:rPr>
          <w:t>Part 2 Section 11, Core Properties</w:t>
        </w:r>
        <w:r>
          <w:rPr>
            <w:noProof/>
            <w:webHidden/>
          </w:rPr>
          <w:tab/>
        </w:r>
        <w:r>
          <w:rPr>
            <w:noProof/>
            <w:webHidden/>
          </w:rPr>
          <w:fldChar w:fldCharType="begin"/>
        </w:r>
        <w:r>
          <w:rPr>
            <w:noProof/>
            <w:webHidden/>
          </w:rPr>
          <w:instrText xml:space="preserve"> PAGEREF _Toc12261813 \h </w:instrText>
        </w:r>
        <w:r>
          <w:rPr>
            <w:noProof/>
            <w:webHidden/>
          </w:rPr>
        </w:r>
        <w:r>
          <w:rPr>
            <w:noProof/>
            <w:webHidden/>
          </w:rPr>
          <w:fldChar w:fldCharType="separate"/>
        </w:r>
        <w:r>
          <w:rPr>
            <w:noProof/>
            <w:webHidden/>
          </w:rPr>
          <w:t>619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14" w:history="1">
        <w:r w:rsidRPr="00CD0B56">
          <w:rPr>
            <w:rStyle w:val="Hyperlink"/>
            <w:noProof/>
          </w:rPr>
          <w:t>2.1.1746</w:t>
        </w:r>
        <w:r>
          <w:rPr>
            <w:rFonts w:asciiTheme="minorHAnsi" w:eastAsiaTheme="minorEastAsia" w:hAnsiTheme="minorHAnsi" w:cstheme="minorBidi"/>
            <w:noProof/>
            <w:sz w:val="22"/>
            <w:szCs w:val="22"/>
          </w:rPr>
          <w:tab/>
        </w:r>
        <w:r w:rsidRPr="00CD0B56">
          <w:rPr>
            <w:rStyle w:val="Hyperlink"/>
            <w:noProof/>
          </w:rPr>
          <w:t>Part 2 Section 13.2.4.24, Relationships Transform Algorithm</w:t>
        </w:r>
        <w:r>
          <w:rPr>
            <w:noProof/>
            <w:webHidden/>
          </w:rPr>
          <w:tab/>
        </w:r>
        <w:r>
          <w:rPr>
            <w:noProof/>
            <w:webHidden/>
          </w:rPr>
          <w:fldChar w:fldCharType="begin"/>
        </w:r>
        <w:r>
          <w:rPr>
            <w:noProof/>
            <w:webHidden/>
          </w:rPr>
          <w:instrText xml:space="preserve"> PAGEREF _Toc12261814 \h </w:instrText>
        </w:r>
        <w:r>
          <w:rPr>
            <w:noProof/>
            <w:webHidden/>
          </w:rPr>
        </w:r>
        <w:r>
          <w:rPr>
            <w:noProof/>
            <w:webHidden/>
          </w:rPr>
          <w:fldChar w:fldCharType="separate"/>
        </w:r>
        <w:r>
          <w:rPr>
            <w:noProof/>
            <w:webHidden/>
          </w:rPr>
          <w:t>619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15" w:history="1">
        <w:r w:rsidRPr="00CD0B56">
          <w:rPr>
            <w:rStyle w:val="Hyperlink"/>
            <w:noProof/>
          </w:rPr>
          <w:t>2.1.1747</w:t>
        </w:r>
        <w:r>
          <w:rPr>
            <w:rFonts w:asciiTheme="minorHAnsi" w:eastAsiaTheme="minorEastAsia" w:hAnsiTheme="minorHAnsi" w:cstheme="minorBidi"/>
            <w:noProof/>
            <w:sz w:val="22"/>
            <w:szCs w:val="22"/>
          </w:rPr>
          <w:tab/>
        </w:r>
        <w:r w:rsidRPr="00CD0B56">
          <w:rPr>
            <w:rStyle w:val="Hyperlink"/>
            <w:noProof/>
          </w:rPr>
          <w:t>Part 3 Section 10, Markup Compatibility Attributes and Elements</w:t>
        </w:r>
        <w:r>
          <w:rPr>
            <w:noProof/>
            <w:webHidden/>
          </w:rPr>
          <w:tab/>
        </w:r>
        <w:r>
          <w:rPr>
            <w:noProof/>
            <w:webHidden/>
          </w:rPr>
          <w:fldChar w:fldCharType="begin"/>
        </w:r>
        <w:r>
          <w:rPr>
            <w:noProof/>
            <w:webHidden/>
          </w:rPr>
          <w:instrText xml:space="preserve"> PAGEREF _Toc12261815 \h </w:instrText>
        </w:r>
        <w:r>
          <w:rPr>
            <w:noProof/>
            <w:webHidden/>
          </w:rPr>
        </w:r>
        <w:r>
          <w:rPr>
            <w:noProof/>
            <w:webHidden/>
          </w:rPr>
          <w:fldChar w:fldCharType="separate"/>
        </w:r>
        <w:r>
          <w:rPr>
            <w:noProof/>
            <w:webHidden/>
          </w:rPr>
          <w:t>619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16" w:history="1">
        <w:r w:rsidRPr="00CD0B56">
          <w:rPr>
            <w:rStyle w:val="Hyperlink"/>
            <w:noProof/>
          </w:rPr>
          <w:t>2.1.1748</w:t>
        </w:r>
        <w:r>
          <w:rPr>
            <w:rFonts w:asciiTheme="minorHAnsi" w:eastAsiaTheme="minorEastAsia" w:hAnsiTheme="minorHAnsi" w:cstheme="minorBidi"/>
            <w:noProof/>
            <w:sz w:val="22"/>
            <w:szCs w:val="22"/>
          </w:rPr>
          <w:tab/>
        </w:r>
        <w:r w:rsidRPr="00CD0B56">
          <w:rPr>
            <w:rStyle w:val="Hyperlink"/>
            <w:noProof/>
          </w:rPr>
          <w:t>Part 4 Section 8.1, VML Drawing Part</w:t>
        </w:r>
        <w:r>
          <w:rPr>
            <w:noProof/>
            <w:webHidden/>
          </w:rPr>
          <w:tab/>
        </w:r>
        <w:r>
          <w:rPr>
            <w:noProof/>
            <w:webHidden/>
          </w:rPr>
          <w:fldChar w:fldCharType="begin"/>
        </w:r>
        <w:r>
          <w:rPr>
            <w:noProof/>
            <w:webHidden/>
          </w:rPr>
          <w:instrText xml:space="preserve"> PAGEREF _Toc12261816 \h </w:instrText>
        </w:r>
        <w:r>
          <w:rPr>
            <w:noProof/>
            <w:webHidden/>
          </w:rPr>
        </w:r>
        <w:r>
          <w:rPr>
            <w:noProof/>
            <w:webHidden/>
          </w:rPr>
          <w:fldChar w:fldCharType="separate"/>
        </w:r>
        <w:r>
          <w:rPr>
            <w:noProof/>
            <w:webHidden/>
          </w:rPr>
          <w:t>619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17" w:history="1">
        <w:r w:rsidRPr="00CD0B56">
          <w:rPr>
            <w:rStyle w:val="Hyperlink"/>
            <w:noProof/>
          </w:rPr>
          <w:t>2.1.1749</w:t>
        </w:r>
        <w:r>
          <w:rPr>
            <w:rFonts w:asciiTheme="minorHAnsi" w:eastAsiaTheme="minorEastAsia" w:hAnsiTheme="minorHAnsi" w:cstheme="minorBidi"/>
            <w:noProof/>
            <w:sz w:val="22"/>
            <w:szCs w:val="22"/>
          </w:rPr>
          <w:tab/>
        </w:r>
        <w:r w:rsidRPr="00CD0B56">
          <w:rPr>
            <w:rStyle w:val="Hyperlink"/>
            <w:noProof/>
          </w:rPr>
          <w:t>Part 4 Section 14.2.1.1, Additional attribute for cnfStyle element (Part 1, 17.3.1.8)</w:t>
        </w:r>
        <w:r>
          <w:rPr>
            <w:noProof/>
            <w:webHidden/>
          </w:rPr>
          <w:tab/>
        </w:r>
        <w:r>
          <w:rPr>
            <w:noProof/>
            <w:webHidden/>
          </w:rPr>
          <w:fldChar w:fldCharType="begin"/>
        </w:r>
        <w:r>
          <w:rPr>
            <w:noProof/>
            <w:webHidden/>
          </w:rPr>
          <w:instrText xml:space="preserve"> PAGEREF _Toc12261817 \h </w:instrText>
        </w:r>
        <w:r>
          <w:rPr>
            <w:noProof/>
            <w:webHidden/>
          </w:rPr>
        </w:r>
        <w:r>
          <w:rPr>
            <w:noProof/>
            <w:webHidden/>
          </w:rPr>
          <w:fldChar w:fldCharType="separate"/>
        </w:r>
        <w:r>
          <w:rPr>
            <w:noProof/>
            <w:webHidden/>
          </w:rPr>
          <w:t>619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18" w:history="1">
        <w:r w:rsidRPr="00CD0B56">
          <w:rPr>
            <w:rStyle w:val="Hyperlink"/>
            <w:noProof/>
          </w:rPr>
          <w:t>2.1.1750</w:t>
        </w:r>
        <w:r>
          <w:rPr>
            <w:rFonts w:asciiTheme="minorHAnsi" w:eastAsiaTheme="minorEastAsia" w:hAnsiTheme="minorHAnsi" w:cstheme="minorBidi"/>
            <w:noProof/>
            <w:sz w:val="22"/>
            <w:szCs w:val="22"/>
          </w:rPr>
          <w:tab/>
        </w:r>
        <w:r w:rsidRPr="00CD0B56">
          <w:rPr>
            <w:rStyle w:val="Hyperlink"/>
            <w:noProof/>
          </w:rPr>
          <w:t>Part 4 Section 14.2.2.1, control (Floating Embedded Control)</w:t>
        </w:r>
        <w:r>
          <w:rPr>
            <w:noProof/>
            <w:webHidden/>
          </w:rPr>
          <w:tab/>
        </w:r>
        <w:r>
          <w:rPr>
            <w:noProof/>
            <w:webHidden/>
          </w:rPr>
          <w:fldChar w:fldCharType="begin"/>
        </w:r>
        <w:r>
          <w:rPr>
            <w:noProof/>
            <w:webHidden/>
          </w:rPr>
          <w:instrText xml:space="preserve"> PAGEREF _Toc12261818 \h </w:instrText>
        </w:r>
        <w:r>
          <w:rPr>
            <w:noProof/>
            <w:webHidden/>
          </w:rPr>
        </w:r>
        <w:r>
          <w:rPr>
            <w:noProof/>
            <w:webHidden/>
          </w:rPr>
          <w:fldChar w:fldCharType="separate"/>
        </w:r>
        <w:r>
          <w:rPr>
            <w:noProof/>
            <w:webHidden/>
          </w:rPr>
          <w:t>619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19" w:history="1">
        <w:r w:rsidRPr="00CD0B56">
          <w:rPr>
            <w:rStyle w:val="Hyperlink"/>
            <w:noProof/>
          </w:rPr>
          <w:t>2.1.1751</w:t>
        </w:r>
        <w:r>
          <w:rPr>
            <w:rFonts w:asciiTheme="minorHAnsi" w:eastAsiaTheme="minorEastAsia" w:hAnsiTheme="minorHAnsi" w:cstheme="minorBidi"/>
            <w:noProof/>
            <w:sz w:val="22"/>
            <w:szCs w:val="22"/>
          </w:rPr>
          <w:tab/>
        </w:r>
        <w:r w:rsidRPr="00CD0B56">
          <w:rPr>
            <w:rStyle w:val="Hyperlink"/>
            <w:noProof/>
          </w:rPr>
          <w:t>Part 4 Section 14.2.2.2, pict (VML Object)</w:t>
        </w:r>
        <w:r>
          <w:rPr>
            <w:noProof/>
            <w:webHidden/>
          </w:rPr>
          <w:tab/>
        </w:r>
        <w:r>
          <w:rPr>
            <w:noProof/>
            <w:webHidden/>
          </w:rPr>
          <w:fldChar w:fldCharType="begin"/>
        </w:r>
        <w:r>
          <w:rPr>
            <w:noProof/>
            <w:webHidden/>
          </w:rPr>
          <w:instrText xml:space="preserve"> PAGEREF _Toc12261819 \h </w:instrText>
        </w:r>
        <w:r>
          <w:rPr>
            <w:noProof/>
            <w:webHidden/>
          </w:rPr>
        </w:r>
        <w:r>
          <w:rPr>
            <w:noProof/>
            <w:webHidden/>
          </w:rPr>
          <w:fldChar w:fldCharType="separate"/>
        </w:r>
        <w:r>
          <w:rPr>
            <w:noProof/>
            <w:webHidden/>
          </w:rPr>
          <w:t>620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20" w:history="1">
        <w:r w:rsidRPr="00CD0B56">
          <w:rPr>
            <w:rStyle w:val="Hyperlink"/>
            <w:noProof/>
          </w:rPr>
          <w:t>2.1.1752</w:t>
        </w:r>
        <w:r>
          <w:rPr>
            <w:rFonts w:asciiTheme="minorHAnsi" w:eastAsiaTheme="minorEastAsia" w:hAnsiTheme="minorHAnsi" w:cstheme="minorBidi"/>
            <w:noProof/>
            <w:sz w:val="22"/>
            <w:szCs w:val="22"/>
          </w:rPr>
          <w:tab/>
        </w:r>
        <w:r w:rsidRPr="00CD0B56">
          <w:rPr>
            <w:rStyle w:val="Hyperlink"/>
            <w:noProof/>
          </w:rPr>
          <w:t>Part 4 Section 14.3.1, left (Table Cell Leading Edge Border)</w:t>
        </w:r>
        <w:r>
          <w:rPr>
            <w:noProof/>
            <w:webHidden/>
          </w:rPr>
          <w:tab/>
        </w:r>
        <w:r>
          <w:rPr>
            <w:noProof/>
            <w:webHidden/>
          </w:rPr>
          <w:fldChar w:fldCharType="begin"/>
        </w:r>
        <w:r>
          <w:rPr>
            <w:noProof/>
            <w:webHidden/>
          </w:rPr>
          <w:instrText xml:space="preserve"> PAGEREF _Toc12261820 \h </w:instrText>
        </w:r>
        <w:r>
          <w:rPr>
            <w:noProof/>
            <w:webHidden/>
          </w:rPr>
        </w:r>
        <w:r>
          <w:rPr>
            <w:noProof/>
            <w:webHidden/>
          </w:rPr>
          <w:fldChar w:fldCharType="separate"/>
        </w:r>
        <w:r>
          <w:rPr>
            <w:noProof/>
            <w:webHidden/>
          </w:rPr>
          <w:t>620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21" w:history="1">
        <w:r w:rsidRPr="00CD0B56">
          <w:rPr>
            <w:rStyle w:val="Hyperlink"/>
            <w:noProof/>
          </w:rPr>
          <w:t>2.1.1753</w:t>
        </w:r>
        <w:r>
          <w:rPr>
            <w:rFonts w:asciiTheme="minorHAnsi" w:eastAsiaTheme="minorEastAsia" w:hAnsiTheme="minorHAnsi" w:cstheme="minorBidi"/>
            <w:noProof/>
            <w:sz w:val="22"/>
            <w:szCs w:val="22"/>
          </w:rPr>
          <w:tab/>
        </w:r>
        <w:r w:rsidRPr="00CD0B56">
          <w:rPr>
            <w:rStyle w:val="Hyperlink"/>
            <w:noProof/>
          </w:rPr>
          <w:t>Part 4 Section 14.3.2, left (Table Leading Edge Border)</w:t>
        </w:r>
        <w:r>
          <w:rPr>
            <w:noProof/>
            <w:webHidden/>
          </w:rPr>
          <w:tab/>
        </w:r>
        <w:r>
          <w:rPr>
            <w:noProof/>
            <w:webHidden/>
          </w:rPr>
          <w:fldChar w:fldCharType="begin"/>
        </w:r>
        <w:r>
          <w:rPr>
            <w:noProof/>
            <w:webHidden/>
          </w:rPr>
          <w:instrText xml:space="preserve"> PAGEREF _Toc12261821 \h </w:instrText>
        </w:r>
        <w:r>
          <w:rPr>
            <w:noProof/>
            <w:webHidden/>
          </w:rPr>
        </w:r>
        <w:r>
          <w:rPr>
            <w:noProof/>
            <w:webHidden/>
          </w:rPr>
          <w:fldChar w:fldCharType="separate"/>
        </w:r>
        <w:r>
          <w:rPr>
            <w:noProof/>
            <w:webHidden/>
          </w:rPr>
          <w:t>620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22" w:history="1">
        <w:r w:rsidRPr="00CD0B56">
          <w:rPr>
            <w:rStyle w:val="Hyperlink"/>
            <w:noProof/>
          </w:rPr>
          <w:t>2.1.1754</w:t>
        </w:r>
        <w:r>
          <w:rPr>
            <w:rFonts w:asciiTheme="minorHAnsi" w:eastAsiaTheme="minorEastAsia" w:hAnsiTheme="minorHAnsi" w:cstheme="minorBidi"/>
            <w:noProof/>
            <w:sz w:val="22"/>
            <w:szCs w:val="22"/>
          </w:rPr>
          <w:tab/>
        </w:r>
        <w:r w:rsidRPr="00CD0B56">
          <w:rPr>
            <w:rStyle w:val="Hyperlink"/>
            <w:noProof/>
          </w:rPr>
          <w:t>Part 4 Section 14.3.3, left (Table Cell Leading Margin Exception)</w:t>
        </w:r>
        <w:r>
          <w:rPr>
            <w:noProof/>
            <w:webHidden/>
          </w:rPr>
          <w:tab/>
        </w:r>
        <w:r>
          <w:rPr>
            <w:noProof/>
            <w:webHidden/>
          </w:rPr>
          <w:fldChar w:fldCharType="begin"/>
        </w:r>
        <w:r>
          <w:rPr>
            <w:noProof/>
            <w:webHidden/>
          </w:rPr>
          <w:instrText xml:space="preserve"> PAGEREF _Toc12261822 \h </w:instrText>
        </w:r>
        <w:r>
          <w:rPr>
            <w:noProof/>
            <w:webHidden/>
          </w:rPr>
        </w:r>
        <w:r>
          <w:rPr>
            <w:noProof/>
            <w:webHidden/>
          </w:rPr>
          <w:fldChar w:fldCharType="separate"/>
        </w:r>
        <w:r>
          <w:rPr>
            <w:noProof/>
            <w:webHidden/>
          </w:rPr>
          <w:t>620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23" w:history="1">
        <w:r w:rsidRPr="00CD0B56">
          <w:rPr>
            <w:rStyle w:val="Hyperlink"/>
            <w:noProof/>
          </w:rPr>
          <w:t>2.1.1755</w:t>
        </w:r>
        <w:r>
          <w:rPr>
            <w:rFonts w:asciiTheme="minorHAnsi" w:eastAsiaTheme="minorEastAsia" w:hAnsiTheme="minorHAnsi" w:cstheme="minorBidi"/>
            <w:noProof/>
            <w:sz w:val="22"/>
            <w:szCs w:val="22"/>
          </w:rPr>
          <w:tab/>
        </w:r>
        <w:r w:rsidRPr="00CD0B56">
          <w:rPr>
            <w:rStyle w:val="Hyperlink"/>
            <w:noProof/>
          </w:rPr>
          <w:t>Part 4 Section 14.3.4, left (Table Cell Leading Margin Default)</w:t>
        </w:r>
        <w:r>
          <w:rPr>
            <w:noProof/>
            <w:webHidden/>
          </w:rPr>
          <w:tab/>
        </w:r>
        <w:r>
          <w:rPr>
            <w:noProof/>
            <w:webHidden/>
          </w:rPr>
          <w:fldChar w:fldCharType="begin"/>
        </w:r>
        <w:r>
          <w:rPr>
            <w:noProof/>
            <w:webHidden/>
          </w:rPr>
          <w:instrText xml:space="preserve"> PAGEREF _Toc12261823 \h </w:instrText>
        </w:r>
        <w:r>
          <w:rPr>
            <w:noProof/>
            <w:webHidden/>
          </w:rPr>
        </w:r>
        <w:r>
          <w:rPr>
            <w:noProof/>
            <w:webHidden/>
          </w:rPr>
          <w:fldChar w:fldCharType="separate"/>
        </w:r>
        <w:r>
          <w:rPr>
            <w:noProof/>
            <w:webHidden/>
          </w:rPr>
          <w:t>620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24" w:history="1">
        <w:r w:rsidRPr="00CD0B56">
          <w:rPr>
            <w:rStyle w:val="Hyperlink"/>
            <w:noProof/>
          </w:rPr>
          <w:t>2.1.1756</w:t>
        </w:r>
        <w:r>
          <w:rPr>
            <w:rFonts w:asciiTheme="minorHAnsi" w:eastAsiaTheme="minorEastAsia" w:hAnsiTheme="minorHAnsi" w:cstheme="minorBidi"/>
            <w:noProof/>
            <w:sz w:val="22"/>
            <w:szCs w:val="22"/>
          </w:rPr>
          <w:tab/>
        </w:r>
        <w:r w:rsidRPr="00CD0B56">
          <w:rPr>
            <w:rStyle w:val="Hyperlink"/>
            <w:noProof/>
          </w:rPr>
          <w:t>Part 4 Section 14.3.5, right (Table Cell Trailing Edge Border)</w:t>
        </w:r>
        <w:r>
          <w:rPr>
            <w:noProof/>
            <w:webHidden/>
          </w:rPr>
          <w:tab/>
        </w:r>
        <w:r>
          <w:rPr>
            <w:noProof/>
            <w:webHidden/>
          </w:rPr>
          <w:fldChar w:fldCharType="begin"/>
        </w:r>
        <w:r>
          <w:rPr>
            <w:noProof/>
            <w:webHidden/>
          </w:rPr>
          <w:instrText xml:space="preserve"> PAGEREF _Toc12261824 \h </w:instrText>
        </w:r>
        <w:r>
          <w:rPr>
            <w:noProof/>
            <w:webHidden/>
          </w:rPr>
        </w:r>
        <w:r>
          <w:rPr>
            <w:noProof/>
            <w:webHidden/>
          </w:rPr>
          <w:fldChar w:fldCharType="separate"/>
        </w:r>
        <w:r>
          <w:rPr>
            <w:noProof/>
            <w:webHidden/>
          </w:rPr>
          <w:t>620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25" w:history="1">
        <w:r w:rsidRPr="00CD0B56">
          <w:rPr>
            <w:rStyle w:val="Hyperlink"/>
            <w:noProof/>
          </w:rPr>
          <w:t>2.1.1757</w:t>
        </w:r>
        <w:r>
          <w:rPr>
            <w:rFonts w:asciiTheme="minorHAnsi" w:eastAsiaTheme="minorEastAsia" w:hAnsiTheme="minorHAnsi" w:cstheme="minorBidi"/>
            <w:noProof/>
            <w:sz w:val="22"/>
            <w:szCs w:val="22"/>
          </w:rPr>
          <w:tab/>
        </w:r>
        <w:r w:rsidRPr="00CD0B56">
          <w:rPr>
            <w:rStyle w:val="Hyperlink"/>
            <w:noProof/>
          </w:rPr>
          <w:t>Part 4 Section 14.3.6, right (Table Trailing Edge Border)</w:t>
        </w:r>
        <w:r>
          <w:rPr>
            <w:noProof/>
            <w:webHidden/>
          </w:rPr>
          <w:tab/>
        </w:r>
        <w:r>
          <w:rPr>
            <w:noProof/>
            <w:webHidden/>
          </w:rPr>
          <w:fldChar w:fldCharType="begin"/>
        </w:r>
        <w:r>
          <w:rPr>
            <w:noProof/>
            <w:webHidden/>
          </w:rPr>
          <w:instrText xml:space="preserve"> PAGEREF _Toc12261825 \h </w:instrText>
        </w:r>
        <w:r>
          <w:rPr>
            <w:noProof/>
            <w:webHidden/>
          </w:rPr>
        </w:r>
        <w:r>
          <w:rPr>
            <w:noProof/>
            <w:webHidden/>
          </w:rPr>
          <w:fldChar w:fldCharType="separate"/>
        </w:r>
        <w:r>
          <w:rPr>
            <w:noProof/>
            <w:webHidden/>
          </w:rPr>
          <w:t>621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26" w:history="1">
        <w:r w:rsidRPr="00CD0B56">
          <w:rPr>
            <w:rStyle w:val="Hyperlink"/>
            <w:noProof/>
          </w:rPr>
          <w:t>2.1.1758</w:t>
        </w:r>
        <w:r>
          <w:rPr>
            <w:rFonts w:asciiTheme="minorHAnsi" w:eastAsiaTheme="minorEastAsia" w:hAnsiTheme="minorHAnsi" w:cstheme="minorBidi"/>
            <w:noProof/>
            <w:sz w:val="22"/>
            <w:szCs w:val="22"/>
          </w:rPr>
          <w:tab/>
        </w:r>
        <w:r w:rsidRPr="00CD0B56">
          <w:rPr>
            <w:rStyle w:val="Hyperlink"/>
            <w:noProof/>
          </w:rPr>
          <w:t>Part 4 Section 14.3.7, right (Table Cell Trailing Margin Default)</w:t>
        </w:r>
        <w:r>
          <w:rPr>
            <w:noProof/>
            <w:webHidden/>
          </w:rPr>
          <w:tab/>
        </w:r>
        <w:r>
          <w:rPr>
            <w:noProof/>
            <w:webHidden/>
          </w:rPr>
          <w:fldChar w:fldCharType="begin"/>
        </w:r>
        <w:r>
          <w:rPr>
            <w:noProof/>
            <w:webHidden/>
          </w:rPr>
          <w:instrText xml:space="preserve"> PAGEREF _Toc12261826 \h </w:instrText>
        </w:r>
        <w:r>
          <w:rPr>
            <w:noProof/>
            <w:webHidden/>
          </w:rPr>
        </w:r>
        <w:r>
          <w:rPr>
            <w:noProof/>
            <w:webHidden/>
          </w:rPr>
          <w:fldChar w:fldCharType="separate"/>
        </w:r>
        <w:r>
          <w:rPr>
            <w:noProof/>
            <w:webHidden/>
          </w:rPr>
          <w:t>621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27" w:history="1">
        <w:r w:rsidRPr="00CD0B56">
          <w:rPr>
            <w:rStyle w:val="Hyperlink"/>
            <w:noProof/>
          </w:rPr>
          <w:t>2.1.1759</w:t>
        </w:r>
        <w:r>
          <w:rPr>
            <w:rFonts w:asciiTheme="minorHAnsi" w:eastAsiaTheme="minorEastAsia" w:hAnsiTheme="minorHAnsi" w:cstheme="minorBidi"/>
            <w:noProof/>
            <w:sz w:val="22"/>
            <w:szCs w:val="22"/>
          </w:rPr>
          <w:tab/>
        </w:r>
        <w:r w:rsidRPr="00CD0B56">
          <w:rPr>
            <w:rStyle w:val="Hyperlink"/>
            <w:noProof/>
          </w:rPr>
          <w:t>Part 4 Section 14.3.8, right (Table Cell Trailing Margin Exception)</w:t>
        </w:r>
        <w:r>
          <w:rPr>
            <w:noProof/>
            <w:webHidden/>
          </w:rPr>
          <w:tab/>
        </w:r>
        <w:r>
          <w:rPr>
            <w:noProof/>
            <w:webHidden/>
          </w:rPr>
          <w:fldChar w:fldCharType="begin"/>
        </w:r>
        <w:r>
          <w:rPr>
            <w:noProof/>
            <w:webHidden/>
          </w:rPr>
          <w:instrText xml:space="preserve"> PAGEREF _Toc12261827 \h </w:instrText>
        </w:r>
        <w:r>
          <w:rPr>
            <w:noProof/>
            <w:webHidden/>
          </w:rPr>
        </w:r>
        <w:r>
          <w:rPr>
            <w:noProof/>
            <w:webHidden/>
          </w:rPr>
          <w:fldChar w:fldCharType="separate"/>
        </w:r>
        <w:r>
          <w:rPr>
            <w:noProof/>
            <w:webHidden/>
          </w:rPr>
          <w:t>621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28" w:history="1">
        <w:r w:rsidRPr="00CD0B56">
          <w:rPr>
            <w:rStyle w:val="Hyperlink"/>
            <w:noProof/>
          </w:rPr>
          <w:t>2.1.1760</w:t>
        </w:r>
        <w:r>
          <w:rPr>
            <w:rFonts w:asciiTheme="minorHAnsi" w:eastAsiaTheme="minorEastAsia" w:hAnsiTheme="minorHAnsi" w:cstheme="minorBidi"/>
            <w:noProof/>
            <w:sz w:val="22"/>
            <w:szCs w:val="22"/>
          </w:rPr>
          <w:tab/>
        </w:r>
        <w:r w:rsidRPr="00CD0B56">
          <w:rPr>
            <w:rStyle w:val="Hyperlink"/>
            <w:noProof/>
          </w:rPr>
          <w:t>Part 4 Section 14.3.9, Additional attribute for cnfStyle element (Part 1, 17.4.7)</w:t>
        </w:r>
        <w:r>
          <w:rPr>
            <w:noProof/>
            <w:webHidden/>
          </w:rPr>
          <w:tab/>
        </w:r>
        <w:r>
          <w:rPr>
            <w:noProof/>
            <w:webHidden/>
          </w:rPr>
          <w:fldChar w:fldCharType="begin"/>
        </w:r>
        <w:r>
          <w:rPr>
            <w:noProof/>
            <w:webHidden/>
          </w:rPr>
          <w:instrText xml:space="preserve"> PAGEREF _Toc12261828 \h </w:instrText>
        </w:r>
        <w:r>
          <w:rPr>
            <w:noProof/>
            <w:webHidden/>
          </w:rPr>
        </w:r>
        <w:r>
          <w:rPr>
            <w:noProof/>
            <w:webHidden/>
          </w:rPr>
          <w:fldChar w:fldCharType="separate"/>
        </w:r>
        <w:r>
          <w:rPr>
            <w:noProof/>
            <w:webHidden/>
          </w:rPr>
          <w:t>621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29" w:history="1">
        <w:r w:rsidRPr="00CD0B56">
          <w:rPr>
            <w:rStyle w:val="Hyperlink"/>
            <w:noProof/>
          </w:rPr>
          <w:t>2.1.1761</w:t>
        </w:r>
        <w:r>
          <w:rPr>
            <w:rFonts w:asciiTheme="minorHAnsi" w:eastAsiaTheme="minorEastAsia" w:hAnsiTheme="minorHAnsi" w:cstheme="minorBidi"/>
            <w:noProof/>
            <w:sz w:val="22"/>
            <w:szCs w:val="22"/>
          </w:rPr>
          <w:tab/>
        </w:r>
        <w:r w:rsidRPr="00CD0B56">
          <w:rPr>
            <w:rStyle w:val="Hyperlink"/>
            <w:noProof/>
          </w:rPr>
          <w:t>Part 4 Section 14.3.10, Additional attribute for cnfStyle element (Part 1, 17.4.8)</w:t>
        </w:r>
        <w:r>
          <w:rPr>
            <w:noProof/>
            <w:webHidden/>
          </w:rPr>
          <w:tab/>
        </w:r>
        <w:r>
          <w:rPr>
            <w:noProof/>
            <w:webHidden/>
          </w:rPr>
          <w:fldChar w:fldCharType="begin"/>
        </w:r>
        <w:r>
          <w:rPr>
            <w:noProof/>
            <w:webHidden/>
          </w:rPr>
          <w:instrText xml:space="preserve"> PAGEREF _Toc12261829 \h </w:instrText>
        </w:r>
        <w:r>
          <w:rPr>
            <w:noProof/>
            <w:webHidden/>
          </w:rPr>
        </w:r>
        <w:r>
          <w:rPr>
            <w:noProof/>
            <w:webHidden/>
          </w:rPr>
          <w:fldChar w:fldCharType="separate"/>
        </w:r>
        <w:r>
          <w:rPr>
            <w:noProof/>
            <w:webHidden/>
          </w:rPr>
          <w:t>621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30" w:history="1">
        <w:r w:rsidRPr="00CD0B56">
          <w:rPr>
            <w:rStyle w:val="Hyperlink"/>
            <w:noProof/>
          </w:rPr>
          <w:t>2.1.1762</w:t>
        </w:r>
        <w:r>
          <w:rPr>
            <w:rFonts w:asciiTheme="minorHAnsi" w:eastAsiaTheme="minorEastAsia" w:hAnsiTheme="minorHAnsi" w:cstheme="minorBidi"/>
            <w:noProof/>
            <w:sz w:val="22"/>
            <w:szCs w:val="22"/>
          </w:rPr>
          <w:tab/>
        </w:r>
        <w:r w:rsidRPr="00CD0B56">
          <w:rPr>
            <w:rStyle w:val="Hyperlink"/>
            <w:noProof/>
          </w:rPr>
          <w:t>Part 4 Section 14.3.13, hMerge (Horizontally Merged Cell)</w:t>
        </w:r>
        <w:r>
          <w:rPr>
            <w:noProof/>
            <w:webHidden/>
          </w:rPr>
          <w:tab/>
        </w:r>
        <w:r>
          <w:rPr>
            <w:noProof/>
            <w:webHidden/>
          </w:rPr>
          <w:fldChar w:fldCharType="begin"/>
        </w:r>
        <w:r>
          <w:rPr>
            <w:noProof/>
            <w:webHidden/>
          </w:rPr>
          <w:instrText xml:space="preserve"> PAGEREF _Toc12261830 \h </w:instrText>
        </w:r>
        <w:r>
          <w:rPr>
            <w:noProof/>
            <w:webHidden/>
          </w:rPr>
        </w:r>
        <w:r>
          <w:rPr>
            <w:noProof/>
            <w:webHidden/>
          </w:rPr>
          <w:fldChar w:fldCharType="separate"/>
        </w:r>
        <w:r>
          <w:rPr>
            <w:noProof/>
            <w:webHidden/>
          </w:rPr>
          <w:t>621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31" w:history="1">
        <w:r w:rsidRPr="00CD0B56">
          <w:rPr>
            <w:rStyle w:val="Hyperlink"/>
            <w:noProof/>
          </w:rPr>
          <w:t>2.1.1763</w:t>
        </w:r>
        <w:r>
          <w:rPr>
            <w:rFonts w:asciiTheme="minorHAnsi" w:eastAsiaTheme="minorEastAsia" w:hAnsiTheme="minorHAnsi" w:cstheme="minorBidi"/>
            <w:noProof/>
            <w:sz w:val="22"/>
            <w:szCs w:val="22"/>
          </w:rPr>
          <w:tab/>
        </w:r>
        <w:r w:rsidRPr="00CD0B56">
          <w:rPr>
            <w:rStyle w:val="Hyperlink"/>
            <w:noProof/>
          </w:rPr>
          <w:t>Part 4 Section 14.5.1, pict (Picture Numbering Symbol Properties)</w:t>
        </w:r>
        <w:r>
          <w:rPr>
            <w:noProof/>
            <w:webHidden/>
          </w:rPr>
          <w:tab/>
        </w:r>
        <w:r>
          <w:rPr>
            <w:noProof/>
            <w:webHidden/>
          </w:rPr>
          <w:fldChar w:fldCharType="begin"/>
        </w:r>
        <w:r>
          <w:rPr>
            <w:noProof/>
            <w:webHidden/>
          </w:rPr>
          <w:instrText xml:space="preserve"> PAGEREF _Toc12261831 \h </w:instrText>
        </w:r>
        <w:r>
          <w:rPr>
            <w:noProof/>
            <w:webHidden/>
          </w:rPr>
        </w:r>
        <w:r>
          <w:rPr>
            <w:noProof/>
            <w:webHidden/>
          </w:rPr>
          <w:fldChar w:fldCharType="separate"/>
        </w:r>
        <w:r>
          <w:rPr>
            <w:noProof/>
            <w:webHidden/>
          </w:rPr>
          <w:t>621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32" w:history="1">
        <w:r w:rsidRPr="00CD0B56">
          <w:rPr>
            <w:rStyle w:val="Hyperlink"/>
            <w:noProof/>
          </w:rPr>
          <w:t>2.1.1764</w:t>
        </w:r>
        <w:r>
          <w:rPr>
            <w:rFonts w:asciiTheme="minorHAnsi" w:eastAsiaTheme="minorEastAsia" w:hAnsiTheme="minorHAnsi" w:cstheme="minorBidi"/>
            <w:noProof/>
            <w:sz w:val="22"/>
            <w:szCs w:val="22"/>
          </w:rPr>
          <w:tab/>
        </w:r>
        <w:r w:rsidRPr="00CD0B56">
          <w:rPr>
            <w:rStyle w:val="Hyperlink"/>
            <w:noProof/>
          </w:rPr>
          <w:t>Part 4 Section 14.5.2, legacy (Legacy Numbering Level Properties)</w:t>
        </w:r>
        <w:r>
          <w:rPr>
            <w:noProof/>
            <w:webHidden/>
          </w:rPr>
          <w:tab/>
        </w:r>
        <w:r>
          <w:rPr>
            <w:noProof/>
            <w:webHidden/>
          </w:rPr>
          <w:fldChar w:fldCharType="begin"/>
        </w:r>
        <w:r>
          <w:rPr>
            <w:noProof/>
            <w:webHidden/>
          </w:rPr>
          <w:instrText xml:space="preserve"> PAGEREF _Toc12261832 \h </w:instrText>
        </w:r>
        <w:r>
          <w:rPr>
            <w:noProof/>
            <w:webHidden/>
          </w:rPr>
        </w:r>
        <w:r>
          <w:rPr>
            <w:noProof/>
            <w:webHidden/>
          </w:rPr>
          <w:fldChar w:fldCharType="separate"/>
        </w:r>
        <w:r>
          <w:rPr>
            <w:noProof/>
            <w:webHidden/>
          </w:rPr>
          <w:t>622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33" w:history="1">
        <w:r w:rsidRPr="00CD0B56">
          <w:rPr>
            <w:rStyle w:val="Hyperlink"/>
            <w:noProof/>
          </w:rPr>
          <w:t>2.1.1765</w:t>
        </w:r>
        <w:r>
          <w:rPr>
            <w:rFonts w:asciiTheme="minorHAnsi" w:eastAsiaTheme="minorEastAsia" w:hAnsiTheme="minorHAnsi" w:cstheme="minorBidi"/>
            <w:noProof/>
            <w:sz w:val="22"/>
            <w:szCs w:val="22"/>
          </w:rPr>
          <w:tab/>
        </w:r>
        <w:r w:rsidRPr="00CD0B56">
          <w:rPr>
            <w:rStyle w:val="Hyperlink"/>
            <w:noProof/>
          </w:rPr>
          <w:t>Part 4 Section 14.6.1.1, numberingChange (Previous Numbering Field Properties)</w:t>
        </w:r>
        <w:r>
          <w:rPr>
            <w:noProof/>
            <w:webHidden/>
          </w:rPr>
          <w:tab/>
        </w:r>
        <w:r>
          <w:rPr>
            <w:noProof/>
            <w:webHidden/>
          </w:rPr>
          <w:fldChar w:fldCharType="begin"/>
        </w:r>
        <w:r>
          <w:rPr>
            <w:noProof/>
            <w:webHidden/>
          </w:rPr>
          <w:instrText xml:space="preserve"> PAGEREF _Toc12261833 \h </w:instrText>
        </w:r>
        <w:r>
          <w:rPr>
            <w:noProof/>
            <w:webHidden/>
          </w:rPr>
        </w:r>
        <w:r>
          <w:rPr>
            <w:noProof/>
            <w:webHidden/>
          </w:rPr>
          <w:fldChar w:fldCharType="separate"/>
        </w:r>
        <w:r>
          <w:rPr>
            <w:noProof/>
            <w:webHidden/>
          </w:rPr>
          <w:t>622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34" w:history="1">
        <w:r w:rsidRPr="00CD0B56">
          <w:rPr>
            <w:rStyle w:val="Hyperlink"/>
            <w:noProof/>
          </w:rPr>
          <w:t>2.1.1766</w:t>
        </w:r>
        <w:r>
          <w:rPr>
            <w:rFonts w:asciiTheme="minorHAnsi" w:eastAsiaTheme="minorEastAsia" w:hAnsiTheme="minorHAnsi" w:cstheme="minorBidi"/>
            <w:noProof/>
            <w:sz w:val="22"/>
            <w:szCs w:val="22"/>
          </w:rPr>
          <w:tab/>
        </w:r>
        <w:r w:rsidRPr="00CD0B56">
          <w:rPr>
            <w:rStyle w:val="Hyperlink"/>
            <w:noProof/>
          </w:rPr>
          <w:t>Part 4 Section 14.6.1.2, numberingChange (Previous Paragraph Numbering Properties)</w:t>
        </w:r>
        <w:r>
          <w:rPr>
            <w:noProof/>
            <w:webHidden/>
          </w:rPr>
          <w:tab/>
        </w:r>
        <w:r>
          <w:rPr>
            <w:noProof/>
            <w:webHidden/>
          </w:rPr>
          <w:fldChar w:fldCharType="begin"/>
        </w:r>
        <w:r>
          <w:rPr>
            <w:noProof/>
            <w:webHidden/>
          </w:rPr>
          <w:instrText xml:space="preserve"> PAGEREF _Toc12261834 \h </w:instrText>
        </w:r>
        <w:r>
          <w:rPr>
            <w:noProof/>
            <w:webHidden/>
          </w:rPr>
        </w:r>
        <w:r>
          <w:rPr>
            <w:noProof/>
            <w:webHidden/>
          </w:rPr>
          <w:fldChar w:fldCharType="separate"/>
        </w:r>
        <w:r>
          <w:rPr>
            <w:noProof/>
            <w:webHidden/>
          </w:rPr>
          <w:t>622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35" w:history="1">
        <w:r w:rsidRPr="00CD0B56">
          <w:rPr>
            <w:rStyle w:val="Hyperlink"/>
            <w:noProof/>
          </w:rPr>
          <w:t>2.1.1767</w:t>
        </w:r>
        <w:r>
          <w:rPr>
            <w:rFonts w:asciiTheme="minorHAnsi" w:eastAsiaTheme="minorEastAsia" w:hAnsiTheme="minorHAnsi" w:cstheme="minorBidi"/>
            <w:noProof/>
            <w:sz w:val="22"/>
            <w:szCs w:val="22"/>
          </w:rPr>
          <w:tab/>
        </w:r>
        <w:r w:rsidRPr="00CD0B56">
          <w:rPr>
            <w:rStyle w:val="Hyperlink"/>
            <w:noProof/>
          </w:rPr>
          <w:t>Part 4 Section 14.7.2.1, hdrShapeDefaults (Default Properties for VML Objects in Header and Footer)</w:t>
        </w:r>
        <w:r>
          <w:rPr>
            <w:noProof/>
            <w:webHidden/>
          </w:rPr>
          <w:tab/>
        </w:r>
        <w:r>
          <w:rPr>
            <w:noProof/>
            <w:webHidden/>
          </w:rPr>
          <w:fldChar w:fldCharType="begin"/>
        </w:r>
        <w:r>
          <w:rPr>
            <w:noProof/>
            <w:webHidden/>
          </w:rPr>
          <w:instrText xml:space="preserve"> PAGEREF _Toc12261835 \h </w:instrText>
        </w:r>
        <w:r>
          <w:rPr>
            <w:noProof/>
            <w:webHidden/>
          </w:rPr>
        </w:r>
        <w:r>
          <w:rPr>
            <w:noProof/>
            <w:webHidden/>
          </w:rPr>
          <w:fldChar w:fldCharType="separate"/>
        </w:r>
        <w:r>
          <w:rPr>
            <w:noProof/>
            <w:webHidden/>
          </w:rPr>
          <w:t>625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36" w:history="1">
        <w:r w:rsidRPr="00CD0B56">
          <w:rPr>
            <w:rStyle w:val="Hyperlink"/>
            <w:noProof/>
          </w:rPr>
          <w:t>2.1.1768</w:t>
        </w:r>
        <w:r>
          <w:rPr>
            <w:rFonts w:asciiTheme="minorHAnsi" w:eastAsiaTheme="minorEastAsia" w:hAnsiTheme="minorHAnsi" w:cstheme="minorBidi"/>
            <w:noProof/>
            <w:sz w:val="22"/>
            <w:szCs w:val="22"/>
          </w:rPr>
          <w:tab/>
        </w:r>
        <w:r w:rsidRPr="00CD0B56">
          <w:rPr>
            <w:rStyle w:val="Hyperlink"/>
            <w:noProof/>
          </w:rPr>
          <w:t>Part 4 Section 14.7.2.2, shapeDefaults (Default Properties for VML Objects in Main Document)</w:t>
        </w:r>
        <w:r>
          <w:rPr>
            <w:noProof/>
            <w:webHidden/>
          </w:rPr>
          <w:tab/>
        </w:r>
        <w:r>
          <w:rPr>
            <w:noProof/>
            <w:webHidden/>
          </w:rPr>
          <w:fldChar w:fldCharType="begin"/>
        </w:r>
        <w:r>
          <w:rPr>
            <w:noProof/>
            <w:webHidden/>
          </w:rPr>
          <w:instrText xml:space="preserve"> PAGEREF _Toc12261836 \h </w:instrText>
        </w:r>
        <w:r>
          <w:rPr>
            <w:noProof/>
            <w:webHidden/>
          </w:rPr>
        </w:r>
        <w:r>
          <w:rPr>
            <w:noProof/>
            <w:webHidden/>
          </w:rPr>
          <w:fldChar w:fldCharType="separate"/>
        </w:r>
        <w:r>
          <w:rPr>
            <w:noProof/>
            <w:webHidden/>
          </w:rPr>
          <w:t>625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37" w:history="1">
        <w:r w:rsidRPr="00CD0B56">
          <w:rPr>
            <w:rStyle w:val="Hyperlink"/>
            <w:noProof/>
          </w:rPr>
          <w:t>2.1.1769</w:t>
        </w:r>
        <w:r>
          <w:rPr>
            <w:rFonts w:asciiTheme="minorHAnsi" w:eastAsiaTheme="minorEastAsia" w:hAnsiTheme="minorHAnsi" w:cstheme="minorBidi"/>
            <w:noProof/>
            <w:sz w:val="22"/>
            <w:szCs w:val="22"/>
          </w:rPr>
          <w:tab/>
        </w:r>
        <w:r w:rsidRPr="00CD0B56">
          <w:rPr>
            <w:rStyle w:val="Hyperlink"/>
            <w:noProof/>
          </w:rPr>
          <w:t>Part 4 Section 14.7.2.5, Additional attributes for writeProtection element (Part 1, 17.15.1.93)</w:t>
        </w:r>
        <w:r>
          <w:rPr>
            <w:noProof/>
            <w:webHidden/>
          </w:rPr>
          <w:tab/>
        </w:r>
        <w:r>
          <w:rPr>
            <w:noProof/>
            <w:webHidden/>
          </w:rPr>
          <w:fldChar w:fldCharType="begin"/>
        </w:r>
        <w:r>
          <w:rPr>
            <w:noProof/>
            <w:webHidden/>
          </w:rPr>
          <w:instrText xml:space="preserve"> PAGEREF _Toc12261837 \h </w:instrText>
        </w:r>
        <w:r>
          <w:rPr>
            <w:noProof/>
            <w:webHidden/>
          </w:rPr>
        </w:r>
        <w:r>
          <w:rPr>
            <w:noProof/>
            <w:webHidden/>
          </w:rPr>
          <w:fldChar w:fldCharType="separate"/>
        </w:r>
        <w:r>
          <w:rPr>
            <w:noProof/>
            <w:webHidden/>
          </w:rPr>
          <w:t>625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38" w:history="1">
        <w:r w:rsidRPr="00CD0B56">
          <w:rPr>
            <w:rStyle w:val="Hyperlink"/>
            <w:noProof/>
          </w:rPr>
          <w:t>2.1.1770</w:t>
        </w:r>
        <w:r>
          <w:rPr>
            <w:rFonts w:asciiTheme="minorHAnsi" w:eastAsiaTheme="minorEastAsia" w:hAnsiTheme="minorHAnsi" w:cstheme="minorBidi"/>
            <w:noProof/>
            <w:sz w:val="22"/>
            <w:szCs w:val="22"/>
          </w:rPr>
          <w:tab/>
        </w:r>
        <w:r w:rsidRPr="00CD0B56">
          <w:rPr>
            <w:rStyle w:val="Hyperlink"/>
            <w:noProof/>
          </w:rPr>
          <w:t>Part 4 Section 14.7.3.6, convMailMergeEsc (Treat Backslash Quotation Delimiter as Two Quotation Marks)</w:t>
        </w:r>
        <w:r>
          <w:rPr>
            <w:noProof/>
            <w:webHidden/>
          </w:rPr>
          <w:tab/>
        </w:r>
        <w:r>
          <w:rPr>
            <w:noProof/>
            <w:webHidden/>
          </w:rPr>
          <w:fldChar w:fldCharType="begin"/>
        </w:r>
        <w:r>
          <w:rPr>
            <w:noProof/>
            <w:webHidden/>
          </w:rPr>
          <w:instrText xml:space="preserve"> PAGEREF _Toc12261838 \h </w:instrText>
        </w:r>
        <w:r>
          <w:rPr>
            <w:noProof/>
            <w:webHidden/>
          </w:rPr>
        </w:r>
        <w:r>
          <w:rPr>
            <w:noProof/>
            <w:webHidden/>
          </w:rPr>
          <w:fldChar w:fldCharType="separate"/>
        </w:r>
        <w:r>
          <w:rPr>
            <w:noProof/>
            <w:webHidden/>
          </w:rPr>
          <w:t>625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39" w:history="1">
        <w:r w:rsidRPr="00CD0B56">
          <w:rPr>
            <w:rStyle w:val="Hyperlink"/>
            <w:noProof/>
          </w:rPr>
          <w:t>2.1.1771</w:t>
        </w:r>
        <w:r>
          <w:rPr>
            <w:rFonts w:asciiTheme="minorHAnsi" w:eastAsiaTheme="minorEastAsia" w:hAnsiTheme="minorHAnsi" w:cstheme="minorBidi"/>
            <w:noProof/>
            <w:sz w:val="22"/>
            <w:szCs w:val="22"/>
          </w:rPr>
          <w:tab/>
        </w:r>
        <w:r w:rsidRPr="00CD0B56">
          <w:rPr>
            <w:rStyle w:val="Hyperlink"/>
            <w:noProof/>
          </w:rPr>
          <w:t>Part 4 Section 14.7.3.8, doNotAutofitConstrainedTables (Do Not AutoFit Tables To Fit Next To Wrapped Objects)</w:t>
        </w:r>
        <w:r>
          <w:rPr>
            <w:noProof/>
            <w:webHidden/>
          </w:rPr>
          <w:tab/>
        </w:r>
        <w:r>
          <w:rPr>
            <w:noProof/>
            <w:webHidden/>
          </w:rPr>
          <w:fldChar w:fldCharType="begin"/>
        </w:r>
        <w:r>
          <w:rPr>
            <w:noProof/>
            <w:webHidden/>
          </w:rPr>
          <w:instrText xml:space="preserve"> PAGEREF _Toc12261839 \h </w:instrText>
        </w:r>
        <w:r>
          <w:rPr>
            <w:noProof/>
            <w:webHidden/>
          </w:rPr>
        </w:r>
        <w:r>
          <w:rPr>
            <w:noProof/>
            <w:webHidden/>
          </w:rPr>
          <w:fldChar w:fldCharType="separate"/>
        </w:r>
        <w:r>
          <w:rPr>
            <w:noProof/>
            <w:webHidden/>
          </w:rPr>
          <w:t>625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40" w:history="1">
        <w:r w:rsidRPr="00CD0B56">
          <w:rPr>
            <w:rStyle w:val="Hyperlink"/>
            <w:noProof/>
          </w:rPr>
          <w:t>2.1.1772</w:t>
        </w:r>
        <w:r>
          <w:rPr>
            <w:rFonts w:asciiTheme="minorHAnsi" w:eastAsiaTheme="minorEastAsia" w:hAnsiTheme="minorHAnsi" w:cstheme="minorBidi"/>
            <w:noProof/>
            <w:sz w:val="22"/>
            <w:szCs w:val="22"/>
          </w:rPr>
          <w:tab/>
        </w:r>
        <w:r w:rsidRPr="00CD0B56">
          <w:rPr>
            <w:rStyle w:val="Hyperlink"/>
            <w:noProof/>
          </w:rPr>
          <w:t>Part 4 Section 14.7.3.13, doNotSuppressParagraphBorders (Do Not Suppress Paragraph Borders Next To Frames)</w:t>
        </w:r>
        <w:r>
          <w:rPr>
            <w:noProof/>
            <w:webHidden/>
          </w:rPr>
          <w:tab/>
        </w:r>
        <w:r>
          <w:rPr>
            <w:noProof/>
            <w:webHidden/>
          </w:rPr>
          <w:fldChar w:fldCharType="begin"/>
        </w:r>
        <w:r>
          <w:rPr>
            <w:noProof/>
            <w:webHidden/>
          </w:rPr>
          <w:instrText xml:space="preserve"> PAGEREF _Toc12261840 \h </w:instrText>
        </w:r>
        <w:r>
          <w:rPr>
            <w:noProof/>
            <w:webHidden/>
          </w:rPr>
        </w:r>
        <w:r>
          <w:rPr>
            <w:noProof/>
            <w:webHidden/>
          </w:rPr>
          <w:fldChar w:fldCharType="separate"/>
        </w:r>
        <w:r>
          <w:rPr>
            <w:noProof/>
            <w:webHidden/>
          </w:rPr>
          <w:t>626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41" w:history="1">
        <w:r w:rsidRPr="00CD0B56">
          <w:rPr>
            <w:rStyle w:val="Hyperlink"/>
            <w:noProof/>
          </w:rPr>
          <w:t>2.1.1773</w:t>
        </w:r>
        <w:r>
          <w:rPr>
            <w:rFonts w:asciiTheme="minorHAnsi" w:eastAsiaTheme="minorEastAsia" w:hAnsiTheme="minorHAnsi" w:cstheme="minorBidi"/>
            <w:noProof/>
            <w:sz w:val="22"/>
            <w:szCs w:val="22"/>
          </w:rPr>
          <w:tab/>
        </w:r>
        <w:r w:rsidRPr="00CD0B56">
          <w:rPr>
            <w:rStyle w:val="Hyperlink"/>
            <w:noProof/>
          </w:rPr>
          <w:t>Part 4 Section 14.8.1.1, txbxContent (Rich Text Box Content Container)</w:t>
        </w:r>
        <w:r>
          <w:rPr>
            <w:noProof/>
            <w:webHidden/>
          </w:rPr>
          <w:tab/>
        </w:r>
        <w:r>
          <w:rPr>
            <w:noProof/>
            <w:webHidden/>
          </w:rPr>
          <w:fldChar w:fldCharType="begin"/>
        </w:r>
        <w:r>
          <w:rPr>
            <w:noProof/>
            <w:webHidden/>
          </w:rPr>
          <w:instrText xml:space="preserve"> PAGEREF _Toc12261841 \h </w:instrText>
        </w:r>
        <w:r>
          <w:rPr>
            <w:noProof/>
            <w:webHidden/>
          </w:rPr>
        </w:r>
        <w:r>
          <w:rPr>
            <w:noProof/>
            <w:webHidden/>
          </w:rPr>
          <w:fldChar w:fldCharType="separate"/>
        </w:r>
        <w:r>
          <w:rPr>
            <w:noProof/>
            <w:webHidden/>
          </w:rPr>
          <w:t>626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42" w:history="1">
        <w:r w:rsidRPr="00CD0B56">
          <w:rPr>
            <w:rStyle w:val="Hyperlink"/>
            <w:noProof/>
          </w:rPr>
          <w:t>2.1.1774</w:t>
        </w:r>
        <w:r>
          <w:rPr>
            <w:rFonts w:asciiTheme="minorHAnsi" w:eastAsiaTheme="minorEastAsia" w:hAnsiTheme="minorHAnsi" w:cstheme="minorBidi"/>
            <w:noProof/>
            <w:sz w:val="22"/>
            <w:szCs w:val="22"/>
          </w:rPr>
          <w:tab/>
        </w:r>
        <w:r w:rsidRPr="00CD0B56">
          <w:rPr>
            <w:rStyle w:val="Hyperlink"/>
            <w:noProof/>
          </w:rPr>
          <w:t>Part 4 Section 14.9.4.1, AUTONUM</w:t>
        </w:r>
        <w:r>
          <w:rPr>
            <w:noProof/>
            <w:webHidden/>
          </w:rPr>
          <w:tab/>
        </w:r>
        <w:r>
          <w:rPr>
            <w:noProof/>
            <w:webHidden/>
          </w:rPr>
          <w:fldChar w:fldCharType="begin"/>
        </w:r>
        <w:r>
          <w:rPr>
            <w:noProof/>
            <w:webHidden/>
          </w:rPr>
          <w:instrText xml:space="preserve"> PAGEREF _Toc12261842 \h </w:instrText>
        </w:r>
        <w:r>
          <w:rPr>
            <w:noProof/>
            <w:webHidden/>
          </w:rPr>
        </w:r>
        <w:r>
          <w:rPr>
            <w:noProof/>
            <w:webHidden/>
          </w:rPr>
          <w:fldChar w:fldCharType="separate"/>
        </w:r>
        <w:r>
          <w:rPr>
            <w:noProof/>
            <w:webHidden/>
          </w:rPr>
          <w:t>626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43" w:history="1">
        <w:r w:rsidRPr="00CD0B56">
          <w:rPr>
            <w:rStyle w:val="Hyperlink"/>
            <w:noProof/>
          </w:rPr>
          <w:t>2.1.1775</w:t>
        </w:r>
        <w:r>
          <w:rPr>
            <w:rFonts w:asciiTheme="minorHAnsi" w:eastAsiaTheme="minorEastAsia" w:hAnsiTheme="minorHAnsi" w:cstheme="minorBidi"/>
            <w:noProof/>
            <w:sz w:val="22"/>
            <w:szCs w:val="22"/>
          </w:rPr>
          <w:tab/>
        </w:r>
        <w:r w:rsidRPr="00CD0B56">
          <w:rPr>
            <w:rStyle w:val="Hyperlink"/>
            <w:noProof/>
          </w:rPr>
          <w:t>Part 4 Section 14.9.4.2, AUTONUMLGL</w:t>
        </w:r>
        <w:r>
          <w:rPr>
            <w:noProof/>
            <w:webHidden/>
          </w:rPr>
          <w:tab/>
        </w:r>
        <w:r>
          <w:rPr>
            <w:noProof/>
            <w:webHidden/>
          </w:rPr>
          <w:fldChar w:fldCharType="begin"/>
        </w:r>
        <w:r>
          <w:rPr>
            <w:noProof/>
            <w:webHidden/>
          </w:rPr>
          <w:instrText xml:space="preserve"> PAGEREF _Toc12261843 \h </w:instrText>
        </w:r>
        <w:r>
          <w:rPr>
            <w:noProof/>
            <w:webHidden/>
          </w:rPr>
        </w:r>
        <w:r>
          <w:rPr>
            <w:noProof/>
            <w:webHidden/>
          </w:rPr>
          <w:fldChar w:fldCharType="separate"/>
        </w:r>
        <w:r>
          <w:rPr>
            <w:noProof/>
            <w:webHidden/>
          </w:rPr>
          <w:t>626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44" w:history="1">
        <w:r w:rsidRPr="00CD0B56">
          <w:rPr>
            <w:rStyle w:val="Hyperlink"/>
            <w:noProof/>
          </w:rPr>
          <w:t>2.1.1776</w:t>
        </w:r>
        <w:r>
          <w:rPr>
            <w:rFonts w:asciiTheme="minorHAnsi" w:eastAsiaTheme="minorEastAsia" w:hAnsiTheme="minorHAnsi" w:cstheme="minorBidi"/>
            <w:noProof/>
            <w:sz w:val="22"/>
            <w:szCs w:val="22"/>
          </w:rPr>
          <w:tab/>
        </w:r>
        <w:r w:rsidRPr="00CD0B56">
          <w:rPr>
            <w:rStyle w:val="Hyperlink"/>
            <w:noProof/>
          </w:rPr>
          <w:t>Part 4 Section 14.9.4.3, AUTONUMOUT</w:t>
        </w:r>
        <w:r>
          <w:rPr>
            <w:noProof/>
            <w:webHidden/>
          </w:rPr>
          <w:tab/>
        </w:r>
        <w:r>
          <w:rPr>
            <w:noProof/>
            <w:webHidden/>
          </w:rPr>
          <w:fldChar w:fldCharType="begin"/>
        </w:r>
        <w:r>
          <w:rPr>
            <w:noProof/>
            <w:webHidden/>
          </w:rPr>
          <w:instrText xml:space="preserve"> PAGEREF _Toc12261844 \h </w:instrText>
        </w:r>
        <w:r>
          <w:rPr>
            <w:noProof/>
            <w:webHidden/>
          </w:rPr>
        </w:r>
        <w:r>
          <w:rPr>
            <w:noProof/>
            <w:webHidden/>
          </w:rPr>
          <w:fldChar w:fldCharType="separate"/>
        </w:r>
        <w:r>
          <w:rPr>
            <w:noProof/>
            <w:webHidden/>
          </w:rPr>
          <w:t>626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45" w:history="1">
        <w:r w:rsidRPr="00CD0B56">
          <w:rPr>
            <w:rStyle w:val="Hyperlink"/>
            <w:noProof/>
          </w:rPr>
          <w:t>2.1.1777</w:t>
        </w:r>
        <w:r>
          <w:rPr>
            <w:rFonts w:asciiTheme="minorHAnsi" w:eastAsiaTheme="minorEastAsia" w:hAnsiTheme="minorHAnsi" w:cstheme="minorBidi"/>
            <w:noProof/>
            <w:sz w:val="22"/>
            <w:szCs w:val="22"/>
          </w:rPr>
          <w:tab/>
        </w:r>
        <w:r w:rsidRPr="00CD0B56">
          <w:rPr>
            <w:rStyle w:val="Hyperlink"/>
            <w:noProof/>
          </w:rPr>
          <w:t>Part 4 Section 14.9.4.4, BARCODE</w:t>
        </w:r>
        <w:r>
          <w:rPr>
            <w:noProof/>
            <w:webHidden/>
          </w:rPr>
          <w:tab/>
        </w:r>
        <w:r>
          <w:rPr>
            <w:noProof/>
            <w:webHidden/>
          </w:rPr>
          <w:fldChar w:fldCharType="begin"/>
        </w:r>
        <w:r>
          <w:rPr>
            <w:noProof/>
            <w:webHidden/>
          </w:rPr>
          <w:instrText xml:space="preserve"> PAGEREF _Toc12261845 \h </w:instrText>
        </w:r>
        <w:r>
          <w:rPr>
            <w:noProof/>
            <w:webHidden/>
          </w:rPr>
        </w:r>
        <w:r>
          <w:rPr>
            <w:noProof/>
            <w:webHidden/>
          </w:rPr>
          <w:fldChar w:fldCharType="separate"/>
        </w:r>
        <w:r>
          <w:rPr>
            <w:noProof/>
            <w:webHidden/>
          </w:rPr>
          <w:t>627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46" w:history="1">
        <w:r w:rsidRPr="00CD0B56">
          <w:rPr>
            <w:rStyle w:val="Hyperlink"/>
            <w:noProof/>
          </w:rPr>
          <w:t>2.1.1778</w:t>
        </w:r>
        <w:r>
          <w:rPr>
            <w:rFonts w:asciiTheme="minorHAnsi" w:eastAsiaTheme="minorEastAsia" w:hAnsiTheme="minorHAnsi" w:cstheme="minorBidi"/>
            <w:noProof/>
            <w:sz w:val="22"/>
            <w:szCs w:val="22"/>
          </w:rPr>
          <w:tab/>
        </w:r>
        <w:r w:rsidRPr="00CD0B56">
          <w:rPr>
            <w:rStyle w:val="Hyperlink"/>
            <w:noProof/>
          </w:rPr>
          <w:t>Part 4 Section 14.9.4.5, BIDIOUTLINE</w:t>
        </w:r>
        <w:r>
          <w:rPr>
            <w:noProof/>
            <w:webHidden/>
          </w:rPr>
          <w:tab/>
        </w:r>
        <w:r>
          <w:rPr>
            <w:noProof/>
            <w:webHidden/>
          </w:rPr>
          <w:fldChar w:fldCharType="begin"/>
        </w:r>
        <w:r>
          <w:rPr>
            <w:noProof/>
            <w:webHidden/>
          </w:rPr>
          <w:instrText xml:space="preserve"> PAGEREF _Toc12261846 \h </w:instrText>
        </w:r>
        <w:r>
          <w:rPr>
            <w:noProof/>
            <w:webHidden/>
          </w:rPr>
        </w:r>
        <w:r>
          <w:rPr>
            <w:noProof/>
            <w:webHidden/>
          </w:rPr>
          <w:fldChar w:fldCharType="separate"/>
        </w:r>
        <w:r>
          <w:rPr>
            <w:noProof/>
            <w:webHidden/>
          </w:rPr>
          <w:t>627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47" w:history="1">
        <w:r w:rsidRPr="00CD0B56">
          <w:rPr>
            <w:rStyle w:val="Hyperlink"/>
            <w:noProof/>
          </w:rPr>
          <w:t>2.1.1779</w:t>
        </w:r>
        <w:r>
          <w:rPr>
            <w:rFonts w:asciiTheme="minorHAnsi" w:eastAsiaTheme="minorEastAsia" w:hAnsiTheme="minorHAnsi" w:cstheme="minorBidi"/>
            <w:noProof/>
            <w:sz w:val="22"/>
            <w:szCs w:val="22"/>
          </w:rPr>
          <w:tab/>
        </w:r>
        <w:r w:rsidRPr="00CD0B56">
          <w:rPr>
            <w:rStyle w:val="Hyperlink"/>
            <w:noProof/>
          </w:rPr>
          <w:t>Part 4 Section 14.9.4.6, EQ</w:t>
        </w:r>
        <w:r>
          <w:rPr>
            <w:noProof/>
            <w:webHidden/>
          </w:rPr>
          <w:tab/>
        </w:r>
        <w:r>
          <w:rPr>
            <w:noProof/>
            <w:webHidden/>
          </w:rPr>
          <w:fldChar w:fldCharType="begin"/>
        </w:r>
        <w:r>
          <w:rPr>
            <w:noProof/>
            <w:webHidden/>
          </w:rPr>
          <w:instrText xml:space="preserve"> PAGEREF _Toc12261847 \h </w:instrText>
        </w:r>
        <w:r>
          <w:rPr>
            <w:noProof/>
            <w:webHidden/>
          </w:rPr>
        </w:r>
        <w:r>
          <w:rPr>
            <w:noProof/>
            <w:webHidden/>
          </w:rPr>
          <w:fldChar w:fldCharType="separate"/>
        </w:r>
        <w:r>
          <w:rPr>
            <w:noProof/>
            <w:webHidden/>
          </w:rPr>
          <w:t>627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48" w:history="1">
        <w:r w:rsidRPr="00CD0B56">
          <w:rPr>
            <w:rStyle w:val="Hyperlink"/>
            <w:noProof/>
          </w:rPr>
          <w:t>2.1.1780</w:t>
        </w:r>
        <w:r>
          <w:rPr>
            <w:rFonts w:asciiTheme="minorHAnsi" w:eastAsiaTheme="minorEastAsia" w:hAnsiTheme="minorHAnsi" w:cstheme="minorBidi"/>
            <w:noProof/>
            <w:sz w:val="22"/>
            <w:szCs w:val="22"/>
          </w:rPr>
          <w:tab/>
        </w:r>
        <w:r w:rsidRPr="00CD0B56">
          <w:rPr>
            <w:rStyle w:val="Hyperlink"/>
            <w:noProof/>
          </w:rPr>
          <w:t>Part 4 Section 14.10.5, Additional enumeration values for ST_StyleSort (Part 1, 17.18.82)</w:t>
        </w:r>
        <w:r>
          <w:rPr>
            <w:noProof/>
            <w:webHidden/>
          </w:rPr>
          <w:tab/>
        </w:r>
        <w:r>
          <w:rPr>
            <w:noProof/>
            <w:webHidden/>
          </w:rPr>
          <w:fldChar w:fldCharType="begin"/>
        </w:r>
        <w:r>
          <w:rPr>
            <w:noProof/>
            <w:webHidden/>
          </w:rPr>
          <w:instrText xml:space="preserve"> PAGEREF _Toc12261848 \h </w:instrText>
        </w:r>
        <w:r>
          <w:rPr>
            <w:noProof/>
            <w:webHidden/>
          </w:rPr>
        </w:r>
        <w:r>
          <w:rPr>
            <w:noProof/>
            <w:webHidden/>
          </w:rPr>
          <w:fldChar w:fldCharType="separate"/>
        </w:r>
        <w:r>
          <w:rPr>
            <w:noProof/>
            <w:webHidden/>
          </w:rPr>
          <w:t>628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49" w:history="1">
        <w:r w:rsidRPr="00CD0B56">
          <w:rPr>
            <w:rStyle w:val="Hyperlink"/>
            <w:noProof/>
          </w:rPr>
          <w:t>2.1.1781</w:t>
        </w:r>
        <w:r>
          <w:rPr>
            <w:rFonts w:asciiTheme="minorHAnsi" w:eastAsiaTheme="minorEastAsia" w:hAnsiTheme="minorHAnsi" w:cstheme="minorBidi"/>
            <w:noProof/>
            <w:sz w:val="22"/>
            <w:szCs w:val="22"/>
          </w:rPr>
          <w:tab/>
        </w:r>
        <w:r w:rsidRPr="00CD0B56">
          <w:rPr>
            <w:rStyle w:val="Hyperlink"/>
            <w:noProof/>
          </w:rPr>
          <w:t>Part 4 Section 17.1.2.10, ST_TextFontScalePercent (Text Font Scale Percentage)</w:t>
        </w:r>
        <w:r>
          <w:rPr>
            <w:noProof/>
            <w:webHidden/>
          </w:rPr>
          <w:tab/>
        </w:r>
        <w:r>
          <w:rPr>
            <w:noProof/>
            <w:webHidden/>
          </w:rPr>
          <w:fldChar w:fldCharType="begin"/>
        </w:r>
        <w:r>
          <w:rPr>
            <w:noProof/>
            <w:webHidden/>
          </w:rPr>
          <w:instrText xml:space="preserve"> PAGEREF _Toc12261849 \h </w:instrText>
        </w:r>
        <w:r>
          <w:rPr>
            <w:noProof/>
            <w:webHidden/>
          </w:rPr>
        </w:r>
        <w:r>
          <w:rPr>
            <w:noProof/>
            <w:webHidden/>
          </w:rPr>
          <w:fldChar w:fldCharType="separate"/>
        </w:r>
        <w:r>
          <w:rPr>
            <w:noProof/>
            <w:webHidden/>
          </w:rPr>
          <w:t>628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50" w:history="1">
        <w:r w:rsidRPr="00CD0B56">
          <w:rPr>
            <w:rStyle w:val="Hyperlink"/>
            <w:noProof/>
          </w:rPr>
          <w:t>2.1.1782</w:t>
        </w:r>
        <w:r>
          <w:rPr>
            <w:rFonts w:asciiTheme="minorHAnsi" w:eastAsiaTheme="minorEastAsia" w:hAnsiTheme="minorHAnsi" w:cstheme="minorBidi"/>
            <w:noProof/>
            <w:sz w:val="22"/>
            <w:szCs w:val="22"/>
          </w:rPr>
          <w:tab/>
        </w:r>
        <w:r w:rsidRPr="00CD0B56">
          <w:rPr>
            <w:rStyle w:val="Hyperlink"/>
            <w:noProof/>
          </w:rPr>
          <w:t>Part 4 Section 17.1.2.11, ST_TextSpacingPercent (Text Spacing Percent)</w:t>
        </w:r>
        <w:r>
          <w:rPr>
            <w:noProof/>
            <w:webHidden/>
          </w:rPr>
          <w:tab/>
        </w:r>
        <w:r>
          <w:rPr>
            <w:noProof/>
            <w:webHidden/>
          </w:rPr>
          <w:fldChar w:fldCharType="begin"/>
        </w:r>
        <w:r>
          <w:rPr>
            <w:noProof/>
            <w:webHidden/>
          </w:rPr>
          <w:instrText xml:space="preserve"> PAGEREF _Toc12261850 \h </w:instrText>
        </w:r>
        <w:r>
          <w:rPr>
            <w:noProof/>
            <w:webHidden/>
          </w:rPr>
        </w:r>
        <w:r>
          <w:rPr>
            <w:noProof/>
            <w:webHidden/>
          </w:rPr>
          <w:fldChar w:fldCharType="separate"/>
        </w:r>
        <w:r>
          <w:rPr>
            <w:noProof/>
            <w:webHidden/>
          </w:rPr>
          <w:t>628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51" w:history="1">
        <w:r w:rsidRPr="00CD0B56">
          <w:rPr>
            <w:rStyle w:val="Hyperlink"/>
            <w:noProof/>
          </w:rPr>
          <w:t>2.1.1783</w:t>
        </w:r>
        <w:r>
          <w:rPr>
            <w:rFonts w:asciiTheme="minorHAnsi" w:eastAsiaTheme="minorEastAsia" w:hAnsiTheme="minorHAnsi" w:cstheme="minorBidi"/>
            <w:noProof/>
            <w:sz w:val="22"/>
            <w:szCs w:val="22"/>
          </w:rPr>
          <w:tab/>
        </w:r>
        <w:r w:rsidRPr="00CD0B56">
          <w:rPr>
            <w:rStyle w:val="Hyperlink"/>
            <w:noProof/>
          </w:rPr>
          <w:t>Part 4 Section 19.1, VML</w:t>
        </w:r>
        <w:r>
          <w:rPr>
            <w:noProof/>
            <w:webHidden/>
          </w:rPr>
          <w:tab/>
        </w:r>
        <w:r>
          <w:rPr>
            <w:noProof/>
            <w:webHidden/>
          </w:rPr>
          <w:fldChar w:fldCharType="begin"/>
        </w:r>
        <w:r>
          <w:rPr>
            <w:noProof/>
            <w:webHidden/>
          </w:rPr>
          <w:instrText xml:space="preserve"> PAGEREF _Toc12261851 \h </w:instrText>
        </w:r>
        <w:r>
          <w:rPr>
            <w:noProof/>
            <w:webHidden/>
          </w:rPr>
        </w:r>
        <w:r>
          <w:rPr>
            <w:noProof/>
            <w:webHidden/>
          </w:rPr>
          <w:fldChar w:fldCharType="separate"/>
        </w:r>
        <w:r>
          <w:rPr>
            <w:noProof/>
            <w:webHidden/>
          </w:rPr>
          <w:t>628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52" w:history="1">
        <w:r w:rsidRPr="00CD0B56">
          <w:rPr>
            <w:rStyle w:val="Hyperlink"/>
            <w:noProof/>
          </w:rPr>
          <w:t>2.1.1784</w:t>
        </w:r>
        <w:r>
          <w:rPr>
            <w:rFonts w:asciiTheme="minorHAnsi" w:eastAsiaTheme="minorEastAsia" w:hAnsiTheme="minorHAnsi" w:cstheme="minorBidi"/>
            <w:noProof/>
            <w:sz w:val="22"/>
            <w:szCs w:val="22"/>
          </w:rPr>
          <w:tab/>
        </w:r>
        <w:r w:rsidRPr="00CD0B56">
          <w:rPr>
            <w:rStyle w:val="Hyperlink"/>
            <w:noProof/>
          </w:rPr>
          <w:t>Part 4 Section 19.1.2.1, arc (Arc Segment)</w:t>
        </w:r>
        <w:r>
          <w:rPr>
            <w:noProof/>
            <w:webHidden/>
          </w:rPr>
          <w:tab/>
        </w:r>
        <w:r>
          <w:rPr>
            <w:noProof/>
            <w:webHidden/>
          </w:rPr>
          <w:fldChar w:fldCharType="begin"/>
        </w:r>
        <w:r>
          <w:rPr>
            <w:noProof/>
            <w:webHidden/>
          </w:rPr>
          <w:instrText xml:space="preserve"> PAGEREF _Toc12261852 \h </w:instrText>
        </w:r>
        <w:r>
          <w:rPr>
            <w:noProof/>
            <w:webHidden/>
          </w:rPr>
        </w:r>
        <w:r>
          <w:rPr>
            <w:noProof/>
            <w:webHidden/>
          </w:rPr>
          <w:fldChar w:fldCharType="separate"/>
        </w:r>
        <w:r>
          <w:rPr>
            <w:noProof/>
            <w:webHidden/>
          </w:rPr>
          <w:t>629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53" w:history="1">
        <w:r w:rsidRPr="00CD0B56">
          <w:rPr>
            <w:rStyle w:val="Hyperlink"/>
            <w:noProof/>
          </w:rPr>
          <w:t>2.1.1785</w:t>
        </w:r>
        <w:r>
          <w:rPr>
            <w:rFonts w:asciiTheme="minorHAnsi" w:eastAsiaTheme="minorEastAsia" w:hAnsiTheme="minorHAnsi" w:cstheme="minorBidi"/>
            <w:noProof/>
            <w:sz w:val="22"/>
            <w:szCs w:val="22"/>
          </w:rPr>
          <w:tab/>
        </w:r>
        <w:r w:rsidRPr="00CD0B56">
          <w:rPr>
            <w:rStyle w:val="Hyperlink"/>
            <w:noProof/>
          </w:rPr>
          <w:t>Part 4 Section 19.1.2.2, background (Document Background)</w:t>
        </w:r>
        <w:r>
          <w:rPr>
            <w:noProof/>
            <w:webHidden/>
          </w:rPr>
          <w:tab/>
        </w:r>
        <w:r>
          <w:rPr>
            <w:noProof/>
            <w:webHidden/>
          </w:rPr>
          <w:fldChar w:fldCharType="begin"/>
        </w:r>
        <w:r>
          <w:rPr>
            <w:noProof/>
            <w:webHidden/>
          </w:rPr>
          <w:instrText xml:space="preserve"> PAGEREF _Toc12261853 \h </w:instrText>
        </w:r>
        <w:r>
          <w:rPr>
            <w:noProof/>
            <w:webHidden/>
          </w:rPr>
        </w:r>
        <w:r>
          <w:rPr>
            <w:noProof/>
            <w:webHidden/>
          </w:rPr>
          <w:fldChar w:fldCharType="separate"/>
        </w:r>
        <w:r>
          <w:rPr>
            <w:noProof/>
            <w:webHidden/>
          </w:rPr>
          <w:t>637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54" w:history="1">
        <w:r w:rsidRPr="00CD0B56">
          <w:rPr>
            <w:rStyle w:val="Hyperlink"/>
            <w:noProof/>
          </w:rPr>
          <w:t>2.1.1786</w:t>
        </w:r>
        <w:r>
          <w:rPr>
            <w:rFonts w:asciiTheme="minorHAnsi" w:eastAsiaTheme="minorEastAsia" w:hAnsiTheme="minorHAnsi" w:cstheme="minorBidi"/>
            <w:noProof/>
            <w:sz w:val="22"/>
            <w:szCs w:val="22"/>
          </w:rPr>
          <w:tab/>
        </w:r>
        <w:r w:rsidRPr="00CD0B56">
          <w:rPr>
            <w:rStyle w:val="Hyperlink"/>
            <w:noProof/>
          </w:rPr>
          <w:t>Part 4 Section 19.1.2.3, curve (Bezier Curve)</w:t>
        </w:r>
        <w:r>
          <w:rPr>
            <w:noProof/>
            <w:webHidden/>
          </w:rPr>
          <w:tab/>
        </w:r>
        <w:r>
          <w:rPr>
            <w:noProof/>
            <w:webHidden/>
          </w:rPr>
          <w:fldChar w:fldCharType="begin"/>
        </w:r>
        <w:r>
          <w:rPr>
            <w:noProof/>
            <w:webHidden/>
          </w:rPr>
          <w:instrText xml:space="preserve"> PAGEREF _Toc12261854 \h </w:instrText>
        </w:r>
        <w:r>
          <w:rPr>
            <w:noProof/>
            <w:webHidden/>
          </w:rPr>
        </w:r>
        <w:r>
          <w:rPr>
            <w:noProof/>
            <w:webHidden/>
          </w:rPr>
          <w:fldChar w:fldCharType="separate"/>
        </w:r>
        <w:r>
          <w:rPr>
            <w:noProof/>
            <w:webHidden/>
          </w:rPr>
          <w:t>637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55" w:history="1">
        <w:r w:rsidRPr="00CD0B56">
          <w:rPr>
            <w:rStyle w:val="Hyperlink"/>
            <w:noProof/>
          </w:rPr>
          <w:t>2.1.1787</w:t>
        </w:r>
        <w:r>
          <w:rPr>
            <w:rFonts w:asciiTheme="minorHAnsi" w:eastAsiaTheme="minorEastAsia" w:hAnsiTheme="minorHAnsi" w:cstheme="minorBidi"/>
            <w:noProof/>
            <w:sz w:val="22"/>
            <w:szCs w:val="22"/>
          </w:rPr>
          <w:tab/>
        </w:r>
        <w:r w:rsidRPr="00CD0B56">
          <w:rPr>
            <w:rStyle w:val="Hyperlink"/>
            <w:noProof/>
          </w:rPr>
          <w:t>Part 4 Section 19.1.2.4, f (Single Formula)</w:t>
        </w:r>
        <w:r>
          <w:rPr>
            <w:noProof/>
            <w:webHidden/>
          </w:rPr>
          <w:tab/>
        </w:r>
        <w:r>
          <w:rPr>
            <w:noProof/>
            <w:webHidden/>
          </w:rPr>
          <w:fldChar w:fldCharType="begin"/>
        </w:r>
        <w:r>
          <w:rPr>
            <w:noProof/>
            <w:webHidden/>
          </w:rPr>
          <w:instrText xml:space="preserve"> PAGEREF _Toc12261855 \h </w:instrText>
        </w:r>
        <w:r>
          <w:rPr>
            <w:noProof/>
            <w:webHidden/>
          </w:rPr>
        </w:r>
        <w:r>
          <w:rPr>
            <w:noProof/>
            <w:webHidden/>
          </w:rPr>
          <w:fldChar w:fldCharType="separate"/>
        </w:r>
        <w:r>
          <w:rPr>
            <w:noProof/>
            <w:webHidden/>
          </w:rPr>
          <w:t>638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56" w:history="1">
        <w:r w:rsidRPr="00CD0B56">
          <w:rPr>
            <w:rStyle w:val="Hyperlink"/>
            <w:noProof/>
          </w:rPr>
          <w:t>2.1.1788</w:t>
        </w:r>
        <w:r>
          <w:rPr>
            <w:rFonts w:asciiTheme="minorHAnsi" w:eastAsiaTheme="minorEastAsia" w:hAnsiTheme="minorHAnsi" w:cstheme="minorBidi"/>
            <w:noProof/>
            <w:sz w:val="22"/>
            <w:szCs w:val="22"/>
          </w:rPr>
          <w:tab/>
        </w:r>
        <w:r w:rsidRPr="00CD0B56">
          <w:rPr>
            <w:rStyle w:val="Hyperlink"/>
            <w:noProof/>
          </w:rPr>
          <w:t>Part 4 Section 19.1.2.5, fill (Shape Fill Properties)</w:t>
        </w:r>
        <w:r>
          <w:rPr>
            <w:noProof/>
            <w:webHidden/>
          </w:rPr>
          <w:tab/>
        </w:r>
        <w:r>
          <w:rPr>
            <w:noProof/>
            <w:webHidden/>
          </w:rPr>
          <w:fldChar w:fldCharType="begin"/>
        </w:r>
        <w:r>
          <w:rPr>
            <w:noProof/>
            <w:webHidden/>
          </w:rPr>
          <w:instrText xml:space="preserve"> PAGEREF _Toc12261856 \h </w:instrText>
        </w:r>
        <w:r>
          <w:rPr>
            <w:noProof/>
            <w:webHidden/>
          </w:rPr>
        </w:r>
        <w:r>
          <w:rPr>
            <w:noProof/>
            <w:webHidden/>
          </w:rPr>
          <w:fldChar w:fldCharType="separate"/>
        </w:r>
        <w:r>
          <w:rPr>
            <w:noProof/>
            <w:webHidden/>
          </w:rPr>
          <w:t>638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57" w:history="1">
        <w:r w:rsidRPr="00CD0B56">
          <w:rPr>
            <w:rStyle w:val="Hyperlink"/>
            <w:noProof/>
          </w:rPr>
          <w:t>2.1.1789</w:t>
        </w:r>
        <w:r>
          <w:rPr>
            <w:rFonts w:asciiTheme="minorHAnsi" w:eastAsiaTheme="minorEastAsia" w:hAnsiTheme="minorHAnsi" w:cstheme="minorBidi"/>
            <w:noProof/>
            <w:sz w:val="22"/>
            <w:szCs w:val="22"/>
          </w:rPr>
          <w:tab/>
        </w:r>
        <w:r w:rsidRPr="00CD0B56">
          <w:rPr>
            <w:rStyle w:val="Hyperlink"/>
            <w:noProof/>
          </w:rPr>
          <w:t>Part 4 Section 19.1.2.6, formulas (Set of Formulas)</w:t>
        </w:r>
        <w:r>
          <w:rPr>
            <w:noProof/>
            <w:webHidden/>
          </w:rPr>
          <w:tab/>
        </w:r>
        <w:r>
          <w:rPr>
            <w:noProof/>
            <w:webHidden/>
          </w:rPr>
          <w:fldChar w:fldCharType="begin"/>
        </w:r>
        <w:r>
          <w:rPr>
            <w:noProof/>
            <w:webHidden/>
          </w:rPr>
          <w:instrText xml:space="preserve"> PAGEREF _Toc12261857 \h </w:instrText>
        </w:r>
        <w:r>
          <w:rPr>
            <w:noProof/>
            <w:webHidden/>
          </w:rPr>
        </w:r>
        <w:r>
          <w:rPr>
            <w:noProof/>
            <w:webHidden/>
          </w:rPr>
          <w:fldChar w:fldCharType="separate"/>
        </w:r>
        <w:r>
          <w:rPr>
            <w:noProof/>
            <w:webHidden/>
          </w:rPr>
          <w:t>640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58" w:history="1">
        <w:r w:rsidRPr="00CD0B56">
          <w:rPr>
            <w:rStyle w:val="Hyperlink"/>
            <w:noProof/>
          </w:rPr>
          <w:t>2.1.1790</w:t>
        </w:r>
        <w:r>
          <w:rPr>
            <w:rFonts w:asciiTheme="minorHAnsi" w:eastAsiaTheme="minorEastAsia" w:hAnsiTheme="minorHAnsi" w:cstheme="minorBidi"/>
            <w:noProof/>
            <w:sz w:val="22"/>
            <w:szCs w:val="22"/>
          </w:rPr>
          <w:tab/>
        </w:r>
        <w:r w:rsidRPr="00CD0B56">
          <w:rPr>
            <w:rStyle w:val="Hyperlink"/>
            <w:noProof/>
          </w:rPr>
          <w:t>Part 4 Section 19.1.2.7, group (Shape Group)</w:t>
        </w:r>
        <w:r>
          <w:rPr>
            <w:noProof/>
            <w:webHidden/>
          </w:rPr>
          <w:tab/>
        </w:r>
        <w:r>
          <w:rPr>
            <w:noProof/>
            <w:webHidden/>
          </w:rPr>
          <w:fldChar w:fldCharType="begin"/>
        </w:r>
        <w:r>
          <w:rPr>
            <w:noProof/>
            <w:webHidden/>
          </w:rPr>
          <w:instrText xml:space="preserve"> PAGEREF _Toc12261858 \h </w:instrText>
        </w:r>
        <w:r>
          <w:rPr>
            <w:noProof/>
            <w:webHidden/>
          </w:rPr>
        </w:r>
        <w:r>
          <w:rPr>
            <w:noProof/>
            <w:webHidden/>
          </w:rPr>
          <w:fldChar w:fldCharType="separate"/>
        </w:r>
        <w:r>
          <w:rPr>
            <w:noProof/>
            <w:webHidden/>
          </w:rPr>
          <w:t>640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59" w:history="1">
        <w:r w:rsidRPr="00CD0B56">
          <w:rPr>
            <w:rStyle w:val="Hyperlink"/>
            <w:noProof/>
          </w:rPr>
          <w:t>2.1.1791</w:t>
        </w:r>
        <w:r>
          <w:rPr>
            <w:rFonts w:asciiTheme="minorHAnsi" w:eastAsiaTheme="minorEastAsia" w:hAnsiTheme="minorHAnsi" w:cstheme="minorBidi"/>
            <w:noProof/>
            <w:sz w:val="22"/>
            <w:szCs w:val="22"/>
          </w:rPr>
          <w:tab/>
        </w:r>
        <w:r w:rsidRPr="00CD0B56">
          <w:rPr>
            <w:rStyle w:val="Hyperlink"/>
            <w:noProof/>
          </w:rPr>
          <w:t>Part 4 Section 19.1.2.8, h (Shape Handle)</w:t>
        </w:r>
        <w:r>
          <w:rPr>
            <w:noProof/>
            <w:webHidden/>
          </w:rPr>
          <w:tab/>
        </w:r>
        <w:r>
          <w:rPr>
            <w:noProof/>
            <w:webHidden/>
          </w:rPr>
          <w:fldChar w:fldCharType="begin"/>
        </w:r>
        <w:r>
          <w:rPr>
            <w:noProof/>
            <w:webHidden/>
          </w:rPr>
          <w:instrText xml:space="preserve"> PAGEREF _Toc12261859 \h </w:instrText>
        </w:r>
        <w:r>
          <w:rPr>
            <w:noProof/>
            <w:webHidden/>
          </w:rPr>
        </w:r>
        <w:r>
          <w:rPr>
            <w:noProof/>
            <w:webHidden/>
          </w:rPr>
          <w:fldChar w:fldCharType="separate"/>
        </w:r>
        <w:r>
          <w:rPr>
            <w:noProof/>
            <w:webHidden/>
          </w:rPr>
          <w:t>640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60" w:history="1">
        <w:r w:rsidRPr="00CD0B56">
          <w:rPr>
            <w:rStyle w:val="Hyperlink"/>
            <w:noProof/>
          </w:rPr>
          <w:t>2.1.1792</w:t>
        </w:r>
        <w:r>
          <w:rPr>
            <w:rFonts w:asciiTheme="minorHAnsi" w:eastAsiaTheme="minorEastAsia" w:hAnsiTheme="minorHAnsi" w:cstheme="minorBidi"/>
            <w:noProof/>
            <w:sz w:val="22"/>
            <w:szCs w:val="22"/>
          </w:rPr>
          <w:tab/>
        </w:r>
        <w:r w:rsidRPr="00CD0B56">
          <w:rPr>
            <w:rStyle w:val="Hyperlink"/>
            <w:noProof/>
          </w:rPr>
          <w:t>Part 4 Section 19.1.2.9, handles (Set of Handles)</w:t>
        </w:r>
        <w:r>
          <w:rPr>
            <w:noProof/>
            <w:webHidden/>
          </w:rPr>
          <w:tab/>
        </w:r>
        <w:r>
          <w:rPr>
            <w:noProof/>
            <w:webHidden/>
          </w:rPr>
          <w:fldChar w:fldCharType="begin"/>
        </w:r>
        <w:r>
          <w:rPr>
            <w:noProof/>
            <w:webHidden/>
          </w:rPr>
          <w:instrText xml:space="preserve"> PAGEREF _Toc12261860 \h </w:instrText>
        </w:r>
        <w:r>
          <w:rPr>
            <w:noProof/>
            <w:webHidden/>
          </w:rPr>
        </w:r>
        <w:r>
          <w:rPr>
            <w:noProof/>
            <w:webHidden/>
          </w:rPr>
          <w:fldChar w:fldCharType="separate"/>
        </w:r>
        <w:r>
          <w:rPr>
            <w:noProof/>
            <w:webHidden/>
          </w:rPr>
          <w:t>641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61" w:history="1">
        <w:r w:rsidRPr="00CD0B56">
          <w:rPr>
            <w:rStyle w:val="Hyperlink"/>
            <w:noProof/>
          </w:rPr>
          <w:t>2.1.1793</w:t>
        </w:r>
        <w:r>
          <w:rPr>
            <w:rFonts w:asciiTheme="minorHAnsi" w:eastAsiaTheme="minorEastAsia" w:hAnsiTheme="minorHAnsi" w:cstheme="minorBidi"/>
            <w:noProof/>
            <w:sz w:val="22"/>
            <w:szCs w:val="22"/>
          </w:rPr>
          <w:tab/>
        </w:r>
        <w:r w:rsidRPr="00CD0B56">
          <w:rPr>
            <w:rStyle w:val="Hyperlink"/>
            <w:noProof/>
          </w:rPr>
          <w:t>Part 4 Section 19.1.2.10, image (Image File)</w:t>
        </w:r>
        <w:r>
          <w:rPr>
            <w:noProof/>
            <w:webHidden/>
          </w:rPr>
          <w:tab/>
        </w:r>
        <w:r>
          <w:rPr>
            <w:noProof/>
            <w:webHidden/>
          </w:rPr>
          <w:fldChar w:fldCharType="begin"/>
        </w:r>
        <w:r>
          <w:rPr>
            <w:noProof/>
            <w:webHidden/>
          </w:rPr>
          <w:instrText xml:space="preserve"> PAGEREF _Toc12261861 \h </w:instrText>
        </w:r>
        <w:r>
          <w:rPr>
            <w:noProof/>
            <w:webHidden/>
          </w:rPr>
        </w:r>
        <w:r>
          <w:rPr>
            <w:noProof/>
            <w:webHidden/>
          </w:rPr>
          <w:fldChar w:fldCharType="separate"/>
        </w:r>
        <w:r>
          <w:rPr>
            <w:noProof/>
            <w:webHidden/>
          </w:rPr>
          <w:t>641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62" w:history="1">
        <w:r w:rsidRPr="00CD0B56">
          <w:rPr>
            <w:rStyle w:val="Hyperlink"/>
            <w:noProof/>
          </w:rPr>
          <w:t>2.1.1794</w:t>
        </w:r>
        <w:r>
          <w:rPr>
            <w:rFonts w:asciiTheme="minorHAnsi" w:eastAsiaTheme="minorEastAsia" w:hAnsiTheme="minorHAnsi" w:cstheme="minorBidi"/>
            <w:noProof/>
            <w:sz w:val="22"/>
            <w:szCs w:val="22"/>
          </w:rPr>
          <w:tab/>
        </w:r>
        <w:r w:rsidRPr="00CD0B56">
          <w:rPr>
            <w:rStyle w:val="Hyperlink"/>
            <w:noProof/>
          </w:rPr>
          <w:t>Part 4 Section 19.1.2.11, imagedata (Image Data)</w:t>
        </w:r>
        <w:r>
          <w:rPr>
            <w:noProof/>
            <w:webHidden/>
          </w:rPr>
          <w:tab/>
        </w:r>
        <w:r>
          <w:rPr>
            <w:noProof/>
            <w:webHidden/>
          </w:rPr>
          <w:fldChar w:fldCharType="begin"/>
        </w:r>
        <w:r>
          <w:rPr>
            <w:noProof/>
            <w:webHidden/>
          </w:rPr>
          <w:instrText xml:space="preserve"> PAGEREF _Toc12261862 \h </w:instrText>
        </w:r>
        <w:r>
          <w:rPr>
            <w:noProof/>
            <w:webHidden/>
          </w:rPr>
        </w:r>
        <w:r>
          <w:rPr>
            <w:noProof/>
            <w:webHidden/>
          </w:rPr>
          <w:fldChar w:fldCharType="separate"/>
        </w:r>
        <w:r>
          <w:rPr>
            <w:noProof/>
            <w:webHidden/>
          </w:rPr>
          <w:t>642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63" w:history="1">
        <w:r w:rsidRPr="00CD0B56">
          <w:rPr>
            <w:rStyle w:val="Hyperlink"/>
            <w:noProof/>
          </w:rPr>
          <w:t>2.1.1795</w:t>
        </w:r>
        <w:r>
          <w:rPr>
            <w:rFonts w:asciiTheme="minorHAnsi" w:eastAsiaTheme="minorEastAsia" w:hAnsiTheme="minorHAnsi" w:cstheme="minorBidi"/>
            <w:noProof/>
            <w:sz w:val="22"/>
            <w:szCs w:val="22"/>
          </w:rPr>
          <w:tab/>
        </w:r>
        <w:r w:rsidRPr="00CD0B56">
          <w:rPr>
            <w:rStyle w:val="Hyperlink"/>
            <w:noProof/>
          </w:rPr>
          <w:t>Part 4 Section 19.1.2.12, line (Line)</w:t>
        </w:r>
        <w:r>
          <w:rPr>
            <w:noProof/>
            <w:webHidden/>
          </w:rPr>
          <w:tab/>
        </w:r>
        <w:r>
          <w:rPr>
            <w:noProof/>
            <w:webHidden/>
          </w:rPr>
          <w:fldChar w:fldCharType="begin"/>
        </w:r>
        <w:r>
          <w:rPr>
            <w:noProof/>
            <w:webHidden/>
          </w:rPr>
          <w:instrText xml:space="preserve"> PAGEREF _Toc12261863 \h </w:instrText>
        </w:r>
        <w:r>
          <w:rPr>
            <w:noProof/>
            <w:webHidden/>
          </w:rPr>
        </w:r>
        <w:r>
          <w:rPr>
            <w:noProof/>
            <w:webHidden/>
          </w:rPr>
          <w:fldChar w:fldCharType="separate"/>
        </w:r>
        <w:r>
          <w:rPr>
            <w:noProof/>
            <w:webHidden/>
          </w:rPr>
          <w:t>643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64" w:history="1">
        <w:r w:rsidRPr="00CD0B56">
          <w:rPr>
            <w:rStyle w:val="Hyperlink"/>
            <w:noProof/>
          </w:rPr>
          <w:t>2.1.1796</w:t>
        </w:r>
        <w:r>
          <w:rPr>
            <w:rFonts w:asciiTheme="minorHAnsi" w:eastAsiaTheme="minorEastAsia" w:hAnsiTheme="minorHAnsi" w:cstheme="minorBidi"/>
            <w:noProof/>
            <w:sz w:val="22"/>
            <w:szCs w:val="22"/>
          </w:rPr>
          <w:tab/>
        </w:r>
        <w:r w:rsidRPr="00CD0B56">
          <w:rPr>
            <w:rStyle w:val="Hyperlink"/>
            <w:noProof/>
          </w:rPr>
          <w:t>Part 4 Section 19.1.2.13, oval (Oval)</w:t>
        </w:r>
        <w:r>
          <w:rPr>
            <w:noProof/>
            <w:webHidden/>
          </w:rPr>
          <w:tab/>
        </w:r>
        <w:r>
          <w:rPr>
            <w:noProof/>
            <w:webHidden/>
          </w:rPr>
          <w:fldChar w:fldCharType="begin"/>
        </w:r>
        <w:r>
          <w:rPr>
            <w:noProof/>
            <w:webHidden/>
          </w:rPr>
          <w:instrText xml:space="preserve"> PAGEREF _Toc12261864 \h </w:instrText>
        </w:r>
        <w:r>
          <w:rPr>
            <w:noProof/>
            <w:webHidden/>
          </w:rPr>
        </w:r>
        <w:r>
          <w:rPr>
            <w:noProof/>
            <w:webHidden/>
          </w:rPr>
          <w:fldChar w:fldCharType="separate"/>
        </w:r>
        <w:r>
          <w:rPr>
            <w:noProof/>
            <w:webHidden/>
          </w:rPr>
          <w:t>644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65" w:history="1">
        <w:r w:rsidRPr="00CD0B56">
          <w:rPr>
            <w:rStyle w:val="Hyperlink"/>
            <w:noProof/>
          </w:rPr>
          <w:t>2.1.1797</w:t>
        </w:r>
        <w:r>
          <w:rPr>
            <w:rFonts w:asciiTheme="minorHAnsi" w:eastAsiaTheme="minorEastAsia" w:hAnsiTheme="minorHAnsi" w:cstheme="minorBidi"/>
            <w:noProof/>
            <w:sz w:val="22"/>
            <w:szCs w:val="22"/>
          </w:rPr>
          <w:tab/>
        </w:r>
        <w:r w:rsidRPr="00CD0B56">
          <w:rPr>
            <w:rStyle w:val="Hyperlink"/>
            <w:noProof/>
          </w:rPr>
          <w:t>Part 4 Section 19.1.2.14, path (Shape Path)</w:t>
        </w:r>
        <w:r>
          <w:rPr>
            <w:noProof/>
            <w:webHidden/>
          </w:rPr>
          <w:tab/>
        </w:r>
        <w:r>
          <w:rPr>
            <w:noProof/>
            <w:webHidden/>
          </w:rPr>
          <w:fldChar w:fldCharType="begin"/>
        </w:r>
        <w:r>
          <w:rPr>
            <w:noProof/>
            <w:webHidden/>
          </w:rPr>
          <w:instrText xml:space="preserve"> PAGEREF _Toc12261865 \h </w:instrText>
        </w:r>
        <w:r>
          <w:rPr>
            <w:noProof/>
            <w:webHidden/>
          </w:rPr>
        </w:r>
        <w:r>
          <w:rPr>
            <w:noProof/>
            <w:webHidden/>
          </w:rPr>
          <w:fldChar w:fldCharType="separate"/>
        </w:r>
        <w:r>
          <w:rPr>
            <w:noProof/>
            <w:webHidden/>
          </w:rPr>
          <w:t>644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66" w:history="1">
        <w:r w:rsidRPr="00CD0B56">
          <w:rPr>
            <w:rStyle w:val="Hyperlink"/>
            <w:noProof/>
          </w:rPr>
          <w:t>2.1.1798</w:t>
        </w:r>
        <w:r>
          <w:rPr>
            <w:rFonts w:asciiTheme="minorHAnsi" w:eastAsiaTheme="minorEastAsia" w:hAnsiTheme="minorHAnsi" w:cstheme="minorBidi"/>
            <w:noProof/>
            <w:sz w:val="22"/>
            <w:szCs w:val="22"/>
          </w:rPr>
          <w:tab/>
        </w:r>
        <w:r w:rsidRPr="00CD0B56">
          <w:rPr>
            <w:rStyle w:val="Hyperlink"/>
            <w:noProof/>
          </w:rPr>
          <w:t>Part 4 Section 19.1.2.15, polyline (Multiple Path Line)</w:t>
        </w:r>
        <w:r>
          <w:rPr>
            <w:noProof/>
            <w:webHidden/>
          </w:rPr>
          <w:tab/>
        </w:r>
        <w:r>
          <w:rPr>
            <w:noProof/>
            <w:webHidden/>
          </w:rPr>
          <w:fldChar w:fldCharType="begin"/>
        </w:r>
        <w:r>
          <w:rPr>
            <w:noProof/>
            <w:webHidden/>
          </w:rPr>
          <w:instrText xml:space="preserve"> PAGEREF _Toc12261866 \h </w:instrText>
        </w:r>
        <w:r>
          <w:rPr>
            <w:noProof/>
            <w:webHidden/>
          </w:rPr>
        </w:r>
        <w:r>
          <w:rPr>
            <w:noProof/>
            <w:webHidden/>
          </w:rPr>
          <w:fldChar w:fldCharType="separate"/>
        </w:r>
        <w:r>
          <w:rPr>
            <w:noProof/>
            <w:webHidden/>
          </w:rPr>
          <w:t>647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67" w:history="1">
        <w:r w:rsidRPr="00CD0B56">
          <w:rPr>
            <w:rStyle w:val="Hyperlink"/>
            <w:noProof/>
          </w:rPr>
          <w:t>2.1.1799</w:t>
        </w:r>
        <w:r>
          <w:rPr>
            <w:rFonts w:asciiTheme="minorHAnsi" w:eastAsiaTheme="minorEastAsia" w:hAnsiTheme="minorHAnsi" w:cstheme="minorBidi"/>
            <w:noProof/>
            <w:sz w:val="22"/>
            <w:szCs w:val="22"/>
          </w:rPr>
          <w:tab/>
        </w:r>
        <w:r w:rsidRPr="00CD0B56">
          <w:rPr>
            <w:rStyle w:val="Hyperlink"/>
            <w:noProof/>
          </w:rPr>
          <w:t>Part 4 Section 19.1.2.16, rect (Rectangle)</w:t>
        </w:r>
        <w:r>
          <w:rPr>
            <w:noProof/>
            <w:webHidden/>
          </w:rPr>
          <w:tab/>
        </w:r>
        <w:r>
          <w:rPr>
            <w:noProof/>
            <w:webHidden/>
          </w:rPr>
          <w:fldChar w:fldCharType="begin"/>
        </w:r>
        <w:r>
          <w:rPr>
            <w:noProof/>
            <w:webHidden/>
          </w:rPr>
          <w:instrText xml:space="preserve"> PAGEREF _Toc12261867 \h </w:instrText>
        </w:r>
        <w:r>
          <w:rPr>
            <w:noProof/>
            <w:webHidden/>
          </w:rPr>
        </w:r>
        <w:r>
          <w:rPr>
            <w:noProof/>
            <w:webHidden/>
          </w:rPr>
          <w:fldChar w:fldCharType="separate"/>
        </w:r>
        <w:r>
          <w:rPr>
            <w:noProof/>
            <w:webHidden/>
          </w:rPr>
          <w:t>647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68" w:history="1">
        <w:r w:rsidRPr="00CD0B56">
          <w:rPr>
            <w:rStyle w:val="Hyperlink"/>
            <w:noProof/>
          </w:rPr>
          <w:t>2.1.1800</w:t>
        </w:r>
        <w:r>
          <w:rPr>
            <w:rFonts w:asciiTheme="minorHAnsi" w:eastAsiaTheme="minorEastAsia" w:hAnsiTheme="minorHAnsi" w:cstheme="minorBidi"/>
            <w:noProof/>
            <w:sz w:val="22"/>
            <w:szCs w:val="22"/>
          </w:rPr>
          <w:tab/>
        </w:r>
        <w:r w:rsidRPr="00CD0B56">
          <w:rPr>
            <w:rStyle w:val="Hyperlink"/>
            <w:noProof/>
          </w:rPr>
          <w:t>Part 4 Section 19.1.2.17, roundrect (Rounded Rectangle)</w:t>
        </w:r>
        <w:r>
          <w:rPr>
            <w:noProof/>
            <w:webHidden/>
          </w:rPr>
          <w:tab/>
        </w:r>
        <w:r>
          <w:rPr>
            <w:noProof/>
            <w:webHidden/>
          </w:rPr>
          <w:fldChar w:fldCharType="begin"/>
        </w:r>
        <w:r>
          <w:rPr>
            <w:noProof/>
            <w:webHidden/>
          </w:rPr>
          <w:instrText xml:space="preserve"> PAGEREF _Toc12261868 \h </w:instrText>
        </w:r>
        <w:r>
          <w:rPr>
            <w:noProof/>
            <w:webHidden/>
          </w:rPr>
        </w:r>
        <w:r>
          <w:rPr>
            <w:noProof/>
            <w:webHidden/>
          </w:rPr>
          <w:fldChar w:fldCharType="separate"/>
        </w:r>
        <w:r>
          <w:rPr>
            <w:noProof/>
            <w:webHidden/>
          </w:rPr>
          <w:t>648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69" w:history="1">
        <w:r w:rsidRPr="00CD0B56">
          <w:rPr>
            <w:rStyle w:val="Hyperlink"/>
            <w:noProof/>
          </w:rPr>
          <w:t>2.1.1801</w:t>
        </w:r>
        <w:r>
          <w:rPr>
            <w:rFonts w:asciiTheme="minorHAnsi" w:eastAsiaTheme="minorEastAsia" w:hAnsiTheme="minorHAnsi" w:cstheme="minorBidi"/>
            <w:noProof/>
            <w:sz w:val="22"/>
            <w:szCs w:val="22"/>
          </w:rPr>
          <w:tab/>
        </w:r>
        <w:r w:rsidRPr="00CD0B56">
          <w:rPr>
            <w:rStyle w:val="Hyperlink"/>
            <w:noProof/>
          </w:rPr>
          <w:t>Part 4 Section 19.1.2.18, shadow (Shadow Effect)</w:t>
        </w:r>
        <w:r>
          <w:rPr>
            <w:noProof/>
            <w:webHidden/>
          </w:rPr>
          <w:tab/>
        </w:r>
        <w:r>
          <w:rPr>
            <w:noProof/>
            <w:webHidden/>
          </w:rPr>
          <w:fldChar w:fldCharType="begin"/>
        </w:r>
        <w:r>
          <w:rPr>
            <w:noProof/>
            <w:webHidden/>
          </w:rPr>
          <w:instrText xml:space="preserve"> PAGEREF _Toc12261869 \h </w:instrText>
        </w:r>
        <w:r>
          <w:rPr>
            <w:noProof/>
            <w:webHidden/>
          </w:rPr>
        </w:r>
        <w:r>
          <w:rPr>
            <w:noProof/>
            <w:webHidden/>
          </w:rPr>
          <w:fldChar w:fldCharType="separate"/>
        </w:r>
        <w:r>
          <w:rPr>
            <w:noProof/>
            <w:webHidden/>
          </w:rPr>
          <w:t>648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70" w:history="1">
        <w:r w:rsidRPr="00CD0B56">
          <w:rPr>
            <w:rStyle w:val="Hyperlink"/>
            <w:noProof/>
          </w:rPr>
          <w:t>2.1.1802</w:t>
        </w:r>
        <w:r>
          <w:rPr>
            <w:rFonts w:asciiTheme="minorHAnsi" w:eastAsiaTheme="minorEastAsia" w:hAnsiTheme="minorHAnsi" w:cstheme="minorBidi"/>
            <w:noProof/>
            <w:sz w:val="22"/>
            <w:szCs w:val="22"/>
          </w:rPr>
          <w:tab/>
        </w:r>
        <w:r w:rsidRPr="00CD0B56">
          <w:rPr>
            <w:rStyle w:val="Hyperlink"/>
            <w:noProof/>
          </w:rPr>
          <w:t>Part 4 Section 19.1.2.19, shape (Shape Definition)</w:t>
        </w:r>
        <w:r>
          <w:rPr>
            <w:noProof/>
            <w:webHidden/>
          </w:rPr>
          <w:tab/>
        </w:r>
        <w:r>
          <w:rPr>
            <w:noProof/>
            <w:webHidden/>
          </w:rPr>
          <w:fldChar w:fldCharType="begin"/>
        </w:r>
        <w:r>
          <w:rPr>
            <w:noProof/>
            <w:webHidden/>
          </w:rPr>
          <w:instrText xml:space="preserve"> PAGEREF _Toc12261870 \h </w:instrText>
        </w:r>
        <w:r>
          <w:rPr>
            <w:noProof/>
            <w:webHidden/>
          </w:rPr>
        </w:r>
        <w:r>
          <w:rPr>
            <w:noProof/>
            <w:webHidden/>
          </w:rPr>
          <w:fldChar w:fldCharType="separate"/>
        </w:r>
        <w:r>
          <w:rPr>
            <w:noProof/>
            <w:webHidden/>
          </w:rPr>
          <w:t>649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71" w:history="1">
        <w:r w:rsidRPr="00CD0B56">
          <w:rPr>
            <w:rStyle w:val="Hyperlink"/>
            <w:noProof/>
          </w:rPr>
          <w:t>2.1.1803</w:t>
        </w:r>
        <w:r>
          <w:rPr>
            <w:rFonts w:asciiTheme="minorHAnsi" w:eastAsiaTheme="minorEastAsia" w:hAnsiTheme="minorHAnsi" w:cstheme="minorBidi"/>
            <w:noProof/>
            <w:sz w:val="22"/>
            <w:szCs w:val="22"/>
          </w:rPr>
          <w:tab/>
        </w:r>
        <w:r w:rsidRPr="00CD0B56">
          <w:rPr>
            <w:rStyle w:val="Hyperlink"/>
            <w:noProof/>
          </w:rPr>
          <w:t>Part 4 Section 19.1.2.20, shapetype (Shape Template)</w:t>
        </w:r>
        <w:r>
          <w:rPr>
            <w:noProof/>
            <w:webHidden/>
          </w:rPr>
          <w:tab/>
        </w:r>
        <w:r>
          <w:rPr>
            <w:noProof/>
            <w:webHidden/>
          </w:rPr>
          <w:fldChar w:fldCharType="begin"/>
        </w:r>
        <w:r>
          <w:rPr>
            <w:noProof/>
            <w:webHidden/>
          </w:rPr>
          <w:instrText xml:space="preserve"> PAGEREF _Toc12261871 \h </w:instrText>
        </w:r>
        <w:r>
          <w:rPr>
            <w:noProof/>
            <w:webHidden/>
          </w:rPr>
        </w:r>
        <w:r>
          <w:rPr>
            <w:noProof/>
            <w:webHidden/>
          </w:rPr>
          <w:fldChar w:fldCharType="separate"/>
        </w:r>
        <w:r>
          <w:rPr>
            <w:noProof/>
            <w:webHidden/>
          </w:rPr>
          <w:t>651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72" w:history="1">
        <w:r w:rsidRPr="00CD0B56">
          <w:rPr>
            <w:rStyle w:val="Hyperlink"/>
            <w:noProof/>
          </w:rPr>
          <w:t>2.1.1804</w:t>
        </w:r>
        <w:r>
          <w:rPr>
            <w:rFonts w:asciiTheme="minorHAnsi" w:eastAsiaTheme="minorEastAsia" w:hAnsiTheme="minorHAnsi" w:cstheme="minorBidi"/>
            <w:noProof/>
            <w:sz w:val="22"/>
            <w:szCs w:val="22"/>
          </w:rPr>
          <w:tab/>
        </w:r>
        <w:r w:rsidRPr="00CD0B56">
          <w:rPr>
            <w:rStyle w:val="Hyperlink"/>
            <w:noProof/>
          </w:rPr>
          <w:t>Part 4 Section 19.1.2.21, stroke (Line Stroke Settings)</w:t>
        </w:r>
        <w:r>
          <w:rPr>
            <w:noProof/>
            <w:webHidden/>
          </w:rPr>
          <w:tab/>
        </w:r>
        <w:r>
          <w:rPr>
            <w:noProof/>
            <w:webHidden/>
          </w:rPr>
          <w:fldChar w:fldCharType="begin"/>
        </w:r>
        <w:r>
          <w:rPr>
            <w:noProof/>
            <w:webHidden/>
          </w:rPr>
          <w:instrText xml:space="preserve"> PAGEREF _Toc12261872 \h </w:instrText>
        </w:r>
        <w:r>
          <w:rPr>
            <w:noProof/>
            <w:webHidden/>
          </w:rPr>
        </w:r>
        <w:r>
          <w:rPr>
            <w:noProof/>
            <w:webHidden/>
          </w:rPr>
          <w:fldChar w:fldCharType="separate"/>
        </w:r>
        <w:r>
          <w:rPr>
            <w:noProof/>
            <w:webHidden/>
          </w:rPr>
          <w:t>651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73" w:history="1">
        <w:r w:rsidRPr="00CD0B56">
          <w:rPr>
            <w:rStyle w:val="Hyperlink"/>
            <w:noProof/>
          </w:rPr>
          <w:t>2.1.1805</w:t>
        </w:r>
        <w:r>
          <w:rPr>
            <w:rFonts w:asciiTheme="minorHAnsi" w:eastAsiaTheme="minorEastAsia" w:hAnsiTheme="minorHAnsi" w:cstheme="minorBidi"/>
            <w:noProof/>
            <w:sz w:val="22"/>
            <w:szCs w:val="22"/>
          </w:rPr>
          <w:tab/>
        </w:r>
        <w:r w:rsidRPr="00CD0B56">
          <w:rPr>
            <w:rStyle w:val="Hyperlink"/>
            <w:noProof/>
          </w:rPr>
          <w:t>Part 4 Section 19.1.2.22, textbox (Text Box)</w:t>
        </w:r>
        <w:r>
          <w:rPr>
            <w:noProof/>
            <w:webHidden/>
          </w:rPr>
          <w:tab/>
        </w:r>
        <w:r>
          <w:rPr>
            <w:noProof/>
            <w:webHidden/>
          </w:rPr>
          <w:fldChar w:fldCharType="begin"/>
        </w:r>
        <w:r>
          <w:rPr>
            <w:noProof/>
            <w:webHidden/>
          </w:rPr>
          <w:instrText xml:space="preserve"> PAGEREF _Toc12261873 \h </w:instrText>
        </w:r>
        <w:r>
          <w:rPr>
            <w:noProof/>
            <w:webHidden/>
          </w:rPr>
        </w:r>
        <w:r>
          <w:rPr>
            <w:noProof/>
            <w:webHidden/>
          </w:rPr>
          <w:fldChar w:fldCharType="separate"/>
        </w:r>
        <w:r>
          <w:rPr>
            <w:noProof/>
            <w:webHidden/>
          </w:rPr>
          <w:t>652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74" w:history="1">
        <w:r w:rsidRPr="00CD0B56">
          <w:rPr>
            <w:rStyle w:val="Hyperlink"/>
            <w:noProof/>
          </w:rPr>
          <w:t>2.1.1806</w:t>
        </w:r>
        <w:r>
          <w:rPr>
            <w:rFonts w:asciiTheme="minorHAnsi" w:eastAsiaTheme="minorEastAsia" w:hAnsiTheme="minorHAnsi" w:cstheme="minorBidi"/>
            <w:noProof/>
            <w:sz w:val="22"/>
            <w:szCs w:val="22"/>
          </w:rPr>
          <w:tab/>
        </w:r>
        <w:r w:rsidRPr="00CD0B56">
          <w:rPr>
            <w:rStyle w:val="Hyperlink"/>
            <w:noProof/>
          </w:rPr>
          <w:t>Part 4 Section 19.1.2.23, textpath (Text Layout Path)</w:t>
        </w:r>
        <w:r>
          <w:rPr>
            <w:noProof/>
            <w:webHidden/>
          </w:rPr>
          <w:tab/>
        </w:r>
        <w:r>
          <w:rPr>
            <w:noProof/>
            <w:webHidden/>
          </w:rPr>
          <w:fldChar w:fldCharType="begin"/>
        </w:r>
        <w:r>
          <w:rPr>
            <w:noProof/>
            <w:webHidden/>
          </w:rPr>
          <w:instrText xml:space="preserve"> PAGEREF _Toc12261874 \h </w:instrText>
        </w:r>
        <w:r>
          <w:rPr>
            <w:noProof/>
            <w:webHidden/>
          </w:rPr>
        </w:r>
        <w:r>
          <w:rPr>
            <w:noProof/>
            <w:webHidden/>
          </w:rPr>
          <w:fldChar w:fldCharType="separate"/>
        </w:r>
        <w:r>
          <w:rPr>
            <w:noProof/>
            <w:webHidden/>
          </w:rPr>
          <w:t>654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75" w:history="1">
        <w:r w:rsidRPr="00CD0B56">
          <w:rPr>
            <w:rStyle w:val="Hyperlink"/>
            <w:noProof/>
          </w:rPr>
          <w:t>2.1.1807</w:t>
        </w:r>
        <w:r>
          <w:rPr>
            <w:rFonts w:asciiTheme="minorHAnsi" w:eastAsiaTheme="minorEastAsia" w:hAnsiTheme="minorHAnsi" w:cstheme="minorBidi"/>
            <w:noProof/>
            <w:sz w:val="22"/>
            <w:szCs w:val="22"/>
          </w:rPr>
          <w:tab/>
        </w:r>
        <w:r w:rsidRPr="00CD0B56">
          <w:rPr>
            <w:rStyle w:val="Hyperlink"/>
            <w:noProof/>
          </w:rPr>
          <w:t>Part 4 Section 19.1.3.2, ST_Ext (VML Extension Handling Behaviors)</w:t>
        </w:r>
        <w:r>
          <w:rPr>
            <w:noProof/>
            <w:webHidden/>
          </w:rPr>
          <w:tab/>
        </w:r>
        <w:r>
          <w:rPr>
            <w:noProof/>
            <w:webHidden/>
          </w:rPr>
          <w:fldChar w:fldCharType="begin"/>
        </w:r>
        <w:r>
          <w:rPr>
            <w:noProof/>
            <w:webHidden/>
          </w:rPr>
          <w:instrText xml:space="preserve"> PAGEREF _Toc12261875 \h </w:instrText>
        </w:r>
        <w:r>
          <w:rPr>
            <w:noProof/>
            <w:webHidden/>
          </w:rPr>
        </w:r>
        <w:r>
          <w:rPr>
            <w:noProof/>
            <w:webHidden/>
          </w:rPr>
          <w:fldChar w:fldCharType="separate"/>
        </w:r>
        <w:r>
          <w:rPr>
            <w:noProof/>
            <w:webHidden/>
          </w:rPr>
          <w:t>655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76" w:history="1">
        <w:r w:rsidRPr="00CD0B56">
          <w:rPr>
            <w:rStyle w:val="Hyperlink"/>
            <w:noProof/>
          </w:rPr>
          <w:t>2.1.1808</w:t>
        </w:r>
        <w:r>
          <w:rPr>
            <w:rFonts w:asciiTheme="minorHAnsi" w:eastAsiaTheme="minorEastAsia" w:hAnsiTheme="minorHAnsi" w:cstheme="minorBidi"/>
            <w:noProof/>
            <w:sz w:val="22"/>
            <w:szCs w:val="22"/>
          </w:rPr>
          <w:tab/>
        </w:r>
        <w:r w:rsidRPr="00CD0B56">
          <w:rPr>
            <w:rStyle w:val="Hyperlink"/>
            <w:noProof/>
          </w:rPr>
          <w:t>Part 4 Section 19.1.3.3, ST_FillMethod (Gradient Fill Computation Type)</w:t>
        </w:r>
        <w:r>
          <w:rPr>
            <w:noProof/>
            <w:webHidden/>
          </w:rPr>
          <w:tab/>
        </w:r>
        <w:r>
          <w:rPr>
            <w:noProof/>
            <w:webHidden/>
          </w:rPr>
          <w:fldChar w:fldCharType="begin"/>
        </w:r>
        <w:r>
          <w:rPr>
            <w:noProof/>
            <w:webHidden/>
          </w:rPr>
          <w:instrText xml:space="preserve"> PAGEREF _Toc12261876 \h </w:instrText>
        </w:r>
        <w:r>
          <w:rPr>
            <w:noProof/>
            <w:webHidden/>
          </w:rPr>
        </w:r>
        <w:r>
          <w:rPr>
            <w:noProof/>
            <w:webHidden/>
          </w:rPr>
          <w:fldChar w:fldCharType="separate"/>
        </w:r>
        <w:r>
          <w:rPr>
            <w:noProof/>
            <w:webHidden/>
          </w:rPr>
          <w:t>656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77" w:history="1">
        <w:r w:rsidRPr="00CD0B56">
          <w:rPr>
            <w:rStyle w:val="Hyperlink"/>
            <w:noProof/>
          </w:rPr>
          <w:t>2.1.1809</w:t>
        </w:r>
        <w:r>
          <w:rPr>
            <w:rFonts w:asciiTheme="minorHAnsi" w:eastAsiaTheme="minorEastAsia" w:hAnsiTheme="minorHAnsi" w:cstheme="minorBidi"/>
            <w:noProof/>
            <w:sz w:val="22"/>
            <w:szCs w:val="22"/>
          </w:rPr>
          <w:tab/>
        </w:r>
        <w:r w:rsidRPr="00CD0B56">
          <w:rPr>
            <w:rStyle w:val="Hyperlink"/>
            <w:noProof/>
          </w:rPr>
          <w:t>Part 4 Section 19.1.3.4, ST_FillType (Shape Fill Type)</w:t>
        </w:r>
        <w:r>
          <w:rPr>
            <w:noProof/>
            <w:webHidden/>
          </w:rPr>
          <w:tab/>
        </w:r>
        <w:r>
          <w:rPr>
            <w:noProof/>
            <w:webHidden/>
          </w:rPr>
          <w:fldChar w:fldCharType="begin"/>
        </w:r>
        <w:r>
          <w:rPr>
            <w:noProof/>
            <w:webHidden/>
          </w:rPr>
          <w:instrText xml:space="preserve"> PAGEREF _Toc12261877 \h </w:instrText>
        </w:r>
        <w:r>
          <w:rPr>
            <w:noProof/>
            <w:webHidden/>
          </w:rPr>
        </w:r>
        <w:r>
          <w:rPr>
            <w:noProof/>
            <w:webHidden/>
          </w:rPr>
          <w:fldChar w:fldCharType="separate"/>
        </w:r>
        <w:r>
          <w:rPr>
            <w:noProof/>
            <w:webHidden/>
          </w:rPr>
          <w:t>656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78" w:history="1">
        <w:r w:rsidRPr="00CD0B56">
          <w:rPr>
            <w:rStyle w:val="Hyperlink"/>
            <w:noProof/>
          </w:rPr>
          <w:t>2.1.1810</w:t>
        </w:r>
        <w:r>
          <w:rPr>
            <w:rFonts w:asciiTheme="minorHAnsi" w:eastAsiaTheme="minorEastAsia" w:hAnsiTheme="minorHAnsi" w:cstheme="minorBidi"/>
            <w:noProof/>
            <w:sz w:val="22"/>
            <w:szCs w:val="22"/>
          </w:rPr>
          <w:tab/>
        </w:r>
        <w:r w:rsidRPr="00CD0B56">
          <w:rPr>
            <w:rStyle w:val="Hyperlink"/>
            <w:noProof/>
          </w:rPr>
          <w:t>Part 4 Section 19.1.3.6, ST_ShadowType (Shadow Type)</w:t>
        </w:r>
        <w:r>
          <w:rPr>
            <w:noProof/>
            <w:webHidden/>
          </w:rPr>
          <w:tab/>
        </w:r>
        <w:r>
          <w:rPr>
            <w:noProof/>
            <w:webHidden/>
          </w:rPr>
          <w:fldChar w:fldCharType="begin"/>
        </w:r>
        <w:r>
          <w:rPr>
            <w:noProof/>
            <w:webHidden/>
          </w:rPr>
          <w:instrText xml:space="preserve"> PAGEREF _Toc12261878 \h </w:instrText>
        </w:r>
        <w:r>
          <w:rPr>
            <w:noProof/>
            <w:webHidden/>
          </w:rPr>
        </w:r>
        <w:r>
          <w:rPr>
            <w:noProof/>
            <w:webHidden/>
          </w:rPr>
          <w:fldChar w:fldCharType="separate"/>
        </w:r>
        <w:r>
          <w:rPr>
            <w:noProof/>
            <w:webHidden/>
          </w:rPr>
          <w:t>656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79" w:history="1">
        <w:r w:rsidRPr="00CD0B56">
          <w:rPr>
            <w:rStyle w:val="Hyperlink"/>
            <w:noProof/>
          </w:rPr>
          <w:t>2.1.1811</w:t>
        </w:r>
        <w:r>
          <w:rPr>
            <w:rFonts w:asciiTheme="minorHAnsi" w:eastAsiaTheme="minorEastAsia" w:hAnsiTheme="minorHAnsi" w:cstheme="minorBidi"/>
            <w:noProof/>
            <w:sz w:val="22"/>
            <w:szCs w:val="22"/>
          </w:rPr>
          <w:tab/>
        </w:r>
        <w:r w:rsidRPr="00CD0B56">
          <w:rPr>
            <w:rStyle w:val="Hyperlink"/>
            <w:noProof/>
          </w:rPr>
          <w:t>Part 4 Section 19.2.2.1, bottom (Text Box Bottom Stroke)</w:t>
        </w:r>
        <w:r>
          <w:rPr>
            <w:noProof/>
            <w:webHidden/>
          </w:rPr>
          <w:tab/>
        </w:r>
        <w:r>
          <w:rPr>
            <w:noProof/>
            <w:webHidden/>
          </w:rPr>
          <w:fldChar w:fldCharType="begin"/>
        </w:r>
        <w:r>
          <w:rPr>
            <w:noProof/>
            <w:webHidden/>
          </w:rPr>
          <w:instrText xml:space="preserve"> PAGEREF _Toc12261879 \h </w:instrText>
        </w:r>
        <w:r>
          <w:rPr>
            <w:noProof/>
            <w:webHidden/>
          </w:rPr>
        </w:r>
        <w:r>
          <w:rPr>
            <w:noProof/>
            <w:webHidden/>
          </w:rPr>
          <w:fldChar w:fldCharType="separate"/>
        </w:r>
        <w:r>
          <w:rPr>
            <w:noProof/>
            <w:webHidden/>
          </w:rPr>
          <w:t>656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80" w:history="1">
        <w:r w:rsidRPr="00CD0B56">
          <w:rPr>
            <w:rStyle w:val="Hyperlink"/>
            <w:noProof/>
          </w:rPr>
          <w:t>2.1.1812</w:t>
        </w:r>
        <w:r>
          <w:rPr>
            <w:rFonts w:asciiTheme="minorHAnsi" w:eastAsiaTheme="minorEastAsia" w:hAnsiTheme="minorHAnsi" w:cstheme="minorBidi"/>
            <w:noProof/>
            <w:sz w:val="22"/>
            <w:szCs w:val="22"/>
          </w:rPr>
          <w:tab/>
        </w:r>
        <w:r w:rsidRPr="00CD0B56">
          <w:rPr>
            <w:rStyle w:val="Hyperlink"/>
            <w:noProof/>
          </w:rPr>
          <w:t>Part 4 Section 19.2.2.2, callout (Callout)</w:t>
        </w:r>
        <w:r>
          <w:rPr>
            <w:noProof/>
            <w:webHidden/>
          </w:rPr>
          <w:tab/>
        </w:r>
        <w:r>
          <w:rPr>
            <w:noProof/>
            <w:webHidden/>
          </w:rPr>
          <w:fldChar w:fldCharType="begin"/>
        </w:r>
        <w:r>
          <w:rPr>
            <w:noProof/>
            <w:webHidden/>
          </w:rPr>
          <w:instrText xml:space="preserve"> PAGEREF _Toc12261880 \h </w:instrText>
        </w:r>
        <w:r>
          <w:rPr>
            <w:noProof/>
            <w:webHidden/>
          </w:rPr>
        </w:r>
        <w:r>
          <w:rPr>
            <w:noProof/>
            <w:webHidden/>
          </w:rPr>
          <w:fldChar w:fldCharType="separate"/>
        </w:r>
        <w:r>
          <w:rPr>
            <w:noProof/>
            <w:webHidden/>
          </w:rPr>
          <w:t>658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81" w:history="1">
        <w:r w:rsidRPr="00CD0B56">
          <w:rPr>
            <w:rStyle w:val="Hyperlink"/>
            <w:noProof/>
          </w:rPr>
          <w:t>2.1.1813</w:t>
        </w:r>
        <w:r>
          <w:rPr>
            <w:rFonts w:asciiTheme="minorHAnsi" w:eastAsiaTheme="minorEastAsia" w:hAnsiTheme="minorHAnsi" w:cstheme="minorBidi"/>
            <w:noProof/>
            <w:sz w:val="22"/>
            <w:szCs w:val="22"/>
          </w:rPr>
          <w:tab/>
        </w:r>
        <w:r w:rsidRPr="00CD0B56">
          <w:rPr>
            <w:rStyle w:val="Hyperlink"/>
            <w:noProof/>
          </w:rPr>
          <w:t>Part 4 Section 19.2.2.3, clippath (Shape Clipping Path)</w:t>
        </w:r>
        <w:r>
          <w:rPr>
            <w:noProof/>
            <w:webHidden/>
          </w:rPr>
          <w:tab/>
        </w:r>
        <w:r>
          <w:rPr>
            <w:noProof/>
            <w:webHidden/>
          </w:rPr>
          <w:fldChar w:fldCharType="begin"/>
        </w:r>
        <w:r>
          <w:rPr>
            <w:noProof/>
            <w:webHidden/>
          </w:rPr>
          <w:instrText xml:space="preserve"> PAGEREF _Toc12261881 \h </w:instrText>
        </w:r>
        <w:r>
          <w:rPr>
            <w:noProof/>
            <w:webHidden/>
          </w:rPr>
        </w:r>
        <w:r>
          <w:rPr>
            <w:noProof/>
            <w:webHidden/>
          </w:rPr>
          <w:fldChar w:fldCharType="separate"/>
        </w:r>
        <w:r>
          <w:rPr>
            <w:noProof/>
            <w:webHidden/>
          </w:rPr>
          <w:t>660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82" w:history="1">
        <w:r w:rsidRPr="00CD0B56">
          <w:rPr>
            <w:rStyle w:val="Hyperlink"/>
            <w:noProof/>
          </w:rPr>
          <w:t>2.1.1814</w:t>
        </w:r>
        <w:r>
          <w:rPr>
            <w:rFonts w:asciiTheme="minorHAnsi" w:eastAsiaTheme="minorEastAsia" w:hAnsiTheme="minorHAnsi" w:cstheme="minorBidi"/>
            <w:noProof/>
            <w:sz w:val="22"/>
            <w:szCs w:val="22"/>
          </w:rPr>
          <w:tab/>
        </w:r>
        <w:r w:rsidRPr="00CD0B56">
          <w:rPr>
            <w:rStyle w:val="Hyperlink"/>
            <w:noProof/>
          </w:rPr>
          <w:t>Part 4 Section 19.2.2.4, colormenu (UI Default Colors)</w:t>
        </w:r>
        <w:r>
          <w:rPr>
            <w:noProof/>
            <w:webHidden/>
          </w:rPr>
          <w:tab/>
        </w:r>
        <w:r>
          <w:rPr>
            <w:noProof/>
            <w:webHidden/>
          </w:rPr>
          <w:fldChar w:fldCharType="begin"/>
        </w:r>
        <w:r>
          <w:rPr>
            <w:noProof/>
            <w:webHidden/>
          </w:rPr>
          <w:instrText xml:space="preserve"> PAGEREF _Toc12261882 \h </w:instrText>
        </w:r>
        <w:r>
          <w:rPr>
            <w:noProof/>
            <w:webHidden/>
          </w:rPr>
        </w:r>
        <w:r>
          <w:rPr>
            <w:noProof/>
            <w:webHidden/>
          </w:rPr>
          <w:fldChar w:fldCharType="separate"/>
        </w:r>
        <w:r>
          <w:rPr>
            <w:noProof/>
            <w:webHidden/>
          </w:rPr>
          <w:t>660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83" w:history="1">
        <w:r w:rsidRPr="00CD0B56">
          <w:rPr>
            <w:rStyle w:val="Hyperlink"/>
            <w:noProof/>
          </w:rPr>
          <w:t>2.1.1815</w:t>
        </w:r>
        <w:r>
          <w:rPr>
            <w:rFonts w:asciiTheme="minorHAnsi" w:eastAsiaTheme="minorEastAsia" w:hAnsiTheme="minorHAnsi" w:cstheme="minorBidi"/>
            <w:noProof/>
            <w:sz w:val="22"/>
            <w:szCs w:val="22"/>
          </w:rPr>
          <w:tab/>
        </w:r>
        <w:r w:rsidRPr="00CD0B56">
          <w:rPr>
            <w:rStyle w:val="Hyperlink"/>
            <w:noProof/>
          </w:rPr>
          <w:t>Part 4 Section 19.2.2.5, colormru (Most Recently Used Colors)</w:t>
        </w:r>
        <w:r>
          <w:rPr>
            <w:noProof/>
            <w:webHidden/>
          </w:rPr>
          <w:tab/>
        </w:r>
        <w:r>
          <w:rPr>
            <w:noProof/>
            <w:webHidden/>
          </w:rPr>
          <w:fldChar w:fldCharType="begin"/>
        </w:r>
        <w:r>
          <w:rPr>
            <w:noProof/>
            <w:webHidden/>
          </w:rPr>
          <w:instrText xml:space="preserve"> PAGEREF _Toc12261883 \h </w:instrText>
        </w:r>
        <w:r>
          <w:rPr>
            <w:noProof/>
            <w:webHidden/>
          </w:rPr>
        </w:r>
        <w:r>
          <w:rPr>
            <w:noProof/>
            <w:webHidden/>
          </w:rPr>
          <w:fldChar w:fldCharType="separate"/>
        </w:r>
        <w:r>
          <w:rPr>
            <w:noProof/>
            <w:webHidden/>
          </w:rPr>
          <w:t>660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84" w:history="1">
        <w:r w:rsidRPr="00CD0B56">
          <w:rPr>
            <w:rStyle w:val="Hyperlink"/>
            <w:noProof/>
          </w:rPr>
          <w:t>2.1.1816</w:t>
        </w:r>
        <w:r>
          <w:rPr>
            <w:rFonts w:asciiTheme="minorHAnsi" w:eastAsiaTheme="minorEastAsia" w:hAnsiTheme="minorHAnsi" w:cstheme="minorBidi"/>
            <w:noProof/>
            <w:sz w:val="22"/>
            <w:szCs w:val="22"/>
          </w:rPr>
          <w:tab/>
        </w:r>
        <w:r w:rsidRPr="00CD0B56">
          <w:rPr>
            <w:rStyle w:val="Hyperlink"/>
            <w:noProof/>
          </w:rPr>
          <w:t>Part 4 Section 19.2.2.6, column (Text Box Interior Stroke)</w:t>
        </w:r>
        <w:r>
          <w:rPr>
            <w:noProof/>
            <w:webHidden/>
          </w:rPr>
          <w:tab/>
        </w:r>
        <w:r>
          <w:rPr>
            <w:noProof/>
            <w:webHidden/>
          </w:rPr>
          <w:fldChar w:fldCharType="begin"/>
        </w:r>
        <w:r>
          <w:rPr>
            <w:noProof/>
            <w:webHidden/>
          </w:rPr>
          <w:instrText xml:space="preserve"> PAGEREF _Toc12261884 \h </w:instrText>
        </w:r>
        <w:r>
          <w:rPr>
            <w:noProof/>
            <w:webHidden/>
          </w:rPr>
        </w:r>
        <w:r>
          <w:rPr>
            <w:noProof/>
            <w:webHidden/>
          </w:rPr>
          <w:fldChar w:fldCharType="separate"/>
        </w:r>
        <w:r>
          <w:rPr>
            <w:noProof/>
            <w:webHidden/>
          </w:rPr>
          <w:t>661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85" w:history="1">
        <w:r w:rsidRPr="00CD0B56">
          <w:rPr>
            <w:rStyle w:val="Hyperlink"/>
            <w:noProof/>
          </w:rPr>
          <w:t>2.1.1817</w:t>
        </w:r>
        <w:r>
          <w:rPr>
            <w:rFonts w:asciiTheme="minorHAnsi" w:eastAsiaTheme="minorEastAsia" w:hAnsiTheme="minorHAnsi" w:cstheme="minorBidi"/>
            <w:noProof/>
            <w:sz w:val="22"/>
            <w:szCs w:val="22"/>
          </w:rPr>
          <w:tab/>
        </w:r>
        <w:r w:rsidRPr="00CD0B56">
          <w:rPr>
            <w:rStyle w:val="Hyperlink"/>
            <w:noProof/>
          </w:rPr>
          <w:t>Part 4 Section 19.2.2.7, complex (Complex)</w:t>
        </w:r>
        <w:r>
          <w:rPr>
            <w:noProof/>
            <w:webHidden/>
          </w:rPr>
          <w:tab/>
        </w:r>
        <w:r>
          <w:rPr>
            <w:noProof/>
            <w:webHidden/>
          </w:rPr>
          <w:fldChar w:fldCharType="begin"/>
        </w:r>
        <w:r>
          <w:rPr>
            <w:noProof/>
            <w:webHidden/>
          </w:rPr>
          <w:instrText xml:space="preserve"> PAGEREF _Toc12261885 \h </w:instrText>
        </w:r>
        <w:r>
          <w:rPr>
            <w:noProof/>
            <w:webHidden/>
          </w:rPr>
        </w:r>
        <w:r>
          <w:rPr>
            <w:noProof/>
            <w:webHidden/>
          </w:rPr>
          <w:fldChar w:fldCharType="separate"/>
        </w:r>
        <w:r>
          <w:rPr>
            <w:noProof/>
            <w:webHidden/>
          </w:rPr>
          <w:t>661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86" w:history="1">
        <w:r w:rsidRPr="00CD0B56">
          <w:rPr>
            <w:rStyle w:val="Hyperlink"/>
            <w:noProof/>
          </w:rPr>
          <w:t>2.1.1818</w:t>
        </w:r>
        <w:r>
          <w:rPr>
            <w:rFonts w:asciiTheme="minorHAnsi" w:eastAsiaTheme="minorEastAsia" w:hAnsiTheme="minorHAnsi" w:cstheme="minorBidi"/>
            <w:noProof/>
            <w:sz w:val="22"/>
            <w:szCs w:val="22"/>
          </w:rPr>
          <w:tab/>
        </w:r>
        <w:r w:rsidRPr="00CD0B56">
          <w:rPr>
            <w:rStyle w:val="Hyperlink"/>
            <w:noProof/>
          </w:rPr>
          <w:t>Part 4 Section 19.2.2.8, diagram (VML Diagram)</w:t>
        </w:r>
        <w:r>
          <w:rPr>
            <w:noProof/>
            <w:webHidden/>
          </w:rPr>
          <w:tab/>
        </w:r>
        <w:r>
          <w:rPr>
            <w:noProof/>
            <w:webHidden/>
          </w:rPr>
          <w:fldChar w:fldCharType="begin"/>
        </w:r>
        <w:r>
          <w:rPr>
            <w:noProof/>
            <w:webHidden/>
          </w:rPr>
          <w:instrText xml:space="preserve"> PAGEREF _Toc12261886 \h </w:instrText>
        </w:r>
        <w:r>
          <w:rPr>
            <w:noProof/>
            <w:webHidden/>
          </w:rPr>
        </w:r>
        <w:r>
          <w:rPr>
            <w:noProof/>
            <w:webHidden/>
          </w:rPr>
          <w:fldChar w:fldCharType="separate"/>
        </w:r>
        <w:r>
          <w:rPr>
            <w:noProof/>
            <w:webHidden/>
          </w:rPr>
          <w:t>661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87" w:history="1">
        <w:r w:rsidRPr="00CD0B56">
          <w:rPr>
            <w:rStyle w:val="Hyperlink"/>
            <w:noProof/>
          </w:rPr>
          <w:t>2.1.1819</w:t>
        </w:r>
        <w:r>
          <w:rPr>
            <w:rFonts w:asciiTheme="minorHAnsi" w:eastAsiaTheme="minorEastAsia" w:hAnsiTheme="minorHAnsi" w:cstheme="minorBidi"/>
            <w:noProof/>
            <w:sz w:val="22"/>
            <w:szCs w:val="22"/>
          </w:rPr>
          <w:tab/>
        </w:r>
        <w:r w:rsidRPr="00CD0B56">
          <w:rPr>
            <w:rStyle w:val="Hyperlink"/>
            <w:noProof/>
          </w:rPr>
          <w:t>Part 4 Section 19.2.2.11, extrusion (3D Extrusion)</w:t>
        </w:r>
        <w:r>
          <w:rPr>
            <w:noProof/>
            <w:webHidden/>
          </w:rPr>
          <w:tab/>
        </w:r>
        <w:r>
          <w:rPr>
            <w:noProof/>
            <w:webHidden/>
          </w:rPr>
          <w:fldChar w:fldCharType="begin"/>
        </w:r>
        <w:r>
          <w:rPr>
            <w:noProof/>
            <w:webHidden/>
          </w:rPr>
          <w:instrText xml:space="preserve"> PAGEREF _Toc12261887 \h </w:instrText>
        </w:r>
        <w:r>
          <w:rPr>
            <w:noProof/>
            <w:webHidden/>
          </w:rPr>
        </w:r>
        <w:r>
          <w:rPr>
            <w:noProof/>
            <w:webHidden/>
          </w:rPr>
          <w:fldChar w:fldCharType="separate"/>
        </w:r>
        <w:r>
          <w:rPr>
            <w:noProof/>
            <w:webHidden/>
          </w:rPr>
          <w:t>662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88" w:history="1">
        <w:r w:rsidRPr="00CD0B56">
          <w:rPr>
            <w:rStyle w:val="Hyperlink"/>
            <w:noProof/>
          </w:rPr>
          <w:t>2.1.1820</w:t>
        </w:r>
        <w:r>
          <w:rPr>
            <w:rFonts w:asciiTheme="minorHAnsi" w:eastAsiaTheme="minorEastAsia" w:hAnsiTheme="minorHAnsi" w:cstheme="minorBidi"/>
            <w:noProof/>
            <w:sz w:val="22"/>
            <w:szCs w:val="22"/>
          </w:rPr>
          <w:tab/>
        </w:r>
        <w:r w:rsidRPr="00CD0B56">
          <w:rPr>
            <w:rStyle w:val="Hyperlink"/>
            <w:noProof/>
          </w:rPr>
          <w:t>Part 4 Section 19.2.2.12, FieldCodes (WordprocessingML Field Switches)</w:t>
        </w:r>
        <w:r>
          <w:rPr>
            <w:noProof/>
            <w:webHidden/>
          </w:rPr>
          <w:tab/>
        </w:r>
        <w:r>
          <w:rPr>
            <w:noProof/>
            <w:webHidden/>
          </w:rPr>
          <w:fldChar w:fldCharType="begin"/>
        </w:r>
        <w:r>
          <w:rPr>
            <w:noProof/>
            <w:webHidden/>
          </w:rPr>
          <w:instrText xml:space="preserve"> PAGEREF _Toc12261888 \h </w:instrText>
        </w:r>
        <w:r>
          <w:rPr>
            <w:noProof/>
            <w:webHidden/>
          </w:rPr>
        </w:r>
        <w:r>
          <w:rPr>
            <w:noProof/>
            <w:webHidden/>
          </w:rPr>
          <w:fldChar w:fldCharType="separate"/>
        </w:r>
        <w:r>
          <w:rPr>
            <w:noProof/>
            <w:webHidden/>
          </w:rPr>
          <w:t>664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89" w:history="1">
        <w:r w:rsidRPr="00CD0B56">
          <w:rPr>
            <w:rStyle w:val="Hyperlink"/>
            <w:noProof/>
          </w:rPr>
          <w:t>2.1.1821</w:t>
        </w:r>
        <w:r>
          <w:rPr>
            <w:rFonts w:asciiTheme="minorHAnsi" w:eastAsiaTheme="minorEastAsia" w:hAnsiTheme="minorHAnsi" w:cstheme="minorBidi"/>
            <w:noProof/>
            <w:sz w:val="22"/>
            <w:szCs w:val="22"/>
          </w:rPr>
          <w:tab/>
        </w:r>
        <w:r w:rsidRPr="00CD0B56">
          <w:rPr>
            <w:rStyle w:val="Hyperlink"/>
            <w:noProof/>
          </w:rPr>
          <w:t>Part 4 Section 19.2.2.13, fill (Shape Fill Extended Properties)</w:t>
        </w:r>
        <w:r>
          <w:rPr>
            <w:noProof/>
            <w:webHidden/>
          </w:rPr>
          <w:tab/>
        </w:r>
        <w:r>
          <w:rPr>
            <w:noProof/>
            <w:webHidden/>
          </w:rPr>
          <w:fldChar w:fldCharType="begin"/>
        </w:r>
        <w:r>
          <w:rPr>
            <w:noProof/>
            <w:webHidden/>
          </w:rPr>
          <w:instrText xml:space="preserve"> PAGEREF _Toc12261889 \h </w:instrText>
        </w:r>
        <w:r>
          <w:rPr>
            <w:noProof/>
            <w:webHidden/>
          </w:rPr>
        </w:r>
        <w:r>
          <w:rPr>
            <w:noProof/>
            <w:webHidden/>
          </w:rPr>
          <w:fldChar w:fldCharType="separate"/>
        </w:r>
        <w:r>
          <w:rPr>
            <w:noProof/>
            <w:webHidden/>
          </w:rPr>
          <w:t>664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90" w:history="1">
        <w:r w:rsidRPr="00CD0B56">
          <w:rPr>
            <w:rStyle w:val="Hyperlink"/>
            <w:noProof/>
          </w:rPr>
          <w:t>2.1.1822</w:t>
        </w:r>
        <w:r>
          <w:rPr>
            <w:rFonts w:asciiTheme="minorHAnsi" w:eastAsiaTheme="minorEastAsia" w:hAnsiTheme="minorHAnsi" w:cstheme="minorBidi"/>
            <w:noProof/>
            <w:sz w:val="22"/>
            <w:szCs w:val="22"/>
          </w:rPr>
          <w:tab/>
        </w:r>
        <w:r w:rsidRPr="00CD0B56">
          <w:rPr>
            <w:rStyle w:val="Hyperlink"/>
            <w:noProof/>
          </w:rPr>
          <w:t>Part 4 Section 19.2.2.14, idmap (Shape ID Map)</w:t>
        </w:r>
        <w:r>
          <w:rPr>
            <w:noProof/>
            <w:webHidden/>
          </w:rPr>
          <w:tab/>
        </w:r>
        <w:r>
          <w:rPr>
            <w:noProof/>
            <w:webHidden/>
          </w:rPr>
          <w:fldChar w:fldCharType="begin"/>
        </w:r>
        <w:r>
          <w:rPr>
            <w:noProof/>
            <w:webHidden/>
          </w:rPr>
          <w:instrText xml:space="preserve"> PAGEREF _Toc12261890 \h </w:instrText>
        </w:r>
        <w:r>
          <w:rPr>
            <w:noProof/>
            <w:webHidden/>
          </w:rPr>
        </w:r>
        <w:r>
          <w:rPr>
            <w:noProof/>
            <w:webHidden/>
          </w:rPr>
          <w:fldChar w:fldCharType="separate"/>
        </w:r>
        <w:r>
          <w:rPr>
            <w:noProof/>
            <w:webHidden/>
          </w:rPr>
          <w:t>665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91" w:history="1">
        <w:r w:rsidRPr="00CD0B56">
          <w:rPr>
            <w:rStyle w:val="Hyperlink"/>
            <w:noProof/>
          </w:rPr>
          <w:t>2.1.1823</w:t>
        </w:r>
        <w:r>
          <w:rPr>
            <w:rFonts w:asciiTheme="minorHAnsi" w:eastAsiaTheme="minorEastAsia" w:hAnsiTheme="minorHAnsi" w:cstheme="minorBidi"/>
            <w:noProof/>
            <w:sz w:val="22"/>
            <w:szCs w:val="22"/>
          </w:rPr>
          <w:tab/>
        </w:r>
        <w:r w:rsidRPr="00CD0B56">
          <w:rPr>
            <w:rStyle w:val="Hyperlink"/>
            <w:noProof/>
          </w:rPr>
          <w:t>Part 4 Section 19.2.2.15, ink (Ink)</w:t>
        </w:r>
        <w:r>
          <w:rPr>
            <w:noProof/>
            <w:webHidden/>
          </w:rPr>
          <w:tab/>
        </w:r>
        <w:r>
          <w:rPr>
            <w:noProof/>
            <w:webHidden/>
          </w:rPr>
          <w:fldChar w:fldCharType="begin"/>
        </w:r>
        <w:r>
          <w:rPr>
            <w:noProof/>
            <w:webHidden/>
          </w:rPr>
          <w:instrText xml:space="preserve"> PAGEREF _Toc12261891 \h </w:instrText>
        </w:r>
        <w:r>
          <w:rPr>
            <w:noProof/>
            <w:webHidden/>
          </w:rPr>
        </w:r>
        <w:r>
          <w:rPr>
            <w:noProof/>
            <w:webHidden/>
          </w:rPr>
          <w:fldChar w:fldCharType="separate"/>
        </w:r>
        <w:r>
          <w:rPr>
            <w:noProof/>
            <w:webHidden/>
          </w:rPr>
          <w:t>665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92" w:history="1">
        <w:r w:rsidRPr="00CD0B56">
          <w:rPr>
            <w:rStyle w:val="Hyperlink"/>
            <w:noProof/>
          </w:rPr>
          <w:t>2.1.1824</w:t>
        </w:r>
        <w:r>
          <w:rPr>
            <w:rFonts w:asciiTheme="minorHAnsi" w:eastAsiaTheme="minorEastAsia" w:hAnsiTheme="minorHAnsi" w:cstheme="minorBidi"/>
            <w:noProof/>
            <w:sz w:val="22"/>
            <w:szCs w:val="22"/>
          </w:rPr>
          <w:tab/>
        </w:r>
        <w:r w:rsidRPr="00CD0B56">
          <w:rPr>
            <w:rStyle w:val="Hyperlink"/>
            <w:noProof/>
          </w:rPr>
          <w:t>Part 4 Section 19.2.2.16, left (Text Box Left Stroke)</w:t>
        </w:r>
        <w:r>
          <w:rPr>
            <w:noProof/>
            <w:webHidden/>
          </w:rPr>
          <w:tab/>
        </w:r>
        <w:r>
          <w:rPr>
            <w:noProof/>
            <w:webHidden/>
          </w:rPr>
          <w:fldChar w:fldCharType="begin"/>
        </w:r>
        <w:r>
          <w:rPr>
            <w:noProof/>
            <w:webHidden/>
          </w:rPr>
          <w:instrText xml:space="preserve"> PAGEREF _Toc12261892 \h </w:instrText>
        </w:r>
        <w:r>
          <w:rPr>
            <w:noProof/>
            <w:webHidden/>
          </w:rPr>
        </w:r>
        <w:r>
          <w:rPr>
            <w:noProof/>
            <w:webHidden/>
          </w:rPr>
          <w:fldChar w:fldCharType="separate"/>
        </w:r>
        <w:r>
          <w:rPr>
            <w:noProof/>
            <w:webHidden/>
          </w:rPr>
          <w:t>665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93" w:history="1">
        <w:r w:rsidRPr="00CD0B56">
          <w:rPr>
            <w:rStyle w:val="Hyperlink"/>
            <w:noProof/>
          </w:rPr>
          <w:t>2.1.1825</w:t>
        </w:r>
        <w:r>
          <w:rPr>
            <w:rFonts w:asciiTheme="minorHAnsi" w:eastAsiaTheme="minorEastAsia" w:hAnsiTheme="minorHAnsi" w:cstheme="minorBidi"/>
            <w:noProof/>
            <w:sz w:val="22"/>
            <w:szCs w:val="22"/>
          </w:rPr>
          <w:tab/>
        </w:r>
        <w:r w:rsidRPr="00CD0B56">
          <w:rPr>
            <w:rStyle w:val="Hyperlink"/>
            <w:noProof/>
          </w:rPr>
          <w:t>Part 4 Section 19.2.2.17, LinkType (Embedded Object Alternate Image Request)</w:t>
        </w:r>
        <w:r>
          <w:rPr>
            <w:noProof/>
            <w:webHidden/>
          </w:rPr>
          <w:tab/>
        </w:r>
        <w:r>
          <w:rPr>
            <w:noProof/>
            <w:webHidden/>
          </w:rPr>
          <w:fldChar w:fldCharType="begin"/>
        </w:r>
        <w:r>
          <w:rPr>
            <w:noProof/>
            <w:webHidden/>
          </w:rPr>
          <w:instrText xml:space="preserve"> PAGEREF _Toc12261893 \h </w:instrText>
        </w:r>
        <w:r>
          <w:rPr>
            <w:noProof/>
            <w:webHidden/>
          </w:rPr>
        </w:r>
        <w:r>
          <w:rPr>
            <w:noProof/>
            <w:webHidden/>
          </w:rPr>
          <w:fldChar w:fldCharType="separate"/>
        </w:r>
        <w:r>
          <w:rPr>
            <w:noProof/>
            <w:webHidden/>
          </w:rPr>
          <w:t>666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94" w:history="1">
        <w:r w:rsidRPr="00CD0B56">
          <w:rPr>
            <w:rStyle w:val="Hyperlink"/>
            <w:noProof/>
          </w:rPr>
          <w:t>2.1.1826</w:t>
        </w:r>
        <w:r>
          <w:rPr>
            <w:rFonts w:asciiTheme="minorHAnsi" w:eastAsiaTheme="minorEastAsia" w:hAnsiTheme="minorHAnsi" w:cstheme="minorBidi"/>
            <w:noProof/>
            <w:sz w:val="22"/>
            <w:szCs w:val="22"/>
          </w:rPr>
          <w:tab/>
        </w:r>
        <w:r w:rsidRPr="00CD0B56">
          <w:rPr>
            <w:rStyle w:val="Hyperlink"/>
            <w:noProof/>
          </w:rPr>
          <w:t>Part 4 Section 19.2.2.18, lock (Shape Protections)</w:t>
        </w:r>
        <w:r>
          <w:rPr>
            <w:noProof/>
            <w:webHidden/>
          </w:rPr>
          <w:tab/>
        </w:r>
        <w:r>
          <w:rPr>
            <w:noProof/>
            <w:webHidden/>
          </w:rPr>
          <w:fldChar w:fldCharType="begin"/>
        </w:r>
        <w:r>
          <w:rPr>
            <w:noProof/>
            <w:webHidden/>
          </w:rPr>
          <w:instrText xml:space="preserve"> PAGEREF _Toc12261894 \h </w:instrText>
        </w:r>
        <w:r>
          <w:rPr>
            <w:noProof/>
            <w:webHidden/>
          </w:rPr>
        </w:r>
        <w:r>
          <w:rPr>
            <w:noProof/>
            <w:webHidden/>
          </w:rPr>
          <w:fldChar w:fldCharType="separate"/>
        </w:r>
        <w:r>
          <w:rPr>
            <w:noProof/>
            <w:webHidden/>
          </w:rPr>
          <w:t>666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95" w:history="1">
        <w:r w:rsidRPr="00CD0B56">
          <w:rPr>
            <w:rStyle w:val="Hyperlink"/>
            <w:noProof/>
          </w:rPr>
          <w:t>2.1.1827</w:t>
        </w:r>
        <w:r>
          <w:rPr>
            <w:rFonts w:asciiTheme="minorHAnsi" w:eastAsiaTheme="minorEastAsia" w:hAnsiTheme="minorHAnsi" w:cstheme="minorBidi"/>
            <w:noProof/>
            <w:sz w:val="22"/>
            <w:szCs w:val="22"/>
          </w:rPr>
          <w:tab/>
        </w:r>
        <w:r w:rsidRPr="00CD0B56">
          <w:rPr>
            <w:rStyle w:val="Hyperlink"/>
            <w:noProof/>
          </w:rPr>
          <w:t>Part 4 Section 19.2.2.19, LockedField (Embedded Object Cannot Be Refreshed)</w:t>
        </w:r>
        <w:r>
          <w:rPr>
            <w:noProof/>
            <w:webHidden/>
          </w:rPr>
          <w:tab/>
        </w:r>
        <w:r>
          <w:rPr>
            <w:noProof/>
            <w:webHidden/>
          </w:rPr>
          <w:fldChar w:fldCharType="begin"/>
        </w:r>
        <w:r>
          <w:rPr>
            <w:noProof/>
            <w:webHidden/>
          </w:rPr>
          <w:instrText xml:space="preserve"> PAGEREF _Toc12261895 \h </w:instrText>
        </w:r>
        <w:r>
          <w:rPr>
            <w:noProof/>
            <w:webHidden/>
          </w:rPr>
        </w:r>
        <w:r>
          <w:rPr>
            <w:noProof/>
            <w:webHidden/>
          </w:rPr>
          <w:fldChar w:fldCharType="separate"/>
        </w:r>
        <w:r>
          <w:rPr>
            <w:noProof/>
            <w:webHidden/>
          </w:rPr>
          <w:t>666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96" w:history="1">
        <w:r w:rsidRPr="00CD0B56">
          <w:rPr>
            <w:rStyle w:val="Hyperlink"/>
            <w:noProof/>
          </w:rPr>
          <w:t>2.1.1828</w:t>
        </w:r>
        <w:r>
          <w:rPr>
            <w:rFonts w:asciiTheme="minorHAnsi" w:eastAsiaTheme="minorEastAsia" w:hAnsiTheme="minorHAnsi" w:cstheme="minorBidi"/>
            <w:noProof/>
            <w:sz w:val="22"/>
            <w:szCs w:val="22"/>
          </w:rPr>
          <w:tab/>
        </w:r>
        <w:r w:rsidRPr="00CD0B56">
          <w:rPr>
            <w:rStyle w:val="Hyperlink"/>
            <w:noProof/>
          </w:rPr>
          <w:t>Part 4 Section 19.2.2.20, OLEObject (Embedded OLE Object)</w:t>
        </w:r>
        <w:r>
          <w:rPr>
            <w:noProof/>
            <w:webHidden/>
          </w:rPr>
          <w:tab/>
        </w:r>
        <w:r>
          <w:rPr>
            <w:noProof/>
            <w:webHidden/>
          </w:rPr>
          <w:fldChar w:fldCharType="begin"/>
        </w:r>
        <w:r>
          <w:rPr>
            <w:noProof/>
            <w:webHidden/>
          </w:rPr>
          <w:instrText xml:space="preserve"> PAGEREF _Toc12261896 \h </w:instrText>
        </w:r>
        <w:r>
          <w:rPr>
            <w:noProof/>
            <w:webHidden/>
          </w:rPr>
        </w:r>
        <w:r>
          <w:rPr>
            <w:noProof/>
            <w:webHidden/>
          </w:rPr>
          <w:fldChar w:fldCharType="separate"/>
        </w:r>
        <w:r>
          <w:rPr>
            <w:noProof/>
            <w:webHidden/>
          </w:rPr>
          <w:t>667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97" w:history="1">
        <w:r w:rsidRPr="00CD0B56">
          <w:rPr>
            <w:rStyle w:val="Hyperlink"/>
            <w:noProof/>
          </w:rPr>
          <w:t>2.1.1829</w:t>
        </w:r>
        <w:r>
          <w:rPr>
            <w:rFonts w:asciiTheme="minorHAnsi" w:eastAsiaTheme="minorEastAsia" w:hAnsiTheme="minorHAnsi" w:cstheme="minorBidi"/>
            <w:noProof/>
            <w:sz w:val="22"/>
            <w:szCs w:val="22"/>
          </w:rPr>
          <w:tab/>
        </w:r>
        <w:r w:rsidRPr="00CD0B56">
          <w:rPr>
            <w:rStyle w:val="Hyperlink"/>
            <w:noProof/>
          </w:rPr>
          <w:t>Part 4 Section 19.2.2.21, proxy (Shape Reference)</w:t>
        </w:r>
        <w:r>
          <w:rPr>
            <w:noProof/>
            <w:webHidden/>
          </w:rPr>
          <w:tab/>
        </w:r>
        <w:r>
          <w:rPr>
            <w:noProof/>
            <w:webHidden/>
          </w:rPr>
          <w:fldChar w:fldCharType="begin"/>
        </w:r>
        <w:r>
          <w:rPr>
            <w:noProof/>
            <w:webHidden/>
          </w:rPr>
          <w:instrText xml:space="preserve"> PAGEREF _Toc12261897 \h </w:instrText>
        </w:r>
        <w:r>
          <w:rPr>
            <w:noProof/>
            <w:webHidden/>
          </w:rPr>
        </w:r>
        <w:r>
          <w:rPr>
            <w:noProof/>
            <w:webHidden/>
          </w:rPr>
          <w:fldChar w:fldCharType="separate"/>
        </w:r>
        <w:r>
          <w:rPr>
            <w:noProof/>
            <w:webHidden/>
          </w:rPr>
          <w:t>667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98" w:history="1">
        <w:r w:rsidRPr="00CD0B56">
          <w:rPr>
            <w:rStyle w:val="Hyperlink"/>
            <w:noProof/>
          </w:rPr>
          <w:t>2.1.1830</w:t>
        </w:r>
        <w:r>
          <w:rPr>
            <w:rFonts w:asciiTheme="minorHAnsi" w:eastAsiaTheme="minorEastAsia" w:hAnsiTheme="minorHAnsi" w:cstheme="minorBidi"/>
            <w:noProof/>
            <w:sz w:val="22"/>
            <w:szCs w:val="22"/>
          </w:rPr>
          <w:tab/>
        </w:r>
        <w:r w:rsidRPr="00CD0B56">
          <w:rPr>
            <w:rStyle w:val="Hyperlink"/>
            <w:noProof/>
          </w:rPr>
          <w:t>Part 4 Section 19.2.2.22, r (Rule)</w:t>
        </w:r>
        <w:r>
          <w:rPr>
            <w:noProof/>
            <w:webHidden/>
          </w:rPr>
          <w:tab/>
        </w:r>
        <w:r>
          <w:rPr>
            <w:noProof/>
            <w:webHidden/>
          </w:rPr>
          <w:fldChar w:fldCharType="begin"/>
        </w:r>
        <w:r>
          <w:rPr>
            <w:noProof/>
            <w:webHidden/>
          </w:rPr>
          <w:instrText xml:space="preserve"> PAGEREF _Toc12261898 \h </w:instrText>
        </w:r>
        <w:r>
          <w:rPr>
            <w:noProof/>
            <w:webHidden/>
          </w:rPr>
        </w:r>
        <w:r>
          <w:rPr>
            <w:noProof/>
            <w:webHidden/>
          </w:rPr>
          <w:fldChar w:fldCharType="separate"/>
        </w:r>
        <w:r>
          <w:rPr>
            <w:noProof/>
            <w:webHidden/>
          </w:rPr>
          <w:t>668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899" w:history="1">
        <w:r w:rsidRPr="00CD0B56">
          <w:rPr>
            <w:rStyle w:val="Hyperlink"/>
            <w:noProof/>
          </w:rPr>
          <w:t>2.1.1831</w:t>
        </w:r>
        <w:r>
          <w:rPr>
            <w:rFonts w:asciiTheme="minorHAnsi" w:eastAsiaTheme="minorEastAsia" w:hAnsiTheme="minorHAnsi" w:cstheme="minorBidi"/>
            <w:noProof/>
            <w:sz w:val="22"/>
            <w:szCs w:val="22"/>
          </w:rPr>
          <w:tab/>
        </w:r>
        <w:r w:rsidRPr="00CD0B56">
          <w:rPr>
            <w:rStyle w:val="Hyperlink"/>
            <w:noProof/>
          </w:rPr>
          <w:t>Part 4 Section 19.2.2.24, rel (Diagram Relationship)</w:t>
        </w:r>
        <w:r>
          <w:rPr>
            <w:noProof/>
            <w:webHidden/>
          </w:rPr>
          <w:tab/>
        </w:r>
        <w:r>
          <w:rPr>
            <w:noProof/>
            <w:webHidden/>
          </w:rPr>
          <w:fldChar w:fldCharType="begin"/>
        </w:r>
        <w:r>
          <w:rPr>
            <w:noProof/>
            <w:webHidden/>
          </w:rPr>
          <w:instrText xml:space="preserve"> PAGEREF _Toc12261899 \h </w:instrText>
        </w:r>
        <w:r>
          <w:rPr>
            <w:noProof/>
            <w:webHidden/>
          </w:rPr>
        </w:r>
        <w:r>
          <w:rPr>
            <w:noProof/>
            <w:webHidden/>
          </w:rPr>
          <w:fldChar w:fldCharType="separate"/>
        </w:r>
        <w:r>
          <w:rPr>
            <w:noProof/>
            <w:webHidden/>
          </w:rPr>
          <w:t>668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00" w:history="1">
        <w:r w:rsidRPr="00CD0B56">
          <w:rPr>
            <w:rStyle w:val="Hyperlink"/>
            <w:noProof/>
          </w:rPr>
          <w:t>2.1.1832</w:t>
        </w:r>
        <w:r>
          <w:rPr>
            <w:rFonts w:asciiTheme="minorHAnsi" w:eastAsiaTheme="minorEastAsia" w:hAnsiTheme="minorHAnsi" w:cstheme="minorBidi"/>
            <w:noProof/>
            <w:sz w:val="22"/>
            <w:szCs w:val="22"/>
          </w:rPr>
          <w:tab/>
        </w:r>
        <w:r w:rsidRPr="00CD0B56">
          <w:rPr>
            <w:rStyle w:val="Hyperlink"/>
            <w:noProof/>
          </w:rPr>
          <w:t>Part 4 Section 19.2.2.26, right (Text Box Right Stroke)</w:t>
        </w:r>
        <w:r>
          <w:rPr>
            <w:noProof/>
            <w:webHidden/>
          </w:rPr>
          <w:tab/>
        </w:r>
        <w:r>
          <w:rPr>
            <w:noProof/>
            <w:webHidden/>
          </w:rPr>
          <w:fldChar w:fldCharType="begin"/>
        </w:r>
        <w:r>
          <w:rPr>
            <w:noProof/>
            <w:webHidden/>
          </w:rPr>
          <w:instrText xml:space="preserve"> PAGEREF _Toc12261900 \h </w:instrText>
        </w:r>
        <w:r>
          <w:rPr>
            <w:noProof/>
            <w:webHidden/>
          </w:rPr>
        </w:r>
        <w:r>
          <w:rPr>
            <w:noProof/>
            <w:webHidden/>
          </w:rPr>
          <w:fldChar w:fldCharType="separate"/>
        </w:r>
        <w:r>
          <w:rPr>
            <w:noProof/>
            <w:webHidden/>
          </w:rPr>
          <w:t>668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01" w:history="1">
        <w:r w:rsidRPr="00CD0B56">
          <w:rPr>
            <w:rStyle w:val="Hyperlink"/>
            <w:noProof/>
          </w:rPr>
          <w:t>2.1.1833</w:t>
        </w:r>
        <w:r>
          <w:rPr>
            <w:rFonts w:asciiTheme="minorHAnsi" w:eastAsiaTheme="minorEastAsia" w:hAnsiTheme="minorHAnsi" w:cstheme="minorBidi"/>
            <w:noProof/>
            <w:sz w:val="22"/>
            <w:szCs w:val="22"/>
          </w:rPr>
          <w:tab/>
        </w:r>
        <w:r w:rsidRPr="00CD0B56">
          <w:rPr>
            <w:rStyle w:val="Hyperlink"/>
            <w:noProof/>
          </w:rPr>
          <w:t>Part 4 Section 19.2.2.28, shapedefaults (New Shape Defaults)</w:t>
        </w:r>
        <w:r>
          <w:rPr>
            <w:noProof/>
            <w:webHidden/>
          </w:rPr>
          <w:tab/>
        </w:r>
        <w:r>
          <w:rPr>
            <w:noProof/>
            <w:webHidden/>
          </w:rPr>
          <w:fldChar w:fldCharType="begin"/>
        </w:r>
        <w:r>
          <w:rPr>
            <w:noProof/>
            <w:webHidden/>
          </w:rPr>
          <w:instrText xml:space="preserve"> PAGEREF _Toc12261901 \h </w:instrText>
        </w:r>
        <w:r>
          <w:rPr>
            <w:noProof/>
            <w:webHidden/>
          </w:rPr>
        </w:r>
        <w:r>
          <w:rPr>
            <w:noProof/>
            <w:webHidden/>
          </w:rPr>
          <w:fldChar w:fldCharType="separate"/>
        </w:r>
        <w:r>
          <w:rPr>
            <w:noProof/>
            <w:webHidden/>
          </w:rPr>
          <w:t>669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02" w:history="1">
        <w:r w:rsidRPr="00CD0B56">
          <w:rPr>
            <w:rStyle w:val="Hyperlink"/>
            <w:noProof/>
          </w:rPr>
          <w:t>2.1.1834</w:t>
        </w:r>
        <w:r>
          <w:rPr>
            <w:rFonts w:asciiTheme="minorHAnsi" w:eastAsiaTheme="minorEastAsia" w:hAnsiTheme="minorHAnsi" w:cstheme="minorBidi"/>
            <w:noProof/>
            <w:sz w:val="22"/>
            <w:szCs w:val="22"/>
          </w:rPr>
          <w:tab/>
        </w:r>
        <w:r w:rsidRPr="00CD0B56">
          <w:rPr>
            <w:rStyle w:val="Hyperlink"/>
            <w:noProof/>
          </w:rPr>
          <w:t>Part 4 Section 19.2.2.29, shapelayout (Shape Layout Properties)</w:t>
        </w:r>
        <w:r>
          <w:rPr>
            <w:noProof/>
            <w:webHidden/>
          </w:rPr>
          <w:tab/>
        </w:r>
        <w:r>
          <w:rPr>
            <w:noProof/>
            <w:webHidden/>
          </w:rPr>
          <w:fldChar w:fldCharType="begin"/>
        </w:r>
        <w:r>
          <w:rPr>
            <w:noProof/>
            <w:webHidden/>
          </w:rPr>
          <w:instrText xml:space="preserve"> PAGEREF _Toc12261902 \h </w:instrText>
        </w:r>
        <w:r>
          <w:rPr>
            <w:noProof/>
            <w:webHidden/>
          </w:rPr>
        </w:r>
        <w:r>
          <w:rPr>
            <w:noProof/>
            <w:webHidden/>
          </w:rPr>
          <w:fldChar w:fldCharType="separate"/>
        </w:r>
        <w:r>
          <w:rPr>
            <w:noProof/>
            <w:webHidden/>
          </w:rPr>
          <w:t>669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03" w:history="1">
        <w:r w:rsidRPr="00CD0B56">
          <w:rPr>
            <w:rStyle w:val="Hyperlink"/>
            <w:noProof/>
          </w:rPr>
          <w:t>2.1.1835</w:t>
        </w:r>
        <w:r>
          <w:rPr>
            <w:rFonts w:asciiTheme="minorHAnsi" w:eastAsiaTheme="minorEastAsia" w:hAnsiTheme="minorHAnsi" w:cstheme="minorBidi"/>
            <w:noProof/>
            <w:sz w:val="22"/>
            <w:szCs w:val="22"/>
          </w:rPr>
          <w:tab/>
        </w:r>
        <w:r w:rsidRPr="00CD0B56">
          <w:rPr>
            <w:rStyle w:val="Hyperlink"/>
            <w:noProof/>
          </w:rPr>
          <w:t>Part 4 Section 19.2.2.30, signatureline (Digital Signature Line)</w:t>
        </w:r>
        <w:r>
          <w:rPr>
            <w:noProof/>
            <w:webHidden/>
          </w:rPr>
          <w:tab/>
        </w:r>
        <w:r>
          <w:rPr>
            <w:noProof/>
            <w:webHidden/>
          </w:rPr>
          <w:fldChar w:fldCharType="begin"/>
        </w:r>
        <w:r>
          <w:rPr>
            <w:noProof/>
            <w:webHidden/>
          </w:rPr>
          <w:instrText xml:space="preserve"> PAGEREF _Toc12261903 \h </w:instrText>
        </w:r>
        <w:r>
          <w:rPr>
            <w:noProof/>
            <w:webHidden/>
          </w:rPr>
        </w:r>
        <w:r>
          <w:rPr>
            <w:noProof/>
            <w:webHidden/>
          </w:rPr>
          <w:fldChar w:fldCharType="separate"/>
        </w:r>
        <w:r>
          <w:rPr>
            <w:noProof/>
            <w:webHidden/>
          </w:rPr>
          <w:t>669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04" w:history="1">
        <w:r w:rsidRPr="00CD0B56">
          <w:rPr>
            <w:rStyle w:val="Hyperlink"/>
            <w:noProof/>
          </w:rPr>
          <w:t>2.1.1836</w:t>
        </w:r>
        <w:r>
          <w:rPr>
            <w:rFonts w:asciiTheme="minorHAnsi" w:eastAsiaTheme="minorEastAsia" w:hAnsiTheme="minorHAnsi" w:cstheme="minorBidi"/>
            <w:noProof/>
            <w:sz w:val="22"/>
            <w:szCs w:val="22"/>
          </w:rPr>
          <w:tab/>
        </w:r>
        <w:r w:rsidRPr="00CD0B56">
          <w:rPr>
            <w:rStyle w:val="Hyperlink"/>
            <w:noProof/>
          </w:rPr>
          <w:t>Part 4 Section 19.2.2.31, skew (Skew Transform)</w:t>
        </w:r>
        <w:r>
          <w:rPr>
            <w:noProof/>
            <w:webHidden/>
          </w:rPr>
          <w:tab/>
        </w:r>
        <w:r>
          <w:rPr>
            <w:noProof/>
            <w:webHidden/>
          </w:rPr>
          <w:fldChar w:fldCharType="begin"/>
        </w:r>
        <w:r>
          <w:rPr>
            <w:noProof/>
            <w:webHidden/>
          </w:rPr>
          <w:instrText xml:space="preserve"> PAGEREF _Toc12261904 \h </w:instrText>
        </w:r>
        <w:r>
          <w:rPr>
            <w:noProof/>
            <w:webHidden/>
          </w:rPr>
        </w:r>
        <w:r>
          <w:rPr>
            <w:noProof/>
            <w:webHidden/>
          </w:rPr>
          <w:fldChar w:fldCharType="separate"/>
        </w:r>
        <w:r>
          <w:rPr>
            <w:noProof/>
            <w:webHidden/>
          </w:rPr>
          <w:t>670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05" w:history="1">
        <w:r w:rsidRPr="00CD0B56">
          <w:rPr>
            <w:rStyle w:val="Hyperlink"/>
            <w:noProof/>
          </w:rPr>
          <w:t>2.1.1837</w:t>
        </w:r>
        <w:r>
          <w:rPr>
            <w:rFonts w:asciiTheme="minorHAnsi" w:eastAsiaTheme="minorEastAsia" w:hAnsiTheme="minorHAnsi" w:cstheme="minorBidi"/>
            <w:noProof/>
            <w:sz w:val="22"/>
            <w:szCs w:val="22"/>
          </w:rPr>
          <w:tab/>
        </w:r>
        <w:r w:rsidRPr="00CD0B56">
          <w:rPr>
            <w:rStyle w:val="Hyperlink"/>
            <w:noProof/>
          </w:rPr>
          <w:t>Part 4 Section 19.2.2.32, top (Text Box Top Stroke)</w:t>
        </w:r>
        <w:r>
          <w:rPr>
            <w:noProof/>
            <w:webHidden/>
          </w:rPr>
          <w:tab/>
        </w:r>
        <w:r>
          <w:rPr>
            <w:noProof/>
            <w:webHidden/>
          </w:rPr>
          <w:fldChar w:fldCharType="begin"/>
        </w:r>
        <w:r>
          <w:rPr>
            <w:noProof/>
            <w:webHidden/>
          </w:rPr>
          <w:instrText xml:space="preserve"> PAGEREF _Toc12261905 \h </w:instrText>
        </w:r>
        <w:r>
          <w:rPr>
            <w:noProof/>
            <w:webHidden/>
          </w:rPr>
        </w:r>
        <w:r>
          <w:rPr>
            <w:noProof/>
            <w:webHidden/>
          </w:rPr>
          <w:fldChar w:fldCharType="separate"/>
        </w:r>
        <w:r>
          <w:rPr>
            <w:noProof/>
            <w:webHidden/>
          </w:rPr>
          <w:t>670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06" w:history="1">
        <w:r w:rsidRPr="00CD0B56">
          <w:rPr>
            <w:rStyle w:val="Hyperlink"/>
            <w:noProof/>
          </w:rPr>
          <w:t>2.1.1838</w:t>
        </w:r>
        <w:r>
          <w:rPr>
            <w:rFonts w:asciiTheme="minorHAnsi" w:eastAsiaTheme="minorEastAsia" w:hAnsiTheme="minorHAnsi" w:cstheme="minorBidi"/>
            <w:noProof/>
            <w:sz w:val="22"/>
            <w:szCs w:val="22"/>
          </w:rPr>
          <w:tab/>
        </w:r>
        <w:r w:rsidRPr="00CD0B56">
          <w:rPr>
            <w:rStyle w:val="Hyperlink"/>
            <w:noProof/>
          </w:rPr>
          <w:t>Part 4 Section 19.2.3.3, ST_BWMode (Black And White Modes)</w:t>
        </w:r>
        <w:r>
          <w:rPr>
            <w:noProof/>
            <w:webHidden/>
          </w:rPr>
          <w:tab/>
        </w:r>
        <w:r>
          <w:rPr>
            <w:noProof/>
            <w:webHidden/>
          </w:rPr>
          <w:fldChar w:fldCharType="begin"/>
        </w:r>
        <w:r>
          <w:rPr>
            <w:noProof/>
            <w:webHidden/>
          </w:rPr>
          <w:instrText xml:space="preserve"> PAGEREF _Toc12261906 \h </w:instrText>
        </w:r>
        <w:r>
          <w:rPr>
            <w:noProof/>
            <w:webHidden/>
          </w:rPr>
        </w:r>
        <w:r>
          <w:rPr>
            <w:noProof/>
            <w:webHidden/>
          </w:rPr>
          <w:fldChar w:fldCharType="separate"/>
        </w:r>
        <w:r>
          <w:rPr>
            <w:noProof/>
            <w:webHidden/>
          </w:rPr>
          <w:t>671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07" w:history="1">
        <w:r w:rsidRPr="00CD0B56">
          <w:rPr>
            <w:rStyle w:val="Hyperlink"/>
            <w:noProof/>
          </w:rPr>
          <w:t>2.1.1839</w:t>
        </w:r>
        <w:r>
          <w:rPr>
            <w:rFonts w:asciiTheme="minorHAnsi" w:eastAsiaTheme="minorEastAsia" w:hAnsiTheme="minorHAnsi" w:cstheme="minorBidi"/>
            <w:noProof/>
            <w:sz w:val="22"/>
            <w:szCs w:val="22"/>
          </w:rPr>
          <w:tab/>
        </w:r>
        <w:r w:rsidRPr="00CD0B56">
          <w:rPr>
            <w:rStyle w:val="Hyperlink"/>
            <w:noProof/>
          </w:rPr>
          <w:t>Part 4 Section 19.2.3.4, ST_CalloutDrop (Callout Drop Location)</w:t>
        </w:r>
        <w:r>
          <w:rPr>
            <w:noProof/>
            <w:webHidden/>
          </w:rPr>
          <w:tab/>
        </w:r>
        <w:r>
          <w:rPr>
            <w:noProof/>
            <w:webHidden/>
          </w:rPr>
          <w:fldChar w:fldCharType="begin"/>
        </w:r>
        <w:r>
          <w:rPr>
            <w:noProof/>
            <w:webHidden/>
          </w:rPr>
          <w:instrText xml:space="preserve"> PAGEREF _Toc12261907 \h </w:instrText>
        </w:r>
        <w:r>
          <w:rPr>
            <w:noProof/>
            <w:webHidden/>
          </w:rPr>
        </w:r>
        <w:r>
          <w:rPr>
            <w:noProof/>
            <w:webHidden/>
          </w:rPr>
          <w:fldChar w:fldCharType="separate"/>
        </w:r>
        <w:r>
          <w:rPr>
            <w:noProof/>
            <w:webHidden/>
          </w:rPr>
          <w:t>671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08" w:history="1">
        <w:r w:rsidRPr="00CD0B56">
          <w:rPr>
            <w:rStyle w:val="Hyperlink"/>
            <w:noProof/>
          </w:rPr>
          <w:t>2.1.1840</w:t>
        </w:r>
        <w:r>
          <w:rPr>
            <w:rFonts w:asciiTheme="minorHAnsi" w:eastAsiaTheme="minorEastAsia" w:hAnsiTheme="minorHAnsi" w:cstheme="minorBidi"/>
            <w:noProof/>
            <w:sz w:val="22"/>
            <w:szCs w:val="22"/>
          </w:rPr>
          <w:tab/>
        </w:r>
        <w:r w:rsidRPr="00CD0B56">
          <w:rPr>
            <w:rStyle w:val="Hyperlink"/>
            <w:noProof/>
          </w:rPr>
          <w:t>Part 4 Section 19.2.3.14, ST_FillType (Shape Fill Type)</w:t>
        </w:r>
        <w:r>
          <w:rPr>
            <w:noProof/>
            <w:webHidden/>
          </w:rPr>
          <w:tab/>
        </w:r>
        <w:r>
          <w:rPr>
            <w:noProof/>
            <w:webHidden/>
          </w:rPr>
          <w:fldChar w:fldCharType="begin"/>
        </w:r>
        <w:r>
          <w:rPr>
            <w:noProof/>
            <w:webHidden/>
          </w:rPr>
          <w:instrText xml:space="preserve"> PAGEREF _Toc12261908 \h </w:instrText>
        </w:r>
        <w:r>
          <w:rPr>
            <w:noProof/>
            <w:webHidden/>
          </w:rPr>
        </w:r>
        <w:r>
          <w:rPr>
            <w:noProof/>
            <w:webHidden/>
          </w:rPr>
          <w:fldChar w:fldCharType="separate"/>
        </w:r>
        <w:r>
          <w:rPr>
            <w:noProof/>
            <w:webHidden/>
          </w:rPr>
          <w:t>671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09" w:history="1">
        <w:r w:rsidRPr="00CD0B56">
          <w:rPr>
            <w:rStyle w:val="Hyperlink"/>
            <w:noProof/>
          </w:rPr>
          <w:t>2.1.1841</w:t>
        </w:r>
        <w:r>
          <w:rPr>
            <w:rFonts w:asciiTheme="minorHAnsi" w:eastAsiaTheme="minorEastAsia" w:hAnsiTheme="minorHAnsi" w:cstheme="minorBidi"/>
            <w:noProof/>
            <w:sz w:val="22"/>
            <w:szCs w:val="22"/>
          </w:rPr>
          <w:tab/>
        </w:r>
        <w:r w:rsidRPr="00CD0B56">
          <w:rPr>
            <w:rStyle w:val="Hyperlink"/>
            <w:noProof/>
          </w:rPr>
          <w:t>Part 4 Section 19.2.3.19, ST_OLELinkType (Embedded Object Alternate Image Request Types)</w:t>
        </w:r>
        <w:r>
          <w:rPr>
            <w:noProof/>
            <w:webHidden/>
          </w:rPr>
          <w:tab/>
        </w:r>
        <w:r>
          <w:rPr>
            <w:noProof/>
            <w:webHidden/>
          </w:rPr>
          <w:fldChar w:fldCharType="begin"/>
        </w:r>
        <w:r>
          <w:rPr>
            <w:noProof/>
            <w:webHidden/>
          </w:rPr>
          <w:instrText xml:space="preserve"> PAGEREF _Toc12261909 \h </w:instrText>
        </w:r>
        <w:r>
          <w:rPr>
            <w:noProof/>
            <w:webHidden/>
          </w:rPr>
        </w:r>
        <w:r>
          <w:rPr>
            <w:noProof/>
            <w:webHidden/>
          </w:rPr>
          <w:fldChar w:fldCharType="separate"/>
        </w:r>
        <w:r>
          <w:rPr>
            <w:noProof/>
            <w:webHidden/>
          </w:rPr>
          <w:t>671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10" w:history="1">
        <w:r w:rsidRPr="00CD0B56">
          <w:rPr>
            <w:rStyle w:val="Hyperlink"/>
            <w:noProof/>
          </w:rPr>
          <w:t>2.1.1842</w:t>
        </w:r>
        <w:r>
          <w:rPr>
            <w:rFonts w:asciiTheme="minorHAnsi" w:eastAsiaTheme="minorEastAsia" w:hAnsiTheme="minorHAnsi" w:cstheme="minorBidi"/>
            <w:noProof/>
            <w:sz w:val="22"/>
            <w:szCs w:val="22"/>
          </w:rPr>
          <w:tab/>
        </w:r>
        <w:r w:rsidRPr="00CD0B56">
          <w:rPr>
            <w:rStyle w:val="Hyperlink"/>
            <w:noProof/>
          </w:rPr>
          <w:t>Part 4 Section 19.3.2.2, borderbottom (Bottom Border)</w:t>
        </w:r>
        <w:r>
          <w:rPr>
            <w:noProof/>
            <w:webHidden/>
          </w:rPr>
          <w:tab/>
        </w:r>
        <w:r>
          <w:rPr>
            <w:noProof/>
            <w:webHidden/>
          </w:rPr>
          <w:fldChar w:fldCharType="begin"/>
        </w:r>
        <w:r>
          <w:rPr>
            <w:noProof/>
            <w:webHidden/>
          </w:rPr>
          <w:instrText xml:space="preserve"> PAGEREF _Toc12261910 \h </w:instrText>
        </w:r>
        <w:r>
          <w:rPr>
            <w:noProof/>
            <w:webHidden/>
          </w:rPr>
        </w:r>
        <w:r>
          <w:rPr>
            <w:noProof/>
            <w:webHidden/>
          </w:rPr>
          <w:fldChar w:fldCharType="separate"/>
        </w:r>
        <w:r>
          <w:rPr>
            <w:noProof/>
            <w:webHidden/>
          </w:rPr>
          <w:t>672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11" w:history="1">
        <w:r w:rsidRPr="00CD0B56">
          <w:rPr>
            <w:rStyle w:val="Hyperlink"/>
            <w:noProof/>
          </w:rPr>
          <w:t>2.1.1843</w:t>
        </w:r>
        <w:r>
          <w:rPr>
            <w:rFonts w:asciiTheme="minorHAnsi" w:eastAsiaTheme="minorEastAsia" w:hAnsiTheme="minorHAnsi" w:cstheme="minorBidi"/>
            <w:noProof/>
            <w:sz w:val="22"/>
            <w:szCs w:val="22"/>
          </w:rPr>
          <w:tab/>
        </w:r>
        <w:r w:rsidRPr="00CD0B56">
          <w:rPr>
            <w:rStyle w:val="Hyperlink"/>
            <w:noProof/>
          </w:rPr>
          <w:t>Part 4 Section 19.3.2.3, borderleft (Left Border)</w:t>
        </w:r>
        <w:r>
          <w:rPr>
            <w:noProof/>
            <w:webHidden/>
          </w:rPr>
          <w:tab/>
        </w:r>
        <w:r>
          <w:rPr>
            <w:noProof/>
            <w:webHidden/>
          </w:rPr>
          <w:fldChar w:fldCharType="begin"/>
        </w:r>
        <w:r>
          <w:rPr>
            <w:noProof/>
            <w:webHidden/>
          </w:rPr>
          <w:instrText xml:space="preserve"> PAGEREF _Toc12261911 \h </w:instrText>
        </w:r>
        <w:r>
          <w:rPr>
            <w:noProof/>
            <w:webHidden/>
          </w:rPr>
        </w:r>
        <w:r>
          <w:rPr>
            <w:noProof/>
            <w:webHidden/>
          </w:rPr>
          <w:fldChar w:fldCharType="separate"/>
        </w:r>
        <w:r>
          <w:rPr>
            <w:noProof/>
            <w:webHidden/>
          </w:rPr>
          <w:t>672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12" w:history="1">
        <w:r w:rsidRPr="00CD0B56">
          <w:rPr>
            <w:rStyle w:val="Hyperlink"/>
            <w:noProof/>
          </w:rPr>
          <w:t>2.1.1844</w:t>
        </w:r>
        <w:r>
          <w:rPr>
            <w:rFonts w:asciiTheme="minorHAnsi" w:eastAsiaTheme="minorEastAsia" w:hAnsiTheme="minorHAnsi" w:cstheme="minorBidi"/>
            <w:noProof/>
            <w:sz w:val="22"/>
            <w:szCs w:val="22"/>
          </w:rPr>
          <w:tab/>
        </w:r>
        <w:r w:rsidRPr="00CD0B56">
          <w:rPr>
            <w:rStyle w:val="Hyperlink"/>
            <w:noProof/>
          </w:rPr>
          <w:t>Part 4 Section 19.3.2.4, borderright (Right Border)</w:t>
        </w:r>
        <w:r>
          <w:rPr>
            <w:noProof/>
            <w:webHidden/>
          </w:rPr>
          <w:tab/>
        </w:r>
        <w:r>
          <w:rPr>
            <w:noProof/>
            <w:webHidden/>
          </w:rPr>
          <w:fldChar w:fldCharType="begin"/>
        </w:r>
        <w:r>
          <w:rPr>
            <w:noProof/>
            <w:webHidden/>
          </w:rPr>
          <w:instrText xml:space="preserve"> PAGEREF _Toc12261912 \h </w:instrText>
        </w:r>
        <w:r>
          <w:rPr>
            <w:noProof/>
            <w:webHidden/>
          </w:rPr>
        </w:r>
        <w:r>
          <w:rPr>
            <w:noProof/>
            <w:webHidden/>
          </w:rPr>
          <w:fldChar w:fldCharType="separate"/>
        </w:r>
        <w:r>
          <w:rPr>
            <w:noProof/>
            <w:webHidden/>
          </w:rPr>
          <w:t>672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13" w:history="1">
        <w:r w:rsidRPr="00CD0B56">
          <w:rPr>
            <w:rStyle w:val="Hyperlink"/>
            <w:noProof/>
          </w:rPr>
          <w:t>2.1.1845</w:t>
        </w:r>
        <w:r>
          <w:rPr>
            <w:rFonts w:asciiTheme="minorHAnsi" w:eastAsiaTheme="minorEastAsia" w:hAnsiTheme="minorHAnsi" w:cstheme="minorBidi"/>
            <w:noProof/>
            <w:sz w:val="22"/>
            <w:szCs w:val="22"/>
          </w:rPr>
          <w:tab/>
        </w:r>
        <w:r w:rsidRPr="00CD0B56">
          <w:rPr>
            <w:rStyle w:val="Hyperlink"/>
            <w:noProof/>
          </w:rPr>
          <w:t>Part 4 Section 19.3.2.5, bordertop (Top Border)</w:t>
        </w:r>
        <w:r>
          <w:rPr>
            <w:noProof/>
            <w:webHidden/>
          </w:rPr>
          <w:tab/>
        </w:r>
        <w:r>
          <w:rPr>
            <w:noProof/>
            <w:webHidden/>
          </w:rPr>
          <w:fldChar w:fldCharType="begin"/>
        </w:r>
        <w:r>
          <w:rPr>
            <w:noProof/>
            <w:webHidden/>
          </w:rPr>
          <w:instrText xml:space="preserve"> PAGEREF _Toc12261913 \h </w:instrText>
        </w:r>
        <w:r>
          <w:rPr>
            <w:noProof/>
            <w:webHidden/>
          </w:rPr>
        </w:r>
        <w:r>
          <w:rPr>
            <w:noProof/>
            <w:webHidden/>
          </w:rPr>
          <w:fldChar w:fldCharType="separate"/>
        </w:r>
        <w:r>
          <w:rPr>
            <w:noProof/>
            <w:webHidden/>
          </w:rPr>
          <w:t>672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14" w:history="1">
        <w:r w:rsidRPr="00CD0B56">
          <w:rPr>
            <w:rStyle w:val="Hyperlink"/>
            <w:noProof/>
          </w:rPr>
          <w:t>2.1.1846</w:t>
        </w:r>
        <w:r>
          <w:rPr>
            <w:rFonts w:asciiTheme="minorHAnsi" w:eastAsiaTheme="minorEastAsia" w:hAnsiTheme="minorHAnsi" w:cstheme="minorBidi"/>
            <w:noProof/>
            <w:sz w:val="22"/>
            <w:szCs w:val="22"/>
          </w:rPr>
          <w:tab/>
        </w:r>
        <w:r w:rsidRPr="00CD0B56">
          <w:rPr>
            <w:rStyle w:val="Hyperlink"/>
            <w:noProof/>
          </w:rPr>
          <w:t>Part 4 Section 19.3.2.6, wrap (Text Wrapping)</w:t>
        </w:r>
        <w:r>
          <w:rPr>
            <w:noProof/>
            <w:webHidden/>
          </w:rPr>
          <w:tab/>
        </w:r>
        <w:r>
          <w:rPr>
            <w:noProof/>
            <w:webHidden/>
          </w:rPr>
          <w:fldChar w:fldCharType="begin"/>
        </w:r>
        <w:r>
          <w:rPr>
            <w:noProof/>
            <w:webHidden/>
          </w:rPr>
          <w:instrText xml:space="preserve"> PAGEREF _Toc12261914 \h </w:instrText>
        </w:r>
        <w:r>
          <w:rPr>
            <w:noProof/>
            <w:webHidden/>
          </w:rPr>
        </w:r>
        <w:r>
          <w:rPr>
            <w:noProof/>
            <w:webHidden/>
          </w:rPr>
          <w:fldChar w:fldCharType="separate"/>
        </w:r>
        <w:r>
          <w:rPr>
            <w:noProof/>
            <w:webHidden/>
          </w:rPr>
          <w:t>672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15" w:history="1">
        <w:r w:rsidRPr="00CD0B56">
          <w:rPr>
            <w:rStyle w:val="Hyperlink"/>
            <w:noProof/>
          </w:rPr>
          <w:t>2.1.1847</w:t>
        </w:r>
        <w:r>
          <w:rPr>
            <w:rFonts w:asciiTheme="minorHAnsi" w:eastAsiaTheme="minorEastAsia" w:hAnsiTheme="minorHAnsi" w:cstheme="minorBidi"/>
            <w:noProof/>
            <w:sz w:val="22"/>
            <w:szCs w:val="22"/>
          </w:rPr>
          <w:tab/>
        </w:r>
        <w:r w:rsidRPr="00CD0B56">
          <w:rPr>
            <w:rStyle w:val="Hyperlink"/>
            <w:noProof/>
          </w:rPr>
          <w:t>Part 4 Section 19.3.3.3, ST_HorizontalAnchor (Horizontal Anchor Type)</w:t>
        </w:r>
        <w:r>
          <w:rPr>
            <w:noProof/>
            <w:webHidden/>
          </w:rPr>
          <w:tab/>
        </w:r>
        <w:r>
          <w:rPr>
            <w:noProof/>
            <w:webHidden/>
          </w:rPr>
          <w:fldChar w:fldCharType="begin"/>
        </w:r>
        <w:r>
          <w:rPr>
            <w:noProof/>
            <w:webHidden/>
          </w:rPr>
          <w:instrText xml:space="preserve"> PAGEREF _Toc12261915 \h </w:instrText>
        </w:r>
        <w:r>
          <w:rPr>
            <w:noProof/>
            <w:webHidden/>
          </w:rPr>
        </w:r>
        <w:r>
          <w:rPr>
            <w:noProof/>
            <w:webHidden/>
          </w:rPr>
          <w:fldChar w:fldCharType="separate"/>
        </w:r>
        <w:r>
          <w:rPr>
            <w:noProof/>
            <w:webHidden/>
          </w:rPr>
          <w:t>672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16" w:history="1">
        <w:r w:rsidRPr="00CD0B56">
          <w:rPr>
            <w:rStyle w:val="Hyperlink"/>
            <w:noProof/>
          </w:rPr>
          <w:t>2.1.1848</w:t>
        </w:r>
        <w:r>
          <w:rPr>
            <w:rFonts w:asciiTheme="minorHAnsi" w:eastAsiaTheme="minorEastAsia" w:hAnsiTheme="minorHAnsi" w:cstheme="minorBidi"/>
            <w:noProof/>
            <w:sz w:val="22"/>
            <w:szCs w:val="22"/>
          </w:rPr>
          <w:tab/>
        </w:r>
        <w:r w:rsidRPr="00CD0B56">
          <w:rPr>
            <w:rStyle w:val="Hyperlink"/>
            <w:noProof/>
          </w:rPr>
          <w:t>Part 4 Section 19.3.3.4, ST_VerticalAnchor (Vertical Anchor Type)</w:t>
        </w:r>
        <w:r>
          <w:rPr>
            <w:noProof/>
            <w:webHidden/>
          </w:rPr>
          <w:tab/>
        </w:r>
        <w:r>
          <w:rPr>
            <w:noProof/>
            <w:webHidden/>
          </w:rPr>
          <w:fldChar w:fldCharType="begin"/>
        </w:r>
        <w:r>
          <w:rPr>
            <w:noProof/>
            <w:webHidden/>
          </w:rPr>
          <w:instrText xml:space="preserve"> PAGEREF _Toc12261916 \h </w:instrText>
        </w:r>
        <w:r>
          <w:rPr>
            <w:noProof/>
            <w:webHidden/>
          </w:rPr>
        </w:r>
        <w:r>
          <w:rPr>
            <w:noProof/>
            <w:webHidden/>
          </w:rPr>
          <w:fldChar w:fldCharType="separate"/>
        </w:r>
        <w:r>
          <w:rPr>
            <w:noProof/>
            <w:webHidden/>
          </w:rPr>
          <w:t>672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17" w:history="1">
        <w:r w:rsidRPr="00CD0B56">
          <w:rPr>
            <w:rStyle w:val="Hyperlink"/>
            <w:noProof/>
          </w:rPr>
          <w:t>2.1.1849</w:t>
        </w:r>
        <w:r>
          <w:rPr>
            <w:rFonts w:asciiTheme="minorHAnsi" w:eastAsiaTheme="minorEastAsia" w:hAnsiTheme="minorHAnsi" w:cstheme="minorBidi"/>
            <w:noProof/>
            <w:sz w:val="22"/>
            <w:szCs w:val="22"/>
          </w:rPr>
          <w:tab/>
        </w:r>
        <w:r w:rsidRPr="00CD0B56">
          <w:rPr>
            <w:rStyle w:val="Hyperlink"/>
            <w:noProof/>
          </w:rPr>
          <w:t>Part 4 Section 19.4.2.1, Accel (Primary Keyboard Accelerator)</w:t>
        </w:r>
        <w:r>
          <w:rPr>
            <w:noProof/>
            <w:webHidden/>
          </w:rPr>
          <w:tab/>
        </w:r>
        <w:r>
          <w:rPr>
            <w:noProof/>
            <w:webHidden/>
          </w:rPr>
          <w:fldChar w:fldCharType="begin"/>
        </w:r>
        <w:r>
          <w:rPr>
            <w:noProof/>
            <w:webHidden/>
          </w:rPr>
          <w:instrText xml:space="preserve"> PAGEREF _Toc12261917 \h </w:instrText>
        </w:r>
        <w:r>
          <w:rPr>
            <w:noProof/>
            <w:webHidden/>
          </w:rPr>
        </w:r>
        <w:r>
          <w:rPr>
            <w:noProof/>
            <w:webHidden/>
          </w:rPr>
          <w:fldChar w:fldCharType="separate"/>
        </w:r>
        <w:r>
          <w:rPr>
            <w:noProof/>
            <w:webHidden/>
          </w:rPr>
          <w:t>672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18" w:history="1">
        <w:r w:rsidRPr="00CD0B56">
          <w:rPr>
            <w:rStyle w:val="Hyperlink"/>
            <w:noProof/>
          </w:rPr>
          <w:t>2.1.1850</w:t>
        </w:r>
        <w:r>
          <w:rPr>
            <w:rFonts w:asciiTheme="minorHAnsi" w:eastAsiaTheme="minorEastAsia" w:hAnsiTheme="minorHAnsi" w:cstheme="minorBidi"/>
            <w:noProof/>
            <w:sz w:val="22"/>
            <w:szCs w:val="22"/>
          </w:rPr>
          <w:tab/>
        </w:r>
        <w:r w:rsidRPr="00CD0B56">
          <w:rPr>
            <w:rStyle w:val="Hyperlink"/>
            <w:noProof/>
          </w:rPr>
          <w:t>Part 4 Section 19.4.2.2, Accel2 (Secondary Keyboard Accelerator)</w:t>
        </w:r>
        <w:r>
          <w:rPr>
            <w:noProof/>
            <w:webHidden/>
          </w:rPr>
          <w:tab/>
        </w:r>
        <w:r>
          <w:rPr>
            <w:noProof/>
            <w:webHidden/>
          </w:rPr>
          <w:fldChar w:fldCharType="begin"/>
        </w:r>
        <w:r>
          <w:rPr>
            <w:noProof/>
            <w:webHidden/>
          </w:rPr>
          <w:instrText xml:space="preserve"> PAGEREF _Toc12261918 \h </w:instrText>
        </w:r>
        <w:r>
          <w:rPr>
            <w:noProof/>
            <w:webHidden/>
          </w:rPr>
        </w:r>
        <w:r>
          <w:rPr>
            <w:noProof/>
            <w:webHidden/>
          </w:rPr>
          <w:fldChar w:fldCharType="separate"/>
        </w:r>
        <w:r>
          <w:rPr>
            <w:noProof/>
            <w:webHidden/>
          </w:rPr>
          <w:t>672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19" w:history="1">
        <w:r w:rsidRPr="00CD0B56">
          <w:rPr>
            <w:rStyle w:val="Hyperlink"/>
            <w:noProof/>
          </w:rPr>
          <w:t>2.1.1851</w:t>
        </w:r>
        <w:r>
          <w:rPr>
            <w:rFonts w:asciiTheme="minorHAnsi" w:eastAsiaTheme="minorEastAsia" w:hAnsiTheme="minorHAnsi" w:cstheme="minorBidi"/>
            <w:noProof/>
            <w:sz w:val="22"/>
            <w:szCs w:val="22"/>
          </w:rPr>
          <w:tab/>
        </w:r>
        <w:r w:rsidRPr="00CD0B56">
          <w:rPr>
            <w:rStyle w:val="Hyperlink"/>
            <w:noProof/>
          </w:rPr>
          <w:t>Part 4 Section 19.4.2.3, Anchor (Anchor)</w:t>
        </w:r>
        <w:r>
          <w:rPr>
            <w:noProof/>
            <w:webHidden/>
          </w:rPr>
          <w:tab/>
        </w:r>
        <w:r>
          <w:rPr>
            <w:noProof/>
            <w:webHidden/>
          </w:rPr>
          <w:fldChar w:fldCharType="begin"/>
        </w:r>
        <w:r>
          <w:rPr>
            <w:noProof/>
            <w:webHidden/>
          </w:rPr>
          <w:instrText xml:space="preserve"> PAGEREF _Toc12261919 \h </w:instrText>
        </w:r>
        <w:r>
          <w:rPr>
            <w:noProof/>
            <w:webHidden/>
          </w:rPr>
        </w:r>
        <w:r>
          <w:rPr>
            <w:noProof/>
            <w:webHidden/>
          </w:rPr>
          <w:fldChar w:fldCharType="separate"/>
        </w:r>
        <w:r>
          <w:rPr>
            <w:noProof/>
            <w:webHidden/>
          </w:rPr>
          <w:t>673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20" w:history="1">
        <w:r w:rsidRPr="00CD0B56">
          <w:rPr>
            <w:rStyle w:val="Hyperlink"/>
            <w:noProof/>
          </w:rPr>
          <w:t>2.1.1852</w:t>
        </w:r>
        <w:r>
          <w:rPr>
            <w:rFonts w:asciiTheme="minorHAnsi" w:eastAsiaTheme="minorEastAsia" w:hAnsiTheme="minorHAnsi" w:cstheme="minorBidi"/>
            <w:noProof/>
            <w:sz w:val="22"/>
            <w:szCs w:val="22"/>
          </w:rPr>
          <w:tab/>
        </w:r>
        <w:r w:rsidRPr="00CD0B56">
          <w:rPr>
            <w:rStyle w:val="Hyperlink"/>
            <w:noProof/>
          </w:rPr>
          <w:t>Part 4 Section 19.4.2.4, AutoFill (AutoFill)</w:t>
        </w:r>
        <w:r>
          <w:rPr>
            <w:noProof/>
            <w:webHidden/>
          </w:rPr>
          <w:tab/>
        </w:r>
        <w:r>
          <w:rPr>
            <w:noProof/>
            <w:webHidden/>
          </w:rPr>
          <w:fldChar w:fldCharType="begin"/>
        </w:r>
        <w:r>
          <w:rPr>
            <w:noProof/>
            <w:webHidden/>
          </w:rPr>
          <w:instrText xml:space="preserve"> PAGEREF _Toc12261920 \h </w:instrText>
        </w:r>
        <w:r>
          <w:rPr>
            <w:noProof/>
            <w:webHidden/>
          </w:rPr>
        </w:r>
        <w:r>
          <w:rPr>
            <w:noProof/>
            <w:webHidden/>
          </w:rPr>
          <w:fldChar w:fldCharType="separate"/>
        </w:r>
        <w:r>
          <w:rPr>
            <w:noProof/>
            <w:webHidden/>
          </w:rPr>
          <w:t>673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21" w:history="1">
        <w:r w:rsidRPr="00CD0B56">
          <w:rPr>
            <w:rStyle w:val="Hyperlink"/>
            <w:noProof/>
          </w:rPr>
          <w:t>2.1.1853</w:t>
        </w:r>
        <w:r>
          <w:rPr>
            <w:rFonts w:asciiTheme="minorHAnsi" w:eastAsiaTheme="minorEastAsia" w:hAnsiTheme="minorHAnsi" w:cstheme="minorBidi"/>
            <w:noProof/>
            <w:sz w:val="22"/>
            <w:szCs w:val="22"/>
          </w:rPr>
          <w:tab/>
        </w:r>
        <w:r w:rsidRPr="00CD0B56">
          <w:rPr>
            <w:rStyle w:val="Hyperlink"/>
            <w:noProof/>
          </w:rPr>
          <w:t>Part 4 Section 19.4.2.5, AutoLine (AutoLine)</w:t>
        </w:r>
        <w:r>
          <w:rPr>
            <w:noProof/>
            <w:webHidden/>
          </w:rPr>
          <w:tab/>
        </w:r>
        <w:r>
          <w:rPr>
            <w:noProof/>
            <w:webHidden/>
          </w:rPr>
          <w:fldChar w:fldCharType="begin"/>
        </w:r>
        <w:r>
          <w:rPr>
            <w:noProof/>
            <w:webHidden/>
          </w:rPr>
          <w:instrText xml:space="preserve"> PAGEREF _Toc12261921 \h </w:instrText>
        </w:r>
        <w:r>
          <w:rPr>
            <w:noProof/>
            <w:webHidden/>
          </w:rPr>
        </w:r>
        <w:r>
          <w:rPr>
            <w:noProof/>
            <w:webHidden/>
          </w:rPr>
          <w:fldChar w:fldCharType="separate"/>
        </w:r>
        <w:r>
          <w:rPr>
            <w:noProof/>
            <w:webHidden/>
          </w:rPr>
          <w:t>673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22" w:history="1">
        <w:r w:rsidRPr="00CD0B56">
          <w:rPr>
            <w:rStyle w:val="Hyperlink"/>
            <w:noProof/>
          </w:rPr>
          <w:t>2.1.1854</w:t>
        </w:r>
        <w:r>
          <w:rPr>
            <w:rFonts w:asciiTheme="minorHAnsi" w:eastAsiaTheme="minorEastAsia" w:hAnsiTheme="minorHAnsi" w:cstheme="minorBidi"/>
            <w:noProof/>
            <w:sz w:val="22"/>
            <w:szCs w:val="22"/>
          </w:rPr>
          <w:tab/>
        </w:r>
        <w:r w:rsidRPr="00CD0B56">
          <w:rPr>
            <w:rStyle w:val="Hyperlink"/>
            <w:noProof/>
          </w:rPr>
          <w:t>Part 4 Section 19.4.2.7, AutoScale (Font AutoScale)</w:t>
        </w:r>
        <w:r>
          <w:rPr>
            <w:noProof/>
            <w:webHidden/>
          </w:rPr>
          <w:tab/>
        </w:r>
        <w:r>
          <w:rPr>
            <w:noProof/>
            <w:webHidden/>
          </w:rPr>
          <w:fldChar w:fldCharType="begin"/>
        </w:r>
        <w:r>
          <w:rPr>
            <w:noProof/>
            <w:webHidden/>
          </w:rPr>
          <w:instrText xml:space="preserve"> PAGEREF _Toc12261922 \h </w:instrText>
        </w:r>
        <w:r>
          <w:rPr>
            <w:noProof/>
            <w:webHidden/>
          </w:rPr>
        </w:r>
        <w:r>
          <w:rPr>
            <w:noProof/>
            <w:webHidden/>
          </w:rPr>
          <w:fldChar w:fldCharType="separate"/>
        </w:r>
        <w:r>
          <w:rPr>
            <w:noProof/>
            <w:webHidden/>
          </w:rPr>
          <w:t>673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23" w:history="1">
        <w:r w:rsidRPr="00CD0B56">
          <w:rPr>
            <w:rStyle w:val="Hyperlink"/>
            <w:noProof/>
          </w:rPr>
          <w:t>2.1.1855</w:t>
        </w:r>
        <w:r>
          <w:rPr>
            <w:rFonts w:asciiTheme="minorHAnsi" w:eastAsiaTheme="minorEastAsia" w:hAnsiTheme="minorHAnsi" w:cstheme="minorBidi"/>
            <w:noProof/>
            <w:sz w:val="22"/>
            <w:szCs w:val="22"/>
          </w:rPr>
          <w:tab/>
        </w:r>
        <w:r w:rsidRPr="00CD0B56">
          <w:rPr>
            <w:rStyle w:val="Hyperlink"/>
            <w:noProof/>
          </w:rPr>
          <w:t>Part 4 Section 19.4.2.8, Camera (Camera Tool)</w:t>
        </w:r>
        <w:r>
          <w:rPr>
            <w:noProof/>
            <w:webHidden/>
          </w:rPr>
          <w:tab/>
        </w:r>
        <w:r>
          <w:rPr>
            <w:noProof/>
            <w:webHidden/>
          </w:rPr>
          <w:fldChar w:fldCharType="begin"/>
        </w:r>
        <w:r>
          <w:rPr>
            <w:noProof/>
            <w:webHidden/>
          </w:rPr>
          <w:instrText xml:space="preserve"> PAGEREF _Toc12261923 \h </w:instrText>
        </w:r>
        <w:r>
          <w:rPr>
            <w:noProof/>
            <w:webHidden/>
          </w:rPr>
        </w:r>
        <w:r>
          <w:rPr>
            <w:noProof/>
            <w:webHidden/>
          </w:rPr>
          <w:fldChar w:fldCharType="separate"/>
        </w:r>
        <w:r>
          <w:rPr>
            <w:noProof/>
            <w:webHidden/>
          </w:rPr>
          <w:t>673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24" w:history="1">
        <w:r w:rsidRPr="00CD0B56">
          <w:rPr>
            <w:rStyle w:val="Hyperlink"/>
            <w:noProof/>
          </w:rPr>
          <w:t>2.1.1856</w:t>
        </w:r>
        <w:r>
          <w:rPr>
            <w:rFonts w:asciiTheme="minorHAnsi" w:eastAsiaTheme="minorEastAsia" w:hAnsiTheme="minorHAnsi" w:cstheme="minorBidi"/>
            <w:noProof/>
            <w:sz w:val="22"/>
            <w:szCs w:val="22"/>
          </w:rPr>
          <w:tab/>
        </w:r>
        <w:r w:rsidRPr="00CD0B56">
          <w:rPr>
            <w:rStyle w:val="Hyperlink"/>
            <w:noProof/>
          </w:rPr>
          <w:t>Part 4 Section 19.4.2.10, CF (Clipboard Format)</w:t>
        </w:r>
        <w:r>
          <w:rPr>
            <w:noProof/>
            <w:webHidden/>
          </w:rPr>
          <w:tab/>
        </w:r>
        <w:r>
          <w:rPr>
            <w:noProof/>
            <w:webHidden/>
          </w:rPr>
          <w:fldChar w:fldCharType="begin"/>
        </w:r>
        <w:r>
          <w:rPr>
            <w:noProof/>
            <w:webHidden/>
          </w:rPr>
          <w:instrText xml:space="preserve"> PAGEREF _Toc12261924 \h </w:instrText>
        </w:r>
        <w:r>
          <w:rPr>
            <w:noProof/>
            <w:webHidden/>
          </w:rPr>
        </w:r>
        <w:r>
          <w:rPr>
            <w:noProof/>
            <w:webHidden/>
          </w:rPr>
          <w:fldChar w:fldCharType="separate"/>
        </w:r>
        <w:r>
          <w:rPr>
            <w:noProof/>
            <w:webHidden/>
          </w:rPr>
          <w:t>674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25" w:history="1">
        <w:r w:rsidRPr="00CD0B56">
          <w:rPr>
            <w:rStyle w:val="Hyperlink"/>
            <w:noProof/>
          </w:rPr>
          <w:t>2.1.1857</w:t>
        </w:r>
        <w:r>
          <w:rPr>
            <w:rFonts w:asciiTheme="minorHAnsi" w:eastAsiaTheme="minorEastAsia" w:hAnsiTheme="minorHAnsi" w:cstheme="minorBidi"/>
            <w:noProof/>
            <w:sz w:val="22"/>
            <w:szCs w:val="22"/>
          </w:rPr>
          <w:tab/>
        </w:r>
        <w:r w:rsidRPr="00CD0B56">
          <w:rPr>
            <w:rStyle w:val="Hyperlink"/>
            <w:noProof/>
          </w:rPr>
          <w:t>Part 4 Section 19.4.2.12, ClientData (Attached Object Data)</w:t>
        </w:r>
        <w:r>
          <w:rPr>
            <w:noProof/>
            <w:webHidden/>
          </w:rPr>
          <w:tab/>
        </w:r>
        <w:r>
          <w:rPr>
            <w:noProof/>
            <w:webHidden/>
          </w:rPr>
          <w:fldChar w:fldCharType="begin"/>
        </w:r>
        <w:r>
          <w:rPr>
            <w:noProof/>
            <w:webHidden/>
          </w:rPr>
          <w:instrText xml:space="preserve"> PAGEREF _Toc12261925 \h </w:instrText>
        </w:r>
        <w:r>
          <w:rPr>
            <w:noProof/>
            <w:webHidden/>
          </w:rPr>
        </w:r>
        <w:r>
          <w:rPr>
            <w:noProof/>
            <w:webHidden/>
          </w:rPr>
          <w:fldChar w:fldCharType="separate"/>
        </w:r>
        <w:r>
          <w:rPr>
            <w:noProof/>
            <w:webHidden/>
          </w:rPr>
          <w:t>674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26" w:history="1">
        <w:r w:rsidRPr="00CD0B56">
          <w:rPr>
            <w:rStyle w:val="Hyperlink"/>
            <w:noProof/>
          </w:rPr>
          <w:t>2.1.1858</w:t>
        </w:r>
        <w:r>
          <w:rPr>
            <w:rFonts w:asciiTheme="minorHAnsi" w:eastAsiaTheme="minorEastAsia" w:hAnsiTheme="minorHAnsi" w:cstheme="minorBidi"/>
            <w:noProof/>
            <w:sz w:val="22"/>
            <w:szCs w:val="22"/>
          </w:rPr>
          <w:tab/>
        </w:r>
        <w:r w:rsidRPr="00CD0B56">
          <w:rPr>
            <w:rStyle w:val="Hyperlink"/>
            <w:noProof/>
          </w:rPr>
          <w:t>Part 4 Section 19.4.2.13, ColHidden (Comment's Column is Hidden)</w:t>
        </w:r>
        <w:r>
          <w:rPr>
            <w:noProof/>
            <w:webHidden/>
          </w:rPr>
          <w:tab/>
        </w:r>
        <w:r>
          <w:rPr>
            <w:noProof/>
            <w:webHidden/>
          </w:rPr>
          <w:fldChar w:fldCharType="begin"/>
        </w:r>
        <w:r>
          <w:rPr>
            <w:noProof/>
            <w:webHidden/>
          </w:rPr>
          <w:instrText xml:space="preserve"> PAGEREF _Toc12261926 \h </w:instrText>
        </w:r>
        <w:r>
          <w:rPr>
            <w:noProof/>
            <w:webHidden/>
          </w:rPr>
        </w:r>
        <w:r>
          <w:rPr>
            <w:noProof/>
            <w:webHidden/>
          </w:rPr>
          <w:fldChar w:fldCharType="separate"/>
        </w:r>
        <w:r>
          <w:rPr>
            <w:noProof/>
            <w:webHidden/>
          </w:rPr>
          <w:t>674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27" w:history="1">
        <w:r w:rsidRPr="00CD0B56">
          <w:rPr>
            <w:rStyle w:val="Hyperlink"/>
            <w:noProof/>
          </w:rPr>
          <w:t>2.1.1859</w:t>
        </w:r>
        <w:r>
          <w:rPr>
            <w:rFonts w:asciiTheme="minorHAnsi" w:eastAsiaTheme="minorEastAsia" w:hAnsiTheme="minorHAnsi" w:cstheme="minorBidi"/>
            <w:noProof/>
            <w:sz w:val="22"/>
            <w:szCs w:val="22"/>
          </w:rPr>
          <w:tab/>
        </w:r>
        <w:r w:rsidRPr="00CD0B56">
          <w:rPr>
            <w:rStyle w:val="Hyperlink"/>
            <w:noProof/>
          </w:rPr>
          <w:t>Part 4 Section 19.4.2.14, Colored (Dropdown Color Toggle)</w:t>
        </w:r>
        <w:r>
          <w:rPr>
            <w:noProof/>
            <w:webHidden/>
          </w:rPr>
          <w:tab/>
        </w:r>
        <w:r>
          <w:rPr>
            <w:noProof/>
            <w:webHidden/>
          </w:rPr>
          <w:fldChar w:fldCharType="begin"/>
        </w:r>
        <w:r>
          <w:rPr>
            <w:noProof/>
            <w:webHidden/>
          </w:rPr>
          <w:instrText xml:space="preserve"> PAGEREF _Toc12261927 \h </w:instrText>
        </w:r>
        <w:r>
          <w:rPr>
            <w:noProof/>
            <w:webHidden/>
          </w:rPr>
        </w:r>
        <w:r>
          <w:rPr>
            <w:noProof/>
            <w:webHidden/>
          </w:rPr>
          <w:fldChar w:fldCharType="separate"/>
        </w:r>
        <w:r>
          <w:rPr>
            <w:noProof/>
            <w:webHidden/>
          </w:rPr>
          <w:t>674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28" w:history="1">
        <w:r w:rsidRPr="00CD0B56">
          <w:rPr>
            <w:rStyle w:val="Hyperlink"/>
            <w:noProof/>
          </w:rPr>
          <w:t>2.1.1860</w:t>
        </w:r>
        <w:r>
          <w:rPr>
            <w:rFonts w:asciiTheme="minorHAnsi" w:eastAsiaTheme="minorEastAsia" w:hAnsiTheme="minorHAnsi" w:cstheme="minorBidi"/>
            <w:noProof/>
            <w:sz w:val="22"/>
            <w:szCs w:val="22"/>
          </w:rPr>
          <w:tab/>
        </w:r>
        <w:r w:rsidRPr="00CD0B56">
          <w:rPr>
            <w:rStyle w:val="Hyperlink"/>
            <w:noProof/>
          </w:rPr>
          <w:t>Part 4 Section 19.4.2.16, DDE (Dynamic Data Exchange)</w:t>
        </w:r>
        <w:r>
          <w:rPr>
            <w:noProof/>
            <w:webHidden/>
          </w:rPr>
          <w:tab/>
        </w:r>
        <w:r>
          <w:rPr>
            <w:noProof/>
            <w:webHidden/>
          </w:rPr>
          <w:fldChar w:fldCharType="begin"/>
        </w:r>
        <w:r>
          <w:rPr>
            <w:noProof/>
            <w:webHidden/>
          </w:rPr>
          <w:instrText xml:space="preserve"> PAGEREF _Toc12261928 \h </w:instrText>
        </w:r>
        <w:r>
          <w:rPr>
            <w:noProof/>
            <w:webHidden/>
          </w:rPr>
        </w:r>
        <w:r>
          <w:rPr>
            <w:noProof/>
            <w:webHidden/>
          </w:rPr>
          <w:fldChar w:fldCharType="separate"/>
        </w:r>
        <w:r>
          <w:rPr>
            <w:noProof/>
            <w:webHidden/>
          </w:rPr>
          <w:t>674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29" w:history="1">
        <w:r w:rsidRPr="00CD0B56">
          <w:rPr>
            <w:rStyle w:val="Hyperlink"/>
            <w:noProof/>
          </w:rPr>
          <w:t>2.1.1861</w:t>
        </w:r>
        <w:r>
          <w:rPr>
            <w:rFonts w:asciiTheme="minorHAnsi" w:eastAsiaTheme="minorEastAsia" w:hAnsiTheme="minorHAnsi" w:cstheme="minorBidi"/>
            <w:noProof/>
            <w:sz w:val="22"/>
            <w:szCs w:val="22"/>
          </w:rPr>
          <w:tab/>
        </w:r>
        <w:r w:rsidRPr="00CD0B56">
          <w:rPr>
            <w:rStyle w:val="Hyperlink"/>
            <w:noProof/>
          </w:rPr>
          <w:t>Part 4 Section 19.4.2.18, DefaultSize (Default Size Toggle)</w:t>
        </w:r>
        <w:r>
          <w:rPr>
            <w:noProof/>
            <w:webHidden/>
          </w:rPr>
          <w:tab/>
        </w:r>
        <w:r>
          <w:rPr>
            <w:noProof/>
            <w:webHidden/>
          </w:rPr>
          <w:fldChar w:fldCharType="begin"/>
        </w:r>
        <w:r>
          <w:rPr>
            <w:noProof/>
            <w:webHidden/>
          </w:rPr>
          <w:instrText xml:space="preserve"> PAGEREF _Toc12261929 \h </w:instrText>
        </w:r>
        <w:r>
          <w:rPr>
            <w:noProof/>
            <w:webHidden/>
          </w:rPr>
        </w:r>
        <w:r>
          <w:rPr>
            <w:noProof/>
            <w:webHidden/>
          </w:rPr>
          <w:fldChar w:fldCharType="separate"/>
        </w:r>
        <w:r>
          <w:rPr>
            <w:noProof/>
            <w:webHidden/>
          </w:rPr>
          <w:t>674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30" w:history="1">
        <w:r w:rsidRPr="00CD0B56">
          <w:rPr>
            <w:rStyle w:val="Hyperlink"/>
            <w:noProof/>
          </w:rPr>
          <w:t>2.1.1862</w:t>
        </w:r>
        <w:r>
          <w:rPr>
            <w:rFonts w:asciiTheme="minorHAnsi" w:eastAsiaTheme="minorEastAsia" w:hAnsiTheme="minorHAnsi" w:cstheme="minorBidi"/>
            <w:noProof/>
            <w:sz w:val="22"/>
            <w:szCs w:val="22"/>
          </w:rPr>
          <w:tab/>
        </w:r>
        <w:r w:rsidRPr="00CD0B56">
          <w:rPr>
            <w:rStyle w:val="Hyperlink"/>
            <w:noProof/>
          </w:rPr>
          <w:t>Part 4 Section 19.4.2.21, DropLines (Dropdown Maximum Lines)</w:t>
        </w:r>
        <w:r>
          <w:rPr>
            <w:noProof/>
            <w:webHidden/>
          </w:rPr>
          <w:tab/>
        </w:r>
        <w:r>
          <w:rPr>
            <w:noProof/>
            <w:webHidden/>
          </w:rPr>
          <w:fldChar w:fldCharType="begin"/>
        </w:r>
        <w:r>
          <w:rPr>
            <w:noProof/>
            <w:webHidden/>
          </w:rPr>
          <w:instrText xml:space="preserve"> PAGEREF _Toc12261930 \h </w:instrText>
        </w:r>
        <w:r>
          <w:rPr>
            <w:noProof/>
            <w:webHidden/>
          </w:rPr>
        </w:r>
        <w:r>
          <w:rPr>
            <w:noProof/>
            <w:webHidden/>
          </w:rPr>
          <w:fldChar w:fldCharType="separate"/>
        </w:r>
        <w:r>
          <w:rPr>
            <w:noProof/>
            <w:webHidden/>
          </w:rPr>
          <w:t>674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31" w:history="1">
        <w:r w:rsidRPr="00CD0B56">
          <w:rPr>
            <w:rStyle w:val="Hyperlink"/>
            <w:noProof/>
          </w:rPr>
          <w:t>2.1.1863</w:t>
        </w:r>
        <w:r>
          <w:rPr>
            <w:rFonts w:asciiTheme="minorHAnsi" w:eastAsiaTheme="minorEastAsia" w:hAnsiTheme="minorHAnsi" w:cstheme="minorBidi"/>
            <w:noProof/>
            <w:sz w:val="22"/>
            <w:szCs w:val="22"/>
          </w:rPr>
          <w:tab/>
        </w:r>
        <w:r w:rsidRPr="00CD0B56">
          <w:rPr>
            <w:rStyle w:val="Hyperlink"/>
            <w:noProof/>
          </w:rPr>
          <w:t>Part 4 Section 19.4.2.22, DropStyle (Dropdown Style)</w:t>
        </w:r>
        <w:r>
          <w:rPr>
            <w:noProof/>
            <w:webHidden/>
          </w:rPr>
          <w:tab/>
        </w:r>
        <w:r>
          <w:rPr>
            <w:noProof/>
            <w:webHidden/>
          </w:rPr>
          <w:fldChar w:fldCharType="begin"/>
        </w:r>
        <w:r>
          <w:rPr>
            <w:noProof/>
            <w:webHidden/>
          </w:rPr>
          <w:instrText xml:space="preserve"> PAGEREF _Toc12261931 \h </w:instrText>
        </w:r>
        <w:r>
          <w:rPr>
            <w:noProof/>
            <w:webHidden/>
          </w:rPr>
        </w:r>
        <w:r>
          <w:rPr>
            <w:noProof/>
            <w:webHidden/>
          </w:rPr>
          <w:fldChar w:fldCharType="separate"/>
        </w:r>
        <w:r>
          <w:rPr>
            <w:noProof/>
            <w:webHidden/>
          </w:rPr>
          <w:t>674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32" w:history="1">
        <w:r w:rsidRPr="00CD0B56">
          <w:rPr>
            <w:rStyle w:val="Hyperlink"/>
            <w:noProof/>
          </w:rPr>
          <w:t>2.1.1864</w:t>
        </w:r>
        <w:r>
          <w:rPr>
            <w:rFonts w:asciiTheme="minorHAnsi" w:eastAsiaTheme="minorEastAsia" w:hAnsiTheme="minorHAnsi" w:cstheme="minorBidi"/>
            <w:noProof/>
            <w:sz w:val="22"/>
            <w:szCs w:val="22"/>
          </w:rPr>
          <w:tab/>
        </w:r>
        <w:r w:rsidRPr="00CD0B56">
          <w:rPr>
            <w:rStyle w:val="Hyperlink"/>
            <w:noProof/>
          </w:rPr>
          <w:t>Part 4 Section 19.4.2.23, Dx (Scroll Bar Width)</w:t>
        </w:r>
        <w:r>
          <w:rPr>
            <w:noProof/>
            <w:webHidden/>
          </w:rPr>
          <w:tab/>
        </w:r>
        <w:r>
          <w:rPr>
            <w:noProof/>
            <w:webHidden/>
          </w:rPr>
          <w:fldChar w:fldCharType="begin"/>
        </w:r>
        <w:r>
          <w:rPr>
            <w:noProof/>
            <w:webHidden/>
          </w:rPr>
          <w:instrText xml:space="preserve"> PAGEREF _Toc12261932 \h </w:instrText>
        </w:r>
        <w:r>
          <w:rPr>
            <w:noProof/>
            <w:webHidden/>
          </w:rPr>
        </w:r>
        <w:r>
          <w:rPr>
            <w:noProof/>
            <w:webHidden/>
          </w:rPr>
          <w:fldChar w:fldCharType="separate"/>
        </w:r>
        <w:r>
          <w:rPr>
            <w:noProof/>
            <w:webHidden/>
          </w:rPr>
          <w:t>675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33" w:history="1">
        <w:r w:rsidRPr="00CD0B56">
          <w:rPr>
            <w:rStyle w:val="Hyperlink"/>
            <w:noProof/>
          </w:rPr>
          <w:t>2.1.1865</w:t>
        </w:r>
        <w:r>
          <w:rPr>
            <w:rFonts w:asciiTheme="minorHAnsi" w:eastAsiaTheme="minorEastAsia" w:hAnsiTheme="minorHAnsi" w:cstheme="minorBidi"/>
            <w:noProof/>
            <w:sz w:val="22"/>
            <w:szCs w:val="22"/>
          </w:rPr>
          <w:tab/>
        </w:r>
        <w:r w:rsidRPr="00CD0B56">
          <w:rPr>
            <w:rStyle w:val="Hyperlink"/>
            <w:noProof/>
          </w:rPr>
          <w:t>Part 4 Section 19.4.2.25, FmlaGroup (Linked Formula - Group Box)</w:t>
        </w:r>
        <w:r>
          <w:rPr>
            <w:noProof/>
            <w:webHidden/>
          </w:rPr>
          <w:tab/>
        </w:r>
        <w:r>
          <w:rPr>
            <w:noProof/>
            <w:webHidden/>
          </w:rPr>
          <w:fldChar w:fldCharType="begin"/>
        </w:r>
        <w:r>
          <w:rPr>
            <w:noProof/>
            <w:webHidden/>
          </w:rPr>
          <w:instrText xml:space="preserve"> PAGEREF _Toc12261933 \h </w:instrText>
        </w:r>
        <w:r>
          <w:rPr>
            <w:noProof/>
            <w:webHidden/>
          </w:rPr>
        </w:r>
        <w:r>
          <w:rPr>
            <w:noProof/>
            <w:webHidden/>
          </w:rPr>
          <w:fldChar w:fldCharType="separate"/>
        </w:r>
        <w:r>
          <w:rPr>
            <w:noProof/>
            <w:webHidden/>
          </w:rPr>
          <w:t>675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34" w:history="1">
        <w:r w:rsidRPr="00CD0B56">
          <w:rPr>
            <w:rStyle w:val="Hyperlink"/>
            <w:noProof/>
          </w:rPr>
          <w:t>2.1.1866</w:t>
        </w:r>
        <w:r>
          <w:rPr>
            <w:rFonts w:asciiTheme="minorHAnsi" w:eastAsiaTheme="minorEastAsia" w:hAnsiTheme="minorHAnsi" w:cstheme="minorBidi"/>
            <w:noProof/>
            <w:sz w:val="22"/>
            <w:szCs w:val="22"/>
          </w:rPr>
          <w:tab/>
        </w:r>
        <w:r w:rsidRPr="00CD0B56">
          <w:rPr>
            <w:rStyle w:val="Hyperlink"/>
            <w:noProof/>
          </w:rPr>
          <w:t>Part 4 Section 19.4.2.27, FmlaMacro (Reference to Custom Function)</w:t>
        </w:r>
        <w:r>
          <w:rPr>
            <w:noProof/>
            <w:webHidden/>
          </w:rPr>
          <w:tab/>
        </w:r>
        <w:r>
          <w:rPr>
            <w:noProof/>
            <w:webHidden/>
          </w:rPr>
          <w:fldChar w:fldCharType="begin"/>
        </w:r>
        <w:r>
          <w:rPr>
            <w:noProof/>
            <w:webHidden/>
          </w:rPr>
          <w:instrText xml:space="preserve"> PAGEREF _Toc12261934 \h </w:instrText>
        </w:r>
        <w:r>
          <w:rPr>
            <w:noProof/>
            <w:webHidden/>
          </w:rPr>
        </w:r>
        <w:r>
          <w:rPr>
            <w:noProof/>
            <w:webHidden/>
          </w:rPr>
          <w:fldChar w:fldCharType="separate"/>
        </w:r>
        <w:r>
          <w:rPr>
            <w:noProof/>
            <w:webHidden/>
          </w:rPr>
          <w:t>675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35" w:history="1">
        <w:r w:rsidRPr="00CD0B56">
          <w:rPr>
            <w:rStyle w:val="Hyperlink"/>
            <w:noProof/>
          </w:rPr>
          <w:t>2.1.1867</w:t>
        </w:r>
        <w:r>
          <w:rPr>
            <w:rFonts w:asciiTheme="minorHAnsi" w:eastAsiaTheme="minorEastAsia" w:hAnsiTheme="minorHAnsi" w:cstheme="minorBidi"/>
            <w:noProof/>
            <w:sz w:val="22"/>
            <w:szCs w:val="22"/>
          </w:rPr>
          <w:tab/>
        </w:r>
        <w:r w:rsidRPr="00CD0B56">
          <w:rPr>
            <w:rStyle w:val="Hyperlink"/>
            <w:noProof/>
          </w:rPr>
          <w:t>Part 4 Section 19.4.2.29, FmlaRange (List Items Source Range)</w:t>
        </w:r>
        <w:r>
          <w:rPr>
            <w:noProof/>
            <w:webHidden/>
          </w:rPr>
          <w:tab/>
        </w:r>
        <w:r>
          <w:rPr>
            <w:noProof/>
            <w:webHidden/>
          </w:rPr>
          <w:fldChar w:fldCharType="begin"/>
        </w:r>
        <w:r>
          <w:rPr>
            <w:noProof/>
            <w:webHidden/>
          </w:rPr>
          <w:instrText xml:space="preserve"> PAGEREF _Toc12261935 \h </w:instrText>
        </w:r>
        <w:r>
          <w:rPr>
            <w:noProof/>
            <w:webHidden/>
          </w:rPr>
        </w:r>
        <w:r>
          <w:rPr>
            <w:noProof/>
            <w:webHidden/>
          </w:rPr>
          <w:fldChar w:fldCharType="separate"/>
        </w:r>
        <w:r>
          <w:rPr>
            <w:noProof/>
            <w:webHidden/>
          </w:rPr>
          <w:t>675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36" w:history="1">
        <w:r w:rsidRPr="00CD0B56">
          <w:rPr>
            <w:rStyle w:val="Hyperlink"/>
            <w:noProof/>
          </w:rPr>
          <w:t>2.1.1868</w:t>
        </w:r>
        <w:r>
          <w:rPr>
            <w:rFonts w:asciiTheme="minorHAnsi" w:eastAsiaTheme="minorEastAsia" w:hAnsiTheme="minorHAnsi" w:cstheme="minorBidi"/>
            <w:noProof/>
            <w:sz w:val="22"/>
            <w:szCs w:val="22"/>
          </w:rPr>
          <w:tab/>
        </w:r>
        <w:r w:rsidRPr="00CD0B56">
          <w:rPr>
            <w:rStyle w:val="Hyperlink"/>
            <w:noProof/>
          </w:rPr>
          <w:t>Part 4 Section 19.4.2.30, FmlaTxbx (Text Formula)</w:t>
        </w:r>
        <w:r>
          <w:rPr>
            <w:noProof/>
            <w:webHidden/>
          </w:rPr>
          <w:tab/>
        </w:r>
        <w:r>
          <w:rPr>
            <w:noProof/>
            <w:webHidden/>
          </w:rPr>
          <w:fldChar w:fldCharType="begin"/>
        </w:r>
        <w:r>
          <w:rPr>
            <w:noProof/>
            <w:webHidden/>
          </w:rPr>
          <w:instrText xml:space="preserve"> PAGEREF _Toc12261936 \h </w:instrText>
        </w:r>
        <w:r>
          <w:rPr>
            <w:noProof/>
            <w:webHidden/>
          </w:rPr>
        </w:r>
        <w:r>
          <w:rPr>
            <w:noProof/>
            <w:webHidden/>
          </w:rPr>
          <w:fldChar w:fldCharType="separate"/>
        </w:r>
        <w:r>
          <w:rPr>
            <w:noProof/>
            <w:webHidden/>
          </w:rPr>
          <w:t>675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37" w:history="1">
        <w:r w:rsidRPr="00CD0B56">
          <w:rPr>
            <w:rStyle w:val="Hyperlink"/>
            <w:noProof/>
          </w:rPr>
          <w:t>2.1.1869</w:t>
        </w:r>
        <w:r>
          <w:rPr>
            <w:rFonts w:asciiTheme="minorHAnsi" w:eastAsiaTheme="minorEastAsia" w:hAnsiTheme="minorHAnsi" w:cstheme="minorBidi"/>
            <w:noProof/>
            <w:sz w:val="22"/>
            <w:szCs w:val="22"/>
          </w:rPr>
          <w:tab/>
        </w:r>
        <w:r w:rsidRPr="00CD0B56">
          <w:rPr>
            <w:rStyle w:val="Hyperlink"/>
            <w:noProof/>
          </w:rPr>
          <w:t>Part 4 Section 19.4.2.32, Horiz (Scroll Bar Orientation)</w:t>
        </w:r>
        <w:r>
          <w:rPr>
            <w:noProof/>
            <w:webHidden/>
          </w:rPr>
          <w:tab/>
        </w:r>
        <w:r>
          <w:rPr>
            <w:noProof/>
            <w:webHidden/>
          </w:rPr>
          <w:fldChar w:fldCharType="begin"/>
        </w:r>
        <w:r>
          <w:rPr>
            <w:noProof/>
            <w:webHidden/>
          </w:rPr>
          <w:instrText xml:space="preserve"> PAGEREF _Toc12261937 \h </w:instrText>
        </w:r>
        <w:r>
          <w:rPr>
            <w:noProof/>
            <w:webHidden/>
          </w:rPr>
        </w:r>
        <w:r>
          <w:rPr>
            <w:noProof/>
            <w:webHidden/>
          </w:rPr>
          <w:fldChar w:fldCharType="separate"/>
        </w:r>
        <w:r>
          <w:rPr>
            <w:noProof/>
            <w:webHidden/>
          </w:rPr>
          <w:t>675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38" w:history="1">
        <w:r w:rsidRPr="00CD0B56">
          <w:rPr>
            <w:rStyle w:val="Hyperlink"/>
            <w:noProof/>
          </w:rPr>
          <w:t>2.1.1870</w:t>
        </w:r>
        <w:r>
          <w:rPr>
            <w:rFonts w:asciiTheme="minorHAnsi" w:eastAsiaTheme="minorEastAsia" w:hAnsiTheme="minorHAnsi" w:cstheme="minorBidi"/>
            <w:noProof/>
            <w:sz w:val="22"/>
            <w:szCs w:val="22"/>
          </w:rPr>
          <w:tab/>
        </w:r>
        <w:r w:rsidRPr="00CD0B56">
          <w:rPr>
            <w:rStyle w:val="Hyperlink"/>
            <w:noProof/>
          </w:rPr>
          <w:t>Part 4 Section 19.4.2.33, Inc (Scroll Bar Increment)</w:t>
        </w:r>
        <w:r>
          <w:rPr>
            <w:noProof/>
            <w:webHidden/>
          </w:rPr>
          <w:tab/>
        </w:r>
        <w:r>
          <w:rPr>
            <w:noProof/>
            <w:webHidden/>
          </w:rPr>
          <w:fldChar w:fldCharType="begin"/>
        </w:r>
        <w:r>
          <w:rPr>
            <w:noProof/>
            <w:webHidden/>
          </w:rPr>
          <w:instrText xml:space="preserve"> PAGEREF _Toc12261938 \h </w:instrText>
        </w:r>
        <w:r>
          <w:rPr>
            <w:noProof/>
            <w:webHidden/>
          </w:rPr>
        </w:r>
        <w:r>
          <w:rPr>
            <w:noProof/>
            <w:webHidden/>
          </w:rPr>
          <w:fldChar w:fldCharType="separate"/>
        </w:r>
        <w:r>
          <w:rPr>
            <w:noProof/>
            <w:webHidden/>
          </w:rPr>
          <w:t>675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39" w:history="1">
        <w:r w:rsidRPr="00CD0B56">
          <w:rPr>
            <w:rStyle w:val="Hyperlink"/>
            <w:noProof/>
          </w:rPr>
          <w:t>2.1.1871</w:t>
        </w:r>
        <w:r>
          <w:rPr>
            <w:rFonts w:asciiTheme="minorHAnsi" w:eastAsiaTheme="minorEastAsia" w:hAnsiTheme="minorHAnsi" w:cstheme="minorBidi"/>
            <w:noProof/>
            <w:sz w:val="22"/>
            <w:szCs w:val="22"/>
          </w:rPr>
          <w:tab/>
        </w:r>
        <w:r w:rsidRPr="00CD0B56">
          <w:rPr>
            <w:rStyle w:val="Hyperlink"/>
            <w:noProof/>
          </w:rPr>
          <w:t>Part 4 Section 19.4.2.35, LCT (Callback Type)</w:t>
        </w:r>
        <w:r>
          <w:rPr>
            <w:noProof/>
            <w:webHidden/>
          </w:rPr>
          <w:tab/>
        </w:r>
        <w:r>
          <w:rPr>
            <w:noProof/>
            <w:webHidden/>
          </w:rPr>
          <w:fldChar w:fldCharType="begin"/>
        </w:r>
        <w:r>
          <w:rPr>
            <w:noProof/>
            <w:webHidden/>
          </w:rPr>
          <w:instrText xml:space="preserve"> PAGEREF _Toc12261939 \h </w:instrText>
        </w:r>
        <w:r>
          <w:rPr>
            <w:noProof/>
            <w:webHidden/>
          </w:rPr>
        </w:r>
        <w:r>
          <w:rPr>
            <w:noProof/>
            <w:webHidden/>
          </w:rPr>
          <w:fldChar w:fldCharType="separate"/>
        </w:r>
        <w:r>
          <w:rPr>
            <w:noProof/>
            <w:webHidden/>
          </w:rPr>
          <w:t>676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40" w:history="1">
        <w:r w:rsidRPr="00CD0B56">
          <w:rPr>
            <w:rStyle w:val="Hyperlink"/>
            <w:noProof/>
          </w:rPr>
          <w:t>2.1.1872</w:t>
        </w:r>
        <w:r>
          <w:rPr>
            <w:rFonts w:asciiTheme="minorHAnsi" w:eastAsiaTheme="minorEastAsia" w:hAnsiTheme="minorHAnsi" w:cstheme="minorBidi"/>
            <w:noProof/>
            <w:sz w:val="22"/>
            <w:szCs w:val="22"/>
          </w:rPr>
          <w:tab/>
        </w:r>
        <w:r w:rsidRPr="00CD0B56">
          <w:rPr>
            <w:rStyle w:val="Hyperlink"/>
            <w:noProof/>
          </w:rPr>
          <w:t>Part 4 Section 19.4.2.36, ListItem (Non-linked List Item)</w:t>
        </w:r>
        <w:r>
          <w:rPr>
            <w:noProof/>
            <w:webHidden/>
          </w:rPr>
          <w:tab/>
        </w:r>
        <w:r>
          <w:rPr>
            <w:noProof/>
            <w:webHidden/>
          </w:rPr>
          <w:fldChar w:fldCharType="begin"/>
        </w:r>
        <w:r>
          <w:rPr>
            <w:noProof/>
            <w:webHidden/>
          </w:rPr>
          <w:instrText xml:space="preserve"> PAGEREF _Toc12261940 \h </w:instrText>
        </w:r>
        <w:r>
          <w:rPr>
            <w:noProof/>
            <w:webHidden/>
          </w:rPr>
        </w:r>
        <w:r>
          <w:rPr>
            <w:noProof/>
            <w:webHidden/>
          </w:rPr>
          <w:fldChar w:fldCharType="separate"/>
        </w:r>
        <w:r>
          <w:rPr>
            <w:noProof/>
            <w:webHidden/>
          </w:rPr>
          <w:t>676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41" w:history="1">
        <w:r w:rsidRPr="00CD0B56">
          <w:rPr>
            <w:rStyle w:val="Hyperlink"/>
            <w:noProof/>
          </w:rPr>
          <w:t>2.1.1873</w:t>
        </w:r>
        <w:r>
          <w:rPr>
            <w:rFonts w:asciiTheme="minorHAnsi" w:eastAsiaTheme="minorEastAsia" w:hAnsiTheme="minorHAnsi" w:cstheme="minorBidi"/>
            <w:noProof/>
            <w:sz w:val="22"/>
            <w:szCs w:val="22"/>
          </w:rPr>
          <w:tab/>
        </w:r>
        <w:r w:rsidRPr="00CD0B56">
          <w:rPr>
            <w:rStyle w:val="Hyperlink"/>
            <w:noProof/>
          </w:rPr>
          <w:t>Part 4 Section 19.4.2.40, Max (Scroll Bar Maximum)</w:t>
        </w:r>
        <w:r>
          <w:rPr>
            <w:noProof/>
            <w:webHidden/>
          </w:rPr>
          <w:tab/>
        </w:r>
        <w:r>
          <w:rPr>
            <w:noProof/>
            <w:webHidden/>
          </w:rPr>
          <w:fldChar w:fldCharType="begin"/>
        </w:r>
        <w:r>
          <w:rPr>
            <w:noProof/>
            <w:webHidden/>
          </w:rPr>
          <w:instrText xml:space="preserve"> PAGEREF _Toc12261941 \h </w:instrText>
        </w:r>
        <w:r>
          <w:rPr>
            <w:noProof/>
            <w:webHidden/>
          </w:rPr>
        </w:r>
        <w:r>
          <w:rPr>
            <w:noProof/>
            <w:webHidden/>
          </w:rPr>
          <w:fldChar w:fldCharType="separate"/>
        </w:r>
        <w:r>
          <w:rPr>
            <w:noProof/>
            <w:webHidden/>
          </w:rPr>
          <w:t>676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42" w:history="1">
        <w:r w:rsidRPr="00CD0B56">
          <w:rPr>
            <w:rStyle w:val="Hyperlink"/>
            <w:noProof/>
          </w:rPr>
          <w:t>2.1.1874</w:t>
        </w:r>
        <w:r>
          <w:rPr>
            <w:rFonts w:asciiTheme="minorHAnsi" w:eastAsiaTheme="minorEastAsia" w:hAnsiTheme="minorHAnsi" w:cstheme="minorBidi"/>
            <w:noProof/>
            <w:sz w:val="22"/>
            <w:szCs w:val="22"/>
          </w:rPr>
          <w:tab/>
        </w:r>
        <w:r w:rsidRPr="00CD0B56">
          <w:rPr>
            <w:rStyle w:val="Hyperlink"/>
            <w:noProof/>
          </w:rPr>
          <w:t>Part 4 Section 19.4.2.41, Min (Scroll Bar Minimum)</w:t>
        </w:r>
        <w:r>
          <w:rPr>
            <w:noProof/>
            <w:webHidden/>
          </w:rPr>
          <w:tab/>
        </w:r>
        <w:r>
          <w:rPr>
            <w:noProof/>
            <w:webHidden/>
          </w:rPr>
          <w:fldChar w:fldCharType="begin"/>
        </w:r>
        <w:r>
          <w:rPr>
            <w:noProof/>
            <w:webHidden/>
          </w:rPr>
          <w:instrText xml:space="preserve"> PAGEREF _Toc12261942 \h </w:instrText>
        </w:r>
        <w:r>
          <w:rPr>
            <w:noProof/>
            <w:webHidden/>
          </w:rPr>
        </w:r>
        <w:r>
          <w:rPr>
            <w:noProof/>
            <w:webHidden/>
          </w:rPr>
          <w:fldChar w:fldCharType="separate"/>
        </w:r>
        <w:r>
          <w:rPr>
            <w:noProof/>
            <w:webHidden/>
          </w:rPr>
          <w:t>676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43" w:history="1">
        <w:r w:rsidRPr="00CD0B56">
          <w:rPr>
            <w:rStyle w:val="Hyperlink"/>
            <w:noProof/>
          </w:rPr>
          <w:t>2.1.1875</w:t>
        </w:r>
        <w:r>
          <w:rPr>
            <w:rFonts w:asciiTheme="minorHAnsi" w:eastAsiaTheme="minorEastAsia" w:hAnsiTheme="minorHAnsi" w:cstheme="minorBidi"/>
            <w:noProof/>
            <w:sz w:val="22"/>
            <w:szCs w:val="22"/>
          </w:rPr>
          <w:tab/>
        </w:r>
        <w:r w:rsidRPr="00CD0B56">
          <w:rPr>
            <w:rStyle w:val="Hyperlink"/>
            <w:noProof/>
          </w:rPr>
          <w:t>Part 4 Section 19.4.2.42, MoveWithCells (Move with Cells)</w:t>
        </w:r>
        <w:r>
          <w:rPr>
            <w:noProof/>
            <w:webHidden/>
          </w:rPr>
          <w:tab/>
        </w:r>
        <w:r>
          <w:rPr>
            <w:noProof/>
            <w:webHidden/>
          </w:rPr>
          <w:fldChar w:fldCharType="begin"/>
        </w:r>
        <w:r>
          <w:rPr>
            <w:noProof/>
            <w:webHidden/>
          </w:rPr>
          <w:instrText xml:space="preserve"> PAGEREF _Toc12261943 \h </w:instrText>
        </w:r>
        <w:r>
          <w:rPr>
            <w:noProof/>
            <w:webHidden/>
          </w:rPr>
        </w:r>
        <w:r>
          <w:rPr>
            <w:noProof/>
            <w:webHidden/>
          </w:rPr>
          <w:fldChar w:fldCharType="separate"/>
        </w:r>
        <w:r>
          <w:rPr>
            <w:noProof/>
            <w:webHidden/>
          </w:rPr>
          <w:t>676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44" w:history="1">
        <w:r w:rsidRPr="00CD0B56">
          <w:rPr>
            <w:rStyle w:val="Hyperlink"/>
            <w:noProof/>
          </w:rPr>
          <w:t>2.1.1876</w:t>
        </w:r>
        <w:r>
          <w:rPr>
            <w:rFonts w:asciiTheme="minorHAnsi" w:eastAsiaTheme="minorEastAsia" w:hAnsiTheme="minorHAnsi" w:cstheme="minorBidi"/>
            <w:noProof/>
            <w:sz w:val="22"/>
            <w:szCs w:val="22"/>
          </w:rPr>
          <w:tab/>
        </w:r>
        <w:r w:rsidRPr="00CD0B56">
          <w:rPr>
            <w:rStyle w:val="Hyperlink"/>
            <w:noProof/>
          </w:rPr>
          <w:t>Part 4 Section 19.4.2.45, NoThreeD (Disable 3D)</w:t>
        </w:r>
        <w:r>
          <w:rPr>
            <w:noProof/>
            <w:webHidden/>
          </w:rPr>
          <w:tab/>
        </w:r>
        <w:r>
          <w:rPr>
            <w:noProof/>
            <w:webHidden/>
          </w:rPr>
          <w:fldChar w:fldCharType="begin"/>
        </w:r>
        <w:r>
          <w:rPr>
            <w:noProof/>
            <w:webHidden/>
          </w:rPr>
          <w:instrText xml:space="preserve"> PAGEREF _Toc12261944 \h </w:instrText>
        </w:r>
        <w:r>
          <w:rPr>
            <w:noProof/>
            <w:webHidden/>
          </w:rPr>
        </w:r>
        <w:r>
          <w:rPr>
            <w:noProof/>
            <w:webHidden/>
          </w:rPr>
          <w:fldChar w:fldCharType="separate"/>
        </w:r>
        <w:r>
          <w:rPr>
            <w:noProof/>
            <w:webHidden/>
          </w:rPr>
          <w:t>676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45" w:history="1">
        <w:r w:rsidRPr="00CD0B56">
          <w:rPr>
            <w:rStyle w:val="Hyperlink"/>
            <w:noProof/>
          </w:rPr>
          <w:t>2.1.1877</w:t>
        </w:r>
        <w:r>
          <w:rPr>
            <w:rFonts w:asciiTheme="minorHAnsi" w:eastAsiaTheme="minorEastAsia" w:hAnsiTheme="minorHAnsi" w:cstheme="minorBidi"/>
            <w:noProof/>
            <w:sz w:val="22"/>
            <w:szCs w:val="22"/>
          </w:rPr>
          <w:tab/>
        </w:r>
        <w:r w:rsidRPr="00CD0B56">
          <w:rPr>
            <w:rStyle w:val="Hyperlink"/>
            <w:noProof/>
          </w:rPr>
          <w:t>Part 4 Section 19.4.2.47, Page (Scroll Bar Page Increment)</w:t>
        </w:r>
        <w:r>
          <w:rPr>
            <w:noProof/>
            <w:webHidden/>
          </w:rPr>
          <w:tab/>
        </w:r>
        <w:r>
          <w:rPr>
            <w:noProof/>
            <w:webHidden/>
          </w:rPr>
          <w:fldChar w:fldCharType="begin"/>
        </w:r>
        <w:r>
          <w:rPr>
            <w:noProof/>
            <w:webHidden/>
          </w:rPr>
          <w:instrText xml:space="preserve"> PAGEREF _Toc12261945 \h </w:instrText>
        </w:r>
        <w:r>
          <w:rPr>
            <w:noProof/>
            <w:webHidden/>
          </w:rPr>
        </w:r>
        <w:r>
          <w:rPr>
            <w:noProof/>
            <w:webHidden/>
          </w:rPr>
          <w:fldChar w:fldCharType="separate"/>
        </w:r>
        <w:r>
          <w:rPr>
            <w:noProof/>
            <w:webHidden/>
          </w:rPr>
          <w:t>676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46" w:history="1">
        <w:r w:rsidRPr="00CD0B56">
          <w:rPr>
            <w:rStyle w:val="Hyperlink"/>
            <w:noProof/>
          </w:rPr>
          <w:t>2.1.1878</w:t>
        </w:r>
        <w:r>
          <w:rPr>
            <w:rFonts w:asciiTheme="minorHAnsi" w:eastAsiaTheme="minorEastAsia" w:hAnsiTheme="minorHAnsi" w:cstheme="minorBidi"/>
            <w:noProof/>
            <w:sz w:val="22"/>
            <w:szCs w:val="22"/>
          </w:rPr>
          <w:tab/>
        </w:r>
        <w:r w:rsidRPr="00CD0B56">
          <w:rPr>
            <w:rStyle w:val="Hyperlink"/>
            <w:noProof/>
          </w:rPr>
          <w:t>Part 4 Section 19.4.2.49, RecalcAlways (Recalculation Toggle)</w:t>
        </w:r>
        <w:r>
          <w:rPr>
            <w:noProof/>
            <w:webHidden/>
          </w:rPr>
          <w:tab/>
        </w:r>
        <w:r>
          <w:rPr>
            <w:noProof/>
            <w:webHidden/>
          </w:rPr>
          <w:fldChar w:fldCharType="begin"/>
        </w:r>
        <w:r>
          <w:rPr>
            <w:noProof/>
            <w:webHidden/>
          </w:rPr>
          <w:instrText xml:space="preserve"> PAGEREF _Toc12261946 \h </w:instrText>
        </w:r>
        <w:r>
          <w:rPr>
            <w:noProof/>
            <w:webHidden/>
          </w:rPr>
        </w:r>
        <w:r>
          <w:rPr>
            <w:noProof/>
            <w:webHidden/>
          </w:rPr>
          <w:fldChar w:fldCharType="separate"/>
        </w:r>
        <w:r>
          <w:rPr>
            <w:noProof/>
            <w:webHidden/>
          </w:rPr>
          <w:t>676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47" w:history="1">
        <w:r w:rsidRPr="00CD0B56">
          <w:rPr>
            <w:rStyle w:val="Hyperlink"/>
            <w:noProof/>
          </w:rPr>
          <w:t>2.1.1879</w:t>
        </w:r>
        <w:r>
          <w:rPr>
            <w:rFonts w:asciiTheme="minorHAnsi" w:eastAsiaTheme="minorEastAsia" w:hAnsiTheme="minorHAnsi" w:cstheme="minorBidi"/>
            <w:noProof/>
            <w:sz w:val="22"/>
            <w:szCs w:val="22"/>
          </w:rPr>
          <w:tab/>
        </w:r>
        <w:r w:rsidRPr="00CD0B56">
          <w:rPr>
            <w:rStyle w:val="Hyperlink"/>
            <w:noProof/>
          </w:rPr>
          <w:t>Part 4 Section 19.4.2.51, RowHidden (Comment's Row is Hidden)</w:t>
        </w:r>
        <w:r>
          <w:rPr>
            <w:noProof/>
            <w:webHidden/>
          </w:rPr>
          <w:tab/>
        </w:r>
        <w:r>
          <w:rPr>
            <w:noProof/>
            <w:webHidden/>
          </w:rPr>
          <w:fldChar w:fldCharType="begin"/>
        </w:r>
        <w:r>
          <w:rPr>
            <w:noProof/>
            <w:webHidden/>
          </w:rPr>
          <w:instrText xml:space="preserve"> PAGEREF _Toc12261947 \h </w:instrText>
        </w:r>
        <w:r>
          <w:rPr>
            <w:noProof/>
            <w:webHidden/>
          </w:rPr>
        </w:r>
        <w:r>
          <w:rPr>
            <w:noProof/>
            <w:webHidden/>
          </w:rPr>
          <w:fldChar w:fldCharType="separate"/>
        </w:r>
        <w:r>
          <w:rPr>
            <w:noProof/>
            <w:webHidden/>
          </w:rPr>
          <w:t>677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48" w:history="1">
        <w:r w:rsidRPr="00CD0B56">
          <w:rPr>
            <w:rStyle w:val="Hyperlink"/>
            <w:noProof/>
          </w:rPr>
          <w:t>2.1.1880</w:t>
        </w:r>
        <w:r>
          <w:rPr>
            <w:rFonts w:asciiTheme="minorHAnsi" w:eastAsiaTheme="minorEastAsia" w:hAnsiTheme="minorHAnsi" w:cstheme="minorBidi"/>
            <w:noProof/>
            <w:sz w:val="22"/>
            <w:szCs w:val="22"/>
          </w:rPr>
          <w:tab/>
        </w:r>
        <w:r w:rsidRPr="00CD0B56">
          <w:rPr>
            <w:rStyle w:val="Hyperlink"/>
            <w:noProof/>
          </w:rPr>
          <w:t>Part 4 Section 19.4.2.59, SizeWithCells (Resize with Cells)</w:t>
        </w:r>
        <w:r>
          <w:rPr>
            <w:noProof/>
            <w:webHidden/>
          </w:rPr>
          <w:tab/>
        </w:r>
        <w:r>
          <w:rPr>
            <w:noProof/>
            <w:webHidden/>
          </w:rPr>
          <w:fldChar w:fldCharType="begin"/>
        </w:r>
        <w:r>
          <w:rPr>
            <w:noProof/>
            <w:webHidden/>
          </w:rPr>
          <w:instrText xml:space="preserve"> PAGEREF _Toc12261948 \h </w:instrText>
        </w:r>
        <w:r>
          <w:rPr>
            <w:noProof/>
            <w:webHidden/>
          </w:rPr>
        </w:r>
        <w:r>
          <w:rPr>
            <w:noProof/>
            <w:webHidden/>
          </w:rPr>
          <w:fldChar w:fldCharType="separate"/>
        </w:r>
        <w:r>
          <w:rPr>
            <w:noProof/>
            <w:webHidden/>
          </w:rPr>
          <w:t>677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49" w:history="1">
        <w:r w:rsidRPr="00CD0B56">
          <w:rPr>
            <w:rStyle w:val="Hyperlink"/>
            <w:noProof/>
          </w:rPr>
          <w:t>2.1.1881</w:t>
        </w:r>
        <w:r>
          <w:rPr>
            <w:rFonts w:asciiTheme="minorHAnsi" w:eastAsiaTheme="minorEastAsia" w:hAnsiTheme="minorHAnsi" w:cstheme="minorBidi"/>
            <w:noProof/>
            <w:sz w:val="22"/>
            <w:szCs w:val="22"/>
          </w:rPr>
          <w:tab/>
        </w:r>
        <w:r w:rsidRPr="00CD0B56">
          <w:rPr>
            <w:rStyle w:val="Hyperlink"/>
            <w:noProof/>
          </w:rPr>
          <w:t>Part 4 Section 19.4.2.61, TextVAlign (Vertical Text Alignment)</w:t>
        </w:r>
        <w:r>
          <w:rPr>
            <w:noProof/>
            <w:webHidden/>
          </w:rPr>
          <w:tab/>
        </w:r>
        <w:r>
          <w:rPr>
            <w:noProof/>
            <w:webHidden/>
          </w:rPr>
          <w:fldChar w:fldCharType="begin"/>
        </w:r>
        <w:r>
          <w:rPr>
            <w:noProof/>
            <w:webHidden/>
          </w:rPr>
          <w:instrText xml:space="preserve"> PAGEREF _Toc12261949 \h </w:instrText>
        </w:r>
        <w:r>
          <w:rPr>
            <w:noProof/>
            <w:webHidden/>
          </w:rPr>
        </w:r>
        <w:r>
          <w:rPr>
            <w:noProof/>
            <w:webHidden/>
          </w:rPr>
          <w:fldChar w:fldCharType="separate"/>
        </w:r>
        <w:r>
          <w:rPr>
            <w:noProof/>
            <w:webHidden/>
          </w:rPr>
          <w:t>677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50" w:history="1">
        <w:r w:rsidRPr="00CD0B56">
          <w:rPr>
            <w:rStyle w:val="Hyperlink"/>
            <w:noProof/>
          </w:rPr>
          <w:t>2.1.1882</w:t>
        </w:r>
        <w:r>
          <w:rPr>
            <w:rFonts w:asciiTheme="minorHAnsi" w:eastAsiaTheme="minorEastAsia" w:hAnsiTheme="minorHAnsi" w:cstheme="minorBidi"/>
            <w:noProof/>
            <w:sz w:val="22"/>
            <w:szCs w:val="22"/>
          </w:rPr>
          <w:tab/>
        </w:r>
        <w:r w:rsidRPr="00CD0B56">
          <w:rPr>
            <w:rStyle w:val="Hyperlink"/>
            <w:noProof/>
          </w:rPr>
          <w:t>Part 4 Section 19.4.2.62, UIObj (UI Object Toggle)</w:t>
        </w:r>
        <w:r>
          <w:rPr>
            <w:noProof/>
            <w:webHidden/>
          </w:rPr>
          <w:tab/>
        </w:r>
        <w:r>
          <w:rPr>
            <w:noProof/>
            <w:webHidden/>
          </w:rPr>
          <w:fldChar w:fldCharType="begin"/>
        </w:r>
        <w:r>
          <w:rPr>
            <w:noProof/>
            <w:webHidden/>
          </w:rPr>
          <w:instrText xml:space="preserve"> PAGEREF _Toc12261950 \h </w:instrText>
        </w:r>
        <w:r>
          <w:rPr>
            <w:noProof/>
            <w:webHidden/>
          </w:rPr>
        </w:r>
        <w:r>
          <w:rPr>
            <w:noProof/>
            <w:webHidden/>
          </w:rPr>
          <w:fldChar w:fldCharType="separate"/>
        </w:r>
        <w:r>
          <w:rPr>
            <w:noProof/>
            <w:webHidden/>
          </w:rPr>
          <w:t>677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51" w:history="1">
        <w:r w:rsidRPr="00CD0B56">
          <w:rPr>
            <w:rStyle w:val="Hyperlink"/>
            <w:noProof/>
          </w:rPr>
          <w:t>2.1.1883</w:t>
        </w:r>
        <w:r>
          <w:rPr>
            <w:rFonts w:asciiTheme="minorHAnsi" w:eastAsiaTheme="minorEastAsia" w:hAnsiTheme="minorHAnsi" w:cstheme="minorBidi"/>
            <w:noProof/>
            <w:sz w:val="22"/>
            <w:szCs w:val="22"/>
          </w:rPr>
          <w:tab/>
        </w:r>
        <w:r w:rsidRPr="00CD0B56">
          <w:rPr>
            <w:rStyle w:val="Hyperlink"/>
            <w:noProof/>
          </w:rPr>
          <w:t>Part 4 Section 19.4.2.63, Val (Scroll bar position)</w:t>
        </w:r>
        <w:r>
          <w:rPr>
            <w:noProof/>
            <w:webHidden/>
          </w:rPr>
          <w:tab/>
        </w:r>
        <w:r>
          <w:rPr>
            <w:noProof/>
            <w:webHidden/>
          </w:rPr>
          <w:fldChar w:fldCharType="begin"/>
        </w:r>
        <w:r>
          <w:rPr>
            <w:noProof/>
            <w:webHidden/>
          </w:rPr>
          <w:instrText xml:space="preserve"> PAGEREF _Toc12261951 \h </w:instrText>
        </w:r>
        <w:r>
          <w:rPr>
            <w:noProof/>
            <w:webHidden/>
          </w:rPr>
        </w:r>
        <w:r>
          <w:rPr>
            <w:noProof/>
            <w:webHidden/>
          </w:rPr>
          <w:fldChar w:fldCharType="separate"/>
        </w:r>
        <w:r>
          <w:rPr>
            <w:noProof/>
            <w:webHidden/>
          </w:rPr>
          <w:t>677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52" w:history="1">
        <w:r w:rsidRPr="00CD0B56">
          <w:rPr>
            <w:rStyle w:val="Hyperlink"/>
            <w:noProof/>
          </w:rPr>
          <w:t>2.1.1884</w:t>
        </w:r>
        <w:r>
          <w:rPr>
            <w:rFonts w:asciiTheme="minorHAnsi" w:eastAsiaTheme="minorEastAsia" w:hAnsiTheme="minorHAnsi" w:cstheme="minorBidi"/>
            <w:noProof/>
            <w:sz w:val="22"/>
            <w:szCs w:val="22"/>
          </w:rPr>
          <w:tab/>
        </w:r>
        <w:r w:rsidRPr="00CD0B56">
          <w:rPr>
            <w:rStyle w:val="Hyperlink"/>
            <w:noProof/>
          </w:rPr>
          <w:t>Part 4 Section 19.4.2.64, ValidIds (Valid ID)</w:t>
        </w:r>
        <w:r>
          <w:rPr>
            <w:noProof/>
            <w:webHidden/>
          </w:rPr>
          <w:tab/>
        </w:r>
        <w:r>
          <w:rPr>
            <w:noProof/>
            <w:webHidden/>
          </w:rPr>
          <w:fldChar w:fldCharType="begin"/>
        </w:r>
        <w:r>
          <w:rPr>
            <w:noProof/>
            <w:webHidden/>
          </w:rPr>
          <w:instrText xml:space="preserve"> PAGEREF _Toc12261952 \h </w:instrText>
        </w:r>
        <w:r>
          <w:rPr>
            <w:noProof/>
            <w:webHidden/>
          </w:rPr>
        </w:r>
        <w:r>
          <w:rPr>
            <w:noProof/>
            <w:webHidden/>
          </w:rPr>
          <w:fldChar w:fldCharType="separate"/>
        </w:r>
        <w:r>
          <w:rPr>
            <w:noProof/>
            <w:webHidden/>
          </w:rPr>
          <w:t>677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53" w:history="1">
        <w:r w:rsidRPr="00CD0B56">
          <w:rPr>
            <w:rStyle w:val="Hyperlink"/>
            <w:noProof/>
          </w:rPr>
          <w:t>2.1.1885</w:t>
        </w:r>
        <w:r>
          <w:rPr>
            <w:rFonts w:asciiTheme="minorHAnsi" w:eastAsiaTheme="minorEastAsia" w:hAnsiTheme="minorHAnsi" w:cstheme="minorBidi"/>
            <w:noProof/>
            <w:sz w:val="22"/>
            <w:szCs w:val="22"/>
          </w:rPr>
          <w:tab/>
        </w:r>
        <w:r w:rsidRPr="00CD0B56">
          <w:rPr>
            <w:rStyle w:val="Hyperlink"/>
            <w:noProof/>
          </w:rPr>
          <w:t>Part 4 Section 19.4.2.68, WidthMin (Minimum Width)</w:t>
        </w:r>
        <w:r>
          <w:rPr>
            <w:noProof/>
            <w:webHidden/>
          </w:rPr>
          <w:tab/>
        </w:r>
        <w:r>
          <w:rPr>
            <w:noProof/>
            <w:webHidden/>
          </w:rPr>
          <w:fldChar w:fldCharType="begin"/>
        </w:r>
        <w:r>
          <w:rPr>
            <w:noProof/>
            <w:webHidden/>
          </w:rPr>
          <w:instrText xml:space="preserve"> PAGEREF _Toc12261953 \h </w:instrText>
        </w:r>
        <w:r>
          <w:rPr>
            <w:noProof/>
            <w:webHidden/>
          </w:rPr>
        </w:r>
        <w:r>
          <w:rPr>
            <w:noProof/>
            <w:webHidden/>
          </w:rPr>
          <w:fldChar w:fldCharType="separate"/>
        </w:r>
        <w:r>
          <w:rPr>
            <w:noProof/>
            <w:webHidden/>
          </w:rPr>
          <w:t>677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54" w:history="1">
        <w:r w:rsidRPr="00CD0B56">
          <w:rPr>
            <w:rStyle w:val="Hyperlink"/>
            <w:noProof/>
          </w:rPr>
          <w:t>2.1.1886</w:t>
        </w:r>
        <w:r>
          <w:rPr>
            <w:rFonts w:asciiTheme="minorHAnsi" w:eastAsiaTheme="minorEastAsia" w:hAnsiTheme="minorHAnsi" w:cstheme="minorBidi"/>
            <w:noProof/>
            <w:sz w:val="22"/>
            <w:szCs w:val="22"/>
          </w:rPr>
          <w:tab/>
        </w:r>
        <w:r w:rsidRPr="00CD0B56">
          <w:rPr>
            <w:rStyle w:val="Hyperlink"/>
            <w:noProof/>
          </w:rPr>
          <w:t>Part 4 Section 19.5.2.2, textdata (VML Diagram Text)</w:t>
        </w:r>
        <w:r>
          <w:rPr>
            <w:noProof/>
            <w:webHidden/>
          </w:rPr>
          <w:tab/>
        </w:r>
        <w:r>
          <w:rPr>
            <w:noProof/>
            <w:webHidden/>
          </w:rPr>
          <w:fldChar w:fldCharType="begin"/>
        </w:r>
        <w:r>
          <w:rPr>
            <w:noProof/>
            <w:webHidden/>
          </w:rPr>
          <w:instrText xml:space="preserve"> PAGEREF _Toc12261954 \h </w:instrText>
        </w:r>
        <w:r>
          <w:rPr>
            <w:noProof/>
            <w:webHidden/>
          </w:rPr>
        </w:r>
        <w:r>
          <w:rPr>
            <w:noProof/>
            <w:webHidden/>
          </w:rPr>
          <w:fldChar w:fldCharType="separate"/>
        </w:r>
        <w:r>
          <w:rPr>
            <w:noProof/>
            <w:webHidden/>
          </w:rPr>
          <w:t>677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55" w:history="1">
        <w:r w:rsidRPr="00CD0B56">
          <w:rPr>
            <w:rStyle w:val="Hyperlink"/>
            <w:noProof/>
          </w:rPr>
          <w:t>2.1.1887</w:t>
        </w:r>
        <w:r>
          <w:rPr>
            <w:rFonts w:asciiTheme="minorHAnsi" w:eastAsiaTheme="minorEastAsia" w:hAnsiTheme="minorHAnsi" w:cstheme="minorBidi"/>
            <w:noProof/>
            <w:sz w:val="22"/>
            <w:szCs w:val="22"/>
          </w:rPr>
          <w:tab/>
        </w:r>
        <w:r w:rsidRPr="00CD0B56">
          <w:rPr>
            <w:rStyle w:val="Hyperlink"/>
            <w:noProof/>
          </w:rPr>
          <w:t>Part 4 Section 20.1.2.3, ST_ColorType (Color Type)</w:t>
        </w:r>
        <w:r>
          <w:rPr>
            <w:noProof/>
            <w:webHidden/>
          </w:rPr>
          <w:tab/>
        </w:r>
        <w:r>
          <w:rPr>
            <w:noProof/>
            <w:webHidden/>
          </w:rPr>
          <w:fldChar w:fldCharType="begin"/>
        </w:r>
        <w:r>
          <w:rPr>
            <w:noProof/>
            <w:webHidden/>
          </w:rPr>
          <w:instrText xml:space="preserve"> PAGEREF _Toc12261955 \h </w:instrText>
        </w:r>
        <w:r>
          <w:rPr>
            <w:noProof/>
            <w:webHidden/>
          </w:rPr>
        </w:r>
        <w:r>
          <w:rPr>
            <w:noProof/>
            <w:webHidden/>
          </w:rPr>
          <w:fldChar w:fldCharType="separate"/>
        </w:r>
        <w:r>
          <w:rPr>
            <w:noProof/>
            <w:webHidden/>
          </w:rPr>
          <w:t>678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56" w:history="1">
        <w:r w:rsidRPr="00CD0B56">
          <w:rPr>
            <w:rStyle w:val="Hyperlink"/>
            <w:noProof/>
          </w:rPr>
          <w:t>2.1.1888</w:t>
        </w:r>
        <w:r>
          <w:rPr>
            <w:rFonts w:asciiTheme="minorHAnsi" w:eastAsiaTheme="minorEastAsia" w:hAnsiTheme="minorHAnsi" w:cstheme="minorBidi"/>
            <w:noProof/>
            <w:sz w:val="22"/>
            <w:szCs w:val="22"/>
          </w:rPr>
          <w:tab/>
        </w:r>
        <w:r w:rsidRPr="00CD0B56">
          <w:rPr>
            <w:rStyle w:val="Hyperlink"/>
            <w:noProof/>
          </w:rPr>
          <w:t>Part 4 Section 20.1.2.6, ST_TrueFalseBlank (Boolean Value with Blank [False] State)</w:t>
        </w:r>
        <w:r>
          <w:rPr>
            <w:noProof/>
            <w:webHidden/>
          </w:rPr>
          <w:tab/>
        </w:r>
        <w:r>
          <w:rPr>
            <w:noProof/>
            <w:webHidden/>
          </w:rPr>
          <w:fldChar w:fldCharType="begin"/>
        </w:r>
        <w:r>
          <w:rPr>
            <w:noProof/>
            <w:webHidden/>
          </w:rPr>
          <w:instrText xml:space="preserve"> PAGEREF _Toc12261956 \h </w:instrText>
        </w:r>
        <w:r>
          <w:rPr>
            <w:noProof/>
            <w:webHidden/>
          </w:rPr>
        </w:r>
        <w:r>
          <w:rPr>
            <w:noProof/>
            <w:webHidden/>
          </w:rPr>
          <w:fldChar w:fldCharType="separate"/>
        </w:r>
        <w:r>
          <w:rPr>
            <w:noProof/>
            <w:webHidden/>
          </w:rPr>
          <w:t>683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57" w:history="1">
        <w:r w:rsidRPr="00CD0B56">
          <w:rPr>
            <w:rStyle w:val="Hyperlink"/>
            <w:noProof/>
          </w:rPr>
          <w:t>2.1.1889</w:t>
        </w:r>
        <w:r>
          <w:rPr>
            <w:rFonts w:asciiTheme="minorHAnsi" w:eastAsiaTheme="minorEastAsia" w:hAnsiTheme="minorHAnsi" w:cstheme="minorBidi"/>
            <w:noProof/>
            <w:sz w:val="22"/>
            <w:szCs w:val="22"/>
          </w:rPr>
          <w:tab/>
        </w:r>
        <w:r w:rsidRPr="00CD0B56">
          <w:rPr>
            <w:rStyle w:val="Hyperlink"/>
            <w:noProof/>
          </w:rPr>
          <w:t>Part 4 Section 20.1.9.2, ahPolar (PolarAdjustHandle)</w:t>
        </w:r>
        <w:r>
          <w:rPr>
            <w:noProof/>
            <w:webHidden/>
          </w:rPr>
          <w:tab/>
        </w:r>
        <w:r>
          <w:rPr>
            <w:noProof/>
            <w:webHidden/>
          </w:rPr>
          <w:fldChar w:fldCharType="begin"/>
        </w:r>
        <w:r>
          <w:rPr>
            <w:noProof/>
            <w:webHidden/>
          </w:rPr>
          <w:instrText xml:space="preserve"> PAGEREF _Toc12261957 \h </w:instrText>
        </w:r>
        <w:r>
          <w:rPr>
            <w:noProof/>
            <w:webHidden/>
          </w:rPr>
        </w:r>
        <w:r>
          <w:rPr>
            <w:noProof/>
            <w:webHidden/>
          </w:rPr>
          <w:fldChar w:fldCharType="separate"/>
        </w:r>
        <w:r>
          <w:rPr>
            <w:noProof/>
            <w:webHidden/>
          </w:rPr>
          <w:t>683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58" w:history="1">
        <w:r w:rsidRPr="00CD0B56">
          <w:rPr>
            <w:rStyle w:val="Hyperlink"/>
            <w:noProof/>
          </w:rPr>
          <w:t>2.1.1890</w:t>
        </w:r>
        <w:r>
          <w:rPr>
            <w:rFonts w:asciiTheme="minorHAnsi" w:eastAsiaTheme="minorEastAsia" w:hAnsiTheme="minorHAnsi" w:cstheme="minorBidi"/>
            <w:noProof/>
            <w:sz w:val="22"/>
            <w:szCs w:val="22"/>
          </w:rPr>
          <w:tab/>
        </w:r>
        <w:r w:rsidRPr="00CD0B56">
          <w:rPr>
            <w:rStyle w:val="Hyperlink"/>
            <w:noProof/>
          </w:rPr>
          <w:t>Part 4 Section 20.1.9.3, ahXY (XYAdjustHandle)</w:t>
        </w:r>
        <w:r>
          <w:rPr>
            <w:noProof/>
            <w:webHidden/>
          </w:rPr>
          <w:tab/>
        </w:r>
        <w:r>
          <w:rPr>
            <w:noProof/>
            <w:webHidden/>
          </w:rPr>
          <w:fldChar w:fldCharType="begin"/>
        </w:r>
        <w:r>
          <w:rPr>
            <w:noProof/>
            <w:webHidden/>
          </w:rPr>
          <w:instrText xml:space="preserve"> PAGEREF _Toc12261958 \h </w:instrText>
        </w:r>
        <w:r>
          <w:rPr>
            <w:noProof/>
            <w:webHidden/>
          </w:rPr>
        </w:r>
        <w:r>
          <w:rPr>
            <w:noProof/>
            <w:webHidden/>
          </w:rPr>
          <w:fldChar w:fldCharType="separate"/>
        </w:r>
        <w:r>
          <w:rPr>
            <w:noProof/>
            <w:webHidden/>
          </w:rPr>
          <w:t>683</w:t>
        </w:r>
        <w:r>
          <w:rPr>
            <w:noProof/>
            <w:webHidden/>
          </w:rPr>
          <w:fldChar w:fldCharType="end"/>
        </w:r>
      </w:hyperlink>
    </w:p>
    <w:p w:rsidR="00694C0F" w:rsidRDefault="00694C0F">
      <w:pPr>
        <w:pStyle w:val="TOC1"/>
        <w:rPr>
          <w:rFonts w:asciiTheme="minorHAnsi" w:eastAsiaTheme="minorEastAsia" w:hAnsiTheme="minorHAnsi" w:cstheme="minorBidi"/>
          <w:b w:val="0"/>
          <w:bCs w:val="0"/>
          <w:noProof/>
          <w:sz w:val="22"/>
          <w:szCs w:val="22"/>
        </w:rPr>
      </w:pPr>
      <w:hyperlink w:anchor="_Toc12261959" w:history="1">
        <w:r w:rsidRPr="00CD0B56">
          <w:rPr>
            <w:rStyle w:val="Hyperlink"/>
            <w:noProof/>
          </w:rPr>
          <w:t>3</w:t>
        </w:r>
        <w:r>
          <w:rPr>
            <w:rFonts w:asciiTheme="minorHAnsi" w:eastAsiaTheme="minorEastAsia" w:hAnsiTheme="minorHAnsi" w:cstheme="minorBidi"/>
            <w:b w:val="0"/>
            <w:bCs w:val="0"/>
            <w:noProof/>
            <w:sz w:val="22"/>
            <w:szCs w:val="22"/>
          </w:rPr>
          <w:tab/>
        </w:r>
        <w:r w:rsidRPr="00CD0B56">
          <w:rPr>
            <w:rStyle w:val="Hyperlink"/>
            <w:noProof/>
          </w:rPr>
          <w:t>Appendix A: Additional Information</w:t>
        </w:r>
        <w:r>
          <w:rPr>
            <w:noProof/>
            <w:webHidden/>
          </w:rPr>
          <w:tab/>
        </w:r>
        <w:r>
          <w:rPr>
            <w:noProof/>
            <w:webHidden/>
          </w:rPr>
          <w:fldChar w:fldCharType="begin"/>
        </w:r>
        <w:r>
          <w:rPr>
            <w:noProof/>
            <w:webHidden/>
          </w:rPr>
          <w:instrText xml:space="preserve"> PAGEREF _Toc12261959 \h </w:instrText>
        </w:r>
        <w:r>
          <w:rPr>
            <w:noProof/>
            <w:webHidden/>
          </w:rPr>
        </w:r>
        <w:r>
          <w:rPr>
            <w:noProof/>
            <w:webHidden/>
          </w:rPr>
          <w:fldChar w:fldCharType="separate"/>
        </w:r>
        <w:r>
          <w:rPr>
            <w:noProof/>
            <w:webHidden/>
          </w:rPr>
          <w:t>684</w:t>
        </w:r>
        <w:r>
          <w:rPr>
            <w:noProof/>
            <w:webHidden/>
          </w:rPr>
          <w:fldChar w:fldCharType="end"/>
        </w:r>
      </w:hyperlink>
    </w:p>
    <w:p w:rsidR="00694C0F" w:rsidRDefault="00694C0F">
      <w:pPr>
        <w:pStyle w:val="TOC2"/>
        <w:rPr>
          <w:rFonts w:asciiTheme="minorHAnsi" w:eastAsiaTheme="minorEastAsia" w:hAnsiTheme="minorHAnsi" w:cstheme="minorBidi"/>
          <w:noProof/>
          <w:sz w:val="22"/>
          <w:szCs w:val="22"/>
        </w:rPr>
      </w:pPr>
      <w:hyperlink w:anchor="_Toc12261960" w:history="1">
        <w:r w:rsidRPr="00CD0B56">
          <w:rPr>
            <w:rStyle w:val="Hyperlink"/>
            <w:noProof/>
          </w:rPr>
          <w:t>3.1</w:t>
        </w:r>
        <w:r>
          <w:rPr>
            <w:rFonts w:asciiTheme="minorHAnsi" w:eastAsiaTheme="minorEastAsia" w:hAnsiTheme="minorHAnsi" w:cstheme="minorBidi"/>
            <w:noProof/>
            <w:sz w:val="22"/>
            <w:szCs w:val="22"/>
          </w:rPr>
          <w:tab/>
        </w:r>
        <w:r w:rsidRPr="00CD0B56">
          <w:rPr>
            <w:rStyle w:val="Hyperlink"/>
            <w:noProof/>
          </w:rPr>
          <w:t>Word</w:t>
        </w:r>
        <w:r>
          <w:rPr>
            <w:noProof/>
            <w:webHidden/>
          </w:rPr>
          <w:tab/>
        </w:r>
        <w:r>
          <w:rPr>
            <w:noProof/>
            <w:webHidden/>
          </w:rPr>
          <w:fldChar w:fldCharType="begin"/>
        </w:r>
        <w:r>
          <w:rPr>
            <w:noProof/>
            <w:webHidden/>
          </w:rPr>
          <w:instrText xml:space="preserve"> PAGEREF _Toc12261960 \h </w:instrText>
        </w:r>
        <w:r>
          <w:rPr>
            <w:noProof/>
            <w:webHidden/>
          </w:rPr>
        </w:r>
        <w:r>
          <w:rPr>
            <w:noProof/>
            <w:webHidden/>
          </w:rPr>
          <w:fldChar w:fldCharType="separate"/>
        </w:r>
        <w:r>
          <w:rPr>
            <w:noProof/>
            <w:webHidden/>
          </w:rPr>
          <w:t>684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61" w:history="1">
        <w:r w:rsidRPr="00CD0B56">
          <w:rPr>
            <w:rStyle w:val="Hyperlink"/>
            <w:noProof/>
          </w:rPr>
          <w:t>3.1.1</w:t>
        </w:r>
        <w:r>
          <w:rPr>
            <w:rFonts w:asciiTheme="minorHAnsi" w:eastAsiaTheme="minorEastAsia" w:hAnsiTheme="minorHAnsi" w:cstheme="minorBidi"/>
            <w:noProof/>
            <w:sz w:val="22"/>
            <w:szCs w:val="22"/>
          </w:rPr>
          <w:tab/>
        </w:r>
        <w:r w:rsidRPr="00CD0B56">
          <w:rPr>
            <w:rStyle w:val="Hyperlink"/>
            <w:noProof/>
          </w:rPr>
          <w:t>Additional Parts</w:t>
        </w:r>
        <w:r>
          <w:rPr>
            <w:noProof/>
            <w:webHidden/>
          </w:rPr>
          <w:tab/>
        </w:r>
        <w:r>
          <w:rPr>
            <w:noProof/>
            <w:webHidden/>
          </w:rPr>
          <w:fldChar w:fldCharType="begin"/>
        </w:r>
        <w:r>
          <w:rPr>
            <w:noProof/>
            <w:webHidden/>
          </w:rPr>
          <w:instrText xml:space="preserve"> PAGEREF _Toc12261961 \h </w:instrText>
        </w:r>
        <w:r>
          <w:rPr>
            <w:noProof/>
            <w:webHidden/>
          </w:rPr>
        </w:r>
        <w:r>
          <w:rPr>
            <w:noProof/>
            <w:webHidden/>
          </w:rPr>
          <w:fldChar w:fldCharType="separate"/>
        </w:r>
        <w:r>
          <w:rPr>
            <w:noProof/>
            <w:webHidden/>
          </w:rPr>
          <w:t>684</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1962" w:history="1">
        <w:r w:rsidRPr="00CD0B56">
          <w:rPr>
            <w:rStyle w:val="Hyperlink"/>
            <w:noProof/>
          </w:rPr>
          <w:t>3.1.1.1</w:t>
        </w:r>
        <w:r>
          <w:rPr>
            <w:rFonts w:asciiTheme="minorHAnsi" w:eastAsiaTheme="minorEastAsia" w:hAnsiTheme="minorHAnsi" w:cstheme="minorBidi"/>
            <w:noProof/>
            <w:sz w:val="22"/>
            <w:szCs w:val="22"/>
          </w:rPr>
          <w:tab/>
        </w:r>
        <w:r w:rsidRPr="00CD0B56">
          <w:rPr>
            <w:rStyle w:val="Hyperlink"/>
            <w:noProof/>
          </w:rPr>
          <w:t>Word Attached Toolbars Part</w:t>
        </w:r>
        <w:r>
          <w:rPr>
            <w:noProof/>
            <w:webHidden/>
          </w:rPr>
          <w:tab/>
        </w:r>
        <w:r>
          <w:rPr>
            <w:noProof/>
            <w:webHidden/>
          </w:rPr>
          <w:fldChar w:fldCharType="begin"/>
        </w:r>
        <w:r>
          <w:rPr>
            <w:noProof/>
            <w:webHidden/>
          </w:rPr>
          <w:instrText xml:space="preserve"> PAGEREF _Toc12261962 \h </w:instrText>
        </w:r>
        <w:r>
          <w:rPr>
            <w:noProof/>
            <w:webHidden/>
          </w:rPr>
        </w:r>
        <w:r>
          <w:rPr>
            <w:noProof/>
            <w:webHidden/>
          </w:rPr>
          <w:fldChar w:fldCharType="separate"/>
        </w:r>
        <w:r>
          <w:rPr>
            <w:noProof/>
            <w:webHidden/>
          </w:rPr>
          <w:t>684</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1963" w:history="1">
        <w:r w:rsidRPr="00CD0B56">
          <w:rPr>
            <w:rStyle w:val="Hyperlink"/>
            <w:noProof/>
          </w:rPr>
          <w:t>3.1.1.2</w:t>
        </w:r>
        <w:r>
          <w:rPr>
            <w:rFonts w:asciiTheme="minorHAnsi" w:eastAsiaTheme="minorEastAsia" w:hAnsiTheme="minorHAnsi" w:cstheme="minorBidi"/>
            <w:noProof/>
            <w:sz w:val="22"/>
            <w:szCs w:val="22"/>
          </w:rPr>
          <w:tab/>
        </w:r>
        <w:r w:rsidRPr="00CD0B56">
          <w:rPr>
            <w:rStyle w:val="Hyperlink"/>
            <w:noProof/>
          </w:rPr>
          <w:t>Customizations Part</w:t>
        </w:r>
        <w:r>
          <w:rPr>
            <w:noProof/>
            <w:webHidden/>
          </w:rPr>
          <w:tab/>
        </w:r>
        <w:r>
          <w:rPr>
            <w:noProof/>
            <w:webHidden/>
          </w:rPr>
          <w:fldChar w:fldCharType="begin"/>
        </w:r>
        <w:r>
          <w:rPr>
            <w:noProof/>
            <w:webHidden/>
          </w:rPr>
          <w:instrText xml:space="preserve"> PAGEREF _Toc12261963 \h </w:instrText>
        </w:r>
        <w:r>
          <w:rPr>
            <w:noProof/>
            <w:webHidden/>
          </w:rPr>
        </w:r>
        <w:r>
          <w:rPr>
            <w:noProof/>
            <w:webHidden/>
          </w:rPr>
          <w:fldChar w:fldCharType="separate"/>
        </w:r>
        <w:r>
          <w:rPr>
            <w:noProof/>
            <w:webHidden/>
          </w:rPr>
          <w:t>684</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1964" w:history="1">
        <w:r w:rsidRPr="00CD0B56">
          <w:rPr>
            <w:rStyle w:val="Hyperlink"/>
            <w:noProof/>
          </w:rPr>
          <w:t>3.1.1.3</w:t>
        </w:r>
        <w:r>
          <w:rPr>
            <w:rFonts w:asciiTheme="minorHAnsi" w:eastAsiaTheme="minorEastAsia" w:hAnsiTheme="minorHAnsi" w:cstheme="minorBidi"/>
            <w:noProof/>
            <w:sz w:val="22"/>
            <w:szCs w:val="22"/>
          </w:rPr>
          <w:tab/>
        </w:r>
        <w:r w:rsidRPr="00CD0B56">
          <w:rPr>
            <w:rStyle w:val="Hyperlink"/>
            <w:noProof/>
          </w:rPr>
          <w:t>Mail Merge Recipient Data Part</w:t>
        </w:r>
        <w:r>
          <w:rPr>
            <w:noProof/>
            <w:webHidden/>
          </w:rPr>
          <w:tab/>
        </w:r>
        <w:r>
          <w:rPr>
            <w:noProof/>
            <w:webHidden/>
          </w:rPr>
          <w:fldChar w:fldCharType="begin"/>
        </w:r>
        <w:r>
          <w:rPr>
            <w:noProof/>
            <w:webHidden/>
          </w:rPr>
          <w:instrText xml:space="preserve"> PAGEREF _Toc12261964 \h </w:instrText>
        </w:r>
        <w:r>
          <w:rPr>
            <w:noProof/>
            <w:webHidden/>
          </w:rPr>
        </w:r>
        <w:r>
          <w:rPr>
            <w:noProof/>
            <w:webHidden/>
          </w:rPr>
          <w:fldChar w:fldCharType="separate"/>
        </w:r>
        <w:r>
          <w:rPr>
            <w:noProof/>
            <w:webHidden/>
          </w:rPr>
          <w:t>685</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65" w:history="1">
        <w:r w:rsidRPr="00CD0B56">
          <w:rPr>
            <w:rStyle w:val="Hyperlink"/>
            <w:noProof/>
          </w:rPr>
          <w:t>3.1.2</w:t>
        </w:r>
        <w:r>
          <w:rPr>
            <w:rFonts w:asciiTheme="minorHAnsi" w:eastAsiaTheme="minorEastAsia" w:hAnsiTheme="minorHAnsi" w:cstheme="minorBidi"/>
            <w:noProof/>
            <w:sz w:val="22"/>
            <w:szCs w:val="22"/>
          </w:rPr>
          <w:tab/>
        </w:r>
        <w:r w:rsidRPr="00CD0B56">
          <w:rPr>
            <w:rStyle w:val="Hyperlink"/>
            <w:noProof/>
          </w:rPr>
          <w:t>Word Schema</w:t>
        </w:r>
        <w:r>
          <w:rPr>
            <w:noProof/>
            <w:webHidden/>
          </w:rPr>
          <w:tab/>
        </w:r>
        <w:r>
          <w:rPr>
            <w:noProof/>
            <w:webHidden/>
          </w:rPr>
          <w:fldChar w:fldCharType="begin"/>
        </w:r>
        <w:r>
          <w:rPr>
            <w:noProof/>
            <w:webHidden/>
          </w:rPr>
          <w:instrText xml:space="preserve"> PAGEREF _Toc12261965 \h </w:instrText>
        </w:r>
        <w:r>
          <w:rPr>
            <w:noProof/>
            <w:webHidden/>
          </w:rPr>
        </w:r>
        <w:r>
          <w:rPr>
            <w:noProof/>
            <w:webHidden/>
          </w:rPr>
          <w:fldChar w:fldCharType="separate"/>
        </w:r>
        <w:r>
          <w:rPr>
            <w:noProof/>
            <w:webHidden/>
          </w:rPr>
          <w:t>687</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1966" w:history="1">
        <w:r w:rsidRPr="00CD0B56">
          <w:rPr>
            <w:rStyle w:val="Hyperlink"/>
            <w:noProof/>
          </w:rPr>
          <w:t>3.1.2.1</w:t>
        </w:r>
        <w:r>
          <w:rPr>
            <w:rFonts w:asciiTheme="minorHAnsi" w:eastAsiaTheme="minorEastAsia" w:hAnsiTheme="minorHAnsi" w:cstheme="minorBidi"/>
            <w:noProof/>
            <w:sz w:val="22"/>
            <w:szCs w:val="22"/>
          </w:rPr>
          <w:tab/>
        </w:r>
        <w:r w:rsidRPr="00CD0B56">
          <w:rPr>
            <w:rStyle w:val="Hyperlink"/>
            <w:noProof/>
          </w:rPr>
          <w:t>Keyboard and Toolbar Customizations</w:t>
        </w:r>
        <w:r>
          <w:rPr>
            <w:noProof/>
            <w:webHidden/>
          </w:rPr>
          <w:tab/>
        </w:r>
        <w:r>
          <w:rPr>
            <w:noProof/>
            <w:webHidden/>
          </w:rPr>
          <w:fldChar w:fldCharType="begin"/>
        </w:r>
        <w:r>
          <w:rPr>
            <w:noProof/>
            <w:webHidden/>
          </w:rPr>
          <w:instrText xml:space="preserve"> PAGEREF _Toc12261966 \h </w:instrText>
        </w:r>
        <w:r>
          <w:rPr>
            <w:noProof/>
            <w:webHidden/>
          </w:rPr>
        </w:r>
        <w:r>
          <w:rPr>
            <w:noProof/>
            <w:webHidden/>
          </w:rPr>
          <w:fldChar w:fldCharType="separate"/>
        </w:r>
        <w:r>
          <w:rPr>
            <w:noProof/>
            <w:webHidden/>
          </w:rPr>
          <w:t>687</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1967" w:history="1">
        <w:r w:rsidRPr="00CD0B56">
          <w:rPr>
            <w:rStyle w:val="Hyperlink"/>
            <w:noProof/>
          </w:rPr>
          <w:t>3.1.2.1.1</w:t>
        </w:r>
        <w:r>
          <w:rPr>
            <w:rFonts w:asciiTheme="minorHAnsi" w:eastAsiaTheme="minorEastAsia" w:hAnsiTheme="minorHAnsi" w:cstheme="minorBidi"/>
            <w:noProof/>
            <w:sz w:val="22"/>
            <w:szCs w:val="22"/>
          </w:rPr>
          <w:tab/>
        </w:r>
        <w:r w:rsidRPr="00CD0B56">
          <w:rPr>
            <w:rStyle w:val="Hyperlink"/>
            <w:noProof/>
          </w:rPr>
          <w:t>Elements</w:t>
        </w:r>
        <w:r>
          <w:rPr>
            <w:noProof/>
            <w:webHidden/>
          </w:rPr>
          <w:tab/>
        </w:r>
        <w:r>
          <w:rPr>
            <w:noProof/>
            <w:webHidden/>
          </w:rPr>
          <w:fldChar w:fldCharType="begin"/>
        </w:r>
        <w:r>
          <w:rPr>
            <w:noProof/>
            <w:webHidden/>
          </w:rPr>
          <w:instrText xml:space="preserve"> PAGEREF _Toc12261967 \h </w:instrText>
        </w:r>
        <w:r>
          <w:rPr>
            <w:noProof/>
            <w:webHidden/>
          </w:rPr>
        </w:r>
        <w:r>
          <w:rPr>
            <w:noProof/>
            <w:webHidden/>
          </w:rPr>
          <w:fldChar w:fldCharType="separate"/>
        </w:r>
        <w:r>
          <w:rPr>
            <w:noProof/>
            <w:webHidden/>
          </w:rPr>
          <w:t>687</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1968" w:history="1">
        <w:r w:rsidRPr="00CD0B56">
          <w:rPr>
            <w:rStyle w:val="Hyperlink"/>
            <w:noProof/>
          </w:rPr>
          <w:t>3.1.2.1.1.1</w:t>
        </w:r>
        <w:r>
          <w:rPr>
            <w:rFonts w:asciiTheme="minorHAnsi" w:eastAsiaTheme="minorEastAsia" w:hAnsiTheme="minorHAnsi" w:cstheme="minorBidi"/>
            <w:noProof/>
            <w:sz w:val="22"/>
            <w:szCs w:val="22"/>
          </w:rPr>
          <w:tab/>
        </w:r>
        <w:r w:rsidRPr="00CD0B56">
          <w:rPr>
            <w:rStyle w:val="Hyperlink"/>
            <w:noProof/>
          </w:rPr>
          <w:t>acd (Allocated Command)</w:t>
        </w:r>
        <w:r>
          <w:rPr>
            <w:noProof/>
            <w:webHidden/>
          </w:rPr>
          <w:tab/>
        </w:r>
        <w:r>
          <w:rPr>
            <w:noProof/>
            <w:webHidden/>
          </w:rPr>
          <w:fldChar w:fldCharType="begin"/>
        </w:r>
        <w:r>
          <w:rPr>
            <w:noProof/>
            <w:webHidden/>
          </w:rPr>
          <w:instrText xml:space="preserve"> PAGEREF _Toc12261968 \h </w:instrText>
        </w:r>
        <w:r>
          <w:rPr>
            <w:noProof/>
            <w:webHidden/>
          </w:rPr>
        </w:r>
        <w:r>
          <w:rPr>
            <w:noProof/>
            <w:webHidden/>
          </w:rPr>
          <w:fldChar w:fldCharType="separate"/>
        </w:r>
        <w:r>
          <w:rPr>
            <w:noProof/>
            <w:webHidden/>
          </w:rPr>
          <w:t>687</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1969" w:history="1">
        <w:r w:rsidRPr="00CD0B56">
          <w:rPr>
            <w:rStyle w:val="Hyperlink"/>
            <w:noProof/>
          </w:rPr>
          <w:t>3.1.2.1.1.2</w:t>
        </w:r>
        <w:r>
          <w:rPr>
            <w:rFonts w:asciiTheme="minorHAnsi" w:eastAsiaTheme="minorEastAsia" w:hAnsiTheme="minorHAnsi" w:cstheme="minorBidi"/>
            <w:noProof/>
            <w:sz w:val="22"/>
            <w:szCs w:val="22"/>
          </w:rPr>
          <w:tab/>
        </w:r>
        <w:r w:rsidRPr="00CD0B56">
          <w:rPr>
            <w:rStyle w:val="Hyperlink"/>
            <w:noProof/>
          </w:rPr>
          <w:t>acd (Allocated Command Keyboard Customization Action)</w:t>
        </w:r>
        <w:r>
          <w:rPr>
            <w:noProof/>
            <w:webHidden/>
          </w:rPr>
          <w:tab/>
        </w:r>
        <w:r>
          <w:rPr>
            <w:noProof/>
            <w:webHidden/>
          </w:rPr>
          <w:fldChar w:fldCharType="begin"/>
        </w:r>
        <w:r>
          <w:rPr>
            <w:noProof/>
            <w:webHidden/>
          </w:rPr>
          <w:instrText xml:space="preserve"> PAGEREF _Toc12261969 \h </w:instrText>
        </w:r>
        <w:r>
          <w:rPr>
            <w:noProof/>
            <w:webHidden/>
          </w:rPr>
        </w:r>
        <w:r>
          <w:rPr>
            <w:noProof/>
            <w:webHidden/>
          </w:rPr>
          <w:fldChar w:fldCharType="separate"/>
        </w:r>
        <w:r>
          <w:rPr>
            <w:noProof/>
            <w:webHidden/>
          </w:rPr>
          <w:t>688</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1970" w:history="1">
        <w:r w:rsidRPr="00CD0B56">
          <w:rPr>
            <w:rStyle w:val="Hyperlink"/>
            <w:noProof/>
          </w:rPr>
          <w:t>3.1.2.1.1.3</w:t>
        </w:r>
        <w:r>
          <w:rPr>
            <w:rFonts w:asciiTheme="minorHAnsi" w:eastAsiaTheme="minorEastAsia" w:hAnsiTheme="minorHAnsi" w:cstheme="minorBidi"/>
            <w:noProof/>
            <w:sz w:val="22"/>
            <w:szCs w:val="22"/>
          </w:rPr>
          <w:tab/>
        </w:r>
        <w:r w:rsidRPr="00CD0B56">
          <w:rPr>
            <w:rStyle w:val="Hyperlink"/>
            <w:noProof/>
          </w:rPr>
          <w:t>acdEntry (Allocated Command Manifest Entry)</w:t>
        </w:r>
        <w:r>
          <w:rPr>
            <w:noProof/>
            <w:webHidden/>
          </w:rPr>
          <w:tab/>
        </w:r>
        <w:r>
          <w:rPr>
            <w:noProof/>
            <w:webHidden/>
          </w:rPr>
          <w:fldChar w:fldCharType="begin"/>
        </w:r>
        <w:r>
          <w:rPr>
            <w:noProof/>
            <w:webHidden/>
          </w:rPr>
          <w:instrText xml:space="preserve"> PAGEREF _Toc12261970 \h </w:instrText>
        </w:r>
        <w:r>
          <w:rPr>
            <w:noProof/>
            <w:webHidden/>
          </w:rPr>
        </w:r>
        <w:r>
          <w:rPr>
            <w:noProof/>
            <w:webHidden/>
          </w:rPr>
          <w:fldChar w:fldCharType="separate"/>
        </w:r>
        <w:r>
          <w:rPr>
            <w:noProof/>
            <w:webHidden/>
          </w:rPr>
          <w:t>689</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1971" w:history="1">
        <w:r w:rsidRPr="00CD0B56">
          <w:rPr>
            <w:rStyle w:val="Hyperlink"/>
            <w:noProof/>
          </w:rPr>
          <w:t>3.1.2.1.1.4</w:t>
        </w:r>
        <w:r>
          <w:rPr>
            <w:rFonts w:asciiTheme="minorHAnsi" w:eastAsiaTheme="minorEastAsia" w:hAnsiTheme="minorHAnsi" w:cstheme="minorBidi"/>
            <w:noProof/>
            <w:sz w:val="22"/>
            <w:szCs w:val="22"/>
          </w:rPr>
          <w:tab/>
        </w:r>
        <w:r w:rsidRPr="00CD0B56">
          <w:rPr>
            <w:rStyle w:val="Hyperlink"/>
            <w:noProof/>
          </w:rPr>
          <w:t>acdManifest (Allocated Command Manifest)</w:t>
        </w:r>
        <w:r>
          <w:rPr>
            <w:noProof/>
            <w:webHidden/>
          </w:rPr>
          <w:tab/>
        </w:r>
        <w:r>
          <w:rPr>
            <w:noProof/>
            <w:webHidden/>
          </w:rPr>
          <w:fldChar w:fldCharType="begin"/>
        </w:r>
        <w:r>
          <w:rPr>
            <w:noProof/>
            <w:webHidden/>
          </w:rPr>
          <w:instrText xml:space="preserve"> PAGEREF _Toc12261971 \h </w:instrText>
        </w:r>
        <w:r>
          <w:rPr>
            <w:noProof/>
            <w:webHidden/>
          </w:rPr>
        </w:r>
        <w:r>
          <w:rPr>
            <w:noProof/>
            <w:webHidden/>
          </w:rPr>
          <w:fldChar w:fldCharType="separate"/>
        </w:r>
        <w:r>
          <w:rPr>
            <w:noProof/>
            <w:webHidden/>
          </w:rPr>
          <w:t>689</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1972" w:history="1">
        <w:r w:rsidRPr="00CD0B56">
          <w:rPr>
            <w:rStyle w:val="Hyperlink"/>
            <w:noProof/>
          </w:rPr>
          <w:t>3.1.2.1.1.5</w:t>
        </w:r>
        <w:r>
          <w:rPr>
            <w:rFonts w:asciiTheme="minorHAnsi" w:eastAsiaTheme="minorEastAsia" w:hAnsiTheme="minorHAnsi" w:cstheme="minorBidi"/>
            <w:noProof/>
            <w:sz w:val="22"/>
            <w:szCs w:val="22"/>
          </w:rPr>
          <w:tab/>
        </w:r>
        <w:r w:rsidRPr="00CD0B56">
          <w:rPr>
            <w:rStyle w:val="Hyperlink"/>
            <w:noProof/>
          </w:rPr>
          <w:t>acds (Allocated Commands)</w:t>
        </w:r>
        <w:r>
          <w:rPr>
            <w:noProof/>
            <w:webHidden/>
          </w:rPr>
          <w:tab/>
        </w:r>
        <w:r>
          <w:rPr>
            <w:noProof/>
            <w:webHidden/>
          </w:rPr>
          <w:fldChar w:fldCharType="begin"/>
        </w:r>
        <w:r>
          <w:rPr>
            <w:noProof/>
            <w:webHidden/>
          </w:rPr>
          <w:instrText xml:space="preserve"> PAGEREF _Toc12261972 \h </w:instrText>
        </w:r>
        <w:r>
          <w:rPr>
            <w:noProof/>
            <w:webHidden/>
          </w:rPr>
        </w:r>
        <w:r>
          <w:rPr>
            <w:noProof/>
            <w:webHidden/>
          </w:rPr>
          <w:fldChar w:fldCharType="separate"/>
        </w:r>
        <w:r>
          <w:rPr>
            <w:noProof/>
            <w:webHidden/>
          </w:rPr>
          <w:t>690</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1973" w:history="1">
        <w:r w:rsidRPr="00CD0B56">
          <w:rPr>
            <w:rStyle w:val="Hyperlink"/>
            <w:noProof/>
          </w:rPr>
          <w:t>3.1.2.1.1.6</w:t>
        </w:r>
        <w:r>
          <w:rPr>
            <w:rFonts w:asciiTheme="minorHAnsi" w:eastAsiaTheme="minorEastAsia" w:hAnsiTheme="minorHAnsi" w:cstheme="minorBidi"/>
            <w:noProof/>
            <w:sz w:val="22"/>
            <w:szCs w:val="22"/>
          </w:rPr>
          <w:tab/>
        </w:r>
        <w:r w:rsidRPr="00CD0B56">
          <w:rPr>
            <w:rStyle w:val="Hyperlink"/>
            <w:noProof/>
          </w:rPr>
          <w:t>active (Record Is Included in Mail Merge)</w:t>
        </w:r>
        <w:r>
          <w:rPr>
            <w:noProof/>
            <w:webHidden/>
          </w:rPr>
          <w:tab/>
        </w:r>
        <w:r>
          <w:rPr>
            <w:noProof/>
            <w:webHidden/>
          </w:rPr>
          <w:fldChar w:fldCharType="begin"/>
        </w:r>
        <w:r>
          <w:rPr>
            <w:noProof/>
            <w:webHidden/>
          </w:rPr>
          <w:instrText xml:space="preserve"> PAGEREF _Toc12261973 \h </w:instrText>
        </w:r>
        <w:r>
          <w:rPr>
            <w:noProof/>
            <w:webHidden/>
          </w:rPr>
        </w:r>
        <w:r>
          <w:rPr>
            <w:noProof/>
            <w:webHidden/>
          </w:rPr>
          <w:fldChar w:fldCharType="separate"/>
        </w:r>
        <w:r>
          <w:rPr>
            <w:noProof/>
            <w:webHidden/>
          </w:rPr>
          <w:t>691</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1974" w:history="1">
        <w:r w:rsidRPr="00CD0B56">
          <w:rPr>
            <w:rStyle w:val="Hyperlink"/>
            <w:noProof/>
          </w:rPr>
          <w:t>3.1.2.1.1.7</w:t>
        </w:r>
        <w:r>
          <w:rPr>
            <w:rFonts w:asciiTheme="minorHAnsi" w:eastAsiaTheme="minorEastAsia" w:hAnsiTheme="minorHAnsi" w:cstheme="minorBidi"/>
            <w:noProof/>
            <w:sz w:val="22"/>
            <w:szCs w:val="22"/>
          </w:rPr>
          <w:tab/>
        </w:r>
        <w:r w:rsidRPr="00CD0B56">
          <w:rPr>
            <w:rStyle w:val="Hyperlink"/>
            <w:noProof/>
          </w:rPr>
          <w:t>fci (Fixed Command Keyboard Customization Action)</w:t>
        </w:r>
        <w:r>
          <w:rPr>
            <w:noProof/>
            <w:webHidden/>
          </w:rPr>
          <w:tab/>
        </w:r>
        <w:r>
          <w:rPr>
            <w:noProof/>
            <w:webHidden/>
          </w:rPr>
          <w:fldChar w:fldCharType="begin"/>
        </w:r>
        <w:r>
          <w:rPr>
            <w:noProof/>
            <w:webHidden/>
          </w:rPr>
          <w:instrText xml:space="preserve"> PAGEREF _Toc12261974 \h </w:instrText>
        </w:r>
        <w:r>
          <w:rPr>
            <w:noProof/>
            <w:webHidden/>
          </w:rPr>
        </w:r>
        <w:r>
          <w:rPr>
            <w:noProof/>
            <w:webHidden/>
          </w:rPr>
          <w:fldChar w:fldCharType="separate"/>
        </w:r>
        <w:r>
          <w:rPr>
            <w:noProof/>
            <w:webHidden/>
          </w:rPr>
          <w:t>692</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1975" w:history="1">
        <w:r w:rsidRPr="00CD0B56">
          <w:rPr>
            <w:rStyle w:val="Hyperlink"/>
            <w:noProof/>
          </w:rPr>
          <w:t>3.1.2.1.1.8</w:t>
        </w:r>
        <w:r>
          <w:rPr>
            <w:rFonts w:asciiTheme="minorHAnsi" w:eastAsiaTheme="minorEastAsia" w:hAnsiTheme="minorHAnsi" w:cstheme="minorBidi"/>
            <w:noProof/>
            <w:sz w:val="22"/>
            <w:szCs w:val="22"/>
          </w:rPr>
          <w:tab/>
        </w:r>
        <w:r w:rsidRPr="00CD0B56">
          <w:rPr>
            <w:rStyle w:val="Hyperlink"/>
            <w:noProof/>
          </w:rPr>
          <w:t>keymap (Key Map Entry)</w:t>
        </w:r>
        <w:r>
          <w:rPr>
            <w:noProof/>
            <w:webHidden/>
          </w:rPr>
          <w:tab/>
        </w:r>
        <w:r>
          <w:rPr>
            <w:noProof/>
            <w:webHidden/>
          </w:rPr>
          <w:fldChar w:fldCharType="begin"/>
        </w:r>
        <w:r>
          <w:rPr>
            <w:noProof/>
            <w:webHidden/>
          </w:rPr>
          <w:instrText xml:space="preserve"> PAGEREF _Toc12261975 \h </w:instrText>
        </w:r>
        <w:r>
          <w:rPr>
            <w:noProof/>
            <w:webHidden/>
          </w:rPr>
        </w:r>
        <w:r>
          <w:rPr>
            <w:noProof/>
            <w:webHidden/>
          </w:rPr>
          <w:fldChar w:fldCharType="separate"/>
        </w:r>
        <w:r>
          <w:rPr>
            <w:noProof/>
            <w:webHidden/>
          </w:rPr>
          <w:t>693</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1976" w:history="1">
        <w:r w:rsidRPr="00CD0B56">
          <w:rPr>
            <w:rStyle w:val="Hyperlink"/>
            <w:noProof/>
          </w:rPr>
          <w:t>3.1.2.1.1.9</w:t>
        </w:r>
        <w:r>
          <w:rPr>
            <w:rFonts w:asciiTheme="minorHAnsi" w:eastAsiaTheme="minorEastAsia" w:hAnsiTheme="minorHAnsi" w:cstheme="minorBidi"/>
            <w:noProof/>
            <w:sz w:val="22"/>
            <w:szCs w:val="22"/>
          </w:rPr>
          <w:tab/>
        </w:r>
        <w:r w:rsidRPr="00CD0B56">
          <w:rPr>
            <w:rStyle w:val="Hyperlink"/>
            <w:noProof/>
          </w:rPr>
          <w:t>keymaps (Key Map Customizations)</w:t>
        </w:r>
        <w:r>
          <w:rPr>
            <w:noProof/>
            <w:webHidden/>
          </w:rPr>
          <w:tab/>
        </w:r>
        <w:r>
          <w:rPr>
            <w:noProof/>
            <w:webHidden/>
          </w:rPr>
          <w:fldChar w:fldCharType="begin"/>
        </w:r>
        <w:r>
          <w:rPr>
            <w:noProof/>
            <w:webHidden/>
          </w:rPr>
          <w:instrText xml:space="preserve"> PAGEREF _Toc12261976 \h </w:instrText>
        </w:r>
        <w:r>
          <w:rPr>
            <w:noProof/>
            <w:webHidden/>
          </w:rPr>
        </w:r>
        <w:r>
          <w:rPr>
            <w:noProof/>
            <w:webHidden/>
          </w:rPr>
          <w:fldChar w:fldCharType="separate"/>
        </w:r>
        <w:r>
          <w:rPr>
            <w:noProof/>
            <w:webHidden/>
          </w:rPr>
          <w:t>696</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1977" w:history="1">
        <w:r w:rsidRPr="00CD0B56">
          <w:rPr>
            <w:rStyle w:val="Hyperlink"/>
            <w:noProof/>
          </w:rPr>
          <w:t>3.1.2.1.1.10</w:t>
        </w:r>
        <w:r>
          <w:rPr>
            <w:rFonts w:asciiTheme="minorHAnsi" w:eastAsiaTheme="minorEastAsia" w:hAnsiTheme="minorHAnsi" w:cstheme="minorBidi"/>
            <w:noProof/>
            <w:sz w:val="22"/>
            <w:szCs w:val="22"/>
          </w:rPr>
          <w:tab/>
        </w:r>
        <w:r w:rsidRPr="00CD0B56">
          <w:rPr>
            <w:rStyle w:val="Hyperlink"/>
            <w:noProof/>
          </w:rPr>
          <w:t>keymapsBad (Key Map Customizations for Mismatched Keyboards)</w:t>
        </w:r>
        <w:r>
          <w:rPr>
            <w:noProof/>
            <w:webHidden/>
          </w:rPr>
          <w:tab/>
        </w:r>
        <w:r>
          <w:rPr>
            <w:noProof/>
            <w:webHidden/>
          </w:rPr>
          <w:fldChar w:fldCharType="begin"/>
        </w:r>
        <w:r>
          <w:rPr>
            <w:noProof/>
            <w:webHidden/>
          </w:rPr>
          <w:instrText xml:space="preserve"> PAGEREF _Toc12261977 \h </w:instrText>
        </w:r>
        <w:r>
          <w:rPr>
            <w:noProof/>
            <w:webHidden/>
          </w:rPr>
        </w:r>
        <w:r>
          <w:rPr>
            <w:noProof/>
            <w:webHidden/>
          </w:rPr>
          <w:fldChar w:fldCharType="separate"/>
        </w:r>
        <w:r>
          <w:rPr>
            <w:noProof/>
            <w:webHidden/>
          </w:rPr>
          <w:t>697</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1978" w:history="1">
        <w:r w:rsidRPr="00CD0B56">
          <w:rPr>
            <w:rStyle w:val="Hyperlink"/>
            <w:noProof/>
          </w:rPr>
          <w:t>3.1.2.1.1.11</w:t>
        </w:r>
        <w:r>
          <w:rPr>
            <w:rFonts w:asciiTheme="minorHAnsi" w:eastAsiaTheme="minorEastAsia" w:hAnsiTheme="minorHAnsi" w:cstheme="minorBidi"/>
            <w:noProof/>
            <w:sz w:val="22"/>
            <w:szCs w:val="22"/>
          </w:rPr>
          <w:tab/>
        </w:r>
        <w:r w:rsidRPr="00CD0B56">
          <w:rPr>
            <w:rStyle w:val="Hyperlink"/>
            <w:noProof/>
          </w:rPr>
          <w:t>macro (Macro Keyboard Customization Action)</w:t>
        </w:r>
        <w:r>
          <w:rPr>
            <w:noProof/>
            <w:webHidden/>
          </w:rPr>
          <w:tab/>
        </w:r>
        <w:r>
          <w:rPr>
            <w:noProof/>
            <w:webHidden/>
          </w:rPr>
          <w:fldChar w:fldCharType="begin"/>
        </w:r>
        <w:r>
          <w:rPr>
            <w:noProof/>
            <w:webHidden/>
          </w:rPr>
          <w:instrText xml:space="preserve"> PAGEREF _Toc12261978 \h </w:instrText>
        </w:r>
        <w:r>
          <w:rPr>
            <w:noProof/>
            <w:webHidden/>
          </w:rPr>
        </w:r>
        <w:r>
          <w:rPr>
            <w:noProof/>
            <w:webHidden/>
          </w:rPr>
          <w:fldChar w:fldCharType="separate"/>
        </w:r>
        <w:r>
          <w:rPr>
            <w:noProof/>
            <w:webHidden/>
          </w:rPr>
          <w:t>698</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1979" w:history="1">
        <w:r w:rsidRPr="00CD0B56">
          <w:rPr>
            <w:rStyle w:val="Hyperlink"/>
            <w:noProof/>
          </w:rPr>
          <w:t>3.1.2.1.1.12</w:t>
        </w:r>
        <w:r>
          <w:rPr>
            <w:rFonts w:asciiTheme="minorHAnsi" w:eastAsiaTheme="minorEastAsia" w:hAnsiTheme="minorHAnsi" w:cstheme="minorBidi"/>
            <w:noProof/>
            <w:sz w:val="22"/>
            <w:szCs w:val="22"/>
          </w:rPr>
          <w:tab/>
        </w:r>
        <w:r w:rsidRPr="00CD0B56">
          <w:rPr>
            <w:rStyle w:val="Hyperlink"/>
            <w:noProof/>
          </w:rPr>
          <w:t>tcg (Keyboard and Toolbar Customizations)</w:t>
        </w:r>
        <w:r>
          <w:rPr>
            <w:noProof/>
            <w:webHidden/>
          </w:rPr>
          <w:tab/>
        </w:r>
        <w:r>
          <w:rPr>
            <w:noProof/>
            <w:webHidden/>
          </w:rPr>
          <w:fldChar w:fldCharType="begin"/>
        </w:r>
        <w:r>
          <w:rPr>
            <w:noProof/>
            <w:webHidden/>
          </w:rPr>
          <w:instrText xml:space="preserve"> PAGEREF _Toc12261979 \h </w:instrText>
        </w:r>
        <w:r>
          <w:rPr>
            <w:noProof/>
            <w:webHidden/>
          </w:rPr>
        </w:r>
        <w:r>
          <w:rPr>
            <w:noProof/>
            <w:webHidden/>
          </w:rPr>
          <w:fldChar w:fldCharType="separate"/>
        </w:r>
        <w:r>
          <w:rPr>
            <w:noProof/>
            <w:webHidden/>
          </w:rPr>
          <w:t>698</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1980" w:history="1">
        <w:r w:rsidRPr="00CD0B56">
          <w:rPr>
            <w:rStyle w:val="Hyperlink"/>
            <w:noProof/>
          </w:rPr>
          <w:t>3.1.2.1.1.13</w:t>
        </w:r>
        <w:r>
          <w:rPr>
            <w:rFonts w:asciiTheme="minorHAnsi" w:eastAsiaTheme="minorEastAsia" w:hAnsiTheme="minorHAnsi" w:cstheme="minorBidi"/>
            <w:noProof/>
            <w:sz w:val="22"/>
            <w:szCs w:val="22"/>
          </w:rPr>
          <w:tab/>
        </w:r>
        <w:r w:rsidRPr="00CD0B56">
          <w:rPr>
            <w:rStyle w:val="Hyperlink"/>
            <w:noProof/>
          </w:rPr>
          <w:t>toolbarData (Toolbar data)</w:t>
        </w:r>
        <w:r>
          <w:rPr>
            <w:noProof/>
            <w:webHidden/>
          </w:rPr>
          <w:tab/>
        </w:r>
        <w:r>
          <w:rPr>
            <w:noProof/>
            <w:webHidden/>
          </w:rPr>
          <w:fldChar w:fldCharType="begin"/>
        </w:r>
        <w:r>
          <w:rPr>
            <w:noProof/>
            <w:webHidden/>
          </w:rPr>
          <w:instrText xml:space="preserve"> PAGEREF _Toc12261980 \h </w:instrText>
        </w:r>
        <w:r>
          <w:rPr>
            <w:noProof/>
            <w:webHidden/>
          </w:rPr>
        </w:r>
        <w:r>
          <w:rPr>
            <w:noProof/>
            <w:webHidden/>
          </w:rPr>
          <w:fldChar w:fldCharType="separate"/>
        </w:r>
        <w:r>
          <w:rPr>
            <w:noProof/>
            <w:webHidden/>
          </w:rPr>
          <w:t>699</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1981" w:history="1">
        <w:r w:rsidRPr="00CD0B56">
          <w:rPr>
            <w:rStyle w:val="Hyperlink"/>
            <w:noProof/>
          </w:rPr>
          <w:t>3.1.2.1.1.14</w:t>
        </w:r>
        <w:r>
          <w:rPr>
            <w:rFonts w:asciiTheme="minorHAnsi" w:eastAsiaTheme="minorEastAsia" w:hAnsiTheme="minorHAnsi" w:cstheme="minorBidi"/>
            <w:noProof/>
            <w:sz w:val="22"/>
            <w:szCs w:val="22"/>
          </w:rPr>
          <w:tab/>
        </w:r>
        <w:r w:rsidRPr="00CD0B56">
          <w:rPr>
            <w:rStyle w:val="Hyperlink"/>
            <w:noProof/>
          </w:rPr>
          <w:t>toolbars (Legacy Toolbar Customizations)</w:t>
        </w:r>
        <w:r>
          <w:rPr>
            <w:noProof/>
            <w:webHidden/>
          </w:rPr>
          <w:tab/>
        </w:r>
        <w:r>
          <w:rPr>
            <w:noProof/>
            <w:webHidden/>
          </w:rPr>
          <w:fldChar w:fldCharType="begin"/>
        </w:r>
        <w:r>
          <w:rPr>
            <w:noProof/>
            <w:webHidden/>
          </w:rPr>
          <w:instrText xml:space="preserve"> PAGEREF _Toc12261981 \h </w:instrText>
        </w:r>
        <w:r>
          <w:rPr>
            <w:noProof/>
            <w:webHidden/>
          </w:rPr>
        </w:r>
        <w:r>
          <w:rPr>
            <w:noProof/>
            <w:webHidden/>
          </w:rPr>
          <w:fldChar w:fldCharType="separate"/>
        </w:r>
        <w:r>
          <w:rPr>
            <w:noProof/>
            <w:webHidden/>
          </w:rPr>
          <w:t>700</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1982" w:history="1">
        <w:r w:rsidRPr="00CD0B56">
          <w:rPr>
            <w:rStyle w:val="Hyperlink"/>
            <w:noProof/>
          </w:rPr>
          <w:t>3.1.2.1.1.15</w:t>
        </w:r>
        <w:r>
          <w:rPr>
            <w:rFonts w:asciiTheme="minorHAnsi" w:eastAsiaTheme="minorEastAsia" w:hAnsiTheme="minorHAnsi" w:cstheme="minorBidi"/>
            <w:noProof/>
            <w:sz w:val="22"/>
            <w:szCs w:val="22"/>
          </w:rPr>
          <w:tab/>
        </w:r>
        <w:r w:rsidRPr="00CD0B56">
          <w:rPr>
            <w:rStyle w:val="Hyperlink"/>
            <w:noProof/>
          </w:rPr>
          <w:t>wch (Character Insertion Keyboard Customization Action)</w:t>
        </w:r>
        <w:r>
          <w:rPr>
            <w:noProof/>
            <w:webHidden/>
          </w:rPr>
          <w:tab/>
        </w:r>
        <w:r>
          <w:rPr>
            <w:noProof/>
            <w:webHidden/>
          </w:rPr>
          <w:fldChar w:fldCharType="begin"/>
        </w:r>
        <w:r>
          <w:rPr>
            <w:noProof/>
            <w:webHidden/>
          </w:rPr>
          <w:instrText xml:space="preserve"> PAGEREF _Toc12261982 \h </w:instrText>
        </w:r>
        <w:r>
          <w:rPr>
            <w:noProof/>
            <w:webHidden/>
          </w:rPr>
        </w:r>
        <w:r>
          <w:rPr>
            <w:noProof/>
            <w:webHidden/>
          </w:rPr>
          <w:fldChar w:fldCharType="separate"/>
        </w:r>
        <w:r>
          <w:rPr>
            <w:noProof/>
            <w:webHidden/>
          </w:rPr>
          <w:t>700</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1983" w:history="1">
        <w:r w:rsidRPr="00CD0B56">
          <w:rPr>
            <w:rStyle w:val="Hyperlink"/>
            <w:noProof/>
          </w:rPr>
          <w:t>3.1.2.1.1.16</w:t>
        </w:r>
        <w:r>
          <w:rPr>
            <w:rFonts w:asciiTheme="minorHAnsi" w:eastAsiaTheme="minorEastAsia" w:hAnsiTheme="minorHAnsi" w:cstheme="minorBidi"/>
            <w:noProof/>
            <w:sz w:val="22"/>
            <w:szCs w:val="22"/>
          </w:rPr>
          <w:tab/>
        </w:r>
        <w:r w:rsidRPr="00CD0B56">
          <w:rPr>
            <w:rStyle w:val="Hyperlink"/>
            <w:noProof/>
          </w:rPr>
          <w:t>wll (WLL Macro Keyboard Customization Action)</w:t>
        </w:r>
        <w:r>
          <w:rPr>
            <w:noProof/>
            <w:webHidden/>
          </w:rPr>
          <w:tab/>
        </w:r>
        <w:r>
          <w:rPr>
            <w:noProof/>
            <w:webHidden/>
          </w:rPr>
          <w:fldChar w:fldCharType="begin"/>
        </w:r>
        <w:r>
          <w:rPr>
            <w:noProof/>
            <w:webHidden/>
          </w:rPr>
          <w:instrText xml:space="preserve"> PAGEREF _Toc12261983 \h </w:instrText>
        </w:r>
        <w:r>
          <w:rPr>
            <w:noProof/>
            <w:webHidden/>
          </w:rPr>
        </w:r>
        <w:r>
          <w:rPr>
            <w:noProof/>
            <w:webHidden/>
          </w:rPr>
          <w:fldChar w:fldCharType="separate"/>
        </w:r>
        <w:r>
          <w:rPr>
            <w:noProof/>
            <w:webHidden/>
          </w:rPr>
          <w:t>701</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1984" w:history="1">
        <w:r w:rsidRPr="00CD0B56">
          <w:rPr>
            <w:rStyle w:val="Hyperlink"/>
            <w:noProof/>
          </w:rPr>
          <w:t>3.1.2.1.2</w:t>
        </w:r>
        <w:r>
          <w:rPr>
            <w:rFonts w:asciiTheme="minorHAnsi" w:eastAsiaTheme="minorEastAsia" w:hAnsiTheme="minorHAnsi" w:cstheme="minorBidi"/>
            <w:noProof/>
            <w:sz w:val="22"/>
            <w:szCs w:val="22"/>
          </w:rPr>
          <w:tab/>
        </w:r>
        <w:r w:rsidRPr="00CD0B56">
          <w:rPr>
            <w:rStyle w:val="Hyperlink"/>
            <w:noProof/>
          </w:rPr>
          <w:t>Fixed Commands</w:t>
        </w:r>
        <w:r>
          <w:rPr>
            <w:noProof/>
            <w:webHidden/>
          </w:rPr>
          <w:tab/>
        </w:r>
        <w:r>
          <w:rPr>
            <w:noProof/>
            <w:webHidden/>
          </w:rPr>
          <w:fldChar w:fldCharType="begin"/>
        </w:r>
        <w:r>
          <w:rPr>
            <w:noProof/>
            <w:webHidden/>
          </w:rPr>
          <w:instrText xml:space="preserve"> PAGEREF _Toc12261984 \h </w:instrText>
        </w:r>
        <w:r>
          <w:rPr>
            <w:noProof/>
            <w:webHidden/>
          </w:rPr>
        </w:r>
        <w:r>
          <w:rPr>
            <w:noProof/>
            <w:webHidden/>
          </w:rPr>
          <w:fldChar w:fldCharType="separate"/>
        </w:r>
        <w:r>
          <w:rPr>
            <w:noProof/>
            <w:webHidden/>
          </w:rPr>
          <w:t>702</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1985" w:history="1">
        <w:r w:rsidRPr="00CD0B56">
          <w:rPr>
            <w:rStyle w:val="Hyperlink"/>
            <w:noProof/>
          </w:rPr>
          <w:t>3.1.2.1.3</w:t>
        </w:r>
        <w:r>
          <w:rPr>
            <w:rFonts w:asciiTheme="minorHAnsi" w:eastAsiaTheme="minorEastAsia" w:hAnsiTheme="minorHAnsi" w:cstheme="minorBidi"/>
            <w:noProof/>
            <w:sz w:val="22"/>
            <w:szCs w:val="22"/>
          </w:rPr>
          <w:tab/>
        </w:r>
        <w:r w:rsidRPr="00CD0B56">
          <w:rPr>
            <w:rStyle w:val="Hyperlink"/>
            <w:noProof/>
          </w:rPr>
          <w:t>Statements</w:t>
        </w:r>
        <w:r>
          <w:rPr>
            <w:noProof/>
            <w:webHidden/>
          </w:rPr>
          <w:tab/>
        </w:r>
        <w:r>
          <w:rPr>
            <w:noProof/>
            <w:webHidden/>
          </w:rPr>
          <w:fldChar w:fldCharType="begin"/>
        </w:r>
        <w:r>
          <w:rPr>
            <w:noProof/>
            <w:webHidden/>
          </w:rPr>
          <w:instrText xml:space="preserve"> PAGEREF _Toc12261985 \h </w:instrText>
        </w:r>
        <w:r>
          <w:rPr>
            <w:noProof/>
            <w:webHidden/>
          </w:rPr>
        </w:r>
        <w:r>
          <w:rPr>
            <w:noProof/>
            <w:webHidden/>
          </w:rPr>
          <w:fldChar w:fldCharType="separate"/>
        </w:r>
        <w:r>
          <w:rPr>
            <w:noProof/>
            <w:webHidden/>
          </w:rPr>
          <w:t>762</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1986" w:history="1">
        <w:r w:rsidRPr="00CD0B56">
          <w:rPr>
            <w:rStyle w:val="Hyperlink"/>
            <w:noProof/>
          </w:rPr>
          <w:t>3.1.2.2</w:t>
        </w:r>
        <w:r>
          <w:rPr>
            <w:rFonts w:asciiTheme="minorHAnsi" w:eastAsiaTheme="minorEastAsia" w:hAnsiTheme="minorHAnsi" w:cstheme="minorBidi"/>
            <w:noProof/>
            <w:sz w:val="22"/>
            <w:szCs w:val="22"/>
          </w:rPr>
          <w:tab/>
        </w:r>
        <w:r w:rsidRPr="00CD0B56">
          <w:rPr>
            <w:rStyle w:val="Hyperlink"/>
            <w:noProof/>
          </w:rPr>
          <w:t>Mail Merge</w:t>
        </w:r>
        <w:r>
          <w:rPr>
            <w:noProof/>
            <w:webHidden/>
          </w:rPr>
          <w:tab/>
        </w:r>
        <w:r>
          <w:rPr>
            <w:noProof/>
            <w:webHidden/>
          </w:rPr>
          <w:fldChar w:fldCharType="begin"/>
        </w:r>
        <w:r>
          <w:rPr>
            <w:noProof/>
            <w:webHidden/>
          </w:rPr>
          <w:instrText xml:space="preserve"> PAGEREF _Toc12261986 \h </w:instrText>
        </w:r>
        <w:r>
          <w:rPr>
            <w:noProof/>
            <w:webHidden/>
          </w:rPr>
        </w:r>
        <w:r>
          <w:rPr>
            <w:noProof/>
            <w:webHidden/>
          </w:rPr>
          <w:fldChar w:fldCharType="separate"/>
        </w:r>
        <w:r>
          <w:rPr>
            <w:noProof/>
            <w:webHidden/>
          </w:rPr>
          <w:t>777</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1987" w:history="1">
        <w:r w:rsidRPr="00CD0B56">
          <w:rPr>
            <w:rStyle w:val="Hyperlink"/>
            <w:noProof/>
          </w:rPr>
          <w:t>3.1.2.2.1</w:t>
        </w:r>
        <w:r>
          <w:rPr>
            <w:rFonts w:asciiTheme="minorHAnsi" w:eastAsiaTheme="minorEastAsia" w:hAnsiTheme="minorHAnsi" w:cstheme="minorBidi"/>
            <w:noProof/>
            <w:sz w:val="22"/>
            <w:szCs w:val="22"/>
          </w:rPr>
          <w:tab/>
        </w:r>
        <w:r w:rsidRPr="00CD0B56">
          <w:rPr>
            <w:rStyle w:val="Hyperlink"/>
            <w:noProof/>
          </w:rPr>
          <w:t>Elements</w:t>
        </w:r>
        <w:r>
          <w:rPr>
            <w:noProof/>
            <w:webHidden/>
          </w:rPr>
          <w:tab/>
        </w:r>
        <w:r>
          <w:rPr>
            <w:noProof/>
            <w:webHidden/>
          </w:rPr>
          <w:fldChar w:fldCharType="begin"/>
        </w:r>
        <w:r>
          <w:rPr>
            <w:noProof/>
            <w:webHidden/>
          </w:rPr>
          <w:instrText xml:space="preserve"> PAGEREF _Toc12261987 \h </w:instrText>
        </w:r>
        <w:r>
          <w:rPr>
            <w:noProof/>
            <w:webHidden/>
          </w:rPr>
        </w:r>
        <w:r>
          <w:rPr>
            <w:noProof/>
            <w:webHidden/>
          </w:rPr>
          <w:fldChar w:fldCharType="separate"/>
        </w:r>
        <w:r>
          <w:rPr>
            <w:noProof/>
            <w:webHidden/>
          </w:rPr>
          <w:t>777</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1988" w:history="1">
        <w:r w:rsidRPr="00CD0B56">
          <w:rPr>
            <w:rStyle w:val="Hyperlink"/>
            <w:noProof/>
          </w:rPr>
          <w:t>3.1.2.2.1.1</w:t>
        </w:r>
        <w:r>
          <w:rPr>
            <w:rFonts w:asciiTheme="minorHAnsi" w:eastAsiaTheme="minorEastAsia" w:hAnsiTheme="minorHAnsi" w:cstheme="minorBidi"/>
            <w:noProof/>
            <w:sz w:val="22"/>
            <w:szCs w:val="22"/>
          </w:rPr>
          <w:tab/>
        </w:r>
        <w:r w:rsidRPr="00CD0B56">
          <w:rPr>
            <w:rStyle w:val="Hyperlink"/>
            <w:noProof/>
          </w:rPr>
          <w:t>hash (Hash Code for Record)</w:t>
        </w:r>
        <w:r>
          <w:rPr>
            <w:noProof/>
            <w:webHidden/>
          </w:rPr>
          <w:tab/>
        </w:r>
        <w:r>
          <w:rPr>
            <w:noProof/>
            <w:webHidden/>
          </w:rPr>
          <w:fldChar w:fldCharType="begin"/>
        </w:r>
        <w:r>
          <w:rPr>
            <w:noProof/>
            <w:webHidden/>
          </w:rPr>
          <w:instrText xml:space="preserve"> PAGEREF _Toc12261988 \h </w:instrText>
        </w:r>
        <w:r>
          <w:rPr>
            <w:noProof/>
            <w:webHidden/>
          </w:rPr>
        </w:r>
        <w:r>
          <w:rPr>
            <w:noProof/>
            <w:webHidden/>
          </w:rPr>
          <w:fldChar w:fldCharType="separate"/>
        </w:r>
        <w:r>
          <w:rPr>
            <w:noProof/>
            <w:webHidden/>
          </w:rPr>
          <w:t>777</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1989" w:history="1">
        <w:r w:rsidRPr="00CD0B56">
          <w:rPr>
            <w:rStyle w:val="Hyperlink"/>
            <w:noProof/>
          </w:rPr>
          <w:t>3.1.2.2.1.2</w:t>
        </w:r>
        <w:r>
          <w:rPr>
            <w:rFonts w:asciiTheme="minorHAnsi" w:eastAsiaTheme="minorEastAsia" w:hAnsiTheme="minorHAnsi" w:cstheme="minorBidi"/>
            <w:noProof/>
            <w:sz w:val="22"/>
            <w:szCs w:val="22"/>
          </w:rPr>
          <w:tab/>
        </w:r>
        <w:r w:rsidRPr="00CD0B56">
          <w:rPr>
            <w:rStyle w:val="Hyperlink"/>
            <w:noProof/>
          </w:rPr>
          <w:t>recipientData (Data About Single Data Source Record)</w:t>
        </w:r>
        <w:r>
          <w:rPr>
            <w:noProof/>
            <w:webHidden/>
          </w:rPr>
          <w:tab/>
        </w:r>
        <w:r>
          <w:rPr>
            <w:noProof/>
            <w:webHidden/>
          </w:rPr>
          <w:fldChar w:fldCharType="begin"/>
        </w:r>
        <w:r>
          <w:rPr>
            <w:noProof/>
            <w:webHidden/>
          </w:rPr>
          <w:instrText xml:space="preserve"> PAGEREF _Toc12261989 \h </w:instrText>
        </w:r>
        <w:r>
          <w:rPr>
            <w:noProof/>
            <w:webHidden/>
          </w:rPr>
        </w:r>
        <w:r>
          <w:rPr>
            <w:noProof/>
            <w:webHidden/>
          </w:rPr>
          <w:fldChar w:fldCharType="separate"/>
        </w:r>
        <w:r>
          <w:rPr>
            <w:noProof/>
            <w:webHidden/>
          </w:rPr>
          <w:t>779</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1990" w:history="1">
        <w:r w:rsidRPr="00CD0B56">
          <w:rPr>
            <w:rStyle w:val="Hyperlink"/>
            <w:noProof/>
          </w:rPr>
          <w:t>3.1.2.2.1.3</w:t>
        </w:r>
        <w:r>
          <w:rPr>
            <w:rFonts w:asciiTheme="minorHAnsi" w:eastAsiaTheme="minorEastAsia" w:hAnsiTheme="minorHAnsi" w:cstheme="minorBidi"/>
            <w:noProof/>
            <w:sz w:val="22"/>
            <w:szCs w:val="22"/>
          </w:rPr>
          <w:tab/>
        </w:r>
        <w:r w:rsidRPr="00CD0B56">
          <w:rPr>
            <w:rStyle w:val="Hyperlink"/>
            <w:noProof/>
          </w:rPr>
          <w:t>recipients (Inclusion/Exclusion Data for Data Source)</w:t>
        </w:r>
        <w:r>
          <w:rPr>
            <w:noProof/>
            <w:webHidden/>
          </w:rPr>
          <w:tab/>
        </w:r>
        <w:r>
          <w:rPr>
            <w:noProof/>
            <w:webHidden/>
          </w:rPr>
          <w:fldChar w:fldCharType="begin"/>
        </w:r>
        <w:r>
          <w:rPr>
            <w:noProof/>
            <w:webHidden/>
          </w:rPr>
          <w:instrText xml:space="preserve"> PAGEREF _Toc12261990 \h </w:instrText>
        </w:r>
        <w:r>
          <w:rPr>
            <w:noProof/>
            <w:webHidden/>
          </w:rPr>
        </w:r>
        <w:r>
          <w:rPr>
            <w:noProof/>
            <w:webHidden/>
          </w:rPr>
          <w:fldChar w:fldCharType="separate"/>
        </w:r>
        <w:r>
          <w:rPr>
            <w:noProof/>
            <w:webHidden/>
          </w:rPr>
          <w:t>780</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1991" w:history="1">
        <w:r w:rsidRPr="00CD0B56">
          <w:rPr>
            <w:rStyle w:val="Hyperlink"/>
            <w:noProof/>
          </w:rPr>
          <w:t>3.1.2.3</w:t>
        </w:r>
        <w:r>
          <w:rPr>
            <w:rFonts w:asciiTheme="minorHAnsi" w:eastAsiaTheme="minorEastAsia" w:hAnsiTheme="minorHAnsi" w:cstheme="minorBidi"/>
            <w:noProof/>
            <w:sz w:val="22"/>
            <w:szCs w:val="22"/>
          </w:rPr>
          <w:tab/>
        </w:r>
        <w:r w:rsidRPr="00CD0B56">
          <w:rPr>
            <w:rStyle w:val="Hyperlink"/>
            <w:noProof/>
          </w:rPr>
          <w:t>Simple Types</w:t>
        </w:r>
        <w:r>
          <w:rPr>
            <w:noProof/>
            <w:webHidden/>
          </w:rPr>
          <w:tab/>
        </w:r>
        <w:r>
          <w:rPr>
            <w:noProof/>
            <w:webHidden/>
          </w:rPr>
          <w:fldChar w:fldCharType="begin"/>
        </w:r>
        <w:r>
          <w:rPr>
            <w:noProof/>
            <w:webHidden/>
          </w:rPr>
          <w:instrText xml:space="preserve"> PAGEREF _Toc12261991 \h </w:instrText>
        </w:r>
        <w:r>
          <w:rPr>
            <w:noProof/>
            <w:webHidden/>
          </w:rPr>
        </w:r>
        <w:r>
          <w:rPr>
            <w:noProof/>
            <w:webHidden/>
          </w:rPr>
          <w:fldChar w:fldCharType="separate"/>
        </w:r>
        <w:r>
          <w:rPr>
            <w:noProof/>
            <w:webHidden/>
          </w:rPr>
          <w:t>781</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1992" w:history="1">
        <w:r w:rsidRPr="00CD0B56">
          <w:rPr>
            <w:rStyle w:val="Hyperlink"/>
            <w:noProof/>
          </w:rPr>
          <w:t>3.1.2.3.1</w:t>
        </w:r>
        <w:r>
          <w:rPr>
            <w:rFonts w:asciiTheme="minorHAnsi" w:eastAsiaTheme="minorEastAsia" w:hAnsiTheme="minorHAnsi" w:cstheme="minorBidi"/>
            <w:noProof/>
            <w:sz w:val="22"/>
            <w:szCs w:val="22"/>
          </w:rPr>
          <w:tab/>
        </w:r>
        <w:r w:rsidRPr="00CD0B56">
          <w:rPr>
            <w:rStyle w:val="Hyperlink"/>
            <w:noProof/>
          </w:rPr>
          <w:t>ST_DecimalNumber (Decimal Number Value)</w:t>
        </w:r>
        <w:r>
          <w:rPr>
            <w:noProof/>
            <w:webHidden/>
          </w:rPr>
          <w:tab/>
        </w:r>
        <w:r>
          <w:rPr>
            <w:noProof/>
            <w:webHidden/>
          </w:rPr>
          <w:fldChar w:fldCharType="begin"/>
        </w:r>
        <w:r>
          <w:rPr>
            <w:noProof/>
            <w:webHidden/>
          </w:rPr>
          <w:instrText xml:space="preserve"> PAGEREF _Toc12261992 \h </w:instrText>
        </w:r>
        <w:r>
          <w:rPr>
            <w:noProof/>
            <w:webHidden/>
          </w:rPr>
        </w:r>
        <w:r>
          <w:rPr>
            <w:noProof/>
            <w:webHidden/>
          </w:rPr>
          <w:fldChar w:fldCharType="separate"/>
        </w:r>
        <w:r>
          <w:rPr>
            <w:noProof/>
            <w:webHidden/>
          </w:rPr>
          <w:t>781</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1993" w:history="1">
        <w:r w:rsidRPr="00CD0B56">
          <w:rPr>
            <w:rStyle w:val="Hyperlink"/>
            <w:noProof/>
          </w:rPr>
          <w:t>3.1.2.3.2</w:t>
        </w:r>
        <w:r>
          <w:rPr>
            <w:rFonts w:asciiTheme="minorHAnsi" w:eastAsiaTheme="minorEastAsia" w:hAnsiTheme="minorHAnsi" w:cstheme="minorBidi"/>
            <w:noProof/>
            <w:sz w:val="22"/>
            <w:szCs w:val="22"/>
          </w:rPr>
          <w:tab/>
        </w:r>
        <w:r w:rsidRPr="00CD0B56">
          <w:rPr>
            <w:rStyle w:val="Hyperlink"/>
            <w:noProof/>
          </w:rPr>
          <w:t>ST_LongHexNumber (Four Digit Hexadecimal Number Value)</w:t>
        </w:r>
        <w:r>
          <w:rPr>
            <w:noProof/>
            <w:webHidden/>
          </w:rPr>
          <w:tab/>
        </w:r>
        <w:r>
          <w:rPr>
            <w:noProof/>
            <w:webHidden/>
          </w:rPr>
          <w:fldChar w:fldCharType="begin"/>
        </w:r>
        <w:r>
          <w:rPr>
            <w:noProof/>
            <w:webHidden/>
          </w:rPr>
          <w:instrText xml:space="preserve"> PAGEREF _Toc12261993 \h </w:instrText>
        </w:r>
        <w:r>
          <w:rPr>
            <w:noProof/>
            <w:webHidden/>
          </w:rPr>
        </w:r>
        <w:r>
          <w:rPr>
            <w:noProof/>
            <w:webHidden/>
          </w:rPr>
          <w:fldChar w:fldCharType="separate"/>
        </w:r>
        <w:r>
          <w:rPr>
            <w:noProof/>
            <w:webHidden/>
          </w:rPr>
          <w:t>782</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1994" w:history="1">
        <w:r w:rsidRPr="00CD0B56">
          <w:rPr>
            <w:rStyle w:val="Hyperlink"/>
            <w:noProof/>
          </w:rPr>
          <w:t>3.1.2.3.3</w:t>
        </w:r>
        <w:r>
          <w:rPr>
            <w:rFonts w:asciiTheme="minorHAnsi" w:eastAsiaTheme="minorEastAsia" w:hAnsiTheme="minorHAnsi" w:cstheme="minorBidi"/>
            <w:noProof/>
            <w:sz w:val="22"/>
            <w:szCs w:val="22"/>
          </w:rPr>
          <w:tab/>
        </w:r>
        <w:r w:rsidRPr="00CD0B56">
          <w:rPr>
            <w:rStyle w:val="Hyperlink"/>
            <w:noProof/>
          </w:rPr>
          <w:t>ST_OnOff (On/Off Value)</w:t>
        </w:r>
        <w:r>
          <w:rPr>
            <w:noProof/>
            <w:webHidden/>
          </w:rPr>
          <w:tab/>
        </w:r>
        <w:r>
          <w:rPr>
            <w:noProof/>
            <w:webHidden/>
          </w:rPr>
          <w:fldChar w:fldCharType="begin"/>
        </w:r>
        <w:r>
          <w:rPr>
            <w:noProof/>
            <w:webHidden/>
          </w:rPr>
          <w:instrText xml:space="preserve"> PAGEREF _Toc12261994 \h </w:instrText>
        </w:r>
        <w:r>
          <w:rPr>
            <w:noProof/>
            <w:webHidden/>
          </w:rPr>
        </w:r>
        <w:r>
          <w:rPr>
            <w:noProof/>
            <w:webHidden/>
          </w:rPr>
          <w:fldChar w:fldCharType="separate"/>
        </w:r>
        <w:r>
          <w:rPr>
            <w:noProof/>
            <w:webHidden/>
          </w:rPr>
          <w:t>782</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1995" w:history="1">
        <w:r w:rsidRPr="00CD0B56">
          <w:rPr>
            <w:rStyle w:val="Hyperlink"/>
            <w:noProof/>
          </w:rPr>
          <w:t>3.1.2.3.4</w:t>
        </w:r>
        <w:r>
          <w:rPr>
            <w:rFonts w:asciiTheme="minorHAnsi" w:eastAsiaTheme="minorEastAsia" w:hAnsiTheme="minorHAnsi" w:cstheme="minorBidi"/>
            <w:noProof/>
            <w:sz w:val="22"/>
            <w:szCs w:val="22"/>
          </w:rPr>
          <w:tab/>
        </w:r>
        <w:r w:rsidRPr="00CD0B56">
          <w:rPr>
            <w:rStyle w:val="Hyperlink"/>
            <w:noProof/>
          </w:rPr>
          <w:t>ST_ShortHexNumber (Two Digit Hexadecimal Number Value)</w:t>
        </w:r>
        <w:r>
          <w:rPr>
            <w:noProof/>
            <w:webHidden/>
          </w:rPr>
          <w:tab/>
        </w:r>
        <w:r>
          <w:rPr>
            <w:noProof/>
            <w:webHidden/>
          </w:rPr>
          <w:fldChar w:fldCharType="begin"/>
        </w:r>
        <w:r>
          <w:rPr>
            <w:noProof/>
            <w:webHidden/>
          </w:rPr>
          <w:instrText xml:space="preserve"> PAGEREF _Toc12261995 \h </w:instrText>
        </w:r>
        <w:r>
          <w:rPr>
            <w:noProof/>
            <w:webHidden/>
          </w:rPr>
        </w:r>
        <w:r>
          <w:rPr>
            <w:noProof/>
            <w:webHidden/>
          </w:rPr>
          <w:fldChar w:fldCharType="separate"/>
        </w:r>
        <w:r>
          <w:rPr>
            <w:noProof/>
            <w:webHidden/>
          </w:rPr>
          <w:t>783</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1996" w:history="1">
        <w:r w:rsidRPr="00CD0B56">
          <w:rPr>
            <w:rStyle w:val="Hyperlink"/>
            <w:noProof/>
          </w:rPr>
          <w:t>3.1.2.3.5</w:t>
        </w:r>
        <w:r>
          <w:rPr>
            <w:rFonts w:asciiTheme="minorHAnsi" w:eastAsiaTheme="minorEastAsia" w:hAnsiTheme="minorHAnsi" w:cstheme="minorBidi"/>
            <w:noProof/>
            <w:sz w:val="22"/>
            <w:szCs w:val="22"/>
          </w:rPr>
          <w:tab/>
        </w:r>
        <w:r w:rsidRPr="00CD0B56">
          <w:rPr>
            <w:rStyle w:val="Hyperlink"/>
            <w:noProof/>
          </w:rPr>
          <w:t>ST_String (String)</w:t>
        </w:r>
        <w:r>
          <w:rPr>
            <w:noProof/>
            <w:webHidden/>
          </w:rPr>
          <w:tab/>
        </w:r>
        <w:r>
          <w:rPr>
            <w:noProof/>
            <w:webHidden/>
          </w:rPr>
          <w:fldChar w:fldCharType="begin"/>
        </w:r>
        <w:r>
          <w:rPr>
            <w:noProof/>
            <w:webHidden/>
          </w:rPr>
          <w:instrText xml:space="preserve"> PAGEREF _Toc12261996 \h </w:instrText>
        </w:r>
        <w:r>
          <w:rPr>
            <w:noProof/>
            <w:webHidden/>
          </w:rPr>
        </w:r>
        <w:r>
          <w:rPr>
            <w:noProof/>
            <w:webHidden/>
          </w:rPr>
          <w:fldChar w:fldCharType="separate"/>
        </w:r>
        <w:r>
          <w:rPr>
            <w:noProof/>
            <w:webHidden/>
          </w:rPr>
          <w:t>784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1997" w:history="1">
        <w:r w:rsidRPr="00CD0B56">
          <w:rPr>
            <w:rStyle w:val="Hyperlink"/>
            <w:noProof/>
          </w:rPr>
          <w:t>3.1.3</w:t>
        </w:r>
        <w:r>
          <w:rPr>
            <w:rFonts w:asciiTheme="minorHAnsi" w:eastAsiaTheme="minorEastAsia" w:hAnsiTheme="minorHAnsi" w:cstheme="minorBidi"/>
            <w:noProof/>
            <w:sz w:val="22"/>
            <w:szCs w:val="22"/>
          </w:rPr>
          <w:tab/>
        </w:r>
        <w:r w:rsidRPr="00CD0B56">
          <w:rPr>
            <w:rStyle w:val="Hyperlink"/>
            <w:noProof/>
          </w:rPr>
          <w:t>Additional WordprocessingML Schema</w:t>
        </w:r>
        <w:r>
          <w:rPr>
            <w:noProof/>
            <w:webHidden/>
          </w:rPr>
          <w:tab/>
        </w:r>
        <w:r>
          <w:rPr>
            <w:noProof/>
            <w:webHidden/>
          </w:rPr>
          <w:fldChar w:fldCharType="begin"/>
        </w:r>
        <w:r>
          <w:rPr>
            <w:noProof/>
            <w:webHidden/>
          </w:rPr>
          <w:instrText xml:space="preserve"> PAGEREF _Toc12261997 \h </w:instrText>
        </w:r>
        <w:r>
          <w:rPr>
            <w:noProof/>
            <w:webHidden/>
          </w:rPr>
        </w:r>
        <w:r>
          <w:rPr>
            <w:noProof/>
            <w:webHidden/>
          </w:rPr>
          <w:fldChar w:fldCharType="separate"/>
        </w:r>
        <w:r>
          <w:rPr>
            <w:noProof/>
            <w:webHidden/>
          </w:rPr>
          <w:t>785</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1998" w:history="1">
        <w:r w:rsidRPr="00CD0B56">
          <w:rPr>
            <w:rStyle w:val="Hyperlink"/>
            <w:noProof/>
          </w:rPr>
          <w:t>3.1.3.1</w:t>
        </w:r>
        <w:r>
          <w:rPr>
            <w:rFonts w:asciiTheme="minorHAnsi" w:eastAsiaTheme="minorEastAsia" w:hAnsiTheme="minorHAnsi" w:cstheme="minorBidi"/>
            <w:noProof/>
            <w:sz w:val="22"/>
            <w:szCs w:val="22"/>
          </w:rPr>
          <w:tab/>
        </w:r>
        <w:r w:rsidRPr="00CD0B56">
          <w:rPr>
            <w:rStyle w:val="Hyperlink"/>
            <w:noProof/>
          </w:rPr>
          <w:t>Additional Elements</w:t>
        </w:r>
        <w:r>
          <w:rPr>
            <w:noProof/>
            <w:webHidden/>
          </w:rPr>
          <w:tab/>
        </w:r>
        <w:r>
          <w:rPr>
            <w:noProof/>
            <w:webHidden/>
          </w:rPr>
          <w:fldChar w:fldCharType="begin"/>
        </w:r>
        <w:r>
          <w:rPr>
            <w:noProof/>
            <w:webHidden/>
          </w:rPr>
          <w:instrText xml:space="preserve"> PAGEREF _Toc12261998 \h </w:instrText>
        </w:r>
        <w:r>
          <w:rPr>
            <w:noProof/>
            <w:webHidden/>
          </w:rPr>
        </w:r>
        <w:r>
          <w:rPr>
            <w:noProof/>
            <w:webHidden/>
          </w:rPr>
          <w:fldChar w:fldCharType="separate"/>
        </w:r>
        <w:r>
          <w:rPr>
            <w:noProof/>
            <w:webHidden/>
          </w:rPr>
          <w:t>785</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1999" w:history="1">
        <w:r w:rsidRPr="00CD0B56">
          <w:rPr>
            <w:rStyle w:val="Hyperlink"/>
            <w:noProof/>
          </w:rPr>
          <w:t>3.1.3.1.1</w:t>
        </w:r>
        <w:r>
          <w:rPr>
            <w:rFonts w:asciiTheme="minorHAnsi" w:eastAsiaTheme="minorEastAsia" w:hAnsiTheme="minorHAnsi" w:cstheme="minorBidi"/>
            <w:noProof/>
            <w:sz w:val="22"/>
            <w:szCs w:val="22"/>
          </w:rPr>
          <w:tab/>
        </w:r>
        <w:r w:rsidRPr="00CD0B56">
          <w:rPr>
            <w:rStyle w:val="Hyperlink"/>
            <w:noProof/>
          </w:rPr>
          <w:t>customXml (Ruby Inline-Level Custom XML Element)</w:t>
        </w:r>
        <w:r>
          <w:rPr>
            <w:noProof/>
            <w:webHidden/>
          </w:rPr>
          <w:tab/>
        </w:r>
        <w:r>
          <w:rPr>
            <w:noProof/>
            <w:webHidden/>
          </w:rPr>
          <w:fldChar w:fldCharType="begin"/>
        </w:r>
        <w:r>
          <w:rPr>
            <w:noProof/>
            <w:webHidden/>
          </w:rPr>
          <w:instrText xml:space="preserve"> PAGEREF _Toc12261999 \h </w:instrText>
        </w:r>
        <w:r>
          <w:rPr>
            <w:noProof/>
            <w:webHidden/>
          </w:rPr>
        </w:r>
        <w:r>
          <w:rPr>
            <w:noProof/>
            <w:webHidden/>
          </w:rPr>
          <w:fldChar w:fldCharType="separate"/>
        </w:r>
        <w:r>
          <w:rPr>
            <w:noProof/>
            <w:webHidden/>
          </w:rPr>
          <w:t>785</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00" w:history="1">
        <w:r w:rsidRPr="00CD0B56">
          <w:rPr>
            <w:rStyle w:val="Hyperlink"/>
            <w:noProof/>
          </w:rPr>
          <w:t>3.1.3.1.2</w:t>
        </w:r>
        <w:r>
          <w:rPr>
            <w:rFonts w:asciiTheme="minorHAnsi" w:eastAsiaTheme="minorEastAsia" w:hAnsiTheme="minorHAnsi" w:cstheme="minorBidi"/>
            <w:noProof/>
            <w:sz w:val="22"/>
            <w:szCs w:val="22"/>
          </w:rPr>
          <w:tab/>
        </w:r>
        <w:r w:rsidRPr="00CD0B56">
          <w:rPr>
            <w:rStyle w:val="Hyperlink"/>
            <w:noProof/>
          </w:rPr>
          <w:t>fldSimple (Ruby Simple Field)</w:t>
        </w:r>
        <w:r>
          <w:rPr>
            <w:noProof/>
            <w:webHidden/>
          </w:rPr>
          <w:tab/>
        </w:r>
        <w:r>
          <w:rPr>
            <w:noProof/>
            <w:webHidden/>
          </w:rPr>
          <w:fldChar w:fldCharType="begin"/>
        </w:r>
        <w:r>
          <w:rPr>
            <w:noProof/>
            <w:webHidden/>
          </w:rPr>
          <w:instrText xml:space="preserve"> PAGEREF _Toc12262000 \h </w:instrText>
        </w:r>
        <w:r>
          <w:rPr>
            <w:noProof/>
            <w:webHidden/>
          </w:rPr>
        </w:r>
        <w:r>
          <w:rPr>
            <w:noProof/>
            <w:webHidden/>
          </w:rPr>
          <w:fldChar w:fldCharType="separate"/>
        </w:r>
        <w:r>
          <w:rPr>
            <w:noProof/>
            <w:webHidden/>
          </w:rPr>
          <w:t>789</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01" w:history="1">
        <w:r w:rsidRPr="00CD0B56">
          <w:rPr>
            <w:rStyle w:val="Hyperlink"/>
            <w:noProof/>
          </w:rPr>
          <w:t>3.1.3.1.3</w:t>
        </w:r>
        <w:r>
          <w:rPr>
            <w:rFonts w:asciiTheme="minorHAnsi" w:eastAsiaTheme="minorEastAsia" w:hAnsiTheme="minorHAnsi" w:cstheme="minorBidi"/>
            <w:noProof/>
            <w:sz w:val="22"/>
            <w:szCs w:val="22"/>
          </w:rPr>
          <w:tab/>
        </w:r>
        <w:r w:rsidRPr="00CD0B56">
          <w:rPr>
            <w:rStyle w:val="Hyperlink"/>
            <w:noProof/>
          </w:rPr>
          <w:t>hyperlink (Ruby Hyperlink)</w:t>
        </w:r>
        <w:r>
          <w:rPr>
            <w:noProof/>
            <w:webHidden/>
          </w:rPr>
          <w:tab/>
        </w:r>
        <w:r>
          <w:rPr>
            <w:noProof/>
            <w:webHidden/>
          </w:rPr>
          <w:fldChar w:fldCharType="begin"/>
        </w:r>
        <w:r>
          <w:rPr>
            <w:noProof/>
            <w:webHidden/>
          </w:rPr>
          <w:instrText xml:space="preserve"> PAGEREF _Toc12262001 \h </w:instrText>
        </w:r>
        <w:r>
          <w:rPr>
            <w:noProof/>
            <w:webHidden/>
          </w:rPr>
        </w:r>
        <w:r>
          <w:rPr>
            <w:noProof/>
            <w:webHidden/>
          </w:rPr>
          <w:fldChar w:fldCharType="separate"/>
        </w:r>
        <w:r>
          <w:rPr>
            <w:noProof/>
            <w:webHidden/>
          </w:rPr>
          <w:t>793</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02" w:history="1">
        <w:r w:rsidRPr="00CD0B56">
          <w:rPr>
            <w:rStyle w:val="Hyperlink"/>
            <w:noProof/>
          </w:rPr>
          <w:t>3.1.3.1.4</w:t>
        </w:r>
        <w:r>
          <w:rPr>
            <w:rFonts w:asciiTheme="minorHAnsi" w:eastAsiaTheme="minorEastAsia" w:hAnsiTheme="minorHAnsi" w:cstheme="minorBidi"/>
            <w:noProof/>
            <w:sz w:val="22"/>
            <w:szCs w:val="22"/>
          </w:rPr>
          <w:tab/>
        </w:r>
        <w:r w:rsidRPr="00CD0B56">
          <w:rPr>
            <w:rStyle w:val="Hyperlink"/>
            <w:noProof/>
          </w:rPr>
          <w:t>moveFrom (Move Source Math Control Character)</w:t>
        </w:r>
        <w:r>
          <w:rPr>
            <w:noProof/>
            <w:webHidden/>
          </w:rPr>
          <w:tab/>
        </w:r>
        <w:r>
          <w:rPr>
            <w:noProof/>
            <w:webHidden/>
          </w:rPr>
          <w:fldChar w:fldCharType="begin"/>
        </w:r>
        <w:r>
          <w:rPr>
            <w:noProof/>
            <w:webHidden/>
          </w:rPr>
          <w:instrText xml:space="preserve"> PAGEREF _Toc12262002 \h </w:instrText>
        </w:r>
        <w:r>
          <w:rPr>
            <w:noProof/>
            <w:webHidden/>
          </w:rPr>
        </w:r>
        <w:r>
          <w:rPr>
            <w:noProof/>
            <w:webHidden/>
          </w:rPr>
          <w:fldChar w:fldCharType="separate"/>
        </w:r>
        <w:r>
          <w:rPr>
            <w:noProof/>
            <w:webHidden/>
          </w:rPr>
          <w:t>800</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03" w:history="1">
        <w:r w:rsidRPr="00CD0B56">
          <w:rPr>
            <w:rStyle w:val="Hyperlink"/>
            <w:noProof/>
          </w:rPr>
          <w:t>3.1.3.1.5</w:t>
        </w:r>
        <w:r>
          <w:rPr>
            <w:rFonts w:asciiTheme="minorHAnsi" w:eastAsiaTheme="minorEastAsia" w:hAnsiTheme="minorHAnsi" w:cstheme="minorBidi"/>
            <w:noProof/>
            <w:sz w:val="22"/>
            <w:szCs w:val="22"/>
          </w:rPr>
          <w:tab/>
        </w:r>
        <w:r w:rsidRPr="00CD0B56">
          <w:rPr>
            <w:rStyle w:val="Hyperlink"/>
            <w:noProof/>
          </w:rPr>
          <w:t>moveTo (Move Destination Math Control Character)</w:t>
        </w:r>
        <w:r>
          <w:rPr>
            <w:noProof/>
            <w:webHidden/>
          </w:rPr>
          <w:tab/>
        </w:r>
        <w:r>
          <w:rPr>
            <w:noProof/>
            <w:webHidden/>
          </w:rPr>
          <w:fldChar w:fldCharType="begin"/>
        </w:r>
        <w:r>
          <w:rPr>
            <w:noProof/>
            <w:webHidden/>
          </w:rPr>
          <w:instrText xml:space="preserve"> PAGEREF _Toc12262003 \h </w:instrText>
        </w:r>
        <w:r>
          <w:rPr>
            <w:noProof/>
            <w:webHidden/>
          </w:rPr>
        </w:r>
        <w:r>
          <w:rPr>
            <w:noProof/>
            <w:webHidden/>
          </w:rPr>
          <w:fldChar w:fldCharType="separate"/>
        </w:r>
        <w:r>
          <w:rPr>
            <w:noProof/>
            <w:webHidden/>
          </w:rPr>
          <w:t>802</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04" w:history="1">
        <w:r w:rsidRPr="00CD0B56">
          <w:rPr>
            <w:rStyle w:val="Hyperlink"/>
            <w:noProof/>
          </w:rPr>
          <w:t>3.1.3.1.6</w:t>
        </w:r>
        <w:r>
          <w:rPr>
            <w:rFonts w:asciiTheme="minorHAnsi" w:eastAsiaTheme="minorEastAsia" w:hAnsiTheme="minorHAnsi" w:cstheme="minorBidi"/>
            <w:noProof/>
            <w:sz w:val="22"/>
            <w:szCs w:val="22"/>
          </w:rPr>
          <w:tab/>
        </w:r>
        <w:r w:rsidRPr="00CD0B56">
          <w:rPr>
            <w:rStyle w:val="Hyperlink"/>
            <w:noProof/>
          </w:rPr>
          <w:t>sdt (Ruby Inline-Level Structured Document Tag)</w:t>
        </w:r>
        <w:r>
          <w:rPr>
            <w:noProof/>
            <w:webHidden/>
          </w:rPr>
          <w:tab/>
        </w:r>
        <w:r>
          <w:rPr>
            <w:noProof/>
            <w:webHidden/>
          </w:rPr>
          <w:fldChar w:fldCharType="begin"/>
        </w:r>
        <w:r>
          <w:rPr>
            <w:noProof/>
            <w:webHidden/>
          </w:rPr>
          <w:instrText xml:space="preserve"> PAGEREF _Toc12262004 \h </w:instrText>
        </w:r>
        <w:r>
          <w:rPr>
            <w:noProof/>
            <w:webHidden/>
          </w:rPr>
        </w:r>
        <w:r>
          <w:rPr>
            <w:noProof/>
            <w:webHidden/>
          </w:rPr>
          <w:fldChar w:fldCharType="separate"/>
        </w:r>
        <w:r>
          <w:rPr>
            <w:noProof/>
            <w:webHidden/>
          </w:rPr>
          <w:t>803</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05" w:history="1">
        <w:r w:rsidRPr="00CD0B56">
          <w:rPr>
            <w:rStyle w:val="Hyperlink"/>
            <w:noProof/>
          </w:rPr>
          <w:t>3.1.3.1.7</w:t>
        </w:r>
        <w:r>
          <w:rPr>
            <w:rFonts w:asciiTheme="minorHAnsi" w:eastAsiaTheme="minorEastAsia" w:hAnsiTheme="minorHAnsi" w:cstheme="minorBidi"/>
            <w:noProof/>
            <w:sz w:val="22"/>
            <w:szCs w:val="22"/>
          </w:rPr>
          <w:tab/>
        </w:r>
        <w:r w:rsidRPr="00CD0B56">
          <w:rPr>
            <w:rStyle w:val="Hyperlink"/>
            <w:noProof/>
          </w:rPr>
          <w:t>sdtContent (Ruby Inline-Level Structured Document Tag Content)</w:t>
        </w:r>
        <w:r>
          <w:rPr>
            <w:noProof/>
            <w:webHidden/>
          </w:rPr>
          <w:tab/>
        </w:r>
        <w:r>
          <w:rPr>
            <w:noProof/>
            <w:webHidden/>
          </w:rPr>
          <w:fldChar w:fldCharType="begin"/>
        </w:r>
        <w:r>
          <w:rPr>
            <w:noProof/>
            <w:webHidden/>
          </w:rPr>
          <w:instrText xml:space="preserve"> PAGEREF _Toc12262005 \h </w:instrText>
        </w:r>
        <w:r>
          <w:rPr>
            <w:noProof/>
            <w:webHidden/>
          </w:rPr>
        </w:r>
        <w:r>
          <w:rPr>
            <w:noProof/>
            <w:webHidden/>
          </w:rPr>
          <w:fldChar w:fldCharType="separate"/>
        </w:r>
        <w:r>
          <w:rPr>
            <w:noProof/>
            <w:webHidden/>
          </w:rPr>
          <w:t>805</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006" w:history="1">
        <w:r w:rsidRPr="00CD0B56">
          <w:rPr>
            <w:rStyle w:val="Hyperlink"/>
            <w:noProof/>
          </w:rPr>
          <w:t>3.1.3.2</w:t>
        </w:r>
        <w:r>
          <w:rPr>
            <w:rFonts w:asciiTheme="minorHAnsi" w:eastAsiaTheme="minorEastAsia" w:hAnsiTheme="minorHAnsi" w:cstheme="minorBidi"/>
            <w:noProof/>
            <w:sz w:val="22"/>
            <w:szCs w:val="22"/>
          </w:rPr>
          <w:tab/>
        </w:r>
        <w:r w:rsidRPr="00CD0B56">
          <w:rPr>
            <w:rStyle w:val="Hyperlink"/>
            <w:noProof/>
          </w:rPr>
          <w:t>Additional Fields</w:t>
        </w:r>
        <w:r>
          <w:rPr>
            <w:noProof/>
            <w:webHidden/>
          </w:rPr>
          <w:tab/>
        </w:r>
        <w:r>
          <w:rPr>
            <w:noProof/>
            <w:webHidden/>
          </w:rPr>
          <w:fldChar w:fldCharType="begin"/>
        </w:r>
        <w:r>
          <w:rPr>
            <w:noProof/>
            <w:webHidden/>
          </w:rPr>
          <w:instrText xml:space="preserve"> PAGEREF _Toc12262006 \h </w:instrText>
        </w:r>
        <w:r>
          <w:rPr>
            <w:noProof/>
            <w:webHidden/>
          </w:rPr>
        </w:r>
        <w:r>
          <w:rPr>
            <w:noProof/>
            <w:webHidden/>
          </w:rPr>
          <w:fldChar w:fldCharType="separate"/>
        </w:r>
        <w:r>
          <w:rPr>
            <w:noProof/>
            <w:webHidden/>
          </w:rPr>
          <w:t>809</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07" w:history="1">
        <w:r w:rsidRPr="00CD0B56">
          <w:rPr>
            <w:rStyle w:val="Hyperlink"/>
            <w:noProof/>
          </w:rPr>
          <w:t>3.1.3.2.1</w:t>
        </w:r>
        <w:r>
          <w:rPr>
            <w:rFonts w:asciiTheme="minorHAnsi" w:eastAsiaTheme="minorEastAsia" w:hAnsiTheme="minorHAnsi" w:cstheme="minorBidi"/>
            <w:noProof/>
            <w:sz w:val="22"/>
            <w:szCs w:val="22"/>
          </w:rPr>
          <w:tab/>
        </w:r>
        <w:r w:rsidRPr="00CD0B56">
          <w:rPr>
            <w:rStyle w:val="Hyperlink"/>
            <w:noProof/>
          </w:rPr>
          <w:t>DDE</w:t>
        </w:r>
        <w:r>
          <w:rPr>
            <w:noProof/>
            <w:webHidden/>
          </w:rPr>
          <w:tab/>
        </w:r>
        <w:r>
          <w:rPr>
            <w:noProof/>
            <w:webHidden/>
          </w:rPr>
          <w:fldChar w:fldCharType="begin"/>
        </w:r>
        <w:r>
          <w:rPr>
            <w:noProof/>
            <w:webHidden/>
          </w:rPr>
          <w:instrText xml:space="preserve"> PAGEREF _Toc12262007 \h </w:instrText>
        </w:r>
        <w:r>
          <w:rPr>
            <w:noProof/>
            <w:webHidden/>
          </w:rPr>
        </w:r>
        <w:r>
          <w:rPr>
            <w:noProof/>
            <w:webHidden/>
          </w:rPr>
          <w:fldChar w:fldCharType="separate"/>
        </w:r>
        <w:r>
          <w:rPr>
            <w:noProof/>
            <w:webHidden/>
          </w:rPr>
          <w:t>809</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08" w:history="1">
        <w:r w:rsidRPr="00CD0B56">
          <w:rPr>
            <w:rStyle w:val="Hyperlink"/>
            <w:noProof/>
          </w:rPr>
          <w:t>3.1.3.2.2</w:t>
        </w:r>
        <w:r>
          <w:rPr>
            <w:rFonts w:asciiTheme="minorHAnsi" w:eastAsiaTheme="minorEastAsia" w:hAnsiTheme="minorHAnsi" w:cstheme="minorBidi"/>
            <w:noProof/>
            <w:sz w:val="22"/>
            <w:szCs w:val="22"/>
          </w:rPr>
          <w:tab/>
        </w:r>
        <w:r w:rsidRPr="00CD0B56">
          <w:rPr>
            <w:rStyle w:val="Hyperlink"/>
            <w:noProof/>
          </w:rPr>
          <w:t>DDEAUTO</w:t>
        </w:r>
        <w:r>
          <w:rPr>
            <w:noProof/>
            <w:webHidden/>
          </w:rPr>
          <w:tab/>
        </w:r>
        <w:r>
          <w:rPr>
            <w:noProof/>
            <w:webHidden/>
          </w:rPr>
          <w:fldChar w:fldCharType="begin"/>
        </w:r>
        <w:r>
          <w:rPr>
            <w:noProof/>
            <w:webHidden/>
          </w:rPr>
          <w:instrText xml:space="preserve"> PAGEREF _Toc12262008 \h </w:instrText>
        </w:r>
        <w:r>
          <w:rPr>
            <w:noProof/>
            <w:webHidden/>
          </w:rPr>
        </w:r>
        <w:r>
          <w:rPr>
            <w:noProof/>
            <w:webHidden/>
          </w:rPr>
          <w:fldChar w:fldCharType="separate"/>
        </w:r>
        <w:r>
          <w:rPr>
            <w:noProof/>
            <w:webHidden/>
          </w:rPr>
          <w:t>810</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09" w:history="1">
        <w:r w:rsidRPr="00CD0B56">
          <w:rPr>
            <w:rStyle w:val="Hyperlink"/>
            <w:noProof/>
          </w:rPr>
          <w:t>3.1.3.2.3</w:t>
        </w:r>
        <w:r>
          <w:rPr>
            <w:rFonts w:asciiTheme="minorHAnsi" w:eastAsiaTheme="minorEastAsia" w:hAnsiTheme="minorHAnsi" w:cstheme="minorBidi"/>
            <w:noProof/>
            <w:sz w:val="22"/>
            <w:szCs w:val="22"/>
          </w:rPr>
          <w:tab/>
        </w:r>
        <w:r w:rsidRPr="00CD0B56">
          <w:rPr>
            <w:rStyle w:val="Hyperlink"/>
            <w:noProof/>
          </w:rPr>
          <w:t>GLOSSARY</w:t>
        </w:r>
        <w:r>
          <w:rPr>
            <w:noProof/>
            <w:webHidden/>
          </w:rPr>
          <w:tab/>
        </w:r>
        <w:r>
          <w:rPr>
            <w:noProof/>
            <w:webHidden/>
          </w:rPr>
          <w:fldChar w:fldCharType="begin"/>
        </w:r>
        <w:r>
          <w:rPr>
            <w:noProof/>
            <w:webHidden/>
          </w:rPr>
          <w:instrText xml:space="preserve"> PAGEREF _Toc12262009 \h </w:instrText>
        </w:r>
        <w:r>
          <w:rPr>
            <w:noProof/>
            <w:webHidden/>
          </w:rPr>
        </w:r>
        <w:r>
          <w:rPr>
            <w:noProof/>
            <w:webHidden/>
          </w:rPr>
          <w:fldChar w:fldCharType="separate"/>
        </w:r>
        <w:r>
          <w:rPr>
            <w:noProof/>
            <w:webHidden/>
          </w:rPr>
          <w:t>811</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10" w:history="1">
        <w:r w:rsidRPr="00CD0B56">
          <w:rPr>
            <w:rStyle w:val="Hyperlink"/>
            <w:noProof/>
          </w:rPr>
          <w:t>3.1.3.2.4</w:t>
        </w:r>
        <w:r>
          <w:rPr>
            <w:rFonts w:asciiTheme="minorHAnsi" w:eastAsiaTheme="minorEastAsia" w:hAnsiTheme="minorHAnsi" w:cstheme="minorBidi"/>
            <w:noProof/>
            <w:sz w:val="22"/>
            <w:szCs w:val="22"/>
          </w:rPr>
          <w:tab/>
        </w:r>
        <w:r w:rsidRPr="00CD0B56">
          <w:rPr>
            <w:rStyle w:val="Hyperlink"/>
            <w:noProof/>
          </w:rPr>
          <w:t>IMPORT</w:t>
        </w:r>
        <w:r>
          <w:rPr>
            <w:noProof/>
            <w:webHidden/>
          </w:rPr>
          <w:tab/>
        </w:r>
        <w:r>
          <w:rPr>
            <w:noProof/>
            <w:webHidden/>
          </w:rPr>
          <w:fldChar w:fldCharType="begin"/>
        </w:r>
        <w:r>
          <w:rPr>
            <w:noProof/>
            <w:webHidden/>
          </w:rPr>
          <w:instrText xml:space="preserve"> PAGEREF _Toc12262010 \h </w:instrText>
        </w:r>
        <w:r>
          <w:rPr>
            <w:noProof/>
            <w:webHidden/>
          </w:rPr>
        </w:r>
        <w:r>
          <w:rPr>
            <w:noProof/>
            <w:webHidden/>
          </w:rPr>
          <w:fldChar w:fldCharType="separate"/>
        </w:r>
        <w:r>
          <w:rPr>
            <w:noProof/>
            <w:webHidden/>
          </w:rPr>
          <w:t>812</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11" w:history="1">
        <w:r w:rsidRPr="00CD0B56">
          <w:rPr>
            <w:rStyle w:val="Hyperlink"/>
            <w:noProof/>
          </w:rPr>
          <w:t>3.1.3.2.5</w:t>
        </w:r>
        <w:r>
          <w:rPr>
            <w:rFonts w:asciiTheme="minorHAnsi" w:eastAsiaTheme="minorEastAsia" w:hAnsiTheme="minorHAnsi" w:cstheme="minorBidi"/>
            <w:noProof/>
            <w:sz w:val="22"/>
            <w:szCs w:val="22"/>
          </w:rPr>
          <w:tab/>
        </w:r>
        <w:r w:rsidRPr="00CD0B56">
          <w:rPr>
            <w:rStyle w:val="Hyperlink"/>
            <w:noProof/>
          </w:rPr>
          <w:t>INCLUDE</w:t>
        </w:r>
        <w:r>
          <w:rPr>
            <w:noProof/>
            <w:webHidden/>
          </w:rPr>
          <w:tab/>
        </w:r>
        <w:r>
          <w:rPr>
            <w:noProof/>
            <w:webHidden/>
          </w:rPr>
          <w:fldChar w:fldCharType="begin"/>
        </w:r>
        <w:r>
          <w:rPr>
            <w:noProof/>
            <w:webHidden/>
          </w:rPr>
          <w:instrText xml:space="preserve"> PAGEREF _Toc12262011 \h </w:instrText>
        </w:r>
        <w:r>
          <w:rPr>
            <w:noProof/>
            <w:webHidden/>
          </w:rPr>
        </w:r>
        <w:r>
          <w:rPr>
            <w:noProof/>
            <w:webHidden/>
          </w:rPr>
          <w:fldChar w:fldCharType="separate"/>
        </w:r>
        <w:r>
          <w:rPr>
            <w:noProof/>
            <w:webHidden/>
          </w:rPr>
          <w:t>812</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12" w:history="1">
        <w:r w:rsidRPr="00CD0B56">
          <w:rPr>
            <w:rStyle w:val="Hyperlink"/>
            <w:noProof/>
          </w:rPr>
          <w:t>3.1.3.2.6</w:t>
        </w:r>
        <w:r>
          <w:rPr>
            <w:rFonts w:asciiTheme="minorHAnsi" w:eastAsiaTheme="minorEastAsia" w:hAnsiTheme="minorHAnsi" w:cstheme="minorBidi"/>
            <w:noProof/>
            <w:sz w:val="22"/>
            <w:szCs w:val="22"/>
          </w:rPr>
          <w:tab/>
        </w:r>
        <w:r w:rsidRPr="00CD0B56">
          <w:rPr>
            <w:rStyle w:val="Hyperlink"/>
            <w:noProof/>
          </w:rPr>
          <w:t>SHAPE</w:t>
        </w:r>
        <w:r>
          <w:rPr>
            <w:noProof/>
            <w:webHidden/>
          </w:rPr>
          <w:tab/>
        </w:r>
        <w:r>
          <w:rPr>
            <w:noProof/>
            <w:webHidden/>
          </w:rPr>
          <w:fldChar w:fldCharType="begin"/>
        </w:r>
        <w:r>
          <w:rPr>
            <w:noProof/>
            <w:webHidden/>
          </w:rPr>
          <w:instrText xml:space="preserve"> PAGEREF _Toc12262012 \h </w:instrText>
        </w:r>
        <w:r>
          <w:rPr>
            <w:noProof/>
            <w:webHidden/>
          </w:rPr>
        </w:r>
        <w:r>
          <w:rPr>
            <w:noProof/>
            <w:webHidden/>
          </w:rPr>
          <w:fldChar w:fldCharType="separate"/>
        </w:r>
        <w:r>
          <w:rPr>
            <w:noProof/>
            <w:webHidden/>
          </w:rPr>
          <w:t>813</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13" w:history="1">
        <w:r w:rsidRPr="00CD0B56">
          <w:rPr>
            <w:rStyle w:val="Hyperlink"/>
            <w:noProof/>
          </w:rPr>
          <w:t>3.1.3.2.7</w:t>
        </w:r>
        <w:r>
          <w:rPr>
            <w:rFonts w:asciiTheme="minorHAnsi" w:eastAsiaTheme="minorEastAsia" w:hAnsiTheme="minorHAnsi" w:cstheme="minorBidi"/>
            <w:noProof/>
            <w:sz w:val="22"/>
            <w:szCs w:val="22"/>
          </w:rPr>
          <w:tab/>
        </w:r>
        <w:r w:rsidRPr="00CD0B56">
          <w:rPr>
            <w:rStyle w:val="Hyperlink"/>
            <w:noProof/>
          </w:rPr>
          <w:t>DISPLAYBARCODE</w:t>
        </w:r>
        <w:r>
          <w:rPr>
            <w:noProof/>
            <w:webHidden/>
          </w:rPr>
          <w:tab/>
        </w:r>
        <w:r>
          <w:rPr>
            <w:noProof/>
            <w:webHidden/>
          </w:rPr>
          <w:fldChar w:fldCharType="begin"/>
        </w:r>
        <w:r>
          <w:rPr>
            <w:noProof/>
            <w:webHidden/>
          </w:rPr>
          <w:instrText xml:space="preserve"> PAGEREF _Toc12262013 \h </w:instrText>
        </w:r>
        <w:r>
          <w:rPr>
            <w:noProof/>
            <w:webHidden/>
          </w:rPr>
        </w:r>
        <w:r>
          <w:rPr>
            <w:noProof/>
            <w:webHidden/>
          </w:rPr>
          <w:fldChar w:fldCharType="separate"/>
        </w:r>
        <w:r>
          <w:rPr>
            <w:noProof/>
            <w:webHidden/>
          </w:rPr>
          <w:t>813</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14" w:history="1">
        <w:r w:rsidRPr="00CD0B56">
          <w:rPr>
            <w:rStyle w:val="Hyperlink"/>
            <w:noProof/>
          </w:rPr>
          <w:t>3.1.3.2.8</w:t>
        </w:r>
        <w:r>
          <w:rPr>
            <w:rFonts w:asciiTheme="minorHAnsi" w:eastAsiaTheme="minorEastAsia" w:hAnsiTheme="minorHAnsi" w:cstheme="minorBidi"/>
            <w:noProof/>
            <w:sz w:val="22"/>
            <w:szCs w:val="22"/>
          </w:rPr>
          <w:tab/>
        </w:r>
        <w:r w:rsidRPr="00CD0B56">
          <w:rPr>
            <w:rStyle w:val="Hyperlink"/>
            <w:noProof/>
          </w:rPr>
          <w:t>MERGEBARCODE</w:t>
        </w:r>
        <w:r>
          <w:rPr>
            <w:noProof/>
            <w:webHidden/>
          </w:rPr>
          <w:tab/>
        </w:r>
        <w:r>
          <w:rPr>
            <w:noProof/>
            <w:webHidden/>
          </w:rPr>
          <w:fldChar w:fldCharType="begin"/>
        </w:r>
        <w:r>
          <w:rPr>
            <w:noProof/>
            <w:webHidden/>
          </w:rPr>
          <w:instrText xml:space="preserve"> PAGEREF _Toc12262014 \h </w:instrText>
        </w:r>
        <w:r>
          <w:rPr>
            <w:noProof/>
            <w:webHidden/>
          </w:rPr>
        </w:r>
        <w:r>
          <w:rPr>
            <w:noProof/>
            <w:webHidden/>
          </w:rPr>
          <w:fldChar w:fldCharType="separate"/>
        </w:r>
        <w:r>
          <w:rPr>
            <w:noProof/>
            <w:webHidden/>
          </w:rPr>
          <w:t>815</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015" w:history="1">
        <w:r w:rsidRPr="00CD0B56">
          <w:rPr>
            <w:rStyle w:val="Hyperlink"/>
            <w:noProof/>
          </w:rPr>
          <w:t>3.1.3.3</w:t>
        </w:r>
        <w:r>
          <w:rPr>
            <w:rFonts w:asciiTheme="minorHAnsi" w:eastAsiaTheme="minorEastAsia" w:hAnsiTheme="minorHAnsi" w:cstheme="minorBidi"/>
            <w:noProof/>
            <w:sz w:val="22"/>
            <w:szCs w:val="22"/>
          </w:rPr>
          <w:tab/>
        </w:r>
        <w:r w:rsidRPr="00CD0B56">
          <w:rPr>
            <w:rStyle w:val="Hyperlink"/>
            <w:noProof/>
          </w:rPr>
          <w:t>Simple Types</w:t>
        </w:r>
        <w:r>
          <w:rPr>
            <w:noProof/>
            <w:webHidden/>
          </w:rPr>
          <w:tab/>
        </w:r>
        <w:r>
          <w:rPr>
            <w:noProof/>
            <w:webHidden/>
          </w:rPr>
          <w:fldChar w:fldCharType="begin"/>
        </w:r>
        <w:r>
          <w:rPr>
            <w:noProof/>
            <w:webHidden/>
          </w:rPr>
          <w:instrText xml:space="preserve"> PAGEREF _Toc12262015 \h </w:instrText>
        </w:r>
        <w:r>
          <w:rPr>
            <w:noProof/>
            <w:webHidden/>
          </w:rPr>
        </w:r>
        <w:r>
          <w:rPr>
            <w:noProof/>
            <w:webHidden/>
          </w:rPr>
          <w:fldChar w:fldCharType="separate"/>
        </w:r>
        <w:r>
          <w:rPr>
            <w:noProof/>
            <w:webHidden/>
          </w:rPr>
          <w:t>818</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16" w:history="1">
        <w:r w:rsidRPr="00CD0B56">
          <w:rPr>
            <w:rStyle w:val="Hyperlink"/>
            <w:noProof/>
          </w:rPr>
          <w:t>3.1.3.3.1</w:t>
        </w:r>
        <w:r>
          <w:rPr>
            <w:rFonts w:asciiTheme="minorHAnsi" w:eastAsiaTheme="minorEastAsia" w:hAnsiTheme="minorHAnsi" w:cstheme="minorBidi"/>
            <w:noProof/>
            <w:sz w:val="22"/>
            <w:szCs w:val="22"/>
          </w:rPr>
          <w:tab/>
        </w:r>
        <w:r w:rsidRPr="00CD0B56">
          <w:rPr>
            <w:rStyle w:val="Hyperlink"/>
            <w:noProof/>
          </w:rPr>
          <w:t>ST_CustomXmlURI (URI for Custom XML)</w:t>
        </w:r>
        <w:r>
          <w:rPr>
            <w:noProof/>
            <w:webHidden/>
          </w:rPr>
          <w:tab/>
        </w:r>
        <w:r>
          <w:rPr>
            <w:noProof/>
            <w:webHidden/>
          </w:rPr>
          <w:fldChar w:fldCharType="begin"/>
        </w:r>
        <w:r>
          <w:rPr>
            <w:noProof/>
            <w:webHidden/>
          </w:rPr>
          <w:instrText xml:space="preserve"> PAGEREF _Toc12262016 \h </w:instrText>
        </w:r>
        <w:r>
          <w:rPr>
            <w:noProof/>
            <w:webHidden/>
          </w:rPr>
        </w:r>
        <w:r>
          <w:rPr>
            <w:noProof/>
            <w:webHidden/>
          </w:rPr>
          <w:fldChar w:fldCharType="separate"/>
        </w:r>
        <w:r>
          <w:rPr>
            <w:noProof/>
            <w:webHidden/>
          </w:rPr>
          <w:t>818</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17" w:history="1">
        <w:r w:rsidRPr="00CD0B56">
          <w:rPr>
            <w:rStyle w:val="Hyperlink"/>
            <w:noProof/>
          </w:rPr>
          <w:t>3.1.3.3.2</w:t>
        </w:r>
        <w:r>
          <w:rPr>
            <w:rFonts w:asciiTheme="minorHAnsi" w:eastAsiaTheme="minorEastAsia" w:hAnsiTheme="minorHAnsi" w:cstheme="minorBidi"/>
            <w:noProof/>
            <w:sz w:val="22"/>
            <w:szCs w:val="22"/>
          </w:rPr>
          <w:tab/>
        </w:r>
        <w:r w:rsidRPr="00CD0B56">
          <w:rPr>
            <w:rStyle w:val="Hyperlink"/>
            <w:noProof/>
          </w:rPr>
          <w:t>ST_DateTime (Standard Date and Time Storage Format)</w:t>
        </w:r>
        <w:r>
          <w:rPr>
            <w:noProof/>
            <w:webHidden/>
          </w:rPr>
          <w:tab/>
        </w:r>
        <w:r>
          <w:rPr>
            <w:noProof/>
            <w:webHidden/>
          </w:rPr>
          <w:fldChar w:fldCharType="begin"/>
        </w:r>
        <w:r>
          <w:rPr>
            <w:noProof/>
            <w:webHidden/>
          </w:rPr>
          <w:instrText xml:space="preserve"> PAGEREF _Toc12262017 \h </w:instrText>
        </w:r>
        <w:r>
          <w:rPr>
            <w:noProof/>
            <w:webHidden/>
          </w:rPr>
        </w:r>
        <w:r>
          <w:rPr>
            <w:noProof/>
            <w:webHidden/>
          </w:rPr>
          <w:fldChar w:fldCharType="separate"/>
        </w:r>
        <w:r>
          <w:rPr>
            <w:noProof/>
            <w:webHidden/>
          </w:rPr>
          <w:t>818</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18" w:history="1">
        <w:r w:rsidRPr="00CD0B56">
          <w:rPr>
            <w:rStyle w:val="Hyperlink"/>
            <w:noProof/>
          </w:rPr>
          <w:t>3.1.3.3.3</w:t>
        </w:r>
        <w:r>
          <w:rPr>
            <w:rFonts w:asciiTheme="minorHAnsi" w:eastAsiaTheme="minorEastAsia" w:hAnsiTheme="minorHAnsi" w:cstheme="minorBidi"/>
            <w:noProof/>
            <w:sz w:val="22"/>
            <w:szCs w:val="22"/>
          </w:rPr>
          <w:tab/>
        </w:r>
        <w:r w:rsidRPr="00CD0B56">
          <w:rPr>
            <w:rStyle w:val="Hyperlink"/>
            <w:noProof/>
          </w:rPr>
          <w:t>ST_MarkupId (Annotation Identifier)</w:t>
        </w:r>
        <w:r>
          <w:rPr>
            <w:noProof/>
            <w:webHidden/>
          </w:rPr>
          <w:tab/>
        </w:r>
        <w:r>
          <w:rPr>
            <w:noProof/>
            <w:webHidden/>
          </w:rPr>
          <w:fldChar w:fldCharType="begin"/>
        </w:r>
        <w:r>
          <w:rPr>
            <w:noProof/>
            <w:webHidden/>
          </w:rPr>
          <w:instrText xml:space="preserve"> PAGEREF _Toc12262018 \h </w:instrText>
        </w:r>
        <w:r>
          <w:rPr>
            <w:noProof/>
            <w:webHidden/>
          </w:rPr>
        </w:r>
        <w:r>
          <w:rPr>
            <w:noProof/>
            <w:webHidden/>
          </w:rPr>
          <w:fldChar w:fldCharType="separate"/>
        </w:r>
        <w:r>
          <w:rPr>
            <w:noProof/>
            <w:webHidden/>
          </w:rPr>
          <w:t>819</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19" w:history="1">
        <w:r w:rsidRPr="00CD0B56">
          <w:rPr>
            <w:rStyle w:val="Hyperlink"/>
            <w:noProof/>
          </w:rPr>
          <w:t>3.1.3.3.4</w:t>
        </w:r>
        <w:r>
          <w:rPr>
            <w:rFonts w:asciiTheme="minorHAnsi" w:eastAsiaTheme="minorEastAsia" w:hAnsiTheme="minorHAnsi" w:cstheme="minorBidi"/>
            <w:noProof/>
            <w:sz w:val="22"/>
            <w:szCs w:val="22"/>
          </w:rPr>
          <w:tab/>
        </w:r>
        <w:r w:rsidRPr="00CD0B56">
          <w:rPr>
            <w:rStyle w:val="Hyperlink"/>
            <w:noProof/>
          </w:rPr>
          <w:t>ST_NcName255 (Non-colonized Name)</w:t>
        </w:r>
        <w:r>
          <w:rPr>
            <w:noProof/>
            <w:webHidden/>
          </w:rPr>
          <w:tab/>
        </w:r>
        <w:r>
          <w:rPr>
            <w:noProof/>
            <w:webHidden/>
          </w:rPr>
          <w:fldChar w:fldCharType="begin"/>
        </w:r>
        <w:r>
          <w:rPr>
            <w:noProof/>
            <w:webHidden/>
          </w:rPr>
          <w:instrText xml:space="preserve"> PAGEREF _Toc12262019 \h </w:instrText>
        </w:r>
        <w:r>
          <w:rPr>
            <w:noProof/>
            <w:webHidden/>
          </w:rPr>
        </w:r>
        <w:r>
          <w:rPr>
            <w:noProof/>
            <w:webHidden/>
          </w:rPr>
          <w:fldChar w:fldCharType="separate"/>
        </w:r>
        <w:r>
          <w:rPr>
            <w:noProof/>
            <w:webHidden/>
          </w:rPr>
          <w:t>819</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20" w:history="1">
        <w:r w:rsidRPr="00CD0B56">
          <w:rPr>
            <w:rStyle w:val="Hyperlink"/>
            <w:noProof/>
          </w:rPr>
          <w:t>3.1.3.3.5</w:t>
        </w:r>
        <w:r>
          <w:rPr>
            <w:rFonts w:asciiTheme="minorHAnsi" w:eastAsiaTheme="minorEastAsia" w:hAnsiTheme="minorHAnsi" w:cstheme="minorBidi"/>
            <w:noProof/>
            <w:sz w:val="22"/>
            <w:szCs w:val="22"/>
          </w:rPr>
          <w:tab/>
        </w:r>
        <w:r w:rsidRPr="00CD0B56">
          <w:rPr>
            <w:rStyle w:val="Hyperlink"/>
            <w:noProof/>
          </w:rPr>
          <w:t>ST_NonNegativeDecimalNumber (Non-Negative Decimal Number Value)</w:t>
        </w:r>
        <w:r>
          <w:rPr>
            <w:noProof/>
            <w:webHidden/>
          </w:rPr>
          <w:tab/>
        </w:r>
        <w:r>
          <w:rPr>
            <w:noProof/>
            <w:webHidden/>
          </w:rPr>
          <w:fldChar w:fldCharType="begin"/>
        </w:r>
        <w:r>
          <w:rPr>
            <w:noProof/>
            <w:webHidden/>
          </w:rPr>
          <w:instrText xml:space="preserve"> PAGEREF _Toc12262020 \h </w:instrText>
        </w:r>
        <w:r>
          <w:rPr>
            <w:noProof/>
            <w:webHidden/>
          </w:rPr>
        </w:r>
        <w:r>
          <w:rPr>
            <w:noProof/>
            <w:webHidden/>
          </w:rPr>
          <w:fldChar w:fldCharType="separate"/>
        </w:r>
        <w:r>
          <w:rPr>
            <w:noProof/>
            <w:webHidden/>
          </w:rPr>
          <w:t>819</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21" w:history="1">
        <w:r w:rsidRPr="00CD0B56">
          <w:rPr>
            <w:rStyle w:val="Hyperlink"/>
            <w:noProof/>
          </w:rPr>
          <w:t>3.1.3.3.6</w:t>
        </w:r>
        <w:r>
          <w:rPr>
            <w:rFonts w:asciiTheme="minorHAnsi" w:eastAsiaTheme="minorEastAsia" w:hAnsiTheme="minorHAnsi" w:cstheme="minorBidi"/>
            <w:noProof/>
            <w:sz w:val="22"/>
            <w:szCs w:val="22"/>
          </w:rPr>
          <w:tab/>
        </w:r>
        <w:r w:rsidRPr="00CD0B56">
          <w:rPr>
            <w:rStyle w:val="Hyperlink"/>
            <w:noProof/>
          </w:rPr>
          <w:t>ST_OnOff (On/Off Value)</w:t>
        </w:r>
        <w:r>
          <w:rPr>
            <w:noProof/>
            <w:webHidden/>
          </w:rPr>
          <w:tab/>
        </w:r>
        <w:r>
          <w:rPr>
            <w:noProof/>
            <w:webHidden/>
          </w:rPr>
          <w:fldChar w:fldCharType="begin"/>
        </w:r>
        <w:r>
          <w:rPr>
            <w:noProof/>
            <w:webHidden/>
          </w:rPr>
          <w:instrText xml:space="preserve"> PAGEREF _Toc12262021 \h </w:instrText>
        </w:r>
        <w:r>
          <w:rPr>
            <w:noProof/>
            <w:webHidden/>
          </w:rPr>
        </w:r>
        <w:r>
          <w:rPr>
            <w:noProof/>
            <w:webHidden/>
          </w:rPr>
          <w:fldChar w:fldCharType="separate"/>
        </w:r>
        <w:r>
          <w:rPr>
            <w:noProof/>
            <w:webHidden/>
          </w:rPr>
          <w:t>820</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22" w:history="1">
        <w:r w:rsidRPr="00CD0B56">
          <w:rPr>
            <w:rStyle w:val="Hyperlink"/>
            <w:noProof/>
          </w:rPr>
          <w:t>3.1.3.3.7</w:t>
        </w:r>
        <w:r>
          <w:rPr>
            <w:rFonts w:asciiTheme="minorHAnsi" w:eastAsiaTheme="minorEastAsia" w:hAnsiTheme="minorHAnsi" w:cstheme="minorBidi"/>
            <w:noProof/>
            <w:sz w:val="22"/>
            <w:szCs w:val="22"/>
          </w:rPr>
          <w:tab/>
        </w:r>
        <w:r w:rsidRPr="00CD0B56">
          <w:rPr>
            <w:rStyle w:val="Hyperlink"/>
            <w:noProof/>
          </w:rPr>
          <w:t>ST_SignedDecimalNumberMax-2 (Decimal Number Value Max -2)</w:t>
        </w:r>
        <w:r>
          <w:rPr>
            <w:noProof/>
            <w:webHidden/>
          </w:rPr>
          <w:tab/>
        </w:r>
        <w:r>
          <w:rPr>
            <w:noProof/>
            <w:webHidden/>
          </w:rPr>
          <w:fldChar w:fldCharType="begin"/>
        </w:r>
        <w:r>
          <w:rPr>
            <w:noProof/>
            <w:webHidden/>
          </w:rPr>
          <w:instrText xml:space="preserve"> PAGEREF _Toc12262022 \h </w:instrText>
        </w:r>
        <w:r>
          <w:rPr>
            <w:noProof/>
            <w:webHidden/>
          </w:rPr>
        </w:r>
        <w:r>
          <w:rPr>
            <w:noProof/>
            <w:webHidden/>
          </w:rPr>
          <w:fldChar w:fldCharType="separate"/>
        </w:r>
        <w:r>
          <w:rPr>
            <w:noProof/>
            <w:webHidden/>
          </w:rPr>
          <w:t>821</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23" w:history="1">
        <w:r w:rsidRPr="00CD0B56">
          <w:rPr>
            <w:rStyle w:val="Hyperlink"/>
            <w:noProof/>
          </w:rPr>
          <w:t>3.1.3.3.8</w:t>
        </w:r>
        <w:r>
          <w:rPr>
            <w:rFonts w:asciiTheme="minorHAnsi" w:eastAsiaTheme="minorEastAsia" w:hAnsiTheme="minorHAnsi" w:cstheme="minorBidi"/>
            <w:noProof/>
            <w:sz w:val="22"/>
            <w:szCs w:val="22"/>
          </w:rPr>
          <w:tab/>
        </w:r>
        <w:r w:rsidRPr="00CD0B56">
          <w:rPr>
            <w:rStyle w:val="Hyperlink"/>
            <w:noProof/>
          </w:rPr>
          <w:t>ST_String (String)</w:t>
        </w:r>
        <w:r>
          <w:rPr>
            <w:noProof/>
            <w:webHidden/>
          </w:rPr>
          <w:tab/>
        </w:r>
        <w:r>
          <w:rPr>
            <w:noProof/>
            <w:webHidden/>
          </w:rPr>
          <w:fldChar w:fldCharType="begin"/>
        </w:r>
        <w:r>
          <w:rPr>
            <w:noProof/>
            <w:webHidden/>
          </w:rPr>
          <w:instrText xml:space="preserve"> PAGEREF _Toc12262023 \h </w:instrText>
        </w:r>
        <w:r>
          <w:rPr>
            <w:noProof/>
            <w:webHidden/>
          </w:rPr>
        </w:r>
        <w:r>
          <w:rPr>
            <w:noProof/>
            <w:webHidden/>
          </w:rPr>
          <w:fldChar w:fldCharType="separate"/>
        </w:r>
        <w:r>
          <w:rPr>
            <w:noProof/>
            <w:webHidden/>
          </w:rPr>
          <w:t>821</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24" w:history="1">
        <w:r w:rsidRPr="00CD0B56">
          <w:rPr>
            <w:rStyle w:val="Hyperlink"/>
            <w:noProof/>
          </w:rPr>
          <w:t>3.1.3.3.9</w:t>
        </w:r>
        <w:r>
          <w:rPr>
            <w:rFonts w:asciiTheme="minorHAnsi" w:eastAsiaTheme="minorEastAsia" w:hAnsiTheme="minorHAnsi" w:cstheme="minorBidi"/>
            <w:noProof/>
            <w:sz w:val="22"/>
            <w:szCs w:val="22"/>
          </w:rPr>
          <w:tab/>
        </w:r>
        <w:r w:rsidRPr="00CD0B56">
          <w:rPr>
            <w:rStyle w:val="Hyperlink"/>
            <w:noProof/>
          </w:rPr>
          <w:t>ST_String255 (String)</w:t>
        </w:r>
        <w:r>
          <w:rPr>
            <w:noProof/>
            <w:webHidden/>
          </w:rPr>
          <w:tab/>
        </w:r>
        <w:r>
          <w:rPr>
            <w:noProof/>
            <w:webHidden/>
          </w:rPr>
          <w:fldChar w:fldCharType="begin"/>
        </w:r>
        <w:r>
          <w:rPr>
            <w:noProof/>
            <w:webHidden/>
          </w:rPr>
          <w:instrText xml:space="preserve"> PAGEREF _Toc12262024 \h </w:instrText>
        </w:r>
        <w:r>
          <w:rPr>
            <w:noProof/>
            <w:webHidden/>
          </w:rPr>
        </w:r>
        <w:r>
          <w:rPr>
            <w:noProof/>
            <w:webHidden/>
          </w:rPr>
          <w:fldChar w:fldCharType="separate"/>
        </w:r>
        <w:r>
          <w:rPr>
            <w:noProof/>
            <w:webHidden/>
          </w:rPr>
          <w:t>822</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25" w:history="1">
        <w:r w:rsidRPr="00CD0B56">
          <w:rPr>
            <w:rStyle w:val="Hyperlink"/>
            <w:noProof/>
          </w:rPr>
          <w:t>3.1.3.3.10</w:t>
        </w:r>
        <w:r>
          <w:rPr>
            <w:rFonts w:asciiTheme="minorHAnsi" w:eastAsiaTheme="minorEastAsia" w:hAnsiTheme="minorHAnsi" w:cstheme="minorBidi"/>
            <w:noProof/>
            <w:sz w:val="22"/>
            <w:szCs w:val="22"/>
          </w:rPr>
          <w:tab/>
        </w:r>
        <w:r w:rsidRPr="00CD0B56">
          <w:rPr>
            <w:rStyle w:val="Hyperlink"/>
            <w:noProof/>
          </w:rPr>
          <w:t>ST_String260 (String)</w:t>
        </w:r>
        <w:r>
          <w:rPr>
            <w:noProof/>
            <w:webHidden/>
          </w:rPr>
          <w:tab/>
        </w:r>
        <w:r>
          <w:rPr>
            <w:noProof/>
            <w:webHidden/>
          </w:rPr>
          <w:fldChar w:fldCharType="begin"/>
        </w:r>
        <w:r>
          <w:rPr>
            <w:noProof/>
            <w:webHidden/>
          </w:rPr>
          <w:instrText xml:space="preserve"> PAGEREF _Toc12262025 \h </w:instrText>
        </w:r>
        <w:r>
          <w:rPr>
            <w:noProof/>
            <w:webHidden/>
          </w:rPr>
        </w:r>
        <w:r>
          <w:rPr>
            <w:noProof/>
            <w:webHidden/>
          </w:rPr>
          <w:fldChar w:fldCharType="separate"/>
        </w:r>
        <w:r>
          <w:rPr>
            <w:noProof/>
            <w:webHidden/>
          </w:rPr>
          <w:t>822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2026" w:history="1">
        <w:r w:rsidRPr="00CD0B56">
          <w:rPr>
            <w:rStyle w:val="Hyperlink"/>
            <w:noProof/>
          </w:rPr>
          <w:t>3.1.4</w:t>
        </w:r>
        <w:r>
          <w:rPr>
            <w:rFonts w:asciiTheme="minorHAnsi" w:eastAsiaTheme="minorEastAsia" w:hAnsiTheme="minorHAnsi" w:cstheme="minorBidi"/>
            <w:noProof/>
            <w:sz w:val="22"/>
            <w:szCs w:val="22"/>
          </w:rPr>
          <w:tab/>
        </w:r>
        <w:r w:rsidRPr="00CD0B56">
          <w:rPr>
            <w:rStyle w:val="Hyperlink"/>
            <w:noProof/>
          </w:rPr>
          <w:t>DrawingML Persistence Part</w:t>
        </w:r>
        <w:r>
          <w:rPr>
            <w:noProof/>
            <w:webHidden/>
          </w:rPr>
          <w:tab/>
        </w:r>
        <w:r>
          <w:rPr>
            <w:noProof/>
            <w:webHidden/>
          </w:rPr>
          <w:fldChar w:fldCharType="begin"/>
        </w:r>
        <w:r>
          <w:rPr>
            <w:noProof/>
            <w:webHidden/>
          </w:rPr>
          <w:instrText xml:space="preserve"> PAGEREF _Toc12262026 \h </w:instrText>
        </w:r>
        <w:r>
          <w:rPr>
            <w:noProof/>
            <w:webHidden/>
          </w:rPr>
        </w:r>
        <w:r>
          <w:rPr>
            <w:noProof/>
            <w:webHidden/>
          </w:rPr>
          <w:fldChar w:fldCharType="separate"/>
        </w:r>
        <w:r>
          <w:rPr>
            <w:noProof/>
            <w:webHidden/>
          </w:rPr>
          <w:t>823</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027" w:history="1">
        <w:r w:rsidRPr="00CD0B56">
          <w:rPr>
            <w:rStyle w:val="Hyperlink"/>
            <w:noProof/>
          </w:rPr>
          <w:t>3.1.4.1</w:t>
        </w:r>
        <w:r>
          <w:rPr>
            <w:rFonts w:asciiTheme="minorHAnsi" w:eastAsiaTheme="minorEastAsia" w:hAnsiTheme="minorHAnsi" w:cstheme="minorBidi"/>
            <w:noProof/>
            <w:sz w:val="22"/>
            <w:szCs w:val="22"/>
          </w:rPr>
          <w:tab/>
        </w:r>
        <w:r w:rsidRPr="00CD0B56">
          <w:rPr>
            <w:rStyle w:val="Hyperlink"/>
            <w:noProof/>
          </w:rPr>
          <w:t>DrawingML Persistence Parts</w:t>
        </w:r>
        <w:r>
          <w:rPr>
            <w:noProof/>
            <w:webHidden/>
          </w:rPr>
          <w:tab/>
        </w:r>
        <w:r>
          <w:rPr>
            <w:noProof/>
            <w:webHidden/>
          </w:rPr>
          <w:fldChar w:fldCharType="begin"/>
        </w:r>
        <w:r>
          <w:rPr>
            <w:noProof/>
            <w:webHidden/>
          </w:rPr>
          <w:instrText xml:space="preserve"> PAGEREF _Toc12262027 \h </w:instrText>
        </w:r>
        <w:r>
          <w:rPr>
            <w:noProof/>
            <w:webHidden/>
          </w:rPr>
        </w:r>
        <w:r>
          <w:rPr>
            <w:noProof/>
            <w:webHidden/>
          </w:rPr>
          <w:fldChar w:fldCharType="separate"/>
        </w:r>
        <w:r>
          <w:rPr>
            <w:noProof/>
            <w:webHidden/>
          </w:rPr>
          <w:t>823</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28" w:history="1">
        <w:r w:rsidRPr="00CD0B56">
          <w:rPr>
            <w:rStyle w:val="Hyperlink"/>
            <w:noProof/>
          </w:rPr>
          <w:t>3.1.4.1.1</w:t>
        </w:r>
        <w:r>
          <w:rPr>
            <w:rFonts w:asciiTheme="minorHAnsi" w:eastAsiaTheme="minorEastAsia" w:hAnsiTheme="minorHAnsi" w:cstheme="minorBidi"/>
            <w:noProof/>
            <w:sz w:val="22"/>
            <w:szCs w:val="22"/>
          </w:rPr>
          <w:tab/>
        </w:r>
        <w:r w:rsidRPr="00CD0B56">
          <w:rPr>
            <w:rStyle w:val="Hyperlink"/>
            <w:noProof/>
          </w:rPr>
          <w:t>Graphic Frame Doc</w:t>
        </w:r>
        <w:r>
          <w:rPr>
            <w:noProof/>
            <w:webHidden/>
          </w:rPr>
          <w:tab/>
        </w:r>
        <w:r>
          <w:rPr>
            <w:noProof/>
            <w:webHidden/>
          </w:rPr>
          <w:fldChar w:fldCharType="begin"/>
        </w:r>
        <w:r>
          <w:rPr>
            <w:noProof/>
            <w:webHidden/>
          </w:rPr>
          <w:instrText xml:space="preserve"> PAGEREF _Toc12262028 \h </w:instrText>
        </w:r>
        <w:r>
          <w:rPr>
            <w:noProof/>
            <w:webHidden/>
          </w:rPr>
        </w:r>
        <w:r>
          <w:rPr>
            <w:noProof/>
            <w:webHidden/>
          </w:rPr>
          <w:fldChar w:fldCharType="separate"/>
        </w:r>
        <w:r>
          <w:rPr>
            <w:noProof/>
            <w:webHidden/>
          </w:rPr>
          <w:t>823</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29" w:history="1">
        <w:r w:rsidRPr="00CD0B56">
          <w:rPr>
            <w:rStyle w:val="Hyperlink"/>
            <w:noProof/>
          </w:rPr>
          <w:t>3.1.4.1.2</w:t>
        </w:r>
        <w:r>
          <w:rPr>
            <w:rFonts w:asciiTheme="minorHAnsi" w:eastAsiaTheme="minorEastAsia" w:hAnsiTheme="minorHAnsi" w:cstheme="minorBidi"/>
            <w:noProof/>
            <w:sz w:val="22"/>
            <w:szCs w:val="22"/>
          </w:rPr>
          <w:tab/>
        </w:r>
        <w:r w:rsidRPr="00CD0B56">
          <w:rPr>
            <w:rStyle w:val="Hyperlink"/>
            <w:noProof/>
          </w:rPr>
          <w:t>Downrev Storage</w:t>
        </w:r>
        <w:r>
          <w:rPr>
            <w:noProof/>
            <w:webHidden/>
          </w:rPr>
          <w:tab/>
        </w:r>
        <w:r>
          <w:rPr>
            <w:noProof/>
            <w:webHidden/>
          </w:rPr>
          <w:fldChar w:fldCharType="begin"/>
        </w:r>
        <w:r>
          <w:rPr>
            <w:noProof/>
            <w:webHidden/>
          </w:rPr>
          <w:instrText xml:space="preserve"> PAGEREF _Toc12262029 \h </w:instrText>
        </w:r>
        <w:r>
          <w:rPr>
            <w:noProof/>
            <w:webHidden/>
          </w:rPr>
        </w:r>
        <w:r>
          <w:rPr>
            <w:noProof/>
            <w:webHidden/>
          </w:rPr>
          <w:fldChar w:fldCharType="separate"/>
        </w:r>
        <w:r>
          <w:rPr>
            <w:noProof/>
            <w:webHidden/>
          </w:rPr>
          <w:t>824</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030" w:history="1">
        <w:r w:rsidRPr="00CD0B56">
          <w:rPr>
            <w:rStyle w:val="Hyperlink"/>
            <w:noProof/>
          </w:rPr>
          <w:t>3.1.4.2</w:t>
        </w:r>
        <w:r>
          <w:rPr>
            <w:rFonts w:asciiTheme="minorHAnsi" w:eastAsiaTheme="minorEastAsia" w:hAnsiTheme="minorHAnsi" w:cstheme="minorBidi"/>
            <w:noProof/>
            <w:sz w:val="22"/>
            <w:szCs w:val="22"/>
          </w:rPr>
          <w:tab/>
        </w:r>
        <w:r w:rsidRPr="00CD0B56">
          <w:rPr>
            <w:rStyle w:val="Hyperlink"/>
            <w:noProof/>
          </w:rPr>
          <w:t>Additional DrawingML - Main Schema</w:t>
        </w:r>
        <w:r>
          <w:rPr>
            <w:noProof/>
            <w:webHidden/>
          </w:rPr>
          <w:tab/>
        </w:r>
        <w:r>
          <w:rPr>
            <w:noProof/>
            <w:webHidden/>
          </w:rPr>
          <w:fldChar w:fldCharType="begin"/>
        </w:r>
        <w:r>
          <w:rPr>
            <w:noProof/>
            <w:webHidden/>
          </w:rPr>
          <w:instrText xml:space="preserve"> PAGEREF _Toc12262030 \h </w:instrText>
        </w:r>
        <w:r>
          <w:rPr>
            <w:noProof/>
            <w:webHidden/>
          </w:rPr>
        </w:r>
        <w:r>
          <w:rPr>
            <w:noProof/>
            <w:webHidden/>
          </w:rPr>
          <w:fldChar w:fldCharType="separate"/>
        </w:r>
        <w:r>
          <w:rPr>
            <w:noProof/>
            <w:webHidden/>
          </w:rPr>
          <w:t>825</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31" w:history="1">
        <w:r w:rsidRPr="00CD0B56">
          <w:rPr>
            <w:rStyle w:val="Hyperlink"/>
            <w:noProof/>
          </w:rPr>
          <w:t>3.1.4.2.1</w:t>
        </w:r>
        <w:r>
          <w:rPr>
            <w:rFonts w:asciiTheme="minorHAnsi" w:eastAsiaTheme="minorEastAsia" w:hAnsiTheme="minorHAnsi" w:cstheme="minorBidi"/>
            <w:noProof/>
            <w:sz w:val="22"/>
            <w:szCs w:val="22"/>
          </w:rPr>
          <w:tab/>
        </w:r>
        <w:r w:rsidRPr="00CD0B56">
          <w:rPr>
            <w:rStyle w:val="Hyperlink"/>
            <w:noProof/>
          </w:rPr>
          <w:t>Additional Elements</w:t>
        </w:r>
        <w:r>
          <w:rPr>
            <w:noProof/>
            <w:webHidden/>
          </w:rPr>
          <w:tab/>
        </w:r>
        <w:r>
          <w:rPr>
            <w:noProof/>
            <w:webHidden/>
          </w:rPr>
          <w:fldChar w:fldCharType="begin"/>
        </w:r>
        <w:r>
          <w:rPr>
            <w:noProof/>
            <w:webHidden/>
          </w:rPr>
          <w:instrText xml:space="preserve"> PAGEREF _Toc12262031 \h </w:instrText>
        </w:r>
        <w:r>
          <w:rPr>
            <w:noProof/>
            <w:webHidden/>
          </w:rPr>
        </w:r>
        <w:r>
          <w:rPr>
            <w:noProof/>
            <w:webHidden/>
          </w:rPr>
          <w:fldChar w:fldCharType="separate"/>
        </w:r>
        <w:r>
          <w:rPr>
            <w:noProof/>
            <w:webHidden/>
          </w:rPr>
          <w:t>825</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032" w:history="1">
        <w:r w:rsidRPr="00CD0B56">
          <w:rPr>
            <w:rStyle w:val="Hyperlink"/>
            <w:noProof/>
          </w:rPr>
          <w:t>3.1.4.2.1.1</w:t>
        </w:r>
        <w:r>
          <w:rPr>
            <w:rFonts w:asciiTheme="minorHAnsi" w:eastAsiaTheme="minorEastAsia" w:hAnsiTheme="minorHAnsi" w:cstheme="minorBidi"/>
            <w:noProof/>
            <w:sz w:val="22"/>
            <w:szCs w:val="22"/>
          </w:rPr>
          <w:tab/>
        </w:r>
        <w:r w:rsidRPr="00CD0B56">
          <w:rPr>
            <w:rStyle w:val="Hyperlink"/>
            <w:noProof/>
          </w:rPr>
          <w:t>bounds (Bounds)</w:t>
        </w:r>
        <w:r>
          <w:rPr>
            <w:noProof/>
            <w:webHidden/>
          </w:rPr>
          <w:tab/>
        </w:r>
        <w:r>
          <w:rPr>
            <w:noProof/>
            <w:webHidden/>
          </w:rPr>
          <w:fldChar w:fldCharType="begin"/>
        </w:r>
        <w:r>
          <w:rPr>
            <w:noProof/>
            <w:webHidden/>
          </w:rPr>
          <w:instrText xml:space="preserve"> PAGEREF _Toc12262032 \h </w:instrText>
        </w:r>
        <w:r>
          <w:rPr>
            <w:noProof/>
            <w:webHidden/>
          </w:rPr>
        </w:r>
        <w:r>
          <w:rPr>
            <w:noProof/>
            <w:webHidden/>
          </w:rPr>
          <w:fldChar w:fldCharType="separate"/>
        </w:r>
        <w:r>
          <w:rPr>
            <w:noProof/>
            <w:webHidden/>
          </w:rPr>
          <w:t>825</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033" w:history="1">
        <w:r w:rsidRPr="00CD0B56">
          <w:rPr>
            <w:rStyle w:val="Hyperlink"/>
            <w:noProof/>
          </w:rPr>
          <w:t>3.1.4.2.1.2</w:t>
        </w:r>
        <w:r>
          <w:rPr>
            <w:rFonts w:asciiTheme="minorHAnsi" w:eastAsiaTheme="minorEastAsia" w:hAnsiTheme="minorHAnsi" w:cstheme="minorBidi"/>
            <w:noProof/>
            <w:sz w:val="22"/>
            <w:szCs w:val="22"/>
          </w:rPr>
          <w:tab/>
        </w:r>
        <w:r w:rsidRPr="00CD0B56">
          <w:rPr>
            <w:rStyle w:val="Hyperlink"/>
            <w:noProof/>
          </w:rPr>
          <w:t>downRevStg (DownRev Storage)</w:t>
        </w:r>
        <w:r>
          <w:rPr>
            <w:noProof/>
            <w:webHidden/>
          </w:rPr>
          <w:tab/>
        </w:r>
        <w:r>
          <w:rPr>
            <w:noProof/>
            <w:webHidden/>
          </w:rPr>
          <w:fldChar w:fldCharType="begin"/>
        </w:r>
        <w:r>
          <w:rPr>
            <w:noProof/>
            <w:webHidden/>
          </w:rPr>
          <w:instrText xml:space="preserve"> PAGEREF _Toc12262033 \h </w:instrText>
        </w:r>
        <w:r>
          <w:rPr>
            <w:noProof/>
            <w:webHidden/>
          </w:rPr>
        </w:r>
        <w:r>
          <w:rPr>
            <w:noProof/>
            <w:webHidden/>
          </w:rPr>
          <w:fldChar w:fldCharType="separate"/>
        </w:r>
        <w:r>
          <w:rPr>
            <w:noProof/>
            <w:webHidden/>
          </w:rPr>
          <w:t>826</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34" w:history="1">
        <w:r w:rsidRPr="00CD0B56">
          <w:rPr>
            <w:rStyle w:val="Hyperlink"/>
            <w:noProof/>
          </w:rPr>
          <w:t>3.1.4.2.2</w:t>
        </w:r>
        <w:r>
          <w:rPr>
            <w:rFonts w:asciiTheme="minorHAnsi" w:eastAsiaTheme="minorEastAsia" w:hAnsiTheme="minorHAnsi" w:cstheme="minorBidi"/>
            <w:noProof/>
            <w:sz w:val="22"/>
            <w:szCs w:val="22"/>
          </w:rPr>
          <w:tab/>
        </w:r>
        <w:r w:rsidRPr="00CD0B56">
          <w:rPr>
            <w:rStyle w:val="Hyperlink"/>
            <w:noProof/>
          </w:rPr>
          <w:t>Simple Types</w:t>
        </w:r>
        <w:r>
          <w:rPr>
            <w:noProof/>
            <w:webHidden/>
          </w:rPr>
          <w:tab/>
        </w:r>
        <w:r>
          <w:rPr>
            <w:noProof/>
            <w:webHidden/>
          </w:rPr>
          <w:fldChar w:fldCharType="begin"/>
        </w:r>
        <w:r>
          <w:rPr>
            <w:noProof/>
            <w:webHidden/>
          </w:rPr>
          <w:instrText xml:space="preserve"> PAGEREF _Toc12262034 \h </w:instrText>
        </w:r>
        <w:r>
          <w:rPr>
            <w:noProof/>
            <w:webHidden/>
          </w:rPr>
        </w:r>
        <w:r>
          <w:rPr>
            <w:noProof/>
            <w:webHidden/>
          </w:rPr>
          <w:fldChar w:fldCharType="separate"/>
        </w:r>
        <w:r>
          <w:rPr>
            <w:noProof/>
            <w:webHidden/>
          </w:rPr>
          <w:t>827</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035" w:history="1">
        <w:r w:rsidRPr="00CD0B56">
          <w:rPr>
            <w:rStyle w:val="Hyperlink"/>
            <w:noProof/>
          </w:rPr>
          <w:t>3.1.4.2.2.1</w:t>
        </w:r>
        <w:r>
          <w:rPr>
            <w:rFonts w:asciiTheme="minorHAnsi" w:eastAsiaTheme="minorEastAsia" w:hAnsiTheme="minorHAnsi" w:cstheme="minorBidi"/>
            <w:noProof/>
            <w:sz w:val="22"/>
            <w:szCs w:val="22"/>
          </w:rPr>
          <w:tab/>
        </w:r>
        <w:r w:rsidRPr="00CD0B56">
          <w:rPr>
            <w:rStyle w:val="Hyperlink"/>
            <w:noProof/>
          </w:rPr>
          <w:t>ST_CoordinateUnqualified (Coordinate)</w:t>
        </w:r>
        <w:r>
          <w:rPr>
            <w:noProof/>
            <w:webHidden/>
          </w:rPr>
          <w:tab/>
        </w:r>
        <w:r>
          <w:rPr>
            <w:noProof/>
            <w:webHidden/>
          </w:rPr>
          <w:fldChar w:fldCharType="begin"/>
        </w:r>
        <w:r>
          <w:rPr>
            <w:noProof/>
            <w:webHidden/>
          </w:rPr>
          <w:instrText xml:space="preserve"> PAGEREF _Toc12262035 \h </w:instrText>
        </w:r>
        <w:r>
          <w:rPr>
            <w:noProof/>
            <w:webHidden/>
          </w:rPr>
        </w:r>
        <w:r>
          <w:rPr>
            <w:noProof/>
            <w:webHidden/>
          </w:rPr>
          <w:fldChar w:fldCharType="separate"/>
        </w:r>
        <w:r>
          <w:rPr>
            <w:noProof/>
            <w:webHidden/>
          </w:rPr>
          <w:t>827</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036" w:history="1">
        <w:r w:rsidRPr="00CD0B56">
          <w:rPr>
            <w:rStyle w:val="Hyperlink"/>
            <w:noProof/>
          </w:rPr>
          <w:t>3.1.4.3</w:t>
        </w:r>
        <w:r>
          <w:rPr>
            <w:rFonts w:asciiTheme="minorHAnsi" w:eastAsiaTheme="minorEastAsia" w:hAnsiTheme="minorHAnsi" w:cstheme="minorBidi"/>
            <w:noProof/>
            <w:sz w:val="22"/>
            <w:szCs w:val="22"/>
          </w:rPr>
          <w:tab/>
        </w:r>
        <w:r w:rsidRPr="00CD0B56">
          <w:rPr>
            <w:rStyle w:val="Hyperlink"/>
            <w:noProof/>
          </w:rPr>
          <w:t>Additional DrawingML - WordprocessingML Schema</w:t>
        </w:r>
        <w:r>
          <w:rPr>
            <w:noProof/>
            <w:webHidden/>
          </w:rPr>
          <w:tab/>
        </w:r>
        <w:r>
          <w:rPr>
            <w:noProof/>
            <w:webHidden/>
          </w:rPr>
          <w:fldChar w:fldCharType="begin"/>
        </w:r>
        <w:r>
          <w:rPr>
            <w:noProof/>
            <w:webHidden/>
          </w:rPr>
          <w:instrText xml:space="preserve"> PAGEREF _Toc12262036 \h </w:instrText>
        </w:r>
        <w:r>
          <w:rPr>
            <w:noProof/>
            <w:webHidden/>
          </w:rPr>
        </w:r>
        <w:r>
          <w:rPr>
            <w:noProof/>
            <w:webHidden/>
          </w:rPr>
          <w:fldChar w:fldCharType="separate"/>
        </w:r>
        <w:r>
          <w:rPr>
            <w:noProof/>
            <w:webHidden/>
          </w:rPr>
          <w:t>827</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37" w:history="1">
        <w:r w:rsidRPr="00CD0B56">
          <w:rPr>
            <w:rStyle w:val="Hyperlink"/>
            <w:noProof/>
          </w:rPr>
          <w:t>3.1.4.3.1</w:t>
        </w:r>
        <w:r>
          <w:rPr>
            <w:rFonts w:asciiTheme="minorHAnsi" w:eastAsiaTheme="minorEastAsia" w:hAnsiTheme="minorHAnsi" w:cstheme="minorBidi"/>
            <w:noProof/>
            <w:sz w:val="22"/>
            <w:szCs w:val="22"/>
          </w:rPr>
          <w:tab/>
        </w:r>
        <w:r w:rsidRPr="00CD0B56">
          <w:rPr>
            <w:rStyle w:val="Hyperlink"/>
            <w:noProof/>
          </w:rPr>
          <w:t>Additional Elements</w:t>
        </w:r>
        <w:r>
          <w:rPr>
            <w:noProof/>
            <w:webHidden/>
          </w:rPr>
          <w:tab/>
        </w:r>
        <w:r>
          <w:rPr>
            <w:noProof/>
            <w:webHidden/>
          </w:rPr>
          <w:fldChar w:fldCharType="begin"/>
        </w:r>
        <w:r>
          <w:rPr>
            <w:noProof/>
            <w:webHidden/>
          </w:rPr>
          <w:instrText xml:space="preserve"> PAGEREF _Toc12262037 \h </w:instrText>
        </w:r>
        <w:r>
          <w:rPr>
            <w:noProof/>
            <w:webHidden/>
          </w:rPr>
        </w:r>
        <w:r>
          <w:rPr>
            <w:noProof/>
            <w:webHidden/>
          </w:rPr>
          <w:fldChar w:fldCharType="separate"/>
        </w:r>
        <w:r>
          <w:rPr>
            <w:noProof/>
            <w:webHidden/>
          </w:rPr>
          <w:t>827</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038" w:history="1">
        <w:r w:rsidRPr="00CD0B56">
          <w:rPr>
            <w:rStyle w:val="Hyperlink"/>
            <w:noProof/>
          </w:rPr>
          <w:t>3.1.4.3.1.1</w:t>
        </w:r>
        <w:r>
          <w:rPr>
            <w:rFonts w:asciiTheme="minorHAnsi" w:eastAsiaTheme="minorEastAsia" w:hAnsiTheme="minorHAnsi" w:cstheme="minorBidi"/>
            <w:noProof/>
            <w:sz w:val="22"/>
            <w:szCs w:val="22"/>
          </w:rPr>
          <w:tab/>
        </w:r>
        <w:r w:rsidRPr="00CD0B56">
          <w:rPr>
            <w:rStyle w:val="Hyperlink"/>
            <w:noProof/>
          </w:rPr>
          <w:t>e2oholder (E2o Holder)</w:t>
        </w:r>
        <w:r>
          <w:rPr>
            <w:noProof/>
            <w:webHidden/>
          </w:rPr>
          <w:tab/>
        </w:r>
        <w:r>
          <w:rPr>
            <w:noProof/>
            <w:webHidden/>
          </w:rPr>
          <w:fldChar w:fldCharType="begin"/>
        </w:r>
        <w:r>
          <w:rPr>
            <w:noProof/>
            <w:webHidden/>
          </w:rPr>
          <w:instrText xml:space="preserve"> PAGEREF _Toc12262038 \h </w:instrText>
        </w:r>
        <w:r>
          <w:rPr>
            <w:noProof/>
            <w:webHidden/>
          </w:rPr>
        </w:r>
        <w:r>
          <w:rPr>
            <w:noProof/>
            <w:webHidden/>
          </w:rPr>
          <w:fldChar w:fldCharType="separate"/>
        </w:r>
        <w:r>
          <w:rPr>
            <w:noProof/>
            <w:webHidden/>
          </w:rPr>
          <w:t>827</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039" w:history="1">
        <w:r w:rsidRPr="00CD0B56">
          <w:rPr>
            <w:rStyle w:val="Hyperlink"/>
            <w:noProof/>
          </w:rPr>
          <w:t>3.1.4.3.1.2</w:t>
        </w:r>
        <w:r>
          <w:rPr>
            <w:rFonts w:asciiTheme="minorHAnsi" w:eastAsiaTheme="minorEastAsia" w:hAnsiTheme="minorHAnsi" w:cstheme="minorBidi"/>
            <w:noProof/>
            <w:sz w:val="22"/>
            <w:szCs w:val="22"/>
          </w:rPr>
          <w:tab/>
        </w:r>
        <w:r w:rsidRPr="00CD0B56">
          <w:rPr>
            <w:rStyle w:val="Hyperlink"/>
            <w:noProof/>
          </w:rPr>
          <w:t>effectOffset (Effect Offset)</w:t>
        </w:r>
        <w:r>
          <w:rPr>
            <w:noProof/>
            <w:webHidden/>
          </w:rPr>
          <w:tab/>
        </w:r>
        <w:r>
          <w:rPr>
            <w:noProof/>
            <w:webHidden/>
          </w:rPr>
          <w:fldChar w:fldCharType="begin"/>
        </w:r>
        <w:r>
          <w:rPr>
            <w:noProof/>
            <w:webHidden/>
          </w:rPr>
          <w:instrText xml:space="preserve"> PAGEREF _Toc12262039 \h </w:instrText>
        </w:r>
        <w:r>
          <w:rPr>
            <w:noProof/>
            <w:webHidden/>
          </w:rPr>
        </w:r>
        <w:r>
          <w:rPr>
            <w:noProof/>
            <w:webHidden/>
          </w:rPr>
          <w:fldChar w:fldCharType="separate"/>
        </w:r>
        <w:r>
          <w:rPr>
            <w:noProof/>
            <w:webHidden/>
          </w:rPr>
          <w:t>828</w:t>
        </w:r>
        <w:r>
          <w:rPr>
            <w:noProof/>
            <w:webHidden/>
          </w:rPr>
          <w:fldChar w:fldCharType="end"/>
        </w:r>
      </w:hyperlink>
    </w:p>
    <w:p w:rsidR="00694C0F" w:rsidRDefault="00694C0F">
      <w:pPr>
        <w:pStyle w:val="TOC2"/>
        <w:rPr>
          <w:rFonts w:asciiTheme="minorHAnsi" w:eastAsiaTheme="minorEastAsia" w:hAnsiTheme="minorHAnsi" w:cstheme="minorBidi"/>
          <w:noProof/>
          <w:sz w:val="22"/>
          <w:szCs w:val="22"/>
        </w:rPr>
      </w:pPr>
      <w:hyperlink w:anchor="_Toc12262040" w:history="1">
        <w:r w:rsidRPr="00CD0B56">
          <w:rPr>
            <w:rStyle w:val="Hyperlink"/>
            <w:noProof/>
          </w:rPr>
          <w:t>3.2</w:t>
        </w:r>
        <w:r>
          <w:rPr>
            <w:rFonts w:asciiTheme="minorHAnsi" w:eastAsiaTheme="minorEastAsia" w:hAnsiTheme="minorHAnsi" w:cstheme="minorBidi"/>
            <w:noProof/>
            <w:sz w:val="22"/>
            <w:szCs w:val="22"/>
          </w:rPr>
          <w:tab/>
        </w:r>
        <w:r w:rsidRPr="00CD0B56">
          <w:rPr>
            <w:rStyle w:val="Hyperlink"/>
            <w:noProof/>
          </w:rPr>
          <w:t>Excel</w:t>
        </w:r>
        <w:r>
          <w:rPr>
            <w:noProof/>
            <w:webHidden/>
          </w:rPr>
          <w:tab/>
        </w:r>
        <w:r>
          <w:rPr>
            <w:noProof/>
            <w:webHidden/>
          </w:rPr>
          <w:fldChar w:fldCharType="begin"/>
        </w:r>
        <w:r>
          <w:rPr>
            <w:noProof/>
            <w:webHidden/>
          </w:rPr>
          <w:instrText xml:space="preserve"> PAGEREF _Toc12262040 \h </w:instrText>
        </w:r>
        <w:r>
          <w:rPr>
            <w:noProof/>
            <w:webHidden/>
          </w:rPr>
        </w:r>
        <w:r>
          <w:rPr>
            <w:noProof/>
            <w:webHidden/>
          </w:rPr>
          <w:fldChar w:fldCharType="separate"/>
        </w:r>
        <w:r>
          <w:rPr>
            <w:noProof/>
            <w:webHidden/>
          </w:rPr>
          <w:t>829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2041" w:history="1">
        <w:r w:rsidRPr="00CD0B56">
          <w:rPr>
            <w:rStyle w:val="Hyperlink"/>
            <w:noProof/>
          </w:rPr>
          <w:t>3.2.1</w:t>
        </w:r>
        <w:r>
          <w:rPr>
            <w:rFonts w:asciiTheme="minorHAnsi" w:eastAsiaTheme="minorEastAsia" w:hAnsiTheme="minorHAnsi" w:cstheme="minorBidi"/>
            <w:noProof/>
            <w:sz w:val="22"/>
            <w:szCs w:val="22"/>
          </w:rPr>
          <w:tab/>
        </w:r>
        <w:r w:rsidRPr="00CD0B56">
          <w:rPr>
            <w:rStyle w:val="Hyperlink"/>
            <w:noProof/>
          </w:rPr>
          <w:t>Additional Parts</w:t>
        </w:r>
        <w:r>
          <w:rPr>
            <w:noProof/>
            <w:webHidden/>
          </w:rPr>
          <w:tab/>
        </w:r>
        <w:r>
          <w:rPr>
            <w:noProof/>
            <w:webHidden/>
          </w:rPr>
          <w:fldChar w:fldCharType="begin"/>
        </w:r>
        <w:r>
          <w:rPr>
            <w:noProof/>
            <w:webHidden/>
          </w:rPr>
          <w:instrText xml:space="preserve"> PAGEREF _Toc12262041 \h </w:instrText>
        </w:r>
        <w:r>
          <w:rPr>
            <w:noProof/>
            <w:webHidden/>
          </w:rPr>
        </w:r>
        <w:r>
          <w:rPr>
            <w:noProof/>
            <w:webHidden/>
          </w:rPr>
          <w:fldChar w:fldCharType="separate"/>
        </w:r>
        <w:r>
          <w:rPr>
            <w:noProof/>
            <w:webHidden/>
          </w:rPr>
          <w:t>829</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042" w:history="1">
        <w:r w:rsidRPr="00CD0B56">
          <w:rPr>
            <w:rStyle w:val="Hyperlink"/>
            <w:noProof/>
          </w:rPr>
          <w:t>3.2.1.1</w:t>
        </w:r>
        <w:r>
          <w:rPr>
            <w:rFonts w:asciiTheme="minorHAnsi" w:eastAsiaTheme="minorEastAsia" w:hAnsiTheme="minorHAnsi" w:cstheme="minorBidi"/>
            <w:noProof/>
            <w:sz w:val="22"/>
            <w:szCs w:val="22"/>
          </w:rPr>
          <w:tab/>
        </w:r>
        <w:r w:rsidRPr="00CD0B56">
          <w:rPr>
            <w:rStyle w:val="Hyperlink"/>
            <w:noProof/>
          </w:rPr>
          <w:t>Excel Attached Toolbars Part</w:t>
        </w:r>
        <w:r>
          <w:rPr>
            <w:noProof/>
            <w:webHidden/>
          </w:rPr>
          <w:tab/>
        </w:r>
        <w:r>
          <w:rPr>
            <w:noProof/>
            <w:webHidden/>
          </w:rPr>
          <w:fldChar w:fldCharType="begin"/>
        </w:r>
        <w:r>
          <w:rPr>
            <w:noProof/>
            <w:webHidden/>
          </w:rPr>
          <w:instrText xml:space="preserve"> PAGEREF _Toc12262042 \h </w:instrText>
        </w:r>
        <w:r>
          <w:rPr>
            <w:noProof/>
            <w:webHidden/>
          </w:rPr>
        </w:r>
        <w:r>
          <w:rPr>
            <w:noProof/>
            <w:webHidden/>
          </w:rPr>
          <w:fldChar w:fldCharType="separate"/>
        </w:r>
        <w:r>
          <w:rPr>
            <w:noProof/>
            <w:webHidden/>
          </w:rPr>
          <w:t>829</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043" w:history="1">
        <w:r w:rsidRPr="00CD0B56">
          <w:rPr>
            <w:rStyle w:val="Hyperlink"/>
            <w:noProof/>
          </w:rPr>
          <w:t>3.2.1.2</w:t>
        </w:r>
        <w:r>
          <w:rPr>
            <w:rFonts w:asciiTheme="minorHAnsi" w:eastAsiaTheme="minorEastAsia" w:hAnsiTheme="minorHAnsi" w:cstheme="minorBidi"/>
            <w:noProof/>
            <w:sz w:val="22"/>
            <w:szCs w:val="22"/>
          </w:rPr>
          <w:tab/>
        </w:r>
        <w:r w:rsidRPr="00CD0B56">
          <w:rPr>
            <w:rStyle w:val="Hyperlink"/>
            <w:noProof/>
          </w:rPr>
          <w:t>Worksheet Sort Map Part</w:t>
        </w:r>
        <w:r>
          <w:rPr>
            <w:noProof/>
            <w:webHidden/>
          </w:rPr>
          <w:tab/>
        </w:r>
        <w:r>
          <w:rPr>
            <w:noProof/>
            <w:webHidden/>
          </w:rPr>
          <w:fldChar w:fldCharType="begin"/>
        </w:r>
        <w:r>
          <w:rPr>
            <w:noProof/>
            <w:webHidden/>
          </w:rPr>
          <w:instrText xml:space="preserve"> PAGEREF _Toc12262043 \h </w:instrText>
        </w:r>
        <w:r>
          <w:rPr>
            <w:noProof/>
            <w:webHidden/>
          </w:rPr>
        </w:r>
        <w:r>
          <w:rPr>
            <w:noProof/>
            <w:webHidden/>
          </w:rPr>
          <w:fldChar w:fldCharType="separate"/>
        </w:r>
        <w:r>
          <w:rPr>
            <w:noProof/>
            <w:webHidden/>
          </w:rPr>
          <w:t>830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2044" w:history="1">
        <w:r w:rsidRPr="00CD0B56">
          <w:rPr>
            <w:rStyle w:val="Hyperlink"/>
            <w:noProof/>
          </w:rPr>
          <w:t>3.2.2</w:t>
        </w:r>
        <w:r>
          <w:rPr>
            <w:rFonts w:asciiTheme="minorHAnsi" w:eastAsiaTheme="minorEastAsia" w:hAnsiTheme="minorHAnsi" w:cstheme="minorBidi"/>
            <w:noProof/>
            <w:sz w:val="22"/>
            <w:szCs w:val="22"/>
          </w:rPr>
          <w:tab/>
        </w:r>
        <w:r w:rsidRPr="00CD0B56">
          <w:rPr>
            <w:rStyle w:val="Hyperlink"/>
            <w:noProof/>
          </w:rPr>
          <w:t>Microsoft Office Excel Sortmap</w:t>
        </w:r>
        <w:r>
          <w:rPr>
            <w:noProof/>
            <w:webHidden/>
          </w:rPr>
          <w:tab/>
        </w:r>
        <w:r>
          <w:rPr>
            <w:noProof/>
            <w:webHidden/>
          </w:rPr>
          <w:fldChar w:fldCharType="begin"/>
        </w:r>
        <w:r>
          <w:rPr>
            <w:noProof/>
            <w:webHidden/>
          </w:rPr>
          <w:instrText xml:space="preserve"> PAGEREF _Toc12262044 \h </w:instrText>
        </w:r>
        <w:r>
          <w:rPr>
            <w:noProof/>
            <w:webHidden/>
          </w:rPr>
        </w:r>
        <w:r>
          <w:rPr>
            <w:noProof/>
            <w:webHidden/>
          </w:rPr>
          <w:fldChar w:fldCharType="separate"/>
        </w:r>
        <w:r>
          <w:rPr>
            <w:noProof/>
            <w:webHidden/>
          </w:rPr>
          <w:t>830</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045" w:history="1">
        <w:r w:rsidRPr="00CD0B56">
          <w:rPr>
            <w:rStyle w:val="Hyperlink"/>
            <w:noProof/>
          </w:rPr>
          <w:t>3.2.2.1</w:t>
        </w:r>
        <w:r>
          <w:rPr>
            <w:rFonts w:asciiTheme="minorHAnsi" w:eastAsiaTheme="minorEastAsia" w:hAnsiTheme="minorHAnsi" w:cstheme="minorBidi"/>
            <w:noProof/>
            <w:sz w:val="22"/>
            <w:szCs w:val="22"/>
          </w:rPr>
          <w:tab/>
        </w:r>
        <w:r w:rsidRPr="00CD0B56">
          <w:rPr>
            <w:rStyle w:val="Hyperlink"/>
            <w:noProof/>
          </w:rPr>
          <w:t>Sortmap Elements</w:t>
        </w:r>
        <w:r>
          <w:rPr>
            <w:noProof/>
            <w:webHidden/>
          </w:rPr>
          <w:tab/>
        </w:r>
        <w:r>
          <w:rPr>
            <w:noProof/>
            <w:webHidden/>
          </w:rPr>
          <w:fldChar w:fldCharType="begin"/>
        </w:r>
        <w:r>
          <w:rPr>
            <w:noProof/>
            <w:webHidden/>
          </w:rPr>
          <w:instrText xml:space="preserve"> PAGEREF _Toc12262045 \h </w:instrText>
        </w:r>
        <w:r>
          <w:rPr>
            <w:noProof/>
            <w:webHidden/>
          </w:rPr>
        </w:r>
        <w:r>
          <w:rPr>
            <w:noProof/>
            <w:webHidden/>
          </w:rPr>
          <w:fldChar w:fldCharType="separate"/>
        </w:r>
        <w:r>
          <w:rPr>
            <w:noProof/>
            <w:webHidden/>
          </w:rPr>
          <w:t>831</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46" w:history="1">
        <w:r w:rsidRPr="00CD0B56">
          <w:rPr>
            <w:rStyle w:val="Hyperlink"/>
            <w:noProof/>
          </w:rPr>
          <w:t>3.2.2.1.1</w:t>
        </w:r>
        <w:r>
          <w:rPr>
            <w:rFonts w:asciiTheme="minorHAnsi" w:eastAsiaTheme="minorEastAsia" w:hAnsiTheme="minorHAnsi" w:cstheme="minorBidi"/>
            <w:noProof/>
            <w:sz w:val="22"/>
            <w:szCs w:val="22"/>
          </w:rPr>
          <w:tab/>
        </w:r>
        <w:r w:rsidRPr="00CD0B56">
          <w:rPr>
            <w:rStyle w:val="Hyperlink"/>
            <w:noProof/>
          </w:rPr>
          <w:t>col (Column)</w:t>
        </w:r>
        <w:r>
          <w:rPr>
            <w:noProof/>
            <w:webHidden/>
          </w:rPr>
          <w:tab/>
        </w:r>
        <w:r>
          <w:rPr>
            <w:noProof/>
            <w:webHidden/>
          </w:rPr>
          <w:fldChar w:fldCharType="begin"/>
        </w:r>
        <w:r>
          <w:rPr>
            <w:noProof/>
            <w:webHidden/>
          </w:rPr>
          <w:instrText xml:space="preserve"> PAGEREF _Toc12262046 \h </w:instrText>
        </w:r>
        <w:r>
          <w:rPr>
            <w:noProof/>
            <w:webHidden/>
          </w:rPr>
        </w:r>
        <w:r>
          <w:rPr>
            <w:noProof/>
            <w:webHidden/>
          </w:rPr>
          <w:fldChar w:fldCharType="separate"/>
        </w:r>
        <w:r>
          <w:rPr>
            <w:noProof/>
            <w:webHidden/>
          </w:rPr>
          <w:t>832</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47" w:history="1">
        <w:r w:rsidRPr="00CD0B56">
          <w:rPr>
            <w:rStyle w:val="Hyperlink"/>
            <w:noProof/>
          </w:rPr>
          <w:t>3.2.2.1.2</w:t>
        </w:r>
        <w:r>
          <w:rPr>
            <w:rFonts w:asciiTheme="minorHAnsi" w:eastAsiaTheme="minorEastAsia" w:hAnsiTheme="minorHAnsi" w:cstheme="minorBidi"/>
            <w:noProof/>
            <w:sz w:val="22"/>
            <w:szCs w:val="22"/>
          </w:rPr>
          <w:tab/>
        </w:r>
        <w:r w:rsidRPr="00CD0B56">
          <w:rPr>
            <w:rStyle w:val="Hyperlink"/>
            <w:noProof/>
          </w:rPr>
          <w:t>colSortMap (Column Sort Map)</w:t>
        </w:r>
        <w:r>
          <w:rPr>
            <w:noProof/>
            <w:webHidden/>
          </w:rPr>
          <w:tab/>
        </w:r>
        <w:r>
          <w:rPr>
            <w:noProof/>
            <w:webHidden/>
          </w:rPr>
          <w:fldChar w:fldCharType="begin"/>
        </w:r>
        <w:r>
          <w:rPr>
            <w:noProof/>
            <w:webHidden/>
          </w:rPr>
          <w:instrText xml:space="preserve"> PAGEREF _Toc12262047 \h </w:instrText>
        </w:r>
        <w:r>
          <w:rPr>
            <w:noProof/>
            <w:webHidden/>
          </w:rPr>
        </w:r>
        <w:r>
          <w:rPr>
            <w:noProof/>
            <w:webHidden/>
          </w:rPr>
          <w:fldChar w:fldCharType="separate"/>
        </w:r>
        <w:r>
          <w:rPr>
            <w:noProof/>
            <w:webHidden/>
          </w:rPr>
          <w:t>833</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48" w:history="1">
        <w:r w:rsidRPr="00CD0B56">
          <w:rPr>
            <w:rStyle w:val="Hyperlink"/>
            <w:noProof/>
          </w:rPr>
          <w:t>3.2.2.1.3</w:t>
        </w:r>
        <w:r>
          <w:rPr>
            <w:rFonts w:asciiTheme="minorHAnsi" w:eastAsiaTheme="minorEastAsia" w:hAnsiTheme="minorHAnsi" w:cstheme="minorBidi"/>
            <w:noProof/>
            <w:sz w:val="22"/>
            <w:szCs w:val="22"/>
          </w:rPr>
          <w:tab/>
        </w:r>
        <w:r w:rsidRPr="00CD0B56">
          <w:rPr>
            <w:rStyle w:val="Hyperlink"/>
            <w:noProof/>
          </w:rPr>
          <w:t>row (Row)</w:t>
        </w:r>
        <w:r>
          <w:rPr>
            <w:noProof/>
            <w:webHidden/>
          </w:rPr>
          <w:tab/>
        </w:r>
        <w:r>
          <w:rPr>
            <w:noProof/>
            <w:webHidden/>
          </w:rPr>
          <w:fldChar w:fldCharType="begin"/>
        </w:r>
        <w:r>
          <w:rPr>
            <w:noProof/>
            <w:webHidden/>
          </w:rPr>
          <w:instrText xml:space="preserve"> PAGEREF _Toc12262048 \h </w:instrText>
        </w:r>
        <w:r>
          <w:rPr>
            <w:noProof/>
            <w:webHidden/>
          </w:rPr>
        </w:r>
        <w:r>
          <w:rPr>
            <w:noProof/>
            <w:webHidden/>
          </w:rPr>
          <w:fldChar w:fldCharType="separate"/>
        </w:r>
        <w:r>
          <w:rPr>
            <w:noProof/>
            <w:webHidden/>
          </w:rPr>
          <w:t>834</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49" w:history="1">
        <w:r w:rsidRPr="00CD0B56">
          <w:rPr>
            <w:rStyle w:val="Hyperlink"/>
            <w:noProof/>
          </w:rPr>
          <w:t>3.2.2.1.4</w:t>
        </w:r>
        <w:r>
          <w:rPr>
            <w:rFonts w:asciiTheme="minorHAnsi" w:eastAsiaTheme="minorEastAsia" w:hAnsiTheme="minorHAnsi" w:cstheme="minorBidi"/>
            <w:noProof/>
            <w:sz w:val="22"/>
            <w:szCs w:val="22"/>
          </w:rPr>
          <w:tab/>
        </w:r>
        <w:r w:rsidRPr="00CD0B56">
          <w:rPr>
            <w:rStyle w:val="Hyperlink"/>
            <w:noProof/>
          </w:rPr>
          <w:t>rowSortMap (Row Sort Map)</w:t>
        </w:r>
        <w:r>
          <w:rPr>
            <w:noProof/>
            <w:webHidden/>
          </w:rPr>
          <w:tab/>
        </w:r>
        <w:r>
          <w:rPr>
            <w:noProof/>
            <w:webHidden/>
          </w:rPr>
          <w:fldChar w:fldCharType="begin"/>
        </w:r>
        <w:r>
          <w:rPr>
            <w:noProof/>
            <w:webHidden/>
          </w:rPr>
          <w:instrText xml:space="preserve"> PAGEREF _Toc12262049 \h </w:instrText>
        </w:r>
        <w:r>
          <w:rPr>
            <w:noProof/>
            <w:webHidden/>
          </w:rPr>
        </w:r>
        <w:r>
          <w:rPr>
            <w:noProof/>
            <w:webHidden/>
          </w:rPr>
          <w:fldChar w:fldCharType="separate"/>
        </w:r>
        <w:r>
          <w:rPr>
            <w:noProof/>
            <w:webHidden/>
          </w:rPr>
          <w:t>834</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50" w:history="1">
        <w:r w:rsidRPr="00CD0B56">
          <w:rPr>
            <w:rStyle w:val="Hyperlink"/>
            <w:noProof/>
          </w:rPr>
          <w:t>3.2.2.1.5</w:t>
        </w:r>
        <w:r>
          <w:rPr>
            <w:rFonts w:asciiTheme="minorHAnsi" w:eastAsiaTheme="minorEastAsia" w:hAnsiTheme="minorHAnsi" w:cstheme="minorBidi"/>
            <w:noProof/>
            <w:sz w:val="22"/>
            <w:szCs w:val="22"/>
          </w:rPr>
          <w:tab/>
        </w:r>
        <w:r w:rsidRPr="00CD0B56">
          <w:rPr>
            <w:rStyle w:val="Hyperlink"/>
            <w:noProof/>
          </w:rPr>
          <w:t>worksheetSortMap (Worksheet Sort Map)</w:t>
        </w:r>
        <w:r>
          <w:rPr>
            <w:noProof/>
            <w:webHidden/>
          </w:rPr>
          <w:tab/>
        </w:r>
        <w:r>
          <w:rPr>
            <w:noProof/>
            <w:webHidden/>
          </w:rPr>
          <w:fldChar w:fldCharType="begin"/>
        </w:r>
        <w:r>
          <w:rPr>
            <w:noProof/>
            <w:webHidden/>
          </w:rPr>
          <w:instrText xml:space="preserve"> PAGEREF _Toc12262050 \h </w:instrText>
        </w:r>
        <w:r>
          <w:rPr>
            <w:noProof/>
            <w:webHidden/>
          </w:rPr>
        </w:r>
        <w:r>
          <w:rPr>
            <w:noProof/>
            <w:webHidden/>
          </w:rPr>
          <w:fldChar w:fldCharType="separate"/>
        </w:r>
        <w:r>
          <w:rPr>
            <w:noProof/>
            <w:webHidden/>
          </w:rPr>
          <w:t>835</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051" w:history="1">
        <w:r w:rsidRPr="00CD0B56">
          <w:rPr>
            <w:rStyle w:val="Hyperlink"/>
            <w:noProof/>
          </w:rPr>
          <w:t>3.2.2.2</w:t>
        </w:r>
        <w:r>
          <w:rPr>
            <w:rFonts w:asciiTheme="minorHAnsi" w:eastAsiaTheme="minorEastAsia" w:hAnsiTheme="minorHAnsi" w:cstheme="minorBidi"/>
            <w:noProof/>
            <w:sz w:val="22"/>
            <w:szCs w:val="22"/>
          </w:rPr>
          <w:tab/>
        </w:r>
        <w:r w:rsidRPr="00CD0B56">
          <w:rPr>
            <w:rStyle w:val="Hyperlink"/>
            <w:noProof/>
          </w:rPr>
          <w:t>Simple Types</w:t>
        </w:r>
        <w:r>
          <w:rPr>
            <w:noProof/>
            <w:webHidden/>
          </w:rPr>
          <w:tab/>
        </w:r>
        <w:r>
          <w:rPr>
            <w:noProof/>
            <w:webHidden/>
          </w:rPr>
          <w:fldChar w:fldCharType="begin"/>
        </w:r>
        <w:r>
          <w:rPr>
            <w:noProof/>
            <w:webHidden/>
          </w:rPr>
          <w:instrText xml:space="preserve"> PAGEREF _Toc12262051 \h </w:instrText>
        </w:r>
        <w:r>
          <w:rPr>
            <w:noProof/>
            <w:webHidden/>
          </w:rPr>
        </w:r>
        <w:r>
          <w:rPr>
            <w:noProof/>
            <w:webHidden/>
          </w:rPr>
          <w:fldChar w:fldCharType="separate"/>
        </w:r>
        <w:r>
          <w:rPr>
            <w:noProof/>
            <w:webHidden/>
          </w:rPr>
          <w:t>836</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52" w:history="1">
        <w:r w:rsidRPr="00CD0B56">
          <w:rPr>
            <w:rStyle w:val="Hyperlink"/>
            <w:noProof/>
          </w:rPr>
          <w:t>3.2.2.2.1</w:t>
        </w:r>
        <w:r>
          <w:rPr>
            <w:rFonts w:asciiTheme="minorHAnsi" w:eastAsiaTheme="minorEastAsia" w:hAnsiTheme="minorHAnsi" w:cstheme="minorBidi"/>
            <w:noProof/>
            <w:sz w:val="22"/>
            <w:szCs w:val="22"/>
          </w:rPr>
          <w:tab/>
        </w:r>
        <w:r w:rsidRPr="00CD0B56">
          <w:rPr>
            <w:rStyle w:val="Hyperlink"/>
            <w:noProof/>
          </w:rPr>
          <w:t>ST_SortMapCount (Sort Map Count)</w:t>
        </w:r>
        <w:r>
          <w:rPr>
            <w:noProof/>
            <w:webHidden/>
          </w:rPr>
          <w:tab/>
        </w:r>
        <w:r>
          <w:rPr>
            <w:noProof/>
            <w:webHidden/>
          </w:rPr>
          <w:fldChar w:fldCharType="begin"/>
        </w:r>
        <w:r>
          <w:rPr>
            <w:noProof/>
            <w:webHidden/>
          </w:rPr>
          <w:instrText xml:space="preserve"> PAGEREF _Toc12262052 \h </w:instrText>
        </w:r>
        <w:r>
          <w:rPr>
            <w:noProof/>
            <w:webHidden/>
          </w:rPr>
        </w:r>
        <w:r>
          <w:rPr>
            <w:noProof/>
            <w:webHidden/>
          </w:rPr>
          <w:fldChar w:fldCharType="separate"/>
        </w:r>
        <w:r>
          <w:rPr>
            <w:noProof/>
            <w:webHidden/>
          </w:rPr>
          <w:t>836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2053" w:history="1">
        <w:r w:rsidRPr="00CD0B56">
          <w:rPr>
            <w:rStyle w:val="Hyperlink"/>
            <w:noProof/>
          </w:rPr>
          <w:t>3.2.3</w:t>
        </w:r>
        <w:r>
          <w:rPr>
            <w:rFonts w:asciiTheme="minorHAnsi" w:eastAsiaTheme="minorEastAsia" w:hAnsiTheme="minorHAnsi" w:cstheme="minorBidi"/>
            <w:noProof/>
            <w:sz w:val="22"/>
            <w:szCs w:val="22"/>
          </w:rPr>
          <w:tab/>
        </w:r>
        <w:r w:rsidRPr="00CD0B56">
          <w:rPr>
            <w:rStyle w:val="Hyperlink"/>
            <w:noProof/>
          </w:rPr>
          <w:t>Additional SpreadsheetML Schema</w:t>
        </w:r>
        <w:r>
          <w:rPr>
            <w:noProof/>
            <w:webHidden/>
          </w:rPr>
          <w:tab/>
        </w:r>
        <w:r>
          <w:rPr>
            <w:noProof/>
            <w:webHidden/>
          </w:rPr>
          <w:fldChar w:fldCharType="begin"/>
        </w:r>
        <w:r>
          <w:rPr>
            <w:noProof/>
            <w:webHidden/>
          </w:rPr>
          <w:instrText xml:space="preserve"> PAGEREF _Toc12262053 \h </w:instrText>
        </w:r>
        <w:r>
          <w:rPr>
            <w:noProof/>
            <w:webHidden/>
          </w:rPr>
        </w:r>
        <w:r>
          <w:rPr>
            <w:noProof/>
            <w:webHidden/>
          </w:rPr>
          <w:fldChar w:fldCharType="separate"/>
        </w:r>
        <w:r>
          <w:rPr>
            <w:noProof/>
            <w:webHidden/>
          </w:rPr>
          <w:t>836</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054" w:history="1">
        <w:r w:rsidRPr="00CD0B56">
          <w:rPr>
            <w:rStyle w:val="Hyperlink"/>
            <w:noProof/>
          </w:rPr>
          <w:t>3.2.3.1</w:t>
        </w:r>
        <w:r>
          <w:rPr>
            <w:rFonts w:asciiTheme="minorHAnsi" w:eastAsiaTheme="minorEastAsia" w:hAnsiTheme="minorHAnsi" w:cstheme="minorBidi"/>
            <w:noProof/>
            <w:sz w:val="22"/>
            <w:szCs w:val="22"/>
          </w:rPr>
          <w:tab/>
        </w:r>
        <w:r w:rsidRPr="00CD0B56">
          <w:rPr>
            <w:rStyle w:val="Hyperlink"/>
            <w:noProof/>
          </w:rPr>
          <w:t>Formulas</w:t>
        </w:r>
        <w:r>
          <w:rPr>
            <w:noProof/>
            <w:webHidden/>
          </w:rPr>
          <w:tab/>
        </w:r>
        <w:r>
          <w:rPr>
            <w:noProof/>
            <w:webHidden/>
          </w:rPr>
          <w:fldChar w:fldCharType="begin"/>
        </w:r>
        <w:r>
          <w:rPr>
            <w:noProof/>
            <w:webHidden/>
          </w:rPr>
          <w:instrText xml:space="preserve"> PAGEREF _Toc12262054 \h </w:instrText>
        </w:r>
        <w:r>
          <w:rPr>
            <w:noProof/>
            <w:webHidden/>
          </w:rPr>
        </w:r>
        <w:r>
          <w:rPr>
            <w:noProof/>
            <w:webHidden/>
          </w:rPr>
          <w:fldChar w:fldCharType="separate"/>
        </w:r>
        <w:r>
          <w:rPr>
            <w:noProof/>
            <w:webHidden/>
          </w:rPr>
          <w:t>836</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55" w:history="1">
        <w:r w:rsidRPr="00CD0B56">
          <w:rPr>
            <w:rStyle w:val="Hyperlink"/>
            <w:noProof/>
          </w:rPr>
          <w:t>3.2.3.1.1</w:t>
        </w:r>
        <w:r>
          <w:rPr>
            <w:rFonts w:asciiTheme="minorHAnsi" w:eastAsiaTheme="minorEastAsia" w:hAnsiTheme="minorHAnsi" w:cstheme="minorBidi"/>
            <w:noProof/>
            <w:sz w:val="22"/>
            <w:szCs w:val="22"/>
          </w:rPr>
          <w:tab/>
        </w:r>
        <w:r w:rsidRPr="00CD0B56">
          <w:rPr>
            <w:rStyle w:val="Hyperlink"/>
            <w:noProof/>
          </w:rPr>
          <w:t>Structure References</w:t>
        </w:r>
        <w:r>
          <w:rPr>
            <w:noProof/>
            <w:webHidden/>
          </w:rPr>
          <w:tab/>
        </w:r>
        <w:r>
          <w:rPr>
            <w:noProof/>
            <w:webHidden/>
          </w:rPr>
          <w:fldChar w:fldCharType="begin"/>
        </w:r>
        <w:r>
          <w:rPr>
            <w:noProof/>
            <w:webHidden/>
          </w:rPr>
          <w:instrText xml:space="preserve"> PAGEREF _Toc12262055 \h </w:instrText>
        </w:r>
        <w:r>
          <w:rPr>
            <w:noProof/>
            <w:webHidden/>
          </w:rPr>
        </w:r>
        <w:r>
          <w:rPr>
            <w:noProof/>
            <w:webHidden/>
          </w:rPr>
          <w:fldChar w:fldCharType="separate"/>
        </w:r>
        <w:r>
          <w:rPr>
            <w:noProof/>
            <w:webHidden/>
          </w:rPr>
          <w:t>836</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56" w:history="1">
        <w:r w:rsidRPr="00CD0B56">
          <w:rPr>
            <w:rStyle w:val="Hyperlink"/>
            <w:noProof/>
          </w:rPr>
          <w:t>3.2.3.1.2</w:t>
        </w:r>
        <w:r>
          <w:rPr>
            <w:rFonts w:asciiTheme="minorHAnsi" w:eastAsiaTheme="minorEastAsia" w:hAnsiTheme="minorHAnsi" w:cstheme="minorBidi"/>
            <w:noProof/>
            <w:sz w:val="22"/>
            <w:szCs w:val="22"/>
          </w:rPr>
          <w:tab/>
        </w:r>
        <w:r w:rsidRPr="00CD0B56">
          <w:rPr>
            <w:rStyle w:val="Hyperlink"/>
            <w:noProof/>
          </w:rPr>
          <w:t>Conditional Formatting Formulas</w:t>
        </w:r>
        <w:r>
          <w:rPr>
            <w:noProof/>
            <w:webHidden/>
          </w:rPr>
          <w:tab/>
        </w:r>
        <w:r>
          <w:rPr>
            <w:noProof/>
            <w:webHidden/>
          </w:rPr>
          <w:fldChar w:fldCharType="begin"/>
        </w:r>
        <w:r>
          <w:rPr>
            <w:noProof/>
            <w:webHidden/>
          </w:rPr>
          <w:instrText xml:space="preserve"> PAGEREF _Toc12262056 \h </w:instrText>
        </w:r>
        <w:r>
          <w:rPr>
            <w:noProof/>
            <w:webHidden/>
          </w:rPr>
        </w:r>
        <w:r>
          <w:rPr>
            <w:noProof/>
            <w:webHidden/>
          </w:rPr>
          <w:fldChar w:fldCharType="separate"/>
        </w:r>
        <w:r>
          <w:rPr>
            <w:noProof/>
            <w:webHidden/>
          </w:rPr>
          <w:t>838</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57" w:history="1">
        <w:r w:rsidRPr="00CD0B56">
          <w:rPr>
            <w:rStyle w:val="Hyperlink"/>
            <w:noProof/>
          </w:rPr>
          <w:t>3.2.3.1.3</w:t>
        </w:r>
        <w:r>
          <w:rPr>
            <w:rFonts w:asciiTheme="minorHAnsi" w:eastAsiaTheme="minorEastAsia" w:hAnsiTheme="minorHAnsi" w:cstheme="minorBidi"/>
            <w:noProof/>
            <w:sz w:val="22"/>
            <w:szCs w:val="22"/>
          </w:rPr>
          <w:tab/>
        </w:r>
        <w:r w:rsidRPr="00CD0B56">
          <w:rPr>
            <w:rStyle w:val="Hyperlink"/>
            <w:noProof/>
          </w:rPr>
          <w:t>Data Validation Formulas</w:t>
        </w:r>
        <w:r>
          <w:rPr>
            <w:noProof/>
            <w:webHidden/>
          </w:rPr>
          <w:tab/>
        </w:r>
        <w:r>
          <w:rPr>
            <w:noProof/>
            <w:webHidden/>
          </w:rPr>
          <w:fldChar w:fldCharType="begin"/>
        </w:r>
        <w:r>
          <w:rPr>
            <w:noProof/>
            <w:webHidden/>
          </w:rPr>
          <w:instrText xml:space="preserve"> PAGEREF _Toc12262057 \h </w:instrText>
        </w:r>
        <w:r>
          <w:rPr>
            <w:noProof/>
            <w:webHidden/>
          </w:rPr>
        </w:r>
        <w:r>
          <w:rPr>
            <w:noProof/>
            <w:webHidden/>
          </w:rPr>
          <w:fldChar w:fldCharType="separate"/>
        </w:r>
        <w:r>
          <w:rPr>
            <w:noProof/>
            <w:webHidden/>
          </w:rPr>
          <w:t>838</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58" w:history="1">
        <w:r w:rsidRPr="00CD0B56">
          <w:rPr>
            <w:rStyle w:val="Hyperlink"/>
            <w:noProof/>
          </w:rPr>
          <w:t>3.2.3.1.4</w:t>
        </w:r>
        <w:r>
          <w:rPr>
            <w:rFonts w:asciiTheme="minorHAnsi" w:eastAsiaTheme="minorEastAsia" w:hAnsiTheme="minorHAnsi" w:cstheme="minorBidi"/>
            <w:noProof/>
            <w:sz w:val="22"/>
            <w:szCs w:val="22"/>
          </w:rPr>
          <w:tab/>
        </w:r>
        <w:r w:rsidRPr="00CD0B56">
          <w:rPr>
            <w:rStyle w:val="Hyperlink"/>
            <w:noProof/>
          </w:rPr>
          <w:t>Name Formulas</w:t>
        </w:r>
        <w:r>
          <w:rPr>
            <w:noProof/>
            <w:webHidden/>
          </w:rPr>
          <w:tab/>
        </w:r>
        <w:r>
          <w:rPr>
            <w:noProof/>
            <w:webHidden/>
          </w:rPr>
          <w:fldChar w:fldCharType="begin"/>
        </w:r>
        <w:r>
          <w:rPr>
            <w:noProof/>
            <w:webHidden/>
          </w:rPr>
          <w:instrText xml:space="preserve"> PAGEREF _Toc12262058 \h </w:instrText>
        </w:r>
        <w:r>
          <w:rPr>
            <w:noProof/>
            <w:webHidden/>
          </w:rPr>
        </w:r>
        <w:r>
          <w:rPr>
            <w:noProof/>
            <w:webHidden/>
          </w:rPr>
          <w:fldChar w:fldCharType="separate"/>
        </w:r>
        <w:r>
          <w:rPr>
            <w:noProof/>
            <w:webHidden/>
          </w:rPr>
          <w:t>839</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59" w:history="1">
        <w:r w:rsidRPr="00CD0B56">
          <w:rPr>
            <w:rStyle w:val="Hyperlink"/>
            <w:noProof/>
          </w:rPr>
          <w:t>3.2.3.1.5</w:t>
        </w:r>
        <w:r>
          <w:rPr>
            <w:rFonts w:asciiTheme="minorHAnsi" w:eastAsiaTheme="minorEastAsia" w:hAnsiTheme="minorHAnsi" w:cstheme="minorBidi"/>
            <w:noProof/>
            <w:sz w:val="22"/>
            <w:szCs w:val="22"/>
          </w:rPr>
          <w:tab/>
        </w:r>
        <w:r w:rsidRPr="00CD0B56">
          <w:rPr>
            <w:rStyle w:val="Hyperlink"/>
            <w:noProof/>
          </w:rPr>
          <w:t>External Name Formulas</w:t>
        </w:r>
        <w:r>
          <w:rPr>
            <w:noProof/>
            <w:webHidden/>
          </w:rPr>
          <w:tab/>
        </w:r>
        <w:r>
          <w:rPr>
            <w:noProof/>
            <w:webHidden/>
          </w:rPr>
          <w:fldChar w:fldCharType="begin"/>
        </w:r>
        <w:r>
          <w:rPr>
            <w:noProof/>
            <w:webHidden/>
          </w:rPr>
          <w:instrText xml:space="preserve"> PAGEREF _Toc12262059 \h </w:instrText>
        </w:r>
        <w:r>
          <w:rPr>
            <w:noProof/>
            <w:webHidden/>
          </w:rPr>
        </w:r>
        <w:r>
          <w:rPr>
            <w:noProof/>
            <w:webHidden/>
          </w:rPr>
          <w:fldChar w:fldCharType="separate"/>
        </w:r>
        <w:r>
          <w:rPr>
            <w:noProof/>
            <w:webHidden/>
          </w:rPr>
          <w:t>839</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60" w:history="1">
        <w:r w:rsidRPr="00CD0B56">
          <w:rPr>
            <w:rStyle w:val="Hyperlink"/>
            <w:noProof/>
          </w:rPr>
          <w:t>3.2.3.1.6</w:t>
        </w:r>
        <w:r>
          <w:rPr>
            <w:rFonts w:asciiTheme="minorHAnsi" w:eastAsiaTheme="minorEastAsia" w:hAnsiTheme="minorHAnsi" w:cstheme="minorBidi"/>
            <w:noProof/>
            <w:sz w:val="22"/>
            <w:szCs w:val="22"/>
          </w:rPr>
          <w:tab/>
        </w:r>
        <w:r w:rsidRPr="00CD0B56">
          <w:rPr>
            <w:rStyle w:val="Hyperlink"/>
            <w:noProof/>
          </w:rPr>
          <w:t>Chart formulas</w:t>
        </w:r>
        <w:r>
          <w:rPr>
            <w:noProof/>
            <w:webHidden/>
          </w:rPr>
          <w:tab/>
        </w:r>
        <w:r>
          <w:rPr>
            <w:noProof/>
            <w:webHidden/>
          </w:rPr>
          <w:fldChar w:fldCharType="begin"/>
        </w:r>
        <w:r>
          <w:rPr>
            <w:noProof/>
            <w:webHidden/>
          </w:rPr>
          <w:instrText xml:space="preserve"> PAGEREF _Toc12262060 \h </w:instrText>
        </w:r>
        <w:r>
          <w:rPr>
            <w:noProof/>
            <w:webHidden/>
          </w:rPr>
        </w:r>
        <w:r>
          <w:rPr>
            <w:noProof/>
            <w:webHidden/>
          </w:rPr>
          <w:fldChar w:fldCharType="separate"/>
        </w:r>
        <w:r>
          <w:rPr>
            <w:noProof/>
            <w:webHidden/>
          </w:rPr>
          <w:t>840</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61" w:history="1">
        <w:r w:rsidRPr="00CD0B56">
          <w:rPr>
            <w:rStyle w:val="Hyperlink"/>
            <w:noProof/>
          </w:rPr>
          <w:t>3.2.3.1.7</w:t>
        </w:r>
        <w:r>
          <w:rPr>
            <w:rFonts w:asciiTheme="minorHAnsi" w:eastAsiaTheme="minorEastAsia" w:hAnsiTheme="minorHAnsi" w:cstheme="minorBidi"/>
            <w:noProof/>
            <w:sz w:val="22"/>
            <w:szCs w:val="22"/>
          </w:rPr>
          <w:tab/>
        </w:r>
        <w:r w:rsidRPr="00CD0B56">
          <w:rPr>
            <w:rStyle w:val="Hyperlink"/>
            <w:noProof/>
          </w:rPr>
          <w:t>R1C1 formulas</w:t>
        </w:r>
        <w:r>
          <w:rPr>
            <w:noProof/>
            <w:webHidden/>
          </w:rPr>
          <w:tab/>
        </w:r>
        <w:r>
          <w:rPr>
            <w:noProof/>
            <w:webHidden/>
          </w:rPr>
          <w:fldChar w:fldCharType="begin"/>
        </w:r>
        <w:r>
          <w:rPr>
            <w:noProof/>
            <w:webHidden/>
          </w:rPr>
          <w:instrText xml:space="preserve"> PAGEREF _Toc12262061 \h </w:instrText>
        </w:r>
        <w:r>
          <w:rPr>
            <w:noProof/>
            <w:webHidden/>
          </w:rPr>
        </w:r>
        <w:r>
          <w:rPr>
            <w:noProof/>
            <w:webHidden/>
          </w:rPr>
          <w:fldChar w:fldCharType="separate"/>
        </w:r>
        <w:r>
          <w:rPr>
            <w:noProof/>
            <w:webHidden/>
          </w:rPr>
          <w:t>840</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62" w:history="1">
        <w:r w:rsidRPr="00CD0B56">
          <w:rPr>
            <w:rStyle w:val="Hyperlink"/>
            <w:noProof/>
          </w:rPr>
          <w:t>3.2.3.1.8</w:t>
        </w:r>
        <w:r>
          <w:rPr>
            <w:rFonts w:asciiTheme="minorHAnsi" w:eastAsiaTheme="minorEastAsia" w:hAnsiTheme="minorHAnsi" w:cstheme="minorBidi"/>
            <w:noProof/>
            <w:sz w:val="22"/>
            <w:szCs w:val="22"/>
          </w:rPr>
          <w:tab/>
        </w:r>
        <w:r w:rsidRPr="00CD0B56">
          <w:rPr>
            <w:rStyle w:val="Hyperlink"/>
            <w:noProof/>
          </w:rPr>
          <w:t>Pivot Formulas</w:t>
        </w:r>
        <w:r>
          <w:rPr>
            <w:noProof/>
            <w:webHidden/>
          </w:rPr>
          <w:tab/>
        </w:r>
        <w:r>
          <w:rPr>
            <w:noProof/>
            <w:webHidden/>
          </w:rPr>
          <w:fldChar w:fldCharType="begin"/>
        </w:r>
        <w:r>
          <w:rPr>
            <w:noProof/>
            <w:webHidden/>
          </w:rPr>
          <w:instrText xml:space="preserve"> PAGEREF _Toc12262062 \h </w:instrText>
        </w:r>
        <w:r>
          <w:rPr>
            <w:noProof/>
            <w:webHidden/>
          </w:rPr>
        </w:r>
        <w:r>
          <w:rPr>
            <w:noProof/>
            <w:webHidden/>
          </w:rPr>
          <w:fldChar w:fldCharType="separate"/>
        </w:r>
        <w:r>
          <w:rPr>
            <w:noProof/>
            <w:webHidden/>
          </w:rPr>
          <w:t>840</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063" w:history="1">
        <w:r w:rsidRPr="00CD0B56">
          <w:rPr>
            <w:rStyle w:val="Hyperlink"/>
            <w:noProof/>
          </w:rPr>
          <w:t>3.2.3.1.8.1</w:t>
        </w:r>
        <w:r>
          <w:rPr>
            <w:rFonts w:asciiTheme="minorHAnsi" w:eastAsiaTheme="minorEastAsia" w:hAnsiTheme="minorHAnsi" w:cstheme="minorBidi"/>
            <w:noProof/>
            <w:sz w:val="22"/>
            <w:szCs w:val="22"/>
          </w:rPr>
          <w:tab/>
        </w:r>
        <w:r w:rsidRPr="00CD0B56">
          <w:rPr>
            <w:rStyle w:val="Hyperlink"/>
            <w:noProof/>
          </w:rPr>
          <w:t>Calculated Field Formulas</w:t>
        </w:r>
        <w:r>
          <w:rPr>
            <w:noProof/>
            <w:webHidden/>
          </w:rPr>
          <w:tab/>
        </w:r>
        <w:r>
          <w:rPr>
            <w:noProof/>
            <w:webHidden/>
          </w:rPr>
          <w:fldChar w:fldCharType="begin"/>
        </w:r>
        <w:r>
          <w:rPr>
            <w:noProof/>
            <w:webHidden/>
          </w:rPr>
          <w:instrText xml:space="preserve"> PAGEREF _Toc12262063 \h </w:instrText>
        </w:r>
        <w:r>
          <w:rPr>
            <w:noProof/>
            <w:webHidden/>
          </w:rPr>
        </w:r>
        <w:r>
          <w:rPr>
            <w:noProof/>
            <w:webHidden/>
          </w:rPr>
          <w:fldChar w:fldCharType="separate"/>
        </w:r>
        <w:r>
          <w:rPr>
            <w:noProof/>
            <w:webHidden/>
          </w:rPr>
          <w:t>841</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064" w:history="1">
        <w:r w:rsidRPr="00CD0B56">
          <w:rPr>
            <w:rStyle w:val="Hyperlink"/>
            <w:noProof/>
          </w:rPr>
          <w:t>3.2.3.1.8.2</w:t>
        </w:r>
        <w:r>
          <w:rPr>
            <w:rFonts w:asciiTheme="minorHAnsi" w:eastAsiaTheme="minorEastAsia" w:hAnsiTheme="minorHAnsi" w:cstheme="minorBidi"/>
            <w:noProof/>
            <w:sz w:val="22"/>
            <w:szCs w:val="22"/>
          </w:rPr>
          <w:tab/>
        </w:r>
        <w:r w:rsidRPr="00CD0B56">
          <w:rPr>
            <w:rStyle w:val="Hyperlink"/>
            <w:noProof/>
          </w:rPr>
          <w:t>Calculated Item Formulas</w:t>
        </w:r>
        <w:r>
          <w:rPr>
            <w:noProof/>
            <w:webHidden/>
          </w:rPr>
          <w:tab/>
        </w:r>
        <w:r>
          <w:rPr>
            <w:noProof/>
            <w:webHidden/>
          </w:rPr>
          <w:fldChar w:fldCharType="begin"/>
        </w:r>
        <w:r>
          <w:rPr>
            <w:noProof/>
            <w:webHidden/>
          </w:rPr>
          <w:instrText xml:space="preserve"> PAGEREF _Toc12262064 \h </w:instrText>
        </w:r>
        <w:r>
          <w:rPr>
            <w:noProof/>
            <w:webHidden/>
          </w:rPr>
        </w:r>
        <w:r>
          <w:rPr>
            <w:noProof/>
            <w:webHidden/>
          </w:rPr>
          <w:fldChar w:fldCharType="separate"/>
        </w:r>
        <w:r>
          <w:rPr>
            <w:noProof/>
            <w:webHidden/>
          </w:rPr>
          <w:t>841</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65" w:history="1">
        <w:r w:rsidRPr="00CD0B56">
          <w:rPr>
            <w:rStyle w:val="Hyperlink"/>
            <w:noProof/>
          </w:rPr>
          <w:t>3.2.3.1.9</w:t>
        </w:r>
        <w:r>
          <w:rPr>
            <w:rFonts w:asciiTheme="minorHAnsi" w:eastAsiaTheme="minorEastAsia" w:hAnsiTheme="minorHAnsi" w:cstheme="minorBidi"/>
            <w:noProof/>
            <w:sz w:val="22"/>
            <w:szCs w:val="22"/>
          </w:rPr>
          <w:tab/>
        </w:r>
        <w:r w:rsidRPr="00CD0B56">
          <w:rPr>
            <w:rStyle w:val="Hyperlink"/>
            <w:noProof/>
          </w:rPr>
          <w:t>OLE Link Formulas</w:t>
        </w:r>
        <w:r>
          <w:rPr>
            <w:noProof/>
            <w:webHidden/>
          </w:rPr>
          <w:tab/>
        </w:r>
        <w:r>
          <w:rPr>
            <w:noProof/>
            <w:webHidden/>
          </w:rPr>
          <w:fldChar w:fldCharType="begin"/>
        </w:r>
        <w:r>
          <w:rPr>
            <w:noProof/>
            <w:webHidden/>
          </w:rPr>
          <w:instrText xml:space="preserve"> PAGEREF _Toc12262065 \h </w:instrText>
        </w:r>
        <w:r>
          <w:rPr>
            <w:noProof/>
            <w:webHidden/>
          </w:rPr>
        </w:r>
        <w:r>
          <w:rPr>
            <w:noProof/>
            <w:webHidden/>
          </w:rPr>
          <w:fldChar w:fldCharType="separate"/>
        </w:r>
        <w:r>
          <w:rPr>
            <w:noProof/>
            <w:webHidden/>
          </w:rPr>
          <w:t>842</w:t>
        </w:r>
        <w:r>
          <w:rPr>
            <w:noProof/>
            <w:webHidden/>
          </w:rPr>
          <w:fldChar w:fldCharType="end"/>
        </w:r>
      </w:hyperlink>
    </w:p>
    <w:p w:rsidR="00694C0F" w:rsidRDefault="00694C0F">
      <w:pPr>
        <w:pStyle w:val="TOC2"/>
        <w:rPr>
          <w:rFonts w:asciiTheme="minorHAnsi" w:eastAsiaTheme="minorEastAsia" w:hAnsiTheme="minorHAnsi" w:cstheme="minorBidi"/>
          <w:noProof/>
          <w:sz w:val="22"/>
          <w:szCs w:val="22"/>
        </w:rPr>
      </w:pPr>
      <w:hyperlink w:anchor="_Toc12262066" w:history="1">
        <w:r w:rsidRPr="00CD0B56">
          <w:rPr>
            <w:rStyle w:val="Hyperlink"/>
            <w:noProof/>
          </w:rPr>
          <w:t>3.3</w:t>
        </w:r>
        <w:r>
          <w:rPr>
            <w:rFonts w:asciiTheme="minorHAnsi" w:eastAsiaTheme="minorEastAsia" w:hAnsiTheme="minorHAnsi" w:cstheme="minorBidi"/>
            <w:noProof/>
            <w:sz w:val="22"/>
            <w:szCs w:val="22"/>
          </w:rPr>
          <w:tab/>
        </w:r>
        <w:r w:rsidRPr="00CD0B56">
          <w:rPr>
            <w:rStyle w:val="Hyperlink"/>
            <w:noProof/>
          </w:rPr>
          <w:t>PowerPoint</w:t>
        </w:r>
        <w:r>
          <w:rPr>
            <w:noProof/>
            <w:webHidden/>
          </w:rPr>
          <w:tab/>
        </w:r>
        <w:r>
          <w:rPr>
            <w:noProof/>
            <w:webHidden/>
          </w:rPr>
          <w:fldChar w:fldCharType="begin"/>
        </w:r>
        <w:r>
          <w:rPr>
            <w:noProof/>
            <w:webHidden/>
          </w:rPr>
          <w:instrText xml:space="preserve"> PAGEREF _Toc12262066 \h </w:instrText>
        </w:r>
        <w:r>
          <w:rPr>
            <w:noProof/>
            <w:webHidden/>
          </w:rPr>
        </w:r>
        <w:r>
          <w:rPr>
            <w:noProof/>
            <w:webHidden/>
          </w:rPr>
          <w:fldChar w:fldCharType="separate"/>
        </w:r>
        <w:r>
          <w:rPr>
            <w:noProof/>
            <w:webHidden/>
          </w:rPr>
          <w:t>842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2067" w:history="1">
        <w:r w:rsidRPr="00CD0B56">
          <w:rPr>
            <w:rStyle w:val="Hyperlink"/>
            <w:noProof/>
          </w:rPr>
          <w:t>3.3.1</w:t>
        </w:r>
        <w:r>
          <w:rPr>
            <w:rFonts w:asciiTheme="minorHAnsi" w:eastAsiaTheme="minorEastAsia" w:hAnsiTheme="minorHAnsi" w:cstheme="minorBidi"/>
            <w:noProof/>
            <w:sz w:val="22"/>
            <w:szCs w:val="22"/>
          </w:rPr>
          <w:tab/>
        </w:r>
        <w:r w:rsidRPr="00CD0B56">
          <w:rPr>
            <w:rStyle w:val="Hyperlink"/>
            <w:noProof/>
          </w:rPr>
          <w:t>Additional Parts</w:t>
        </w:r>
        <w:r>
          <w:rPr>
            <w:noProof/>
            <w:webHidden/>
          </w:rPr>
          <w:tab/>
        </w:r>
        <w:r>
          <w:rPr>
            <w:noProof/>
            <w:webHidden/>
          </w:rPr>
          <w:fldChar w:fldCharType="begin"/>
        </w:r>
        <w:r>
          <w:rPr>
            <w:noProof/>
            <w:webHidden/>
          </w:rPr>
          <w:instrText xml:space="preserve"> PAGEREF _Toc12262067 \h </w:instrText>
        </w:r>
        <w:r>
          <w:rPr>
            <w:noProof/>
            <w:webHidden/>
          </w:rPr>
        </w:r>
        <w:r>
          <w:rPr>
            <w:noProof/>
            <w:webHidden/>
          </w:rPr>
          <w:fldChar w:fldCharType="separate"/>
        </w:r>
        <w:r>
          <w:rPr>
            <w:noProof/>
            <w:webHidden/>
          </w:rPr>
          <w:t>842</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068" w:history="1">
        <w:r w:rsidRPr="00CD0B56">
          <w:rPr>
            <w:rStyle w:val="Hyperlink"/>
            <w:noProof/>
          </w:rPr>
          <w:t>3.3.1.1</w:t>
        </w:r>
        <w:r>
          <w:rPr>
            <w:rFonts w:asciiTheme="minorHAnsi" w:eastAsiaTheme="minorEastAsia" w:hAnsiTheme="minorHAnsi" w:cstheme="minorBidi"/>
            <w:noProof/>
            <w:sz w:val="22"/>
            <w:szCs w:val="22"/>
          </w:rPr>
          <w:tab/>
        </w:r>
        <w:r w:rsidRPr="00CD0B56">
          <w:rPr>
            <w:rStyle w:val="Hyperlink"/>
            <w:noProof/>
          </w:rPr>
          <w:t>Legacy Diagram Text part</w:t>
        </w:r>
        <w:r>
          <w:rPr>
            <w:noProof/>
            <w:webHidden/>
          </w:rPr>
          <w:tab/>
        </w:r>
        <w:r>
          <w:rPr>
            <w:noProof/>
            <w:webHidden/>
          </w:rPr>
          <w:fldChar w:fldCharType="begin"/>
        </w:r>
        <w:r>
          <w:rPr>
            <w:noProof/>
            <w:webHidden/>
          </w:rPr>
          <w:instrText xml:space="preserve"> PAGEREF _Toc12262068 \h </w:instrText>
        </w:r>
        <w:r>
          <w:rPr>
            <w:noProof/>
            <w:webHidden/>
          </w:rPr>
        </w:r>
        <w:r>
          <w:rPr>
            <w:noProof/>
            <w:webHidden/>
          </w:rPr>
          <w:fldChar w:fldCharType="separate"/>
        </w:r>
        <w:r>
          <w:rPr>
            <w:noProof/>
            <w:webHidden/>
          </w:rPr>
          <w:t>843</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069" w:history="1">
        <w:r w:rsidRPr="00CD0B56">
          <w:rPr>
            <w:rStyle w:val="Hyperlink"/>
            <w:noProof/>
          </w:rPr>
          <w:t>3.3.1.2</w:t>
        </w:r>
        <w:r>
          <w:rPr>
            <w:rFonts w:asciiTheme="minorHAnsi" w:eastAsiaTheme="minorEastAsia" w:hAnsiTheme="minorHAnsi" w:cstheme="minorBidi"/>
            <w:noProof/>
            <w:sz w:val="22"/>
            <w:szCs w:val="22"/>
          </w:rPr>
          <w:tab/>
        </w:r>
        <w:r w:rsidRPr="00CD0B56">
          <w:rPr>
            <w:rStyle w:val="Hyperlink"/>
            <w:noProof/>
          </w:rPr>
          <w:t>Legacy Diagram Text Info part</w:t>
        </w:r>
        <w:r>
          <w:rPr>
            <w:noProof/>
            <w:webHidden/>
          </w:rPr>
          <w:tab/>
        </w:r>
        <w:r>
          <w:rPr>
            <w:noProof/>
            <w:webHidden/>
          </w:rPr>
          <w:fldChar w:fldCharType="begin"/>
        </w:r>
        <w:r>
          <w:rPr>
            <w:noProof/>
            <w:webHidden/>
          </w:rPr>
          <w:instrText xml:space="preserve"> PAGEREF _Toc12262069 \h </w:instrText>
        </w:r>
        <w:r>
          <w:rPr>
            <w:noProof/>
            <w:webHidden/>
          </w:rPr>
        </w:r>
        <w:r>
          <w:rPr>
            <w:noProof/>
            <w:webHidden/>
          </w:rPr>
          <w:fldChar w:fldCharType="separate"/>
        </w:r>
        <w:r>
          <w:rPr>
            <w:noProof/>
            <w:webHidden/>
          </w:rPr>
          <w:t>843</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070" w:history="1">
        <w:r w:rsidRPr="00CD0B56">
          <w:rPr>
            <w:rStyle w:val="Hyperlink"/>
            <w:noProof/>
          </w:rPr>
          <w:t>3.3.1.3</w:t>
        </w:r>
        <w:r>
          <w:rPr>
            <w:rFonts w:asciiTheme="minorHAnsi" w:eastAsiaTheme="minorEastAsia" w:hAnsiTheme="minorHAnsi" w:cstheme="minorBidi"/>
            <w:noProof/>
            <w:sz w:val="22"/>
            <w:szCs w:val="22"/>
          </w:rPr>
          <w:tab/>
        </w:r>
        <w:r w:rsidRPr="00CD0B56">
          <w:rPr>
            <w:rStyle w:val="Hyperlink"/>
            <w:noProof/>
          </w:rPr>
          <w:t>SmartTags part</w:t>
        </w:r>
        <w:r>
          <w:rPr>
            <w:noProof/>
            <w:webHidden/>
          </w:rPr>
          <w:tab/>
        </w:r>
        <w:r>
          <w:rPr>
            <w:noProof/>
            <w:webHidden/>
          </w:rPr>
          <w:fldChar w:fldCharType="begin"/>
        </w:r>
        <w:r>
          <w:rPr>
            <w:noProof/>
            <w:webHidden/>
          </w:rPr>
          <w:instrText xml:space="preserve"> PAGEREF _Toc12262070 \h </w:instrText>
        </w:r>
        <w:r>
          <w:rPr>
            <w:noProof/>
            <w:webHidden/>
          </w:rPr>
        </w:r>
        <w:r>
          <w:rPr>
            <w:noProof/>
            <w:webHidden/>
          </w:rPr>
          <w:fldChar w:fldCharType="separate"/>
        </w:r>
        <w:r>
          <w:rPr>
            <w:noProof/>
            <w:webHidden/>
          </w:rPr>
          <w:t>844</w:t>
        </w:r>
        <w:r>
          <w:rPr>
            <w:noProof/>
            <w:webHidden/>
          </w:rPr>
          <w:fldChar w:fldCharType="end"/>
        </w:r>
      </w:hyperlink>
    </w:p>
    <w:p w:rsidR="00694C0F" w:rsidRDefault="00694C0F">
      <w:pPr>
        <w:pStyle w:val="TOC2"/>
        <w:rPr>
          <w:rFonts w:asciiTheme="minorHAnsi" w:eastAsiaTheme="minorEastAsia" w:hAnsiTheme="minorHAnsi" w:cstheme="minorBidi"/>
          <w:noProof/>
          <w:sz w:val="22"/>
          <w:szCs w:val="22"/>
        </w:rPr>
      </w:pPr>
      <w:hyperlink w:anchor="_Toc12262071" w:history="1">
        <w:r w:rsidRPr="00CD0B56">
          <w:rPr>
            <w:rStyle w:val="Hyperlink"/>
            <w:noProof/>
          </w:rPr>
          <w:t>3.4</w:t>
        </w:r>
        <w:r>
          <w:rPr>
            <w:rFonts w:asciiTheme="minorHAnsi" w:eastAsiaTheme="minorEastAsia" w:hAnsiTheme="minorHAnsi" w:cstheme="minorBidi"/>
            <w:noProof/>
            <w:sz w:val="22"/>
            <w:szCs w:val="22"/>
          </w:rPr>
          <w:tab/>
        </w:r>
        <w:r w:rsidRPr="00CD0B56">
          <w:rPr>
            <w:rStyle w:val="Hyperlink"/>
            <w:noProof/>
          </w:rPr>
          <w:t>Shared</w:t>
        </w:r>
        <w:r>
          <w:rPr>
            <w:noProof/>
            <w:webHidden/>
          </w:rPr>
          <w:tab/>
        </w:r>
        <w:r>
          <w:rPr>
            <w:noProof/>
            <w:webHidden/>
          </w:rPr>
          <w:fldChar w:fldCharType="begin"/>
        </w:r>
        <w:r>
          <w:rPr>
            <w:noProof/>
            <w:webHidden/>
          </w:rPr>
          <w:instrText xml:space="preserve"> PAGEREF _Toc12262071 \h </w:instrText>
        </w:r>
        <w:r>
          <w:rPr>
            <w:noProof/>
            <w:webHidden/>
          </w:rPr>
        </w:r>
        <w:r>
          <w:rPr>
            <w:noProof/>
            <w:webHidden/>
          </w:rPr>
          <w:fldChar w:fldCharType="separate"/>
        </w:r>
        <w:r>
          <w:rPr>
            <w:noProof/>
            <w:webHidden/>
          </w:rPr>
          <w:t>844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2072" w:history="1">
        <w:r w:rsidRPr="00CD0B56">
          <w:rPr>
            <w:rStyle w:val="Hyperlink"/>
            <w:noProof/>
          </w:rPr>
          <w:t>3.4.1</w:t>
        </w:r>
        <w:r>
          <w:rPr>
            <w:rFonts w:asciiTheme="minorHAnsi" w:eastAsiaTheme="minorEastAsia" w:hAnsiTheme="minorHAnsi" w:cstheme="minorBidi"/>
            <w:noProof/>
            <w:sz w:val="22"/>
            <w:szCs w:val="22"/>
          </w:rPr>
          <w:tab/>
        </w:r>
        <w:r w:rsidRPr="00CD0B56">
          <w:rPr>
            <w:rStyle w:val="Hyperlink"/>
            <w:noProof/>
          </w:rPr>
          <w:t>Additional Parts</w:t>
        </w:r>
        <w:r>
          <w:rPr>
            <w:noProof/>
            <w:webHidden/>
          </w:rPr>
          <w:tab/>
        </w:r>
        <w:r>
          <w:rPr>
            <w:noProof/>
            <w:webHidden/>
          </w:rPr>
          <w:fldChar w:fldCharType="begin"/>
        </w:r>
        <w:r>
          <w:rPr>
            <w:noProof/>
            <w:webHidden/>
          </w:rPr>
          <w:instrText xml:space="preserve"> PAGEREF _Toc12262072 \h </w:instrText>
        </w:r>
        <w:r>
          <w:rPr>
            <w:noProof/>
            <w:webHidden/>
          </w:rPr>
        </w:r>
        <w:r>
          <w:rPr>
            <w:noProof/>
            <w:webHidden/>
          </w:rPr>
          <w:fldChar w:fldCharType="separate"/>
        </w:r>
        <w:r>
          <w:rPr>
            <w:noProof/>
            <w:webHidden/>
          </w:rPr>
          <w:t>844</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073" w:history="1">
        <w:r w:rsidRPr="00CD0B56">
          <w:rPr>
            <w:rStyle w:val="Hyperlink"/>
            <w:noProof/>
          </w:rPr>
          <w:t>3.4.1.1</w:t>
        </w:r>
        <w:r>
          <w:rPr>
            <w:rFonts w:asciiTheme="minorHAnsi" w:eastAsiaTheme="minorEastAsia" w:hAnsiTheme="minorHAnsi" w:cstheme="minorBidi"/>
            <w:noProof/>
            <w:sz w:val="22"/>
            <w:szCs w:val="22"/>
          </w:rPr>
          <w:tab/>
        </w:r>
        <w:r w:rsidRPr="00CD0B56">
          <w:rPr>
            <w:rStyle w:val="Hyperlink"/>
            <w:noProof/>
          </w:rPr>
          <w:t>Embedded Control Persistence Binary Data Part</w:t>
        </w:r>
        <w:r>
          <w:rPr>
            <w:noProof/>
            <w:webHidden/>
          </w:rPr>
          <w:tab/>
        </w:r>
        <w:r>
          <w:rPr>
            <w:noProof/>
            <w:webHidden/>
          </w:rPr>
          <w:fldChar w:fldCharType="begin"/>
        </w:r>
        <w:r>
          <w:rPr>
            <w:noProof/>
            <w:webHidden/>
          </w:rPr>
          <w:instrText xml:space="preserve"> PAGEREF _Toc12262073 \h </w:instrText>
        </w:r>
        <w:r>
          <w:rPr>
            <w:noProof/>
            <w:webHidden/>
          </w:rPr>
        </w:r>
        <w:r>
          <w:rPr>
            <w:noProof/>
            <w:webHidden/>
          </w:rPr>
          <w:fldChar w:fldCharType="separate"/>
        </w:r>
        <w:r>
          <w:rPr>
            <w:noProof/>
            <w:webHidden/>
          </w:rPr>
          <w:t>844</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074" w:history="1">
        <w:r w:rsidRPr="00CD0B56">
          <w:rPr>
            <w:rStyle w:val="Hyperlink"/>
            <w:noProof/>
          </w:rPr>
          <w:t>3.4.1.2</w:t>
        </w:r>
        <w:r>
          <w:rPr>
            <w:rFonts w:asciiTheme="minorHAnsi" w:eastAsiaTheme="minorEastAsia" w:hAnsiTheme="minorHAnsi" w:cstheme="minorBidi"/>
            <w:noProof/>
            <w:sz w:val="22"/>
            <w:szCs w:val="22"/>
          </w:rPr>
          <w:tab/>
        </w:r>
        <w:r w:rsidRPr="00CD0B56">
          <w:rPr>
            <w:rStyle w:val="Hyperlink"/>
            <w:noProof/>
          </w:rPr>
          <w:t>Quick Access Toolbar Customizations Part</w:t>
        </w:r>
        <w:r>
          <w:rPr>
            <w:noProof/>
            <w:webHidden/>
          </w:rPr>
          <w:tab/>
        </w:r>
        <w:r>
          <w:rPr>
            <w:noProof/>
            <w:webHidden/>
          </w:rPr>
          <w:fldChar w:fldCharType="begin"/>
        </w:r>
        <w:r>
          <w:rPr>
            <w:noProof/>
            <w:webHidden/>
          </w:rPr>
          <w:instrText xml:space="preserve"> PAGEREF _Toc12262074 \h </w:instrText>
        </w:r>
        <w:r>
          <w:rPr>
            <w:noProof/>
            <w:webHidden/>
          </w:rPr>
        </w:r>
        <w:r>
          <w:rPr>
            <w:noProof/>
            <w:webHidden/>
          </w:rPr>
          <w:fldChar w:fldCharType="separate"/>
        </w:r>
        <w:r>
          <w:rPr>
            <w:noProof/>
            <w:webHidden/>
          </w:rPr>
          <w:t>845</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075" w:history="1">
        <w:r w:rsidRPr="00CD0B56">
          <w:rPr>
            <w:rStyle w:val="Hyperlink"/>
            <w:noProof/>
          </w:rPr>
          <w:t>3.4.1.3</w:t>
        </w:r>
        <w:r>
          <w:rPr>
            <w:rFonts w:asciiTheme="minorHAnsi" w:eastAsiaTheme="minorEastAsia" w:hAnsiTheme="minorHAnsi" w:cstheme="minorBidi"/>
            <w:noProof/>
            <w:sz w:val="22"/>
            <w:szCs w:val="22"/>
          </w:rPr>
          <w:tab/>
        </w:r>
        <w:r w:rsidRPr="00CD0B56">
          <w:rPr>
            <w:rStyle w:val="Hyperlink"/>
            <w:noProof/>
          </w:rPr>
          <w:t>CustomUI Part</w:t>
        </w:r>
        <w:r>
          <w:rPr>
            <w:noProof/>
            <w:webHidden/>
          </w:rPr>
          <w:tab/>
        </w:r>
        <w:r>
          <w:rPr>
            <w:noProof/>
            <w:webHidden/>
          </w:rPr>
          <w:fldChar w:fldCharType="begin"/>
        </w:r>
        <w:r>
          <w:rPr>
            <w:noProof/>
            <w:webHidden/>
          </w:rPr>
          <w:instrText xml:space="preserve"> PAGEREF _Toc12262075 \h </w:instrText>
        </w:r>
        <w:r>
          <w:rPr>
            <w:noProof/>
            <w:webHidden/>
          </w:rPr>
        </w:r>
        <w:r>
          <w:rPr>
            <w:noProof/>
            <w:webHidden/>
          </w:rPr>
          <w:fldChar w:fldCharType="separate"/>
        </w:r>
        <w:r>
          <w:rPr>
            <w:noProof/>
            <w:webHidden/>
          </w:rPr>
          <w:t>846</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076" w:history="1">
        <w:r w:rsidRPr="00CD0B56">
          <w:rPr>
            <w:rStyle w:val="Hyperlink"/>
            <w:noProof/>
          </w:rPr>
          <w:t>3.4.1.4</w:t>
        </w:r>
        <w:r>
          <w:rPr>
            <w:rFonts w:asciiTheme="minorHAnsi" w:eastAsiaTheme="minorEastAsia" w:hAnsiTheme="minorHAnsi" w:cstheme="minorBidi"/>
            <w:noProof/>
            <w:sz w:val="22"/>
            <w:szCs w:val="22"/>
          </w:rPr>
          <w:tab/>
        </w:r>
        <w:r w:rsidRPr="00CD0B56">
          <w:rPr>
            <w:rStyle w:val="Hyperlink"/>
            <w:noProof/>
          </w:rPr>
          <w:t>CustomUI2 Part</w:t>
        </w:r>
        <w:r>
          <w:rPr>
            <w:noProof/>
            <w:webHidden/>
          </w:rPr>
          <w:tab/>
        </w:r>
        <w:r>
          <w:rPr>
            <w:noProof/>
            <w:webHidden/>
          </w:rPr>
          <w:fldChar w:fldCharType="begin"/>
        </w:r>
        <w:r>
          <w:rPr>
            <w:noProof/>
            <w:webHidden/>
          </w:rPr>
          <w:instrText xml:space="preserve"> PAGEREF _Toc12262076 \h </w:instrText>
        </w:r>
        <w:r>
          <w:rPr>
            <w:noProof/>
            <w:webHidden/>
          </w:rPr>
        </w:r>
        <w:r>
          <w:rPr>
            <w:noProof/>
            <w:webHidden/>
          </w:rPr>
          <w:fldChar w:fldCharType="separate"/>
        </w:r>
        <w:r>
          <w:rPr>
            <w:noProof/>
            <w:webHidden/>
          </w:rPr>
          <w:t>847</w:t>
        </w:r>
        <w:r>
          <w:rPr>
            <w:noProof/>
            <w:webHidden/>
          </w:rPr>
          <w:fldChar w:fldCharType="end"/>
        </w:r>
      </w:hyperlink>
    </w:p>
    <w:p w:rsidR="00694C0F" w:rsidRDefault="00694C0F">
      <w:pPr>
        <w:pStyle w:val="TOC2"/>
        <w:rPr>
          <w:rFonts w:asciiTheme="minorHAnsi" w:eastAsiaTheme="minorEastAsia" w:hAnsiTheme="minorHAnsi" w:cstheme="minorBidi"/>
          <w:noProof/>
          <w:sz w:val="22"/>
          <w:szCs w:val="22"/>
        </w:rPr>
      </w:pPr>
      <w:hyperlink w:anchor="_Toc12262077" w:history="1">
        <w:r w:rsidRPr="00CD0B56">
          <w:rPr>
            <w:rStyle w:val="Hyperlink"/>
            <w:noProof/>
          </w:rPr>
          <w:t>3.5</w:t>
        </w:r>
        <w:r>
          <w:rPr>
            <w:rFonts w:asciiTheme="minorHAnsi" w:eastAsiaTheme="minorEastAsia" w:hAnsiTheme="minorHAnsi" w:cstheme="minorBidi"/>
            <w:noProof/>
            <w:sz w:val="22"/>
            <w:szCs w:val="22"/>
          </w:rPr>
          <w:tab/>
        </w:r>
        <w:r w:rsidRPr="00CD0B56">
          <w:rPr>
            <w:rStyle w:val="Hyperlink"/>
            <w:noProof/>
          </w:rPr>
          <w:t>Office Well Defined Custom XML Parts</w:t>
        </w:r>
        <w:r>
          <w:rPr>
            <w:noProof/>
            <w:webHidden/>
          </w:rPr>
          <w:tab/>
        </w:r>
        <w:r>
          <w:rPr>
            <w:noProof/>
            <w:webHidden/>
          </w:rPr>
          <w:fldChar w:fldCharType="begin"/>
        </w:r>
        <w:r>
          <w:rPr>
            <w:noProof/>
            <w:webHidden/>
          </w:rPr>
          <w:instrText xml:space="preserve"> PAGEREF _Toc12262077 \h </w:instrText>
        </w:r>
        <w:r>
          <w:rPr>
            <w:noProof/>
            <w:webHidden/>
          </w:rPr>
        </w:r>
        <w:r>
          <w:rPr>
            <w:noProof/>
            <w:webHidden/>
          </w:rPr>
          <w:fldChar w:fldCharType="separate"/>
        </w:r>
        <w:r>
          <w:rPr>
            <w:noProof/>
            <w:webHidden/>
          </w:rPr>
          <w:t>848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2078" w:history="1">
        <w:r w:rsidRPr="00CD0B56">
          <w:rPr>
            <w:rStyle w:val="Hyperlink"/>
            <w:noProof/>
          </w:rPr>
          <w:t>3.5.1</w:t>
        </w:r>
        <w:r>
          <w:rPr>
            <w:rFonts w:asciiTheme="minorHAnsi" w:eastAsiaTheme="minorEastAsia" w:hAnsiTheme="minorHAnsi" w:cstheme="minorBidi"/>
            <w:noProof/>
            <w:sz w:val="22"/>
            <w:szCs w:val="22"/>
          </w:rPr>
          <w:tab/>
        </w:r>
        <w:r w:rsidRPr="00CD0B56">
          <w:rPr>
            <w:rStyle w:val="Hyperlink"/>
            <w:noProof/>
          </w:rPr>
          <w:t>Cover Page Properties</w:t>
        </w:r>
        <w:r>
          <w:rPr>
            <w:noProof/>
            <w:webHidden/>
          </w:rPr>
          <w:tab/>
        </w:r>
        <w:r>
          <w:rPr>
            <w:noProof/>
            <w:webHidden/>
          </w:rPr>
          <w:fldChar w:fldCharType="begin"/>
        </w:r>
        <w:r>
          <w:rPr>
            <w:noProof/>
            <w:webHidden/>
          </w:rPr>
          <w:instrText xml:space="preserve"> PAGEREF _Toc12262078 \h </w:instrText>
        </w:r>
        <w:r>
          <w:rPr>
            <w:noProof/>
            <w:webHidden/>
          </w:rPr>
        </w:r>
        <w:r>
          <w:rPr>
            <w:noProof/>
            <w:webHidden/>
          </w:rPr>
          <w:fldChar w:fldCharType="separate"/>
        </w:r>
        <w:r>
          <w:rPr>
            <w:noProof/>
            <w:webHidden/>
          </w:rPr>
          <w:t>849</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079" w:history="1">
        <w:r w:rsidRPr="00CD0B56">
          <w:rPr>
            <w:rStyle w:val="Hyperlink"/>
            <w:noProof/>
          </w:rPr>
          <w:t>3.5.1.1</w:t>
        </w:r>
        <w:r>
          <w:rPr>
            <w:rFonts w:asciiTheme="minorHAnsi" w:eastAsiaTheme="minorEastAsia" w:hAnsiTheme="minorHAnsi" w:cstheme="minorBidi"/>
            <w:noProof/>
            <w:sz w:val="22"/>
            <w:szCs w:val="22"/>
          </w:rPr>
          <w:tab/>
        </w:r>
        <w:r w:rsidRPr="00CD0B56">
          <w:rPr>
            <w:rStyle w:val="Hyperlink"/>
            <w:noProof/>
          </w:rPr>
          <w:t>Cover Page Properties Schema</w:t>
        </w:r>
        <w:r>
          <w:rPr>
            <w:noProof/>
            <w:webHidden/>
          </w:rPr>
          <w:tab/>
        </w:r>
        <w:r>
          <w:rPr>
            <w:noProof/>
            <w:webHidden/>
          </w:rPr>
          <w:fldChar w:fldCharType="begin"/>
        </w:r>
        <w:r>
          <w:rPr>
            <w:noProof/>
            <w:webHidden/>
          </w:rPr>
          <w:instrText xml:space="preserve"> PAGEREF _Toc12262079 \h </w:instrText>
        </w:r>
        <w:r>
          <w:rPr>
            <w:noProof/>
            <w:webHidden/>
          </w:rPr>
        </w:r>
        <w:r>
          <w:rPr>
            <w:noProof/>
            <w:webHidden/>
          </w:rPr>
          <w:fldChar w:fldCharType="separate"/>
        </w:r>
        <w:r>
          <w:rPr>
            <w:noProof/>
            <w:webHidden/>
          </w:rPr>
          <w:t>849</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80" w:history="1">
        <w:r w:rsidRPr="00CD0B56">
          <w:rPr>
            <w:rStyle w:val="Hyperlink"/>
            <w:noProof/>
          </w:rPr>
          <w:t>3.5.1.1.1</w:t>
        </w:r>
        <w:r>
          <w:rPr>
            <w:rFonts w:asciiTheme="minorHAnsi" w:eastAsiaTheme="minorEastAsia" w:hAnsiTheme="minorHAnsi" w:cstheme="minorBidi"/>
            <w:noProof/>
            <w:sz w:val="22"/>
            <w:szCs w:val="22"/>
          </w:rPr>
          <w:tab/>
        </w:r>
        <w:r w:rsidRPr="00CD0B56">
          <w:rPr>
            <w:rStyle w:val="Hyperlink"/>
            <w:noProof/>
          </w:rPr>
          <w:t>Elements</w:t>
        </w:r>
        <w:r>
          <w:rPr>
            <w:noProof/>
            <w:webHidden/>
          </w:rPr>
          <w:tab/>
        </w:r>
        <w:r>
          <w:rPr>
            <w:noProof/>
            <w:webHidden/>
          </w:rPr>
          <w:fldChar w:fldCharType="begin"/>
        </w:r>
        <w:r>
          <w:rPr>
            <w:noProof/>
            <w:webHidden/>
          </w:rPr>
          <w:instrText xml:space="preserve"> PAGEREF _Toc12262080 \h </w:instrText>
        </w:r>
        <w:r>
          <w:rPr>
            <w:noProof/>
            <w:webHidden/>
          </w:rPr>
        </w:r>
        <w:r>
          <w:rPr>
            <w:noProof/>
            <w:webHidden/>
          </w:rPr>
          <w:fldChar w:fldCharType="separate"/>
        </w:r>
        <w:r>
          <w:rPr>
            <w:noProof/>
            <w:webHidden/>
          </w:rPr>
          <w:t>849</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081" w:history="1">
        <w:r w:rsidRPr="00CD0B56">
          <w:rPr>
            <w:rStyle w:val="Hyperlink"/>
            <w:noProof/>
          </w:rPr>
          <w:t>3.5.1.1.1.1</w:t>
        </w:r>
        <w:r>
          <w:rPr>
            <w:rFonts w:asciiTheme="minorHAnsi" w:eastAsiaTheme="minorEastAsia" w:hAnsiTheme="minorHAnsi" w:cstheme="minorBidi"/>
            <w:noProof/>
            <w:sz w:val="22"/>
            <w:szCs w:val="22"/>
          </w:rPr>
          <w:tab/>
        </w:r>
        <w:r w:rsidRPr="00CD0B56">
          <w:rPr>
            <w:rStyle w:val="Hyperlink"/>
            <w:noProof/>
          </w:rPr>
          <w:t>Abstract (Document Abstract)</w:t>
        </w:r>
        <w:r>
          <w:rPr>
            <w:noProof/>
            <w:webHidden/>
          </w:rPr>
          <w:tab/>
        </w:r>
        <w:r>
          <w:rPr>
            <w:noProof/>
            <w:webHidden/>
          </w:rPr>
          <w:fldChar w:fldCharType="begin"/>
        </w:r>
        <w:r>
          <w:rPr>
            <w:noProof/>
            <w:webHidden/>
          </w:rPr>
          <w:instrText xml:space="preserve"> PAGEREF _Toc12262081 \h </w:instrText>
        </w:r>
        <w:r>
          <w:rPr>
            <w:noProof/>
            <w:webHidden/>
          </w:rPr>
        </w:r>
        <w:r>
          <w:rPr>
            <w:noProof/>
            <w:webHidden/>
          </w:rPr>
          <w:fldChar w:fldCharType="separate"/>
        </w:r>
        <w:r>
          <w:rPr>
            <w:noProof/>
            <w:webHidden/>
          </w:rPr>
          <w:t>849</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082" w:history="1">
        <w:r w:rsidRPr="00CD0B56">
          <w:rPr>
            <w:rStyle w:val="Hyperlink"/>
            <w:noProof/>
          </w:rPr>
          <w:t>3.5.1.1.1.2</w:t>
        </w:r>
        <w:r>
          <w:rPr>
            <w:rFonts w:asciiTheme="minorHAnsi" w:eastAsiaTheme="minorEastAsia" w:hAnsiTheme="minorHAnsi" w:cstheme="minorBidi"/>
            <w:noProof/>
            <w:sz w:val="22"/>
            <w:szCs w:val="22"/>
          </w:rPr>
          <w:tab/>
        </w:r>
        <w:r w:rsidRPr="00CD0B56">
          <w:rPr>
            <w:rStyle w:val="Hyperlink"/>
            <w:noProof/>
          </w:rPr>
          <w:t>CompanyAddress (Company Address)</w:t>
        </w:r>
        <w:r>
          <w:rPr>
            <w:noProof/>
            <w:webHidden/>
          </w:rPr>
          <w:tab/>
        </w:r>
        <w:r>
          <w:rPr>
            <w:noProof/>
            <w:webHidden/>
          </w:rPr>
          <w:fldChar w:fldCharType="begin"/>
        </w:r>
        <w:r>
          <w:rPr>
            <w:noProof/>
            <w:webHidden/>
          </w:rPr>
          <w:instrText xml:space="preserve"> PAGEREF _Toc12262082 \h </w:instrText>
        </w:r>
        <w:r>
          <w:rPr>
            <w:noProof/>
            <w:webHidden/>
          </w:rPr>
        </w:r>
        <w:r>
          <w:rPr>
            <w:noProof/>
            <w:webHidden/>
          </w:rPr>
          <w:fldChar w:fldCharType="separate"/>
        </w:r>
        <w:r>
          <w:rPr>
            <w:noProof/>
            <w:webHidden/>
          </w:rPr>
          <w:t>849</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083" w:history="1">
        <w:r w:rsidRPr="00CD0B56">
          <w:rPr>
            <w:rStyle w:val="Hyperlink"/>
            <w:noProof/>
          </w:rPr>
          <w:t>3.5.1.1.1.3</w:t>
        </w:r>
        <w:r>
          <w:rPr>
            <w:rFonts w:asciiTheme="minorHAnsi" w:eastAsiaTheme="minorEastAsia" w:hAnsiTheme="minorHAnsi" w:cstheme="minorBidi"/>
            <w:noProof/>
            <w:sz w:val="22"/>
            <w:szCs w:val="22"/>
          </w:rPr>
          <w:tab/>
        </w:r>
        <w:r w:rsidRPr="00CD0B56">
          <w:rPr>
            <w:rStyle w:val="Hyperlink"/>
            <w:noProof/>
          </w:rPr>
          <w:t>CompanyEmail (Company Email Address)</w:t>
        </w:r>
        <w:r>
          <w:rPr>
            <w:noProof/>
            <w:webHidden/>
          </w:rPr>
          <w:tab/>
        </w:r>
        <w:r>
          <w:rPr>
            <w:noProof/>
            <w:webHidden/>
          </w:rPr>
          <w:fldChar w:fldCharType="begin"/>
        </w:r>
        <w:r>
          <w:rPr>
            <w:noProof/>
            <w:webHidden/>
          </w:rPr>
          <w:instrText xml:space="preserve"> PAGEREF _Toc12262083 \h </w:instrText>
        </w:r>
        <w:r>
          <w:rPr>
            <w:noProof/>
            <w:webHidden/>
          </w:rPr>
        </w:r>
        <w:r>
          <w:rPr>
            <w:noProof/>
            <w:webHidden/>
          </w:rPr>
          <w:fldChar w:fldCharType="separate"/>
        </w:r>
        <w:r>
          <w:rPr>
            <w:noProof/>
            <w:webHidden/>
          </w:rPr>
          <w:t>849</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084" w:history="1">
        <w:r w:rsidRPr="00CD0B56">
          <w:rPr>
            <w:rStyle w:val="Hyperlink"/>
            <w:noProof/>
          </w:rPr>
          <w:t>3.5.1.1.1.4</w:t>
        </w:r>
        <w:r>
          <w:rPr>
            <w:rFonts w:asciiTheme="minorHAnsi" w:eastAsiaTheme="minorEastAsia" w:hAnsiTheme="minorHAnsi" w:cstheme="minorBidi"/>
            <w:noProof/>
            <w:sz w:val="22"/>
            <w:szCs w:val="22"/>
          </w:rPr>
          <w:tab/>
        </w:r>
        <w:r w:rsidRPr="00CD0B56">
          <w:rPr>
            <w:rStyle w:val="Hyperlink"/>
            <w:noProof/>
          </w:rPr>
          <w:t>CompanyFax (Company Fax Number)</w:t>
        </w:r>
        <w:r>
          <w:rPr>
            <w:noProof/>
            <w:webHidden/>
          </w:rPr>
          <w:tab/>
        </w:r>
        <w:r>
          <w:rPr>
            <w:noProof/>
            <w:webHidden/>
          </w:rPr>
          <w:fldChar w:fldCharType="begin"/>
        </w:r>
        <w:r>
          <w:rPr>
            <w:noProof/>
            <w:webHidden/>
          </w:rPr>
          <w:instrText xml:space="preserve"> PAGEREF _Toc12262084 \h </w:instrText>
        </w:r>
        <w:r>
          <w:rPr>
            <w:noProof/>
            <w:webHidden/>
          </w:rPr>
        </w:r>
        <w:r>
          <w:rPr>
            <w:noProof/>
            <w:webHidden/>
          </w:rPr>
          <w:fldChar w:fldCharType="separate"/>
        </w:r>
        <w:r>
          <w:rPr>
            <w:noProof/>
            <w:webHidden/>
          </w:rPr>
          <w:t>850</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085" w:history="1">
        <w:r w:rsidRPr="00CD0B56">
          <w:rPr>
            <w:rStyle w:val="Hyperlink"/>
            <w:noProof/>
          </w:rPr>
          <w:t>3.5.1.1.1.5</w:t>
        </w:r>
        <w:r>
          <w:rPr>
            <w:rFonts w:asciiTheme="minorHAnsi" w:eastAsiaTheme="minorEastAsia" w:hAnsiTheme="minorHAnsi" w:cstheme="minorBidi"/>
            <w:noProof/>
            <w:sz w:val="22"/>
            <w:szCs w:val="22"/>
          </w:rPr>
          <w:tab/>
        </w:r>
        <w:r w:rsidRPr="00CD0B56">
          <w:rPr>
            <w:rStyle w:val="Hyperlink"/>
            <w:noProof/>
          </w:rPr>
          <w:t>CompanyPhone (Company Phone Number)</w:t>
        </w:r>
        <w:r>
          <w:rPr>
            <w:noProof/>
            <w:webHidden/>
          </w:rPr>
          <w:tab/>
        </w:r>
        <w:r>
          <w:rPr>
            <w:noProof/>
            <w:webHidden/>
          </w:rPr>
          <w:fldChar w:fldCharType="begin"/>
        </w:r>
        <w:r>
          <w:rPr>
            <w:noProof/>
            <w:webHidden/>
          </w:rPr>
          <w:instrText xml:space="preserve"> PAGEREF _Toc12262085 \h </w:instrText>
        </w:r>
        <w:r>
          <w:rPr>
            <w:noProof/>
            <w:webHidden/>
          </w:rPr>
        </w:r>
        <w:r>
          <w:rPr>
            <w:noProof/>
            <w:webHidden/>
          </w:rPr>
          <w:fldChar w:fldCharType="separate"/>
        </w:r>
        <w:r>
          <w:rPr>
            <w:noProof/>
            <w:webHidden/>
          </w:rPr>
          <w:t>850</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086" w:history="1">
        <w:r w:rsidRPr="00CD0B56">
          <w:rPr>
            <w:rStyle w:val="Hyperlink"/>
            <w:noProof/>
          </w:rPr>
          <w:t>3.5.1.1.1.6</w:t>
        </w:r>
        <w:r>
          <w:rPr>
            <w:rFonts w:asciiTheme="minorHAnsi" w:eastAsiaTheme="minorEastAsia" w:hAnsiTheme="minorHAnsi" w:cstheme="minorBidi"/>
            <w:noProof/>
            <w:sz w:val="22"/>
            <w:szCs w:val="22"/>
          </w:rPr>
          <w:tab/>
        </w:r>
        <w:r w:rsidRPr="00CD0B56">
          <w:rPr>
            <w:rStyle w:val="Hyperlink"/>
            <w:noProof/>
          </w:rPr>
          <w:t>CoverPageProperties (Cover Page Properties)</w:t>
        </w:r>
        <w:r>
          <w:rPr>
            <w:noProof/>
            <w:webHidden/>
          </w:rPr>
          <w:tab/>
        </w:r>
        <w:r>
          <w:rPr>
            <w:noProof/>
            <w:webHidden/>
          </w:rPr>
          <w:fldChar w:fldCharType="begin"/>
        </w:r>
        <w:r>
          <w:rPr>
            <w:noProof/>
            <w:webHidden/>
          </w:rPr>
          <w:instrText xml:space="preserve"> PAGEREF _Toc12262086 \h </w:instrText>
        </w:r>
        <w:r>
          <w:rPr>
            <w:noProof/>
            <w:webHidden/>
          </w:rPr>
        </w:r>
        <w:r>
          <w:rPr>
            <w:noProof/>
            <w:webHidden/>
          </w:rPr>
          <w:fldChar w:fldCharType="separate"/>
        </w:r>
        <w:r>
          <w:rPr>
            <w:noProof/>
            <w:webHidden/>
          </w:rPr>
          <w:t>850</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087" w:history="1">
        <w:r w:rsidRPr="00CD0B56">
          <w:rPr>
            <w:rStyle w:val="Hyperlink"/>
            <w:noProof/>
          </w:rPr>
          <w:t>3.5.1.1.1.7</w:t>
        </w:r>
        <w:r>
          <w:rPr>
            <w:rFonts w:asciiTheme="minorHAnsi" w:eastAsiaTheme="minorEastAsia" w:hAnsiTheme="minorHAnsi" w:cstheme="minorBidi"/>
            <w:noProof/>
            <w:sz w:val="22"/>
            <w:szCs w:val="22"/>
          </w:rPr>
          <w:tab/>
        </w:r>
        <w:r w:rsidRPr="00CD0B56">
          <w:rPr>
            <w:rStyle w:val="Hyperlink"/>
            <w:noProof/>
          </w:rPr>
          <w:t>PublishDate (Document Publish Date)</w:t>
        </w:r>
        <w:r>
          <w:rPr>
            <w:noProof/>
            <w:webHidden/>
          </w:rPr>
          <w:tab/>
        </w:r>
        <w:r>
          <w:rPr>
            <w:noProof/>
            <w:webHidden/>
          </w:rPr>
          <w:fldChar w:fldCharType="begin"/>
        </w:r>
        <w:r>
          <w:rPr>
            <w:noProof/>
            <w:webHidden/>
          </w:rPr>
          <w:instrText xml:space="preserve"> PAGEREF _Toc12262087 \h </w:instrText>
        </w:r>
        <w:r>
          <w:rPr>
            <w:noProof/>
            <w:webHidden/>
          </w:rPr>
        </w:r>
        <w:r>
          <w:rPr>
            <w:noProof/>
            <w:webHidden/>
          </w:rPr>
          <w:fldChar w:fldCharType="separate"/>
        </w:r>
        <w:r>
          <w:rPr>
            <w:noProof/>
            <w:webHidden/>
          </w:rPr>
          <w:t>851</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88" w:history="1">
        <w:r w:rsidRPr="00CD0B56">
          <w:rPr>
            <w:rStyle w:val="Hyperlink"/>
            <w:noProof/>
          </w:rPr>
          <w:t>3.5.1.1.2</w:t>
        </w:r>
        <w:r>
          <w:rPr>
            <w:rFonts w:asciiTheme="minorHAnsi" w:eastAsiaTheme="minorEastAsia" w:hAnsiTheme="minorHAnsi" w:cstheme="minorBidi"/>
            <w:noProof/>
            <w:sz w:val="22"/>
            <w:szCs w:val="22"/>
          </w:rPr>
          <w:tab/>
        </w:r>
        <w:r w:rsidRPr="00CD0B56">
          <w:rPr>
            <w:rStyle w:val="Hyperlink"/>
            <w:noProof/>
          </w:rPr>
          <w:t>Simple Types</w:t>
        </w:r>
        <w:r>
          <w:rPr>
            <w:noProof/>
            <w:webHidden/>
          </w:rPr>
          <w:tab/>
        </w:r>
        <w:r>
          <w:rPr>
            <w:noProof/>
            <w:webHidden/>
          </w:rPr>
          <w:fldChar w:fldCharType="begin"/>
        </w:r>
        <w:r>
          <w:rPr>
            <w:noProof/>
            <w:webHidden/>
          </w:rPr>
          <w:instrText xml:space="preserve"> PAGEREF _Toc12262088 \h </w:instrText>
        </w:r>
        <w:r>
          <w:rPr>
            <w:noProof/>
            <w:webHidden/>
          </w:rPr>
        </w:r>
        <w:r>
          <w:rPr>
            <w:noProof/>
            <w:webHidden/>
          </w:rPr>
          <w:fldChar w:fldCharType="separate"/>
        </w:r>
        <w:r>
          <w:rPr>
            <w:noProof/>
            <w:webHidden/>
          </w:rPr>
          <w:t>851</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089" w:history="1">
        <w:r w:rsidRPr="00CD0B56">
          <w:rPr>
            <w:rStyle w:val="Hyperlink"/>
            <w:noProof/>
          </w:rPr>
          <w:t>3.5.1.1.2.1</w:t>
        </w:r>
        <w:r>
          <w:rPr>
            <w:rFonts w:asciiTheme="minorHAnsi" w:eastAsiaTheme="minorEastAsia" w:hAnsiTheme="minorHAnsi" w:cstheme="minorBidi"/>
            <w:noProof/>
            <w:sz w:val="22"/>
            <w:szCs w:val="22"/>
          </w:rPr>
          <w:tab/>
        </w:r>
        <w:r w:rsidRPr="00CD0B56">
          <w:rPr>
            <w:rStyle w:val="Hyperlink"/>
            <w:noProof/>
          </w:rPr>
          <w:t>ST_PublishDate (Publish Date Value)</w:t>
        </w:r>
        <w:r>
          <w:rPr>
            <w:noProof/>
            <w:webHidden/>
          </w:rPr>
          <w:tab/>
        </w:r>
        <w:r>
          <w:rPr>
            <w:noProof/>
            <w:webHidden/>
          </w:rPr>
          <w:fldChar w:fldCharType="begin"/>
        </w:r>
        <w:r>
          <w:rPr>
            <w:noProof/>
            <w:webHidden/>
          </w:rPr>
          <w:instrText xml:space="preserve"> PAGEREF _Toc12262089 \h </w:instrText>
        </w:r>
        <w:r>
          <w:rPr>
            <w:noProof/>
            <w:webHidden/>
          </w:rPr>
        </w:r>
        <w:r>
          <w:rPr>
            <w:noProof/>
            <w:webHidden/>
          </w:rPr>
          <w:fldChar w:fldCharType="separate"/>
        </w:r>
        <w:r>
          <w:rPr>
            <w:noProof/>
            <w:webHidden/>
          </w:rPr>
          <w:t>851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2090" w:history="1">
        <w:r w:rsidRPr="00CD0B56">
          <w:rPr>
            <w:rStyle w:val="Hyperlink"/>
            <w:noProof/>
          </w:rPr>
          <w:t>3.5.2</w:t>
        </w:r>
        <w:r>
          <w:rPr>
            <w:rFonts w:asciiTheme="minorHAnsi" w:eastAsiaTheme="minorEastAsia" w:hAnsiTheme="minorHAnsi" w:cstheme="minorBidi"/>
            <w:noProof/>
            <w:sz w:val="22"/>
            <w:szCs w:val="22"/>
          </w:rPr>
          <w:tab/>
        </w:r>
        <w:r w:rsidRPr="00CD0B56">
          <w:rPr>
            <w:rStyle w:val="Hyperlink"/>
            <w:noProof/>
          </w:rPr>
          <w:t>Content Type Schemas</w:t>
        </w:r>
        <w:r>
          <w:rPr>
            <w:noProof/>
            <w:webHidden/>
          </w:rPr>
          <w:tab/>
        </w:r>
        <w:r>
          <w:rPr>
            <w:noProof/>
            <w:webHidden/>
          </w:rPr>
          <w:fldChar w:fldCharType="begin"/>
        </w:r>
        <w:r>
          <w:rPr>
            <w:noProof/>
            <w:webHidden/>
          </w:rPr>
          <w:instrText xml:space="preserve"> PAGEREF _Toc12262090 \h </w:instrText>
        </w:r>
        <w:r>
          <w:rPr>
            <w:noProof/>
            <w:webHidden/>
          </w:rPr>
        </w:r>
        <w:r>
          <w:rPr>
            <w:noProof/>
            <w:webHidden/>
          </w:rPr>
          <w:fldChar w:fldCharType="separate"/>
        </w:r>
        <w:r>
          <w:rPr>
            <w:noProof/>
            <w:webHidden/>
          </w:rPr>
          <w:t>851</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091" w:history="1">
        <w:r w:rsidRPr="00CD0B56">
          <w:rPr>
            <w:rStyle w:val="Hyperlink"/>
            <w:noProof/>
          </w:rPr>
          <w:t>3.5.2.1</w:t>
        </w:r>
        <w:r>
          <w:rPr>
            <w:rFonts w:asciiTheme="minorHAnsi" w:eastAsiaTheme="minorEastAsia" w:hAnsiTheme="minorHAnsi" w:cstheme="minorBidi"/>
            <w:noProof/>
            <w:sz w:val="22"/>
            <w:szCs w:val="22"/>
          </w:rPr>
          <w:tab/>
        </w:r>
        <w:r w:rsidRPr="00CD0B56">
          <w:rPr>
            <w:rStyle w:val="Hyperlink"/>
            <w:noProof/>
          </w:rPr>
          <w:t>Content Type Schemas Schema</w:t>
        </w:r>
        <w:r>
          <w:rPr>
            <w:noProof/>
            <w:webHidden/>
          </w:rPr>
          <w:tab/>
        </w:r>
        <w:r>
          <w:rPr>
            <w:noProof/>
            <w:webHidden/>
          </w:rPr>
          <w:fldChar w:fldCharType="begin"/>
        </w:r>
        <w:r>
          <w:rPr>
            <w:noProof/>
            <w:webHidden/>
          </w:rPr>
          <w:instrText xml:space="preserve"> PAGEREF _Toc12262091 \h </w:instrText>
        </w:r>
        <w:r>
          <w:rPr>
            <w:noProof/>
            <w:webHidden/>
          </w:rPr>
        </w:r>
        <w:r>
          <w:rPr>
            <w:noProof/>
            <w:webHidden/>
          </w:rPr>
          <w:fldChar w:fldCharType="separate"/>
        </w:r>
        <w:r>
          <w:rPr>
            <w:noProof/>
            <w:webHidden/>
          </w:rPr>
          <w:t>852</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92" w:history="1">
        <w:r w:rsidRPr="00CD0B56">
          <w:rPr>
            <w:rStyle w:val="Hyperlink"/>
            <w:noProof/>
          </w:rPr>
          <w:t>3.5.2.1.1</w:t>
        </w:r>
        <w:r>
          <w:rPr>
            <w:rFonts w:asciiTheme="minorHAnsi" w:eastAsiaTheme="minorEastAsia" w:hAnsiTheme="minorHAnsi" w:cstheme="minorBidi"/>
            <w:noProof/>
            <w:sz w:val="22"/>
            <w:szCs w:val="22"/>
          </w:rPr>
          <w:tab/>
        </w:r>
        <w:r w:rsidRPr="00CD0B56">
          <w:rPr>
            <w:rStyle w:val="Hyperlink"/>
            <w:noProof/>
          </w:rPr>
          <w:t>Elements</w:t>
        </w:r>
        <w:r>
          <w:rPr>
            <w:noProof/>
            <w:webHidden/>
          </w:rPr>
          <w:tab/>
        </w:r>
        <w:r>
          <w:rPr>
            <w:noProof/>
            <w:webHidden/>
          </w:rPr>
          <w:fldChar w:fldCharType="begin"/>
        </w:r>
        <w:r>
          <w:rPr>
            <w:noProof/>
            <w:webHidden/>
          </w:rPr>
          <w:instrText xml:space="preserve"> PAGEREF _Toc12262092 \h </w:instrText>
        </w:r>
        <w:r>
          <w:rPr>
            <w:noProof/>
            <w:webHidden/>
          </w:rPr>
        </w:r>
        <w:r>
          <w:rPr>
            <w:noProof/>
            <w:webHidden/>
          </w:rPr>
          <w:fldChar w:fldCharType="separate"/>
        </w:r>
        <w:r>
          <w:rPr>
            <w:noProof/>
            <w:webHidden/>
          </w:rPr>
          <w:t>852</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093" w:history="1">
        <w:r w:rsidRPr="00CD0B56">
          <w:rPr>
            <w:rStyle w:val="Hyperlink"/>
            <w:noProof/>
          </w:rPr>
          <w:t>3.5.2.1.1.1</w:t>
        </w:r>
        <w:r>
          <w:rPr>
            <w:rFonts w:asciiTheme="minorHAnsi" w:eastAsiaTheme="minorEastAsia" w:hAnsiTheme="minorHAnsi" w:cstheme="minorBidi"/>
            <w:noProof/>
            <w:sz w:val="22"/>
            <w:szCs w:val="22"/>
          </w:rPr>
          <w:tab/>
        </w:r>
        <w:r w:rsidRPr="00CD0B56">
          <w:rPr>
            <w:rStyle w:val="Hyperlink"/>
            <w:noProof/>
          </w:rPr>
          <w:t>contentTypeSchema (Schema for Content Type)</w:t>
        </w:r>
        <w:r>
          <w:rPr>
            <w:noProof/>
            <w:webHidden/>
          </w:rPr>
          <w:tab/>
        </w:r>
        <w:r>
          <w:rPr>
            <w:noProof/>
            <w:webHidden/>
          </w:rPr>
          <w:fldChar w:fldCharType="begin"/>
        </w:r>
        <w:r>
          <w:rPr>
            <w:noProof/>
            <w:webHidden/>
          </w:rPr>
          <w:instrText xml:space="preserve"> PAGEREF _Toc12262093 \h </w:instrText>
        </w:r>
        <w:r>
          <w:rPr>
            <w:noProof/>
            <w:webHidden/>
          </w:rPr>
        </w:r>
        <w:r>
          <w:rPr>
            <w:noProof/>
            <w:webHidden/>
          </w:rPr>
          <w:fldChar w:fldCharType="separate"/>
        </w:r>
        <w:r>
          <w:rPr>
            <w:noProof/>
            <w:webHidden/>
          </w:rPr>
          <w:t>852</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094" w:history="1">
        <w:r w:rsidRPr="00CD0B56">
          <w:rPr>
            <w:rStyle w:val="Hyperlink"/>
            <w:noProof/>
          </w:rPr>
          <w:t>3.5.2.2</w:t>
        </w:r>
        <w:r>
          <w:rPr>
            <w:rFonts w:asciiTheme="minorHAnsi" w:eastAsiaTheme="minorEastAsia" w:hAnsiTheme="minorHAnsi" w:cstheme="minorBidi"/>
            <w:noProof/>
            <w:sz w:val="22"/>
            <w:szCs w:val="22"/>
          </w:rPr>
          <w:tab/>
        </w:r>
        <w:r w:rsidRPr="00CD0B56">
          <w:rPr>
            <w:rStyle w:val="Hyperlink"/>
            <w:noProof/>
          </w:rPr>
          <w:t>Metadata Attributes</w:t>
        </w:r>
        <w:r>
          <w:rPr>
            <w:noProof/>
            <w:webHidden/>
          </w:rPr>
          <w:tab/>
        </w:r>
        <w:r>
          <w:rPr>
            <w:noProof/>
            <w:webHidden/>
          </w:rPr>
          <w:fldChar w:fldCharType="begin"/>
        </w:r>
        <w:r>
          <w:rPr>
            <w:noProof/>
            <w:webHidden/>
          </w:rPr>
          <w:instrText xml:space="preserve"> PAGEREF _Toc12262094 \h </w:instrText>
        </w:r>
        <w:r>
          <w:rPr>
            <w:noProof/>
            <w:webHidden/>
          </w:rPr>
        </w:r>
        <w:r>
          <w:rPr>
            <w:noProof/>
            <w:webHidden/>
          </w:rPr>
          <w:fldChar w:fldCharType="separate"/>
        </w:r>
        <w:r>
          <w:rPr>
            <w:noProof/>
            <w:webHidden/>
          </w:rPr>
          <w:t>855</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95" w:history="1">
        <w:r w:rsidRPr="00CD0B56">
          <w:rPr>
            <w:rStyle w:val="Hyperlink"/>
            <w:noProof/>
          </w:rPr>
          <w:t>3.5.2.2.1</w:t>
        </w:r>
        <w:r>
          <w:rPr>
            <w:rFonts w:asciiTheme="minorHAnsi" w:eastAsiaTheme="minorEastAsia" w:hAnsiTheme="minorHAnsi" w:cstheme="minorBidi"/>
            <w:noProof/>
            <w:sz w:val="22"/>
            <w:szCs w:val="22"/>
          </w:rPr>
          <w:tab/>
        </w:r>
        <w:r w:rsidRPr="00CD0B56">
          <w:rPr>
            <w:rStyle w:val="Hyperlink"/>
            <w:noProof/>
          </w:rPr>
          <w:t>Shared Attributes (Content Type Schemas)</w:t>
        </w:r>
        <w:r>
          <w:rPr>
            <w:noProof/>
            <w:webHidden/>
          </w:rPr>
          <w:tab/>
        </w:r>
        <w:r>
          <w:rPr>
            <w:noProof/>
            <w:webHidden/>
          </w:rPr>
          <w:fldChar w:fldCharType="begin"/>
        </w:r>
        <w:r>
          <w:rPr>
            <w:noProof/>
            <w:webHidden/>
          </w:rPr>
          <w:instrText xml:space="preserve"> PAGEREF _Toc12262095 \h </w:instrText>
        </w:r>
        <w:r>
          <w:rPr>
            <w:noProof/>
            <w:webHidden/>
          </w:rPr>
        </w:r>
        <w:r>
          <w:rPr>
            <w:noProof/>
            <w:webHidden/>
          </w:rPr>
          <w:fldChar w:fldCharType="separate"/>
        </w:r>
        <w:r>
          <w:rPr>
            <w:noProof/>
            <w:webHidden/>
          </w:rPr>
          <w:t>855</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096" w:history="1">
        <w:r w:rsidRPr="00CD0B56">
          <w:rPr>
            <w:rStyle w:val="Hyperlink"/>
            <w:noProof/>
          </w:rPr>
          <w:t>3.5.2.2.2</w:t>
        </w:r>
        <w:r>
          <w:rPr>
            <w:rFonts w:asciiTheme="minorHAnsi" w:eastAsiaTheme="minorEastAsia" w:hAnsiTheme="minorHAnsi" w:cstheme="minorBidi"/>
            <w:noProof/>
            <w:sz w:val="22"/>
            <w:szCs w:val="22"/>
          </w:rPr>
          <w:tab/>
        </w:r>
        <w:r w:rsidRPr="00CD0B56">
          <w:rPr>
            <w:rStyle w:val="Hyperlink"/>
            <w:noProof/>
          </w:rPr>
          <w:t>Simple Types</w:t>
        </w:r>
        <w:r>
          <w:rPr>
            <w:noProof/>
            <w:webHidden/>
          </w:rPr>
          <w:tab/>
        </w:r>
        <w:r>
          <w:rPr>
            <w:noProof/>
            <w:webHidden/>
          </w:rPr>
          <w:fldChar w:fldCharType="begin"/>
        </w:r>
        <w:r>
          <w:rPr>
            <w:noProof/>
            <w:webHidden/>
          </w:rPr>
          <w:instrText xml:space="preserve"> PAGEREF _Toc12262096 \h </w:instrText>
        </w:r>
        <w:r>
          <w:rPr>
            <w:noProof/>
            <w:webHidden/>
          </w:rPr>
        </w:r>
        <w:r>
          <w:rPr>
            <w:noProof/>
            <w:webHidden/>
          </w:rPr>
          <w:fldChar w:fldCharType="separate"/>
        </w:r>
        <w:r>
          <w:rPr>
            <w:noProof/>
            <w:webHidden/>
          </w:rPr>
          <w:t>862</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097" w:history="1">
        <w:r w:rsidRPr="00CD0B56">
          <w:rPr>
            <w:rStyle w:val="Hyperlink"/>
            <w:noProof/>
          </w:rPr>
          <w:t>3.5.2.2.2.1</w:t>
        </w:r>
        <w:r>
          <w:rPr>
            <w:rFonts w:asciiTheme="minorHAnsi" w:eastAsiaTheme="minorEastAsia" w:hAnsiTheme="minorHAnsi" w:cstheme="minorBidi"/>
            <w:noProof/>
            <w:sz w:val="22"/>
            <w:szCs w:val="22"/>
          </w:rPr>
          <w:tab/>
        </w:r>
        <w:r w:rsidRPr="00CD0B56">
          <w:rPr>
            <w:rStyle w:val="Hyperlink"/>
            <w:noProof/>
          </w:rPr>
          <w:t>ST_ContentTypeId (Content Type ID)</w:t>
        </w:r>
        <w:r>
          <w:rPr>
            <w:noProof/>
            <w:webHidden/>
          </w:rPr>
          <w:tab/>
        </w:r>
        <w:r>
          <w:rPr>
            <w:noProof/>
            <w:webHidden/>
          </w:rPr>
          <w:fldChar w:fldCharType="begin"/>
        </w:r>
        <w:r>
          <w:rPr>
            <w:noProof/>
            <w:webHidden/>
          </w:rPr>
          <w:instrText xml:space="preserve"> PAGEREF _Toc12262097 \h </w:instrText>
        </w:r>
        <w:r>
          <w:rPr>
            <w:noProof/>
            <w:webHidden/>
          </w:rPr>
        </w:r>
        <w:r>
          <w:rPr>
            <w:noProof/>
            <w:webHidden/>
          </w:rPr>
          <w:fldChar w:fldCharType="separate"/>
        </w:r>
        <w:r>
          <w:rPr>
            <w:noProof/>
            <w:webHidden/>
          </w:rPr>
          <w:t>862</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098" w:history="1">
        <w:r w:rsidRPr="00CD0B56">
          <w:rPr>
            <w:rStyle w:val="Hyperlink"/>
            <w:noProof/>
          </w:rPr>
          <w:t>3.5.2.2.2.2</w:t>
        </w:r>
        <w:r>
          <w:rPr>
            <w:rFonts w:asciiTheme="minorHAnsi" w:eastAsiaTheme="minorEastAsia" w:hAnsiTheme="minorHAnsi" w:cstheme="minorBidi"/>
            <w:noProof/>
            <w:sz w:val="22"/>
            <w:szCs w:val="22"/>
          </w:rPr>
          <w:tab/>
        </w:r>
        <w:r w:rsidRPr="00CD0B56">
          <w:rPr>
            <w:rStyle w:val="Hyperlink"/>
            <w:noProof/>
          </w:rPr>
          <w:t>ST_IntNonNegative (Non-Negative Integer)</w:t>
        </w:r>
        <w:r>
          <w:rPr>
            <w:noProof/>
            <w:webHidden/>
          </w:rPr>
          <w:tab/>
        </w:r>
        <w:r>
          <w:rPr>
            <w:noProof/>
            <w:webHidden/>
          </w:rPr>
          <w:fldChar w:fldCharType="begin"/>
        </w:r>
        <w:r>
          <w:rPr>
            <w:noProof/>
            <w:webHidden/>
          </w:rPr>
          <w:instrText xml:space="preserve"> PAGEREF _Toc12262098 \h </w:instrText>
        </w:r>
        <w:r>
          <w:rPr>
            <w:noProof/>
            <w:webHidden/>
          </w:rPr>
        </w:r>
        <w:r>
          <w:rPr>
            <w:noProof/>
            <w:webHidden/>
          </w:rPr>
          <w:fldChar w:fldCharType="separate"/>
        </w:r>
        <w:r>
          <w:rPr>
            <w:noProof/>
            <w:webHidden/>
          </w:rPr>
          <w:t>862</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099" w:history="1">
        <w:r w:rsidRPr="00CD0B56">
          <w:rPr>
            <w:rStyle w:val="Hyperlink"/>
            <w:noProof/>
          </w:rPr>
          <w:t>3.5.2.2.2.3</w:t>
        </w:r>
        <w:r>
          <w:rPr>
            <w:rFonts w:asciiTheme="minorHAnsi" w:eastAsiaTheme="minorEastAsia" w:hAnsiTheme="minorHAnsi" w:cstheme="minorBidi"/>
            <w:noProof/>
            <w:sz w:val="22"/>
            <w:szCs w:val="22"/>
          </w:rPr>
          <w:tab/>
        </w:r>
        <w:r w:rsidRPr="00CD0B56">
          <w:rPr>
            <w:rStyle w:val="Hyperlink"/>
            <w:noProof/>
          </w:rPr>
          <w:t>ST_TrueOnly (True Only)</w:t>
        </w:r>
        <w:r>
          <w:rPr>
            <w:noProof/>
            <w:webHidden/>
          </w:rPr>
          <w:tab/>
        </w:r>
        <w:r>
          <w:rPr>
            <w:noProof/>
            <w:webHidden/>
          </w:rPr>
          <w:fldChar w:fldCharType="begin"/>
        </w:r>
        <w:r>
          <w:rPr>
            <w:noProof/>
            <w:webHidden/>
          </w:rPr>
          <w:instrText xml:space="preserve"> PAGEREF _Toc12262099 \h </w:instrText>
        </w:r>
        <w:r>
          <w:rPr>
            <w:noProof/>
            <w:webHidden/>
          </w:rPr>
        </w:r>
        <w:r>
          <w:rPr>
            <w:noProof/>
            <w:webHidden/>
          </w:rPr>
          <w:fldChar w:fldCharType="separate"/>
        </w:r>
        <w:r>
          <w:rPr>
            <w:noProof/>
            <w:webHidden/>
          </w:rPr>
          <w:t>863</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100" w:history="1">
        <w:r w:rsidRPr="00CD0B56">
          <w:rPr>
            <w:rStyle w:val="Hyperlink"/>
            <w:noProof/>
          </w:rPr>
          <w:t>3.5.2.2.2.4</w:t>
        </w:r>
        <w:r>
          <w:rPr>
            <w:rFonts w:asciiTheme="minorHAnsi" w:eastAsiaTheme="minorEastAsia" w:hAnsiTheme="minorHAnsi" w:cstheme="minorBidi"/>
            <w:noProof/>
            <w:sz w:val="22"/>
            <w:szCs w:val="22"/>
          </w:rPr>
          <w:tab/>
        </w:r>
        <w:r w:rsidRPr="00CD0B56">
          <w:rPr>
            <w:rStyle w:val="Hyperlink"/>
            <w:noProof/>
          </w:rPr>
          <w:t>ST_UniqueIdentifier ()</w:t>
        </w:r>
        <w:r>
          <w:rPr>
            <w:noProof/>
            <w:webHidden/>
          </w:rPr>
          <w:tab/>
        </w:r>
        <w:r>
          <w:rPr>
            <w:noProof/>
            <w:webHidden/>
          </w:rPr>
          <w:fldChar w:fldCharType="begin"/>
        </w:r>
        <w:r>
          <w:rPr>
            <w:noProof/>
            <w:webHidden/>
          </w:rPr>
          <w:instrText xml:space="preserve"> PAGEREF _Toc12262100 \h </w:instrText>
        </w:r>
        <w:r>
          <w:rPr>
            <w:noProof/>
            <w:webHidden/>
          </w:rPr>
        </w:r>
        <w:r>
          <w:rPr>
            <w:noProof/>
            <w:webHidden/>
          </w:rPr>
          <w:fldChar w:fldCharType="separate"/>
        </w:r>
        <w:r>
          <w:rPr>
            <w:noProof/>
            <w:webHidden/>
          </w:rPr>
          <w:t>863</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101" w:history="1">
        <w:r w:rsidRPr="00CD0B56">
          <w:rPr>
            <w:rStyle w:val="Hyperlink"/>
            <w:noProof/>
          </w:rPr>
          <w:t>3.5.2.2.2.5</w:t>
        </w:r>
        <w:r>
          <w:rPr>
            <w:rFonts w:asciiTheme="minorHAnsi" w:eastAsiaTheme="minorEastAsia" w:hAnsiTheme="minorHAnsi" w:cstheme="minorBidi"/>
            <w:noProof/>
            <w:sz w:val="22"/>
            <w:szCs w:val="22"/>
          </w:rPr>
          <w:tab/>
        </w:r>
        <w:r w:rsidRPr="00CD0B56">
          <w:rPr>
            <w:rStyle w:val="Hyperlink"/>
            <w:noProof/>
          </w:rPr>
          <w:t>ST_UniqueIdentifierWithoutBraces (Unique Identifier without Braces)</w:t>
        </w:r>
        <w:r>
          <w:rPr>
            <w:noProof/>
            <w:webHidden/>
          </w:rPr>
          <w:tab/>
        </w:r>
        <w:r>
          <w:rPr>
            <w:noProof/>
            <w:webHidden/>
          </w:rPr>
          <w:fldChar w:fldCharType="begin"/>
        </w:r>
        <w:r>
          <w:rPr>
            <w:noProof/>
            <w:webHidden/>
          </w:rPr>
          <w:instrText xml:space="preserve"> PAGEREF _Toc12262101 \h </w:instrText>
        </w:r>
        <w:r>
          <w:rPr>
            <w:noProof/>
            <w:webHidden/>
          </w:rPr>
        </w:r>
        <w:r>
          <w:rPr>
            <w:noProof/>
            <w:webHidden/>
          </w:rPr>
          <w:fldChar w:fldCharType="separate"/>
        </w:r>
        <w:r>
          <w:rPr>
            <w:noProof/>
            <w:webHidden/>
          </w:rPr>
          <w:t>864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2102" w:history="1">
        <w:r w:rsidRPr="00CD0B56">
          <w:rPr>
            <w:rStyle w:val="Hyperlink"/>
            <w:noProof/>
          </w:rPr>
          <w:t>3.5.3</w:t>
        </w:r>
        <w:r>
          <w:rPr>
            <w:rFonts w:asciiTheme="minorHAnsi" w:eastAsiaTheme="minorEastAsia" w:hAnsiTheme="minorHAnsi" w:cstheme="minorBidi"/>
            <w:noProof/>
            <w:sz w:val="22"/>
            <w:szCs w:val="22"/>
          </w:rPr>
          <w:tab/>
        </w:r>
        <w:r w:rsidRPr="00CD0B56">
          <w:rPr>
            <w:rStyle w:val="Hyperlink"/>
            <w:noProof/>
          </w:rPr>
          <w:t>Custom Document Information Panel</w:t>
        </w:r>
        <w:r>
          <w:rPr>
            <w:noProof/>
            <w:webHidden/>
          </w:rPr>
          <w:tab/>
        </w:r>
        <w:r>
          <w:rPr>
            <w:noProof/>
            <w:webHidden/>
          </w:rPr>
          <w:fldChar w:fldCharType="begin"/>
        </w:r>
        <w:r>
          <w:rPr>
            <w:noProof/>
            <w:webHidden/>
          </w:rPr>
          <w:instrText xml:space="preserve"> PAGEREF _Toc12262102 \h </w:instrText>
        </w:r>
        <w:r>
          <w:rPr>
            <w:noProof/>
            <w:webHidden/>
          </w:rPr>
        </w:r>
        <w:r>
          <w:rPr>
            <w:noProof/>
            <w:webHidden/>
          </w:rPr>
          <w:fldChar w:fldCharType="separate"/>
        </w:r>
        <w:r>
          <w:rPr>
            <w:noProof/>
            <w:webHidden/>
          </w:rPr>
          <w:t>864</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03" w:history="1">
        <w:r w:rsidRPr="00CD0B56">
          <w:rPr>
            <w:rStyle w:val="Hyperlink"/>
            <w:noProof/>
          </w:rPr>
          <w:t>3.5.3.1</w:t>
        </w:r>
        <w:r>
          <w:rPr>
            <w:rFonts w:asciiTheme="minorHAnsi" w:eastAsiaTheme="minorEastAsia" w:hAnsiTheme="minorHAnsi" w:cstheme="minorBidi"/>
            <w:noProof/>
            <w:sz w:val="22"/>
            <w:szCs w:val="22"/>
          </w:rPr>
          <w:tab/>
        </w:r>
        <w:r w:rsidRPr="00CD0B56">
          <w:rPr>
            <w:rStyle w:val="Hyperlink"/>
            <w:noProof/>
          </w:rPr>
          <w:t>Custom Document Information Panel Schema</w:t>
        </w:r>
        <w:r>
          <w:rPr>
            <w:noProof/>
            <w:webHidden/>
          </w:rPr>
          <w:tab/>
        </w:r>
        <w:r>
          <w:rPr>
            <w:noProof/>
            <w:webHidden/>
          </w:rPr>
          <w:fldChar w:fldCharType="begin"/>
        </w:r>
        <w:r>
          <w:rPr>
            <w:noProof/>
            <w:webHidden/>
          </w:rPr>
          <w:instrText xml:space="preserve"> PAGEREF _Toc12262103 \h </w:instrText>
        </w:r>
        <w:r>
          <w:rPr>
            <w:noProof/>
            <w:webHidden/>
          </w:rPr>
        </w:r>
        <w:r>
          <w:rPr>
            <w:noProof/>
            <w:webHidden/>
          </w:rPr>
          <w:fldChar w:fldCharType="separate"/>
        </w:r>
        <w:r>
          <w:rPr>
            <w:noProof/>
            <w:webHidden/>
          </w:rPr>
          <w:t>865</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104" w:history="1">
        <w:r w:rsidRPr="00CD0B56">
          <w:rPr>
            <w:rStyle w:val="Hyperlink"/>
            <w:noProof/>
          </w:rPr>
          <w:t>3.5.3.1.1</w:t>
        </w:r>
        <w:r>
          <w:rPr>
            <w:rFonts w:asciiTheme="minorHAnsi" w:eastAsiaTheme="minorEastAsia" w:hAnsiTheme="minorHAnsi" w:cstheme="minorBidi"/>
            <w:noProof/>
            <w:sz w:val="22"/>
            <w:szCs w:val="22"/>
          </w:rPr>
          <w:tab/>
        </w:r>
        <w:r w:rsidRPr="00CD0B56">
          <w:rPr>
            <w:rStyle w:val="Hyperlink"/>
            <w:noProof/>
          </w:rPr>
          <w:t>Elements</w:t>
        </w:r>
        <w:r>
          <w:rPr>
            <w:noProof/>
            <w:webHidden/>
          </w:rPr>
          <w:tab/>
        </w:r>
        <w:r>
          <w:rPr>
            <w:noProof/>
            <w:webHidden/>
          </w:rPr>
          <w:fldChar w:fldCharType="begin"/>
        </w:r>
        <w:r>
          <w:rPr>
            <w:noProof/>
            <w:webHidden/>
          </w:rPr>
          <w:instrText xml:space="preserve"> PAGEREF _Toc12262104 \h </w:instrText>
        </w:r>
        <w:r>
          <w:rPr>
            <w:noProof/>
            <w:webHidden/>
          </w:rPr>
        </w:r>
        <w:r>
          <w:rPr>
            <w:noProof/>
            <w:webHidden/>
          </w:rPr>
          <w:fldChar w:fldCharType="separate"/>
        </w:r>
        <w:r>
          <w:rPr>
            <w:noProof/>
            <w:webHidden/>
          </w:rPr>
          <w:t>865</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105" w:history="1">
        <w:r w:rsidRPr="00CD0B56">
          <w:rPr>
            <w:rStyle w:val="Hyperlink"/>
            <w:noProof/>
          </w:rPr>
          <w:t>3.5.3.1.1.1</w:t>
        </w:r>
        <w:r>
          <w:rPr>
            <w:rFonts w:asciiTheme="minorHAnsi" w:eastAsiaTheme="minorEastAsia" w:hAnsiTheme="minorHAnsi" w:cstheme="minorBidi"/>
            <w:noProof/>
            <w:sz w:val="22"/>
            <w:szCs w:val="22"/>
          </w:rPr>
          <w:tab/>
        </w:r>
        <w:r w:rsidRPr="00CD0B56">
          <w:rPr>
            <w:rStyle w:val="Hyperlink"/>
            <w:noProof/>
          </w:rPr>
          <w:t>customPropertyEditor (Custom Property Editor)</w:t>
        </w:r>
        <w:r>
          <w:rPr>
            <w:noProof/>
            <w:webHidden/>
          </w:rPr>
          <w:tab/>
        </w:r>
        <w:r>
          <w:rPr>
            <w:noProof/>
            <w:webHidden/>
          </w:rPr>
          <w:fldChar w:fldCharType="begin"/>
        </w:r>
        <w:r>
          <w:rPr>
            <w:noProof/>
            <w:webHidden/>
          </w:rPr>
          <w:instrText xml:space="preserve"> PAGEREF _Toc12262105 \h </w:instrText>
        </w:r>
        <w:r>
          <w:rPr>
            <w:noProof/>
            <w:webHidden/>
          </w:rPr>
        </w:r>
        <w:r>
          <w:rPr>
            <w:noProof/>
            <w:webHidden/>
          </w:rPr>
          <w:fldChar w:fldCharType="separate"/>
        </w:r>
        <w:r>
          <w:rPr>
            <w:noProof/>
            <w:webHidden/>
          </w:rPr>
          <w:t>865</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106" w:history="1">
        <w:r w:rsidRPr="00CD0B56">
          <w:rPr>
            <w:rStyle w:val="Hyperlink"/>
            <w:noProof/>
          </w:rPr>
          <w:t>3.5.3.1.1.2</w:t>
        </w:r>
        <w:r>
          <w:rPr>
            <w:rFonts w:asciiTheme="minorHAnsi" w:eastAsiaTheme="minorEastAsia" w:hAnsiTheme="minorHAnsi" w:cstheme="minorBidi"/>
            <w:noProof/>
            <w:sz w:val="22"/>
            <w:szCs w:val="22"/>
          </w:rPr>
          <w:tab/>
        </w:r>
        <w:r w:rsidRPr="00CD0B56">
          <w:rPr>
            <w:rStyle w:val="Hyperlink"/>
            <w:noProof/>
          </w:rPr>
          <w:t>customPropertyEditors (Custom Property Editors List)</w:t>
        </w:r>
        <w:r>
          <w:rPr>
            <w:noProof/>
            <w:webHidden/>
          </w:rPr>
          <w:tab/>
        </w:r>
        <w:r>
          <w:rPr>
            <w:noProof/>
            <w:webHidden/>
          </w:rPr>
          <w:fldChar w:fldCharType="begin"/>
        </w:r>
        <w:r>
          <w:rPr>
            <w:noProof/>
            <w:webHidden/>
          </w:rPr>
          <w:instrText xml:space="preserve"> PAGEREF _Toc12262106 \h </w:instrText>
        </w:r>
        <w:r>
          <w:rPr>
            <w:noProof/>
            <w:webHidden/>
          </w:rPr>
        </w:r>
        <w:r>
          <w:rPr>
            <w:noProof/>
            <w:webHidden/>
          </w:rPr>
          <w:fldChar w:fldCharType="separate"/>
        </w:r>
        <w:r>
          <w:rPr>
            <w:noProof/>
            <w:webHidden/>
          </w:rPr>
          <w:t>865</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107" w:history="1">
        <w:r w:rsidRPr="00CD0B56">
          <w:rPr>
            <w:rStyle w:val="Hyperlink"/>
            <w:noProof/>
          </w:rPr>
          <w:t>3.5.3.1.1.3</w:t>
        </w:r>
        <w:r>
          <w:rPr>
            <w:rFonts w:asciiTheme="minorHAnsi" w:eastAsiaTheme="minorEastAsia" w:hAnsiTheme="minorHAnsi" w:cstheme="minorBidi"/>
            <w:noProof/>
            <w:sz w:val="22"/>
            <w:szCs w:val="22"/>
          </w:rPr>
          <w:tab/>
        </w:r>
        <w:r w:rsidRPr="00CD0B56">
          <w:rPr>
            <w:rStyle w:val="Hyperlink"/>
            <w:noProof/>
          </w:rPr>
          <w:t>defaultPropertyEditorNamespace (Default Namespace)</w:t>
        </w:r>
        <w:r>
          <w:rPr>
            <w:noProof/>
            <w:webHidden/>
          </w:rPr>
          <w:tab/>
        </w:r>
        <w:r>
          <w:rPr>
            <w:noProof/>
            <w:webHidden/>
          </w:rPr>
          <w:fldChar w:fldCharType="begin"/>
        </w:r>
        <w:r>
          <w:rPr>
            <w:noProof/>
            <w:webHidden/>
          </w:rPr>
          <w:instrText xml:space="preserve"> PAGEREF _Toc12262107 \h </w:instrText>
        </w:r>
        <w:r>
          <w:rPr>
            <w:noProof/>
            <w:webHidden/>
          </w:rPr>
        </w:r>
        <w:r>
          <w:rPr>
            <w:noProof/>
            <w:webHidden/>
          </w:rPr>
          <w:fldChar w:fldCharType="separate"/>
        </w:r>
        <w:r>
          <w:rPr>
            <w:noProof/>
            <w:webHidden/>
          </w:rPr>
          <w:t>866</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108" w:history="1">
        <w:r w:rsidRPr="00CD0B56">
          <w:rPr>
            <w:rStyle w:val="Hyperlink"/>
            <w:noProof/>
          </w:rPr>
          <w:t>3.5.3.1.1.4</w:t>
        </w:r>
        <w:r>
          <w:rPr>
            <w:rFonts w:asciiTheme="minorHAnsi" w:eastAsiaTheme="minorEastAsia" w:hAnsiTheme="minorHAnsi" w:cstheme="minorBidi"/>
            <w:noProof/>
            <w:sz w:val="22"/>
            <w:szCs w:val="22"/>
          </w:rPr>
          <w:tab/>
        </w:r>
        <w:r w:rsidRPr="00CD0B56">
          <w:rPr>
            <w:rStyle w:val="Hyperlink"/>
            <w:noProof/>
          </w:rPr>
          <w:t>showOnOpen (Show On Open)</w:t>
        </w:r>
        <w:r>
          <w:rPr>
            <w:noProof/>
            <w:webHidden/>
          </w:rPr>
          <w:tab/>
        </w:r>
        <w:r>
          <w:rPr>
            <w:noProof/>
            <w:webHidden/>
          </w:rPr>
          <w:fldChar w:fldCharType="begin"/>
        </w:r>
        <w:r>
          <w:rPr>
            <w:noProof/>
            <w:webHidden/>
          </w:rPr>
          <w:instrText xml:space="preserve"> PAGEREF _Toc12262108 \h </w:instrText>
        </w:r>
        <w:r>
          <w:rPr>
            <w:noProof/>
            <w:webHidden/>
          </w:rPr>
        </w:r>
        <w:r>
          <w:rPr>
            <w:noProof/>
            <w:webHidden/>
          </w:rPr>
          <w:fldChar w:fldCharType="separate"/>
        </w:r>
        <w:r>
          <w:rPr>
            <w:noProof/>
            <w:webHidden/>
          </w:rPr>
          <w:t>866</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109" w:history="1">
        <w:r w:rsidRPr="00CD0B56">
          <w:rPr>
            <w:rStyle w:val="Hyperlink"/>
            <w:noProof/>
          </w:rPr>
          <w:t>3.5.3.1.1.5</w:t>
        </w:r>
        <w:r>
          <w:rPr>
            <w:rFonts w:asciiTheme="minorHAnsi" w:eastAsiaTheme="minorEastAsia" w:hAnsiTheme="minorHAnsi" w:cstheme="minorBidi"/>
            <w:noProof/>
            <w:sz w:val="22"/>
            <w:szCs w:val="22"/>
          </w:rPr>
          <w:tab/>
        </w:r>
        <w:r w:rsidRPr="00CD0B56">
          <w:rPr>
            <w:rStyle w:val="Hyperlink"/>
            <w:noProof/>
          </w:rPr>
          <w:t>XMLNamespace (Namespace for Property Editor)</w:t>
        </w:r>
        <w:r>
          <w:rPr>
            <w:noProof/>
            <w:webHidden/>
          </w:rPr>
          <w:tab/>
        </w:r>
        <w:r>
          <w:rPr>
            <w:noProof/>
            <w:webHidden/>
          </w:rPr>
          <w:fldChar w:fldCharType="begin"/>
        </w:r>
        <w:r>
          <w:rPr>
            <w:noProof/>
            <w:webHidden/>
          </w:rPr>
          <w:instrText xml:space="preserve"> PAGEREF _Toc12262109 \h </w:instrText>
        </w:r>
        <w:r>
          <w:rPr>
            <w:noProof/>
            <w:webHidden/>
          </w:rPr>
        </w:r>
        <w:r>
          <w:rPr>
            <w:noProof/>
            <w:webHidden/>
          </w:rPr>
          <w:fldChar w:fldCharType="separate"/>
        </w:r>
        <w:r>
          <w:rPr>
            <w:noProof/>
            <w:webHidden/>
          </w:rPr>
          <w:t>866</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110" w:history="1">
        <w:r w:rsidRPr="00CD0B56">
          <w:rPr>
            <w:rStyle w:val="Hyperlink"/>
            <w:noProof/>
          </w:rPr>
          <w:t>3.5.3.1.1.6</w:t>
        </w:r>
        <w:r>
          <w:rPr>
            <w:rFonts w:asciiTheme="minorHAnsi" w:eastAsiaTheme="minorEastAsia" w:hAnsiTheme="minorHAnsi" w:cstheme="minorBidi"/>
            <w:noProof/>
            <w:sz w:val="22"/>
            <w:szCs w:val="22"/>
          </w:rPr>
          <w:tab/>
        </w:r>
        <w:r w:rsidRPr="00CD0B56">
          <w:rPr>
            <w:rStyle w:val="Hyperlink"/>
            <w:noProof/>
          </w:rPr>
          <w:t>XSNLocation (Location of XSN File)</w:t>
        </w:r>
        <w:r>
          <w:rPr>
            <w:noProof/>
            <w:webHidden/>
          </w:rPr>
          <w:tab/>
        </w:r>
        <w:r>
          <w:rPr>
            <w:noProof/>
            <w:webHidden/>
          </w:rPr>
          <w:fldChar w:fldCharType="begin"/>
        </w:r>
        <w:r>
          <w:rPr>
            <w:noProof/>
            <w:webHidden/>
          </w:rPr>
          <w:instrText xml:space="preserve"> PAGEREF _Toc12262110 \h </w:instrText>
        </w:r>
        <w:r>
          <w:rPr>
            <w:noProof/>
            <w:webHidden/>
          </w:rPr>
        </w:r>
        <w:r>
          <w:rPr>
            <w:noProof/>
            <w:webHidden/>
          </w:rPr>
          <w:fldChar w:fldCharType="separate"/>
        </w:r>
        <w:r>
          <w:rPr>
            <w:noProof/>
            <w:webHidden/>
          </w:rPr>
          <w:t>866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2111" w:history="1">
        <w:r w:rsidRPr="00CD0B56">
          <w:rPr>
            <w:rStyle w:val="Hyperlink"/>
            <w:noProof/>
          </w:rPr>
          <w:t>3.5.4</w:t>
        </w:r>
        <w:r>
          <w:rPr>
            <w:rFonts w:asciiTheme="minorHAnsi" w:eastAsiaTheme="minorEastAsia" w:hAnsiTheme="minorHAnsi" w:cstheme="minorBidi"/>
            <w:noProof/>
            <w:sz w:val="22"/>
            <w:szCs w:val="22"/>
          </w:rPr>
          <w:tab/>
        </w:r>
        <w:r w:rsidRPr="00CD0B56">
          <w:rPr>
            <w:rStyle w:val="Hyperlink"/>
            <w:noProof/>
          </w:rPr>
          <w:t>Custom XSN</w:t>
        </w:r>
        <w:r>
          <w:rPr>
            <w:noProof/>
            <w:webHidden/>
          </w:rPr>
          <w:tab/>
        </w:r>
        <w:r>
          <w:rPr>
            <w:noProof/>
            <w:webHidden/>
          </w:rPr>
          <w:fldChar w:fldCharType="begin"/>
        </w:r>
        <w:r>
          <w:rPr>
            <w:noProof/>
            <w:webHidden/>
          </w:rPr>
          <w:instrText xml:space="preserve"> PAGEREF _Toc12262111 \h </w:instrText>
        </w:r>
        <w:r>
          <w:rPr>
            <w:noProof/>
            <w:webHidden/>
          </w:rPr>
        </w:r>
        <w:r>
          <w:rPr>
            <w:noProof/>
            <w:webHidden/>
          </w:rPr>
          <w:fldChar w:fldCharType="separate"/>
        </w:r>
        <w:r>
          <w:rPr>
            <w:noProof/>
            <w:webHidden/>
          </w:rPr>
          <w:t>867</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12" w:history="1">
        <w:r w:rsidRPr="00CD0B56">
          <w:rPr>
            <w:rStyle w:val="Hyperlink"/>
            <w:noProof/>
          </w:rPr>
          <w:t>3.5.4.1</w:t>
        </w:r>
        <w:r>
          <w:rPr>
            <w:rFonts w:asciiTheme="minorHAnsi" w:eastAsiaTheme="minorEastAsia" w:hAnsiTheme="minorHAnsi" w:cstheme="minorBidi"/>
            <w:noProof/>
            <w:sz w:val="22"/>
            <w:szCs w:val="22"/>
          </w:rPr>
          <w:tab/>
        </w:r>
        <w:r w:rsidRPr="00CD0B56">
          <w:rPr>
            <w:rStyle w:val="Hyperlink"/>
            <w:noProof/>
          </w:rPr>
          <w:t>Custom XSN Schema</w:t>
        </w:r>
        <w:r>
          <w:rPr>
            <w:noProof/>
            <w:webHidden/>
          </w:rPr>
          <w:tab/>
        </w:r>
        <w:r>
          <w:rPr>
            <w:noProof/>
            <w:webHidden/>
          </w:rPr>
          <w:fldChar w:fldCharType="begin"/>
        </w:r>
        <w:r>
          <w:rPr>
            <w:noProof/>
            <w:webHidden/>
          </w:rPr>
          <w:instrText xml:space="preserve"> PAGEREF _Toc12262112 \h </w:instrText>
        </w:r>
        <w:r>
          <w:rPr>
            <w:noProof/>
            <w:webHidden/>
          </w:rPr>
        </w:r>
        <w:r>
          <w:rPr>
            <w:noProof/>
            <w:webHidden/>
          </w:rPr>
          <w:fldChar w:fldCharType="separate"/>
        </w:r>
        <w:r>
          <w:rPr>
            <w:noProof/>
            <w:webHidden/>
          </w:rPr>
          <w:t>867</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113" w:history="1">
        <w:r w:rsidRPr="00CD0B56">
          <w:rPr>
            <w:rStyle w:val="Hyperlink"/>
            <w:noProof/>
          </w:rPr>
          <w:t>3.5.4.1.1</w:t>
        </w:r>
        <w:r>
          <w:rPr>
            <w:rFonts w:asciiTheme="minorHAnsi" w:eastAsiaTheme="minorEastAsia" w:hAnsiTheme="minorHAnsi" w:cstheme="minorBidi"/>
            <w:noProof/>
            <w:sz w:val="22"/>
            <w:szCs w:val="22"/>
          </w:rPr>
          <w:tab/>
        </w:r>
        <w:r w:rsidRPr="00CD0B56">
          <w:rPr>
            <w:rStyle w:val="Hyperlink"/>
            <w:noProof/>
          </w:rPr>
          <w:t>Elements</w:t>
        </w:r>
        <w:r>
          <w:rPr>
            <w:noProof/>
            <w:webHidden/>
          </w:rPr>
          <w:tab/>
        </w:r>
        <w:r>
          <w:rPr>
            <w:noProof/>
            <w:webHidden/>
          </w:rPr>
          <w:fldChar w:fldCharType="begin"/>
        </w:r>
        <w:r>
          <w:rPr>
            <w:noProof/>
            <w:webHidden/>
          </w:rPr>
          <w:instrText xml:space="preserve"> PAGEREF _Toc12262113 \h </w:instrText>
        </w:r>
        <w:r>
          <w:rPr>
            <w:noProof/>
            <w:webHidden/>
          </w:rPr>
        </w:r>
        <w:r>
          <w:rPr>
            <w:noProof/>
            <w:webHidden/>
          </w:rPr>
          <w:fldChar w:fldCharType="separate"/>
        </w:r>
        <w:r>
          <w:rPr>
            <w:noProof/>
            <w:webHidden/>
          </w:rPr>
          <w:t>867</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114" w:history="1">
        <w:r w:rsidRPr="00CD0B56">
          <w:rPr>
            <w:rStyle w:val="Hyperlink"/>
            <w:noProof/>
          </w:rPr>
          <w:t>3.5.4.1.1.1</w:t>
        </w:r>
        <w:r>
          <w:rPr>
            <w:rFonts w:asciiTheme="minorHAnsi" w:eastAsiaTheme="minorEastAsia" w:hAnsiTheme="minorHAnsi" w:cstheme="minorBidi"/>
            <w:noProof/>
            <w:sz w:val="22"/>
            <w:szCs w:val="22"/>
          </w:rPr>
          <w:tab/>
        </w:r>
        <w:r w:rsidRPr="00CD0B56">
          <w:rPr>
            <w:rStyle w:val="Hyperlink"/>
            <w:noProof/>
          </w:rPr>
          <w:t>cached (Cached View)</w:t>
        </w:r>
        <w:r>
          <w:rPr>
            <w:noProof/>
            <w:webHidden/>
          </w:rPr>
          <w:tab/>
        </w:r>
        <w:r>
          <w:rPr>
            <w:noProof/>
            <w:webHidden/>
          </w:rPr>
          <w:fldChar w:fldCharType="begin"/>
        </w:r>
        <w:r>
          <w:rPr>
            <w:noProof/>
            <w:webHidden/>
          </w:rPr>
          <w:instrText xml:space="preserve"> PAGEREF _Toc12262114 \h </w:instrText>
        </w:r>
        <w:r>
          <w:rPr>
            <w:noProof/>
            <w:webHidden/>
          </w:rPr>
        </w:r>
        <w:r>
          <w:rPr>
            <w:noProof/>
            <w:webHidden/>
          </w:rPr>
          <w:fldChar w:fldCharType="separate"/>
        </w:r>
        <w:r>
          <w:rPr>
            <w:noProof/>
            <w:webHidden/>
          </w:rPr>
          <w:t>867</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115" w:history="1">
        <w:r w:rsidRPr="00CD0B56">
          <w:rPr>
            <w:rStyle w:val="Hyperlink"/>
            <w:noProof/>
          </w:rPr>
          <w:t>3.5.4.1.1.2</w:t>
        </w:r>
        <w:r>
          <w:rPr>
            <w:rFonts w:asciiTheme="minorHAnsi" w:eastAsiaTheme="minorEastAsia" w:hAnsiTheme="minorHAnsi" w:cstheme="minorBidi"/>
            <w:noProof/>
            <w:sz w:val="22"/>
            <w:szCs w:val="22"/>
          </w:rPr>
          <w:tab/>
        </w:r>
        <w:r w:rsidRPr="00CD0B56">
          <w:rPr>
            <w:rStyle w:val="Hyperlink"/>
            <w:noProof/>
          </w:rPr>
          <w:t>customXsn (Custom XSN)</w:t>
        </w:r>
        <w:r>
          <w:rPr>
            <w:noProof/>
            <w:webHidden/>
          </w:rPr>
          <w:tab/>
        </w:r>
        <w:r>
          <w:rPr>
            <w:noProof/>
            <w:webHidden/>
          </w:rPr>
          <w:fldChar w:fldCharType="begin"/>
        </w:r>
        <w:r>
          <w:rPr>
            <w:noProof/>
            <w:webHidden/>
          </w:rPr>
          <w:instrText xml:space="preserve"> PAGEREF _Toc12262115 \h </w:instrText>
        </w:r>
        <w:r>
          <w:rPr>
            <w:noProof/>
            <w:webHidden/>
          </w:rPr>
        </w:r>
        <w:r>
          <w:rPr>
            <w:noProof/>
            <w:webHidden/>
          </w:rPr>
          <w:fldChar w:fldCharType="separate"/>
        </w:r>
        <w:r>
          <w:rPr>
            <w:noProof/>
            <w:webHidden/>
          </w:rPr>
          <w:t>867</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116" w:history="1">
        <w:r w:rsidRPr="00CD0B56">
          <w:rPr>
            <w:rStyle w:val="Hyperlink"/>
            <w:noProof/>
          </w:rPr>
          <w:t>3.5.4.1.1.3</w:t>
        </w:r>
        <w:r>
          <w:rPr>
            <w:rFonts w:asciiTheme="minorHAnsi" w:eastAsiaTheme="minorEastAsia" w:hAnsiTheme="minorHAnsi" w:cstheme="minorBidi"/>
            <w:noProof/>
            <w:sz w:val="22"/>
            <w:szCs w:val="22"/>
          </w:rPr>
          <w:tab/>
        </w:r>
        <w:r w:rsidRPr="00CD0B56">
          <w:rPr>
            <w:rStyle w:val="Hyperlink"/>
            <w:noProof/>
          </w:rPr>
          <w:t>openByDefault (Open By Default)</w:t>
        </w:r>
        <w:r>
          <w:rPr>
            <w:noProof/>
            <w:webHidden/>
          </w:rPr>
          <w:tab/>
        </w:r>
        <w:r>
          <w:rPr>
            <w:noProof/>
            <w:webHidden/>
          </w:rPr>
          <w:fldChar w:fldCharType="begin"/>
        </w:r>
        <w:r>
          <w:rPr>
            <w:noProof/>
            <w:webHidden/>
          </w:rPr>
          <w:instrText xml:space="preserve"> PAGEREF _Toc12262116 \h </w:instrText>
        </w:r>
        <w:r>
          <w:rPr>
            <w:noProof/>
            <w:webHidden/>
          </w:rPr>
        </w:r>
        <w:r>
          <w:rPr>
            <w:noProof/>
            <w:webHidden/>
          </w:rPr>
          <w:fldChar w:fldCharType="separate"/>
        </w:r>
        <w:r>
          <w:rPr>
            <w:noProof/>
            <w:webHidden/>
          </w:rPr>
          <w:t>868</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117" w:history="1">
        <w:r w:rsidRPr="00CD0B56">
          <w:rPr>
            <w:rStyle w:val="Hyperlink"/>
            <w:noProof/>
          </w:rPr>
          <w:t>3.5.4.1.1.4</w:t>
        </w:r>
        <w:r>
          <w:rPr>
            <w:rFonts w:asciiTheme="minorHAnsi" w:eastAsiaTheme="minorEastAsia" w:hAnsiTheme="minorHAnsi" w:cstheme="minorBidi"/>
            <w:noProof/>
            <w:sz w:val="22"/>
            <w:szCs w:val="22"/>
          </w:rPr>
          <w:tab/>
        </w:r>
        <w:r w:rsidRPr="00CD0B56">
          <w:rPr>
            <w:rStyle w:val="Hyperlink"/>
            <w:noProof/>
          </w:rPr>
          <w:t>xsnLocation (XSN Location)</w:t>
        </w:r>
        <w:r>
          <w:rPr>
            <w:noProof/>
            <w:webHidden/>
          </w:rPr>
          <w:tab/>
        </w:r>
        <w:r>
          <w:rPr>
            <w:noProof/>
            <w:webHidden/>
          </w:rPr>
          <w:fldChar w:fldCharType="begin"/>
        </w:r>
        <w:r>
          <w:rPr>
            <w:noProof/>
            <w:webHidden/>
          </w:rPr>
          <w:instrText xml:space="preserve"> PAGEREF _Toc12262117 \h </w:instrText>
        </w:r>
        <w:r>
          <w:rPr>
            <w:noProof/>
            <w:webHidden/>
          </w:rPr>
        </w:r>
        <w:r>
          <w:rPr>
            <w:noProof/>
            <w:webHidden/>
          </w:rPr>
          <w:fldChar w:fldCharType="separate"/>
        </w:r>
        <w:r>
          <w:rPr>
            <w:noProof/>
            <w:webHidden/>
          </w:rPr>
          <w:t>868</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118" w:history="1">
        <w:r w:rsidRPr="00CD0B56">
          <w:rPr>
            <w:rStyle w:val="Hyperlink"/>
            <w:noProof/>
          </w:rPr>
          <w:t>3.5.4.1.1.5</w:t>
        </w:r>
        <w:r>
          <w:rPr>
            <w:rFonts w:asciiTheme="minorHAnsi" w:eastAsiaTheme="minorEastAsia" w:hAnsiTheme="minorHAnsi" w:cstheme="minorBidi"/>
            <w:noProof/>
            <w:sz w:val="22"/>
            <w:szCs w:val="22"/>
          </w:rPr>
          <w:tab/>
        </w:r>
        <w:r w:rsidRPr="00CD0B56">
          <w:rPr>
            <w:rStyle w:val="Hyperlink"/>
            <w:noProof/>
          </w:rPr>
          <w:t>xsnScope (Scope)</w:t>
        </w:r>
        <w:r>
          <w:rPr>
            <w:noProof/>
            <w:webHidden/>
          </w:rPr>
          <w:tab/>
        </w:r>
        <w:r>
          <w:rPr>
            <w:noProof/>
            <w:webHidden/>
          </w:rPr>
          <w:fldChar w:fldCharType="begin"/>
        </w:r>
        <w:r>
          <w:rPr>
            <w:noProof/>
            <w:webHidden/>
          </w:rPr>
          <w:instrText xml:space="preserve"> PAGEREF _Toc12262118 \h </w:instrText>
        </w:r>
        <w:r>
          <w:rPr>
            <w:noProof/>
            <w:webHidden/>
          </w:rPr>
        </w:r>
        <w:r>
          <w:rPr>
            <w:noProof/>
            <w:webHidden/>
          </w:rPr>
          <w:fldChar w:fldCharType="separate"/>
        </w:r>
        <w:r>
          <w:rPr>
            <w:noProof/>
            <w:webHidden/>
          </w:rPr>
          <w:t>868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2119" w:history="1">
        <w:r w:rsidRPr="00CD0B56">
          <w:rPr>
            <w:rStyle w:val="Hyperlink"/>
            <w:noProof/>
          </w:rPr>
          <w:t>3.5.5</w:t>
        </w:r>
        <w:r>
          <w:rPr>
            <w:rFonts w:asciiTheme="minorHAnsi" w:eastAsiaTheme="minorEastAsia" w:hAnsiTheme="minorHAnsi" w:cstheme="minorBidi"/>
            <w:noProof/>
            <w:sz w:val="22"/>
            <w:szCs w:val="22"/>
          </w:rPr>
          <w:tab/>
        </w:r>
        <w:r w:rsidRPr="00CD0B56">
          <w:rPr>
            <w:rStyle w:val="Hyperlink"/>
            <w:noProof/>
          </w:rPr>
          <w:t>Long Properties</w:t>
        </w:r>
        <w:r>
          <w:rPr>
            <w:noProof/>
            <w:webHidden/>
          </w:rPr>
          <w:tab/>
        </w:r>
        <w:r>
          <w:rPr>
            <w:noProof/>
            <w:webHidden/>
          </w:rPr>
          <w:fldChar w:fldCharType="begin"/>
        </w:r>
        <w:r>
          <w:rPr>
            <w:noProof/>
            <w:webHidden/>
          </w:rPr>
          <w:instrText xml:space="preserve"> PAGEREF _Toc12262119 \h </w:instrText>
        </w:r>
        <w:r>
          <w:rPr>
            <w:noProof/>
            <w:webHidden/>
          </w:rPr>
        </w:r>
        <w:r>
          <w:rPr>
            <w:noProof/>
            <w:webHidden/>
          </w:rPr>
          <w:fldChar w:fldCharType="separate"/>
        </w:r>
        <w:r>
          <w:rPr>
            <w:noProof/>
            <w:webHidden/>
          </w:rPr>
          <w:t>868</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20" w:history="1">
        <w:r w:rsidRPr="00CD0B56">
          <w:rPr>
            <w:rStyle w:val="Hyperlink"/>
            <w:noProof/>
          </w:rPr>
          <w:t>3.5.5.1</w:t>
        </w:r>
        <w:r>
          <w:rPr>
            <w:rFonts w:asciiTheme="minorHAnsi" w:eastAsiaTheme="minorEastAsia" w:hAnsiTheme="minorHAnsi" w:cstheme="minorBidi"/>
            <w:noProof/>
            <w:sz w:val="22"/>
            <w:szCs w:val="22"/>
          </w:rPr>
          <w:tab/>
        </w:r>
        <w:r w:rsidRPr="00CD0B56">
          <w:rPr>
            <w:rStyle w:val="Hyperlink"/>
            <w:noProof/>
          </w:rPr>
          <w:t>Long Properties Schema</w:t>
        </w:r>
        <w:r>
          <w:rPr>
            <w:noProof/>
            <w:webHidden/>
          </w:rPr>
          <w:tab/>
        </w:r>
        <w:r>
          <w:rPr>
            <w:noProof/>
            <w:webHidden/>
          </w:rPr>
          <w:fldChar w:fldCharType="begin"/>
        </w:r>
        <w:r>
          <w:rPr>
            <w:noProof/>
            <w:webHidden/>
          </w:rPr>
          <w:instrText xml:space="preserve"> PAGEREF _Toc12262120 \h </w:instrText>
        </w:r>
        <w:r>
          <w:rPr>
            <w:noProof/>
            <w:webHidden/>
          </w:rPr>
        </w:r>
        <w:r>
          <w:rPr>
            <w:noProof/>
            <w:webHidden/>
          </w:rPr>
          <w:fldChar w:fldCharType="separate"/>
        </w:r>
        <w:r>
          <w:rPr>
            <w:noProof/>
            <w:webHidden/>
          </w:rPr>
          <w:t>869</w:t>
        </w:r>
        <w:r>
          <w:rPr>
            <w:noProof/>
            <w:webHidden/>
          </w:rPr>
          <w:fldChar w:fldCharType="end"/>
        </w:r>
      </w:hyperlink>
    </w:p>
    <w:p w:rsidR="00694C0F" w:rsidRDefault="00694C0F">
      <w:pPr>
        <w:pStyle w:val="TOC5"/>
        <w:rPr>
          <w:rFonts w:asciiTheme="minorHAnsi" w:eastAsiaTheme="minorEastAsia" w:hAnsiTheme="minorHAnsi" w:cstheme="minorBidi"/>
          <w:noProof/>
          <w:sz w:val="22"/>
          <w:szCs w:val="22"/>
        </w:rPr>
      </w:pPr>
      <w:hyperlink w:anchor="_Toc12262121" w:history="1">
        <w:r w:rsidRPr="00CD0B56">
          <w:rPr>
            <w:rStyle w:val="Hyperlink"/>
            <w:noProof/>
          </w:rPr>
          <w:t>3.5.5.1.1</w:t>
        </w:r>
        <w:r>
          <w:rPr>
            <w:rFonts w:asciiTheme="minorHAnsi" w:eastAsiaTheme="minorEastAsia" w:hAnsiTheme="minorHAnsi" w:cstheme="minorBidi"/>
            <w:noProof/>
            <w:sz w:val="22"/>
            <w:szCs w:val="22"/>
          </w:rPr>
          <w:tab/>
        </w:r>
        <w:r w:rsidRPr="00CD0B56">
          <w:rPr>
            <w:rStyle w:val="Hyperlink"/>
            <w:noProof/>
          </w:rPr>
          <w:t>Elements</w:t>
        </w:r>
        <w:r>
          <w:rPr>
            <w:noProof/>
            <w:webHidden/>
          </w:rPr>
          <w:tab/>
        </w:r>
        <w:r>
          <w:rPr>
            <w:noProof/>
            <w:webHidden/>
          </w:rPr>
          <w:fldChar w:fldCharType="begin"/>
        </w:r>
        <w:r>
          <w:rPr>
            <w:noProof/>
            <w:webHidden/>
          </w:rPr>
          <w:instrText xml:space="preserve"> PAGEREF _Toc12262121 \h </w:instrText>
        </w:r>
        <w:r>
          <w:rPr>
            <w:noProof/>
            <w:webHidden/>
          </w:rPr>
        </w:r>
        <w:r>
          <w:rPr>
            <w:noProof/>
            <w:webHidden/>
          </w:rPr>
          <w:fldChar w:fldCharType="separate"/>
        </w:r>
        <w:r>
          <w:rPr>
            <w:noProof/>
            <w:webHidden/>
          </w:rPr>
          <w:t>869</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122" w:history="1">
        <w:r w:rsidRPr="00CD0B56">
          <w:rPr>
            <w:rStyle w:val="Hyperlink"/>
            <w:noProof/>
          </w:rPr>
          <w:t>3.5.5.1.1.1</w:t>
        </w:r>
        <w:r>
          <w:rPr>
            <w:rFonts w:asciiTheme="minorHAnsi" w:eastAsiaTheme="minorEastAsia" w:hAnsiTheme="minorHAnsi" w:cstheme="minorBidi"/>
            <w:noProof/>
            <w:sz w:val="22"/>
            <w:szCs w:val="22"/>
          </w:rPr>
          <w:tab/>
        </w:r>
        <w:r w:rsidRPr="00CD0B56">
          <w:rPr>
            <w:rStyle w:val="Hyperlink"/>
            <w:noProof/>
          </w:rPr>
          <w:t>LongProp (Custom XML Server Property - Long Property)</w:t>
        </w:r>
        <w:r>
          <w:rPr>
            <w:noProof/>
            <w:webHidden/>
          </w:rPr>
          <w:tab/>
        </w:r>
        <w:r>
          <w:rPr>
            <w:noProof/>
            <w:webHidden/>
          </w:rPr>
          <w:fldChar w:fldCharType="begin"/>
        </w:r>
        <w:r>
          <w:rPr>
            <w:noProof/>
            <w:webHidden/>
          </w:rPr>
          <w:instrText xml:space="preserve"> PAGEREF _Toc12262122 \h </w:instrText>
        </w:r>
        <w:r>
          <w:rPr>
            <w:noProof/>
            <w:webHidden/>
          </w:rPr>
        </w:r>
        <w:r>
          <w:rPr>
            <w:noProof/>
            <w:webHidden/>
          </w:rPr>
          <w:fldChar w:fldCharType="separate"/>
        </w:r>
        <w:r>
          <w:rPr>
            <w:noProof/>
            <w:webHidden/>
          </w:rPr>
          <w:t>869</w:t>
        </w:r>
        <w:r>
          <w:rPr>
            <w:noProof/>
            <w:webHidden/>
          </w:rPr>
          <w:fldChar w:fldCharType="end"/>
        </w:r>
      </w:hyperlink>
    </w:p>
    <w:p w:rsidR="00694C0F" w:rsidRDefault="00694C0F">
      <w:pPr>
        <w:pStyle w:val="TOC6"/>
        <w:rPr>
          <w:rFonts w:asciiTheme="minorHAnsi" w:eastAsiaTheme="minorEastAsia" w:hAnsiTheme="minorHAnsi" w:cstheme="minorBidi"/>
          <w:noProof/>
          <w:sz w:val="22"/>
          <w:szCs w:val="22"/>
        </w:rPr>
      </w:pPr>
      <w:hyperlink w:anchor="_Toc12262123" w:history="1">
        <w:r w:rsidRPr="00CD0B56">
          <w:rPr>
            <w:rStyle w:val="Hyperlink"/>
            <w:noProof/>
          </w:rPr>
          <w:t>3.5.5.1.1.2</w:t>
        </w:r>
        <w:r>
          <w:rPr>
            <w:rFonts w:asciiTheme="minorHAnsi" w:eastAsiaTheme="minorEastAsia" w:hAnsiTheme="minorHAnsi" w:cstheme="minorBidi"/>
            <w:noProof/>
            <w:sz w:val="22"/>
            <w:szCs w:val="22"/>
          </w:rPr>
          <w:tab/>
        </w:r>
        <w:r w:rsidRPr="00CD0B56">
          <w:rPr>
            <w:rStyle w:val="Hyperlink"/>
            <w:noProof/>
          </w:rPr>
          <w:t>LongProperties (Custom XML Server Properties - Long Properties)</w:t>
        </w:r>
        <w:r>
          <w:rPr>
            <w:noProof/>
            <w:webHidden/>
          </w:rPr>
          <w:tab/>
        </w:r>
        <w:r>
          <w:rPr>
            <w:noProof/>
            <w:webHidden/>
          </w:rPr>
          <w:fldChar w:fldCharType="begin"/>
        </w:r>
        <w:r>
          <w:rPr>
            <w:noProof/>
            <w:webHidden/>
          </w:rPr>
          <w:instrText xml:space="preserve"> PAGEREF _Toc12262123 \h </w:instrText>
        </w:r>
        <w:r>
          <w:rPr>
            <w:noProof/>
            <w:webHidden/>
          </w:rPr>
        </w:r>
        <w:r>
          <w:rPr>
            <w:noProof/>
            <w:webHidden/>
          </w:rPr>
          <w:fldChar w:fldCharType="separate"/>
        </w:r>
        <w:r>
          <w:rPr>
            <w:noProof/>
            <w:webHidden/>
          </w:rPr>
          <w:t>869</w:t>
        </w:r>
        <w:r>
          <w:rPr>
            <w:noProof/>
            <w:webHidden/>
          </w:rPr>
          <w:fldChar w:fldCharType="end"/>
        </w:r>
      </w:hyperlink>
    </w:p>
    <w:p w:rsidR="00694C0F" w:rsidRDefault="00694C0F">
      <w:pPr>
        <w:pStyle w:val="TOC2"/>
        <w:rPr>
          <w:rFonts w:asciiTheme="minorHAnsi" w:eastAsiaTheme="minorEastAsia" w:hAnsiTheme="minorHAnsi" w:cstheme="minorBidi"/>
          <w:noProof/>
          <w:sz w:val="22"/>
          <w:szCs w:val="22"/>
        </w:rPr>
      </w:pPr>
      <w:hyperlink w:anchor="_Toc12262124" w:history="1">
        <w:r w:rsidRPr="00CD0B56">
          <w:rPr>
            <w:rStyle w:val="Hyperlink"/>
            <w:noProof/>
          </w:rPr>
          <w:t>3.6</w:t>
        </w:r>
        <w:r>
          <w:rPr>
            <w:rFonts w:asciiTheme="minorHAnsi" w:eastAsiaTheme="minorEastAsia" w:hAnsiTheme="minorHAnsi" w:cstheme="minorBidi"/>
            <w:noProof/>
            <w:sz w:val="22"/>
            <w:szCs w:val="22"/>
          </w:rPr>
          <w:tab/>
        </w:r>
        <w:r w:rsidRPr="00CD0B56">
          <w:rPr>
            <w:rStyle w:val="Hyperlink"/>
            <w:noProof/>
          </w:rPr>
          <w:t>Office ActiveX Supplemental Information</w:t>
        </w:r>
        <w:r>
          <w:rPr>
            <w:noProof/>
            <w:webHidden/>
          </w:rPr>
          <w:tab/>
        </w:r>
        <w:r>
          <w:rPr>
            <w:noProof/>
            <w:webHidden/>
          </w:rPr>
          <w:fldChar w:fldCharType="begin"/>
        </w:r>
        <w:r>
          <w:rPr>
            <w:noProof/>
            <w:webHidden/>
          </w:rPr>
          <w:instrText xml:space="preserve"> PAGEREF _Toc12262124 \h </w:instrText>
        </w:r>
        <w:r>
          <w:rPr>
            <w:noProof/>
            <w:webHidden/>
          </w:rPr>
        </w:r>
        <w:r>
          <w:rPr>
            <w:noProof/>
            <w:webHidden/>
          </w:rPr>
          <w:fldChar w:fldCharType="separate"/>
        </w:r>
        <w:r>
          <w:rPr>
            <w:noProof/>
            <w:webHidden/>
          </w:rPr>
          <w:t>870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2125" w:history="1">
        <w:r w:rsidRPr="00CD0B56">
          <w:rPr>
            <w:rStyle w:val="Hyperlink"/>
            <w:noProof/>
          </w:rPr>
          <w:t>3.6.1</w:t>
        </w:r>
        <w:r>
          <w:rPr>
            <w:rFonts w:asciiTheme="minorHAnsi" w:eastAsiaTheme="minorEastAsia" w:hAnsiTheme="minorHAnsi" w:cstheme="minorBidi"/>
            <w:noProof/>
            <w:sz w:val="22"/>
            <w:szCs w:val="22"/>
          </w:rPr>
          <w:tab/>
        </w:r>
        <w:r w:rsidRPr="00CD0B56">
          <w:rPr>
            <w:rStyle w:val="Hyperlink"/>
            <w:noProof/>
          </w:rPr>
          <w:t>Elements</w:t>
        </w:r>
        <w:r>
          <w:rPr>
            <w:noProof/>
            <w:webHidden/>
          </w:rPr>
          <w:tab/>
        </w:r>
        <w:r>
          <w:rPr>
            <w:noProof/>
            <w:webHidden/>
          </w:rPr>
          <w:fldChar w:fldCharType="begin"/>
        </w:r>
        <w:r>
          <w:rPr>
            <w:noProof/>
            <w:webHidden/>
          </w:rPr>
          <w:instrText xml:space="preserve"> PAGEREF _Toc12262125 \h </w:instrText>
        </w:r>
        <w:r>
          <w:rPr>
            <w:noProof/>
            <w:webHidden/>
          </w:rPr>
        </w:r>
        <w:r>
          <w:rPr>
            <w:noProof/>
            <w:webHidden/>
          </w:rPr>
          <w:fldChar w:fldCharType="separate"/>
        </w:r>
        <w:r>
          <w:rPr>
            <w:noProof/>
            <w:webHidden/>
          </w:rPr>
          <w:t>870</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26" w:history="1">
        <w:r w:rsidRPr="00CD0B56">
          <w:rPr>
            <w:rStyle w:val="Hyperlink"/>
            <w:noProof/>
          </w:rPr>
          <w:t>3.6.1.1</w:t>
        </w:r>
        <w:r>
          <w:rPr>
            <w:rFonts w:asciiTheme="minorHAnsi" w:eastAsiaTheme="minorEastAsia" w:hAnsiTheme="minorHAnsi" w:cstheme="minorBidi"/>
            <w:noProof/>
            <w:sz w:val="22"/>
            <w:szCs w:val="22"/>
          </w:rPr>
          <w:tab/>
        </w:r>
        <w:r w:rsidRPr="00CD0B56">
          <w:rPr>
            <w:rStyle w:val="Hyperlink"/>
            <w:noProof/>
          </w:rPr>
          <w:t>font (Standard COM Font Object)</w:t>
        </w:r>
        <w:r>
          <w:rPr>
            <w:noProof/>
            <w:webHidden/>
          </w:rPr>
          <w:tab/>
        </w:r>
        <w:r>
          <w:rPr>
            <w:noProof/>
            <w:webHidden/>
          </w:rPr>
          <w:fldChar w:fldCharType="begin"/>
        </w:r>
        <w:r>
          <w:rPr>
            <w:noProof/>
            <w:webHidden/>
          </w:rPr>
          <w:instrText xml:space="preserve"> PAGEREF _Toc12262126 \h </w:instrText>
        </w:r>
        <w:r>
          <w:rPr>
            <w:noProof/>
            <w:webHidden/>
          </w:rPr>
        </w:r>
        <w:r>
          <w:rPr>
            <w:noProof/>
            <w:webHidden/>
          </w:rPr>
          <w:fldChar w:fldCharType="separate"/>
        </w:r>
        <w:r>
          <w:rPr>
            <w:noProof/>
            <w:webHidden/>
          </w:rPr>
          <w:t>870</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27" w:history="1">
        <w:r w:rsidRPr="00CD0B56">
          <w:rPr>
            <w:rStyle w:val="Hyperlink"/>
            <w:noProof/>
          </w:rPr>
          <w:t>3.6.1.2</w:t>
        </w:r>
        <w:r>
          <w:rPr>
            <w:rFonts w:asciiTheme="minorHAnsi" w:eastAsiaTheme="minorEastAsia" w:hAnsiTheme="minorHAnsi" w:cstheme="minorBidi"/>
            <w:noProof/>
            <w:sz w:val="22"/>
            <w:szCs w:val="22"/>
          </w:rPr>
          <w:tab/>
        </w:r>
        <w:r w:rsidRPr="00CD0B56">
          <w:rPr>
            <w:rStyle w:val="Hyperlink"/>
            <w:noProof/>
          </w:rPr>
          <w:t>ocx (ActiveX Control Data)</w:t>
        </w:r>
        <w:r>
          <w:rPr>
            <w:noProof/>
            <w:webHidden/>
          </w:rPr>
          <w:tab/>
        </w:r>
        <w:r>
          <w:rPr>
            <w:noProof/>
            <w:webHidden/>
          </w:rPr>
          <w:fldChar w:fldCharType="begin"/>
        </w:r>
        <w:r>
          <w:rPr>
            <w:noProof/>
            <w:webHidden/>
          </w:rPr>
          <w:instrText xml:space="preserve"> PAGEREF _Toc12262127 \h </w:instrText>
        </w:r>
        <w:r>
          <w:rPr>
            <w:noProof/>
            <w:webHidden/>
          </w:rPr>
        </w:r>
        <w:r>
          <w:rPr>
            <w:noProof/>
            <w:webHidden/>
          </w:rPr>
          <w:fldChar w:fldCharType="separate"/>
        </w:r>
        <w:r>
          <w:rPr>
            <w:noProof/>
            <w:webHidden/>
          </w:rPr>
          <w:t>871</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28" w:history="1">
        <w:r w:rsidRPr="00CD0B56">
          <w:rPr>
            <w:rStyle w:val="Hyperlink"/>
            <w:noProof/>
          </w:rPr>
          <w:t>3.6.1.3</w:t>
        </w:r>
        <w:r>
          <w:rPr>
            <w:rFonts w:asciiTheme="minorHAnsi" w:eastAsiaTheme="minorEastAsia" w:hAnsiTheme="minorHAnsi" w:cstheme="minorBidi"/>
            <w:noProof/>
            <w:sz w:val="22"/>
            <w:szCs w:val="22"/>
          </w:rPr>
          <w:tab/>
        </w:r>
        <w:r w:rsidRPr="00CD0B56">
          <w:rPr>
            <w:rStyle w:val="Hyperlink"/>
            <w:noProof/>
          </w:rPr>
          <w:t>ocxPr (Object Property)</w:t>
        </w:r>
        <w:r>
          <w:rPr>
            <w:noProof/>
            <w:webHidden/>
          </w:rPr>
          <w:tab/>
        </w:r>
        <w:r>
          <w:rPr>
            <w:noProof/>
            <w:webHidden/>
          </w:rPr>
          <w:fldChar w:fldCharType="begin"/>
        </w:r>
        <w:r>
          <w:rPr>
            <w:noProof/>
            <w:webHidden/>
          </w:rPr>
          <w:instrText xml:space="preserve"> PAGEREF _Toc12262128 \h </w:instrText>
        </w:r>
        <w:r>
          <w:rPr>
            <w:noProof/>
            <w:webHidden/>
          </w:rPr>
        </w:r>
        <w:r>
          <w:rPr>
            <w:noProof/>
            <w:webHidden/>
          </w:rPr>
          <w:fldChar w:fldCharType="separate"/>
        </w:r>
        <w:r>
          <w:rPr>
            <w:noProof/>
            <w:webHidden/>
          </w:rPr>
          <w:t>873</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29" w:history="1">
        <w:r w:rsidRPr="00CD0B56">
          <w:rPr>
            <w:rStyle w:val="Hyperlink"/>
            <w:noProof/>
          </w:rPr>
          <w:t>3.6.1.4</w:t>
        </w:r>
        <w:r>
          <w:rPr>
            <w:rFonts w:asciiTheme="minorHAnsi" w:eastAsiaTheme="minorEastAsia" w:hAnsiTheme="minorHAnsi" w:cstheme="minorBidi"/>
            <w:noProof/>
            <w:sz w:val="22"/>
            <w:szCs w:val="22"/>
          </w:rPr>
          <w:tab/>
        </w:r>
        <w:r w:rsidRPr="00CD0B56">
          <w:rPr>
            <w:rStyle w:val="Hyperlink"/>
            <w:noProof/>
          </w:rPr>
          <w:t>picture (Standard COM Picture Object)</w:t>
        </w:r>
        <w:r>
          <w:rPr>
            <w:noProof/>
            <w:webHidden/>
          </w:rPr>
          <w:tab/>
        </w:r>
        <w:r>
          <w:rPr>
            <w:noProof/>
            <w:webHidden/>
          </w:rPr>
          <w:fldChar w:fldCharType="begin"/>
        </w:r>
        <w:r>
          <w:rPr>
            <w:noProof/>
            <w:webHidden/>
          </w:rPr>
          <w:instrText xml:space="preserve"> PAGEREF _Toc12262129 \h </w:instrText>
        </w:r>
        <w:r>
          <w:rPr>
            <w:noProof/>
            <w:webHidden/>
          </w:rPr>
        </w:r>
        <w:r>
          <w:rPr>
            <w:noProof/>
            <w:webHidden/>
          </w:rPr>
          <w:fldChar w:fldCharType="separate"/>
        </w:r>
        <w:r>
          <w:rPr>
            <w:noProof/>
            <w:webHidden/>
          </w:rPr>
          <w:t>874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2130" w:history="1">
        <w:r w:rsidRPr="00CD0B56">
          <w:rPr>
            <w:rStyle w:val="Hyperlink"/>
            <w:noProof/>
          </w:rPr>
          <w:t>3.6.2</w:t>
        </w:r>
        <w:r>
          <w:rPr>
            <w:rFonts w:asciiTheme="minorHAnsi" w:eastAsiaTheme="minorEastAsia" w:hAnsiTheme="minorHAnsi" w:cstheme="minorBidi"/>
            <w:noProof/>
            <w:sz w:val="22"/>
            <w:szCs w:val="22"/>
          </w:rPr>
          <w:tab/>
        </w:r>
        <w:r w:rsidRPr="00CD0B56">
          <w:rPr>
            <w:rStyle w:val="Hyperlink"/>
            <w:noProof/>
          </w:rPr>
          <w:t>Simple Types</w:t>
        </w:r>
        <w:r>
          <w:rPr>
            <w:noProof/>
            <w:webHidden/>
          </w:rPr>
          <w:tab/>
        </w:r>
        <w:r>
          <w:rPr>
            <w:noProof/>
            <w:webHidden/>
          </w:rPr>
          <w:fldChar w:fldCharType="begin"/>
        </w:r>
        <w:r>
          <w:rPr>
            <w:noProof/>
            <w:webHidden/>
          </w:rPr>
          <w:instrText xml:space="preserve"> PAGEREF _Toc12262130 \h </w:instrText>
        </w:r>
        <w:r>
          <w:rPr>
            <w:noProof/>
            <w:webHidden/>
          </w:rPr>
        </w:r>
        <w:r>
          <w:rPr>
            <w:noProof/>
            <w:webHidden/>
          </w:rPr>
          <w:fldChar w:fldCharType="separate"/>
        </w:r>
        <w:r>
          <w:rPr>
            <w:noProof/>
            <w:webHidden/>
          </w:rPr>
          <w:t>875</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31" w:history="1">
        <w:r w:rsidRPr="00CD0B56">
          <w:rPr>
            <w:rStyle w:val="Hyperlink"/>
            <w:noProof/>
          </w:rPr>
          <w:t>3.6.2.1</w:t>
        </w:r>
        <w:r>
          <w:rPr>
            <w:rFonts w:asciiTheme="minorHAnsi" w:eastAsiaTheme="minorEastAsia" w:hAnsiTheme="minorHAnsi" w:cstheme="minorBidi"/>
            <w:noProof/>
            <w:sz w:val="22"/>
            <w:szCs w:val="22"/>
          </w:rPr>
          <w:tab/>
        </w:r>
        <w:r w:rsidRPr="00CD0B56">
          <w:rPr>
            <w:rStyle w:val="Hyperlink"/>
            <w:noProof/>
          </w:rPr>
          <w:t>ST_Persistence (Control Persistence Attribute Contents)</w:t>
        </w:r>
        <w:r>
          <w:rPr>
            <w:noProof/>
            <w:webHidden/>
          </w:rPr>
          <w:tab/>
        </w:r>
        <w:r>
          <w:rPr>
            <w:noProof/>
            <w:webHidden/>
          </w:rPr>
          <w:fldChar w:fldCharType="begin"/>
        </w:r>
        <w:r>
          <w:rPr>
            <w:noProof/>
            <w:webHidden/>
          </w:rPr>
          <w:instrText xml:space="preserve"> PAGEREF _Toc12262131 \h </w:instrText>
        </w:r>
        <w:r>
          <w:rPr>
            <w:noProof/>
            <w:webHidden/>
          </w:rPr>
        </w:r>
        <w:r>
          <w:rPr>
            <w:noProof/>
            <w:webHidden/>
          </w:rPr>
          <w:fldChar w:fldCharType="separate"/>
        </w:r>
        <w:r>
          <w:rPr>
            <w:noProof/>
            <w:webHidden/>
          </w:rPr>
          <w:t>875</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32" w:history="1">
        <w:r w:rsidRPr="00CD0B56">
          <w:rPr>
            <w:rStyle w:val="Hyperlink"/>
            <w:noProof/>
          </w:rPr>
          <w:t>3.6.2.2</w:t>
        </w:r>
        <w:r>
          <w:rPr>
            <w:rFonts w:asciiTheme="minorHAnsi" w:eastAsiaTheme="minorEastAsia" w:hAnsiTheme="minorHAnsi" w:cstheme="minorBidi"/>
            <w:noProof/>
            <w:sz w:val="22"/>
            <w:szCs w:val="22"/>
          </w:rPr>
          <w:tab/>
        </w:r>
        <w:r w:rsidRPr="00CD0B56">
          <w:rPr>
            <w:rStyle w:val="Hyperlink"/>
            <w:noProof/>
          </w:rPr>
          <w:t>ST_String (String Type)</w:t>
        </w:r>
        <w:r>
          <w:rPr>
            <w:noProof/>
            <w:webHidden/>
          </w:rPr>
          <w:tab/>
        </w:r>
        <w:r>
          <w:rPr>
            <w:noProof/>
            <w:webHidden/>
          </w:rPr>
          <w:fldChar w:fldCharType="begin"/>
        </w:r>
        <w:r>
          <w:rPr>
            <w:noProof/>
            <w:webHidden/>
          </w:rPr>
          <w:instrText xml:space="preserve"> PAGEREF _Toc12262132 \h </w:instrText>
        </w:r>
        <w:r>
          <w:rPr>
            <w:noProof/>
            <w:webHidden/>
          </w:rPr>
        </w:r>
        <w:r>
          <w:rPr>
            <w:noProof/>
            <w:webHidden/>
          </w:rPr>
          <w:fldChar w:fldCharType="separate"/>
        </w:r>
        <w:r>
          <w:rPr>
            <w:noProof/>
            <w:webHidden/>
          </w:rPr>
          <w:t>876</w:t>
        </w:r>
        <w:r>
          <w:rPr>
            <w:noProof/>
            <w:webHidden/>
          </w:rPr>
          <w:fldChar w:fldCharType="end"/>
        </w:r>
      </w:hyperlink>
    </w:p>
    <w:p w:rsidR="00694C0F" w:rsidRDefault="00694C0F">
      <w:pPr>
        <w:pStyle w:val="TOC2"/>
        <w:rPr>
          <w:rFonts w:asciiTheme="minorHAnsi" w:eastAsiaTheme="minorEastAsia" w:hAnsiTheme="minorHAnsi" w:cstheme="minorBidi"/>
          <w:noProof/>
          <w:sz w:val="22"/>
          <w:szCs w:val="22"/>
        </w:rPr>
      </w:pPr>
      <w:hyperlink w:anchor="_Toc12262133" w:history="1">
        <w:r w:rsidRPr="00CD0B56">
          <w:rPr>
            <w:rStyle w:val="Hyperlink"/>
            <w:noProof/>
          </w:rPr>
          <w:t>3.7</w:t>
        </w:r>
        <w:r>
          <w:rPr>
            <w:rFonts w:asciiTheme="minorHAnsi" w:eastAsiaTheme="minorEastAsia" w:hAnsiTheme="minorHAnsi" w:cstheme="minorBidi"/>
            <w:noProof/>
            <w:sz w:val="22"/>
            <w:szCs w:val="22"/>
          </w:rPr>
          <w:tab/>
        </w:r>
        <w:r w:rsidRPr="00CD0B56">
          <w:rPr>
            <w:rStyle w:val="Hyperlink"/>
            <w:noProof/>
          </w:rPr>
          <w:t>Office Digital Signature</w:t>
        </w:r>
        <w:r>
          <w:rPr>
            <w:noProof/>
            <w:webHidden/>
          </w:rPr>
          <w:tab/>
        </w:r>
        <w:r>
          <w:rPr>
            <w:noProof/>
            <w:webHidden/>
          </w:rPr>
          <w:fldChar w:fldCharType="begin"/>
        </w:r>
        <w:r>
          <w:rPr>
            <w:noProof/>
            <w:webHidden/>
          </w:rPr>
          <w:instrText xml:space="preserve"> PAGEREF _Toc12262133 \h </w:instrText>
        </w:r>
        <w:r>
          <w:rPr>
            <w:noProof/>
            <w:webHidden/>
          </w:rPr>
        </w:r>
        <w:r>
          <w:rPr>
            <w:noProof/>
            <w:webHidden/>
          </w:rPr>
          <w:fldChar w:fldCharType="separate"/>
        </w:r>
        <w:r>
          <w:rPr>
            <w:noProof/>
            <w:webHidden/>
          </w:rPr>
          <w:t>876</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2134" w:history="1">
        <w:r w:rsidRPr="00CD0B56">
          <w:rPr>
            <w:rStyle w:val="Hyperlink"/>
            <w:noProof/>
          </w:rPr>
          <w:t>3.7.1</w:t>
        </w:r>
        <w:r>
          <w:rPr>
            <w:rFonts w:asciiTheme="minorHAnsi" w:eastAsiaTheme="minorEastAsia" w:hAnsiTheme="minorHAnsi" w:cstheme="minorBidi"/>
            <w:noProof/>
            <w:sz w:val="22"/>
            <w:szCs w:val="22"/>
          </w:rPr>
          <w:tab/>
        </w:r>
        <w:r w:rsidRPr="00CD0B56">
          <w:rPr>
            <w:rStyle w:val="Hyperlink"/>
            <w:noProof/>
          </w:rPr>
          <w:t>Elements</w:t>
        </w:r>
        <w:r>
          <w:rPr>
            <w:noProof/>
            <w:webHidden/>
          </w:rPr>
          <w:tab/>
        </w:r>
        <w:r>
          <w:rPr>
            <w:noProof/>
            <w:webHidden/>
          </w:rPr>
          <w:fldChar w:fldCharType="begin"/>
        </w:r>
        <w:r>
          <w:rPr>
            <w:noProof/>
            <w:webHidden/>
          </w:rPr>
          <w:instrText xml:space="preserve"> PAGEREF _Toc12262134 \h </w:instrText>
        </w:r>
        <w:r>
          <w:rPr>
            <w:noProof/>
            <w:webHidden/>
          </w:rPr>
        </w:r>
        <w:r>
          <w:rPr>
            <w:noProof/>
            <w:webHidden/>
          </w:rPr>
          <w:fldChar w:fldCharType="separate"/>
        </w:r>
        <w:r>
          <w:rPr>
            <w:noProof/>
            <w:webHidden/>
          </w:rPr>
          <w:t>876</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35" w:history="1">
        <w:r w:rsidRPr="00CD0B56">
          <w:rPr>
            <w:rStyle w:val="Hyperlink"/>
            <w:noProof/>
          </w:rPr>
          <w:t>3.7.1.1</w:t>
        </w:r>
        <w:r>
          <w:rPr>
            <w:rFonts w:asciiTheme="minorHAnsi" w:eastAsiaTheme="minorEastAsia" w:hAnsiTheme="minorHAnsi" w:cstheme="minorBidi"/>
            <w:noProof/>
            <w:sz w:val="22"/>
            <w:szCs w:val="22"/>
          </w:rPr>
          <w:tab/>
        </w:r>
        <w:r w:rsidRPr="00CD0B56">
          <w:rPr>
            <w:rStyle w:val="Hyperlink"/>
            <w:noProof/>
          </w:rPr>
          <w:t>ApplicationVersion (Application Version)</w:t>
        </w:r>
        <w:r>
          <w:rPr>
            <w:noProof/>
            <w:webHidden/>
          </w:rPr>
          <w:tab/>
        </w:r>
        <w:r>
          <w:rPr>
            <w:noProof/>
            <w:webHidden/>
          </w:rPr>
          <w:fldChar w:fldCharType="begin"/>
        </w:r>
        <w:r>
          <w:rPr>
            <w:noProof/>
            <w:webHidden/>
          </w:rPr>
          <w:instrText xml:space="preserve"> PAGEREF _Toc12262135 \h </w:instrText>
        </w:r>
        <w:r>
          <w:rPr>
            <w:noProof/>
            <w:webHidden/>
          </w:rPr>
        </w:r>
        <w:r>
          <w:rPr>
            <w:noProof/>
            <w:webHidden/>
          </w:rPr>
          <w:fldChar w:fldCharType="separate"/>
        </w:r>
        <w:r>
          <w:rPr>
            <w:noProof/>
            <w:webHidden/>
          </w:rPr>
          <w:t>877</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36" w:history="1">
        <w:r w:rsidRPr="00CD0B56">
          <w:rPr>
            <w:rStyle w:val="Hyperlink"/>
            <w:noProof/>
          </w:rPr>
          <w:t>3.7.1.2</w:t>
        </w:r>
        <w:r>
          <w:rPr>
            <w:rFonts w:asciiTheme="minorHAnsi" w:eastAsiaTheme="minorEastAsia" w:hAnsiTheme="minorHAnsi" w:cstheme="minorBidi"/>
            <w:noProof/>
            <w:sz w:val="22"/>
            <w:szCs w:val="22"/>
          </w:rPr>
          <w:tab/>
        </w:r>
        <w:r w:rsidRPr="00CD0B56">
          <w:rPr>
            <w:rStyle w:val="Hyperlink"/>
            <w:noProof/>
          </w:rPr>
          <w:t>ColorDepth (Color Depth)</w:t>
        </w:r>
        <w:r>
          <w:rPr>
            <w:noProof/>
            <w:webHidden/>
          </w:rPr>
          <w:tab/>
        </w:r>
        <w:r>
          <w:rPr>
            <w:noProof/>
            <w:webHidden/>
          </w:rPr>
          <w:fldChar w:fldCharType="begin"/>
        </w:r>
        <w:r>
          <w:rPr>
            <w:noProof/>
            <w:webHidden/>
          </w:rPr>
          <w:instrText xml:space="preserve"> PAGEREF _Toc12262136 \h </w:instrText>
        </w:r>
        <w:r>
          <w:rPr>
            <w:noProof/>
            <w:webHidden/>
          </w:rPr>
        </w:r>
        <w:r>
          <w:rPr>
            <w:noProof/>
            <w:webHidden/>
          </w:rPr>
          <w:fldChar w:fldCharType="separate"/>
        </w:r>
        <w:r>
          <w:rPr>
            <w:noProof/>
            <w:webHidden/>
          </w:rPr>
          <w:t>877</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37" w:history="1">
        <w:r w:rsidRPr="00CD0B56">
          <w:rPr>
            <w:rStyle w:val="Hyperlink"/>
            <w:noProof/>
          </w:rPr>
          <w:t>3.7.1.3</w:t>
        </w:r>
        <w:r>
          <w:rPr>
            <w:rFonts w:asciiTheme="minorHAnsi" w:eastAsiaTheme="minorEastAsia" w:hAnsiTheme="minorHAnsi" w:cstheme="minorBidi"/>
            <w:noProof/>
            <w:sz w:val="22"/>
            <w:szCs w:val="22"/>
          </w:rPr>
          <w:tab/>
        </w:r>
        <w:r w:rsidRPr="00CD0B56">
          <w:rPr>
            <w:rStyle w:val="Hyperlink"/>
            <w:noProof/>
          </w:rPr>
          <w:t>DelegateSuggestedSigner (Delegate Suggested Signer)</w:t>
        </w:r>
        <w:r>
          <w:rPr>
            <w:noProof/>
            <w:webHidden/>
          </w:rPr>
          <w:tab/>
        </w:r>
        <w:r>
          <w:rPr>
            <w:noProof/>
            <w:webHidden/>
          </w:rPr>
          <w:fldChar w:fldCharType="begin"/>
        </w:r>
        <w:r>
          <w:rPr>
            <w:noProof/>
            <w:webHidden/>
          </w:rPr>
          <w:instrText xml:space="preserve"> PAGEREF _Toc12262137 \h </w:instrText>
        </w:r>
        <w:r>
          <w:rPr>
            <w:noProof/>
            <w:webHidden/>
          </w:rPr>
        </w:r>
        <w:r>
          <w:rPr>
            <w:noProof/>
            <w:webHidden/>
          </w:rPr>
          <w:fldChar w:fldCharType="separate"/>
        </w:r>
        <w:r>
          <w:rPr>
            <w:noProof/>
            <w:webHidden/>
          </w:rPr>
          <w:t>877</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38" w:history="1">
        <w:r w:rsidRPr="00CD0B56">
          <w:rPr>
            <w:rStyle w:val="Hyperlink"/>
            <w:noProof/>
          </w:rPr>
          <w:t>3.7.1.4</w:t>
        </w:r>
        <w:r>
          <w:rPr>
            <w:rFonts w:asciiTheme="minorHAnsi" w:eastAsiaTheme="minorEastAsia" w:hAnsiTheme="minorHAnsi" w:cstheme="minorBidi"/>
            <w:noProof/>
            <w:sz w:val="22"/>
            <w:szCs w:val="22"/>
          </w:rPr>
          <w:tab/>
        </w:r>
        <w:r w:rsidRPr="00CD0B56">
          <w:rPr>
            <w:rStyle w:val="Hyperlink"/>
            <w:noProof/>
          </w:rPr>
          <w:t>DelegateSuggestedSigner2 (Delegate Suggested Signer)</w:t>
        </w:r>
        <w:r>
          <w:rPr>
            <w:noProof/>
            <w:webHidden/>
          </w:rPr>
          <w:tab/>
        </w:r>
        <w:r>
          <w:rPr>
            <w:noProof/>
            <w:webHidden/>
          </w:rPr>
          <w:fldChar w:fldCharType="begin"/>
        </w:r>
        <w:r>
          <w:rPr>
            <w:noProof/>
            <w:webHidden/>
          </w:rPr>
          <w:instrText xml:space="preserve"> PAGEREF _Toc12262138 \h </w:instrText>
        </w:r>
        <w:r>
          <w:rPr>
            <w:noProof/>
            <w:webHidden/>
          </w:rPr>
        </w:r>
        <w:r>
          <w:rPr>
            <w:noProof/>
            <w:webHidden/>
          </w:rPr>
          <w:fldChar w:fldCharType="separate"/>
        </w:r>
        <w:r>
          <w:rPr>
            <w:noProof/>
            <w:webHidden/>
          </w:rPr>
          <w:t>877</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39" w:history="1">
        <w:r w:rsidRPr="00CD0B56">
          <w:rPr>
            <w:rStyle w:val="Hyperlink"/>
            <w:noProof/>
          </w:rPr>
          <w:t>3.7.1.5</w:t>
        </w:r>
        <w:r>
          <w:rPr>
            <w:rFonts w:asciiTheme="minorHAnsi" w:eastAsiaTheme="minorEastAsia" w:hAnsiTheme="minorHAnsi" w:cstheme="minorBidi"/>
            <w:noProof/>
            <w:sz w:val="22"/>
            <w:szCs w:val="22"/>
          </w:rPr>
          <w:tab/>
        </w:r>
        <w:r w:rsidRPr="00CD0B56">
          <w:rPr>
            <w:rStyle w:val="Hyperlink"/>
            <w:noProof/>
          </w:rPr>
          <w:t>DelegateSuggestedSignerEmail (Delegate Suggested Signer E-mail Address)</w:t>
        </w:r>
        <w:r>
          <w:rPr>
            <w:noProof/>
            <w:webHidden/>
          </w:rPr>
          <w:tab/>
        </w:r>
        <w:r>
          <w:rPr>
            <w:noProof/>
            <w:webHidden/>
          </w:rPr>
          <w:fldChar w:fldCharType="begin"/>
        </w:r>
        <w:r>
          <w:rPr>
            <w:noProof/>
            <w:webHidden/>
          </w:rPr>
          <w:instrText xml:space="preserve"> PAGEREF _Toc12262139 \h </w:instrText>
        </w:r>
        <w:r>
          <w:rPr>
            <w:noProof/>
            <w:webHidden/>
          </w:rPr>
        </w:r>
        <w:r>
          <w:rPr>
            <w:noProof/>
            <w:webHidden/>
          </w:rPr>
          <w:fldChar w:fldCharType="separate"/>
        </w:r>
        <w:r>
          <w:rPr>
            <w:noProof/>
            <w:webHidden/>
          </w:rPr>
          <w:t>878</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40" w:history="1">
        <w:r w:rsidRPr="00CD0B56">
          <w:rPr>
            <w:rStyle w:val="Hyperlink"/>
            <w:noProof/>
          </w:rPr>
          <w:t>3.7.1.6</w:t>
        </w:r>
        <w:r>
          <w:rPr>
            <w:rFonts w:asciiTheme="minorHAnsi" w:eastAsiaTheme="minorEastAsia" w:hAnsiTheme="minorHAnsi" w:cstheme="minorBidi"/>
            <w:noProof/>
            <w:sz w:val="22"/>
            <w:szCs w:val="22"/>
          </w:rPr>
          <w:tab/>
        </w:r>
        <w:r w:rsidRPr="00CD0B56">
          <w:rPr>
            <w:rStyle w:val="Hyperlink"/>
            <w:noProof/>
          </w:rPr>
          <w:t>HorizontalResolution (Horizontal Resolution)</w:t>
        </w:r>
        <w:r>
          <w:rPr>
            <w:noProof/>
            <w:webHidden/>
          </w:rPr>
          <w:tab/>
        </w:r>
        <w:r>
          <w:rPr>
            <w:noProof/>
            <w:webHidden/>
          </w:rPr>
          <w:fldChar w:fldCharType="begin"/>
        </w:r>
        <w:r>
          <w:rPr>
            <w:noProof/>
            <w:webHidden/>
          </w:rPr>
          <w:instrText xml:space="preserve"> PAGEREF _Toc12262140 \h </w:instrText>
        </w:r>
        <w:r>
          <w:rPr>
            <w:noProof/>
            <w:webHidden/>
          </w:rPr>
        </w:r>
        <w:r>
          <w:rPr>
            <w:noProof/>
            <w:webHidden/>
          </w:rPr>
          <w:fldChar w:fldCharType="separate"/>
        </w:r>
        <w:r>
          <w:rPr>
            <w:noProof/>
            <w:webHidden/>
          </w:rPr>
          <w:t>878</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41" w:history="1">
        <w:r w:rsidRPr="00CD0B56">
          <w:rPr>
            <w:rStyle w:val="Hyperlink"/>
            <w:noProof/>
          </w:rPr>
          <w:t>3.7.1.7</w:t>
        </w:r>
        <w:r>
          <w:rPr>
            <w:rFonts w:asciiTheme="minorHAnsi" w:eastAsiaTheme="minorEastAsia" w:hAnsiTheme="minorHAnsi" w:cstheme="minorBidi"/>
            <w:noProof/>
            <w:sz w:val="22"/>
            <w:szCs w:val="22"/>
          </w:rPr>
          <w:tab/>
        </w:r>
        <w:r w:rsidRPr="00CD0B56">
          <w:rPr>
            <w:rStyle w:val="Hyperlink"/>
            <w:noProof/>
          </w:rPr>
          <w:t>ManifestHashAlgorithm (Manifest Hash Algorithm)</w:t>
        </w:r>
        <w:r>
          <w:rPr>
            <w:noProof/>
            <w:webHidden/>
          </w:rPr>
          <w:tab/>
        </w:r>
        <w:r>
          <w:rPr>
            <w:noProof/>
            <w:webHidden/>
          </w:rPr>
          <w:fldChar w:fldCharType="begin"/>
        </w:r>
        <w:r>
          <w:rPr>
            <w:noProof/>
            <w:webHidden/>
          </w:rPr>
          <w:instrText xml:space="preserve"> PAGEREF _Toc12262141 \h </w:instrText>
        </w:r>
        <w:r>
          <w:rPr>
            <w:noProof/>
            <w:webHidden/>
          </w:rPr>
        </w:r>
        <w:r>
          <w:rPr>
            <w:noProof/>
            <w:webHidden/>
          </w:rPr>
          <w:fldChar w:fldCharType="separate"/>
        </w:r>
        <w:r>
          <w:rPr>
            <w:noProof/>
            <w:webHidden/>
          </w:rPr>
          <w:t>878</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42" w:history="1">
        <w:r w:rsidRPr="00CD0B56">
          <w:rPr>
            <w:rStyle w:val="Hyperlink"/>
            <w:noProof/>
          </w:rPr>
          <w:t>3.7.1.8</w:t>
        </w:r>
        <w:r>
          <w:rPr>
            <w:rFonts w:asciiTheme="minorHAnsi" w:eastAsiaTheme="minorEastAsia" w:hAnsiTheme="minorHAnsi" w:cstheme="minorBidi"/>
            <w:noProof/>
            <w:sz w:val="22"/>
            <w:szCs w:val="22"/>
          </w:rPr>
          <w:tab/>
        </w:r>
        <w:r w:rsidRPr="00CD0B56">
          <w:rPr>
            <w:rStyle w:val="Hyperlink"/>
            <w:noProof/>
          </w:rPr>
          <w:t>Monitors (Monitor Count)</w:t>
        </w:r>
        <w:r>
          <w:rPr>
            <w:noProof/>
            <w:webHidden/>
          </w:rPr>
          <w:tab/>
        </w:r>
        <w:r>
          <w:rPr>
            <w:noProof/>
            <w:webHidden/>
          </w:rPr>
          <w:fldChar w:fldCharType="begin"/>
        </w:r>
        <w:r>
          <w:rPr>
            <w:noProof/>
            <w:webHidden/>
          </w:rPr>
          <w:instrText xml:space="preserve"> PAGEREF _Toc12262142 \h </w:instrText>
        </w:r>
        <w:r>
          <w:rPr>
            <w:noProof/>
            <w:webHidden/>
          </w:rPr>
        </w:r>
        <w:r>
          <w:rPr>
            <w:noProof/>
            <w:webHidden/>
          </w:rPr>
          <w:fldChar w:fldCharType="separate"/>
        </w:r>
        <w:r>
          <w:rPr>
            <w:noProof/>
            <w:webHidden/>
          </w:rPr>
          <w:t>878</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43" w:history="1">
        <w:r w:rsidRPr="00CD0B56">
          <w:rPr>
            <w:rStyle w:val="Hyperlink"/>
            <w:noProof/>
          </w:rPr>
          <w:t>3.7.1.9</w:t>
        </w:r>
        <w:r>
          <w:rPr>
            <w:rFonts w:asciiTheme="minorHAnsi" w:eastAsiaTheme="minorEastAsia" w:hAnsiTheme="minorHAnsi" w:cstheme="minorBidi"/>
            <w:noProof/>
            <w:sz w:val="22"/>
            <w:szCs w:val="22"/>
          </w:rPr>
          <w:tab/>
        </w:r>
        <w:r w:rsidRPr="00CD0B56">
          <w:rPr>
            <w:rStyle w:val="Hyperlink"/>
            <w:noProof/>
          </w:rPr>
          <w:t>OfficeVersion (Office Version)</w:t>
        </w:r>
        <w:r>
          <w:rPr>
            <w:noProof/>
            <w:webHidden/>
          </w:rPr>
          <w:tab/>
        </w:r>
        <w:r>
          <w:rPr>
            <w:noProof/>
            <w:webHidden/>
          </w:rPr>
          <w:fldChar w:fldCharType="begin"/>
        </w:r>
        <w:r>
          <w:rPr>
            <w:noProof/>
            <w:webHidden/>
          </w:rPr>
          <w:instrText xml:space="preserve"> PAGEREF _Toc12262143 \h </w:instrText>
        </w:r>
        <w:r>
          <w:rPr>
            <w:noProof/>
            <w:webHidden/>
          </w:rPr>
        </w:r>
        <w:r>
          <w:rPr>
            <w:noProof/>
            <w:webHidden/>
          </w:rPr>
          <w:fldChar w:fldCharType="separate"/>
        </w:r>
        <w:r>
          <w:rPr>
            <w:noProof/>
            <w:webHidden/>
          </w:rPr>
          <w:t>879</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44" w:history="1">
        <w:r w:rsidRPr="00CD0B56">
          <w:rPr>
            <w:rStyle w:val="Hyperlink"/>
            <w:noProof/>
          </w:rPr>
          <w:t>3.7.1.10</w:t>
        </w:r>
        <w:r>
          <w:rPr>
            <w:rFonts w:asciiTheme="minorHAnsi" w:eastAsiaTheme="minorEastAsia" w:hAnsiTheme="minorHAnsi" w:cstheme="minorBidi"/>
            <w:noProof/>
            <w:sz w:val="22"/>
            <w:szCs w:val="22"/>
          </w:rPr>
          <w:tab/>
        </w:r>
        <w:r w:rsidRPr="00CD0B56">
          <w:rPr>
            <w:rStyle w:val="Hyperlink"/>
            <w:noProof/>
          </w:rPr>
          <w:t>SetupID (Setup ID)</w:t>
        </w:r>
        <w:r>
          <w:rPr>
            <w:noProof/>
            <w:webHidden/>
          </w:rPr>
          <w:tab/>
        </w:r>
        <w:r>
          <w:rPr>
            <w:noProof/>
            <w:webHidden/>
          </w:rPr>
          <w:fldChar w:fldCharType="begin"/>
        </w:r>
        <w:r>
          <w:rPr>
            <w:noProof/>
            <w:webHidden/>
          </w:rPr>
          <w:instrText xml:space="preserve"> PAGEREF _Toc12262144 \h </w:instrText>
        </w:r>
        <w:r>
          <w:rPr>
            <w:noProof/>
            <w:webHidden/>
          </w:rPr>
        </w:r>
        <w:r>
          <w:rPr>
            <w:noProof/>
            <w:webHidden/>
          </w:rPr>
          <w:fldChar w:fldCharType="separate"/>
        </w:r>
        <w:r>
          <w:rPr>
            <w:noProof/>
            <w:webHidden/>
          </w:rPr>
          <w:t>879</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45" w:history="1">
        <w:r w:rsidRPr="00CD0B56">
          <w:rPr>
            <w:rStyle w:val="Hyperlink"/>
            <w:noProof/>
          </w:rPr>
          <w:t>3.7.1.11</w:t>
        </w:r>
        <w:r>
          <w:rPr>
            <w:rFonts w:asciiTheme="minorHAnsi" w:eastAsiaTheme="minorEastAsia" w:hAnsiTheme="minorHAnsi" w:cstheme="minorBidi"/>
            <w:noProof/>
            <w:sz w:val="22"/>
            <w:szCs w:val="22"/>
          </w:rPr>
          <w:tab/>
        </w:r>
        <w:r w:rsidRPr="00CD0B56">
          <w:rPr>
            <w:rStyle w:val="Hyperlink"/>
            <w:noProof/>
          </w:rPr>
          <w:t>SignatureComments (Signature Comments)</w:t>
        </w:r>
        <w:r>
          <w:rPr>
            <w:noProof/>
            <w:webHidden/>
          </w:rPr>
          <w:tab/>
        </w:r>
        <w:r>
          <w:rPr>
            <w:noProof/>
            <w:webHidden/>
          </w:rPr>
          <w:fldChar w:fldCharType="begin"/>
        </w:r>
        <w:r>
          <w:rPr>
            <w:noProof/>
            <w:webHidden/>
          </w:rPr>
          <w:instrText xml:space="preserve"> PAGEREF _Toc12262145 \h </w:instrText>
        </w:r>
        <w:r>
          <w:rPr>
            <w:noProof/>
            <w:webHidden/>
          </w:rPr>
        </w:r>
        <w:r>
          <w:rPr>
            <w:noProof/>
            <w:webHidden/>
          </w:rPr>
          <w:fldChar w:fldCharType="separate"/>
        </w:r>
        <w:r>
          <w:rPr>
            <w:noProof/>
            <w:webHidden/>
          </w:rPr>
          <w:t>880</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46" w:history="1">
        <w:r w:rsidRPr="00CD0B56">
          <w:rPr>
            <w:rStyle w:val="Hyperlink"/>
            <w:noProof/>
          </w:rPr>
          <w:t>3.7.1.12</w:t>
        </w:r>
        <w:r>
          <w:rPr>
            <w:rFonts w:asciiTheme="minorHAnsi" w:eastAsiaTheme="minorEastAsia" w:hAnsiTheme="minorHAnsi" w:cstheme="minorBidi"/>
            <w:noProof/>
            <w:sz w:val="22"/>
            <w:szCs w:val="22"/>
          </w:rPr>
          <w:tab/>
        </w:r>
        <w:r w:rsidRPr="00CD0B56">
          <w:rPr>
            <w:rStyle w:val="Hyperlink"/>
            <w:noProof/>
          </w:rPr>
          <w:t>SignatureImage (Signature Image)</w:t>
        </w:r>
        <w:r>
          <w:rPr>
            <w:noProof/>
            <w:webHidden/>
          </w:rPr>
          <w:tab/>
        </w:r>
        <w:r>
          <w:rPr>
            <w:noProof/>
            <w:webHidden/>
          </w:rPr>
          <w:fldChar w:fldCharType="begin"/>
        </w:r>
        <w:r>
          <w:rPr>
            <w:noProof/>
            <w:webHidden/>
          </w:rPr>
          <w:instrText xml:space="preserve"> PAGEREF _Toc12262146 \h </w:instrText>
        </w:r>
        <w:r>
          <w:rPr>
            <w:noProof/>
            <w:webHidden/>
          </w:rPr>
        </w:r>
        <w:r>
          <w:rPr>
            <w:noProof/>
            <w:webHidden/>
          </w:rPr>
          <w:fldChar w:fldCharType="separate"/>
        </w:r>
        <w:r>
          <w:rPr>
            <w:noProof/>
            <w:webHidden/>
          </w:rPr>
          <w:t>880</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47" w:history="1">
        <w:r w:rsidRPr="00CD0B56">
          <w:rPr>
            <w:rStyle w:val="Hyperlink"/>
            <w:noProof/>
          </w:rPr>
          <w:t>3.7.1.13</w:t>
        </w:r>
        <w:r>
          <w:rPr>
            <w:rFonts w:asciiTheme="minorHAnsi" w:eastAsiaTheme="minorEastAsia" w:hAnsiTheme="minorHAnsi" w:cstheme="minorBidi"/>
            <w:noProof/>
            <w:sz w:val="22"/>
            <w:szCs w:val="22"/>
          </w:rPr>
          <w:tab/>
        </w:r>
        <w:r w:rsidRPr="00CD0B56">
          <w:rPr>
            <w:rStyle w:val="Hyperlink"/>
            <w:noProof/>
          </w:rPr>
          <w:t>SignatureInfoV1 (Office Digital Signature V1 Info)</w:t>
        </w:r>
        <w:r>
          <w:rPr>
            <w:noProof/>
            <w:webHidden/>
          </w:rPr>
          <w:tab/>
        </w:r>
        <w:r>
          <w:rPr>
            <w:noProof/>
            <w:webHidden/>
          </w:rPr>
          <w:fldChar w:fldCharType="begin"/>
        </w:r>
        <w:r>
          <w:rPr>
            <w:noProof/>
            <w:webHidden/>
          </w:rPr>
          <w:instrText xml:space="preserve"> PAGEREF _Toc12262147 \h </w:instrText>
        </w:r>
        <w:r>
          <w:rPr>
            <w:noProof/>
            <w:webHidden/>
          </w:rPr>
        </w:r>
        <w:r>
          <w:rPr>
            <w:noProof/>
            <w:webHidden/>
          </w:rPr>
          <w:fldChar w:fldCharType="separate"/>
        </w:r>
        <w:r>
          <w:rPr>
            <w:noProof/>
            <w:webHidden/>
          </w:rPr>
          <w:t>880</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48" w:history="1">
        <w:r w:rsidRPr="00CD0B56">
          <w:rPr>
            <w:rStyle w:val="Hyperlink"/>
            <w:noProof/>
          </w:rPr>
          <w:t>3.7.1.14</w:t>
        </w:r>
        <w:r>
          <w:rPr>
            <w:rFonts w:asciiTheme="minorHAnsi" w:eastAsiaTheme="minorEastAsia" w:hAnsiTheme="minorHAnsi" w:cstheme="minorBidi"/>
            <w:noProof/>
            <w:sz w:val="22"/>
            <w:szCs w:val="22"/>
          </w:rPr>
          <w:tab/>
        </w:r>
        <w:r w:rsidRPr="00CD0B56">
          <w:rPr>
            <w:rStyle w:val="Hyperlink"/>
            <w:noProof/>
          </w:rPr>
          <w:t>SignatureProviderDetails (Signature Provider Details)</w:t>
        </w:r>
        <w:r>
          <w:rPr>
            <w:noProof/>
            <w:webHidden/>
          </w:rPr>
          <w:tab/>
        </w:r>
        <w:r>
          <w:rPr>
            <w:noProof/>
            <w:webHidden/>
          </w:rPr>
          <w:fldChar w:fldCharType="begin"/>
        </w:r>
        <w:r>
          <w:rPr>
            <w:noProof/>
            <w:webHidden/>
          </w:rPr>
          <w:instrText xml:space="preserve"> PAGEREF _Toc12262148 \h </w:instrText>
        </w:r>
        <w:r>
          <w:rPr>
            <w:noProof/>
            <w:webHidden/>
          </w:rPr>
        </w:r>
        <w:r>
          <w:rPr>
            <w:noProof/>
            <w:webHidden/>
          </w:rPr>
          <w:fldChar w:fldCharType="separate"/>
        </w:r>
        <w:r>
          <w:rPr>
            <w:noProof/>
            <w:webHidden/>
          </w:rPr>
          <w:t>881</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49" w:history="1">
        <w:r w:rsidRPr="00CD0B56">
          <w:rPr>
            <w:rStyle w:val="Hyperlink"/>
            <w:noProof/>
          </w:rPr>
          <w:t>3.7.1.15</w:t>
        </w:r>
        <w:r>
          <w:rPr>
            <w:rFonts w:asciiTheme="minorHAnsi" w:eastAsiaTheme="minorEastAsia" w:hAnsiTheme="minorHAnsi" w:cstheme="minorBidi"/>
            <w:noProof/>
            <w:sz w:val="22"/>
            <w:szCs w:val="22"/>
          </w:rPr>
          <w:tab/>
        </w:r>
        <w:r w:rsidRPr="00CD0B56">
          <w:rPr>
            <w:rStyle w:val="Hyperlink"/>
            <w:noProof/>
          </w:rPr>
          <w:t>SignatureProviderId (Signature Provider ID)</w:t>
        </w:r>
        <w:r>
          <w:rPr>
            <w:noProof/>
            <w:webHidden/>
          </w:rPr>
          <w:tab/>
        </w:r>
        <w:r>
          <w:rPr>
            <w:noProof/>
            <w:webHidden/>
          </w:rPr>
          <w:fldChar w:fldCharType="begin"/>
        </w:r>
        <w:r>
          <w:rPr>
            <w:noProof/>
            <w:webHidden/>
          </w:rPr>
          <w:instrText xml:space="preserve"> PAGEREF _Toc12262149 \h </w:instrText>
        </w:r>
        <w:r>
          <w:rPr>
            <w:noProof/>
            <w:webHidden/>
          </w:rPr>
        </w:r>
        <w:r>
          <w:rPr>
            <w:noProof/>
            <w:webHidden/>
          </w:rPr>
          <w:fldChar w:fldCharType="separate"/>
        </w:r>
        <w:r>
          <w:rPr>
            <w:noProof/>
            <w:webHidden/>
          </w:rPr>
          <w:t>882</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50" w:history="1">
        <w:r w:rsidRPr="00CD0B56">
          <w:rPr>
            <w:rStyle w:val="Hyperlink"/>
            <w:noProof/>
          </w:rPr>
          <w:t>3.7.1.16</w:t>
        </w:r>
        <w:r>
          <w:rPr>
            <w:rFonts w:asciiTheme="minorHAnsi" w:eastAsiaTheme="minorEastAsia" w:hAnsiTheme="minorHAnsi" w:cstheme="minorBidi"/>
            <w:noProof/>
            <w:sz w:val="22"/>
            <w:szCs w:val="22"/>
          </w:rPr>
          <w:tab/>
        </w:r>
        <w:r w:rsidRPr="00CD0B56">
          <w:rPr>
            <w:rStyle w:val="Hyperlink"/>
            <w:noProof/>
          </w:rPr>
          <w:t>SignatureProviderUrl (Signature Provider URL)</w:t>
        </w:r>
        <w:r>
          <w:rPr>
            <w:noProof/>
            <w:webHidden/>
          </w:rPr>
          <w:tab/>
        </w:r>
        <w:r>
          <w:rPr>
            <w:noProof/>
            <w:webHidden/>
          </w:rPr>
          <w:fldChar w:fldCharType="begin"/>
        </w:r>
        <w:r>
          <w:rPr>
            <w:noProof/>
            <w:webHidden/>
          </w:rPr>
          <w:instrText xml:space="preserve"> PAGEREF _Toc12262150 \h </w:instrText>
        </w:r>
        <w:r>
          <w:rPr>
            <w:noProof/>
            <w:webHidden/>
          </w:rPr>
        </w:r>
        <w:r>
          <w:rPr>
            <w:noProof/>
            <w:webHidden/>
          </w:rPr>
          <w:fldChar w:fldCharType="separate"/>
        </w:r>
        <w:r>
          <w:rPr>
            <w:noProof/>
            <w:webHidden/>
          </w:rPr>
          <w:t>882</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51" w:history="1">
        <w:r w:rsidRPr="00CD0B56">
          <w:rPr>
            <w:rStyle w:val="Hyperlink"/>
            <w:noProof/>
          </w:rPr>
          <w:t>3.7.1.17</w:t>
        </w:r>
        <w:r>
          <w:rPr>
            <w:rFonts w:asciiTheme="minorHAnsi" w:eastAsiaTheme="minorEastAsia" w:hAnsiTheme="minorHAnsi" w:cstheme="minorBidi"/>
            <w:noProof/>
            <w:sz w:val="22"/>
            <w:szCs w:val="22"/>
          </w:rPr>
          <w:tab/>
        </w:r>
        <w:r w:rsidRPr="00CD0B56">
          <w:rPr>
            <w:rStyle w:val="Hyperlink"/>
            <w:noProof/>
          </w:rPr>
          <w:t>SignatureText (Signature Text)</w:t>
        </w:r>
        <w:r>
          <w:rPr>
            <w:noProof/>
            <w:webHidden/>
          </w:rPr>
          <w:tab/>
        </w:r>
        <w:r>
          <w:rPr>
            <w:noProof/>
            <w:webHidden/>
          </w:rPr>
          <w:fldChar w:fldCharType="begin"/>
        </w:r>
        <w:r>
          <w:rPr>
            <w:noProof/>
            <w:webHidden/>
          </w:rPr>
          <w:instrText xml:space="preserve"> PAGEREF _Toc12262151 \h </w:instrText>
        </w:r>
        <w:r>
          <w:rPr>
            <w:noProof/>
            <w:webHidden/>
          </w:rPr>
        </w:r>
        <w:r>
          <w:rPr>
            <w:noProof/>
            <w:webHidden/>
          </w:rPr>
          <w:fldChar w:fldCharType="separate"/>
        </w:r>
        <w:r>
          <w:rPr>
            <w:noProof/>
            <w:webHidden/>
          </w:rPr>
          <w:t>882</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52" w:history="1">
        <w:r w:rsidRPr="00CD0B56">
          <w:rPr>
            <w:rStyle w:val="Hyperlink"/>
            <w:noProof/>
          </w:rPr>
          <w:t>3.7.1.18</w:t>
        </w:r>
        <w:r>
          <w:rPr>
            <w:rFonts w:asciiTheme="minorHAnsi" w:eastAsiaTheme="minorEastAsia" w:hAnsiTheme="minorHAnsi" w:cstheme="minorBidi"/>
            <w:noProof/>
            <w:sz w:val="22"/>
            <w:szCs w:val="22"/>
          </w:rPr>
          <w:tab/>
        </w:r>
        <w:r w:rsidRPr="00CD0B56">
          <w:rPr>
            <w:rStyle w:val="Hyperlink"/>
            <w:noProof/>
          </w:rPr>
          <w:t>SignatureType (Signature Type)</w:t>
        </w:r>
        <w:r>
          <w:rPr>
            <w:noProof/>
            <w:webHidden/>
          </w:rPr>
          <w:tab/>
        </w:r>
        <w:r>
          <w:rPr>
            <w:noProof/>
            <w:webHidden/>
          </w:rPr>
          <w:fldChar w:fldCharType="begin"/>
        </w:r>
        <w:r>
          <w:rPr>
            <w:noProof/>
            <w:webHidden/>
          </w:rPr>
          <w:instrText xml:space="preserve"> PAGEREF _Toc12262152 \h </w:instrText>
        </w:r>
        <w:r>
          <w:rPr>
            <w:noProof/>
            <w:webHidden/>
          </w:rPr>
        </w:r>
        <w:r>
          <w:rPr>
            <w:noProof/>
            <w:webHidden/>
          </w:rPr>
          <w:fldChar w:fldCharType="separate"/>
        </w:r>
        <w:r>
          <w:rPr>
            <w:noProof/>
            <w:webHidden/>
          </w:rPr>
          <w:t>883</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53" w:history="1">
        <w:r w:rsidRPr="00CD0B56">
          <w:rPr>
            <w:rStyle w:val="Hyperlink"/>
            <w:noProof/>
          </w:rPr>
          <w:t>3.7.1.19</w:t>
        </w:r>
        <w:r>
          <w:rPr>
            <w:rFonts w:asciiTheme="minorHAnsi" w:eastAsiaTheme="minorEastAsia" w:hAnsiTheme="minorHAnsi" w:cstheme="minorBidi"/>
            <w:noProof/>
            <w:sz w:val="22"/>
            <w:szCs w:val="22"/>
          </w:rPr>
          <w:tab/>
        </w:r>
        <w:r w:rsidRPr="00CD0B56">
          <w:rPr>
            <w:rStyle w:val="Hyperlink"/>
            <w:noProof/>
          </w:rPr>
          <w:t>VerticalResolution (Vertical Resolution)</w:t>
        </w:r>
        <w:r>
          <w:rPr>
            <w:noProof/>
            <w:webHidden/>
          </w:rPr>
          <w:tab/>
        </w:r>
        <w:r>
          <w:rPr>
            <w:noProof/>
            <w:webHidden/>
          </w:rPr>
          <w:fldChar w:fldCharType="begin"/>
        </w:r>
        <w:r>
          <w:rPr>
            <w:noProof/>
            <w:webHidden/>
          </w:rPr>
          <w:instrText xml:space="preserve"> PAGEREF _Toc12262153 \h </w:instrText>
        </w:r>
        <w:r>
          <w:rPr>
            <w:noProof/>
            <w:webHidden/>
          </w:rPr>
        </w:r>
        <w:r>
          <w:rPr>
            <w:noProof/>
            <w:webHidden/>
          </w:rPr>
          <w:fldChar w:fldCharType="separate"/>
        </w:r>
        <w:r>
          <w:rPr>
            <w:noProof/>
            <w:webHidden/>
          </w:rPr>
          <w:t>883</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54" w:history="1">
        <w:r w:rsidRPr="00CD0B56">
          <w:rPr>
            <w:rStyle w:val="Hyperlink"/>
            <w:noProof/>
          </w:rPr>
          <w:t>3.7.1.20</w:t>
        </w:r>
        <w:r>
          <w:rPr>
            <w:rFonts w:asciiTheme="minorHAnsi" w:eastAsiaTheme="minorEastAsia" w:hAnsiTheme="minorHAnsi" w:cstheme="minorBidi"/>
            <w:noProof/>
            <w:sz w:val="22"/>
            <w:szCs w:val="22"/>
          </w:rPr>
          <w:tab/>
        </w:r>
        <w:r w:rsidRPr="00CD0B56">
          <w:rPr>
            <w:rStyle w:val="Hyperlink"/>
            <w:noProof/>
          </w:rPr>
          <w:t>WindowsVersion (Windows Version)</w:t>
        </w:r>
        <w:r>
          <w:rPr>
            <w:noProof/>
            <w:webHidden/>
          </w:rPr>
          <w:tab/>
        </w:r>
        <w:r>
          <w:rPr>
            <w:noProof/>
            <w:webHidden/>
          </w:rPr>
          <w:fldChar w:fldCharType="begin"/>
        </w:r>
        <w:r>
          <w:rPr>
            <w:noProof/>
            <w:webHidden/>
          </w:rPr>
          <w:instrText xml:space="preserve"> PAGEREF _Toc12262154 \h </w:instrText>
        </w:r>
        <w:r>
          <w:rPr>
            <w:noProof/>
            <w:webHidden/>
          </w:rPr>
        </w:r>
        <w:r>
          <w:rPr>
            <w:noProof/>
            <w:webHidden/>
          </w:rPr>
          <w:fldChar w:fldCharType="separate"/>
        </w:r>
        <w:r>
          <w:rPr>
            <w:noProof/>
            <w:webHidden/>
          </w:rPr>
          <w:t>884</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2155" w:history="1">
        <w:r w:rsidRPr="00CD0B56">
          <w:rPr>
            <w:rStyle w:val="Hyperlink"/>
            <w:noProof/>
          </w:rPr>
          <w:t>3.7.2</w:t>
        </w:r>
        <w:r>
          <w:rPr>
            <w:rFonts w:asciiTheme="minorHAnsi" w:eastAsiaTheme="minorEastAsia" w:hAnsiTheme="minorHAnsi" w:cstheme="minorBidi"/>
            <w:noProof/>
            <w:sz w:val="22"/>
            <w:szCs w:val="22"/>
          </w:rPr>
          <w:tab/>
        </w:r>
        <w:r w:rsidRPr="00CD0B56">
          <w:rPr>
            <w:rStyle w:val="Hyperlink"/>
            <w:noProof/>
          </w:rPr>
          <w:t>Simple Types</w:t>
        </w:r>
        <w:r>
          <w:rPr>
            <w:noProof/>
            <w:webHidden/>
          </w:rPr>
          <w:tab/>
        </w:r>
        <w:r>
          <w:rPr>
            <w:noProof/>
            <w:webHidden/>
          </w:rPr>
          <w:fldChar w:fldCharType="begin"/>
        </w:r>
        <w:r>
          <w:rPr>
            <w:noProof/>
            <w:webHidden/>
          </w:rPr>
          <w:instrText xml:space="preserve"> PAGEREF _Toc12262155 \h </w:instrText>
        </w:r>
        <w:r>
          <w:rPr>
            <w:noProof/>
            <w:webHidden/>
          </w:rPr>
        </w:r>
        <w:r>
          <w:rPr>
            <w:noProof/>
            <w:webHidden/>
          </w:rPr>
          <w:fldChar w:fldCharType="separate"/>
        </w:r>
        <w:r>
          <w:rPr>
            <w:noProof/>
            <w:webHidden/>
          </w:rPr>
          <w:t>884</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56" w:history="1">
        <w:r w:rsidRPr="00CD0B56">
          <w:rPr>
            <w:rStyle w:val="Hyperlink"/>
            <w:noProof/>
          </w:rPr>
          <w:t>3.7.2.1</w:t>
        </w:r>
        <w:r>
          <w:rPr>
            <w:rFonts w:asciiTheme="minorHAnsi" w:eastAsiaTheme="minorEastAsia" w:hAnsiTheme="minorHAnsi" w:cstheme="minorBidi"/>
            <w:noProof/>
            <w:sz w:val="22"/>
            <w:szCs w:val="22"/>
          </w:rPr>
          <w:tab/>
        </w:r>
        <w:r w:rsidRPr="00CD0B56">
          <w:rPr>
            <w:rStyle w:val="Hyperlink"/>
            <w:noProof/>
          </w:rPr>
          <w:t>ST_PositiveInteger (Positive Integer)</w:t>
        </w:r>
        <w:r>
          <w:rPr>
            <w:noProof/>
            <w:webHidden/>
          </w:rPr>
          <w:tab/>
        </w:r>
        <w:r>
          <w:rPr>
            <w:noProof/>
            <w:webHidden/>
          </w:rPr>
          <w:fldChar w:fldCharType="begin"/>
        </w:r>
        <w:r>
          <w:rPr>
            <w:noProof/>
            <w:webHidden/>
          </w:rPr>
          <w:instrText xml:space="preserve"> PAGEREF _Toc12262156 \h </w:instrText>
        </w:r>
        <w:r>
          <w:rPr>
            <w:noProof/>
            <w:webHidden/>
          </w:rPr>
        </w:r>
        <w:r>
          <w:rPr>
            <w:noProof/>
            <w:webHidden/>
          </w:rPr>
          <w:fldChar w:fldCharType="separate"/>
        </w:r>
        <w:r>
          <w:rPr>
            <w:noProof/>
            <w:webHidden/>
          </w:rPr>
          <w:t>884</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57" w:history="1">
        <w:r w:rsidRPr="00CD0B56">
          <w:rPr>
            <w:rStyle w:val="Hyperlink"/>
            <w:noProof/>
          </w:rPr>
          <w:t>3.7.2.2</w:t>
        </w:r>
        <w:r>
          <w:rPr>
            <w:rFonts w:asciiTheme="minorHAnsi" w:eastAsiaTheme="minorEastAsia" w:hAnsiTheme="minorHAnsi" w:cstheme="minorBidi"/>
            <w:noProof/>
            <w:sz w:val="22"/>
            <w:szCs w:val="22"/>
          </w:rPr>
          <w:tab/>
        </w:r>
        <w:r w:rsidRPr="00CD0B56">
          <w:rPr>
            <w:rStyle w:val="Hyperlink"/>
            <w:noProof/>
          </w:rPr>
          <w:t>ST_SignatureComments (Signature Comments)</w:t>
        </w:r>
        <w:r>
          <w:rPr>
            <w:noProof/>
            <w:webHidden/>
          </w:rPr>
          <w:tab/>
        </w:r>
        <w:r>
          <w:rPr>
            <w:noProof/>
            <w:webHidden/>
          </w:rPr>
          <w:fldChar w:fldCharType="begin"/>
        </w:r>
        <w:r>
          <w:rPr>
            <w:noProof/>
            <w:webHidden/>
          </w:rPr>
          <w:instrText xml:space="preserve"> PAGEREF _Toc12262157 \h </w:instrText>
        </w:r>
        <w:r>
          <w:rPr>
            <w:noProof/>
            <w:webHidden/>
          </w:rPr>
        </w:r>
        <w:r>
          <w:rPr>
            <w:noProof/>
            <w:webHidden/>
          </w:rPr>
          <w:fldChar w:fldCharType="separate"/>
        </w:r>
        <w:r>
          <w:rPr>
            <w:noProof/>
            <w:webHidden/>
          </w:rPr>
          <w:t>885</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58" w:history="1">
        <w:r w:rsidRPr="00CD0B56">
          <w:rPr>
            <w:rStyle w:val="Hyperlink"/>
            <w:noProof/>
          </w:rPr>
          <w:t>3.7.2.3</w:t>
        </w:r>
        <w:r>
          <w:rPr>
            <w:rFonts w:asciiTheme="minorHAnsi" w:eastAsiaTheme="minorEastAsia" w:hAnsiTheme="minorHAnsi" w:cstheme="minorBidi"/>
            <w:noProof/>
            <w:sz w:val="22"/>
            <w:szCs w:val="22"/>
          </w:rPr>
          <w:tab/>
        </w:r>
        <w:r w:rsidRPr="00CD0B56">
          <w:rPr>
            <w:rStyle w:val="Hyperlink"/>
            <w:noProof/>
          </w:rPr>
          <w:t>ST_SignatureProviderUrl (Signature Provider URL)</w:t>
        </w:r>
        <w:r>
          <w:rPr>
            <w:noProof/>
            <w:webHidden/>
          </w:rPr>
          <w:tab/>
        </w:r>
        <w:r>
          <w:rPr>
            <w:noProof/>
            <w:webHidden/>
          </w:rPr>
          <w:fldChar w:fldCharType="begin"/>
        </w:r>
        <w:r>
          <w:rPr>
            <w:noProof/>
            <w:webHidden/>
          </w:rPr>
          <w:instrText xml:space="preserve"> PAGEREF _Toc12262158 \h </w:instrText>
        </w:r>
        <w:r>
          <w:rPr>
            <w:noProof/>
            <w:webHidden/>
          </w:rPr>
        </w:r>
        <w:r>
          <w:rPr>
            <w:noProof/>
            <w:webHidden/>
          </w:rPr>
          <w:fldChar w:fldCharType="separate"/>
        </w:r>
        <w:r>
          <w:rPr>
            <w:noProof/>
            <w:webHidden/>
          </w:rPr>
          <w:t>885</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59" w:history="1">
        <w:r w:rsidRPr="00CD0B56">
          <w:rPr>
            <w:rStyle w:val="Hyperlink"/>
            <w:noProof/>
          </w:rPr>
          <w:t>3.7.2.4</w:t>
        </w:r>
        <w:r>
          <w:rPr>
            <w:rFonts w:asciiTheme="minorHAnsi" w:eastAsiaTheme="minorEastAsia" w:hAnsiTheme="minorHAnsi" w:cstheme="minorBidi"/>
            <w:noProof/>
            <w:sz w:val="22"/>
            <w:szCs w:val="22"/>
          </w:rPr>
          <w:tab/>
        </w:r>
        <w:r w:rsidRPr="00CD0B56">
          <w:rPr>
            <w:rStyle w:val="Hyperlink"/>
            <w:noProof/>
          </w:rPr>
          <w:t>ST_SignatureText (Signature Text)</w:t>
        </w:r>
        <w:r>
          <w:rPr>
            <w:noProof/>
            <w:webHidden/>
          </w:rPr>
          <w:tab/>
        </w:r>
        <w:r>
          <w:rPr>
            <w:noProof/>
            <w:webHidden/>
          </w:rPr>
          <w:fldChar w:fldCharType="begin"/>
        </w:r>
        <w:r>
          <w:rPr>
            <w:noProof/>
            <w:webHidden/>
          </w:rPr>
          <w:instrText xml:space="preserve"> PAGEREF _Toc12262159 \h </w:instrText>
        </w:r>
        <w:r>
          <w:rPr>
            <w:noProof/>
            <w:webHidden/>
          </w:rPr>
        </w:r>
        <w:r>
          <w:rPr>
            <w:noProof/>
            <w:webHidden/>
          </w:rPr>
          <w:fldChar w:fldCharType="separate"/>
        </w:r>
        <w:r>
          <w:rPr>
            <w:noProof/>
            <w:webHidden/>
          </w:rPr>
          <w:t>885</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60" w:history="1">
        <w:r w:rsidRPr="00CD0B56">
          <w:rPr>
            <w:rStyle w:val="Hyperlink"/>
            <w:noProof/>
          </w:rPr>
          <w:t>3.7.2.5</w:t>
        </w:r>
        <w:r>
          <w:rPr>
            <w:rFonts w:asciiTheme="minorHAnsi" w:eastAsiaTheme="minorEastAsia" w:hAnsiTheme="minorHAnsi" w:cstheme="minorBidi"/>
            <w:noProof/>
            <w:sz w:val="22"/>
            <w:szCs w:val="22"/>
          </w:rPr>
          <w:tab/>
        </w:r>
        <w:r w:rsidRPr="00CD0B56">
          <w:rPr>
            <w:rStyle w:val="Hyperlink"/>
            <w:noProof/>
          </w:rPr>
          <w:t>ST_SignatureType (Signature Type)</w:t>
        </w:r>
        <w:r>
          <w:rPr>
            <w:noProof/>
            <w:webHidden/>
          </w:rPr>
          <w:tab/>
        </w:r>
        <w:r>
          <w:rPr>
            <w:noProof/>
            <w:webHidden/>
          </w:rPr>
          <w:fldChar w:fldCharType="begin"/>
        </w:r>
        <w:r>
          <w:rPr>
            <w:noProof/>
            <w:webHidden/>
          </w:rPr>
          <w:instrText xml:space="preserve"> PAGEREF _Toc12262160 \h </w:instrText>
        </w:r>
        <w:r>
          <w:rPr>
            <w:noProof/>
            <w:webHidden/>
          </w:rPr>
        </w:r>
        <w:r>
          <w:rPr>
            <w:noProof/>
            <w:webHidden/>
          </w:rPr>
          <w:fldChar w:fldCharType="separate"/>
        </w:r>
        <w:r>
          <w:rPr>
            <w:noProof/>
            <w:webHidden/>
          </w:rPr>
          <w:t>886</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61" w:history="1">
        <w:r w:rsidRPr="00CD0B56">
          <w:rPr>
            <w:rStyle w:val="Hyperlink"/>
            <w:noProof/>
          </w:rPr>
          <w:t>3.7.2.6</w:t>
        </w:r>
        <w:r>
          <w:rPr>
            <w:rFonts w:asciiTheme="minorHAnsi" w:eastAsiaTheme="minorEastAsia" w:hAnsiTheme="minorHAnsi" w:cstheme="minorBidi"/>
            <w:noProof/>
            <w:sz w:val="22"/>
            <w:szCs w:val="22"/>
          </w:rPr>
          <w:tab/>
        </w:r>
        <w:r w:rsidRPr="00CD0B56">
          <w:rPr>
            <w:rStyle w:val="Hyperlink"/>
            <w:noProof/>
          </w:rPr>
          <w:t>ST_UniqueIdentifierWithBraces (Unique Identifier with Braces)</w:t>
        </w:r>
        <w:r>
          <w:rPr>
            <w:noProof/>
            <w:webHidden/>
          </w:rPr>
          <w:tab/>
        </w:r>
        <w:r>
          <w:rPr>
            <w:noProof/>
            <w:webHidden/>
          </w:rPr>
          <w:fldChar w:fldCharType="begin"/>
        </w:r>
        <w:r>
          <w:rPr>
            <w:noProof/>
            <w:webHidden/>
          </w:rPr>
          <w:instrText xml:space="preserve"> PAGEREF _Toc12262161 \h </w:instrText>
        </w:r>
        <w:r>
          <w:rPr>
            <w:noProof/>
            <w:webHidden/>
          </w:rPr>
        </w:r>
        <w:r>
          <w:rPr>
            <w:noProof/>
            <w:webHidden/>
          </w:rPr>
          <w:fldChar w:fldCharType="separate"/>
        </w:r>
        <w:r>
          <w:rPr>
            <w:noProof/>
            <w:webHidden/>
          </w:rPr>
          <w:t>886</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62" w:history="1">
        <w:r w:rsidRPr="00CD0B56">
          <w:rPr>
            <w:rStyle w:val="Hyperlink"/>
            <w:noProof/>
          </w:rPr>
          <w:t>3.7.2.7</w:t>
        </w:r>
        <w:r>
          <w:rPr>
            <w:rFonts w:asciiTheme="minorHAnsi" w:eastAsiaTheme="minorEastAsia" w:hAnsiTheme="minorHAnsi" w:cstheme="minorBidi"/>
            <w:noProof/>
            <w:sz w:val="22"/>
            <w:szCs w:val="22"/>
          </w:rPr>
          <w:tab/>
        </w:r>
        <w:r w:rsidRPr="00CD0B56">
          <w:rPr>
            <w:rStyle w:val="Hyperlink"/>
            <w:noProof/>
          </w:rPr>
          <w:t>ST_Version (Version)</w:t>
        </w:r>
        <w:r>
          <w:rPr>
            <w:noProof/>
            <w:webHidden/>
          </w:rPr>
          <w:tab/>
        </w:r>
        <w:r>
          <w:rPr>
            <w:noProof/>
            <w:webHidden/>
          </w:rPr>
          <w:fldChar w:fldCharType="begin"/>
        </w:r>
        <w:r>
          <w:rPr>
            <w:noProof/>
            <w:webHidden/>
          </w:rPr>
          <w:instrText xml:space="preserve"> PAGEREF _Toc12262162 \h </w:instrText>
        </w:r>
        <w:r>
          <w:rPr>
            <w:noProof/>
            <w:webHidden/>
          </w:rPr>
        </w:r>
        <w:r>
          <w:rPr>
            <w:noProof/>
            <w:webHidden/>
          </w:rPr>
          <w:fldChar w:fldCharType="separate"/>
        </w:r>
        <w:r>
          <w:rPr>
            <w:noProof/>
            <w:webHidden/>
          </w:rPr>
          <w:t>887</w:t>
        </w:r>
        <w:r>
          <w:rPr>
            <w:noProof/>
            <w:webHidden/>
          </w:rPr>
          <w:fldChar w:fldCharType="end"/>
        </w:r>
      </w:hyperlink>
    </w:p>
    <w:p w:rsidR="00694C0F" w:rsidRDefault="00694C0F">
      <w:pPr>
        <w:pStyle w:val="TOC2"/>
        <w:rPr>
          <w:rFonts w:asciiTheme="minorHAnsi" w:eastAsiaTheme="minorEastAsia" w:hAnsiTheme="minorHAnsi" w:cstheme="minorBidi"/>
          <w:noProof/>
          <w:sz w:val="22"/>
          <w:szCs w:val="22"/>
        </w:rPr>
      </w:pPr>
      <w:hyperlink w:anchor="_Toc12262163" w:history="1">
        <w:r w:rsidRPr="00CD0B56">
          <w:rPr>
            <w:rStyle w:val="Hyperlink"/>
            <w:noProof/>
          </w:rPr>
          <w:t>3.8</w:t>
        </w:r>
        <w:r>
          <w:rPr>
            <w:rFonts w:asciiTheme="minorHAnsi" w:eastAsiaTheme="minorEastAsia" w:hAnsiTheme="minorHAnsi" w:cstheme="minorBidi"/>
            <w:noProof/>
            <w:sz w:val="22"/>
            <w:szCs w:val="22"/>
          </w:rPr>
          <w:tab/>
        </w:r>
        <w:r w:rsidRPr="00CD0B56">
          <w:rPr>
            <w:rStyle w:val="Hyperlink"/>
            <w:noProof/>
          </w:rPr>
          <w:t>Equation XML</w:t>
        </w:r>
        <w:r>
          <w:rPr>
            <w:noProof/>
            <w:webHidden/>
          </w:rPr>
          <w:tab/>
        </w:r>
        <w:r>
          <w:rPr>
            <w:noProof/>
            <w:webHidden/>
          </w:rPr>
          <w:fldChar w:fldCharType="begin"/>
        </w:r>
        <w:r>
          <w:rPr>
            <w:noProof/>
            <w:webHidden/>
          </w:rPr>
          <w:instrText xml:space="preserve"> PAGEREF _Toc12262163 \h </w:instrText>
        </w:r>
        <w:r>
          <w:rPr>
            <w:noProof/>
            <w:webHidden/>
          </w:rPr>
        </w:r>
        <w:r>
          <w:rPr>
            <w:noProof/>
            <w:webHidden/>
          </w:rPr>
          <w:fldChar w:fldCharType="separate"/>
        </w:r>
        <w:r>
          <w:rPr>
            <w:noProof/>
            <w:webHidden/>
          </w:rPr>
          <w:t>887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2164" w:history="1">
        <w:r w:rsidRPr="00CD0B56">
          <w:rPr>
            <w:rStyle w:val="Hyperlink"/>
            <w:noProof/>
          </w:rPr>
          <w:t>3.8.1</w:t>
        </w:r>
        <w:r>
          <w:rPr>
            <w:rFonts w:asciiTheme="minorHAnsi" w:eastAsiaTheme="minorEastAsia" w:hAnsiTheme="minorHAnsi" w:cstheme="minorBidi"/>
            <w:noProof/>
            <w:sz w:val="22"/>
            <w:szCs w:val="22"/>
          </w:rPr>
          <w:tab/>
        </w:r>
        <w:r w:rsidRPr="00CD0B56">
          <w:rPr>
            <w:rStyle w:val="Hyperlink"/>
            <w:noProof/>
          </w:rPr>
          <w:t>Introduction</w:t>
        </w:r>
        <w:r>
          <w:rPr>
            <w:noProof/>
            <w:webHidden/>
          </w:rPr>
          <w:tab/>
        </w:r>
        <w:r>
          <w:rPr>
            <w:noProof/>
            <w:webHidden/>
          </w:rPr>
          <w:fldChar w:fldCharType="begin"/>
        </w:r>
        <w:r>
          <w:rPr>
            <w:noProof/>
            <w:webHidden/>
          </w:rPr>
          <w:instrText xml:space="preserve"> PAGEREF _Toc12262164 \h </w:instrText>
        </w:r>
        <w:r>
          <w:rPr>
            <w:noProof/>
            <w:webHidden/>
          </w:rPr>
        </w:r>
        <w:r>
          <w:rPr>
            <w:noProof/>
            <w:webHidden/>
          </w:rPr>
          <w:fldChar w:fldCharType="separate"/>
        </w:r>
        <w:r>
          <w:rPr>
            <w:noProof/>
            <w:webHidden/>
          </w:rPr>
          <w:t>887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2165" w:history="1">
        <w:r w:rsidRPr="00CD0B56">
          <w:rPr>
            <w:rStyle w:val="Hyperlink"/>
            <w:noProof/>
          </w:rPr>
          <w:t>3.8.2</w:t>
        </w:r>
        <w:r>
          <w:rPr>
            <w:rFonts w:asciiTheme="minorHAnsi" w:eastAsiaTheme="minorEastAsia" w:hAnsiTheme="minorHAnsi" w:cstheme="minorBidi"/>
            <w:noProof/>
            <w:sz w:val="22"/>
            <w:szCs w:val="22"/>
          </w:rPr>
          <w:tab/>
        </w:r>
        <w:r w:rsidRPr="00CD0B56">
          <w:rPr>
            <w:rStyle w:val="Hyperlink"/>
            <w:noProof/>
          </w:rPr>
          <w:t>Basic Format</w:t>
        </w:r>
        <w:r>
          <w:rPr>
            <w:noProof/>
            <w:webHidden/>
          </w:rPr>
          <w:tab/>
        </w:r>
        <w:r>
          <w:rPr>
            <w:noProof/>
            <w:webHidden/>
          </w:rPr>
          <w:fldChar w:fldCharType="begin"/>
        </w:r>
        <w:r>
          <w:rPr>
            <w:noProof/>
            <w:webHidden/>
          </w:rPr>
          <w:instrText xml:space="preserve"> PAGEREF _Toc12262165 \h </w:instrText>
        </w:r>
        <w:r>
          <w:rPr>
            <w:noProof/>
            <w:webHidden/>
          </w:rPr>
        </w:r>
        <w:r>
          <w:rPr>
            <w:noProof/>
            <w:webHidden/>
          </w:rPr>
          <w:fldChar w:fldCharType="separate"/>
        </w:r>
        <w:r>
          <w:rPr>
            <w:noProof/>
            <w:webHidden/>
          </w:rPr>
          <w:t>887</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2166" w:history="1">
        <w:r w:rsidRPr="00CD0B56">
          <w:rPr>
            <w:rStyle w:val="Hyperlink"/>
            <w:noProof/>
          </w:rPr>
          <w:t>3.8.3</w:t>
        </w:r>
        <w:r>
          <w:rPr>
            <w:rFonts w:asciiTheme="minorHAnsi" w:eastAsiaTheme="minorEastAsia" w:hAnsiTheme="minorHAnsi" w:cstheme="minorBidi"/>
            <w:noProof/>
            <w:sz w:val="22"/>
            <w:szCs w:val="22"/>
          </w:rPr>
          <w:tab/>
        </w:r>
        <w:r w:rsidRPr="00CD0B56">
          <w:rPr>
            <w:rStyle w:val="Hyperlink"/>
            <w:noProof/>
          </w:rPr>
          <w:t>Reading the equationXml attribute</w:t>
        </w:r>
        <w:r>
          <w:rPr>
            <w:noProof/>
            <w:webHidden/>
          </w:rPr>
          <w:tab/>
        </w:r>
        <w:r>
          <w:rPr>
            <w:noProof/>
            <w:webHidden/>
          </w:rPr>
          <w:fldChar w:fldCharType="begin"/>
        </w:r>
        <w:r>
          <w:rPr>
            <w:noProof/>
            <w:webHidden/>
          </w:rPr>
          <w:instrText xml:space="preserve"> PAGEREF _Toc12262166 \h </w:instrText>
        </w:r>
        <w:r>
          <w:rPr>
            <w:noProof/>
            <w:webHidden/>
          </w:rPr>
        </w:r>
        <w:r>
          <w:rPr>
            <w:noProof/>
            <w:webHidden/>
          </w:rPr>
          <w:fldChar w:fldCharType="separate"/>
        </w:r>
        <w:r>
          <w:rPr>
            <w:noProof/>
            <w:webHidden/>
          </w:rPr>
          <w:t>888</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2167" w:history="1">
        <w:r w:rsidRPr="00CD0B56">
          <w:rPr>
            <w:rStyle w:val="Hyperlink"/>
            <w:noProof/>
          </w:rPr>
          <w:t>3.8.4</w:t>
        </w:r>
        <w:r>
          <w:rPr>
            <w:rFonts w:asciiTheme="minorHAnsi" w:eastAsiaTheme="minorEastAsia" w:hAnsiTheme="minorHAnsi" w:cstheme="minorBidi"/>
            <w:noProof/>
            <w:sz w:val="22"/>
            <w:szCs w:val="22"/>
          </w:rPr>
          <w:tab/>
        </w:r>
        <w:r w:rsidRPr="00CD0B56">
          <w:rPr>
            <w:rStyle w:val="Hyperlink"/>
            <w:noProof/>
          </w:rPr>
          <w:t>Word 2003 XML elements which can contain Office Open XML Math elements</w:t>
        </w:r>
        <w:r>
          <w:rPr>
            <w:noProof/>
            <w:webHidden/>
          </w:rPr>
          <w:tab/>
        </w:r>
        <w:r>
          <w:rPr>
            <w:noProof/>
            <w:webHidden/>
          </w:rPr>
          <w:fldChar w:fldCharType="begin"/>
        </w:r>
        <w:r>
          <w:rPr>
            <w:noProof/>
            <w:webHidden/>
          </w:rPr>
          <w:instrText xml:space="preserve"> PAGEREF _Toc12262167 \h </w:instrText>
        </w:r>
        <w:r>
          <w:rPr>
            <w:noProof/>
            <w:webHidden/>
          </w:rPr>
        </w:r>
        <w:r>
          <w:rPr>
            <w:noProof/>
            <w:webHidden/>
          </w:rPr>
          <w:fldChar w:fldCharType="separate"/>
        </w:r>
        <w:r>
          <w:rPr>
            <w:noProof/>
            <w:webHidden/>
          </w:rPr>
          <w:t>889</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68" w:history="1">
        <w:r w:rsidRPr="00CD0B56">
          <w:rPr>
            <w:rStyle w:val="Hyperlink"/>
            <w:noProof/>
          </w:rPr>
          <w:t>3.8.4.1</w:t>
        </w:r>
        <w:r>
          <w:rPr>
            <w:rFonts w:asciiTheme="minorHAnsi" w:eastAsiaTheme="minorEastAsia" w:hAnsiTheme="minorHAnsi" w:cstheme="minorBidi"/>
            <w:noProof/>
            <w:sz w:val="22"/>
            <w:szCs w:val="22"/>
          </w:rPr>
          <w:tab/>
        </w:r>
        <w:r w:rsidRPr="00CD0B56">
          <w:rPr>
            <w:rStyle w:val="Hyperlink"/>
            <w:noProof/>
          </w:rPr>
          <w:t>Containment of the oMathPara element</w:t>
        </w:r>
        <w:r>
          <w:rPr>
            <w:noProof/>
            <w:webHidden/>
          </w:rPr>
          <w:tab/>
        </w:r>
        <w:r>
          <w:rPr>
            <w:noProof/>
            <w:webHidden/>
          </w:rPr>
          <w:fldChar w:fldCharType="begin"/>
        </w:r>
        <w:r>
          <w:rPr>
            <w:noProof/>
            <w:webHidden/>
          </w:rPr>
          <w:instrText xml:space="preserve"> PAGEREF _Toc12262168 \h </w:instrText>
        </w:r>
        <w:r>
          <w:rPr>
            <w:noProof/>
            <w:webHidden/>
          </w:rPr>
        </w:r>
        <w:r>
          <w:rPr>
            <w:noProof/>
            <w:webHidden/>
          </w:rPr>
          <w:fldChar w:fldCharType="separate"/>
        </w:r>
        <w:r>
          <w:rPr>
            <w:noProof/>
            <w:webHidden/>
          </w:rPr>
          <w:t>889</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69" w:history="1">
        <w:r w:rsidRPr="00CD0B56">
          <w:rPr>
            <w:rStyle w:val="Hyperlink"/>
            <w:noProof/>
          </w:rPr>
          <w:t>3.8.4.2</w:t>
        </w:r>
        <w:r>
          <w:rPr>
            <w:rFonts w:asciiTheme="minorHAnsi" w:eastAsiaTheme="minorEastAsia" w:hAnsiTheme="minorHAnsi" w:cstheme="minorBidi"/>
            <w:noProof/>
            <w:sz w:val="22"/>
            <w:szCs w:val="22"/>
          </w:rPr>
          <w:tab/>
        </w:r>
        <w:r w:rsidRPr="00CD0B56">
          <w:rPr>
            <w:rStyle w:val="Hyperlink"/>
            <w:noProof/>
          </w:rPr>
          <w:t>Containment of Math runs and Math functions and objects</w:t>
        </w:r>
        <w:r>
          <w:rPr>
            <w:noProof/>
            <w:webHidden/>
          </w:rPr>
          <w:tab/>
        </w:r>
        <w:r>
          <w:rPr>
            <w:noProof/>
            <w:webHidden/>
          </w:rPr>
          <w:fldChar w:fldCharType="begin"/>
        </w:r>
        <w:r>
          <w:rPr>
            <w:noProof/>
            <w:webHidden/>
          </w:rPr>
          <w:instrText xml:space="preserve"> PAGEREF _Toc12262169 \h </w:instrText>
        </w:r>
        <w:r>
          <w:rPr>
            <w:noProof/>
            <w:webHidden/>
          </w:rPr>
        </w:r>
        <w:r>
          <w:rPr>
            <w:noProof/>
            <w:webHidden/>
          </w:rPr>
          <w:fldChar w:fldCharType="separate"/>
        </w:r>
        <w:r>
          <w:rPr>
            <w:noProof/>
            <w:webHidden/>
          </w:rPr>
          <w:t>889</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2170" w:history="1">
        <w:r w:rsidRPr="00CD0B56">
          <w:rPr>
            <w:rStyle w:val="Hyperlink"/>
            <w:noProof/>
          </w:rPr>
          <w:t>3.8.5</w:t>
        </w:r>
        <w:r>
          <w:rPr>
            <w:rFonts w:asciiTheme="minorHAnsi" w:eastAsiaTheme="minorEastAsia" w:hAnsiTheme="minorHAnsi" w:cstheme="minorBidi"/>
            <w:noProof/>
            <w:sz w:val="22"/>
            <w:szCs w:val="22"/>
          </w:rPr>
          <w:tab/>
        </w:r>
        <w:r w:rsidRPr="00CD0B56">
          <w:rPr>
            <w:rStyle w:val="Hyperlink"/>
            <w:noProof/>
          </w:rPr>
          <w:t>Office Open XML Math elements which can contain Word 2003 XML elements</w:t>
        </w:r>
        <w:r>
          <w:rPr>
            <w:noProof/>
            <w:webHidden/>
          </w:rPr>
          <w:tab/>
        </w:r>
        <w:r>
          <w:rPr>
            <w:noProof/>
            <w:webHidden/>
          </w:rPr>
          <w:fldChar w:fldCharType="begin"/>
        </w:r>
        <w:r>
          <w:rPr>
            <w:noProof/>
            <w:webHidden/>
          </w:rPr>
          <w:instrText xml:space="preserve"> PAGEREF _Toc12262170 \h </w:instrText>
        </w:r>
        <w:r>
          <w:rPr>
            <w:noProof/>
            <w:webHidden/>
          </w:rPr>
        </w:r>
        <w:r>
          <w:rPr>
            <w:noProof/>
            <w:webHidden/>
          </w:rPr>
          <w:fldChar w:fldCharType="separate"/>
        </w:r>
        <w:r>
          <w:rPr>
            <w:noProof/>
            <w:webHidden/>
          </w:rPr>
          <w:t>890</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71" w:history="1">
        <w:r w:rsidRPr="00CD0B56">
          <w:rPr>
            <w:rStyle w:val="Hyperlink"/>
            <w:noProof/>
          </w:rPr>
          <w:t>3.8.5.1</w:t>
        </w:r>
        <w:r>
          <w:rPr>
            <w:rFonts w:asciiTheme="minorHAnsi" w:eastAsiaTheme="minorEastAsia" w:hAnsiTheme="minorHAnsi" w:cstheme="minorBidi"/>
            <w:noProof/>
            <w:sz w:val="22"/>
            <w:szCs w:val="22"/>
          </w:rPr>
          <w:tab/>
        </w:r>
        <w:r w:rsidRPr="00CD0B56">
          <w:rPr>
            <w:rStyle w:val="Hyperlink"/>
            <w:noProof/>
          </w:rPr>
          <w:t>Control Properties</w:t>
        </w:r>
        <w:r>
          <w:rPr>
            <w:noProof/>
            <w:webHidden/>
          </w:rPr>
          <w:tab/>
        </w:r>
        <w:r>
          <w:rPr>
            <w:noProof/>
            <w:webHidden/>
          </w:rPr>
          <w:fldChar w:fldCharType="begin"/>
        </w:r>
        <w:r>
          <w:rPr>
            <w:noProof/>
            <w:webHidden/>
          </w:rPr>
          <w:instrText xml:space="preserve"> PAGEREF _Toc12262171 \h </w:instrText>
        </w:r>
        <w:r>
          <w:rPr>
            <w:noProof/>
            <w:webHidden/>
          </w:rPr>
        </w:r>
        <w:r>
          <w:rPr>
            <w:noProof/>
            <w:webHidden/>
          </w:rPr>
          <w:fldChar w:fldCharType="separate"/>
        </w:r>
        <w:r>
          <w:rPr>
            <w:noProof/>
            <w:webHidden/>
          </w:rPr>
          <w:t>890</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72" w:history="1">
        <w:r w:rsidRPr="00CD0B56">
          <w:rPr>
            <w:rStyle w:val="Hyperlink"/>
            <w:noProof/>
          </w:rPr>
          <w:t>3.8.5.2</w:t>
        </w:r>
        <w:r>
          <w:rPr>
            <w:rFonts w:asciiTheme="minorHAnsi" w:eastAsiaTheme="minorEastAsia" w:hAnsiTheme="minorHAnsi" w:cstheme="minorBidi"/>
            <w:noProof/>
            <w:sz w:val="22"/>
            <w:szCs w:val="22"/>
          </w:rPr>
          <w:tab/>
        </w:r>
        <w:r w:rsidRPr="00CD0B56">
          <w:rPr>
            <w:rStyle w:val="Hyperlink"/>
            <w:noProof/>
          </w:rPr>
          <w:t>oMath and Math Arguments</w:t>
        </w:r>
        <w:r>
          <w:rPr>
            <w:noProof/>
            <w:webHidden/>
          </w:rPr>
          <w:tab/>
        </w:r>
        <w:r>
          <w:rPr>
            <w:noProof/>
            <w:webHidden/>
          </w:rPr>
          <w:fldChar w:fldCharType="begin"/>
        </w:r>
        <w:r>
          <w:rPr>
            <w:noProof/>
            <w:webHidden/>
          </w:rPr>
          <w:instrText xml:space="preserve"> PAGEREF _Toc12262172 \h </w:instrText>
        </w:r>
        <w:r>
          <w:rPr>
            <w:noProof/>
            <w:webHidden/>
          </w:rPr>
        </w:r>
        <w:r>
          <w:rPr>
            <w:noProof/>
            <w:webHidden/>
          </w:rPr>
          <w:fldChar w:fldCharType="separate"/>
        </w:r>
        <w:r>
          <w:rPr>
            <w:noProof/>
            <w:webHidden/>
          </w:rPr>
          <w:t>890</w:t>
        </w:r>
        <w:r>
          <w:rPr>
            <w:noProof/>
            <w:webHidden/>
          </w:rPr>
          <w:fldChar w:fldCharType="end"/>
        </w:r>
      </w:hyperlink>
    </w:p>
    <w:p w:rsidR="00694C0F" w:rsidRDefault="00694C0F">
      <w:pPr>
        <w:pStyle w:val="TOC4"/>
        <w:rPr>
          <w:rFonts w:asciiTheme="minorHAnsi" w:eastAsiaTheme="minorEastAsia" w:hAnsiTheme="minorHAnsi" w:cstheme="minorBidi"/>
          <w:noProof/>
          <w:sz w:val="22"/>
          <w:szCs w:val="22"/>
        </w:rPr>
      </w:pPr>
      <w:hyperlink w:anchor="_Toc12262173" w:history="1">
        <w:r w:rsidRPr="00CD0B56">
          <w:rPr>
            <w:rStyle w:val="Hyperlink"/>
            <w:noProof/>
          </w:rPr>
          <w:t>3.8.5.3</w:t>
        </w:r>
        <w:r>
          <w:rPr>
            <w:rFonts w:asciiTheme="minorHAnsi" w:eastAsiaTheme="minorEastAsia" w:hAnsiTheme="minorHAnsi" w:cstheme="minorBidi"/>
            <w:noProof/>
            <w:sz w:val="22"/>
            <w:szCs w:val="22"/>
          </w:rPr>
          <w:tab/>
        </w:r>
        <w:r w:rsidRPr="00CD0B56">
          <w:rPr>
            <w:rStyle w:val="Hyperlink"/>
            <w:noProof/>
          </w:rPr>
          <w:t>Math Run</w:t>
        </w:r>
        <w:r>
          <w:rPr>
            <w:noProof/>
            <w:webHidden/>
          </w:rPr>
          <w:tab/>
        </w:r>
        <w:r>
          <w:rPr>
            <w:noProof/>
            <w:webHidden/>
          </w:rPr>
          <w:fldChar w:fldCharType="begin"/>
        </w:r>
        <w:r>
          <w:rPr>
            <w:noProof/>
            <w:webHidden/>
          </w:rPr>
          <w:instrText xml:space="preserve"> PAGEREF _Toc12262173 \h </w:instrText>
        </w:r>
        <w:r>
          <w:rPr>
            <w:noProof/>
            <w:webHidden/>
          </w:rPr>
        </w:r>
        <w:r>
          <w:rPr>
            <w:noProof/>
            <w:webHidden/>
          </w:rPr>
          <w:fldChar w:fldCharType="separate"/>
        </w:r>
        <w:r>
          <w:rPr>
            <w:noProof/>
            <w:webHidden/>
          </w:rPr>
          <w:t>890</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2174" w:history="1">
        <w:r w:rsidRPr="00CD0B56">
          <w:rPr>
            <w:rStyle w:val="Hyperlink"/>
            <w:noProof/>
          </w:rPr>
          <w:t>3.8.6</w:t>
        </w:r>
        <w:r>
          <w:rPr>
            <w:rFonts w:asciiTheme="minorHAnsi" w:eastAsiaTheme="minorEastAsia" w:hAnsiTheme="minorHAnsi" w:cstheme="minorBidi"/>
            <w:noProof/>
            <w:sz w:val="22"/>
            <w:szCs w:val="22"/>
          </w:rPr>
          <w:tab/>
        </w:r>
        <w:r w:rsidRPr="00CD0B56">
          <w:rPr>
            <w:rStyle w:val="Hyperlink"/>
            <w:noProof/>
          </w:rPr>
          <w:t>Limitations in Word</w:t>
        </w:r>
        <w:r>
          <w:rPr>
            <w:noProof/>
            <w:webHidden/>
          </w:rPr>
          <w:tab/>
        </w:r>
        <w:r>
          <w:rPr>
            <w:noProof/>
            <w:webHidden/>
          </w:rPr>
          <w:fldChar w:fldCharType="begin"/>
        </w:r>
        <w:r>
          <w:rPr>
            <w:noProof/>
            <w:webHidden/>
          </w:rPr>
          <w:instrText xml:space="preserve"> PAGEREF _Toc12262174 \h </w:instrText>
        </w:r>
        <w:r>
          <w:rPr>
            <w:noProof/>
            <w:webHidden/>
          </w:rPr>
        </w:r>
        <w:r>
          <w:rPr>
            <w:noProof/>
            <w:webHidden/>
          </w:rPr>
          <w:fldChar w:fldCharType="separate"/>
        </w:r>
        <w:r>
          <w:rPr>
            <w:noProof/>
            <w:webHidden/>
          </w:rPr>
          <w:t>891</w:t>
        </w:r>
        <w:r>
          <w:rPr>
            <w:noProof/>
            <w:webHidden/>
          </w:rPr>
          <w:fldChar w:fldCharType="end"/>
        </w:r>
      </w:hyperlink>
    </w:p>
    <w:p w:rsidR="00694C0F" w:rsidRDefault="00694C0F">
      <w:pPr>
        <w:pStyle w:val="TOC2"/>
        <w:rPr>
          <w:rFonts w:asciiTheme="minorHAnsi" w:eastAsiaTheme="minorEastAsia" w:hAnsiTheme="minorHAnsi" w:cstheme="minorBidi"/>
          <w:noProof/>
          <w:sz w:val="22"/>
          <w:szCs w:val="22"/>
        </w:rPr>
      </w:pPr>
      <w:hyperlink w:anchor="_Toc12262175" w:history="1">
        <w:r w:rsidRPr="00CD0B56">
          <w:rPr>
            <w:rStyle w:val="Hyperlink"/>
            <w:noProof/>
          </w:rPr>
          <w:t>3.9</w:t>
        </w:r>
        <w:r>
          <w:rPr>
            <w:rFonts w:asciiTheme="minorHAnsi" w:eastAsiaTheme="minorEastAsia" w:hAnsiTheme="minorHAnsi" w:cstheme="minorBidi"/>
            <w:noProof/>
            <w:sz w:val="22"/>
            <w:szCs w:val="22"/>
          </w:rPr>
          <w:tab/>
        </w:r>
        <w:r w:rsidRPr="00CD0B56">
          <w:rPr>
            <w:rStyle w:val="Hyperlink"/>
            <w:noProof/>
          </w:rPr>
          <w:t>Simple Types</w:t>
        </w:r>
        <w:r>
          <w:rPr>
            <w:noProof/>
            <w:webHidden/>
          </w:rPr>
          <w:tab/>
        </w:r>
        <w:r>
          <w:rPr>
            <w:noProof/>
            <w:webHidden/>
          </w:rPr>
          <w:fldChar w:fldCharType="begin"/>
        </w:r>
        <w:r>
          <w:rPr>
            <w:noProof/>
            <w:webHidden/>
          </w:rPr>
          <w:instrText xml:space="preserve"> PAGEREF _Toc12262175 \h </w:instrText>
        </w:r>
        <w:r>
          <w:rPr>
            <w:noProof/>
            <w:webHidden/>
          </w:rPr>
        </w:r>
        <w:r>
          <w:rPr>
            <w:noProof/>
            <w:webHidden/>
          </w:rPr>
          <w:fldChar w:fldCharType="separate"/>
        </w:r>
        <w:r>
          <w:rPr>
            <w:noProof/>
            <w:webHidden/>
          </w:rPr>
          <w:t>891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2176" w:history="1">
        <w:r w:rsidRPr="00CD0B56">
          <w:rPr>
            <w:rStyle w:val="Hyperlink"/>
            <w:noProof/>
          </w:rPr>
          <w:t>3.9.1</w:t>
        </w:r>
        <w:r>
          <w:rPr>
            <w:rFonts w:asciiTheme="minorHAnsi" w:eastAsiaTheme="minorEastAsia" w:hAnsiTheme="minorHAnsi" w:cstheme="minorBidi"/>
            <w:noProof/>
            <w:sz w:val="22"/>
            <w:szCs w:val="22"/>
          </w:rPr>
          <w:tab/>
        </w:r>
        <w:r w:rsidRPr="00CD0B56">
          <w:rPr>
            <w:rStyle w:val="Hyperlink"/>
            <w:noProof/>
          </w:rPr>
          <w:t>ST_Fraction (Fraction Type)</w:t>
        </w:r>
        <w:r>
          <w:rPr>
            <w:noProof/>
            <w:webHidden/>
          </w:rPr>
          <w:tab/>
        </w:r>
        <w:r>
          <w:rPr>
            <w:noProof/>
            <w:webHidden/>
          </w:rPr>
          <w:fldChar w:fldCharType="begin"/>
        </w:r>
        <w:r>
          <w:rPr>
            <w:noProof/>
            <w:webHidden/>
          </w:rPr>
          <w:instrText xml:space="preserve"> PAGEREF _Toc12262176 \h </w:instrText>
        </w:r>
        <w:r>
          <w:rPr>
            <w:noProof/>
            <w:webHidden/>
          </w:rPr>
        </w:r>
        <w:r>
          <w:rPr>
            <w:noProof/>
            <w:webHidden/>
          </w:rPr>
          <w:fldChar w:fldCharType="separate"/>
        </w:r>
        <w:r>
          <w:rPr>
            <w:noProof/>
            <w:webHidden/>
          </w:rPr>
          <w:t>891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2177" w:history="1">
        <w:r w:rsidRPr="00CD0B56">
          <w:rPr>
            <w:rStyle w:val="Hyperlink"/>
            <w:noProof/>
          </w:rPr>
          <w:t>3.9.2</w:t>
        </w:r>
        <w:r>
          <w:rPr>
            <w:rFonts w:asciiTheme="minorHAnsi" w:eastAsiaTheme="minorEastAsia" w:hAnsiTheme="minorHAnsi" w:cstheme="minorBidi"/>
            <w:noProof/>
            <w:sz w:val="22"/>
            <w:szCs w:val="22"/>
          </w:rPr>
          <w:tab/>
        </w:r>
        <w:r w:rsidRPr="00CD0B56">
          <w:rPr>
            <w:rStyle w:val="Hyperlink"/>
            <w:noProof/>
          </w:rPr>
          <w:t>ST_Macro (Custom Function Name Type)</w:t>
        </w:r>
        <w:r>
          <w:rPr>
            <w:noProof/>
            <w:webHidden/>
          </w:rPr>
          <w:tab/>
        </w:r>
        <w:r>
          <w:rPr>
            <w:noProof/>
            <w:webHidden/>
          </w:rPr>
          <w:fldChar w:fldCharType="begin"/>
        </w:r>
        <w:r>
          <w:rPr>
            <w:noProof/>
            <w:webHidden/>
          </w:rPr>
          <w:instrText xml:space="preserve"> PAGEREF _Toc12262177 \h </w:instrText>
        </w:r>
        <w:r>
          <w:rPr>
            <w:noProof/>
            <w:webHidden/>
          </w:rPr>
        </w:r>
        <w:r>
          <w:rPr>
            <w:noProof/>
            <w:webHidden/>
          </w:rPr>
          <w:fldChar w:fldCharType="separate"/>
        </w:r>
        <w:r>
          <w:rPr>
            <w:noProof/>
            <w:webHidden/>
          </w:rPr>
          <w:t>891</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2178" w:history="1">
        <w:r w:rsidRPr="00CD0B56">
          <w:rPr>
            <w:rStyle w:val="Hyperlink"/>
            <w:noProof/>
          </w:rPr>
          <w:t>3.9.3</w:t>
        </w:r>
        <w:r>
          <w:rPr>
            <w:rFonts w:asciiTheme="minorHAnsi" w:eastAsiaTheme="minorEastAsia" w:hAnsiTheme="minorHAnsi" w:cstheme="minorBidi"/>
            <w:noProof/>
            <w:sz w:val="22"/>
            <w:szCs w:val="22"/>
          </w:rPr>
          <w:tab/>
        </w:r>
        <w:r w:rsidRPr="00CD0B56">
          <w:rPr>
            <w:rStyle w:val="Hyperlink"/>
            <w:noProof/>
          </w:rPr>
          <w:t>ST_ObjID (Object ID)</w:t>
        </w:r>
        <w:r>
          <w:rPr>
            <w:noProof/>
            <w:webHidden/>
          </w:rPr>
          <w:tab/>
        </w:r>
        <w:r>
          <w:rPr>
            <w:noProof/>
            <w:webHidden/>
          </w:rPr>
          <w:fldChar w:fldCharType="begin"/>
        </w:r>
        <w:r>
          <w:rPr>
            <w:noProof/>
            <w:webHidden/>
          </w:rPr>
          <w:instrText xml:space="preserve"> PAGEREF _Toc12262178 \h </w:instrText>
        </w:r>
        <w:r>
          <w:rPr>
            <w:noProof/>
            <w:webHidden/>
          </w:rPr>
        </w:r>
        <w:r>
          <w:rPr>
            <w:noProof/>
            <w:webHidden/>
          </w:rPr>
          <w:fldChar w:fldCharType="separate"/>
        </w:r>
        <w:r>
          <w:rPr>
            <w:noProof/>
            <w:webHidden/>
          </w:rPr>
          <w:t>892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2179" w:history="1">
        <w:r w:rsidRPr="00CD0B56">
          <w:rPr>
            <w:rStyle w:val="Hyperlink"/>
            <w:noProof/>
          </w:rPr>
          <w:t>3.9.4</w:t>
        </w:r>
        <w:r>
          <w:rPr>
            <w:rFonts w:asciiTheme="minorHAnsi" w:eastAsiaTheme="minorEastAsia" w:hAnsiTheme="minorHAnsi" w:cstheme="minorBidi"/>
            <w:noProof/>
            <w:sz w:val="22"/>
            <w:szCs w:val="22"/>
          </w:rPr>
          <w:tab/>
        </w:r>
        <w:r w:rsidRPr="00CD0B56">
          <w:rPr>
            <w:rStyle w:val="Hyperlink"/>
            <w:noProof/>
          </w:rPr>
          <w:t>ST_ObjIDRef (Object ID Reference)</w:t>
        </w:r>
        <w:r>
          <w:rPr>
            <w:noProof/>
            <w:webHidden/>
          </w:rPr>
          <w:tab/>
        </w:r>
        <w:r>
          <w:rPr>
            <w:noProof/>
            <w:webHidden/>
          </w:rPr>
          <w:fldChar w:fldCharType="begin"/>
        </w:r>
        <w:r>
          <w:rPr>
            <w:noProof/>
            <w:webHidden/>
          </w:rPr>
          <w:instrText xml:space="preserve"> PAGEREF _Toc12262179 \h </w:instrText>
        </w:r>
        <w:r>
          <w:rPr>
            <w:noProof/>
            <w:webHidden/>
          </w:rPr>
        </w:r>
        <w:r>
          <w:rPr>
            <w:noProof/>
            <w:webHidden/>
          </w:rPr>
          <w:fldChar w:fldCharType="separate"/>
        </w:r>
        <w:r>
          <w:rPr>
            <w:noProof/>
            <w:webHidden/>
          </w:rPr>
          <w:t>892</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2180" w:history="1">
        <w:r w:rsidRPr="00CD0B56">
          <w:rPr>
            <w:rStyle w:val="Hyperlink"/>
            <w:noProof/>
          </w:rPr>
          <w:t>3.9.5</w:t>
        </w:r>
        <w:r>
          <w:rPr>
            <w:rFonts w:asciiTheme="minorHAnsi" w:eastAsiaTheme="minorEastAsia" w:hAnsiTheme="minorHAnsi" w:cstheme="minorBidi"/>
            <w:noProof/>
            <w:sz w:val="22"/>
            <w:szCs w:val="22"/>
          </w:rPr>
          <w:tab/>
        </w:r>
        <w:r w:rsidRPr="00CD0B56">
          <w:rPr>
            <w:rStyle w:val="Hyperlink"/>
            <w:noProof/>
          </w:rPr>
          <w:t>ST_ShapeType (Shape Type)</w:t>
        </w:r>
        <w:r>
          <w:rPr>
            <w:noProof/>
            <w:webHidden/>
          </w:rPr>
          <w:tab/>
        </w:r>
        <w:r>
          <w:rPr>
            <w:noProof/>
            <w:webHidden/>
          </w:rPr>
          <w:fldChar w:fldCharType="begin"/>
        </w:r>
        <w:r>
          <w:rPr>
            <w:noProof/>
            <w:webHidden/>
          </w:rPr>
          <w:instrText xml:space="preserve"> PAGEREF _Toc12262180 \h </w:instrText>
        </w:r>
        <w:r>
          <w:rPr>
            <w:noProof/>
            <w:webHidden/>
          </w:rPr>
        </w:r>
        <w:r>
          <w:rPr>
            <w:noProof/>
            <w:webHidden/>
          </w:rPr>
          <w:fldChar w:fldCharType="separate"/>
        </w:r>
        <w:r>
          <w:rPr>
            <w:noProof/>
            <w:webHidden/>
          </w:rPr>
          <w:t>893</w:t>
        </w:r>
        <w:r>
          <w:rPr>
            <w:noProof/>
            <w:webHidden/>
          </w:rPr>
          <w:fldChar w:fldCharType="end"/>
        </w:r>
      </w:hyperlink>
    </w:p>
    <w:p w:rsidR="00694C0F" w:rsidRDefault="00694C0F">
      <w:pPr>
        <w:pStyle w:val="TOC3"/>
        <w:rPr>
          <w:rFonts w:asciiTheme="minorHAnsi" w:eastAsiaTheme="minorEastAsia" w:hAnsiTheme="minorHAnsi" w:cstheme="minorBidi"/>
          <w:noProof/>
          <w:sz w:val="22"/>
          <w:szCs w:val="22"/>
        </w:rPr>
      </w:pPr>
      <w:hyperlink w:anchor="_Toc12262181" w:history="1">
        <w:r w:rsidRPr="00CD0B56">
          <w:rPr>
            <w:rStyle w:val="Hyperlink"/>
            <w:noProof/>
          </w:rPr>
          <w:t>3.9.6</w:t>
        </w:r>
        <w:r>
          <w:rPr>
            <w:rFonts w:asciiTheme="minorHAnsi" w:eastAsiaTheme="minorEastAsia" w:hAnsiTheme="minorHAnsi" w:cstheme="minorBidi"/>
            <w:noProof/>
            <w:sz w:val="22"/>
            <w:szCs w:val="22"/>
          </w:rPr>
          <w:tab/>
        </w:r>
        <w:r w:rsidRPr="00CD0B56">
          <w:rPr>
            <w:rStyle w:val="Hyperlink"/>
            <w:noProof/>
          </w:rPr>
          <w:t>ST_SpId (Shape ID Type)</w:t>
        </w:r>
        <w:r>
          <w:rPr>
            <w:noProof/>
            <w:webHidden/>
          </w:rPr>
          <w:tab/>
        </w:r>
        <w:r>
          <w:rPr>
            <w:noProof/>
            <w:webHidden/>
          </w:rPr>
          <w:fldChar w:fldCharType="begin"/>
        </w:r>
        <w:r>
          <w:rPr>
            <w:noProof/>
            <w:webHidden/>
          </w:rPr>
          <w:instrText xml:space="preserve"> PAGEREF _Toc12262181 \h </w:instrText>
        </w:r>
        <w:r>
          <w:rPr>
            <w:noProof/>
            <w:webHidden/>
          </w:rPr>
        </w:r>
        <w:r>
          <w:rPr>
            <w:noProof/>
            <w:webHidden/>
          </w:rPr>
          <w:fldChar w:fldCharType="separate"/>
        </w:r>
        <w:r>
          <w:rPr>
            <w:noProof/>
            <w:webHidden/>
          </w:rPr>
          <w:t>897</w:t>
        </w:r>
        <w:r>
          <w:rPr>
            <w:noProof/>
            <w:webHidden/>
          </w:rPr>
          <w:fldChar w:fldCharType="end"/>
        </w:r>
      </w:hyperlink>
    </w:p>
    <w:p w:rsidR="00694C0F" w:rsidRDefault="00694C0F">
      <w:pPr>
        <w:pStyle w:val="TOC1"/>
        <w:rPr>
          <w:rFonts w:asciiTheme="minorHAnsi" w:eastAsiaTheme="minorEastAsia" w:hAnsiTheme="minorHAnsi" w:cstheme="minorBidi"/>
          <w:b w:val="0"/>
          <w:bCs w:val="0"/>
          <w:noProof/>
          <w:sz w:val="22"/>
          <w:szCs w:val="22"/>
        </w:rPr>
      </w:pPr>
      <w:hyperlink w:anchor="_Toc12262182" w:history="1">
        <w:r w:rsidRPr="00CD0B56">
          <w:rPr>
            <w:rStyle w:val="Hyperlink"/>
            <w:noProof/>
          </w:rPr>
          <w:t>4</w:t>
        </w:r>
        <w:r>
          <w:rPr>
            <w:rFonts w:asciiTheme="minorHAnsi" w:eastAsiaTheme="minorEastAsia" w:hAnsiTheme="minorHAnsi" w:cstheme="minorBidi"/>
            <w:b w:val="0"/>
            <w:bCs w:val="0"/>
            <w:noProof/>
            <w:sz w:val="22"/>
            <w:szCs w:val="22"/>
          </w:rPr>
          <w:tab/>
        </w:r>
        <w:r w:rsidRPr="00CD0B56">
          <w:rPr>
            <w:rStyle w:val="Hyperlink"/>
            <w:noProof/>
          </w:rPr>
          <w:t>Change Tracking</w:t>
        </w:r>
        <w:r>
          <w:rPr>
            <w:noProof/>
            <w:webHidden/>
          </w:rPr>
          <w:tab/>
        </w:r>
        <w:r>
          <w:rPr>
            <w:noProof/>
            <w:webHidden/>
          </w:rPr>
          <w:fldChar w:fldCharType="begin"/>
        </w:r>
        <w:r>
          <w:rPr>
            <w:noProof/>
            <w:webHidden/>
          </w:rPr>
          <w:instrText xml:space="preserve"> PAGEREF _Toc12262182 \h </w:instrText>
        </w:r>
        <w:r>
          <w:rPr>
            <w:noProof/>
            <w:webHidden/>
          </w:rPr>
        </w:r>
        <w:r>
          <w:rPr>
            <w:noProof/>
            <w:webHidden/>
          </w:rPr>
          <w:fldChar w:fldCharType="separate"/>
        </w:r>
        <w:r>
          <w:rPr>
            <w:noProof/>
            <w:webHidden/>
          </w:rPr>
          <w:t>899</w:t>
        </w:r>
        <w:r>
          <w:rPr>
            <w:noProof/>
            <w:webHidden/>
          </w:rPr>
          <w:fldChar w:fldCharType="end"/>
        </w:r>
      </w:hyperlink>
    </w:p>
    <w:p w:rsidR="00694C0F" w:rsidRDefault="00694C0F">
      <w:pPr>
        <w:pStyle w:val="TOC1"/>
        <w:rPr>
          <w:rFonts w:asciiTheme="minorHAnsi" w:eastAsiaTheme="minorEastAsia" w:hAnsiTheme="minorHAnsi" w:cstheme="minorBidi"/>
          <w:b w:val="0"/>
          <w:bCs w:val="0"/>
          <w:noProof/>
          <w:sz w:val="22"/>
          <w:szCs w:val="22"/>
        </w:rPr>
      </w:pPr>
      <w:hyperlink w:anchor="_Toc12262183" w:history="1">
        <w:r w:rsidRPr="00CD0B56">
          <w:rPr>
            <w:rStyle w:val="Hyperlink"/>
            <w:noProof/>
          </w:rPr>
          <w:t>5</w:t>
        </w:r>
        <w:r>
          <w:rPr>
            <w:rFonts w:asciiTheme="minorHAnsi" w:eastAsiaTheme="minorEastAsia" w:hAnsiTheme="minorHAnsi" w:cstheme="minorBidi"/>
            <w:b w:val="0"/>
            <w:bCs w:val="0"/>
            <w:noProof/>
            <w:sz w:val="22"/>
            <w:szCs w:val="22"/>
          </w:rPr>
          <w:tab/>
        </w:r>
        <w:r w:rsidRPr="00CD0B56">
          <w:rPr>
            <w:rStyle w:val="Hyperlink"/>
            <w:noProof/>
          </w:rPr>
          <w:t>Index</w:t>
        </w:r>
        <w:r>
          <w:rPr>
            <w:noProof/>
            <w:webHidden/>
          </w:rPr>
          <w:tab/>
        </w:r>
        <w:r>
          <w:rPr>
            <w:noProof/>
            <w:webHidden/>
          </w:rPr>
          <w:fldChar w:fldCharType="begin"/>
        </w:r>
        <w:r>
          <w:rPr>
            <w:noProof/>
            <w:webHidden/>
          </w:rPr>
          <w:instrText xml:space="preserve"> PAGEREF _Toc12262183 \h </w:instrText>
        </w:r>
        <w:r>
          <w:rPr>
            <w:noProof/>
            <w:webHidden/>
          </w:rPr>
        </w:r>
        <w:r>
          <w:rPr>
            <w:noProof/>
            <w:webHidden/>
          </w:rPr>
          <w:fldChar w:fldCharType="separate"/>
        </w:r>
        <w:r>
          <w:rPr>
            <w:noProof/>
            <w:webHidden/>
          </w:rPr>
          <w:t>900</w:t>
        </w:r>
        <w:r>
          <w:rPr>
            <w:noProof/>
            <w:webHidden/>
          </w:rPr>
          <w:fldChar w:fldCharType="end"/>
        </w:r>
      </w:hyperlink>
    </w:p>
    <w:p w:rsidR="00024C0A" w:rsidRDefault="00694C0F">
      <w:r>
        <w:fldChar w:fldCharType="end"/>
      </w:r>
    </w:p>
    <w:p w:rsidR="00024C0A" w:rsidRDefault="00694C0F">
      <w:pPr>
        <w:pStyle w:val="Heading1"/>
      </w:pPr>
      <w:bookmarkStart w:id="1" w:name="section_cc8df712c9b7445087ba208fd1079a2a"/>
      <w:bookmarkStart w:id="2" w:name="_Toc12260061"/>
      <w:r>
        <w:lastRenderedPageBreak/>
        <w:t>Introduction</w:t>
      </w:r>
      <w:bookmarkEnd w:id="1"/>
      <w:bookmarkEnd w:id="2"/>
      <w:r>
        <w:fldChar w:fldCharType="begin"/>
      </w:r>
      <w:r>
        <w:instrText xml:space="preserve"> XE "Introduction" </w:instrText>
      </w:r>
      <w:r>
        <w:fldChar w:fldCharType="end"/>
      </w:r>
    </w:p>
    <w:p w:rsidR="00024C0A" w:rsidRDefault="00694C0F">
      <w:r>
        <w:t>In creating an interoperable implementation, it may be helpful to understand specific implementation choices made by other products implementing the same standard. For example, portions of the standard may provide only general guidance, leaving specific im</w:t>
      </w:r>
      <w:r>
        <w:t>plementation choices up to the application implementer; in some circumstances, it may be helpful for other implementers to understand those choices. In addition, products often vary from or extend standards either because of application deviations or to al</w:t>
      </w:r>
      <w:r>
        <w:t xml:space="preserve">low for use scenarios not originally envisioned by the specifications. Documentation of those variations and/or extensions may also be helpful to other implementers. </w:t>
      </w:r>
    </w:p>
    <w:p w:rsidR="00024C0A" w:rsidRDefault="00694C0F">
      <w:r>
        <w:t>The implementer notes contained in this document provide information about how Office imp</w:t>
      </w:r>
      <w:r>
        <w:t xml:space="preserve">lements ISO/IEC-29500 Office Open XML File Formats </w:t>
      </w:r>
      <w:hyperlink r:id="rId15">
        <w:r>
          <w:rPr>
            <w:rStyle w:val="Hyperlink"/>
          </w:rPr>
          <w:t>[ISO/IEC29500:2012]</w:t>
        </w:r>
      </w:hyperlink>
      <w:r>
        <w:t>, including areas where additional detail may be of benefit to other implementers and areas where the product is known t</w:t>
      </w:r>
      <w:r>
        <w:t>o vary from or extend the specification.</w:t>
      </w:r>
    </w:p>
    <w:p w:rsidR="00024C0A" w:rsidRDefault="00694C0F">
      <w:pPr>
        <w:pStyle w:val="Heading2"/>
      </w:pPr>
      <w:bookmarkStart w:id="3" w:name="section_844a3afe7f7f4ff8bcd759e7a6a4b1ea"/>
      <w:bookmarkStart w:id="4" w:name="_Toc12260062"/>
      <w:r>
        <w:t>Glossary</w:t>
      </w:r>
      <w:bookmarkEnd w:id="3"/>
      <w:bookmarkEnd w:id="4"/>
      <w:r>
        <w:fldChar w:fldCharType="begin"/>
      </w:r>
      <w:r>
        <w:instrText xml:space="preserve"> XE "Glossary" </w:instrText>
      </w:r>
      <w:r>
        <w:fldChar w:fldCharType="end"/>
      </w:r>
    </w:p>
    <w:p w:rsidR="00024C0A" w:rsidRDefault="00694C0F">
      <w:pPr>
        <w:ind w:left="548" w:hanging="274"/>
      </w:pPr>
      <w:r>
        <w:rPr>
          <w:b/>
        </w:rPr>
        <w:t>MAY, SHOULD, MUST, SHOULD NOT, MUST NOT:</w:t>
      </w:r>
      <w:r>
        <w:t xml:space="preserve"> These terms (in all caps) are used as defined in </w:t>
      </w:r>
      <w:hyperlink r:id="rId16">
        <w:r>
          <w:rPr>
            <w:rStyle w:val="Hyperlink"/>
          </w:rPr>
          <w:t>[RFC2119]</w:t>
        </w:r>
      </w:hyperlink>
      <w:r>
        <w:t>. All statements of optio</w:t>
      </w:r>
      <w:r>
        <w:t>nal behavior use either MAY, SHOULD, or SHOULD NOT.</w:t>
      </w:r>
    </w:p>
    <w:p w:rsidR="00024C0A" w:rsidRDefault="00694C0F">
      <w:pPr>
        <w:pStyle w:val="Heading2"/>
      </w:pPr>
      <w:bookmarkStart w:id="5" w:name="section_d407dfa99fa74df9b932eae91729f7a0"/>
      <w:bookmarkStart w:id="6" w:name="_Toc12260063"/>
      <w:r>
        <w:t>References</w:t>
      </w:r>
      <w:bookmarkEnd w:id="5"/>
      <w:bookmarkEnd w:id="6"/>
    </w:p>
    <w:p w:rsidR="00024C0A" w:rsidRDefault="00694C0F">
      <w:r w:rsidRPr="00301053">
        <w:t>Links to a document in the Microsoft Open Specifications library point to the correct section in the most recently published version of the referenced document. However, because individual docu</w:t>
      </w:r>
      <w:r w:rsidRPr="00301053">
        <w:t xml:space="preserve">ments in the library are not updated at the same time, the section numbers in the documents may not match. You can confirm the correct section numbering by checking the </w:t>
      </w:r>
      <w:hyperlink r:id="rId17" w:history="1">
        <w:r w:rsidRPr="00874DB6">
          <w:rPr>
            <w:rStyle w:val="Hyperlink"/>
          </w:rPr>
          <w:t>Errata</w:t>
        </w:r>
      </w:hyperlink>
      <w:r w:rsidRPr="00301053">
        <w:t xml:space="preserve">.  </w:t>
      </w:r>
    </w:p>
    <w:p w:rsidR="00024C0A" w:rsidRDefault="00694C0F">
      <w:pPr>
        <w:pStyle w:val="Heading3"/>
      </w:pPr>
      <w:bookmarkStart w:id="7" w:name="section_d4b9098aeabb46c4a334260d55267084"/>
      <w:bookmarkStart w:id="8" w:name="_Toc12260064"/>
      <w:r>
        <w:t>Normative Refe</w:t>
      </w:r>
      <w:r>
        <w:t>rences</w:t>
      </w:r>
      <w:bookmarkEnd w:id="7"/>
      <w:bookmarkEnd w:id="8"/>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024C0A" w:rsidRDefault="00694C0F">
      <w:r>
        <w:t xml:space="preserve">We conduct frequent surveys of the normative references to assure their continued availability. If you have any issue with finding a normative reference, please contact </w:t>
      </w:r>
      <w:hyperlink r:id="rId18" w:history="1">
        <w:r>
          <w:rPr>
            <w:rStyle w:val="Hyperlink"/>
          </w:rPr>
          <w:t>dochelp@microsoft.com</w:t>
        </w:r>
      </w:hyperlink>
      <w:r>
        <w:t xml:space="preserve">. We will assist you in finding the relevant information. </w:t>
      </w:r>
    </w:p>
    <w:p w:rsidR="00024C0A" w:rsidRDefault="00694C0F">
      <w:pPr>
        <w:spacing w:after="200"/>
      </w:pPr>
      <w:r>
        <w:t xml:space="preserve">[AIM-BC1-1995-Code39] AIM, "Information technology Automatic identification and data capture techniques Code 39 bar code symbology specification", </w:t>
      </w:r>
      <w:hyperlink r:id="rId19">
        <w:r>
          <w:rPr>
            <w:rStyle w:val="Hyperlink"/>
          </w:rPr>
          <w:t>https://aimglobal.site-ym.com/store/ViewProduct.aspx?id=2759598</w:t>
        </w:r>
      </w:hyperlink>
    </w:p>
    <w:p w:rsidR="00024C0A" w:rsidRDefault="00694C0F">
      <w:r>
        <w:rPr>
          <w:b/>
        </w:rPr>
        <w:t xml:space="preserve">Note </w:t>
      </w:r>
      <w:r>
        <w:t>There is a charge to download this specification.</w:t>
      </w:r>
    </w:p>
    <w:p w:rsidR="00024C0A" w:rsidRDefault="00694C0F">
      <w:pPr>
        <w:spacing w:after="200"/>
      </w:pPr>
      <w:r>
        <w:t xml:space="preserve">[AIM-BC3-1995-Codabar] AIM, "AIM BC3-1995 - USS - Codabar", </w:t>
      </w:r>
      <w:hyperlink r:id="rId20">
        <w:r>
          <w:rPr>
            <w:rStyle w:val="Hyperlink"/>
          </w:rPr>
          <w:t>https://aimglobal.site-ym.com/store/ViewProduct.aspx?id=1586895</w:t>
        </w:r>
      </w:hyperlink>
    </w:p>
    <w:p w:rsidR="00024C0A" w:rsidRDefault="00694C0F">
      <w:r>
        <w:rPr>
          <w:b/>
        </w:rPr>
        <w:t xml:space="preserve">Note </w:t>
      </w:r>
      <w:r>
        <w:t>There is a charge to download this specification.</w:t>
      </w:r>
    </w:p>
    <w:p w:rsidR="00024C0A" w:rsidRDefault="00694C0F">
      <w:pPr>
        <w:spacing w:after="200"/>
      </w:pPr>
      <w:r>
        <w:t>[AIM-BC4-1995-Code128] AIM, "ISO/IEC 15417:2007-Information technology Automatic ide</w:t>
      </w:r>
      <w:r>
        <w:t xml:space="preserve">ntification and data capture techniques Code 128 bar code symbology specification", </w:t>
      </w:r>
      <w:hyperlink r:id="rId21">
        <w:r>
          <w:rPr>
            <w:rStyle w:val="Hyperlink"/>
          </w:rPr>
          <w:t>https://aimglobal.site-ym.com/store/ViewProduct.aspx?id=1326663</w:t>
        </w:r>
      </w:hyperlink>
    </w:p>
    <w:p w:rsidR="00024C0A" w:rsidRDefault="00694C0F">
      <w:r>
        <w:rPr>
          <w:b/>
        </w:rPr>
        <w:t xml:space="preserve">Note </w:t>
      </w:r>
      <w:r>
        <w:t>There is a charge to download this sp</w:t>
      </w:r>
      <w:r>
        <w:t>ecification.</w:t>
      </w:r>
    </w:p>
    <w:p w:rsidR="00024C0A" w:rsidRDefault="00694C0F">
      <w:pPr>
        <w:spacing w:after="200"/>
      </w:pPr>
      <w:r>
        <w:t xml:space="preserve">[CSS-LEVEL2] Bos, B., Celik, T., Hickson, I., and Lie, H., "Cascading Style Sheets Level 2 Revision 1 (CSS2.1) Specification: W3C Candidate Recommendation", July 2007, </w:t>
      </w:r>
      <w:hyperlink r:id="rId22">
        <w:r>
          <w:rPr>
            <w:rStyle w:val="Hyperlink"/>
          </w:rPr>
          <w:t>http://ww</w:t>
        </w:r>
        <w:r>
          <w:rPr>
            <w:rStyle w:val="Hyperlink"/>
          </w:rPr>
          <w:t>w.w3.org/TR/2007/CR-CSS21-20070719/</w:t>
        </w:r>
      </w:hyperlink>
    </w:p>
    <w:p w:rsidR="00024C0A" w:rsidRDefault="00694C0F">
      <w:pPr>
        <w:spacing w:after="200"/>
      </w:pPr>
      <w:r>
        <w:t xml:space="preserve">[DEVMODE] Microsoft Corporation, "DEVMODE structure", </w:t>
      </w:r>
      <w:hyperlink r:id="rId23">
        <w:r>
          <w:rPr>
            <w:rStyle w:val="Hyperlink"/>
          </w:rPr>
          <w:t>http://msdn.microsoft.com/en-us/library/dd183565(VS.85).aspx</w:t>
        </w:r>
      </w:hyperlink>
    </w:p>
    <w:p w:rsidR="00024C0A" w:rsidRDefault="00694C0F">
      <w:pPr>
        <w:spacing w:after="200"/>
      </w:pPr>
      <w:r>
        <w:lastRenderedPageBreak/>
        <w:t>[Embed-Open-Type-Format] Nelson, P., "Em</w:t>
      </w:r>
      <w:r>
        <w:t xml:space="preserve">bedded OpenType (EOT) File Format", W3C Member Submission, March 2008, </w:t>
      </w:r>
      <w:hyperlink r:id="rId24">
        <w:r>
          <w:rPr>
            <w:rStyle w:val="Hyperlink"/>
          </w:rPr>
          <w:t>http://www.w3.org/Submission/2008/SUBM-EOT-20080305/</w:t>
        </w:r>
      </w:hyperlink>
    </w:p>
    <w:p w:rsidR="00024C0A" w:rsidRDefault="00694C0F">
      <w:pPr>
        <w:spacing w:after="200"/>
      </w:pPr>
      <w:r>
        <w:t xml:space="preserve">[GS1-BARCODE] GS1, "Bar Code Types", </w:t>
      </w:r>
      <w:hyperlink r:id="rId25">
        <w:r>
          <w:rPr>
            <w:rStyle w:val="Hyperlink"/>
          </w:rPr>
          <w:t>http://www.gs1.org/barcodes/technical/bar_code_types</w:t>
        </w:r>
      </w:hyperlink>
    </w:p>
    <w:p w:rsidR="00024C0A" w:rsidRDefault="00694C0F">
      <w:pPr>
        <w:spacing w:after="200"/>
      </w:pPr>
      <w:r>
        <w:t>[ISO-8601] International Organization for Standardization, "Data Elements and Interchange Formats - Information Interchange - Representation of Dates and Times", ISO/</w:t>
      </w:r>
      <w:r>
        <w:t xml:space="preserve">IEC 8601:2004, December 2004, </w:t>
      </w:r>
      <w:hyperlink r:id="rId26">
        <w:r>
          <w:rPr>
            <w:rStyle w:val="Hyperlink"/>
          </w:rPr>
          <w:t>http://www.iso.org/iso/en/CatalogueDetailPage.CatalogueDetail?CSNUMBER=40874&amp;ICS1=1&amp;ICS2=140&amp;ICS3=30</w:t>
        </w:r>
      </w:hyperlink>
    </w:p>
    <w:p w:rsidR="00024C0A" w:rsidRDefault="00694C0F">
      <w:r>
        <w:rPr>
          <w:b/>
        </w:rPr>
        <w:t xml:space="preserve">Note </w:t>
      </w:r>
      <w:r>
        <w:t>There is a charge to download the specification.</w:t>
      </w:r>
    </w:p>
    <w:p w:rsidR="00024C0A" w:rsidRDefault="00694C0F">
      <w:pPr>
        <w:spacing w:after="200"/>
      </w:pPr>
      <w:r>
        <w:t>[ISO/I</w:t>
      </w:r>
      <w:r>
        <w:t xml:space="preserve">EC-14496-22] International Organization for Standardization, "Information technology -- Coding of audio-visual objects -- Part 22: Open Font Format", 2007, </w:t>
      </w:r>
      <w:hyperlink r:id="rId27">
        <w:r>
          <w:rPr>
            <w:rStyle w:val="Hyperlink"/>
          </w:rPr>
          <w:t>http://www.iso.org/iso/iso_catalog</w:t>
        </w:r>
        <w:r>
          <w:rPr>
            <w:rStyle w:val="Hyperlink"/>
          </w:rPr>
          <w:t>ue/catalogue_tc/catalogue_detail.htm?csnumber=43466</w:t>
        </w:r>
      </w:hyperlink>
    </w:p>
    <w:p w:rsidR="00024C0A" w:rsidRDefault="00694C0F">
      <w:pPr>
        <w:spacing w:after="200"/>
      </w:pPr>
      <w:r>
        <w:t>[ISO/IEC-29500-1] International Organization for Standardization, "Information technology -- Document description and processing languages -- Office Open XML File Formats -- Part 1: Fundamentals and Marku</w:t>
      </w:r>
      <w:r>
        <w:t xml:space="preserve">p Language Reference", ISO/IEC 29500-1:2008, </w:t>
      </w:r>
      <w:hyperlink r:id="rId28">
        <w:r>
          <w:rPr>
            <w:rStyle w:val="Hyperlink"/>
          </w:rPr>
          <w:t>http://www.iso.org/iso/iso_catalogue/catalogue_tc/catalogue_detail.htm?csnumber=51463</w:t>
        </w:r>
      </w:hyperlink>
    </w:p>
    <w:p w:rsidR="00024C0A" w:rsidRDefault="00694C0F">
      <w:pPr>
        <w:spacing w:after="200"/>
      </w:pPr>
      <w:r>
        <w:t>[ISO/IEC-29500-2] International Organization for Standardiz</w:t>
      </w:r>
      <w:r>
        <w:t xml:space="preserve">ation, "Information technology -- Document description and processing languages -- Office Open XML File Formats -- Part 2: Open Packaging Conventions", ISO/IEC 29500-2:2008, </w:t>
      </w:r>
      <w:hyperlink r:id="rId29">
        <w:r>
          <w:rPr>
            <w:rStyle w:val="Hyperlink"/>
          </w:rPr>
          <w:t>http://www.iso.o</w:t>
        </w:r>
        <w:r>
          <w:rPr>
            <w:rStyle w:val="Hyperlink"/>
          </w:rPr>
          <w:t>rg/iso/iso_catalogue/catalogue_tc/catalogue_detail.htm?csnumber=51459</w:t>
        </w:r>
      </w:hyperlink>
    </w:p>
    <w:p w:rsidR="00024C0A" w:rsidRDefault="00694C0F">
      <w:pPr>
        <w:spacing w:after="200"/>
      </w:pPr>
      <w:r>
        <w:t>[ISO/IEC-29500-4] International Organization for Standardization, "Information technology -- Document description and processing languages -- Office Open XML File Formats -- Part 4: Tran</w:t>
      </w:r>
      <w:r>
        <w:t xml:space="preserve">sitional Migration Features", ISO/IEC 29500-4:2008, </w:t>
      </w:r>
      <w:hyperlink r:id="rId30">
        <w:r>
          <w:rPr>
            <w:rStyle w:val="Hyperlink"/>
          </w:rPr>
          <w:t>http://www.iso.org/iso/iso_catalogue/catalogue_tc/catalogue_detail.htm?csnumber=51462</w:t>
        </w:r>
      </w:hyperlink>
    </w:p>
    <w:p w:rsidR="00024C0A" w:rsidRDefault="00694C0F">
      <w:pPr>
        <w:spacing w:after="200"/>
      </w:pPr>
      <w:r>
        <w:t xml:space="preserve">[ISO/IEC-29500:2008] International Organization for </w:t>
      </w:r>
      <w:r>
        <w:t>Standardization, "Information technology -- Document description and processing languages -- Office Open XML File Formats -- Parts 1-4", ISO/IEC 29500-1:2008, http://www.iso.org/iso/iso_catalogue/catalogue_tc/catalogue_detail.htm?csnumber=51463</w:t>
      </w:r>
    </w:p>
    <w:p w:rsidR="00024C0A" w:rsidRDefault="00694C0F">
      <w:pPr>
        <w:spacing w:after="200"/>
      </w:pPr>
      <w:r>
        <w:t>[ISO/IEC180</w:t>
      </w:r>
      <w:r>
        <w:t xml:space="preserve">04:2006] ISO/IEC, "Information technology -- Automatic identification and data capture techniques -- QR Code 2005 bar code symbology specification", </w:t>
      </w:r>
      <w:hyperlink r:id="rId31">
        <w:r>
          <w:rPr>
            <w:rStyle w:val="Hyperlink"/>
          </w:rPr>
          <w:t>http://www.iso.org/iso/catalogue_detail?csnumber=43655</w:t>
        </w:r>
      </w:hyperlink>
    </w:p>
    <w:p w:rsidR="00024C0A" w:rsidRDefault="00694C0F">
      <w:r>
        <w:rPr>
          <w:b/>
        </w:rPr>
        <w:t xml:space="preserve">Note </w:t>
      </w:r>
      <w:r>
        <w:t>There is a charge to download this specification.</w:t>
      </w:r>
    </w:p>
    <w:p w:rsidR="00024C0A" w:rsidRDefault="00694C0F">
      <w:pPr>
        <w:spacing w:after="200"/>
      </w:pPr>
      <w:r>
        <w:t xml:space="preserve">[ISO/IEC29500:2012] ISO/IEC, "Information Technology -- Document description and processing languages -- Office Open XML File Formats -- Parts 1-4", ISO/IEC 29500-1:2012, </w:t>
      </w:r>
      <w:hyperlink r:id="rId32">
        <w:r>
          <w:rPr>
            <w:rStyle w:val="Hyperlink"/>
          </w:rPr>
          <w:t>http://www.iso.org/</w:t>
        </w:r>
        <w:r>
          <w:rPr>
            <w:rStyle w:val="Hyperlink"/>
          </w:rPr>
          <w:t>iso/home/store/catalogue_ics/catalogue_detail_ics.htm?csnumber=61750</w:t>
        </w:r>
      </w:hyperlink>
    </w:p>
    <w:p w:rsidR="00024C0A" w:rsidRDefault="00694C0F">
      <w:pPr>
        <w:spacing w:after="200"/>
      </w:pPr>
      <w:r>
        <w:t xml:space="preserve">[MC-ISF] Microsoft Corporation, "Ink Serialized Format (ISF) Specification", 2007, </w:t>
      </w:r>
      <w:hyperlink r:id="rId33">
        <w:r>
          <w:rPr>
            <w:rStyle w:val="Hyperlink"/>
          </w:rPr>
          <w:t>http://download.microsoft.com/download</w:t>
        </w:r>
        <w:r>
          <w:rPr>
            <w:rStyle w:val="Hyperlink"/>
          </w:rPr>
          <w:t>/0/B/E/0BE8BDD7-E5E8-422A-ABFD-4342ED7AD886/InkSerializedFormat(ISF)Specification.pdf</w:t>
        </w:r>
      </w:hyperlink>
    </w:p>
    <w:p w:rsidR="00024C0A" w:rsidRDefault="00694C0F">
      <w:pPr>
        <w:spacing w:after="200"/>
      </w:pPr>
      <w:r>
        <w:t xml:space="preserve">[Micro-Type-Exp-Format] Martin, S., Ristow, A., Martin, S., Levantovsky, V., and Chapman, C., "MicroType Express (MTX) Font Format", W3C Member Submission, March 2008, </w:t>
      </w:r>
      <w:hyperlink r:id="rId34">
        <w:r>
          <w:rPr>
            <w:rStyle w:val="Hyperlink"/>
          </w:rPr>
          <w:t>http://www.w3.org/Submission/2008/SUBM-MTX-20080305/</w:t>
        </w:r>
      </w:hyperlink>
    </w:p>
    <w:p w:rsidR="00024C0A" w:rsidRDefault="00694C0F">
      <w:pPr>
        <w:spacing w:after="200"/>
      </w:pPr>
      <w:r>
        <w:t>[MS-CFB] Microsoft Corporation, "</w:t>
      </w:r>
      <w:hyperlink r:id="rId35" w:anchor="Section_53989ce47b054f8d829bd08d6148375b">
        <w:r>
          <w:rPr>
            <w:rStyle w:val="Hyperlink"/>
          </w:rPr>
          <w:t>Compound File Binary File Fo</w:t>
        </w:r>
        <w:r>
          <w:rPr>
            <w:rStyle w:val="Hyperlink"/>
          </w:rPr>
          <w:t>rmat</w:t>
        </w:r>
      </w:hyperlink>
      <w:r>
        <w:t>".</w:t>
      </w:r>
    </w:p>
    <w:p w:rsidR="00024C0A" w:rsidRDefault="00694C0F">
      <w:pPr>
        <w:spacing w:after="200"/>
      </w:pPr>
      <w:r>
        <w:t>[MS-CUSTOMUI2] Microsoft Corporation, "</w:t>
      </w:r>
      <w:hyperlink r:id="rId36" w:anchor="Section_bad56c217b1541bcaf328b5afe6e922e">
        <w:r>
          <w:rPr>
            <w:rStyle w:val="Hyperlink"/>
          </w:rPr>
          <w:t>Custom UI XML Markup Version 2 Specification</w:t>
        </w:r>
      </w:hyperlink>
      <w:r>
        <w:t>".</w:t>
      </w:r>
    </w:p>
    <w:p w:rsidR="00024C0A" w:rsidRDefault="00694C0F">
      <w:pPr>
        <w:spacing w:after="200"/>
      </w:pPr>
      <w:r>
        <w:t>[MS-CUSTOMUI] Microsoft Corporation, "</w:t>
      </w:r>
      <w:hyperlink r:id="rId37" w:anchor="Section_31f152d62a5d4b50a8679dbc6d01aa43">
        <w:r>
          <w:rPr>
            <w:rStyle w:val="Hyperlink"/>
          </w:rPr>
          <w:t>Custom UI XML Markup Specification</w:t>
        </w:r>
      </w:hyperlink>
      <w:r>
        <w:t>".</w:t>
      </w:r>
    </w:p>
    <w:p w:rsidR="00024C0A" w:rsidRDefault="00694C0F">
      <w:pPr>
        <w:spacing w:after="200"/>
      </w:pPr>
      <w:r>
        <w:lastRenderedPageBreak/>
        <w:t>[MS-DOC] Microsoft Corporation, "</w:t>
      </w:r>
      <w:hyperlink r:id="rId38" w:anchor="Section_ccd7b4867881484ca13751170af7cc22">
        <w:r>
          <w:rPr>
            <w:rStyle w:val="Hyperlink"/>
          </w:rPr>
          <w:t>Word (.doc) Binary File Format</w:t>
        </w:r>
      </w:hyperlink>
      <w:r>
        <w:t>".</w:t>
      </w:r>
    </w:p>
    <w:p w:rsidR="00024C0A" w:rsidRDefault="00694C0F">
      <w:pPr>
        <w:spacing w:after="200"/>
      </w:pPr>
      <w:r>
        <w:t>[MS-EMFPLUS] Microsoft Corporatio</w:t>
      </w:r>
      <w:r>
        <w:t>n, "</w:t>
      </w:r>
      <w:hyperlink r:id="rId39" w:anchor="Section_5f92c78964f246b59ed415a9bb0946c6">
        <w:r>
          <w:rPr>
            <w:rStyle w:val="Hyperlink"/>
          </w:rPr>
          <w:t>Enhanced Metafile Format Plus Extensions</w:t>
        </w:r>
      </w:hyperlink>
      <w:r>
        <w:t>".</w:t>
      </w:r>
    </w:p>
    <w:p w:rsidR="00024C0A" w:rsidRDefault="00694C0F">
      <w:pPr>
        <w:spacing w:after="200"/>
      </w:pPr>
      <w:r>
        <w:t>[MS-EMF] Microsoft Corporation, "</w:t>
      </w:r>
      <w:hyperlink r:id="rId40" w:anchor="Section_91c257d7c39d4a369b1f63e3f73d30ca">
        <w:r>
          <w:rPr>
            <w:rStyle w:val="Hyperlink"/>
          </w:rPr>
          <w:t>Enhanced Metafil</w:t>
        </w:r>
        <w:r>
          <w:rPr>
            <w:rStyle w:val="Hyperlink"/>
          </w:rPr>
          <w:t>e Format</w:t>
        </w:r>
      </w:hyperlink>
      <w:r>
        <w:t>".</w:t>
      </w:r>
    </w:p>
    <w:p w:rsidR="00024C0A" w:rsidRDefault="00694C0F">
      <w:pPr>
        <w:spacing w:after="200"/>
      </w:pPr>
      <w:r>
        <w:t>[MS-IPFF] Microsoft Corporation, "</w:t>
      </w:r>
      <w:hyperlink r:id="rId41" w:anchor="Section_93482ffc8be24c288de5324a835e66b1">
        <w:r>
          <w:rPr>
            <w:rStyle w:val="Hyperlink"/>
          </w:rPr>
          <w:t>InfoPath Form Template Format</w:t>
        </w:r>
      </w:hyperlink>
      <w:r>
        <w:t>".</w:t>
      </w:r>
    </w:p>
    <w:p w:rsidR="00024C0A" w:rsidRDefault="00694C0F">
      <w:pPr>
        <w:spacing w:after="200"/>
      </w:pPr>
      <w:r>
        <w:t>[MS-LCID] Microsoft Corporation, "</w:t>
      </w:r>
      <w:hyperlink r:id="rId42" w:anchor="Section_70feba9f294e491eb6eb56532684c37f">
        <w:r>
          <w:rPr>
            <w:rStyle w:val="Hyperlink"/>
          </w:rPr>
          <w:t>Windows Language Code Identifier (LCID) Reference</w:t>
        </w:r>
      </w:hyperlink>
      <w:r>
        <w:t>".</w:t>
      </w:r>
    </w:p>
    <w:p w:rsidR="00024C0A" w:rsidRDefault="00694C0F">
      <w:pPr>
        <w:spacing w:after="200"/>
      </w:pPr>
      <w:r>
        <w:t>[MS-LISTSWS] Microsoft Corporation, "</w:t>
      </w:r>
      <w:hyperlink r:id="rId43" w:anchor="Section_30b364cc38374e839ce81963292e2ee5">
        <w:r>
          <w:rPr>
            <w:rStyle w:val="Hyperlink"/>
          </w:rPr>
          <w:t>Lists Web Service Protocol</w:t>
        </w:r>
      </w:hyperlink>
      <w:r>
        <w:t>".</w:t>
      </w:r>
    </w:p>
    <w:p w:rsidR="00024C0A" w:rsidRDefault="00694C0F">
      <w:pPr>
        <w:spacing w:after="200"/>
      </w:pPr>
      <w:r>
        <w:t>[MS-OFORMS] Microsoft Corporation, "</w:t>
      </w:r>
      <w:hyperlink r:id="rId44" w:anchor="Section_9c79701a8c3e4429a139b60ac3a1d50a">
        <w:r>
          <w:rPr>
            <w:rStyle w:val="Hyperlink"/>
          </w:rPr>
          <w:t>Office Forms Binary File Formats</w:t>
        </w:r>
      </w:hyperlink>
      <w:r>
        <w:t>".</w:t>
      </w:r>
    </w:p>
    <w:p w:rsidR="00024C0A" w:rsidRDefault="00694C0F">
      <w:pPr>
        <w:spacing w:after="200"/>
      </w:pPr>
      <w:r>
        <w:t>[MS-PPT] Microsoft Corporation, "</w:t>
      </w:r>
      <w:hyperlink r:id="rId45" w:anchor="Section_6be79dde33c14c1b8ccc4b2301c08662">
        <w:r>
          <w:rPr>
            <w:rStyle w:val="Hyperlink"/>
          </w:rPr>
          <w:t>PowerPoint (.ppt) Binary File Format</w:t>
        </w:r>
      </w:hyperlink>
      <w:r>
        <w:t>".</w:t>
      </w:r>
    </w:p>
    <w:p w:rsidR="00024C0A" w:rsidRDefault="00694C0F">
      <w:pPr>
        <w:spacing w:after="200"/>
      </w:pPr>
      <w:r>
        <w:t>[MS-WMF] Microsoft Corporation, "</w:t>
      </w:r>
      <w:hyperlink r:id="rId46" w:anchor="Section_4813e7fd52d04f42965f228c8b7488d2">
        <w:r>
          <w:rPr>
            <w:rStyle w:val="Hyperlink"/>
          </w:rPr>
          <w:t>Windows Metafile Format</w:t>
        </w:r>
      </w:hyperlink>
      <w:r>
        <w:t>".</w:t>
      </w:r>
    </w:p>
    <w:p w:rsidR="00024C0A" w:rsidRDefault="00694C0F">
      <w:pPr>
        <w:spacing w:after="200"/>
      </w:pPr>
      <w:r>
        <w:t>[MS-WSSCAML] Microsoft Corporation, "</w:t>
      </w:r>
      <w:hyperlink r:id="rId47" w:anchor="Section_8d6156fd646842949594644a946ed6a6">
        <w:r>
          <w:rPr>
            <w:rStyle w:val="Hyperlink"/>
          </w:rPr>
          <w:t>Collaborative Application Markup Language (CAML) Structure</w:t>
        </w:r>
      </w:hyperlink>
      <w:r>
        <w:t>".</w:t>
      </w:r>
    </w:p>
    <w:p w:rsidR="00024C0A" w:rsidRDefault="00694C0F">
      <w:pPr>
        <w:spacing w:after="200"/>
      </w:pPr>
      <w:r>
        <w:t>[MS-XLS] Microsoft Corporation, "</w:t>
      </w:r>
      <w:hyperlink r:id="rId48" w:anchor="Section_cd03cb5fca024934a391bb674cb8aa06">
        <w:r>
          <w:rPr>
            <w:rStyle w:val="Hyperlink"/>
          </w:rPr>
          <w:t>Excel Binary File Format (.xls) Structure</w:t>
        </w:r>
      </w:hyperlink>
      <w:r>
        <w:t>".</w:t>
      </w:r>
    </w:p>
    <w:p w:rsidR="00024C0A" w:rsidRDefault="00694C0F">
      <w:pPr>
        <w:spacing w:after="200"/>
      </w:pPr>
      <w:r>
        <w:t>[RFC2119] Bradner, S., "Key words for</w:t>
      </w:r>
      <w:r>
        <w:t xml:space="preserve"> use in RFCs to Indicate Requirement Levels", BCP 14, RFC 2119, March 1997, </w:t>
      </w:r>
      <w:hyperlink r:id="rId49">
        <w:r>
          <w:rPr>
            <w:rStyle w:val="Hyperlink"/>
          </w:rPr>
          <w:t>http://www.rfc-editor.org/rfc/rfc2119.txt</w:t>
        </w:r>
      </w:hyperlink>
    </w:p>
    <w:p w:rsidR="00024C0A" w:rsidRDefault="00694C0F">
      <w:pPr>
        <w:pStyle w:val="Heading3"/>
      </w:pPr>
      <w:bookmarkStart w:id="9" w:name="section_94d2b16ecf4446248c7be2f0afe1a072"/>
      <w:bookmarkStart w:id="10" w:name="_Toc12260065"/>
      <w:r>
        <w:t>Informative References</w:t>
      </w:r>
      <w:bookmarkEnd w:id="9"/>
      <w:bookmarkEnd w:id="10"/>
      <w:r>
        <w:fldChar w:fldCharType="begin"/>
      </w:r>
      <w:r>
        <w:instrText xml:space="preserve"> XE "References:informative" </w:instrText>
      </w:r>
      <w:r>
        <w:fldChar w:fldCharType="end"/>
      </w:r>
      <w:r>
        <w:fldChar w:fldCharType="begin"/>
      </w:r>
      <w:r>
        <w:instrText xml:space="preserve"> XE "Informative ref</w:instrText>
      </w:r>
      <w:r>
        <w:instrText xml:space="preserve">erences" </w:instrText>
      </w:r>
      <w:r>
        <w:fldChar w:fldCharType="end"/>
      </w:r>
    </w:p>
    <w:p w:rsidR="00024C0A" w:rsidRDefault="00694C0F">
      <w:pPr>
        <w:spacing w:after="200"/>
      </w:pPr>
      <w:r>
        <w:t>[MS-XLSX] Microsoft Corporation, "</w:t>
      </w:r>
      <w:hyperlink r:id="rId50" w:anchor="Section_2c5dee00eff24b2292b60738acd4475e">
        <w:r>
          <w:rPr>
            <w:rStyle w:val="Hyperlink"/>
          </w:rPr>
          <w:t>Excel (.xlsx) Extensions to the Office Open XML SpreadsheetML File Format</w:t>
        </w:r>
      </w:hyperlink>
      <w:r>
        <w:t>".</w:t>
      </w:r>
    </w:p>
    <w:p w:rsidR="00024C0A" w:rsidRDefault="00694C0F">
      <w:pPr>
        <w:pStyle w:val="Heading2"/>
      </w:pPr>
      <w:bookmarkStart w:id="11" w:name="section_21a135a0df4f404dad43ba943b828c63"/>
      <w:bookmarkStart w:id="12" w:name="_Toc12260066"/>
      <w:r>
        <w:t>Microsoft Implementations</w:t>
      </w:r>
      <w:bookmarkEnd w:id="11"/>
      <w:bookmarkEnd w:id="12"/>
    </w:p>
    <w:p w:rsidR="00024C0A" w:rsidRDefault="00694C0F">
      <w:pPr>
        <w:ind w:firstLine="576"/>
      </w:pPr>
      <w:r>
        <w:t>Microsoft Excel 2010</w:t>
      </w:r>
    </w:p>
    <w:p w:rsidR="00024C0A" w:rsidRDefault="00694C0F">
      <w:pPr>
        <w:ind w:firstLine="576"/>
      </w:pPr>
      <w:r>
        <w:t>Microsof</w:t>
      </w:r>
      <w:r>
        <w:t>t Excel 2013</w:t>
      </w:r>
    </w:p>
    <w:p w:rsidR="00024C0A" w:rsidRDefault="00694C0F">
      <w:pPr>
        <w:ind w:firstLine="576"/>
      </w:pPr>
      <w:r>
        <w:t>Microsoft Excel 2016</w:t>
      </w:r>
    </w:p>
    <w:p w:rsidR="00024C0A" w:rsidRDefault="00694C0F">
      <w:pPr>
        <w:ind w:firstLine="576"/>
      </w:pPr>
      <w:r>
        <w:t xml:space="preserve">Microsoft Excel 2019 </w:t>
      </w:r>
    </w:p>
    <w:p w:rsidR="00024C0A" w:rsidRDefault="00694C0F">
      <w:pPr>
        <w:ind w:firstLine="576"/>
      </w:pPr>
      <w:r>
        <w:t>Microsoft PowerPoint 2010</w:t>
      </w:r>
    </w:p>
    <w:p w:rsidR="00024C0A" w:rsidRDefault="00694C0F">
      <w:pPr>
        <w:ind w:firstLine="576"/>
      </w:pPr>
      <w:r>
        <w:t>Microsoft PowerPoint 2013</w:t>
      </w:r>
    </w:p>
    <w:p w:rsidR="00024C0A" w:rsidRDefault="00694C0F">
      <w:pPr>
        <w:ind w:firstLine="576"/>
      </w:pPr>
      <w:r>
        <w:t>Microsoft PowerPoint 2016</w:t>
      </w:r>
    </w:p>
    <w:p w:rsidR="00024C0A" w:rsidRDefault="00694C0F">
      <w:pPr>
        <w:ind w:firstLine="576"/>
      </w:pPr>
      <w:r>
        <w:t xml:space="preserve">Microsoft PowerPoint 2019 </w:t>
      </w:r>
    </w:p>
    <w:p w:rsidR="00024C0A" w:rsidRDefault="00694C0F">
      <w:pPr>
        <w:ind w:firstLine="576"/>
      </w:pPr>
      <w:r>
        <w:t>Microsoft Word 2010</w:t>
      </w:r>
    </w:p>
    <w:p w:rsidR="00024C0A" w:rsidRDefault="00694C0F">
      <w:pPr>
        <w:ind w:firstLine="576"/>
      </w:pPr>
      <w:r>
        <w:t>Microsoft Word 2013</w:t>
      </w:r>
    </w:p>
    <w:p w:rsidR="00024C0A" w:rsidRDefault="00694C0F">
      <w:pPr>
        <w:ind w:firstLine="576"/>
      </w:pPr>
      <w:r>
        <w:t>Microsoft Word 2016</w:t>
      </w:r>
    </w:p>
    <w:p w:rsidR="00024C0A" w:rsidRDefault="00694C0F">
      <w:pPr>
        <w:ind w:firstLine="576"/>
      </w:pPr>
      <w:r>
        <w:t xml:space="preserve">Microsoft Word 2019 </w:t>
      </w:r>
    </w:p>
    <w:p w:rsidR="00024C0A" w:rsidRDefault="00694C0F">
      <w:pPr>
        <w:pStyle w:val="Heading1"/>
      </w:pPr>
      <w:bookmarkStart w:id="13" w:name="section_bd9e8289844a42e2980966c7005bd9e2"/>
      <w:bookmarkStart w:id="14" w:name="_Toc12260067"/>
      <w:r>
        <w:lastRenderedPageBreak/>
        <w:t>Conformance Statements</w:t>
      </w:r>
      <w:bookmarkEnd w:id="13"/>
      <w:bookmarkEnd w:id="14"/>
    </w:p>
    <w:p w:rsidR="00024C0A" w:rsidRDefault="00694C0F">
      <w:r>
        <w:t>This section contains implementation information about how Microsoft Excel 2010, Microsoft PowerPoint 2010, Microsoft Word 2010, Microsoft Excel 2013, Microsoft PowerPoint 2013, Microsoft Word 2013, Microsoft Excel 2016, Microsoft Po</w:t>
      </w:r>
      <w:r>
        <w:t>werPoint 2016, Microsoft Word 2016, Microsoft Excel 2019, Microsoft PowerPoint 2019, Microsoft Word 2019 implement ISO-IEC 29500 Office Open XML File Formats [ISO/IEC29500:2012].  Unless otherwise specified, implementation information in this document pert</w:t>
      </w:r>
      <w:r>
        <w:t>ains to both Client and Server as well as Strict and Transitional implementations of Microsoft Office 2010 suites, Microsoft Office 2013, Microsoft Office 2016, and Microsoft Office 2019 versions of the Microsoft Excel, Word and PowerPoint products.  The O</w:t>
      </w:r>
      <w:r>
        <w:t>ffice Implementation Information section follows the organization of the Office Open XML File Formats.</w:t>
      </w:r>
    </w:p>
    <w:p w:rsidR="00024C0A" w:rsidRDefault="00694C0F">
      <w:pPr>
        <w:pStyle w:val="Heading2"/>
      </w:pPr>
      <w:bookmarkStart w:id="15" w:name="section_e40a8fd6d09945c3bee10774e2bd1f7a"/>
      <w:bookmarkStart w:id="16" w:name="_Toc12260068"/>
      <w:r>
        <w:t>Normative Variations</w:t>
      </w:r>
      <w:bookmarkEnd w:id="15"/>
      <w:bookmarkEnd w:id="16"/>
    </w:p>
    <w:p w:rsidR="00024C0A" w:rsidRDefault="00694C0F">
      <w:pPr>
        <w:pStyle w:val="Heading3"/>
      </w:pPr>
      <w:bookmarkStart w:id="17" w:name="section_4893beff89e44326a9c3a89ddf80f063"/>
      <w:bookmarkStart w:id="18" w:name="_Toc12260069"/>
      <w:r>
        <w:t>Part 1 Section 2.2, Application Conformance</w:t>
      </w:r>
      <w:bookmarkEnd w:id="17"/>
      <w:bookmarkEnd w:id="18"/>
      <w:r>
        <w:fldChar w:fldCharType="begin"/>
      </w:r>
      <w:r>
        <w:instrText xml:space="preserve"> XE "Application Conformance" </w:instrText>
      </w:r>
      <w:r>
        <w:fldChar w:fldCharType="end"/>
      </w:r>
    </w:p>
    <w:p w:rsidR="00024C0A" w:rsidRDefault="00694C0F">
      <w:pPr>
        <w:pStyle w:val="Definition-Field"/>
      </w:pPr>
      <w:r>
        <w:t xml:space="preserve">a.   </w:t>
      </w:r>
      <w:r>
        <w:rPr>
          <w:i/>
        </w:rPr>
        <w:t xml:space="preserve">The standard specifies that white space content in </w:t>
      </w:r>
      <w:r>
        <w:rPr>
          <w:i/>
        </w:rPr>
        <w:t>strings representing atomic data must be normalized as part of processing.</w:t>
      </w:r>
    </w:p>
    <w:p w:rsidR="00024C0A" w:rsidRDefault="00694C0F">
      <w:pPr>
        <w:pStyle w:val="Definition-Field2"/>
      </w:pPr>
      <w:r>
        <w:t>Office will only accept XML in which atomic content of attributes and elements is represented with white space content already normalized.</w:t>
      </w:r>
    </w:p>
    <w:p w:rsidR="00024C0A" w:rsidRDefault="00694C0F">
      <w:pPr>
        <w:pStyle w:val="Definition-Field"/>
      </w:pPr>
      <w:r>
        <w:t xml:space="preserve">b.   </w:t>
      </w:r>
      <w:r>
        <w:rPr>
          <w:i/>
        </w:rPr>
        <w:t>The standard allows INF, NaN, and -IN</w:t>
      </w:r>
      <w:r>
        <w:rPr>
          <w:i/>
        </w:rPr>
        <w:t>F as legal representations for double and float XML Schema types.</w:t>
      </w:r>
    </w:p>
    <w:p w:rsidR="00024C0A" w:rsidRDefault="00694C0F">
      <w:pPr>
        <w:pStyle w:val="Definition-Field2"/>
      </w:pPr>
      <w:r>
        <w:t>Office does not accept INF, NaN, and -INF as valid representations for double and float data.</w:t>
      </w:r>
    </w:p>
    <w:p w:rsidR="00024C0A" w:rsidRDefault="00694C0F">
      <w:pPr>
        <w:pStyle w:val="Heading3"/>
      </w:pPr>
      <w:bookmarkStart w:id="19" w:name="section_fa1be7cffc314bb698c9fd1db9cede94"/>
      <w:bookmarkStart w:id="20" w:name="_Toc12260070"/>
      <w:r>
        <w:t>Part 1 Section 8.5, PresentationML</w:t>
      </w:r>
      <w:bookmarkEnd w:id="19"/>
      <w:bookmarkEnd w:id="20"/>
      <w:r>
        <w:fldChar w:fldCharType="begin"/>
      </w:r>
      <w:r>
        <w:instrText xml:space="preserve"> XE "PresentationML" </w:instrText>
      </w:r>
      <w:r>
        <w:fldChar w:fldCharType="end"/>
      </w:r>
    </w:p>
    <w:p w:rsidR="00024C0A" w:rsidRDefault="00694C0F">
      <w:pPr>
        <w:pStyle w:val="Definition-Field"/>
      </w:pPr>
      <w:r>
        <w:t xml:space="preserve">a.   </w:t>
      </w:r>
      <w:r>
        <w:rPr>
          <w:i/>
        </w:rPr>
        <w:t>The standard states that all comm</w:t>
      </w:r>
      <w:r>
        <w:rPr>
          <w:i/>
        </w:rPr>
        <w:t>ent authors in a document are stored in one comment-authors part while each slide has its own part.</w:t>
      </w:r>
    </w:p>
    <w:p w:rsidR="00024C0A" w:rsidRDefault="00694C0F">
      <w:pPr>
        <w:pStyle w:val="Definition-Field2"/>
      </w:pPr>
      <w:r>
        <w:t>Office interprets comments to mean comment authors in this context.</w:t>
      </w:r>
    </w:p>
    <w:p w:rsidR="00024C0A" w:rsidRDefault="00694C0F">
      <w:pPr>
        <w:pStyle w:val="Heading3"/>
      </w:pPr>
      <w:bookmarkStart w:id="21" w:name="section_245fab239fe44f6f9b45e6d17e5ccadf"/>
      <w:bookmarkStart w:id="22" w:name="_Toc12260071"/>
      <w:r>
        <w:t>Part 1 Section 9, Packages</w:t>
      </w:r>
      <w:bookmarkEnd w:id="21"/>
      <w:bookmarkEnd w:id="22"/>
      <w:r>
        <w:fldChar w:fldCharType="begin"/>
      </w:r>
      <w:r>
        <w:instrText xml:space="preserve"> XE "Packages" </w:instrText>
      </w:r>
      <w:r>
        <w:fldChar w:fldCharType="end"/>
      </w:r>
    </w:p>
    <w:p w:rsidR="00024C0A" w:rsidRDefault="00694C0F">
      <w:pPr>
        <w:pStyle w:val="Definition-Field"/>
      </w:pPr>
      <w:r>
        <w:t xml:space="preserve">a.   </w:t>
      </w:r>
      <w:r>
        <w:rPr>
          <w:i/>
        </w:rPr>
        <w:t xml:space="preserve">The standard does not define </w:t>
      </w:r>
      <w:r>
        <w:rPr>
          <w:i/>
        </w:rPr>
        <w:t>idOfficeObject digital signature.</w:t>
      </w:r>
    </w:p>
    <w:p w:rsidR="00024C0A" w:rsidRDefault="00694C0F">
      <w:pPr>
        <w:pStyle w:val="Definition-Field2"/>
      </w:pPr>
      <w:r>
        <w:t>Office reserves the object ID of idOfficeObject (</w:t>
      </w:r>
      <w:hyperlink w:anchor="Section_e8dafc63570a444fa0aedd1af1966d76">
        <w:r>
          <w:rPr>
            <w:rStyle w:val="Hyperlink"/>
          </w:rPr>
          <w:t>§3.7, Office Digital Signature</w:t>
        </w:r>
      </w:hyperlink>
      <w:r>
        <w:t>) for its digital signature.</w:t>
      </w:r>
    </w:p>
    <w:p w:rsidR="00024C0A" w:rsidRDefault="00694C0F">
      <w:pPr>
        <w:pStyle w:val="Heading3"/>
      </w:pPr>
      <w:bookmarkStart w:id="23" w:name="section_19b9c0c565dd491c94d31487769154cf"/>
      <w:bookmarkStart w:id="24" w:name="_Toc12260072"/>
      <w:r>
        <w:t>Part 1 Section 11, WordprocessingML</w:t>
      </w:r>
      <w:bookmarkEnd w:id="23"/>
      <w:bookmarkEnd w:id="24"/>
      <w:r>
        <w:fldChar w:fldCharType="begin"/>
      </w:r>
      <w:r>
        <w:instrText xml:space="preserve"> XE "Wordprocess</w:instrText>
      </w:r>
      <w:r>
        <w:instrText xml:space="preserve">ingML" </w:instrText>
      </w:r>
      <w:r>
        <w:fldChar w:fldCharType="end"/>
      </w:r>
    </w:p>
    <w:p w:rsidR="00024C0A" w:rsidRDefault="00694C0F">
      <w:pPr>
        <w:pStyle w:val="Definition-Field"/>
      </w:pPr>
      <w:r>
        <w:t xml:space="preserve">a.   </w:t>
      </w:r>
      <w:r>
        <w:rPr>
          <w:i/>
        </w:rPr>
        <w:t>The standard defines a document setting as "A reusable element in a template."</w:t>
      </w:r>
    </w:p>
    <w:p w:rsidR="00024C0A" w:rsidRDefault="00694C0F">
      <w:pPr>
        <w:pStyle w:val="Definition-Field2"/>
      </w:pPr>
      <w:r>
        <w:t>Office defines a document setting to be "A document-level property that affects the handling of a given document, and influences the appearance and behavior of th</w:t>
      </w:r>
      <w:r>
        <w:t>e current document, as well as the stored document-level state."</w:t>
      </w:r>
    </w:p>
    <w:p w:rsidR="00024C0A" w:rsidRDefault="00694C0F">
      <w:pPr>
        <w:pStyle w:val="Heading3"/>
      </w:pPr>
      <w:bookmarkStart w:id="25" w:name="section_c3233670f36446ed8ddf853d74c2bbc1"/>
      <w:bookmarkStart w:id="26" w:name="_Toc12260073"/>
      <w:r>
        <w:t>Part 1 Section 11.3, Part Summary</w:t>
      </w:r>
      <w:bookmarkEnd w:id="25"/>
      <w:bookmarkEnd w:id="26"/>
      <w:r>
        <w:fldChar w:fldCharType="begin"/>
      </w:r>
      <w:r>
        <w:instrText xml:space="preserve"> XE "Part Summary" </w:instrText>
      </w:r>
      <w:r>
        <w:fldChar w:fldCharType="end"/>
      </w:r>
    </w:p>
    <w:p w:rsidR="00024C0A" w:rsidRDefault="00694C0F">
      <w:pPr>
        <w:pStyle w:val="Definition-Field"/>
      </w:pPr>
      <w:r>
        <w:t xml:space="preserve">a.   </w:t>
      </w:r>
      <w:r>
        <w:rPr>
          <w:i/>
        </w:rPr>
        <w:t>The standard does not document a Customizations part for key mapping and toolbar customizations.</w:t>
      </w:r>
    </w:p>
    <w:p w:rsidR="00024C0A" w:rsidRDefault="00694C0F">
      <w:pPr>
        <w:pStyle w:val="Definition-Field2"/>
      </w:pPr>
      <w:r>
        <w:t>Word defines a Customizations part</w:t>
      </w:r>
      <w:r>
        <w:t xml:space="preserve"> (</w:t>
      </w:r>
      <w:hyperlink w:anchor="Section_25472ee1074b4741b3bd5d72b5a55bdc">
        <w:r>
          <w:rPr>
            <w:rStyle w:val="Hyperlink"/>
          </w:rPr>
          <w:t>§3.1.1.2, Customizations Part</w:t>
        </w:r>
      </w:hyperlink>
      <w:r>
        <w:t>) for key mapping and toolbar customizations.</w:t>
      </w:r>
    </w:p>
    <w:p w:rsidR="00024C0A" w:rsidRDefault="00694C0F">
      <w:pPr>
        <w:pStyle w:val="Definition-Field"/>
      </w:pPr>
      <w:r>
        <w:lastRenderedPageBreak/>
        <w:t xml:space="preserve">b.   </w:t>
      </w:r>
      <w:r>
        <w:rPr>
          <w:i/>
        </w:rPr>
        <w:t>The standard does not include documentation for the Attachedtoolbars part.</w:t>
      </w:r>
    </w:p>
    <w:p w:rsidR="00024C0A" w:rsidRDefault="00694C0F">
      <w:pPr>
        <w:pStyle w:val="Definition-Field2"/>
      </w:pPr>
      <w:r>
        <w:t>Word defines an Attachedtoolbars par</w:t>
      </w:r>
      <w:r>
        <w:t>t (</w:t>
      </w:r>
      <w:hyperlink w:anchor="Section_618afd53b3d54eb4836da647299f9e39">
        <w:r>
          <w:rPr>
            <w:rStyle w:val="Hyperlink"/>
          </w:rPr>
          <w:t>§3.1.1.1, Word Attached Toolbars Part</w:t>
        </w:r>
      </w:hyperlink>
      <w:r>
        <w:t>), which supports the storage of custom toolbars created by the user.</w:t>
      </w:r>
    </w:p>
    <w:p w:rsidR="00024C0A" w:rsidRDefault="00694C0F">
      <w:pPr>
        <w:pStyle w:val="Definition-Field"/>
      </w:pPr>
      <w:r>
        <w:t xml:space="preserve">c.   </w:t>
      </w:r>
      <w:r>
        <w:rPr>
          <w:i/>
        </w:rPr>
        <w:t>The standard does not document a Mail Merge Recipient Data part for storage of</w:t>
      </w:r>
      <w:r>
        <w:rPr>
          <w:i/>
        </w:rPr>
        <w:t xml:space="preserve"> mail merge recipient data.</w:t>
      </w:r>
    </w:p>
    <w:p w:rsidR="00024C0A" w:rsidRDefault="00694C0F">
      <w:pPr>
        <w:pStyle w:val="Definition-Field2"/>
      </w:pPr>
      <w:r>
        <w:t>Word defines a Mail Merge Recipient Data part (</w:t>
      </w:r>
      <w:hyperlink w:anchor="Section_af3dc9138c084843ab40495a92170b96">
        <w:r>
          <w:rPr>
            <w:rStyle w:val="Hyperlink"/>
          </w:rPr>
          <w:t>§3.1.1.3, Mail Merge Recipient Data Part</w:t>
        </w:r>
      </w:hyperlink>
      <w:r>
        <w:t>) for storage of mail merge recipient data.</w:t>
      </w:r>
    </w:p>
    <w:p w:rsidR="00024C0A" w:rsidRDefault="00694C0F">
      <w:pPr>
        <w:pStyle w:val="Heading3"/>
      </w:pPr>
      <w:bookmarkStart w:id="27" w:name="section_559aaaa9dbea49feaeebcd2aeb99f924"/>
      <w:bookmarkStart w:id="28" w:name="_Toc12260074"/>
      <w:r>
        <w:t>Part 1 Section 12.3, Part Summary</w:t>
      </w:r>
      <w:bookmarkEnd w:id="27"/>
      <w:bookmarkEnd w:id="28"/>
      <w:r>
        <w:fldChar w:fldCharType="begin"/>
      </w:r>
      <w:r>
        <w:instrText xml:space="preserve"> </w:instrText>
      </w:r>
      <w:r>
        <w:instrText xml:space="preserve">XE "Part Summary" </w:instrText>
      </w:r>
      <w:r>
        <w:fldChar w:fldCharType="end"/>
      </w:r>
    </w:p>
    <w:p w:rsidR="00024C0A" w:rsidRDefault="00694C0F">
      <w:pPr>
        <w:pStyle w:val="Definition-Field"/>
      </w:pPr>
      <w:r>
        <w:t xml:space="preserve">a.   </w:t>
      </w:r>
      <w:r>
        <w:rPr>
          <w:i/>
        </w:rPr>
        <w:t>The standard does not include documentation for the Attachedtoolbars part.</w:t>
      </w:r>
    </w:p>
    <w:p w:rsidR="00024C0A" w:rsidRDefault="00694C0F">
      <w:pPr>
        <w:pStyle w:val="Definition-Field2"/>
      </w:pPr>
      <w:r>
        <w:t>Office defines an Attachedtoolbars part (</w:t>
      </w:r>
      <w:hyperlink w:anchor="Section_693389eed71540f89ef4055de69fd6a8">
        <w:r>
          <w:rPr>
            <w:rStyle w:val="Hyperlink"/>
          </w:rPr>
          <w:t>§3.2.1.1, Excel Attached Toolbars Part</w:t>
        </w:r>
      </w:hyperlink>
      <w:r>
        <w:t>), which supp</w:t>
      </w:r>
      <w:r>
        <w:t>orts the storage of custom toolbars created by the user.</w:t>
      </w:r>
    </w:p>
    <w:p w:rsidR="00024C0A" w:rsidRDefault="00694C0F">
      <w:pPr>
        <w:pStyle w:val="Definition-Field"/>
      </w:pPr>
      <w:r>
        <w:t xml:space="preserve">b.   </w:t>
      </w:r>
      <w:r>
        <w:rPr>
          <w:i/>
        </w:rPr>
        <w:t>The standard lists the Comment part as a relationship target of the Chartsheet part and the Dialogsheet part.</w:t>
      </w:r>
    </w:p>
    <w:p w:rsidR="00024C0A" w:rsidRDefault="00694C0F">
      <w:pPr>
        <w:pStyle w:val="Definition-Field2"/>
      </w:pPr>
      <w:r>
        <w:t>Office does not allow the Comment part as a valid relationship target of the Chartsh</w:t>
      </w:r>
      <w:r>
        <w:t>eet part or the Dialogsheet part.</w:t>
      </w:r>
    </w:p>
    <w:p w:rsidR="00024C0A" w:rsidRDefault="00694C0F">
      <w:pPr>
        <w:pStyle w:val="Definition-Field"/>
      </w:pPr>
      <w:r>
        <w:t xml:space="preserve">c.   </w:t>
      </w:r>
      <w:r>
        <w:rPr>
          <w:i/>
        </w:rPr>
        <w:t>The standard states that the Custom Property part is a relationship target of the Workbook part.</w:t>
      </w:r>
    </w:p>
    <w:p w:rsidR="00024C0A" w:rsidRDefault="00694C0F">
      <w:pPr>
        <w:pStyle w:val="Definition-Field2"/>
      </w:pPr>
      <w:r>
        <w:t>Office requires that the Custom Property part is a relationship target of the Worksheet part.</w:t>
      </w:r>
    </w:p>
    <w:p w:rsidR="00024C0A" w:rsidRDefault="00694C0F">
      <w:pPr>
        <w:pStyle w:val="Definition-Field"/>
      </w:pPr>
      <w:r>
        <w:t xml:space="preserve">d.   </w:t>
      </w:r>
      <w:r>
        <w:rPr>
          <w:i/>
        </w:rPr>
        <w:t>The standard states t</w:t>
      </w:r>
      <w:r>
        <w:rPr>
          <w:i/>
        </w:rPr>
        <w:t>hat the Single Cell Table Definitions part is a valid relationship target of the Dialogsheet part.</w:t>
      </w:r>
    </w:p>
    <w:p w:rsidR="00024C0A" w:rsidRDefault="00694C0F">
      <w:pPr>
        <w:pStyle w:val="Definition-Field2"/>
      </w:pPr>
      <w:r>
        <w:t>Office does not allow the Single Cell Table Definitions part as a relationship target of the Dialogsheet part.</w:t>
      </w:r>
    </w:p>
    <w:p w:rsidR="00024C0A" w:rsidRDefault="00694C0F">
      <w:pPr>
        <w:pStyle w:val="Definition-Field"/>
      </w:pPr>
      <w:r>
        <w:t xml:space="preserve">e.   </w:t>
      </w:r>
      <w:r>
        <w:rPr>
          <w:i/>
        </w:rPr>
        <w:t>The standard states that the Table Defini</w:t>
      </w:r>
      <w:r>
        <w:rPr>
          <w:i/>
        </w:rPr>
        <w:t>tion part is a valid relationship target of the Dialogsheet part.</w:t>
      </w:r>
    </w:p>
    <w:p w:rsidR="00024C0A" w:rsidRDefault="00694C0F">
      <w:pPr>
        <w:pStyle w:val="Definition-Field2"/>
      </w:pPr>
      <w:r>
        <w:t>Office does not allow the Table Definition part as a relationship target of the Dialogsheet part.</w:t>
      </w:r>
    </w:p>
    <w:p w:rsidR="00024C0A" w:rsidRDefault="00694C0F">
      <w:pPr>
        <w:pStyle w:val="Definition-Field"/>
      </w:pPr>
      <w:r>
        <w:t xml:space="preserve">f.   </w:t>
      </w:r>
      <w:r>
        <w:rPr>
          <w:i/>
        </w:rPr>
        <w:t>The standard specifies the Root Element of the Dialogsheet part as dialogSheet.</w:t>
      </w:r>
    </w:p>
    <w:p w:rsidR="00024C0A" w:rsidRDefault="00694C0F">
      <w:pPr>
        <w:pStyle w:val="Definition-Field2"/>
      </w:pPr>
      <w:r>
        <w:t xml:space="preserve">Office </w:t>
      </w:r>
      <w:r>
        <w:t>requires the Root Element to be dialogsheet.</w:t>
      </w:r>
    </w:p>
    <w:p w:rsidR="00024C0A" w:rsidRDefault="00694C0F">
      <w:pPr>
        <w:pStyle w:val="Definition-Field"/>
      </w:pPr>
      <w:r>
        <w:t xml:space="preserve">g.   </w:t>
      </w:r>
      <w:r>
        <w:rPr>
          <w:i/>
        </w:rPr>
        <w:t>The standard specifies the Root Element of the External Workbook References part as externalReference.</w:t>
      </w:r>
    </w:p>
    <w:p w:rsidR="00024C0A" w:rsidRDefault="00694C0F">
      <w:pPr>
        <w:pStyle w:val="Definition-Field2"/>
      </w:pPr>
      <w:r>
        <w:t>Office requires the Root Element to be externalLink.</w:t>
      </w:r>
    </w:p>
    <w:p w:rsidR="00024C0A" w:rsidRDefault="00694C0F">
      <w:pPr>
        <w:pStyle w:val="Definition-Field"/>
      </w:pPr>
      <w:r>
        <w:t xml:space="preserve">h.   </w:t>
      </w:r>
      <w:r>
        <w:rPr>
          <w:i/>
        </w:rPr>
        <w:t xml:space="preserve">The standard does not include documentation </w:t>
      </w:r>
      <w:r>
        <w:rPr>
          <w:i/>
        </w:rPr>
        <w:t>for the Worksheet Sort Map part.</w:t>
      </w:r>
    </w:p>
    <w:p w:rsidR="00024C0A" w:rsidRDefault="00694C0F">
      <w:pPr>
        <w:pStyle w:val="Definition-Field2"/>
      </w:pPr>
      <w:r>
        <w:t>Office defines a Worksheet Sort Map part (</w:t>
      </w:r>
      <w:hyperlink w:anchor="Section_a24b67311ed74c89ab5828431df113ee">
        <w:r>
          <w:rPr>
            <w:rStyle w:val="Hyperlink"/>
          </w:rPr>
          <w:t>§3.2.2, Microsoft Office Excel Sortmap</w:t>
        </w:r>
      </w:hyperlink>
      <w:r>
        <w:t>) to reconcile different sort operations on the worksheet in a shared workbook.</w:t>
      </w:r>
    </w:p>
    <w:p w:rsidR="00024C0A" w:rsidRDefault="00694C0F">
      <w:pPr>
        <w:pStyle w:val="Definition-Field"/>
      </w:pPr>
      <w:r>
        <w:t xml:space="preserve">i.   </w:t>
      </w:r>
      <w:r>
        <w:rPr>
          <w:i/>
        </w:rPr>
        <w:t>The standard does not list the Query Table part as a relationship target of the Table Definition part.</w:t>
      </w:r>
    </w:p>
    <w:p w:rsidR="00024C0A" w:rsidRDefault="00694C0F">
      <w:pPr>
        <w:pStyle w:val="Definition-Field2"/>
      </w:pPr>
      <w:r>
        <w:t>Office allows the Query Table part as a valid relationship target of the Table Definition part.</w:t>
      </w:r>
    </w:p>
    <w:p w:rsidR="00024C0A" w:rsidRDefault="00694C0F">
      <w:pPr>
        <w:pStyle w:val="Heading3"/>
      </w:pPr>
      <w:bookmarkStart w:id="29" w:name="section_ad7b4b63522f4b6191bc56ec1602b872"/>
      <w:bookmarkStart w:id="30" w:name="_Toc12260075"/>
      <w:r>
        <w:t>Part 1 Section 12.3.2, Chartsheet Part</w:t>
      </w:r>
      <w:bookmarkEnd w:id="29"/>
      <w:bookmarkEnd w:id="30"/>
      <w:r>
        <w:fldChar w:fldCharType="begin"/>
      </w:r>
      <w:r>
        <w:instrText xml:space="preserve"> XE "Chartshee</w:instrText>
      </w:r>
      <w:r>
        <w:instrText xml:space="preserve">t Part" </w:instrText>
      </w:r>
      <w:r>
        <w:fldChar w:fldCharType="end"/>
      </w:r>
    </w:p>
    <w:p w:rsidR="00024C0A" w:rsidRDefault="00694C0F">
      <w:pPr>
        <w:pStyle w:val="Definition-Field"/>
      </w:pPr>
      <w:r>
        <w:t xml:space="preserve">a.   </w:t>
      </w:r>
      <w:r>
        <w:rPr>
          <w:i/>
        </w:rPr>
        <w:t>The standard does not allow the Chartsheet part to have an explicit relationship with the VML Drawing part.</w:t>
      </w:r>
    </w:p>
    <w:p w:rsidR="00024C0A" w:rsidRDefault="00694C0F">
      <w:pPr>
        <w:pStyle w:val="Definition-Field2"/>
      </w:pPr>
      <w:r>
        <w:lastRenderedPageBreak/>
        <w:t>Office allows the Chartsheet part to have an explicit relationship with the VML Drawing part.</w:t>
      </w:r>
    </w:p>
    <w:p w:rsidR="00024C0A" w:rsidRDefault="00694C0F">
      <w:pPr>
        <w:pStyle w:val="Definition-Field"/>
      </w:pPr>
      <w:r>
        <w:t xml:space="preserve">b.   </w:t>
      </w:r>
      <w:r>
        <w:rPr>
          <w:i/>
        </w:rPr>
        <w:t>The standard does not allow the C</w:t>
      </w:r>
      <w:r>
        <w:rPr>
          <w:i/>
        </w:rPr>
        <w:t>hartsheet part to have an explicit relationship with the Images part.</w:t>
      </w:r>
    </w:p>
    <w:p w:rsidR="00024C0A" w:rsidRDefault="00694C0F">
      <w:pPr>
        <w:pStyle w:val="Definition-Field2"/>
      </w:pPr>
      <w:r>
        <w:t>Office allows the Chartsheet part to have an explicit relationship with the Images part.</w:t>
      </w:r>
    </w:p>
    <w:p w:rsidR="00024C0A" w:rsidRDefault="00694C0F">
      <w:pPr>
        <w:pStyle w:val="Heading3"/>
      </w:pPr>
      <w:bookmarkStart w:id="31" w:name="section_af4b5f43ab984970bd5ae569ff550042"/>
      <w:bookmarkStart w:id="32" w:name="_Toc12260076"/>
      <w:r>
        <w:t>Part 1 Section 12.3.6, Custom XML Mappings Part</w:t>
      </w:r>
      <w:bookmarkEnd w:id="31"/>
      <w:bookmarkEnd w:id="32"/>
      <w:r>
        <w:fldChar w:fldCharType="begin"/>
      </w:r>
      <w:r>
        <w:instrText xml:space="preserve"> XE "Custom XML Mappings Part" </w:instrText>
      </w:r>
      <w:r>
        <w:fldChar w:fldCharType="end"/>
      </w:r>
    </w:p>
    <w:p w:rsidR="00024C0A" w:rsidRDefault="00694C0F">
      <w:pPr>
        <w:pStyle w:val="Definition-Field"/>
      </w:pPr>
      <w:r>
        <w:t xml:space="preserve">a.   </w:t>
      </w:r>
      <w:r>
        <w:rPr>
          <w:i/>
        </w:rPr>
        <w:t>The standar</w:t>
      </w:r>
      <w:r>
        <w:rPr>
          <w:i/>
        </w:rPr>
        <w:t>d specifies the Root Element of the Custom XML Mapping part as mapInfo.</w:t>
      </w:r>
    </w:p>
    <w:p w:rsidR="00024C0A" w:rsidRDefault="00694C0F">
      <w:pPr>
        <w:pStyle w:val="Definition-Field2"/>
      </w:pPr>
      <w:r>
        <w:t>Office requires the Root Element to be MapInfo.</w:t>
      </w:r>
    </w:p>
    <w:p w:rsidR="00024C0A" w:rsidRDefault="00694C0F">
      <w:pPr>
        <w:pStyle w:val="Heading3"/>
      </w:pPr>
      <w:bookmarkStart w:id="33" w:name="section_df608f0d3ef3449a98cd7319467fa01e"/>
      <w:bookmarkStart w:id="34" w:name="_Toc12260077"/>
      <w:r>
        <w:t>Part 1 Section 12.3.7, Dialogsheet Part</w:t>
      </w:r>
      <w:bookmarkEnd w:id="33"/>
      <w:bookmarkEnd w:id="34"/>
      <w:r>
        <w:fldChar w:fldCharType="begin"/>
      </w:r>
      <w:r>
        <w:instrText xml:space="preserve"> XE "Dialogsheet Part" </w:instrText>
      </w:r>
      <w:r>
        <w:fldChar w:fldCharType="end"/>
      </w:r>
    </w:p>
    <w:p w:rsidR="00024C0A" w:rsidRDefault="00694C0F">
      <w:pPr>
        <w:pStyle w:val="Definition-Field"/>
      </w:pPr>
      <w:r>
        <w:t xml:space="preserve">a.   </w:t>
      </w:r>
      <w:r>
        <w:rPr>
          <w:i/>
        </w:rPr>
        <w:t xml:space="preserve">The standard states that a Dialogsheet part is permitted to have </w:t>
      </w:r>
      <w:r>
        <w:rPr>
          <w:i/>
        </w:rPr>
        <w:t>an explicit relationship with the Embedded Control Persistence part.</w:t>
      </w:r>
    </w:p>
    <w:p w:rsidR="00024C0A" w:rsidRDefault="00694C0F">
      <w:pPr>
        <w:pStyle w:val="Definition-Field2"/>
      </w:pPr>
      <w:r>
        <w:t>Office does not allow a Dialogsheet part to have an explicit relationship to the Embedded Control Persistence part.</w:t>
      </w:r>
    </w:p>
    <w:p w:rsidR="00024C0A" w:rsidRDefault="00694C0F">
      <w:pPr>
        <w:pStyle w:val="Definition-Field"/>
      </w:pPr>
      <w:r>
        <w:t xml:space="preserve">b.   </w:t>
      </w:r>
      <w:r>
        <w:rPr>
          <w:i/>
        </w:rPr>
        <w:t>The standard does not allow the Dialogsheet part to have an explic</w:t>
      </w:r>
      <w:r>
        <w:rPr>
          <w:i/>
        </w:rPr>
        <w:t>it relationship with the VML Drawing part.</w:t>
      </w:r>
    </w:p>
    <w:p w:rsidR="00024C0A" w:rsidRDefault="00694C0F">
      <w:pPr>
        <w:pStyle w:val="Definition-Field2"/>
      </w:pPr>
      <w:r>
        <w:t>Office allows the Dialogsheet part to have an explicit relationship with the VML Drawing part.</w:t>
      </w:r>
    </w:p>
    <w:p w:rsidR="00024C0A" w:rsidRDefault="00694C0F">
      <w:pPr>
        <w:pStyle w:val="Heading3"/>
      </w:pPr>
      <w:bookmarkStart w:id="35" w:name="section_739cf85bb45b4850ba8f6f7b737607be"/>
      <w:bookmarkStart w:id="36" w:name="_Toc12260078"/>
      <w:r>
        <w:t>Part 1 Section 12.3.19, Single Cell Table Definitions Part</w:t>
      </w:r>
      <w:bookmarkEnd w:id="35"/>
      <w:bookmarkEnd w:id="36"/>
      <w:r>
        <w:fldChar w:fldCharType="begin"/>
      </w:r>
      <w:r>
        <w:instrText xml:space="preserve"> XE "Single Cell Table Definitions Part" </w:instrText>
      </w:r>
      <w:r>
        <w:fldChar w:fldCharType="end"/>
      </w:r>
    </w:p>
    <w:p w:rsidR="00024C0A" w:rsidRDefault="00694C0F">
      <w:pPr>
        <w:pStyle w:val="Definition-Field"/>
      </w:pPr>
      <w:r>
        <w:t xml:space="preserve">a.   </w:t>
      </w:r>
      <w:r>
        <w:rPr>
          <w:i/>
        </w:rPr>
        <w:t>The standar</w:t>
      </w:r>
      <w:r>
        <w:rPr>
          <w:i/>
        </w:rPr>
        <w:t>d specifies the Root Element of the Single Cell Table Definitions part as singleCells.</w:t>
      </w:r>
    </w:p>
    <w:p w:rsidR="00024C0A" w:rsidRDefault="00694C0F">
      <w:pPr>
        <w:pStyle w:val="Definition-Field2"/>
      </w:pPr>
      <w:r>
        <w:t>Office requires the Root Element to be singleXmlCells.</w:t>
      </w:r>
    </w:p>
    <w:p w:rsidR="00024C0A" w:rsidRDefault="00694C0F">
      <w:pPr>
        <w:pStyle w:val="Heading3"/>
      </w:pPr>
      <w:bookmarkStart w:id="37" w:name="section_88c100b9aa6a4adea91c045eac37812e"/>
      <w:bookmarkStart w:id="38" w:name="_Toc12260079"/>
      <w:r>
        <w:t>Part 1 Section 12.3.20, Styles Part</w:t>
      </w:r>
      <w:bookmarkEnd w:id="37"/>
      <w:bookmarkEnd w:id="38"/>
      <w:r>
        <w:fldChar w:fldCharType="begin"/>
      </w:r>
      <w:r>
        <w:instrText xml:space="preserve"> XE "Styles Part" </w:instrText>
      </w:r>
      <w:r>
        <w:fldChar w:fldCharType="end"/>
      </w:r>
    </w:p>
    <w:p w:rsidR="00024C0A" w:rsidRDefault="00694C0F">
      <w:pPr>
        <w:pStyle w:val="Definition-Field"/>
      </w:pPr>
      <w:r>
        <w:t xml:space="preserve">a.   </w:t>
      </w:r>
      <w:r>
        <w:rPr>
          <w:i/>
        </w:rPr>
        <w:t>The standard specifies the Root Namespace for the Sty</w:t>
      </w:r>
      <w:r>
        <w:rPr>
          <w:i/>
        </w:rPr>
        <w:t>les Part as http://schemas.openxmlformats.org/spreadsheetml/2006/mains.</w:t>
      </w:r>
    </w:p>
    <w:p w:rsidR="00024C0A" w:rsidRDefault="00694C0F">
      <w:pPr>
        <w:pStyle w:val="Definition-Field2"/>
      </w:pPr>
      <w:r>
        <w:t>Office requires the Root Namespace to be http://schemas.openxmlformats.org/spreadhseetml/2006/main.</w:t>
      </w:r>
    </w:p>
    <w:p w:rsidR="00024C0A" w:rsidRDefault="00694C0F">
      <w:pPr>
        <w:pStyle w:val="Heading3"/>
      </w:pPr>
      <w:bookmarkStart w:id="39" w:name="section_a7964130cdca418e927282ca6b66f915"/>
      <w:bookmarkStart w:id="40" w:name="_Toc12260080"/>
      <w:r>
        <w:t>Part 1 Section 12.3.24, Worksheet Part</w:t>
      </w:r>
      <w:bookmarkEnd w:id="39"/>
      <w:bookmarkEnd w:id="40"/>
      <w:r>
        <w:fldChar w:fldCharType="begin"/>
      </w:r>
      <w:r>
        <w:instrText xml:space="preserve"> XE "Worksheet Part" </w:instrText>
      </w:r>
      <w:r>
        <w:fldChar w:fldCharType="end"/>
      </w:r>
    </w:p>
    <w:p w:rsidR="00024C0A" w:rsidRDefault="00694C0F">
      <w:pPr>
        <w:pStyle w:val="Definition-Field"/>
      </w:pPr>
      <w:r>
        <w:t xml:space="preserve">a.   </w:t>
      </w:r>
      <w:r>
        <w:rPr>
          <w:i/>
        </w:rPr>
        <w:t>The standard does</w:t>
      </w:r>
      <w:r>
        <w:rPr>
          <w:i/>
        </w:rPr>
        <w:t xml:space="preserve"> not allow the Worksheet part to have an implicit relationship with the Worksheet Sort Map part.</w:t>
      </w:r>
    </w:p>
    <w:p w:rsidR="00024C0A" w:rsidRDefault="00694C0F">
      <w:pPr>
        <w:pStyle w:val="Definition-Field2"/>
      </w:pPr>
      <w:r>
        <w:t>Office allows the Worksheet part to have an implicit relationship with the Worksheet Sort Map part.</w:t>
      </w:r>
    </w:p>
    <w:p w:rsidR="00024C0A" w:rsidRDefault="00694C0F">
      <w:pPr>
        <w:pStyle w:val="Definition-Field"/>
      </w:pPr>
      <w:r>
        <w:t xml:space="preserve">b.   </w:t>
      </w:r>
      <w:r>
        <w:rPr>
          <w:i/>
        </w:rPr>
        <w:t>The standard does not allow the Worksheet part to have</w:t>
      </w:r>
      <w:r>
        <w:rPr>
          <w:i/>
        </w:rPr>
        <w:t xml:space="preserve"> an implicit relationship with the Query Table part.</w:t>
      </w:r>
    </w:p>
    <w:p w:rsidR="00024C0A" w:rsidRDefault="00694C0F">
      <w:pPr>
        <w:pStyle w:val="Definition-Field2"/>
      </w:pPr>
      <w:r>
        <w:t>Office allows the Worksheet part to have an implicit relationship with the Query Table part.</w:t>
      </w:r>
    </w:p>
    <w:p w:rsidR="00024C0A" w:rsidRDefault="00694C0F">
      <w:pPr>
        <w:pStyle w:val="Definition-Field"/>
      </w:pPr>
      <w:r>
        <w:t xml:space="preserve">c.   </w:t>
      </w:r>
      <w:r>
        <w:rPr>
          <w:i/>
        </w:rPr>
        <w:t xml:space="preserve">The standard does not allow the Worksheet part to have an explicit relationship with the Custom Property </w:t>
      </w:r>
      <w:r>
        <w:rPr>
          <w:i/>
        </w:rPr>
        <w:t>part.</w:t>
      </w:r>
    </w:p>
    <w:p w:rsidR="00024C0A" w:rsidRDefault="00694C0F">
      <w:pPr>
        <w:pStyle w:val="Definition-Field2"/>
      </w:pPr>
      <w:r>
        <w:t>Office allows the Worksheet part to have an explicit relationship with the Custom Property part.</w:t>
      </w:r>
    </w:p>
    <w:p w:rsidR="00024C0A" w:rsidRDefault="00694C0F">
      <w:pPr>
        <w:pStyle w:val="Heading3"/>
      </w:pPr>
      <w:bookmarkStart w:id="41" w:name="section_69a5e5d3789449c299d7db87b61f4302"/>
      <w:bookmarkStart w:id="42" w:name="_Toc12260081"/>
      <w:r>
        <w:lastRenderedPageBreak/>
        <w:t>Part 1 Section 12.4, External Workbooks</w:t>
      </w:r>
      <w:bookmarkEnd w:id="41"/>
      <w:bookmarkEnd w:id="42"/>
      <w:r>
        <w:fldChar w:fldCharType="begin"/>
      </w:r>
      <w:r>
        <w:instrText xml:space="preserve"> XE "External Workbooks" </w:instrText>
      </w:r>
      <w:r>
        <w:fldChar w:fldCharType="end"/>
      </w:r>
    </w:p>
    <w:p w:rsidR="00024C0A" w:rsidRDefault="00694C0F">
      <w:pPr>
        <w:pStyle w:val="Definition-Field"/>
      </w:pPr>
      <w:r>
        <w:t xml:space="preserve">a.   </w:t>
      </w:r>
      <w:r>
        <w:rPr>
          <w:i/>
        </w:rPr>
        <w:t>The standard does not specify the meaning of the http://schemas.microsoft.com/off</w:t>
      </w:r>
      <w:r>
        <w:rPr>
          <w:i/>
        </w:rPr>
        <w:t>ice/2006/relationships/xlExternalLinkPath/xlStartup relationship type.</w:t>
      </w:r>
    </w:p>
    <w:p w:rsidR="00024C0A" w:rsidRDefault="00694C0F">
      <w:pPr>
        <w:pStyle w:val="Definition-Field2"/>
      </w:pPr>
      <w:r>
        <w:t>Excel uses the http://schemas.microsoft.com/office/2006/relationships/xlExternalLinkPath/xlStartup relationship type to specify a base path of an application-defined startup directory.</w:t>
      </w:r>
    </w:p>
    <w:p w:rsidR="00024C0A" w:rsidRDefault="00694C0F">
      <w:pPr>
        <w:pStyle w:val="Definition-Field"/>
      </w:pPr>
      <w:r>
        <w:t xml:space="preserve">b.   </w:t>
      </w:r>
      <w:r>
        <w:rPr>
          <w:i/>
        </w:rPr>
        <w:t>The standard does not specify the meaning of the http://schemas.microsoft.com/office/2006/relationships/xlExternalLinkPath/xlAlternateStartup relationship type.</w:t>
      </w:r>
    </w:p>
    <w:p w:rsidR="00024C0A" w:rsidRDefault="00694C0F">
      <w:pPr>
        <w:pStyle w:val="Definition-Field2"/>
      </w:pPr>
      <w:r>
        <w:t xml:space="preserve">Excel uses the </w:t>
      </w:r>
      <w:r>
        <w:t>http://schemas.microsoft.com/office/2006/relationships/xlExternalLinkPath/xlAlternateStartup relationship type to specify a base path of an application-defined alternate startup directory.</w:t>
      </w:r>
    </w:p>
    <w:p w:rsidR="00024C0A" w:rsidRDefault="00694C0F">
      <w:pPr>
        <w:pStyle w:val="Definition-Field"/>
      </w:pPr>
      <w:r>
        <w:t xml:space="preserve">c.   </w:t>
      </w:r>
      <w:r>
        <w:rPr>
          <w:i/>
        </w:rPr>
        <w:t>The standard does not specify the meaning of the http://schema</w:t>
      </w:r>
      <w:r>
        <w:rPr>
          <w:i/>
        </w:rPr>
        <w:t>s.microsoft.com/office/2006/relationships/xlExternalLinkPath/xlPathMissing relationship type.</w:t>
      </w:r>
    </w:p>
    <w:p w:rsidR="00024C0A" w:rsidRDefault="00694C0F">
      <w:pPr>
        <w:pStyle w:val="Definition-Field2"/>
      </w:pPr>
      <w:r>
        <w:t>Excel uses the http://schemas.microsoft.com/office/2006/relationships/xlExternalLinkPath/xlPathMissing relationship type to specify that a base path should not be</w:t>
      </w:r>
      <w:r>
        <w:t xml:space="preserve"> inferred.</w:t>
      </w:r>
    </w:p>
    <w:p w:rsidR="00024C0A" w:rsidRDefault="00694C0F">
      <w:pPr>
        <w:pStyle w:val="Definition-Field"/>
      </w:pPr>
      <w:r>
        <w:t xml:space="preserve">d.   </w:t>
      </w:r>
      <w:r>
        <w:rPr>
          <w:i/>
        </w:rPr>
        <w:t>The standard does not specify the meaning of the http://schemas.microsoft.com/office/2006/relationships/xlExternalLinkPath/xlLibrary relationship type.</w:t>
      </w:r>
    </w:p>
    <w:p w:rsidR="00024C0A" w:rsidRDefault="00694C0F">
      <w:pPr>
        <w:pStyle w:val="Definition-Field2"/>
      </w:pPr>
      <w:r>
        <w:t>Excel uses the http://schemas.microsoft.com/office/2006/relationships/xlExternalLinkPath</w:t>
      </w:r>
      <w:r>
        <w:t>/xlLibrary relationship type to specify a base path of an application-defined library directory.</w:t>
      </w:r>
    </w:p>
    <w:p w:rsidR="00024C0A" w:rsidRDefault="00694C0F">
      <w:pPr>
        <w:pStyle w:val="Definition-Field"/>
      </w:pPr>
      <w:r>
        <w:t xml:space="preserve">e.   </w:t>
      </w:r>
      <w:r>
        <w:rPr>
          <w:i/>
        </w:rPr>
        <w:t>The standard states that this part can only contain links to external workbooks.</w:t>
      </w:r>
    </w:p>
    <w:p w:rsidR="00024C0A" w:rsidRDefault="00694C0F">
      <w:pPr>
        <w:pStyle w:val="Definition-Field2"/>
      </w:pPr>
      <w:r>
        <w:t>Excel also allows this part to contain OLE links and DDE links.</w:t>
      </w:r>
    </w:p>
    <w:p w:rsidR="00024C0A" w:rsidRDefault="00694C0F">
      <w:pPr>
        <w:pStyle w:val="Heading3"/>
      </w:pPr>
      <w:bookmarkStart w:id="43" w:name="section_861755efd1fe4366859cb88bab7810f4"/>
      <w:bookmarkStart w:id="44" w:name="_Toc12260082"/>
      <w:r>
        <w:t>Part 1 Section 13.3, Part Summary</w:t>
      </w:r>
      <w:bookmarkEnd w:id="43"/>
      <w:bookmarkEnd w:id="44"/>
      <w:r>
        <w:fldChar w:fldCharType="begin"/>
      </w:r>
      <w:r>
        <w:instrText xml:space="preserve"> XE "Part Summary" </w:instrText>
      </w:r>
      <w:r>
        <w:fldChar w:fldCharType="end"/>
      </w:r>
    </w:p>
    <w:p w:rsidR="00024C0A" w:rsidRDefault="00694C0F">
      <w:pPr>
        <w:pStyle w:val="Definition-Field"/>
      </w:pPr>
      <w:r>
        <w:t xml:space="preserve">a.   </w:t>
      </w:r>
      <w:r>
        <w:rPr>
          <w:i/>
        </w:rPr>
        <w:t>The standard does not include documentation for the Legacy Diagram Text Info binary part.</w:t>
      </w:r>
    </w:p>
    <w:p w:rsidR="00024C0A" w:rsidRDefault="00694C0F">
      <w:pPr>
        <w:pStyle w:val="Definition-Field2"/>
      </w:pPr>
      <w:r>
        <w:t>PowerPoint defines a Legacy Diagram Text Info binary part (</w:t>
      </w:r>
      <w:hyperlink w:anchor="Section_40b7fcb52a8347efb0a42ac4d13aa6e1">
        <w:r>
          <w:rPr>
            <w:rStyle w:val="Hyperlink"/>
          </w:rPr>
          <w:t>§3.3.1.1, Legacy Diagram Text part</w:t>
        </w:r>
      </w:hyperlink>
      <w:r>
        <w:t>) to store legacy diagram text information.</w:t>
      </w:r>
    </w:p>
    <w:p w:rsidR="00024C0A" w:rsidRDefault="00694C0F">
      <w:pPr>
        <w:pStyle w:val="Definition-Field"/>
      </w:pPr>
      <w:r>
        <w:t xml:space="preserve">b.   </w:t>
      </w:r>
      <w:r>
        <w:rPr>
          <w:i/>
        </w:rPr>
        <w:t>The standard does not include documentation for the Legacy Diagram Text binary part.</w:t>
      </w:r>
    </w:p>
    <w:p w:rsidR="00024C0A" w:rsidRDefault="00694C0F">
      <w:pPr>
        <w:pStyle w:val="Definition-Field2"/>
      </w:pPr>
      <w:r>
        <w:t>PowerPoint defines a Legacy Diagram Text binary part (§3.3.1.1, Legacy D</w:t>
      </w:r>
      <w:r>
        <w:t>iagram Text part) to store legacy diagram text.</w:t>
      </w:r>
    </w:p>
    <w:p w:rsidR="00024C0A" w:rsidRDefault="00694C0F">
      <w:pPr>
        <w:pStyle w:val="Definition-Field"/>
      </w:pPr>
      <w:r>
        <w:t xml:space="preserve">c.   </w:t>
      </w:r>
      <w:r>
        <w:rPr>
          <w:i/>
        </w:rPr>
        <w:t>The standard does not include documentation for the SmartTags binary part.</w:t>
      </w:r>
    </w:p>
    <w:p w:rsidR="00024C0A" w:rsidRDefault="00694C0F">
      <w:pPr>
        <w:pStyle w:val="Definition-Field2"/>
      </w:pPr>
      <w:r>
        <w:t>PowerPoint defines a SmartTags binary part (</w:t>
      </w:r>
      <w:hyperlink w:anchor="Section_adb4ca1d99144d6aaf38755990ac9427">
        <w:r>
          <w:rPr>
            <w:rStyle w:val="Hyperlink"/>
          </w:rPr>
          <w:t>§3.3.1.3, SmartTags p</w:t>
        </w:r>
        <w:r>
          <w:rPr>
            <w:rStyle w:val="Hyperlink"/>
          </w:rPr>
          <w:t>art</w:t>
        </w:r>
      </w:hyperlink>
      <w:r>
        <w:t>) to store smart tag data.</w:t>
      </w:r>
    </w:p>
    <w:p w:rsidR="00024C0A" w:rsidRDefault="00694C0F">
      <w:pPr>
        <w:pStyle w:val="Heading3"/>
      </w:pPr>
      <w:bookmarkStart w:id="45" w:name="section_6edd755f569e4d1dad791a16230b4fd8"/>
      <w:bookmarkStart w:id="46" w:name="_Toc12260083"/>
      <w:r>
        <w:t>Part 1 Section 13.3.3, Handout Master Part</w:t>
      </w:r>
      <w:bookmarkEnd w:id="45"/>
      <w:bookmarkEnd w:id="46"/>
      <w:r>
        <w:fldChar w:fldCharType="begin"/>
      </w:r>
      <w:r>
        <w:instrText xml:space="preserve"> XE "Handout Master Part" </w:instrText>
      </w:r>
      <w:r>
        <w:fldChar w:fldCharType="end"/>
      </w:r>
    </w:p>
    <w:p w:rsidR="00024C0A" w:rsidRDefault="00694C0F">
      <w:pPr>
        <w:pStyle w:val="Definition-Field"/>
      </w:pPr>
      <w:r>
        <w:t xml:space="preserve">a.   </w:t>
      </w:r>
      <w:r>
        <w:rPr>
          <w:i/>
        </w:rPr>
        <w:t>The standard states that a Handout Master part is permitted to have an explicit relationship with the Embedded Control Persistence part.</w:t>
      </w:r>
    </w:p>
    <w:p w:rsidR="00024C0A" w:rsidRDefault="00694C0F">
      <w:pPr>
        <w:pStyle w:val="Definition-Field2"/>
      </w:pPr>
      <w:r>
        <w:lastRenderedPageBreak/>
        <w:t>Office does n</w:t>
      </w:r>
      <w:r>
        <w:t>ot allow a Handout Master part to have an explicit relationship to the Embedded Control Persistence part.</w:t>
      </w:r>
    </w:p>
    <w:p w:rsidR="00024C0A" w:rsidRDefault="00694C0F">
      <w:pPr>
        <w:pStyle w:val="Definition-Field"/>
      </w:pPr>
      <w:r>
        <w:t xml:space="preserve">b.   </w:t>
      </w:r>
      <w:r>
        <w:rPr>
          <w:i/>
        </w:rPr>
        <w:t>The standard does not allow the Handout Master part to have an explicit relationship with the User Defined Tags part.</w:t>
      </w:r>
    </w:p>
    <w:p w:rsidR="00024C0A" w:rsidRDefault="00694C0F">
      <w:pPr>
        <w:pStyle w:val="Definition-Field2"/>
      </w:pPr>
      <w:r>
        <w:t>Office allows the Handout M</w:t>
      </w:r>
      <w:r>
        <w:t>aster part to have an explicit relationship with the User Defined Tags part.</w:t>
      </w:r>
    </w:p>
    <w:p w:rsidR="00024C0A" w:rsidRDefault="00694C0F">
      <w:pPr>
        <w:pStyle w:val="Definition-Field"/>
      </w:pPr>
      <w:r>
        <w:t xml:space="preserve">c.   </w:t>
      </w:r>
      <w:r>
        <w:rPr>
          <w:i/>
        </w:rPr>
        <w:t>The standard states that a Handout Master part is permitted to have an implicit relationship with the Custom XML Data Storage part.</w:t>
      </w:r>
    </w:p>
    <w:p w:rsidR="00024C0A" w:rsidRDefault="00694C0F">
      <w:pPr>
        <w:pStyle w:val="Definition-Field2"/>
      </w:pPr>
      <w:r>
        <w:t>Office only allows for an explicit relatio</w:t>
      </w:r>
      <w:r>
        <w:t>nship between these two parts.</w:t>
      </w:r>
    </w:p>
    <w:p w:rsidR="00024C0A" w:rsidRDefault="00694C0F">
      <w:pPr>
        <w:pStyle w:val="Definition-Field"/>
      </w:pPr>
      <w:r>
        <w:t xml:space="preserve">d.   </w:t>
      </w:r>
      <w:r>
        <w:rPr>
          <w:i/>
        </w:rPr>
        <w:t>The standard states that a Handout Master part is permitted to have an implicit relationship with the Thumbnail part.</w:t>
      </w:r>
    </w:p>
    <w:p w:rsidR="00024C0A" w:rsidRDefault="00694C0F">
      <w:pPr>
        <w:pStyle w:val="Definition-Field2"/>
      </w:pPr>
      <w:r>
        <w:t>Office does not allow a Handout Master part to have an implicit relationship to the Thumbnail part.</w:t>
      </w:r>
    </w:p>
    <w:p w:rsidR="00024C0A" w:rsidRDefault="00694C0F">
      <w:pPr>
        <w:pStyle w:val="Definition-Field"/>
      </w:pPr>
      <w:r>
        <w:t>e.</w:t>
      </w:r>
      <w:r>
        <w:t xml:space="preserve">   </w:t>
      </w:r>
      <w:r>
        <w:rPr>
          <w:i/>
        </w:rPr>
        <w:t>The standard does not allow the Handout Master part to have an explicit relationship with the Slide part.</w:t>
      </w:r>
    </w:p>
    <w:p w:rsidR="00024C0A" w:rsidRDefault="00694C0F">
      <w:pPr>
        <w:pStyle w:val="Definition-Field2"/>
      </w:pPr>
      <w:r>
        <w:t>Office allows the Handout Master part to have an explicit relationship with the Slide part.</w:t>
      </w:r>
    </w:p>
    <w:p w:rsidR="00024C0A" w:rsidRDefault="00694C0F">
      <w:pPr>
        <w:pStyle w:val="Definition-Field"/>
      </w:pPr>
      <w:r>
        <w:t xml:space="preserve">f.   </w:t>
      </w:r>
      <w:r>
        <w:rPr>
          <w:i/>
        </w:rPr>
        <w:t>The standard permits the Handout Master part to ha</w:t>
      </w:r>
      <w:r>
        <w:rPr>
          <w:i/>
        </w:rPr>
        <w:t>ve an explicit relationship with the VML Drawing part.</w:t>
      </w:r>
    </w:p>
    <w:p w:rsidR="00024C0A" w:rsidRDefault="00694C0F">
      <w:pPr>
        <w:pStyle w:val="Definition-Field2"/>
      </w:pPr>
      <w:r>
        <w:t>Office only permits the Handout Master part to have an implicit relationship with the VML Drawing part.</w:t>
      </w:r>
    </w:p>
    <w:p w:rsidR="00024C0A" w:rsidRDefault="00694C0F">
      <w:pPr>
        <w:pStyle w:val="Definition-Field"/>
      </w:pPr>
      <w:r>
        <w:t xml:space="preserve">g.   </w:t>
      </w:r>
      <w:r>
        <w:rPr>
          <w:i/>
        </w:rPr>
        <w:t>The standard permits the Handout Master part to have an implicit relationship with the Addit</w:t>
      </w:r>
      <w:r>
        <w:rPr>
          <w:i/>
        </w:rPr>
        <w:t>ional Characteristics part.</w:t>
      </w:r>
    </w:p>
    <w:p w:rsidR="00024C0A" w:rsidRDefault="00694C0F">
      <w:pPr>
        <w:pStyle w:val="Definition-Field2"/>
      </w:pPr>
      <w:r>
        <w:t>Office only permits the Handout Master part to have an explicit relationship with the Additional Characteristics part.</w:t>
      </w:r>
    </w:p>
    <w:p w:rsidR="00024C0A" w:rsidRDefault="00694C0F">
      <w:pPr>
        <w:pStyle w:val="Definition-Field"/>
      </w:pPr>
      <w:r>
        <w:t xml:space="preserve">h.   </w:t>
      </w:r>
      <w:r>
        <w:rPr>
          <w:i/>
        </w:rPr>
        <w:t>The standard states that the Handout Master part is permitted to have an implicit relationship to a Bibl</w:t>
      </w:r>
      <w:r>
        <w:rPr>
          <w:i/>
        </w:rPr>
        <w:t>iography part.</w:t>
      </w:r>
    </w:p>
    <w:p w:rsidR="00024C0A" w:rsidRDefault="00694C0F">
      <w:pPr>
        <w:pStyle w:val="Definition-Field2"/>
      </w:pPr>
      <w:r>
        <w:t>Office only allows the Handout Master part to have an explicit relationship with a Bibliography part.</w:t>
      </w:r>
    </w:p>
    <w:p w:rsidR="00024C0A" w:rsidRDefault="00694C0F">
      <w:pPr>
        <w:pStyle w:val="Heading3"/>
      </w:pPr>
      <w:bookmarkStart w:id="47" w:name="section_7722a188d62f4451921616b75f29d22f"/>
      <w:bookmarkStart w:id="48" w:name="_Toc12260084"/>
      <w:r>
        <w:t>Part 1 Section 13.3.4, Notes Master Part</w:t>
      </w:r>
      <w:bookmarkEnd w:id="47"/>
      <w:bookmarkEnd w:id="48"/>
      <w:r>
        <w:fldChar w:fldCharType="begin"/>
      </w:r>
      <w:r>
        <w:instrText xml:space="preserve"> XE "Notes Master Part" </w:instrText>
      </w:r>
      <w:r>
        <w:fldChar w:fldCharType="end"/>
      </w:r>
    </w:p>
    <w:p w:rsidR="00024C0A" w:rsidRDefault="00694C0F">
      <w:pPr>
        <w:pStyle w:val="Definition-Field"/>
      </w:pPr>
      <w:r>
        <w:t xml:space="preserve">a.   </w:t>
      </w:r>
      <w:r>
        <w:rPr>
          <w:i/>
        </w:rPr>
        <w:t>The standard states that a Notes Master part is permitted to have a</w:t>
      </w:r>
      <w:r>
        <w:rPr>
          <w:i/>
        </w:rPr>
        <w:t>n explicit relationship with the Embedded Control Persistence part.</w:t>
      </w:r>
    </w:p>
    <w:p w:rsidR="00024C0A" w:rsidRDefault="00694C0F">
      <w:pPr>
        <w:pStyle w:val="Definition-Field2"/>
      </w:pPr>
      <w:r>
        <w:t>Office does not allow a Notes Master part to have an explicit relationship to the Embedded Control Persistence part.</w:t>
      </w:r>
    </w:p>
    <w:p w:rsidR="00024C0A" w:rsidRDefault="00694C0F">
      <w:pPr>
        <w:pStyle w:val="Definition-Field"/>
      </w:pPr>
      <w:r>
        <w:t xml:space="preserve">b.   </w:t>
      </w:r>
      <w:r>
        <w:rPr>
          <w:i/>
        </w:rPr>
        <w:t xml:space="preserve">The standard states that a Notes Master part is permitted to have </w:t>
      </w:r>
      <w:r>
        <w:rPr>
          <w:i/>
        </w:rPr>
        <w:t>an implicit relationship with the Thumbnail part.</w:t>
      </w:r>
    </w:p>
    <w:p w:rsidR="00024C0A" w:rsidRDefault="00694C0F">
      <w:pPr>
        <w:pStyle w:val="Definition-Field2"/>
      </w:pPr>
      <w:r>
        <w:t>Office does not allow a Notes Master part to have an implicit relationship to the Thumbnail part.</w:t>
      </w:r>
    </w:p>
    <w:p w:rsidR="00024C0A" w:rsidRDefault="00694C0F">
      <w:pPr>
        <w:pStyle w:val="Definition-Field"/>
      </w:pPr>
      <w:r>
        <w:t xml:space="preserve">c.   </w:t>
      </w:r>
      <w:r>
        <w:rPr>
          <w:i/>
        </w:rPr>
        <w:t xml:space="preserve">The standard does not allow the Notes Master part to have an explicit relationship with the User </w:t>
      </w:r>
      <w:r>
        <w:rPr>
          <w:i/>
        </w:rPr>
        <w:t>Defined Tags part.</w:t>
      </w:r>
    </w:p>
    <w:p w:rsidR="00024C0A" w:rsidRDefault="00694C0F">
      <w:pPr>
        <w:pStyle w:val="Definition-Field2"/>
      </w:pPr>
      <w:r>
        <w:t>Office allows the Notes Master part to have an explicit relationship with the User Defined Tags part.</w:t>
      </w:r>
    </w:p>
    <w:p w:rsidR="00024C0A" w:rsidRDefault="00694C0F">
      <w:pPr>
        <w:pStyle w:val="Definition-Field"/>
      </w:pPr>
      <w:r>
        <w:lastRenderedPageBreak/>
        <w:t xml:space="preserve">d.   </w:t>
      </w:r>
      <w:r>
        <w:rPr>
          <w:i/>
        </w:rPr>
        <w:t>The standard does not allow the Notes Master part to have an explicit relationship with the Slide part.</w:t>
      </w:r>
    </w:p>
    <w:p w:rsidR="00024C0A" w:rsidRDefault="00694C0F">
      <w:pPr>
        <w:pStyle w:val="Definition-Field2"/>
      </w:pPr>
      <w:r>
        <w:t>Office allows the Notes Ma</w:t>
      </w:r>
      <w:r>
        <w:t>ster part to have an explicit relationship with the Slide part.</w:t>
      </w:r>
    </w:p>
    <w:p w:rsidR="00024C0A" w:rsidRDefault="00694C0F">
      <w:pPr>
        <w:pStyle w:val="Definition-Field"/>
      </w:pPr>
      <w:r>
        <w:t xml:space="preserve">e.   </w:t>
      </w:r>
      <w:r>
        <w:rPr>
          <w:i/>
        </w:rPr>
        <w:t>The standard permits the Notes Master part to have an explicit relationship with the VML Drawing part.</w:t>
      </w:r>
    </w:p>
    <w:p w:rsidR="00024C0A" w:rsidRDefault="00694C0F">
      <w:pPr>
        <w:pStyle w:val="Definition-Field2"/>
      </w:pPr>
      <w:r>
        <w:t xml:space="preserve">Office only permits the Notes Master part to have an implicit relationship with the </w:t>
      </w:r>
      <w:r>
        <w:t>VML Drawing part.</w:t>
      </w:r>
    </w:p>
    <w:p w:rsidR="00024C0A" w:rsidRDefault="00694C0F">
      <w:pPr>
        <w:pStyle w:val="Definition-Field"/>
      </w:pPr>
      <w:r>
        <w:t xml:space="preserve">f.   </w:t>
      </w:r>
      <w:r>
        <w:rPr>
          <w:i/>
        </w:rPr>
        <w:t>The standard permits the Notes Master part to have an implicit relationship with the Additional Characteristics part.</w:t>
      </w:r>
    </w:p>
    <w:p w:rsidR="00024C0A" w:rsidRDefault="00694C0F">
      <w:pPr>
        <w:pStyle w:val="Definition-Field2"/>
      </w:pPr>
      <w:r>
        <w:t>Office only permits the Notes Master part to have an explicit relationship with the Additional Characteristics part</w:t>
      </w:r>
      <w:r>
        <w:t>.</w:t>
      </w:r>
    </w:p>
    <w:p w:rsidR="00024C0A" w:rsidRDefault="00694C0F">
      <w:pPr>
        <w:pStyle w:val="Definition-Field"/>
      </w:pPr>
      <w:r>
        <w:t xml:space="preserve">g.   </w:t>
      </w:r>
      <w:r>
        <w:rPr>
          <w:i/>
        </w:rPr>
        <w:t>The standard states that the Notes Master part is permitted to have an implicit relationship to a Bibliography part.</w:t>
      </w:r>
    </w:p>
    <w:p w:rsidR="00024C0A" w:rsidRDefault="00694C0F">
      <w:pPr>
        <w:pStyle w:val="Definition-Field2"/>
      </w:pPr>
      <w:r>
        <w:t>Office only allows the Notes Master part to have an explicit relationship with a Bibliography part.</w:t>
      </w:r>
    </w:p>
    <w:p w:rsidR="00024C0A" w:rsidRDefault="00694C0F">
      <w:pPr>
        <w:pStyle w:val="Heading3"/>
      </w:pPr>
      <w:bookmarkStart w:id="49" w:name="section_4241f073467b4245a44f947b96e88325"/>
      <w:bookmarkStart w:id="50" w:name="_Toc12260085"/>
      <w:r>
        <w:t>Part 1 Section 13.3.5, Notes Sli</w:t>
      </w:r>
      <w:r>
        <w:t>de Part</w:t>
      </w:r>
      <w:bookmarkEnd w:id="49"/>
      <w:bookmarkEnd w:id="50"/>
      <w:r>
        <w:fldChar w:fldCharType="begin"/>
      </w:r>
      <w:r>
        <w:instrText xml:space="preserve"> XE "Notes Slide Part" </w:instrText>
      </w:r>
      <w:r>
        <w:fldChar w:fldCharType="end"/>
      </w:r>
    </w:p>
    <w:p w:rsidR="00024C0A" w:rsidRDefault="00694C0F">
      <w:pPr>
        <w:pStyle w:val="Definition-Field"/>
      </w:pPr>
      <w:r>
        <w:t xml:space="preserve">a.   </w:t>
      </w:r>
      <w:r>
        <w:rPr>
          <w:i/>
        </w:rPr>
        <w:t>The standard states that a Notes Slide part is permitted to have an explicit relationship with the Embedded Control Persistence part.</w:t>
      </w:r>
    </w:p>
    <w:p w:rsidR="00024C0A" w:rsidRDefault="00694C0F">
      <w:pPr>
        <w:pStyle w:val="Definition-Field2"/>
      </w:pPr>
      <w:r>
        <w:t>Office does not allow a Notes Slide part to have an explicit relationship to the Emb</w:t>
      </w:r>
      <w:r>
        <w:t>edded Control Persistence part.</w:t>
      </w:r>
    </w:p>
    <w:p w:rsidR="00024C0A" w:rsidRDefault="00694C0F">
      <w:pPr>
        <w:pStyle w:val="Definition-Field"/>
      </w:pPr>
      <w:r>
        <w:t xml:space="preserve">b.   </w:t>
      </w:r>
      <w:r>
        <w:rPr>
          <w:i/>
        </w:rPr>
        <w:t>The standard does not allow the Notes Slide part to have an implicit relationship to a Slide part.</w:t>
      </w:r>
    </w:p>
    <w:p w:rsidR="00024C0A" w:rsidRDefault="00694C0F">
      <w:pPr>
        <w:pStyle w:val="Definition-Field2"/>
      </w:pPr>
      <w:r>
        <w:t>Office allows the Notes Slide part to have an implicit relationship to a Slide part.</w:t>
      </w:r>
    </w:p>
    <w:p w:rsidR="00024C0A" w:rsidRDefault="00694C0F">
      <w:pPr>
        <w:pStyle w:val="Definition-Field"/>
      </w:pPr>
      <w:r>
        <w:t xml:space="preserve">c.   </w:t>
      </w:r>
      <w:r>
        <w:rPr>
          <w:i/>
        </w:rPr>
        <w:t>The standard states that a Not</w:t>
      </w:r>
      <w:r>
        <w:rPr>
          <w:i/>
        </w:rPr>
        <w:t>es Slide part is permitted to have an implicit relationship with the Thumbnail part.</w:t>
      </w:r>
    </w:p>
    <w:p w:rsidR="00024C0A" w:rsidRDefault="00694C0F">
      <w:pPr>
        <w:pStyle w:val="Definition-Field2"/>
      </w:pPr>
      <w:r>
        <w:t>Office does not allow a Notes Slide part to have an implicit relationship to the Thumbnail part.</w:t>
      </w:r>
    </w:p>
    <w:p w:rsidR="00024C0A" w:rsidRDefault="00694C0F">
      <w:pPr>
        <w:pStyle w:val="Definition-Field"/>
      </w:pPr>
      <w:r>
        <w:t xml:space="preserve">d.   </w:t>
      </w:r>
      <w:r>
        <w:rPr>
          <w:i/>
        </w:rPr>
        <w:t xml:space="preserve">The standard does not allow the Notes Slide part to have an explicit </w:t>
      </w:r>
      <w:r>
        <w:rPr>
          <w:i/>
        </w:rPr>
        <w:t>relationship with the User Defined Tags part.</w:t>
      </w:r>
    </w:p>
    <w:p w:rsidR="00024C0A" w:rsidRDefault="00694C0F">
      <w:pPr>
        <w:pStyle w:val="Definition-Field2"/>
      </w:pPr>
      <w:r>
        <w:t>Office allows the Notes Slide part to have an explicit relationship with the User Defined Tags part.</w:t>
      </w:r>
    </w:p>
    <w:p w:rsidR="00024C0A" w:rsidRDefault="00694C0F">
      <w:pPr>
        <w:pStyle w:val="Definition-Field"/>
      </w:pPr>
      <w:r>
        <w:t xml:space="preserve">e.   </w:t>
      </w:r>
      <w:r>
        <w:rPr>
          <w:i/>
        </w:rPr>
        <w:t>The standard does not allow the Notes Slide part to have an explicit relationship with the Slide part.</w:t>
      </w:r>
    </w:p>
    <w:p w:rsidR="00024C0A" w:rsidRDefault="00694C0F">
      <w:pPr>
        <w:pStyle w:val="Definition-Field2"/>
      </w:pPr>
      <w:r>
        <w:t>O</w:t>
      </w:r>
      <w:r>
        <w:t>ffice allows the Notes Slide part to have an explicit relationship with the Slide part.</w:t>
      </w:r>
    </w:p>
    <w:p w:rsidR="00024C0A" w:rsidRDefault="00694C0F">
      <w:pPr>
        <w:pStyle w:val="Definition-Field"/>
      </w:pPr>
      <w:r>
        <w:t xml:space="preserve">f.   </w:t>
      </w:r>
      <w:r>
        <w:rPr>
          <w:i/>
        </w:rPr>
        <w:t>The standard permits the Notes Slide part to have an explicit relationship with the VML Drawing part.</w:t>
      </w:r>
    </w:p>
    <w:p w:rsidR="00024C0A" w:rsidRDefault="00694C0F">
      <w:pPr>
        <w:pStyle w:val="Definition-Field2"/>
      </w:pPr>
      <w:r>
        <w:t xml:space="preserve">Office only permits the Notes Slide part to have an implicit </w:t>
      </w:r>
      <w:r>
        <w:t>relationship with the VML Drawing part.</w:t>
      </w:r>
    </w:p>
    <w:p w:rsidR="00024C0A" w:rsidRDefault="00694C0F">
      <w:pPr>
        <w:pStyle w:val="Definition-Field"/>
      </w:pPr>
      <w:r>
        <w:t xml:space="preserve">g.   </w:t>
      </w:r>
      <w:r>
        <w:rPr>
          <w:i/>
        </w:rPr>
        <w:t>The standard permits the Notes Slide part to have an implicit relationship with the Additional Characteristics part.</w:t>
      </w:r>
    </w:p>
    <w:p w:rsidR="00024C0A" w:rsidRDefault="00694C0F">
      <w:pPr>
        <w:pStyle w:val="Definition-Field2"/>
      </w:pPr>
      <w:r>
        <w:t xml:space="preserve">Office only permits the Notes Slide part to have an explicit relationship with the Additional </w:t>
      </w:r>
      <w:r>
        <w:t>Characteristics part.</w:t>
      </w:r>
    </w:p>
    <w:p w:rsidR="00024C0A" w:rsidRDefault="00694C0F">
      <w:pPr>
        <w:pStyle w:val="Definition-Field"/>
      </w:pPr>
      <w:r>
        <w:lastRenderedPageBreak/>
        <w:t xml:space="preserve">h.   </w:t>
      </w:r>
      <w:r>
        <w:rPr>
          <w:i/>
        </w:rPr>
        <w:t>The standard states that the Notes Slide part is permitted to have an implicit relationship to a Bibliography part.</w:t>
      </w:r>
    </w:p>
    <w:p w:rsidR="00024C0A" w:rsidRDefault="00694C0F">
      <w:pPr>
        <w:pStyle w:val="Definition-Field2"/>
      </w:pPr>
      <w:r>
        <w:t>Office only allows the Notes Slide part to have an explicit relationship with a Bibliography part.</w:t>
      </w:r>
    </w:p>
    <w:p w:rsidR="00024C0A" w:rsidRDefault="00694C0F">
      <w:pPr>
        <w:pStyle w:val="Heading3"/>
      </w:pPr>
      <w:bookmarkStart w:id="51" w:name="section_878e09616c044b579a6d9bebc1ac3be3"/>
      <w:bookmarkStart w:id="52" w:name="_Toc12260086"/>
      <w:r>
        <w:t>Part 1 Section</w:t>
      </w:r>
      <w:r>
        <w:t xml:space="preserve"> 13.3.6, Presentation Part</w:t>
      </w:r>
      <w:bookmarkEnd w:id="51"/>
      <w:bookmarkEnd w:id="52"/>
      <w:r>
        <w:fldChar w:fldCharType="begin"/>
      </w:r>
      <w:r>
        <w:instrText xml:space="preserve"> XE "Presentation Part" </w:instrText>
      </w:r>
      <w:r>
        <w:fldChar w:fldCharType="end"/>
      </w:r>
    </w:p>
    <w:p w:rsidR="00024C0A" w:rsidRDefault="00694C0F">
      <w:pPr>
        <w:pStyle w:val="Definition-Field"/>
      </w:pPr>
      <w:r>
        <w:t xml:space="preserve">a.   </w:t>
      </w:r>
      <w:r>
        <w:rPr>
          <w:i/>
        </w:rPr>
        <w:t>The standard states that a Presentation part is permitted to have implicit relationships with the Comments part.</w:t>
      </w:r>
    </w:p>
    <w:p w:rsidR="00024C0A" w:rsidRDefault="00694C0F">
      <w:pPr>
        <w:pStyle w:val="Definition-Field2"/>
      </w:pPr>
      <w:r>
        <w:t xml:space="preserve">Office only allows the Presentation part to have implicit relationships with the </w:t>
      </w:r>
      <w:r>
        <w:t>Comment Authors part.</w:t>
      </w:r>
    </w:p>
    <w:p w:rsidR="00024C0A" w:rsidRDefault="00694C0F">
      <w:pPr>
        <w:pStyle w:val="Definition-Field"/>
      </w:pPr>
      <w:r>
        <w:t xml:space="preserve">b.   </w:t>
      </w:r>
      <w:r>
        <w:rPr>
          <w:i/>
        </w:rPr>
        <w:t>The standard states that a Presentation part is permitted to have explicit relationships with the Slide Layout part.</w:t>
      </w:r>
    </w:p>
    <w:p w:rsidR="00024C0A" w:rsidRDefault="00694C0F">
      <w:pPr>
        <w:pStyle w:val="Definition-Field2"/>
      </w:pPr>
      <w:r>
        <w:t>Office does not allow a Presentation part to have explicit relationships with the Slide Layout part.</w:t>
      </w:r>
    </w:p>
    <w:p w:rsidR="00024C0A" w:rsidRDefault="00694C0F">
      <w:pPr>
        <w:pStyle w:val="Definition-Field"/>
      </w:pPr>
      <w:r>
        <w:t xml:space="preserve">c.   </w:t>
      </w:r>
      <w:r>
        <w:rPr>
          <w:i/>
        </w:rPr>
        <w:t>The st</w:t>
      </w:r>
      <w:r>
        <w:rPr>
          <w:i/>
        </w:rPr>
        <w:t>andard states that the Presentation part is permitted to have an implicit relationship to a Font part.</w:t>
      </w:r>
    </w:p>
    <w:p w:rsidR="00024C0A" w:rsidRDefault="00694C0F">
      <w:pPr>
        <w:pStyle w:val="Definition-Field2"/>
      </w:pPr>
      <w:r>
        <w:t>Office only allows the Presentation part to have an explicit relationship with a Font part.</w:t>
      </w:r>
    </w:p>
    <w:p w:rsidR="00024C0A" w:rsidRDefault="00694C0F">
      <w:pPr>
        <w:pStyle w:val="Definition-Field"/>
      </w:pPr>
      <w:r>
        <w:t xml:space="preserve">d.   </w:t>
      </w:r>
      <w:r>
        <w:rPr>
          <w:i/>
        </w:rPr>
        <w:t>The standard states that a Presentation part is permitte</w:t>
      </w:r>
      <w:r>
        <w:rPr>
          <w:i/>
        </w:rPr>
        <w:t>d to have an implicit relationship to the Thumbnail part.</w:t>
      </w:r>
    </w:p>
    <w:p w:rsidR="00024C0A" w:rsidRDefault="00694C0F">
      <w:pPr>
        <w:pStyle w:val="Definition-Field2"/>
      </w:pPr>
      <w:r>
        <w:t>Office does not allow a Presentation part to have an implicit relationship to the Thumbnail part.</w:t>
      </w:r>
    </w:p>
    <w:p w:rsidR="00024C0A" w:rsidRDefault="00694C0F">
      <w:pPr>
        <w:pStyle w:val="Definition-Field"/>
      </w:pPr>
      <w:r>
        <w:t xml:space="preserve">e.   </w:t>
      </w:r>
      <w:r>
        <w:rPr>
          <w:i/>
        </w:rPr>
        <w:t>The standard states that the Presentation part is permitted to have an implicit relationship to</w:t>
      </w:r>
      <w:r>
        <w:rPr>
          <w:i/>
        </w:rPr>
        <w:t xml:space="preserve"> a Custom XML Data Storage part.</w:t>
      </w:r>
    </w:p>
    <w:p w:rsidR="00024C0A" w:rsidRDefault="00694C0F">
      <w:pPr>
        <w:pStyle w:val="Definition-Field2"/>
      </w:pPr>
      <w:r>
        <w:t>Office also allows for an explicit relationship between the Presentation part and a Custom XML Data Storage part.</w:t>
      </w:r>
    </w:p>
    <w:p w:rsidR="00024C0A" w:rsidRDefault="00694C0F">
      <w:pPr>
        <w:pStyle w:val="Definition-Field"/>
      </w:pPr>
      <w:r>
        <w:t xml:space="preserve">f.   </w:t>
      </w:r>
      <w:r>
        <w:rPr>
          <w:i/>
        </w:rPr>
        <w:t>The standard states that a Presentation part is permitted to have an implicit relationship to the Additi</w:t>
      </w:r>
      <w:r>
        <w:rPr>
          <w:i/>
        </w:rPr>
        <w:t>onal Characteristics part.</w:t>
      </w:r>
    </w:p>
    <w:p w:rsidR="00024C0A" w:rsidRDefault="00694C0F">
      <w:pPr>
        <w:pStyle w:val="Definition-Field2"/>
      </w:pPr>
      <w:r>
        <w:t>Office also allows there to be an explicit relationship between a Presentation part and the Additional Characteristics part.</w:t>
      </w:r>
    </w:p>
    <w:p w:rsidR="00024C0A" w:rsidRDefault="00694C0F">
      <w:pPr>
        <w:pStyle w:val="Definition-Field"/>
      </w:pPr>
      <w:r>
        <w:t xml:space="preserve">g.   </w:t>
      </w:r>
      <w:r>
        <w:rPr>
          <w:i/>
        </w:rPr>
        <w:t>The standard states that a Presentation part is permitted to have an implicit relationship to a Bib</w:t>
      </w:r>
      <w:r>
        <w:rPr>
          <w:i/>
        </w:rPr>
        <w:t>liography part.</w:t>
      </w:r>
    </w:p>
    <w:p w:rsidR="00024C0A" w:rsidRDefault="00694C0F">
      <w:pPr>
        <w:pStyle w:val="Definition-Field2"/>
      </w:pPr>
      <w:r>
        <w:t>Office also allows there to be an explicit relationship between a Presentation part and a Bibliography part.</w:t>
      </w:r>
    </w:p>
    <w:p w:rsidR="00024C0A" w:rsidRDefault="00694C0F">
      <w:pPr>
        <w:pStyle w:val="Heading3"/>
      </w:pPr>
      <w:bookmarkStart w:id="53" w:name="section_a63cebe0eca5492db580bdc59f618639"/>
      <w:bookmarkStart w:id="54" w:name="_Toc12260087"/>
      <w:r>
        <w:t>Part 1 Section 13.3.7, Presentation Properties Part</w:t>
      </w:r>
      <w:bookmarkEnd w:id="53"/>
      <w:bookmarkEnd w:id="54"/>
      <w:r>
        <w:fldChar w:fldCharType="begin"/>
      </w:r>
      <w:r>
        <w:instrText xml:space="preserve"> XE "Presentation Properties Part" </w:instrText>
      </w:r>
      <w:r>
        <w:fldChar w:fldCharType="end"/>
      </w:r>
    </w:p>
    <w:p w:rsidR="00024C0A" w:rsidRDefault="00694C0F">
      <w:pPr>
        <w:pStyle w:val="Definition-Field"/>
      </w:pPr>
      <w:r>
        <w:t xml:space="preserve">a.   </w:t>
      </w:r>
      <w:r>
        <w:rPr>
          <w:i/>
        </w:rPr>
        <w:t>The standard states that a Presentati</w:t>
      </w:r>
      <w:r>
        <w:rPr>
          <w:i/>
        </w:rPr>
        <w:t>on Properties part does not have any implicit or explicit relationships to other parts.</w:t>
      </w:r>
    </w:p>
    <w:p w:rsidR="00024C0A" w:rsidRDefault="00694C0F">
      <w:pPr>
        <w:pStyle w:val="Definition-Field2"/>
      </w:pPr>
      <w:r>
        <w:t>Office allows a Presentation Properties part to have an explicit relationship to the HTML Publish part.</w:t>
      </w:r>
    </w:p>
    <w:p w:rsidR="00024C0A" w:rsidRDefault="00694C0F">
      <w:pPr>
        <w:pStyle w:val="Heading3"/>
      </w:pPr>
      <w:bookmarkStart w:id="55" w:name="section_709d622fc25e488c820de04e3be537c6"/>
      <w:bookmarkStart w:id="56" w:name="_Toc12260088"/>
      <w:r>
        <w:t>Part 1 Section 13.3.8, Slide Part</w:t>
      </w:r>
      <w:bookmarkEnd w:id="55"/>
      <w:bookmarkEnd w:id="56"/>
      <w:r>
        <w:fldChar w:fldCharType="begin"/>
      </w:r>
      <w:r>
        <w:instrText xml:space="preserve"> XE "Slide Part" </w:instrText>
      </w:r>
      <w:r>
        <w:fldChar w:fldCharType="end"/>
      </w:r>
    </w:p>
    <w:p w:rsidR="00024C0A" w:rsidRDefault="00694C0F">
      <w:pPr>
        <w:pStyle w:val="Definition-Field"/>
      </w:pPr>
      <w:r>
        <w:t xml:space="preserve">a.   </w:t>
      </w:r>
      <w:r>
        <w:rPr>
          <w:i/>
        </w:rPr>
        <w:t>The st</w:t>
      </w:r>
      <w:r>
        <w:rPr>
          <w:i/>
        </w:rPr>
        <w:t>andard states that a Slide part is permitted to have an implicit relationship with the Thumbnail part.</w:t>
      </w:r>
    </w:p>
    <w:p w:rsidR="00024C0A" w:rsidRDefault="00694C0F">
      <w:pPr>
        <w:pStyle w:val="Definition-Field2"/>
      </w:pPr>
      <w:r>
        <w:lastRenderedPageBreak/>
        <w:t>Office does not allow a Slide part to have an implicit relationship to the Thumbnail part.</w:t>
      </w:r>
    </w:p>
    <w:p w:rsidR="00024C0A" w:rsidRDefault="00694C0F">
      <w:pPr>
        <w:pStyle w:val="Definition-Field"/>
      </w:pPr>
      <w:r>
        <w:t xml:space="preserve">b.   </w:t>
      </w:r>
      <w:r>
        <w:rPr>
          <w:i/>
        </w:rPr>
        <w:t>The standard does not allow the Slide part to have an exp</w:t>
      </w:r>
      <w:r>
        <w:rPr>
          <w:i/>
        </w:rPr>
        <w:t>licit relationship with the Slide part.</w:t>
      </w:r>
    </w:p>
    <w:p w:rsidR="00024C0A" w:rsidRDefault="00694C0F">
      <w:pPr>
        <w:pStyle w:val="Definition-Field2"/>
      </w:pPr>
      <w:r>
        <w:t>Office allows the Slide part to have an explicit relationship with the Slide part.</w:t>
      </w:r>
    </w:p>
    <w:p w:rsidR="00024C0A" w:rsidRDefault="00694C0F">
      <w:pPr>
        <w:pStyle w:val="Definition-Field"/>
      </w:pPr>
      <w:r>
        <w:t xml:space="preserve">c.   </w:t>
      </w:r>
      <w:r>
        <w:rPr>
          <w:i/>
        </w:rPr>
        <w:t>The standard permits the Slide part to have an explicit relationship with the VML Drawing part.</w:t>
      </w:r>
    </w:p>
    <w:p w:rsidR="00024C0A" w:rsidRDefault="00694C0F">
      <w:pPr>
        <w:pStyle w:val="Definition-Field2"/>
      </w:pPr>
      <w:r>
        <w:t>Office only permits the Slide pa</w:t>
      </w:r>
      <w:r>
        <w:t>rt to have an implicit relationship with the VML Drawing part.</w:t>
      </w:r>
    </w:p>
    <w:p w:rsidR="00024C0A" w:rsidRDefault="00694C0F">
      <w:pPr>
        <w:pStyle w:val="Definition-Field"/>
      </w:pPr>
      <w:r>
        <w:t xml:space="preserve">d.   </w:t>
      </w:r>
      <w:r>
        <w:rPr>
          <w:i/>
        </w:rPr>
        <w:t>The standard permits the Slide part to have an implicit relationship with the Additional Characteristics part.</w:t>
      </w:r>
    </w:p>
    <w:p w:rsidR="00024C0A" w:rsidRDefault="00694C0F">
      <w:pPr>
        <w:pStyle w:val="Definition-Field2"/>
      </w:pPr>
      <w:r>
        <w:t xml:space="preserve">Office only permits the Slide part to have an explicit relationship with the </w:t>
      </w:r>
      <w:r>
        <w:t>Additional Characteristics part.</w:t>
      </w:r>
    </w:p>
    <w:p w:rsidR="00024C0A" w:rsidRDefault="00694C0F">
      <w:pPr>
        <w:pStyle w:val="Definition-Field"/>
      </w:pPr>
      <w:r>
        <w:t xml:space="preserve">e.   </w:t>
      </w:r>
      <w:r>
        <w:rPr>
          <w:i/>
        </w:rPr>
        <w:t>The standard states that the Slide part is permitted to have an implicit relationship to a Bibliography part.</w:t>
      </w:r>
    </w:p>
    <w:p w:rsidR="00024C0A" w:rsidRDefault="00694C0F">
      <w:pPr>
        <w:pStyle w:val="Definition-Field2"/>
      </w:pPr>
      <w:r>
        <w:t>Office only allows the Slide part to have an explicit relationship with a Bibliography part.</w:t>
      </w:r>
    </w:p>
    <w:p w:rsidR="00024C0A" w:rsidRDefault="00694C0F">
      <w:pPr>
        <w:pStyle w:val="Heading3"/>
      </w:pPr>
      <w:bookmarkStart w:id="57" w:name="section_0e96b521bd75493cbec627b7784d46c7"/>
      <w:bookmarkStart w:id="58" w:name="_Toc12260089"/>
      <w:r>
        <w:t xml:space="preserve">Part 1 Section </w:t>
      </w:r>
      <w:r>
        <w:t>13.3.9, Slide Layout Part</w:t>
      </w:r>
      <w:bookmarkEnd w:id="57"/>
      <w:bookmarkEnd w:id="58"/>
      <w:r>
        <w:fldChar w:fldCharType="begin"/>
      </w:r>
      <w:r>
        <w:instrText xml:space="preserve"> XE "Slide Layout Part" </w:instrText>
      </w:r>
      <w:r>
        <w:fldChar w:fldCharType="end"/>
      </w:r>
    </w:p>
    <w:p w:rsidR="00024C0A" w:rsidRDefault="00694C0F">
      <w:pPr>
        <w:pStyle w:val="Definition-Field"/>
      </w:pPr>
      <w:r>
        <w:t xml:space="preserve">a.   </w:t>
      </w:r>
      <w:r>
        <w:rPr>
          <w:i/>
        </w:rPr>
        <w:t>The standard states that a Slide Layout part is permitted to have an implicit relationship with the Thumbnail part.</w:t>
      </w:r>
    </w:p>
    <w:p w:rsidR="00024C0A" w:rsidRDefault="00694C0F">
      <w:pPr>
        <w:pStyle w:val="Definition-Field2"/>
      </w:pPr>
      <w:r>
        <w:t xml:space="preserve">Office does not allow a Slide Layout part to have an implicit relationship to the </w:t>
      </w:r>
      <w:r>
        <w:t>Thumbnail part.</w:t>
      </w:r>
    </w:p>
    <w:p w:rsidR="00024C0A" w:rsidRDefault="00694C0F">
      <w:pPr>
        <w:pStyle w:val="Definition-Field"/>
      </w:pPr>
      <w:r>
        <w:t xml:space="preserve">b.   </w:t>
      </w:r>
      <w:r>
        <w:rPr>
          <w:i/>
        </w:rPr>
        <w:t>The standard does not allow the Slide Layout part to have an explicit relationship with the User Defined Tags part.</w:t>
      </w:r>
    </w:p>
    <w:p w:rsidR="00024C0A" w:rsidRDefault="00694C0F">
      <w:pPr>
        <w:pStyle w:val="Definition-Field2"/>
      </w:pPr>
      <w:r>
        <w:t>Office allows the Slide Layout part to have an explicit relationship with the User Defined Tags part.</w:t>
      </w:r>
    </w:p>
    <w:p w:rsidR="00024C0A" w:rsidRDefault="00694C0F">
      <w:pPr>
        <w:pStyle w:val="Definition-Field"/>
      </w:pPr>
      <w:r>
        <w:t xml:space="preserve">c.   </w:t>
      </w:r>
      <w:r>
        <w:rPr>
          <w:i/>
        </w:rPr>
        <w:t>The standard</w:t>
      </w:r>
      <w:r>
        <w:rPr>
          <w:i/>
        </w:rPr>
        <w:t xml:space="preserve"> does not allow the Slide Layout part to have an explicit relationship with the Slide part.</w:t>
      </w:r>
    </w:p>
    <w:p w:rsidR="00024C0A" w:rsidRDefault="00694C0F">
      <w:pPr>
        <w:pStyle w:val="Definition-Field2"/>
      </w:pPr>
      <w:r>
        <w:t>Office allows the Slide Layout part to have an explicit relationship with the Slide part.</w:t>
      </w:r>
    </w:p>
    <w:p w:rsidR="00024C0A" w:rsidRDefault="00694C0F">
      <w:pPr>
        <w:pStyle w:val="Definition-Field"/>
      </w:pPr>
      <w:r>
        <w:t xml:space="preserve">d.   </w:t>
      </w:r>
      <w:r>
        <w:rPr>
          <w:i/>
        </w:rPr>
        <w:t>The standard permits the Slide Layout part to have an explicit relati</w:t>
      </w:r>
      <w:r>
        <w:rPr>
          <w:i/>
        </w:rPr>
        <w:t>onship with the VML Drawing part.</w:t>
      </w:r>
    </w:p>
    <w:p w:rsidR="00024C0A" w:rsidRDefault="00694C0F">
      <w:pPr>
        <w:pStyle w:val="Definition-Field2"/>
      </w:pPr>
      <w:r>
        <w:t>Office only permits the Slide Layout part to have an implicit relationship with the VML Drawing part.</w:t>
      </w:r>
    </w:p>
    <w:p w:rsidR="00024C0A" w:rsidRDefault="00694C0F">
      <w:pPr>
        <w:pStyle w:val="Definition-Field"/>
      </w:pPr>
      <w:r>
        <w:t xml:space="preserve">e.   </w:t>
      </w:r>
      <w:r>
        <w:rPr>
          <w:i/>
        </w:rPr>
        <w:t>The standard permits the Slide Layout part to have an implicit relationship with the Additional Characteristics par</w:t>
      </w:r>
      <w:r>
        <w:rPr>
          <w:i/>
        </w:rPr>
        <w:t>t.</w:t>
      </w:r>
    </w:p>
    <w:p w:rsidR="00024C0A" w:rsidRDefault="00694C0F">
      <w:pPr>
        <w:pStyle w:val="Definition-Field2"/>
      </w:pPr>
      <w:r>
        <w:t>Office only permits the Slide Layout part to have an explicit relationship with the Additional Characteristics part.</w:t>
      </w:r>
    </w:p>
    <w:p w:rsidR="00024C0A" w:rsidRDefault="00694C0F">
      <w:pPr>
        <w:pStyle w:val="Definition-Field"/>
      </w:pPr>
      <w:r>
        <w:t xml:space="preserve">f.   </w:t>
      </w:r>
      <w:r>
        <w:rPr>
          <w:i/>
        </w:rPr>
        <w:t>The standard states that the Slide Layout part is permitted to have an implicit relationship to a Bibliography part.</w:t>
      </w:r>
    </w:p>
    <w:p w:rsidR="00024C0A" w:rsidRDefault="00694C0F">
      <w:pPr>
        <w:pStyle w:val="Definition-Field2"/>
      </w:pPr>
      <w:r>
        <w:t>Office only al</w:t>
      </w:r>
      <w:r>
        <w:t>lows the Slide Layout part to have an explicit relationship with a Bibliography part.</w:t>
      </w:r>
    </w:p>
    <w:p w:rsidR="00024C0A" w:rsidRDefault="00694C0F">
      <w:pPr>
        <w:pStyle w:val="Heading3"/>
      </w:pPr>
      <w:bookmarkStart w:id="59" w:name="section_ce80d3db31664d82981a77c01473a7f6"/>
      <w:bookmarkStart w:id="60" w:name="_Toc12260090"/>
      <w:r>
        <w:t>Part 1 Section 13.3.10, Slide Master Part</w:t>
      </w:r>
      <w:bookmarkEnd w:id="59"/>
      <w:bookmarkEnd w:id="60"/>
      <w:r>
        <w:fldChar w:fldCharType="begin"/>
      </w:r>
      <w:r>
        <w:instrText xml:space="preserve"> XE "Slide Master Part" </w:instrText>
      </w:r>
      <w:r>
        <w:fldChar w:fldCharType="end"/>
      </w:r>
    </w:p>
    <w:p w:rsidR="00024C0A" w:rsidRDefault="00694C0F">
      <w:pPr>
        <w:pStyle w:val="Definition-Field"/>
      </w:pPr>
      <w:r>
        <w:t xml:space="preserve">a.   </w:t>
      </w:r>
      <w:r>
        <w:rPr>
          <w:i/>
        </w:rPr>
        <w:t>The standard states that a Slide Master part is permitted to have an implicit relationship with t</w:t>
      </w:r>
      <w:r>
        <w:rPr>
          <w:i/>
        </w:rPr>
        <w:t>he Slide Layout part.</w:t>
      </w:r>
    </w:p>
    <w:p w:rsidR="00024C0A" w:rsidRDefault="00694C0F">
      <w:pPr>
        <w:pStyle w:val="Definition-Field2"/>
      </w:pPr>
      <w:r>
        <w:t>Office only allows a Slide Master part to have an explicit relationship with the Slide Layout part.</w:t>
      </w:r>
    </w:p>
    <w:p w:rsidR="00024C0A" w:rsidRDefault="00694C0F">
      <w:pPr>
        <w:pStyle w:val="Definition-Field"/>
      </w:pPr>
      <w:r>
        <w:lastRenderedPageBreak/>
        <w:t xml:space="preserve">b.   </w:t>
      </w:r>
      <w:r>
        <w:rPr>
          <w:i/>
        </w:rPr>
        <w:t>The standard states that the Slide Master part is permitted to have an implicit relationship to a Slide Layout part.</w:t>
      </w:r>
    </w:p>
    <w:p w:rsidR="00024C0A" w:rsidRDefault="00694C0F">
      <w:pPr>
        <w:pStyle w:val="Definition-Field2"/>
      </w:pPr>
      <w:r>
        <w:t xml:space="preserve">Office only </w:t>
      </w:r>
      <w:r>
        <w:t>allows the Slide Master part to have an explicit relationship with a Slide Layout part.</w:t>
      </w:r>
    </w:p>
    <w:p w:rsidR="00024C0A" w:rsidRDefault="00694C0F">
      <w:pPr>
        <w:pStyle w:val="Definition-Field"/>
      </w:pPr>
      <w:r>
        <w:t xml:space="preserve">c.   </w:t>
      </w:r>
      <w:r>
        <w:rPr>
          <w:i/>
        </w:rPr>
        <w:t>The standard states that a Slide Master part is permitted to have an implicit relationship with the Thumbnail part.</w:t>
      </w:r>
    </w:p>
    <w:p w:rsidR="00024C0A" w:rsidRDefault="00694C0F">
      <w:pPr>
        <w:pStyle w:val="Definition-Field2"/>
      </w:pPr>
      <w:r>
        <w:t>Office does not allow a Slide Master part to ha</w:t>
      </w:r>
      <w:r>
        <w:t>ve an implicit relationship to the Thumbnail part.</w:t>
      </w:r>
    </w:p>
    <w:p w:rsidR="00024C0A" w:rsidRDefault="00694C0F">
      <w:pPr>
        <w:pStyle w:val="Definition-Field"/>
      </w:pPr>
      <w:r>
        <w:t xml:space="preserve">d.   </w:t>
      </w:r>
      <w:r>
        <w:rPr>
          <w:i/>
        </w:rPr>
        <w:t>The standard does not allow the Slide Master part to have an explicit relationship with the User Defined Tags part.</w:t>
      </w:r>
    </w:p>
    <w:p w:rsidR="00024C0A" w:rsidRDefault="00694C0F">
      <w:pPr>
        <w:pStyle w:val="Definition-Field2"/>
      </w:pPr>
      <w:r>
        <w:t>Office allows the Slide Master part to have an explicit relationship with the User D</w:t>
      </w:r>
      <w:r>
        <w:t>efined Tags part.</w:t>
      </w:r>
    </w:p>
    <w:p w:rsidR="00024C0A" w:rsidRDefault="00694C0F">
      <w:pPr>
        <w:pStyle w:val="Definition-Field"/>
      </w:pPr>
      <w:r>
        <w:t xml:space="preserve">e.   </w:t>
      </w:r>
      <w:r>
        <w:rPr>
          <w:i/>
        </w:rPr>
        <w:t>The standard does not allow the Slide Master part to have an explicit relationship with the Slide part.</w:t>
      </w:r>
    </w:p>
    <w:p w:rsidR="00024C0A" w:rsidRDefault="00694C0F">
      <w:pPr>
        <w:pStyle w:val="Definition-Field2"/>
      </w:pPr>
      <w:r>
        <w:t>Office allows the Slide Master part to have an explicit relationship with the Slide part.</w:t>
      </w:r>
    </w:p>
    <w:p w:rsidR="00024C0A" w:rsidRDefault="00694C0F">
      <w:pPr>
        <w:pStyle w:val="Definition-Field"/>
      </w:pPr>
      <w:r>
        <w:t xml:space="preserve">f.   </w:t>
      </w:r>
      <w:r>
        <w:rPr>
          <w:i/>
        </w:rPr>
        <w:t>The standard permits the Slide Mas</w:t>
      </w:r>
      <w:r>
        <w:rPr>
          <w:i/>
        </w:rPr>
        <w:t>ter part to have an explicit relationship with the VML Drawing part.</w:t>
      </w:r>
    </w:p>
    <w:p w:rsidR="00024C0A" w:rsidRDefault="00694C0F">
      <w:pPr>
        <w:pStyle w:val="Definition-Field2"/>
      </w:pPr>
      <w:r>
        <w:t>Office only permits the Slide Master part to have an implicit relationship with the VML Drawing part.</w:t>
      </w:r>
    </w:p>
    <w:p w:rsidR="00024C0A" w:rsidRDefault="00694C0F">
      <w:pPr>
        <w:pStyle w:val="Definition-Field"/>
      </w:pPr>
      <w:r>
        <w:t xml:space="preserve">g.   </w:t>
      </w:r>
      <w:r>
        <w:rPr>
          <w:i/>
        </w:rPr>
        <w:t>The standard permits the Slide Master part to have an implicit relationship with</w:t>
      </w:r>
      <w:r>
        <w:rPr>
          <w:i/>
        </w:rPr>
        <w:t xml:space="preserve"> the Additional Characteristics part.</w:t>
      </w:r>
    </w:p>
    <w:p w:rsidR="00024C0A" w:rsidRDefault="00694C0F">
      <w:pPr>
        <w:pStyle w:val="Definition-Field2"/>
      </w:pPr>
      <w:r>
        <w:t>Office only permits the Slide Master part to have an explicit relationship with the Additional Characteristics part.</w:t>
      </w:r>
    </w:p>
    <w:p w:rsidR="00024C0A" w:rsidRDefault="00694C0F">
      <w:pPr>
        <w:pStyle w:val="Definition-Field"/>
      </w:pPr>
      <w:r>
        <w:t xml:space="preserve">h.   </w:t>
      </w:r>
      <w:r>
        <w:rPr>
          <w:i/>
        </w:rPr>
        <w:t xml:space="preserve">The standard states that the Slide Master part is permitted to have an implicit relationship to </w:t>
      </w:r>
      <w:r>
        <w:rPr>
          <w:i/>
        </w:rPr>
        <w:t>a Bibliography part.</w:t>
      </w:r>
    </w:p>
    <w:p w:rsidR="00024C0A" w:rsidRDefault="00694C0F">
      <w:pPr>
        <w:pStyle w:val="Definition-Field2"/>
      </w:pPr>
      <w:r>
        <w:t>Office only allows the Slide Master part to have an explicit relationship with a Bibliography part.</w:t>
      </w:r>
    </w:p>
    <w:p w:rsidR="00024C0A" w:rsidRDefault="00694C0F">
      <w:pPr>
        <w:pStyle w:val="Heading3"/>
      </w:pPr>
      <w:bookmarkStart w:id="61" w:name="section_9d6cf39365424a73a890ee66e3e0dad7"/>
      <w:bookmarkStart w:id="62" w:name="_Toc12260091"/>
      <w:r>
        <w:t>Part 1 Section 14.2.1, Chart Part</w:t>
      </w:r>
      <w:bookmarkEnd w:id="61"/>
      <w:bookmarkEnd w:id="62"/>
      <w:r>
        <w:fldChar w:fldCharType="begin"/>
      </w:r>
      <w:r>
        <w:instrText xml:space="preserve"> XE "Chart Part" </w:instrText>
      </w:r>
      <w:r>
        <w:fldChar w:fldCharType="end"/>
      </w:r>
    </w:p>
    <w:p w:rsidR="00024C0A" w:rsidRDefault="00694C0F">
      <w:pPr>
        <w:pStyle w:val="Definition-Field"/>
      </w:pPr>
      <w:r>
        <w:t xml:space="preserve">a.   </w:t>
      </w:r>
      <w:r>
        <w:rPr>
          <w:i/>
        </w:rPr>
        <w:t>The standard allows the Chart Part only to have an explicit relationship with</w:t>
      </w:r>
      <w:r>
        <w:rPr>
          <w:i/>
        </w:rPr>
        <w:t xml:space="preserve"> a Chart Drawing part or an Embedded Package part.</w:t>
      </w:r>
    </w:p>
    <w:p w:rsidR="00024C0A" w:rsidRDefault="00694C0F">
      <w:pPr>
        <w:pStyle w:val="Definition-Field2"/>
      </w:pPr>
      <w:r>
        <w:t>Office allows the Chart Part to have an explicit relationship with a Theme Override part.</w:t>
      </w:r>
    </w:p>
    <w:p w:rsidR="00024C0A" w:rsidRDefault="00694C0F">
      <w:pPr>
        <w:pStyle w:val="Heading3"/>
      </w:pPr>
      <w:bookmarkStart w:id="63" w:name="section_3a29b98ed48f444fa30ce872a4ebc349"/>
      <w:bookmarkStart w:id="64" w:name="_Toc12260092"/>
      <w:r>
        <w:t>Part 1 Section 14.2.2, Chart Drawing Part</w:t>
      </w:r>
      <w:bookmarkEnd w:id="63"/>
      <w:bookmarkEnd w:id="64"/>
      <w:r>
        <w:fldChar w:fldCharType="begin"/>
      </w:r>
      <w:r>
        <w:instrText xml:space="preserve"> XE "Chart Drawing Part" </w:instrText>
      </w:r>
      <w:r>
        <w:fldChar w:fldCharType="end"/>
      </w:r>
    </w:p>
    <w:p w:rsidR="00024C0A" w:rsidRDefault="00694C0F">
      <w:pPr>
        <w:pStyle w:val="Definition-Field"/>
      </w:pPr>
      <w:r>
        <w:t xml:space="preserve">a.   </w:t>
      </w:r>
      <w:r>
        <w:rPr>
          <w:i/>
        </w:rPr>
        <w:t>The standard allows the Chart Drawing Par</w:t>
      </w:r>
      <w:r>
        <w:rPr>
          <w:i/>
        </w:rPr>
        <w:t>t only to have an explicit relationship with a Chart Part.</w:t>
      </w:r>
    </w:p>
    <w:p w:rsidR="00024C0A" w:rsidRDefault="00694C0F">
      <w:pPr>
        <w:pStyle w:val="Definition-Field2"/>
      </w:pPr>
      <w:r>
        <w:t>Office allows the Chart Drawing Part to have an explicit relationship with an Image part.</w:t>
      </w:r>
    </w:p>
    <w:p w:rsidR="00024C0A" w:rsidRDefault="00694C0F">
      <w:pPr>
        <w:pStyle w:val="Heading3"/>
      </w:pPr>
      <w:bookmarkStart w:id="65" w:name="section_d8ea1093c53b4135ab674a51a0b6fe7e"/>
      <w:bookmarkStart w:id="66" w:name="_Toc12260093"/>
      <w:r>
        <w:t>Part 1 Section 14.2.3, Diagram Colors Part</w:t>
      </w:r>
      <w:bookmarkEnd w:id="65"/>
      <w:bookmarkEnd w:id="66"/>
      <w:r>
        <w:fldChar w:fldCharType="begin"/>
      </w:r>
      <w:r>
        <w:instrText xml:space="preserve"> XE "Diagram Colors Part" </w:instrText>
      </w:r>
      <w:r>
        <w:fldChar w:fldCharType="end"/>
      </w:r>
    </w:p>
    <w:p w:rsidR="00024C0A" w:rsidRDefault="00694C0F">
      <w:pPr>
        <w:pStyle w:val="Definition-Field"/>
      </w:pPr>
      <w:r>
        <w:t xml:space="preserve">a.   </w:t>
      </w:r>
      <w:r>
        <w:rPr>
          <w:i/>
        </w:rPr>
        <w:t>The standard states that a Diag</w:t>
      </w:r>
      <w:r>
        <w:rPr>
          <w:i/>
        </w:rPr>
        <w:t>ram Colors part is the target of an explicit relationship in a WordprocessingML Main Document, SpreadsheetML Drawings, or PresentationM Slide part.</w:t>
      </w:r>
    </w:p>
    <w:p w:rsidR="00024C0A" w:rsidRDefault="00694C0F">
      <w:r>
        <w:t>In Office, the Diagram Colors part can also be the target of an explicit relationship in a PresentationML Ha</w:t>
      </w:r>
      <w:r>
        <w:t>ndout Master ("</w:t>
      </w:r>
      <w:hyperlink r:id="rId51">
        <w:r>
          <w:rPr>
            <w:rStyle w:val="Hyperlink"/>
          </w:rPr>
          <w:t>[ISO/IEC-29500-1]</w:t>
        </w:r>
      </w:hyperlink>
      <w:r>
        <w:t xml:space="preserve"> §13.3.3"), Notes Master ("[ISO/IEC-29500-1] §13.3.4"), Notes Slide ("[ISO/IEC-29500-1] §13.3.5"), Slide ("[ISO/IEC-29500-1] §13.3.8"), Slide Layout ("[ISO/IE</w:t>
      </w:r>
      <w:r>
        <w:t>C-29500-1] §13.3.9"), or Slide Master ("[ISO/IEC-29500-1] §13.3.10") part.</w:t>
      </w:r>
    </w:p>
    <w:p w:rsidR="00024C0A" w:rsidRDefault="00694C0F">
      <w:pPr>
        <w:pStyle w:val="Heading3"/>
      </w:pPr>
      <w:bookmarkStart w:id="67" w:name="section_fbaa1e283676408f8e241c31101d4de7"/>
      <w:bookmarkStart w:id="68" w:name="_Toc12260094"/>
      <w:r>
        <w:lastRenderedPageBreak/>
        <w:t>Part 1 Section 14.2.4, Diagram Data Part</w:t>
      </w:r>
      <w:bookmarkEnd w:id="67"/>
      <w:bookmarkEnd w:id="68"/>
      <w:r>
        <w:fldChar w:fldCharType="begin"/>
      </w:r>
      <w:r>
        <w:instrText xml:space="preserve"> XE "Diagram Data Part" </w:instrText>
      </w:r>
      <w:r>
        <w:fldChar w:fldCharType="end"/>
      </w:r>
    </w:p>
    <w:p w:rsidR="00024C0A" w:rsidRDefault="00694C0F">
      <w:pPr>
        <w:pStyle w:val="Definition-Field"/>
      </w:pPr>
      <w:r>
        <w:t xml:space="preserve">a.   </w:t>
      </w:r>
      <w:r>
        <w:rPr>
          <w:i/>
        </w:rPr>
        <w:t>The standard states that a Diagram Data part is permitted to have an explicit relationship to an Image part.</w:t>
      </w:r>
    </w:p>
    <w:p w:rsidR="00024C0A" w:rsidRDefault="00694C0F">
      <w:pPr>
        <w:pStyle w:val="Definition-Field2"/>
      </w:pPr>
      <w:r>
        <w:t>In Office the Diagram Data part can also have explicit relationships to Hyperlinks ("</w:t>
      </w:r>
      <w:hyperlink r:id="rId52">
        <w:r>
          <w:rPr>
            <w:rStyle w:val="Hyperlink"/>
          </w:rPr>
          <w:t>[ISO/IEC-29500-1]</w:t>
        </w:r>
      </w:hyperlink>
      <w:r>
        <w:t xml:space="preserve"> §15.3").</w:t>
      </w:r>
    </w:p>
    <w:p w:rsidR="00024C0A" w:rsidRDefault="00694C0F">
      <w:pPr>
        <w:pStyle w:val="Heading3"/>
      </w:pPr>
      <w:bookmarkStart w:id="69" w:name="section_542685d1b8f8426ba15a6e179e8e8643"/>
      <w:bookmarkStart w:id="70" w:name="_Toc12260095"/>
      <w:r>
        <w:t>Part 1 Section 15.2, Part Summary</w:t>
      </w:r>
      <w:bookmarkEnd w:id="69"/>
      <w:bookmarkEnd w:id="70"/>
      <w:r>
        <w:fldChar w:fldCharType="begin"/>
      </w:r>
      <w:r>
        <w:instrText xml:space="preserve"> XE "Part Summary" </w:instrText>
      </w:r>
      <w:r>
        <w:fldChar w:fldCharType="end"/>
      </w:r>
    </w:p>
    <w:p w:rsidR="00024C0A" w:rsidRDefault="00694C0F">
      <w:pPr>
        <w:pStyle w:val="Definition-Field"/>
      </w:pPr>
      <w:r>
        <w:t xml:space="preserve">a.   </w:t>
      </w:r>
      <w:r>
        <w:rPr>
          <w:i/>
        </w:rPr>
        <w:t xml:space="preserve">The standard does </w:t>
      </w:r>
      <w:r>
        <w:rPr>
          <w:i/>
        </w:rPr>
        <w:t>not include documentation for the Embedded Control Persistence Binary Data part.</w:t>
      </w:r>
    </w:p>
    <w:p w:rsidR="00024C0A" w:rsidRDefault="00694C0F">
      <w:pPr>
        <w:pStyle w:val="Definition-Field2"/>
      </w:pPr>
      <w:r>
        <w:t>Office defines an Embedded Control Persistence Binary Data part (</w:t>
      </w:r>
      <w:hyperlink w:anchor="Section_2c6688debe084ffaac5432d19ebc4ca3">
        <w:r>
          <w:rPr>
            <w:rStyle w:val="Hyperlink"/>
          </w:rPr>
          <w:t>§3.4.1.1, Embedded Control Persistence Binary D</w:t>
        </w:r>
        <w:r>
          <w:rPr>
            <w:rStyle w:val="Hyperlink"/>
          </w:rPr>
          <w:t>ata Part</w:t>
        </w:r>
      </w:hyperlink>
      <w:r>
        <w:t>), which contains information about persisted embedded controls in the package.</w:t>
      </w:r>
    </w:p>
    <w:p w:rsidR="00024C0A" w:rsidRDefault="00694C0F">
      <w:pPr>
        <w:pStyle w:val="Definition-Field"/>
      </w:pPr>
      <w:r>
        <w:t xml:space="preserve">b.   </w:t>
      </w:r>
      <w:r>
        <w:rPr>
          <w:i/>
        </w:rPr>
        <w:t>The standard does not include documentation for the Quick Access Toolbar Customizations part.</w:t>
      </w:r>
    </w:p>
    <w:p w:rsidR="00024C0A" w:rsidRDefault="00694C0F">
      <w:pPr>
        <w:pStyle w:val="Definition-Field2"/>
      </w:pPr>
      <w:r>
        <w:t>Office defines a Quick Access Toolbar Customizations part (</w:t>
      </w:r>
      <w:hyperlink w:anchor="Section_55d273e4770e48bc883fc66dc2816d30">
        <w:r>
          <w:rPr>
            <w:rStyle w:val="Hyperlink"/>
          </w:rPr>
          <w:t>§3.4.1.2, Quick Access Toolbar Customizations Part</w:t>
        </w:r>
      </w:hyperlink>
      <w:r>
        <w:t>), which contains information about quick access toolbar customizations.</w:t>
      </w:r>
    </w:p>
    <w:p w:rsidR="00024C0A" w:rsidRDefault="00694C0F">
      <w:pPr>
        <w:pStyle w:val="Definition-Field"/>
      </w:pPr>
      <w:r>
        <w:t xml:space="preserve">c.   </w:t>
      </w:r>
      <w:r>
        <w:rPr>
          <w:i/>
        </w:rPr>
        <w:t xml:space="preserve">The standard does not include documentation for the Ribbon Extensibility </w:t>
      </w:r>
      <w:r>
        <w:rPr>
          <w:i/>
        </w:rPr>
        <w:t>part.</w:t>
      </w:r>
    </w:p>
    <w:p w:rsidR="00024C0A" w:rsidRDefault="00694C0F">
      <w:pPr>
        <w:pStyle w:val="Definition-Field2"/>
      </w:pPr>
      <w:r>
        <w:t>Office defines a Ribbon Extensibility part (</w:t>
      </w:r>
      <w:hyperlink w:anchor="Section_2d3ee2da8f774b08bc2b651e568af3ab">
        <w:r>
          <w:rPr>
            <w:rStyle w:val="Hyperlink"/>
          </w:rPr>
          <w:t>§3.4.1.3, CustomUI Part</w:t>
        </w:r>
      </w:hyperlink>
      <w:r>
        <w:t>), which contains information about ribbon customizations.</w:t>
      </w:r>
    </w:p>
    <w:p w:rsidR="00024C0A" w:rsidRDefault="00694C0F">
      <w:pPr>
        <w:pStyle w:val="Definition-Field"/>
      </w:pPr>
      <w:r>
        <w:t xml:space="preserve">d.   </w:t>
      </w:r>
      <w:r>
        <w:rPr>
          <w:i/>
        </w:rPr>
        <w:t>The standard does not include documentation for the Cont</w:t>
      </w:r>
      <w:r>
        <w:rPr>
          <w:i/>
        </w:rPr>
        <w:t>ext Menu part.</w:t>
      </w:r>
    </w:p>
    <w:p w:rsidR="00024C0A" w:rsidRDefault="00694C0F">
      <w:pPr>
        <w:pStyle w:val="Definition-Field2"/>
      </w:pPr>
      <w:r>
        <w:t>Office defines a Context Menu part, which contains information about Context Menu customizations.</w:t>
      </w:r>
    </w:p>
    <w:p w:rsidR="00024C0A" w:rsidRDefault="00694C0F">
      <w:pPr>
        <w:pStyle w:val="Definition-Field"/>
      </w:pPr>
      <w:r>
        <w:t xml:space="preserve">e.   </w:t>
      </w:r>
      <w:r>
        <w:rPr>
          <w:i/>
        </w:rPr>
        <w:t>The standard does not include documentation for the Backstage part.</w:t>
      </w:r>
    </w:p>
    <w:p w:rsidR="00024C0A" w:rsidRDefault="00694C0F">
      <w:pPr>
        <w:pStyle w:val="Definition-Field2"/>
      </w:pPr>
      <w:r>
        <w:t>Office defines a Backstage part, which contains information about Back</w:t>
      </w:r>
      <w:r>
        <w:t>stage customizations.</w:t>
      </w:r>
    </w:p>
    <w:p w:rsidR="00024C0A" w:rsidRDefault="00694C0F">
      <w:pPr>
        <w:pStyle w:val="Heading3"/>
      </w:pPr>
      <w:bookmarkStart w:id="71" w:name="section_59d313b6b9a8485083f1e87ad9abd509"/>
      <w:bookmarkStart w:id="72" w:name="_Toc12260096"/>
      <w:r>
        <w:t>Part 1 Section 15.2.5, Custom XML Data Storage Part</w:t>
      </w:r>
      <w:bookmarkEnd w:id="71"/>
      <w:bookmarkEnd w:id="72"/>
      <w:r>
        <w:fldChar w:fldCharType="begin"/>
      </w:r>
      <w:r>
        <w:instrText xml:space="preserve"> XE "Custom XML Data Storage Part" </w:instrText>
      </w:r>
      <w:r>
        <w:fldChar w:fldCharType="end"/>
      </w:r>
    </w:p>
    <w:p w:rsidR="00024C0A" w:rsidRDefault="00694C0F">
      <w:pPr>
        <w:pStyle w:val="Definition-Field"/>
      </w:pPr>
      <w:r>
        <w:t xml:space="preserve">a.   </w:t>
      </w:r>
      <w:r>
        <w:rPr>
          <w:i/>
        </w:rPr>
        <w:t>The standard does not specify that Office reserves namespaces for storing document properties.</w:t>
      </w:r>
    </w:p>
    <w:p w:rsidR="00024C0A" w:rsidRDefault="00694C0F">
      <w:r>
        <w:t>Office reserves the following specific namesp</w:t>
      </w:r>
      <w:r>
        <w:t>aces for storing document properties:</w:t>
      </w:r>
    </w:p>
    <w:tbl>
      <w:tblPr>
        <w:tblStyle w:val="Table-ShadedHeader"/>
        <w:tblW w:w="0" w:type="auto"/>
        <w:tblLook w:val="04A0" w:firstRow="1" w:lastRow="0" w:firstColumn="1" w:lastColumn="0" w:noHBand="0" w:noVBand="1"/>
      </w:tblPr>
      <w:tblGrid>
        <w:gridCol w:w="6516"/>
        <w:gridCol w:w="2959"/>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Root Namespace</w:t>
            </w:r>
          </w:p>
        </w:tc>
        <w:tc>
          <w:tcPr>
            <w:tcW w:w="0" w:type="auto"/>
            <w:vAlign w:val="center"/>
          </w:tcPr>
          <w:p w:rsidR="00024C0A" w:rsidRDefault="00694C0F">
            <w:pPr>
              <w:pStyle w:val="TableHeaderText"/>
            </w:pPr>
            <w:r>
              <w:t>Reference</w:t>
            </w:r>
          </w:p>
        </w:tc>
      </w:tr>
      <w:tr w:rsidR="00024C0A" w:rsidTr="00024C0A">
        <w:tc>
          <w:tcPr>
            <w:tcW w:w="0" w:type="auto"/>
            <w:vAlign w:val="center"/>
          </w:tcPr>
          <w:p w:rsidR="00024C0A" w:rsidRDefault="00694C0F">
            <w:pPr>
              <w:pStyle w:val="TableBodyText"/>
            </w:pPr>
            <w:r>
              <w:t>http://schemas.microsoft.com/office/2006/customDocumentInformationPanel</w:t>
            </w:r>
          </w:p>
        </w:tc>
        <w:tc>
          <w:tcPr>
            <w:tcW w:w="0" w:type="auto"/>
            <w:vAlign w:val="center"/>
          </w:tcPr>
          <w:p w:rsidR="00024C0A" w:rsidRDefault="00694C0F">
            <w:pPr>
              <w:pStyle w:val="TableBodyText"/>
            </w:pPr>
            <w:hyperlink w:anchor="Section_471bacba8a3243149825ae9d444e1af9">
              <w:r>
                <w:rPr>
                  <w:rStyle w:val="Hyperlink"/>
                </w:rPr>
                <w:t>§3.5.3.1, Custom Document Information Panel Schema</w:t>
              </w:r>
            </w:hyperlink>
          </w:p>
        </w:tc>
      </w:tr>
      <w:tr w:rsidR="00024C0A" w:rsidTr="00024C0A">
        <w:tc>
          <w:tcPr>
            <w:tcW w:w="0" w:type="auto"/>
            <w:vAlign w:val="center"/>
          </w:tcPr>
          <w:p w:rsidR="00024C0A" w:rsidRDefault="00694C0F">
            <w:pPr>
              <w:pStyle w:val="TableBodyText"/>
            </w:pPr>
            <w:r>
              <w:t>http://schemas.microsoft.com/office/2006/metadata/customXsn</w:t>
            </w:r>
          </w:p>
        </w:tc>
        <w:tc>
          <w:tcPr>
            <w:tcW w:w="0" w:type="auto"/>
            <w:vAlign w:val="center"/>
          </w:tcPr>
          <w:p w:rsidR="00024C0A" w:rsidRDefault="00694C0F">
            <w:pPr>
              <w:pStyle w:val="TableBodyText"/>
            </w:pPr>
            <w:hyperlink w:anchor="Section_d9b4ba0ebe664084a162d0eac8fa85e9">
              <w:r>
                <w:rPr>
                  <w:rStyle w:val="Hyperlink"/>
                </w:rPr>
                <w:t>§3.5.4.1, Custom XSN Schema</w:t>
              </w:r>
            </w:hyperlink>
          </w:p>
        </w:tc>
      </w:tr>
      <w:tr w:rsidR="00024C0A" w:rsidTr="00024C0A">
        <w:tc>
          <w:tcPr>
            <w:tcW w:w="0" w:type="auto"/>
            <w:vAlign w:val="center"/>
          </w:tcPr>
          <w:p w:rsidR="00024C0A" w:rsidRDefault="00694C0F">
            <w:pPr>
              <w:pStyle w:val="TableBodyText"/>
            </w:pPr>
            <w:r>
              <w:t>http://schemas.microsoft.com/office/2006/metadata/contentType</w:t>
            </w:r>
          </w:p>
        </w:tc>
        <w:tc>
          <w:tcPr>
            <w:tcW w:w="0" w:type="auto"/>
            <w:vAlign w:val="center"/>
          </w:tcPr>
          <w:p w:rsidR="00024C0A" w:rsidRDefault="00694C0F">
            <w:pPr>
              <w:pStyle w:val="TableBodyText"/>
            </w:pPr>
            <w:hyperlink w:anchor="Section_acb43eb342e64ae998cacd04346b080a">
              <w:r>
                <w:rPr>
                  <w:rStyle w:val="Hyperlink"/>
                </w:rPr>
                <w:t>§3.5.2.1, Content Type Schemas Schema</w:t>
              </w:r>
            </w:hyperlink>
          </w:p>
        </w:tc>
      </w:tr>
      <w:tr w:rsidR="00024C0A" w:rsidTr="00024C0A">
        <w:tc>
          <w:tcPr>
            <w:tcW w:w="0" w:type="auto"/>
            <w:vAlign w:val="center"/>
          </w:tcPr>
          <w:p w:rsidR="00024C0A" w:rsidRDefault="00694C0F">
            <w:pPr>
              <w:pStyle w:val="TableBodyText"/>
            </w:pPr>
            <w:r>
              <w:t>http://schemas.microsoft.com/office/2006/coverPageProps</w:t>
            </w:r>
          </w:p>
        </w:tc>
        <w:tc>
          <w:tcPr>
            <w:tcW w:w="0" w:type="auto"/>
            <w:vAlign w:val="center"/>
          </w:tcPr>
          <w:p w:rsidR="00024C0A" w:rsidRDefault="00694C0F">
            <w:pPr>
              <w:pStyle w:val="TableBodyText"/>
            </w:pPr>
            <w:hyperlink w:anchor="Section_f4d50e0ddbdb493d9c1f5e94acf656a1">
              <w:r>
                <w:rPr>
                  <w:rStyle w:val="Hyperlink"/>
                </w:rPr>
                <w:t>§3.5.1.1, Cover Page Properties Schema</w:t>
              </w:r>
            </w:hyperlink>
          </w:p>
        </w:tc>
      </w:tr>
      <w:tr w:rsidR="00024C0A" w:rsidTr="00024C0A">
        <w:tc>
          <w:tcPr>
            <w:tcW w:w="0" w:type="auto"/>
            <w:vAlign w:val="center"/>
          </w:tcPr>
          <w:p w:rsidR="00024C0A" w:rsidRDefault="00694C0F">
            <w:pPr>
              <w:pStyle w:val="TableBodyText"/>
            </w:pPr>
            <w:r>
              <w:t>http://schemas.microsoft.com/office/2</w:t>
            </w:r>
            <w:r>
              <w:t>006/metadata/longProperties</w:t>
            </w:r>
          </w:p>
        </w:tc>
        <w:tc>
          <w:tcPr>
            <w:tcW w:w="0" w:type="auto"/>
            <w:vAlign w:val="center"/>
          </w:tcPr>
          <w:p w:rsidR="00024C0A" w:rsidRDefault="00694C0F">
            <w:pPr>
              <w:pStyle w:val="TableBodyText"/>
            </w:pPr>
            <w:hyperlink w:anchor="Section_03e16b150a6b4dc88574f27a056f37e5">
              <w:r>
                <w:rPr>
                  <w:rStyle w:val="Hyperlink"/>
                </w:rPr>
                <w:t>§3.5.5.1, Long Properties Schema</w:t>
              </w:r>
            </w:hyperlink>
          </w:p>
        </w:tc>
      </w:tr>
      <w:tr w:rsidR="00024C0A" w:rsidTr="00024C0A">
        <w:tc>
          <w:tcPr>
            <w:tcW w:w="0" w:type="auto"/>
            <w:vAlign w:val="center"/>
          </w:tcPr>
          <w:p w:rsidR="00024C0A" w:rsidRDefault="00694C0F">
            <w:pPr>
              <w:pStyle w:val="TableBodyText"/>
            </w:pPr>
            <w:r>
              <w:t>office.server.policy</w:t>
            </w:r>
          </w:p>
        </w:tc>
        <w:tc>
          <w:tcPr>
            <w:tcW w:w="0" w:type="auto"/>
            <w:vAlign w:val="center"/>
          </w:tcPr>
          <w:p w:rsidR="00024C0A" w:rsidRDefault="00694C0F">
            <w:pPr>
              <w:pStyle w:val="TableBodyText"/>
            </w:pPr>
            <w:r>
              <w:t>Collaborative Application Markup Language (CAML) Structure Specification (</w:t>
            </w:r>
            <w:hyperlink r:id="rId53" w:anchor="Section_8d6156fd646842949594644a946ed6a6">
              <w:r>
                <w:rPr>
                  <w:rStyle w:val="Hyperlink"/>
                </w:rPr>
                <w:t>[MS-WSSCAML]</w:t>
              </w:r>
            </w:hyperlink>
            <w:r>
              <w:t xml:space="preserve"> </w:t>
            </w:r>
            <w:r>
              <w:lastRenderedPageBreak/>
              <w:t>Subclause 2.5.1.7).</w:t>
            </w:r>
          </w:p>
        </w:tc>
      </w:tr>
    </w:tbl>
    <w:p w:rsidR="00024C0A" w:rsidRDefault="00024C0A"/>
    <w:p w:rsidR="00024C0A" w:rsidRDefault="00694C0F">
      <w:r>
        <w:t xml:space="preserve">Furthermore, a Custom XML Data Storage part with root namespace of http://schemas.microsoft.com/office/2006/metadata/properties describes the properties of this document as </w:t>
      </w:r>
      <w:r>
        <w:t>defined by the xsd:schema children of Content Type Schemas (§3.5.2.1, Content Type Schemas Schema). The xsd:schema that bears the ma:root Root (</w:t>
      </w:r>
      <w:hyperlink w:anchor="Section_83c200b15a6944308fe6adc3583034a2">
        <w:r>
          <w:rPr>
            <w:rStyle w:val="Hyperlink"/>
          </w:rPr>
          <w:t>§3.5.2.2.1, Shared Attributes</w:t>
        </w:r>
      </w:hyperlink>
      <w:r>
        <w:t>) attribute describe</w:t>
      </w:r>
      <w:r>
        <w:t>s the structure of the root element this Custom XML Data Storage part, with the other xsd:schema children collectively describing elements from other namespaces referenced.</w:t>
      </w:r>
    </w:p>
    <w:p w:rsidR="00024C0A" w:rsidRDefault="00694C0F">
      <w:pPr>
        <w:pStyle w:val="Heading3"/>
      </w:pPr>
      <w:bookmarkStart w:id="73" w:name="section_754c8ac1923d412f8fefc85862e9124a"/>
      <w:bookmarkStart w:id="74" w:name="_Toc12260097"/>
      <w:r>
        <w:t>Part 1 Section 15.2.9, Embedded Control Persistence Part</w:t>
      </w:r>
      <w:bookmarkEnd w:id="73"/>
      <w:bookmarkEnd w:id="74"/>
      <w:r>
        <w:fldChar w:fldCharType="begin"/>
      </w:r>
      <w:r>
        <w:instrText xml:space="preserve"> XE "Embedded Control Persi</w:instrText>
      </w:r>
      <w:r>
        <w:instrText xml:space="preserve">stence Part" </w:instrText>
      </w:r>
      <w:r>
        <w:fldChar w:fldCharType="end"/>
      </w:r>
    </w:p>
    <w:p w:rsidR="00024C0A" w:rsidRDefault="00694C0F">
      <w:pPr>
        <w:pStyle w:val="Definition-Field"/>
      </w:pPr>
      <w:r>
        <w:t xml:space="preserve">a.   </w:t>
      </w:r>
      <w:r>
        <w:rPr>
          <w:i/>
        </w:rPr>
        <w:t>The standard does not state the content type used for ActiveX data stored in the Embedded Control Persistence part.</w:t>
      </w:r>
    </w:p>
    <w:p w:rsidR="00024C0A" w:rsidRDefault="00694C0F">
      <w:pPr>
        <w:pStyle w:val="Definition-Field2"/>
      </w:pPr>
      <w:r>
        <w:t>When Office stores data for ActiveX controls in the Embedded Control Persistence part, the following content type is us</w:t>
      </w:r>
      <w:r>
        <w:t>ed: application/vnd.ms-office.activeX+xml.</w:t>
      </w:r>
    </w:p>
    <w:p w:rsidR="00024C0A" w:rsidRDefault="00694C0F">
      <w:pPr>
        <w:pStyle w:val="Heading3"/>
      </w:pPr>
      <w:bookmarkStart w:id="75" w:name="section_28beaa8f42ce41e6820d4d7af34457a5"/>
      <w:bookmarkStart w:id="76" w:name="_Toc12260098"/>
      <w:r>
        <w:t>Part 1 Section 15.2.12.1, Core File Properties Part</w:t>
      </w:r>
      <w:bookmarkEnd w:id="75"/>
      <w:bookmarkEnd w:id="76"/>
      <w:r>
        <w:fldChar w:fldCharType="begin"/>
      </w:r>
      <w:r>
        <w:instrText xml:space="preserve"> XE "Core File Properties Part" </w:instrText>
      </w:r>
      <w:r>
        <w:fldChar w:fldCharType="end"/>
      </w:r>
    </w:p>
    <w:p w:rsidR="00024C0A" w:rsidRDefault="00694C0F">
      <w:pPr>
        <w:pStyle w:val="Definition-Field"/>
      </w:pPr>
      <w:r>
        <w:t xml:space="preserve">a.   </w:t>
      </w:r>
      <w:r>
        <w:rPr>
          <w:i/>
        </w:rPr>
        <w:t xml:space="preserve">The standard specifies a source relations ship for the Core File Properties part as follows: </w:t>
      </w:r>
      <w:r>
        <w:rPr>
          <w:i/>
        </w:rPr>
        <w:t>http://schemas.openxmlformats.org/officedocument/2006/relationships/metadata/core-properties.</w:t>
      </w:r>
    </w:p>
    <w:p w:rsidR="00024C0A" w:rsidRDefault="00694C0F">
      <w:pPr>
        <w:pStyle w:val="Definition-Field2"/>
      </w:pPr>
      <w:r>
        <w:t>Office uses the following source relationship for the Core File Properties part: http://schemas.openxmlformats.org/package/2006/relationships/metadata/core-proper</w:t>
      </w:r>
      <w:r>
        <w:t>ties.</w:t>
      </w:r>
    </w:p>
    <w:p w:rsidR="00024C0A" w:rsidRDefault="00694C0F">
      <w:pPr>
        <w:pStyle w:val="Heading3"/>
      </w:pPr>
      <w:bookmarkStart w:id="77" w:name="section_329b6ef35848403b97e9069503df5e3a"/>
      <w:bookmarkStart w:id="78" w:name="_Toc12260099"/>
      <w:r>
        <w:t>Part 1 Section 15.2.12.2, Custom File Properties Part</w:t>
      </w:r>
      <w:bookmarkEnd w:id="77"/>
      <w:bookmarkEnd w:id="78"/>
      <w:r>
        <w:fldChar w:fldCharType="begin"/>
      </w:r>
      <w:r>
        <w:instrText xml:space="preserve"> XE "Custom File Properties Part" </w:instrText>
      </w:r>
      <w:r>
        <w:fldChar w:fldCharType="end"/>
      </w:r>
    </w:p>
    <w:p w:rsidR="00024C0A" w:rsidRDefault="00694C0F">
      <w:pPr>
        <w:rPr>
          <w:i/>
        </w:rPr>
      </w:pPr>
      <w:r>
        <w:rPr>
          <w:i/>
        </w:rPr>
        <w:t>The standard does not specify any specific Custom File Properties (</w:t>
      </w:r>
      <w:r>
        <w:t>"</w:t>
      </w:r>
      <w:hyperlink r:id="rId54">
        <w:r>
          <w:rPr>
            <w:rStyle w:val="Hyperlink"/>
          </w:rPr>
          <w:t>[ISO/IEC-29500-1]</w:t>
        </w:r>
      </w:hyperlink>
      <w:r>
        <w:t xml:space="preserve"> §15.2.12</w:t>
      </w:r>
      <w:r>
        <w:t>.2; Custom File Properties Part"</w:t>
      </w:r>
      <w:r>
        <w:rPr>
          <w:i/>
        </w:rPr>
        <w:t>) names or values, nor does it attribute meaning to them.</w:t>
      </w:r>
    </w:p>
    <w:p w:rsidR="00024C0A" w:rsidRDefault="00694C0F">
      <w:r>
        <w:t>Excel, Word, and PowerPoint may add specific Custom File Properties if a sensitivity label is applied.</w:t>
      </w:r>
    </w:p>
    <w:p w:rsidR="00024C0A" w:rsidRDefault="00694C0F">
      <w:r>
        <w:t>Excel, Word, and PowerPoint may persist metadata from the Micro</w:t>
      </w:r>
      <w:r>
        <w:t xml:space="preserve">soft Information Protection Software Development Kit to Custom File Properties. Additionally, the property name "Sensitivity" is written and set to the GUID of the label ID applied to the file. The label ID is given by the Microsoft Information Protection </w:t>
      </w:r>
      <w:r>
        <w:t>Software Development Kit corresponding to the applied label.</w:t>
      </w:r>
    </w:p>
    <w:p w:rsidR="00024C0A" w:rsidRDefault="00694C0F">
      <w:r>
        <w:t>Word may persist additional Custom File Properties if a sensitivity label is applied, as shown in the table below.</w:t>
      </w:r>
    </w:p>
    <w:tbl>
      <w:tblPr>
        <w:tblStyle w:val="Table-ShadedHeader"/>
        <w:tblW w:w="0" w:type="auto"/>
        <w:tblLook w:val="04A0" w:firstRow="1" w:lastRow="0" w:firstColumn="1" w:lastColumn="0" w:noHBand="0" w:noVBand="1"/>
      </w:tblPr>
      <w:tblGrid>
        <w:gridCol w:w="4768"/>
        <w:gridCol w:w="4707"/>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4768" w:type="dxa"/>
          </w:tcPr>
          <w:p w:rsidR="00024C0A" w:rsidRDefault="00694C0F">
            <w:pPr>
              <w:pStyle w:val="TableHeaderText"/>
            </w:pPr>
            <w:r>
              <w:t>Custom Property Name</w:t>
            </w:r>
          </w:p>
        </w:tc>
        <w:tc>
          <w:tcPr>
            <w:tcW w:w="4707" w:type="dxa"/>
          </w:tcPr>
          <w:p w:rsidR="00024C0A" w:rsidRDefault="00694C0F">
            <w:pPr>
              <w:pStyle w:val="TableHeaderText"/>
            </w:pPr>
            <w:r>
              <w:t>Value Description</w:t>
            </w:r>
          </w:p>
        </w:tc>
      </w:tr>
      <w:tr w:rsidR="00024C0A" w:rsidTr="00024C0A">
        <w:tc>
          <w:tcPr>
            <w:tcW w:w="4768" w:type="dxa"/>
          </w:tcPr>
          <w:p w:rsidR="00024C0A" w:rsidRDefault="00694C0F">
            <w:pPr>
              <w:pStyle w:val="TableBodyText"/>
            </w:pPr>
            <w:r>
              <w:t>ClassificationContentMarkingHeaderFontPr</w:t>
            </w:r>
            <w:r>
              <w:t>ops</w:t>
            </w:r>
          </w:p>
        </w:tc>
        <w:tc>
          <w:tcPr>
            <w:tcW w:w="4707" w:type="dxa"/>
          </w:tcPr>
          <w:p w:rsidR="00024C0A" w:rsidRDefault="00694C0F">
            <w:pPr>
              <w:pStyle w:val="TableBodyText"/>
            </w:pPr>
            <w:r>
              <w:t>Written if the sensitivity label applied indicates that a header should be applied. The value is a # followed by the header text color in RRGGBB format, where RR, GG, and BB each represent a hexadecimal number indicating the amount of red (RR), green (</w:t>
            </w:r>
            <w:r>
              <w:t>GG), and blue (BB) to display on a scale of 0 (none) to FF (all). For example, #000000 indicates black and #FFFFFF indicates white. This is followed by a comma and the text font size in points, another comma, and the text font face name.</w:t>
            </w:r>
          </w:p>
        </w:tc>
      </w:tr>
      <w:tr w:rsidR="00024C0A" w:rsidTr="00024C0A">
        <w:tc>
          <w:tcPr>
            <w:tcW w:w="4768" w:type="dxa"/>
          </w:tcPr>
          <w:p w:rsidR="00024C0A" w:rsidRDefault="00694C0F">
            <w:pPr>
              <w:pStyle w:val="TableBodyText"/>
            </w:pPr>
            <w:r>
              <w:lastRenderedPageBreak/>
              <w:t>ClassificationContentMarkingHeaderShapeIds</w:t>
            </w:r>
          </w:p>
        </w:tc>
        <w:tc>
          <w:tcPr>
            <w:tcW w:w="4707" w:type="dxa"/>
          </w:tcPr>
          <w:p w:rsidR="00024C0A" w:rsidRDefault="00694C0F">
            <w:pPr>
              <w:pStyle w:val="TableBodyText"/>
            </w:pPr>
            <w:r>
              <w:t xml:space="preserve">Written if the sensitivity label applied indicates that a header should be applied. The value is a comma separated list of shape IDs, written in hexadecimal without the leading 0x, which comprise the shapes which </w:t>
            </w:r>
            <w:r>
              <w:t>are used to render the headers.</w:t>
            </w:r>
          </w:p>
        </w:tc>
      </w:tr>
      <w:tr w:rsidR="00024C0A" w:rsidTr="00024C0A">
        <w:tc>
          <w:tcPr>
            <w:tcW w:w="4768" w:type="dxa"/>
          </w:tcPr>
          <w:p w:rsidR="00024C0A" w:rsidRDefault="00694C0F">
            <w:pPr>
              <w:pStyle w:val="TableBodyText"/>
            </w:pPr>
            <w:r>
              <w:t>ClassificationContentMarkingHeaderShapeIds-</w:t>
            </w:r>
            <w:r>
              <w:rPr>
                <w:b/>
                <w:i/>
              </w:rPr>
              <w:t>&lt;suffix&gt;</w:t>
            </w:r>
          </w:p>
        </w:tc>
        <w:tc>
          <w:tcPr>
            <w:tcW w:w="4707" w:type="dxa"/>
          </w:tcPr>
          <w:p w:rsidR="00024C0A" w:rsidRDefault="00694C0F">
            <w:pPr>
              <w:pStyle w:val="TableBodyText"/>
            </w:pPr>
            <w:r>
              <w:t>Written if the ClassificationContentMarkingHeaderShapeIds Custom File Property is written and the value grows too long because of the number of shapes inserted in the file</w:t>
            </w:r>
            <w:r>
              <w:t xml:space="preserve">. </w:t>
            </w:r>
            <w:r>
              <w:rPr>
                <w:b/>
                <w:i/>
              </w:rPr>
              <w:t>&lt;Suffix&gt;</w:t>
            </w:r>
            <w:r>
              <w:t xml:space="preserve"> is a hexadecimal number without the leading 0x that starts with 1 and increments by 1. For example, ClassificationContentMarkingHeaderShapeIds-1 is written if ClassificationContentMarkingHeaderShapeIds Custom File Property is written and the val</w:t>
            </w:r>
            <w:r>
              <w:t>ue is too large because of the number of shapes inserted in the file. ClassificationContentMarkingHeaderShapeIds-2 is written if ClassificationContentMarkingHeaderShapeIds-1 Custom File Property is written and the value is too large because of the number o</w:t>
            </w:r>
            <w:r>
              <w:t>f shapes inserted in the file.</w:t>
            </w:r>
          </w:p>
        </w:tc>
      </w:tr>
      <w:tr w:rsidR="00024C0A" w:rsidTr="00024C0A">
        <w:tc>
          <w:tcPr>
            <w:tcW w:w="4768" w:type="dxa"/>
          </w:tcPr>
          <w:p w:rsidR="00024C0A" w:rsidRDefault="00694C0F">
            <w:pPr>
              <w:pStyle w:val="TableBodyText"/>
            </w:pPr>
            <w:r>
              <w:t>ClassificationContentMarkingHeaderText</w:t>
            </w:r>
          </w:p>
        </w:tc>
        <w:tc>
          <w:tcPr>
            <w:tcW w:w="4707" w:type="dxa"/>
          </w:tcPr>
          <w:p w:rsidR="00024C0A" w:rsidRDefault="00694C0F">
            <w:pPr>
              <w:pStyle w:val="TableBodyText"/>
            </w:pPr>
            <w:r>
              <w:t>Written if the sensitivity label applied indicates that a header should be applied. The value is the header text displayed in the document as part of applying the sensitivity label.</w:t>
            </w:r>
          </w:p>
        </w:tc>
      </w:tr>
      <w:tr w:rsidR="00024C0A" w:rsidTr="00024C0A">
        <w:tc>
          <w:tcPr>
            <w:tcW w:w="4768" w:type="dxa"/>
          </w:tcPr>
          <w:p w:rsidR="00024C0A" w:rsidRDefault="00694C0F">
            <w:pPr>
              <w:pStyle w:val="TableBodyText"/>
            </w:pPr>
            <w:r>
              <w:t>Cl</w:t>
            </w:r>
            <w:r>
              <w:t>assificationContentMarkingFooterFontProps</w:t>
            </w:r>
          </w:p>
        </w:tc>
        <w:tc>
          <w:tcPr>
            <w:tcW w:w="4707" w:type="dxa"/>
          </w:tcPr>
          <w:p w:rsidR="00024C0A" w:rsidRDefault="00694C0F">
            <w:pPr>
              <w:pStyle w:val="TableBodyText"/>
            </w:pPr>
            <w:r>
              <w:t>Written if the sensitivity label applied indicates that a footer should be applied. The value is a # followed by the footer text color in RRGGBB format, where RR, GG, and BB each represent a hexadecimal number indi</w:t>
            </w:r>
            <w:r>
              <w:t>cating the amount of red (RR), green (GG), and blue (BB) to display on a scale of 0 (none) to FF (all). For example, #000000 indicates black and #FFFFFF indicates white. This is followed by a comma and the text font size in points, another comma, and the t</w:t>
            </w:r>
            <w:r>
              <w:t>ext font face name.</w:t>
            </w:r>
          </w:p>
        </w:tc>
      </w:tr>
      <w:tr w:rsidR="00024C0A" w:rsidTr="00024C0A">
        <w:tc>
          <w:tcPr>
            <w:tcW w:w="4768" w:type="dxa"/>
          </w:tcPr>
          <w:p w:rsidR="00024C0A" w:rsidRDefault="00694C0F">
            <w:pPr>
              <w:pStyle w:val="TableBodyText"/>
            </w:pPr>
            <w:r>
              <w:t>ClassificationContentMarkingFooterShapeIds</w:t>
            </w:r>
          </w:p>
        </w:tc>
        <w:tc>
          <w:tcPr>
            <w:tcW w:w="4707" w:type="dxa"/>
          </w:tcPr>
          <w:p w:rsidR="00024C0A" w:rsidRDefault="00694C0F">
            <w:pPr>
              <w:pStyle w:val="TableBodyText"/>
            </w:pPr>
            <w:r>
              <w:t>Written if the sensitivity label applied indicates that a footer should be applied. The value is a comma separated list of shape IDs, written in hexadecimal without the leading 0x, which compr</w:t>
            </w:r>
            <w:r>
              <w:t>ise the shapes which are used to render the footers.</w:t>
            </w:r>
          </w:p>
        </w:tc>
      </w:tr>
      <w:tr w:rsidR="00024C0A" w:rsidTr="00024C0A">
        <w:tc>
          <w:tcPr>
            <w:tcW w:w="4768" w:type="dxa"/>
          </w:tcPr>
          <w:p w:rsidR="00024C0A" w:rsidRDefault="00694C0F">
            <w:pPr>
              <w:pStyle w:val="TableBodyText"/>
            </w:pPr>
            <w:r>
              <w:t>ClassificationContentMarkingFooterShapeIds-</w:t>
            </w:r>
            <w:r>
              <w:rPr>
                <w:b/>
                <w:i/>
              </w:rPr>
              <w:t>&lt;suffix&gt;</w:t>
            </w:r>
          </w:p>
        </w:tc>
        <w:tc>
          <w:tcPr>
            <w:tcW w:w="4707" w:type="dxa"/>
          </w:tcPr>
          <w:p w:rsidR="00024C0A" w:rsidRDefault="00694C0F">
            <w:pPr>
              <w:pStyle w:val="TableBodyText"/>
            </w:pPr>
            <w:r>
              <w:t>Written if the ClassificationContentMarkingFooterShapeIds Custom File Property is written and the value grows too long because of the number of shapes</w:t>
            </w:r>
            <w:r>
              <w:t xml:space="preserve"> inserted in the file. </w:t>
            </w:r>
            <w:r>
              <w:rPr>
                <w:b/>
                <w:i/>
              </w:rPr>
              <w:t>&lt;Suffix&gt;</w:t>
            </w:r>
            <w:r>
              <w:t xml:space="preserve"> is a hexadecimal number without the leading 0x that starts with 1 and increments by 1. For example, ClassificationContentMarkingHeaderShapeIds-1 is written if ClassificationContentMarkingFooterShapeIds Custom File Property i</w:t>
            </w:r>
            <w:r>
              <w:t>s written and the value is too large because of the number of shapes inserted in the file. ClassificationContentMarkingFooterShapeIds-2 is written if ClassificationContentMarkingFooterShapeIds-1 Custom File Property is written and the value is too large be</w:t>
            </w:r>
            <w:r>
              <w:t>cause of the number of shapes inserted in the file.</w:t>
            </w:r>
          </w:p>
        </w:tc>
      </w:tr>
      <w:tr w:rsidR="00024C0A" w:rsidTr="00024C0A">
        <w:tc>
          <w:tcPr>
            <w:tcW w:w="4768" w:type="dxa"/>
          </w:tcPr>
          <w:p w:rsidR="00024C0A" w:rsidRDefault="00694C0F">
            <w:pPr>
              <w:pStyle w:val="TableBodyText"/>
            </w:pPr>
            <w:r>
              <w:lastRenderedPageBreak/>
              <w:t>ClassificationContentMarkingFooterText</w:t>
            </w:r>
          </w:p>
        </w:tc>
        <w:tc>
          <w:tcPr>
            <w:tcW w:w="4707" w:type="dxa"/>
          </w:tcPr>
          <w:p w:rsidR="00024C0A" w:rsidRDefault="00694C0F">
            <w:pPr>
              <w:pStyle w:val="TableBodyText"/>
            </w:pPr>
            <w:r>
              <w:t>Written if the sensitivity label applied indicates that a footer should be applied. The value is the footer text displayed in the document as part of applying the s</w:t>
            </w:r>
            <w:r>
              <w:t>ensitivity label.</w:t>
            </w:r>
          </w:p>
        </w:tc>
      </w:tr>
      <w:tr w:rsidR="00024C0A" w:rsidTr="00024C0A">
        <w:tc>
          <w:tcPr>
            <w:tcW w:w="4768" w:type="dxa"/>
          </w:tcPr>
          <w:p w:rsidR="00024C0A" w:rsidRDefault="00694C0F">
            <w:pPr>
              <w:pStyle w:val="TableBodyText"/>
            </w:pPr>
            <w:r>
              <w:t>ClassificationWatermarkFontProps</w:t>
            </w:r>
          </w:p>
        </w:tc>
        <w:tc>
          <w:tcPr>
            <w:tcW w:w="4707" w:type="dxa"/>
          </w:tcPr>
          <w:p w:rsidR="00024C0A" w:rsidRDefault="00694C0F">
            <w:pPr>
              <w:pStyle w:val="TableBodyText"/>
            </w:pPr>
            <w:r>
              <w:t>Written if the sensitivity label applied indicates that a watermark should be applied. The value is a # followed by the watermark text color in RRGGBB format, where RR, GG, and BB each represent a hexadec</w:t>
            </w:r>
            <w:r>
              <w:t xml:space="preserve">imal number indicating the amount of red (RR), green (GG), and blue (BB) to display on a scale of 0 (none) to FF (all). For example, #000000 indicates black and #FFFFFF indicates white. This is followed by a comma and the text font size in points, another </w:t>
            </w:r>
            <w:r>
              <w:t>comma, and the text font face name.</w:t>
            </w:r>
          </w:p>
        </w:tc>
      </w:tr>
      <w:tr w:rsidR="00024C0A" w:rsidTr="00024C0A">
        <w:tc>
          <w:tcPr>
            <w:tcW w:w="4768" w:type="dxa"/>
          </w:tcPr>
          <w:p w:rsidR="00024C0A" w:rsidRDefault="00694C0F">
            <w:pPr>
              <w:pStyle w:val="TableBodyText"/>
            </w:pPr>
            <w:r>
              <w:t>ClassificationWatermarkShapeIds</w:t>
            </w:r>
          </w:p>
        </w:tc>
        <w:tc>
          <w:tcPr>
            <w:tcW w:w="4707" w:type="dxa"/>
          </w:tcPr>
          <w:p w:rsidR="00024C0A" w:rsidRDefault="00694C0F">
            <w:pPr>
              <w:pStyle w:val="TableBodyText"/>
            </w:pPr>
            <w:r>
              <w:t xml:space="preserve">Written if the sensitivity label applied indicates that a watermark should be applied. The value is a comma separated list of shape IDs, written in hexadecimal without the leading 0x, </w:t>
            </w:r>
            <w:r>
              <w:t>which comprise the shapes which are used to render the watermarks.</w:t>
            </w:r>
          </w:p>
        </w:tc>
      </w:tr>
      <w:tr w:rsidR="00024C0A" w:rsidTr="00024C0A">
        <w:tc>
          <w:tcPr>
            <w:tcW w:w="4768" w:type="dxa"/>
          </w:tcPr>
          <w:p w:rsidR="00024C0A" w:rsidRDefault="00694C0F">
            <w:pPr>
              <w:pStyle w:val="TableBodyText"/>
            </w:pPr>
            <w:r>
              <w:t>ClassificationWatermarkShapeIds-</w:t>
            </w:r>
            <w:r>
              <w:rPr>
                <w:b/>
                <w:i/>
              </w:rPr>
              <w:t>&lt;suffix&gt;</w:t>
            </w:r>
          </w:p>
        </w:tc>
        <w:tc>
          <w:tcPr>
            <w:tcW w:w="4707" w:type="dxa"/>
          </w:tcPr>
          <w:p w:rsidR="00024C0A" w:rsidRDefault="00694C0F">
            <w:pPr>
              <w:pStyle w:val="TableBodyText"/>
            </w:pPr>
            <w:r>
              <w:t>Written if the ClassificationWatermarkShapeIds Custom File Property is written and the value grows too long because of the number of shapes inserte</w:t>
            </w:r>
            <w:r>
              <w:t xml:space="preserve">d in the file. </w:t>
            </w:r>
            <w:r>
              <w:rPr>
                <w:b/>
                <w:i/>
              </w:rPr>
              <w:t>&lt;Suffix&gt;</w:t>
            </w:r>
            <w:r>
              <w:t xml:space="preserve"> is a hexadecimal number without the leading 0x that starts with 1 and increments by 1. For example, ClassificationWatermarkShapeIds-1 is written if ClassificationWatermarkShapeIds Custom File Property is written and the value is too</w:t>
            </w:r>
            <w:r>
              <w:t xml:space="preserve"> large because of the number of shapes inserted in the file. ClassificationWatermarkShapeIds-2 is written if ClassificationWatermarkShapeIds-1 Custom File Property is written and the value is too large because of the number of shapes inserted in the file.</w:t>
            </w:r>
          </w:p>
        </w:tc>
      </w:tr>
      <w:tr w:rsidR="00024C0A" w:rsidTr="00024C0A">
        <w:tc>
          <w:tcPr>
            <w:tcW w:w="4768" w:type="dxa"/>
          </w:tcPr>
          <w:p w:rsidR="00024C0A" w:rsidRDefault="00694C0F">
            <w:pPr>
              <w:pStyle w:val="TableBodyText"/>
            </w:pPr>
            <w:r>
              <w:t>ClassificationWatermarkText</w:t>
            </w:r>
          </w:p>
        </w:tc>
        <w:tc>
          <w:tcPr>
            <w:tcW w:w="4707" w:type="dxa"/>
          </w:tcPr>
          <w:p w:rsidR="00024C0A" w:rsidRDefault="00694C0F">
            <w:pPr>
              <w:pStyle w:val="TableBodyText"/>
            </w:pPr>
            <w:r>
              <w:t>Written if the sensitivity label applied indicates that a watermark should be applied. The value is the watermark text displayed in the document as part of applying the sensitivity label.</w:t>
            </w:r>
          </w:p>
        </w:tc>
      </w:tr>
    </w:tbl>
    <w:p w:rsidR="00024C0A" w:rsidRDefault="00694C0F">
      <w:r>
        <w:t>PowerPoint may persist additional Cust</w:t>
      </w:r>
      <w:r>
        <w:t>om File Properties if a sensitivity label is applied, as shown in the table below.</w:t>
      </w:r>
    </w:p>
    <w:tbl>
      <w:tblPr>
        <w:tblStyle w:val="Table-ShadedHeader"/>
        <w:tblW w:w="0" w:type="auto"/>
        <w:tblLook w:val="04A0" w:firstRow="1" w:lastRow="0" w:firstColumn="1" w:lastColumn="0" w:noHBand="0" w:noVBand="1"/>
      </w:tblPr>
      <w:tblGrid>
        <w:gridCol w:w="4767"/>
        <w:gridCol w:w="4708"/>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4788" w:type="dxa"/>
          </w:tcPr>
          <w:p w:rsidR="00024C0A" w:rsidRDefault="00694C0F">
            <w:pPr>
              <w:pStyle w:val="TableHeaderText"/>
            </w:pPr>
            <w:r>
              <w:t>Custom Property Name</w:t>
            </w:r>
          </w:p>
        </w:tc>
        <w:tc>
          <w:tcPr>
            <w:tcW w:w="4788" w:type="dxa"/>
          </w:tcPr>
          <w:p w:rsidR="00024C0A" w:rsidRDefault="00694C0F">
            <w:pPr>
              <w:pStyle w:val="TableHeaderText"/>
            </w:pPr>
            <w:r>
              <w:t>Value Description</w:t>
            </w:r>
          </w:p>
        </w:tc>
      </w:tr>
      <w:tr w:rsidR="00024C0A" w:rsidTr="00024C0A">
        <w:tc>
          <w:tcPr>
            <w:tcW w:w="4788" w:type="dxa"/>
          </w:tcPr>
          <w:p w:rsidR="00024C0A" w:rsidRDefault="00694C0F">
            <w:pPr>
              <w:pStyle w:val="TableBodyText"/>
            </w:pPr>
            <w:r>
              <w:t>ClassificationContentMarkingHeaderText</w:t>
            </w:r>
          </w:p>
        </w:tc>
        <w:tc>
          <w:tcPr>
            <w:tcW w:w="4788" w:type="dxa"/>
          </w:tcPr>
          <w:p w:rsidR="00024C0A" w:rsidRDefault="00694C0F">
            <w:pPr>
              <w:pStyle w:val="TableBodyText"/>
            </w:pPr>
            <w:r>
              <w:t xml:space="preserve">Written if the sensitivity label applied indicates that a header should be applied to the </w:t>
            </w:r>
            <w:r>
              <w:t>design master. The value is the header text displayed in the presentation as part of applying the sensitivity label.</w:t>
            </w:r>
          </w:p>
        </w:tc>
      </w:tr>
      <w:tr w:rsidR="00024C0A" w:rsidTr="00024C0A">
        <w:tc>
          <w:tcPr>
            <w:tcW w:w="4788" w:type="dxa"/>
          </w:tcPr>
          <w:p w:rsidR="00024C0A" w:rsidRDefault="00694C0F">
            <w:pPr>
              <w:pStyle w:val="TableBodyText"/>
            </w:pPr>
            <w:r>
              <w:t>ClassificationContentMarkingHeaderLocations</w:t>
            </w:r>
          </w:p>
        </w:tc>
        <w:tc>
          <w:tcPr>
            <w:tcW w:w="4788" w:type="dxa"/>
          </w:tcPr>
          <w:p w:rsidR="00024C0A" w:rsidRDefault="00694C0F">
            <w:pPr>
              <w:pStyle w:val="TableBodyText"/>
            </w:pPr>
            <w:r>
              <w:t xml:space="preserve">Written if the sensitivity label applied indicates that a header should be applied to the </w:t>
            </w:r>
            <w:r>
              <w:t>design master. The value is the design name, followed by a colon and the shape ID. If there are multiple design masters, they are all listed and are separated by a reverse solidus (\). Colon (:) and reverse solidus (\) characters in the design name are esc</w:t>
            </w:r>
            <w:r>
              <w:t>aped with a reverse solidus to (\:) and (\\) respectively.</w:t>
            </w:r>
          </w:p>
        </w:tc>
      </w:tr>
      <w:tr w:rsidR="00024C0A" w:rsidTr="00024C0A">
        <w:tc>
          <w:tcPr>
            <w:tcW w:w="4788" w:type="dxa"/>
          </w:tcPr>
          <w:p w:rsidR="00024C0A" w:rsidRDefault="00694C0F">
            <w:pPr>
              <w:pStyle w:val="TableBodyText"/>
            </w:pPr>
            <w:r>
              <w:t>ClassificationContentMarkingFooterText</w:t>
            </w:r>
          </w:p>
        </w:tc>
        <w:tc>
          <w:tcPr>
            <w:tcW w:w="4788" w:type="dxa"/>
          </w:tcPr>
          <w:p w:rsidR="00024C0A" w:rsidRDefault="00694C0F">
            <w:pPr>
              <w:pStyle w:val="TableBodyText"/>
            </w:pPr>
            <w:r>
              <w:t xml:space="preserve">Written if the sensitivity label applied indicates that a </w:t>
            </w:r>
            <w:r>
              <w:lastRenderedPageBreak/>
              <w:t>footer should be applied to the design master. The value is the footer text displayed in the presen</w:t>
            </w:r>
            <w:r>
              <w:t>tation as part of applying the sensitivity label.</w:t>
            </w:r>
          </w:p>
        </w:tc>
      </w:tr>
      <w:tr w:rsidR="00024C0A" w:rsidTr="00024C0A">
        <w:tc>
          <w:tcPr>
            <w:tcW w:w="4788" w:type="dxa"/>
          </w:tcPr>
          <w:p w:rsidR="00024C0A" w:rsidRDefault="00694C0F">
            <w:pPr>
              <w:pStyle w:val="TableBodyText"/>
            </w:pPr>
            <w:r>
              <w:lastRenderedPageBreak/>
              <w:t>ClassificationContentMarkingFooterLocations</w:t>
            </w:r>
          </w:p>
        </w:tc>
        <w:tc>
          <w:tcPr>
            <w:tcW w:w="4788" w:type="dxa"/>
          </w:tcPr>
          <w:p w:rsidR="00024C0A" w:rsidRDefault="00694C0F">
            <w:pPr>
              <w:pStyle w:val="TableBodyText"/>
            </w:pPr>
            <w:r>
              <w:t>Written if the sensitivity label applied indicates that a footer should be applied to the design master. The value is the design name, followed by a colon and th</w:t>
            </w:r>
            <w:r>
              <w:t>e shape ID. If there are multiple design masters, they are all listed and are separated by a reverse solidus (\). Colon (:) and reverse solidus (\) characters in the design name are escaped with a reverse solidus to (\:) and (\\) respectively.</w:t>
            </w:r>
          </w:p>
        </w:tc>
      </w:tr>
      <w:tr w:rsidR="00024C0A" w:rsidTr="00024C0A">
        <w:tc>
          <w:tcPr>
            <w:tcW w:w="4788" w:type="dxa"/>
          </w:tcPr>
          <w:p w:rsidR="00024C0A" w:rsidRDefault="00694C0F">
            <w:pPr>
              <w:pStyle w:val="TableBodyText"/>
            </w:pPr>
            <w:r>
              <w:t>Classificat</w:t>
            </w:r>
            <w:r>
              <w:t>ionWatermarkText</w:t>
            </w:r>
          </w:p>
        </w:tc>
        <w:tc>
          <w:tcPr>
            <w:tcW w:w="4788" w:type="dxa"/>
          </w:tcPr>
          <w:p w:rsidR="00024C0A" w:rsidRDefault="00694C0F">
            <w:pPr>
              <w:pStyle w:val="TableBodyText"/>
            </w:pPr>
            <w:r>
              <w:t>Written if the sensitivity label applied indicates that a watermark should be applied to the design master. The value is the watermark text displayed in the presentation as part of applying the sensitivity label.</w:t>
            </w:r>
          </w:p>
        </w:tc>
      </w:tr>
      <w:tr w:rsidR="00024C0A" w:rsidTr="00024C0A">
        <w:tc>
          <w:tcPr>
            <w:tcW w:w="4788" w:type="dxa"/>
          </w:tcPr>
          <w:p w:rsidR="00024C0A" w:rsidRDefault="00694C0F">
            <w:pPr>
              <w:pStyle w:val="TableBodyText"/>
            </w:pPr>
            <w:r>
              <w:t>ClassificationWatermarkLo</w:t>
            </w:r>
            <w:r>
              <w:t>cations</w:t>
            </w:r>
          </w:p>
        </w:tc>
        <w:tc>
          <w:tcPr>
            <w:tcW w:w="4788" w:type="dxa"/>
          </w:tcPr>
          <w:p w:rsidR="00024C0A" w:rsidRDefault="00694C0F">
            <w:pPr>
              <w:pStyle w:val="TableBodyText"/>
            </w:pPr>
            <w:r>
              <w:t>Written if the sensitivity label applied indicates that a watermark should be applied to the design master. The value is the watermark name, followed by a colon and the shape ID. If there are multiple design masters, they are all listed and are sep</w:t>
            </w:r>
            <w:r>
              <w:t>arated by a reverse solidus (\). Colon (:) and reverse solidus (\) characters in the design name are escaped with a reverse solidus to (\:) and (\\) respectively.</w:t>
            </w:r>
          </w:p>
        </w:tc>
      </w:tr>
    </w:tbl>
    <w:p w:rsidR="00024C0A" w:rsidRDefault="00694C0F">
      <w:pPr>
        <w:rPr>
          <w:b/>
        </w:rPr>
      </w:pPr>
      <w:r>
        <w:rPr>
          <w:b/>
        </w:rPr>
        <w:t>Examples of Custom File Properties</w:t>
      </w:r>
    </w:p>
    <w:p w:rsidR="00024C0A" w:rsidRDefault="00694C0F">
      <w:r>
        <w:t>Excel</w:t>
      </w:r>
    </w:p>
    <w:p w:rsidR="00024C0A" w:rsidRDefault="00694C0F">
      <w:pPr>
        <w:pStyle w:val="Code"/>
      </w:pPr>
      <w:r>
        <w:t>&lt;Properties xmlns="http://schemas.openxmlformats.or</w:t>
      </w:r>
      <w:r>
        <w:t>g/officeDocument/2006/custom-properties" xmlns:vt="http://schemas.openxmlformats.org/officeDocument/2006/docPropsVTypes"&gt;</w:t>
      </w:r>
    </w:p>
    <w:p w:rsidR="00024C0A" w:rsidRDefault="00694C0F">
      <w:pPr>
        <w:pStyle w:val="Code"/>
      </w:pPr>
      <w:r>
        <w:t xml:space="preserve"> &lt;property fmtid="{D5CDD505-2E9C-101B-9397-08002B2CF9AE}" pid="2" name="MSIP_Label_d9f23ae3-a239-45ea-bf23-0123456789ab_Enabled"&gt;&lt;vt:l</w:t>
      </w:r>
      <w:r>
        <w:t>pwstr&gt;true&lt;/vt:lpwstr&gt;&lt;/property&gt;</w:t>
      </w:r>
    </w:p>
    <w:p w:rsidR="00024C0A" w:rsidRDefault="00694C0F">
      <w:pPr>
        <w:pStyle w:val="Code"/>
      </w:pPr>
      <w:r>
        <w:t xml:space="preserve"> &lt;property fmtid="{D5CDD505-2E9C-101B-9397-08002B2CF9AE}" pid="3" name="MSIP_Label_d9f23ae3-a239-45ea-bf23-0123456789ab_SetDate"&gt;&lt;vt:lpwstr&gt;2018-09-24T21:38:47-0800&lt;/vt:lpwstr&gt;&lt;/property&gt;</w:t>
      </w:r>
    </w:p>
    <w:p w:rsidR="00024C0A" w:rsidRDefault="00694C0F">
      <w:pPr>
        <w:pStyle w:val="Code"/>
      </w:pPr>
      <w:r>
        <w:t xml:space="preserve"> &lt;property fmtid="{D5CDD505-2E9C-1</w:t>
      </w:r>
      <w:r>
        <w:t>01B-9397-08002B2CF9AE}" pid="4" name="MSIP_Label_d9f23ae3-a239-45ea-bf23-0123456789ab_Method"&gt;&lt;vt:lpwstr&gt;Privileged&lt;/vt:lpwstr&gt;&lt;/property&gt;</w:t>
      </w:r>
    </w:p>
    <w:p w:rsidR="00024C0A" w:rsidRDefault="00694C0F">
      <w:pPr>
        <w:pStyle w:val="Code"/>
      </w:pPr>
      <w:r>
        <w:t xml:space="preserve"> &lt;property fmtid="{D5CDD505-2E9C-101B-9397-08002B2CF9AE}" pid="5" name="MSIP_Label_d9f23ae3-a239-45ea-bf23-0123456789</w:t>
      </w:r>
      <w:r>
        <w:t>ab_Name"&gt;&lt;vt:lpwstr&gt;Header, Footer, and Watermark&lt;/vt:lpwstr&gt;&lt;/property&gt;</w:t>
      </w:r>
    </w:p>
    <w:p w:rsidR="00024C0A" w:rsidRDefault="00694C0F">
      <w:pPr>
        <w:pStyle w:val="Code"/>
      </w:pPr>
      <w:r>
        <w:t xml:space="preserve"> &lt;property fmtid="{D5CDD505-2E9C-101B-9397-08002B2CF9AE}" pid="6" name="MSIP_Label_d9f23ae3-a239-45ea-bf23-0123456789ab_SiteId"&gt;&lt;vt:lpwstr&gt;242d863a-283c-5e0f-ae66-d99e8a20f526&lt;/vt:lpw</w:t>
      </w:r>
      <w:r>
        <w:t>str&gt;&lt;/property&gt;</w:t>
      </w:r>
    </w:p>
    <w:p w:rsidR="00024C0A" w:rsidRDefault="00694C0F">
      <w:pPr>
        <w:pStyle w:val="Code"/>
      </w:pPr>
      <w:r>
        <w:t xml:space="preserve"> &lt;property fmtid="{D5CDD505-2E9C-101B-9397-08002B2CF9AE}" pid="7" name="MSIP_Label_d9f23ae3-a239-45ea-bf23-0123456789ab_ActionId"&gt;&lt;vt:lpwstr&gt;9808f4bb-209e-4696-8307-00003bb82621&lt;/vt:lpwstr&gt;&lt;/property&gt;</w:t>
      </w:r>
    </w:p>
    <w:p w:rsidR="00024C0A" w:rsidRDefault="00694C0F">
      <w:pPr>
        <w:pStyle w:val="Code"/>
      </w:pPr>
      <w:r>
        <w:t xml:space="preserve"> &lt;</w:t>
      </w:r>
      <w:r>
        <w:t>property fmtid="{D5CDD505-2E9C-101B-9397-08002B2CF9AE}" pid="8" name="MSIP_Label_d9f23ae3-a239-45ea-bf23-0123456789ab_ContentBits"&gt;&lt;vt:lpwstr&gt;7&lt;/vt:lpwstr&gt;&lt;/property&gt;</w:t>
      </w:r>
    </w:p>
    <w:p w:rsidR="00024C0A" w:rsidRDefault="00694C0F">
      <w:pPr>
        <w:pStyle w:val="Code"/>
      </w:pPr>
      <w:r>
        <w:t xml:space="preserve"> &lt;property fmtid="{D5CDD505-2E9C-101B-9397-08002B2CF9AE}" pid="9" name="Sensitivity"&gt;&lt;vt:</w:t>
      </w:r>
      <w:r>
        <w:t>lpwstr&gt;d9f23ae3-a239-45ea-bf23-0123456789ab&lt;/vt:lpwstr&gt;&lt;/property&gt;</w:t>
      </w:r>
    </w:p>
    <w:p w:rsidR="00024C0A" w:rsidRDefault="00694C0F">
      <w:pPr>
        <w:pStyle w:val="Code"/>
      </w:pPr>
      <w:r>
        <w:t>&lt;/Properties&gt;</w:t>
      </w:r>
    </w:p>
    <w:p w:rsidR="00024C0A" w:rsidRDefault="00694C0F">
      <w:r>
        <w:t>PowerPoint</w:t>
      </w:r>
    </w:p>
    <w:p w:rsidR="00024C0A" w:rsidRDefault="00694C0F">
      <w:pPr>
        <w:pStyle w:val="Code"/>
      </w:pPr>
      <w:r>
        <w:t>&lt;Properties xmlns="http://schemas.openxmlformats.org/officeDocument/2006/custom-properties" xmlns:vt="http://schemas.openxmlformats.org/officeDocument/2006/docProps</w:t>
      </w:r>
      <w:r>
        <w:t>VTypes"&gt;</w:t>
      </w:r>
    </w:p>
    <w:p w:rsidR="00024C0A" w:rsidRDefault="00694C0F">
      <w:pPr>
        <w:pStyle w:val="Code"/>
      </w:pPr>
      <w:r>
        <w:t xml:space="preserve"> &lt;property fmtid="{D5CDD505-2E9C-101B-9397-08002B2CF9AE}" pid="2" name="MSIP_Label_d9f23ae3-a239-45ea-bf23-0123456789ab_Enabled"&gt;&lt;vt:lpwstr&gt;true&lt;/vt:lpwstr&gt;&lt;/property&gt;</w:t>
      </w:r>
    </w:p>
    <w:p w:rsidR="00024C0A" w:rsidRDefault="00694C0F">
      <w:pPr>
        <w:pStyle w:val="Code"/>
      </w:pPr>
      <w:r>
        <w:lastRenderedPageBreak/>
        <w:t xml:space="preserve"> &lt;property fmtid="{D5CDD505-2E9C-101B-9397-08002B2CF9AE}" pid="3" name="MSIP_La</w:t>
      </w:r>
      <w:r>
        <w:t>bel_d9f23ae3-a239-45ea-bf23-0123456789ab_SetDate"&gt;&lt;vt:lpwstr&gt;2018-09-24T21:33:22-0800&lt;/vt:lpwstr&gt;&lt;/property&gt;</w:t>
      </w:r>
    </w:p>
    <w:p w:rsidR="00024C0A" w:rsidRDefault="00694C0F">
      <w:pPr>
        <w:pStyle w:val="Code"/>
      </w:pPr>
      <w:r>
        <w:t xml:space="preserve"> &lt;property fmtid="{D5CDD505-2E9C-101B-9397-08002B2CF9AE}" pid="4" name="MSIP_Label_d9f23ae3-a239-45ea-bf23-0123456789ab_Method"&gt;&lt;vt:lpwstr&gt;Privileg</w:t>
      </w:r>
      <w:r>
        <w:t>ed&lt;/vt:lpwstr&gt;&lt;/property&gt;</w:t>
      </w:r>
    </w:p>
    <w:p w:rsidR="00024C0A" w:rsidRDefault="00694C0F">
      <w:pPr>
        <w:pStyle w:val="Code"/>
      </w:pPr>
      <w:r>
        <w:t xml:space="preserve"> &lt;property fmtid="{D5CDD505-2E9C-101B-9397-08002B2CF9AE}" pid="5" name="MSIP_Label_d9f23ae3-a239-45ea-bf23-0123456789ab_Name"&gt;&lt;vt:lpwstr&gt;Header, Footer, and Watermark&lt;/vt:lpwstr&gt;&lt;/property&gt;</w:t>
      </w:r>
    </w:p>
    <w:p w:rsidR="00024C0A" w:rsidRDefault="00694C0F">
      <w:pPr>
        <w:pStyle w:val="Code"/>
      </w:pPr>
      <w:r>
        <w:t xml:space="preserve"> &lt;property fmtid="{D5CDD505-2E9C-101B-93</w:t>
      </w:r>
      <w:r>
        <w:t>97-08002B2CF9AE}" pid="6" name="MSIP_Label_d9f23ae3-a239-45ea-bf23-0123456789ab_SiteId"&gt;&lt;vt:lpwstr&gt;242d863a-283c-5e0f-ae66-d99e8a20f526&lt;/vt:lpwstr&gt;&lt;/property&gt;</w:t>
      </w:r>
    </w:p>
    <w:p w:rsidR="00024C0A" w:rsidRDefault="00694C0F">
      <w:pPr>
        <w:pStyle w:val="Code"/>
      </w:pPr>
      <w:r>
        <w:t xml:space="preserve"> &lt;property fmtid="{D5CDD505-2E9C-101B-9397-08002B2CF9AE}" pid="7" name="MSIP_Label_d9f23ae3-a239-</w:t>
      </w:r>
      <w:r>
        <w:t>45ea-bf23-0123456789ab_ActionId"&gt;&lt;vt:lpwstr&gt;fc4f85ef-4627-4002-800f-00005a208e8f&lt;/vt:lpwstr&gt;&lt;/property&gt;</w:t>
      </w:r>
    </w:p>
    <w:p w:rsidR="00024C0A" w:rsidRDefault="00694C0F">
      <w:pPr>
        <w:pStyle w:val="Code"/>
      </w:pPr>
      <w:r>
        <w:t xml:space="preserve"> &lt;property fmtid="{D5CDD505-2E9C-101B-9397-08002B2CF9AE}" pid="8" name="MSIP_Label_d9f23ae3-a239-45ea-bf23-0123456789ab_ContentBits"&gt;&lt;vt:lpwstr&gt;7&lt;/vt:lp</w:t>
      </w:r>
      <w:r>
        <w:t>wstr&gt;&lt;/property&gt;</w:t>
      </w:r>
    </w:p>
    <w:p w:rsidR="00024C0A" w:rsidRDefault="00694C0F">
      <w:pPr>
        <w:pStyle w:val="Code"/>
      </w:pPr>
      <w:r>
        <w:t xml:space="preserve"> &lt;property fmtid="{D5CDD505-2E9C-101B-9397-08002B2CF9AE}" pid="9" name="Sensitivity"&gt;&lt;vt:lpwstr&gt;d9f23ae3-a239-45ea-bf23-0123456789ab&lt;/vt:lpwstr&gt;&lt;/property&gt;</w:t>
      </w:r>
    </w:p>
    <w:p w:rsidR="00024C0A" w:rsidRDefault="00694C0F">
      <w:pPr>
        <w:pStyle w:val="Code"/>
      </w:pPr>
      <w:r>
        <w:t xml:space="preserve"> &lt;property fmtid="{D5CDD505-2E9C-101B-9397-08002B2CF9AE}" pid="10" name="Classifica</w:t>
      </w:r>
      <w:r>
        <w:t>tionContentMarkingHeaderText"&gt;&lt;vt:lpwstr&gt; This is header text with a leading space.&lt;/vt:lpwstr&gt;&lt;/property&gt;</w:t>
      </w:r>
    </w:p>
    <w:p w:rsidR="00024C0A" w:rsidRDefault="00694C0F">
      <w:pPr>
        <w:pStyle w:val="Code"/>
      </w:pPr>
      <w:r>
        <w:t xml:space="preserve"> &lt;property fmtid="{D5CDD505-2E9C-101B-9397-08002B2CF9AE}" pid="11" name="ClassificationContentMarkingHeaderLocations"&gt;&lt;vt:lpwstr&gt;Office Theme:10&lt;/vt:</w:t>
      </w:r>
      <w:r>
        <w:t>lpwstr&gt;&lt;/property&gt;</w:t>
      </w:r>
    </w:p>
    <w:p w:rsidR="00024C0A" w:rsidRDefault="00694C0F">
      <w:pPr>
        <w:pStyle w:val="Code"/>
      </w:pPr>
      <w:r>
        <w:t xml:space="preserve"> &lt;property fmtid="{D5CDD505-2E9C-101B-9397-08002B2CF9AE}" pid="12" name="ClassificationContentMarkingFooterText"&gt;&lt;vt:lpwstr&gt;THIS is a FOOTER with a trailing space! &lt;/vt:lpwstr&gt;&lt;/property&gt;</w:t>
      </w:r>
    </w:p>
    <w:p w:rsidR="00024C0A" w:rsidRDefault="00694C0F">
      <w:pPr>
        <w:pStyle w:val="Code"/>
      </w:pPr>
      <w:r>
        <w:t xml:space="preserve"> &lt;property fmtid="{D5CDD505-2E9C-101B-9397-08002B</w:t>
      </w:r>
      <w:r>
        <w:t>2CF9AE}" pid="13" name="ClassificationContentMarkingFooterLocations"&gt;&lt;vt:lpwstr&gt;Office Theme:11&lt;/vt:lpwstr&gt;&lt;/property&gt;</w:t>
      </w:r>
    </w:p>
    <w:p w:rsidR="00024C0A" w:rsidRDefault="00694C0F">
      <w:pPr>
        <w:pStyle w:val="Code"/>
      </w:pPr>
      <w:r>
        <w:t xml:space="preserve"> &lt;property fmtid="{D5CDD505-2E9C-101B-9397-08002B2CF9AE}" pid="14" name="ClassificationWatermarkText"&gt;&lt;vt:lpwstr&gt;Once upon a time, there </w:t>
      </w:r>
      <w:r>
        <w:t>was a watermark. The watermark was inserted in the document. The End.&lt;/vt:lpwstr&gt;&lt;/property&gt;</w:t>
      </w:r>
    </w:p>
    <w:p w:rsidR="00024C0A" w:rsidRDefault="00694C0F">
      <w:pPr>
        <w:pStyle w:val="Code"/>
      </w:pPr>
      <w:r>
        <w:t xml:space="preserve"> &lt;property fmtid="{D5CDD505-2E9C-101B-9397-08002B2CF9AE}" pid="15" name="ClassificationWatermarkLocations"&gt;&lt;vt:lpwstr&gt;Office Theme:12&lt;/vt:lpwstr&gt;&lt;/property&gt;</w:t>
      </w:r>
    </w:p>
    <w:p w:rsidR="00024C0A" w:rsidRDefault="00694C0F">
      <w:pPr>
        <w:pStyle w:val="Code"/>
      </w:pPr>
      <w:r>
        <w:t>&lt;/Prop</w:t>
      </w:r>
      <w:r>
        <w:t>erties&gt;</w:t>
      </w:r>
    </w:p>
    <w:p w:rsidR="00024C0A" w:rsidRDefault="00694C0F">
      <w:r>
        <w:t>Word</w:t>
      </w:r>
    </w:p>
    <w:p w:rsidR="00024C0A" w:rsidRDefault="00694C0F">
      <w:pPr>
        <w:pStyle w:val="Code"/>
      </w:pPr>
      <w:r>
        <w:t>&lt;Properties xmlns="http://schemas.openxmlformats.org/officeDocument/2006/custom-properties" xmlns:vt="http://schemas.openxmlformats.org/officeDocument/2006/docPropsVTypes"&gt;</w:t>
      </w:r>
    </w:p>
    <w:p w:rsidR="00024C0A" w:rsidRDefault="00694C0F">
      <w:pPr>
        <w:pStyle w:val="Code"/>
      </w:pPr>
      <w:r>
        <w:t xml:space="preserve"> &lt;property fmtid="{D5CDD505-2E9C-101B-9397-08002B2CF9AE}" pid="2" name</w:t>
      </w:r>
      <w:r>
        <w:t>="ClassificationContentMarkingHeaderShapeIds"&gt;&lt;vt:lpwstr&gt;1,2,3&lt;/vt:lpwstr&gt;&lt;/property&gt;</w:t>
      </w:r>
    </w:p>
    <w:p w:rsidR="00024C0A" w:rsidRDefault="00694C0F">
      <w:pPr>
        <w:pStyle w:val="Code"/>
      </w:pPr>
      <w:r>
        <w:t xml:space="preserve"> &lt;property fmtid="{D5CDD505-2E9C-101B-9397-08002B2CF9AE}" pid="3" name="ClassificationContentMarkingHeaderFontProps"&gt;&lt;vt:lpwstr&gt;#ffff00,23,Calibri&lt;/vt:lpwstr&gt;&lt;/property&gt;</w:t>
      </w:r>
    </w:p>
    <w:p w:rsidR="00024C0A" w:rsidRDefault="00694C0F">
      <w:pPr>
        <w:pStyle w:val="Code"/>
      </w:pPr>
      <w:r>
        <w:t xml:space="preserve"> &lt;property fmtid="{D5CDD505-2E9C-101B-9397-08002B2CF9AE}" pid="4" name="ClassificationContentMarkingHeaderText"&gt;&lt;vt:lpwstr&gt; This is header text with a leading space.&lt;/vt:lpwstr&gt;&lt;/property&gt;</w:t>
      </w:r>
    </w:p>
    <w:p w:rsidR="00024C0A" w:rsidRDefault="00694C0F">
      <w:pPr>
        <w:pStyle w:val="Code"/>
      </w:pPr>
      <w:r>
        <w:t xml:space="preserve"> &lt;property fmtid="{D5CDD505-2E9C-101B-9397-08002B2CF9AE}" pid="5" n</w:t>
      </w:r>
      <w:r>
        <w:t>ame="ClassificationContentMarkingFooterShapeIds"&gt;&lt;vt:lpwstr&gt;4,5,6&lt;/vt:lpwstr&gt;&lt;/property&gt;</w:t>
      </w:r>
    </w:p>
    <w:p w:rsidR="00024C0A" w:rsidRDefault="00694C0F">
      <w:pPr>
        <w:pStyle w:val="Code"/>
      </w:pPr>
      <w:r>
        <w:t xml:space="preserve"> &lt;property fmtid="{D5CDD505-2E9C-101B-9397-08002B2CF9AE}" pid="6" name="ClassificationContentMarkingFooterFontProps"&gt;&lt;vt:lpwstr&gt;#ff00ff,11,Calibri&lt;/vt:lpwstr&gt;&lt;/propert</w:t>
      </w:r>
      <w:r>
        <w:t>y&gt;</w:t>
      </w:r>
    </w:p>
    <w:p w:rsidR="00024C0A" w:rsidRDefault="00694C0F">
      <w:pPr>
        <w:pStyle w:val="Code"/>
      </w:pPr>
      <w:r>
        <w:t xml:space="preserve"> &lt;property fmtid="{D5CDD505-2E9C-101B-9397-08002B2CF9AE}" pid="7" name="ClassificationContentMarkingFooterText"&gt;&lt;vt:lpwstr&gt;THIS is a FOOTER with a trailing space! &lt;/vt:lpwstr&gt;&lt;/property&gt;</w:t>
      </w:r>
    </w:p>
    <w:p w:rsidR="00024C0A" w:rsidRDefault="00694C0F">
      <w:pPr>
        <w:pStyle w:val="Code"/>
      </w:pPr>
      <w:r>
        <w:t xml:space="preserve"> &lt;</w:t>
      </w:r>
      <w:r>
        <w:t>property fmtid="{D5CDD505-2E9C-101B-9397-08002B2CF9AE}" pid="8" name="ClassificationWatermarkShapeIds"&gt;&lt;vt:lpwstr&gt;7,8,9&lt;/vt:lpwstr&gt;&lt;/property&gt;</w:t>
      </w:r>
    </w:p>
    <w:p w:rsidR="00024C0A" w:rsidRDefault="00694C0F">
      <w:pPr>
        <w:pStyle w:val="Code"/>
      </w:pPr>
      <w:r>
        <w:t xml:space="preserve"> &lt;property fmtid="{D5CDD505-2E9C-101B-9397-08002B2CF9AE}" pid="9" name="ClassificationWatermarkFontProps"&gt;&lt;vt:lpw</w:t>
      </w:r>
      <w:r>
        <w:t>str&gt;#000000,13,Calibri&lt;/vt:lpwstr&gt;&lt;/property&gt;</w:t>
      </w:r>
    </w:p>
    <w:p w:rsidR="00024C0A" w:rsidRDefault="00694C0F">
      <w:pPr>
        <w:pStyle w:val="Code"/>
      </w:pPr>
      <w:r>
        <w:t xml:space="preserve"> &lt;property fmtid="{D5CDD505-2E9C-101B-9397-08002B2CF9AE}" pid="10" name="ClassificationWatermarkText"&gt;&lt;vt:lpwstr&gt;Once upon a time, there was a watermark. The watermark was inserted in the document. The End.&lt;/vt</w:t>
      </w:r>
      <w:r>
        <w:t>:lpwstr&gt;&lt;/property&gt;</w:t>
      </w:r>
    </w:p>
    <w:p w:rsidR="00024C0A" w:rsidRDefault="00694C0F">
      <w:pPr>
        <w:pStyle w:val="Code"/>
      </w:pPr>
      <w:r>
        <w:t xml:space="preserve"> &lt;property fmtid="{D5CDD505-2E9C-101B-9397-08002B2CF9AE}" pid="11" name="MSIP_Label_d9f23ae3-a239-45ea-bf23-0123456789ab_Enabled"&gt;&lt;vt:lpwstr&gt;true&lt;/vt:lpwstr&gt;&lt;/property&gt;</w:t>
      </w:r>
    </w:p>
    <w:p w:rsidR="00024C0A" w:rsidRDefault="00694C0F">
      <w:pPr>
        <w:pStyle w:val="Code"/>
      </w:pPr>
      <w:r>
        <w:lastRenderedPageBreak/>
        <w:t xml:space="preserve"> &lt;property fmtid="{D5CDD505-2E9C-101B-9397-08002B2CF9AE}" pid="12" </w:t>
      </w:r>
      <w:r>
        <w:t>name="MSIP_Label_d9f23ae3-a239-45ea-bf23-0123456789ab_SetDate"&gt;&lt;vt:lpwstr&gt;2018-09-24T21:42:18-0800&lt;/vt:lpwstr&gt;&lt;/property&gt;</w:t>
      </w:r>
    </w:p>
    <w:p w:rsidR="00024C0A" w:rsidRDefault="00694C0F">
      <w:pPr>
        <w:pStyle w:val="Code"/>
      </w:pPr>
      <w:r>
        <w:t xml:space="preserve"> &lt;property fmtid="{D5CDD505-2E9C-101B-9397-08002B2CF9AE}" pid="13" name="MSIP_Label_d9f23ae3-a239-45ea-bf23-0123456789ab_Method"&gt;&lt;vt:l</w:t>
      </w:r>
      <w:r>
        <w:t>pwstr&gt;Privileged&lt;/vt:lpwstr&gt;&lt;/property&gt;</w:t>
      </w:r>
    </w:p>
    <w:p w:rsidR="00024C0A" w:rsidRDefault="00694C0F">
      <w:pPr>
        <w:pStyle w:val="Code"/>
      </w:pPr>
      <w:r>
        <w:t xml:space="preserve"> &lt;property fmtid="{D5CDD505-2E9C-101B-9397-08002B2CF9AE}" pid="14" name="MSIP_Label_d9f23ae3-a239-45ea-bf23-0123456789ab_Name"&gt;&lt;vt:lpwstr&gt;Header, Footer, and Watermark&lt;/vt:lpwstr&gt;&lt;/property&gt;</w:t>
      </w:r>
    </w:p>
    <w:p w:rsidR="00024C0A" w:rsidRDefault="00694C0F">
      <w:pPr>
        <w:pStyle w:val="Code"/>
      </w:pPr>
      <w:r>
        <w:t xml:space="preserve"> &lt;property fmtid="{D5CDD5</w:t>
      </w:r>
      <w:r>
        <w:t>05-2E9C-101B-9397-08002B2CF9AE}" pid="15" name="MSIP_Label_d9f23ae3-a239-45ea-bf23-0123456789ab_SiteId"&gt;&lt;vt:lpwstr&gt;242d863a-283c-5e0f-ae66-d99e8a20f526&lt;/vt:lpwstr&gt;&lt;/property&gt;</w:t>
      </w:r>
    </w:p>
    <w:p w:rsidR="00024C0A" w:rsidRDefault="00694C0F">
      <w:pPr>
        <w:pStyle w:val="Code"/>
      </w:pPr>
      <w:r>
        <w:t xml:space="preserve"> &lt;property fmtid="{D5CDD505-2E9C-101B-9397-08002B2CF9AE}" pid="16" name="MSIP_Lab</w:t>
      </w:r>
      <w:r>
        <w:t>el_d9f23ae3-a239-45ea-bf23-0123456789ab_ActionId"&gt;&lt;vt:lpwstr&gt;e055f41b-dbb0-425c-a95a-00008352e3b4&lt;/vt:lpwstr&gt;&lt;/property&gt;</w:t>
      </w:r>
    </w:p>
    <w:p w:rsidR="00024C0A" w:rsidRDefault="00694C0F">
      <w:pPr>
        <w:pStyle w:val="Code"/>
      </w:pPr>
      <w:r>
        <w:t xml:space="preserve"> &lt;property fmtid="{D5CDD505-2E9C-101B-9397-08002B2CF9AE}" pid="17" name="MSIP_Label_d9f23ae3-a239-45ea-bf23-0123456789ab_ContentBits"&gt;&lt;</w:t>
      </w:r>
      <w:r>
        <w:t>vt:lpwstr&gt;7&lt;/vt:lpwstr&gt;&lt;/property&gt;</w:t>
      </w:r>
    </w:p>
    <w:p w:rsidR="00024C0A" w:rsidRDefault="00694C0F">
      <w:pPr>
        <w:pStyle w:val="Code"/>
      </w:pPr>
      <w:r>
        <w:t xml:space="preserve"> &lt;property fmtid="{D5CDD505-2E9C-101B-9397-08002B2CF9AE}" pid="18" name="Sensitivity"&gt;&lt;vt:lpwstr&gt;d9f23ae3-a239-45ea-bf23-0123456789ab&lt;/vt:lpwstr&gt;&lt;/property&gt;</w:t>
      </w:r>
    </w:p>
    <w:p w:rsidR="00024C0A" w:rsidRDefault="00694C0F">
      <w:pPr>
        <w:pStyle w:val="Code"/>
      </w:pPr>
      <w:r>
        <w:t>&lt;/Properties&gt;</w:t>
      </w:r>
    </w:p>
    <w:p w:rsidR="00024C0A" w:rsidRDefault="00694C0F">
      <w:pPr>
        <w:pStyle w:val="Heading3"/>
      </w:pPr>
      <w:bookmarkStart w:id="79" w:name="section_ea097c5757944624b08e017b47051b1d"/>
      <w:bookmarkStart w:id="80" w:name="_Toc12260100"/>
      <w:r>
        <w:t>Part 1 Section 15.2.13, Font Part</w:t>
      </w:r>
      <w:bookmarkEnd w:id="79"/>
      <w:bookmarkEnd w:id="80"/>
      <w:r>
        <w:fldChar w:fldCharType="begin"/>
      </w:r>
      <w:r>
        <w:instrText xml:space="preserve"> XE "Font Part" </w:instrText>
      </w:r>
      <w:r>
        <w:fldChar w:fldCharType="end"/>
      </w:r>
    </w:p>
    <w:p w:rsidR="00024C0A" w:rsidRDefault="00694C0F">
      <w:pPr>
        <w:pStyle w:val="Definition-Field"/>
      </w:pPr>
      <w:r>
        <w:t xml:space="preserve">a.   </w:t>
      </w:r>
      <w:r>
        <w:rPr>
          <w:i/>
        </w:rPr>
        <w:t>The standard states that application/x-font-ttf specifies that the font shall be stored in the TrueType or OpenType format.</w:t>
      </w:r>
    </w:p>
    <w:p w:rsidR="00024C0A" w:rsidRDefault="00694C0F">
      <w:pPr>
        <w:pStyle w:val="Definition-Field2"/>
      </w:pPr>
      <w:r>
        <w:t>PowerPoint does not use this content type. Word reads these fonts if the value of the fontKey attribute is equal to 00000000-</w:t>
      </w:r>
      <w:r>
        <w:t>0000-0000-0000-000000000000.</w:t>
      </w:r>
    </w:p>
    <w:p w:rsidR="00024C0A" w:rsidRDefault="00694C0F">
      <w:pPr>
        <w:pStyle w:val="Definition-Field"/>
      </w:pPr>
      <w:r>
        <w:t xml:space="preserve">b.   </w:t>
      </w:r>
      <w:r>
        <w:rPr>
          <w:i/>
        </w:rPr>
        <w:t>The standard states that application/x-fontdata specifies that the font shall be stored as a bitmapped font (each glyph is stored as a raster image).</w:t>
      </w:r>
    </w:p>
    <w:p w:rsidR="00024C0A" w:rsidRDefault="00694C0F">
      <w:pPr>
        <w:pStyle w:val="Definition-Field2"/>
      </w:pPr>
      <w:r>
        <w:t>PowerPoint stores TrueType and OpenType fonts (</w:t>
      </w:r>
      <w:hyperlink r:id="rId55">
        <w:r>
          <w:rPr>
            <w:rStyle w:val="Hyperlink"/>
          </w:rPr>
          <w:t>[Embed-Open-Type-Format]</w:t>
        </w:r>
      </w:hyperlink>
      <w:r>
        <w:t xml:space="preserve">, </w:t>
      </w:r>
      <w:hyperlink r:id="rId56">
        <w:r>
          <w:rPr>
            <w:rStyle w:val="Hyperlink"/>
          </w:rPr>
          <w:t>[Micro-Type-Exp-Format]</w:t>
        </w:r>
      </w:hyperlink>
      <w:r>
        <w:t>) in parts of this type. Word does not read or write this content type.</w:t>
      </w:r>
    </w:p>
    <w:p w:rsidR="00024C0A" w:rsidRDefault="00694C0F">
      <w:pPr>
        <w:pStyle w:val="Definition-Field"/>
      </w:pPr>
      <w:r>
        <w:t xml:space="preserve">c.   </w:t>
      </w:r>
      <w:r>
        <w:rPr>
          <w:i/>
        </w:rPr>
        <w:t xml:space="preserve">The standard specifies </w:t>
      </w:r>
      <w:r>
        <w:rPr>
          <w:i/>
        </w:rPr>
        <w:t>three possible values for the content type of this part, but specifies the format corresponding to only two of them.</w:t>
      </w:r>
    </w:p>
    <w:p w:rsidR="00024C0A" w:rsidRDefault="00694C0F">
      <w:r>
        <w:t>Word 2010 reads obfuscated fonts using the content type application/vnd.openxmlformats-officedocument.obfuscatedFont. This content type spe</w:t>
      </w:r>
      <w:r>
        <w:t xml:space="preserve">cifies that the font shall be stored in a format conforming to </w:t>
      </w:r>
      <w:hyperlink r:id="rId57">
        <w:r>
          <w:rPr>
            <w:rStyle w:val="Hyperlink"/>
          </w:rPr>
          <w:t>[ISO/IEC-14496-22]</w:t>
        </w:r>
      </w:hyperlink>
      <w:r>
        <w:t xml:space="preserve"> and shall be obfuscated using the algorithm specified by Font Embedding ("</w:t>
      </w:r>
      <w:hyperlink r:id="rId58">
        <w:r>
          <w:rPr>
            <w:rStyle w:val="Hyperlink"/>
          </w:rPr>
          <w:t>[ISO/IEC-29500-1]</w:t>
        </w:r>
      </w:hyperlink>
      <w:r>
        <w:t xml:space="preserve"> §17.8.1"). </w:t>
      </w:r>
    </w:p>
    <w:p w:rsidR="00024C0A" w:rsidRDefault="00694C0F">
      <w:pPr>
        <w:pStyle w:val="Heading3"/>
      </w:pPr>
      <w:bookmarkStart w:id="81" w:name="section_bc8ed1a051414dbcbc98d7bb41712df8"/>
      <w:bookmarkStart w:id="82" w:name="_Toc12260101"/>
      <w:r>
        <w:t>Part 1 Section 15.2.14, Image Part</w:t>
      </w:r>
      <w:bookmarkEnd w:id="81"/>
      <w:bookmarkEnd w:id="82"/>
      <w:r>
        <w:fldChar w:fldCharType="begin"/>
      </w:r>
      <w:r>
        <w:instrText xml:space="preserve"> XE "Image Part" </w:instrText>
      </w:r>
      <w:r>
        <w:fldChar w:fldCharType="end"/>
      </w:r>
    </w:p>
    <w:p w:rsidR="00024C0A" w:rsidRDefault="00694C0F">
      <w:pPr>
        <w:pStyle w:val="Definition-Field"/>
      </w:pPr>
      <w:r>
        <w:t xml:space="preserve">a.   </w:t>
      </w:r>
      <w:r>
        <w:rPr>
          <w:i/>
        </w:rPr>
        <w:t>The standard does not list a reference to the Enhanced Metafile Format Specification.</w:t>
      </w:r>
    </w:p>
    <w:p w:rsidR="00024C0A" w:rsidRDefault="00694C0F">
      <w:pPr>
        <w:pStyle w:val="Definition-Field2"/>
      </w:pPr>
      <w:r>
        <w:t xml:space="preserve">Office also supports the image/emf image type </w:t>
      </w:r>
      <w:hyperlink r:id="rId59" w:anchor="Section_91c257d7c39d4a369b1f63e3f73d30ca">
        <w:r>
          <w:rPr>
            <w:rStyle w:val="Hyperlink"/>
          </w:rPr>
          <w:t>[MS-EMF]</w:t>
        </w:r>
      </w:hyperlink>
      <w:r>
        <w:t>.</w:t>
      </w:r>
    </w:p>
    <w:p w:rsidR="00024C0A" w:rsidRDefault="00694C0F">
      <w:pPr>
        <w:pStyle w:val="Definition-Field"/>
      </w:pPr>
      <w:r>
        <w:t xml:space="preserve">b.   </w:t>
      </w:r>
      <w:r>
        <w:rPr>
          <w:i/>
        </w:rPr>
        <w:t>The standard does not list reference to the Enhanced Metafile Format Plus Extensions Specification.</w:t>
      </w:r>
    </w:p>
    <w:p w:rsidR="00024C0A" w:rsidRDefault="00694C0F">
      <w:pPr>
        <w:pStyle w:val="Definition-Field2"/>
      </w:pPr>
      <w:r>
        <w:t xml:space="preserve">Office also supports the image/emf+ image type </w:t>
      </w:r>
      <w:hyperlink r:id="rId60" w:anchor="Section_5f92c78964f246b59ed415a9bb0946c6">
        <w:r>
          <w:rPr>
            <w:rStyle w:val="Hyperlink"/>
          </w:rPr>
          <w:t>[MS-EMFPLUS]</w:t>
        </w:r>
      </w:hyperlink>
      <w:r>
        <w:t>.</w:t>
      </w:r>
    </w:p>
    <w:p w:rsidR="00024C0A" w:rsidRDefault="00694C0F">
      <w:pPr>
        <w:pStyle w:val="Definition-Field"/>
      </w:pPr>
      <w:r>
        <w:t xml:space="preserve">c.   </w:t>
      </w:r>
      <w:r>
        <w:rPr>
          <w:i/>
        </w:rPr>
        <w:t>The standard does not list a reference to the Windows Metafile Format Specification.</w:t>
      </w:r>
    </w:p>
    <w:p w:rsidR="00024C0A" w:rsidRDefault="00694C0F">
      <w:pPr>
        <w:pStyle w:val="Definition-Field2"/>
      </w:pPr>
      <w:r>
        <w:t xml:space="preserve">Office also supports the image/wmf image type </w:t>
      </w:r>
      <w:hyperlink r:id="rId61" w:anchor="Section_4813e7fd52d04f42965f228c8b7488d2">
        <w:r>
          <w:rPr>
            <w:rStyle w:val="Hyperlink"/>
          </w:rPr>
          <w:t>[MS-WMF]</w:t>
        </w:r>
      </w:hyperlink>
      <w:r>
        <w:t>.</w:t>
      </w:r>
    </w:p>
    <w:p w:rsidR="00024C0A" w:rsidRDefault="00694C0F">
      <w:pPr>
        <w:pStyle w:val="Heading3"/>
      </w:pPr>
      <w:bookmarkStart w:id="83" w:name="section_6eda3d446cdc430ebe6ebb2327e747ad"/>
      <w:bookmarkStart w:id="84" w:name="_Toc12260102"/>
      <w:r>
        <w:lastRenderedPageBreak/>
        <w:t>Part 1 Section 15.2.15, Printer Settings Part</w:t>
      </w:r>
      <w:bookmarkEnd w:id="83"/>
      <w:bookmarkEnd w:id="84"/>
      <w:r>
        <w:fldChar w:fldCharType="begin"/>
      </w:r>
      <w:r>
        <w:instrText xml:space="preserve"> XE "Printer Settings Part" </w:instrText>
      </w:r>
      <w:r>
        <w:fldChar w:fldCharType="end"/>
      </w:r>
    </w:p>
    <w:p w:rsidR="00024C0A" w:rsidRDefault="00694C0F">
      <w:pPr>
        <w:pStyle w:val="Definition-Field"/>
      </w:pPr>
      <w:r>
        <w:t xml:space="preserve">a.   </w:t>
      </w:r>
      <w:r>
        <w:rPr>
          <w:i/>
        </w:rPr>
        <w:t xml:space="preserve">The standard provides the following reference to DEVMODE: </w:t>
      </w:r>
      <w:r>
        <w:rPr>
          <w:i/>
        </w:rPr>
        <w:t>http://msdn.microsoft.com/library/default.asp?url=/library/en-us/gdi/prntspol_8nle.asp.</w:t>
      </w:r>
    </w:p>
    <w:p w:rsidR="00024C0A" w:rsidRDefault="00694C0F">
      <w:pPr>
        <w:pStyle w:val="Definition-Field2"/>
      </w:pPr>
      <w:r>
        <w:t xml:space="preserve">Office uses DEVMODE </w:t>
      </w:r>
      <w:hyperlink r:id="rId62">
        <w:r>
          <w:rPr>
            <w:rStyle w:val="Hyperlink"/>
          </w:rPr>
          <w:t>[DEVMODE]</w:t>
        </w:r>
      </w:hyperlink>
      <w:r>
        <w:t xml:space="preserve"> as specified by: http://msdn2.microsoft.com/en-us/library/ms535771.aspx.</w:t>
      </w:r>
    </w:p>
    <w:p w:rsidR="00024C0A" w:rsidRDefault="00694C0F">
      <w:pPr>
        <w:pStyle w:val="Definition-Field"/>
      </w:pPr>
      <w:r>
        <w:t xml:space="preserve">b.   </w:t>
      </w:r>
      <w:r>
        <w:rPr>
          <w:i/>
        </w:rPr>
        <w:t>The standard does not specify the contents of the target attribute.</w:t>
      </w:r>
    </w:p>
    <w:p w:rsidR="00024C0A" w:rsidRDefault="00694C0F">
      <w:pPr>
        <w:pStyle w:val="Definition-Field2"/>
      </w:pPr>
      <w:r>
        <w:t>Office writes the DEVMODE [DEVMODE] structure including printer driver specific data in machine byte order to the part specified in target attribute.</w:t>
      </w:r>
    </w:p>
    <w:p w:rsidR="00024C0A" w:rsidRDefault="00694C0F">
      <w:pPr>
        <w:pStyle w:val="Heading3"/>
      </w:pPr>
      <w:bookmarkStart w:id="85" w:name="section_1e504bbc5f604aa1a4c0f8f3a925e6f7"/>
      <w:bookmarkStart w:id="86" w:name="_Toc12260103"/>
      <w:r>
        <w:t>Part 1 Section 17.2.1, background</w:t>
      </w:r>
      <w:r>
        <w:t xml:space="preserve"> (Document Background)</w:t>
      </w:r>
      <w:bookmarkEnd w:id="85"/>
      <w:bookmarkEnd w:id="86"/>
      <w:r>
        <w:fldChar w:fldCharType="begin"/>
      </w:r>
      <w:r>
        <w:instrText xml:space="preserve"> XE "background (Document Background)" </w:instrText>
      </w:r>
      <w:r>
        <w:fldChar w:fldCharType="end"/>
      </w:r>
    </w:p>
    <w:p w:rsidR="00024C0A" w:rsidRDefault="00694C0F">
      <w:pPr>
        <w:pStyle w:val="Definition-Field"/>
      </w:pPr>
      <w:r>
        <w:t xml:space="preserve">a.   </w:t>
      </w:r>
      <w:r>
        <w:rPr>
          <w:i/>
        </w:rPr>
        <w:t>The standard states that any element from the VML namespace or the drawingML namespace is allowed as a child of the background element.</w:t>
      </w:r>
    </w:p>
    <w:p w:rsidR="00024C0A" w:rsidRDefault="00694C0F">
      <w:pPr>
        <w:pStyle w:val="Definition-Field2"/>
      </w:pPr>
      <w:r>
        <w:t>Word renders any drawingML specified as a backgroun</w:t>
      </w:r>
      <w:r>
        <w:t>d at the beginning of the document and not as a background.</w:t>
      </w:r>
    </w:p>
    <w:p w:rsidR="00024C0A" w:rsidRDefault="00694C0F">
      <w:pPr>
        <w:pStyle w:val="Definition-Field"/>
      </w:pPr>
      <w:r>
        <w:t xml:space="preserve">b.   </w:t>
      </w:r>
      <w:r>
        <w:rPr>
          <w:i/>
        </w:rPr>
        <w:t>The standard does not state which setting is applied when both the themeShade and the themeTint attributes are present.</w:t>
      </w:r>
    </w:p>
    <w:p w:rsidR="00024C0A" w:rsidRDefault="00694C0F">
      <w:pPr>
        <w:pStyle w:val="Definition-Field2"/>
      </w:pPr>
      <w:r>
        <w:t>Word applies the themeTint setting when both of these attributes are pr</w:t>
      </w:r>
      <w:r>
        <w:t>esent.</w:t>
      </w:r>
    </w:p>
    <w:p w:rsidR="00024C0A" w:rsidRDefault="00694C0F">
      <w:pPr>
        <w:pStyle w:val="Heading3"/>
      </w:pPr>
      <w:bookmarkStart w:id="87" w:name="section_8d43fabb714e4c4c9d9d854d046f1857"/>
      <w:bookmarkStart w:id="88" w:name="_Toc12260104"/>
      <w:r>
        <w:t>Part 1 Section 17.2.2, body (Document Body)</w:t>
      </w:r>
      <w:bookmarkEnd w:id="87"/>
      <w:bookmarkEnd w:id="88"/>
      <w:r>
        <w:fldChar w:fldCharType="begin"/>
      </w:r>
      <w:r>
        <w:instrText xml:space="preserve"> XE "body (Document Body)"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24C0A" w:rsidRDefault="00694C0F">
      <w:pPr>
        <w:pStyle w:val="Heading3"/>
      </w:pPr>
      <w:bookmarkStart w:id="89" w:name="section_1a464df4e60c4d648582d2d29478a887"/>
      <w:bookmarkStart w:id="90" w:name="_Toc12260105"/>
      <w:r>
        <w:t>Part 1 Section 17.2.3, document (Document)</w:t>
      </w:r>
      <w:bookmarkEnd w:id="89"/>
      <w:bookmarkEnd w:id="90"/>
      <w:r>
        <w:fldChar w:fldCharType="begin"/>
      </w:r>
      <w:r>
        <w:instrText xml:space="preserve"> XE "document (Document)" </w:instrText>
      </w:r>
      <w:r>
        <w:fldChar w:fldCharType="end"/>
      </w:r>
    </w:p>
    <w:p w:rsidR="00024C0A" w:rsidRDefault="00694C0F">
      <w:pPr>
        <w:pStyle w:val="Definition-Field"/>
      </w:pPr>
      <w:r>
        <w:t xml:space="preserve">a.   </w:t>
      </w:r>
      <w:r>
        <w:rPr>
          <w:i/>
        </w:rPr>
        <w:t>The standard specifies that the conformance attribute is a valid attribute of the document e</w:t>
      </w:r>
      <w:r>
        <w:rPr>
          <w:i/>
        </w:rPr>
        <w:t>lement.</w:t>
      </w:r>
    </w:p>
    <w:p w:rsidR="00024C0A" w:rsidRDefault="00694C0F">
      <w:pPr>
        <w:pStyle w:val="Definition-Field2"/>
      </w:pPr>
      <w:r>
        <w:t>Word 2007 ignores the conformance attribute.  Word 2010 ignores the conformance attribute unless the user has installed the OOXML Strict Converter for Office 2010.</w:t>
      </w:r>
    </w:p>
    <w:p w:rsidR="00024C0A" w:rsidRDefault="00694C0F">
      <w:pPr>
        <w:pStyle w:val="Heading3"/>
      </w:pPr>
      <w:bookmarkStart w:id="91" w:name="section_c2a35f2312704ca699140fa440d56fdf"/>
      <w:bookmarkStart w:id="92" w:name="_Toc12260106"/>
      <w:r>
        <w:t>Part 1 Section 17.3.1.4, bar (Paragraph Border Between Facing Pages)</w:t>
      </w:r>
      <w:bookmarkEnd w:id="91"/>
      <w:bookmarkEnd w:id="92"/>
      <w:r>
        <w:fldChar w:fldCharType="begin"/>
      </w:r>
      <w:r>
        <w:instrText xml:space="preserve"> XE "bar (Paragr</w:instrText>
      </w:r>
      <w:r>
        <w:instrText xml:space="preserve">aph Border Between Facing Pages)"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24C0A" w:rsidRDefault="00694C0F">
      <w:pPr>
        <w:pStyle w:val="Definition-Field"/>
      </w:pPr>
      <w:r>
        <w:t xml:space="preserve">a.   </w:t>
      </w:r>
      <w:r>
        <w:rPr>
          <w:i/>
        </w:rPr>
        <w:t>The standard does not state a default value for the color attribute.</w:t>
      </w:r>
    </w:p>
    <w:p w:rsidR="00024C0A" w:rsidRDefault="00694C0F">
      <w:pPr>
        <w:pStyle w:val="Definition-Field2"/>
      </w:pPr>
      <w:r>
        <w:t>Word uses a default value of auto for this attribute.</w:t>
      </w:r>
    </w:p>
    <w:p w:rsidR="00024C0A" w:rsidRDefault="00694C0F">
      <w:pPr>
        <w:pStyle w:val="Definition-Field"/>
      </w:pPr>
      <w:r>
        <w:t xml:space="preserve">b.   </w:t>
      </w:r>
      <w:r>
        <w:rPr>
          <w:i/>
        </w:rPr>
        <w:t>The standard does not specify a default value for the sz attribute.</w:t>
      </w:r>
    </w:p>
    <w:p w:rsidR="00024C0A" w:rsidRDefault="00694C0F">
      <w:pPr>
        <w:pStyle w:val="Definition-Field2"/>
      </w:pPr>
      <w:r>
        <w:t>Word uses a defau</w:t>
      </w:r>
      <w:r>
        <w:t>lt value of 0 for this attribute.</w:t>
      </w:r>
    </w:p>
    <w:p w:rsidR="00024C0A" w:rsidRDefault="00694C0F">
      <w:pPr>
        <w:pStyle w:val="Definition-Field"/>
      </w:pPr>
      <w:r>
        <w:t xml:space="preserve">c.   </w:t>
      </w:r>
      <w:r>
        <w:rPr>
          <w:i/>
        </w:rPr>
        <w:t>The standard does not specify a default value for the space attribute.</w:t>
      </w:r>
    </w:p>
    <w:p w:rsidR="00024C0A" w:rsidRDefault="00694C0F">
      <w:pPr>
        <w:pStyle w:val="Definition-Field2"/>
      </w:pPr>
      <w:r>
        <w:t>Word uses a default value of 0 for this attribute.</w:t>
      </w:r>
    </w:p>
    <w:p w:rsidR="00024C0A" w:rsidRDefault="00694C0F">
      <w:pPr>
        <w:pStyle w:val="Heading3"/>
      </w:pPr>
      <w:bookmarkStart w:id="93" w:name="section_d8f1b25b44f64d97a3de49aae9bc6e25"/>
      <w:bookmarkStart w:id="94" w:name="_Toc12260107"/>
      <w:r>
        <w:lastRenderedPageBreak/>
        <w:t>Part 1 Section 17.3.1.5, between (Paragraph Border Between Identical Paragraphs)</w:t>
      </w:r>
      <w:bookmarkEnd w:id="93"/>
      <w:bookmarkEnd w:id="94"/>
      <w:r>
        <w:fldChar w:fldCharType="begin"/>
      </w:r>
      <w:r>
        <w:instrText xml:space="preserve"> XE "between (P</w:instrText>
      </w:r>
      <w:r>
        <w:instrText xml:space="preserve">aragraph Border Between Identical Paragraphs)"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24C0A" w:rsidRDefault="00694C0F">
      <w:pPr>
        <w:pStyle w:val="Heading3"/>
      </w:pPr>
      <w:bookmarkStart w:id="95" w:name="section_51e18657b7924721833351f4e3aba8bf"/>
      <w:bookmarkStart w:id="96" w:name="_Toc12260108"/>
      <w:r>
        <w:t>Part 1 Section 17.3.1.7, bottom (Paragraph Border Below Identical Paragraphs)</w:t>
      </w:r>
      <w:bookmarkEnd w:id="95"/>
      <w:bookmarkEnd w:id="96"/>
      <w:r>
        <w:fldChar w:fldCharType="begin"/>
      </w:r>
      <w:r>
        <w:instrText xml:space="preserve"> XE "bottom (P</w:instrText>
      </w:r>
      <w:r>
        <w:instrText xml:space="preserve">aragraph Border Below Identical Paragraphs)"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24C0A" w:rsidRDefault="00694C0F">
      <w:pPr>
        <w:pStyle w:val="Heading3"/>
      </w:pPr>
      <w:bookmarkStart w:id="97" w:name="section_2a155d8805864ebead3f635ec13a691b"/>
      <w:bookmarkStart w:id="98" w:name="_Toc12260109"/>
      <w:r>
        <w:t>Part 1 Section 17.3.1.8, cnfStyle (Paragraph Conditional Formatting)</w:t>
      </w:r>
      <w:bookmarkEnd w:id="97"/>
      <w:bookmarkEnd w:id="98"/>
      <w:r>
        <w:fldChar w:fldCharType="begin"/>
      </w:r>
      <w:r>
        <w:instrText xml:space="preserve"> XE "cnfStyle (Paragraph Conditional Formatting)" </w:instrText>
      </w:r>
      <w:r>
        <w:fldChar w:fldCharType="end"/>
      </w:r>
    </w:p>
    <w:p w:rsidR="00024C0A" w:rsidRDefault="00694C0F">
      <w:pPr>
        <w:pStyle w:val="Definition-Field2"/>
      </w:pPr>
      <w:r>
        <w:rPr>
          <w:i/>
        </w:rPr>
        <w:t>Fo</w:t>
      </w:r>
      <w:r>
        <w:rPr>
          <w:i/>
        </w:rPr>
        <w:t xml:space="preserve">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024C0A" w:rsidRDefault="00694C0F">
      <w:pPr>
        <w:pStyle w:val="Definition-Field"/>
      </w:pPr>
      <w:r>
        <w:t xml:space="preserve">a.   </w:t>
      </w:r>
      <w:r>
        <w:rPr>
          <w:i/>
        </w:rPr>
        <w:t>The standard specifies a set of attributes on this element.</w:t>
      </w:r>
    </w:p>
    <w:p w:rsidR="00024C0A" w:rsidRDefault="00694C0F">
      <w:pPr>
        <w:pStyle w:val="Definition-Field2"/>
      </w:pPr>
      <w:r>
        <w:t xml:space="preserve">Word reads the val attribute as </w:t>
      </w:r>
      <w:r>
        <w:t>specified in "</w:t>
      </w:r>
      <w:hyperlink r:id="rId63">
        <w:r>
          <w:rPr>
            <w:rStyle w:val="Hyperlink"/>
          </w:rPr>
          <w:t>[ISO/IEC-29500-4]</w:t>
        </w:r>
      </w:hyperlink>
      <w:r>
        <w:t xml:space="preserve"> §14.2.1.1; Additional attribute for cnfStyle element (Part 1, §17.3.1.8)" if none of the attributes specified in this subsection are present.</w:t>
      </w:r>
    </w:p>
    <w:p w:rsidR="00024C0A" w:rsidRDefault="00694C0F">
      <w:pPr>
        <w:pStyle w:val="Heading3"/>
      </w:pPr>
      <w:bookmarkStart w:id="99" w:name="section_5ff84bc9d5b747c7bcd53bebf540efb0"/>
      <w:bookmarkStart w:id="100" w:name="_Toc12260110"/>
      <w:r>
        <w:t>Part 1 Section 17.3.1.10, divId (Associated HTML div ID)</w:t>
      </w:r>
      <w:bookmarkEnd w:id="99"/>
      <w:bookmarkEnd w:id="100"/>
      <w:r>
        <w:fldChar w:fldCharType="begin"/>
      </w:r>
      <w:r>
        <w:instrText xml:space="preserve"> XE "divId (Associated HTML div ID)"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818e7ab5d66642ad8111cd3898c6d53b">
        <w:r>
          <w:rPr>
            <w:rStyle w:val="Hyperlink"/>
          </w:rPr>
          <w:t xml:space="preserve">divId, </w:t>
        </w:r>
        <w:r>
          <w:rPr>
            <w:rStyle w:val="Hyperlink"/>
          </w:rPr>
          <w:t>§17.4.9(a)</w:t>
        </w:r>
      </w:hyperlink>
      <w:r>
        <w:rPr>
          <w:i/>
        </w:rPr>
        <w:t xml:space="preserve">;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024C0A" w:rsidRDefault="00694C0F">
      <w:pPr>
        <w:pStyle w:val="Definition-Field"/>
      </w:pPr>
      <w:r>
        <w:t xml:space="preserve">a.   </w:t>
      </w:r>
      <w:r>
        <w:rPr>
          <w:i/>
        </w:rPr>
        <w:t>The standard states that the values of the val attribute are defined by the XML Schema integer datatype.</w:t>
      </w:r>
    </w:p>
    <w:p w:rsidR="00024C0A" w:rsidRDefault="00694C0F">
      <w:pPr>
        <w:pStyle w:val="Definition-Field2"/>
      </w:pPr>
      <w:r>
        <w:t>Word does not allow a value of 0 on this attribute.</w:t>
      </w:r>
    </w:p>
    <w:p w:rsidR="00024C0A" w:rsidRDefault="00694C0F">
      <w:pPr>
        <w:pStyle w:val="Heading3"/>
      </w:pPr>
      <w:bookmarkStart w:id="101" w:name="section_cc9a5828bc534a188b66416b4509f4b9"/>
      <w:bookmarkStart w:id="102" w:name="_Toc12260111"/>
      <w:r>
        <w:t>Part 1 Section 17.3.1.11, framePr (Text Frame Properties)</w:t>
      </w:r>
      <w:bookmarkEnd w:id="101"/>
      <w:bookmarkEnd w:id="102"/>
      <w:r>
        <w:fldChar w:fldCharType="begin"/>
      </w:r>
      <w:r>
        <w:instrText xml:space="preserve"> XE "framePr (Text Frame Properties)" </w:instrText>
      </w:r>
      <w:r>
        <w:fldChar w:fldCharType="end"/>
      </w:r>
    </w:p>
    <w:p w:rsidR="00024C0A" w:rsidRDefault="00694C0F">
      <w:pPr>
        <w:pStyle w:val="Definition-Field"/>
      </w:pPr>
      <w:r>
        <w:t xml:space="preserve">a.   </w:t>
      </w:r>
      <w:r>
        <w:rPr>
          <w:i/>
        </w:rPr>
        <w:t>The standard states that the lines attribute can be any 32-bit integer.</w:t>
      </w:r>
    </w:p>
    <w:p w:rsidR="00024C0A" w:rsidRDefault="00694C0F">
      <w:pPr>
        <w:pStyle w:val="Definition-Field2"/>
      </w:pPr>
      <w:r>
        <w:t>Word restricts this attributes to values between 1 and 10.</w:t>
      </w:r>
    </w:p>
    <w:p w:rsidR="00024C0A" w:rsidRDefault="00694C0F">
      <w:pPr>
        <w:pStyle w:val="Definition-Field"/>
      </w:pPr>
      <w:r>
        <w:t xml:space="preserve">b.   </w:t>
      </w:r>
      <w:r>
        <w:rPr>
          <w:i/>
        </w:rPr>
        <w:t>The standard stat</w:t>
      </w:r>
      <w:r>
        <w:rPr>
          <w:i/>
        </w:rPr>
        <w:t>es that the values of the h attribute are defined by the ST_TwipsMeasure simple type.</w:t>
      </w:r>
    </w:p>
    <w:p w:rsidR="00024C0A" w:rsidRDefault="00694C0F">
      <w:pPr>
        <w:pStyle w:val="Definition-Field2"/>
      </w:pPr>
      <w:r>
        <w:t>Word restricts the value of this attribute to be at least 1 and at most 31680.</w:t>
      </w:r>
    </w:p>
    <w:p w:rsidR="00024C0A" w:rsidRDefault="00694C0F">
      <w:pPr>
        <w:pStyle w:val="Definition-Field"/>
      </w:pPr>
      <w:r>
        <w:t xml:space="preserve">c.   </w:t>
      </w:r>
      <w:r>
        <w:rPr>
          <w:i/>
        </w:rPr>
        <w:t>The standard states that the hAnchor attribute is evaluated relative to paragraph dire</w:t>
      </w:r>
      <w:r>
        <w:rPr>
          <w:i/>
        </w:rPr>
        <w:t>ction (LTR versus RTL).</w:t>
      </w:r>
    </w:p>
    <w:p w:rsidR="00024C0A" w:rsidRDefault="00694C0F">
      <w:pPr>
        <w:pStyle w:val="Definition-Field2"/>
      </w:pPr>
      <w:r>
        <w:t>Word always evaluates the hAnchor attribute relative to the left edge.</w:t>
      </w:r>
    </w:p>
    <w:p w:rsidR="00024C0A" w:rsidRDefault="00694C0F">
      <w:pPr>
        <w:pStyle w:val="Definition-Field"/>
      </w:pPr>
      <w:r>
        <w:t xml:space="preserve">d.   </w:t>
      </w:r>
      <w:r>
        <w:rPr>
          <w:i/>
        </w:rPr>
        <w:t>The standard states that 0 is a valid value of the h attribute.</w:t>
      </w:r>
    </w:p>
    <w:p w:rsidR="00024C0A" w:rsidRDefault="00694C0F">
      <w:pPr>
        <w:pStyle w:val="Definition-Field2"/>
      </w:pPr>
      <w:r>
        <w:t>Word treats a value of 0 on this attribute as a value of auto.</w:t>
      </w:r>
    </w:p>
    <w:p w:rsidR="00024C0A" w:rsidRDefault="00694C0F">
      <w:pPr>
        <w:pStyle w:val="Definition-Field"/>
      </w:pPr>
      <w:r>
        <w:t xml:space="preserve">e.   </w:t>
      </w:r>
      <w:r>
        <w:rPr>
          <w:i/>
        </w:rPr>
        <w:t>The standard states that</w:t>
      </w:r>
      <w:r>
        <w:rPr>
          <w:i/>
        </w:rPr>
        <w:t xml:space="preserve"> the default value of the hAnchor attribute is page.</w:t>
      </w:r>
    </w:p>
    <w:p w:rsidR="00024C0A" w:rsidRDefault="00694C0F">
      <w:pPr>
        <w:pStyle w:val="Definition-Field2"/>
      </w:pPr>
      <w:r>
        <w:t>Word uses a default value of text for the hAnchor attribute.</w:t>
      </w:r>
    </w:p>
    <w:p w:rsidR="00024C0A" w:rsidRDefault="00694C0F">
      <w:pPr>
        <w:pStyle w:val="Definition-Field"/>
      </w:pPr>
      <w:r>
        <w:t xml:space="preserve">f.   </w:t>
      </w:r>
      <w:r>
        <w:rPr>
          <w:i/>
        </w:rPr>
        <w:t>The standard states that the default value of the hRule attribute is auto.</w:t>
      </w:r>
    </w:p>
    <w:p w:rsidR="00024C0A" w:rsidRDefault="00694C0F">
      <w:pPr>
        <w:pStyle w:val="Definition-Field2"/>
      </w:pPr>
      <w:r>
        <w:t>Word uses a default value of atLeast for this attribute when t</w:t>
      </w:r>
      <w:r>
        <w:t>he value of the h attribute is not 0.</w:t>
      </w:r>
    </w:p>
    <w:p w:rsidR="00024C0A" w:rsidRDefault="00694C0F">
      <w:pPr>
        <w:pStyle w:val="Definition-Field"/>
      </w:pPr>
      <w:r>
        <w:lastRenderedPageBreak/>
        <w:t xml:space="preserve">g.   </w:t>
      </w:r>
      <w:r>
        <w:rPr>
          <w:i/>
        </w:rPr>
        <w:t>The standard states that the default value for the vAnchor attribute is page.</w:t>
      </w:r>
    </w:p>
    <w:p w:rsidR="00024C0A" w:rsidRDefault="00694C0F">
      <w:pPr>
        <w:pStyle w:val="Definition-Field2"/>
      </w:pPr>
      <w:r>
        <w:t>Word uses a default value of text for this attribute.</w:t>
      </w:r>
    </w:p>
    <w:p w:rsidR="00024C0A" w:rsidRDefault="00694C0F">
      <w:pPr>
        <w:pStyle w:val="Heading3"/>
      </w:pPr>
      <w:bookmarkStart w:id="103" w:name="section_138732dc507a4164af66808c2fd9f2f9"/>
      <w:bookmarkStart w:id="104" w:name="_Toc12260112"/>
      <w:r>
        <w:t>Part 1 Section 17.3.1.12, ind (Paragraph Indentation)</w:t>
      </w:r>
      <w:bookmarkEnd w:id="103"/>
      <w:bookmarkEnd w:id="104"/>
      <w:r>
        <w:fldChar w:fldCharType="begin"/>
      </w:r>
      <w:r>
        <w:instrText xml:space="preserve"> XE "ind (Paragraph Indentat</w:instrText>
      </w:r>
      <w:r>
        <w:instrText xml:space="preserve">ion)" </w:instrText>
      </w:r>
      <w:r>
        <w:fldChar w:fldCharType="end"/>
      </w:r>
    </w:p>
    <w:p w:rsidR="00024C0A" w:rsidRDefault="00694C0F">
      <w:pPr>
        <w:pStyle w:val="Definition-Field"/>
      </w:pPr>
      <w:r>
        <w:t xml:space="preserve">a.   </w:t>
      </w:r>
      <w:r>
        <w:rPr>
          <w:i/>
        </w:rPr>
        <w:t>The standard states that character unit indent attributes (endChars, firstLineChars, hangingChars and startChars) specify indents in character units, which will be applied to the paragraph in the order specified by the Style Hierarchy.</w:t>
      </w:r>
    </w:p>
    <w:p w:rsidR="00024C0A" w:rsidRDefault="00694C0F">
      <w:pPr>
        <w:pStyle w:val="Definition-Field2"/>
      </w:pPr>
      <w:r>
        <w:t>During</w:t>
      </w:r>
      <w:r>
        <w:t xml:space="preserve"> Style Hierarchy application, Word ignores character unit indents with a value of zero along with related character unit indents that are applied earlier in the Style Hierarchy order.</w:t>
      </w:r>
    </w:p>
    <w:p w:rsidR="00024C0A" w:rsidRDefault="00694C0F">
      <w:pPr>
        <w:pStyle w:val="Definition-Field"/>
      </w:pPr>
      <w:r>
        <w:t xml:space="preserve">b.   </w:t>
      </w:r>
      <w:r>
        <w:rPr>
          <w:i/>
        </w:rPr>
        <w:t>The standard states that character unit indent attributes, endChars</w:t>
      </w:r>
      <w:r>
        <w:rPr>
          <w:i/>
        </w:rPr>
        <w:t>, firstLineChars, hangingChars and startChars, specify indents in character units, which will be applied to the paragraph in the order specified by the Style Hierarchy.</w:t>
      </w:r>
    </w:p>
    <w:p w:rsidR="00024C0A" w:rsidRDefault="00694C0F">
      <w:pPr>
        <w:pStyle w:val="Definition-Field2"/>
      </w:pPr>
      <w:r>
        <w:t>During Style Hierarchy application, Word overrides non-character unit indents with rela</w:t>
      </w:r>
      <w:r>
        <w:t>ted non-zero character unit indents that are applied earlier in the Style Hierarchy order.</w:t>
      </w:r>
    </w:p>
    <w:p w:rsidR="00024C0A" w:rsidRDefault="00694C0F">
      <w:pPr>
        <w:pStyle w:val="Heading3"/>
      </w:pPr>
      <w:bookmarkStart w:id="105" w:name="section_7e29304230364d9baaaa1cc714554db0"/>
      <w:bookmarkStart w:id="106" w:name="_Toc12260113"/>
      <w:r>
        <w:t>Part 1 Section 17.3.1.13, jc (Paragraph Alignment)</w:t>
      </w:r>
      <w:bookmarkEnd w:id="105"/>
      <w:bookmarkEnd w:id="106"/>
      <w:r>
        <w:fldChar w:fldCharType="begin"/>
      </w:r>
      <w:r>
        <w:instrText xml:space="preserve"> XE "jc (Paragraph Alignment)" </w:instrText>
      </w:r>
      <w:r>
        <w:fldChar w:fldCharType="end"/>
      </w:r>
    </w:p>
    <w:p w:rsidR="00024C0A" w:rsidRDefault="00694C0F">
      <w:pPr>
        <w:pStyle w:val="Definition-Field"/>
      </w:pPr>
      <w:r>
        <w:t xml:space="preserve">a.   </w:t>
      </w:r>
      <w:r>
        <w:rPr>
          <w:i/>
        </w:rPr>
        <w:t>The standard states that no alignment is applied to the paragraph when the p</w:t>
      </w:r>
      <w:r>
        <w:rPr>
          <w:i/>
        </w:rPr>
        <w:t>aragraph alignment setting is never specified in the style hierarchy.</w:t>
      </w:r>
    </w:p>
    <w:p w:rsidR="00024C0A" w:rsidRDefault="00694C0F">
      <w:pPr>
        <w:pStyle w:val="Definition-Field2"/>
      </w:pPr>
      <w:r>
        <w:t>Word applies a left alignment to the paragraph under this circumstance.</w:t>
      </w:r>
    </w:p>
    <w:p w:rsidR="00024C0A" w:rsidRDefault="00694C0F">
      <w:pPr>
        <w:pStyle w:val="Heading3"/>
      </w:pPr>
      <w:bookmarkStart w:id="107" w:name="section_6229412bf0c64019aabd260ee2f4145f"/>
      <w:bookmarkStart w:id="108" w:name="_Toc12260114"/>
      <w:r>
        <w:t>Part 1 Section 17.3.1.14, keepLines (Keep All Lines On One Page)</w:t>
      </w:r>
      <w:bookmarkEnd w:id="107"/>
      <w:bookmarkEnd w:id="108"/>
      <w:r>
        <w:fldChar w:fldCharType="begin"/>
      </w:r>
      <w:r>
        <w:instrText xml:space="preserve"> XE "keepLines (Keep All Lines On One Page)" </w:instrText>
      </w:r>
      <w:r>
        <w:fldChar w:fldCharType="end"/>
      </w:r>
    </w:p>
    <w:p w:rsidR="00024C0A" w:rsidRDefault="00694C0F">
      <w:pPr>
        <w:pStyle w:val="Definition-Field"/>
      </w:pPr>
      <w:r>
        <w:t>a.</w:t>
      </w:r>
      <w:r>
        <w:t xml:space="preserve">   </w:t>
      </w:r>
      <w:r>
        <w:rPr>
          <w:i/>
        </w:rPr>
        <w:t>The standard states that the property can be applied to paragraphs anywhere in a document.</w:t>
      </w:r>
    </w:p>
    <w:p w:rsidR="00024C0A" w:rsidRDefault="00694C0F">
      <w:pPr>
        <w:pStyle w:val="Definition-Field2"/>
      </w:pPr>
      <w:r>
        <w:t>Word does not keep lines together when rendering paragraphs inside a table.</w:t>
      </w:r>
    </w:p>
    <w:p w:rsidR="00024C0A" w:rsidRDefault="00694C0F">
      <w:pPr>
        <w:pStyle w:val="Heading3"/>
      </w:pPr>
      <w:bookmarkStart w:id="109" w:name="section_84486937c3e44d37867268892080944d"/>
      <w:bookmarkStart w:id="110" w:name="_Toc12260115"/>
      <w:r>
        <w:t>Part 1 Section 17.3.1.16, kinsoku (Use East Asian Typography Rules for First and Last Character per Line)</w:t>
      </w:r>
      <w:bookmarkEnd w:id="109"/>
      <w:bookmarkEnd w:id="110"/>
      <w:r>
        <w:fldChar w:fldCharType="begin"/>
      </w:r>
      <w:r>
        <w:instrText xml:space="preserve"> XE "kinsoku (Use East Asian Typography Rules for First and Last Character per Line)" </w:instrText>
      </w:r>
      <w:r>
        <w:fldChar w:fldCharType="end"/>
      </w:r>
    </w:p>
    <w:p w:rsidR="00024C0A" w:rsidRDefault="00694C0F">
      <w:pPr>
        <w:pStyle w:val="Definition-Field"/>
      </w:pPr>
      <w:r>
        <w:t xml:space="preserve">a.   </w:t>
      </w:r>
      <w:r>
        <w:rPr>
          <w:i/>
        </w:rPr>
        <w:t>The standard states that the East Asian typography and li</w:t>
      </w:r>
      <w:r>
        <w:rPr>
          <w:i/>
        </w:rPr>
        <w:t>ne-breaking rules only apply to Simplified Chinese, Traditional Chinese, and Japanese text in the paragraph.</w:t>
      </w:r>
    </w:p>
    <w:p w:rsidR="00024C0A" w:rsidRDefault="00694C0F">
      <w:pPr>
        <w:pStyle w:val="Definition-Field2"/>
      </w:pPr>
      <w:r>
        <w:t>Word only applies these rules to Simplified Chinese, Traditional Chinese, Korean, and Japanese text in the paragraph.</w:t>
      </w:r>
    </w:p>
    <w:p w:rsidR="00024C0A" w:rsidRDefault="00694C0F">
      <w:pPr>
        <w:pStyle w:val="Definition-Field"/>
      </w:pPr>
      <w:r>
        <w:t xml:space="preserve">b.   </w:t>
      </w:r>
      <w:r>
        <w:rPr>
          <w:i/>
        </w:rPr>
        <w:t>The standard does not st</w:t>
      </w:r>
      <w:r>
        <w:rPr>
          <w:i/>
        </w:rPr>
        <w:t>ate how to resolve a conflict between this setting and the overflowPunct element when their rules conflict.</w:t>
      </w:r>
    </w:p>
    <w:p w:rsidR="00024C0A" w:rsidRDefault="00694C0F">
      <w:pPr>
        <w:pStyle w:val="Definition-Field2"/>
      </w:pPr>
      <w:r>
        <w:t>Word allows the rules specified by the overflowPunct element to override this element when they are both true and affect the same character.</w:t>
      </w:r>
    </w:p>
    <w:p w:rsidR="00024C0A" w:rsidRDefault="00694C0F">
      <w:pPr>
        <w:pStyle w:val="Heading3"/>
      </w:pPr>
      <w:bookmarkStart w:id="111" w:name="section_357112b6a39c472a92df956d518d4aa8"/>
      <w:bookmarkStart w:id="112" w:name="_Toc12260116"/>
      <w:r>
        <w:t xml:space="preserve">Part 1 </w:t>
      </w:r>
      <w:r>
        <w:t>Section 17.3.1.17, left (Left Paragraph Border)</w:t>
      </w:r>
      <w:bookmarkEnd w:id="111"/>
      <w:bookmarkEnd w:id="112"/>
      <w:r>
        <w:fldChar w:fldCharType="begin"/>
      </w:r>
      <w:r>
        <w:instrText xml:space="preserve"> XE "left (Left Paragraph Border)"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r>
          <w:rPr>
            <w:rStyle w:val="Hyperlink"/>
          </w:rPr>
          <w:t>)</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24C0A" w:rsidRDefault="00694C0F">
      <w:pPr>
        <w:pStyle w:val="Heading3"/>
      </w:pPr>
      <w:bookmarkStart w:id="113" w:name="section_7d70ca688cbe48b7b3c34e19a9a7ee5a"/>
      <w:bookmarkStart w:id="114" w:name="_Toc12260117"/>
      <w:r>
        <w:t>Part 1 Section 17.3.1.18, mirrorIndents (Use Left/Right Indents as Inside/Outside Indents)</w:t>
      </w:r>
      <w:bookmarkEnd w:id="113"/>
      <w:bookmarkEnd w:id="114"/>
      <w:r>
        <w:fldChar w:fldCharType="begin"/>
      </w:r>
      <w:r>
        <w:instrText xml:space="preserve"> XE "mirrorIndents (Use Left/Right Indents as Inside/Outside Indents)" </w:instrText>
      </w:r>
      <w:r>
        <w:fldChar w:fldCharType="end"/>
      </w:r>
    </w:p>
    <w:p w:rsidR="00024C0A" w:rsidRDefault="00694C0F">
      <w:pPr>
        <w:pStyle w:val="Definition-Field"/>
      </w:pPr>
      <w:r>
        <w:t xml:space="preserve">a.   </w:t>
      </w:r>
      <w:r>
        <w:rPr>
          <w:i/>
        </w:rPr>
        <w:t>The standard does not describe the interaction between a hanging indent and this elemen</w:t>
      </w:r>
      <w:r>
        <w:rPr>
          <w:i/>
        </w:rPr>
        <w:t>t.</w:t>
      </w:r>
    </w:p>
    <w:p w:rsidR="00024C0A" w:rsidRDefault="00694C0F">
      <w:pPr>
        <w:pStyle w:val="Definition-Field2"/>
      </w:pPr>
      <w:r>
        <w:lastRenderedPageBreak/>
        <w:t>Word incorrectly aligns the hanging indent to the left margin for odd-numbered pages when a hanging indent is used with this element.</w:t>
      </w:r>
    </w:p>
    <w:p w:rsidR="00024C0A" w:rsidRDefault="00694C0F">
      <w:pPr>
        <w:pStyle w:val="Definition-Field"/>
      </w:pPr>
      <w:r>
        <w:t xml:space="preserve">b.   </w:t>
      </w:r>
      <w:r>
        <w:rPr>
          <w:i/>
        </w:rPr>
        <w:t>The standard states that this setting can be applied to any set of paragraph properties.</w:t>
      </w:r>
    </w:p>
    <w:p w:rsidR="00024C0A" w:rsidRDefault="00694C0F">
      <w:pPr>
        <w:pStyle w:val="Definition-Field2"/>
      </w:pPr>
      <w:r>
        <w:t>Word ignores this setting</w:t>
      </w:r>
      <w:r>
        <w:t xml:space="preserve"> when displaying paragraphs inside a table.</w:t>
      </w:r>
    </w:p>
    <w:p w:rsidR="00024C0A" w:rsidRDefault="00694C0F">
      <w:pPr>
        <w:pStyle w:val="Heading3"/>
      </w:pPr>
      <w:bookmarkStart w:id="115" w:name="section_6a8f14ffdf9041549bc9e0e88ae5e641"/>
      <w:bookmarkStart w:id="116" w:name="_Toc12260118"/>
      <w:r>
        <w:t>Part 1 Section 17.3.1.19, numPr (Numbering Definition Instance Reference)</w:t>
      </w:r>
      <w:bookmarkEnd w:id="115"/>
      <w:bookmarkEnd w:id="116"/>
      <w:r>
        <w:fldChar w:fldCharType="begin"/>
      </w:r>
      <w:r>
        <w:instrText xml:space="preserve"> XE "numPr (Numbering Definition Instance Reference)" </w:instrText>
      </w:r>
      <w:r>
        <w:fldChar w:fldCharType="end"/>
      </w:r>
    </w:p>
    <w:p w:rsidR="00024C0A" w:rsidRDefault="00694C0F">
      <w:pPr>
        <w:pStyle w:val="Definition-Field"/>
      </w:pPr>
      <w:r>
        <w:t xml:space="preserve">a.   </w:t>
      </w:r>
      <w:r>
        <w:rPr>
          <w:i/>
        </w:rPr>
        <w:t>The standard states that when this element appears as part of the paragraph f</w:t>
      </w:r>
      <w:r>
        <w:rPr>
          <w:i/>
        </w:rPr>
        <w:t>ormatting for a paragraph style, then any numbering level defined using the ilvl element shall be ignored.</w:t>
      </w:r>
    </w:p>
    <w:p w:rsidR="00024C0A" w:rsidRDefault="00694C0F">
      <w:pPr>
        <w:pStyle w:val="Definition-Field2"/>
      </w:pPr>
      <w:r>
        <w:t>Word does not ignore this element within a paragraph style definition, and will exhibit unpredictable behavior when it is present.</w:t>
      </w:r>
    </w:p>
    <w:p w:rsidR="00024C0A" w:rsidRDefault="00694C0F">
      <w:pPr>
        <w:pStyle w:val="Heading3"/>
      </w:pPr>
      <w:bookmarkStart w:id="117" w:name="section_d102191b957b471ab0627af071ec8e52"/>
      <w:bookmarkStart w:id="118" w:name="_Toc12260119"/>
      <w:r>
        <w:t>Part 1 Section 17.</w:t>
      </w:r>
      <w:r>
        <w:t>3.1.20, outlineLvl (Associated Outline Level)</w:t>
      </w:r>
      <w:bookmarkEnd w:id="117"/>
      <w:bookmarkEnd w:id="118"/>
      <w:r>
        <w:fldChar w:fldCharType="begin"/>
      </w:r>
      <w:r>
        <w:instrText xml:space="preserve"> XE "outlineLvl (Associated Outline Level)" </w:instrText>
      </w:r>
      <w:r>
        <w:fldChar w:fldCharType="end"/>
      </w:r>
    </w:p>
    <w:p w:rsidR="00024C0A" w:rsidRDefault="00694C0F">
      <w:pPr>
        <w:pStyle w:val="Definition-Field"/>
      </w:pPr>
      <w:r>
        <w:t xml:space="preserve">a.   </w:t>
      </w:r>
      <w:r>
        <w:rPr>
          <w:i/>
        </w:rPr>
        <w:t>The standard does not explicitly specify conditions under which this element can be ignored.</w:t>
      </w:r>
    </w:p>
    <w:p w:rsidR="00024C0A" w:rsidRDefault="00694C0F">
      <w:pPr>
        <w:pStyle w:val="Definition-Field2"/>
      </w:pPr>
      <w:r>
        <w:t xml:space="preserve">Word ignores this element when the associated paragraph style has </w:t>
      </w:r>
      <w:r>
        <w:t>a style ID of Heading1 through Heading9, instead setting it to a corresponding value between 1 and 9.</w:t>
      </w:r>
    </w:p>
    <w:p w:rsidR="00024C0A" w:rsidRDefault="00694C0F">
      <w:pPr>
        <w:pStyle w:val="Heading3"/>
      </w:pPr>
      <w:bookmarkStart w:id="119" w:name="section_879a1ee25d6c41818fd57b4b1b55949f"/>
      <w:bookmarkStart w:id="120" w:name="_Toc12260120"/>
      <w:r>
        <w:t>Part 1 Section 17.3.1.21, overflowPunct (Allow Punctuation to Extend Past Text Extents)</w:t>
      </w:r>
      <w:bookmarkEnd w:id="119"/>
      <w:bookmarkEnd w:id="120"/>
      <w:r>
        <w:fldChar w:fldCharType="begin"/>
      </w:r>
      <w:r>
        <w:instrText xml:space="preserve"> XE "overflowPunct (Allow Punctuation to Extend Past Text Extents)"</w:instrText>
      </w:r>
      <w:r>
        <w:instrText xml:space="preserve"> </w:instrText>
      </w:r>
      <w:r>
        <w:fldChar w:fldCharType="end"/>
      </w:r>
    </w:p>
    <w:p w:rsidR="00024C0A" w:rsidRDefault="00694C0F">
      <w:pPr>
        <w:pStyle w:val="Definition-Field"/>
      </w:pPr>
      <w:r>
        <w:t xml:space="preserve">a.   </w:t>
      </w:r>
      <w:r>
        <w:rPr>
          <w:i/>
        </w:rPr>
        <w:t>The standard states that this setting applies to punctuation characters, but does not specify which characters are punctuation characters.</w:t>
      </w:r>
    </w:p>
    <w:p w:rsidR="00024C0A" w:rsidRDefault="00694C0F">
      <w:r>
        <w:t>Word only applies this setting to the following characters:</w:t>
      </w:r>
    </w:p>
    <w:p w:rsidR="00024C0A" w:rsidRDefault="00694C0F">
      <w:r>
        <w:t>If the parent run is Chinese (Simplified):</w:t>
      </w:r>
    </w:p>
    <w:p w:rsidR="00024C0A" w:rsidRDefault="00694C0F">
      <w:pPr>
        <w:pStyle w:val="ListParagraph"/>
        <w:numPr>
          <w:ilvl w:val="0"/>
          <w:numId w:val="47"/>
        </w:numPr>
      </w:pPr>
      <w:r>
        <w:t>!%),.</w:t>
      </w:r>
      <w:r>
        <w:t>:;&gt;?]}¢°·ˇ’”‰′″℃∶、。〃〉》」』】〕〗〞﹚﹜﹞！＂％＇），．：；？］｝￠</w:t>
      </w:r>
    </w:p>
    <w:p w:rsidR="00024C0A" w:rsidRDefault="00694C0F">
      <w:r>
        <w:t>If the parent run is Chinese (Traditional):</w:t>
      </w:r>
    </w:p>
    <w:p w:rsidR="00024C0A" w:rsidRDefault="00694C0F">
      <w:pPr>
        <w:pStyle w:val="ListParagraph"/>
        <w:numPr>
          <w:ilvl w:val="0"/>
          <w:numId w:val="48"/>
        </w:numPr>
      </w:pPr>
      <w:r>
        <w:t>!),.:;?]}’”′、。〉》」』】〕〞﹚﹜﹞！），．：；？］｝</w:t>
      </w:r>
    </w:p>
    <w:p w:rsidR="00024C0A" w:rsidRDefault="00694C0F">
      <w:r>
        <w:t>If the parent run is Japanese:</w:t>
      </w:r>
    </w:p>
    <w:p w:rsidR="00024C0A" w:rsidRDefault="00694C0F">
      <w:pPr>
        <w:pStyle w:val="ListParagraph"/>
        <w:numPr>
          <w:ilvl w:val="0"/>
          <w:numId w:val="49"/>
        </w:numPr>
      </w:pPr>
      <w:r>
        <w:t>,.’”、。」』】），．］｝｡､</w:t>
      </w:r>
    </w:p>
    <w:p w:rsidR="00024C0A" w:rsidRDefault="00694C0F">
      <w:r>
        <w:t>If the parent run is Korean:</w:t>
      </w:r>
    </w:p>
    <w:p w:rsidR="00024C0A" w:rsidRDefault="00694C0F">
      <w:pPr>
        <w:pStyle w:val="ListParagraph"/>
        <w:numPr>
          <w:ilvl w:val="0"/>
          <w:numId w:val="50"/>
        </w:numPr>
      </w:pPr>
      <w:r>
        <w:t>!%),.:;?]}¢°’”′″℃〉》」』】〕！％），．：；？］｝￠</w:t>
      </w:r>
    </w:p>
    <w:p w:rsidR="00024C0A" w:rsidRDefault="00694C0F">
      <w:pPr>
        <w:pStyle w:val="Definition-Field"/>
      </w:pPr>
      <w:r>
        <w:t xml:space="preserve">b.   </w:t>
      </w:r>
      <w:r>
        <w:rPr>
          <w:i/>
        </w:rPr>
        <w:t xml:space="preserve">The standard </w:t>
      </w:r>
      <w:r>
        <w:rPr>
          <w:i/>
        </w:rPr>
        <w:t>does not state how a conflict between the overflowPunct element and the kinsoku element should be resolved when both are applied to a single paragraph.</w:t>
      </w:r>
    </w:p>
    <w:p w:rsidR="00024C0A" w:rsidRDefault="00694C0F">
      <w:pPr>
        <w:pStyle w:val="Definition-Field2"/>
      </w:pPr>
      <w:r>
        <w:t>Word ignores the kinsoku element when this element is present and the two settings conflict.</w:t>
      </w:r>
    </w:p>
    <w:p w:rsidR="00024C0A" w:rsidRDefault="00694C0F">
      <w:pPr>
        <w:pStyle w:val="Heading3"/>
      </w:pPr>
      <w:bookmarkStart w:id="121" w:name="section_926783638af840998a4a44fa944c04ea"/>
      <w:bookmarkStart w:id="122" w:name="_Toc12260121"/>
      <w:r>
        <w:t>Part 1 Sect</w:t>
      </w:r>
      <w:r>
        <w:t>ion 17.3.1.22, p (Paragraph)</w:t>
      </w:r>
      <w:bookmarkEnd w:id="121"/>
      <w:bookmarkEnd w:id="122"/>
      <w:r>
        <w:fldChar w:fldCharType="begin"/>
      </w:r>
      <w:r>
        <w:instrText xml:space="preserve"> XE "p (Paragraph)"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24C0A" w:rsidRDefault="00694C0F">
      <w:pPr>
        <w:pStyle w:val="Heading3"/>
      </w:pPr>
      <w:bookmarkStart w:id="123" w:name="section_cb186a0b98ee403f9d0623629e9cb647"/>
      <w:bookmarkStart w:id="124" w:name="_Toc12260122"/>
      <w:r>
        <w:lastRenderedPageBreak/>
        <w:t xml:space="preserve">Part 1 Section 17.3.1.25, pPr </w:t>
      </w:r>
      <w:r>
        <w:t>(Previous Paragraph Properties)</w:t>
      </w:r>
      <w:bookmarkEnd w:id="123"/>
      <w:bookmarkEnd w:id="124"/>
      <w:r>
        <w:fldChar w:fldCharType="begin"/>
      </w:r>
      <w:r>
        <w:instrText xml:space="preserve"> XE "pPr (Previous Paragraph Properties)" </w:instrText>
      </w:r>
      <w:r>
        <w:fldChar w:fldCharType="end"/>
      </w:r>
    </w:p>
    <w:p w:rsidR="00024C0A" w:rsidRDefault="00694C0F">
      <w:pPr>
        <w:pStyle w:val="Definition-Field"/>
      </w:pPr>
      <w:r>
        <w:t xml:space="preserve">a.   </w:t>
      </w:r>
      <w:r>
        <w:rPr>
          <w:i/>
        </w:rPr>
        <w:t>The standard states that the cnfStyle and divId elements can differ between previous paragraph properties and current paragraph properties.</w:t>
      </w:r>
    </w:p>
    <w:p w:rsidR="00024C0A" w:rsidRDefault="00694C0F">
      <w:pPr>
        <w:pStyle w:val="Definition-Field2"/>
      </w:pPr>
      <w:r>
        <w:t>Word sets cnfStyle and divId in pre</w:t>
      </w:r>
      <w:r>
        <w:t>vious paragraph properties to the values in current paragraph properties.</w:t>
      </w:r>
    </w:p>
    <w:p w:rsidR="00024C0A" w:rsidRDefault="00694C0F">
      <w:pPr>
        <w:pStyle w:val="Heading3"/>
      </w:pPr>
      <w:bookmarkStart w:id="125" w:name="section_116e5d7e734943748adbe53a78afa7cc"/>
      <w:bookmarkStart w:id="126" w:name="_Toc12260123"/>
      <w:r>
        <w:t>Part 1 Section 17.3.1.27, pStyle (Referenced Paragraph Style)</w:t>
      </w:r>
      <w:bookmarkEnd w:id="125"/>
      <w:bookmarkEnd w:id="126"/>
      <w:r>
        <w:fldChar w:fldCharType="begin"/>
      </w:r>
      <w:r>
        <w:instrText xml:space="preserve"> XE "pStyle (Referenced Paragraph Style)" </w:instrText>
      </w:r>
      <w:r>
        <w:fldChar w:fldCharType="end"/>
      </w:r>
    </w:p>
    <w:p w:rsidR="00024C0A" w:rsidRDefault="00694C0F">
      <w:pPr>
        <w:pStyle w:val="Definition-Field2"/>
      </w:pPr>
      <w:r>
        <w:rPr>
          <w:i/>
        </w:rPr>
        <w:t xml:space="preserve">For additional notes that apply to this portion of the standard, please see </w:t>
      </w:r>
      <w:r>
        <w:rPr>
          <w:i/>
        </w:rPr>
        <w:t xml:space="preserve">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 xml:space="preserve">pPr, </w:t>
        </w:r>
        <w:r>
          <w:rPr>
            <w:rStyle w:val="Hyperlink"/>
          </w:rPr>
          <w:t>§17.7.8.2(a)</w:t>
        </w:r>
      </w:hyperlink>
      <w:r>
        <w:rPr>
          <w:i/>
        </w:rPr>
        <w:t>.</w:t>
      </w:r>
    </w:p>
    <w:p w:rsidR="00024C0A" w:rsidRDefault="00694C0F">
      <w:pPr>
        <w:pStyle w:val="Heading3"/>
      </w:pPr>
      <w:bookmarkStart w:id="127" w:name="section_689ac9029287469ca73337206ae40ea7"/>
      <w:bookmarkStart w:id="128" w:name="_Toc12260124"/>
      <w:r>
        <w:t>Part 1 Section 17.3.1.28, right (Right Paragraph Border)</w:t>
      </w:r>
      <w:bookmarkEnd w:id="127"/>
      <w:bookmarkEnd w:id="128"/>
      <w:r>
        <w:fldChar w:fldCharType="begin"/>
      </w:r>
      <w:r>
        <w:instrText xml:space="preserve"> XE "right (Right Paragraph Border)"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24C0A" w:rsidRDefault="00694C0F">
      <w:pPr>
        <w:pStyle w:val="Heading3"/>
      </w:pPr>
      <w:bookmarkStart w:id="129" w:name="section_de7e18425f80491599253bf0b4fe84bf"/>
      <w:bookmarkStart w:id="130" w:name="_Toc12260125"/>
      <w:r>
        <w:t>Part 1 Section 17.3.1.29, rPr (Run Properties for the Paragra</w:t>
      </w:r>
      <w:r>
        <w:t>ph Mark)</w:t>
      </w:r>
      <w:bookmarkEnd w:id="129"/>
      <w:bookmarkEnd w:id="130"/>
      <w:r>
        <w:fldChar w:fldCharType="begin"/>
      </w:r>
      <w:r>
        <w:instrText xml:space="preserve"> XE "rPr (Run Properties for the Paragraph Mark)" </w:instrText>
      </w:r>
      <w:r>
        <w:fldChar w:fldCharType="end"/>
      </w:r>
    </w:p>
    <w:p w:rsidR="00024C0A" w:rsidRDefault="00694C0F">
      <w:pPr>
        <w:pStyle w:val="Definition-Field2"/>
        <w:rPr>
          <w:i/>
        </w:rPr>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024C0A" w:rsidRDefault="00694C0F">
      <w:pPr>
        <w:pStyle w:val="Definition-Field"/>
        <w:numPr>
          <w:ilvl w:val="0"/>
          <w:numId w:val="51"/>
        </w:numPr>
        <w:rPr>
          <w:i/>
        </w:rPr>
      </w:pPr>
      <w:r>
        <w:rPr>
          <w:i/>
        </w:rPr>
        <w:t>The standard does not describe how</w:t>
      </w:r>
      <w:r>
        <w:rPr>
          <w:i/>
        </w:rPr>
        <w:t xml:space="preserve"> text formatting in a list item is affected when formatting is applied to the paragraph mark.</w:t>
      </w:r>
    </w:p>
    <w:p w:rsidR="00024C0A" w:rsidRDefault="00694C0F">
      <w:pPr>
        <w:pStyle w:val="Definition-Field2"/>
      </w:pPr>
      <w:r>
        <w:t xml:space="preserve">When run formatting properties are applied to the paragraph mark at the end of a list item, the paragraph run text for the list item does not change to match the </w:t>
      </w:r>
      <w:r>
        <w:t>number and paragraph mark properties, and neither does the run text for subsequent runs.</w:t>
      </w:r>
    </w:p>
    <w:p w:rsidR="00024C0A" w:rsidRDefault="00694C0F">
      <w:pPr>
        <w:pStyle w:val="Heading3"/>
      </w:pPr>
      <w:bookmarkStart w:id="131" w:name="section_4b5ea5ae6acf4e6cb5fdc540b5d024ba"/>
      <w:bookmarkStart w:id="132" w:name="_Toc12260126"/>
      <w:r>
        <w:t>Part 1 Section 17.3.1.30, rPr (Previous Run Properties for the Paragraph Mark)</w:t>
      </w:r>
      <w:bookmarkEnd w:id="131"/>
      <w:bookmarkEnd w:id="132"/>
      <w:r>
        <w:fldChar w:fldCharType="begin"/>
      </w:r>
      <w:r>
        <w:instrText xml:space="preserve"> XE "rPr (Previous Run Properties for the Paragraph Mark)" </w:instrText>
      </w:r>
      <w:r>
        <w:fldChar w:fldCharType="end"/>
      </w:r>
    </w:p>
    <w:p w:rsidR="00024C0A" w:rsidRDefault="00694C0F">
      <w:pPr>
        <w:pStyle w:val="Definition-Field"/>
      </w:pPr>
      <w:r>
        <w:t xml:space="preserve">a.   </w:t>
      </w:r>
      <w:r>
        <w:rPr>
          <w:i/>
        </w:rPr>
        <w:t>The standard states th</w:t>
      </w:r>
      <w:r>
        <w:rPr>
          <w:i/>
        </w:rPr>
        <w:t>at the ins, del, moveFrom, moveTo, and oMath elements can differ between the current run properties and previous run properties for the paragraph mark.</w:t>
      </w:r>
    </w:p>
    <w:p w:rsidR="00024C0A" w:rsidRDefault="00694C0F">
      <w:pPr>
        <w:pStyle w:val="Definition-Field2"/>
      </w:pPr>
      <w:r>
        <w:t>Word ignores the values of the ins, del, moveFrom, moveTo, and oMath elements in the previous run proper</w:t>
      </w:r>
      <w:r>
        <w:t>ties for the paragraph mark and uses the values from the current run properties for the paragraph mark.</w:t>
      </w:r>
    </w:p>
    <w:p w:rsidR="00024C0A" w:rsidRDefault="00694C0F">
      <w:pPr>
        <w:pStyle w:val="Heading3"/>
      </w:pPr>
      <w:bookmarkStart w:id="133" w:name="section_0401ba7548d24372a50f7726fe318b65"/>
      <w:bookmarkStart w:id="134" w:name="_Toc12260127"/>
      <w:r>
        <w:t>Part 1 Section 17.3.1.31, shd (Paragraph Shading)</w:t>
      </w:r>
      <w:bookmarkEnd w:id="133"/>
      <w:bookmarkEnd w:id="134"/>
      <w:r>
        <w:fldChar w:fldCharType="begin"/>
      </w:r>
      <w:r>
        <w:instrText xml:space="preserve"> XE "shd (Paragraph Shading)" </w:instrText>
      </w:r>
      <w:r>
        <w:fldChar w:fldCharType="end"/>
      </w:r>
    </w:p>
    <w:p w:rsidR="00024C0A" w:rsidRDefault="00694C0F">
      <w:pPr>
        <w:pStyle w:val="Definition-Field2"/>
      </w:pPr>
      <w:r>
        <w:rPr>
          <w:i/>
        </w:rPr>
        <w:t>For additional notes that apply to this portion of the standard, pleas</w:t>
      </w:r>
      <w:r>
        <w:rPr>
          <w:i/>
        </w:rPr>
        <w:t xml:space="preserve">e see the notes for </w:t>
      </w:r>
      <w:hyperlink w:anchor="Section_4f0cccae70c2492abc943ccc39172119">
        <w:r>
          <w:rPr>
            <w:rStyle w:val="Hyperlink"/>
          </w:rPr>
          <w:t>shd, §17.4.32(a,d)</w:t>
        </w:r>
      </w:hyperlink>
      <w:r>
        <w:rPr>
          <w:i/>
        </w:rPr>
        <w:t>.</w:t>
      </w:r>
    </w:p>
    <w:p w:rsidR="00024C0A" w:rsidRDefault="00694C0F">
      <w:pPr>
        <w:pStyle w:val="Heading3"/>
      </w:pPr>
      <w:bookmarkStart w:id="135" w:name="section_264a013981744574b20dab778e770931"/>
      <w:bookmarkStart w:id="136" w:name="_Toc12260128"/>
      <w:r>
        <w:t>Part 1 Section 17.3.1.33, spacing (Spacing Between Lines and Above/Below Paragraph)</w:t>
      </w:r>
      <w:bookmarkEnd w:id="135"/>
      <w:bookmarkEnd w:id="136"/>
      <w:r>
        <w:fldChar w:fldCharType="begin"/>
      </w:r>
      <w:r>
        <w:instrText xml:space="preserve"> XE "spacing (Spacing Between Lines and Above/Below Paragraph)" </w:instrText>
      </w:r>
      <w:r>
        <w:fldChar w:fldCharType="end"/>
      </w:r>
    </w:p>
    <w:p w:rsidR="00024C0A" w:rsidRDefault="00694C0F">
      <w:pPr>
        <w:pStyle w:val="Definition-Field"/>
      </w:pPr>
      <w:r>
        <w:t xml:space="preserve">a. </w:t>
      </w:r>
      <w:r>
        <w:t xml:space="preserve">  </w:t>
      </w:r>
      <w:r>
        <w:rPr>
          <w:i/>
        </w:rPr>
        <w:t>The standard states that line unit spacing attributes, beforeLines and afterLines, specify spacing in line units, which will be applied to the paragraph in the order specified by the Style Hierarchy.</w:t>
      </w:r>
    </w:p>
    <w:p w:rsidR="00024C0A" w:rsidRDefault="00694C0F">
      <w:pPr>
        <w:pStyle w:val="Definition-Field2"/>
      </w:pPr>
      <w:r>
        <w:t>During Style Hierarchy application, Word overrides non</w:t>
      </w:r>
      <w:r>
        <w:t>-line unit spacing with related non-zero line unit spacing that is applied earlier in the Style Hierarchy order.</w:t>
      </w:r>
    </w:p>
    <w:p w:rsidR="00024C0A" w:rsidRDefault="00694C0F">
      <w:pPr>
        <w:pStyle w:val="Heading3"/>
      </w:pPr>
      <w:bookmarkStart w:id="137" w:name="section_c52e929cfa384f889ee7f6ec4b1ab882"/>
      <w:bookmarkStart w:id="138" w:name="_Toc12260129"/>
      <w:r>
        <w:lastRenderedPageBreak/>
        <w:t>Part 1 Section 17.3.1.37, tab (Custom Tab Stop)</w:t>
      </w:r>
      <w:bookmarkEnd w:id="137"/>
      <w:bookmarkEnd w:id="138"/>
      <w:r>
        <w:fldChar w:fldCharType="begin"/>
      </w:r>
      <w:r>
        <w:instrText xml:space="preserve"> XE "tab (Custom Tab Stop)" </w:instrText>
      </w:r>
      <w:r>
        <w:fldChar w:fldCharType="end"/>
      </w:r>
    </w:p>
    <w:p w:rsidR="00024C0A" w:rsidRDefault="00694C0F">
      <w:pPr>
        <w:pStyle w:val="Definition-Field"/>
      </w:pPr>
      <w:r>
        <w:t xml:space="preserve">a.   </w:t>
      </w:r>
      <w:r>
        <w:rPr>
          <w:i/>
        </w:rPr>
        <w:t>The standard states that the values of the pos attribute are</w:t>
      </w:r>
      <w:r>
        <w:rPr>
          <w:i/>
        </w:rPr>
        <w:t xml:space="preserve"> defined by the XML Schema integer datatype.</w:t>
      </w:r>
    </w:p>
    <w:p w:rsidR="00024C0A" w:rsidRDefault="00694C0F">
      <w:pPr>
        <w:pStyle w:val="Definition-Field2"/>
      </w:pPr>
      <w:r>
        <w:t>Word restricts the value of this attribute to be at least -31680 (-22") and at most 31680 (22").</w:t>
      </w:r>
    </w:p>
    <w:p w:rsidR="00024C0A" w:rsidRDefault="00694C0F">
      <w:pPr>
        <w:pStyle w:val="Heading3"/>
      </w:pPr>
      <w:bookmarkStart w:id="139" w:name="section_65c200ca97df41caa4fcf55246052527"/>
      <w:bookmarkStart w:id="140" w:name="_Toc12260130"/>
      <w:r>
        <w:t>Part 1 Section 17.3.1.40, textboxTightWrap (Allow Surrounding Paragraphs to Tight Wrap to Text Box Contents)</w:t>
      </w:r>
      <w:bookmarkEnd w:id="139"/>
      <w:bookmarkEnd w:id="140"/>
      <w:r>
        <w:fldChar w:fldCharType="begin"/>
      </w:r>
      <w:r>
        <w:instrText xml:space="preserve"> XE "textboxTightWrap (Allow Surrounding Paragraphs to Tight Wrap to Text Box Contents)" </w:instrText>
      </w:r>
      <w:r>
        <w:fldChar w:fldCharType="end"/>
      </w:r>
    </w:p>
    <w:p w:rsidR="00024C0A" w:rsidRDefault="00694C0F">
      <w:pPr>
        <w:pStyle w:val="Definition-Field"/>
      </w:pPr>
      <w:r>
        <w:t xml:space="preserve">a.   </w:t>
      </w:r>
      <w:r>
        <w:rPr>
          <w:i/>
        </w:rPr>
        <w:t>The standard describes that the val attribute on the textboxTightWrap element takes one of five values: none, allLines, firstAndLastLine, firstLineOnly, and la</w:t>
      </w:r>
      <w:r>
        <w:rPr>
          <w:i/>
        </w:rPr>
        <w:t>stLineOnly.</w:t>
      </w:r>
    </w:p>
    <w:p w:rsidR="00024C0A" w:rsidRDefault="00694C0F">
      <w:pPr>
        <w:pStyle w:val="Definition-Field2"/>
      </w:pPr>
      <w:r>
        <w:t>Word always resets the value of this attribute to allLines when opening a document.</w:t>
      </w:r>
    </w:p>
    <w:p w:rsidR="00024C0A" w:rsidRDefault="00694C0F">
      <w:pPr>
        <w:pStyle w:val="Heading3"/>
      </w:pPr>
      <w:bookmarkStart w:id="141" w:name="section_e80c7fbf1f174786921bfa5be9194ae9"/>
      <w:bookmarkStart w:id="142" w:name="_Toc12260131"/>
      <w:r>
        <w:t>Part 1 Section 17.3.1.41, textDirection (Paragraph Text Flow Direction)</w:t>
      </w:r>
      <w:bookmarkEnd w:id="141"/>
      <w:bookmarkEnd w:id="142"/>
      <w:r>
        <w:fldChar w:fldCharType="begin"/>
      </w:r>
      <w:r>
        <w:instrText xml:space="preserve"> XE "textDirection (Paragraph Text Flow Direction)" </w:instrText>
      </w:r>
      <w:r>
        <w:fldChar w:fldCharType="end"/>
      </w:r>
    </w:p>
    <w:p w:rsidR="00024C0A" w:rsidRDefault="00694C0F">
      <w:pPr>
        <w:pStyle w:val="Definition-Field"/>
      </w:pPr>
      <w:r>
        <w:t xml:space="preserve">a.   </w:t>
      </w:r>
      <w:r>
        <w:rPr>
          <w:i/>
        </w:rPr>
        <w:t>The standard states that this</w:t>
      </w:r>
      <w:r>
        <w:rPr>
          <w:i/>
        </w:rPr>
        <w:t xml:space="preserve"> element specifies the direction of the text flow for this paragraph.</w:t>
      </w:r>
    </w:p>
    <w:p w:rsidR="00024C0A" w:rsidRDefault="00694C0F">
      <w:pPr>
        <w:pStyle w:val="Definition-Field2"/>
      </w:pPr>
      <w:r>
        <w:t>Word uses this property only when the paragraph is contained within a frame.</w:t>
      </w:r>
    </w:p>
    <w:p w:rsidR="00024C0A" w:rsidRDefault="00694C0F">
      <w:pPr>
        <w:pStyle w:val="Heading3"/>
      </w:pPr>
      <w:bookmarkStart w:id="143" w:name="section_0d93be1be21a4f6fa76d8922fbcf203e"/>
      <w:bookmarkStart w:id="144" w:name="_Toc12260132"/>
      <w:r>
        <w:t>Part 1 Section 17.3.1.42, top (Paragraph Border Above Identical Paragraphs)</w:t>
      </w:r>
      <w:bookmarkEnd w:id="143"/>
      <w:bookmarkEnd w:id="144"/>
      <w:r>
        <w:fldChar w:fldCharType="begin"/>
      </w:r>
      <w:r>
        <w:instrText xml:space="preserve"> XE "top (Paragraph Border Above I</w:instrText>
      </w:r>
      <w:r>
        <w:instrText xml:space="preserve">dentical Paragraphs)"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24C0A" w:rsidRDefault="00694C0F">
      <w:pPr>
        <w:pStyle w:val="Heading3"/>
      </w:pPr>
      <w:bookmarkStart w:id="145" w:name="section_029135c2138c4bbf81ad6bf338c2ce89"/>
      <w:bookmarkStart w:id="146" w:name="_Toc12260133"/>
      <w:r>
        <w:t>Part 1 Section 17.3.1.43, topLinePunct (Compress Punctuation at Start of a Line)</w:t>
      </w:r>
      <w:bookmarkEnd w:id="145"/>
      <w:bookmarkEnd w:id="146"/>
      <w:r>
        <w:fldChar w:fldCharType="begin"/>
      </w:r>
      <w:r>
        <w:instrText xml:space="preserve"> XE "topLinePunct (Compress Punctuation at Start of a Line)" </w:instrText>
      </w:r>
      <w:r>
        <w:fldChar w:fldCharType="end"/>
      </w:r>
    </w:p>
    <w:p w:rsidR="00024C0A" w:rsidRDefault="00694C0F">
      <w:pPr>
        <w:pStyle w:val="Definition-Field"/>
      </w:pPr>
      <w:r>
        <w:t>a.</w:t>
      </w:r>
      <w:r>
        <w:t xml:space="preserve">   </w:t>
      </w:r>
      <w:r>
        <w:rPr>
          <w:i/>
        </w:rPr>
        <w:t>The standard states that this element specifies whether punctuation shall be compressed when it appears as the first character in a line, but does not define which characters are affected.</w:t>
      </w:r>
    </w:p>
    <w:p w:rsidR="00024C0A" w:rsidRDefault="00694C0F">
      <w:pPr>
        <w:pStyle w:val="Definition-Field2"/>
      </w:pPr>
      <w:r>
        <w:t xml:space="preserve">Word only applies this property to runs in one of the following </w:t>
      </w:r>
      <w:r>
        <w:t>languages: Chinese (Simplified), Chinese (Traditional), Korean, or Japanese.</w:t>
      </w:r>
    </w:p>
    <w:p w:rsidR="00024C0A" w:rsidRDefault="00694C0F">
      <w:pPr>
        <w:pStyle w:val="Heading3"/>
      </w:pPr>
      <w:bookmarkStart w:id="147" w:name="section_12a52a6eebe841c09aebfdfb4fbca849"/>
      <w:bookmarkStart w:id="148" w:name="_Toc12260134"/>
      <w:r>
        <w:t>Part 1 Section 17.3.1.44, widowControl (Allow First/Last Line to Display on a Separate Page)</w:t>
      </w:r>
      <w:bookmarkEnd w:id="147"/>
      <w:bookmarkEnd w:id="148"/>
      <w:r>
        <w:fldChar w:fldCharType="begin"/>
      </w:r>
      <w:r>
        <w:instrText xml:space="preserve"> XE "widowControl (Allow First/Last Line to Display on a Separate Page)" </w:instrText>
      </w:r>
      <w:r>
        <w:fldChar w:fldCharType="end"/>
      </w:r>
    </w:p>
    <w:p w:rsidR="00024C0A" w:rsidRDefault="00694C0F">
      <w:pPr>
        <w:pStyle w:val="Definition-Field"/>
      </w:pPr>
      <w:r>
        <w:t xml:space="preserve">a.   </w:t>
      </w:r>
      <w:r>
        <w:rPr>
          <w:i/>
        </w:rPr>
        <w:t>The st</w:t>
      </w:r>
      <w:r>
        <w:rPr>
          <w:i/>
        </w:rPr>
        <w:t>andard states that this element is applied to all paragraphs.</w:t>
      </w:r>
    </w:p>
    <w:p w:rsidR="00024C0A" w:rsidRDefault="00694C0F">
      <w:pPr>
        <w:pStyle w:val="Definition-Field2"/>
      </w:pPr>
      <w:r>
        <w:t>Word ignores this element when rendering paragraphs inside a table.</w:t>
      </w:r>
    </w:p>
    <w:p w:rsidR="00024C0A" w:rsidRDefault="00694C0F">
      <w:pPr>
        <w:pStyle w:val="Heading3"/>
      </w:pPr>
      <w:bookmarkStart w:id="149" w:name="section_5c96914d820a4f49a23940024839685e"/>
      <w:bookmarkStart w:id="150" w:name="_Toc12260135"/>
      <w:r>
        <w:t>Part 1 Section 17.3.1.45, wordWrap (Allow Line Breaking At Character Level)</w:t>
      </w:r>
      <w:bookmarkEnd w:id="149"/>
      <w:bookmarkEnd w:id="150"/>
      <w:r>
        <w:fldChar w:fldCharType="begin"/>
      </w:r>
      <w:r>
        <w:instrText xml:space="preserve"> XE "wordWrap (Allow Line Breaking At Character Lev</w:instrText>
      </w:r>
      <w:r>
        <w:instrText xml:space="preserve">el)" </w:instrText>
      </w:r>
      <w:r>
        <w:fldChar w:fldCharType="end"/>
      </w:r>
    </w:p>
    <w:p w:rsidR="00024C0A" w:rsidRDefault="00694C0F">
      <w:pPr>
        <w:pStyle w:val="Definition-Field"/>
      </w:pPr>
      <w:r>
        <w:t xml:space="preserve">a.   </w:t>
      </w:r>
      <w:r>
        <w:rPr>
          <w:i/>
        </w:rPr>
        <w:t>The standard states that this element will cause text to break on the character level.</w:t>
      </w:r>
    </w:p>
    <w:p w:rsidR="00024C0A" w:rsidRDefault="00694C0F">
      <w:pPr>
        <w:pStyle w:val="Definition-Field2"/>
      </w:pPr>
      <w:r>
        <w:t>Word applies this property to Korean text only if Word determines that there is Korean text in the paragraph.</w:t>
      </w:r>
    </w:p>
    <w:p w:rsidR="00024C0A" w:rsidRDefault="00694C0F">
      <w:pPr>
        <w:pStyle w:val="Definition-Field"/>
      </w:pPr>
      <w:r>
        <w:t xml:space="preserve">b.   </w:t>
      </w:r>
      <w:r>
        <w:rPr>
          <w:i/>
        </w:rPr>
        <w:t>The standard does not impose any restrict</w:t>
      </w:r>
      <w:r>
        <w:rPr>
          <w:i/>
        </w:rPr>
        <w:t>ions on the type of text that this element applies to.</w:t>
      </w:r>
    </w:p>
    <w:p w:rsidR="00024C0A" w:rsidRDefault="00694C0F">
      <w:pPr>
        <w:pStyle w:val="Definition-Field2"/>
      </w:pPr>
      <w:r>
        <w:t>Word applies this element to only space-delimited languages.</w:t>
      </w:r>
    </w:p>
    <w:p w:rsidR="00024C0A" w:rsidRDefault="00694C0F">
      <w:pPr>
        <w:pStyle w:val="Heading3"/>
      </w:pPr>
      <w:bookmarkStart w:id="151" w:name="section_03b9695ffd69435d90e6b1069aadf291"/>
      <w:bookmarkStart w:id="152" w:name="_Toc12260136"/>
      <w:r>
        <w:lastRenderedPageBreak/>
        <w:t>Part 1 Section 17.3.2.1, b (Bold)</w:t>
      </w:r>
      <w:bookmarkEnd w:id="151"/>
      <w:bookmarkEnd w:id="152"/>
      <w:r>
        <w:fldChar w:fldCharType="begin"/>
      </w:r>
      <w:r>
        <w:instrText xml:space="preserve"> XE "b (Bold)" </w:instrText>
      </w:r>
      <w:r>
        <w:fldChar w:fldCharType="end"/>
      </w:r>
    </w:p>
    <w:p w:rsidR="00024C0A" w:rsidRDefault="00694C0F">
      <w:pPr>
        <w:pStyle w:val="Definition-Field"/>
      </w:pPr>
      <w:r>
        <w:t xml:space="preserve">a.   </w:t>
      </w:r>
      <w:r>
        <w:rPr>
          <w:i/>
        </w:rPr>
        <w:t>The standard states that this element applies bold to non-complex script characters,</w:t>
      </w:r>
      <w:r>
        <w:rPr>
          <w:i/>
        </w:rPr>
        <w:t xml:space="preserve"> but does not specify how that determination is made.</w:t>
      </w:r>
    </w:p>
    <w:p w:rsidR="00024C0A" w:rsidRDefault="00694C0F">
      <w:pPr>
        <w:pStyle w:val="Definition-Field2"/>
      </w:pPr>
      <w:r>
        <w:t>Word determines this state based on the state of the cs and rtl properties and applies bold to runs that do not use either of those properties.</w:t>
      </w:r>
    </w:p>
    <w:p w:rsidR="00024C0A" w:rsidRDefault="00694C0F">
      <w:pPr>
        <w:pStyle w:val="Heading3"/>
      </w:pPr>
      <w:bookmarkStart w:id="153" w:name="section_264d37471f124370b25cee2a812acf68"/>
      <w:bookmarkStart w:id="154" w:name="_Toc12260137"/>
      <w:r>
        <w:t>Part 1 Section 17.3.2.2, bCs (Complex Script Bold)</w:t>
      </w:r>
      <w:bookmarkEnd w:id="153"/>
      <w:bookmarkEnd w:id="154"/>
      <w:r>
        <w:fldChar w:fldCharType="begin"/>
      </w:r>
      <w:r>
        <w:instrText xml:space="preserve"> XE "bCs</w:instrText>
      </w:r>
      <w:r>
        <w:instrText xml:space="preserve"> (Complex Script Bold)" </w:instrText>
      </w:r>
      <w:r>
        <w:fldChar w:fldCharType="end"/>
      </w:r>
    </w:p>
    <w:p w:rsidR="00024C0A" w:rsidRDefault="00694C0F">
      <w:pPr>
        <w:pStyle w:val="Definition-Field"/>
      </w:pPr>
      <w:r>
        <w:t xml:space="preserve">a.   </w:t>
      </w:r>
      <w:r>
        <w:rPr>
          <w:i/>
        </w:rPr>
        <w:t>The standard states that this element applies bold to complex script characters, but does not specify how that determination is made.</w:t>
      </w:r>
    </w:p>
    <w:p w:rsidR="00024C0A" w:rsidRDefault="00694C0F">
      <w:pPr>
        <w:pStyle w:val="Definition-Field2"/>
      </w:pPr>
      <w:r>
        <w:t>Word determines this state based on the state of the cs and rtl properties and applies bol</w:t>
      </w:r>
      <w:r>
        <w:t>d to runs that use either of those properties.</w:t>
      </w:r>
    </w:p>
    <w:p w:rsidR="00024C0A" w:rsidRDefault="00694C0F">
      <w:pPr>
        <w:pStyle w:val="Heading3"/>
      </w:pPr>
      <w:bookmarkStart w:id="155" w:name="section_c8b2f58e1a33450e982faa321cad291c"/>
      <w:bookmarkStart w:id="156" w:name="_Toc12260138"/>
      <w:r>
        <w:t>Part 1 Section 17.3.2.3, bdo (Bidirectional Override)</w:t>
      </w:r>
      <w:bookmarkEnd w:id="155"/>
      <w:bookmarkEnd w:id="156"/>
      <w:r>
        <w:fldChar w:fldCharType="begin"/>
      </w:r>
      <w:r>
        <w:instrText xml:space="preserve"> XE "bdo (Bidirectional Override)" </w:instrText>
      </w:r>
      <w:r>
        <w:fldChar w:fldCharType="end"/>
      </w:r>
    </w:p>
    <w:p w:rsidR="00024C0A" w:rsidRDefault="00694C0F">
      <w:pPr>
        <w:pStyle w:val="Definition-Field"/>
      </w:pPr>
      <w:r>
        <w:t xml:space="preserve">a.   </w:t>
      </w:r>
      <w:r>
        <w:rPr>
          <w:i/>
        </w:rPr>
        <w:t>The standard lists the possible parents for this element, but this list does not include oMath</w:t>
      </w:r>
    </w:p>
    <w:p w:rsidR="00024C0A" w:rsidRDefault="00694C0F">
      <w:pPr>
        <w:pStyle w:val="Definition-Field2"/>
      </w:pPr>
      <w:r>
        <w:t xml:space="preserve">Word writes this </w:t>
      </w:r>
      <w:r>
        <w:t>element as a child of the oMath element.</w:t>
      </w:r>
    </w:p>
    <w:p w:rsidR="00024C0A" w:rsidRDefault="00694C0F">
      <w:pPr>
        <w:pStyle w:val="Heading3"/>
      </w:pPr>
      <w:bookmarkStart w:id="157" w:name="section_f38eb4e2d0424a4eb8633fac712e250a"/>
      <w:bookmarkStart w:id="158" w:name="_Toc12260139"/>
      <w:r>
        <w:t>Part 1 Section 17.3.2.4, bdr (Text Border)</w:t>
      </w:r>
      <w:bookmarkEnd w:id="157"/>
      <w:bookmarkEnd w:id="158"/>
      <w:r>
        <w:fldChar w:fldCharType="begin"/>
      </w:r>
      <w:r>
        <w:instrText xml:space="preserve"> XE "bdr (Text Border)"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88086db0881a462fafb3fad01a9b1be3">
        <w:r>
          <w:rPr>
            <w:rStyle w:val="Hyperlink"/>
          </w:rPr>
          <w:t>left, §17.15.2.21(a)</w:t>
        </w:r>
      </w:hyperlink>
      <w:r>
        <w:rPr>
          <w:i/>
        </w:rPr>
        <w:t>.</w:t>
      </w:r>
    </w:p>
    <w:p w:rsidR="00024C0A" w:rsidRDefault="00694C0F">
      <w:pPr>
        <w:pStyle w:val="Definition-Field"/>
      </w:pPr>
      <w:r>
        <w:t xml:space="preserve">a.   </w:t>
      </w:r>
      <w:r>
        <w:rPr>
          <w:i/>
        </w:rPr>
        <w:t>The standard does not state which setting is applied when both the themeShade and the themeTint attributes are present.</w:t>
      </w:r>
    </w:p>
    <w:p w:rsidR="00024C0A" w:rsidRDefault="00694C0F">
      <w:pPr>
        <w:pStyle w:val="Definition-Field2"/>
      </w:pPr>
      <w:r>
        <w:t xml:space="preserve">Word applies the </w:t>
      </w:r>
      <w:r>
        <w:t>themeTint setting when both of these attributes are present.</w:t>
      </w:r>
    </w:p>
    <w:p w:rsidR="00024C0A" w:rsidRDefault="00694C0F">
      <w:pPr>
        <w:pStyle w:val="Heading3"/>
      </w:pPr>
      <w:bookmarkStart w:id="159" w:name="section_8229a0777fc84fba96ccc77b6a4fc768"/>
      <w:bookmarkStart w:id="160" w:name="_Toc12260140"/>
      <w:r>
        <w:t>Part 1 Section 17.3.2.6, color (Run Content Color)</w:t>
      </w:r>
      <w:bookmarkEnd w:id="159"/>
      <w:bookmarkEnd w:id="160"/>
      <w:r>
        <w:fldChar w:fldCharType="begin"/>
      </w:r>
      <w:r>
        <w:instrText xml:space="preserve"> XE "color (Run Content Color)"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9a2a00db9248454d9f81952c27658324">
        <w:r>
          <w:rPr>
            <w:rStyle w:val="Hyperlink"/>
          </w:rPr>
          <w:t>color, §17.15.2.5(a)</w:t>
        </w:r>
      </w:hyperlink>
      <w:r>
        <w:rPr>
          <w:i/>
        </w:rPr>
        <w:t>.</w:t>
      </w:r>
    </w:p>
    <w:p w:rsidR="00024C0A" w:rsidRDefault="00694C0F">
      <w:pPr>
        <w:pStyle w:val="Definition-Field"/>
      </w:pPr>
      <w:r>
        <w:t xml:space="preserve">a.   </w:t>
      </w:r>
      <w:r>
        <w:rPr>
          <w:i/>
        </w:rPr>
        <w:t>The standard specifies an algorithm for themeShade calculations that is different from themeShade calculations in other subclauses.</w:t>
      </w:r>
    </w:p>
    <w:p w:rsidR="00024C0A" w:rsidRDefault="00694C0F">
      <w:r>
        <w:t>Given an RGB color defined as three hex values in RRGG</w:t>
      </w:r>
      <w:r>
        <w:t>BB format, the shade is applied as follows:</w:t>
      </w:r>
    </w:p>
    <w:p w:rsidR="00024C0A" w:rsidRDefault="00694C0F">
      <w:pPr>
        <w:pStyle w:val="ListParagraph"/>
        <w:numPr>
          <w:ilvl w:val="0"/>
          <w:numId w:val="52"/>
        </w:numPr>
        <w:contextualSpacing/>
      </w:pPr>
      <w:r>
        <w:t>Convert the color to the HSL color format (values from 0 to 1).</w:t>
      </w:r>
    </w:p>
    <w:p w:rsidR="00024C0A" w:rsidRDefault="00694C0F">
      <w:pPr>
        <w:pStyle w:val="ListParagraph"/>
        <w:numPr>
          <w:ilvl w:val="0"/>
          <w:numId w:val="52"/>
        </w:numPr>
        <w:contextualSpacing/>
      </w:pPr>
      <w:r>
        <w:t>Modify the luminance factor as follows:</w:t>
      </w:r>
    </w:p>
    <w:p w:rsidR="00024C0A" w:rsidRDefault="00694C0F">
      <w:pPr>
        <w:ind w:left="360"/>
      </w:pPr>
      <w:r>
        <w:rPr>
          <w:noProof/>
        </w:rPr>
        <w:drawing>
          <wp:inline distT="0" distB="0" distL="0" distR="0">
            <wp:extent cx="1257300" cy="190500"/>
            <wp:effectExtent l="0" t="0" r="0" b="0"/>
            <wp:docPr id="342015707" name="Picture 1" descr="Equation to modify luminance factor: L prime equals L times Shade sub percentage"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f-0000-0000-0000-000000000000" descr="Equation to modify luminance factor: L prime equals L times Shade sub percentage" title="Equation to modify luminance factor"/>
                    <pic:cNvPicPr>
                      <a:picLocks noChangeAspect="1" noChangeArrowheads="1"/>
                    </pic:cNvPicPr>
                  </pic:nvPicPr>
                  <pic:blipFill>
                    <a:blip r:embed="rId64" cstate="print"/>
                    <a:srcRect/>
                    <a:stretch>
                      <a:fillRect/>
                    </a:stretch>
                  </pic:blipFill>
                  <pic:spPr bwMode="auto">
                    <a:xfrm>
                      <a:off x="0" y="0"/>
                      <a:ext cx="1257300" cy="190500"/>
                    </a:xfrm>
                    <a:prstGeom prst="rect">
                      <a:avLst/>
                    </a:prstGeom>
                    <a:noFill/>
                    <a:ln w="9525">
                      <a:noFill/>
                      <a:miter lim="800000"/>
                      <a:headEnd/>
                      <a:tailEnd/>
                    </a:ln>
                  </pic:spPr>
                </pic:pic>
              </a:graphicData>
            </a:graphic>
          </wp:inline>
        </w:drawing>
      </w:r>
    </w:p>
    <w:p w:rsidR="00024C0A" w:rsidRDefault="00694C0F">
      <w:pPr>
        <w:pStyle w:val="ListParagraph"/>
        <w:numPr>
          <w:ilvl w:val="0"/>
          <w:numId w:val="52"/>
        </w:numPr>
      </w:pPr>
      <w:r>
        <w:t>Convert the resultant HSL color to RGB.</w:t>
      </w:r>
    </w:p>
    <w:p w:rsidR="00024C0A" w:rsidRDefault="00694C0F">
      <w:r>
        <w:t xml:space="preserve">If this attribute is specified in the </w:t>
      </w:r>
      <w:r>
        <w:rPr>
          <w:b/>
        </w:rPr>
        <w:t>color</w:t>
      </w:r>
      <w:r>
        <w:t xml:space="preserve"> element ("</w:t>
      </w:r>
      <w:hyperlink r:id="rId65">
        <w:r>
          <w:rPr>
            <w:rStyle w:val="Hyperlink"/>
          </w:rPr>
          <w:t>[ISO/IEC-29500-1]</w:t>
        </w:r>
      </w:hyperlink>
      <w:r>
        <w:t xml:space="preserve"> §17.15.2.5; color (Frameset Splitter Color)") nested inside a </w:t>
      </w:r>
      <w:r>
        <w:rPr>
          <w:b/>
        </w:rPr>
        <w:t xml:space="preserve">framesetSplitbar </w:t>
      </w:r>
      <w:r>
        <w:t>("[ISO/IEC-29500-1] §17.15.2.20; framesetSplitbar (Frameset Splitter Properties)") element, Word deviates</w:t>
      </w:r>
      <w:r>
        <w:t xml:space="preserve"> from this behavior. Refer to the </w:t>
      </w:r>
      <w:r>
        <w:rPr>
          <w:b/>
        </w:rPr>
        <w:t>themeColor</w:t>
      </w:r>
      <w:r>
        <w:t xml:space="preserve"> attribute description.</w:t>
      </w:r>
    </w:p>
    <w:p w:rsidR="00024C0A" w:rsidRDefault="00694C0F">
      <w:r>
        <w:t xml:space="preserve">[Example: </w:t>
      </w:r>
    </w:p>
    <w:p w:rsidR="00024C0A" w:rsidRDefault="00694C0F">
      <w:r>
        <w:t xml:space="preserve">Consider a document with a background using the </w:t>
      </w:r>
      <w:r>
        <w:rPr>
          <w:i/>
        </w:rPr>
        <w:t>accent2</w:t>
      </w:r>
      <w:r>
        <w:t xml:space="preserve"> theme color, whose RGB value (in RRGGBB hex format) is </w:t>
      </w:r>
      <w:r>
        <w:rPr>
          <w:i/>
        </w:rPr>
        <w:t>C0504D</w:t>
      </w:r>
      <w:r>
        <w:t>.</w:t>
      </w:r>
    </w:p>
    <w:p w:rsidR="00024C0A" w:rsidRDefault="00694C0F">
      <w:r>
        <w:lastRenderedPageBreak/>
        <w:t>The equivalent HSL color value would be</w:t>
      </w:r>
      <w:r>
        <w:rPr>
          <w:noProof/>
        </w:rPr>
        <w:drawing>
          <wp:inline distT="0" distB="0" distL="0" distR="0">
            <wp:extent cx="876300" cy="247649"/>
            <wp:effectExtent l="0" t="0" r="0" b="0"/>
            <wp:docPr id="1" name="Picture 1" descr="Equation for equivalent HSL color value: parentheses 1 over 360 comma 0.48 comma 0.53 parentheses" title="Equation for equivalent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c-0000-0000-0000-000000000000" descr="Equation for equivalent HSL color value: parentheses 1 over 360 comma 0.48 comma 0.53 parentheses" title="Equation for equivalent HSL color value"/>
                    <pic:cNvPicPr>
                      <a:picLocks noChangeAspect="1" noChangeArrowheads="1"/>
                    </pic:cNvPicPr>
                  </pic:nvPicPr>
                  <pic:blipFill>
                    <a:blip r:embed="rId66"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024C0A" w:rsidRDefault="00694C0F">
      <w:r>
        <w:t>Applying the sh</w:t>
      </w:r>
      <w:r>
        <w:t>ade formula with a shade percentage of 75% to the luminance, the result is:</w:t>
      </w:r>
    </w:p>
    <w:p w:rsidR="00024C0A" w:rsidRDefault="00694C0F">
      <w:r>
        <w:rPr>
          <w:noProof/>
        </w:rPr>
        <w:drawing>
          <wp:inline distT="0" distB="0" distL="0" distR="0">
            <wp:extent cx="857250" cy="171450"/>
            <wp:effectExtent l="0" t="0" r="0" b="0"/>
            <wp:docPr id="2" name="Picture 1" descr="Equation of shade formula: L prime = 0.53 times 0.75" title="Equation for shad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d-0000-0000-0000-000000000000" descr="Equation of shade formula: L prime = 0.53 times 0.75" title="Equation for shade formula"/>
                    <pic:cNvPicPr>
                      <a:picLocks noChangeAspect="1" noChangeArrowheads="1"/>
                    </pic:cNvPicPr>
                  </pic:nvPicPr>
                  <pic:blipFill>
                    <a:blip r:embed="rId67" cstate="print"/>
                    <a:srcRect/>
                    <a:stretch>
                      <a:fillRect/>
                    </a:stretch>
                  </pic:blipFill>
                  <pic:spPr bwMode="auto">
                    <a:xfrm>
                      <a:off x="0" y="0"/>
                      <a:ext cx="857250" cy="171450"/>
                    </a:xfrm>
                    <a:prstGeom prst="rect">
                      <a:avLst/>
                    </a:prstGeom>
                    <a:noFill/>
                    <a:ln w="9525">
                      <a:noFill/>
                      <a:miter lim="800000"/>
                      <a:headEnd/>
                      <a:tailEnd/>
                    </a:ln>
                  </pic:spPr>
                </pic:pic>
              </a:graphicData>
            </a:graphic>
          </wp:inline>
        </w:drawing>
      </w:r>
    </w:p>
    <w:p w:rsidR="00024C0A" w:rsidRDefault="00694C0F">
      <w:r>
        <w:rPr>
          <w:noProof/>
        </w:rPr>
        <w:drawing>
          <wp:inline distT="0" distB="0" distL="0" distR="0">
            <wp:extent cx="581025" cy="171450"/>
            <wp:effectExtent l="0" t="0" r="0" b="0"/>
            <wp:docPr id="3" name="Picture 1" descr="Result of equation: = 0.39698"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2-0000-0000-0000-000000000000" descr="Result of equation: = 0.39698" title="Result of equation"/>
                    <pic:cNvPicPr>
                      <a:picLocks noChangeAspect="1" noChangeArrowheads="1"/>
                    </pic:cNvPicPr>
                  </pic:nvPicPr>
                  <pic:blipFill>
                    <a:blip r:embed="rId68" cstate="print"/>
                    <a:srcRect/>
                    <a:stretch>
                      <a:fillRect/>
                    </a:stretch>
                  </pic:blipFill>
                  <pic:spPr bwMode="auto">
                    <a:xfrm>
                      <a:off x="0" y="0"/>
                      <a:ext cx="581025" cy="171450"/>
                    </a:xfrm>
                    <a:prstGeom prst="rect">
                      <a:avLst/>
                    </a:prstGeom>
                    <a:noFill/>
                    <a:ln w="9525">
                      <a:noFill/>
                      <a:miter lim="800000"/>
                      <a:headEnd/>
                      <a:tailEnd/>
                    </a:ln>
                  </pic:spPr>
                </pic:pic>
              </a:graphicData>
            </a:graphic>
          </wp:inline>
        </w:drawing>
      </w:r>
    </w:p>
    <w:p w:rsidR="00024C0A" w:rsidRDefault="00694C0F">
      <w:r>
        <w:t xml:space="preserve">Taking the resulting HSL color value of </w:t>
      </w:r>
      <w:r>
        <w:rPr>
          <w:noProof/>
        </w:rPr>
        <w:drawing>
          <wp:inline distT="0" distB="0" distL="0" distR="0">
            <wp:extent cx="1057275" cy="247649"/>
            <wp:effectExtent l="0" t="0" r="0" b="0"/>
            <wp:docPr id="4" name="Picture 1" descr="Equation for HSL color value: parentheses 1 over 360 comma 0.48 comma 0.39698 parentheses" title="Equation for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3-0000-0000-0000-000000000000" descr="Equation for HSL color value: parentheses 1 over 360 comma 0.48 comma 0.39698 parentheses" title="Equation for HSL color value"/>
                    <pic:cNvPicPr>
                      <a:picLocks noChangeAspect="1" noChangeArrowheads="1"/>
                    </pic:cNvPicPr>
                  </pic:nvPicPr>
                  <pic:blipFill>
                    <a:blip r:embed="rId69" cstate="print"/>
                    <a:srcRect/>
                    <a:stretch>
                      <a:fillRect/>
                    </a:stretch>
                  </pic:blipFill>
                  <pic:spPr bwMode="auto">
                    <a:xfrm>
                      <a:off x="0" y="0"/>
                      <a:ext cx="1057275" cy="247649"/>
                    </a:xfrm>
                    <a:prstGeom prst="rect">
                      <a:avLst/>
                    </a:prstGeom>
                    <a:noFill/>
                    <a:ln w="9525">
                      <a:noFill/>
                      <a:miter lim="800000"/>
                      <a:headEnd/>
                      <a:tailEnd/>
                    </a:ln>
                  </pic:spPr>
                </pic:pic>
              </a:graphicData>
            </a:graphic>
          </wp:inline>
        </w:drawing>
      </w:r>
      <w:r>
        <w:t xml:space="preserve">and converting back to RGB, the result is </w:t>
      </w:r>
      <w:r>
        <w:rPr>
          <w:i/>
        </w:rPr>
        <w:t>943634</w:t>
      </w:r>
      <w:r>
        <w:t>.</w:t>
      </w:r>
    </w:p>
    <w:p w:rsidR="00024C0A" w:rsidRDefault="00694C0F">
      <w:r>
        <w:t xml:space="preserve">This transformed value can be seen in the resulting run color WordprocessingML's </w:t>
      </w:r>
      <w:r>
        <w:rPr>
          <w:b/>
        </w:rPr>
        <w:t>val</w:t>
      </w:r>
      <w:r>
        <w:t xml:space="preserve"> </w:t>
      </w:r>
      <w:r>
        <w:t>attribute:</w:t>
      </w:r>
    </w:p>
    <w:p w:rsidR="00024C0A" w:rsidRDefault="00694C0F">
      <w:pPr>
        <w:pStyle w:val="Code"/>
      </w:pPr>
      <w:r>
        <w:t>&lt;w:color w:val="943634" w:themeColor="accent2" w:themeShade="BF" /&gt;</w:t>
      </w:r>
    </w:p>
    <w:p w:rsidR="00024C0A" w:rsidRDefault="00694C0F">
      <w:r>
        <w:t>end example]</w:t>
      </w:r>
    </w:p>
    <w:p w:rsidR="00024C0A" w:rsidRDefault="00694C0F">
      <w:pPr>
        <w:pStyle w:val="Definition-Field"/>
      </w:pPr>
      <w:r>
        <w:t xml:space="preserve">b.   </w:t>
      </w:r>
      <w:r>
        <w:rPr>
          <w:i/>
        </w:rPr>
        <w:t>The standard does not state which setting is applied when both the themeShade and the themeTint attributes are present.</w:t>
      </w:r>
    </w:p>
    <w:p w:rsidR="00024C0A" w:rsidRDefault="00694C0F">
      <w:pPr>
        <w:pStyle w:val="Definition-Field2"/>
      </w:pPr>
      <w:r>
        <w:t>Word applies the themeTint setting when</w:t>
      </w:r>
      <w:r>
        <w:t xml:space="preserve"> both of these attributes are present.</w:t>
      </w:r>
    </w:p>
    <w:p w:rsidR="00024C0A" w:rsidRDefault="00694C0F">
      <w:pPr>
        <w:pStyle w:val="Definition-Field"/>
      </w:pPr>
      <w:r>
        <w:t xml:space="preserve">c.   </w:t>
      </w:r>
      <w:r>
        <w:rPr>
          <w:i/>
        </w:rPr>
        <w:t>The standard describes an algorithm for themeTint calculations that is different from themeTint calculations in other subclauses.</w:t>
      </w:r>
    </w:p>
    <w:p w:rsidR="00024C0A" w:rsidRDefault="00694C0F">
      <w:r>
        <w:t>In Word, the themeTint attribute is calculated using the following algorithm:</w:t>
      </w:r>
    </w:p>
    <w:p w:rsidR="00024C0A" w:rsidRDefault="00694C0F">
      <w:r>
        <w:t>Given an RGB color defined as three hex values in RRGGBB format, the shade is applied as follows:</w:t>
      </w:r>
    </w:p>
    <w:p w:rsidR="00024C0A" w:rsidRDefault="00694C0F">
      <w:pPr>
        <w:pStyle w:val="ListParagraph"/>
        <w:numPr>
          <w:ilvl w:val="0"/>
          <w:numId w:val="53"/>
        </w:numPr>
        <w:contextualSpacing/>
      </w:pPr>
      <w:r>
        <w:t>Convert the color to the HSL color format (values from 0 to 1).</w:t>
      </w:r>
    </w:p>
    <w:p w:rsidR="00024C0A" w:rsidRDefault="00694C0F">
      <w:pPr>
        <w:pStyle w:val="ListParagraph"/>
        <w:numPr>
          <w:ilvl w:val="0"/>
          <w:numId w:val="53"/>
        </w:numPr>
        <w:contextualSpacing/>
      </w:pPr>
      <w:r>
        <w:t>Modify the luminance factor as follows:</w:t>
      </w:r>
    </w:p>
    <w:p w:rsidR="00024C0A" w:rsidRDefault="00694C0F">
      <w:r>
        <w:rPr>
          <w:noProof/>
        </w:rPr>
        <w:drawing>
          <wp:inline distT="0" distB="0" distL="0" distR="0">
            <wp:extent cx="1704975" cy="200025"/>
            <wp:effectExtent l="0" t="0" r="0" b="0"/>
            <wp:docPr id="5" name="Picture 1" descr="Equation to modify luminance factor: L prime = L times Tint sub percent + parentheses 1 minus Tint sub percent parentheses"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a-0000-0000-0000-000000000000" descr="Equation to modify luminance factor: L prime = L times Tint sub percent + parentheses 1 minus Tint sub percent parentheses" title="Equation to modify luminance factor"/>
                    <pic:cNvPicPr>
                      <a:picLocks noChangeAspect="1" noChangeArrowheads="1"/>
                    </pic:cNvPicPr>
                  </pic:nvPicPr>
                  <pic:blipFill>
                    <a:blip r:embed="rId70" cstate="print"/>
                    <a:srcRect/>
                    <a:stretch>
                      <a:fillRect/>
                    </a:stretch>
                  </pic:blipFill>
                  <pic:spPr bwMode="auto">
                    <a:xfrm>
                      <a:off x="0" y="0"/>
                      <a:ext cx="1704975" cy="200025"/>
                    </a:xfrm>
                    <a:prstGeom prst="rect">
                      <a:avLst/>
                    </a:prstGeom>
                    <a:noFill/>
                    <a:ln w="9525">
                      <a:noFill/>
                      <a:miter lim="800000"/>
                      <a:headEnd/>
                      <a:tailEnd/>
                    </a:ln>
                  </pic:spPr>
                </pic:pic>
              </a:graphicData>
            </a:graphic>
          </wp:inline>
        </w:drawing>
      </w:r>
    </w:p>
    <w:p w:rsidR="00024C0A" w:rsidRDefault="00694C0F">
      <w:pPr>
        <w:pStyle w:val="ListParagraph"/>
        <w:numPr>
          <w:ilvl w:val="0"/>
          <w:numId w:val="53"/>
        </w:numPr>
      </w:pPr>
      <w:r>
        <w:t>Convert the resultant HSL color to RGB.</w:t>
      </w:r>
    </w:p>
    <w:p w:rsidR="00024C0A" w:rsidRDefault="00694C0F">
      <w:r>
        <w:t>If this attr</w:t>
      </w:r>
      <w:r>
        <w:t xml:space="preserve">ibute is specified in the </w:t>
      </w:r>
      <w:r>
        <w:rPr>
          <w:b/>
        </w:rPr>
        <w:t>color</w:t>
      </w:r>
      <w:r>
        <w:t xml:space="preserve"> element ("[ISO/IEC-29500-1] §17.15.2.5; color (Frameset Splitter Color)") nested inside a </w:t>
      </w:r>
      <w:r>
        <w:rPr>
          <w:b/>
        </w:rPr>
        <w:t>framesetSplitbar</w:t>
      </w:r>
      <w:r>
        <w:t xml:space="preserve"> element ("[ISO/IEC-29500-1] §17.15.2.20; framesetSplitbar (Frameset Splitter Properties)"), Word will not use the spe</w:t>
      </w:r>
      <w:r>
        <w:t xml:space="preserve">cified theme color but rather will use an RGB color based on the </w:t>
      </w:r>
      <w:r>
        <w:rPr>
          <w:b/>
        </w:rPr>
        <w:t>themeShade</w:t>
      </w:r>
      <w:r>
        <w:t xml:space="preserve"> and </w:t>
      </w:r>
      <w:r>
        <w:rPr>
          <w:b/>
        </w:rPr>
        <w:t>themeTint</w:t>
      </w:r>
      <w:r>
        <w:t xml:space="preserve"> attributes. The intensity of the red, green, and blue components of this RGB color range from 0 to 255. The value of </w:t>
      </w:r>
      <w:r>
        <w:rPr>
          <w:b/>
        </w:rPr>
        <w:t>themeTint</w:t>
      </w:r>
      <w:r>
        <w:t xml:space="preserve"> shall specify the intensity of the red </w:t>
      </w:r>
      <w:r>
        <w:t xml:space="preserve">component. If the </w:t>
      </w:r>
      <w:r>
        <w:rPr>
          <w:b/>
        </w:rPr>
        <w:t>themeTint</w:t>
      </w:r>
      <w:r>
        <w:t xml:space="preserve"> attribute is omitted, the intensity of the red component shall default to 255. The value of </w:t>
      </w:r>
      <w:r>
        <w:rPr>
          <w:b/>
        </w:rPr>
        <w:t>themeShade</w:t>
      </w:r>
      <w:r>
        <w:t xml:space="preserve"> shall specify the intensity of the green component. If the </w:t>
      </w:r>
      <w:r>
        <w:rPr>
          <w:b/>
        </w:rPr>
        <w:t>themeShade</w:t>
      </w:r>
      <w:r>
        <w:t xml:space="preserve"> attribute is omitted, the intensity of the green compon</w:t>
      </w:r>
      <w:r>
        <w:t>ent shall default to 255. The intensity of the blue component shall be 0.</w:t>
      </w:r>
    </w:p>
    <w:p w:rsidR="00024C0A" w:rsidRDefault="00694C0F">
      <w:r>
        <w:t xml:space="preserve">[Example: Consider a document with a background using the </w:t>
      </w:r>
      <w:r>
        <w:rPr>
          <w:i/>
        </w:rPr>
        <w:t>accent2</w:t>
      </w:r>
      <w:r>
        <w:t xml:space="preserve"> theme color, whose RGB value (in RRGGBB hex format) is </w:t>
      </w:r>
      <w:r>
        <w:rPr>
          <w:i/>
        </w:rPr>
        <w:t>4F81BD</w:t>
      </w:r>
      <w:r>
        <w:t>.</w:t>
      </w:r>
    </w:p>
    <w:p w:rsidR="00024C0A" w:rsidRDefault="00694C0F">
      <w:r>
        <w:t>The equivalent HSL color value would be</w:t>
      </w:r>
      <w:r>
        <w:rPr>
          <w:noProof/>
        </w:rPr>
        <w:drawing>
          <wp:inline distT="0" distB="0" distL="0" distR="0">
            <wp:extent cx="876300" cy="247649"/>
            <wp:effectExtent l="0" t="0" r="0" b="0"/>
            <wp:docPr id="6" name="Picture 1" descr="HSL color value: parentheses 213 over 360 comma 0.45 comma 0.53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b-0000-0000-0000-000000000000" descr="HSL color value: parentheses 213 over 360 comma 0.45 comma 0.53 parentheses" title="HSL color value"/>
                    <pic:cNvPicPr>
                      <a:picLocks noChangeAspect="1" noChangeArrowheads="1"/>
                    </pic:cNvPicPr>
                  </pic:nvPicPr>
                  <pic:blipFill>
                    <a:blip r:embed="rId71"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024C0A" w:rsidRDefault="00694C0F">
      <w:r>
        <w:t>Applying t</w:t>
      </w:r>
      <w:r>
        <w:t>he tint formula with a tint percentage of 60% to the luminance, the result is:</w:t>
      </w:r>
    </w:p>
    <w:p w:rsidR="00024C0A" w:rsidRDefault="00694C0F">
      <w:r>
        <w:rPr>
          <w:noProof/>
        </w:rPr>
        <w:drawing>
          <wp:inline distT="0" distB="0" distL="0" distR="0">
            <wp:extent cx="1362075" cy="171450"/>
            <wp:effectExtent l="0" t="0" r="0" b="0"/>
            <wp:docPr id="7" name="Picture 1" descr="Equation for tint forumla: L prime = 0.53 times 0.6 + parentheses 1 minus .6 parentheses" title="Equation for tint forum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c-0000-0000-0000-000000000000" descr="Equation for tint forumla: L prime = 0.53 times 0.6 + parentheses 1 minus .6 parentheses" title="Equation for tint forumla"/>
                    <pic:cNvPicPr>
                      <a:picLocks noChangeAspect="1" noChangeArrowheads="1"/>
                    </pic:cNvPicPr>
                  </pic:nvPicPr>
                  <pic:blipFill>
                    <a:blip r:embed="rId72" cstate="print"/>
                    <a:srcRect/>
                    <a:stretch>
                      <a:fillRect/>
                    </a:stretch>
                  </pic:blipFill>
                  <pic:spPr bwMode="auto">
                    <a:xfrm>
                      <a:off x="0" y="0"/>
                      <a:ext cx="1362075" cy="171450"/>
                    </a:xfrm>
                    <a:prstGeom prst="rect">
                      <a:avLst/>
                    </a:prstGeom>
                    <a:noFill/>
                    <a:ln w="9525">
                      <a:noFill/>
                      <a:miter lim="800000"/>
                      <a:headEnd/>
                      <a:tailEnd/>
                    </a:ln>
                  </pic:spPr>
                </pic:pic>
              </a:graphicData>
            </a:graphic>
          </wp:inline>
        </w:drawing>
      </w:r>
    </w:p>
    <w:p w:rsidR="00024C0A" w:rsidRDefault="00694C0F">
      <w:r>
        <w:rPr>
          <w:noProof/>
        </w:rPr>
        <w:drawing>
          <wp:inline distT="0" distB="0" distL="0" distR="0">
            <wp:extent cx="371475" cy="171450"/>
            <wp:effectExtent l="0" t="0" r="0" b="0"/>
            <wp:docPr id="8" name="Picture 1" descr="Result of equation: = 0.71"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5-0000-0000-0000-000000000000" descr="Result of equation: = 0.71" title="Result of equation"/>
                    <pic:cNvPicPr>
                      <a:picLocks noChangeAspect="1" noChangeArrowheads="1"/>
                    </pic:cNvPicPr>
                  </pic:nvPicPr>
                  <pic:blipFill>
                    <a:blip r:embed="rId73" cstate="print"/>
                    <a:srcRect/>
                    <a:stretch>
                      <a:fillRect/>
                    </a:stretch>
                  </pic:blipFill>
                  <pic:spPr bwMode="auto">
                    <a:xfrm>
                      <a:off x="0" y="0"/>
                      <a:ext cx="371475" cy="171450"/>
                    </a:xfrm>
                    <a:prstGeom prst="rect">
                      <a:avLst/>
                    </a:prstGeom>
                    <a:noFill/>
                    <a:ln w="9525">
                      <a:noFill/>
                      <a:miter lim="800000"/>
                      <a:headEnd/>
                      <a:tailEnd/>
                    </a:ln>
                  </pic:spPr>
                </pic:pic>
              </a:graphicData>
            </a:graphic>
          </wp:inline>
        </w:drawing>
      </w:r>
    </w:p>
    <w:p w:rsidR="00024C0A" w:rsidRDefault="00694C0F">
      <w:r>
        <w:lastRenderedPageBreak/>
        <w:t xml:space="preserve">Taking the resulting HSL color value of </w:t>
      </w:r>
      <w:r>
        <w:rPr>
          <w:noProof/>
        </w:rPr>
        <w:drawing>
          <wp:inline distT="0" distB="0" distL="0" distR="0">
            <wp:extent cx="847725" cy="247649"/>
            <wp:effectExtent l="0" t="0" r="0" b="0"/>
            <wp:docPr id="9" name="Picture 1" descr="HSL color value: parentheses 213 over 360 comma 0.45 comma 0.71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6-0000-0000-0000-000000000000" descr="HSL color value: parentheses 213 over 360 comma 0.45 comma 0.71 parentheses" title="HSL color value"/>
                    <pic:cNvPicPr>
                      <a:picLocks noChangeAspect="1" noChangeArrowheads="1"/>
                    </pic:cNvPicPr>
                  </pic:nvPicPr>
                  <pic:blipFill>
                    <a:blip r:embed="rId74" cstate="print"/>
                    <a:srcRect/>
                    <a:stretch>
                      <a:fillRect/>
                    </a:stretch>
                  </pic:blipFill>
                  <pic:spPr bwMode="auto">
                    <a:xfrm>
                      <a:off x="0" y="0"/>
                      <a:ext cx="847725" cy="247649"/>
                    </a:xfrm>
                    <a:prstGeom prst="rect">
                      <a:avLst/>
                    </a:prstGeom>
                    <a:noFill/>
                    <a:ln w="9525">
                      <a:noFill/>
                      <a:miter lim="800000"/>
                      <a:headEnd/>
                      <a:tailEnd/>
                    </a:ln>
                  </pic:spPr>
                </pic:pic>
              </a:graphicData>
            </a:graphic>
          </wp:inline>
        </w:drawing>
      </w:r>
      <w:r>
        <w:t xml:space="preserve"> and converting back to RGB, the result is </w:t>
      </w:r>
      <w:r>
        <w:rPr>
          <w:i/>
        </w:rPr>
        <w:t>95B3D7</w:t>
      </w:r>
      <w:r>
        <w:t>.</w:t>
      </w:r>
    </w:p>
    <w:p w:rsidR="00024C0A" w:rsidRDefault="00694C0F">
      <w:r>
        <w:t xml:space="preserve">This transformed value can be seen in the resulting background's </w:t>
      </w:r>
      <w:r>
        <w:rPr>
          <w:b/>
        </w:rPr>
        <w:t>color</w:t>
      </w:r>
      <w:r>
        <w:t xml:space="preserve"> attribute:</w:t>
      </w:r>
    </w:p>
    <w:p w:rsidR="00024C0A" w:rsidRDefault="00694C0F">
      <w:pPr>
        <w:pStyle w:val="Code"/>
      </w:pPr>
      <w:r>
        <w:t>&lt;w:top w:val="single" w:sz="4" w:space="24"</w:t>
      </w:r>
    </w:p>
    <w:p w:rsidR="00024C0A" w:rsidRDefault="00694C0F">
      <w:pPr>
        <w:pStyle w:val="Code"/>
      </w:pPr>
      <w:r>
        <w:t xml:space="preserve">  w:color="95B3D7" w:themeColor="accent2" </w:t>
      </w:r>
    </w:p>
    <w:p w:rsidR="00024C0A" w:rsidRDefault="00694C0F">
      <w:pPr>
        <w:pStyle w:val="Code"/>
      </w:pPr>
      <w:r>
        <w:t xml:space="preserve">  w:themeTint="99"/&gt;</w:t>
      </w:r>
    </w:p>
    <w:p w:rsidR="00024C0A" w:rsidRDefault="00694C0F">
      <w:r>
        <w:t>end example]</w:t>
      </w:r>
    </w:p>
    <w:p w:rsidR="00024C0A" w:rsidRDefault="00694C0F">
      <w:pPr>
        <w:pStyle w:val="Heading3"/>
      </w:pPr>
      <w:bookmarkStart w:id="161" w:name="section_4f50ceb9013d4affa66144e88c4ae009"/>
      <w:bookmarkStart w:id="162" w:name="_Toc12260141"/>
      <w:r>
        <w:t>Part 1 Section 17.3.2.7, cs (Use Complex Script Formatting on Run)</w:t>
      </w:r>
      <w:bookmarkEnd w:id="161"/>
      <w:bookmarkEnd w:id="162"/>
      <w:r>
        <w:fldChar w:fldCharType="begin"/>
      </w:r>
      <w:r>
        <w:instrText xml:space="preserve"> XE "cs (Use Complex Script Formatting on Run)" </w:instrText>
      </w:r>
      <w:r>
        <w:fldChar w:fldCharType="end"/>
      </w:r>
    </w:p>
    <w:p w:rsidR="00024C0A" w:rsidRDefault="00694C0F">
      <w:pPr>
        <w:pStyle w:val="Definition-Field2"/>
      </w:pPr>
      <w:r>
        <w:rPr>
          <w:i/>
        </w:rPr>
        <w:t>For additional no</w:t>
      </w:r>
      <w:r>
        <w:rPr>
          <w:i/>
        </w:rPr>
        <w:t xml:space="preserve">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w:t>
      </w:r>
    </w:p>
    <w:p w:rsidR="00024C0A" w:rsidRDefault="00694C0F">
      <w:pPr>
        <w:pStyle w:val="Heading3"/>
      </w:pPr>
      <w:bookmarkStart w:id="163" w:name="section_0c2fbdfee3c442339e5874bee9eac813"/>
      <w:bookmarkStart w:id="164" w:name="_Toc12260142"/>
      <w:r>
        <w:t>Part 1 Section 17.3.2.8, dir (Bidirectional Embedding Level)</w:t>
      </w:r>
      <w:bookmarkEnd w:id="163"/>
      <w:bookmarkEnd w:id="164"/>
      <w:r>
        <w:fldChar w:fldCharType="begin"/>
      </w:r>
      <w:r>
        <w:instrText xml:space="preserve"> XE "dir (Bidirectional Embedding Level)" </w:instrText>
      </w:r>
      <w:r>
        <w:fldChar w:fldCharType="end"/>
      </w:r>
    </w:p>
    <w:p w:rsidR="00024C0A" w:rsidRDefault="00694C0F">
      <w:pPr>
        <w:pStyle w:val="Definition-Field"/>
      </w:pPr>
      <w:r>
        <w:t xml:space="preserve">a.   </w:t>
      </w:r>
      <w:r>
        <w:rPr>
          <w:i/>
        </w:rPr>
        <w:t xml:space="preserve">The standard states the list of parents of the dir element, which does not include </w:t>
      </w:r>
      <w:r>
        <w:rPr>
          <w:i/>
        </w:rPr>
        <w:t>the oMath element (Section 22.1.2.77)</w:t>
      </w:r>
    </w:p>
    <w:p w:rsidR="00024C0A" w:rsidRDefault="00694C0F">
      <w:pPr>
        <w:pStyle w:val="Definition-Field2"/>
      </w:pPr>
      <w:r>
        <w:t>Word can write the w:dir element as a child of the oMath element.</w:t>
      </w:r>
    </w:p>
    <w:p w:rsidR="00024C0A" w:rsidRDefault="00694C0F">
      <w:pPr>
        <w:pStyle w:val="Heading3"/>
      </w:pPr>
      <w:bookmarkStart w:id="165" w:name="section_efbc3ed11349457293a0a4e0f71e2a8b"/>
      <w:bookmarkStart w:id="166" w:name="_Toc12260143"/>
      <w:r>
        <w:t>Part 1 Section 17.3.2.10, eastAsianLayout (East Asian Typography Settings)</w:t>
      </w:r>
      <w:bookmarkEnd w:id="165"/>
      <w:bookmarkEnd w:id="166"/>
      <w:r>
        <w:fldChar w:fldCharType="begin"/>
      </w:r>
      <w:r>
        <w:instrText xml:space="preserve"> XE "eastAsianLayout (East Asian Typography Settings)" </w:instrText>
      </w:r>
      <w:r>
        <w:fldChar w:fldCharType="end"/>
      </w:r>
    </w:p>
    <w:p w:rsidR="00024C0A" w:rsidRDefault="00694C0F">
      <w:pPr>
        <w:pStyle w:val="Definition-Field"/>
      </w:pPr>
      <w:r>
        <w:t xml:space="preserve">a.   </w:t>
      </w:r>
      <w:r>
        <w:rPr>
          <w:i/>
        </w:rPr>
        <w:t xml:space="preserve">The standard </w:t>
      </w:r>
      <w:r>
        <w:rPr>
          <w:i/>
        </w:rPr>
        <w:t>states that horizontal in vertical text is performed with rotation for vertical at 90 degrees in one location and 270 in another.</w:t>
      </w:r>
    </w:p>
    <w:p w:rsidR="00024C0A" w:rsidRDefault="00694C0F">
      <w:pPr>
        <w:pStyle w:val="Definition-Field2"/>
      </w:pPr>
      <w:r>
        <w:t>Word rotates text 90 degrees to the left.</w:t>
      </w:r>
    </w:p>
    <w:p w:rsidR="00024C0A" w:rsidRDefault="00694C0F">
      <w:pPr>
        <w:pStyle w:val="Definition-Field"/>
      </w:pPr>
      <w:r>
        <w:t xml:space="preserve">b.   </w:t>
      </w:r>
      <w:r>
        <w:rPr>
          <w:i/>
        </w:rPr>
        <w:t xml:space="preserve">The standard states that the vertCompress attribute determines whether the </w:t>
      </w:r>
      <w:r>
        <w:rPr>
          <w:i/>
        </w:rPr>
        <w:t>rotated text shall be compressed at display time in order to ensure that it fits into the existing line height.</w:t>
      </w:r>
    </w:p>
    <w:p w:rsidR="00024C0A" w:rsidRDefault="00694C0F">
      <w:pPr>
        <w:pStyle w:val="Definition-Field2"/>
      </w:pPr>
      <w:r>
        <w:t>Word ignores this attribute.</w:t>
      </w:r>
    </w:p>
    <w:p w:rsidR="00024C0A" w:rsidRDefault="00694C0F">
      <w:pPr>
        <w:pStyle w:val="Definition-Field"/>
      </w:pPr>
      <w:r>
        <w:t xml:space="preserve">c.   </w:t>
      </w:r>
      <w:r>
        <w:rPr>
          <w:i/>
        </w:rPr>
        <w:t>The standard does not state how to resolve conflicts between this element and the fitText element.</w:t>
      </w:r>
    </w:p>
    <w:p w:rsidR="00024C0A" w:rsidRDefault="00694C0F">
      <w:pPr>
        <w:pStyle w:val="Definition-Field2"/>
      </w:pPr>
      <w:r>
        <w:t>Word ignore</w:t>
      </w:r>
      <w:r>
        <w:t>s this element if the fitText element is also present on the parent paragraph.</w:t>
      </w:r>
    </w:p>
    <w:p w:rsidR="00024C0A" w:rsidRDefault="00694C0F">
      <w:pPr>
        <w:pStyle w:val="Definition-Field"/>
      </w:pPr>
      <w:r>
        <w:t xml:space="preserve">d.   </w:t>
      </w:r>
      <w:r>
        <w:rPr>
          <w:i/>
        </w:rPr>
        <w:t>The standard does not state how a conflict between the settings specified by the combine attribute and the vert attribute should be resolved.</w:t>
      </w:r>
    </w:p>
    <w:p w:rsidR="00024C0A" w:rsidRDefault="00694C0F">
      <w:pPr>
        <w:pStyle w:val="Definition-Field2"/>
      </w:pPr>
      <w:r>
        <w:t>Word ignores the vert attribut</w:t>
      </w:r>
      <w:r>
        <w:t>e when the combine attribute is set to true (or equivalent).</w:t>
      </w:r>
    </w:p>
    <w:p w:rsidR="00024C0A" w:rsidRDefault="00694C0F">
      <w:pPr>
        <w:pStyle w:val="Definition-Field"/>
      </w:pPr>
      <w:r>
        <w:t xml:space="preserve">e.   </w:t>
      </w:r>
      <w:r>
        <w:rPr>
          <w:i/>
        </w:rPr>
        <w:t>The standard states that this element should work within a numbering level definition.</w:t>
      </w:r>
    </w:p>
    <w:p w:rsidR="00024C0A" w:rsidRDefault="00694C0F">
      <w:pPr>
        <w:pStyle w:val="Definition-Field2"/>
      </w:pPr>
      <w:r>
        <w:t>Word does not support this element when used within the run properties of a numbering level definition.</w:t>
      </w:r>
    </w:p>
    <w:p w:rsidR="00024C0A" w:rsidRDefault="00694C0F">
      <w:pPr>
        <w:pStyle w:val="Definition-Field"/>
      </w:pPr>
      <w:r>
        <w:t xml:space="preserve">f.   </w:t>
      </w:r>
      <w:r>
        <w:rPr>
          <w:i/>
        </w:rPr>
        <w:t>The standard states that this element specifies the East Asian typography settings which shall be applied to the contents of the run.</w:t>
      </w:r>
    </w:p>
    <w:p w:rsidR="00024C0A" w:rsidRDefault="00694C0F">
      <w:pPr>
        <w:pStyle w:val="Definition-Field2"/>
      </w:pPr>
      <w:r>
        <w:t>Word ignores these settings when the run is contained inside an equation, and when the run's direction does not matc</w:t>
      </w:r>
      <w:r>
        <w:t>h the direction of the parent paragraph.</w:t>
      </w:r>
    </w:p>
    <w:p w:rsidR="00024C0A" w:rsidRDefault="00694C0F">
      <w:pPr>
        <w:pStyle w:val="Heading3"/>
      </w:pPr>
      <w:bookmarkStart w:id="167" w:name="section_be63571bd1204e6c87935326f06cba49"/>
      <w:bookmarkStart w:id="168" w:name="_Toc12260144"/>
      <w:r>
        <w:lastRenderedPageBreak/>
        <w:t>Part 1 Section 17.3.2.11, effect (Animated Text Effect)</w:t>
      </w:r>
      <w:bookmarkEnd w:id="167"/>
      <w:bookmarkEnd w:id="168"/>
      <w:r>
        <w:fldChar w:fldCharType="begin"/>
      </w:r>
      <w:r>
        <w:instrText xml:space="preserve"> XE "effect (Animated Text Effect)" </w:instrText>
      </w:r>
      <w:r>
        <w:fldChar w:fldCharType="end"/>
      </w:r>
    </w:p>
    <w:p w:rsidR="00024C0A" w:rsidRDefault="00694C0F">
      <w:pPr>
        <w:pStyle w:val="Definition-Field"/>
      </w:pPr>
      <w:r>
        <w:t xml:space="preserve">a.   </w:t>
      </w:r>
      <w:r>
        <w:rPr>
          <w:i/>
        </w:rPr>
        <w:t>The standard states that the text effect is rendered around the text, but not all effects are border effects.</w:t>
      </w:r>
    </w:p>
    <w:p w:rsidR="00024C0A" w:rsidRDefault="00694C0F">
      <w:pPr>
        <w:pStyle w:val="Definition-Field2"/>
      </w:pPr>
      <w:r>
        <w:t>Word r</w:t>
      </w:r>
      <w:r>
        <w:t>enders the text effects defined in blinkBackground, shimmer, and sparkle animations behind the text, as they are not border animations.</w:t>
      </w:r>
    </w:p>
    <w:p w:rsidR="00024C0A" w:rsidRDefault="00694C0F">
      <w:pPr>
        <w:pStyle w:val="Heading3"/>
      </w:pPr>
      <w:bookmarkStart w:id="169" w:name="section_ee04d38668c14e8dbce4f4250173ca21"/>
      <w:bookmarkStart w:id="170" w:name="_Toc12260145"/>
      <w:r>
        <w:t>Part 1 Section 17.3.2.13, emboss (Embossing)</w:t>
      </w:r>
      <w:bookmarkEnd w:id="169"/>
      <w:bookmarkEnd w:id="170"/>
      <w:r>
        <w:fldChar w:fldCharType="begin"/>
      </w:r>
      <w:r>
        <w:instrText xml:space="preserve"> XE "emboss (Embossing)" </w:instrText>
      </w:r>
      <w:r>
        <w:fldChar w:fldCharType="end"/>
      </w:r>
    </w:p>
    <w:p w:rsidR="00024C0A" w:rsidRDefault="00694C0F">
      <w:pPr>
        <w:pStyle w:val="Definition-Field"/>
      </w:pPr>
      <w:r>
        <w:t xml:space="preserve">a.   </w:t>
      </w:r>
      <w:r>
        <w:rPr>
          <w:i/>
        </w:rPr>
        <w:t>The standard states that this element shall</w:t>
      </w:r>
      <w:r>
        <w:rPr>
          <w:i/>
        </w:rPr>
        <w:t xml:space="preserve"> not be present with either the imprint or outline elements.</w:t>
      </w:r>
    </w:p>
    <w:p w:rsidR="00024C0A" w:rsidRDefault="00694C0F">
      <w:pPr>
        <w:pStyle w:val="Definition-Field2"/>
      </w:pPr>
      <w:r>
        <w:t>Word also prevents it from being present with the shadow element.</w:t>
      </w:r>
    </w:p>
    <w:p w:rsidR="00024C0A" w:rsidRDefault="00694C0F">
      <w:pPr>
        <w:pStyle w:val="Heading3"/>
      </w:pPr>
      <w:bookmarkStart w:id="171" w:name="section_aec278824aa1491c9c00fbc9bb00c9f7"/>
      <w:bookmarkStart w:id="172" w:name="_Toc12260146"/>
      <w:r>
        <w:t>Part 1 Section 17.3.2.14, fitText (Manual Run Width)</w:t>
      </w:r>
      <w:bookmarkEnd w:id="171"/>
      <w:bookmarkEnd w:id="172"/>
      <w:r>
        <w:fldChar w:fldCharType="begin"/>
      </w:r>
      <w:r>
        <w:instrText xml:space="preserve"> XE "fitText (Manual Run Width)" </w:instrText>
      </w:r>
      <w:r>
        <w:fldChar w:fldCharType="end"/>
      </w:r>
    </w:p>
    <w:p w:rsidR="00024C0A" w:rsidRDefault="00694C0F">
      <w:pPr>
        <w:pStyle w:val="Definition-Field"/>
      </w:pPr>
      <w:r>
        <w:t xml:space="preserve">a.   </w:t>
      </w:r>
      <w:r>
        <w:rPr>
          <w:i/>
        </w:rPr>
        <w:t>The standard states that the fitText</w:t>
      </w:r>
      <w:r>
        <w:rPr>
          <w:i/>
        </w:rPr>
        <w:t xml:space="preserve"> element causes the contents of the run to be resized to fit the width specified by the val attribute.</w:t>
      </w:r>
    </w:p>
    <w:p w:rsidR="00024C0A" w:rsidRDefault="00694C0F">
      <w:pPr>
        <w:pStyle w:val="Definition-Field2"/>
      </w:pPr>
      <w:r>
        <w:t>Word ignores this element inside Math, inside structured document tags, and for text that does not match the reading order of the parent paragraph.</w:t>
      </w:r>
    </w:p>
    <w:p w:rsidR="00024C0A" w:rsidRDefault="00694C0F">
      <w:pPr>
        <w:pStyle w:val="Definition-Field"/>
      </w:pPr>
      <w:r>
        <w:t xml:space="preserve">b.   </w:t>
      </w:r>
      <w:r>
        <w:rPr>
          <w:i/>
        </w:rPr>
        <w:t>The standard states that if the id attribute is omitted, then this run has no ID and shall not be linked with any other run in the parent paragraph.</w:t>
      </w:r>
    </w:p>
    <w:p w:rsidR="00024C0A" w:rsidRDefault="00694C0F">
      <w:pPr>
        <w:pStyle w:val="Definition-Field2"/>
      </w:pPr>
      <w:r>
        <w:t>Word assigns an id of 0 when the id attribute is omitted, and links it to other contiguous runs having an o</w:t>
      </w:r>
      <w:r>
        <w:t>mitted id attribute (or an explicit id value of 0).</w:t>
      </w:r>
    </w:p>
    <w:p w:rsidR="00024C0A" w:rsidRDefault="00694C0F">
      <w:pPr>
        <w:pStyle w:val="Definition-Field"/>
      </w:pPr>
      <w:r>
        <w:t xml:space="preserve">c.   </w:t>
      </w:r>
      <w:r>
        <w:rPr>
          <w:i/>
        </w:rPr>
        <w:t>The standard states that the val attribute can contain any 64-bit integer value.</w:t>
      </w:r>
    </w:p>
    <w:p w:rsidR="00024C0A" w:rsidRDefault="00694C0F">
      <w:pPr>
        <w:pStyle w:val="Definition-Field2"/>
      </w:pPr>
      <w:r>
        <w:t>Word restricts this attribute to a value between 0 and 31680 (22").</w:t>
      </w:r>
    </w:p>
    <w:p w:rsidR="00024C0A" w:rsidRDefault="00694C0F">
      <w:pPr>
        <w:pStyle w:val="Definition-Field"/>
      </w:pPr>
      <w:r>
        <w:t xml:space="preserve">d.   </w:t>
      </w:r>
      <w:r>
        <w:rPr>
          <w:i/>
        </w:rPr>
        <w:t>The standard does not state how a conflict be</w:t>
      </w:r>
      <w:r>
        <w:rPr>
          <w:i/>
        </w:rPr>
        <w:t>tween this setting and the spacing element and/or the eastAsianLayout element should be handled.</w:t>
      </w:r>
    </w:p>
    <w:p w:rsidR="00024C0A" w:rsidRDefault="00694C0F">
      <w:pPr>
        <w:pStyle w:val="Definition-Field2"/>
      </w:pPr>
      <w:r>
        <w:t>Word uses this element when it is present, ignoring the spacing element and/or the eastAsianLayout element.</w:t>
      </w:r>
    </w:p>
    <w:p w:rsidR="00024C0A" w:rsidRDefault="00694C0F">
      <w:pPr>
        <w:pStyle w:val="Heading3"/>
      </w:pPr>
      <w:bookmarkStart w:id="173" w:name="section_e07a90e276b547dd8bf4668a806177c7"/>
      <w:bookmarkStart w:id="174" w:name="_Toc12260147"/>
      <w:r>
        <w:t>Part 1 Section 17.3.2.15, highlight (Text Highlight</w:t>
      </w:r>
      <w:r>
        <w:t>ing)</w:t>
      </w:r>
      <w:bookmarkEnd w:id="173"/>
      <w:bookmarkEnd w:id="174"/>
      <w:r>
        <w:fldChar w:fldCharType="begin"/>
      </w:r>
      <w:r>
        <w:instrText xml:space="preserve"> XE "highlight (Text Highlighting)"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024C0A" w:rsidRDefault="00694C0F">
      <w:pPr>
        <w:pStyle w:val="Heading3"/>
      </w:pPr>
      <w:bookmarkStart w:id="175" w:name="section_1288dac9291e4330b7cd020a392632c4"/>
      <w:bookmarkStart w:id="176" w:name="_Toc12260148"/>
      <w:r>
        <w:t>Part 1 Section 17.3.2.16, i (Italics)</w:t>
      </w:r>
      <w:bookmarkEnd w:id="175"/>
      <w:bookmarkEnd w:id="176"/>
      <w:r>
        <w:fldChar w:fldCharType="begin"/>
      </w:r>
      <w:r>
        <w:instrText xml:space="preserve"> XE "i (Italics)" </w:instrText>
      </w:r>
      <w:r>
        <w:fldChar w:fldCharType="end"/>
      </w:r>
    </w:p>
    <w:p w:rsidR="00024C0A" w:rsidRDefault="00694C0F">
      <w:pPr>
        <w:pStyle w:val="Definition-Field"/>
      </w:pPr>
      <w:r>
        <w:t xml:space="preserve">a.   </w:t>
      </w:r>
      <w:r>
        <w:rPr>
          <w:i/>
        </w:rPr>
        <w:t>The standard states that this element applies italics to non-complex script characters, but does not specify how that determination is made.</w:t>
      </w:r>
    </w:p>
    <w:p w:rsidR="00024C0A" w:rsidRDefault="00694C0F">
      <w:pPr>
        <w:pStyle w:val="Definition-Field2"/>
      </w:pPr>
      <w:r>
        <w:t xml:space="preserve">Word determines this state based on the state of the cs and rtl properties and applies </w:t>
      </w:r>
      <w:r>
        <w:t>italics to runs that do not use either of those properties.</w:t>
      </w:r>
    </w:p>
    <w:p w:rsidR="00024C0A" w:rsidRDefault="00694C0F">
      <w:pPr>
        <w:pStyle w:val="Heading3"/>
      </w:pPr>
      <w:bookmarkStart w:id="177" w:name="section_22f74ff1babf4b338095058fc001c105"/>
      <w:bookmarkStart w:id="178" w:name="_Toc12260149"/>
      <w:r>
        <w:t>Part 1 Section 17.3.2.17, iCs (Complex Script Italics)</w:t>
      </w:r>
      <w:bookmarkEnd w:id="177"/>
      <w:bookmarkEnd w:id="178"/>
      <w:r>
        <w:fldChar w:fldCharType="begin"/>
      </w:r>
      <w:r>
        <w:instrText xml:space="preserve"> XE "iCs (Complex Script Italics)" </w:instrText>
      </w:r>
      <w:r>
        <w:fldChar w:fldCharType="end"/>
      </w:r>
    </w:p>
    <w:p w:rsidR="00024C0A" w:rsidRDefault="00694C0F">
      <w:pPr>
        <w:pStyle w:val="Definition-Field"/>
      </w:pPr>
      <w:r>
        <w:t xml:space="preserve">a.   </w:t>
      </w:r>
      <w:r>
        <w:rPr>
          <w:i/>
        </w:rPr>
        <w:t>The standard states that this element applies italics to complex script characters, but does not sp</w:t>
      </w:r>
      <w:r>
        <w:rPr>
          <w:i/>
        </w:rPr>
        <w:t>ecify how that determination is made.</w:t>
      </w:r>
    </w:p>
    <w:p w:rsidR="00024C0A" w:rsidRDefault="00694C0F">
      <w:pPr>
        <w:pStyle w:val="Definition-Field2"/>
      </w:pPr>
      <w:r>
        <w:lastRenderedPageBreak/>
        <w:t>Word determines this state based on the state of the cs and rtl properties and applies italics to runs that use either of those properties.</w:t>
      </w:r>
    </w:p>
    <w:p w:rsidR="00024C0A" w:rsidRDefault="00694C0F">
      <w:pPr>
        <w:pStyle w:val="Heading3"/>
      </w:pPr>
      <w:bookmarkStart w:id="179" w:name="section_1b1a3ab800294944aa76f1e7188c9447"/>
      <w:bookmarkStart w:id="180" w:name="_Toc12260150"/>
      <w:r>
        <w:t>Part 1 Section 17.3.2.18, imprint (Imprinting)</w:t>
      </w:r>
      <w:bookmarkEnd w:id="179"/>
      <w:bookmarkEnd w:id="180"/>
      <w:r>
        <w:fldChar w:fldCharType="begin"/>
      </w:r>
      <w:r>
        <w:instrText xml:space="preserve"> XE "imprint (Imprinting)" </w:instrText>
      </w:r>
      <w:r>
        <w:fldChar w:fldCharType="end"/>
      </w:r>
    </w:p>
    <w:p w:rsidR="00024C0A" w:rsidRDefault="00694C0F">
      <w:pPr>
        <w:pStyle w:val="Definition-Field"/>
      </w:pPr>
      <w:r>
        <w:t>a.</w:t>
      </w:r>
      <w:r>
        <w:t xml:space="preserve">   </w:t>
      </w:r>
      <w:r>
        <w:rPr>
          <w:i/>
        </w:rPr>
        <w:t>The standard states that this element shall not be present with either the emboss or outline elements.</w:t>
      </w:r>
    </w:p>
    <w:p w:rsidR="00024C0A" w:rsidRDefault="00694C0F">
      <w:pPr>
        <w:pStyle w:val="Definition-Field2"/>
      </w:pPr>
      <w:r>
        <w:t>Word also prevents it from being present with the shadow element.</w:t>
      </w:r>
    </w:p>
    <w:p w:rsidR="00024C0A" w:rsidRDefault="00694C0F">
      <w:pPr>
        <w:pStyle w:val="Heading3"/>
      </w:pPr>
      <w:bookmarkStart w:id="181" w:name="section_f04d9c4e29ef45e18de4de8701e7b796"/>
      <w:bookmarkStart w:id="182" w:name="_Toc12260151"/>
      <w:r>
        <w:t>Part 1 Section 17.3.2.19, kern (Font Kerning)</w:t>
      </w:r>
      <w:bookmarkEnd w:id="181"/>
      <w:bookmarkEnd w:id="182"/>
      <w:r>
        <w:fldChar w:fldCharType="begin"/>
      </w:r>
      <w:r>
        <w:instrText xml:space="preserve"> XE "kern (Font Kerning)" </w:instrText>
      </w:r>
      <w:r>
        <w:fldChar w:fldCharType="end"/>
      </w:r>
    </w:p>
    <w:p w:rsidR="00024C0A" w:rsidRDefault="00694C0F">
      <w:pPr>
        <w:pStyle w:val="Definition-Field"/>
      </w:pPr>
      <w:r>
        <w:t xml:space="preserve">a.   </w:t>
      </w:r>
      <w:r>
        <w:rPr>
          <w:i/>
        </w:rPr>
        <w:t>The s</w:t>
      </w:r>
      <w:r>
        <w:rPr>
          <w:i/>
        </w:rPr>
        <w:t>tandard states that the values of the val attribute are defined by the XML Schema unsignedLong datatype.</w:t>
      </w:r>
    </w:p>
    <w:p w:rsidR="00024C0A" w:rsidRDefault="00694C0F">
      <w:pPr>
        <w:pStyle w:val="Definition-Field2"/>
      </w:pPr>
      <w:r>
        <w:t>Word defines the values of this attribute with the XML Schema unsignedInt datatype, with a minimum value of 0 and a maximum value of 3277.</w:t>
      </w:r>
    </w:p>
    <w:p w:rsidR="00024C0A" w:rsidRDefault="00694C0F">
      <w:pPr>
        <w:pStyle w:val="Heading3"/>
      </w:pPr>
      <w:bookmarkStart w:id="183" w:name="section_40c5a8d11e3e43dca5b0f324ea36bac1"/>
      <w:bookmarkStart w:id="184" w:name="_Toc12260152"/>
      <w:r>
        <w:t>Part 1 Secti</w:t>
      </w:r>
      <w:r>
        <w:t>on 17.3.2.20, lang (Languages for Run Content)</w:t>
      </w:r>
      <w:bookmarkEnd w:id="183"/>
      <w:bookmarkEnd w:id="184"/>
      <w:r>
        <w:fldChar w:fldCharType="begin"/>
      </w:r>
      <w:r>
        <w:instrText xml:space="preserve"> XE "lang (Languages for Run Content)" </w:instrText>
      </w:r>
      <w:r>
        <w:fldChar w:fldCharType="end"/>
      </w:r>
    </w:p>
    <w:p w:rsidR="00024C0A" w:rsidRDefault="00694C0F">
      <w:pPr>
        <w:pStyle w:val="Definition-Field"/>
      </w:pPr>
      <w:r>
        <w:t xml:space="preserve">a.   </w:t>
      </w:r>
      <w:r>
        <w:rPr>
          <w:i/>
        </w:rPr>
        <w:t>The standard states that the bidi attribute applies font size to complex script characters, but does not specify how that determination is made.</w:t>
      </w:r>
    </w:p>
    <w:p w:rsidR="00024C0A" w:rsidRDefault="00694C0F">
      <w:pPr>
        <w:pStyle w:val="Definition-Field2"/>
      </w:pPr>
      <w:r>
        <w:t>Word determines th</w:t>
      </w:r>
      <w:r>
        <w:t>is state based on the state of the cs and rtl properties and applies the language to runs that use either of those properties.</w:t>
      </w:r>
    </w:p>
    <w:p w:rsidR="00024C0A" w:rsidRDefault="00694C0F">
      <w:pPr>
        <w:pStyle w:val="Heading3"/>
      </w:pPr>
      <w:bookmarkStart w:id="185" w:name="section_c79fa63fc83f4f3cacd9979af05ae4fd"/>
      <w:bookmarkStart w:id="186" w:name="_Toc12260153"/>
      <w:r>
        <w:t>Part 1 Section 17.3.2.21, noProof (Do Not Check Spelling or Grammar)</w:t>
      </w:r>
      <w:bookmarkEnd w:id="185"/>
      <w:bookmarkEnd w:id="186"/>
      <w:r>
        <w:fldChar w:fldCharType="begin"/>
      </w:r>
      <w:r>
        <w:instrText xml:space="preserve"> XE "noProof (Do Not Check Spelling or Grammar)" </w:instrText>
      </w:r>
      <w:r>
        <w:fldChar w:fldCharType="end"/>
      </w:r>
    </w:p>
    <w:p w:rsidR="00024C0A" w:rsidRDefault="00694C0F">
      <w:pPr>
        <w:pStyle w:val="Definition-Field"/>
      </w:pPr>
      <w:r>
        <w:t xml:space="preserve">a.   </w:t>
      </w:r>
      <w:r>
        <w:rPr>
          <w:i/>
        </w:rPr>
        <w:t xml:space="preserve">The </w:t>
      </w:r>
      <w:r>
        <w:rPr>
          <w:i/>
        </w:rPr>
        <w:t>standard states that this element causes spelling and grammar to be suppressed.</w:t>
      </w:r>
    </w:p>
    <w:p w:rsidR="00024C0A" w:rsidRDefault="00694C0F">
      <w:pPr>
        <w:pStyle w:val="Definition-Field2"/>
      </w:pPr>
      <w:r>
        <w:t>Word does not check spelling, grammar, or hyphenate runs that contain this element.</w:t>
      </w:r>
    </w:p>
    <w:p w:rsidR="00024C0A" w:rsidRDefault="00694C0F">
      <w:pPr>
        <w:pStyle w:val="Heading3"/>
      </w:pPr>
      <w:bookmarkStart w:id="187" w:name="section_94590ec4e4c14f7ab967abe6bf8658b2"/>
      <w:bookmarkStart w:id="188" w:name="_Toc12260154"/>
      <w:r>
        <w:t>Part 1 Section 17.3.2.22, oMath (Office Open XML Math)</w:t>
      </w:r>
      <w:bookmarkEnd w:id="187"/>
      <w:bookmarkEnd w:id="188"/>
      <w:r>
        <w:fldChar w:fldCharType="begin"/>
      </w:r>
      <w:r>
        <w:instrText xml:space="preserve"> XE "oMath (Office Open XML Math)"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024C0A" w:rsidRDefault="00694C0F">
      <w:pPr>
        <w:pStyle w:val="Definition-Field"/>
      </w:pPr>
      <w:r>
        <w:t xml:space="preserve">a.   </w:t>
      </w:r>
      <w:r>
        <w:rPr>
          <w:i/>
        </w:rPr>
        <w:t>The standard states that the oMath run property can be applied to any run.</w:t>
      </w:r>
    </w:p>
    <w:p w:rsidR="00024C0A" w:rsidRDefault="00694C0F">
      <w:pPr>
        <w:pStyle w:val="Definition-Field2"/>
      </w:pPr>
      <w:r>
        <w:t>Word only suppo</w:t>
      </w:r>
      <w:r>
        <w:t>rts the oMath element when applied to the run properties on the paragraph mark.</w:t>
      </w:r>
    </w:p>
    <w:p w:rsidR="00024C0A" w:rsidRDefault="00694C0F">
      <w:pPr>
        <w:pStyle w:val="Heading3"/>
      </w:pPr>
      <w:bookmarkStart w:id="189" w:name="section_f2e9836a5ffa4c5d87420c7a0637b277"/>
      <w:bookmarkStart w:id="190" w:name="_Toc12260155"/>
      <w:r>
        <w:t>Part 1 Section 17.3.2.25, r (Text Run)</w:t>
      </w:r>
      <w:bookmarkEnd w:id="189"/>
      <w:bookmarkEnd w:id="190"/>
      <w:r>
        <w:fldChar w:fldCharType="begin"/>
      </w:r>
      <w:r>
        <w:instrText xml:space="preserve"> XE "r (Text Run)" </w:instrText>
      </w:r>
      <w:r>
        <w:fldChar w:fldCharType="end"/>
      </w:r>
    </w:p>
    <w:p w:rsidR="00024C0A" w:rsidRDefault="00694C0F">
      <w:pPr>
        <w:pStyle w:val="Definition-Field"/>
      </w:pPr>
      <w:r>
        <w:t xml:space="preserve">a.   </w:t>
      </w:r>
      <w:r>
        <w:rPr>
          <w:i/>
        </w:rPr>
        <w:t>The standard states that runs can occur outside of paragraphs.</w:t>
      </w:r>
    </w:p>
    <w:p w:rsidR="00024C0A" w:rsidRDefault="00694C0F">
      <w:pPr>
        <w:pStyle w:val="Definition-Field2"/>
      </w:pPr>
      <w:r>
        <w:t>Word does not open a file that contains this ele</w:t>
      </w:r>
      <w:r>
        <w:t>ment outside of a paragraph. This paragraph element does not need to be the direct parent of the run, but the paragraph element must exist at some level around the run.</w:t>
      </w:r>
    </w:p>
    <w:p w:rsidR="00024C0A" w:rsidRDefault="00694C0F">
      <w:pPr>
        <w:pStyle w:val="Heading3"/>
      </w:pPr>
      <w:bookmarkStart w:id="191" w:name="section_aef3c9a65d6c434b90b785e761fd8e62"/>
      <w:bookmarkStart w:id="192" w:name="_Toc12260156"/>
      <w:r>
        <w:t>Part 1 Section 17.3.2.26, rFonts (Run Fonts)</w:t>
      </w:r>
      <w:bookmarkEnd w:id="191"/>
      <w:bookmarkEnd w:id="192"/>
      <w:r>
        <w:fldChar w:fldCharType="begin"/>
      </w:r>
      <w:r>
        <w:instrText xml:space="preserve"> XE "rFonts (Run Fonts)" </w:instrText>
      </w:r>
      <w:r>
        <w:fldChar w:fldCharType="end"/>
      </w:r>
    </w:p>
    <w:p w:rsidR="00024C0A" w:rsidRDefault="00694C0F">
      <w:pPr>
        <w:pStyle w:val="Definition-Field"/>
      </w:pPr>
      <w:r>
        <w:t xml:space="preserve">a.   </w:t>
      </w:r>
      <w:r>
        <w:rPr>
          <w:i/>
        </w:rPr>
        <w:t>The standa</w:t>
      </w:r>
      <w:r>
        <w:rPr>
          <w:i/>
        </w:rPr>
        <w:t>rd does not limit the length of the ascii, hAnsi, cs, and eastAsia attributes.</w:t>
      </w:r>
    </w:p>
    <w:p w:rsidR="00024C0A" w:rsidRDefault="00694C0F">
      <w:pPr>
        <w:pStyle w:val="Definition-Field2"/>
      </w:pPr>
      <w:r>
        <w:t>Word restricts the value of these attributes to be less than 32 characters.</w:t>
      </w:r>
    </w:p>
    <w:p w:rsidR="00024C0A" w:rsidRDefault="00694C0F">
      <w:pPr>
        <w:pStyle w:val="Definition-Field"/>
      </w:pPr>
      <w:r>
        <w:t xml:space="preserve">b.   </w:t>
      </w:r>
      <w:r>
        <w:rPr>
          <w:i/>
        </w:rPr>
        <w:t xml:space="preserve">The standard states that the use of each of the run fonts shall be determined by the Unicode </w:t>
      </w:r>
      <w:r>
        <w:rPr>
          <w:i/>
        </w:rPr>
        <w:t>character values of the run content, but does not explain precisely how this is done.</w:t>
      </w:r>
    </w:p>
    <w:p w:rsidR="00024C0A" w:rsidRDefault="00694C0F">
      <w:r>
        <w:lastRenderedPageBreak/>
        <w:t>Word determines the use of each of these fonts from the Unicode character values in the following manner:</w:t>
      </w:r>
    </w:p>
    <w:p w:rsidR="00024C0A" w:rsidRDefault="00694C0F">
      <w:pPr>
        <w:pStyle w:val="ListParagraph"/>
        <w:numPr>
          <w:ilvl w:val="0"/>
          <w:numId w:val="54"/>
        </w:numPr>
        <w:contextualSpacing/>
      </w:pPr>
      <w:r>
        <w:t xml:space="preserve">If the run has the </w:t>
      </w:r>
      <w:r>
        <w:rPr>
          <w:b/>
        </w:rPr>
        <w:t>cs</w:t>
      </w:r>
      <w:r>
        <w:t xml:space="preserve"> element ("</w:t>
      </w:r>
      <w:hyperlink r:id="rId75">
        <w:r>
          <w:rPr>
            <w:rStyle w:val="Hyperlink"/>
          </w:rPr>
          <w:t>[ISO/IEC-29500-1]</w:t>
        </w:r>
      </w:hyperlink>
      <w:r>
        <w:t xml:space="preserve"> §17.3.2.7; cs")</w:t>
      </w:r>
      <w:r>
        <w:rPr>
          <w:i/>
        </w:rPr>
        <w:t xml:space="preserve"> </w:t>
      </w:r>
      <w:r>
        <w:t xml:space="preserve">or the </w:t>
      </w:r>
      <w:r>
        <w:rPr>
          <w:b/>
        </w:rPr>
        <w:t>rtl</w:t>
      </w:r>
      <w:r>
        <w:t xml:space="preserve"> element ("[ISO/IEC-29500-1] §17.3.2.30; rtl"), then the </w:t>
      </w:r>
      <w:r>
        <w:rPr>
          <w:b/>
        </w:rPr>
        <w:t>cs</w:t>
      </w:r>
      <w:r>
        <w:t xml:space="preserve"> (or </w:t>
      </w:r>
      <w:r>
        <w:rPr>
          <w:b/>
        </w:rPr>
        <w:t>cstheme</w:t>
      </w:r>
      <w:r>
        <w:t xml:space="preserve"> if defined) font is used, regardless of the Unicode character values of the </w:t>
      </w:r>
      <w:r>
        <w:t>run’s content.</w:t>
      </w:r>
    </w:p>
    <w:p w:rsidR="00024C0A" w:rsidRDefault="00694C0F">
      <w:pPr>
        <w:pStyle w:val="ListParagraph"/>
        <w:numPr>
          <w:ilvl w:val="0"/>
          <w:numId w:val="54"/>
        </w:numPr>
        <w:contextualSpacing/>
      </w:pPr>
      <w:r>
        <w:t xml:space="preserve">If the </w:t>
      </w:r>
      <w:r>
        <w:rPr>
          <w:b/>
        </w:rPr>
        <w:t>eastAsia</w:t>
      </w:r>
      <w:r>
        <w:t xml:space="preserve"> (or </w:t>
      </w:r>
      <w:r>
        <w:rPr>
          <w:b/>
        </w:rPr>
        <w:t>eastAsiaTheme</w:t>
      </w:r>
      <w:r>
        <w:t xml:space="preserve"> if defined) attribute’s value is “Times New Roman” and the </w:t>
      </w:r>
      <w:r>
        <w:rPr>
          <w:b/>
        </w:rPr>
        <w:t>ascii</w:t>
      </w:r>
      <w:r>
        <w:t xml:space="preserve"> (or </w:t>
      </w:r>
      <w:r>
        <w:rPr>
          <w:b/>
        </w:rPr>
        <w:t>asciiTheme</w:t>
      </w:r>
      <w:r>
        <w:t xml:space="preserve"> if defined) and </w:t>
      </w:r>
      <w:r>
        <w:rPr>
          <w:b/>
        </w:rPr>
        <w:t>hAnsi</w:t>
      </w:r>
      <w:r>
        <w:t xml:space="preserve"> (or </w:t>
      </w:r>
      <w:r>
        <w:rPr>
          <w:b/>
        </w:rPr>
        <w:t>hAnsiTheme</w:t>
      </w:r>
      <w:r>
        <w:t xml:space="preserve"> if defined) attributes are equal, then the </w:t>
      </w:r>
      <w:r>
        <w:rPr>
          <w:b/>
        </w:rPr>
        <w:t>ascii</w:t>
      </w:r>
      <w:r>
        <w:t xml:space="preserve"> (or </w:t>
      </w:r>
      <w:r>
        <w:rPr>
          <w:b/>
        </w:rPr>
        <w:t>asciiTheme</w:t>
      </w:r>
      <w:r>
        <w:t xml:space="preserve"> if defined) font is used.</w:t>
      </w:r>
    </w:p>
    <w:p w:rsidR="00024C0A" w:rsidRDefault="00694C0F">
      <w:pPr>
        <w:pStyle w:val="ListParagraph"/>
        <w:numPr>
          <w:ilvl w:val="0"/>
          <w:numId w:val="54"/>
        </w:numPr>
      </w:pPr>
      <w:r>
        <w:t xml:space="preserve">Otherwise, the following table is used. For all ranges not listed in the following table, the </w:t>
      </w:r>
      <w:r>
        <w:rPr>
          <w:b/>
        </w:rPr>
        <w:t>hAnsi</w:t>
      </w:r>
      <w:r>
        <w:t xml:space="preserve"> (or </w:t>
      </w:r>
      <w:r>
        <w:rPr>
          <w:b/>
        </w:rPr>
        <w:t>hAnsiTheme</w:t>
      </w:r>
      <w:r>
        <w:t xml:space="preserve"> if defined) font shall be used.</w:t>
      </w:r>
    </w:p>
    <w:tbl>
      <w:tblPr>
        <w:tblStyle w:val="Table-ShadedHeader"/>
        <w:tblW w:w="0" w:type="auto"/>
        <w:tblInd w:w="540" w:type="dxa"/>
        <w:tblLook w:val="04A0" w:firstRow="1" w:lastRow="0" w:firstColumn="1" w:lastColumn="0" w:noHBand="0" w:noVBand="1"/>
      </w:tblPr>
      <w:tblGrid>
        <w:gridCol w:w="2098"/>
        <w:gridCol w:w="911"/>
        <w:gridCol w:w="604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Unicode Block</w:t>
            </w:r>
          </w:p>
        </w:tc>
        <w:tc>
          <w:tcPr>
            <w:tcW w:w="0" w:type="auto"/>
            <w:vAlign w:val="center"/>
          </w:tcPr>
          <w:p w:rsidR="00024C0A" w:rsidRDefault="00694C0F">
            <w:pPr>
              <w:pStyle w:val="TableHeaderText"/>
            </w:pPr>
            <w:r>
              <w:t>Range</w:t>
            </w:r>
          </w:p>
        </w:tc>
        <w:tc>
          <w:tcPr>
            <w:tcW w:w="0" w:type="auto"/>
            <w:vAlign w:val="center"/>
          </w:tcPr>
          <w:p w:rsidR="00024C0A" w:rsidRDefault="00694C0F">
            <w:pPr>
              <w:pStyle w:val="TableHeaderText"/>
            </w:pPr>
            <w:r>
              <w:t>Classification</w:t>
            </w:r>
          </w:p>
        </w:tc>
      </w:tr>
      <w:tr w:rsidR="00024C0A" w:rsidTr="00024C0A">
        <w:tc>
          <w:tcPr>
            <w:tcW w:w="0" w:type="auto"/>
            <w:vAlign w:val="center"/>
          </w:tcPr>
          <w:p w:rsidR="00024C0A" w:rsidRDefault="00694C0F">
            <w:pPr>
              <w:pStyle w:val="TableBodyText"/>
            </w:pPr>
            <w:r>
              <w:rPr>
                <w:b/>
              </w:rPr>
              <w:t>Basic Latin</w:t>
            </w:r>
          </w:p>
        </w:tc>
        <w:tc>
          <w:tcPr>
            <w:tcW w:w="0" w:type="auto"/>
            <w:vAlign w:val="center"/>
          </w:tcPr>
          <w:p w:rsidR="00024C0A" w:rsidRDefault="00694C0F">
            <w:pPr>
              <w:pStyle w:val="TableBodyText"/>
            </w:pPr>
            <w:r>
              <w:t>0000 – 007F</w:t>
            </w:r>
          </w:p>
        </w:tc>
        <w:tc>
          <w:tcPr>
            <w:tcW w:w="0" w:type="auto"/>
            <w:vAlign w:val="center"/>
          </w:tcPr>
          <w:p w:rsidR="00024C0A" w:rsidRDefault="00694C0F">
            <w:pPr>
              <w:pStyle w:val="TableBodyText"/>
            </w:pPr>
            <w:r>
              <w:rPr>
                <w:b/>
              </w:rPr>
              <w:t>ascii</w:t>
            </w:r>
            <w:r>
              <w:t xml:space="preserve"> (or </w:t>
            </w:r>
            <w:r>
              <w:rPr>
                <w:b/>
              </w:rPr>
              <w:t>asciiTheme</w:t>
            </w:r>
            <w:r>
              <w:t xml:space="preserve"> if defined)</w:t>
            </w:r>
          </w:p>
        </w:tc>
      </w:tr>
      <w:tr w:rsidR="00024C0A" w:rsidTr="00024C0A">
        <w:tc>
          <w:tcPr>
            <w:tcW w:w="0" w:type="auto"/>
            <w:vAlign w:val="center"/>
          </w:tcPr>
          <w:p w:rsidR="00024C0A" w:rsidRDefault="00694C0F">
            <w:pPr>
              <w:pStyle w:val="TableBodyText"/>
            </w:pPr>
            <w:r>
              <w:rPr>
                <w:b/>
              </w:rPr>
              <w:t>Latin-1 Supplem</w:t>
            </w:r>
            <w:r>
              <w:rPr>
                <w:b/>
              </w:rPr>
              <w:t>ent</w:t>
            </w:r>
          </w:p>
        </w:tc>
        <w:tc>
          <w:tcPr>
            <w:tcW w:w="0" w:type="auto"/>
            <w:vAlign w:val="center"/>
          </w:tcPr>
          <w:p w:rsidR="00024C0A" w:rsidRDefault="00694C0F">
            <w:pPr>
              <w:pStyle w:val="TableBodyText"/>
            </w:pPr>
            <w:r>
              <w:t>00A0 – 00FF</w:t>
            </w:r>
          </w:p>
        </w:tc>
        <w:tc>
          <w:tcPr>
            <w:tcW w:w="0" w:type="auto"/>
            <w:vAlign w:val="center"/>
          </w:tcPr>
          <w:p w:rsidR="00024C0A" w:rsidRDefault="00694C0F">
            <w:pPr>
              <w:pStyle w:val="TableBodyText"/>
            </w:pPr>
            <w:r>
              <w:rPr>
                <w:b/>
              </w:rPr>
              <w:t>hAnsi</w:t>
            </w:r>
            <w:r>
              <w:t xml:space="preserve"> (or </w:t>
            </w:r>
            <w:r>
              <w:rPr>
                <w:b/>
              </w:rPr>
              <w:t>hAnsiTheme</w:t>
            </w:r>
            <w:r>
              <w:t xml:space="preserve"> if defined), with the following exceptions:</w:t>
            </w:r>
          </w:p>
          <w:p w:rsidR="00024C0A" w:rsidRDefault="00694C0F">
            <w:pPr>
              <w:pStyle w:val="TableBodyText"/>
            </w:pPr>
            <w:r>
              <w:t xml:space="preserve">If </w:t>
            </w:r>
            <w:r>
              <w:rPr>
                <w:b/>
              </w:rPr>
              <w:t>hint</w:t>
            </w:r>
            <w:r>
              <w:t xml:space="preserve"> is </w:t>
            </w:r>
            <w:r>
              <w:rPr>
                <w:i/>
              </w:rPr>
              <w:t>eastAsia</w:t>
            </w:r>
            <w:r>
              <w:t xml:space="preserve">, the following characters use </w:t>
            </w:r>
            <w:r>
              <w:rPr>
                <w:b/>
              </w:rPr>
              <w:t>eastAsia</w:t>
            </w:r>
            <w:r>
              <w:rPr>
                <w:i/>
              </w:rPr>
              <w:t xml:space="preserve"> </w:t>
            </w:r>
            <w:r>
              <w:t xml:space="preserve">(or </w:t>
            </w:r>
            <w:r>
              <w:rPr>
                <w:b/>
              </w:rPr>
              <w:t>eastAsiaTheme</w:t>
            </w:r>
            <w:r>
              <w:t xml:space="preserve"> if defined): A1, A4, A7 – A8, AA, AD, AF, B0 – B4, B6 – BA, BC – BF, D7, F7</w:t>
            </w:r>
          </w:p>
          <w:p w:rsidR="00024C0A" w:rsidRDefault="00694C0F">
            <w:pPr>
              <w:pStyle w:val="TableBodyText"/>
            </w:pPr>
            <w:r>
              <w:t xml:space="preserve">If </w:t>
            </w:r>
            <w:r>
              <w:rPr>
                <w:b/>
              </w:rPr>
              <w:t>hint</w:t>
            </w:r>
            <w:r>
              <w:t xml:space="preserve"> is </w:t>
            </w:r>
            <w:r>
              <w:rPr>
                <w:i/>
              </w:rPr>
              <w:t>eastAsia</w:t>
            </w:r>
            <w:r>
              <w:t xml:space="preserve"> and the language of the run is either Chinese Traditional or Chinese Simplified, the following characters use </w:t>
            </w:r>
            <w:r>
              <w:rPr>
                <w:b/>
              </w:rPr>
              <w:t>eastAsia</w:t>
            </w:r>
            <w:r>
              <w:rPr>
                <w:i/>
              </w:rPr>
              <w:t xml:space="preserve"> </w:t>
            </w:r>
            <w:r>
              <w:t xml:space="preserve">(or </w:t>
            </w:r>
            <w:r>
              <w:rPr>
                <w:b/>
              </w:rPr>
              <w:t>eastAsiaTheme</w:t>
            </w:r>
            <w:r>
              <w:t xml:space="preserve"> if defined): E0 – E1, E8 – EA, EC – ED, F2 – F3, F9 – FA, FC</w:t>
            </w:r>
          </w:p>
        </w:tc>
      </w:tr>
      <w:tr w:rsidR="00024C0A" w:rsidTr="00024C0A">
        <w:tc>
          <w:tcPr>
            <w:tcW w:w="0" w:type="auto"/>
            <w:vAlign w:val="center"/>
          </w:tcPr>
          <w:p w:rsidR="00024C0A" w:rsidRDefault="00694C0F">
            <w:pPr>
              <w:pStyle w:val="TableBodyText"/>
            </w:pPr>
            <w:r>
              <w:rPr>
                <w:b/>
              </w:rPr>
              <w:t>Latin Extended-A</w:t>
            </w:r>
          </w:p>
        </w:tc>
        <w:tc>
          <w:tcPr>
            <w:tcW w:w="0" w:type="auto"/>
            <w:vAlign w:val="center"/>
          </w:tcPr>
          <w:p w:rsidR="00024C0A" w:rsidRDefault="00694C0F">
            <w:pPr>
              <w:pStyle w:val="TableBodyText"/>
            </w:pPr>
            <w:r>
              <w:t>0100 – 017F</w:t>
            </w:r>
          </w:p>
        </w:tc>
        <w:tc>
          <w:tcPr>
            <w:tcW w:w="0" w:type="auto"/>
            <w:vAlign w:val="center"/>
          </w:tcPr>
          <w:p w:rsidR="00024C0A" w:rsidRDefault="00694C0F">
            <w:pPr>
              <w:pStyle w:val="TableBodyText"/>
            </w:pPr>
            <w:r>
              <w:rPr>
                <w:b/>
              </w:rPr>
              <w:t>hAnsi</w:t>
            </w:r>
            <w:r>
              <w:t xml:space="preserve"> (or </w:t>
            </w:r>
            <w:r>
              <w:rPr>
                <w:b/>
              </w:rPr>
              <w:t>hAnsiTheme</w:t>
            </w:r>
            <w:r>
              <w:t xml:space="preserve"> if defined), with the following exception:</w:t>
            </w:r>
          </w:p>
          <w:p w:rsidR="00024C0A" w:rsidRDefault="00694C0F">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 xml:space="preserve">eastAsia </w:t>
            </w:r>
            <w:r>
              <w:t>(o</w:t>
            </w:r>
            <w:r>
              <w:t xml:space="preserve">r </w:t>
            </w:r>
            <w:r>
              <w:rPr>
                <w:b/>
              </w:rPr>
              <w:t>eastAsiaTheme</w:t>
            </w:r>
            <w:r>
              <w:t xml:space="preserve"> if defined)</w:t>
            </w:r>
            <w:r>
              <w:rPr>
                <w:i/>
              </w:rPr>
              <w:t xml:space="preserve"> </w:t>
            </w:r>
            <w:r>
              <w:t>font is used.</w:t>
            </w:r>
          </w:p>
        </w:tc>
      </w:tr>
      <w:tr w:rsidR="00024C0A" w:rsidTr="00024C0A">
        <w:tc>
          <w:tcPr>
            <w:tcW w:w="0" w:type="auto"/>
            <w:vAlign w:val="center"/>
          </w:tcPr>
          <w:p w:rsidR="00024C0A" w:rsidRDefault="00694C0F">
            <w:pPr>
              <w:pStyle w:val="TableBodyText"/>
            </w:pPr>
            <w:r>
              <w:rPr>
                <w:b/>
              </w:rPr>
              <w:t>Latin Extended-B</w:t>
            </w:r>
          </w:p>
        </w:tc>
        <w:tc>
          <w:tcPr>
            <w:tcW w:w="0" w:type="auto"/>
            <w:vAlign w:val="center"/>
          </w:tcPr>
          <w:p w:rsidR="00024C0A" w:rsidRDefault="00694C0F">
            <w:pPr>
              <w:pStyle w:val="TableBodyText"/>
            </w:pPr>
            <w:r>
              <w:t>0180 – 024F</w:t>
            </w:r>
          </w:p>
        </w:tc>
        <w:tc>
          <w:tcPr>
            <w:tcW w:w="0" w:type="auto"/>
            <w:vAlign w:val="center"/>
          </w:tcPr>
          <w:p w:rsidR="00024C0A" w:rsidRDefault="00694C0F">
            <w:pPr>
              <w:pStyle w:val="TableBodyText"/>
            </w:pPr>
            <w:r>
              <w:rPr>
                <w:b/>
              </w:rPr>
              <w:t>hAnsi</w:t>
            </w:r>
            <w:r>
              <w:t xml:space="preserve"> (or </w:t>
            </w:r>
            <w:r>
              <w:rPr>
                <w:b/>
              </w:rPr>
              <w:t>hAnsiTheme</w:t>
            </w:r>
            <w:r>
              <w:t xml:space="preserve"> if defined), with the following exception:</w:t>
            </w:r>
          </w:p>
          <w:p w:rsidR="00024C0A" w:rsidRDefault="00694C0F">
            <w:pPr>
              <w:pStyle w:val="TableBodyText"/>
            </w:pPr>
            <w:r>
              <w:t xml:space="preserve">If </w:t>
            </w:r>
            <w:r>
              <w:rPr>
                <w:b/>
              </w:rPr>
              <w:t>hint</w:t>
            </w:r>
            <w:r>
              <w:t xml:space="preserve"> is </w:t>
            </w:r>
            <w:r>
              <w:rPr>
                <w:i/>
              </w:rPr>
              <w:t>eastAsia</w:t>
            </w:r>
            <w:r>
              <w:t>, and the language of the run is either Chinese Traditional or Chinese Simplified, or the character s</w:t>
            </w:r>
            <w:r>
              <w:t xml:space="preserve">et of the </w:t>
            </w:r>
            <w:r>
              <w:rPr>
                <w:b/>
              </w:rPr>
              <w:t>eastAsia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w:t>
            </w:r>
            <w:r>
              <w:rPr>
                <w:i/>
              </w:rPr>
              <w:t xml:space="preserve"> </w:t>
            </w:r>
            <w:r>
              <w:t>font is used.</w:t>
            </w:r>
          </w:p>
        </w:tc>
      </w:tr>
      <w:tr w:rsidR="00024C0A" w:rsidTr="00024C0A">
        <w:tc>
          <w:tcPr>
            <w:tcW w:w="0" w:type="auto"/>
            <w:vAlign w:val="center"/>
          </w:tcPr>
          <w:p w:rsidR="00024C0A" w:rsidRDefault="00694C0F">
            <w:pPr>
              <w:pStyle w:val="TableBodyText"/>
            </w:pPr>
            <w:r>
              <w:rPr>
                <w:b/>
              </w:rPr>
              <w:t>IPA Extensions</w:t>
            </w:r>
          </w:p>
        </w:tc>
        <w:tc>
          <w:tcPr>
            <w:tcW w:w="0" w:type="auto"/>
            <w:vAlign w:val="center"/>
          </w:tcPr>
          <w:p w:rsidR="00024C0A" w:rsidRDefault="00694C0F">
            <w:pPr>
              <w:pStyle w:val="TableBodyText"/>
            </w:pPr>
            <w:r>
              <w:t>0250 – 02AF</w:t>
            </w:r>
          </w:p>
        </w:tc>
        <w:tc>
          <w:tcPr>
            <w:tcW w:w="0" w:type="auto"/>
            <w:vAlign w:val="center"/>
          </w:tcPr>
          <w:p w:rsidR="00024C0A" w:rsidRDefault="00694C0F">
            <w:pPr>
              <w:pStyle w:val="TableBodyText"/>
            </w:pPr>
            <w:r>
              <w:rPr>
                <w:b/>
              </w:rPr>
              <w:t>hAnsi</w:t>
            </w:r>
            <w:r>
              <w:t xml:space="preserve"> (or </w:t>
            </w:r>
            <w:r>
              <w:rPr>
                <w:b/>
              </w:rPr>
              <w:t>hAnsiTheme</w:t>
            </w:r>
            <w:r>
              <w:t xml:space="preserve"> if defined), with the following exception:</w:t>
            </w:r>
          </w:p>
          <w:p w:rsidR="00024C0A" w:rsidRDefault="00694C0F">
            <w:pPr>
              <w:pStyle w:val="TableBodyText"/>
            </w:pPr>
            <w:r>
              <w:t xml:space="preserve">If </w:t>
            </w:r>
            <w:r>
              <w:rPr>
                <w:b/>
              </w:rPr>
              <w:t>hint</w:t>
            </w:r>
            <w:r>
              <w:t xml:space="preserve"> is </w:t>
            </w:r>
            <w:r>
              <w:rPr>
                <w:i/>
              </w:rPr>
              <w:t>eastAsia</w:t>
            </w:r>
            <w:r>
              <w:t>, and the l</w:t>
            </w:r>
            <w:r>
              <w:t xml:space="preserve">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 font is used.</w:t>
            </w:r>
          </w:p>
        </w:tc>
      </w:tr>
      <w:tr w:rsidR="00024C0A" w:rsidTr="00024C0A">
        <w:tc>
          <w:tcPr>
            <w:tcW w:w="0" w:type="auto"/>
            <w:vAlign w:val="center"/>
          </w:tcPr>
          <w:p w:rsidR="00024C0A" w:rsidRDefault="00694C0F">
            <w:pPr>
              <w:pStyle w:val="TableBodyText"/>
            </w:pPr>
            <w:r>
              <w:rPr>
                <w:b/>
              </w:rPr>
              <w:t>Spacing Modifier Letters</w:t>
            </w:r>
          </w:p>
        </w:tc>
        <w:tc>
          <w:tcPr>
            <w:tcW w:w="0" w:type="auto"/>
            <w:vAlign w:val="center"/>
          </w:tcPr>
          <w:p w:rsidR="00024C0A" w:rsidRDefault="00694C0F">
            <w:pPr>
              <w:pStyle w:val="TableBodyText"/>
            </w:pPr>
            <w:r>
              <w:t>02B0 –</w:t>
            </w:r>
            <w:r>
              <w:t xml:space="preserve"> 02FF</w:t>
            </w:r>
          </w:p>
        </w:tc>
        <w:tc>
          <w:tcPr>
            <w:tcW w:w="0" w:type="auto"/>
            <w:vAlign w:val="center"/>
          </w:tcPr>
          <w:p w:rsidR="00024C0A" w:rsidRDefault="00694C0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24C0A" w:rsidTr="00024C0A">
        <w:tc>
          <w:tcPr>
            <w:tcW w:w="0" w:type="auto"/>
            <w:vAlign w:val="center"/>
          </w:tcPr>
          <w:p w:rsidR="00024C0A" w:rsidRDefault="00694C0F">
            <w:pPr>
              <w:pStyle w:val="TableBodyText"/>
            </w:pPr>
            <w:r>
              <w:rPr>
                <w:b/>
              </w:rPr>
              <w:t>Combining Diacritical Marks</w:t>
            </w:r>
          </w:p>
        </w:tc>
        <w:tc>
          <w:tcPr>
            <w:tcW w:w="0" w:type="auto"/>
            <w:vAlign w:val="center"/>
          </w:tcPr>
          <w:p w:rsidR="00024C0A" w:rsidRDefault="00694C0F">
            <w:pPr>
              <w:pStyle w:val="TableBodyText"/>
            </w:pPr>
            <w:r>
              <w:t>0300 – 036F</w:t>
            </w:r>
          </w:p>
        </w:tc>
        <w:tc>
          <w:tcPr>
            <w:tcW w:w="0" w:type="auto"/>
            <w:vAlign w:val="center"/>
          </w:tcPr>
          <w:p w:rsidR="00024C0A" w:rsidRDefault="00694C0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24C0A" w:rsidTr="00024C0A">
        <w:tc>
          <w:tcPr>
            <w:tcW w:w="0" w:type="auto"/>
            <w:vAlign w:val="center"/>
          </w:tcPr>
          <w:p w:rsidR="00024C0A" w:rsidRDefault="00694C0F">
            <w:pPr>
              <w:pStyle w:val="TableBodyText"/>
            </w:pPr>
            <w:r>
              <w:rPr>
                <w:b/>
              </w:rPr>
              <w:t>Greek</w:t>
            </w:r>
          </w:p>
        </w:tc>
        <w:tc>
          <w:tcPr>
            <w:tcW w:w="0" w:type="auto"/>
            <w:vAlign w:val="center"/>
          </w:tcPr>
          <w:p w:rsidR="00024C0A" w:rsidRDefault="00694C0F">
            <w:pPr>
              <w:pStyle w:val="TableBodyText"/>
            </w:pPr>
            <w:r>
              <w:t>0370 – 03CF</w:t>
            </w:r>
          </w:p>
        </w:tc>
        <w:tc>
          <w:tcPr>
            <w:tcW w:w="0" w:type="auto"/>
            <w:vAlign w:val="center"/>
          </w:tcPr>
          <w:p w:rsidR="00024C0A" w:rsidRDefault="00694C0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24C0A" w:rsidTr="00024C0A">
        <w:tc>
          <w:tcPr>
            <w:tcW w:w="0" w:type="auto"/>
            <w:vAlign w:val="center"/>
          </w:tcPr>
          <w:p w:rsidR="00024C0A" w:rsidRDefault="00694C0F">
            <w:pPr>
              <w:pStyle w:val="TableBodyText"/>
            </w:pPr>
            <w:r>
              <w:rPr>
                <w:b/>
              </w:rPr>
              <w:t>Cyrillic</w:t>
            </w:r>
          </w:p>
        </w:tc>
        <w:tc>
          <w:tcPr>
            <w:tcW w:w="0" w:type="auto"/>
            <w:vAlign w:val="center"/>
          </w:tcPr>
          <w:p w:rsidR="00024C0A" w:rsidRDefault="00694C0F">
            <w:pPr>
              <w:pStyle w:val="TableBodyText"/>
            </w:pPr>
            <w:r>
              <w:t>0400 – 04FF</w:t>
            </w:r>
          </w:p>
        </w:tc>
        <w:tc>
          <w:tcPr>
            <w:tcW w:w="0" w:type="auto"/>
            <w:vAlign w:val="center"/>
          </w:tcPr>
          <w:p w:rsidR="00024C0A" w:rsidRDefault="00694C0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24C0A" w:rsidTr="00024C0A">
        <w:tc>
          <w:tcPr>
            <w:tcW w:w="0" w:type="auto"/>
            <w:vAlign w:val="center"/>
          </w:tcPr>
          <w:p w:rsidR="00024C0A" w:rsidRDefault="00694C0F">
            <w:pPr>
              <w:pStyle w:val="TableBodyText"/>
            </w:pPr>
            <w:r>
              <w:rPr>
                <w:b/>
              </w:rPr>
              <w:t>Hebrew</w:t>
            </w:r>
          </w:p>
        </w:tc>
        <w:tc>
          <w:tcPr>
            <w:tcW w:w="0" w:type="auto"/>
            <w:vAlign w:val="center"/>
          </w:tcPr>
          <w:p w:rsidR="00024C0A" w:rsidRDefault="00694C0F">
            <w:pPr>
              <w:pStyle w:val="TableBodyText"/>
            </w:pPr>
            <w:r>
              <w:t>0590 – 05FF</w:t>
            </w:r>
          </w:p>
        </w:tc>
        <w:tc>
          <w:tcPr>
            <w:tcW w:w="0" w:type="auto"/>
            <w:vAlign w:val="center"/>
          </w:tcPr>
          <w:p w:rsidR="00024C0A" w:rsidRDefault="00694C0F">
            <w:pPr>
              <w:pStyle w:val="TableBodyText"/>
            </w:pPr>
            <w:r>
              <w:rPr>
                <w:b/>
              </w:rPr>
              <w:t>ascii</w:t>
            </w:r>
            <w:r>
              <w:t xml:space="preserve"> (or </w:t>
            </w:r>
            <w:r>
              <w:rPr>
                <w:b/>
              </w:rPr>
              <w:t>asciiTheme</w:t>
            </w:r>
            <w:r>
              <w:t xml:space="preserve"> if defined)</w:t>
            </w:r>
          </w:p>
        </w:tc>
      </w:tr>
      <w:tr w:rsidR="00024C0A" w:rsidTr="00024C0A">
        <w:tc>
          <w:tcPr>
            <w:tcW w:w="0" w:type="auto"/>
            <w:vAlign w:val="center"/>
          </w:tcPr>
          <w:p w:rsidR="00024C0A" w:rsidRDefault="00694C0F">
            <w:pPr>
              <w:pStyle w:val="TableBodyText"/>
            </w:pPr>
            <w:r>
              <w:rPr>
                <w:b/>
              </w:rPr>
              <w:t>Arabic</w:t>
            </w:r>
          </w:p>
        </w:tc>
        <w:tc>
          <w:tcPr>
            <w:tcW w:w="0" w:type="auto"/>
            <w:vAlign w:val="center"/>
          </w:tcPr>
          <w:p w:rsidR="00024C0A" w:rsidRDefault="00694C0F">
            <w:pPr>
              <w:pStyle w:val="TableBodyText"/>
            </w:pPr>
            <w:r>
              <w:t>0600 – 06FF</w:t>
            </w:r>
          </w:p>
        </w:tc>
        <w:tc>
          <w:tcPr>
            <w:tcW w:w="0" w:type="auto"/>
            <w:vAlign w:val="center"/>
          </w:tcPr>
          <w:p w:rsidR="00024C0A" w:rsidRDefault="00694C0F">
            <w:pPr>
              <w:pStyle w:val="TableBodyText"/>
            </w:pPr>
            <w:r>
              <w:rPr>
                <w:b/>
              </w:rPr>
              <w:t>ascii</w:t>
            </w:r>
            <w:r>
              <w:t xml:space="preserve"> (or </w:t>
            </w:r>
            <w:r>
              <w:rPr>
                <w:b/>
              </w:rPr>
              <w:t>asciiTheme</w:t>
            </w:r>
            <w:r>
              <w:t xml:space="preserve"> if defined)</w:t>
            </w:r>
          </w:p>
        </w:tc>
      </w:tr>
      <w:tr w:rsidR="00024C0A" w:rsidTr="00024C0A">
        <w:tc>
          <w:tcPr>
            <w:tcW w:w="0" w:type="auto"/>
            <w:vAlign w:val="center"/>
          </w:tcPr>
          <w:p w:rsidR="00024C0A" w:rsidRDefault="00694C0F">
            <w:pPr>
              <w:pStyle w:val="TableBodyText"/>
            </w:pPr>
            <w:r>
              <w:rPr>
                <w:b/>
              </w:rPr>
              <w:lastRenderedPageBreak/>
              <w:t>Sy</w:t>
            </w:r>
            <w:r>
              <w:rPr>
                <w:b/>
              </w:rPr>
              <w:t>riac</w:t>
            </w:r>
          </w:p>
        </w:tc>
        <w:tc>
          <w:tcPr>
            <w:tcW w:w="0" w:type="auto"/>
            <w:vAlign w:val="center"/>
          </w:tcPr>
          <w:p w:rsidR="00024C0A" w:rsidRDefault="00694C0F">
            <w:pPr>
              <w:pStyle w:val="TableBodyText"/>
            </w:pPr>
            <w:r>
              <w:t>0700 – 074F</w:t>
            </w:r>
          </w:p>
        </w:tc>
        <w:tc>
          <w:tcPr>
            <w:tcW w:w="0" w:type="auto"/>
            <w:vAlign w:val="center"/>
          </w:tcPr>
          <w:p w:rsidR="00024C0A" w:rsidRDefault="00694C0F">
            <w:pPr>
              <w:pStyle w:val="TableBodyText"/>
            </w:pPr>
            <w:r>
              <w:rPr>
                <w:b/>
              </w:rPr>
              <w:t>ascii</w:t>
            </w:r>
            <w:r>
              <w:t xml:space="preserve"> (or </w:t>
            </w:r>
            <w:r>
              <w:rPr>
                <w:b/>
              </w:rPr>
              <w:t>asciiTheme</w:t>
            </w:r>
            <w:r>
              <w:t xml:space="preserve"> if defined)</w:t>
            </w:r>
          </w:p>
        </w:tc>
      </w:tr>
      <w:tr w:rsidR="00024C0A" w:rsidTr="00024C0A">
        <w:tc>
          <w:tcPr>
            <w:tcW w:w="0" w:type="auto"/>
            <w:vAlign w:val="center"/>
          </w:tcPr>
          <w:p w:rsidR="00024C0A" w:rsidRDefault="00694C0F">
            <w:pPr>
              <w:pStyle w:val="TableBodyText"/>
            </w:pPr>
            <w:r>
              <w:rPr>
                <w:b/>
              </w:rPr>
              <w:t>Arabic Supplement</w:t>
            </w:r>
          </w:p>
        </w:tc>
        <w:tc>
          <w:tcPr>
            <w:tcW w:w="0" w:type="auto"/>
            <w:vAlign w:val="center"/>
          </w:tcPr>
          <w:p w:rsidR="00024C0A" w:rsidRDefault="00694C0F">
            <w:pPr>
              <w:pStyle w:val="TableBodyText"/>
            </w:pPr>
            <w:r>
              <w:t>0750 – 077F</w:t>
            </w:r>
          </w:p>
        </w:tc>
        <w:tc>
          <w:tcPr>
            <w:tcW w:w="0" w:type="auto"/>
            <w:vAlign w:val="center"/>
          </w:tcPr>
          <w:p w:rsidR="00024C0A" w:rsidRDefault="00694C0F">
            <w:pPr>
              <w:pStyle w:val="TableBodyText"/>
            </w:pPr>
            <w:r>
              <w:rPr>
                <w:b/>
              </w:rPr>
              <w:t>ascii</w:t>
            </w:r>
            <w:r>
              <w:t xml:space="preserve"> (or </w:t>
            </w:r>
            <w:r>
              <w:rPr>
                <w:b/>
              </w:rPr>
              <w:t>asciiTheme</w:t>
            </w:r>
            <w:r>
              <w:t xml:space="preserve"> if defined)</w:t>
            </w:r>
          </w:p>
        </w:tc>
      </w:tr>
      <w:tr w:rsidR="00024C0A" w:rsidTr="00024C0A">
        <w:tc>
          <w:tcPr>
            <w:tcW w:w="0" w:type="auto"/>
            <w:vAlign w:val="center"/>
          </w:tcPr>
          <w:p w:rsidR="00024C0A" w:rsidRDefault="00694C0F">
            <w:pPr>
              <w:pStyle w:val="TableBodyText"/>
            </w:pPr>
            <w:r>
              <w:rPr>
                <w:b/>
              </w:rPr>
              <w:t>Thaana</w:t>
            </w:r>
          </w:p>
        </w:tc>
        <w:tc>
          <w:tcPr>
            <w:tcW w:w="0" w:type="auto"/>
            <w:vAlign w:val="center"/>
          </w:tcPr>
          <w:p w:rsidR="00024C0A" w:rsidRDefault="00694C0F">
            <w:pPr>
              <w:pStyle w:val="TableBodyText"/>
            </w:pPr>
            <w:r>
              <w:t>0780 – 07BF</w:t>
            </w:r>
          </w:p>
        </w:tc>
        <w:tc>
          <w:tcPr>
            <w:tcW w:w="0" w:type="auto"/>
            <w:vAlign w:val="center"/>
          </w:tcPr>
          <w:p w:rsidR="00024C0A" w:rsidRDefault="00694C0F">
            <w:pPr>
              <w:pStyle w:val="TableBodyText"/>
            </w:pPr>
            <w:r>
              <w:rPr>
                <w:b/>
              </w:rPr>
              <w:t>ascii</w:t>
            </w:r>
            <w:r>
              <w:t xml:space="preserve"> (or </w:t>
            </w:r>
            <w:r>
              <w:rPr>
                <w:b/>
              </w:rPr>
              <w:t>asciiTheme</w:t>
            </w:r>
            <w:r>
              <w:t xml:space="preserve"> if defined)</w:t>
            </w:r>
          </w:p>
        </w:tc>
      </w:tr>
      <w:tr w:rsidR="00024C0A" w:rsidTr="00024C0A">
        <w:tc>
          <w:tcPr>
            <w:tcW w:w="0" w:type="auto"/>
            <w:vAlign w:val="center"/>
          </w:tcPr>
          <w:p w:rsidR="00024C0A" w:rsidRDefault="00694C0F">
            <w:pPr>
              <w:pStyle w:val="TableBodyText"/>
            </w:pPr>
            <w:r>
              <w:rPr>
                <w:b/>
              </w:rPr>
              <w:t>Hangul Jamo</w:t>
            </w:r>
          </w:p>
        </w:tc>
        <w:tc>
          <w:tcPr>
            <w:tcW w:w="0" w:type="auto"/>
            <w:vAlign w:val="center"/>
          </w:tcPr>
          <w:p w:rsidR="00024C0A" w:rsidRDefault="00694C0F">
            <w:pPr>
              <w:pStyle w:val="TableBodyText"/>
            </w:pPr>
            <w:r>
              <w:t>1100 – 11FF</w:t>
            </w:r>
          </w:p>
        </w:tc>
        <w:tc>
          <w:tcPr>
            <w:tcW w:w="0" w:type="auto"/>
            <w:vAlign w:val="center"/>
          </w:tcPr>
          <w:p w:rsidR="00024C0A" w:rsidRDefault="00694C0F">
            <w:pPr>
              <w:pStyle w:val="TableBodyText"/>
            </w:pPr>
            <w:r>
              <w:rPr>
                <w:b/>
              </w:rPr>
              <w:t>eastAsia</w:t>
            </w:r>
            <w:r>
              <w:t xml:space="preserve"> (or </w:t>
            </w:r>
            <w:r>
              <w:rPr>
                <w:b/>
              </w:rPr>
              <w:t>eastAsiaTheme</w:t>
            </w:r>
            <w:r>
              <w:t xml:space="preserve"> if defined)</w:t>
            </w:r>
          </w:p>
        </w:tc>
      </w:tr>
      <w:tr w:rsidR="00024C0A" w:rsidTr="00024C0A">
        <w:tc>
          <w:tcPr>
            <w:tcW w:w="0" w:type="auto"/>
            <w:vAlign w:val="center"/>
          </w:tcPr>
          <w:p w:rsidR="00024C0A" w:rsidRDefault="00694C0F">
            <w:pPr>
              <w:pStyle w:val="TableBodyText"/>
            </w:pPr>
            <w:r>
              <w:rPr>
                <w:b/>
              </w:rPr>
              <w:t xml:space="preserve">Latin Extended </w:t>
            </w:r>
            <w:r>
              <w:rPr>
                <w:b/>
              </w:rPr>
              <w:t>Additional</w:t>
            </w:r>
          </w:p>
        </w:tc>
        <w:tc>
          <w:tcPr>
            <w:tcW w:w="0" w:type="auto"/>
            <w:vAlign w:val="center"/>
          </w:tcPr>
          <w:p w:rsidR="00024C0A" w:rsidRDefault="00694C0F">
            <w:pPr>
              <w:pStyle w:val="TableBodyText"/>
            </w:pPr>
            <w:r>
              <w:t>1E00 – 1EFF</w:t>
            </w:r>
          </w:p>
        </w:tc>
        <w:tc>
          <w:tcPr>
            <w:tcW w:w="0" w:type="auto"/>
            <w:vAlign w:val="center"/>
          </w:tcPr>
          <w:p w:rsidR="00024C0A" w:rsidRDefault="00694C0F">
            <w:pPr>
              <w:pStyle w:val="TableBodyText"/>
            </w:pPr>
            <w:r>
              <w:rPr>
                <w:b/>
              </w:rPr>
              <w:t>hAnsi</w:t>
            </w:r>
            <w:r>
              <w:t xml:space="preserve"> (or </w:t>
            </w:r>
            <w:r>
              <w:rPr>
                <w:b/>
              </w:rPr>
              <w:t>hAnsiTheme</w:t>
            </w:r>
            <w:r>
              <w:t xml:space="preserve"> if defined), with the following exception:</w:t>
            </w:r>
          </w:p>
          <w:p w:rsidR="00024C0A" w:rsidRDefault="00694C0F">
            <w:pPr>
              <w:pStyle w:val="TableBodyText"/>
            </w:pPr>
            <w:r>
              <w:t xml:space="preserve">If the </w:t>
            </w:r>
            <w:r>
              <w:rPr>
                <w:b/>
              </w:rPr>
              <w:t>hint</w:t>
            </w:r>
            <w:r>
              <w:t xml:space="preserve"> is </w:t>
            </w:r>
            <w:r>
              <w:rPr>
                <w:i/>
              </w:rPr>
              <w:t>eastAsia</w:t>
            </w:r>
            <w:r>
              <w:t xml:space="preserve"> and the language of the run is Chinese Traditional or Chinese Simplified then </w:t>
            </w:r>
            <w:r>
              <w:rPr>
                <w:b/>
              </w:rPr>
              <w:t>eastAsia</w:t>
            </w:r>
            <w:r>
              <w:t xml:space="preserve"> (or </w:t>
            </w:r>
            <w:r>
              <w:rPr>
                <w:b/>
              </w:rPr>
              <w:t>eastAsiaTheme</w:t>
            </w:r>
            <w:r>
              <w:t xml:space="preserve"> if defined) is used.</w:t>
            </w:r>
          </w:p>
        </w:tc>
      </w:tr>
      <w:tr w:rsidR="00024C0A" w:rsidTr="00024C0A">
        <w:tc>
          <w:tcPr>
            <w:tcW w:w="0" w:type="auto"/>
            <w:vAlign w:val="center"/>
          </w:tcPr>
          <w:p w:rsidR="00024C0A" w:rsidRDefault="00694C0F">
            <w:pPr>
              <w:pStyle w:val="TableBodyText"/>
            </w:pPr>
            <w:r>
              <w:rPr>
                <w:b/>
              </w:rPr>
              <w:t xml:space="preserve">General </w:t>
            </w:r>
            <w:r>
              <w:rPr>
                <w:b/>
              </w:rPr>
              <w:t>Punctuation</w:t>
            </w:r>
          </w:p>
        </w:tc>
        <w:tc>
          <w:tcPr>
            <w:tcW w:w="0" w:type="auto"/>
            <w:vAlign w:val="center"/>
          </w:tcPr>
          <w:p w:rsidR="00024C0A" w:rsidRDefault="00694C0F">
            <w:pPr>
              <w:pStyle w:val="TableBodyText"/>
            </w:pPr>
            <w:r>
              <w:t>2000 – 206F</w:t>
            </w:r>
          </w:p>
        </w:tc>
        <w:tc>
          <w:tcPr>
            <w:tcW w:w="0" w:type="auto"/>
            <w:vAlign w:val="center"/>
          </w:tcPr>
          <w:p w:rsidR="00024C0A" w:rsidRDefault="00694C0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24C0A" w:rsidTr="00024C0A">
        <w:tc>
          <w:tcPr>
            <w:tcW w:w="0" w:type="auto"/>
            <w:vAlign w:val="center"/>
          </w:tcPr>
          <w:p w:rsidR="00024C0A" w:rsidRDefault="00694C0F">
            <w:pPr>
              <w:pStyle w:val="TableBodyText"/>
            </w:pPr>
            <w:r>
              <w:rPr>
                <w:b/>
              </w:rPr>
              <w:t>Superscripts and Subscripts</w:t>
            </w:r>
          </w:p>
        </w:tc>
        <w:tc>
          <w:tcPr>
            <w:tcW w:w="0" w:type="auto"/>
            <w:vAlign w:val="center"/>
          </w:tcPr>
          <w:p w:rsidR="00024C0A" w:rsidRDefault="00694C0F">
            <w:pPr>
              <w:pStyle w:val="TableBodyText"/>
            </w:pPr>
            <w:r>
              <w:t>2070 – 209F</w:t>
            </w:r>
          </w:p>
        </w:tc>
        <w:tc>
          <w:tcPr>
            <w:tcW w:w="0" w:type="auto"/>
            <w:vAlign w:val="center"/>
          </w:tcPr>
          <w:p w:rsidR="00024C0A" w:rsidRDefault="00694C0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24C0A" w:rsidTr="00024C0A">
        <w:tc>
          <w:tcPr>
            <w:tcW w:w="0" w:type="auto"/>
            <w:vAlign w:val="center"/>
          </w:tcPr>
          <w:p w:rsidR="00024C0A" w:rsidRDefault="00694C0F">
            <w:pPr>
              <w:pStyle w:val="TableBodyText"/>
            </w:pPr>
            <w:r>
              <w:rPr>
                <w:b/>
              </w:rPr>
              <w:t>Currency Symbols</w:t>
            </w:r>
          </w:p>
        </w:tc>
        <w:tc>
          <w:tcPr>
            <w:tcW w:w="0" w:type="auto"/>
            <w:vAlign w:val="center"/>
          </w:tcPr>
          <w:p w:rsidR="00024C0A" w:rsidRDefault="00694C0F">
            <w:pPr>
              <w:pStyle w:val="TableBodyText"/>
            </w:pPr>
            <w:r>
              <w:t>20A0 – 20CF</w:t>
            </w:r>
          </w:p>
        </w:tc>
        <w:tc>
          <w:tcPr>
            <w:tcW w:w="0" w:type="auto"/>
            <w:vAlign w:val="center"/>
          </w:tcPr>
          <w:p w:rsidR="00024C0A" w:rsidRDefault="00694C0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24C0A" w:rsidTr="00024C0A">
        <w:tc>
          <w:tcPr>
            <w:tcW w:w="0" w:type="auto"/>
            <w:vAlign w:val="center"/>
          </w:tcPr>
          <w:p w:rsidR="00024C0A" w:rsidRDefault="00694C0F">
            <w:pPr>
              <w:pStyle w:val="TableBodyText"/>
            </w:pPr>
            <w:r>
              <w:rPr>
                <w:b/>
              </w:rPr>
              <w:t>Combining Diacritical Marks for Symbols</w:t>
            </w:r>
          </w:p>
        </w:tc>
        <w:tc>
          <w:tcPr>
            <w:tcW w:w="0" w:type="auto"/>
            <w:vAlign w:val="center"/>
          </w:tcPr>
          <w:p w:rsidR="00024C0A" w:rsidRDefault="00694C0F">
            <w:pPr>
              <w:pStyle w:val="TableBodyText"/>
            </w:pPr>
            <w:r>
              <w:t>20D0 – 20FF</w:t>
            </w:r>
          </w:p>
        </w:tc>
        <w:tc>
          <w:tcPr>
            <w:tcW w:w="0" w:type="auto"/>
            <w:vAlign w:val="center"/>
          </w:tcPr>
          <w:p w:rsidR="00024C0A" w:rsidRDefault="00694C0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24C0A" w:rsidTr="00024C0A">
        <w:tc>
          <w:tcPr>
            <w:tcW w:w="0" w:type="auto"/>
            <w:vAlign w:val="center"/>
          </w:tcPr>
          <w:p w:rsidR="00024C0A" w:rsidRDefault="00694C0F">
            <w:pPr>
              <w:pStyle w:val="TableBodyText"/>
            </w:pPr>
            <w:r>
              <w:rPr>
                <w:b/>
              </w:rPr>
              <w:t>Letter-like Symbols</w:t>
            </w:r>
          </w:p>
        </w:tc>
        <w:tc>
          <w:tcPr>
            <w:tcW w:w="0" w:type="auto"/>
            <w:vAlign w:val="center"/>
          </w:tcPr>
          <w:p w:rsidR="00024C0A" w:rsidRDefault="00694C0F">
            <w:pPr>
              <w:pStyle w:val="TableBodyText"/>
            </w:pPr>
            <w:r>
              <w:t>2100 – 214F</w:t>
            </w:r>
          </w:p>
        </w:tc>
        <w:tc>
          <w:tcPr>
            <w:tcW w:w="0" w:type="auto"/>
            <w:vAlign w:val="center"/>
          </w:tcPr>
          <w:p w:rsidR="00024C0A" w:rsidRDefault="00694C0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24C0A" w:rsidTr="00024C0A">
        <w:tc>
          <w:tcPr>
            <w:tcW w:w="0" w:type="auto"/>
            <w:vAlign w:val="center"/>
          </w:tcPr>
          <w:p w:rsidR="00024C0A" w:rsidRDefault="00694C0F">
            <w:pPr>
              <w:pStyle w:val="TableBodyText"/>
            </w:pPr>
            <w:r>
              <w:rPr>
                <w:b/>
              </w:rPr>
              <w:t>Number Forms</w:t>
            </w:r>
          </w:p>
        </w:tc>
        <w:tc>
          <w:tcPr>
            <w:tcW w:w="0" w:type="auto"/>
            <w:vAlign w:val="center"/>
          </w:tcPr>
          <w:p w:rsidR="00024C0A" w:rsidRDefault="00694C0F">
            <w:pPr>
              <w:pStyle w:val="TableBodyText"/>
            </w:pPr>
            <w:r>
              <w:t>2150 – 218F</w:t>
            </w:r>
          </w:p>
        </w:tc>
        <w:tc>
          <w:tcPr>
            <w:tcW w:w="0" w:type="auto"/>
            <w:vAlign w:val="center"/>
          </w:tcPr>
          <w:p w:rsidR="00024C0A" w:rsidRDefault="00694C0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24C0A" w:rsidTr="00024C0A">
        <w:tc>
          <w:tcPr>
            <w:tcW w:w="0" w:type="auto"/>
            <w:vAlign w:val="center"/>
          </w:tcPr>
          <w:p w:rsidR="00024C0A" w:rsidRDefault="00694C0F">
            <w:pPr>
              <w:pStyle w:val="TableBodyText"/>
            </w:pPr>
            <w:r>
              <w:rPr>
                <w:b/>
              </w:rPr>
              <w:t>Arrows</w:t>
            </w:r>
          </w:p>
        </w:tc>
        <w:tc>
          <w:tcPr>
            <w:tcW w:w="0" w:type="auto"/>
            <w:vAlign w:val="center"/>
          </w:tcPr>
          <w:p w:rsidR="00024C0A" w:rsidRDefault="00694C0F">
            <w:pPr>
              <w:pStyle w:val="TableBodyText"/>
            </w:pPr>
            <w:r>
              <w:t>2190 – 21FF</w:t>
            </w:r>
          </w:p>
        </w:tc>
        <w:tc>
          <w:tcPr>
            <w:tcW w:w="0" w:type="auto"/>
            <w:vAlign w:val="center"/>
          </w:tcPr>
          <w:p w:rsidR="00024C0A" w:rsidRDefault="00694C0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24C0A" w:rsidTr="00024C0A">
        <w:tc>
          <w:tcPr>
            <w:tcW w:w="0" w:type="auto"/>
            <w:vAlign w:val="center"/>
          </w:tcPr>
          <w:p w:rsidR="00024C0A" w:rsidRDefault="00694C0F">
            <w:pPr>
              <w:pStyle w:val="TableBodyText"/>
            </w:pPr>
            <w:r>
              <w:rPr>
                <w:b/>
              </w:rPr>
              <w:t>Mathematical Operators</w:t>
            </w:r>
          </w:p>
        </w:tc>
        <w:tc>
          <w:tcPr>
            <w:tcW w:w="0" w:type="auto"/>
            <w:vAlign w:val="center"/>
          </w:tcPr>
          <w:p w:rsidR="00024C0A" w:rsidRDefault="00694C0F">
            <w:pPr>
              <w:pStyle w:val="TableBodyText"/>
            </w:pPr>
            <w:r>
              <w:t>2200 – 22FF</w:t>
            </w:r>
          </w:p>
        </w:tc>
        <w:tc>
          <w:tcPr>
            <w:tcW w:w="0" w:type="auto"/>
            <w:vAlign w:val="center"/>
          </w:tcPr>
          <w:p w:rsidR="00024C0A" w:rsidRDefault="00694C0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24C0A" w:rsidTr="00024C0A">
        <w:tc>
          <w:tcPr>
            <w:tcW w:w="0" w:type="auto"/>
            <w:vAlign w:val="center"/>
          </w:tcPr>
          <w:p w:rsidR="00024C0A" w:rsidRDefault="00694C0F">
            <w:pPr>
              <w:pStyle w:val="TableBodyText"/>
            </w:pPr>
            <w:r>
              <w:rPr>
                <w:b/>
              </w:rPr>
              <w:t>Miscellaneous Technical</w:t>
            </w:r>
          </w:p>
        </w:tc>
        <w:tc>
          <w:tcPr>
            <w:tcW w:w="0" w:type="auto"/>
            <w:vAlign w:val="center"/>
          </w:tcPr>
          <w:p w:rsidR="00024C0A" w:rsidRDefault="00694C0F">
            <w:pPr>
              <w:pStyle w:val="TableBodyText"/>
            </w:pPr>
            <w:r>
              <w:t>2300 – 23FF</w:t>
            </w:r>
          </w:p>
        </w:tc>
        <w:tc>
          <w:tcPr>
            <w:tcW w:w="0" w:type="auto"/>
            <w:vAlign w:val="center"/>
          </w:tcPr>
          <w:p w:rsidR="00024C0A" w:rsidRDefault="00694C0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24C0A" w:rsidTr="00024C0A">
        <w:tc>
          <w:tcPr>
            <w:tcW w:w="0" w:type="auto"/>
            <w:vAlign w:val="center"/>
          </w:tcPr>
          <w:p w:rsidR="00024C0A" w:rsidRDefault="00694C0F">
            <w:pPr>
              <w:pStyle w:val="TableBodyText"/>
            </w:pPr>
            <w:r>
              <w:rPr>
                <w:b/>
              </w:rPr>
              <w:t>Control Pictures</w:t>
            </w:r>
          </w:p>
        </w:tc>
        <w:tc>
          <w:tcPr>
            <w:tcW w:w="0" w:type="auto"/>
            <w:vAlign w:val="center"/>
          </w:tcPr>
          <w:p w:rsidR="00024C0A" w:rsidRDefault="00694C0F">
            <w:pPr>
              <w:pStyle w:val="TableBodyText"/>
            </w:pPr>
            <w:r>
              <w:t>2400 – 243F</w:t>
            </w:r>
          </w:p>
        </w:tc>
        <w:tc>
          <w:tcPr>
            <w:tcW w:w="0" w:type="auto"/>
            <w:vAlign w:val="center"/>
          </w:tcPr>
          <w:p w:rsidR="00024C0A" w:rsidRDefault="00694C0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24C0A" w:rsidTr="00024C0A">
        <w:tc>
          <w:tcPr>
            <w:tcW w:w="0" w:type="auto"/>
            <w:vAlign w:val="center"/>
          </w:tcPr>
          <w:p w:rsidR="00024C0A" w:rsidRDefault="00694C0F">
            <w:pPr>
              <w:pStyle w:val="TableBodyText"/>
            </w:pPr>
            <w:r>
              <w:rPr>
                <w:b/>
              </w:rPr>
              <w:t>Optical Character Recognition</w:t>
            </w:r>
          </w:p>
        </w:tc>
        <w:tc>
          <w:tcPr>
            <w:tcW w:w="0" w:type="auto"/>
            <w:vAlign w:val="center"/>
          </w:tcPr>
          <w:p w:rsidR="00024C0A" w:rsidRDefault="00694C0F">
            <w:pPr>
              <w:pStyle w:val="TableBodyText"/>
            </w:pPr>
            <w:r>
              <w:t>2440 – 245F</w:t>
            </w:r>
          </w:p>
        </w:tc>
        <w:tc>
          <w:tcPr>
            <w:tcW w:w="0" w:type="auto"/>
            <w:vAlign w:val="center"/>
          </w:tcPr>
          <w:p w:rsidR="00024C0A" w:rsidRDefault="00694C0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24C0A" w:rsidTr="00024C0A">
        <w:tc>
          <w:tcPr>
            <w:tcW w:w="0" w:type="auto"/>
            <w:vAlign w:val="center"/>
          </w:tcPr>
          <w:p w:rsidR="00024C0A" w:rsidRDefault="00694C0F">
            <w:pPr>
              <w:pStyle w:val="TableBodyText"/>
            </w:pPr>
            <w:r>
              <w:rPr>
                <w:b/>
              </w:rPr>
              <w:t>Enclosed Alphanumerics</w:t>
            </w:r>
          </w:p>
        </w:tc>
        <w:tc>
          <w:tcPr>
            <w:tcW w:w="0" w:type="auto"/>
            <w:vAlign w:val="center"/>
          </w:tcPr>
          <w:p w:rsidR="00024C0A" w:rsidRDefault="00694C0F">
            <w:pPr>
              <w:pStyle w:val="TableBodyText"/>
            </w:pPr>
            <w:r>
              <w:t>2460 – 24FF</w:t>
            </w:r>
          </w:p>
        </w:tc>
        <w:tc>
          <w:tcPr>
            <w:tcW w:w="0" w:type="auto"/>
            <w:vAlign w:val="center"/>
          </w:tcPr>
          <w:p w:rsidR="00024C0A" w:rsidRDefault="00694C0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24C0A" w:rsidTr="00024C0A">
        <w:tc>
          <w:tcPr>
            <w:tcW w:w="0" w:type="auto"/>
            <w:vAlign w:val="center"/>
          </w:tcPr>
          <w:p w:rsidR="00024C0A" w:rsidRDefault="00694C0F">
            <w:pPr>
              <w:pStyle w:val="TableBodyText"/>
            </w:pPr>
            <w:r>
              <w:rPr>
                <w:b/>
              </w:rPr>
              <w:t>Box Drawing</w:t>
            </w:r>
          </w:p>
        </w:tc>
        <w:tc>
          <w:tcPr>
            <w:tcW w:w="0" w:type="auto"/>
            <w:vAlign w:val="center"/>
          </w:tcPr>
          <w:p w:rsidR="00024C0A" w:rsidRDefault="00694C0F">
            <w:pPr>
              <w:pStyle w:val="TableBodyText"/>
            </w:pPr>
            <w:r>
              <w:t>2500 – 257F</w:t>
            </w:r>
          </w:p>
        </w:tc>
        <w:tc>
          <w:tcPr>
            <w:tcW w:w="0" w:type="auto"/>
            <w:vAlign w:val="center"/>
          </w:tcPr>
          <w:p w:rsidR="00024C0A" w:rsidRDefault="00694C0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24C0A" w:rsidTr="00024C0A">
        <w:tc>
          <w:tcPr>
            <w:tcW w:w="0" w:type="auto"/>
            <w:vAlign w:val="center"/>
          </w:tcPr>
          <w:p w:rsidR="00024C0A" w:rsidRDefault="00694C0F">
            <w:pPr>
              <w:pStyle w:val="TableBodyText"/>
            </w:pPr>
            <w:r>
              <w:rPr>
                <w:b/>
              </w:rPr>
              <w:t>Block Elements</w:t>
            </w:r>
          </w:p>
        </w:tc>
        <w:tc>
          <w:tcPr>
            <w:tcW w:w="0" w:type="auto"/>
            <w:vAlign w:val="center"/>
          </w:tcPr>
          <w:p w:rsidR="00024C0A" w:rsidRDefault="00694C0F">
            <w:pPr>
              <w:pStyle w:val="TableBodyText"/>
            </w:pPr>
            <w:r>
              <w:t>2580 – 259F</w:t>
            </w:r>
          </w:p>
        </w:tc>
        <w:tc>
          <w:tcPr>
            <w:tcW w:w="0" w:type="auto"/>
            <w:vAlign w:val="center"/>
          </w:tcPr>
          <w:p w:rsidR="00024C0A" w:rsidRDefault="00694C0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24C0A" w:rsidTr="00024C0A">
        <w:tc>
          <w:tcPr>
            <w:tcW w:w="0" w:type="auto"/>
            <w:vAlign w:val="center"/>
          </w:tcPr>
          <w:p w:rsidR="00024C0A" w:rsidRDefault="00694C0F">
            <w:pPr>
              <w:pStyle w:val="TableBodyText"/>
            </w:pPr>
            <w:r>
              <w:rPr>
                <w:b/>
              </w:rPr>
              <w:t>Geometric Shapes</w:t>
            </w:r>
          </w:p>
        </w:tc>
        <w:tc>
          <w:tcPr>
            <w:tcW w:w="0" w:type="auto"/>
            <w:vAlign w:val="center"/>
          </w:tcPr>
          <w:p w:rsidR="00024C0A" w:rsidRDefault="00694C0F">
            <w:pPr>
              <w:pStyle w:val="TableBodyText"/>
            </w:pPr>
            <w:r>
              <w:t>25A0 – 25FF</w:t>
            </w:r>
          </w:p>
        </w:tc>
        <w:tc>
          <w:tcPr>
            <w:tcW w:w="0" w:type="auto"/>
            <w:vAlign w:val="center"/>
          </w:tcPr>
          <w:p w:rsidR="00024C0A" w:rsidRDefault="00694C0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24C0A" w:rsidTr="00024C0A">
        <w:tc>
          <w:tcPr>
            <w:tcW w:w="0" w:type="auto"/>
            <w:vAlign w:val="center"/>
          </w:tcPr>
          <w:p w:rsidR="00024C0A" w:rsidRDefault="00694C0F">
            <w:pPr>
              <w:pStyle w:val="TableBodyText"/>
            </w:pPr>
            <w:r>
              <w:rPr>
                <w:b/>
              </w:rPr>
              <w:lastRenderedPageBreak/>
              <w:t>Miscellaneous Symbols</w:t>
            </w:r>
          </w:p>
        </w:tc>
        <w:tc>
          <w:tcPr>
            <w:tcW w:w="0" w:type="auto"/>
            <w:vAlign w:val="center"/>
          </w:tcPr>
          <w:p w:rsidR="00024C0A" w:rsidRDefault="00694C0F">
            <w:pPr>
              <w:pStyle w:val="TableBodyText"/>
            </w:pPr>
            <w:r>
              <w:t>2600 – 26FF</w:t>
            </w:r>
          </w:p>
        </w:tc>
        <w:tc>
          <w:tcPr>
            <w:tcW w:w="0" w:type="auto"/>
            <w:vAlign w:val="center"/>
          </w:tcPr>
          <w:p w:rsidR="00024C0A" w:rsidRDefault="00694C0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24C0A" w:rsidTr="00024C0A">
        <w:tc>
          <w:tcPr>
            <w:tcW w:w="0" w:type="auto"/>
            <w:vAlign w:val="center"/>
          </w:tcPr>
          <w:p w:rsidR="00024C0A" w:rsidRDefault="00694C0F">
            <w:pPr>
              <w:pStyle w:val="TableBodyText"/>
            </w:pPr>
            <w:r>
              <w:rPr>
                <w:b/>
              </w:rPr>
              <w:t>Dingbats</w:t>
            </w:r>
          </w:p>
        </w:tc>
        <w:tc>
          <w:tcPr>
            <w:tcW w:w="0" w:type="auto"/>
            <w:vAlign w:val="center"/>
          </w:tcPr>
          <w:p w:rsidR="00024C0A" w:rsidRDefault="00694C0F">
            <w:pPr>
              <w:pStyle w:val="TableBodyText"/>
            </w:pPr>
            <w:r>
              <w:t xml:space="preserve">2700 </w:t>
            </w:r>
            <w:r>
              <w:t>– 27BF</w:t>
            </w:r>
          </w:p>
        </w:tc>
        <w:tc>
          <w:tcPr>
            <w:tcW w:w="0" w:type="auto"/>
            <w:vAlign w:val="center"/>
          </w:tcPr>
          <w:p w:rsidR="00024C0A" w:rsidRDefault="00694C0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24C0A" w:rsidTr="00024C0A">
        <w:tc>
          <w:tcPr>
            <w:tcW w:w="0" w:type="auto"/>
            <w:vAlign w:val="center"/>
          </w:tcPr>
          <w:p w:rsidR="00024C0A" w:rsidRDefault="00694C0F">
            <w:pPr>
              <w:pStyle w:val="TableBodyText"/>
            </w:pPr>
            <w:r>
              <w:rPr>
                <w:b/>
              </w:rPr>
              <w:t>CJK Radicals Supplement</w:t>
            </w:r>
          </w:p>
        </w:tc>
        <w:tc>
          <w:tcPr>
            <w:tcW w:w="0" w:type="auto"/>
            <w:vAlign w:val="center"/>
          </w:tcPr>
          <w:p w:rsidR="00024C0A" w:rsidRDefault="00694C0F">
            <w:pPr>
              <w:pStyle w:val="TableBodyText"/>
            </w:pPr>
            <w:r>
              <w:t>2E80 – 2EFF</w:t>
            </w:r>
          </w:p>
        </w:tc>
        <w:tc>
          <w:tcPr>
            <w:tcW w:w="0" w:type="auto"/>
            <w:vAlign w:val="center"/>
          </w:tcPr>
          <w:p w:rsidR="00024C0A" w:rsidRDefault="00694C0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24C0A" w:rsidTr="00024C0A">
        <w:tc>
          <w:tcPr>
            <w:tcW w:w="0" w:type="auto"/>
            <w:vAlign w:val="center"/>
          </w:tcPr>
          <w:p w:rsidR="00024C0A" w:rsidRDefault="00694C0F">
            <w:pPr>
              <w:pStyle w:val="TableBodyText"/>
            </w:pPr>
            <w:r>
              <w:rPr>
                <w:b/>
              </w:rPr>
              <w:t>Kangxi Radicals</w:t>
            </w:r>
          </w:p>
        </w:tc>
        <w:tc>
          <w:tcPr>
            <w:tcW w:w="0" w:type="auto"/>
            <w:vAlign w:val="center"/>
          </w:tcPr>
          <w:p w:rsidR="00024C0A" w:rsidRDefault="00694C0F">
            <w:pPr>
              <w:pStyle w:val="TableBodyText"/>
            </w:pPr>
            <w:r>
              <w:t>2F00 – 2FDF</w:t>
            </w:r>
          </w:p>
        </w:tc>
        <w:tc>
          <w:tcPr>
            <w:tcW w:w="0" w:type="auto"/>
            <w:vAlign w:val="center"/>
          </w:tcPr>
          <w:p w:rsidR="00024C0A" w:rsidRDefault="00694C0F">
            <w:pPr>
              <w:pStyle w:val="TableBodyText"/>
            </w:pPr>
            <w:r>
              <w:rPr>
                <w:b/>
              </w:rPr>
              <w:t>eastAsia</w:t>
            </w:r>
            <w:r>
              <w:t xml:space="preserve"> (or </w:t>
            </w:r>
            <w:r>
              <w:rPr>
                <w:b/>
              </w:rPr>
              <w:t>eastAsiaTheme</w:t>
            </w:r>
            <w:r>
              <w:t xml:space="preserve"> if</w:t>
            </w:r>
            <w:r>
              <w:t xml:space="preserve"> defined)</w:t>
            </w:r>
          </w:p>
        </w:tc>
      </w:tr>
      <w:tr w:rsidR="00024C0A" w:rsidTr="00024C0A">
        <w:tc>
          <w:tcPr>
            <w:tcW w:w="0" w:type="auto"/>
            <w:vAlign w:val="center"/>
          </w:tcPr>
          <w:p w:rsidR="00024C0A" w:rsidRDefault="00694C0F">
            <w:pPr>
              <w:pStyle w:val="TableBodyText"/>
            </w:pPr>
            <w:r>
              <w:rPr>
                <w:b/>
              </w:rPr>
              <w:t>Ideographic Description Characters</w:t>
            </w:r>
          </w:p>
        </w:tc>
        <w:tc>
          <w:tcPr>
            <w:tcW w:w="0" w:type="auto"/>
            <w:vAlign w:val="center"/>
          </w:tcPr>
          <w:p w:rsidR="00024C0A" w:rsidRDefault="00694C0F">
            <w:pPr>
              <w:pStyle w:val="TableBodyText"/>
            </w:pPr>
            <w:r>
              <w:t>2FF0 – 2FFF</w:t>
            </w:r>
          </w:p>
        </w:tc>
        <w:tc>
          <w:tcPr>
            <w:tcW w:w="0" w:type="auto"/>
            <w:vAlign w:val="center"/>
          </w:tcPr>
          <w:p w:rsidR="00024C0A" w:rsidRDefault="00694C0F">
            <w:pPr>
              <w:pStyle w:val="TableBodyText"/>
            </w:pPr>
            <w:r>
              <w:rPr>
                <w:b/>
              </w:rPr>
              <w:t>eastAsia</w:t>
            </w:r>
            <w:r>
              <w:t xml:space="preserve"> (or </w:t>
            </w:r>
            <w:r>
              <w:rPr>
                <w:b/>
              </w:rPr>
              <w:t>eastAsiaTheme</w:t>
            </w:r>
            <w:r>
              <w:t xml:space="preserve"> if defined)</w:t>
            </w:r>
          </w:p>
        </w:tc>
      </w:tr>
      <w:tr w:rsidR="00024C0A" w:rsidTr="00024C0A">
        <w:tc>
          <w:tcPr>
            <w:tcW w:w="0" w:type="auto"/>
            <w:vAlign w:val="center"/>
          </w:tcPr>
          <w:p w:rsidR="00024C0A" w:rsidRDefault="00694C0F">
            <w:pPr>
              <w:pStyle w:val="TableBodyText"/>
            </w:pPr>
            <w:r>
              <w:rPr>
                <w:b/>
              </w:rPr>
              <w:t>CJK Symbols and Punctuation</w:t>
            </w:r>
          </w:p>
        </w:tc>
        <w:tc>
          <w:tcPr>
            <w:tcW w:w="0" w:type="auto"/>
            <w:vAlign w:val="center"/>
          </w:tcPr>
          <w:p w:rsidR="00024C0A" w:rsidRDefault="00694C0F">
            <w:pPr>
              <w:pStyle w:val="TableBodyText"/>
            </w:pPr>
            <w:r>
              <w:t>3000 – 303F</w:t>
            </w:r>
          </w:p>
        </w:tc>
        <w:tc>
          <w:tcPr>
            <w:tcW w:w="0" w:type="auto"/>
            <w:vAlign w:val="center"/>
          </w:tcPr>
          <w:p w:rsidR="00024C0A" w:rsidRDefault="00694C0F">
            <w:pPr>
              <w:pStyle w:val="TableBodyText"/>
            </w:pPr>
            <w:r>
              <w:rPr>
                <w:b/>
              </w:rPr>
              <w:t>eastAsia</w:t>
            </w:r>
            <w:r>
              <w:t xml:space="preserve"> (or </w:t>
            </w:r>
            <w:r>
              <w:rPr>
                <w:b/>
              </w:rPr>
              <w:t>eastAsiaTheme</w:t>
            </w:r>
            <w:r>
              <w:t xml:space="preserve"> if defined)</w:t>
            </w:r>
          </w:p>
        </w:tc>
      </w:tr>
      <w:tr w:rsidR="00024C0A" w:rsidTr="00024C0A">
        <w:tc>
          <w:tcPr>
            <w:tcW w:w="0" w:type="auto"/>
            <w:vAlign w:val="center"/>
          </w:tcPr>
          <w:p w:rsidR="00024C0A" w:rsidRDefault="00694C0F">
            <w:pPr>
              <w:pStyle w:val="TableBodyText"/>
            </w:pPr>
            <w:r>
              <w:rPr>
                <w:b/>
              </w:rPr>
              <w:t>Hiragana</w:t>
            </w:r>
          </w:p>
        </w:tc>
        <w:tc>
          <w:tcPr>
            <w:tcW w:w="0" w:type="auto"/>
            <w:vAlign w:val="center"/>
          </w:tcPr>
          <w:p w:rsidR="00024C0A" w:rsidRDefault="00694C0F">
            <w:pPr>
              <w:pStyle w:val="TableBodyText"/>
            </w:pPr>
            <w:r>
              <w:t>3040 – 309F</w:t>
            </w:r>
          </w:p>
        </w:tc>
        <w:tc>
          <w:tcPr>
            <w:tcW w:w="0" w:type="auto"/>
            <w:vAlign w:val="center"/>
          </w:tcPr>
          <w:p w:rsidR="00024C0A" w:rsidRDefault="00694C0F">
            <w:pPr>
              <w:pStyle w:val="TableBodyText"/>
            </w:pPr>
            <w:r>
              <w:rPr>
                <w:b/>
              </w:rPr>
              <w:t>eastAsia</w:t>
            </w:r>
            <w:r>
              <w:t xml:space="preserve"> (or </w:t>
            </w:r>
            <w:r>
              <w:rPr>
                <w:b/>
              </w:rPr>
              <w:t>eastAsiaTheme</w:t>
            </w:r>
            <w:r>
              <w:t xml:space="preserve"> if defined)</w:t>
            </w:r>
          </w:p>
        </w:tc>
      </w:tr>
      <w:tr w:rsidR="00024C0A" w:rsidTr="00024C0A">
        <w:tc>
          <w:tcPr>
            <w:tcW w:w="0" w:type="auto"/>
            <w:vAlign w:val="center"/>
          </w:tcPr>
          <w:p w:rsidR="00024C0A" w:rsidRDefault="00694C0F">
            <w:pPr>
              <w:pStyle w:val="TableBodyText"/>
            </w:pPr>
            <w:r>
              <w:rPr>
                <w:b/>
              </w:rPr>
              <w:t>Katakana</w:t>
            </w:r>
          </w:p>
        </w:tc>
        <w:tc>
          <w:tcPr>
            <w:tcW w:w="0" w:type="auto"/>
            <w:vAlign w:val="center"/>
          </w:tcPr>
          <w:p w:rsidR="00024C0A" w:rsidRDefault="00694C0F">
            <w:pPr>
              <w:pStyle w:val="TableBodyText"/>
            </w:pPr>
            <w:r>
              <w:t xml:space="preserve">30A0 – </w:t>
            </w:r>
            <w:r>
              <w:t>30FF</w:t>
            </w:r>
          </w:p>
        </w:tc>
        <w:tc>
          <w:tcPr>
            <w:tcW w:w="0" w:type="auto"/>
            <w:vAlign w:val="center"/>
          </w:tcPr>
          <w:p w:rsidR="00024C0A" w:rsidRDefault="00694C0F">
            <w:pPr>
              <w:pStyle w:val="TableBodyText"/>
            </w:pPr>
            <w:r>
              <w:rPr>
                <w:b/>
              </w:rPr>
              <w:t>eastAsia</w:t>
            </w:r>
            <w:r>
              <w:t xml:space="preserve"> (or </w:t>
            </w:r>
            <w:r>
              <w:rPr>
                <w:b/>
              </w:rPr>
              <w:t>eastAsiaTheme</w:t>
            </w:r>
            <w:r>
              <w:t xml:space="preserve"> if defined)</w:t>
            </w:r>
          </w:p>
        </w:tc>
      </w:tr>
      <w:tr w:rsidR="00024C0A" w:rsidTr="00024C0A">
        <w:tc>
          <w:tcPr>
            <w:tcW w:w="0" w:type="auto"/>
            <w:vAlign w:val="center"/>
          </w:tcPr>
          <w:p w:rsidR="00024C0A" w:rsidRDefault="00694C0F">
            <w:pPr>
              <w:pStyle w:val="TableBodyText"/>
            </w:pPr>
            <w:r>
              <w:rPr>
                <w:b/>
              </w:rPr>
              <w:t>Bopomofo</w:t>
            </w:r>
          </w:p>
        </w:tc>
        <w:tc>
          <w:tcPr>
            <w:tcW w:w="0" w:type="auto"/>
            <w:vAlign w:val="center"/>
          </w:tcPr>
          <w:p w:rsidR="00024C0A" w:rsidRDefault="00694C0F">
            <w:pPr>
              <w:pStyle w:val="TableBodyText"/>
            </w:pPr>
            <w:r>
              <w:t>3100 – 312F</w:t>
            </w:r>
          </w:p>
        </w:tc>
        <w:tc>
          <w:tcPr>
            <w:tcW w:w="0" w:type="auto"/>
            <w:vAlign w:val="center"/>
          </w:tcPr>
          <w:p w:rsidR="00024C0A" w:rsidRDefault="00694C0F">
            <w:pPr>
              <w:pStyle w:val="TableBodyText"/>
            </w:pPr>
            <w:r>
              <w:rPr>
                <w:b/>
              </w:rPr>
              <w:t>eastAsia</w:t>
            </w:r>
            <w:r>
              <w:t xml:space="preserve"> (or </w:t>
            </w:r>
            <w:r>
              <w:rPr>
                <w:b/>
              </w:rPr>
              <w:t>eastAsiaTheme</w:t>
            </w:r>
            <w:r>
              <w:t xml:space="preserve"> if defined)</w:t>
            </w:r>
          </w:p>
        </w:tc>
      </w:tr>
      <w:tr w:rsidR="00024C0A" w:rsidTr="00024C0A">
        <w:tc>
          <w:tcPr>
            <w:tcW w:w="0" w:type="auto"/>
            <w:vAlign w:val="center"/>
          </w:tcPr>
          <w:p w:rsidR="00024C0A" w:rsidRDefault="00694C0F">
            <w:pPr>
              <w:pStyle w:val="TableBodyText"/>
            </w:pPr>
            <w:r>
              <w:rPr>
                <w:b/>
              </w:rPr>
              <w:t>Hangul Compatibility Jamo</w:t>
            </w:r>
          </w:p>
        </w:tc>
        <w:tc>
          <w:tcPr>
            <w:tcW w:w="0" w:type="auto"/>
            <w:vAlign w:val="center"/>
          </w:tcPr>
          <w:p w:rsidR="00024C0A" w:rsidRDefault="00694C0F">
            <w:pPr>
              <w:pStyle w:val="TableBodyText"/>
            </w:pPr>
            <w:r>
              <w:t>3130 – 318F</w:t>
            </w:r>
          </w:p>
        </w:tc>
        <w:tc>
          <w:tcPr>
            <w:tcW w:w="0" w:type="auto"/>
            <w:vAlign w:val="center"/>
          </w:tcPr>
          <w:p w:rsidR="00024C0A" w:rsidRDefault="00694C0F">
            <w:pPr>
              <w:pStyle w:val="TableBodyText"/>
            </w:pPr>
            <w:r>
              <w:rPr>
                <w:b/>
              </w:rPr>
              <w:t>eastAsia</w:t>
            </w:r>
            <w:r>
              <w:t xml:space="preserve"> (or </w:t>
            </w:r>
            <w:r>
              <w:rPr>
                <w:b/>
              </w:rPr>
              <w:t>eastAsiaTheme</w:t>
            </w:r>
            <w:r>
              <w:t xml:space="preserve"> if defined)</w:t>
            </w:r>
          </w:p>
        </w:tc>
      </w:tr>
      <w:tr w:rsidR="00024C0A" w:rsidTr="00024C0A">
        <w:tc>
          <w:tcPr>
            <w:tcW w:w="0" w:type="auto"/>
            <w:vAlign w:val="center"/>
          </w:tcPr>
          <w:p w:rsidR="00024C0A" w:rsidRDefault="00694C0F">
            <w:pPr>
              <w:pStyle w:val="TableBodyText"/>
            </w:pPr>
            <w:r>
              <w:rPr>
                <w:b/>
              </w:rPr>
              <w:t>Kanbun</w:t>
            </w:r>
          </w:p>
        </w:tc>
        <w:tc>
          <w:tcPr>
            <w:tcW w:w="0" w:type="auto"/>
            <w:vAlign w:val="center"/>
          </w:tcPr>
          <w:p w:rsidR="00024C0A" w:rsidRDefault="00694C0F">
            <w:pPr>
              <w:pStyle w:val="TableBodyText"/>
            </w:pPr>
            <w:r>
              <w:t>3190 – 319F</w:t>
            </w:r>
          </w:p>
        </w:tc>
        <w:tc>
          <w:tcPr>
            <w:tcW w:w="0" w:type="auto"/>
            <w:vAlign w:val="center"/>
          </w:tcPr>
          <w:p w:rsidR="00024C0A" w:rsidRDefault="00694C0F">
            <w:pPr>
              <w:pStyle w:val="TableBodyText"/>
            </w:pPr>
            <w:r>
              <w:rPr>
                <w:b/>
              </w:rPr>
              <w:t>eastAsia</w:t>
            </w:r>
            <w:r>
              <w:t xml:space="preserve"> (or </w:t>
            </w:r>
            <w:r>
              <w:rPr>
                <w:b/>
              </w:rPr>
              <w:t>eastAsiaTheme</w:t>
            </w:r>
            <w:r>
              <w:t xml:space="preserve"> if defined)</w:t>
            </w:r>
          </w:p>
        </w:tc>
      </w:tr>
      <w:tr w:rsidR="00024C0A" w:rsidTr="00024C0A">
        <w:tc>
          <w:tcPr>
            <w:tcW w:w="0" w:type="auto"/>
            <w:vAlign w:val="center"/>
          </w:tcPr>
          <w:p w:rsidR="00024C0A" w:rsidRDefault="00694C0F">
            <w:pPr>
              <w:pStyle w:val="TableBodyText"/>
            </w:pPr>
            <w:r>
              <w:rPr>
                <w:b/>
              </w:rPr>
              <w:t xml:space="preserve">Enclosed CJK </w:t>
            </w:r>
            <w:r>
              <w:rPr>
                <w:b/>
              </w:rPr>
              <w:t>Letters and Months</w:t>
            </w:r>
          </w:p>
        </w:tc>
        <w:tc>
          <w:tcPr>
            <w:tcW w:w="0" w:type="auto"/>
            <w:vAlign w:val="center"/>
          </w:tcPr>
          <w:p w:rsidR="00024C0A" w:rsidRDefault="00694C0F">
            <w:pPr>
              <w:pStyle w:val="TableBodyText"/>
            </w:pPr>
            <w:r>
              <w:t>3200 – 32FF</w:t>
            </w:r>
          </w:p>
        </w:tc>
        <w:tc>
          <w:tcPr>
            <w:tcW w:w="0" w:type="auto"/>
            <w:vAlign w:val="center"/>
          </w:tcPr>
          <w:p w:rsidR="00024C0A" w:rsidRDefault="00694C0F">
            <w:pPr>
              <w:pStyle w:val="TableBodyText"/>
            </w:pPr>
            <w:r>
              <w:rPr>
                <w:b/>
              </w:rPr>
              <w:t>eastAsia</w:t>
            </w:r>
            <w:r>
              <w:t xml:space="preserve"> (or </w:t>
            </w:r>
            <w:r>
              <w:rPr>
                <w:b/>
              </w:rPr>
              <w:t>eastAsiaTheme</w:t>
            </w:r>
            <w:r>
              <w:t xml:space="preserve"> if defined)</w:t>
            </w:r>
          </w:p>
        </w:tc>
      </w:tr>
      <w:tr w:rsidR="00024C0A" w:rsidTr="00024C0A">
        <w:tc>
          <w:tcPr>
            <w:tcW w:w="0" w:type="auto"/>
            <w:vAlign w:val="center"/>
          </w:tcPr>
          <w:p w:rsidR="00024C0A" w:rsidRDefault="00694C0F">
            <w:pPr>
              <w:pStyle w:val="TableBodyText"/>
            </w:pPr>
            <w:r>
              <w:rPr>
                <w:b/>
              </w:rPr>
              <w:t>CJK Compatibility</w:t>
            </w:r>
          </w:p>
        </w:tc>
        <w:tc>
          <w:tcPr>
            <w:tcW w:w="0" w:type="auto"/>
            <w:vAlign w:val="center"/>
          </w:tcPr>
          <w:p w:rsidR="00024C0A" w:rsidRDefault="00694C0F">
            <w:pPr>
              <w:pStyle w:val="TableBodyText"/>
            </w:pPr>
            <w:r>
              <w:t>3300 – 33FF</w:t>
            </w:r>
          </w:p>
        </w:tc>
        <w:tc>
          <w:tcPr>
            <w:tcW w:w="0" w:type="auto"/>
            <w:vAlign w:val="center"/>
          </w:tcPr>
          <w:p w:rsidR="00024C0A" w:rsidRDefault="00694C0F">
            <w:pPr>
              <w:pStyle w:val="TableBodyText"/>
            </w:pPr>
            <w:r>
              <w:rPr>
                <w:b/>
              </w:rPr>
              <w:t>eastAsia</w:t>
            </w:r>
            <w:r>
              <w:t xml:space="preserve"> (or </w:t>
            </w:r>
            <w:r>
              <w:rPr>
                <w:b/>
              </w:rPr>
              <w:t>eastAsiaTheme</w:t>
            </w:r>
            <w:r>
              <w:t xml:space="preserve"> if defined)</w:t>
            </w:r>
          </w:p>
        </w:tc>
      </w:tr>
      <w:tr w:rsidR="00024C0A" w:rsidTr="00024C0A">
        <w:tc>
          <w:tcPr>
            <w:tcW w:w="0" w:type="auto"/>
            <w:vAlign w:val="center"/>
          </w:tcPr>
          <w:p w:rsidR="00024C0A" w:rsidRDefault="00694C0F">
            <w:pPr>
              <w:pStyle w:val="TableBodyText"/>
            </w:pPr>
            <w:r>
              <w:rPr>
                <w:b/>
              </w:rPr>
              <w:t>CJK Unified Ideographs Extension A</w:t>
            </w:r>
          </w:p>
        </w:tc>
        <w:tc>
          <w:tcPr>
            <w:tcW w:w="0" w:type="auto"/>
            <w:vAlign w:val="center"/>
          </w:tcPr>
          <w:p w:rsidR="00024C0A" w:rsidRDefault="00694C0F">
            <w:pPr>
              <w:pStyle w:val="TableBodyText"/>
            </w:pPr>
            <w:r>
              <w:t>3400 – 4DBF</w:t>
            </w:r>
          </w:p>
        </w:tc>
        <w:tc>
          <w:tcPr>
            <w:tcW w:w="0" w:type="auto"/>
            <w:vAlign w:val="center"/>
          </w:tcPr>
          <w:p w:rsidR="00024C0A" w:rsidRDefault="00694C0F">
            <w:pPr>
              <w:pStyle w:val="TableBodyText"/>
            </w:pPr>
            <w:r>
              <w:rPr>
                <w:b/>
              </w:rPr>
              <w:t>eastAsia</w:t>
            </w:r>
            <w:r>
              <w:t xml:space="preserve"> (or </w:t>
            </w:r>
            <w:r>
              <w:rPr>
                <w:b/>
              </w:rPr>
              <w:t>eastAsiaTheme</w:t>
            </w:r>
            <w:r>
              <w:t xml:space="preserve"> if defined)</w:t>
            </w:r>
          </w:p>
        </w:tc>
      </w:tr>
      <w:tr w:rsidR="00024C0A" w:rsidTr="00024C0A">
        <w:tc>
          <w:tcPr>
            <w:tcW w:w="0" w:type="auto"/>
            <w:vAlign w:val="center"/>
          </w:tcPr>
          <w:p w:rsidR="00024C0A" w:rsidRDefault="00694C0F">
            <w:pPr>
              <w:pStyle w:val="TableBodyText"/>
            </w:pPr>
            <w:r>
              <w:rPr>
                <w:b/>
              </w:rPr>
              <w:t>CJK Unified Ideographs</w:t>
            </w:r>
          </w:p>
        </w:tc>
        <w:tc>
          <w:tcPr>
            <w:tcW w:w="0" w:type="auto"/>
            <w:vAlign w:val="center"/>
          </w:tcPr>
          <w:p w:rsidR="00024C0A" w:rsidRDefault="00694C0F">
            <w:pPr>
              <w:pStyle w:val="TableBodyText"/>
            </w:pPr>
            <w:r>
              <w:t xml:space="preserve">4E00 </w:t>
            </w:r>
            <w:r>
              <w:t>– 9FAF</w:t>
            </w:r>
          </w:p>
        </w:tc>
        <w:tc>
          <w:tcPr>
            <w:tcW w:w="0" w:type="auto"/>
            <w:vAlign w:val="center"/>
          </w:tcPr>
          <w:p w:rsidR="00024C0A" w:rsidRDefault="00694C0F">
            <w:pPr>
              <w:pStyle w:val="TableBodyText"/>
            </w:pPr>
            <w:r>
              <w:rPr>
                <w:b/>
              </w:rPr>
              <w:t>eastAsia</w:t>
            </w:r>
            <w:r>
              <w:t xml:space="preserve"> (or </w:t>
            </w:r>
            <w:r>
              <w:rPr>
                <w:b/>
              </w:rPr>
              <w:t>eastAsiaTheme</w:t>
            </w:r>
            <w:r>
              <w:t xml:space="preserve"> if defined)</w:t>
            </w:r>
          </w:p>
        </w:tc>
      </w:tr>
      <w:tr w:rsidR="00024C0A" w:rsidTr="00024C0A">
        <w:tc>
          <w:tcPr>
            <w:tcW w:w="0" w:type="auto"/>
            <w:vAlign w:val="center"/>
          </w:tcPr>
          <w:p w:rsidR="00024C0A" w:rsidRDefault="00694C0F">
            <w:pPr>
              <w:pStyle w:val="TableBodyText"/>
            </w:pPr>
            <w:r>
              <w:rPr>
                <w:b/>
              </w:rPr>
              <w:t>Yi Syllables</w:t>
            </w:r>
          </w:p>
        </w:tc>
        <w:tc>
          <w:tcPr>
            <w:tcW w:w="0" w:type="auto"/>
            <w:vAlign w:val="center"/>
          </w:tcPr>
          <w:p w:rsidR="00024C0A" w:rsidRDefault="00694C0F">
            <w:pPr>
              <w:pStyle w:val="TableBodyText"/>
            </w:pPr>
            <w:r>
              <w:t>A000 – A48F</w:t>
            </w:r>
          </w:p>
        </w:tc>
        <w:tc>
          <w:tcPr>
            <w:tcW w:w="0" w:type="auto"/>
            <w:vAlign w:val="center"/>
          </w:tcPr>
          <w:p w:rsidR="00024C0A" w:rsidRDefault="00694C0F">
            <w:pPr>
              <w:pStyle w:val="TableBodyText"/>
            </w:pPr>
            <w:r>
              <w:rPr>
                <w:b/>
              </w:rPr>
              <w:t>eastAsia</w:t>
            </w:r>
            <w:r>
              <w:t xml:space="preserve"> (or </w:t>
            </w:r>
            <w:r>
              <w:rPr>
                <w:b/>
              </w:rPr>
              <w:t>eastAsiaTheme</w:t>
            </w:r>
            <w:r>
              <w:t xml:space="preserve"> if defined)</w:t>
            </w:r>
          </w:p>
        </w:tc>
      </w:tr>
      <w:tr w:rsidR="00024C0A" w:rsidTr="00024C0A">
        <w:tc>
          <w:tcPr>
            <w:tcW w:w="0" w:type="auto"/>
            <w:vAlign w:val="center"/>
          </w:tcPr>
          <w:p w:rsidR="00024C0A" w:rsidRDefault="00694C0F">
            <w:pPr>
              <w:pStyle w:val="TableBodyText"/>
            </w:pPr>
            <w:r>
              <w:rPr>
                <w:b/>
              </w:rPr>
              <w:t>Yi Radicals</w:t>
            </w:r>
          </w:p>
        </w:tc>
        <w:tc>
          <w:tcPr>
            <w:tcW w:w="0" w:type="auto"/>
            <w:vAlign w:val="center"/>
          </w:tcPr>
          <w:p w:rsidR="00024C0A" w:rsidRDefault="00694C0F">
            <w:pPr>
              <w:pStyle w:val="TableBodyText"/>
            </w:pPr>
            <w:r>
              <w:t>A490 – A4CF</w:t>
            </w:r>
          </w:p>
        </w:tc>
        <w:tc>
          <w:tcPr>
            <w:tcW w:w="0" w:type="auto"/>
            <w:vAlign w:val="center"/>
          </w:tcPr>
          <w:p w:rsidR="00024C0A" w:rsidRDefault="00694C0F">
            <w:pPr>
              <w:pStyle w:val="TableBodyText"/>
            </w:pPr>
            <w:r>
              <w:rPr>
                <w:b/>
              </w:rPr>
              <w:t>eastAsia</w:t>
            </w:r>
            <w:r>
              <w:t xml:space="preserve"> (or </w:t>
            </w:r>
            <w:r>
              <w:rPr>
                <w:b/>
              </w:rPr>
              <w:t>eastAsiaTheme</w:t>
            </w:r>
            <w:r>
              <w:t xml:space="preserve"> if defined)</w:t>
            </w:r>
          </w:p>
        </w:tc>
      </w:tr>
      <w:tr w:rsidR="00024C0A" w:rsidTr="00024C0A">
        <w:tc>
          <w:tcPr>
            <w:tcW w:w="0" w:type="auto"/>
            <w:vAlign w:val="center"/>
          </w:tcPr>
          <w:p w:rsidR="00024C0A" w:rsidRDefault="00694C0F">
            <w:pPr>
              <w:pStyle w:val="TableBodyText"/>
            </w:pPr>
            <w:r>
              <w:rPr>
                <w:b/>
              </w:rPr>
              <w:t>Hangul Syllables</w:t>
            </w:r>
          </w:p>
        </w:tc>
        <w:tc>
          <w:tcPr>
            <w:tcW w:w="0" w:type="auto"/>
            <w:vAlign w:val="center"/>
          </w:tcPr>
          <w:p w:rsidR="00024C0A" w:rsidRDefault="00694C0F">
            <w:pPr>
              <w:pStyle w:val="TableBodyText"/>
            </w:pPr>
            <w:r>
              <w:t>AC00 – D7AF</w:t>
            </w:r>
          </w:p>
        </w:tc>
        <w:tc>
          <w:tcPr>
            <w:tcW w:w="0" w:type="auto"/>
            <w:vAlign w:val="center"/>
          </w:tcPr>
          <w:p w:rsidR="00024C0A" w:rsidRDefault="00694C0F">
            <w:pPr>
              <w:pStyle w:val="TableBodyText"/>
            </w:pPr>
            <w:r>
              <w:rPr>
                <w:b/>
              </w:rPr>
              <w:t>eastAsia</w:t>
            </w:r>
            <w:r>
              <w:t xml:space="preserve"> (or </w:t>
            </w:r>
            <w:r>
              <w:rPr>
                <w:b/>
              </w:rPr>
              <w:t>eastAsiaTheme</w:t>
            </w:r>
            <w:r>
              <w:t xml:space="preserve"> if defined)</w:t>
            </w:r>
          </w:p>
        </w:tc>
      </w:tr>
      <w:tr w:rsidR="00024C0A" w:rsidTr="00024C0A">
        <w:tc>
          <w:tcPr>
            <w:tcW w:w="0" w:type="auto"/>
            <w:vAlign w:val="center"/>
          </w:tcPr>
          <w:p w:rsidR="00024C0A" w:rsidRDefault="00694C0F">
            <w:pPr>
              <w:pStyle w:val="TableBodyText"/>
            </w:pPr>
            <w:r>
              <w:rPr>
                <w:b/>
              </w:rPr>
              <w:t xml:space="preserve">High </w:t>
            </w:r>
            <w:r>
              <w:rPr>
                <w:b/>
              </w:rPr>
              <w:t>Surrogates</w:t>
            </w:r>
          </w:p>
        </w:tc>
        <w:tc>
          <w:tcPr>
            <w:tcW w:w="0" w:type="auto"/>
            <w:vAlign w:val="center"/>
          </w:tcPr>
          <w:p w:rsidR="00024C0A" w:rsidRDefault="00694C0F">
            <w:pPr>
              <w:pStyle w:val="TableBodyText"/>
            </w:pPr>
            <w:r>
              <w:t>D800 – DB7F</w:t>
            </w:r>
          </w:p>
        </w:tc>
        <w:tc>
          <w:tcPr>
            <w:tcW w:w="0" w:type="auto"/>
            <w:vAlign w:val="center"/>
          </w:tcPr>
          <w:p w:rsidR="00024C0A" w:rsidRDefault="00694C0F">
            <w:pPr>
              <w:pStyle w:val="TableBodyText"/>
            </w:pPr>
            <w:r>
              <w:rPr>
                <w:b/>
              </w:rPr>
              <w:t>eastAsia</w:t>
            </w:r>
            <w:r>
              <w:t xml:space="preserve"> (or </w:t>
            </w:r>
            <w:r>
              <w:rPr>
                <w:b/>
              </w:rPr>
              <w:t>eastAsiaTheme</w:t>
            </w:r>
            <w:r>
              <w:t xml:space="preserve"> if defined)</w:t>
            </w:r>
          </w:p>
        </w:tc>
      </w:tr>
      <w:tr w:rsidR="00024C0A" w:rsidTr="00024C0A">
        <w:tc>
          <w:tcPr>
            <w:tcW w:w="0" w:type="auto"/>
            <w:vAlign w:val="center"/>
          </w:tcPr>
          <w:p w:rsidR="00024C0A" w:rsidRDefault="00694C0F">
            <w:pPr>
              <w:pStyle w:val="TableBodyText"/>
            </w:pPr>
            <w:r>
              <w:rPr>
                <w:b/>
              </w:rPr>
              <w:t>High Private Use Surrogates</w:t>
            </w:r>
          </w:p>
        </w:tc>
        <w:tc>
          <w:tcPr>
            <w:tcW w:w="0" w:type="auto"/>
            <w:vAlign w:val="center"/>
          </w:tcPr>
          <w:p w:rsidR="00024C0A" w:rsidRDefault="00694C0F">
            <w:pPr>
              <w:pStyle w:val="TableBodyText"/>
            </w:pPr>
            <w:r>
              <w:t>DB80 – DBFF</w:t>
            </w:r>
          </w:p>
        </w:tc>
        <w:tc>
          <w:tcPr>
            <w:tcW w:w="0" w:type="auto"/>
            <w:vAlign w:val="center"/>
          </w:tcPr>
          <w:p w:rsidR="00024C0A" w:rsidRDefault="00694C0F">
            <w:pPr>
              <w:pStyle w:val="TableBodyText"/>
            </w:pPr>
            <w:r>
              <w:rPr>
                <w:b/>
              </w:rPr>
              <w:t>eastAsia</w:t>
            </w:r>
            <w:r>
              <w:t xml:space="preserve"> (or </w:t>
            </w:r>
            <w:r>
              <w:rPr>
                <w:b/>
              </w:rPr>
              <w:t>eastAsiaTheme</w:t>
            </w:r>
            <w:r>
              <w:t xml:space="preserve"> if defined)</w:t>
            </w:r>
          </w:p>
        </w:tc>
      </w:tr>
      <w:tr w:rsidR="00024C0A" w:rsidTr="00024C0A">
        <w:tc>
          <w:tcPr>
            <w:tcW w:w="0" w:type="auto"/>
            <w:vAlign w:val="center"/>
          </w:tcPr>
          <w:p w:rsidR="00024C0A" w:rsidRDefault="00694C0F">
            <w:pPr>
              <w:pStyle w:val="TableBodyText"/>
            </w:pPr>
            <w:r>
              <w:rPr>
                <w:b/>
              </w:rPr>
              <w:t>Low Surrogates</w:t>
            </w:r>
          </w:p>
        </w:tc>
        <w:tc>
          <w:tcPr>
            <w:tcW w:w="0" w:type="auto"/>
            <w:vAlign w:val="center"/>
          </w:tcPr>
          <w:p w:rsidR="00024C0A" w:rsidRDefault="00694C0F">
            <w:pPr>
              <w:pStyle w:val="TableBodyText"/>
            </w:pPr>
            <w:r>
              <w:t xml:space="preserve">DC00 – </w:t>
            </w:r>
            <w:r>
              <w:lastRenderedPageBreak/>
              <w:t>DFFF</w:t>
            </w:r>
          </w:p>
        </w:tc>
        <w:tc>
          <w:tcPr>
            <w:tcW w:w="0" w:type="auto"/>
            <w:vAlign w:val="center"/>
          </w:tcPr>
          <w:p w:rsidR="00024C0A" w:rsidRDefault="00694C0F">
            <w:pPr>
              <w:pStyle w:val="TableBodyText"/>
            </w:pPr>
            <w:r>
              <w:rPr>
                <w:b/>
              </w:rPr>
              <w:lastRenderedPageBreak/>
              <w:t>eastAsia</w:t>
            </w:r>
            <w:r>
              <w:t xml:space="preserve"> (or </w:t>
            </w:r>
            <w:r>
              <w:rPr>
                <w:b/>
              </w:rPr>
              <w:t>eastAsiaTheme</w:t>
            </w:r>
            <w:r>
              <w:t xml:space="preserve"> if defined)</w:t>
            </w:r>
          </w:p>
        </w:tc>
      </w:tr>
      <w:tr w:rsidR="00024C0A" w:rsidTr="00024C0A">
        <w:tc>
          <w:tcPr>
            <w:tcW w:w="0" w:type="auto"/>
            <w:vAlign w:val="center"/>
          </w:tcPr>
          <w:p w:rsidR="00024C0A" w:rsidRDefault="00694C0F">
            <w:pPr>
              <w:pStyle w:val="TableBodyText"/>
            </w:pPr>
            <w:r>
              <w:rPr>
                <w:b/>
              </w:rPr>
              <w:t>Private Use Area</w:t>
            </w:r>
          </w:p>
        </w:tc>
        <w:tc>
          <w:tcPr>
            <w:tcW w:w="0" w:type="auto"/>
            <w:vAlign w:val="center"/>
          </w:tcPr>
          <w:p w:rsidR="00024C0A" w:rsidRDefault="00694C0F">
            <w:pPr>
              <w:pStyle w:val="TableBodyText"/>
            </w:pPr>
            <w:r>
              <w:t>E000 – F8FF</w:t>
            </w:r>
          </w:p>
        </w:tc>
        <w:tc>
          <w:tcPr>
            <w:tcW w:w="0" w:type="auto"/>
            <w:vAlign w:val="center"/>
          </w:tcPr>
          <w:p w:rsidR="00024C0A" w:rsidRDefault="00694C0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24C0A" w:rsidTr="00024C0A">
        <w:tc>
          <w:tcPr>
            <w:tcW w:w="0" w:type="auto"/>
            <w:vAlign w:val="center"/>
          </w:tcPr>
          <w:p w:rsidR="00024C0A" w:rsidRDefault="00694C0F">
            <w:pPr>
              <w:pStyle w:val="TableBodyText"/>
            </w:pPr>
            <w:r>
              <w:rPr>
                <w:b/>
              </w:rPr>
              <w:t>CJK Compatibility Ideographs</w:t>
            </w:r>
          </w:p>
        </w:tc>
        <w:tc>
          <w:tcPr>
            <w:tcW w:w="0" w:type="auto"/>
            <w:vAlign w:val="center"/>
          </w:tcPr>
          <w:p w:rsidR="00024C0A" w:rsidRDefault="00694C0F">
            <w:pPr>
              <w:pStyle w:val="TableBodyText"/>
            </w:pPr>
            <w:r>
              <w:t>F900 – FAFF</w:t>
            </w:r>
          </w:p>
        </w:tc>
        <w:tc>
          <w:tcPr>
            <w:tcW w:w="0" w:type="auto"/>
            <w:vAlign w:val="center"/>
          </w:tcPr>
          <w:p w:rsidR="00024C0A" w:rsidRDefault="00694C0F">
            <w:pPr>
              <w:pStyle w:val="TableBodyText"/>
            </w:pPr>
            <w:r>
              <w:rPr>
                <w:b/>
              </w:rPr>
              <w:t>eastAsia</w:t>
            </w:r>
            <w:r>
              <w:t xml:space="preserve"> (or </w:t>
            </w:r>
            <w:r>
              <w:rPr>
                <w:b/>
              </w:rPr>
              <w:t>eastAsiaTheme</w:t>
            </w:r>
            <w:r>
              <w:t xml:space="preserve"> if defined)</w:t>
            </w:r>
          </w:p>
        </w:tc>
      </w:tr>
      <w:tr w:rsidR="00024C0A" w:rsidTr="00024C0A">
        <w:tc>
          <w:tcPr>
            <w:tcW w:w="0" w:type="auto"/>
            <w:vAlign w:val="center"/>
          </w:tcPr>
          <w:p w:rsidR="00024C0A" w:rsidRDefault="00694C0F">
            <w:pPr>
              <w:pStyle w:val="TableBodyText"/>
            </w:pPr>
            <w:r>
              <w:rPr>
                <w:b/>
              </w:rPr>
              <w:t>Alphabetic Presentation Forms</w:t>
            </w:r>
          </w:p>
        </w:tc>
        <w:tc>
          <w:tcPr>
            <w:tcW w:w="0" w:type="auto"/>
            <w:vAlign w:val="center"/>
          </w:tcPr>
          <w:p w:rsidR="00024C0A" w:rsidRDefault="00694C0F">
            <w:pPr>
              <w:pStyle w:val="TableBodyText"/>
            </w:pPr>
            <w:r>
              <w:t>FB00 – FB4F</w:t>
            </w:r>
          </w:p>
        </w:tc>
        <w:tc>
          <w:tcPr>
            <w:tcW w:w="0" w:type="auto"/>
            <w:vAlign w:val="center"/>
          </w:tcPr>
          <w:p w:rsidR="00024C0A" w:rsidRDefault="00694C0F">
            <w:pPr>
              <w:pStyle w:val="TableBodyText"/>
            </w:pPr>
            <w:r>
              <w:rPr>
                <w:b/>
              </w:rPr>
              <w:t>hAnsi</w:t>
            </w:r>
            <w:r>
              <w:t xml:space="preserve"> (or </w:t>
            </w:r>
            <w:r>
              <w:rPr>
                <w:b/>
              </w:rPr>
              <w:t>hAnsiTheme</w:t>
            </w:r>
            <w:r>
              <w:t xml:space="preserve"> if defined), with the following exceptions:</w:t>
            </w:r>
          </w:p>
          <w:p w:rsidR="00024C0A" w:rsidRDefault="00694C0F">
            <w:pPr>
              <w:pStyle w:val="TableBodyText"/>
            </w:pPr>
            <w:r>
              <w:t>If th</w:t>
            </w:r>
            <w:r>
              <w:t xml:space="preserve">e </w:t>
            </w:r>
            <w:r>
              <w:rPr>
                <w:b/>
              </w:rPr>
              <w:t>hint</w:t>
            </w:r>
            <w:r>
              <w:t xml:space="preserve"> is </w:t>
            </w:r>
            <w:r>
              <w:rPr>
                <w:i/>
              </w:rPr>
              <w:t>eastAsia</w:t>
            </w:r>
            <w:r>
              <w:t xml:space="preserve"> then </w:t>
            </w:r>
            <w:r>
              <w:rPr>
                <w:b/>
              </w:rPr>
              <w:t>eastAsia</w:t>
            </w:r>
            <w:r>
              <w:t xml:space="preserve"> (or </w:t>
            </w:r>
            <w:r>
              <w:rPr>
                <w:b/>
              </w:rPr>
              <w:t>eastAsiaTheme</w:t>
            </w:r>
            <w:r>
              <w:t xml:space="preserve"> if defined) is used for characters in the range FB00 – FB1C. </w:t>
            </w:r>
          </w:p>
          <w:p w:rsidR="00024C0A" w:rsidRDefault="00694C0F">
            <w:pPr>
              <w:pStyle w:val="TableBodyText"/>
            </w:pPr>
            <w:r>
              <w:t xml:space="preserve">For the range FB1D – FB4F, </w:t>
            </w:r>
            <w:r>
              <w:rPr>
                <w:b/>
              </w:rPr>
              <w:t>ascii</w:t>
            </w:r>
            <w:r>
              <w:t xml:space="preserve"> (or </w:t>
            </w:r>
            <w:r>
              <w:rPr>
                <w:b/>
              </w:rPr>
              <w:t>asciiTheme</w:t>
            </w:r>
            <w:r>
              <w:t xml:space="preserve"> if defined) is used.</w:t>
            </w:r>
          </w:p>
        </w:tc>
      </w:tr>
      <w:tr w:rsidR="00024C0A" w:rsidTr="00024C0A">
        <w:tc>
          <w:tcPr>
            <w:tcW w:w="0" w:type="auto"/>
            <w:vAlign w:val="center"/>
          </w:tcPr>
          <w:p w:rsidR="00024C0A" w:rsidRDefault="00694C0F">
            <w:pPr>
              <w:pStyle w:val="TableBodyText"/>
            </w:pPr>
            <w:r>
              <w:rPr>
                <w:b/>
              </w:rPr>
              <w:t>Arabic Presentation Forms-A</w:t>
            </w:r>
          </w:p>
        </w:tc>
        <w:tc>
          <w:tcPr>
            <w:tcW w:w="0" w:type="auto"/>
            <w:vAlign w:val="center"/>
          </w:tcPr>
          <w:p w:rsidR="00024C0A" w:rsidRDefault="00694C0F">
            <w:pPr>
              <w:pStyle w:val="TableBodyText"/>
            </w:pPr>
            <w:r>
              <w:t>FB50 – FDFF</w:t>
            </w:r>
          </w:p>
        </w:tc>
        <w:tc>
          <w:tcPr>
            <w:tcW w:w="0" w:type="auto"/>
            <w:vAlign w:val="center"/>
          </w:tcPr>
          <w:p w:rsidR="00024C0A" w:rsidRDefault="00694C0F">
            <w:pPr>
              <w:pStyle w:val="TableBodyText"/>
            </w:pPr>
            <w:r>
              <w:rPr>
                <w:b/>
              </w:rPr>
              <w:t>ascii</w:t>
            </w:r>
            <w:r>
              <w:t xml:space="preserve"> (or </w:t>
            </w:r>
            <w:r>
              <w:rPr>
                <w:b/>
              </w:rPr>
              <w:t>asciiTheme</w:t>
            </w:r>
            <w:r>
              <w:t xml:space="preserve"> if defined)</w:t>
            </w:r>
          </w:p>
        </w:tc>
      </w:tr>
      <w:tr w:rsidR="00024C0A" w:rsidTr="00024C0A">
        <w:tc>
          <w:tcPr>
            <w:tcW w:w="0" w:type="auto"/>
            <w:vAlign w:val="center"/>
          </w:tcPr>
          <w:p w:rsidR="00024C0A" w:rsidRDefault="00694C0F">
            <w:pPr>
              <w:pStyle w:val="TableBodyText"/>
            </w:pPr>
            <w:r>
              <w:rPr>
                <w:b/>
              </w:rPr>
              <w:t>CJK Compatibility Forms</w:t>
            </w:r>
          </w:p>
        </w:tc>
        <w:tc>
          <w:tcPr>
            <w:tcW w:w="0" w:type="auto"/>
            <w:vAlign w:val="center"/>
          </w:tcPr>
          <w:p w:rsidR="00024C0A" w:rsidRDefault="00694C0F">
            <w:pPr>
              <w:pStyle w:val="TableBodyText"/>
            </w:pPr>
            <w:r>
              <w:t>FE30 – FE4F</w:t>
            </w:r>
          </w:p>
        </w:tc>
        <w:tc>
          <w:tcPr>
            <w:tcW w:w="0" w:type="auto"/>
            <w:vAlign w:val="center"/>
          </w:tcPr>
          <w:p w:rsidR="00024C0A" w:rsidRDefault="00694C0F">
            <w:pPr>
              <w:pStyle w:val="TableBodyText"/>
            </w:pPr>
            <w:r>
              <w:rPr>
                <w:b/>
              </w:rPr>
              <w:t>eastAsia</w:t>
            </w:r>
            <w:r>
              <w:t xml:space="preserve"> (or </w:t>
            </w:r>
            <w:r>
              <w:rPr>
                <w:b/>
              </w:rPr>
              <w:t>eastAsiaTheme</w:t>
            </w:r>
            <w:r>
              <w:t xml:space="preserve"> if defined)</w:t>
            </w:r>
          </w:p>
        </w:tc>
      </w:tr>
      <w:tr w:rsidR="00024C0A" w:rsidTr="00024C0A">
        <w:tc>
          <w:tcPr>
            <w:tcW w:w="0" w:type="auto"/>
            <w:vAlign w:val="center"/>
          </w:tcPr>
          <w:p w:rsidR="00024C0A" w:rsidRDefault="00694C0F">
            <w:pPr>
              <w:pStyle w:val="TableBodyText"/>
            </w:pPr>
            <w:r>
              <w:rPr>
                <w:b/>
              </w:rPr>
              <w:t>Small Form Variants</w:t>
            </w:r>
          </w:p>
        </w:tc>
        <w:tc>
          <w:tcPr>
            <w:tcW w:w="0" w:type="auto"/>
            <w:vAlign w:val="center"/>
          </w:tcPr>
          <w:p w:rsidR="00024C0A" w:rsidRDefault="00694C0F">
            <w:pPr>
              <w:pStyle w:val="TableBodyText"/>
            </w:pPr>
            <w:r>
              <w:t>FE50 – FE6F</w:t>
            </w:r>
          </w:p>
        </w:tc>
        <w:tc>
          <w:tcPr>
            <w:tcW w:w="0" w:type="auto"/>
            <w:vAlign w:val="center"/>
          </w:tcPr>
          <w:p w:rsidR="00024C0A" w:rsidRDefault="00694C0F">
            <w:pPr>
              <w:pStyle w:val="TableBodyText"/>
            </w:pPr>
            <w:r>
              <w:rPr>
                <w:b/>
              </w:rPr>
              <w:t>eastAsia</w:t>
            </w:r>
            <w:r>
              <w:t xml:space="preserve"> (or </w:t>
            </w:r>
            <w:r>
              <w:rPr>
                <w:b/>
              </w:rPr>
              <w:t>eastAsiaTheme</w:t>
            </w:r>
            <w:r>
              <w:t xml:space="preserve"> if defined)</w:t>
            </w:r>
          </w:p>
        </w:tc>
      </w:tr>
      <w:tr w:rsidR="00024C0A" w:rsidTr="00024C0A">
        <w:tc>
          <w:tcPr>
            <w:tcW w:w="0" w:type="auto"/>
            <w:vAlign w:val="center"/>
          </w:tcPr>
          <w:p w:rsidR="00024C0A" w:rsidRDefault="00694C0F">
            <w:pPr>
              <w:pStyle w:val="TableBodyText"/>
            </w:pPr>
            <w:r>
              <w:rPr>
                <w:b/>
              </w:rPr>
              <w:t>Arabic Presentation Forms-B</w:t>
            </w:r>
          </w:p>
        </w:tc>
        <w:tc>
          <w:tcPr>
            <w:tcW w:w="0" w:type="auto"/>
            <w:vAlign w:val="center"/>
          </w:tcPr>
          <w:p w:rsidR="00024C0A" w:rsidRDefault="00694C0F">
            <w:pPr>
              <w:pStyle w:val="TableBodyText"/>
            </w:pPr>
            <w:r>
              <w:t>FE70 – FEFE</w:t>
            </w:r>
          </w:p>
        </w:tc>
        <w:tc>
          <w:tcPr>
            <w:tcW w:w="0" w:type="auto"/>
            <w:vAlign w:val="center"/>
          </w:tcPr>
          <w:p w:rsidR="00024C0A" w:rsidRDefault="00694C0F">
            <w:pPr>
              <w:pStyle w:val="TableBodyText"/>
            </w:pPr>
            <w:r>
              <w:rPr>
                <w:b/>
              </w:rPr>
              <w:t>ascii</w:t>
            </w:r>
            <w:r>
              <w:t xml:space="preserve"> (or </w:t>
            </w:r>
            <w:r>
              <w:rPr>
                <w:b/>
              </w:rPr>
              <w:t>asciiTheme</w:t>
            </w:r>
            <w:r>
              <w:t xml:space="preserve"> if defined)</w:t>
            </w:r>
          </w:p>
        </w:tc>
      </w:tr>
      <w:tr w:rsidR="00024C0A" w:rsidTr="00024C0A">
        <w:tc>
          <w:tcPr>
            <w:tcW w:w="0" w:type="auto"/>
            <w:vAlign w:val="center"/>
          </w:tcPr>
          <w:p w:rsidR="00024C0A" w:rsidRDefault="00694C0F">
            <w:pPr>
              <w:pStyle w:val="TableBodyText"/>
            </w:pPr>
            <w:r>
              <w:rPr>
                <w:b/>
              </w:rPr>
              <w:t>Halfwidth and Fullwidth Forms</w:t>
            </w:r>
          </w:p>
        </w:tc>
        <w:tc>
          <w:tcPr>
            <w:tcW w:w="0" w:type="auto"/>
            <w:vAlign w:val="center"/>
          </w:tcPr>
          <w:p w:rsidR="00024C0A" w:rsidRDefault="00694C0F">
            <w:pPr>
              <w:pStyle w:val="TableBodyText"/>
            </w:pPr>
            <w:r>
              <w:t>FF00 – FFEF</w:t>
            </w:r>
          </w:p>
        </w:tc>
        <w:tc>
          <w:tcPr>
            <w:tcW w:w="0" w:type="auto"/>
            <w:vAlign w:val="center"/>
          </w:tcPr>
          <w:p w:rsidR="00024C0A" w:rsidRDefault="00694C0F">
            <w:pPr>
              <w:pStyle w:val="TableBodyText"/>
            </w:pPr>
            <w:r>
              <w:rPr>
                <w:b/>
              </w:rPr>
              <w:t>eastAsia</w:t>
            </w:r>
            <w:r>
              <w:t xml:space="preserve"> (or </w:t>
            </w:r>
            <w:r>
              <w:rPr>
                <w:b/>
              </w:rPr>
              <w:t>eastAsiaTheme</w:t>
            </w:r>
            <w:r>
              <w:t xml:space="preserve"> if defined)</w:t>
            </w:r>
          </w:p>
        </w:tc>
      </w:tr>
    </w:tbl>
    <w:p w:rsidR="00024C0A" w:rsidRDefault="00024C0A"/>
    <w:p w:rsidR="00024C0A" w:rsidRDefault="00694C0F">
      <w:pPr>
        <w:pStyle w:val="Definition-Field"/>
      </w:pPr>
      <w:r>
        <w:t xml:space="preserve">c.   </w:t>
      </w:r>
      <w:r>
        <w:rPr>
          <w:i/>
        </w:rPr>
        <w:t>The standard states that the default fonts for the ascii, hAnsi, cs, and eastAsia attributes are application-defined.</w:t>
      </w:r>
    </w:p>
    <w:p w:rsidR="00024C0A" w:rsidRDefault="00694C0F">
      <w:pPr>
        <w:pStyle w:val="Definition-Field2"/>
      </w:pPr>
      <w:r>
        <w:t>Word uses a default font of Times New Roman for all of these attributes.</w:t>
      </w:r>
    </w:p>
    <w:p w:rsidR="00024C0A" w:rsidRDefault="00694C0F">
      <w:pPr>
        <w:pStyle w:val="Definition-Field"/>
      </w:pPr>
      <w:r>
        <w:t xml:space="preserve">d.   </w:t>
      </w:r>
      <w:r>
        <w:rPr>
          <w:i/>
        </w:rPr>
        <w:t>Th</w:t>
      </w:r>
      <w:r>
        <w:rPr>
          <w:i/>
        </w:rPr>
        <w:t>e standard states that all characters that are determined to be East Asian should use the value of eastAsia element as the font.</w:t>
      </w:r>
    </w:p>
    <w:p w:rsidR="00024C0A" w:rsidRDefault="00694C0F">
      <w:pPr>
        <w:pStyle w:val="Definition-Field2"/>
      </w:pPr>
      <w:r>
        <w:t>If the value of eastAsia attibute is "Times New Roman", and the value of the ascii (or asciiTheme) and the hAnsi (or hAnsiTheme</w:t>
      </w:r>
      <w:r>
        <w:t>) attributes are equal, then the value of the ascii (or asciiTheme, if defined) attribute is used as the font.</w:t>
      </w:r>
    </w:p>
    <w:p w:rsidR="00024C0A" w:rsidRDefault="00694C0F">
      <w:pPr>
        <w:pStyle w:val="Definition-Field"/>
        <w:rPr>
          <w:i/>
        </w:rPr>
      </w:pPr>
      <w:r>
        <w:rPr>
          <w:i/>
        </w:rPr>
        <w:t>e.   The standard states the following regarding ascii and asciiTheme attributes: If the asciiTheme attribute is also specified, then this attrib</w:t>
      </w:r>
      <w:r>
        <w:rPr>
          <w:i/>
        </w:rPr>
        <w:t xml:space="preserve">ute (ascii) shall be ignored and that value shall be used instead. If the ascii attribute is also specified, then that attribute (asciiTheme) shall be ignored and this value shall be used instead. </w:t>
      </w:r>
    </w:p>
    <w:p w:rsidR="00024C0A" w:rsidRDefault="00694C0F">
      <w:pPr>
        <w:spacing w:before="0" w:after="0"/>
        <w:ind w:left="360"/>
      </w:pPr>
      <w:r>
        <w:t xml:space="preserve">These statements only apply to the current rFonts element </w:t>
      </w:r>
      <w:r>
        <w:t>that both attributes appear in and are not taken into consideration at different levels of the style hierarchy.</w:t>
      </w:r>
    </w:p>
    <w:p w:rsidR="00024C0A" w:rsidRDefault="00694C0F">
      <w:pPr>
        <w:spacing w:before="0" w:after="0"/>
        <w:ind w:left="360"/>
      </w:pPr>
      <w:r>
        <w:t> </w:t>
      </w:r>
    </w:p>
    <w:p w:rsidR="00024C0A" w:rsidRDefault="00694C0F">
      <w:pPr>
        <w:spacing w:before="0" w:after="0"/>
        <w:ind w:left="360"/>
      </w:pPr>
      <w:r>
        <w:t>If an inherited style contains an rFonts element with the ascii attribute it will override any previously specified ascii or asciiTheme attrib</w:t>
      </w:r>
      <w:r>
        <w:t>ute in the style hierarchy. The same is true of the asciiTheme attribute, it will also override any previously specified asciiTheme or ascii attribute in the style hierarchy.</w:t>
      </w:r>
    </w:p>
    <w:p w:rsidR="00024C0A" w:rsidRDefault="00694C0F">
      <w:pPr>
        <w:spacing w:before="0" w:after="0"/>
        <w:ind w:left="360"/>
      </w:pPr>
      <w:r>
        <w:t> </w:t>
      </w:r>
    </w:p>
    <w:p w:rsidR="00024C0A" w:rsidRDefault="00694C0F">
      <w:pPr>
        <w:spacing w:before="0" w:after="0"/>
        <w:ind w:left="360"/>
      </w:pPr>
      <w:r>
        <w:t>Similar behavior exists for cs, csTheme, eastAsia, easAsiaTheme, hAnsi, and hAn</w:t>
      </w:r>
      <w:r>
        <w:t xml:space="preserve">siTheme attributes. </w:t>
      </w:r>
    </w:p>
    <w:p w:rsidR="00024C0A" w:rsidRDefault="00694C0F">
      <w:pPr>
        <w:pStyle w:val="Heading3"/>
      </w:pPr>
      <w:bookmarkStart w:id="193" w:name="section_db26e22195ca499589a2087f606df11f"/>
      <w:bookmarkStart w:id="194" w:name="_Toc12260157"/>
      <w:r>
        <w:lastRenderedPageBreak/>
        <w:t>Part 1 Section 17.3.2.27, rPr (Previous Run Properties)</w:t>
      </w:r>
      <w:bookmarkEnd w:id="193"/>
      <w:bookmarkEnd w:id="194"/>
      <w:r>
        <w:fldChar w:fldCharType="begin"/>
      </w:r>
      <w:r>
        <w:instrText xml:space="preserve"> XE "rPr (Previous Run Properties)"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hyperlink>
      <w:r>
        <w:rPr>
          <w:i/>
        </w:rPr>
        <w:t>.</w:t>
      </w:r>
    </w:p>
    <w:p w:rsidR="00024C0A" w:rsidRDefault="00694C0F">
      <w:pPr>
        <w:pStyle w:val="Heading3"/>
      </w:pPr>
      <w:bookmarkStart w:id="195" w:name="section_09fdbd6fad184a3392a6d948e65b8f1b"/>
      <w:bookmarkStart w:id="196" w:name="_Toc12260158"/>
      <w:r>
        <w:t>Part 1 Section 17.3.2.28, rPr (Run Properties)</w:t>
      </w:r>
      <w:bookmarkEnd w:id="195"/>
      <w:bookmarkEnd w:id="196"/>
      <w:r>
        <w:fldChar w:fldCharType="begin"/>
      </w:r>
      <w:r>
        <w:instrText xml:space="preserve"> XE "rPr (Run Properties)" </w:instrText>
      </w:r>
      <w:r>
        <w:fldChar w:fldCharType="end"/>
      </w:r>
    </w:p>
    <w:p w:rsidR="00024C0A" w:rsidRDefault="00694C0F">
      <w:pPr>
        <w:pStyle w:val="Definition-Field2"/>
      </w:pPr>
      <w:r>
        <w:rPr>
          <w:i/>
        </w:rPr>
        <w:t>For additiona</w:t>
      </w:r>
      <w:r>
        <w:rPr>
          <w:i/>
        </w:rPr>
        <w:t xml:space="preserve">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hyperlink>
      <w:r>
        <w:rPr>
          <w:i/>
        </w:rPr>
        <w:t>.</w:t>
      </w:r>
    </w:p>
    <w:p w:rsidR="00024C0A" w:rsidRDefault="00694C0F">
      <w:pPr>
        <w:pStyle w:val="Heading3"/>
      </w:pPr>
      <w:bookmarkStart w:id="197" w:name="section_73fcb2a52673440c8be215a35a93346e"/>
      <w:bookmarkStart w:id="198" w:name="_Toc12260159"/>
      <w:r>
        <w:t>Part 1 Sec</w:t>
      </w:r>
      <w:r>
        <w:t>tion 17.3.2.29, rStyle (Referenced Character Style)</w:t>
      </w:r>
      <w:bookmarkEnd w:id="197"/>
      <w:bookmarkEnd w:id="198"/>
      <w:r>
        <w:fldChar w:fldCharType="begin"/>
      </w:r>
      <w:r>
        <w:instrText xml:space="preserve"> XE "rStyle (Referenced Character Style)"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9f0ca7a05e6a487ebb522b74d4bb614a">
        <w:r>
          <w:rPr>
            <w:rStyle w:val="Hyperlink"/>
          </w:rPr>
          <w:t>rPr, §1</w:t>
        </w:r>
        <w:r>
          <w:rPr>
            <w:rStyle w:val="Hyperlink"/>
          </w:rPr>
          <w:t>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1e273b9e816940a691aaf9ebd083e0b8">
        <w:r>
          <w:rPr>
            <w:rStyle w:val="Hyperlink"/>
          </w:rPr>
          <w:t xml:space="preserve">numStyleLink, </w:t>
        </w:r>
        <w:r>
          <w:rPr>
            <w:rStyle w:val="Hyperlink"/>
          </w:rPr>
          <w:t>§17.9.21(a)</w:t>
        </w:r>
      </w:hyperlink>
      <w:r>
        <w:rPr>
          <w:i/>
        </w:rPr>
        <w:t xml:space="preserve">; </w:t>
      </w:r>
      <w:hyperlink w:anchor="Section_ffb4a990b46f4e388db396fc13d0b0f6">
        <w:r>
          <w:rPr>
            <w:rStyle w:val="Hyperlink"/>
          </w:rPr>
          <w:t>rPr, §17.9.24(a)</w:t>
        </w:r>
      </w:hyperlink>
      <w:r>
        <w:rPr>
          <w:i/>
        </w:rPr>
        <w:t>.</w:t>
      </w:r>
    </w:p>
    <w:p w:rsidR="00024C0A" w:rsidRDefault="00694C0F">
      <w:pPr>
        <w:pStyle w:val="Definition-Field"/>
      </w:pPr>
      <w:r>
        <w:t xml:space="preserve">a.   </w:t>
      </w:r>
      <w:r>
        <w:rPr>
          <w:i/>
        </w:rPr>
        <w:t>The standard states that this element specifies the style ID of the character style that shall be used to format the contents of this paragraph.</w:t>
      </w:r>
    </w:p>
    <w:p w:rsidR="00024C0A" w:rsidRDefault="00694C0F">
      <w:pPr>
        <w:pStyle w:val="Definition-Field2"/>
      </w:pPr>
      <w:r>
        <w:t>Word applies</w:t>
      </w:r>
      <w:r>
        <w:t xml:space="preserve"> character styles to the parent run.</w:t>
      </w:r>
    </w:p>
    <w:p w:rsidR="00024C0A" w:rsidRDefault="00694C0F">
      <w:pPr>
        <w:pStyle w:val="Definition-Field"/>
      </w:pPr>
      <w:r>
        <w:t xml:space="preserve">b.   </w:t>
      </w:r>
      <w:r>
        <w:rPr>
          <w:i/>
        </w:rPr>
        <w:t>The standard does not limit the length of the value of the val attribute.</w:t>
      </w:r>
    </w:p>
    <w:p w:rsidR="00024C0A" w:rsidRDefault="00694C0F">
      <w:pPr>
        <w:pStyle w:val="Definition-Field2"/>
      </w:pPr>
      <w:r>
        <w:t>Word restricts the value of this attribute to be at most 253 characters.</w:t>
      </w:r>
    </w:p>
    <w:p w:rsidR="00024C0A" w:rsidRDefault="00694C0F">
      <w:pPr>
        <w:pStyle w:val="Heading3"/>
      </w:pPr>
      <w:bookmarkStart w:id="199" w:name="section_da2e20e23a5748c094fc7e7bc05831a2"/>
      <w:bookmarkStart w:id="200" w:name="_Toc12260160"/>
      <w:r>
        <w:t>Part 1 Section 17.3.2.30, rtl (Right To Left Text)</w:t>
      </w:r>
      <w:bookmarkEnd w:id="199"/>
      <w:bookmarkEnd w:id="200"/>
      <w:r>
        <w:fldChar w:fldCharType="begin"/>
      </w:r>
      <w:r>
        <w:instrText xml:space="preserve"> XE "rtl (Right T</w:instrText>
      </w:r>
      <w:r>
        <w:instrText xml:space="preserve">o Left Text)"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w:t>
        </w:r>
        <w:r>
          <w:rPr>
            <w:rStyle w:val="Hyperlink"/>
          </w:rPr>
          <w:t xml:space="preserve"> §17.7.6.2(a)</w:t>
        </w:r>
      </w:hyperlink>
      <w:r>
        <w:rPr>
          <w:i/>
        </w:rPr>
        <w:t xml:space="preserve">; </w:t>
      </w:r>
      <w:hyperlink w:anchor="Section_0f36799f599e449b8d9dcd42c9c6e41f">
        <w:r>
          <w:rPr>
            <w:rStyle w:val="Hyperlink"/>
          </w:rPr>
          <w:t>rPr, §17.7.9.1(a)</w:t>
        </w:r>
      </w:hyperlink>
      <w:r>
        <w:rPr>
          <w:i/>
        </w:rPr>
        <w:t>.</w:t>
      </w:r>
    </w:p>
    <w:p w:rsidR="00024C0A" w:rsidRDefault="00694C0F">
      <w:pPr>
        <w:pStyle w:val="Heading3"/>
      </w:pPr>
      <w:bookmarkStart w:id="201" w:name="section_3b963a5d814141b09dab75b578400861"/>
      <w:bookmarkStart w:id="202" w:name="_Toc12260161"/>
      <w:r>
        <w:t>Part 1 Section 17.3.2.31, shadow (Shadow)</w:t>
      </w:r>
      <w:bookmarkEnd w:id="201"/>
      <w:bookmarkEnd w:id="202"/>
      <w:r>
        <w:fldChar w:fldCharType="begin"/>
      </w:r>
      <w:r>
        <w:instrText xml:space="preserve"> XE "shadow (Shadow)" </w:instrText>
      </w:r>
      <w:r>
        <w:fldChar w:fldCharType="end"/>
      </w:r>
    </w:p>
    <w:p w:rsidR="00024C0A" w:rsidRDefault="00694C0F">
      <w:pPr>
        <w:pStyle w:val="Definition-Field"/>
      </w:pPr>
      <w:r>
        <w:t xml:space="preserve">a.   </w:t>
      </w:r>
      <w:r>
        <w:rPr>
          <w:i/>
        </w:rPr>
        <w:t>The standard states that for left-to-right text, the shadow is beneath the text and to i</w:t>
      </w:r>
      <w:r>
        <w:rPr>
          <w:i/>
        </w:rPr>
        <w:t>ts right; for right-to-left text, the shadow is beneath the text and to its left.</w:t>
      </w:r>
    </w:p>
    <w:p w:rsidR="00024C0A" w:rsidRDefault="00694C0F">
      <w:pPr>
        <w:pStyle w:val="Definition-Field2"/>
      </w:pPr>
      <w:r>
        <w:t>Word always shows the shadow beneath the text and to its right, regardless of direction of text.</w:t>
      </w:r>
    </w:p>
    <w:p w:rsidR="00024C0A" w:rsidRDefault="00694C0F">
      <w:pPr>
        <w:pStyle w:val="Heading3"/>
      </w:pPr>
      <w:bookmarkStart w:id="203" w:name="section_9eaa0715d38f4c548f1ff1e0d5eb6cdb"/>
      <w:bookmarkStart w:id="204" w:name="_Toc12260162"/>
      <w:r>
        <w:t>Part 1 Section 17.3.2.32, shd (Run Shading)</w:t>
      </w:r>
      <w:bookmarkEnd w:id="203"/>
      <w:bookmarkEnd w:id="204"/>
      <w:r>
        <w:fldChar w:fldCharType="begin"/>
      </w:r>
      <w:r>
        <w:instrText xml:space="preserve"> XE "shd (Run Shading)" </w:instrText>
      </w:r>
      <w:r>
        <w:fldChar w:fldCharType="end"/>
      </w:r>
    </w:p>
    <w:p w:rsidR="00024C0A" w:rsidRDefault="00694C0F">
      <w:pPr>
        <w:pStyle w:val="Definition-Field2"/>
      </w:pPr>
      <w:r>
        <w:rPr>
          <w:i/>
        </w:rPr>
        <w:t>For add</w:t>
      </w:r>
      <w:r>
        <w:rPr>
          <w:i/>
        </w:rPr>
        <w:t xml:space="preserve">itional notes that apply to this portion of the standard, please see the notes for </w:t>
      </w:r>
      <w:hyperlink w:anchor="Section_4f0cccae70c2492abc943ccc39172119">
        <w:r>
          <w:rPr>
            <w:rStyle w:val="Hyperlink"/>
          </w:rPr>
          <w:t>shd, §17.4.32(a,d)</w:t>
        </w:r>
      </w:hyperlink>
      <w:r>
        <w:rPr>
          <w:i/>
        </w:rPr>
        <w:t>.</w:t>
      </w:r>
    </w:p>
    <w:p w:rsidR="00024C0A" w:rsidRDefault="00694C0F">
      <w:pPr>
        <w:pStyle w:val="Heading3"/>
      </w:pPr>
      <w:bookmarkStart w:id="205" w:name="section_94e629161ec0494486039f3162b6ccbd"/>
      <w:bookmarkStart w:id="206" w:name="_Toc12260163"/>
      <w:r>
        <w:t>Part 1 Section 17.3.2.33, smallCaps (Small Caps)</w:t>
      </w:r>
      <w:bookmarkEnd w:id="205"/>
      <w:bookmarkEnd w:id="206"/>
      <w:r>
        <w:fldChar w:fldCharType="begin"/>
      </w:r>
      <w:r>
        <w:instrText xml:space="preserve"> XE "smallCaps (Small Caps)" </w:instrText>
      </w:r>
      <w:r>
        <w:fldChar w:fldCharType="end"/>
      </w:r>
    </w:p>
    <w:p w:rsidR="00024C0A" w:rsidRDefault="00694C0F">
      <w:pPr>
        <w:pStyle w:val="Definition-Field"/>
      </w:pPr>
      <w:r>
        <w:t xml:space="preserve">a.   </w:t>
      </w:r>
      <w:r>
        <w:rPr>
          <w:i/>
        </w:rPr>
        <w:t>The s</w:t>
      </w:r>
      <w:r>
        <w:rPr>
          <w:i/>
        </w:rPr>
        <w:t>tandard states that all small letter characters shall display as their capital letter equivalent in a font size two points smaller than the actual font size specified.</w:t>
      </w:r>
    </w:p>
    <w:p w:rsidR="00024C0A" w:rsidRDefault="00694C0F">
      <w:pPr>
        <w:pStyle w:val="Definition-Field2"/>
      </w:pPr>
      <w:r>
        <w:t>Word displays small caps text in a font size slightly smaller than the original size, bu</w:t>
      </w:r>
      <w:r>
        <w:t>t not exactly 2 points smaller.</w:t>
      </w:r>
    </w:p>
    <w:p w:rsidR="00024C0A" w:rsidRDefault="00694C0F">
      <w:pPr>
        <w:pStyle w:val="Heading3"/>
      </w:pPr>
      <w:bookmarkStart w:id="207" w:name="section_7f709c81c04a4a1fa5b55ffbe94268a5"/>
      <w:bookmarkStart w:id="208" w:name="_Toc12260164"/>
      <w:r>
        <w:t>Part 1 Section 17.3.2.35, spacing (Character Spacing Adjustment)</w:t>
      </w:r>
      <w:bookmarkEnd w:id="207"/>
      <w:bookmarkEnd w:id="208"/>
      <w:r>
        <w:fldChar w:fldCharType="begin"/>
      </w:r>
      <w:r>
        <w:instrText xml:space="preserve"> XE "spacing (Character Spacing Adjustment)" </w:instrText>
      </w:r>
      <w:r>
        <w:fldChar w:fldCharType="end"/>
      </w:r>
    </w:p>
    <w:p w:rsidR="00024C0A" w:rsidRDefault="00694C0F">
      <w:pPr>
        <w:pStyle w:val="Definition-Field"/>
      </w:pPr>
      <w:r>
        <w:t xml:space="preserve">a.   </w:t>
      </w:r>
      <w:r>
        <w:rPr>
          <w:i/>
        </w:rPr>
        <w:t>The standard does not state how a conflict between this element and the fitText element should be resolved,</w:t>
      </w:r>
      <w:r>
        <w:rPr>
          <w:i/>
        </w:rPr>
        <w:t xml:space="preserve"> when their requirements conflict.</w:t>
      </w:r>
    </w:p>
    <w:p w:rsidR="00024C0A" w:rsidRDefault="00694C0F">
      <w:pPr>
        <w:pStyle w:val="Definition-Field2"/>
      </w:pPr>
      <w:r>
        <w:t>Word ignores this element when the fitText element is also specified.</w:t>
      </w:r>
    </w:p>
    <w:p w:rsidR="00024C0A" w:rsidRDefault="00694C0F">
      <w:pPr>
        <w:pStyle w:val="Definition-Field"/>
      </w:pPr>
      <w:r>
        <w:lastRenderedPageBreak/>
        <w:t xml:space="preserve">b.   </w:t>
      </w:r>
      <w:r>
        <w:rPr>
          <w:i/>
        </w:rPr>
        <w:t>The standard states that the values of the val attribute are defined by the XML Schema integer datatype.</w:t>
      </w:r>
    </w:p>
    <w:p w:rsidR="00024C0A" w:rsidRDefault="00694C0F">
      <w:pPr>
        <w:pStyle w:val="Definition-Field2"/>
      </w:pPr>
      <w:r>
        <w:t>Word restricts the value of this attribut</w:t>
      </w:r>
      <w:r>
        <w:t>e to be at least -31680 (-22") and at most 31680 (22").</w:t>
      </w:r>
    </w:p>
    <w:p w:rsidR="00024C0A" w:rsidRDefault="00694C0F">
      <w:pPr>
        <w:pStyle w:val="Heading3"/>
      </w:pPr>
      <w:bookmarkStart w:id="209" w:name="section_d5de3ae0d0e448b28cfc1a250eb30ac4"/>
      <w:bookmarkStart w:id="210" w:name="_Toc12260165"/>
      <w:r>
        <w:t>Part 1 Section 17.3.2.36, specVanish (Paragraph Mark Is Always Hidden)</w:t>
      </w:r>
      <w:bookmarkEnd w:id="209"/>
      <w:bookmarkEnd w:id="210"/>
      <w:r>
        <w:fldChar w:fldCharType="begin"/>
      </w:r>
      <w:r>
        <w:instrText xml:space="preserve"> XE "specVanish (Paragraph Mark Is Always Hidden)" </w:instrText>
      </w:r>
      <w:r>
        <w:fldChar w:fldCharType="end"/>
      </w:r>
    </w:p>
    <w:p w:rsidR="00024C0A" w:rsidRDefault="00694C0F">
      <w:pPr>
        <w:pStyle w:val="Definition-Field"/>
      </w:pPr>
      <w:r>
        <w:t xml:space="preserve">a.   </w:t>
      </w:r>
      <w:r>
        <w:rPr>
          <w:i/>
        </w:rPr>
        <w:t xml:space="preserve">The standard states that this element results in the text always being </w:t>
      </w:r>
      <w:r>
        <w:rPr>
          <w:i/>
        </w:rPr>
        <w:t>hidden.</w:t>
      </w:r>
    </w:p>
    <w:p w:rsidR="00024C0A" w:rsidRDefault="00694C0F">
      <w:pPr>
        <w:pStyle w:val="Definition-Field2"/>
      </w:pPr>
      <w:r>
        <w:t>Word ignores this element unless the vanish element is also set.</w:t>
      </w:r>
    </w:p>
    <w:p w:rsidR="00024C0A" w:rsidRDefault="00694C0F">
      <w:pPr>
        <w:pStyle w:val="Heading3"/>
      </w:pPr>
      <w:bookmarkStart w:id="211" w:name="section_4f2762ad03f64430be6e2a85480268ee"/>
      <w:bookmarkStart w:id="212" w:name="_Toc12260166"/>
      <w:r>
        <w:t>Part 1 Section 17.3.2.38, sz (Non-Complex Script Font Size)</w:t>
      </w:r>
      <w:bookmarkEnd w:id="211"/>
      <w:bookmarkEnd w:id="212"/>
      <w:r>
        <w:fldChar w:fldCharType="begin"/>
      </w:r>
      <w:r>
        <w:instrText xml:space="preserve"> XE "sz (Non-Complex Script Font Size)" </w:instrText>
      </w:r>
      <w:r>
        <w:fldChar w:fldCharType="end"/>
      </w:r>
    </w:p>
    <w:p w:rsidR="00024C0A" w:rsidRDefault="00694C0F">
      <w:pPr>
        <w:pStyle w:val="Definition-Field"/>
      </w:pPr>
      <w:r>
        <w:t xml:space="preserve">a.   </w:t>
      </w:r>
      <w:r>
        <w:rPr>
          <w:i/>
        </w:rPr>
        <w:t xml:space="preserve">The standard states that this element applies font size to non-complex </w:t>
      </w:r>
      <w:r>
        <w:rPr>
          <w:i/>
        </w:rPr>
        <w:t>script characters but does not specify how that determination is made.</w:t>
      </w:r>
    </w:p>
    <w:p w:rsidR="00024C0A" w:rsidRDefault="00694C0F">
      <w:pPr>
        <w:pStyle w:val="Definition-Field2"/>
      </w:pPr>
      <w:r>
        <w:t>Word determines this state based on the state of the cs and rtl properties and applies font size to runs that do not use either of those properties.</w:t>
      </w:r>
    </w:p>
    <w:p w:rsidR="00024C0A" w:rsidRDefault="00694C0F">
      <w:pPr>
        <w:pStyle w:val="Heading3"/>
      </w:pPr>
      <w:bookmarkStart w:id="213" w:name="section_40f37d666eb14e72b768a8bfec1f78df"/>
      <w:bookmarkStart w:id="214" w:name="_Toc12260167"/>
      <w:r>
        <w:t>Part 1 Section 17.3.2.39, szCs (Comp</w:t>
      </w:r>
      <w:r>
        <w:t>lex Script Font Size)</w:t>
      </w:r>
      <w:bookmarkEnd w:id="213"/>
      <w:bookmarkEnd w:id="214"/>
      <w:r>
        <w:fldChar w:fldCharType="begin"/>
      </w:r>
      <w:r>
        <w:instrText xml:space="preserve"> XE "szCs (Complex Script Font Size)" </w:instrText>
      </w:r>
      <w:r>
        <w:fldChar w:fldCharType="end"/>
      </w:r>
    </w:p>
    <w:p w:rsidR="00024C0A" w:rsidRDefault="00694C0F">
      <w:pPr>
        <w:pStyle w:val="Definition-Field"/>
      </w:pPr>
      <w:r>
        <w:t xml:space="preserve">a.   </w:t>
      </w:r>
      <w:r>
        <w:rPr>
          <w:i/>
        </w:rPr>
        <w:t>The standard states that this element applies font size to complex script characters but does not specify how that determination is made.</w:t>
      </w:r>
    </w:p>
    <w:p w:rsidR="00024C0A" w:rsidRDefault="00694C0F">
      <w:pPr>
        <w:pStyle w:val="Definition-Field2"/>
      </w:pPr>
      <w:r>
        <w:t xml:space="preserve">Word determines this state based on the state of </w:t>
      </w:r>
      <w:r>
        <w:t>the cs and rtl properties and applies font size to runs that use either of those properties.</w:t>
      </w:r>
    </w:p>
    <w:p w:rsidR="00024C0A" w:rsidRDefault="00694C0F">
      <w:pPr>
        <w:pStyle w:val="Heading3"/>
      </w:pPr>
      <w:bookmarkStart w:id="215" w:name="section_983b4d5a53ba4d7989cbfc13303af71b"/>
      <w:bookmarkStart w:id="216" w:name="_Toc12260168"/>
      <w:r>
        <w:t>Part 1 Section 17.3.2.40, u (Underline)</w:t>
      </w:r>
      <w:bookmarkEnd w:id="215"/>
      <w:bookmarkEnd w:id="216"/>
      <w:r>
        <w:fldChar w:fldCharType="begin"/>
      </w:r>
      <w:r>
        <w:instrText xml:space="preserve"> XE "u (Underline)" </w:instrText>
      </w:r>
      <w:r>
        <w:fldChar w:fldCharType="end"/>
      </w:r>
    </w:p>
    <w:p w:rsidR="00024C0A" w:rsidRDefault="00694C0F">
      <w:pPr>
        <w:pStyle w:val="Definition-Field"/>
      </w:pPr>
      <w:r>
        <w:t xml:space="preserve">a.   </w:t>
      </w:r>
      <w:r>
        <w:rPr>
          <w:i/>
        </w:rPr>
        <w:t>The standard does not state a default value for the color attribute.</w:t>
      </w:r>
    </w:p>
    <w:p w:rsidR="00024C0A" w:rsidRDefault="00694C0F">
      <w:pPr>
        <w:pStyle w:val="Definition-Field2"/>
      </w:pPr>
      <w:r>
        <w:t>If the color attribute is n</w:t>
      </w:r>
      <w:r>
        <w:t>ot specified, Word defaults to the value defined in the style hierarchy and then to a value of auto.</w:t>
      </w:r>
    </w:p>
    <w:p w:rsidR="00024C0A" w:rsidRDefault="00694C0F">
      <w:pPr>
        <w:pStyle w:val="Definition-Field"/>
      </w:pPr>
      <w:r>
        <w:t xml:space="preserve">b.   </w:t>
      </w:r>
      <w:r>
        <w:rPr>
          <w:i/>
        </w:rPr>
        <w:t>The standard does not state which setting is applied when both the themeShade and the themeTint attributes are present.</w:t>
      </w:r>
    </w:p>
    <w:p w:rsidR="00024C0A" w:rsidRDefault="00694C0F">
      <w:pPr>
        <w:pStyle w:val="Definition-Field2"/>
      </w:pPr>
      <w:r>
        <w:t>Word applies the themeTint set</w:t>
      </w:r>
      <w:r>
        <w:t>ting when both of these attributes are present.</w:t>
      </w:r>
    </w:p>
    <w:p w:rsidR="00024C0A" w:rsidRDefault="00694C0F">
      <w:pPr>
        <w:pStyle w:val="Definition-Field"/>
      </w:pPr>
      <w:r>
        <w:t xml:space="preserve">c.   </w:t>
      </w:r>
      <w:r>
        <w:rPr>
          <w:i/>
        </w:rPr>
        <w:t>The standard does not specify a default value for the val attribute.</w:t>
      </w:r>
    </w:p>
    <w:p w:rsidR="00024C0A" w:rsidRDefault="00694C0F">
      <w:pPr>
        <w:pStyle w:val="Definition-Field2"/>
      </w:pPr>
      <w:r>
        <w:t>If the val attribute is not specified, Word defaults to the value defined in the style hierarchy and then to no underline.</w:t>
      </w:r>
    </w:p>
    <w:p w:rsidR="00024C0A" w:rsidRDefault="00694C0F">
      <w:pPr>
        <w:pStyle w:val="Heading3"/>
      </w:pPr>
      <w:bookmarkStart w:id="217" w:name="section_9008244b5c6a4219943e9431cf3372bc"/>
      <w:bookmarkStart w:id="218" w:name="_Toc12260169"/>
      <w:r>
        <w:t>Part 1 Sect</w:t>
      </w:r>
      <w:r>
        <w:t>ion 17.3.2.44, webHidden (Web Hidden Text)</w:t>
      </w:r>
      <w:bookmarkEnd w:id="217"/>
      <w:bookmarkEnd w:id="218"/>
      <w:r>
        <w:fldChar w:fldCharType="begin"/>
      </w:r>
      <w:r>
        <w:instrText xml:space="preserve"> XE "webHidden (Web Hidden Text)" </w:instrText>
      </w:r>
      <w:r>
        <w:fldChar w:fldCharType="end"/>
      </w:r>
    </w:p>
    <w:p w:rsidR="00024C0A" w:rsidRDefault="00694C0F">
      <w:pPr>
        <w:pStyle w:val="Definition-Field"/>
      </w:pPr>
      <w:r>
        <w:t xml:space="preserve">a.   </w:t>
      </w:r>
      <w:r>
        <w:rPr>
          <w:i/>
        </w:rPr>
        <w:t>The standard states that this setting shall cause content to be hidden from display at display time in a document when the document is being displayed in a web page view.</w:t>
      </w:r>
    </w:p>
    <w:p w:rsidR="00024C0A" w:rsidRDefault="00694C0F">
      <w:pPr>
        <w:pStyle w:val="Definition-Field2"/>
      </w:pPr>
      <w:r>
        <w:t>W</w:t>
      </w:r>
      <w:r>
        <w:t>ord ignores this setting when it is applied as part of a character style definition.</w:t>
      </w:r>
    </w:p>
    <w:p w:rsidR="00024C0A" w:rsidRDefault="00694C0F">
      <w:pPr>
        <w:pStyle w:val="Definition-Field"/>
      </w:pPr>
      <w:r>
        <w:t xml:space="preserve">b.   </w:t>
      </w:r>
      <w:r>
        <w:rPr>
          <w:i/>
        </w:rPr>
        <w:t>The standard states that this element specifies whether the contents of this run shall be hidden from display at display time in a document when the document is being</w:t>
      </w:r>
      <w:r>
        <w:rPr>
          <w:i/>
        </w:rPr>
        <w:t xml:space="preserve"> displayed in a web page view.</w:t>
      </w:r>
    </w:p>
    <w:p w:rsidR="00024C0A" w:rsidRDefault="00694C0F">
      <w:pPr>
        <w:pStyle w:val="Definition-Field2"/>
      </w:pPr>
      <w:r>
        <w:t>If this element is present within the previous run properties for a run, Word will apply that setting to the current run properties when it is saved.</w:t>
      </w:r>
    </w:p>
    <w:p w:rsidR="00024C0A" w:rsidRDefault="00694C0F">
      <w:pPr>
        <w:pStyle w:val="Heading3"/>
      </w:pPr>
      <w:bookmarkStart w:id="219" w:name="section_7e9860bb2b3d469aa3ea08a692df6507"/>
      <w:bookmarkStart w:id="220" w:name="_Toc12260170"/>
      <w:r>
        <w:lastRenderedPageBreak/>
        <w:t>Part 1 Section 17.3.3.2, contentPart (Content Part)</w:t>
      </w:r>
      <w:bookmarkEnd w:id="219"/>
      <w:bookmarkEnd w:id="220"/>
      <w:r>
        <w:fldChar w:fldCharType="begin"/>
      </w:r>
      <w:r>
        <w:instrText xml:space="preserve"> XE "contentPart (Conten</w:instrText>
      </w:r>
      <w:r>
        <w:instrText xml:space="preserve">t Part)" </w:instrText>
      </w:r>
      <w:r>
        <w:fldChar w:fldCharType="end"/>
      </w:r>
    </w:p>
    <w:p w:rsidR="00024C0A" w:rsidRDefault="00694C0F">
      <w:pPr>
        <w:pStyle w:val="Definition-Field"/>
      </w:pPr>
      <w:r>
        <w:t xml:space="preserve">a.   </w:t>
      </w:r>
      <w:r>
        <w:rPr>
          <w:i/>
        </w:rPr>
        <w:t>The standard states that if an application cannot process content of the content type specified by the targeted part, then it should continue to process the file. If possible, it should also provide some indication that unknown content was</w:t>
      </w:r>
      <w:r>
        <w:rPr>
          <w:i/>
        </w:rPr>
        <w:t xml:space="preserve"> not imported.</w:t>
      </w:r>
    </w:p>
    <w:p w:rsidR="00024C0A" w:rsidRDefault="00694C0F">
      <w:r>
        <w:t>Word will fail to load the document if the content part’s content type is not text/xml.  Otherwise, Word will ignore the content part without any indication if the root namespace is not recognized.  For example, Word 2013 will ignore the con</w:t>
      </w:r>
      <w:r>
        <w:t>tent part without any indication if the root namespace neither “http://www.w3.org/1998/Math/MathML” nor “http://www.w3.org/2003/InkML”.</w:t>
      </w:r>
    </w:p>
    <w:p w:rsidR="00024C0A" w:rsidRDefault="00694C0F">
      <w:pPr>
        <w:pStyle w:val="Heading3"/>
      </w:pPr>
      <w:bookmarkStart w:id="221" w:name="section_4dd24eb05f974935875aba6fb4a1ea6d"/>
      <w:bookmarkStart w:id="222" w:name="_Toc12260171"/>
      <w:r>
        <w:t>Part 1 Section 17.3.3.3, control (Embedded Control)</w:t>
      </w:r>
      <w:bookmarkEnd w:id="221"/>
      <w:bookmarkEnd w:id="222"/>
      <w:r>
        <w:fldChar w:fldCharType="begin"/>
      </w:r>
      <w:r>
        <w:instrText xml:space="preserve"> XE "control (Embedded Control)" </w:instrText>
      </w:r>
      <w:r>
        <w:fldChar w:fldCharType="end"/>
      </w:r>
    </w:p>
    <w:p w:rsidR="00024C0A" w:rsidRDefault="00694C0F">
      <w:pPr>
        <w:pStyle w:val="Definition-Field2"/>
      </w:pPr>
      <w:r>
        <w:rPr>
          <w:i/>
        </w:rPr>
        <w:t>For additional notes that apply t</w:t>
      </w:r>
      <w:r>
        <w:rPr>
          <w:i/>
        </w:rPr>
        <w:t xml:space="preserve">o this portion of the standard, please see the notes for </w:t>
      </w:r>
      <w:hyperlink w:anchor="Section_6fb2a0fdd9af44a4a0ed5dd4ad286134">
        <w:r>
          <w:rPr>
            <w:rStyle w:val="Hyperlink"/>
          </w:rPr>
          <w:t>control, §14.2.2.1(a)</w:t>
        </w:r>
      </w:hyperlink>
      <w:r>
        <w:rPr>
          <w:i/>
        </w:rPr>
        <w:t>.</w:t>
      </w:r>
    </w:p>
    <w:p w:rsidR="00024C0A" w:rsidRDefault="00694C0F">
      <w:pPr>
        <w:pStyle w:val="Definition-Field"/>
      </w:pPr>
      <w:r>
        <w:t xml:space="preserve">a.   </w:t>
      </w:r>
      <w:r>
        <w:rPr>
          <w:i/>
        </w:rPr>
        <w:t>The standard specifies that the shapeid reference is resolved by looking for a DrawingML object whose id att</w:t>
      </w:r>
      <w:r>
        <w:rPr>
          <w:i/>
        </w:rPr>
        <w:t>ribute matches the value specified by the shapeid attribute.</w:t>
      </w:r>
    </w:p>
    <w:p w:rsidR="00024C0A" w:rsidRDefault="00694C0F">
      <w:pPr>
        <w:pStyle w:val="Definition-Field2"/>
      </w:pPr>
      <w:r>
        <w:t>Word looks for a DrawingML object or a VML shape element ("</w:t>
      </w:r>
      <w:hyperlink r:id="rId76">
        <w:r>
          <w:rPr>
            <w:rStyle w:val="Hyperlink"/>
          </w:rPr>
          <w:t>[ISO/IEC-29500-4]</w:t>
        </w:r>
      </w:hyperlink>
      <w:r>
        <w:t xml:space="preserve"> §19.1.2.19; shape (Shape Definition)"), whose id att</w:t>
      </w:r>
      <w:r>
        <w:t>ribute matches the value specified by the shapeid attribute.</w:t>
      </w:r>
    </w:p>
    <w:p w:rsidR="00024C0A" w:rsidRDefault="00694C0F">
      <w:pPr>
        <w:pStyle w:val="Heading3"/>
      </w:pPr>
      <w:bookmarkStart w:id="223" w:name="section_a1c3e0e5f5544b71b9cc950db18ec0f2"/>
      <w:bookmarkStart w:id="224" w:name="_Toc12260172"/>
      <w:r>
        <w:t>Part 1 Section 17.3.3.9, drawing (DrawingML Object)</w:t>
      </w:r>
      <w:bookmarkEnd w:id="223"/>
      <w:bookmarkEnd w:id="224"/>
      <w:r>
        <w:fldChar w:fldCharType="begin"/>
      </w:r>
      <w:r>
        <w:instrText xml:space="preserve"> XE "drawing (DrawingML Object)" </w:instrText>
      </w:r>
      <w:r>
        <w:fldChar w:fldCharType="end"/>
      </w:r>
    </w:p>
    <w:p w:rsidR="00024C0A" w:rsidRDefault="00694C0F">
      <w:pPr>
        <w:pStyle w:val="Definition-Field"/>
      </w:pPr>
      <w:r>
        <w:t xml:space="preserve">a.   </w:t>
      </w:r>
      <w:r>
        <w:rPr>
          <w:i/>
        </w:rPr>
        <w:t>The standard states that there can be an unlimited number of inline drawing and anchor drawing properti</w:t>
      </w:r>
      <w:r>
        <w:rPr>
          <w:i/>
        </w:rPr>
        <w:t>es inside the drawing element.</w:t>
      </w:r>
    </w:p>
    <w:p w:rsidR="00024C0A" w:rsidRDefault="00694C0F">
      <w:pPr>
        <w:pStyle w:val="Definition-Field2"/>
      </w:pPr>
      <w:r>
        <w:t>Word expects a single child element to occur and will behave according to the last such element in the drawing element.</w:t>
      </w:r>
    </w:p>
    <w:p w:rsidR="00024C0A" w:rsidRDefault="00694C0F">
      <w:pPr>
        <w:pStyle w:val="Heading3"/>
      </w:pPr>
      <w:bookmarkStart w:id="225" w:name="section_22f2ace97cdb4742a9ffcaf620a17baa"/>
      <w:bookmarkStart w:id="226" w:name="_Toc12260173"/>
      <w:r>
        <w:t>Part 1 Section 17.3.3.12, hpsRaise (Distance Between Phonetic Guide Text and Phonetic Guide Base Text)</w:t>
      </w:r>
      <w:bookmarkEnd w:id="225"/>
      <w:bookmarkEnd w:id="226"/>
      <w:r>
        <w:fldChar w:fldCharType="begin"/>
      </w:r>
      <w:r>
        <w:instrText xml:space="preserve"> XE</w:instrText>
      </w:r>
      <w:r>
        <w:instrText xml:space="preserve"> "hpsRaise (Distance Between Phonetic Guide Text and Phonetic Guide Base Text)" </w:instrText>
      </w:r>
      <w:r>
        <w:fldChar w:fldCharType="end"/>
      </w:r>
    </w:p>
    <w:p w:rsidR="00024C0A" w:rsidRDefault="00694C0F">
      <w:pPr>
        <w:pStyle w:val="Definition-Field"/>
      </w:pPr>
      <w:r>
        <w:t xml:space="preserve">a.   </w:t>
      </w:r>
      <w:r>
        <w:rPr>
          <w:i/>
        </w:rPr>
        <w:t>The standard states that the values of the val attribute are defined by the XML Schema unsignedLong datatype.</w:t>
      </w:r>
    </w:p>
    <w:p w:rsidR="00024C0A" w:rsidRDefault="00694C0F">
      <w:pPr>
        <w:pStyle w:val="Definition-Field2"/>
      </w:pPr>
      <w:r>
        <w:t xml:space="preserve">Word defines the values of this attribute with the XML </w:t>
      </w:r>
      <w:r>
        <w:t>Schema short datatype.</w:t>
      </w:r>
    </w:p>
    <w:p w:rsidR="00024C0A" w:rsidRDefault="00694C0F">
      <w:pPr>
        <w:pStyle w:val="Heading3"/>
      </w:pPr>
      <w:bookmarkStart w:id="227" w:name="section_e0d0fc0796bb4248a832dd0e8e42f001"/>
      <w:bookmarkStart w:id="228" w:name="_Toc12260174"/>
      <w:r>
        <w:t>Part 1 Section 17.3.3.13, lastRenderedPageBreak (Position of Last Calculated Page Break)</w:t>
      </w:r>
      <w:bookmarkEnd w:id="227"/>
      <w:bookmarkEnd w:id="228"/>
      <w:r>
        <w:fldChar w:fldCharType="begin"/>
      </w:r>
      <w:r>
        <w:instrText xml:space="preserve"> XE "lastRenderedPageBreak (Position of Last Calculated Page Break)" </w:instrText>
      </w:r>
      <w:r>
        <w:fldChar w:fldCharType="end"/>
      </w:r>
    </w:p>
    <w:p w:rsidR="00024C0A" w:rsidRDefault="00694C0F">
      <w:pPr>
        <w:pStyle w:val="Definition-Field"/>
      </w:pPr>
      <w:r>
        <w:t xml:space="preserve">a.   </w:t>
      </w:r>
      <w:r>
        <w:rPr>
          <w:i/>
        </w:rPr>
        <w:t>The standard states that a lastRenderedPageBreak is written for each</w:t>
      </w:r>
      <w:r>
        <w:rPr>
          <w:i/>
        </w:rPr>
        <w:t xml:space="preserve"> page break as calculated by the rendering application's pagination algorithm.</w:t>
      </w:r>
    </w:p>
    <w:p w:rsidR="00024C0A" w:rsidRDefault="00694C0F">
      <w:pPr>
        <w:pStyle w:val="Definition-Field2"/>
      </w:pPr>
      <w:r>
        <w:t>When Word encounters a continuous section break ("</w:t>
      </w:r>
      <w:hyperlink r:id="rId77">
        <w:r>
          <w:rPr>
            <w:rStyle w:val="Hyperlink"/>
          </w:rPr>
          <w:t>[ISO/IEC-29500-1]</w:t>
        </w:r>
      </w:hyperlink>
      <w:r>
        <w:t xml:space="preserve"> §17.6.22; type") during pagination, Word wi</w:t>
      </w:r>
      <w:r>
        <w:t>ll erroneously write a lastRenderedPageBreak.</w:t>
      </w:r>
    </w:p>
    <w:p w:rsidR="00024C0A" w:rsidRDefault="00694C0F">
      <w:pPr>
        <w:pStyle w:val="Definition-Field2"/>
      </w:pPr>
      <w:r>
        <w:t>This note applies to the following products: Office 2010, Office 2010 Server, Office 2010 SP1.</w:t>
      </w:r>
    </w:p>
    <w:p w:rsidR="00024C0A" w:rsidRDefault="00694C0F">
      <w:pPr>
        <w:pStyle w:val="Heading3"/>
      </w:pPr>
      <w:bookmarkStart w:id="229" w:name="section_22af890dc1be4b36939a8608ea5b01ae"/>
      <w:bookmarkStart w:id="230" w:name="_Toc12260175"/>
      <w:r>
        <w:t>Part 1 Section 17.3.3.14, lid (Language ID for Phonetic Guide)</w:t>
      </w:r>
      <w:bookmarkEnd w:id="229"/>
      <w:bookmarkEnd w:id="230"/>
      <w:r>
        <w:fldChar w:fldCharType="begin"/>
      </w:r>
      <w:r>
        <w:instrText xml:space="preserve"> XE "lid (Language ID for Phonetic Guide)"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73305a2b02643f9846307203a71f773">
        <w:r>
          <w:rPr>
            <w:rStyle w:val="Hyperlink"/>
          </w:rPr>
          <w:t>lid, §17.14.17(a)</w:t>
        </w:r>
      </w:hyperlink>
      <w:r>
        <w:rPr>
          <w:i/>
        </w:rPr>
        <w:t>.</w:t>
      </w:r>
    </w:p>
    <w:p w:rsidR="00024C0A" w:rsidRDefault="00694C0F">
      <w:pPr>
        <w:pStyle w:val="Heading3"/>
      </w:pPr>
      <w:bookmarkStart w:id="231" w:name="section_ef061fe2ceaa4fc29574c941845977c7"/>
      <w:bookmarkStart w:id="232" w:name="_Toc12260176"/>
      <w:r>
        <w:lastRenderedPageBreak/>
        <w:t>Part 1 Section 17.3.3.17, movie (Embedded Video)</w:t>
      </w:r>
      <w:bookmarkEnd w:id="231"/>
      <w:bookmarkEnd w:id="232"/>
      <w:r>
        <w:fldChar w:fldCharType="begin"/>
      </w:r>
      <w:r>
        <w:instrText xml:space="preserve"> XE "movie (Embedded Video)" </w:instrText>
      </w:r>
      <w:r>
        <w:fldChar w:fldCharType="end"/>
      </w:r>
    </w:p>
    <w:p w:rsidR="00024C0A" w:rsidRDefault="00694C0F">
      <w:pPr>
        <w:pStyle w:val="Definition-Field2"/>
      </w:pPr>
      <w:r>
        <w:rPr>
          <w:i/>
        </w:rPr>
        <w:t xml:space="preserve">For </w:t>
      </w:r>
      <w:r>
        <w:rPr>
          <w:i/>
        </w:rPr>
        <w:t xml:space="preserve">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55e01b00ed934498b4e5b0bc0abdf97d">
        <w:r>
          <w:rPr>
            <w:rStyle w:val="Hyperlink"/>
          </w:rPr>
          <w:t>attachedTemplate, §17.15.1</w:t>
        </w:r>
        <w:r>
          <w:rPr>
            <w:rStyle w:val="Hyperlink"/>
          </w:rPr>
          <w:t>.6(a)</w:t>
        </w:r>
      </w:hyperlink>
      <w:r>
        <w:rPr>
          <w:i/>
        </w:rPr>
        <w:t>.</w:t>
      </w:r>
    </w:p>
    <w:p w:rsidR="00024C0A" w:rsidRDefault="00694C0F">
      <w:pPr>
        <w:pStyle w:val="Definition-Field"/>
      </w:pPr>
      <w:r>
        <w:t xml:space="preserve">a.   </w:t>
      </w:r>
      <w:r>
        <w:rPr>
          <w:i/>
        </w:rPr>
        <w:t>The standard states that this element shall be used to store video information associated with an image.</w:t>
      </w:r>
    </w:p>
    <w:p w:rsidR="00024C0A" w:rsidRDefault="00694C0F">
      <w:pPr>
        <w:pStyle w:val="Definition-Field2"/>
      </w:pPr>
      <w:r>
        <w:t>Word ignores this element when loading a WordprocessingML document; therefore, this element is lost on roundtrip.</w:t>
      </w:r>
    </w:p>
    <w:p w:rsidR="00024C0A" w:rsidRDefault="00694C0F">
      <w:pPr>
        <w:pStyle w:val="Heading3"/>
      </w:pPr>
      <w:bookmarkStart w:id="233" w:name="section_a30a56e7e4d24c1a808f318292fbb4a4"/>
      <w:bookmarkStart w:id="234" w:name="_Toc12260177"/>
      <w:r>
        <w:t>Part 1 Section 17.3.3.19,</w:t>
      </w:r>
      <w:r>
        <w:t xml:space="preserve"> object (Embedded Object)</w:t>
      </w:r>
      <w:bookmarkEnd w:id="233"/>
      <w:bookmarkEnd w:id="234"/>
      <w:r>
        <w:fldChar w:fldCharType="begin"/>
      </w:r>
      <w:r>
        <w:instrText xml:space="preserve"> XE "object (Embedded Object)" </w:instrText>
      </w:r>
      <w:r>
        <w:fldChar w:fldCharType="end"/>
      </w:r>
    </w:p>
    <w:p w:rsidR="00024C0A" w:rsidRDefault="00694C0F">
      <w:pPr>
        <w:pStyle w:val="Definition-Field"/>
      </w:pPr>
      <w:r>
        <w:t xml:space="preserve">a.   </w:t>
      </w:r>
      <w:r>
        <w:rPr>
          <w:i/>
        </w:rPr>
        <w:t>The standard states that object can have a child of type drawing (DrawingML Object)</w:t>
      </w:r>
    </w:p>
    <w:p w:rsidR="00024C0A" w:rsidRDefault="00694C0F">
      <w:pPr>
        <w:pStyle w:val="Definition-Field2"/>
      </w:pPr>
      <w:r>
        <w:t>Word will ignore the embedded object if it has a child of type drawing (DrawingML Object). The static repres</w:t>
      </w:r>
      <w:r>
        <w:t>entation of the object is maintained, but no longer has any connection to the embedded object.</w:t>
      </w:r>
    </w:p>
    <w:p w:rsidR="00024C0A" w:rsidRDefault="00694C0F">
      <w:pPr>
        <w:pStyle w:val="Definition-Field2"/>
      </w:pPr>
      <w:r>
        <w:t>This note applies to the following products: Office 2013 Client (Transitional), Office 2013 Server (Transitional), Office 2016 Client (Transitional), Office 2016</w:t>
      </w:r>
      <w:r>
        <w:t xml:space="preserve"> Server (Transitional).</w:t>
      </w:r>
    </w:p>
    <w:p w:rsidR="00024C0A" w:rsidRDefault="00694C0F">
      <w:pPr>
        <w:pStyle w:val="Heading3"/>
      </w:pPr>
      <w:bookmarkStart w:id="235" w:name="section_80584e929ba74ac4a2e6babf3221caf4"/>
      <w:bookmarkStart w:id="236" w:name="_Toc12260178"/>
      <w:r>
        <w:t>Part 1 Section 17.3.3.20, objectEmbed (Embedded Object Properties)</w:t>
      </w:r>
      <w:bookmarkEnd w:id="235"/>
      <w:bookmarkEnd w:id="236"/>
      <w:r>
        <w:fldChar w:fldCharType="begin"/>
      </w:r>
      <w:r>
        <w:instrText xml:space="preserve"> XE "objectEmbed (Embedded Object Properties)" </w:instrText>
      </w:r>
      <w:r>
        <w:fldChar w:fldCharType="end"/>
      </w:r>
    </w:p>
    <w:p w:rsidR="00024C0A" w:rsidRDefault="00694C0F">
      <w:pPr>
        <w:pStyle w:val="Definition-Field"/>
      </w:pPr>
      <w:r>
        <w:t xml:space="preserve">a.   </w:t>
      </w:r>
      <w:r>
        <w:rPr>
          <w:i/>
        </w:rPr>
        <w:t>The standard states that this element specifies the visual properties and associated server application of an e</w:t>
      </w:r>
      <w:r>
        <w:rPr>
          <w:i/>
        </w:rPr>
        <w:t>mbedded object.</w:t>
      </w:r>
    </w:p>
    <w:p w:rsidR="00024C0A" w:rsidRDefault="00694C0F">
      <w:pPr>
        <w:pStyle w:val="Definition-Field2"/>
      </w:pPr>
      <w:r>
        <w:t>Word always ignores this element.</w:t>
      </w:r>
    </w:p>
    <w:p w:rsidR="00024C0A" w:rsidRDefault="00694C0F">
      <w:pPr>
        <w:pStyle w:val="Definition-Field2"/>
      </w:pPr>
      <w:r>
        <w:t>This note applies to the following products: Office 2013 Client (Transitional), Office 2013 Server (Transitional), Office 2016 Client (Transitional), Office 2016 Server (Transitional).</w:t>
      </w:r>
    </w:p>
    <w:p w:rsidR="00024C0A" w:rsidRDefault="00694C0F">
      <w:pPr>
        <w:pStyle w:val="Heading3"/>
      </w:pPr>
      <w:bookmarkStart w:id="237" w:name="section_8f7f48e70926447782e24eead69938c5"/>
      <w:bookmarkStart w:id="238" w:name="_Toc12260179"/>
      <w:r>
        <w:t>Part 1 Section 17.3.3</w:t>
      </w:r>
      <w:r>
        <w:t>.21, objectLink (Linked Object Properties)</w:t>
      </w:r>
      <w:bookmarkEnd w:id="237"/>
      <w:bookmarkEnd w:id="238"/>
      <w:r>
        <w:fldChar w:fldCharType="begin"/>
      </w:r>
      <w:r>
        <w:instrText xml:space="preserve"> XE "objectLink (Linked Object Properties)" </w:instrText>
      </w:r>
      <w:r>
        <w:fldChar w:fldCharType="end"/>
      </w:r>
    </w:p>
    <w:p w:rsidR="00024C0A" w:rsidRDefault="00694C0F">
      <w:pPr>
        <w:pStyle w:val="Definition-Field"/>
      </w:pPr>
      <w:r>
        <w:t xml:space="preserve">a.   </w:t>
      </w:r>
      <w:r>
        <w:rPr>
          <w:i/>
        </w:rPr>
        <w:t>The standard states that this element specifies the visual properties, associated server application, and refresh mode of a linked object.</w:t>
      </w:r>
    </w:p>
    <w:p w:rsidR="00024C0A" w:rsidRDefault="00694C0F">
      <w:pPr>
        <w:pStyle w:val="Definition-Field2"/>
      </w:pPr>
      <w:r>
        <w:t>Word always ignores thi</w:t>
      </w:r>
      <w:r>
        <w:t>s element.</w:t>
      </w:r>
    </w:p>
    <w:p w:rsidR="00024C0A" w:rsidRDefault="00694C0F">
      <w:pPr>
        <w:pStyle w:val="Definition-Field2"/>
      </w:pPr>
      <w:r>
        <w:t>This note applies to the following products: Office 2013 Client (Transitional), Office 2013 Server (Transitional), Office 2016 Client (Transitional), Office 2016 Server (Transitional).</w:t>
      </w:r>
    </w:p>
    <w:p w:rsidR="00024C0A" w:rsidRDefault="00694C0F">
      <w:pPr>
        <w:pStyle w:val="Heading3"/>
      </w:pPr>
      <w:bookmarkStart w:id="239" w:name="section_af021f39c8864571a52f70966013513b"/>
      <w:bookmarkStart w:id="240" w:name="_Toc12260180"/>
      <w:r>
        <w:t>Part 1 Section 17.3.3.24, rt (Phonetic Guide Text)</w:t>
      </w:r>
      <w:bookmarkEnd w:id="239"/>
      <w:bookmarkEnd w:id="240"/>
      <w:r>
        <w:fldChar w:fldCharType="begin"/>
      </w:r>
      <w:r>
        <w:instrText xml:space="preserve"> XE "rt (P</w:instrText>
      </w:r>
      <w:r>
        <w:instrText xml:space="preserve">honetic Guide Text)"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7fe9debd14844460b600621fc119b521">
        <w:r>
          <w:rPr>
            <w:rStyle w:val="Hyperlink"/>
          </w:rPr>
          <w:t>rubyBase, §17.3.3.27(a-d)</w:t>
        </w:r>
      </w:hyperlink>
      <w:r>
        <w:rPr>
          <w:i/>
        </w:rPr>
        <w:t xml:space="preserve">; </w:t>
      </w:r>
      <w:hyperlink w:anchor="Section_ab7a0345712e4eef9bcc80c37e68d9bb">
        <w:r>
          <w:rPr>
            <w:rStyle w:val="Hyperlink"/>
          </w:rPr>
          <w:t>oMath, §22.1.2.77(c)</w:t>
        </w:r>
      </w:hyperlink>
      <w:r>
        <w:rPr>
          <w:i/>
        </w:rPr>
        <w:t>.</w:t>
      </w:r>
    </w:p>
    <w:p w:rsidR="00024C0A" w:rsidRDefault="00694C0F">
      <w:pPr>
        <w:pStyle w:val="Heading3"/>
      </w:pPr>
      <w:bookmarkStart w:id="241" w:name="section_7fe9debd14844460b600621fc119b521"/>
      <w:bookmarkStart w:id="242" w:name="_Toc12260181"/>
      <w:r>
        <w:t>Part 1 Section 17.3.3.27, rubyBase (Phonetic Guide Base Text)</w:t>
      </w:r>
      <w:bookmarkEnd w:id="241"/>
      <w:bookmarkEnd w:id="242"/>
      <w:r>
        <w:fldChar w:fldCharType="begin"/>
      </w:r>
      <w:r>
        <w:instrText xml:space="preserve"> XE "rubyBase (Phonetic Guide Base Text)"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24C0A" w:rsidRDefault="00694C0F">
      <w:pPr>
        <w:pStyle w:val="Definition-Field"/>
      </w:pPr>
      <w:r>
        <w:t xml:space="preserve">a.   </w:t>
      </w:r>
      <w:r>
        <w:rPr>
          <w:i/>
        </w:rPr>
        <w:t>The standard makes no mention of a child customXml element.</w:t>
      </w:r>
    </w:p>
    <w:p w:rsidR="00024C0A" w:rsidRDefault="00694C0F">
      <w:pPr>
        <w:pStyle w:val="Definition-Field2"/>
      </w:pPr>
      <w:r>
        <w:t>Word allows a child customXml element as defined in customXml (Ruby Cell-Level Custom XML Element) (</w:t>
      </w:r>
      <w:hyperlink w:anchor="Section_d188da3eb34b4445b3a0118155f75ff3">
        <w:r>
          <w:rPr>
            <w:rStyle w:val="Hyperlink"/>
          </w:rPr>
          <w:t>§3.1.3.1.1, customXml</w:t>
        </w:r>
      </w:hyperlink>
      <w:r>
        <w:t>).</w:t>
      </w:r>
    </w:p>
    <w:p w:rsidR="00024C0A" w:rsidRDefault="00694C0F">
      <w:pPr>
        <w:pStyle w:val="Definition-Field"/>
      </w:pPr>
      <w:r>
        <w:t xml:space="preserve">b.   </w:t>
      </w:r>
      <w:r>
        <w:rPr>
          <w:i/>
        </w:rPr>
        <w:t>The standard makes no mention of a child fldSimple element.</w:t>
      </w:r>
    </w:p>
    <w:p w:rsidR="00024C0A" w:rsidRDefault="00694C0F">
      <w:pPr>
        <w:pStyle w:val="Definition-Field2"/>
      </w:pPr>
      <w:r>
        <w:lastRenderedPageBreak/>
        <w:t>Word allows a child fldSimple element as defined in fldSimple (Ruby Simple Field) (</w:t>
      </w:r>
      <w:hyperlink w:anchor="Section_34477fff355a497ea2bf4b9c3f80b093">
        <w:r>
          <w:rPr>
            <w:rStyle w:val="Hyperlink"/>
          </w:rPr>
          <w:t>§3.1.3.1.2, fldSimple</w:t>
        </w:r>
      </w:hyperlink>
      <w:r>
        <w:t>).</w:t>
      </w:r>
    </w:p>
    <w:p w:rsidR="00024C0A" w:rsidRDefault="00694C0F">
      <w:pPr>
        <w:pStyle w:val="Definition-Field"/>
      </w:pPr>
      <w:r>
        <w:t xml:space="preserve">c.   </w:t>
      </w:r>
      <w:r>
        <w:rPr>
          <w:i/>
        </w:rPr>
        <w:t>The standard makes no mention of a child hyperlink element.</w:t>
      </w:r>
    </w:p>
    <w:p w:rsidR="00024C0A" w:rsidRDefault="00694C0F">
      <w:pPr>
        <w:pStyle w:val="Definition-Field2"/>
      </w:pPr>
      <w:r>
        <w:t>Word allows a child hyperlink element as defined in hyperlink (Ruby Hyperlink) (</w:t>
      </w:r>
      <w:hyperlink w:anchor="Section_cc9e4bbd134f4d35b2c795fde8c633a7">
        <w:r>
          <w:rPr>
            <w:rStyle w:val="Hyperlink"/>
          </w:rPr>
          <w:t>§3.1.3.1.3, hyperlink</w:t>
        </w:r>
      </w:hyperlink>
      <w:r>
        <w:t>).</w:t>
      </w:r>
    </w:p>
    <w:p w:rsidR="00024C0A" w:rsidRDefault="00694C0F">
      <w:pPr>
        <w:pStyle w:val="Definition-Field"/>
      </w:pPr>
      <w:r>
        <w:t xml:space="preserve">d.   </w:t>
      </w:r>
      <w:r>
        <w:rPr>
          <w:i/>
        </w:rPr>
        <w:t>The standard makes no mention of a child sdt element.</w:t>
      </w:r>
    </w:p>
    <w:p w:rsidR="00024C0A" w:rsidRDefault="00694C0F">
      <w:pPr>
        <w:pStyle w:val="Definition-Field2"/>
      </w:pPr>
      <w:r>
        <w:t>Word allows a child sdt element as defined in sdt (Ruby Inline-Level Structured Document Tag) (</w:t>
      </w:r>
      <w:hyperlink w:anchor="Section_808b32d8ad644c849fb585ad68be54b9">
        <w:r>
          <w:rPr>
            <w:rStyle w:val="Hyperlink"/>
          </w:rPr>
          <w:t>§3.1.3.1.6, sdt</w:t>
        </w:r>
      </w:hyperlink>
      <w:r>
        <w:t>).</w:t>
      </w:r>
    </w:p>
    <w:p w:rsidR="00024C0A" w:rsidRDefault="00694C0F">
      <w:pPr>
        <w:pStyle w:val="Heading3"/>
      </w:pPr>
      <w:bookmarkStart w:id="243" w:name="section_6180ac79cc0e411d8ab9cdf689f36f75"/>
      <w:bookmarkStart w:id="244" w:name="_Toc12260182"/>
      <w:r>
        <w:t>Part 1 Section 17.3.3.30, sym (Symbol Character)</w:t>
      </w:r>
      <w:bookmarkEnd w:id="243"/>
      <w:bookmarkEnd w:id="244"/>
      <w:r>
        <w:fldChar w:fldCharType="begin"/>
      </w:r>
      <w:r>
        <w:instrText xml:space="preserve"> XE "sym (Symbol Character)" </w:instrText>
      </w:r>
      <w:r>
        <w:fldChar w:fldCharType="end"/>
      </w:r>
    </w:p>
    <w:p w:rsidR="00024C0A" w:rsidRDefault="00694C0F">
      <w:pPr>
        <w:pStyle w:val="Definition-Field"/>
      </w:pPr>
      <w:r>
        <w:t xml:space="preserve">a.   </w:t>
      </w:r>
      <w:r>
        <w:rPr>
          <w:i/>
        </w:rPr>
        <w:t>The standard states that the font attribute can contain any string value.</w:t>
      </w:r>
    </w:p>
    <w:p w:rsidR="00024C0A" w:rsidRDefault="00694C0F">
      <w:pPr>
        <w:pStyle w:val="Definition-Field2"/>
      </w:pPr>
      <w:r>
        <w:t>Word restricts the contents of the font attribute to a ma</w:t>
      </w:r>
      <w:r>
        <w:t>ximum length of 31 characters.</w:t>
      </w:r>
    </w:p>
    <w:p w:rsidR="00024C0A" w:rsidRDefault="00694C0F">
      <w:pPr>
        <w:pStyle w:val="Heading3"/>
      </w:pPr>
      <w:bookmarkStart w:id="245" w:name="section_233dfa68d1f34d56a781bfef71cc74fa"/>
      <w:bookmarkStart w:id="246" w:name="_Toc12260183"/>
      <w:r>
        <w:t>Part 1 Section 17.4.1, bidiVisual (Visually Right to Left Table)</w:t>
      </w:r>
      <w:bookmarkEnd w:id="245"/>
      <w:bookmarkEnd w:id="246"/>
      <w:r>
        <w:fldChar w:fldCharType="begin"/>
      </w:r>
      <w:r>
        <w:instrText xml:space="preserve"> XE "bidiVisual (Visually Right to Left Table)"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024C0A" w:rsidRDefault="00694C0F">
      <w:pPr>
        <w:pStyle w:val="Heading3"/>
      </w:pPr>
      <w:bookmarkStart w:id="247" w:name="section_8301b45dae9045f18fcaf3e3bd7d9c49"/>
      <w:bookmarkStart w:id="248" w:name="_Toc12260184"/>
      <w:r>
        <w:t>Part 1 Section 17.4.2, bottom (Table Cell Bottom Margin Exception)</w:t>
      </w:r>
      <w:bookmarkEnd w:id="247"/>
      <w:bookmarkEnd w:id="248"/>
      <w:r>
        <w:fldChar w:fldCharType="begin"/>
      </w:r>
      <w:r>
        <w:instrText xml:space="preserve"> XE "bottom (Table Cell Bottom Margin Exce</w:instrText>
      </w:r>
      <w:r>
        <w:instrText xml:space="preserve">ption)"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024C0A" w:rsidRDefault="00694C0F">
      <w:pPr>
        <w:pStyle w:val="Definition-Field"/>
      </w:pPr>
      <w:r>
        <w:t xml:space="preserve">a.   </w:t>
      </w:r>
      <w:r>
        <w:rPr>
          <w:i/>
        </w:rPr>
        <w:t xml:space="preserve">The standard states that a 'type' attribute value of "nil" specifies </w:t>
      </w:r>
      <w:r>
        <w:rPr>
          <w:i/>
        </w:rPr>
        <w:t>that the current width is 0.</w:t>
      </w:r>
    </w:p>
    <w:p w:rsidR="00024C0A" w:rsidRDefault="00694C0F">
      <w:pPr>
        <w:pStyle w:val="Definition-Field2"/>
      </w:pPr>
      <w:r>
        <w:t>Word ignores this element when the 'type' attribute has a value of "nil".</w:t>
      </w:r>
    </w:p>
    <w:p w:rsidR="00024C0A" w:rsidRDefault="00694C0F">
      <w:pPr>
        <w:pStyle w:val="Heading3"/>
      </w:pPr>
      <w:bookmarkStart w:id="249" w:name="section_a24ca39e7f694a89a30e13abea010529"/>
      <w:bookmarkStart w:id="250" w:name="_Toc12260185"/>
      <w:r>
        <w:t>Part 1 Section 17.4.3, bottom (Table Cell Bottom Border)</w:t>
      </w:r>
      <w:bookmarkEnd w:id="249"/>
      <w:bookmarkEnd w:id="250"/>
      <w:r>
        <w:fldChar w:fldCharType="begin"/>
      </w:r>
      <w:r>
        <w:instrText xml:space="preserve"> XE "bottom (Table Cell Bottom Border)" </w:instrText>
      </w:r>
      <w:r>
        <w:fldChar w:fldCharType="end"/>
      </w:r>
    </w:p>
    <w:p w:rsidR="00024C0A" w:rsidRDefault="00694C0F">
      <w:pPr>
        <w:pStyle w:val="Definition-Field2"/>
      </w:pPr>
      <w:r>
        <w:rPr>
          <w:i/>
        </w:rPr>
        <w:t>For additional notes that apply to this portion of the</w:t>
      </w:r>
      <w:r>
        <w:rPr>
          <w:i/>
        </w:rPr>
        <w:t xml:space="preserv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24C0A" w:rsidRDefault="00694C0F">
      <w:pPr>
        <w:pStyle w:val="Heading3"/>
      </w:pPr>
      <w:bookmarkStart w:id="251" w:name="section_ae7dd4da0bda48e69d365645b9c35ce6"/>
      <w:bookmarkStart w:id="252" w:name="_Toc12260186"/>
      <w:r>
        <w:t>Part 1 Section 17.4.4, bottom (Table Bottom Border)</w:t>
      </w:r>
      <w:bookmarkEnd w:id="251"/>
      <w:bookmarkEnd w:id="252"/>
      <w:r>
        <w:fldChar w:fldCharType="begin"/>
      </w:r>
      <w:r>
        <w:instrText xml:space="preserve"> XE "bottom (Table Bottom Border)"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24C0A" w:rsidRDefault="00694C0F">
      <w:pPr>
        <w:pStyle w:val="Heading3"/>
      </w:pPr>
      <w:bookmarkStart w:id="253" w:name="section_0dd57f39232e42649600a0075f27b8b4"/>
      <w:bookmarkStart w:id="254" w:name="_Toc12260187"/>
      <w:r>
        <w:t>Part 1 Section 17.4.5, bottom (Table Cell Bottom Margin Default)</w:t>
      </w:r>
      <w:bookmarkEnd w:id="253"/>
      <w:bookmarkEnd w:id="254"/>
      <w:r>
        <w:fldChar w:fldCharType="begin"/>
      </w:r>
      <w:r>
        <w:instrText xml:space="preserve"> XE "bottom (Table Cell Bottom Margin Default)"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024C0A" w:rsidRDefault="00694C0F">
      <w:pPr>
        <w:pStyle w:val="Heading3"/>
      </w:pPr>
      <w:bookmarkStart w:id="255" w:name="section_a55188f724434c17ba5a75999085bab4"/>
      <w:bookmarkStart w:id="256" w:name="_Toc12260188"/>
      <w:r>
        <w:t>Part 1 Section 17.4.6, cantSplit (Table Row Cannot Break Across Pages)</w:t>
      </w:r>
      <w:bookmarkEnd w:id="255"/>
      <w:bookmarkEnd w:id="256"/>
      <w:r>
        <w:fldChar w:fldCharType="begin"/>
      </w:r>
      <w:r>
        <w:instrText xml:space="preserve"> XE "cantSplit (Table Row Cannot Break Across Pages)" </w:instrText>
      </w:r>
      <w:r>
        <w:fldChar w:fldCharType="end"/>
      </w:r>
    </w:p>
    <w:p w:rsidR="00024C0A" w:rsidRDefault="00694C0F">
      <w:pPr>
        <w:pStyle w:val="Definition-Field"/>
      </w:pPr>
      <w:r>
        <w:t xml:space="preserve">a.   </w:t>
      </w:r>
      <w:r>
        <w:rPr>
          <w:i/>
        </w:rPr>
        <w:t>The standard states that the row shall start on a new page and flow onto multiple pages as nec</w:t>
      </w:r>
      <w:r>
        <w:rPr>
          <w:i/>
        </w:rPr>
        <w:t>essary when the contents of the table row cannot fit on a single page.</w:t>
      </w:r>
    </w:p>
    <w:p w:rsidR="00024C0A" w:rsidRDefault="00694C0F">
      <w:pPr>
        <w:pStyle w:val="Definition-Field2"/>
      </w:pPr>
      <w:r>
        <w:t>Word starts the row on a new page and cuts off overflowing contents as necessary under this circumstance.</w:t>
      </w:r>
    </w:p>
    <w:p w:rsidR="00024C0A" w:rsidRDefault="00694C0F">
      <w:pPr>
        <w:pStyle w:val="Heading3"/>
      </w:pPr>
      <w:bookmarkStart w:id="257" w:name="section_00d36f3922a349eb925e84c7bba02c37"/>
      <w:bookmarkStart w:id="258" w:name="_Toc12260189"/>
      <w:r>
        <w:lastRenderedPageBreak/>
        <w:t>Part 1 Section 17.4.7, cnfStyle (Table Row Conditional Formatting)</w:t>
      </w:r>
      <w:bookmarkEnd w:id="257"/>
      <w:bookmarkEnd w:id="258"/>
      <w:r>
        <w:fldChar w:fldCharType="begin"/>
      </w:r>
      <w:r>
        <w:instrText xml:space="preserve"> XE "cnfStyle</w:instrText>
      </w:r>
      <w:r>
        <w:instrText xml:space="preserve"> (Table Row Conditional Formatting)"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024C0A" w:rsidRDefault="00694C0F">
      <w:pPr>
        <w:pStyle w:val="Heading3"/>
      </w:pPr>
      <w:bookmarkStart w:id="259" w:name="section_0a28293f8ae14ef889f29e0f11b6281f"/>
      <w:bookmarkStart w:id="260" w:name="_Toc12260190"/>
      <w:r>
        <w:t>Part 1 Section 17.4.8, cnfStyle (Table Cell Conditional Formatting)</w:t>
      </w:r>
      <w:bookmarkEnd w:id="259"/>
      <w:bookmarkEnd w:id="260"/>
      <w:r>
        <w:fldChar w:fldCharType="begin"/>
      </w:r>
      <w:r>
        <w:instrText xml:space="preserve"> XE "cnfStyle (Table Cell Conditional Formatting)"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024C0A" w:rsidRDefault="00694C0F">
      <w:pPr>
        <w:pStyle w:val="Heading3"/>
      </w:pPr>
      <w:bookmarkStart w:id="261" w:name="section_818e7ab5d66642ad8111cd3898c6d53b"/>
      <w:bookmarkStart w:id="262" w:name="_Toc12260191"/>
      <w:r>
        <w:t>Part 1 Section 17.4.9, divId (Associated HTML div ID)</w:t>
      </w:r>
      <w:bookmarkEnd w:id="261"/>
      <w:bookmarkEnd w:id="262"/>
      <w:r>
        <w:fldChar w:fldCharType="begin"/>
      </w:r>
      <w:r>
        <w:instrText xml:space="preserve"> XE "divId (Associated HTML div ID)"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5ff84bc9d5b747c7bcd53bebf540efb0">
        <w:r>
          <w:rPr>
            <w:rStyle w:val="Hyperlink"/>
          </w:rPr>
          <w:t>divId, §17.3.1.10(a)</w:t>
        </w:r>
      </w:hyperlink>
      <w:r>
        <w:rPr>
          <w:i/>
        </w:rPr>
        <w:t xml:space="preserve">; </w:t>
      </w:r>
      <w:hyperlink w:anchor="Section_c78643db45244582bab3b93a2dd7b94a">
        <w:r>
          <w:rPr>
            <w:rStyle w:val="Hyperlink"/>
          </w:rPr>
          <w:t>trPr, §17.7.6.10(b</w:t>
        </w:r>
        <w:r>
          <w:rPr>
            <w:rStyle w:val="Hyperlink"/>
          </w:rPr>
          <w:t>)</w:t>
        </w:r>
      </w:hyperlink>
      <w:r>
        <w:rPr>
          <w:i/>
        </w:rPr>
        <w:t xml:space="preserve">; </w:t>
      </w:r>
      <w:hyperlink w:anchor="Section_36064a5b267d4a27a567453d8b96a5b3">
        <w:r>
          <w:rPr>
            <w:rStyle w:val="Hyperlink"/>
          </w:rPr>
          <w:t>trPr, §17.7.6.11(a)</w:t>
        </w:r>
      </w:hyperlink>
      <w:r>
        <w:rPr>
          <w:i/>
        </w:rPr>
        <w:t>.</w:t>
      </w:r>
    </w:p>
    <w:p w:rsidR="00024C0A" w:rsidRDefault="00694C0F">
      <w:pPr>
        <w:pStyle w:val="Definition-Field"/>
      </w:pPr>
      <w:r>
        <w:t xml:space="preserve">a.   </w:t>
      </w:r>
      <w:r>
        <w:rPr>
          <w:i/>
        </w:rPr>
        <w:t>The standard states that the values of the val attribute are defined by the XML Schema integer datatype.</w:t>
      </w:r>
    </w:p>
    <w:p w:rsidR="00024C0A" w:rsidRDefault="00694C0F">
      <w:pPr>
        <w:pStyle w:val="Definition-Field2"/>
      </w:pPr>
      <w:r>
        <w:t>Word does not allow a value of 0 on this attribute.</w:t>
      </w:r>
    </w:p>
    <w:p w:rsidR="00024C0A" w:rsidRDefault="00694C0F">
      <w:pPr>
        <w:pStyle w:val="Heading3"/>
      </w:pPr>
      <w:bookmarkStart w:id="263" w:name="section_4c92f707926044458881c728fd0988ca"/>
      <w:bookmarkStart w:id="264" w:name="_Toc12260192"/>
      <w:r>
        <w:t xml:space="preserve">Part 1 </w:t>
      </w:r>
      <w:r>
        <w:t>Section 17.4.10, end (Table Cell Trailing Margin Exception)</w:t>
      </w:r>
      <w:bookmarkEnd w:id="263"/>
      <w:bookmarkEnd w:id="264"/>
      <w:r>
        <w:fldChar w:fldCharType="begin"/>
      </w:r>
      <w:r>
        <w:instrText xml:space="preserve"> XE "end (Table Cell Trailing Margin Exception)"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024C0A" w:rsidRDefault="00694C0F">
      <w:pPr>
        <w:pStyle w:val="Definition-Field"/>
      </w:pPr>
      <w:r>
        <w:t xml:space="preserve">a.   </w:t>
      </w:r>
      <w:r>
        <w:rPr>
          <w:i/>
        </w:rPr>
        <w:t>The standard states that a 'type' attribute value of "nil" specifies that the current width is 0.</w:t>
      </w:r>
    </w:p>
    <w:p w:rsidR="00024C0A" w:rsidRDefault="00694C0F">
      <w:pPr>
        <w:pStyle w:val="Definition-Field2"/>
      </w:pPr>
      <w:r>
        <w:t>Word ignores this element when the 'type' attribute has a value of "nil".</w:t>
      </w:r>
    </w:p>
    <w:p w:rsidR="00024C0A" w:rsidRDefault="00694C0F">
      <w:pPr>
        <w:pStyle w:val="Heading3"/>
      </w:pPr>
      <w:bookmarkStart w:id="265" w:name="section_922e778f0e234947a0e4b52508651f6f"/>
      <w:bookmarkStart w:id="266" w:name="_Toc12260193"/>
      <w:r>
        <w:t>Part 1 Section 17.4.11, end (Table Cell Trailing Margin Default)</w:t>
      </w:r>
      <w:bookmarkEnd w:id="265"/>
      <w:bookmarkEnd w:id="266"/>
      <w:r>
        <w:fldChar w:fldCharType="begin"/>
      </w:r>
      <w:r>
        <w:instrText xml:space="preserve"> XE "end (Table Cell Trailing Margin Default)" </w:instrText>
      </w:r>
      <w:r>
        <w:fldChar w:fldCharType="end"/>
      </w:r>
    </w:p>
    <w:p w:rsidR="00024C0A" w:rsidRDefault="00694C0F">
      <w:pPr>
        <w:pStyle w:val="Definition-Field"/>
      </w:pPr>
      <w:r>
        <w:t xml:space="preserve">a.   </w:t>
      </w:r>
      <w:r>
        <w:rPr>
          <w:i/>
        </w:rPr>
        <w:t>The standard states that any width value of type pct or auto for this element shall be ignored.</w:t>
      </w:r>
    </w:p>
    <w:p w:rsidR="00024C0A" w:rsidRDefault="00694C0F">
      <w:pPr>
        <w:pStyle w:val="Definition-Field2"/>
      </w:pPr>
      <w:r>
        <w:t>Word uses a default value of 0 for the wi</w:t>
      </w:r>
      <w:r>
        <w:t>dth when the value of the type attribute is pct or auto.</w:t>
      </w:r>
    </w:p>
    <w:p w:rsidR="00024C0A" w:rsidRDefault="00694C0F">
      <w:pPr>
        <w:pStyle w:val="Heading3"/>
      </w:pPr>
      <w:bookmarkStart w:id="267" w:name="section_5afd726060ff42518744b0ed5d826f54"/>
      <w:bookmarkStart w:id="268" w:name="_Toc12260194"/>
      <w:r>
        <w:t>Part 1 Section 17.4.12, end (Table Cell Trailing Edge Border)</w:t>
      </w:r>
      <w:bookmarkEnd w:id="267"/>
      <w:bookmarkEnd w:id="268"/>
      <w:r>
        <w:fldChar w:fldCharType="begin"/>
      </w:r>
      <w:r>
        <w:instrText xml:space="preserve"> XE "end (Table Cell Trailing Edge Border)"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24C0A" w:rsidRDefault="00694C0F">
      <w:pPr>
        <w:pStyle w:val="Heading3"/>
      </w:pPr>
      <w:bookmarkStart w:id="269" w:name="section_38d238ef408a4e128032b243fb47247b"/>
      <w:bookmarkStart w:id="270" w:name="_Toc12260195"/>
      <w:r>
        <w:t>Part 1</w:t>
      </w:r>
      <w:r>
        <w:t xml:space="preserve"> Section 17.4.13, end (Table Trailing Edge Border)</w:t>
      </w:r>
      <w:bookmarkEnd w:id="269"/>
      <w:bookmarkEnd w:id="270"/>
      <w:r>
        <w:fldChar w:fldCharType="begin"/>
      </w:r>
      <w:r>
        <w:instrText xml:space="preserve"> XE "end (Table Trailing Edge Border)"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2a35f2312704ca699140fa440d56fdf">
        <w:r>
          <w:rPr>
            <w:rStyle w:val="Hyperlink"/>
          </w:rPr>
          <w:t>bar, §17.3.</w:t>
        </w:r>
        <w:r>
          <w:rPr>
            <w:rStyle w:val="Hyperlink"/>
          </w:rPr>
          <w:t>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24C0A" w:rsidRDefault="00694C0F">
      <w:pPr>
        <w:pStyle w:val="Heading3"/>
      </w:pPr>
      <w:bookmarkStart w:id="271" w:name="section_12e40cc181624abf985e412e9324e57c"/>
      <w:bookmarkStart w:id="272" w:name="_Toc12260196"/>
      <w:r>
        <w:t>Part 1 Section 17.4.14, gridAfter (Grid Columns After Last Cell)</w:t>
      </w:r>
      <w:bookmarkEnd w:id="271"/>
      <w:bookmarkEnd w:id="272"/>
      <w:r>
        <w:fldChar w:fldCharType="begin"/>
      </w:r>
      <w:r>
        <w:instrText xml:space="preserve"> XE "gridAfter </w:instrText>
      </w:r>
      <w:r>
        <w:instrText xml:space="preserve">(Grid Columns After Last Cell)"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024C0A" w:rsidRDefault="00694C0F">
      <w:pPr>
        <w:pStyle w:val="Definition-Field"/>
      </w:pPr>
      <w:r>
        <w:t xml:space="preserve">a.   </w:t>
      </w:r>
      <w:r>
        <w:rPr>
          <w:i/>
        </w:rPr>
        <w:t>The standard states that if this element conflicts with the document grid, then it is ignored.</w:t>
      </w:r>
    </w:p>
    <w:p w:rsidR="00024C0A" w:rsidRDefault="00694C0F">
      <w:pPr>
        <w:pStyle w:val="Definition-Field2"/>
      </w:pPr>
      <w:r>
        <w:t>In Word, if this element conflicts with the table grid, then it is ignored.</w:t>
      </w:r>
    </w:p>
    <w:p w:rsidR="00024C0A" w:rsidRDefault="00694C0F">
      <w:pPr>
        <w:pStyle w:val="Definition-Field"/>
      </w:pPr>
      <w:r>
        <w:t xml:space="preserve">b.   </w:t>
      </w:r>
      <w:r>
        <w:rPr>
          <w:i/>
        </w:rPr>
        <w:t>The standard states the values for the</w:t>
      </w:r>
      <w:r>
        <w:rPr>
          <w:i/>
        </w:rPr>
        <w:t xml:space="preserve"> val attribute are defined by the ST_DecimalNumber simple type</w:t>
      </w:r>
    </w:p>
    <w:p w:rsidR="00024C0A" w:rsidRDefault="00694C0F">
      <w:pPr>
        <w:pStyle w:val="Definition-Field2"/>
      </w:pPr>
      <w:r>
        <w:lastRenderedPageBreak/>
        <w:t>Word only ignores 0 or negative values for this element</w:t>
      </w:r>
    </w:p>
    <w:p w:rsidR="00024C0A" w:rsidRDefault="00694C0F">
      <w:pPr>
        <w:pStyle w:val="Heading3"/>
      </w:pPr>
      <w:bookmarkStart w:id="273" w:name="section_c0d7a13166d24bee8df8e5bae148119f"/>
      <w:bookmarkStart w:id="274" w:name="_Toc12260197"/>
      <w:r>
        <w:t>Part 1 Section 17.4.15, gridBefore (Grid Columns Before First Cell)</w:t>
      </w:r>
      <w:bookmarkEnd w:id="273"/>
      <w:bookmarkEnd w:id="274"/>
      <w:r>
        <w:fldChar w:fldCharType="begin"/>
      </w:r>
      <w:r>
        <w:instrText xml:space="preserve"> XE "gridBefore (Grid Columns Before First Cell)" </w:instrText>
      </w:r>
      <w:r>
        <w:fldChar w:fldCharType="end"/>
      </w:r>
    </w:p>
    <w:p w:rsidR="00024C0A" w:rsidRDefault="00694C0F">
      <w:pPr>
        <w:pStyle w:val="Definition-Field2"/>
      </w:pPr>
      <w:r>
        <w:rPr>
          <w:i/>
        </w:rPr>
        <w:t>For additional no</w:t>
      </w:r>
      <w:r>
        <w:rPr>
          <w:i/>
        </w:rPr>
        <w:t xml:space="preserve">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024C0A" w:rsidRDefault="00694C0F">
      <w:pPr>
        <w:pStyle w:val="Definition-Field"/>
      </w:pPr>
      <w:r>
        <w:t xml:space="preserve">a.   </w:t>
      </w:r>
      <w:r>
        <w:rPr>
          <w:i/>
        </w:rPr>
        <w:t>The standa</w:t>
      </w:r>
      <w:r>
        <w:rPr>
          <w:i/>
        </w:rPr>
        <w:t>rd states that if the value of this element exceeds the number of grid columns, then the value shall be ignored.</w:t>
      </w:r>
    </w:p>
    <w:p w:rsidR="00024C0A" w:rsidRDefault="00694C0F">
      <w:pPr>
        <w:pStyle w:val="Definition-Field2"/>
      </w:pPr>
      <w:r>
        <w:t xml:space="preserve">Word requires that this value not exceed the total number of grid columns. If the value of this element exceeds the number of grid columns, </w:t>
      </w:r>
      <w:r>
        <w:t>then the behavior is unpredictable.</w:t>
      </w:r>
    </w:p>
    <w:p w:rsidR="00024C0A" w:rsidRDefault="00694C0F">
      <w:pPr>
        <w:pStyle w:val="Definition-Field"/>
      </w:pPr>
      <w:r>
        <w:t xml:space="preserve">b.   </w:t>
      </w:r>
      <w:r>
        <w:rPr>
          <w:i/>
        </w:rPr>
        <w:t>The standard states that the possible values for the val attribute are defined by the ST_DecimalNumber simple type.</w:t>
      </w:r>
    </w:p>
    <w:p w:rsidR="00024C0A" w:rsidRDefault="00694C0F">
      <w:pPr>
        <w:pStyle w:val="Definition-Field2"/>
      </w:pPr>
      <w:r>
        <w:t>Word only understands non-negative values for the val attribute.</w:t>
      </w:r>
    </w:p>
    <w:p w:rsidR="00024C0A" w:rsidRDefault="00694C0F">
      <w:pPr>
        <w:pStyle w:val="Heading3"/>
      </w:pPr>
      <w:bookmarkStart w:id="275" w:name="section_01bfc2007b7d40c0bb1045afd2f72c8f"/>
      <w:bookmarkStart w:id="276" w:name="_Toc12260198"/>
      <w:r>
        <w:t>Part 1 Section 17.4.17, gridSpan (</w:t>
      </w:r>
      <w:r>
        <w:t>Grid Columns Spanned by Current Table Cell)</w:t>
      </w:r>
      <w:bookmarkEnd w:id="275"/>
      <w:bookmarkEnd w:id="276"/>
      <w:r>
        <w:fldChar w:fldCharType="begin"/>
      </w:r>
      <w:r>
        <w:instrText xml:space="preserve"> XE "gridSpan (Grid Columns Spanned by Current Table Cell)"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024C0A" w:rsidRDefault="00694C0F">
      <w:pPr>
        <w:pStyle w:val="Definition-Field"/>
      </w:pPr>
      <w:r>
        <w:t xml:space="preserve">a.   </w:t>
      </w:r>
      <w:r>
        <w:rPr>
          <w:i/>
        </w:rPr>
        <w:t>The standard allows a gridSpan to have a value of 0.</w:t>
      </w:r>
    </w:p>
    <w:p w:rsidR="00024C0A" w:rsidRDefault="00694C0F">
      <w:pPr>
        <w:pStyle w:val="Definition-Field2"/>
      </w:pPr>
      <w:r>
        <w:t>Word treats a gridSpan of 0 the same as a grid span of 1.</w:t>
      </w:r>
    </w:p>
    <w:p w:rsidR="00024C0A" w:rsidRDefault="00694C0F">
      <w:pPr>
        <w:pStyle w:val="Heading3"/>
      </w:pPr>
      <w:bookmarkStart w:id="277" w:name="section_1d65167f972c46138b475f43053a1989"/>
      <w:bookmarkStart w:id="278" w:name="_Toc12260199"/>
      <w:r>
        <w:t>Part 1 Section 17.4.18, header (Header Cell Reference)</w:t>
      </w:r>
      <w:bookmarkEnd w:id="277"/>
      <w:bookmarkEnd w:id="278"/>
      <w:r>
        <w:fldChar w:fldCharType="begin"/>
      </w:r>
      <w:r>
        <w:instrText xml:space="preserve"> XE "header (Header Cell Reference)" </w:instrText>
      </w:r>
      <w:r>
        <w:fldChar w:fldCharType="end"/>
      </w:r>
    </w:p>
    <w:p w:rsidR="00024C0A" w:rsidRDefault="00694C0F">
      <w:pPr>
        <w:pStyle w:val="Definition-Field"/>
      </w:pPr>
      <w:r>
        <w:t xml:space="preserve">a.   </w:t>
      </w:r>
      <w:r>
        <w:rPr>
          <w:i/>
        </w:rPr>
        <w:t>The standard specifies that this element specifies a reference, using a unique identifier, to a table header cell that is associated with the current table c</w:t>
      </w:r>
      <w:r>
        <w:rPr>
          <w:i/>
        </w:rPr>
        <w:t>ell.</w:t>
      </w:r>
    </w:p>
    <w:p w:rsidR="00024C0A" w:rsidRDefault="00694C0F">
      <w:pPr>
        <w:pStyle w:val="Definition-Field2"/>
      </w:pPr>
      <w:r>
        <w:t>Word always ignores this element.</w:t>
      </w:r>
    </w:p>
    <w:p w:rsidR="00024C0A" w:rsidRDefault="00694C0F">
      <w:pPr>
        <w:pStyle w:val="Heading3"/>
      </w:pPr>
      <w:bookmarkStart w:id="279" w:name="section_89821d899e9048f38b136c6f025b6657"/>
      <w:bookmarkStart w:id="280" w:name="_Toc12260200"/>
      <w:r>
        <w:t>Part 1 Section 17.4.19, headers (Header Cells Associated With Table Cell)</w:t>
      </w:r>
      <w:bookmarkEnd w:id="279"/>
      <w:bookmarkEnd w:id="280"/>
      <w:r>
        <w:fldChar w:fldCharType="begin"/>
      </w:r>
      <w:r>
        <w:instrText xml:space="preserve"> XE "headers (Header Cells Associated With Table Cell)" </w:instrText>
      </w:r>
      <w:r>
        <w:fldChar w:fldCharType="end"/>
      </w:r>
    </w:p>
    <w:p w:rsidR="00024C0A" w:rsidRDefault="00694C0F">
      <w:pPr>
        <w:pStyle w:val="Definition-Field"/>
      </w:pPr>
      <w:r>
        <w:t xml:space="preserve">a.   </w:t>
      </w:r>
      <w:r>
        <w:rPr>
          <w:i/>
        </w:rPr>
        <w:t>The standard specifies the list of header cells, as specified by child header el</w:t>
      </w:r>
      <w:r>
        <w:rPr>
          <w:i/>
        </w:rPr>
        <w:t>ements, that provide header information associated with the current table cell.</w:t>
      </w:r>
    </w:p>
    <w:p w:rsidR="00024C0A" w:rsidRDefault="00694C0F">
      <w:pPr>
        <w:pStyle w:val="Definition-Field2"/>
      </w:pPr>
      <w:r>
        <w:t>Word always ignores this element.</w:t>
      </w:r>
    </w:p>
    <w:p w:rsidR="00024C0A" w:rsidRDefault="00694C0F">
      <w:pPr>
        <w:pStyle w:val="Heading3"/>
      </w:pPr>
      <w:bookmarkStart w:id="281" w:name="section_be9bdcbbf5ff45f9912044d8a545773b"/>
      <w:bookmarkStart w:id="282" w:name="_Toc12260201"/>
      <w:r>
        <w:t>Part 1 Section 17.4.20, hidden (Hidden Table Row Marker)</w:t>
      </w:r>
      <w:bookmarkEnd w:id="281"/>
      <w:bookmarkEnd w:id="282"/>
      <w:r>
        <w:fldChar w:fldCharType="begin"/>
      </w:r>
      <w:r>
        <w:instrText xml:space="preserve"> XE "hidden (Hidden Table Row Marker)" </w:instrText>
      </w:r>
      <w:r>
        <w:fldChar w:fldCharType="end"/>
      </w:r>
    </w:p>
    <w:p w:rsidR="00024C0A" w:rsidRDefault="00694C0F">
      <w:pPr>
        <w:pStyle w:val="Definition-Field"/>
      </w:pPr>
      <w:r>
        <w:t xml:space="preserve">a.   </w:t>
      </w:r>
      <w:r>
        <w:rPr>
          <w:i/>
        </w:rPr>
        <w:t xml:space="preserve">The standard allows the hidden element </w:t>
      </w:r>
      <w:r>
        <w:rPr>
          <w:i/>
        </w:rPr>
        <w:t>inside a table style definition.</w:t>
      </w:r>
    </w:p>
    <w:p w:rsidR="00024C0A" w:rsidRDefault="00694C0F">
      <w:pPr>
        <w:pStyle w:val="Definition-Field2"/>
      </w:pPr>
      <w:r>
        <w:t>Word ignores the hidden element inside a table style definition.</w:t>
      </w:r>
    </w:p>
    <w:p w:rsidR="00024C0A" w:rsidRDefault="00694C0F">
      <w:pPr>
        <w:pStyle w:val="Heading3"/>
      </w:pPr>
      <w:bookmarkStart w:id="283" w:name="section_c0865addb937497b8bea368b654b6329"/>
      <w:bookmarkStart w:id="284" w:name="_Toc12260202"/>
      <w:r>
        <w:t>Part 1 Section 17.4.21, hideMark (Ignore End Of Cell Marker In Row Height Calculation)</w:t>
      </w:r>
      <w:bookmarkEnd w:id="283"/>
      <w:bookmarkEnd w:id="284"/>
      <w:r>
        <w:fldChar w:fldCharType="begin"/>
      </w:r>
      <w:r>
        <w:instrText xml:space="preserve"> XE "hideMark (Ignore End Of Cell Marker In Row Height Calculation)"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024C0A" w:rsidRDefault="00694C0F">
      <w:pPr>
        <w:pStyle w:val="Heading3"/>
      </w:pPr>
      <w:bookmarkStart w:id="285" w:name="section_6afd824014e0455da0b3c6c90e2cde22"/>
      <w:bookmarkStart w:id="286" w:name="_Toc12260203"/>
      <w:r>
        <w:lastRenderedPageBreak/>
        <w:t>Part 1 Section 17.4.22, insideH (Table Inside Horizontal Edges Border)</w:t>
      </w:r>
      <w:bookmarkEnd w:id="285"/>
      <w:bookmarkEnd w:id="286"/>
      <w:r>
        <w:fldChar w:fldCharType="begin"/>
      </w:r>
      <w:r>
        <w:instrText xml:space="preserve"> XE "insideH (Table Inside Horizontal Edges Border)"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24C0A" w:rsidRDefault="00694C0F">
      <w:pPr>
        <w:pStyle w:val="Heading3"/>
      </w:pPr>
      <w:bookmarkStart w:id="287" w:name="section_5185d2f77b5c4e9884ff5efb17b43913"/>
      <w:bookmarkStart w:id="288" w:name="_Toc12260204"/>
      <w:r>
        <w:t>Part 1 Section 17.4.23, insideH (Table Cell I</w:t>
      </w:r>
      <w:r>
        <w:t>nside Horizontal Edges Border)</w:t>
      </w:r>
      <w:bookmarkEnd w:id="287"/>
      <w:bookmarkEnd w:id="288"/>
      <w:r>
        <w:fldChar w:fldCharType="begin"/>
      </w:r>
      <w:r>
        <w:instrText xml:space="preserve"> XE "insideH (Table Cell Inside Horizontal Edges Border)"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2a35f2312704ca699140fa440d56fdf">
        <w:r>
          <w:rPr>
            <w:rStyle w:val="Hyperlink"/>
          </w:rPr>
          <w:t>bar, §17.3.1</w:t>
        </w:r>
        <w:r>
          <w:rPr>
            <w:rStyle w:val="Hyperlink"/>
          </w:rPr>
          <w:t>.4(a-c)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24C0A" w:rsidRDefault="00694C0F">
      <w:pPr>
        <w:pStyle w:val="Definition-Field"/>
      </w:pPr>
      <w:r>
        <w:t xml:space="preserve">a.   </w:t>
      </w:r>
      <w:r>
        <w:rPr>
          <w:i/>
        </w:rPr>
        <w:t xml:space="preserve">The standard states that if the table has cell spacing then inside </w:t>
      </w:r>
      <w:r>
        <w:rPr>
          <w:i/>
        </w:rPr>
        <w:t>horizontal borders are displayed.</w:t>
      </w:r>
    </w:p>
    <w:p w:rsidR="00024C0A" w:rsidRDefault="00694C0F">
      <w:pPr>
        <w:pStyle w:val="Definition-Field2"/>
      </w:pPr>
      <w:r>
        <w:t>In Word, when a table has cell spacing, the appearance of the insideH border is still subject to the conflict resolution algorithm defined by the tcBorders and tblBorders elements.</w:t>
      </w:r>
    </w:p>
    <w:p w:rsidR="00024C0A" w:rsidRDefault="00694C0F">
      <w:pPr>
        <w:pStyle w:val="Heading3"/>
      </w:pPr>
      <w:bookmarkStart w:id="289" w:name="section_1225ff9613a84d70a653beb61ffebd0e"/>
      <w:bookmarkStart w:id="290" w:name="_Toc12260205"/>
      <w:r>
        <w:t>Part 1 Section 17.4.24, insideV (Table In</w:t>
      </w:r>
      <w:r>
        <w:t>side Vertical Edges Border)</w:t>
      </w:r>
      <w:bookmarkEnd w:id="289"/>
      <w:bookmarkEnd w:id="290"/>
      <w:r>
        <w:fldChar w:fldCharType="begin"/>
      </w:r>
      <w:r>
        <w:instrText xml:space="preserve"> XE "insideV (Table Inside Vertical Edges Border)"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24C0A" w:rsidRDefault="00694C0F">
      <w:pPr>
        <w:pStyle w:val="Heading3"/>
      </w:pPr>
      <w:bookmarkStart w:id="291" w:name="section_f1da490f467b4fb4bfd63e97f4752417"/>
      <w:bookmarkStart w:id="292" w:name="_Toc12260206"/>
      <w:r>
        <w:t>Part 1 Section 17.4.25, insideV (Table Cell Inside Vertical Edges Border)</w:t>
      </w:r>
      <w:bookmarkEnd w:id="291"/>
      <w:bookmarkEnd w:id="292"/>
      <w:r>
        <w:fldChar w:fldCharType="begin"/>
      </w:r>
      <w:r>
        <w:instrText xml:space="preserve"> XE "insideV (Tab</w:instrText>
      </w:r>
      <w:r>
        <w:instrText xml:space="preserve">le Cell Inside Vertical Edges Border)"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24C0A" w:rsidRDefault="00694C0F">
      <w:pPr>
        <w:pStyle w:val="Definition-Field"/>
      </w:pPr>
      <w:r>
        <w:t xml:space="preserve">a.   </w:t>
      </w:r>
      <w:r>
        <w:rPr>
          <w:i/>
        </w:rPr>
        <w:t>The standard states that if the table has cell spacing then inside vertical borders are displayed.</w:t>
      </w:r>
    </w:p>
    <w:p w:rsidR="00024C0A" w:rsidRDefault="00694C0F">
      <w:pPr>
        <w:pStyle w:val="Definition-Field2"/>
      </w:pPr>
      <w:r>
        <w:t>In Word, when a table has</w:t>
      </w:r>
      <w:r>
        <w:t xml:space="preserve"> cell spacing the appearance of the insideV border is still subject to the conflict resolution algorithm defined by the tcBorders and tblBorders elements.</w:t>
      </w:r>
    </w:p>
    <w:p w:rsidR="00024C0A" w:rsidRDefault="00694C0F">
      <w:pPr>
        <w:pStyle w:val="Heading3"/>
      </w:pPr>
      <w:bookmarkStart w:id="293" w:name="section_965040fb3191460bb92da50fa1e5d441"/>
      <w:bookmarkStart w:id="294" w:name="_Toc12260207"/>
      <w:r>
        <w:t>Part 1 Section 17.4.26, jc (Table Alignment Exception)</w:t>
      </w:r>
      <w:bookmarkEnd w:id="293"/>
      <w:bookmarkEnd w:id="294"/>
      <w:r>
        <w:fldChar w:fldCharType="begin"/>
      </w:r>
      <w:r>
        <w:instrText xml:space="preserve"> XE "jc (Table Alignment Exception)" </w:instrText>
      </w:r>
      <w:r>
        <w:fldChar w:fldCharType="end"/>
      </w:r>
    </w:p>
    <w:p w:rsidR="00024C0A" w:rsidRDefault="00694C0F">
      <w:pPr>
        <w:pStyle w:val="Definition-Field2"/>
      </w:pPr>
      <w:r>
        <w:rPr>
          <w:i/>
        </w:rPr>
        <w:t>For add</w:t>
      </w:r>
      <w:r>
        <w:rPr>
          <w:i/>
        </w:rPr>
        <w:t xml:space="preserve">itional notes that apply to this portion of the standard, please see the notes for </w:t>
      </w:r>
      <w:hyperlink w:anchor="Section_182e6a3c70ea4ba1bcd001caa609fcdf">
        <w:r>
          <w:rPr>
            <w:rStyle w:val="Hyperlink"/>
          </w:rPr>
          <w:t>lvlJc, §17.9.7(a)</w:t>
        </w:r>
      </w:hyperlink>
      <w:r>
        <w:rPr>
          <w:i/>
        </w:rPr>
        <w:t>.</w:t>
      </w:r>
    </w:p>
    <w:p w:rsidR="00024C0A" w:rsidRDefault="00694C0F">
      <w:pPr>
        <w:pStyle w:val="Heading3"/>
      </w:pPr>
      <w:bookmarkStart w:id="295" w:name="section_e28be190a4304bd5a38b7145b3d6afe5"/>
      <w:bookmarkStart w:id="296" w:name="_Toc12260208"/>
      <w:r>
        <w:t>Part 1 Section 17.4.27, jc (Table Row Alignment)</w:t>
      </w:r>
      <w:bookmarkEnd w:id="295"/>
      <w:bookmarkEnd w:id="296"/>
      <w:r>
        <w:fldChar w:fldCharType="begin"/>
      </w:r>
      <w:r>
        <w:instrText xml:space="preserve"> XE "jc (Table Row Alignment)" </w:instrText>
      </w:r>
      <w:r>
        <w:fldChar w:fldCharType="end"/>
      </w:r>
    </w:p>
    <w:p w:rsidR="00024C0A" w:rsidRDefault="00694C0F">
      <w:pPr>
        <w:pStyle w:val="Definition-Field2"/>
      </w:pPr>
      <w:r>
        <w:rPr>
          <w:i/>
        </w:rPr>
        <w:t>For addit</w:t>
      </w:r>
      <w:r>
        <w:rPr>
          <w:i/>
        </w:rPr>
        <w:t xml:space="preserve">ional notes that apply to this portion of the standard, please see the notes for </w:t>
      </w:r>
      <w:hyperlink w:anchor="Section_182e6a3c70ea4ba1bcd001caa609fcdf">
        <w:r>
          <w:rPr>
            <w:rStyle w:val="Hyperlink"/>
          </w:rPr>
          <w:t>lvlJc, §17.9.7(a)</w:t>
        </w:r>
      </w:hyperlink>
      <w:r>
        <w:rPr>
          <w:i/>
        </w:rPr>
        <w:t>.</w:t>
      </w:r>
    </w:p>
    <w:p w:rsidR="00024C0A" w:rsidRDefault="00694C0F">
      <w:pPr>
        <w:pStyle w:val="Heading3"/>
      </w:pPr>
      <w:bookmarkStart w:id="297" w:name="section_ae3c5af0e77f4428ba4162f8fd5fc7c6"/>
      <w:bookmarkStart w:id="298" w:name="_Toc12260209"/>
      <w:r>
        <w:t>Part 1 Section 17.4.28, jc (Table Alignment)</w:t>
      </w:r>
      <w:bookmarkEnd w:id="297"/>
      <w:bookmarkEnd w:id="298"/>
      <w:r>
        <w:fldChar w:fldCharType="begin"/>
      </w:r>
      <w:r>
        <w:instrText xml:space="preserve"> XE "jc (Table Alignment)" </w:instrText>
      </w:r>
      <w:r>
        <w:fldChar w:fldCharType="end"/>
      </w:r>
    </w:p>
    <w:p w:rsidR="00024C0A" w:rsidRDefault="00694C0F">
      <w:pPr>
        <w:pStyle w:val="Definition-Field"/>
      </w:pPr>
      <w:r>
        <w:t xml:space="preserve">a.   </w:t>
      </w:r>
      <w:r>
        <w:rPr>
          <w:i/>
        </w:rPr>
        <w:t xml:space="preserve">The standard </w:t>
      </w:r>
      <w:r>
        <w:rPr>
          <w:i/>
        </w:rPr>
        <w:t>states that the table shall be left justified with zero indentation from the leading margin when no table alignment is specified in the style hierarchy.</w:t>
      </w:r>
    </w:p>
    <w:p w:rsidR="00024C0A" w:rsidRDefault="00694C0F">
      <w:pPr>
        <w:pStyle w:val="Definition-Field2"/>
      </w:pPr>
      <w:r>
        <w:t>Word honors indentation under this circumstance.</w:t>
      </w:r>
    </w:p>
    <w:p w:rsidR="00024C0A" w:rsidRDefault="00694C0F">
      <w:pPr>
        <w:pStyle w:val="Heading3"/>
      </w:pPr>
      <w:bookmarkStart w:id="299" w:name="section_a7c8261dea1c4fc6a131fc0e48c5176e"/>
      <w:bookmarkStart w:id="300" w:name="_Toc12260210"/>
      <w:r>
        <w:t>Part 1 Section 17.4.30, shd (Table Shading Exception)</w:t>
      </w:r>
      <w:bookmarkEnd w:id="299"/>
      <w:bookmarkEnd w:id="300"/>
      <w:r>
        <w:fldChar w:fldCharType="begin"/>
      </w:r>
      <w:r>
        <w:instrText xml:space="preserve"> </w:instrText>
      </w:r>
      <w:r>
        <w:instrText xml:space="preserve">XE "shd (Table Shading Exception)"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024C0A" w:rsidRDefault="00694C0F">
      <w:pPr>
        <w:pStyle w:val="Definition-Field"/>
      </w:pPr>
      <w:r>
        <w:t xml:space="preserve">a.   </w:t>
      </w:r>
      <w:r>
        <w:rPr>
          <w:i/>
        </w:rPr>
        <w:t xml:space="preserve">The standard states that table shading </w:t>
      </w:r>
      <w:r>
        <w:rPr>
          <w:i/>
        </w:rPr>
        <w:t>is applied to cells in the table.</w:t>
      </w:r>
    </w:p>
    <w:p w:rsidR="00024C0A" w:rsidRDefault="00694C0F">
      <w:pPr>
        <w:pStyle w:val="Definition-Field2"/>
      </w:pPr>
      <w:r>
        <w:t>Word applies table shading only to the cell spacing of the table.</w:t>
      </w:r>
    </w:p>
    <w:p w:rsidR="00024C0A" w:rsidRDefault="00694C0F">
      <w:pPr>
        <w:pStyle w:val="Definition-Field"/>
      </w:pPr>
      <w:r>
        <w:lastRenderedPageBreak/>
        <w:t xml:space="preserve">b.   </w:t>
      </w:r>
      <w:r>
        <w:rPr>
          <w:i/>
        </w:rPr>
        <w:t>The standard specifies that the val attribute is both required and optional.</w:t>
      </w:r>
    </w:p>
    <w:p w:rsidR="00024C0A" w:rsidRDefault="00694C0F">
      <w:pPr>
        <w:pStyle w:val="Definition-Field2"/>
      </w:pPr>
      <w:r>
        <w:t>Word treats the val attribute as required.</w:t>
      </w:r>
    </w:p>
    <w:p w:rsidR="00024C0A" w:rsidRDefault="00694C0F">
      <w:pPr>
        <w:pStyle w:val="Heading3"/>
      </w:pPr>
      <w:bookmarkStart w:id="301" w:name="section_ee110ab2af6a4ee8923d9a12a2fe65ab"/>
      <w:bookmarkStart w:id="302" w:name="_Toc12260211"/>
      <w:r>
        <w:t>Part 1 Section 17.4.31, shd (Ta</w:t>
      </w:r>
      <w:r>
        <w:t>ble Shading)</w:t>
      </w:r>
      <w:bookmarkEnd w:id="301"/>
      <w:bookmarkEnd w:id="302"/>
      <w:r>
        <w:fldChar w:fldCharType="begin"/>
      </w:r>
      <w:r>
        <w:instrText xml:space="preserve"> XE "shd (Table Shading)"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024C0A" w:rsidRDefault="00694C0F">
      <w:pPr>
        <w:pStyle w:val="Definition-Field"/>
      </w:pPr>
      <w:r>
        <w:t xml:space="preserve">a.   </w:t>
      </w:r>
      <w:r>
        <w:rPr>
          <w:i/>
        </w:rPr>
        <w:t>The standard states that table shadin</w:t>
      </w:r>
      <w:r>
        <w:rPr>
          <w:i/>
        </w:rPr>
        <w:t>g is applied to cells in the table.</w:t>
      </w:r>
    </w:p>
    <w:p w:rsidR="00024C0A" w:rsidRDefault="00694C0F">
      <w:pPr>
        <w:pStyle w:val="Definition-Field2"/>
      </w:pPr>
      <w:r>
        <w:t>Word applies table shading only to the cell spacing of the table.</w:t>
      </w:r>
    </w:p>
    <w:p w:rsidR="00024C0A" w:rsidRDefault="00694C0F">
      <w:pPr>
        <w:pStyle w:val="Definition-Field"/>
      </w:pPr>
      <w:r>
        <w:t xml:space="preserve">b.   </w:t>
      </w:r>
      <w:r>
        <w:rPr>
          <w:i/>
        </w:rPr>
        <w:t>The standard specifies that the val attribute is both required and optional.</w:t>
      </w:r>
    </w:p>
    <w:p w:rsidR="00024C0A" w:rsidRDefault="00694C0F">
      <w:pPr>
        <w:pStyle w:val="Definition-Field2"/>
      </w:pPr>
      <w:r>
        <w:t>Word treats the val attribute as required.</w:t>
      </w:r>
    </w:p>
    <w:p w:rsidR="00024C0A" w:rsidRDefault="00694C0F">
      <w:pPr>
        <w:pStyle w:val="Heading3"/>
      </w:pPr>
      <w:bookmarkStart w:id="303" w:name="section_4f0cccae70c2492abc943ccc39172119"/>
      <w:bookmarkStart w:id="304" w:name="_Toc12260212"/>
      <w:r>
        <w:t>Part 1 Section 17.4.32, shd (</w:t>
      </w:r>
      <w:r>
        <w:t>Table Cell Shading)</w:t>
      </w:r>
      <w:bookmarkEnd w:id="303"/>
      <w:bookmarkEnd w:id="304"/>
      <w:r>
        <w:fldChar w:fldCharType="begin"/>
      </w:r>
      <w:r>
        <w:instrText xml:space="preserve"> XE "shd (Table Cell Shading)" </w:instrText>
      </w:r>
      <w:r>
        <w:fldChar w:fldCharType="end"/>
      </w:r>
    </w:p>
    <w:p w:rsidR="00024C0A" w:rsidRDefault="00694C0F">
      <w:pPr>
        <w:pStyle w:val="Definition-Field"/>
      </w:pPr>
      <w:r>
        <w:t xml:space="preserve">a.   </w:t>
      </w:r>
      <w:r>
        <w:rPr>
          <w:i/>
        </w:rPr>
        <w:t>The standard does not state which setting is applied when both the themeShade and the themeTint attributes are present.</w:t>
      </w:r>
    </w:p>
    <w:p w:rsidR="00024C0A" w:rsidRDefault="00694C0F">
      <w:pPr>
        <w:pStyle w:val="Definition-Field2"/>
      </w:pPr>
      <w:r>
        <w:t>Word applies the themeTint setting when both of these attributes are present.</w:t>
      </w:r>
    </w:p>
    <w:p w:rsidR="00024C0A" w:rsidRDefault="00694C0F">
      <w:pPr>
        <w:pStyle w:val="Definition-Field"/>
      </w:pPr>
      <w:r>
        <w:t xml:space="preserve">b.   </w:t>
      </w:r>
      <w:r>
        <w:rPr>
          <w:i/>
        </w:rPr>
        <w:t>The standard states that if the shd element is omitted, then the cell shading is determined by the table-level or table-level exception cell shading settings.</w:t>
      </w:r>
    </w:p>
    <w:p w:rsidR="00024C0A" w:rsidRDefault="00694C0F">
      <w:pPr>
        <w:pStyle w:val="Definition-Field2"/>
      </w:pPr>
      <w:r>
        <w:t>In Word if the shd element is omitted, then the cell shading is determined by the table styl</w:t>
      </w:r>
      <w:r>
        <w:t>e.</w:t>
      </w:r>
    </w:p>
    <w:p w:rsidR="00024C0A" w:rsidRDefault="00694C0F">
      <w:pPr>
        <w:pStyle w:val="Definition-Field"/>
      </w:pPr>
      <w:r>
        <w:t xml:space="preserve">c.   </w:t>
      </w:r>
      <w:r>
        <w:rPr>
          <w:i/>
        </w:rPr>
        <w:t>The standard specifies that the val attribute is both required and optional.</w:t>
      </w:r>
    </w:p>
    <w:p w:rsidR="00024C0A" w:rsidRDefault="00694C0F">
      <w:pPr>
        <w:pStyle w:val="Definition-Field2"/>
      </w:pPr>
      <w:r>
        <w:t>Word treats the val attribute as required.</w:t>
      </w:r>
    </w:p>
    <w:p w:rsidR="00024C0A" w:rsidRDefault="00694C0F">
      <w:pPr>
        <w:pStyle w:val="Definition-Field"/>
      </w:pPr>
      <w:r>
        <w:t xml:space="preserve">d.   </w:t>
      </w:r>
      <w:r>
        <w:rPr>
          <w:i/>
        </w:rPr>
        <w:t>The standard states that if the themeFill attribute is omitted, the color attribute is used.</w:t>
      </w:r>
    </w:p>
    <w:p w:rsidR="00024C0A" w:rsidRDefault="00694C0F">
      <w:pPr>
        <w:pStyle w:val="Definition-Field2"/>
      </w:pPr>
      <w:r>
        <w:t>Because themeFill is the theme</w:t>
      </w:r>
      <w:r>
        <w:t xml:space="preserve"> color equivalent of fill, if themeFill is omitted, Word uses the fill attribute in its place.</w:t>
      </w:r>
    </w:p>
    <w:p w:rsidR="00024C0A" w:rsidRDefault="00694C0F">
      <w:pPr>
        <w:pStyle w:val="Heading3"/>
      </w:pPr>
      <w:bookmarkStart w:id="305" w:name="section_e904b9013e03484fa606b4c9ac291538"/>
      <w:bookmarkStart w:id="306" w:name="_Toc12260213"/>
      <w:r>
        <w:t>Part 1 Section 17.4.33, start (Table Cell Leading Edge Border)</w:t>
      </w:r>
      <w:bookmarkEnd w:id="305"/>
      <w:bookmarkEnd w:id="306"/>
      <w:r>
        <w:fldChar w:fldCharType="begin"/>
      </w:r>
      <w:r>
        <w:instrText xml:space="preserve"> XE "start (Table Cell Leading Edge Border)" </w:instrText>
      </w:r>
      <w:r>
        <w:fldChar w:fldCharType="end"/>
      </w:r>
    </w:p>
    <w:p w:rsidR="00024C0A" w:rsidRDefault="00694C0F">
      <w:pPr>
        <w:pStyle w:val="Definition-Field2"/>
      </w:pPr>
      <w:r>
        <w:rPr>
          <w:i/>
        </w:rPr>
        <w:t xml:space="preserve">For additional notes that apply to this portion of </w:t>
      </w:r>
      <w:r>
        <w:rPr>
          <w:i/>
        </w:rPr>
        <w:t xml:space="preserve">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24C0A" w:rsidRDefault="00694C0F">
      <w:pPr>
        <w:pStyle w:val="Heading3"/>
      </w:pPr>
      <w:bookmarkStart w:id="307" w:name="section_7764bed5db624323ad79ac21e1b96f45"/>
      <w:bookmarkStart w:id="308" w:name="_Toc12260214"/>
      <w:r>
        <w:t>Part 1 Section 17.4.34, start (Table Cell Leading Margin Default)</w:t>
      </w:r>
      <w:bookmarkEnd w:id="307"/>
      <w:bookmarkEnd w:id="308"/>
      <w:r>
        <w:fldChar w:fldCharType="begin"/>
      </w:r>
      <w:r>
        <w:instrText xml:space="preserve"> XE "start (Table Cell Leading Margin Default)" </w:instrText>
      </w:r>
      <w:r>
        <w:fldChar w:fldCharType="end"/>
      </w:r>
    </w:p>
    <w:p w:rsidR="00024C0A" w:rsidRDefault="00694C0F">
      <w:pPr>
        <w:pStyle w:val="Definition-Field"/>
      </w:pPr>
      <w:r>
        <w:t xml:space="preserve">a.   </w:t>
      </w:r>
      <w:r>
        <w:rPr>
          <w:i/>
        </w:rPr>
        <w:t>The standard states that any width value of type pct or auto for this element shall be ignored.</w:t>
      </w:r>
    </w:p>
    <w:p w:rsidR="00024C0A" w:rsidRDefault="00694C0F">
      <w:pPr>
        <w:pStyle w:val="Definition-Field2"/>
      </w:pPr>
      <w:r>
        <w:t xml:space="preserve">Word </w:t>
      </w:r>
      <w:r>
        <w:t>uses a default value of 0 for the width when the value of the type attribute is pct or auto.</w:t>
      </w:r>
    </w:p>
    <w:p w:rsidR="00024C0A" w:rsidRDefault="00694C0F">
      <w:pPr>
        <w:pStyle w:val="Heading3"/>
      </w:pPr>
      <w:bookmarkStart w:id="309" w:name="section_799ae85c14ec4a04a583768fbb6a05aa"/>
      <w:bookmarkStart w:id="310" w:name="_Toc12260215"/>
      <w:r>
        <w:t>Part 1 Section 17.4.35, start (Table Cell Leading Margin Exception)</w:t>
      </w:r>
      <w:bookmarkEnd w:id="309"/>
      <w:bookmarkEnd w:id="310"/>
      <w:r>
        <w:fldChar w:fldCharType="begin"/>
      </w:r>
      <w:r>
        <w:instrText xml:space="preserve"> XE "start (Table Cell Leading Margin Exception)"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024C0A" w:rsidRDefault="00694C0F">
      <w:pPr>
        <w:pStyle w:val="Definition-Field"/>
      </w:pPr>
      <w:r>
        <w:t xml:space="preserve">a.   </w:t>
      </w:r>
      <w:r>
        <w:rPr>
          <w:i/>
        </w:rPr>
        <w:t xml:space="preserve">The standard states that a 'type' attribute value of "nil" specifies that the </w:t>
      </w:r>
      <w:r>
        <w:rPr>
          <w:i/>
        </w:rPr>
        <w:t>current width is 0.</w:t>
      </w:r>
    </w:p>
    <w:p w:rsidR="00024C0A" w:rsidRDefault="00694C0F">
      <w:pPr>
        <w:pStyle w:val="Definition-Field2"/>
      </w:pPr>
      <w:r>
        <w:t>Word ignores this element when the 'type' attribute has a value of "nil".</w:t>
      </w:r>
    </w:p>
    <w:p w:rsidR="00024C0A" w:rsidRDefault="00694C0F">
      <w:pPr>
        <w:pStyle w:val="Heading3"/>
      </w:pPr>
      <w:bookmarkStart w:id="311" w:name="section_af57788ba32349a883cd0014c2f7c89e"/>
      <w:bookmarkStart w:id="312" w:name="_Toc12260216"/>
      <w:r>
        <w:lastRenderedPageBreak/>
        <w:t>Part 1 Section 17.4.36, start (Table Leading Edge Border)</w:t>
      </w:r>
      <w:bookmarkEnd w:id="311"/>
      <w:bookmarkEnd w:id="312"/>
      <w:r>
        <w:fldChar w:fldCharType="begin"/>
      </w:r>
      <w:r>
        <w:instrText xml:space="preserve"> XE "start (Table Leading Edge Border)" </w:instrText>
      </w:r>
      <w:r>
        <w:fldChar w:fldCharType="end"/>
      </w:r>
    </w:p>
    <w:p w:rsidR="00024C0A" w:rsidRDefault="00694C0F">
      <w:pPr>
        <w:pStyle w:val="Definition-Field2"/>
      </w:pPr>
      <w:r>
        <w:rPr>
          <w:i/>
        </w:rPr>
        <w:t>For additional notes that apply to this portion of the standar</w:t>
      </w:r>
      <w:r>
        <w:rPr>
          <w:i/>
        </w:rPr>
        <w:t xml:space="preserve">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24C0A" w:rsidRDefault="00694C0F">
      <w:pPr>
        <w:pStyle w:val="Heading3"/>
      </w:pPr>
      <w:bookmarkStart w:id="313" w:name="section_232ad787a0444a52851db4544c285aab"/>
      <w:bookmarkStart w:id="314" w:name="_Toc12260217"/>
      <w:r>
        <w:t>Part 1 Section 17.4.37, tbl (Table)</w:t>
      </w:r>
      <w:bookmarkEnd w:id="313"/>
      <w:bookmarkEnd w:id="314"/>
      <w:r>
        <w:fldChar w:fldCharType="begin"/>
      </w:r>
      <w:r>
        <w:instrText xml:space="preserve"> XE "tbl (Table)"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24C0A" w:rsidRDefault="00694C0F">
      <w:pPr>
        <w:pStyle w:val="Definition-Field"/>
      </w:pPr>
      <w:r>
        <w:t xml:space="preserve">a.   </w:t>
      </w:r>
      <w:r>
        <w:rPr>
          <w:i/>
        </w:rPr>
        <w:t xml:space="preserve">The standard states that when two tbl elements having the same style are present within the document content, without any intervening p elements, the corresponding </w:t>
      </w:r>
      <w:r>
        <w:rPr>
          <w:i/>
        </w:rPr>
        <w:t>tables shall be treated as a single table.</w:t>
      </w:r>
    </w:p>
    <w:p w:rsidR="00024C0A" w:rsidRDefault="00694C0F">
      <w:pPr>
        <w:pStyle w:val="Definition-Field2"/>
      </w:pPr>
      <w:r>
        <w:t>In Word, there is an exception to this behavior when at least one of the tables has an absolute position specified in its tblpPr element.  In this case, the corresponding tables are treated as distinct.</w:t>
      </w:r>
    </w:p>
    <w:p w:rsidR="00024C0A" w:rsidRDefault="00694C0F">
      <w:pPr>
        <w:pStyle w:val="Heading3"/>
      </w:pPr>
      <w:bookmarkStart w:id="315" w:name="section_63aedc89c4c940628d5b385b09e2036a"/>
      <w:bookmarkStart w:id="316" w:name="_Toc12260218"/>
      <w:r>
        <w:t>Part 1 Sec</w:t>
      </w:r>
      <w:r>
        <w:t>tion 17.4.38, tblBorders (Table Borders)</w:t>
      </w:r>
      <w:bookmarkEnd w:id="315"/>
      <w:bookmarkEnd w:id="316"/>
      <w:r>
        <w:fldChar w:fldCharType="begin"/>
      </w:r>
      <w:r>
        <w:instrText xml:space="preserve"> XE "tblBorders (Table Borders)" </w:instrText>
      </w:r>
      <w:r>
        <w:fldChar w:fldCharType="end"/>
      </w:r>
    </w:p>
    <w:p w:rsidR="00024C0A" w:rsidRDefault="00694C0F">
      <w:pPr>
        <w:pStyle w:val="Definition-Field"/>
      </w:pPr>
      <w:r>
        <w:t xml:space="preserve">a.   </w:t>
      </w:r>
      <w:r>
        <w:rPr>
          <w:i/>
        </w:rPr>
        <w:t>The standard specifies a method for resolving border conflicts.</w:t>
      </w:r>
    </w:p>
    <w:p w:rsidR="00024C0A" w:rsidRDefault="00694C0F">
      <w:r>
        <w:t xml:space="preserve">In Word, when cell spacing is nonzero, </w:t>
      </w:r>
      <w:r>
        <w:rPr>
          <w:b/>
        </w:rPr>
        <w:t>insideH</w:t>
      </w:r>
      <w:r>
        <w:t xml:space="preserve"> and </w:t>
      </w:r>
      <w:r>
        <w:rPr>
          <w:b/>
        </w:rPr>
        <w:t>insideV</w:t>
      </w:r>
      <w:r>
        <w:t xml:space="preserve"> table-level exception borders may still conflict wit</w:t>
      </w:r>
      <w:r>
        <w:t xml:space="preserve">h cell borders.  If there is a border conflict, it shall be resolved using the method describe in </w:t>
      </w:r>
      <w:r>
        <w:rPr>
          <w:b/>
        </w:rPr>
        <w:t>tcBorders</w:t>
      </w:r>
      <w:r>
        <w:t xml:space="preserve"> ("</w:t>
      </w:r>
      <w:hyperlink r:id="rId78">
        <w:r>
          <w:rPr>
            <w:rStyle w:val="Hyperlink"/>
          </w:rPr>
          <w:t>[ISO/IEC-29500-1]</w:t>
        </w:r>
      </w:hyperlink>
      <w:r>
        <w:t xml:space="preserve"> §17.4.66; tcBorders (Table Cell Borders)").</w:t>
      </w:r>
    </w:p>
    <w:p w:rsidR="00024C0A" w:rsidRDefault="00694C0F">
      <w:pPr>
        <w:pStyle w:val="Definition-Field"/>
      </w:pPr>
      <w:r>
        <w:t xml:space="preserve">b.   </w:t>
      </w:r>
      <w:r>
        <w:rPr>
          <w:i/>
        </w:rPr>
        <w:t xml:space="preserve">The standard </w:t>
      </w:r>
      <w:r>
        <w:rPr>
          <w:i/>
        </w:rPr>
        <w:t>says that if cell spacing is nonzero, then there is no border conflict even though insideH and insideV table exception borders may conflict with cell borders.</w:t>
      </w:r>
    </w:p>
    <w:p w:rsidR="00024C0A" w:rsidRDefault="00694C0F">
      <w:pPr>
        <w:pStyle w:val="Definition-Field2"/>
      </w:pPr>
      <w:r>
        <w:t>In Word, when cell spacing is nonzero, insideH and insideV table exception borders may still conf</w:t>
      </w:r>
      <w:r>
        <w:t>lict with cell borders.</w:t>
      </w:r>
    </w:p>
    <w:p w:rsidR="00024C0A" w:rsidRDefault="00694C0F">
      <w:pPr>
        <w:pStyle w:val="Heading3"/>
      </w:pPr>
      <w:bookmarkStart w:id="317" w:name="section_c6c5d5c4206a4e0a9f1ecee1fe4ffe42"/>
      <w:bookmarkStart w:id="318" w:name="_Toc12260219"/>
      <w:r>
        <w:t>Part 1 Section 17.4.39, tblBorders (Table Borders Exceptions)</w:t>
      </w:r>
      <w:bookmarkEnd w:id="317"/>
      <w:bookmarkEnd w:id="318"/>
      <w:r>
        <w:fldChar w:fldCharType="begin"/>
      </w:r>
      <w:r>
        <w:instrText xml:space="preserve"> XE "tblBorders (Table Borders Exceptions)" </w:instrText>
      </w:r>
      <w:r>
        <w:fldChar w:fldCharType="end"/>
      </w:r>
    </w:p>
    <w:p w:rsidR="00024C0A" w:rsidRDefault="00694C0F">
      <w:pPr>
        <w:pStyle w:val="Definition-Field"/>
      </w:pPr>
      <w:r>
        <w:t xml:space="preserve">a.   </w:t>
      </w:r>
      <w:r>
        <w:rPr>
          <w:i/>
        </w:rPr>
        <w:t>The standard specifies a method for resolving border conflicts.</w:t>
      </w:r>
    </w:p>
    <w:p w:rsidR="00024C0A" w:rsidRDefault="00694C0F">
      <w:r>
        <w:t xml:space="preserve">In Word, when cell spacing is nonzero, </w:t>
      </w:r>
      <w:r>
        <w:rPr>
          <w:b/>
        </w:rPr>
        <w:t>insideH</w:t>
      </w:r>
      <w:r>
        <w:t xml:space="preserve"> and </w:t>
      </w:r>
      <w:r>
        <w:rPr>
          <w:b/>
        </w:rPr>
        <w:t>insi</w:t>
      </w:r>
      <w:r>
        <w:rPr>
          <w:b/>
        </w:rPr>
        <w:t>deV</w:t>
      </w:r>
      <w:r>
        <w:t xml:space="preserve"> table-level exception borders may still conflict with cell borders.  If there is a border conflict, it shall be resolved using the method describe in </w:t>
      </w:r>
      <w:r>
        <w:rPr>
          <w:b/>
        </w:rPr>
        <w:t>tcBorders</w:t>
      </w:r>
      <w:r>
        <w:t xml:space="preserve"> ("</w:t>
      </w:r>
      <w:hyperlink r:id="rId79">
        <w:r>
          <w:rPr>
            <w:rStyle w:val="Hyperlink"/>
          </w:rPr>
          <w:t>[ISO/IEC-29500-1]</w:t>
        </w:r>
      </w:hyperlink>
      <w:r>
        <w:t xml:space="preserve"> §17.4.</w:t>
      </w:r>
      <w:r>
        <w:t>66; tcBorders (Table Cell Borders)").</w:t>
      </w:r>
    </w:p>
    <w:p w:rsidR="00024C0A" w:rsidRDefault="00694C0F">
      <w:pPr>
        <w:pStyle w:val="Definition-Field"/>
      </w:pPr>
      <w:r>
        <w:t xml:space="preserve">b.   </w:t>
      </w:r>
      <w:r>
        <w:rPr>
          <w:i/>
        </w:rPr>
        <w:t>The standard says that if cell spacing is nonzero, then there is no border conflict even though insideH and insideV table exception borders may conflict with cell borders.</w:t>
      </w:r>
    </w:p>
    <w:p w:rsidR="00024C0A" w:rsidRDefault="00694C0F">
      <w:pPr>
        <w:pStyle w:val="Definition-Field2"/>
      </w:pPr>
      <w:r>
        <w:t>In Word, when cell spacing is nonzero, in</w:t>
      </w:r>
      <w:r>
        <w:t>sideH and insideV table exception borders may still conflict with cell borders.</w:t>
      </w:r>
    </w:p>
    <w:p w:rsidR="00024C0A" w:rsidRDefault="00694C0F">
      <w:pPr>
        <w:pStyle w:val="Heading3"/>
      </w:pPr>
      <w:bookmarkStart w:id="319" w:name="section_6258617e410c4d38898eb9cda572b9fa"/>
      <w:bookmarkStart w:id="320" w:name="_Toc12260220"/>
      <w:r>
        <w:t>Part 1 Section 17.4.43, tblCellSpacing (Table Row Cell Spacing)</w:t>
      </w:r>
      <w:bookmarkEnd w:id="319"/>
      <w:bookmarkEnd w:id="320"/>
      <w:r>
        <w:fldChar w:fldCharType="begin"/>
      </w:r>
      <w:r>
        <w:instrText xml:space="preserve"> XE "tblCellSpacing (Table Row Cell Spacing)" </w:instrText>
      </w:r>
      <w:r>
        <w:fldChar w:fldCharType="end"/>
      </w:r>
    </w:p>
    <w:p w:rsidR="00024C0A" w:rsidRDefault="00694C0F">
      <w:pPr>
        <w:pStyle w:val="Definition-Field"/>
      </w:pPr>
      <w:r>
        <w:t xml:space="preserve">a.   </w:t>
      </w:r>
      <w:r>
        <w:rPr>
          <w:i/>
        </w:rPr>
        <w:t xml:space="preserve">The standard states that any width value of type pct or </w:t>
      </w:r>
      <w:r>
        <w:rPr>
          <w:i/>
        </w:rPr>
        <w:t>auto for this element shall be ignored.</w:t>
      </w:r>
    </w:p>
    <w:p w:rsidR="00024C0A" w:rsidRDefault="00694C0F">
      <w:pPr>
        <w:pStyle w:val="Definition-Field2"/>
      </w:pPr>
      <w:r>
        <w:t>Word uses a default value of 0 for the width when the value of the type attribute is pct or auto.</w:t>
      </w:r>
    </w:p>
    <w:p w:rsidR="00024C0A" w:rsidRDefault="00694C0F">
      <w:pPr>
        <w:pStyle w:val="Heading3"/>
      </w:pPr>
      <w:bookmarkStart w:id="321" w:name="section_d0468dfd6e9c46d0bd3675fcb81c36e7"/>
      <w:bookmarkStart w:id="322" w:name="_Toc12260221"/>
      <w:r>
        <w:t>Part 1 Section 17.4.44, tblCellSpacing (Table Cell Spacing Exception)</w:t>
      </w:r>
      <w:bookmarkEnd w:id="321"/>
      <w:bookmarkEnd w:id="322"/>
      <w:r>
        <w:fldChar w:fldCharType="begin"/>
      </w:r>
      <w:r>
        <w:instrText xml:space="preserve"> XE "tblCellSpacing (Table Cell Spacing Exception</w:instrText>
      </w:r>
      <w:r>
        <w:instrText xml:space="preserve">)" </w:instrText>
      </w:r>
      <w:r>
        <w:fldChar w:fldCharType="end"/>
      </w:r>
    </w:p>
    <w:p w:rsidR="00024C0A" w:rsidRDefault="00694C0F">
      <w:pPr>
        <w:pStyle w:val="Definition-Field"/>
      </w:pPr>
      <w:r>
        <w:t xml:space="preserve">a.   </w:t>
      </w:r>
      <w:r>
        <w:rPr>
          <w:i/>
        </w:rPr>
        <w:t>The standard states that any width value of type pct or auto for this element shall be ignored.</w:t>
      </w:r>
    </w:p>
    <w:p w:rsidR="00024C0A" w:rsidRDefault="00694C0F">
      <w:pPr>
        <w:pStyle w:val="Definition-Field2"/>
      </w:pPr>
      <w:r>
        <w:t>Word uses a default value of 0 for the width when the value of the type attribute is pct or auto.</w:t>
      </w:r>
    </w:p>
    <w:p w:rsidR="00024C0A" w:rsidRDefault="00694C0F">
      <w:pPr>
        <w:pStyle w:val="Heading3"/>
      </w:pPr>
      <w:bookmarkStart w:id="323" w:name="section_f8f75687e6b6442f8b5cd68b3664de5f"/>
      <w:bookmarkStart w:id="324" w:name="_Toc12260222"/>
      <w:r>
        <w:lastRenderedPageBreak/>
        <w:t xml:space="preserve">Part 1 Section 17.4.45, tblCellSpacing (Table Cell </w:t>
      </w:r>
      <w:r>
        <w:t>Spacing Default)</w:t>
      </w:r>
      <w:bookmarkEnd w:id="323"/>
      <w:bookmarkEnd w:id="324"/>
      <w:r>
        <w:fldChar w:fldCharType="begin"/>
      </w:r>
      <w:r>
        <w:instrText xml:space="preserve"> XE "tblCellSpacing (Table Cell Spacing Default)" </w:instrText>
      </w:r>
      <w:r>
        <w:fldChar w:fldCharType="end"/>
      </w:r>
    </w:p>
    <w:p w:rsidR="00024C0A" w:rsidRDefault="00694C0F">
      <w:pPr>
        <w:pStyle w:val="Definition-Field"/>
      </w:pPr>
      <w:r>
        <w:t xml:space="preserve">a.   </w:t>
      </w:r>
      <w:r>
        <w:rPr>
          <w:i/>
        </w:rPr>
        <w:t>The standard states that any width value of type pct or auto for this element shall be ignored.</w:t>
      </w:r>
    </w:p>
    <w:p w:rsidR="00024C0A" w:rsidRDefault="00694C0F">
      <w:pPr>
        <w:pStyle w:val="Definition-Field2"/>
      </w:pPr>
      <w:r>
        <w:t xml:space="preserve">Word uses a default value of 0 for the width when the value of the type attribute is </w:t>
      </w:r>
      <w:r>
        <w:t>pct or auto.</w:t>
      </w:r>
    </w:p>
    <w:p w:rsidR="00024C0A" w:rsidRDefault="00694C0F">
      <w:pPr>
        <w:pStyle w:val="Heading3"/>
      </w:pPr>
      <w:bookmarkStart w:id="325" w:name="section_cd88a1fb76c6477dad02f4d5f74e4a06"/>
      <w:bookmarkStart w:id="326" w:name="_Toc12260223"/>
      <w:r>
        <w:t>Part 1 Section 17.4.50, tblInd (Table Indent from Leading Margin)</w:t>
      </w:r>
      <w:bookmarkEnd w:id="325"/>
      <w:bookmarkEnd w:id="326"/>
      <w:r>
        <w:fldChar w:fldCharType="begin"/>
      </w:r>
      <w:r>
        <w:instrText xml:space="preserve"> XE "tblInd (Table Indent from Leading Margin)" </w:instrText>
      </w:r>
      <w:r>
        <w:fldChar w:fldCharType="end"/>
      </w:r>
    </w:p>
    <w:p w:rsidR="00024C0A" w:rsidRDefault="00694C0F">
      <w:pPr>
        <w:pStyle w:val="Definition-Field"/>
      </w:pPr>
      <w:r>
        <w:t xml:space="preserve">a.   </w:t>
      </w:r>
      <w:r>
        <w:rPr>
          <w:i/>
        </w:rPr>
        <w:t>The standard says tblInd is ignored if the justification is not left.</w:t>
      </w:r>
    </w:p>
    <w:p w:rsidR="00024C0A" w:rsidRDefault="00694C0F">
      <w:pPr>
        <w:pStyle w:val="Definition-Field2"/>
      </w:pPr>
      <w:r>
        <w:t xml:space="preserve">Word does not ignore tblInd if the justification is </w:t>
      </w:r>
      <w:r>
        <w:t>not left.</w:t>
      </w:r>
    </w:p>
    <w:p w:rsidR="00024C0A" w:rsidRDefault="00694C0F">
      <w:pPr>
        <w:pStyle w:val="Heading3"/>
      </w:pPr>
      <w:bookmarkStart w:id="327" w:name="section_eec0c73c18c2417699e614501f3a4ad7"/>
      <w:bookmarkStart w:id="328" w:name="_Toc12260224"/>
      <w:r>
        <w:t>Part 1 Section 17.4.51, tblInd (Table Indent from Leading Margin Exception)</w:t>
      </w:r>
      <w:bookmarkEnd w:id="327"/>
      <w:bookmarkEnd w:id="328"/>
      <w:r>
        <w:fldChar w:fldCharType="begin"/>
      </w:r>
      <w:r>
        <w:instrText xml:space="preserve"> XE "tblInd (Table Indent from Leading Margin Exception)" </w:instrText>
      </w:r>
      <w:r>
        <w:fldChar w:fldCharType="end"/>
      </w:r>
    </w:p>
    <w:p w:rsidR="00024C0A" w:rsidRDefault="00694C0F">
      <w:pPr>
        <w:pStyle w:val="Definition-Field"/>
      </w:pPr>
      <w:r>
        <w:t xml:space="preserve">a.   </w:t>
      </w:r>
      <w:r>
        <w:rPr>
          <w:i/>
        </w:rPr>
        <w:t>The standard allows table indent exception to be set for any table row.</w:t>
      </w:r>
    </w:p>
    <w:p w:rsidR="00024C0A" w:rsidRDefault="00694C0F">
      <w:pPr>
        <w:pStyle w:val="Definition-Field2"/>
      </w:pPr>
      <w:r>
        <w:t>Word applies table indent excepti</w:t>
      </w:r>
      <w:r>
        <w:t>on to the whole table if the property is specified for the first table row and ignores this property if it is set for other table rows.</w:t>
      </w:r>
    </w:p>
    <w:p w:rsidR="00024C0A" w:rsidRDefault="00694C0F">
      <w:pPr>
        <w:pStyle w:val="Definition-Field"/>
      </w:pPr>
      <w:r>
        <w:t xml:space="preserve">b.   </w:t>
      </w:r>
      <w:r>
        <w:rPr>
          <w:i/>
        </w:rPr>
        <w:t>The standard says tblInd is ignored if justification on the parent table row is not left.</w:t>
      </w:r>
    </w:p>
    <w:p w:rsidR="00024C0A" w:rsidRDefault="00694C0F">
      <w:pPr>
        <w:pStyle w:val="Definition-Field2"/>
      </w:pPr>
      <w:r>
        <w:t>Word does not ignore tblI</w:t>
      </w:r>
      <w:r>
        <w:t>nd if the justification is not left.</w:t>
      </w:r>
    </w:p>
    <w:p w:rsidR="00024C0A" w:rsidRDefault="00694C0F">
      <w:pPr>
        <w:pStyle w:val="Heading3"/>
      </w:pPr>
      <w:bookmarkStart w:id="329" w:name="section_ae22d06082974b719f701fdf3625132a"/>
      <w:bookmarkStart w:id="330" w:name="_Toc12260225"/>
      <w:r>
        <w:t>Part 1 Section 17.4.52, tblLayout (Table Layout)</w:t>
      </w:r>
      <w:bookmarkEnd w:id="329"/>
      <w:bookmarkEnd w:id="330"/>
      <w:r>
        <w:fldChar w:fldCharType="begin"/>
      </w:r>
      <w:r>
        <w:instrText xml:space="preserve"> XE "tblLayout (Table Layout)"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024C0A" w:rsidRDefault="00694C0F">
      <w:pPr>
        <w:pStyle w:val="Heading3"/>
      </w:pPr>
      <w:bookmarkStart w:id="331" w:name="section_b27e9e3afa724ac099292b5971588b2b"/>
      <w:bookmarkStart w:id="332" w:name="_Toc12260226"/>
      <w:r>
        <w:t>Part 1 Section 17.4.53, tblLayout (Table Layout Exception)</w:t>
      </w:r>
      <w:bookmarkEnd w:id="331"/>
      <w:bookmarkEnd w:id="332"/>
      <w:r>
        <w:fldChar w:fldCharType="begin"/>
      </w:r>
      <w:r>
        <w:instrText xml:space="preserve"> XE "tblLayout (Table Layout Exception)" </w:instrText>
      </w:r>
      <w:r>
        <w:fldChar w:fldCharType="end"/>
      </w:r>
    </w:p>
    <w:p w:rsidR="00024C0A" w:rsidRDefault="00694C0F">
      <w:pPr>
        <w:pStyle w:val="Definition-Field"/>
      </w:pPr>
      <w:r>
        <w:t xml:space="preserve">a.   </w:t>
      </w:r>
      <w:r>
        <w:rPr>
          <w:i/>
        </w:rPr>
        <w:t>The standard states that the</w:t>
      </w:r>
      <w:r>
        <w:rPr>
          <w:i/>
        </w:rPr>
        <w:t xml:space="preserve"> table layout exception can be used to set any table row's table layout to autofit or fixed.</w:t>
      </w:r>
    </w:p>
    <w:p w:rsidR="00024C0A" w:rsidRDefault="00694C0F">
      <w:pPr>
        <w:pStyle w:val="Definition-Field2"/>
      </w:pPr>
      <w:r>
        <w:t>Word ignores this element if it is not in the first row of the table or if its value is autofit. If the value is not ignored, then it applies to the whole table.</w:t>
      </w:r>
    </w:p>
    <w:p w:rsidR="00024C0A" w:rsidRDefault="00694C0F">
      <w:pPr>
        <w:pStyle w:val="Definition-Field"/>
      </w:pPr>
      <w:r>
        <w:t>b</w:t>
      </w:r>
      <w:r>
        <w:t xml:space="preserve">.   </w:t>
      </w:r>
      <w:r>
        <w:rPr>
          <w:i/>
        </w:rPr>
        <w:t>The standard states that if the tblLayout element is omitted, then the value defaults to autofit.</w:t>
      </w:r>
    </w:p>
    <w:p w:rsidR="00024C0A" w:rsidRDefault="00694C0F">
      <w:pPr>
        <w:pStyle w:val="Definition-Field2"/>
      </w:pPr>
      <w:r>
        <w:t>In Word, if the tblLayout element is omitted, then the layout algorithm is determined by the default set of table properties on the parent table.</w:t>
      </w:r>
    </w:p>
    <w:p w:rsidR="00024C0A" w:rsidRDefault="00694C0F">
      <w:pPr>
        <w:pStyle w:val="Heading3"/>
      </w:pPr>
      <w:bookmarkStart w:id="333" w:name="section_814bc31910274d3c9cc52276e470e4a2"/>
      <w:bookmarkStart w:id="334" w:name="_Toc12260227"/>
      <w:r>
        <w:t>Part 1 S</w:t>
      </w:r>
      <w:r>
        <w:t>ection 17.4.54, tblLook (Table Style Conditional Formatting Settings Exception)</w:t>
      </w:r>
      <w:bookmarkEnd w:id="333"/>
      <w:bookmarkEnd w:id="334"/>
      <w:r>
        <w:fldChar w:fldCharType="begin"/>
      </w:r>
      <w:r>
        <w:instrText xml:space="preserve"> XE "tblLook (Table Style Conditional Formatting Settings Exception)" </w:instrText>
      </w:r>
      <w:r>
        <w:fldChar w:fldCharType="end"/>
      </w:r>
    </w:p>
    <w:p w:rsidR="00024C0A" w:rsidRDefault="00694C0F">
      <w:pPr>
        <w:pStyle w:val="Definition-Field"/>
      </w:pPr>
      <w:r>
        <w:t xml:space="preserve">a.   </w:t>
      </w:r>
      <w:r>
        <w:rPr>
          <w:i/>
        </w:rPr>
        <w:t>The standard does not specify how to format corner cells when both a row style and an overlapping c</w:t>
      </w:r>
      <w:r>
        <w:rPr>
          <w:i/>
        </w:rPr>
        <w:t>olumn style are determined by the options set in tblLook.</w:t>
      </w:r>
    </w:p>
    <w:p w:rsidR="00024C0A" w:rsidRDefault="00694C0F">
      <w:r>
        <w:t>When both a row and a column styling apply to a corner cell, Word allows the cell to be individually styled.  These corner cells are:</w:t>
      </w:r>
    </w:p>
    <w:p w:rsidR="00024C0A" w:rsidRDefault="00694C0F">
      <w:pPr>
        <w:pStyle w:val="ListParagraph"/>
        <w:numPr>
          <w:ilvl w:val="0"/>
          <w:numId w:val="55"/>
        </w:numPr>
        <w:contextualSpacing/>
      </w:pPr>
      <w:r>
        <w:t>Top left cell – Applicable when both Header Row and First Column</w:t>
      </w:r>
      <w:r>
        <w:t xml:space="preserve"> are used.</w:t>
      </w:r>
    </w:p>
    <w:p w:rsidR="00024C0A" w:rsidRDefault="00694C0F">
      <w:pPr>
        <w:pStyle w:val="ListParagraph"/>
        <w:numPr>
          <w:ilvl w:val="0"/>
          <w:numId w:val="55"/>
        </w:numPr>
        <w:contextualSpacing/>
      </w:pPr>
      <w:r>
        <w:t>Top right cell – Applicable when both Header Row and Last Column are used.</w:t>
      </w:r>
    </w:p>
    <w:p w:rsidR="00024C0A" w:rsidRDefault="00694C0F">
      <w:pPr>
        <w:pStyle w:val="ListParagraph"/>
        <w:numPr>
          <w:ilvl w:val="0"/>
          <w:numId w:val="55"/>
        </w:numPr>
        <w:contextualSpacing/>
      </w:pPr>
      <w:r>
        <w:t>Bottom left cell – Applicable when both Total Row and First Column are used.</w:t>
      </w:r>
    </w:p>
    <w:p w:rsidR="00024C0A" w:rsidRDefault="00694C0F">
      <w:pPr>
        <w:pStyle w:val="ListParagraph"/>
        <w:numPr>
          <w:ilvl w:val="0"/>
          <w:numId w:val="55"/>
        </w:numPr>
      </w:pPr>
      <w:r>
        <w:t>Bottom right cell – Applicable when both Total Row and Last Column are used.</w:t>
      </w:r>
    </w:p>
    <w:p w:rsidR="00024C0A" w:rsidRDefault="00694C0F">
      <w:pPr>
        <w:pStyle w:val="Definition-Field"/>
      </w:pPr>
      <w:r>
        <w:t xml:space="preserve">b.   </w:t>
      </w:r>
      <w:r>
        <w:rPr>
          <w:i/>
        </w:rPr>
        <w:t>The standar</w:t>
      </w:r>
      <w:r>
        <w:rPr>
          <w:i/>
        </w:rPr>
        <w:t>d specifies a set of attributes on this element.</w:t>
      </w:r>
    </w:p>
    <w:p w:rsidR="00024C0A" w:rsidRDefault="00694C0F">
      <w:pPr>
        <w:pStyle w:val="Definition-Field2"/>
      </w:pPr>
      <w:r>
        <w:lastRenderedPageBreak/>
        <w:t>Word reads the val attribute specified in "</w:t>
      </w:r>
      <w:hyperlink r:id="rId80">
        <w:r>
          <w:rPr>
            <w:rStyle w:val="Hyperlink"/>
          </w:rPr>
          <w:t>[ISO/IEC-29500-4]</w:t>
        </w:r>
      </w:hyperlink>
      <w:r>
        <w:t xml:space="preserve"> §14.3.11; Additional attribute for tblLook element (Part 1, §17.4.55)" if, and only if, none of the attributes specified in this subsection are present.</w:t>
      </w:r>
    </w:p>
    <w:p w:rsidR="00024C0A" w:rsidRDefault="00694C0F">
      <w:pPr>
        <w:pStyle w:val="Heading3"/>
      </w:pPr>
      <w:bookmarkStart w:id="335" w:name="section_90f075ceb16d422ab1b039c9777a594e"/>
      <w:bookmarkStart w:id="336" w:name="_Toc12260228"/>
      <w:r>
        <w:t>Part 1 Section 17.4.55, tblLook (Table Style Conditional Formatting Settings)</w:t>
      </w:r>
      <w:bookmarkEnd w:id="335"/>
      <w:bookmarkEnd w:id="336"/>
      <w:r>
        <w:fldChar w:fldCharType="begin"/>
      </w:r>
      <w:r>
        <w:instrText xml:space="preserve"> XE "tblLook (Table Style</w:instrText>
      </w:r>
      <w:r>
        <w:instrText xml:space="preserve"> Conditional Formatting Settings)"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024C0A" w:rsidRDefault="00694C0F">
      <w:pPr>
        <w:pStyle w:val="Definition-Field"/>
      </w:pPr>
      <w:r>
        <w:t xml:space="preserve">a.   </w:t>
      </w:r>
      <w:r>
        <w:rPr>
          <w:i/>
        </w:rPr>
        <w:t>The standard states that when the tblLook element is omitted, the bitmask of table style options on the current table shall be assumed to be 0x0000.</w:t>
      </w:r>
    </w:p>
    <w:p w:rsidR="00024C0A" w:rsidRDefault="00694C0F">
      <w:pPr>
        <w:pStyle w:val="Definition-Field2"/>
      </w:pPr>
      <w:r>
        <w:t xml:space="preserve">In Word, when the tblLook element is omitted, the bitmask of </w:t>
      </w:r>
      <w:r>
        <w:t>table style options on the current table is assumed to be 0x04A0.</w:t>
      </w:r>
    </w:p>
    <w:p w:rsidR="00024C0A" w:rsidRDefault="00694C0F">
      <w:pPr>
        <w:pStyle w:val="Definition-Field"/>
      </w:pPr>
      <w:r>
        <w:t xml:space="preserve">b.   </w:t>
      </w:r>
      <w:r>
        <w:rPr>
          <w:i/>
        </w:rPr>
        <w:t>The standard states there are six conditional formatting options that can be set in tblLook.</w:t>
      </w:r>
    </w:p>
    <w:p w:rsidR="00024C0A" w:rsidRDefault="00694C0F">
      <w:r>
        <w:t>In addition to the six listed conditional formatting options, Word supports the following ad</w:t>
      </w:r>
      <w:r>
        <w:t>ditional options and combinations:</w:t>
      </w:r>
    </w:p>
    <w:p w:rsidR="00024C0A" w:rsidRDefault="00694C0F">
      <w:pPr>
        <w:pStyle w:val="ListParagraph"/>
        <w:numPr>
          <w:ilvl w:val="0"/>
          <w:numId w:val="56"/>
        </w:numPr>
        <w:contextualSpacing/>
      </w:pPr>
      <w:r>
        <w:t>0x00A0 - Allow NE Cell conditional formatting. This and the following bitmasks are combinations of two bits. These bits allow an intersection of the appropriate row and column.</w:t>
      </w:r>
    </w:p>
    <w:p w:rsidR="00024C0A" w:rsidRDefault="00694C0F">
      <w:pPr>
        <w:pStyle w:val="ListParagraph"/>
        <w:numPr>
          <w:ilvl w:val="0"/>
          <w:numId w:val="56"/>
        </w:numPr>
        <w:contextualSpacing/>
      </w:pPr>
      <w:r>
        <w:t>0x0120 - Allow NW Cell conditional formattin</w:t>
      </w:r>
      <w:r>
        <w:t>g.</w:t>
      </w:r>
    </w:p>
    <w:p w:rsidR="00024C0A" w:rsidRDefault="00694C0F">
      <w:pPr>
        <w:pStyle w:val="ListParagraph"/>
        <w:numPr>
          <w:ilvl w:val="0"/>
          <w:numId w:val="56"/>
        </w:numPr>
        <w:contextualSpacing/>
      </w:pPr>
      <w:r>
        <w:t>0x00C0 - Allow SE Cell conditional formatting.</w:t>
      </w:r>
    </w:p>
    <w:p w:rsidR="00024C0A" w:rsidRDefault="00694C0F">
      <w:pPr>
        <w:pStyle w:val="ListParagraph"/>
        <w:numPr>
          <w:ilvl w:val="0"/>
          <w:numId w:val="56"/>
        </w:numPr>
      </w:pPr>
      <w:r>
        <w:t>0x0140 - Allow SW Cell conditional formatting.</w:t>
      </w:r>
    </w:p>
    <w:p w:rsidR="00024C0A" w:rsidRDefault="00694C0F">
      <w:pPr>
        <w:pStyle w:val="Definition-Field"/>
      </w:pPr>
      <w:r>
        <w:t xml:space="preserve">c.   </w:t>
      </w:r>
      <w:r>
        <w:rPr>
          <w:i/>
        </w:rPr>
        <w:t>The standard specifies a set of attributes on this element.</w:t>
      </w:r>
    </w:p>
    <w:p w:rsidR="00024C0A" w:rsidRDefault="00694C0F">
      <w:pPr>
        <w:pStyle w:val="Definition-Field2"/>
      </w:pPr>
      <w:r>
        <w:t>Word reads the val attribute specified in "</w:t>
      </w:r>
      <w:hyperlink r:id="rId81">
        <w:r>
          <w:rPr>
            <w:rStyle w:val="Hyperlink"/>
          </w:rPr>
          <w:t>[ISO/IEC-29500-4]</w:t>
        </w:r>
      </w:hyperlink>
      <w:r>
        <w:t xml:space="preserve"> §14.3.12; Additional attribute for tblLook element (Part 1, §17.4.56)" if, and only if, none of the attributes specified in this subsection are present.</w:t>
      </w:r>
    </w:p>
    <w:p w:rsidR="00024C0A" w:rsidRDefault="00694C0F">
      <w:pPr>
        <w:pStyle w:val="Heading3"/>
      </w:pPr>
      <w:bookmarkStart w:id="337" w:name="section_56c0b0dedcc146fda1e1ea2310dc7741"/>
      <w:bookmarkStart w:id="338" w:name="_Toc12260229"/>
      <w:r>
        <w:t>Part 1 Section 17.4.56, tblOverlap (Floating Table Allows Other Tables</w:t>
      </w:r>
      <w:r>
        <w:t xml:space="preserve"> to Overlap)</w:t>
      </w:r>
      <w:bookmarkEnd w:id="337"/>
      <w:bookmarkEnd w:id="338"/>
      <w:r>
        <w:fldChar w:fldCharType="begin"/>
      </w:r>
      <w:r>
        <w:instrText xml:space="preserve"> XE "tblOverlap (Floating Table Allows Other Tables to Overlap)"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024C0A" w:rsidRDefault="00694C0F">
      <w:pPr>
        <w:pStyle w:val="Heading3"/>
      </w:pPr>
      <w:bookmarkStart w:id="339" w:name="section_4175e818958f4b4fb6f717003f1721b5"/>
      <w:bookmarkStart w:id="340" w:name="_Toc12260230"/>
      <w:r>
        <w:t>Part 1 Section 17.4.57, tblpPr (Floating Table Positioning)</w:t>
      </w:r>
      <w:bookmarkEnd w:id="339"/>
      <w:bookmarkEnd w:id="340"/>
      <w:r>
        <w:fldChar w:fldCharType="begin"/>
      </w:r>
      <w:r>
        <w:instrText xml:space="preserve"> XE "tblpPr (Floating Table Positioning)" </w:instrText>
      </w:r>
      <w:r>
        <w:fldChar w:fldCharType="end"/>
      </w:r>
    </w:p>
    <w:p w:rsidR="00024C0A" w:rsidRDefault="00694C0F">
      <w:pPr>
        <w:pStyle w:val="Definition-Field2"/>
      </w:pPr>
      <w:r>
        <w:rPr>
          <w:i/>
        </w:rPr>
        <w:t>For additional notes that apply to this portion of the standard, pleas</w:t>
      </w:r>
      <w:r>
        <w:rPr>
          <w:i/>
        </w:rPr>
        <w:t xml:space="preserve">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024C0A" w:rsidRDefault="00694C0F">
      <w:pPr>
        <w:pStyle w:val="Definition-Field"/>
      </w:pPr>
      <w:r>
        <w:t xml:space="preserve">a.   </w:t>
      </w:r>
      <w:r>
        <w:rPr>
          <w:i/>
        </w:rPr>
        <w:t>The standard says that horizontal floating table positioning fl</w:t>
      </w:r>
      <w:r>
        <w:rPr>
          <w:i/>
        </w:rPr>
        <w:t>ips which edge it is relative to in right to left paragraphs versus left to right paragraphs.</w:t>
      </w:r>
    </w:p>
    <w:p w:rsidR="00024C0A" w:rsidRDefault="00694C0F">
      <w:pPr>
        <w:pStyle w:val="Definition-Field2"/>
      </w:pPr>
      <w:r>
        <w:t>In Word, horizontal floating table positioning is always relative to the left edge.</w:t>
      </w:r>
    </w:p>
    <w:p w:rsidR="00024C0A" w:rsidRDefault="00694C0F">
      <w:pPr>
        <w:pStyle w:val="Definition-Field"/>
      </w:pPr>
      <w:r>
        <w:t xml:space="preserve">b.   </w:t>
      </w:r>
      <w:r>
        <w:rPr>
          <w:i/>
        </w:rPr>
        <w:t>The standard does not specify any conditions under which tblpPr is ignore</w:t>
      </w:r>
      <w:r>
        <w:rPr>
          <w:i/>
        </w:rPr>
        <w:t>d.</w:t>
      </w:r>
    </w:p>
    <w:p w:rsidR="00024C0A" w:rsidRDefault="00694C0F">
      <w:r>
        <w:t xml:space="preserve">Word ignores the </w:t>
      </w:r>
      <w:r>
        <w:rPr>
          <w:b/>
        </w:rPr>
        <w:t>tblpPr</w:t>
      </w:r>
      <w:r>
        <w:t xml:space="preserve"> element if all attributes are omitted. It also ignores this element if the table is contained in a textbox, footnote, endnote, or comment, or if all of the following conditions are met:</w:t>
      </w:r>
    </w:p>
    <w:p w:rsidR="00024C0A" w:rsidRDefault="00694C0F">
      <w:pPr>
        <w:pStyle w:val="ListParagraph"/>
        <w:numPr>
          <w:ilvl w:val="0"/>
          <w:numId w:val="57"/>
        </w:numPr>
        <w:contextualSpacing/>
      </w:pPr>
      <w:r>
        <w:t xml:space="preserve">The </w:t>
      </w:r>
      <w:r>
        <w:rPr>
          <w:b/>
        </w:rPr>
        <w:t>tblpX</w:t>
      </w:r>
      <w:r>
        <w:t xml:space="preserve"> attribute value is 0.</w:t>
      </w:r>
    </w:p>
    <w:p w:rsidR="00024C0A" w:rsidRDefault="00694C0F">
      <w:pPr>
        <w:pStyle w:val="ListParagraph"/>
        <w:numPr>
          <w:ilvl w:val="0"/>
          <w:numId w:val="57"/>
        </w:numPr>
        <w:contextualSpacing/>
      </w:pPr>
      <w:r>
        <w:t xml:space="preserve">The </w:t>
      </w:r>
      <w:r>
        <w:rPr>
          <w:b/>
        </w:rPr>
        <w:t>tblpY</w:t>
      </w:r>
      <w:r>
        <w:t xml:space="preserve"> a</w:t>
      </w:r>
      <w:r>
        <w:t>ttribute value is 0.</w:t>
      </w:r>
    </w:p>
    <w:p w:rsidR="00024C0A" w:rsidRDefault="00694C0F">
      <w:pPr>
        <w:pStyle w:val="ListParagraph"/>
        <w:numPr>
          <w:ilvl w:val="0"/>
          <w:numId w:val="57"/>
        </w:numPr>
        <w:contextualSpacing/>
      </w:pPr>
      <w:r>
        <w:t xml:space="preserve">The </w:t>
      </w:r>
      <w:r>
        <w:rPr>
          <w:b/>
        </w:rPr>
        <w:t>horzAnchor</w:t>
      </w:r>
      <w:r>
        <w:t xml:space="preserve"> attribute value is </w:t>
      </w:r>
      <w:r>
        <w:rPr>
          <w:i/>
        </w:rPr>
        <w:t>text.</w:t>
      </w:r>
    </w:p>
    <w:p w:rsidR="00024C0A" w:rsidRDefault="00694C0F">
      <w:pPr>
        <w:pStyle w:val="ListParagraph"/>
        <w:numPr>
          <w:ilvl w:val="0"/>
          <w:numId w:val="57"/>
        </w:numPr>
      </w:pPr>
      <w:r>
        <w:t xml:space="preserve">The </w:t>
      </w:r>
      <w:r>
        <w:rPr>
          <w:b/>
        </w:rPr>
        <w:t>vertAnchor</w:t>
      </w:r>
      <w:r>
        <w:t xml:space="preserve"> attribute value is not </w:t>
      </w:r>
      <w:r>
        <w:rPr>
          <w:i/>
        </w:rPr>
        <w:t>text.</w:t>
      </w:r>
    </w:p>
    <w:p w:rsidR="00024C0A" w:rsidRDefault="00694C0F">
      <w:pPr>
        <w:pStyle w:val="Definition-Field"/>
      </w:pPr>
      <w:r>
        <w:lastRenderedPageBreak/>
        <w:t xml:space="preserve">c.   </w:t>
      </w:r>
      <w:r>
        <w:rPr>
          <w:i/>
        </w:rPr>
        <w:t>The standard states that the default values of vertAnchor and horzAnchor are page.</w:t>
      </w:r>
    </w:p>
    <w:p w:rsidR="00024C0A" w:rsidRDefault="00694C0F">
      <w:pPr>
        <w:pStyle w:val="Definition-Field2"/>
      </w:pPr>
      <w:r>
        <w:t xml:space="preserve">In Word, the default value for vertAnchor is margin and the </w:t>
      </w:r>
      <w:r>
        <w:t>default value for horzAnchor is text.</w:t>
      </w:r>
    </w:p>
    <w:p w:rsidR="00024C0A" w:rsidRDefault="00694C0F">
      <w:pPr>
        <w:pStyle w:val="Definition-Field"/>
      </w:pPr>
      <w:r>
        <w:t xml:space="preserve">d.   </w:t>
      </w:r>
      <w:r>
        <w:rPr>
          <w:i/>
        </w:rPr>
        <w:t>The standard allows any integer for leftFromText, rightFromText, topFromText, bottomFromText, tblpX, and tblpY.</w:t>
      </w:r>
    </w:p>
    <w:p w:rsidR="00024C0A" w:rsidRDefault="00694C0F">
      <w:pPr>
        <w:pStyle w:val="Definition-Field2"/>
      </w:pPr>
      <w:r>
        <w:t>Word only allows integers between 0 and 32767 for leftFromText, rightFromText, topFromText, bottomFro</w:t>
      </w:r>
      <w:r>
        <w:t>mText, tblpX, and tblpY.</w:t>
      </w:r>
    </w:p>
    <w:p w:rsidR="00024C0A" w:rsidRDefault="00694C0F">
      <w:pPr>
        <w:pStyle w:val="Definition-Field"/>
      </w:pPr>
      <w:r>
        <w:t xml:space="preserve">e.   </w:t>
      </w:r>
      <w:r>
        <w:rPr>
          <w:i/>
        </w:rPr>
        <w:t>The standard does not specify that tblpX and tblpY should be changed before display.</w:t>
      </w:r>
    </w:p>
    <w:p w:rsidR="00024C0A" w:rsidRDefault="00694C0F">
      <w:r>
        <w:t>To avoid the condition where the tblpPr element is ignored, Word adds 1 twentieth of a point to the actual distance value when it saves a file and subtracts 1 twentieth of a point to the actual distance value when it opens a file. For example, if the value</w:t>
      </w:r>
      <w:r>
        <w:t xml:space="preserve"> of attribute </w:t>
      </w:r>
      <w:r>
        <w:rPr>
          <w:b/>
        </w:rPr>
        <w:t>tblpX</w:t>
      </w:r>
      <w:r>
        <w:t xml:space="preserve"> or </w:t>
      </w:r>
      <w:r>
        <w:rPr>
          <w:b/>
        </w:rPr>
        <w:t>tblpY</w:t>
      </w:r>
      <w:r>
        <w:t xml:space="preserve"> is supposed be 0 twentieths of a point, then Word writes 1 instead, and if Word reads the value 1 for tblpX or tblpY it interprets that value as 0 instead.</w:t>
      </w:r>
    </w:p>
    <w:p w:rsidR="00024C0A" w:rsidRDefault="00694C0F">
      <w:pPr>
        <w:pStyle w:val="Heading3"/>
      </w:pPr>
      <w:bookmarkStart w:id="341" w:name="section_b838cab3eb77495a9cb98c6e693f0ac1"/>
      <w:bookmarkStart w:id="342" w:name="_Toc12260231"/>
      <w:r>
        <w:t>Part 1 Section 17.4.58, tblPr (Previous Table Properties)</w:t>
      </w:r>
      <w:bookmarkEnd w:id="341"/>
      <w:bookmarkEnd w:id="342"/>
      <w:r>
        <w:fldChar w:fldCharType="begin"/>
      </w:r>
      <w:r>
        <w:instrText xml:space="preserve"> XE "tblPr (Pr</w:instrText>
      </w:r>
      <w:r>
        <w:instrText xml:space="preserve">evious Table Properties)" </w:instrText>
      </w:r>
      <w:r>
        <w:fldChar w:fldCharType="end"/>
      </w:r>
    </w:p>
    <w:p w:rsidR="00024C0A" w:rsidRDefault="00694C0F">
      <w:pPr>
        <w:pStyle w:val="Definition-Field"/>
      </w:pPr>
      <w:r>
        <w:t xml:space="preserve">a.   </w:t>
      </w:r>
      <w:r>
        <w:rPr>
          <w:i/>
        </w:rPr>
        <w:t>The standard states that the tblStyleColBandSize and tblStyleRowBandSize elements are valid child elements of the tblPr element.</w:t>
      </w:r>
    </w:p>
    <w:p w:rsidR="00024C0A" w:rsidRDefault="00694C0F">
      <w:pPr>
        <w:pStyle w:val="Definition-Field2"/>
      </w:pPr>
      <w:r>
        <w:t>Word does not allow these elements to be child elements of the tblPr element.</w:t>
      </w:r>
    </w:p>
    <w:p w:rsidR="00024C0A" w:rsidRDefault="00694C0F">
      <w:pPr>
        <w:pStyle w:val="Heading3"/>
      </w:pPr>
      <w:bookmarkStart w:id="343" w:name="section_2020ce86cc3945b28bec82dc97435c44"/>
      <w:bookmarkStart w:id="344" w:name="_Toc12260232"/>
      <w:r>
        <w:t xml:space="preserve">Part 1 Section </w:t>
      </w:r>
      <w:r>
        <w:t>17.4.59, tblPr (Table Properties)</w:t>
      </w:r>
      <w:bookmarkEnd w:id="343"/>
      <w:bookmarkEnd w:id="344"/>
      <w:r>
        <w:fldChar w:fldCharType="begin"/>
      </w:r>
      <w:r>
        <w:instrText xml:space="preserve"> XE "tblPr (Table Properties)" </w:instrText>
      </w:r>
      <w:r>
        <w:fldChar w:fldCharType="end"/>
      </w:r>
    </w:p>
    <w:p w:rsidR="00024C0A" w:rsidRDefault="00694C0F">
      <w:pPr>
        <w:pStyle w:val="Definition-Field"/>
      </w:pPr>
      <w:r>
        <w:t xml:space="preserve">a.   </w:t>
      </w:r>
      <w:r>
        <w:rPr>
          <w:i/>
        </w:rPr>
        <w:t>The standard states that the tblStyleColBandSize and tblStyleRowBandSize elements are valid child elements of the tblPr element.</w:t>
      </w:r>
    </w:p>
    <w:p w:rsidR="00024C0A" w:rsidRDefault="00694C0F">
      <w:pPr>
        <w:pStyle w:val="Definition-Field2"/>
      </w:pPr>
      <w:r>
        <w:t>Word does not allow these elements to be child elements</w:t>
      </w:r>
      <w:r>
        <w:t xml:space="preserve"> of the tblPr element.</w:t>
      </w:r>
    </w:p>
    <w:p w:rsidR="00024C0A" w:rsidRDefault="00694C0F">
      <w:pPr>
        <w:pStyle w:val="Heading3"/>
      </w:pPr>
      <w:bookmarkStart w:id="345" w:name="section_35aa3feae5804ca695bdcb921384f005"/>
      <w:bookmarkStart w:id="346" w:name="_Toc12260233"/>
      <w:r>
        <w:t>Part 1 Section 17.4.62, tblStyle (Referenced Table Style)</w:t>
      </w:r>
      <w:bookmarkEnd w:id="345"/>
      <w:bookmarkEnd w:id="346"/>
      <w:r>
        <w:fldChar w:fldCharType="begin"/>
      </w:r>
      <w:r>
        <w:instrText xml:space="preserve"> XE "tblStyle (Referenced Table Style)"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 xml:space="preserve">; </w:t>
      </w:r>
      <w:hyperlink w:anchor="Section_1e273b9e816940a691aaf9ebd083e0b8">
        <w:r>
          <w:rPr>
            <w:rStyle w:val="Hyperlink"/>
          </w:rPr>
          <w:t>numStyleLink, §17.9.21(a)</w:t>
        </w:r>
      </w:hyperlink>
      <w:r>
        <w:rPr>
          <w:i/>
        </w:rPr>
        <w:t>.</w:t>
      </w:r>
    </w:p>
    <w:p w:rsidR="00024C0A" w:rsidRDefault="00694C0F">
      <w:pPr>
        <w:pStyle w:val="Definition-Field"/>
      </w:pPr>
      <w:r>
        <w:t xml:space="preserve">a.   </w:t>
      </w:r>
      <w:r>
        <w:rPr>
          <w:i/>
        </w:rPr>
        <w:t>The standard does not limit the leng</w:t>
      </w:r>
      <w:r>
        <w:rPr>
          <w:i/>
        </w:rPr>
        <w:t>th of the value of the val attribute.</w:t>
      </w:r>
    </w:p>
    <w:p w:rsidR="00024C0A" w:rsidRDefault="00694C0F">
      <w:pPr>
        <w:pStyle w:val="Definition-Field2"/>
      </w:pPr>
      <w:r>
        <w:t>Word restricts the value of this attribute to be at most 253 characters.</w:t>
      </w:r>
    </w:p>
    <w:p w:rsidR="00024C0A" w:rsidRDefault="00694C0F">
      <w:pPr>
        <w:pStyle w:val="Heading3"/>
      </w:pPr>
      <w:bookmarkStart w:id="347" w:name="section_5d923fcc83b6489e8761c0a8b7fa7c47"/>
      <w:bookmarkStart w:id="348" w:name="_Toc12260234"/>
      <w:r>
        <w:t>Part 1 Section 17.4.63, tblW (Preferred Table Width)</w:t>
      </w:r>
      <w:bookmarkEnd w:id="347"/>
      <w:bookmarkEnd w:id="348"/>
      <w:r>
        <w:fldChar w:fldCharType="begin"/>
      </w:r>
      <w:r>
        <w:instrText xml:space="preserve"> XE "tblW (Preferred Table Width)" </w:instrText>
      </w:r>
      <w:r>
        <w:fldChar w:fldCharType="end"/>
      </w:r>
    </w:p>
    <w:p w:rsidR="00024C0A" w:rsidRDefault="00694C0F">
      <w:pPr>
        <w:pStyle w:val="Definition-Field2"/>
      </w:pPr>
      <w:r>
        <w:rPr>
          <w:i/>
        </w:rPr>
        <w:t xml:space="preserve">For additional notes that apply to this portion of the </w:t>
      </w:r>
      <w:r>
        <w:rPr>
          <w:i/>
        </w:rPr>
        <w:t xml:space="preserve">standard, please see the notes for </w:t>
      </w:r>
      <w:hyperlink w:anchor="Section_8446a4220fe8401bb11fa2d4933ee83c">
        <w:r>
          <w:rPr>
            <w:rStyle w:val="Hyperlink"/>
          </w:rPr>
          <w:t>top, §17.4.77(a)</w:t>
        </w:r>
      </w:hyperlink>
      <w:r>
        <w:rPr>
          <w:i/>
        </w:rPr>
        <w:t xml:space="preserve">;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024C0A" w:rsidRDefault="00694C0F">
      <w:pPr>
        <w:pStyle w:val="Definition-Field"/>
      </w:pPr>
      <w:r>
        <w:t xml:space="preserve">a.   </w:t>
      </w:r>
      <w:r>
        <w:rPr>
          <w:i/>
        </w:rPr>
        <w:t>The standard specifies that if w is 0, the preferred table width is 0.</w:t>
      </w:r>
    </w:p>
    <w:p w:rsidR="00024C0A" w:rsidRDefault="00694C0F">
      <w:pPr>
        <w:pStyle w:val="Definition-Field2"/>
      </w:pPr>
      <w:r>
        <w:t>Word interprets the type attribute as auto if w is 0.</w:t>
      </w:r>
    </w:p>
    <w:p w:rsidR="00024C0A" w:rsidRDefault="00694C0F">
      <w:pPr>
        <w:pStyle w:val="Definition-Field"/>
      </w:pPr>
      <w:r>
        <w:t xml:space="preserve">b.   </w:t>
      </w:r>
      <w:r>
        <w:rPr>
          <w:i/>
        </w:rPr>
        <w:t>The standard does not specify the behavior when the type attribute is nil.</w:t>
      </w:r>
    </w:p>
    <w:p w:rsidR="00024C0A" w:rsidRDefault="00694C0F">
      <w:pPr>
        <w:pStyle w:val="Definition-Field2"/>
      </w:pPr>
      <w:r>
        <w:t xml:space="preserve">When the type </w:t>
      </w:r>
      <w:r>
        <w:t>attribute has a value of nil, Word interprets the type attribute value as auto.</w:t>
      </w:r>
    </w:p>
    <w:p w:rsidR="00024C0A" w:rsidRDefault="00694C0F">
      <w:pPr>
        <w:pStyle w:val="Heading3"/>
      </w:pPr>
      <w:bookmarkStart w:id="349" w:name="section_9b01c51ffe5d472cba38bc12ce971ad2"/>
      <w:bookmarkStart w:id="350" w:name="_Toc12260235"/>
      <w:r>
        <w:t>Part 1 Section 17.4.64, tblW (Preferred Table Width Exception)</w:t>
      </w:r>
      <w:bookmarkEnd w:id="349"/>
      <w:bookmarkEnd w:id="350"/>
      <w:r>
        <w:fldChar w:fldCharType="begin"/>
      </w:r>
      <w:r>
        <w:instrText xml:space="preserve"> XE "tblW (Preferred Table Width Exception)" </w:instrText>
      </w:r>
      <w:r>
        <w:fldChar w:fldCharType="end"/>
      </w:r>
    </w:p>
    <w:p w:rsidR="00024C0A" w:rsidRDefault="00694C0F">
      <w:pPr>
        <w:pStyle w:val="Definition-Field2"/>
      </w:pPr>
      <w:r>
        <w:rPr>
          <w:i/>
        </w:rPr>
        <w:t>For additional notes that apply to this portion of the standard, p</w:t>
      </w:r>
      <w:r>
        <w:rPr>
          <w:i/>
        </w:rPr>
        <w:t xml:space="preserve">lease see the notes for </w:t>
      </w:r>
      <w:hyperlink w:anchor="Section_8446a4220fe8401bb11fa2d4933ee83c">
        <w:r>
          <w:rPr>
            <w:rStyle w:val="Hyperlink"/>
          </w:rPr>
          <w:t>top, §17.4.77(a)</w:t>
        </w:r>
      </w:hyperlink>
      <w:r>
        <w:rPr>
          <w:i/>
        </w:rPr>
        <w:t>.</w:t>
      </w:r>
    </w:p>
    <w:p w:rsidR="00024C0A" w:rsidRDefault="00694C0F">
      <w:pPr>
        <w:pStyle w:val="Definition-Field"/>
      </w:pPr>
      <w:r>
        <w:lastRenderedPageBreak/>
        <w:t xml:space="preserve">a.   </w:t>
      </w:r>
      <w:r>
        <w:rPr>
          <w:i/>
        </w:rPr>
        <w:t>The standard specifies that this element specifies the preferred width for the parent table row.</w:t>
      </w:r>
    </w:p>
    <w:p w:rsidR="00024C0A" w:rsidRDefault="00694C0F">
      <w:pPr>
        <w:pStyle w:val="Definition-Field2"/>
      </w:pPr>
      <w:r>
        <w:t>Word ignores this element if it is not present in</w:t>
      </w:r>
      <w:r>
        <w:t xml:space="preserve"> the first row of the table. If it is in the first row, Word applies this preferred width to the entire table.</w:t>
      </w:r>
    </w:p>
    <w:p w:rsidR="00024C0A" w:rsidRDefault="00694C0F">
      <w:pPr>
        <w:pStyle w:val="Definition-Field"/>
      </w:pPr>
      <w:r>
        <w:t xml:space="preserve">b.   </w:t>
      </w:r>
      <w:r>
        <w:rPr>
          <w:i/>
        </w:rPr>
        <w:t>The standard specifies that if w is 0, the preferred table width is 0.</w:t>
      </w:r>
    </w:p>
    <w:p w:rsidR="00024C0A" w:rsidRDefault="00694C0F">
      <w:pPr>
        <w:pStyle w:val="Definition-Field2"/>
      </w:pPr>
      <w:r>
        <w:t>Word interprets the type attribute as auto if w is 0.</w:t>
      </w:r>
    </w:p>
    <w:p w:rsidR="00024C0A" w:rsidRDefault="00694C0F">
      <w:pPr>
        <w:pStyle w:val="Definition-Field"/>
      </w:pPr>
      <w:r>
        <w:t xml:space="preserve">c.   </w:t>
      </w:r>
      <w:r>
        <w:rPr>
          <w:i/>
        </w:rPr>
        <w:t>The standa</w:t>
      </w:r>
      <w:r>
        <w:rPr>
          <w:i/>
        </w:rPr>
        <w:t>rd states that if the tblW element is omitted, then the cell width is auto.</w:t>
      </w:r>
    </w:p>
    <w:p w:rsidR="00024C0A" w:rsidRDefault="00694C0F">
      <w:pPr>
        <w:pStyle w:val="Definition-Field2"/>
      </w:pPr>
      <w:r>
        <w:t>In Word, if the tblW element is omitted, then the table width is determined by the preferred table width element.</w:t>
      </w:r>
    </w:p>
    <w:p w:rsidR="00024C0A" w:rsidRDefault="00694C0F">
      <w:pPr>
        <w:pStyle w:val="Definition-Field"/>
      </w:pPr>
      <w:r>
        <w:t xml:space="preserve">d.   </w:t>
      </w:r>
      <w:r>
        <w:rPr>
          <w:i/>
        </w:rPr>
        <w:t>The standard does not specify the behavior when the type attr</w:t>
      </w:r>
      <w:r>
        <w:rPr>
          <w:i/>
        </w:rPr>
        <w:t>ibute is nil.</w:t>
      </w:r>
    </w:p>
    <w:p w:rsidR="00024C0A" w:rsidRDefault="00694C0F">
      <w:pPr>
        <w:pStyle w:val="Definition-Field2"/>
      </w:pPr>
      <w:r>
        <w:t>Word interprets the type attribute value as auto when the type attribute has a value of nil.</w:t>
      </w:r>
    </w:p>
    <w:p w:rsidR="00024C0A" w:rsidRDefault="00694C0F">
      <w:pPr>
        <w:pStyle w:val="Heading3"/>
      </w:pPr>
      <w:bookmarkStart w:id="351" w:name="section_51518f1baa8746adaf91607351eba2db"/>
      <w:bookmarkStart w:id="352" w:name="_Toc12260236"/>
      <w:r>
        <w:t>Part 1 Section 17.4.65, tc (Table Cell)</w:t>
      </w:r>
      <w:bookmarkEnd w:id="351"/>
      <w:bookmarkEnd w:id="352"/>
      <w:r>
        <w:fldChar w:fldCharType="begin"/>
      </w:r>
      <w:r>
        <w:instrText xml:space="preserve"> XE "tc (Table Cell)"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w:t>
        </w:r>
        <w:r>
          <w:rPr>
            <w:rStyle w:val="Hyperlink"/>
          </w:rPr>
          <w:t>.78(c)</w:t>
        </w:r>
      </w:hyperlink>
      <w:r>
        <w:rPr>
          <w:i/>
        </w:rPr>
        <w:t>.</w:t>
      </w:r>
    </w:p>
    <w:p w:rsidR="00024C0A" w:rsidRDefault="00694C0F">
      <w:pPr>
        <w:pStyle w:val="Definition-Field"/>
      </w:pPr>
      <w:r>
        <w:t xml:space="preserve">a.   </w:t>
      </w:r>
      <w:r>
        <w:rPr>
          <w:i/>
        </w:rPr>
        <w:t>The standard states that the id attribute is a valid attribute of the tc element.</w:t>
      </w:r>
    </w:p>
    <w:p w:rsidR="00024C0A" w:rsidRDefault="00694C0F">
      <w:pPr>
        <w:pStyle w:val="Definition-Field2"/>
      </w:pPr>
      <w:r>
        <w:t>Word ignores the id attribute.</w:t>
      </w:r>
    </w:p>
    <w:p w:rsidR="00024C0A" w:rsidRDefault="00694C0F">
      <w:pPr>
        <w:pStyle w:val="Definition-Field"/>
      </w:pPr>
      <w:r>
        <w:t xml:space="preserve">b.   </w:t>
      </w:r>
      <w:r>
        <w:rPr>
          <w:i/>
        </w:rPr>
        <w:t>The standard states that a tc element must include at least one block-level element.</w:t>
      </w:r>
    </w:p>
    <w:p w:rsidR="00024C0A" w:rsidRDefault="00694C0F">
      <w:pPr>
        <w:pStyle w:val="Definition-Field2"/>
      </w:pPr>
      <w:r>
        <w:t>If a tc element does not contain at leas</w:t>
      </w:r>
      <w:r>
        <w:t>t one p element, and that element is not the last child block-level element of the tc element, then Word will fail to open the file.</w:t>
      </w:r>
    </w:p>
    <w:p w:rsidR="00024C0A" w:rsidRDefault="00694C0F">
      <w:pPr>
        <w:pStyle w:val="Heading3"/>
      </w:pPr>
      <w:bookmarkStart w:id="353" w:name="section_7c791c5d44c34fe8abdd8f136761bb93"/>
      <w:bookmarkStart w:id="354" w:name="_Toc12260237"/>
      <w:r>
        <w:t>Part 1 Section 17.4.66, tcBorders (Table Cell Borders)</w:t>
      </w:r>
      <w:bookmarkEnd w:id="353"/>
      <w:bookmarkEnd w:id="354"/>
      <w:r>
        <w:fldChar w:fldCharType="begin"/>
      </w:r>
      <w:r>
        <w:instrText xml:space="preserve"> XE "tcBorders (Table Cell Borders)" </w:instrText>
      </w:r>
      <w:r>
        <w:fldChar w:fldCharType="end"/>
      </w:r>
    </w:p>
    <w:p w:rsidR="00024C0A" w:rsidRDefault="00694C0F">
      <w:pPr>
        <w:pStyle w:val="Definition-Field2"/>
      </w:pPr>
      <w:r>
        <w:rPr>
          <w:i/>
        </w:rPr>
        <w:t>For additional notes that app</w:t>
      </w:r>
      <w:r>
        <w:rPr>
          <w:i/>
        </w:rPr>
        <w:t xml:space="preserve">ly to this portion of the standard, please see the notes for </w:t>
      </w:r>
      <w:hyperlink w:anchor="Section_9e742550b4384b9d96064ae34d83830f">
        <w:r>
          <w:rPr>
            <w:rStyle w:val="Hyperlink"/>
          </w:rPr>
          <w:t>tcPr, §17.7.6.9(b)</w:t>
        </w:r>
      </w:hyperlink>
      <w:r>
        <w:rPr>
          <w:i/>
        </w:rPr>
        <w:t>.</w:t>
      </w:r>
    </w:p>
    <w:p w:rsidR="00024C0A" w:rsidRDefault="00694C0F">
      <w:pPr>
        <w:pStyle w:val="Definition-Field"/>
      </w:pPr>
      <w:r>
        <w:t xml:space="preserve">a.   </w:t>
      </w:r>
      <w:r>
        <w:rPr>
          <w:i/>
        </w:rPr>
        <w:t>The standard specifies a method for resolving border conflicts.</w:t>
      </w:r>
    </w:p>
    <w:p w:rsidR="00024C0A" w:rsidRDefault="00694C0F">
      <w:r>
        <w:t>Word determines top, bottom, left, and righ</w:t>
      </w:r>
      <w:r>
        <w:t>t cell border for each cell as follows:</w:t>
      </w:r>
    </w:p>
    <w:p w:rsidR="00024C0A" w:rsidRDefault="00694C0F">
      <w:pPr>
        <w:pStyle w:val="ListParagraph"/>
        <w:numPr>
          <w:ilvl w:val="0"/>
          <w:numId w:val="58"/>
        </w:numPr>
        <w:contextualSpacing/>
      </w:pPr>
      <w:r>
        <w:t>If the cell border is omitted or</w:t>
      </w:r>
      <w:r>
        <w:rPr>
          <w:i/>
        </w:rPr>
        <w:t xml:space="preserve"> none</w:t>
      </w:r>
      <w:r>
        <w:t xml:space="preserve"> (no border), find the cell border from the table style ("</w:t>
      </w:r>
      <w:hyperlink r:id="rId82">
        <w:r>
          <w:rPr>
            <w:rStyle w:val="Hyperlink"/>
          </w:rPr>
          <w:t>[ISO/IEC-29500-1]</w:t>
        </w:r>
      </w:hyperlink>
      <w:r>
        <w:t xml:space="preserve"> §17.7.6").</w:t>
      </w:r>
    </w:p>
    <w:p w:rsidR="00024C0A" w:rsidRDefault="00694C0F">
      <w:pPr>
        <w:pStyle w:val="ListParagraph"/>
        <w:numPr>
          <w:ilvl w:val="0"/>
          <w:numId w:val="58"/>
        </w:numPr>
        <w:contextualSpacing/>
      </w:pPr>
      <w:r>
        <w:t>If the cell border is stil</w:t>
      </w:r>
      <w:r>
        <w:t>l not specified, find the appropriate border from the table-level border exceptions ("[ISO/IEC-29500-1] §17.4.39; tblBorders").</w:t>
      </w:r>
    </w:p>
    <w:p w:rsidR="00024C0A" w:rsidRDefault="00694C0F">
      <w:pPr>
        <w:pStyle w:val="ListParagraph"/>
        <w:numPr>
          <w:ilvl w:val="0"/>
          <w:numId w:val="58"/>
        </w:numPr>
      </w:pPr>
      <w:r>
        <w:t>If the cell border is still not specified, find the appropriate border from the table-level borders ("[ISO/IEC-29500-1] §17.4.38</w:t>
      </w:r>
      <w:r>
        <w:t>; tblBorders").</w:t>
      </w:r>
    </w:p>
    <w:p w:rsidR="00024C0A" w:rsidRDefault="00694C0F">
      <w:r>
        <w:t>If the cell spacing is nonzero as specified using the tblCellSpacing element ("[ISO/IEC-29500-1] §17.4.44; tblCellSpacing"), then all cell borders and outer table borders display.</w:t>
      </w:r>
    </w:p>
    <w:p w:rsidR="00024C0A" w:rsidRDefault="00694C0F">
      <w:r>
        <w:t>If the cell spacing is zero, then there may be a conflict be</w:t>
      </w:r>
      <w:r>
        <w:t>tween two adjacent borders. In Office, this conflict is resolved using the following procedure:</w:t>
      </w:r>
    </w:p>
    <w:p w:rsidR="00024C0A" w:rsidRDefault="00694C0F">
      <w:r>
        <w:t xml:space="preserve">If the conflicting table cell border is </w:t>
      </w:r>
      <w:r>
        <w:rPr>
          <w:i/>
        </w:rPr>
        <w:t>none</w:t>
      </w:r>
      <w:r>
        <w:t xml:space="preserve"> (no border), then the opposing border shall be displayed. If the conflicting table cell border is </w:t>
      </w:r>
      <w:r>
        <w:rPr>
          <w:i/>
        </w:rPr>
        <w:t>nil</w:t>
      </w:r>
      <w:r>
        <w:t xml:space="preserve">, then no </w:t>
      </w:r>
      <w:r>
        <w:t>border shall be displayed.</w:t>
      </w:r>
    </w:p>
    <w:p w:rsidR="00024C0A" w:rsidRDefault="00694C0F">
      <w:r>
        <w:t>Each border shall then be assigned a weight using the following formula, and the border which has a higher value using this calculation shall be displayed over the alternative border:</w:t>
      </w:r>
    </w:p>
    <w:p w:rsidR="00024C0A" w:rsidRDefault="00694C0F">
      <w:r>
        <w:rPr>
          <w:noProof/>
        </w:rPr>
        <w:lastRenderedPageBreak/>
        <w:drawing>
          <wp:inline distT="0" distB="0" distL="0" distR="0">
            <wp:extent cx="2247900" cy="171450"/>
            <wp:effectExtent l="0" t="0" r="0" b="0"/>
            <wp:docPr id="10" name="Picture 1" descr="Formula for border weight: weight of the border = border width times border number" title="Formula for border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c-0000-0000-0000-000000000000" descr="Formula for border weight: weight of the border = border width times border number" title="Formula for border weight"/>
                    <pic:cNvPicPr>
                      <a:picLocks noChangeAspect="1" noChangeArrowheads="1"/>
                    </pic:cNvPicPr>
                  </pic:nvPicPr>
                  <pic:blipFill>
                    <a:blip r:embed="rId83" cstate="print"/>
                    <a:srcRect/>
                    <a:stretch>
                      <a:fillRect/>
                    </a:stretch>
                  </pic:blipFill>
                  <pic:spPr bwMode="auto">
                    <a:xfrm>
                      <a:off x="0" y="0"/>
                      <a:ext cx="2247900" cy="171450"/>
                    </a:xfrm>
                    <a:prstGeom prst="rect">
                      <a:avLst/>
                    </a:prstGeom>
                    <a:noFill/>
                    <a:ln w="9525">
                      <a:noFill/>
                      <a:miter lim="800000"/>
                      <a:headEnd/>
                      <a:tailEnd/>
                    </a:ln>
                  </pic:spPr>
                </pic:pic>
              </a:graphicData>
            </a:graphic>
          </wp:inline>
        </w:drawing>
      </w:r>
    </w:p>
    <w:p w:rsidR="00024C0A" w:rsidRDefault="00694C0F">
      <w:r>
        <w:t>The border width shall be specified in meas</w:t>
      </w:r>
      <w:r>
        <w:t xml:space="preserve">urements of eighths of a point. The border number shall be determined by the following list. The borders with </w:t>
      </w:r>
      <w:r>
        <w:rPr>
          <w:i/>
        </w:rPr>
        <w:t>dotted</w:t>
      </w:r>
      <w:r>
        <w:t xml:space="preserve"> and </w:t>
      </w:r>
      <w:r>
        <w:rPr>
          <w:i/>
        </w:rPr>
        <w:t>dashed</w:t>
      </w:r>
      <w:r>
        <w:t xml:space="preserve"> styles shall be assigned the weight 1 regardless of the border width and number.</w:t>
      </w:r>
    </w:p>
    <w:tbl>
      <w:tblPr>
        <w:tblStyle w:val="Table-ShadedHeader"/>
        <w:tblW w:w="0" w:type="auto"/>
        <w:tblLook w:val="04A0" w:firstRow="1" w:lastRow="0" w:firstColumn="1" w:lastColumn="0" w:noHBand="0" w:noVBand="1"/>
      </w:tblPr>
      <w:tblGrid>
        <w:gridCol w:w="2513"/>
        <w:gridCol w:w="458"/>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024C0A" w:rsidRDefault="00694C0F">
            <w:pPr>
              <w:pStyle w:val="TableHeaderText"/>
            </w:pPr>
            <w:r>
              <w:t>Border Number</w:t>
            </w:r>
          </w:p>
        </w:tc>
      </w:tr>
      <w:tr w:rsidR="00024C0A" w:rsidTr="00024C0A">
        <w:tc>
          <w:tcPr>
            <w:tcW w:w="0" w:type="auto"/>
            <w:vAlign w:val="center"/>
          </w:tcPr>
          <w:p w:rsidR="00024C0A" w:rsidRDefault="00694C0F">
            <w:pPr>
              <w:pStyle w:val="TableBodyText"/>
            </w:pPr>
            <w:r>
              <w:rPr>
                <w:b/>
              </w:rPr>
              <w:t>single</w:t>
            </w:r>
          </w:p>
        </w:tc>
        <w:tc>
          <w:tcPr>
            <w:tcW w:w="0" w:type="auto"/>
            <w:vAlign w:val="center"/>
          </w:tcPr>
          <w:p w:rsidR="00024C0A" w:rsidRDefault="00694C0F">
            <w:pPr>
              <w:pStyle w:val="TableBodyText"/>
            </w:pPr>
            <w:r>
              <w:rPr>
                <w:b/>
              </w:rPr>
              <w:t>1</w:t>
            </w:r>
          </w:p>
        </w:tc>
      </w:tr>
      <w:tr w:rsidR="00024C0A" w:rsidTr="00024C0A">
        <w:tc>
          <w:tcPr>
            <w:tcW w:w="0" w:type="auto"/>
            <w:vAlign w:val="center"/>
          </w:tcPr>
          <w:p w:rsidR="00024C0A" w:rsidRDefault="00694C0F">
            <w:pPr>
              <w:pStyle w:val="TableBodyText"/>
            </w:pPr>
            <w:r>
              <w:rPr>
                <w:b/>
              </w:rPr>
              <w:t>thick</w:t>
            </w:r>
          </w:p>
        </w:tc>
        <w:tc>
          <w:tcPr>
            <w:tcW w:w="0" w:type="auto"/>
            <w:vAlign w:val="center"/>
          </w:tcPr>
          <w:p w:rsidR="00024C0A" w:rsidRDefault="00694C0F">
            <w:pPr>
              <w:pStyle w:val="TableBodyText"/>
            </w:pPr>
            <w:r>
              <w:rPr>
                <w:b/>
              </w:rPr>
              <w:t>2</w:t>
            </w:r>
          </w:p>
        </w:tc>
      </w:tr>
      <w:tr w:rsidR="00024C0A" w:rsidTr="00024C0A">
        <w:tc>
          <w:tcPr>
            <w:tcW w:w="0" w:type="auto"/>
            <w:vAlign w:val="center"/>
          </w:tcPr>
          <w:p w:rsidR="00024C0A" w:rsidRDefault="00694C0F">
            <w:pPr>
              <w:pStyle w:val="TableBodyText"/>
            </w:pPr>
            <w:r>
              <w:rPr>
                <w:b/>
              </w:rPr>
              <w:t>double</w:t>
            </w:r>
          </w:p>
        </w:tc>
        <w:tc>
          <w:tcPr>
            <w:tcW w:w="0" w:type="auto"/>
            <w:vAlign w:val="center"/>
          </w:tcPr>
          <w:p w:rsidR="00024C0A" w:rsidRDefault="00694C0F">
            <w:pPr>
              <w:pStyle w:val="TableBodyText"/>
            </w:pPr>
            <w:r>
              <w:rPr>
                <w:b/>
              </w:rPr>
              <w:t>3</w:t>
            </w:r>
          </w:p>
        </w:tc>
      </w:tr>
      <w:tr w:rsidR="00024C0A" w:rsidTr="00024C0A">
        <w:tc>
          <w:tcPr>
            <w:tcW w:w="0" w:type="auto"/>
            <w:vAlign w:val="center"/>
          </w:tcPr>
          <w:p w:rsidR="00024C0A" w:rsidRDefault="00694C0F">
            <w:pPr>
              <w:pStyle w:val="TableBodyText"/>
            </w:pPr>
            <w:r>
              <w:rPr>
                <w:b/>
              </w:rPr>
              <w:t>dotDash</w:t>
            </w:r>
          </w:p>
        </w:tc>
        <w:tc>
          <w:tcPr>
            <w:tcW w:w="0" w:type="auto"/>
            <w:vAlign w:val="center"/>
          </w:tcPr>
          <w:p w:rsidR="00024C0A" w:rsidRDefault="00694C0F">
            <w:pPr>
              <w:pStyle w:val="TableBodyText"/>
            </w:pPr>
            <w:r>
              <w:rPr>
                <w:b/>
              </w:rPr>
              <w:t>8</w:t>
            </w:r>
          </w:p>
        </w:tc>
      </w:tr>
      <w:tr w:rsidR="00024C0A" w:rsidTr="00024C0A">
        <w:tc>
          <w:tcPr>
            <w:tcW w:w="0" w:type="auto"/>
            <w:vAlign w:val="center"/>
          </w:tcPr>
          <w:p w:rsidR="00024C0A" w:rsidRDefault="00694C0F">
            <w:pPr>
              <w:pStyle w:val="TableBodyText"/>
            </w:pPr>
            <w:r>
              <w:rPr>
                <w:b/>
              </w:rPr>
              <w:t>dotDotDash</w:t>
            </w:r>
          </w:p>
        </w:tc>
        <w:tc>
          <w:tcPr>
            <w:tcW w:w="0" w:type="auto"/>
            <w:vAlign w:val="center"/>
          </w:tcPr>
          <w:p w:rsidR="00024C0A" w:rsidRDefault="00694C0F">
            <w:pPr>
              <w:pStyle w:val="TableBodyText"/>
            </w:pPr>
            <w:r>
              <w:rPr>
                <w:b/>
              </w:rPr>
              <w:t>9</w:t>
            </w:r>
          </w:p>
        </w:tc>
      </w:tr>
      <w:tr w:rsidR="00024C0A" w:rsidTr="00024C0A">
        <w:tc>
          <w:tcPr>
            <w:tcW w:w="0" w:type="auto"/>
            <w:vAlign w:val="center"/>
          </w:tcPr>
          <w:p w:rsidR="00024C0A" w:rsidRDefault="00694C0F">
            <w:pPr>
              <w:pStyle w:val="TableBodyText"/>
            </w:pPr>
            <w:r>
              <w:rPr>
                <w:b/>
              </w:rPr>
              <w:t>triple</w:t>
            </w:r>
          </w:p>
        </w:tc>
        <w:tc>
          <w:tcPr>
            <w:tcW w:w="0" w:type="auto"/>
            <w:vAlign w:val="center"/>
          </w:tcPr>
          <w:p w:rsidR="00024C0A" w:rsidRDefault="00694C0F">
            <w:pPr>
              <w:pStyle w:val="TableBodyText"/>
            </w:pPr>
            <w:r>
              <w:rPr>
                <w:b/>
              </w:rPr>
              <w:t>10</w:t>
            </w:r>
          </w:p>
        </w:tc>
      </w:tr>
      <w:tr w:rsidR="00024C0A" w:rsidTr="00024C0A">
        <w:tc>
          <w:tcPr>
            <w:tcW w:w="0" w:type="auto"/>
            <w:vAlign w:val="center"/>
          </w:tcPr>
          <w:p w:rsidR="00024C0A" w:rsidRDefault="00694C0F">
            <w:pPr>
              <w:pStyle w:val="TableBodyText"/>
            </w:pPr>
            <w:r>
              <w:rPr>
                <w:b/>
              </w:rPr>
              <w:t>thinThickSmallGap</w:t>
            </w:r>
          </w:p>
        </w:tc>
        <w:tc>
          <w:tcPr>
            <w:tcW w:w="0" w:type="auto"/>
            <w:vAlign w:val="center"/>
          </w:tcPr>
          <w:p w:rsidR="00024C0A" w:rsidRDefault="00694C0F">
            <w:pPr>
              <w:pStyle w:val="TableBodyText"/>
            </w:pPr>
            <w:r>
              <w:rPr>
                <w:b/>
              </w:rPr>
              <w:t>11</w:t>
            </w:r>
          </w:p>
        </w:tc>
      </w:tr>
      <w:tr w:rsidR="00024C0A" w:rsidTr="00024C0A">
        <w:tc>
          <w:tcPr>
            <w:tcW w:w="0" w:type="auto"/>
            <w:vAlign w:val="center"/>
          </w:tcPr>
          <w:p w:rsidR="00024C0A" w:rsidRDefault="00694C0F">
            <w:pPr>
              <w:pStyle w:val="TableBodyText"/>
            </w:pPr>
            <w:r>
              <w:rPr>
                <w:b/>
              </w:rPr>
              <w:t>thickThinSmallGap</w:t>
            </w:r>
          </w:p>
        </w:tc>
        <w:tc>
          <w:tcPr>
            <w:tcW w:w="0" w:type="auto"/>
            <w:vAlign w:val="center"/>
          </w:tcPr>
          <w:p w:rsidR="00024C0A" w:rsidRDefault="00694C0F">
            <w:pPr>
              <w:pStyle w:val="TableBodyText"/>
            </w:pPr>
            <w:r>
              <w:rPr>
                <w:b/>
              </w:rPr>
              <w:t>12</w:t>
            </w:r>
          </w:p>
        </w:tc>
      </w:tr>
      <w:tr w:rsidR="00024C0A" w:rsidTr="00024C0A">
        <w:tc>
          <w:tcPr>
            <w:tcW w:w="0" w:type="auto"/>
            <w:vAlign w:val="center"/>
          </w:tcPr>
          <w:p w:rsidR="00024C0A" w:rsidRDefault="00694C0F">
            <w:pPr>
              <w:pStyle w:val="TableBodyText"/>
            </w:pPr>
            <w:r>
              <w:rPr>
                <w:b/>
              </w:rPr>
              <w:t>thinThickThinSmallGap</w:t>
            </w:r>
          </w:p>
        </w:tc>
        <w:tc>
          <w:tcPr>
            <w:tcW w:w="0" w:type="auto"/>
            <w:vAlign w:val="center"/>
          </w:tcPr>
          <w:p w:rsidR="00024C0A" w:rsidRDefault="00694C0F">
            <w:pPr>
              <w:pStyle w:val="TableBodyText"/>
            </w:pPr>
            <w:r>
              <w:rPr>
                <w:b/>
              </w:rPr>
              <w:t>13</w:t>
            </w:r>
          </w:p>
        </w:tc>
      </w:tr>
      <w:tr w:rsidR="00024C0A" w:rsidTr="00024C0A">
        <w:tc>
          <w:tcPr>
            <w:tcW w:w="0" w:type="auto"/>
            <w:vAlign w:val="center"/>
          </w:tcPr>
          <w:p w:rsidR="00024C0A" w:rsidRDefault="00694C0F">
            <w:pPr>
              <w:pStyle w:val="TableBodyText"/>
            </w:pPr>
            <w:r>
              <w:rPr>
                <w:b/>
              </w:rPr>
              <w:t>thinThickMediumGap</w:t>
            </w:r>
          </w:p>
        </w:tc>
        <w:tc>
          <w:tcPr>
            <w:tcW w:w="0" w:type="auto"/>
            <w:vAlign w:val="center"/>
          </w:tcPr>
          <w:p w:rsidR="00024C0A" w:rsidRDefault="00694C0F">
            <w:pPr>
              <w:pStyle w:val="TableBodyText"/>
            </w:pPr>
            <w:r>
              <w:rPr>
                <w:b/>
              </w:rPr>
              <w:t>14</w:t>
            </w:r>
          </w:p>
        </w:tc>
      </w:tr>
      <w:tr w:rsidR="00024C0A" w:rsidTr="00024C0A">
        <w:tc>
          <w:tcPr>
            <w:tcW w:w="0" w:type="auto"/>
            <w:vAlign w:val="center"/>
          </w:tcPr>
          <w:p w:rsidR="00024C0A" w:rsidRDefault="00694C0F">
            <w:pPr>
              <w:pStyle w:val="TableBodyText"/>
            </w:pPr>
            <w:r>
              <w:rPr>
                <w:b/>
              </w:rPr>
              <w:t>thickThinMediumGap</w:t>
            </w:r>
          </w:p>
        </w:tc>
        <w:tc>
          <w:tcPr>
            <w:tcW w:w="0" w:type="auto"/>
            <w:vAlign w:val="center"/>
          </w:tcPr>
          <w:p w:rsidR="00024C0A" w:rsidRDefault="00694C0F">
            <w:pPr>
              <w:pStyle w:val="TableBodyText"/>
            </w:pPr>
            <w:r>
              <w:rPr>
                <w:b/>
              </w:rPr>
              <w:t>15</w:t>
            </w:r>
          </w:p>
        </w:tc>
      </w:tr>
      <w:tr w:rsidR="00024C0A" w:rsidTr="00024C0A">
        <w:tc>
          <w:tcPr>
            <w:tcW w:w="0" w:type="auto"/>
            <w:vAlign w:val="center"/>
          </w:tcPr>
          <w:p w:rsidR="00024C0A" w:rsidRDefault="00694C0F">
            <w:pPr>
              <w:pStyle w:val="TableBodyText"/>
            </w:pPr>
            <w:r>
              <w:rPr>
                <w:b/>
              </w:rPr>
              <w:t>thinThickThinMediumGap</w:t>
            </w:r>
          </w:p>
        </w:tc>
        <w:tc>
          <w:tcPr>
            <w:tcW w:w="0" w:type="auto"/>
            <w:vAlign w:val="center"/>
          </w:tcPr>
          <w:p w:rsidR="00024C0A" w:rsidRDefault="00694C0F">
            <w:pPr>
              <w:pStyle w:val="TableBodyText"/>
            </w:pPr>
            <w:r>
              <w:rPr>
                <w:b/>
              </w:rPr>
              <w:t>16</w:t>
            </w:r>
          </w:p>
        </w:tc>
      </w:tr>
      <w:tr w:rsidR="00024C0A" w:rsidTr="00024C0A">
        <w:tc>
          <w:tcPr>
            <w:tcW w:w="0" w:type="auto"/>
            <w:vAlign w:val="center"/>
          </w:tcPr>
          <w:p w:rsidR="00024C0A" w:rsidRDefault="00694C0F">
            <w:pPr>
              <w:pStyle w:val="TableBodyText"/>
            </w:pPr>
            <w:r>
              <w:rPr>
                <w:b/>
              </w:rPr>
              <w:t>thinThickLargeGap</w:t>
            </w:r>
          </w:p>
        </w:tc>
        <w:tc>
          <w:tcPr>
            <w:tcW w:w="0" w:type="auto"/>
            <w:vAlign w:val="center"/>
          </w:tcPr>
          <w:p w:rsidR="00024C0A" w:rsidRDefault="00694C0F">
            <w:pPr>
              <w:pStyle w:val="TableBodyText"/>
            </w:pPr>
            <w:r>
              <w:rPr>
                <w:b/>
              </w:rPr>
              <w:t>17</w:t>
            </w:r>
          </w:p>
        </w:tc>
      </w:tr>
      <w:tr w:rsidR="00024C0A" w:rsidTr="00024C0A">
        <w:tc>
          <w:tcPr>
            <w:tcW w:w="0" w:type="auto"/>
            <w:vAlign w:val="center"/>
          </w:tcPr>
          <w:p w:rsidR="00024C0A" w:rsidRDefault="00694C0F">
            <w:pPr>
              <w:pStyle w:val="TableBodyText"/>
            </w:pPr>
            <w:r>
              <w:rPr>
                <w:b/>
              </w:rPr>
              <w:t>thickThinLargeGap</w:t>
            </w:r>
          </w:p>
        </w:tc>
        <w:tc>
          <w:tcPr>
            <w:tcW w:w="0" w:type="auto"/>
            <w:vAlign w:val="center"/>
          </w:tcPr>
          <w:p w:rsidR="00024C0A" w:rsidRDefault="00694C0F">
            <w:pPr>
              <w:pStyle w:val="TableBodyText"/>
            </w:pPr>
            <w:r>
              <w:rPr>
                <w:b/>
              </w:rPr>
              <w:t>18</w:t>
            </w:r>
          </w:p>
        </w:tc>
      </w:tr>
      <w:tr w:rsidR="00024C0A" w:rsidTr="00024C0A">
        <w:tc>
          <w:tcPr>
            <w:tcW w:w="0" w:type="auto"/>
            <w:vAlign w:val="center"/>
          </w:tcPr>
          <w:p w:rsidR="00024C0A" w:rsidRDefault="00694C0F">
            <w:pPr>
              <w:pStyle w:val="TableBodyText"/>
            </w:pPr>
            <w:r>
              <w:rPr>
                <w:b/>
              </w:rPr>
              <w:t>thinThickThinLargeGap</w:t>
            </w:r>
          </w:p>
        </w:tc>
        <w:tc>
          <w:tcPr>
            <w:tcW w:w="0" w:type="auto"/>
            <w:vAlign w:val="center"/>
          </w:tcPr>
          <w:p w:rsidR="00024C0A" w:rsidRDefault="00694C0F">
            <w:pPr>
              <w:pStyle w:val="TableBodyText"/>
            </w:pPr>
            <w:r>
              <w:rPr>
                <w:b/>
              </w:rPr>
              <w:t>19</w:t>
            </w:r>
          </w:p>
        </w:tc>
      </w:tr>
      <w:tr w:rsidR="00024C0A" w:rsidTr="00024C0A">
        <w:tc>
          <w:tcPr>
            <w:tcW w:w="0" w:type="auto"/>
            <w:vAlign w:val="center"/>
          </w:tcPr>
          <w:p w:rsidR="00024C0A" w:rsidRDefault="00694C0F">
            <w:pPr>
              <w:pStyle w:val="TableBodyText"/>
            </w:pPr>
            <w:r>
              <w:rPr>
                <w:b/>
              </w:rPr>
              <w:t>wave</w:t>
            </w:r>
          </w:p>
        </w:tc>
        <w:tc>
          <w:tcPr>
            <w:tcW w:w="0" w:type="auto"/>
            <w:vAlign w:val="center"/>
          </w:tcPr>
          <w:p w:rsidR="00024C0A" w:rsidRDefault="00694C0F">
            <w:pPr>
              <w:pStyle w:val="TableBodyText"/>
            </w:pPr>
            <w:r>
              <w:rPr>
                <w:b/>
              </w:rPr>
              <w:t>20</w:t>
            </w:r>
          </w:p>
        </w:tc>
      </w:tr>
      <w:tr w:rsidR="00024C0A" w:rsidTr="00024C0A">
        <w:tc>
          <w:tcPr>
            <w:tcW w:w="0" w:type="auto"/>
            <w:vAlign w:val="center"/>
          </w:tcPr>
          <w:p w:rsidR="00024C0A" w:rsidRDefault="00694C0F">
            <w:pPr>
              <w:pStyle w:val="TableBodyText"/>
            </w:pPr>
            <w:r>
              <w:rPr>
                <w:b/>
              </w:rPr>
              <w:t>doubleWave</w:t>
            </w:r>
          </w:p>
        </w:tc>
        <w:tc>
          <w:tcPr>
            <w:tcW w:w="0" w:type="auto"/>
            <w:vAlign w:val="center"/>
          </w:tcPr>
          <w:p w:rsidR="00024C0A" w:rsidRDefault="00694C0F">
            <w:pPr>
              <w:pStyle w:val="TableBodyText"/>
            </w:pPr>
            <w:r>
              <w:rPr>
                <w:b/>
              </w:rPr>
              <w:t>21</w:t>
            </w:r>
          </w:p>
        </w:tc>
      </w:tr>
      <w:tr w:rsidR="00024C0A" w:rsidTr="00024C0A">
        <w:tc>
          <w:tcPr>
            <w:tcW w:w="0" w:type="auto"/>
            <w:vAlign w:val="center"/>
          </w:tcPr>
          <w:p w:rsidR="00024C0A" w:rsidRDefault="00694C0F">
            <w:pPr>
              <w:pStyle w:val="TableBodyText"/>
            </w:pPr>
            <w:r>
              <w:rPr>
                <w:b/>
              </w:rPr>
              <w:t>dashSmallGap</w:t>
            </w:r>
          </w:p>
        </w:tc>
        <w:tc>
          <w:tcPr>
            <w:tcW w:w="0" w:type="auto"/>
            <w:vAlign w:val="center"/>
          </w:tcPr>
          <w:p w:rsidR="00024C0A" w:rsidRDefault="00694C0F">
            <w:pPr>
              <w:pStyle w:val="TableBodyText"/>
            </w:pPr>
            <w:r>
              <w:rPr>
                <w:b/>
              </w:rPr>
              <w:t>22</w:t>
            </w:r>
          </w:p>
        </w:tc>
      </w:tr>
      <w:tr w:rsidR="00024C0A" w:rsidTr="00024C0A">
        <w:tc>
          <w:tcPr>
            <w:tcW w:w="0" w:type="auto"/>
            <w:vAlign w:val="center"/>
          </w:tcPr>
          <w:p w:rsidR="00024C0A" w:rsidRDefault="00694C0F">
            <w:pPr>
              <w:pStyle w:val="TableBodyText"/>
            </w:pPr>
            <w:r>
              <w:rPr>
                <w:b/>
              </w:rPr>
              <w:t>dashDotStroked</w:t>
            </w:r>
          </w:p>
        </w:tc>
        <w:tc>
          <w:tcPr>
            <w:tcW w:w="0" w:type="auto"/>
            <w:vAlign w:val="center"/>
          </w:tcPr>
          <w:p w:rsidR="00024C0A" w:rsidRDefault="00694C0F">
            <w:pPr>
              <w:pStyle w:val="TableBodyText"/>
            </w:pPr>
            <w:r>
              <w:rPr>
                <w:b/>
              </w:rPr>
              <w:t>23</w:t>
            </w:r>
          </w:p>
        </w:tc>
      </w:tr>
      <w:tr w:rsidR="00024C0A" w:rsidTr="00024C0A">
        <w:tc>
          <w:tcPr>
            <w:tcW w:w="0" w:type="auto"/>
            <w:vAlign w:val="center"/>
          </w:tcPr>
          <w:p w:rsidR="00024C0A" w:rsidRDefault="00694C0F">
            <w:pPr>
              <w:pStyle w:val="TableBodyText"/>
            </w:pPr>
            <w:r>
              <w:rPr>
                <w:b/>
              </w:rPr>
              <w:t>threeDEmboss</w:t>
            </w:r>
          </w:p>
        </w:tc>
        <w:tc>
          <w:tcPr>
            <w:tcW w:w="0" w:type="auto"/>
            <w:vAlign w:val="center"/>
          </w:tcPr>
          <w:p w:rsidR="00024C0A" w:rsidRDefault="00694C0F">
            <w:pPr>
              <w:pStyle w:val="TableBodyText"/>
            </w:pPr>
            <w:r>
              <w:rPr>
                <w:b/>
              </w:rPr>
              <w:t>24</w:t>
            </w:r>
          </w:p>
        </w:tc>
      </w:tr>
      <w:tr w:rsidR="00024C0A" w:rsidTr="00024C0A">
        <w:tc>
          <w:tcPr>
            <w:tcW w:w="0" w:type="auto"/>
            <w:vAlign w:val="center"/>
          </w:tcPr>
          <w:p w:rsidR="00024C0A" w:rsidRDefault="00694C0F">
            <w:pPr>
              <w:pStyle w:val="TableBodyText"/>
            </w:pPr>
            <w:r>
              <w:rPr>
                <w:b/>
              </w:rPr>
              <w:t>threeDEngrave</w:t>
            </w:r>
          </w:p>
        </w:tc>
        <w:tc>
          <w:tcPr>
            <w:tcW w:w="0" w:type="auto"/>
            <w:vAlign w:val="center"/>
          </w:tcPr>
          <w:p w:rsidR="00024C0A" w:rsidRDefault="00694C0F">
            <w:pPr>
              <w:pStyle w:val="TableBodyText"/>
            </w:pPr>
            <w:r>
              <w:rPr>
                <w:b/>
              </w:rPr>
              <w:t>25</w:t>
            </w:r>
          </w:p>
        </w:tc>
      </w:tr>
      <w:tr w:rsidR="00024C0A" w:rsidTr="00024C0A">
        <w:tc>
          <w:tcPr>
            <w:tcW w:w="0" w:type="auto"/>
            <w:vAlign w:val="center"/>
          </w:tcPr>
          <w:p w:rsidR="00024C0A" w:rsidRDefault="00694C0F">
            <w:pPr>
              <w:pStyle w:val="TableBodyText"/>
            </w:pPr>
            <w:r>
              <w:rPr>
                <w:b/>
              </w:rPr>
              <w:t>outset</w:t>
            </w:r>
          </w:p>
        </w:tc>
        <w:tc>
          <w:tcPr>
            <w:tcW w:w="0" w:type="auto"/>
            <w:vAlign w:val="center"/>
          </w:tcPr>
          <w:p w:rsidR="00024C0A" w:rsidRDefault="00694C0F">
            <w:pPr>
              <w:pStyle w:val="TableBodyText"/>
            </w:pPr>
            <w:r>
              <w:rPr>
                <w:b/>
              </w:rPr>
              <w:t>26</w:t>
            </w:r>
          </w:p>
        </w:tc>
      </w:tr>
      <w:tr w:rsidR="00024C0A" w:rsidTr="00024C0A">
        <w:tc>
          <w:tcPr>
            <w:tcW w:w="0" w:type="auto"/>
            <w:vAlign w:val="center"/>
          </w:tcPr>
          <w:p w:rsidR="00024C0A" w:rsidRDefault="00694C0F">
            <w:pPr>
              <w:pStyle w:val="TableBodyText"/>
            </w:pPr>
            <w:r>
              <w:rPr>
                <w:b/>
              </w:rPr>
              <w:t>inset</w:t>
            </w:r>
          </w:p>
        </w:tc>
        <w:tc>
          <w:tcPr>
            <w:tcW w:w="0" w:type="auto"/>
            <w:vAlign w:val="center"/>
          </w:tcPr>
          <w:p w:rsidR="00024C0A" w:rsidRDefault="00694C0F">
            <w:pPr>
              <w:pStyle w:val="TableBodyText"/>
            </w:pPr>
            <w:r>
              <w:rPr>
                <w:b/>
              </w:rPr>
              <w:t>27</w:t>
            </w:r>
          </w:p>
        </w:tc>
      </w:tr>
    </w:tbl>
    <w:p w:rsidR="00024C0A" w:rsidRDefault="00024C0A"/>
    <w:p w:rsidR="00024C0A" w:rsidRDefault="00694C0F">
      <w:r>
        <w:t>If the borders have an equal weight, then the higher of the two on this precedence list shall be displayed:</w:t>
      </w:r>
    </w:p>
    <w:p w:rsidR="00024C0A" w:rsidRDefault="00694C0F">
      <w:pPr>
        <w:pStyle w:val="ListParagraph"/>
        <w:numPr>
          <w:ilvl w:val="0"/>
          <w:numId w:val="59"/>
        </w:numPr>
        <w:contextualSpacing/>
      </w:pPr>
      <w:r>
        <w:rPr>
          <w:b/>
        </w:rPr>
        <w:t>single</w:t>
      </w:r>
    </w:p>
    <w:p w:rsidR="00024C0A" w:rsidRDefault="00694C0F">
      <w:pPr>
        <w:pStyle w:val="ListParagraph"/>
        <w:numPr>
          <w:ilvl w:val="0"/>
          <w:numId w:val="59"/>
        </w:numPr>
        <w:contextualSpacing/>
      </w:pPr>
      <w:r>
        <w:rPr>
          <w:b/>
        </w:rPr>
        <w:t>thick</w:t>
      </w:r>
    </w:p>
    <w:p w:rsidR="00024C0A" w:rsidRDefault="00694C0F">
      <w:pPr>
        <w:pStyle w:val="ListParagraph"/>
        <w:numPr>
          <w:ilvl w:val="0"/>
          <w:numId w:val="59"/>
        </w:numPr>
        <w:contextualSpacing/>
      </w:pPr>
      <w:r>
        <w:rPr>
          <w:b/>
        </w:rPr>
        <w:t>double</w:t>
      </w:r>
    </w:p>
    <w:p w:rsidR="00024C0A" w:rsidRDefault="00694C0F">
      <w:pPr>
        <w:pStyle w:val="ListParagraph"/>
        <w:numPr>
          <w:ilvl w:val="0"/>
          <w:numId w:val="59"/>
        </w:numPr>
        <w:contextualSpacing/>
      </w:pPr>
      <w:r>
        <w:rPr>
          <w:b/>
        </w:rPr>
        <w:t>dotted</w:t>
      </w:r>
    </w:p>
    <w:p w:rsidR="00024C0A" w:rsidRDefault="00694C0F">
      <w:pPr>
        <w:pStyle w:val="ListParagraph"/>
        <w:numPr>
          <w:ilvl w:val="0"/>
          <w:numId w:val="59"/>
        </w:numPr>
        <w:contextualSpacing/>
      </w:pPr>
      <w:r>
        <w:rPr>
          <w:b/>
        </w:rPr>
        <w:lastRenderedPageBreak/>
        <w:t>dashed</w:t>
      </w:r>
    </w:p>
    <w:p w:rsidR="00024C0A" w:rsidRDefault="00694C0F">
      <w:pPr>
        <w:pStyle w:val="ListParagraph"/>
        <w:numPr>
          <w:ilvl w:val="0"/>
          <w:numId w:val="59"/>
        </w:numPr>
        <w:contextualSpacing/>
      </w:pPr>
      <w:r>
        <w:rPr>
          <w:b/>
        </w:rPr>
        <w:t>dotDash</w:t>
      </w:r>
    </w:p>
    <w:p w:rsidR="00024C0A" w:rsidRDefault="00694C0F">
      <w:pPr>
        <w:pStyle w:val="ListParagraph"/>
        <w:numPr>
          <w:ilvl w:val="0"/>
          <w:numId w:val="59"/>
        </w:numPr>
        <w:contextualSpacing/>
      </w:pPr>
      <w:r>
        <w:rPr>
          <w:b/>
        </w:rPr>
        <w:t>dotDotDash</w:t>
      </w:r>
    </w:p>
    <w:p w:rsidR="00024C0A" w:rsidRDefault="00694C0F">
      <w:pPr>
        <w:pStyle w:val="ListParagraph"/>
        <w:numPr>
          <w:ilvl w:val="0"/>
          <w:numId w:val="59"/>
        </w:numPr>
        <w:contextualSpacing/>
      </w:pPr>
      <w:r>
        <w:rPr>
          <w:b/>
        </w:rPr>
        <w:t>triple</w:t>
      </w:r>
    </w:p>
    <w:p w:rsidR="00024C0A" w:rsidRDefault="00694C0F">
      <w:pPr>
        <w:pStyle w:val="ListParagraph"/>
        <w:numPr>
          <w:ilvl w:val="0"/>
          <w:numId w:val="59"/>
        </w:numPr>
        <w:contextualSpacing/>
      </w:pPr>
      <w:r>
        <w:rPr>
          <w:b/>
        </w:rPr>
        <w:t>thinThickSmallGap</w:t>
      </w:r>
    </w:p>
    <w:p w:rsidR="00024C0A" w:rsidRDefault="00694C0F">
      <w:pPr>
        <w:pStyle w:val="ListParagraph"/>
        <w:numPr>
          <w:ilvl w:val="0"/>
          <w:numId w:val="59"/>
        </w:numPr>
        <w:contextualSpacing/>
      </w:pPr>
      <w:r>
        <w:rPr>
          <w:b/>
        </w:rPr>
        <w:t>thickThinSmallGap</w:t>
      </w:r>
    </w:p>
    <w:p w:rsidR="00024C0A" w:rsidRDefault="00694C0F">
      <w:pPr>
        <w:pStyle w:val="ListParagraph"/>
        <w:numPr>
          <w:ilvl w:val="0"/>
          <w:numId w:val="59"/>
        </w:numPr>
        <w:contextualSpacing/>
      </w:pPr>
      <w:r>
        <w:rPr>
          <w:b/>
        </w:rPr>
        <w:t>thinThickThinSmallGap</w:t>
      </w:r>
    </w:p>
    <w:p w:rsidR="00024C0A" w:rsidRDefault="00694C0F">
      <w:pPr>
        <w:pStyle w:val="ListParagraph"/>
        <w:numPr>
          <w:ilvl w:val="0"/>
          <w:numId w:val="59"/>
        </w:numPr>
        <w:contextualSpacing/>
      </w:pPr>
      <w:r>
        <w:rPr>
          <w:b/>
        </w:rPr>
        <w:t>thinThickMediumGap</w:t>
      </w:r>
    </w:p>
    <w:p w:rsidR="00024C0A" w:rsidRDefault="00694C0F">
      <w:pPr>
        <w:pStyle w:val="ListParagraph"/>
        <w:numPr>
          <w:ilvl w:val="0"/>
          <w:numId w:val="59"/>
        </w:numPr>
        <w:contextualSpacing/>
      </w:pPr>
      <w:r>
        <w:rPr>
          <w:b/>
        </w:rPr>
        <w:t>thickThinMediumGap</w:t>
      </w:r>
    </w:p>
    <w:p w:rsidR="00024C0A" w:rsidRDefault="00694C0F">
      <w:pPr>
        <w:pStyle w:val="ListParagraph"/>
        <w:numPr>
          <w:ilvl w:val="0"/>
          <w:numId w:val="59"/>
        </w:numPr>
        <w:contextualSpacing/>
      </w:pPr>
      <w:r>
        <w:rPr>
          <w:b/>
        </w:rPr>
        <w:t>thinThickThinMediumGap</w:t>
      </w:r>
    </w:p>
    <w:p w:rsidR="00024C0A" w:rsidRDefault="00694C0F">
      <w:pPr>
        <w:pStyle w:val="ListParagraph"/>
        <w:numPr>
          <w:ilvl w:val="0"/>
          <w:numId w:val="59"/>
        </w:numPr>
        <w:contextualSpacing/>
      </w:pPr>
      <w:r>
        <w:rPr>
          <w:b/>
        </w:rPr>
        <w:t>thinThickLargeGap</w:t>
      </w:r>
    </w:p>
    <w:p w:rsidR="00024C0A" w:rsidRDefault="00694C0F">
      <w:pPr>
        <w:pStyle w:val="ListParagraph"/>
        <w:numPr>
          <w:ilvl w:val="0"/>
          <w:numId w:val="59"/>
        </w:numPr>
        <w:contextualSpacing/>
      </w:pPr>
      <w:r>
        <w:rPr>
          <w:b/>
        </w:rPr>
        <w:t>thickThinLargeGap</w:t>
      </w:r>
    </w:p>
    <w:p w:rsidR="00024C0A" w:rsidRDefault="00694C0F">
      <w:pPr>
        <w:pStyle w:val="ListParagraph"/>
        <w:numPr>
          <w:ilvl w:val="0"/>
          <w:numId w:val="59"/>
        </w:numPr>
        <w:contextualSpacing/>
      </w:pPr>
      <w:r>
        <w:rPr>
          <w:b/>
        </w:rPr>
        <w:t>thinThickThinLargeGap</w:t>
      </w:r>
    </w:p>
    <w:p w:rsidR="00024C0A" w:rsidRDefault="00694C0F">
      <w:pPr>
        <w:pStyle w:val="ListParagraph"/>
        <w:numPr>
          <w:ilvl w:val="0"/>
          <w:numId w:val="59"/>
        </w:numPr>
        <w:contextualSpacing/>
      </w:pPr>
      <w:r>
        <w:rPr>
          <w:b/>
        </w:rPr>
        <w:t>wave</w:t>
      </w:r>
    </w:p>
    <w:p w:rsidR="00024C0A" w:rsidRDefault="00694C0F">
      <w:pPr>
        <w:pStyle w:val="ListParagraph"/>
        <w:numPr>
          <w:ilvl w:val="0"/>
          <w:numId w:val="59"/>
        </w:numPr>
        <w:contextualSpacing/>
      </w:pPr>
      <w:r>
        <w:rPr>
          <w:b/>
        </w:rPr>
        <w:t>doubleWave</w:t>
      </w:r>
    </w:p>
    <w:p w:rsidR="00024C0A" w:rsidRDefault="00694C0F">
      <w:pPr>
        <w:pStyle w:val="ListParagraph"/>
        <w:numPr>
          <w:ilvl w:val="0"/>
          <w:numId w:val="59"/>
        </w:numPr>
        <w:contextualSpacing/>
      </w:pPr>
      <w:r>
        <w:rPr>
          <w:b/>
        </w:rPr>
        <w:t>dashSmallGap</w:t>
      </w:r>
    </w:p>
    <w:p w:rsidR="00024C0A" w:rsidRDefault="00694C0F">
      <w:pPr>
        <w:pStyle w:val="ListParagraph"/>
        <w:numPr>
          <w:ilvl w:val="0"/>
          <w:numId w:val="59"/>
        </w:numPr>
        <w:contextualSpacing/>
      </w:pPr>
      <w:r>
        <w:rPr>
          <w:b/>
        </w:rPr>
        <w:t>dashDotStroked</w:t>
      </w:r>
    </w:p>
    <w:p w:rsidR="00024C0A" w:rsidRDefault="00694C0F">
      <w:pPr>
        <w:pStyle w:val="ListParagraph"/>
        <w:numPr>
          <w:ilvl w:val="0"/>
          <w:numId w:val="59"/>
        </w:numPr>
        <w:contextualSpacing/>
      </w:pPr>
      <w:r>
        <w:rPr>
          <w:b/>
        </w:rPr>
        <w:t>threeDEmb</w:t>
      </w:r>
      <w:r>
        <w:rPr>
          <w:b/>
        </w:rPr>
        <w:t>oss</w:t>
      </w:r>
    </w:p>
    <w:p w:rsidR="00024C0A" w:rsidRDefault="00694C0F">
      <w:pPr>
        <w:pStyle w:val="ListParagraph"/>
        <w:numPr>
          <w:ilvl w:val="0"/>
          <w:numId w:val="59"/>
        </w:numPr>
        <w:contextualSpacing/>
      </w:pPr>
      <w:r>
        <w:rPr>
          <w:b/>
        </w:rPr>
        <w:t>threeDEngrave</w:t>
      </w:r>
    </w:p>
    <w:p w:rsidR="00024C0A" w:rsidRDefault="00694C0F">
      <w:pPr>
        <w:pStyle w:val="ListParagraph"/>
        <w:numPr>
          <w:ilvl w:val="0"/>
          <w:numId w:val="59"/>
        </w:numPr>
        <w:contextualSpacing/>
      </w:pPr>
      <w:r>
        <w:rPr>
          <w:b/>
        </w:rPr>
        <w:t>outset</w:t>
      </w:r>
    </w:p>
    <w:p w:rsidR="00024C0A" w:rsidRDefault="00694C0F">
      <w:pPr>
        <w:pStyle w:val="ListParagraph"/>
        <w:numPr>
          <w:ilvl w:val="0"/>
          <w:numId w:val="59"/>
        </w:numPr>
      </w:pPr>
      <w:r>
        <w:rPr>
          <w:b/>
        </w:rPr>
        <w:t>inset</w:t>
      </w:r>
    </w:p>
    <w:p w:rsidR="00024C0A" w:rsidRDefault="00694C0F">
      <w:r>
        <w:t>If the borders have an identical style, then each border color shall be assigned a brightness value as follows:</w:t>
      </w:r>
    </w:p>
    <w:p w:rsidR="00024C0A" w:rsidRDefault="00694C0F">
      <w:r>
        <w:rPr>
          <w:noProof/>
        </w:rPr>
        <w:drawing>
          <wp:inline distT="0" distB="0" distL="0" distR="0">
            <wp:extent cx="1476375" cy="171450"/>
            <wp:effectExtent l="0" t="0" r="0" b="0"/>
            <wp:docPr id="11" name="Picture 1" descr="Equation for brightness value: Brightness = R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b-0000-0000-0000-000000000000" descr="Equation for brightness value: Brightness = R + B + 2  times G" title="Equation for brightness value"/>
                    <pic:cNvPicPr>
                      <a:picLocks noChangeAspect="1" noChangeArrowheads="1"/>
                    </pic:cNvPicPr>
                  </pic:nvPicPr>
                  <pic:blipFill>
                    <a:blip r:embed="rId84" cstate="print"/>
                    <a:srcRect/>
                    <a:stretch>
                      <a:fillRect/>
                    </a:stretch>
                  </pic:blipFill>
                  <pic:spPr bwMode="auto">
                    <a:xfrm>
                      <a:off x="0" y="0"/>
                      <a:ext cx="1476375" cy="171450"/>
                    </a:xfrm>
                    <a:prstGeom prst="rect">
                      <a:avLst/>
                    </a:prstGeom>
                    <a:noFill/>
                    <a:ln w="9525">
                      <a:noFill/>
                      <a:miter lim="800000"/>
                      <a:headEnd/>
                      <a:tailEnd/>
                    </a:ln>
                  </pic:spPr>
                </pic:pic>
              </a:graphicData>
            </a:graphic>
          </wp:inline>
        </w:drawing>
      </w:r>
    </w:p>
    <w:p w:rsidR="00024C0A" w:rsidRDefault="00694C0F">
      <w:r>
        <w:t>The color with the smaller brightness value shall be displayed.</w:t>
      </w:r>
    </w:p>
    <w:p w:rsidR="00024C0A" w:rsidRDefault="00694C0F">
      <w:r>
        <w:t xml:space="preserve">If the borders have an identical brightness </w:t>
      </w:r>
      <w:r>
        <w:t>value, then each border color shall be assigned a new brightness value as follows:</w:t>
      </w:r>
    </w:p>
    <w:p w:rsidR="00024C0A" w:rsidRDefault="00694C0F">
      <w:r>
        <w:rPr>
          <w:noProof/>
        </w:rPr>
        <w:drawing>
          <wp:inline distT="0" distB="0" distL="0" distR="0">
            <wp:extent cx="1247775" cy="171450"/>
            <wp:effectExtent l="0" t="0" r="0" b="0"/>
            <wp:docPr id="12" name="Picture 1" descr="Equation for brightness value: Brightness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a-0000-0000-0000-000000000000" descr="Equation for brightness value: Brightness = B + 2 times G" title="Equation for brightness value"/>
                    <pic:cNvPicPr>
                      <a:picLocks noChangeAspect="1" noChangeArrowheads="1"/>
                    </pic:cNvPicPr>
                  </pic:nvPicPr>
                  <pic:blipFill>
                    <a:blip r:embed="rId85" cstate="print"/>
                    <a:srcRect/>
                    <a:stretch>
                      <a:fillRect/>
                    </a:stretch>
                  </pic:blipFill>
                  <pic:spPr bwMode="auto">
                    <a:xfrm>
                      <a:off x="0" y="0"/>
                      <a:ext cx="1247775" cy="171450"/>
                    </a:xfrm>
                    <a:prstGeom prst="rect">
                      <a:avLst/>
                    </a:prstGeom>
                    <a:noFill/>
                    <a:ln w="9525">
                      <a:noFill/>
                      <a:miter lim="800000"/>
                      <a:headEnd/>
                      <a:tailEnd/>
                    </a:ln>
                  </pic:spPr>
                </pic:pic>
              </a:graphicData>
            </a:graphic>
          </wp:inline>
        </w:drawing>
      </w:r>
    </w:p>
    <w:p w:rsidR="00024C0A" w:rsidRDefault="00694C0F">
      <w:r>
        <w:t>The color with the smaller brightness value shall be displayed.</w:t>
      </w:r>
    </w:p>
    <w:p w:rsidR="00024C0A" w:rsidRDefault="00694C0F">
      <w:r>
        <w:t>If the borders have an identical brightness value, then each border color shall be assigned a brightness va</w:t>
      </w:r>
      <w:r>
        <w:t>lue as follows:</w:t>
      </w:r>
    </w:p>
    <w:p w:rsidR="00024C0A" w:rsidRDefault="00694C0F">
      <w:r>
        <w:rPr>
          <w:noProof/>
        </w:rPr>
        <w:drawing>
          <wp:inline distT="0" distB="0" distL="0" distR="0">
            <wp:extent cx="828675" cy="171450"/>
            <wp:effectExtent l="0" t="0" r="0" b="0"/>
            <wp:docPr id="13" name="Picture 1" descr="Equation for brightness value: Brightness =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a1-0000-0000-0000-000000000000" descr="Equation for brightness value: Brightness = G" title="Equation for brightness value"/>
                    <pic:cNvPicPr>
                      <a:picLocks noChangeAspect="1" noChangeArrowheads="1"/>
                    </pic:cNvPicPr>
                  </pic:nvPicPr>
                  <pic:blipFill>
                    <a:blip r:embed="rId86" cstate="print"/>
                    <a:srcRect/>
                    <a:stretch>
                      <a:fillRect/>
                    </a:stretch>
                  </pic:blipFill>
                  <pic:spPr bwMode="auto">
                    <a:xfrm>
                      <a:off x="0" y="0"/>
                      <a:ext cx="828675" cy="171450"/>
                    </a:xfrm>
                    <a:prstGeom prst="rect">
                      <a:avLst/>
                    </a:prstGeom>
                    <a:noFill/>
                    <a:ln w="9525">
                      <a:noFill/>
                      <a:miter lim="800000"/>
                      <a:headEnd/>
                      <a:tailEnd/>
                    </a:ln>
                  </pic:spPr>
                </pic:pic>
              </a:graphicData>
            </a:graphic>
          </wp:inline>
        </w:drawing>
      </w:r>
    </w:p>
    <w:p w:rsidR="00024C0A" w:rsidRDefault="00694C0F">
      <w:r>
        <w:t>The color with the smaller brightness value shall be displayed.</w:t>
      </w:r>
    </w:p>
    <w:p w:rsidR="00024C0A" w:rsidRDefault="00694C0F">
      <w:r>
        <w:t>If the borders have an identical brightness value, then they are functionally identical, and the first border in reading order should be displayed.</w:t>
      </w:r>
    </w:p>
    <w:p w:rsidR="00024C0A" w:rsidRDefault="00694C0F">
      <w:pPr>
        <w:pStyle w:val="Heading3"/>
      </w:pPr>
      <w:bookmarkStart w:id="355" w:name="section_1839bb55e06a4fd1b1813d89018a0151"/>
      <w:bookmarkStart w:id="356" w:name="_Toc12260238"/>
      <w:r>
        <w:t>Part 1 Section 17.4.67, tc</w:t>
      </w:r>
      <w:r>
        <w:t>FitText (Fit Text Within Cell)</w:t>
      </w:r>
      <w:bookmarkEnd w:id="355"/>
      <w:bookmarkEnd w:id="356"/>
      <w:r>
        <w:fldChar w:fldCharType="begin"/>
      </w:r>
      <w:r>
        <w:instrText xml:space="preserve"> XE "tcFitText (Fit Text Within Cell)"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024C0A" w:rsidRDefault="00694C0F">
      <w:pPr>
        <w:pStyle w:val="Definition-Field"/>
      </w:pPr>
      <w:r>
        <w:t xml:space="preserve">a.   </w:t>
      </w:r>
      <w:r>
        <w:rPr>
          <w:i/>
        </w:rPr>
        <w:t>The standard defines no special behavior for a cell containing text with line breaks.</w:t>
      </w:r>
    </w:p>
    <w:p w:rsidR="00024C0A" w:rsidRDefault="00694C0F">
      <w:pPr>
        <w:pStyle w:val="Definition-Field2"/>
      </w:pPr>
      <w:r>
        <w:t>In Word, the text in the first paragraph in the cell is fit, but subsequent paragrap</w:t>
      </w:r>
      <w:r>
        <w:t>hs are not.</w:t>
      </w:r>
    </w:p>
    <w:p w:rsidR="00024C0A" w:rsidRDefault="00694C0F">
      <w:pPr>
        <w:pStyle w:val="Definition-Field"/>
      </w:pPr>
      <w:r>
        <w:t xml:space="preserve">b.   </w:t>
      </w:r>
      <w:r>
        <w:rPr>
          <w:i/>
        </w:rPr>
        <w:t>The standard states that inter-character spacing shall be reduced to fit text.</w:t>
      </w:r>
    </w:p>
    <w:p w:rsidR="00024C0A" w:rsidRDefault="00694C0F">
      <w:pPr>
        <w:pStyle w:val="Definition-Field2"/>
      </w:pPr>
      <w:r>
        <w:t>In Word, the horizontal size of non-space characters is also reduced to fit text.</w:t>
      </w:r>
    </w:p>
    <w:p w:rsidR="00024C0A" w:rsidRDefault="00694C0F">
      <w:pPr>
        <w:pStyle w:val="Heading3"/>
      </w:pPr>
      <w:bookmarkStart w:id="357" w:name="section_57cf0f4610394fd089650ea4f8336fad"/>
      <w:bookmarkStart w:id="358" w:name="_Toc12260239"/>
      <w:r>
        <w:lastRenderedPageBreak/>
        <w:t>Part 1 Section 17.4.71, tcW (Preferred Table Cell Width)</w:t>
      </w:r>
      <w:bookmarkEnd w:id="357"/>
      <w:bookmarkEnd w:id="358"/>
      <w:r>
        <w:fldChar w:fldCharType="begin"/>
      </w:r>
      <w:r>
        <w:instrText xml:space="preserve"> XE "tcW (Preferred Ta</w:instrText>
      </w:r>
      <w:r>
        <w:instrText xml:space="preserve">ble Cell Width)"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348cf5dd492c4e2b9fe3c4996f8c52e5">
        <w:r>
          <w:rPr>
            <w:rStyle w:val="Hyperlink"/>
          </w:rPr>
          <w:t>tc</w:t>
        </w:r>
        <w:r>
          <w:rPr>
            <w:rStyle w:val="Hyperlink"/>
          </w:rPr>
          <w:t>Pr, §17.7.6.8(b)</w:t>
        </w:r>
      </w:hyperlink>
      <w:r>
        <w:rPr>
          <w:i/>
        </w:rPr>
        <w:t xml:space="preserve">; </w:t>
      </w:r>
      <w:hyperlink w:anchor="Section_9e742550b4384b9d96064ae34d83830f">
        <w:r>
          <w:rPr>
            <w:rStyle w:val="Hyperlink"/>
          </w:rPr>
          <w:t>tcPr, §17.7.6.9(a)</w:t>
        </w:r>
      </w:hyperlink>
      <w:r>
        <w:rPr>
          <w:i/>
        </w:rPr>
        <w:t>.</w:t>
      </w:r>
    </w:p>
    <w:p w:rsidR="00024C0A" w:rsidRDefault="00694C0F">
      <w:pPr>
        <w:pStyle w:val="Definition-Field"/>
      </w:pPr>
      <w:r>
        <w:t xml:space="preserve">a.   </w:t>
      </w:r>
      <w:r>
        <w:rPr>
          <w:i/>
        </w:rPr>
        <w:t>The standard states that if the w attribute is 0, then preferred cell width is 0.</w:t>
      </w:r>
    </w:p>
    <w:p w:rsidR="00024C0A" w:rsidRDefault="00694C0F">
      <w:pPr>
        <w:pStyle w:val="Definition-Field2"/>
      </w:pPr>
      <w:r>
        <w:t>In Word, if the w attribute is 0, then the type attribute is interpr</w:t>
      </w:r>
      <w:r>
        <w:t>eted as auto.</w:t>
      </w:r>
    </w:p>
    <w:p w:rsidR="00024C0A" w:rsidRDefault="00694C0F">
      <w:pPr>
        <w:pStyle w:val="Definition-Field"/>
      </w:pPr>
      <w:r>
        <w:t xml:space="preserve">b.   </w:t>
      </w:r>
      <w:r>
        <w:rPr>
          <w:i/>
        </w:rPr>
        <w:t>The standard does not specify the behavior when type is nil.</w:t>
      </w:r>
    </w:p>
    <w:p w:rsidR="00024C0A" w:rsidRDefault="00694C0F">
      <w:pPr>
        <w:pStyle w:val="Definition-Field2"/>
      </w:pPr>
      <w:r>
        <w:t>Word interprets the type attribute value as auto when the type attribute has a value of nil.</w:t>
      </w:r>
    </w:p>
    <w:p w:rsidR="00024C0A" w:rsidRDefault="00694C0F">
      <w:pPr>
        <w:pStyle w:val="Heading3"/>
      </w:pPr>
      <w:bookmarkStart w:id="359" w:name="section_d1912b80175449d4a2f610af9470ec26"/>
      <w:bookmarkStart w:id="360" w:name="_Toc12260240"/>
      <w:r>
        <w:t>Part 1 Section 17.4.72, textDirection (Table Cell Text Flow Direction)</w:t>
      </w:r>
      <w:bookmarkEnd w:id="359"/>
      <w:bookmarkEnd w:id="360"/>
      <w:r>
        <w:fldChar w:fldCharType="begin"/>
      </w:r>
      <w:r>
        <w:instrText xml:space="preserve"> XE "textDire</w:instrText>
      </w:r>
      <w:r>
        <w:instrText xml:space="preserve">ction (Table Cell Text Flow Direction)"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024C0A" w:rsidRDefault="00694C0F">
      <w:pPr>
        <w:pStyle w:val="Definition-Field"/>
      </w:pPr>
      <w:r>
        <w:t xml:space="preserve">a.   </w:t>
      </w:r>
      <w:r>
        <w:rPr>
          <w:i/>
        </w:rPr>
        <w:t>The standard states that if the textDirection element is omitted and is not specified in table style, then the table cell shall inherit text flow direction from the parent section.</w:t>
      </w:r>
    </w:p>
    <w:p w:rsidR="00024C0A" w:rsidRDefault="00694C0F">
      <w:pPr>
        <w:pStyle w:val="Definition-Field2"/>
      </w:pPr>
      <w:r>
        <w:t>In Word, if the textDirecti</w:t>
      </w:r>
      <w:r>
        <w:t>on element is omitted and is not specified in table style, then the default text flow direction is lrTb.</w:t>
      </w:r>
    </w:p>
    <w:p w:rsidR="00024C0A" w:rsidRDefault="00694C0F">
      <w:pPr>
        <w:pStyle w:val="Heading3"/>
      </w:pPr>
      <w:bookmarkStart w:id="361" w:name="section_b6367788d039424fbc44c119b62a5238"/>
      <w:bookmarkStart w:id="362" w:name="_Toc12260241"/>
      <w:r>
        <w:t>Part 1 Section 17.4.73, tl2br (Table Cell Top Left to Bottom Right Diagonal Border)</w:t>
      </w:r>
      <w:bookmarkEnd w:id="361"/>
      <w:bookmarkEnd w:id="362"/>
      <w:r>
        <w:fldChar w:fldCharType="begin"/>
      </w:r>
      <w:r>
        <w:instrText xml:space="preserve"> XE "tl2br (Table Cell Top Left to Bottom Right Diagonal Border)"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w:t>
      </w:r>
      <w:r>
        <w:rPr>
          <w:i/>
        </w:rPr>
        <w:t xml:space="preserve"> </w:t>
      </w:r>
      <w:hyperlink w:anchor="Section_88086db0881a462fafb3fad01a9b1be3">
        <w:r>
          <w:rPr>
            <w:rStyle w:val="Hyperlink"/>
          </w:rPr>
          <w:t>left, §17.15.2.21(a)</w:t>
        </w:r>
      </w:hyperlink>
      <w:r>
        <w:rPr>
          <w:i/>
        </w:rPr>
        <w:t>.</w:t>
      </w:r>
    </w:p>
    <w:p w:rsidR="00024C0A" w:rsidRDefault="00694C0F">
      <w:pPr>
        <w:pStyle w:val="Definition-Field"/>
      </w:pPr>
      <w:r>
        <w:t xml:space="preserve">a.   </w:t>
      </w:r>
      <w:r>
        <w:rPr>
          <w:i/>
        </w:rPr>
        <w:t>The standard places no restrictions on the border style used in the val attribute.</w:t>
      </w:r>
    </w:p>
    <w:p w:rsidR="00024C0A" w:rsidRDefault="00694C0F">
      <w:pPr>
        <w:pStyle w:val="Definition-Field2"/>
      </w:pPr>
      <w:r>
        <w:t>Word displays diagonal cell borders as a single solid line, except borders with do</w:t>
      </w:r>
      <w:r>
        <w:t>tted, dashed, dashSmallGap, dotDash, dotDotDash, and double border styles.</w:t>
      </w:r>
    </w:p>
    <w:p w:rsidR="00024C0A" w:rsidRDefault="00694C0F">
      <w:pPr>
        <w:pStyle w:val="Definition-Field"/>
      </w:pPr>
      <w:r>
        <w:t xml:space="preserve">b.   </w:t>
      </w:r>
      <w:r>
        <w:rPr>
          <w:i/>
        </w:rPr>
        <w:t>The standard states that if this element is omitted then the table's border settings may be used.</w:t>
      </w:r>
    </w:p>
    <w:p w:rsidR="00024C0A" w:rsidRDefault="00694C0F">
      <w:pPr>
        <w:pStyle w:val="Definition-Field2"/>
      </w:pPr>
      <w:r>
        <w:t>In Word, if this element is omitted, then the table styles border is used.</w:t>
      </w:r>
    </w:p>
    <w:p w:rsidR="00024C0A" w:rsidRDefault="00694C0F">
      <w:pPr>
        <w:pStyle w:val="Heading3"/>
      </w:pPr>
      <w:bookmarkStart w:id="363" w:name="section_35e1cc297dc64e00a86e1aff557190a7"/>
      <w:bookmarkStart w:id="364" w:name="_Toc12260242"/>
      <w:r>
        <w:t>Part 1 Section 17.4.74, top (Table Cell Top Border)</w:t>
      </w:r>
      <w:bookmarkEnd w:id="363"/>
      <w:bookmarkEnd w:id="364"/>
      <w:r>
        <w:fldChar w:fldCharType="begin"/>
      </w:r>
      <w:r>
        <w:instrText xml:space="preserve"> XE "top (Table Cell Top Border)"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2a35f2312704ca699140fa440d56fdf">
        <w:r>
          <w:rPr>
            <w:rStyle w:val="Hyperlink"/>
          </w:rPr>
          <w:t>bar, §17.3.1.4(</w:t>
        </w:r>
        <w:r>
          <w:rPr>
            <w:rStyle w:val="Hyperlink"/>
          </w:rPr>
          <w:t>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24C0A" w:rsidRDefault="00694C0F">
      <w:pPr>
        <w:pStyle w:val="Heading3"/>
      </w:pPr>
      <w:bookmarkStart w:id="365" w:name="section_27237d22be604bdfa7f2e50b688877bd"/>
      <w:bookmarkStart w:id="366" w:name="_Toc12260243"/>
      <w:r>
        <w:t>Part 1 Section 17.4.75, top (Table Cell Top Margin Default)</w:t>
      </w:r>
      <w:bookmarkEnd w:id="365"/>
      <w:bookmarkEnd w:id="366"/>
      <w:r>
        <w:fldChar w:fldCharType="begin"/>
      </w:r>
      <w:r>
        <w:instrText xml:space="preserve"> XE "top (Table Cell Top</w:instrText>
      </w:r>
      <w:r>
        <w:instrText xml:space="preserve"> Margin Default)"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024C0A" w:rsidRDefault="00694C0F">
      <w:pPr>
        <w:pStyle w:val="Heading3"/>
      </w:pPr>
      <w:bookmarkStart w:id="367" w:name="section_4d15f8f654514b1fa1cb481e018c3cef"/>
      <w:bookmarkStart w:id="368" w:name="_Toc12260244"/>
      <w:r>
        <w:t>Part 1 Section 17.4.76, top (Table Top Border)</w:t>
      </w:r>
      <w:bookmarkEnd w:id="367"/>
      <w:bookmarkEnd w:id="368"/>
      <w:r>
        <w:fldChar w:fldCharType="begin"/>
      </w:r>
      <w:r>
        <w:instrText xml:space="preserve"> XE "top (Table To</w:instrText>
      </w:r>
      <w:r>
        <w:instrText xml:space="preserve">p Border)"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 xml:space="preserve">bdr, </w:t>
        </w:r>
        <w:r>
          <w:rPr>
            <w:rStyle w:val="Hyperlink"/>
          </w:rPr>
          <w:t>§17.3.2.4(a)</w:t>
        </w:r>
      </w:hyperlink>
      <w:r>
        <w:rPr>
          <w:i/>
        </w:rPr>
        <w:t xml:space="preserve">; </w:t>
      </w:r>
      <w:hyperlink w:anchor="Section_88086db0881a462fafb3fad01a9b1be3">
        <w:r>
          <w:rPr>
            <w:rStyle w:val="Hyperlink"/>
          </w:rPr>
          <w:t>left, §17.15.2.21(a)</w:t>
        </w:r>
      </w:hyperlink>
      <w:r>
        <w:rPr>
          <w:i/>
        </w:rPr>
        <w:t>.</w:t>
      </w:r>
    </w:p>
    <w:p w:rsidR="00024C0A" w:rsidRDefault="00694C0F">
      <w:pPr>
        <w:pStyle w:val="Heading3"/>
      </w:pPr>
      <w:bookmarkStart w:id="369" w:name="section_8446a4220fe8401bb11fa2d4933ee83c"/>
      <w:bookmarkStart w:id="370" w:name="_Toc12260245"/>
      <w:r>
        <w:t>Part 1 Section 17.4.77, top (Table Cell Top Margin Exception)</w:t>
      </w:r>
      <w:bookmarkEnd w:id="369"/>
      <w:bookmarkEnd w:id="370"/>
      <w:r>
        <w:fldChar w:fldCharType="begin"/>
      </w:r>
      <w:r>
        <w:instrText xml:space="preserve"> XE "top (Table Cell Top Margin Exception)" </w:instrText>
      </w:r>
      <w:r>
        <w:fldChar w:fldCharType="end"/>
      </w:r>
    </w:p>
    <w:p w:rsidR="00024C0A" w:rsidRDefault="00694C0F">
      <w:pPr>
        <w:pStyle w:val="Definition-Field"/>
      </w:pPr>
      <w:r>
        <w:t xml:space="preserve">a.   </w:t>
      </w:r>
      <w:r>
        <w:rPr>
          <w:i/>
        </w:rPr>
        <w:t xml:space="preserve">The standard states that a 'type' attribute </w:t>
      </w:r>
      <w:r>
        <w:rPr>
          <w:i/>
        </w:rPr>
        <w:t>value of "nil" specifies that the current width is 0.</w:t>
      </w:r>
    </w:p>
    <w:p w:rsidR="00024C0A" w:rsidRDefault="00694C0F">
      <w:pPr>
        <w:pStyle w:val="Definition-Field2"/>
      </w:pPr>
      <w:r>
        <w:lastRenderedPageBreak/>
        <w:t>Word ignores this element when the 'type' attribute has a value of "nil".</w:t>
      </w:r>
    </w:p>
    <w:p w:rsidR="00024C0A" w:rsidRDefault="00694C0F">
      <w:pPr>
        <w:pStyle w:val="Heading3"/>
      </w:pPr>
      <w:bookmarkStart w:id="371" w:name="section_cc8ad504f84b4d8bac1d808e6f7b2a31"/>
      <w:bookmarkStart w:id="372" w:name="_Toc12260246"/>
      <w:r>
        <w:t>Part 1 Section 17.4.78, tr (Table Row)</w:t>
      </w:r>
      <w:bookmarkEnd w:id="371"/>
      <w:bookmarkEnd w:id="372"/>
      <w:r>
        <w:fldChar w:fldCharType="begin"/>
      </w:r>
      <w:r>
        <w:instrText xml:space="preserve"> XE "tr (Table Row)" </w:instrText>
      </w:r>
      <w:r>
        <w:fldChar w:fldCharType="end"/>
      </w:r>
    </w:p>
    <w:p w:rsidR="00024C0A" w:rsidRDefault="00694C0F">
      <w:pPr>
        <w:pStyle w:val="Definition-Field2"/>
      </w:pPr>
      <w:r>
        <w:rPr>
          <w:i/>
        </w:rPr>
        <w:t>For additional notes that apply to this portion of the standard, p</w:t>
      </w:r>
      <w:r>
        <w:rPr>
          <w:i/>
        </w:rPr>
        <w:t xml:space="preserve">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24C0A" w:rsidRDefault="00694C0F">
      <w:pPr>
        <w:pStyle w:val="Definition-Field"/>
      </w:pPr>
      <w:r>
        <w:t xml:space="preserve">a.   </w:t>
      </w:r>
      <w:r>
        <w:rPr>
          <w:i/>
        </w:rPr>
        <w:t>The standard states that if a table cell does not con</w:t>
      </w:r>
      <w:r>
        <w:rPr>
          <w:i/>
        </w:rPr>
        <w:t>tain at least one child, then the file is corrupt.</w:t>
      </w:r>
    </w:p>
    <w:p w:rsidR="00024C0A" w:rsidRDefault="00694C0F">
      <w:pPr>
        <w:pStyle w:val="Definition-Field2"/>
      </w:pPr>
      <w:r>
        <w:t>In Word, if a table row does not contain at least one child other than the row properties, then the file is corrupt.</w:t>
      </w:r>
    </w:p>
    <w:p w:rsidR="00024C0A" w:rsidRDefault="00694C0F">
      <w:pPr>
        <w:pStyle w:val="Heading3"/>
      </w:pPr>
      <w:bookmarkStart w:id="373" w:name="section_e029a4373f4d408c945eb1b52dcb04b3"/>
      <w:bookmarkStart w:id="374" w:name="_Toc12260247"/>
      <w:r>
        <w:t>Part 1 Section 17.4.79, tr2bl (Table Cell Top Right to Bottom Left Diagonal Border)</w:t>
      </w:r>
      <w:bookmarkEnd w:id="373"/>
      <w:bookmarkEnd w:id="374"/>
      <w:r>
        <w:fldChar w:fldCharType="begin"/>
      </w:r>
      <w:r>
        <w:instrText xml:space="preserve"> XE "</w:instrText>
      </w:r>
      <w:r>
        <w:instrText xml:space="preserve">tr2bl (Table Cell Top Right to Bottom Left Diagonal Border)"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24C0A" w:rsidRDefault="00694C0F">
      <w:pPr>
        <w:pStyle w:val="Definition-Field"/>
      </w:pPr>
      <w:r>
        <w:t xml:space="preserve">a.   </w:t>
      </w:r>
      <w:r>
        <w:rPr>
          <w:i/>
        </w:rPr>
        <w:t>The standard places no restrictions on the border style used in the val attribute.</w:t>
      </w:r>
    </w:p>
    <w:p w:rsidR="00024C0A" w:rsidRDefault="00694C0F">
      <w:pPr>
        <w:pStyle w:val="Definition-Field2"/>
      </w:pPr>
      <w:r>
        <w:t xml:space="preserve">Word displays </w:t>
      </w:r>
      <w:r>
        <w:t>diagonal cell borders as a single solid line, except borders with dotted, dashed, dashSmallGap, dotDash, dotDotDash, and double border styles.</w:t>
      </w:r>
    </w:p>
    <w:p w:rsidR="00024C0A" w:rsidRDefault="00694C0F">
      <w:pPr>
        <w:pStyle w:val="Definition-Field"/>
      </w:pPr>
      <w:r>
        <w:t xml:space="preserve">b.   </w:t>
      </w:r>
      <w:r>
        <w:rPr>
          <w:i/>
        </w:rPr>
        <w:t>The standard states that if this element is omitted then the table's border settings may be used.</w:t>
      </w:r>
    </w:p>
    <w:p w:rsidR="00024C0A" w:rsidRDefault="00694C0F">
      <w:pPr>
        <w:pStyle w:val="Definition-Field2"/>
      </w:pPr>
      <w:r>
        <w:t>In Word, i</w:t>
      </w:r>
      <w:r>
        <w:t>f this element is omitted, then the table styles border is used.</w:t>
      </w:r>
    </w:p>
    <w:p w:rsidR="00024C0A" w:rsidRDefault="00694C0F">
      <w:pPr>
        <w:pStyle w:val="Heading3"/>
      </w:pPr>
      <w:bookmarkStart w:id="375" w:name="section_5919e0bde6ce477e8d660e5282f5c506"/>
      <w:bookmarkStart w:id="376" w:name="_Toc12260248"/>
      <w:r>
        <w:t>Part 1 Section 17.4.80, trHeight (Table Row Height)</w:t>
      </w:r>
      <w:bookmarkEnd w:id="375"/>
      <w:bookmarkEnd w:id="376"/>
      <w:r>
        <w:fldChar w:fldCharType="begin"/>
      </w:r>
      <w:r>
        <w:instrText xml:space="preserve"> XE "trHeight (Table Row Height)"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024C0A" w:rsidRDefault="00694C0F">
      <w:pPr>
        <w:pStyle w:val="Definition-Field"/>
      </w:pPr>
      <w:r>
        <w:t xml:space="preserve">a.   </w:t>
      </w:r>
      <w:r>
        <w:rPr>
          <w:i/>
        </w:rPr>
        <w:t>The standard states that if the hRule attribute is omitted, then its value is assumed to be auto</w:t>
      </w:r>
      <w:r>
        <w:rPr>
          <w:i/>
        </w:rPr>
        <w:t>.</w:t>
      </w:r>
    </w:p>
    <w:p w:rsidR="00024C0A" w:rsidRDefault="00694C0F">
      <w:pPr>
        <w:pStyle w:val="Definition-Field2"/>
      </w:pPr>
      <w:r>
        <w:t>In Word, if the hRule attribute is omitted, then its value is assumed to be atLeast.</w:t>
      </w:r>
    </w:p>
    <w:p w:rsidR="00024C0A" w:rsidRDefault="00694C0F">
      <w:pPr>
        <w:pStyle w:val="Definition-Field"/>
      </w:pPr>
      <w:r>
        <w:t xml:space="preserve">b.   </w:t>
      </w:r>
      <w:r>
        <w:rPr>
          <w:i/>
        </w:rPr>
        <w:t>The standard states that the values of the val attribute are defined by the XML Schema unsignedLong datatype.</w:t>
      </w:r>
    </w:p>
    <w:p w:rsidR="00024C0A" w:rsidRDefault="00694C0F">
      <w:pPr>
        <w:pStyle w:val="Definition-Field2"/>
      </w:pPr>
      <w:r>
        <w:t>Word defines the values of this attribute with the XML</w:t>
      </w:r>
      <w:r>
        <w:t xml:space="preserve"> Schema unsignedInt datatype, with a minimum value of 0 and a maximum value of 31680.</w:t>
      </w:r>
    </w:p>
    <w:p w:rsidR="00024C0A" w:rsidRDefault="00694C0F">
      <w:pPr>
        <w:pStyle w:val="Definition-Field"/>
      </w:pPr>
      <w:r>
        <w:t xml:space="preserve">c.   </w:t>
      </w:r>
      <w:r>
        <w:rPr>
          <w:i/>
        </w:rPr>
        <w:t>The standard allows the hRule attribute to be set to exact while the val attribute is set to 0.</w:t>
      </w:r>
    </w:p>
    <w:p w:rsidR="00024C0A" w:rsidRDefault="00694C0F">
      <w:pPr>
        <w:pStyle w:val="Definition-Field2"/>
      </w:pPr>
      <w:r>
        <w:t>Word requires that if the hRule attribute is set to exact, then the v</w:t>
      </w:r>
      <w:r>
        <w:t>al attribute must not be 0.</w:t>
      </w:r>
    </w:p>
    <w:p w:rsidR="00024C0A" w:rsidRDefault="00694C0F">
      <w:pPr>
        <w:pStyle w:val="Definition-Field"/>
      </w:pPr>
      <w:r>
        <w:t xml:space="preserve">d.   </w:t>
      </w:r>
      <w:r>
        <w:rPr>
          <w:i/>
        </w:rPr>
        <w:t>The standard states that if the hRule attribute is exact, the row height must be exactly as specified.</w:t>
      </w:r>
    </w:p>
    <w:p w:rsidR="00024C0A" w:rsidRDefault="00694C0F">
      <w:pPr>
        <w:pStyle w:val="Definition-Field2"/>
      </w:pPr>
      <w:r>
        <w:t xml:space="preserve">In Word, if the hRule attribute is exact, Word sets the row height to the exact height plus the largest bottom cell </w:t>
      </w:r>
      <w:r>
        <w:t>padding of any cell in the row.</w:t>
      </w:r>
    </w:p>
    <w:p w:rsidR="00024C0A" w:rsidRDefault="00694C0F">
      <w:pPr>
        <w:pStyle w:val="Heading3"/>
      </w:pPr>
      <w:bookmarkStart w:id="377" w:name="section_d42f12d5178c4a6f8107e15b5b27bce8"/>
      <w:bookmarkStart w:id="378" w:name="_Toc12260249"/>
      <w:r>
        <w:t>Part 1 Section 17.4.83, vAlign (Table Cell Vertical Alignment)</w:t>
      </w:r>
      <w:bookmarkEnd w:id="377"/>
      <w:bookmarkEnd w:id="378"/>
      <w:r>
        <w:fldChar w:fldCharType="begin"/>
      </w:r>
      <w:r>
        <w:instrText xml:space="preserve"> XE "vAlign (Table Cell Vertical Alignment)" </w:instrText>
      </w:r>
      <w:r>
        <w:fldChar w:fldCharType="end"/>
      </w:r>
    </w:p>
    <w:p w:rsidR="00024C0A" w:rsidRDefault="00694C0F">
      <w:pPr>
        <w:pStyle w:val="Definition-Field"/>
      </w:pPr>
      <w:r>
        <w:t xml:space="preserve">a.   </w:t>
      </w:r>
      <w:r>
        <w:rPr>
          <w:i/>
        </w:rPr>
        <w:t>The standard states that the values of the val attribute are defined by the ST_VerticalJc simple type.</w:t>
      </w:r>
    </w:p>
    <w:p w:rsidR="00024C0A" w:rsidRDefault="00694C0F">
      <w:pPr>
        <w:pStyle w:val="Definition-Field2"/>
      </w:pPr>
      <w:r>
        <w:t>Word o</w:t>
      </w:r>
      <w:r>
        <w:t>nly allows the values top, center, and bottom.</w:t>
      </w:r>
    </w:p>
    <w:p w:rsidR="00024C0A" w:rsidRDefault="00694C0F">
      <w:pPr>
        <w:pStyle w:val="Heading3"/>
      </w:pPr>
      <w:bookmarkStart w:id="379" w:name="section_b23f8fd990cf47bea43371f702932446"/>
      <w:bookmarkStart w:id="380" w:name="_Toc12260250"/>
      <w:r>
        <w:lastRenderedPageBreak/>
        <w:t>Part 1 Section 17.4.84, vMerge (Vertically Merged Cell)</w:t>
      </w:r>
      <w:bookmarkEnd w:id="379"/>
      <w:bookmarkEnd w:id="380"/>
      <w:r>
        <w:fldChar w:fldCharType="begin"/>
      </w:r>
      <w:r>
        <w:instrText xml:space="preserve"> XE "vMerge (Vertically Merged Cell)"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024C0A" w:rsidRDefault="00694C0F">
      <w:pPr>
        <w:pStyle w:val="Heading3"/>
      </w:pPr>
      <w:bookmarkStart w:id="381" w:name="section_8141efd348254481b184b67376135071"/>
      <w:bookmarkStart w:id="382" w:name="_Toc12260251"/>
      <w:r>
        <w:t>Part 1 Section 17.4.85, wAfter (Preferred Width After Table Row)</w:t>
      </w:r>
      <w:bookmarkEnd w:id="381"/>
      <w:bookmarkEnd w:id="382"/>
      <w:r>
        <w:fldChar w:fldCharType="begin"/>
      </w:r>
      <w:r>
        <w:instrText xml:space="preserve"> XE "wAfter (Preferred Width After Table Row)"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024C0A" w:rsidRDefault="00694C0F">
      <w:pPr>
        <w:pStyle w:val="Heading3"/>
      </w:pPr>
      <w:bookmarkStart w:id="383" w:name="section_94462b68e41c45288c011a5a370b8590"/>
      <w:bookmarkStart w:id="384" w:name="_Toc12260252"/>
      <w:r>
        <w:t>Part 1 Section 17.4.86, wBefore (Preferred Width Before Table Row)</w:t>
      </w:r>
      <w:bookmarkEnd w:id="383"/>
      <w:bookmarkEnd w:id="384"/>
      <w:r>
        <w:fldChar w:fldCharType="begin"/>
      </w:r>
      <w:r>
        <w:instrText xml:space="preserve"> XE "wBefore (Preferred Width Before Table Row)"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024C0A" w:rsidRDefault="00694C0F">
      <w:pPr>
        <w:pStyle w:val="Definition-Field"/>
      </w:pPr>
      <w:r>
        <w:t xml:space="preserve">a.   </w:t>
      </w:r>
      <w:r>
        <w:rPr>
          <w:i/>
        </w:rPr>
        <w:t>The standard states that the wBefore element specifies the width for the grid columns specified in gridAfter.</w:t>
      </w:r>
    </w:p>
    <w:p w:rsidR="00024C0A" w:rsidRDefault="00694C0F">
      <w:pPr>
        <w:pStyle w:val="Definition-Field2"/>
      </w:pPr>
      <w:r>
        <w:t>In Word, the wBefore element specifies the width for the g</w:t>
      </w:r>
      <w:r>
        <w:t>rid columns specified in gridBefore.</w:t>
      </w:r>
    </w:p>
    <w:p w:rsidR="00024C0A" w:rsidRDefault="00694C0F">
      <w:pPr>
        <w:pStyle w:val="Heading3"/>
      </w:pPr>
      <w:bookmarkStart w:id="385" w:name="section_d9b4a6f68b0743c587f234c1238911a4"/>
      <w:bookmarkStart w:id="386" w:name="_Toc12260253"/>
      <w:r>
        <w:t>Part 1 Section 17.4.87, Table Measurement (CT_TblWidth)</w:t>
      </w:r>
      <w:bookmarkEnd w:id="385"/>
      <w:bookmarkEnd w:id="386"/>
      <w:r>
        <w:fldChar w:fldCharType="begin"/>
      </w:r>
      <w:r>
        <w:instrText xml:space="preserve"> XE "Table Measurement (CT_TblWidth)"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024C0A" w:rsidRDefault="00694C0F">
      <w:pPr>
        <w:pStyle w:val="Definition-Field"/>
      </w:pPr>
      <w:r>
        <w:t xml:space="preserve">a.   </w:t>
      </w:r>
      <w:r>
        <w:rPr>
          <w:i/>
        </w:rPr>
        <w:t>The standard does not describe how to interpret the w attribute when the type attribute is set to “pct” and the value of w does not contain a percent sign.</w:t>
      </w:r>
    </w:p>
    <w:p w:rsidR="00024C0A" w:rsidRDefault="00694C0F">
      <w:pPr>
        <w:pStyle w:val="Definition-Field2"/>
      </w:pPr>
      <w:r>
        <w:t>In Word, if the type attribute is equal to "pct</w:t>
      </w:r>
      <w:r>
        <w:t>" and the value of the w attribute does not contain a percent sign, the value of the w attribute shall be interpreted as fiftieths of a percent.</w:t>
      </w:r>
    </w:p>
    <w:p w:rsidR="00024C0A" w:rsidRDefault="00694C0F">
      <w:pPr>
        <w:pStyle w:val="Definition-Field"/>
      </w:pPr>
      <w:r>
        <w:t xml:space="preserve">b.   </w:t>
      </w:r>
      <w:r>
        <w:rPr>
          <w:i/>
        </w:rPr>
        <w:t>The standard does not specify the expected behavior when the 'w' attribute contains a percent sign, and th</w:t>
      </w:r>
      <w:r>
        <w:rPr>
          <w:i/>
        </w:rPr>
        <w:t>e 'type' attribute is not equal to "pct".</w:t>
      </w:r>
    </w:p>
    <w:p w:rsidR="00024C0A" w:rsidRDefault="00694C0F">
      <w:pPr>
        <w:pStyle w:val="Definition-Field2"/>
      </w:pPr>
      <w:r>
        <w:t>In Word, when the value of 'w' contains a percent sign, then the 'type' attribute is ignored and the value is interpreted as whole percentage points.</w:t>
      </w:r>
    </w:p>
    <w:p w:rsidR="00024C0A" w:rsidRDefault="00694C0F">
      <w:pPr>
        <w:pStyle w:val="Definition-Field"/>
      </w:pPr>
      <w:r>
        <w:t xml:space="preserve">c.   </w:t>
      </w:r>
      <w:r>
        <w:rPr>
          <w:i/>
        </w:rPr>
        <w:t xml:space="preserve">The standard states that the values of the w attribute are </w:t>
      </w:r>
      <w:r>
        <w:rPr>
          <w:i/>
        </w:rPr>
        <w:t>defined by ST_DecimalNumberOrPercent.</w:t>
      </w:r>
    </w:p>
    <w:p w:rsidR="00024C0A" w:rsidRDefault="00694C0F">
      <w:pPr>
        <w:pStyle w:val="Definition-Field2"/>
      </w:pPr>
      <w:r>
        <w:t>Word expects w to be XML Schema short datatype, not including the percent sign.</w:t>
      </w:r>
    </w:p>
    <w:p w:rsidR="00024C0A" w:rsidRDefault="00694C0F">
      <w:pPr>
        <w:pStyle w:val="Definition-Field"/>
      </w:pPr>
      <w:r>
        <w:t xml:space="preserve">d.   </w:t>
      </w:r>
      <w:r>
        <w:rPr>
          <w:i/>
        </w:rPr>
        <w:t>The standard states that the values of the w attribute are defined by ST_DecimalNumberOrPercent.</w:t>
      </w:r>
    </w:p>
    <w:p w:rsidR="00024C0A" w:rsidRDefault="00694C0F">
      <w:pPr>
        <w:pStyle w:val="Definition-Field2"/>
      </w:pPr>
      <w:r>
        <w:t>Word expects the value of the w attr</w:t>
      </w:r>
      <w:r>
        <w:t>ibute to be greater than or equal to zero for all elements of type CT_TblWidth, except tblInd.</w:t>
      </w:r>
    </w:p>
    <w:p w:rsidR="00024C0A" w:rsidRDefault="00694C0F">
      <w:pPr>
        <w:pStyle w:val="Heading3"/>
      </w:pPr>
      <w:bookmarkStart w:id="387" w:name="section_e006e9091e854c368d77cf9b67ea3ed4"/>
      <w:bookmarkStart w:id="388" w:name="_Toc12260254"/>
      <w:r>
        <w:t>Part 1 Section 17.5.1.1, attr (Custom XML Attribute)</w:t>
      </w:r>
      <w:bookmarkEnd w:id="387"/>
      <w:bookmarkEnd w:id="388"/>
      <w:r>
        <w:fldChar w:fldCharType="begin"/>
      </w:r>
      <w:r>
        <w:instrText xml:space="preserve"> XE "attr (Custom XML Attribute)" </w:instrText>
      </w:r>
      <w:r>
        <w:fldChar w:fldCharType="end"/>
      </w:r>
    </w:p>
    <w:p w:rsidR="00024C0A" w:rsidRDefault="00694C0F">
      <w:pPr>
        <w:pStyle w:val="Definition-Field"/>
      </w:pPr>
      <w:r>
        <w:t xml:space="preserve">a.   </w:t>
      </w:r>
      <w:r>
        <w:rPr>
          <w:i/>
        </w:rPr>
        <w:t>The standard states that the values of the name attribute are defin</w:t>
      </w:r>
      <w:r>
        <w:rPr>
          <w:i/>
        </w:rPr>
        <w:t>ed by the ST_String simple type.</w:t>
      </w:r>
    </w:p>
    <w:p w:rsidR="00024C0A" w:rsidRDefault="00694C0F">
      <w:pPr>
        <w:pStyle w:val="Definition-Field2"/>
      </w:pPr>
      <w:r>
        <w:t>Word defines the values of this attribute with the XML Schema NCName datatype, restricting it to a maximum length of 255 characters.</w:t>
      </w:r>
    </w:p>
    <w:p w:rsidR="00024C0A" w:rsidRDefault="00694C0F">
      <w:pPr>
        <w:pStyle w:val="Heading3"/>
      </w:pPr>
      <w:bookmarkStart w:id="389" w:name="section_ea1b29f078d34ebdbc039dfcde093719"/>
      <w:bookmarkStart w:id="390" w:name="_Toc12260255"/>
      <w:r>
        <w:lastRenderedPageBreak/>
        <w:t>Part 1 Section 17.5.1.2, attr (Smart Tag Property)</w:t>
      </w:r>
      <w:bookmarkEnd w:id="389"/>
      <w:bookmarkEnd w:id="390"/>
      <w:r>
        <w:fldChar w:fldCharType="begin"/>
      </w:r>
      <w:r>
        <w:instrText xml:space="preserve"> XE "attr (Smart Tag Property)" </w:instrText>
      </w:r>
      <w:r>
        <w:fldChar w:fldCharType="end"/>
      </w:r>
    </w:p>
    <w:p w:rsidR="00024C0A" w:rsidRDefault="00694C0F">
      <w:pPr>
        <w:pStyle w:val="Definition-Field"/>
      </w:pPr>
      <w:r>
        <w:t xml:space="preserve">a.   </w:t>
      </w:r>
      <w:r>
        <w:rPr>
          <w:i/>
        </w:rPr>
        <w:t>The standard does not place any restrictions on the value of the uri attribute.</w:t>
      </w:r>
    </w:p>
    <w:p w:rsidR="00024C0A" w:rsidRDefault="00694C0F">
      <w:pPr>
        <w:pStyle w:val="Definition-Field2"/>
      </w:pPr>
      <w:r>
        <w:t>Word requires the value of this attribute to be urn:schemas-microsoft-com:office:office.</w:t>
      </w:r>
    </w:p>
    <w:p w:rsidR="00024C0A" w:rsidRDefault="00694C0F">
      <w:pPr>
        <w:pStyle w:val="Heading3"/>
      </w:pPr>
      <w:bookmarkStart w:id="391" w:name="section_fb39493214a94ebcbf3fabfe9d946a61"/>
      <w:bookmarkStart w:id="392" w:name="_Toc12260256"/>
      <w:r>
        <w:t>Part 1 Section 17.5.1.3, customXml (Inline-Level Custom XML Element)</w:t>
      </w:r>
      <w:bookmarkEnd w:id="391"/>
      <w:bookmarkEnd w:id="392"/>
      <w:r>
        <w:fldChar w:fldCharType="begin"/>
      </w:r>
      <w:r>
        <w:instrText xml:space="preserve"> XE "customXml (Inl</w:instrText>
      </w:r>
      <w:r>
        <w:instrText xml:space="preserve">ine-Level Custom XML Element)"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24C0A" w:rsidRDefault="00694C0F">
      <w:pPr>
        <w:pStyle w:val="Definition-Field"/>
      </w:pPr>
      <w:r>
        <w:t xml:space="preserve">a.   </w:t>
      </w:r>
      <w:r>
        <w:rPr>
          <w:i/>
        </w:rPr>
        <w:t xml:space="preserve">The standard allows ins, del, moveTo, and </w:t>
      </w:r>
      <w:r>
        <w:rPr>
          <w:i/>
        </w:rPr>
        <w:t>moveFrom to contain inline customXml.</w:t>
      </w:r>
    </w:p>
    <w:p w:rsidR="00024C0A" w:rsidRDefault="00694C0F">
      <w:pPr>
        <w:pStyle w:val="Definition-Field2"/>
      </w:pPr>
      <w:r>
        <w:t>Word will fail to load a file if ins, del, moveTo, or moveFrom contains inline customXml.</w:t>
      </w:r>
    </w:p>
    <w:p w:rsidR="00024C0A" w:rsidRDefault="00694C0F">
      <w:pPr>
        <w:pStyle w:val="Definition-Field"/>
      </w:pPr>
      <w:r>
        <w:t xml:space="preserve">b.   </w:t>
      </w:r>
      <w:r>
        <w:rPr>
          <w:i/>
        </w:rPr>
        <w:t>The standard states a specific set of parent elements that can contain inline customXml elements.</w:t>
      </w:r>
    </w:p>
    <w:p w:rsidR="00024C0A" w:rsidRDefault="00694C0F">
      <w:pPr>
        <w:pStyle w:val="Definition-Field2"/>
      </w:pPr>
      <w:r>
        <w:t>Word allows the following</w:t>
      </w:r>
      <w:r>
        <w:t xml:space="preserve"> parent elements in addition to those already listed: deg, den, e, fName, lim, num, oMath, sub, and sup.</w:t>
      </w:r>
    </w:p>
    <w:p w:rsidR="00024C0A" w:rsidRDefault="00694C0F">
      <w:pPr>
        <w:pStyle w:val="Definition-Field"/>
      </w:pPr>
      <w:r>
        <w:t xml:space="preserve">c.   </w:t>
      </w:r>
      <w:r>
        <w:rPr>
          <w:i/>
        </w:rPr>
        <w:t>The standard allows any string for the uri attribute.</w:t>
      </w:r>
    </w:p>
    <w:p w:rsidR="00024C0A" w:rsidRDefault="00694C0F">
      <w:pPr>
        <w:pStyle w:val="Definition-Field2"/>
      </w:pPr>
      <w:r>
        <w:t>Word will not open a file if the uri attribute is not declared in an accompanying attachedSc</w:t>
      </w:r>
      <w:r>
        <w:t>hema element.</w:t>
      </w:r>
    </w:p>
    <w:p w:rsidR="00024C0A" w:rsidRDefault="00694C0F">
      <w:pPr>
        <w:pStyle w:val="Definition-Field"/>
      </w:pPr>
      <w:r>
        <w:t xml:space="preserve">d.   </w:t>
      </w:r>
      <w:r>
        <w:rPr>
          <w:i/>
        </w:rPr>
        <w:t>The standard states that the element attribute can contain any string value.</w:t>
      </w:r>
    </w:p>
    <w:p w:rsidR="00024C0A" w:rsidRDefault="00694C0F">
      <w:pPr>
        <w:pStyle w:val="Definition-Field2"/>
      </w:pPr>
      <w:r>
        <w:t>Word only allows values conforming to the XML specification; a string conforming to the definition of xsd:NCName with a length of at most 255 characters.</w:t>
      </w:r>
    </w:p>
    <w:p w:rsidR="00024C0A" w:rsidRDefault="00694C0F">
      <w:pPr>
        <w:pStyle w:val="Heading3"/>
      </w:pPr>
      <w:bookmarkStart w:id="393" w:name="section_d46901cef70f439fbc173f020a8cbb0a"/>
      <w:bookmarkStart w:id="394" w:name="_Toc12260257"/>
      <w:r>
        <w:t>Part 1 Section 17.5.1.4, customXml (Cell-Level Custom XML Element)</w:t>
      </w:r>
      <w:bookmarkEnd w:id="393"/>
      <w:bookmarkEnd w:id="394"/>
      <w:r>
        <w:fldChar w:fldCharType="begin"/>
      </w:r>
      <w:r>
        <w:instrText xml:space="preserve"> XE "customXml (Cell-Level Custom XML Element)"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24C0A" w:rsidRDefault="00694C0F">
      <w:pPr>
        <w:pStyle w:val="Definition-Field"/>
      </w:pPr>
      <w:r>
        <w:t xml:space="preserve">a.   </w:t>
      </w:r>
      <w:r>
        <w:rPr>
          <w:i/>
        </w:rPr>
        <w:t>The standard states that the element attribute can contain any string value.</w:t>
      </w:r>
    </w:p>
    <w:p w:rsidR="00024C0A" w:rsidRDefault="00694C0F">
      <w:pPr>
        <w:pStyle w:val="Definition-Field2"/>
      </w:pPr>
      <w:r>
        <w:t>Word only allows values conforming to the XML spe</w:t>
      </w:r>
      <w:r>
        <w:t>cification; a string conforming to the definition of xsd:NCName with a length of at most 255 characters.</w:t>
      </w:r>
    </w:p>
    <w:p w:rsidR="00024C0A" w:rsidRDefault="00694C0F">
      <w:pPr>
        <w:pStyle w:val="Definition-Field"/>
      </w:pPr>
      <w:r>
        <w:t xml:space="preserve">b.   </w:t>
      </w:r>
      <w:r>
        <w:rPr>
          <w:i/>
        </w:rPr>
        <w:t>The standard states that the uri attribute can contain any string value.</w:t>
      </w:r>
    </w:p>
    <w:p w:rsidR="00024C0A" w:rsidRDefault="00694C0F">
      <w:pPr>
        <w:pStyle w:val="Definition-Field2"/>
      </w:pPr>
      <w:r>
        <w:t>Word requires that the namespace specified in the uri attribute be declar</w:t>
      </w:r>
      <w:r>
        <w:t>ed in an accompanying attachedSchema element.</w:t>
      </w:r>
    </w:p>
    <w:p w:rsidR="00024C0A" w:rsidRDefault="00694C0F">
      <w:pPr>
        <w:pStyle w:val="Heading3"/>
      </w:pPr>
      <w:bookmarkStart w:id="395" w:name="section_3188c7db7968430db14806b88ecc8038"/>
      <w:bookmarkStart w:id="396" w:name="_Toc12260258"/>
      <w:r>
        <w:t>Part 1 Section 17.5.1.5, customXml (Row-Level Custom XML Element)</w:t>
      </w:r>
      <w:bookmarkEnd w:id="395"/>
      <w:bookmarkEnd w:id="396"/>
      <w:r>
        <w:fldChar w:fldCharType="begin"/>
      </w:r>
      <w:r>
        <w:instrText xml:space="preserve"> XE "customXml (Row-Level Custom XML Element)"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24C0A" w:rsidRDefault="00694C0F">
      <w:pPr>
        <w:pStyle w:val="Definition-Field"/>
      </w:pPr>
      <w:r>
        <w:t xml:space="preserve">a.   </w:t>
      </w:r>
      <w:r>
        <w:rPr>
          <w:i/>
        </w:rPr>
        <w:t>The standard states that the element attribute can contain any string value.</w:t>
      </w:r>
    </w:p>
    <w:p w:rsidR="00024C0A" w:rsidRDefault="00694C0F">
      <w:pPr>
        <w:pStyle w:val="Definition-Field2"/>
      </w:pPr>
      <w:r>
        <w:t xml:space="preserve">Word </w:t>
      </w:r>
      <w:r>
        <w:t>only allows values conforming to the XML specification; a string conforming to the definition of xsd:NCName with a length of at most 255 characters.</w:t>
      </w:r>
    </w:p>
    <w:p w:rsidR="00024C0A" w:rsidRDefault="00694C0F">
      <w:pPr>
        <w:pStyle w:val="Heading3"/>
      </w:pPr>
      <w:bookmarkStart w:id="397" w:name="section_cad2d3a17f3446278a9750e04d47fc2f"/>
      <w:bookmarkStart w:id="398" w:name="_Toc12260259"/>
      <w:r>
        <w:t>Part 1 Section 17.5.1.6, customXml (Block-Level Custom XML Element)</w:t>
      </w:r>
      <w:bookmarkEnd w:id="397"/>
      <w:bookmarkEnd w:id="398"/>
      <w:r>
        <w:fldChar w:fldCharType="begin"/>
      </w:r>
      <w:r>
        <w:instrText xml:space="preserve"> XE "customXml (Block-Level Custom XML E</w:instrText>
      </w:r>
      <w:r>
        <w:instrText xml:space="preserve">lement)"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w:t>
        </w:r>
        <w:r>
          <w:rPr>
            <w:rStyle w:val="Hyperlink"/>
          </w:rPr>
          <w:t>ara, §22.1.2.78(c)</w:t>
        </w:r>
      </w:hyperlink>
      <w:r>
        <w:rPr>
          <w:i/>
        </w:rPr>
        <w:t>.</w:t>
      </w:r>
    </w:p>
    <w:p w:rsidR="00024C0A" w:rsidRDefault="00694C0F">
      <w:pPr>
        <w:pStyle w:val="Definition-Field"/>
      </w:pPr>
      <w:r>
        <w:lastRenderedPageBreak/>
        <w:t xml:space="preserve">a.   </w:t>
      </w:r>
      <w:r>
        <w:rPr>
          <w:i/>
        </w:rPr>
        <w:t>The standard states that the element attribute can contain any string value.</w:t>
      </w:r>
    </w:p>
    <w:p w:rsidR="00024C0A" w:rsidRDefault="00694C0F">
      <w:pPr>
        <w:pStyle w:val="Definition-Field2"/>
      </w:pPr>
      <w:r>
        <w:t>Word only allows values conforming to the XML specification: a string conforming to the definition of xsd:NCName with a length of at most 255 characters.</w:t>
      </w:r>
    </w:p>
    <w:p w:rsidR="00024C0A" w:rsidRDefault="00694C0F">
      <w:pPr>
        <w:pStyle w:val="Definition-Field"/>
      </w:pPr>
      <w:r>
        <w:t xml:space="preserve">b.   </w:t>
      </w:r>
      <w:r>
        <w:rPr>
          <w:i/>
        </w:rPr>
        <w:t>The standard allows any string for the uri attribute.</w:t>
      </w:r>
    </w:p>
    <w:p w:rsidR="00024C0A" w:rsidRDefault="00694C0F">
      <w:pPr>
        <w:pStyle w:val="Definition-Field2"/>
      </w:pPr>
      <w:r>
        <w:t>Word will not open a file if the uri attribute is not declared in an accompanying attachedSchema element.</w:t>
      </w:r>
    </w:p>
    <w:p w:rsidR="00024C0A" w:rsidRDefault="00694C0F">
      <w:pPr>
        <w:pStyle w:val="Heading3"/>
      </w:pPr>
      <w:bookmarkStart w:id="399" w:name="section_d7860fab7e4e4c1da712d9d5326bff13"/>
      <w:bookmarkStart w:id="400" w:name="_Toc12260260"/>
      <w:r>
        <w:t>Part 1 Section 17.5.1.9, smartTag (Inline-Level Smart Tag)</w:t>
      </w:r>
      <w:bookmarkEnd w:id="399"/>
      <w:bookmarkEnd w:id="400"/>
      <w:r>
        <w:fldChar w:fldCharType="begin"/>
      </w:r>
      <w:r>
        <w:instrText xml:space="preserve"> XE "smartTag (Inline-Level Smart</w:instrText>
      </w:r>
      <w:r>
        <w:instrText xml:space="preserve"> Tag)"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24C0A" w:rsidRDefault="00694C0F">
      <w:pPr>
        <w:pStyle w:val="Definition-Field"/>
      </w:pPr>
      <w:r>
        <w:t xml:space="preserve">a.   </w:t>
      </w:r>
      <w:r>
        <w:rPr>
          <w:i/>
        </w:rPr>
        <w:t>The standard states that the element attribute can contain any str</w:t>
      </w:r>
      <w:r>
        <w:rPr>
          <w:i/>
        </w:rPr>
        <w:t>ing value.</w:t>
      </w:r>
    </w:p>
    <w:p w:rsidR="00024C0A" w:rsidRDefault="00694C0F">
      <w:pPr>
        <w:pStyle w:val="Definition-Field2"/>
      </w:pPr>
      <w:r>
        <w:t>Word only allows values for this attribute that conform to the xsd:NCName datatype.</w:t>
      </w:r>
    </w:p>
    <w:p w:rsidR="00024C0A" w:rsidRDefault="00694C0F">
      <w:pPr>
        <w:pStyle w:val="Heading3"/>
      </w:pPr>
      <w:bookmarkStart w:id="401" w:name="section_7108b87e0dbb44c79a68e915b14a8392"/>
      <w:bookmarkStart w:id="402" w:name="_Toc12260261"/>
      <w:r>
        <w:t>Part 1 Section 17.5.2.6, dataBinding (XML Mapping)</w:t>
      </w:r>
      <w:bookmarkEnd w:id="401"/>
      <w:bookmarkEnd w:id="402"/>
      <w:r>
        <w:fldChar w:fldCharType="begin"/>
      </w:r>
      <w:r>
        <w:instrText xml:space="preserve"> XE "dataBinding (XML Mapping)" </w:instrText>
      </w:r>
      <w:r>
        <w:fldChar w:fldCharType="end"/>
      </w:r>
    </w:p>
    <w:p w:rsidR="00024C0A" w:rsidRDefault="00694C0F">
      <w:pPr>
        <w:pStyle w:val="Definition-Field"/>
      </w:pPr>
      <w:r>
        <w:t xml:space="preserve">a.   </w:t>
      </w:r>
      <w:r>
        <w:rPr>
          <w:i/>
        </w:rPr>
        <w:t xml:space="preserve">The standard states that if the parent structured document tag is of </w:t>
      </w:r>
      <w:r>
        <w:rPr>
          <w:i/>
        </w:rPr>
        <w:t>type rich text or document part gallery, then this property shall be ignored.</w:t>
      </w:r>
    </w:p>
    <w:p w:rsidR="00024C0A" w:rsidRDefault="00694C0F">
      <w:pPr>
        <w:pStyle w:val="Definition-Field2"/>
      </w:pPr>
      <w:r>
        <w:t>Word ignores the type of the content control and reverts it to plain text if this property is present.</w:t>
      </w:r>
    </w:p>
    <w:p w:rsidR="00024C0A" w:rsidRDefault="00694C0F">
      <w:pPr>
        <w:pStyle w:val="Heading3"/>
      </w:pPr>
      <w:bookmarkStart w:id="403" w:name="section_5869560232ea4f2baca18c805192d742"/>
      <w:bookmarkStart w:id="404" w:name="_Toc12260262"/>
      <w:r>
        <w:t>Part 1 Section 17.5.2.7, date (Date Structured Document Tag)</w:t>
      </w:r>
      <w:bookmarkEnd w:id="403"/>
      <w:bookmarkEnd w:id="404"/>
      <w:r>
        <w:fldChar w:fldCharType="begin"/>
      </w:r>
      <w:r>
        <w:instrText xml:space="preserve"> XE "date (Date Structured Document Tag)" </w:instrText>
      </w:r>
      <w:r>
        <w:fldChar w:fldCharType="end"/>
      </w:r>
    </w:p>
    <w:p w:rsidR="00024C0A" w:rsidRDefault="00694C0F">
      <w:pPr>
        <w:pStyle w:val="Definition-Field"/>
      </w:pPr>
      <w:r>
        <w:t xml:space="preserve">a.   </w:t>
      </w:r>
      <w:r>
        <w:rPr>
          <w:i/>
        </w:rPr>
        <w:t>The standard says a date structured document tag cannot contain more than one table cell and cannot contain a table cell.</w:t>
      </w:r>
    </w:p>
    <w:p w:rsidR="00024C0A" w:rsidRDefault="00694C0F">
      <w:pPr>
        <w:pStyle w:val="Definition-Field2"/>
      </w:pPr>
      <w:r>
        <w:t xml:space="preserve">In Word, a date structured document tag cannot contain more than one table cell and </w:t>
      </w:r>
      <w:r>
        <w:t>cannot contain a table.</w:t>
      </w:r>
    </w:p>
    <w:p w:rsidR="00024C0A" w:rsidRDefault="00694C0F">
      <w:pPr>
        <w:pStyle w:val="Heading3"/>
      </w:pPr>
      <w:bookmarkStart w:id="405" w:name="section_3a5e135e0986496c90a772bf5238d43d"/>
      <w:bookmarkStart w:id="406" w:name="_Toc12260263"/>
      <w:r>
        <w:t>Part 1 Section 17.5.2.9, docPart (Document Part Reference)</w:t>
      </w:r>
      <w:bookmarkEnd w:id="405"/>
      <w:bookmarkEnd w:id="406"/>
      <w:r>
        <w:fldChar w:fldCharType="begin"/>
      </w:r>
      <w:r>
        <w:instrText xml:space="preserve"> XE "docPart (Document Part Reference)" </w:instrText>
      </w:r>
      <w:r>
        <w:fldChar w:fldCharType="end"/>
      </w:r>
    </w:p>
    <w:p w:rsidR="00024C0A" w:rsidRDefault="00694C0F">
      <w:pPr>
        <w:pStyle w:val="Definition-Field"/>
      </w:pPr>
      <w:r>
        <w:t xml:space="preserve">a.   </w:t>
      </w:r>
      <w:r>
        <w:rPr>
          <w:i/>
        </w:rPr>
        <w:t>The standard states that the application shall display the placeholder text of a document part if the parent structured docume</w:t>
      </w:r>
      <w:r>
        <w:rPr>
          <w:i/>
        </w:rPr>
        <w:t>nt tag run contents are empty.</w:t>
      </w:r>
    </w:p>
    <w:p w:rsidR="00024C0A" w:rsidRDefault="00694C0F">
      <w:pPr>
        <w:pStyle w:val="Definition-Field2"/>
      </w:pPr>
      <w:r>
        <w:t>Word does not display the placeholder text until the user clicks in and out of the structured document tag.</w:t>
      </w:r>
    </w:p>
    <w:p w:rsidR="00024C0A" w:rsidRDefault="00694C0F">
      <w:pPr>
        <w:pStyle w:val="Heading3"/>
      </w:pPr>
      <w:bookmarkStart w:id="407" w:name="section_1bc668d079434affb0ab5debbec78e1d"/>
      <w:bookmarkStart w:id="408" w:name="_Toc12260264"/>
      <w:r>
        <w:t>Part 1 Section 17.5.2.18, id (Unique ID)</w:t>
      </w:r>
      <w:bookmarkEnd w:id="407"/>
      <w:bookmarkEnd w:id="408"/>
      <w:r>
        <w:fldChar w:fldCharType="begin"/>
      </w:r>
      <w:r>
        <w:instrText xml:space="preserve"> XE "id (Unique ID)" </w:instrText>
      </w:r>
      <w:r>
        <w:fldChar w:fldCharType="end"/>
      </w:r>
    </w:p>
    <w:p w:rsidR="00024C0A" w:rsidRDefault="00694C0F">
      <w:pPr>
        <w:pStyle w:val="Definition-Field"/>
      </w:pPr>
      <w:r>
        <w:t xml:space="preserve">a.   </w:t>
      </w:r>
      <w:r>
        <w:rPr>
          <w:i/>
        </w:rPr>
        <w:t>The standard states that if multiple SDTs specif</w:t>
      </w:r>
      <w:r>
        <w:rPr>
          <w:i/>
        </w:rPr>
        <w:t>y the same value for id, then the first SDT is maintained, and others get a new ID.</w:t>
      </w:r>
    </w:p>
    <w:p w:rsidR="00024C0A" w:rsidRDefault="00694C0F">
      <w:pPr>
        <w:pStyle w:val="Definition-Field2"/>
      </w:pPr>
      <w:r>
        <w:t>Word discards each SDT completely (leaving its contents) except the last one.</w:t>
      </w:r>
    </w:p>
    <w:p w:rsidR="00024C0A" w:rsidRDefault="00694C0F">
      <w:pPr>
        <w:pStyle w:val="Heading3"/>
      </w:pPr>
      <w:bookmarkStart w:id="409" w:name="section_9105ab06e3984c73a1484b3b02dc0a3f"/>
      <w:bookmarkStart w:id="410" w:name="_Toc12260265"/>
      <w:r>
        <w:t>Part 1 Section 17.5.2.19, label (Structured Document Tag Label)</w:t>
      </w:r>
      <w:bookmarkEnd w:id="409"/>
      <w:bookmarkEnd w:id="410"/>
      <w:r>
        <w:fldChar w:fldCharType="begin"/>
      </w:r>
      <w:r>
        <w:instrText xml:space="preserve"> XE "label (Structured Document</w:instrText>
      </w:r>
      <w:r>
        <w:instrText xml:space="preserve"> Tag Label)" </w:instrText>
      </w:r>
      <w:r>
        <w:fldChar w:fldCharType="end"/>
      </w:r>
    </w:p>
    <w:p w:rsidR="00024C0A" w:rsidRDefault="00694C0F">
      <w:pPr>
        <w:pStyle w:val="Definition-Field"/>
      </w:pPr>
      <w:r>
        <w:t xml:space="preserve">a.   </w:t>
      </w:r>
      <w:r>
        <w:rPr>
          <w:i/>
        </w:rPr>
        <w:t>The standard states that this element specifies a label identifier associated with the current structured document tag.</w:t>
      </w:r>
    </w:p>
    <w:p w:rsidR="00024C0A" w:rsidRDefault="00694C0F">
      <w:pPr>
        <w:pStyle w:val="Definition-Field2"/>
      </w:pPr>
      <w:r>
        <w:t>Word ignores this element.</w:t>
      </w:r>
    </w:p>
    <w:p w:rsidR="00024C0A" w:rsidRDefault="00694C0F">
      <w:pPr>
        <w:pStyle w:val="Heading3"/>
      </w:pPr>
      <w:bookmarkStart w:id="411" w:name="section_1871b640e0af43cd8bb29ac3ed938a57"/>
      <w:bookmarkStart w:id="412" w:name="_Toc12260266"/>
      <w:r>
        <w:lastRenderedPageBreak/>
        <w:t>Part 1 Section 17.5.2.20, lid (Date Picker Language ID)</w:t>
      </w:r>
      <w:bookmarkEnd w:id="411"/>
      <w:bookmarkEnd w:id="412"/>
      <w:r>
        <w:fldChar w:fldCharType="begin"/>
      </w:r>
      <w:r>
        <w:instrText xml:space="preserve"> XE "lid (Date Picker Language ID</w:instrText>
      </w:r>
      <w:r>
        <w:instrText xml:space="preserv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73305a2b02643f9846307203a71f773">
        <w:r>
          <w:rPr>
            <w:rStyle w:val="Hyperlink"/>
          </w:rPr>
          <w:t>lid, §17.14.17(a)</w:t>
        </w:r>
      </w:hyperlink>
      <w:r>
        <w:rPr>
          <w:i/>
        </w:rPr>
        <w:t>.</w:t>
      </w:r>
    </w:p>
    <w:p w:rsidR="00024C0A" w:rsidRDefault="00694C0F">
      <w:pPr>
        <w:pStyle w:val="Heading3"/>
      </w:pPr>
      <w:bookmarkStart w:id="413" w:name="section_99ab35907a1e4b41bb584e0c1c535215"/>
      <w:bookmarkStart w:id="414" w:name="_Toc12260267"/>
      <w:r>
        <w:t>Part 1 Section 17.5.2.25, placeholder (Structured Document Tag Placeholder Tex</w:t>
      </w:r>
      <w:r>
        <w:t>t)</w:t>
      </w:r>
      <w:bookmarkEnd w:id="413"/>
      <w:bookmarkEnd w:id="414"/>
      <w:r>
        <w:fldChar w:fldCharType="begin"/>
      </w:r>
      <w:r>
        <w:instrText xml:space="preserve"> XE "placeholder (Structured Document Tag Placeholder Text)" </w:instrText>
      </w:r>
      <w:r>
        <w:fldChar w:fldCharType="end"/>
      </w:r>
    </w:p>
    <w:p w:rsidR="00024C0A" w:rsidRDefault="00694C0F">
      <w:pPr>
        <w:pStyle w:val="Definition-Field"/>
      </w:pPr>
      <w:r>
        <w:t xml:space="preserve">a.   </w:t>
      </w:r>
      <w:r>
        <w:rPr>
          <w:i/>
        </w:rPr>
        <w:t>The standard states that the placeholder text shall be displayed when the parent structured document tag's run is empty</w:t>
      </w:r>
    </w:p>
    <w:p w:rsidR="00024C0A" w:rsidRDefault="00694C0F">
      <w:pPr>
        <w:pStyle w:val="Definition-Field2"/>
      </w:pPr>
      <w:r>
        <w:t>Application does not show content control nor the placeholder tex</w:t>
      </w:r>
      <w:r>
        <w:t>t</w:t>
      </w:r>
    </w:p>
    <w:p w:rsidR="00024C0A" w:rsidRDefault="00694C0F">
      <w:pPr>
        <w:pStyle w:val="Heading3"/>
      </w:pPr>
      <w:bookmarkStart w:id="415" w:name="section_6bd198dd11e345f39c350fb448216a02"/>
      <w:bookmarkStart w:id="416" w:name="_Toc12260268"/>
      <w:r>
        <w:t>Part 1 Section 17.5.2.27, rPr (Run Properties For Structured Document Tag Contents)</w:t>
      </w:r>
      <w:bookmarkEnd w:id="415"/>
      <w:bookmarkEnd w:id="416"/>
      <w:r>
        <w:fldChar w:fldCharType="begin"/>
      </w:r>
      <w:r>
        <w:instrText xml:space="preserve"> XE "rPr (Run Properties For Structured Document Tag Contents)"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w:t>
      </w:r>
    </w:p>
    <w:p w:rsidR="00024C0A" w:rsidRDefault="00694C0F">
      <w:pPr>
        <w:pStyle w:val="Heading3"/>
      </w:pPr>
      <w:bookmarkStart w:id="417" w:name="section_8099cfe74fb24c51acf499ff0f09a2f4"/>
      <w:bookmarkStart w:id="418" w:name="_Toc12260269"/>
      <w:r>
        <w:t>Part 1 Section 17.5.2.28, rPr (Structured Document Tag End Character Run Properties)</w:t>
      </w:r>
      <w:bookmarkEnd w:id="417"/>
      <w:bookmarkEnd w:id="418"/>
      <w:r>
        <w:fldChar w:fldCharType="begin"/>
      </w:r>
      <w:r>
        <w:instrText xml:space="preserve"> XE "rPr (Structured Document Tag End Character Run Properties)" </w:instrText>
      </w:r>
      <w:r>
        <w:fldChar w:fldCharType="end"/>
      </w:r>
    </w:p>
    <w:p w:rsidR="00024C0A" w:rsidRDefault="00694C0F">
      <w:pPr>
        <w:pStyle w:val="Definition-Field2"/>
      </w:pPr>
      <w:r>
        <w:rPr>
          <w:i/>
        </w:rPr>
        <w:t>For additional notes that apply t</w:t>
      </w:r>
      <w:r>
        <w:rPr>
          <w:i/>
        </w:rPr>
        <w:t xml:space="preserve">o this portion of the standard, please see the notes for </w:t>
      </w:r>
      <w:hyperlink w:anchor="Section_94590ec4e4c14f7ab967abe6bf8658b2">
        <w:r>
          <w:rPr>
            <w:rStyle w:val="Hyperlink"/>
          </w:rPr>
          <w:t>oMath, §17.3.2.22(a)</w:t>
        </w:r>
      </w:hyperlink>
      <w:r>
        <w:rPr>
          <w:i/>
        </w:rPr>
        <w:t>.</w:t>
      </w:r>
    </w:p>
    <w:p w:rsidR="00024C0A" w:rsidRDefault="00694C0F">
      <w:pPr>
        <w:pStyle w:val="Heading3"/>
      </w:pPr>
      <w:bookmarkStart w:id="419" w:name="section_e395604b15d9406089b7acdc18864414"/>
      <w:bookmarkStart w:id="420" w:name="_Toc12260270"/>
      <w:r>
        <w:t>Part 1 Section 17.5.2.30, sdt (Row-Level Structured Document Tag)</w:t>
      </w:r>
      <w:bookmarkEnd w:id="419"/>
      <w:bookmarkEnd w:id="420"/>
      <w:r>
        <w:fldChar w:fldCharType="begin"/>
      </w:r>
      <w:r>
        <w:instrText xml:space="preserve"> XE "sdt (Row-Level Structured Document Tag)" </w:instrText>
      </w:r>
      <w:r>
        <w:fldChar w:fldCharType="end"/>
      </w:r>
    </w:p>
    <w:p w:rsidR="00024C0A" w:rsidRDefault="00694C0F">
      <w:pPr>
        <w:pStyle w:val="Definition-Field"/>
      </w:pPr>
      <w:r>
        <w:t xml:space="preserve">a.   </w:t>
      </w:r>
      <w:r>
        <w:rPr>
          <w:i/>
        </w:rPr>
        <w:t>The standard does not allow range elements as children of the sdt element.</w:t>
      </w:r>
    </w:p>
    <w:p w:rsidR="00024C0A" w:rsidRDefault="00694C0F">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Child Elements</w:t>
            </w:r>
          </w:p>
        </w:tc>
      </w:tr>
      <w:tr w:rsidR="00024C0A" w:rsidTr="00024C0A">
        <w:tc>
          <w:tcPr>
            <w:tcW w:w="0" w:type="auto"/>
            <w:vAlign w:val="center"/>
          </w:tcPr>
          <w:p w:rsidR="00024C0A" w:rsidRDefault="00694C0F">
            <w:pPr>
              <w:pStyle w:val="TableBodyText"/>
            </w:pPr>
            <w:r>
              <w:rPr>
                <w:b/>
              </w:rPr>
              <w:t>bookmarkEnd</w:t>
            </w:r>
            <w:r>
              <w:t xml:space="preserve"> ("</w:t>
            </w:r>
            <w:hyperlink r:id="rId87">
              <w:r>
                <w:rPr>
                  <w:rStyle w:val="Hyperlink"/>
                </w:rPr>
                <w:t>[ISO/IEC-29500-1]</w:t>
              </w:r>
            </w:hyperlink>
            <w:r>
              <w:t xml:space="preserve"> §17.13.6.1; bookmarkEnd")</w:t>
            </w:r>
          </w:p>
        </w:tc>
      </w:tr>
      <w:tr w:rsidR="00024C0A" w:rsidTr="00024C0A">
        <w:tc>
          <w:tcPr>
            <w:tcW w:w="0" w:type="auto"/>
            <w:vAlign w:val="center"/>
          </w:tcPr>
          <w:p w:rsidR="00024C0A" w:rsidRDefault="00694C0F">
            <w:pPr>
              <w:pStyle w:val="TableBodyText"/>
            </w:pPr>
            <w:r>
              <w:rPr>
                <w:b/>
              </w:rPr>
              <w:t>bookmarkStart</w:t>
            </w:r>
            <w:r>
              <w:t xml:space="preserve"> ("[ISO/IEC-29500-1] §17.13.6.2; bookmarkStart")</w:t>
            </w:r>
          </w:p>
        </w:tc>
      </w:tr>
      <w:tr w:rsidR="00024C0A" w:rsidTr="00024C0A">
        <w:tc>
          <w:tcPr>
            <w:tcW w:w="0" w:type="auto"/>
            <w:vAlign w:val="center"/>
          </w:tcPr>
          <w:p w:rsidR="00024C0A" w:rsidRDefault="00694C0F">
            <w:pPr>
              <w:pStyle w:val="TableBodyText"/>
            </w:pPr>
            <w:r>
              <w:rPr>
                <w:b/>
              </w:rPr>
              <w:t>commentRangeEnd</w:t>
            </w:r>
            <w:r>
              <w:t xml:space="preserve"> ("[ISO/IEC-29500-1] §17.13.4.3; commentRangeEnd")</w:t>
            </w:r>
          </w:p>
        </w:tc>
      </w:tr>
      <w:tr w:rsidR="00024C0A" w:rsidTr="00024C0A">
        <w:tc>
          <w:tcPr>
            <w:tcW w:w="0" w:type="auto"/>
            <w:vAlign w:val="center"/>
          </w:tcPr>
          <w:p w:rsidR="00024C0A" w:rsidRDefault="00694C0F">
            <w:pPr>
              <w:pStyle w:val="TableBodyText"/>
            </w:pPr>
            <w:r>
              <w:rPr>
                <w:b/>
              </w:rPr>
              <w:t>commentRangeStart</w:t>
            </w:r>
            <w:r>
              <w:t xml:space="preserve"> ("[ISO/IEC-29500-1] §17.13.4.4; commentRangeStart")</w:t>
            </w:r>
          </w:p>
        </w:tc>
      </w:tr>
      <w:tr w:rsidR="00024C0A" w:rsidTr="00024C0A">
        <w:tc>
          <w:tcPr>
            <w:tcW w:w="0" w:type="auto"/>
            <w:vAlign w:val="center"/>
          </w:tcPr>
          <w:p w:rsidR="00024C0A" w:rsidRDefault="00694C0F">
            <w:pPr>
              <w:pStyle w:val="TableBodyText"/>
            </w:pPr>
            <w:r>
              <w:rPr>
                <w:b/>
              </w:rPr>
              <w:t>customXmlDelRangeEnd</w:t>
            </w:r>
            <w:r>
              <w:t xml:space="preserve"> ("[ISO/IEC-29500-1] §17.13.5.4; customXmlDelRangeEnd")</w:t>
            </w:r>
          </w:p>
        </w:tc>
      </w:tr>
      <w:tr w:rsidR="00024C0A" w:rsidTr="00024C0A">
        <w:tc>
          <w:tcPr>
            <w:tcW w:w="0" w:type="auto"/>
            <w:vAlign w:val="center"/>
          </w:tcPr>
          <w:p w:rsidR="00024C0A" w:rsidRDefault="00694C0F">
            <w:pPr>
              <w:pStyle w:val="TableBodyText"/>
            </w:pPr>
            <w:r>
              <w:rPr>
                <w:b/>
              </w:rPr>
              <w:t>customXmlDelRangeStart</w:t>
            </w:r>
            <w:r>
              <w:t xml:space="preserve"> ("[ISO/IEC-29500-1] §17.13.5.5; customXmlDelRangeStart")</w:t>
            </w:r>
          </w:p>
        </w:tc>
      </w:tr>
      <w:tr w:rsidR="00024C0A" w:rsidTr="00024C0A">
        <w:tc>
          <w:tcPr>
            <w:tcW w:w="0" w:type="auto"/>
            <w:vAlign w:val="center"/>
          </w:tcPr>
          <w:p w:rsidR="00024C0A" w:rsidRDefault="00694C0F">
            <w:pPr>
              <w:pStyle w:val="TableBodyText"/>
            </w:pPr>
            <w:r>
              <w:rPr>
                <w:b/>
              </w:rPr>
              <w:t>customXmlInsRangeEnd</w:t>
            </w:r>
            <w:r>
              <w:t xml:space="preserve"> ("[ISO/IEC-29500-1] §17</w:t>
            </w:r>
            <w:r>
              <w:t>.13.5.6; customXmlInsRangeEnd")</w:t>
            </w:r>
          </w:p>
        </w:tc>
      </w:tr>
      <w:tr w:rsidR="00024C0A" w:rsidTr="00024C0A">
        <w:tc>
          <w:tcPr>
            <w:tcW w:w="0" w:type="auto"/>
            <w:vAlign w:val="center"/>
          </w:tcPr>
          <w:p w:rsidR="00024C0A" w:rsidRDefault="00694C0F">
            <w:pPr>
              <w:pStyle w:val="TableBodyText"/>
            </w:pPr>
            <w:r>
              <w:rPr>
                <w:b/>
              </w:rPr>
              <w:t>customXmlInsRangeStart</w:t>
            </w:r>
            <w:r>
              <w:t xml:space="preserve"> ("[ISO/IEC-29500-1] §17.13.5.7; customXmlInsRangeStart")</w:t>
            </w:r>
          </w:p>
        </w:tc>
      </w:tr>
      <w:tr w:rsidR="00024C0A" w:rsidTr="00024C0A">
        <w:tc>
          <w:tcPr>
            <w:tcW w:w="0" w:type="auto"/>
            <w:vAlign w:val="center"/>
          </w:tcPr>
          <w:p w:rsidR="00024C0A" w:rsidRDefault="00694C0F">
            <w:pPr>
              <w:pStyle w:val="TableBodyText"/>
            </w:pPr>
            <w:r>
              <w:rPr>
                <w:b/>
              </w:rPr>
              <w:t>customXmlMoveFromRangeEnd</w:t>
            </w:r>
            <w:r>
              <w:t xml:space="preserve"> ("[ISO/IEC-29500-1] §17.13.5.8; customXmlMoveFromRangeEnd")</w:t>
            </w:r>
          </w:p>
        </w:tc>
      </w:tr>
      <w:tr w:rsidR="00024C0A" w:rsidTr="00024C0A">
        <w:tc>
          <w:tcPr>
            <w:tcW w:w="0" w:type="auto"/>
            <w:vAlign w:val="center"/>
          </w:tcPr>
          <w:p w:rsidR="00024C0A" w:rsidRDefault="00694C0F">
            <w:pPr>
              <w:pStyle w:val="TableBodyText"/>
            </w:pPr>
            <w:r>
              <w:rPr>
                <w:b/>
              </w:rPr>
              <w:t>customXmlMoveFromRangeStart</w:t>
            </w:r>
            <w:r>
              <w:t xml:space="preserve"> ("[ISO/IEC-29500-1]</w:t>
            </w:r>
            <w:r>
              <w:t xml:space="preserve"> §17.13.5.9; customXmlMoveFromRangeStart")</w:t>
            </w:r>
          </w:p>
        </w:tc>
      </w:tr>
      <w:tr w:rsidR="00024C0A" w:rsidTr="00024C0A">
        <w:tc>
          <w:tcPr>
            <w:tcW w:w="0" w:type="auto"/>
            <w:vAlign w:val="center"/>
          </w:tcPr>
          <w:p w:rsidR="00024C0A" w:rsidRDefault="00694C0F">
            <w:pPr>
              <w:pStyle w:val="TableBodyText"/>
            </w:pPr>
            <w:r>
              <w:rPr>
                <w:b/>
              </w:rPr>
              <w:t>customXmlMoveToRangeEnd</w:t>
            </w:r>
            <w:r>
              <w:t xml:space="preserve"> ("[ISO/IEC-29500-1] §17.13.5.10; customXmlMoveToRangeEnd")</w:t>
            </w:r>
          </w:p>
        </w:tc>
      </w:tr>
      <w:tr w:rsidR="00024C0A" w:rsidTr="00024C0A">
        <w:tc>
          <w:tcPr>
            <w:tcW w:w="0" w:type="auto"/>
            <w:vAlign w:val="center"/>
          </w:tcPr>
          <w:p w:rsidR="00024C0A" w:rsidRDefault="00694C0F">
            <w:pPr>
              <w:pStyle w:val="TableBodyText"/>
            </w:pPr>
            <w:r>
              <w:rPr>
                <w:b/>
              </w:rPr>
              <w:t>customXmlMoveToRangeStart</w:t>
            </w:r>
            <w:r>
              <w:t xml:space="preserve"> ("[ISO/IEC-29500-1] §17.13.5.11; customXmlMoveToRangeStart")</w:t>
            </w:r>
          </w:p>
        </w:tc>
      </w:tr>
      <w:tr w:rsidR="00024C0A" w:rsidTr="00024C0A">
        <w:tc>
          <w:tcPr>
            <w:tcW w:w="0" w:type="auto"/>
            <w:vAlign w:val="center"/>
          </w:tcPr>
          <w:p w:rsidR="00024C0A" w:rsidRDefault="00694C0F">
            <w:pPr>
              <w:pStyle w:val="TableBodyText"/>
            </w:pPr>
            <w:r>
              <w:rPr>
                <w:b/>
              </w:rPr>
              <w:t>moveFromRangeEnd</w:t>
            </w:r>
            <w:r>
              <w:t xml:space="preserve"> ("[ISO/IEC-29500-1] §17</w:t>
            </w:r>
            <w:r>
              <w:t>.13.5.23; moveFromRangeEnd")</w:t>
            </w:r>
          </w:p>
        </w:tc>
      </w:tr>
      <w:tr w:rsidR="00024C0A" w:rsidTr="00024C0A">
        <w:tc>
          <w:tcPr>
            <w:tcW w:w="0" w:type="auto"/>
            <w:vAlign w:val="center"/>
          </w:tcPr>
          <w:p w:rsidR="00024C0A" w:rsidRDefault="00694C0F">
            <w:pPr>
              <w:pStyle w:val="TableBodyText"/>
            </w:pPr>
            <w:r>
              <w:rPr>
                <w:b/>
              </w:rPr>
              <w:lastRenderedPageBreak/>
              <w:t>moveFromRangeStart</w:t>
            </w:r>
            <w:r>
              <w:t xml:space="preserve"> ("[ISO/IEC-29500-1] §17.13.5.24; moveFromRangeStart")</w:t>
            </w:r>
          </w:p>
        </w:tc>
      </w:tr>
      <w:tr w:rsidR="00024C0A" w:rsidTr="00024C0A">
        <w:tc>
          <w:tcPr>
            <w:tcW w:w="0" w:type="auto"/>
            <w:vAlign w:val="center"/>
          </w:tcPr>
          <w:p w:rsidR="00024C0A" w:rsidRDefault="00694C0F">
            <w:pPr>
              <w:pStyle w:val="TableBodyText"/>
            </w:pPr>
            <w:r>
              <w:rPr>
                <w:b/>
              </w:rPr>
              <w:t>moveToRangeEnd</w:t>
            </w:r>
            <w:r>
              <w:t xml:space="preserve"> ("[ISO/IEC-29500-1] §17.13.5.27; moveToRangeEnd")</w:t>
            </w:r>
          </w:p>
        </w:tc>
      </w:tr>
      <w:tr w:rsidR="00024C0A" w:rsidTr="00024C0A">
        <w:tc>
          <w:tcPr>
            <w:tcW w:w="0" w:type="auto"/>
            <w:vAlign w:val="center"/>
          </w:tcPr>
          <w:p w:rsidR="00024C0A" w:rsidRDefault="00694C0F">
            <w:pPr>
              <w:pStyle w:val="TableBodyText"/>
            </w:pPr>
            <w:r>
              <w:rPr>
                <w:b/>
              </w:rPr>
              <w:t>moveToRangeStart</w:t>
            </w:r>
            <w:r>
              <w:t xml:space="preserve"> ("[ISO/IEC-29500-1] §17.13.5.28; moveToRangeStart")</w:t>
            </w:r>
          </w:p>
        </w:tc>
      </w:tr>
    </w:tbl>
    <w:p w:rsidR="00024C0A" w:rsidRDefault="00024C0A"/>
    <w:p w:rsidR="00024C0A" w:rsidRDefault="00694C0F">
      <w:pPr>
        <w:pStyle w:val="Heading3"/>
      </w:pPr>
      <w:bookmarkStart w:id="421" w:name="section_85def6dbd37f460ea39e7417858aec50"/>
      <w:bookmarkStart w:id="422" w:name="_Toc12260271"/>
      <w:r>
        <w:t xml:space="preserve">Part 1 Section </w:t>
      </w:r>
      <w:r>
        <w:t>17.5.2.31, sdt (Inline-Level Structured Document Tag)</w:t>
      </w:r>
      <w:bookmarkEnd w:id="421"/>
      <w:bookmarkEnd w:id="422"/>
      <w:r>
        <w:fldChar w:fldCharType="begin"/>
      </w:r>
      <w:r>
        <w:instrText xml:space="preserve"> XE "sdt (Inline-Level Structured Document Tag)"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24C0A" w:rsidRDefault="00694C0F">
      <w:pPr>
        <w:pStyle w:val="Definition-Field"/>
      </w:pPr>
      <w:r>
        <w:t xml:space="preserve">a.   </w:t>
      </w:r>
      <w:r>
        <w:rPr>
          <w:i/>
        </w:rPr>
        <w:t>The standard does not allow range elements as children of the sdt element.</w:t>
      </w:r>
    </w:p>
    <w:p w:rsidR="00024C0A" w:rsidRDefault="00694C0F">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Child Elements</w:t>
            </w:r>
          </w:p>
        </w:tc>
      </w:tr>
      <w:tr w:rsidR="00024C0A" w:rsidTr="00024C0A">
        <w:tc>
          <w:tcPr>
            <w:tcW w:w="0" w:type="auto"/>
            <w:vAlign w:val="center"/>
          </w:tcPr>
          <w:p w:rsidR="00024C0A" w:rsidRDefault="00694C0F">
            <w:pPr>
              <w:pStyle w:val="TableBodyText"/>
            </w:pPr>
            <w:r>
              <w:rPr>
                <w:b/>
              </w:rPr>
              <w:t>bookmarkEnd</w:t>
            </w:r>
            <w:r>
              <w:t xml:space="preserve"> ("</w:t>
            </w:r>
            <w:hyperlink r:id="rId88">
              <w:r>
                <w:rPr>
                  <w:rStyle w:val="Hyperlink"/>
                </w:rPr>
                <w:t>[ISO/IEC-29500-1]</w:t>
              </w:r>
            </w:hyperlink>
            <w:r>
              <w:t xml:space="preserve"> §17.13.6.1; bookmarkEnd")</w:t>
            </w:r>
          </w:p>
        </w:tc>
      </w:tr>
      <w:tr w:rsidR="00024C0A" w:rsidTr="00024C0A">
        <w:tc>
          <w:tcPr>
            <w:tcW w:w="0" w:type="auto"/>
            <w:vAlign w:val="center"/>
          </w:tcPr>
          <w:p w:rsidR="00024C0A" w:rsidRDefault="00694C0F">
            <w:pPr>
              <w:pStyle w:val="TableBodyText"/>
            </w:pPr>
            <w:r>
              <w:rPr>
                <w:b/>
              </w:rPr>
              <w:t>bookmarkStart</w:t>
            </w:r>
            <w:r>
              <w:t xml:space="preserve"> ("[ISO/IEC-29500-1] §17.13.6.2; bookmarkStart")</w:t>
            </w:r>
          </w:p>
        </w:tc>
      </w:tr>
      <w:tr w:rsidR="00024C0A" w:rsidTr="00024C0A">
        <w:tc>
          <w:tcPr>
            <w:tcW w:w="0" w:type="auto"/>
            <w:vAlign w:val="center"/>
          </w:tcPr>
          <w:p w:rsidR="00024C0A" w:rsidRDefault="00694C0F">
            <w:pPr>
              <w:pStyle w:val="TableBodyText"/>
            </w:pPr>
            <w:r>
              <w:rPr>
                <w:b/>
              </w:rPr>
              <w:t>commentRangeEnd</w:t>
            </w:r>
            <w:r>
              <w:t xml:space="preserve"> ("[ISO/IEC-29500-1] §17.13.4.3; commentRangeEnd")</w:t>
            </w:r>
          </w:p>
        </w:tc>
      </w:tr>
      <w:tr w:rsidR="00024C0A" w:rsidTr="00024C0A">
        <w:tc>
          <w:tcPr>
            <w:tcW w:w="0" w:type="auto"/>
            <w:vAlign w:val="center"/>
          </w:tcPr>
          <w:p w:rsidR="00024C0A" w:rsidRDefault="00694C0F">
            <w:pPr>
              <w:pStyle w:val="TableBodyText"/>
            </w:pPr>
            <w:r>
              <w:rPr>
                <w:b/>
              </w:rPr>
              <w:t>commentRangeStart</w:t>
            </w:r>
            <w:r>
              <w:t xml:space="preserve"> ("[ISO/IEC-29500-1] §17.13.4.4; commentRangeStart")</w:t>
            </w:r>
          </w:p>
        </w:tc>
      </w:tr>
      <w:tr w:rsidR="00024C0A" w:rsidTr="00024C0A">
        <w:tc>
          <w:tcPr>
            <w:tcW w:w="0" w:type="auto"/>
            <w:vAlign w:val="center"/>
          </w:tcPr>
          <w:p w:rsidR="00024C0A" w:rsidRDefault="00694C0F">
            <w:pPr>
              <w:pStyle w:val="TableBodyText"/>
            </w:pPr>
            <w:r>
              <w:rPr>
                <w:b/>
              </w:rPr>
              <w:t>customXmlDelRangeEnd</w:t>
            </w:r>
            <w:r>
              <w:t xml:space="preserve"> ("[ISO/IEC-29500-1] §17.13.5.4; customXmlDelRangeEnd")</w:t>
            </w:r>
          </w:p>
        </w:tc>
      </w:tr>
      <w:tr w:rsidR="00024C0A" w:rsidTr="00024C0A">
        <w:tc>
          <w:tcPr>
            <w:tcW w:w="0" w:type="auto"/>
            <w:vAlign w:val="center"/>
          </w:tcPr>
          <w:p w:rsidR="00024C0A" w:rsidRDefault="00694C0F">
            <w:pPr>
              <w:pStyle w:val="TableBodyText"/>
            </w:pPr>
            <w:r>
              <w:rPr>
                <w:b/>
              </w:rPr>
              <w:t>customXmlDelRangeStart</w:t>
            </w:r>
            <w:r>
              <w:t xml:space="preserve"> ("[ISO/IEC-29500-1] §17.13.5.5; customXmlDelRangeStart")</w:t>
            </w:r>
          </w:p>
        </w:tc>
      </w:tr>
      <w:tr w:rsidR="00024C0A" w:rsidTr="00024C0A">
        <w:tc>
          <w:tcPr>
            <w:tcW w:w="0" w:type="auto"/>
            <w:vAlign w:val="center"/>
          </w:tcPr>
          <w:p w:rsidR="00024C0A" w:rsidRDefault="00694C0F">
            <w:pPr>
              <w:pStyle w:val="TableBodyText"/>
            </w:pPr>
            <w:r>
              <w:rPr>
                <w:b/>
              </w:rPr>
              <w:t>customXmlInsRangeEnd</w:t>
            </w:r>
            <w:r>
              <w:t xml:space="preserve"> ("[ISO/IEC-29500-1] §17</w:t>
            </w:r>
            <w:r>
              <w:t>.13.5.6; customXmlInsRangeEnd")</w:t>
            </w:r>
          </w:p>
        </w:tc>
      </w:tr>
      <w:tr w:rsidR="00024C0A" w:rsidTr="00024C0A">
        <w:tc>
          <w:tcPr>
            <w:tcW w:w="0" w:type="auto"/>
            <w:vAlign w:val="center"/>
          </w:tcPr>
          <w:p w:rsidR="00024C0A" w:rsidRDefault="00694C0F">
            <w:pPr>
              <w:pStyle w:val="TableBodyText"/>
            </w:pPr>
            <w:r>
              <w:rPr>
                <w:b/>
              </w:rPr>
              <w:t>customXmlInsRangeStart</w:t>
            </w:r>
            <w:r>
              <w:t xml:space="preserve"> ("[ISO/IEC-29500-1] §17.13.5.7; customXmlInsRangeStart")</w:t>
            </w:r>
          </w:p>
        </w:tc>
      </w:tr>
      <w:tr w:rsidR="00024C0A" w:rsidTr="00024C0A">
        <w:tc>
          <w:tcPr>
            <w:tcW w:w="0" w:type="auto"/>
            <w:vAlign w:val="center"/>
          </w:tcPr>
          <w:p w:rsidR="00024C0A" w:rsidRDefault="00694C0F">
            <w:pPr>
              <w:pStyle w:val="TableBodyText"/>
            </w:pPr>
            <w:r>
              <w:rPr>
                <w:b/>
              </w:rPr>
              <w:t>customXmlMoveFromRangeEnd</w:t>
            </w:r>
            <w:r>
              <w:t xml:space="preserve"> ("[ISO/IEC-29500-1] §17.13.5.8; customXmlMoveFromRangeEnd")</w:t>
            </w:r>
          </w:p>
        </w:tc>
      </w:tr>
      <w:tr w:rsidR="00024C0A" w:rsidTr="00024C0A">
        <w:tc>
          <w:tcPr>
            <w:tcW w:w="0" w:type="auto"/>
            <w:vAlign w:val="center"/>
          </w:tcPr>
          <w:p w:rsidR="00024C0A" w:rsidRDefault="00694C0F">
            <w:pPr>
              <w:pStyle w:val="TableBodyText"/>
            </w:pPr>
            <w:r>
              <w:rPr>
                <w:b/>
              </w:rPr>
              <w:t>customXmlMoveFromRangeStart</w:t>
            </w:r>
            <w:r>
              <w:t xml:space="preserve"> ("[ISO/IEC-29500-1] §17.13.</w:t>
            </w:r>
            <w:r>
              <w:t>5.9; customXmlMoveFromRangeStart")</w:t>
            </w:r>
          </w:p>
        </w:tc>
      </w:tr>
      <w:tr w:rsidR="00024C0A" w:rsidTr="00024C0A">
        <w:tc>
          <w:tcPr>
            <w:tcW w:w="0" w:type="auto"/>
            <w:vAlign w:val="center"/>
          </w:tcPr>
          <w:p w:rsidR="00024C0A" w:rsidRDefault="00694C0F">
            <w:pPr>
              <w:pStyle w:val="TableBodyText"/>
            </w:pPr>
            <w:r>
              <w:rPr>
                <w:b/>
              </w:rPr>
              <w:t>customXmlMoveToRangeEnd</w:t>
            </w:r>
            <w:r>
              <w:t xml:space="preserve"> ("[ISO/IEC-29500-1] §17.13.5.10; customXmlMoveToRangeEnd")</w:t>
            </w:r>
          </w:p>
        </w:tc>
      </w:tr>
      <w:tr w:rsidR="00024C0A" w:rsidTr="00024C0A">
        <w:tc>
          <w:tcPr>
            <w:tcW w:w="0" w:type="auto"/>
            <w:vAlign w:val="center"/>
          </w:tcPr>
          <w:p w:rsidR="00024C0A" w:rsidRDefault="00694C0F">
            <w:pPr>
              <w:pStyle w:val="TableBodyText"/>
            </w:pPr>
            <w:r>
              <w:rPr>
                <w:b/>
              </w:rPr>
              <w:t>customXmlMoveToRangeStart</w:t>
            </w:r>
            <w:r>
              <w:t xml:space="preserve"> ("[ISO/IEC-29500-1] §17.13.5.11; customXmlMoveToRangeStart")</w:t>
            </w:r>
          </w:p>
        </w:tc>
      </w:tr>
      <w:tr w:rsidR="00024C0A" w:rsidTr="00024C0A">
        <w:tc>
          <w:tcPr>
            <w:tcW w:w="0" w:type="auto"/>
            <w:vAlign w:val="center"/>
          </w:tcPr>
          <w:p w:rsidR="00024C0A" w:rsidRDefault="00694C0F">
            <w:pPr>
              <w:pStyle w:val="TableBodyText"/>
            </w:pPr>
            <w:r>
              <w:rPr>
                <w:b/>
              </w:rPr>
              <w:t>moveFromRangeEnd</w:t>
            </w:r>
            <w:r>
              <w:t xml:space="preserve"> ("[ISO/IEC-29500-1]</w:t>
            </w:r>
            <w:r>
              <w:t xml:space="preserve"> §17.13.5.23; moveFromRangeEnd")</w:t>
            </w:r>
          </w:p>
        </w:tc>
      </w:tr>
      <w:tr w:rsidR="00024C0A" w:rsidTr="00024C0A">
        <w:tc>
          <w:tcPr>
            <w:tcW w:w="0" w:type="auto"/>
            <w:vAlign w:val="center"/>
          </w:tcPr>
          <w:p w:rsidR="00024C0A" w:rsidRDefault="00694C0F">
            <w:pPr>
              <w:pStyle w:val="TableBodyText"/>
            </w:pPr>
            <w:r>
              <w:rPr>
                <w:b/>
              </w:rPr>
              <w:t>moveFromRangeStart</w:t>
            </w:r>
            <w:r>
              <w:t xml:space="preserve"> ("[ISO/IEC-29500-1] §17.13.5.24; moveFromRangeStart")</w:t>
            </w:r>
          </w:p>
        </w:tc>
      </w:tr>
      <w:tr w:rsidR="00024C0A" w:rsidTr="00024C0A">
        <w:tc>
          <w:tcPr>
            <w:tcW w:w="0" w:type="auto"/>
            <w:vAlign w:val="center"/>
          </w:tcPr>
          <w:p w:rsidR="00024C0A" w:rsidRDefault="00694C0F">
            <w:pPr>
              <w:pStyle w:val="TableBodyText"/>
            </w:pPr>
            <w:r>
              <w:rPr>
                <w:b/>
              </w:rPr>
              <w:t>moveToRangeEnd</w:t>
            </w:r>
            <w:r>
              <w:t xml:space="preserve"> ("[ISO/IEC-29500-1] §17.13.5.27; moveToRangeEnd")</w:t>
            </w:r>
          </w:p>
        </w:tc>
      </w:tr>
      <w:tr w:rsidR="00024C0A" w:rsidTr="00024C0A">
        <w:tc>
          <w:tcPr>
            <w:tcW w:w="0" w:type="auto"/>
            <w:vAlign w:val="center"/>
          </w:tcPr>
          <w:p w:rsidR="00024C0A" w:rsidRDefault="00694C0F">
            <w:pPr>
              <w:pStyle w:val="TableBodyText"/>
            </w:pPr>
            <w:r>
              <w:rPr>
                <w:b/>
              </w:rPr>
              <w:t>moveToRangeStart</w:t>
            </w:r>
            <w:r>
              <w:t xml:space="preserve"> ("[ISO/IEC-29500-1] §17.13.5.28; moveToRangeStart")</w:t>
            </w:r>
          </w:p>
        </w:tc>
      </w:tr>
    </w:tbl>
    <w:p w:rsidR="00024C0A" w:rsidRDefault="00024C0A"/>
    <w:p w:rsidR="00024C0A" w:rsidRDefault="00694C0F">
      <w:pPr>
        <w:pStyle w:val="Heading3"/>
      </w:pPr>
      <w:bookmarkStart w:id="423" w:name="section_4232a2561a874a59af30a23a5f2d3e59"/>
      <w:bookmarkStart w:id="424" w:name="_Toc12260272"/>
      <w:r>
        <w:t>Part 1 Sect</w:t>
      </w:r>
      <w:r>
        <w:t>ion 17.5.2.32, sdt (Cell-Level Structured Document Tag)</w:t>
      </w:r>
      <w:bookmarkEnd w:id="423"/>
      <w:bookmarkEnd w:id="424"/>
      <w:r>
        <w:fldChar w:fldCharType="begin"/>
      </w:r>
      <w:r>
        <w:instrText xml:space="preserve"> XE "sdt (Cell-Level Structured Document Tag)" </w:instrText>
      </w:r>
      <w:r>
        <w:fldChar w:fldCharType="end"/>
      </w:r>
    </w:p>
    <w:p w:rsidR="00024C0A" w:rsidRDefault="00694C0F">
      <w:pPr>
        <w:pStyle w:val="Definition-Field"/>
      </w:pPr>
      <w:r>
        <w:t xml:space="preserve">a.   </w:t>
      </w:r>
      <w:r>
        <w:rPr>
          <w:i/>
        </w:rPr>
        <w:t>The standard does not allow range elements as children of the sdt element.</w:t>
      </w:r>
    </w:p>
    <w:p w:rsidR="00024C0A" w:rsidRDefault="00694C0F">
      <w:r>
        <w:t xml:space="preserve">Word allows the following additional elements as child elements of the </w:t>
      </w:r>
      <w:r>
        <w:t>sdt element:</w:t>
      </w:r>
    </w:p>
    <w:tbl>
      <w:tblPr>
        <w:tblStyle w:val="Table-ShadedHeader"/>
        <w:tblW w:w="0" w:type="auto"/>
        <w:tblLook w:val="04A0" w:firstRow="1" w:lastRow="0" w:firstColumn="1" w:lastColumn="0" w:noHBand="0" w:noVBand="1"/>
      </w:tblPr>
      <w:tblGrid>
        <w:gridCol w:w="8784"/>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lastRenderedPageBreak/>
              <w:t>Child Elements</w:t>
            </w:r>
          </w:p>
        </w:tc>
      </w:tr>
      <w:tr w:rsidR="00024C0A" w:rsidTr="00024C0A">
        <w:tc>
          <w:tcPr>
            <w:tcW w:w="0" w:type="auto"/>
            <w:vAlign w:val="center"/>
          </w:tcPr>
          <w:p w:rsidR="00024C0A" w:rsidRDefault="00694C0F">
            <w:pPr>
              <w:pStyle w:val="TableBodyText"/>
            </w:pPr>
            <w:r>
              <w:rPr>
                <w:b/>
              </w:rPr>
              <w:t>bookmarkEnd</w:t>
            </w:r>
            <w:r>
              <w:t xml:space="preserve"> ("</w:t>
            </w:r>
            <w:hyperlink r:id="rId89">
              <w:r>
                <w:rPr>
                  <w:rStyle w:val="Hyperlink"/>
                </w:rPr>
                <w:t>[ISO/IEC-29500-1]</w:t>
              </w:r>
            </w:hyperlink>
            <w:r>
              <w:t xml:space="preserve"> §17.13.6.1; bookmarkEnd")</w:t>
            </w:r>
          </w:p>
        </w:tc>
      </w:tr>
      <w:tr w:rsidR="00024C0A" w:rsidTr="00024C0A">
        <w:tc>
          <w:tcPr>
            <w:tcW w:w="0" w:type="auto"/>
            <w:vAlign w:val="center"/>
          </w:tcPr>
          <w:p w:rsidR="00024C0A" w:rsidRDefault="00694C0F">
            <w:pPr>
              <w:pStyle w:val="TableBodyText"/>
            </w:pPr>
            <w:r>
              <w:rPr>
                <w:b/>
              </w:rPr>
              <w:t>bookmarkStart</w:t>
            </w:r>
            <w:r>
              <w:t xml:space="preserve"> ("[ISO/IEC-29500-1] §17.13.6.2; bookmarkStart")</w:t>
            </w:r>
          </w:p>
        </w:tc>
      </w:tr>
      <w:tr w:rsidR="00024C0A" w:rsidTr="00024C0A">
        <w:tc>
          <w:tcPr>
            <w:tcW w:w="0" w:type="auto"/>
            <w:vAlign w:val="center"/>
          </w:tcPr>
          <w:p w:rsidR="00024C0A" w:rsidRDefault="00694C0F">
            <w:pPr>
              <w:pStyle w:val="TableBodyText"/>
            </w:pPr>
            <w:r>
              <w:rPr>
                <w:b/>
              </w:rPr>
              <w:t>commentRangeEnd</w:t>
            </w:r>
            <w:r>
              <w:t xml:space="preserve"> ("[ISO/IEC-29500-1]</w:t>
            </w:r>
            <w:r>
              <w:t xml:space="preserve"> §17.13.4.3; commentRangeEnd")</w:t>
            </w:r>
          </w:p>
        </w:tc>
      </w:tr>
      <w:tr w:rsidR="00024C0A" w:rsidTr="00024C0A">
        <w:tc>
          <w:tcPr>
            <w:tcW w:w="0" w:type="auto"/>
            <w:vAlign w:val="center"/>
          </w:tcPr>
          <w:p w:rsidR="00024C0A" w:rsidRDefault="00694C0F">
            <w:pPr>
              <w:pStyle w:val="TableBodyText"/>
            </w:pPr>
            <w:r>
              <w:rPr>
                <w:b/>
              </w:rPr>
              <w:t>commentRangeStart</w:t>
            </w:r>
            <w:r>
              <w:t xml:space="preserve"> ("[ISO/IEC-29500-1] §17.13.4.4; commentRangeStart")</w:t>
            </w:r>
          </w:p>
        </w:tc>
      </w:tr>
      <w:tr w:rsidR="00024C0A" w:rsidTr="00024C0A">
        <w:tc>
          <w:tcPr>
            <w:tcW w:w="0" w:type="auto"/>
            <w:vAlign w:val="center"/>
          </w:tcPr>
          <w:p w:rsidR="00024C0A" w:rsidRDefault="00694C0F">
            <w:pPr>
              <w:pStyle w:val="TableBodyText"/>
            </w:pPr>
            <w:r>
              <w:rPr>
                <w:b/>
              </w:rPr>
              <w:t>customXmlDelRangeEnd</w:t>
            </w:r>
            <w:r>
              <w:t xml:space="preserve"> ("[ISO/IEC-29500-1] §17.13.5.4; customXmlDelRangeEnd")</w:t>
            </w:r>
          </w:p>
        </w:tc>
      </w:tr>
      <w:tr w:rsidR="00024C0A" w:rsidTr="00024C0A">
        <w:tc>
          <w:tcPr>
            <w:tcW w:w="0" w:type="auto"/>
            <w:vAlign w:val="center"/>
          </w:tcPr>
          <w:p w:rsidR="00024C0A" w:rsidRDefault="00694C0F">
            <w:pPr>
              <w:pStyle w:val="TableBodyText"/>
            </w:pPr>
            <w:r>
              <w:rPr>
                <w:b/>
              </w:rPr>
              <w:t>customXmlDelRangeStart</w:t>
            </w:r>
            <w:r>
              <w:t xml:space="preserve"> ("[ISO/IEC-29500-1] §17.13.5.5; customXmlDelRangeStar</w:t>
            </w:r>
            <w:r>
              <w:t>t")</w:t>
            </w:r>
          </w:p>
        </w:tc>
      </w:tr>
      <w:tr w:rsidR="00024C0A" w:rsidTr="00024C0A">
        <w:tc>
          <w:tcPr>
            <w:tcW w:w="0" w:type="auto"/>
            <w:vAlign w:val="center"/>
          </w:tcPr>
          <w:p w:rsidR="00024C0A" w:rsidRDefault="00694C0F">
            <w:pPr>
              <w:pStyle w:val="TableBodyText"/>
            </w:pPr>
            <w:r>
              <w:rPr>
                <w:b/>
              </w:rPr>
              <w:t>customXmlInsRangeEnd</w:t>
            </w:r>
            <w:r>
              <w:t xml:space="preserve"> ("[ISO/IEC-29500-1] §17.13.5.6; customXmlInsRangeEnd")</w:t>
            </w:r>
          </w:p>
        </w:tc>
      </w:tr>
      <w:tr w:rsidR="00024C0A" w:rsidTr="00024C0A">
        <w:tc>
          <w:tcPr>
            <w:tcW w:w="0" w:type="auto"/>
            <w:vAlign w:val="center"/>
          </w:tcPr>
          <w:p w:rsidR="00024C0A" w:rsidRDefault="00694C0F">
            <w:pPr>
              <w:pStyle w:val="TableBodyText"/>
            </w:pPr>
            <w:r>
              <w:rPr>
                <w:b/>
              </w:rPr>
              <w:t>customXmlInsRangeStart</w:t>
            </w:r>
            <w:r>
              <w:t xml:space="preserve"> ("[ISO/IEC-29500-1] §17.13.5.7; customXmlInsRangeStart")</w:t>
            </w:r>
          </w:p>
        </w:tc>
      </w:tr>
      <w:tr w:rsidR="00024C0A" w:rsidTr="00024C0A">
        <w:tc>
          <w:tcPr>
            <w:tcW w:w="0" w:type="auto"/>
            <w:vAlign w:val="center"/>
          </w:tcPr>
          <w:p w:rsidR="00024C0A" w:rsidRDefault="00694C0F">
            <w:pPr>
              <w:pStyle w:val="TableBodyText"/>
            </w:pPr>
            <w:r>
              <w:rPr>
                <w:b/>
              </w:rPr>
              <w:t>customXmlMoveFromRangeEnd</w:t>
            </w:r>
            <w:r>
              <w:t xml:space="preserve"> ("[ISO/IEC-29500-1] §17.13.5.8; customXmlMoveFromRangeEnd")</w:t>
            </w:r>
          </w:p>
        </w:tc>
      </w:tr>
      <w:tr w:rsidR="00024C0A" w:rsidTr="00024C0A">
        <w:tc>
          <w:tcPr>
            <w:tcW w:w="0" w:type="auto"/>
            <w:vAlign w:val="center"/>
          </w:tcPr>
          <w:p w:rsidR="00024C0A" w:rsidRDefault="00694C0F">
            <w:pPr>
              <w:pStyle w:val="TableBodyText"/>
            </w:pPr>
            <w:r>
              <w:rPr>
                <w:b/>
              </w:rPr>
              <w:t>custom</w:t>
            </w:r>
            <w:r>
              <w:rPr>
                <w:b/>
              </w:rPr>
              <w:t>XmlMoveFromRangeStart</w:t>
            </w:r>
            <w:r>
              <w:t xml:space="preserve"> ("[ISO/IEC-29500-1] §17.13.5.9; customXmlMoveFromRangeStart")</w:t>
            </w:r>
          </w:p>
        </w:tc>
      </w:tr>
      <w:tr w:rsidR="00024C0A" w:rsidTr="00024C0A">
        <w:tc>
          <w:tcPr>
            <w:tcW w:w="0" w:type="auto"/>
            <w:vAlign w:val="center"/>
          </w:tcPr>
          <w:p w:rsidR="00024C0A" w:rsidRDefault="00694C0F">
            <w:pPr>
              <w:pStyle w:val="TableBodyText"/>
            </w:pPr>
            <w:r>
              <w:rPr>
                <w:b/>
              </w:rPr>
              <w:t>customXmlMoveToRangeEnd</w:t>
            </w:r>
            <w:r>
              <w:t xml:space="preserve"> ("[ISO/IEC-29500-1] §17.13.5.10; customXmlMoveToRangeEnd")</w:t>
            </w:r>
          </w:p>
        </w:tc>
      </w:tr>
      <w:tr w:rsidR="00024C0A" w:rsidTr="00024C0A">
        <w:tc>
          <w:tcPr>
            <w:tcW w:w="0" w:type="auto"/>
            <w:vAlign w:val="center"/>
          </w:tcPr>
          <w:p w:rsidR="00024C0A" w:rsidRDefault="00694C0F">
            <w:pPr>
              <w:pStyle w:val="TableBodyText"/>
            </w:pPr>
            <w:r>
              <w:rPr>
                <w:b/>
              </w:rPr>
              <w:t>customXmlMoveToRangeStart</w:t>
            </w:r>
            <w:r>
              <w:t xml:space="preserve"> ("[ISO/IEC-29500-1] §17.13.5.11; customXmlMoveToRangeStart")</w:t>
            </w:r>
          </w:p>
        </w:tc>
      </w:tr>
      <w:tr w:rsidR="00024C0A" w:rsidTr="00024C0A">
        <w:tc>
          <w:tcPr>
            <w:tcW w:w="0" w:type="auto"/>
            <w:vAlign w:val="center"/>
          </w:tcPr>
          <w:p w:rsidR="00024C0A" w:rsidRDefault="00694C0F">
            <w:pPr>
              <w:pStyle w:val="TableBodyText"/>
            </w:pPr>
            <w:r>
              <w:rPr>
                <w:b/>
              </w:rPr>
              <w:t>moveFromRangeEnd</w:t>
            </w:r>
            <w:r>
              <w:t xml:space="preserve"> ("[ISO/IEC-29500-1] §17.13.5.23; moveFromRangeEnd")</w:t>
            </w:r>
          </w:p>
        </w:tc>
      </w:tr>
      <w:tr w:rsidR="00024C0A" w:rsidTr="00024C0A">
        <w:tc>
          <w:tcPr>
            <w:tcW w:w="0" w:type="auto"/>
            <w:vAlign w:val="center"/>
          </w:tcPr>
          <w:p w:rsidR="00024C0A" w:rsidRDefault="00694C0F">
            <w:pPr>
              <w:pStyle w:val="TableBodyText"/>
            </w:pPr>
            <w:r>
              <w:rPr>
                <w:b/>
              </w:rPr>
              <w:t>moveFromRangeStart</w:t>
            </w:r>
            <w:r>
              <w:t xml:space="preserve"> ("[ISO/IEC-29500-1] §17.13.5.24; moveFromRangeStart")</w:t>
            </w:r>
          </w:p>
        </w:tc>
      </w:tr>
      <w:tr w:rsidR="00024C0A" w:rsidTr="00024C0A">
        <w:tc>
          <w:tcPr>
            <w:tcW w:w="0" w:type="auto"/>
            <w:vAlign w:val="center"/>
          </w:tcPr>
          <w:p w:rsidR="00024C0A" w:rsidRDefault="00694C0F">
            <w:pPr>
              <w:pStyle w:val="TableBodyText"/>
            </w:pPr>
            <w:r>
              <w:rPr>
                <w:b/>
              </w:rPr>
              <w:t>moveToRangeEnd</w:t>
            </w:r>
            <w:r>
              <w:t xml:space="preserve"> ("[ISO/IEC-29500-1] §17.13.5.27; moveToRangeEnd")</w:t>
            </w:r>
          </w:p>
        </w:tc>
      </w:tr>
      <w:tr w:rsidR="00024C0A" w:rsidTr="00024C0A">
        <w:tc>
          <w:tcPr>
            <w:tcW w:w="0" w:type="auto"/>
            <w:vAlign w:val="center"/>
          </w:tcPr>
          <w:p w:rsidR="00024C0A" w:rsidRDefault="00694C0F">
            <w:pPr>
              <w:pStyle w:val="TableBodyText"/>
            </w:pPr>
            <w:r>
              <w:rPr>
                <w:b/>
              </w:rPr>
              <w:t>moveToRangeStart</w:t>
            </w:r>
            <w:r>
              <w:t xml:space="preserve"> ("[ISO/IEC-29500-1] §17.13.5</w:t>
            </w:r>
            <w:r>
              <w:t>.28; moveToRangeStart")</w:t>
            </w:r>
          </w:p>
        </w:tc>
      </w:tr>
    </w:tbl>
    <w:p w:rsidR="00024C0A" w:rsidRDefault="00024C0A"/>
    <w:p w:rsidR="00024C0A" w:rsidRDefault="00694C0F">
      <w:pPr>
        <w:pStyle w:val="Heading3"/>
      </w:pPr>
      <w:bookmarkStart w:id="425" w:name="section_7f335d09bee1415e9a2bb867cdfd17bc"/>
      <w:bookmarkStart w:id="426" w:name="_Toc12260273"/>
      <w:r>
        <w:t>Part 1 Section 17.5.2.33, sdtContent (Cell-Level Structured Document Tag Content)</w:t>
      </w:r>
      <w:bookmarkEnd w:id="425"/>
      <w:bookmarkEnd w:id="426"/>
      <w:r>
        <w:fldChar w:fldCharType="begin"/>
      </w:r>
      <w:r>
        <w:instrText xml:space="preserve"> XE "sdtContent (Cell-Level Structured Document Tag Content)" </w:instrText>
      </w:r>
      <w:r>
        <w:fldChar w:fldCharType="end"/>
      </w:r>
    </w:p>
    <w:p w:rsidR="00024C0A" w:rsidRDefault="00694C0F">
      <w:pPr>
        <w:pStyle w:val="Definition-Field2"/>
      </w:pPr>
      <w:r>
        <w:rPr>
          <w:i/>
        </w:rPr>
        <w:t>For additional notes that apply to this portion of the standard, please see the note</w:t>
      </w:r>
      <w:r>
        <w:rPr>
          <w:i/>
        </w:rPr>
        <w:t xml:space="preserv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24C0A" w:rsidRDefault="00694C0F">
      <w:pPr>
        <w:pStyle w:val="Heading3"/>
      </w:pPr>
      <w:bookmarkStart w:id="427" w:name="section_6be4f41f2dba418e9586a427af43e12e"/>
      <w:bookmarkStart w:id="428" w:name="_Toc12260274"/>
      <w:r>
        <w:t>Part 1 Section 17.5.2.34, sdtContent (Block-Level Structured Document Tag Co</w:t>
      </w:r>
      <w:r>
        <w:t>ntent)</w:t>
      </w:r>
      <w:bookmarkEnd w:id="427"/>
      <w:bookmarkEnd w:id="428"/>
      <w:r>
        <w:fldChar w:fldCharType="begin"/>
      </w:r>
      <w:r>
        <w:instrText xml:space="preserve"> XE "sdtContent (Block-Level Structured Document Tag Content)"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24C0A" w:rsidRDefault="00694C0F">
      <w:pPr>
        <w:pStyle w:val="Heading3"/>
      </w:pPr>
      <w:bookmarkStart w:id="429" w:name="section_e620584d36d841cda011ded3f5c84e3a"/>
      <w:bookmarkStart w:id="430" w:name="_Toc12260275"/>
      <w:r>
        <w:t>Part 1 Section 17.5.2.35, sdtContent (Row-Level Structured Document Tag Content)</w:t>
      </w:r>
      <w:bookmarkEnd w:id="429"/>
      <w:bookmarkEnd w:id="430"/>
      <w:r>
        <w:fldChar w:fldCharType="begin"/>
      </w:r>
      <w:r>
        <w:instrText xml:space="preserve"> XE "sdtContent (Row-Level Structured Document Tag Content)" </w:instrText>
      </w:r>
      <w:r>
        <w:fldChar w:fldCharType="end"/>
      </w:r>
    </w:p>
    <w:p w:rsidR="00024C0A" w:rsidRDefault="00694C0F">
      <w:pPr>
        <w:pStyle w:val="Definition-Field2"/>
      </w:pPr>
      <w:r>
        <w:rPr>
          <w:i/>
        </w:rPr>
        <w:t>For additional notes that</w:t>
      </w:r>
      <w:r>
        <w:rPr>
          <w:i/>
        </w:rPr>
        <w:t xml:space="preserve">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24C0A" w:rsidRDefault="00694C0F">
      <w:pPr>
        <w:pStyle w:val="Heading3"/>
      </w:pPr>
      <w:bookmarkStart w:id="431" w:name="section_bc8e1043bdc24731aea36e6b045a6471"/>
      <w:bookmarkStart w:id="432" w:name="_Toc12260276"/>
      <w:r>
        <w:t>Part 1 Section 17</w:t>
      </w:r>
      <w:r>
        <w:t>.5.2.36, sdtContent (Inline-Level Structured Document Tag Content)</w:t>
      </w:r>
      <w:bookmarkEnd w:id="431"/>
      <w:bookmarkEnd w:id="432"/>
      <w:r>
        <w:fldChar w:fldCharType="begin"/>
      </w:r>
      <w:r>
        <w:instrText xml:space="preserve"> XE "sdtContent (Inline-Level Structured Document Tag Content)"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24C0A" w:rsidRDefault="00694C0F">
      <w:pPr>
        <w:pStyle w:val="Heading3"/>
      </w:pPr>
      <w:bookmarkStart w:id="433" w:name="section_792638a52321467ea2266b23a9b56806"/>
      <w:bookmarkStart w:id="434" w:name="_Toc12260277"/>
      <w:r>
        <w:lastRenderedPageBreak/>
        <w:t>Part 1 Section 17.5.2.41, tabIndex (Structured Document Tag Navigation Order Index)</w:t>
      </w:r>
      <w:bookmarkEnd w:id="433"/>
      <w:bookmarkEnd w:id="434"/>
      <w:r>
        <w:fldChar w:fldCharType="begin"/>
      </w:r>
      <w:r>
        <w:instrText xml:space="preserve"> XE "tabIndex (Structured Document Tag Navigation Order Index)" </w:instrText>
      </w:r>
      <w:r>
        <w:fldChar w:fldCharType="end"/>
      </w:r>
    </w:p>
    <w:p w:rsidR="00024C0A" w:rsidRDefault="00694C0F">
      <w:pPr>
        <w:pStyle w:val="Definition-Field"/>
      </w:pPr>
      <w:r>
        <w:t xml:space="preserve">a.   </w:t>
      </w:r>
      <w:r>
        <w:rPr>
          <w:i/>
        </w:rPr>
        <w:t xml:space="preserve">The standard states that this element specifies </w:t>
      </w:r>
      <w:r>
        <w:rPr>
          <w:i/>
        </w:rPr>
        <w:t>the position of the current structured document tag in the navigation (tab) order used in the document.</w:t>
      </w:r>
    </w:p>
    <w:p w:rsidR="00024C0A" w:rsidRDefault="00694C0F">
      <w:pPr>
        <w:pStyle w:val="Definition-Field2"/>
      </w:pPr>
      <w:r>
        <w:t>Word ignores this element.</w:t>
      </w:r>
    </w:p>
    <w:p w:rsidR="00024C0A" w:rsidRDefault="00694C0F">
      <w:pPr>
        <w:pStyle w:val="Heading3"/>
      </w:pPr>
      <w:bookmarkStart w:id="435" w:name="section_3f646bb2ec694ae29201d5b67fc28e70"/>
      <w:bookmarkStart w:id="436" w:name="_Toc12260278"/>
      <w:r>
        <w:t>Part 1 Section 17.5.2.43, temporary (Remove Structured Document Tag When Contents Are Edited)</w:t>
      </w:r>
      <w:bookmarkEnd w:id="435"/>
      <w:bookmarkEnd w:id="436"/>
      <w:r>
        <w:fldChar w:fldCharType="begin"/>
      </w:r>
      <w:r>
        <w:instrText xml:space="preserve"> XE "temporary (Remove Structure</w:instrText>
      </w:r>
      <w:r>
        <w:instrText xml:space="preserve">d Document Tag When Contents Are Edited)" </w:instrText>
      </w:r>
      <w:r>
        <w:fldChar w:fldCharType="end"/>
      </w:r>
    </w:p>
    <w:p w:rsidR="00024C0A" w:rsidRDefault="00694C0F">
      <w:pPr>
        <w:pStyle w:val="Definition-Field"/>
      </w:pPr>
      <w:r>
        <w:t xml:space="preserve">a.   </w:t>
      </w:r>
      <w:r>
        <w:rPr>
          <w:i/>
        </w:rPr>
        <w:t>The standard states that temporary means the parent sdt should be removed when the contents are modified.</w:t>
      </w:r>
    </w:p>
    <w:p w:rsidR="00024C0A" w:rsidRDefault="00694C0F">
      <w:pPr>
        <w:pStyle w:val="Definition-Field2"/>
      </w:pPr>
      <w:r>
        <w:t>Under limited circumstances involving inserting pictures, Word fails to remove the parent sdt when t</w:t>
      </w:r>
      <w:r>
        <w:t>he contents are modified.</w:t>
      </w:r>
    </w:p>
    <w:p w:rsidR="00024C0A" w:rsidRDefault="00694C0F">
      <w:pPr>
        <w:pStyle w:val="Heading3"/>
      </w:pPr>
      <w:bookmarkStart w:id="437" w:name="section_98ca3cc91270454bbd1c41a7afc55ffc"/>
      <w:bookmarkStart w:id="438" w:name="_Toc12260279"/>
      <w:r>
        <w:t>Part 1 Section 17.6.2, bottom (Bottom Border)</w:t>
      </w:r>
      <w:bookmarkEnd w:id="437"/>
      <w:bookmarkEnd w:id="438"/>
      <w:r>
        <w:fldChar w:fldCharType="begin"/>
      </w:r>
      <w:r>
        <w:instrText xml:space="preserve"> XE "bottom (Bottom Border)"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24C0A" w:rsidRDefault="00694C0F">
      <w:pPr>
        <w:pStyle w:val="Definition-Field"/>
      </w:pPr>
      <w:r>
        <w:t xml:space="preserve">a.   </w:t>
      </w:r>
      <w:r>
        <w:rPr>
          <w:i/>
        </w:rPr>
        <w:t>The standard states that bottomLeft, bottomRight, and id are at</w:t>
      </w:r>
      <w:r>
        <w:rPr>
          <w:i/>
        </w:rPr>
        <w:t>tributes on the bottom element.</w:t>
      </w:r>
    </w:p>
    <w:p w:rsidR="00024C0A" w:rsidRDefault="00694C0F">
      <w:pPr>
        <w:pStyle w:val="Definition-Field2"/>
      </w:pPr>
      <w:r>
        <w:t>Word ignores the bottomLeft, bottomRight, and id attributes on this element.</w:t>
      </w:r>
    </w:p>
    <w:p w:rsidR="00024C0A" w:rsidRDefault="00694C0F">
      <w:pPr>
        <w:pStyle w:val="Heading3"/>
      </w:pPr>
      <w:bookmarkStart w:id="439" w:name="section_d6035671f6764755b101c4de68de62ed"/>
      <w:bookmarkStart w:id="440" w:name="_Toc12260280"/>
      <w:r>
        <w:t>Part 1 Section 17.6.3, col (Single Column Definition)</w:t>
      </w:r>
      <w:bookmarkEnd w:id="439"/>
      <w:bookmarkEnd w:id="440"/>
      <w:r>
        <w:fldChar w:fldCharType="begin"/>
      </w:r>
      <w:r>
        <w:instrText xml:space="preserve"> XE "col (Single Column Definition)" </w:instrText>
      </w:r>
      <w:r>
        <w:fldChar w:fldCharType="end"/>
      </w:r>
    </w:p>
    <w:p w:rsidR="00024C0A" w:rsidRDefault="00694C0F">
      <w:pPr>
        <w:pStyle w:val="Definition-Field"/>
      </w:pPr>
      <w:r>
        <w:t xml:space="preserve">a.   </w:t>
      </w:r>
      <w:r>
        <w:rPr>
          <w:i/>
        </w:rPr>
        <w:t>The standard does not specify a default value for</w:t>
      </w:r>
      <w:r>
        <w:rPr>
          <w:i/>
        </w:rPr>
        <w:t xml:space="preserve"> the space attribute.</w:t>
      </w:r>
    </w:p>
    <w:p w:rsidR="00024C0A" w:rsidRDefault="00694C0F">
      <w:pPr>
        <w:pStyle w:val="Definition-Field2"/>
      </w:pPr>
      <w:r>
        <w:t>Word uses a default value of 0 for this attribute.</w:t>
      </w:r>
    </w:p>
    <w:p w:rsidR="00024C0A" w:rsidRDefault="00694C0F">
      <w:pPr>
        <w:pStyle w:val="Definition-Field"/>
      </w:pPr>
      <w:r>
        <w:t xml:space="preserve">b.   </w:t>
      </w:r>
      <w:r>
        <w:rPr>
          <w:i/>
        </w:rPr>
        <w:t>The standard states that the w attribute is always optional.</w:t>
      </w:r>
    </w:p>
    <w:p w:rsidR="00024C0A" w:rsidRDefault="00694C0F">
      <w:pPr>
        <w:pStyle w:val="Definition-Field2"/>
      </w:pPr>
      <w:r>
        <w:t xml:space="preserve">Word requires that this attribute is present when the parent cols element has an equalWidth attribute value of false </w:t>
      </w:r>
      <w:r>
        <w:t>(or equivalent).</w:t>
      </w:r>
    </w:p>
    <w:p w:rsidR="00024C0A" w:rsidRDefault="00694C0F">
      <w:pPr>
        <w:pStyle w:val="Heading3"/>
      </w:pPr>
      <w:bookmarkStart w:id="441" w:name="section_ef7027d4e05d473b8777dcc2aee91935"/>
      <w:bookmarkStart w:id="442" w:name="_Toc12260281"/>
      <w:r>
        <w:t>Part 1 Section 17.6.4, cols (Column Definitions)</w:t>
      </w:r>
      <w:bookmarkEnd w:id="441"/>
      <w:bookmarkEnd w:id="442"/>
      <w:r>
        <w:fldChar w:fldCharType="begin"/>
      </w:r>
      <w:r>
        <w:instrText xml:space="preserve"> XE "cols (Column Definitions)" </w:instrText>
      </w:r>
      <w:r>
        <w:fldChar w:fldCharType="end"/>
      </w:r>
    </w:p>
    <w:p w:rsidR="00024C0A" w:rsidRDefault="00694C0F">
      <w:pPr>
        <w:pStyle w:val="Definition-Field"/>
      </w:pPr>
      <w:r>
        <w:t xml:space="preserve">a.   </w:t>
      </w:r>
      <w:r>
        <w:rPr>
          <w:i/>
        </w:rPr>
        <w:t>The standard states that the num attribute allows any integer value.</w:t>
      </w:r>
    </w:p>
    <w:p w:rsidR="00024C0A" w:rsidRDefault="00694C0F">
      <w:pPr>
        <w:pStyle w:val="Definition-Field2"/>
      </w:pPr>
      <w:r>
        <w:t>Word restricts the value of the num attribute to a value between 1 and 45.</w:t>
      </w:r>
    </w:p>
    <w:p w:rsidR="00024C0A" w:rsidRDefault="00694C0F">
      <w:pPr>
        <w:pStyle w:val="Definition-Field"/>
      </w:pPr>
      <w:r>
        <w:t xml:space="preserve">b.   </w:t>
      </w:r>
      <w:r>
        <w:rPr>
          <w:i/>
        </w:rPr>
        <w:t>The standard does not specify a default value for the equalWidth attribute.</w:t>
      </w:r>
    </w:p>
    <w:p w:rsidR="00024C0A" w:rsidRDefault="00694C0F">
      <w:pPr>
        <w:pStyle w:val="Definition-Field2"/>
      </w:pPr>
      <w:r>
        <w:t>Word uses a default value of true for this attribute.</w:t>
      </w:r>
    </w:p>
    <w:p w:rsidR="00024C0A" w:rsidRDefault="00694C0F">
      <w:pPr>
        <w:pStyle w:val="Definition-Field"/>
      </w:pPr>
      <w:r>
        <w:t xml:space="preserve">c.   </w:t>
      </w:r>
      <w:r>
        <w:rPr>
          <w:i/>
        </w:rPr>
        <w:t>The standard states that when the equalWidth attribute is false (or equivalent), the num attribute is ignored in favor of</w:t>
      </w:r>
      <w:r>
        <w:rPr>
          <w:i/>
        </w:rPr>
        <w:t xml:space="preserve"> the number of child col elements.</w:t>
      </w:r>
    </w:p>
    <w:p w:rsidR="00024C0A" w:rsidRDefault="00694C0F">
      <w:pPr>
        <w:pStyle w:val="Definition-Field2"/>
      </w:pPr>
      <w:r>
        <w:t>Word requires that the value of the num attribute matches the number of child col elements. If the num attribute is not specified, then Word assumes a value of 1.</w:t>
      </w:r>
    </w:p>
    <w:p w:rsidR="00024C0A" w:rsidRDefault="00694C0F">
      <w:pPr>
        <w:pStyle w:val="Heading3"/>
      </w:pPr>
      <w:bookmarkStart w:id="443" w:name="section_94d7cfde2a8847babe9615860e86d40f"/>
      <w:bookmarkStart w:id="444" w:name="_Toc12260282"/>
      <w:r>
        <w:t>Part 1 Section 17.6.7, left (Left Border)</w:t>
      </w:r>
      <w:bookmarkEnd w:id="443"/>
      <w:bookmarkEnd w:id="444"/>
      <w:r>
        <w:fldChar w:fldCharType="begin"/>
      </w:r>
      <w:r>
        <w:instrText xml:space="preserve"> XE "left (Left B</w:instrText>
      </w:r>
      <w:r>
        <w:instrText xml:space="preserve">order)"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w:t>
        </w:r>
        <w:r>
          <w:rPr>
            <w:rStyle w:val="Hyperlink"/>
          </w:rPr>
          <w:t>.3.2.4(a)</w:t>
        </w:r>
      </w:hyperlink>
      <w:r>
        <w:rPr>
          <w:i/>
        </w:rPr>
        <w:t xml:space="preserve">; </w:t>
      </w:r>
      <w:hyperlink w:anchor="Section_88086db0881a462fafb3fad01a9b1be3">
        <w:r>
          <w:rPr>
            <w:rStyle w:val="Hyperlink"/>
          </w:rPr>
          <w:t>left, §17.15.2.21(a)</w:t>
        </w:r>
      </w:hyperlink>
      <w:r>
        <w:rPr>
          <w:i/>
        </w:rPr>
        <w:t>.</w:t>
      </w:r>
    </w:p>
    <w:p w:rsidR="00024C0A" w:rsidRDefault="00694C0F">
      <w:pPr>
        <w:pStyle w:val="Definition-Field"/>
      </w:pPr>
      <w:r>
        <w:lastRenderedPageBreak/>
        <w:t xml:space="preserve">a.   </w:t>
      </w:r>
      <w:r>
        <w:rPr>
          <w:i/>
        </w:rPr>
        <w:t>The standard states that the id attribute specifies a relationship ID for a custom border image.</w:t>
      </w:r>
    </w:p>
    <w:p w:rsidR="00024C0A" w:rsidRDefault="00694C0F">
      <w:pPr>
        <w:pStyle w:val="Definition-Field2"/>
      </w:pPr>
      <w:r>
        <w:t>Word ignores the id attribute.</w:t>
      </w:r>
    </w:p>
    <w:p w:rsidR="00024C0A" w:rsidRDefault="00694C0F">
      <w:pPr>
        <w:pStyle w:val="Heading3"/>
      </w:pPr>
      <w:bookmarkStart w:id="445" w:name="section_c4252e1348d24ac99fb53b276d02be30"/>
      <w:bookmarkStart w:id="446" w:name="_Toc12260283"/>
      <w:r>
        <w:t>Part 1 Section 17.6.8, lnNu</w:t>
      </w:r>
      <w:r>
        <w:t>mType (Line Numbering Settings)</w:t>
      </w:r>
      <w:bookmarkEnd w:id="445"/>
      <w:bookmarkEnd w:id="446"/>
      <w:r>
        <w:fldChar w:fldCharType="begin"/>
      </w:r>
      <w:r>
        <w:instrText xml:space="preserve"> XE "lnNumType (Line Numbering Settings)" </w:instrText>
      </w:r>
      <w:r>
        <w:fldChar w:fldCharType="end"/>
      </w:r>
    </w:p>
    <w:p w:rsidR="00024C0A" w:rsidRDefault="00694C0F">
      <w:pPr>
        <w:pStyle w:val="Definition-Field"/>
      </w:pPr>
      <w:r>
        <w:t xml:space="preserve">a.   </w:t>
      </w:r>
      <w:r>
        <w:rPr>
          <w:i/>
        </w:rPr>
        <w:t>The standard states that the values of the start attribute are defined by the ST_DecimalNumber simple type.</w:t>
      </w:r>
    </w:p>
    <w:p w:rsidR="00024C0A" w:rsidRDefault="00694C0F">
      <w:pPr>
        <w:pStyle w:val="Definition-Field2"/>
      </w:pPr>
      <w:r>
        <w:t xml:space="preserve">Word restricts the value of this attribute to be at least 0 and at </w:t>
      </w:r>
      <w:r>
        <w:t>most 32767.</w:t>
      </w:r>
    </w:p>
    <w:p w:rsidR="00024C0A" w:rsidRDefault="00694C0F">
      <w:pPr>
        <w:pStyle w:val="Definition-Field"/>
      </w:pPr>
      <w:r>
        <w:t xml:space="preserve">b.   </w:t>
      </w:r>
      <w:r>
        <w:rPr>
          <w:i/>
        </w:rPr>
        <w:t>The standard states that the start attribute specifies the starting value for (re)started line numbering.</w:t>
      </w:r>
    </w:p>
    <w:p w:rsidR="00024C0A" w:rsidRDefault="00694C0F">
      <w:pPr>
        <w:pStyle w:val="Definition-Field2"/>
      </w:pPr>
      <w:r>
        <w:t xml:space="preserve">Word uses the start attribute as the number of line numbers that should be skipped when starting or restarting line numbering (for </w:t>
      </w:r>
      <w:r>
        <w:t>example, a value of 3 means to start numbering at 4).</w:t>
      </w:r>
    </w:p>
    <w:p w:rsidR="00024C0A" w:rsidRDefault="00694C0F">
      <w:pPr>
        <w:pStyle w:val="Definition-Field"/>
      </w:pPr>
      <w:r>
        <w:t xml:space="preserve">c.   </w:t>
      </w:r>
      <w:r>
        <w:rPr>
          <w:i/>
        </w:rPr>
        <w:t>The standard states that the countBy attribute can be any integer value.</w:t>
      </w:r>
    </w:p>
    <w:p w:rsidR="00024C0A" w:rsidRDefault="00694C0F">
      <w:pPr>
        <w:pStyle w:val="Definition-Field2"/>
      </w:pPr>
      <w:r>
        <w:t>Word restricts the contents of this attribute to a value between 1 and 100 inclusive.</w:t>
      </w:r>
    </w:p>
    <w:p w:rsidR="00024C0A" w:rsidRDefault="00694C0F">
      <w:pPr>
        <w:pStyle w:val="Heading3"/>
      </w:pPr>
      <w:bookmarkStart w:id="447" w:name="section_9702ba00325540d0901640f8b1da3f57"/>
      <w:bookmarkStart w:id="448" w:name="_Toc12260284"/>
      <w:r>
        <w:t>Part 1 Section 17.6.9, paperSrc (Paper</w:t>
      </w:r>
      <w:r>
        <w:t xml:space="preserve"> Source Information)</w:t>
      </w:r>
      <w:bookmarkEnd w:id="447"/>
      <w:bookmarkEnd w:id="448"/>
      <w:r>
        <w:fldChar w:fldCharType="begin"/>
      </w:r>
      <w:r>
        <w:instrText xml:space="preserve"> XE "paperSrc (Paper Source Information)" </w:instrText>
      </w:r>
      <w:r>
        <w:fldChar w:fldCharType="end"/>
      </w:r>
    </w:p>
    <w:p w:rsidR="00024C0A" w:rsidRDefault="00694C0F">
      <w:pPr>
        <w:pStyle w:val="Definition-Field"/>
      </w:pPr>
      <w:r>
        <w:t xml:space="preserve">a.   </w:t>
      </w:r>
      <w:r>
        <w:rPr>
          <w:i/>
        </w:rPr>
        <w:t>The standard states that the first and other attributes can be any integer.</w:t>
      </w:r>
    </w:p>
    <w:p w:rsidR="00024C0A" w:rsidRDefault="00694C0F">
      <w:pPr>
        <w:pStyle w:val="Definition-Field2"/>
      </w:pPr>
      <w:r>
        <w:t>Word restricts these values to the range of an unsigned short.</w:t>
      </w:r>
    </w:p>
    <w:p w:rsidR="00024C0A" w:rsidRDefault="00694C0F">
      <w:pPr>
        <w:pStyle w:val="Definition-Field"/>
      </w:pPr>
      <w:r>
        <w:t xml:space="preserve">b.   </w:t>
      </w:r>
      <w:r>
        <w:rPr>
          <w:i/>
        </w:rPr>
        <w:t>The standard simply states that this eleme</w:t>
      </w:r>
      <w:r>
        <w:rPr>
          <w:i/>
        </w:rPr>
        <w:t>nt's attributes specify "...a printer-specific code that uniquely identifies a specific printer tray..."</w:t>
      </w:r>
    </w:p>
    <w:p w:rsidR="00024C0A" w:rsidRDefault="00694C0F">
      <w:pPr>
        <w:pStyle w:val="Definition-Field2"/>
      </w:pPr>
      <w:r>
        <w:t xml:space="preserve">Word passes this value to the Windows DEVMODE printing API </w:t>
      </w:r>
      <w:hyperlink r:id="rId90">
        <w:r>
          <w:rPr>
            <w:rStyle w:val="Hyperlink"/>
          </w:rPr>
          <w:t>[DEVMODE]</w:t>
        </w:r>
      </w:hyperlink>
      <w:r>
        <w:t xml:space="preserve"> where the value m</w:t>
      </w:r>
      <w:r>
        <w:t>ay have a standard meaning to Windows or an installed printer.</w:t>
      </w:r>
    </w:p>
    <w:p w:rsidR="00024C0A" w:rsidRDefault="00694C0F">
      <w:pPr>
        <w:pStyle w:val="Heading3"/>
      </w:pPr>
      <w:bookmarkStart w:id="449" w:name="section_5307147fa81a42d2b84c3a2b50576876"/>
      <w:bookmarkStart w:id="450" w:name="_Toc12260285"/>
      <w:r>
        <w:t>Part 1 Section 17.6.10, pgBorders (Page Borders)</w:t>
      </w:r>
      <w:bookmarkEnd w:id="449"/>
      <w:bookmarkEnd w:id="450"/>
      <w:r>
        <w:fldChar w:fldCharType="begin"/>
      </w:r>
      <w:r>
        <w:instrText xml:space="preserve"> XE "pgBorders (Page Borders)" </w:instrText>
      </w:r>
      <w:r>
        <w:fldChar w:fldCharType="end"/>
      </w:r>
    </w:p>
    <w:p w:rsidR="00024C0A" w:rsidRDefault="00694C0F">
      <w:pPr>
        <w:pStyle w:val="Definition-Field"/>
      </w:pPr>
      <w:r>
        <w:t xml:space="preserve">a.   </w:t>
      </w:r>
      <w:r>
        <w:rPr>
          <w:i/>
        </w:rPr>
        <w:t>The standard does not specify a default value for the zOrder attribute.</w:t>
      </w:r>
    </w:p>
    <w:p w:rsidR="00024C0A" w:rsidRDefault="00694C0F">
      <w:pPr>
        <w:pStyle w:val="Definition-Field2"/>
      </w:pPr>
      <w:r>
        <w:t>Word uses a default value of front</w:t>
      </w:r>
      <w:r>
        <w:t xml:space="preserve"> for this attribute.</w:t>
      </w:r>
    </w:p>
    <w:p w:rsidR="00024C0A" w:rsidRDefault="00694C0F">
      <w:pPr>
        <w:pStyle w:val="Definition-Field"/>
      </w:pPr>
      <w:r>
        <w:t xml:space="preserve">b.   </w:t>
      </w:r>
      <w:r>
        <w:rPr>
          <w:i/>
        </w:rPr>
        <w:t>The standard does not specify a default value for the offsetFrom attribute.</w:t>
      </w:r>
    </w:p>
    <w:p w:rsidR="00024C0A" w:rsidRDefault="00694C0F">
      <w:pPr>
        <w:pStyle w:val="Definition-Field2"/>
      </w:pPr>
      <w:r>
        <w:t>Word uses a default value of text for this attribute.</w:t>
      </w:r>
    </w:p>
    <w:p w:rsidR="00024C0A" w:rsidRDefault="00694C0F">
      <w:pPr>
        <w:pStyle w:val="Heading3"/>
      </w:pPr>
      <w:bookmarkStart w:id="451" w:name="section_c13857a66aa54b53a2a8a8498e62085b"/>
      <w:bookmarkStart w:id="452" w:name="_Toc12260286"/>
      <w:r>
        <w:t>Part 1 Section 17.6.11, pgMar (Page Margins)</w:t>
      </w:r>
      <w:bookmarkEnd w:id="451"/>
      <w:bookmarkEnd w:id="452"/>
      <w:r>
        <w:fldChar w:fldCharType="begin"/>
      </w:r>
      <w:r>
        <w:instrText xml:space="preserve"> XE "pgMar (Page Margins)" </w:instrText>
      </w:r>
      <w:r>
        <w:fldChar w:fldCharType="end"/>
      </w:r>
    </w:p>
    <w:p w:rsidR="00024C0A" w:rsidRDefault="00694C0F">
      <w:pPr>
        <w:pStyle w:val="Definition-Field"/>
      </w:pPr>
      <w:r>
        <w:t xml:space="preserve">a.   </w:t>
      </w:r>
      <w:r>
        <w:rPr>
          <w:i/>
        </w:rPr>
        <w:t>The standard states t</w:t>
      </w:r>
      <w:r>
        <w:rPr>
          <w:i/>
        </w:rPr>
        <w:t>hat the values of the right, left, header, footer, and gutter attributes are defined by the XML Schema unsignedLong datatype.</w:t>
      </w:r>
    </w:p>
    <w:p w:rsidR="00024C0A" w:rsidRDefault="00694C0F">
      <w:pPr>
        <w:pStyle w:val="Definition-Field2"/>
      </w:pPr>
      <w:r>
        <w:t>Word restricts the values of these attributes to be at most 31680 (22").</w:t>
      </w:r>
    </w:p>
    <w:p w:rsidR="00024C0A" w:rsidRDefault="00694C0F">
      <w:pPr>
        <w:pStyle w:val="Definition-Field"/>
      </w:pPr>
      <w:r>
        <w:t xml:space="preserve">b.   </w:t>
      </w:r>
      <w:r>
        <w:rPr>
          <w:i/>
        </w:rPr>
        <w:t xml:space="preserve">The standard states that the values of the top and </w:t>
      </w:r>
      <w:r>
        <w:rPr>
          <w:i/>
        </w:rPr>
        <w:t>bottom attributes are defined by the XML Schema integer datatype.</w:t>
      </w:r>
    </w:p>
    <w:p w:rsidR="00024C0A" w:rsidRDefault="00694C0F">
      <w:pPr>
        <w:pStyle w:val="Definition-Field2"/>
      </w:pPr>
      <w:r>
        <w:t>Word restricts the values of these attributes to be at least -31680 (-22") and at most 31680 (22").</w:t>
      </w:r>
    </w:p>
    <w:p w:rsidR="00024C0A" w:rsidRDefault="00694C0F">
      <w:pPr>
        <w:pStyle w:val="Heading3"/>
      </w:pPr>
      <w:bookmarkStart w:id="453" w:name="section_a3bbd1887d1e400c9ea71d8f96eb62c4"/>
      <w:bookmarkStart w:id="454" w:name="_Toc12260287"/>
      <w:r>
        <w:t>Part 1 Section 17.6.12, pgNumType (Page Numbering Settings)</w:t>
      </w:r>
      <w:bookmarkEnd w:id="453"/>
      <w:bookmarkEnd w:id="454"/>
      <w:r>
        <w:fldChar w:fldCharType="begin"/>
      </w:r>
      <w:r>
        <w:instrText xml:space="preserve"> XE "pgNumType (Page Numbering </w:instrText>
      </w:r>
      <w:r>
        <w:instrText xml:space="preserve">Settings)" </w:instrText>
      </w:r>
      <w:r>
        <w:fldChar w:fldCharType="end"/>
      </w:r>
    </w:p>
    <w:p w:rsidR="00024C0A" w:rsidRDefault="00694C0F">
      <w:pPr>
        <w:pStyle w:val="Definition-Field"/>
      </w:pPr>
      <w:r>
        <w:t xml:space="preserve">a.   </w:t>
      </w:r>
      <w:r>
        <w:rPr>
          <w:i/>
        </w:rPr>
        <w:t>The standard states that the chapStyle attribute can be any integer value.</w:t>
      </w:r>
    </w:p>
    <w:p w:rsidR="00024C0A" w:rsidRDefault="00694C0F">
      <w:pPr>
        <w:pStyle w:val="Definition-Field2"/>
      </w:pPr>
      <w:r>
        <w:lastRenderedPageBreak/>
        <w:t>Word requires that this attribute is an unsigned byte.</w:t>
      </w:r>
    </w:p>
    <w:p w:rsidR="00024C0A" w:rsidRDefault="00694C0F">
      <w:pPr>
        <w:pStyle w:val="Definition-Field"/>
      </w:pPr>
      <w:r>
        <w:t xml:space="preserve">b.   </w:t>
      </w:r>
      <w:r>
        <w:rPr>
          <w:i/>
        </w:rPr>
        <w:t>The standard does not specify a default value for the chapSep attribute.</w:t>
      </w:r>
    </w:p>
    <w:p w:rsidR="00024C0A" w:rsidRDefault="00694C0F">
      <w:pPr>
        <w:pStyle w:val="Definition-Field2"/>
      </w:pPr>
      <w:r>
        <w:t xml:space="preserve">Word uses a default value of </w:t>
      </w:r>
      <w:r>
        <w:t>hyphen for this attribute.</w:t>
      </w:r>
    </w:p>
    <w:p w:rsidR="00024C0A" w:rsidRDefault="00694C0F">
      <w:pPr>
        <w:pStyle w:val="Definition-Field"/>
      </w:pPr>
      <w:r>
        <w:t xml:space="preserve">c.   </w:t>
      </w:r>
      <w:r>
        <w:rPr>
          <w:i/>
        </w:rPr>
        <w:t>The standard does not state a default for the fmt attribute.</w:t>
      </w:r>
    </w:p>
    <w:p w:rsidR="00024C0A" w:rsidRDefault="00694C0F">
      <w:pPr>
        <w:pStyle w:val="Definition-Field2"/>
      </w:pPr>
      <w:r>
        <w:t>Word uses a default value of decimal for this attribute.</w:t>
      </w:r>
    </w:p>
    <w:p w:rsidR="00024C0A" w:rsidRDefault="00694C0F">
      <w:pPr>
        <w:pStyle w:val="Definition-Field"/>
      </w:pPr>
      <w:r>
        <w:t xml:space="preserve">d.   </w:t>
      </w:r>
      <w:r>
        <w:rPr>
          <w:i/>
        </w:rPr>
        <w:t>The standard states that the start attribute can be any integer value.</w:t>
      </w:r>
    </w:p>
    <w:p w:rsidR="00024C0A" w:rsidRDefault="00694C0F">
      <w:pPr>
        <w:pStyle w:val="Definition-Field2"/>
      </w:pPr>
      <w:r>
        <w:t>Word requires that the start a</w:t>
      </w:r>
      <w:r>
        <w:t>ttribute is an unsigned 32-bit integer.</w:t>
      </w:r>
    </w:p>
    <w:p w:rsidR="00024C0A" w:rsidRDefault="00694C0F">
      <w:pPr>
        <w:pStyle w:val="Heading3"/>
      </w:pPr>
      <w:bookmarkStart w:id="455" w:name="section_e701752006b4438f97d23e49f247ca9f"/>
      <w:bookmarkStart w:id="456" w:name="_Toc12260288"/>
      <w:r>
        <w:t>Part 1 Section 17.6.13, pgSz (Page Size)</w:t>
      </w:r>
      <w:bookmarkEnd w:id="455"/>
      <w:bookmarkEnd w:id="456"/>
      <w:r>
        <w:fldChar w:fldCharType="begin"/>
      </w:r>
      <w:r>
        <w:instrText xml:space="preserve"> XE "pgSz (Page Size)" </w:instrText>
      </w:r>
      <w:r>
        <w:fldChar w:fldCharType="end"/>
      </w:r>
    </w:p>
    <w:p w:rsidR="00024C0A" w:rsidRDefault="00694C0F">
      <w:pPr>
        <w:pStyle w:val="Definition-Field"/>
      </w:pPr>
      <w:r>
        <w:t xml:space="preserve">a.   </w:t>
      </w:r>
      <w:r>
        <w:rPr>
          <w:i/>
        </w:rPr>
        <w:t>The standard states that the values of the code attribute are defined by the ST_DecimalNumber simple type.</w:t>
      </w:r>
    </w:p>
    <w:p w:rsidR="00024C0A" w:rsidRDefault="00694C0F">
      <w:pPr>
        <w:pStyle w:val="Definition-Field2"/>
      </w:pPr>
      <w:r>
        <w:t xml:space="preserve">Word restricts the value of this </w:t>
      </w:r>
      <w:r>
        <w:t>attribute to be at least 0 and at most 118.</w:t>
      </w:r>
    </w:p>
    <w:p w:rsidR="00024C0A" w:rsidRDefault="00694C0F">
      <w:pPr>
        <w:pStyle w:val="Definition-Field"/>
      </w:pPr>
      <w:r>
        <w:t xml:space="preserve">b.   </w:t>
      </w:r>
      <w:r>
        <w:rPr>
          <w:i/>
        </w:rPr>
        <w:t>The standard states that the h and w attributes can have any value in the range 0 to 4294967295, inclusive.</w:t>
      </w:r>
    </w:p>
    <w:p w:rsidR="00024C0A" w:rsidRDefault="00694C0F">
      <w:pPr>
        <w:pStyle w:val="Definition-Field2"/>
      </w:pPr>
      <w:r>
        <w:t xml:space="preserve">Word requires that this value is between the width of the page margins (and any column widths, for </w:t>
      </w:r>
      <w:r>
        <w:t>the w attribute) and 31680 (22 inches).</w:t>
      </w:r>
    </w:p>
    <w:p w:rsidR="00024C0A" w:rsidRDefault="00694C0F">
      <w:pPr>
        <w:pStyle w:val="Heading3"/>
      </w:pPr>
      <w:bookmarkStart w:id="457" w:name="section_5e58b73274f34537b4b6be33958bd32f"/>
      <w:bookmarkStart w:id="458" w:name="_Toc12260289"/>
      <w:r>
        <w:t>Part 1 Section 17.6.14, printerSettings (Reference to Printer Settings Data)</w:t>
      </w:r>
      <w:bookmarkEnd w:id="457"/>
      <w:bookmarkEnd w:id="458"/>
      <w:r>
        <w:fldChar w:fldCharType="begin"/>
      </w:r>
      <w:r>
        <w:instrText xml:space="preserve"> XE "printerSettings (Reference to Printer Settings Data)" </w:instrText>
      </w:r>
      <w:r>
        <w:fldChar w:fldCharType="end"/>
      </w:r>
    </w:p>
    <w:p w:rsidR="00024C0A" w:rsidRDefault="00694C0F">
      <w:pPr>
        <w:pStyle w:val="Definition-Field2"/>
      </w:pPr>
      <w:r>
        <w:rPr>
          <w:i/>
        </w:rPr>
        <w:t>For additional notes that apply to this portion of the standard, please see th</w:t>
      </w:r>
      <w:r>
        <w:rPr>
          <w:i/>
        </w:rPr>
        <w:t xml:space="preserve">e notes for </w:t>
      </w:r>
      <w:hyperlink w:anchor="Section_55e01b00ed934498b4e5b0bc0abdf97d">
        <w:r>
          <w:rPr>
            <w:rStyle w:val="Hyperlink"/>
          </w:rPr>
          <w:t>attachedTemplate, §17.15.1.6(a)</w:t>
        </w:r>
      </w:hyperlink>
      <w:r>
        <w:rPr>
          <w:i/>
        </w:rPr>
        <w:t>.</w:t>
      </w:r>
    </w:p>
    <w:p w:rsidR="00024C0A" w:rsidRDefault="00694C0F">
      <w:pPr>
        <w:pStyle w:val="Definition-Field"/>
      </w:pPr>
      <w:r>
        <w:t xml:space="preserve">a.   </w:t>
      </w:r>
      <w:r>
        <w:rPr>
          <w:i/>
        </w:rPr>
        <w:t>The standard states that the printerSettings element references the Printer Settings part associated with this section.</w:t>
      </w:r>
    </w:p>
    <w:p w:rsidR="00024C0A" w:rsidRDefault="00694C0F">
      <w:pPr>
        <w:pStyle w:val="Definition-Field2"/>
      </w:pPr>
      <w:r>
        <w:t>Word discards this elem</w:t>
      </w:r>
      <w:r>
        <w:t>ent and the associated Printer Settings part.</w:t>
      </w:r>
    </w:p>
    <w:p w:rsidR="00024C0A" w:rsidRDefault="00694C0F">
      <w:pPr>
        <w:pStyle w:val="Heading3"/>
      </w:pPr>
      <w:bookmarkStart w:id="459" w:name="section_0f1da753bf8a44e1a4a7ed7d1d0ba7b1"/>
      <w:bookmarkStart w:id="460" w:name="_Toc12260290"/>
      <w:r>
        <w:t>Part 1 Section 17.6.15, right (Right Border)</w:t>
      </w:r>
      <w:bookmarkEnd w:id="459"/>
      <w:bookmarkEnd w:id="460"/>
      <w:r>
        <w:fldChar w:fldCharType="begin"/>
      </w:r>
      <w:r>
        <w:instrText xml:space="preserve"> XE "right (Right Border)"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24C0A" w:rsidRDefault="00694C0F">
      <w:pPr>
        <w:pStyle w:val="Definition-Field"/>
      </w:pPr>
      <w:r>
        <w:t xml:space="preserve">a.   </w:t>
      </w:r>
      <w:r>
        <w:rPr>
          <w:i/>
        </w:rPr>
        <w:t>The standard states that the id attribute spec</w:t>
      </w:r>
      <w:r>
        <w:rPr>
          <w:i/>
        </w:rPr>
        <w:t>ifies a relationship ID for the border image.</w:t>
      </w:r>
    </w:p>
    <w:p w:rsidR="00024C0A" w:rsidRDefault="00694C0F">
      <w:pPr>
        <w:pStyle w:val="Definition-Field2"/>
      </w:pPr>
      <w:r>
        <w:t>Word ignores the id attribute.</w:t>
      </w:r>
    </w:p>
    <w:p w:rsidR="00024C0A" w:rsidRDefault="00694C0F">
      <w:pPr>
        <w:pStyle w:val="Heading3"/>
      </w:pPr>
      <w:bookmarkStart w:id="461" w:name="section_ce8217a61aad45fb8e56b8c3fe411fe1"/>
      <w:bookmarkStart w:id="462" w:name="_Toc12260291"/>
      <w:r>
        <w:t>Part 1 Section 17.6.17, sectPr (Document Final Section Properties)</w:t>
      </w:r>
      <w:bookmarkEnd w:id="461"/>
      <w:bookmarkEnd w:id="462"/>
      <w:r>
        <w:fldChar w:fldCharType="begin"/>
      </w:r>
      <w:r>
        <w:instrText xml:space="preserve"> XE "sectPr (Document Final Section Properties)" </w:instrText>
      </w:r>
      <w:r>
        <w:fldChar w:fldCharType="end"/>
      </w:r>
    </w:p>
    <w:p w:rsidR="00024C0A" w:rsidRDefault="00694C0F">
      <w:pPr>
        <w:pStyle w:val="Definition-Field2"/>
      </w:pPr>
      <w:r>
        <w:rPr>
          <w:i/>
        </w:rPr>
        <w:t>For additional notes that apply to this portion of the standa</w:t>
      </w:r>
      <w:r>
        <w:rPr>
          <w:i/>
        </w:rPr>
        <w:t xml:space="preserve">rd, please see the notes for </w:t>
      </w:r>
      <w:hyperlink w:anchor="Section_b6dd3f0a901b4698a7d1a1be4c1eb3f5">
        <w:r>
          <w:rPr>
            <w:rStyle w:val="Hyperlink"/>
          </w:rPr>
          <w:t>sectPr, §17.6.18(a, b)</w:t>
        </w:r>
      </w:hyperlink>
      <w:r>
        <w:rPr>
          <w:i/>
        </w:rPr>
        <w:t>.</w:t>
      </w:r>
    </w:p>
    <w:p w:rsidR="00024C0A" w:rsidRDefault="00694C0F">
      <w:pPr>
        <w:pStyle w:val="Heading3"/>
      </w:pPr>
      <w:bookmarkStart w:id="463" w:name="section_b6dd3f0a901b4698a7d1a1be4c1eb3f5"/>
      <w:bookmarkStart w:id="464" w:name="_Toc12260292"/>
      <w:r>
        <w:t>Part 1 Section 17.6.18, sectPr (Section Properties)</w:t>
      </w:r>
      <w:bookmarkEnd w:id="463"/>
      <w:bookmarkEnd w:id="464"/>
      <w:r>
        <w:fldChar w:fldCharType="begin"/>
      </w:r>
      <w:r>
        <w:instrText xml:space="preserve"> XE "sectPr (Section Properties)" </w:instrText>
      </w:r>
      <w:r>
        <w:fldChar w:fldCharType="end"/>
      </w:r>
    </w:p>
    <w:p w:rsidR="00024C0A" w:rsidRDefault="00694C0F">
      <w:pPr>
        <w:pStyle w:val="Definition-Field2"/>
      </w:pPr>
      <w:r>
        <w:rPr>
          <w:i/>
        </w:rPr>
        <w:t>For additional notes that apply to this portion of t</w:t>
      </w:r>
      <w:r>
        <w:rPr>
          <w:i/>
        </w:rPr>
        <w:t xml:space="preserve">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024C0A" w:rsidRDefault="00694C0F">
      <w:pPr>
        <w:pStyle w:val="Definition-Field"/>
      </w:pPr>
      <w:r>
        <w:t xml:space="preserve">a.   </w:t>
      </w:r>
      <w:r>
        <w:rPr>
          <w:i/>
        </w:rPr>
        <w:t>The standard appears to have the same definition for rsidSect as it does for rsidRPr.</w:t>
      </w:r>
    </w:p>
    <w:p w:rsidR="00024C0A" w:rsidRDefault="00694C0F">
      <w:pPr>
        <w:pStyle w:val="Definition-Field2"/>
      </w:pPr>
      <w:r>
        <w:lastRenderedPageBreak/>
        <w:t>Word</w:t>
      </w:r>
      <w:r>
        <w:t xml:space="preserve"> uses rsidSect to denote the editing session when the section properties were last modified.</w:t>
      </w:r>
    </w:p>
    <w:p w:rsidR="00024C0A" w:rsidRDefault="00694C0F">
      <w:pPr>
        <w:pStyle w:val="Definition-Field"/>
      </w:pPr>
      <w:r>
        <w:t xml:space="preserve">b.   </w:t>
      </w:r>
      <w:r>
        <w:rPr>
          <w:i/>
        </w:rPr>
        <w:t>The standard states that rsids are stored on the section properties, distinct from the paragraph in which they are located.</w:t>
      </w:r>
    </w:p>
    <w:p w:rsidR="00024C0A" w:rsidRDefault="00694C0F">
      <w:pPr>
        <w:pStyle w:val="Definition-Field2"/>
      </w:pPr>
      <w:r>
        <w:t>Word ignores rsids in the sectPr a</w:t>
      </w:r>
      <w:r>
        <w:t>nd instead applies the corresponding rsids from the containing p (for the sectPr of any non-final section) or the last p in the document (for the final section).</w:t>
      </w:r>
    </w:p>
    <w:p w:rsidR="00024C0A" w:rsidRDefault="00694C0F">
      <w:pPr>
        <w:pStyle w:val="Definition-Field"/>
      </w:pPr>
      <w:r>
        <w:t xml:space="preserve">c.   </w:t>
      </w:r>
      <w:r>
        <w:rPr>
          <w:i/>
        </w:rPr>
        <w:t>The standard states that a sectPr element can be contained within any pPr element.</w:t>
      </w:r>
    </w:p>
    <w:p w:rsidR="00024C0A" w:rsidRDefault="00694C0F">
      <w:pPr>
        <w:pStyle w:val="Definition-Field2"/>
      </w:pPr>
      <w:r>
        <w:t>Word d</w:t>
      </w:r>
      <w:r>
        <w:t>oes not allow this element to be used on paragraphs within tables, headers, footers, comments, footnotes, endnotes, or text boxes.</w:t>
      </w:r>
    </w:p>
    <w:p w:rsidR="00024C0A" w:rsidRDefault="00694C0F">
      <w:pPr>
        <w:pStyle w:val="Heading3"/>
      </w:pPr>
      <w:bookmarkStart w:id="465" w:name="section_24ff9b7e6fea433ba934bd70c6c24d1e"/>
      <w:bookmarkStart w:id="466" w:name="_Toc12260293"/>
      <w:r>
        <w:t>Part 1 Section 17.6.19, sectPr (Previous Section Properties)</w:t>
      </w:r>
      <w:bookmarkEnd w:id="465"/>
      <w:bookmarkEnd w:id="466"/>
      <w:r>
        <w:fldChar w:fldCharType="begin"/>
      </w:r>
      <w:r>
        <w:instrText xml:space="preserve"> XE "sectPr (Previous Section Properties)" </w:instrText>
      </w:r>
      <w:r>
        <w:fldChar w:fldCharType="end"/>
      </w:r>
    </w:p>
    <w:p w:rsidR="00024C0A" w:rsidRDefault="00694C0F">
      <w:pPr>
        <w:pStyle w:val="Definition-Field2"/>
      </w:pPr>
      <w:r>
        <w:rPr>
          <w:i/>
        </w:rPr>
        <w:t>For additional note</w:t>
      </w:r>
      <w:r>
        <w:rPr>
          <w:i/>
        </w:rPr>
        <w:t xml:space="preserve">s that apply to this portion of the standard, please see the notes for </w:t>
      </w:r>
      <w:hyperlink w:anchor="Section_b6dd3f0a901b4698a7d1a1be4c1eb3f5">
        <w:r>
          <w:rPr>
            <w:rStyle w:val="Hyperlink"/>
          </w:rPr>
          <w:t>sectPr, §17.6.18(a, b)</w:t>
        </w:r>
      </w:hyperlink>
      <w:r>
        <w:rPr>
          <w:i/>
        </w:rPr>
        <w:t>.</w:t>
      </w:r>
    </w:p>
    <w:p w:rsidR="00024C0A" w:rsidRDefault="00694C0F">
      <w:pPr>
        <w:pStyle w:val="Definition-Field"/>
      </w:pPr>
      <w:r>
        <w:t xml:space="preserve">a.   </w:t>
      </w:r>
      <w:r>
        <w:rPr>
          <w:i/>
        </w:rPr>
        <w:t>The standard states that text flow direction can differ between previous section properties a</w:t>
      </w:r>
      <w:r>
        <w:rPr>
          <w:i/>
        </w:rPr>
        <w:t>nd current section properties.</w:t>
      </w:r>
    </w:p>
    <w:p w:rsidR="00024C0A" w:rsidRDefault="00694C0F">
      <w:pPr>
        <w:pStyle w:val="Definition-Field2"/>
      </w:pPr>
      <w:r>
        <w:t>Word sets the text direction in the previous section properties to the text flow direction specified in the current section properties.</w:t>
      </w:r>
    </w:p>
    <w:p w:rsidR="00024C0A" w:rsidRDefault="00694C0F">
      <w:pPr>
        <w:pStyle w:val="Heading3"/>
      </w:pPr>
      <w:bookmarkStart w:id="467" w:name="section_8e7719cb43844e26a23187be6b37083a"/>
      <w:bookmarkStart w:id="468" w:name="_Toc12260294"/>
      <w:r>
        <w:t>Part 1 Section 17.6.21, top (Top Border)</w:t>
      </w:r>
      <w:bookmarkEnd w:id="467"/>
      <w:bookmarkEnd w:id="468"/>
      <w:r>
        <w:fldChar w:fldCharType="begin"/>
      </w:r>
      <w:r>
        <w:instrText xml:space="preserve"> XE "top (Top Border)" </w:instrText>
      </w:r>
      <w:r>
        <w:fldChar w:fldCharType="end"/>
      </w:r>
    </w:p>
    <w:p w:rsidR="00024C0A" w:rsidRDefault="00694C0F">
      <w:pPr>
        <w:pStyle w:val="Definition-Field2"/>
      </w:pPr>
      <w:r>
        <w:rPr>
          <w:i/>
        </w:rPr>
        <w:t>For additional notes th</w:t>
      </w:r>
      <w:r>
        <w:rPr>
          <w:i/>
        </w:rPr>
        <w:t xml:space="preserve">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24C0A" w:rsidRDefault="00694C0F">
      <w:pPr>
        <w:pStyle w:val="Definition-Field"/>
      </w:pPr>
      <w:r>
        <w:t xml:space="preserve">a.   </w:t>
      </w:r>
      <w:r>
        <w:rPr>
          <w:i/>
        </w:rPr>
        <w:t>The standard states that topLeft, topRight, and id are attributes on the top element.</w:t>
      </w:r>
    </w:p>
    <w:p w:rsidR="00024C0A" w:rsidRDefault="00694C0F">
      <w:pPr>
        <w:pStyle w:val="Definition-Field2"/>
      </w:pPr>
      <w:r>
        <w:t>Word ignores topLeft, topRight, and id attributes.</w:t>
      </w:r>
    </w:p>
    <w:p w:rsidR="00024C0A" w:rsidRDefault="00694C0F">
      <w:pPr>
        <w:pStyle w:val="Heading3"/>
      </w:pPr>
      <w:bookmarkStart w:id="469" w:name="section_b2b9f6962920492c92412a7b9ab6604e"/>
      <w:bookmarkStart w:id="470" w:name="_Toc12260295"/>
      <w:r>
        <w:t>Part 1 Section 17.6.22, type (Section Type)</w:t>
      </w:r>
      <w:bookmarkEnd w:id="469"/>
      <w:bookmarkEnd w:id="470"/>
      <w:r>
        <w:fldChar w:fldCharType="begin"/>
      </w:r>
      <w:r>
        <w:instrText xml:space="preserve"> XE "type (Section Type)" </w:instrText>
      </w:r>
      <w:r>
        <w:fldChar w:fldCharType="end"/>
      </w:r>
    </w:p>
    <w:p w:rsidR="00024C0A" w:rsidRDefault="00694C0F">
      <w:pPr>
        <w:pStyle w:val="Definition-Field"/>
      </w:pPr>
      <w:r>
        <w:t xml:space="preserve">a.   </w:t>
      </w:r>
      <w:r>
        <w:rPr>
          <w:i/>
        </w:rPr>
        <w:t>The standard implies that the val attribute is optional.</w:t>
      </w:r>
    </w:p>
    <w:p w:rsidR="00024C0A" w:rsidRDefault="00694C0F">
      <w:pPr>
        <w:pStyle w:val="Definition-Field2"/>
      </w:pPr>
      <w:r>
        <w:t>Word requires this attribute.</w:t>
      </w:r>
    </w:p>
    <w:p w:rsidR="00024C0A" w:rsidRDefault="00694C0F">
      <w:pPr>
        <w:pStyle w:val="Heading3"/>
      </w:pPr>
      <w:bookmarkStart w:id="471" w:name="section_70d90b35eedb4800b270814e892de6fe"/>
      <w:bookmarkStart w:id="472" w:name="_Toc12260296"/>
      <w:r>
        <w:t>Part 1 Section 17.7.1, Style Inheritance</w:t>
      </w:r>
      <w:bookmarkEnd w:id="471"/>
      <w:bookmarkEnd w:id="472"/>
      <w:r>
        <w:fldChar w:fldCharType="begin"/>
      </w:r>
      <w:r>
        <w:instrText xml:space="preserve"> XE "Style Inheritance" </w:instrText>
      </w:r>
      <w:r>
        <w:fldChar w:fldCharType="end"/>
      </w:r>
    </w:p>
    <w:p w:rsidR="00024C0A" w:rsidRDefault="00694C0F">
      <w:pPr>
        <w:pStyle w:val="Definition-Field"/>
      </w:pPr>
      <w:r>
        <w:t xml:space="preserve">a.   </w:t>
      </w:r>
      <w:r>
        <w:rPr>
          <w:i/>
        </w:rPr>
        <w:t>The standard ambiguously states that a style's definition "shou</w:t>
      </w:r>
      <w:r>
        <w:rPr>
          <w:i/>
        </w:rPr>
        <w:t>ld not" duplicate properties that are specified by the document defaults or any previous level in the style's hierarchy.</w:t>
      </w:r>
    </w:p>
    <w:p w:rsidR="00024C0A" w:rsidRDefault="00694C0F">
      <w:pPr>
        <w:pStyle w:val="Definition-Field2"/>
      </w:pPr>
      <w:r>
        <w:t>Word may include properties in a style's definition which are already defined and unchanged in the document defaults or a previous leve</w:t>
      </w:r>
      <w:r>
        <w:t>l of the style's hierarchy.</w:t>
      </w:r>
    </w:p>
    <w:p w:rsidR="00024C0A" w:rsidRDefault="00694C0F">
      <w:pPr>
        <w:pStyle w:val="Heading3"/>
      </w:pPr>
      <w:bookmarkStart w:id="473" w:name="section_f20aa1bd46a84833bf1cee47082e12ba"/>
      <w:bookmarkStart w:id="474" w:name="_Toc12260297"/>
      <w:r>
        <w:t>Part 1 Section 17.7.2, Style Hierarchy</w:t>
      </w:r>
      <w:bookmarkEnd w:id="473"/>
      <w:bookmarkEnd w:id="474"/>
      <w:r>
        <w:fldChar w:fldCharType="begin"/>
      </w:r>
      <w:r>
        <w:instrText xml:space="preserve"> XE "Style Hierarchy" </w:instrText>
      </w:r>
      <w:r>
        <w:fldChar w:fldCharType="end"/>
      </w:r>
    </w:p>
    <w:p w:rsidR="00024C0A" w:rsidRDefault="00694C0F">
      <w:pPr>
        <w:pStyle w:val="Definition-Field"/>
      </w:pPr>
      <w:r>
        <w:t xml:space="preserve">a.   </w:t>
      </w:r>
      <w:r>
        <w:rPr>
          <w:i/>
        </w:rPr>
        <w:t>The standard states that numbering styles are applied before paragraph styles in the style hierarchy.</w:t>
      </w:r>
    </w:p>
    <w:p w:rsidR="00024C0A" w:rsidRDefault="00694C0F">
      <w:pPr>
        <w:pStyle w:val="Definition-Field2"/>
      </w:pPr>
      <w:r>
        <w:t xml:space="preserve">Word applies paragraph styles before numbering styles in </w:t>
      </w:r>
      <w:r>
        <w:t>the style hierarchy.</w:t>
      </w:r>
    </w:p>
    <w:p w:rsidR="00024C0A" w:rsidRDefault="00694C0F">
      <w:pPr>
        <w:pStyle w:val="Heading3"/>
      </w:pPr>
      <w:bookmarkStart w:id="475" w:name="section_f7130225236848f3acaea9d278d0fb25"/>
      <w:bookmarkStart w:id="476" w:name="_Toc12260298"/>
      <w:r>
        <w:lastRenderedPageBreak/>
        <w:t>Part 1 Section 17.7.3, Toggle Properties</w:t>
      </w:r>
      <w:bookmarkEnd w:id="475"/>
      <w:bookmarkEnd w:id="476"/>
      <w:r>
        <w:fldChar w:fldCharType="begin"/>
      </w:r>
      <w:r>
        <w:instrText xml:space="preserve"> XE "Toggle Properties" </w:instrText>
      </w:r>
      <w:r>
        <w:fldChar w:fldCharType="end"/>
      </w:r>
    </w:p>
    <w:p w:rsidR="00024C0A" w:rsidRDefault="00694C0F">
      <w:pPr>
        <w:pStyle w:val="Definition-Field"/>
      </w:pPr>
      <w:r>
        <w:t xml:space="preserve">a.   </w:t>
      </w:r>
      <w:r>
        <w:rPr>
          <w:i/>
        </w:rPr>
        <w:t>The standard states that if a toggle property is not explicitly set in direct formatting, the toggle property appears at multiple levels of the style hierarchy, an</w:t>
      </w:r>
      <w:r>
        <w:rPr>
          <w:i/>
        </w:rPr>
        <w:t>d the value specified by the document defaults is true, the effective value is true.</w:t>
      </w:r>
    </w:p>
    <w:p w:rsidR="00024C0A" w:rsidRDefault="00694C0F">
      <w:pPr>
        <w:pStyle w:val="Definition-Field2"/>
      </w:pPr>
      <w:r>
        <w:t xml:space="preserve">In this case, Word determines that the effective value to be applied to the content shall be true if and only if its effective value is false for an even number of levels </w:t>
      </w:r>
      <w:r>
        <w:t>in the style hierarchy.</w:t>
      </w:r>
    </w:p>
    <w:p w:rsidR="00024C0A" w:rsidRDefault="00694C0F">
      <w:pPr>
        <w:pStyle w:val="Definition-Field"/>
      </w:pPr>
      <w:r>
        <w:t xml:space="preserve">b.   </w:t>
      </w:r>
      <w:r>
        <w:rPr>
          <w:i/>
        </w:rPr>
        <w:t>The standard states that if no value is encountered on a level of the style hierarchy, the property takes on its default value.</w:t>
      </w:r>
    </w:p>
    <w:p w:rsidR="00024C0A" w:rsidRDefault="00694C0F">
      <w:pPr>
        <w:pStyle w:val="Definition-Field2"/>
      </w:pPr>
      <w:r>
        <w:t>In Word, if no value is encountered on a level of the style hierarchy, the property takes on the va</w:t>
      </w:r>
      <w:r>
        <w:t>lue specified by the document defaults.</w:t>
      </w:r>
    </w:p>
    <w:p w:rsidR="00024C0A" w:rsidRDefault="00694C0F">
      <w:pPr>
        <w:pStyle w:val="Definition-Field"/>
        <w:rPr>
          <w:i/>
        </w:rPr>
      </w:pPr>
      <w:r>
        <w:rPr>
          <w:i/>
        </w:rPr>
        <w:t>c.   The standard states that if a paragraph style does not set a bold property value to false, and the paragraph style specified by its basedOn element specifies that it is true, the result of applying the style def</w:t>
      </w:r>
      <w:r>
        <w:rPr>
          <w:i/>
        </w:rPr>
        <w:t>inition sets the value of bold to true.</w:t>
      </w:r>
    </w:p>
    <w:p w:rsidR="00024C0A" w:rsidRDefault="00694C0F">
      <w:pPr>
        <w:pStyle w:val="Definition-Field2"/>
      </w:pPr>
      <w:r>
        <w:t>Versions of Microsoft Word prior to Word 2016 do not correctly display toggle properties for a table style unless the property is specified directly in the referenced table style.</w:t>
      </w:r>
    </w:p>
    <w:p w:rsidR="00024C0A" w:rsidRDefault="00694C0F">
      <w:pPr>
        <w:pStyle w:val="Heading3"/>
      </w:pPr>
      <w:bookmarkStart w:id="477" w:name="section_a8bca340ed81482c84ca7f105a1a11cf"/>
      <w:bookmarkStart w:id="478" w:name="_Toc12260299"/>
      <w:r>
        <w:t>Part 1 Section 17.7.4.1, aliases (Al</w:t>
      </w:r>
      <w:r>
        <w:t>ternate Style Names)</w:t>
      </w:r>
      <w:bookmarkEnd w:id="477"/>
      <w:bookmarkEnd w:id="478"/>
      <w:r>
        <w:fldChar w:fldCharType="begin"/>
      </w:r>
      <w:r>
        <w:instrText xml:space="preserve"> XE "aliases (Alternate Style Names)"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024C0A" w:rsidRDefault="00694C0F">
      <w:pPr>
        <w:pStyle w:val="Definition-Field"/>
      </w:pPr>
      <w:r>
        <w:t xml:space="preserve">a.   </w:t>
      </w:r>
      <w:r>
        <w:rPr>
          <w:i/>
        </w:rPr>
        <w:t>The standa</w:t>
      </w:r>
      <w:r>
        <w:rPr>
          <w:i/>
        </w:rPr>
        <w:t>rd states that any series of alternate style names is valid.</w:t>
      </w:r>
    </w:p>
    <w:p w:rsidR="00024C0A" w:rsidRDefault="00694C0F">
      <w:pPr>
        <w:pStyle w:val="Definition-Field2"/>
      </w:pPr>
      <w:r>
        <w:t>Word does not roundtrip multiple instances of an identical style name (including both duplication within this element and duplication with the primary style name).</w:t>
      </w:r>
    </w:p>
    <w:p w:rsidR="00024C0A" w:rsidRDefault="00694C0F">
      <w:pPr>
        <w:pStyle w:val="Definition-Field"/>
      </w:pPr>
      <w:r>
        <w:t xml:space="preserve">b.   </w:t>
      </w:r>
      <w:r>
        <w:rPr>
          <w:i/>
        </w:rPr>
        <w:t>The standard states that a</w:t>
      </w:r>
      <w:r>
        <w:rPr>
          <w:i/>
        </w:rPr>
        <w:t>ny number of consecutive comma characters can be used to delimit consecutive style names.</w:t>
      </w:r>
    </w:p>
    <w:p w:rsidR="00024C0A" w:rsidRDefault="00694C0F">
      <w:pPr>
        <w:pStyle w:val="Definition-Field2"/>
      </w:pPr>
      <w:r>
        <w:t>Word discards all aliases after the presence of multiple consecutive comma characters.</w:t>
      </w:r>
    </w:p>
    <w:p w:rsidR="00024C0A" w:rsidRDefault="00694C0F">
      <w:pPr>
        <w:pStyle w:val="Definition-Field"/>
      </w:pPr>
      <w:r>
        <w:t xml:space="preserve">c.   </w:t>
      </w:r>
      <w:r>
        <w:rPr>
          <w:i/>
        </w:rPr>
        <w:t>The standard does not limit the length of the value of the val attribute.</w:t>
      </w:r>
    </w:p>
    <w:p w:rsidR="00024C0A" w:rsidRDefault="00694C0F">
      <w:pPr>
        <w:pStyle w:val="Definition-Field2"/>
      </w:pPr>
      <w:r>
        <w:t>Word restricts the value of this attribute to be at most 253 characters, removing all aliases whose inclusion would exceed that length.</w:t>
      </w:r>
    </w:p>
    <w:p w:rsidR="00024C0A" w:rsidRDefault="00694C0F">
      <w:pPr>
        <w:pStyle w:val="Heading3"/>
      </w:pPr>
      <w:bookmarkStart w:id="479" w:name="section_97f8900f7cbd47c5878b7b80c8599cb3"/>
      <w:bookmarkStart w:id="480" w:name="_Toc12260300"/>
      <w:r>
        <w:t>Part 1 Section 17.7.4.2, autoRedefine (Automatically Merge User Formatting Into Style Definition)</w:t>
      </w:r>
      <w:bookmarkEnd w:id="479"/>
      <w:bookmarkEnd w:id="480"/>
      <w:r>
        <w:fldChar w:fldCharType="begin"/>
      </w:r>
      <w:r>
        <w:instrText xml:space="preserve"> XE "autoRedefine (Auto</w:instrText>
      </w:r>
      <w:r>
        <w:instrText xml:space="preserve">matically Merge User Formatting Into Style Definition)" </w:instrText>
      </w:r>
      <w:r>
        <w:fldChar w:fldCharType="end"/>
      </w:r>
    </w:p>
    <w:p w:rsidR="00024C0A" w:rsidRDefault="00694C0F">
      <w:pPr>
        <w:pStyle w:val="Definition-Field"/>
      </w:pPr>
      <w:r>
        <w:t xml:space="preserve">a.   </w:t>
      </w:r>
      <w:r>
        <w:rPr>
          <w:i/>
        </w:rPr>
        <w:t>The standard states that this element can be specified for any type of style.</w:t>
      </w:r>
    </w:p>
    <w:p w:rsidR="00024C0A" w:rsidRDefault="00694C0F">
      <w:pPr>
        <w:pStyle w:val="Definition-Field2"/>
      </w:pPr>
      <w:r>
        <w:t>Word only applies this element to paragraph styles.</w:t>
      </w:r>
    </w:p>
    <w:p w:rsidR="00024C0A" w:rsidRDefault="00694C0F">
      <w:pPr>
        <w:pStyle w:val="Heading3"/>
      </w:pPr>
      <w:bookmarkStart w:id="481" w:name="section_51a9f19520db446fa805e9860978c28d"/>
      <w:bookmarkStart w:id="482" w:name="_Toc12260301"/>
      <w:r>
        <w:t>Part 1 Section 17.7.4.3, basedOn (Parent Style ID)</w:t>
      </w:r>
      <w:bookmarkEnd w:id="481"/>
      <w:bookmarkEnd w:id="482"/>
      <w:r>
        <w:fldChar w:fldCharType="begin"/>
      </w:r>
      <w:r>
        <w:instrText xml:space="preserve"> XE "basedOn</w:instrText>
      </w:r>
      <w:r>
        <w:instrText xml:space="preserve"> (Parent Style ID)"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024C0A" w:rsidRDefault="00694C0F">
      <w:pPr>
        <w:pStyle w:val="Definition-Field"/>
      </w:pPr>
      <w:r>
        <w:t xml:space="preserve">a.   </w:t>
      </w:r>
      <w:r>
        <w:rPr>
          <w:i/>
        </w:rPr>
        <w:t xml:space="preserve">The standard allows loops in the style based-on </w:t>
      </w:r>
      <w:r>
        <w:rPr>
          <w:i/>
        </w:rPr>
        <w:t>chain.</w:t>
      </w:r>
    </w:p>
    <w:p w:rsidR="00024C0A" w:rsidRDefault="00694C0F">
      <w:pPr>
        <w:pStyle w:val="Definition-Field2"/>
      </w:pPr>
      <w:r>
        <w:t>Word requires that the style based-on chain does not have a circular reference.</w:t>
      </w:r>
    </w:p>
    <w:p w:rsidR="00024C0A" w:rsidRDefault="00694C0F">
      <w:pPr>
        <w:pStyle w:val="Definition-Field"/>
      </w:pPr>
      <w:r>
        <w:t xml:space="preserve">b.   </w:t>
      </w:r>
      <w:r>
        <w:rPr>
          <w:i/>
        </w:rPr>
        <w:t>The standard does not limit the length of the value of the val attribute.</w:t>
      </w:r>
    </w:p>
    <w:p w:rsidR="00024C0A" w:rsidRDefault="00694C0F">
      <w:pPr>
        <w:pStyle w:val="Definition-Field2"/>
      </w:pPr>
      <w:r>
        <w:lastRenderedPageBreak/>
        <w:t>Word restricts the value of this attribute to be at most 253 characters.</w:t>
      </w:r>
    </w:p>
    <w:p w:rsidR="00024C0A" w:rsidRDefault="00694C0F">
      <w:pPr>
        <w:pStyle w:val="Heading3"/>
      </w:pPr>
      <w:bookmarkStart w:id="483" w:name="section_08608911e4574cbd8a3001b9433dc849"/>
      <w:bookmarkStart w:id="484" w:name="_Toc12260302"/>
      <w:r>
        <w:t>Part 1 Section 17</w:t>
      </w:r>
      <w:r>
        <w:t>.7.4.5, latentStyles (Latent Style Information)</w:t>
      </w:r>
      <w:bookmarkEnd w:id="483"/>
      <w:bookmarkEnd w:id="484"/>
      <w:r>
        <w:fldChar w:fldCharType="begin"/>
      </w:r>
      <w:r>
        <w:instrText xml:space="preserve"> XE "latentStyles (Latent Style Information)" </w:instrText>
      </w:r>
      <w:r>
        <w:fldChar w:fldCharType="end"/>
      </w:r>
    </w:p>
    <w:p w:rsidR="00024C0A" w:rsidRDefault="00694C0F">
      <w:pPr>
        <w:pStyle w:val="Definition-Field"/>
      </w:pPr>
      <w:r>
        <w:t xml:space="preserve">a.   </w:t>
      </w:r>
      <w:r>
        <w:rPr>
          <w:i/>
        </w:rPr>
        <w:t>The standard allows any integer for defUIPriorty.</w:t>
      </w:r>
    </w:p>
    <w:p w:rsidR="00024C0A" w:rsidRDefault="00694C0F">
      <w:pPr>
        <w:pStyle w:val="Definition-Field2"/>
      </w:pPr>
      <w:r>
        <w:t>Word allows values between 0 and 99 inclusive for defUIPriority.</w:t>
      </w:r>
    </w:p>
    <w:p w:rsidR="00024C0A" w:rsidRDefault="00694C0F">
      <w:pPr>
        <w:pStyle w:val="Definition-Field"/>
      </w:pPr>
      <w:r>
        <w:t xml:space="preserve">b.   </w:t>
      </w:r>
      <w:r>
        <w:rPr>
          <w:i/>
        </w:rPr>
        <w:t>The standard says that count specif</w:t>
      </w:r>
      <w:r>
        <w:rPr>
          <w:i/>
        </w:rPr>
        <w:t>ies how many built-in styles to apply latent style defaults to, but does not specify which ones.</w:t>
      </w:r>
    </w:p>
    <w:p w:rsidR="00024C0A" w:rsidRDefault="00694C0F">
      <w:pPr>
        <w:pStyle w:val="Definition-Field2"/>
      </w:pPr>
      <w:r>
        <w:t>Word applies these latent style defaults to the built-in styles in order of their index within Word’s built-in styles. The table listing the primary style name</w:t>
      </w:r>
      <w:r>
        <w:t>s of the built-in styles ("</w:t>
      </w:r>
      <w:hyperlink r:id="rId91">
        <w:r>
          <w:rPr>
            <w:rStyle w:val="Hyperlink"/>
          </w:rPr>
          <w:t>[ISO/IEC-29500-1]</w:t>
        </w:r>
      </w:hyperlink>
      <w:r>
        <w:t xml:space="preserve"> §17.7.4.9; name") provides the index for each built-in style.</w:t>
      </w:r>
    </w:p>
    <w:p w:rsidR="00024C0A" w:rsidRDefault="00694C0F">
      <w:pPr>
        <w:pStyle w:val="Definition-Field"/>
      </w:pPr>
      <w:r>
        <w:t xml:space="preserve">c.   </w:t>
      </w:r>
      <w:r>
        <w:rPr>
          <w:i/>
        </w:rPr>
        <w:t>The standard says the default value for defUiPriority is 99.</w:t>
      </w:r>
    </w:p>
    <w:p w:rsidR="00024C0A" w:rsidRDefault="00694C0F">
      <w:pPr>
        <w:pStyle w:val="Definition-Field2"/>
      </w:pPr>
      <w:r>
        <w:t xml:space="preserve">In Word, the </w:t>
      </w:r>
      <w:r>
        <w:t>default value for defUiPriority is 0.</w:t>
      </w:r>
    </w:p>
    <w:p w:rsidR="00024C0A" w:rsidRDefault="00694C0F">
      <w:pPr>
        <w:pStyle w:val="Definition-Field"/>
      </w:pPr>
      <w:r>
        <w:t xml:space="preserve">d.   </w:t>
      </w:r>
      <w:r>
        <w:rPr>
          <w:i/>
        </w:rPr>
        <w:t>The standard does not specify default behavior when count is omitted.</w:t>
      </w:r>
    </w:p>
    <w:p w:rsidR="00024C0A" w:rsidRDefault="00694C0F">
      <w:pPr>
        <w:pStyle w:val="Definition-Field2"/>
      </w:pPr>
      <w:r>
        <w:t>If count is omitted, then Word applies the latent style defaults to all known built-in styles.</w:t>
      </w:r>
    </w:p>
    <w:p w:rsidR="00024C0A" w:rsidRDefault="00694C0F">
      <w:pPr>
        <w:pStyle w:val="Heading3"/>
      </w:pPr>
      <w:bookmarkStart w:id="485" w:name="section_a1ed4f25b4cf446a89352c1579325c94"/>
      <w:bookmarkStart w:id="486" w:name="_Toc12260303"/>
      <w:r>
        <w:t>Part 1 Section 17.7.4.6, link (Linked Style Refe</w:t>
      </w:r>
      <w:r>
        <w:t>rence)</w:t>
      </w:r>
      <w:bookmarkEnd w:id="485"/>
      <w:bookmarkEnd w:id="486"/>
      <w:r>
        <w:fldChar w:fldCharType="begin"/>
      </w:r>
      <w:r>
        <w:instrText xml:space="preserve"> XE "link (Linked Style Reference)"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024C0A" w:rsidRDefault="00694C0F">
      <w:pPr>
        <w:pStyle w:val="Definition-Field"/>
      </w:pPr>
      <w:r>
        <w:t xml:space="preserve">a.   </w:t>
      </w:r>
      <w:r>
        <w:rPr>
          <w:i/>
        </w:rPr>
        <w:t>The standard does not spec</w:t>
      </w:r>
      <w:r>
        <w:rPr>
          <w:i/>
        </w:rPr>
        <w:t>ify behavior when more than one style specifies the same styleId for a link.</w:t>
      </w:r>
    </w:p>
    <w:p w:rsidR="00024C0A" w:rsidRDefault="00694C0F">
      <w:pPr>
        <w:pStyle w:val="Definition-Field2"/>
      </w:pPr>
      <w:r>
        <w:t>Word ignores all but the last link to a given style.</w:t>
      </w:r>
    </w:p>
    <w:p w:rsidR="00024C0A" w:rsidRDefault="00694C0F">
      <w:pPr>
        <w:pStyle w:val="Definition-Field"/>
      </w:pPr>
      <w:r>
        <w:t xml:space="preserve">b.   </w:t>
      </w:r>
      <w:r>
        <w:rPr>
          <w:i/>
        </w:rPr>
        <w:t>The standard does not specify behavior for a singly linked style pairing.</w:t>
      </w:r>
    </w:p>
    <w:p w:rsidR="00024C0A" w:rsidRDefault="00694C0F">
      <w:pPr>
        <w:pStyle w:val="Definition-Field2"/>
      </w:pPr>
      <w:r>
        <w:t>If Word reads a singly-linked style pairing, it</w:t>
      </w:r>
      <w:r>
        <w:t xml:space="preserve"> makes the linking bi-directional.</w:t>
      </w:r>
    </w:p>
    <w:p w:rsidR="00024C0A" w:rsidRDefault="00694C0F">
      <w:pPr>
        <w:pStyle w:val="Definition-Field"/>
      </w:pPr>
      <w:r>
        <w:t xml:space="preserve">c.   </w:t>
      </w:r>
      <w:r>
        <w:rPr>
          <w:i/>
        </w:rPr>
        <w:t>The standard does not limit the length of the value of the val attribute.</w:t>
      </w:r>
    </w:p>
    <w:p w:rsidR="00024C0A" w:rsidRDefault="00694C0F">
      <w:pPr>
        <w:pStyle w:val="Definition-Field2"/>
      </w:pPr>
      <w:r>
        <w:t>Word restricts the value of this attribute to be at most 253 characters.</w:t>
      </w:r>
    </w:p>
    <w:p w:rsidR="00024C0A" w:rsidRDefault="00694C0F">
      <w:pPr>
        <w:pStyle w:val="Heading3"/>
      </w:pPr>
      <w:bookmarkStart w:id="487" w:name="section_2e117ead5ede4f1bb2d9bf4a463da221"/>
      <w:bookmarkStart w:id="488" w:name="_Toc12260304"/>
      <w:r>
        <w:t>Part 1 Section 17.7.4.8, lsdException (Latent Style Exception)</w:t>
      </w:r>
      <w:bookmarkEnd w:id="487"/>
      <w:bookmarkEnd w:id="488"/>
      <w:r>
        <w:fldChar w:fldCharType="begin"/>
      </w:r>
      <w:r>
        <w:instrText xml:space="preserve"> XE "ls</w:instrText>
      </w:r>
      <w:r>
        <w:instrText xml:space="preserve">dException (Latent Style Exception)" </w:instrText>
      </w:r>
      <w:r>
        <w:fldChar w:fldCharType="end"/>
      </w:r>
    </w:p>
    <w:p w:rsidR="00024C0A" w:rsidRDefault="00694C0F">
      <w:pPr>
        <w:pStyle w:val="Definition-Field"/>
      </w:pPr>
      <w:r>
        <w:t xml:space="preserve">a.   </w:t>
      </w:r>
      <w:r>
        <w:rPr>
          <w:i/>
        </w:rPr>
        <w:t>The standard allows an unbounded integer for uiPriority.</w:t>
      </w:r>
    </w:p>
    <w:p w:rsidR="00024C0A" w:rsidRDefault="00694C0F">
      <w:pPr>
        <w:pStyle w:val="Definition-Field2"/>
      </w:pPr>
      <w:r>
        <w:t>Word allows values between 0 and 99 for uiPriority.</w:t>
      </w:r>
    </w:p>
    <w:p w:rsidR="00024C0A" w:rsidRDefault="00694C0F">
      <w:pPr>
        <w:pStyle w:val="Heading3"/>
      </w:pPr>
      <w:bookmarkStart w:id="489" w:name="section_716e4d7c3b23421096172b8324486a3b"/>
      <w:bookmarkStart w:id="490" w:name="_Toc12260305"/>
      <w:r>
        <w:t>Part 1 Section 17.7.4.9, name (Primary Style Name)</w:t>
      </w:r>
      <w:bookmarkEnd w:id="489"/>
      <w:bookmarkEnd w:id="490"/>
      <w:r>
        <w:fldChar w:fldCharType="begin"/>
      </w:r>
      <w:r>
        <w:instrText xml:space="preserve"> XE "name (Primary Style Name)" </w:instrText>
      </w:r>
      <w:r>
        <w:fldChar w:fldCharType="end"/>
      </w:r>
    </w:p>
    <w:p w:rsidR="00024C0A" w:rsidRDefault="00694C0F">
      <w:pPr>
        <w:pStyle w:val="Definition-Field"/>
      </w:pPr>
      <w:r>
        <w:t xml:space="preserve">a.   </w:t>
      </w:r>
      <w:r>
        <w:rPr>
          <w:i/>
        </w:rPr>
        <w:t>The standard</w:t>
      </w:r>
      <w:r>
        <w:rPr>
          <w:i/>
        </w:rPr>
        <w:t xml:space="preserve"> does not place any restrictions on the value of the val attribute.</w:t>
      </w:r>
    </w:p>
    <w:p w:rsidR="00024C0A" w:rsidRDefault="00694C0F">
      <w:pPr>
        <w:pStyle w:val="Definition-Field2"/>
      </w:pPr>
      <w:r>
        <w:t>Word does not allow commas in this attribute's value.</w:t>
      </w:r>
    </w:p>
    <w:p w:rsidR="00024C0A" w:rsidRDefault="00694C0F">
      <w:pPr>
        <w:pStyle w:val="Definition-Field"/>
      </w:pPr>
      <w:r>
        <w:t xml:space="preserve">b.   </w:t>
      </w:r>
      <w:r>
        <w:rPr>
          <w:i/>
        </w:rPr>
        <w:t>The standard does not limit the length of the value of the val attribute.</w:t>
      </w:r>
    </w:p>
    <w:p w:rsidR="00024C0A" w:rsidRDefault="00694C0F">
      <w:pPr>
        <w:pStyle w:val="Definition-Field2"/>
      </w:pPr>
      <w:r>
        <w:t>Word restricts the combined length of the primary style</w:t>
      </w:r>
      <w:r>
        <w:t xml:space="preserve"> name, all aliases, and alias separators (commas) to be at most 253 characters.</w:t>
      </w:r>
    </w:p>
    <w:p w:rsidR="00024C0A" w:rsidRDefault="00694C0F">
      <w:pPr>
        <w:pStyle w:val="Definition-Field"/>
      </w:pPr>
      <w:r>
        <w:lastRenderedPageBreak/>
        <w:t xml:space="preserve">c.   </w:t>
      </w:r>
      <w:r>
        <w:rPr>
          <w:i/>
        </w:rPr>
        <w:t>The standard does not specify to remove white space from the beginning or end of primary style name.</w:t>
      </w:r>
    </w:p>
    <w:p w:rsidR="00024C0A" w:rsidRDefault="00694C0F">
      <w:pPr>
        <w:pStyle w:val="Definition-Field2"/>
      </w:pPr>
      <w:r>
        <w:t xml:space="preserve">Word removes white space from the beginning or end of primary style </w:t>
      </w:r>
      <w:r>
        <w:t>name.</w:t>
      </w:r>
    </w:p>
    <w:p w:rsidR="00024C0A" w:rsidRDefault="00694C0F">
      <w:pPr>
        <w:pStyle w:val="Definition-Field"/>
      </w:pPr>
      <w:r>
        <w:t xml:space="preserve">d.   </w:t>
      </w:r>
      <w:r>
        <w:rPr>
          <w:i/>
        </w:rPr>
        <w:t>The standard does not specify that certain primary style names must have certain style types.</w:t>
      </w:r>
    </w:p>
    <w:p w:rsidR="00024C0A" w:rsidRDefault="00694C0F">
      <w:r>
        <w:t>Word reserves a list of style names for use as built-in styles and requires that these names be used with the appropriate style type. If a built-in sty</w:t>
      </w:r>
      <w:r>
        <w:t>le name is used with the wrong style type or the style type is omitted, then Word enforces the correct built-in style name types by renaming the style or changing its type to match the built-in style type.</w:t>
      </w:r>
    </w:p>
    <w:tbl>
      <w:tblPr>
        <w:tblStyle w:val="Table-ShadedHeader"/>
        <w:tblW w:w="0" w:type="auto"/>
        <w:tblLook w:val="04A0" w:firstRow="1" w:lastRow="0" w:firstColumn="1" w:lastColumn="0" w:noHBand="0" w:noVBand="1"/>
      </w:tblPr>
      <w:tblGrid>
        <w:gridCol w:w="2477"/>
        <w:gridCol w:w="1132"/>
        <w:gridCol w:w="2669"/>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Reserved name</w:t>
            </w:r>
          </w:p>
        </w:tc>
        <w:tc>
          <w:tcPr>
            <w:tcW w:w="0" w:type="auto"/>
            <w:vAlign w:val="center"/>
          </w:tcPr>
          <w:p w:rsidR="00024C0A" w:rsidRDefault="00694C0F">
            <w:pPr>
              <w:pStyle w:val="TableHeaderText"/>
            </w:pPr>
            <w:r>
              <w:t>Style type</w:t>
            </w:r>
          </w:p>
        </w:tc>
        <w:tc>
          <w:tcPr>
            <w:tcW w:w="0" w:type="auto"/>
            <w:vAlign w:val="center"/>
          </w:tcPr>
          <w:p w:rsidR="00024C0A" w:rsidRDefault="00694C0F">
            <w:pPr>
              <w:pStyle w:val="TableHeaderText"/>
            </w:pPr>
            <w:r>
              <w:t>Index within built-in sty</w:t>
            </w:r>
            <w:r>
              <w:t>les</w:t>
            </w:r>
          </w:p>
        </w:tc>
      </w:tr>
      <w:tr w:rsidR="00024C0A" w:rsidTr="00024C0A">
        <w:tc>
          <w:tcPr>
            <w:tcW w:w="0" w:type="auto"/>
            <w:vAlign w:val="center"/>
          </w:tcPr>
          <w:p w:rsidR="00024C0A" w:rsidRDefault="00694C0F">
            <w:pPr>
              <w:pStyle w:val="TableBodyText"/>
            </w:pPr>
            <w:r>
              <w:t>annotation reference</w:t>
            </w:r>
          </w:p>
        </w:tc>
        <w:tc>
          <w:tcPr>
            <w:tcW w:w="0" w:type="auto"/>
            <w:vAlign w:val="center"/>
          </w:tcPr>
          <w:p w:rsidR="00024C0A" w:rsidRDefault="00694C0F">
            <w:pPr>
              <w:pStyle w:val="TableBodyText"/>
            </w:pPr>
            <w:r>
              <w:t>character</w:t>
            </w:r>
          </w:p>
        </w:tc>
        <w:tc>
          <w:tcPr>
            <w:tcW w:w="0" w:type="auto"/>
            <w:vAlign w:val="center"/>
          </w:tcPr>
          <w:p w:rsidR="00024C0A" w:rsidRDefault="00694C0F">
            <w:pPr>
              <w:pStyle w:val="TableBodyText"/>
            </w:pPr>
            <w:r>
              <w:t>39</w:t>
            </w:r>
          </w:p>
        </w:tc>
      </w:tr>
      <w:tr w:rsidR="00024C0A" w:rsidTr="00024C0A">
        <w:tc>
          <w:tcPr>
            <w:tcW w:w="0" w:type="auto"/>
            <w:vAlign w:val="center"/>
          </w:tcPr>
          <w:p w:rsidR="00024C0A" w:rsidRDefault="00694C0F">
            <w:pPr>
              <w:pStyle w:val="TableBodyText"/>
            </w:pPr>
            <w:r>
              <w:t>annotation subject</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106</w:t>
            </w:r>
          </w:p>
        </w:tc>
      </w:tr>
      <w:tr w:rsidR="00024C0A" w:rsidTr="00024C0A">
        <w:tc>
          <w:tcPr>
            <w:tcW w:w="0" w:type="auto"/>
            <w:vAlign w:val="center"/>
          </w:tcPr>
          <w:p w:rsidR="00024C0A" w:rsidRDefault="00694C0F">
            <w:pPr>
              <w:pStyle w:val="TableBodyText"/>
            </w:pPr>
            <w:r>
              <w:t>annotation text</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30</w:t>
            </w:r>
          </w:p>
        </w:tc>
      </w:tr>
      <w:tr w:rsidR="00024C0A" w:rsidTr="00024C0A">
        <w:tc>
          <w:tcPr>
            <w:tcW w:w="0" w:type="auto"/>
            <w:vAlign w:val="center"/>
          </w:tcPr>
          <w:p w:rsidR="00024C0A" w:rsidRDefault="00694C0F">
            <w:pPr>
              <w:pStyle w:val="TableBodyText"/>
            </w:pPr>
            <w:r>
              <w:t>Balloon Text</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153</w:t>
            </w:r>
          </w:p>
        </w:tc>
      </w:tr>
      <w:tr w:rsidR="00024C0A" w:rsidTr="00024C0A">
        <w:tc>
          <w:tcPr>
            <w:tcW w:w="0" w:type="auto"/>
            <w:vAlign w:val="center"/>
          </w:tcPr>
          <w:p w:rsidR="00024C0A" w:rsidRDefault="00694C0F">
            <w:pPr>
              <w:pStyle w:val="TableBodyText"/>
            </w:pPr>
            <w:r>
              <w:t>Bibliography</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265</w:t>
            </w:r>
          </w:p>
        </w:tc>
      </w:tr>
      <w:tr w:rsidR="00024C0A" w:rsidTr="00024C0A">
        <w:tc>
          <w:tcPr>
            <w:tcW w:w="0" w:type="auto"/>
            <w:vAlign w:val="center"/>
          </w:tcPr>
          <w:p w:rsidR="00024C0A" w:rsidRDefault="00694C0F">
            <w:pPr>
              <w:pStyle w:val="TableBodyText"/>
            </w:pPr>
            <w:r>
              <w:t>Block Text</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84</w:t>
            </w:r>
          </w:p>
        </w:tc>
      </w:tr>
      <w:tr w:rsidR="00024C0A" w:rsidTr="00024C0A">
        <w:tc>
          <w:tcPr>
            <w:tcW w:w="0" w:type="auto"/>
            <w:vAlign w:val="center"/>
          </w:tcPr>
          <w:p w:rsidR="00024C0A" w:rsidRDefault="00694C0F">
            <w:pPr>
              <w:pStyle w:val="TableBodyText"/>
            </w:pPr>
            <w:r>
              <w:t>Body Text</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66</w:t>
            </w:r>
          </w:p>
        </w:tc>
      </w:tr>
      <w:tr w:rsidR="00024C0A" w:rsidTr="00024C0A">
        <w:tc>
          <w:tcPr>
            <w:tcW w:w="0" w:type="auto"/>
            <w:vAlign w:val="center"/>
          </w:tcPr>
          <w:p w:rsidR="00024C0A" w:rsidRDefault="00694C0F">
            <w:pPr>
              <w:pStyle w:val="TableBodyText"/>
            </w:pPr>
            <w:r>
              <w:t>Body Text 2</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80</w:t>
            </w:r>
          </w:p>
        </w:tc>
      </w:tr>
      <w:tr w:rsidR="00024C0A" w:rsidTr="00024C0A">
        <w:tc>
          <w:tcPr>
            <w:tcW w:w="0" w:type="auto"/>
            <w:vAlign w:val="center"/>
          </w:tcPr>
          <w:p w:rsidR="00024C0A" w:rsidRDefault="00694C0F">
            <w:pPr>
              <w:pStyle w:val="TableBodyText"/>
            </w:pPr>
            <w:r>
              <w:t>Body Text 3</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81</w:t>
            </w:r>
          </w:p>
        </w:tc>
      </w:tr>
      <w:tr w:rsidR="00024C0A" w:rsidTr="00024C0A">
        <w:tc>
          <w:tcPr>
            <w:tcW w:w="0" w:type="auto"/>
            <w:vAlign w:val="center"/>
          </w:tcPr>
          <w:p w:rsidR="00024C0A" w:rsidRDefault="00694C0F">
            <w:pPr>
              <w:pStyle w:val="TableBodyText"/>
            </w:pPr>
            <w:r>
              <w:t>Body Text First Indent</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77</w:t>
            </w:r>
          </w:p>
        </w:tc>
      </w:tr>
      <w:tr w:rsidR="00024C0A" w:rsidTr="00024C0A">
        <w:tc>
          <w:tcPr>
            <w:tcW w:w="0" w:type="auto"/>
            <w:vAlign w:val="center"/>
          </w:tcPr>
          <w:p w:rsidR="00024C0A" w:rsidRDefault="00694C0F">
            <w:pPr>
              <w:pStyle w:val="TableBodyText"/>
            </w:pPr>
            <w:r>
              <w:t>Body Text First Indent 2</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78</w:t>
            </w:r>
          </w:p>
        </w:tc>
      </w:tr>
      <w:tr w:rsidR="00024C0A" w:rsidTr="00024C0A">
        <w:tc>
          <w:tcPr>
            <w:tcW w:w="0" w:type="auto"/>
            <w:vAlign w:val="center"/>
          </w:tcPr>
          <w:p w:rsidR="00024C0A" w:rsidRDefault="00694C0F">
            <w:pPr>
              <w:pStyle w:val="TableBodyText"/>
            </w:pPr>
            <w:r>
              <w:t>Body Text Indent</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67</w:t>
            </w:r>
          </w:p>
        </w:tc>
      </w:tr>
      <w:tr w:rsidR="00024C0A" w:rsidTr="00024C0A">
        <w:tc>
          <w:tcPr>
            <w:tcW w:w="0" w:type="auto"/>
            <w:vAlign w:val="center"/>
          </w:tcPr>
          <w:p w:rsidR="00024C0A" w:rsidRDefault="00694C0F">
            <w:pPr>
              <w:pStyle w:val="TableBodyText"/>
            </w:pPr>
            <w:r>
              <w:t>Body Text Indent 2</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82</w:t>
            </w:r>
          </w:p>
        </w:tc>
      </w:tr>
      <w:tr w:rsidR="00024C0A" w:rsidTr="00024C0A">
        <w:tc>
          <w:tcPr>
            <w:tcW w:w="0" w:type="auto"/>
            <w:vAlign w:val="center"/>
          </w:tcPr>
          <w:p w:rsidR="00024C0A" w:rsidRDefault="00694C0F">
            <w:pPr>
              <w:pStyle w:val="TableBodyText"/>
            </w:pPr>
            <w:r>
              <w:t>Body Text Indent 3</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83</w:t>
            </w:r>
          </w:p>
        </w:tc>
      </w:tr>
      <w:tr w:rsidR="00024C0A" w:rsidTr="00024C0A">
        <w:tc>
          <w:tcPr>
            <w:tcW w:w="0" w:type="auto"/>
            <w:vAlign w:val="center"/>
          </w:tcPr>
          <w:p w:rsidR="00024C0A" w:rsidRDefault="00694C0F">
            <w:pPr>
              <w:pStyle w:val="TableBodyText"/>
            </w:pPr>
            <w:r>
              <w:t>Book Title</w:t>
            </w:r>
          </w:p>
        </w:tc>
        <w:tc>
          <w:tcPr>
            <w:tcW w:w="0" w:type="auto"/>
            <w:vAlign w:val="center"/>
          </w:tcPr>
          <w:p w:rsidR="00024C0A" w:rsidRDefault="00694C0F">
            <w:pPr>
              <w:pStyle w:val="TableBodyText"/>
            </w:pPr>
            <w:r>
              <w:t>character</w:t>
            </w:r>
          </w:p>
        </w:tc>
        <w:tc>
          <w:tcPr>
            <w:tcW w:w="0" w:type="auto"/>
            <w:vAlign w:val="center"/>
          </w:tcPr>
          <w:p w:rsidR="00024C0A" w:rsidRDefault="00694C0F">
            <w:pPr>
              <w:pStyle w:val="TableBodyText"/>
            </w:pPr>
            <w:r>
              <w:t>264</w:t>
            </w:r>
          </w:p>
        </w:tc>
      </w:tr>
      <w:tr w:rsidR="00024C0A" w:rsidTr="00024C0A">
        <w:tc>
          <w:tcPr>
            <w:tcW w:w="0" w:type="auto"/>
            <w:vAlign w:val="center"/>
          </w:tcPr>
          <w:p w:rsidR="00024C0A" w:rsidRDefault="00694C0F">
            <w:pPr>
              <w:pStyle w:val="TableBodyText"/>
            </w:pPr>
            <w:r>
              <w:t>caption</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34</w:t>
            </w:r>
          </w:p>
        </w:tc>
      </w:tr>
      <w:tr w:rsidR="00024C0A" w:rsidTr="00024C0A">
        <w:tc>
          <w:tcPr>
            <w:tcW w:w="0" w:type="auto"/>
            <w:vAlign w:val="center"/>
          </w:tcPr>
          <w:p w:rsidR="00024C0A" w:rsidRDefault="00694C0F">
            <w:pPr>
              <w:pStyle w:val="TableBodyText"/>
            </w:pPr>
            <w:r>
              <w:t>Closing</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63</w:t>
            </w:r>
          </w:p>
        </w:tc>
      </w:tr>
      <w:tr w:rsidR="00024C0A" w:rsidTr="00024C0A">
        <w:tc>
          <w:tcPr>
            <w:tcW w:w="0" w:type="auto"/>
            <w:vAlign w:val="center"/>
          </w:tcPr>
          <w:p w:rsidR="00024C0A" w:rsidRDefault="00694C0F">
            <w:pPr>
              <w:pStyle w:val="TableBodyText"/>
            </w:pPr>
            <w:r>
              <w:t>Colorful</w:t>
            </w:r>
            <w:r>
              <w:t xml:space="preserve"> Grid</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171</w:t>
            </w:r>
          </w:p>
        </w:tc>
      </w:tr>
      <w:tr w:rsidR="00024C0A" w:rsidTr="00024C0A">
        <w:tc>
          <w:tcPr>
            <w:tcW w:w="0" w:type="auto"/>
            <w:vAlign w:val="center"/>
          </w:tcPr>
          <w:p w:rsidR="00024C0A" w:rsidRDefault="00694C0F">
            <w:pPr>
              <w:pStyle w:val="TableBodyText"/>
            </w:pPr>
            <w:r>
              <w:t>Colorful Grid Accent 1</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189</w:t>
            </w:r>
          </w:p>
        </w:tc>
      </w:tr>
      <w:tr w:rsidR="00024C0A" w:rsidTr="00024C0A">
        <w:tc>
          <w:tcPr>
            <w:tcW w:w="0" w:type="auto"/>
            <w:vAlign w:val="center"/>
          </w:tcPr>
          <w:p w:rsidR="00024C0A" w:rsidRDefault="00694C0F">
            <w:pPr>
              <w:pStyle w:val="TableBodyText"/>
            </w:pPr>
            <w:r>
              <w:t>Colorful Grid Accent 2</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203</w:t>
            </w:r>
          </w:p>
        </w:tc>
      </w:tr>
      <w:tr w:rsidR="00024C0A" w:rsidTr="00024C0A">
        <w:tc>
          <w:tcPr>
            <w:tcW w:w="0" w:type="auto"/>
            <w:vAlign w:val="center"/>
          </w:tcPr>
          <w:p w:rsidR="00024C0A" w:rsidRDefault="00694C0F">
            <w:pPr>
              <w:pStyle w:val="TableBodyText"/>
            </w:pPr>
            <w:r>
              <w:t>Colorful Grid Accent 3</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217</w:t>
            </w:r>
          </w:p>
        </w:tc>
      </w:tr>
      <w:tr w:rsidR="00024C0A" w:rsidTr="00024C0A">
        <w:tc>
          <w:tcPr>
            <w:tcW w:w="0" w:type="auto"/>
            <w:vAlign w:val="center"/>
          </w:tcPr>
          <w:p w:rsidR="00024C0A" w:rsidRDefault="00694C0F">
            <w:pPr>
              <w:pStyle w:val="TableBodyText"/>
            </w:pPr>
            <w:r>
              <w:t>Colorful Grid Accent 4</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231</w:t>
            </w:r>
          </w:p>
        </w:tc>
      </w:tr>
      <w:tr w:rsidR="00024C0A" w:rsidTr="00024C0A">
        <w:tc>
          <w:tcPr>
            <w:tcW w:w="0" w:type="auto"/>
            <w:vAlign w:val="center"/>
          </w:tcPr>
          <w:p w:rsidR="00024C0A" w:rsidRDefault="00694C0F">
            <w:pPr>
              <w:pStyle w:val="TableBodyText"/>
            </w:pPr>
            <w:r>
              <w:t>Colorful Grid Accent 5</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245</w:t>
            </w:r>
          </w:p>
        </w:tc>
      </w:tr>
      <w:tr w:rsidR="00024C0A" w:rsidTr="00024C0A">
        <w:tc>
          <w:tcPr>
            <w:tcW w:w="0" w:type="auto"/>
            <w:vAlign w:val="center"/>
          </w:tcPr>
          <w:p w:rsidR="00024C0A" w:rsidRDefault="00694C0F">
            <w:pPr>
              <w:pStyle w:val="TableBodyText"/>
            </w:pPr>
            <w:r>
              <w:t>Colorful Grid Accent 6</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259</w:t>
            </w:r>
          </w:p>
        </w:tc>
      </w:tr>
      <w:tr w:rsidR="00024C0A" w:rsidTr="00024C0A">
        <w:tc>
          <w:tcPr>
            <w:tcW w:w="0" w:type="auto"/>
            <w:vAlign w:val="center"/>
          </w:tcPr>
          <w:p w:rsidR="00024C0A" w:rsidRDefault="00694C0F">
            <w:pPr>
              <w:pStyle w:val="TableBodyText"/>
            </w:pPr>
            <w:r>
              <w:t>Colorful List</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170</w:t>
            </w:r>
          </w:p>
        </w:tc>
      </w:tr>
      <w:tr w:rsidR="00024C0A" w:rsidTr="00024C0A">
        <w:tc>
          <w:tcPr>
            <w:tcW w:w="0" w:type="auto"/>
            <w:vAlign w:val="center"/>
          </w:tcPr>
          <w:p w:rsidR="00024C0A" w:rsidRDefault="00694C0F">
            <w:pPr>
              <w:pStyle w:val="TableBodyText"/>
            </w:pPr>
            <w:r>
              <w:lastRenderedPageBreak/>
              <w:t xml:space="preserve">Colorful </w:t>
            </w:r>
            <w:r>
              <w:t>List Accent 1</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188</w:t>
            </w:r>
          </w:p>
        </w:tc>
      </w:tr>
      <w:tr w:rsidR="00024C0A" w:rsidTr="00024C0A">
        <w:tc>
          <w:tcPr>
            <w:tcW w:w="0" w:type="auto"/>
            <w:vAlign w:val="center"/>
          </w:tcPr>
          <w:p w:rsidR="00024C0A" w:rsidRDefault="00694C0F">
            <w:pPr>
              <w:pStyle w:val="TableBodyText"/>
            </w:pPr>
            <w:r>
              <w:t>Colorful List Accent 2</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202</w:t>
            </w:r>
          </w:p>
        </w:tc>
      </w:tr>
      <w:tr w:rsidR="00024C0A" w:rsidTr="00024C0A">
        <w:tc>
          <w:tcPr>
            <w:tcW w:w="0" w:type="auto"/>
            <w:vAlign w:val="center"/>
          </w:tcPr>
          <w:p w:rsidR="00024C0A" w:rsidRDefault="00694C0F">
            <w:pPr>
              <w:pStyle w:val="TableBodyText"/>
            </w:pPr>
            <w:r>
              <w:t>Colorful List Accent 3</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216</w:t>
            </w:r>
          </w:p>
        </w:tc>
      </w:tr>
      <w:tr w:rsidR="00024C0A" w:rsidTr="00024C0A">
        <w:tc>
          <w:tcPr>
            <w:tcW w:w="0" w:type="auto"/>
            <w:vAlign w:val="center"/>
          </w:tcPr>
          <w:p w:rsidR="00024C0A" w:rsidRDefault="00694C0F">
            <w:pPr>
              <w:pStyle w:val="TableBodyText"/>
            </w:pPr>
            <w:r>
              <w:t>Colorful List Accent 4</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230</w:t>
            </w:r>
          </w:p>
        </w:tc>
      </w:tr>
      <w:tr w:rsidR="00024C0A" w:rsidTr="00024C0A">
        <w:tc>
          <w:tcPr>
            <w:tcW w:w="0" w:type="auto"/>
            <w:vAlign w:val="center"/>
          </w:tcPr>
          <w:p w:rsidR="00024C0A" w:rsidRDefault="00694C0F">
            <w:pPr>
              <w:pStyle w:val="TableBodyText"/>
            </w:pPr>
            <w:r>
              <w:t>Colorful List Accent 5</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244</w:t>
            </w:r>
          </w:p>
        </w:tc>
      </w:tr>
      <w:tr w:rsidR="00024C0A" w:rsidTr="00024C0A">
        <w:tc>
          <w:tcPr>
            <w:tcW w:w="0" w:type="auto"/>
            <w:vAlign w:val="center"/>
          </w:tcPr>
          <w:p w:rsidR="00024C0A" w:rsidRDefault="00694C0F">
            <w:pPr>
              <w:pStyle w:val="TableBodyText"/>
            </w:pPr>
            <w:r>
              <w:t>Colorful List Accent 6</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258</w:t>
            </w:r>
          </w:p>
        </w:tc>
      </w:tr>
      <w:tr w:rsidR="00024C0A" w:rsidTr="00024C0A">
        <w:tc>
          <w:tcPr>
            <w:tcW w:w="0" w:type="auto"/>
            <w:vAlign w:val="center"/>
          </w:tcPr>
          <w:p w:rsidR="00024C0A" w:rsidRDefault="00694C0F">
            <w:pPr>
              <w:pStyle w:val="TableBodyText"/>
            </w:pPr>
            <w:r>
              <w:t>Colorful Shading</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169</w:t>
            </w:r>
          </w:p>
        </w:tc>
      </w:tr>
      <w:tr w:rsidR="00024C0A" w:rsidTr="00024C0A">
        <w:tc>
          <w:tcPr>
            <w:tcW w:w="0" w:type="auto"/>
            <w:vAlign w:val="center"/>
          </w:tcPr>
          <w:p w:rsidR="00024C0A" w:rsidRDefault="00694C0F">
            <w:pPr>
              <w:pStyle w:val="TableBodyText"/>
            </w:pPr>
            <w:r>
              <w:t>Colorful Shading Accent 1</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187</w:t>
            </w:r>
          </w:p>
        </w:tc>
      </w:tr>
      <w:tr w:rsidR="00024C0A" w:rsidTr="00024C0A">
        <w:tc>
          <w:tcPr>
            <w:tcW w:w="0" w:type="auto"/>
            <w:vAlign w:val="center"/>
          </w:tcPr>
          <w:p w:rsidR="00024C0A" w:rsidRDefault="00694C0F">
            <w:pPr>
              <w:pStyle w:val="TableBodyText"/>
            </w:pPr>
            <w:r>
              <w:t>Colorful Shading Accent 2</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201</w:t>
            </w:r>
          </w:p>
        </w:tc>
      </w:tr>
      <w:tr w:rsidR="00024C0A" w:rsidTr="00024C0A">
        <w:tc>
          <w:tcPr>
            <w:tcW w:w="0" w:type="auto"/>
            <w:vAlign w:val="center"/>
          </w:tcPr>
          <w:p w:rsidR="00024C0A" w:rsidRDefault="00694C0F">
            <w:pPr>
              <w:pStyle w:val="TableBodyText"/>
            </w:pPr>
            <w:r>
              <w:t>Colorful Shading Accent 3</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215</w:t>
            </w:r>
          </w:p>
        </w:tc>
      </w:tr>
      <w:tr w:rsidR="00024C0A" w:rsidTr="00024C0A">
        <w:tc>
          <w:tcPr>
            <w:tcW w:w="0" w:type="auto"/>
            <w:vAlign w:val="center"/>
          </w:tcPr>
          <w:p w:rsidR="00024C0A" w:rsidRDefault="00694C0F">
            <w:pPr>
              <w:pStyle w:val="TableBodyText"/>
            </w:pPr>
            <w:r>
              <w:t>Colorful Shading Accent 4</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229</w:t>
            </w:r>
          </w:p>
        </w:tc>
      </w:tr>
      <w:tr w:rsidR="00024C0A" w:rsidTr="00024C0A">
        <w:tc>
          <w:tcPr>
            <w:tcW w:w="0" w:type="auto"/>
            <w:vAlign w:val="center"/>
          </w:tcPr>
          <w:p w:rsidR="00024C0A" w:rsidRDefault="00694C0F">
            <w:pPr>
              <w:pStyle w:val="TableBodyText"/>
            </w:pPr>
            <w:r>
              <w:t>Colorful Shading Accent 5</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243</w:t>
            </w:r>
          </w:p>
        </w:tc>
      </w:tr>
      <w:tr w:rsidR="00024C0A" w:rsidTr="00024C0A">
        <w:tc>
          <w:tcPr>
            <w:tcW w:w="0" w:type="auto"/>
            <w:vAlign w:val="center"/>
          </w:tcPr>
          <w:p w:rsidR="00024C0A" w:rsidRDefault="00694C0F">
            <w:pPr>
              <w:pStyle w:val="TableBodyText"/>
            </w:pPr>
            <w:r>
              <w:t>Colorful Shading Accent 6</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257</w:t>
            </w:r>
          </w:p>
        </w:tc>
      </w:tr>
      <w:tr w:rsidR="00024C0A" w:rsidTr="00024C0A">
        <w:tc>
          <w:tcPr>
            <w:tcW w:w="0" w:type="auto"/>
            <w:vAlign w:val="center"/>
          </w:tcPr>
          <w:p w:rsidR="00024C0A" w:rsidRDefault="00694C0F">
            <w:pPr>
              <w:pStyle w:val="TableBodyText"/>
            </w:pPr>
            <w:r>
              <w:t>Dark List</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168</w:t>
            </w:r>
          </w:p>
        </w:tc>
      </w:tr>
      <w:tr w:rsidR="00024C0A" w:rsidTr="00024C0A">
        <w:tc>
          <w:tcPr>
            <w:tcW w:w="0" w:type="auto"/>
            <w:vAlign w:val="center"/>
          </w:tcPr>
          <w:p w:rsidR="00024C0A" w:rsidRDefault="00694C0F">
            <w:pPr>
              <w:pStyle w:val="TableBodyText"/>
            </w:pPr>
            <w:r>
              <w:t>Dark List Accent 1</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186</w:t>
            </w:r>
          </w:p>
        </w:tc>
      </w:tr>
      <w:tr w:rsidR="00024C0A" w:rsidTr="00024C0A">
        <w:tc>
          <w:tcPr>
            <w:tcW w:w="0" w:type="auto"/>
            <w:vAlign w:val="center"/>
          </w:tcPr>
          <w:p w:rsidR="00024C0A" w:rsidRDefault="00694C0F">
            <w:pPr>
              <w:pStyle w:val="TableBodyText"/>
            </w:pPr>
            <w:r>
              <w:t xml:space="preserve">Dark List </w:t>
            </w:r>
            <w:r>
              <w:t>Accent 2</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200</w:t>
            </w:r>
          </w:p>
        </w:tc>
      </w:tr>
      <w:tr w:rsidR="00024C0A" w:rsidTr="00024C0A">
        <w:tc>
          <w:tcPr>
            <w:tcW w:w="0" w:type="auto"/>
            <w:vAlign w:val="center"/>
          </w:tcPr>
          <w:p w:rsidR="00024C0A" w:rsidRDefault="00694C0F">
            <w:pPr>
              <w:pStyle w:val="TableBodyText"/>
            </w:pPr>
            <w:r>
              <w:t>Dark List Accent 3</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214</w:t>
            </w:r>
          </w:p>
        </w:tc>
      </w:tr>
      <w:tr w:rsidR="00024C0A" w:rsidTr="00024C0A">
        <w:tc>
          <w:tcPr>
            <w:tcW w:w="0" w:type="auto"/>
            <w:vAlign w:val="center"/>
          </w:tcPr>
          <w:p w:rsidR="00024C0A" w:rsidRDefault="00694C0F">
            <w:pPr>
              <w:pStyle w:val="TableBodyText"/>
            </w:pPr>
            <w:r>
              <w:t>Dark List Accent 4</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228</w:t>
            </w:r>
          </w:p>
        </w:tc>
      </w:tr>
      <w:tr w:rsidR="00024C0A" w:rsidTr="00024C0A">
        <w:tc>
          <w:tcPr>
            <w:tcW w:w="0" w:type="auto"/>
            <w:vAlign w:val="center"/>
          </w:tcPr>
          <w:p w:rsidR="00024C0A" w:rsidRDefault="00694C0F">
            <w:pPr>
              <w:pStyle w:val="TableBodyText"/>
            </w:pPr>
            <w:r>
              <w:t>Dark List Accent 5</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242</w:t>
            </w:r>
          </w:p>
        </w:tc>
      </w:tr>
      <w:tr w:rsidR="00024C0A" w:rsidTr="00024C0A">
        <w:tc>
          <w:tcPr>
            <w:tcW w:w="0" w:type="auto"/>
            <w:vAlign w:val="center"/>
          </w:tcPr>
          <w:p w:rsidR="00024C0A" w:rsidRDefault="00694C0F">
            <w:pPr>
              <w:pStyle w:val="TableBodyText"/>
            </w:pPr>
            <w:r>
              <w:t>Dark List Accent 6</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256</w:t>
            </w:r>
          </w:p>
        </w:tc>
      </w:tr>
      <w:tr w:rsidR="00024C0A" w:rsidTr="00024C0A">
        <w:tc>
          <w:tcPr>
            <w:tcW w:w="0" w:type="auto"/>
            <w:vAlign w:val="center"/>
          </w:tcPr>
          <w:p w:rsidR="00024C0A" w:rsidRDefault="00694C0F">
            <w:pPr>
              <w:pStyle w:val="TableBodyText"/>
            </w:pPr>
            <w:r>
              <w:t>Date</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76</w:t>
            </w:r>
          </w:p>
        </w:tc>
      </w:tr>
      <w:tr w:rsidR="00024C0A" w:rsidTr="00024C0A">
        <w:tc>
          <w:tcPr>
            <w:tcW w:w="0" w:type="auto"/>
            <w:vAlign w:val="center"/>
          </w:tcPr>
          <w:p w:rsidR="00024C0A" w:rsidRDefault="00694C0F">
            <w:pPr>
              <w:pStyle w:val="TableBodyText"/>
            </w:pPr>
            <w:r>
              <w:t>Default Paragraph Font</w:t>
            </w:r>
          </w:p>
        </w:tc>
        <w:tc>
          <w:tcPr>
            <w:tcW w:w="0" w:type="auto"/>
            <w:vAlign w:val="center"/>
          </w:tcPr>
          <w:p w:rsidR="00024C0A" w:rsidRDefault="00694C0F">
            <w:pPr>
              <w:pStyle w:val="TableBodyText"/>
            </w:pPr>
            <w:r>
              <w:t>character</w:t>
            </w:r>
          </w:p>
        </w:tc>
        <w:tc>
          <w:tcPr>
            <w:tcW w:w="0" w:type="auto"/>
            <w:vAlign w:val="center"/>
          </w:tcPr>
          <w:p w:rsidR="00024C0A" w:rsidRDefault="00694C0F">
            <w:pPr>
              <w:pStyle w:val="TableBodyText"/>
            </w:pPr>
            <w:r>
              <w:t>65</w:t>
            </w:r>
          </w:p>
        </w:tc>
      </w:tr>
      <w:tr w:rsidR="00024C0A" w:rsidTr="00024C0A">
        <w:tc>
          <w:tcPr>
            <w:tcW w:w="0" w:type="auto"/>
            <w:vAlign w:val="center"/>
          </w:tcPr>
          <w:p w:rsidR="00024C0A" w:rsidRDefault="00694C0F">
            <w:pPr>
              <w:pStyle w:val="TableBodyText"/>
            </w:pPr>
            <w:r>
              <w:t>Document Map</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89</w:t>
            </w:r>
          </w:p>
        </w:tc>
      </w:tr>
      <w:tr w:rsidR="00024C0A" w:rsidTr="00024C0A">
        <w:tc>
          <w:tcPr>
            <w:tcW w:w="0" w:type="auto"/>
            <w:vAlign w:val="center"/>
          </w:tcPr>
          <w:p w:rsidR="00024C0A" w:rsidRDefault="00694C0F">
            <w:pPr>
              <w:pStyle w:val="TableBodyText"/>
            </w:pPr>
            <w:r>
              <w:t>E-mail Signature</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91</w:t>
            </w:r>
          </w:p>
        </w:tc>
      </w:tr>
      <w:tr w:rsidR="00024C0A" w:rsidTr="00024C0A">
        <w:tc>
          <w:tcPr>
            <w:tcW w:w="0" w:type="auto"/>
            <w:vAlign w:val="center"/>
          </w:tcPr>
          <w:p w:rsidR="00024C0A" w:rsidRDefault="00694C0F">
            <w:pPr>
              <w:pStyle w:val="TableBodyText"/>
            </w:pPr>
            <w:r>
              <w:t>Emphasis</w:t>
            </w:r>
          </w:p>
        </w:tc>
        <w:tc>
          <w:tcPr>
            <w:tcW w:w="0" w:type="auto"/>
            <w:vAlign w:val="center"/>
          </w:tcPr>
          <w:p w:rsidR="00024C0A" w:rsidRDefault="00694C0F">
            <w:pPr>
              <w:pStyle w:val="TableBodyText"/>
            </w:pPr>
            <w:r>
              <w:t>character</w:t>
            </w:r>
          </w:p>
        </w:tc>
        <w:tc>
          <w:tcPr>
            <w:tcW w:w="0" w:type="auto"/>
            <w:vAlign w:val="center"/>
          </w:tcPr>
          <w:p w:rsidR="00024C0A" w:rsidRDefault="00694C0F">
            <w:pPr>
              <w:pStyle w:val="TableBodyText"/>
            </w:pPr>
            <w:r>
              <w:t>88</w:t>
            </w:r>
          </w:p>
        </w:tc>
      </w:tr>
      <w:tr w:rsidR="00024C0A" w:rsidTr="00024C0A">
        <w:tc>
          <w:tcPr>
            <w:tcW w:w="0" w:type="auto"/>
            <w:vAlign w:val="center"/>
          </w:tcPr>
          <w:p w:rsidR="00024C0A" w:rsidRDefault="00694C0F">
            <w:pPr>
              <w:pStyle w:val="TableBodyText"/>
            </w:pPr>
            <w:r>
              <w:t>endnote reference</w:t>
            </w:r>
          </w:p>
        </w:tc>
        <w:tc>
          <w:tcPr>
            <w:tcW w:w="0" w:type="auto"/>
            <w:vAlign w:val="center"/>
          </w:tcPr>
          <w:p w:rsidR="00024C0A" w:rsidRDefault="00694C0F">
            <w:pPr>
              <w:pStyle w:val="TableBodyText"/>
            </w:pPr>
            <w:r>
              <w:t>character</w:t>
            </w:r>
          </w:p>
        </w:tc>
        <w:tc>
          <w:tcPr>
            <w:tcW w:w="0" w:type="auto"/>
            <w:vAlign w:val="center"/>
          </w:tcPr>
          <w:p w:rsidR="00024C0A" w:rsidRDefault="00694C0F">
            <w:pPr>
              <w:pStyle w:val="TableBodyText"/>
            </w:pPr>
            <w:r>
              <w:t>42</w:t>
            </w:r>
          </w:p>
        </w:tc>
      </w:tr>
      <w:tr w:rsidR="00024C0A" w:rsidTr="00024C0A">
        <w:tc>
          <w:tcPr>
            <w:tcW w:w="0" w:type="auto"/>
            <w:vAlign w:val="center"/>
          </w:tcPr>
          <w:p w:rsidR="00024C0A" w:rsidRDefault="00694C0F">
            <w:pPr>
              <w:pStyle w:val="TableBodyText"/>
            </w:pPr>
            <w:r>
              <w:t>endnote text</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43</w:t>
            </w:r>
          </w:p>
        </w:tc>
      </w:tr>
      <w:tr w:rsidR="00024C0A" w:rsidTr="00024C0A">
        <w:tc>
          <w:tcPr>
            <w:tcW w:w="0" w:type="auto"/>
            <w:vAlign w:val="center"/>
          </w:tcPr>
          <w:p w:rsidR="00024C0A" w:rsidRDefault="00694C0F">
            <w:pPr>
              <w:pStyle w:val="TableBodyText"/>
            </w:pPr>
            <w:r>
              <w:t>envelope address</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36</w:t>
            </w:r>
          </w:p>
        </w:tc>
      </w:tr>
      <w:tr w:rsidR="00024C0A" w:rsidTr="00024C0A">
        <w:tc>
          <w:tcPr>
            <w:tcW w:w="0" w:type="auto"/>
            <w:vAlign w:val="center"/>
          </w:tcPr>
          <w:p w:rsidR="00024C0A" w:rsidRDefault="00694C0F">
            <w:pPr>
              <w:pStyle w:val="TableBodyText"/>
            </w:pPr>
            <w:r>
              <w:t>envelope return</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37</w:t>
            </w:r>
          </w:p>
        </w:tc>
      </w:tr>
      <w:tr w:rsidR="00024C0A" w:rsidTr="00024C0A">
        <w:tc>
          <w:tcPr>
            <w:tcW w:w="0" w:type="auto"/>
            <w:vAlign w:val="center"/>
          </w:tcPr>
          <w:p w:rsidR="00024C0A" w:rsidRDefault="00694C0F">
            <w:pPr>
              <w:pStyle w:val="TableBodyText"/>
            </w:pPr>
            <w:r>
              <w:t>FollowedHyperlink</w:t>
            </w:r>
          </w:p>
        </w:tc>
        <w:tc>
          <w:tcPr>
            <w:tcW w:w="0" w:type="auto"/>
            <w:vAlign w:val="center"/>
          </w:tcPr>
          <w:p w:rsidR="00024C0A" w:rsidRDefault="00694C0F">
            <w:pPr>
              <w:pStyle w:val="TableBodyText"/>
            </w:pPr>
            <w:r>
              <w:t>character</w:t>
            </w:r>
          </w:p>
        </w:tc>
        <w:tc>
          <w:tcPr>
            <w:tcW w:w="0" w:type="auto"/>
            <w:vAlign w:val="center"/>
          </w:tcPr>
          <w:p w:rsidR="00024C0A" w:rsidRDefault="00694C0F">
            <w:pPr>
              <w:pStyle w:val="TableBodyText"/>
            </w:pPr>
            <w:r>
              <w:t>86</w:t>
            </w:r>
          </w:p>
        </w:tc>
      </w:tr>
      <w:tr w:rsidR="00024C0A" w:rsidTr="00024C0A">
        <w:tc>
          <w:tcPr>
            <w:tcW w:w="0" w:type="auto"/>
            <w:vAlign w:val="center"/>
          </w:tcPr>
          <w:p w:rsidR="00024C0A" w:rsidRDefault="00694C0F">
            <w:pPr>
              <w:pStyle w:val="TableBodyText"/>
            </w:pPr>
            <w:r>
              <w:t>footer</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32</w:t>
            </w:r>
          </w:p>
        </w:tc>
      </w:tr>
      <w:tr w:rsidR="00024C0A" w:rsidTr="00024C0A">
        <w:tc>
          <w:tcPr>
            <w:tcW w:w="0" w:type="auto"/>
            <w:vAlign w:val="center"/>
          </w:tcPr>
          <w:p w:rsidR="00024C0A" w:rsidRDefault="00694C0F">
            <w:pPr>
              <w:pStyle w:val="TableBodyText"/>
            </w:pPr>
            <w:r>
              <w:t>footnote reference</w:t>
            </w:r>
          </w:p>
        </w:tc>
        <w:tc>
          <w:tcPr>
            <w:tcW w:w="0" w:type="auto"/>
            <w:vAlign w:val="center"/>
          </w:tcPr>
          <w:p w:rsidR="00024C0A" w:rsidRDefault="00694C0F">
            <w:pPr>
              <w:pStyle w:val="TableBodyText"/>
            </w:pPr>
            <w:r>
              <w:t>character</w:t>
            </w:r>
          </w:p>
        </w:tc>
        <w:tc>
          <w:tcPr>
            <w:tcW w:w="0" w:type="auto"/>
            <w:vAlign w:val="center"/>
          </w:tcPr>
          <w:p w:rsidR="00024C0A" w:rsidRDefault="00694C0F">
            <w:pPr>
              <w:pStyle w:val="TableBodyText"/>
            </w:pPr>
            <w:r>
              <w:t>38</w:t>
            </w:r>
          </w:p>
        </w:tc>
      </w:tr>
      <w:tr w:rsidR="00024C0A" w:rsidTr="00024C0A">
        <w:tc>
          <w:tcPr>
            <w:tcW w:w="0" w:type="auto"/>
            <w:vAlign w:val="center"/>
          </w:tcPr>
          <w:p w:rsidR="00024C0A" w:rsidRDefault="00694C0F">
            <w:pPr>
              <w:pStyle w:val="TableBodyText"/>
            </w:pPr>
            <w:r>
              <w:lastRenderedPageBreak/>
              <w:t>footnote text</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29</w:t>
            </w:r>
          </w:p>
        </w:tc>
      </w:tr>
      <w:tr w:rsidR="00024C0A" w:rsidTr="00024C0A">
        <w:tc>
          <w:tcPr>
            <w:tcW w:w="0" w:type="auto"/>
            <w:vAlign w:val="center"/>
          </w:tcPr>
          <w:p w:rsidR="00024C0A" w:rsidRDefault="00694C0F">
            <w:pPr>
              <w:pStyle w:val="TableBodyText"/>
            </w:pPr>
            <w:r>
              <w:t>header</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31</w:t>
            </w:r>
          </w:p>
        </w:tc>
      </w:tr>
      <w:tr w:rsidR="00024C0A" w:rsidTr="00024C0A">
        <w:tc>
          <w:tcPr>
            <w:tcW w:w="0" w:type="auto"/>
            <w:vAlign w:val="center"/>
          </w:tcPr>
          <w:p w:rsidR="00024C0A" w:rsidRDefault="00694C0F">
            <w:pPr>
              <w:pStyle w:val="TableBodyText"/>
            </w:pPr>
            <w:r>
              <w:t>heading 1</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1</w:t>
            </w:r>
          </w:p>
        </w:tc>
      </w:tr>
      <w:tr w:rsidR="00024C0A" w:rsidTr="00024C0A">
        <w:tc>
          <w:tcPr>
            <w:tcW w:w="0" w:type="auto"/>
            <w:vAlign w:val="center"/>
          </w:tcPr>
          <w:p w:rsidR="00024C0A" w:rsidRDefault="00694C0F">
            <w:pPr>
              <w:pStyle w:val="TableBodyText"/>
            </w:pPr>
            <w:r>
              <w:t>heading 2</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2</w:t>
            </w:r>
          </w:p>
        </w:tc>
      </w:tr>
      <w:tr w:rsidR="00024C0A" w:rsidTr="00024C0A">
        <w:tc>
          <w:tcPr>
            <w:tcW w:w="0" w:type="auto"/>
            <w:vAlign w:val="center"/>
          </w:tcPr>
          <w:p w:rsidR="00024C0A" w:rsidRDefault="00694C0F">
            <w:pPr>
              <w:pStyle w:val="TableBodyText"/>
            </w:pPr>
            <w:r>
              <w:t>heading 3</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3</w:t>
            </w:r>
          </w:p>
        </w:tc>
      </w:tr>
      <w:tr w:rsidR="00024C0A" w:rsidTr="00024C0A">
        <w:tc>
          <w:tcPr>
            <w:tcW w:w="0" w:type="auto"/>
            <w:vAlign w:val="center"/>
          </w:tcPr>
          <w:p w:rsidR="00024C0A" w:rsidRDefault="00694C0F">
            <w:pPr>
              <w:pStyle w:val="TableBodyText"/>
            </w:pPr>
            <w:r>
              <w:t>heading 4</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4</w:t>
            </w:r>
          </w:p>
        </w:tc>
      </w:tr>
      <w:tr w:rsidR="00024C0A" w:rsidTr="00024C0A">
        <w:tc>
          <w:tcPr>
            <w:tcW w:w="0" w:type="auto"/>
            <w:vAlign w:val="center"/>
          </w:tcPr>
          <w:p w:rsidR="00024C0A" w:rsidRDefault="00694C0F">
            <w:pPr>
              <w:pStyle w:val="TableBodyText"/>
            </w:pPr>
            <w:r>
              <w:t>heading 5</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5</w:t>
            </w:r>
          </w:p>
        </w:tc>
      </w:tr>
      <w:tr w:rsidR="00024C0A" w:rsidTr="00024C0A">
        <w:tc>
          <w:tcPr>
            <w:tcW w:w="0" w:type="auto"/>
            <w:vAlign w:val="center"/>
          </w:tcPr>
          <w:p w:rsidR="00024C0A" w:rsidRDefault="00694C0F">
            <w:pPr>
              <w:pStyle w:val="TableBodyText"/>
            </w:pPr>
            <w:r>
              <w:t>heading 6</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6</w:t>
            </w:r>
          </w:p>
        </w:tc>
      </w:tr>
      <w:tr w:rsidR="00024C0A" w:rsidTr="00024C0A">
        <w:tc>
          <w:tcPr>
            <w:tcW w:w="0" w:type="auto"/>
            <w:vAlign w:val="center"/>
          </w:tcPr>
          <w:p w:rsidR="00024C0A" w:rsidRDefault="00694C0F">
            <w:pPr>
              <w:pStyle w:val="TableBodyText"/>
            </w:pPr>
            <w:r>
              <w:t>heading 7</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7</w:t>
            </w:r>
          </w:p>
        </w:tc>
      </w:tr>
      <w:tr w:rsidR="00024C0A" w:rsidTr="00024C0A">
        <w:tc>
          <w:tcPr>
            <w:tcW w:w="0" w:type="auto"/>
            <w:vAlign w:val="center"/>
          </w:tcPr>
          <w:p w:rsidR="00024C0A" w:rsidRDefault="00694C0F">
            <w:pPr>
              <w:pStyle w:val="TableBodyText"/>
            </w:pPr>
            <w:r>
              <w:t>heading 8</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8</w:t>
            </w:r>
          </w:p>
        </w:tc>
      </w:tr>
      <w:tr w:rsidR="00024C0A" w:rsidTr="00024C0A">
        <w:tc>
          <w:tcPr>
            <w:tcW w:w="0" w:type="auto"/>
            <w:vAlign w:val="center"/>
          </w:tcPr>
          <w:p w:rsidR="00024C0A" w:rsidRDefault="00694C0F">
            <w:pPr>
              <w:pStyle w:val="TableBodyText"/>
            </w:pPr>
            <w:r>
              <w:t>heading 9</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9</w:t>
            </w:r>
          </w:p>
        </w:tc>
      </w:tr>
      <w:tr w:rsidR="00024C0A" w:rsidTr="00024C0A">
        <w:tc>
          <w:tcPr>
            <w:tcW w:w="0" w:type="auto"/>
            <w:vAlign w:val="center"/>
          </w:tcPr>
          <w:p w:rsidR="00024C0A" w:rsidRDefault="00694C0F">
            <w:pPr>
              <w:pStyle w:val="TableBodyText"/>
            </w:pPr>
            <w:r>
              <w:t>HTML Acronym</w:t>
            </w:r>
          </w:p>
        </w:tc>
        <w:tc>
          <w:tcPr>
            <w:tcW w:w="0" w:type="auto"/>
            <w:vAlign w:val="center"/>
          </w:tcPr>
          <w:p w:rsidR="00024C0A" w:rsidRDefault="00694C0F">
            <w:pPr>
              <w:pStyle w:val="TableBodyText"/>
            </w:pPr>
            <w:r>
              <w:t>character</w:t>
            </w:r>
          </w:p>
        </w:tc>
        <w:tc>
          <w:tcPr>
            <w:tcW w:w="0" w:type="auto"/>
            <w:vAlign w:val="center"/>
          </w:tcPr>
          <w:p w:rsidR="00024C0A" w:rsidRDefault="00694C0F">
            <w:pPr>
              <w:pStyle w:val="TableBodyText"/>
            </w:pPr>
            <w:r>
              <w:t>95</w:t>
            </w:r>
          </w:p>
        </w:tc>
      </w:tr>
      <w:tr w:rsidR="00024C0A" w:rsidTr="00024C0A">
        <w:tc>
          <w:tcPr>
            <w:tcW w:w="0" w:type="auto"/>
            <w:vAlign w:val="center"/>
          </w:tcPr>
          <w:p w:rsidR="00024C0A" w:rsidRDefault="00694C0F">
            <w:pPr>
              <w:pStyle w:val="TableBodyText"/>
            </w:pPr>
            <w:r>
              <w:t>HTML Address</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96</w:t>
            </w:r>
          </w:p>
        </w:tc>
      </w:tr>
      <w:tr w:rsidR="00024C0A" w:rsidTr="00024C0A">
        <w:tc>
          <w:tcPr>
            <w:tcW w:w="0" w:type="auto"/>
            <w:vAlign w:val="center"/>
          </w:tcPr>
          <w:p w:rsidR="00024C0A" w:rsidRDefault="00694C0F">
            <w:pPr>
              <w:pStyle w:val="TableBodyText"/>
            </w:pPr>
            <w:r>
              <w:t>HTML Bottom of Form</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93</w:t>
            </w:r>
          </w:p>
        </w:tc>
      </w:tr>
      <w:tr w:rsidR="00024C0A" w:rsidTr="00024C0A">
        <w:tc>
          <w:tcPr>
            <w:tcW w:w="0" w:type="auto"/>
            <w:vAlign w:val="center"/>
          </w:tcPr>
          <w:p w:rsidR="00024C0A" w:rsidRDefault="00694C0F">
            <w:pPr>
              <w:pStyle w:val="TableBodyText"/>
            </w:pPr>
            <w:r>
              <w:t>HTML Cite</w:t>
            </w:r>
          </w:p>
        </w:tc>
        <w:tc>
          <w:tcPr>
            <w:tcW w:w="0" w:type="auto"/>
            <w:vAlign w:val="center"/>
          </w:tcPr>
          <w:p w:rsidR="00024C0A" w:rsidRDefault="00694C0F">
            <w:pPr>
              <w:pStyle w:val="TableBodyText"/>
            </w:pPr>
            <w:r>
              <w:t>character</w:t>
            </w:r>
          </w:p>
        </w:tc>
        <w:tc>
          <w:tcPr>
            <w:tcW w:w="0" w:type="auto"/>
            <w:vAlign w:val="center"/>
          </w:tcPr>
          <w:p w:rsidR="00024C0A" w:rsidRDefault="00694C0F">
            <w:pPr>
              <w:pStyle w:val="TableBodyText"/>
            </w:pPr>
            <w:r>
              <w:t>97</w:t>
            </w:r>
          </w:p>
        </w:tc>
      </w:tr>
      <w:tr w:rsidR="00024C0A" w:rsidTr="00024C0A">
        <w:tc>
          <w:tcPr>
            <w:tcW w:w="0" w:type="auto"/>
            <w:vAlign w:val="center"/>
          </w:tcPr>
          <w:p w:rsidR="00024C0A" w:rsidRDefault="00694C0F">
            <w:pPr>
              <w:pStyle w:val="TableBodyText"/>
            </w:pPr>
            <w:r>
              <w:t>HTML Code</w:t>
            </w:r>
          </w:p>
        </w:tc>
        <w:tc>
          <w:tcPr>
            <w:tcW w:w="0" w:type="auto"/>
            <w:vAlign w:val="center"/>
          </w:tcPr>
          <w:p w:rsidR="00024C0A" w:rsidRDefault="00694C0F">
            <w:pPr>
              <w:pStyle w:val="TableBodyText"/>
            </w:pPr>
            <w:r>
              <w:t>character</w:t>
            </w:r>
          </w:p>
        </w:tc>
        <w:tc>
          <w:tcPr>
            <w:tcW w:w="0" w:type="auto"/>
            <w:vAlign w:val="center"/>
          </w:tcPr>
          <w:p w:rsidR="00024C0A" w:rsidRDefault="00694C0F">
            <w:pPr>
              <w:pStyle w:val="TableBodyText"/>
            </w:pPr>
            <w:r>
              <w:t>98</w:t>
            </w:r>
          </w:p>
        </w:tc>
      </w:tr>
      <w:tr w:rsidR="00024C0A" w:rsidTr="00024C0A">
        <w:tc>
          <w:tcPr>
            <w:tcW w:w="0" w:type="auto"/>
            <w:vAlign w:val="center"/>
          </w:tcPr>
          <w:p w:rsidR="00024C0A" w:rsidRDefault="00694C0F">
            <w:pPr>
              <w:pStyle w:val="TableBodyText"/>
            </w:pPr>
            <w:r>
              <w:t>HTML Definition</w:t>
            </w:r>
          </w:p>
        </w:tc>
        <w:tc>
          <w:tcPr>
            <w:tcW w:w="0" w:type="auto"/>
            <w:vAlign w:val="center"/>
          </w:tcPr>
          <w:p w:rsidR="00024C0A" w:rsidRDefault="00694C0F">
            <w:pPr>
              <w:pStyle w:val="TableBodyText"/>
            </w:pPr>
            <w:r>
              <w:t>character</w:t>
            </w:r>
          </w:p>
        </w:tc>
        <w:tc>
          <w:tcPr>
            <w:tcW w:w="0" w:type="auto"/>
            <w:vAlign w:val="center"/>
          </w:tcPr>
          <w:p w:rsidR="00024C0A" w:rsidRDefault="00694C0F">
            <w:pPr>
              <w:pStyle w:val="TableBodyText"/>
            </w:pPr>
            <w:r>
              <w:t>99</w:t>
            </w:r>
          </w:p>
        </w:tc>
      </w:tr>
      <w:tr w:rsidR="00024C0A" w:rsidTr="00024C0A">
        <w:tc>
          <w:tcPr>
            <w:tcW w:w="0" w:type="auto"/>
            <w:vAlign w:val="center"/>
          </w:tcPr>
          <w:p w:rsidR="00024C0A" w:rsidRDefault="00694C0F">
            <w:pPr>
              <w:pStyle w:val="TableBodyText"/>
            </w:pPr>
            <w:r>
              <w:t>HTML Keyboard</w:t>
            </w:r>
          </w:p>
        </w:tc>
        <w:tc>
          <w:tcPr>
            <w:tcW w:w="0" w:type="auto"/>
            <w:vAlign w:val="center"/>
          </w:tcPr>
          <w:p w:rsidR="00024C0A" w:rsidRDefault="00694C0F">
            <w:pPr>
              <w:pStyle w:val="TableBodyText"/>
            </w:pPr>
            <w:r>
              <w:t>character</w:t>
            </w:r>
          </w:p>
        </w:tc>
        <w:tc>
          <w:tcPr>
            <w:tcW w:w="0" w:type="auto"/>
            <w:vAlign w:val="center"/>
          </w:tcPr>
          <w:p w:rsidR="00024C0A" w:rsidRDefault="00694C0F">
            <w:pPr>
              <w:pStyle w:val="TableBodyText"/>
            </w:pPr>
            <w:r>
              <w:t>100</w:t>
            </w:r>
          </w:p>
        </w:tc>
      </w:tr>
      <w:tr w:rsidR="00024C0A" w:rsidTr="00024C0A">
        <w:tc>
          <w:tcPr>
            <w:tcW w:w="0" w:type="auto"/>
            <w:vAlign w:val="center"/>
          </w:tcPr>
          <w:p w:rsidR="00024C0A" w:rsidRDefault="00694C0F">
            <w:pPr>
              <w:pStyle w:val="TableBodyText"/>
            </w:pPr>
            <w:r>
              <w:t>HTML Preformatted</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101</w:t>
            </w:r>
          </w:p>
        </w:tc>
      </w:tr>
      <w:tr w:rsidR="00024C0A" w:rsidTr="00024C0A">
        <w:tc>
          <w:tcPr>
            <w:tcW w:w="0" w:type="auto"/>
            <w:vAlign w:val="center"/>
          </w:tcPr>
          <w:p w:rsidR="00024C0A" w:rsidRDefault="00694C0F">
            <w:pPr>
              <w:pStyle w:val="TableBodyText"/>
            </w:pPr>
            <w:r>
              <w:t>HTML Sample</w:t>
            </w:r>
          </w:p>
        </w:tc>
        <w:tc>
          <w:tcPr>
            <w:tcW w:w="0" w:type="auto"/>
            <w:vAlign w:val="center"/>
          </w:tcPr>
          <w:p w:rsidR="00024C0A" w:rsidRDefault="00694C0F">
            <w:pPr>
              <w:pStyle w:val="TableBodyText"/>
            </w:pPr>
            <w:r>
              <w:t>character</w:t>
            </w:r>
          </w:p>
        </w:tc>
        <w:tc>
          <w:tcPr>
            <w:tcW w:w="0" w:type="auto"/>
            <w:vAlign w:val="center"/>
          </w:tcPr>
          <w:p w:rsidR="00024C0A" w:rsidRDefault="00694C0F">
            <w:pPr>
              <w:pStyle w:val="TableBodyText"/>
            </w:pPr>
            <w:r>
              <w:t>102</w:t>
            </w:r>
          </w:p>
        </w:tc>
      </w:tr>
      <w:tr w:rsidR="00024C0A" w:rsidTr="00024C0A">
        <w:tc>
          <w:tcPr>
            <w:tcW w:w="0" w:type="auto"/>
            <w:vAlign w:val="center"/>
          </w:tcPr>
          <w:p w:rsidR="00024C0A" w:rsidRDefault="00694C0F">
            <w:pPr>
              <w:pStyle w:val="TableBodyText"/>
            </w:pPr>
            <w:r>
              <w:t>HTML Top of Form</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92</w:t>
            </w:r>
          </w:p>
        </w:tc>
      </w:tr>
      <w:tr w:rsidR="00024C0A" w:rsidTr="00024C0A">
        <w:tc>
          <w:tcPr>
            <w:tcW w:w="0" w:type="auto"/>
            <w:vAlign w:val="center"/>
          </w:tcPr>
          <w:p w:rsidR="00024C0A" w:rsidRDefault="00694C0F">
            <w:pPr>
              <w:pStyle w:val="TableBodyText"/>
            </w:pPr>
            <w:r>
              <w:t>HTML Typewriter</w:t>
            </w:r>
          </w:p>
        </w:tc>
        <w:tc>
          <w:tcPr>
            <w:tcW w:w="0" w:type="auto"/>
            <w:vAlign w:val="center"/>
          </w:tcPr>
          <w:p w:rsidR="00024C0A" w:rsidRDefault="00694C0F">
            <w:pPr>
              <w:pStyle w:val="TableBodyText"/>
            </w:pPr>
            <w:r>
              <w:t>character</w:t>
            </w:r>
          </w:p>
        </w:tc>
        <w:tc>
          <w:tcPr>
            <w:tcW w:w="0" w:type="auto"/>
            <w:vAlign w:val="center"/>
          </w:tcPr>
          <w:p w:rsidR="00024C0A" w:rsidRDefault="00694C0F">
            <w:pPr>
              <w:pStyle w:val="TableBodyText"/>
            </w:pPr>
            <w:r>
              <w:t>103</w:t>
            </w:r>
          </w:p>
        </w:tc>
      </w:tr>
      <w:tr w:rsidR="00024C0A" w:rsidTr="00024C0A">
        <w:tc>
          <w:tcPr>
            <w:tcW w:w="0" w:type="auto"/>
            <w:vAlign w:val="center"/>
          </w:tcPr>
          <w:p w:rsidR="00024C0A" w:rsidRDefault="00694C0F">
            <w:pPr>
              <w:pStyle w:val="TableBodyText"/>
            </w:pPr>
            <w:r>
              <w:t>HTML Variable</w:t>
            </w:r>
          </w:p>
        </w:tc>
        <w:tc>
          <w:tcPr>
            <w:tcW w:w="0" w:type="auto"/>
            <w:vAlign w:val="center"/>
          </w:tcPr>
          <w:p w:rsidR="00024C0A" w:rsidRDefault="00694C0F">
            <w:pPr>
              <w:pStyle w:val="TableBodyText"/>
            </w:pPr>
            <w:r>
              <w:t>character</w:t>
            </w:r>
          </w:p>
        </w:tc>
        <w:tc>
          <w:tcPr>
            <w:tcW w:w="0" w:type="auto"/>
            <w:vAlign w:val="center"/>
          </w:tcPr>
          <w:p w:rsidR="00024C0A" w:rsidRDefault="00694C0F">
            <w:pPr>
              <w:pStyle w:val="TableBodyText"/>
            </w:pPr>
            <w:r>
              <w:t>104</w:t>
            </w:r>
          </w:p>
        </w:tc>
      </w:tr>
      <w:tr w:rsidR="00024C0A" w:rsidTr="00024C0A">
        <w:tc>
          <w:tcPr>
            <w:tcW w:w="0" w:type="auto"/>
            <w:vAlign w:val="center"/>
          </w:tcPr>
          <w:p w:rsidR="00024C0A" w:rsidRDefault="00694C0F">
            <w:pPr>
              <w:pStyle w:val="TableBodyText"/>
            </w:pPr>
            <w:r>
              <w:t>Hyperlink</w:t>
            </w:r>
          </w:p>
        </w:tc>
        <w:tc>
          <w:tcPr>
            <w:tcW w:w="0" w:type="auto"/>
            <w:vAlign w:val="center"/>
          </w:tcPr>
          <w:p w:rsidR="00024C0A" w:rsidRDefault="00694C0F">
            <w:pPr>
              <w:pStyle w:val="TableBodyText"/>
            </w:pPr>
            <w:r>
              <w:t>character</w:t>
            </w:r>
          </w:p>
        </w:tc>
        <w:tc>
          <w:tcPr>
            <w:tcW w:w="0" w:type="auto"/>
            <w:vAlign w:val="center"/>
          </w:tcPr>
          <w:p w:rsidR="00024C0A" w:rsidRDefault="00694C0F">
            <w:pPr>
              <w:pStyle w:val="TableBodyText"/>
            </w:pPr>
            <w:r>
              <w:t>85</w:t>
            </w:r>
          </w:p>
        </w:tc>
      </w:tr>
      <w:tr w:rsidR="00024C0A" w:rsidTr="00024C0A">
        <w:tc>
          <w:tcPr>
            <w:tcW w:w="0" w:type="auto"/>
            <w:vAlign w:val="center"/>
          </w:tcPr>
          <w:p w:rsidR="00024C0A" w:rsidRDefault="00694C0F">
            <w:pPr>
              <w:pStyle w:val="TableBodyText"/>
            </w:pPr>
            <w:r>
              <w:t>index 1</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10</w:t>
            </w:r>
          </w:p>
        </w:tc>
      </w:tr>
      <w:tr w:rsidR="00024C0A" w:rsidTr="00024C0A">
        <w:tc>
          <w:tcPr>
            <w:tcW w:w="0" w:type="auto"/>
            <w:vAlign w:val="center"/>
          </w:tcPr>
          <w:p w:rsidR="00024C0A" w:rsidRDefault="00694C0F">
            <w:pPr>
              <w:pStyle w:val="TableBodyText"/>
            </w:pPr>
            <w:r>
              <w:t>index 2</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11</w:t>
            </w:r>
          </w:p>
        </w:tc>
      </w:tr>
      <w:tr w:rsidR="00024C0A" w:rsidTr="00024C0A">
        <w:tc>
          <w:tcPr>
            <w:tcW w:w="0" w:type="auto"/>
            <w:vAlign w:val="center"/>
          </w:tcPr>
          <w:p w:rsidR="00024C0A" w:rsidRDefault="00694C0F">
            <w:pPr>
              <w:pStyle w:val="TableBodyText"/>
            </w:pPr>
            <w:r>
              <w:t>index 3</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12</w:t>
            </w:r>
          </w:p>
        </w:tc>
      </w:tr>
      <w:tr w:rsidR="00024C0A" w:rsidTr="00024C0A">
        <w:tc>
          <w:tcPr>
            <w:tcW w:w="0" w:type="auto"/>
            <w:vAlign w:val="center"/>
          </w:tcPr>
          <w:p w:rsidR="00024C0A" w:rsidRDefault="00694C0F">
            <w:pPr>
              <w:pStyle w:val="TableBodyText"/>
            </w:pPr>
            <w:r>
              <w:t>index 4</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13</w:t>
            </w:r>
          </w:p>
        </w:tc>
      </w:tr>
      <w:tr w:rsidR="00024C0A" w:rsidTr="00024C0A">
        <w:tc>
          <w:tcPr>
            <w:tcW w:w="0" w:type="auto"/>
            <w:vAlign w:val="center"/>
          </w:tcPr>
          <w:p w:rsidR="00024C0A" w:rsidRDefault="00694C0F">
            <w:pPr>
              <w:pStyle w:val="TableBodyText"/>
            </w:pPr>
            <w:r>
              <w:t>index 5</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14</w:t>
            </w:r>
          </w:p>
        </w:tc>
      </w:tr>
      <w:tr w:rsidR="00024C0A" w:rsidTr="00024C0A">
        <w:tc>
          <w:tcPr>
            <w:tcW w:w="0" w:type="auto"/>
            <w:vAlign w:val="center"/>
          </w:tcPr>
          <w:p w:rsidR="00024C0A" w:rsidRDefault="00694C0F">
            <w:pPr>
              <w:pStyle w:val="TableBodyText"/>
            </w:pPr>
            <w:r>
              <w:t>index 6</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15</w:t>
            </w:r>
          </w:p>
        </w:tc>
      </w:tr>
      <w:tr w:rsidR="00024C0A" w:rsidTr="00024C0A">
        <w:tc>
          <w:tcPr>
            <w:tcW w:w="0" w:type="auto"/>
            <w:vAlign w:val="center"/>
          </w:tcPr>
          <w:p w:rsidR="00024C0A" w:rsidRDefault="00694C0F">
            <w:pPr>
              <w:pStyle w:val="TableBodyText"/>
            </w:pPr>
            <w:r>
              <w:t>index 7</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16</w:t>
            </w:r>
          </w:p>
        </w:tc>
      </w:tr>
      <w:tr w:rsidR="00024C0A" w:rsidTr="00024C0A">
        <w:tc>
          <w:tcPr>
            <w:tcW w:w="0" w:type="auto"/>
            <w:vAlign w:val="center"/>
          </w:tcPr>
          <w:p w:rsidR="00024C0A" w:rsidRDefault="00694C0F">
            <w:pPr>
              <w:pStyle w:val="TableBodyText"/>
            </w:pPr>
            <w:r>
              <w:t>index 8</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17</w:t>
            </w:r>
          </w:p>
        </w:tc>
      </w:tr>
      <w:tr w:rsidR="00024C0A" w:rsidTr="00024C0A">
        <w:tc>
          <w:tcPr>
            <w:tcW w:w="0" w:type="auto"/>
            <w:vAlign w:val="center"/>
          </w:tcPr>
          <w:p w:rsidR="00024C0A" w:rsidRDefault="00694C0F">
            <w:pPr>
              <w:pStyle w:val="TableBodyText"/>
            </w:pPr>
            <w:r>
              <w:lastRenderedPageBreak/>
              <w:t>index 9</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18</w:t>
            </w:r>
          </w:p>
        </w:tc>
      </w:tr>
      <w:tr w:rsidR="00024C0A" w:rsidTr="00024C0A">
        <w:tc>
          <w:tcPr>
            <w:tcW w:w="0" w:type="auto"/>
            <w:vAlign w:val="center"/>
          </w:tcPr>
          <w:p w:rsidR="00024C0A" w:rsidRDefault="00694C0F">
            <w:pPr>
              <w:pStyle w:val="TableBodyText"/>
            </w:pPr>
            <w:r>
              <w:t>index heading</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33</w:t>
            </w:r>
          </w:p>
        </w:tc>
      </w:tr>
      <w:tr w:rsidR="00024C0A" w:rsidTr="00024C0A">
        <w:tc>
          <w:tcPr>
            <w:tcW w:w="0" w:type="auto"/>
            <w:vAlign w:val="center"/>
          </w:tcPr>
          <w:p w:rsidR="00024C0A" w:rsidRDefault="00694C0F">
            <w:pPr>
              <w:pStyle w:val="TableBodyText"/>
            </w:pPr>
            <w:r>
              <w:t>Intense Emphasis</w:t>
            </w:r>
          </w:p>
        </w:tc>
        <w:tc>
          <w:tcPr>
            <w:tcW w:w="0" w:type="auto"/>
            <w:vAlign w:val="center"/>
          </w:tcPr>
          <w:p w:rsidR="00024C0A" w:rsidRDefault="00694C0F">
            <w:pPr>
              <w:pStyle w:val="TableBodyText"/>
            </w:pPr>
            <w:r>
              <w:t>character</w:t>
            </w:r>
          </w:p>
        </w:tc>
        <w:tc>
          <w:tcPr>
            <w:tcW w:w="0" w:type="auto"/>
            <w:vAlign w:val="center"/>
          </w:tcPr>
          <w:p w:rsidR="00024C0A" w:rsidRDefault="00694C0F">
            <w:pPr>
              <w:pStyle w:val="TableBodyText"/>
            </w:pPr>
            <w:r>
              <w:t>261</w:t>
            </w:r>
          </w:p>
        </w:tc>
      </w:tr>
      <w:tr w:rsidR="00024C0A" w:rsidTr="00024C0A">
        <w:tc>
          <w:tcPr>
            <w:tcW w:w="0" w:type="auto"/>
            <w:vAlign w:val="center"/>
          </w:tcPr>
          <w:p w:rsidR="00024C0A" w:rsidRDefault="00694C0F">
            <w:pPr>
              <w:pStyle w:val="TableBodyText"/>
            </w:pPr>
            <w:r>
              <w:t>Intense Quote</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181</w:t>
            </w:r>
          </w:p>
        </w:tc>
      </w:tr>
      <w:tr w:rsidR="00024C0A" w:rsidTr="00024C0A">
        <w:tc>
          <w:tcPr>
            <w:tcW w:w="0" w:type="auto"/>
            <w:vAlign w:val="center"/>
          </w:tcPr>
          <w:p w:rsidR="00024C0A" w:rsidRDefault="00694C0F">
            <w:pPr>
              <w:pStyle w:val="TableBodyText"/>
            </w:pPr>
            <w:r>
              <w:t>Intense Reference</w:t>
            </w:r>
          </w:p>
        </w:tc>
        <w:tc>
          <w:tcPr>
            <w:tcW w:w="0" w:type="auto"/>
            <w:vAlign w:val="center"/>
          </w:tcPr>
          <w:p w:rsidR="00024C0A" w:rsidRDefault="00694C0F">
            <w:pPr>
              <w:pStyle w:val="TableBodyText"/>
            </w:pPr>
            <w:r>
              <w:t>character</w:t>
            </w:r>
          </w:p>
        </w:tc>
        <w:tc>
          <w:tcPr>
            <w:tcW w:w="0" w:type="auto"/>
            <w:vAlign w:val="center"/>
          </w:tcPr>
          <w:p w:rsidR="00024C0A" w:rsidRDefault="00694C0F">
            <w:pPr>
              <w:pStyle w:val="TableBodyText"/>
            </w:pPr>
            <w:r>
              <w:t>263</w:t>
            </w:r>
          </w:p>
        </w:tc>
      </w:tr>
      <w:tr w:rsidR="00024C0A" w:rsidTr="00024C0A">
        <w:tc>
          <w:tcPr>
            <w:tcW w:w="0" w:type="auto"/>
            <w:vAlign w:val="center"/>
          </w:tcPr>
          <w:p w:rsidR="00024C0A" w:rsidRDefault="00694C0F">
            <w:pPr>
              <w:pStyle w:val="TableBodyText"/>
            </w:pPr>
            <w:r>
              <w:t>Light Grid</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160</w:t>
            </w:r>
          </w:p>
        </w:tc>
      </w:tr>
      <w:tr w:rsidR="00024C0A" w:rsidTr="00024C0A">
        <w:tc>
          <w:tcPr>
            <w:tcW w:w="0" w:type="auto"/>
            <w:vAlign w:val="center"/>
          </w:tcPr>
          <w:p w:rsidR="00024C0A" w:rsidRDefault="00694C0F">
            <w:pPr>
              <w:pStyle w:val="TableBodyText"/>
            </w:pPr>
            <w:r>
              <w:t>Light Grid Accent 1</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174</w:t>
            </w:r>
          </w:p>
        </w:tc>
      </w:tr>
      <w:tr w:rsidR="00024C0A" w:rsidTr="00024C0A">
        <w:tc>
          <w:tcPr>
            <w:tcW w:w="0" w:type="auto"/>
            <w:vAlign w:val="center"/>
          </w:tcPr>
          <w:p w:rsidR="00024C0A" w:rsidRDefault="00694C0F">
            <w:pPr>
              <w:pStyle w:val="TableBodyText"/>
            </w:pPr>
            <w:r>
              <w:t>Light Grid Accent 2</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192</w:t>
            </w:r>
          </w:p>
        </w:tc>
      </w:tr>
      <w:tr w:rsidR="00024C0A" w:rsidTr="00024C0A">
        <w:tc>
          <w:tcPr>
            <w:tcW w:w="0" w:type="auto"/>
            <w:vAlign w:val="center"/>
          </w:tcPr>
          <w:p w:rsidR="00024C0A" w:rsidRDefault="00694C0F">
            <w:pPr>
              <w:pStyle w:val="TableBodyText"/>
            </w:pPr>
            <w:r>
              <w:t xml:space="preserve">Light Grid </w:t>
            </w:r>
            <w:r>
              <w:t>Accent 3</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206</w:t>
            </w:r>
          </w:p>
        </w:tc>
      </w:tr>
      <w:tr w:rsidR="00024C0A" w:rsidTr="00024C0A">
        <w:tc>
          <w:tcPr>
            <w:tcW w:w="0" w:type="auto"/>
            <w:vAlign w:val="center"/>
          </w:tcPr>
          <w:p w:rsidR="00024C0A" w:rsidRDefault="00694C0F">
            <w:pPr>
              <w:pStyle w:val="TableBodyText"/>
            </w:pPr>
            <w:r>
              <w:t>Light Grid Accent 4</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220</w:t>
            </w:r>
          </w:p>
        </w:tc>
      </w:tr>
      <w:tr w:rsidR="00024C0A" w:rsidTr="00024C0A">
        <w:tc>
          <w:tcPr>
            <w:tcW w:w="0" w:type="auto"/>
            <w:vAlign w:val="center"/>
          </w:tcPr>
          <w:p w:rsidR="00024C0A" w:rsidRDefault="00694C0F">
            <w:pPr>
              <w:pStyle w:val="TableBodyText"/>
            </w:pPr>
            <w:r>
              <w:t>Light Grid Accent 5</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234</w:t>
            </w:r>
          </w:p>
        </w:tc>
      </w:tr>
      <w:tr w:rsidR="00024C0A" w:rsidTr="00024C0A">
        <w:tc>
          <w:tcPr>
            <w:tcW w:w="0" w:type="auto"/>
            <w:vAlign w:val="center"/>
          </w:tcPr>
          <w:p w:rsidR="00024C0A" w:rsidRDefault="00694C0F">
            <w:pPr>
              <w:pStyle w:val="TableBodyText"/>
            </w:pPr>
            <w:r>
              <w:t>Light Grid Accent 6</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248</w:t>
            </w:r>
          </w:p>
        </w:tc>
      </w:tr>
      <w:tr w:rsidR="00024C0A" w:rsidTr="00024C0A">
        <w:tc>
          <w:tcPr>
            <w:tcW w:w="0" w:type="auto"/>
            <w:vAlign w:val="center"/>
          </w:tcPr>
          <w:p w:rsidR="00024C0A" w:rsidRDefault="00694C0F">
            <w:pPr>
              <w:pStyle w:val="TableBodyText"/>
            </w:pPr>
            <w:r>
              <w:t>Light List</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159</w:t>
            </w:r>
          </w:p>
        </w:tc>
      </w:tr>
      <w:tr w:rsidR="00024C0A" w:rsidTr="00024C0A">
        <w:tc>
          <w:tcPr>
            <w:tcW w:w="0" w:type="auto"/>
            <w:vAlign w:val="center"/>
          </w:tcPr>
          <w:p w:rsidR="00024C0A" w:rsidRDefault="00694C0F">
            <w:pPr>
              <w:pStyle w:val="TableBodyText"/>
            </w:pPr>
            <w:r>
              <w:t>Light List Accent 1</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173</w:t>
            </w:r>
          </w:p>
        </w:tc>
      </w:tr>
      <w:tr w:rsidR="00024C0A" w:rsidTr="00024C0A">
        <w:tc>
          <w:tcPr>
            <w:tcW w:w="0" w:type="auto"/>
            <w:vAlign w:val="center"/>
          </w:tcPr>
          <w:p w:rsidR="00024C0A" w:rsidRDefault="00694C0F">
            <w:pPr>
              <w:pStyle w:val="TableBodyText"/>
            </w:pPr>
            <w:r>
              <w:t>Light List Accent 2</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191</w:t>
            </w:r>
          </w:p>
        </w:tc>
      </w:tr>
      <w:tr w:rsidR="00024C0A" w:rsidTr="00024C0A">
        <w:tc>
          <w:tcPr>
            <w:tcW w:w="0" w:type="auto"/>
            <w:vAlign w:val="center"/>
          </w:tcPr>
          <w:p w:rsidR="00024C0A" w:rsidRDefault="00694C0F">
            <w:pPr>
              <w:pStyle w:val="TableBodyText"/>
            </w:pPr>
            <w:r>
              <w:t>Light List Accent 3</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205</w:t>
            </w:r>
          </w:p>
        </w:tc>
      </w:tr>
      <w:tr w:rsidR="00024C0A" w:rsidTr="00024C0A">
        <w:tc>
          <w:tcPr>
            <w:tcW w:w="0" w:type="auto"/>
            <w:vAlign w:val="center"/>
          </w:tcPr>
          <w:p w:rsidR="00024C0A" w:rsidRDefault="00694C0F">
            <w:pPr>
              <w:pStyle w:val="TableBodyText"/>
            </w:pPr>
            <w:r>
              <w:t>Light List Accent 4</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219</w:t>
            </w:r>
          </w:p>
        </w:tc>
      </w:tr>
      <w:tr w:rsidR="00024C0A" w:rsidTr="00024C0A">
        <w:tc>
          <w:tcPr>
            <w:tcW w:w="0" w:type="auto"/>
            <w:vAlign w:val="center"/>
          </w:tcPr>
          <w:p w:rsidR="00024C0A" w:rsidRDefault="00694C0F">
            <w:pPr>
              <w:pStyle w:val="TableBodyText"/>
            </w:pPr>
            <w:r>
              <w:t>Light List Accent 5</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233</w:t>
            </w:r>
          </w:p>
        </w:tc>
      </w:tr>
      <w:tr w:rsidR="00024C0A" w:rsidTr="00024C0A">
        <w:tc>
          <w:tcPr>
            <w:tcW w:w="0" w:type="auto"/>
            <w:vAlign w:val="center"/>
          </w:tcPr>
          <w:p w:rsidR="00024C0A" w:rsidRDefault="00694C0F">
            <w:pPr>
              <w:pStyle w:val="TableBodyText"/>
            </w:pPr>
            <w:r>
              <w:t>Light List Accent 6</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247</w:t>
            </w:r>
          </w:p>
        </w:tc>
      </w:tr>
      <w:tr w:rsidR="00024C0A" w:rsidTr="00024C0A">
        <w:tc>
          <w:tcPr>
            <w:tcW w:w="0" w:type="auto"/>
            <w:vAlign w:val="center"/>
          </w:tcPr>
          <w:p w:rsidR="00024C0A" w:rsidRDefault="00694C0F">
            <w:pPr>
              <w:pStyle w:val="TableBodyText"/>
            </w:pPr>
            <w:r>
              <w:t>Light Shading</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158</w:t>
            </w:r>
          </w:p>
        </w:tc>
      </w:tr>
      <w:tr w:rsidR="00024C0A" w:rsidTr="00024C0A">
        <w:tc>
          <w:tcPr>
            <w:tcW w:w="0" w:type="auto"/>
            <w:vAlign w:val="center"/>
          </w:tcPr>
          <w:p w:rsidR="00024C0A" w:rsidRDefault="00694C0F">
            <w:pPr>
              <w:pStyle w:val="TableBodyText"/>
            </w:pPr>
            <w:r>
              <w:t>Light Shading Accent 1</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172</w:t>
            </w:r>
          </w:p>
        </w:tc>
      </w:tr>
      <w:tr w:rsidR="00024C0A" w:rsidTr="00024C0A">
        <w:tc>
          <w:tcPr>
            <w:tcW w:w="0" w:type="auto"/>
            <w:vAlign w:val="center"/>
          </w:tcPr>
          <w:p w:rsidR="00024C0A" w:rsidRDefault="00694C0F">
            <w:pPr>
              <w:pStyle w:val="TableBodyText"/>
            </w:pPr>
            <w:r>
              <w:t>Light Shading Accent 2</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190</w:t>
            </w:r>
          </w:p>
        </w:tc>
      </w:tr>
      <w:tr w:rsidR="00024C0A" w:rsidTr="00024C0A">
        <w:tc>
          <w:tcPr>
            <w:tcW w:w="0" w:type="auto"/>
            <w:vAlign w:val="center"/>
          </w:tcPr>
          <w:p w:rsidR="00024C0A" w:rsidRDefault="00694C0F">
            <w:pPr>
              <w:pStyle w:val="TableBodyText"/>
            </w:pPr>
            <w:r>
              <w:t>Light Shading Accent 3</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204</w:t>
            </w:r>
          </w:p>
        </w:tc>
      </w:tr>
      <w:tr w:rsidR="00024C0A" w:rsidTr="00024C0A">
        <w:tc>
          <w:tcPr>
            <w:tcW w:w="0" w:type="auto"/>
            <w:vAlign w:val="center"/>
          </w:tcPr>
          <w:p w:rsidR="00024C0A" w:rsidRDefault="00694C0F">
            <w:pPr>
              <w:pStyle w:val="TableBodyText"/>
            </w:pPr>
            <w:r>
              <w:t>Light Shading Accent 4</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218</w:t>
            </w:r>
          </w:p>
        </w:tc>
      </w:tr>
      <w:tr w:rsidR="00024C0A" w:rsidTr="00024C0A">
        <w:tc>
          <w:tcPr>
            <w:tcW w:w="0" w:type="auto"/>
            <w:vAlign w:val="center"/>
          </w:tcPr>
          <w:p w:rsidR="00024C0A" w:rsidRDefault="00694C0F">
            <w:pPr>
              <w:pStyle w:val="TableBodyText"/>
            </w:pPr>
            <w:r>
              <w:t>Light Shading Accent 5</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232</w:t>
            </w:r>
          </w:p>
        </w:tc>
      </w:tr>
      <w:tr w:rsidR="00024C0A" w:rsidTr="00024C0A">
        <w:tc>
          <w:tcPr>
            <w:tcW w:w="0" w:type="auto"/>
            <w:vAlign w:val="center"/>
          </w:tcPr>
          <w:p w:rsidR="00024C0A" w:rsidRDefault="00694C0F">
            <w:pPr>
              <w:pStyle w:val="TableBodyText"/>
            </w:pPr>
            <w:r>
              <w:t>Light Shading Accent 6</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246</w:t>
            </w:r>
          </w:p>
        </w:tc>
      </w:tr>
      <w:tr w:rsidR="00024C0A" w:rsidTr="00024C0A">
        <w:tc>
          <w:tcPr>
            <w:tcW w:w="0" w:type="auto"/>
            <w:vAlign w:val="center"/>
          </w:tcPr>
          <w:p w:rsidR="00024C0A" w:rsidRDefault="00694C0F">
            <w:pPr>
              <w:pStyle w:val="TableBodyText"/>
            </w:pPr>
            <w:r>
              <w:t>line number</w:t>
            </w:r>
          </w:p>
        </w:tc>
        <w:tc>
          <w:tcPr>
            <w:tcW w:w="0" w:type="auto"/>
            <w:vAlign w:val="center"/>
          </w:tcPr>
          <w:p w:rsidR="00024C0A" w:rsidRDefault="00694C0F">
            <w:pPr>
              <w:pStyle w:val="TableBodyText"/>
            </w:pPr>
            <w:r>
              <w:t>character</w:t>
            </w:r>
          </w:p>
        </w:tc>
        <w:tc>
          <w:tcPr>
            <w:tcW w:w="0" w:type="auto"/>
            <w:vAlign w:val="center"/>
          </w:tcPr>
          <w:p w:rsidR="00024C0A" w:rsidRDefault="00694C0F">
            <w:pPr>
              <w:pStyle w:val="TableBodyText"/>
            </w:pPr>
            <w:r>
              <w:t>40</w:t>
            </w:r>
          </w:p>
        </w:tc>
      </w:tr>
      <w:tr w:rsidR="00024C0A" w:rsidTr="00024C0A">
        <w:tc>
          <w:tcPr>
            <w:tcW w:w="0" w:type="auto"/>
            <w:vAlign w:val="center"/>
          </w:tcPr>
          <w:p w:rsidR="00024C0A" w:rsidRDefault="00694C0F">
            <w:pPr>
              <w:pStyle w:val="TableBodyText"/>
            </w:pPr>
            <w:r>
              <w:t>List</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47</w:t>
            </w:r>
          </w:p>
        </w:tc>
      </w:tr>
      <w:tr w:rsidR="00024C0A" w:rsidTr="00024C0A">
        <w:tc>
          <w:tcPr>
            <w:tcW w:w="0" w:type="auto"/>
            <w:vAlign w:val="center"/>
          </w:tcPr>
          <w:p w:rsidR="00024C0A" w:rsidRDefault="00694C0F">
            <w:pPr>
              <w:pStyle w:val="TableBodyText"/>
            </w:pPr>
            <w:r>
              <w:t>List 2</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50</w:t>
            </w:r>
          </w:p>
        </w:tc>
      </w:tr>
      <w:tr w:rsidR="00024C0A" w:rsidTr="00024C0A">
        <w:tc>
          <w:tcPr>
            <w:tcW w:w="0" w:type="auto"/>
            <w:vAlign w:val="center"/>
          </w:tcPr>
          <w:p w:rsidR="00024C0A" w:rsidRDefault="00694C0F">
            <w:pPr>
              <w:pStyle w:val="TableBodyText"/>
            </w:pPr>
            <w:r>
              <w:t>List 3</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51</w:t>
            </w:r>
          </w:p>
        </w:tc>
      </w:tr>
      <w:tr w:rsidR="00024C0A" w:rsidTr="00024C0A">
        <w:tc>
          <w:tcPr>
            <w:tcW w:w="0" w:type="auto"/>
            <w:vAlign w:val="center"/>
          </w:tcPr>
          <w:p w:rsidR="00024C0A" w:rsidRDefault="00694C0F">
            <w:pPr>
              <w:pStyle w:val="TableBodyText"/>
            </w:pPr>
            <w:r>
              <w:t>List 4</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52</w:t>
            </w:r>
          </w:p>
        </w:tc>
      </w:tr>
      <w:tr w:rsidR="00024C0A" w:rsidTr="00024C0A">
        <w:tc>
          <w:tcPr>
            <w:tcW w:w="0" w:type="auto"/>
            <w:vAlign w:val="center"/>
          </w:tcPr>
          <w:p w:rsidR="00024C0A" w:rsidRDefault="00694C0F">
            <w:pPr>
              <w:pStyle w:val="TableBodyText"/>
            </w:pPr>
            <w:r>
              <w:t>List 5</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53</w:t>
            </w:r>
          </w:p>
        </w:tc>
      </w:tr>
      <w:tr w:rsidR="00024C0A" w:rsidTr="00024C0A">
        <w:tc>
          <w:tcPr>
            <w:tcW w:w="0" w:type="auto"/>
            <w:vAlign w:val="center"/>
          </w:tcPr>
          <w:p w:rsidR="00024C0A" w:rsidRDefault="00694C0F">
            <w:pPr>
              <w:pStyle w:val="TableBodyText"/>
            </w:pPr>
            <w:r>
              <w:lastRenderedPageBreak/>
              <w:t>List Bullet</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48</w:t>
            </w:r>
          </w:p>
        </w:tc>
      </w:tr>
      <w:tr w:rsidR="00024C0A" w:rsidTr="00024C0A">
        <w:tc>
          <w:tcPr>
            <w:tcW w:w="0" w:type="auto"/>
            <w:vAlign w:val="center"/>
          </w:tcPr>
          <w:p w:rsidR="00024C0A" w:rsidRDefault="00694C0F">
            <w:pPr>
              <w:pStyle w:val="TableBodyText"/>
            </w:pPr>
            <w:r>
              <w:t>List Bullet 2</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54</w:t>
            </w:r>
          </w:p>
        </w:tc>
      </w:tr>
      <w:tr w:rsidR="00024C0A" w:rsidTr="00024C0A">
        <w:tc>
          <w:tcPr>
            <w:tcW w:w="0" w:type="auto"/>
            <w:vAlign w:val="center"/>
          </w:tcPr>
          <w:p w:rsidR="00024C0A" w:rsidRDefault="00694C0F">
            <w:pPr>
              <w:pStyle w:val="TableBodyText"/>
            </w:pPr>
            <w:r>
              <w:t>List Bullet 3</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55</w:t>
            </w:r>
          </w:p>
        </w:tc>
      </w:tr>
      <w:tr w:rsidR="00024C0A" w:rsidTr="00024C0A">
        <w:tc>
          <w:tcPr>
            <w:tcW w:w="0" w:type="auto"/>
            <w:vAlign w:val="center"/>
          </w:tcPr>
          <w:p w:rsidR="00024C0A" w:rsidRDefault="00694C0F">
            <w:pPr>
              <w:pStyle w:val="TableBodyText"/>
            </w:pPr>
            <w:r>
              <w:t xml:space="preserve">List </w:t>
            </w:r>
            <w:r>
              <w:t>Bullet 4</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56</w:t>
            </w:r>
          </w:p>
        </w:tc>
      </w:tr>
      <w:tr w:rsidR="00024C0A" w:rsidTr="00024C0A">
        <w:tc>
          <w:tcPr>
            <w:tcW w:w="0" w:type="auto"/>
            <w:vAlign w:val="center"/>
          </w:tcPr>
          <w:p w:rsidR="00024C0A" w:rsidRDefault="00694C0F">
            <w:pPr>
              <w:pStyle w:val="TableBodyText"/>
            </w:pPr>
            <w:r>
              <w:t>List Bullet 5</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57</w:t>
            </w:r>
          </w:p>
        </w:tc>
      </w:tr>
      <w:tr w:rsidR="00024C0A" w:rsidTr="00024C0A">
        <w:tc>
          <w:tcPr>
            <w:tcW w:w="0" w:type="auto"/>
            <w:vAlign w:val="center"/>
          </w:tcPr>
          <w:p w:rsidR="00024C0A" w:rsidRDefault="00694C0F">
            <w:pPr>
              <w:pStyle w:val="TableBodyText"/>
            </w:pPr>
            <w:r>
              <w:t>List Continue</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68</w:t>
            </w:r>
          </w:p>
        </w:tc>
      </w:tr>
      <w:tr w:rsidR="00024C0A" w:rsidTr="00024C0A">
        <w:tc>
          <w:tcPr>
            <w:tcW w:w="0" w:type="auto"/>
            <w:vAlign w:val="center"/>
          </w:tcPr>
          <w:p w:rsidR="00024C0A" w:rsidRDefault="00694C0F">
            <w:pPr>
              <w:pStyle w:val="TableBodyText"/>
            </w:pPr>
            <w:r>
              <w:t>List Continue 2</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69</w:t>
            </w:r>
          </w:p>
        </w:tc>
      </w:tr>
      <w:tr w:rsidR="00024C0A" w:rsidTr="00024C0A">
        <w:tc>
          <w:tcPr>
            <w:tcW w:w="0" w:type="auto"/>
            <w:vAlign w:val="center"/>
          </w:tcPr>
          <w:p w:rsidR="00024C0A" w:rsidRDefault="00694C0F">
            <w:pPr>
              <w:pStyle w:val="TableBodyText"/>
            </w:pPr>
            <w:r>
              <w:t>List Continue 3</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70</w:t>
            </w:r>
          </w:p>
        </w:tc>
      </w:tr>
      <w:tr w:rsidR="00024C0A" w:rsidTr="00024C0A">
        <w:tc>
          <w:tcPr>
            <w:tcW w:w="0" w:type="auto"/>
            <w:vAlign w:val="center"/>
          </w:tcPr>
          <w:p w:rsidR="00024C0A" w:rsidRDefault="00694C0F">
            <w:pPr>
              <w:pStyle w:val="TableBodyText"/>
            </w:pPr>
            <w:r>
              <w:t>List Continue 4</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71</w:t>
            </w:r>
          </w:p>
        </w:tc>
      </w:tr>
      <w:tr w:rsidR="00024C0A" w:rsidTr="00024C0A">
        <w:tc>
          <w:tcPr>
            <w:tcW w:w="0" w:type="auto"/>
            <w:vAlign w:val="center"/>
          </w:tcPr>
          <w:p w:rsidR="00024C0A" w:rsidRDefault="00694C0F">
            <w:pPr>
              <w:pStyle w:val="TableBodyText"/>
            </w:pPr>
            <w:r>
              <w:t>List Continue 5</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72</w:t>
            </w:r>
          </w:p>
        </w:tc>
      </w:tr>
      <w:tr w:rsidR="00024C0A" w:rsidTr="00024C0A">
        <w:tc>
          <w:tcPr>
            <w:tcW w:w="0" w:type="auto"/>
            <w:vAlign w:val="center"/>
          </w:tcPr>
          <w:p w:rsidR="00024C0A" w:rsidRDefault="00694C0F">
            <w:pPr>
              <w:pStyle w:val="TableBodyText"/>
            </w:pPr>
            <w:r>
              <w:t>List Number</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49</w:t>
            </w:r>
          </w:p>
        </w:tc>
      </w:tr>
      <w:tr w:rsidR="00024C0A" w:rsidTr="00024C0A">
        <w:tc>
          <w:tcPr>
            <w:tcW w:w="0" w:type="auto"/>
            <w:vAlign w:val="center"/>
          </w:tcPr>
          <w:p w:rsidR="00024C0A" w:rsidRDefault="00694C0F">
            <w:pPr>
              <w:pStyle w:val="TableBodyText"/>
            </w:pPr>
            <w:r>
              <w:t>List Number 2</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58</w:t>
            </w:r>
          </w:p>
        </w:tc>
      </w:tr>
      <w:tr w:rsidR="00024C0A" w:rsidTr="00024C0A">
        <w:tc>
          <w:tcPr>
            <w:tcW w:w="0" w:type="auto"/>
            <w:vAlign w:val="center"/>
          </w:tcPr>
          <w:p w:rsidR="00024C0A" w:rsidRDefault="00694C0F">
            <w:pPr>
              <w:pStyle w:val="TableBodyText"/>
            </w:pPr>
            <w:r>
              <w:t>List Number 3</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59</w:t>
            </w:r>
          </w:p>
        </w:tc>
      </w:tr>
      <w:tr w:rsidR="00024C0A" w:rsidTr="00024C0A">
        <w:tc>
          <w:tcPr>
            <w:tcW w:w="0" w:type="auto"/>
            <w:vAlign w:val="center"/>
          </w:tcPr>
          <w:p w:rsidR="00024C0A" w:rsidRDefault="00694C0F">
            <w:pPr>
              <w:pStyle w:val="TableBodyText"/>
            </w:pPr>
            <w:r>
              <w:t>List Number 4</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60</w:t>
            </w:r>
          </w:p>
        </w:tc>
      </w:tr>
      <w:tr w:rsidR="00024C0A" w:rsidTr="00024C0A">
        <w:tc>
          <w:tcPr>
            <w:tcW w:w="0" w:type="auto"/>
            <w:vAlign w:val="center"/>
          </w:tcPr>
          <w:p w:rsidR="00024C0A" w:rsidRDefault="00694C0F">
            <w:pPr>
              <w:pStyle w:val="TableBodyText"/>
            </w:pPr>
            <w:r>
              <w:t>List Number 5</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61</w:t>
            </w:r>
          </w:p>
        </w:tc>
      </w:tr>
      <w:tr w:rsidR="00024C0A" w:rsidTr="00024C0A">
        <w:tc>
          <w:tcPr>
            <w:tcW w:w="0" w:type="auto"/>
            <w:vAlign w:val="center"/>
          </w:tcPr>
          <w:p w:rsidR="00024C0A" w:rsidRDefault="00694C0F">
            <w:pPr>
              <w:pStyle w:val="TableBodyText"/>
            </w:pPr>
            <w:r>
              <w:t>List Paragraph</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179</w:t>
            </w:r>
          </w:p>
        </w:tc>
      </w:tr>
      <w:tr w:rsidR="00024C0A" w:rsidTr="00024C0A">
        <w:tc>
          <w:tcPr>
            <w:tcW w:w="0" w:type="auto"/>
            <w:vAlign w:val="center"/>
          </w:tcPr>
          <w:p w:rsidR="00024C0A" w:rsidRDefault="00694C0F">
            <w:pPr>
              <w:pStyle w:val="TableBodyText"/>
            </w:pPr>
            <w:r>
              <w:t>macro</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45</w:t>
            </w:r>
          </w:p>
        </w:tc>
      </w:tr>
      <w:tr w:rsidR="00024C0A" w:rsidTr="00024C0A">
        <w:tc>
          <w:tcPr>
            <w:tcW w:w="0" w:type="auto"/>
            <w:vAlign w:val="center"/>
          </w:tcPr>
          <w:p w:rsidR="00024C0A" w:rsidRDefault="00694C0F">
            <w:pPr>
              <w:pStyle w:val="TableBodyText"/>
            </w:pPr>
            <w:r>
              <w:t>Medium Grid 1</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165</w:t>
            </w:r>
          </w:p>
        </w:tc>
      </w:tr>
      <w:tr w:rsidR="00024C0A" w:rsidTr="00024C0A">
        <w:tc>
          <w:tcPr>
            <w:tcW w:w="0" w:type="auto"/>
            <w:vAlign w:val="center"/>
          </w:tcPr>
          <w:p w:rsidR="00024C0A" w:rsidRDefault="00694C0F">
            <w:pPr>
              <w:pStyle w:val="TableBodyText"/>
            </w:pPr>
            <w:r>
              <w:t>Medium Grid 1 Accent 1</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183</w:t>
            </w:r>
          </w:p>
        </w:tc>
      </w:tr>
      <w:tr w:rsidR="00024C0A" w:rsidTr="00024C0A">
        <w:tc>
          <w:tcPr>
            <w:tcW w:w="0" w:type="auto"/>
            <w:vAlign w:val="center"/>
          </w:tcPr>
          <w:p w:rsidR="00024C0A" w:rsidRDefault="00694C0F">
            <w:pPr>
              <w:pStyle w:val="TableBodyText"/>
            </w:pPr>
            <w:r>
              <w:t>Medium Grid 1 Accent 2</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197</w:t>
            </w:r>
          </w:p>
        </w:tc>
      </w:tr>
      <w:tr w:rsidR="00024C0A" w:rsidTr="00024C0A">
        <w:tc>
          <w:tcPr>
            <w:tcW w:w="0" w:type="auto"/>
            <w:vAlign w:val="center"/>
          </w:tcPr>
          <w:p w:rsidR="00024C0A" w:rsidRDefault="00694C0F">
            <w:pPr>
              <w:pStyle w:val="TableBodyText"/>
            </w:pPr>
            <w:r>
              <w:t>Medium Grid 1 Accent 3</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211</w:t>
            </w:r>
          </w:p>
        </w:tc>
      </w:tr>
      <w:tr w:rsidR="00024C0A" w:rsidTr="00024C0A">
        <w:tc>
          <w:tcPr>
            <w:tcW w:w="0" w:type="auto"/>
            <w:vAlign w:val="center"/>
          </w:tcPr>
          <w:p w:rsidR="00024C0A" w:rsidRDefault="00694C0F">
            <w:pPr>
              <w:pStyle w:val="TableBodyText"/>
            </w:pPr>
            <w:r>
              <w:t>Medium Grid 1 Accent 4</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225</w:t>
            </w:r>
          </w:p>
        </w:tc>
      </w:tr>
      <w:tr w:rsidR="00024C0A" w:rsidTr="00024C0A">
        <w:tc>
          <w:tcPr>
            <w:tcW w:w="0" w:type="auto"/>
            <w:vAlign w:val="center"/>
          </w:tcPr>
          <w:p w:rsidR="00024C0A" w:rsidRDefault="00694C0F">
            <w:pPr>
              <w:pStyle w:val="TableBodyText"/>
            </w:pPr>
            <w:r>
              <w:t>Medium Grid 1 Accent 5</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239</w:t>
            </w:r>
          </w:p>
        </w:tc>
      </w:tr>
      <w:tr w:rsidR="00024C0A" w:rsidTr="00024C0A">
        <w:tc>
          <w:tcPr>
            <w:tcW w:w="0" w:type="auto"/>
            <w:vAlign w:val="center"/>
          </w:tcPr>
          <w:p w:rsidR="00024C0A" w:rsidRDefault="00694C0F">
            <w:pPr>
              <w:pStyle w:val="TableBodyText"/>
            </w:pPr>
            <w:r>
              <w:t>Medium Grid 1 Accent 6</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253</w:t>
            </w:r>
          </w:p>
        </w:tc>
      </w:tr>
      <w:tr w:rsidR="00024C0A" w:rsidTr="00024C0A">
        <w:tc>
          <w:tcPr>
            <w:tcW w:w="0" w:type="auto"/>
            <w:vAlign w:val="center"/>
          </w:tcPr>
          <w:p w:rsidR="00024C0A" w:rsidRDefault="00694C0F">
            <w:pPr>
              <w:pStyle w:val="TableBodyText"/>
            </w:pPr>
            <w:r>
              <w:t>Medium Grid 2</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166</w:t>
            </w:r>
          </w:p>
        </w:tc>
      </w:tr>
      <w:tr w:rsidR="00024C0A" w:rsidTr="00024C0A">
        <w:tc>
          <w:tcPr>
            <w:tcW w:w="0" w:type="auto"/>
            <w:vAlign w:val="center"/>
          </w:tcPr>
          <w:p w:rsidR="00024C0A" w:rsidRDefault="00694C0F">
            <w:pPr>
              <w:pStyle w:val="TableBodyText"/>
            </w:pPr>
            <w:r>
              <w:t>Medium Grid 2 Accent 1</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184</w:t>
            </w:r>
          </w:p>
        </w:tc>
      </w:tr>
      <w:tr w:rsidR="00024C0A" w:rsidTr="00024C0A">
        <w:tc>
          <w:tcPr>
            <w:tcW w:w="0" w:type="auto"/>
            <w:vAlign w:val="center"/>
          </w:tcPr>
          <w:p w:rsidR="00024C0A" w:rsidRDefault="00694C0F">
            <w:pPr>
              <w:pStyle w:val="TableBodyText"/>
            </w:pPr>
            <w:r>
              <w:t>Medium Grid 2 Accent 2</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198</w:t>
            </w:r>
          </w:p>
        </w:tc>
      </w:tr>
      <w:tr w:rsidR="00024C0A" w:rsidTr="00024C0A">
        <w:tc>
          <w:tcPr>
            <w:tcW w:w="0" w:type="auto"/>
            <w:vAlign w:val="center"/>
          </w:tcPr>
          <w:p w:rsidR="00024C0A" w:rsidRDefault="00694C0F">
            <w:pPr>
              <w:pStyle w:val="TableBodyText"/>
            </w:pPr>
            <w:r>
              <w:t>Medium Grid 2 Accent 3</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212</w:t>
            </w:r>
          </w:p>
        </w:tc>
      </w:tr>
      <w:tr w:rsidR="00024C0A" w:rsidTr="00024C0A">
        <w:tc>
          <w:tcPr>
            <w:tcW w:w="0" w:type="auto"/>
            <w:vAlign w:val="center"/>
          </w:tcPr>
          <w:p w:rsidR="00024C0A" w:rsidRDefault="00694C0F">
            <w:pPr>
              <w:pStyle w:val="TableBodyText"/>
            </w:pPr>
            <w:r>
              <w:t>Medium Grid 2 Accent 4</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226</w:t>
            </w:r>
          </w:p>
        </w:tc>
      </w:tr>
      <w:tr w:rsidR="00024C0A" w:rsidTr="00024C0A">
        <w:tc>
          <w:tcPr>
            <w:tcW w:w="0" w:type="auto"/>
            <w:vAlign w:val="center"/>
          </w:tcPr>
          <w:p w:rsidR="00024C0A" w:rsidRDefault="00694C0F">
            <w:pPr>
              <w:pStyle w:val="TableBodyText"/>
            </w:pPr>
            <w:r>
              <w:t>Medium Grid 2 Accent 5</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240</w:t>
            </w:r>
          </w:p>
        </w:tc>
      </w:tr>
      <w:tr w:rsidR="00024C0A" w:rsidTr="00024C0A">
        <w:tc>
          <w:tcPr>
            <w:tcW w:w="0" w:type="auto"/>
            <w:vAlign w:val="center"/>
          </w:tcPr>
          <w:p w:rsidR="00024C0A" w:rsidRDefault="00694C0F">
            <w:pPr>
              <w:pStyle w:val="TableBodyText"/>
            </w:pPr>
            <w:r>
              <w:t>Medium Grid 2 Accent 6</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254</w:t>
            </w:r>
          </w:p>
        </w:tc>
      </w:tr>
      <w:tr w:rsidR="00024C0A" w:rsidTr="00024C0A">
        <w:tc>
          <w:tcPr>
            <w:tcW w:w="0" w:type="auto"/>
            <w:vAlign w:val="center"/>
          </w:tcPr>
          <w:p w:rsidR="00024C0A" w:rsidRDefault="00694C0F">
            <w:pPr>
              <w:pStyle w:val="TableBodyText"/>
            </w:pPr>
            <w:r>
              <w:t>Medium Grid 3</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167</w:t>
            </w:r>
          </w:p>
        </w:tc>
      </w:tr>
      <w:tr w:rsidR="00024C0A" w:rsidTr="00024C0A">
        <w:tc>
          <w:tcPr>
            <w:tcW w:w="0" w:type="auto"/>
            <w:vAlign w:val="center"/>
          </w:tcPr>
          <w:p w:rsidR="00024C0A" w:rsidRDefault="00694C0F">
            <w:pPr>
              <w:pStyle w:val="TableBodyText"/>
            </w:pPr>
            <w:r>
              <w:lastRenderedPageBreak/>
              <w:t>Medium Grid 3 Accent 1</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185</w:t>
            </w:r>
          </w:p>
        </w:tc>
      </w:tr>
      <w:tr w:rsidR="00024C0A" w:rsidTr="00024C0A">
        <w:tc>
          <w:tcPr>
            <w:tcW w:w="0" w:type="auto"/>
            <w:vAlign w:val="center"/>
          </w:tcPr>
          <w:p w:rsidR="00024C0A" w:rsidRDefault="00694C0F">
            <w:pPr>
              <w:pStyle w:val="TableBodyText"/>
            </w:pPr>
            <w:r>
              <w:t>Medium Grid 3 Accent 2</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199</w:t>
            </w:r>
          </w:p>
        </w:tc>
      </w:tr>
      <w:tr w:rsidR="00024C0A" w:rsidTr="00024C0A">
        <w:tc>
          <w:tcPr>
            <w:tcW w:w="0" w:type="auto"/>
            <w:vAlign w:val="center"/>
          </w:tcPr>
          <w:p w:rsidR="00024C0A" w:rsidRDefault="00694C0F">
            <w:pPr>
              <w:pStyle w:val="TableBodyText"/>
            </w:pPr>
            <w:r>
              <w:t>Medium Grid 3 Accent 3</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213</w:t>
            </w:r>
          </w:p>
        </w:tc>
      </w:tr>
      <w:tr w:rsidR="00024C0A" w:rsidTr="00024C0A">
        <w:tc>
          <w:tcPr>
            <w:tcW w:w="0" w:type="auto"/>
            <w:vAlign w:val="center"/>
          </w:tcPr>
          <w:p w:rsidR="00024C0A" w:rsidRDefault="00694C0F">
            <w:pPr>
              <w:pStyle w:val="TableBodyText"/>
            </w:pPr>
            <w:r>
              <w:t>Medium Grid 3 Accent 4</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227</w:t>
            </w:r>
          </w:p>
        </w:tc>
      </w:tr>
      <w:tr w:rsidR="00024C0A" w:rsidTr="00024C0A">
        <w:tc>
          <w:tcPr>
            <w:tcW w:w="0" w:type="auto"/>
            <w:vAlign w:val="center"/>
          </w:tcPr>
          <w:p w:rsidR="00024C0A" w:rsidRDefault="00694C0F">
            <w:pPr>
              <w:pStyle w:val="TableBodyText"/>
            </w:pPr>
            <w:r>
              <w:t xml:space="preserve">Medium Grid 3 </w:t>
            </w:r>
            <w:r>
              <w:t>Accent 5</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241</w:t>
            </w:r>
          </w:p>
        </w:tc>
      </w:tr>
      <w:tr w:rsidR="00024C0A" w:rsidTr="00024C0A">
        <w:tc>
          <w:tcPr>
            <w:tcW w:w="0" w:type="auto"/>
            <w:vAlign w:val="center"/>
          </w:tcPr>
          <w:p w:rsidR="00024C0A" w:rsidRDefault="00694C0F">
            <w:pPr>
              <w:pStyle w:val="TableBodyText"/>
            </w:pPr>
            <w:r>
              <w:t>Medium Grid 3 Accent 6</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255</w:t>
            </w:r>
          </w:p>
        </w:tc>
      </w:tr>
      <w:tr w:rsidR="00024C0A" w:rsidTr="00024C0A">
        <w:tc>
          <w:tcPr>
            <w:tcW w:w="0" w:type="auto"/>
            <w:vAlign w:val="center"/>
          </w:tcPr>
          <w:p w:rsidR="00024C0A" w:rsidRDefault="00694C0F">
            <w:pPr>
              <w:pStyle w:val="TableBodyText"/>
            </w:pPr>
            <w:r>
              <w:t>Medium List 1</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163</w:t>
            </w:r>
          </w:p>
        </w:tc>
      </w:tr>
      <w:tr w:rsidR="00024C0A" w:rsidTr="00024C0A">
        <w:tc>
          <w:tcPr>
            <w:tcW w:w="0" w:type="auto"/>
            <w:vAlign w:val="center"/>
          </w:tcPr>
          <w:p w:rsidR="00024C0A" w:rsidRDefault="00694C0F">
            <w:pPr>
              <w:pStyle w:val="TableBodyText"/>
            </w:pPr>
            <w:r>
              <w:t>Medium List 1 Accent 1</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177</w:t>
            </w:r>
          </w:p>
        </w:tc>
      </w:tr>
      <w:tr w:rsidR="00024C0A" w:rsidTr="00024C0A">
        <w:tc>
          <w:tcPr>
            <w:tcW w:w="0" w:type="auto"/>
            <w:vAlign w:val="center"/>
          </w:tcPr>
          <w:p w:rsidR="00024C0A" w:rsidRDefault="00694C0F">
            <w:pPr>
              <w:pStyle w:val="TableBodyText"/>
            </w:pPr>
            <w:r>
              <w:t>Medium List 1 Accent 2</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195</w:t>
            </w:r>
          </w:p>
        </w:tc>
      </w:tr>
      <w:tr w:rsidR="00024C0A" w:rsidTr="00024C0A">
        <w:tc>
          <w:tcPr>
            <w:tcW w:w="0" w:type="auto"/>
            <w:vAlign w:val="center"/>
          </w:tcPr>
          <w:p w:rsidR="00024C0A" w:rsidRDefault="00694C0F">
            <w:pPr>
              <w:pStyle w:val="TableBodyText"/>
            </w:pPr>
            <w:r>
              <w:t>Medium List 1 Accent 3</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209</w:t>
            </w:r>
          </w:p>
        </w:tc>
      </w:tr>
      <w:tr w:rsidR="00024C0A" w:rsidTr="00024C0A">
        <w:tc>
          <w:tcPr>
            <w:tcW w:w="0" w:type="auto"/>
            <w:vAlign w:val="center"/>
          </w:tcPr>
          <w:p w:rsidR="00024C0A" w:rsidRDefault="00694C0F">
            <w:pPr>
              <w:pStyle w:val="TableBodyText"/>
            </w:pPr>
            <w:r>
              <w:t>Medium List 1 Accent 4</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223</w:t>
            </w:r>
          </w:p>
        </w:tc>
      </w:tr>
      <w:tr w:rsidR="00024C0A" w:rsidTr="00024C0A">
        <w:tc>
          <w:tcPr>
            <w:tcW w:w="0" w:type="auto"/>
            <w:vAlign w:val="center"/>
          </w:tcPr>
          <w:p w:rsidR="00024C0A" w:rsidRDefault="00694C0F">
            <w:pPr>
              <w:pStyle w:val="TableBodyText"/>
            </w:pPr>
            <w:r>
              <w:t>Medium List 1 Accent 5</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237</w:t>
            </w:r>
          </w:p>
        </w:tc>
      </w:tr>
      <w:tr w:rsidR="00024C0A" w:rsidTr="00024C0A">
        <w:tc>
          <w:tcPr>
            <w:tcW w:w="0" w:type="auto"/>
            <w:vAlign w:val="center"/>
          </w:tcPr>
          <w:p w:rsidR="00024C0A" w:rsidRDefault="00694C0F">
            <w:pPr>
              <w:pStyle w:val="TableBodyText"/>
            </w:pPr>
            <w:r>
              <w:t xml:space="preserve">Medium </w:t>
            </w:r>
            <w:r>
              <w:t>List 1 Accent 6</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251</w:t>
            </w:r>
          </w:p>
        </w:tc>
      </w:tr>
      <w:tr w:rsidR="00024C0A" w:rsidTr="00024C0A">
        <w:tc>
          <w:tcPr>
            <w:tcW w:w="0" w:type="auto"/>
            <w:vAlign w:val="center"/>
          </w:tcPr>
          <w:p w:rsidR="00024C0A" w:rsidRDefault="00694C0F">
            <w:pPr>
              <w:pStyle w:val="TableBodyText"/>
            </w:pPr>
            <w:r>
              <w:t>Medium List 2</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164</w:t>
            </w:r>
          </w:p>
        </w:tc>
      </w:tr>
      <w:tr w:rsidR="00024C0A" w:rsidTr="00024C0A">
        <w:tc>
          <w:tcPr>
            <w:tcW w:w="0" w:type="auto"/>
            <w:vAlign w:val="center"/>
          </w:tcPr>
          <w:p w:rsidR="00024C0A" w:rsidRDefault="00694C0F">
            <w:pPr>
              <w:pStyle w:val="TableBodyText"/>
            </w:pPr>
            <w:r>
              <w:t>Medium List 2 Accent 1</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182</w:t>
            </w:r>
          </w:p>
        </w:tc>
      </w:tr>
      <w:tr w:rsidR="00024C0A" w:rsidTr="00024C0A">
        <w:tc>
          <w:tcPr>
            <w:tcW w:w="0" w:type="auto"/>
            <w:vAlign w:val="center"/>
          </w:tcPr>
          <w:p w:rsidR="00024C0A" w:rsidRDefault="00694C0F">
            <w:pPr>
              <w:pStyle w:val="TableBodyText"/>
            </w:pPr>
            <w:r>
              <w:t>Medium List 2 Accent 2</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196</w:t>
            </w:r>
          </w:p>
        </w:tc>
      </w:tr>
      <w:tr w:rsidR="00024C0A" w:rsidTr="00024C0A">
        <w:tc>
          <w:tcPr>
            <w:tcW w:w="0" w:type="auto"/>
            <w:vAlign w:val="center"/>
          </w:tcPr>
          <w:p w:rsidR="00024C0A" w:rsidRDefault="00694C0F">
            <w:pPr>
              <w:pStyle w:val="TableBodyText"/>
            </w:pPr>
            <w:r>
              <w:t>Medium List 2 Accent 3</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210</w:t>
            </w:r>
          </w:p>
        </w:tc>
      </w:tr>
      <w:tr w:rsidR="00024C0A" w:rsidTr="00024C0A">
        <w:tc>
          <w:tcPr>
            <w:tcW w:w="0" w:type="auto"/>
            <w:vAlign w:val="center"/>
          </w:tcPr>
          <w:p w:rsidR="00024C0A" w:rsidRDefault="00694C0F">
            <w:pPr>
              <w:pStyle w:val="TableBodyText"/>
            </w:pPr>
            <w:r>
              <w:t>Medium List 2 Accent 4</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224</w:t>
            </w:r>
          </w:p>
        </w:tc>
      </w:tr>
      <w:tr w:rsidR="00024C0A" w:rsidTr="00024C0A">
        <w:tc>
          <w:tcPr>
            <w:tcW w:w="0" w:type="auto"/>
            <w:vAlign w:val="center"/>
          </w:tcPr>
          <w:p w:rsidR="00024C0A" w:rsidRDefault="00694C0F">
            <w:pPr>
              <w:pStyle w:val="TableBodyText"/>
            </w:pPr>
            <w:r>
              <w:t>Medium List 2 Accent 5</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238</w:t>
            </w:r>
          </w:p>
        </w:tc>
      </w:tr>
      <w:tr w:rsidR="00024C0A" w:rsidTr="00024C0A">
        <w:tc>
          <w:tcPr>
            <w:tcW w:w="0" w:type="auto"/>
            <w:vAlign w:val="center"/>
          </w:tcPr>
          <w:p w:rsidR="00024C0A" w:rsidRDefault="00694C0F">
            <w:pPr>
              <w:pStyle w:val="TableBodyText"/>
            </w:pPr>
            <w:r>
              <w:t>Medium List 2 Accent 6</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252</w:t>
            </w:r>
          </w:p>
        </w:tc>
      </w:tr>
      <w:tr w:rsidR="00024C0A" w:rsidTr="00024C0A">
        <w:tc>
          <w:tcPr>
            <w:tcW w:w="0" w:type="auto"/>
            <w:vAlign w:val="center"/>
          </w:tcPr>
          <w:p w:rsidR="00024C0A" w:rsidRDefault="00694C0F">
            <w:pPr>
              <w:pStyle w:val="TableBodyText"/>
            </w:pPr>
            <w:r>
              <w:t>Medium Shading 1</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161</w:t>
            </w:r>
          </w:p>
        </w:tc>
      </w:tr>
      <w:tr w:rsidR="00024C0A" w:rsidTr="00024C0A">
        <w:tc>
          <w:tcPr>
            <w:tcW w:w="0" w:type="auto"/>
            <w:vAlign w:val="center"/>
          </w:tcPr>
          <w:p w:rsidR="00024C0A" w:rsidRDefault="00694C0F">
            <w:pPr>
              <w:pStyle w:val="TableBodyText"/>
            </w:pPr>
            <w:r>
              <w:t>Medium Shading 1 Accent 1</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175</w:t>
            </w:r>
          </w:p>
        </w:tc>
      </w:tr>
      <w:tr w:rsidR="00024C0A" w:rsidTr="00024C0A">
        <w:tc>
          <w:tcPr>
            <w:tcW w:w="0" w:type="auto"/>
            <w:vAlign w:val="center"/>
          </w:tcPr>
          <w:p w:rsidR="00024C0A" w:rsidRDefault="00694C0F">
            <w:pPr>
              <w:pStyle w:val="TableBodyText"/>
            </w:pPr>
            <w:r>
              <w:t>Medium Shading 1 Accent 2</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193</w:t>
            </w:r>
          </w:p>
        </w:tc>
      </w:tr>
      <w:tr w:rsidR="00024C0A" w:rsidTr="00024C0A">
        <w:tc>
          <w:tcPr>
            <w:tcW w:w="0" w:type="auto"/>
            <w:vAlign w:val="center"/>
          </w:tcPr>
          <w:p w:rsidR="00024C0A" w:rsidRDefault="00694C0F">
            <w:pPr>
              <w:pStyle w:val="TableBodyText"/>
            </w:pPr>
            <w:r>
              <w:t>Medium Shading 1 Accent 3</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207</w:t>
            </w:r>
          </w:p>
        </w:tc>
      </w:tr>
      <w:tr w:rsidR="00024C0A" w:rsidTr="00024C0A">
        <w:tc>
          <w:tcPr>
            <w:tcW w:w="0" w:type="auto"/>
            <w:vAlign w:val="center"/>
          </w:tcPr>
          <w:p w:rsidR="00024C0A" w:rsidRDefault="00694C0F">
            <w:pPr>
              <w:pStyle w:val="TableBodyText"/>
            </w:pPr>
            <w:r>
              <w:t>Medium Shading 1 Accent 4</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221</w:t>
            </w:r>
          </w:p>
        </w:tc>
      </w:tr>
      <w:tr w:rsidR="00024C0A" w:rsidTr="00024C0A">
        <w:tc>
          <w:tcPr>
            <w:tcW w:w="0" w:type="auto"/>
            <w:vAlign w:val="center"/>
          </w:tcPr>
          <w:p w:rsidR="00024C0A" w:rsidRDefault="00694C0F">
            <w:pPr>
              <w:pStyle w:val="TableBodyText"/>
            </w:pPr>
            <w:r>
              <w:t>Medium Shading 1 Accent 5</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235</w:t>
            </w:r>
          </w:p>
        </w:tc>
      </w:tr>
      <w:tr w:rsidR="00024C0A" w:rsidTr="00024C0A">
        <w:tc>
          <w:tcPr>
            <w:tcW w:w="0" w:type="auto"/>
            <w:vAlign w:val="center"/>
          </w:tcPr>
          <w:p w:rsidR="00024C0A" w:rsidRDefault="00694C0F">
            <w:pPr>
              <w:pStyle w:val="TableBodyText"/>
            </w:pPr>
            <w:r>
              <w:t>Medium Shading 1 Accent 6</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249</w:t>
            </w:r>
          </w:p>
        </w:tc>
      </w:tr>
      <w:tr w:rsidR="00024C0A" w:rsidTr="00024C0A">
        <w:tc>
          <w:tcPr>
            <w:tcW w:w="0" w:type="auto"/>
            <w:vAlign w:val="center"/>
          </w:tcPr>
          <w:p w:rsidR="00024C0A" w:rsidRDefault="00694C0F">
            <w:pPr>
              <w:pStyle w:val="TableBodyText"/>
            </w:pPr>
            <w:r>
              <w:t>Medium</w:t>
            </w:r>
            <w:r>
              <w:t xml:space="preserve"> Shading 2</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162</w:t>
            </w:r>
          </w:p>
        </w:tc>
      </w:tr>
      <w:tr w:rsidR="00024C0A" w:rsidTr="00024C0A">
        <w:tc>
          <w:tcPr>
            <w:tcW w:w="0" w:type="auto"/>
            <w:vAlign w:val="center"/>
          </w:tcPr>
          <w:p w:rsidR="00024C0A" w:rsidRDefault="00694C0F">
            <w:pPr>
              <w:pStyle w:val="TableBodyText"/>
            </w:pPr>
            <w:r>
              <w:t>Medium Shading 2 Accent 1</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176</w:t>
            </w:r>
          </w:p>
        </w:tc>
      </w:tr>
      <w:tr w:rsidR="00024C0A" w:rsidTr="00024C0A">
        <w:tc>
          <w:tcPr>
            <w:tcW w:w="0" w:type="auto"/>
            <w:vAlign w:val="center"/>
          </w:tcPr>
          <w:p w:rsidR="00024C0A" w:rsidRDefault="00694C0F">
            <w:pPr>
              <w:pStyle w:val="TableBodyText"/>
            </w:pPr>
            <w:r>
              <w:t>Medium Shading 2 Accent 2</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194</w:t>
            </w:r>
          </w:p>
        </w:tc>
      </w:tr>
      <w:tr w:rsidR="00024C0A" w:rsidTr="00024C0A">
        <w:tc>
          <w:tcPr>
            <w:tcW w:w="0" w:type="auto"/>
            <w:vAlign w:val="center"/>
          </w:tcPr>
          <w:p w:rsidR="00024C0A" w:rsidRDefault="00694C0F">
            <w:pPr>
              <w:pStyle w:val="TableBodyText"/>
            </w:pPr>
            <w:r>
              <w:t>Medium Shading 2 Accent 3</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208</w:t>
            </w:r>
          </w:p>
        </w:tc>
      </w:tr>
      <w:tr w:rsidR="00024C0A" w:rsidTr="00024C0A">
        <w:tc>
          <w:tcPr>
            <w:tcW w:w="0" w:type="auto"/>
            <w:vAlign w:val="center"/>
          </w:tcPr>
          <w:p w:rsidR="00024C0A" w:rsidRDefault="00694C0F">
            <w:pPr>
              <w:pStyle w:val="TableBodyText"/>
            </w:pPr>
            <w:r>
              <w:t>Medium Shading 2 Accent 4</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222</w:t>
            </w:r>
          </w:p>
        </w:tc>
      </w:tr>
      <w:tr w:rsidR="00024C0A" w:rsidTr="00024C0A">
        <w:tc>
          <w:tcPr>
            <w:tcW w:w="0" w:type="auto"/>
            <w:vAlign w:val="center"/>
          </w:tcPr>
          <w:p w:rsidR="00024C0A" w:rsidRDefault="00694C0F">
            <w:pPr>
              <w:pStyle w:val="TableBodyText"/>
            </w:pPr>
            <w:r>
              <w:lastRenderedPageBreak/>
              <w:t>Medium Shading 2 Accent 5</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236</w:t>
            </w:r>
          </w:p>
        </w:tc>
      </w:tr>
      <w:tr w:rsidR="00024C0A" w:rsidTr="00024C0A">
        <w:tc>
          <w:tcPr>
            <w:tcW w:w="0" w:type="auto"/>
            <w:vAlign w:val="center"/>
          </w:tcPr>
          <w:p w:rsidR="00024C0A" w:rsidRDefault="00694C0F">
            <w:pPr>
              <w:pStyle w:val="TableBodyText"/>
            </w:pPr>
            <w:r>
              <w:t>Medium Shading 2 Accent 6</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250</w:t>
            </w:r>
          </w:p>
        </w:tc>
      </w:tr>
      <w:tr w:rsidR="00024C0A" w:rsidTr="00024C0A">
        <w:tc>
          <w:tcPr>
            <w:tcW w:w="0" w:type="auto"/>
            <w:vAlign w:val="center"/>
          </w:tcPr>
          <w:p w:rsidR="00024C0A" w:rsidRDefault="00694C0F">
            <w:pPr>
              <w:pStyle w:val="TableBodyText"/>
            </w:pPr>
            <w:r>
              <w:t xml:space="preserve">Message </w:t>
            </w:r>
            <w:r>
              <w:t>Header</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73</w:t>
            </w:r>
          </w:p>
        </w:tc>
      </w:tr>
      <w:tr w:rsidR="00024C0A" w:rsidTr="00024C0A">
        <w:tc>
          <w:tcPr>
            <w:tcW w:w="0" w:type="auto"/>
            <w:vAlign w:val="center"/>
          </w:tcPr>
          <w:p w:rsidR="00024C0A" w:rsidRDefault="00694C0F">
            <w:pPr>
              <w:pStyle w:val="TableBodyText"/>
            </w:pPr>
            <w:r>
              <w:t>No List</w:t>
            </w:r>
          </w:p>
        </w:tc>
        <w:tc>
          <w:tcPr>
            <w:tcW w:w="0" w:type="auto"/>
            <w:vAlign w:val="center"/>
          </w:tcPr>
          <w:p w:rsidR="00024C0A" w:rsidRDefault="00694C0F">
            <w:pPr>
              <w:pStyle w:val="TableBodyText"/>
            </w:pPr>
            <w:r>
              <w:t>numbering</w:t>
            </w:r>
          </w:p>
        </w:tc>
        <w:tc>
          <w:tcPr>
            <w:tcW w:w="0" w:type="auto"/>
            <w:vAlign w:val="center"/>
          </w:tcPr>
          <w:p w:rsidR="00024C0A" w:rsidRDefault="00694C0F">
            <w:pPr>
              <w:pStyle w:val="TableBodyText"/>
            </w:pPr>
            <w:r>
              <w:t>107</w:t>
            </w:r>
          </w:p>
        </w:tc>
      </w:tr>
      <w:tr w:rsidR="00024C0A" w:rsidTr="00024C0A">
        <w:tc>
          <w:tcPr>
            <w:tcW w:w="0" w:type="auto"/>
            <w:vAlign w:val="center"/>
          </w:tcPr>
          <w:p w:rsidR="00024C0A" w:rsidRDefault="00694C0F">
            <w:pPr>
              <w:pStyle w:val="TableBodyText"/>
            </w:pPr>
            <w:r>
              <w:t>No Spacing</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157</w:t>
            </w:r>
          </w:p>
        </w:tc>
      </w:tr>
      <w:tr w:rsidR="00024C0A" w:rsidTr="00024C0A">
        <w:tc>
          <w:tcPr>
            <w:tcW w:w="0" w:type="auto"/>
            <w:vAlign w:val="center"/>
          </w:tcPr>
          <w:p w:rsidR="00024C0A" w:rsidRDefault="00694C0F">
            <w:pPr>
              <w:pStyle w:val="TableBodyText"/>
            </w:pPr>
            <w:r>
              <w:t>Normal</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0</w:t>
            </w:r>
          </w:p>
        </w:tc>
      </w:tr>
      <w:tr w:rsidR="00024C0A" w:rsidTr="00024C0A">
        <w:tc>
          <w:tcPr>
            <w:tcW w:w="0" w:type="auto"/>
            <w:vAlign w:val="center"/>
          </w:tcPr>
          <w:p w:rsidR="00024C0A" w:rsidRDefault="00694C0F">
            <w:pPr>
              <w:pStyle w:val="TableBodyText"/>
            </w:pPr>
            <w:r>
              <w:t>Normal (Web)</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94</w:t>
            </w:r>
          </w:p>
        </w:tc>
      </w:tr>
      <w:tr w:rsidR="00024C0A" w:rsidTr="00024C0A">
        <w:tc>
          <w:tcPr>
            <w:tcW w:w="0" w:type="auto"/>
            <w:vAlign w:val="center"/>
          </w:tcPr>
          <w:p w:rsidR="00024C0A" w:rsidRDefault="00694C0F">
            <w:pPr>
              <w:pStyle w:val="TableBodyText"/>
            </w:pPr>
            <w:r>
              <w:t>Normal Indent</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28</w:t>
            </w:r>
          </w:p>
        </w:tc>
      </w:tr>
      <w:tr w:rsidR="00024C0A" w:rsidTr="00024C0A">
        <w:tc>
          <w:tcPr>
            <w:tcW w:w="0" w:type="auto"/>
            <w:vAlign w:val="center"/>
          </w:tcPr>
          <w:p w:rsidR="00024C0A" w:rsidRDefault="00694C0F">
            <w:pPr>
              <w:pStyle w:val="TableBodyText"/>
            </w:pPr>
            <w:r>
              <w:t>Normal Table</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105</w:t>
            </w:r>
          </w:p>
        </w:tc>
      </w:tr>
      <w:tr w:rsidR="00024C0A" w:rsidTr="00024C0A">
        <w:tc>
          <w:tcPr>
            <w:tcW w:w="0" w:type="auto"/>
            <w:vAlign w:val="center"/>
          </w:tcPr>
          <w:p w:rsidR="00024C0A" w:rsidRDefault="00694C0F">
            <w:pPr>
              <w:pStyle w:val="TableBodyText"/>
            </w:pPr>
            <w:r>
              <w:t>Note Heading</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79</w:t>
            </w:r>
          </w:p>
        </w:tc>
      </w:tr>
      <w:tr w:rsidR="00024C0A" w:rsidTr="00024C0A">
        <w:tc>
          <w:tcPr>
            <w:tcW w:w="0" w:type="auto"/>
            <w:vAlign w:val="center"/>
          </w:tcPr>
          <w:p w:rsidR="00024C0A" w:rsidRDefault="00694C0F">
            <w:pPr>
              <w:pStyle w:val="TableBodyText"/>
            </w:pPr>
            <w:r>
              <w:t>Outline List 1</w:t>
            </w:r>
          </w:p>
        </w:tc>
        <w:tc>
          <w:tcPr>
            <w:tcW w:w="0" w:type="auto"/>
            <w:vAlign w:val="center"/>
          </w:tcPr>
          <w:p w:rsidR="00024C0A" w:rsidRDefault="00694C0F">
            <w:pPr>
              <w:pStyle w:val="TableBodyText"/>
            </w:pPr>
            <w:r>
              <w:t>numbering</w:t>
            </w:r>
          </w:p>
        </w:tc>
        <w:tc>
          <w:tcPr>
            <w:tcW w:w="0" w:type="auto"/>
            <w:vAlign w:val="center"/>
          </w:tcPr>
          <w:p w:rsidR="00024C0A" w:rsidRDefault="00694C0F">
            <w:pPr>
              <w:pStyle w:val="TableBodyText"/>
            </w:pPr>
            <w:r>
              <w:t>108</w:t>
            </w:r>
          </w:p>
        </w:tc>
      </w:tr>
      <w:tr w:rsidR="00024C0A" w:rsidTr="00024C0A">
        <w:tc>
          <w:tcPr>
            <w:tcW w:w="0" w:type="auto"/>
            <w:vAlign w:val="center"/>
          </w:tcPr>
          <w:p w:rsidR="00024C0A" w:rsidRDefault="00694C0F">
            <w:pPr>
              <w:pStyle w:val="TableBodyText"/>
            </w:pPr>
            <w:r>
              <w:t>Outline List 2</w:t>
            </w:r>
          </w:p>
        </w:tc>
        <w:tc>
          <w:tcPr>
            <w:tcW w:w="0" w:type="auto"/>
            <w:vAlign w:val="center"/>
          </w:tcPr>
          <w:p w:rsidR="00024C0A" w:rsidRDefault="00694C0F">
            <w:pPr>
              <w:pStyle w:val="TableBodyText"/>
            </w:pPr>
            <w:r>
              <w:t>numbering</w:t>
            </w:r>
          </w:p>
        </w:tc>
        <w:tc>
          <w:tcPr>
            <w:tcW w:w="0" w:type="auto"/>
            <w:vAlign w:val="center"/>
          </w:tcPr>
          <w:p w:rsidR="00024C0A" w:rsidRDefault="00694C0F">
            <w:pPr>
              <w:pStyle w:val="TableBodyText"/>
            </w:pPr>
            <w:r>
              <w:t>109</w:t>
            </w:r>
          </w:p>
        </w:tc>
      </w:tr>
      <w:tr w:rsidR="00024C0A" w:rsidTr="00024C0A">
        <w:tc>
          <w:tcPr>
            <w:tcW w:w="0" w:type="auto"/>
            <w:vAlign w:val="center"/>
          </w:tcPr>
          <w:p w:rsidR="00024C0A" w:rsidRDefault="00694C0F">
            <w:pPr>
              <w:pStyle w:val="TableBodyText"/>
            </w:pPr>
            <w:r>
              <w:t>Outline List 3</w:t>
            </w:r>
          </w:p>
        </w:tc>
        <w:tc>
          <w:tcPr>
            <w:tcW w:w="0" w:type="auto"/>
            <w:vAlign w:val="center"/>
          </w:tcPr>
          <w:p w:rsidR="00024C0A" w:rsidRDefault="00694C0F">
            <w:pPr>
              <w:pStyle w:val="TableBodyText"/>
            </w:pPr>
            <w:r>
              <w:t>numbering</w:t>
            </w:r>
          </w:p>
        </w:tc>
        <w:tc>
          <w:tcPr>
            <w:tcW w:w="0" w:type="auto"/>
            <w:vAlign w:val="center"/>
          </w:tcPr>
          <w:p w:rsidR="00024C0A" w:rsidRDefault="00694C0F">
            <w:pPr>
              <w:pStyle w:val="TableBodyText"/>
            </w:pPr>
            <w:r>
              <w:t>110</w:t>
            </w:r>
          </w:p>
        </w:tc>
      </w:tr>
      <w:tr w:rsidR="00024C0A" w:rsidTr="00024C0A">
        <w:tc>
          <w:tcPr>
            <w:tcW w:w="0" w:type="auto"/>
            <w:vAlign w:val="center"/>
          </w:tcPr>
          <w:p w:rsidR="00024C0A" w:rsidRDefault="00694C0F">
            <w:pPr>
              <w:pStyle w:val="TableBodyText"/>
            </w:pPr>
            <w:r>
              <w:t>page number</w:t>
            </w:r>
          </w:p>
        </w:tc>
        <w:tc>
          <w:tcPr>
            <w:tcW w:w="0" w:type="auto"/>
            <w:vAlign w:val="center"/>
          </w:tcPr>
          <w:p w:rsidR="00024C0A" w:rsidRDefault="00694C0F">
            <w:pPr>
              <w:pStyle w:val="TableBodyText"/>
            </w:pPr>
            <w:r>
              <w:t>character</w:t>
            </w:r>
          </w:p>
        </w:tc>
        <w:tc>
          <w:tcPr>
            <w:tcW w:w="0" w:type="auto"/>
            <w:vAlign w:val="center"/>
          </w:tcPr>
          <w:p w:rsidR="00024C0A" w:rsidRDefault="00694C0F">
            <w:pPr>
              <w:pStyle w:val="TableBodyText"/>
            </w:pPr>
            <w:r>
              <w:t>41</w:t>
            </w:r>
          </w:p>
        </w:tc>
      </w:tr>
      <w:tr w:rsidR="00024C0A" w:rsidTr="00024C0A">
        <w:tc>
          <w:tcPr>
            <w:tcW w:w="0" w:type="auto"/>
            <w:vAlign w:val="center"/>
          </w:tcPr>
          <w:p w:rsidR="00024C0A" w:rsidRDefault="00694C0F">
            <w:pPr>
              <w:pStyle w:val="TableBodyText"/>
            </w:pPr>
            <w:r>
              <w:t>Placeholder Text</w:t>
            </w:r>
          </w:p>
        </w:tc>
        <w:tc>
          <w:tcPr>
            <w:tcW w:w="0" w:type="auto"/>
            <w:vAlign w:val="center"/>
          </w:tcPr>
          <w:p w:rsidR="00024C0A" w:rsidRDefault="00694C0F">
            <w:pPr>
              <w:pStyle w:val="TableBodyText"/>
            </w:pPr>
            <w:r>
              <w:t>character</w:t>
            </w:r>
          </w:p>
        </w:tc>
        <w:tc>
          <w:tcPr>
            <w:tcW w:w="0" w:type="auto"/>
            <w:vAlign w:val="center"/>
          </w:tcPr>
          <w:p w:rsidR="00024C0A" w:rsidRDefault="00694C0F">
            <w:pPr>
              <w:pStyle w:val="TableBodyText"/>
            </w:pPr>
            <w:r>
              <w:t>156</w:t>
            </w:r>
          </w:p>
        </w:tc>
      </w:tr>
      <w:tr w:rsidR="00024C0A" w:rsidTr="00024C0A">
        <w:tc>
          <w:tcPr>
            <w:tcW w:w="0" w:type="auto"/>
            <w:vAlign w:val="center"/>
          </w:tcPr>
          <w:p w:rsidR="00024C0A" w:rsidRDefault="00694C0F">
            <w:pPr>
              <w:pStyle w:val="TableBodyText"/>
            </w:pPr>
            <w:r>
              <w:t>Plain Text</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90</w:t>
            </w:r>
          </w:p>
        </w:tc>
      </w:tr>
      <w:tr w:rsidR="00024C0A" w:rsidTr="00024C0A">
        <w:tc>
          <w:tcPr>
            <w:tcW w:w="0" w:type="auto"/>
            <w:vAlign w:val="center"/>
          </w:tcPr>
          <w:p w:rsidR="00024C0A" w:rsidRDefault="00694C0F">
            <w:pPr>
              <w:pStyle w:val="TableBodyText"/>
            </w:pPr>
            <w:r>
              <w:t>Quote</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180</w:t>
            </w:r>
          </w:p>
        </w:tc>
      </w:tr>
      <w:tr w:rsidR="00024C0A" w:rsidTr="00024C0A">
        <w:tc>
          <w:tcPr>
            <w:tcW w:w="0" w:type="auto"/>
            <w:vAlign w:val="center"/>
          </w:tcPr>
          <w:p w:rsidR="00024C0A" w:rsidRDefault="00694C0F">
            <w:pPr>
              <w:pStyle w:val="TableBodyText"/>
            </w:pPr>
            <w:r>
              <w:t>Revision</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178</w:t>
            </w:r>
          </w:p>
        </w:tc>
      </w:tr>
      <w:tr w:rsidR="00024C0A" w:rsidTr="00024C0A">
        <w:tc>
          <w:tcPr>
            <w:tcW w:w="0" w:type="auto"/>
            <w:vAlign w:val="center"/>
          </w:tcPr>
          <w:p w:rsidR="00024C0A" w:rsidRDefault="00694C0F">
            <w:pPr>
              <w:pStyle w:val="TableBodyText"/>
            </w:pPr>
            <w:r>
              <w:t>Salutation</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75</w:t>
            </w:r>
          </w:p>
        </w:tc>
      </w:tr>
      <w:tr w:rsidR="00024C0A" w:rsidTr="00024C0A">
        <w:tc>
          <w:tcPr>
            <w:tcW w:w="0" w:type="auto"/>
            <w:vAlign w:val="center"/>
          </w:tcPr>
          <w:p w:rsidR="00024C0A" w:rsidRDefault="00694C0F">
            <w:pPr>
              <w:pStyle w:val="TableBodyText"/>
            </w:pPr>
            <w:r>
              <w:t>Signature</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64</w:t>
            </w:r>
          </w:p>
        </w:tc>
      </w:tr>
      <w:tr w:rsidR="00024C0A" w:rsidTr="00024C0A">
        <w:tc>
          <w:tcPr>
            <w:tcW w:w="0" w:type="auto"/>
            <w:vAlign w:val="center"/>
          </w:tcPr>
          <w:p w:rsidR="00024C0A" w:rsidRDefault="00694C0F">
            <w:pPr>
              <w:pStyle w:val="TableBodyText"/>
            </w:pPr>
            <w:r>
              <w:t>Strong</w:t>
            </w:r>
          </w:p>
        </w:tc>
        <w:tc>
          <w:tcPr>
            <w:tcW w:w="0" w:type="auto"/>
            <w:vAlign w:val="center"/>
          </w:tcPr>
          <w:p w:rsidR="00024C0A" w:rsidRDefault="00694C0F">
            <w:pPr>
              <w:pStyle w:val="TableBodyText"/>
            </w:pPr>
            <w:r>
              <w:t>character</w:t>
            </w:r>
          </w:p>
        </w:tc>
        <w:tc>
          <w:tcPr>
            <w:tcW w:w="0" w:type="auto"/>
            <w:vAlign w:val="center"/>
          </w:tcPr>
          <w:p w:rsidR="00024C0A" w:rsidRDefault="00694C0F">
            <w:pPr>
              <w:pStyle w:val="TableBodyText"/>
            </w:pPr>
            <w:r>
              <w:t>87</w:t>
            </w:r>
          </w:p>
        </w:tc>
      </w:tr>
      <w:tr w:rsidR="00024C0A" w:rsidTr="00024C0A">
        <w:tc>
          <w:tcPr>
            <w:tcW w:w="0" w:type="auto"/>
            <w:vAlign w:val="center"/>
          </w:tcPr>
          <w:p w:rsidR="00024C0A" w:rsidRDefault="00694C0F">
            <w:pPr>
              <w:pStyle w:val="TableBodyText"/>
            </w:pPr>
            <w:r>
              <w:t>Subtitle</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74</w:t>
            </w:r>
          </w:p>
        </w:tc>
      </w:tr>
      <w:tr w:rsidR="00024C0A" w:rsidTr="00024C0A">
        <w:tc>
          <w:tcPr>
            <w:tcW w:w="0" w:type="auto"/>
            <w:vAlign w:val="center"/>
          </w:tcPr>
          <w:p w:rsidR="00024C0A" w:rsidRDefault="00694C0F">
            <w:pPr>
              <w:pStyle w:val="TableBodyText"/>
            </w:pPr>
            <w:r>
              <w:t>Subtle Emphasis</w:t>
            </w:r>
          </w:p>
        </w:tc>
        <w:tc>
          <w:tcPr>
            <w:tcW w:w="0" w:type="auto"/>
            <w:vAlign w:val="center"/>
          </w:tcPr>
          <w:p w:rsidR="00024C0A" w:rsidRDefault="00694C0F">
            <w:pPr>
              <w:pStyle w:val="TableBodyText"/>
            </w:pPr>
            <w:r>
              <w:t>character</w:t>
            </w:r>
          </w:p>
        </w:tc>
        <w:tc>
          <w:tcPr>
            <w:tcW w:w="0" w:type="auto"/>
            <w:vAlign w:val="center"/>
          </w:tcPr>
          <w:p w:rsidR="00024C0A" w:rsidRDefault="00694C0F">
            <w:pPr>
              <w:pStyle w:val="TableBodyText"/>
            </w:pPr>
            <w:r>
              <w:t>260</w:t>
            </w:r>
          </w:p>
        </w:tc>
      </w:tr>
      <w:tr w:rsidR="00024C0A" w:rsidTr="00024C0A">
        <w:tc>
          <w:tcPr>
            <w:tcW w:w="0" w:type="auto"/>
            <w:vAlign w:val="center"/>
          </w:tcPr>
          <w:p w:rsidR="00024C0A" w:rsidRDefault="00694C0F">
            <w:pPr>
              <w:pStyle w:val="TableBodyText"/>
            </w:pPr>
            <w:r>
              <w:t>Subtle Reference</w:t>
            </w:r>
          </w:p>
        </w:tc>
        <w:tc>
          <w:tcPr>
            <w:tcW w:w="0" w:type="auto"/>
            <w:vAlign w:val="center"/>
          </w:tcPr>
          <w:p w:rsidR="00024C0A" w:rsidRDefault="00694C0F">
            <w:pPr>
              <w:pStyle w:val="TableBodyText"/>
            </w:pPr>
            <w:r>
              <w:t>character</w:t>
            </w:r>
          </w:p>
        </w:tc>
        <w:tc>
          <w:tcPr>
            <w:tcW w:w="0" w:type="auto"/>
            <w:vAlign w:val="center"/>
          </w:tcPr>
          <w:p w:rsidR="00024C0A" w:rsidRDefault="00694C0F">
            <w:pPr>
              <w:pStyle w:val="TableBodyText"/>
            </w:pPr>
            <w:r>
              <w:t>262</w:t>
            </w:r>
          </w:p>
        </w:tc>
      </w:tr>
      <w:tr w:rsidR="00024C0A" w:rsidTr="00024C0A">
        <w:tc>
          <w:tcPr>
            <w:tcW w:w="0" w:type="auto"/>
            <w:vAlign w:val="center"/>
          </w:tcPr>
          <w:p w:rsidR="00024C0A" w:rsidRDefault="00694C0F">
            <w:pPr>
              <w:pStyle w:val="TableBodyText"/>
            </w:pPr>
            <w:r>
              <w:t>Table 3D effects 1</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142</w:t>
            </w:r>
          </w:p>
        </w:tc>
      </w:tr>
      <w:tr w:rsidR="00024C0A" w:rsidTr="00024C0A">
        <w:tc>
          <w:tcPr>
            <w:tcW w:w="0" w:type="auto"/>
            <w:vAlign w:val="center"/>
          </w:tcPr>
          <w:p w:rsidR="00024C0A" w:rsidRDefault="00694C0F">
            <w:pPr>
              <w:pStyle w:val="TableBodyText"/>
            </w:pPr>
            <w:r>
              <w:t>Table 3D effects 2</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143</w:t>
            </w:r>
          </w:p>
        </w:tc>
      </w:tr>
      <w:tr w:rsidR="00024C0A" w:rsidTr="00024C0A">
        <w:tc>
          <w:tcPr>
            <w:tcW w:w="0" w:type="auto"/>
            <w:vAlign w:val="center"/>
          </w:tcPr>
          <w:p w:rsidR="00024C0A" w:rsidRDefault="00694C0F">
            <w:pPr>
              <w:pStyle w:val="TableBodyText"/>
            </w:pPr>
            <w:r>
              <w:t>Table 3D effects 3</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144</w:t>
            </w:r>
          </w:p>
        </w:tc>
      </w:tr>
      <w:tr w:rsidR="00024C0A" w:rsidTr="00024C0A">
        <w:tc>
          <w:tcPr>
            <w:tcW w:w="0" w:type="auto"/>
            <w:vAlign w:val="center"/>
          </w:tcPr>
          <w:p w:rsidR="00024C0A" w:rsidRDefault="00694C0F">
            <w:pPr>
              <w:pStyle w:val="TableBodyText"/>
            </w:pPr>
            <w:r>
              <w:t>Table Classic 1</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114</w:t>
            </w:r>
          </w:p>
        </w:tc>
      </w:tr>
      <w:tr w:rsidR="00024C0A" w:rsidTr="00024C0A">
        <w:tc>
          <w:tcPr>
            <w:tcW w:w="0" w:type="auto"/>
            <w:vAlign w:val="center"/>
          </w:tcPr>
          <w:p w:rsidR="00024C0A" w:rsidRDefault="00694C0F">
            <w:pPr>
              <w:pStyle w:val="TableBodyText"/>
            </w:pPr>
            <w:r>
              <w:t>Table Classic 2</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115</w:t>
            </w:r>
          </w:p>
        </w:tc>
      </w:tr>
      <w:tr w:rsidR="00024C0A" w:rsidTr="00024C0A">
        <w:tc>
          <w:tcPr>
            <w:tcW w:w="0" w:type="auto"/>
            <w:vAlign w:val="center"/>
          </w:tcPr>
          <w:p w:rsidR="00024C0A" w:rsidRDefault="00694C0F">
            <w:pPr>
              <w:pStyle w:val="TableBodyText"/>
            </w:pPr>
            <w:r>
              <w:t>Table Classic 3</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116</w:t>
            </w:r>
          </w:p>
        </w:tc>
      </w:tr>
      <w:tr w:rsidR="00024C0A" w:rsidTr="00024C0A">
        <w:tc>
          <w:tcPr>
            <w:tcW w:w="0" w:type="auto"/>
            <w:vAlign w:val="center"/>
          </w:tcPr>
          <w:p w:rsidR="00024C0A" w:rsidRDefault="00694C0F">
            <w:pPr>
              <w:pStyle w:val="TableBodyText"/>
            </w:pPr>
            <w:r>
              <w:t>Table Classic 4</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117</w:t>
            </w:r>
          </w:p>
        </w:tc>
      </w:tr>
      <w:tr w:rsidR="00024C0A" w:rsidTr="00024C0A">
        <w:tc>
          <w:tcPr>
            <w:tcW w:w="0" w:type="auto"/>
            <w:vAlign w:val="center"/>
          </w:tcPr>
          <w:p w:rsidR="00024C0A" w:rsidRDefault="00694C0F">
            <w:pPr>
              <w:pStyle w:val="TableBodyText"/>
            </w:pPr>
            <w:r>
              <w:t>Table Colorful 1</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118</w:t>
            </w:r>
          </w:p>
        </w:tc>
      </w:tr>
      <w:tr w:rsidR="00024C0A" w:rsidTr="00024C0A">
        <w:tc>
          <w:tcPr>
            <w:tcW w:w="0" w:type="auto"/>
            <w:vAlign w:val="center"/>
          </w:tcPr>
          <w:p w:rsidR="00024C0A" w:rsidRDefault="00694C0F">
            <w:pPr>
              <w:pStyle w:val="TableBodyText"/>
            </w:pPr>
            <w:r>
              <w:lastRenderedPageBreak/>
              <w:t>Table Colorful 2</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119</w:t>
            </w:r>
          </w:p>
        </w:tc>
      </w:tr>
      <w:tr w:rsidR="00024C0A" w:rsidTr="00024C0A">
        <w:tc>
          <w:tcPr>
            <w:tcW w:w="0" w:type="auto"/>
            <w:vAlign w:val="center"/>
          </w:tcPr>
          <w:p w:rsidR="00024C0A" w:rsidRDefault="00694C0F">
            <w:pPr>
              <w:pStyle w:val="TableBodyText"/>
            </w:pPr>
            <w:r>
              <w:t>Table Colorful 3</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120</w:t>
            </w:r>
          </w:p>
        </w:tc>
      </w:tr>
      <w:tr w:rsidR="00024C0A" w:rsidTr="00024C0A">
        <w:tc>
          <w:tcPr>
            <w:tcW w:w="0" w:type="auto"/>
            <w:vAlign w:val="center"/>
          </w:tcPr>
          <w:p w:rsidR="00024C0A" w:rsidRDefault="00694C0F">
            <w:pPr>
              <w:pStyle w:val="TableBodyText"/>
            </w:pPr>
            <w:r>
              <w:t>Table Columns 1</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121</w:t>
            </w:r>
          </w:p>
        </w:tc>
      </w:tr>
      <w:tr w:rsidR="00024C0A" w:rsidTr="00024C0A">
        <w:tc>
          <w:tcPr>
            <w:tcW w:w="0" w:type="auto"/>
            <w:vAlign w:val="center"/>
          </w:tcPr>
          <w:p w:rsidR="00024C0A" w:rsidRDefault="00694C0F">
            <w:pPr>
              <w:pStyle w:val="TableBodyText"/>
            </w:pPr>
            <w:r>
              <w:t>Table Columns 2</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122</w:t>
            </w:r>
          </w:p>
        </w:tc>
      </w:tr>
      <w:tr w:rsidR="00024C0A" w:rsidTr="00024C0A">
        <w:tc>
          <w:tcPr>
            <w:tcW w:w="0" w:type="auto"/>
            <w:vAlign w:val="center"/>
          </w:tcPr>
          <w:p w:rsidR="00024C0A" w:rsidRDefault="00694C0F">
            <w:pPr>
              <w:pStyle w:val="TableBodyText"/>
            </w:pPr>
            <w:r>
              <w:t>Table Columns 3</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123</w:t>
            </w:r>
          </w:p>
        </w:tc>
      </w:tr>
      <w:tr w:rsidR="00024C0A" w:rsidTr="00024C0A">
        <w:tc>
          <w:tcPr>
            <w:tcW w:w="0" w:type="auto"/>
            <w:vAlign w:val="center"/>
          </w:tcPr>
          <w:p w:rsidR="00024C0A" w:rsidRDefault="00694C0F">
            <w:pPr>
              <w:pStyle w:val="TableBodyText"/>
            </w:pPr>
            <w:r>
              <w:t>Table Columns 4</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124</w:t>
            </w:r>
          </w:p>
        </w:tc>
      </w:tr>
      <w:tr w:rsidR="00024C0A" w:rsidTr="00024C0A">
        <w:tc>
          <w:tcPr>
            <w:tcW w:w="0" w:type="auto"/>
            <w:vAlign w:val="center"/>
          </w:tcPr>
          <w:p w:rsidR="00024C0A" w:rsidRDefault="00694C0F">
            <w:pPr>
              <w:pStyle w:val="TableBodyText"/>
            </w:pPr>
            <w:r>
              <w:t>Table Columns 5</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125</w:t>
            </w:r>
          </w:p>
        </w:tc>
      </w:tr>
      <w:tr w:rsidR="00024C0A" w:rsidTr="00024C0A">
        <w:tc>
          <w:tcPr>
            <w:tcW w:w="0" w:type="auto"/>
            <w:vAlign w:val="center"/>
          </w:tcPr>
          <w:p w:rsidR="00024C0A" w:rsidRDefault="00694C0F">
            <w:pPr>
              <w:pStyle w:val="TableBodyText"/>
            </w:pPr>
            <w:r>
              <w:t>Table Contemporary</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145</w:t>
            </w:r>
          </w:p>
        </w:tc>
      </w:tr>
      <w:tr w:rsidR="00024C0A" w:rsidTr="00024C0A">
        <w:tc>
          <w:tcPr>
            <w:tcW w:w="0" w:type="auto"/>
            <w:vAlign w:val="center"/>
          </w:tcPr>
          <w:p w:rsidR="00024C0A" w:rsidRDefault="00694C0F">
            <w:pPr>
              <w:pStyle w:val="TableBodyText"/>
            </w:pPr>
            <w:r>
              <w:t>Table Elegant</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146</w:t>
            </w:r>
          </w:p>
        </w:tc>
      </w:tr>
      <w:tr w:rsidR="00024C0A" w:rsidTr="00024C0A">
        <w:tc>
          <w:tcPr>
            <w:tcW w:w="0" w:type="auto"/>
            <w:vAlign w:val="center"/>
          </w:tcPr>
          <w:p w:rsidR="00024C0A" w:rsidRDefault="00694C0F">
            <w:pPr>
              <w:pStyle w:val="TableBodyText"/>
            </w:pPr>
            <w:r>
              <w:t>Table Grid</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154</w:t>
            </w:r>
          </w:p>
        </w:tc>
      </w:tr>
      <w:tr w:rsidR="00024C0A" w:rsidTr="00024C0A">
        <w:tc>
          <w:tcPr>
            <w:tcW w:w="0" w:type="auto"/>
            <w:vAlign w:val="center"/>
          </w:tcPr>
          <w:p w:rsidR="00024C0A" w:rsidRDefault="00694C0F">
            <w:pPr>
              <w:pStyle w:val="TableBodyText"/>
            </w:pPr>
            <w:r>
              <w:t>Table Grid 1</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126</w:t>
            </w:r>
          </w:p>
        </w:tc>
      </w:tr>
      <w:tr w:rsidR="00024C0A" w:rsidTr="00024C0A">
        <w:tc>
          <w:tcPr>
            <w:tcW w:w="0" w:type="auto"/>
            <w:vAlign w:val="center"/>
          </w:tcPr>
          <w:p w:rsidR="00024C0A" w:rsidRDefault="00694C0F">
            <w:pPr>
              <w:pStyle w:val="TableBodyText"/>
            </w:pPr>
            <w:r>
              <w:t>Table Grid 2</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127</w:t>
            </w:r>
          </w:p>
        </w:tc>
      </w:tr>
      <w:tr w:rsidR="00024C0A" w:rsidTr="00024C0A">
        <w:tc>
          <w:tcPr>
            <w:tcW w:w="0" w:type="auto"/>
            <w:vAlign w:val="center"/>
          </w:tcPr>
          <w:p w:rsidR="00024C0A" w:rsidRDefault="00694C0F">
            <w:pPr>
              <w:pStyle w:val="TableBodyText"/>
            </w:pPr>
            <w:r>
              <w:t>Table Grid 3</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128</w:t>
            </w:r>
          </w:p>
        </w:tc>
      </w:tr>
      <w:tr w:rsidR="00024C0A" w:rsidTr="00024C0A">
        <w:tc>
          <w:tcPr>
            <w:tcW w:w="0" w:type="auto"/>
            <w:vAlign w:val="center"/>
          </w:tcPr>
          <w:p w:rsidR="00024C0A" w:rsidRDefault="00694C0F">
            <w:pPr>
              <w:pStyle w:val="TableBodyText"/>
            </w:pPr>
            <w:r>
              <w:t>Table Grid 4</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129</w:t>
            </w:r>
          </w:p>
        </w:tc>
      </w:tr>
      <w:tr w:rsidR="00024C0A" w:rsidTr="00024C0A">
        <w:tc>
          <w:tcPr>
            <w:tcW w:w="0" w:type="auto"/>
            <w:vAlign w:val="center"/>
          </w:tcPr>
          <w:p w:rsidR="00024C0A" w:rsidRDefault="00694C0F">
            <w:pPr>
              <w:pStyle w:val="TableBodyText"/>
            </w:pPr>
            <w:r>
              <w:t>Table Grid 5</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130</w:t>
            </w:r>
          </w:p>
        </w:tc>
      </w:tr>
      <w:tr w:rsidR="00024C0A" w:rsidTr="00024C0A">
        <w:tc>
          <w:tcPr>
            <w:tcW w:w="0" w:type="auto"/>
            <w:vAlign w:val="center"/>
          </w:tcPr>
          <w:p w:rsidR="00024C0A" w:rsidRDefault="00694C0F">
            <w:pPr>
              <w:pStyle w:val="TableBodyText"/>
            </w:pPr>
            <w:r>
              <w:t>Table Grid 6</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131</w:t>
            </w:r>
          </w:p>
        </w:tc>
      </w:tr>
      <w:tr w:rsidR="00024C0A" w:rsidTr="00024C0A">
        <w:tc>
          <w:tcPr>
            <w:tcW w:w="0" w:type="auto"/>
            <w:vAlign w:val="center"/>
          </w:tcPr>
          <w:p w:rsidR="00024C0A" w:rsidRDefault="00694C0F">
            <w:pPr>
              <w:pStyle w:val="TableBodyText"/>
            </w:pPr>
            <w:r>
              <w:t>Table Grid 7</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132</w:t>
            </w:r>
          </w:p>
        </w:tc>
      </w:tr>
      <w:tr w:rsidR="00024C0A" w:rsidTr="00024C0A">
        <w:tc>
          <w:tcPr>
            <w:tcW w:w="0" w:type="auto"/>
            <w:vAlign w:val="center"/>
          </w:tcPr>
          <w:p w:rsidR="00024C0A" w:rsidRDefault="00694C0F">
            <w:pPr>
              <w:pStyle w:val="TableBodyText"/>
            </w:pPr>
            <w:r>
              <w:t>Table Grid 8</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133</w:t>
            </w:r>
          </w:p>
        </w:tc>
      </w:tr>
      <w:tr w:rsidR="00024C0A" w:rsidTr="00024C0A">
        <w:tc>
          <w:tcPr>
            <w:tcW w:w="0" w:type="auto"/>
            <w:vAlign w:val="center"/>
          </w:tcPr>
          <w:p w:rsidR="00024C0A" w:rsidRDefault="00694C0F">
            <w:pPr>
              <w:pStyle w:val="TableBodyText"/>
            </w:pPr>
            <w:r>
              <w:t>Table List 1</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134</w:t>
            </w:r>
          </w:p>
        </w:tc>
      </w:tr>
      <w:tr w:rsidR="00024C0A" w:rsidTr="00024C0A">
        <w:tc>
          <w:tcPr>
            <w:tcW w:w="0" w:type="auto"/>
            <w:vAlign w:val="center"/>
          </w:tcPr>
          <w:p w:rsidR="00024C0A" w:rsidRDefault="00694C0F">
            <w:pPr>
              <w:pStyle w:val="TableBodyText"/>
            </w:pPr>
            <w:r>
              <w:t>Table List 2</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135</w:t>
            </w:r>
          </w:p>
        </w:tc>
      </w:tr>
      <w:tr w:rsidR="00024C0A" w:rsidTr="00024C0A">
        <w:tc>
          <w:tcPr>
            <w:tcW w:w="0" w:type="auto"/>
            <w:vAlign w:val="center"/>
          </w:tcPr>
          <w:p w:rsidR="00024C0A" w:rsidRDefault="00694C0F">
            <w:pPr>
              <w:pStyle w:val="TableBodyText"/>
            </w:pPr>
            <w:r>
              <w:t>Table List 3</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136</w:t>
            </w:r>
          </w:p>
        </w:tc>
      </w:tr>
      <w:tr w:rsidR="00024C0A" w:rsidTr="00024C0A">
        <w:tc>
          <w:tcPr>
            <w:tcW w:w="0" w:type="auto"/>
            <w:vAlign w:val="center"/>
          </w:tcPr>
          <w:p w:rsidR="00024C0A" w:rsidRDefault="00694C0F">
            <w:pPr>
              <w:pStyle w:val="TableBodyText"/>
            </w:pPr>
            <w:r>
              <w:t>Table List 4</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137</w:t>
            </w:r>
          </w:p>
        </w:tc>
      </w:tr>
      <w:tr w:rsidR="00024C0A" w:rsidTr="00024C0A">
        <w:tc>
          <w:tcPr>
            <w:tcW w:w="0" w:type="auto"/>
            <w:vAlign w:val="center"/>
          </w:tcPr>
          <w:p w:rsidR="00024C0A" w:rsidRDefault="00694C0F">
            <w:pPr>
              <w:pStyle w:val="TableBodyText"/>
            </w:pPr>
            <w:r>
              <w:t>Table List 5</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138</w:t>
            </w:r>
          </w:p>
        </w:tc>
      </w:tr>
      <w:tr w:rsidR="00024C0A" w:rsidTr="00024C0A">
        <w:tc>
          <w:tcPr>
            <w:tcW w:w="0" w:type="auto"/>
            <w:vAlign w:val="center"/>
          </w:tcPr>
          <w:p w:rsidR="00024C0A" w:rsidRDefault="00694C0F">
            <w:pPr>
              <w:pStyle w:val="TableBodyText"/>
            </w:pPr>
            <w:r>
              <w:t>Table List 6</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139</w:t>
            </w:r>
          </w:p>
        </w:tc>
      </w:tr>
      <w:tr w:rsidR="00024C0A" w:rsidTr="00024C0A">
        <w:tc>
          <w:tcPr>
            <w:tcW w:w="0" w:type="auto"/>
            <w:vAlign w:val="center"/>
          </w:tcPr>
          <w:p w:rsidR="00024C0A" w:rsidRDefault="00694C0F">
            <w:pPr>
              <w:pStyle w:val="TableBodyText"/>
            </w:pPr>
            <w:r>
              <w:t>Table List 7</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140</w:t>
            </w:r>
          </w:p>
        </w:tc>
      </w:tr>
      <w:tr w:rsidR="00024C0A" w:rsidTr="00024C0A">
        <w:tc>
          <w:tcPr>
            <w:tcW w:w="0" w:type="auto"/>
            <w:vAlign w:val="center"/>
          </w:tcPr>
          <w:p w:rsidR="00024C0A" w:rsidRDefault="00694C0F">
            <w:pPr>
              <w:pStyle w:val="TableBodyText"/>
            </w:pPr>
            <w:r>
              <w:t>Table List 8</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141</w:t>
            </w:r>
          </w:p>
        </w:tc>
      </w:tr>
      <w:tr w:rsidR="00024C0A" w:rsidTr="00024C0A">
        <w:tc>
          <w:tcPr>
            <w:tcW w:w="0" w:type="auto"/>
            <w:vAlign w:val="center"/>
          </w:tcPr>
          <w:p w:rsidR="00024C0A" w:rsidRDefault="00694C0F">
            <w:pPr>
              <w:pStyle w:val="TableBodyText"/>
            </w:pPr>
            <w:r>
              <w:t>table of authorities</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44</w:t>
            </w:r>
          </w:p>
        </w:tc>
      </w:tr>
      <w:tr w:rsidR="00024C0A" w:rsidTr="00024C0A">
        <w:tc>
          <w:tcPr>
            <w:tcW w:w="0" w:type="auto"/>
            <w:vAlign w:val="center"/>
          </w:tcPr>
          <w:p w:rsidR="00024C0A" w:rsidRDefault="00694C0F">
            <w:pPr>
              <w:pStyle w:val="TableBodyText"/>
            </w:pPr>
            <w:r>
              <w:t>table of figures</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35</w:t>
            </w:r>
          </w:p>
        </w:tc>
      </w:tr>
      <w:tr w:rsidR="00024C0A" w:rsidTr="00024C0A">
        <w:tc>
          <w:tcPr>
            <w:tcW w:w="0" w:type="auto"/>
            <w:vAlign w:val="center"/>
          </w:tcPr>
          <w:p w:rsidR="00024C0A" w:rsidRDefault="00694C0F">
            <w:pPr>
              <w:pStyle w:val="TableBodyText"/>
            </w:pPr>
            <w:r>
              <w:t xml:space="preserve">Table </w:t>
            </w:r>
            <w:r>
              <w:t>Professional</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147</w:t>
            </w:r>
          </w:p>
        </w:tc>
      </w:tr>
      <w:tr w:rsidR="00024C0A" w:rsidTr="00024C0A">
        <w:tc>
          <w:tcPr>
            <w:tcW w:w="0" w:type="auto"/>
            <w:vAlign w:val="center"/>
          </w:tcPr>
          <w:p w:rsidR="00024C0A" w:rsidRDefault="00694C0F">
            <w:pPr>
              <w:pStyle w:val="TableBodyText"/>
            </w:pPr>
            <w:r>
              <w:t>Table Simple 1</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111</w:t>
            </w:r>
          </w:p>
        </w:tc>
      </w:tr>
      <w:tr w:rsidR="00024C0A" w:rsidTr="00024C0A">
        <w:tc>
          <w:tcPr>
            <w:tcW w:w="0" w:type="auto"/>
            <w:vAlign w:val="center"/>
          </w:tcPr>
          <w:p w:rsidR="00024C0A" w:rsidRDefault="00694C0F">
            <w:pPr>
              <w:pStyle w:val="TableBodyText"/>
            </w:pPr>
            <w:r>
              <w:t>Table Simple 2</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112</w:t>
            </w:r>
          </w:p>
        </w:tc>
      </w:tr>
      <w:tr w:rsidR="00024C0A" w:rsidTr="00024C0A">
        <w:tc>
          <w:tcPr>
            <w:tcW w:w="0" w:type="auto"/>
            <w:vAlign w:val="center"/>
          </w:tcPr>
          <w:p w:rsidR="00024C0A" w:rsidRDefault="00694C0F">
            <w:pPr>
              <w:pStyle w:val="TableBodyText"/>
            </w:pPr>
            <w:r>
              <w:t>Table Simple 3</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113</w:t>
            </w:r>
          </w:p>
        </w:tc>
      </w:tr>
      <w:tr w:rsidR="00024C0A" w:rsidTr="00024C0A">
        <w:tc>
          <w:tcPr>
            <w:tcW w:w="0" w:type="auto"/>
            <w:vAlign w:val="center"/>
          </w:tcPr>
          <w:p w:rsidR="00024C0A" w:rsidRDefault="00694C0F">
            <w:pPr>
              <w:pStyle w:val="TableBodyText"/>
            </w:pPr>
            <w:r>
              <w:lastRenderedPageBreak/>
              <w:t>Table Subtle 1</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148</w:t>
            </w:r>
          </w:p>
        </w:tc>
      </w:tr>
      <w:tr w:rsidR="00024C0A" w:rsidTr="00024C0A">
        <w:tc>
          <w:tcPr>
            <w:tcW w:w="0" w:type="auto"/>
            <w:vAlign w:val="center"/>
          </w:tcPr>
          <w:p w:rsidR="00024C0A" w:rsidRDefault="00694C0F">
            <w:pPr>
              <w:pStyle w:val="TableBodyText"/>
            </w:pPr>
            <w:r>
              <w:t>Table Subtle 2</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149</w:t>
            </w:r>
          </w:p>
        </w:tc>
      </w:tr>
      <w:tr w:rsidR="00024C0A" w:rsidTr="00024C0A">
        <w:tc>
          <w:tcPr>
            <w:tcW w:w="0" w:type="auto"/>
            <w:vAlign w:val="center"/>
          </w:tcPr>
          <w:p w:rsidR="00024C0A" w:rsidRDefault="00694C0F">
            <w:pPr>
              <w:pStyle w:val="TableBodyText"/>
            </w:pPr>
            <w:r>
              <w:t>Table Theme</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155</w:t>
            </w:r>
          </w:p>
        </w:tc>
      </w:tr>
      <w:tr w:rsidR="00024C0A" w:rsidTr="00024C0A">
        <w:tc>
          <w:tcPr>
            <w:tcW w:w="0" w:type="auto"/>
            <w:vAlign w:val="center"/>
          </w:tcPr>
          <w:p w:rsidR="00024C0A" w:rsidRDefault="00694C0F">
            <w:pPr>
              <w:pStyle w:val="TableBodyText"/>
            </w:pPr>
            <w:r>
              <w:t>Table Web 1</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150</w:t>
            </w:r>
          </w:p>
        </w:tc>
      </w:tr>
      <w:tr w:rsidR="00024C0A" w:rsidTr="00024C0A">
        <w:tc>
          <w:tcPr>
            <w:tcW w:w="0" w:type="auto"/>
            <w:vAlign w:val="center"/>
          </w:tcPr>
          <w:p w:rsidR="00024C0A" w:rsidRDefault="00694C0F">
            <w:pPr>
              <w:pStyle w:val="TableBodyText"/>
            </w:pPr>
            <w:r>
              <w:t>Table Web 2</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151</w:t>
            </w:r>
          </w:p>
        </w:tc>
      </w:tr>
      <w:tr w:rsidR="00024C0A" w:rsidTr="00024C0A">
        <w:tc>
          <w:tcPr>
            <w:tcW w:w="0" w:type="auto"/>
            <w:vAlign w:val="center"/>
          </w:tcPr>
          <w:p w:rsidR="00024C0A" w:rsidRDefault="00694C0F">
            <w:pPr>
              <w:pStyle w:val="TableBodyText"/>
            </w:pPr>
            <w:r>
              <w:t>Table Web 3</w:t>
            </w:r>
          </w:p>
        </w:tc>
        <w:tc>
          <w:tcPr>
            <w:tcW w:w="0" w:type="auto"/>
            <w:vAlign w:val="center"/>
          </w:tcPr>
          <w:p w:rsidR="00024C0A" w:rsidRDefault="00694C0F">
            <w:pPr>
              <w:pStyle w:val="TableBodyText"/>
            </w:pPr>
            <w:r>
              <w:t>table</w:t>
            </w:r>
          </w:p>
        </w:tc>
        <w:tc>
          <w:tcPr>
            <w:tcW w:w="0" w:type="auto"/>
            <w:vAlign w:val="center"/>
          </w:tcPr>
          <w:p w:rsidR="00024C0A" w:rsidRDefault="00694C0F">
            <w:pPr>
              <w:pStyle w:val="TableBodyText"/>
            </w:pPr>
            <w:r>
              <w:t>152</w:t>
            </w:r>
          </w:p>
        </w:tc>
      </w:tr>
      <w:tr w:rsidR="00024C0A" w:rsidTr="00024C0A">
        <w:tc>
          <w:tcPr>
            <w:tcW w:w="0" w:type="auto"/>
            <w:vAlign w:val="center"/>
          </w:tcPr>
          <w:p w:rsidR="00024C0A" w:rsidRDefault="00694C0F">
            <w:pPr>
              <w:pStyle w:val="TableBodyText"/>
            </w:pPr>
            <w:r>
              <w:t>Title</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62</w:t>
            </w:r>
          </w:p>
        </w:tc>
      </w:tr>
      <w:tr w:rsidR="00024C0A" w:rsidTr="00024C0A">
        <w:tc>
          <w:tcPr>
            <w:tcW w:w="0" w:type="auto"/>
            <w:vAlign w:val="center"/>
          </w:tcPr>
          <w:p w:rsidR="00024C0A" w:rsidRDefault="00694C0F">
            <w:pPr>
              <w:pStyle w:val="TableBodyText"/>
            </w:pPr>
            <w:r>
              <w:t>toa heading</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46</w:t>
            </w:r>
          </w:p>
        </w:tc>
      </w:tr>
      <w:tr w:rsidR="00024C0A" w:rsidTr="00024C0A">
        <w:tc>
          <w:tcPr>
            <w:tcW w:w="0" w:type="auto"/>
            <w:vAlign w:val="center"/>
          </w:tcPr>
          <w:p w:rsidR="00024C0A" w:rsidRDefault="00694C0F">
            <w:pPr>
              <w:pStyle w:val="TableBodyText"/>
            </w:pPr>
            <w:r>
              <w:t>toc 1</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19</w:t>
            </w:r>
          </w:p>
        </w:tc>
      </w:tr>
      <w:tr w:rsidR="00024C0A" w:rsidTr="00024C0A">
        <w:tc>
          <w:tcPr>
            <w:tcW w:w="0" w:type="auto"/>
            <w:vAlign w:val="center"/>
          </w:tcPr>
          <w:p w:rsidR="00024C0A" w:rsidRDefault="00694C0F">
            <w:pPr>
              <w:pStyle w:val="TableBodyText"/>
            </w:pPr>
            <w:r>
              <w:t>toc 2</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20</w:t>
            </w:r>
          </w:p>
        </w:tc>
      </w:tr>
      <w:tr w:rsidR="00024C0A" w:rsidTr="00024C0A">
        <w:tc>
          <w:tcPr>
            <w:tcW w:w="0" w:type="auto"/>
            <w:vAlign w:val="center"/>
          </w:tcPr>
          <w:p w:rsidR="00024C0A" w:rsidRDefault="00694C0F">
            <w:pPr>
              <w:pStyle w:val="TableBodyText"/>
            </w:pPr>
            <w:r>
              <w:t>toc 3</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21</w:t>
            </w:r>
          </w:p>
        </w:tc>
      </w:tr>
      <w:tr w:rsidR="00024C0A" w:rsidTr="00024C0A">
        <w:tc>
          <w:tcPr>
            <w:tcW w:w="0" w:type="auto"/>
            <w:vAlign w:val="center"/>
          </w:tcPr>
          <w:p w:rsidR="00024C0A" w:rsidRDefault="00694C0F">
            <w:pPr>
              <w:pStyle w:val="TableBodyText"/>
            </w:pPr>
            <w:r>
              <w:t>toc 4</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22</w:t>
            </w:r>
          </w:p>
        </w:tc>
      </w:tr>
      <w:tr w:rsidR="00024C0A" w:rsidTr="00024C0A">
        <w:tc>
          <w:tcPr>
            <w:tcW w:w="0" w:type="auto"/>
            <w:vAlign w:val="center"/>
          </w:tcPr>
          <w:p w:rsidR="00024C0A" w:rsidRDefault="00694C0F">
            <w:pPr>
              <w:pStyle w:val="TableBodyText"/>
            </w:pPr>
            <w:r>
              <w:t>toc 5</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23</w:t>
            </w:r>
          </w:p>
        </w:tc>
      </w:tr>
      <w:tr w:rsidR="00024C0A" w:rsidTr="00024C0A">
        <w:tc>
          <w:tcPr>
            <w:tcW w:w="0" w:type="auto"/>
            <w:vAlign w:val="center"/>
          </w:tcPr>
          <w:p w:rsidR="00024C0A" w:rsidRDefault="00694C0F">
            <w:pPr>
              <w:pStyle w:val="TableBodyText"/>
            </w:pPr>
            <w:r>
              <w:t>toc 6</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24</w:t>
            </w:r>
          </w:p>
        </w:tc>
      </w:tr>
      <w:tr w:rsidR="00024C0A" w:rsidTr="00024C0A">
        <w:tc>
          <w:tcPr>
            <w:tcW w:w="0" w:type="auto"/>
            <w:vAlign w:val="center"/>
          </w:tcPr>
          <w:p w:rsidR="00024C0A" w:rsidRDefault="00694C0F">
            <w:pPr>
              <w:pStyle w:val="TableBodyText"/>
            </w:pPr>
            <w:r>
              <w:t>toc 7</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25</w:t>
            </w:r>
          </w:p>
        </w:tc>
      </w:tr>
      <w:tr w:rsidR="00024C0A" w:rsidTr="00024C0A">
        <w:tc>
          <w:tcPr>
            <w:tcW w:w="0" w:type="auto"/>
            <w:vAlign w:val="center"/>
          </w:tcPr>
          <w:p w:rsidR="00024C0A" w:rsidRDefault="00694C0F">
            <w:pPr>
              <w:pStyle w:val="TableBodyText"/>
            </w:pPr>
            <w:r>
              <w:t>toc 8</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26</w:t>
            </w:r>
          </w:p>
        </w:tc>
      </w:tr>
      <w:tr w:rsidR="00024C0A" w:rsidTr="00024C0A">
        <w:tc>
          <w:tcPr>
            <w:tcW w:w="0" w:type="auto"/>
            <w:vAlign w:val="center"/>
          </w:tcPr>
          <w:p w:rsidR="00024C0A" w:rsidRDefault="00694C0F">
            <w:pPr>
              <w:pStyle w:val="TableBodyText"/>
            </w:pPr>
            <w:r>
              <w:t>toc 9</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27</w:t>
            </w:r>
          </w:p>
        </w:tc>
      </w:tr>
      <w:tr w:rsidR="00024C0A" w:rsidTr="00024C0A">
        <w:tc>
          <w:tcPr>
            <w:tcW w:w="0" w:type="auto"/>
            <w:vAlign w:val="center"/>
          </w:tcPr>
          <w:p w:rsidR="00024C0A" w:rsidRDefault="00694C0F">
            <w:pPr>
              <w:pStyle w:val="TableBodyText"/>
            </w:pPr>
            <w:r>
              <w:t>TOC Heading</w:t>
            </w:r>
          </w:p>
        </w:tc>
        <w:tc>
          <w:tcPr>
            <w:tcW w:w="0" w:type="auto"/>
            <w:vAlign w:val="center"/>
          </w:tcPr>
          <w:p w:rsidR="00024C0A" w:rsidRDefault="00694C0F">
            <w:pPr>
              <w:pStyle w:val="TableBodyText"/>
            </w:pPr>
            <w:r>
              <w:t>paragraph</w:t>
            </w:r>
          </w:p>
        </w:tc>
        <w:tc>
          <w:tcPr>
            <w:tcW w:w="0" w:type="auto"/>
            <w:vAlign w:val="center"/>
          </w:tcPr>
          <w:p w:rsidR="00024C0A" w:rsidRDefault="00694C0F">
            <w:pPr>
              <w:pStyle w:val="TableBodyText"/>
            </w:pPr>
            <w:r>
              <w:t>266</w:t>
            </w:r>
          </w:p>
        </w:tc>
      </w:tr>
    </w:tbl>
    <w:p w:rsidR="00024C0A" w:rsidRDefault="00024C0A"/>
    <w:p w:rsidR="00024C0A" w:rsidRDefault="00694C0F">
      <w:pPr>
        <w:pStyle w:val="Heading3"/>
      </w:pPr>
      <w:bookmarkStart w:id="491" w:name="section_dd6e5f4e0b3a4d329ca1f6d5a8c1b41b"/>
      <w:bookmarkStart w:id="492" w:name="_Toc12260306"/>
      <w:r>
        <w:t>Part 1 Section 17.7.4.10, next (Style For Next Paragraph)</w:t>
      </w:r>
      <w:bookmarkEnd w:id="491"/>
      <w:bookmarkEnd w:id="492"/>
      <w:r>
        <w:fldChar w:fldCharType="begin"/>
      </w:r>
      <w:r>
        <w:instrText xml:space="preserve"> XE "next (Style For Next Paragraph)"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1e273b9e816940a691aaf9ebd083e0b8">
        <w:r>
          <w:rPr>
            <w:rStyle w:val="Hyperlink"/>
          </w:rPr>
          <w:t>numSt</w:t>
        </w:r>
        <w:r>
          <w:rPr>
            <w:rStyle w:val="Hyperlink"/>
          </w:rPr>
          <w:t>yleLink, §17.9.21(a)</w:t>
        </w:r>
      </w:hyperlink>
      <w:r>
        <w:rPr>
          <w:i/>
        </w:rPr>
        <w:t>.</w:t>
      </w:r>
    </w:p>
    <w:p w:rsidR="00024C0A" w:rsidRDefault="00694C0F">
      <w:pPr>
        <w:pStyle w:val="Definition-Field"/>
      </w:pPr>
      <w:r>
        <w:t xml:space="preserve">a.   </w:t>
      </w:r>
      <w:r>
        <w:rPr>
          <w:i/>
        </w:rPr>
        <w:t>The standard does not limit the length of the value of the val attribute.</w:t>
      </w:r>
    </w:p>
    <w:p w:rsidR="00024C0A" w:rsidRDefault="00694C0F">
      <w:pPr>
        <w:pStyle w:val="Definition-Field2"/>
      </w:pPr>
      <w:r>
        <w:t>Word restricts the value of this attribute to be at most 253 characters.</w:t>
      </w:r>
    </w:p>
    <w:p w:rsidR="00024C0A" w:rsidRDefault="00694C0F">
      <w:pPr>
        <w:pStyle w:val="Heading3"/>
      </w:pPr>
      <w:bookmarkStart w:id="493" w:name="section_8214eaf1a8b14e1a99543a5068b6d3ce"/>
      <w:bookmarkStart w:id="494" w:name="_Toc12260307"/>
      <w:r>
        <w:t>Part 1 Section 17.7.4.11, personal (E-Mail Message Text Style)</w:t>
      </w:r>
      <w:bookmarkEnd w:id="493"/>
      <w:bookmarkEnd w:id="494"/>
      <w:r>
        <w:fldChar w:fldCharType="begin"/>
      </w:r>
      <w:r>
        <w:instrText xml:space="preserve"> XE "personal (E-Mai</w:instrText>
      </w:r>
      <w:r>
        <w:instrText xml:space="preserve">l Message Text Style)" </w:instrText>
      </w:r>
      <w:r>
        <w:fldChar w:fldCharType="end"/>
      </w:r>
    </w:p>
    <w:p w:rsidR="00024C0A" w:rsidRDefault="00694C0F">
      <w:pPr>
        <w:pStyle w:val="Definition-Field"/>
      </w:pPr>
      <w:r>
        <w:t xml:space="preserve">a.   </w:t>
      </w:r>
      <w:r>
        <w:rPr>
          <w:i/>
        </w:rPr>
        <w:t>The standard says personal is ignored if no style exists whose styleId matches the boolean val attribute.</w:t>
      </w:r>
    </w:p>
    <w:p w:rsidR="00024C0A" w:rsidRDefault="00694C0F">
      <w:pPr>
        <w:pStyle w:val="Definition-Field2"/>
      </w:pPr>
      <w:r>
        <w:t>Word treats the val attribute of personal as a boolean setting.</w:t>
      </w:r>
    </w:p>
    <w:p w:rsidR="00024C0A" w:rsidRDefault="00694C0F">
      <w:pPr>
        <w:pStyle w:val="Heading3"/>
      </w:pPr>
      <w:bookmarkStart w:id="495" w:name="section_ed224d8374a34499ac0b58e27f0f8474"/>
      <w:bookmarkStart w:id="496" w:name="_Toc12260308"/>
      <w:r>
        <w:t>Part 1 Section 17.7.4.12, personalCompose (E-Mail Message Composition Style)</w:t>
      </w:r>
      <w:bookmarkEnd w:id="495"/>
      <w:bookmarkEnd w:id="496"/>
      <w:r>
        <w:fldChar w:fldCharType="begin"/>
      </w:r>
      <w:r>
        <w:instrText xml:space="preserve"> XE "personalCompose (E-Mail Message Composition Style)" </w:instrText>
      </w:r>
      <w:r>
        <w:fldChar w:fldCharType="end"/>
      </w:r>
    </w:p>
    <w:p w:rsidR="00024C0A" w:rsidRDefault="00694C0F">
      <w:pPr>
        <w:pStyle w:val="Definition-Field"/>
      </w:pPr>
      <w:r>
        <w:t xml:space="preserve">a.   </w:t>
      </w:r>
      <w:r>
        <w:rPr>
          <w:i/>
        </w:rPr>
        <w:t>The standard says personalCompose is ignored if no style exists whose styleId matches the boolean val attribute.</w:t>
      </w:r>
    </w:p>
    <w:p w:rsidR="00024C0A" w:rsidRDefault="00694C0F">
      <w:pPr>
        <w:pStyle w:val="Definition-Field2"/>
      </w:pPr>
      <w:r>
        <w:lastRenderedPageBreak/>
        <w:t>Wo</w:t>
      </w:r>
      <w:r>
        <w:t>rd treats the val attribute of personalCompose as a boolean setting.</w:t>
      </w:r>
    </w:p>
    <w:p w:rsidR="00024C0A" w:rsidRDefault="00694C0F">
      <w:pPr>
        <w:pStyle w:val="Heading3"/>
      </w:pPr>
      <w:bookmarkStart w:id="497" w:name="section_a0c391fe1c0e40a3b97dfb9edcb61a83"/>
      <w:bookmarkStart w:id="498" w:name="_Toc12260309"/>
      <w:r>
        <w:t>Part 1 Section 17.7.4.13, personalReply (E-Mail Message Reply Style)</w:t>
      </w:r>
      <w:bookmarkEnd w:id="497"/>
      <w:bookmarkEnd w:id="498"/>
      <w:r>
        <w:fldChar w:fldCharType="begin"/>
      </w:r>
      <w:r>
        <w:instrText xml:space="preserve"> XE "personalReply (E-Mail Message Reply Style)" </w:instrText>
      </w:r>
      <w:r>
        <w:fldChar w:fldCharType="end"/>
      </w:r>
    </w:p>
    <w:p w:rsidR="00024C0A" w:rsidRDefault="00694C0F">
      <w:pPr>
        <w:pStyle w:val="Definition-Field"/>
      </w:pPr>
      <w:r>
        <w:t xml:space="preserve">a.   </w:t>
      </w:r>
      <w:r>
        <w:rPr>
          <w:i/>
        </w:rPr>
        <w:t xml:space="preserve">The standard says personalReply is ignored if no style exists </w:t>
      </w:r>
      <w:r>
        <w:rPr>
          <w:i/>
        </w:rPr>
        <w:t>whose styleId matches the boolean val attribute.</w:t>
      </w:r>
    </w:p>
    <w:p w:rsidR="00024C0A" w:rsidRDefault="00694C0F">
      <w:pPr>
        <w:pStyle w:val="Definition-Field2"/>
      </w:pPr>
      <w:r>
        <w:t>Word treats the val attribute of personalReply as a boolean setting.</w:t>
      </w:r>
    </w:p>
    <w:p w:rsidR="00024C0A" w:rsidRDefault="00694C0F">
      <w:pPr>
        <w:pStyle w:val="Heading3"/>
      </w:pPr>
      <w:bookmarkStart w:id="499" w:name="section_bb6afca988a74b34911f7110e8062bb1"/>
      <w:bookmarkStart w:id="500" w:name="_Toc12260310"/>
      <w:r>
        <w:t>Part 1 Section 17.7.4.17, style (Style Definition)</w:t>
      </w:r>
      <w:bookmarkEnd w:id="499"/>
      <w:bookmarkEnd w:id="500"/>
      <w:r>
        <w:fldChar w:fldCharType="begin"/>
      </w:r>
      <w:r>
        <w:instrText xml:space="preserve"> XE "style (Style Definition)" </w:instrText>
      </w:r>
      <w:r>
        <w:fldChar w:fldCharType="end"/>
      </w:r>
    </w:p>
    <w:p w:rsidR="00024C0A" w:rsidRDefault="00694C0F">
      <w:pPr>
        <w:pStyle w:val="Definition-Field"/>
      </w:pPr>
      <w:r>
        <w:t xml:space="preserve">a.   </w:t>
      </w:r>
      <w:r>
        <w:rPr>
          <w:i/>
        </w:rPr>
        <w:t xml:space="preserve">The standard does not state any special behavior </w:t>
      </w:r>
      <w:r>
        <w:rPr>
          <w:i/>
        </w:rPr>
        <w:t>for "NoList", "DefaultParagraphFont", and "TableNormal" styles.</w:t>
      </w:r>
    </w:p>
    <w:p w:rsidR="00024C0A" w:rsidRDefault="00694C0F">
      <w:pPr>
        <w:pStyle w:val="Definition-Field2"/>
      </w:pPr>
      <w:r>
        <w:t>Word ignores any child elements of a style element with id "NoList", "DefaultParagraphFont", or "TableNormal".</w:t>
      </w:r>
    </w:p>
    <w:p w:rsidR="00024C0A" w:rsidRDefault="00694C0F">
      <w:pPr>
        <w:pStyle w:val="Definition-Field"/>
      </w:pPr>
      <w:r>
        <w:t xml:space="preserve">b.   </w:t>
      </w:r>
      <w:r>
        <w:rPr>
          <w:i/>
        </w:rPr>
        <w:t>The standard says the length of the styleId attribute is unlimited.</w:t>
      </w:r>
    </w:p>
    <w:p w:rsidR="00024C0A" w:rsidRDefault="00694C0F">
      <w:pPr>
        <w:pStyle w:val="Definition-Field2"/>
      </w:pPr>
      <w:r>
        <w:t>Word ign</w:t>
      </w:r>
      <w:r>
        <w:t>ores the value of the styleId attribute if it exceeds 253 characters in length.</w:t>
      </w:r>
    </w:p>
    <w:p w:rsidR="00024C0A" w:rsidRDefault="00694C0F">
      <w:pPr>
        <w:pStyle w:val="Definition-Field"/>
      </w:pPr>
      <w:r>
        <w:t xml:space="preserve">c.   </w:t>
      </w:r>
      <w:r>
        <w:rPr>
          <w:i/>
        </w:rPr>
        <w:t>The standard states that the number of styles is unbounded.</w:t>
      </w:r>
    </w:p>
    <w:p w:rsidR="00024C0A" w:rsidRDefault="00694C0F">
      <w:pPr>
        <w:pStyle w:val="Definition-Field2"/>
      </w:pPr>
      <w:r>
        <w:t>Word does not open a document containing more than 4,079 styles.</w:t>
      </w:r>
    </w:p>
    <w:p w:rsidR="00024C0A" w:rsidRDefault="00694C0F">
      <w:pPr>
        <w:pStyle w:val="Heading3"/>
      </w:pPr>
      <w:bookmarkStart w:id="501" w:name="section_b7604183092342c887b44f0b6f850cbf"/>
      <w:bookmarkStart w:id="502" w:name="_Toc12260311"/>
      <w:r>
        <w:t>Part 1 Section 17.7.4.19, uiPriority (Optional User Interface Sorting Order)</w:t>
      </w:r>
      <w:bookmarkEnd w:id="501"/>
      <w:bookmarkEnd w:id="502"/>
      <w:r>
        <w:fldChar w:fldCharType="begin"/>
      </w:r>
      <w:r>
        <w:instrText xml:space="preserve"> XE "uiPriority (Optional User Interface Sorting Order)" </w:instrText>
      </w:r>
      <w:r>
        <w:fldChar w:fldCharType="end"/>
      </w:r>
    </w:p>
    <w:p w:rsidR="00024C0A" w:rsidRDefault="00694C0F">
      <w:pPr>
        <w:pStyle w:val="Definition-Field"/>
      </w:pPr>
      <w:r>
        <w:t xml:space="preserve">a.   </w:t>
      </w:r>
      <w:r>
        <w:rPr>
          <w:i/>
        </w:rPr>
        <w:t>The standard states that the values of the val attribute are defined by the XML Schema integer datatype.</w:t>
      </w:r>
    </w:p>
    <w:p w:rsidR="00024C0A" w:rsidRDefault="00694C0F">
      <w:pPr>
        <w:pStyle w:val="Definition-Field2"/>
      </w:pPr>
      <w:r>
        <w:t>Word restr</w:t>
      </w:r>
      <w:r>
        <w:t>icts the value of this attribute to be at least 0 and at most 99.</w:t>
      </w:r>
    </w:p>
    <w:p w:rsidR="00024C0A" w:rsidRDefault="00694C0F">
      <w:pPr>
        <w:pStyle w:val="Definition-Field"/>
      </w:pPr>
      <w:r>
        <w:t xml:space="preserve">b.   </w:t>
      </w:r>
      <w:r>
        <w:rPr>
          <w:i/>
        </w:rPr>
        <w:t>The standard says the default behavior is to sort to the end of the list.</w:t>
      </w:r>
    </w:p>
    <w:p w:rsidR="00024C0A" w:rsidRDefault="00694C0F">
      <w:pPr>
        <w:pStyle w:val="Definition-Field2"/>
      </w:pPr>
      <w:r>
        <w:t>In Word, the default behavior is to sort to the beginning of the list.</w:t>
      </w:r>
    </w:p>
    <w:p w:rsidR="00024C0A" w:rsidRDefault="00694C0F">
      <w:pPr>
        <w:pStyle w:val="Heading3"/>
      </w:pPr>
      <w:bookmarkStart w:id="503" w:name="section_1b4958bf2fcf4db89a967f553494276b"/>
      <w:bookmarkStart w:id="504" w:name="_Toc12260312"/>
      <w:r>
        <w:t xml:space="preserve">Part 1 Section 17.7.5.2, pPr (Paragraph </w:t>
      </w:r>
      <w:r>
        <w:t>Properties)</w:t>
      </w:r>
      <w:bookmarkEnd w:id="503"/>
      <w:bookmarkEnd w:id="504"/>
      <w:r>
        <w:fldChar w:fldCharType="begin"/>
      </w:r>
      <w:r>
        <w:instrText xml:space="preserve"> XE "pPr (Paragraph Properties)" </w:instrText>
      </w:r>
      <w:r>
        <w:fldChar w:fldCharType="end"/>
      </w:r>
    </w:p>
    <w:p w:rsidR="00024C0A" w:rsidRDefault="00694C0F">
      <w:pPr>
        <w:pStyle w:val="Definition-Field"/>
      </w:pPr>
      <w:r>
        <w:t xml:space="preserve">a.   </w:t>
      </w:r>
      <w:r>
        <w:rPr>
          <w:i/>
        </w:rPr>
        <w:t>The standard states that the cnfStyle, divId, pPrChange, pStyle, rPr, and sectPr elements are valid child elements of the pPr element.</w:t>
      </w:r>
    </w:p>
    <w:p w:rsidR="00024C0A" w:rsidRDefault="00694C0F">
      <w:pPr>
        <w:pStyle w:val="Definition-Field2"/>
      </w:pPr>
      <w:r>
        <w:t>Word does not allow these elements to be child elements of the pPr el</w:t>
      </w:r>
      <w:r>
        <w:t>ement.</w:t>
      </w:r>
    </w:p>
    <w:p w:rsidR="00024C0A" w:rsidRDefault="00694C0F">
      <w:pPr>
        <w:pStyle w:val="Heading3"/>
      </w:pPr>
      <w:bookmarkStart w:id="505" w:name="section_9f0ca7a05e6a487ebb522b74d4bb614a"/>
      <w:bookmarkStart w:id="506" w:name="_Toc12260313"/>
      <w:r>
        <w:t>Part 1 Section 17.7.5.4, rPr (Run Properties)</w:t>
      </w:r>
      <w:bookmarkEnd w:id="505"/>
      <w:bookmarkEnd w:id="506"/>
      <w:r>
        <w:fldChar w:fldCharType="begin"/>
      </w:r>
      <w:r>
        <w:instrText xml:space="preserve"> XE "rPr (Run Properties)" </w:instrText>
      </w:r>
      <w:r>
        <w:fldChar w:fldCharType="end"/>
      </w:r>
    </w:p>
    <w:p w:rsidR="00024C0A" w:rsidRDefault="00694C0F">
      <w:pPr>
        <w:pStyle w:val="Definition-Field"/>
      </w:pPr>
      <w:r>
        <w:t xml:space="preserve">a.   </w:t>
      </w:r>
      <w:r>
        <w:rPr>
          <w:i/>
        </w:rPr>
        <w:t>The standard states that the cs, highlight, oMath, rPrChange, rStyle, and rtl elements are valid child elements of the rPr element.</w:t>
      </w:r>
    </w:p>
    <w:p w:rsidR="00024C0A" w:rsidRDefault="00694C0F">
      <w:pPr>
        <w:pStyle w:val="Definition-Field2"/>
      </w:pPr>
      <w:r>
        <w:t>Word does not allow these elements to</w:t>
      </w:r>
      <w:r>
        <w:t xml:space="preserve"> be child elements of the rPr element.</w:t>
      </w:r>
    </w:p>
    <w:p w:rsidR="00024C0A" w:rsidRDefault="00694C0F">
      <w:pPr>
        <w:pStyle w:val="Heading3"/>
      </w:pPr>
      <w:bookmarkStart w:id="507" w:name="section_14452bbebe4d4dbb90e63d23ae9361bc"/>
      <w:bookmarkStart w:id="508" w:name="_Toc12260314"/>
      <w:r>
        <w:t>Part 1 Section 17.7.6, Table Styles</w:t>
      </w:r>
      <w:bookmarkEnd w:id="507"/>
      <w:bookmarkEnd w:id="508"/>
      <w:r>
        <w:fldChar w:fldCharType="begin"/>
      </w:r>
      <w:r>
        <w:instrText xml:space="preserve"> XE "Table Styles" </w:instrText>
      </w:r>
      <w:r>
        <w:fldChar w:fldCharType="end"/>
      </w:r>
    </w:p>
    <w:p w:rsidR="00024C0A" w:rsidRDefault="00694C0F">
      <w:pPr>
        <w:pStyle w:val="Definition-Field"/>
      </w:pPr>
      <w:r>
        <w:t xml:space="preserve">a.   </w:t>
      </w:r>
      <w:r>
        <w:rPr>
          <w:i/>
        </w:rPr>
        <w:t>The standard does not specify how the tblLook affects the corner cell conditional formatting.</w:t>
      </w:r>
    </w:p>
    <w:p w:rsidR="00024C0A" w:rsidRDefault="00694C0F">
      <w:pPr>
        <w:pStyle w:val="Definition-Field2"/>
      </w:pPr>
      <w:r>
        <w:t>In Word, corner cell conditional formatting is applied only i</w:t>
      </w:r>
      <w:r>
        <w:t>f both of the corresponding first or last row or column are enabled.</w:t>
      </w:r>
    </w:p>
    <w:p w:rsidR="00024C0A" w:rsidRDefault="00694C0F">
      <w:pPr>
        <w:pStyle w:val="Definition-Field"/>
      </w:pPr>
      <w:r>
        <w:lastRenderedPageBreak/>
        <w:t xml:space="preserve">b.   </w:t>
      </w:r>
      <w:r>
        <w:rPr>
          <w:i/>
        </w:rPr>
        <w:t>The standard specifies that the resolved value of the toggle properties will toggle the previous level (True) or leave it unchanged (False) when present in a table style.</w:t>
      </w:r>
    </w:p>
    <w:p w:rsidR="00024C0A" w:rsidRDefault="00694C0F">
      <w:pPr>
        <w:pStyle w:val="Definition-Field2"/>
      </w:pPr>
      <w:r>
        <w:t>Word resets</w:t>
      </w:r>
      <w:r>
        <w:t xml:space="preserve"> the value of the toggle property to the value specified by the table style if a value is present; for example, a value of 1 resets the property's state to True instead of toggling it.</w:t>
      </w:r>
    </w:p>
    <w:p w:rsidR="00024C0A" w:rsidRDefault="00694C0F">
      <w:pPr>
        <w:pStyle w:val="Definition-Field"/>
      </w:pPr>
      <w:r>
        <w:t xml:space="preserve">c.   </w:t>
      </w:r>
      <w:r>
        <w:rPr>
          <w:i/>
        </w:rPr>
        <w:t>The standard specifies the precedence order in which conditional f</w:t>
      </w:r>
      <w:r>
        <w:rPr>
          <w:i/>
        </w:rPr>
        <w:t>ormatting should be applied.</w:t>
      </w:r>
    </w:p>
    <w:p w:rsidR="00024C0A" w:rsidRDefault="00694C0F">
      <w:r>
        <w:t>When specified, Office applies conditional formats in the following order (therefore subsequent formats override properties on previous formats):</w:t>
      </w:r>
    </w:p>
    <w:p w:rsidR="00024C0A" w:rsidRDefault="00694C0F">
      <w:pPr>
        <w:pStyle w:val="ListParagraph"/>
        <w:numPr>
          <w:ilvl w:val="0"/>
          <w:numId w:val="60"/>
        </w:numPr>
        <w:ind w:left="720"/>
        <w:contextualSpacing/>
      </w:pPr>
      <w:r>
        <w:t>Odd row banding, even row banding</w:t>
      </w:r>
    </w:p>
    <w:p w:rsidR="00024C0A" w:rsidRDefault="00694C0F">
      <w:pPr>
        <w:pStyle w:val="ListParagraph"/>
        <w:numPr>
          <w:ilvl w:val="0"/>
          <w:numId w:val="60"/>
        </w:numPr>
        <w:ind w:left="720"/>
        <w:contextualSpacing/>
      </w:pPr>
      <w:r>
        <w:t>Odd column banding, even column banding</w:t>
      </w:r>
    </w:p>
    <w:p w:rsidR="00024C0A" w:rsidRDefault="00694C0F">
      <w:pPr>
        <w:pStyle w:val="ListParagraph"/>
        <w:numPr>
          <w:ilvl w:val="0"/>
          <w:numId w:val="60"/>
        </w:numPr>
        <w:ind w:left="720"/>
        <w:contextualSpacing/>
      </w:pPr>
      <w:r>
        <w:t>First c</w:t>
      </w:r>
      <w:r>
        <w:t>olumn, last column</w:t>
      </w:r>
    </w:p>
    <w:p w:rsidR="00024C0A" w:rsidRDefault="00694C0F">
      <w:pPr>
        <w:pStyle w:val="ListParagraph"/>
        <w:numPr>
          <w:ilvl w:val="0"/>
          <w:numId w:val="60"/>
        </w:numPr>
        <w:ind w:left="720"/>
        <w:contextualSpacing/>
      </w:pPr>
      <w:r>
        <w:t>First row, last row</w:t>
      </w:r>
    </w:p>
    <w:p w:rsidR="00024C0A" w:rsidRDefault="00694C0F">
      <w:pPr>
        <w:pStyle w:val="ListParagraph"/>
        <w:numPr>
          <w:ilvl w:val="0"/>
          <w:numId w:val="60"/>
        </w:numPr>
        <w:ind w:left="720"/>
        <w:contextualSpacing/>
      </w:pPr>
      <w:r>
        <w:t>Top left, top right, bottom left, bottom right</w:t>
      </w:r>
    </w:p>
    <w:p w:rsidR="00024C0A" w:rsidRDefault="00694C0F">
      <w:r>
        <w:t xml:space="preserve">Refer to </w:t>
      </w:r>
      <w:hyperlink w:anchor="Section_3359ff85c4234b9dbe78d1cf96f79486" w:history="1">
        <w:r>
          <w:rPr>
            <w:rStyle w:val="Hyperlink"/>
          </w:rPr>
          <w:t>ST_TblStyleOverrideType, §17.18.89(a)</w:t>
        </w:r>
      </w:hyperlink>
      <w:r>
        <w:t xml:space="preserve"> for information about the conditional formatting values </w:t>
      </w:r>
      <w:r>
        <w:t>Microsoft Office recognizes.</w:t>
      </w:r>
    </w:p>
    <w:p w:rsidR="00024C0A" w:rsidRDefault="00694C0F">
      <w:pPr>
        <w:pStyle w:val="Heading3"/>
      </w:pPr>
      <w:bookmarkStart w:id="509" w:name="section_e6cd172f23d344d9942bcf3ffaed67fc"/>
      <w:bookmarkStart w:id="510" w:name="_Toc12260315"/>
      <w:r>
        <w:t>Part 1 Section 17.7.6.1, pPr (Table Style Conditional Formatting Paragraph Properties)</w:t>
      </w:r>
      <w:bookmarkEnd w:id="509"/>
      <w:bookmarkEnd w:id="510"/>
      <w:r>
        <w:fldChar w:fldCharType="begin"/>
      </w:r>
      <w:r>
        <w:instrText xml:space="preserve"> XE "pPr (Table Style Conditional Formatting Paragraph Properties)" </w:instrText>
      </w:r>
      <w:r>
        <w:fldChar w:fldCharType="end"/>
      </w:r>
    </w:p>
    <w:p w:rsidR="00024C0A" w:rsidRDefault="00694C0F">
      <w:pPr>
        <w:pStyle w:val="Definition-Field"/>
      </w:pPr>
      <w:r>
        <w:t xml:space="preserve">a.   </w:t>
      </w:r>
      <w:r>
        <w:rPr>
          <w:i/>
        </w:rPr>
        <w:t>The standard states that the cnfStyle, divId, pStyle, rPr, and se</w:t>
      </w:r>
      <w:r>
        <w:rPr>
          <w:i/>
        </w:rPr>
        <w:t>ctPr elements are valid child elements of the pPr element.</w:t>
      </w:r>
    </w:p>
    <w:p w:rsidR="00024C0A" w:rsidRDefault="00694C0F">
      <w:pPr>
        <w:pStyle w:val="Definition-Field2"/>
      </w:pPr>
      <w:r>
        <w:t>Word does not allow these elements to be child elements of the pPr element.</w:t>
      </w:r>
    </w:p>
    <w:p w:rsidR="00024C0A" w:rsidRDefault="00694C0F">
      <w:pPr>
        <w:pStyle w:val="Definition-Field"/>
      </w:pPr>
      <w:r>
        <w:t xml:space="preserve">b.   </w:t>
      </w:r>
      <w:r>
        <w:rPr>
          <w:i/>
        </w:rPr>
        <w:t>The standard allows framePr, suppressOverlap, and textDirection as a child element of pPr in a table style.</w:t>
      </w:r>
    </w:p>
    <w:p w:rsidR="00024C0A" w:rsidRDefault="00694C0F">
      <w:pPr>
        <w:pStyle w:val="Definition-Field2"/>
      </w:pPr>
      <w:r>
        <w:t xml:space="preserve">Word </w:t>
      </w:r>
      <w:r>
        <w:t>does not allow framePr, suppressOverlap, or textDirection as a child element of pPr in a table style, and may fail to open such a file.</w:t>
      </w:r>
    </w:p>
    <w:p w:rsidR="00024C0A" w:rsidRDefault="00694C0F">
      <w:pPr>
        <w:pStyle w:val="Heading3"/>
      </w:pPr>
      <w:bookmarkStart w:id="511" w:name="section_d0244b61fd9645f0ac847380d2b6d663"/>
      <w:bookmarkStart w:id="512" w:name="_Toc12260316"/>
      <w:r>
        <w:t>Part 1 Section 17.7.6.2, rPr (Table Style Conditional Formatting Run Properties)</w:t>
      </w:r>
      <w:bookmarkEnd w:id="511"/>
      <w:bookmarkEnd w:id="512"/>
      <w:r>
        <w:fldChar w:fldCharType="begin"/>
      </w:r>
      <w:r>
        <w:instrText xml:space="preserve"> XE "rPr (Table Style Conditional Format</w:instrText>
      </w:r>
      <w:r>
        <w:instrText xml:space="preserve">ting Run Properties)"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w:t>
      </w:r>
    </w:p>
    <w:p w:rsidR="00024C0A" w:rsidRDefault="00694C0F">
      <w:pPr>
        <w:pStyle w:val="Definition-Field"/>
      </w:pPr>
      <w:r>
        <w:t xml:space="preserve">a.   </w:t>
      </w:r>
      <w:r>
        <w:rPr>
          <w:i/>
        </w:rPr>
        <w:t>The standard states that the cs, highlight, oMath, rPr</w:t>
      </w:r>
      <w:r>
        <w:rPr>
          <w:i/>
        </w:rPr>
        <w:t>Change, rStyle, and rtl elements are valid child elements of the rPr element.</w:t>
      </w:r>
    </w:p>
    <w:p w:rsidR="00024C0A" w:rsidRDefault="00694C0F">
      <w:pPr>
        <w:pStyle w:val="Definition-Field2"/>
      </w:pPr>
      <w:r>
        <w:t>Word does not allow these elements to be child elements of the rPr element.</w:t>
      </w:r>
    </w:p>
    <w:p w:rsidR="00024C0A" w:rsidRDefault="00694C0F">
      <w:pPr>
        <w:pStyle w:val="Heading3"/>
      </w:pPr>
      <w:bookmarkStart w:id="513" w:name="section_8ab3579cde9a4cdc931d261772a2365e"/>
      <w:bookmarkStart w:id="514" w:name="_Toc12260317"/>
      <w:r>
        <w:t>Part 1 Section 17.7.6.3, tblPr (Table Style Conditional Formatting Table Properties)</w:t>
      </w:r>
      <w:bookmarkEnd w:id="513"/>
      <w:bookmarkEnd w:id="514"/>
      <w:r>
        <w:fldChar w:fldCharType="begin"/>
      </w:r>
      <w:r>
        <w:instrText xml:space="preserve"> XE "tblPr (Table </w:instrText>
      </w:r>
      <w:r>
        <w:instrText xml:space="preserve">Style Conditional Formatting Table Properties)" </w:instrText>
      </w:r>
      <w:r>
        <w:fldChar w:fldCharType="end"/>
      </w:r>
    </w:p>
    <w:p w:rsidR="00024C0A" w:rsidRDefault="00694C0F">
      <w:pPr>
        <w:pStyle w:val="Definition-Field"/>
      </w:pPr>
      <w:r>
        <w:t xml:space="preserve">a.   </w:t>
      </w:r>
      <w:r>
        <w:rPr>
          <w:i/>
        </w:rPr>
        <w:t>The standard states that the bidiVisual, tblLayout, tblLook, tblOverlap, tblpPr, tblStyle, tblStyleColBandSize, tblStyleRowBandSize, and tblW elements are valid child elements of the tblPr element.</w:t>
      </w:r>
    </w:p>
    <w:p w:rsidR="00024C0A" w:rsidRDefault="00694C0F">
      <w:pPr>
        <w:pStyle w:val="Definition-Field2"/>
      </w:pPr>
      <w:r>
        <w:t>Wo</w:t>
      </w:r>
      <w:r>
        <w:t>rd does not allow these elements to be child elements of the tblPr element.</w:t>
      </w:r>
    </w:p>
    <w:p w:rsidR="00024C0A" w:rsidRDefault="00694C0F">
      <w:pPr>
        <w:pStyle w:val="Heading3"/>
      </w:pPr>
      <w:bookmarkStart w:id="515" w:name="section_9110e397e8e24e23af712fa84eab74f5"/>
      <w:bookmarkStart w:id="516" w:name="_Toc12260318"/>
      <w:r>
        <w:t>Part 1 Section 17.7.6.4, tblPr (Style Table Properties)</w:t>
      </w:r>
      <w:bookmarkEnd w:id="515"/>
      <w:bookmarkEnd w:id="516"/>
      <w:r>
        <w:fldChar w:fldCharType="begin"/>
      </w:r>
      <w:r>
        <w:instrText xml:space="preserve"> XE "tblPr (Style Table Properties)" </w:instrText>
      </w:r>
      <w:r>
        <w:fldChar w:fldCharType="end"/>
      </w:r>
    </w:p>
    <w:p w:rsidR="00024C0A" w:rsidRDefault="00694C0F">
      <w:pPr>
        <w:pStyle w:val="Definition-Field"/>
      </w:pPr>
      <w:r>
        <w:t xml:space="preserve">a.   </w:t>
      </w:r>
      <w:r>
        <w:rPr>
          <w:i/>
        </w:rPr>
        <w:t>The standard states that the bidiVisual, tblLayout, tblLook, tblOverlap, tblpPr,</w:t>
      </w:r>
      <w:r>
        <w:rPr>
          <w:i/>
        </w:rPr>
        <w:t xml:space="preserve"> tblStyle, and tblW elements are valid child elements of the tblPr element.</w:t>
      </w:r>
    </w:p>
    <w:p w:rsidR="00024C0A" w:rsidRDefault="00694C0F">
      <w:pPr>
        <w:pStyle w:val="Definition-Field2"/>
      </w:pPr>
      <w:r>
        <w:lastRenderedPageBreak/>
        <w:t>Word does not allow these elements to be child elements of the tblPr element.</w:t>
      </w:r>
    </w:p>
    <w:p w:rsidR="00024C0A" w:rsidRDefault="00694C0F">
      <w:pPr>
        <w:pStyle w:val="Heading3"/>
      </w:pPr>
      <w:bookmarkStart w:id="517" w:name="section_6998fa345ceb40a7b3b5ac4591c2f09e"/>
      <w:bookmarkStart w:id="518" w:name="_Toc12260319"/>
      <w:r>
        <w:t>Part 1 Section 17.7.6.5, tblStyleColBandSize (Number of Columns in Column Band)</w:t>
      </w:r>
      <w:bookmarkEnd w:id="517"/>
      <w:bookmarkEnd w:id="518"/>
      <w:r>
        <w:fldChar w:fldCharType="begin"/>
      </w:r>
      <w:r>
        <w:instrText xml:space="preserve"> XE "tblStyleColBandSiz</w:instrText>
      </w:r>
      <w:r>
        <w:instrText xml:space="preserve">e (Number of Columns in Column Band)"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024C0A" w:rsidRDefault="00694C0F">
      <w:pPr>
        <w:pStyle w:val="Definition-Field"/>
      </w:pPr>
      <w:r>
        <w:t xml:space="preserve">a.   </w:t>
      </w:r>
      <w:r>
        <w:rPr>
          <w:i/>
        </w:rPr>
        <w:t>The standard states that the values of the val attribute are defined by the XML Schema integer datatype.</w:t>
      </w:r>
    </w:p>
    <w:p w:rsidR="00024C0A" w:rsidRDefault="00694C0F">
      <w:pPr>
        <w:pStyle w:val="Definition-Field2"/>
      </w:pPr>
      <w:r>
        <w:t>Word restricts the va</w:t>
      </w:r>
      <w:r>
        <w:t>lue of this attribute to be at least 0 and at most 3.</w:t>
      </w:r>
    </w:p>
    <w:p w:rsidR="00024C0A" w:rsidRDefault="00694C0F">
      <w:pPr>
        <w:pStyle w:val="Definition-Field"/>
      </w:pPr>
      <w:r>
        <w:t xml:space="preserve">b.   </w:t>
      </w:r>
      <w:r>
        <w:rPr>
          <w:i/>
        </w:rPr>
        <w:t>The standard says the default for tblStyleColBandSize is 1.</w:t>
      </w:r>
    </w:p>
    <w:p w:rsidR="00024C0A" w:rsidRDefault="00694C0F">
      <w:pPr>
        <w:pStyle w:val="Definition-Field2"/>
      </w:pPr>
      <w:r>
        <w:t>Word uses 0 as the default for tblStyleColBandSize.</w:t>
      </w:r>
    </w:p>
    <w:p w:rsidR="00024C0A" w:rsidRDefault="00694C0F">
      <w:pPr>
        <w:pStyle w:val="Definition-Field"/>
      </w:pPr>
      <w:r>
        <w:t xml:space="preserve">c.   </w:t>
      </w:r>
      <w:r>
        <w:rPr>
          <w:i/>
        </w:rPr>
        <w:t>The standard does not specify the meaning if tblStyleColBandSize is set to 0.</w:t>
      </w:r>
    </w:p>
    <w:p w:rsidR="00024C0A" w:rsidRDefault="00694C0F">
      <w:pPr>
        <w:pStyle w:val="Definition-Field2"/>
      </w:pPr>
      <w:r>
        <w:t>If</w:t>
      </w:r>
      <w:r>
        <w:t xml:space="preserve"> tblStyleColBandSize is set to 0, Word does not apply any banded column conditional formatting.</w:t>
      </w:r>
    </w:p>
    <w:p w:rsidR="00024C0A" w:rsidRDefault="00694C0F">
      <w:pPr>
        <w:pStyle w:val="Heading3"/>
      </w:pPr>
      <w:bookmarkStart w:id="519" w:name="section_2ac331d4cf1e4fa08bca6da74411e284"/>
      <w:bookmarkStart w:id="520" w:name="_Toc12260320"/>
      <w:r>
        <w:t>Part 1 Section 17.7.6.6, tblStylePr (Style Conditional Table Formatting Properties)</w:t>
      </w:r>
      <w:bookmarkEnd w:id="519"/>
      <w:bookmarkEnd w:id="520"/>
      <w:r>
        <w:fldChar w:fldCharType="begin"/>
      </w:r>
      <w:r>
        <w:instrText xml:space="preserve"> XE "tblStylePr (Style Conditional Table Formatting Properties)" </w:instrText>
      </w:r>
      <w:r>
        <w:fldChar w:fldCharType="end"/>
      </w:r>
    </w:p>
    <w:p w:rsidR="00024C0A" w:rsidRDefault="00694C0F">
      <w:pPr>
        <w:pStyle w:val="Definition-Field"/>
      </w:pPr>
      <w:r>
        <w:t xml:space="preserve">a.    </w:t>
      </w:r>
      <w:r>
        <w:rPr>
          <w:i/>
        </w:rPr>
        <w:t>The</w:t>
      </w:r>
      <w:r>
        <w:rPr>
          <w:i/>
        </w:rPr>
        <w:t xml:space="preserve"> standard specifies the precedence order in which conditional formatting should be applied.</w:t>
      </w:r>
    </w:p>
    <w:p w:rsidR="00024C0A" w:rsidRDefault="00694C0F">
      <w:r>
        <w:t>When specified, Office applies conditional formats in the following order (therefore subsequent formats override properties on previous formats):</w:t>
      </w:r>
    </w:p>
    <w:p w:rsidR="00024C0A" w:rsidRDefault="00694C0F">
      <w:pPr>
        <w:pStyle w:val="ListParagraph"/>
        <w:numPr>
          <w:ilvl w:val="0"/>
          <w:numId w:val="60"/>
        </w:numPr>
        <w:ind w:left="720"/>
        <w:contextualSpacing/>
      </w:pPr>
      <w:r>
        <w:t>Odd row banding, e</w:t>
      </w:r>
      <w:r>
        <w:t>ven row banding</w:t>
      </w:r>
    </w:p>
    <w:p w:rsidR="00024C0A" w:rsidRDefault="00694C0F">
      <w:pPr>
        <w:pStyle w:val="ListParagraph"/>
        <w:numPr>
          <w:ilvl w:val="0"/>
          <w:numId w:val="60"/>
        </w:numPr>
        <w:ind w:left="720"/>
        <w:contextualSpacing/>
      </w:pPr>
      <w:r>
        <w:t>Odd column banding, even column banding</w:t>
      </w:r>
    </w:p>
    <w:p w:rsidR="00024C0A" w:rsidRDefault="00694C0F">
      <w:pPr>
        <w:pStyle w:val="ListParagraph"/>
        <w:numPr>
          <w:ilvl w:val="0"/>
          <w:numId w:val="60"/>
        </w:numPr>
        <w:ind w:left="720"/>
        <w:contextualSpacing/>
      </w:pPr>
      <w:r>
        <w:t>First column, last column</w:t>
      </w:r>
    </w:p>
    <w:p w:rsidR="00024C0A" w:rsidRDefault="00694C0F">
      <w:pPr>
        <w:pStyle w:val="ListParagraph"/>
        <w:numPr>
          <w:ilvl w:val="0"/>
          <w:numId w:val="60"/>
        </w:numPr>
        <w:ind w:left="720"/>
        <w:contextualSpacing/>
      </w:pPr>
      <w:r>
        <w:t>First row, last row</w:t>
      </w:r>
    </w:p>
    <w:p w:rsidR="00024C0A" w:rsidRDefault="00694C0F">
      <w:pPr>
        <w:pStyle w:val="ListParagraph"/>
        <w:numPr>
          <w:ilvl w:val="0"/>
          <w:numId w:val="60"/>
        </w:numPr>
        <w:ind w:left="720"/>
      </w:pPr>
      <w:r>
        <w:t>Top left, top right, bottom left, bottom right</w:t>
      </w:r>
    </w:p>
    <w:p w:rsidR="00024C0A" w:rsidRDefault="00694C0F">
      <w:r>
        <w:t xml:space="preserve">Refer to </w:t>
      </w:r>
      <w:hyperlink w:anchor="Section_3359ff85c4234b9dbe78d1cf96f79486" w:history="1">
        <w:r>
          <w:rPr>
            <w:rStyle w:val="Hyperlink"/>
          </w:rPr>
          <w:t>ST_TblStyleOverrideType, §17.18.89(a)</w:t>
        </w:r>
      </w:hyperlink>
      <w:r>
        <w:t xml:space="preserve"> for information about the conditional formatting values Microsoft Office recognizes.</w:t>
      </w:r>
    </w:p>
    <w:p w:rsidR="00024C0A" w:rsidRDefault="00694C0F">
      <w:pPr>
        <w:pStyle w:val="Heading3"/>
      </w:pPr>
      <w:bookmarkStart w:id="521" w:name="section_77519f5b08b345479f5d0c4d87854220"/>
      <w:bookmarkStart w:id="522" w:name="_Toc12260321"/>
      <w:r>
        <w:t>Part 1 Section 17.7.6.7, tblStyleRowBandSize (Number of Rows in Row Band)</w:t>
      </w:r>
      <w:bookmarkEnd w:id="521"/>
      <w:bookmarkEnd w:id="522"/>
      <w:r>
        <w:fldChar w:fldCharType="begin"/>
      </w:r>
      <w:r>
        <w:instrText xml:space="preserve"> XE "tblStyleRowBandSize (Number of Rows in Row Band)" </w:instrText>
      </w:r>
      <w:r>
        <w:fldChar w:fldCharType="end"/>
      </w:r>
    </w:p>
    <w:p w:rsidR="00024C0A" w:rsidRDefault="00694C0F">
      <w:pPr>
        <w:pStyle w:val="Definition-Field2"/>
      </w:pPr>
      <w:r>
        <w:rPr>
          <w:i/>
        </w:rPr>
        <w:t>For additional notes that apply to this</w:t>
      </w:r>
      <w:r>
        <w:rPr>
          <w:i/>
        </w:rPr>
        <w:t xml:space="preserve">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024C0A" w:rsidRDefault="00694C0F">
      <w:pPr>
        <w:pStyle w:val="Definition-Field"/>
      </w:pPr>
      <w:r>
        <w:t xml:space="preserve">a.   </w:t>
      </w:r>
      <w:r>
        <w:rPr>
          <w:i/>
        </w:rPr>
        <w:t>The standard says the default for tblStyleRowBandSize is 1.</w:t>
      </w:r>
    </w:p>
    <w:p w:rsidR="00024C0A" w:rsidRDefault="00694C0F">
      <w:pPr>
        <w:pStyle w:val="Definition-Field2"/>
      </w:pPr>
      <w:r>
        <w:t>Word uses 0 as the default for tblStyleRowBandSize.</w:t>
      </w:r>
    </w:p>
    <w:p w:rsidR="00024C0A" w:rsidRDefault="00694C0F">
      <w:pPr>
        <w:pStyle w:val="Definition-Field"/>
      </w:pPr>
      <w:r>
        <w:t xml:space="preserve">b.   </w:t>
      </w:r>
      <w:r>
        <w:rPr>
          <w:i/>
        </w:rPr>
        <w:t>The standard does not specify the meaning if tblStyleRowBandSize is set to 0.</w:t>
      </w:r>
    </w:p>
    <w:p w:rsidR="00024C0A" w:rsidRDefault="00694C0F">
      <w:pPr>
        <w:pStyle w:val="Definition-Field2"/>
      </w:pPr>
      <w:r>
        <w:t>If tblStyle</w:t>
      </w:r>
      <w:r>
        <w:t>RowBandSize is set to 0, Word does not apply any banded row conditional formatting.</w:t>
      </w:r>
    </w:p>
    <w:p w:rsidR="00024C0A" w:rsidRDefault="00694C0F">
      <w:pPr>
        <w:pStyle w:val="Definition-Field"/>
      </w:pPr>
      <w:r>
        <w:t xml:space="preserve">c.   </w:t>
      </w:r>
      <w:r>
        <w:rPr>
          <w:i/>
        </w:rPr>
        <w:t>The standard states that the values of the val attribute are defined by the XML Schema integer datatype.</w:t>
      </w:r>
    </w:p>
    <w:p w:rsidR="00024C0A" w:rsidRDefault="00694C0F">
      <w:pPr>
        <w:pStyle w:val="Definition-Field2"/>
      </w:pPr>
      <w:r>
        <w:t>Word restricts the value of this attribute to be at least 0 an</w:t>
      </w:r>
      <w:r>
        <w:t>d at most 3.</w:t>
      </w:r>
    </w:p>
    <w:p w:rsidR="00024C0A" w:rsidRDefault="00694C0F">
      <w:pPr>
        <w:pStyle w:val="Heading3"/>
      </w:pPr>
      <w:bookmarkStart w:id="523" w:name="section_348cf5dd492c4e2b9fe3c4996f8c52e5"/>
      <w:bookmarkStart w:id="524" w:name="_Toc12260322"/>
      <w:r>
        <w:lastRenderedPageBreak/>
        <w:t>Part 1 Section 17.7.6.8, tcPr (Table Style Conditional Formatting Table Cell Properties)</w:t>
      </w:r>
      <w:bookmarkEnd w:id="523"/>
      <w:bookmarkEnd w:id="524"/>
      <w:r>
        <w:fldChar w:fldCharType="begin"/>
      </w:r>
      <w:r>
        <w:instrText xml:space="preserve"> XE "tcPr (Table Style Conditional Formatting Table Cell Properties)" </w:instrText>
      </w:r>
      <w:r>
        <w:fldChar w:fldCharType="end"/>
      </w:r>
    </w:p>
    <w:p w:rsidR="00024C0A" w:rsidRDefault="00694C0F">
      <w:pPr>
        <w:pStyle w:val="Definition-Field"/>
      </w:pPr>
      <w:r>
        <w:t xml:space="preserve">a.   </w:t>
      </w:r>
      <w:r>
        <w:rPr>
          <w:i/>
        </w:rPr>
        <w:t>The standard says the properties in this element apply to the table regions s</w:t>
      </w:r>
      <w:r>
        <w:rPr>
          <w:i/>
        </w:rPr>
        <w:t>pecified by the conditional formatting setting.</w:t>
      </w:r>
    </w:p>
    <w:p w:rsidR="00024C0A" w:rsidRDefault="00694C0F">
      <w:pPr>
        <w:pStyle w:val="Definition-Field2"/>
      </w:pPr>
      <w:r>
        <w:t>In Word, the noWrap, tcMar, and vAlign elements in this element always apply to entire table rows, even if the parent tblStylePr specifies the formatting should be applied to columns or a particular cell.</w:t>
      </w:r>
    </w:p>
    <w:p w:rsidR="00024C0A" w:rsidRDefault="00694C0F">
      <w:pPr>
        <w:pStyle w:val="Definition-Field"/>
      </w:pPr>
      <w:r>
        <w:t xml:space="preserve">b. </w:t>
      </w:r>
      <w:r>
        <w:t xml:space="preserve">  </w:t>
      </w:r>
      <w:r>
        <w:rPr>
          <w:i/>
        </w:rPr>
        <w:t>The standard states that the cellDel, cellIns, cellMerge, cnfStyle, gridSpan, hideMark, hMerge, tcFitText, tcPrChange, tcW, textDirection, and vMerge elements are valid child elements of the tcPr element.</w:t>
      </w:r>
    </w:p>
    <w:p w:rsidR="00024C0A" w:rsidRDefault="00694C0F">
      <w:pPr>
        <w:pStyle w:val="Definition-Field2"/>
      </w:pPr>
      <w:r>
        <w:t>Word does not allow these elements to be child el</w:t>
      </w:r>
      <w:r>
        <w:t>ements of the tcPr element.</w:t>
      </w:r>
    </w:p>
    <w:p w:rsidR="00024C0A" w:rsidRDefault="00694C0F">
      <w:pPr>
        <w:pStyle w:val="Heading3"/>
      </w:pPr>
      <w:bookmarkStart w:id="525" w:name="section_9e742550b4384b9d96064ae34d83830f"/>
      <w:bookmarkStart w:id="526" w:name="_Toc12260323"/>
      <w:r>
        <w:t>Part 1 Section 17.7.6.9, tcPr (Style Table Cell Properties)</w:t>
      </w:r>
      <w:bookmarkEnd w:id="525"/>
      <w:bookmarkEnd w:id="526"/>
      <w:r>
        <w:fldChar w:fldCharType="begin"/>
      </w:r>
      <w:r>
        <w:instrText xml:space="preserve"> XE "tcPr (Style Table Cell Properties)" </w:instrText>
      </w:r>
      <w:r>
        <w:fldChar w:fldCharType="end"/>
      </w:r>
    </w:p>
    <w:p w:rsidR="00024C0A" w:rsidRDefault="00694C0F">
      <w:pPr>
        <w:pStyle w:val="Definition-Field"/>
      </w:pPr>
      <w:r>
        <w:t xml:space="preserve">a.   </w:t>
      </w:r>
      <w:r>
        <w:rPr>
          <w:i/>
        </w:rPr>
        <w:t>The standard allows all table cell properties in table styles.</w:t>
      </w:r>
    </w:p>
    <w:p w:rsidR="00024C0A" w:rsidRDefault="00694C0F">
      <w:pPr>
        <w:pStyle w:val="Definition-Field2"/>
      </w:pPr>
      <w:r>
        <w:t>Word does not allow cellDel, cellIns, cellMerge, cnfStyle</w:t>
      </w:r>
      <w:r>
        <w:t>, gridSpan, hideMark, hMerge, tcFitText, tcPrChange, tcW, textDirection, and vMerge in table styles.</w:t>
      </w:r>
    </w:p>
    <w:p w:rsidR="00024C0A" w:rsidRDefault="00694C0F">
      <w:pPr>
        <w:pStyle w:val="Definition-Field"/>
      </w:pPr>
      <w:r>
        <w:t xml:space="preserve">b.   </w:t>
      </w:r>
      <w:r>
        <w:rPr>
          <w:i/>
        </w:rPr>
        <w:t>The standard allows tcBorders elements in a table style for table-wide cell properties.</w:t>
      </w:r>
    </w:p>
    <w:p w:rsidR="00024C0A" w:rsidRDefault="00694C0F">
      <w:pPr>
        <w:pStyle w:val="Definition-Field2"/>
      </w:pPr>
      <w:r>
        <w:t>Word does not allow the tcBorders elements in a table style fo</w:t>
      </w:r>
      <w:r>
        <w:t>r table-wide cell properties.</w:t>
      </w:r>
    </w:p>
    <w:p w:rsidR="00024C0A" w:rsidRDefault="00694C0F">
      <w:pPr>
        <w:pStyle w:val="Heading3"/>
      </w:pPr>
      <w:bookmarkStart w:id="527" w:name="section_c78643db45244582bab3b93a2dd7b94a"/>
      <w:bookmarkStart w:id="528" w:name="_Toc12260324"/>
      <w:r>
        <w:t>Part 1 Section 17.7.6.10, trPr (Table Style Conditional Formatting Table Row Properties)</w:t>
      </w:r>
      <w:bookmarkEnd w:id="527"/>
      <w:bookmarkEnd w:id="528"/>
      <w:r>
        <w:fldChar w:fldCharType="begin"/>
      </w:r>
      <w:r>
        <w:instrText xml:space="preserve"> XE "trPr (Table Style Conditional Formatting Table Row Properties)" </w:instrText>
      </w:r>
      <w:r>
        <w:fldChar w:fldCharType="end"/>
      </w:r>
    </w:p>
    <w:p w:rsidR="00024C0A" w:rsidRDefault="00694C0F">
      <w:pPr>
        <w:pStyle w:val="Definition-Field2"/>
      </w:pPr>
      <w:r>
        <w:rPr>
          <w:i/>
        </w:rPr>
        <w:t>For additional notes that apply to this portion of the standard, p</w:t>
      </w:r>
      <w:r>
        <w:rPr>
          <w:i/>
        </w:rPr>
        <w:t xml:space="preserve">lease see the notes for </w:t>
      </w:r>
      <w:hyperlink w:anchor="Section_953ded84289041e2b60711dc9c658a54">
        <w:r>
          <w:rPr>
            <w:rStyle w:val="Hyperlink"/>
          </w:rPr>
          <w:t>trPrChange, §17.13.5.37(a)</w:t>
        </w:r>
      </w:hyperlink>
      <w:r>
        <w:rPr>
          <w:i/>
        </w:rPr>
        <w:t>.</w:t>
      </w:r>
    </w:p>
    <w:p w:rsidR="00024C0A" w:rsidRDefault="00694C0F">
      <w:pPr>
        <w:pStyle w:val="Definition-Field"/>
      </w:pPr>
      <w:r>
        <w:t xml:space="preserve">a.   </w:t>
      </w:r>
      <w:r>
        <w:rPr>
          <w:i/>
        </w:rPr>
        <w:t>The standard allows hidden as a child or trPr in a table style.</w:t>
      </w:r>
    </w:p>
    <w:p w:rsidR="00024C0A" w:rsidRDefault="00694C0F">
      <w:pPr>
        <w:pStyle w:val="Definition-Field2"/>
      </w:pPr>
      <w:r>
        <w:t>Word ignores hidden if it is a child of trPr in a table style.</w:t>
      </w:r>
    </w:p>
    <w:p w:rsidR="00024C0A" w:rsidRDefault="00694C0F">
      <w:pPr>
        <w:pStyle w:val="Definition-Field"/>
      </w:pPr>
      <w:r>
        <w:t xml:space="preserve">b.   </w:t>
      </w:r>
      <w:r>
        <w:rPr>
          <w:i/>
        </w:rPr>
        <w:t xml:space="preserve">The </w:t>
      </w:r>
      <w:r>
        <w:rPr>
          <w:i/>
        </w:rPr>
        <w:t>standard states that the cnfStyle, del, divId, gridAfter, gridBefore, ins, trHeight, trPrChange, wAfter, and wBefore elements are valid child elements of the trPr element.</w:t>
      </w:r>
    </w:p>
    <w:p w:rsidR="00024C0A" w:rsidRDefault="00694C0F">
      <w:pPr>
        <w:pStyle w:val="Definition-Field2"/>
      </w:pPr>
      <w:r>
        <w:t>Word does not allow these elements to be child elements of the trPr element.</w:t>
      </w:r>
    </w:p>
    <w:p w:rsidR="00024C0A" w:rsidRDefault="00694C0F">
      <w:pPr>
        <w:pStyle w:val="Heading3"/>
      </w:pPr>
      <w:bookmarkStart w:id="529" w:name="section_36064a5b267d4a27a567453d8b96a5b3"/>
      <w:bookmarkStart w:id="530" w:name="_Toc12260325"/>
      <w:r>
        <w:t>Part 1 Section 17.7.6.11, trPr (Style Table Row Properties)</w:t>
      </w:r>
      <w:bookmarkEnd w:id="529"/>
      <w:bookmarkEnd w:id="530"/>
      <w:r>
        <w:fldChar w:fldCharType="begin"/>
      </w:r>
      <w:r>
        <w:instrText xml:space="preserve"> XE "trPr (Style Table Row Properties)" </w:instrText>
      </w:r>
      <w:r>
        <w:fldChar w:fldCharType="end"/>
      </w:r>
    </w:p>
    <w:p w:rsidR="00024C0A" w:rsidRDefault="00694C0F">
      <w:pPr>
        <w:pStyle w:val="Definition-Field"/>
      </w:pPr>
      <w:r>
        <w:t xml:space="preserve">a.   </w:t>
      </w:r>
      <w:r>
        <w:rPr>
          <w:i/>
        </w:rPr>
        <w:t>The standard states that the cnfStyle, del, divId, gridAfter, gridBefore, ins, trHeight, trPrChange, wAfter, and wBefore elements are valid child ele</w:t>
      </w:r>
      <w:r>
        <w:rPr>
          <w:i/>
        </w:rPr>
        <w:t>ments of the trPr element.</w:t>
      </w:r>
    </w:p>
    <w:p w:rsidR="00024C0A" w:rsidRDefault="00694C0F">
      <w:pPr>
        <w:pStyle w:val="Definition-Field2"/>
      </w:pPr>
      <w:r>
        <w:t>Word does not allow these elements to be child elements of the trPr element.</w:t>
      </w:r>
    </w:p>
    <w:p w:rsidR="00024C0A" w:rsidRDefault="00694C0F">
      <w:pPr>
        <w:pStyle w:val="Definition-Field"/>
      </w:pPr>
      <w:r>
        <w:t xml:space="preserve">b.   </w:t>
      </w:r>
      <w:r>
        <w:rPr>
          <w:i/>
        </w:rPr>
        <w:t>The standard allows hidden as a child of trPr in a table style.</w:t>
      </w:r>
    </w:p>
    <w:p w:rsidR="00024C0A" w:rsidRDefault="00694C0F">
      <w:pPr>
        <w:pStyle w:val="Definition-Field2"/>
      </w:pPr>
      <w:r>
        <w:t>Word ignores hidden as a child of trPr in a table style.</w:t>
      </w:r>
    </w:p>
    <w:p w:rsidR="00024C0A" w:rsidRDefault="00694C0F">
      <w:pPr>
        <w:pStyle w:val="Heading3"/>
      </w:pPr>
      <w:bookmarkStart w:id="531" w:name="section_bd62641d7786473f872d4b3205e91a82"/>
      <w:bookmarkStart w:id="532" w:name="_Toc12260326"/>
      <w:r>
        <w:t>Part 1 Section 17.7.8, Par</w:t>
      </w:r>
      <w:r>
        <w:t>agraph Styles</w:t>
      </w:r>
      <w:bookmarkEnd w:id="531"/>
      <w:bookmarkEnd w:id="532"/>
      <w:r>
        <w:fldChar w:fldCharType="begin"/>
      </w:r>
      <w:r>
        <w:instrText xml:space="preserve"> XE "Paragraph Styles" </w:instrText>
      </w:r>
      <w:r>
        <w:fldChar w:fldCharType="end"/>
      </w:r>
    </w:p>
    <w:p w:rsidR="00024C0A" w:rsidRDefault="00694C0F">
      <w:pPr>
        <w:pStyle w:val="Definition-Field"/>
      </w:pPr>
      <w:r>
        <w:t xml:space="preserve">a.   </w:t>
      </w:r>
      <w:r>
        <w:rPr>
          <w:i/>
        </w:rPr>
        <w:t>The standard specifies that the resolved value of the toggle properties will toggle the previous level (True) or leave it unchanged (False) when present in a paragraph style.</w:t>
      </w:r>
    </w:p>
    <w:p w:rsidR="00024C0A" w:rsidRDefault="00694C0F">
      <w:pPr>
        <w:pStyle w:val="Definition-Field2"/>
      </w:pPr>
      <w:r>
        <w:lastRenderedPageBreak/>
        <w:t>Word resets the value of the toggle p</w:t>
      </w:r>
      <w:r>
        <w:t>roperty to the value specified by the paragraph style if a value is present; for example, a value of 1 resets the property's state to True instead of toggling it.</w:t>
      </w:r>
    </w:p>
    <w:p w:rsidR="00024C0A" w:rsidRDefault="00694C0F">
      <w:pPr>
        <w:pStyle w:val="Heading3"/>
      </w:pPr>
      <w:bookmarkStart w:id="533" w:name="section_03bd6b70ee1a457885a1b4207bbb34ce"/>
      <w:bookmarkStart w:id="534" w:name="_Toc12260327"/>
      <w:r>
        <w:t>Part 1 Section 17.7.8.2, pPr (Style Paragraph Properties)</w:t>
      </w:r>
      <w:bookmarkEnd w:id="533"/>
      <w:bookmarkEnd w:id="534"/>
      <w:r>
        <w:fldChar w:fldCharType="begin"/>
      </w:r>
      <w:r>
        <w:instrText xml:space="preserve"> XE "pPr (Style Paragraph Properties</w:instrText>
      </w:r>
      <w:r>
        <w:instrText xml:space="preserve">)" </w:instrText>
      </w:r>
      <w:r>
        <w:fldChar w:fldCharType="end"/>
      </w:r>
    </w:p>
    <w:p w:rsidR="00024C0A" w:rsidRDefault="00694C0F">
      <w:pPr>
        <w:pStyle w:val="Definition-Field"/>
      </w:pPr>
      <w:r>
        <w:t xml:space="preserve">a.   </w:t>
      </w:r>
      <w:r>
        <w:rPr>
          <w:i/>
        </w:rPr>
        <w:t>The standard states that the cnfStyle, divId, pStyle, rPr, and sectPr elements are valid child elements of the pPr element.</w:t>
      </w:r>
    </w:p>
    <w:p w:rsidR="00024C0A" w:rsidRDefault="00694C0F">
      <w:pPr>
        <w:pStyle w:val="Definition-Field2"/>
      </w:pPr>
      <w:r>
        <w:t>Word does not allow these elements to be child elements of the pPr element.</w:t>
      </w:r>
    </w:p>
    <w:p w:rsidR="00024C0A" w:rsidRDefault="00694C0F">
      <w:pPr>
        <w:pStyle w:val="Definition-Field"/>
      </w:pPr>
      <w:r>
        <w:t xml:space="preserve">b.   </w:t>
      </w:r>
      <w:r>
        <w:rPr>
          <w:i/>
        </w:rPr>
        <w:t>The standard allows framePr, suppressOve</w:t>
      </w:r>
      <w:r>
        <w:rPr>
          <w:i/>
        </w:rPr>
        <w:t>rlap, and textDirection as child elements of pPr in a style.</w:t>
      </w:r>
    </w:p>
    <w:p w:rsidR="00024C0A" w:rsidRDefault="00694C0F">
      <w:pPr>
        <w:pStyle w:val="Definition-Field2"/>
      </w:pPr>
      <w:r>
        <w:t>Word does not allow framePr, suppressOverlap, and textDirection as child elements in a style and may fail to load such a file.</w:t>
      </w:r>
    </w:p>
    <w:p w:rsidR="00024C0A" w:rsidRDefault="00694C0F">
      <w:pPr>
        <w:pStyle w:val="Heading3"/>
      </w:pPr>
      <w:bookmarkStart w:id="535" w:name="section_0f36799f599e449b8d9dcd42c9c6e41f"/>
      <w:bookmarkStart w:id="536" w:name="_Toc12260328"/>
      <w:r>
        <w:t>Part 1 Section 17.7.9.1, rPr (Run Properties)</w:t>
      </w:r>
      <w:bookmarkEnd w:id="535"/>
      <w:bookmarkEnd w:id="536"/>
      <w:r>
        <w:fldChar w:fldCharType="begin"/>
      </w:r>
      <w:r>
        <w:instrText xml:space="preserve"> XE "rPr (Run Propertie</w:instrText>
      </w:r>
      <w:r>
        <w:instrText xml:space="preserve">s)" </w:instrText>
      </w:r>
      <w:r>
        <w:fldChar w:fldCharType="end"/>
      </w:r>
    </w:p>
    <w:p w:rsidR="00024C0A" w:rsidRDefault="00694C0F">
      <w:pPr>
        <w:pStyle w:val="Definition-Field"/>
      </w:pPr>
      <w:r>
        <w:t xml:space="preserve">a.   </w:t>
      </w:r>
      <w:r>
        <w:rPr>
          <w:i/>
        </w:rPr>
        <w:t>The standard states that the cs, highlight, oMath, rStyle, and rtl elements are valid child elements of the rPr element.</w:t>
      </w:r>
    </w:p>
    <w:p w:rsidR="00024C0A" w:rsidRDefault="00694C0F">
      <w:pPr>
        <w:pStyle w:val="Definition-Field2"/>
      </w:pPr>
      <w:r>
        <w:t>Word does not allow these elements to be child elements of the rPr element.</w:t>
      </w:r>
    </w:p>
    <w:p w:rsidR="00024C0A" w:rsidRDefault="00694C0F">
      <w:pPr>
        <w:pStyle w:val="Heading3"/>
      </w:pPr>
      <w:bookmarkStart w:id="537" w:name="section_09b83e1530de481d8ddf777107d4122e"/>
      <w:bookmarkStart w:id="538" w:name="_Toc12260329"/>
      <w:r>
        <w:t>Part 1 Section 17.8, Fonts</w:t>
      </w:r>
      <w:bookmarkEnd w:id="537"/>
      <w:bookmarkEnd w:id="538"/>
      <w:r>
        <w:fldChar w:fldCharType="begin"/>
      </w:r>
      <w:r>
        <w:instrText xml:space="preserve"> XE "Fonts" </w:instrText>
      </w:r>
      <w:r>
        <w:fldChar w:fldCharType="end"/>
      </w:r>
    </w:p>
    <w:p w:rsidR="00024C0A" w:rsidRDefault="00694C0F">
      <w:pPr>
        <w:pStyle w:val="Definition-Field"/>
      </w:pPr>
      <w:r>
        <w:t xml:space="preserve">a.   </w:t>
      </w:r>
      <w:r>
        <w:rPr>
          <w:i/>
        </w:rPr>
        <w:t>T</w:t>
      </w:r>
      <w:r>
        <w:rPr>
          <w:i/>
        </w:rPr>
        <w:t>he standard states that when a font is unavailable, font substitution elements may not be modified.</w:t>
      </w:r>
    </w:p>
    <w:p w:rsidR="00024C0A" w:rsidRDefault="00694C0F">
      <w:pPr>
        <w:pStyle w:val="Definition-Field2"/>
      </w:pPr>
      <w:r>
        <w:t>Word can modify the font substitution elements (altName, panose1, charset, family, notTrueType, pitch, sig) if a font with the same name has been loaded bef</w:t>
      </w:r>
      <w:r>
        <w:t>ore in the same application session.</w:t>
      </w:r>
    </w:p>
    <w:p w:rsidR="00024C0A" w:rsidRDefault="00694C0F">
      <w:pPr>
        <w:pStyle w:val="Definition-Field"/>
      </w:pPr>
      <w:r>
        <w:t xml:space="preserve">b.   </w:t>
      </w:r>
      <w:r>
        <w:rPr>
          <w:i/>
        </w:rPr>
        <w:t>The standard does not state that different forms of embedded font types must be from the same font.</w:t>
      </w:r>
    </w:p>
    <w:p w:rsidR="00024C0A" w:rsidRDefault="00694C0F">
      <w:r>
        <w:t xml:space="preserve">Word can only display one embedded font per font name.  If </w:t>
      </w:r>
      <w:r>
        <w:rPr>
          <w:b/>
        </w:rPr>
        <w:t>embedRegular</w:t>
      </w:r>
      <w:r>
        <w:t xml:space="preserve"> ("</w:t>
      </w:r>
      <w:hyperlink r:id="rId92">
        <w:r>
          <w:rPr>
            <w:rStyle w:val="Hyperlink"/>
          </w:rPr>
          <w:t>[ISO/IEC-29500-1]</w:t>
        </w:r>
      </w:hyperlink>
      <w:r>
        <w:t xml:space="preserve"> §17.8.3.6; embedRegular"), </w:t>
      </w:r>
      <w:r>
        <w:rPr>
          <w:b/>
        </w:rPr>
        <w:t>embedBold</w:t>
      </w:r>
      <w:r>
        <w:t xml:space="preserve"> (“"[ISO/IEC-29500-1] §17.8.3.3; embedBold"), </w:t>
      </w:r>
      <w:r>
        <w:rPr>
          <w:b/>
        </w:rPr>
        <w:t>embedItalic</w:t>
      </w:r>
      <w:r>
        <w:t xml:space="preserve"> (“"[ISO/IEC-29500-1] §17.8.3.5; embedItalic") or </w:t>
      </w:r>
      <w:r>
        <w:rPr>
          <w:b/>
        </w:rPr>
        <w:t>embedBoldItalic</w:t>
      </w:r>
      <w:r>
        <w:t xml:space="preserve"> (“"[ISO/IEC-29500-1] §17.8.3.4; embedBoldItalic") spe</w:t>
      </w:r>
      <w:r>
        <w:t xml:space="preserve">cify different fonts, only one of these fonts will be used to display all variations. If multiple documents are loaded which specify different embedded fonts for a given font name, only one embedded font will be used to display all variations of such font </w:t>
      </w:r>
      <w:r>
        <w:t xml:space="preserve">across all documents.  When Word saves a document; </w:t>
      </w:r>
      <w:r>
        <w:rPr>
          <w:b/>
        </w:rPr>
        <w:t>embedRegular</w:t>
      </w:r>
      <w:r>
        <w:t xml:space="preserve">, </w:t>
      </w:r>
      <w:r>
        <w:rPr>
          <w:b/>
        </w:rPr>
        <w:t>embedBold</w:t>
      </w:r>
      <w:r>
        <w:t xml:space="preserve">, </w:t>
      </w:r>
      <w:r>
        <w:rPr>
          <w:b/>
        </w:rPr>
        <w:t>embedItalic</w:t>
      </w:r>
      <w:r>
        <w:t xml:space="preserve"> and </w:t>
      </w:r>
      <w:r>
        <w:rPr>
          <w:b/>
        </w:rPr>
        <w:t>embedBoldItalic</w:t>
      </w:r>
      <w:r>
        <w:t xml:space="preserve"> will all be embedded forms of the same font.</w:t>
      </w:r>
    </w:p>
    <w:p w:rsidR="00024C0A" w:rsidRDefault="00694C0F">
      <w:pPr>
        <w:pStyle w:val="Heading3"/>
      </w:pPr>
      <w:bookmarkStart w:id="539" w:name="section_f7c44a603d384925893457d77c277e84"/>
      <w:bookmarkStart w:id="540" w:name="_Toc12260330"/>
      <w:r>
        <w:t>Part 1 Section 17.8.3.1, altName (Alternate Names for Font)</w:t>
      </w:r>
      <w:bookmarkEnd w:id="539"/>
      <w:bookmarkEnd w:id="540"/>
      <w:r>
        <w:fldChar w:fldCharType="begin"/>
      </w:r>
      <w:r>
        <w:instrText xml:space="preserve"> XE "altName (Alternate Names for Font)" </w:instrText>
      </w:r>
      <w:r>
        <w:fldChar w:fldCharType="end"/>
      </w:r>
    </w:p>
    <w:p w:rsidR="00024C0A" w:rsidRDefault="00694C0F">
      <w:pPr>
        <w:pStyle w:val="Definition-Field"/>
      </w:pPr>
      <w:r>
        <w:t xml:space="preserve">a.   </w:t>
      </w:r>
      <w:r>
        <w:rPr>
          <w:i/>
        </w:rPr>
        <w:t>The standard describes the altName element as a set of alternative names given as comma-delimited list.</w:t>
      </w:r>
    </w:p>
    <w:p w:rsidR="00024C0A" w:rsidRDefault="00694C0F">
      <w:pPr>
        <w:pStyle w:val="Definition-Field2"/>
      </w:pPr>
      <w:r>
        <w:t>Word does not split values on commas or anything else; instead, it treats the entire value as a single alternate font name.</w:t>
      </w:r>
    </w:p>
    <w:p w:rsidR="00024C0A" w:rsidRDefault="00694C0F">
      <w:pPr>
        <w:pStyle w:val="Definition-Field"/>
      </w:pPr>
      <w:r>
        <w:t xml:space="preserve">b.   </w:t>
      </w:r>
      <w:r>
        <w:rPr>
          <w:i/>
        </w:rPr>
        <w:t xml:space="preserve">The standard does </w:t>
      </w:r>
      <w:r>
        <w:rPr>
          <w:i/>
        </w:rPr>
        <w:t>not limit the length of the value of the val attribute.</w:t>
      </w:r>
    </w:p>
    <w:p w:rsidR="00024C0A" w:rsidRDefault="00694C0F">
      <w:pPr>
        <w:pStyle w:val="Definition-Field2"/>
      </w:pPr>
      <w:r>
        <w:t>Word restricts the value of this attribute to be at most 31 characters.</w:t>
      </w:r>
    </w:p>
    <w:p w:rsidR="00024C0A" w:rsidRDefault="00694C0F">
      <w:pPr>
        <w:pStyle w:val="Definition-Field"/>
      </w:pPr>
      <w:r>
        <w:t xml:space="preserve">c.   </w:t>
      </w:r>
      <w:r>
        <w:rPr>
          <w:i/>
        </w:rPr>
        <w:t>The standard states that the value of the altName element does not change when resaving a document.</w:t>
      </w:r>
    </w:p>
    <w:p w:rsidR="00024C0A" w:rsidRDefault="00694C0F">
      <w:pPr>
        <w:pStyle w:val="Definition-Field2"/>
      </w:pPr>
      <w:r>
        <w:lastRenderedPageBreak/>
        <w:t xml:space="preserve">Word removes the </w:t>
      </w:r>
      <w:r>
        <w:t>altName element for system fonts, keeps it for other fonts the first time they are loaded in the session, and reverts them to the previous value for subsequent times they are loaded in the session.</w:t>
      </w:r>
    </w:p>
    <w:p w:rsidR="00024C0A" w:rsidRDefault="00694C0F">
      <w:pPr>
        <w:pStyle w:val="Definition-Field"/>
      </w:pPr>
      <w:r>
        <w:t xml:space="preserve">d.   </w:t>
      </w:r>
      <w:r>
        <w:rPr>
          <w:i/>
        </w:rPr>
        <w:t xml:space="preserve">The standard states that the value of the altName </w:t>
      </w:r>
      <w:r>
        <w:rPr>
          <w:i/>
        </w:rPr>
        <w:t>element does not change when resaving a document.</w:t>
      </w:r>
    </w:p>
    <w:p w:rsidR="00024C0A" w:rsidRDefault="00694C0F">
      <w:pPr>
        <w:pStyle w:val="Definition-Field2"/>
      </w:pPr>
      <w:r>
        <w:t>When Word resolves an unknown font, it changes the value of the altName element to the font to which it was resolved, whether altName had a value before or not.</w:t>
      </w:r>
    </w:p>
    <w:p w:rsidR="00024C0A" w:rsidRDefault="00694C0F">
      <w:pPr>
        <w:pStyle w:val="Heading3"/>
      </w:pPr>
      <w:bookmarkStart w:id="541" w:name="section_52357dd845fc4d83b9aa87787d22666a"/>
      <w:bookmarkStart w:id="542" w:name="_Toc12260331"/>
      <w:r>
        <w:t>Part 1 Section 17.8.3.2, charset (Character S</w:t>
      </w:r>
      <w:r>
        <w:t>et Supported By Font)</w:t>
      </w:r>
      <w:bookmarkEnd w:id="541"/>
      <w:bookmarkEnd w:id="542"/>
      <w:r>
        <w:fldChar w:fldCharType="begin"/>
      </w:r>
      <w:r>
        <w:instrText xml:space="preserve"> XE "charset (Character Set Supported By Font)" </w:instrText>
      </w:r>
      <w:r>
        <w:fldChar w:fldCharType="end"/>
      </w:r>
    </w:p>
    <w:p w:rsidR="00024C0A" w:rsidRDefault="00694C0F">
      <w:pPr>
        <w:pStyle w:val="Definition-Field"/>
      </w:pPr>
      <w:r>
        <w:t xml:space="preserve">a.   </w:t>
      </w:r>
      <w:r>
        <w:rPr>
          <w:i/>
        </w:rPr>
        <w:t>The standard states that when a font is unavailable the charset element shall not be modified.</w:t>
      </w:r>
    </w:p>
    <w:p w:rsidR="00024C0A" w:rsidRDefault="00694C0F">
      <w:pPr>
        <w:pStyle w:val="Definition-Field2"/>
      </w:pPr>
      <w:r>
        <w:t>Word can modify the charset element of an unavailable font if a font with the same n</w:t>
      </w:r>
      <w:r>
        <w:t>ame has been loaded before in the same Word instance.</w:t>
      </w:r>
    </w:p>
    <w:p w:rsidR="00024C0A" w:rsidRDefault="00694C0F">
      <w:pPr>
        <w:pStyle w:val="Definition-Field"/>
      </w:pPr>
      <w:r>
        <w:t xml:space="preserve">b.   </w:t>
      </w:r>
      <w:r>
        <w:rPr>
          <w:i/>
        </w:rPr>
        <w:t>The standard specifies that the characterSet attribute is a valid attribute of the charset element.</w:t>
      </w:r>
    </w:p>
    <w:p w:rsidR="00024C0A" w:rsidRDefault="00694C0F">
      <w:pPr>
        <w:pStyle w:val="Definition-Field2"/>
      </w:pPr>
      <w:r>
        <w:t>Word ignores the characterSet attribute.</w:t>
      </w:r>
    </w:p>
    <w:p w:rsidR="00024C0A" w:rsidRDefault="00694C0F">
      <w:pPr>
        <w:pStyle w:val="Heading3"/>
      </w:pPr>
      <w:bookmarkStart w:id="543" w:name="section_6fbd8de94638407883b94c7a065baa9c"/>
      <w:bookmarkStart w:id="544" w:name="_Toc12260332"/>
      <w:r>
        <w:t>Part 1 Section 17.8.3.3, embedBold (Bold Style Font Styl</w:t>
      </w:r>
      <w:r>
        <w:t>e Embedding)</w:t>
      </w:r>
      <w:bookmarkEnd w:id="543"/>
      <w:bookmarkEnd w:id="544"/>
      <w:r>
        <w:fldChar w:fldCharType="begin"/>
      </w:r>
      <w:r>
        <w:instrText xml:space="preserve"> XE "embedBold (Bold Style Font Style Embedding)"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024C0A" w:rsidRDefault="00694C0F">
      <w:pPr>
        <w:pStyle w:val="Heading3"/>
      </w:pPr>
      <w:bookmarkStart w:id="545" w:name="section_dbbfc4ff54c04dbcaebae872109c43e8"/>
      <w:bookmarkStart w:id="546" w:name="_Toc12260333"/>
      <w:r>
        <w:t xml:space="preserve">Part </w:t>
      </w:r>
      <w:r>
        <w:t>1 Section 17.8.3.4, embedBoldItalic (Bold Italic Font Style Embedding)</w:t>
      </w:r>
      <w:bookmarkEnd w:id="545"/>
      <w:bookmarkEnd w:id="546"/>
      <w:r>
        <w:fldChar w:fldCharType="begin"/>
      </w:r>
      <w:r>
        <w:instrText xml:space="preserve"> XE "embedBoldItalic (Bold Italic Font Style Embedding)"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024C0A" w:rsidRDefault="00694C0F">
      <w:pPr>
        <w:pStyle w:val="Heading3"/>
      </w:pPr>
      <w:bookmarkStart w:id="547" w:name="section_6da0671b0642486684113e94da64d2d8"/>
      <w:bookmarkStart w:id="548" w:name="_Toc12260334"/>
      <w:r>
        <w:t>Part 1 Section 17.8.3.5, embedItalic (Italic Font Style Embedding)</w:t>
      </w:r>
      <w:bookmarkEnd w:id="547"/>
      <w:bookmarkEnd w:id="548"/>
      <w:r>
        <w:fldChar w:fldCharType="begin"/>
      </w:r>
      <w:r>
        <w:instrText xml:space="preserve"> XE "embedItalic (Italic Font Style Embedding)" </w:instrText>
      </w:r>
      <w:r>
        <w:fldChar w:fldCharType="end"/>
      </w:r>
    </w:p>
    <w:p w:rsidR="00024C0A" w:rsidRDefault="00694C0F">
      <w:pPr>
        <w:pStyle w:val="Definition-Field2"/>
      </w:pPr>
      <w:r>
        <w:rPr>
          <w:i/>
        </w:rPr>
        <w:t>For additional notes that apply to this portion of the standard, please see the</w:t>
      </w:r>
      <w:r>
        <w:rPr>
          <w:i/>
        </w:rPr>
        <w:t xml:space="preserve"> notes for </w:t>
      </w:r>
      <w:hyperlink w:anchor="Section_55e01b00ed934498b4e5b0bc0abdf97d">
        <w:r>
          <w:rPr>
            <w:rStyle w:val="Hyperlink"/>
          </w:rPr>
          <w:t>attachedTemplate, §17.15.1.6(a)</w:t>
        </w:r>
      </w:hyperlink>
      <w:r>
        <w:rPr>
          <w:i/>
        </w:rPr>
        <w:t>.</w:t>
      </w:r>
    </w:p>
    <w:p w:rsidR="00024C0A" w:rsidRDefault="00694C0F">
      <w:pPr>
        <w:pStyle w:val="Heading3"/>
      </w:pPr>
      <w:bookmarkStart w:id="549" w:name="section_10b5df87a73f4b55ada6222da4780aba"/>
      <w:bookmarkStart w:id="550" w:name="_Toc12260335"/>
      <w:r>
        <w:t>Part 1 Section 17.8.3.6, embedRegular (Regular Font Style Embedding)</w:t>
      </w:r>
      <w:bookmarkEnd w:id="549"/>
      <w:bookmarkEnd w:id="550"/>
      <w:r>
        <w:fldChar w:fldCharType="begin"/>
      </w:r>
      <w:r>
        <w:instrText xml:space="preserve"> XE "embedRegular (Regular Font Style Embedding)" </w:instrText>
      </w:r>
      <w:r>
        <w:fldChar w:fldCharType="end"/>
      </w:r>
    </w:p>
    <w:p w:rsidR="00024C0A" w:rsidRDefault="00694C0F">
      <w:pPr>
        <w:pStyle w:val="Definition-Field2"/>
      </w:pPr>
      <w:r>
        <w:rPr>
          <w:i/>
        </w:rPr>
        <w:t>For additional notes that ap</w:t>
      </w:r>
      <w:r>
        <w:rPr>
          <w:i/>
        </w:rPr>
        <w:t xml:space="preserve">ply to this portion of the standard, please see the notes for </w:t>
      </w:r>
      <w:hyperlink w:anchor="Section_55e01b00ed934498b4e5b0bc0abdf97d">
        <w:r>
          <w:rPr>
            <w:rStyle w:val="Hyperlink"/>
          </w:rPr>
          <w:t>attachedTemplate, §17.15.1.6(a)</w:t>
        </w:r>
      </w:hyperlink>
      <w:r>
        <w:rPr>
          <w:i/>
        </w:rPr>
        <w:t>.</w:t>
      </w:r>
    </w:p>
    <w:p w:rsidR="00024C0A" w:rsidRDefault="00694C0F">
      <w:pPr>
        <w:pStyle w:val="Heading3"/>
      </w:pPr>
      <w:bookmarkStart w:id="551" w:name="section_8c385d066c29470b89cf3c2bab8633e6"/>
      <w:bookmarkStart w:id="552" w:name="_Toc12260336"/>
      <w:r>
        <w:t>Part 1 Section 17.8.3.8, embedTrueTypeFonts (Embed TrueType Fonts)</w:t>
      </w:r>
      <w:bookmarkEnd w:id="551"/>
      <w:bookmarkEnd w:id="552"/>
      <w:r>
        <w:fldChar w:fldCharType="begin"/>
      </w:r>
      <w:r>
        <w:instrText xml:space="preserve"> XE "embedTrueTypeFonts (Embed T</w:instrText>
      </w:r>
      <w:r>
        <w:instrText xml:space="preserve">rueType Fonts)" </w:instrText>
      </w:r>
      <w:r>
        <w:fldChar w:fldCharType="end"/>
      </w:r>
    </w:p>
    <w:p w:rsidR="00024C0A" w:rsidRDefault="00694C0F">
      <w:pPr>
        <w:pStyle w:val="Definition-Field"/>
      </w:pPr>
      <w:r>
        <w:t xml:space="preserve">a.   </w:t>
      </w:r>
      <w:r>
        <w:rPr>
          <w:i/>
        </w:rPr>
        <w:t>The standard states that the embedTrueTypeFonts element directs the application to embed used fonts.</w:t>
      </w:r>
    </w:p>
    <w:p w:rsidR="00024C0A" w:rsidRDefault="00694C0F">
      <w:pPr>
        <w:pStyle w:val="Definition-Field2"/>
      </w:pPr>
      <w:r>
        <w:t>Word does not embed non-installed fonts after resolved through font substitution.</w:t>
      </w:r>
    </w:p>
    <w:p w:rsidR="00024C0A" w:rsidRDefault="00694C0F">
      <w:pPr>
        <w:pStyle w:val="Heading3"/>
      </w:pPr>
      <w:bookmarkStart w:id="553" w:name="section_d78baa1b850d4aeb91cc254c814a4cba"/>
      <w:bookmarkStart w:id="554" w:name="_Toc12260337"/>
      <w:r>
        <w:t>Part 1 Section 17.8.3.9, family (Font Family)</w:t>
      </w:r>
      <w:bookmarkEnd w:id="553"/>
      <w:bookmarkEnd w:id="554"/>
      <w:r>
        <w:fldChar w:fldCharType="begin"/>
      </w:r>
      <w:r>
        <w:instrText xml:space="preserve"> XE </w:instrText>
      </w:r>
      <w:r>
        <w:instrText xml:space="preserve">"family (Font Family)" </w:instrText>
      </w:r>
      <w:r>
        <w:fldChar w:fldCharType="end"/>
      </w:r>
    </w:p>
    <w:p w:rsidR="00024C0A" w:rsidRDefault="00694C0F">
      <w:pPr>
        <w:pStyle w:val="Definition-Field"/>
      </w:pPr>
      <w:r>
        <w:t xml:space="preserve">a.   </w:t>
      </w:r>
      <w:r>
        <w:rPr>
          <w:i/>
        </w:rPr>
        <w:t>The standard states that when a font is unavailable the family element shall not be modified.</w:t>
      </w:r>
    </w:p>
    <w:p w:rsidR="00024C0A" w:rsidRDefault="00694C0F">
      <w:pPr>
        <w:pStyle w:val="Definition-Field2"/>
      </w:pPr>
      <w:r>
        <w:t>Word can modify the family element of an unavailable font if a font with the same name has been loaded before in the same Word inst</w:t>
      </w:r>
      <w:r>
        <w:t>ance.</w:t>
      </w:r>
    </w:p>
    <w:p w:rsidR="00024C0A" w:rsidRDefault="00694C0F">
      <w:pPr>
        <w:pStyle w:val="Heading3"/>
      </w:pPr>
      <w:bookmarkStart w:id="555" w:name="section_140b01ad31f04eafbf45c2121fee0dc6"/>
      <w:bookmarkStart w:id="556" w:name="_Toc12260338"/>
      <w:r>
        <w:lastRenderedPageBreak/>
        <w:t>Part 1 Section 17.8.3.10, font (Properties for a Single Font)</w:t>
      </w:r>
      <w:bookmarkEnd w:id="555"/>
      <w:bookmarkEnd w:id="556"/>
      <w:r>
        <w:fldChar w:fldCharType="begin"/>
      </w:r>
      <w:r>
        <w:instrText xml:space="preserve"> XE "font (Properties for a Single Font)" </w:instrText>
      </w:r>
      <w:r>
        <w:fldChar w:fldCharType="end"/>
      </w:r>
    </w:p>
    <w:p w:rsidR="00024C0A" w:rsidRDefault="00694C0F">
      <w:pPr>
        <w:pStyle w:val="Definition-Field"/>
      </w:pPr>
      <w:r>
        <w:t xml:space="preserve">a.   </w:t>
      </w:r>
      <w:r>
        <w:rPr>
          <w:i/>
        </w:rPr>
        <w:t>The standard defines font name with an unbounded string length.</w:t>
      </w:r>
    </w:p>
    <w:p w:rsidR="00024C0A" w:rsidRDefault="00694C0F">
      <w:pPr>
        <w:pStyle w:val="Definition-Field2"/>
      </w:pPr>
      <w:r>
        <w:t>Word limits font name length to between 1 and 31 characters.</w:t>
      </w:r>
    </w:p>
    <w:p w:rsidR="00024C0A" w:rsidRDefault="00694C0F">
      <w:pPr>
        <w:pStyle w:val="Definition-Field"/>
      </w:pPr>
      <w:r>
        <w:t xml:space="preserve">b.   </w:t>
      </w:r>
      <w:r>
        <w:rPr>
          <w:i/>
        </w:rPr>
        <w:t>The stand</w:t>
      </w:r>
      <w:r>
        <w:rPr>
          <w:i/>
        </w:rPr>
        <w:t>ard does not describe font names as case insensitive.</w:t>
      </w:r>
    </w:p>
    <w:p w:rsidR="00024C0A" w:rsidRDefault="00694C0F">
      <w:pPr>
        <w:pStyle w:val="Definition-Field2"/>
      </w:pPr>
      <w:r>
        <w:t>In Word, font names are case insensitive.</w:t>
      </w:r>
    </w:p>
    <w:p w:rsidR="00024C0A" w:rsidRDefault="00694C0F">
      <w:pPr>
        <w:pStyle w:val="Definition-Field"/>
      </w:pPr>
      <w:r>
        <w:t xml:space="preserve">c.   </w:t>
      </w:r>
      <w:r>
        <w:rPr>
          <w:i/>
        </w:rPr>
        <w:t>The standard states that the name attribute specifies the name of the font.</w:t>
      </w:r>
    </w:p>
    <w:p w:rsidR="00024C0A" w:rsidRDefault="00694C0F">
      <w:pPr>
        <w:pStyle w:val="Definition-Field2"/>
      </w:pPr>
      <w:r>
        <w:t>Word prepends the font name with an @ symbol to signify the font should be used</w:t>
      </w:r>
      <w:r>
        <w:t xml:space="preserve"> for rendering vertical text.</w:t>
      </w:r>
    </w:p>
    <w:p w:rsidR="00024C0A" w:rsidRDefault="00694C0F">
      <w:pPr>
        <w:pStyle w:val="Heading3"/>
      </w:pPr>
      <w:bookmarkStart w:id="557" w:name="section_1edea166fbb741cf8d573fb2d2979a6e"/>
      <w:bookmarkStart w:id="558" w:name="_Toc12260339"/>
      <w:r>
        <w:t>Part 1 Section 17.8.3.12, notTrueType (Raster or Vector Font)</w:t>
      </w:r>
      <w:bookmarkEnd w:id="557"/>
      <w:bookmarkEnd w:id="558"/>
      <w:r>
        <w:fldChar w:fldCharType="begin"/>
      </w:r>
      <w:r>
        <w:instrText xml:space="preserve"> XE "notTrueType (Raster or Vector Font)" </w:instrText>
      </w:r>
      <w:r>
        <w:fldChar w:fldCharType="end"/>
      </w:r>
    </w:p>
    <w:p w:rsidR="00024C0A" w:rsidRDefault="00694C0F">
      <w:pPr>
        <w:pStyle w:val="Definition-Field"/>
      </w:pPr>
      <w:r>
        <w:t xml:space="preserve">a.   </w:t>
      </w:r>
      <w:r>
        <w:rPr>
          <w:i/>
        </w:rPr>
        <w:t>The standard states that when a font is unavailable the notTrueType element shall not be modified.</w:t>
      </w:r>
    </w:p>
    <w:p w:rsidR="00024C0A" w:rsidRDefault="00694C0F">
      <w:pPr>
        <w:pStyle w:val="Definition-Field2"/>
      </w:pPr>
      <w:r>
        <w:t xml:space="preserve">Word can modify </w:t>
      </w:r>
      <w:r>
        <w:t>the notTrueType element of an unavailable font if a font with the same name has been loaded before in the same Word instance.</w:t>
      </w:r>
    </w:p>
    <w:p w:rsidR="00024C0A" w:rsidRDefault="00694C0F">
      <w:pPr>
        <w:pStyle w:val="Heading3"/>
      </w:pPr>
      <w:bookmarkStart w:id="559" w:name="section_9d27324fe2a94774a3b30eb04da5170f"/>
      <w:bookmarkStart w:id="560" w:name="_Toc12260340"/>
      <w:r>
        <w:t>Part 1 Section 17.8.3.13, panose1 (Panose-1 Typeface Classification Number)</w:t>
      </w:r>
      <w:bookmarkEnd w:id="559"/>
      <w:bookmarkEnd w:id="560"/>
      <w:r>
        <w:fldChar w:fldCharType="begin"/>
      </w:r>
      <w:r>
        <w:instrText xml:space="preserve"> XE "panose1 (Panose-1 Typeface Classification Number)"</w:instrText>
      </w:r>
      <w:r>
        <w:instrText xml:space="preserve"> </w:instrText>
      </w:r>
      <w:r>
        <w:fldChar w:fldCharType="end"/>
      </w:r>
    </w:p>
    <w:p w:rsidR="00024C0A" w:rsidRDefault="00694C0F">
      <w:pPr>
        <w:pStyle w:val="Definition-Field"/>
      </w:pPr>
      <w:r>
        <w:t xml:space="preserve">a.   </w:t>
      </w:r>
      <w:r>
        <w:rPr>
          <w:i/>
        </w:rPr>
        <w:t>The standard states that when a font is unavailable, the panose1 element shall not be modified.</w:t>
      </w:r>
    </w:p>
    <w:p w:rsidR="00024C0A" w:rsidRDefault="00694C0F">
      <w:pPr>
        <w:pStyle w:val="Definition-Field2"/>
      </w:pPr>
      <w:r>
        <w:t>Word does not roundtrip the panose1 value for fonts not installed on the system.</w:t>
      </w:r>
    </w:p>
    <w:p w:rsidR="00024C0A" w:rsidRDefault="00694C0F">
      <w:pPr>
        <w:pStyle w:val="Definition-Field"/>
      </w:pPr>
      <w:r>
        <w:t xml:space="preserve">b.   </w:t>
      </w:r>
      <w:r>
        <w:rPr>
          <w:i/>
        </w:rPr>
        <w:t>The standard states that when a font is unavailable the panose1 e</w:t>
      </w:r>
      <w:r>
        <w:rPr>
          <w:i/>
        </w:rPr>
        <w:t>lement shall not be modified.</w:t>
      </w:r>
    </w:p>
    <w:p w:rsidR="00024C0A" w:rsidRDefault="00694C0F">
      <w:pPr>
        <w:pStyle w:val="Definition-Field2"/>
      </w:pPr>
      <w:r>
        <w:t>Word can modify the panose1 element of an unavailable font if a font with the same name has been loaded before in the same Word instance.</w:t>
      </w:r>
    </w:p>
    <w:p w:rsidR="00024C0A" w:rsidRDefault="00694C0F">
      <w:pPr>
        <w:pStyle w:val="Heading3"/>
      </w:pPr>
      <w:bookmarkStart w:id="561" w:name="section_108821f5262d491b87a2d6861913882e"/>
      <w:bookmarkStart w:id="562" w:name="_Toc12260341"/>
      <w:r>
        <w:t>Part 1 Section 17.8.3.14, pitch (Font Pitch)</w:t>
      </w:r>
      <w:bookmarkEnd w:id="561"/>
      <w:bookmarkEnd w:id="562"/>
      <w:r>
        <w:fldChar w:fldCharType="begin"/>
      </w:r>
      <w:r>
        <w:instrText xml:space="preserve"> XE "pitch (Font Pitch)" </w:instrText>
      </w:r>
      <w:r>
        <w:fldChar w:fldCharType="end"/>
      </w:r>
    </w:p>
    <w:p w:rsidR="00024C0A" w:rsidRDefault="00694C0F">
      <w:pPr>
        <w:pStyle w:val="Definition-Field"/>
      </w:pPr>
      <w:r>
        <w:t xml:space="preserve">a.   </w:t>
      </w:r>
      <w:r>
        <w:rPr>
          <w:i/>
        </w:rPr>
        <w:t>The standar</w:t>
      </w:r>
      <w:r>
        <w:rPr>
          <w:i/>
        </w:rPr>
        <w:t>d states that when a font is unavailable the pitch element shall not be modified.</w:t>
      </w:r>
    </w:p>
    <w:p w:rsidR="00024C0A" w:rsidRDefault="00694C0F">
      <w:pPr>
        <w:pStyle w:val="Definition-Field2"/>
      </w:pPr>
      <w:r>
        <w:t>Word can modify the pitch element of an unavailable font if a font with the same name has been loaded before in the same Word instance.</w:t>
      </w:r>
    </w:p>
    <w:p w:rsidR="00024C0A" w:rsidRDefault="00694C0F">
      <w:pPr>
        <w:pStyle w:val="Heading3"/>
      </w:pPr>
      <w:bookmarkStart w:id="563" w:name="section_b66d6f1254b749ddbe00148ca16a9bdf"/>
      <w:bookmarkStart w:id="564" w:name="_Toc12260342"/>
      <w:r>
        <w:t>Part 1 Section 17.8.3.16, sig (Support</w:t>
      </w:r>
      <w:r>
        <w:t>ed Unicode Subranges and Code Pages)</w:t>
      </w:r>
      <w:bookmarkEnd w:id="563"/>
      <w:bookmarkEnd w:id="564"/>
      <w:r>
        <w:fldChar w:fldCharType="begin"/>
      </w:r>
      <w:r>
        <w:instrText xml:space="preserve"> XE "sig (Supported Unicode Subranges and Code Pages)" </w:instrText>
      </w:r>
      <w:r>
        <w:fldChar w:fldCharType="end"/>
      </w:r>
    </w:p>
    <w:p w:rsidR="00024C0A" w:rsidRDefault="00694C0F">
      <w:pPr>
        <w:pStyle w:val="Definition-Field"/>
      </w:pPr>
      <w:r>
        <w:t xml:space="preserve">a.   </w:t>
      </w:r>
      <w:r>
        <w:rPr>
          <w:i/>
        </w:rPr>
        <w:t>The standard states that the sig element shall not be modified when the font is an unknown font.</w:t>
      </w:r>
    </w:p>
    <w:p w:rsidR="00024C0A" w:rsidRDefault="00694C0F">
      <w:pPr>
        <w:pStyle w:val="Definition-Field2"/>
      </w:pPr>
      <w:r>
        <w:t xml:space="preserve">For unknown fonts, if the font cannot be resolved using the </w:t>
      </w:r>
      <w:r>
        <w:t>alternate font name or character set, Word might incorrectly reset bits to 0 in the usb0 attribute when bits in the csb0 attribute are set.</w:t>
      </w:r>
    </w:p>
    <w:p w:rsidR="00024C0A" w:rsidRDefault="00694C0F">
      <w:pPr>
        <w:pStyle w:val="Definition-Field"/>
      </w:pPr>
      <w:r>
        <w:t xml:space="preserve">b.   </w:t>
      </w:r>
      <w:r>
        <w:rPr>
          <w:i/>
        </w:rPr>
        <w:t>The standard states that when a font is unavailable the sig element shall not be modified.</w:t>
      </w:r>
    </w:p>
    <w:p w:rsidR="00024C0A" w:rsidRDefault="00694C0F">
      <w:pPr>
        <w:pStyle w:val="Definition-Field2"/>
      </w:pPr>
      <w:r>
        <w:t xml:space="preserve">Word can modify the </w:t>
      </w:r>
      <w:r>
        <w:t>sig element of an unavailable font if a font with the same name has been loaded before in the same Word instance.</w:t>
      </w:r>
    </w:p>
    <w:p w:rsidR="00024C0A" w:rsidRDefault="00694C0F">
      <w:pPr>
        <w:pStyle w:val="Definition-Field"/>
      </w:pPr>
      <w:r>
        <w:t xml:space="preserve">c.   </w:t>
      </w:r>
      <w:r>
        <w:rPr>
          <w:i/>
        </w:rPr>
        <w:t>The standard states that the csb0 and csb1 attributes are specified as four-digit hexadecimal encodings.</w:t>
      </w:r>
    </w:p>
    <w:p w:rsidR="00024C0A" w:rsidRDefault="00694C0F">
      <w:pPr>
        <w:pStyle w:val="Definition-Field2"/>
      </w:pPr>
      <w:r>
        <w:t>Word expects the csb1 and csb2 a</w:t>
      </w:r>
      <w:r>
        <w:t>ttributes to be eight-digit hexadecimal encodings.</w:t>
      </w:r>
    </w:p>
    <w:p w:rsidR="00024C0A" w:rsidRDefault="00694C0F">
      <w:pPr>
        <w:pStyle w:val="Heading3"/>
      </w:pPr>
      <w:bookmarkStart w:id="565" w:name="section_3140e0b043d54c06a42da8f1a6ad9b75"/>
      <w:bookmarkStart w:id="566" w:name="_Toc12260343"/>
      <w:r>
        <w:lastRenderedPageBreak/>
        <w:t>Part 1 Section 17.9.1, abstractNum (Abstract Numbering Definition)</w:t>
      </w:r>
      <w:bookmarkEnd w:id="565"/>
      <w:bookmarkEnd w:id="566"/>
      <w:r>
        <w:fldChar w:fldCharType="begin"/>
      </w:r>
      <w:r>
        <w:instrText xml:space="preserve"> XE "abstractNum (Abstract Numbering Definition)" </w:instrText>
      </w:r>
      <w:r>
        <w:fldChar w:fldCharType="end"/>
      </w:r>
    </w:p>
    <w:p w:rsidR="00024C0A" w:rsidRDefault="00694C0F">
      <w:pPr>
        <w:pStyle w:val="Definition-Field"/>
      </w:pPr>
      <w:r>
        <w:t xml:space="preserve">a.   </w:t>
      </w:r>
      <w:r>
        <w:rPr>
          <w:i/>
        </w:rPr>
        <w:t>The standard allows any integer for the attribute abstractNumId.</w:t>
      </w:r>
    </w:p>
    <w:p w:rsidR="00024C0A" w:rsidRDefault="00694C0F">
      <w:pPr>
        <w:pStyle w:val="Definition-Field2"/>
      </w:pPr>
      <w:r>
        <w:t>Word will not lo</w:t>
      </w:r>
      <w:r>
        <w:t>ad a file where abstractNumId is negative.</w:t>
      </w:r>
    </w:p>
    <w:p w:rsidR="00024C0A" w:rsidRDefault="00694C0F">
      <w:pPr>
        <w:pStyle w:val="Heading3"/>
      </w:pPr>
      <w:bookmarkStart w:id="567" w:name="section_48305a09a4c548faa6d9aa87a8d229bb"/>
      <w:bookmarkStart w:id="568" w:name="_Toc12260344"/>
      <w:r>
        <w:t>Part 1 Section 17.9.2, abstractNumId (Abstract Numbering Definition Reference)</w:t>
      </w:r>
      <w:bookmarkEnd w:id="567"/>
      <w:bookmarkEnd w:id="568"/>
      <w:r>
        <w:fldChar w:fldCharType="begin"/>
      </w:r>
      <w:r>
        <w:instrText xml:space="preserve"> XE "abstractNumId (Abstract Numbering Definition Reference)" </w:instrText>
      </w:r>
      <w:r>
        <w:fldChar w:fldCharType="end"/>
      </w:r>
    </w:p>
    <w:p w:rsidR="00024C0A" w:rsidRDefault="00694C0F">
      <w:pPr>
        <w:pStyle w:val="Definition-Field"/>
      </w:pPr>
      <w:r>
        <w:t xml:space="preserve">a.   </w:t>
      </w:r>
      <w:r>
        <w:rPr>
          <w:i/>
        </w:rPr>
        <w:t>The standard states that the values of the val attribute are defi</w:t>
      </w:r>
      <w:r>
        <w:rPr>
          <w:i/>
        </w:rPr>
        <w:t>ned by the XML integer datatype.</w:t>
      </w:r>
    </w:p>
    <w:p w:rsidR="00024C0A" w:rsidRDefault="00694C0F">
      <w:pPr>
        <w:pStyle w:val="Definition-Field2"/>
      </w:pPr>
      <w:r>
        <w:t>Word restricts the value of this attribute to be at least 0.</w:t>
      </w:r>
    </w:p>
    <w:p w:rsidR="00024C0A" w:rsidRDefault="00694C0F">
      <w:pPr>
        <w:pStyle w:val="Heading3"/>
      </w:pPr>
      <w:bookmarkStart w:id="569" w:name="section_b7139e3b7f1f43d18df72022ec0c2c2d"/>
      <w:bookmarkStart w:id="570" w:name="_Toc12260345"/>
      <w:r>
        <w:t>Part 1 Section 17.9.3, ilvl (Numbering Level Reference)</w:t>
      </w:r>
      <w:bookmarkEnd w:id="569"/>
      <w:bookmarkEnd w:id="570"/>
      <w:r>
        <w:fldChar w:fldCharType="begin"/>
      </w:r>
      <w:r>
        <w:instrText xml:space="preserve"> XE "ilvl (Numbering Level Reference)" </w:instrText>
      </w:r>
      <w:r>
        <w:fldChar w:fldCharType="end"/>
      </w:r>
    </w:p>
    <w:p w:rsidR="00024C0A" w:rsidRDefault="00694C0F">
      <w:pPr>
        <w:pStyle w:val="Definition-Field"/>
      </w:pPr>
      <w:r>
        <w:t xml:space="preserve">a.   </w:t>
      </w:r>
      <w:r>
        <w:rPr>
          <w:i/>
        </w:rPr>
        <w:t>The standard states that the values of the val attribute are</w:t>
      </w:r>
      <w:r>
        <w:rPr>
          <w:i/>
        </w:rPr>
        <w:t xml:space="preserve"> defined by the XML Schema integer datatype.</w:t>
      </w:r>
    </w:p>
    <w:p w:rsidR="00024C0A" w:rsidRDefault="00694C0F">
      <w:pPr>
        <w:pStyle w:val="Definition-Field2"/>
      </w:pPr>
      <w:r>
        <w:t>Word restricts the value of this attribute to be at least 0 and at most 255.</w:t>
      </w:r>
    </w:p>
    <w:p w:rsidR="00024C0A" w:rsidRDefault="00694C0F">
      <w:pPr>
        <w:pStyle w:val="Heading3"/>
      </w:pPr>
      <w:bookmarkStart w:id="571" w:name="section_0953b25e15cc4461a50ecc5d8585f6ff"/>
      <w:bookmarkStart w:id="572" w:name="_Toc12260346"/>
      <w:r>
        <w:t>Part 1 Section 17.9.4, isLgl (Display All Levels Using Arabic Numerals)</w:t>
      </w:r>
      <w:bookmarkEnd w:id="571"/>
      <w:bookmarkEnd w:id="572"/>
      <w:r>
        <w:fldChar w:fldCharType="begin"/>
      </w:r>
      <w:r>
        <w:instrText xml:space="preserve"> XE "isLgl (Display All Levels Using Arabic Numerals)" </w:instrText>
      </w:r>
      <w:r>
        <w:fldChar w:fldCharType="end"/>
      </w:r>
    </w:p>
    <w:p w:rsidR="00024C0A" w:rsidRDefault="00694C0F">
      <w:pPr>
        <w:pStyle w:val="Definition-Field"/>
      </w:pPr>
      <w:r>
        <w:t xml:space="preserve">a.   </w:t>
      </w:r>
      <w:r>
        <w:rPr>
          <w:i/>
        </w:rPr>
        <w:t>The standard implies that only previous levels are affected by isLgl.</w:t>
      </w:r>
    </w:p>
    <w:p w:rsidR="00024C0A" w:rsidRDefault="00694C0F">
      <w:pPr>
        <w:pStyle w:val="Definition-Field2"/>
      </w:pPr>
      <w:r>
        <w:t>Word isLgl affects all numbering levels, including the immediate level.</w:t>
      </w:r>
    </w:p>
    <w:p w:rsidR="00024C0A" w:rsidRDefault="00694C0F">
      <w:pPr>
        <w:pStyle w:val="Definition-Field"/>
      </w:pPr>
      <w:r>
        <w:t xml:space="preserve">b.   </w:t>
      </w:r>
      <w:r>
        <w:rPr>
          <w:i/>
        </w:rPr>
        <w:t>The standard says the level text is displayed using the decimal number format regardless of the actual number</w:t>
      </w:r>
      <w:r>
        <w:rPr>
          <w:i/>
        </w:rPr>
        <w:t xml:space="preserve"> format of that level in the list.</w:t>
      </w:r>
    </w:p>
    <w:p w:rsidR="00024C0A" w:rsidRDefault="00694C0F">
      <w:pPr>
        <w:pStyle w:val="Definition-Field2"/>
      </w:pPr>
      <w:r>
        <w:t>In Word, if the actual numbering format of the level is none, then Word will display the level text using the none format regardless of isLgl.</w:t>
      </w:r>
    </w:p>
    <w:p w:rsidR="00024C0A" w:rsidRDefault="00694C0F">
      <w:pPr>
        <w:pStyle w:val="Heading3"/>
      </w:pPr>
      <w:bookmarkStart w:id="573" w:name="section_aab4583bf1ec4ae18c5d314f27742479"/>
      <w:bookmarkStart w:id="574" w:name="_Toc12260347"/>
      <w:r>
        <w:t>Part 1 Section 17.9.5, lvl (Numbering Level Override Definition)</w:t>
      </w:r>
      <w:bookmarkEnd w:id="573"/>
      <w:bookmarkEnd w:id="574"/>
      <w:r>
        <w:fldChar w:fldCharType="begin"/>
      </w:r>
      <w:r>
        <w:instrText xml:space="preserve"> XE "lvl (Numb</w:instrText>
      </w:r>
      <w:r>
        <w:instrText xml:space="preserve">ering Level Override Definition)"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895f4d8b0bff4f5ba8fe36595d6ca794">
        <w:r>
          <w:rPr>
            <w:rStyle w:val="Hyperlink"/>
          </w:rPr>
          <w:t>lvl, §17.9.6(a, b)</w:t>
        </w:r>
      </w:hyperlink>
      <w:r>
        <w:rPr>
          <w:i/>
        </w:rPr>
        <w:t>.</w:t>
      </w:r>
    </w:p>
    <w:p w:rsidR="00024C0A" w:rsidRDefault="00694C0F">
      <w:pPr>
        <w:pStyle w:val="Heading3"/>
      </w:pPr>
      <w:bookmarkStart w:id="575" w:name="section_895f4d8b0bff4f5ba8fe36595d6ca794"/>
      <w:bookmarkStart w:id="576" w:name="_Toc12260348"/>
      <w:r>
        <w:t>Part 1 Section 17.9.6, lvl (Numbering Level De</w:t>
      </w:r>
      <w:r>
        <w:t>finition)</w:t>
      </w:r>
      <w:bookmarkEnd w:id="575"/>
      <w:bookmarkEnd w:id="576"/>
      <w:r>
        <w:fldChar w:fldCharType="begin"/>
      </w:r>
      <w:r>
        <w:instrText xml:space="preserve"> XE "lvl (Numbering Level Definition)" </w:instrText>
      </w:r>
      <w:r>
        <w:fldChar w:fldCharType="end"/>
      </w:r>
    </w:p>
    <w:p w:rsidR="00024C0A" w:rsidRDefault="00694C0F">
      <w:pPr>
        <w:pStyle w:val="Definition-Field"/>
      </w:pPr>
      <w:r>
        <w:t xml:space="preserve">a.   </w:t>
      </w:r>
      <w:r>
        <w:rPr>
          <w:i/>
        </w:rPr>
        <w:t>The standard allows any integer for ilvl.</w:t>
      </w:r>
    </w:p>
    <w:p w:rsidR="00024C0A" w:rsidRDefault="00694C0F">
      <w:pPr>
        <w:pStyle w:val="Definition-Field2"/>
      </w:pPr>
      <w:r>
        <w:t>Word will not load a file with ilvl less than 0 or greater than 8.</w:t>
      </w:r>
    </w:p>
    <w:p w:rsidR="00024C0A" w:rsidRDefault="00694C0F">
      <w:pPr>
        <w:pStyle w:val="Definition-Field"/>
      </w:pPr>
      <w:r>
        <w:t xml:space="preserve">b.   </w:t>
      </w:r>
      <w:r>
        <w:rPr>
          <w:i/>
        </w:rPr>
        <w:t>The standard states that tentative levels shall not be shown in user interface.</w:t>
      </w:r>
    </w:p>
    <w:p w:rsidR="00024C0A" w:rsidRDefault="00694C0F">
      <w:pPr>
        <w:pStyle w:val="Definition-Field2"/>
      </w:pPr>
      <w:r>
        <w:t xml:space="preserve">Word </w:t>
      </w:r>
      <w:r>
        <w:t>displays tentative numbering levels in its Multilevel List drop-down list.</w:t>
      </w:r>
    </w:p>
    <w:p w:rsidR="00024C0A" w:rsidRDefault="00694C0F">
      <w:pPr>
        <w:pStyle w:val="Heading3"/>
      </w:pPr>
      <w:bookmarkStart w:id="577" w:name="section_182e6a3c70ea4ba1bcd001caa609fcdf"/>
      <w:bookmarkStart w:id="578" w:name="_Toc12260349"/>
      <w:r>
        <w:t>Part 1 Section 17.9.7, lvlJc (Justification)</w:t>
      </w:r>
      <w:bookmarkEnd w:id="577"/>
      <w:bookmarkEnd w:id="578"/>
      <w:r>
        <w:fldChar w:fldCharType="begin"/>
      </w:r>
      <w:r>
        <w:instrText xml:space="preserve"> XE "lvlJc (Justification)" </w:instrText>
      </w:r>
      <w:r>
        <w:fldChar w:fldCharType="end"/>
      </w:r>
    </w:p>
    <w:p w:rsidR="00024C0A" w:rsidRDefault="00694C0F">
      <w:pPr>
        <w:pStyle w:val="Definition-Field"/>
      </w:pPr>
      <w:r>
        <w:t xml:space="preserve">a.   </w:t>
      </w:r>
      <w:r>
        <w:rPr>
          <w:i/>
        </w:rPr>
        <w:t>The standard allows many values for lvlJc beyond start, center, and end.</w:t>
      </w:r>
    </w:p>
    <w:p w:rsidR="00024C0A" w:rsidRDefault="00694C0F">
      <w:pPr>
        <w:pStyle w:val="Definition-Field2"/>
      </w:pPr>
      <w:r>
        <w:t>Word supports only the value</w:t>
      </w:r>
      <w:r>
        <w:t>s for start, center, and end for lvlJc.</w:t>
      </w:r>
    </w:p>
    <w:p w:rsidR="00024C0A" w:rsidRDefault="00694C0F">
      <w:pPr>
        <w:pStyle w:val="Heading3"/>
      </w:pPr>
      <w:bookmarkStart w:id="579" w:name="section_140a2cd92f26456d9760ae6ecef4e8b5"/>
      <w:bookmarkStart w:id="580" w:name="_Toc12260350"/>
      <w:r>
        <w:t>Part 1 Section 17.9.10, lvlRestart (Restart Numbering Level Symbol)</w:t>
      </w:r>
      <w:bookmarkEnd w:id="579"/>
      <w:bookmarkEnd w:id="580"/>
      <w:r>
        <w:fldChar w:fldCharType="begin"/>
      </w:r>
      <w:r>
        <w:instrText xml:space="preserve"> XE "lvlRestart (Restart Numbering Level Symbol)" </w:instrText>
      </w:r>
      <w:r>
        <w:fldChar w:fldCharType="end"/>
      </w:r>
    </w:p>
    <w:p w:rsidR="00024C0A" w:rsidRDefault="00694C0F">
      <w:pPr>
        <w:pStyle w:val="Definition-Field"/>
      </w:pPr>
      <w:r>
        <w:t xml:space="preserve">a.   </w:t>
      </w:r>
      <w:r>
        <w:rPr>
          <w:i/>
        </w:rPr>
        <w:t>The standard allows any integer for the value of lvlRestart.</w:t>
      </w:r>
    </w:p>
    <w:p w:rsidR="00024C0A" w:rsidRDefault="00694C0F">
      <w:pPr>
        <w:pStyle w:val="Definition-Field2"/>
      </w:pPr>
      <w:r>
        <w:lastRenderedPageBreak/>
        <w:t>Word only allows values betwee</w:t>
      </w:r>
      <w:r>
        <w:t>n 0 and 7 for lvlRestart.</w:t>
      </w:r>
    </w:p>
    <w:p w:rsidR="00024C0A" w:rsidRDefault="00694C0F">
      <w:pPr>
        <w:pStyle w:val="Definition-Field"/>
      </w:pPr>
      <w:r>
        <w:t xml:space="preserve">b.   </w:t>
      </w:r>
      <w:r>
        <w:rPr>
          <w:i/>
        </w:rPr>
        <w:t>The standard allows lvlRestart as a child of lvl (Numbering Level Override Definition).</w:t>
      </w:r>
    </w:p>
    <w:p w:rsidR="00024C0A" w:rsidRDefault="00694C0F">
      <w:pPr>
        <w:pStyle w:val="Definition-Field2"/>
      </w:pPr>
      <w:r>
        <w:t>Word ignores lvlRestart if it is a child of lvl (Numbering Level Override Definition).</w:t>
      </w:r>
    </w:p>
    <w:p w:rsidR="00024C0A" w:rsidRDefault="00694C0F">
      <w:pPr>
        <w:pStyle w:val="Definition-Field"/>
      </w:pPr>
      <w:r>
        <w:t xml:space="preserve">c.   </w:t>
      </w:r>
      <w:r>
        <w:rPr>
          <w:i/>
        </w:rPr>
        <w:t>The standard states that a numbering level re</w:t>
      </w:r>
      <w:r>
        <w:rPr>
          <w:i/>
        </w:rPr>
        <w:t>starts when an instance of the specified numbering level is used.</w:t>
      </w:r>
    </w:p>
    <w:p w:rsidR="00024C0A" w:rsidRDefault="00694C0F">
      <w:pPr>
        <w:pStyle w:val="Definition-Field2"/>
      </w:pPr>
      <w:r>
        <w:t>Word restarts a numbering level when an instance of the specified numbering level or any higher level is used.</w:t>
      </w:r>
    </w:p>
    <w:p w:rsidR="00024C0A" w:rsidRDefault="00694C0F">
      <w:pPr>
        <w:pStyle w:val="Definition-Field"/>
      </w:pPr>
      <w:r>
        <w:t xml:space="preserve">d.   </w:t>
      </w:r>
      <w:r>
        <w:rPr>
          <w:i/>
        </w:rPr>
        <w:t>The standard states that if this element is omitted, the numbering level s</w:t>
      </w:r>
      <w:r>
        <w:rPr>
          <w:i/>
        </w:rPr>
        <w:t>hall restart each time the previous numbering level is used.</w:t>
      </w:r>
    </w:p>
    <w:p w:rsidR="00024C0A" w:rsidRDefault="00694C0F">
      <w:pPr>
        <w:pStyle w:val="Definition-Field2"/>
      </w:pPr>
      <w:r>
        <w:t>If this element is omitted, Word restarts the numbering level each time the previous numbering level or any higher level is used.</w:t>
      </w:r>
    </w:p>
    <w:p w:rsidR="00024C0A" w:rsidRDefault="00694C0F">
      <w:pPr>
        <w:pStyle w:val="Heading3"/>
      </w:pPr>
      <w:bookmarkStart w:id="581" w:name="section_74f54646dbe040ea90c95ec70107e91d"/>
      <w:bookmarkStart w:id="582" w:name="_Toc12260351"/>
      <w:r>
        <w:t>Part 1 Section 17.9.11, lvlText (Numbering Level Text)</w:t>
      </w:r>
      <w:bookmarkEnd w:id="581"/>
      <w:bookmarkEnd w:id="582"/>
      <w:r>
        <w:fldChar w:fldCharType="begin"/>
      </w:r>
      <w:r>
        <w:instrText xml:space="preserve"> XE "lvlTex</w:instrText>
      </w:r>
      <w:r>
        <w:instrText xml:space="preserve">t (Numbering Level Text)" </w:instrText>
      </w:r>
      <w:r>
        <w:fldChar w:fldCharType="end"/>
      </w:r>
    </w:p>
    <w:p w:rsidR="00024C0A" w:rsidRDefault="00694C0F">
      <w:pPr>
        <w:pStyle w:val="Definition-Field"/>
      </w:pPr>
      <w:r>
        <w:t xml:space="preserve">a.   </w:t>
      </w:r>
      <w:r>
        <w:rPr>
          <w:i/>
        </w:rPr>
        <w:t>The standard does not bound the number of escaped sequences %[1-9] included in the val attribute.</w:t>
      </w:r>
    </w:p>
    <w:p w:rsidR="00024C0A" w:rsidRDefault="00694C0F">
      <w:pPr>
        <w:pStyle w:val="Definition-Field2"/>
      </w:pPr>
      <w:r>
        <w:t>Word allows at most 9 escaped sequences %[1-9] in the val attribute.</w:t>
      </w:r>
    </w:p>
    <w:p w:rsidR="00024C0A" w:rsidRDefault="00694C0F">
      <w:pPr>
        <w:pStyle w:val="Definition-Field"/>
      </w:pPr>
      <w:r>
        <w:t xml:space="preserve">b.   </w:t>
      </w:r>
      <w:r>
        <w:rPr>
          <w:i/>
        </w:rPr>
        <w:t xml:space="preserve">The standard allows any length string for the val </w:t>
      </w:r>
      <w:r>
        <w:rPr>
          <w:i/>
        </w:rPr>
        <w:t>attribute of lvlText.</w:t>
      </w:r>
    </w:p>
    <w:p w:rsidR="00024C0A" w:rsidRDefault="00694C0F">
      <w:pPr>
        <w:pStyle w:val="Definition-Field2"/>
      </w:pPr>
      <w:r>
        <w:t>Word requires that the length of the val attribute be at most 31 characters after instances of the % syntax are converted to their final values.</w:t>
      </w:r>
    </w:p>
    <w:p w:rsidR="00024C0A" w:rsidRDefault="00694C0F">
      <w:pPr>
        <w:pStyle w:val="Definition-Field"/>
      </w:pPr>
      <w:r>
        <w:t xml:space="preserve">c.   </w:t>
      </w:r>
      <w:r>
        <w:rPr>
          <w:i/>
        </w:rPr>
        <w:t>The standard states that if the val attribute contains a % followed by a number high</w:t>
      </w:r>
      <w:r>
        <w:rPr>
          <w:i/>
        </w:rPr>
        <w:t>er than the current level, then that number is ignored.</w:t>
      </w:r>
    </w:p>
    <w:p w:rsidR="00024C0A" w:rsidRDefault="00694C0F">
      <w:pPr>
        <w:pStyle w:val="Definition-Field2"/>
      </w:pPr>
      <w:r>
        <w:t>If the val attribute contains a % followed by a number higher than the current level, then Word ignores the entire lvlText.</w:t>
      </w:r>
    </w:p>
    <w:p w:rsidR="00024C0A" w:rsidRDefault="00694C0F">
      <w:pPr>
        <w:pStyle w:val="Definition-Field"/>
      </w:pPr>
      <w:r>
        <w:t xml:space="preserve">d.   </w:t>
      </w:r>
      <w:r>
        <w:rPr>
          <w:i/>
        </w:rPr>
        <w:t xml:space="preserve">The standard allows the val attribute to be omitted while the null </w:t>
      </w:r>
      <w:r>
        <w:rPr>
          <w:i/>
        </w:rPr>
        <w:t>attribute is not set to on.</w:t>
      </w:r>
    </w:p>
    <w:p w:rsidR="00024C0A" w:rsidRDefault="00694C0F">
      <w:pPr>
        <w:pStyle w:val="Definition-Field2"/>
      </w:pPr>
      <w:r>
        <w:t>Word requires that the null attribute be set to on if the val attribute is omitted.</w:t>
      </w:r>
    </w:p>
    <w:p w:rsidR="00024C0A" w:rsidRDefault="00694C0F">
      <w:pPr>
        <w:pStyle w:val="Heading3"/>
      </w:pPr>
      <w:bookmarkStart w:id="583" w:name="section_f64ffe252900401eba6e8f0459bd63c6"/>
      <w:bookmarkStart w:id="584" w:name="_Toc12260352"/>
      <w:r>
        <w:t>Part 1 Section 17.9.13, name (Abstract Numbering Definition Name)</w:t>
      </w:r>
      <w:bookmarkEnd w:id="583"/>
      <w:bookmarkEnd w:id="584"/>
      <w:r>
        <w:fldChar w:fldCharType="begin"/>
      </w:r>
      <w:r>
        <w:instrText xml:space="preserve"> XE "name (Abstract Numbering Definition Name)" </w:instrText>
      </w:r>
      <w:r>
        <w:fldChar w:fldCharType="end"/>
      </w:r>
    </w:p>
    <w:p w:rsidR="00024C0A" w:rsidRDefault="00694C0F">
      <w:pPr>
        <w:pStyle w:val="Definition-Field2"/>
      </w:pPr>
      <w:r>
        <w:rPr>
          <w:i/>
        </w:rPr>
        <w:t>For additional notes that ap</w:t>
      </w:r>
      <w:r>
        <w:rPr>
          <w:i/>
        </w:rPr>
        <w:t xml:space="preserve">ply to this portion of the standard, please see the notes for </w:t>
      </w:r>
      <w:hyperlink w:anchor="Section_1e273b9e816940a691aaf9ebd083e0b8">
        <w:r>
          <w:rPr>
            <w:rStyle w:val="Hyperlink"/>
          </w:rPr>
          <w:t>numStyleLink, §17.9.21(a)</w:t>
        </w:r>
      </w:hyperlink>
      <w:r>
        <w:rPr>
          <w:i/>
        </w:rPr>
        <w:t>.</w:t>
      </w:r>
    </w:p>
    <w:p w:rsidR="00024C0A" w:rsidRDefault="00694C0F">
      <w:pPr>
        <w:pStyle w:val="Definition-Field"/>
      </w:pPr>
      <w:r>
        <w:t xml:space="preserve">a.   </w:t>
      </w:r>
      <w:r>
        <w:rPr>
          <w:i/>
        </w:rPr>
        <w:t>The standard does not limit the length of the value of the val attribute.</w:t>
      </w:r>
    </w:p>
    <w:p w:rsidR="00024C0A" w:rsidRDefault="00694C0F">
      <w:pPr>
        <w:pStyle w:val="Definition-Field2"/>
      </w:pPr>
      <w:r>
        <w:t xml:space="preserve">Word restricts the value </w:t>
      </w:r>
      <w:r>
        <w:t>of this attribute to be at most 253 characters.</w:t>
      </w:r>
    </w:p>
    <w:p w:rsidR="00024C0A" w:rsidRDefault="00694C0F">
      <w:pPr>
        <w:pStyle w:val="Heading3"/>
      </w:pPr>
      <w:bookmarkStart w:id="585" w:name="section_c70e89b2bfc44e608dbc3371635ebec7"/>
      <w:bookmarkStart w:id="586" w:name="_Toc12260353"/>
      <w:r>
        <w:t>Part 1 Section 17.9.15, num (Numbering Definition Instance)</w:t>
      </w:r>
      <w:bookmarkEnd w:id="585"/>
      <w:bookmarkEnd w:id="586"/>
      <w:r>
        <w:fldChar w:fldCharType="begin"/>
      </w:r>
      <w:r>
        <w:instrText xml:space="preserve"> XE "num (Numbering Definition Instance)" </w:instrText>
      </w:r>
      <w:r>
        <w:fldChar w:fldCharType="end"/>
      </w:r>
    </w:p>
    <w:p w:rsidR="00024C0A" w:rsidRDefault="00694C0F">
      <w:pPr>
        <w:pStyle w:val="Definition-Field"/>
      </w:pPr>
      <w:r>
        <w:t xml:space="preserve">a.   </w:t>
      </w:r>
      <w:r>
        <w:rPr>
          <w:i/>
        </w:rPr>
        <w:t>The standard allows any integer for the numId.</w:t>
      </w:r>
    </w:p>
    <w:p w:rsidR="00024C0A" w:rsidRDefault="00694C0F">
      <w:pPr>
        <w:pStyle w:val="Definition-Field2"/>
      </w:pPr>
      <w:r>
        <w:t>Word requires that the numId contain at most 32 char</w:t>
      </w:r>
      <w:r>
        <w:t>acters.</w:t>
      </w:r>
    </w:p>
    <w:p w:rsidR="00024C0A" w:rsidRDefault="00694C0F">
      <w:pPr>
        <w:pStyle w:val="Heading3"/>
      </w:pPr>
      <w:bookmarkStart w:id="587" w:name="section_9f8357d1a09944a3bc1888b33bae4eab"/>
      <w:bookmarkStart w:id="588" w:name="_Toc12260354"/>
      <w:r>
        <w:t>Part 1 Section 17.9.17, numFmt (Numbering Format)</w:t>
      </w:r>
      <w:bookmarkEnd w:id="587"/>
      <w:bookmarkEnd w:id="588"/>
      <w:r>
        <w:fldChar w:fldCharType="begin"/>
      </w:r>
      <w:r>
        <w:instrText xml:space="preserve"> XE "numFmt (Numbering Format)" </w:instrText>
      </w:r>
      <w:r>
        <w:fldChar w:fldCharType="end"/>
      </w:r>
    </w:p>
    <w:p w:rsidR="00024C0A" w:rsidRDefault="00694C0F">
      <w:pPr>
        <w:pStyle w:val="Definition-Field"/>
      </w:pPr>
      <w:r>
        <w:t xml:space="preserve">a.   </w:t>
      </w:r>
      <w:r>
        <w:rPr>
          <w:i/>
        </w:rPr>
        <w:t>The standard does not specify behavior when numFmt is bullet but lvlText is also set.</w:t>
      </w:r>
    </w:p>
    <w:p w:rsidR="00024C0A" w:rsidRDefault="00694C0F">
      <w:pPr>
        <w:pStyle w:val="Definition-Field2"/>
      </w:pPr>
      <w:r>
        <w:lastRenderedPageBreak/>
        <w:t>If the numFmt is bullet, Word will use the literal text in lvlText, ignor</w:t>
      </w:r>
      <w:r>
        <w:t>ing %x syntax in lvlText.</w:t>
      </w:r>
    </w:p>
    <w:p w:rsidR="00024C0A" w:rsidRDefault="00694C0F">
      <w:pPr>
        <w:pStyle w:val="Definition-Field"/>
      </w:pPr>
      <w:r>
        <w:t xml:space="preserve">b.   </w:t>
      </w:r>
      <w:r>
        <w:rPr>
          <w:i/>
        </w:rPr>
        <w:t>The standard states that the format attribute takes precedence over the val attribute.</w:t>
      </w:r>
    </w:p>
    <w:p w:rsidR="00024C0A" w:rsidRDefault="00694C0F">
      <w:pPr>
        <w:pStyle w:val="Definition-Field2"/>
      </w:pPr>
      <w:r>
        <w:t>Word ignores the format attribute unless the value of the val attribute is equal to "custom".</w:t>
      </w:r>
    </w:p>
    <w:p w:rsidR="00024C0A" w:rsidRDefault="00694C0F">
      <w:pPr>
        <w:pStyle w:val="Heading3"/>
      </w:pPr>
      <w:bookmarkStart w:id="589" w:name="section_d131c48e4fc941bfa6c720823510d636"/>
      <w:bookmarkStart w:id="590" w:name="_Toc12260355"/>
      <w:r>
        <w:t>Part 1 Section 17.9.18, numId (Numbering Definition Instance Reference)</w:t>
      </w:r>
      <w:bookmarkEnd w:id="589"/>
      <w:bookmarkEnd w:id="590"/>
      <w:r>
        <w:fldChar w:fldCharType="begin"/>
      </w:r>
      <w:r>
        <w:instrText xml:space="preserve"> XE "numId (Numbering Definition Instance Reference)" </w:instrText>
      </w:r>
      <w:r>
        <w:fldChar w:fldCharType="end"/>
      </w:r>
    </w:p>
    <w:p w:rsidR="00024C0A" w:rsidRDefault="00694C0F">
      <w:pPr>
        <w:pStyle w:val="Definition-Field"/>
      </w:pPr>
      <w:r>
        <w:t xml:space="preserve">a.   </w:t>
      </w:r>
      <w:r>
        <w:rPr>
          <w:i/>
        </w:rPr>
        <w:t>The standard states that the values of the val attribute are defined by the XML Schema integer datatype.</w:t>
      </w:r>
    </w:p>
    <w:p w:rsidR="00024C0A" w:rsidRDefault="00694C0F">
      <w:pPr>
        <w:pStyle w:val="Definition-Field2"/>
      </w:pPr>
      <w:r>
        <w:t>Word restricts the</w:t>
      </w:r>
      <w:r>
        <w:t xml:space="preserve"> value of this attribute to be at least 0.</w:t>
      </w:r>
    </w:p>
    <w:p w:rsidR="00024C0A" w:rsidRDefault="00694C0F">
      <w:pPr>
        <w:pStyle w:val="Heading3"/>
      </w:pPr>
      <w:bookmarkStart w:id="591" w:name="section_1e273b9e816940a691aaf9ebd083e0b8"/>
      <w:bookmarkStart w:id="592" w:name="_Toc12260356"/>
      <w:r>
        <w:t>Part 1 Section 17.9.21, numStyleLink (Numbering Style Reference)</w:t>
      </w:r>
      <w:bookmarkEnd w:id="591"/>
      <w:bookmarkEnd w:id="592"/>
      <w:r>
        <w:fldChar w:fldCharType="begin"/>
      </w:r>
      <w:r>
        <w:instrText xml:space="preserve"> XE "numStyleLink (Numbering Style Reference)" </w:instrText>
      </w:r>
      <w:r>
        <w:fldChar w:fldCharType="end"/>
      </w:r>
    </w:p>
    <w:p w:rsidR="00024C0A" w:rsidRDefault="00694C0F">
      <w:pPr>
        <w:pStyle w:val="Definition-Field"/>
      </w:pPr>
      <w:r>
        <w:t xml:space="preserve">a.   </w:t>
      </w:r>
      <w:r>
        <w:rPr>
          <w:i/>
        </w:rPr>
        <w:t>The standard does not limit the length of the value of the val attribute.</w:t>
      </w:r>
    </w:p>
    <w:p w:rsidR="00024C0A" w:rsidRDefault="00694C0F">
      <w:pPr>
        <w:pStyle w:val="Definition-Field2"/>
      </w:pPr>
      <w:r>
        <w:t>Word restricts the v</w:t>
      </w:r>
      <w:r>
        <w:t>alue of this attribute to be at most 253 characters.</w:t>
      </w:r>
    </w:p>
    <w:p w:rsidR="00024C0A" w:rsidRDefault="00694C0F">
      <w:pPr>
        <w:pStyle w:val="Heading3"/>
      </w:pPr>
      <w:bookmarkStart w:id="593" w:name="section_e0f793ec25174bd792363bd6a7f828b7"/>
      <w:bookmarkStart w:id="594" w:name="_Toc12260357"/>
      <w:r>
        <w:t>Part 1 Section 17.9.22, pPr (Numbering Level Associated Paragraph Properties)</w:t>
      </w:r>
      <w:bookmarkEnd w:id="593"/>
      <w:bookmarkEnd w:id="594"/>
      <w:r>
        <w:fldChar w:fldCharType="begin"/>
      </w:r>
      <w:r>
        <w:instrText xml:space="preserve"> XE "pPr (Numbering Level Associated Paragraph Properties)" </w:instrText>
      </w:r>
      <w:r>
        <w:fldChar w:fldCharType="end"/>
      </w:r>
    </w:p>
    <w:p w:rsidR="00024C0A" w:rsidRDefault="00694C0F">
      <w:pPr>
        <w:pStyle w:val="Definition-Field"/>
      </w:pPr>
      <w:r>
        <w:t xml:space="preserve">a.   </w:t>
      </w:r>
      <w:r>
        <w:rPr>
          <w:i/>
        </w:rPr>
        <w:t>The standard states that the cnfStyle, divId, pPrChange, r</w:t>
      </w:r>
      <w:r>
        <w:rPr>
          <w:i/>
        </w:rPr>
        <w:t>Pr, and sectPr elements are valid child elements of the pPr element.</w:t>
      </w:r>
    </w:p>
    <w:p w:rsidR="00024C0A" w:rsidRDefault="00694C0F">
      <w:pPr>
        <w:pStyle w:val="Definition-Field2"/>
      </w:pPr>
      <w:r>
        <w:t>Word does not allow these elements to be child elements of the pPr element.</w:t>
      </w:r>
    </w:p>
    <w:p w:rsidR="00024C0A" w:rsidRDefault="00694C0F">
      <w:pPr>
        <w:pStyle w:val="Definition-Field"/>
      </w:pPr>
      <w:r>
        <w:t xml:space="preserve">b.   </w:t>
      </w:r>
      <w:r>
        <w:rPr>
          <w:i/>
        </w:rPr>
        <w:t>The standard lists all pPr child elements as valid in the context of a numbering definition instance.</w:t>
      </w:r>
    </w:p>
    <w:p w:rsidR="00024C0A" w:rsidRDefault="00694C0F">
      <w:pPr>
        <w:pStyle w:val="Definition-Field2"/>
      </w:pPr>
      <w:r>
        <w:t>Word</w:t>
      </w:r>
      <w:r>
        <w:t xml:space="preserve"> only allows jc, ind, and tabs as child elements.</w:t>
      </w:r>
    </w:p>
    <w:p w:rsidR="00024C0A" w:rsidRDefault="00694C0F">
      <w:pPr>
        <w:pStyle w:val="Heading3"/>
      </w:pPr>
      <w:bookmarkStart w:id="595" w:name="section_97207d86e4564bd9bffa527cca14613e"/>
      <w:bookmarkStart w:id="596" w:name="_Toc12260358"/>
      <w:r>
        <w:t>Part 1 Section 17.9.23, pStyle (Paragraph Style's Associated Numbering Level)</w:t>
      </w:r>
      <w:bookmarkEnd w:id="595"/>
      <w:bookmarkEnd w:id="596"/>
      <w:r>
        <w:fldChar w:fldCharType="begin"/>
      </w:r>
      <w:r>
        <w:instrText xml:space="preserve"> XE "pStyle (Paragraph Style's Associated Numbering Level)" </w:instrText>
      </w:r>
      <w:r>
        <w:fldChar w:fldCharType="end"/>
      </w:r>
    </w:p>
    <w:p w:rsidR="00024C0A" w:rsidRDefault="00694C0F">
      <w:pPr>
        <w:pStyle w:val="Definition-Field2"/>
      </w:pPr>
      <w:r>
        <w:rPr>
          <w:i/>
        </w:rPr>
        <w:t>For additional notes that apply to this portion of the standard, p</w:t>
      </w:r>
      <w:r>
        <w:rPr>
          <w:i/>
        </w:rPr>
        <w:t xml:space="preserve">lease see the notes for </w:t>
      </w:r>
      <w:hyperlink w:anchor="Section_1e273b9e816940a691aaf9ebd083e0b8">
        <w:r>
          <w:rPr>
            <w:rStyle w:val="Hyperlink"/>
          </w:rPr>
          <w:t>numStyleLink, §17.9.21(a)</w:t>
        </w:r>
      </w:hyperlink>
      <w:r>
        <w:rPr>
          <w:i/>
        </w:rPr>
        <w:t>.</w:t>
      </w:r>
    </w:p>
    <w:p w:rsidR="00024C0A" w:rsidRDefault="00694C0F">
      <w:pPr>
        <w:pStyle w:val="Definition-Field"/>
      </w:pPr>
      <w:r>
        <w:t xml:space="preserve">a.   </w:t>
      </w:r>
      <w:r>
        <w:rPr>
          <w:i/>
        </w:rPr>
        <w:t>The standard does not limit the length of the value of the val attribute.</w:t>
      </w:r>
    </w:p>
    <w:p w:rsidR="00024C0A" w:rsidRDefault="00694C0F">
      <w:pPr>
        <w:pStyle w:val="Definition-Field2"/>
      </w:pPr>
      <w:r>
        <w:t>Word restricts the value of this attribute to be at most 253 ch</w:t>
      </w:r>
      <w:r>
        <w:t>aracters.</w:t>
      </w:r>
    </w:p>
    <w:p w:rsidR="00024C0A" w:rsidRDefault="00694C0F">
      <w:pPr>
        <w:pStyle w:val="Heading3"/>
      </w:pPr>
      <w:bookmarkStart w:id="597" w:name="section_ffb4a990b46f4e388db396fc13d0b0f6"/>
      <w:bookmarkStart w:id="598" w:name="_Toc12260359"/>
      <w:r>
        <w:t>Part 1 Section 17.9.24, rPr (Numbering Symbol Run Properties)</w:t>
      </w:r>
      <w:bookmarkEnd w:id="597"/>
      <w:bookmarkEnd w:id="598"/>
      <w:r>
        <w:fldChar w:fldCharType="begin"/>
      </w:r>
      <w:r>
        <w:instrText xml:space="preserve"> XE "rPr (Numbering Symbol Run Properties)" </w:instrText>
      </w:r>
      <w:r>
        <w:fldChar w:fldCharType="end"/>
      </w:r>
    </w:p>
    <w:p w:rsidR="00024C0A" w:rsidRDefault="00694C0F">
      <w:pPr>
        <w:pStyle w:val="Definition-Field"/>
      </w:pPr>
      <w:r>
        <w:t xml:space="preserve">a.   </w:t>
      </w:r>
      <w:r>
        <w:rPr>
          <w:i/>
        </w:rPr>
        <w:t>The standard states that the highlight, oMath, rPrChange, and rStyle elements are valid child elements of the rPr element.</w:t>
      </w:r>
    </w:p>
    <w:p w:rsidR="00024C0A" w:rsidRDefault="00694C0F">
      <w:pPr>
        <w:pStyle w:val="Definition-Field2"/>
      </w:pPr>
      <w:r>
        <w:t xml:space="preserve">Word does </w:t>
      </w:r>
      <w:r>
        <w:t>not allow these elements to be child elements of the rPr element.</w:t>
      </w:r>
    </w:p>
    <w:p w:rsidR="00024C0A" w:rsidRDefault="00694C0F">
      <w:pPr>
        <w:pStyle w:val="Heading3"/>
      </w:pPr>
      <w:bookmarkStart w:id="599" w:name="section_8f14505554224df0933de67a81c633cd"/>
      <w:bookmarkStart w:id="600" w:name="_Toc12260360"/>
      <w:r>
        <w:t>Part 1 Section 17.9.25, start (Starting Value)</w:t>
      </w:r>
      <w:bookmarkEnd w:id="599"/>
      <w:bookmarkEnd w:id="600"/>
      <w:r>
        <w:fldChar w:fldCharType="begin"/>
      </w:r>
      <w:r>
        <w:instrText xml:space="preserve"> XE "start (Starting Value)" </w:instrText>
      </w:r>
      <w:r>
        <w:fldChar w:fldCharType="end"/>
      </w:r>
    </w:p>
    <w:p w:rsidR="00024C0A" w:rsidRDefault="00694C0F">
      <w:pPr>
        <w:pStyle w:val="Definition-Field"/>
      </w:pPr>
      <w:r>
        <w:t xml:space="preserve">a.   </w:t>
      </w:r>
      <w:r>
        <w:rPr>
          <w:i/>
        </w:rPr>
        <w:t>The standard states that the values of the val attribute are defined by the XML Schema integer datatype.</w:t>
      </w:r>
    </w:p>
    <w:p w:rsidR="00024C0A" w:rsidRDefault="00694C0F">
      <w:pPr>
        <w:pStyle w:val="Definition-Field2"/>
      </w:pPr>
      <w:r>
        <w:t>Wo</w:t>
      </w:r>
      <w:r>
        <w:t>rd restricts the value of this attribute to be at least 0.</w:t>
      </w:r>
    </w:p>
    <w:p w:rsidR="00024C0A" w:rsidRDefault="00694C0F">
      <w:pPr>
        <w:pStyle w:val="Definition-Field"/>
      </w:pPr>
      <w:r>
        <w:t xml:space="preserve">b.   </w:t>
      </w:r>
      <w:r>
        <w:rPr>
          <w:i/>
        </w:rPr>
        <w:t>The standard allows start as a child of lvl (Numbering Level Override Definition).</w:t>
      </w:r>
    </w:p>
    <w:p w:rsidR="00024C0A" w:rsidRDefault="00694C0F">
      <w:pPr>
        <w:pStyle w:val="Definition-Field2"/>
      </w:pPr>
      <w:r>
        <w:lastRenderedPageBreak/>
        <w:t>Word ignores start if it is a child of lvl (Numbering Level Override Definition).</w:t>
      </w:r>
    </w:p>
    <w:p w:rsidR="00024C0A" w:rsidRDefault="00694C0F">
      <w:pPr>
        <w:pStyle w:val="Heading3"/>
      </w:pPr>
      <w:bookmarkStart w:id="601" w:name="section_b1483740789145e091dbe5672379847a"/>
      <w:bookmarkStart w:id="602" w:name="_Toc12260361"/>
      <w:r>
        <w:t>Part 1 Section 17.9.27, sty</w:t>
      </w:r>
      <w:r>
        <w:t>leLink (Numbering Style Definition)</w:t>
      </w:r>
      <w:bookmarkEnd w:id="601"/>
      <w:bookmarkEnd w:id="602"/>
      <w:r>
        <w:fldChar w:fldCharType="begin"/>
      </w:r>
      <w:r>
        <w:instrText xml:space="preserve"> XE "styleLink (Numbering Style Definition)"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w:t>
        </w:r>
        <w:r>
          <w:rPr>
            <w:rStyle w:val="Hyperlink"/>
          </w:rPr>
          <w:t>21(a)</w:t>
        </w:r>
      </w:hyperlink>
      <w:r>
        <w:rPr>
          <w:i/>
        </w:rPr>
        <w:t>.</w:t>
      </w:r>
    </w:p>
    <w:p w:rsidR="00024C0A" w:rsidRDefault="00694C0F">
      <w:pPr>
        <w:pStyle w:val="Definition-Field"/>
      </w:pPr>
      <w:r>
        <w:t xml:space="preserve">a.   </w:t>
      </w:r>
      <w:r>
        <w:rPr>
          <w:i/>
        </w:rPr>
        <w:t>The standard does not limit the length of the value of the val attribute.</w:t>
      </w:r>
    </w:p>
    <w:p w:rsidR="00024C0A" w:rsidRDefault="00694C0F">
      <w:pPr>
        <w:pStyle w:val="Definition-Field2"/>
      </w:pPr>
      <w:r>
        <w:t>Word restricts the value of this attribute to be at most 253 characters.</w:t>
      </w:r>
    </w:p>
    <w:p w:rsidR="00024C0A" w:rsidRDefault="00694C0F">
      <w:pPr>
        <w:pStyle w:val="Heading3"/>
      </w:pPr>
      <w:bookmarkStart w:id="603" w:name="section_e95359624cf342799367637241e4b195"/>
      <w:bookmarkStart w:id="604" w:name="_Toc12260362"/>
      <w:r>
        <w:t>Part 1 Section 17.10.1, evenAndOddHeaders (Different Even/Odd Page Headers and Footers)</w:t>
      </w:r>
      <w:bookmarkEnd w:id="603"/>
      <w:bookmarkEnd w:id="604"/>
      <w:r>
        <w:fldChar w:fldCharType="begin"/>
      </w:r>
      <w:r>
        <w:instrText xml:space="preserve"> XE "evenA</w:instrText>
      </w:r>
      <w:r>
        <w:instrText xml:space="preserve">ndOddHeaders (Different Even/Odd Page Headers and Footers)" </w:instrText>
      </w:r>
      <w:r>
        <w:fldChar w:fldCharType="end"/>
      </w:r>
    </w:p>
    <w:p w:rsidR="00024C0A" w:rsidRDefault="00694C0F">
      <w:pPr>
        <w:pStyle w:val="Definition-Field"/>
      </w:pPr>
      <w:r>
        <w:t xml:space="preserve">a.   </w:t>
      </w:r>
      <w:r>
        <w:rPr>
          <w:i/>
        </w:rPr>
        <w:t>The standard says the determination of even and odd pages is based on the ordinality of the pages.</w:t>
      </w:r>
    </w:p>
    <w:p w:rsidR="00024C0A" w:rsidRDefault="00694C0F">
      <w:pPr>
        <w:pStyle w:val="Definition-Field2"/>
      </w:pPr>
      <w:r>
        <w:t>Word uses the starting value of page numbering for the parent section to determine if the</w:t>
      </w:r>
      <w:r>
        <w:t xml:space="preserve"> first page is even or odd.  This is specified with the start attribute on pgNUmType element.</w:t>
      </w:r>
    </w:p>
    <w:p w:rsidR="00024C0A" w:rsidRDefault="00694C0F">
      <w:pPr>
        <w:pStyle w:val="Definition-Field"/>
      </w:pPr>
      <w:r>
        <w:t xml:space="preserve">b.   </w:t>
      </w:r>
      <w:r>
        <w:rPr>
          <w:i/>
        </w:rPr>
        <w:t>The standard says a missing header type shall use a new blank header.</w:t>
      </w:r>
    </w:p>
    <w:p w:rsidR="00024C0A" w:rsidRDefault="00694C0F">
      <w:pPr>
        <w:pStyle w:val="Definition-Field2"/>
      </w:pPr>
      <w:r>
        <w:t>If a header is missing in a section beyond the first section, Word uses the header from</w:t>
      </w:r>
      <w:r>
        <w:t xml:space="preserve"> the previous section.</w:t>
      </w:r>
    </w:p>
    <w:p w:rsidR="00024C0A" w:rsidRDefault="00694C0F">
      <w:pPr>
        <w:pStyle w:val="Heading3"/>
      </w:pPr>
      <w:bookmarkStart w:id="605" w:name="section_02af532c67914f63b4b2cd20e58dce91"/>
      <w:bookmarkStart w:id="606" w:name="_Toc12260363"/>
      <w:r>
        <w:t>Part 1 Section 17.10.2, footerReference (Footer Reference)</w:t>
      </w:r>
      <w:bookmarkEnd w:id="605"/>
      <w:bookmarkEnd w:id="606"/>
      <w:r>
        <w:fldChar w:fldCharType="begin"/>
      </w:r>
      <w:r>
        <w:instrText xml:space="preserve"> XE "footerReference (Footer Reference)"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024C0A" w:rsidRDefault="00694C0F">
      <w:pPr>
        <w:pStyle w:val="Definition-Field"/>
      </w:pPr>
      <w:r>
        <w:t xml:space="preserve">a.   </w:t>
      </w:r>
      <w:r>
        <w:rPr>
          <w:i/>
        </w:rPr>
        <w:t>The standard says the relationship type referenced by this element shall be http://schemas.openxmlformats.org/officeDocument/2006/footer.</w:t>
      </w:r>
    </w:p>
    <w:p w:rsidR="00024C0A" w:rsidRDefault="00694C0F">
      <w:pPr>
        <w:pStyle w:val="Definition-Field2"/>
      </w:pPr>
      <w:r>
        <w:t>Word uses the relat</w:t>
      </w:r>
      <w:r>
        <w:t>ionship type http://schemas.openxmlformats.org/officeDocument/2006/relationships/footer.</w:t>
      </w:r>
    </w:p>
    <w:p w:rsidR="00024C0A" w:rsidRDefault="00694C0F">
      <w:pPr>
        <w:pStyle w:val="Definition-Field"/>
      </w:pPr>
      <w:r>
        <w:t xml:space="preserve">b.   </w:t>
      </w:r>
      <w:r>
        <w:rPr>
          <w:i/>
        </w:rPr>
        <w:t>The standard says that when no footerReference for the odd page footer is specified, then the even page footer shall be inherited from the previous section.</w:t>
      </w:r>
    </w:p>
    <w:p w:rsidR="00024C0A" w:rsidRDefault="00694C0F">
      <w:pPr>
        <w:pStyle w:val="Definition-Field2"/>
      </w:pPr>
      <w:r>
        <w:t>In Wo</w:t>
      </w:r>
      <w:r>
        <w:t>rd, when no footerReference for the odd page footer is specified, then the odd page footer is inherited from the previous section.</w:t>
      </w:r>
    </w:p>
    <w:p w:rsidR="00024C0A" w:rsidRDefault="00694C0F">
      <w:pPr>
        <w:pStyle w:val="Heading3"/>
      </w:pPr>
      <w:bookmarkStart w:id="607" w:name="section_f9aa4dbcf5274fd6a115527aae5f7881"/>
      <w:bookmarkStart w:id="608" w:name="_Toc12260364"/>
      <w:r>
        <w:t>Part 1 Section 17.10.3, ftr (Footer)</w:t>
      </w:r>
      <w:bookmarkEnd w:id="607"/>
      <w:bookmarkEnd w:id="608"/>
      <w:r>
        <w:fldChar w:fldCharType="begin"/>
      </w:r>
      <w:r>
        <w:instrText xml:space="preserve"> XE "ftr (Footer)" </w:instrText>
      </w:r>
      <w:r>
        <w:fldChar w:fldCharType="end"/>
      </w:r>
    </w:p>
    <w:p w:rsidR="00024C0A" w:rsidRDefault="00694C0F">
      <w:pPr>
        <w:pStyle w:val="Definition-Field2"/>
      </w:pPr>
      <w:r>
        <w:rPr>
          <w:i/>
        </w:rPr>
        <w:t>For additional notes that apply to this portion of the standard, pl</w:t>
      </w:r>
      <w:r>
        <w:rPr>
          <w:i/>
        </w:rPr>
        <w:t xml:space="preserve">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24C0A" w:rsidRDefault="00694C0F">
      <w:pPr>
        <w:pStyle w:val="Heading3"/>
      </w:pPr>
      <w:bookmarkStart w:id="609" w:name="section_1b8a330cd8ca44a3b28ddb59f4203a66"/>
      <w:bookmarkStart w:id="610" w:name="_Toc12260365"/>
      <w:r>
        <w:t>Part 1 Section 17.10.4, hdr (Header)</w:t>
      </w:r>
      <w:bookmarkEnd w:id="609"/>
      <w:bookmarkEnd w:id="610"/>
      <w:r>
        <w:fldChar w:fldCharType="begin"/>
      </w:r>
      <w:r>
        <w:instrText xml:space="preserve"> XE "hdr (Header)" </w:instrText>
      </w:r>
      <w:r>
        <w:fldChar w:fldCharType="end"/>
      </w:r>
    </w:p>
    <w:p w:rsidR="00024C0A" w:rsidRDefault="00694C0F">
      <w:pPr>
        <w:pStyle w:val="Definition-Field2"/>
      </w:pPr>
      <w:r>
        <w:rPr>
          <w:i/>
        </w:rPr>
        <w:t>F</w:t>
      </w:r>
      <w:r>
        <w:rPr>
          <w:i/>
        </w:rPr>
        <w:t xml:space="preserve">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w:t>
        </w:r>
        <w:r>
          <w:rPr>
            <w:rStyle w:val="Hyperlink"/>
          </w:rPr>
          <w:t>78(c)</w:t>
        </w:r>
      </w:hyperlink>
      <w:r>
        <w:rPr>
          <w:i/>
        </w:rPr>
        <w:t>.</w:t>
      </w:r>
    </w:p>
    <w:p w:rsidR="00024C0A" w:rsidRDefault="00694C0F">
      <w:pPr>
        <w:pStyle w:val="Heading3"/>
      </w:pPr>
      <w:bookmarkStart w:id="611" w:name="section_5de15e593ec14f80aa4d00bdd447b86f"/>
      <w:bookmarkStart w:id="612" w:name="_Toc12260366"/>
      <w:r>
        <w:t>Part 1 Section 17.10.5, headerReference (Header Reference)</w:t>
      </w:r>
      <w:bookmarkEnd w:id="611"/>
      <w:bookmarkEnd w:id="612"/>
      <w:r>
        <w:fldChar w:fldCharType="begin"/>
      </w:r>
      <w:r>
        <w:instrText xml:space="preserve"> XE "headerReference (Header Reference)"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024C0A" w:rsidRDefault="00694C0F">
      <w:pPr>
        <w:pStyle w:val="Definition-Field"/>
      </w:pPr>
      <w:r>
        <w:lastRenderedPageBreak/>
        <w:t xml:space="preserve">a.   </w:t>
      </w:r>
      <w:r>
        <w:rPr>
          <w:i/>
        </w:rPr>
        <w:t>The standard says that the relationship type referenced by this element shall be http://schemas.openxmlformats.org/officeDocument/2006/header.</w:t>
      </w:r>
    </w:p>
    <w:p w:rsidR="00024C0A" w:rsidRDefault="00694C0F">
      <w:pPr>
        <w:pStyle w:val="Definition-Field2"/>
      </w:pPr>
      <w:r>
        <w:t xml:space="preserve">Word uses the relationship type </w:t>
      </w:r>
      <w:r>
        <w:t>http://schemas.openxmlformats.org/officeDocument/2006/relationships/header.</w:t>
      </w:r>
    </w:p>
    <w:p w:rsidR="00024C0A" w:rsidRDefault="00694C0F">
      <w:pPr>
        <w:pStyle w:val="Definition-Field"/>
      </w:pPr>
      <w:r>
        <w:t xml:space="preserve">b.   </w:t>
      </w:r>
      <w:r>
        <w:rPr>
          <w:i/>
        </w:rPr>
        <w:t>The standard says that if no headerReference for the odd page header is specified, then the even page header shall be inherited from the previous section.</w:t>
      </w:r>
    </w:p>
    <w:p w:rsidR="00024C0A" w:rsidRDefault="00694C0F">
      <w:pPr>
        <w:pStyle w:val="Definition-Field2"/>
      </w:pPr>
      <w:r>
        <w:t>In Word, if no heade</w:t>
      </w:r>
      <w:r>
        <w:t>rReference for the odd page header is specified, then the odd page header is inherited from the previous section.</w:t>
      </w:r>
    </w:p>
    <w:p w:rsidR="00024C0A" w:rsidRDefault="00694C0F">
      <w:pPr>
        <w:pStyle w:val="Heading3"/>
      </w:pPr>
      <w:bookmarkStart w:id="613" w:name="section_bce5f993d6834aa7825ebce25c64e8b8"/>
      <w:bookmarkStart w:id="614" w:name="_Toc12260367"/>
      <w:r>
        <w:t>Part 1 Section 17.10.6, titlePg (Different First Page Headers and Footers)</w:t>
      </w:r>
      <w:bookmarkEnd w:id="613"/>
      <w:bookmarkEnd w:id="614"/>
      <w:r>
        <w:fldChar w:fldCharType="begin"/>
      </w:r>
      <w:r>
        <w:instrText xml:space="preserve"> XE "titlePg (Different First Page Headers and Footers)" </w:instrText>
      </w:r>
      <w:r>
        <w:fldChar w:fldCharType="end"/>
      </w:r>
    </w:p>
    <w:p w:rsidR="00024C0A" w:rsidRDefault="00694C0F">
      <w:pPr>
        <w:pStyle w:val="Definition-Field"/>
      </w:pPr>
      <w:r>
        <w:t xml:space="preserve">a.   </w:t>
      </w:r>
      <w:r>
        <w:rPr>
          <w:i/>
        </w:rPr>
        <w:t>The</w:t>
      </w:r>
      <w:r>
        <w:rPr>
          <w:i/>
        </w:rPr>
        <w:t xml:space="preserve"> standard says that if titlePg is not specified, the first page shall use the odd page header/footer.</w:t>
      </w:r>
    </w:p>
    <w:p w:rsidR="00024C0A" w:rsidRDefault="00694C0F">
      <w:pPr>
        <w:pStyle w:val="Definition-Field2"/>
      </w:pPr>
      <w:r>
        <w:t>If the evenAndOddHeaders element is true, Word uses the odd/even state of the start attribute on the pgNumType element to determine whether to use the eve</w:t>
      </w:r>
      <w:r>
        <w:t>n or odd header on the first page.</w:t>
      </w:r>
    </w:p>
    <w:p w:rsidR="00024C0A" w:rsidRDefault="00694C0F">
      <w:pPr>
        <w:pStyle w:val="Definition-Field"/>
      </w:pPr>
      <w:r>
        <w:t xml:space="preserve">b.   </w:t>
      </w:r>
      <w:r>
        <w:rPr>
          <w:i/>
        </w:rPr>
        <w:t>The standard says that if this element is specified and no first page header is specified using headerReference, a blank first page header is used.</w:t>
      </w:r>
    </w:p>
    <w:p w:rsidR="00024C0A" w:rsidRDefault="00694C0F">
      <w:pPr>
        <w:pStyle w:val="Definition-Field2"/>
      </w:pPr>
      <w:r>
        <w:t>In Word, for all sections other than the first section in the docume</w:t>
      </w:r>
      <w:r>
        <w:t>nt, if this element is specified and no first page header is specified, then the first page header of the previous section is used.</w:t>
      </w:r>
    </w:p>
    <w:p w:rsidR="00024C0A" w:rsidRDefault="00694C0F">
      <w:pPr>
        <w:pStyle w:val="Heading3"/>
      </w:pPr>
      <w:bookmarkStart w:id="615" w:name="section_9a1dbfc1962449af810efbfd0922949c"/>
      <w:bookmarkStart w:id="616" w:name="_Toc12260368"/>
      <w:r>
        <w:t>Part 1 Section 17.11.2, endnote (Endnote Content)</w:t>
      </w:r>
      <w:bookmarkEnd w:id="615"/>
      <w:bookmarkEnd w:id="616"/>
      <w:r>
        <w:fldChar w:fldCharType="begin"/>
      </w:r>
      <w:r>
        <w:instrText xml:space="preserve"> XE "endnote (Endnote Content)" </w:instrText>
      </w:r>
      <w:r>
        <w:fldChar w:fldCharType="end"/>
      </w:r>
    </w:p>
    <w:p w:rsidR="00024C0A" w:rsidRDefault="00694C0F">
      <w:pPr>
        <w:pStyle w:val="Definition-Field2"/>
      </w:pPr>
      <w:r>
        <w:rPr>
          <w:i/>
        </w:rPr>
        <w:t xml:space="preserve">For additional notes that apply to this </w:t>
      </w:r>
      <w:r>
        <w:rPr>
          <w:i/>
        </w:rPr>
        <w:t xml:space="preserve">portion of the standard, please see the notes for </w:t>
      </w:r>
      <w:hyperlink w:anchor="Section_d5931152c596463d931edb02b303844b">
        <w:r>
          <w:rPr>
            <w:rStyle w:val="Hyperlink"/>
          </w:rPr>
          <w:t>footnote, §17.11.10(a)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24C0A" w:rsidRDefault="00694C0F">
      <w:pPr>
        <w:pStyle w:val="Definition-Field"/>
      </w:pPr>
      <w:r>
        <w:t xml:space="preserve">a.   </w:t>
      </w:r>
      <w:r>
        <w:rPr>
          <w:i/>
        </w:rPr>
        <w:t>The standard allows any integer for footnote or endnote ID.</w:t>
      </w:r>
    </w:p>
    <w:p w:rsidR="00024C0A" w:rsidRDefault="00694C0F">
      <w:pPr>
        <w:pStyle w:val="Definition-Field2"/>
      </w:pPr>
      <w:r>
        <w:t>Word only allows integers between -2147483648 and 32767.</w:t>
      </w:r>
    </w:p>
    <w:p w:rsidR="00024C0A" w:rsidRDefault="00694C0F">
      <w:pPr>
        <w:pStyle w:val="Heading3"/>
      </w:pPr>
      <w:bookmarkStart w:id="617" w:name="section_35d669a8a0a04176acf26f206cac5d4d"/>
      <w:bookmarkStart w:id="618" w:name="_Toc12260369"/>
      <w:r>
        <w:t>Part 1 Section 17.11.3, endnote (Special Endnot</w:t>
      </w:r>
      <w:r>
        <w:t>e List)</w:t>
      </w:r>
      <w:bookmarkEnd w:id="617"/>
      <w:bookmarkEnd w:id="618"/>
      <w:r>
        <w:fldChar w:fldCharType="begin"/>
      </w:r>
      <w:r>
        <w:instrText xml:space="preserve"> XE "endnote (Special Endnote List)" </w:instrText>
      </w:r>
      <w:r>
        <w:fldChar w:fldCharType="end"/>
      </w:r>
    </w:p>
    <w:p w:rsidR="00024C0A" w:rsidRDefault="00694C0F">
      <w:pPr>
        <w:pStyle w:val="Definition-Field"/>
      </w:pPr>
      <w:r>
        <w:t xml:space="preserve">a.   </w:t>
      </w:r>
      <w:r>
        <w:rPr>
          <w:i/>
        </w:rPr>
        <w:t>The standard allows any integer for footnote or endnote ID.</w:t>
      </w:r>
    </w:p>
    <w:p w:rsidR="00024C0A" w:rsidRDefault="00694C0F">
      <w:pPr>
        <w:pStyle w:val="Definition-Field2"/>
      </w:pPr>
      <w:r>
        <w:t>Word only allows integers between -2147483648 and 32767.</w:t>
      </w:r>
    </w:p>
    <w:p w:rsidR="00024C0A" w:rsidRDefault="00694C0F">
      <w:pPr>
        <w:pStyle w:val="Definition-Field"/>
      </w:pPr>
      <w:r>
        <w:t xml:space="preserve">b.   </w:t>
      </w:r>
      <w:r>
        <w:rPr>
          <w:i/>
        </w:rPr>
        <w:t>The standard says the footnote or endnote ID is used to match the ID in the footno</w:t>
      </w:r>
      <w:r>
        <w:rPr>
          <w:i/>
        </w:rPr>
        <w:t>teRef or endnoteRef, although footnoteRef and endnoteRef do not contain an ID.</w:t>
      </w:r>
    </w:p>
    <w:p w:rsidR="00024C0A" w:rsidRDefault="00694C0F">
      <w:pPr>
        <w:pStyle w:val="Definition-Field2"/>
      </w:pPr>
      <w:r>
        <w:t>In Word, the footnote or endnote ID is used to match the ID in the footnoteReference or endnoteReference.</w:t>
      </w:r>
    </w:p>
    <w:p w:rsidR="00024C0A" w:rsidRDefault="00694C0F">
      <w:pPr>
        <w:pStyle w:val="Heading3"/>
      </w:pPr>
      <w:bookmarkStart w:id="619" w:name="section_540efde2e14f4ab0b0aa7961a41fe10b"/>
      <w:bookmarkStart w:id="620" w:name="_Toc12260370"/>
      <w:r>
        <w:t>Part 1 Section 17.11.7, endnoteReference (Endnote Reference)</w:t>
      </w:r>
      <w:bookmarkEnd w:id="619"/>
      <w:bookmarkEnd w:id="620"/>
      <w:r>
        <w:fldChar w:fldCharType="begin"/>
      </w:r>
      <w:r>
        <w:instrText xml:space="preserve"> XE "endnot</w:instrText>
      </w:r>
      <w:r>
        <w:instrText xml:space="preserve">eReference (Endnote Reference)" </w:instrText>
      </w:r>
      <w:r>
        <w:fldChar w:fldCharType="end"/>
      </w:r>
    </w:p>
    <w:p w:rsidR="00024C0A" w:rsidRDefault="00694C0F">
      <w:pPr>
        <w:pStyle w:val="Definition-Field"/>
      </w:pPr>
      <w:r>
        <w:t xml:space="preserve">a.   </w:t>
      </w:r>
      <w:r>
        <w:rPr>
          <w:i/>
        </w:rPr>
        <w:t>The standard allows any integer for footnote or endnote ID.</w:t>
      </w:r>
    </w:p>
    <w:p w:rsidR="00024C0A" w:rsidRDefault="00694C0F">
      <w:pPr>
        <w:pStyle w:val="Definition-Field2"/>
      </w:pPr>
      <w:r>
        <w:t>Word only allows integers between -2147483648 and 32767.</w:t>
      </w:r>
    </w:p>
    <w:p w:rsidR="00024C0A" w:rsidRDefault="00694C0F">
      <w:pPr>
        <w:pStyle w:val="Definition-Field"/>
      </w:pPr>
      <w:r>
        <w:t xml:space="preserve">b.   </w:t>
      </w:r>
      <w:r>
        <w:rPr>
          <w:i/>
        </w:rPr>
        <w:t>The standard allows endnote references in comments and text boxes.</w:t>
      </w:r>
    </w:p>
    <w:p w:rsidR="00024C0A" w:rsidRDefault="00694C0F">
      <w:pPr>
        <w:pStyle w:val="Definition-Field2"/>
      </w:pPr>
      <w:r>
        <w:t>Word ignores this element i</w:t>
      </w:r>
      <w:r>
        <w:t>f it is specified in a comment or text box.</w:t>
      </w:r>
    </w:p>
    <w:p w:rsidR="00024C0A" w:rsidRDefault="00694C0F">
      <w:pPr>
        <w:pStyle w:val="Heading3"/>
      </w:pPr>
      <w:bookmarkStart w:id="621" w:name="section_568c6fabc68e4100a369804243c54d56"/>
      <w:bookmarkStart w:id="622" w:name="_Toc12260371"/>
      <w:r>
        <w:lastRenderedPageBreak/>
        <w:t>Part 1 Section 17.11.9, footnote (Special Footnote List)</w:t>
      </w:r>
      <w:bookmarkEnd w:id="621"/>
      <w:bookmarkEnd w:id="622"/>
      <w:r>
        <w:fldChar w:fldCharType="begin"/>
      </w:r>
      <w:r>
        <w:instrText xml:space="preserve"> XE "footnote (Special Footnote List)"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35d669a8a0a04176acf26f206cac5d4d">
        <w:r>
          <w:rPr>
            <w:rStyle w:val="Hyperlink"/>
          </w:rPr>
          <w:t>endnote, §17.11.3(a, b)</w:t>
        </w:r>
      </w:hyperlink>
      <w:r>
        <w:rPr>
          <w:i/>
        </w:rPr>
        <w:t>.</w:t>
      </w:r>
    </w:p>
    <w:p w:rsidR="00024C0A" w:rsidRDefault="00694C0F">
      <w:pPr>
        <w:pStyle w:val="Heading3"/>
      </w:pPr>
      <w:bookmarkStart w:id="623" w:name="section_d5931152c596463d931edb02b303844b"/>
      <w:bookmarkStart w:id="624" w:name="_Toc12260372"/>
      <w:r>
        <w:t>Part 1 Section 17.11.10, footnote (Footnote Content)</w:t>
      </w:r>
      <w:bookmarkEnd w:id="623"/>
      <w:bookmarkEnd w:id="624"/>
      <w:r>
        <w:fldChar w:fldCharType="begin"/>
      </w:r>
      <w:r>
        <w:instrText xml:space="preserve"> XE "footnote (Footnote Content)"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9a1dbfc1962449af810efbfd0922949c">
        <w:r>
          <w:rPr>
            <w:rStyle w:val="Hyperlink"/>
          </w:rPr>
          <w:t>endnote, §17.11.2(a)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24C0A" w:rsidRDefault="00694C0F">
      <w:pPr>
        <w:pStyle w:val="Definition-Field"/>
      </w:pPr>
      <w:r>
        <w:t xml:space="preserve">a.   </w:t>
      </w:r>
      <w:r>
        <w:rPr>
          <w:i/>
        </w:rPr>
        <w:t>The s</w:t>
      </w:r>
      <w:r>
        <w:rPr>
          <w:i/>
        </w:rPr>
        <w:t>tandard states that the id attribute is used to match the contents of a footnote or endnote using the footnoteRef or endnoteRef element.</w:t>
      </w:r>
    </w:p>
    <w:p w:rsidR="00024C0A" w:rsidRDefault="00694C0F">
      <w:pPr>
        <w:pStyle w:val="Definition-Field2"/>
      </w:pPr>
      <w:r>
        <w:t>Word uses this attribute to make this match using the footnoteReference/endnoteReference elements.</w:t>
      </w:r>
    </w:p>
    <w:p w:rsidR="00024C0A" w:rsidRDefault="00694C0F">
      <w:pPr>
        <w:pStyle w:val="Heading3"/>
      </w:pPr>
      <w:bookmarkStart w:id="625" w:name="section_d399b2b668ad4c7faba00d1b77a5aa60"/>
      <w:bookmarkStart w:id="626" w:name="_Toc12260373"/>
      <w:r>
        <w:t>Part 1 Section 17.11.14, footnoteReference (Footnote Reference)</w:t>
      </w:r>
      <w:bookmarkEnd w:id="625"/>
      <w:bookmarkEnd w:id="626"/>
      <w:r>
        <w:fldChar w:fldCharType="begin"/>
      </w:r>
      <w:r>
        <w:instrText xml:space="preserve"> XE "footnoteReference (Footnote Reference)"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540efde2e14f4ab0b0aa7961a41fe10b">
        <w:r>
          <w:rPr>
            <w:rStyle w:val="Hyperlink"/>
          </w:rPr>
          <w:t>endnoteReference, §17.11.7(a)</w:t>
        </w:r>
      </w:hyperlink>
      <w:r>
        <w:rPr>
          <w:i/>
        </w:rPr>
        <w:t>.</w:t>
      </w:r>
    </w:p>
    <w:p w:rsidR="00024C0A" w:rsidRDefault="00694C0F">
      <w:pPr>
        <w:pStyle w:val="Definition-Field"/>
      </w:pPr>
      <w:r>
        <w:t xml:space="preserve">a.   </w:t>
      </w:r>
      <w:r>
        <w:rPr>
          <w:i/>
        </w:rPr>
        <w:t>The standard states that footnote references can appear in comments and text boxes.</w:t>
      </w:r>
    </w:p>
    <w:p w:rsidR="00024C0A" w:rsidRDefault="00694C0F">
      <w:pPr>
        <w:pStyle w:val="Definition-Field2"/>
      </w:pPr>
      <w:r>
        <w:t>Word ignores this element if it is specified within a comment or text box.</w:t>
      </w:r>
    </w:p>
    <w:p w:rsidR="00024C0A" w:rsidRDefault="00694C0F">
      <w:pPr>
        <w:pStyle w:val="Heading3"/>
      </w:pPr>
      <w:bookmarkStart w:id="627" w:name="section_a910e9f7f95f49adad2368ea9a7922cd"/>
      <w:bookmarkStart w:id="628" w:name="_Toc12260374"/>
      <w:r>
        <w:t>Part 1 Section 17.11.17, numFmt (Endnote Numbering Fo</w:t>
      </w:r>
      <w:r>
        <w:t>rmat)</w:t>
      </w:r>
      <w:bookmarkEnd w:id="627"/>
      <w:bookmarkEnd w:id="628"/>
      <w:r>
        <w:fldChar w:fldCharType="begin"/>
      </w:r>
      <w:r>
        <w:instrText xml:space="preserve"> XE "numFmt (Endnote Numbering Format)" </w:instrText>
      </w:r>
      <w:r>
        <w:fldChar w:fldCharType="end"/>
      </w:r>
    </w:p>
    <w:p w:rsidR="00024C0A" w:rsidRDefault="00694C0F">
      <w:pPr>
        <w:pStyle w:val="Definition-Field"/>
      </w:pPr>
      <w:r>
        <w:t xml:space="preserve">a.   </w:t>
      </w:r>
      <w:r>
        <w:rPr>
          <w:i/>
        </w:rPr>
        <w:t>The standard says the default value for endnote numbering format is decimal.</w:t>
      </w:r>
    </w:p>
    <w:p w:rsidR="00024C0A" w:rsidRDefault="00694C0F">
      <w:pPr>
        <w:pStyle w:val="Definition-Field2"/>
      </w:pPr>
      <w:r>
        <w:t>In Word, the default value for endnote numbering format is lowerRoman.</w:t>
      </w:r>
    </w:p>
    <w:p w:rsidR="00024C0A" w:rsidRDefault="00694C0F">
      <w:pPr>
        <w:pStyle w:val="Definition-Field"/>
      </w:pPr>
      <w:r>
        <w:t xml:space="preserve">b.   </w:t>
      </w:r>
      <w:r>
        <w:rPr>
          <w:i/>
        </w:rPr>
        <w:t>The standard allows the numFmt to be set to bullet</w:t>
      </w:r>
      <w:r>
        <w:rPr>
          <w:i/>
        </w:rPr>
        <w:t xml:space="preserve"> numbering format.</w:t>
      </w:r>
    </w:p>
    <w:p w:rsidR="00024C0A" w:rsidRDefault="00694C0F">
      <w:pPr>
        <w:pStyle w:val="Definition-Field2"/>
      </w:pPr>
      <w:r>
        <w:t>If numFmt is set to bullet numbering format, Word uses decimal numbering format instead.</w:t>
      </w:r>
    </w:p>
    <w:p w:rsidR="00024C0A" w:rsidRDefault="00694C0F">
      <w:pPr>
        <w:pStyle w:val="Definition-Field"/>
      </w:pPr>
      <w:r>
        <w:t xml:space="preserve">c.   </w:t>
      </w:r>
      <w:r>
        <w:rPr>
          <w:i/>
        </w:rPr>
        <w:t>The standard says the endnote numFmt specifies the numbering format which shall be used for both footnotes and endnotes.</w:t>
      </w:r>
    </w:p>
    <w:p w:rsidR="00024C0A" w:rsidRDefault="00694C0F">
      <w:pPr>
        <w:pStyle w:val="Definition-Field2"/>
      </w:pPr>
      <w:r>
        <w:t>In Word, the footnotes</w:t>
      </w:r>
      <w:r>
        <w:t xml:space="preserve"> numFmt specifies the numbering format for footnotes and the endnote numFmt specifies the numbering format for endnotes.</w:t>
      </w:r>
    </w:p>
    <w:p w:rsidR="00024C0A" w:rsidRDefault="00694C0F">
      <w:pPr>
        <w:pStyle w:val="Heading3"/>
      </w:pPr>
      <w:bookmarkStart w:id="629" w:name="section_5101925a4b134c999081b00a1eb63ac4"/>
      <w:bookmarkStart w:id="630" w:name="_Toc12260375"/>
      <w:r>
        <w:t>Part 1 Section 17.11.18, numFmt (Footnote Numbering Format)</w:t>
      </w:r>
      <w:bookmarkEnd w:id="629"/>
      <w:bookmarkEnd w:id="630"/>
      <w:r>
        <w:fldChar w:fldCharType="begin"/>
      </w:r>
      <w:r>
        <w:instrText xml:space="preserve"> XE "numFmt (Footnote Numbering Format)" </w:instrText>
      </w:r>
      <w:r>
        <w:fldChar w:fldCharType="end"/>
      </w:r>
    </w:p>
    <w:p w:rsidR="00024C0A" w:rsidRDefault="00694C0F">
      <w:pPr>
        <w:pStyle w:val="Definition-Field"/>
      </w:pPr>
      <w:r>
        <w:t xml:space="preserve">a.   </w:t>
      </w:r>
      <w:r>
        <w:rPr>
          <w:i/>
        </w:rPr>
        <w:t>The standard says the footn</w:t>
      </w:r>
      <w:r>
        <w:rPr>
          <w:i/>
        </w:rPr>
        <w:t>ote numFmt specifies the numbering format that shall be used for both footnotes and endnotes.</w:t>
      </w:r>
    </w:p>
    <w:p w:rsidR="00024C0A" w:rsidRDefault="00694C0F">
      <w:pPr>
        <w:pStyle w:val="Definition-Field2"/>
      </w:pPr>
      <w:r>
        <w:t>In Word, the footnotes numFmt specifies the numbering format for footnotes and the endnote numFmt specifies the numbering format for endnotes.</w:t>
      </w:r>
    </w:p>
    <w:p w:rsidR="00024C0A" w:rsidRDefault="00694C0F">
      <w:pPr>
        <w:pStyle w:val="Definition-Field"/>
      </w:pPr>
      <w:r>
        <w:t xml:space="preserve">b.   </w:t>
      </w:r>
      <w:r>
        <w:rPr>
          <w:i/>
        </w:rPr>
        <w:t>The standard a</w:t>
      </w:r>
      <w:r>
        <w:rPr>
          <w:i/>
        </w:rPr>
        <w:t>llows the numFmt to be set to bullet numbering format.</w:t>
      </w:r>
    </w:p>
    <w:p w:rsidR="00024C0A" w:rsidRDefault="00694C0F">
      <w:pPr>
        <w:pStyle w:val="Definition-Field2"/>
      </w:pPr>
      <w:r>
        <w:t>If numFmt is set to bullet numbering format, Word uses decimal numbering format instead.</w:t>
      </w:r>
    </w:p>
    <w:p w:rsidR="00024C0A" w:rsidRDefault="00694C0F">
      <w:pPr>
        <w:pStyle w:val="Heading3"/>
      </w:pPr>
      <w:bookmarkStart w:id="631" w:name="section_3d4f2605895d43f79d2ae695b1062787"/>
      <w:bookmarkStart w:id="632" w:name="_Toc12260376"/>
      <w:r>
        <w:t>Part 1 Section 17.11.20, numStart (Footnote and Endnote Numbering Starting Value)</w:t>
      </w:r>
      <w:bookmarkEnd w:id="631"/>
      <w:bookmarkEnd w:id="632"/>
      <w:r>
        <w:fldChar w:fldCharType="begin"/>
      </w:r>
      <w:r>
        <w:instrText xml:space="preserve"> XE "numStart (Footnote and End</w:instrText>
      </w:r>
      <w:r>
        <w:instrText xml:space="preserve">note Numbering Starting Value)" </w:instrText>
      </w:r>
      <w:r>
        <w:fldChar w:fldCharType="end"/>
      </w:r>
    </w:p>
    <w:p w:rsidR="00024C0A" w:rsidRDefault="00694C0F">
      <w:pPr>
        <w:pStyle w:val="Definition-Field"/>
      </w:pPr>
      <w:r>
        <w:t xml:space="preserve">a.   </w:t>
      </w:r>
      <w:r>
        <w:rPr>
          <w:i/>
        </w:rPr>
        <w:t>The standard states that the values of the val attribute are defined by the XML Schema integer datatype.</w:t>
      </w:r>
    </w:p>
    <w:p w:rsidR="00024C0A" w:rsidRDefault="00694C0F">
      <w:pPr>
        <w:pStyle w:val="Definition-Field2"/>
      </w:pPr>
      <w:r>
        <w:lastRenderedPageBreak/>
        <w:t>Word defines the values of this attribute with the XML Schema unsignedShort datatype.</w:t>
      </w:r>
    </w:p>
    <w:p w:rsidR="00024C0A" w:rsidRDefault="00694C0F">
      <w:pPr>
        <w:pStyle w:val="Heading3"/>
      </w:pPr>
      <w:bookmarkStart w:id="633" w:name="section_5e9e5e99e0434691baec1b732916259b"/>
      <w:bookmarkStart w:id="634" w:name="_Toc12260377"/>
      <w:r>
        <w:t xml:space="preserve">Part 1 Section 17.11.21, </w:t>
      </w:r>
      <w:r>
        <w:t>pos (Footnote Placement)</w:t>
      </w:r>
      <w:bookmarkEnd w:id="633"/>
      <w:bookmarkEnd w:id="634"/>
      <w:r>
        <w:fldChar w:fldCharType="begin"/>
      </w:r>
      <w:r>
        <w:instrText xml:space="preserve"> XE "pos (Footnote Placement)" </w:instrText>
      </w:r>
      <w:r>
        <w:fldChar w:fldCharType="end"/>
      </w:r>
    </w:p>
    <w:p w:rsidR="00024C0A" w:rsidRDefault="00694C0F">
      <w:pPr>
        <w:pStyle w:val="Definition-Field"/>
      </w:pPr>
      <w:r>
        <w:t xml:space="preserve">a.   </w:t>
      </w:r>
      <w:r>
        <w:rPr>
          <w:i/>
        </w:rPr>
        <w:t>The standard states that footnote placement operates at the document level and is ignored at the section level.</w:t>
      </w:r>
    </w:p>
    <w:p w:rsidR="00024C0A" w:rsidRDefault="00694C0F">
      <w:pPr>
        <w:pStyle w:val="Definition-Field2"/>
      </w:pPr>
      <w:r>
        <w:t>Word determines footnote placement from the section level and ignores the setting</w:t>
      </w:r>
      <w:r>
        <w:t xml:space="preserve"> at the document level.</w:t>
      </w:r>
    </w:p>
    <w:p w:rsidR="00024C0A" w:rsidRDefault="00694C0F">
      <w:pPr>
        <w:pStyle w:val="Heading3"/>
      </w:pPr>
      <w:bookmarkStart w:id="635" w:name="section_120023b2ce194bc79f3d619ff7e1d81e"/>
      <w:bookmarkStart w:id="636" w:name="_Toc12260378"/>
      <w:r>
        <w:t>Part 1 Section 17.12.6, docPartBody (Contents of Glossary Document Entry)</w:t>
      </w:r>
      <w:bookmarkEnd w:id="635"/>
      <w:bookmarkEnd w:id="636"/>
      <w:r>
        <w:fldChar w:fldCharType="begin"/>
      </w:r>
      <w:r>
        <w:instrText xml:space="preserve"> XE "docPartBody (Contents of Glossary Document Entry)"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24C0A" w:rsidRDefault="00694C0F">
      <w:pPr>
        <w:pStyle w:val="Heading3"/>
      </w:pPr>
      <w:bookmarkStart w:id="637" w:name="section_c6dde08d044443058e44c23a0a66aab0"/>
      <w:bookmarkStart w:id="638" w:name="_Toc12260379"/>
      <w:r>
        <w:t>Part 1 Section 17.12.7, docPartPr (Glossary Document Entry Properties)</w:t>
      </w:r>
      <w:bookmarkEnd w:id="637"/>
      <w:bookmarkEnd w:id="638"/>
      <w:r>
        <w:fldChar w:fldCharType="begin"/>
      </w:r>
      <w:r>
        <w:instrText xml:space="preserve"> XE "docPartPr (Glossa</w:instrText>
      </w:r>
      <w:r>
        <w:instrText xml:space="preserve">ry Document Entry Properties)" </w:instrText>
      </w:r>
      <w:r>
        <w:fldChar w:fldCharType="end"/>
      </w:r>
    </w:p>
    <w:p w:rsidR="00024C0A" w:rsidRDefault="00694C0F">
      <w:pPr>
        <w:pStyle w:val="Definition-Field"/>
      </w:pPr>
      <w:r>
        <w:t xml:space="preserve">a.   </w:t>
      </w:r>
      <w:r>
        <w:rPr>
          <w:i/>
        </w:rPr>
        <w:t>The standard states that there can be multiple occurrences of any given child element.</w:t>
      </w:r>
    </w:p>
    <w:p w:rsidR="00024C0A" w:rsidRDefault="00694C0F">
      <w:pPr>
        <w:pStyle w:val="Definition-Field2"/>
      </w:pPr>
      <w:r>
        <w:t>Word ignores all except the last occurrence of any given child element.</w:t>
      </w:r>
    </w:p>
    <w:p w:rsidR="00024C0A" w:rsidRDefault="00694C0F">
      <w:pPr>
        <w:pStyle w:val="Heading3"/>
      </w:pPr>
      <w:bookmarkStart w:id="639" w:name="section_14fb7c6771444eb1baab7076dfd03d90"/>
      <w:bookmarkStart w:id="640" w:name="_Toc12260380"/>
      <w:r>
        <w:t>Part 1 Section 17.12.8, docParts (List of Glossary Documen</w:t>
      </w:r>
      <w:r>
        <w:t>t Entries)</w:t>
      </w:r>
      <w:bookmarkEnd w:id="639"/>
      <w:bookmarkEnd w:id="640"/>
      <w:r>
        <w:fldChar w:fldCharType="begin"/>
      </w:r>
      <w:r>
        <w:instrText xml:space="preserve"> XE "docParts (List of Glossary Document Entries)" </w:instrText>
      </w:r>
      <w:r>
        <w:fldChar w:fldCharType="end"/>
      </w:r>
    </w:p>
    <w:p w:rsidR="00024C0A" w:rsidRDefault="00694C0F">
      <w:pPr>
        <w:pStyle w:val="Definition-Field"/>
      </w:pPr>
      <w:r>
        <w:t xml:space="preserve">a.   </w:t>
      </w:r>
      <w:r>
        <w:rPr>
          <w:i/>
        </w:rPr>
        <w:t>The standard states that docParts must have at least 1 child element docPart</w:t>
      </w:r>
    </w:p>
    <w:p w:rsidR="00024C0A" w:rsidRDefault="00694C0F">
      <w:pPr>
        <w:pStyle w:val="Definition-Field2"/>
      </w:pPr>
      <w:r>
        <w:t>Word can write out a document with 0 docPart elements</w:t>
      </w:r>
    </w:p>
    <w:p w:rsidR="00024C0A" w:rsidRDefault="00694C0F">
      <w:pPr>
        <w:pStyle w:val="Heading3"/>
      </w:pPr>
      <w:bookmarkStart w:id="641" w:name="section_2f42e7a6a0144392846153a493241d28"/>
      <w:bookmarkStart w:id="642" w:name="_Toc12260381"/>
      <w:r>
        <w:t>Part 1 Section 17.13.4.2, comment (Comment Content)</w:t>
      </w:r>
      <w:bookmarkEnd w:id="641"/>
      <w:bookmarkEnd w:id="642"/>
      <w:r>
        <w:fldChar w:fldCharType="begin"/>
      </w:r>
      <w:r>
        <w:instrText xml:space="preserve"> XE "comment (Comment Content)"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24C0A" w:rsidRDefault="00694C0F">
      <w:pPr>
        <w:pStyle w:val="Definition-Field"/>
      </w:pPr>
      <w:r>
        <w:t xml:space="preserve">a.   </w:t>
      </w:r>
      <w:r>
        <w:rPr>
          <w:i/>
        </w:rPr>
        <w:t xml:space="preserve">The standard does not limit the </w:t>
      </w:r>
      <w:r>
        <w:rPr>
          <w:i/>
        </w:rPr>
        <w:t>length of the value of the initials attribute.</w:t>
      </w:r>
    </w:p>
    <w:p w:rsidR="00024C0A" w:rsidRDefault="00694C0F">
      <w:pPr>
        <w:pStyle w:val="Definition-Field2"/>
      </w:pPr>
      <w:r>
        <w:t>Word restricts the value of this attribute to be at most nine characters.</w:t>
      </w:r>
    </w:p>
    <w:p w:rsidR="00024C0A" w:rsidRDefault="00694C0F">
      <w:pPr>
        <w:pStyle w:val="Definition-Field"/>
      </w:pPr>
      <w:r>
        <w:t xml:space="preserve">b.   </w:t>
      </w:r>
      <w:r>
        <w:rPr>
          <w:i/>
        </w:rPr>
        <w:t>The standard allows revisions inside comments.</w:t>
      </w:r>
    </w:p>
    <w:p w:rsidR="00024C0A" w:rsidRDefault="00694C0F">
      <w:r>
        <w:t>Word does not support having revisions in comments and the following revision eleme</w:t>
      </w:r>
      <w:r>
        <w:t xml:space="preserve">nts should not appear in comment content: </w:t>
      </w:r>
    </w:p>
    <w:tbl>
      <w:tblPr>
        <w:tblStyle w:val="Table-ShadedHeader"/>
        <w:tblW w:w="0" w:type="auto"/>
        <w:tblLook w:val="04A0" w:firstRow="1" w:lastRow="0" w:firstColumn="1" w:lastColumn="0" w:noHBand="0" w:noVBand="1"/>
      </w:tblPr>
      <w:tblGrid>
        <w:gridCol w:w="9475"/>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Revision Elements</w:t>
            </w:r>
          </w:p>
        </w:tc>
      </w:tr>
      <w:tr w:rsidR="00024C0A" w:rsidTr="00024C0A">
        <w:tc>
          <w:tcPr>
            <w:tcW w:w="0" w:type="auto"/>
            <w:vAlign w:val="center"/>
          </w:tcPr>
          <w:p w:rsidR="00024C0A" w:rsidRDefault="00694C0F">
            <w:pPr>
              <w:pStyle w:val="TableBodyText"/>
            </w:pPr>
            <w:r>
              <w:rPr>
                <w:b/>
              </w:rPr>
              <w:t>cellDel</w:t>
            </w:r>
            <w:r>
              <w:t xml:space="preserve"> ("</w:t>
            </w:r>
            <w:hyperlink r:id="rId93">
              <w:r>
                <w:rPr>
                  <w:rStyle w:val="Hyperlink"/>
                </w:rPr>
                <w:t>[ISO/IEC-29500-1]</w:t>
              </w:r>
            </w:hyperlink>
            <w:r>
              <w:t xml:space="preserve"> §17.13.5.1; cellDel") </w:t>
            </w:r>
          </w:p>
        </w:tc>
      </w:tr>
      <w:tr w:rsidR="00024C0A" w:rsidTr="00024C0A">
        <w:tc>
          <w:tcPr>
            <w:tcW w:w="0" w:type="auto"/>
            <w:vAlign w:val="center"/>
          </w:tcPr>
          <w:p w:rsidR="00024C0A" w:rsidRDefault="00694C0F">
            <w:pPr>
              <w:pStyle w:val="TableBodyText"/>
            </w:pPr>
            <w:r>
              <w:rPr>
                <w:b/>
              </w:rPr>
              <w:t>cellIns</w:t>
            </w:r>
            <w:r>
              <w:t xml:space="preserve"> ("[ISO/IEC-29500-1] §17.13.5.2; cellIns") </w:t>
            </w:r>
          </w:p>
        </w:tc>
      </w:tr>
      <w:tr w:rsidR="00024C0A" w:rsidTr="00024C0A">
        <w:tc>
          <w:tcPr>
            <w:tcW w:w="0" w:type="auto"/>
            <w:vAlign w:val="center"/>
          </w:tcPr>
          <w:p w:rsidR="00024C0A" w:rsidRDefault="00694C0F">
            <w:pPr>
              <w:pStyle w:val="TableBodyText"/>
            </w:pPr>
            <w:r>
              <w:rPr>
                <w:b/>
              </w:rPr>
              <w:t>cellMerge</w:t>
            </w:r>
            <w:r>
              <w:t xml:space="preserve"> ("[ISO/IEC-295</w:t>
            </w:r>
            <w:r>
              <w:t xml:space="preserve">00-1] §17.13.5.3; cellMerge"); </w:t>
            </w:r>
          </w:p>
        </w:tc>
      </w:tr>
      <w:tr w:rsidR="00024C0A" w:rsidTr="00024C0A">
        <w:tc>
          <w:tcPr>
            <w:tcW w:w="0" w:type="auto"/>
            <w:vAlign w:val="center"/>
          </w:tcPr>
          <w:p w:rsidR="00024C0A" w:rsidRDefault="00694C0F">
            <w:pPr>
              <w:pStyle w:val="TableBodyText"/>
            </w:pPr>
            <w:r>
              <w:rPr>
                <w:b/>
              </w:rPr>
              <w:t>customXmlDelRangeEnd</w:t>
            </w:r>
            <w:r>
              <w:t xml:space="preserve"> ("[ISO/IEC-29500-1] §17.13.5.4; customXmlDelRangeEnd")</w:t>
            </w:r>
          </w:p>
        </w:tc>
      </w:tr>
      <w:tr w:rsidR="00024C0A" w:rsidTr="00024C0A">
        <w:tc>
          <w:tcPr>
            <w:tcW w:w="0" w:type="auto"/>
            <w:vAlign w:val="center"/>
          </w:tcPr>
          <w:p w:rsidR="00024C0A" w:rsidRDefault="00694C0F">
            <w:pPr>
              <w:pStyle w:val="TableBodyText"/>
            </w:pPr>
            <w:r>
              <w:rPr>
                <w:b/>
              </w:rPr>
              <w:t>customXmlDelRangeStart</w:t>
            </w:r>
            <w:r>
              <w:t xml:space="preserve"> ("[ISO/IEC-29500-1] §17.13.5.5; customXmlDelRangeStart")</w:t>
            </w:r>
          </w:p>
        </w:tc>
      </w:tr>
      <w:tr w:rsidR="00024C0A" w:rsidTr="00024C0A">
        <w:tc>
          <w:tcPr>
            <w:tcW w:w="0" w:type="auto"/>
            <w:vAlign w:val="center"/>
          </w:tcPr>
          <w:p w:rsidR="00024C0A" w:rsidRDefault="00694C0F">
            <w:pPr>
              <w:pStyle w:val="TableBodyText"/>
            </w:pPr>
            <w:r>
              <w:rPr>
                <w:b/>
              </w:rPr>
              <w:t>customXmlInsRangeEnd</w:t>
            </w:r>
            <w:r>
              <w:t xml:space="preserve"> ("[ISO/IEC-29500-1]</w:t>
            </w:r>
            <w:r>
              <w:t xml:space="preserve"> §17.13.5.6; customXmlInsRangeEnd")</w:t>
            </w:r>
          </w:p>
        </w:tc>
      </w:tr>
      <w:tr w:rsidR="00024C0A" w:rsidTr="00024C0A">
        <w:tc>
          <w:tcPr>
            <w:tcW w:w="0" w:type="auto"/>
            <w:vAlign w:val="center"/>
          </w:tcPr>
          <w:p w:rsidR="00024C0A" w:rsidRDefault="00694C0F">
            <w:pPr>
              <w:pStyle w:val="TableBodyText"/>
            </w:pPr>
            <w:r>
              <w:rPr>
                <w:b/>
              </w:rPr>
              <w:t>customXmlInsRangeStart</w:t>
            </w:r>
            <w:r>
              <w:t xml:space="preserve"> ("[ISO/IEC-29500-1] §17.13.5.7; customXmlInsRangeStart")</w:t>
            </w:r>
          </w:p>
        </w:tc>
      </w:tr>
      <w:tr w:rsidR="00024C0A" w:rsidTr="00024C0A">
        <w:tc>
          <w:tcPr>
            <w:tcW w:w="0" w:type="auto"/>
            <w:vAlign w:val="center"/>
          </w:tcPr>
          <w:p w:rsidR="00024C0A" w:rsidRDefault="00694C0F">
            <w:pPr>
              <w:pStyle w:val="TableBodyText"/>
            </w:pPr>
            <w:r>
              <w:rPr>
                <w:b/>
              </w:rPr>
              <w:lastRenderedPageBreak/>
              <w:t>customXmlMoveFromRangeEnd</w:t>
            </w:r>
            <w:r>
              <w:t xml:space="preserve"> ("[ISO/IEC-29500-1] §17.13.5.8; customXmlMoveFromRangeEnd")</w:t>
            </w:r>
          </w:p>
        </w:tc>
      </w:tr>
      <w:tr w:rsidR="00024C0A" w:rsidTr="00024C0A">
        <w:tc>
          <w:tcPr>
            <w:tcW w:w="0" w:type="auto"/>
            <w:vAlign w:val="center"/>
          </w:tcPr>
          <w:p w:rsidR="00024C0A" w:rsidRDefault="00694C0F">
            <w:pPr>
              <w:pStyle w:val="TableBodyText"/>
            </w:pPr>
            <w:r>
              <w:rPr>
                <w:b/>
              </w:rPr>
              <w:t>customXmlMoveFromRangeStart</w:t>
            </w:r>
            <w:r>
              <w:t xml:space="preserve"> ("[ISO/IEC-29500-1] §17</w:t>
            </w:r>
            <w:r>
              <w:t>.13.5.9; customXmlMoveFromRangeStart")</w:t>
            </w:r>
          </w:p>
        </w:tc>
      </w:tr>
      <w:tr w:rsidR="00024C0A" w:rsidTr="00024C0A">
        <w:tc>
          <w:tcPr>
            <w:tcW w:w="0" w:type="auto"/>
            <w:vAlign w:val="center"/>
          </w:tcPr>
          <w:p w:rsidR="00024C0A" w:rsidRDefault="00694C0F">
            <w:pPr>
              <w:pStyle w:val="TableBodyText"/>
            </w:pPr>
            <w:r>
              <w:rPr>
                <w:b/>
              </w:rPr>
              <w:t>customXmlMoveToRangeEnd</w:t>
            </w:r>
            <w:r>
              <w:t xml:space="preserve"> ("[ISO/IEC-29500-1] §17.13.5.10; customXmlMoveToRangeEnd")</w:t>
            </w:r>
          </w:p>
        </w:tc>
      </w:tr>
      <w:tr w:rsidR="00024C0A" w:rsidTr="00024C0A">
        <w:tc>
          <w:tcPr>
            <w:tcW w:w="0" w:type="auto"/>
            <w:vAlign w:val="center"/>
          </w:tcPr>
          <w:p w:rsidR="00024C0A" w:rsidRDefault="00694C0F">
            <w:pPr>
              <w:pStyle w:val="TableBodyText"/>
            </w:pPr>
            <w:r>
              <w:rPr>
                <w:b/>
              </w:rPr>
              <w:t>customXmlMoveToRangeStart</w:t>
            </w:r>
            <w:r>
              <w:t xml:space="preserve"> ("[ISO/IEC-29500-1] §17.13.5.11; customXmlMoveToRangeStart")</w:t>
            </w:r>
          </w:p>
        </w:tc>
      </w:tr>
      <w:tr w:rsidR="00024C0A" w:rsidTr="00024C0A">
        <w:tc>
          <w:tcPr>
            <w:tcW w:w="0" w:type="auto"/>
            <w:vAlign w:val="center"/>
          </w:tcPr>
          <w:p w:rsidR="00024C0A" w:rsidRDefault="00694C0F">
            <w:pPr>
              <w:pStyle w:val="TableBodyText"/>
            </w:pPr>
            <w:r>
              <w:rPr>
                <w:b/>
              </w:rPr>
              <w:t>del</w:t>
            </w:r>
            <w:r>
              <w:t xml:space="preserve"> ("[ISO/IEC-29500-1] §17.13.5.14; del")</w:t>
            </w:r>
          </w:p>
        </w:tc>
      </w:tr>
      <w:tr w:rsidR="00024C0A" w:rsidTr="00024C0A">
        <w:tc>
          <w:tcPr>
            <w:tcW w:w="0" w:type="auto"/>
            <w:vAlign w:val="center"/>
          </w:tcPr>
          <w:p w:rsidR="00024C0A" w:rsidRDefault="00694C0F">
            <w:pPr>
              <w:pStyle w:val="TableBodyText"/>
            </w:pPr>
            <w:r>
              <w:rPr>
                <w:b/>
              </w:rPr>
              <w:t>del</w:t>
            </w:r>
            <w:r>
              <w:t xml:space="preserve"> ("[ISO/IEC-29500-1] §17.13.5.15; del")</w:t>
            </w:r>
          </w:p>
        </w:tc>
      </w:tr>
      <w:tr w:rsidR="00024C0A" w:rsidTr="00024C0A">
        <w:tc>
          <w:tcPr>
            <w:tcW w:w="0" w:type="auto"/>
            <w:vAlign w:val="center"/>
          </w:tcPr>
          <w:p w:rsidR="00024C0A" w:rsidRDefault="00694C0F">
            <w:pPr>
              <w:pStyle w:val="TableBodyText"/>
            </w:pPr>
            <w:r>
              <w:rPr>
                <w:b/>
              </w:rPr>
              <w:t>del</w:t>
            </w:r>
            <w:r>
              <w:t xml:space="preserve"> ("[ISO/IEC-29500-1] §17.13.5.12; del")</w:t>
            </w:r>
          </w:p>
        </w:tc>
      </w:tr>
      <w:tr w:rsidR="00024C0A" w:rsidTr="00024C0A">
        <w:tc>
          <w:tcPr>
            <w:tcW w:w="0" w:type="auto"/>
            <w:vAlign w:val="center"/>
          </w:tcPr>
          <w:p w:rsidR="00024C0A" w:rsidRDefault="00694C0F">
            <w:pPr>
              <w:pStyle w:val="TableBodyText"/>
            </w:pPr>
            <w:r>
              <w:rPr>
                <w:b/>
              </w:rPr>
              <w:t>del</w:t>
            </w:r>
            <w:r>
              <w:t xml:space="preserve"> ("[ISO/IEC-29500-1] §17.13.5.13; del")</w:t>
            </w:r>
          </w:p>
        </w:tc>
      </w:tr>
      <w:tr w:rsidR="00024C0A" w:rsidTr="00024C0A">
        <w:tc>
          <w:tcPr>
            <w:tcW w:w="0" w:type="auto"/>
            <w:vAlign w:val="center"/>
          </w:tcPr>
          <w:p w:rsidR="00024C0A" w:rsidRDefault="00694C0F">
            <w:pPr>
              <w:pStyle w:val="TableBodyText"/>
            </w:pPr>
            <w:r>
              <w:rPr>
                <w:b/>
              </w:rPr>
              <w:t>delInstrText</w:t>
            </w:r>
            <w:r>
              <w:t xml:space="preserve"> ("[ISO/IEC-29500-1] §17.16.13; delInstrText") </w:t>
            </w:r>
          </w:p>
        </w:tc>
      </w:tr>
      <w:tr w:rsidR="00024C0A" w:rsidTr="00024C0A">
        <w:tc>
          <w:tcPr>
            <w:tcW w:w="0" w:type="auto"/>
            <w:vAlign w:val="center"/>
          </w:tcPr>
          <w:p w:rsidR="00024C0A" w:rsidRDefault="00694C0F">
            <w:pPr>
              <w:pStyle w:val="TableBodyText"/>
            </w:pPr>
            <w:r>
              <w:rPr>
                <w:b/>
              </w:rPr>
              <w:t>delText</w:t>
            </w:r>
            <w:r>
              <w:t xml:space="preserve"> ("[ISO/IEC-29500-1] §17.3.3.7; delText"); </w:t>
            </w:r>
          </w:p>
        </w:tc>
      </w:tr>
      <w:tr w:rsidR="00024C0A" w:rsidTr="00024C0A">
        <w:tc>
          <w:tcPr>
            <w:tcW w:w="0" w:type="auto"/>
            <w:vAlign w:val="center"/>
          </w:tcPr>
          <w:p w:rsidR="00024C0A" w:rsidRDefault="00694C0F">
            <w:pPr>
              <w:pStyle w:val="TableBodyText"/>
            </w:pPr>
            <w:r>
              <w:rPr>
                <w:b/>
              </w:rPr>
              <w:t>ins</w:t>
            </w:r>
            <w:r>
              <w:t xml:space="preserve"> ("</w:t>
            </w:r>
            <w:r>
              <w:t>[ISO/IEC-29500-1] §17.13.5.17; ins")</w:t>
            </w:r>
          </w:p>
        </w:tc>
      </w:tr>
      <w:tr w:rsidR="00024C0A" w:rsidTr="00024C0A">
        <w:tc>
          <w:tcPr>
            <w:tcW w:w="0" w:type="auto"/>
            <w:vAlign w:val="center"/>
          </w:tcPr>
          <w:p w:rsidR="00024C0A" w:rsidRDefault="00694C0F">
            <w:pPr>
              <w:pStyle w:val="TableBodyText"/>
            </w:pPr>
            <w:r>
              <w:rPr>
                <w:b/>
              </w:rPr>
              <w:t>ins</w:t>
            </w:r>
            <w:r>
              <w:t xml:space="preserve"> ("[ISO/IEC-29500-1] §17.13.5.16; ins"); </w:t>
            </w:r>
          </w:p>
        </w:tc>
      </w:tr>
      <w:tr w:rsidR="00024C0A" w:rsidTr="00024C0A">
        <w:tc>
          <w:tcPr>
            <w:tcW w:w="0" w:type="auto"/>
            <w:vAlign w:val="center"/>
          </w:tcPr>
          <w:p w:rsidR="00024C0A" w:rsidRDefault="00694C0F">
            <w:pPr>
              <w:pStyle w:val="TableBodyText"/>
            </w:pPr>
            <w:r>
              <w:rPr>
                <w:b/>
              </w:rPr>
              <w:t>ins</w:t>
            </w:r>
            <w:r>
              <w:t xml:space="preserve"> ("[ISO/IEC-29500-1] §17.13.5.20; ins")</w:t>
            </w:r>
          </w:p>
        </w:tc>
      </w:tr>
      <w:tr w:rsidR="00024C0A" w:rsidTr="00024C0A">
        <w:tc>
          <w:tcPr>
            <w:tcW w:w="0" w:type="auto"/>
            <w:vAlign w:val="center"/>
          </w:tcPr>
          <w:p w:rsidR="00024C0A" w:rsidRDefault="00694C0F">
            <w:pPr>
              <w:pStyle w:val="TableBodyText"/>
            </w:pPr>
            <w:r>
              <w:rPr>
                <w:b/>
              </w:rPr>
              <w:t>ins</w:t>
            </w:r>
            <w:r>
              <w:t xml:space="preserve"> ("[ISO/IEC-29500-1] §17.13.5.19; ins") </w:t>
            </w:r>
          </w:p>
        </w:tc>
      </w:tr>
      <w:tr w:rsidR="00024C0A" w:rsidTr="00024C0A">
        <w:tc>
          <w:tcPr>
            <w:tcW w:w="0" w:type="auto"/>
            <w:vAlign w:val="center"/>
          </w:tcPr>
          <w:p w:rsidR="00024C0A" w:rsidRDefault="00694C0F">
            <w:pPr>
              <w:pStyle w:val="TableBodyText"/>
            </w:pPr>
            <w:r>
              <w:rPr>
                <w:b/>
              </w:rPr>
              <w:t>ins</w:t>
            </w:r>
            <w:r>
              <w:t xml:space="preserve"> ("[ISO/IEC-29500-1] §17.13.5.18; ins")</w:t>
            </w:r>
          </w:p>
        </w:tc>
      </w:tr>
      <w:tr w:rsidR="00024C0A" w:rsidTr="00024C0A">
        <w:tc>
          <w:tcPr>
            <w:tcW w:w="0" w:type="auto"/>
            <w:vAlign w:val="center"/>
          </w:tcPr>
          <w:p w:rsidR="00024C0A" w:rsidRDefault="00694C0F">
            <w:pPr>
              <w:pStyle w:val="TableBodyText"/>
            </w:pPr>
            <w:r>
              <w:rPr>
                <w:b/>
              </w:rPr>
              <w:t>moveFrom</w:t>
            </w:r>
            <w:r>
              <w:t xml:space="preserve"> ("[ISO/IEC-29500-1] §17.13.5.2</w:t>
            </w:r>
            <w:r>
              <w:t>2; moveFrom")</w:t>
            </w:r>
          </w:p>
        </w:tc>
      </w:tr>
      <w:tr w:rsidR="00024C0A" w:rsidTr="00024C0A">
        <w:tc>
          <w:tcPr>
            <w:tcW w:w="0" w:type="auto"/>
            <w:vAlign w:val="center"/>
          </w:tcPr>
          <w:p w:rsidR="00024C0A" w:rsidRDefault="00694C0F">
            <w:pPr>
              <w:pStyle w:val="TableBodyText"/>
            </w:pPr>
            <w:r>
              <w:rPr>
                <w:b/>
              </w:rPr>
              <w:t>moveFrom</w:t>
            </w:r>
            <w:r>
              <w:t xml:space="preserve"> ("[ISO/IEC-29500-1] §17.13.5.21; moveFrom") </w:t>
            </w:r>
          </w:p>
        </w:tc>
      </w:tr>
      <w:tr w:rsidR="00024C0A" w:rsidTr="00024C0A">
        <w:tc>
          <w:tcPr>
            <w:tcW w:w="0" w:type="auto"/>
            <w:vAlign w:val="center"/>
          </w:tcPr>
          <w:p w:rsidR="00024C0A" w:rsidRDefault="00694C0F">
            <w:pPr>
              <w:pStyle w:val="TableBodyText"/>
            </w:pPr>
            <w:r>
              <w:rPr>
                <w:b/>
              </w:rPr>
              <w:t>moveFromRangeEnd</w:t>
            </w:r>
            <w:r>
              <w:t xml:space="preserve"> ("[ISO/IEC-29500-1] §17.13.5.23; moveFromRangeEnd")</w:t>
            </w:r>
          </w:p>
        </w:tc>
      </w:tr>
      <w:tr w:rsidR="00024C0A" w:rsidTr="00024C0A">
        <w:tc>
          <w:tcPr>
            <w:tcW w:w="0" w:type="auto"/>
            <w:vAlign w:val="center"/>
          </w:tcPr>
          <w:p w:rsidR="00024C0A" w:rsidRDefault="00694C0F">
            <w:pPr>
              <w:pStyle w:val="TableBodyText"/>
            </w:pPr>
            <w:r>
              <w:rPr>
                <w:b/>
              </w:rPr>
              <w:t>moveFromRangeStart</w:t>
            </w:r>
            <w:r>
              <w:t xml:space="preserve"> ("[ISO/IEC-29500-1] §17.13.5.24; moveFromRangeStart")</w:t>
            </w:r>
          </w:p>
        </w:tc>
      </w:tr>
      <w:tr w:rsidR="00024C0A" w:rsidTr="00024C0A">
        <w:tc>
          <w:tcPr>
            <w:tcW w:w="0" w:type="auto"/>
            <w:vAlign w:val="center"/>
          </w:tcPr>
          <w:p w:rsidR="00024C0A" w:rsidRDefault="00694C0F">
            <w:pPr>
              <w:pStyle w:val="TableBodyText"/>
            </w:pPr>
            <w:r>
              <w:rPr>
                <w:b/>
              </w:rPr>
              <w:t>moveTo</w:t>
            </w:r>
            <w:r>
              <w:t xml:space="preserve"> ("[ISO/IEC-29500-1]</w:t>
            </w:r>
            <w:r>
              <w:t xml:space="preserve"> §17.13.5.26; moveTo")</w:t>
            </w:r>
          </w:p>
        </w:tc>
      </w:tr>
      <w:tr w:rsidR="00024C0A" w:rsidTr="00024C0A">
        <w:tc>
          <w:tcPr>
            <w:tcW w:w="0" w:type="auto"/>
            <w:vAlign w:val="center"/>
          </w:tcPr>
          <w:p w:rsidR="00024C0A" w:rsidRDefault="00694C0F">
            <w:pPr>
              <w:pStyle w:val="TableBodyText"/>
            </w:pPr>
            <w:r>
              <w:rPr>
                <w:b/>
              </w:rPr>
              <w:t>moveTo</w:t>
            </w:r>
            <w:r>
              <w:t xml:space="preserve"> ("[ISO/IEC-29500-1] §17.13.5.25; moveTo")</w:t>
            </w:r>
          </w:p>
        </w:tc>
      </w:tr>
      <w:tr w:rsidR="00024C0A" w:rsidTr="00024C0A">
        <w:tc>
          <w:tcPr>
            <w:tcW w:w="0" w:type="auto"/>
            <w:vAlign w:val="center"/>
          </w:tcPr>
          <w:p w:rsidR="00024C0A" w:rsidRDefault="00694C0F">
            <w:pPr>
              <w:pStyle w:val="TableBodyText"/>
            </w:pPr>
            <w:r>
              <w:rPr>
                <w:b/>
              </w:rPr>
              <w:t>moveToRangeEnd</w:t>
            </w:r>
            <w:r>
              <w:t xml:space="preserve"> ("[ISO/IEC-29500-1] §17.13.5.27; moveToRangeEnd")</w:t>
            </w:r>
          </w:p>
        </w:tc>
      </w:tr>
      <w:tr w:rsidR="00024C0A" w:rsidTr="00024C0A">
        <w:tc>
          <w:tcPr>
            <w:tcW w:w="0" w:type="auto"/>
            <w:vAlign w:val="center"/>
          </w:tcPr>
          <w:p w:rsidR="00024C0A" w:rsidRDefault="00694C0F">
            <w:pPr>
              <w:pStyle w:val="TableBodyText"/>
            </w:pPr>
            <w:r>
              <w:rPr>
                <w:b/>
              </w:rPr>
              <w:t>moveToRangeStart</w:t>
            </w:r>
            <w:r>
              <w:t xml:space="preserve"> ("[ISO/IEC-29500-1] §17.13.5.28; moveToRangeStart")</w:t>
            </w:r>
          </w:p>
        </w:tc>
      </w:tr>
      <w:tr w:rsidR="00024C0A" w:rsidTr="00024C0A">
        <w:tc>
          <w:tcPr>
            <w:tcW w:w="0" w:type="auto"/>
            <w:vAlign w:val="center"/>
          </w:tcPr>
          <w:p w:rsidR="00024C0A" w:rsidRDefault="00694C0F">
            <w:pPr>
              <w:pStyle w:val="TableBodyText"/>
            </w:pPr>
            <w:r>
              <w:rPr>
                <w:b/>
              </w:rPr>
              <w:t>numberingChange</w:t>
            </w:r>
            <w:r>
              <w:t xml:space="preserve"> ("</w:t>
            </w:r>
            <w:hyperlink r:id="rId94">
              <w:r>
                <w:rPr>
                  <w:rStyle w:val="Hyperlink"/>
                </w:rPr>
                <w:t>[ISO/IEC-29500-4]</w:t>
              </w:r>
            </w:hyperlink>
            <w:r>
              <w:t xml:space="preserve"> §14.6.1.1; numberingChange (Previous Numbering Field Properties)")</w:t>
            </w:r>
          </w:p>
        </w:tc>
      </w:tr>
      <w:tr w:rsidR="00024C0A" w:rsidTr="00024C0A">
        <w:tc>
          <w:tcPr>
            <w:tcW w:w="0" w:type="auto"/>
            <w:vAlign w:val="center"/>
          </w:tcPr>
          <w:p w:rsidR="00024C0A" w:rsidRDefault="00694C0F">
            <w:pPr>
              <w:pStyle w:val="TableBodyText"/>
            </w:pPr>
            <w:r>
              <w:rPr>
                <w:b/>
              </w:rPr>
              <w:t>numberingChange</w:t>
            </w:r>
            <w:r>
              <w:t xml:space="preserve"> ("[ISO/IEC-29500-4] §14.6.1.2; numberingChange (Previous Paragraph Numbering Properties)")</w:t>
            </w:r>
            <w:r>
              <w:t xml:space="preserve"> </w:t>
            </w:r>
          </w:p>
        </w:tc>
      </w:tr>
      <w:tr w:rsidR="00024C0A" w:rsidTr="00024C0A">
        <w:tc>
          <w:tcPr>
            <w:tcW w:w="0" w:type="auto"/>
            <w:vAlign w:val="center"/>
          </w:tcPr>
          <w:p w:rsidR="00024C0A" w:rsidRDefault="00694C0F">
            <w:pPr>
              <w:pStyle w:val="TableBodyText"/>
            </w:pPr>
            <w:r>
              <w:rPr>
                <w:b/>
              </w:rPr>
              <w:t>pPrChange</w:t>
            </w:r>
            <w:r>
              <w:t xml:space="preserve"> ("[ISO/IEC-29500-1] §17.13.5.29; pPrChange") </w:t>
            </w:r>
          </w:p>
        </w:tc>
      </w:tr>
      <w:tr w:rsidR="00024C0A" w:rsidTr="00024C0A">
        <w:tc>
          <w:tcPr>
            <w:tcW w:w="0" w:type="auto"/>
            <w:vAlign w:val="center"/>
          </w:tcPr>
          <w:p w:rsidR="00024C0A" w:rsidRDefault="00694C0F">
            <w:pPr>
              <w:pStyle w:val="TableBodyText"/>
            </w:pPr>
            <w:r>
              <w:rPr>
                <w:b/>
              </w:rPr>
              <w:t>rPrChange</w:t>
            </w:r>
            <w:r>
              <w:t xml:space="preserve"> ("[ISO/IEC-29500-1] §17.13.5.31; rPrChange")</w:t>
            </w:r>
          </w:p>
        </w:tc>
      </w:tr>
      <w:tr w:rsidR="00024C0A" w:rsidTr="00024C0A">
        <w:tc>
          <w:tcPr>
            <w:tcW w:w="0" w:type="auto"/>
            <w:vAlign w:val="center"/>
          </w:tcPr>
          <w:p w:rsidR="00024C0A" w:rsidRDefault="00694C0F">
            <w:pPr>
              <w:pStyle w:val="TableBodyText"/>
            </w:pPr>
            <w:r>
              <w:rPr>
                <w:b/>
              </w:rPr>
              <w:t>rPrChange</w:t>
            </w:r>
            <w:r>
              <w:t xml:space="preserve"> ("[ISO/IEC-29500-1] §17.13.5.30; rPrChange") </w:t>
            </w:r>
          </w:p>
        </w:tc>
      </w:tr>
      <w:tr w:rsidR="00024C0A" w:rsidTr="00024C0A">
        <w:tc>
          <w:tcPr>
            <w:tcW w:w="0" w:type="auto"/>
            <w:vAlign w:val="center"/>
          </w:tcPr>
          <w:p w:rsidR="00024C0A" w:rsidRDefault="00694C0F">
            <w:pPr>
              <w:pStyle w:val="TableBodyText"/>
            </w:pPr>
            <w:r>
              <w:rPr>
                <w:b/>
              </w:rPr>
              <w:t>sectPrChange</w:t>
            </w:r>
            <w:r>
              <w:t xml:space="preserve"> ("[ISO/IEC-29500-1] §17.13.5.32; sectPrChange") </w:t>
            </w:r>
          </w:p>
        </w:tc>
      </w:tr>
      <w:tr w:rsidR="00024C0A" w:rsidTr="00024C0A">
        <w:tc>
          <w:tcPr>
            <w:tcW w:w="0" w:type="auto"/>
            <w:vAlign w:val="center"/>
          </w:tcPr>
          <w:p w:rsidR="00024C0A" w:rsidRDefault="00694C0F">
            <w:pPr>
              <w:pStyle w:val="TableBodyText"/>
            </w:pPr>
            <w:r>
              <w:rPr>
                <w:b/>
              </w:rPr>
              <w:t>tblGridChange</w:t>
            </w:r>
            <w:r>
              <w:t xml:space="preserve"> ("[ISO</w:t>
            </w:r>
            <w:r>
              <w:t xml:space="preserve">/IEC-29500-1] §17.13.5.33; tblGridChange") </w:t>
            </w:r>
          </w:p>
        </w:tc>
      </w:tr>
      <w:tr w:rsidR="00024C0A" w:rsidTr="00024C0A">
        <w:tc>
          <w:tcPr>
            <w:tcW w:w="0" w:type="auto"/>
            <w:vAlign w:val="center"/>
          </w:tcPr>
          <w:p w:rsidR="00024C0A" w:rsidRDefault="00694C0F">
            <w:pPr>
              <w:pStyle w:val="TableBodyText"/>
            </w:pPr>
            <w:r>
              <w:rPr>
                <w:b/>
              </w:rPr>
              <w:t>tblPrChange</w:t>
            </w:r>
            <w:r>
              <w:t xml:space="preserve"> ("[ISO/IEC-29500-1] §17.13.5.34; tblPrChange")</w:t>
            </w:r>
          </w:p>
        </w:tc>
      </w:tr>
      <w:tr w:rsidR="00024C0A" w:rsidTr="00024C0A">
        <w:tc>
          <w:tcPr>
            <w:tcW w:w="0" w:type="auto"/>
            <w:vAlign w:val="center"/>
          </w:tcPr>
          <w:p w:rsidR="00024C0A" w:rsidRDefault="00694C0F">
            <w:pPr>
              <w:pStyle w:val="TableBodyText"/>
            </w:pPr>
            <w:r>
              <w:rPr>
                <w:b/>
              </w:rPr>
              <w:lastRenderedPageBreak/>
              <w:t>tblPrExChange</w:t>
            </w:r>
            <w:r>
              <w:t xml:space="preserve"> ("[ISO/IEC-29500-1] §17.13.5.35; tblPrExChange")</w:t>
            </w:r>
          </w:p>
        </w:tc>
      </w:tr>
      <w:tr w:rsidR="00024C0A" w:rsidTr="00024C0A">
        <w:tc>
          <w:tcPr>
            <w:tcW w:w="0" w:type="auto"/>
            <w:vAlign w:val="center"/>
          </w:tcPr>
          <w:p w:rsidR="00024C0A" w:rsidRDefault="00694C0F">
            <w:pPr>
              <w:pStyle w:val="TableBodyText"/>
            </w:pPr>
            <w:r>
              <w:rPr>
                <w:b/>
              </w:rPr>
              <w:t>tcPrChange</w:t>
            </w:r>
            <w:r>
              <w:t xml:space="preserve"> ("[ISO/IEC-29500-1] §17.13.5.36; tcPrChange")</w:t>
            </w:r>
          </w:p>
        </w:tc>
      </w:tr>
      <w:tr w:rsidR="00024C0A" w:rsidTr="00024C0A">
        <w:tc>
          <w:tcPr>
            <w:tcW w:w="0" w:type="auto"/>
            <w:vAlign w:val="center"/>
          </w:tcPr>
          <w:p w:rsidR="00024C0A" w:rsidRDefault="00694C0F">
            <w:pPr>
              <w:pStyle w:val="TableBodyText"/>
            </w:pPr>
            <w:r>
              <w:rPr>
                <w:b/>
              </w:rPr>
              <w:t>trPrChange</w:t>
            </w:r>
            <w:r>
              <w:t xml:space="preserve"> ("[ISO/IEC-29500-1</w:t>
            </w:r>
            <w:r>
              <w:t>] §17.13.5.37; trPrChange")</w:t>
            </w:r>
          </w:p>
        </w:tc>
      </w:tr>
    </w:tbl>
    <w:p w:rsidR="00024C0A" w:rsidRDefault="00024C0A"/>
    <w:p w:rsidR="00024C0A" w:rsidRDefault="00694C0F">
      <w:pPr>
        <w:pStyle w:val="Definition-Field"/>
      </w:pPr>
      <w:r>
        <w:t xml:space="preserve">c.   </w:t>
      </w:r>
      <w:r>
        <w:rPr>
          <w:i/>
        </w:rPr>
        <w:t>The standard does not limit the length of the value of the author attribute.</w:t>
      </w:r>
    </w:p>
    <w:p w:rsidR="00024C0A" w:rsidRDefault="00694C0F">
      <w:pPr>
        <w:pStyle w:val="Definition-Field2"/>
      </w:pPr>
      <w:r>
        <w:t>Word restricts the value of this attribute to be at most 255 characters.</w:t>
      </w:r>
    </w:p>
    <w:p w:rsidR="00024C0A" w:rsidRDefault="00694C0F">
      <w:pPr>
        <w:pStyle w:val="Definition-Field"/>
      </w:pPr>
      <w:r>
        <w:t xml:space="preserve">d.   </w:t>
      </w:r>
      <w:r>
        <w:rPr>
          <w:i/>
        </w:rPr>
        <w:t xml:space="preserve">The standard states that the date stored in the date attribute on </w:t>
      </w:r>
      <w:r>
        <w:rPr>
          <w:i/>
        </w:rPr>
        <w:t>the comment element is stored with the UTC date signifier (a trailing Z).</w:t>
      </w:r>
    </w:p>
    <w:p w:rsidR="00024C0A" w:rsidRDefault="00694C0F">
      <w:pPr>
        <w:pStyle w:val="Definition-Field2"/>
      </w:pPr>
      <w:r>
        <w:t>The actual date is stored in the user’s time zone. On load, Word ignores the UTC signifier and loads the date in the current time zone.</w:t>
      </w:r>
    </w:p>
    <w:p w:rsidR="00024C0A" w:rsidRDefault="00694C0F">
      <w:pPr>
        <w:pStyle w:val="Heading3"/>
      </w:pPr>
      <w:bookmarkStart w:id="643" w:name="section_f9692dfcfc0f4f63847275907af12ade"/>
      <w:bookmarkStart w:id="644" w:name="_Toc12260382"/>
      <w:r>
        <w:t>Part 1 Section 17.13.4.3, commentRangeEnd (Com</w:t>
      </w:r>
      <w:r>
        <w:t>ment Anchor Range End)</w:t>
      </w:r>
      <w:bookmarkEnd w:id="643"/>
      <w:bookmarkEnd w:id="644"/>
      <w:r>
        <w:fldChar w:fldCharType="begin"/>
      </w:r>
      <w:r>
        <w:instrText xml:space="preserve"> XE "commentRangeEnd (Comment Anchor Range End)"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024C0A" w:rsidRDefault="00694C0F">
      <w:pPr>
        <w:pStyle w:val="Definition-Field"/>
      </w:pPr>
      <w:r>
        <w:t xml:space="preserve">a.   </w:t>
      </w:r>
      <w:r>
        <w:rPr>
          <w:i/>
        </w:rPr>
        <w:t>The sta</w:t>
      </w:r>
      <w:r>
        <w:rPr>
          <w:i/>
        </w:rPr>
        <w:t>ndard states that if this element occurs without a corresponding commentRangeStart element, it shall be considered the single anchor point for the comment reference.</w:t>
      </w:r>
    </w:p>
    <w:p w:rsidR="00024C0A" w:rsidRDefault="00694C0F">
      <w:pPr>
        <w:pStyle w:val="Definition-Field2"/>
      </w:pPr>
      <w:r>
        <w:t>If Word opens a file with a commentRangeEnd element without a corresponding commentRangeSt</w:t>
      </w:r>
      <w:r>
        <w:t>art element, the location of the commentReference element determines the single anchor point for the comment reference.</w:t>
      </w:r>
    </w:p>
    <w:p w:rsidR="00024C0A" w:rsidRDefault="00694C0F">
      <w:pPr>
        <w:pStyle w:val="Definition-Field"/>
      </w:pPr>
      <w:r>
        <w:t xml:space="preserve">b.   </w:t>
      </w:r>
      <w:r>
        <w:rPr>
          <w:i/>
        </w:rPr>
        <w:t>The standard allows commentRangeEnd in headers, footers, text boxes, footnotes, and endnotes.</w:t>
      </w:r>
    </w:p>
    <w:p w:rsidR="00024C0A" w:rsidRDefault="00694C0F">
      <w:pPr>
        <w:pStyle w:val="Definition-Field2"/>
      </w:pPr>
      <w:r>
        <w:t xml:space="preserve">Word ignores this element if it is </w:t>
      </w:r>
      <w:r>
        <w:t>under a header, footer, text box, footnote, or endnote.</w:t>
      </w:r>
    </w:p>
    <w:p w:rsidR="00024C0A" w:rsidRDefault="00694C0F">
      <w:pPr>
        <w:pStyle w:val="Heading3"/>
      </w:pPr>
      <w:bookmarkStart w:id="645" w:name="section_64b95366980f4c759519b745345ded9a"/>
      <w:bookmarkStart w:id="646" w:name="_Toc12260383"/>
      <w:r>
        <w:t>Part 1 Section 17.13.4.4, commentRangeStart (Comment Anchor Range Start)</w:t>
      </w:r>
      <w:bookmarkEnd w:id="645"/>
      <w:bookmarkEnd w:id="646"/>
      <w:r>
        <w:fldChar w:fldCharType="begin"/>
      </w:r>
      <w:r>
        <w:instrText xml:space="preserve"> XE "commentRangeStart (Comment Anchor Range Start)" </w:instrText>
      </w:r>
      <w:r>
        <w:fldChar w:fldCharType="end"/>
      </w:r>
    </w:p>
    <w:p w:rsidR="00024C0A" w:rsidRDefault="00694C0F">
      <w:pPr>
        <w:pStyle w:val="Definition-Field2"/>
      </w:pPr>
      <w:r>
        <w:rPr>
          <w:i/>
        </w:rPr>
        <w:t xml:space="preserve">For additional notes that apply to this portion of the standard, please </w:t>
      </w:r>
      <w:r>
        <w:rPr>
          <w:i/>
        </w:rPr>
        <w:t xml:space="preserve">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w:t>
        </w:r>
        <w:r>
          <w:rPr>
            <w:rStyle w:val="Hyperlink"/>
          </w:rPr>
          <w:t>5.2.32(a)</w:t>
        </w:r>
      </w:hyperlink>
      <w:r>
        <w:rPr>
          <w:i/>
        </w:rPr>
        <w:t xml:space="preserve">; </w:t>
      </w:r>
      <w:hyperlink w:anchor="Section_cf861d389d024d8e8fe7450a01f33d40">
        <w:r>
          <w:rPr>
            <w:rStyle w:val="Hyperlink"/>
          </w:rPr>
          <w:t>cellDel, §17.13.5.1(a)</w:t>
        </w:r>
      </w:hyperlink>
      <w:r>
        <w:rPr>
          <w:i/>
        </w:rPr>
        <w:t>.</w:t>
      </w:r>
    </w:p>
    <w:p w:rsidR="00024C0A" w:rsidRDefault="00694C0F">
      <w:pPr>
        <w:pStyle w:val="Definition-Field"/>
      </w:pPr>
      <w:r>
        <w:t xml:space="preserve">a.   </w:t>
      </w:r>
      <w:r>
        <w:rPr>
          <w:i/>
        </w:rPr>
        <w:t>The standard allows an unbounded number of comment ranges.</w:t>
      </w:r>
    </w:p>
    <w:p w:rsidR="00024C0A" w:rsidRDefault="00694C0F">
      <w:pPr>
        <w:pStyle w:val="Definition-Field2"/>
      </w:pPr>
      <w:r>
        <w:t>Word will not open a file with more than 32767 comment ranges.</w:t>
      </w:r>
    </w:p>
    <w:p w:rsidR="00024C0A" w:rsidRDefault="00694C0F">
      <w:pPr>
        <w:pStyle w:val="Definition-Field"/>
      </w:pPr>
      <w:r>
        <w:t xml:space="preserve">b.   </w:t>
      </w:r>
      <w:r>
        <w:rPr>
          <w:i/>
        </w:rPr>
        <w:t>The standard states that i</w:t>
      </w:r>
      <w:r>
        <w:rPr>
          <w:i/>
        </w:rPr>
        <w:t>f this element occurs without a corresponding commentRangeEnd element, it shall be considered the single anchor point for the comment reference.</w:t>
      </w:r>
    </w:p>
    <w:p w:rsidR="00024C0A" w:rsidRDefault="00694C0F">
      <w:pPr>
        <w:pStyle w:val="Definition-Field2"/>
      </w:pPr>
      <w:r>
        <w:t>If Word opens a file with a commentRangeStart element without a corresponding commentRangeEnd element, the loca</w:t>
      </w:r>
      <w:r>
        <w:t>tion of the commentReference element determines the single anchor point for the comment reference.</w:t>
      </w:r>
    </w:p>
    <w:p w:rsidR="00024C0A" w:rsidRDefault="00694C0F">
      <w:pPr>
        <w:pStyle w:val="Definition-Field"/>
      </w:pPr>
      <w:r>
        <w:t xml:space="preserve">c.   </w:t>
      </w:r>
      <w:r>
        <w:rPr>
          <w:i/>
        </w:rPr>
        <w:t>The standard allows commentRangeStart in headers, footers, text boxes, footnotes, and endnotes.</w:t>
      </w:r>
    </w:p>
    <w:p w:rsidR="00024C0A" w:rsidRDefault="00694C0F">
      <w:pPr>
        <w:pStyle w:val="Definition-Field2"/>
      </w:pPr>
      <w:r>
        <w:t>Word ignores this element if it is under a header, foote</w:t>
      </w:r>
      <w:r>
        <w:t>r, text box, footnote, or endnote.</w:t>
      </w:r>
    </w:p>
    <w:p w:rsidR="00024C0A" w:rsidRDefault="00694C0F">
      <w:pPr>
        <w:pStyle w:val="Heading3"/>
      </w:pPr>
      <w:bookmarkStart w:id="647" w:name="section_84a35ef39c124b59ab4c4a88f520d06c"/>
      <w:bookmarkStart w:id="648" w:name="_Toc12260384"/>
      <w:r>
        <w:lastRenderedPageBreak/>
        <w:t>Part 1 Section 17.13.4.5, commentReference (Comment Content Reference Mark)</w:t>
      </w:r>
      <w:bookmarkEnd w:id="647"/>
      <w:bookmarkEnd w:id="648"/>
      <w:r>
        <w:fldChar w:fldCharType="begin"/>
      </w:r>
      <w:r>
        <w:instrText xml:space="preserve"> XE "commentReference (Comment Content Reference Mark)" </w:instrText>
      </w:r>
      <w:r>
        <w:fldChar w:fldCharType="end"/>
      </w:r>
    </w:p>
    <w:p w:rsidR="00024C0A" w:rsidRDefault="00694C0F">
      <w:pPr>
        <w:pStyle w:val="Definition-Field2"/>
      </w:pPr>
      <w:r>
        <w:rPr>
          <w:i/>
        </w:rPr>
        <w:t>For additional notes that apply to this portion of the standard, please see the notes f</w:t>
      </w:r>
      <w:r>
        <w:rPr>
          <w:i/>
        </w:rPr>
        <w:t xml:space="preserve">or </w:t>
      </w:r>
      <w:hyperlink w:anchor="Section_cf861d389d024d8e8fe7450a01f33d40">
        <w:r>
          <w:rPr>
            <w:rStyle w:val="Hyperlink"/>
          </w:rPr>
          <w:t>cellDel, §17.13.5.1(a)</w:t>
        </w:r>
      </w:hyperlink>
      <w:r>
        <w:rPr>
          <w:i/>
        </w:rPr>
        <w:t>.</w:t>
      </w:r>
    </w:p>
    <w:p w:rsidR="00024C0A" w:rsidRDefault="00694C0F">
      <w:pPr>
        <w:pStyle w:val="Definition-Field"/>
      </w:pPr>
      <w:r>
        <w:t xml:space="preserve">a.   </w:t>
      </w:r>
      <w:r>
        <w:rPr>
          <w:i/>
        </w:rPr>
        <w:t>The standard allows commentReference in headers, footers, text boxes, footnotes, and endnotes.</w:t>
      </w:r>
    </w:p>
    <w:p w:rsidR="00024C0A" w:rsidRDefault="00694C0F">
      <w:pPr>
        <w:pStyle w:val="Definition-Field2"/>
      </w:pPr>
      <w:r>
        <w:t>Word ignores this element if it is under a header, footer, text bo</w:t>
      </w:r>
      <w:r>
        <w:t>x, footnote, or endnote.</w:t>
      </w:r>
    </w:p>
    <w:p w:rsidR="00024C0A" w:rsidRDefault="00694C0F">
      <w:pPr>
        <w:pStyle w:val="Heading3"/>
      </w:pPr>
      <w:bookmarkStart w:id="649" w:name="section_cf861d389d024d8e8fe7450a01f33d40"/>
      <w:bookmarkStart w:id="650" w:name="_Toc12260385"/>
      <w:r>
        <w:t>Part 1 Section 17.13.5.1, cellDel (Table Cell Deletion)</w:t>
      </w:r>
      <w:bookmarkEnd w:id="649"/>
      <w:bookmarkEnd w:id="650"/>
      <w:r>
        <w:fldChar w:fldCharType="begin"/>
      </w:r>
      <w:r>
        <w:instrText xml:space="preserve"> XE "cellDel (Table Cell Deletion)"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960dd70180364eedb52a774caf7075d2">
        <w:r>
          <w:rPr>
            <w:rStyle w:val="Hyperlink"/>
          </w:rPr>
          <w:t>ins, §17.13.5.18(b)</w:t>
        </w:r>
      </w:hyperlink>
      <w:r>
        <w:rPr>
          <w:i/>
        </w:rPr>
        <w:t>.</w:t>
      </w:r>
    </w:p>
    <w:p w:rsidR="00024C0A" w:rsidRDefault="00694C0F">
      <w:pPr>
        <w:pStyle w:val="Definition-Field"/>
      </w:pPr>
      <w:r>
        <w:t xml:space="preserve">a.   </w:t>
      </w:r>
      <w:r>
        <w:rPr>
          <w:i/>
        </w:rPr>
        <w:t>The standard states that the values of the id attribute are defined by the XML Schema integer datatype.</w:t>
      </w:r>
    </w:p>
    <w:p w:rsidR="00024C0A" w:rsidRDefault="00694C0F">
      <w:pPr>
        <w:pStyle w:val="Definition-Field2"/>
      </w:pPr>
      <w:r>
        <w:t>Word does not allow a value of -1 on this attribute.</w:t>
      </w:r>
    </w:p>
    <w:p w:rsidR="00024C0A" w:rsidRDefault="00694C0F">
      <w:pPr>
        <w:pStyle w:val="Heading3"/>
      </w:pPr>
      <w:bookmarkStart w:id="651" w:name="section_f444e7c398fb4b75808aedcb36852e28"/>
      <w:bookmarkStart w:id="652" w:name="_Toc12260386"/>
      <w:r>
        <w:t xml:space="preserve">Part 1 Section </w:t>
      </w:r>
      <w:r>
        <w:t>17.13.5.2, cellIns (Table Cell Insertion)</w:t>
      </w:r>
      <w:bookmarkEnd w:id="651"/>
      <w:bookmarkEnd w:id="652"/>
      <w:r>
        <w:fldChar w:fldCharType="begin"/>
      </w:r>
      <w:r>
        <w:instrText xml:space="preserve"> XE "cellIns (Table Cell Insertion)"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24C0A" w:rsidRDefault="00694C0F">
      <w:pPr>
        <w:pStyle w:val="Heading3"/>
      </w:pPr>
      <w:bookmarkStart w:id="653" w:name="section_bc72271d4fa2406eb84a000c6dcce4dd"/>
      <w:bookmarkStart w:id="654" w:name="_Toc12260387"/>
      <w:r>
        <w:t>Part 1 Section 17.13.5.3, cellMerge (Vertically Merged/Split Table Cells)</w:t>
      </w:r>
      <w:bookmarkEnd w:id="653"/>
      <w:bookmarkEnd w:id="654"/>
      <w:r>
        <w:fldChar w:fldCharType="begin"/>
      </w:r>
      <w:r>
        <w:instrText xml:space="preserve"> XE "cellMerge (Vertically Merged/Split Table Cells)"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24C0A" w:rsidRDefault="00694C0F">
      <w:pPr>
        <w:pStyle w:val="Heading3"/>
      </w:pPr>
      <w:bookmarkStart w:id="655" w:name="section_09390857bdfc41548f0d3a034116fc17"/>
      <w:bookmarkStart w:id="656" w:name="_Toc12260388"/>
      <w:r>
        <w:t>Part 1 Section 17.13.5.4, customXmlDelRangeEnd (Custom XML Markup Deletion End)</w:t>
      </w:r>
      <w:bookmarkEnd w:id="655"/>
      <w:bookmarkEnd w:id="656"/>
      <w:r>
        <w:fldChar w:fldCharType="begin"/>
      </w:r>
      <w:r>
        <w:instrText xml:space="preserve"> XE "customXmlDelRangeEnd (Custom XML Markup </w:instrText>
      </w:r>
      <w:r>
        <w:instrText xml:space="preserve">Deletion End)"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w:t>
        </w:r>
        <w:r>
          <w:rPr>
            <w:rStyle w:val="Hyperlink"/>
          </w:rPr>
          <w:t>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w:t>
        </w:r>
        <w:r>
          <w:rPr>
            <w:rStyle w:val="Hyperlink"/>
          </w:rPr>
          <w:t>el, §17.13.5.1(a)</w:t>
        </w:r>
      </w:hyperlink>
      <w:r>
        <w:rPr>
          <w:i/>
        </w:rPr>
        <w:t>.</w:t>
      </w:r>
    </w:p>
    <w:p w:rsidR="00024C0A" w:rsidRDefault="00694C0F">
      <w:pPr>
        <w:pStyle w:val="Definition-Field"/>
      </w:pPr>
      <w:r>
        <w:t xml:space="preserve">a.   </w:t>
      </w:r>
      <w:r>
        <w:rPr>
          <w:i/>
        </w:rPr>
        <w:t>The standard states that the customXmlDelRangeStart element applies deletion to customXml elements.</w:t>
      </w:r>
    </w:p>
    <w:p w:rsidR="00024C0A" w:rsidRDefault="00694C0F">
      <w:pPr>
        <w:pStyle w:val="Definition-Field2"/>
      </w:pPr>
      <w:r>
        <w:t>Word uses this element to apply deletion to customXml elements and structured document tag elements.</w:t>
      </w:r>
    </w:p>
    <w:p w:rsidR="00024C0A" w:rsidRDefault="00694C0F">
      <w:pPr>
        <w:pStyle w:val="Heading3"/>
      </w:pPr>
      <w:bookmarkStart w:id="657" w:name="section_01c325f9222f41cea66dfa32c38aa598"/>
      <w:bookmarkStart w:id="658" w:name="_Toc12260389"/>
      <w:r>
        <w:t>Part 1 Section 17.13.5.5, custo</w:t>
      </w:r>
      <w:r>
        <w:t>mXmlDelRangeStart (Custom XML Markup Deletion Start)</w:t>
      </w:r>
      <w:bookmarkEnd w:id="657"/>
      <w:bookmarkEnd w:id="658"/>
      <w:r>
        <w:fldChar w:fldCharType="begin"/>
      </w:r>
      <w:r>
        <w:instrText xml:space="preserve"> XE "customXmlDelRangeStart (Custom XML Markup Deletion Start)"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r>
          <w:rPr>
            <w:rStyle w:val="Hyperlink"/>
          </w:rPr>
          <w:t>)</w:t>
        </w:r>
      </w:hyperlink>
      <w:r>
        <w:rPr>
          <w:i/>
        </w:rPr>
        <w:t>.</w:t>
      </w:r>
    </w:p>
    <w:p w:rsidR="00024C0A" w:rsidRDefault="00694C0F">
      <w:pPr>
        <w:pStyle w:val="Definition-Field"/>
      </w:pPr>
      <w:r>
        <w:t xml:space="preserve">a.   </w:t>
      </w:r>
      <w:r>
        <w:rPr>
          <w:i/>
        </w:rPr>
        <w:t>The standard states that the customXmlDelRangeStart element applies deletion to customXml elements.</w:t>
      </w:r>
    </w:p>
    <w:p w:rsidR="00024C0A" w:rsidRDefault="00694C0F">
      <w:pPr>
        <w:pStyle w:val="Definition-Field2"/>
      </w:pPr>
      <w:r>
        <w:t>Word uses this element to apply deletion to customXml elements and structured document tag elements.</w:t>
      </w:r>
    </w:p>
    <w:p w:rsidR="00024C0A" w:rsidRDefault="00694C0F">
      <w:pPr>
        <w:pStyle w:val="Definition-Field"/>
      </w:pPr>
      <w:r>
        <w:lastRenderedPageBreak/>
        <w:t xml:space="preserve">b.   </w:t>
      </w:r>
      <w:r>
        <w:rPr>
          <w:i/>
        </w:rPr>
        <w:t>The standard states that the range specifi</w:t>
      </w:r>
      <w:r>
        <w:rPr>
          <w:i/>
        </w:rPr>
        <w:t>ed by a pair of customXmlDelRangeStart and customXmlDelRangeEnd elements can overlap the range specified by another such pair of elements.</w:t>
      </w:r>
    </w:p>
    <w:p w:rsidR="00024C0A" w:rsidRDefault="00694C0F">
      <w:pPr>
        <w:pStyle w:val="Definition-Field2"/>
      </w:pPr>
      <w:r>
        <w:t>Word does not allow the range specified by a pair of customXmlDelRangeStart and customXmlDelRangeEnd elements to over</w:t>
      </w:r>
      <w:r>
        <w:t>lap the range specified by any other such pair of elements.</w:t>
      </w:r>
    </w:p>
    <w:p w:rsidR="00024C0A" w:rsidRDefault="00694C0F">
      <w:pPr>
        <w:pStyle w:val="Heading3"/>
      </w:pPr>
      <w:bookmarkStart w:id="659" w:name="section_66213ef21f7b4e3092edf96e46b5b5cc"/>
      <w:bookmarkStart w:id="660" w:name="_Toc12260390"/>
      <w:r>
        <w:t>Part 1 Section 17.13.5.6, customXmlInsRangeEnd (Custom XML Markup Insertion End)</w:t>
      </w:r>
      <w:bookmarkEnd w:id="659"/>
      <w:bookmarkEnd w:id="660"/>
      <w:r>
        <w:fldChar w:fldCharType="begin"/>
      </w:r>
      <w:r>
        <w:instrText xml:space="preserve"> XE "customXmlInsRangeEnd (Custom XML Markup Insertion End)" </w:instrText>
      </w:r>
      <w:r>
        <w:fldChar w:fldCharType="end"/>
      </w:r>
    </w:p>
    <w:p w:rsidR="00024C0A" w:rsidRDefault="00694C0F">
      <w:pPr>
        <w:pStyle w:val="Definition-Field2"/>
      </w:pPr>
      <w:r>
        <w:rPr>
          <w:i/>
        </w:rPr>
        <w:t>For additional notes that apply to this portion of t</w:t>
      </w:r>
      <w:r>
        <w:rPr>
          <w:i/>
        </w:rPr>
        <w:t xml:space="preserve">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024C0A" w:rsidRDefault="00694C0F">
      <w:pPr>
        <w:pStyle w:val="Definition-Field"/>
      </w:pPr>
      <w:r>
        <w:t xml:space="preserve">a.   </w:t>
      </w:r>
      <w:r>
        <w:rPr>
          <w:i/>
        </w:rPr>
        <w:t>The standard states that the customXmlInsRange</w:t>
      </w:r>
      <w:r>
        <w:rPr>
          <w:i/>
        </w:rPr>
        <w:t>End element applies insertion to customXml elements.</w:t>
      </w:r>
    </w:p>
    <w:p w:rsidR="00024C0A" w:rsidRDefault="00694C0F">
      <w:pPr>
        <w:pStyle w:val="Definition-Field2"/>
      </w:pPr>
      <w:r>
        <w:t>Word uses this element to apply insertion to customXml elements and structured document tag elements.</w:t>
      </w:r>
    </w:p>
    <w:p w:rsidR="00024C0A" w:rsidRDefault="00694C0F">
      <w:pPr>
        <w:pStyle w:val="Heading3"/>
      </w:pPr>
      <w:bookmarkStart w:id="661" w:name="section_ca13fff5ae694458a26a848e9709382d"/>
      <w:bookmarkStart w:id="662" w:name="_Toc12260391"/>
      <w:r>
        <w:t>Part 1 Section 17.13.5.7, customXmlInsRangeStart (Custom XML Markup Insertion Start)</w:t>
      </w:r>
      <w:bookmarkEnd w:id="661"/>
      <w:bookmarkEnd w:id="662"/>
      <w:r>
        <w:fldChar w:fldCharType="begin"/>
      </w:r>
      <w:r>
        <w:instrText xml:space="preserve"> XE "customXmlIns</w:instrText>
      </w:r>
      <w:r>
        <w:instrText xml:space="preserve">RangeStart (Custom XML Markup Insertion Start)"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24C0A" w:rsidRDefault="00694C0F">
      <w:pPr>
        <w:pStyle w:val="Definition-Field"/>
      </w:pPr>
      <w:r>
        <w:t xml:space="preserve">a.   </w:t>
      </w:r>
      <w:r>
        <w:rPr>
          <w:i/>
        </w:rPr>
        <w:t xml:space="preserve">The standard applies semantics and restrictions of both customXmlInsRangeStart and customXmlInsRangeEnd to </w:t>
      </w:r>
      <w:r>
        <w:rPr>
          <w:i/>
        </w:rPr>
        <w:t>customXmlInsRangeStart.</w:t>
      </w:r>
    </w:p>
    <w:p w:rsidR="00024C0A" w:rsidRDefault="00694C0F">
      <w:pPr>
        <w:pStyle w:val="Definition-Field2"/>
      </w:pPr>
      <w:r>
        <w:t>Word only applies the semantics and restrictions of customXmlInsRangeStart.</w:t>
      </w:r>
    </w:p>
    <w:p w:rsidR="00024C0A" w:rsidRDefault="00694C0F">
      <w:pPr>
        <w:pStyle w:val="Definition-Field"/>
      </w:pPr>
      <w:r>
        <w:t xml:space="preserve">b.   </w:t>
      </w:r>
      <w:r>
        <w:rPr>
          <w:i/>
        </w:rPr>
        <w:t>The standard states that the customXmlInsRangeStart element applies insertion to customXml elements.</w:t>
      </w:r>
    </w:p>
    <w:p w:rsidR="00024C0A" w:rsidRDefault="00694C0F">
      <w:pPr>
        <w:pStyle w:val="Definition-Field2"/>
      </w:pPr>
      <w:r>
        <w:t>Word uses this element to apply insertion to custo</w:t>
      </w:r>
      <w:r>
        <w:t>mXml elements and structured document tag elements.</w:t>
      </w:r>
    </w:p>
    <w:p w:rsidR="00024C0A" w:rsidRDefault="00694C0F">
      <w:pPr>
        <w:pStyle w:val="Definition-Field"/>
      </w:pPr>
      <w:r>
        <w:t xml:space="preserve">c.   </w:t>
      </w:r>
      <w:r>
        <w:rPr>
          <w:i/>
        </w:rPr>
        <w:t>The standard states that the range specified by a pair of customXmlInsRangeStart and customXmlInsRangeEnd elements can overlap the range specified by another such pair of elements.</w:t>
      </w:r>
    </w:p>
    <w:p w:rsidR="00024C0A" w:rsidRDefault="00694C0F">
      <w:pPr>
        <w:pStyle w:val="Definition-Field2"/>
      </w:pPr>
      <w:r>
        <w:t xml:space="preserve">Word does not </w:t>
      </w:r>
      <w:r>
        <w:t>allow the range specified by a pair of customXmlInsRangeStart and customXmlInsRangeEnd elements to overlap the range specified by any other such pair of elements.</w:t>
      </w:r>
    </w:p>
    <w:p w:rsidR="00024C0A" w:rsidRDefault="00694C0F">
      <w:pPr>
        <w:pStyle w:val="Heading3"/>
      </w:pPr>
      <w:bookmarkStart w:id="663" w:name="section_7174721fd51b496cb4e40a629713bef3"/>
      <w:bookmarkStart w:id="664" w:name="_Toc12260392"/>
      <w:r>
        <w:t>Part 1 Section 17.13.5.8, customXmlMoveFromRangeEnd (Custom XML Markup Move Source End)</w:t>
      </w:r>
      <w:bookmarkEnd w:id="663"/>
      <w:bookmarkEnd w:id="664"/>
      <w:r>
        <w:fldChar w:fldCharType="begin"/>
      </w:r>
      <w:r>
        <w:instrText xml:space="preserve"> XE "c</w:instrText>
      </w:r>
      <w:r>
        <w:instrText xml:space="preserve">ustomXmlMoveFromRangeEnd (Custom XML Markup Move Source End)"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024C0A" w:rsidRDefault="00694C0F">
      <w:pPr>
        <w:pStyle w:val="Definition-Field"/>
      </w:pPr>
      <w:r>
        <w:t xml:space="preserve">a.   </w:t>
      </w:r>
      <w:r>
        <w:rPr>
          <w:i/>
        </w:rPr>
        <w:t>The standard states that this element applies moveFrom to customXml elements.</w:t>
      </w:r>
    </w:p>
    <w:p w:rsidR="00024C0A" w:rsidRDefault="00694C0F">
      <w:pPr>
        <w:pStyle w:val="Definition-Field2"/>
      </w:pPr>
      <w:r>
        <w:t>Word may use this element to apply moveFrom to structured document tag elements.</w:t>
      </w:r>
    </w:p>
    <w:p w:rsidR="00024C0A" w:rsidRDefault="00694C0F">
      <w:pPr>
        <w:pStyle w:val="Heading3"/>
      </w:pPr>
      <w:bookmarkStart w:id="665" w:name="section_6e5e1e9d76ce40febad6bb846b2ce6e9"/>
      <w:bookmarkStart w:id="666" w:name="_Toc12260393"/>
      <w:r>
        <w:lastRenderedPageBreak/>
        <w:t xml:space="preserve">Part 1 Section 17.13.5.9, </w:t>
      </w:r>
      <w:r>
        <w:t>customXmlMoveFromRangeStart (Custom XML Markup Move Source Start)</w:t>
      </w:r>
      <w:bookmarkEnd w:id="665"/>
      <w:bookmarkEnd w:id="666"/>
      <w:r>
        <w:fldChar w:fldCharType="begin"/>
      </w:r>
      <w:r>
        <w:instrText xml:space="preserve"> XE "customXmlMoveFromRangeStart (Custom XML Markup Move Source Start)"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24C0A" w:rsidRDefault="00694C0F">
      <w:pPr>
        <w:pStyle w:val="Definition-Field"/>
      </w:pPr>
      <w:r>
        <w:t xml:space="preserve">a.   </w:t>
      </w:r>
      <w:r>
        <w:rPr>
          <w:i/>
        </w:rPr>
        <w:t>The standard states tha</w:t>
      </w:r>
      <w:r>
        <w:rPr>
          <w:i/>
        </w:rPr>
        <w:t>t this element applies moveFrom to customXml elements.</w:t>
      </w:r>
    </w:p>
    <w:p w:rsidR="00024C0A" w:rsidRDefault="00694C0F">
      <w:pPr>
        <w:pStyle w:val="Definition-Field2"/>
      </w:pPr>
      <w:r>
        <w:t>Word also uses this element to apply moveFrom to structured document tag elements.</w:t>
      </w:r>
    </w:p>
    <w:p w:rsidR="00024C0A" w:rsidRDefault="00694C0F">
      <w:pPr>
        <w:pStyle w:val="Definition-Field"/>
      </w:pPr>
      <w:r>
        <w:t xml:space="preserve">b.   </w:t>
      </w:r>
      <w:r>
        <w:rPr>
          <w:i/>
        </w:rPr>
        <w:t xml:space="preserve">The standard states that the range specified by a pair of customXmlMoveFromRangeStart and </w:t>
      </w:r>
      <w:r>
        <w:rPr>
          <w:i/>
        </w:rPr>
        <w:t>customXmlMoveFromRangeEnd elements can overlap the range specified by another such pair of elements.</w:t>
      </w:r>
    </w:p>
    <w:p w:rsidR="00024C0A" w:rsidRDefault="00694C0F">
      <w:pPr>
        <w:pStyle w:val="Definition-Field2"/>
      </w:pPr>
      <w:r>
        <w:t>Word does not allow the range specified by a pair of customXmlMoveFromRangeStart and customXmlMoveFromRangeEnd elements to overlap the range specified by a</w:t>
      </w:r>
      <w:r>
        <w:t>ny other such pair of elements.</w:t>
      </w:r>
    </w:p>
    <w:p w:rsidR="00024C0A" w:rsidRDefault="00694C0F">
      <w:pPr>
        <w:pStyle w:val="Definition-Field"/>
      </w:pPr>
      <w:r>
        <w:t xml:space="preserve">c.   </w:t>
      </w:r>
      <w:r>
        <w:rPr>
          <w:i/>
        </w:rPr>
        <w:t>The standard allows customXML move tracking to begin inside, end inside, or contain an oMathPara element.</w:t>
      </w:r>
    </w:p>
    <w:p w:rsidR="00024C0A" w:rsidRDefault="00694C0F">
      <w:pPr>
        <w:pStyle w:val="Definition-Field2"/>
      </w:pPr>
      <w:r>
        <w:t xml:space="preserve">Word has unpredictable results when customXML move tracking begins inside, ends inside, or contains an oMathPara </w:t>
      </w:r>
      <w:r>
        <w:t>element.</w:t>
      </w:r>
    </w:p>
    <w:p w:rsidR="00024C0A" w:rsidRDefault="00694C0F">
      <w:pPr>
        <w:pStyle w:val="Heading3"/>
      </w:pPr>
      <w:bookmarkStart w:id="667" w:name="section_f8238e0f99bf44689124e828a849cc16"/>
      <w:bookmarkStart w:id="668" w:name="_Toc12260394"/>
      <w:r>
        <w:t>Part 1 Section 17.13.5.10, customXmlMoveToRangeEnd (Custom XML Markup Move Destination Location End)</w:t>
      </w:r>
      <w:bookmarkEnd w:id="667"/>
      <w:bookmarkEnd w:id="668"/>
      <w:r>
        <w:fldChar w:fldCharType="begin"/>
      </w:r>
      <w:r>
        <w:instrText xml:space="preserve"> XE "customXmlMoveToRangeEnd (Custom XML Markup Move Destination Location End)" </w:instrText>
      </w:r>
      <w:r>
        <w:fldChar w:fldCharType="end"/>
      </w:r>
    </w:p>
    <w:p w:rsidR="00024C0A" w:rsidRDefault="00694C0F">
      <w:pPr>
        <w:pStyle w:val="Definition-Field2"/>
      </w:pPr>
      <w:r>
        <w:rPr>
          <w:i/>
        </w:rPr>
        <w:t>For additional notes that apply to this portion of the standard,</w:t>
      </w:r>
      <w:r>
        <w:rPr>
          <w:i/>
        </w:rPr>
        <w:t xml:space="preserve">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w:t>
        </w:r>
        <w:r>
          <w:rPr>
            <w:rStyle w:val="Hyperlink"/>
          </w:rPr>
          <w:t>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024C0A" w:rsidRDefault="00694C0F">
      <w:pPr>
        <w:pStyle w:val="Definition-Field"/>
      </w:pPr>
      <w:r>
        <w:t xml:space="preserve">a.   </w:t>
      </w:r>
      <w:r>
        <w:rPr>
          <w:i/>
        </w:rPr>
        <w:t>The standard states that the customXmlMoveToRangeEnd eleme</w:t>
      </w:r>
      <w:r>
        <w:rPr>
          <w:i/>
        </w:rPr>
        <w:t>nt applies moveTo to customXml elements.</w:t>
      </w:r>
    </w:p>
    <w:p w:rsidR="00024C0A" w:rsidRDefault="00694C0F">
      <w:pPr>
        <w:pStyle w:val="Definition-Field2"/>
      </w:pPr>
      <w:r>
        <w:t>Word also uses this element to apply moveTo to structured document tag elements.</w:t>
      </w:r>
    </w:p>
    <w:p w:rsidR="00024C0A" w:rsidRDefault="00694C0F">
      <w:pPr>
        <w:pStyle w:val="Definition-Field"/>
      </w:pPr>
      <w:r>
        <w:t xml:space="preserve">b.   </w:t>
      </w:r>
      <w:r>
        <w:rPr>
          <w:i/>
        </w:rPr>
        <w:t>The standard states that the document is non-conformant if customXmlMoveToRangeEnd is not contained in a move source container.</w:t>
      </w:r>
    </w:p>
    <w:p w:rsidR="00024C0A" w:rsidRDefault="00694C0F">
      <w:pPr>
        <w:pStyle w:val="Definition-Field2"/>
      </w:pPr>
      <w:r>
        <w:t>W</w:t>
      </w:r>
      <w:r>
        <w:t>ord ignores customXmlMoveToRangeEnd if it is contained in a move source container.</w:t>
      </w:r>
    </w:p>
    <w:p w:rsidR="00024C0A" w:rsidRDefault="00694C0F">
      <w:pPr>
        <w:pStyle w:val="Definition-Field"/>
      </w:pPr>
      <w:r>
        <w:t xml:space="preserve">c.   </w:t>
      </w:r>
      <w:r>
        <w:rPr>
          <w:i/>
        </w:rPr>
        <w:t>The standard states that the document is non-conformant if customXmlMoveToRangeEnd is not contained in a move source container.</w:t>
      </w:r>
    </w:p>
    <w:p w:rsidR="00024C0A" w:rsidRDefault="00694C0F">
      <w:pPr>
        <w:pStyle w:val="Definition-Field2"/>
      </w:pPr>
      <w:r>
        <w:t>Word always writes the customXmlMoveToRa</w:t>
      </w:r>
      <w:r>
        <w:t>ngeEnd in a move destination container.</w:t>
      </w:r>
    </w:p>
    <w:p w:rsidR="00024C0A" w:rsidRDefault="00694C0F">
      <w:pPr>
        <w:pStyle w:val="Heading3"/>
      </w:pPr>
      <w:bookmarkStart w:id="669" w:name="section_5aad40547dc943e0927ee80dd560511b"/>
      <w:bookmarkStart w:id="670" w:name="_Toc12260395"/>
      <w:r>
        <w:t>Part 1 Section 17.13.5.11, customXmlMoveToRangeStart (Custom XML Markup Move Destination Location Start)</w:t>
      </w:r>
      <w:bookmarkEnd w:id="669"/>
      <w:bookmarkEnd w:id="670"/>
      <w:r>
        <w:fldChar w:fldCharType="begin"/>
      </w:r>
      <w:r>
        <w:instrText xml:space="preserve"> XE "customXmlMoveToRangeStart (Custom XML Markup Move Destination Location Start)" </w:instrText>
      </w:r>
      <w:r>
        <w:fldChar w:fldCharType="end"/>
      </w:r>
    </w:p>
    <w:p w:rsidR="00024C0A" w:rsidRDefault="00694C0F">
      <w:pPr>
        <w:pStyle w:val="Definition-Field2"/>
      </w:pPr>
      <w:r>
        <w:rPr>
          <w:i/>
        </w:rPr>
        <w:t>For additional notes that</w:t>
      </w:r>
      <w:r>
        <w:rPr>
          <w:i/>
        </w:rPr>
        <w:t xml:space="preserve">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24C0A" w:rsidRDefault="00694C0F">
      <w:pPr>
        <w:pStyle w:val="Definition-Field"/>
      </w:pPr>
      <w:r>
        <w:t xml:space="preserve">a.   </w:t>
      </w:r>
      <w:r>
        <w:rPr>
          <w:i/>
        </w:rPr>
        <w:t>The standard states that the customXmlMoveToRangeStart element applies moveTo to customXml elements.</w:t>
      </w:r>
    </w:p>
    <w:p w:rsidR="00024C0A" w:rsidRDefault="00694C0F">
      <w:pPr>
        <w:pStyle w:val="Definition-Field2"/>
      </w:pPr>
      <w:r>
        <w:t>Word also uses this element to apply moveTo to structured document tag elements.</w:t>
      </w:r>
    </w:p>
    <w:p w:rsidR="00024C0A" w:rsidRDefault="00694C0F">
      <w:pPr>
        <w:pStyle w:val="Definition-Field"/>
      </w:pPr>
      <w:r>
        <w:lastRenderedPageBreak/>
        <w:t xml:space="preserve">b.   </w:t>
      </w:r>
      <w:r>
        <w:rPr>
          <w:i/>
        </w:rPr>
        <w:t>The standard states that the range specified by a pair of customXmlMoveToRangeStart and customXmlMoveToRangeEnd elements can overlap the range specified by another such pair of elements.</w:t>
      </w:r>
    </w:p>
    <w:p w:rsidR="00024C0A" w:rsidRDefault="00694C0F">
      <w:pPr>
        <w:pStyle w:val="Definition-Field2"/>
      </w:pPr>
      <w:r>
        <w:t>Word does not allow the range specified by a pair of customXmlMoveToR</w:t>
      </w:r>
      <w:r>
        <w:t>angeStart and customXmlMoveToRangeEnd elements to overlap the range specified by any other such pair of elements.</w:t>
      </w:r>
    </w:p>
    <w:p w:rsidR="00024C0A" w:rsidRDefault="00694C0F">
      <w:pPr>
        <w:pStyle w:val="Definition-Field"/>
      </w:pPr>
      <w:r>
        <w:t xml:space="preserve">c.   </w:t>
      </w:r>
      <w:r>
        <w:rPr>
          <w:i/>
        </w:rPr>
        <w:t>The standard allows customXML move tracking to begin inside, end inside, or contain an oMathPara element.</w:t>
      </w:r>
    </w:p>
    <w:p w:rsidR="00024C0A" w:rsidRDefault="00694C0F">
      <w:pPr>
        <w:pStyle w:val="Definition-Field2"/>
      </w:pPr>
      <w:r>
        <w:t>Word has unpredictable behavior</w:t>
      </w:r>
      <w:r>
        <w:t xml:space="preserve"> when customXML move tracking begins inside, ends inside, or contains an oMathPara element.</w:t>
      </w:r>
    </w:p>
    <w:p w:rsidR="00024C0A" w:rsidRDefault="00694C0F">
      <w:pPr>
        <w:pStyle w:val="Definition-Field"/>
      </w:pPr>
      <w:r>
        <w:t xml:space="preserve">d.   </w:t>
      </w:r>
      <w:r>
        <w:rPr>
          <w:i/>
        </w:rPr>
        <w:t>The standard states that the document is non-conformant if customXmlMoveToRangeStart is not contained in a move source container.</w:t>
      </w:r>
    </w:p>
    <w:p w:rsidR="00024C0A" w:rsidRDefault="00694C0F">
      <w:pPr>
        <w:pStyle w:val="Definition-Field2"/>
      </w:pPr>
      <w:r>
        <w:t xml:space="preserve">Word ignores </w:t>
      </w:r>
      <w:r>
        <w:t>customXmlMoveToRangeStart if it is contained in a move source container.</w:t>
      </w:r>
    </w:p>
    <w:p w:rsidR="00024C0A" w:rsidRDefault="00694C0F">
      <w:pPr>
        <w:pStyle w:val="Definition-Field"/>
      </w:pPr>
      <w:r>
        <w:t xml:space="preserve">e.   </w:t>
      </w:r>
      <w:r>
        <w:rPr>
          <w:i/>
        </w:rPr>
        <w:t>The standard states that the document is non-conformant if customXmlMoveToRangeStart is not contained in a move source container.</w:t>
      </w:r>
    </w:p>
    <w:p w:rsidR="00024C0A" w:rsidRDefault="00694C0F">
      <w:pPr>
        <w:pStyle w:val="Definition-Field2"/>
      </w:pPr>
      <w:r>
        <w:t>Word always writes the customXmlMoveToRangeStart</w:t>
      </w:r>
      <w:r>
        <w:t xml:space="preserve"> in a move destination container.</w:t>
      </w:r>
    </w:p>
    <w:p w:rsidR="00024C0A" w:rsidRDefault="00694C0F">
      <w:pPr>
        <w:pStyle w:val="Heading3"/>
      </w:pPr>
      <w:bookmarkStart w:id="671" w:name="section_ee129f764bdb46c7be1ad1c7d2bf7ad3"/>
      <w:bookmarkStart w:id="672" w:name="_Toc12260396"/>
      <w:r>
        <w:t>Part 1 Section 17.13.5.12, del (Deleted Table Row)</w:t>
      </w:r>
      <w:bookmarkEnd w:id="671"/>
      <w:bookmarkEnd w:id="672"/>
      <w:r>
        <w:fldChar w:fldCharType="begin"/>
      </w:r>
      <w:r>
        <w:instrText xml:space="preserve"> XE "del (Deleted Table Row)"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24C0A" w:rsidRDefault="00694C0F">
      <w:pPr>
        <w:pStyle w:val="Heading3"/>
      </w:pPr>
      <w:bookmarkStart w:id="673" w:name="section_0a4ccd31153b4a47b3ffc070a3743a70"/>
      <w:bookmarkStart w:id="674" w:name="_Toc12260397"/>
      <w:r>
        <w:t>Part 1 Section 17.13.5.13, del (Deleted Math Control Character)</w:t>
      </w:r>
      <w:bookmarkEnd w:id="673"/>
      <w:bookmarkEnd w:id="674"/>
      <w:r>
        <w:fldChar w:fldCharType="begin"/>
      </w:r>
      <w:r>
        <w:instrText xml:space="preserve"> XE "del (Deleted Math Control Character)" </w:instrText>
      </w:r>
      <w:r>
        <w:fldChar w:fldCharType="end"/>
      </w:r>
    </w:p>
    <w:p w:rsidR="00024C0A" w:rsidRDefault="00694C0F">
      <w:pPr>
        <w:pStyle w:val="Definition-Field2"/>
      </w:pPr>
      <w:r>
        <w:rPr>
          <w:i/>
        </w:rPr>
        <w:t xml:space="preserve">For additional notes that </w:t>
      </w:r>
      <w:r>
        <w:rPr>
          <w:i/>
        </w:rPr>
        <w:t xml:space="preserve">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e0eecaacdbe94cb8a4914ad994c6976f">
        <w:r>
          <w:rPr>
            <w:rStyle w:val="Hyperlink"/>
          </w:rPr>
          <w:t>ins, §17.13.5.16(a)</w:t>
        </w:r>
      </w:hyperlink>
      <w:r>
        <w:rPr>
          <w:i/>
        </w:rPr>
        <w:t xml:space="preserve">; </w:t>
      </w:r>
      <w:hyperlink w:anchor="Section_960dd70180364eedb52a774caf7075d2">
        <w:r>
          <w:rPr>
            <w:rStyle w:val="Hyperlink"/>
          </w:rPr>
          <w:t>ins, §17.13.5.18(b)</w:t>
        </w:r>
      </w:hyperlink>
      <w:r>
        <w:rPr>
          <w:i/>
        </w:rPr>
        <w:t>.</w:t>
      </w:r>
    </w:p>
    <w:p w:rsidR="00024C0A" w:rsidRDefault="00694C0F">
      <w:pPr>
        <w:pStyle w:val="Definition-Field"/>
      </w:pPr>
      <w:r>
        <w:t xml:space="preserve">a.   </w:t>
      </w:r>
      <w:r>
        <w:rPr>
          <w:i/>
        </w:rPr>
        <w:t>The standard states that the rPr (Previous Run Properties) element is a valid child.</w:t>
      </w:r>
    </w:p>
    <w:p w:rsidR="00024C0A" w:rsidRDefault="00694C0F">
      <w:pPr>
        <w:pStyle w:val="Definition-Field2"/>
      </w:pPr>
      <w:r>
        <w:t xml:space="preserve">Word allows the </w:t>
      </w:r>
      <w:r>
        <w:t>rPr (Run Properties) element, not the rPr (Previous Run Properties) element, to be a child.</w:t>
      </w:r>
    </w:p>
    <w:p w:rsidR="00024C0A" w:rsidRDefault="00694C0F">
      <w:pPr>
        <w:pStyle w:val="Heading3"/>
      </w:pPr>
      <w:bookmarkStart w:id="675" w:name="section_97b1a91213164dcbba0d45f59f6662f9"/>
      <w:bookmarkStart w:id="676" w:name="_Toc12260398"/>
      <w:r>
        <w:t>Part 1 Section 17.13.5.14, del (Deleted Run Content)</w:t>
      </w:r>
      <w:bookmarkEnd w:id="675"/>
      <w:bookmarkEnd w:id="676"/>
      <w:r>
        <w:fldChar w:fldCharType="begin"/>
      </w:r>
      <w:r>
        <w:instrText xml:space="preserve"> XE "del (Deleted Run Content)" </w:instrText>
      </w:r>
      <w:r>
        <w:fldChar w:fldCharType="end"/>
      </w:r>
    </w:p>
    <w:p w:rsidR="00024C0A" w:rsidRDefault="00694C0F">
      <w:pPr>
        <w:pStyle w:val="Definition-Field2"/>
      </w:pPr>
      <w:r>
        <w:rPr>
          <w:i/>
        </w:rPr>
        <w:t>For additional notes that apply to this portion of the standard, please see t</w:t>
      </w:r>
      <w:r>
        <w:rPr>
          <w:i/>
        </w:rPr>
        <w:t xml:space="preserve">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24C0A" w:rsidRDefault="00694C0F">
      <w:pPr>
        <w:pStyle w:val="Definition-Field"/>
      </w:pPr>
      <w:r>
        <w:t xml:space="preserve">a.   </w:t>
      </w:r>
      <w:r>
        <w:rPr>
          <w:i/>
        </w:rPr>
        <w:t>The standard allows nested deletions.</w:t>
      </w:r>
    </w:p>
    <w:p w:rsidR="00024C0A" w:rsidRDefault="00694C0F">
      <w:pPr>
        <w:pStyle w:val="Definition-Field2"/>
      </w:pPr>
      <w:r>
        <w:t>Word does not support nested deletions.</w:t>
      </w:r>
    </w:p>
    <w:p w:rsidR="00024C0A" w:rsidRDefault="00694C0F">
      <w:pPr>
        <w:pStyle w:val="Heading3"/>
      </w:pPr>
      <w:bookmarkStart w:id="677" w:name="section_8b5f240eeddd4650923cca36a8c37094"/>
      <w:bookmarkStart w:id="678" w:name="_Toc12260399"/>
      <w:r>
        <w:t>Part 1 Section 17.13.5.15, del (Deleted Paragraph)</w:t>
      </w:r>
      <w:bookmarkEnd w:id="677"/>
      <w:bookmarkEnd w:id="678"/>
      <w:r>
        <w:fldChar w:fldCharType="begin"/>
      </w:r>
      <w:r>
        <w:instrText xml:space="preserve"> XE "del (Delet</w:instrText>
      </w:r>
      <w:r>
        <w:instrText xml:space="preserve">ed Paragraph)"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24C0A" w:rsidRDefault="00694C0F">
      <w:pPr>
        <w:pStyle w:val="Heading3"/>
      </w:pPr>
      <w:bookmarkStart w:id="679" w:name="section_e0eecaacdbe94cb8a4914ad994c6976f"/>
      <w:bookmarkStart w:id="680" w:name="_Toc12260400"/>
      <w:r>
        <w:lastRenderedPageBreak/>
        <w:t>Part 1 Section 17.13.5.16, ins (Inserted Math Control Character)</w:t>
      </w:r>
      <w:bookmarkEnd w:id="679"/>
      <w:bookmarkEnd w:id="680"/>
      <w:r>
        <w:fldChar w:fldCharType="begin"/>
      </w:r>
      <w:r>
        <w:instrText xml:space="preserve"> XE "ins (Inserted Math Control Character)" </w:instrText>
      </w:r>
      <w:r>
        <w:fldChar w:fldCharType="end"/>
      </w:r>
    </w:p>
    <w:p w:rsidR="00024C0A" w:rsidRDefault="00694C0F">
      <w:pPr>
        <w:pStyle w:val="Definition-Field2"/>
      </w:pPr>
      <w:r>
        <w:rPr>
          <w:i/>
        </w:rPr>
        <w:t xml:space="preserve">For additional notes that apply to </w:t>
      </w:r>
      <w:r>
        <w:rPr>
          <w:i/>
        </w:rPr>
        <w:t xml:space="preserve">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0a4ccd31153b4a47b3ffc070a3743a70">
        <w:r>
          <w:rPr>
            <w:rStyle w:val="Hyperlink"/>
          </w:rPr>
          <w:t>del, §17.13.5.13(a)</w:t>
        </w:r>
      </w:hyperlink>
      <w:r>
        <w:rPr>
          <w:i/>
        </w:rPr>
        <w:t xml:space="preserve">; </w:t>
      </w:r>
      <w:hyperlink w:anchor="Section_960dd70180364eedb52a774caf7075d2">
        <w:r>
          <w:rPr>
            <w:rStyle w:val="Hyperlink"/>
          </w:rPr>
          <w:t>ins, §17.13.5.18(b)</w:t>
        </w:r>
      </w:hyperlink>
      <w:r>
        <w:rPr>
          <w:i/>
        </w:rPr>
        <w:t>.</w:t>
      </w:r>
    </w:p>
    <w:p w:rsidR="00024C0A" w:rsidRDefault="00694C0F">
      <w:pPr>
        <w:pStyle w:val="Definition-Field"/>
      </w:pPr>
      <w:r>
        <w:t xml:space="preserve">a.   </w:t>
      </w:r>
      <w:r>
        <w:rPr>
          <w:i/>
        </w:rPr>
        <w:t>The standard states that the rPr (Previous Run Properties) element is a valid child.</w:t>
      </w:r>
    </w:p>
    <w:p w:rsidR="00024C0A" w:rsidRDefault="00694C0F">
      <w:pPr>
        <w:pStyle w:val="Definition-Field2"/>
      </w:pPr>
      <w:r>
        <w:t xml:space="preserve">Word allows the rPr (Run </w:t>
      </w:r>
      <w:r>
        <w:t>Properties) element, not the rPr (Previous Run Properties) element, to be a child.</w:t>
      </w:r>
    </w:p>
    <w:p w:rsidR="00024C0A" w:rsidRDefault="00694C0F">
      <w:pPr>
        <w:pStyle w:val="Definition-Field"/>
      </w:pPr>
      <w:r>
        <w:t xml:space="preserve">b.   </w:t>
      </w:r>
      <w:r>
        <w:rPr>
          <w:i/>
        </w:rPr>
        <w:t>The standard states that the minOccurs value for the rPr child element is 1.</w:t>
      </w:r>
    </w:p>
    <w:p w:rsidR="00024C0A" w:rsidRDefault="00694C0F">
      <w:pPr>
        <w:pStyle w:val="Definition-Field2"/>
      </w:pPr>
      <w:r>
        <w:t>Word does not require an occurrence of this element.</w:t>
      </w:r>
    </w:p>
    <w:p w:rsidR="00024C0A" w:rsidRDefault="00694C0F">
      <w:pPr>
        <w:pStyle w:val="Heading3"/>
      </w:pPr>
      <w:bookmarkStart w:id="681" w:name="section_70498abcdc0b4c418e8dd1bd5044ebe6"/>
      <w:bookmarkStart w:id="682" w:name="_Toc12260401"/>
      <w:r>
        <w:t>Part 1 Section 17.13.5.17, ins (Insert</w:t>
      </w:r>
      <w:r>
        <w:t>ed Table Row)</w:t>
      </w:r>
      <w:bookmarkEnd w:id="681"/>
      <w:bookmarkEnd w:id="682"/>
      <w:r>
        <w:fldChar w:fldCharType="begin"/>
      </w:r>
      <w:r>
        <w:instrText xml:space="preserve"> XE "ins (Inserted Table Row)"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24C0A" w:rsidRDefault="00694C0F">
      <w:pPr>
        <w:pStyle w:val="Heading3"/>
      </w:pPr>
      <w:bookmarkStart w:id="683" w:name="section_960dd70180364eedb52a774caf7075d2"/>
      <w:bookmarkStart w:id="684" w:name="_Toc12260402"/>
      <w:r>
        <w:t>Part 1 Section 17.13.5.18, ins (Inserted Run Content)</w:t>
      </w:r>
      <w:bookmarkEnd w:id="683"/>
      <w:bookmarkEnd w:id="684"/>
      <w:r>
        <w:fldChar w:fldCharType="begin"/>
      </w:r>
      <w:r>
        <w:instrText xml:space="preserve"> XE "ins (Inserted Run Content)" </w:instrText>
      </w:r>
      <w:r>
        <w:fldChar w:fldCharType="end"/>
      </w:r>
    </w:p>
    <w:p w:rsidR="00024C0A" w:rsidRDefault="00694C0F">
      <w:pPr>
        <w:pStyle w:val="Definition-Field2"/>
      </w:pPr>
      <w:r>
        <w:rPr>
          <w:i/>
        </w:rPr>
        <w:t>For additional notes that apply to this portion of the standard, please see the notes</w:t>
      </w:r>
      <w:r>
        <w:rPr>
          <w:i/>
        </w:rPr>
        <w:t xml:space="preserve">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w:t>
        </w:r>
        <w:r>
          <w:rPr>
            <w:rStyle w:val="Hyperlink"/>
          </w:rPr>
          <w:t>17.13.5.1(a)</w:t>
        </w:r>
      </w:hyperlink>
      <w:r>
        <w:rPr>
          <w:i/>
        </w:rPr>
        <w:t>.</w:t>
      </w:r>
    </w:p>
    <w:p w:rsidR="00024C0A" w:rsidRDefault="00694C0F">
      <w:pPr>
        <w:pStyle w:val="Definition-Field"/>
      </w:pPr>
      <w:r>
        <w:t xml:space="preserve">a.   </w:t>
      </w:r>
      <w:r>
        <w:rPr>
          <w:i/>
        </w:rPr>
        <w:t>The standard allows nested insertions.</w:t>
      </w:r>
    </w:p>
    <w:p w:rsidR="00024C0A" w:rsidRDefault="00694C0F">
      <w:pPr>
        <w:pStyle w:val="Definition-Field2"/>
      </w:pPr>
      <w:r>
        <w:t>Word does not support nested insertions.</w:t>
      </w:r>
    </w:p>
    <w:p w:rsidR="00024C0A" w:rsidRDefault="00694C0F">
      <w:pPr>
        <w:pStyle w:val="Definition-Field"/>
      </w:pPr>
      <w:r>
        <w:t xml:space="preserve">b.   </w:t>
      </w:r>
      <w:r>
        <w:rPr>
          <w:i/>
        </w:rPr>
        <w:t>The standard states that the author attribute is required, but the prose defines its behavior when omitted.</w:t>
      </w:r>
    </w:p>
    <w:p w:rsidR="00024C0A" w:rsidRDefault="00694C0F">
      <w:pPr>
        <w:pStyle w:val="Definition-Field2"/>
      </w:pPr>
      <w:r>
        <w:t xml:space="preserve">Word behaves according to schema - the </w:t>
      </w:r>
      <w:r>
        <w:t>author attribute is required.</w:t>
      </w:r>
    </w:p>
    <w:p w:rsidR="00024C0A" w:rsidRDefault="00694C0F">
      <w:pPr>
        <w:pStyle w:val="Heading3"/>
      </w:pPr>
      <w:bookmarkStart w:id="685" w:name="section_2e24b3f2b745464e8194e4e074058b0c"/>
      <w:bookmarkStart w:id="686" w:name="_Toc12260403"/>
      <w:r>
        <w:t>Part 1 Section 17.13.5.19, ins (Inserted Numbering Properties)</w:t>
      </w:r>
      <w:bookmarkEnd w:id="685"/>
      <w:bookmarkEnd w:id="686"/>
      <w:r>
        <w:fldChar w:fldCharType="begin"/>
      </w:r>
      <w:r>
        <w:instrText xml:space="preserve"> XE "ins (Inserted Numbering Properties)"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24C0A" w:rsidRDefault="00694C0F">
      <w:pPr>
        <w:pStyle w:val="Heading3"/>
      </w:pPr>
      <w:bookmarkStart w:id="687" w:name="section_1d66ba8a1eeb4cffab8aeaa79113cc89"/>
      <w:bookmarkStart w:id="688" w:name="_Toc12260404"/>
      <w:r>
        <w:t xml:space="preserve">Part 1 Section 17.13.5.20, </w:t>
      </w:r>
      <w:r>
        <w:t>ins (Inserted Paragraph)</w:t>
      </w:r>
      <w:bookmarkEnd w:id="687"/>
      <w:bookmarkEnd w:id="688"/>
      <w:r>
        <w:fldChar w:fldCharType="begin"/>
      </w:r>
      <w:r>
        <w:instrText xml:space="preserve"> XE "ins (Inserted Paragraph)"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24C0A" w:rsidRDefault="00694C0F">
      <w:pPr>
        <w:pStyle w:val="Definition-Field"/>
      </w:pPr>
      <w:r>
        <w:t xml:space="preserve">a.   </w:t>
      </w:r>
      <w:r>
        <w:rPr>
          <w:i/>
        </w:rPr>
        <w:t>The standard states that this element specifies that a paragraph mark shall be treated as deleted (th</w:t>
      </w:r>
      <w:r>
        <w:rPr>
          <w:i/>
        </w:rPr>
        <w:t>at is, the contents of this paragraph are no longer delimited by this paragraph mark, and are combined with the following paragraph).</w:t>
      </w:r>
    </w:p>
    <w:p w:rsidR="00024C0A" w:rsidRDefault="00694C0F">
      <w:pPr>
        <w:pStyle w:val="Definition-Field2"/>
      </w:pPr>
      <w:r>
        <w:t>Word uses this element to specify that the paragraph mark shall be treated as inserted (that is, the contents of this para</w:t>
      </w:r>
      <w:r>
        <w:t>graph used to be combined with the following paragraph but were moved into a new paragraph).</w:t>
      </w:r>
    </w:p>
    <w:p w:rsidR="00024C0A" w:rsidRDefault="00694C0F">
      <w:pPr>
        <w:pStyle w:val="Heading3"/>
      </w:pPr>
      <w:bookmarkStart w:id="689" w:name="section_123328dcd0324adcbdd39388ff472ea2"/>
      <w:bookmarkStart w:id="690" w:name="_Toc12260405"/>
      <w:r>
        <w:t>Part 1 Section 17.13.5.21, moveFrom (Move Source Paragraph)</w:t>
      </w:r>
      <w:bookmarkEnd w:id="689"/>
      <w:bookmarkEnd w:id="690"/>
      <w:r>
        <w:fldChar w:fldCharType="begin"/>
      </w:r>
      <w:r>
        <w:instrText xml:space="preserve"> XE "moveFrom (Move Source Paragraph)" </w:instrText>
      </w:r>
      <w:r>
        <w:fldChar w:fldCharType="end"/>
      </w:r>
    </w:p>
    <w:p w:rsidR="00024C0A" w:rsidRDefault="00694C0F">
      <w:pPr>
        <w:pStyle w:val="Definition-Field2"/>
      </w:pPr>
      <w:r>
        <w:rPr>
          <w:i/>
        </w:rPr>
        <w:t>For additional notes that apply to this portion of the standar</w:t>
      </w:r>
      <w:r>
        <w:rPr>
          <w:i/>
        </w:rPr>
        <w:t xml:space="preserve">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24C0A" w:rsidRDefault="00694C0F">
      <w:pPr>
        <w:pStyle w:val="Definition-Field"/>
      </w:pPr>
      <w:r>
        <w:t xml:space="preserve">a.   </w:t>
      </w:r>
      <w:r>
        <w:rPr>
          <w:i/>
        </w:rPr>
        <w:t>The standard specifies semantics for this element.</w:t>
      </w:r>
    </w:p>
    <w:p w:rsidR="00024C0A" w:rsidRDefault="00694C0F">
      <w:pPr>
        <w:pStyle w:val="Definition-Field2"/>
      </w:pPr>
      <w:r>
        <w:lastRenderedPageBreak/>
        <w:t>Word ignores this element.</w:t>
      </w:r>
    </w:p>
    <w:p w:rsidR="00024C0A" w:rsidRDefault="00694C0F">
      <w:pPr>
        <w:pStyle w:val="Heading3"/>
      </w:pPr>
      <w:bookmarkStart w:id="691" w:name="section_70a0803b276e4570a179bc29869d6701"/>
      <w:bookmarkStart w:id="692" w:name="_Toc12260406"/>
      <w:r>
        <w:t>Part 1 Section 17.13.5.22, moveFrom (Move Source Run Content)</w:t>
      </w:r>
      <w:bookmarkEnd w:id="691"/>
      <w:bookmarkEnd w:id="692"/>
      <w:r>
        <w:fldChar w:fldCharType="begin"/>
      </w:r>
      <w:r>
        <w:instrText xml:space="preserve"> XE "moveFrom (Move Source Run</w:instrText>
      </w:r>
      <w:r>
        <w:instrText xml:space="preserve"> Content)"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w:t>
        </w:r>
        <w:r>
          <w:rPr>
            <w:rStyle w:val="Hyperlink"/>
          </w:rPr>
          <w:t>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24C0A" w:rsidRDefault="00694C0F">
      <w:pPr>
        <w:pStyle w:val="Definition-Field"/>
      </w:pPr>
      <w:r>
        <w:t xml:space="preserve">a.   </w:t>
      </w:r>
      <w:r>
        <w:rPr>
          <w:i/>
        </w:rPr>
        <w:t>The standard allows moveFrom to be nested.</w:t>
      </w:r>
    </w:p>
    <w:p w:rsidR="00024C0A" w:rsidRDefault="00694C0F">
      <w:pPr>
        <w:pStyle w:val="Definition-Field2"/>
      </w:pPr>
      <w:r>
        <w:t>Word does n</w:t>
      </w:r>
      <w:r>
        <w:t>ot support nesting moveFrom.</w:t>
      </w:r>
    </w:p>
    <w:p w:rsidR="00024C0A" w:rsidRDefault="00694C0F">
      <w:pPr>
        <w:pStyle w:val="Definition-Field"/>
      </w:pPr>
      <w:r>
        <w:t xml:space="preserve">b.   </w:t>
      </w:r>
      <w:r>
        <w:rPr>
          <w:i/>
        </w:rPr>
        <w:t>The standard allows tracked moves in math objects and functions.</w:t>
      </w:r>
    </w:p>
    <w:p w:rsidR="00024C0A" w:rsidRDefault="00694C0F">
      <w:pPr>
        <w:pStyle w:val="Definition-Field2"/>
      </w:pPr>
      <w:r>
        <w:t>Word treats tracked moves (moveFrom, moveTo) in math objects and functions as insertions and deletions.</w:t>
      </w:r>
    </w:p>
    <w:p w:rsidR="00024C0A" w:rsidRDefault="00694C0F">
      <w:pPr>
        <w:pStyle w:val="Heading3"/>
      </w:pPr>
      <w:bookmarkStart w:id="693" w:name="section_f90cd8b7925d4d049a0385f33bc74843"/>
      <w:bookmarkStart w:id="694" w:name="_Toc12260407"/>
      <w:r>
        <w:t>Part 1 Section 17.13.5.23, moveFromRangeEnd (Move Sou</w:t>
      </w:r>
      <w:r>
        <w:t>rce Location Container - End)</w:t>
      </w:r>
      <w:bookmarkEnd w:id="693"/>
      <w:bookmarkEnd w:id="694"/>
      <w:r>
        <w:fldChar w:fldCharType="begin"/>
      </w:r>
      <w:r>
        <w:instrText xml:space="preserve"> XE "moveFromRangeEnd (Move Source Location Container - End)"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e395604b15d9406089b7acdc18864414">
        <w:r>
          <w:rPr>
            <w:rStyle w:val="Hyperlink"/>
          </w:rPr>
          <w:t>sdt, §17.</w:t>
        </w:r>
        <w:r>
          <w:rPr>
            <w:rStyle w:val="Hyperlink"/>
          </w:rPr>
          <w:t>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w:t>
        </w:r>
        <w:r>
          <w:rPr>
            <w:rStyle w:val="Hyperlink"/>
          </w:rPr>
          <w:t>4.2(b)</w:t>
        </w:r>
      </w:hyperlink>
      <w:r>
        <w:rPr>
          <w:i/>
        </w:rPr>
        <w:t xml:space="preserve">; </w:t>
      </w:r>
      <w:hyperlink w:anchor="Section_cf861d389d024d8e8fe7450a01f33d40">
        <w:r>
          <w:rPr>
            <w:rStyle w:val="Hyperlink"/>
          </w:rPr>
          <w:t>cellDel, §17.13.5.1(a)</w:t>
        </w:r>
      </w:hyperlink>
      <w:r>
        <w:rPr>
          <w:i/>
        </w:rPr>
        <w:t>.</w:t>
      </w:r>
    </w:p>
    <w:p w:rsidR="00024C0A" w:rsidRDefault="00694C0F">
      <w:pPr>
        <w:pStyle w:val="Heading3"/>
      </w:pPr>
      <w:bookmarkStart w:id="695" w:name="section_5214839b61db423aa618a375b90fd0a8"/>
      <w:bookmarkStart w:id="696" w:name="_Toc12260408"/>
      <w:r>
        <w:t>Part 1 Section 17.13.5.24, moveFromRangeStart (Move Source Location Container - Start)</w:t>
      </w:r>
      <w:bookmarkEnd w:id="695"/>
      <w:bookmarkEnd w:id="696"/>
      <w:r>
        <w:fldChar w:fldCharType="begin"/>
      </w:r>
      <w:r>
        <w:instrText xml:space="preserve"> XE "moveFromRangeStart (Move Source Location Container - Start)" </w:instrText>
      </w:r>
      <w:r>
        <w:fldChar w:fldCharType="end"/>
      </w:r>
    </w:p>
    <w:p w:rsidR="00024C0A" w:rsidRDefault="00694C0F">
      <w:pPr>
        <w:pStyle w:val="Definition-Field2"/>
      </w:pPr>
      <w:r>
        <w:rPr>
          <w:i/>
        </w:rPr>
        <w:t>For ad</w:t>
      </w:r>
      <w:r>
        <w:rPr>
          <w:i/>
        </w:rPr>
        <w:t xml:space="preserve">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rsidR="00024C0A" w:rsidRDefault="00694C0F">
      <w:pPr>
        <w:pStyle w:val="Definition-Field"/>
      </w:pPr>
      <w:r>
        <w:t xml:space="preserve">a.   </w:t>
      </w:r>
      <w:r>
        <w:rPr>
          <w:i/>
        </w:rPr>
        <w:t>The standard allows an unbounded number of moveFrom/moveTo ranges.</w:t>
      </w:r>
    </w:p>
    <w:p w:rsidR="00024C0A" w:rsidRDefault="00694C0F">
      <w:pPr>
        <w:pStyle w:val="Definition-Field2"/>
      </w:pPr>
      <w:r>
        <w:t>Word will not open a document with too many moveFrom/moveTo ranges. If the uiCompat97to2003</w:t>
      </w:r>
      <w:r>
        <w:t xml:space="preserve"> is set, the maximum is 32,751; otherwise the maximum is 2,147,483,647.</w:t>
      </w:r>
    </w:p>
    <w:p w:rsidR="00024C0A" w:rsidRDefault="00694C0F">
      <w:pPr>
        <w:pStyle w:val="Heading3"/>
      </w:pPr>
      <w:bookmarkStart w:id="697" w:name="section_4fffb314e0bf4947af2079d7ca0448d5"/>
      <w:bookmarkStart w:id="698" w:name="_Toc12260409"/>
      <w:r>
        <w:t>Part 1 Section 17.13.5.25, moveTo (Move Destination Run Content)</w:t>
      </w:r>
      <w:bookmarkEnd w:id="697"/>
      <w:bookmarkEnd w:id="698"/>
      <w:r>
        <w:fldChar w:fldCharType="begin"/>
      </w:r>
      <w:r>
        <w:instrText xml:space="preserve"> XE "moveTo (Move Destination Run Content)" </w:instrText>
      </w:r>
      <w:r>
        <w:fldChar w:fldCharType="end"/>
      </w:r>
    </w:p>
    <w:p w:rsidR="00024C0A" w:rsidRDefault="00694C0F">
      <w:pPr>
        <w:pStyle w:val="Definition-Field2"/>
      </w:pPr>
      <w:r>
        <w:rPr>
          <w:i/>
        </w:rPr>
        <w:t>For additional notes that apply to this portion of the standard, please s</w:t>
      </w:r>
      <w:r>
        <w:rPr>
          <w:i/>
        </w:rPr>
        <w:t xml:space="preserve">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24C0A" w:rsidRDefault="00694C0F">
      <w:pPr>
        <w:pStyle w:val="Definition-Field"/>
      </w:pPr>
      <w:r>
        <w:t xml:space="preserve">a.   </w:t>
      </w:r>
      <w:r>
        <w:rPr>
          <w:i/>
        </w:rPr>
        <w:t>The standard allows the moveTo element to be a descendant of another moveTo element.</w:t>
      </w:r>
    </w:p>
    <w:p w:rsidR="00024C0A" w:rsidRDefault="00694C0F">
      <w:pPr>
        <w:pStyle w:val="Definition-Field2"/>
      </w:pPr>
      <w:r>
        <w:t>Word does not allow the moveTo element to be a descendan</w:t>
      </w:r>
      <w:r>
        <w:t>t of another moveTo element.</w:t>
      </w:r>
    </w:p>
    <w:p w:rsidR="00024C0A" w:rsidRDefault="00694C0F">
      <w:pPr>
        <w:pStyle w:val="Definition-Field"/>
      </w:pPr>
      <w:r>
        <w:t xml:space="preserve">b.   </w:t>
      </w:r>
      <w:r>
        <w:rPr>
          <w:i/>
        </w:rPr>
        <w:t>The standard allows tracked moves in math objects and functions.</w:t>
      </w:r>
    </w:p>
    <w:p w:rsidR="00024C0A" w:rsidRDefault="00694C0F">
      <w:pPr>
        <w:pStyle w:val="Definition-Field2"/>
      </w:pPr>
      <w:r>
        <w:t>Word treats tracked moves (moveFrom, moveTo) in math objects and functions as deletions and insertions.</w:t>
      </w:r>
    </w:p>
    <w:p w:rsidR="00024C0A" w:rsidRDefault="00694C0F">
      <w:pPr>
        <w:pStyle w:val="Heading3"/>
      </w:pPr>
      <w:bookmarkStart w:id="699" w:name="section_dafb64ea058d4c1fa592c3c6c8df91c6"/>
      <w:bookmarkStart w:id="700" w:name="_Toc12260410"/>
      <w:r>
        <w:t>Part 1 Section 17.13.5.26, moveTo (Move Destination Paragraph)</w:t>
      </w:r>
      <w:bookmarkEnd w:id="699"/>
      <w:bookmarkEnd w:id="700"/>
      <w:r>
        <w:fldChar w:fldCharType="begin"/>
      </w:r>
      <w:r>
        <w:instrText xml:space="preserve"> XE "moveTo (Move Destination Paragraph)"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24C0A" w:rsidRDefault="00694C0F">
      <w:pPr>
        <w:pStyle w:val="Definition-Field"/>
      </w:pPr>
      <w:r>
        <w:t xml:space="preserve">a.   </w:t>
      </w:r>
      <w:r>
        <w:rPr>
          <w:i/>
        </w:rPr>
        <w:t>The standard specifies semantics for this element.</w:t>
      </w:r>
    </w:p>
    <w:p w:rsidR="00024C0A" w:rsidRDefault="00694C0F">
      <w:pPr>
        <w:pStyle w:val="Definition-Field2"/>
      </w:pPr>
      <w:r>
        <w:lastRenderedPageBreak/>
        <w:t>W</w:t>
      </w:r>
      <w:r>
        <w:t>ord ignores this element.</w:t>
      </w:r>
    </w:p>
    <w:p w:rsidR="00024C0A" w:rsidRDefault="00694C0F">
      <w:pPr>
        <w:pStyle w:val="Heading3"/>
      </w:pPr>
      <w:bookmarkStart w:id="701" w:name="section_8e9341b0a75f40009e2209c559e8a4ce"/>
      <w:bookmarkStart w:id="702" w:name="_Toc12260411"/>
      <w:r>
        <w:t>Part 1 Section 17.13.5.27, moveToRangeEnd (Move Destination Location Container - End)</w:t>
      </w:r>
      <w:bookmarkEnd w:id="701"/>
      <w:bookmarkEnd w:id="702"/>
      <w:r>
        <w:fldChar w:fldCharType="begin"/>
      </w:r>
      <w:r>
        <w:instrText xml:space="preserve"> XE "moveToRangeEnd (Move Destination Location Container - End)" </w:instrText>
      </w:r>
      <w:r>
        <w:fldChar w:fldCharType="end"/>
      </w:r>
    </w:p>
    <w:p w:rsidR="00024C0A" w:rsidRDefault="00694C0F">
      <w:pPr>
        <w:pStyle w:val="Definition-Field2"/>
      </w:pPr>
      <w:r>
        <w:rPr>
          <w:i/>
        </w:rPr>
        <w:t>For additional notes that apply to this portion of the standard, please see t</w:t>
      </w:r>
      <w:r>
        <w:rPr>
          <w:i/>
        </w:rPr>
        <w:t xml:space="preserve">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 xml:space="preserve">sdt, </w:t>
        </w:r>
        <w:r>
          <w:rPr>
            <w:rStyle w:val="Hyperlink"/>
          </w:rPr>
          <w:t>§17.5.2.32(a)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024C0A" w:rsidRDefault="00694C0F">
      <w:pPr>
        <w:pStyle w:val="Definition-Field"/>
      </w:pPr>
      <w:r>
        <w:t xml:space="preserve">a.   </w:t>
      </w:r>
      <w:r>
        <w:rPr>
          <w:i/>
        </w:rPr>
        <w:t>The standard does not specify any restrictions concerning mult</w:t>
      </w:r>
      <w:r>
        <w:rPr>
          <w:i/>
        </w:rPr>
        <w:t>iple moveToRangeEnd elements with the same id attribute value.</w:t>
      </w:r>
    </w:p>
    <w:p w:rsidR="00024C0A" w:rsidRDefault="00694C0F">
      <w:pPr>
        <w:pStyle w:val="Definition-Field2"/>
      </w:pPr>
      <w:r>
        <w:t>Word will use the first moveToRangeEnd element (in document order) to determine the end of the destination container</w:t>
      </w:r>
    </w:p>
    <w:p w:rsidR="00024C0A" w:rsidRDefault="00694C0F">
      <w:pPr>
        <w:pStyle w:val="Heading3"/>
      </w:pPr>
      <w:bookmarkStart w:id="703" w:name="section_03c98d1c57d84c05bd1b76e79d3673a4"/>
      <w:bookmarkStart w:id="704" w:name="_Toc12260412"/>
      <w:r>
        <w:t>Part 1 Section 17.13.5.28, moveToRangeStart (Move Destination Location Conta</w:t>
      </w:r>
      <w:r>
        <w:t>iner - Start)</w:t>
      </w:r>
      <w:bookmarkEnd w:id="703"/>
      <w:bookmarkEnd w:id="704"/>
      <w:r>
        <w:fldChar w:fldCharType="begin"/>
      </w:r>
      <w:r>
        <w:instrText xml:space="preserve"> XE "moveToRangeStart (Move Destination Location Container - Start)"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rsidR="00024C0A" w:rsidRDefault="00694C0F">
      <w:pPr>
        <w:pStyle w:val="Heading3"/>
      </w:pPr>
      <w:bookmarkStart w:id="705" w:name="section_ca8a2548c37b4d7bbf3f4531b6309281"/>
      <w:bookmarkStart w:id="706" w:name="_Toc12260413"/>
      <w:r>
        <w:t>Part 1 Section 17.13.5.29, pPrChange (Revision Information for Paragraph Pr</w:t>
      </w:r>
      <w:r>
        <w:t>operties)</w:t>
      </w:r>
      <w:bookmarkEnd w:id="705"/>
      <w:bookmarkEnd w:id="706"/>
      <w:r>
        <w:fldChar w:fldCharType="begin"/>
      </w:r>
      <w:r>
        <w:instrText xml:space="preserve"> XE "pPrChange (Revision Information for Paragraph Properties)"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0f793ec25174bd792363bd6a7f828b7">
        <w:r>
          <w:rPr>
            <w:rStyle w:val="Hyperlink"/>
          </w:rPr>
          <w:t>pPr, §17.9.22(a)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24C0A" w:rsidRDefault="00694C0F">
      <w:pPr>
        <w:pStyle w:val="Heading3"/>
      </w:pPr>
      <w:bookmarkStart w:id="707" w:name="section_7fec6f90a2ff40dcba8df45db391f716"/>
      <w:bookmarkStart w:id="708" w:name="_Toc12260414"/>
      <w:r>
        <w:t>Part 1 Section 17.13.5.30, rPrChange (Revision Information for Run Properties on the Paragraph Mark)</w:t>
      </w:r>
      <w:bookmarkEnd w:id="707"/>
      <w:bookmarkEnd w:id="708"/>
      <w:r>
        <w:fldChar w:fldCharType="begin"/>
      </w:r>
      <w:r>
        <w:instrText xml:space="preserve"> XE "rPrChange (Revision Information for Run Properties on the Paragraph Mark)"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 xml:space="preserve">cellDel, </w:t>
        </w:r>
        <w:r>
          <w:rPr>
            <w:rStyle w:val="Hyperlink"/>
          </w:rPr>
          <w:t>§17.13.5.1(a)</w:t>
        </w:r>
      </w:hyperlink>
      <w:r>
        <w:rPr>
          <w:i/>
        </w:rPr>
        <w:t xml:space="preserve">; </w:t>
      </w:r>
      <w:hyperlink w:anchor="Section_960dd70180364eedb52a774caf7075d2">
        <w:r>
          <w:rPr>
            <w:rStyle w:val="Hyperlink"/>
          </w:rPr>
          <w:t>ins, §17.13.5.18(b)</w:t>
        </w:r>
      </w:hyperlink>
      <w:r>
        <w:rPr>
          <w:i/>
        </w:rPr>
        <w:t>.</w:t>
      </w:r>
    </w:p>
    <w:p w:rsidR="00024C0A" w:rsidRDefault="00694C0F">
      <w:pPr>
        <w:pStyle w:val="Heading3"/>
      </w:pPr>
      <w:bookmarkStart w:id="709" w:name="section_d12848504d134d5eb6cd167c00942216"/>
      <w:bookmarkStart w:id="710" w:name="_Toc12260415"/>
      <w:r>
        <w:t>Part 1 Section 17.13.5.31, rPrChange (Revision Information for Run Properties)</w:t>
      </w:r>
      <w:bookmarkEnd w:id="709"/>
      <w:bookmarkEnd w:id="710"/>
      <w:r>
        <w:fldChar w:fldCharType="begin"/>
      </w:r>
      <w:r>
        <w:instrText xml:space="preserve"> XE "rPrChange (Revision Information for Run Properties)" </w:instrText>
      </w:r>
      <w:r>
        <w:fldChar w:fldCharType="end"/>
      </w:r>
    </w:p>
    <w:p w:rsidR="00024C0A" w:rsidRDefault="00694C0F">
      <w:pPr>
        <w:pStyle w:val="Definition-Field2"/>
      </w:pPr>
      <w:r>
        <w:rPr>
          <w:i/>
        </w:rPr>
        <w:t>For additional not</w:t>
      </w:r>
      <w:r>
        <w:rPr>
          <w:i/>
        </w:rPr>
        <w:t xml:space="preserve">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ffb4a990b46f4e388db396fc13d0b0f6">
        <w:r>
          <w:rPr>
            <w:rStyle w:val="Hyperlink"/>
          </w:rPr>
          <w:t>rPr, §17.9.24(a)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24C0A" w:rsidRDefault="00694C0F">
      <w:pPr>
        <w:pStyle w:val="Heading3"/>
      </w:pPr>
      <w:bookmarkStart w:id="711" w:name="section_ab7b2013909a41d795d945a910802bd7"/>
      <w:bookmarkStart w:id="712" w:name="_Toc12260416"/>
      <w:r>
        <w:t>Part 1 Section 17.13.5.32, sectPrChange (Revision Information for Section Properties)</w:t>
      </w:r>
      <w:bookmarkEnd w:id="711"/>
      <w:bookmarkEnd w:id="712"/>
      <w:r>
        <w:fldChar w:fldCharType="begin"/>
      </w:r>
      <w:r>
        <w:instrText xml:space="preserve"> XE "sectPrChange (Revision Information for Section Properties)" </w:instrText>
      </w:r>
      <w:r>
        <w:fldChar w:fldCharType="end"/>
      </w:r>
    </w:p>
    <w:p w:rsidR="00024C0A" w:rsidRDefault="00694C0F">
      <w:pPr>
        <w:pStyle w:val="Definition-Field2"/>
      </w:pPr>
      <w:r>
        <w:rPr>
          <w:i/>
        </w:rPr>
        <w:t xml:space="preserve">For additional notes that apply to this </w:t>
      </w:r>
      <w:r>
        <w:rPr>
          <w:i/>
        </w:rPr>
        <w:t xml:space="preserve">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24C0A" w:rsidRDefault="00694C0F">
      <w:pPr>
        <w:pStyle w:val="Definition-Field"/>
      </w:pPr>
      <w:r>
        <w:t xml:space="preserve">a.   </w:t>
      </w:r>
      <w:r>
        <w:rPr>
          <w:i/>
        </w:rPr>
        <w:t>The standard states that the previous section properties are expressed as a complete set of properties.</w:t>
      </w:r>
    </w:p>
    <w:p w:rsidR="00024C0A" w:rsidRDefault="00694C0F">
      <w:pPr>
        <w:pStyle w:val="Definition-Field2"/>
      </w:pPr>
      <w:r>
        <w:t>Word interprets previous section properties as relative to the current set of properties.</w:t>
      </w:r>
    </w:p>
    <w:p w:rsidR="00024C0A" w:rsidRDefault="00694C0F">
      <w:pPr>
        <w:pStyle w:val="Heading3"/>
      </w:pPr>
      <w:bookmarkStart w:id="713" w:name="section_1e829ce750c1488184750119e5e0d5bc"/>
      <w:bookmarkStart w:id="714" w:name="_Toc12260417"/>
      <w:r>
        <w:lastRenderedPageBreak/>
        <w:t xml:space="preserve">Part </w:t>
      </w:r>
      <w:r>
        <w:t>1 Section 17.13.5.33, tblGridChange (Revision Information for Table Grid Column Definitions)</w:t>
      </w:r>
      <w:bookmarkEnd w:id="713"/>
      <w:bookmarkEnd w:id="714"/>
      <w:r>
        <w:fldChar w:fldCharType="begin"/>
      </w:r>
      <w:r>
        <w:instrText xml:space="preserve"> XE "tblGridChange (Revision Information for Table Grid Column Definitions)" </w:instrText>
      </w:r>
      <w:r>
        <w:fldChar w:fldCharType="end"/>
      </w:r>
    </w:p>
    <w:p w:rsidR="00024C0A" w:rsidRDefault="00694C0F">
      <w:pPr>
        <w:pStyle w:val="Definition-Field2"/>
      </w:pPr>
      <w:r>
        <w:rPr>
          <w:i/>
        </w:rPr>
        <w:t>For additional notes that apply to this portion of the standard, please see the note</w:t>
      </w:r>
      <w:r>
        <w:rPr>
          <w:i/>
        </w:rPr>
        <w:t xml:space="preserve">s for </w:t>
      </w:r>
      <w:hyperlink w:anchor="Section_cf861d389d024d8e8fe7450a01f33d40">
        <w:r>
          <w:rPr>
            <w:rStyle w:val="Hyperlink"/>
          </w:rPr>
          <w:t>cellDel, §17.13.5.1(a)</w:t>
        </w:r>
      </w:hyperlink>
      <w:r>
        <w:rPr>
          <w:i/>
        </w:rPr>
        <w:t>.</w:t>
      </w:r>
    </w:p>
    <w:p w:rsidR="00024C0A" w:rsidRDefault="00694C0F">
      <w:pPr>
        <w:pStyle w:val="Heading3"/>
      </w:pPr>
      <w:bookmarkStart w:id="715" w:name="section_0f826fe09212450781a1cc695561c0bc"/>
      <w:bookmarkStart w:id="716" w:name="_Toc12260418"/>
      <w:r>
        <w:t>Part 1 Section 17.13.5.34, tblPrChange (Revision Information for Table Properties)</w:t>
      </w:r>
      <w:bookmarkEnd w:id="715"/>
      <w:bookmarkEnd w:id="716"/>
      <w:r>
        <w:fldChar w:fldCharType="begin"/>
      </w:r>
      <w:r>
        <w:instrText xml:space="preserve"> XE "tblPrChange (Revision Information for Table Properties)" </w:instrText>
      </w:r>
      <w:r>
        <w:fldChar w:fldCharType="end"/>
      </w:r>
    </w:p>
    <w:p w:rsidR="00024C0A" w:rsidRDefault="00694C0F">
      <w:pPr>
        <w:pStyle w:val="Definition-Field2"/>
      </w:pPr>
      <w:r>
        <w:rPr>
          <w:i/>
        </w:rPr>
        <w:t>For additional n</w:t>
      </w:r>
      <w:r>
        <w:rPr>
          <w:i/>
        </w:rPr>
        <w:t xml:space="preserve">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24C0A" w:rsidRDefault="00694C0F">
      <w:pPr>
        <w:pStyle w:val="Heading3"/>
      </w:pPr>
      <w:bookmarkStart w:id="717" w:name="section_9f2644cb18224b9992b7b781740e0f88"/>
      <w:bookmarkStart w:id="718" w:name="_Toc12260419"/>
      <w:r>
        <w:t>Part 1 Section 17.13.5.35, tblPrExChange (Revision Information for Table-Level Property Exceptions)</w:t>
      </w:r>
      <w:bookmarkEnd w:id="717"/>
      <w:bookmarkEnd w:id="718"/>
      <w:r>
        <w:fldChar w:fldCharType="begin"/>
      </w:r>
      <w:r>
        <w:instrText xml:space="preserve"> XE "tblPrExChange (Revision Information for Table-Level Property Exception</w:instrText>
      </w:r>
      <w:r>
        <w:instrText xml:space="preserve">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 xml:space="preserve">cellDel, </w:t>
        </w:r>
        <w:r>
          <w:rPr>
            <w:rStyle w:val="Hyperlink"/>
          </w:rPr>
          <w:t>§17.13.5.1(a)</w:t>
        </w:r>
      </w:hyperlink>
      <w:r>
        <w:rPr>
          <w:i/>
        </w:rPr>
        <w:t xml:space="preserve">; </w:t>
      </w:r>
      <w:hyperlink w:anchor="Section_960dd70180364eedb52a774caf7075d2">
        <w:r>
          <w:rPr>
            <w:rStyle w:val="Hyperlink"/>
          </w:rPr>
          <w:t>ins, §17.13.5.18(b)</w:t>
        </w:r>
      </w:hyperlink>
      <w:r>
        <w:rPr>
          <w:i/>
        </w:rPr>
        <w:t>.</w:t>
      </w:r>
    </w:p>
    <w:p w:rsidR="00024C0A" w:rsidRDefault="00694C0F">
      <w:pPr>
        <w:pStyle w:val="Heading3"/>
      </w:pPr>
      <w:bookmarkStart w:id="719" w:name="section_784866f51c0947c48ea8696c1f0b2ac2"/>
      <w:bookmarkStart w:id="720" w:name="_Toc12260420"/>
      <w:r>
        <w:t>Part 1 Section 17.13.5.36, tcPrChange (Revision Information for Table Cell Properties)</w:t>
      </w:r>
      <w:bookmarkEnd w:id="719"/>
      <w:bookmarkEnd w:id="720"/>
      <w:r>
        <w:fldChar w:fldCharType="begin"/>
      </w:r>
      <w:r>
        <w:instrText xml:space="preserve"> XE "tcPrChange (Revision Information for Table Cell Properties)" </w:instrText>
      </w:r>
      <w:r>
        <w:fldChar w:fldCharType="end"/>
      </w:r>
    </w:p>
    <w:p w:rsidR="00024C0A" w:rsidRDefault="00694C0F">
      <w:pPr>
        <w:pStyle w:val="Definition-Field2"/>
      </w:pPr>
      <w:r>
        <w:rPr>
          <w:i/>
        </w:rPr>
        <w:t>Fo</w:t>
      </w:r>
      <w:r>
        <w:rPr>
          <w:i/>
        </w:rPr>
        <w:t xml:space="preserve">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24C0A" w:rsidRDefault="00694C0F">
      <w:pPr>
        <w:pStyle w:val="Heading3"/>
      </w:pPr>
      <w:bookmarkStart w:id="721" w:name="section_953ded84289041e2b60711dc9c658a54"/>
      <w:bookmarkStart w:id="722" w:name="_Toc12260421"/>
      <w:r>
        <w:t>Part 1 Section 17.13.5.37, trPrChange (Revision Information for Table Row Properties)</w:t>
      </w:r>
      <w:bookmarkEnd w:id="721"/>
      <w:bookmarkEnd w:id="722"/>
      <w:r>
        <w:fldChar w:fldCharType="begin"/>
      </w:r>
      <w:r>
        <w:instrText xml:space="preserve"> XE "trPrChange (Revision Information for Table Row Properties)"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24C0A" w:rsidRDefault="00694C0F">
      <w:pPr>
        <w:pStyle w:val="Definition-Field"/>
      </w:pPr>
      <w:r>
        <w:t xml:space="preserve">a.   </w:t>
      </w:r>
      <w:r>
        <w:rPr>
          <w:i/>
        </w:rPr>
        <w:t>The standard states that table styles can contain row property revisions.</w:t>
      </w:r>
    </w:p>
    <w:p w:rsidR="00024C0A" w:rsidRDefault="00694C0F">
      <w:pPr>
        <w:pStyle w:val="Definition-Field2"/>
      </w:pPr>
      <w:r>
        <w:t>Word does</w:t>
      </w:r>
      <w:r>
        <w:t xml:space="preserve"> not allow row property revisions in table styles.</w:t>
      </w:r>
    </w:p>
    <w:p w:rsidR="00024C0A" w:rsidRDefault="00694C0F">
      <w:pPr>
        <w:pStyle w:val="Heading3"/>
      </w:pPr>
      <w:bookmarkStart w:id="723" w:name="section_a790410f43e742a89105776a6c661fdd"/>
      <w:bookmarkStart w:id="724" w:name="_Toc12260422"/>
      <w:r>
        <w:t>Part 1 Section 17.13.6, Bookmarks</w:t>
      </w:r>
      <w:bookmarkEnd w:id="723"/>
      <w:bookmarkEnd w:id="724"/>
      <w:r>
        <w:fldChar w:fldCharType="begin"/>
      </w:r>
      <w:r>
        <w:instrText xml:space="preserve"> XE "Bookmarks" </w:instrText>
      </w:r>
      <w:r>
        <w:fldChar w:fldCharType="end"/>
      </w:r>
    </w:p>
    <w:p w:rsidR="00024C0A" w:rsidRDefault="00694C0F">
      <w:pPr>
        <w:pStyle w:val="Definition-Field"/>
      </w:pPr>
      <w:r>
        <w:t xml:space="preserve">a.   </w:t>
      </w:r>
      <w:r>
        <w:rPr>
          <w:i/>
        </w:rPr>
        <w:t>The standard allows a bookmark to begin inside a math object and end outside that object or vice versa.</w:t>
      </w:r>
    </w:p>
    <w:p w:rsidR="00024C0A" w:rsidRDefault="00694C0F">
      <w:pPr>
        <w:pStyle w:val="Definition-Field2"/>
      </w:pPr>
      <w:r>
        <w:t xml:space="preserve">Word does not allow a bookmark to begin </w:t>
      </w:r>
      <w:r>
        <w:t>inside a math object and end outside that object or vice versa.</w:t>
      </w:r>
    </w:p>
    <w:p w:rsidR="00024C0A" w:rsidRDefault="00694C0F">
      <w:pPr>
        <w:pStyle w:val="Definition-Field"/>
      </w:pPr>
      <w:r>
        <w:t xml:space="preserve">b.   </w:t>
      </w:r>
      <w:r>
        <w:rPr>
          <w:i/>
        </w:rPr>
        <w:t>The standard does not specify a maximum number of bookmarks allowed in a document.</w:t>
      </w:r>
    </w:p>
    <w:p w:rsidR="00024C0A" w:rsidRDefault="00694C0F">
      <w:pPr>
        <w:pStyle w:val="Definition-Field2"/>
      </w:pPr>
      <w:r>
        <w:t>Word fails to open the file if it has too many bookmarks (more than 16380 when the uiCompat97to2003 elem</w:t>
      </w:r>
      <w:r>
        <w:t>ent is present, more than 2147483647 otherwise).</w:t>
      </w:r>
    </w:p>
    <w:p w:rsidR="00024C0A" w:rsidRDefault="00694C0F">
      <w:pPr>
        <w:pStyle w:val="Heading3"/>
      </w:pPr>
      <w:bookmarkStart w:id="725" w:name="section_fa51f4d3bb2a4fac845f8368432e3174"/>
      <w:bookmarkStart w:id="726" w:name="_Toc12260423"/>
      <w:r>
        <w:t>Part 1 Section 17.13.6.1, bookmarkEnd (Bookmark End)</w:t>
      </w:r>
      <w:bookmarkEnd w:id="725"/>
      <w:bookmarkEnd w:id="726"/>
      <w:r>
        <w:fldChar w:fldCharType="begin"/>
      </w:r>
      <w:r>
        <w:instrText xml:space="preserve"> XE "bookmarkEnd (Bookmark End)"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024C0A" w:rsidRDefault="00694C0F">
      <w:pPr>
        <w:pStyle w:val="Heading3"/>
      </w:pPr>
      <w:bookmarkStart w:id="727" w:name="section_da8b8f592af149d98553f0c1ff2fb18d"/>
      <w:bookmarkStart w:id="728" w:name="_Toc12260424"/>
      <w:r>
        <w:lastRenderedPageBreak/>
        <w:t>Part 1 Section 17.13.6.2, bookmarkStart (Bookmark Start)</w:t>
      </w:r>
      <w:bookmarkEnd w:id="727"/>
      <w:bookmarkEnd w:id="728"/>
      <w:r>
        <w:fldChar w:fldCharType="begin"/>
      </w:r>
      <w:r>
        <w:instrText xml:space="preserve"> XE "bookmarkStart (Bookmark Start)"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024C0A" w:rsidRDefault="00694C0F">
      <w:pPr>
        <w:pStyle w:val="Definition-Field"/>
      </w:pPr>
      <w:r>
        <w:t xml:space="preserve">a.   </w:t>
      </w:r>
      <w:r>
        <w:rPr>
          <w:i/>
        </w:rPr>
        <w:t>The standard says that if colFirst is greater than colLast, then colFirst and colLast should be ignored.</w:t>
      </w:r>
    </w:p>
    <w:p w:rsidR="00024C0A" w:rsidRDefault="00694C0F">
      <w:pPr>
        <w:pStyle w:val="Definition-Field2"/>
      </w:pPr>
      <w:r>
        <w:t xml:space="preserve">In Word, if colFirst is greater than colLast, then colFirst behaves as if it took on </w:t>
      </w:r>
      <w:r>
        <w:t>the value of colLast.</w:t>
      </w:r>
    </w:p>
    <w:p w:rsidR="00024C0A" w:rsidRDefault="00694C0F">
      <w:pPr>
        <w:pStyle w:val="Definition-Field"/>
      </w:pPr>
      <w:r>
        <w:t xml:space="preserve">b.   </w:t>
      </w:r>
      <w:r>
        <w:rPr>
          <w:i/>
        </w:rPr>
        <w:t>The standard allows any length string for the name attribute.</w:t>
      </w:r>
    </w:p>
    <w:p w:rsidR="00024C0A" w:rsidRDefault="00694C0F">
      <w:pPr>
        <w:pStyle w:val="Definition-Field2"/>
      </w:pPr>
      <w:r>
        <w:t>Word only allows strings of length at most 40 for the name attribute. For additional restrictions on bookmark name attributes, refer to the Word Binary File Format (.d</w:t>
      </w:r>
      <w:r>
        <w:t>oc) Structure Specification (</w:t>
      </w:r>
      <w:hyperlink r:id="rId95" w:anchor="Section_ccd7b4867881484ca13751170af7cc22">
        <w:r>
          <w:rPr>
            <w:rStyle w:val="Hyperlink"/>
          </w:rPr>
          <w:t>[MS-DOC]</w:t>
        </w:r>
      </w:hyperlink>
      <w:r>
        <w:t xml:space="preserve"> section 2.9.279 “SttbfBkmk”).</w:t>
      </w:r>
    </w:p>
    <w:p w:rsidR="00024C0A" w:rsidRDefault="00694C0F">
      <w:pPr>
        <w:pStyle w:val="Definition-Field"/>
      </w:pPr>
      <w:r>
        <w:t xml:space="preserve">c.   </w:t>
      </w:r>
      <w:r>
        <w:rPr>
          <w:i/>
        </w:rPr>
        <w:t xml:space="preserve">The standard says that if multiple bookmarks have the same name, the first bookmark shall be maintained, </w:t>
      </w:r>
      <w:r>
        <w:rPr>
          <w:i/>
        </w:rPr>
        <w:t>and all subsequent bookmarks should be ignored.</w:t>
      </w:r>
    </w:p>
    <w:p w:rsidR="00024C0A" w:rsidRDefault="00694C0F">
      <w:pPr>
        <w:pStyle w:val="Definition-Field2"/>
      </w:pPr>
      <w:r>
        <w:t>In Word, if multiple bookmarks have the same name, the last bookmark is maintained and all others are ignored.</w:t>
      </w:r>
    </w:p>
    <w:p w:rsidR="00024C0A" w:rsidRDefault="00694C0F">
      <w:pPr>
        <w:pStyle w:val="Definition-Field"/>
      </w:pPr>
      <w:r>
        <w:t xml:space="preserve">d.   </w:t>
      </w:r>
      <w:r>
        <w:rPr>
          <w:i/>
        </w:rPr>
        <w:t>The standard says that if colFirst or colLast is greater than the number of columns in the t</w:t>
      </w:r>
      <w:r>
        <w:rPr>
          <w:i/>
        </w:rPr>
        <w:t>able, then colFirst and colLast should be ignored.</w:t>
      </w:r>
    </w:p>
    <w:p w:rsidR="00024C0A" w:rsidRDefault="00694C0F">
      <w:pPr>
        <w:pStyle w:val="Definition-Field2"/>
      </w:pPr>
      <w:r>
        <w:t>In Word, if colLast is greater than the number of columns in the table, the bookmark will extend from the column specified by colFirst past the end of the table row.</w:t>
      </w:r>
    </w:p>
    <w:p w:rsidR="00024C0A" w:rsidRDefault="00694C0F">
      <w:pPr>
        <w:pStyle w:val="Definition-Field"/>
      </w:pPr>
      <w:r>
        <w:t xml:space="preserve">e.   </w:t>
      </w:r>
      <w:r>
        <w:rPr>
          <w:i/>
        </w:rPr>
        <w:t>The standard says that if colFirst</w:t>
      </w:r>
      <w:r>
        <w:rPr>
          <w:i/>
        </w:rPr>
        <w:t xml:space="preserve"> or colLast is greater than the number of columns in the table, then colFirst and colLast should be ignored.</w:t>
      </w:r>
    </w:p>
    <w:p w:rsidR="00024C0A" w:rsidRDefault="00694C0F">
      <w:pPr>
        <w:pStyle w:val="Definition-Field2"/>
      </w:pPr>
      <w:r>
        <w:t>In Word, if colFirst and colLast are greater than the number of columns in the table, the bookmark appears past the end of the table row.</w:t>
      </w:r>
    </w:p>
    <w:p w:rsidR="00024C0A" w:rsidRDefault="00694C0F">
      <w:pPr>
        <w:pStyle w:val="Heading3"/>
      </w:pPr>
      <w:bookmarkStart w:id="729" w:name="section_d3f13602f1564b7f928a9afd1eccafd5"/>
      <w:bookmarkStart w:id="730" w:name="_Toc12260425"/>
      <w:r>
        <w:t>Part 1 Se</w:t>
      </w:r>
      <w:r>
        <w:t>ction 17.13.7.1, permEnd (Range Permission End)</w:t>
      </w:r>
      <w:bookmarkEnd w:id="729"/>
      <w:bookmarkEnd w:id="730"/>
      <w:r>
        <w:fldChar w:fldCharType="begin"/>
      </w:r>
      <w:r>
        <w:instrText xml:space="preserve"> XE "permEnd (Range Permission End)" </w:instrText>
      </w:r>
      <w:r>
        <w:fldChar w:fldCharType="end"/>
      </w:r>
    </w:p>
    <w:p w:rsidR="00024C0A" w:rsidRDefault="00694C0F">
      <w:pPr>
        <w:pStyle w:val="Definition-Field"/>
      </w:pPr>
      <w:r>
        <w:t xml:space="preserve">a.   </w:t>
      </w:r>
      <w:r>
        <w:rPr>
          <w:i/>
        </w:rPr>
        <w:t>The standard allows any string for the id attribute.</w:t>
      </w:r>
    </w:p>
    <w:p w:rsidR="00024C0A" w:rsidRDefault="00694C0F">
      <w:pPr>
        <w:pStyle w:val="Definition-Field2"/>
      </w:pPr>
      <w:r>
        <w:t>Word only allows 32-bit integers for the id attribute.</w:t>
      </w:r>
    </w:p>
    <w:p w:rsidR="00024C0A" w:rsidRDefault="00694C0F">
      <w:pPr>
        <w:pStyle w:val="Definition-Field"/>
      </w:pPr>
      <w:r>
        <w:t xml:space="preserve">b.   </w:t>
      </w:r>
      <w:r>
        <w:rPr>
          <w:i/>
        </w:rPr>
        <w:t xml:space="preserve">The standard allows an unbounded number of range </w:t>
      </w:r>
      <w:r>
        <w:rPr>
          <w:i/>
        </w:rPr>
        <w:t>permissions.</w:t>
      </w:r>
    </w:p>
    <w:p w:rsidR="00024C0A" w:rsidRDefault="00694C0F">
      <w:pPr>
        <w:pStyle w:val="Definition-Field2"/>
      </w:pPr>
      <w:r>
        <w:t>Word will not open a file with too many range permissions (32752 if the uiCompat97to2003 element is present, 2147483647 otherwise).</w:t>
      </w:r>
    </w:p>
    <w:p w:rsidR="00024C0A" w:rsidRDefault="00694C0F">
      <w:pPr>
        <w:pStyle w:val="Heading3"/>
      </w:pPr>
      <w:bookmarkStart w:id="731" w:name="section_25f91d1968a2419086112d804a821d10"/>
      <w:bookmarkStart w:id="732" w:name="_Toc12260426"/>
      <w:r>
        <w:t>Part 1 Section 17.13.7.2, permStart (Range Permission Start)</w:t>
      </w:r>
      <w:bookmarkEnd w:id="731"/>
      <w:bookmarkEnd w:id="732"/>
      <w:r>
        <w:fldChar w:fldCharType="begin"/>
      </w:r>
      <w:r>
        <w:instrText xml:space="preserve"> XE "permStart (Range Permission Start)" </w:instrText>
      </w:r>
      <w:r>
        <w:fldChar w:fldCharType="end"/>
      </w:r>
    </w:p>
    <w:p w:rsidR="00024C0A" w:rsidRDefault="00694C0F">
      <w:pPr>
        <w:pStyle w:val="Definition-Field2"/>
      </w:pPr>
      <w:r>
        <w:rPr>
          <w:i/>
        </w:rPr>
        <w:t>For add</w:t>
      </w:r>
      <w:r>
        <w:rPr>
          <w:i/>
        </w:rPr>
        <w:t xml:space="preserve">itional notes that apply to this portion of the standard, please see the notes for </w:t>
      </w:r>
      <w:hyperlink w:anchor="Section_d3f13602f1564b7f928a9afd1eccafd5">
        <w:r>
          <w:rPr>
            <w:rStyle w:val="Hyperlink"/>
          </w:rPr>
          <w:t>permEnd, §17.13.7.1(a)</w:t>
        </w:r>
      </w:hyperlink>
      <w:r>
        <w:rPr>
          <w:i/>
        </w:rPr>
        <w:t>.</w:t>
      </w:r>
    </w:p>
    <w:p w:rsidR="00024C0A" w:rsidRDefault="00694C0F">
      <w:pPr>
        <w:pStyle w:val="Definition-Field"/>
      </w:pPr>
      <w:r>
        <w:t xml:space="preserve">a.   </w:t>
      </w:r>
      <w:r>
        <w:rPr>
          <w:i/>
        </w:rPr>
        <w:t xml:space="preserve">The standard says that if colFirst or colLast is greater than the number of </w:t>
      </w:r>
      <w:r>
        <w:rPr>
          <w:i/>
        </w:rPr>
        <w:t>columns in table, both attributes should be ignored.</w:t>
      </w:r>
    </w:p>
    <w:p w:rsidR="00024C0A" w:rsidRDefault="00694C0F">
      <w:pPr>
        <w:pStyle w:val="Definition-Field2"/>
      </w:pPr>
      <w:r>
        <w:t>Word does not ignore the attributes and instead behaves unpredictably.</w:t>
      </w:r>
    </w:p>
    <w:p w:rsidR="00024C0A" w:rsidRDefault="00694C0F">
      <w:pPr>
        <w:pStyle w:val="Definition-Field"/>
      </w:pPr>
      <w:r>
        <w:t xml:space="preserve">b.   </w:t>
      </w:r>
      <w:r>
        <w:rPr>
          <w:i/>
        </w:rPr>
        <w:t>The standard does not specify behavior when both the ed and edGrp attributes are present.</w:t>
      </w:r>
    </w:p>
    <w:p w:rsidR="00024C0A" w:rsidRDefault="00694C0F">
      <w:pPr>
        <w:pStyle w:val="Definition-Field2"/>
      </w:pPr>
      <w:r>
        <w:t>In Word, if the ed attribute is prese</w:t>
      </w:r>
      <w:r>
        <w:t>nt, the edGrp attribute will be ignored.</w:t>
      </w:r>
    </w:p>
    <w:p w:rsidR="00024C0A" w:rsidRDefault="00694C0F">
      <w:pPr>
        <w:pStyle w:val="Definition-Field"/>
      </w:pPr>
      <w:r>
        <w:lastRenderedPageBreak/>
        <w:t xml:space="preserve">c.   </w:t>
      </w:r>
      <w:r>
        <w:rPr>
          <w:i/>
        </w:rPr>
        <w:t>The standard states that the value of the 'id' attribute can be any string.</w:t>
      </w:r>
    </w:p>
    <w:p w:rsidR="00024C0A" w:rsidRDefault="00694C0F">
      <w:pPr>
        <w:pStyle w:val="Definition-Field2"/>
      </w:pPr>
      <w:r>
        <w:t>Word allows only 32-bit integers for the id attribute.</w:t>
      </w:r>
    </w:p>
    <w:p w:rsidR="00024C0A" w:rsidRDefault="00694C0F">
      <w:pPr>
        <w:pStyle w:val="Definition-Field"/>
      </w:pPr>
      <w:r>
        <w:t xml:space="preserve">d.   </w:t>
      </w:r>
      <w:r>
        <w:rPr>
          <w:i/>
        </w:rPr>
        <w:t>The standard allows an unbounded number of range permissions.</w:t>
      </w:r>
    </w:p>
    <w:p w:rsidR="00024C0A" w:rsidRDefault="00694C0F">
      <w:pPr>
        <w:pStyle w:val="Definition-Field2"/>
      </w:pPr>
      <w:r>
        <w:t>Word will no</w:t>
      </w:r>
      <w:r>
        <w:t>t open a file with too many range permissions (32752 if the uiCompat97to2003 element is present, 2147483647 otherwise).</w:t>
      </w:r>
    </w:p>
    <w:p w:rsidR="00024C0A" w:rsidRDefault="00694C0F">
      <w:pPr>
        <w:pStyle w:val="Heading3"/>
      </w:pPr>
      <w:bookmarkStart w:id="733" w:name="section_70b993e7519d4c62a55257ff1f7cceac"/>
      <w:bookmarkStart w:id="734" w:name="_Toc12260427"/>
      <w:r>
        <w:t>Part 1 Section 17.14, Mail Merge</w:t>
      </w:r>
      <w:bookmarkEnd w:id="733"/>
      <w:bookmarkEnd w:id="734"/>
      <w:r>
        <w:fldChar w:fldCharType="begin"/>
      </w:r>
      <w:r>
        <w:instrText xml:space="preserve"> XE "Mail Merge" </w:instrText>
      </w:r>
      <w:r>
        <w:fldChar w:fldCharType="end"/>
      </w:r>
    </w:p>
    <w:p w:rsidR="00024C0A" w:rsidRDefault="00694C0F">
      <w:pPr>
        <w:pStyle w:val="Definition-Field"/>
      </w:pPr>
      <w:r>
        <w:t xml:space="preserve">a.   </w:t>
      </w:r>
      <w:r>
        <w:rPr>
          <w:i/>
        </w:rPr>
        <w:t>The standard says that the odso element in settings.xml contains information ab</w:t>
      </w:r>
      <w:r>
        <w:rPr>
          <w:i/>
        </w:rPr>
        <w:t>out whether to include or exclude records.</w:t>
      </w:r>
    </w:p>
    <w:p w:rsidR="00024C0A" w:rsidRDefault="00694C0F">
      <w:pPr>
        <w:pStyle w:val="Definition-Field2"/>
      </w:pPr>
      <w:r>
        <w:t>In Word, information about whether to include or exclude records is stored in recipientData.xml.</w:t>
      </w:r>
    </w:p>
    <w:p w:rsidR="00024C0A" w:rsidRDefault="00694C0F">
      <w:pPr>
        <w:pStyle w:val="Definition-Field"/>
      </w:pPr>
      <w:r>
        <w:t xml:space="preserve">b.   </w:t>
      </w:r>
      <w:r>
        <w:rPr>
          <w:i/>
        </w:rPr>
        <w:t>The standard says the odso element contains information about how to map data source columns to MERGEFIELD fiel</w:t>
      </w:r>
      <w:r>
        <w:rPr>
          <w:i/>
        </w:rPr>
        <w:t>ds.</w:t>
      </w:r>
    </w:p>
    <w:p w:rsidR="00024C0A" w:rsidRDefault="00694C0F">
      <w:pPr>
        <w:pStyle w:val="Definition-Field2"/>
      </w:pPr>
      <w:r>
        <w:t>In Word, the odso element contains information about how to map data source columns to a set of predefined mail merge fields.</w:t>
      </w:r>
    </w:p>
    <w:p w:rsidR="00024C0A" w:rsidRDefault="00694C0F">
      <w:pPr>
        <w:pStyle w:val="Heading3"/>
      </w:pPr>
      <w:bookmarkStart w:id="735" w:name="section_501412c497b647ea897fa4ba36e50324"/>
      <w:bookmarkStart w:id="736" w:name="_Toc12260428"/>
      <w:r>
        <w:t>Part 1 Section 17.14.2, activeRecord (Record Currently Displayed In Merged Document)</w:t>
      </w:r>
      <w:bookmarkEnd w:id="735"/>
      <w:bookmarkEnd w:id="736"/>
      <w:r>
        <w:fldChar w:fldCharType="begin"/>
      </w:r>
      <w:r>
        <w:instrText xml:space="preserve"> XE "activeRecord (Record Currently Displa</w:instrText>
      </w:r>
      <w:r>
        <w:instrText xml:space="preserve">yed In Merged Document)" </w:instrText>
      </w:r>
      <w:r>
        <w:fldChar w:fldCharType="end"/>
      </w:r>
    </w:p>
    <w:p w:rsidR="00024C0A" w:rsidRDefault="00694C0F">
      <w:pPr>
        <w:pStyle w:val="Definition-Field"/>
      </w:pPr>
      <w:r>
        <w:t xml:space="preserve">a.   </w:t>
      </w:r>
      <w:r>
        <w:rPr>
          <w:i/>
        </w:rPr>
        <w:t>The standard says that if the val attribute is greater than the number of records in the specified external data source, the val attribute is treated as if it were 1.</w:t>
      </w:r>
    </w:p>
    <w:p w:rsidR="00024C0A" w:rsidRDefault="00694C0F">
      <w:pPr>
        <w:pStyle w:val="Definition-Field2"/>
      </w:pPr>
      <w:r>
        <w:t xml:space="preserve">If the val attribute greater than the number of records </w:t>
      </w:r>
      <w:r>
        <w:t>in the specified external data source, Word fails to open the file.</w:t>
      </w:r>
    </w:p>
    <w:p w:rsidR="00024C0A" w:rsidRDefault="00694C0F">
      <w:pPr>
        <w:pStyle w:val="Definition-Field"/>
      </w:pPr>
      <w:r>
        <w:t xml:space="preserve">b.   </w:t>
      </w:r>
      <w:r>
        <w:rPr>
          <w:i/>
        </w:rPr>
        <w:t>The standard says that data is populated in merge fields based on mappings defined by the fieldMapData elements.</w:t>
      </w:r>
    </w:p>
    <w:p w:rsidR="00024C0A" w:rsidRDefault="00694C0F">
      <w:pPr>
        <w:pStyle w:val="Definition-Field2"/>
      </w:pPr>
      <w:r>
        <w:t>In Word, merge fields directly reference data columns in the data sour</w:t>
      </w:r>
      <w:r>
        <w:t>ce, not fieldMapData mappings.</w:t>
      </w:r>
    </w:p>
    <w:p w:rsidR="00024C0A" w:rsidRDefault="00694C0F">
      <w:pPr>
        <w:pStyle w:val="Heading3"/>
      </w:pPr>
      <w:bookmarkStart w:id="737" w:name="section_82e2e7bd829d475881e6caf57fea72d4"/>
      <w:bookmarkStart w:id="738" w:name="_Toc12260429"/>
      <w:r>
        <w:t>Part 1 Section 17.14.4, checkErrors (Mail Merge Error Reporting Setting)</w:t>
      </w:r>
      <w:bookmarkEnd w:id="737"/>
      <w:bookmarkEnd w:id="738"/>
      <w:r>
        <w:fldChar w:fldCharType="begin"/>
      </w:r>
      <w:r>
        <w:instrText xml:space="preserve"> XE "checkErrors (Mail Merge Error Reporting Setting)" </w:instrText>
      </w:r>
      <w:r>
        <w:fldChar w:fldCharType="end"/>
      </w:r>
    </w:p>
    <w:p w:rsidR="00024C0A" w:rsidRDefault="00694C0F">
      <w:pPr>
        <w:pStyle w:val="Definition-Field"/>
      </w:pPr>
      <w:r>
        <w:t xml:space="preserve">a.   </w:t>
      </w:r>
      <w:r>
        <w:rPr>
          <w:i/>
        </w:rPr>
        <w:t>The standard says that apps can define their own behaviors for values other than 1, 2, and</w:t>
      </w:r>
      <w:r>
        <w:rPr>
          <w:i/>
        </w:rPr>
        <w:t xml:space="preserve"> 3.</w:t>
      </w:r>
    </w:p>
    <w:p w:rsidR="00024C0A" w:rsidRDefault="00694C0F">
      <w:pPr>
        <w:pStyle w:val="Definition-Field2"/>
      </w:pPr>
      <w:r>
        <w:t>Word fails to roundtrip any value other than 1, 2, and 3.</w:t>
      </w:r>
    </w:p>
    <w:p w:rsidR="00024C0A" w:rsidRDefault="00694C0F">
      <w:pPr>
        <w:pStyle w:val="Heading3"/>
      </w:pPr>
      <w:bookmarkStart w:id="739" w:name="section_b1596bd84ac9480e816125dc616c61d7"/>
      <w:bookmarkStart w:id="740" w:name="_Toc12260430"/>
      <w:r>
        <w:t>Part 1 Section 17.14.5, colDelim (Column Delimiter for Data Source)</w:t>
      </w:r>
      <w:bookmarkEnd w:id="739"/>
      <w:bookmarkEnd w:id="740"/>
      <w:r>
        <w:fldChar w:fldCharType="begin"/>
      </w:r>
      <w:r>
        <w:instrText xml:space="preserve"> XE "colDelim (Column Delimiter for Data Source)" </w:instrText>
      </w:r>
      <w:r>
        <w:fldChar w:fldCharType="end"/>
      </w:r>
    </w:p>
    <w:p w:rsidR="00024C0A" w:rsidRDefault="00694C0F">
      <w:pPr>
        <w:pStyle w:val="Definition-Field"/>
      </w:pPr>
      <w:r>
        <w:t xml:space="preserve">a.   </w:t>
      </w:r>
      <w:r>
        <w:rPr>
          <w:i/>
        </w:rPr>
        <w:t xml:space="preserve">The standard states that the values of the val attribute are defined </w:t>
      </w:r>
      <w:r>
        <w:rPr>
          <w:i/>
        </w:rPr>
        <w:t>by the XML Schema integer datatype.</w:t>
      </w:r>
    </w:p>
    <w:p w:rsidR="00024C0A" w:rsidRDefault="00694C0F">
      <w:pPr>
        <w:pStyle w:val="Definition-Field2"/>
      </w:pPr>
      <w:r>
        <w:t>Word defines the values of this attribute with the XML Schema unsignedInt datatype.</w:t>
      </w:r>
    </w:p>
    <w:p w:rsidR="00024C0A" w:rsidRDefault="00694C0F">
      <w:pPr>
        <w:pStyle w:val="Heading3"/>
      </w:pPr>
      <w:bookmarkStart w:id="741" w:name="section_d9083bc9de704df5bd4cf32c81e3118d"/>
      <w:bookmarkStart w:id="742" w:name="_Toc12260431"/>
      <w:r>
        <w:t>Part 1 Section 17.14.6, column (Index of Column Being Mapped)</w:t>
      </w:r>
      <w:bookmarkEnd w:id="741"/>
      <w:bookmarkEnd w:id="742"/>
      <w:r>
        <w:fldChar w:fldCharType="begin"/>
      </w:r>
      <w:r>
        <w:instrText xml:space="preserve"> XE "column (Index of Column Being Mapped)" </w:instrText>
      </w:r>
      <w:r>
        <w:fldChar w:fldCharType="end"/>
      </w:r>
    </w:p>
    <w:p w:rsidR="00024C0A" w:rsidRDefault="00694C0F">
      <w:pPr>
        <w:pStyle w:val="Definition-Field"/>
      </w:pPr>
      <w:r>
        <w:t xml:space="preserve">a.   </w:t>
      </w:r>
      <w:r>
        <w:rPr>
          <w:i/>
        </w:rPr>
        <w:t>The standard states tha</w:t>
      </w:r>
      <w:r>
        <w:rPr>
          <w:i/>
        </w:rPr>
        <w:t>t the values of the val attribute are defined by the XML Schema integer datatype.</w:t>
      </w:r>
    </w:p>
    <w:p w:rsidR="00024C0A" w:rsidRDefault="00694C0F">
      <w:pPr>
        <w:pStyle w:val="Definition-Field2"/>
      </w:pPr>
      <w:r>
        <w:t>Word defines the values of this attribute with the XML Schema unsignedInt datatype.</w:t>
      </w:r>
    </w:p>
    <w:p w:rsidR="00024C0A" w:rsidRDefault="00694C0F">
      <w:pPr>
        <w:pStyle w:val="Heading3"/>
      </w:pPr>
      <w:bookmarkStart w:id="743" w:name="section_10f201d6b7ae4a629a4e7a0397026467"/>
      <w:bookmarkStart w:id="744" w:name="_Toc12260432"/>
      <w:r>
        <w:lastRenderedPageBreak/>
        <w:t>Part 1 Section 17.14.7, column (Index of Column Containing Unique Values for Record)</w:t>
      </w:r>
      <w:bookmarkEnd w:id="743"/>
      <w:bookmarkEnd w:id="744"/>
      <w:r>
        <w:fldChar w:fldCharType="begin"/>
      </w:r>
      <w:r>
        <w:instrText xml:space="preserve"> XE "c</w:instrText>
      </w:r>
      <w:r>
        <w:instrText xml:space="preserve">olumn (Index of Column Containing Unique Values for Record)" </w:instrText>
      </w:r>
      <w:r>
        <w:fldChar w:fldCharType="end"/>
      </w:r>
    </w:p>
    <w:p w:rsidR="00024C0A" w:rsidRDefault="00694C0F">
      <w:pPr>
        <w:pStyle w:val="Definition-Field"/>
      </w:pPr>
      <w:r>
        <w:t xml:space="preserve">a.   </w:t>
      </w:r>
      <w:r>
        <w:rPr>
          <w:i/>
        </w:rPr>
        <w:t>The standard states that the values of the val attribute are defined by the XML Schema integer datatype.</w:t>
      </w:r>
    </w:p>
    <w:p w:rsidR="00024C0A" w:rsidRDefault="00694C0F">
      <w:pPr>
        <w:pStyle w:val="Definition-Field2"/>
      </w:pPr>
      <w:r>
        <w:t xml:space="preserve">Word defines the values of this attribute with the XML Schema unsignedInt </w:t>
      </w:r>
      <w:r>
        <w:t>datatype.</w:t>
      </w:r>
    </w:p>
    <w:p w:rsidR="00024C0A" w:rsidRDefault="00694C0F">
      <w:pPr>
        <w:pStyle w:val="Heading3"/>
      </w:pPr>
      <w:bookmarkStart w:id="745" w:name="section_39eec3e0a78f44529f4046407e0247de"/>
      <w:bookmarkStart w:id="746" w:name="_Toc12260433"/>
      <w:r>
        <w:t>Part 1 Section 17.14.9, dataSource (Data Source File Path)</w:t>
      </w:r>
      <w:bookmarkEnd w:id="745"/>
      <w:bookmarkEnd w:id="746"/>
      <w:r>
        <w:fldChar w:fldCharType="begin"/>
      </w:r>
      <w:r>
        <w:instrText xml:space="preserve"> XE "dataSource (Data Source File Path)"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024C0A" w:rsidRDefault="00694C0F">
      <w:pPr>
        <w:pStyle w:val="Heading3"/>
      </w:pPr>
      <w:bookmarkStart w:id="747" w:name="section_e66cb7aa8ce74144a087a6cbae1d32e0"/>
      <w:bookmarkStart w:id="748" w:name="_Toc12260434"/>
      <w:r>
        <w:t>Part 1 Section 17.14.12, doNotSuppressBlankLines (Remove Blank Lines from Merged Documents)</w:t>
      </w:r>
      <w:bookmarkEnd w:id="747"/>
      <w:bookmarkEnd w:id="748"/>
      <w:r>
        <w:fldChar w:fldCharType="begin"/>
      </w:r>
      <w:r>
        <w:instrText xml:space="preserve"> XE "doNotSuppressBlankLines (Remove Blank Lines from Merged Documents)" </w:instrText>
      </w:r>
      <w:r>
        <w:fldChar w:fldCharType="end"/>
      </w:r>
    </w:p>
    <w:p w:rsidR="00024C0A" w:rsidRDefault="00694C0F">
      <w:pPr>
        <w:pStyle w:val="Definition-Field"/>
      </w:pPr>
      <w:r>
        <w:t xml:space="preserve">a.   </w:t>
      </w:r>
      <w:r>
        <w:rPr>
          <w:i/>
        </w:rPr>
        <w:t>The standard specifies that when this elem</w:t>
      </w:r>
      <w:r>
        <w:rPr>
          <w:i/>
        </w:rPr>
        <w:t>ent is present, the merged documents which are generated from the mail merge shall not have any blank lines removed.</w:t>
      </w:r>
    </w:p>
    <w:p w:rsidR="00024C0A" w:rsidRDefault="00694C0F">
      <w:pPr>
        <w:pStyle w:val="Definition-Field2"/>
      </w:pPr>
      <w:r>
        <w:t>If this element is present with a val attribute value of false, Word will stop trying to connect to the external data source.</w:t>
      </w:r>
    </w:p>
    <w:p w:rsidR="00024C0A" w:rsidRDefault="00694C0F">
      <w:pPr>
        <w:pStyle w:val="Heading3"/>
      </w:pPr>
      <w:bookmarkStart w:id="749" w:name="section_02dec7e2a50549b3aa72334570ecbf26"/>
      <w:bookmarkStart w:id="750" w:name="_Toc12260435"/>
      <w:r>
        <w:t>Part 1 Sectio</w:t>
      </w:r>
      <w:r>
        <w:t>n 17.14.13, dynamicAddress (Use Country-Based Address Field Ordering)</w:t>
      </w:r>
      <w:bookmarkEnd w:id="749"/>
      <w:bookmarkEnd w:id="750"/>
      <w:r>
        <w:fldChar w:fldCharType="begin"/>
      </w:r>
      <w:r>
        <w:instrText xml:space="preserve"> XE "dynamicAddress (Use Country-Based Address Field Ordering)" </w:instrText>
      </w:r>
      <w:r>
        <w:fldChar w:fldCharType="end"/>
      </w:r>
    </w:p>
    <w:p w:rsidR="00024C0A" w:rsidRDefault="00694C0F">
      <w:pPr>
        <w:pStyle w:val="Definition-Field"/>
      </w:pPr>
      <w:r>
        <w:t xml:space="preserve">a.   </w:t>
      </w:r>
      <w:r>
        <w:rPr>
          <w:i/>
        </w:rPr>
        <w:t>The standard says the default value of dynamicAddress is on.</w:t>
      </w:r>
    </w:p>
    <w:p w:rsidR="00024C0A" w:rsidRDefault="00694C0F">
      <w:pPr>
        <w:pStyle w:val="Definition-Field2"/>
      </w:pPr>
      <w:r>
        <w:t>In Word, the default value of dynamicAddress is off.</w:t>
      </w:r>
    </w:p>
    <w:p w:rsidR="00024C0A" w:rsidRDefault="00694C0F">
      <w:pPr>
        <w:pStyle w:val="Heading3"/>
      </w:pPr>
      <w:bookmarkStart w:id="751" w:name="section_bdee1e1f1cb94cd7a7e2e4339f0b8cd2"/>
      <w:bookmarkStart w:id="752" w:name="_Toc12260436"/>
      <w:r>
        <w:t>P</w:t>
      </w:r>
      <w:r>
        <w:t>art 1 Section 17.14.14, fHdr (First Row of Data Source Contains Column Names)</w:t>
      </w:r>
      <w:bookmarkEnd w:id="751"/>
      <w:bookmarkEnd w:id="752"/>
      <w:r>
        <w:fldChar w:fldCharType="begin"/>
      </w:r>
      <w:r>
        <w:instrText xml:space="preserve"> XE "fHdr (First Row of Data Source Contains Column Names)" </w:instrText>
      </w:r>
      <w:r>
        <w:fldChar w:fldCharType="end"/>
      </w:r>
    </w:p>
    <w:p w:rsidR="00024C0A" w:rsidRDefault="00694C0F">
      <w:pPr>
        <w:pStyle w:val="Definition-Field"/>
      </w:pPr>
      <w:r>
        <w:t xml:space="preserve">a.   </w:t>
      </w:r>
      <w:r>
        <w:rPr>
          <w:i/>
        </w:rPr>
        <w:t xml:space="preserve">The standard says this element specifies the first row of data in the specified external data source should be </w:t>
      </w:r>
      <w:r>
        <w:rPr>
          <w:i/>
        </w:rPr>
        <w:t>treated as a header row.</w:t>
      </w:r>
    </w:p>
    <w:p w:rsidR="00024C0A" w:rsidRDefault="00694C0F">
      <w:pPr>
        <w:pStyle w:val="Definition-Field2"/>
      </w:pPr>
      <w:r>
        <w:t>Word ignores this element for all types of external data sources except Excel.</w:t>
      </w:r>
    </w:p>
    <w:p w:rsidR="00024C0A" w:rsidRDefault="00694C0F">
      <w:pPr>
        <w:pStyle w:val="Heading3"/>
      </w:pPr>
      <w:bookmarkStart w:id="753" w:name="section_df0bbd4bc5e44836a65cf956185a0f8d"/>
      <w:bookmarkStart w:id="754" w:name="_Toc12260437"/>
      <w:r>
        <w:t>Part 1 Section 17.14.15, fieldMapData (External Data Source to Merge Field Mapping)</w:t>
      </w:r>
      <w:bookmarkEnd w:id="753"/>
      <w:bookmarkEnd w:id="754"/>
      <w:r>
        <w:fldChar w:fldCharType="begin"/>
      </w:r>
      <w:r>
        <w:instrText xml:space="preserve"> XE "fieldMapData (External Data Source to Merge Field Mapping)" </w:instrText>
      </w:r>
      <w:r>
        <w:fldChar w:fldCharType="end"/>
      </w:r>
    </w:p>
    <w:p w:rsidR="00024C0A" w:rsidRDefault="00694C0F">
      <w:pPr>
        <w:pStyle w:val="Definition-Field"/>
      </w:pPr>
      <w:r>
        <w:t>a</w:t>
      </w:r>
      <w:r>
        <w:t xml:space="preserve">.   </w:t>
      </w:r>
      <w:r>
        <w:rPr>
          <w:i/>
        </w:rPr>
        <w:t>The standard states that the fieldMapData element is used to map from mappedName to data source columns.</w:t>
      </w:r>
    </w:p>
    <w:p w:rsidR="00024C0A" w:rsidRDefault="00694C0F">
      <w:r>
        <w:t>Word uses 30 pre-defined mail merge fields as follows:</w:t>
      </w:r>
    </w:p>
    <w:p w:rsidR="00024C0A" w:rsidRDefault="00694C0F">
      <w:r>
        <w:t xml:space="preserve">Unique                </w:t>
      </w:r>
    </w:p>
    <w:p w:rsidR="00024C0A" w:rsidRDefault="00694C0F">
      <w:r>
        <w:t>CourtesyTitle       </w:t>
      </w:r>
    </w:p>
    <w:p w:rsidR="00024C0A" w:rsidRDefault="00694C0F">
      <w:r>
        <w:t xml:space="preserve">FirstName             </w:t>
      </w:r>
    </w:p>
    <w:p w:rsidR="00024C0A" w:rsidRDefault="00694C0F">
      <w:r>
        <w:t xml:space="preserve">MiddleName            </w:t>
      </w:r>
    </w:p>
    <w:p w:rsidR="00024C0A" w:rsidRDefault="00694C0F">
      <w:r>
        <w:t>La</w:t>
      </w:r>
      <w:r>
        <w:t xml:space="preserve">stName              </w:t>
      </w:r>
    </w:p>
    <w:p w:rsidR="00024C0A" w:rsidRDefault="00694C0F">
      <w:r>
        <w:t xml:space="preserve">Suffix                </w:t>
      </w:r>
    </w:p>
    <w:p w:rsidR="00024C0A" w:rsidRDefault="00694C0F">
      <w:r>
        <w:lastRenderedPageBreak/>
        <w:t xml:space="preserve">Nickname              </w:t>
      </w:r>
    </w:p>
    <w:p w:rsidR="00024C0A" w:rsidRDefault="00694C0F">
      <w:r>
        <w:t xml:space="preserve">JobTitle              </w:t>
      </w:r>
    </w:p>
    <w:p w:rsidR="00024C0A" w:rsidRDefault="00694C0F">
      <w:r>
        <w:t xml:space="preserve">Company               </w:t>
      </w:r>
    </w:p>
    <w:p w:rsidR="00024C0A" w:rsidRDefault="00694C0F">
      <w:r>
        <w:t xml:space="preserve">Address1              </w:t>
      </w:r>
    </w:p>
    <w:p w:rsidR="00024C0A" w:rsidRDefault="00694C0F">
      <w:r>
        <w:t xml:space="preserve">Address2             </w:t>
      </w:r>
    </w:p>
    <w:p w:rsidR="00024C0A" w:rsidRDefault="00694C0F">
      <w:r>
        <w:t xml:space="preserve">City                 </w:t>
      </w:r>
    </w:p>
    <w:p w:rsidR="00024C0A" w:rsidRDefault="00694C0F">
      <w:r>
        <w:t xml:space="preserve">State                </w:t>
      </w:r>
    </w:p>
    <w:p w:rsidR="00024C0A" w:rsidRDefault="00694C0F">
      <w:r>
        <w:t xml:space="preserve">PostalCode           </w:t>
      </w:r>
    </w:p>
    <w:p w:rsidR="00024C0A" w:rsidRDefault="00694C0F">
      <w:r>
        <w:t>CountryorRegion      </w:t>
      </w:r>
    </w:p>
    <w:p w:rsidR="00024C0A" w:rsidRDefault="00694C0F">
      <w:r>
        <w:t xml:space="preserve">BusinessPhone        </w:t>
      </w:r>
    </w:p>
    <w:p w:rsidR="00024C0A" w:rsidRDefault="00694C0F">
      <w:r>
        <w:t xml:space="preserve">BusinessFax          </w:t>
      </w:r>
    </w:p>
    <w:p w:rsidR="00024C0A" w:rsidRDefault="00694C0F">
      <w:r>
        <w:t xml:space="preserve">HomePhone            </w:t>
      </w:r>
    </w:p>
    <w:p w:rsidR="00024C0A" w:rsidRDefault="00694C0F">
      <w:r>
        <w:t>HomeFax              </w:t>
      </w:r>
    </w:p>
    <w:p w:rsidR="00024C0A" w:rsidRDefault="00694C0F">
      <w:r>
        <w:t xml:space="preserve">EmailAddress         </w:t>
      </w:r>
    </w:p>
    <w:p w:rsidR="00024C0A" w:rsidRDefault="00694C0F">
      <w:r>
        <w:t>WebPage              </w:t>
      </w:r>
    </w:p>
    <w:p w:rsidR="00024C0A" w:rsidRDefault="00694C0F">
      <w:r>
        <w:t xml:space="preserve">SpouseCourtesyTitle  </w:t>
      </w:r>
    </w:p>
    <w:p w:rsidR="00024C0A" w:rsidRDefault="00694C0F">
      <w:r>
        <w:t>SpouseFirstName      </w:t>
      </w:r>
    </w:p>
    <w:p w:rsidR="00024C0A" w:rsidRDefault="00694C0F">
      <w:r>
        <w:t>SpouseMiddleName     </w:t>
      </w:r>
    </w:p>
    <w:p w:rsidR="00024C0A" w:rsidRDefault="00694C0F">
      <w:r>
        <w:t>SpouseLastName       </w:t>
      </w:r>
    </w:p>
    <w:p w:rsidR="00024C0A" w:rsidRDefault="00694C0F">
      <w:r>
        <w:t>SpouseNickname       </w:t>
      </w:r>
    </w:p>
    <w:p w:rsidR="00024C0A" w:rsidRDefault="00694C0F">
      <w:r>
        <w:t xml:space="preserve">RubyFirstName        </w:t>
      </w:r>
    </w:p>
    <w:p w:rsidR="00024C0A" w:rsidRDefault="00694C0F">
      <w:r>
        <w:t xml:space="preserve">RubyLastName         </w:t>
      </w:r>
    </w:p>
    <w:p w:rsidR="00024C0A" w:rsidRDefault="00694C0F">
      <w:r>
        <w:t>Address3             </w:t>
      </w:r>
    </w:p>
    <w:p w:rsidR="00024C0A" w:rsidRDefault="00694C0F">
      <w:r>
        <w:t>Department  </w:t>
      </w:r>
    </w:p>
    <w:p w:rsidR="00024C0A" w:rsidRDefault="00694C0F">
      <w:r>
        <w:t xml:space="preserve">Word ignores the </w:t>
      </w:r>
      <w:r>
        <w:rPr>
          <w:b/>
        </w:rPr>
        <w:t>mappedName</w:t>
      </w:r>
      <w:r>
        <w:t xml:space="preserve"> child element of a </w:t>
      </w:r>
      <w:r>
        <w:rPr>
          <w:b/>
        </w:rPr>
        <w:t>fieldMapData</w:t>
      </w:r>
      <w:r>
        <w:t xml:space="preserve"> element and maps the mail merge fields according to the order of the fieldMapData elements inside the </w:t>
      </w:r>
      <w:r>
        <w:rPr>
          <w:b/>
        </w:rPr>
        <w:t>odso</w:t>
      </w:r>
      <w:r>
        <w:t xml:space="preserve"> element. S</w:t>
      </w:r>
      <w:r>
        <w:t xml:space="preserve">pecifically, the first </w:t>
      </w:r>
      <w:r>
        <w:rPr>
          <w:b/>
        </w:rPr>
        <w:t>fieldMapData</w:t>
      </w:r>
      <w:r>
        <w:t xml:space="preserve"> element inside the </w:t>
      </w:r>
      <w:r>
        <w:rPr>
          <w:b/>
        </w:rPr>
        <w:t>odso</w:t>
      </w:r>
      <w:r>
        <w:t xml:space="preserve"> element corresponds to the </w:t>
      </w:r>
      <w:r>
        <w:rPr>
          <w:i/>
        </w:rPr>
        <w:t>Unique</w:t>
      </w:r>
      <w:r>
        <w:t xml:space="preserve"> field, second </w:t>
      </w:r>
      <w:r>
        <w:rPr>
          <w:b/>
        </w:rPr>
        <w:t>fieldMapData</w:t>
      </w:r>
      <w:r>
        <w:t xml:space="preserve"> element corresponds to </w:t>
      </w:r>
      <w:r>
        <w:rPr>
          <w:i/>
        </w:rPr>
        <w:t>CourtesyTitle</w:t>
      </w:r>
      <w:r>
        <w:t xml:space="preserve"> field, and so on.</w:t>
      </w:r>
    </w:p>
    <w:p w:rsidR="00024C0A" w:rsidRDefault="00694C0F">
      <w:pPr>
        <w:pStyle w:val="Definition-Field"/>
      </w:pPr>
      <w:r>
        <w:t xml:space="preserve">b.   </w:t>
      </w:r>
      <w:r>
        <w:rPr>
          <w:i/>
        </w:rPr>
        <w:t>The standard says that this element maps MERGEFIELD fields to data source c</w:t>
      </w:r>
      <w:r>
        <w:rPr>
          <w:i/>
        </w:rPr>
        <w:t>olumns.</w:t>
      </w:r>
    </w:p>
    <w:p w:rsidR="00024C0A" w:rsidRDefault="00694C0F">
      <w:pPr>
        <w:pStyle w:val="Definition-Field2"/>
      </w:pPr>
      <w:r>
        <w:t>In Word, this element maps predefined fields to data source columns.</w:t>
      </w:r>
    </w:p>
    <w:p w:rsidR="00024C0A" w:rsidRDefault="00694C0F">
      <w:pPr>
        <w:pStyle w:val="Heading3"/>
      </w:pPr>
      <w:bookmarkStart w:id="755" w:name="section_6dce24e56a194a6798fbd2f301658523"/>
      <w:bookmarkStart w:id="756" w:name="_Toc12260438"/>
      <w:r>
        <w:t>Part 1 Section 17.14.16, headerSource (Header Definition File Path)</w:t>
      </w:r>
      <w:bookmarkEnd w:id="755"/>
      <w:bookmarkEnd w:id="756"/>
      <w:r>
        <w:fldChar w:fldCharType="begin"/>
      </w:r>
      <w:r>
        <w:instrText xml:space="preserve"> XE "headerSource (Header Definition File Path)" </w:instrText>
      </w:r>
      <w:r>
        <w:fldChar w:fldCharType="end"/>
      </w:r>
    </w:p>
    <w:p w:rsidR="00024C0A" w:rsidRDefault="00694C0F">
      <w:pPr>
        <w:pStyle w:val="Definition-Field2"/>
      </w:pPr>
      <w:r>
        <w:rPr>
          <w:i/>
        </w:rPr>
        <w:t>For additional notes that apply to this portion of the stand</w:t>
      </w:r>
      <w:r>
        <w:rPr>
          <w:i/>
        </w:rPr>
        <w:t xml:space="preserve">ard, please see the notes for </w:t>
      </w:r>
      <w:hyperlink w:anchor="Section_55e01b00ed934498b4e5b0bc0abdf97d">
        <w:r>
          <w:rPr>
            <w:rStyle w:val="Hyperlink"/>
          </w:rPr>
          <w:t>attachedTemplate, §17.15.1.6(a)</w:t>
        </w:r>
      </w:hyperlink>
      <w:r>
        <w:rPr>
          <w:i/>
        </w:rPr>
        <w:t>.</w:t>
      </w:r>
    </w:p>
    <w:p w:rsidR="00024C0A" w:rsidRDefault="00694C0F">
      <w:pPr>
        <w:pStyle w:val="Definition-Field"/>
      </w:pPr>
      <w:r>
        <w:lastRenderedPageBreak/>
        <w:t xml:space="preserve">a.   </w:t>
      </w:r>
      <w:r>
        <w:rPr>
          <w:i/>
        </w:rPr>
        <w:t>The standard specifies the headerSource element.</w:t>
      </w:r>
    </w:p>
    <w:p w:rsidR="00024C0A" w:rsidRDefault="00694C0F">
      <w:pPr>
        <w:pStyle w:val="Definition-Field2"/>
      </w:pPr>
      <w:r>
        <w:t>Word fails to open WordprocessingML documents in which this element is prese</w:t>
      </w:r>
      <w:r>
        <w:t>nt.</w:t>
      </w:r>
    </w:p>
    <w:p w:rsidR="00024C0A" w:rsidRDefault="00694C0F">
      <w:pPr>
        <w:pStyle w:val="Heading3"/>
      </w:pPr>
      <w:bookmarkStart w:id="757" w:name="section_c73305a2b02643f9846307203a71f773"/>
      <w:bookmarkStart w:id="758" w:name="_Toc12260439"/>
      <w:r>
        <w:t>Part 1 Section 17.14.17, lid (Merge Field Name Language ID)</w:t>
      </w:r>
      <w:bookmarkEnd w:id="757"/>
      <w:bookmarkEnd w:id="758"/>
      <w:r>
        <w:fldChar w:fldCharType="begin"/>
      </w:r>
      <w:r>
        <w:instrText xml:space="preserve"> XE "lid (Merge Field Name Language ID)" </w:instrText>
      </w:r>
      <w:r>
        <w:fldChar w:fldCharType="end"/>
      </w:r>
    </w:p>
    <w:p w:rsidR="00024C0A" w:rsidRDefault="00694C0F">
      <w:pPr>
        <w:pStyle w:val="Definition-Field"/>
      </w:pPr>
      <w:r>
        <w:t xml:space="preserve">a.   </w:t>
      </w:r>
      <w:r>
        <w:rPr>
          <w:i/>
        </w:rPr>
        <w:t>The standard says the val attribute specifies either an ISO 639-1 letter code or 4 digit hexadecimal code for a specific language.</w:t>
      </w:r>
    </w:p>
    <w:p w:rsidR="00024C0A" w:rsidRDefault="00694C0F">
      <w:pPr>
        <w:pStyle w:val="Definition-Field2"/>
      </w:pPr>
      <w:r>
        <w:t>Word does not</w:t>
      </w:r>
      <w:r>
        <w:t xml:space="preserve"> understand 4 digit hexadecimal codes for languages when stored in this attribute.</w:t>
      </w:r>
    </w:p>
    <w:p w:rsidR="00024C0A" w:rsidRDefault="00694C0F">
      <w:pPr>
        <w:pStyle w:val="Heading3"/>
      </w:pPr>
      <w:bookmarkStart w:id="759" w:name="section_a0916d92e8be4cd398c08d58842a4b67"/>
      <w:bookmarkStart w:id="760" w:name="_Toc12260440"/>
      <w:r>
        <w:t>Part 1 Section 17.14.18, linkToQuery (Query Contains Link to External Query File)</w:t>
      </w:r>
      <w:bookmarkEnd w:id="759"/>
      <w:bookmarkEnd w:id="760"/>
      <w:r>
        <w:fldChar w:fldCharType="begin"/>
      </w:r>
      <w:r>
        <w:instrText xml:space="preserve"> XE "linkToQuery (Query Contains Link to External Query File)" </w:instrText>
      </w:r>
      <w:r>
        <w:fldChar w:fldCharType="end"/>
      </w:r>
    </w:p>
    <w:p w:rsidR="00024C0A" w:rsidRDefault="00694C0F">
      <w:pPr>
        <w:pStyle w:val="Definition-Field"/>
      </w:pPr>
      <w:r>
        <w:t xml:space="preserve">a.   </w:t>
      </w:r>
      <w:r>
        <w:rPr>
          <w:i/>
        </w:rPr>
        <w:t xml:space="preserve">The standard says </w:t>
      </w:r>
      <w:r>
        <w:rPr>
          <w:i/>
        </w:rPr>
        <w:t>this element specifies that the query string contains a reference to an external query file that contains the actual query data to be used against the specified external data source for the mail merge.</w:t>
      </w:r>
    </w:p>
    <w:p w:rsidR="00024C0A" w:rsidRDefault="00694C0F">
      <w:pPr>
        <w:pStyle w:val="Definition-Field2"/>
      </w:pPr>
      <w:r>
        <w:t>Word saves this element irrespective of whether the qu</w:t>
      </w:r>
      <w:r>
        <w:t>ery string actually contains a reference to an external query file or not, and subsequently ignores the element.</w:t>
      </w:r>
    </w:p>
    <w:p w:rsidR="00024C0A" w:rsidRDefault="00694C0F">
      <w:pPr>
        <w:pStyle w:val="Heading3"/>
      </w:pPr>
      <w:bookmarkStart w:id="761" w:name="section_86d70704e1464242bbbe719a8e663c4b"/>
      <w:bookmarkStart w:id="762" w:name="_Toc12260441"/>
      <w:r>
        <w:t>Part 1 Section 17.14.20, mailMerge (Mail Merge Settings)</w:t>
      </w:r>
      <w:bookmarkEnd w:id="761"/>
      <w:bookmarkEnd w:id="762"/>
      <w:r>
        <w:fldChar w:fldCharType="begin"/>
      </w:r>
      <w:r>
        <w:instrText xml:space="preserve"> XE "mailMerge (Mail Merge Settings)" </w:instrText>
      </w:r>
      <w:r>
        <w:fldChar w:fldCharType="end"/>
      </w:r>
    </w:p>
    <w:p w:rsidR="00024C0A" w:rsidRDefault="00694C0F">
      <w:pPr>
        <w:pStyle w:val="Definition-Field"/>
      </w:pPr>
      <w:r>
        <w:t xml:space="preserve">a.   </w:t>
      </w:r>
      <w:r>
        <w:rPr>
          <w:i/>
        </w:rPr>
        <w:t>The standard states that the minOccurs va</w:t>
      </w:r>
      <w:r>
        <w:rPr>
          <w:i/>
        </w:rPr>
        <w:t>lue for the mainDocumentType child element is 1.</w:t>
      </w:r>
    </w:p>
    <w:p w:rsidR="00024C0A" w:rsidRDefault="00694C0F">
      <w:pPr>
        <w:pStyle w:val="Definition-Field2"/>
      </w:pPr>
      <w:r>
        <w:t>Word does not require an occurrence of this element.</w:t>
      </w:r>
    </w:p>
    <w:p w:rsidR="00024C0A" w:rsidRDefault="00694C0F">
      <w:pPr>
        <w:pStyle w:val="Heading3"/>
      </w:pPr>
      <w:bookmarkStart w:id="763" w:name="section_65e8cdb15d92405ba16b6aab39f3f150"/>
      <w:bookmarkStart w:id="764" w:name="_Toc12260442"/>
      <w:r>
        <w:t>Part 1 Section 17.14.23, mappedName (Predefined Merge Field Name)</w:t>
      </w:r>
      <w:bookmarkEnd w:id="763"/>
      <w:bookmarkEnd w:id="764"/>
      <w:r>
        <w:fldChar w:fldCharType="begin"/>
      </w:r>
      <w:r>
        <w:instrText xml:space="preserve"> XE "mappedName (Predefined Merge Field Name)" </w:instrText>
      </w:r>
      <w:r>
        <w:fldChar w:fldCharType="end"/>
      </w:r>
    </w:p>
    <w:p w:rsidR="00024C0A" w:rsidRDefault="00694C0F">
      <w:pPr>
        <w:pStyle w:val="Definition-Field"/>
      </w:pPr>
      <w:r>
        <w:t xml:space="preserve">a.   </w:t>
      </w:r>
      <w:r>
        <w:rPr>
          <w:i/>
        </w:rPr>
        <w:t>The standard says that this elemen</w:t>
      </w:r>
      <w:r>
        <w:rPr>
          <w:i/>
        </w:rPr>
        <w:t>t is used to map MERGEFIELD fields to data source columns.</w:t>
      </w:r>
    </w:p>
    <w:p w:rsidR="00024C0A" w:rsidRDefault="00694C0F">
      <w:pPr>
        <w:pStyle w:val="Definition-Field2"/>
      </w:pPr>
      <w:r>
        <w:t>In Word, this element is used to map predefined mail merge fields to data source columns.</w:t>
      </w:r>
    </w:p>
    <w:p w:rsidR="00024C0A" w:rsidRDefault="00694C0F">
      <w:pPr>
        <w:pStyle w:val="Heading3"/>
      </w:pPr>
      <w:bookmarkStart w:id="765" w:name="section_51a7812ca4d047cba9ad3369db15bff2"/>
      <w:bookmarkStart w:id="766" w:name="_Toc12260443"/>
      <w:r>
        <w:t>Part 1 Section 17.14.24, name (Data Source Name for Column)</w:t>
      </w:r>
      <w:bookmarkEnd w:id="765"/>
      <w:bookmarkEnd w:id="766"/>
      <w:r>
        <w:fldChar w:fldCharType="begin"/>
      </w:r>
      <w:r>
        <w:instrText xml:space="preserve"> XE "name (Data Source Name for Column)" </w:instrText>
      </w:r>
      <w:r>
        <w:fldChar w:fldCharType="end"/>
      </w:r>
    </w:p>
    <w:p w:rsidR="00024C0A" w:rsidRDefault="00694C0F">
      <w:pPr>
        <w:pStyle w:val="Definition-Field"/>
      </w:pPr>
      <w:r>
        <w:t xml:space="preserve">a.  </w:t>
      </w:r>
      <w:r>
        <w:t xml:space="preserve"> </w:t>
      </w:r>
      <w:r>
        <w:rPr>
          <w:i/>
        </w:rPr>
        <w:t>The standard says this element is used to look up a column name that is used to determine which column to map from the data source, but it also specifies the same meaning for the column element.</w:t>
      </w:r>
    </w:p>
    <w:p w:rsidR="00024C0A" w:rsidRDefault="00694C0F">
      <w:pPr>
        <w:pStyle w:val="Definition-Field2"/>
      </w:pPr>
      <w:r>
        <w:t>In Word, the name element caches the value of the name of th</w:t>
      </w:r>
      <w:r>
        <w:t>is column in the data source at the time when the connection was established, but the column element is used to determine which column to map from the data source.</w:t>
      </w:r>
    </w:p>
    <w:p w:rsidR="00024C0A" w:rsidRDefault="00694C0F">
      <w:pPr>
        <w:pStyle w:val="Definition-Field"/>
      </w:pPr>
      <w:r>
        <w:t xml:space="preserve">b.   </w:t>
      </w:r>
      <w:r>
        <w:rPr>
          <w:i/>
        </w:rPr>
        <w:t>The standard says that if this element is omitted, no data source column name is provid</w:t>
      </w:r>
      <w:r>
        <w:rPr>
          <w:i/>
        </w:rPr>
        <w:t>ed for the current column.</w:t>
      </w:r>
    </w:p>
    <w:p w:rsidR="00024C0A" w:rsidRDefault="00694C0F">
      <w:pPr>
        <w:pStyle w:val="Definition-Field2"/>
      </w:pPr>
      <w:r>
        <w:t>In Word, if this element is omitted, no data source column name is provided for the current column mapping.</w:t>
      </w:r>
    </w:p>
    <w:p w:rsidR="00024C0A" w:rsidRDefault="00694C0F">
      <w:pPr>
        <w:pStyle w:val="Heading3"/>
      </w:pPr>
      <w:bookmarkStart w:id="767" w:name="section_9a5c99b84476437893dced42b0e4457a"/>
      <w:bookmarkStart w:id="768" w:name="_Toc12260444"/>
      <w:r>
        <w:t>Part 1 Section 17.14.25, odso (Office Data Source Object Settings)</w:t>
      </w:r>
      <w:bookmarkEnd w:id="767"/>
      <w:bookmarkEnd w:id="768"/>
      <w:r>
        <w:fldChar w:fldCharType="begin"/>
      </w:r>
      <w:r>
        <w:instrText xml:space="preserve"> XE "odso (Office Data Source Object Settings)" </w:instrText>
      </w:r>
      <w:r>
        <w:fldChar w:fldCharType="end"/>
      </w:r>
    </w:p>
    <w:p w:rsidR="00024C0A" w:rsidRDefault="00694C0F">
      <w:pPr>
        <w:pStyle w:val="Definition-Field"/>
      </w:pPr>
      <w:r>
        <w:t xml:space="preserve">a.  </w:t>
      </w:r>
      <w:r>
        <w:t xml:space="preserve"> </w:t>
      </w:r>
      <w:r>
        <w:rPr>
          <w:i/>
        </w:rPr>
        <w:t>The standard states that the maxOccurs value for the recipientData child element is unbounded.</w:t>
      </w:r>
    </w:p>
    <w:p w:rsidR="00024C0A" w:rsidRDefault="00694C0F">
      <w:pPr>
        <w:pStyle w:val="Definition-Field2"/>
      </w:pPr>
      <w:r>
        <w:t>Word limits the occurrences of this element to 1.</w:t>
      </w:r>
    </w:p>
    <w:p w:rsidR="00024C0A" w:rsidRDefault="00694C0F">
      <w:pPr>
        <w:pStyle w:val="Definition-Field"/>
      </w:pPr>
      <w:r>
        <w:t xml:space="preserve">b.   </w:t>
      </w:r>
      <w:r>
        <w:rPr>
          <w:i/>
        </w:rPr>
        <w:t>The standard says that the odso element provides information about mapping to MERGEFIELD fields.</w:t>
      </w:r>
    </w:p>
    <w:p w:rsidR="00024C0A" w:rsidRDefault="00694C0F">
      <w:pPr>
        <w:pStyle w:val="Definition-Field2"/>
      </w:pPr>
      <w:r>
        <w:lastRenderedPageBreak/>
        <w:t>In Word,</w:t>
      </w:r>
      <w:r>
        <w:t xml:space="preserve"> the odso element provides information about mappings to built-in mail merge data fields, not MERGEFIELD fields.</w:t>
      </w:r>
    </w:p>
    <w:p w:rsidR="00024C0A" w:rsidRDefault="00694C0F">
      <w:pPr>
        <w:pStyle w:val="Heading3"/>
      </w:pPr>
      <w:bookmarkStart w:id="769" w:name="section_a9c31b5313cd44a29b23ed04ed2aa79b"/>
      <w:bookmarkStart w:id="770" w:name="_Toc12260445"/>
      <w:r>
        <w:t>Part 1 Section 17.14.26, query (Query For Data Source Records To Merge)</w:t>
      </w:r>
      <w:bookmarkEnd w:id="769"/>
      <w:bookmarkEnd w:id="770"/>
      <w:r>
        <w:fldChar w:fldCharType="begin"/>
      </w:r>
      <w:r>
        <w:instrText xml:space="preserve"> XE "query (Query For Data Source Records To Merge)" </w:instrText>
      </w:r>
      <w:r>
        <w:fldChar w:fldCharType="end"/>
      </w:r>
    </w:p>
    <w:p w:rsidR="00024C0A" w:rsidRDefault="00694C0F">
      <w:pPr>
        <w:pStyle w:val="Definition-Field"/>
      </w:pPr>
      <w:r>
        <w:t xml:space="preserve">a.   </w:t>
      </w:r>
      <w:r>
        <w:rPr>
          <w:i/>
        </w:rPr>
        <w:t>The standar</w:t>
      </w:r>
      <w:r>
        <w:rPr>
          <w:i/>
        </w:rPr>
        <w:t>d does not restrict the SQL statements that may be used.</w:t>
      </w:r>
    </w:p>
    <w:p w:rsidR="00024C0A" w:rsidRDefault="00694C0F">
      <w:pPr>
        <w:pStyle w:val="Definition-Field2"/>
      </w:pPr>
      <w:r>
        <w:t>Word does not allow SQL statements that attempt to modify the data source.</w:t>
      </w:r>
    </w:p>
    <w:p w:rsidR="00024C0A" w:rsidRDefault="00694C0F">
      <w:pPr>
        <w:pStyle w:val="Heading3"/>
      </w:pPr>
      <w:bookmarkStart w:id="771" w:name="section_b05d3137d2c64c6e9afaeb92d7ccf317"/>
      <w:bookmarkStart w:id="772" w:name="_Toc12260446"/>
      <w:r>
        <w:t>Part 1 Section 17.14.28, recipientData (Reference to Inclusion/Exclusion Data for Data Source)</w:t>
      </w:r>
      <w:bookmarkEnd w:id="771"/>
      <w:bookmarkEnd w:id="772"/>
      <w:r>
        <w:fldChar w:fldCharType="begin"/>
      </w:r>
      <w:r>
        <w:instrText xml:space="preserve"> XE "recipientData (Reference </w:instrText>
      </w:r>
      <w:r>
        <w:instrText xml:space="preserve">to Inclusion/Exclusion Data for Data Source)"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024C0A" w:rsidRDefault="00694C0F">
      <w:pPr>
        <w:pStyle w:val="Definition-Field"/>
      </w:pPr>
      <w:r>
        <w:t xml:space="preserve">a.   </w:t>
      </w:r>
      <w:r>
        <w:rPr>
          <w:i/>
        </w:rPr>
        <w:t>The standard req</w:t>
      </w:r>
      <w:r>
        <w:rPr>
          <w:i/>
        </w:rPr>
        <w:t>uires relationships specified by this element to be of type http://schemas.openxmlformats.org/officeDocument/2006/mailMergeRecipientData.</w:t>
      </w:r>
    </w:p>
    <w:p w:rsidR="00024C0A" w:rsidRDefault="00694C0F">
      <w:pPr>
        <w:pStyle w:val="Definition-Field2"/>
      </w:pPr>
      <w:r>
        <w:t>Word expects relationships specified by this element to be of type http://schemas.openxmlformats.org/officeDocument/20</w:t>
      </w:r>
      <w:r>
        <w:t>06/relationships/recipientData.</w:t>
      </w:r>
    </w:p>
    <w:p w:rsidR="00024C0A" w:rsidRDefault="00694C0F">
      <w:pPr>
        <w:pStyle w:val="Heading3"/>
      </w:pPr>
      <w:bookmarkStart w:id="773" w:name="section_b024812a26b24c69b7f74a056ac257f0"/>
      <w:bookmarkStart w:id="774" w:name="_Toc12260447"/>
      <w:r>
        <w:t>Part 1 Section 17.14.30, src (ODSO Data Source File Path)</w:t>
      </w:r>
      <w:bookmarkEnd w:id="773"/>
      <w:bookmarkEnd w:id="774"/>
      <w:r>
        <w:fldChar w:fldCharType="begin"/>
      </w:r>
      <w:r>
        <w:instrText xml:space="preserve"> XE "src (ODSO Data Source File Path)"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024C0A" w:rsidRDefault="00694C0F">
      <w:pPr>
        <w:pStyle w:val="Definition-Field"/>
      </w:pPr>
      <w:r>
        <w:t xml:space="preserve">a.   </w:t>
      </w:r>
      <w:r>
        <w:rPr>
          <w:i/>
        </w:rPr>
        <w:t>The standard specifies that this element is used only under certain conditions.</w:t>
      </w:r>
    </w:p>
    <w:p w:rsidR="00024C0A" w:rsidRDefault="00694C0F">
      <w:pPr>
        <w:pStyle w:val="Definition-Field2"/>
      </w:pPr>
      <w:r>
        <w:t>Word does not use this element under any conditions.</w:t>
      </w:r>
    </w:p>
    <w:p w:rsidR="00024C0A" w:rsidRDefault="00694C0F">
      <w:pPr>
        <w:pStyle w:val="Heading3"/>
      </w:pPr>
      <w:bookmarkStart w:id="775" w:name="section_9aa94d9d71474207943f86ec6ab00f2e"/>
      <w:bookmarkStart w:id="776" w:name="_Toc12260448"/>
      <w:r>
        <w:t>Part 1 Section 17.14.31, table (Data Source Table Name)</w:t>
      </w:r>
      <w:bookmarkEnd w:id="775"/>
      <w:bookmarkEnd w:id="776"/>
      <w:r>
        <w:fldChar w:fldCharType="begin"/>
      </w:r>
      <w:r>
        <w:instrText xml:space="preserve"> XE "table (Data Source Table Name)" </w:instrText>
      </w:r>
      <w:r>
        <w:fldChar w:fldCharType="end"/>
      </w:r>
    </w:p>
    <w:p w:rsidR="00024C0A" w:rsidRDefault="00694C0F">
      <w:pPr>
        <w:pStyle w:val="Definition-Field"/>
      </w:pPr>
      <w:r>
        <w:t xml:space="preserve">a.   </w:t>
      </w:r>
      <w:r>
        <w:rPr>
          <w:i/>
        </w:rPr>
        <w:t>The standard says that this element specifies which table in a data source is being used.</w:t>
      </w:r>
    </w:p>
    <w:p w:rsidR="00024C0A" w:rsidRDefault="00694C0F">
      <w:pPr>
        <w:pStyle w:val="Definition-Field2"/>
      </w:pPr>
      <w:r>
        <w:t>Word uses this element only when the query element is omitted.</w:t>
      </w:r>
    </w:p>
    <w:p w:rsidR="00024C0A" w:rsidRDefault="00694C0F">
      <w:pPr>
        <w:pStyle w:val="Heading3"/>
      </w:pPr>
      <w:bookmarkStart w:id="777" w:name="section_26666ffbbd6640afae0ff52667122e22"/>
      <w:bookmarkStart w:id="778" w:name="_Toc12260449"/>
      <w:r>
        <w:t>Part 1 Section 17.14.34, udl (UDL Connection String)</w:t>
      </w:r>
      <w:bookmarkEnd w:id="777"/>
      <w:bookmarkEnd w:id="778"/>
      <w:r>
        <w:fldChar w:fldCharType="begin"/>
      </w:r>
      <w:r>
        <w:instrText xml:space="preserve"> XE "u</w:instrText>
      </w:r>
      <w:r>
        <w:instrText xml:space="preserve">dl (UDL Connection String)" </w:instrText>
      </w:r>
      <w:r>
        <w:fldChar w:fldCharType="end"/>
      </w:r>
    </w:p>
    <w:p w:rsidR="00024C0A" w:rsidRDefault="00694C0F">
      <w:pPr>
        <w:pStyle w:val="Definition-Field"/>
      </w:pPr>
      <w:r>
        <w:t xml:space="preserve">a.   </w:t>
      </w:r>
      <w:r>
        <w:rPr>
          <w:i/>
        </w:rPr>
        <w:t>The standard specifies conditions under which the udl connection string is used.</w:t>
      </w:r>
    </w:p>
    <w:p w:rsidR="00024C0A" w:rsidRDefault="00694C0F">
      <w:pPr>
        <w:pStyle w:val="Definition-Field2"/>
      </w:pPr>
      <w:r>
        <w:t>Word does not use the udl connection string.</w:t>
      </w:r>
    </w:p>
    <w:p w:rsidR="00024C0A" w:rsidRDefault="00694C0F">
      <w:pPr>
        <w:pStyle w:val="Heading3"/>
      </w:pPr>
      <w:bookmarkStart w:id="779" w:name="section_8d383ab778ce4218ae868c670081fe50"/>
      <w:bookmarkStart w:id="780" w:name="_Toc12260450"/>
      <w:r>
        <w:t>Part 1 Section 17.14.35, uniqueTag (Unique Value for Record)</w:t>
      </w:r>
      <w:bookmarkEnd w:id="779"/>
      <w:bookmarkEnd w:id="780"/>
      <w:r>
        <w:fldChar w:fldCharType="begin"/>
      </w:r>
      <w:r>
        <w:instrText xml:space="preserve"> XE "uniqueTag (Unique Value for R</w:instrText>
      </w:r>
      <w:r>
        <w:instrText xml:space="preserve">ecord)" </w:instrText>
      </w:r>
      <w:r>
        <w:fldChar w:fldCharType="end"/>
      </w:r>
    </w:p>
    <w:p w:rsidR="00024C0A" w:rsidRDefault="00694C0F">
      <w:pPr>
        <w:pStyle w:val="Definition-Field"/>
      </w:pPr>
      <w:r>
        <w:t xml:space="preserve">a.   </w:t>
      </w:r>
      <w:r>
        <w:rPr>
          <w:i/>
        </w:rPr>
        <w:t>The standard does not define the contents of this element.</w:t>
      </w:r>
    </w:p>
    <w:p w:rsidR="00024C0A" w:rsidRDefault="00694C0F">
      <w:pPr>
        <w:pStyle w:val="Definition-Field2"/>
      </w:pPr>
      <w:r>
        <w:t>Word defines this element to contain a val attribute that is defined by the XML Schema base64Binary datatype.</w:t>
      </w:r>
    </w:p>
    <w:p w:rsidR="00024C0A" w:rsidRDefault="00694C0F">
      <w:pPr>
        <w:pStyle w:val="Definition-Field"/>
      </w:pPr>
      <w:r>
        <w:t xml:space="preserve">b.   </w:t>
      </w:r>
      <w:r>
        <w:rPr>
          <w:i/>
        </w:rPr>
        <w:t>The standard says that this element is used to maintain a relation</w:t>
      </w:r>
      <w:r>
        <w:rPr>
          <w:i/>
        </w:rPr>
        <w:t>ship between the records within an external data source and a given merged WordprocessingML document.</w:t>
      </w:r>
    </w:p>
    <w:p w:rsidR="00024C0A" w:rsidRDefault="00694C0F">
      <w:pPr>
        <w:pStyle w:val="Definition-Field2"/>
      </w:pPr>
      <w:r>
        <w:t>Word uses this element to maintain a relationship between the records within an external data source and a given source WordprocessingML document.</w:t>
      </w:r>
    </w:p>
    <w:p w:rsidR="00024C0A" w:rsidRDefault="00694C0F">
      <w:pPr>
        <w:pStyle w:val="Definition-Field"/>
      </w:pPr>
      <w:r>
        <w:lastRenderedPageBreak/>
        <w:t xml:space="preserve">c.   </w:t>
      </w:r>
      <w:r>
        <w:rPr>
          <w:i/>
        </w:rPr>
        <w:t>Th</w:t>
      </w:r>
      <w:r>
        <w:rPr>
          <w:i/>
        </w:rPr>
        <w:t>e standard does not state how this element should be populated when the column containing unique data for a record is empty.</w:t>
      </w:r>
    </w:p>
    <w:p w:rsidR="00024C0A" w:rsidRDefault="00694C0F">
      <w:r>
        <w:t>Word computes the unique tag, when empty, to be a base64-encoded value using the following algorithm:</w:t>
      </w:r>
    </w:p>
    <w:p w:rsidR="00024C0A" w:rsidRDefault="00694C0F">
      <w:r>
        <w:t>Utility function 1:</w:t>
      </w:r>
    </w:p>
    <w:p w:rsidR="00024C0A" w:rsidRDefault="00694C0F">
      <w:pPr>
        <w:pStyle w:val="Code"/>
      </w:pPr>
      <w:r>
        <w:t>#define n</w:t>
      </w:r>
      <w:r>
        <w:t>PrimeLast 4294967291</w:t>
      </w:r>
    </w:p>
    <w:p w:rsidR="00024C0A" w:rsidRDefault="00694C0F">
      <w:pPr>
        <w:pStyle w:val="Code"/>
      </w:pPr>
      <w:r>
        <w:t>__int32 LHashMM( __int32 l, __int32 dl )</w:t>
      </w:r>
    </w:p>
    <w:p w:rsidR="00024C0A" w:rsidRDefault="00694C0F">
      <w:pPr>
        <w:pStyle w:val="Code"/>
      </w:pPr>
      <w:r>
        <w:t>{</w:t>
      </w:r>
    </w:p>
    <w:p w:rsidR="00024C0A" w:rsidRDefault="00694C0F">
      <w:pPr>
        <w:pStyle w:val="Code"/>
      </w:pPr>
      <w:r>
        <w:t xml:space="preserve">        l = 131 * l + dl;</w:t>
      </w:r>
    </w:p>
    <w:p w:rsidR="00024C0A" w:rsidRDefault="00024C0A">
      <w:pPr>
        <w:pStyle w:val="Code"/>
      </w:pPr>
    </w:p>
    <w:p w:rsidR="00024C0A" w:rsidRDefault="00694C0F">
      <w:pPr>
        <w:pStyle w:val="Code"/>
      </w:pPr>
      <w:r>
        <w:t xml:space="preserve">        if (l &gt;= nPrimeLast) {</w:t>
      </w:r>
    </w:p>
    <w:p w:rsidR="00024C0A" w:rsidRDefault="00694C0F">
      <w:pPr>
        <w:pStyle w:val="Code"/>
      </w:pPr>
      <w:r>
        <w:t xml:space="preserve">                l -= nPrimeLast;</w:t>
      </w:r>
    </w:p>
    <w:p w:rsidR="00024C0A" w:rsidRDefault="00694C0F">
      <w:pPr>
        <w:pStyle w:val="Code"/>
      </w:pPr>
      <w:r>
        <w:t xml:space="preserve">        }</w:t>
      </w:r>
    </w:p>
    <w:p w:rsidR="00024C0A" w:rsidRDefault="00024C0A">
      <w:pPr>
        <w:pStyle w:val="Code"/>
      </w:pPr>
    </w:p>
    <w:p w:rsidR="00024C0A" w:rsidRDefault="00694C0F">
      <w:pPr>
        <w:pStyle w:val="Code"/>
      </w:pPr>
      <w:r>
        <w:t xml:space="preserve">        return l;</w:t>
      </w:r>
    </w:p>
    <w:p w:rsidR="00024C0A" w:rsidRDefault="00694C0F">
      <w:pPr>
        <w:pStyle w:val="Code"/>
      </w:pPr>
      <w:r>
        <w:t>}</w:t>
      </w:r>
    </w:p>
    <w:p w:rsidR="00024C0A" w:rsidRDefault="00694C0F">
      <w:r>
        <w:t>Utility function 2:</w:t>
      </w:r>
    </w:p>
    <w:p w:rsidR="00024C0A" w:rsidRDefault="00694C0F">
      <w:pPr>
        <w:pStyle w:val="Code"/>
      </w:pPr>
      <w:r>
        <w:t>__int32 LGetHashWz(const WCHAR *wzText)</w:t>
      </w:r>
    </w:p>
    <w:p w:rsidR="00024C0A" w:rsidRDefault="00694C0F">
      <w:pPr>
        <w:pStyle w:val="Code"/>
      </w:pPr>
      <w:r>
        <w:t>{</w:t>
      </w:r>
    </w:p>
    <w:p w:rsidR="00024C0A" w:rsidRDefault="00694C0F">
      <w:pPr>
        <w:pStyle w:val="Code"/>
      </w:pPr>
      <w:r>
        <w:t xml:space="preserve">        int cch = lstrlen(wzText);</w:t>
      </w:r>
    </w:p>
    <w:p w:rsidR="00024C0A" w:rsidRDefault="00694C0F">
      <w:pPr>
        <w:pStyle w:val="Code"/>
      </w:pPr>
      <w:r>
        <w:t xml:space="preserve">        __int32 lhash = 0L;</w:t>
      </w:r>
    </w:p>
    <w:p w:rsidR="00024C0A" w:rsidRDefault="00024C0A">
      <w:pPr>
        <w:pStyle w:val="Code"/>
      </w:pPr>
    </w:p>
    <w:p w:rsidR="00024C0A" w:rsidRDefault="00694C0F">
      <w:pPr>
        <w:pStyle w:val="Code"/>
      </w:pPr>
      <w:r>
        <w:t xml:space="preserve">        for (int i = 0; i &lt; cch; i++) {</w:t>
      </w:r>
    </w:p>
    <w:p w:rsidR="00024C0A" w:rsidRDefault="00694C0F">
      <w:pPr>
        <w:pStyle w:val="Code"/>
      </w:pPr>
      <w:r>
        <w:t xml:space="preserve">                lhash = LHashMM(lhash, wzText[i]);</w:t>
      </w:r>
    </w:p>
    <w:p w:rsidR="00024C0A" w:rsidRDefault="00694C0F">
      <w:pPr>
        <w:pStyle w:val="Code"/>
      </w:pPr>
      <w:r>
        <w:t xml:space="preserve">        }</w:t>
      </w:r>
    </w:p>
    <w:p w:rsidR="00024C0A" w:rsidRDefault="00024C0A">
      <w:pPr>
        <w:pStyle w:val="Code"/>
      </w:pPr>
    </w:p>
    <w:p w:rsidR="00024C0A" w:rsidRDefault="00694C0F">
      <w:pPr>
        <w:pStyle w:val="Code"/>
      </w:pPr>
      <w:r>
        <w:t xml:space="preserve">        return lhash;</w:t>
      </w:r>
    </w:p>
    <w:p w:rsidR="00024C0A" w:rsidRDefault="00694C0F">
      <w:pPr>
        <w:pStyle w:val="Code"/>
      </w:pPr>
      <w:r>
        <w:t>}</w:t>
      </w:r>
    </w:p>
    <w:p w:rsidR="00024C0A" w:rsidRDefault="00694C0F">
      <w:r>
        <w:t>Utility function 3:</w:t>
      </w:r>
    </w:p>
    <w:p w:rsidR="00024C0A" w:rsidRDefault="00694C0F">
      <w:pPr>
        <w:pStyle w:val="Code"/>
      </w:pPr>
      <w:r>
        <w:t xml:space="preserve">__int32 DwRowHash(thisRow) </w:t>
      </w:r>
    </w:p>
    <w:p w:rsidR="00024C0A" w:rsidRDefault="00694C0F">
      <w:pPr>
        <w:pStyle w:val="Code"/>
      </w:pPr>
      <w:r>
        <w:t>{</w:t>
      </w:r>
    </w:p>
    <w:p w:rsidR="00024C0A" w:rsidRDefault="00694C0F">
      <w:pPr>
        <w:pStyle w:val="Code"/>
      </w:pPr>
      <w:r>
        <w:t xml:space="preserve">        __int32 </w:t>
      </w:r>
      <w:r>
        <w:t>lwHash = 0L;</w:t>
      </w:r>
    </w:p>
    <w:p w:rsidR="00024C0A" w:rsidRDefault="00694C0F">
      <w:pPr>
        <w:pStyle w:val="Code"/>
      </w:pPr>
      <w:r>
        <w:t xml:space="preserve">        for(int i = 0; i &lt; TotalNumberOfColumnsInTheDataSource; i++) {</w:t>
      </w:r>
    </w:p>
    <w:p w:rsidR="00024C0A" w:rsidRDefault="00694C0F">
      <w:pPr>
        <w:pStyle w:val="Code"/>
      </w:pPr>
      <w:r>
        <w:t xml:space="preserve">                Retrieve the value in the i-th column of thisRow as a Unicode String wzData;</w:t>
      </w:r>
    </w:p>
    <w:p w:rsidR="00024C0A" w:rsidRDefault="00694C0F">
      <w:pPr>
        <w:pStyle w:val="Code"/>
      </w:pPr>
      <w:r>
        <w:t xml:space="preserve">                __int32 l = LGetHashWz(wzData);</w:t>
      </w:r>
    </w:p>
    <w:p w:rsidR="00024C0A" w:rsidRDefault="00694C0F">
      <w:pPr>
        <w:pStyle w:val="Code"/>
      </w:pPr>
      <w:r>
        <w:t xml:space="preserve">                if(l) {</w:t>
      </w:r>
    </w:p>
    <w:p w:rsidR="00024C0A" w:rsidRDefault="00694C0F">
      <w:pPr>
        <w:pStyle w:val="Code"/>
      </w:pPr>
      <w:r>
        <w:t xml:space="preserve">       </w:t>
      </w:r>
      <w:r>
        <w:t xml:space="preserve">                 lwHash = LHashMM(lwHash, l);</w:t>
      </w:r>
    </w:p>
    <w:p w:rsidR="00024C0A" w:rsidRDefault="00694C0F">
      <w:pPr>
        <w:pStyle w:val="Code"/>
      </w:pPr>
      <w:r>
        <w:t xml:space="preserve">                }</w:t>
      </w:r>
    </w:p>
    <w:p w:rsidR="00024C0A" w:rsidRDefault="00694C0F">
      <w:pPr>
        <w:pStyle w:val="Code"/>
      </w:pPr>
      <w:r>
        <w:t xml:space="preserve">        }</w:t>
      </w:r>
    </w:p>
    <w:p w:rsidR="00024C0A" w:rsidRDefault="00694C0F">
      <w:pPr>
        <w:pStyle w:val="Code"/>
      </w:pPr>
      <w:r>
        <w:t xml:space="preserve">        return lwHash;        </w:t>
      </w:r>
    </w:p>
    <w:p w:rsidR="00024C0A" w:rsidRDefault="00694C0F">
      <w:pPr>
        <w:pStyle w:val="Code"/>
      </w:pPr>
      <w:r>
        <w:t>}</w:t>
      </w:r>
    </w:p>
    <w:p w:rsidR="00024C0A" w:rsidRDefault="00694C0F">
      <w:r>
        <w:t>Unique tag computation algorithm:</w:t>
      </w:r>
    </w:p>
    <w:p w:rsidR="00024C0A" w:rsidRDefault="00694C0F">
      <w:r>
        <w:rPr>
          <w:rStyle w:val="InlineCode"/>
        </w:rPr>
        <w:t>WCHAR wzUniqueTag[64] = {0};</w:t>
      </w:r>
    </w:p>
    <w:p w:rsidR="00024C0A" w:rsidRDefault="00694C0F">
      <w:r>
        <w:rPr>
          <w:rStyle w:val="InlineCode"/>
        </w:rPr>
        <w:t>*((__int32*) wzUniqueTag) = DwRowHash(the_row_containing_this_record);</w:t>
      </w:r>
    </w:p>
    <w:p w:rsidR="00024C0A" w:rsidRDefault="00694C0F">
      <w:r>
        <w:rPr>
          <w:rStyle w:val="InlineCode"/>
        </w:rPr>
        <w:t>return the wzUn</w:t>
      </w:r>
      <w:r>
        <w:rPr>
          <w:rStyle w:val="InlineCode"/>
        </w:rPr>
        <w:t>iqueTag as the uniqueTag;</w:t>
      </w:r>
    </w:p>
    <w:p w:rsidR="00024C0A" w:rsidRDefault="00694C0F">
      <w:pPr>
        <w:pStyle w:val="Heading3"/>
      </w:pPr>
      <w:bookmarkStart w:id="781" w:name="section_8d8cee16e3b646348d9d57d84acbc399"/>
      <w:bookmarkStart w:id="782" w:name="_Toc12260451"/>
      <w:r>
        <w:lastRenderedPageBreak/>
        <w:t>Part 1 Section 17.15.1.1, activeWritingStyle (Grammar Checking Settings)</w:t>
      </w:r>
      <w:bookmarkEnd w:id="781"/>
      <w:bookmarkEnd w:id="782"/>
      <w:r>
        <w:fldChar w:fldCharType="begin"/>
      </w:r>
      <w:r>
        <w:instrText xml:space="preserve"> XE "activeWritingStyle (Grammar Checking Settings)" </w:instrText>
      </w:r>
      <w:r>
        <w:fldChar w:fldCharType="end"/>
      </w:r>
    </w:p>
    <w:p w:rsidR="00024C0A" w:rsidRDefault="00694C0F">
      <w:pPr>
        <w:pStyle w:val="Definition-Field"/>
      </w:pPr>
      <w:r>
        <w:t xml:space="preserve">a.   </w:t>
      </w:r>
      <w:r>
        <w:rPr>
          <w:i/>
        </w:rPr>
        <w:t xml:space="preserve">The standard states that the lang attribute specifies the language of the engine used to perform </w:t>
      </w:r>
      <w:r>
        <w:rPr>
          <w:i/>
        </w:rPr>
        <w:t>the grammatical content checking.</w:t>
      </w:r>
    </w:p>
    <w:p w:rsidR="00024C0A" w:rsidRDefault="00694C0F">
      <w:pPr>
        <w:pStyle w:val="Definition-Field2"/>
      </w:pPr>
      <w:r>
        <w:t>Word ignores the activeWritingStyle element if the lang attribute specifies an unknown locale.</w:t>
      </w:r>
    </w:p>
    <w:p w:rsidR="00024C0A" w:rsidRDefault="00694C0F">
      <w:pPr>
        <w:pStyle w:val="Definition-Field"/>
      </w:pPr>
      <w:r>
        <w:t xml:space="preserve">b.   </w:t>
      </w:r>
      <w:r>
        <w:rPr>
          <w:i/>
        </w:rPr>
        <w:t>The standard states that the dllVersion attribute can be any integer value.</w:t>
      </w:r>
    </w:p>
    <w:p w:rsidR="00024C0A" w:rsidRDefault="00694C0F">
      <w:pPr>
        <w:pStyle w:val="Definition-Field2"/>
      </w:pPr>
      <w:r>
        <w:t xml:space="preserve">Word restricts this attribute to a 32-bit </w:t>
      </w:r>
      <w:r>
        <w:t>unsigned integer when the nlCheck attribute value is on, and a 16-bit unsigned integer when the nlCheck attribute value is off.</w:t>
      </w:r>
    </w:p>
    <w:p w:rsidR="00024C0A" w:rsidRDefault="00694C0F">
      <w:pPr>
        <w:pStyle w:val="Definition-Field"/>
      </w:pPr>
      <w:r>
        <w:t xml:space="preserve">c.   </w:t>
      </w:r>
      <w:r>
        <w:rPr>
          <w:i/>
        </w:rPr>
        <w:t>The standard states that the values of the vendorID attribute are defined by the XML Schema integer datatype.</w:t>
      </w:r>
    </w:p>
    <w:p w:rsidR="00024C0A" w:rsidRDefault="00694C0F">
      <w:pPr>
        <w:pStyle w:val="Definition-Field2"/>
      </w:pPr>
      <w:r>
        <w:t xml:space="preserve">Word defines </w:t>
      </w:r>
      <w:r>
        <w:t>this attribute with the XML Schema int datatype, with a minimum value of 0.</w:t>
      </w:r>
    </w:p>
    <w:p w:rsidR="00024C0A" w:rsidRDefault="00694C0F">
      <w:pPr>
        <w:pStyle w:val="Definition-Field"/>
      </w:pPr>
      <w:r>
        <w:t xml:space="preserve">d.   </w:t>
      </w:r>
      <w:r>
        <w:rPr>
          <w:i/>
        </w:rPr>
        <w:t>The standard does not state a default value for the nlCheck attribute.</w:t>
      </w:r>
    </w:p>
    <w:p w:rsidR="00024C0A" w:rsidRDefault="00694C0F">
      <w:pPr>
        <w:pStyle w:val="Definition-Field2"/>
      </w:pPr>
      <w:r>
        <w:t>Word uses off as the default value for the nlCheck attribute.</w:t>
      </w:r>
    </w:p>
    <w:p w:rsidR="00024C0A" w:rsidRDefault="00694C0F">
      <w:pPr>
        <w:pStyle w:val="Definition-Field"/>
      </w:pPr>
      <w:r>
        <w:t xml:space="preserve">e.   </w:t>
      </w:r>
      <w:r>
        <w:rPr>
          <w:i/>
        </w:rPr>
        <w:t>The standard states that if an applic</w:t>
      </w:r>
      <w:r>
        <w:rPr>
          <w:i/>
        </w:rPr>
        <w:t>ation reads these settings and does not understand the value of appName, then its settings may be ignored and the application's default settings used instead.</w:t>
      </w:r>
    </w:p>
    <w:p w:rsidR="00024C0A" w:rsidRDefault="00694C0F">
      <w:pPr>
        <w:pStyle w:val="Definition-Field2"/>
      </w:pPr>
      <w:r>
        <w:t>Word only understands an appName attribute value of MSWord.</w:t>
      </w:r>
    </w:p>
    <w:p w:rsidR="00024C0A" w:rsidRDefault="00694C0F">
      <w:pPr>
        <w:pStyle w:val="Heading3"/>
      </w:pPr>
      <w:bookmarkStart w:id="783" w:name="section_9f6e8efb597047108b6a26e75256d593"/>
      <w:bookmarkStart w:id="784" w:name="_Toc12260452"/>
      <w:r>
        <w:t>Part 1 Section 17.15.1.3, alwaysMerge</w:t>
      </w:r>
      <w:r>
        <w:t>EmptyNamespace (Do Not Mark Custom XML Elements With No Namespace As Invalid)</w:t>
      </w:r>
      <w:bookmarkEnd w:id="783"/>
      <w:bookmarkEnd w:id="784"/>
      <w:r>
        <w:fldChar w:fldCharType="begin"/>
      </w:r>
      <w:r>
        <w:instrText xml:space="preserve"> XE "alwaysMergeEmptyNamespace (Do Not Mark Custom XML Elements With No Namespace As Invalid)" </w:instrText>
      </w:r>
      <w:r>
        <w:fldChar w:fldCharType="end"/>
      </w:r>
    </w:p>
    <w:p w:rsidR="00024C0A" w:rsidRDefault="00694C0F">
      <w:pPr>
        <w:pStyle w:val="Definition-Field"/>
      </w:pPr>
      <w:r>
        <w:t xml:space="preserve">a.   </w:t>
      </w:r>
      <w:r>
        <w:rPr>
          <w:i/>
        </w:rPr>
        <w:t>The standard states that if this element is not present, then the custom XML</w:t>
      </w:r>
      <w:r>
        <w:rPr>
          <w:i/>
        </w:rPr>
        <w:t xml:space="preserve"> markup that has no associated namespace shall be treated as an error.</w:t>
      </w:r>
    </w:p>
    <w:p w:rsidR="00024C0A" w:rsidRDefault="00694C0F">
      <w:pPr>
        <w:pStyle w:val="Definition-Field2"/>
      </w:pPr>
      <w:r>
        <w:t>Word uses a default value of true for the val attribute of this element when no schemas are attached to the document using the attachedSchema element and no custom XML markup with an as</w:t>
      </w:r>
      <w:r>
        <w:t>sociated namespace appears in the document.</w:t>
      </w:r>
    </w:p>
    <w:p w:rsidR="00024C0A" w:rsidRDefault="00694C0F">
      <w:pPr>
        <w:pStyle w:val="Definition-Field"/>
      </w:pPr>
      <w:r>
        <w:t xml:space="preserve">b.   </w:t>
      </w:r>
      <w:r>
        <w:rPr>
          <w:i/>
        </w:rPr>
        <w:t>The standard states that if this element is not present, then the custom XML markup that has no associated namespace shall be moved into a special error namespace when the document is opened.</w:t>
      </w:r>
    </w:p>
    <w:p w:rsidR="00024C0A" w:rsidRDefault="00694C0F">
      <w:pPr>
        <w:pStyle w:val="Definition-Field2"/>
      </w:pPr>
      <w:r>
        <w:t xml:space="preserve">Word does not </w:t>
      </w:r>
      <w:r>
        <w:t>move the custom XML markup into an error namespace if the alwaysMergeEmptyNamespace element is not present.</w:t>
      </w:r>
    </w:p>
    <w:p w:rsidR="00024C0A" w:rsidRDefault="00694C0F">
      <w:pPr>
        <w:pStyle w:val="Heading3"/>
      </w:pPr>
      <w:bookmarkStart w:id="785" w:name="section_55e01b00ed934498b4e5b0bc0abdf97d"/>
      <w:bookmarkStart w:id="786" w:name="_Toc12260453"/>
      <w:r>
        <w:t>Part 1 Section 17.15.1.6, attachedTemplate (Attached Document Template)</w:t>
      </w:r>
      <w:bookmarkEnd w:id="785"/>
      <w:bookmarkEnd w:id="786"/>
      <w:r>
        <w:fldChar w:fldCharType="begin"/>
      </w:r>
      <w:r>
        <w:instrText xml:space="preserve"> XE "attachedTemplate (Attached Document Template)" </w:instrText>
      </w:r>
      <w:r>
        <w:fldChar w:fldCharType="end"/>
      </w:r>
    </w:p>
    <w:p w:rsidR="00024C0A" w:rsidRDefault="00694C0F">
      <w:pPr>
        <w:pStyle w:val="Definition-Field"/>
      </w:pPr>
      <w:r>
        <w:t xml:space="preserve">a.   </w:t>
      </w:r>
      <w:r>
        <w:rPr>
          <w:i/>
        </w:rPr>
        <w:t>The standard stat</w:t>
      </w:r>
      <w:r>
        <w:rPr>
          <w:i/>
        </w:rPr>
        <w:t>es that the id attribute specifies the relationship that shall have the type required by the parent element, yet a relationship type for the attachedTemplate element is not listed.</w:t>
      </w:r>
    </w:p>
    <w:p w:rsidR="00024C0A" w:rsidRDefault="00694C0F">
      <w:pPr>
        <w:pStyle w:val="Definition-Field2"/>
      </w:pPr>
      <w:r>
        <w:t>Word requires http://schemas.openxmlformats.org/officeDocument/2006/relatio</w:t>
      </w:r>
      <w:r>
        <w:t>nships/attachedTemplate as the relationship type for the attachedTemplate element, as specified in "</w:t>
      </w:r>
      <w:hyperlink r:id="rId96">
        <w:r>
          <w:rPr>
            <w:rStyle w:val="Hyperlink"/>
          </w:rPr>
          <w:t>[ISO/IEC-29500-1]</w:t>
        </w:r>
      </w:hyperlink>
      <w:r>
        <w:t xml:space="preserve"> §11.4".</w:t>
      </w:r>
    </w:p>
    <w:p w:rsidR="00024C0A" w:rsidRDefault="00694C0F">
      <w:pPr>
        <w:pStyle w:val="Definition-Field"/>
      </w:pPr>
      <w:r>
        <w:t xml:space="preserve">b.   </w:t>
      </w:r>
      <w:r>
        <w:rPr>
          <w:i/>
        </w:rPr>
        <w:t>The standard states that this element's val attribute shall</w:t>
      </w:r>
      <w:r>
        <w:rPr>
          <w:i/>
        </w:rPr>
        <w:t xml:space="preserve"> contain the file path of the associated document template.</w:t>
      </w:r>
    </w:p>
    <w:p w:rsidR="00024C0A" w:rsidRDefault="00694C0F">
      <w:pPr>
        <w:pStyle w:val="Definition-Field2"/>
      </w:pPr>
      <w:r>
        <w:t>Word does not support a val attribute for the attachedTemplate element. The file path for the associated document template is determined by evaluating the relationship ID on this element.</w:t>
      </w:r>
    </w:p>
    <w:p w:rsidR="00024C0A" w:rsidRDefault="00694C0F">
      <w:pPr>
        <w:pStyle w:val="Heading3"/>
      </w:pPr>
      <w:bookmarkStart w:id="787" w:name="section_362f7de5917646c1aff7c3e44bc9566b"/>
      <w:bookmarkStart w:id="788" w:name="_Toc12260454"/>
      <w:r>
        <w:lastRenderedPageBreak/>
        <w:t>Part 1 S</w:t>
      </w:r>
      <w:r>
        <w:t>ection 17.15.1.7, autoCaption (Single Automatic Captioning Setting)</w:t>
      </w:r>
      <w:bookmarkEnd w:id="787"/>
      <w:bookmarkEnd w:id="788"/>
      <w:r>
        <w:fldChar w:fldCharType="begin"/>
      </w:r>
      <w:r>
        <w:instrText xml:space="preserve"> XE "autoCaption (Single Automatic Captioning Setting)" </w:instrText>
      </w:r>
      <w:r>
        <w:fldChar w:fldCharType="end"/>
      </w:r>
    </w:p>
    <w:p w:rsidR="00024C0A" w:rsidRDefault="00694C0F">
      <w:pPr>
        <w:pStyle w:val="Definition-Field"/>
      </w:pPr>
      <w:r>
        <w:t xml:space="preserve">a.   </w:t>
      </w:r>
      <w:r>
        <w:rPr>
          <w:i/>
        </w:rPr>
        <w:t>The standard places no restrictions on the conditions under which this element is to be used.</w:t>
      </w:r>
    </w:p>
    <w:p w:rsidR="00024C0A" w:rsidRDefault="00694C0F">
      <w:pPr>
        <w:pStyle w:val="Definition-Field2"/>
      </w:pPr>
      <w:r>
        <w:t>Word only reads this element wh</w:t>
      </w:r>
      <w:r>
        <w:t>en it is stored within the default document template.</w:t>
      </w:r>
    </w:p>
    <w:p w:rsidR="00024C0A" w:rsidRDefault="00694C0F">
      <w:pPr>
        <w:pStyle w:val="Definition-Field"/>
      </w:pPr>
      <w:r>
        <w:t xml:space="preserve">b.   </w:t>
      </w:r>
      <w:r>
        <w:rPr>
          <w:i/>
        </w:rPr>
        <w:t>The standard states that the name attribute specifies a unique identifier for types of objects to be automatically captioned.</w:t>
      </w:r>
    </w:p>
    <w:p w:rsidR="00024C0A" w:rsidRDefault="00694C0F">
      <w:pPr>
        <w:pStyle w:val="Definition-Field2"/>
      </w:pPr>
      <w:r>
        <w:t>Word writes and expects wfwTables for Microsoft Word Tables, and the ke</w:t>
      </w:r>
      <w:r>
        <w:t>y name of the OLE object for OLE objects (the key name is stored in the Windows registry under HKEY_CLASSES_ROOT).</w:t>
      </w:r>
    </w:p>
    <w:p w:rsidR="00024C0A" w:rsidRDefault="00694C0F">
      <w:pPr>
        <w:pStyle w:val="Definition-Field"/>
      </w:pPr>
      <w:r>
        <w:t xml:space="preserve">c.   </w:t>
      </w:r>
      <w:r>
        <w:rPr>
          <w:i/>
        </w:rPr>
        <w:t>The standard states that the name attribute and the caption attribute can contain a string of unlimited length.</w:t>
      </w:r>
    </w:p>
    <w:p w:rsidR="00024C0A" w:rsidRDefault="00694C0F">
      <w:pPr>
        <w:pStyle w:val="Definition-Field2"/>
      </w:pPr>
      <w:r>
        <w:t>Word limits these values</w:t>
      </w:r>
      <w:r>
        <w:t xml:space="preserve"> to 255 characters.</w:t>
      </w:r>
    </w:p>
    <w:p w:rsidR="00024C0A" w:rsidRDefault="00694C0F">
      <w:pPr>
        <w:pStyle w:val="Heading3"/>
      </w:pPr>
      <w:bookmarkStart w:id="789" w:name="section_908fbb07b5d74019b3ca50db0007af8f"/>
      <w:bookmarkStart w:id="790" w:name="_Toc12260455"/>
      <w:r>
        <w:t>Part 1 Section 17.15.1.8, autoCaptions (Automatic Captioning Settings)</w:t>
      </w:r>
      <w:bookmarkEnd w:id="789"/>
      <w:bookmarkEnd w:id="790"/>
      <w:r>
        <w:fldChar w:fldCharType="begin"/>
      </w:r>
      <w:r>
        <w:instrText xml:space="preserve"> XE "autoCaptions (Automatic Captioning Settings)" </w:instrText>
      </w:r>
      <w:r>
        <w:fldChar w:fldCharType="end"/>
      </w:r>
    </w:p>
    <w:p w:rsidR="00024C0A" w:rsidRDefault="00694C0F">
      <w:pPr>
        <w:pStyle w:val="Definition-Field"/>
      </w:pPr>
      <w:r>
        <w:t xml:space="preserve">a.   </w:t>
      </w:r>
      <w:r>
        <w:rPr>
          <w:i/>
        </w:rPr>
        <w:t>The standard does not state that this element will be ignored under certain circumstances.</w:t>
      </w:r>
    </w:p>
    <w:p w:rsidR="00024C0A" w:rsidRDefault="00694C0F">
      <w:pPr>
        <w:pStyle w:val="Definition-Field2"/>
      </w:pPr>
      <w:r>
        <w:t>Word ignores thi</w:t>
      </w:r>
      <w:r>
        <w:t>s element unless it is stored within its default document template.</w:t>
      </w:r>
    </w:p>
    <w:p w:rsidR="00024C0A" w:rsidRDefault="00694C0F">
      <w:pPr>
        <w:pStyle w:val="Heading3"/>
      </w:pPr>
      <w:bookmarkStart w:id="791" w:name="section_bea4050c46424a089c462b323e796a19"/>
      <w:bookmarkStart w:id="792" w:name="_Toc12260456"/>
      <w:r>
        <w:t>Part 1 Section 17.15.1.9, autoFormatOverride (Allow Automatic Formatting to Override Formatting Protection Settings)</w:t>
      </w:r>
      <w:bookmarkEnd w:id="791"/>
      <w:bookmarkEnd w:id="792"/>
      <w:r>
        <w:fldChar w:fldCharType="begin"/>
      </w:r>
      <w:r>
        <w:instrText xml:space="preserve"> XE "autoFormatOverride (Allow Automatic Formatting to Override Formatting Protection Settings)" </w:instrText>
      </w:r>
      <w:r>
        <w:fldChar w:fldCharType="end"/>
      </w:r>
    </w:p>
    <w:p w:rsidR="00024C0A" w:rsidRDefault="00694C0F">
      <w:pPr>
        <w:pStyle w:val="Definition-Field"/>
      </w:pPr>
      <w:r>
        <w:t xml:space="preserve">a.   </w:t>
      </w:r>
      <w:r>
        <w:rPr>
          <w:i/>
        </w:rPr>
        <w:t>The standard states that the val attribute specifies that automatic formatting behavior shall be applied regardless of the formatting restrictions in p</w:t>
      </w:r>
      <w:r>
        <w:rPr>
          <w:i/>
        </w:rPr>
        <w:t>lace.</w:t>
      </w:r>
    </w:p>
    <w:p w:rsidR="00024C0A" w:rsidRDefault="00694C0F">
      <w:pPr>
        <w:pStyle w:val="Definition-Field2"/>
      </w:pPr>
      <w:r>
        <w:t>Word ignores this element.</w:t>
      </w:r>
    </w:p>
    <w:p w:rsidR="00024C0A" w:rsidRDefault="00694C0F">
      <w:pPr>
        <w:pStyle w:val="Heading3"/>
      </w:pPr>
      <w:bookmarkStart w:id="793" w:name="section_a3f96a731cad4a64a7e3cf18ad747708"/>
      <w:bookmarkStart w:id="794" w:name="_Toc12260457"/>
      <w:r>
        <w:t>Part 1 Section 17.15.1.11, bookFoldPrinting (Book Fold Printing)</w:t>
      </w:r>
      <w:bookmarkEnd w:id="793"/>
      <w:bookmarkEnd w:id="794"/>
      <w:r>
        <w:fldChar w:fldCharType="begin"/>
      </w:r>
      <w:r>
        <w:instrText xml:space="preserve"> XE "bookFoldPrinting (Book Fold Printing)" </w:instrText>
      </w:r>
      <w:r>
        <w:fldChar w:fldCharType="end"/>
      </w:r>
    </w:p>
    <w:p w:rsidR="00024C0A" w:rsidRDefault="00694C0F">
      <w:pPr>
        <w:pStyle w:val="Definition-Field"/>
      </w:pPr>
      <w:r>
        <w:t xml:space="preserve">a.   </w:t>
      </w:r>
      <w:r>
        <w:rPr>
          <w:i/>
        </w:rPr>
        <w:t>The standard says book fold printing divides the page in half vertically with two left margins emanating fr</w:t>
      </w:r>
      <w:r>
        <w:rPr>
          <w:i/>
        </w:rPr>
        <w:t>om the bisector of the page, and two right margins instantiated at the left and right side of the page.</w:t>
      </w:r>
    </w:p>
    <w:p w:rsidR="00024C0A" w:rsidRDefault="00694C0F">
      <w:pPr>
        <w:pStyle w:val="Definition-Field2"/>
      </w:pPr>
      <w:r>
        <w:t>Word divides the page in half vertically with two right margins emanating from the bisector of the page, and two left margins instantiated at the left a</w:t>
      </w:r>
      <w:r>
        <w:t>nd right side of the page.</w:t>
      </w:r>
    </w:p>
    <w:p w:rsidR="00024C0A" w:rsidRDefault="00694C0F">
      <w:pPr>
        <w:pStyle w:val="Heading3"/>
      </w:pPr>
      <w:bookmarkStart w:id="795" w:name="section_54ddf37e03b84d0391a4755fb2c6695a"/>
      <w:bookmarkStart w:id="796" w:name="_Toc12260458"/>
      <w:r>
        <w:t>Part 1 Section 17.15.1.12, bookFoldPrintingSheets (Number of Pages Per Booklet)</w:t>
      </w:r>
      <w:bookmarkEnd w:id="795"/>
      <w:bookmarkEnd w:id="796"/>
      <w:r>
        <w:fldChar w:fldCharType="begin"/>
      </w:r>
      <w:r>
        <w:instrText xml:space="preserve"> XE "bookFoldPrintingSheets (Number of Pages Per Booklet)" </w:instrText>
      </w:r>
      <w:r>
        <w:fldChar w:fldCharType="end"/>
      </w:r>
    </w:p>
    <w:p w:rsidR="00024C0A" w:rsidRDefault="00694C0F">
      <w:pPr>
        <w:pStyle w:val="Definition-Field"/>
      </w:pPr>
      <w:r>
        <w:t xml:space="preserve">a.   </w:t>
      </w:r>
      <w:r>
        <w:rPr>
          <w:i/>
        </w:rPr>
        <w:t>The standard states that if this element is omitted, then default behavior shall be</w:t>
      </w:r>
      <w:r>
        <w:rPr>
          <w:i/>
        </w:rPr>
        <w:t xml:space="preserve"> to print the document on a single sheet.</w:t>
      </w:r>
    </w:p>
    <w:p w:rsidR="00024C0A" w:rsidRDefault="00694C0F">
      <w:pPr>
        <w:pStyle w:val="Definition-Field2"/>
      </w:pPr>
      <w:r>
        <w:t>In Word, if this element is omitted, default behavior is to include all the pages of the document in a single booklet.</w:t>
      </w:r>
    </w:p>
    <w:p w:rsidR="00024C0A" w:rsidRDefault="00694C0F">
      <w:pPr>
        <w:pStyle w:val="Definition-Field"/>
      </w:pPr>
      <w:r>
        <w:t xml:space="preserve">b.   </w:t>
      </w:r>
      <w:r>
        <w:rPr>
          <w:i/>
        </w:rPr>
        <w:t>The standard states that the values of the val attribute are defined by the XML Schema int</w:t>
      </w:r>
      <w:r>
        <w:rPr>
          <w:i/>
        </w:rPr>
        <w:t>eger datatype.</w:t>
      </w:r>
    </w:p>
    <w:p w:rsidR="00024C0A" w:rsidRDefault="00694C0F">
      <w:pPr>
        <w:pStyle w:val="Definition-Field2"/>
      </w:pPr>
      <w:r>
        <w:t>Word defines the values of this attribute with the XML Schema short datatype, with a minimum value of 0.</w:t>
      </w:r>
    </w:p>
    <w:p w:rsidR="00024C0A" w:rsidRDefault="00694C0F">
      <w:pPr>
        <w:pStyle w:val="Heading3"/>
      </w:pPr>
      <w:bookmarkStart w:id="797" w:name="section_4a4ba7698bc142b3b66208b23bd8e953"/>
      <w:bookmarkStart w:id="798" w:name="_Toc12260459"/>
      <w:r>
        <w:lastRenderedPageBreak/>
        <w:t>Part 1 Section 17.15.1.13, bookFoldRevPrinting (Reverse Book Fold Printing)</w:t>
      </w:r>
      <w:bookmarkEnd w:id="797"/>
      <w:bookmarkEnd w:id="798"/>
      <w:r>
        <w:fldChar w:fldCharType="begin"/>
      </w:r>
      <w:r>
        <w:instrText xml:space="preserve"> XE "bookFoldRevPrinting (Reverse Book Fold Printing)" </w:instrText>
      </w:r>
      <w:r>
        <w:fldChar w:fldCharType="end"/>
      </w:r>
    </w:p>
    <w:p w:rsidR="00024C0A" w:rsidRDefault="00694C0F">
      <w:pPr>
        <w:pStyle w:val="Definition-Field"/>
      </w:pPr>
      <w:r>
        <w:t xml:space="preserve">a. </w:t>
      </w:r>
      <w:r>
        <w:t xml:space="preserve">  </w:t>
      </w:r>
      <w:r>
        <w:rPr>
          <w:i/>
        </w:rPr>
        <w:t>The standard says this element divides the page in half vertically with two left margins emanating from the bisector of the page, and two right margins instantiated at the left and right side of the page.</w:t>
      </w:r>
    </w:p>
    <w:p w:rsidR="00024C0A" w:rsidRDefault="00694C0F">
      <w:pPr>
        <w:pStyle w:val="Definition-Field2"/>
      </w:pPr>
      <w:r>
        <w:t>In Word, this element divides the page in half ve</w:t>
      </w:r>
      <w:r>
        <w:t>rtically with two right margins emanating from the bisector of the page, and left margins instantiated at the left and right side of the page.</w:t>
      </w:r>
    </w:p>
    <w:p w:rsidR="00024C0A" w:rsidRDefault="00694C0F">
      <w:pPr>
        <w:pStyle w:val="Definition-Field"/>
      </w:pPr>
      <w:r>
        <w:t xml:space="preserve">b.   </w:t>
      </w:r>
      <w:r>
        <w:rPr>
          <w:i/>
        </w:rPr>
        <w:t>The standard describes through example the output of printed pages with page 3 printed after page 2.</w:t>
      </w:r>
    </w:p>
    <w:p w:rsidR="00024C0A" w:rsidRDefault="00694C0F">
      <w:r>
        <w:t>Word pr</w:t>
      </w:r>
      <w:r>
        <w:t>ints page 3 on the left side of the second printed signature to allow the construction of a printed booklet. This can be visualized as follows:</w:t>
      </w:r>
    </w:p>
    <w:tbl>
      <w:tblPr>
        <w:tblStyle w:val="Table-ShadedHeader"/>
        <w:tblW w:w="0" w:type="auto"/>
        <w:tblLook w:val="04A0" w:firstRow="1" w:lastRow="0" w:firstColumn="1" w:lastColumn="0" w:noHBand="0" w:noVBand="1"/>
      </w:tblPr>
      <w:tblGrid>
        <w:gridCol w:w="4565"/>
        <w:gridCol w:w="4520"/>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 xml:space="preserve">Second Printed Sheet </w:t>
            </w:r>
          </w:p>
        </w:tc>
        <w:tc>
          <w:tcPr>
            <w:tcW w:w="0" w:type="auto"/>
            <w:vAlign w:val="center"/>
          </w:tcPr>
          <w:p w:rsidR="00024C0A" w:rsidRDefault="00694C0F">
            <w:pPr>
              <w:pStyle w:val="TableHeaderText"/>
            </w:pPr>
            <w:r>
              <w:t>Second Printed Signature</w:t>
            </w:r>
          </w:p>
        </w:tc>
      </w:tr>
      <w:tr w:rsidR="00024C0A" w:rsidTr="00024C0A">
        <w:tc>
          <w:tcPr>
            <w:tcW w:w="0" w:type="auto"/>
            <w:vAlign w:val="center"/>
          </w:tcPr>
          <w:p w:rsidR="00024C0A" w:rsidRDefault="00694C0F">
            <w:pPr>
              <w:pStyle w:val="TableBodyText"/>
            </w:pPr>
            <w:r>
              <w:rPr>
                <w:noProof/>
              </w:rPr>
              <w:drawing>
                <wp:inline distT="0" distB="0" distL="0" distR="0">
                  <wp:extent cx="2752725" cy="2286000"/>
                  <wp:effectExtent l="0" t="0" r="0" b="0"/>
                  <wp:docPr id="14" name="Picture 1" descr="Sample diagram of second printed sheet shows page 1 with 1 point 5 inches left  margin, 1 inch top margin, one inch right margin, one inch bottom margin" title="Sample diagram of second printed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2-0000-0000-0000-000000000000" descr="Sample diagram of second printed sheet shows page 1 with 1 point 5 inches left  margin, 1 inch top margin, one inch right margin, one inch bottom margin" title="Sample diagram of second printed sheet"/>
                          <pic:cNvPicPr>
                            <a:picLocks noChangeAspect="1" noChangeArrowheads="1"/>
                          </pic:cNvPicPr>
                        </pic:nvPicPr>
                        <pic:blipFill>
                          <a:blip r:embed="rId97" cstate="print"/>
                          <a:srcRect/>
                          <a:stretch>
                            <a:fillRect/>
                          </a:stretch>
                        </pic:blipFill>
                        <pic:spPr bwMode="auto">
                          <a:xfrm>
                            <a:off x="0" y="0"/>
                            <a:ext cx="2752725" cy="2286000"/>
                          </a:xfrm>
                          <a:prstGeom prst="rect">
                            <a:avLst/>
                          </a:prstGeom>
                          <a:noFill/>
                          <a:ln w="9525">
                            <a:noFill/>
                            <a:miter lim="800000"/>
                            <a:headEnd/>
                            <a:tailEnd/>
                          </a:ln>
                        </pic:spPr>
                      </pic:pic>
                    </a:graphicData>
                  </a:graphic>
                </wp:inline>
              </w:drawing>
            </w:r>
          </w:p>
        </w:tc>
        <w:tc>
          <w:tcPr>
            <w:tcW w:w="0" w:type="auto"/>
            <w:vAlign w:val="center"/>
          </w:tcPr>
          <w:p w:rsidR="00024C0A" w:rsidRDefault="00694C0F">
            <w:pPr>
              <w:pStyle w:val="TableBodyText"/>
            </w:pPr>
            <w:r>
              <w:rPr>
                <w:noProof/>
              </w:rPr>
              <w:drawing>
                <wp:inline distT="0" distB="0" distL="0" distR="0">
                  <wp:extent cx="2724150" cy="2286000"/>
                  <wp:effectExtent l="0" t="0" r="0" b="0"/>
                  <wp:docPr id="15" name="Picture 1"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3-0000-0000-0000-000000000000"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pic:cNvPicPr>
                            <a:picLocks noChangeAspect="1" noChangeArrowheads="1"/>
                          </pic:cNvPicPr>
                        </pic:nvPicPr>
                        <pic:blipFill>
                          <a:blip r:embed="rId98" cstate="print"/>
                          <a:srcRect/>
                          <a:stretch>
                            <a:fillRect/>
                          </a:stretch>
                        </pic:blipFill>
                        <pic:spPr bwMode="auto">
                          <a:xfrm>
                            <a:off x="0" y="0"/>
                            <a:ext cx="2724150" cy="2286000"/>
                          </a:xfrm>
                          <a:prstGeom prst="rect">
                            <a:avLst/>
                          </a:prstGeom>
                          <a:noFill/>
                          <a:ln w="9525">
                            <a:noFill/>
                            <a:miter lim="800000"/>
                            <a:headEnd/>
                            <a:tailEnd/>
                          </a:ln>
                        </pic:spPr>
                      </pic:pic>
                    </a:graphicData>
                  </a:graphic>
                </wp:inline>
              </w:drawing>
            </w:r>
          </w:p>
        </w:tc>
      </w:tr>
    </w:tbl>
    <w:p w:rsidR="00024C0A" w:rsidRDefault="00024C0A"/>
    <w:p w:rsidR="00024C0A" w:rsidRDefault="00694C0F">
      <w:pPr>
        <w:pStyle w:val="Heading3"/>
      </w:pPr>
      <w:bookmarkStart w:id="799" w:name="section_5ac3ac4fcfc24a6ab6f30bb1ce1e0628"/>
      <w:bookmarkStart w:id="800" w:name="_Toc12260460"/>
      <w:r>
        <w:t>Part 1 Section 17.15.1.16, caption (Single Caption Type Definition)</w:t>
      </w:r>
      <w:bookmarkEnd w:id="799"/>
      <w:bookmarkEnd w:id="800"/>
      <w:r>
        <w:fldChar w:fldCharType="begin"/>
      </w:r>
      <w:r>
        <w:instrText xml:space="preserve"> XE "caption (Single Caption Type Definition)" </w:instrText>
      </w:r>
      <w:r>
        <w:fldChar w:fldCharType="end"/>
      </w:r>
    </w:p>
    <w:p w:rsidR="00024C0A" w:rsidRDefault="00694C0F">
      <w:pPr>
        <w:pStyle w:val="Definition-Field"/>
      </w:pPr>
      <w:r>
        <w:t xml:space="preserve">a.   </w:t>
      </w:r>
      <w:r>
        <w:rPr>
          <w:i/>
        </w:rPr>
        <w:t>The standard allows strings of unbounded length for the name attribute.</w:t>
      </w:r>
    </w:p>
    <w:p w:rsidR="00024C0A" w:rsidRDefault="00694C0F">
      <w:pPr>
        <w:pStyle w:val="Definition-Field2"/>
      </w:pPr>
      <w:r>
        <w:t>Word allows strings of length at most 255 for the name attribu</w:t>
      </w:r>
      <w:r>
        <w:t>te.</w:t>
      </w:r>
    </w:p>
    <w:p w:rsidR="00024C0A" w:rsidRDefault="00694C0F">
      <w:pPr>
        <w:pStyle w:val="Definition-Field"/>
      </w:pPr>
      <w:r>
        <w:t xml:space="preserve">b.   </w:t>
      </w:r>
      <w:r>
        <w:rPr>
          <w:i/>
        </w:rPr>
        <w:t>In the standard, the heading attribute is described with specific semantics for values 1 through 9.</w:t>
      </w:r>
    </w:p>
    <w:p w:rsidR="00024C0A" w:rsidRDefault="00694C0F">
      <w:pPr>
        <w:pStyle w:val="Definition-Field2"/>
      </w:pPr>
      <w:r>
        <w:t>If the heading attribute is present, Word reads the value as zero and incorrectly displays autogenerated captions.</w:t>
      </w:r>
    </w:p>
    <w:p w:rsidR="00024C0A" w:rsidRDefault="00694C0F">
      <w:pPr>
        <w:pStyle w:val="Definition-Field"/>
      </w:pPr>
      <w:r>
        <w:t xml:space="preserve">c.   </w:t>
      </w:r>
      <w:r>
        <w:rPr>
          <w:i/>
        </w:rPr>
        <w:t>The standard says the noLab</w:t>
      </w:r>
      <w:r>
        <w:rPr>
          <w:i/>
        </w:rPr>
        <w:t>el attribute controls whether labels are included in automatically generated captions.</w:t>
      </w:r>
    </w:p>
    <w:p w:rsidR="00024C0A" w:rsidRDefault="00694C0F">
      <w:pPr>
        <w:pStyle w:val="Definition-Field2"/>
      </w:pPr>
      <w:r>
        <w:t>Word ignores the noLabel attribute and instead uses the value of the chapNum attribute.</w:t>
      </w:r>
    </w:p>
    <w:p w:rsidR="00024C0A" w:rsidRDefault="00694C0F">
      <w:pPr>
        <w:pStyle w:val="Heading3"/>
      </w:pPr>
      <w:bookmarkStart w:id="801" w:name="section_6bef7b68188f4b29b696d9676810e906"/>
      <w:bookmarkStart w:id="802" w:name="_Toc12260461"/>
      <w:r>
        <w:t>Part 1 Section 17.15.1.17, captions (Caption Settings)</w:t>
      </w:r>
      <w:bookmarkEnd w:id="801"/>
      <w:bookmarkEnd w:id="802"/>
      <w:r>
        <w:fldChar w:fldCharType="begin"/>
      </w:r>
      <w:r>
        <w:instrText xml:space="preserve"> XE "captions (Caption Sett</w:instrText>
      </w:r>
      <w:r>
        <w:instrText xml:space="preserve">ings)" </w:instrText>
      </w:r>
      <w:r>
        <w:fldChar w:fldCharType="end"/>
      </w:r>
    </w:p>
    <w:p w:rsidR="00024C0A" w:rsidRDefault="00694C0F">
      <w:pPr>
        <w:pStyle w:val="Definition-Field"/>
      </w:pPr>
      <w:r>
        <w:t xml:space="preserve">a.   </w:t>
      </w:r>
      <w:r>
        <w:rPr>
          <w:i/>
        </w:rPr>
        <w:t>The standard states that this element could be used by other documents besides the default template.</w:t>
      </w:r>
    </w:p>
    <w:p w:rsidR="00024C0A" w:rsidRDefault="00694C0F">
      <w:pPr>
        <w:pStyle w:val="Definition-Field2"/>
      </w:pPr>
      <w:r>
        <w:lastRenderedPageBreak/>
        <w:t>Word only reads this element when it is stored in its default document template.</w:t>
      </w:r>
    </w:p>
    <w:p w:rsidR="00024C0A" w:rsidRDefault="00694C0F">
      <w:pPr>
        <w:pStyle w:val="Heading3"/>
      </w:pPr>
      <w:bookmarkStart w:id="803" w:name="section_a388debef4624d05aac2e61c2edeb110"/>
      <w:bookmarkStart w:id="804" w:name="_Toc12260462"/>
      <w:r>
        <w:t>Part 1 Section 17.15.1.19, clickAndTypeStyle (Paragraph Sty</w:t>
      </w:r>
      <w:r>
        <w:t>le Applied to Automatically Generated Paragraphs)</w:t>
      </w:r>
      <w:bookmarkEnd w:id="803"/>
      <w:bookmarkEnd w:id="804"/>
      <w:r>
        <w:fldChar w:fldCharType="begin"/>
      </w:r>
      <w:r>
        <w:instrText xml:space="preserve"> XE "clickAndTypeStyle (Paragraph Style Applied to Automatically Generated Paragraphs)"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024C0A" w:rsidRDefault="00694C0F">
      <w:pPr>
        <w:pStyle w:val="Definition-Field"/>
      </w:pPr>
      <w:r>
        <w:t xml:space="preserve">a.   </w:t>
      </w:r>
      <w:r>
        <w:rPr>
          <w:i/>
        </w:rPr>
        <w:t>The standard does not limit the length of the value of the val attribute.</w:t>
      </w:r>
    </w:p>
    <w:p w:rsidR="00024C0A" w:rsidRDefault="00694C0F">
      <w:pPr>
        <w:pStyle w:val="Definition-Field2"/>
      </w:pPr>
      <w:r>
        <w:t>Word restricts the value of this attribute to be at most 253 characters.</w:t>
      </w:r>
    </w:p>
    <w:p w:rsidR="00024C0A" w:rsidRDefault="00694C0F">
      <w:pPr>
        <w:pStyle w:val="Heading3"/>
      </w:pPr>
      <w:bookmarkStart w:id="805" w:name="section_1be239133f8840ab9cb22790be8c549d"/>
      <w:bookmarkStart w:id="806" w:name="_Toc12260463"/>
      <w:r>
        <w:t>Part 1 Section 17.15.1.20, clrSchemeMapp</w:t>
      </w:r>
      <w:r>
        <w:t>ing (Theme Color Mappings)</w:t>
      </w:r>
      <w:bookmarkEnd w:id="805"/>
      <w:bookmarkEnd w:id="806"/>
      <w:r>
        <w:fldChar w:fldCharType="begin"/>
      </w:r>
      <w:r>
        <w:instrText xml:space="preserve"> XE "clrSchemeMapping (Theme Color Mappings)" </w:instrText>
      </w:r>
      <w:r>
        <w:fldChar w:fldCharType="end"/>
      </w:r>
    </w:p>
    <w:p w:rsidR="00024C0A" w:rsidRDefault="00694C0F">
      <w:pPr>
        <w:pStyle w:val="Definition-Field"/>
      </w:pPr>
      <w:r>
        <w:t xml:space="preserve">a.   </w:t>
      </w:r>
      <w:r>
        <w:rPr>
          <w:i/>
        </w:rPr>
        <w:t>The standard states that if the t1 attribute is omitted, then the t1 theme color shall be used.</w:t>
      </w:r>
    </w:p>
    <w:p w:rsidR="00024C0A" w:rsidRDefault="00694C0F">
      <w:pPr>
        <w:pStyle w:val="Definition-Field2"/>
      </w:pPr>
      <w:r>
        <w:t>Word uses the tx1 theme color, as no t1 theme color exists in the enumeration.</w:t>
      </w:r>
    </w:p>
    <w:p w:rsidR="00024C0A" w:rsidRDefault="00694C0F">
      <w:pPr>
        <w:pStyle w:val="Definition-Field"/>
      </w:pPr>
      <w:r>
        <w:t>b</w:t>
      </w:r>
      <w:r>
        <w:t xml:space="preserve">.   </w:t>
      </w:r>
      <w:r>
        <w:rPr>
          <w:i/>
        </w:rPr>
        <w:t>The standard says that if the t2 attribute is omitted, then the t2 theme color shall be used.</w:t>
      </w:r>
    </w:p>
    <w:p w:rsidR="00024C0A" w:rsidRDefault="00694C0F">
      <w:pPr>
        <w:pStyle w:val="Definition-Field2"/>
      </w:pPr>
      <w:r>
        <w:t>Word uses the tx2 theme color, as no t2 theme color exists in the enumeration.</w:t>
      </w:r>
    </w:p>
    <w:p w:rsidR="00024C0A" w:rsidRDefault="00694C0F">
      <w:pPr>
        <w:pStyle w:val="Heading3"/>
      </w:pPr>
      <w:bookmarkStart w:id="807" w:name="section_f68636b8b56d4a0c918d596752081e79"/>
      <w:bookmarkStart w:id="808" w:name="_Toc12260464"/>
      <w:r>
        <w:t>Part 1 Section 17.15.1.22, consecutiveHyphenLimit (Maximum Number of Consecutiv</w:t>
      </w:r>
      <w:r>
        <w:t>ely Hyphenated Lines)</w:t>
      </w:r>
      <w:bookmarkEnd w:id="807"/>
      <w:bookmarkEnd w:id="808"/>
      <w:r>
        <w:fldChar w:fldCharType="begin"/>
      </w:r>
      <w:r>
        <w:instrText xml:space="preserve"> XE "consecutiveHyphenLimit (Maximum Number of Consecutively Hyphenated Lines)" </w:instrText>
      </w:r>
      <w:r>
        <w:fldChar w:fldCharType="end"/>
      </w:r>
    </w:p>
    <w:p w:rsidR="00024C0A" w:rsidRDefault="00694C0F">
      <w:pPr>
        <w:pStyle w:val="Definition-Field"/>
      </w:pPr>
      <w:r>
        <w:t xml:space="preserve">a.   </w:t>
      </w:r>
      <w:r>
        <w:rPr>
          <w:i/>
        </w:rPr>
        <w:t>The standard states that the values of the val attribute are defined by the XML Schema integer datatype.</w:t>
      </w:r>
    </w:p>
    <w:p w:rsidR="00024C0A" w:rsidRDefault="00694C0F">
      <w:pPr>
        <w:pStyle w:val="Definition-Field2"/>
      </w:pPr>
      <w:r>
        <w:t xml:space="preserve">Word defines the values of this attribute </w:t>
      </w:r>
      <w:r>
        <w:t>with the XML Schema unsignedShort datatype.</w:t>
      </w:r>
    </w:p>
    <w:p w:rsidR="00024C0A" w:rsidRDefault="00694C0F">
      <w:pPr>
        <w:pStyle w:val="Heading3"/>
      </w:pPr>
      <w:bookmarkStart w:id="809" w:name="section_fdae3e41bf9549de8c194dfc98f3ddf4"/>
      <w:bookmarkStart w:id="810" w:name="_Toc12260465"/>
      <w:r>
        <w:t>Part 1 Section 17.15.1.23, decimalSymbol (Radix Point for Field Code Evaluation)</w:t>
      </w:r>
      <w:bookmarkEnd w:id="809"/>
      <w:bookmarkEnd w:id="810"/>
      <w:r>
        <w:fldChar w:fldCharType="begin"/>
      </w:r>
      <w:r>
        <w:instrText xml:space="preserve"> XE "decimalSymbol (Radix Point for Field Code Evaluation)" </w:instrText>
      </w:r>
      <w:r>
        <w:fldChar w:fldCharType="end"/>
      </w:r>
    </w:p>
    <w:p w:rsidR="00024C0A" w:rsidRDefault="00694C0F">
      <w:pPr>
        <w:pStyle w:val="Definition-Field"/>
      </w:pPr>
      <w:r>
        <w:t xml:space="preserve">a.   </w:t>
      </w:r>
      <w:r>
        <w:rPr>
          <w:i/>
        </w:rPr>
        <w:t xml:space="preserve">The standard states that this element specifies the character </w:t>
      </w:r>
      <w:r>
        <w:rPr>
          <w:i/>
        </w:rPr>
        <w:t>that shall be interpreted as the radix point symbol.</w:t>
      </w:r>
    </w:p>
    <w:p w:rsidR="00024C0A" w:rsidRDefault="00694C0F">
      <w:pPr>
        <w:pStyle w:val="Definition-Field2"/>
      </w:pPr>
      <w:r>
        <w:t>Word ignores this element and its value and always reads the system locale settings to get the value of the radix point symbol.</w:t>
      </w:r>
    </w:p>
    <w:p w:rsidR="00024C0A" w:rsidRDefault="00694C0F">
      <w:pPr>
        <w:pStyle w:val="Heading3"/>
      </w:pPr>
      <w:bookmarkStart w:id="811" w:name="section_fd6deb8c493a454fb4eb266ce809595a"/>
      <w:bookmarkStart w:id="812" w:name="_Toc12260466"/>
      <w:r>
        <w:t>Part 1 Section 17.15.1.24, defaultTableStyle (Default Table Style for Newly</w:t>
      </w:r>
      <w:r>
        <w:t xml:space="preserve"> Inserted Tables)</w:t>
      </w:r>
      <w:bookmarkEnd w:id="811"/>
      <w:bookmarkEnd w:id="812"/>
      <w:r>
        <w:fldChar w:fldCharType="begin"/>
      </w:r>
      <w:r>
        <w:instrText xml:space="preserve"> XE "defaultTableStyle (Default Table Style for Newly Inserted Tables)"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1e273b9e816940a691aaf9ebd083e0b8">
        <w:r>
          <w:rPr>
            <w:rStyle w:val="Hyperlink"/>
          </w:rPr>
          <w:t>numStyleLin</w:t>
        </w:r>
        <w:r>
          <w:rPr>
            <w:rStyle w:val="Hyperlink"/>
          </w:rPr>
          <w:t>k, §17.9.21(a)</w:t>
        </w:r>
      </w:hyperlink>
      <w:r>
        <w:rPr>
          <w:i/>
        </w:rPr>
        <w:t>.</w:t>
      </w:r>
    </w:p>
    <w:p w:rsidR="00024C0A" w:rsidRDefault="00694C0F">
      <w:pPr>
        <w:pStyle w:val="Definition-Field"/>
      </w:pPr>
      <w:r>
        <w:t xml:space="preserve">a.   </w:t>
      </w:r>
      <w:r>
        <w:rPr>
          <w:i/>
        </w:rPr>
        <w:t>The standard states that if this element is not specified then the application shall apply the default table style for inserted table</w:t>
      </w:r>
    </w:p>
    <w:p w:rsidR="00024C0A" w:rsidRDefault="00694C0F">
      <w:pPr>
        <w:pStyle w:val="Definition-Field2"/>
      </w:pPr>
      <w:r>
        <w:t>Word will apply the TableGrid style for tables when this element is not specified</w:t>
      </w:r>
    </w:p>
    <w:p w:rsidR="00024C0A" w:rsidRDefault="00694C0F">
      <w:pPr>
        <w:pStyle w:val="Definition-Field"/>
      </w:pPr>
      <w:r>
        <w:t xml:space="preserve">b.   </w:t>
      </w:r>
      <w:r>
        <w:rPr>
          <w:i/>
        </w:rPr>
        <w:t>The standard d</w:t>
      </w:r>
      <w:r>
        <w:rPr>
          <w:i/>
        </w:rPr>
        <w:t>oes not limit the length of the value of the val attribute.</w:t>
      </w:r>
    </w:p>
    <w:p w:rsidR="00024C0A" w:rsidRDefault="00694C0F">
      <w:pPr>
        <w:pStyle w:val="Definition-Field2"/>
      </w:pPr>
      <w:r>
        <w:t>Word restricts the value of this attribute to be at most 253 characters.</w:t>
      </w:r>
    </w:p>
    <w:p w:rsidR="00024C0A" w:rsidRDefault="00694C0F">
      <w:pPr>
        <w:pStyle w:val="Heading3"/>
      </w:pPr>
      <w:bookmarkStart w:id="813" w:name="section_d09bfc71d0d249729275bc0edf849558"/>
      <w:bookmarkStart w:id="814" w:name="_Toc12260467"/>
      <w:r>
        <w:lastRenderedPageBreak/>
        <w:t>Part 1 Section 17.15.1.25, defaultTabStop (Distance Between Automatic Tab Stops)</w:t>
      </w:r>
      <w:bookmarkEnd w:id="813"/>
      <w:bookmarkEnd w:id="814"/>
      <w:r>
        <w:fldChar w:fldCharType="begin"/>
      </w:r>
      <w:r>
        <w:instrText xml:space="preserve"> XE "defaultTabStop (Distance Between Automatic Tab Stops)" </w:instrText>
      </w:r>
      <w:r>
        <w:fldChar w:fldCharType="end"/>
      </w:r>
    </w:p>
    <w:p w:rsidR="00024C0A" w:rsidRDefault="00694C0F">
      <w:pPr>
        <w:pStyle w:val="Definition-Field"/>
      </w:pPr>
      <w:r>
        <w:t xml:space="preserve">a.   </w:t>
      </w:r>
      <w:r>
        <w:rPr>
          <w:i/>
        </w:rPr>
        <w:t>The standard states that the values of the val attribute are defined by the XML Schema unsignedLong datatype.</w:t>
      </w:r>
    </w:p>
    <w:p w:rsidR="00024C0A" w:rsidRDefault="00694C0F">
      <w:pPr>
        <w:pStyle w:val="Definition-Field2"/>
      </w:pPr>
      <w:r>
        <w:t xml:space="preserve">Word defines the values of this attribute with the XML Schema short datatype, </w:t>
      </w:r>
      <w:r>
        <w:t>with a minimum value of 0.</w:t>
      </w:r>
    </w:p>
    <w:p w:rsidR="00024C0A" w:rsidRDefault="00694C0F">
      <w:pPr>
        <w:pStyle w:val="Heading3"/>
      </w:pPr>
      <w:bookmarkStart w:id="815" w:name="section_3556936a408d4c088893a61fd0754f5c"/>
      <w:bookmarkStart w:id="816" w:name="_Toc12260468"/>
      <w:r>
        <w:t>Part 1 Section 17.15.1.27, displayHorizontalDrawingGridEvery (Distance between Horizontal Gridlines)</w:t>
      </w:r>
      <w:bookmarkEnd w:id="815"/>
      <w:bookmarkEnd w:id="816"/>
      <w:r>
        <w:fldChar w:fldCharType="begin"/>
      </w:r>
      <w:r>
        <w:instrText xml:space="preserve"> XE "displayHorizontalDrawingGridEvery (Distance between Horizontal Gridlines)" </w:instrText>
      </w:r>
      <w:r>
        <w:fldChar w:fldCharType="end"/>
      </w:r>
    </w:p>
    <w:p w:rsidR="00024C0A" w:rsidRDefault="00694C0F">
      <w:pPr>
        <w:pStyle w:val="Definition-Field"/>
      </w:pPr>
      <w:r>
        <w:t xml:space="preserve">a.   </w:t>
      </w:r>
      <w:r>
        <w:rPr>
          <w:i/>
        </w:rPr>
        <w:t>The standard says this element controls t</w:t>
      </w:r>
      <w:r>
        <w:rPr>
          <w:i/>
        </w:rPr>
        <w:t>he number of horizontal grid units between horizontal grid lines.</w:t>
      </w:r>
    </w:p>
    <w:p w:rsidR="00024C0A" w:rsidRDefault="00694C0F">
      <w:pPr>
        <w:pStyle w:val="Definition-Field2"/>
      </w:pPr>
      <w:r>
        <w:t>In Word, this element controls the number of horizontal grid units between vertical grid lines.</w:t>
      </w:r>
    </w:p>
    <w:p w:rsidR="00024C0A" w:rsidRDefault="00694C0F">
      <w:pPr>
        <w:pStyle w:val="Definition-Field"/>
      </w:pPr>
      <w:r>
        <w:t xml:space="preserve">b.   </w:t>
      </w:r>
      <w:r>
        <w:rPr>
          <w:i/>
        </w:rPr>
        <w:t>The standard states that the values of the val attribute are defined by the XML Schema in</w:t>
      </w:r>
      <w:r>
        <w:rPr>
          <w:i/>
        </w:rPr>
        <w:t>teger datatype.</w:t>
      </w:r>
    </w:p>
    <w:p w:rsidR="00024C0A" w:rsidRDefault="00694C0F">
      <w:pPr>
        <w:pStyle w:val="Definition-Field2"/>
      </w:pPr>
      <w:r>
        <w:t>Word restricts the value of this attribute to be at least 0 and at most 127.</w:t>
      </w:r>
    </w:p>
    <w:p w:rsidR="00024C0A" w:rsidRDefault="00694C0F">
      <w:pPr>
        <w:pStyle w:val="Heading3"/>
      </w:pPr>
      <w:bookmarkStart w:id="817" w:name="section_73f2c4bc60754f1fa1f308a250abbdba"/>
      <w:bookmarkStart w:id="818" w:name="_Toc12260469"/>
      <w:r>
        <w:t>Part 1 Section 17.15.1.28, displayVerticalDrawingGridEvery (Distance between Vertical Gridlines)</w:t>
      </w:r>
      <w:bookmarkEnd w:id="817"/>
      <w:bookmarkEnd w:id="818"/>
      <w:r>
        <w:fldChar w:fldCharType="begin"/>
      </w:r>
      <w:r>
        <w:instrText xml:space="preserve"> XE "displayVerticalDrawingGridEvery (Distance between Vertical Gri</w:instrText>
      </w:r>
      <w:r>
        <w:instrText xml:space="preserve">dlines)" </w:instrText>
      </w:r>
      <w:r>
        <w:fldChar w:fldCharType="end"/>
      </w:r>
    </w:p>
    <w:p w:rsidR="00024C0A" w:rsidRDefault="00694C0F">
      <w:pPr>
        <w:pStyle w:val="Definition-Field"/>
      </w:pPr>
      <w:r>
        <w:t xml:space="preserve">a.   </w:t>
      </w:r>
      <w:r>
        <w:rPr>
          <w:i/>
        </w:rPr>
        <w:t>The standard says this element controls the number of vertical grid units between vertical grid lines.</w:t>
      </w:r>
    </w:p>
    <w:p w:rsidR="00024C0A" w:rsidRDefault="00694C0F">
      <w:pPr>
        <w:pStyle w:val="Definition-Field2"/>
      </w:pPr>
      <w:r>
        <w:t>In Word, this element controls the number of vertical grid units between horizontal grid lines.</w:t>
      </w:r>
    </w:p>
    <w:p w:rsidR="00024C0A" w:rsidRDefault="00694C0F">
      <w:pPr>
        <w:pStyle w:val="Definition-Field"/>
      </w:pPr>
      <w:r>
        <w:t xml:space="preserve">b.   </w:t>
      </w:r>
      <w:r>
        <w:rPr>
          <w:i/>
        </w:rPr>
        <w:t>The standard states that, if this e</w:t>
      </w:r>
      <w:r>
        <w:rPr>
          <w:i/>
        </w:rPr>
        <w:t>lement is omitted, no vertical gridlines are displayed.</w:t>
      </w:r>
    </w:p>
    <w:p w:rsidR="00024C0A" w:rsidRDefault="00694C0F">
      <w:pPr>
        <w:pStyle w:val="Definition-Field2"/>
      </w:pPr>
      <w:r>
        <w:t>In Word, if this element is omitted, horizontal gridlines are displayed for every vertical grid unit.</w:t>
      </w:r>
    </w:p>
    <w:p w:rsidR="00024C0A" w:rsidRDefault="00694C0F">
      <w:pPr>
        <w:pStyle w:val="Definition-Field"/>
      </w:pPr>
      <w:r>
        <w:t xml:space="preserve">c.   </w:t>
      </w:r>
      <w:r>
        <w:rPr>
          <w:i/>
        </w:rPr>
        <w:t>The standard states that the values of the val attribute are defined by the XML Schema intege</w:t>
      </w:r>
      <w:r>
        <w:rPr>
          <w:i/>
        </w:rPr>
        <w:t>r datatype.</w:t>
      </w:r>
    </w:p>
    <w:p w:rsidR="00024C0A" w:rsidRDefault="00694C0F">
      <w:pPr>
        <w:pStyle w:val="Definition-Field2"/>
      </w:pPr>
      <w:r>
        <w:t>Word restricts the value of this attribute to be at least 0 and at most 127.</w:t>
      </w:r>
    </w:p>
    <w:p w:rsidR="00024C0A" w:rsidRDefault="00694C0F">
      <w:pPr>
        <w:pStyle w:val="Heading3"/>
      </w:pPr>
      <w:bookmarkStart w:id="819" w:name="section_e12d2773e2d045bfb1c2b8f0548e156d"/>
      <w:bookmarkStart w:id="820" w:name="_Toc12260470"/>
      <w:r>
        <w:t>Part 1 Section 17.15.1.29, documentProtection (Document Editing Restrictions)</w:t>
      </w:r>
      <w:bookmarkEnd w:id="819"/>
      <w:bookmarkEnd w:id="820"/>
      <w:r>
        <w:fldChar w:fldCharType="begin"/>
      </w:r>
      <w:r>
        <w:instrText xml:space="preserve"> XE "documentProtection (Document Editing Restrictions)" </w:instrText>
      </w:r>
      <w:r>
        <w:fldChar w:fldCharType="end"/>
      </w:r>
    </w:p>
    <w:p w:rsidR="00024C0A" w:rsidRDefault="00694C0F">
      <w:pPr>
        <w:pStyle w:val="Definition-Field"/>
      </w:pPr>
      <w:r>
        <w:t xml:space="preserve">a.   </w:t>
      </w:r>
      <w:r>
        <w:rPr>
          <w:i/>
        </w:rPr>
        <w:t>The standard's salt attri</w:t>
      </w:r>
      <w:r>
        <w:rPr>
          <w:i/>
        </w:rPr>
        <w:t>bute description conflicts with itself, describing the salt attribute as being both prepended and appended to the password.</w:t>
      </w:r>
    </w:p>
    <w:p w:rsidR="00024C0A" w:rsidRDefault="00694C0F">
      <w:pPr>
        <w:pStyle w:val="Definition-Field2"/>
      </w:pPr>
      <w:r>
        <w:t>Word prepends the salt attribute to the password.</w:t>
      </w:r>
    </w:p>
    <w:p w:rsidR="00024C0A" w:rsidRDefault="00694C0F">
      <w:pPr>
        <w:pStyle w:val="Definition-Field"/>
      </w:pPr>
      <w:r>
        <w:t xml:space="preserve">b.   </w:t>
      </w:r>
      <w:r>
        <w:rPr>
          <w:i/>
        </w:rPr>
        <w:t>In the standard, the spinCount attribute specifies the number of times the ha</w:t>
      </w:r>
      <w:r>
        <w:rPr>
          <w:i/>
        </w:rPr>
        <w:t>shing function shall be iteratively run.</w:t>
      </w:r>
    </w:p>
    <w:p w:rsidR="00024C0A" w:rsidRDefault="00694C0F">
      <w:pPr>
        <w:pStyle w:val="Definition-Field2"/>
      </w:pPr>
      <w:r>
        <w:t>Word requires that the initial hash of the password with the salt not be considered in the count.</w:t>
      </w:r>
    </w:p>
    <w:p w:rsidR="00024C0A" w:rsidRDefault="00694C0F">
      <w:pPr>
        <w:pStyle w:val="Definition-Field"/>
      </w:pPr>
      <w:r>
        <w:t xml:space="preserve">c.   </w:t>
      </w:r>
      <w:r>
        <w:rPr>
          <w:i/>
        </w:rPr>
        <w:t xml:space="preserve">The standard states that if the enforcement attribute is omitted, then protection settings are ignored by </w:t>
      </w:r>
      <w:r>
        <w:rPr>
          <w:i/>
        </w:rPr>
        <w:t>application.</w:t>
      </w:r>
    </w:p>
    <w:p w:rsidR="00024C0A" w:rsidRDefault="00694C0F">
      <w:pPr>
        <w:pStyle w:val="Definition-Field2"/>
      </w:pPr>
      <w:r>
        <w:t>Word enforces protection when this attribute is missing.</w:t>
      </w:r>
    </w:p>
    <w:p w:rsidR="00024C0A" w:rsidRDefault="00694C0F">
      <w:pPr>
        <w:pStyle w:val="Definition-Field"/>
      </w:pPr>
      <w:r>
        <w:t xml:space="preserve">d.   </w:t>
      </w:r>
      <w:r>
        <w:rPr>
          <w:i/>
        </w:rPr>
        <w:t>The standard states that the values for the cryptSpinCount attribute are defined by the ST_DecimalNumber simple type.</w:t>
      </w:r>
    </w:p>
    <w:p w:rsidR="00024C0A" w:rsidRDefault="00694C0F">
      <w:pPr>
        <w:pStyle w:val="Definition-Field2"/>
      </w:pPr>
      <w:r>
        <w:lastRenderedPageBreak/>
        <w:t xml:space="preserve">Word supports values only for the spinCount attribute that are </w:t>
      </w:r>
      <w:r>
        <w:t>between 0 and 10,000,000 (inclusive).</w:t>
      </w:r>
    </w:p>
    <w:p w:rsidR="00024C0A" w:rsidRDefault="00694C0F">
      <w:pPr>
        <w:pStyle w:val="Definition-Field"/>
      </w:pPr>
      <w:r>
        <w:t xml:space="preserve">e.   </w:t>
      </w:r>
      <w:r>
        <w:rPr>
          <w:i/>
        </w:rPr>
        <w:t>The standard states that the saltValue attribute is a base64 string.</w:t>
      </w:r>
    </w:p>
    <w:p w:rsidR="00024C0A" w:rsidRDefault="00694C0F">
      <w:pPr>
        <w:pStyle w:val="Definition-Field2"/>
      </w:pPr>
      <w:r>
        <w:t>Word prepends the binary form of the saltValue attribute and not the base64 string representation when hashing.</w:t>
      </w:r>
    </w:p>
    <w:p w:rsidR="00024C0A" w:rsidRDefault="00694C0F">
      <w:pPr>
        <w:pStyle w:val="Definition-Field"/>
      </w:pPr>
      <w:r>
        <w:t xml:space="preserve">f.   </w:t>
      </w:r>
      <w:r>
        <w:rPr>
          <w:i/>
        </w:rPr>
        <w:t>The standard states that th</w:t>
      </w:r>
      <w:r>
        <w:rPr>
          <w:i/>
        </w:rPr>
        <w:t>is setting uses a specific set of attributes, specified by the AG_Password attribute group, to store the password hash.</w:t>
      </w:r>
    </w:p>
    <w:p w:rsidR="00024C0A" w:rsidRDefault="00694C0F">
      <w:r>
        <w:t>In Office, when the HKCU/Software/Microsoft/Office/&lt;VERSION&gt;/Common/Security/UseIsoPasswordVerifier registry key is set to 1, the XML fo</w:t>
      </w:r>
      <w:r>
        <w:t>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Name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algorithm Name</w:t>
            </w:r>
          </w:p>
        </w:tc>
        <w:tc>
          <w:tcPr>
            <w:tcW w:w="0" w:type="auto"/>
            <w:vAlign w:val="center"/>
          </w:tcPr>
          <w:p w:rsidR="00024C0A" w:rsidRDefault="00694C0F">
            <w:pPr>
              <w:pStyle w:val="TableBodyText"/>
            </w:pPr>
            <w:r>
              <w:t>The name of the cryptographic hashing algorithm used to generate the hash value. Only those algorithms that are installed in the operati</w:t>
            </w:r>
            <w:r>
              <w:t>ng system’s cryptographic subsystem can be utilized by Office.</w:t>
            </w:r>
          </w:p>
          <w:p w:rsidR="00024C0A" w:rsidRDefault="00024C0A">
            <w:pPr>
              <w:pStyle w:val="TableBodyText"/>
            </w:pPr>
          </w:p>
          <w:p w:rsidR="00024C0A" w:rsidRDefault="00694C0F">
            <w:pPr>
              <w:pStyle w:val="TableBodyText"/>
            </w:pPr>
            <w:r>
              <w:t>The following hash algorithm names are reserved:</w:t>
            </w:r>
          </w:p>
          <w:p w:rsidR="00024C0A" w:rsidRDefault="00024C0A">
            <w:pPr>
              <w:pStyle w:val="TableBodyText"/>
            </w:pPr>
          </w:p>
          <w:p w:rsidR="00024C0A" w:rsidRDefault="00694C0F">
            <w:pPr>
              <w:pStyle w:val="TableBodyText"/>
            </w:pPr>
            <w:r>
              <w:rPr>
                <w:b/>
                <w:i/>
              </w:rPr>
              <w:t xml:space="preserve">MD2 </w:t>
            </w:r>
          </w:p>
          <w:p w:rsidR="00024C0A" w:rsidRDefault="00694C0F">
            <w:pPr>
              <w:pStyle w:val="TableBodyText"/>
            </w:pPr>
            <w:r>
              <w:rPr>
                <w:i/>
              </w:rPr>
              <w:t>Specifies that the MD2 algorithm, as defined by RFC 1319, shall be used.</w:t>
            </w:r>
          </w:p>
          <w:p w:rsidR="00024C0A" w:rsidRDefault="00024C0A">
            <w:pPr>
              <w:pStyle w:val="TableBodyText"/>
            </w:pPr>
          </w:p>
          <w:p w:rsidR="00024C0A" w:rsidRDefault="00694C0F">
            <w:pPr>
              <w:pStyle w:val="TableBodyText"/>
            </w:pPr>
            <w:r>
              <w:rPr>
                <w:i/>
              </w:rPr>
              <w:t>[Note: It is recommended that applications should avoid using t</w:t>
            </w:r>
            <w:r>
              <w:rPr>
                <w:i/>
              </w:rPr>
              <w:t>his algorithm to store new hash values, because of publicly known breaks. end note]</w:t>
            </w:r>
          </w:p>
          <w:p w:rsidR="00024C0A" w:rsidRDefault="00694C0F">
            <w:pPr>
              <w:pStyle w:val="TableBodyText"/>
            </w:pPr>
            <w:r>
              <w:rPr>
                <w:b/>
                <w:i/>
              </w:rPr>
              <w:t xml:space="preserve">MD4 </w:t>
            </w:r>
          </w:p>
          <w:p w:rsidR="00024C0A" w:rsidRDefault="00694C0F">
            <w:pPr>
              <w:pStyle w:val="TableBodyText"/>
            </w:pPr>
            <w:r>
              <w:rPr>
                <w:i/>
              </w:rPr>
              <w:t>Specifies that the MD4 algorithm, as defined by RFC 1320, shall be used.</w:t>
            </w:r>
          </w:p>
          <w:p w:rsidR="00024C0A" w:rsidRDefault="00024C0A">
            <w:pPr>
              <w:pStyle w:val="TableBodyText"/>
            </w:pPr>
          </w:p>
          <w:p w:rsidR="00024C0A" w:rsidRDefault="00694C0F">
            <w:pPr>
              <w:pStyle w:val="TableBodyText"/>
            </w:pPr>
            <w:r>
              <w:rPr>
                <w:i/>
              </w:rPr>
              <w:t xml:space="preserve">[Note: It is recommended that applications should avoid using this algorithm to store new </w:t>
            </w:r>
            <w:r>
              <w:rPr>
                <w:i/>
              </w:rPr>
              <w:t>hash values, because of publicly known breaks. end note]</w:t>
            </w:r>
          </w:p>
          <w:p w:rsidR="00024C0A" w:rsidRDefault="00694C0F">
            <w:pPr>
              <w:pStyle w:val="TableBodyText"/>
            </w:pPr>
            <w:r>
              <w:rPr>
                <w:b/>
                <w:i/>
              </w:rPr>
              <w:t>MD5</w:t>
            </w:r>
          </w:p>
          <w:p w:rsidR="00024C0A" w:rsidRDefault="00694C0F">
            <w:pPr>
              <w:pStyle w:val="TableBodyText"/>
            </w:pPr>
            <w:r>
              <w:rPr>
                <w:i/>
              </w:rPr>
              <w:t>Specifies that the MD5 algorithm, as defined by RFC 1321, shall be used.</w:t>
            </w:r>
          </w:p>
          <w:p w:rsidR="00024C0A" w:rsidRDefault="00024C0A">
            <w:pPr>
              <w:pStyle w:val="TableBodyText"/>
            </w:pPr>
          </w:p>
          <w:p w:rsidR="00024C0A" w:rsidRDefault="00694C0F">
            <w:pPr>
              <w:pStyle w:val="TableBodyText"/>
            </w:pPr>
            <w:r>
              <w:rPr>
                <w:i/>
              </w:rPr>
              <w:t>[Note: It is recommended that applications should avoid using this algorithm to store new hash values, because of publicl</w:t>
            </w:r>
            <w:r>
              <w:rPr>
                <w:i/>
              </w:rPr>
              <w:t>y known breaks. end note]</w:t>
            </w:r>
          </w:p>
          <w:p w:rsidR="00024C0A" w:rsidRDefault="00694C0F">
            <w:pPr>
              <w:pStyle w:val="TableBodyText"/>
            </w:pPr>
            <w:r>
              <w:rPr>
                <w:b/>
                <w:i/>
              </w:rPr>
              <w:t>RIPEMD-128</w:t>
            </w:r>
          </w:p>
          <w:p w:rsidR="00024C0A" w:rsidRDefault="00694C0F">
            <w:pPr>
              <w:pStyle w:val="TableBodyText"/>
            </w:pPr>
            <w:r>
              <w:rPr>
                <w:i/>
              </w:rPr>
              <w:t>Specifies that the RIPEMD-128 algorithm, as defined by ISO/IEC 10118-3:2004 shall be used.</w:t>
            </w:r>
          </w:p>
          <w:p w:rsidR="00024C0A" w:rsidRDefault="00024C0A">
            <w:pPr>
              <w:pStyle w:val="TableBodyText"/>
            </w:pPr>
          </w:p>
          <w:p w:rsidR="00024C0A" w:rsidRDefault="00694C0F">
            <w:pPr>
              <w:pStyle w:val="TableBodyText"/>
            </w:pPr>
            <w:r>
              <w:rPr>
                <w:i/>
              </w:rPr>
              <w:t>[Note: It is recommended that applications should avoid using this algorithm to store new hash values, because of publicly know</w:t>
            </w:r>
            <w:r>
              <w:rPr>
                <w:i/>
              </w:rPr>
              <w:t>n breaks. end note]</w:t>
            </w:r>
          </w:p>
          <w:p w:rsidR="00024C0A" w:rsidRDefault="00694C0F">
            <w:pPr>
              <w:pStyle w:val="TableBodyText"/>
            </w:pPr>
            <w:r>
              <w:rPr>
                <w:b/>
                <w:i/>
              </w:rPr>
              <w:t>RIPEMD-160</w:t>
            </w:r>
          </w:p>
          <w:p w:rsidR="00024C0A" w:rsidRDefault="00694C0F">
            <w:pPr>
              <w:pStyle w:val="TableBodyText"/>
            </w:pPr>
            <w:r>
              <w:rPr>
                <w:i/>
              </w:rPr>
              <w:t>Specifies that the RIPEMD-160 algorithm, as defined by ISO/IEC 10118-3:2004, shall be used.</w:t>
            </w:r>
          </w:p>
          <w:p w:rsidR="00024C0A" w:rsidRDefault="00694C0F">
            <w:pPr>
              <w:pStyle w:val="TableBodyText"/>
            </w:pPr>
            <w:r>
              <w:rPr>
                <w:b/>
                <w:i/>
              </w:rPr>
              <w:t>SHA-1</w:t>
            </w:r>
          </w:p>
          <w:p w:rsidR="00024C0A" w:rsidRDefault="00694C0F">
            <w:pPr>
              <w:pStyle w:val="TableBodyText"/>
            </w:pPr>
            <w:r>
              <w:rPr>
                <w:i/>
              </w:rPr>
              <w:t>Specifies that the SHA-1 algorithm, as defined by ISO/IEC 10118-3:2004, shall be used.</w:t>
            </w:r>
          </w:p>
          <w:p w:rsidR="00024C0A" w:rsidRDefault="00694C0F">
            <w:pPr>
              <w:pStyle w:val="TableBodyText"/>
            </w:pPr>
            <w:r>
              <w:rPr>
                <w:b/>
                <w:i/>
              </w:rPr>
              <w:t>SHA-256</w:t>
            </w:r>
          </w:p>
          <w:p w:rsidR="00024C0A" w:rsidRDefault="00694C0F">
            <w:pPr>
              <w:pStyle w:val="TableBodyText"/>
            </w:pPr>
            <w:r>
              <w:rPr>
                <w:i/>
              </w:rPr>
              <w:t>Specifies that the SHA-256 algor</w:t>
            </w:r>
            <w:r>
              <w:rPr>
                <w:i/>
              </w:rPr>
              <w:t>ithm, as defined by ISO/IEC 10118-3:2004, shall be used.</w:t>
            </w:r>
          </w:p>
          <w:p w:rsidR="00024C0A" w:rsidRDefault="00694C0F">
            <w:pPr>
              <w:pStyle w:val="TableBodyText"/>
            </w:pPr>
            <w:r>
              <w:rPr>
                <w:b/>
                <w:i/>
              </w:rPr>
              <w:t>SHA-384</w:t>
            </w:r>
          </w:p>
          <w:p w:rsidR="00024C0A" w:rsidRDefault="00694C0F">
            <w:pPr>
              <w:pStyle w:val="TableBodyText"/>
            </w:pPr>
            <w:r>
              <w:rPr>
                <w:i/>
              </w:rPr>
              <w:t>Specifies that the SHA-384 algorithm, as defined by ISO/IEC 10118-3:2004, shall be used.</w:t>
            </w:r>
          </w:p>
          <w:p w:rsidR="00024C0A" w:rsidRDefault="00694C0F">
            <w:pPr>
              <w:pStyle w:val="TableBodyText"/>
            </w:pPr>
            <w:r>
              <w:rPr>
                <w:b/>
                <w:i/>
              </w:rPr>
              <w:t>SHA-512</w:t>
            </w:r>
          </w:p>
          <w:p w:rsidR="00024C0A" w:rsidRDefault="00694C0F">
            <w:pPr>
              <w:pStyle w:val="TableBodyText"/>
            </w:pPr>
            <w:r>
              <w:rPr>
                <w:i/>
              </w:rPr>
              <w:t>Specifies that the SHA-512 algorithm, as defined by ISO/IEC 10118-3:2004, shall be used.</w:t>
            </w:r>
          </w:p>
          <w:p w:rsidR="00024C0A" w:rsidRDefault="00694C0F">
            <w:pPr>
              <w:pStyle w:val="TableBodyText"/>
            </w:pPr>
            <w:r>
              <w:rPr>
                <w:b/>
                <w:i/>
              </w:rPr>
              <w:lastRenderedPageBreak/>
              <w:t>WHIRL</w:t>
            </w:r>
            <w:r>
              <w:rPr>
                <w:b/>
                <w:i/>
              </w:rPr>
              <w:t>POOL</w:t>
            </w:r>
          </w:p>
          <w:p w:rsidR="00024C0A" w:rsidRDefault="00694C0F">
            <w:pPr>
              <w:pStyle w:val="TableBodyText"/>
            </w:pPr>
            <w:r>
              <w:rPr>
                <w:i/>
              </w:rPr>
              <w:t>Specifies that the WHIRLPOOL algorithm, as defined by ISO/IEC 10118-3:2004, shall be used.</w:t>
            </w:r>
          </w:p>
          <w:p w:rsidR="00024C0A" w:rsidRDefault="00024C0A">
            <w:pPr>
              <w:pStyle w:val="TableBodyText"/>
            </w:pPr>
          </w:p>
          <w:p w:rsidR="00024C0A" w:rsidRDefault="00024C0A">
            <w:pPr>
              <w:pStyle w:val="TableBodyText"/>
            </w:pPr>
          </w:p>
        </w:tc>
      </w:tr>
      <w:tr w:rsidR="00024C0A" w:rsidTr="00024C0A">
        <w:tc>
          <w:tcPr>
            <w:tcW w:w="0" w:type="auto"/>
            <w:vAlign w:val="center"/>
          </w:tcPr>
          <w:p w:rsidR="00024C0A" w:rsidRDefault="00694C0F">
            <w:pPr>
              <w:pStyle w:val="TableBodyText"/>
            </w:pPr>
            <w:r>
              <w:rPr>
                <w:b/>
              </w:rPr>
              <w:lastRenderedPageBreak/>
              <w:t>hash Value</w:t>
            </w:r>
          </w:p>
        </w:tc>
        <w:tc>
          <w:tcPr>
            <w:tcW w:w="0" w:type="auto"/>
            <w:vAlign w:val="center"/>
          </w:tcPr>
          <w:p w:rsidR="00024C0A" w:rsidRDefault="00694C0F">
            <w:pPr>
              <w:pStyle w:val="TableBodyText"/>
            </w:pPr>
            <w:r>
              <w:t xml:space="preserve">Specifies the hash value for the password required to edit this worksheet. This value shall be compared with the resulting hash value after </w:t>
            </w:r>
            <w:r>
              <w:t>hashing the user-supplied password using the algorithm specified by the preceding attributes and parent XML element. If the two values match, the protection shall no longer be enforced.</w:t>
            </w:r>
          </w:p>
          <w:p w:rsidR="00024C0A" w:rsidRDefault="00024C0A">
            <w:pPr>
              <w:pStyle w:val="TableBodyText"/>
            </w:pPr>
          </w:p>
          <w:p w:rsidR="00024C0A" w:rsidRDefault="00694C0F">
            <w:pPr>
              <w:pStyle w:val="TableBodyText"/>
            </w:pPr>
            <w:r>
              <w:t>If this value is omitted, then the reservationPassword attribute shal</w:t>
            </w:r>
            <w:r>
              <w:t>l contain the password hash for the workbook.</w:t>
            </w:r>
          </w:p>
          <w:p w:rsidR="00024C0A" w:rsidRDefault="00024C0A">
            <w:pPr>
              <w:pStyle w:val="TableBodyText"/>
            </w:pPr>
          </w:p>
          <w:p w:rsidR="00024C0A" w:rsidRDefault="00694C0F">
            <w:pPr>
              <w:pStyle w:val="TableBodyText"/>
            </w:pPr>
            <w:r>
              <w:t>[</w:t>
            </w:r>
            <w:r>
              <w:rPr>
                <w:i/>
              </w:rPr>
              <w:t>Example</w:t>
            </w:r>
            <w:r>
              <w:t>: Consider an Office Open XML document with the following information stored in one of its protection elements:</w:t>
            </w:r>
          </w:p>
          <w:p w:rsidR="00024C0A" w:rsidRDefault="00024C0A">
            <w:pPr>
              <w:pStyle w:val="TableBodyText"/>
            </w:pPr>
          </w:p>
          <w:p w:rsidR="00024C0A" w:rsidRDefault="00694C0F">
            <w:pPr>
              <w:pStyle w:val="TableBodyText"/>
            </w:pPr>
            <w:r>
              <w:t>&lt;… algorithmName="SHA-1" hashValue="9oN7nWkCAyEZib1RomSJTjmPpCY=" /&gt;</w:t>
            </w:r>
          </w:p>
          <w:p w:rsidR="00024C0A" w:rsidRDefault="00024C0A">
            <w:pPr>
              <w:pStyle w:val="TableBodyText"/>
            </w:pPr>
          </w:p>
          <w:p w:rsidR="00024C0A" w:rsidRDefault="00694C0F">
            <w:pPr>
              <w:pStyle w:val="TableBodyText"/>
            </w:pPr>
            <w:r>
              <w:t>The hashValue attr</w:t>
            </w:r>
            <w:r>
              <w:t>ibute value of 9oN7nWkCAyEZib1RomSJTjmPpCY= specifies that the user-supplied password must be hashed using the pre-processing defined by the parent element (if any) followed by the hashing algorithm (specified via the algorithmName attribute value) and tha</w:t>
            </w:r>
            <w:r>
              <w:t xml:space="preserve">t the resulting hash value must be match for the protection to be disabled. </w:t>
            </w:r>
          </w:p>
          <w:p w:rsidR="00024C0A" w:rsidRDefault="00694C0F">
            <w:pPr>
              <w:pStyle w:val="TableBodyText"/>
            </w:pPr>
            <w:r>
              <w:rPr>
                <w:i/>
              </w:rPr>
              <w:t>end example</w:t>
            </w:r>
            <w:r>
              <w:t>]</w:t>
            </w:r>
          </w:p>
          <w:p w:rsidR="00024C0A" w:rsidRDefault="00024C0A">
            <w:pPr>
              <w:pStyle w:val="TableBodyText"/>
            </w:pPr>
          </w:p>
          <w:p w:rsidR="00024C0A" w:rsidRDefault="00694C0F">
            <w:pPr>
              <w:pStyle w:val="TableBodyText"/>
            </w:pPr>
            <w:r>
              <w:t>The possible values for this attribute are defined by the W3C XML Schema base64Binary datatype.</w:t>
            </w:r>
          </w:p>
        </w:tc>
      </w:tr>
      <w:tr w:rsidR="00024C0A" w:rsidTr="00024C0A">
        <w:tc>
          <w:tcPr>
            <w:tcW w:w="0" w:type="auto"/>
            <w:vAlign w:val="center"/>
          </w:tcPr>
          <w:p w:rsidR="00024C0A" w:rsidRDefault="00694C0F">
            <w:pPr>
              <w:pStyle w:val="TableBodyText"/>
            </w:pPr>
            <w:r>
              <w:rPr>
                <w:b/>
              </w:rPr>
              <w:t>saltValue</w:t>
            </w:r>
          </w:p>
        </w:tc>
        <w:tc>
          <w:tcPr>
            <w:tcW w:w="0" w:type="auto"/>
            <w:vAlign w:val="center"/>
          </w:tcPr>
          <w:p w:rsidR="00024C0A" w:rsidRDefault="00694C0F">
            <w:pPr>
              <w:pStyle w:val="TableBodyText"/>
            </w:pPr>
            <w:r>
              <w:t>Specifies the random bytes that are pre-pended to the user</w:t>
            </w:r>
            <w:r>
              <w:t>-supplied password before it was hashed by the hashing algorithm.</w:t>
            </w:r>
          </w:p>
        </w:tc>
      </w:tr>
      <w:tr w:rsidR="00024C0A" w:rsidTr="00024C0A">
        <w:tc>
          <w:tcPr>
            <w:tcW w:w="0" w:type="auto"/>
            <w:vAlign w:val="center"/>
          </w:tcPr>
          <w:p w:rsidR="00024C0A" w:rsidRDefault="00694C0F">
            <w:pPr>
              <w:pStyle w:val="TableBodyText"/>
            </w:pPr>
            <w:r>
              <w:rPr>
                <w:b/>
              </w:rPr>
              <w:t>spinCount</w:t>
            </w:r>
          </w:p>
        </w:tc>
        <w:tc>
          <w:tcPr>
            <w:tcW w:w="0" w:type="auto"/>
            <w:vAlign w:val="center"/>
          </w:tcPr>
          <w:p w:rsidR="00024C0A" w:rsidRDefault="00694C0F">
            <w:pPr>
              <w:pStyle w:val="TableBodyText"/>
            </w:pPr>
            <w:r>
              <w:t>Specifies the number of times the hashing function shall be iteratively run (using each iteration's result as the input for the next iteration).</w:t>
            </w:r>
          </w:p>
        </w:tc>
      </w:tr>
    </w:tbl>
    <w:p w:rsidR="00024C0A" w:rsidRDefault="00024C0A"/>
    <w:p w:rsidR="00024C0A" w:rsidRDefault="00694C0F">
      <w:r>
        <w:t>[</w:t>
      </w:r>
      <w:r>
        <w:rPr>
          <w:i/>
        </w:rPr>
        <w:t>Example</w:t>
      </w:r>
      <w:r>
        <w:t xml:space="preserve">: </w:t>
      </w:r>
    </w:p>
    <w:p w:rsidR="00024C0A" w:rsidRDefault="00694C0F">
      <w:r>
        <w:t xml:space="preserve">Consider an Office </w:t>
      </w:r>
      <w:r>
        <w:t>Open XML document with the following information stored in one of its protection elements:</w:t>
      </w:r>
    </w:p>
    <w:p w:rsidR="00024C0A" w:rsidRDefault="00694C0F">
      <w:r>
        <w:t>&lt; … algorithmName="SHA-1" hashValue="9oN7nWkCAyEZib1RomSJTjmPpCY=" /&gt;</w:t>
      </w:r>
    </w:p>
    <w:p w:rsidR="00024C0A" w:rsidRDefault="00694C0F">
      <w:r>
        <w:t>The algorithmName attribute value of SHA-1 specifies that the SHA-1 hashing algorithm must be u</w:t>
      </w:r>
      <w:r>
        <w:t>sed to generate a hash from the user-defined password.</w:t>
      </w:r>
    </w:p>
    <w:p w:rsidR="00024C0A" w:rsidRDefault="00694C0F">
      <w:r>
        <w:rPr>
          <w:i/>
        </w:rPr>
        <w:t>end example</w:t>
      </w:r>
      <w:r>
        <w:t>]</w:t>
      </w:r>
    </w:p>
    <w:p w:rsidR="00024C0A" w:rsidRDefault="00694C0F">
      <w:pPr>
        <w:pStyle w:val="Heading3"/>
      </w:pPr>
      <w:bookmarkStart w:id="821" w:name="section_db557c47a6d844cba1d1e00b81720be2"/>
      <w:bookmarkStart w:id="822" w:name="_Toc12260471"/>
      <w:r>
        <w:t>Part 1 Section 17.15.1.31, docVar (Single Document Variable)</w:t>
      </w:r>
      <w:bookmarkEnd w:id="821"/>
      <w:bookmarkEnd w:id="822"/>
      <w:r>
        <w:fldChar w:fldCharType="begin"/>
      </w:r>
      <w:r>
        <w:instrText xml:space="preserve"> XE "docVar (Single Document Variable)" </w:instrText>
      </w:r>
      <w:r>
        <w:fldChar w:fldCharType="end"/>
      </w:r>
    </w:p>
    <w:p w:rsidR="00024C0A" w:rsidRDefault="00694C0F">
      <w:pPr>
        <w:pStyle w:val="Definition-Field"/>
      </w:pPr>
      <w:r>
        <w:t xml:space="preserve">a.   </w:t>
      </w:r>
      <w:r>
        <w:rPr>
          <w:i/>
        </w:rPr>
        <w:t>The standard does not limit the length of the value of the name attribute.</w:t>
      </w:r>
    </w:p>
    <w:p w:rsidR="00024C0A" w:rsidRDefault="00694C0F">
      <w:pPr>
        <w:pStyle w:val="Definition-Field2"/>
      </w:pPr>
      <w:r>
        <w:t xml:space="preserve">Word </w:t>
      </w:r>
      <w:r>
        <w:t>restricts the value of this attribute to be at least 1 and at most 255 characters.</w:t>
      </w:r>
    </w:p>
    <w:p w:rsidR="00024C0A" w:rsidRDefault="00694C0F">
      <w:pPr>
        <w:pStyle w:val="Definition-Field"/>
      </w:pPr>
      <w:r>
        <w:t xml:space="preserve">b.   </w:t>
      </w:r>
      <w:r>
        <w:rPr>
          <w:i/>
        </w:rPr>
        <w:t>The standard does not limit the length of the value of the val attribute.</w:t>
      </w:r>
    </w:p>
    <w:p w:rsidR="00024C0A" w:rsidRDefault="00694C0F">
      <w:pPr>
        <w:pStyle w:val="Definition-Field2"/>
      </w:pPr>
      <w:r>
        <w:t>Word restricts the value of this attribute to be at most 65280 characters.</w:t>
      </w:r>
    </w:p>
    <w:p w:rsidR="00024C0A" w:rsidRDefault="00694C0F">
      <w:pPr>
        <w:pStyle w:val="Heading3"/>
      </w:pPr>
      <w:bookmarkStart w:id="823" w:name="section_54ee14414d034f27a278fdc84825d1a4"/>
      <w:bookmarkStart w:id="824" w:name="_Toc12260472"/>
      <w:r>
        <w:lastRenderedPageBreak/>
        <w:t>Part 1 Section 17.1</w:t>
      </w:r>
      <w:r>
        <w:t>5.1.42, doNotUseMarginsForDrawingGridOrigin (Do Not Use Margins for Drawing Grid Origin)</w:t>
      </w:r>
      <w:bookmarkEnd w:id="823"/>
      <w:bookmarkEnd w:id="824"/>
      <w:r>
        <w:fldChar w:fldCharType="begin"/>
      </w:r>
      <w:r>
        <w:instrText xml:space="preserve"> XE "doNotUseMarginsForDrawingGridOrigin (Do Not Use Margins for Drawing Grid Origin)" </w:instrText>
      </w:r>
      <w:r>
        <w:fldChar w:fldCharType="end"/>
      </w:r>
    </w:p>
    <w:p w:rsidR="00024C0A" w:rsidRDefault="00694C0F">
      <w:pPr>
        <w:pStyle w:val="Definition-Field"/>
      </w:pPr>
      <w:r>
        <w:t xml:space="preserve">a.   </w:t>
      </w:r>
      <w:r>
        <w:rPr>
          <w:i/>
        </w:rPr>
        <w:t xml:space="preserve">The standard contradicts itself with regard to the meaning of this </w:t>
      </w:r>
      <w:r>
        <w:rPr>
          <w:i/>
        </w:rPr>
        <w:t>element.</w:t>
      </w:r>
    </w:p>
    <w:p w:rsidR="00024C0A" w:rsidRDefault="00694C0F">
      <w:pPr>
        <w:pStyle w:val="Definition-Field2"/>
      </w:pPr>
      <w:r>
        <w:t>Word uses the top-left corner of the page as the origin for the drawing grid when this element is present (instead of the margins).</w:t>
      </w:r>
    </w:p>
    <w:p w:rsidR="00024C0A" w:rsidRDefault="00694C0F">
      <w:pPr>
        <w:pStyle w:val="Heading3"/>
      </w:pPr>
      <w:bookmarkStart w:id="825" w:name="section_8fb48b7d2afc4228bcebccf65ace2627"/>
      <w:bookmarkStart w:id="826" w:name="_Toc12260473"/>
      <w:r>
        <w:t>Part 1 Section 17.15.1.44, drawingGridHorizontalOrigin (Drawing Grid Horizontal Origin Point)</w:t>
      </w:r>
      <w:bookmarkEnd w:id="825"/>
      <w:bookmarkEnd w:id="826"/>
      <w:r>
        <w:fldChar w:fldCharType="begin"/>
      </w:r>
      <w:r>
        <w:instrText xml:space="preserve"> XE "drawingGridHorizo</w:instrText>
      </w:r>
      <w:r>
        <w:instrText xml:space="preserve">ntalOrigin (Drawing Grid Horizontal Origin Point)" </w:instrText>
      </w:r>
      <w:r>
        <w:fldChar w:fldCharType="end"/>
      </w:r>
    </w:p>
    <w:p w:rsidR="00024C0A" w:rsidRDefault="00694C0F">
      <w:pPr>
        <w:pStyle w:val="Definition-Field"/>
      </w:pPr>
      <w:r>
        <w:t xml:space="preserve">a.   </w:t>
      </w:r>
      <w:r>
        <w:rPr>
          <w:i/>
        </w:rPr>
        <w:t>The standard states that this element as specifying the distance from the origin used for horizontal gridlines.</w:t>
      </w:r>
    </w:p>
    <w:p w:rsidR="00024C0A" w:rsidRDefault="00694C0F">
      <w:pPr>
        <w:pStyle w:val="Definition-Field2"/>
      </w:pPr>
      <w:r>
        <w:t>Word interprets this element as the distance from the origin used for vertical gridli</w:t>
      </w:r>
      <w:r>
        <w:t>nes.</w:t>
      </w:r>
    </w:p>
    <w:p w:rsidR="00024C0A" w:rsidRDefault="00694C0F">
      <w:pPr>
        <w:pStyle w:val="Heading3"/>
      </w:pPr>
      <w:bookmarkStart w:id="827" w:name="section_6f3978f5d2b14c05852f0a7002cb7e48"/>
      <w:bookmarkStart w:id="828" w:name="_Toc12260474"/>
      <w:r>
        <w:t>Part 1 Section 17.15.1.46, drawingGridVerticalOrigin (Drawing Grid Vertical Origin Point)</w:t>
      </w:r>
      <w:bookmarkEnd w:id="827"/>
      <w:bookmarkEnd w:id="828"/>
      <w:r>
        <w:fldChar w:fldCharType="begin"/>
      </w:r>
      <w:r>
        <w:instrText xml:space="preserve"> XE "drawingGridVerticalOrigin (Drawing Grid Vertical Origin Point)" </w:instrText>
      </w:r>
      <w:r>
        <w:fldChar w:fldCharType="end"/>
      </w:r>
    </w:p>
    <w:p w:rsidR="00024C0A" w:rsidRDefault="00694C0F">
      <w:pPr>
        <w:pStyle w:val="Definition-Field"/>
      </w:pPr>
      <w:r>
        <w:t xml:space="preserve">a.   </w:t>
      </w:r>
      <w:r>
        <w:rPr>
          <w:i/>
        </w:rPr>
        <w:t>The standard states that this element specifies the distance from the origin used for</w:t>
      </w:r>
      <w:r>
        <w:rPr>
          <w:i/>
        </w:rPr>
        <w:t xml:space="preserve"> vertical gridlines.</w:t>
      </w:r>
    </w:p>
    <w:p w:rsidR="00024C0A" w:rsidRDefault="00694C0F">
      <w:pPr>
        <w:pStyle w:val="Definition-Field2"/>
      </w:pPr>
      <w:r>
        <w:t>Word interprets this element as the distance from the origin used for horizontal gridlines.</w:t>
      </w:r>
    </w:p>
    <w:p w:rsidR="00024C0A" w:rsidRDefault="00694C0F">
      <w:pPr>
        <w:pStyle w:val="Heading3"/>
      </w:pPr>
      <w:bookmarkStart w:id="829" w:name="section_678b19e3244248e8968a61d46a51d2e0"/>
      <w:bookmarkStart w:id="830" w:name="_Toc12260475"/>
      <w:r>
        <w:t>Part 1 Section 17.15.1.53, hyphenationZone (Hyphenation Zone)</w:t>
      </w:r>
      <w:bookmarkEnd w:id="829"/>
      <w:bookmarkEnd w:id="830"/>
      <w:r>
        <w:fldChar w:fldCharType="begin"/>
      </w:r>
      <w:r>
        <w:instrText xml:space="preserve"> XE "hyphenationZone (Hyphenation Zone)" </w:instrText>
      </w:r>
      <w:r>
        <w:fldChar w:fldCharType="end"/>
      </w:r>
    </w:p>
    <w:p w:rsidR="00024C0A" w:rsidRDefault="00694C0F">
      <w:pPr>
        <w:pStyle w:val="Definition-Field"/>
      </w:pPr>
      <w:r>
        <w:t xml:space="preserve">a.   </w:t>
      </w:r>
      <w:r>
        <w:rPr>
          <w:i/>
        </w:rPr>
        <w:t xml:space="preserve">The standard states that if this </w:t>
      </w:r>
      <w:r>
        <w:rPr>
          <w:i/>
        </w:rPr>
        <w:t>element is omitted, then a default hyphenation zone of 360 twentieths of a point (0.25") shall be applied.</w:t>
      </w:r>
    </w:p>
    <w:p w:rsidR="00024C0A" w:rsidRDefault="00694C0F">
      <w:pPr>
        <w:pStyle w:val="Definition-Field2"/>
      </w:pPr>
      <w:r>
        <w:t>Word assigns different default values for the hyphenation zone, based on the language of the running operating system.</w:t>
      </w:r>
    </w:p>
    <w:p w:rsidR="00024C0A" w:rsidRDefault="00694C0F">
      <w:pPr>
        <w:pStyle w:val="Heading3"/>
      </w:pPr>
      <w:bookmarkStart w:id="831" w:name="section_090d9b057d914871b6324ec1e7035e22"/>
      <w:bookmarkStart w:id="832" w:name="_Toc12260476"/>
      <w:r>
        <w:t>Part 1 Section 17.15.1.56, lis</w:t>
      </w:r>
      <w:r>
        <w:t>tSeparator (List Separator for Field Code Evaluation)</w:t>
      </w:r>
      <w:bookmarkEnd w:id="831"/>
      <w:bookmarkEnd w:id="832"/>
      <w:r>
        <w:fldChar w:fldCharType="begin"/>
      </w:r>
      <w:r>
        <w:instrText xml:space="preserve"> XE "listSeparator (List Separator for Field Code Evaluation)" </w:instrText>
      </w:r>
      <w:r>
        <w:fldChar w:fldCharType="end"/>
      </w:r>
    </w:p>
    <w:p w:rsidR="00024C0A" w:rsidRDefault="00694C0F">
      <w:pPr>
        <w:pStyle w:val="Definition-Field"/>
      </w:pPr>
      <w:r>
        <w:t xml:space="preserve">a.   </w:t>
      </w:r>
      <w:r>
        <w:rPr>
          <w:i/>
        </w:rPr>
        <w:t>The standard states that this element specifies the character that shall be interpreted as a list item separator.</w:t>
      </w:r>
    </w:p>
    <w:p w:rsidR="00024C0A" w:rsidRDefault="00694C0F">
      <w:pPr>
        <w:pStyle w:val="Definition-Field2"/>
      </w:pPr>
      <w:r>
        <w:t xml:space="preserve">Word ignores this </w:t>
      </w:r>
      <w:r>
        <w:t>element and its value and always reads the system locale settings to get the value of the list item separator.</w:t>
      </w:r>
    </w:p>
    <w:p w:rsidR="00024C0A" w:rsidRDefault="00694C0F">
      <w:pPr>
        <w:pStyle w:val="Heading3"/>
      </w:pPr>
      <w:bookmarkStart w:id="833" w:name="section_b86a56c0b34c41cb905ee041eb3d021f"/>
      <w:bookmarkStart w:id="834" w:name="_Toc12260477"/>
      <w:r>
        <w:t>Part 1 Section 17.15.1.58, noLineBreaksAfter (Custom Set of Characters Which Cannot End a Line)</w:t>
      </w:r>
      <w:bookmarkEnd w:id="833"/>
      <w:bookmarkEnd w:id="834"/>
      <w:r>
        <w:fldChar w:fldCharType="begin"/>
      </w:r>
      <w:r>
        <w:instrText xml:space="preserve"> XE "noLineBreaksAfter (Custom Set of Characters W</w:instrText>
      </w:r>
      <w:r>
        <w:instrText xml:space="preserve">hich Cannot End a Line)" </w:instrText>
      </w:r>
      <w:r>
        <w:fldChar w:fldCharType="end"/>
      </w:r>
    </w:p>
    <w:p w:rsidR="00024C0A" w:rsidRDefault="00694C0F">
      <w:pPr>
        <w:pStyle w:val="Definition-Field"/>
      </w:pPr>
      <w:r>
        <w:t xml:space="preserve">a.   </w:t>
      </w:r>
      <w:r>
        <w:rPr>
          <w:i/>
        </w:rPr>
        <w:t>The standard does not state how conflicts between this element and the strictFirstAndLastChars elements should be resolved.</w:t>
      </w:r>
    </w:p>
    <w:p w:rsidR="00024C0A" w:rsidRDefault="00694C0F">
      <w:pPr>
        <w:pStyle w:val="Definition-Field2"/>
      </w:pPr>
      <w:r>
        <w:t>Word ignores this element for Japanese text if the strictFirstAndLastChars element is specified.</w:t>
      </w:r>
    </w:p>
    <w:p w:rsidR="00024C0A" w:rsidRDefault="00694C0F">
      <w:pPr>
        <w:pStyle w:val="Definition-Field"/>
      </w:pPr>
      <w:r>
        <w:t>b.</w:t>
      </w:r>
      <w:r>
        <w:t xml:space="preserve">   </w:t>
      </w:r>
      <w:r>
        <w:rPr>
          <w:i/>
        </w:rPr>
        <w:t>The standard does not limit the length of the value of the val attribute.</w:t>
      </w:r>
    </w:p>
    <w:p w:rsidR="00024C0A" w:rsidRDefault="00694C0F">
      <w:pPr>
        <w:pStyle w:val="Definition-Field2"/>
      </w:pPr>
      <w:r>
        <w:t>Word restricts the value of this attribute to be at most 50 characters.</w:t>
      </w:r>
    </w:p>
    <w:p w:rsidR="00024C0A" w:rsidRDefault="00694C0F">
      <w:pPr>
        <w:pStyle w:val="Heading3"/>
      </w:pPr>
      <w:bookmarkStart w:id="835" w:name="section_e6744d01fb9b4f54bc2551359980589c"/>
      <w:bookmarkStart w:id="836" w:name="_Toc12260478"/>
      <w:r>
        <w:lastRenderedPageBreak/>
        <w:t>Part 1 Section 17.15.1.59, noLineBreaksBefore (Custom Set Of Characters Which Cannot Begin A Line)</w:t>
      </w:r>
      <w:bookmarkEnd w:id="835"/>
      <w:bookmarkEnd w:id="836"/>
      <w:r>
        <w:fldChar w:fldCharType="begin"/>
      </w:r>
      <w:r>
        <w:instrText xml:space="preserve"> XE "noLineBreaksBefore (Custom Set Of Characters Which Cannot Begin A Line)" </w:instrText>
      </w:r>
      <w:r>
        <w:fldChar w:fldCharType="end"/>
      </w:r>
    </w:p>
    <w:p w:rsidR="00024C0A" w:rsidRDefault="00694C0F">
      <w:pPr>
        <w:pStyle w:val="Definition-Field"/>
      </w:pPr>
      <w:r>
        <w:t xml:space="preserve">a.   </w:t>
      </w:r>
      <w:r>
        <w:rPr>
          <w:i/>
        </w:rPr>
        <w:t>The standard does not state how conflicts between this element and the strictFirstAndLastChars element should be resolved.</w:t>
      </w:r>
    </w:p>
    <w:p w:rsidR="00024C0A" w:rsidRDefault="00694C0F">
      <w:pPr>
        <w:pStyle w:val="Definition-Field2"/>
      </w:pPr>
      <w:r>
        <w:t>Word ignores this element when the strictFirstA</w:t>
      </w:r>
      <w:r>
        <w:t>ndLastChars element is also specified.</w:t>
      </w:r>
    </w:p>
    <w:p w:rsidR="00024C0A" w:rsidRDefault="00694C0F">
      <w:pPr>
        <w:pStyle w:val="Definition-Field"/>
      </w:pPr>
      <w:r>
        <w:t xml:space="preserve">b.   </w:t>
      </w:r>
      <w:r>
        <w:rPr>
          <w:i/>
        </w:rPr>
        <w:t>The standard does not limit the length of the value of the val attribute.</w:t>
      </w:r>
    </w:p>
    <w:p w:rsidR="00024C0A" w:rsidRDefault="00694C0F">
      <w:pPr>
        <w:pStyle w:val="Definition-Field2"/>
      </w:pPr>
      <w:r>
        <w:t>Word restricts the value of this attribute to be at most 100 characters.</w:t>
      </w:r>
    </w:p>
    <w:p w:rsidR="00024C0A" w:rsidRDefault="00694C0F">
      <w:pPr>
        <w:pStyle w:val="Heading3"/>
      </w:pPr>
      <w:bookmarkStart w:id="837" w:name="section_8802f662d621416eb4562b7843c90a3b"/>
      <w:bookmarkStart w:id="838" w:name="_Toc12260479"/>
      <w:r>
        <w:t>Part 1 Section 17.15.1.60, noPunctuationKerning (Never Kern Punct</w:t>
      </w:r>
      <w:r>
        <w:t>uation Characters)</w:t>
      </w:r>
      <w:bookmarkEnd w:id="837"/>
      <w:bookmarkEnd w:id="838"/>
      <w:r>
        <w:fldChar w:fldCharType="begin"/>
      </w:r>
      <w:r>
        <w:instrText xml:space="preserve"> XE "noPunctuationKerning (Never Kern Punctuation Characters)" </w:instrText>
      </w:r>
      <w:r>
        <w:fldChar w:fldCharType="end"/>
      </w:r>
    </w:p>
    <w:p w:rsidR="00024C0A" w:rsidRDefault="00694C0F">
      <w:pPr>
        <w:pStyle w:val="Definition-Field"/>
      </w:pPr>
      <w:r>
        <w:t xml:space="preserve">a.   </w:t>
      </w:r>
      <w:r>
        <w:rPr>
          <w:i/>
        </w:rPr>
        <w:t>The standard states that the default value of this element is false.</w:t>
      </w:r>
    </w:p>
    <w:p w:rsidR="00024C0A" w:rsidRDefault="00694C0F">
      <w:pPr>
        <w:pStyle w:val="Definition-Field2"/>
      </w:pPr>
      <w:r>
        <w:t>Word uses a default equal to true when the primary editing language is Korean.</w:t>
      </w:r>
    </w:p>
    <w:p w:rsidR="00024C0A" w:rsidRDefault="00694C0F">
      <w:pPr>
        <w:pStyle w:val="Definition-Field"/>
      </w:pPr>
      <w:r>
        <w:t xml:space="preserve">b.   </w:t>
      </w:r>
      <w:r>
        <w:rPr>
          <w:i/>
        </w:rPr>
        <w:t>The standard s</w:t>
      </w:r>
      <w:r>
        <w:rPr>
          <w:i/>
        </w:rPr>
        <w:t>tates here that when kerning is enabled, Latin text should be kerned. However, the kern element contains no such restriction.</w:t>
      </w:r>
    </w:p>
    <w:p w:rsidR="00024C0A" w:rsidRDefault="00694C0F">
      <w:pPr>
        <w:pStyle w:val="Definition-Field2"/>
      </w:pPr>
      <w:r>
        <w:t>Word kerns all characters when kerning is enabled.</w:t>
      </w:r>
    </w:p>
    <w:p w:rsidR="00024C0A" w:rsidRDefault="00694C0F">
      <w:pPr>
        <w:pStyle w:val="Heading3"/>
      </w:pPr>
      <w:bookmarkStart w:id="839" w:name="section_efb3ba595ce5401a8de162bf62a2d89d"/>
      <w:bookmarkStart w:id="840" w:name="_Toc12260480"/>
      <w:r>
        <w:t>Part 1 Section 17.15.1.62, printFractionalCharacterWidth (Print Fractional Char</w:t>
      </w:r>
      <w:r>
        <w:t>acter Widths)</w:t>
      </w:r>
      <w:bookmarkEnd w:id="839"/>
      <w:bookmarkEnd w:id="840"/>
      <w:r>
        <w:fldChar w:fldCharType="begin"/>
      </w:r>
      <w:r>
        <w:instrText xml:space="preserve"> XE "printFractionalCharacterWidth (Print Fractional Character Widths)" </w:instrText>
      </w:r>
      <w:r>
        <w:fldChar w:fldCharType="end"/>
      </w:r>
    </w:p>
    <w:p w:rsidR="00024C0A" w:rsidRDefault="00694C0F">
      <w:pPr>
        <w:pStyle w:val="Definition-Field"/>
      </w:pPr>
      <w:r>
        <w:t xml:space="preserve">a.   </w:t>
      </w:r>
      <w:r>
        <w:rPr>
          <w:i/>
        </w:rPr>
        <w:t>The standard does not state the default behavior when this element is omitted.</w:t>
      </w:r>
    </w:p>
    <w:p w:rsidR="00024C0A" w:rsidRDefault="00694C0F">
      <w:pPr>
        <w:pStyle w:val="Definition-Field2"/>
      </w:pPr>
      <w:r>
        <w:t>Word does not apply this property when this element is omitted.</w:t>
      </w:r>
    </w:p>
    <w:p w:rsidR="00024C0A" w:rsidRDefault="00694C0F">
      <w:pPr>
        <w:pStyle w:val="Definition-Field"/>
      </w:pPr>
      <w:r>
        <w:t xml:space="preserve">b.   </w:t>
      </w:r>
      <w:r>
        <w:rPr>
          <w:i/>
        </w:rPr>
        <w:t>The standard st</w:t>
      </w:r>
      <w:r>
        <w:rPr>
          <w:i/>
        </w:rPr>
        <w:t>ates that this setting specifies that the contents of this document shall be printed with fractional character widths.</w:t>
      </w:r>
    </w:p>
    <w:p w:rsidR="00024C0A" w:rsidRDefault="00694C0F">
      <w:pPr>
        <w:pStyle w:val="Definition-Field2"/>
      </w:pPr>
      <w:r>
        <w:t>Word ignores this property.</w:t>
      </w:r>
    </w:p>
    <w:p w:rsidR="00024C0A" w:rsidRDefault="00694C0F">
      <w:pPr>
        <w:pStyle w:val="Heading3"/>
      </w:pPr>
      <w:bookmarkStart w:id="841" w:name="section_9b0dce269f9e4536ba8337b34eb3f536"/>
      <w:bookmarkStart w:id="842" w:name="_Toc12260481"/>
      <w:r>
        <w:t>Part 1 Section 17.15.1.63, printPostScriptOverText (Print PostScript Codes With Document Text)</w:t>
      </w:r>
      <w:bookmarkEnd w:id="841"/>
      <w:bookmarkEnd w:id="842"/>
      <w:r>
        <w:fldChar w:fldCharType="begin"/>
      </w:r>
      <w:r>
        <w:instrText xml:space="preserve"> XE "printPostS</w:instrText>
      </w:r>
      <w:r>
        <w:instrText xml:space="preserve">criptOverText (Print PostScript Codes With Document Text)" </w:instrText>
      </w:r>
      <w:r>
        <w:fldChar w:fldCharType="end"/>
      </w:r>
    </w:p>
    <w:p w:rsidR="00024C0A" w:rsidRDefault="00694C0F">
      <w:pPr>
        <w:pStyle w:val="Definition-Field"/>
      </w:pPr>
      <w:r>
        <w:t xml:space="preserve">a.   </w:t>
      </w:r>
      <w:r>
        <w:rPr>
          <w:i/>
        </w:rPr>
        <w:t>The standard states that the PostScript codes specified in WordprocessingML documents containing PRINT fields shall be included in foreground (on the same Z-order as text) with the data pri</w:t>
      </w:r>
      <w:r>
        <w:rPr>
          <w:i/>
        </w:rPr>
        <w:t>nted in the contents of a given WordprocessingML document.</w:t>
      </w:r>
    </w:p>
    <w:p w:rsidR="00024C0A" w:rsidRDefault="00694C0F">
      <w:pPr>
        <w:pStyle w:val="Definition-Field2"/>
      </w:pPr>
      <w:r>
        <w:t>Word ignores this element.</w:t>
      </w:r>
    </w:p>
    <w:p w:rsidR="00024C0A" w:rsidRDefault="00694C0F">
      <w:pPr>
        <w:pStyle w:val="Heading3"/>
      </w:pPr>
      <w:bookmarkStart w:id="843" w:name="section_6138f7fcba1740f692cb8ed961619ebf"/>
      <w:bookmarkStart w:id="844" w:name="_Toc12260482"/>
      <w:r>
        <w:t>Part 1 Section 17.15.1.69, revisionView (Visibility of Annotation Types)</w:t>
      </w:r>
      <w:bookmarkEnd w:id="843"/>
      <w:bookmarkEnd w:id="844"/>
      <w:r>
        <w:fldChar w:fldCharType="begin"/>
      </w:r>
      <w:r>
        <w:instrText xml:space="preserve"> XE "revisionView (Visibility of Annotation Types)" </w:instrText>
      </w:r>
      <w:r>
        <w:fldChar w:fldCharType="end"/>
      </w:r>
    </w:p>
    <w:p w:rsidR="00024C0A" w:rsidRDefault="00694C0F">
      <w:pPr>
        <w:pStyle w:val="Definition-Field"/>
      </w:pPr>
      <w:r>
        <w:t xml:space="preserve">a.   </w:t>
      </w:r>
      <w:r>
        <w:rPr>
          <w:i/>
        </w:rPr>
        <w:t xml:space="preserve">The standard states that the markup </w:t>
      </w:r>
      <w:r>
        <w:rPr>
          <w:i/>
        </w:rPr>
        <w:t>attribute specifies whether the application shall visually indicate any additional non-printing area used to display annotations.</w:t>
      </w:r>
    </w:p>
    <w:p w:rsidR="00024C0A" w:rsidRDefault="00694C0F">
      <w:pPr>
        <w:pStyle w:val="Definition-Field2"/>
      </w:pPr>
      <w:r>
        <w:t>Word uses this attribute to specify whether any annotations should be displayed when the document is opened. If this attribute</w:t>
      </w:r>
      <w:r>
        <w:t xml:space="preserve"> is set to false, then no annotations are displayed, regardless of the state of the other attributes.</w:t>
      </w:r>
    </w:p>
    <w:p w:rsidR="00024C0A" w:rsidRDefault="00694C0F">
      <w:pPr>
        <w:pStyle w:val="Heading3"/>
      </w:pPr>
      <w:bookmarkStart w:id="845" w:name="section_9e7cca9a56a74c999e307aeedfa4c995"/>
      <w:bookmarkStart w:id="846" w:name="_Toc12260483"/>
      <w:r>
        <w:lastRenderedPageBreak/>
        <w:t>Part 1 Section 17.15.1.70, rsid (Single Session Revision Save ID)</w:t>
      </w:r>
      <w:bookmarkEnd w:id="845"/>
      <w:bookmarkEnd w:id="846"/>
      <w:r>
        <w:fldChar w:fldCharType="begin"/>
      </w:r>
      <w:r>
        <w:instrText xml:space="preserve"> XE "rsid (Single Session Revision Save ID)" </w:instrText>
      </w:r>
      <w:r>
        <w:fldChar w:fldCharType="end"/>
      </w:r>
    </w:p>
    <w:p w:rsidR="00024C0A" w:rsidRDefault="00694C0F">
      <w:pPr>
        <w:pStyle w:val="Definition-Field"/>
      </w:pPr>
      <w:r>
        <w:t xml:space="preserve">a.   </w:t>
      </w:r>
      <w:r>
        <w:rPr>
          <w:i/>
        </w:rPr>
        <w:t>The standard states that the rsid sh</w:t>
      </w:r>
      <w:r>
        <w:rPr>
          <w:i/>
        </w:rPr>
        <w:t>ould be randomly chosen and that every editing session shall be assigned an rsid that is larger than all earlier ones in the same file. If both are observed, the application would quickly run out of allowable rsid's.</w:t>
      </w:r>
    </w:p>
    <w:p w:rsidR="00024C0A" w:rsidRDefault="00694C0F">
      <w:pPr>
        <w:pStyle w:val="Definition-Field2"/>
      </w:pPr>
      <w:r>
        <w:t>Word generates a random number for ever</w:t>
      </w:r>
      <w:r>
        <w:t>y rsid that is not necessarily larger than all earlier ones in the same file.</w:t>
      </w:r>
    </w:p>
    <w:p w:rsidR="00024C0A" w:rsidRDefault="00694C0F">
      <w:pPr>
        <w:pStyle w:val="Heading3"/>
      </w:pPr>
      <w:bookmarkStart w:id="847" w:name="section_5530b6b16de7404188adf0c784df4781"/>
      <w:bookmarkStart w:id="848" w:name="_Toc12260484"/>
      <w:r>
        <w:t>Part 1 Section 17.15.1.74, saveInvalidXml (Allow Saving Document As XML File When Custom XML Markup Is Invalid)</w:t>
      </w:r>
      <w:bookmarkEnd w:id="847"/>
      <w:bookmarkEnd w:id="848"/>
      <w:r>
        <w:fldChar w:fldCharType="begin"/>
      </w:r>
      <w:r>
        <w:instrText xml:space="preserve"> XE "saveInvalidXml (Allow Saving Document As XML File When Custom </w:instrText>
      </w:r>
      <w:r>
        <w:instrText xml:space="preserve">XML Markup Is Invalid)" </w:instrText>
      </w:r>
      <w:r>
        <w:fldChar w:fldCharType="end"/>
      </w:r>
    </w:p>
    <w:p w:rsidR="00024C0A" w:rsidRDefault="00694C0F">
      <w:pPr>
        <w:pStyle w:val="Definition-Field"/>
      </w:pPr>
      <w:r>
        <w:t xml:space="preserve">a.   </w:t>
      </w:r>
      <w:r>
        <w:rPr>
          <w:i/>
        </w:rPr>
        <w:t>The standard states that if the doNotValidateAgainstSchema element is set, then the XML is never invalid and this property is ignored.</w:t>
      </w:r>
    </w:p>
    <w:p w:rsidR="00024C0A" w:rsidRDefault="00694C0F">
      <w:pPr>
        <w:pStyle w:val="Definition-Field2"/>
      </w:pPr>
      <w:r>
        <w:t>Word does not ignore this property when doNotValidateAgainstSchema element is set.</w:t>
      </w:r>
    </w:p>
    <w:p w:rsidR="00024C0A" w:rsidRDefault="00694C0F">
      <w:pPr>
        <w:pStyle w:val="Heading3"/>
      </w:pPr>
      <w:bookmarkStart w:id="849" w:name="section_4b47b239faff4088bad3808500ee9c0f"/>
      <w:bookmarkStart w:id="850" w:name="_Toc12260485"/>
      <w:r>
        <w:t>Part 1</w:t>
      </w:r>
      <w:r>
        <w:t xml:space="preserve"> Section 17.15.1.76, saveThroughXslt (Custom XSL Transform To Use When Saving As XML File)</w:t>
      </w:r>
      <w:bookmarkEnd w:id="849"/>
      <w:bookmarkEnd w:id="850"/>
      <w:r>
        <w:fldChar w:fldCharType="begin"/>
      </w:r>
      <w:r>
        <w:instrText xml:space="preserve"> XE "saveThroughXslt (Custom XSL Transform To Use When Saving As XML File)" </w:instrText>
      </w:r>
      <w:r>
        <w:fldChar w:fldCharType="end"/>
      </w:r>
    </w:p>
    <w:p w:rsidR="00024C0A" w:rsidRDefault="00694C0F">
      <w:pPr>
        <w:pStyle w:val="Definition-Field"/>
      </w:pPr>
      <w:r>
        <w:t xml:space="preserve">a.   </w:t>
      </w:r>
      <w:r>
        <w:rPr>
          <w:i/>
        </w:rPr>
        <w:t xml:space="preserve">The standard states that if both solutionID and id attributes are present, the id </w:t>
      </w:r>
      <w:r>
        <w:rPr>
          <w:i/>
        </w:rPr>
        <w:t>attribute is used if the solutionID attribute cannot be used successfully.</w:t>
      </w:r>
    </w:p>
    <w:p w:rsidR="00024C0A" w:rsidRDefault="00694C0F">
      <w:pPr>
        <w:pStyle w:val="Definition-Field2"/>
      </w:pPr>
      <w:r>
        <w:t>Word ignores the id attribute whenever this attribute is present, even if this information cannot be used successfully.</w:t>
      </w:r>
    </w:p>
    <w:p w:rsidR="00024C0A" w:rsidRDefault="00694C0F">
      <w:pPr>
        <w:pStyle w:val="Definition-Field"/>
      </w:pPr>
      <w:r>
        <w:t xml:space="preserve">b.   </w:t>
      </w:r>
      <w:r>
        <w:rPr>
          <w:i/>
        </w:rPr>
        <w:t>The standard does not state what shall occur when the so</w:t>
      </w:r>
      <w:r>
        <w:rPr>
          <w:i/>
        </w:rPr>
        <w:t>lutionID attribute cannot be recognized.</w:t>
      </w:r>
    </w:p>
    <w:p w:rsidR="00024C0A" w:rsidRDefault="00694C0F">
      <w:pPr>
        <w:pStyle w:val="Definition-Field2"/>
      </w:pPr>
      <w:r>
        <w:t>Word ignores the parent saveThroughXslt element if this attribute cannot be recognized.</w:t>
      </w:r>
    </w:p>
    <w:p w:rsidR="00024C0A" w:rsidRDefault="00694C0F">
      <w:pPr>
        <w:pStyle w:val="Heading3"/>
      </w:pPr>
      <w:bookmarkStart w:id="851" w:name="section_80f71dda5cee4b6b8c0a199fd8a8e206"/>
      <w:bookmarkStart w:id="852" w:name="_Toc12260486"/>
      <w:r>
        <w:t>Part 1 Section 17.15.1.80, showXMLTags (Show Visual Indicators for Custom XML Markup Start/End Locations)</w:t>
      </w:r>
      <w:bookmarkEnd w:id="851"/>
      <w:bookmarkEnd w:id="852"/>
      <w:r>
        <w:fldChar w:fldCharType="begin"/>
      </w:r>
      <w:r>
        <w:instrText xml:space="preserve"> XE "showXMLTags (Show</w:instrText>
      </w:r>
      <w:r>
        <w:instrText xml:space="preserve"> Visual Indicators for Custom XML Markup Start/End Locations)" </w:instrText>
      </w:r>
      <w:r>
        <w:fldChar w:fldCharType="end"/>
      </w:r>
    </w:p>
    <w:p w:rsidR="00024C0A" w:rsidRDefault="00694C0F">
      <w:pPr>
        <w:pStyle w:val="Definition-Field"/>
      </w:pPr>
      <w:r>
        <w:t xml:space="preserve">a.   </w:t>
      </w:r>
      <w:r>
        <w:rPr>
          <w:i/>
        </w:rPr>
        <w:t>The standard does not explicitly state that this element does not need to be roundtripped.</w:t>
      </w:r>
    </w:p>
    <w:p w:rsidR="00024C0A" w:rsidRDefault="00694C0F">
      <w:pPr>
        <w:pStyle w:val="Definition-Field2"/>
      </w:pPr>
      <w:r>
        <w:t>Word uses, but does not roundtrip, this element.</w:t>
      </w:r>
    </w:p>
    <w:p w:rsidR="00024C0A" w:rsidRDefault="00694C0F">
      <w:pPr>
        <w:pStyle w:val="Heading3"/>
      </w:pPr>
      <w:bookmarkStart w:id="853" w:name="section_c2dc42b5a40341a396fac6e15abbad03"/>
      <w:bookmarkStart w:id="854" w:name="_Toc12260487"/>
      <w:r>
        <w:t>Part 1 Section 17.15.1.81, smartTagType (Supp</w:t>
      </w:r>
      <w:r>
        <w:t>lementary Smart Tag Information)</w:t>
      </w:r>
      <w:bookmarkEnd w:id="853"/>
      <w:bookmarkEnd w:id="854"/>
      <w:r>
        <w:fldChar w:fldCharType="begin"/>
      </w:r>
      <w:r>
        <w:instrText xml:space="preserve"> XE "smartTagType (Supplementary Smart Tag Information)" </w:instrText>
      </w:r>
      <w:r>
        <w:fldChar w:fldCharType="end"/>
      </w:r>
    </w:p>
    <w:p w:rsidR="00024C0A" w:rsidRDefault="00694C0F">
      <w:pPr>
        <w:pStyle w:val="Definition-Field"/>
      </w:pPr>
      <w:r>
        <w:t xml:space="preserve">a.   </w:t>
      </w:r>
      <w:r>
        <w:rPr>
          <w:i/>
        </w:rPr>
        <w:t>The standard does explicitly state that this element can be ignored under certain conditions.</w:t>
      </w:r>
    </w:p>
    <w:p w:rsidR="00024C0A" w:rsidRDefault="00694C0F">
      <w:pPr>
        <w:pStyle w:val="Definition-Field2"/>
      </w:pPr>
      <w:r>
        <w:t>Word ignores this element if either the name or namespaceuri attr</w:t>
      </w:r>
      <w:r>
        <w:t>ibute is omitted, or the attributes do not identify a smart tag contained in the document.</w:t>
      </w:r>
    </w:p>
    <w:p w:rsidR="00024C0A" w:rsidRDefault="00694C0F">
      <w:pPr>
        <w:pStyle w:val="Definition-Field"/>
      </w:pPr>
      <w:r>
        <w:t xml:space="preserve">b.   </w:t>
      </w:r>
      <w:r>
        <w:rPr>
          <w:i/>
        </w:rPr>
        <w:t>The standard does not say that the url attribute can be ignored under certain conditions.</w:t>
      </w:r>
    </w:p>
    <w:p w:rsidR="00024C0A" w:rsidRDefault="00694C0F">
      <w:pPr>
        <w:pStyle w:val="Definition-Field2"/>
      </w:pPr>
      <w:r>
        <w:t>Word ignores this attribute when the application already has URL infor</w:t>
      </w:r>
      <w:r>
        <w:t>mation for this name/namespaceuri combination.</w:t>
      </w:r>
    </w:p>
    <w:p w:rsidR="00024C0A" w:rsidRDefault="00694C0F">
      <w:pPr>
        <w:pStyle w:val="Heading3"/>
      </w:pPr>
      <w:bookmarkStart w:id="855" w:name="section_4de15093b8f248faa66b08b9e11c112b"/>
      <w:bookmarkStart w:id="856" w:name="_Toc12260488"/>
      <w:r>
        <w:t>Part 1 Section 17.15.1.82, strictFirstAndLastChars (Use Strict Kinsoku Rules for Japanese Text)</w:t>
      </w:r>
      <w:bookmarkEnd w:id="855"/>
      <w:bookmarkEnd w:id="856"/>
      <w:r>
        <w:fldChar w:fldCharType="begin"/>
      </w:r>
      <w:r>
        <w:instrText xml:space="preserve"> XE "strictFirstAndLastChars (Use Strict Kinsoku Rules for Japanese Text)" </w:instrText>
      </w:r>
      <w:r>
        <w:fldChar w:fldCharType="end"/>
      </w:r>
    </w:p>
    <w:p w:rsidR="00024C0A" w:rsidRDefault="00694C0F">
      <w:pPr>
        <w:pStyle w:val="Definition-Field"/>
      </w:pPr>
      <w:r>
        <w:t xml:space="preserve">a.   </w:t>
      </w:r>
      <w:r>
        <w:rPr>
          <w:i/>
        </w:rPr>
        <w:t>The standard does not state how</w:t>
      </w:r>
      <w:r>
        <w:rPr>
          <w:i/>
        </w:rPr>
        <w:t xml:space="preserve"> to resolve conflicts between this element and the noLineBreaksBefore and noLineBreaksAfter elements when their settings conflict.</w:t>
      </w:r>
    </w:p>
    <w:p w:rsidR="00024C0A" w:rsidRDefault="00694C0F">
      <w:pPr>
        <w:pStyle w:val="Definition-Field2"/>
      </w:pPr>
      <w:r>
        <w:lastRenderedPageBreak/>
        <w:t>Word overrides the settings specified by the noLineBreaksBefore and noLineBreaksAfter elements with the settings from this el</w:t>
      </w:r>
      <w:r>
        <w:t>ement on Japanese text.</w:t>
      </w:r>
    </w:p>
    <w:p w:rsidR="00024C0A" w:rsidRDefault="00694C0F">
      <w:pPr>
        <w:pStyle w:val="Heading3"/>
      </w:pPr>
      <w:bookmarkStart w:id="857" w:name="section_6b4f3e2f281a412ca486c41b5f773b09"/>
      <w:bookmarkStart w:id="858" w:name="_Toc12260489"/>
      <w:r>
        <w:t>Part 1 Section 17.15.1.85, stylePaneFormatFilter (Suggested Filtering for List of Document Styles)</w:t>
      </w:r>
      <w:bookmarkEnd w:id="857"/>
      <w:bookmarkEnd w:id="858"/>
      <w:r>
        <w:fldChar w:fldCharType="begin"/>
      </w:r>
      <w:r>
        <w:instrText xml:space="preserve"> XE "stylePaneFormatFilter (Suggested Filtering for List of Document Styles)" </w:instrText>
      </w:r>
      <w:r>
        <w:fldChar w:fldCharType="end"/>
      </w:r>
    </w:p>
    <w:p w:rsidR="00024C0A" w:rsidRDefault="00694C0F">
      <w:pPr>
        <w:pStyle w:val="Definition-Field"/>
      </w:pPr>
      <w:r>
        <w:t xml:space="preserve">a.   </w:t>
      </w:r>
      <w:r>
        <w:rPr>
          <w:i/>
        </w:rPr>
        <w:t>The standard states that the default value of th</w:t>
      </w:r>
      <w:r>
        <w:rPr>
          <w:i/>
        </w:rPr>
        <w:t>is element is to have all settings defined turned off.</w:t>
      </w:r>
    </w:p>
    <w:p w:rsidR="00024C0A" w:rsidRDefault="00694C0F">
      <w:pPr>
        <w:pStyle w:val="Definition-Field2"/>
      </w:pPr>
      <w:r>
        <w:t>Word has the following settings turned on: visibleStyles, clearFormatting, headingStyles, and latentStyles.</w:t>
      </w:r>
    </w:p>
    <w:p w:rsidR="00024C0A" w:rsidRDefault="00694C0F">
      <w:pPr>
        <w:pStyle w:val="Definition-Field"/>
      </w:pPr>
      <w:r>
        <w:t xml:space="preserve">b.   </w:t>
      </w:r>
      <w:r>
        <w:rPr>
          <w:i/>
        </w:rPr>
        <w:t>The standard states the meaning for each setting.</w:t>
      </w:r>
    </w:p>
    <w:p w:rsidR="00024C0A" w:rsidRDefault="00694C0F">
      <w:pPr>
        <w:pStyle w:val="Definition-Field2"/>
      </w:pPr>
      <w:r>
        <w:t>Word does not support numberingStyles,</w:t>
      </w:r>
      <w:r>
        <w:t xml:space="preserve"> tableStyles, or directformattingOnTables.</w:t>
      </w:r>
    </w:p>
    <w:p w:rsidR="00024C0A" w:rsidRDefault="00694C0F">
      <w:pPr>
        <w:pStyle w:val="Definition-Field"/>
      </w:pPr>
      <w:r>
        <w:t xml:space="preserve">c.   </w:t>
      </w:r>
      <w:r>
        <w:rPr>
          <w:i/>
        </w:rPr>
        <w:t>The standard specifies a set of attributes on this element.</w:t>
      </w:r>
    </w:p>
    <w:p w:rsidR="00024C0A" w:rsidRDefault="00694C0F">
      <w:pPr>
        <w:pStyle w:val="Definition-Field2"/>
      </w:pPr>
      <w:r>
        <w:t>Word reads the val attribute specified in "</w:t>
      </w:r>
      <w:hyperlink r:id="rId99">
        <w:r>
          <w:rPr>
            <w:rStyle w:val="Hyperlink"/>
          </w:rPr>
          <w:t>[ISO/IEC-29500-4]</w:t>
        </w:r>
      </w:hyperlink>
      <w:r>
        <w:t xml:space="preserve"> §14.7.2.4; Additional</w:t>
      </w:r>
      <w:r>
        <w:t xml:space="preserve"> attribute for stylePaneFormatFilter element (Part 1, §17.15.1.85)" if, and only if, none of the attributes specified in this subsection are present.</w:t>
      </w:r>
    </w:p>
    <w:p w:rsidR="00024C0A" w:rsidRDefault="00694C0F">
      <w:pPr>
        <w:pStyle w:val="Heading3"/>
      </w:pPr>
      <w:bookmarkStart w:id="859" w:name="section_31d623a4868e43a3abca577849f3ca54"/>
      <w:bookmarkStart w:id="860" w:name="_Toc12260490"/>
      <w:r>
        <w:t>Part 1 Section 17.15.1.87, summaryLength (Percentage of Document to Use When Generating Summary)</w:t>
      </w:r>
      <w:bookmarkEnd w:id="859"/>
      <w:bookmarkEnd w:id="860"/>
      <w:r>
        <w:fldChar w:fldCharType="begin"/>
      </w:r>
      <w:r>
        <w:instrText xml:space="preserve"> XE "summa</w:instrText>
      </w:r>
      <w:r>
        <w:instrText xml:space="preserve">ryLength (Percentage of Document to Use When Generating Summary)" </w:instrText>
      </w:r>
      <w:r>
        <w:fldChar w:fldCharType="end"/>
      </w:r>
    </w:p>
    <w:p w:rsidR="00024C0A" w:rsidRDefault="00694C0F">
      <w:pPr>
        <w:pStyle w:val="Definition-Field"/>
      </w:pPr>
      <w:r>
        <w:t xml:space="preserve">a.   </w:t>
      </w:r>
      <w:r>
        <w:rPr>
          <w:i/>
        </w:rPr>
        <w:t>The standard does not explicitly state that the summaryLength element can be removed when a document is saved.</w:t>
      </w:r>
    </w:p>
    <w:p w:rsidR="00024C0A" w:rsidRDefault="00694C0F">
      <w:pPr>
        <w:pStyle w:val="Definition-Field2"/>
      </w:pPr>
      <w:r>
        <w:t>Word does not round trip this setting unless certain operations related</w:t>
      </w:r>
      <w:r>
        <w:t xml:space="preserve"> to automatic summaries are performed while the document is open.</w:t>
      </w:r>
    </w:p>
    <w:p w:rsidR="00024C0A" w:rsidRDefault="00694C0F">
      <w:pPr>
        <w:pStyle w:val="Definition-Field"/>
      </w:pPr>
      <w:r>
        <w:t xml:space="preserve">b.   </w:t>
      </w:r>
      <w:r>
        <w:rPr>
          <w:i/>
        </w:rPr>
        <w:t>The standard states that the values of the val attribute are defined by the XML Schema integer datatype.</w:t>
      </w:r>
    </w:p>
    <w:p w:rsidR="00024C0A" w:rsidRDefault="00694C0F">
      <w:pPr>
        <w:pStyle w:val="Definition-Field2"/>
      </w:pPr>
      <w:r>
        <w:t>Word restricts the value of this attribute to be at least 0 and at most 100.</w:t>
      </w:r>
    </w:p>
    <w:p w:rsidR="00024C0A" w:rsidRDefault="00694C0F">
      <w:pPr>
        <w:pStyle w:val="Heading3"/>
      </w:pPr>
      <w:bookmarkStart w:id="861" w:name="section_490387c4cef043bd9a2b526cc3cae961"/>
      <w:bookmarkStart w:id="862" w:name="_Toc12260491"/>
      <w:r>
        <w:t>Part 1 Section 17.15.1.88, themeFontLang (Theme Font Languages)</w:t>
      </w:r>
      <w:bookmarkEnd w:id="861"/>
      <w:bookmarkEnd w:id="862"/>
      <w:r>
        <w:fldChar w:fldCharType="begin"/>
      </w:r>
      <w:r>
        <w:instrText xml:space="preserve"> XE "themeFontLang (Theme Font Languages)"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40c5a8d11e3e43dca5b0f324ea36bac1">
        <w:r>
          <w:rPr>
            <w:rStyle w:val="Hyperlink"/>
          </w:rPr>
          <w:t>lang, §17.3.2.20(a)</w:t>
        </w:r>
      </w:hyperlink>
      <w:r>
        <w:rPr>
          <w:i/>
        </w:rPr>
        <w:t>.</w:t>
      </w:r>
    </w:p>
    <w:p w:rsidR="00024C0A" w:rsidRDefault="00694C0F">
      <w:pPr>
        <w:pStyle w:val="Definition-Field"/>
      </w:pPr>
      <w:r>
        <w:t xml:space="preserve">a.   </w:t>
      </w:r>
      <w:r>
        <w:rPr>
          <w:i/>
        </w:rPr>
        <w:t>The standard states that the default values of languages of the theme fonts are specified by the cs, ea, and latin elements in the Theme part.</w:t>
      </w:r>
    </w:p>
    <w:p w:rsidR="00024C0A" w:rsidRDefault="00694C0F">
      <w:pPr>
        <w:pStyle w:val="Definition-Field2"/>
      </w:pPr>
      <w:r>
        <w:t xml:space="preserve">Word calculates the default languages of the theme fonts based on the Office </w:t>
      </w:r>
      <w:r>
        <w:t>install language and the system installed keyboards.</w:t>
      </w:r>
    </w:p>
    <w:p w:rsidR="00024C0A" w:rsidRDefault="00694C0F">
      <w:pPr>
        <w:pStyle w:val="Heading3"/>
      </w:pPr>
      <w:bookmarkStart w:id="863" w:name="section_d8bc14c05eeb49c19ba78edf4c33976f"/>
      <w:bookmarkStart w:id="864" w:name="_Toc12260492"/>
      <w:r>
        <w:t>Part 1 Section 17.15.1.90, updateFields (Automatically Recalculate Fields on Open)</w:t>
      </w:r>
      <w:bookmarkEnd w:id="863"/>
      <w:bookmarkEnd w:id="864"/>
      <w:r>
        <w:fldChar w:fldCharType="begin"/>
      </w:r>
      <w:r>
        <w:instrText xml:space="preserve"> XE "updateFields (Automatically Recalculate Fields on Open)" </w:instrText>
      </w:r>
      <w:r>
        <w:fldChar w:fldCharType="end"/>
      </w:r>
    </w:p>
    <w:p w:rsidR="00024C0A" w:rsidRDefault="00694C0F">
      <w:pPr>
        <w:pStyle w:val="Definition-Field"/>
      </w:pPr>
      <w:r>
        <w:t xml:space="preserve">a.   </w:t>
      </w:r>
      <w:r>
        <w:rPr>
          <w:i/>
        </w:rPr>
        <w:t>The standard makes no explicit mention of the round</w:t>
      </w:r>
      <w:r>
        <w:rPr>
          <w:i/>
        </w:rPr>
        <w:t>tripping behavior of the updateFields element.</w:t>
      </w:r>
    </w:p>
    <w:p w:rsidR="00024C0A" w:rsidRDefault="00694C0F">
      <w:pPr>
        <w:pStyle w:val="Definition-Field2"/>
      </w:pPr>
      <w:r>
        <w:t>Word does not roundtrip the updateFields element in all circumstances.</w:t>
      </w:r>
    </w:p>
    <w:p w:rsidR="00024C0A" w:rsidRDefault="00694C0F">
      <w:pPr>
        <w:pStyle w:val="Heading3"/>
      </w:pPr>
      <w:bookmarkStart w:id="865" w:name="section_9a6fb0ecc0454d0bb29c8f94edddef13"/>
      <w:bookmarkStart w:id="866" w:name="_Toc12260493"/>
      <w:r>
        <w:lastRenderedPageBreak/>
        <w:t>Part 1 Section 17.15.1.92, view (Document View Setting)</w:t>
      </w:r>
      <w:bookmarkEnd w:id="865"/>
      <w:bookmarkEnd w:id="866"/>
      <w:r>
        <w:fldChar w:fldCharType="begin"/>
      </w:r>
      <w:r>
        <w:instrText xml:space="preserve"> XE "view (Document View Setting)" </w:instrText>
      </w:r>
      <w:r>
        <w:fldChar w:fldCharType="end"/>
      </w:r>
    </w:p>
    <w:p w:rsidR="00024C0A" w:rsidRDefault="00694C0F">
      <w:pPr>
        <w:pStyle w:val="Definition-Field"/>
      </w:pPr>
      <w:r>
        <w:t xml:space="preserve">a.   </w:t>
      </w:r>
      <w:r>
        <w:rPr>
          <w:i/>
        </w:rPr>
        <w:t>The standard states that the val attribu</w:t>
      </w:r>
      <w:r>
        <w:rPr>
          <w:i/>
        </w:rPr>
        <w:t>te value specifies the view which shall be used to render the contents of a WordprocessingML document.</w:t>
      </w:r>
    </w:p>
    <w:p w:rsidR="00024C0A" w:rsidRDefault="00694C0F">
      <w:pPr>
        <w:pStyle w:val="Definition-Field2"/>
      </w:pPr>
      <w:r>
        <w:t>Under certain conditions, Word treats a value of normal as unsupported when the document is loaded and reverted to a value of print.</w:t>
      </w:r>
    </w:p>
    <w:p w:rsidR="00024C0A" w:rsidRDefault="00694C0F">
      <w:pPr>
        <w:pStyle w:val="Heading3"/>
      </w:pPr>
      <w:bookmarkStart w:id="867" w:name="section_3a54031ff56e49cf8701a75401f3130d"/>
      <w:bookmarkStart w:id="868" w:name="_Toc12260494"/>
      <w:r>
        <w:t>Part 1 Section 17.15</w:t>
      </w:r>
      <w:r>
        <w:t>.1.93, writeProtection (Write Protection)</w:t>
      </w:r>
      <w:bookmarkEnd w:id="867"/>
      <w:bookmarkEnd w:id="868"/>
      <w:r>
        <w:fldChar w:fldCharType="begin"/>
      </w:r>
      <w:r>
        <w:instrText xml:space="preserve"> XE "writeProtection (Write Protection)"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e12d2773e2d045bfb1c2b8f0548e156d">
        <w:r>
          <w:rPr>
            <w:rStyle w:val="Hyperlink"/>
          </w:rPr>
          <w:t>documentProtection</w:t>
        </w:r>
        <w:r>
          <w:rPr>
            <w:rStyle w:val="Hyperlink"/>
          </w:rPr>
          <w:t>, §17.15.1.29(a, b,d, e)</w:t>
        </w:r>
      </w:hyperlink>
      <w:r>
        <w:rPr>
          <w:i/>
        </w:rPr>
        <w:t>.</w:t>
      </w:r>
    </w:p>
    <w:p w:rsidR="00024C0A" w:rsidRDefault="00694C0F">
      <w:pPr>
        <w:pStyle w:val="Definition-Field"/>
      </w:pPr>
      <w:r>
        <w:t xml:space="preserve">a.   </w:t>
      </w:r>
      <w:r>
        <w:rPr>
          <w:i/>
        </w:rPr>
        <w:t>The standard states that this setting is keyed off of a non-existent password attribute.</w:t>
      </w:r>
    </w:p>
    <w:p w:rsidR="00024C0A" w:rsidRDefault="00694C0F">
      <w:pPr>
        <w:pStyle w:val="Definition-Field2"/>
      </w:pPr>
      <w:r>
        <w:t>Word uses the AG_Password attribute group to determine whether to prompt for a password.</w:t>
      </w:r>
    </w:p>
    <w:p w:rsidR="00024C0A" w:rsidRDefault="00694C0F">
      <w:pPr>
        <w:pStyle w:val="Definition-Field"/>
      </w:pPr>
      <w:r>
        <w:t xml:space="preserve">b.   </w:t>
      </w:r>
      <w:r>
        <w:rPr>
          <w:i/>
        </w:rPr>
        <w:t>The standard states that this setting uses</w:t>
      </w:r>
      <w:r>
        <w:rPr>
          <w:i/>
        </w:rPr>
        <w:t xml:space="preserve"> a specific set of attributes, specified by the AG_Password attribute group, to store the password hash.</w:t>
      </w:r>
    </w:p>
    <w:p w:rsidR="00024C0A" w:rsidRDefault="00694C0F">
      <w:r>
        <w:t xml:space="preserve">In Office, when the HKCU/Software/Microsoft/Office/&lt;VERSION&gt;/Common/Security/UseIsoPasswordVerifier registry key is set to 1, the XML for file sharing </w:t>
      </w:r>
      <w:r>
        <w:t>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Name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algorithm Name</w:t>
            </w:r>
          </w:p>
        </w:tc>
        <w:tc>
          <w:tcPr>
            <w:tcW w:w="0" w:type="auto"/>
            <w:vAlign w:val="center"/>
          </w:tcPr>
          <w:p w:rsidR="00024C0A" w:rsidRDefault="00694C0F">
            <w:pPr>
              <w:pStyle w:val="TableBodyText"/>
            </w:pPr>
            <w:r>
              <w:t>The name of the cryptographic hashing algorithm used to generate the hash value. Only those algorithms that are installed in the operating system’s cry</w:t>
            </w:r>
            <w:r>
              <w:t>ptographic subsystem can be utilized by Office.</w:t>
            </w:r>
          </w:p>
          <w:p w:rsidR="00024C0A" w:rsidRDefault="00024C0A">
            <w:pPr>
              <w:pStyle w:val="TableBodyText"/>
            </w:pPr>
          </w:p>
          <w:p w:rsidR="00024C0A" w:rsidRDefault="00694C0F">
            <w:pPr>
              <w:pStyle w:val="TableBodyText"/>
            </w:pPr>
            <w:r>
              <w:t>The following hash algorithm names are reserved:</w:t>
            </w:r>
          </w:p>
          <w:p w:rsidR="00024C0A" w:rsidRDefault="00024C0A">
            <w:pPr>
              <w:pStyle w:val="TableBodyText"/>
            </w:pPr>
          </w:p>
          <w:p w:rsidR="00024C0A" w:rsidRDefault="00694C0F">
            <w:pPr>
              <w:pStyle w:val="TableBodyText"/>
            </w:pPr>
            <w:r>
              <w:rPr>
                <w:b/>
                <w:i/>
              </w:rPr>
              <w:t xml:space="preserve">MD2 </w:t>
            </w:r>
          </w:p>
          <w:p w:rsidR="00024C0A" w:rsidRDefault="00694C0F">
            <w:pPr>
              <w:pStyle w:val="TableBodyText"/>
            </w:pPr>
            <w:r>
              <w:rPr>
                <w:i/>
              </w:rPr>
              <w:t>Specifies that the MD2 algorithm, as defined by RFC 1319, shall be used.</w:t>
            </w:r>
          </w:p>
          <w:p w:rsidR="00024C0A" w:rsidRDefault="00024C0A">
            <w:pPr>
              <w:pStyle w:val="TableBodyText"/>
            </w:pPr>
          </w:p>
          <w:p w:rsidR="00024C0A" w:rsidRDefault="00694C0F">
            <w:pPr>
              <w:pStyle w:val="TableBodyText"/>
            </w:pPr>
            <w:r>
              <w:rPr>
                <w:i/>
              </w:rPr>
              <w:t xml:space="preserve">[Note: It is recommended that applications should avoid using this algorithm </w:t>
            </w:r>
            <w:r>
              <w:rPr>
                <w:i/>
              </w:rPr>
              <w:t>to store new hash values, because of publicly known breaks. end note]</w:t>
            </w:r>
          </w:p>
          <w:p w:rsidR="00024C0A" w:rsidRDefault="00694C0F">
            <w:pPr>
              <w:pStyle w:val="TableBodyText"/>
            </w:pPr>
            <w:r>
              <w:rPr>
                <w:b/>
                <w:i/>
              </w:rPr>
              <w:t xml:space="preserve">MD4 </w:t>
            </w:r>
          </w:p>
          <w:p w:rsidR="00024C0A" w:rsidRDefault="00694C0F">
            <w:pPr>
              <w:pStyle w:val="TableBodyText"/>
            </w:pPr>
            <w:r>
              <w:rPr>
                <w:i/>
              </w:rPr>
              <w:t>Specifies that the MD4 algorithm, as defined by RFC 1320, shall be used.</w:t>
            </w:r>
          </w:p>
          <w:p w:rsidR="00024C0A" w:rsidRDefault="00024C0A">
            <w:pPr>
              <w:pStyle w:val="TableBodyText"/>
            </w:pPr>
          </w:p>
          <w:p w:rsidR="00024C0A" w:rsidRDefault="00694C0F">
            <w:pPr>
              <w:pStyle w:val="TableBodyText"/>
            </w:pPr>
            <w:r>
              <w:rPr>
                <w:i/>
              </w:rPr>
              <w:t>[Note: It is recommended that applications should avoid using this algorithm to store new hash values, beca</w:t>
            </w:r>
            <w:r>
              <w:rPr>
                <w:i/>
              </w:rPr>
              <w:t>use of publicly known breaks. end note]</w:t>
            </w:r>
          </w:p>
          <w:p w:rsidR="00024C0A" w:rsidRDefault="00694C0F">
            <w:pPr>
              <w:pStyle w:val="TableBodyText"/>
            </w:pPr>
            <w:r>
              <w:rPr>
                <w:b/>
                <w:i/>
              </w:rPr>
              <w:t>MD5</w:t>
            </w:r>
          </w:p>
          <w:p w:rsidR="00024C0A" w:rsidRDefault="00694C0F">
            <w:pPr>
              <w:pStyle w:val="TableBodyText"/>
            </w:pPr>
            <w:r>
              <w:rPr>
                <w:i/>
              </w:rPr>
              <w:t>Specifies that the MD5 algorithm, as defined by RFC 1321, shall be used.</w:t>
            </w:r>
          </w:p>
          <w:p w:rsidR="00024C0A" w:rsidRDefault="00024C0A">
            <w:pPr>
              <w:pStyle w:val="TableBodyText"/>
            </w:pPr>
          </w:p>
          <w:p w:rsidR="00024C0A" w:rsidRDefault="00694C0F">
            <w:pPr>
              <w:pStyle w:val="TableBodyText"/>
            </w:pPr>
            <w:r>
              <w:rPr>
                <w:i/>
              </w:rPr>
              <w:t>[Note: It is recommended that applications should avoid using this algorithm to store new hash values, because of publicly known breaks. e</w:t>
            </w:r>
            <w:r>
              <w:rPr>
                <w:i/>
              </w:rPr>
              <w:t>nd note]</w:t>
            </w:r>
          </w:p>
          <w:p w:rsidR="00024C0A" w:rsidRDefault="00694C0F">
            <w:pPr>
              <w:pStyle w:val="TableBodyText"/>
            </w:pPr>
            <w:r>
              <w:rPr>
                <w:b/>
                <w:i/>
              </w:rPr>
              <w:t>RIPEMD-128</w:t>
            </w:r>
          </w:p>
          <w:p w:rsidR="00024C0A" w:rsidRDefault="00694C0F">
            <w:pPr>
              <w:pStyle w:val="TableBodyText"/>
            </w:pPr>
            <w:r>
              <w:rPr>
                <w:i/>
              </w:rPr>
              <w:t>Specifies that the RIPEMD-128 algorithm, as defined by ISO/IEC 10118-3:2004 shall be used.</w:t>
            </w:r>
          </w:p>
          <w:p w:rsidR="00024C0A" w:rsidRDefault="00024C0A">
            <w:pPr>
              <w:pStyle w:val="TableBodyText"/>
            </w:pPr>
          </w:p>
          <w:p w:rsidR="00024C0A" w:rsidRDefault="00694C0F">
            <w:pPr>
              <w:pStyle w:val="TableBodyText"/>
            </w:pPr>
            <w:r>
              <w:rPr>
                <w:i/>
              </w:rPr>
              <w:t>[Note: It is recommended that applications should avoid using this algorithm to store new hash values, because of publicly known breaks. end not</w:t>
            </w:r>
            <w:r>
              <w:rPr>
                <w:i/>
              </w:rPr>
              <w:t>e]</w:t>
            </w:r>
          </w:p>
          <w:p w:rsidR="00024C0A" w:rsidRDefault="00694C0F">
            <w:pPr>
              <w:pStyle w:val="TableBodyText"/>
            </w:pPr>
            <w:r>
              <w:rPr>
                <w:b/>
                <w:i/>
              </w:rPr>
              <w:t>RIPEMD-160</w:t>
            </w:r>
          </w:p>
          <w:p w:rsidR="00024C0A" w:rsidRDefault="00694C0F">
            <w:pPr>
              <w:pStyle w:val="TableBodyText"/>
            </w:pPr>
            <w:r>
              <w:rPr>
                <w:i/>
              </w:rPr>
              <w:t>Specifies that the RIPEMD-160 algorithm, as defined by ISO/IEC 10118-3:2004, shall be used.</w:t>
            </w:r>
          </w:p>
          <w:p w:rsidR="00024C0A" w:rsidRDefault="00694C0F">
            <w:pPr>
              <w:pStyle w:val="TableBodyText"/>
            </w:pPr>
            <w:r>
              <w:rPr>
                <w:b/>
                <w:i/>
              </w:rPr>
              <w:lastRenderedPageBreak/>
              <w:t>SHA-1</w:t>
            </w:r>
          </w:p>
          <w:p w:rsidR="00024C0A" w:rsidRDefault="00694C0F">
            <w:pPr>
              <w:pStyle w:val="TableBodyText"/>
            </w:pPr>
            <w:r>
              <w:rPr>
                <w:i/>
              </w:rPr>
              <w:t>Specifies that the SHA-1 algorithm, as defined by ISO/IEC 10118-3:2004, shall be used.</w:t>
            </w:r>
          </w:p>
          <w:p w:rsidR="00024C0A" w:rsidRDefault="00694C0F">
            <w:pPr>
              <w:pStyle w:val="TableBodyText"/>
            </w:pPr>
            <w:r>
              <w:rPr>
                <w:b/>
                <w:i/>
              </w:rPr>
              <w:t>SHA-256</w:t>
            </w:r>
          </w:p>
          <w:p w:rsidR="00024C0A" w:rsidRDefault="00694C0F">
            <w:pPr>
              <w:pStyle w:val="TableBodyText"/>
            </w:pPr>
            <w:r>
              <w:rPr>
                <w:i/>
              </w:rPr>
              <w:t xml:space="preserve">Specifies that the SHA-256 algorithm, as defined </w:t>
            </w:r>
            <w:r>
              <w:rPr>
                <w:i/>
              </w:rPr>
              <w:t>by ISO/IEC 10118-3:2004, shall be used.</w:t>
            </w:r>
          </w:p>
          <w:p w:rsidR="00024C0A" w:rsidRDefault="00694C0F">
            <w:pPr>
              <w:pStyle w:val="TableBodyText"/>
            </w:pPr>
            <w:r>
              <w:rPr>
                <w:b/>
                <w:i/>
              </w:rPr>
              <w:t>SHA-384</w:t>
            </w:r>
          </w:p>
          <w:p w:rsidR="00024C0A" w:rsidRDefault="00694C0F">
            <w:pPr>
              <w:pStyle w:val="TableBodyText"/>
            </w:pPr>
            <w:r>
              <w:rPr>
                <w:i/>
              </w:rPr>
              <w:t>Specifies that the SHA-384 algorithm, as defined by ISO/IEC 10118-3:2004, shall be used.</w:t>
            </w:r>
          </w:p>
          <w:p w:rsidR="00024C0A" w:rsidRDefault="00694C0F">
            <w:pPr>
              <w:pStyle w:val="TableBodyText"/>
            </w:pPr>
            <w:r>
              <w:rPr>
                <w:b/>
                <w:i/>
              </w:rPr>
              <w:t>SHA-512</w:t>
            </w:r>
          </w:p>
          <w:p w:rsidR="00024C0A" w:rsidRDefault="00694C0F">
            <w:pPr>
              <w:pStyle w:val="TableBodyText"/>
            </w:pPr>
            <w:r>
              <w:rPr>
                <w:i/>
              </w:rPr>
              <w:t>Specifies that the SHA-512 algorithm, as defined by ISO/IEC 10118-3:2004, shall be used.</w:t>
            </w:r>
          </w:p>
          <w:p w:rsidR="00024C0A" w:rsidRDefault="00694C0F">
            <w:pPr>
              <w:pStyle w:val="TableBodyText"/>
            </w:pPr>
            <w:r>
              <w:rPr>
                <w:b/>
                <w:i/>
              </w:rPr>
              <w:t>WHIRLPOOL</w:t>
            </w:r>
          </w:p>
          <w:p w:rsidR="00024C0A" w:rsidRDefault="00694C0F">
            <w:pPr>
              <w:pStyle w:val="TableBodyText"/>
            </w:pPr>
            <w:r>
              <w:rPr>
                <w:i/>
              </w:rPr>
              <w:t xml:space="preserve">Specifies </w:t>
            </w:r>
            <w:r>
              <w:rPr>
                <w:i/>
              </w:rPr>
              <w:t>that the WHIRLPOOL algorithm, as defined by ISO/IEC 10118-3:2004, shall be used.</w:t>
            </w:r>
          </w:p>
          <w:p w:rsidR="00024C0A" w:rsidRDefault="00024C0A">
            <w:pPr>
              <w:pStyle w:val="TableBodyText"/>
            </w:pPr>
          </w:p>
          <w:p w:rsidR="00024C0A" w:rsidRDefault="00024C0A">
            <w:pPr>
              <w:pStyle w:val="TableBodyText"/>
            </w:pPr>
          </w:p>
        </w:tc>
      </w:tr>
      <w:tr w:rsidR="00024C0A" w:rsidTr="00024C0A">
        <w:tc>
          <w:tcPr>
            <w:tcW w:w="0" w:type="auto"/>
            <w:vAlign w:val="center"/>
          </w:tcPr>
          <w:p w:rsidR="00024C0A" w:rsidRDefault="00694C0F">
            <w:pPr>
              <w:pStyle w:val="TableBodyText"/>
            </w:pPr>
            <w:r>
              <w:rPr>
                <w:b/>
              </w:rPr>
              <w:lastRenderedPageBreak/>
              <w:t>hash Value</w:t>
            </w:r>
          </w:p>
        </w:tc>
        <w:tc>
          <w:tcPr>
            <w:tcW w:w="0" w:type="auto"/>
            <w:vAlign w:val="center"/>
          </w:tcPr>
          <w:p w:rsidR="00024C0A" w:rsidRDefault="00694C0F">
            <w:pPr>
              <w:pStyle w:val="TableBodyText"/>
            </w:pPr>
            <w:r>
              <w:t>Specifies the hash value for the password required to edit this worksheet. This value shall be compared with the resulting hash value after hashing the user-supp</w:t>
            </w:r>
            <w:r>
              <w:t>lied password using the algorithm specified by the preceding attributes and parent XML element. If the two values match, the protection shall no longer be enforced.</w:t>
            </w:r>
          </w:p>
          <w:p w:rsidR="00024C0A" w:rsidRDefault="00024C0A">
            <w:pPr>
              <w:pStyle w:val="TableBodyText"/>
            </w:pPr>
          </w:p>
          <w:p w:rsidR="00024C0A" w:rsidRDefault="00694C0F">
            <w:pPr>
              <w:pStyle w:val="TableBodyText"/>
            </w:pPr>
            <w:r>
              <w:t>If this value is omitted, then the reservationPassword attribute shall contain the passwor</w:t>
            </w:r>
            <w:r>
              <w:t>d hash for the workbook.</w:t>
            </w:r>
          </w:p>
          <w:p w:rsidR="00024C0A" w:rsidRDefault="00024C0A">
            <w:pPr>
              <w:pStyle w:val="TableBodyText"/>
            </w:pPr>
          </w:p>
          <w:p w:rsidR="00024C0A" w:rsidRDefault="00694C0F">
            <w:pPr>
              <w:pStyle w:val="TableBodyText"/>
            </w:pPr>
            <w:r>
              <w:t>[</w:t>
            </w:r>
            <w:r>
              <w:rPr>
                <w:i/>
              </w:rPr>
              <w:t>Example</w:t>
            </w:r>
            <w:r>
              <w:t>: Consider an Office Open XML document with the following information stored in one of its protection elements:</w:t>
            </w:r>
          </w:p>
          <w:p w:rsidR="00024C0A" w:rsidRDefault="00024C0A">
            <w:pPr>
              <w:pStyle w:val="TableBodyText"/>
            </w:pPr>
          </w:p>
          <w:p w:rsidR="00024C0A" w:rsidRDefault="00694C0F">
            <w:pPr>
              <w:pStyle w:val="TableBodyText"/>
            </w:pPr>
            <w:r>
              <w:t>&lt;… algorithmName="SHA-1" hashValue="9oN7nWkCAyEZib1RomSJTjmPpCY=" /&gt;</w:t>
            </w:r>
          </w:p>
          <w:p w:rsidR="00024C0A" w:rsidRDefault="00024C0A">
            <w:pPr>
              <w:pStyle w:val="TableBodyText"/>
            </w:pPr>
          </w:p>
          <w:p w:rsidR="00024C0A" w:rsidRDefault="00694C0F">
            <w:pPr>
              <w:pStyle w:val="TableBodyText"/>
            </w:pPr>
            <w:r>
              <w:t>The hashValue attribute value of 9oN7nW</w:t>
            </w:r>
            <w:r>
              <w:t xml:space="preserve">kCAyEZib1RomSJTjmPpCY= specifies that the user-supplied password must be hashed using the pre-processing defined by the parent element (if any) followed by the hashing algorithm (specified via the algorithmName attribute value) and that the resulting hash </w:t>
            </w:r>
            <w:r>
              <w:t xml:space="preserve">value must be match for the protection to be disabled. </w:t>
            </w:r>
          </w:p>
          <w:p w:rsidR="00024C0A" w:rsidRDefault="00694C0F">
            <w:pPr>
              <w:pStyle w:val="TableBodyText"/>
            </w:pPr>
            <w:r>
              <w:rPr>
                <w:i/>
              </w:rPr>
              <w:t>end example</w:t>
            </w:r>
            <w:r>
              <w:t>]</w:t>
            </w:r>
          </w:p>
          <w:p w:rsidR="00024C0A" w:rsidRDefault="00024C0A">
            <w:pPr>
              <w:pStyle w:val="TableBodyText"/>
            </w:pPr>
          </w:p>
          <w:p w:rsidR="00024C0A" w:rsidRDefault="00694C0F">
            <w:pPr>
              <w:pStyle w:val="TableBodyText"/>
            </w:pPr>
            <w:r>
              <w:t>The possible values for this attribute are defined by the W3C XML Schema base64Binary datatype.</w:t>
            </w:r>
          </w:p>
        </w:tc>
      </w:tr>
      <w:tr w:rsidR="00024C0A" w:rsidTr="00024C0A">
        <w:tc>
          <w:tcPr>
            <w:tcW w:w="0" w:type="auto"/>
            <w:vAlign w:val="center"/>
          </w:tcPr>
          <w:p w:rsidR="00024C0A" w:rsidRDefault="00694C0F">
            <w:pPr>
              <w:pStyle w:val="TableBodyText"/>
            </w:pPr>
            <w:r>
              <w:rPr>
                <w:b/>
              </w:rPr>
              <w:t>saltValue</w:t>
            </w:r>
          </w:p>
        </w:tc>
        <w:tc>
          <w:tcPr>
            <w:tcW w:w="0" w:type="auto"/>
            <w:vAlign w:val="center"/>
          </w:tcPr>
          <w:p w:rsidR="00024C0A" w:rsidRDefault="00694C0F">
            <w:pPr>
              <w:pStyle w:val="TableBodyText"/>
            </w:pPr>
            <w:r>
              <w:t>Specifies the random bytes that are pre-pended to the user-supplied password be</w:t>
            </w:r>
            <w:r>
              <w:t>fore it was hashed by the hashing algorithm.</w:t>
            </w:r>
          </w:p>
        </w:tc>
      </w:tr>
      <w:tr w:rsidR="00024C0A" w:rsidTr="00024C0A">
        <w:tc>
          <w:tcPr>
            <w:tcW w:w="0" w:type="auto"/>
            <w:vAlign w:val="center"/>
          </w:tcPr>
          <w:p w:rsidR="00024C0A" w:rsidRDefault="00694C0F">
            <w:pPr>
              <w:pStyle w:val="TableBodyText"/>
            </w:pPr>
            <w:r>
              <w:rPr>
                <w:b/>
              </w:rPr>
              <w:t>spinCount</w:t>
            </w:r>
          </w:p>
        </w:tc>
        <w:tc>
          <w:tcPr>
            <w:tcW w:w="0" w:type="auto"/>
            <w:vAlign w:val="center"/>
          </w:tcPr>
          <w:p w:rsidR="00024C0A" w:rsidRDefault="00694C0F">
            <w:pPr>
              <w:pStyle w:val="TableBodyText"/>
            </w:pPr>
            <w:r>
              <w:t>Specifies the number of times the hashing function shall be iteratively run (using each iteration's result as the input for the next iteration).</w:t>
            </w:r>
          </w:p>
        </w:tc>
      </w:tr>
    </w:tbl>
    <w:p w:rsidR="00024C0A" w:rsidRDefault="00024C0A"/>
    <w:p w:rsidR="00024C0A" w:rsidRDefault="00694C0F">
      <w:r>
        <w:t>[</w:t>
      </w:r>
      <w:r>
        <w:rPr>
          <w:i/>
        </w:rPr>
        <w:t>Example</w:t>
      </w:r>
      <w:r>
        <w:t xml:space="preserve">: </w:t>
      </w:r>
    </w:p>
    <w:p w:rsidR="00024C0A" w:rsidRDefault="00694C0F">
      <w:r>
        <w:t xml:space="preserve">Consider an Office Open XML document with </w:t>
      </w:r>
      <w:r>
        <w:t>the following information stored in one of its protection elements:</w:t>
      </w:r>
    </w:p>
    <w:p w:rsidR="00024C0A" w:rsidRDefault="00694C0F">
      <w:r>
        <w:t>&lt; … algorithmName="SHA-1" hashValue="9oN7nWkCAyEZib1RomSJTjmPpCY=" /&gt;</w:t>
      </w:r>
    </w:p>
    <w:p w:rsidR="00024C0A" w:rsidRDefault="00694C0F">
      <w:r>
        <w:t xml:space="preserve">The algorithmName attribute value of SHA-1 specifies that the SHA-1 hashing algorithm must be used to generate a hash </w:t>
      </w:r>
      <w:r>
        <w:t>from the user-defined password.</w:t>
      </w:r>
    </w:p>
    <w:p w:rsidR="00024C0A" w:rsidRDefault="00694C0F">
      <w:r>
        <w:rPr>
          <w:i/>
        </w:rPr>
        <w:t>end example</w:t>
      </w:r>
      <w:r>
        <w:t>]</w:t>
      </w:r>
    </w:p>
    <w:p w:rsidR="00024C0A" w:rsidRDefault="00694C0F">
      <w:pPr>
        <w:pStyle w:val="Definition-Field"/>
      </w:pPr>
      <w:r>
        <w:t xml:space="preserve">c.   </w:t>
      </w:r>
      <w:r>
        <w:rPr>
          <w:i/>
        </w:rPr>
        <w:t>The standard states that all attributes within AG_Password are optional</w:t>
      </w:r>
    </w:p>
    <w:p w:rsidR="00024C0A" w:rsidRDefault="00694C0F">
      <w:pPr>
        <w:pStyle w:val="Definition-Field2"/>
      </w:pPr>
      <w:r>
        <w:lastRenderedPageBreak/>
        <w:t>If any attribute specified by AG_Password is present, Word will require these attributes to be present: algorithmName, hashValue, spin</w:t>
      </w:r>
      <w:r>
        <w:t>Count. Otherwise, Word will not open the file.</w:t>
      </w:r>
    </w:p>
    <w:p w:rsidR="00024C0A" w:rsidRDefault="00694C0F">
      <w:pPr>
        <w:pStyle w:val="Heading3"/>
      </w:pPr>
      <w:bookmarkStart w:id="869" w:name="section_73d8d8a211eb4c28a37b6aef7041b24c"/>
      <w:bookmarkStart w:id="870" w:name="_Toc12260495"/>
      <w:r>
        <w:t>Part 1 Section 17.15.1.94, zoom (Magnification Setting)</w:t>
      </w:r>
      <w:bookmarkEnd w:id="869"/>
      <w:bookmarkEnd w:id="870"/>
      <w:r>
        <w:fldChar w:fldCharType="begin"/>
      </w:r>
      <w:r>
        <w:instrText xml:space="preserve"> XE "zoom (Magnification Setting)" </w:instrText>
      </w:r>
      <w:r>
        <w:fldChar w:fldCharType="end"/>
      </w:r>
    </w:p>
    <w:p w:rsidR="00024C0A" w:rsidRDefault="00694C0F">
      <w:pPr>
        <w:pStyle w:val="Definition-Field"/>
      </w:pPr>
      <w:r>
        <w:t xml:space="preserve">a.   </w:t>
      </w:r>
      <w:r>
        <w:rPr>
          <w:i/>
        </w:rPr>
        <w:t>The standard states that the percent attribute is required.</w:t>
      </w:r>
    </w:p>
    <w:p w:rsidR="00024C0A" w:rsidRDefault="00694C0F">
      <w:pPr>
        <w:pStyle w:val="Definition-Field2"/>
      </w:pPr>
      <w:r>
        <w:t>Word does not always require this attribute.</w:t>
      </w:r>
    </w:p>
    <w:p w:rsidR="00024C0A" w:rsidRDefault="00694C0F">
      <w:pPr>
        <w:pStyle w:val="Definition-Field"/>
      </w:pPr>
      <w:r>
        <w:t xml:space="preserve">b.   </w:t>
      </w:r>
      <w:r>
        <w:rPr>
          <w:i/>
        </w:rPr>
        <w:t>T</w:t>
      </w:r>
      <w:r>
        <w:rPr>
          <w:i/>
        </w:rPr>
        <w:t>he standard specifies that a percent attribute value of less than the minimum zoom level shall result in display of the document using the application's minimum zoom level.</w:t>
      </w:r>
    </w:p>
    <w:p w:rsidR="00024C0A" w:rsidRDefault="00694C0F">
      <w:pPr>
        <w:pStyle w:val="Definition-Field2"/>
      </w:pPr>
      <w:r>
        <w:t>Word treats this attribute as omitted when it has a value of 0.</w:t>
      </w:r>
    </w:p>
    <w:p w:rsidR="00024C0A" w:rsidRDefault="00694C0F">
      <w:pPr>
        <w:pStyle w:val="Definition-Field"/>
      </w:pPr>
      <w:r>
        <w:t xml:space="preserve">c.   </w:t>
      </w:r>
      <w:r>
        <w:rPr>
          <w:i/>
        </w:rPr>
        <w:t>The standard s</w:t>
      </w:r>
      <w:r>
        <w:rPr>
          <w:i/>
        </w:rPr>
        <w:t>tates that this element specifies the magnification level which should be applied to a document when it is displayed by an application.</w:t>
      </w:r>
    </w:p>
    <w:p w:rsidR="00024C0A" w:rsidRDefault="00694C0F">
      <w:pPr>
        <w:pStyle w:val="Definition-Field2"/>
      </w:pPr>
      <w:r>
        <w:t>Word 2013 ignores this element when reading a document.</w:t>
      </w:r>
    </w:p>
    <w:p w:rsidR="00024C0A" w:rsidRDefault="00694C0F">
      <w:pPr>
        <w:pStyle w:val="Heading3"/>
      </w:pPr>
      <w:bookmarkStart w:id="871" w:name="section_c2ec4940906f489c8ae252b0ac885207"/>
      <w:bookmarkStart w:id="872" w:name="_Toc12260496"/>
      <w:r>
        <w:t>Part 1 Section 17.15.2.1, allowPNG (Allow PNG as Graphic Format)</w:t>
      </w:r>
      <w:bookmarkEnd w:id="871"/>
      <w:bookmarkEnd w:id="872"/>
      <w:r>
        <w:fldChar w:fldCharType="begin"/>
      </w:r>
      <w:r>
        <w:instrText xml:space="preserve"> XE "allowPNG (Allow PNG as Graphic Format)" </w:instrText>
      </w:r>
      <w:r>
        <w:fldChar w:fldCharType="end"/>
      </w:r>
    </w:p>
    <w:p w:rsidR="00024C0A" w:rsidRDefault="00694C0F">
      <w:pPr>
        <w:pStyle w:val="Definition-Field"/>
      </w:pPr>
      <w:r>
        <w:t xml:space="preserve">a.   </w:t>
      </w:r>
      <w:r>
        <w:rPr>
          <w:i/>
        </w:rPr>
        <w:t>The standard states that when this element is false, the PNG file format shall not be allowed when this document is saved as a web page.</w:t>
      </w:r>
    </w:p>
    <w:p w:rsidR="00024C0A" w:rsidRDefault="00694C0F">
      <w:pPr>
        <w:pStyle w:val="Definition-Field2"/>
      </w:pPr>
      <w:r>
        <w:t>Word does save PNG files when this setting is off; however, the we</w:t>
      </w:r>
      <w:r>
        <w:t>b page is structured such that the PNG files are not required for a web browser to read the file correctly.</w:t>
      </w:r>
    </w:p>
    <w:p w:rsidR="00024C0A" w:rsidRDefault="00694C0F">
      <w:pPr>
        <w:pStyle w:val="Heading3"/>
      </w:pPr>
      <w:bookmarkStart w:id="873" w:name="section_1be1db766f44442eb9d1acc7a2bb0e71"/>
      <w:bookmarkStart w:id="874" w:name="_Toc12260497"/>
      <w:r>
        <w:t>Part 1 Section 17.15.2.2, blockQuote (Data for HTML blockquote Element)</w:t>
      </w:r>
      <w:bookmarkEnd w:id="873"/>
      <w:bookmarkEnd w:id="874"/>
      <w:r>
        <w:fldChar w:fldCharType="begin"/>
      </w:r>
      <w:r>
        <w:instrText xml:space="preserve"> XE "blockQuote (Data for HTML blockquote Element)" </w:instrText>
      </w:r>
      <w:r>
        <w:fldChar w:fldCharType="end"/>
      </w:r>
    </w:p>
    <w:p w:rsidR="00024C0A" w:rsidRDefault="00694C0F">
      <w:pPr>
        <w:pStyle w:val="Definition-Field"/>
      </w:pPr>
      <w:r>
        <w:t xml:space="preserve">a.   </w:t>
      </w:r>
      <w:r>
        <w:rPr>
          <w:i/>
        </w:rPr>
        <w:t xml:space="preserve">The standard </w:t>
      </w:r>
      <w:r>
        <w:rPr>
          <w:i/>
        </w:rPr>
        <w:t>states that if both this element and the bodyDiv element are specified, then the bodyDiv element shall be ignored.</w:t>
      </w:r>
    </w:p>
    <w:p w:rsidR="00024C0A" w:rsidRDefault="00694C0F">
      <w:pPr>
        <w:pStyle w:val="Definition-Field2"/>
      </w:pPr>
      <w:r>
        <w:t>Word ignores this element in favor of the bodyDiv element when the current div is a direct descendant of the divs element.</w:t>
      </w:r>
    </w:p>
    <w:p w:rsidR="00024C0A" w:rsidRDefault="00694C0F">
      <w:pPr>
        <w:pStyle w:val="Heading3"/>
      </w:pPr>
      <w:bookmarkStart w:id="875" w:name="section_848d73bb8eec4704bcd5ba25de573e9a"/>
      <w:bookmarkStart w:id="876" w:name="_Toc12260498"/>
      <w:r>
        <w:t>Part 1 Section 17.</w:t>
      </w:r>
      <w:r>
        <w:t>15.2.3, bodyDiv (Data for HTML body Element)</w:t>
      </w:r>
      <w:bookmarkEnd w:id="875"/>
      <w:bookmarkEnd w:id="876"/>
      <w:r>
        <w:fldChar w:fldCharType="begin"/>
      </w:r>
      <w:r>
        <w:instrText xml:space="preserve"> XE "bodyDiv (Data for HTML body Element)" </w:instrText>
      </w:r>
      <w:r>
        <w:fldChar w:fldCharType="end"/>
      </w:r>
    </w:p>
    <w:p w:rsidR="00024C0A" w:rsidRDefault="00694C0F">
      <w:pPr>
        <w:pStyle w:val="Definition-Field"/>
      </w:pPr>
      <w:r>
        <w:t xml:space="preserve">a.   </w:t>
      </w:r>
      <w:r>
        <w:rPr>
          <w:i/>
        </w:rPr>
        <w:t>The standard states that if both this element and the blockQuote element ("</w:t>
      </w:r>
      <w:hyperlink r:id="rId100">
        <w:r>
          <w:rPr>
            <w:rStyle w:val="Hyperlink"/>
          </w:rPr>
          <w:t>[ISO/IEC-29500-1]</w:t>
        </w:r>
      </w:hyperlink>
      <w:r>
        <w:rPr>
          <w:i/>
        </w:rPr>
        <w:t xml:space="preserve"> §1</w:t>
      </w:r>
      <w:r>
        <w:rPr>
          <w:i/>
        </w:rPr>
        <w:t>7.15.2.2; blockQuote") are specified, then this element shall be ignored.</w:t>
      </w:r>
    </w:p>
    <w:p w:rsidR="00024C0A" w:rsidRDefault="00694C0F">
      <w:pPr>
        <w:pStyle w:val="Definition-Field2"/>
      </w:pPr>
      <w:r>
        <w:t>Word ignores the blockQuote element in favor of this element if this div is a direct subelement of the divs tag.</w:t>
      </w:r>
    </w:p>
    <w:p w:rsidR="00024C0A" w:rsidRDefault="00694C0F">
      <w:pPr>
        <w:pStyle w:val="Heading3"/>
      </w:pPr>
      <w:bookmarkStart w:id="877" w:name="section_629fcc767cc14e55b9b3b6354b20116a"/>
      <w:bookmarkStart w:id="878" w:name="_Toc12260499"/>
      <w:r>
        <w:t>Part 1 Section 17.15.2.4, bottom (Bottom Border for HTML div)</w:t>
      </w:r>
      <w:bookmarkEnd w:id="877"/>
      <w:bookmarkEnd w:id="878"/>
      <w:r>
        <w:fldChar w:fldCharType="begin"/>
      </w:r>
      <w:r>
        <w:instrText xml:space="preserve"> XE "bot</w:instrText>
      </w:r>
      <w:r>
        <w:instrText xml:space="preserve">tom (Bottom Border for HTML div)"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24C0A" w:rsidRDefault="00694C0F">
      <w:pPr>
        <w:pStyle w:val="Heading3"/>
      </w:pPr>
      <w:bookmarkStart w:id="879" w:name="section_9a2a00db9248454d9f81952c27658324"/>
      <w:bookmarkStart w:id="880" w:name="_Toc12260500"/>
      <w:r>
        <w:t>Part 1 Section 17.15.2.5, color (Frameset Splitter Color)</w:t>
      </w:r>
      <w:bookmarkEnd w:id="879"/>
      <w:bookmarkEnd w:id="880"/>
      <w:r>
        <w:fldChar w:fldCharType="begin"/>
      </w:r>
      <w:r>
        <w:instrText xml:space="preserve"> XE "color (Frameset Splitter Color)" </w:instrText>
      </w:r>
      <w:r>
        <w:fldChar w:fldCharType="end"/>
      </w:r>
    </w:p>
    <w:p w:rsidR="00024C0A" w:rsidRDefault="00694C0F">
      <w:pPr>
        <w:pStyle w:val="Definition-Field2"/>
      </w:pPr>
      <w:r>
        <w:rPr>
          <w:i/>
        </w:rPr>
        <w:t>For additional notes that apply to t</w:t>
      </w:r>
      <w:r>
        <w:rPr>
          <w:i/>
        </w:rPr>
        <w:t xml:space="preserve">his portion of the standard, please see the notes for </w:t>
      </w:r>
      <w:hyperlink w:anchor="Section_8229a0777fc84fba96ccc77b6a4fc768">
        <w:r>
          <w:rPr>
            <w:rStyle w:val="Hyperlink"/>
          </w:rPr>
          <w:t>color, §17.3.2.6(a-c)</w:t>
        </w:r>
      </w:hyperlink>
      <w:r>
        <w:rPr>
          <w:i/>
        </w:rPr>
        <w:t>.</w:t>
      </w:r>
    </w:p>
    <w:p w:rsidR="00024C0A" w:rsidRDefault="00694C0F">
      <w:pPr>
        <w:pStyle w:val="Definition-Field"/>
      </w:pPr>
      <w:r>
        <w:t xml:space="preserve">a.   </w:t>
      </w:r>
      <w:r>
        <w:rPr>
          <w:i/>
        </w:rPr>
        <w:t xml:space="preserve">The standard states that the themeColor attribute specifies the theme color that should be applied to the </w:t>
      </w:r>
      <w:r>
        <w:rPr>
          <w:i/>
        </w:rPr>
        <w:t>current object.</w:t>
      </w:r>
    </w:p>
    <w:p w:rsidR="00024C0A" w:rsidRDefault="00694C0F">
      <w:r>
        <w:lastRenderedPageBreak/>
        <w:t>Word does not use the specified theme color, but will use an RGB color calculated from the themeShade and themeTint attributes if this attribute is specified in the color element ("</w:t>
      </w:r>
      <w:hyperlink r:id="rId101">
        <w:r>
          <w:rPr>
            <w:rStyle w:val="Hyperlink"/>
          </w:rPr>
          <w:t>[ISO/IEC-29500-1]</w:t>
        </w:r>
      </w:hyperlink>
      <w:r>
        <w:t xml:space="preserve"> §17.15.2.5; color") nested inside a framesetSplitbar element ("[ISO/IEC-29500-1] §17.15.2.20; framesetSplitbar").</w:t>
      </w:r>
    </w:p>
    <w:p w:rsidR="00024C0A" w:rsidRDefault="00694C0F">
      <w:pPr>
        <w:pStyle w:val="Heading3"/>
      </w:pPr>
      <w:bookmarkStart w:id="881" w:name="section_2740ab5f3c2b41ef954aff6f642e140f"/>
      <w:bookmarkStart w:id="882" w:name="_Toc12260501"/>
      <w:r>
        <w:t>Part 1 Section 17.15.2.6, div (Information About Single HTML div Element)</w:t>
      </w:r>
      <w:bookmarkEnd w:id="881"/>
      <w:bookmarkEnd w:id="882"/>
      <w:r>
        <w:fldChar w:fldCharType="begin"/>
      </w:r>
      <w:r>
        <w:instrText xml:space="preserve"> XE "div (Information About Single HTML div </w:instrText>
      </w:r>
      <w:r>
        <w:instrText xml:space="preserve">Element)" </w:instrText>
      </w:r>
      <w:r>
        <w:fldChar w:fldCharType="end"/>
      </w:r>
    </w:p>
    <w:p w:rsidR="00024C0A" w:rsidRDefault="00694C0F">
      <w:pPr>
        <w:pStyle w:val="Definition-Field"/>
      </w:pPr>
      <w:r>
        <w:t xml:space="preserve">a.   </w:t>
      </w:r>
      <w:r>
        <w:rPr>
          <w:i/>
        </w:rPr>
        <w:t>The standard states that the values of the id attribute are defined by the XML Schema integer datatype.</w:t>
      </w:r>
    </w:p>
    <w:p w:rsidR="00024C0A" w:rsidRDefault="00694C0F">
      <w:pPr>
        <w:pStyle w:val="Definition-Field2"/>
      </w:pPr>
      <w:r>
        <w:t>Word does not allow a value of 0 on this attribute.</w:t>
      </w:r>
    </w:p>
    <w:p w:rsidR="00024C0A" w:rsidRDefault="00694C0F">
      <w:pPr>
        <w:pStyle w:val="Heading3"/>
      </w:pPr>
      <w:bookmarkStart w:id="883" w:name="section_12c70bad8a3c48ab9451a184aa79471b"/>
      <w:bookmarkStart w:id="884" w:name="_Toc12260502"/>
      <w:r>
        <w:t>Part 1 Section 17.15.2.10, doNotOrganizeInFolder (Do Not Place Supporting Files in</w:t>
      </w:r>
      <w:r>
        <w:t xml:space="preserve"> Subdirectory)</w:t>
      </w:r>
      <w:bookmarkEnd w:id="883"/>
      <w:bookmarkEnd w:id="884"/>
      <w:r>
        <w:fldChar w:fldCharType="begin"/>
      </w:r>
      <w:r>
        <w:instrText xml:space="preserve"> XE "doNotOrganizeInFolder (Do Not Place Supporting Files in Subdirectory)" </w:instrText>
      </w:r>
      <w:r>
        <w:fldChar w:fldCharType="end"/>
      </w:r>
    </w:p>
    <w:p w:rsidR="00024C0A" w:rsidRDefault="00694C0F">
      <w:pPr>
        <w:pStyle w:val="Definition-Field"/>
      </w:pPr>
      <w:r>
        <w:t xml:space="preserve">a.   </w:t>
      </w:r>
      <w:r>
        <w:rPr>
          <w:i/>
        </w:rPr>
        <w:t>The standard states that the doNotOrganizeInFolder element specifies that applications shall not automatically place all supporting files in a subdirectory.</w:t>
      </w:r>
    </w:p>
    <w:p w:rsidR="00024C0A" w:rsidRDefault="00694C0F">
      <w:pPr>
        <w:pStyle w:val="Definition-Field2"/>
      </w:pPr>
      <w:r>
        <w:t>W</w:t>
      </w:r>
      <w:r>
        <w:t>ord ignores this element when the doNotUseLongFileNames element is set to true (or equivalent).</w:t>
      </w:r>
    </w:p>
    <w:p w:rsidR="00024C0A" w:rsidRDefault="00694C0F">
      <w:pPr>
        <w:pStyle w:val="Heading3"/>
      </w:pPr>
      <w:bookmarkStart w:id="885" w:name="section_829e3c8a5e294f0b9b384d4ab414818c"/>
      <w:bookmarkStart w:id="886" w:name="_Toc12260503"/>
      <w:r>
        <w:t>Part 1 Section 17.15.2.14, encoding (Output Encoding When Saving as Web Page)</w:t>
      </w:r>
      <w:bookmarkEnd w:id="885"/>
      <w:bookmarkEnd w:id="886"/>
      <w:r>
        <w:fldChar w:fldCharType="begin"/>
      </w:r>
      <w:r>
        <w:instrText xml:space="preserve"> XE "encoding (Output Encoding When Saving as Web Page)" </w:instrText>
      </w:r>
      <w:r>
        <w:fldChar w:fldCharType="end"/>
      </w:r>
    </w:p>
    <w:p w:rsidR="00024C0A" w:rsidRDefault="00694C0F">
      <w:pPr>
        <w:pStyle w:val="Definition-Field"/>
      </w:pPr>
      <w:r>
        <w:t xml:space="preserve">a.   </w:t>
      </w:r>
      <w:r>
        <w:rPr>
          <w:i/>
        </w:rPr>
        <w:t>The standard requi</w:t>
      </w:r>
      <w:r>
        <w:rPr>
          <w:i/>
        </w:rPr>
        <w:t>res that this setting is roundtripped as specified.</w:t>
      </w:r>
    </w:p>
    <w:p w:rsidR="00024C0A" w:rsidRDefault="00694C0F">
      <w:pPr>
        <w:pStyle w:val="Definition-Field2"/>
      </w:pPr>
      <w:r>
        <w:t>Word does not roundtrip this element when the specified encoding is equal to the current default encoding, or when the specified encoding is not supported.</w:t>
      </w:r>
    </w:p>
    <w:p w:rsidR="00024C0A" w:rsidRDefault="00694C0F">
      <w:pPr>
        <w:pStyle w:val="Definition-Field"/>
      </w:pPr>
      <w:r>
        <w:t xml:space="preserve">b.   </w:t>
      </w:r>
      <w:r>
        <w:rPr>
          <w:i/>
        </w:rPr>
        <w:t>The standard does not limit the length of t</w:t>
      </w:r>
      <w:r>
        <w:rPr>
          <w:i/>
        </w:rPr>
        <w:t>he value of the val attribute.</w:t>
      </w:r>
    </w:p>
    <w:p w:rsidR="00024C0A" w:rsidRDefault="00694C0F">
      <w:pPr>
        <w:pStyle w:val="Definition-Field2"/>
      </w:pPr>
      <w:r>
        <w:t>Word restricts the value of this attribute to be at most 255 characters.</w:t>
      </w:r>
    </w:p>
    <w:p w:rsidR="00024C0A" w:rsidRDefault="00694C0F">
      <w:pPr>
        <w:pStyle w:val="Heading3"/>
      </w:pPr>
      <w:bookmarkStart w:id="887" w:name="section_3c6fa2ad817947adb6a0f55e3b4a67ca"/>
      <w:bookmarkStart w:id="888" w:name="_Toc12260504"/>
      <w:r>
        <w:t>Part 1 Section 17.15.2.17, frameLayout (Frameset Layout)</w:t>
      </w:r>
      <w:bookmarkEnd w:id="887"/>
      <w:bookmarkEnd w:id="888"/>
      <w:r>
        <w:fldChar w:fldCharType="begin"/>
      </w:r>
      <w:r>
        <w:instrText xml:space="preserve"> XE "frameLayout (Frameset Layout)" </w:instrText>
      </w:r>
      <w:r>
        <w:fldChar w:fldCharType="end"/>
      </w:r>
    </w:p>
    <w:p w:rsidR="00024C0A" w:rsidRDefault="00694C0F">
      <w:pPr>
        <w:pStyle w:val="Definition-Field"/>
      </w:pPr>
      <w:r>
        <w:t xml:space="preserve">a.   </w:t>
      </w:r>
      <w:r>
        <w:rPr>
          <w:i/>
        </w:rPr>
        <w:t>The standard says that if this element is omitted, t</w:t>
      </w:r>
      <w:r>
        <w:rPr>
          <w:i/>
        </w:rPr>
        <w:t>he frames in this frameset shall be stacked vertically on top of one another (a row frameset).</w:t>
      </w:r>
    </w:p>
    <w:p w:rsidR="00024C0A" w:rsidRDefault="00694C0F">
      <w:pPr>
        <w:pStyle w:val="Definition-Field2"/>
      </w:pPr>
      <w:r>
        <w:t>In Word, if this element is omitted, the default value is none.</w:t>
      </w:r>
    </w:p>
    <w:p w:rsidR="00024C0A" w:rsidRDefault="00694C0F">
      <w:pPr>
        <w:pStyle w:val="Heading3"/>
      </w:pPr>
      <w:bookmarkStart w:id="889" w:name="section_24552affdfd2441fa559cc592469a966"/>
      <w:bookmarkStart w:id="890" w:name="_Toc12260505"/>
      <w:r>
        <w:t>Part 1 Section 17.15.2.18, frameset (Nested Frameset Definition)</w:t>
      </w:r>
      <w:bookmarkEnd w:id="889"/>
      <w:bookmarkEnd w:id="890"/>
      <w:r>
        <w:fldChar w:fldCharType="begin"/>
      </w:r>
      <w:r>
        <w:instrText xml:space="preserve"> XE "frameset (Nested Frameset Definition)" </w:instrText>
      </w:r>
      <w:r>
        <w:fldChar w:fldCharType="end"/>
      </w:r>
    </w:p>
    <w:p w:rsidR="00024C0A" w:rsidRDefault="00694C0F">
      <w:pPr>
        <w:pStyle w:val="Definition-Field"/>
      </w:pPr>
      <w:r>
        <w:t xml:space="preserve">a.   </w:t>
      </w:r>
      <w:r>
        <w:rPr>
          <w:i/>
        </w:rPr>
        <w:t>The standard does not state the behavior of an empty frameset element.</w:t>
      </w:r>
    </w:p>
    <w:p w:rsidR="00024C0A" w:rsidRDefault="00694C0F">
      <w:pPr>
        <w:pStyle w:val="Definition-Field2"/>
      </w:pPr>
      <w:r>
        <w:t>Word treats an empty frameset as though it contains a single frame element (using its default values).</w:t>
      </w:r>
    </w:p>
    <w:p w:rsidR="00024C0A" w:rsidRDefault="00694C0F">
      <w:pPr>
        <w:pStyle w:val="Heading3"/>
      </w:pPr>
      <w:bookmarkStart w:id="891" w:name="section_f7970f138896405eae5e7775aa04a053"/>
      <w:bookmarkStart w:id="892" w:name="_Toc12260506"/>
      <w:r>
        <w:t>Part 1 Section 17.15.2.19, fra</w:t>
      </w:r>
      <w:r>
        <w:t>meset (Root Frameset Definition)</w:t>
      </w:r>
      <w:bookmarkEnd w:id="891"/>
      <w:bookmarkEnd w:id="892"/>
      <w:r>
        <w:fldChar w:fldCharType="begin"/>
      </w:r>
      <w:r>
        <w:instrText xml:space="preserve"> XE "frameset (Root Frameset Definition)" </w:instrText>
      </w:r>
      <w:r>
        <w:fldChar w:fldCharType="end"/>
      </w:r>
    </w:p>
    <w:p w:rsidR="00024C0A" w:rsidRDefault="00694C0F">
      <w:pPr>
        <w:pStyle w:val="Definition-Field"/>
      </w:pPr>
      <w:r>
        <w:t xml:space="preserve">a.   </w:t>
      </w:r>
      <w:r>
        <w:rPr>
          <w:i/>
        </w:rPr>
        <w:t>The standard does not state the behavior of an empty frameset element.</w:t>
      </w:r>
    </w:p>
    <w:p w:rsidR="00024C0A" w:rsidRDefault="00694C0F">
      <w:pPr>
        <w:pStyle w:val="Definition-Field2"/>
      </w:pPr>
      <w:r>
        <w:t>Word treats an empty frameset as though it contains a single frame element (using its default values).</w:t>
      </w:r>
    </w:p>
    <w:p w:rsidR="00024C0A" w:rsidRDefault="00694C0F">
      <w:pPr>
        <w:pStyle w:val="Heading3"/>
      </w:pPr>
      <w:bookmarkStart w:id="893" w:name="section_88086db0881a462fafb3fad01a9b1be3"/>
      <w:bookmarkStart w:id="894" w:name="_Toc12260507"/>
      <w:r>
        <w:lastRenderedPageBreak/>
        <w:t>Part 1 Section 17.15.2.21, left (Left Border for HTML div)</w:t>
      </w:r>
      <w:bookmarkEnd w:id="893"/>
      <w:bookmarkEnd w:id="894"/>
      <w:r>
        <w:fldChar w:fldCharType="begin"/>
      </w:r>
      <w:r>
        <w:instrText xml:space="preserve"> XE "left (Left Border for HTML div)"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2a35f2312704ca699140fa440d56fdf">
        <w:r>
          <w:rPr>
            <w:rStyle w:val="Hyperlink"/>
          </w:rPr>
          <w:t>bar,</w:t>
        </w:r>
        <w:r>
          <w:rPr>
            <w:rStyle w:val="Hyperlink"/>
          </w:rPr>
          <w:t xml:space="preserve"> §17.3.1.4(a-c)</w:t>
        </w:r>
      </w:hyperlink>
      <w:r>
        <w:rPr>
          <w:i/>
        </w:rPr>
        <w:t xml:space="preserve">; </w:t>
      </w:r>
      <w:hyperlink w:anchor="Section_f38eb4e2d0424a4eb8633fac712e250a">
        <w:r>
          <w:rPr>
            <w:rStyle w:val="Hyperlink"/>
          </w:rPr>
          <w:t>bdr, §17.3.2.4(a)</w:t>
        </w:r>
      </w:hyperlink>
      <w:r>
        <w:rPr>
          <w:i/>
        </w:rPr>
        <w:t>.</w:t>
      </w:r>
    </w:p>
    <w:p w:rsidR="00024C0A" w:rsidRDefault="00694C0F">
      <w:pPr>
        <w:pStyle w:val="Definition-Field"/>
      </w:pPr>
      <w:r>
        <w:t xml:space="preserve">a.   </w:t>
      </w:r>
      <w:r>
        <w:rPr>
          <w:i/>
        </w:rPr>
        <w:t>The standard does not state which borders the frame attribute applies to.</w:t>
      </w:r>
    </w:p>
    <w:p w:rsidR="00024C0A" w:rsidRDefault="00694C0F">
      <w:pPr>
        <w:pStyle w:val="Definition-Field2"/>
      </w:pPr>
      <w:r>
        <w:t>Word only applies this attribute to the right and bottom borders.</w:t>
      </w:r>
    </w:p>
    <w:p w:rsidR="00024C0A" w:rsidRDefault="00694C0F">
      <w:pPr>
        <w:pStyle w:val="Heading3"/>
      </w:pPr>
      <w:bookmarkStart w:id="895" w:name="section_a29af684e8d2433685bb33f038481e2c"/>
      <w:bookmarkStart w:id="896" w:name="_Toc12260508"/>
      <w:r>
        <w:t>Part 1 Secti</w:t>
      </w:r>
      <w:r>
        <w:t>on 17.15.2.23, longDesc (Frame Long Description)</w:t>
      </w:r>
      <w:bookmarkEnd w:id="895"/>
      <w:bookmarkEnd w:id="896"/>
      <w:r>
        <w:fldChar w:fldCharType="begin"/>
      </w:r>
      <w:r>
        <w:instrText xml:space="preserve"> XE "longDesc (Frame Long Description)" </w:instrText>
      </w:r>
      <w:r>
        <w:fldChar w:fldCharType="end"/>
      </w:r>
    </w:p>
    <w:p w:rsidR="00024C0A" w:rsidRDefault="00694C0F">
      <w:pPr>
        <w:pStyle w:val="Definition-Field"/>
      </w:pPr>
      <w:r>
        <w:t xml:space="preserve">a.   </w:t>
      </w:r>
      <w:r>
        <w:rPr>
          <w:i/>
        </w:rPr>
        <w:t>The standard specifies this element.</w:t>
      </w:r>
    </w:p>
    <w:p w:rsidR="00024C0A" w:rsidRDefault="00694C0F">
      <w:pPr>
        <w:pStyle w:val="Definition-Field2"/>
      </w:pPr>
      <w:r>
        <w:t>Word ignores this element.</w:t>
      </w:r>
    </w:p>
    <w:p w:rsidR="00024C0A" w:rsidRDefault="00694C0F">
      <w:pPr>
        <w:pStyle w:val="Heading3"/>
      </w:pPr>
      <w:bookmarkStart w:id="897" w:name="section_d1915b52a64a4e87a89e66bb610cbfad"/>
      <w:bookmarkStart w:id="898" w:name="_Toc12260509"/>
      <w:r>
        <w:t>Part 1 Section 17.15.2.30, name (Frame Name)</w:t>
      </w:r>
      <w:bookmarkEnd w:id="897"/>
      <w:bookmarkEnd w:id="898"/>
      <w:r>
        <w:fldChar w:fldCharType="begin"/>
      </w:r>
      <w:r>
        <w:instrText xml:space="preserve"> XE "name (Frame Name)" </w:instrText>
      </w:r>
      <w:r>
        <w:fldChar w:fldCharType="end"/>
      </w:r>
    </w:p>
    <w:p w:rsidR="00024C0A" w:rsidRDefault="00694C0F">
      <w:pPr>
        <w:pStyle w:val="Definition-Field"/>
      </w:pPr>
      <w:r>
        <w:t xml:space="preserve">a.   </w:t>
      </w:r>
      <w:r>
        <w:rPr>
          <w:i/>
        </w:rPr>
        <w:t xml:space="preserve">The standard does </w:t>
      </w:r>
      <w:r>
        <w:rPr>
          <w:i/>
        </w:rPr>
        <w:t>not limit the length of the value of the val attribute.</w:t>
      </w:r>
    </w:p>
    <w:p w:rsidR="00024C0A" w:rsidRDefault="00694C0F">
      <w:pPr>
        <w:pStyle w:val="Definition-Field2"/>
      </w:pPr>
      <w:r>
        <w:t>Word restricts the value of this attribute to be at most 255 characters.</w:t>
      </w:r>
    </w:p>
    <w:p w:rsidR="00024C0A" w:rsidRDefault="00694C0F">
      <w:pPr>
        <w:pStyle w:val="Heading3"/>
      </w:pPr>
      <w:bookmarkStart w:id="899" w:name="section_1a4436e36c77480184e063d913cb56a8"/>
      <w:bookmarkStart w:id="900" w:name="_Toc12260510"/>
      <w:r>
        <w:t>Part 1 Section 17.15.2.33, optimizeForBrowser (Disable Features Not Supported by Target Web Profile)</w:t>
      </w:r>
      <w:bookmarkEnd w:id="899"/>
      <w:bookmarkEnd w:id="900"/>
      <w:r>
        <w:fldChar w:fldCharType="begin"/>
      </w:r>
      <w:r>
        <w:instrText xml:space="preserve"> XE "optimizeForBrowser (Di</w:instrText>
      </w:r>
      <w:r>
        <w:instrText xml:space="preserve">sable Features Not Supported by Target Web Profile)" </w:instrText>
      </w:r>
      <w:r>
        <w:fldChar w:fldCharType="end"/>
      </w:r>
    </w:p>
    <w:p w:rsidR="00024C0A" w:rsidRDefault="00694C0F">
      <w:pPr>
        <w:pStyle w:val="Definition-Field"/>
      </w:pPr>
      <w:r>
        <w:t xml:space="preserve">a.   </w:t>
      </w:r>
      <w:r>
        <w:rPr>
          <w:i/>
        </w:rPr>
        <w:t>The standard states that this element (in conjunction with the other elements listed) is used to set the target web browser.</w:t>
      </w:r>
    </w:p>
    <w:p w:rsidR="00024C0A" w:rsidRDefault="00694C0F">
      <w:pPr>
        <w:pStyle w:val="Definition-Field2"/>
      </w:pPr>
      <w:r>
        <w:t>Word does not use the indicated settings to determine target browser w</w:t>
      </w:r>
      <w:r>
        <w:t>hen document is loaded, instead using Internet Explorer 6 as the target browser in every case.</w:t>
      </w:r>
    </w:p>
    <w:p w:rsidR="00024C0A" w:rsidRDefault="00694C0F">
      <w:pPr>
        <w:pStyle w:val="Definition-Field"/>
      </w:pPr>
      <w:r>
        <w:t xml:space="preserve">b.   </w:t>
      </w:r>
      <w:r>
        <w:rPr>
          <w:i/>
        </w:rPr>
        <w:t>The standard states that the target attribute should specify which HTML profile to use when saving docs to HTML.</w:t>
      </w:r>
    </w:p>
    <w:p w:rsidR="00024C0A" w:rsidRDefault="00694C0F">
      <w:pPr>
        <w:pStyle w:val="Definition-Field2"/>
      </w:pPr>
      <w:r>
        <w:t>Word ignores this attribute.</w:t>
      </w:r>
    </w:p>
    <w:p w:rsidR="00024C0A" w:rsidRDefault="00694C0F">
      <w:pPr>
        <w:pStyle w:val="Heading3"/>
      </w:pPr>
      <w:bookmarkStart w:id="901" w:name="section_47933ae0e3be4fc1b04924347180a89f"/>
      <w:bookmarkStart w:id="902" w:name="_Toc12260511"/>
      <w:r>
        <w:t>Part 1 Section</w:t>
      </w:r>
      <w:r>
        <w:t xml:space="preserve"> 17.15.2.34, pixelsPerInch (Pixels per Inch for Graphics/Images)</w:t>
      </w:r>
      <w:bookmarkEnd w:id="901"/>
      <w:bookmarkEnd w:id="902"/>
      <w:r>
        <w:fldChar w:fldCharType="begin"/>
      </w:r>
      <w:r>
        <w:instrText xml:space="preserve"> XE "pixelsPerInch (Pixels per Inch for Graphics/Images)" </w:instrText>
      </w:r>
      <w:r>
        <w:fldChar w:fldCharType="end"/>
      </w:r>
    </w:p>
    <w:p w:rsidR="00024C0A" w:rsidRDefault="00694C0F">
      <w:pPr>
        <w:pStyle w:val="Definition-Field"/>
      </w:pPr>
      <w:r>
        <w:t xml:space="preserve">a.   </w:t>
      </w:r>
      <w:r>
        <w:rPr>
          <w:i/>
        </w:rPr>
        <w:t>The standard states that the values of the val attribute are defined by the XML Schema integer datatype.</w:t>
      </w:r>
    </w:p>
    <w:p w:rsidR="00024C0A" w:rsidRDefault="00694C0F">
      <w:pPr>
        <w:pStyle w:val="Definition-Field2"/>
      </w:pPr>
      <w:r>
        <w:t>Word restricts the va</w:t>
      </w:r>
      <w:r>
        <w:t>lue of this attribute to be at least 0 and at most 1023.</w:t>
      </w:r>
    </w:p>
    <w:p w:rsidR="00024C0A" w:rsidRDefault="00694C0F">
      <w:pPr>
        <w:pStyle w:val="Heading3"/>
      </w:pPr>
      <w:bookmarkStart w:id="903" w:name="section_e15940e2d10546e3901ecc38b9773f7f"/>
      <w:bookmarkStart w:id="904" w:name="_Toc12260512"/>
      <w:r>
        <w:t>Part 1 Section 17.15.2.35, right (Right Border for HTML div)</w:t>
      </w:r>
      <w:bookmarkEnd w:id="903"/>
      <w:bookmarkEnd w:id="904"/>
      <w:r>
        <w:fldChar w:fldCharType="begin"/>
      </w:r>
      <w:r>
        <w:instrText xml:space="preserve"> XE "right (Right Border for HTML div)"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24C0A" w:rsidRDefault="00694C0F">
      <w:pPr>
        <w:pStyle w:val="Heading3"/>
      </w:pPr>
      <w:bookmarkStart w:id="905" w:name="section_0dc4313ba3e341f796ff723d68d0e725"/>
      <w:bookmarkStart w:id="906" w:name="_Toc12260513"/>
      <w:r>
        <w:t>Part 1 Sect</w:t>
      </w:r>
      <w:r>
        <w:t>ion 17.15.2.38, sourceFileName (Source File for Frame)</w:t>
      </w:r>
      <w:bookmarkEnd w:id="905"/>
      <w:bookmarkEnd w:id="906"/>
      <w:r>
        <w:fldChar w:fldCharType="begin"/>
      </w:r>
      <w:r>
        <w:instrText xml:space="preserve"> XE "sourceFileName (Source File for Frame)"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024C0A" w:rsidRDefault="00694C0F">
      <w:pPr>
        <w:pStyle w:val="Heading3"/>
      </w:pPr>
      <w:bookmarkStart w:id="907" w:name="section_bac943bf2e5d4d439ba2ab0f26a8e8fd"/>
      <w:bookmarkStart w:id="908" w:name="_Toc12260514"/>
      <w:r>
        <w:t>Part 1 Section 17.15.2.39, sz (Frame Size)</w:t>
      </w:r>
      <w:bookmarkEnd w:id="907"/>
      <w:bookmarkEnd w:id="908"/>
      <w:r>
        <w:fldChar w:fldCharType="begin"/>
      </w:r>
      <w:r>
        <w:instrText xml:space="preserve"> XE "sz (Frame Size)" </w:instrText>
      </w:r>
      <w:r>
        <w:fldChar w:fldCharType="end"/>
      </w:r>
    </w:p>
    <w:p w:rsidR="00024C0A" w:rsidRDefault="00694C0F">
      <w:pPr>
        <w:pStyle w:val="Definition-Field"/>
      </w:pPr>
      <w:r>
        <w:t xml:space="preserve">a.   </w:t>
      </w:r>
      <w:r>
        <w:rPr>
          <w:i/>
        </w:rPr>
        <w:t>The standard allows any string for the val attribute.</w:t>
      </w:r>
    </w:p>
    <w:p w:rsidR="00024C0A" w:rsidRDefault="00694C0F">
      <w:pPr>
        <w:pStyle w:val="Definition-Field2"/>
      </w:pPr>
      <w:r>
        <w:lastRenderedPageBreak/>
        <w:t>For the val attribute, Word allows an integer between 1 and 32,767 followed by *; an integer betw</w:t>
      </w:r>
      <w:r>
        <w:t>een 1 and 500 followed by %; or an integer which divided by pixelsPerInch gives a value between 0 and 22.</w:t>
      </w:r>
    </w:p>
    <w:p w:rsidR="00024C0A" w:rsidRDefault="00694C0F">
      <w:pPr>
        <w:pStyle w:val="Definition-Field"/>
      </w:pPr>
      <w:r>
        <w:t xml:space="preserve">b.   </w:t>
      </w:r>
      <w:r>
        <w:rPr>
          <w:i/>
        </w:rPr>
        <w:t>The standard says if this element is omitted, then no information shall be implied about the size of the current frameset.</w:t>
      </w:r>
    </w:p>
    <w:p w:rsidR="00024C0A" w:rsidRDefault="00694C0F">
      <w:pPr>
        <w:pStyle w:val="Definition-Field2"/>
      </w:pPr>
      <w:r>
        <w:t>Word considers the def</w:t>
      </w:r>
      <w:r>
        <w:t>ault value to be 1*.</w:t>
      </w:r>
    </w:p>
    <w:p w:rsidR="00024C0A" w:rsidRDefault="00694C0F">
      <w:pPr>
        <w:pStyle w:val="Heading3"/>
      </w:pPr>
      <w:bookmarkStart w:id="909" w:name="section_12da267d2f2644498e44750a097fb97f"/>
      <w:bookmarkStart w:id="910" w:name="_Toc12260515"/>
      <w:r>
        <w:t>Part 1 Section 17.15.2.40, sz (Nested Frameset Size)</w:t>
      </w:r>
      <w:bookmarkEnd w:id="909"/>
      <w:bookmarkEnd w:id="910"/>
      <w:r>
        <w:fldChar w:fldCharType="begin"/>
      </w:r>
      <w:r>
        <w:instrText xml:space="preserve"> XE "sz (Nested Frameset Size)" </w:instrText>
      </w:r>
      <w:r>
        <w:fldChar w:fldCharType="end"/>
      </w:r>
    </w:p>
    <w:p w:rsidR="00024C0A" w:rsidRDefault="00694C0F">
      <w:pPr>
        <w:pStyle w:val="Definition-Field"/>
      </w:pPr>
      <w:r>
        <w:t xml:space="preserve">a.   </w:t>
      </w:r>
      <w:r>
        <w:rPr>
          <w:i/>
        </w:rPr>
        <w:t>The standard allows any string for the val attribute.</w:t>
      </w:r>
    </w:p>
    <w:p w:rsidR="00024C0A" w:rsidRDefault="00694C0F">
      <w:pPr>
        <w:pStyle w:val="Definition-Field2"/>
      </w:pPr>
      <w:r>
        <w:t>For the val attribute, Word allows an integer between 1 and 32,767 followed by *; an inte</w:t>
      </w:r>
      <w:r>
        <w:t>ger between 1 and 500 followed by %; or an integer which divided by pixelsPerInch gives a value between 0 and 22.</w:t>
      </w:r>
    </w:p>
    <w:p w:rsidR="00024C0A" w:rsidRDefault="00694C0F">
      <w:pPr>
        <w:pStyle w:val="Definition-Field"/>
      </w:pPr>
      <w:r>
        <w:t xml:space="preserve">b.   </w:t>
      </w:r>
      <w:r>
        <w:rPr>
          <w:i/>
        </w:rPr>
        <w:t>The standard states that no information shall be implied about the size of the current frameset when this element is omitted.</w:t>
      </w:r>
    </w:p>
    <w:p w:rsidR="00024C0A" w:rsidRDefault="00694C0F">
      <w:pPr>
        <w:pStyle w:val="Definition-Field2"/>
      </w:pPr>
      <w:r>
        <w:t>Word implie</w:t>
      </w:r>
      <w:r>
        <w:t>s that the size of the current frameset shall be a relative measurement with a value of 1 when the sz element is omitted.</w:t>
      </w:r>
    </w:p>
    <w:p w:rsidR="00024C0A" w:rsidRDefault="00694C0F">
      <w:pPr>
        <w:pStyle w:val="Heading3"/>
      </w:pPr>
      <w:bookmarkStart w:id="911" w:name="section_1cdcce02e27c40e68d43c718e61f96fc"/>
      <w:bookmarkStart w:id="912" w:name="_Toc12260516"/>
      <w:r>
        <w:t>Part 1 Section 17.15.2.41, targetScreenSz (Target Screen Size for Web Page)</w:t>
      </w:r>
      <w:bookmarkEnd w:id="911"/>
      <w:bookmarkEnd w:id="912"/>
      <w:r>
        <w:fldChar w:fldCharType="begin"/>
      </w:r>
      <w:r>
        <w:instrText xml:space="preserve"> XE "targetScreenSz (Target Screen Size for Web Page)" </w:instrText>
      </w:r>
      <w:r>
        <w:fldChar w:fldCharType="end"/>
      </w:r>
    </w:p>
    <w:p w:rsidR="00024C0A" w:rsidRDefault="00694C0F">
      <w:pPr>
        <w:pStyle w:val="Definition-Field"/>
      </w:pPr>
      <w:r>
        <w:t>a</w:t>
      </w:r>
      <w:r>
        <w:t xml:space="preserve">.   </w:t>
      </w:r>
      <w:r>
        <w:rPr>
          <w:i/>
        </w:rPr>
        <w:t>The standard states that this element stores the ideal minimum target screen size on which web pages generated when saving this document will be displayed.</w:t>
      </w:r>
    </w:p>
    <w:p w:rsidR="00024C0A" w:rsidRDefault="00694C0F">
      <w:pPr>
        <w:pStyle w:val="Definition-Field2"/>
      </w:pPr>
      <w:r>
        <w:t>Word ignores this element.</w:t>
      </w:r>
    </w:p>
    <w:p w:rsidR="00024C0A" w:rsidRDefault="00694C0F">
      <w:pPr>
        <w:pStyle w:val="Heading3"/>
      </w:pPr>
      <w:bookmarkStart w:id="913" w:name="section_94bb88fd795741c8b9340f82d8d04f7e"/>
      <w:bookmarkStart w:id="914" w:name="_Toc12260517"/>
      <w:r>
        <w:t>Part 1 Section 17.15.2.42, title (Frame or Frameset Title)</w:t>
      </w:r>
      <w:bookmarkEnd w:id="913"/>
      <w:bookmarkEnd w:id="914"/>
      <w:r>
        <w:fldChar w:fldCharType="begin"/>
      </w:r>
      <w:r>
        <w:instrText xml:space="preserve"> XE "title (Frame or Frameset Title)" </w:instrText>
      </w:r>
      <w:r>
        <w:fldChar w:fldCharType="end"/>
      </w:r>
    </w:p>
    <w:p w:rsidR="00024C0A" w:rsidRDefault="00694C0F">
      <w:pPr>
        <w:pStyle w:val="Definition-Field"/>
      </w:pPr>
      <w:r>
        <w:t xml:space="preserve">a.   </w:t>
      </w:r>
      <w:r>
        <w:rPr>
          <w:i/>
        </w:rPr>
        <w:t>The standard specifies that a frameset may have a title element.</w:t>
      </w:r>
    </w:p>
    <w:p w:rsidR="00024C0A" w:rsidRDefault="00694C0F">
      <w:pPr>
        <w:pStyle w:val="Definition-Field2"/>
      </w:pPr>
      <w:r>
        <w:t>Word ignores any title element inside a frameset; therefore, this element is lost on roundtrip.</w:t>
      </w:r>
      <w:r>
        <w:rPr>
          <w:rStyle w:val="PlaceholderText"/>
        </w:rPr>
        <w:t xml:space="preserve"> </w:t>
      </w:r>
    </w:p>
    <w:p w:rsidR="00024C0A" w:rsidRDefault="00694C0F">
      <w:pPr>
        <w:pStyle w:val="Heading3"/>
      </w:pPr>
      <w:bookmarkStart w:id="915" w:name="section_bd4c27d984664da3aa9a6ecbff6f39fe"/>
      <w:bookmarkStart w:id="916" w:name="_Toc12260518"/>
      <w:r>
        <w:t>Part 1 Section 17.15.2.43, top (Top Border for H</w:t>
      </w:r>
      <w:r>
        <w:t>TML div)</w:t>
      </w:r>
      <w:bookmarkEnd w:id="915"/>
      <w:bookmarkEnd w:id="916"/>
      <w:r>
        <w:fldChar w:fldCharType="begin"/>
      </w:r>
      <w:r>
        <w:instrText xml:space="preserve"> XE "top (Top Border for HTML div)"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24C0A" w:rsidRDefault="00694C0F">
      <w:pPr>
        <w:pStyle w:val="Heading3"/>
      </w:pPr>
      <w:bookmarkStart w:id="917" w:name="section_61e2927d6fad483d9e933a00bb8620fb"/>
      <w:bookmarkStart w:id="918" w:name="_Toc12260519"/>
      <w:r>
        <w:t>Part 1 Section 17.15.3.2, applyBreakingRules (Use Legacy Ethiopic and Amharic Line Breaking Rules)</w:t>
      </w:r>
      <w:bookmarkEnd w:id="917"/>
      <w:bookmarkEnd w:id="918"/>
      <w:r>
        <w:fldChar w:fldCharType="begin"/>
      </w:r>
      <w:r>
        <w:instrText xml:space="preserve"> XE "applyBreakingRules (U</w:instrText>
      </w:r>
      <w:r>
        <w:instrText xml:space="preserve">se Legacy Ethiopic and Amharic Line Breaking Rules)" </w:instrText>
      </w:r>
      <w:r>
        <w:fldChar w:fldCharType="end"/>
      </w:r>
    </w:p>
    <w:p w:rsidR="00024C0A" w:rsidRDefault="00694C0F">
      <w:pPr>
        <w:pStyle w:val="Definition-Field"/>
      </w:pPr>
      <w:r>
        <w:t xml:space="preserve">a.   </w:t>
      </w:r>
      <w:r>
        <w:rPr>
          <w:i/>
        </w:rPr>
        <w:t>The standard says that the application shall allow break opportunities after this specific set of character only if this setting is off.</w:t>
      </w:r>
    </w:p>
    <w:p w:rsidR="00024C0A" w:rsidRDefault="00694C0F">
      <w:pPr>
        <w:pStyle w:val="Definition-Field2"/>
      </w:pPr>
      <w:r>
        <w:t>Word allows break opportunities after this specific set of</w:t>
      </w:r>
      <w:r>
        <w:t xml:space="preserve"> characters only if the setting is on.</w:t>
      </w:r>
    </w:p>
    <w:p w:rsidR="00024C0A" w:rsidRDefault="00694C0F">
      <w:pPr>
        <w:pStyle w:val="Definition-Field"/>
      </w:pPr>
      <w:r>
        <w:t xml:space="preserve">b.   </w:t>
      </w:r>
      <w:r>
        <w:rPr>
          <w:i/>
        </w:rPr>
        <w:t>The standard says that setting the val attribute to 0, off, or false should turn off this property.</w:t>
      </w:r>
    </w:p>
    <w:p w:rsidR="00024C0A" w:rsidRDefault="00694C0F">
      <w:pPr>
        <w:pStyle w:val="Definition-Field2"/>
      </w:pPr>
      <w:r>
        <w:t>Word may turn this setting on if editing has been enabled for a language that is right to left or that uses comp</w:t>
      </w:r>
      <w:r>
        <w:t>lex scripts.</w:t>
      </w:r>
    </w:p>
    <w:p w:rsidR="00024C0A" w:rsidRDefault="00694C0F">
      <w:pPr>
        <w:pStyle w:val="Heading3"/>
      </w:pPr>
      <w:bookmarkStart w:id="919" w:name="section_ef7c006b0a794542aea8687f9a5275fc"/>
      <w:bookmarkStart w:id="920" w:name="_Toc12260520"/>
      <w:r>
        <w:lastRenderedPageBreak/>
        <w:t>Part 1 Section 17.15.3.6, doNotLeaveBackslashAlone (Display Backslash As Yen Sign)</w:t>
      </w:r>
      <w:bookmarkEnd w:id="919"/>
      <w:bookmarkEnd w:id="920"/>
      <w:r>
        <w:fldChar w:fldCharType="begin"/>
      </w:r>
      <w:r>
        <w:instrText xml:space="preserve"> XE "doNotLeaveBackslashAlone (Display Backslash As Yen Sign)" </w:instrText>
      </w:r>
      <w:r>
        <w:fldChar w:fldCharType="end"/>
      </w:r>
    </w:p>
    <w:p w:rsidR="00024C0A" w:rsidRDefault="00694C0F">
      <w:pPr>
        <w:pStyle w:val="Definition-Field"/>
      </w:pPr>
      <w:r>
        <w:t xml:space="preserve">a.   </w:t>
      </w:r>
      <w:r>
        <w:rPr>
          <w:i/>
        </w:rPr>
        <w:t>The standard states that backslashes should be converted to yen signs unconditionally if t</w:t>
      </w:r>
      <w:r>
        <w:rPr>
          <w:i/>
        </w:rPr>
        <w:t>he setting is turned on.</w:t>
      </w:r>
    </w:p>
    <w:p w:rsidR="00024C0A" w:rsidRDefault="00694C0F">
      <w:pPr>
        <w:pStyle w:val="Definition-Field2"/>
      </w:pPr>
      <w:r>
        <w:t>Word only converts backslashes to yen signs if the setting is turned on and Japanese language support has been installed.</w:t>
      </w:r>
    </w:p>
    <w:p w:rsidR="00024C0A" w:rsidRDefault="00694C0F">
      <w:pPr>
        <w:pStyle w:val="Heading3"/>
      </w:pPr>
      <w:bookmarkStart w:id="921" w:name="section_6091e3a7b33d4afabff08a7ee9cba183"/>
      <w:bookmarkStart w:id="922" w:name="_Toc12260521"/>
      <w:r>
        <w:t>Part 1 Section 17.16.1, Syntax</w:t>
      </w:r>
      <w:bookmarkEnd w:id="921"/>
      <w:bookmarkEnd w:id="922"/>
      <w:r>
        <w:fldChar w:fldCharType="begin"/>
      </w:r>
      <w:r>
        <w:instrText xml:space="preserve"> XE "Syntax" </w:instrText>
      </w:r>
      <w:r>
        <w:fldChar w:fldCharType="end"/>
      </w:r>
    </w:p>
    <w:p w:rsidR="00024C0A" w:rsidRDefault="00694C0F">
      <w:pPr>
        <w:pStyle w:val="Definition-Field"/>
      </w:pPr>
      <w:r>
        <w:t xml:space="preserve">a.   </w:t>
      </w:r>
      <w:r>
        <w:rPr>
          <w:i/>
        </w:rPr>
        <w:t xml:space="preserve">The standard states that an arbitrary amount of white </w:t>
      </w:r>
      <w:r>
        <w:rPr>
          <w:i/>
        </w:rPr>
        <w:t>space (including none) is supported between tokens.</w:t>
      </w:r>
    </w:p>
    <w:p w:rsidR="00024C0A" w:rsidRDefault="00694C0F">
      <w:pPr>
        <w:pStyle w:val="Definition-Field2"/>
      </w:pPr>
      <w:r>
        <w:t>Unless the instruction begins with a field, Word requires white space between the field-type and its instructions, to disambiguate custom field names from a field + string instruction.</w:t>
      </w:r>
    </w:p>
    <w:p w:rsidR="00024C0A" w:rsidRDefault="00694C0F">
      <w:pPr>
        <w:pStyle w:val="Definition-Field"/>
      </w:pPr>
      <w:r>
        <w:t xml:space="preserve">b.   </w:t>
      </w:r>
      <w:r>
        <w:rPr>
          <w:i/>
        </w:rPr>
        <w:t>The standard d</w:t>
      </w:r>
      <w:r>
        <w:rPr>
          <w:i/>
        </w:rPr>
        <w:t>oes not restrict the number of switches used in a field.</w:t>
      </w:r>
    </w:p>
    <w:p w:rsidR="00024C0A" w:rsidRDefault="00694C0F">
      <w:pPr>
        <w:pStyle w:val="Definition-Field2"/>
      </w:pPr>
      <w:r>
        <w:t>Word allows at most 10 formatting-switches and at most 10 field-specific-switches in a field.</w:t>
      </w:r>
    </w:p>
    <w:p w:rsidR="00024C0A" w:rsidRDefault="00694C0F">
      <w:pPr>
        <w:pStyle w:val="Definition-Field"/>
      </w:pPr>
      <w:r>
        <w:t xml:space="preserve">c.   </w:t>
      </w:r>
      <w:r>
        <w:rPr>
          <w:i/>
        </w:rPr>
        <w:t>The standard allows more than one picture switch and allows picture switch to occur in any order rel</w:t>
      </w:r>
      <w:r>
        <w:rPr>
          <w:i/>
        </w:rPr>
        <w:t>ative to other field switches.</w:t>
      </w:r>
    </w:p>
    <w:p w:rsidR="00024C0A" w:rsidRDefault="00694C0F">
      <w:pPr>
        <w:pStyle w:val="Definition-Field2"/>
      </w:pPr>
      <w:r>
        <w:t>Word allows at most one picture switch and requires that picture switch to precede other field switches.</w:t>
      </w:r>
    </w:p>
    <w:p w:rsidR="00024C0A" w:rsidRDefault="00694C0F">
      <w:pPr>
        <w:pStyle w:val="Definition-Field"/>
      </w:pPr>
      <w:r>
        <w:t xml:space="preserve">d.   </w:t>
      </w:r>
      <w:r>
        <w:rPr>
          <w:i/>
        </w:rPr>
        <w:t>The standard defines a general syntax of fields that includes many field types.</w:t>
      </w:r>
    </w:p>
    <w:p w:rsidR="00024C0A" w:rsidRDefault="00694C0F">
      <w:pPr>
        <w:ind w:left="360"/>
      </w:pPr>
      <w:r>
        <w:t>Word uses the following field types</w:t>
      </w:r>
      <w:r>
        <w:t xml:space="preserve"> (</w:t>
      </w:r>
      <w:hyperlink w:anchor="Section_0f6b31f54bcc47ba918420810cfc304f">
        <w:r>
          <w:rPr>
            <w:rStyle w:val="Hyperlink"/>
          </w:rPr>
          <w:t>§3.1.3.2, Additional Fields</w:t>
        </w:r>
      </w:hyperlink>
      <w:r>
        <w:t>) in addition to or superseding those already specified by the general syntax of fields in "</w:t>
      </w:r>
      <w:hyperlink r:id="rId102">
        <w:r>
          <w:rPr>
            <w:rStyle w:val="Hyperlink"/>
          </w:rPr>
          <w:t>[ISO/I</w:t>
        </w:r>
        <w:r>
          <w:rPr>
            <w:rStyle w:val="Hyperlink"/>
          </w:rPr>
          <w:t>EC-29500-1]</w:t>
        </w:r>
      </w:hyperlink>
      <w:r>
        <w:t xml:space="preserve"> §17.16":</w:t>
      </w:r>
    </w:p>
    <w:p w:rsidR="00024C0A" w:rsidRDefault="00694C0F">
      <w:pPr>
        <w:ind w:left="360"/>
      </w:pPr>
      <w:r>
        <w:t>document-information:</w:t>
      </w:r>
    </w:p>
    <w:p w:rsidR="00024C0A" w:rsidRDefault="00694C0F">
      <w:pPr>
        <w:ind w:left="360"/>
      </w:pPr>
      <w:r>
        <w:t xml:space="preserve">PRIVATE  |  </w:t>
      </w:r>
    </w:p>
    <w:p w:rsidR="00024C0A" w:rsidRDefault="00694C0F">
      <w:pPr>
        <w:ind w:left="360"/>
      </w:pPr>
      <w:r>
        <w:t>links-and-references:</w:t>
      </w:r>
    </w:p>
    <w:p w:rsidR="00024C0A" w:rsidRDefault="00694C0F">
      <w:pPr>
        <w:ind w:left="360"/>
      </w:pPr>
      <w:r>
        <w:t>DDE  |  DDEAUTO  |  GLOSSARY  |   INCLUDE  |   IMPORT  | SHAPE</w:t>
      </w:r>
    </w:p>
    <w:p w:rsidR="00024C0A" w:rsidRDefault="00694C0F">
      <w:pPr>
        <w:pStyle w:val="Definition-Field"/>
      </w:pPr>
      <w:r>
        <w:t xml:space="preserve">e.   </w:t>
      </w:r>
      <w:r>
        <w:rPr>
          <w:i/>
        </w:rPr>
        <w:t>The standard defines a user-defined-field.</w:t>
      </w:r>
    </w:p>
    <w:p w:rsidR="00024C0A" w:rsidRDefault="00694C0F">
      <w:pPr>
        <w:ind w:firstLine="360"/>
      </w:pPr>
      <w:r>
        <w:t>Word does not implement user-defined-fields.</w:t>
      </w:r>
    </w:p>
    <w:p w:rsidR="00024C0A" w:rsidRDefault="00694C0F">
      <w:pPr>
        <w:pStyle w:val="Definition-Field"/>
      </w:pPr>
      <w:r>
        <w:rPr>
          <w:i/>
        </w:rPr>
        <w:t>f.</w:t>
      </w:r>
      <w:r>
        <w:t xml:space="preserve">   </w:t>
      </w:r>
      <w:r>
        <w:rPr>
          <w:i/>
        </w:rPr>
        <w:t xml:space="preserve">The standard states that the instruction of one field can be another field, but the word instruction isn’t in the syntax defined in </w:t>
      </w:r>
      <w:r>
        <w:t>"[ISO/IEC-29500-1] §17.16.1".</w:t>
      </w:r>
    </w:p>
    <w:p w:rsidR="00024C0A" w:rsidRDefault="00694C0F">
      <w:pPr>
        <w:pStyle w:val="Definition-Field2"/>
      </w:pPr>
      <w:r>
        <w:t>In Word, the only field type that can contain another field is the expression type.</w:t>
      </w:r>
    </w:p>
    <w:p w:rsidR="00024C0A" w:rsidRDefault="00694C0F">
      <w:pPr>
        <w:pStyle w:val="Heading3"/>
      </w:pPr>
      <w:bookmarkStart w:id="923" w:name="section_01d8bb8ec1fa46e7865d931ad671a6c1"/>
      <w:bookmarkStart w:id="924" w:name="_Toc12260522"/>
      <w:r>
        <w:t>Part 1 Sec</w:t>
      </w:r>
      <w:r>
        <w:t>tion 17.16.2, XML representation</w:t>
      </w:r>
      <w:bookmarkEnd w:id="923"/>
      <w:bookmarkEnd w:id="924"/>
      <w:r>
        <w:fldChar w:fldCharType="begin"/>
      </w:r>
      <w:r>
        <w:instrText xml:space="preserve"> XE "XML representation" </w:instrText>
      </w:r>
      <w:r>
        <w:fldChar w:fldCharType="end"/>
      </w:r>
    </w:p>
    <w:p w:rsidR="00024C0A" w:rsidRDefault="00694C0F">
      <w:pPr>
        <w:pStyle w:val="ListParagraph"/>
        <w:ind w:left="0"/>
        <w:rPr>
          <w:i/>
        </w:rPr>
      </w:pPr>
      <w:r>
        <w:t xml:space="preserve">a.   </w:t>
      </w:r>
      <w:r>
        <w:rPr>
          <w:i/>
        </w:rPr>
        <w:t>The standard states that the instruction of one field can be another field, allowing fields to nest.</w:t>
      </w:r>
    </w:p>
    <w:p w:rsidR="00024C0A" w:rsidRDefault="00694C0F">
      <w:pPr>
        <w:ind w:firstLine="360"/>
      </w:pPr>
      <w:r>
        <w:t>Word does not allow the field-type name to be composed of nested fields.</w:t>
      </w:r>
    </w:p>
    <w:p w:rsidR="00024C0A" w:rsidRDefault="00694C0F">
      <w:pPr>
        <w:ind w:firstLine="360"/>
      </w:pPr>
      <w:r>
        <w:t>[</w:t>
      </w:r>
      <w:r>
        <w:rPr>
          <w:i/>
        </w:rPr>
        <w:t>Example:</w:t>
      </w:r>
      <w:r>
        <w:t xml:space="preserve"> { DATE </w:t>
      </w:r>
      <w:r>
        <w:t xml:space="preserve">} is allowed, { DA{ QUOTE "TE" } } is not allowed. </w:t>
      </w:r>
      <w:r>
        <w:rPr>
          <w:i/>
        </w:rPr>
        <w:t>end example</w:t>
      </w:r>
      <w:r>
        <w:t>]</w:t>
      </w:r>
    </w:p>
    <w:p w:rsidR="00024C0A" w:rsidRDefault="00694C0F">
      <w:pPr>
        <w:pStyle w:val="Heading3"/>
      </w:pPr>
      <w:bookmarkStart w:id="925" w:name="section_0e7a01caa5cd40aea9c6248bfda82221"/>
      <w:bookmarkStart w:id="926" w:name="_Toc12260523"/>
      <w:r>
        <w:lastRenderedPageBreak/>
        <w:t>Part 1 Section 17.16.3.2, Bookmarks</w:t>
      </w:r>
      <w:bookmarkEnd w:id="925"/>
      <w:bookmarkEnd w:id="926"/>
      <w:r>
        <w:fldChar w:fldCharType="begin"/>
      </w:r>
      <w:r>
        <w:instrText xml:space="preserve"> XE "Bookmarks" </w:instrText>
      </w:r>
      <w:r>
        <w:fldChar w:fldCharType="end"/>
      </w:r>
    </w:p>
    <w:p w:rsidR="00024C0A" w:rsidRDefault="00694C0F">
      <w:pPr>
        <w:pStyle w:val="Definition-Field"/>
        <w:numPr>
          <w:ilvl w:val="0"/>
          <w:numId w:val="61"/>
        </w:numPr>
        <w:rPr>
          <w:i/>
        </w:rPr>
      </w:pPr>
      <w:r>
        <w:rPr>
          <w:i/>
        </w:rPr>
        <w:t>The standard does not explicitly indicate behavior when a bookmark name is a valid table cell reference and is used in a field formula.</w:t>
      </w:r>
    </w:p>
    <w:p w:rsidR="00024C0A" w:rsidRDefault="00694C0F">
      <w:pPr>
        <w:pStyle w:val="Definition-Field2"/>
      </w:pPr>
      <w:r>
        <w:t>In</w:t>
      </w:r>
      <w:r>
        <w:t xml:space="preserve"> Word, if the bookmark name used in a field formula is a valid cell reference as described in </w:t>
      </w:r>
      <w:hyperlink w:anchor="Section_3b539277da4f49d094d484d9256afb36" w:history="1">
        <w:r>
          <w:rPr>
            <w:rStyle w:val="Hyperlink"/>
          </w:rPr>
          <w:t>A1-Style Cell References, §18.17.2.3.1(a)</w:t>
        </w:r>
      </w:hyperlink>
      <w:r>
        <w:t xml:space="preserve"> or </w:t>
      </w:r>
      <w:hyperlink w:anchor="Section_8d68c790057144f68583f837e72635ed" w:history="1">
        <w:r>
          <w:rPr>
            <w:rStyle w:val="Hyperlink"/>
          </w:rPr>
          <w:t>R1C1-Style Cell Reference, §18.17.2.3.2(a)</w:t>
        </w:r>
      </w:hyperlink>
      <w:r>
        <w:t>, its value is evaluated as follows:</w:t>
      </w:r>
    </w:p>
    <w:p w:rsidR="00024C0A" w:rsidRDefault="00694C0F">
      <w:pPr>
        <w:pStyle w:val="Definition-Field2"/>
      </w:pPr>
      <w:r>
        <w:t>If the field formula is contained in a table and references a non-existent table cell, an error message is displayed. If the table cell exists, but does not have a numeric va</w:t>
      </w:r>
      <w:r>
        <w:t>lue, Word will use a value of 0. If the table cell does have a numeric value, Word will use that value.</w:t>
      </w:r>
    </w:p>
    <w:p w:rsidR="00024C0A" w:rsidRDefault="00694C0F">
      <w:pPr>
        <w:pStyle w:val="Definition-Field2"/>
      </w:pPr>
      <w:r>
        <w:t>If the field formula is not contained in a table, and the bookmark name is not a valid bookmark, Word will use a value of 0. If the bookmark name is val</w:t>
      </w:r>
      <w:r>
        <w:t>id, and the bookmark does not have a numeric value, Word will use the value of 0. If the bookmark name is valid and the bookmark does have a numeric value, Word will use that value.</w:t>
      </w:r>
    </w:p>
    <w:p w:rsidR="00024C0A" w:rsidRDefault="00694C0F">
      <w:pPr>
        <w:pStyle w:val="ListParagraph"/>
        <w:numPr>
          <w:ilvl w:val="0"/>
          <w:numId w:val="61"/>
        </w:numPr>
        <w:rPr>
          <w:i/>
        </w:rPr>
      </w:pPr>
      <w:r>
        <w:rPr>
          <w:i/>
        </w:rPr>
        <w:t>The standard does not explicitly indicate behavior when a bookmark name is</w:t>
      </w:r>
      <w:r>
        <w:rPr>
          <w:i/>
        </w:rPr>
        <w:t xml:space="preserve"> the same as a reserved function name.</w:t>
      </w:r>
    </w:p>
    <w:p w:rsidR="00024C0A" w:rsidRDefault="00694C0F">
      <w:pPr>
        <w:pStyle w:val="Definition-Field2"/>
      </w:pPr>
      <w:r>
        <w:t>In Word, reserved function names cannot be used as bookmark names within a formula or expression.</w:t>
      </w:r>
    </w:p>
    <w:p w:rsidR="00024C0A" w:rsidRDefault="00694C0F">
      <w:pPr>
        <w:pStyle w:val="Heading3"/>
      </w:pPr>
      <w:bookmarkStart w:id="927" w:name="section_85aca241958e4d6f8c8081258ea5ca60"/>
      <w:bookmarkStart w:id="928" w:name="_Toc12260524"/>
      <w:r>
        <w:t>Part 1 Section 17.16.3.3, Operators</w:t>
      </w:r>
      <w:bookmarkEnd w:id="927"/>
      <w:bookmarkEnd w:id="928"/>
      <w:r>
        <w:fldChar w:fldCharType="begin"/>
      </w:r>
      <w:r>
        <w:instrText xml:space="preserve"> XE "Operators" </w:instrText>
      </w:r>
      <w:r>
        <w:fldChar w:fldCharType="end"/>
      </w:r>
    </w:p>
    <w:p w:rsidR="00024C0A" w:rsidRDefault="00694C0F">
      <w:pPr>
        <w:pStyle w:val="Definition-Field"/>
      </w:pPr>
      <w:r>
        <w:t xml:space="preserve">a.   </w:t>
      </w:r>
      <w:r>
        <w:rPr>
          <w:i/>
        </w:rPr>
        <w:t xml:space="preserve">The standard says that the multiplication, division and </w:t>
      </w:r>
      <w:r>
        <w:rPr>
          <w:i/>
        </w:rPr>
        <w:t>exponent operators have higher precedence than the percentage operator.</w:t>
      </w:r>
    </w:p>
    <w:p w:rsidR="00024C0A" w:rsidRDefault="00694C0F">
      <w:pPr>
        <w:pStyle w:val="Definition-Field2"/>
      </w:pPr>
      <w:r>
        <w:t>In Word, the percentage operator has higher precedence than the multiplication, division and exponent operators.</w:t>
      </w:r>
    </w:p>
    <w:p w:rsidR="00024C0A" w:rsidRDefault="00694C0F">
      <w:pPr>
        <w:pStyle w:val="Heading3"/>
      </w:pPr>
      <w:bookmarkStart w:id="929" w:name="section_f6c3f73269c144b9b8f4517245404a01"/>
      <w:bookmarkStart w:id="930" w:name="_Toc12260525"/>
      <w:r>
        <w:t>Part 1 Section 17.16.3.5, Table cell references</w:t>
      </w:r>
      <w:bookmarkEnd w:id="929"/>
      <w:bookmarkEnd w:id="930"/>
      <w:r>
        <w:fldChar w:fldCharType="begin"/>
      </w:r>
      <w:r>
        <w:instrText xml:space="preserve"> XE "Table cell referenc</w:instrText>
      </w:r>
      <w:r>
        <w:instrText xml:space="preserve">es" </w:instrText>
      </w:r>
      <w:r>
        <w:fldChar w:fldCharType="end"/>
      </w:r>
    </w:p>
    <w:p w:rsidR="00024C0A" w:rsidRDefault="00694C0F">
      <w:pPr>
        <w:pStyle w:val="Definition-Field"/>
        <w:numPr>
          <w:ilvl w:val="0"/>
          <w:numId w:val="62"/>
        </w:numPr>
        <w:rPr>
          <w:i/>
        </w:rPr>
      </w:pPr>
      <w:r>
        <w:rPr>
          <w:i/>
        </w:rPr>
        <w:t>The standard states that cells have names such as A1, A2, B1, B2, and so on, with the letter representing the column and the number representing a row.</w:t>
      </w:r>
    </w:p>
    <w:p w:rsidR="00024C0A" w:rsidRDefault="00694C0F">
      <w:pPr>
        <w:pStyle w:val="Definition-Field2"/>
      </w:pPr>
      <w:r>
        <w:t xml:space="preserve">In Word, a cell can also be referenced with the R1C1 style as described in </w:t>
      </w:r>
      <w:hyperlink w:anchor="Section_8d68c790057144f68583f837e72635ed" w:history="1">
        <w:r>
          <w:rPr>
            <w:rStyle w:val="Hyperlink"/>
          </w:rPr>
          <w:t>R1C1-Style Cell Reference, §18.17.2.3.2(a)</w:t>
        </w:r>
      </w:hyperlink>
      <w:r>
        <w:t>. Word only recognizes absolute cell references in this format.</w:t>
      </w:r>
    </w:p>
    <w:p w:rsidR="00024C0A" w:rsidRDefault="00694C0F">
      <w:pPr>
        <w:pStyle w:val="Heading3"/>
      </w:pPr>
      <w:bookmarkStart w:id="931" w:name="section_b4bc44db20704cee8793f96817dd4985"/>
      <w:bookmarkStart w:id="932" w:name="_Toc12260526"/>
      <w:r>
        <w:t>Part 1 Section 17.16.4.1, Date and time formatting</w:t>
      </w:r>
      <w:bookmarkEnd w:id="931"/>
      <w:bookmarkEnd w:id="932"/>
      <w:r>
        <w:fldChar w:fldCharType="begin"/>
      </w:r>
      <w:r>
        <w:instrText xml:space="preserve"> XE "Date and time formatting" </w:instrText>
      </w:r>
      <w:r>
        <w:fldChar w:fldCharType="end"/>
      </w:r>
    </w:p>
    <w:p w:rsidR="00024C0A" w:rsidRDefault="00694C0F">
      <w:pPr>
        <w:pStyle w:val="Definition-Field"/>
      </w:pPr>
      <w:r>
        <w:t xml:space="preserve">a.   </w:t>
      </w:r>
      <w:r>
        <w:rPr>
          <w:i/>
        </w:rPr>
        <w:t>The standard does not s</w:t>
      </w:r>
      <w:r>
        <w:rPr>
          <w:i/>
        </w:rPr>
        <w:t>pecify that quotation marks must surround switch arguments that contain white space.</w:t>
      </w:r>
    </w:p>
    <w:p w:rsidR="00024C0A" w:rsidRDefault="00694C0F">
      <w:pPr>
        <w:pStyle w:val="Definition-Field2"/>
      </w:pPr>
      <w:r>
        <w:t>In Word, quotation marks are required around the switch-argument if it contains white space; otherwise, the quotation marks are optional.</w:t>
      </w:r>
    </w:p>
    <w:p w:rsidR="00024C0A" w:rsidRDefault="00694C0F">
      <w:pPr>
        <w:pStyle w:val="Heading3"/>
      </w:pPr>
      <w:bookmarkStart w:id="933" w:name="section_77bace381a5343a19598684246b14b62"/>
      <w:bookmarkStart w:id="934" w:name="_Toc12260527"/>
      <w:r>
        <w:t>Part 1 Section 17.16.4.3, General</w:t>
      </w:r>
      <w:r>
        <w:t xml:space="preserve"> formatting</w:t>
      </w:r>
      <w:bookmarkEnd w:id="933"/>
      <w:bookmarkEnd w:id="934"/>
      <w:r>
        <w:fldChar w:fldCharType="begin"/>
      </w:r>
      <w:r>
        <w:instrText xml:space="preserve"> XE "General formatting" </w:instrText>
      </w:r>
      <w:r>
        <w:fldChar w:fldCharType="end"/>
      </w:r>
    </w:p>
    <w:p w:rsidR="00024C0A" w:rsidRDefault="00694C0F">
      <w:pPr>
        <w:pStyle w:val="Definition-Field"/>
      </w:pPr>
      <w:r>
        <w:t xml:space="preserve">a.   </w:t>
      </w:r>
      <w:r>
        <w:rPr>
          <w:i/>
        </w:rPr>
        <w:t>The standard makes no mention of the MERGEFORMATINET switch argument</w:t>
      </w:r>
    </w:p>
    <w:p w:rsidR="00024C0A" w:rsidRDefault="00694C0F">
      <w:r>
        <w:t xml:space="preserve">Word understands an additional switch argument, MERGEFORMATINET.  </w:t>
      </w:r>
    </w:p>
    <w:p w:rsidR="00024C0A" w:rsidRDefault="00694C0F">
      <w:r>
        <w:t>When this switch argument is present on an INCLUDEPICTURE or IMPORT field, Word will preserve the dimensions of any picture within the result such that when the result is updated with a new picture, the dimensions of the new picture shall be set to match t</w:t>
      </w:r>
      <w:r>
        <w:t xml:space="preserve">he dimensions of the original picture.  </w:t>
      </w:r>
    </w:p>
    <w:p w:rsidR="00024C0A" w:rsidRDefault="00694C0F">
      <w:r>
        <w:lastRenderedPageBreak/>
        <w:t>When this switch argument is present on any other field, Word interprets this the same as a MERGEFORMAT switch.</w:t>
      </w:r>
    </w:p>
    <w:p w:rsidR="00024C0A" w:rsidRDefault="00694C0F">
      <w:pPr>
        <w:pStyle w:val="Heading3"/>
      </w:pPr>
      <w:bookmarkStart w:id="935" w:name="section_9ca3f9d657da45608daac53116a60fa3"/>
      <w:bookmarkStart w:id="936" w:name="_Toc12260528"/>
      <w:r>
        <w:t>Part 1 Section 17.16.5.1, ADDRESSBLOCK</w:t>
      </w:r>
      <w:bookmarkEnd w:id="935"/>
      <w:bookmarkEnd w:id="936"/>
      <w:r>
        <w:fldChar w:fldCharType="begin"/>
      </w:r>
      <w:r>
        <w:instrText xml:space="preserve"> XE "ADDRESSBLOCK" </w:instrText>
      </w:r>
      <w:r>
        <w:fldChar w:fldCharType="end"/>
      </w:r>
    </w:p>
    <w:p w:rsidR="00024C0A" w:rsidRDefault="00694C0F">
      <w:pPr>
        <w:pStyle w:val="Definition-Field"/>
      </w:pPr>
      <w:r>
        <w:t xml:space="preserve">a.   </w:t>
      </w:r>
      <w:r>
        <w:rPr>
          <w:i/>
        </w:rPr>
        <w:t>The standard does not fully explain th</w:t>
      </w:r>
      <w:r>
        <w:rPr>
          <w:i/>
        </w:rPr>
        <w:t>e format accepted by the \f switch.</w:t>
      </w:r>
    </w:p>
    <w:p w:rsidR="00024C0A" w:rsidRDefault="00694C0F">
      <w:r>
        <w:t xml:space="preserve">In Word, placeholders in this switch's field-argument reference a </w:t>
      </w:r>
      <w:r>
        <w:rPr>
          <w:b/>
        </w:rPr>
        <w:t>fieldMapData</w:t>
      </w:r>
      <w:r>
        <w:t xml:space="preserve"> element. ("</w:t>
      </w:r>
      <w:hyperlink r:id="rId103">
        <w:r>
          <w:rPr>
            <w:rStyle w:val="Hyperlink"/>
          </w:rPr>
          <w:t>[ISO/IEC-29500-1]</w:t>
        </w:r>
      </w:hyperlink>
      <w:r>
        <w:t xml:space="preserve"> §17.14.15; fieldMapData").   The placeholder w</w:t>
      </w:r>
      <w:r>
        <w:t xml:space="preserve">ill be expanded to the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024C0A" w:rsidRDefault="00694C0F">
      <w:r>
        <w:t>The following are the possible placeholders and corresponding mappe</w:t>
      </w:r>
      <w:r>
        <w:t>d merge field names are reserved:</w:t>
      </w:r>
    </w:p>
    <w:tbl>
      <w:tblPr>
        <w:tblStyle w:val="Table-ShadedHeader"/>
        <w:tblW w:w="0" w:type="auto"/>
        <w:tblLook w:val="04A0" w:firstRow="1" w:lastRow="0" w:firstColumn="1" w:lastColumn="0" w:noHBand="0" w:noVBand="1"/>
      </w:tblPr>
      <w:tblGrid>
        <w:gridCol w:w="1754"/>
        <w:gridCol w:w="2641"/>
        <w:gridCol w:w="2650"/>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PLACEHOLDER</w:t>
            </w:r>
          </w:p>
        </w:tc>
        <w:tc>
          <w:tcPr>
            <w:tcW w:w="0" w:type="auto"/>
            <w:vAlign w:val="center"/>
          </w:tcPr>
          <w:p w:rsidR="00024C0A" w:rsidRDefault="00694C0F">
            <w:pPr>
              <w:pStyle w:val="TableHeaderText"/>
            </w:pPr>
            <w:r>
              <w:t>ALTERNATE PLACEHOLDER</w:t>
            </w:r>
          </w:p>
        </w:tc>
        <w:tc>
          <w:tcPr>
            <w:tcW w:w="0" w:type="auto"/>
            <w:vAlign w:val="center"/>
          </w:tcPr>
          <w:p w:rsidR="00024C0A" w:rsidRDefault="00694C0F">
            <w:pPr>
              <w:pStyle w:val="TableHeaderText"/>
            </w:pPr>
            <w:r>
              <w:t>mappedName</w:t>
            </w:r>
          </w:p>
        </w:tc>
      </w:tr>
      <w:tr w:rsidR="00024C0A" w:rsidTr="00024C0A">
        <w:tc>
          <w:tcPr>
            <w:tcW w:w="0" w:type="auto"/>
            <w:vAlign w:val="center"/>
          </w:tcPr>
          <w:p w:rsidR="00024C0A" w:rsidRDefault="00694C0F">
            <w:pPr>
              <w:pStyle w:val="TableBodyText"/>
            </w:pPr>
            <w:r>
              <w:t>&lt;&lt;_TITLE0_&gt;&gt;</w:t>
            </w:r>
          </w:p>
        </w:tc>
        <w:tc>
          <w:tcPr>
            <w:tcW w:w="0" w:type="auto"/>
            <w:vAlign w:val="center"/>
          </w:tcPr>
          <w:p w:rsidR="00024C0A" w:rsidRDefault="00694C0F">
            <w:pPr>
              <w:pStyle w:val="TableBodyText"/>
            </w:pPr>
            <w:r>
              <w:t>/t0</w:t>
            </w:r>
          </w:p>
        </w:tc>
        <w:tc>
          <w:tcPr>
            <w:tcW w:w="0" w:type="auto"/>
            <w:vAlign w:val="center"/>
          </w:tcPr>
          <w:p w:rsidR="00024C0A" w:rsidRDefault="00694C0F">
            <w:pPr>
              <w:pStyle w:val="TableBodyText"/>
            </w:pPr>
            <w:r>
              <w:t>Courtesy Title</w:t>
            </w:r>
          </w:p>
        </w:tc>
      </w:tr>
      <w:tr w:rsidR="00024C0A" w:rsidTr="00024C0A">
        <w:tc>
          <w:tcPr>
            <w:tcW w:w="0" w:type="auto"/>
            <w:vAlign w:val="center"/>
          </w:tcPr>
          <w:p w:rsidR="00024C0A" w:rsidRDefault="00694C0F">
            <w:pPr>
              <w:pStyle w:val="TableBodyText"/>
            </w:pPr>
            <w:r>
              <w:t>&lt;&lt;_NICK0_&gt;&gt;</w:t>
            </w:r>
          </w:p>
        </w:tc>
        <w:tc>
          <w:tcPr>
            <w:tcW w:w="0" w:type="auto"/>
            <w:vAlign w:val="center"/>
          </w:tcPr>
          <w:p w:rsidR="00024C0A" w:rsidRDefault="00694C0F">
            <w:pPr>
              <w:pStyle w:val="TableBodyText"/>
            </w:pPr>
            <w:r>
              <w:t>/n0</w:t>
            </w:r>
          </w:p>
        </w:tc>
        <w:tc>
          <w:tcPr>
            <w:tcW w:w="0" w:type="auto"/>
            <w:vAlign w:val="center"/>
          </w:tcPr>
          <w:p w:rsidR="00024C0A" w:rsidRDefault="00694C0F">
            <w:pPr>
              <w:pStyle w:val="TableBodyText"/>
            </w:pPr>
            <w:r>
              <w:t>Nickname</w:t>
            </w:r>
          </w:p>
        </w:tc>
      </w:tr>
      <w:tr w:rsidR="00024C0A" w:rsidTr="00024C0A">
        <w:tc>
          <w:tcPr>
            <w:tcW w:w="0" w:type="auto"/>
            <w:vAlign w:val="center"/>
          </w:tcPr>
          <w:p w:rsidR="00024C0A" w:rsidRDefault="00694C0F">
            <w:pPr>
              <w:pStyle w:val="TableBodyText"/>
            </w:pPr>
            <w:r>
              <w:t>&lt;&lt;_FIRST0_&gt;&gt;</w:t>
            </w:r>
          </w:p>
        </w:tc>
        <w:tc>
          <w:tcPr>
            <w:tcW w:w="0" w:type="auto"/>
            <w:vAlign w:val="center"/>
          </w:tcPr>
          <w:p w:rsidR="00024C0A" w:rsidRDefault="00694C0F">
            <w:pPr>
              <w:pStyle w:val="TableBodyText"/>
            </w:pPr>
            <w:r>
              <w:t>/f0</w:t>
            </w:r>
          </w:p>
        </w:tc>
        <w:tc>
          <w:tcPr>
            <w:tcW w:w="0" w:type="auto"/>
            <w:vAlign w:val="center"/>
          </w:tcPr>
          <w:p w:rsidR="00024C0A" w:rsidRDefault="00694C0F">
            <w:pPr>
              <w:pStyle w:val="TableBodyText"/>
            </w:pPr>
            <w:r>
              <w:t>First Name</w:t>
            </w:r>
          </w:p>
        </w:tc>
      </w:tr>
      <w:tr w:rsidR="00024C0A" w:rsidTr="00024C0A">
        <w:tc>
          <w:tcPr>
            <w:tcW w:w="0" w:type="auto"/>
            <w:vAlign w:val="center"/>
          </w:tcPr>
          <w:p w:rsidR="00024C0A" w:rsidRDefault="00694C0F">
            <w:pPr>
              <w:pStyle w:val="TableBodyText"/>
            </w:pPr>
            <w:r>
              <w:t>&lt;&lt;_MIDDLE0_&gt;&gt;</w:t>
            </w:r>
          </w:p>
        </w:tc>
        <w:tc>
          <w:tcPr>
            <w:tcW w:w="0" w:type="auto"/>
            <w:vAlign w:val="center"/>
          </w:tcPr>
          <w:p w:rsidR="00024C0A" w:rsidRDefault="00694C0F">
            <w:pPr>
              <w:pStyle w:val="TableBodyText"/>
            </w:pPr>
            <w:r>
              <w:t>/m0</w:t>
            </w:r>
          </w:p>
        </w:tc>
        <w:tc>
          <w:tcPr>
            <w:tcW w:w="0" w:type="auto"/>
            <w:vAlign w:val="center"/>
          </w:tcPr>
          <w:p w:rsidR="00024C0A" w:rsidRDefault="00694C0F">
            <w:pPr>
              <w:pStyle w:val="TableBodyText"/>
            </w:pPr>
            <w:r>
              <w:t>Middle Name</w:t>
            </w:r>
          </w:p>
        </w:tc>
      </w:tr>
      <w:tr w:rsidR="00024C0A" w:rsidTr="00024C0A">
        <w:tc>
          <w:tcPr>
            <w:tcW w:w="0" w:type="auto"/>
            <w:vAlign w:val="center"/>
          </w:tcPr>
          <w:p w:rsidR="00024C0A" w:rsidRDefault="00694C0F">
            <w:pPr>
              <w:pStyle w:val="TableBodyText"/>
            </w:pPr>
            <w:r>
              <w:t>&lt;&lt;_LAST0_&gt;&gt;</w:t>
            </w:r>
          </w:p>
        </w:tc>
        <w:tc>
          <w:tcPr>
            <w:tcW w:w="0" w:type="auto"/>
            <w:vAlign w:val="center"/>
          </w:tcPr>
          <w:p w:rsidR="00024C0A" w:rsidRDefault="00694C0F">
            <w:pPr>
              <w:pStyle w:val="TableBodyText"/>
            </w:pPr>
            <w:r>
              <w:t>/l0</w:t>
            </w:r>
          </w:p>
        </w:tc>
        <w:tc>
          <w:tcPr>
            <w:tcW w:w="0" w:type="auto"/>
            <w:vAlign w:val="center"/>
          </w:tcPr>
          <w:p w:rsidR="00024C0A" w:rsidRDefault="00694C0F">
            <w:pPr>
              <w:pStyle w:val="TableBodyText"/>
            </w:pPr>
            <w:r>
              <w:t>Last Name</w:t>
            </w:r>
          </w:p>
        </w:tc>
      </w:tr>
      <w:tr w:rsidR="00024C0A" w:rsidTr="00024C0A">
        <w:tc>
          <w:tcPr>
            <w:tcW w:w="0" w:type="auto"/>
            <w:vAlign w:val="center"/>
          </w:tcPr>
          <w:p w:rsidR="00024C0A" w:rsidRDefault="00694C0F">
            <w:pPr>
              <w:pStyle w:val="TableBodyText"/>
            </w:pPr>
            <w:r>
              <w:t>&lt;&lt;_SUFFIX0_&gt;&gt;</w:t>
            </w:r>
          </w:p>
        </w:tc>
        <w:tc>
          <w:tcPr>
            <w:tcW w:w="0" w:type="auto"/>
            <w:vAlign w:val="center"/>
          </w:tcPr>
          <w:p w:rsidR="00024C0A" w:rsidRDefault="00694C0F">
            <w:pPr>
              <w:pStyle w:val="TableBodyText"/>
            </w:pPr>
            <w:r>
              <w:t>/s0</w:t>
            </w:r>
          </w:p>
        </w:tc>
        <w:tc>
          <w:tcPr>
            <w:tcW w:w="0" w:type="auto"/>
            <w:vAlign w:val="center"/>
          </w:tcPr>
          <w:p w:rsidR="00024C0A" w:rsidRDefault="00694C0F">
            <w:pPr>
              <w:pStyle w:val="TableBodyText"/>
            </w:pPr>
            <w:r>
              <w:t>Suffix</w:t>
            </w:r>
          </w:p>
        </w:tc>
      </w:tr>
      <w:tr w:rsidR="00024C0A" w:rsidTr="00024C0A">
        <w:tc>
          <w:tcPr>
            <w:tcW w:w="0" w:type="auto"/>
            <w:vAlign w:val="center"/>
          </w:tcPr>
          <w:p w:rsidR="00024C0A" w:rsidRDefault="00694C0F">
            <w:pPr>
              <w:pStyle w:val="TableBodyText"/>
            </w:pPr>
            <w:r>
              <w:t>&lt;&lt;</w:t>
            </w:r>
            <w:r>
              <w:t>_TITLE1_&gt;&gt;</w:t>
            </w:r>
          </w:p>
        </w:tc>
        <w:tc>
          <w:tcPr>
            <w:tcW w:w="0" w:type="auto"/>
            <w:vAlign w:val="center"/>
          </w:tcPr>
          <w:p w:rsidR="00024C0A" w:rsidRDefault="00694C0F">
            <w:pPr>
              <w:pStyle w:val="TableBodyText"/>
            </w:pPr>
            <w:r>
              <w:t>/t1</w:t>
            </w:r>
          </w:p>
        </w:tc>
        <w:tc>
          <w:tcPr>
            <w:tcW w:w="0" w:type="auto"/>
            <w:vAlign w:val="center"/>
          </w:tcPr>
          <w:p w:rsidR="00024C0A" w:rsidRDefault="00694C0F">
            <w:pPr>
              <w:pStyle w:val="TableBodyText"/>
            </w:pPr>
            <w:r>
              <w:t>Spouse/Partner Courtesy Title</w:t>
            </w:r>
          </w:p>
        </w:tc>
      </w:tr>
      <w:tr w:rsidR="00024C0A" w:rsidTr="00024C0A">
        <w:tc>
          <w:tcPr>
            <w:tcW w:w="0" w:type="auto"/>
            <w:vAlign w:val="center"/>
          </w:tcPr>
          <w:p w:rsidR="00024C0A" w:rsidRDefault="00694C0F">
            <w:pPr>
              <w:pStyle w:val="TableBodyText"/>
            </w:pPr>
            <w:r>
              <w:t>&lt;&lt;_NICK1_&gt;&gt;</w:t>
            </w:r>
          </w:p>
        </w:tc>
        <w:tc>
          <w:tcPr>
            <w:tcW w:w="0" w:type="auto"/>
            <w:vAlign w:val="center"/>
          </w:tcPr>
          <w:p w:rsidR="00024C0A" w:rsidRDefault="00694C0F">
            <w:pPr>
              <w:pStyle w:val="TableBodyText"/>
            </w:pPr>
            <w:r>
              <w:t>/n1</w:t>
            </w:r>
          </w:p>
        </w:tc>
        <w:tc>
          <w:tcPr>
            <w:tcW w:w="0" w:type="auto"/>
            <w:vAlign w:val="center"/>
          </w:tcPr>
          <w:p w:rsidR="00024C0A" w:rsidRDefault="00694C0F">
            <w:pPr>
              <w:pStyle w:val="TableBodyText"/>
            </w:pPr>
            <w:r>
              <w:t>Spouse/Partner Nickname</w:t>
            </w:r>
          </w:p>
        </w:tc>
      </w:tr>
      <w:tr w:rsidR="00024C0A" w:rsidTr="00024C0A">
        <w:tc>
          <w:tcPr>
            <w:tcW w:w="0" w:type="auto"/>
            <w:vAlign w:val="center"/>
          </w:tcPr>
          <w:p w:rsidR="00024C0A" w:rsidRDefault="00694C0F">
            <w:pPr>
              <w:pStyle w:val="TableBodyText"/>
            </w:pPr>
            <w:r>
              <w:t>&lt;&lt;_FIRST1_&gt;&gt;</w:t>
            </w:r>
          </w:p>
        </w:tc>
        <w:tc>
          <w:tcPr>
            <w:tcW w:w="0" w:type="auto"/>
            <w:vAlign w:val="center"/>
          </w:tcPr>
          <w:p w:rsidR="00024C0A" w:rsidRDefault="00694C0F">
            <w:pPr>
              <w:pStyle w:val="TableBodyText"/>
            </w:pPr>
            <w:r>
              <w:t>/f1</w:t>
            </w:r>
          </w:p>
        </w:tc>
        <w:tc>
          <w:tcPr>
            <w:tcW w:w="0" w:type="auto"/>
            <w:vAlign w:val="center"/>
          </w:tcPr>
          <w:p w:rsidR="00024C0A" w:rsidRDefault="00694C0F">
            <w:pPr>
              <w:pStyle w:val="TableBodyText"/>
            </w:pPr>
            <w:r>
              <w:t>Spouse/Partner First Name</w:t>
            </w:r>
          </w:p>
        </w:tc>
      </w:tr>
      <w:tr w:rsidR="00024C0A" w:rsidTr="00024C0A">
        <w:tc>
          <w:tcPr>
            <w:tcW w:w="0" w:type="auto"/>
            <w:vAlign w:val="center"/>
          </w:tcPr>
          <w:p w:rsidR="00024C0A" w:rsidRDefault="00694C0F">
            <w:pPr>
              <w:pStyle w:val="TableBodyText"/>
            </w:pPr>
            <w:r>
              <w:t>&lt;&lt;_MIDDLE1_&gt;&gt;</w:t>
            </w:r>
          </w:p>
        </w:tc>
        <w:tc>
          <w:tcPr>
            <w:tcW w:w="0" w:type="auto"/>
            <w:vAlign w:val="center"/>
          </w:tcPr>
          <w:p w:rsidR="00024C0A" w:rsidRDefault="00694C0F">
            <w:pPr>
              <w:pStyle w:val="TableBodyText"/>
            </w:pPr>
            <w:r>
              <w:t>/m1</w:t>
            </w:r>
          </w:p>
        </w:tc>
        <w:tc>
          <w:tcPr>
            <w:tcW w:w="0" w:type="auto"/>
            <w:vAlign w:val="center"/>
          </w:tcPr>
          <w:p w:rsidR="00024C0A" w:rsidRDefault="00694C0F">
            <w:pPr>
              <w:pStyle w:val="TableBodyText"/>
            </w:pPr>
            <w:r>
              <w:t>Spouse/Partner Middle Name</w:t>
            </w:r>
          </w:p>
        </w:tc>
      </w:tr>
      <w:tr w:rsidR="00024C0A" w:rsidTr="00024C0A">
        <w:tc>
          <w:tcPr>
            <w:tcW w:w="0" w:type="auto"/>
            <w:vAlign w:val="center"/>
          </w:tcPr>
          <w:p w:rsidR="00024C0A" w:rsidRDefault="00694C0F">
            <w:pPr>
              <w:pStyle w:val="TableBodyText"/>
            </w:pPr>
            <w:r>
              <w:t>&lt;&lt;_LAST1_&gt;&gt;</w:t>
            </w:r>
          </w:p>
        </w:tc>
        <w:tc>
          <w:tcPr>
            <w:tcW w:w="0" w:type="auto"/>
            <w:vAlign w:val="center"/>
          </w:tcPr>
          <w:p w:rsidR="00024C0A" w:rsidRDefault="00694C0F">
            <w:pPr>
              <w:pStyle w:val="TableBodyText"/>
            </w:pPr>
            <w:r>
              <w:t>/l1</w:t>
            </w:r>
          </w:p>
        </w:tc>
        <w:tc>
          <w:tcPr>
            <w:tcW w:w="0" w:type="auto"/>
            <w:vAlign w:val="center"/>
          </w:tcPr>
          <w:p w:rsidR="00024C0A" w:rsidRDefault="00694C0F">
            <w:pPr>
              <w:pStyle w:val="TableBodyText"/>
            </w:pPr>
            <w:r>
              <w:t>Spouse/Partner Last Name</w:t>
            </w:r>
          </w:p>
        </w:tc>
      </w:tr>
      <w:tr w:rsidR="00024C0A" w:rsidTr="00024C0A">
        <w:tc>
          <w:tcPr>
            <w:tcW w:w="0" w:type="auto"/>
            <w:vAlign w:val="center"/>
          </w:tcPr>
          <w:p w:rsidR="00024C0A" w:rsidRDefault="00694C0F">
            <w:pPr>
              <w:pStyle w:val="TableBodyText"/>
            </w:pPr>
            <w:r>
              <w:t>&lt;&lt;_SUFFIX1_&gt;&gt;</w:t>
            </w:r>
          </w:p>
        </w:tc>
        <w:tc>
          <w:tcPr>
            <w:tcW w:w="0" w:type="auto"/>
            <w:vAlign w:val="center"/>
          </w:tcPr>
          <w:p w:rsidR="00024C0A" w:rsidRDefault="00694C0F">
            <w:pPr>
              <w:pStyle w:val="TableBodyText"/>
            </w:pPr>
            <w:r>
              <w:t>/s1</w:t>
            </w:r>
          </w:p>
        </w:tc>
        <w:tc>
          <w:tcPr>
            <w:tcW w:w="0" w:type="auto"/>
            <w:vAlign w:val="center"/>
          </w:tcPr>
          <w:p w:rsidR="00024C0A" w:rsidRDefault="00694C0F">
            <w:pPr>
              <w:pStyle w:val="TableBodyText"/>
            </w:pPr>
            <w:r>
              <w:t xml:space="preserve">Spouse/Partner </w:t>
            </w:r>
            <w:r>
              <w:t>Suffix</w:t>
            </w:r>
          </w:p>
        </w:tc>
      </w:tr>
      <w:tr w:rsidR="00024C0A" w:rsidTr="00024C0A">
        <w:tc>
          <w:tcPr>
            <w:tcW w:w="0" w:type="auto"/>
            <w:vAlign w:val="center"/>
          </w:tcPr>
          <w:p w:rsidR="00024C0A" w:rsidRDefault="00694C0F">
            <w:pPr>
              <w:pStyle w:val="TableBodyText"/>
            </w:pPr>
            <w:r>
              <w:t>&lt;&lt;_COMPANY_&gt;&gt;</w:t>
            </w:r>
          </w:p>
        </w:tc>
        <w:tc>
          <w:tcPr>
            <w:tcW w:w="0" w:type="auto"/>
            <w:vAlign w:val="center"/>
          </w:tcPr>
          <w:p w:rsidR="00024C0A" w:rsidRDefault="00694C0F">
            <w:pPr>
              <w:pStyle w:val="TableBodyText"/>
            </w:pPr>
            <w:r>
              <w:t>/c</w:t>
            </w:r>
          </w:p>
        </w:tc>
        <w:tc>
          <w:tcPr>
            <w:tcW w:w="0" w:type="auto"/>
            <w:vAlign w:val="center"/>
          </w:tcPr>
          <w:p w:rsidR="00024C0A" w:rsidRDefault="00694C0F">
            <w:pPr>
              <w:pStyle w:val="TableBodyText"/>
            </w:pPr>
            <w:r>
              <w:t>Company</w:t>
            </w:r>
          </w:p>
        </w:tc>
      </w:tr>
      <w:tr w:rsidR="00024C0A" w:rsidTr="00024C0A">
        <w:tc>
          <w:tcPr>
            <w:tcW w:w="0" w:type="auto"/>
            <w:vAlign w:val="center"/>
          </w:tcPr>
          <w:p w:rsidR="00024C0A" w:rsidRDefault="00694C0F">
            <w:pPr>
              <w:pStyle w:val="TableBodyText"/>
            </w:pPr>
            <w:r>
              <w:t>&lt;&lt;_STREET1_&gt;&gt;</w:t>
            </w:r>
          </w:p>
        </w:tc>
        <w:tc>
          <w:tcPr>
            <w:tcW w:w="0" w:type="auto"/>
            <w:vAlign w:val="center"/>
          </w:tcPr>
          <w:p w:rsidR="00024C0A" w:rsidRDefault="00024C0A">
            <w:pPr>
              <w:pStyle w:val="TableBodyText"/>
            </w:pPr>
          </w:p>
          <w:p w:rsidR="00024C0A" w:rsidRDefault="00024C0A">
            <w:pPr>
              <w:pStyle w:val="TableBodyText"/>
            </w:pPr>
          </w:p>
          <w:p w:rsidR="00024C0A" w:rsidRDefault="00694C0F">
            <w:pPr>
              <w:pStyle w:val="TableBodyText"/>
            </w:pPr>
            <w:r>
              <w:t>/r</w:t>
            </w:r>
          </w:p>
        </w:tc>
        <w:tc>
          <w:tcPr>
            <w:tcW w:w="0" w:type="auto"/>
            <w:vAlign w:val="center"/>
          </w:tcPr>
          <w:p w:rsidR="00024C0A" w:rsidRDefault="00694C0F">
            <w:pPr>
              <w:pStyle w:val="TableBodyText"/>
            </w:pPr>
            <w:r>
              <w:t>Address 1</w:t>
            </w:r>
          </w:p>
        </w:tc>
      </w:tr>
      <w:tr w:rsidR="00024C0A" w:rsidTr="00024C0A">
        <w:tc>
          <w:tcPr>
            <w:tcW w:w="0" w:type="auto"/>
            <w:vAlign w:val="center"/>
          </w:tcPr>
          <w:p w:rsidR="00024C0A" w:rsidRDefault="00694C0F">
            <w:pPr>
              <w:pStyle w:val="TableBodyText"/>
            </w:pPr>
            <w:r>
              <w:t>&lt;&lt;_STREET2_&gt;&gt;</w:t>
            </w:r>
          </w:p>
        </w:tc>
        <w:tc>
          <w:tcPr>
            <w:tcW w:w="0" w:type="auto"/>
            <w:vAlign w:val="center"/>
          </w:tcPr>
          <w:p w:rsidR="00024C0A" w:rsidRDefault="00694C0F">
            <w:pPr>
              <w:pStyle w:val="TableBodyText"/>
            </w:pPr>
            <w:r>
              <w:t>/e</w:t>
            </w:r>
          </w:p>
        </w:tc>
        <w:tc>
          <w:tcPr>
            <w:tcW w:w="0" w:type="auto"/>
            <w:vAlign w:val="center"/>
          </w:tcPr>
          <w:p w:rsidR="00024C0A" w:rsidRDefault="00694C0F">
            <w:pPr>
              <w:pStyle w:val="TableBodyText"/>
            </w:pPr>
            <w:r>
              <w:t>Address 2</w:t>
            </w:r>
          </w:p>
        </w:tc>
      </w:tr>
      <w:tr w:rsidR="00024C0A" w:rsidTr="00024C0A">
        <w:tc>
          <w:tcPr>
            <w:tcW w:w="0" w:type="auto"/>
            <w:vAlign w:val="center"/>
          </w:tcPr>
          <w:p w:rsidR="00024C0A" w:rsidRDefault="00694C0F">
            <w:pPr>
              <w:pStyle w:val="TableBodyText"/>
            </w:pPr>
            <w:r>
              <w:t>&lt;&lt;_CITY_&gt;&gt;</w:t>
            </w:r>
          </w:p>
        </w:tc>
        <w:tc>
          <w:tcPr>
            <w:tcW w:w="0" w:type="auto"/>
            <w:vAlign w:val="center"/>
          </w:tcPr>
          <w:p w:rsidR="00024C0A" w:rsidRDefault="00694C0F">
            <w:pPr>
              <w:pStyle w:val="TableBodyText"/>
            </w:pPr>
            <w:r>
              <w:t>/i</w:t>
            </w:r>
          </w:p>
        </w:tc>
        <w:tc>
          <w:tcPr>
            <w:tcW w:w="0" w:type="auto"/>
            <w:vAlign w:val="center"/>
          </w:tcPr>
          <w:p w:rsidR="00024C0A" w:rsidRDefault="00694C0F">
            <w:pPr>
              <w:pStyle w:val="TableBodyText"/>
            </w:pPr>
            <w:r>
              <w:t>City</w:t>
            </w:r>
          </w:p>
        </w:tc>
      </w:tr>
      <w:tr w:rsidR="00024C0A" w:rsidTr="00024C0A">
        <w:tc>
          <w:tcPr>
            <w:tcW w:w="0" w:type="auto"/>
            <w:vAlign w:val="center"/>
          </w:tcPr>
          <w:p w:rsidR="00024C0A" w:rsidRDefault="00694C0F">
            <w:pPr>
              <w:pStyle w:val="TableBodyText"/>
            </w:pPr>
            <w:r>
              <w:t>&lt;&lt;_STATE_&gt;&gt;</w:t>
            </w:r>
          </w:p>
        </w:tc>
        <w:tc>
          <w:tcPr>
            <w:tcW w:w="0" w:type="auto"/>
            <w:vAlign w:val="center"/>
          </w:tcPr>
          <w:p w:rsidR="00024C0A" w:rsidRDefault="00694C0F">
            <w:pPr>
              <w:pStyle w:val="TableBodyText"/>
            </w:pPr>
            <w:r>
              <w:t>/a</w:t>
            </w:r>
          </w:p>
        </w:tc>
        <w:tc>
          <w:tcPr>
            <w:tcW w:w="0" w:type="auto"/>
            <w:vAlign w:val="center"/>
          </w:tcPr>
          <w:p w:rsidR="00024C0A" w:rsidRDefault="00694C0F">
            <w:pPr>
              <w:pStyle w:val="TableBodyText"/>
            </w:pPr>
            <w:r>
              <w:t>State</w:t>
            </w:r>
          </w:p>
        </w:tc>
      </w:tr>
      <w:tr w:rsidR="00024C0A" w:rsidTr="00024C0A">
        <w:tc>
          <w:tcPr>
            <w:tcW w:w="0" w:type="auto"/>
            <w:vAlign w:val="center"/>
          </w:tcPr>
          <w:p w:rsidR="00024C0A" w:rsidRDefault="00694C0F">
            <w:pPr>
              <w:pStyle w:val="TableBodyText"/>
            </w:pPr>
            <w:r>
              <w:t>&lt;&lt;_POSTAL_&gt;&gt;</w:t>
            </w:r>
          </w:p>
        </w:tc>
        <w:tc>
          <w:tcPr>
            <w:tcW w:w="0" w:type="auto"/>
            <w:vAlign w:val="center"/>
          </w:tcPr>
          <w:p w:rsidR="00024C0A" w:rsidRDefault="00694C0F">
            <w:pPr>
              <w:pStyle w:val="TableBodyText"/>
            </w:pPr>
            <w:r>
              <w:t>/z</w:t>
            </w:r>
          </w:p>
        </w:tc>
        <w:tc>
          <w:tcPr>
            <w:tcW w:w="0" w:type="auto"/>
            <w:vAlign w:val="center"/>
          </w:tcPr>
          <w:p w:rsidR="00024C0A" w:rsidRDefault="00694C0F">
            <w:pPr>
              <w:pStyle w:val="TableBodyText"/>
            </w:pPr>
            <w:r>
              <w:t>Postal Code</w:t>
            </w:r>
          </w:p>
        </w:tc>
      </w:tr>
      <w:tr w:rsidR="00024C0A" w:rsidTr="00024C0A">
        <w:tc>
          <w:tcPr>
            <w:tcW w:w="0" w:type="auto"/>
            <w:vAlign w:val="center"/>
          </w:tcPr>
          <w:p w:rsidR="00024C0A" w:rsidRDefault="00694C0F">
            <w:pPr>
              <w:pStyle w:val="TableBodyText"/>
            </w:pPr>
            <w:r>
              <w:t>&lt;&lt;_COUNTRY_&gt;&gt;</w:t>
            </w:r>
          </w:p>
        </w:tc>
        <w:tc>
          <w:tcPr>
            <w:tcW w:w="0" w:type="auto"/>
            <w:vAlign w:val="center"/>
          </w:tcPr>
          <w:p w:rsidR="00024C0A" w:rsidRDefault="00694C0F">
            <w:pPr>
              <w:pStyle w:val="TableBodyText"/>
            </w:pPr>
            <w:r>
              <w:t>/d</w:t>
            </w:r>
          </w:p>
        </w:tc>
        <w:tc>
          <w:tcPr>
            <w:tcW w:w="0" w:type="auto"/>
            <w:vAlign w:val="center"/>
          </w:tcPr>
          <w:p w:rsidR="00024C0A" w:rsidRDefault="00694C0F">
            <w:pPr>
              <w:pStyle w:val="TableBodyText"/>
            </w:pPr>
            <w:r>
              <w:t>Country or Region</w:t>
            </w:r>
          </w:p>
        </w:tc>
      </w:tr>
    </w:tbl>
    <w:p w:rsidR="00024C0A" w:rsidRDefault="00024C0A"/>
    <w:p w:rsidR="00024C0A" w:rsidRDefault="00694C0F">
      <w:r>
        <w:t xml:space="preserve">Word maps the &lt;&lt;_SUFFIX1_&gt;&gt; and /s1 placeholder to </w:t>
      </w:r>
      <w:r>
        <w:t>mappedName Spouse/Partner Nickname, and maps the placeholder &lt;&lt;_NICK1_&gt;&gt; or /n1 to the empty string.</w:t>
      </w:r>
    </w:p>
    <w:p w:rsidR="00024C0A" w:rsidRDefault="00694C0F">
      <w:pPr>
        <w:pStyle w:val="Definition-Field"/>
      </w:pPr>
      <w:r>
        <w:lastRenderedPageBreak/>
        <w:t xml:space="preserve">b.   </w:t>
      </w:r>
      <w:r>
        <w:rPr>
          <w:i/>
        </w:rPr>
        <w:t>The standard states that to exclude multiple countries/regions, multiple \e switches can be used.</w:t>
      </w:r>
    </w:p>
    <w:p w:rsidR="00024C0A" w:rsidRDefault="00694C0F">
      <w:pPr>
        <w:pStyle w:val="Definition-Field2"/>
      </w:pPr>
      <w:r>
        <w:t>Word will respect only the right-most switch, assumi</w:t>
      </w:r>
      <w:r>
        <w:t>ng the instruction string is read left to right.</w:t>
      </w:r>
    </w:p>
    <w:p w:rsidR="00024C0A" w:rsidRDefault="00694C0F">
      <w:pPr>
        <w:pStyle w:val="Definition-Field"/>
      </w:pPr>
      <w:r>
        <w:t xml:space="preserve">c.   </w:t>
      </w:r>
      <w:r>
        <w:rPr>
          <w:i/>
        </w:rPr>
        <w:t>The standard does not specify the format that the argument to the \e switch should be in.</w:t>
      </w:r>
    </w:p>
    <w:p w:rsidR="00024C0A" w:rsidRDefault="00694C0F">
      <w:r>
        <w:t>If the text within the field-argument supplied for the \e switch is equivalent to the country that would be used</w:t>
      </w:r>
      <w:r>
        <w:t xml:space="preserve"> when expanding this mail merge entry, then the country shall be excluded.</w:t>
      </w:r>
    </w:p>
    <w:p w:rsidR="00024C0A" w:rsidRDefault="00694C0F">
      <w:r>
        <w:t>The following strings MAY contain characters represented in the following way.  U+ABCD shall represent the unicode point ABCD. When U+ABCD notation is used in this way, a trailing s</w:t>
      </w:r>
      <w:r>
        <w:t>pace will be included to separate U+ABCD from subsequent text, if any.</w:t>
      </w:r>
    </w:p>
    <w:p w:rsidR="00024C0A" w:rsidRDefault="00694C0F">
      <w:r>
        <w:t>For example, "AlgU+00E8 ria" represents the string "Algèria"</w:t>
      </w:r>
    </w:p>
    <w:p w:rsidR="00024C0A" w:rsidRDefault="00694C0F">
      <w:r>
        <w:t xml:space="preserve">The following paragraphs contain strings which are all considered equivalent to other strings within that paragraph.  These </w:t>
      </w:r>
      <w:r>
        <w:t>strings are enclosed within quotation marks, and are separated by commas.</w:t>
      </w:r>
    </w:p>
    <w:p w:rsidR="00024C0A" w:rsidRDefault="00694C0F">
      <w:r>
        <w:t xml:space="preserve">"Algeria", "Algerien", "Algerie", "U+0627 U+0644 U+062C U+0632 U+0627 U+0626 U+0631", "U+0410 U+043B U+0436 U+0438 U+0440", "AlU+017E U+00ED rsko", "Algeriet", "U+0391 U+03BB U+03B3 </w:t>
      </w:r>
      <w:r>
        <w:t>U+03B5 U+03C1 U+03AF U+03B1", "Argelia", "AlU+017E eeria", "AlgU+00E9 rie", "U+05D0 U+05DC U+05D2 'U+05D9 U+05E8 U+05D9 U+05D4", "AlU+017E ir", "AlgU+00E9 ria", "Algerian", "Algeria ", "AlU+017E U+012B rija", "AlU+017E yras", "AlU+017E yro Liaudies Demokra</w:t>
      </w:r>
      <w:r>
        <w:t>tinU+0117  Respublika", "Algerije", "Algieria", "ArgU+00E9 lia", "RepU+00FA blica Argelina DemocrU+00E1 tica e Popular", "AlU+017E irija", "U+0E41 U+0E2D U+0E25 U+0E08 U+0E35 U+0E40 U+0E23 U+0E35 U+0E22", "Cezayir", "U+0905 U+0932 U+094D U+091C U+0940 U+09</w:t>
      </w:r>
      <w:r>
        <w:t>30 U+093F U+092F U+093E", "AlgU+00E8 ria"</w:t>
      </w:r>
    </w:p>
    <w:p w:rsidR="00024C0A" w:rsidRDefault="00694C0F">
      <w:r>
        <w:t>"Armenia", "U+0623 U+0631 U+0645 U+064A U+0646 U+064A U+0627", "U+0410 U+0440 U+043C U+0435 U+043D U+0438 U+044F", "ArmU+00E9 nie", "Armenien", "U+0391 U+03C1 U+03BC U+03B5 U+03BD U+03AF U+03B1", "Armeenia", "Armen</w:t>
      </w:r>
      <w:r>
        <w:t>ian tasavalta", "U+05D0 U+05E8 U+05DE U+05E0 U+05D9 U+05D4", "Armenija", "U+00D6 rmU+00E9 nyorszU+00E1 g", "ArmU+0113 nija", "ArmU+0117 nija", "ArmU+0117 nijos Respublika", "ArmeniU+00EB", "ArmU+00EA nia", "RepU+00FA blica da ArmU+00EA nia", "ArmU+00E9 nia</w:t>
      </w:r>
      <w:r>
        <w:t>", "ArmU+00E9 nsko", "U+0E2D U+0E32 U+0E23 U+0E4C U+0E40 U+0E21 U+0E40 U+0E19 U+0E35 U+0E22", "Ermenistan", "U+0412 U+0456 U+0440 U+043C U+0435 U+043D U+0456 U+044F", "U+0906 U+0930 U+094D U+092E U+0947 U+0928 U+093F U+092F U+093E", "ArmU+00E8 nia"</w:t>
      </w:r>
    </w:p>
    <w:p w:rsidR="00024C0A" w:rsidRDefault="00694C0F">
      <w:r>
        <w:t>"Austra</w:t>
      </w:r>
      <w:r>
        <w:t>lia", "Australie", "Oz", "AS", "U+0623 U+0633 U+062A U+0631 U+0627 U+0644 U+064A U+0627", "U+0410 U+0432 U+0441 U+0442 U+0440 U+0430 U+043B U+0438 U+044F", "AustrU+00E1 lie", "Australien", "U+0391 U+03C5 U+03C3 U+03C4 U+03C1 U+03B1 U+03BB U+03AF U+03B1", "</w:t>
      </w:r>
      <w:r>
        <w:t>Austraalia", "Australian liittovaltio", "U+05D0 U+05D5 U+05E1 U+05D8 U+05E8 U+05DC U+05D9 U+05D4", "Australija", "AusztrU+00E1 lia", "AustrU+0101 lija", "Australijos Sandrauga", "AustraliU+00EB", "AustrU+00E1 lia", "Comunidade da AustrU+00E1 lia", "Avstral</w:t>
      </w:r>
      <w:r>
        <w:t>ija", "U+0E2D U+0E2D U+0E2A U+0E40 U+0E15 U+0E23 U+0E40 U+0E25 U+0E35 U+0E22", "Avustralya", "U+0410 U+0432 U+0441 U+0442 U+0440 U+0430 U+043B U+0456 U+044F", "U+0911 U+0938 U+094D U+091F U+094D U+0930 U+0947 U+0932 U+093F U+092F U+093E", "AustrU+00E0 lia"</w:t>
      </w:r>
    </w:p>
    <w:p w:rsidR="00024C0A" w:rsidRDefault="00694C0F">
      <w:r>
        <w:t>"Austria", "Autriche", "U+00D6 sterreich", "Oesterreich", "U+0627 U+0644 U+0646 U+0645 U+0633 U+0627", "U+0410 U+0432 U+0441 U+0442 U+0440 U+0438 U+044F", "Rakousko", "U+00D8 strig", "Oestereich", "U+0391 U+03C5 U+03C3 U+03C4 U+03C1 U+03AF U+03B1", "ItU+0</w:t>
      </w:r>
      <w:r>
        <w:t xml:space="preserve">0E4 valta", "ItU+00E4 vallan tasavalta", "U+05D0 U+05D5 U+05E1 U+05D8 U+05E8 U+05D9 U+05D4", "Austrija", "Ausztria", "Austrijos Respublika", "Oostenrijk", "U+00D8 sterrike", "U+00C1 ustria", "RepU+00FA blica da U+00C1 ustria", "RakU+00FA sko", "Avstrija", </w:t>
      </w:r>
      <w:r>
        <w:t>"U+00D6 sterrike", "U+0E2D U+0E2D U+0E2A U+0E40 U+0E15 U+0E23 U+0E35 U+0E22", "Avusturya", "U+0410 U+0432 U+0441 U+0442 U+0440 U+0456 U+044F", "U+0911 U+0938 U+094D U+091F U+094D U+0930 U+093F U+092F U+093E", "U+00C0 ustria"</w:t>
      </w:r>
    </w:p>
    <w:p w:rsidR="00024C0A" w:rsidRDefault="00694C0F">
      <w:r>
        <w:lastRenderedPageBreak/>
        <w:t>"Azerbaijan", "U+0623 U+0630 U+</w:t>
      </w:r>
      <w:r>
        <w:t>0631 U+0628 U+064A U+062C U+0627 U+0646", "U+0410 U+0437 U+0435 U+0440 U+0431 U+0430 U+0439 U+0434 U+0436 U+0430 U+043D", "AzerbajdU+017E U+00E1 n", "Aserbajdsjan", "Aserbajdjan", "Aserbaidschan", "U+0391 U+03B6 U+03B5 U+03C1 U+03BC U+03C0 U+03B1 U+03CA U+</w:t>
      </w:r>
      <w:r>
        <w:t>03C4 U+03B6 U+03AC U+03BD", "AzerbaiyU+00E1 n", "RepU+00FA blica de AzerbaiyU+00E1 n", "AserbaidU+017E aan", "AserbaidU+017E aani Vabariik", "Azerbaidzan", "Azerbaidzanin tasavalta", "AzerbaU+00EF djan", "U+05D0 U+05D6 U+05E8 U+05D1 U+05D9 U+05D2 'U+05D0 U</w:t>
      </w:r>
      <w:r>
        <w:t xml:space="preserve">+05DF", "U+05D0 U+05D6 U+05E8 U+05D1 U+05D9 U+05D2 'U+05DF", "AzerbajdU+017E an", "AzerbajdzsU+00E1 n", "Azerbaigian", "AzerbaidU+017E U+0101 na", "AzerbaidU+017E anas", "AzerbaidU+017E ano Respublika", "Azerbeidzjan", "AzerbejdU+017C an", "AzerbaijU+00E3 </w:t>
      </w:r>
      <w:r>
        <w:t>o", "RepU+00FA blica do AzerbaijU+00E3 o", "Azerbaidjan", "Azerbajdzjan", "U+0E2D U+0E32 U+0E40 U+0E0B U+0E2D U+0E23 U+0E4C U+0E44 U+0E1A U+0E08 U+0E32 U+0E19", "Azerbaycan", "U+0905 U+095B U+0930 U+092C U+0948 U+091C U+093E U+0928"</w:t>
      </w:r>
    </w:p>
    <w:p w:rsidR="00024C0A" w:rsidRDefault="00694C0F">
      <w:r>
        <w:t>"Bahrain", "Bahrayn", "</w:t>
      </w:r>
      <w:r>
        <w:t xml:space="preserve">U+0627 U+0644 U+0628 U+062D U+0631 U+064A U+0646", "U+0411 U+0430 U+0445 U+0440 U+0435 U+0439 U+043D", "Bahrajn", "U+039C U+03C0 U+03B1 U+03C7 U+03C1 U+03AD U+03B9 U+03BD", "BahrU+00E1 in", "Bahrein", "BahrU+00E9 in", "Estado de BahrU+00E9 in", "Estado de </w:t>
      </w:r>
      <w:r>
        <w:t>Bahrein", "Bahrainin valtio", "BahreU+00EF n", "U+05D1 U+05D7 U+05E8 U+05D9 U+05D9 U+05DF", "U+05D1 U+05D7 U+05E8 U+05D9 U+05DF", "Bahreina", "Bahreinas", "Bahreino ValstybU+0117", "BarU+00E9 m", "Estado de BarU+00E9 m", "Barein", "U+0E1A U+0E32 U+0E2B U+0</w:t>
      </w:r>
      <w:r>
        <w:t>E4C U+0E40 U+0E23 U+0E19", "Bahreyn", "U+092C U+0939 U+0930 U+0940 U+0928"</w:t>
      </w:r>
    </w:p>
    <w:p w:rsidR="00024C0A" w:rsidRDefault="00694C0F">
      <w:r>
        <w:t>"Bangladesh", "U+0628 U+0646 U+063A U+0644 U+0627 U+062F U+0634", "U+0628 U+0646 U+063A U+0644 U+0627 U+062F U+064A U+0634", "U+0628 U+0646 U+062C U+0644 U+0627 U+062F U+064A U+0634</w:t>
      </w:r>
      <w:r>
        <w:t xml:space="preserve">", "U+0411 U+0430 U+043D U+0433 U+043B U+0430 U+0434 U+0435 U+0448", "BangladU+00E9 U+0161", "Bangladesch", "U+039C U+03C0 U+03B1 U+03BD U+03B3 U+03BA U+03BB U+03B1 U+03BD U+03C4 U+03AD U+03C2", "Bangladeshin kansantasavalta", "U+05D1 U+05E0 U+05D2 U+05DC </w:t>
      </w:r>
      <w:r>
        <w:t>U+05D3 U+05E9", "U+05D1 U+05E0 U+05D2 U+05DC U+05D4 U+05D3 U+05E9", "U+05D1 U+05E0 U+05D2 U+05DC U+05D4 -U+05D3 U+05E9", "BangladeU+0161", "Banglades", "BangladeU+0161 a", "BangladeU+0161 as", "BangladeU+0161 o Liaudies Respublika", "Bangladesz", "RepU+00F</w:t>
      </w:r>
      <w:r>
        <w:t>A blica Popular de Bangladesh", "Bangladeche", "U+0E1A U+0E31 U+0E07 U+0E04 U+0E25 U+0E32 U+0E40 U+0E17 U+0E28", "BangladeU+015F", "U+092C U+093E U+0902 U+0917 U+094D U+0932 U+093E U+0926 U+0947 U+0936"</w:t>
      </w:r>
    </w:p>
    <w:p w:rsidR="00024C0A" w:rsidRDefault="00694C0F">
      <w:r>
        <w:t>"Belarus", "U+0628 U+064A U+0644 U+0627 U+0631 U+0648</w:t>
      </w:r>
      <w:r>
        <w:t xml:space="preserve"> U+0633", "U+0411 U+0435 U+043B U+043E U+0440 U+0443 U+0441 U+0438 U+044F", "BU+011B lorusko", "Hviderusland", "WeiU+00DF russland", "Weissrussland", "U+039B U+03B5 U+03C5 U+03BA U+03BF U+03C1 U+03C9 U+03C3 U+03AF U+03B1", "Bielorrusia", "BelarU+00FA s", "</w:t>
      </w:r>
      <w:r>
        <w:t>RepU+00FA blica de Bielorrusia", "RepU+00FA blica de BelarU+00FA s", "Valgevene", "Valgevenemaa", "Valko-VenU+00E4 jU+00E4", "Valko-VenU+00E4 jU+00E4 n tasavalta", "BiU+00E9 lorussie", "U+05D1 U+05DC U+05D0 U+05E8 U+05D5 U+05E1", "U+05D1 U+05DC U+05E8 U+05</w:t>
      </w:r>
      <w:r>
        <w:t>D5 U+05E1", "U+05E8 U+05D5 U+05E1 U+05D9 U+05D4  U+05D4 U+05DC U+05D1 U+05E0 U+05D4", "U+05D1 U+05D9 U+05D9 U+05DC U+05E8 U+05D5 U+05E1", "U+05D1 U+05D9 U+05D9 U+05DC U+05D5 U+05E8 U+05D5 U+05E1 U+05D9 U+05D4", "Bjelorusija", "Belarusz", "Belarusszia", "Fe</w:t>
      </w:r>
      <w:r>
        <w:t>hU+00E9 roroszorszU+00E1 g", "Belaruszia", "Belorusszia", "Beloruszia", "Bielorussia", "Baltkrievija", "Baltarusija", "Baltarusijos Respublika", "Wit-Rusland", "Wit Rusland", "Hviterussland", "BiaU+0142 oruU+015B", "RepU+00FA blica da Belarus", "BielorrU+0</w:t>
      </w:r>
      <w:r>
        <w:t>0FA sia", "Bielo-rU+00FA ssia", "U+0411 U+0435 U+043B U+0430 U+0440 U+0443 U+0441 U+044C", "U+0411 U+0435 U+043B U+043E U+0440 U+0443 U+0441 U+0441 U+0438 U+044F", "Bielorusko", "Belorusija", "Vitryssland", "U+0E40 U+0E1A U+0E25 U+0E32 U+0E23 U+0E38 U+0E2A</w:t>
      </w:r>
      <w:r>
        <w:t>", "Beyaz Rusya", "U+0411 U+0456 U+043B U+043E U+0440 U+0443 U+0441 U+044C", "U+0420 U+0435 U+0441 U+043F U+0443 U+0431 U+043B U+0456 U+043A U+0430  U+0411 U+0456 U+043B U+043E U+0440 U+0443 U+0441 U+044C ", "U+092C U+0947 U+0932 U+093E U+0930 U+0942 U+093</w:t>
      </w:r>
      <w:r>
        <w:t>8", "BielorU+00FA ssia"</w:t>
      </w:r>
    </w:p>
    <w:p w:rsidR="00024C0A" w:rsidRDefault="00694C0F">
      <w:r>
        <w:t>"Belgium", "Belgia", "BU+00E9 lgica", "Belgien", "Belgique", "Belgio", "U+0628 U+0644 U+062C U+064A U+0643 U+0627", "U+0411 U+0435 U+043B U+0433 U+0438 U+044F", "Belgie", "U+0392 U+03AD U+03BB U+03B3 U+03B9 U+03BF", "Belgian kuninga</w:t>
      </w:r>
      <w:r>
        <w:t xml:space="preserve">skunta", "U+05D1 U+05DC U+05D2 </w:t>
      </w:r>
      <w:r>
        <w:lastRenderedPageBreak/>
        <w:t xml:space="preserve">U+05D9 U+05D4", "Belgija", "BeU+013C U+0123 ija", "Belgijos KaralystU+0117", "BelgiU+00EB", "Reino da BU+00E9 lgica", "U+0411 U+0435 U+043B U+044C U+0433 U+0438 U+044F", "Belgicko", "U+0E40 U+0E1A U+0E25 U+0E40 U+0E22 U+0E35 </w:t>
      </w:r>
      <w:r>
        <w:t>U+0E22 U+0E21", "BelU+00E7 ika", "U+0411 U+0435 U+043B U+044C U+0433 U+0456 U+044F", "U+092C U+0947 U+0932 U+094D U+091C U+093F U+092F U+092E", "BU+00E8 lgica"</w:t>
      </w:r>
    </w:p>
    <w:p w:rsidR="00024C0A" w:rsidRDefault="00694C0F">
      <w:r>
        <w:t xml:space="preserve">"Bhutan", "BhutU+00E1 n", "Bhoutan", "Butatilde", "U+0628 U+0648 U+062A U+0627 U+0646", "U+0411 </w:t>
      </w:r>
      <w:r>
        <w:t>U+0443 U+0442 U+0430 U+043D", "BhU+00FA tU+00E1 n", "U+039C U+03C0 U+03BF U+03C5 U+03C4 U+03AC U+03BD", "ButU+00E1 n", "Bhutanin kuningaskunta", "U+05D1 U+05D5 U+05D8 U+05D0 U+05DF", "U+05D1 U+05D4 U+05D5 U+05D8 U+05DF", "Butan", "ButU+0101 na", "Butanas",</w:t>
      </w:r>
      <w:r>
        <w:t xml:space="preserve"> "Butano KaralystU+0117", "ButU+00E3 o", "Reino do ButU+00E3 o", "U+0E20 U+0E39 U+0E0F U+0E32 U+0E19", "U+092D U+0942 U+091F U+093E U+0928"</w:t>
      </w:r>
    </w:p>
    <w:p w:rsidR="00024C0A" w:rsidRDefault="00694C0F">
      <w:r>
        <w:t>"Brazil", "Bresil", "Brasil", "Brasile", "Brasilien", "U+0627 U+0644 U+0628 U+0631 U+0627 U+0632 U+064A U+0644", "U+</w:t>
      </w:r>
      <w:r>
        <w:t>0411 U+0440 U+0430 U+0437 U+0438 U+043B U+0438 U+044F", "BrazU+00ED lie", "U+0392 U+03C1 U+03B1 U+03B6 U+03B9 U+03BB U+03AF U+03B1", "Brasiilia", "Brasilia", "Brasilian liittotasavalta", "BrU+00E9 sil", "U+05D1 U+05E8 U+05D6 U+05D9 U+05DC", "BrazU+00ED lia</w:t>
      </w:r>
      <w:r>
        <w:t>", "BrazU+012B lija", "Brazilija", "Brazilijos FederacinU+0117  Respublika", "BraziliU+00EB", "Brazylia", "RepU+00FA blica Federativa do Brasil", "Brazilia", "U+0E1A U+0E23 U+0E32 U+0E0B U+0E34 U+0E25", "Brezilya", "U+0411 U+0440 U+0430 U+0437 U+0438 U+043</w:t>
      </w:r>
      <w:r>
        <w:t>B U+0456 U+044F", "U+092C U+094D U+0930 U+093E U+095B U+0940 U+0932"</w:t>
      </w:r>
    </w:p>
    <w:p w:rsidR="00024C0A" w:rsidRDefault="00694C0F">
      <w:r>
        <w:t>"Bulgaria", "Bulgarien", "U+0628 U+0644 U+063A U+0627 U+0631 U+064A U+0627", "U+0411 U+044A U+043B U+0433 U+0430 U+0440 U+0438 U+044F", "Bulharsko", "U+0392 U+03BF U+03C5 U+03BB U+03B3 U+</w:t>
      </w:r>
      <w:r>
        <w:t>03B1 U+03C1 U+03AF U+03B1", "Bulgaaria", "Bulgarian tasavalta", "Bulgarie", "U+05D1 U+05D5 U+05DC U+05D2 U+05E8 U+05D9 U+05D4", "Bugarska", "BulgU+00E1 ria", "BulgU+0101 rija", "Bulgarija", "Bulgarijos Respublika", "Bulgarije", "BuU+0142 garia", "RepU+00FA</w:t>
      </w:r>
      <w:r>
        <w:t xml:space="preserve"> blica da BulgU+00E1 ria", "U+0411 U+043E U+043B U+0433 U+0430 U+0440 U+0438 U+044F", "Bolgarija", "U+0E1A U+0E31 U+0E25 U+0E41 U+0E01 U+0E40 U+0E23 U+0E35 U+0E22", "Bulgaristan", "U+0411 U+043E U+043B U+0433 U+0430 U+0440 U+0456 U+044F", "U+092C U+0932 U+</w:t>
      </w:r>
      <w:r>
        <w:t>094D U+0917 U+093E U+0930 U+093F U+092F U+093E", "BulgU+00E0 ria"</w:t>
      </w:r>
    </w:p>
    <w:p w:rsidR="00024C0A" w:rsidRDefault="00694C0F">
      <w:r>
        <w:t>"Canada", "CanadU+00E1", "Kanada", "CDN", "U+0643 U+0646 U+062F U+0627", "U+041A U+0430 U+043D U+0430 U+0434 U+0430", "U+039A U+03B1 U+03BD U+03B1 U+03B4 U+03AC U+03C2", "U+05E7 U+05E0 U+05D</w:t>
      </w:r>
      <w:r>
        <w:t>3 U+05D4", "CanadU+00E0", "KanU+0101 da", "U+0E41 U+0E04 U+0E19 U+0E32 U+0E14 U+0E32", "U+0915 U+0928 U+093E U+0921 U+093E"</w:t>
      </w:r>
    </w:p>
    <w:p w:rsidR="00024C0A" w:rsidRDefault="00694C0F">
      <w:r>
        <w:t xml:space="preserve">"China", "PRC", "RepU+00FA blica Popular China", "People's Republic of China", "U+0627 U+0644 U+0635 U+064A U+0646", "U+041A U+0438 </w:t>
      </w:r>
      <w:r>
        <w:t>U+0442 U+0430 U+0439", "U+041A U+041D U+0420", "U+041A U+0438 U+0442 U+0430 U+0439 U+0441 U+043A U+0430  U+041D U+0430 U+0440 U+043E U+0434 U+043D U+0430  U+0420 U+0435 U+043F U+0443 U+0431 U+043B U+0438 U+043A U+0430", "U+010C U+00ED na", "U+010C U+00ED n</w:t>
      </w:r>
      <w:r>
        <w:t>skU+00E1 lidovU+00E1 republika", "U+010C LR", "Kina", "Volksrepublik China", "VR China", "U+039A U+03AF U+03BD U+03B1", "Hiina", "Hiina Rahvavabariik", "Hiinamaa", "HRV", "Kiina", "Kiinan kansantasavalta", "Chine", "RU+00E9 publique populaire de Chine", "U</w:t>
      </w:r>
      <w:r>
        <w:t>+05E1 U+05D9 U+05DF", "U+05D4 U+05E8 U+05E4 U+05D5 U+05D1 U+05DC U+05D9 U+05E7 U+05D4  U+05D4 U+05E2 U+05DE U+05DE U+05D9 U+05EA  U+05E9 U+05DC  U+05E1 U+05D9 U+05DF", "Narodna Republika Kina", "KU+00ED na", "Cina", "Repubblica popolare cinese", "Repubblic</w:t>
      </w:r>
      <w:r>
        <w:t>a cinese", "U+0136 U+012B na", "Kinija", "Kinijos Liaudies Respublika", "Volksrepubliek China", "Folkerepublikken Kina", "Chiny", "ChiU+0144 ska Republika Ludowa", "ChRL", "RepU+00FA blica Popular da China", "China (Republica PopularU+0103 )", "U+041A U+04</w:t>
      </w:r>
      <w:r>
        <w:t>38 U+0442 U+0430 U+0439 U+0441 U+043A U+0430 U+044F  U+041D U+0430 U+0440 U+043E U+0434 U+043D U+0430 U+044F  U+0420 U+0435 U+0441 U+043F U+0443 U+0431 U+043B U+0438 U+043A U+0430", "U+010C U+013D R", "Kitajska", "Folkrepubliken Kina", "U+0E08 U+0E35 U+0E1</w:t>
      </w:r>
      <w:r>
        <w:t>9", "U+00C7 in", "U+00C7 in Halk Cumhuriyeti", "U+041A U+0438 U+0442 U+0430 U+0439 U+0441 U+044C U+043A U+0430  U+041D U+0430 U+0440 U+043E U+0434 U+043D U+0430  U+0420 U+0435 U+0441 U+043F U+0443 U+0431 U+043B U+0456 U+043A U+0430", "U+091A U+0940 U+0928"</w:t>
      </w:r>
    </w:p>
    <w:p w:rsidR="00024C0A" w:rsidRDefault="00694C0F">
      <w:r>
        <w:lastRenderedPageBreak/>
        <w:t>"Croatia", "Kroatien", "Croacia", "Croatie", "Croazia", "CroU+00E1 cia", "U+0643 U+0631 U+0648 U+0627 U+062A U+064A U+0627", "U+0425 U+044A U+0440 U+0432 U+0430 U+0442 U+0441 U+043A U+0430", "Chorvatsko", "U+039A U+03C1 U+03BF U+03B1 U+03C4 U+03AF U+03B1"</w:t>
      </w:r>
      <w:r>
        <w:t>, "Horvaatia", "Kroaatia", "Kroatia", "Kroatian tasavalta", "U+05E7 U+05E8 U+05D5 U+05D0 U+05D8 U+05D9 U+05D4", "Hrvatska", "HorvU+00E1 torszU+00E1 g", "HorvU+0101 tija", "KroU+0101 tija", "Kroatija", "Kroatijos Respublika", "KroatiU+00EB", "Chorwacja", "R</w:t>
      </w:r>
      <w:r>
        <w:t xml:space="preserve">epU+00FA blica da CroU+00E1 cia", "CroaU+0163 ia", "U+0425 U+043E U+0440 U+0432 U+0430 U+0442 U+0438 U+044F", "ChorvU+00E1 tsko", "HrvaU+0161 ka", "U+0E42 U+0E04 U+0E23 U+0E40 U+0E2D U+0E40 U+0E0A U+0E35 U+0E22", "HU+0131 rvatistan", "U+0425 U+043E U+0440 </w:t>
      </w:r>
      <w:r>
        <w:t>U+0432 U+0430 U+0442 U+0456 U+044F", "U+0915 U+094D U+0930 U+094B U+090F U+0936 U+093F U+092F U+093E", "CroU+00E0 cia"</w:t>
      </w:r>
    </w:p>
    <w:p w:rsidR="00024C0A" w:rsidRDefault="00694C0F">
      <w:r>
        <w:t>"Czech Republic", "Czech", "Checa", "RepU+00FA blica Checa", "U+062C U+0645 U+0647 U+0648 U+0631 U+064A U+0629  U+0627 U+0644 U+062A U+06</w:t>
      </w:r>
      <w:r>
        <w:t xml:space="preserve">34 U+064A U+0643", "U+0427 U+0435 U+0445 U+0438 U+044F", "U+0427 U+0435 U+0448 U+043A U+0430  U+0440 U+0435 U+043F U+0443 U+0431 U+043B U+0438 U+043A U+0430", "U+010C eskU+00E1 republika", "U+010C echy", "U+010C esko", "U+010C R", "U+010C S", "U+010C echy </w:t>
      </w:r>
      <w:r>
        <w:t>a Morava", "CZ", "Tjekkiet", "Den Tjekkiske Republik", "Tschechische Republik", "Tschechien", "U+03A4 U+03C3 U+03B5 U+03C7 U+03AF U+03B1", "TU+0161 ehhi Vabariik", "TU+0161 ehhimaa", "TU+0161 ehhi", "Tsekki", "Tsekinmaa", "Tsekin tasavalta", "RU+00E9 publi</w:t>
      </w:r>
      <w:r>
        <w:t>que tchU+00E8 que", "U+05E6 'U+05DB U+05D9 U+05D4", "U+05E6 'U+05DB U+05D5 U+05E1 U+05DC U+05D5 U+05D1 U+05E7 U+05D9 U+05D4", "U+05D4 U+05E8 U+05E4 U+05D5 U+05D1 U+05DC U+05D9 U+05E7 U+05D4  U+05D4 U+05E6 'U+05DB U+05D9 U+05EA", "U+010C eU+0161 ka", "U+010</w:t>
      </w:r>
      <w:r>
        <w:t>C eU+0161 ka Republika", "Cseh KU+00F6 ztrU+00E1 rsasU+00E1 g", "CsehorszU+00E1 g", "Repubblica Ceca", "U+010C ehija", "U+010C ehijas Republika", "U+010C ekija", "U+010C ekijos Respublika", "TsjechiU+00EB", "Tsjechische republiek", "Tsjekkia", "Den tsjekki</w:t>
      </w:r>
      <w:r>
        <w:t>ske republikk", "Czechy", "Republika Czeska", "RepU+00FA blica Tcheca", "Cehia", "U+0427 U+0435 U+0448 U+0441 U+043A U+0430 U+044F  U+0420 U+0435 U+0441 U+043F U+0443 U+0431 U+043B U+0438 U+043A U+0430", "Tjeckien", "Tjeckiska republiken", "U+0E2A U+0E32 U</w:t>
      </w:r>
      <w:r>
        <w:t>+0E18 U+0E32 U+0E23 U+0E13 U+0E23 U+0E31 U+0E10 U+0E40 U+0E0A U+0E47 U+0E01", "U+00C7 ek Cumhuriyeti", "U+0427 U+0435 U+0445 U+0456 U+044F", "U+091A U+0947 U+0915  U+0917 U+0923 U+0930 U+093E U+091C U+094D U+092F", "RepU+00FA blica Txeca"</w:t>
      </w:r>
    </w:p>
    <w:p w:rsidR="00024C0A" w:rsidRDefault="00694C0F">
      <w:r>
        <w:t>"Denmark", "Danma</w:t>
      </w:r>
      <w:r>
        <w:t xml:space="preserve">rk", "Danemark", "Dinamarca", "Danimarca", "U+0627 U+0644 U+062F U+0646 U+0645 U+0627 U+0631 U+0643", "U+0414 U+0430 U+043D U+0438 U+044F", "DU+00E1 nsko", "DU+00E4 nemark", "U+0394 U+03B1 U+03BD U+03AF U+03B1", "Taani", "Tanska", "Tanskan kuningaskunta", </w:t>
      </w:r>
      <w:r>
        <w:t>"U+05D3 U+05E0 U+05DE U+05E8 U+05E7", "Danska", "DU+00E1 nia", "DU+0101 nija", "Danija", "Danijos KaralystU+0117", "Denemarken", "DK", "Dania", "Reino da Dinamarca", "Danemarca", "U+0E40 U+0E14 U+0E19 U+0E21 U+0E32 U+0E23 U+0E4C U+0E01", "Danimarka", "U+04</w:t>
      </w:r>
      <w:r>
        <w:t>14 U+0430 U+043D U+0456 U+044F", "U+0921 U+0947 U+0928 U+092E U+093E U+0930 U+094D U+0915"</w:t>
      </w:r>
    </w:p>
    <w:p w:rsidR="00024C0A" w:rsidRDefault="00694C0F">
      <w:r>
        <w:t>"Egypt", "Arab Republic of Egypt", "Egitto", "Egypto", "U+062C U+0645 U+0647 U+0648 U+0631 U+064A U+0629  U+0645 U+0635 U+0631  U+0627 U+0644 U+0639 U+0631 U+0628 U+</w:t>
      </w:r>
      <w:r>
        <w:t>064A U+0629", "U+0645 U+0635 U+0631", "U+0415 U+0433 U+0438 U+043F U+0435 U+0442", "Egypten", "U+00C6 gypten", "U+00C4 gypten", "Arabische Republik U+00C4 gypten", "U+0391 U+03AF U+03B3 U+03C5 U+03C0 U+03C4 U+03BF U+03C2", "Egipto", "RepU+00FA blica U+00C1</w:t>
      </w:r>
      <w:r>
        <w:t xml:space="preserve"> rabe de Egipto", "Egiptus", "Egiptuse Araabia Vabariik", "Egypti", "Egyptin arabitasavalta", "U+00C9 gypte", "U+05DE U+05E6 U+05E8 U+05D9 U+05DD", "U+05D4 U+05E8 U+05E4 U+05D5 U+05D1 U+05DC U+05D9 U+05E7 U+05D4  U+05D4 U+05E2 U+05E8 U+05D1 U+05D9 U+05EA  </w:t>
      </w:r>
      <w:r>
        <w:t>U+05E9 U+05DC  U+05DE U+05E6 U+05E8 U+05D9 U+05DD", "Egipat", "Egyiptom", "U+0112 U+0123 ipte", "U+0112 U+0123 iptes ArU+0101 bu Republika", "Egiptas", "Egipto ArabU+0173  Respublika", "Egypte", "Egipt", "Republika Egiptu", "Egito", "RepU+00FA blica U+00C1</w:t>
      </w:r>
      <w:r>
        <w:t xml:space="preserve"> rabe do Egito", "RepU+00FA blica U+00C1 rabe do Egipto", "U+0410 U+0440 U+0430 U+0431 U+0441 U+043A U+0430 U+044F  U+0420 U+0435 U+0441 U+0431 U+0443 U+0431 U+043B U+0438 U+043A U+0430  U+0415 U+0433 U+0438 U+043F U+0435 U+0442", "Arabrepubliken Egypten",</w:t>
      </w:r>
      <w:r>
        <w:t xml:space="preserve"> "U+0E2D U+0E35 U+0E22 U+0E34 U+0E1B U+0E15 U+0E4C", "MU+0131 sU+0131 r", "U+0404 U+0433 U+0438 U+043F U+0435 U+0442", "U+0410 U+0440 U+0430 U+0431 U+0441 U+044C U+043A U+0430  U+0420 </w:t>
      </w:r>
      <w:r>
        <w:lastRenderedPageBreak/>
        <w:t>U+0435 U+0441 U+043F U+0443 U+0431 U+043B U+0456 U+043A U+0430  U+0404 U</w:t>
      </w:r>
      <w:r>
        <w:t>+0433 U+0438 U+043F U+0435 U+0442", "U+0410 U+0420 U+0415", "U+092E U+093F U+0938 U+094D U+0930", "Egipte"</w:t>
      </w:r>
    </w:p>
    <w:p w:rsidR="00024C0A" w:rsidRDefault="00694C0F">
      <w:r>
        <w:t>"Estonia", "U+0627 U+0633 U+062A U+0648 U+0646 U+064A U+0627", "U+0415 U+0441 U+0442 U+043E U+043D U+0438 U+044F", "Estonsko", "Estland", "U+0395 U+0</w:t>
      </w:r>
      <w:r>
        <w:t>3C3 U+03B8 U+03BF U+03BD U+03AF U+03B1", "Eesti", "Eestimaa", "Viro", "Viron tasavalta", "Estonie", "U+05D0 U+05E1 U+05D8 U+05D5 U+05E0 U+05D9 U+05D4", "Estonija", "U+00C9 sztorszU+00E1 g", "Igaunija", "Estija", "Estijos Respublika", "EstU+00F4 nia", "RepU</w:t>
      </w:r>
      <w:r>
        <w:t>+00FA blica da EstU+00F4 nia", "EstU+00F3 nia", "U+042D U+0441 U+0442 U+043E U+043D U+0438 U+044F", "EstU+00F3 nsko", "U+0E40 U+0E2D U+0E2A U+0E42 U+0E15 U+0E40 U+0E19 U+0E35 U+0E22", "Estonya", "U+0415 U+0441 U+0442 U+043E U+043D U+0456 U+044F", "U+090F U</w:t>
      </w:r>
      <w:r>
        <w:t>+0938 U+094D U+091F U+094B U+0928 U+093F U+092F U+093E", "EstU+00F2 nia"</w:t>
      </w:r>
    </w:p>
    <w:p w:rsidR="00024C0A" w:rsidRDefault="00694C0F">
      <w:r>
        <w:t>"Finland", "Finnland", "Finlandia", "Suomi", "U+0641 U+0646 U+0644 U+0646 U+062F U+0629", "U+0641 U+0646 U+0644 U+0646 U+062F U+0627", "U+0424 U+0438 U+043D U+043B U+0430 U+043D U+043</w:t>
      </w:r>
      <w:r>
        <w:t>4 U+0438 U+044F", "Finsko", "U+03A6 U+03B9 U+03BD U+03BB U+03B1 U+03BD U+03B4 U+03AF U+03B1", "RepU+00FA blica de Finlandia", "Soome", "Suomen tasavalta", "Finlande", "U+05E4 U+05D9 U+05E0 U+05DC U+05E0 U+05D3", "Finska", "FinnorszU+00E1 g", "Somija", "Suo</w:t>
      </w:r>
      <w:r>
        <w:t>mija", "Suomijos Respublika", "SF", "Suomi Finland", "FinlU+00E2 ndia", "RepU+00FA blica da FinlU+00E2 ndia", "Finlanda", "U+0424 U+0438 U+043D U+043B U+044F U+043D U+0434 U+0438 U+044F", "FU+00ED nsko", "U+0E1F U+0E34 U+0E19 U+0E41 U+0E25 U+0E19 U+0E14 U+</w:t>
      </w:r>
      <w:r>
        <w:t>0E4C", "Finlandiya", "U+0424 U+0456 U+043D U+043B U+044F U+043D U+0434 U+0456 U+044F", "U+095E U+093F U+0928 U+0932 U+0948 U+0902 U+0921", "FinlU+00E0 ndia"</w:t>
      </w:r>
    </w:p>
    <w:p w:rsidR="00024C0A" w:rsidRDefault="00694C0F">
      <w:r>
        <w:t xml:space="preserve">"France", "Francia", "Frankreich", "Frankrijk", "Peranchis", "U+0641 U+0631 U+0646 U+0633 U+0627", </w:t>
      </w:r>
      <w:r>
        <w:t>"U+0424 U+0440 U+0430 U+043D U+0446 U+0438 U+044F", "Francie", "Frankrig", "U+0393 U+03B1 U+03BB U+03BB U+03AF U+03B1", "Prantsusmaa", "Prantsuse Vabariik", "Ranska", "Ranskan tasavalta", "U+05E6 U+05E8 U+05E4 U+05EA", "Francuska", "FranciaorszU+00E1 g", "</w:t>
      </w:r>
      <w:r>
        <w:t>Francija", "PrancU+016B zija", "PrancU+016B zijos Respublika", "Frankrike", "Francja", "FranU+00E7 a", "RepU+00FA blica Francesa", "FranU+0163 a", "U+0424 U+0440 U+0430 U+043D U+0446 U+0443 U+0437 U+0441 U+043A U+0430 U+044F  U+0420 U+0435 U+0441 U+043F U+</w:t>
      </w:r>
      <w:r>
        <w:t>0443 U+0431 U+043B U+0438 U+043A U+0430", "FrancU+00FA zsko", "U+0E1D U+0E23 U+0E31 U+0E48 U+0E07 U+0E40 U+0E28 U+0E2A", "Fransa", "U+0424 U+0440 U+0430 U+043D U+0446 U+0456 U+044F", "U+095E U+094D U+0930 U+093E U+0902 U+0938"</w:t>
      </w:r>
    </w:p>
    <w:p w:rsidR="00024C0A" w:rsidRDefault="00694C0F">
      <w:r>
        <w:t xml:space="preserve">"Georgia", "U+062C U+0648 </w:t>
      </w:r>
      <w:r>
        <w:t>U+0631 U+062C U+064A U+0627", "U+0413 U+0440 U+0443 U+0437 U+0438 U+044F", "Gruzie", "Georgien", "U+0393 U+03B5 U+03C9 U+03C1 U+03B3 U+03AF U+03B1", "Gruusia", "Georgian tasavalta", "GU+00E9 orgie", "U+05D2 U+05E8 U+05D5 U+05D6 U+05D9 U+05D4", "Gruzija", "</w:t>
      </w:r>
      <w:r>
        <w:t>GrU+00FA zia", "Gruzijos Respublika", "GeorgiU+00EB", "Gruzja", "GeU+00F3 rgia", "RepU+00FA blica da GeU+00F3 rgia", "GruzU+00ED nsko", "U+0E08 U+0E2D U+0E23 U+0E4C U+0E40 U+0E08 U+0E35 U+0E22", "GU+00FC rcistan", "U+0413 U+0440 U+0443 U+0437 U+0456 U+044F</w:t>
      </w:r>
      <w:r>
        <w:t>", "U+091C U+0949 U+0930 U+094D U+091C U+093F U+092F U+093E", "GeU+00F2 rgia"</w:t>
      </w:r>
    </w:p>
    <w:p w:rsidR="00024C0A" w:rsidRDefault="00694C0F">
      <w:r>
        <w:t xml:space="preserve">"Germany", "West Germany", "East Germany", "Deutschland", "GDR", "FRG", "GER", "Allemagne", "Alemania", "U+0623 U+0644 U+0645 U+0627 U+0646 U+064A U+0627", "U+0413 U+0435 U+0440 </w:t>
      </w:r>
      <w:r>
        <w:t>U+043C U+0430 U+043D U+0438 U+044F", "U+0424 U+0420 U+0413", "NU+011B mecko", "SpolkovU+00E1 republika NU+011B mecko", "SRN", "ZU+00E1 padnU+00ED  NU+011B mecko", "VU+00FD chodnU+00ED  NU+011B mecko", "NDR", "NSR", "Tyskland", "Bundesrepublik Deutschland",</w:t>
      </w:r>
      <w:r>
        <w:t xml:space="preserve"> "BRD", "B.R.D.", "U+0393 U+03B5 U+03C1 U+03BC U+03B1 U+03BD U+03AF U+03B1", "RepU+00FA blica Federal de Alemania", "RepU+00FA blica Federal Alemana", "Saksamaa", "Saksa Liitvabariik", "Saksa", "LU+00E4 U+00E4 ne-Saksamaa", "Ida-Saksamaa", "SLV", "SFV", "S</w:t>
      </w:r>
      <w:r>
        <w:t xml:space="preserve">aksan liittotasavalta", "FU+00F6 rbundsrepubliken Tyskland", "ItU+00E4 -Saksa", "LU+00E4 nsi-Saksa", "DDR", "U+05D2 U+05E8 U+05DE U+05E0 U+05D9 U+05D4", "U+05DE U+05D6 U+05E8 U+05D7  U+05D2 U+05E8 U+05DE U+05E0 U+05D9 U+05D4", "U+05DE U+05E2 U+05E8 U+05D1 </w:t>
      </w:r>
      <w:r>
        <w:t xml:space="preserve"> U+05D2 U+05E8 U+05DE U+05E0 U+05D9 U+05D4", "U+05D2 U+05E8 U+05DE U+05E0 U+05D9 U+05D4  U+05D4 U+05DE U+05D6 U+05E8 U+05D7 U+05D9 U+05EA", "U+05D2 U+05E8 U+05DE U+05E0 U+05D9 U+05D4  U+05D4 U+05DE U+05E2 U+05E8 U+05D1 U+05D9 U+05EA", </w:t>
      </w:r>
      <w:r>
        <w:lastRenderedPageBreak/>
        <w:t>"NjemaU+010D ka", "NU</w:t>
      </w:r>
      <w:r>
        <w:t xml:space="preserve">+00E9 metorszU+00E1 g", "NU+00E9 met SzU+00F6 vetsU+00E9 gi KU+00F6 ztU+00E1 rsasU+00E1 g", "Germania", "VU+0101 cija", "AustrumvU+0101 cija", "RietumvU+0101 cija", "Vokietija", "Vokietijos FederacinU+0117  Respublika", "VFR", "Duitsland", "Bondsrepubliek </w:t>
      </w:r>
      <w:r>
        <w:t>Duitsland", "Vest-Tyskland", "U+00D8 st-Tyskland", "Niemcy", "Republika Federalna Niemiec", "Niemiecka Republika Demokratyczna", "RFN", "NRD", "Alemanha", "RepU+00FA blica Federal da Alemanha", "Germania de Vest", "Germania de Est", "U+0424 U+0435 U+0434 U</w:t>
      </w:r>
      <w:r>
        <w:t>+0435 U+0440 U+0430 U+0442 U+0438 U+0432 U+043D U+0430 U+044F  U+0420 U+0435 U+0441 U+043F U+0443 U+0431 U+043B U+0438 U+043A U+0430  U+0413 U+0435 U+0440 U+043C U+0430 U+043D U+0438 U+044F", "Nemecko", "NemU+010D ija", "Zahodna NemU+010D ija", "Vzhodna Ne</w:t>
      </w:r>
      <w:r>
        <w:t>mU+010D ija", "VU+00E4 sttyskland", "U+00D6 sttyskland", "U+0E40 U+0E22 U+0E2D U+0E23 U+0E21 U+0E19 U+0E35", "Almanya", "BatU+0131  Almanya", "DoU+011F u Almanya", "U+041D U+0456 U+043C U+0435 U+0447 U+0447 U+0438 U+043D U+0430", "U+0424 U+0435 U+0434 U+04</w:t>
      </w:r>
      <w:r>
        <w:t>35 U+0440 U+0430 U+0442 U+0438 U+0432 U+043D U+0430  U+0420 U+0435 U+0441 U+043F U+0443 U+0431 U+043B U+0456 U+043A U+0430  U+041D U+0456 U+043C U+0435 U+0447 U+0447 U+0438 U+043D U+0430", "U+0424 U+0420 U+041D", "U+091C U+0930 U+094D U+092E U+0928 U+0940"</w:t>
      </w:r>
      <w:r>
        <w:t>, "Alemanya"</w:t>
      </w:r>
    </w:p>
    <w:p w:rsidR="00024C0A" w:rsidRDefault="00694C0F">
      <w:r>
        <w:t xml:space="preserve">"Greece", "Grecia", "Griechenland", "U+0627 U+0644 U+064A U+0648 U+0646 U+0627 U+0646", "U+0413 U+044A U+0440 U+0446 U+0438 U+044F", "U+0158 ecko", "GrU+00E6 kenland", "U+0395 U+03BB U+03BB U+03AC U+03B4 U+03B1", "Kreeka", "Kreikka", "Kreikan </w:t>
      </w:r>
      <w:r>
        <w:t>tasavalta", "Helleenien tasavalta", "GrU+00E8 ce", "U+05D9 U+05D5 U+05D5 U+05DF", "GrU+010D ka", "GU+00F6 rU+00F6 gorszU+00E1 g", "GrieU+0137 ija", "Graikija", "Graikijos Respublika", "Griekenland", "Hellas", "Grekenland", "Grecja", "GrU+00E9 cia", "RepU+0</w:t>
      </w:r>
      <w:r>
        <w:t>0FA blica HelU+00EA nica", "U+0413 U+0440 U+0435 U+0446 U+0438 U+044F", "GrU+00E9 cko", "GrU+010D ija", "Grekland", "U+0E01 U+0E23 U+0E35 U+0E0B", "Yunanistan", "U+0413 U+0440 U+0435 U+0446 U+0456 U+044F", "U+092F U+0942 U+0928 U+093E U+0928", "GrU+00E8 ci</w:t>
      </w:r>
      <w:r>
        <w:t>a"</w:t>
      </w:r>
    </w:p>
    <w:p w:rsidR="00024C0A" w:rsidRDefault="00694C0F">
      <w:r>
        <w:t>"Hong Kong SAR", "Hong Kong", "HK", "U+0647 U+0648 U+0646 U+062C  U+0643 U+0648 U+0646 U+062C", "U+0425 U+043E U+043D U+0433  U+041A U+043E U+043D U+0433", "Hongkong U+2013 zvlU+00E1 U+0161 tnU+00ED sprU+00E1 vnU+00ED oblast U+010C LR", "Hongkong", "Hon</w:t>
      </w:r>
      <w:r>
        <w:t>gk Kong", "Sonderverwaltungsregion Hongkong", "U+03A7 U+03BF U+03BD U+03B3 U+03BA  U+039A U+03BF U+03BD U+03B3 U+03BA  U+0395 U+0394 U+03A0", "Hong Kong, ZAE", "RegiU+00F3 n Administrativa Especial de Hong Kong (RepU+00FA blica Popular China)", "\"RegiU+00</w:t>
      </w:r>
      <w:r>
        <w:t>F3 n Administrativa Especial\" (RAE) de la RepU+00FA blica Popular China", "Xianggang", "Kiinan kansantasavallan erityisalue Hongkong ", "RU+00E9 gion administrative spU+00E9 ciale de Hong Kong", "U+05D4 U+05D5 U+05E0 U+05D2  U+05E7 U+05D5 U+05E0 U+05D2  U</w:t>
      </w:r>
      <w:r>
        <w:t>+05D4 U+05DE U+05D7 U+05D5 U+05D6  U+05D4 U+05DE U+05D9 U+05E0 U+05D4 U+05DC U+05D9  U+05D4 U+05DE U+05D9 U+05D5 U+05D7 U+05D3", "U+05D4 U+05D5 U+05E0 U+05D2  U+05E7 U+05D5 U+05E0 U+05D2", "Honkonga", "Honkongas U+012B paU+0161 U+0101 s pU+0101 rvaldes apg</w:t>
      </w:r>
      <w:r>
        <w:t>abals", "Honkongas", "Hongkong SAR", "RAE Hong Kong", "RAE de Hong Kong", "U+0413 U+043E U+043D U+043A U+043E U+043D U+0433", "Hong Kong O.S.O.", "U+0E2E U+0E48 U+0E2D U+0E07 U+0E01 U+0E07  SAR", "Hong Kong (U+00D6 U+0130  B)", "U+0413 U+043E U+043D U+043A</w:t>
      </w:r>
      <w:r>
        <w:t xml:space="preserve"> U+043E U+043D U+0433 (U+041E U+0410 U+0420 )", "U+0939 U+093E U+0901 U+0917  U+0915 U+093E U+0901 U+0917"</w:t>
      </w:r>
    </w:p>
    <w:p w:rsidR="00024C0A" w:rsidRDefault="00694C0F">
      <w:r>
        <w:t>"Hungary", "Hongrie", "Ungarn", "Ungheria", "HungrU+00ED a", "U+0627 U+0644 U+0645 U+062C U+0631", "U+0423 U+043D U+0433 U+0430 U+0440 U+0438 U+044F"</w:t>
      </w:r>
      <w:r>
        <w:t>, "MaU+010F arsko", "U+039F U+03C5 U+03B3 U+03B3 U+03B1 U+03C1 U+03AF U+03B1", "Ungari", "Unkari", "Unkarin tasavalta", "U+05D4 U+05D5 U+05E0 U+05D2 U+05E8 U+05D9 U+05D4", "MaU+0111 arska", "MagyarorszU+00E1 g", "UngU+0101 rija", "Vengrija", "Vengrijos Res</w:t>
      </w:r>
      <w:r>
        <w:t>publika", "Hongarije", "WU+0119 gry", "Hungria", "RepU+00FA blica da Hungria", "Ungaria", "U+0412 U+0435 U+043D U+0433 U+0440 U+0438 U+044F", "MR", "MadU+017E arska", "Ungern", "U+0E2E U+0E31 U+0E07 U+0E01 U+0E32 U+0E23 U+0E35", "Macaristan", "U+0423 U+043</w:t>
      </w:r>
      <w:r>
        <w:t>3 U+043E U+0440 U+0449 U+0438 U+043D U+0430", "U+0939 U+0902 U+0917 U+0930 U+0940", "Hongria"</w:t>
      </w:r>
    </w:p>
    <w:p w:rsidR="00024C0A" w:rsidRDefault="00694C0F">
      <w:r>
        <w:t>"Iceland", "Island", "Islande", "Islandia", "U+0623 U+064A U+0633 U+0644 U+0627 U+0646 U+062F", "U+0622 U+064A U+0633 U+0644 U+0646 U+062F U+0627", "U+0418 U+0441</w:t>
      </w:r>
      <w:r>
        <w:t xml:space="preserve"> U+043B U+0430 U+043D U+0434 U+0438 U+044F", "U+0399 U+03C3 U+03BB U+03B1 U+03BD U+03B4 </w:t>
      </w:r>
      <w:r>
        <w:lastRenderedPageBreak/>
        <w:t>U+03AF U+03B1", "Islandi Vabariik", "Islanti", "Islannin tasavalta", "U+05D0 U+05D9 U+05E1 U+05DC U+05E0 U+05D3", "Izland", "Islanda", "Islandija", "Islandijos Respubli</w:t>
      </w:r>
      <w:r>
        <w:t xml:space="preserve">ka", "IJsland", "IslU+00E2 ndia", "RepU+00FA blica da IslU+00E2 ndia", "U+0E44 U+0E2D U+0E0B U+0E4C U+0E41 U+0E25 U+0E19 U+0E14 U+0E4C", "U+0130 zlanda", "U+0406 U+0441 U+043B U+0430 U+043D U+0434 U+0456 U+044F", "U+0906 U+0907 U+0938 U+0932 U+0948 U+0902 </w:t>
      </w:r>
      <w:r>
        <w:t>U+0921", "IslU+00E0 ndia"</w:t>
      </w:r>
    </w:p>
    <w:p w:rsidR="00024C0A" w:rsidRDefault="00694C0F">
      <w:r>
        <w:t>"India", "Inde", "Indien", "U+0627 U+0644 U+0647 U+0646 U+062F", "U+0418 U+043D U+0434 U+0438 U+044F", "Indie", "U+0399 U+03BD U+03B4 U+03AF U+03B1", "Intia", "Intian tasavalta", "U+05D4 U+05D5 U+05D3 U+05D5", "Indija", "Indijos R</w:t>
      </w:r>
      <w:r>
        <w:t>espublika", "U+00CD ndia", "RepU+00FA blica da U+00CD ndia", "U+0E2D U+0E34 U+0E19 U+0E40 U+0E14 U+0E35 U+0E22", "Hindistan", "U+0406 U+043D U+0434 U+0456 U+044F", "U+092D U+093E U+0930 U+0924", "U+0907 U+0902 U+0921 U+093F U+092F U+093E"</w:t>
      </w:r>
    </w:p>
    <w:p w:rsidR="00024C0A" w:rsidRDefault="00694C0F">
      <w:r>
        <w:t>"Israel", "Yisra'</w:t>
      </w:r>
      <w:r>
        <w:t xml:space="preserve">el", "U+0418 U+0437 U+0440 U+0430 U+0435 U+043B", "Izrael", "U+0399 U+03C3 U+03C1 U+03B1 U+03AE U+03BB", "Iisrael", "Iisraeli Riik", "Israelin valtio", "IsraU+00EB l", "U+05D9 U+05E9 U+05E8 U+05D0 U+05DC", "Isreal", "Israele", "IzraU+0113 la", "Izraelis", </w:t>
      </w:r>
      <w:r>
        <w:t>"Izraelio ValstybU+0117", "Estado de Israel", "U+0418 U+0437 U+0440 U+0430 U+0438 U+043B U+044C", "U+0E2D U+0E34 U+0E2A U+0E23 U+0E32 U+0E40 U+0E2D U+0E25", "U+0130 srail", "U+0406 U+0437 U+0440 U+0430 U+0457 U+043B U+044C", "U+0907 U+095B U+0930 U+093E U+</w:t>
      </w:r>
      <w:r>
        <w:t>0907 U+0932"</w:t>
      </w:r>
    </w:p>
    <w:p w:rsidR="00024C0A" w:rsidRDefault="00694C0F">
      <w:r>
        <w:t>"Italy", "Italien", "Italia", "ITA", "U+0625 U+064A U+0637 U+0627 U+0644 U+064A U+0627", "U+0625 U+064A U+0637 U+0627 U+0644 U+064A U+0629", "U+0418 U+0442 U+0430 U+043B U+0438 U+044F", "ItU+00E1 lie", "U+0399 U+03C4 U+03B1 U+03BB U+03AF U+03B</w:t>
      </w:r>
      <w:r>
        <w:t>1", "Itaalia", "Italian tasavalta", "Italie", "U+05D0 U+05D9 U+05D8 U+05DC U+05D9 U+05D4", "Italija", "OlaszorszU+00E1 g", "ItU+0101 lija", "Italijos Respublika", "ItaliU+00EB", "WU+0142 ochy", "ItU+00E1 lia", "RepU+00FA blica Italiana", "Taliansko", "U+0E</w:t>
      </w:r>
      <w:r>
        <w:t>2D U+0E34 U+0E15 U+0E32 U+0E25 U+0E35", "U+0130 talya", "U+0406 U+0442 U+0430 U+043B U+0456 U+044F", "U+0907 U+091F U+0932 U+0940", "ItU+00E0 lia"</w:t>
      </w:r>
    </w:p>
    <w:p w:rsidR="00024C0A" w:rsidRDefault="00694C0F">
      <w:r>
        <w:t>"Japan", "Giappone", "Japon", "Jepun", "JapU+00F3 n", "U+0627 U+0644 U+064A U+0627 U+0628 U+0627 U+0646", "U+</w:t>
      </w:r>
      <w:r>
        <w:t>042F U+043F U+043E U+043D U+0438 U+044F", "Japonsko", "U+0399 U+03B1 U+03C0 U+03C9 U+03BD U+03AF U+03B1", "Jaapan", "Japani", "U+05D9 U+05E4 U+05DF", "U+05D9 U+05E4 U+05D0 U+05DF", "JapU+00E1 n", "JapU+0101 na", "Japonija", "Japonia", "JapU+00E3 o", "Japon</w:t>
      </w:r>
      <w:r>
        <w:t>ska", "U+0E0D U+0E35 U+0E48 U+0E1B U+0E38 U+0E48 U+0E19", "Japonya", "U+042F U+043F U+043E U+043D U+0456 U+044F", "U+091C U+093E U+092A U+093E U+0928"</w:t>
      </w:r>
    </w:p>
    <w:p w:rsidR="00024C0A" w:rsidRDefault="00694C0F">
      <w:r>
        <w:t xml:space="preserve">"Jordan", "U+0627 U+0644 U+0623 U+0631 U+062F U+0646", "U+0419 U+043E U+0440 U+0434 U+0430 U+043D U+0438 </w:t>
      </w:r>
      <w:r>
        <w:t>U+044F", "JordU+00E1 nsko", "Jordanien", "U+0399 U+03BF U+03C1 U+03B4 U+03B1 U+03BD U+03AF U+03B1", "Jordania", "Reino Hachemita de Jordania", "Reino HachemU+00ED  de Jordania", "Jordaania", "Jordanian hasemiittinen kuningaskunta", "Jordanie", "U+05D9 U+05</w:t>
      </w:r>
      <w:r>
        <w:t>E8 U+05D3 U+05DF", "JordU+00E1 nia", "Giordania", "JordU+0101 nija", "Jordanija", "Jordanijos HaU+0161 imitU+0173  KaralystU+0117", "JordaniU+00EB", "JordU+00E2 nia", "Reino Hachemita da JordU+00E2 nia", "Iordania", "U+0418 U+043E U+0440 U+0434 U+0430 U+04</w:t>
      </w:r>
      <w:r>
        <w:t>3D U+0438 U+044F", "JordU+00E1 n", "U+0E08 U+0E2D U+0E23 U+0E4C U+0E41 U+0E14 U+0E19", "U+00DC rdU+00FC n", "U+0419 U+043E U+0440 U+0434 U+0430 U+043D U+0456 U+044F", "U+091C U+0949 U+0930 U+094D U+0921 U+0928", "JordU+00E0 nia"</w:t>
      </w:r>
    </w:p>
    <w:p w:rsidR="00024C0A" w:rsidRDefault="00694C0F">
      <w:r>
        <w:t>"Kazakhstan", "U+0643 U+062</w:t>
      </w:r>
      <w:r>
        <w:t>7 U+0632 U+0627 U+062E U+0633 U+062A U+0627 U+0646", "U+041A U+0430 U+0437 U+0430 U+0445 U+0441 U+0442 U+0430 U+043D", "KazachstU+00E1 n", "Kasakhstan", "Kasakstan", "Kazakstan", "Kasachstan", "U+039A U+03B1 U+03B6 U+03B1 U+03C7 U+03C3 U+03C4 U+03AC U+03BD</w:t>
      </w:r>
      <w:r>
        <w:t>", "KazajstU+00E1 n", "KazajistU+00E1 n", "RepU+00FA blica de KazajistU+00E1 n", "Kasahstan", "Kasahstani Vabariik", "Kasahhi", "Kazakstanin tasavalta", "U+05E7 U+05D6 U+05D7 U+05E1 U+05D8 U+05D0 U+05DF", "U+05E7 U+05D6 U+05D7 U+05E1 U+05D8 U+05DF", "Kazah</w:t>
      </w:r>
      <w:r>
        <w:t xml:space="preserve">stan", "KazahsztU+00E1 n", "Kazakistan", "KazahstU+0101 na", "Kazachstanas", "Kazachija", "Kazachstano Respublika", "Kazachstan", "CazaquistU+00E3 o", "RepU+00FA blica do CazaquistU+00E3 o", "U+0E04 U+0E32 U+0E0B U+0E31 U+0E04 U+0E2A </w:t>
      </w:r>
      <w:r>
        <w:lastRenderedPageBreak/>
        <w:t>U+0E16 U+0E32 U+0E19",</w:t>
      </w:r>
      <w:r>
        <w:t xml:space="preserve"> "U+0915 U+095B U+093E U+0916 U+0938 U+094D U+0924 U+093E U+0928"</w:t>
      </w:r>
    </w:p>
    <w:p w:rsidR="00024C0A" w:rsidRDefault="00694C0F">
      <w:r>
        <w:t>"Korea (Republic of)", "Korea", "Republic of Korea", "South Korea", "Corea", "Corea del Sur", "CorU+00E9 e", "SU+00FC dkorea", "U+0643 U+0648 U+0631 U+064A U+0627", "(U+062C U+0645 U+0647 U+</w:t>
      </w:r>
      <w:r>
        <w:t>0648 U+0631 U+064A U+0629 ) U+0643 U+0648 U+0631 U+064A U+0627", "U+0643 U+0648 U+0631 U+064A U+0627  U+0627 U+0644 U+062C U+0646 U+0648 U+0628 U+064A U+0629", "U+041A U+043E U+0440 U+0435 U+044F", "U+0420 U+0435 U+043F U+0443 U+0431 U+043B U+0438 U+043A U</w:t>
      </w:r>
      <w:r>
        <w:t>+0430  U+041A U+043E U+0440 U+0435 U+044F", "U+042E U+0436 U+043D U+0430  U+041A U+043E U+0440 U+0435 U+044F", "JiU+017E nU+00ED  Korea", "Sydkorea", "Korea (Republik)", "Republik Korea", "U+039A U+03BF U+03C1 U+03AD U+03B1 (U+0394 U+03B7 U+03BC U+03BF U+0</w:t>
      </w:r>
      <w:r>
        <w:t>3BA U+03C1 U+03B1 U+03C4 U+03AF U+03B1  U+03C4 U+03B7 U+03C2 )", "RepU+00FA blica de Corea", "LU+00F5 una-Korea", "Korea Vabariik", "Korean tasavalta", "Korea (tasavalta)", "EtelU+00E4 -Korea", "RU+00E9 publique de CorU+00E9 e", "CorU+00E9 e du Sud", "U+05</w:t>
      </w:r>
      <w:r>
        <w:t>E7 U+05D5 U+05E8 U+05D9 U+05D0 U+05D4 (U+05D4 U+05E8 U+05E4 U+05D5 U+05D1 U+05DC U+05D9 U+05E7 U+05D4  U+05E9 U+05DC )", "JuU+017E na Koreja", "Republika Koreja", "Korea (Koreai KU+00F6 ztU+00E1 rsasU+00E1 g)", "Repubblica di Corea", "Corea del Sud", "Kore</w:t>
      </w:r>
      <w:r>
        <w:t>ja", "KorU+0117 ja", "KorU+0117 jos Respublika", "PietU+0173  KorU+0117 ja", "Republiek Korea", "Zuid-Korea", "SU+00F8 r-Korea", "Republika Korei", "Korea PoU+0142 udniowa", "CorU+00E9 ia do Sul", "RepU+00FA blica da CorU+00E9 ia", "Coreia (RepU+00FA blica</w:t>
      </w:r>
      <w:r>
        <w:t xml:space="preserve"> da)", "Coreia", "RepU+00FA blica da Coreia", "Coreia do Sul", "Republica Coreea", "U+042E U+0436 U+043D U+0430 U+044F  U+041A U+043E U+0440 U+0435 U+044F", "JuU+017E nU+00E1  KU+00F3 rea", "KU+00F3 rea", "Nordkorea", "Republiken Korea", "U+0E40 U+0E01 U+0</w:t>
      </w:r>
      <w:r>
        <w:t>E32 U+0E2B U+0E25 U+0E35", "Kore (Cumhuriyeti)", "Kore", "GU+00FC ney Kore", "U+041F U+0456 U+0432 U+0434 U+0435 U+043D U+043D U+0430  U+041A U+043E U+0440 U+0435 U+044F", "U+0915 U+094B U+0930 U+093F U+092F U+093E"</w:t>
      </w:r>
    </w:p>
    <w:p w:rsidR="00024C0A" w:rsidRDefault="00694C0F">
      <w:r>
        <w:t>"Kuwait", "U+0627 U+0644 U+0643 U+0648 U</w:t>
      </w:r>
      <w:r>
        <w:t xml:space="preserve">+064A U+062A", "U+041A U+0443 U+0432 U+0435 U+0439 U+0442", "Kuvajt", "U+039A U+03BF U+03C5 U+03B2 U+03AD U+03B9 U+03C4", "Estado de Kuwait", "Kuveit", "Kuveidi Riik", "Kuwaitin valtio", "KoweU+00EF t", "U+05DB U+05D5 U+05D5 U+05D9 U+05EA", "U+05DB U+05D5 </w:t>
      </w:r>
      <w:r>
        <w:t>U+05D5 U+05D9 U+05D9 U+05EA", "Kuvait", "Kuveita", "Kuveitas", "Kuveito ValstybU+0117", "Koeweit", "Kuwejt", "Coveite (Kuaite)", "RepU+00FA blica do Coveite (Kuaite)", "Kuweit", "U+0E04 U+0E39 U+0E40 U+0E27 U+0E15", "Kuveyt", "U+0915 U+0941 U+0935 U+0948 U</w:t>
      </w:r>
      <w:r>
        <w:t>+0924"</w:t>
      </w:r>
    </w:p>
    <w:p w:rsidR="00024C0A" w:rsidRDefault="00694C0F">
      <w:r>
        <w:t>"Latvia", "U+0644 U+0627 U+062A U+0641 U+064A U+0627", "U+041B U+0430 U+0442 U+0432 U+0438 U+044F", "LotyU+0161 sko", "Letland", "Lettland", "U+039B U+03B5 U+03C4 U+03BF U+03BD U+03AF U+03B1", "Letonia", "RepU+00FA blica de Letonia", "LU+00E4 ti", "</w:t>
      </w:r>
      <w:r>
        <w:t>LU+00E4 ti Vabariik", "LU+00E4 timaa", "Latvian tasavalta", "Lettonie", "U+05DC U+05D8 U+05D1 U+05D9 U+05D4", "U+05DC U+05D8 U+05D5 U+05D5 U+05D9 U+05D4", "Latvija", "Letonija", "LettorszU+00E1 g", "Lettonia", "Latvijos Respublika", "U+0141 otwa", "LetU+00</w:t>
      </w:r>
      <w:r>
        <w:t>F4 nia", "RepU+00FA blica da LetU+00F4 nia", "LetU+00F3 nia", "U+0E25 U+0E31 U+0E15 U+0E40 U+0E27 U+0E35 U+0E22", "Letonya", "U+041B U+0430 U+0442 U+0432 U+0456 U+044F", "U+0932 U+093E U+0924 U+0935 U+093F U+092F U+093E", "LU+00E0 tvia"</w:t>
      </w:r>
    </w:p>
    <w:p w:rsidR="00024C0A" w:rsidRDefault="00694C0F">
      <w:r>
        <w:t xml:space="preserve">"Lebanon", "U+0644 </w:t>
      </w:r>
      <w:r>
        <w:t xml:space="preserve">U+0628 U+0646 U+0627 U+0646", "U+041B U+0438 U+0432 U+0430 U+043D", "Libanon", "U+039B U+03AF U+03B2 U+03B1 U+03BD U+03BF U+03C2", "LU+00ED bano", "RepU+00FA blica Libanesa", "Liibanon", "Liibanoni Vabariik", "Libanonin tasavalta", "Liban", "U+05DC U+05D1 </w:t>
      </w:r>
      <w:r>
        <w:t>U+05E0 U+05D5 U+05DF", "Libano", "LibU+0101 na", "Libanas", "Libano Respublika", "U+0E40 U+0E25 U+0E1A U+0E32 U+0E19 U+0E2D U+0E19", "LU+00FC bnan", "U+041B U+0456 U+0432 U+0430 U+043D", "U+0932 U+0947 U+092C U+0928 U+093E U+0928", "LU+00ED ban"</w:t>
      </w:r>
    </w:p>
    <w:p w:rsidR="00024C0A" w:rsidRDefault="00694C0F">
      <w:r>
        <w:t>"Lithuania</w:t>
      </w:r>
      <w:r>
        <w:t>", "Lituania", "U+0644 U+062A U+0648 U+0627 U+0646 U+064A U+0627", "U+041B U+0438 U+0442 U+0432 U+0430", "Litva", "Litauen", "U+039B U+03B9 U+03B8 U+03BF U+03C5 U+03B1 U+03BD U+03AF U+03B1", "Leedu", "Leedu Vabariik", "Leedumaa", "Liettua", "Liettuan tasav</w:t>
      </w:r>
      <w:r>
        <w:t xml:space="preserve">alta", "Lituanie", "U+05DC U+05D9 U+05D8 U+05D0", "LitvU+00E1 nia", "Lietuva", "Lietuvos Respublika", "Litouwen", "Litwa", "LituU+00E2 nia", "RepU+00FA blica da LituU+00E2 nia", "U+0E25 </w:t>
      </w:r>
      <w:r>
        <w:lastRenderedPageBreak/>
        <w:t xml:space="preserve">U+0E34 U+0E17 U+0E31 U+0E27 U+0E40 U+0E19 U+0E35 U+0E22", "Litvanya", </w:t>
      </w:r>
      <w:r>
        <w:t>"U+0932 U+093F U+0925 U+0941 U+0906 U+0928 U+093F U+092F U+093E", "LituU+00E0 nia"</w:t>
      </w:r>
    </w:p>
    <w:p w:rsidR="00024C0A" w:rsidRDefault="00694C0F">
      <w:r>
        <w:t>"Maldives", "Malediven", "Maldivas", "Maldive", "U+062C U+0632 U+0631  U+0627 U+0644 U+0645 U+0627 U+0644 U+062F U+064A U+0641", "U+041C U+0430 U+043B U+0434 U+0438 U+0432 U</w:t>
      </w:r>
      <w:r>
        <w:t>+0438", "U+041C U+0430 U+043B U+0434 U+0438 U+0432 U+0441 U+043A U+0438  U+043E -U+0432 U+0438", "Maledivy", "Maldiverne", "U+039C U+03B1 U+03BB U+03B4 U+03AF U+03B2 U+03B5 U+03C2", "Maldiivid", "Maldiivi Vabariik", "Malediivit", "Malediivien tasavalta", "</w:t>
      </w:r>
      <w:r>
        <w:t>U+05D4 U+05D0 U+05D9 U+05D9 U+05DD  U+05D4 U+05DE U+05DC U+05D3 U+05D9 U+05D1 U+05D9 U+05D9 U+05DD", "U+05D0 U+05D9 U+05D9  U+05DE U+05DC U+05D3 U+05D9 U+05D1", "Maldivi", "MaldU+00ED v-szigetek", "MaldU+012B vu salas", "Maldyvai", "MaldyvU+0173  Respublik</w:t>
      </w:r>
      <w:r>
        <w:t>a", "Maldivene", "The Maldives", "Malediwy", "RepU+00FA blica das Maldivas", "U+041C U+0430 U+043B U+044C U+0434 U+0438 U+0432 U+044B", "U+041C U+0430 U+043B U+044C U+0434 U+0438 U+0432 U+0441 U+043A U+0438 U+0435  U+043E -U+0432 U+0430", "Maldiverna", "U+</w:t>
      </w:r>
      <w:r>
        <w:t>0E21 U+0E31 U+0E25 U+0E14 U+0E35 U+0E1F U+0E2A U+0E4C", "Maldiv AdalarU+0131", "U+041C U+0430 U+043B U+044C U+0434 U+0456 U+0432 U+0438", "U+092E U+093E U+0932 U+0926 U+0940 U+0935"</w:t>
      </w:r>
    </w:p>
    <w:p w:rsidR="00024C0A" w:rsidRDefault="00694C0F">
      <w:r>
        <w:t>"Morocco", "Maroc", "Marocco", "Marruecos", "U+0627 U+0644 U+0645 U+063A U</w:t>
      </w:r>
      <w:r>
        <w:t xml:space="preserve">+0631 U+0628", "U+041C U+043E U+043D U+0430 U+043A U+043E", "Maroko", "Marokko", "U+039C U+03B1 U+03C1 U+03CC U+03BA U+03BF", "Reino de Marruecos", "Marokon kuningaskunta", "U+05DE U+05E8 U+05D5 U+05E7 U+05D5", "MarokkU+00F3", "Maroka", "Marokas", "Maroko </w:t>
      </w:r>
      <w:r>
        <w:t>KaralystU+0117", "Marrocos", "Reino do Marrocos", "U+041C U+0430 U+0440 U+043E U+043A U+043A U+043E", "Marocko", "U+0E42 U+0E21 U+0E23 U+0E47 U+0E2D U+0E01 U+0E42 U+0E01", "Fas", "U+092E U+094B U+0930 U+0915 U+094D U+0915 U+094B", "Marroc"</w:t>
      </w:r>
    </w:p>
    <w:p w:rsidR="00024C0A" w:rsidRDefault="00694C0F">
      <w:r>
        <w:t>"Nepal", "NU+00E</w:t>
      </w:r>
      <w:r>
        <w:t>9 pal", "U+0646 U+064A U+0628 U+0627 U+0644", "U+041D U+0435 U+043F U+0430 U+043B", "NepU+00E1 l", "U+039D U+03B5 U+03C0 U+03AC U+03BB", "Nepali Kuningriik", "Nepaal", "Nepalin kuningaskunta", "U+05E0 U+05E4 U+05D0 U+05DC", "NepU+0101 la", "Nepalas", "Nepa</w:t>
      </w:r>
      <w:r>
        <w:t>lo KaralystU+0117", "Reino do Nepal", "U+0E40 U+0E19 U+0E1B U+0E32 U+0E25", "U+0928 U+0947 U+092A U+093E U+0932"</w:t>
      </w:r>
    </w:p>
    <w:p w:rsidR="00024C0A" w:rsidRDefault="00694C0F">
      <w:r>
        <w:t>"Netherlands", "The Netherlands", "Holland", "Belanda", "Holanda", "Niederlande", "Paesi Bassi", "Paises Bajos", "Pay-Bas", "U+0647 U+0648 U+06</w:t>
      </w:r>
      <w:r>
        <w:t>44 U+0646 U+062F U+0627", "U+0425 U+043E U+043B U+0430 U+043D U+0434 U+0438 U+044F", "U+041D U+0438 U+0434 U+0435 U+0440 U+043B U+0430 U+043D U+0434 U+0438 U+044F", "Nizozemsko", "NizozemU+00ED", "Holandsko", "Nederlandene", "U+039F U+03BB U+03BB U+03B1 U+</w:t>
      </w:r>
      <w:r>
        <w:t xml:space="preserve">03BD U+03B4 U+03AF U+03B1", "PaU+00ED ses Bajos", "Madalmaad", "Hollandi Kuningriik", "Madalmaade Kuningriik", "Hollandi", "Alankomaat", "Hollanti", "Alankomaiden kuningaskunta", "Pays-Bas", "U+05D4 U+05D5 U+05DC U+05E0 U+05D3", "Nizozemska", "Hollandia", </w:t>
      </w:r>
      <w:r>
        <w:t>"Olanda", "NU+012B derlande", "Nyderlandai", "NyderlandU+0173  KaralystU+0117", "Olandija", "Nederland", "NL", "Holandia", "PaU+00ED ses Baixos", "Reino dos PaU+00ED ses Baixos", "U+041D U+0438 U+0434 U+0435 U+0440 U+043B U+0430 U+043D U+0434 U+044B", "U+0</w:t>
      </w:r>
      <w:r>
        <w:t>413 U+043E U+043B U+043B U+0430 U+043D U+0434 U+0438 U+044F", "HolandskU+00E9 krU+00E1 U+013E ovstvo", "Holandija", "NederlU+00E4 nderna", "U+0E40 U+0E19 U+0E40 U+0E18 U+0E2D U+0E23 U+0E4C U+0E41 U+0E25 U+0E19 U+0E14 U+0E4C", "Hollanda", "U+041D U+0456 U+0</w:t>
      </w:r>
      <w:r>
        <w:t>434 U+0435 U+0440 U+043B U+0430 U+043D U+0434 U+0438", "U+0413 U+043E U+043B U+043B U+0430 U+043D U+0434 U+0456 U+044F", "U+0928 U+0940 U+0926 U+0930 U+0932 U+0948 U+0902 U+0921", "PaU+00EF sos Baixos"</w:t>
      </w:r>
    </w:p>
    <w:p w:rsidR="00024C0A" w:rsidRDefault="00694C0F">
      <w:r>
        <w:t>"Norway", "Norge", "Noruega", "NorvU+00E8 ge", "Norveg</w:t>
      </w:r>
      <w:r>
        <w:t>ia", "Norwegen", "U+0627 U+0644 U+0646 U+0631 U+0648 U+064A U+062C", "U+041D U+043E U+0440 U+0432 U+0435 U+0433 U+0438 U+044F", "Norsko", "U+039D U+03BF U+03C1 U+03B2 U+03B7 U+03B3 U+03AF U+03B1", "Norra", "Norja", "Norjan kuningaskunta", "U+05E0 U+05D5 U+</w:t>
      </w:r>
      <w:r>
        <w:t>05E8 U+05D5 U+05D5 U+05D2 U+05D9 U+05D4", "U+05E0 U+05D5 U+05E8 U+05D1 U+05D2 U+05D9 U+05D4", "NorveU+0161 ka", "NorvU+00E9 gia", "NorvU+0113 U+0123 ija", "Norvegija", "Norvegijos KaralystU+0117", "Noorwegen", "Norwegia", "Reino da Noruega", "NU+00F3 rsko"</w:t>
      </w:r>
      <w:r>
        <w:t>, "Norvege", "U+0E19 U+0E2D U+0E23 U+0E4C U+0E40 U+0E27 U+0E22 U+0E4C", "NorveU+00E7", "U+041D U+043E U+0440 U+0432 U+0435 U+0433 U+0456 U+044F", "U+0928 U+0949 U+0930 U+094D U+0935 U+0947"</w:t>
      </w:r>
    </w:p>
    <w:p w:rsidR="00024C0A" w:rsidRDefault="00694C0F">
      <w:r>
        <w:lastRenderedPageBreak/>
        <w:t>"Oman", "Sultanate of Oman", "OmU+00E1 n", "U+0639 U+0645 U+0627 U</w:t>
      </w:r>
      <w:r>
        <w:t>+0646", "U+0633 U+0644 U+0637 U+0646 U+0629  U+0639 U+0645 U+0627 U+0646", "U+041E U+043C U+0430 U+043D", "U+039F U+03BC U+03AC U+03BD", "Sultanato de OmU+00E1 n", "SultanU+00ED a de OmU+00E1 n", "Omaan", "Omaani Sultaniriik", "Omanin sulttaanikunta", "Sul</w:t>
      </w:r>
      <w:r>
        <w:t>tanat d'Oman", "U+05E2 U+05D5 U+05DE U+05DF", "U+05E2 U+05D5 U+05DE U+05D0 U+05DF", "OmU+0101 na", "Omanas", "Omano Sultonatas", "Sultanaat van Oman", "Sultanaat Oman", "Sultanatet Oman", "OmU+00E3", "Sultanato de OmU+00E3", "Sultanat Oman", "U+0E42 U+0E2D</w:t>
      </w:r>
      <w:r>
        <w:t xml:space="preserve"> U+0E21 U+0E32 U+0E19", "Umman", "Umman SultanlU+0131 U+011F U+0131", "U+0913 U+092E U+093E U+0928"</w:t>
      </w:r>
    </w:p>
    <w:p w:rsidR="00024C0A" w:rsidRDefault="00694C0F">
      <w:r>
        <w:t>"Pakistan", "West Pakistan", "PakistU+00E1 n", "U+0628 U+0627 U+0643 U+0633 U+062A U+0627 U+0646", "U+041F U+0430 U+043A U+0438 U+0441 U+0442 U+0430 U+043D"</w:t>
      </w:r>
      <w:r>
        <w:t>, "PU+00E1 kistU+00E1 n", "U+03A0 U+03B1 U+03BA U+03B9 U+03C3 U+03C4 U+03AC U+03BD", "PaquistU+00E1 n", "RepU+00FA blica IslU+00E1 mica de PakistU+00E1 n", "Pakistani Islamivabariik", "Pakistanin islamilainen tasavalta", "U+05E4 U+05E7 U+05D9 U+05E1 U+05D8</w:t>
      </w:r>
      <w:r>
        <w:t xml:space="preserve"> U+05DF", "U+05E4 U+05E7 U+05D9 U+05E1 U+05D8 U+05D0 U+05DF", "PakisztU+00E1 n", "PakistU+0101 na", "Pakistanas", "Pakistano Islamo Respublika", "PaquistU+00E3 o", "RepU+00FA blica IslU+00E2 mica do PaquistU+00E3 o", "VU+00E4 stpakistan", "U+0E1B U+0E32 U+</w:t>
      </w:r>
      <w:r>
        <w:t>0E01 U+0E35 U+0E2A U+0E16 U+0E32 U+0E19", "U+092A U+093E U+0915 U+093F U+0938 U+094D U+0924 U+093E U+0928"</w:t>
      </w:r>
    </w:p>
    <w:p w:rsidR="00024C0A" w:rsidRDefault="00694C0F">
      <w:r>
        <w:t>"Poland", "Polska", "Pologne", "Polen", "Polland", "Polonia", "U+0628 U+0648 U+0644 U+0646 U+062F U+0629", "U+0628 U+0648 U+0644 U+0646 U+062F U+0627</w:t>
      </w:r>
      <w:r>
        <w:t>", "U+041F U+043E U+043B U+0448 U+0430", "Polsko", "U+03A0 U+03BF U+03BB U+03C9 U+03BD U+03AF U+03B1", "Poola", "Puola", "Puolan tasavalta", "U+05E4 U+05D5 U+05DC U+05D9 U+05DF", "U+05E4 U+05D5 U+05DC U+05E0 U+05D9 U+05D4", "Poljska", "LengyelorszU+00E1 g"</w:t>
      </w:r>
      <w:r>
        <w:t>, "Polija", "Lenkija", "Lenkijos Respublika", "Rzeczpospolita Polska", "RP", "PolU+00F4 nia", "RepU+00FA blica da PolU+00F4 nia", "PolU+00F3 nia", "U+041F U+043E U+043B U+044C U+0448 U+0430", "PoU+013E sko", "PR", "U+0E42 U+0E1B U+0E41 U+0E25 U+0E19 U+0E14</w:t>
      </w:r>
      <w:r>
        <w:t xml:space="preserve"> U+0E4C", "Polonya", "U+041F U+043E U+043B U+044C U+0449 U+0430", "U+041F U+043E U+043B U+044C U+0441 U+044C U+043A U+0430  U+0420 U+0435 U+0441 U+043F U+0443 U+0431 U+043B U+0456 U+043A U+0430", "U+092A U+094B U+0932 U+0948 U+0902 U+0921", "PolU+00F2 nia"</w:t>
      </w:r>
    </w:p>
    <w:p w:rsidR="00024C0A" w:rsidRDefault="00694C0F">
      <w:r>
        <w:t xml:space="preserve">"Portugal", "Portogallo", "U+0627 U+0644 U+0628 U+0631 U+062A U+063A U+0627 U+0644", "U+041F U+043E U+0440 U+0442 U+0443 U+0433 U+0430 U+043B U+0438 U+044F", "Portugalsko", "U+03A0 U+03BF U+03C1 U+03C4 U+03BF U+03B3 U+03B1 U+03BB U+03AF U+03B1", </w:t>
      </w:r>
      <w:r>
        <w:t>"Portugali Vabariik", "Portugali", "Portugalin tasavalta", "U+05E4 U+05D5 U+05E8 U+05D8 U+05D5 U+05D2 U+05DC", "PortugU+00E1 lia", "PortugU+0101 le", "Portugalija", "Portugalijos Respublika", "Portugalia", "RepU+00FA blica Portuguesa", "Portugalska", "U+0E</w:t>
      </w:r>
      <w:r>
        <w:t>42 U+0E1B U+0E23 U+0E15 U+0E38 U+0E40 U+0E01 U+0E2A", "Portekiz", "U+041F U+043E U+0440 U+0442 U+0443 U+0433 U+0430 U+043B U+0456 U+044F", "U+092A U+0941 U+0930 U+094D U+0924 U+0917 U+093E U+0932"</w:t>
      </w:r>
    </w:p>
    <w:p w:rsidR="00024C0A" w:rsidRDefault="00694C0F">
      <w:r>
        <w:t>"Qatar", "U+0642 U+0637 U+0631", "U+041A U+0430 U+0442 U+04</w:t>
      </w:r>
      <w:r>
        <w:t>30 U+0440", "Katar", "U+039A U+03B1 U+03C4 U+03AC U+03C1", "Emirato de Qatar", "Estado de Qatar", "Katari Riik", "Qatarin valtio", "U+05E7 U+05D8 U+05D0 U+05E8", "U+05E7 U+05D0 U+05D8 U+05D0 U+05E8", "Katara", "Kataras", "Kataro ValstybU+0117", "Catar", "E</w:t>
      </w:r>
      <w:r>
        <w:t>stado de Catar", "U+0E01 U+0E32 U+0E15 U+0E32 U+0E23 U+0E4C", "U+0915 U+0924 U+0930"</w:t>
      </w:r>
    </w:p>
    <w:p w:rsidR="00024C0A" w:rsidRDefault="00694C0F">
      <w:r>
        <w:t>"Romania", "Rumania", "RumU+00E4 nien", "U+0631 U+0648 U+0645 U+0627 U+0646 U+064A U+0627", "U+0420 U+0443 U+043C U+044A U+043D U+0438 U+044F", "Rumunsko", "RumU+00E6 nien</w:t>
      </w:r>
      <w:r>
        <w:t>", "U+03A1 U+03BF U+03C5 U+03BC U+03B1 U+03BD U+03AF U+03B1", "RumanU+00ED a", "Rumeenia", "Roumanie", "U+05E8 U+05D5 U+05DE U+05E0 U+05D9 U+05D4", "Rumunjska", "RomU+00E1 nia", "RumU+0101 nija", "Rumunija", "RoemeniU+00EB", "Rumunia", "RomU+00EA nia", "Ro</w:t>
      </w:r>
      <w:r>
        <w:t>mU+00E9 nia", "RomU+00E2 nia", "U+0420 U+0443 U+043C U+044B U+043D U+0438 U+044F", "Romunija", "U+0E42 U+0E23 U+0E21 U+0E32 U+0E40 U+0E19 U+0E35 U+0E22", "Romanya", "U+0420 U+0443 U+043C U+0443 U+043D U+0456 U+044F", "U+0930 U+094B U+092E U+093E U+0928 U+0</w:t>
      </w:r>
      <w:r>
        <w:t>93F U+092F U+093E"</w:t>
      </w:r>
    </w:p>
    <w:p w:rsidR="00024C0A" w:rsidRDefault="00694C0F">
      <w:r>
        <w:lastRenderedPageBreak/>
        <w:t>"Russia", "Rusia", "RuU+00DF land", "Russland", "U+0631 U+0648 U+0633 U+064A U+0627", "U+0420 U+0443 U+0441 U+0438 U+044F", "Rusko", "RuskU+00E1 federace", "Rusland", "Russische FU+00F6 deration", "U+03A1 U+03C9 U+03C3 U+03AF U+03B1", "V</w:t>
      </w:r>
      <w:r>
        <w:t>enemaa", "Venemaa FU+00F6 deratsioon", "Vene", "VenU+00E4 jU+00E4", "VenU+00E4 jU+00E4 n federaatio", "Russie", "FU+00E9 dU+00E9 ration de Russie", "U+05E8 U+05D5 U+05E1 U+05D9 U+05D4", "Rusija", "OroszorszU+00E1 g", "Krievija", "Krievijas FederU+0101 cija</w:t>
      </w:r>
      <w:r>
        <w:t>", "Rusijos Federacija", "Russische Federatie", "Russische republiek", "Den russiske fU+00F8 derasjon", "Rosja", "Federacja Rosyjska", "RU+00FA ssia", "FederaU+00E7 U+00E3 o da RU+00FA ssia", "FederaU+00E7 U+00E3 o Russa", "U+0420 U+043E U+0441 U+0441 U+04</w:t>
      </w:r>
      <w:r>
        <w:t>38 U+044F", "U+0420 U+0424", "U+0420 U+043E U+0441 U+0441 U+0438 U+0439 U+0441 U+043A U+0430 U+044F  U+0424 U+0435 U+0434 U+0435 U+0440 U+0430 U+0446 U+0438 U+044F", "RuskU+00E1 federU+00E1 cia", "RF", "Ryssland", "U+0E23 U+0E31 U+0E2A U+0E40 U+0E0B U+0E35</w:t>
      </w:r>
      <w:r>
        <w:t xml:space="preserve"> U+0E22", "Rusya", "U+0420 U+043E U+0441 U+0456 U+044F", "U+0420 U+043E U+0441 U+0456 U+0439 U+0441 U+044C U+043A U+0430  U+0424 U+0435 U+0434 U+0435 U+0440 U+0430 U+0446 U+0456 U+044F", "U+0930 U+0942 U+0938"</w:t>
      </w:r>
    </w:p>
    <w:p w:rsidR="00024C0A" w:rsidRDefault="00694C0F">
      <w:r>
        <w:t xml:space="preserve">"Saudi Arabia", "Saudi", "Arabia Saudita", </w:t>
      </w:r>
      <w:r>
        <w:t>"U+0627 U+0644 U+0645 U+0645 U+0644 U+0643 U+0629  U+0627 U+0644 U+0639 U+0631 U+0628 U+064A U+0629  U+0627 U+0644 U+0633 U+0639 U+0648 U+062F U+064A U+0629", "U+0627 U+0644 U+0633 U+0639 U+0648 U+062F U+064A U+0629", "U+0421 U+0430 U+0443 U+0434 U+0438 U+</w:t>
      </w:r>
      <w:r>
        <w:t>0442 U+0441 U+043A U+0430  U+0410 U+0440 U+0430 U+0431 U+0438 U+044F", "SaU+00FA dskU+00E1  ArU+00E1 bie", "Saudi-Arabien", "Saudiarabien", "U+03A3 U+03B1 U+03BF U+03C5 U+03B4 U+03B9 U+03BA U+03AE  U+0391 U+03C1 U+03B1 U+03B2 U+03AF U+03B1", "Arabia SaudU+</w:t>
      </w:r>
      <w:r>
        <w:t>00ED", "Reino de Arabia SaudU+00ED", "Reino de Arabia Saudita", "Saudi Araabia", "Saudi-Araabia", "Saudi-Arabia", "Saudi-Arabian kuningaskunta", "Arabie saoudite", "U+05E1 U+05E2 U+05D5 U+05D3 U+05D9 U+05D4", "U+05E2 U+05E8 U+05D1  U+05D4 U+05E1 U+05E2 U+0</w:t>
      </w:r>
      <w:r>
        <w:t>5D5 U+05D3 U+05D9 U+05EA", "Saudijska Arabija", "SzaU+00FA d-ArU+00E1 bia", "Arabia", "SaU+016B da ArU+0101 bija", "Saudo Arabija", "Saudo Arabijos KaralystU+0117", "Saoedi-ArabiU+00EB", "Saoedi ArabiU+00EB", "Arabia Saudyjska", "ArU+00E1 bia Saudita", "Re</w:t>
      </w:r>
      <w:r>
        <w:t>ino da ArU+00E1 bia Saudita", "Arabia SauditU+0103", "U+0421 U+0430 U+0443 U+0434 U+043E U+0432 U+0441 U+043A U+0430 U+044F  U+0410 U+0440 U+0430 U+0432 U+0438 U+044F", "SaudskU+00E1  ArU+00E1 bia", "Saudska Arabija", "U+0E0B U+0E32 U+0E2D U+0E38 U+0E14 U+</w:t>
      </w:r>
      <w:r>
        <w:t>0E35 U+0E2D U+0E32 U+0E23 U+0E30 U+0E40 U+0E1A U+0E35 U+0E22", "Suudi Arabistan", "U+0421 U+0430 U+0443 U+0434 U+0456 U+0432 U+0441 U+044C U+043A U+0430  U+0410 U+0440 U+0430 U+0432 U+0456 U+044F", "U+0938 U+090A U+0926 U+0940  U+0905 U+0930 U+092C", "ArU+</w:t>
      </w:r>
      <w:r>
        <w:t>00E0 bia Saudita"</w:t>
      </w:r>
    </w:p>
    <w:p w:rsidR="00024C0A" w:rsidRDefault="00694C0F">
      <w:r>
        <w:t>"Slovak Republic", "Slovakia", "Slovenska Republika", "Slowakei", "U+062C U+0645 U+0647 U+0648 U+0631 U+064A U+0629  U+0627 U+0644 U+0633 U+0644 U+0648 U+0641 U+0627 U+0643", "U+0421 U+043B U+043E U+0432 U+0430 U+043A U+0438 U+044F", "Slo</w:t>
      </w:r>
      <w:r>
        <w:t>venskU+00E1 republika", "Slovensko", "Slovakiet", "Slowakische Republik", "U+03A3 U+03BB U+03BF U+03B2 U+03B1 U+03BA U+03AF U+03B1", "Eslovaquia", "RepU+00FA blica Eslovaca", "Slovakkia", "Slovaki Vabariik", "Slovakian tasavalta", "Slovaquie", "RU+00E9 pub</w:t>
      </w:r>
      <w:r>
        <w:t>lique slovaque", "U+05E1 U+05DC U+05D5 U+05D1 U+05E7 U+05D9 U+05D4", "U+05D4 U+05E8 U+05E4 U+05D5 U+05D1 U+05DC U+05D9 U+05E7 U+05D4  U+05D4 U+05E1 U+05DC U+05D5 U+05D1 U+05E7 U+05D9 U+05EA", "SlovaU+010D ka", "SzlovU+00E1 k KU+00F6 ztU+00E1 rsasU+00E1 g",</w:t>
      </w:r>
      <w:r>
        <w:t xml:space="preserve"> "SzlovU+00E1 kia", "Slovacchia", "Repubblica Slovacca", "SlovU+0101 kija", "Slovakija", "Slovakijos Respublika", "Slowakije", "Slowaakse Republiek", "Republikken Slovakia", "Den slovakiske republikk", "SU+0142 owacja", "Republika SU+0142 owacka", "EslovU+</w:t>
      </w:r>
      <w:r>
        <w:t>00E1 quia", "Slovacia", "U+0420 U+0435 U+0441 U+043F U+0443 U+0431 U+043B U+0438 U+043A U+0430  U+0421 U+043B U+043E U+0432 U+0430 U+043A U+0438 U+044F", "SR", "SlovaU+0161 ka", "Slovakien", "Slovakiska republiken", "U+0E2A U+0E42 U+0E25 U+0E27 U+0E30 U+0E</w:t>
      </w:r>
      <w:r>
        <w:t>40 U+0E01 U+0E35 U+0E22", "Slovak Cumhuriyeti", "U+0420 U+0435 U+0441 U+043F U+0443 U+0431 U+043B U+0456 U+043A U+0430  U+0421 U+043B U+043E U+0432 U+0430 U+043A U+0456 U+044F", "U+0421 U+043B U+043E U+0432 U+0430 U+043A U+0456 U+044F", "U+0938 U+094D U+09</w:t>
      </w:r>
      <w:r>
        <w:t>32 U+094B U+0935 U+093E U+0915  U+0917 U+0923 U+0930 U+093E U+091C U+094D U+092F", "EslovU+00E0 quia"</w:t>
      </w:r>
    </w:p>
    <w:p w:rsidR="00024C0A" w:rsidRDefault="00694C0F">
      <w:r>
        <w:t>"Slovenia", "Eslovenia", "Slovenija", "U+0633 U+0644 U+0648 U+0641 U+064A U+0646 U+064A U+0627", "U+0421 U+043B U+043E U+0432 U+0435 U+043D U+0438 U+044F"</w:t>
      </w:r>
      <w:r>
        <w:t xml:space="preserve">, "Slovinsko", </w:t>
      </w:r>
      <w:r>
        <w:lastRenderedPageBreak/>
        <w:t xml:space="preserve">"Slovenien", "Slowenien", "U+03A3 U+03BB U+03BF U+03B2 U+03B5 U+03BD U+03AF U+03B1", "Sloveenia", "Slovenian tasavalta", "SlovU+00E9 nie", "U+05E1 U+05DC U+05D5 U+05D1 U+05E0 U+05D9 U+05D4", "SzlovU+00E9 nia", "SlovU+0113 nija", "SlovU+0117 </w:t>
      </w:r>
      <w:r>
        <w:t>nija", "SlovU+0117 nijos Respublika", "SloveniU+00EB", "SU+0142 owenia", "EslovU+00EA nia", "RepU+00FA blica da EslovU+00EA nia", "EslovU+00E9 nia", "Republika Slovenija", "Republic Slovenia", "U+0E2A U+0E42 U+0E25 U+0E27 U+0E35 U+0E40 U+0E19 U+0E35 U+0E22</w:t>
      </w:r>
      <w:r>
        <w:t>", "Slovenya", "U+0421 U+043B U+043E U+0432 U+0435 U+043D U+0456 U+044F", "U+0938 U+094D U+0932 U+094B U+0935 U+0947 U+0928 U+093F U+092F U+093E", "EslovU+00E8 nia"</w:t>
      </w:r>
    </w:p>
    <w:p w:rsidR="00024C0A" w:rsidRDefault="00694C0F">
      <w:r>
        <w:t>"Spain", "EspaU+00F1 a", "Espana", "Espagne", "Espanha", "Spagna", "Spanien", "Sepanyol", "</w:t>
      </w:r>
      <w:r>
        <w:t>U+0623 U+0633 U+0628 U+0627 U+0646 U+064A U+0627", "U+0418 U+0441 U+043F U+0430 U+043D U+0438 U+044F", "U+0160 panU+011B lsko", "U+0399 U+03C3 U+03C0 U+03B1 U+03BD U+03AF U+03B1", "Hispaania", "Espanja", "Espanjan kuningaskunta", "U+05E1 U+05E4 U+05E8 U+05</w:t>
      </w:r>
      <w:r>
        <w:t>D3", "U+0160 panjolska", "SpanyolorszU+00E1 g", "SpU+0101 nija", "Ispanija", "Ispanijos KaralystU+0117", "Spanje", "Spania", "Hiszpania", "U+0160 panielsko", "U+0160 panija", "U+0E2A U+0E40 U+0E1B U+0E19", "U+0130 spanya", "U+0406 U+0441 U+043F U+0430 U+04</w:t>
      </w:r>
      <w:r>
        <w:t>3D U+0456 U+044F", "U+0938 U+094D U+092A U+0947 U+0928", "Espanya"</w:t>
      </w:r>
    </w:p>
    <w:p w:rsidR="00024C0A" w:rsidRDefault="00694C0F">
      <w:r>
        <w:t>"Sri Lanka", "Ceilan", "U+0633 U+0631 U+064A U+0644 U+0627 U+0646 U+0643 U+0627", "U+0428 U+0440 U+0438  U+041B U+0430 U+043D U+043A U+0430", "U+0426 U+0435 U+0439 U+043B U+043E U+043D", "S</w:t>
      </w:r>
      <w:r>
        <w:t>rU+00ED  Lanka", "Ceylon", "U+03A3 U+03C1 U+03B9  U+039B U+03AC U+03BD U+03BA U+03B1", "CeilU+00E1 n", "RepU+00FA blica Socialista DemocrU+00E1 tica de Sri Lanka", "Tseilon", "Sri Lankan demokraattinen sosialistinen tasavalta", "U+05E1 U+05E8 U+05D9  U+05D</w:t>
      </w:r>
      <w:r>
        <w:t>C U+05E0 U+05E7 U+05D4", "U+0160 ri Lanka", "U+0160 rilanka", "U+0160 ri Lankos DemokratinU+0117  SocialistinU+0117  Respublika", "Cejlon", "RepU+00FA blica DemocrU+00E1 tica Socialista do Sri Lanka", "CeilU+00E3 o", "U+0428 U+0440 U+0438 -U+041B U+0430 U+</w:t>
      </w:r>
      <w:r>
        <w:t>043D U+043A U+0430", "U+0E28 U+0E23 U+0E35 U+0E25 U+0E31 U+0E07 U+0E01 U+0E32", "Seylan", "U+0428 U+0440 U+0456 -U+041B U+0430 U+043D U+043A U+0430", "U+0936 U+094D U+0930 U+0940 U+0932 U+0902 U+0915 U+093E"</w:t>
      </w:r>
    </w:p>
    <w:p w:rsidR="00024C0A" w:rsidRDefault="00694C0F">
      <w:r>
        <w:t xml:space="preserve">"Sweden", "Sverige", "Schweden", "SuU+00E9 de", </w:t>
      </w:r>
      <w:r>
        <w:t>"Suecia", "Svezia", "U+0627 U+0644 U+0633 U+0648 U+064A U+062F", "U+0428 U+0432 U+0435 U+0446 U+0438 U+044F", "U+0160 vU+00E9 dsko", "U+03A3 U+03BF U+03C5 U+03B7 U+03B4 U+03AF U+03B1", "Rootsi", "Rootsimaa", "Ruotsi", "Ruotsin kuningaskunta", "SuU+00E8 de"</w:t>
      </w:r>
      <w:r>
        <w:t>, "U+05E9 U+05D5 U+05D5 U+05D3 U+05D9 U+05D4", "U+05E9 U+05D1 U+05D3 U+05D9 U+05D4", "U+0160 vedska", "SvU+00E9 dorszU+00E1 g", "Zviedrija", "U+0160 vedija", "U+0160 vedijos KaralystU+0117", "Zweden", "Szwecja", "SuU+00E9 cia", "Reino da SuU+00E9 cia", "Su</w:t>
      </w:r>
      <w:r>
        <w:t>edia", "U+0160 vU+00E9 dske krU+00E1 U+013E ovsvto", "U+0E2A U+0E27 U+0E35 U+0E40 U+0E14 U+0E19", "U+0130 sveU+00E7", "U+0428 U+0432 U+0435 U+0446 U+0456 U+044F", "U+0938 U+094D U+0935 U+0940 U+0921 U+0928", "SuU+00E8 cia"</w:t>
      </w:r>
    </w:p>
    <w:p w:rsidR="00024C0A" w:rsidRDefault="00694C0F">
      <w:r>
        <w:t>"Switzerland", "Suisse", "Suiza",</w:t>
      </w:r>
      <w:r>
        <w:t xml:space="preserve"> "Sveits", "Sviss", "Svizzera", "Schweiz", "U+0633 U+0648 U+064A U+0633 U+0631 U+0627", "U+0428 U+0432 U+0435 U+0439 U+0446 U+0430 U+0440 U+0438 U+044F", "U+0160 vU+00FD carsko", "Svejts", "Eidgenossenschaft", "U+0395 U+03BB U+03B2 U+03B5 U+03C4 U+03AF U+0</w:t>
      </w:r>
      <w:r>
        <w:t>3B1", "U+0160 veits", "U+0160 veitsi KonfU+00F6 deratsioon", "Helveetsia", "Sveitsi", "Sveitsin valaliitto", "U+05E9 U+05D5 U+05D5 U+05D9 U+05E5", "U+05E9 U+05D5 U+05D9 U+05D9 U+05E5", "U+05E9 U+05D5 U+05D5 U+05D9 U+05E6 U+05E8 U+05D9 U+05D4", "U+05E9 U+05</w:t>
      </w:r>
      <w:r>
        <w:t>D5 U+05D9 U+05D9 U+05E6 U+05E8 U+05D9 U+05D4", "U+05E9 U+05D5 U+05D5 U+05D9 U+05D9 U+05E5", "U+0160 vicarska", "SvU+00E1 jc", "U+0160 veice", "U+0160 veicarija", "U+0160 veicarijos Konferderacija", "Zwitserland", "Szwajcaria", "SuU+00ED U+00E7 a", "Confede</w:t>
      </w:r>
      <w:r>
        <w:t>raU+00E7 U+00E3 o SuU+00ED U+00E7 a", "ElveU+0163 ia", "U+0160 vajU+010D iarsko", "U+0160 vica", "U+0E2A U+0E27 U+0E34 U+0E15 U+0E40 U+0E0B U+0E2D U+0E23 U+0E4C U+0E41 U+0E25 U+0E19 U+0E14 U+0E4C", "U+0130 sviU+00E7 re", "U+0428 U+0432 U+0435 U+0439 U+0446</w:t>
      </w:r>
      <w:r>
        <w:t xml:space="preserve"> U+0430 U+0440 U+0456 U+044F", "U+0938 U+094D U+0935 U+093F U+091F U+094D U+095B U+0930 U+0932 U+0948 U+0902 U+0921", "SuU+00EF ssa"</w:t>
      </w:r>
    </w:p>
    <w:p w:rsidR="00024C0A" w:rsidRDefault="00694C0F">
      <w:r>
        <w:t>"Taiwan", "Formosa", "U+062A U+0627 U+064A U+0648 U+0627 U+0646", "U+0422 U+0430 U+0439 U+0432 U+0430 U+043D", "Tchaj-wan",</w:t>
      </w:r>
      <w:r>
        <w:t xml:space="preserve"> "Tchajwan", "U+03A4 U+03B1 U+03CA U+03B2 U+03AC U+03BD", "TaiwU+00E1 n", "RepU+00FA blica de China", "Taivan", "TaU+00EF wan", </w:t>
      </w:r>
      <w:r>
        <w:lastRenderedPageBreak/>
        <w:t>"U+05D8 U+05D0 U+05D9 U+05D9 U+05D5 U+05D0 U+05DF", "U+05D8 U+05D9 U+05D5 U+05D5 U+05D0 U+05DF", "U+05D8 U+05D0 U+05D9 U+05D5 U+</w:t>
      </w:r>
      <w:r>
        <w:t>05D5 U+05D0 U+05DF", "U+05E4 U+05D5 U+05E8 U+05DE U+05D5 U+05D6 U+05D4", "U+05D8 U+05D9 U+05D9 U+05D5 U+05D5 U+05D0 U+05DF", "U+05D8 U+05D9 U+05D9 U+05D5 U+05D0 U+05DF", "U+05D8 U+05D9 U+05D9 U+05D5 U+05D5", "Tajvan", "TaivU+0101 na", "Taivanas", "Tajwan",</w:t>
      </w:r>
      <w:r>
        <w:t xml:space="preserve"> "U+0422 U+0430 U+0439 U+0432 U+0430 U+043D U+044C", "U+0E44 U+0E15 U+0E49 U+0E2B U+0E27 U+0E31 U+0E19", "Tayvan", "U+0924 U+093E U+0907 U+0935 U+093E U+0928"</w:t>
      </w:r>
    </w:p>
    <w:p w:rsidR="00024C0A" w:rsidRDefault="00694C0F">
      <w:r>
        <w:t>"Thailand", "Tailandia", "U+062A U+0627 U+064A U+0644 U+0627 U+0646 U+062F", "U+0422 U+0430 U+043</w:t>
      </w:r>
      <w:r>
        <w:t>9 U+043B U+0430 U+043D U+0434", "Thajsko", "U+03A4 U+03B1 U+03CA U+03BB U+03AC U+03BD U+03B4 U+03B7", "Tai", "Taimaa", "Thai", "Thaimaa", "Thaimaan kuningaskunta", "ThaU+00EF lande", "U+05EA U+05D0 U+05D9 U+05DC U+05E0 U+05D3", "U+05EA U+05D9 U+05D9 U+05DC</w:t>
      </w:r>
      <w:r>
        <w:t xml:space="preserve"> U+05D0 U+05E0 U+05D3", "U+05EA U+05D9 U+05D9 U+05DC U+05E0 U+05D3", "Tajland", "ThaifU+00F6 ld", "Thailandia", "Taizeme", "Tailandas", "Tailando KaralystU+0117", "Tajlandia", "TailU+00E2 ndia", "Reino da TailU+00E2 ndia", "Thailanda", "Tajska", "U+0E1B U+</w:t>
      </w:r>
      <w:r>
        <w:t>0E23 U+0E30 U+0E40 U+0E17 U+0E28 U+0E44 U+0E17 U+0E22", "Tayland", "U+0422 U+0430 U+0457 U+043B U+0430 U+043D U+0434", "U+0925 U+093E U+0907 U+0932 U+0948 U+0902 U+0921"</w:t>
      </w:r>
    </w:p>
    <w:p w:rsidR="00024C0A" w:rsidRDefault="00694C0F">
      <w:r>
        <w:t>"Tunisia", "U+062A U+0648 U+0646 U+0633", "U+0422 U+0443 U+043D U+0438 U+0441", "Tunis</w:t>
      </w:r>
      <w:r>
        <w:t>ko", "Tunesien", "U+03A4 U+03C5 U+03BD U+03B7 U+03C3 U+03AF U+03B1", "TU+00FA nez", "Tuneesia", "Tunisian tasavalta", "Tunisie", "U+05D8 U+05D5 U+05E0 U+05D9 U+05E1", "U+05D8 U+05D5 U+05E0 U+05D9 U+05E1 U+05D9 U+05D4", "U+05EA U+05D5 U+05E0 U+05D9 U+05E1 U</w:t>
      </w:r>
      <w:r>
        <w:t>+05D9 U+05D4", "Tunis", "TunU+00E9 zia", "Tunisija", "Tunisas", "Tuniso Respublika", "TunesiU+00EB", "Tunezja", "TunU+00ED sia", "RepU+00FA blica da TunU+00ED sia", "Tunizija", "Tunisien", "U+0E15 U+0E39 U+0E19 U+0E34 U+0E40 U+0E0B U+0E35 U+0E22", "Tunus",</w:t>
      </w:r>
      <w:r>
        <w:t xml:space="preserve"> "U+0422 U+0443 U+043D U+0456 U+0441", "U+091F U+094D U+092F U+0942 U+0928 U+0940 U+0936 U+093F U+092F U+093E"</w:t>
      </w:r>
    </w:p>
    <w:p w:rsidR="00024C0A" w:rsidRDefault="00694C0F">
      <w:r>
        <w:t>"Turkey", "Turkiye", "Turchia", "TurquU+00ED a", "TU+00FC rkei", "U+062A U+0631 U+0643 U+064A U+0627", "U+0422 U+0443 U+0440 U+0446 U+0438 U+044F</w:t>
      </w:r>
      <w:r>
        <w:t>", "Turecko", "Tyrkiet", "U+03A4 U+03BF U+03C5 U+03C1 U+03BA U+03AF U+03B1", "TU+00FC rgi", "TU+00FC rkiye", "Turkki", "Turkin tasavalta", "Turquie", "U+05D8 U+05D5 U+05E8 U+05E7 U+05D9 U+05D4", "U+05EA U+05D5 U+05E8 U+05DB U+05D9 U+05D4", "Turska", "TU+00</w:t>
      </w:r>
      <w:r>
        <w:t xml:space="preserve">F6 rU+00F6 korszU+00E1 g", "Turcija", "Turkija", "Turkijos Respublika", "Turkije", "Tyrkia", "Turcja", "Turquia", "RepU+00FA blica da Turquia", "Turcia", "TurU+010D ija", "Turkiet", "U+0E15 U+0E38 U+0E23 U+0E01 U+0E35", "U+0422 U+0443 U+0440 U+0435 U+0447 </w:t>
      </w:r>
      <w:r>
        <w:t>U+0447 U+0438 U+043D U+0430", "U+0924 U+0941 U+0930 U+094D U+0915 U+0940"</w:t>
      </w:r>
    </w:p>
    <w:p w:rsidR="00024C0A" w:rsidRDefault="00694C0F">
      <w:r>
        <w:t>"Ukraine", "Ucrania", "U+0623 U+0648 U+0643 U+0631 U+0627 U+0646 U+064A U+0627", "U+0423 U+043A U+0440 U+0430 U+0439 U+043D U+0430", "Ukrajina", "U+039F U+03C5 U+03BA U+03C1 U+03B1 U</w:t>
      </w:r>
      <w:r>
        <w:t>+03BD U+03AF U+03B1", "Ukraina", "U+05D0 U+05D5 U+05E7 U+05E8 U+05D0 U+05D9 U+05E0 U+05D4", "Ukrajna", "Ucraina", "OekraU+00EF ne", "UcrU+00E2 nia", "RepU+00FA blica da UcrU+00E2 nia", "U+0423 U+043A U+0440 U+0430 U+0438 U+043D U+0430", "U+0E22 U+0E39 U+0E</w:t>
      </w:r>
      <w:r>
        <w:t>40 U+0E04 U+0E23 U+0E19", "Ukrayna", "U+0423 U+043A U+0440 U+0430 U+0457 U+043D U+0430", "U+092F U+0942 U+0915 U+094D U+0930 U+0947 U+0928", "UcraU+00EF na"</w:t>
      </w:r>
    </w:p>
    <w:p w:rsidR="00024C0A" w:rsidRDefault="00694C0F">
      <w:r>
        <w:t>"United Arab Emirates", "UAE", "Emiratos U+00C1 rabes Unidos", "Emirates Arabes Unis", "U+0627 U+06</w:t>
      </w:r>
      <w:r>
        <w:t>44 U+0625 U+0645 U+0627 U+0631 U+0627 U+062A  U+0627 U+0644 U+0639 U+0631 U+0628 U+064A U+0629  U+0627 U+0644 U+0645 U+062A U+062D U+062F U+0629", "U+041E U+0431 U+0435 U+0434 U+0438 U+043D U+0435 U+043D U+0438  U+0430 U+0440 U+0430 U+0431 U+0441 U+043A U+</w:t>
      </w:r>
      <w:r>
        <w:t>0438  U+0435 U+043C U+0438 U+0440 U+0441 U+0442 U+0432 U+0430", "U+041E U+0410 U+0415", "SpojenU+00E9 arabskU+00E9 emirU+00E1 ty", "SAE", "Forenede Arabiske Emirater", "De Forenede Arabiske Emirater", "Vereinigte Arabische Emirate", "U+0397 U+03BD U+03C9 U</w:t>
      </w:r>
      <w:r>
        <w:t>+03BC U+03AD U+03BD U+03B1  U+0391 U+03C1 U+03B1 U+03B2 U+03B9 U+03BA U+03AC  U+0395 U+03BC U+03B9 U+03C1 U+03AC U+03C4 U+03B1", "EAU", "Araabia U+00DC hendemiraadid", "AU+00DC  E", "U+00DC hendemiraadid", "Arabiemiirikunnat", "Arabiemiraattien liitto", "Y</w:t>
      </w:r>
      <w:r>
        <w:t xml:space="preserve">hdistyneet arabiemiirikunnat", "U+00C9 mirats arabes unis", "U+05D0 U+05D9 U+05D7 U+05D5 U+05D3  U+05D4 U+05E0 U+05E1 U+05D9 U+05DB U+05D5 U+05D9 U+05D5 U+05EA  U+05D4 U+05E2 U+05E8 U+05D1 U+05D9 U+05D5 U+05EA", "U+05D0 U+05DE </w:t>
      </w:r>
      <w:r>
        <w:lastRenderedPageBreak/>
        <w:t>U+05D9 U+05E8 U+05D5 U+05D9 U</w:t>
      </w:r>
      <w:r>
        <w:t>+05D5 U+05EA  U+05E2 U+05E8 U+05D1 U+05D9 U+05D5 U+05EA  U+05DE U+05D0 U+05D5 U+05D7 U+05D3 U+05D5 U+05EA", "Ujedinjeni Arapski Emirati", "EgyesU+00FC lt Arab EmU+00ED rsU+00E9 gek", "EgyesU+00FC lt Arab EmirU+00E1 tusok", "Emirati Arabi Uniti", "Emirati A</w:t>
      </w:r>
      <w:r>
        <w:t>rabi", "Apvienotie ArU+0101 bu EmirU+0101 ti", "AAE", "Jungtiniai ArabU+0173  Emyratai", "Verenigde Arabische Emiraten", "De forente arabiske emiratene", "De forente arabiske emirater", "Zjednoczone Emiraty Arabskie", "ZEA", "Emirados U+00C1 rabes Unidos",</w:t>
      </w:r>
      <w:r>
        <w:t xml:space="preserve"> "Emirados", "Emiratele Arabe Unite", "U+041E U+0410 U+042D", "U+041E U+0431 U+044A U+0435 U+0434 U+0438 U+043D U+0435 U+043D U+043D U+044B U+0435  AU+0440 U+0430 U+0431 U+0441 U+043A U+0438 U+0435  U+042D U+043C U+0438 U+0440 U+0430 U+0442 U+044B", "SAR",</w:t>
      </w:r>
      <w:r>
        <w:t xml:space="preserve"> "ZdruU+017E eni arabski emirati", "FU+00F6 renade Arabemiraten", "U+0E2A U+0E2B U+0E23 U+0E31 U+0E10 U+0E2D U+0E32 U+0E2B U+0E23 U+0E31 U+0E1A U+0E40 U+0E2D U+0E21 U+0E34 U+0E40 U+0E23 U+0E15 U+0E2A U+0E4C", "BirleU+015F ik Arap Emirlikleri", "U+041E U+04</w:t>
      </w:r>
      <w:r>
        <w:t>31 'U+0454 U+0434 U+043D U+0430 U+043D U+0456  U+0410 U+0440 U+0430 U+0431 U+0441 U+044C U+043A U+0456  U+0415 U+043C U+0456 U+0440 U+0430 U+0442 U+0438", "U+0410 U+0440 U+0430 U+0431 U+0441 U+044C U+043A U+0456  U+0415 U+043C U+0456 U+0440 U+0430 U+0442 U</w:t>
      </w:r>
      <w:r>
        <w:t>+0438", "U+0938 U+0902 U+092F U+0941 U+0915 U+094D U+0924  U+0905 U+0930 U+092C  U+0905 U+092E U+0940 U+0930 U+093E U+0924"</w:t>
      </w:r>
    </w:p>
    <w:p w:rsidR="00024C0A" w:rsidRDefault="00694C0F">
      <w:r>
        <w:t>"United Kingdom", "Great Britain", "Britain", "England", "GB", "UK", "Angleterre", "Inglaterra", "Reino Unido", "GroU+00DF britannie</w:t>
      </w:r>
      <w:r>
        <w:t>n", "U+0628 U+0631 U+064A U+0637 U+0627 U+0646 U+064A U+0627", "U+0627 U+0644 U+0645 U+0645 U+0644 U+0643 U+0629  U+0627 U+0644 U+0645 U+062A U+062D U+062F U+0629", "U+0625 U+0646 U+062C U+0644 U+062A U+0631 U+0627", "U+0625 U+0646 U+062C U+0644 U+062A U+0</w:t>
      </w:r>
      <w:r>
        <w:t>631 U+0629", "U+041E U+0431 U+0435 U+0434 U+0438 U+043D U+0435 U+043D U+043E  U+043A U+0440 U+0430 U+043B U+0441 U+0442 U+0432 U+043E", "U+0412 U+0435 U+043B U+0438 U+043A U+043E U+0431 U+0440 U+0438 U+0442 U+0430 U+043D U+0438 U+044F", "U+0410 U+043D U+04</w:t>
      </w:r>
      <w:r>
        <w:t>33 U+043B U+0438 U+044F", "VelkU+00E1  BritU+00E1 nie", "SpojenU+00E9 krU+00E1 lovstvU+00ED", "Storbritannien", "Vereinigtes KU+00F6 nigreich", "Schottland", "Nordirland", "Wales", "G.B.", "U.K.", "U+039C U+03B5 U+03B3 U+03AC U+03BB U+03B7  U+0392 U+03C1 U</w:t>
      </w:r>
      <w:r>
        <w:t xml:space="preserve">+03B5 U+03C4 U+03B1 U+03BD U+03AF U+03B1", "Gran BretaU+00F1 a", "Islas BritU+00E1 nicas", "Suurbritannia", "Suurbritannia ja PU+00F5 hja-Iiri U+00DC hendkuningriik", "U+00DC hendkuningriik", "Britannia", "Briti", "Inglismaa", "Iso-Britannia", "Yhdistynyt </w:t>
      </w:r>
      <w:r>
        <w:t>kuningaskunta", "Englanti", "Pohjois-Irlanti", "Ison-Britannian ja Pohjois-Irlannin yhdistynyt kuningaskunta", "Royaume-Uni", "Grande-Bretagne", "U+05D0 U+05E0 U+05D2 U+05DC U+05D9 U+05D4", "U+05D1 U+05E8 U+05D9 U+05D8 U+05E0 U+05D9 U+05D4", "U+05D4 U+05DE</w:t>
      </w:r>
      <w:r>
        <w:t xml:space="preserve"> U+05DE U+05DC U+05DB U+05D4  U+05D4 U+05DE U+05D0 U+05D5 U+05D7 U+05D3 U+05EA", "U+05D1 U+05E8 U+05D9 U+05D8 U+05E0 U+05D9 U+05D4  U+05D4 U+05D2 U+05D3 U+05D5 U+05DC U+05D4", "Velika Britanija", "Engleska", "Ujedinjeno Kraljevstvo", "EgyesU+00FC lt KirU+0</w:t>
      </w:r>
      <w:r>
        <w:t>0E1 lysU+00E1 g", "Nagy-Britannia", "United Kingdon", "Regno Unito", "Gran Bretagna", "Inghilterra", "ApvienotU+0101  Kar aliste", "LielbritU+0101 nija", "JungtinU+0117  KaralystU+0117", "JungtinU+0117  DidU+017E iosios Britanijos ir U+0160 iaurU+0117 s Ai</w:t>
      </w:r>
      <w:r>
        <w:t>rijos KaralystU+0117", "DidU+017E ioji Britanija", "Britanija", "Anglija", "JK", "Verenigd Koninkrijk", "Groot-BrittanniU+00EB", "Engeland", "Verenigd Koninkrijk van Groot BrittanniU+00EB en Noord-Ierland", "V.K.", "VK", "Storbritannia", "Skottland", "Nord</w:t>
      </w:r>
      <w:r>
        <w:t>-Irland", "Wielka Brytania", "Zjednoczone KrU+00F3 lestwo", "Brytania", "GrU+00E3 -Bretanha", "Reino Unido da GrU+00E3 -Bretanha e Irlanda do Norte", "Regatul Unit", "Marea Britanie", "Anglia", "U+0421 U+043E U+0435 U+0434 U+0438 U+043D U+0435 U+043D U+043</w:t>
      </w:r>
      <w:r>
        <w:t>D U+043E U+0435  U+041A U+043E U+0440 U+043E U+043B U+0435 U+0432 U+0441 U+0442 U+0432 U+043E", "VeU+013E kU+00E1  BritU+00E1 nia", "Anglicko", "ZdruU+017E eno kraljestvo", "U+0E2A U+0E2B U+0E23 U+0E32 U+0E0A U+0E2D U+0E32 U+0E13 U+0E32 U+0E08 U+0E31 U+0E0</w:t>
      </w:r>
      <w:r>
        <w:t>1 U+0E23", "U+0130 ngiltere", "BU+00FC yU+00FC k Britanya", "BirleU+015F ik KrallU+0131 k", "U+0412 U+0435 U+043B U+0438 U+043A U+043E U+0431 U+0440 U+0438 U+0442 U+0430 U+043D U+0456 U+044F", "U+0411 U+0440 U+0438 U+0442 U+0430 U+043D U+0438 U+044F", "U+0</w:t>
      </w:r>
      <w:r>
        <w:t>412 U+0435 U+043B U+0438 U+043A U+0430  U+0411 U+0440 U+0438 U+0442 U+0430 U+043D U+0456 U+044F", "U+092C U+094D U+0930 U+093F U+091F U+0947 U+0928", "Regne Unit", "Anglaterra", "Gran Bretanya", "Northern Ireland", "Irlanda do Norte", "U+0421 U+0435 U+0432</w:t>
      </w:r>
      <w:r>
        <w:t xml:space="preserve"> U+0435 U+0440 U+043D U+0430  U+0418 U+0440 U+043B U+0430 U+043D U+0434 U+0438 U+044F", "Irlanda del Nord", "Sjeverna Irska", "SevernU+00ED  Irsko", "Nordirland", "Noord-Ierland", "PU+00F5 hja-Iirimaa", "Pohjois-Irlanti", "Irlan de du Nord", "U+0392 U+03CC</w:t>
      </w:r>
      <w:r>
        <w:t xml:space="preserve"> U+03C1 U+03B5 U+03B9 U+03B1  U+0399 U+03C1 U+03BB </w:t>
      </w:r>
      <w:r>
        <w:lastRenderedPageBreak/>
        <w:t>U+03B1 U+03BD U+03B4 U+03AF U+03B1", "Eszak-Irorszag", "ZiemeU+013C U+012B rija", "U+0160 iaurU+0117 s Airija", "Nord-Irland", "nord-Irland", "Nord Irland", "Irlandia PU+00F3 U+0142 nocna", "Irlandia PU+01</w:t>
      </w:r>
      <w:r>
        <w:t>42 n.", "PU+00F3 U+0142 nocna Irlandia", "Irlanda de Nord", "U+0421 U+0435 U+0432 U+0435 U+0440 U+043D U+0430 U+044F  U+0418 U+0440 U+043B U+0430 U+043D U+0434 U+0438 U+044F", "SevernU+00E9  U+00CD rsko", "Severna Irska", "Irlanda del Norte", "Kuzey U+0130</w:t>
      </w:r>
      <w:r>
        <w:t xml:space="preserve"> rlan da", "U+041F U+0456 U+0432 U+043D U+0456 U+0447 U+043D U+0430  U+0406 U+0440 U+043B U+0430 U+043D U+0434 U+0456 U+044F", "U+5317 U+30A2 U+30A4 U+30EB U+30E9 U+30F3 U+30C9", "U+5317 U+7231 U+5C14 U+5170", "U+5317 U+611B U+723E U+862D", "U+BD81 U+C544 </w:t>
      </w:r>
      <w:r>
        <w:t xml:space="preserve">U+C77C U+B79C U+B4DC", "U+0623 U+064A U+0631 U+0644 U+0646 U+062F U+0629  U+0627 U+0644 U+0634 U+0645 U+0627 U+0644 U+064A U+0629", "U+05E6 U+05E4 U+05D5 U+05DF  U+05D0 U+05D9 U+05E8 U+05DC U+05E0 U+05D3", "U+0E19 U+0E2D U+0E23 U+0E4C U+0E40 U+0E17 U+0E34 </w:t>
      </w:r>
      <w:r>
        <w:t>U+0E23 U+0E4C U+0E19 U+0E44 U+0E2D U+0E23 U+0E4C U+0E41 U+0E25 U+0E19 U+0E14 U+0E4C", "W ales", "PaU+00ED s de Gales", "U+0423 U+0435 U+043B U+0441", "PaU+00ED s de GalU+00B7 les", "Pays de Galles", "U+039F U+03C5 U+03B1 U+03BB U+03AF U+03B1", "Galles", "V</w:t>
      </w:r>
      <w:r>
        <w:t>elsa", "Velsas", "Walia", "U+0162 ara Galilor", "U+0423 U+044D U+043B U+044C U+0441", "Gales", "PaU+00ED s de Gales", "Galler", "U+0423 U+0435 U+043B U+044C U+0441", "U+30A6 U+30A7 U+30FC U+30EB U+30BA", "U+5A01 U+5C14 U+58EB", "U+5A01 U+723E U+65AF", "U+C</w:t>
      </w:r>
      <w:r>
        <w:t xml:space="preserve">6E8 U+C77C U+C2A4", "U+0648 U+064A U+0644 U+0632", "U+05D5 U+05D9 U+05D9 U+05DC U+05E1", "U+0E40 U+0E27 U+0E25 U+0E2A U+0E4C", "Scotland", "EscU+00F3 cia", "U+0428 U+043E U+0442 U+043B U+0430 U+043D U+0434 U+0438 U+044F", "EscU+00F2 cia", "U+0160 kotska", </w:t>
      </w:r>
      <w:r>
        <w:t>"Skotsko", "Skotland", "Schotland", "U+0160 otimaa", "Skotlanti", "U+00C9 cosse", "U+03A3 U+03BA U+03C9 U+03C4 U+03AF U+03B1", "Skocia", "Scozia ", "Skotija", "U+0160 kotija", "Skottland", "Szkocja", "ScoU+0163 ia", "U+0160 kU+00F3 tsko", "Escocia", "U+013</w:t>
      </w:r>
      <w:r>
        <w:t>0 skoU+00E7 ya", "U+0428 U+043E U+0442 U+043B U+0430 U+043D U+0434 U+0456 U+044F", "U+30B9 U+30B3 U+30C3 U+30C8 U+30E9 U+30F3 U+30C9", "U+82CF U+683C U+5170", "U+8607 U+683C U+862D", "U+C2A4 U+CF54 U+D2C0 U+B79C U+B4DC", "U+0627 U+0633 U+0643 U+062A U+0644</w:t>
      </w:r>
      <w:r>
        <w:t xml:space="preserve"> U+0646 U+062F U+0629", "U+05E1 U+05E7 U+05D5 U+05D8 U+05DC U+05E0 U+05D3", "U+0E2A U+0E01 U+0E2D U+0E15 U+0E41 U+0E25 U+0E19 U+0E14 U+0E4C", "I sle of Man", "Ilha de Man", "U+041E U+0441 U+0442 U+0440 U+043E U+0432  U+041C U+0430 U+043D", "Illa de Man", "</w:t>
      </w:r>
      <w:r>
        <w:t>Ostrov Man", "U+00D8 en Man", "Man", "Mani saar", "Mansaari", "U+00CE le de Man", "U+039D U+03AE U+03C3 U+03BF U+03C2  U+039C U+03B1 U+03BD", "Man-sziget", "Isola di Man", "Menas sala", "Meno sala", "Wyspa Man", "Insula Man", "U+041E U+0441 U+0442 U+0440 U</w:t>
      </w:r>
      <w:r>
        <w:t>+043E U+0432  U+041C U+044D U+043D", "Otok Man", "Isla de Man", "ManU+00F6 n", "Man AdasU+0131", "U+041E U+0441 U+0442 U+0440 U+0456 U+0432  U+041C U+0435 U+043D", "U+30DE U+30F3 U+5CF6", "U+9A6C U+6069 U+5C9B", "U+66FC U+57CE U+5CF6", "U+B9E8  U+C12C", "U</w:t>
      </w:r>
      <w:r>
        <w:t>+062C U+0632 U+064A U+0631 U+0629  U+0645 U+0627 U+0646", "U+05D4 U+05D0 U+05D9  U+05DE U+05D0 U+05DF", "U+0E2B U+0E21 U+0E39 U+0E48 U+0E40 U+0E01 U+0E32 U+0E30 U+0E41 U+0E21 U+0E19"</w:t>
      </w:r>
    </w:p>
    <w:p w:rsidR="00024C0A" w:rsidRDefault="00694C0F">
      <w:r>
        <w:t>"United States of America", "Etats-Unis", "Estados Unidos de AmU+00E9 ric</w:t>
      </w:r>
      <w:r>
        <w:t>a", "Es Us", "Stati Uniti d'America", "EUA", "EEUU", "USA", "US", "America", "United States", "Amerika Syarikat", "U+0627 U+0644 U+0648 U+0644 U+0627 U+064A U+0627 U+062A  U+0627 U+0644 U+0645 U+062A U+062D U+062F U+0629  U+0627 U+0644 U+0623 U+0645 U+0631</w:t>
      </w:r>
      <w:r>
        <w:t xml:space="preserve"> U+064A U+0643 U+064A U+0629", "U+0623 U+0645 U+0631 U+064A U+0643 U+0627", "U+0421 U+044A U+0435 U+0434 U+0438 U+043D U+0435 U+043D U+0438  U+0430 U+043C U+0435 U+0440 U+0438 U+043A U+0430 U+043D U+0441 U+043A U+0438  U+0449 U+0430 U+0442 U+0438", "U+0421</w:t>
      </w:r>
      <w:r>
        <w:t xml:space="preserve"> U+044A U+0435 U+0434 U+0438 U+043D U+0435 U+043D U+0438  U+0449 U+0430 U+0442 U+0438", "U+0421 U+0410 U+0429", "SpojenU+00E9 stU+00E1 ty americkU+00E9", "Vereinigte Staaten von Amerika", "Vereinigte Staaten", "Amerika", "U.S.A.", "U+0397 U+03BD U+03C9 U+0</w:t>
      </w:r>
      <w:r>
        <w:t>3BC U+03AD U+03BD U+03B5 U+03C2  U+03A0 U+03BF U+03BB U+03B9 U+03C4 U+03B5 U+03AF U+03B5 U+03C2  U+03C4 U+03B7 U+03C2  U+0391 U+03BC U+03B5 U+03C1 U+03B9 U+03BA U+03AE U+03C2", "Estados Unidos", "EE. UU.", "Ameerika U+00DC hendriigid", "U+00DC hendriigid",</w:t>
      </w:r>
      <w:r>
        <w:t xml:space="preserve"> "Ameerika", "Amerikan yhdysvallat", "Yhdysvallat", "Amerikka", "Pohjois-Amerikka", "U+00C9 tats-Unis d'AmU+00E9 rique", "U+00C9 tats-Unis", "U+05D0 U+05E8 U+05E6 U+05D5 U+05EA  U+05D4 U+05D1 U+05E8 U+05D9 U+05EA", "U+05D0 U+05E8 U+05E6 U+05D5 U+05EA -U+05</w:t>
      </w:r>
      <w:r>
        <w:t>D4 U+05D1 U+05E8 U+05D9 U+05EA", "U+05D0 U+05DE U+05E8 U+05D9 U+05E7 U+05D4", "U+05D0 U+05E8 U+05E6 U+05D5 U+05EA  U+05D4 U+05D1 U+05E8 U+05D9 U+05EA  U+05E9 U+05DC  U+05D0 U+05DE U+05E8 U+05D9 U+05E7 U+05D4", "Sjedinjene AmeriU+010D ke DrU+017E ave", "SAD</w:t>
      </w:r>
      <w:r>
        <w:t xml:space="preserve">", </w:t>
      </w:r>
      <w:r>
        <w:lastRenderedPageBreak/>
        <w:t>"Amerikai EgyesU+00FC lt U+00C1 llamok", "Stati Uniti", "Amerikas SavienotU+0101 s Valstis", "ASV", "JungtinU+0117 s Amerikos Valstijos", "JungtinU+0117 s Valstijos", "JAV", "Verenigde Staten", "Verenigde Staten van Amerika", "VS", "V.S.", "Noord-Amerik</w:t>
      </w:r>
      <w:r>
        <w:t>a", "Noord Amerika", "De forente stater", "U.S.", "Amerikas forente stater", "Stany Zjednoczone", "Stany Zjednoczone Ameryki PU+00F3 U+0142 nocnej", "Estados Unidos da AmU+00E9 rica", "E.U.A.", "AmU+00E9 rica", "Statele Unite ale Americii", "S.U.A", "U+042</w:t>
      </w:r>
      <w:r>
        <w:t xml:space="preserve">1 U+0428 U+0410", "U+0421 U+043E U+0435 U+0434 U+0438 U+043D U+0435 U+043D U+043D U+044B U+0435  U+0428 U+0442 U+0430 U+0442 U+044B", "U+0421 U+043E U+0435 U+0434 U+0438 U+043D U+0435 U+043D U+043D U+044B U+0435  U+0428 U+0442 U+0430 U+0442 U+044B  U+0410 </w:t>
      </w:r>
      <w:r>
        <w:t>U+043C U+0435 U+0440 U+0438 U+043A U+0438", "SpojenU+00E9  U+0161 tU+00E1 ty americkU+00E9", "ZdruU+017E ene drU+017E ave Amerike", "ZDA", "Amerikas fU+00F6 renta stater", "FU+00F6 renta staterna", "U+0E2A U+0E2B U+0E23 U+0E31 U+0E10 U+0E2D U+0E40 U+0E21 U</w:t>
      </w:r>
      <w:r>
        <w:t>+0E23 U+0E34 U+0E01 U+0E32", "Amerika BirleU+015F ik Devletleri", "A.B.D.", "ABD", "U+0421 U+043F U+043E U+043B U+0443 U+0447 U+0435 U+043D U+0456  U+0428 U+0442 U+0430 U+0442 U+0438  U+0410 U+043C U+0435 U+0440 U+0438 U+043A U+0438", "U+0421 U+043F U+043E</w:t>
      </w:r>
      <w:r>
        <w:t xml:space="preserve"> U+043B U+0443 U+0447 U+0435 U+043D U+0456  U+0428 U+0442 U+0430 U+0442 U+0438", "U+0410 U+043C U+0435 U+0440 U+0438 U+043A U+0430", "U+0421 U+043F U+043E U+043B U+0443 U+0447 U+0435 U+043D U+0456  U+0428", "U+0938 U+0902 U+092F U+0941 U+0915 U+094D U+0924</w:t>
      </w:r>
      <w:r>
        <w:t xml:space="preserve">  U+0930 U+093E U+091C U+094D U+092F  U+0905 U+092E U+0947 U+0930 U+093F U+0915 U+093E", "Estats Units", "Nord-AmU+00E8 rica", "U+05D0 U+05E8 U+05D4 U+0022 U+05D1"</w:t>
      </w:r>
    </w:p>
    <w:p w:rsidR="00024C0A" w:rsidRDefault="00694C0F">
      <w:r>
        <w:t xml:space="preserve">"Uzbekistan", "U+0623 U+0632 U+0628 U+0643 U+0633 U+062A U+0627 U+0646 U+0623 U+0648 U+0632 </w:t>
      </w:r>
      <w:r>
        <w:t>U+0628 U+0643 U+0633 U+062A U+0627 U+0646", "U+0423 U+0437 U+0431 U+0435 U+043A U+0438 U+0441 U+0442 U+0430 U+043D", "UzbekistU+00E1 n", "Usbekistan", "U+039F U+03C5 U+03B6 U+03BC U+03C0 U+03B5 U+03BA U+03B9 U+03C3 U+03C4 U+03AC U+03BD", "RepU+00FA blica d</w:t>
      </w:r>
      <w:r>
        <w:t>e UzbekistU+00E1 n", "Usbekistani Vabariik", "Usbeki", "Uzbekistanin tasavalta", "OuzbU+00E9 kistan", "U+05D0 U+05D5 U+05D6 U+05D1 U+05E7 U+05D9 U+05E1 U+05D8 U+05D0 U+05DF", "U+05D0 U+05D5 U+05D6 U+05D1 U+05E7 U+05D9 U+05E1 U+05D8 U+05DF", "U+00DC zbegisz</w:t>
      </w:r>
      <w:r>
        <w:t>tU+00E1 n", "UzbekistU+0101 na", "Uzbekistanas", "Uzbekija", "Uzbekistano Respublika", "Oezbekistan", "UzbequistU+00E3 o", "RepU+00FA blica do UzbequistU+00E3 o", "UsbequistU+00E3 o", "U+0E2D U+0E38 U+0E0B U+0E40 U+0E1A U+0E01 U+0E34 U+0E2A U+0E16 U+0E32 U</w:t>
      </w:r>
      <w:r>
        <w:t>+0E19", "U+00D6 zbekistan", "U+0909 U+095B U+094D U+092C U+0947 U+0915 U+093F U+0938 U+094D U+0924 U+093E U+0928"</w:t>
      </w:r>
    </w:p>
    <w:p w:rsidR="00024C0A" w:rsidRDefault="00694C0F">
      <w:r>
        <w:t>"Vietnam", "Socialist Republic of Vietnam", "U+0641 U+064A U+062A U+0646 U+0627 U+0645", "U+0412 U+0438 U+0435 U+0442 U+043D U+0430 U+043C", "</w:t>
      </w:r>
      <w:r>
        <w:t>U+0421 U+043E U+0446 U+0438 U+0430 U+043B U+0438 U+0441 U+0442 U+0438 U+0447 U+0435 U+0441 U+043A U+0430  U+0440 U+0435 U+043F U+0443 U+0431 U+043B U+0438 U+043A U+0430  U+0412 U+0438 U+0435 U+0442 U+043D U+0430 U+043C", "VietnamskU+00E1 socialistickU+00E1</w:t>
      </w:r>
      <w:r>
        <w:t xml:space="preserve"> republika", "Sozialistische Republik Vietnam", "U+0392 U+03B9 U+03B5 U+03C4 U+03BD U+03AC U+03BC", "RepU+00FA blica socialista de Vietnam", "RepU+00FA blica Socialista de Vietnam", "Vietnami Sotsialistlik Vabariik", "Vietnamin sosialistinen tasavalta", "V</w:t>
      </w:r>
      <w:r>
        <w:t xml:space="preserve">iU+00EA t Nam", "U+05D5 U+05D9 U+05D9 U+05D8 U+05E0 U+05D0 U+05DD", "U+05D5 U+05D9 U+05D8 U+05E0 U+05DD", "U+05D4 U+05E8 U+05E4 U+05D5 U+05D1 U+05DC U+05D9 U+05E7 U+05D4  U+05D4 U+05E1 U+05D5 U+05E6 U+05D9 U+05D0 U+05DC U+05D9 U+05E1 U+05D8 U+05D9 U+05EA  </w:t>
      </w:r>
      <w:r>
        <w:t>U+05E9 U+05DC  U+05D5 U+05D9 U+05D9 U+05D8 U+05E0 U+05D0 U+05DD", "Vijetnam", "VietnU+00E1 m", "Repubblica Socialista del Vietnam", "Vjetnama", "Vietnamas", "Vietnamo SocialistinU+0117  Respublika", "Socialistische Republiek Vietnam", "Viet Nam", "Wietnam"</w:t>
      </w:r>
      <w:r>
        <w:t xml:space="preserve">, "VietnU+00E3", "RepU+00FA blica Socialista do VietnU+00E3", "Vietname", "RepU+00FA blica Socialista do Vietname", "Republica SocialistU+0103  Vietnam", "U+0412 U+044C U+0435 U+0442 U+043D U+0430 U+043C", "U+0421 U+043E U+0446 U+0438 U+0430 U+043B U+0438 </w:t>
      </w:r>
      <w:r>
        <w:t>U+0441 U+0442 U+0438 U+0447 U+0435 U+0441 U+043A U+0430 U+044F  U+0420 U+0435 U+0441 U+043F U+0443 U+0431 U+043B U+0438 U+043A U+0430  U+0412 U+044C U+0435 U+0442 U+043D U+0430 U+043C", "VSR", "Socialistiska republiken Vietnam", "U+0E40 U+0E27 U+0E35 U+0E2</w:t>
      </w:r>
      <w:r>
        <w:t>2 U+0E14 U+0E19 U+0E32 U+0E21", "Vietnam Sosyalist Cumhuriyeti", "U+0412 'U+0454 U+0442 U+043D U+0430 U+043C", "U+0421 U+043E U+0446 U+0456 U+0430 U+043B U+0456 U+0441 U+0442 U+0438 U+0447 U+043D U+0430  U+0420 U+0435 U+0441 U+043F U+0443 U+0431 U+043B U+0</w:t>
      </w:r>
      <w:r>
        <w:t xml:space="preserve">456 U+043A </w:t>
      </w:r>
      <w:r>
        <w:lastRenderedPageBreak/>
        <w:t>U+0430  U+0412 'U+0454 U+0442 U+043D U+0430 U+043C", "U+0421 U+0420 U+0412", "U+0935 U+093F U+092F U+0924 U+0928 U+093E U+092E"</w:t>
      </w:r>
    </w:p>
    <w:p w:rsidR="00024C0A" w:rsidRDefault="00694C0F">
      <w:r>
        <w:t>"Ireland", "Republic of Ireland", "Eire", "Irlanda", "RepU+00FA blica da Irlanda", "U+0418 U+0440 U+043B U+0430 U+043</w:t>
      </w:r>
      <w:r>
        <w:t>D U+0434 U+0438 U+044F", "U+0420 U+0435 U+043F U+0443 U+0431 U+043B U+0438 U+043A U+0430  U+0418 U+0440 U+043B U+0430 U+043D U+0434 U+0438 U+044F", "U+0415 U+0439 U+0440 U+0435", "RepU+00FA blica d'Irlanda", "Irska", "Republika Irska", "Irsko", "IrskU+00E1</w:t>
      </w:r>
      <w:r>
        <w:t xml:space="preserve"> republika", "Irland", "Ierland", "Iirimaa", "Irlanti", "Irlannin tasavalta", "Irlande", "U+0399 U+03C1 U+03BB U+03B1 U+03BD U+03B4 U+03AF U+03B1", "U+00CD rorszU+00E1 g", "Irlanda ", "U+012A rija", "U+012A rijas Republika", "Airija", "Airijos Res publika"</w:t>
      </w:r>
      <w:r>
        <w:t xml:space="preserve">, "Irlandia", "Republika Irlandii", "Republica Irlanda", "U+00CD rsko", "U+00CD rska republika", "IrlU+00E4 ndska republiken", "IrlU+00E4 ndska Republiken", "U+0130 rlanda ", "U+0406 U+0440 U+043B U+0430 U+043D U+0434 U+0456 U+044F", "U+0420 U+0435 U+0441 </w:t>
      </w:r>
      <w:r>
        <w:t>U+043F U+0443 U+0431 U+043B U+0456 U+043A U+0430  U+0406 U+0440 U+043B U+0430 U+043D U+0434 U+0456 U+044F", "U+30A2 U+30A4 U+30EB U+30E9 U+30F3 U+30C9", "U+7231 U+5C14 U+5170", "U+611B U+723E U+862D", "U+C544 U+C77C U+B79C U+B4DC", "U+0623 U+064A U+0631 U+</w:t>
      </w:r>
      <w:r>
        <w:t>0644 U+0646 U+062F U+0627", "U+05D0 U+05D9 U+05E8 U+05DC U+05E0 U+05D3", "U+0E44 U+0E2D U+0E23 U+0E4C U+0E41 U+0E25 U+0E19 U+0E14 U+0E4C"</w:t>
      </w:r>
    </w:p>
    <w:p w:rsidR="00024C0A" w:rsidRDefault="00694C0F">
      <w:r>
        <w:t>"Argentina", "Argentine", "Argentinien", "AR"</w:t>
      </w:r>
    </w:p>
    <w:p w:rsidR="00024C0A" w:rsidRDefault="00694C0F">
      <w:r>
        <w:t>"Bolivia"</w:t>
      </w:r>
    </w:p>
    <w:p w:rsidR="00024C0A" w:rsidRDefault="00694C0F">
      <w:r>
        <w:t>"Brunei Darussalam", "Brunei"</w:t>
      </w:r>
    </w:p>
    <w:p w:rsidR="00024C0A" w:rsidRDefault="00694C0F">
      <w:r>
        <w:t>"Chile", "Cile"</w:t>
      </w:r>
    </w:p>
    <w:p w:rsidR="00024C0A" w:rsidRDefault="00694C0F">
      <w:r>
        <w:t>"Colombia", "Kol</w:t>
      </w:r>
      <w:r>
        <w:t>umbien"</w:t>
      </w:r>
    </w:p>
    <w:p w:rsidR="00024C0A" w:rsidRDefault="00694C0F">
      <w:r>
        <w:t>"Costa Rica", "Costarica"</w:t>
      </w:r>
    </w:p>
    <w:p w:rsidR="00024C0A" w:rsidRDefault="00694C0F">
      <w:r>
        <w:t>"Dominican Republic", "República Dominicana", "Rep.Dom.", "RD"</w:t>
      </w:r>
    </w:p>
    <w:p w:rsidR="00024C0A" w:rsidRDefault="00694C0F">
      <w:r>
        <w:t>"Ecuador"</w:t>
      </w:r>
    </w:p>
    <w:p w:rsidR="00024C0A" w:rsidRDefault="00694C0F">
      <w:r>
        <w:t>"Guatemala"</w:t>
      </w:r>
    </w:p>
    <w:p w:rsidR="00024C0A" w:rsidRDefault="00694C0F">
      <w:r>
        <w:t>"Indonesia", "Dutch East Indies"</w:t>
      </w:r>
    </w:p>
    <w:p w:rsidR="00024C0A" w:rsidRDefault="00694C0F">
      <w:r>
        <w:t>"Iraq"</w:t>
      </w:r>
    </w:p>
    <w:p w:rsidR="00024C0A" w:rsidRDefault="00694C0F">
      <w:r>
        <w:t>"Jamaica", "Giamaica"</w:t>
      </w:r>
    </w:p>
    <w:p w:rsidR="00024C0A" w:rsidRDefault="00694C0F">
      <w:r>
        <w:t>"Kenya"</w:t>
      </w:r>
    </w:p>
    <w:p w:rsidR="00024C0A" w:rsidRDefault="00694C0F">
      <w:r>
        <w:t>"Kyrgyzstan"</w:t>
      </w:r>
    </w:p>
    <w:p w:rsidR="00024C0A" w:rsidRDefault="00694C0F">
      <w:r>
        <w:t>"Libya"</w:t>
      </w:r>
    </w:p>
    <w:p w:rsidR="00024C0A" w:rsidRDefault="00694C0F">
      <w:r>
        <w:t>"Liechtenstein"</w:t>
      </w:r>
    </w:p>
    <w:p w:rsidR="00024C0A" w:rsidRDefault="00694C0F">
      <w:r>
        <w:t xml:space="preserve">"Luxembourg", "Lussemburgo", </w:t>
      </w:r>
      <w:r>
        <w:t>"Luxemburgo"</w:t>
      </w:r>
    </w:p>
    <w:p w:rsidR="00024C0A" w:rsidRDefault="00694C0F">
      <w:r>
        <w:t>"Macau SAR", "Macau", "Macao"</w:t>
      </w:r>
    </w:p>
    <w:p w:rsidR="00024C0A" w:rsidRDefault="00694C0F">
      <w:r>
        <w:t>"Malaysia", "East Malaysia", "Malaya", "Malaisie"</w:t>
      </w:r>
    </w:p>
    <w:p w:rsidR="00024C0A" w:rsidRDefault="00694C0F">
      <w:r>
        <w:t>"Mexico", "Mejico", "México", "Messico"</w:t>
      </w:r>
    </w:p>
    <w:p w:rsidR="00024C0A" w:rsidRDefault="00694C0F">
      <w:r>
        <w:t>"Moldova"</w:t>
      </w:r>
    </w:p>
    <w:p w:rsidR="00024C0A" w:rsidRDefault="00694C0F">
      <w:r>
        <w:t>"Monaco", "Mónaco"</w:t>
      </w:r>
    </w:p>
    <w:p w:rsidR="00024C0A" w:rsidRDefault="00694C0F">
      <w:r>
        <w:lastRenderedPageBreak/>
        <w:t>"New Zealand", "NZ", "Neuseeland", "Nuovo Zelanda", "Nueva Zelanda"</w:t>
      </w:r>
    </w:p>
    <w:p w:rsidR="00024C0A" w:rsidRDefault="00694C0F">
      <w:r>
        <w:t>"Nicaragua"</w:t>
      </w:r>
    </w:p>
    <w:p w:rsidR="00024C0A" w:rsidRDefault="00694C0F">
      <w:r>
        <w:t>"Panama", "Pan</w:t>
      </w:r>
      <w:r>
        <w:t>amá", "Panama"</w:t>
      </w:r>
    </w:p>
    <w:p w:rsidR="00024C0A" w:rsidRDefault="00694C0F">
      <w:r>
        <w:t>"Paraguay"</w:t>
      </w:r>
    </w:p>
    <w:p w:rsidR="00024C0A" w:rsidRDefault="00694C0F">
      <w:r>
        <w:t>"Peru", "Perú", "Peru"</w:t>
      </w:r>
    </w:p>
    <w:p w:rsidR="00024C0A" w:rsidRDefault="00694C0F">
      <w:r>
        <w:t>"Philippines", "The Philippines", "Pilipinas", "Filippine", "Filipinas"</w:t>
      </w:r>
    </w:p>
    <w:p w:rsidR="00024C0A" w:rsidRDefault="00694C0F">
      <w:r>
        <w:t>"Singapore", "Republic of Singapore", "Singapur"</w:t>
      </w:r>
    </w:p>
    <w:p w:rsidR="00024C0A" w:rsidRDefault="00694C0F">
      <w:r>
        <w:t xml:space="preserve">"South Africa", "S Africa", "Republic of South Africa", "Suid-Afrika", "Sud Africa", </w:t>
      </w:r>
      <w:r>
        <w:t>"Südafrika", "Sudáfrica"</w:t>
      </w:r>
    </w:p>
    <w:p w:rsidR="00024C0A" w:rsidRDefault="00694C0F">
      <w:r>
        <w:t>"Syria"</w:t>
      </w:r>
    </w:p>
    <w:p w:rsidR="00024C0A" w:rsidRDefault="00694C0F">
      <w:r>
        <w:t>"Tajikistan"</w:t>
      </w:r>
    </w:p>
    <w:p w:rsidR="00024C0A" w:rsidRDefault="00694C0F">
      <w:r>
        <w:t>"Turkmenistan"</w:t>
      </w:r>
    </w:p>
    <w:p w:rsidR="00024C0A" w:rsidRDefault="00694C0F">
      <w:r>
        <w:t>"Uruguay"</w:t>
      </w:r>
    </w:p>
    <w:p w:rsidR="00024C0A" w:rsidRDefault="00694C0F">
      <w:r>
        <w:t>"Venezuela"</w:t>
      </w:r>
    </w:p>
    <w:p w:rsidR="00024C0A" w:rsidRDefault="00694C0F">
      <w:r>
        <w:t>"Yemen"</w:t>
      </w:r>
    </w:p>
    <w:p w:rsidR="00024C0A" w:rsidRDefault="00694C0F">
      <w:pPr>
        <w:pStyle w:val="Heading3"/>
      </w:pPr>
      <w:bookmarkStart w:id="937" w:name="section_fc652f822fbf477887ff9b52fab9d600"/>
      <w:bookmarkStart w:id="938" w:name="_Toc12260529"/>
      <w:r>
        <w:t>Part 1 Section 17.16.5.2, ADVANCE</w:t>
      </w:r>
      <w:bookmarkEnd w:id="937"/>
      <w:bookmarkEnd w:id="938"/>
      <w:r>
        <w:fldChar w:fldCharType="begin"/>
      </w:r>
      <w:r>
        <w:instrText xml:space="preserve"> XE "ADVANCE" </w:instrText>
      </w:r>
      <w:r>
        <w:fldChar w:fldCharType="end"/>
      </w:r>
    </w:p>
    <w:p w:rsidR="00024C0A" w:rsidRDefault="00694C0F">
      <w:pPr>
        <w:pStyle w:val="Definition-Field"/>
      </w:pPr>
      <w:r>
        <w:t xml:space="preserve">a.   </w:t>
      </w:r>
      <w:r>
        <w:rPr>
          <w:i/>
        </w:rPr>
        <w:t>The standard allows the advance field to be nested inside another field.</w:t>
      </w:r>
    </w:p>
    <w:p w:rsidR="00024C0A" w:rsidRDefault="00694C0F">
      <w:pPr>
        <w:pStyle w:val="Definition-Field2"/>
      </w:pPr>
      <w:r>
        <w:t>Word does not carry out the display b</w:t>
      </w:r>
      <w:r>
        <w:t>ehavior of the ADVANCE field if it is nested inside another field.</w:t>
      </w:r>
    </w:p>
    <w:p w:rsidR="00024C0A" w:rsidRDefault="00694C0F">
      <w:pPr>
        <w:pStyle w:val="Definition-Field"/>
      </w:pPr>
      <w:r>
        <w:t xml:space="preserve">b.   </w:t>
      </w:r>
      <w:r>
        <w:rPr>
          <w:i/>
        </w:rPr>
        <w:t>The standard states that this field has no effect on images, etc.</w:t>
      </w:r>
    </w:p>
    <w:p w:rsidR="00024C0A" w:rsidRDefault="00694C0F">
      <w:pPr>
        <w:pStyle w:val="Definition-Field2"/>
      </w:pPr>
      <w:r>
        <w:t>Word moves inline objects, including pictures.</w:t>
      </w:r>
    </w:p>
    <w:p w:rsidR="00024C0A" w:rsidRDefault="00694C0F">
      <w:pPr>
        <w:pStyle w:val="Heading3"/>
      </w:pPr>
      <w:bookmarkStart w:id="939" w:name="section_dc04613da39c452b8c1088e60dd06752"/>
      <w:bookmarkStart w:id="940" w:name="_Toc12260530"/>
      <w:r>
        <w:t>Part 1 Section 17.16.5.4, AUTHOR</w:t>
      </w:r>
      <w:bookmarkEnd w:id="939"/>
      <w:bookmarkEnd w:id="940"/>
      <w:r>
        <w:fldChar w:fldCharType="begin"/>
      </w:r>
      <w:r>
        <w:instrText xml:space="preserve"> XE "AUTHOR" </w:instrText>
      </w:r>
      <w:r>
        <w:fldChar w:fldCharType="end"/>
      </w:r>
    </w:p>
    <w:p w:rsidR="00024C0A" w:rsidRDefault="00694C0F">
      <w:pPr>
        <w:pStyle w:val="Definition-Field"/>
      </w:pPr>
      <w:r>
        <w:t xml:space="preserve">a.   </w:t>
      </w:r>
      <w:r>
        <w:rPr>
          <w:i/>
        </w:rPr>
        <w:t xml:space="preserve">The standard says </w:t>
      </w:r>
      <w:r>
        <w:rPr>
          <w:i/>
        </w:rPr>
        <w:t>that an author field must have one of the general-formatting switches.</w:t>
      </w:r>
    </w:p>
    <w:p w:rsidR="00024C0A" w:rsidRDefault="00694C0F">
      <w:pPr>
        <w:pStyle w:val="Definition-Field2"/>
      </w:pPr>
      <w:r>
        <w:t>In Word, having a general-formatting switch is optional for an author field.</w:t>
      </w:r>
    </w:p>
    <w:p w:rsidR="00024C0A" w:rsidRDefault="00694C0F">
      <w:pPr>
        <w:pStyle w:val="Heading3"/>
      </w:pPr>
      <w:bookmarkStart w:id="941" w:name="section_1aed887d26154119b901ce3ec798cccf"/>
      <w:bookmarkStart w:id="942" w:name="_Toc12260531"/>
      <w:r>
        <w:t>Part 1 Section 17.16.5.7, BIBLIOGRAPHY</w:t>
      </w:r>
      <w:bookmarkEnd w:id="941"/>
      <w:bookmarkEnd w:id="942"/>
      <w:r>
        <w:fldChar w:fldCharType="begin"/>
      </w:r>
      <w:r>
        <w:instrText xml:space="preserve"> XE "BIBLIOGRAPHY" </w:instrText>
      </w:r>
      <w:r>
        <w:fldChar w:fldCharType="end"/>
      </w:r>
    </w:p>
    <w:p w:rsidR="00024C0A" w:rsidRDefault="00694C0F">
      <w:pPr>
        <w:pStyle w:val="Definition-Field"/>
      </w:pPr>
      <w:r>
        <w:t xml:space="preserve">a.   </w:t>
      </w:r>
      <w:r>
        <w:rPr>
          <w:i/>
        </w:rPr>
        <w:t>The standard does not specify default behav</w:t>
      </w:r>
      <w:r>
        <w:rPr>
          <w:i/>
        </w:rPr>
        <w:t>ior when the \f switch is present without an argument.</w:t>
      </w:r>
    </w:p>
    <w:p w:rsidR="00024C0A" w:rsidRDefault="00694C0F">
      <w:pPr>
        <w:pStyle w:val="Definition-Field2"/>
      </w:pPr>
      <w:r>
        <w:t>In Word, if the argument for \f is not specified, then the language from the \l switch is used if specified.</w:t>
      </w:r>
    </w:p>
    <w:p w:rsidR="00024C0A" w:rsidRDefault="00694C0F">
      <w:pPr>
        <w:pStyle w:val="Definition-Field"/>
      </w:pPr>
      <w:r>
        <w:t xml:space="preserve">b.   </w:t>
      </w:r>
      <w:r>
        <w:rPr>
          <w:i/>
        </w:rPr>
        <w:t>The standard does mention the acceptance of integer language codes for the \l and \f sw</w:t>
      </w:r>
      <w:r>
        <w:rPr>
          <w:i/>
        </w:rPr>
        <w:t>itches.</w:t>
      </w:r>
    </w:p>
    <w:p w:rsidR="00024C0A" w:rsidRDefault="00694C0F">
      <w:pPr>
        <w:pStyle w:val="Definition-Field2"/>
      </w:pPr>
      <w:r>
        <w:t>Word also accepts integer LCID language codes in addition to BCP47 culture tags.</w:t>
      </w:r>
    </w:p>
    <w:p w:rsidR="00024C0A" w:rsidRDefault="00694C0F">
      <w:pPr>
        <w:pStyle w:val="Definition-Field"/>
      </w:pPr>
      <w:r>
        <w:t xml:space="preserve">c.   </w:t>
      </w:r>
      <w:r>
        <w:rPr>
          <w:i/>
        </w:rPr>
        <w:t>The standard says \m switch specifies which single source to show in the bibliography.</w:t>
      </w:r>
    </w:p>
    <w:p w:rsidR="00024C0A" w:rsidRDefault="00694C0F">
      <w:pPr>
        <w:pStyle w:val="Definition-Field2"/>
      </w:pPr>
      <w:r>
        <w:lastRenderedPageBreak/>
        <w:t>In Word, the \m switch may be used repeatedly to specify a set of sources t</w:t>
      </w:r>
      <w:r>
        <w:t>o show in the bibliography.</w:t>
      </w:r>
    </w:p>
    <w:p w:rsidR="00024C0A" w:rsidRDefault="00694C0F">
      <w:pPr>
        <w:pStyle w:val="Definition-Field"/>
      </w:pPr>
      <w:r>
        <w:t xml:space="preserve">d.   </w:t>
      </w:r>
      <w:r>
        <w:rPr>
          <w:i/>
        </w:rPr>
        <w:t>The standard allows the /f and /l switches to supply different locales.</w:t>
      </w:r>
    </w:p>
    <w:p w:rsidR="00024C0A" w:rsidRDefault="00694C0F">
      <w:pPr>
        <w:pStyle w:val="Definition-Field2"/>
      </w:pPr>
      <w:r>
        <w:t>In Word, if the /f and /l switches supply different locales, then the locale supplied with /f is used for /l.</w:t>
      </w:r>
    </w:p>
    <w:p w:rsidR="00024C0A" w:rsidRDefault="00694C0F">
      <w:pPr>
        <w:pStyle w:val="Heading3"/>
      </w:pPr>
      <w:bookmarkStart w:id="943" w:name="section_706517631bd24fa2ae94420b4a980998"/>
      <w:bookmarkStart w:id="944" w:name="_Toc12260532"/>
      <w:r>
        <w:t>Part 1 Section 17.16.5.8, CITATION</w:t>
      </w:r>
      <w:bookmarkEnd w:id="943"/>
      <w:bookmarkEnd w:id="944"/>
      <w:r>
        <w:fldChar w:fldCharType="begin"/>
      </w:r>
      <w:r>
        <w:instrText xml:space="preserve"> XE "CI</w:instrText>
      </w:r>
      <w:r>
        <w:instrText xml:space="preserve">TATION" </w:instrText>
      </w:r>
      <w:r>
        <w:fldChar w:fldCharType="end"/>
      </w:r>
    </w:p>
    <w:p w:rsidR="00024C0A" w:rsidRDefault="00694C0F">
      <w:pPr>
        <w:pStyle w:val="Definition-Field"/>
      </w:pPr>
      <w:r>
        <w:t xml:space="preserve">a.   </w:t>
      </w:r>
      <w:r>
        <w:rPr>
          <w:i/>
        </w:rPr>
        <w:t>The standard says that the \l switch specifies the locale used to format the citation.</w:t>
      </w:r>
    </w:p>
    <w:p w:rsidR="00024C0A" w:rsidRDefault="00694C0F">
      <w:pPr>
        <w:pStyle w:val="Definition-Field2"/>
      </w:pPr>
      <w:r>
        <w:t>In Word, if a source has a locale set using the LCID element ("</w:t>
      </w:r>
      <w:hyperlink r:id="rId104">
        <w:r>
          <w:rPr>
            <w:rStyle w:val="Hyperlink"/>
          </w:rPr>
          <w:t>[ISO/IEC-29500-1]</w:t>
        </w:r>
      </w:hyperlink>
      <w:r>
        <w:t xml:space="preserve"> §22.6.</w:t>
      </w:r>
      <w:r>
        <w:t>2.39; LCID"), then that locale is used to format the source rather than the locale specified in the \l switch.</w:t>
      </w:r>
    </w:p>
    <w:p w:rsidR="00024C0A" w:rsidRDefault="00694C0F">
      <w:pPr>
        <w:pStyle w:val="Definition-Field"/>
      </w:pPr>
      <w:r>
        <w:t xml:space="preserve">b.   </w:t>
      </w:r>
      <w:r>
        <w:rPr>
          <w:i/>
        </w:rPr>
        <w:t>The standard does not describe how \m switch affect other switches in a multi-source citation.</w:t>
      </w:r>
    </w:p>
    <w:p w:rsidR="00024C0A" w:rsidRDefault="00694C0F">
      <w:pPr>
        <w:pStyle w:val="Definition-Field2"/>
      </w:pPr>
      <w:r>
        <w:t>In Word, other switches affect the previously</w:t>
      </w:r>
      <w:r>
        <w:t xml:space="preserve"> defined source, defined either by the initial tag in the field or the last tag specified with the \m switch.</w:t>
      </w:r>
    </w:p>
    <w:p w:rsidR="00024C0A" w:rsidRDefault="00694C0F">
      <w:pPr>
        <w:pStyle w:val="Definition-Field"/>
      </w:pPr>
      <w:r>
        <w:t xml:space="preserve">c.   </w:t>
      </w:r>
      <w:r>
        <w:rPr>
          <w:i/>
        </w:rPr>
        <w:t>The standard says the field value for the CITATION field is the same as for the COMMENTS field.</w:t>
      </w:r>
    </w:p>
    <w:p w:rsidR="00024C0A" w:rsidRDefault="00694C0F">
      <w:pPr>
        <w:pStyle w:val="Definition-Field2"/>
      </w:pPr>
      <w:r>
        <w:t>In Word, the field value for the CITATION fie</w:t>
      </w:r>
      <w:r>
        <w:t>ld is a formatted citation for the sources specified within the field.</w:t>
      </w:r>
    </w:p>
    <w:p w:rsidR="00024C0A" w:rsidRDefault="00694C0F">
      <w:pPr>
        <w:pStyle w:val="Heading3"/>
      </w:pPr>
      <w:bookmarkStart w:id="945" w:name="section_6662898652f04e7687cd532773d73936"/>
      <w:bookmarkStart w:id="946" w:name="_Toc12260533"/>
      <w:r>
        <w:t>Part 1 Section 17.16.5.9, COMMENTS</w:t>
      </w:r>
      <w:bookmarkEnd w:id="945"/>
      <w:bookmarkEnd w:id="946"/>
      <w:r>
        <w:fldChar w:fldCharType="begin"/>
      </w:r>
      <w:r>
        <w:instrText xml:space="preserve"> XE "COMMENTS" </w:instrText>
      </w:r>
      <w:r>
        <w:fldChar w:fldCharType="end"/>
      </w:r>
    </w:p>
    <w:p w:rsidR="00024C0A" w:rsidRDefault="00694C0F">
      <w:pPr>
        <w:pStyle w:val="Definition-Field"/>
      </w:pPr>
      <w:r>
        <w:t xml:space="preserve">a.   </w:t>
      </w:r>
      <w:r>
        <w:rPr>
          <w:i/>
        </w:rPr>
        <w:t>The standard says a COMMENTS field must have a general-formatting-switch.</w:t>
      </w:r>
    </w:p>
    <w:p w:rsidR="00024C0A" w:rsidRDefault="00694C0F">
      <w:pPr>
        <w:pStyle w:val="Definition-Field2"/>
      </w:pPr>
      <w:r>
        <w:t>In Word, using a general-formatting switch in a COMMEN</w:t>
      </w:r>
      <w:r>
        <w:t>TS field is optional.</w:t>
      </w:r>
    </w:p>
    <w:p w:rsidR="00024C0A" w:rsidRDefault="00694C0F">
      <w:pPr>
        <w:pStyle w:val="Heading3"/>
      </w:pPr>
      <w:bookmarkStart w:id="947" w:name="section_efc903893bb0477795d2f3479d5109e7"/>
      <w:bookmarkStart w:id="948" w:name="_Toc12260534"/>
      <w:r>
        <w:t>Part 1 Section 17.16.5.10, COMPARE</w:t>
      </w:r>
      <w:bookmarkEnd w:id="947"/>
      <w:bookmarkEnd w:id="948"/>
      <w:r>
        <w:fldChar w:fldCharType="begin"/>
      </w:r>
      <w:r>
        <w:instrText xml:space="preserve"> XE "COMPARE" </w:instrText>
      </w:r>
      <w:r>
        <w:fldChar w:fldCharType="end"/>
      </w:r>
    </w:p>
    <w:p w:rsidR="00024C0A" w:rsidRDefault="00694C0F">
      <w:pPr>
        <w:pStyle w:val="Definition-Field"/>
      </w:pPr>
      <w:r>
        <w:t xml:space="preserve">a.   </w:t>
      </w:r>
      <w:r>
        <w:rPr>
          <w:i/>
        </w:rPr>
        <w:t>The Standard does not specify the expression used to evaluate the comparison.</w:t>
      </w:r>
    </w:p>
    <w:p w:rsidR="00024C0A" w:rsidRDefault="00694C0F">
      <w:pPr>
        <w:pStyle w:val="Definition-Field2"/>
      </w:pPr>
      <w:r>
        <w:t>Word uses the following expression: comparison =&gt; expression comparison-operator expression.</w:t>
      </w:r>
    </w:p>
    <w:p w:rsidR="00024C0A" w:rsidRDefault="00694C0F">
      <w:pPr>
        <w:pStyle w:val="Definition-Field"/>
      </w:pPr>
      <w:r>
        <w:t xml:space="preserve">b.   </w:t>
      </w:r>
      <w:r>
        <w:rPr>
          <w:i/>
        </w:rPr>
        <w:t>The standard states that the left hand expression operand can contain wildcards.</w:t>
      </w:r>
    </w:p>
    <w:p w:rsidR="00024C0A" w:rsidRDefault="00694C0F">
      <w:pPr>
        <w:pStyle w:val="Definition-Field2"/>
      </w:pPr>
      <w:r>
        <w:t>Word supports wildcards in the right hand expression operand only.</w:t>
      </w:r>
    </w:p>
    <w:p w:rsidR="00024C0A" w:rsidRDefault="00694C0F">
      <w:pPr>
        <w:pStyle w:val="Definition-Field"/>
      </w:pPr>
      <w:r>
        <w:t xml:space="preserve">c.   </w:t>
      </w:r>
      <w:r>
        <w:rPr>
          <w:i/>
        </w:rPr>
        <w:t>The standard does not specify any length restrictions on wildcards expansions.</w:t>
      </w:r>
    </w:p>
    <w:p w:rsidR="00024C0A" w:rsidRDefault="00694C0F">
      <w:pPr>
        <w:pStyle w:val="Definition-Field2"/>
      </w:pPr>
      <w:r>
        <w:t xml:space="preserve">In Word, if an asterisk </w:t>
      </w:r>
      <w:r>
        <w:t>is used in Expression-2, the portion of Expression-1 that corresponds to the asterisk plus any remaining characters in Expression-2 shall NOT exceed 128 characters.</w:t>
      </w:r>
    </w:p>
    <w:p w:rsidR="00024C0A" w:rsidRDefault="00694C0F">
      <w:pPr>
        <w:pStyle w:val="Heading3"/>
      </w:pPr>
      <w:bookmarkStart w:id="949" w:name="section_ab4095f610eb4826a70e9e92fcfeb5b3"/>
      <w:bookmarkStart w:id="950" w:name="_Toc12260535"/>
      <w:r>
        <w:t>Part 1 Section 17.16.5.11, CREATEDATE</w:t>
      </w:r>
      <w:bookmarkEnd w:id="949"/>
      <w:bookmarkEnd w:id="950"/>
      <w:r>
        <w:fldChar w:fldCharType="begin"/>
      </w:r>
      <w:r>
        <w:instrText xml:space="preserve"> XE "CREATEDATE" </w:instrText>
      </w:r>
      <w:r>
        <w:fldChar w:fldCharType="end"/>
      </w:r>
    </w:p>
    <w:p w:rsidR="00024C0A" w:rsidRDefault="00694C0F">
      <w:pPr>
        <w:pStyle w:val="Definition-Field"/>
      </w:pPr>
      <w:r>
        <w:t xml:space="preserve">a.   </w:t>
      </w:r>
      <w:r>
        <w:rPr>
          <w:i/>
        </w:rPr>
        <w:t xml:space="preserve">The standard says by default </w:t>
      </w:r>
      <w:r>
        <w:rPr>
          <w:i/>
        </w:rPr>
        <w:t>the Gregorian calendar is used for the CREATEDATE field.</w:t>
      </w:r>
    </w:p>
    <w:p w:rsidR="00024C0A" w:rsidRDefault="00694C0F">
      <w:pPr>
        <w:pStyle w:val="Definition-Field2"/>
      </w:pPr>
      <w:r>
        <w:t>In Word, the calendar used for the CREATEDATE field is locale specific.</w:t>
      </w:r>
    </w:p>
    <w:p w:rsidR="00024C0A" w:rsidRDefault="00694C0F">
      <w:pPr>
        <w:pStyle w:val="Heading3"/>
      </w:pPr>
      <w:bookmarkStart w:id="951" w:name="section_6870342f637e45b2a66303c99dcff328"/>
      <w:bookmarkStart w:id="952" w:name="_Toc12260536"/>
      <w:r>
        <w:t>Part 1 Section 17.16.5.12, DATABASE</w:t>
      </w:r>
      <w:bookmarkEnd w:id="951"/>
      <w:bookmarkEnd w:id="952"/>
      <w:r>
        <w:fldChar w:fldCharType="begin"/>
      </w:r>
      <w:r>
        <w:instrText xml:space="preserve"> XE "DATABASE" </w:instrText>
      </w:r>
      <w:r>
        <w:fldChar w:fldCharType="end"/>
      </w:r>
    </w:p>
    <w:p w:rsidR="00024C0A" w:rsidRDefault="00694C0F">
      <w:pPr>
        <w:pStyle w:val="Definition-Field"/>
      </w:pPr>
      <w:r>
        <w:t xml:space="preserve">a.   </w:t>
      </w:r>
      <w:r>
        <w:rPr>
          <w:i/>
        </w:rPr>
        <w:t>The standard does not specify meaning for arguments 512 and 1024 in t</w:t>
      </w:r>
      <w:r>
        <w:rPr>
          <w:i/>
        </w:rPr>
        <w:t>he \b switch.</w:t>
      </w:r>
    </w:p>
    <w:p w:rsidR="00024C0A" w:rsidRDefault="00694C0F">
      <w:pPr>
        <w:pStyle w:val="Definition-Field2"/>
      </w:pPr>
      <w:r>
        <w:t>In Word, arguments 512 and 1024 in the \b switch control row and column banding respectively.</w:t>
      </w:r>
    </w:p>
    <w:p w:rsidR="00024C0A" w:rsidRDefault="00694C0F">
      <w:pPr>
        <w:pStyle w:val="Definition-Field"/>
      </w:pPr>
      <w:r>
        <w:lastRenderedPageBreak/>
        <w:t xml:space="preserve">b.   </w:t>
      </w:r>
      <w:r>
        <w:rPr>
          <w:i/>
        </w:rPr>
        <w:t>The standard does not explain the format of the argument to the \l switch.</w:t>
      </w:r>
    </w:p>
    <w:p w:rsidR="00024C0A" w:rsidRDefault="00694C0F">
      <w:r>
        <w:t>In Word, the text in this switch's field-argument specifies the form</w:t>
      </w:r>
      <w:r>
        <w:t>at, by indexing into the following table:</w:t>
      </w:r>
    </w:p>
    <w:tbl>
      <w:tblPr>
        <w:tblStyle w:val="Table-ShadedHeader"/>
        <w:tblW w:w="0" w:type="auto"/>
        <w:tblLook w:val="04A0" w:firstRow="1" w:lastRow="0" w:firstColumn="1" w:lastColumn="0" w:noHBand="0" w:noVBand="1"/>
      </w:tblPr>
      <w:tblGrid>
        <w:gridCol w:w="1784"/>
        <w:gridCol w:w="6290"/>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Index (Name)</w:t>
            </w:r>
          </w:p>
        </w:tc>
        <w:tc>
          <w:tcPr>
            <w:tcW w:w="0" w:type="auto"/>
            <w:vAlign w:val="center"/>
          </w:tcPr>
          <w:p w:rsidR="00024C0A" w:rsidRDefault="00694C0F">
            <w:pPr>
              <w:pStyle w:val="TableHeaderText"/>
            </w:pPr>
            <w:r>
              <w:t>Properties</w:t>
            </w:r>
          </w:p>
        </w:tc>
      </w:tr>
      <w:tr w:rsidR="00024C0A" w:rsidTr="00024C0A">
        <w:tc>
          <w:tcPr>
            <w:tcW w:w="0" w:type="auto"/>
            <w:vAlign w:val="center"/>
          </w:tcPr>
          <w:p w:rsidR="00024C0A" w:rsidRDefault="00694C0F">
            <w:pPr>
              <w:pStyle w:val="TableBodyText"/>
            </w:pPr>
            <w:r>
              <w:t>1 (Simple 1)</w:t>
            </w:r>
          </w:p>
          <w:p w:rsidR="00024C0A" w:rsidRDefault="00024C0A">
            <w:pPr>
              <w:pStyle w:val="TableBodyText"/>
            </w:pPr>
          </w:p>
        </w:tc>
        <w:tc>
          <w:tcPr>
            <w:tcW w:w="0" w:type="auto"/>
            <w:vAlign w:val="center"/>
          </w:tcPr>
          <w:p w:rsidR="00024C0A" w:rsidRDefault="00694C0F">
            <w:pPr>
              <w:pStyle w:val="TableBodyText"/>
            </w:pPr>
            <w:r>
              <w:t>The table shall have the following properties:</w:t>
            </w:r>
          </w:p>
          <w:p w:rsidR="00024C0A" w:rsidRDefault="00694C0F">
            <w:pPr>
              <w:pStyle w:val="TableBodyText"/>
            </w:pPr>
            <w:r>
              <w:t>The top border shall be a 1 1/2 pt single line.</w:t>
            </w:r>
          </w:p>
          <w:p w:rsidR="00024C0A" w:rsidRDefault="00694C0F">
            <w:pPr>
              <w:pStyle w:val="TableBodyText"/>
            </w:pPr>
            <w:r>
              <w:t>The bottom border shall be a 1 1/2 pt single line.</w:t>
            </w:r>
          </w:p>
          <w:p w:rsidR="00024C0A" w:rsidRDefault="00694C0F">
            <w:pPr>
              <w:pStyle w:val="TableBodyText"/>
            </w:pPr>
            <w:r>
              <w:t>The top border color shall be</w:t>
            </w:r>
            <w:r>
              <w:t xml:space="preserve"> dark green (00CC00).</w:t>
            </w:r>
          </w:p>
          <w:p w:rsidR="00024C0A" w:rsidRDefault="00694C0F">
            <w:pPr>
              <w:pStyle w:val="TableBodyText"/>
            </w:pPr>
            <w:r>
              <w:t>The bottom border color shall be dark green (00CC00).</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The header rows shall have the following properties:</w:t>
            </w:r>
          </w:p>
          <w:p w:rsidR="00024C0A" w:rsidRDefault="00694C0F">
            <w:pPr>
              <w:pStyle w:val="TableBodyText"/>
            </w:pPr>
            <w:r>
              <w:t>The bottom border shall be a 3/4 pt single line.</w:t>
            </w:r>
          </w:p>
          <w:p w:rsidR="00024C0A" w:rsidRDefault="00694C0F">
            <w:pPr>
              <w:pStyle w:val="TableBodyText"/>
            </w:pPr>
            <w:r>
              <w:t xml:space="preserve">The bottom border color shall be dark </w:t>
            </w:r>
            <w:r>
              <w:t>green (00CC00).</w:t>
            </w:r>
          </w:p>
          <w:p w:rsidR="00024C0A" w:rsidRDefault="00024C0A">
            <w:pPr>
              <w:pStyle w:val="TableBodyText"/>
            </w:pPr>
          </w:p>
          <w:p w:rsidR="00024C0A" w:rsidRDefault="00694C0F">
            <w:pPr>
              <w:pStyle w:val="TableBodyText"/>
            </w:pPr>
            <w:r>
              <w:t>The last row shall have the following properties:</w:t>
            </w:r>
          </w:p>
          <w:p w:rsidR="00024C0A" w:rsidRDefault="00694C0F">
            <w:pPr>
              <w:pStyle w:val="TableBodyText"/>
            </w:pPr>
            <w:r>
              <w:t>The top border shall be a 3/4 pt single line.</w:t>
            </w:r>
          </w:p>
          <w:p w:rsidR="00024C0A" w:rsidRDefault="00694C0F">
            <w:pPr>
              <w:pStyle w:val="TableBodyText"/>
            </w:pPr>
            <w:r>
              <w:t>The top border color shall be dark green (00CC00).</w:t>
            </w:r>
          </w:p>
          <w:p w:rsidR="00024C0A" w:rsidRDefault="00024C0A">
            <w:pPr>
              <w:pStyle w:val="TableBodyText"/>
            </w:pPr>
          </w:p>
        </w:tc>
      </w:tr>
      <w:tr w:rsidR="00024C0A" w:rsidTr="00024C0A">
        <w:tc>
          <w:tcPr>
            <w:tcW w:w="0" w:type="auto"/>
            <w:vAlign w:val="center"/>
          </w:tcPr>
          <w:p w:rsidR="00024C0A" w:rsidRDefault="00694C0F">
            <w:pPr>
              <w:pStyle w:val="TableBodyText"/>
            </w:pPr>
            <w:r>
              <w:t>2 (Simple 2)</w:t>
            </w:r>
          </w:p>
        </w:tc>
        <w:tc>
          <w:tcPr>
            <w:tcW w:w="0" w:type="auto"/>
            <w:vAlign w:val="center"/>
          </w:tcPr>
          <w:p w:rsidR="00024C0A" w:rsidRDefault="00694C0F">
            <w:pPr>
              <w:pStyle w:val="TableBodyText"/>
            </w:pPr>
            <w:r>
              <w:t>The table shall have the following properties:</w:t>
            </w:r>
          </w:p>
          <w:p w:rsidR="00024C0A" w:rsidRDefault="00694C0F">
            <w:pPr>
              <w:pStyle w:val="TableBodyText"/>
            </w:pPr>
            <w:r>
              <w:t>The vertical alignment shall b</w:t>
            </w:r>
            <w:r>
              <w:t>e top.</w:t>
            </w:r>
          </w:p>
          <w:p w:rsidR="00024C0A" w:rsidRDefault="00024C0A">
            <w:pPr>
              <w:pStyle w:val="TableBodyText"/>
            </w:pPr>
          </w:p>
          <w:p w:rsidR="00024C0A" w:rsidRDefault="00694C0F">
            <w:pPr>
              <w:pStyle w:val="TableBodyText"/>
            </w:pPr>
            <w:r>
              <w:t>The header rows shall have the following properties:</w:t>
            </w:r>
          </w:p>
          <w:p w:rsidR="00024C0A" w:rsidRDefault="00694C0F">
            <w:pPr>
              <w:pStyle w:val="TableBodyText"/>
            </w:pPr>
            <w:r>
              <w:t>The bottom border shall be a 1 1/2 pt single line.</w:t>
            </w:r>
          </w:p>
          <w:p w:rsidR="00024C0A" w:rsidRDefault="00694C0F">
            <w:pPr>
              <w:pStyle w:val="TableBodyText"/>
            </w:pPr>
            <w:r>
              <w:t>The bottom border color shall be black (000000).</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last row shall have the following properties:</w:t>
            </w:r>
          </w:p>
          <w:p w:rsidR="00024C0A" w:rsidRDefault="00694C0F">
            <w:pPr>
              <w:pStyle w:val="TableBodyText"/>
            </w:pPr>
            <w:r>
              <w:t>The top border shall</w:t>
            </w:r>
            <w:r>
              <w:t xml:space="preserve"> be a 3/4 pt single line.</w:t>
            </w:r>
          </w:p>
          <w:p w:rsidR="00024C0A" w:rsidRDefault="00694C0F">
            <w:pPr>
              <w:pStyle w:val="TableBodyText"/>
            </w:pPr>
            <w:r>
              <w:t>The top border color shall be black (000000).</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first column shall have the following properties:</w:t>
            </w:r>
          </w:p>
          <w:p w:rsidR="00024C0A" w:rsidRDefault="00694C0F">
            <w:pPr>
              <w:pStyle w:val="TableBodyText"/>
            </w:pPr>
            <w:r>
              <w:t>The right border shall be a 1 1/2 pt single line.</w:t>
            </w:r>
          </w:p>
          <w:p w:rsidR="00024C0A" w:rsidRDefault="00694C0F">
            <w:pPr>
              <w:pStyle w:val="TableBodyText"/>
            </w:pPr>
            <w:r>
              <w:t>The right border color shall be black (000000).</w:t>
            </w:r>
          </w:p>
          <w:p w:rsidR="00024C0A" w:rsidRDefault="00694C0F">
            <w:pPr>
              <w:pStyle w:val="TableBodyText"/>
            </w:pPr>
            <w:r>
              <w:t xml:space="preserve">The </w:t>
            </w:r>
            <w:r>
              <w:t>font shall be bold.</w:t>
            </w:r>
          </w:p>
          <w:p w:rsidR="00024C0A" w:rsidRDefault="00024C0A">
            <w:pPr>
              <w:pStyle w:val="TableBodyText"/>
            </w:pPr>
          </w:p>
          <w:p w:rsidR="00024C0A" w:rsidRDefault="00694C0F">
            <w:pPr>
              <w:pStyle w:val="TableBodyText"/>
            </w:pPr>
            <w:r>
              <w:t>The first column of the last row shall have the following properties:</w:t>
            </w:r>
          </w:p>
          <w:p w:rsidR="00024C0A" w:rsidRDefault="00694C0F">
            <w:pPr>
              <w:pStyle w:val="TableBodyText"/>
            </w:pPr>
            <w:r>
              <w:t>There shall be no top border.</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last column shall have the following properties:</w:t>
            </w:r>
          </w:p>
          <w:p w:rsidR="00024C0A" w:rsidRDefault="00694C0F">
            <w:pPr>
              <w:pStyle w:val="TableBodyText"/>
            </w:pPr>
            <w:r>
              <w:t>The left border shall be a 3/4 pt single line.</w:t>
            </w:r>
          </w:p>
          <w:p w:rsidR="00024C0A" w:rsidRDefault="00694C0F">
            <w:pPr>
              <w:pStyle w:val="TableBodyText"/>
            </w:pPr>
            <w:r>
              <w:t xml:space="preserve">The left </w:t>
            </w:r>
            <w:r>
              <w:t>border color shall be black (000000).</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header rows of the last column shall have the following properties:</w:t>
            </w:r>
          </w:p>
          <w:p w:rsidR="00024C0A" w:rsidRDefault="00694C0F">
            <w:pPr>
              <w:pStyle w:val="TableBodyText"/>
            </w:pPr>
            <w:r>
              <w:lastRenderedPageBreak/>
              <w:t>There should be no left border.</w:t>
            </w:r>
          </w:p>
          <w:p w:rsidR="00024C0A" w:rsidRDefault="00694C0F">
            <w:pPr>
              <w:pStyle w:val="TableBodyText"/>
            </w:pPr>
            <w:r>
              <w:t>The font shall be bold.</w:t>
            </w:r>
          </w:p>
          <w:p w:rsidR="00024C0A" w:rsidRDefault="00024C0A">
            <w:pPr>
              <w:pStyle w:val="TableBodyText"/>
            </w:pPr>
          </w:p>
        </w:tc>
      </w:tr>
      <w:tr w:rsidR="00024C0A" w:rsidTr="00024C0A">
        <w:tc>
          <w:tcPr>
            <w:tcW w:w="0" w:type="auto"/>
            <w:vAlign w:val="center"/>
          </w:tcPr>
          <w:p w:rsidR="00024C0A" w:rsidRDefault="00694C0F">
            <w:pPr>
              <w:pStyle w:val="TableBodyText"/>
            </w:pPr>
            <w:r>
              <w:lastRenderedPageBreak/>
              <w:t>3 (Simple3)</w:t>
            </w:r>
          </w:p>
          <w:p w:rsidR="00024C0A" w:rsidRDefault="00024C0A">
            <w:pPr>
              <w:pStyle w:val="TableBodyText"/>
            </w:pPr>
          </w:p>
        </w:tc>
        <w:tc>
          <w:tcPr>
            <w:tcW w:w="0" w:type="auto"/>
            <w:vAlign w:val="center"/>
          </w:tcPr>
          <w:p w:rsidR="00024C0A" w:rsidRDefault="00694C0F">
            <w:pPr>
              <w:pStyle w:val="TableBodyText"/>
            </w:pPr>
            <w:r>
              <w:t>The table shall have the following properties:</w:t>
            </w:r>
          </w:p>
          <w:p w:rsidR="00024C0A" w:rsidRDefault="00694C0F">
            <w:pPr>
              <w:pStyle w:val="TableBodyText"/>
            </w:pPr>
            <w:r>
              <w:t>The</w:t>
            </w:r>
            <w:r>
              <w:t xml:space="preserve"> top border shall be a 1 1/2 pt single line.</w:t>
            </w:r>
          </w:p>
          <w:p w:rsidR="00024C0A" w:rsidRDefault="00694C0F">
            <w:pPr>
              <w:pStyle w:val="TableBodyText"/>
            </w:pPr>
            <w:r>
              <w:t>The left border shall be a 1 1/2 pt single line.</w:t>
            </w:r>
          </w:p>
          <w:p w:rsidR="00024C0A" w:rsidRDefault="00694C0F">
            <w:pPr>
              <w:pStyle w:val="TableBodyText"/>
            </w:pPr>
            <w:r>
              <w:t>The bottom border shall be a 1 1/2 pt single line.</w:t>
            </w:r>
          </w:p>
          <w:p w:rsidR="00024C0A" w:rsidRDefault="00694C0F">
            <w:pPr>
              <w:pStyle w:val="TableBodyText"/>
            </w:pPr>
            <w:r>
              <w:t>The right border shall be a 1 1/2 pt single line.</w:t>
            </w:r>
          </w:p>
          <w:p w:rsidR="00024C0A" w:rsidRDefault="00694C0F">
            <w:pPr>
              <w:pStyle w:val="TableBodyText"/>
            </w:pPr>
            <w:r>
              <w:t>The top border color shall be black (000000).</w:t>
            </w:r>
          </w:p>
          <w:p w:rsidR="00024C0A" w:rsidRDefault="00694C0F">
            <w:pPr>
              <w:pStyle w:val="TableBodyText"/>
            </w:pPr>
            <w:r>
              <w:t>The left border</w:t>
            </w:r>
            <w:r>
              <w:t xml:space="preserve"> color shall be black (000000).</w:t>
            </w:r>
          </w:p>
          <w:p w:rsidR="00024C0A" w:rsidRDefault="00694C0F">
            <w:pPr>
              <w:pStyle w:val="TableBodyText"/>
            </w:pPr>
            <w:r>
              <w:t>The bottom border color shall be black (000000).</w:t>
            </w:r>
          </w:p>
          <w:p w:rsidR="00024C0A" w:rsidRDefault="00694C0F">
            <w:pPr>
              <w:pStyle w:val="TableBodyText"/>
            </w:pPr>
            <w:r>
              <w:t>The right border color shall be black (000000).</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The header rows shall have the following properties:</w:t>
            </w:r>
          </w:p>
          <w:p w:rsidR="00024C0A" w:rsidRDefault="00694C0F">
            <w:pPr>
              <w:pStyle w:val="TableBodyText"/>
            </w:pPr>
            <w:r>
              <w:t>The foreground shading color shall b</w:t>
            </w:r>
            <w:r>
              <w:t>e black (000000).</w:t>
            </w:r>
          </w:p>
          <w:p w:rsidR="00024C0A" w:rsidRDefault="00694C0F">
            <w:pPr>
              <w:pStyle w:val="TableBodyText"/>
            </w:pPr>
            <w:r>
              <w:t>The background shading shall be white (FFFFFF).</w:t>
            </w:r>
          </w:p>
          <w:p w:rsidR="00024C0A" w:rsidRDefault="00694C0F">
            <w:pPr>
              <w:pStyle w:val="TableBodyText"/>
            </w:pPr>
            <w:r>
              <w:t>The shading pattern shall be solid.</w:t>
            </w:r>
          </w:p>
          <w:p w:rsidR="00024C0A" w:rsidRDefault="00694C0F">
            <w:pPr>
              <w:pStyle w:val="TableBodyText"/>
            </w:pPr>
            <w:r>
              <w:t>The font color shall be white (FFFFFF).</w:t>
            </w:r>
          </w:p>
          <w:p w:rsidR="00024C0A" w:rsidRDefault="00694C0F">
            <w:pPr>
              <w:pStyle w:val="TableBodyText"/>
            </w:pPr>
            <w:r>
              <w:t>The font shall be bold.</w:t>
            </w:r>
          </w:p>
          <w:p w:rsidR="00024C0A" w:rsidRDefault="00024C0A">
            <w:pPr>
              <w:pStyle w:val="TableBodyText"/>
            </w:pPr>
          </w:p>
        </w:tc>
      </w:tr>
      <w:tr w:rsidR="00024C0A" w:rsidTr="00024C0A">
        <w:tc>
          <w:tcPr>
            <w:tcW w:w="0" w:type="auto"/>
            <w:vAlign w:val="center"/>
          </w:tcPr>
          <w:p w:rsidR="00024C0A" w:rsidRDefault="00694C0F">
            <w:pPr>
              <w:pStyle w:val="TableBodyText"/>
            </w:pPr>
            <w:r>
              <w:t>4 (Classic 1)</w:t>
            </w:r>
          </w:p>
        </w:tc>
        <w:tc>
          <w:tcPr>
            <w:tcW w:w="0" w:type="auto"/>
            <w:vAlign w:val="center"/>
          </w:tcPr>
          <w:p w:rsidR="00024C0A" w:rsidRDefault="00694C0F">
            <w:pPr>
              <w:pStyle w:val="TableBodyText"/>
            </w:pPr>
            <w:r>
              <w:t>The table shall have the following properties:</w:t>
            </w:r>
          </w:p>
          <w:p w:rsidR="00024C0A" w:rsidRDefault="00694C0F">
            <w:pPr>
              <w:pStyle w:val="TableBodyText"/>
            </w:pPr>
            <w:r>
              <w:t>The top border shall be a 1</w:t>
            </w:r>
            <w:r>
              <w:t xml:space="preserve"> 1/2 pt single line.</w:t>
            </w:r>
          </w:p>
          <w:p w:rsidR="00024C0A" w:rsidRDefault="00694C0F">
            <w:pPr>
              <w:pStyle w:val="TableBodyText"/>
            </w:pPr>
            <w:r>
              <w:t>The bottom border shall be a 1 1/2 pt single line.</w:t>
            </w:r>
          </w:p>
          <w:p w:rsidR="00024C0A" w:rsidRDefault="00694C0F">
            <w:pPr>
              <w:pStyle w:val="TableBodyText"/>
            </w:pPr>
            <w:r>
              <w:t>The top border color shall be black (000000).</w:t>
            </w:r>
          </w:p>
          <w:p w:rsidR="00024C0A" w:rsidRDefault="00694C0F">
            <w:pPr>
              <w:pStyle w:val="TableBodyText"/>
            </w:pPr>
            <w:r>
              <w:t>The bottom border color shall be black (000000).</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The header rows shall have the following properties</w:t>
            </w:r>
            <w:r>
              <w:t>:</w:t>
            </w:r>
          </w:p>
          <w:p w:rsidR="00024C0A" w:rsidRDefault="00694C0F">
            <w:pPr>
              <w:pStyle w:val="TableBodyText"/>
            </w:pPr>
            <w:r>
              <w:t>The bottom border shall be a 3/4 pt single line.</w:t>
            </w:r>
          </w:p>
          <w:p w:rsidR="00024C0A" w:rsidRDefault="00694C0F">
            <w:pPr>
              <w:pStyle w:val="TableBodyText"/>
            </w:pPr>
            <w:r>
              <w:t>The bottom border color shall be black (000000).</w:t>
            </w:r>
          </w:p>
          <w:p w:rsidR="00024C0A" w:rsidRDefault="00694C0F">
            <w:pPr>
              <w:pStyle w:val="TableBodyText"/>
            </w:pPr>
            <w:r>
              <w:t>The font shall be italic.</w:t>
            </w:r>
          </w:p>
          <w:p w:rsidR="00024C0A" w:rsidRDefault="00024C0A">
            <w:pPr>
              <w:pStyle w:val="TableBodyText"/>
            </w:pPr>
          </w:p>
          <w:p w:rsidR="00024C0A" w:rsidRDefault="00694C0F">
            <w:pPr>
              <w:pStyle w:val="TableBodyText"/>
            </w:pPr>
            <w:r>
              <w:t>The last row shall have the following properties:</w:t>
            </w:r>
          </w:p>
          <w:p w:rsidR="00024C0A" w:rsidRDefault="00694C0F">
            <w:pPr>
              <w:pStyle w:val="TableBodyText"/>
            </w:pPr>
            <w:r>
              <w:t>The top border shall be a 3/4 pt single line.</w:t>
            </w:r>
          </w:p>
          <w:p w:rsidR="00024C0A" w:rsidRDefault="00694C0F">
            <w:pPr>
              <w:pStyle w:val="TableBodyText"/>
            </w:pPr>
            <w:r>
              <w:t xml:space="preserve">The top border color shall be </w:t>
            </w:r>
            <w:r>
              <w:t>black (000000).</w:t>
            </w:r>
          </w:p>
          <w:p w:rsidR="00024C0A" w:rsidRDefault="00024C0A">
            <w:pPr>
              <w:pStyle w:val="TableBodyText"/>
            </w:pPr>
          </w:p>
          <w:p w:rsidR="00024C0A" w:rsidRDefault="00694C0F">
            <w:pPr>
              <w:pStyle w:val="TableBodyText"/>
            </w:pPr>
            <w:r>
              <w:t>The first column of the last row shall have the following properties:</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first column shall have the following properties:</w:t>
            </w:r>
          </w:p>
          <w:p w:rsidR="00024C0A" w:rsidRDefault="00694C0F">
            <w:pPr>
              <w:pStyle w:val="TableBodyText"/>
            </w:pPr>
            <w:r>
              <w:t>The right border shall be a 3/4 pt single line.</w:t>
            </w:r>
          </w:p>
          <w:p w:rsidR="00024C0A" w:rsidRDefault="00694C0F">
            <w:pPr>
              <w:pStyle w:val="TableBodyText"/>
            </w:pPr>
            <w:r>
              <w:t>The right border color shall be black (000</w:t>
            </w:r>
            <w:r>
              <w:t>000).</w:t>
            </w:r>
          </w:p>
          <w:p w:rsidR="00024C0A" w:rsidRDefault="00024C0A">
            <w:pPr>
              <w:pStyle w:val="TableBodyText"/>
            </w:pPr>
          </w:p>
          <w:p w:rsidR="00024C0A" w:rsidRDefault="00694C0F">
            <w:pPr>
              <w:pStyle w:val="TableBodyText"/>
            </w:pPr>
            <w:r>
              <w:t>The header rows of the last column shall have the following properties:</w:t>
            </w:r>
          </w:p>
          <w:p w:rsidR="00024C0A" w:rsidRDefault="00694C0F">
            <w:pPr>
              <w:pStyle w:val="TableBodyText"/>
            </w:pPr>
            <w:r>
              <w:t>The font shall not be italic.</w:t>
            </w:r>
          </w:p>
          <w:p w:rsidR="00024C0A" w:rsidRDefault="00694C0F">
            <w:pPr>
              <w:pStyle w:val="TableBodyText"/>
            </w:pPr>
            <w:r>
              <w:t>The font shall be bold.</w:t>
            </w:r>
          </w:p>
          <w:p w:rsidR="00024C0A" w:rsidRDefault="00024C0A">
            <w:pPr>
              <w:pStyle w:val="TableBodyText"/>
            </w:pPr>
          </w:p>
        </w:tc>
      </w:tr>
      <w:tr w:rsidR="00024C0A" w:rsidTr="00024C0A">
        <w:tc>
          <w:tcPr>
            <w:tcW w:w="0" w:type="auto"/>
            <w:vAlign w:val="center"/>
          </w:tcPr>
          <w:p w:rsidR="00024C0A" w:rsidRDefault="00694C0F">
            <w:pPr>
              <w:pStyle w:val="TableBodyText"/>
            </w:pPr>
            <w:r>
              <w:lastRenderedPageBreak/>
              <w:t>5 (Classic 2)</w:t>
            </w:r>
          </w:p>
          <w:p w:rsidR="00024C0A" w:rsidRDefault="00024C0A">
            <w:pPr>
              <w:pStyle w:val="TableBodyText"/>
            </w:pPr>
          </w:p>
        </w:tc>
        <w:tc>
          <w:tcPr>
            <w:tcW w:w="0" w:type="auto"/>
            <w:vAlign w:val="center"/>
          </w:tcPr>
          <w:p w:rsidR="00024C0A" w:rsidRDefault="00694C0F">
            <w:pPr>
              <w:pStyle w:val="TableBodyText"/>
            </w:pPr>
            <w:r>
              <w:t>The table shall have the following properties:</w:t>
            </w:r>
          </w:p>
          <w:p w:rsidR="00024C0A" w:rsidRDefault="00694C0F">
            <w:pPr>
              <w:pStyle w:val="TableBodyText"/>
            </w:pPr>
            <w:r>
              <w:t>The top border shall be a 1 1/2 pt single line.</w:t>
            </w:r>
          </w:p>
          <w:p w:rsidR="00024C0A" w:rsidRDefault="00694C0F">
            <w:pPr>
              <w:pStyle w:val="TableBodyText"/>
            </w:pPr>
            <w:r>
              <w:t xml:space="preserve">The bottom </w:t>
            </w:r>
            <w:r>
              <w:t>border shall be a 1 1/2 pt single line.</w:t>
            </w:r>
          </w:p>
          <w:p w:rsidR="00024C0A" w:rsidRDefault="00694C0F">
            <w:pPr>
              <w:pStyle w:val="TableBodyText"/>
            </w:pPr>
            <w:r>
              <w:t>The top border color shall be black (000000).</w:t>
            </w:r>
          </w:p>
          <w:p w:rsidR="00024C0A" w:rsidRDefault="00694C0F">
            <w:pPr>
              <w:pStyle w:val="TableBodyText"/>
            </w:pPr>
            <w:r>
              <w:t>The bottom border color shall be black (000000).</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The header rows shall have the following properties:</w:t>
            </w:r>
          </w:p>
          <w:p w:rsidR="00024C0A" w:rsidRDefault="00694C0F">
            <w:pPr>
              <w:pStyle w:val="TableBodyText"/>
            </w:pPr>
            <w:r>
              <w:t>The bottom border shall be a 3</w:t>
            </w:r>
            <w:r>
              <w:t>/4 pt single line.</w:t>
            </w:r>
          </w:p>
          <w:p w:rsidR="00024C0A" w:rsidRDefault="00694C0F">
            <w:pPr>
              <w:pStyle w:val="TableBodyText"/>
            </w:pPr>
            <w:r>
              <w:t>The bottom border color shall be black (000000).</w:t>
            </w:r>
          </w:p>
          <w:p w:rsidR="00024C0A" w:rsidRDefault="00694C0F">
            <w:pPr>
              <w:pStyle w:val="TableBodyText"/>
            </w:pPr>
            <w:r>
              <w:t>The foreground shading color shall be dark magenta (CC00CC).</w:t>
            </w:r>
          </w:p>
          <w:p w:rsidR="00024C0A" w:rsidRDefault="00694C0F">
            <w:pPr>
              <w:pStyle w:val="TableBodyText"/>
            </w:pPr>
            <w:r>
              <w:t>The background shading shall be white (FFFFFF).</w:t>
            </w:r>
          </w:p>
          <w:p w:rsidR="00024C0A" w:rsidRDefault="00694C0F">
            <w:pPr>
              <w:pStyle w:val="TableBodyText"/>
            </w:pPr>
            <w:r>
              <w:t>The shading pattern shall be solid.</w:t>
            </w:r>
          </w:p>
          <w:p w:rsidR="00024C0A" w:rsidRDefault="00694C0F">
            <w:pPr>
              <w:pStyle w:val="TableBodyText"/>
            </w:pPr>
            <w:r>
              <w:t>The font color shall be white (FFFFFF).</w:t>
            </w:r>
          </w:p>
          <w:p w:rsidR="00024C0A" w:rsidRDefault="00024C0A">
            <w:pPr>
              <w:pStyle w:val="TableBodyText"/>
            </w:pPr>
          </w:p>
          <w:p w:rsidR="00024C0A" w:rsidRDefault="00694C0F">
            <w:pPr>
              <w:pStyle w:val="TableBodyText"/>
            </w:pPr>
            <w:r>
              <w:t>Th</w:t>
            </w:r>
            <w:r>
              <w:t>e last row shall have the following properties:</w:t>
            </w:r>
          </w:p>
          <w:p w:rsidR="00024C0A" w:rsidRDefault="00694C0F">
            <w:pPr>
              <w:pStyle w:val="TableBodyText"/>
            </w:pPr>
            <w:r>
              <w:t>The top border shall be a 3/4 pt single line.</w:t>
            </w:r>
          </w:p>
          <w:p w:rsidR="00024C0A" w:rsidRDefault="00694C0F">
            <w:pPr>
              <w:pStyle w:val="TableBodyText"/>
            </w:pPr>
            <w:r>
              <w:t>The top border color shall be black (000000).</w:t>
            </w:r>
          </w:p>
          <w:p w:rsidR="00024C0A" w:rsidRDefault="00024C0A">
            <w:pPr>
              <w:pStyle w:val="TableBodyText"/>
            </w:pPr>
          </w:p>
          <w:p w:rsidR="00024C0A" w:rsidRDefault="00694C0F">
            <w:pPr>
              <w:pStyle w:val="TableBodyText"/>
            </w:pPr>
            <w:r>
              <w:t>The first column of the last row shall have the following properties:</w:t>
            </w:r>
          </w:p>
          <w:p w:rsidR="00024C0A" w:rsidRDefault="00694C0F">
            <w:pPr>
              <w:pStyle w:val="TableBodyText"/>
            </w:pPr>
            <w:r>
              <w:t>The font color shall be dark blue (0000CC).</w:t>
            </w:r>
          </w:p>
          <w:p w:rsidR="00024C0A" w:rsidRDefault="00024C0A">
            <w:pPr>
              <w:pStyle w:val="TableBodyText"/>
            </w:pPr>
          </w:p>
          <w:p w:rsidR="00024C0A" w:rsidRDefault="00694C0F">
            <w:pPr>
              <w:pStyle w:val="TableBodyText"/>
            </w:pPr>
            <w:r>
              <w:t>The first column shall have the following properties:</w:t>
            </w:r>
          </w:p>
          <w:p w:rsidR="00024C0A" w:rsidRDefault="00694C0F">
            <w:pPr>
              <w:pStyle w:val="TableBodyText"/>
            </w:pPr>
            <w:r>
              <w:t>The foreground shading color shall be dark gray (C0C0C0).</w:t>
            </w:r>
          </w:p>
          <w:p w:rsidR="00024C0A" w:rsidRDefault="00694C0F">
            <w:pPr>
              <w:pStyle w:val="TableBodyText"/>
            </w:pPr>
            <w:r>
              <w:t>The background shading shall be white (FFFFFF).</w:t>
            </w:r>
          </w:p>
          <w:p w:rsidR="00024C0A" w:rsidRDefault="00694C0F">
            <w:pPr>
              <w:pStyle w:val="TableBodyText"/>
            </w:pPr>
            <w:r>
              <w:t>The shading pattern shall be solid.</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first column of header rows sha</w:t>
            </w:r>
            <w:r>
              <w:t>ll have the following properties:</w:t>
            </w:r>
          </w:p>
          <w:p w:rsidR="00024C0A" w:rsidRDefault="00694C0F">
            <w:pPr>
              <w:pStyle w:val="TableBodyText"/>
            </w:pPr>
            <w:r>
              <w:t>The foreground shading color shall be dark magenta (CC00CC).</w:t>
            </w:r>
          </w:p>
          <w:p w:rsidR="00024C0A" w:rsidRDefault="00694C0F">
            <w:pPr>
              <w:pStyle w:val="TableBodyText"/>
            </w:pPr>
            <w:r>
              <w:t>The background shading shall be white (FFFFFF).</w:t>
            </w:r>
          </w:p>
          <w:p w:rsidR="00024C0A" w:rsidRDefault="00694C0F">
            <w:pPr>
              <w:pStyle w:val="TableBodyText"/>
            </w:pPr>
            <w:r>
              <w:t>The shading pattern shall be solid.</w:t>
            </w:r>
          </w:p>
          <w:p w:rsidR="00024C0A" w:rsidRDefault="00024C0A">
            <w:pPr>
              <w:pStyle w:val="TableBodyText"/>
            </w:pPr>
          </w:p>
          <w:p w:rsidR="00024C0A" w:rsidRDefault="00694C0F">
            <w:pPr>
              <w:pStyle w:val="TableBodyText"/>
            </w:pPr>
            <w:r>
              <w:t>The header rows of the last column shall have the following properties:</w:t>
            </w:r>
          </w:p>
          <w:p w:rsidR="00024C0A" w:rsidRDefault="00694C0F">
            <w:pPr>
              <w:pStyle w:val="TableBodyText"/>
            </w:pPr>
            <w:r>
              <w:t xml:space="preserve">The </w:t>
            </w:r>
            <w:r>
              <w:t>font shall be bold.</w:t>
            </w:r>
          </w:p>
          <w:p w:rsidR="00024C0A" w:rsidRDefault="00024C0A">
            <w:pPr>
              <w:pStyle w:val="TableBodyText"/>
            </w:pPr>
          </w:p>
        </w:tc>
      </w:tr>
      <w:tr w:rsidR="00024C0A" w:rsidTr="00024C0A">
        <w:tc>
          <w:tcPr>
            <w:tcW w:w="0" w:type="auto"/>
            <w:vAlign w:val="center"/>
          </w:tcPr>
          <w:p w:rsidR="00024C0A" w:rsidRDefault="00694C0F">
            <w:pPr>
              <w:pStyle w:val="TableBodyText"/>
            </w:pPr>
            <w:r>
              <w:t>6 (Classic 3)</w:t>
            </w:r>
          </w:p>
          <w:p w:rsidR="00024C0A" w:rsidRDefault="00024C0A">
            <w:pPr>
              <w:pStyle w:val="TableBodyText"/>
            </w:pPr>
          </w:p>
        </w:tc>
        <w:tc>
          <w:tcPr>
            <w:tcW w:w="0" w:type="auto"/>
            <w:vAlign w:val="center"/>
          </w:tcPr>
          <w:p w:rsidR="00024C0A" w:rsidRDefault="00694C0F">
            <w:pPr>
              <w:pStyle w:val="TableBodyText"/>
            </w:pPr>
            <w:r>
              <w:t>The table shall have the following properties:</w:t>
            </w:r>
          </w:p>
          <w:p w:rsidR="00024C0A" w:rsidRDefault="00694C0F">
            <w:pPr>
              <w:pStyle w:val="TableBodyText"/>
            </w:pPr>
            <w:r>
              <w:t>The top border shall be a 1 1/2 pt single line.</w:t>
            </w:r>
          </w:p>
          <w:p w:rsidR="00024C0A" w:rsidRDefault="00694C0F">
            <w:pPr>
              <w:pStyle w:val="TableBodyText"/>
            </w:pPr>
            <w:r>
              <w:t>The left border shall be a 1 1/2 pt single line.</w:t>
            </w:r>
          </w:p>
          <w:p w:rsidR="00024C0A" w:rsidRDefault="00694C0F">
            <w:pPr>
              <w:pStyle w:val="TableBodyText"/>
            </w:pPr>
            <w:r>
              <w:t>The bottom border shall be a 1 1/2 pt single line.</w:t>
            </w:r>
          </w:p>
          <w:p w:rsidR="00024C0A" w:rsidRDefault="00694C0F">
            <w:pPr>
              <w:pStyle w:val="TableBodyText"/>
            </w:pPr>
            <w:r>
              <w:t>The right border shall b</w:t>
            </w:r>
            <w:r>
              <w:t>e a 1 1/2 pt single line.</w:t>
            </w:r>
          </w:p>
          <w:p w:rsidR="00024C0A" w:rsidRDefault="00694C0F">
            <w:pPr>
              <w:pStyle w:val="TableBodyText"/>
            </w:pPr>
            <w:r>
              <w:t>The top border color shall be black (000000).</w:t>
            </w:r>
          </w:p>
          <w:p w:rsidR="00024C0A" w:rsidRDefault="00694C0F">
            <w:pPr>
              <w:pStyle w:val="TableBodyText"/>
            </w:pPr>
            <w:r>
              <w:t>The left border color shall be black (000000).</w:t>
            </w:r>
          </w:p>
          <w:p w:rsidR="00024C0A" w:rsidRDefault="00694C0F">
            <w:pPr>
              <w:pStyle w:val="TableBodyText"/>
            </w:pPr>
            <w:r>
              <w:t>The bottom border color shall be black (000000).</w:t>
            </w:r>
          </w:p>
          <w:p w:rsidR="00024C0A" w:rsidRDefault="00694C0F">
            <w:pPr>
              <w:pStyle w:val="TableBodyText"/>
            </w:pPr>
            <w:r>
              <w:t>The right border color shall be black (000000).</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Th</w:t>
            </w:r>
            <w:r>
              <w:t>e table data shall have the following properties:</w:t>
            </w:r>
          </w:p>
          <w:p w:rsidR="00024C0A" w:rsidRDefault="00694C0F">
            <w:pPr>
              <w:pStyle w:val="TableBodyText"/>
            </w:pPr>
            <w:r>
              <w:t>The foreground shading color shall be dark gray (C0C0C0).</w:t>
            </w:r>
          </w:p>
          <w:p w:rsidR="00024C0A" w:rsidRDefault="00694C0F">
            <w:pPr>
              <w:pStyle w:val="TableBodyText"/>
            </w:pPr>
            <w:r>
              <w:t>The background shading shall be white (FFFFFF).</w:t>
            </w:r>
          </w:p>
          <w:p w:rsidR="00024C0A" w:rsidRDefault="00694C0F">
            <w:pPr>
              <w:pStyle w:val="TableBodyText"/>
            </w:pPr>
            <w:r>
              <w:t>The shading pattern shall be solid.</w:t>
            </w:r>
          </w:p>
          <w:p w:rsidR="00024C0A" w:rsidRDefault="00694C0F">
            <w:pPr>
              <w:pStyle w:val="TableBodyText"/>
            </w:pPr>
            <w:r>
              <w:t>The font color shall be dark blue (0000CC).</w:t>
            </w:r>
          </w:p>
          <w:p w:rsidR="00024C0A" w:rsidRDefault="00024C0A">
            <w:pPr>
              <w:pStyle w:val="TableBodyText"/>
            </w:pPr>
          </w:p>
          <w:p w:rsidR="00024C0A" w:rsidRDefault="00694C0F">
            <w:pPr>
              <w:pStyle w:val="TableBodyText"/>
            </w:pPr>
            <w:r>
              <w:t xml:space="preserve">The header rows </w:t>
            </w:r>
            <w:r>
              <w:t>shall have the following properties:</w:t>
            </w:r>
          </w:p>
          <w:p w:rsidR="00024C0A" w:rsidRDefault="00694C0F">
            <w:pPr>
              <w:pStyle w:val="TableBodyText"/>
            </w:pPr>
            <w:r>
              <w:t>The bottom border shall be a 3/4 pt single line.</w:t>
            </w:r>
          </w:p>
          <w:p w:rsidR="00024C0A" w:rsidRDefault="00694C0F">
            <w:pPr>
              <w:pStyle w:val="TableBodyText"/>
            </w:pPr>
            <w:r>
              <w:t>The bottom border color shall be black (000000).</w:t>
            </w:r>
          </w:p>
          <w:p w:rsidR="00024C0A" w:rsidRDefault="00694C0F">
            <w:pPr>
              <w:pStyle w:val="TableBodyText"/>
            </w:pPr>
            <w:r>
              <w:t>The foreground shading color shall be dark blue (0000CC).</w:t>
            </w:r>
          </w:p>
          <w:p w:rsidR="00024C0A" w:rsidRDefault="00694C0F">
            <w:pPr>
              <w:pStyle w:val="TableBodyText"/>
            </w:pPr>
            <w:r>
              <w:t>The background shading shall be white (FFFFFF).</w:t>
            </w:r>
          </w:p>
          <w:p w:rsidR="00024C0A" w:rsidRDefault="00694C0F">
            <w:pPr>
              <w:pStyle w:val="TableBodyText"/>
            </w:pPr>
            <w:r>
              <w:t>The shading pat</w:t>
            </w:r>
            <w:r>
              <w:t>tern shall be solid.</w:t>
            </w:r>
          </w:p>
          <w:p w:rsidR="00024C0A" w:rsidRDefault="00694C0F">
            <w:pPr>
              <w:pStyle w:val="TableBodyText"/>
            </w:pPr>
            <w:r>
              <w:t>The font color shall be white (FFFFFF).</w:t>
            </w:r>
          </w:p>
          <w:p w:rsidR="00024C0A" w:rsidRDefault="00694C0F">
            <w:pPr>
              <w:pStyle w:val="TableBodyText"/>
            </w:pPr>
            <w:r>
              <w:t>The font shall be bold.</w:t>
            </w:r>
          </w:p>
          <w:p w:rsidR="00024C0A" w:rsidRDefault="00694C0F">
            <w:pPr>
              <w:pStyle w:val="TableBodyText"/>
            </w:pPr>
            <w:r>
              <w:t>The font shall be italic.</w:t>
            </w:r>
          </w:p>
          <w:p w:rsidR="00024C0A" w:rsidRDefault="00024C0A">
            <w:pPr>
              <w:pStyle w:val="TableBodyText"/>
            </w:pPr>
          </w:p>
          <w:p w:rsidR="00024C0A" w:rsidRDefault="00694C0F">
            <w:pPr>
              <w:pStyle w:val="TableBodyText"/>
            </w:pPr>
            <w:r>
              <w:t>The last row shall have the following properties:</w:t>
            </w:r>
          </w:p>
          <w:p w:rsidR="00024C0A" w:rsidRDefault="00694C0F">
            <w:pPr>
              <w:pStyle w:val="TableBodyText"/>
            </w:pPr>
            <w:r>
              <w:t>The top border shall be a 1 1/2 pt single line.</w:t>
            </w:r>
          </w:p>
          <w:p w:rsidR="00024C0A" w:rsidRDefault="00694C0F">
            <w:pPr>
              <w:pStyle w:val="TableBodyText"/>
            </w:pPr>
            <w:r>
              <w:t>The top border color shall be black (000000).</w:t>
            </w:r>
          </w:p>
          <w:p w:rsidR="00024C0A" w:rsidRDefault="00694C0F">
            <w:pPr>
              <w:pStyle w:val="TableBodyText"/>
            </w:pPr>
            <w:r>
              <w:t>The foreground shading color shall be white (FFFFFF).</w:t>
            </w:r>
          </w:p>
          <w:p w:rsidR="00024C0A" w:rsidRDefault="00694C0F">
            <w:pPr>
              <w:pStyle w:val="TableBodyText"/>
            </w:pPr>
            <w:r>
              <w:t>The background shading shall be white (FFFFFF).</w:t>
            </w:r>
          </w:p>
          <w:p w:rsidR="00024C0A" w:rsidRDefault="00694C0F">
            <w:pPr>
              <w:pStyle w:val="TableBodyText"/>
            </w:pPr>
            <w:r>
              <w:t>The shading pattern shall be solid.</w:t>
            </w:r>
          </w:p>
          <w:p w:rsidR="00024C0A" w:rsidRDefault="00694C0F">
            <w:pPr>
              <w:pStyle w:val="TableBodyText"/>
            </w:pPr>
            <w:r>
              <w:t>The font color shall be dark blue (0000CC).</w:t>
            </w:r>
          </w:p>
          <w:p w:rsidR="00024C0A" w:rsidRDefault="00024C0A">
            <w:pPr>
              <w:pStyle w:val="TableBodyText"/>
            </w:pPr>
          </w:p>
          <w:p w:rsidR="00024C0A" w:rsidRDefault="00694C0F">
            <w:pPr>
              <w:pStyle w:val="TableBodyText"/>
            </w:pPr>
            <w:r>
              <w:t>The first column shall have the following properties:</w:t>
            </w:r>
          </w:p>
          <w:p w:rsidR="00024C0A" w:rsidRDefault="00694C0F">
            <w:pPr>
              <w:pStyle w:val="TableBodyText"/>
            </w:pPr>
            <w:r>
              <w:t>The font color shal</w:t>
            </w:r>
            <w:r>
              <w:t>l be black (000000).</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first column of the header row shall have the following properties:</w:t>
            </w:r>
          </w:p>
          <w:p w:rsidR="00024C0A" w:rsidRDefault="00694C0F">
            <w:pPr>
              <w:pStyle w:val="TableBodyText"/>
            </w:pPr>
            <w:r>
              <w:t>The font color shall be black (000000).</w:t>
            </w:r>
          </w:p>
          <w:p w:rsidR="00024C0A" w:rsidRDefault="00694C0F">
            <w:pPr>
              <w:pStyle w:val="TableBodyText"/>
            </w:pPr>
            <w:r>
              <w:t>The font shall be bold.</w:t>
            </w:r>
          </w:p>
          <w:p w:rsidR="00024C0A" w:rsidRDefault="00694C0F">
            <w:pPr>
              <w:pStyle w:val="TableBodyText"/>
            </w:pPr>
            <w:r>
              <w:t>The font shall be italic.</w:t>
            </w:r>
          </w:p>
        </w:tc>
      </w:tr>
      <w:tr w:rsidR="00024C0A" w:rsidTr="00024C0A">
        <w:tc>
          <w:tcPr>
            <w:tcW w:w="0" w:type="auto"/>
            <w:vAlign w:val="center"/>
          </w:tcPr>
          <w:p w:rsidR="00024C0A" w:rsidRDefault="00694C0F">
            <w:pPr>
              <w:pStyle w:val="TableBodyText"/>
            </w:pPr>
            <w:r>
              <w:lastRenderedPageBreak/>
              <w:t>7 (Classic 4)</w:t>
            </w:r>
          </w:p>
          <w:p w:rsidR="00024C0A" w:rsidRDefault="00024C0A">
            <w:pPr>
              <w:pStyle w:val="TableBodyText"/>
            </w:pPr>
          </w:p>
        </w:tc>
        <w:tc>
          <w:tcPr>
            <w:tcW w:w="0" w:type="auto"/>
            <w:vAlign w:val="center"/>
          </w:tcPr>
          <w:p w:rsidR="00024C0A" w:rsidRDefault="00694C0F">
            <w:pPr>
              <w:pStyle w:val="TableBodyText"/>
            </w:pPr>
            <w:r>
              <w:t xml:space="preserve">The table shall have the </w:t>
            </w:r>
            <w:r>
              <w:t>following properties:</w:t>
            </w:r>
          </w:p>
          <w:p w:rsidR="00024C0A" w:rsidRDefault="00694C0F">
            <w:pPr>
              <w:pStyle w:val="TableBodyText"/>
            </w:pPr>
            <w:r>
              <w:t>The top border shall be a 1 1/2 pt single line.</w:t>
            </w:r>
          </w:p>
          <w:p w:rsidR="00024C0A" w:rsidRDefault="00694C0F">
            <w:pPr>
              <w:pStyle w:val="TableBodyText"/>
            </w:pPr>
            <w:r>
              <w:t>The left border shall be a 3/4 pt single line.</w:t>
            </w:r>
          </w:p>
          <w:p w:rsidR="00024C0A" w:rsidRDefault="00694C0F">
            <w:pPr>
              <w:pStyle w:val="TableBodyText"/>
            </w:pPr>
            <w:r>
              <w:t>The bottom border shall be a 1 1/2 pt single line.</w:t>
            </w:r>
          </w:p>
          <w:p w:rsidR="00024C0A" w:rsidRDefault="00694C0F">
            <w:pPr>
              <w:pStyle w:val="TableBodyText"/>
            </w:pPr>
            <w:r>
              <w:t>The right border shall be a 3/4 pt single line.</w:t>
            </w:r>
          </w:p>
          <w:p w:rsidR="00024C0A" w:rsidRDefault="00694C0F">
            <w:pPr>
              <w:pStyle w:val="TableBodyText"/>
            </w:pPr>
            <w:r>
              <w:t>The top border color shall be black (000</w:t>
            </w:r>
            <w:r>
              <w:t>000).</w:t>
            </w:r>
          </w:p>
          <w:p w:rsidR="00024C0A" w:rsidRDefault="00694C0F">
            <w:pPr>
              <w:pStyle w:val="TableBodyText"/>
            </w:pPr>
            <w:r>
              <w:t>The left border color shall be black (000000).</w:t>
            </w:r>
          </w:p>
          <w:p w:rsidR="00024C0A" w:rsidRDefault="00694C0F">
            <w:pPr>
              <w:pStyle w:val="TableBodyText"/>
            </w:pPr>
            <w:r>
              <w:t>The bottom border color shall be black (000000).</w:t>
            </w:r>
          </w:p>
          <w:p w:rsidR="00024C0A" w:rsidRDefault="00694C0F">
            <w:pPr>
              <w:pStyle w:val="TableBodyText"/>
            </w:pPr>
            <w:r>
              <w:t>The right border color shall be black (000000).</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The header rows shall have the following properties:</w:t>
            </w:r>
          </w:p>
          <w:p w:rsidR="00024C0A" w:rsidRDefault="00694C0F">
            <w:pPr>
              <w:pStyle w:val="TableBodyText"/>
            </w:pPr>
            <w:r>
              <w:t>The bottom bord</w:t>
            </w:r>
            <w:r>
              <w:t>er shall be a 3/4 pt single line.</w:t>
            </w:r>
          </w:p>
          <w:p w:rsidR="00024C0A" w:rsidRDefault="00694C0F">
            <w:pPr>
              <w:pStyle w:val="TableBodyText"/>
            </w:pPr>
            <w:r>
              <w:t>The bottom border color shall be black (000000).</w:t>
            </w:r>
          </w:p>
          <w:p w:rsidR="00024C0A" w:rsidRDefault="00694C0F">
            <w:pPr>
              <w:pStyle w:val="TableBodyText"/>
            </w:pPr>
            <w:r>
              <w:lastRenderedPageBreak/>
              <w:t>The foreground shading color shall be dark blue (0000CC).</w:t>
            </w:r>
          </w:p>
          <w:p w:rsidR="00024C0A" w:rsidRDefault="00694C0F">
            <w:pPr>
              <w:pStyle w:val="TableBodyText"/>
            </w:pPr>
            <w:r>
              <w:t>The background shading shall be white (FFFFFF).</w:t>
            </w:r>
          </w:p>
          <w:p w:rsidR="00024C0A" w:rsidRDefault="00694C0F">
            <w:pPr>
              <w:pStyle w:val="TableBodyText"/>
            </w:pPr>
            <w:r>
              <w:t>The shading pattern shall be pct50.</w:t>
            </w:r>
          </w:p>
          <w:p w:rsidR="00024C0A" w:rsidRDefault="00694C0F">
            <w:pPr>
              <w:pStyle w:val="TableBodyText"/>
            </w:pPr>
            <w:r>
              <w:t>The font color shall be white (</w:t>
            </w:r>
            <w:r>
              <w:t>FFFFFF).</w:t>
            </w:r>
          </w:p>
          <w:p w:rsidR="00024C0A" w:rsidRDefault="00694C0F">
            <w:pPr>
              <w:pStyle w:val="TableBodyText"/>
            </w:pPr>
            <w:r>
              <w:t>The font shall be bold.</w:t>
            </w:r>
          </w:p>
          <w:p w:rsidR="00024C0A" w:rsidRDefault="00694C0F">
            <w:pPr>
              <w:pStyle w:val="TableBodyText"/>
            </w:pPr>
            <w:r>
              <w:t>The font shall be italic.</w:t>
            </w:r>
          </w:p>
          <w:p w:rsidR="00024C0A" w:rsidRDefault="00024C0A">
            <w:pPr>
              <w:pStyle w:val="TableBodyText"/>
            </w:pPr>
          </w:p>
          <w:p w:rsidR="00024C0A" w:rsidRDefault="00694C0F">
            <w:pPr>
              <w:pStyle w:val="TableBodyText"/>
            </w:pPr>
            <w:r>
              <w:t>The last row shall have the following properties:</w:t>
            </w:r>
          </w:p>
          <w:p w:rsidR="00024C0A" w:rsidRDefault="00694C0F">
            <w:pPr>
              <w:pStyle w:val="TableBodyText"/>
            </w:pPr>
            <w:r>
              <w:t>The bottom border shall be a 3/4 pt single line.</w:t>
            </w:r>
          </w:p>
          <w:p w:rsidR="00024C0A" w:rsidRDefault="00694C0F">
            <w:pPr>
              <w:pStyle w:val="TableBodyText"/>
            </w:pPr>
            <w:r>
              <w:t>The bottom border color shall be black (000000).</w:t>
            </w:r>
          </w:p>
          <w:p w:rsidR="00024C0A" w:rsidRDefault="00694C0F">
            <w:pPr>
              <w:pStyle w:val="TableBodyText"/>
            </w:pPr>
            <w:r>
              <w:t xml:space="preserve">The foreground shading color shall be black </w:t>
            </w:r>
            <w:r>
              <w:t>(000000).</w:t>
            </w:r>
          </w:p>
          <w:p w:rsidR="00024C0A" w:rsidRDefault="00694C0F">
            <w:pPr>
              <w:pStyle w:val="TableBodyText"/>
            </w:pPr>
            <w:r>
              <w:t>The background shading shall be white (FFFFFF).</w:t>
            </w:r>
          </w:p>
          <w:p w:rsidR="00024C0A" w:rsidRDefault="00694C0F">
            <w:pPr>
              <w:pStyle w:val="TableBodyText"/>
            </w:pPr>
            <w:r>
              <w:t>The shading pattern shall be pct50.</w:t>
            </w:r>
          </w:p>
          <w:p w:rsidR="00024C0A" w:rsidRDefault="00694C0F">
            <w:pPr>
              <w:pStyle w:val="TableBodyText"/>
            </w:pPr>
            <w:r>
              <w:t>The font color shall be dark blue (0000CC).</w:t>
            </w:r>
          </w:p>
          <w:p w:rsidR="00024C0A" w:rsidRDefault="00024C0A">
            <w:pPr>
              <w:pStyle w:val="TableBodyText"/>
            </w:pPr>
          </w:p>
          <w:p w:rsidR="00024C0A" w:rsidRDefault="00694C0F">
            <w:pPr>
              <w:pStyle w:val="TableBodyText"/>
            </w:pPr>
            <w:r>
              <w:t>The first column shall have the following properties:</w:t>
            </w:r>
          </w:p>
          <w:p w:rsidR="00024C0A" w:rsidRDefault="00694C0F">
            <w:pPr>
              <w:pStyle w:val="TableBodyText"/>
            </w:pPr>
            <w:r>
              <w:t>The font shall be bold.</w:t>
            </w:r>
          </w:p>
          <w:p w:rsidR="00024C0A" w:rsidRDefault="00024C0A">
            <w:pPr>
              <w:pStyle w:val="TableBodyText"/>
            </w:pPr>
          </w:p>
        </w:tc>
      </w:tr>
      <w:tr w:rsidR="00024C0A" w:rsidTr="00024C0A">
        <w:tc>
          <w:tcPr>
            <w:tcW w:w="0" w:type="auto"/>
            <w:vAlign w:val="center"/>
          </w:tcPr>
          <w:p w:rsidR="00024C0A" w:rsidRDefault="00694C0F">
            <w:pPr>
              <w:pStyle w:val="TableBodyText"/>
            </w:pPr>
            <w:r>
              <w:lastRenderedPageBreak/>
              <w:t>8 (Colorful 1)</w:t>
            </w:r>
          </w:p>
          <w:p w:rsidR="00024C0A" w:rsidRDefault="00024C0A">
            <w:pPr>
              <w:pStyle w:val="TableBodyText"/>
            </w:pPr>
          </w:p>
        </w:tc>
        <w:tc>
          <w:tcPr>
            <w:tcW w:w="0" w:type="auto"/>
            <w:vAlign w:val="center"/>
          </w:tcPr>
          <w:p w:rsidR="00024C0A" w:rsidRDefault="00694C0F">
            <w:pPr>
              <w:pStyle w:val="TableBodyText"/>
            </w:pPr>
            <w:r>
              <w:t xml:space="preserve">The table shall have </w:t>
            </w:r>
            <w:r>
              <w:t>the following properties:</w:t>
            </w:r>
          </w:p>
          <w:p w:rsidR="00024C0A" w:rsidRDefault="00694C0F">
            <w:pPr>
              <w:pStyle w:val="TableBodyText"/>
            </w:pPr>
            <w:r>
              <w:t>The top border shall be a 1 1/2 pt single line.</w:t>
            </w:r>
          </w:p>
          <w:p w:rsidR="00024C0A" w:rsidRDefault="00694C0F">
            <w:pPr>
              <w:pStyle w:val="TableBodyText"/>
            </w:pPr>
            <w:r>
              <w:t>The left border shall be a 1 1/2 pt single line.</w:t>
            </w:r>
          </w:p>
          <w:p w:rsidR="00024C0A" w:rsidRDefault="00694C0F">
            <w:pPr>
              <w:pStyle w:val="TableBodyText"/>
            </w:pPr>
            <w:r>
              <w:t>The bottom border shall be a 1 1/2 pt single line.</w:t>
            </w:r>
          </w:p>
          <w:p w:rsidR="00024C0A" w:rsidRDefault="00694C0F">
            <w:pPr>
              <w:pStyle w:val="TableBodyText"/>
            </w:pPr>
            <w:r>
              <w:t>The right border shall be a 1 1/2 pt single line.</w:t>
            </w:r>
          </w:p>
          <w:p w:rsidR="00024C0A" w:rsidRDefault="00694C0F">
            <w:pPr>
              <w:pStyle w:val="TableBodyText"/>
            </w:pPr>
            <w:r>
              <w:t xml:space="preserve">The top border color shall be </w:t>
            </w:r>
            <w:r>
              <w:t>dark cyan (00CCCC).</w:t>
            </w:r>
          </w:p>
          <w:p w:rsidR="00024C0A" w:rsidRDefault="00694C0F">
            <w:pPr>
              <w:pStyle w:val="TableBodyText"/>
            </w:pPr>
            <w:r>
              <w:t>The left border color shall be dark cyan (00CCCC).</w:t>
            </w:r>
          </w:p>
          <w:p w:rsidR="00024C0A" w:rsidRDefault="00694C0F">
            <w:pPr>
              <w:pStyle w:val="TableBodyText"/>
            </w:pPr>
            <w:r>
              <w:t>The bottom border color shall be dark cyan (00CCCC).</w:t>
            </w:r>
          </w:p>
          <w:p w:rsidR="00024C0A" w:rsidRDefault="00694C0F">
            <w:pPr>
              <w:pStyle w:val="TableBodyText"/>
            </w:pPr>
            <w:r>
              <w:t>The right border color shall be dark cyan (00CCCC).</w:t>
            </w:r>
          </w:p>
          <w:p w:rsidR="00024C0A" w:rsidRDefault="00694C0F">
            <w:pPr>
              <w:pStyle w:val="TableBodyText"/>
            </w:pPr>
            <w:r>
              <w:t>The font shall be white (FFFFFF).</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 xml:space="preserve">The </w:t>
            </w:r>
            <w:r>
              <w:t>table data shall have the following properties:</w:t>
            </w:r>
          </w:p>
          <w:p w:rsidR="00024C0A" w:rsidRDefault="00694C0F">
            <w:pPr>
              <w:pStyle w:val="TableBodyText"/>
            </w:pPr>
            <w:r>
              <w:t>The inside horizontal border shall be a 3/4 pt single line.</w:t>
            </w:r>
          </w:p>
          <w:p w:rsidR="00024C0A" w:rsidRDefault="00694C0F">
            <w:pPr>
              <w:pStyle w:val="TableBodyText"/>
            </w:pPr>
            <w:r>
              <w:t>The inside horizontal border color shall be cyan (00FFFF).</w:t>
            </w:r>
          </w:p>
          <w:p w:rsidR="00024C0A" w:rsidRDefault="00694C0F">
            <w:pPr>
              <w:pStyle w:val="TableBodyText"/>
            </w:pPr>
            <w:r>
              <w:t>The foreground shading color shall be dark cyan (00CCCC).</w:t>
            </w:r>
          </w:p>
          <w:p w:rsidR="00024C0A" w:rsidRDefault="00694C0F">
            <w:pPr>
              <w:pStyle w:val="TableBodyText"/>
            </w:pPr>
            <w:r>
              <w:t>The background shading shall be</w:t>
            </w:r>
            <w:r>
              <w:t xml:space="preserve"> white (FFFFFF).</w:t>
            </w:r>
          </w:p>
          <w:p w:rsidR="00024C0A" w:rsidRDefault="00694C0F">
            <w:pPr>
              <w:pStyle w:val="TableBodyText"/>
            </w:pPr>
            <w:r>
              <w:t>The shading pattern shall be solid.</w:t>
            </w:r>
          </w:p>
          <w:p w:rsidR="00024C0A" w:rsidRDefault="00694C0F">
            <w:pPr>
              <w:pStyle w:val="TableBodyText"/>
            </w:pPr>
            <w:r>
              <w:t>The font color shall be white (FFFFFF).</w:t>
            </w:r>
          </w:p>
          <w:p w:rsidR="00024C0A" w:rsidRDefault="00024C0A">
            <w:pPr>
              <w:pStyle w:val="TableBodyText"/>
            </w:pPr>
          </w:p>
          <w:p w:rsidR="00024C0A" w:rsidRDefault="00694C0F">
            <w:pPr>
              <w:pStyle w:val="TableBodyText"/>
            </w:pPr>
            <w:r>
              <w:t>The header rows shall have the following properties:</w:t>
            </w:r>
          </w:p>
          <w:p w:rsidR="00024C0A" w:rsidRDefault="00694C0F">
            <w:pPr>
              <w:pStyle w:val="TableBodyText"/>
            </w:pPr>
            <w:r>
              <w:t>The foreground shading color shall be black (000000).</w:t>
            </w:r>
          </w:p>
          <w:p w:rsidR="00024C0A" w:rsidRDefault="00694C0F">
            <w:pPr>
              <w:pStyle w:val="TableBodyText"/>
            </w:pPr>
            <w:r>
              <w:t>The background shading shall be white (FFFFFF).</w:t>
            </w:r>
          </w:p>
          <w:p w:rsidR="00024C0A" w:rsidRDefault="00694C0F">
            <w:pPr>
              <w:pStyle w:val="TableBodyText"/>
            </w:pPr>
            <w:r>
              <w:t>The sha</w:t>
            </w:r>
            <w:r>
              <w:t>ding pattern shall be solid.</w:t>
            </w:r>
          </w:p>
          <w:p w:rsidR="00024C0A" w:rsidRDefault="00694C0F">
            <w:pPr>
              <w:pStyle w:val="TableBodyText"/>
            </w:pPr>
            <w:r>
              <w:t>The font shall be bold.</w:t>
            </w:r>
          </w:p>
          <w:p w:rsidR="00024C0A" w:rsidRDefault="00694C0F">
            <w:pPr>
              <w:pStyle w:val="TableBodyText"/>
            </w:pPr>
            <w:r>
              <w:t>The font shall be italic.</w:t>
            </w:r>
          </w:p>
          <w:p w:rsidR="00024C0A" w:rsidRDefault="00024C0A">
            <w:pPr>
              <w:pStyle w:val="TableBodyText"/>
            </w:pPr>
          </w:p>
          <w:p w:rsidR="00024C0A" w:rsidRDefault="00694C0F">
            <w:pPr>
              <w:pStyle w:val="TableBodyText"/>
            </w:pPr>
            <w:r>
              <w:t>The first column shall have the following properties:</w:t>
            </w:r>
          </w:p>
          <w:p w:rsidR="00024C0A" w:rsidRDefault="00694C0F">
            <w:pPr>
              <w:pStyle w:val="TableBodyText"/>
            </w:pPr>
            <w:r>
              <w:t>The foreground shading color shall be dark blue (0000CC).</w:t>
            </w:r>
          </w:p>
          <w:p w:rsidR="00024C0A" w:rsidRDefault="00694C0F">
            <w:pPr>
              <w:pStyle w:val="TableBodyText"/>
            </w:pPr>
            <w:r>
              <w:lastRenderedPageBreak/>
              <w:t>The background shading shall be white (FFFFFF).</w:t>
            </w:r>
          </w:p>
          <w:p w:rsidR="00024C0A" w:rsidRDefault="00694C0F">
            <w:pPr>
              <w:pStyle w:val="TableBodyText"/>
            </w:pPr>
            <w:r>
              <w:t>The shading patt</w:t>
            </w:r>
            <w:r>
              <w:t>ern shall be solid.</w:t>
            </w:r>
          </w:p>
          <w:p w:rsidR="00024C0A" w:rsidRDefault="00694C0F">
            <w:pPr>
              <w:pStyle w:val="TableBodyText"/>
            </w:pPr>
            <w:r>
              <w:t>The font shall be bold.</w:t>
            </w:r>
          </w:p>
          <w:p w:rsidR="00024C0A" w:rsidRDefault="00694C0F">
            <w:pPr>
              <w:pStyle w:val="TableBodyText"/>
            </w:pPr>
            <w:r>
              <w:t>The font shall be italic.</w:t>
            </w:r>
          </w:p>
          <w:p w:rsidR="00024C0A" w:rsidRDefault="00024C0A">
            <w:pPr>
              <w:pStyle w:val="TableBodyText"/>
            </w:pPr>
          </w:p>
          <w:p w:rsidR="00024C0A" w:rsidRDefault="00694C0F">
            <w:pPr>
              <w:pStyle w:val="TableBodyText"/>
            </w:pPr>
            <w:r>
              <w:t>The first column of header rows shall have the following properties:</w:t>
            </w:r>
          </w:p>
          <w:p w:rsidR="00024C0A" w:rsidRDefault="00694C0F">
            <w:pPr>
              <w:pStyle w:val="TableBodyText"/>
            </w:pPr>
            <w:r>
              <w:t>The foreground shading color shall be black (000000).</w:t>
            </w:r>
          </w:p>
          <w:p w:rsidR="00024C0A" w:rsidRDefault="00694C0F">
            <w:pPr>
              <w:pStyle w:val="TableBodyText"/>
            </w:pPr>
            <w:r>
              <w:t>The background shading shall be white (FFFFFF).</w:t>
            </w:r>
          </w:p>
          <w:p w:rsidR="00024C0A" w:rsidRDefault="00694C0F">
            <w:pPr>
              <w:pStyle w:val="TableBodyText"/>
            </w:pPr>
            <w:r>
              <w:t>The shading pa</w:t>
            </w:r>
            <w:r>
              <w:t>ttern shall be solid.</w:t>
            </w:r>
          </w:p>
          <w:p w:rsidR="00024C0A" w:rsidRDefault="00024C0A">
            <w:pPr>
              <w:pStyle w:val="TableBodyText"/>
            </w:pPr>
          </w:p>
          <w:p w:rsidR="00024C0A" w:rsidRDefault="00694C0F">
            <w:pPr>
              <w:pStyle w:val="TableBodyText"/>
            </w:pPr>
            <w:r>
              <w:t>The first column of the last row shall have the following properties:</w:t>
            </w:r>
          </w:p>
          <w:p w:rsidR="00024C0A" w:rsidRDefault="00694C0F">
            <w:pPr>
              <w:pStyle w:val="TableBodyText"/>
            </w:pPr>
            <w:r>
              <w:t>The font shall be bold.</w:t>
            </w:r>
          </w:p>
          <w:p w:rsidR="00024C0A" w:rsidRDefault="00694C0F">
            <w:pPr>
              <w:pStyle w:val="TableBodyText"/>
            </w:pPr>
            <w:r>
              <w:t>The font shall not be italic.</w:t>
            </w:r>
          </w:p>
          <w:p w:rsidR="00024C0A" w:rsidRDefault="00024C0A">
            <w:pPr>
              <w:pStyle w:val="TableBodyText"/>
            </w:pPr>
          </w:p>
        </w:tc>
      </w:tr>
      <w:tr w:rsidR="00024C0A" w:rsidTr="00024C0A">
        <w:tc>
          <w:tcPr>
            <w:tcW w:w="0" w:type="auto"/>
            <w:vAlign w:val="center"/>
          </w:tcPr>
          <w:p w:rsidR="00024C0A" w:rsidRDefault="00694C0F">
            <w:pPr>
              <w:pStyle w:val="TableBodyText"/>
            </w:pPr>
            <w:r>
              <w:lastRenderedPageBreak/>
              <w:t>9 (Colorful 2)</w:t>
            </w:r>
          </w:p>
          <w:p w:rsidR="00024C0A" w:rsidRDefault="00024C0A">
            <w:pPr>
              <w:pStyle w:val="TableBodyText"/>
            </w:pPr>
          </w:p>
        </w:tc>
        <w:tc>
          <w:tcPr>
            <w:tcW w:w="0" w:type="auto"/>
            <w:vAlign w:val="center"/>
          </w:tcPr>
          <w:p w:rsidR="00024C0A" w:rsidRDefault="00694C0F">
            <w:pPr>
              <w:pStyle w:val="TableBodyText"/>
            </w:pPr>
            <w:r>
              <w:t>The table shall have the following properties:</w:t>
            </w:r>
          </w:p>
          <w:p w:rsidR="00024C0A" w:rsidRDefault="00694C0F">
            <w:pPr>
              <w:pStyle w:val="TableBodyText"/>
            </w:pPr>
            <w:r>
              <w:t>The bottom border shall be a 1 1/2 pt single</w:t>
            </w:r>
            <w:r>
              <w:t xml:space="preserve"> line.</w:t>
            </w:r>
          </w:p>
          <w:p w:rsidR="00024C0A" w:rsidRDefault="00694C0F">
            <w:pPr>
              <w:pStyle w:val="TableBodyText"/>
            </w:pPr>
            <w:r>
              <w:t>The bottom border color shall be black (000000).</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The table data shall have the following properties:</w:t>
            </w:r>
          </w:p>
          <w:p w:rsidR="00024C0A" w:rsidRDefault="00694C0F">
            <w:pPr>
              <w:pStyle w:val="TableBodyText"/>
            </w:pPr>
            <w:r>
              <w:t>The foreground shading color shall be yellow (FFFF00).</w:t>
            </w:r>
          </w:p>
          <w:p w:rsidR="00024C0A" w:rsidRDefault="00694C0F">
            <w:pPr>
              <w:pStyle w:val="TableBodyText"/>
            </w:pPr>
            <w:r>
              <w:t>The background shading shall be white (FFFFFF).</w:t>
            </w:r>
          </w:p>
          <w:p w:rsidR="00024C0A" w:rsidRDefault="00694C0F">
            <w:pPr>
              <w:pStyle w:val="TableBodyText"/>
            </w:pPr>
            <w:r>
              <w:t>The sha</w:t>
            </w:r>
            <w:r>
              <w:t>ding pattern shall be pct20.</w:t>
            </w:r>
          </w:p>
          <w:p w:rsidR="00024C0A" w:rsidRDefault="00024C0A">
            <w:pPr>
              <w:pStyle w:val="TableBodyText"/>
            </w:pPr>
          </w:p>
          <w:p w:rsidR="00024C0A" w:rsidRDefault="00694C0F">
            <w:pPr>
              <w:pStyle w:val="TableBodyText"/>
            </w:pPr>
            <w:r>
              <w:t>The last column shall have the following properties:</w:t>
            </w:r>
          </w:p>
          <w:p w:rsidR="00024C0A" w:rsidRDefault="00694C0F">
            <w:pPr>
              <w:pStyle w:val="TableBodyText"/>
            </w:pPr>
            <w:r>
              <w:t>The foreground shading color shall be dark gray (C0C0C0).</w:t>
            </w:r>
          </w:p>
          <w:p w:rsidR="00024C0A" w:rsidRDefault="00694C0F">
            <w:pPr>
              <w:pStyle w:val="TableBodyText"/>
            </w:pPr>
            <w:r>
              <w:t>The background shading shall be white (FFFFFF).</w:t>
            </w:r>
          </w:p>
          <w:p w:rsidR="00024C0A" w:rsidRDefault="00694C0F">
            <w:pPr>
              <w:pStyle w:val="TableBodyText"/>
            </w:pPr>
            <w:r>
              <w:t>The shading pattern shall be solid.</w:t>
            </w:r>
          </w:p>
          <w:p w:rsidR="00024C0A" w:rsidRDefault="00024C0A">
            <w:pPr>
              <w:pStyle w:val="TableBodyText"/>
            </w:pPr>
          </w:p>
          <w:p w:rsidR="00024C0A" w:rsidRDefault="00694C0F">
            <w:pPr>
              <w:pStyle w:val="TableBodyText"/>
            </w:pPr>
            <w:r>
              <w:t>The header rows shall have the</w:t>
            </w:r>
            <w:r>
              <w:t xml:space="preserve"> following properties:</w:t>
            </w:r>
          </w:p>
          <w:p w:rsidR="00024C0A" w:rsidRDefault="00694C0F">
            <w:pPr>
              <w:pStyle w:val="TableBodyText"/>
            </w:pPr>
            <w:r>
              <w:t>The bottom border shall be a 1 1/2 pt single line.</w:t>
            </w:r>
          </w:p>
          <w:p w:rsidR="00024C0A" w:rsidRDefault="00694C0F">
            <w:pPr>
              <w:pStyle w:val="TableBodyText"/>
            </w:pPr>
            <w:r>
              <w:t>The bottom border color shall be black (000000).</w:t>
            </w:r>
          </w:p>
          <w:p w:rsidR="00024C0A" w:rsidRDefault="00694C0F">
            <w:pPr>
              <w:pStyle w:val="TableBodyText"/>
            </w:pPr>
            <w:r>
              <w:t>The foreground shading color shall be dark red (CC0000).</w:t>
            </w:r>
          </w:p>
          <w:p w:rsidR="00024C0A" w:rsidRDefault="00694C0F">
            <w:pPr>
              <w:pStyle w:val="TableBodyText"/>
            </w:pPr>
            <w:r>
              <w:t>The background shading shall be white (FFFFFF).</w:t>
            </w:r>
          </w:p>
          <w:p w:rsidR="00024C0A" w:rsidRDefault="00694C0F">
            <w:pPr>
              <w:pStyle w:val="TableBodyText"/>
            </w:pPr>
            <w:r>
              <w:t>The shading pattern shall be</w:t>
            </w:r>
            <w:r>
              <w:t xml:space="preserve"> solid.</w:t>
            </w:r>
          </w:p>
          <w:p w:rsidR="00024C0A" w:rsidRDefault="00694C0F">
            <w:pPr>
              <w:pStyle w:val="TableBodyText"/>
            </w:pPr>
            <w:r>
              <w:t>The font color shall be white (FFFFFF).</w:t>
            </w:r>
          </w:p>
          <w:p w:rsidR="00024C0A" w:rsidRDefault="00694C0F">
            <w:pPr>
              <w:pStyle w:val="TableBodyText"/>
            </w:pPr>
            <w:r>
              <w:t>The font shall be bold.</w:t>
            </w:r>
          </w:p>
          <w:p w:rsidR="00024C0A" w:rsidRDefault="00694C0F">
            <w:pPr>
              <w:pStyle w:val="TableBodyText"/>
            </w:pPr>
            <w:r>
              <w:t>The font shall be italic.</w:t>
            </w:r>
          </w:p>
          <w:p w:rsidR="00024C0A" w:rsidRDefault="00024C0A">
            <w:pPr>
              <w:pStyle w:val="TableBodyText"/>
            </w:pPr>
          </w:p>
          <w:p w:rsidR="00024C0A" w:rsidRDefault="00694C0F">
            <w:pPr>
              <w:pStyle w:val="TableBodyText"/>
            </w:pPr>
            <w:r>
              <w:t>The first column shall have the following properties:</w:t>
            </w:r>
          </w:p>
          <w:p w:rsidR="00024C0A" w:rsidRDefault="00694C0F">
            <w:pPr>
              <w:pStyle w:val="TableBodyText"/>
            </w:pPr>
            <w:r>
              <w:t>The font shall be bold.</w:t>
            </w:r>
          </w:p>
          <w:p w:rsidR="00024C0A" w:rsidRDefault="00694C0F">
            <w:pPr>
              <w:pStyle w:val="TableBodyText"/>
            </w:pPr>
            <w:r>
              <w:t>The font shall be italic.</w:t>
            </w:r>
          </w:p>
          <w:p w:rsidR="00024C0A" w:rsidRDefault="00024C0A">
            <w:pPr>
              <w:pStyle w:val="TableBodyText"/>
            </w:pPr>
          </w:p>
          <w:p w:rsidR="00024C0A" w:rsidRDefault="00694C0F">
            <w:pPr>
              <w:pStyle w:val="TableBodyText"/>
            </w:pPr>
            <w:r>
              <w:t>The first column of the last row shall have the foll</w:t>
            </w:r>
            <w:r>
              <w:t>owing properties:</w:t>
            </w:r>
          </w:p>
          <w:p w:rsidR="00024C0A" w:rsidRDefault="00694C0F">
            <w:pPr>
              <w:pStyle w:val="TableBodyText"/>
            </w:pPr>
            <w:r>
              <w:t>The font shall be bold.</w:t>
            </w:r>
          </w:p>
          <w:p w:rsidR="00024C0A" w:rsidRDefault="00024C0A">
            <w:pPr>
              <w:pStyle w:val="TableBodyText"/>
            </w:pPr>
          </w:p>
        </w:tc>
      </w:tr>
      <w:tr w:rsidR="00024C0A" w:rsidTr="00024C0A">
        <w:tc>
          <w:tcPr>
            <w:tcW w:w="0" w:type="auto"/>
            <w:vAlign w:val="center"/>
          </w:tcPr>
          <w:p w:rsidR="00024C0A" w:rsidRDefault="00694C0F">
            <w:pPr>
              <w:pStyle w:val="TableBodyText"/>
            </w:pPr>
            <w:r>
              <w:t>10 (Colorful 3)</w:t>
            </w:r>
          </w:p>
          <w:p w:rsidR="00024C0A" w:rsidRDefault="00024C0A">
            <w:pPr>
              <w:pStyle w:val="TableBodyText"/>
            </w:pPr>
          </w:p>
        </w:tc>
        <w:tc>
          <w:tcPr>
            <w:tcW w:w="0" w:type="auto"/>
            <w:vAlign w:val="center"/>
          </w:tcPr>
          <w:p w:rsidR="00024C0A" w:rsidRDefault="00694C0F">
            <w:pPr>
              <w:pStyle w:val="TableBodyText"/>
            </w:pPr>
            <w:r>
              <w:lastRenderedPageBreak/>
              <w:t>The table shall have the following properties:</w:t>
            </w:r>
          </w:p>
          <w:p w:rsidR="00024C0A" w:rsidRDefault="00694C0F">
            <w:pPr>
              <w:pStyle w:val="TableBodyText"/>
            </w:pPr>
            <w:r>
              <w:lastRenderedPageBreak/>
              <w:t>The top border shall be a 2 1/4 pt single line.</w:t>
            </w:r>
          </w:p>
          <w:p w:rsidR="00024C0A" w:rsidRDefault="00694C0F">
            <w:pPr>
              <w:pStyle w:val="TableBodyText"/>
            </w:pPr>
            <w:r>
              <w:t>The left border shall be a 2 1/4 pt single line.</w:t>
            </w:r>
          </w:p>
          <w:p w:rsidR="00024C0A" w:rsidRDefault="00694C0F">
            <w:pPr>
              <w:pStyle w:val="TableBodyText"/>
            </w:pPr>
            <w:r>
              <w:t>The bottom border shall be a 2 1/4 pt single line.</w:t>
            </w:r>
          </w:p>
          <w:p w:rsidR="00024C0A" w:rsidRDefault="00694C0F">
            <w:pPr>
              <w:pStyle w:val="TableBodyText"/>
            </w:pPr>
            <w:r>
              <w:t>The right border shall be a 2 1/4 pt single line.</w:t>
            </w:r>
          </w:p>
          <w:p w:rsidR="00024C0A" w:rsidRDefault="00694C0F">
            <w:pPr>
              <w:pStyle w:val="TableBodyText"/>
            </w:pPr>
            <w:r>
              <w:t>The inside horizontal border shall be a 3/4 pt single line.</w:t>
            </w:r>
          </w:p>
          <w:p w:rsidR="00024C0A" w:rsidRDefault="00694C0F">
            <w:pPr>
              <w:pStyle w:val="TableBodyText"/>
            </w:pPr>
            <w:r>
              <w:t>The top border color shall be black (000000).</w:t>
            </w:r>
          </w:p>
          <w:p w:rsidR="00024C0A" w:rsidRDefault="00694C0F">
            <w:pPr>
              <w:pStyle w:val="TableBodyText"/>
            </w:pPr>
            <w:r>
              <w:t>The left border color shall be black (000000).</w:t>
            </w:r>
          </w:p>
          <w:p w:rsidR="00024C0A" w:rsidRDefault="00694C0F">
            <w:pPr>
              <w:pStyle w:val="TableBodyText"/>
            </w:pPr>
            <w:r>
              <w:t>The bottom border color shall be black (000000).</w:t>
            </w:r>
          </w:p>
          <w:p w:rsidR="00024C0A" w:rsidRDefault="00694C0F">
            <w:pPr>
              <w:pStyle w:val="TableBodyText"/>
            </w:pPr>
            <w:r>
              <w:t xml:space="preserve">The </w:t>
            </w:r>
            <w:r>
              <w:t>right border color shall be black (000000).</w:t>
            </w:r>
          </w:p>
          <w:p w:rsidR="00024C0A" w:rsidRDefault="00694C0F">
            <w:pPr>
              <w:pStyle w:val="TableBodyText"/>
            </w:pPr>
            <w:r>
              <w:t>The inside horizontal border color shall be light gray (C0C0C0).</w:t>
            </w:r>
          </w:p>
          <w:p w:rsidR="00024C0A" w:rsidRDefault="00694C0F">
            <w:pPr>
              <w:pStyle w:val="TableBodyText"/>
            </w:pPr>
            <w:r>
              <w:t>The foreground shading color shall be dark cyan (00CCCC).</w:t>
            </w:r>
          </w:p>
          <w:p w:rsidR="00024C0A" w:rsidRDefault="00694C0F">
            <w:pPr>
              <w:pStyle w:val="TableBodyText"/>
            </w:pPr>
            <w:r>
              <w:t>The background shading shall be white (FFFFFF).</w:t>
            </w:r>
          </w:p>
          <w:p w:rsidR="00024C0A" w:rsidRDefault="00694C0F">
            <w:pPr>
              <w:pStyle w:val="TableBodyText"/>
            </w:pPr>
            <w:r>
              <w:t>The shading pattern shall be pct25.</w:t>
            </w:r>
          </w:p>
          <w:p w:rsidR="00024C0A" w:rsidRDefault="00694C0F">
            <w:pPr>
              <w:pStyle w:val="TableBodyText"/>
            </w:pPr>
            <w:r>
              <w:t>The v</w:t>
            </w:r>
            <w:r>
              <w:t>ertical alignment shall be top.</w:t>
            </w:r>
          </w:p>
          <w:p w:rsidR="00024C0A" w:rsidRDefault="00024C0A">
            <w:pPr>
              <w:pStyle w:val="TableBodyText"/>
            </w:pPr>
          </w:p>
          <w:p w:rsidR="00024C0A" w:rsidRDefault="00694C0F">
            <w:pPr>
              <w:pStyle w:val="TableBodyText"/>
            </w:pPr>
            <w:r>
              <w:t>The header rows shall have the following properties:</w:t>
            </w:r>
          </w:p>
          <w:p w:rsidR="00024C0A" w:rsidRDefault="00694C0F">
            <w:pPr>
              <w:pStyle w:val="TableBodyText"/>
            </w:pPr>
            <w:r>
              <w:t>The bottom border shall be a 3/4 pt single line.</w:t>
            </w:r>
          </w:p>
          <w:p w:rsidR="00024C0A" w:rsidRDefault="00694C0F">
            <w:pPr>
              <w:pStyle w:val="TableBodyText"/>
            </w:pPr>
            <w:r>
              <w:t>The bottom border color shall be black (000000).</w:t>
            </w:r>
          </w:p>
          <w:p w:rsidR="00024C0A" w:rsidRDefault="00694C0F">
            <w:pPr>
              <w:pStyle w:val="TableBodyText"/>
            </w:pPr>
            <w:r>
              <w:t>The foreground shading color shall be dark cyan (00CCCC).</w:t>
            </w:r>
          </w:p>
          <w:p w:rsidR="00024C0A" w:rsidRDefault="00694C0F">
            <w:pPr>
              <w:pStyle w:val="TableBodyText"/>
            </w:pPr>
            <w:r>
              <w:t>The background</w:t>
            </w:r>
            <w:r>
              <w:t xml:space="preserve"> shading shall be white (FFFFFF).</w:t>
            </w:r>
          </w:p>
          <w:p w:rsidR="00024C0A" w:rsidRDefault="00694C0F">
            <w:pPr>
              <w:pStyle w:val="TableBodyText"/>
            </w:pPr>
            <w:r>
              <w:t>The shading pattern shall be solid.</w:t>
            </w:r>
          </w:p>
          <w:p w:rsidR="00024C0A" w:rsidRDefault="00024C0A">
            <w:pPr>
              <w:pStyle w:val="TableBodyText"/>
            </w:pPr>
          </w:p>
          <w:p w:rsidR="00024C0A" w:rsidRDefault="00694C0F">
            <w:pPr>
              <w:pStyle w:val="TableBodyText"/>
            </w:pPr>
            <w:r>
              <w:t>The first column shall have the following properties:</w:t>
            </w:r>
          </w:p>
          <w:p w:rsidR="00024C0A" w:rsidRDefault="00694C0F">
            <w:pPr>
              <w:pStyle w:val="TableBodyText"/>
            </w:pPr>
            <w:r>
              <w:t>The left border shall be a 4 1/2 pt single line.</w:t>
            </w:r>
          </w:p>
          <w:p w:rsidR="00024C0A" w:rsidRDefault="00694C0F">
            <w:pPr>
              <w:pStyle w:val="TableBodyText"/>
            </w:pPr>
            <w:r>
              <w:t>The right border shall be a 3/4 pt single line.</w:t>
            </w:r>
          </w:p>
          <w:p w:rsidR="00024C0A" w:rsidRDefault="00694C0F">
            <w:pPr>
              <w:pStyle w:val="TableBodyText"/>
            </w:pPr>
            <w:r>
              <w:t>The left border color shall be bla</w:t>
            </w:r>
            <w:r>
              <w:t>ck (000000).</w:t>
            </w:r>
          </w:p>
          <w:p w:rsidR="00024C0A" w:rsidRDefault="00694C0F">
            <w:pPr>
              <w:pStyle w:val="TableBodyText"/>
            </w:pPr>
            <w:r>
              <w:t>The right border color shall be black (000000).</w:t>
            </w:r>
          </w:p>
          <w:p w:rsidR="00024C0A" w:rsidRDefault="00694C0F">
            <w:pPr>
              <w:pStyle w:val="TableBodyText"/>
            </w:pPr>
            <w:r>
              <w:t>The foreground shading color shall be dark cyan (00CCCC).</w:t>
            </w:r>
          </w:p>
          <w:p w:rsidR="00024C0A" w:rsidRDefault="00694C0F">
            <w:pPr>
              <w:pStyle w:val="TableBodyText"/>
            </w:pPr>
            <w:r>
              <w:t>The background shading shall be white (FFFFFF).</w:t>
            </w:r>
          </w:p>
          <w:p w:rsidR="00024C0A" w:rsidRDefault="00694C0F">
            <w:pPr>
              <w:pStyle w:val="TableBodyText"/>
            </w:pPr>
            <w:r>
              <w:t>The shading pattern shall be solid.</w:t>
            </w:r>
          </w:p>
          <w:p w:rsidR="00024C0A" w:rsidRDefault="00024C0A">
            <w:pPr>
              <w:pStyle w:val="TableBodyText"/>
            </w:pPr>
          </w:p>
          <w:p w:rsidR="00024C0A" w:rsidRDefault="00694C0F">
            <w:pPr>
              <w:pStyle w:val="TableBodyText"/>
            </w:pPr>
            <w:r>
              <w:t>The first column of header rows shall have the follo</w:t>
            </w:r>
            <w:r>
              <w:t>wing properties:</w:t>
            </w:r>
          </w:p>
          <w:p w:rsidR="00024C0A" w:rsidRDefault="00694C0F">
            <w:pPr>
              <w:pStyle w:val="TableBodyText"/>
            </w:pPr>
            <w:r>
              <w:t>The foreground shading color shall be black (000000).</w:t>
            </w:r>
          </w:p>
          <w:p w:rsidR="00024C0A" w:rsidRDefault="00694C0F">
            <w:pPr>
              <w:pStyle w:val="TableBodyText"/>
            </w:pPr>
            <w:r>
              <w:t>The background shading shall be white (FFFFFF).</w:t>
            </w:r>
          </w:p>
          <w:p w:rsidR="00024C0A" w:rsidRDefault="00694C0F">
            <w:pPr>
              <w:pStyle w:val="TableBodyText"/>
            </w:pPr>
            <w:r>
              <w:t>The shading pattern shall be solid.</w:t>
            </w:r>
          </w:p>
          <w:p w:rsidR="00024C0A" w:rsidRDefault="00694C0F">
            <w:pPr>
              <w:pStyle w:val="TableBodyText"/>
            </w:pPr>
            <w:r>
              <w:t>The font color shall be white (FFFFFF).</w:t>
            </w:r>
          </w:p>
          <w:p w:rsidR="00024C0A" w:rsidRDefault="00694C0F">
            <w:pPr>
              <w:pStyle w:val="TableBodyText"/>
            </w:pPr>
            <w:r>
              <w:t>The font shall be bold.</w:t>
            </w:r>
          </w:p>
          <w:p w:rsidR="00024C0A" w:rsidRDefault="00024C0A">
            <w:pPr>
              <w:pStyle w:val="TableBodyText"/>
            </w:pPr>
          </w:p>
        </w:tc>
      </w:tr>
      <w:tr w:rsidR="00024C0A" w:rsidTr="00024C0A">
        <w:tc>
          <w:tcPr>
            <w:tcW w:w="0" w:type="auto"/>
            <w:vAlign w:val="center"/>
          </w:tcPr>
          <w:p w:rsidR="00024C0A" w:rsidRDefault="00694C0F">
            <w:pPr>
              <w:pStyle w:val="TableBodyText"/>
            </w:pPr>
            <w:r>
              <w:lastRenderedPageBreak/>
              <w:t>11 (Columns 1)</w:t>
            </w:r>
          </w:p>
          <w:p w:rsidR="00024C0A" w:rsidRDefault="00024C0A">
            <w:pPr>
              <w:pStyle w:val="TableBodyText"/>
            </w:pPr>
          </w:p>
        </w:tc>
        <w:tc>
          <w:tcPr>
            <w:tcW w:w="0" w:type="auto"/>
            <w:vAlign w:val="center"/>
          </w:tcPr>
          <w:p w:rsidR="00024C0A" w:rsidRDefault="00694C0F">
            <w:pPr>
              <w:pStyle w:val="TableBodyText"/>
            </w:pPr>
            <w:r>
              <w:t xml:space="preserve">The table shall </w:t>
            </w:r>
            <w:r>
              <w:t>have the following properties:</w:t>
            </w:r>
          </w:p>
          <w:p w:rsidR="00024C0A" w:rsidRDefault="00694C0F">
            <w:pPr>
              <w:pStyle w:val="TableBodyText"/>
            </w:pPr>
            <w:r>
              <w:t>The top border shall be a 1 1/2 pt single line.</w:t>
            </w:r>
          </w:p>
          <w:p w:rsidR="00024C0A" w:rsidRDefault="00694C0F">
            <w:pPr>
              <w:pStyle w:val="TableBodyText"/>
            </w:pPr>
            <w:r>
              <w:t>The left border shall be a 1 1/2 pt single line.</w:t>
            </w:r>
          </w:p>
          <w:p w:rsidR="00024C0A" w:rsidRDefault="00694C0F">
            <w:pPr>
              <w:pStyle w:val="TableBodyText"/>
            </w:pPr>
            <w:r>
              <w:t>The bottom border shall be a 1 1/2 pt single line.</w:t>
            </w:r>
          </w:p>
          <w:p w:rsidR="00024C0A" w:rsidRDefault="00694C0F">
            <w:pPr>
              <w:pStyle w:val="TableBodyText"/>
            </w:pPr>
            <w:r>
              <w:t>The right border shall be a 1 1/2 pt single line.</w:t>
            </w:r>
          </w:p>
          <w:p w:rsidR="00024C0A" w:rsidRDefault="00694C0F">
            <w:pPr>
              <w:pStyle w:val="TableBodyText"/>
            </w:pPr>
            <w:r>
              <w:t xml:space="preserve">The top border color shall </w:t>
            </w:r>
            <w:r>
              <w:t>be black (000000).</w:t>
            </w:r>
          </w:p>
          <w:p w:rsidR="00024C0A" w:rsidRDefault="00694C0F">
            <w:pPr>
              <w:pStyle w:val="TableBodyText"/>
            </w:pPr>
            <w:r>
              <w:t>The left border color shall be black (000000).</w:t>
            </w:r>
          </w:p>
          <w:p w:rsidR="00024C0A" w:rsidRDefault="00694C0F">
            <w:pPr>
              <w:pStyle w:val="TableBodyText"/>
            </w:pPr>
            <w:r>
              <w:t>The bottom border color shall be black (000000).</w:t>
            </w:r>
          </w:p>
          <w:p w:rsidR="00024C0A" w:rsidRDefault="00694C0F">
            <w:pPr>
              <w:pStyle w:val="TableBodyText"/>
            </w:pPr>
            <w:r>
              <w:t>The right border color shall be black (000000).</w:t>
            </w:r>
          </w:p>
          <w:p w:rsidR="00024C0A" w:rsidRDefault="00694C0F">
            <w:pPr>
              <w:pStyle w:val="TableBodyText"/>
            </w:pPr>
            <w:r>
              <w:lastRenderedPageBreak/>
              <w:t>The font shall be bold.</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Odd columns of table data shall</w:t>
            </w:r>
            <w:r>
              <w:t xml:space="preserve"> have the following properties:</w:t>
            </w:r>
          </w:p>
          <w:p w:rsidR="00024C0A" w:rsidRDefault="00694C0F">
            <w:pPr>
              <w:pStyle w:val="TableBodyText"/>
            </w:pPr>
            <w:r>
              <w:t>The foreground shading color shall be yellow (FFFF00).</w:t>
            </w:r>
          </w:p>
          <w:p w:rsidR="00024C0A" w:rsidRDefault="00694C0F">
            <w:pPr>
              <w:pStyle w:val="TableBodyText"/>
            </w:pPr>
            <w:r>
              <w:t>The background shading shall be white (FFFFFF).</w:t>
            </w:r>
          </w:p>
          <w:p w:rsidR="00024C0A" w:rsidRDefault="00694C0F">
            <w:pPr>
              <w:pStyle w:val="TableBodyText"/>
            </w:pPr>
            <w:r>
              <w:t>The shading pattern shall be pct25.</w:t>
            </w:r>
          </w:p>
          <w:p w:rsidR="00024C0A" w:rsidRDefault="00024C0A">
            <w:pPr>
              <w:pStyle w:val="TableBodyText"/>
            </w:pPr>
          </w:p>
          <w:p w:rsidR="00024C0A" w:rsidRDefault="00694C0F">
            <w:pPr>
              <w:pStyle w:val="TableBodyText"/>
            </w:pPr>
            <w:r>
              <w:t>Even columns of table data shall have the following properties:</w:t>
            </w:r>
          </w:p>
          <w:p w:rsidR="00024C0A" w:rsidRDefault="00694C0F">
            <w:pPr>
              <w:pStyle w:val="TableBodyText"/>
            </w:pPr>
            <w:r>
              <w:t xml:space="preserve">The foreground </w:t>
            </w:r>
            <w:r>
              <w:t>shading color shall be black (000000).</w:t>
            </w:r>
          </w:p>
          <w:p w:rsidR="00024C0A" w:rsidRDefault="00694C0F">
            <w:pPr>
              <w:pStyle w:val="TableBodyText"/>
            </w:pPr>
            <w:r>
              <w:t>The background shading shall be white (FFFFFF).</w:t>
            </w:r>
          </w:p>
          <w:p w:rsidR="00024C0A" w:rsidRDefault="00694C0F">
            <w:pPr>
              <w:pStyle w:val="TableBodyText"/>
            </w:pPr>
            <w:r>
              <w:t>The shading pattern shall be pct25.</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header rows shall have the following properties:</w:t>
            </w:r>
          </w:p>
          <w:p w:rsidR="00024C0A" w:rsidRDefault="00694C0F">
            <w:pPr>
              <w:pStyle w:val="TableBodyText"/>
            </w:pPr>
            <w:r>
              <w:t>The bottom border shall be a 3/4 pt double line.</w:t>
            </w:r>
          </w:p>
          <w:p w:rsidR="00024C0A" w:rsidRDefault="00694C0F">
            <w:pPr>
              <w:pStyle w:val="TableBodyText"/>
            </w:pPr>
            <w:r>
              <w:t>The bo</w:t>
            </w:r>
            <w:r>
              <w:t>ttom border color shall be black (000000).</w:t>
            </w:r>
          </w:p>
          <w:p w:rsidR="00024C0A" w:rsidRDefault="00694C0F">
            <w:pPr>
              <w:pStyle w:val="TableBodyText"/>
            </w:pPr>
            <w:r>
              <w:t>The font shall not be bold.</w:t>
            </w:r>
          </w:p>
          <w:p w:rsidR="00024C0A" w:rsidRDefault="00024C0A">
            <w:pPr>
              <w:pStyle w:val="TableBodyText"/>
            </w:pPr>
          </w:p>
          <w:p w:rsidR="00024C0A" w:rsidRDefault="00694C0F">
            <w:pPr>
              <w:pStyle w:val="TableBodyText"/>
            </w:pPr>
            <w:r>
              <w:t>The last row shall have the following properties:</w:t>
            </w:r>
          </w:p>
          <w:p w:rsidR="00024C0A" w:rsidRDefault="00694C0F">
            <w:pPr>
              <w:pStyle w:val="TableBodyText"/>
            </w:pPr>
            <w:r>
              <w:t>The font shall not be bold.</w:t>
            </w:r>
          </w:p>
          <w:p w:rsidR="00024C0A" w:rsidRDefault="00024C0A">
            <w:pPr>
              <w:pStyle w:val="TableBodyText"/>
            </w:pPr>
          </w:p>
          <w:p w:rsidR="00024C0A" w:rsidRDefault="00694C0F">
            <w:pPr>
              <w:pStyle w:val="TableBodyText"/>
            </w:pPr>
            <w:r>
              <w:t>The first column shall have the following properties:</w:t>
            </w:r>
          </w:p>
          <w:p w:rsidR="00024C0A" w:rsidRDefault="00694C0F">
            <w:pPr>
              <w:pStyle w:val="TableBodyText"/>
            </w:pPr>
            <w:r>
              <w:t>The font shall not be bold.</w:t>
            </w:r>
          </w:p>
          <w:p w:rsidR="00024C0A" w:rsidRDefault="00024C0A">
            <w:pPr>
              <w:pStyle w:val="TableBodyText"/>
            </w:pPr>
          </w:p>
          <w:p w:rsidR="00024C0A" w:rsidRDefault="00694C0F">
            <w:pPr>
              <w:pStyle w:val="TableBodyText"/>
            </w:pPr>
            <w:r>
              <w:t>The last row of the fi</w:t>
            </w:r>
            <w:r>
              <w:t>rst column shall have the following properties:</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last column shall have the following properties:</w:t>
            </w:r>
          </w:p>
          <w:p w:rsidR="00024C0A" w:rsidRDefault="00694C0F">
            <w:pPr>
              <w:pStyle w:val="TableBodyText"/>
            </w:pPr>
            <w:r>
              <w:t>The font shall not be bold.</w:t>
            </w:r>
          </w:p>
          <w:p w:rsidR="00024C0A" w:rsidRDefault="00024C0A">
            <w:pPr>
              <w:pStyle w:val="TableBodyText"/>
            </w:pPr>
          </w:p>
          <w:p w:rsidR="00024C0A" w:rsidRDefault="00694C0F">
            <w:pPr>
              <w:pStyle w:val="TableBodyText"/>
            </w:pPr>
            <w:r>
              <w:t>The header rows of the last column shall have the following properties:</w:t>
            </w:r>
          </w:p>
          <w:p w:rsidR="00024C0A" w:rsidRDefault="00694C0F">
            <w:pPr>
              <w:pStyle w:val="TableBodyText"/>
            </w:pPr>
            <w:r>
              <w:t>The font shall be bold.</w:t>
            </w:r>
          </w:p>
          <w:p w:rsidR="00024C0A" w:rsidRDefault="00024C0A">
            <w:pPr>
              <w:pStyle w:val="TableBodyText"/>
            </w:pPr>
          </w:p>
        </w:tc>
      </w:tr>
      <w:tr w:rsidR="00024C0A" w:rsidTr="00024C0A">
        <w:tc>
          <w:tcPr>
            <w:tcW w:w="0" w:type="auto"/>
            <w:vAlign w:val="center"/>
          </w:tcPr>
          <w:p w:rsidR="00024C0A" w:rsidRDefault="00694C0F">
            <w:pPr>
              <w:pStyle w:val="TableBodyText"/>
            </w:pPr>
            <w:r>
              <w:lastRenderedPageBreak/>
              <w:t xml:space="preserve">12 </w:t>
            </w:r>
            <w:r>
              <w:t>(Columns 2)</w:t>
            </w:r>
          </w:p>
          <w:p w:rsidR="00024C0A" w:rsidRDefault="00024C0A">
            <w:pPr>
              <w:pStyle w:val="TableBodyText"/>
            </w:pPr>
          </w:p>
        </w:tc>
        <w:tc>
          <w:tcPr>
            <w:tcW w:w="0" w:type="auto"/>
            <w:vAlign w:val="center"/>
          </w:tcPr>
          <w:p w:rsidR="00024C0A" w:rsidRDefault="00694C0F">
            <w:pPr>
              <w:pStyle w:val="TableBodyText"/>
            </w:pPr>
            <w:r>
              <w:t>The table shall have the following properties:</w:t>
            </w:r>
          </w:p>
          <w:p w:rsidR="00024C0A" w:rsidRDefault="00694C0F">
            <w:pPr>
              <w:pStyle w:val="TableBodyText"/>
            </w:pPr>
            <w:r>
              <w:t>The font shall be bold.</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Odd columns of table data shall have the following properties:</w:t>
            </w:r>
          </w:p>
          <w:p w:rsidR="00024C0A" w:rsidRDefault="00694C0F">
            <w:pPr>
              <w:pStyle w:val="TableBodyText"/>
            </w:pPr>
            <w:r>
              <w:t>The foreground shading color shall be green (00FF00).</w:t>
            </w:r>
          </w:p>
          <w:p w:rsidR="00024C0A" w:rsidRDefault="00694C0F">
            <w:pPr>
              <w:pStyle w:val="TableBodyText"/>
            </w:pPr>
            <w:r>
              <w:t>The background sh</w:t>
            </w:r>
            <w:r>
              <w:t>ading shall be white (FFFFFF).</w:t>
            </w:r>
          </w:p>
          <w:p w:rsidR="00024C0A" w:rsidRDefault="00694C0F">
            <w:pPr>
              <w:pStyle w:val="TableBodyText"/>
            </w:pPr>
            <w:r>
              <w:t>The shading pattern shall be pct25.</w:t>
            </w:r>
          </w:p>
          <w:p w:rsidR="00024C0A" w:rsidRDefault="00024C0A">
            <w:pPr>
              <w:pStyle w:val="TableBodyText"/>
            </w:pPr>
          </w:p>
          <w:p w:rsidR="00024C0A" w:rsidRDefault="00694C0F">
            <w:pPr>
              <w:pStyle w:val="TableBodyText"/>
            </w:pPr>
            <w:r>
              <w:t>Even columns of table data shall have the following properties:</w:t>
            </w:r>
          </w:p>
          <w:p w:rsidR="00024C0A" w:rsidRDefault="00694C0F">
            <w:pPr>
              <w:pStyle w:val="TableBodyText"/>
            </w:pPr>
            <w:r>
              <w:t>The foreground shading color shall be black (000000).</w:t>
            </w:r>
          </w:p>
          <w:p w:rsidR="00024C0A" w:rsidRDefault="00694C0F">
            <w:pPr>
              <w:pStyle w:val="TableBodyText"/>
            </w:pPr>
            <w:r>
              <w:t>The background shading shall be white (FFFFFF).</w:t>
            </w:r>
          </w:p>
          <w:p w:rsidR="00024C0A" w:rsidRDefault="00694C0F">
            <w:pPr>
              <w:pStyle w:val="TableBodyText"/>
            </w:pPr>
            <w:r>
              <w:t>The shading pattern sh</w:t>
            </w:r>
            <w:r>
              <w:t>all be pct30.</w:t>
            </w:r>
          </w:p>
          <w:p w:rsidR="00024C0A" w:rsidRDefault="00694C0F">
            <w:pPr>
              <w:pStyle w:val="TableBodyText"/>
            </w:pPr>
            <w:r>
              <w:lastRenderedPageBreak/>
              <w:t>The font color shall be dark blue (0000CC).</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header rows shall have the following properties:</w:t>
            </w:r>
          </w:p>
          <w:p w:rsidR="00024C0A" w:rsidRDefault="00694C0F">
            <w:pPr>
              <w:pStyle w:val="TableBodyText"/>
            </w:pPr>
            <w:r>
              <w:t>The foreground shading color shall be dark blue (0000CC).</w:t>
            </w:r>
          </w:p>
          <w:p w:rsidR="00024C0A" w:rsidRDefault="00694C0F">
            <w:pPr>
              <w:pStyle w:val="TableBodyText"/>
            </w:pPr>
            <w:r>
              <w:t>The background shading shall be white (FFFFFF).</w:t>
            </w:r>
          </w:p>
          <w:p w:rsidR="00024C0A" w:rsidRDefault="00694C0F">
            <w:pPr>
              <w:pStyle w:val="TableBodyText"/>
            </w:pPr>
            <w:r>
              <w:t>The shading pa</w:t>
            </w:r>
            <w:r>
              <w:t>ttern shall be solid.</w:t>
            </w:r>
          </w:p>
          <w:p w:rsidR="00024C0A" w:rsidRDefault="00694C0F">
            <w:pPr>
              <w:pStyle w:val="TableBodyText"/>
            </w:pPr>
            <w:r>
              <w:t>The font color shall be white (FFFFFF).</w:t>
            </w:r>
          </w:p>
          <w:p w:rsidR="00024C0A" w:rsidRDefault="00024C0A">
            <w:pPr>
              <w:pStyle w:val="TableBodyText"/>
            </w:pPr>
          </w:p>
          <w:p w:rsidR="00024C0A" w:rsidRDefault="00694C0F">
            <w:pPr>
              <w:pStyle w:val="TableBodyText"/>
            </w:pPr>
            <w:r>
              <w:t>The last row shall have the following properties:</w:t>
            </w:r>
          </w:p>
          <w:p w:rsidR="00024C0A" w:rsidRDefault="00694C0F">
            <w:pPr>
              <w:pStyle w:val="TableBodyText"/>
            </w:pPr>
            <w:r>
              <w:t>The font shall not be bold.</w:t>
            </w:r>
          </w:p>
          <w:p w:rsidR="00024C0A" w:rsidRDefault="00024C0A">
            <w:pPr>
              <w:pStyle w:val="TableBodyText"/>
            </w:pPr>
          </w:p>
          <w:p w:rsidR="00024C0A" w:rsidRDefault="00694C0F">
            <w:pPr>
              <w:pStyle w:val="TableBodyText"/>
            </w:pPr>
            <w:r>
              <w:t>The first column shall have the following properties:</w:t>
            </w:r>
          </w:p>
          <w:p w:rsidR="00024C0A" w:rsidRDefault="00694C0F">
            <w:pPr>
              <w:pStyle w:val="TableBodyText"/>
            </w:pPr>
            <w:r>
              <w:t>The font color shall be black (000000).</w:t>
            </w:r>
          </w:p>
          <w:p w:rsidR="00024C0A" w:rsidRDefault="00694C0F">
            <w:pPr>
              <w:pStyle w:val="TableBodyText"/>
            </w:pPr>
            <w:r>
              <w:t xml:space="preserve">The font shall not </w:t>
            </w:r>
            <w:r>
              <w:t>be bold.</w:t>
            </w:r>
          </w:p>
          <w:p w:rsidR="00024C0A" w:rsidRDefault="00024C0A">
            <w:pPr>
              <w:pStyle w:val="TableBodyText"/>
            </w:pPr>
          </w:p>
          <w:p w:rsidR="00024C0A" w:rsidRDefault="00694C0F">
            <w:pPr>
              <w:pStyle w:val="TableBodyText"/>
            </w:pPr>
            <w:r>
              <w:t>The last row of the first column shall have the following properties:</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last column shall have the following properties:</w:t>
            </w:r>
          </w:p>
          <w:p w:rsidR="00024C0A" w:rsidRDefault="00694C0F">
            <w:pPr>
              <w:pStyle w:val="TableBodyText"/>
            </w:pPr>
            <w:r>
              <w:t>The font shall not be bold.</w:t>
            </w:r>
          </w:p>
          <w:p w:rsidR="00024C0A" w:rsidRDefault="00024C0A">
            <w:pPr>
              <w:pStyle w:val="TableBodyText"/>
            </w:pPr>
          </w:p>
          <w:p w:rsidR="00024C0A" w:rsidRDefault="00694C0F">
            <w:pPr>
              <w:pStyle w:val="TableBodyText"/>
            </w:pPr>
            <w:r>
              <w:t>The header rows of the last column shall have the following propertie</w:t>
            </w:r>
            <w:r>
              <w:t>s:</w:t>
            </w:r>
          </w:p>
          <w:p w:rsidR="00024C0A" w:rsidRDefault="00694C0F">
            <w:pPr>
              <w:pStyle w:val="TableBodyText"/>
            </w:pPr>
            <w:r>
              <w:t>The font shall be bold.</w:t>
            </w:r>
          </w:p>
          <w:p w:rsidR="00024C0A" w:rsidRDefault="00024C0A">
            <w:pPr>
              <w:pStyle w:val="TableBodyText"/>
            </w:pPr>
          </w:p>
        </w:tc>
      </w:tr>
      <w:tr w:rsidR="00024C0A" w:rsidTr="00024C0A">
        <w:tc>
          <w:tcPr>
            <w:tcW w:w="0" w:type="auto"/>
            <w:vAlign w:val="center"/>
          </w:tcPr>
          <w:p w:rsidR="00024C0A" w:rsidRDefault="00694C0F">
            <w:pPr>
              <w:pStyle w:val="TableBodyText"/>
            </w:pPr>
            <w:r>
              <w:lastRenderedPageBreak/>
              <w:t>13 (Columns 3)</w:t>
            </w:r>
          </w:p>
        </w:tc>
        <w:tc>
          <w:tcPr>
            <w:tcW w:w="0" w:type="auto"/>
            <w:vAlign w:val="center"/>
          </w:tcPr>
          <w:p w:rsidR="00024C0A" w:rsidRDefault="00694C0F">
            <w:pPr>
              <w:pStyle w:val="TableBodyText"/>
            </w:pPr>
            <w:r>
              <w:t>The table shall have the following properties:</w:t>
            </w:r>
          </w:p>
          <w:p w:rsidR="00024C0A" w:rsidRDefault="00694C0F">
            <w:pPr>
              <w:pStyle w:val="TableBodyText"/>
            </w:pPr>
            <w:r>
              <w:t>The top border shall be a 3/4 pt single line.</w:t>
            </w:r>
          </w:p>
          <w:p w:rsidR="00024C0A" w:rsidRDefault="00694C0F">
            <w:pPr>
              <w:pStyle w:val="TableBodyText"/>
            </w:pPr>
            <w:r>
              <w:t>The left border shall be a 3/4 pt single line.</w:t>
            </w:r>
          </w:p>
          <w:p w:rsidR="00024C0A" w:rsidRDefault="00694C0F">
            <w:pPr>
              <w:pStyle w:val="TableBodyText"/>
            </w:pPr>
            <w:r>
              <w:t>The bottom border shall be a 3/4 pt single line.</w:t>
            </w:r>
          </w:p>
          <w:p w:rsidR="00024C0A" w:rsidRDefault="00694C0F">
            <w:pPr>
              <w:pStyle w:val="TableBodyText"/>
            </w:pPr>
            <w:r>
              <w:t xml:space="preserve">The right border shall </w:t>
            </w:r>
            <w:r>
              <w:t>be a 3/4 pt single line.</w:t>
            </w:r>
          </w:p>
          <w:p w:rsidR="00024C0A" w:rsidRDefault="00694C0F">
            <w:pPr>
              <w:pStyle w:val="TableBodyText"/>
            </w:pPr>
            <w:r>
              <w:t>The inside vertical border shall be a 3/4 pt single line.</w:t>
            </w:r>
          </w:p>
          <w:p w:rsidR="00024C0A" w:rsidRDefault="00694C0F">
            <w:pPr>
              <w:pStyle w:val="TableBodyText"/>
            </w:pPr>
            <w:r>
              <w:t>The top border color shall be dark blue (0000CC).</w:t>
            </w:r>
          </w:p>
          <w:p w:rsidR="00024C0A" w:rsidRDefault="00694C0F">
            <w:pPr>
              <w:pStyle w:val="TableBodyText"/>
            </w:pPr>
            <w:r>
              <w:t>The left border color shall be dark blue (0000CC).</w:t>
            </w:r>
          </w:p>
          <w:p w:rsidR="00024C0A" w:rsidRDefault="00694C0F">
            <w:pPr>
              <w:pStyle w:val="TableBodyText"/>
            </w:pPr>
            <w:r>
              <w:t>The bottom border color shall be dark blue (0000CC).</w:t>
            </w:r>
          </w:p>
          <w:p w:rsidR="00024C0A" w:rsidRDefault="00694C0F">
            <w:pPr>
              <w:pStyle w:val="TableBodyText"/>
            </w:pPr>
            <w:r>
              <w:t xml:space="preserve">The right border </w:t>
            </w:r>
            <w:r>
              <w:t>color shall be dark blue (0000CC).</w:t>
            </w:r>
          </w:p>
          <w:p w:rsidR="00024C0A" w:rsidRDefault="00694C0F">
            <w:pPr>
              <w:pStyle w:val="TableBodyText"/>
            </w:pPr>
            <w:r>
              <w:t>The inside vertical border color shall be dark blue (0000CC).</w:t>
            </w:r>
          </w:p>
          <w:p w:rsidR="00024C0A" w:rsidRDefault="00694C0F">
            <w:pPr>
              <w:pStyle w:val="TableBodyText"/>
            </w:pPr>
            <w:r>
              <w:t>The font shall be bold.</w:t>
            </w:r>
          </w:p>
          <w:p w:rsidR="00024C0A" w:rsidRDefault="00694C0F">
            <w:pPr>
              <w:pStyle w:val="TableBodyText"/>
            </w:pPr>
            <w:r>
              <w:t xml:space="preserve">Applies to odd columns.  </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Odd columns of table data shall have the following properties:</w:t>
            </w:r>
          </w:p>
          <w:p w:rsidR="00024C0A" w:rsidRDefault="00694C0F">
            <w:pPr>
              <w:pStyle w:val="TableBodyText"/>
            </w:pPr>
            <w:r>
              <w:t>The fore</w:t>
            </w:r>
            <w:r>
              <w:t>ground shading color shall be black (000000).</w:t>
            </w:r>
          </w:p>
          <w:p w:rsidR="00024C0A" w:rsidRDefault="00694C0F">
            <w:pPr>
              <w:pStyle w:val="TableBodyText"/>
            </w:pPr>
            <w:r>
              <w:t>The background shading shall be white (FFFFFF).</w:t>
            </w:r>
          </w:p>
          <w:p w:rsidR="00024C0A" w:rsidRDefault="00694C0F">
            <w:pPr>
              <w:pStyle w:val="TableBodyText"/>
            </w:pPr>
            <w:r>
              <w:t>The shading pattern shall be pct10.</w:t>
            </w:r>
          </w:p>
          <w:p w:rsidR="00024C0A" w:rsidRDefault="00024C0A">
            <w:pPr>
              <w:pStyle w:val="TableBodyText"/>
            </w:pPr>
          </w:p>
          <w:p w:rsidR="00024C0A" w:rsidRDefault="00694C0F">
            <w:pPr>
              <w:pStyle w:val="TableBodyText"/>
            </w:pPr>
            <w:r>
              <w:t>Even columns of table data shall have the following properties:</w:t>
            </w:r>
          </w:p>
          <w:p w:rsidR="00024C0A" w:rsidRDefault="00694C0F">
            <w:pPr>
              <w:pStyle w:val="TableBodyText"/>
            </w:pPr>
            <w:r>
              <w:t>The foreground shading color shall be dark gray (C0C0C0).</w:t>
            </w:r>
          </w:p>
          <w:p w:rsidR="00024C0A" w:rsidRDefault="00694C0F">
            <w:pPr>
              <w:pStyle w:val="TableBodyText"/>
            </w:pPr>
            <w:r>
              <w:lastRenderedPageBreak/>
              <w:t>The</w:t>
            </w:r>
            <w:r>
              <w:t xml:space="preserve"> background shading shall be white (FFFFFF).</w:t>
            </w:r>
          </w:p>
          <w:p w:rsidR="00024C0A" w:rsidRDefault="00694C0F">
            <w:pPr>
              <w:pStyle w:val="TableBodyText"/>
            </w:pPr>
            <w:r>
              <w:t>The shading pattern shall be solid.</w:t>
            </w:r>
          </w:p>
          <w:p w:rsidR="00024C0A" w:rsidRDefault="00024C0A">
            <w:pPr>
              <w:pStyle w:val="TableBodyText"/>
            </w:pPr>
          </w:p>
          <w:p w:rsidR="00024C0A" w:rsidRDefault="00694C0F">
            <w:pPr>
              <w:pStyle w:val="TableBodyText"/>
            </w:pPr>
            <w:r>
              <w:t>The header rows shall have the following properties:</w:t>
            </w:r>
          </w:p>
          <w:p w:rsidR="00024C0A" w:rsidRDefault="00694C0F">
            <w:pPr>
              <w:pStyle w:val="TableBodyText"/>
            </w:pPr>
            <w:r>
              <w:t>The foreground shading color shall be dark blue (0000CC).</w:t>
            </w:r>
          </w:p>
          <w:p w:rsidR="00024C0A" w:rsidRDefault="00694C0F">
            <w:pPr>
              <w:pStyle w:val="TableBodyText"/>
            </w:pPr>
            <w:r>
              <w:t>The background shading shall be white (FFFFFF).</w:t>
            </w:r>
          </w:p>
          <w:p w:rsidR="00024C0A" w:rsidRDefault="00694C0F">
            <w:pPr>
              <w:pStyle w:val="TableBodyText"/>
            </w:pPr>
            <w:r>
              <w:t>The shading pat</w:t>
            </w:r>
            <w:r>
              <w:t>tern shall be solid.</w:t>
            </w:r>
          </w:p>
          <w:p w:rsidR="00024C0A" w:rsidRDefault="00694C0F">
            <w:pPr>
              <w:pStyle w:val="TableBodyText"/>
            </w:pPr>
            <w:r>
              <w:t>The font color shall be white (FFFFFF).</w:t>
            </w:r>
          </w:p>
          <w:p w:rsidR="00024C0A" w:rsidRDefault="00024C0A">
            <w:pPr>
              <w:pStyle w:val="TableBodyText"/>
            </w:pPr>
          </w:p>
          <w:p w:rsidR="00024C0A" w:rsidRDefault="00694C0F">
            <w:pPr>
              <w:pStyle w:val="TableBodyText"/>
            </w:pPr>
            <w:r>
              <w:t>The last row shall have the following properties:</w:t>
            </w:r>
          </w:p>
          <w:p w:rsidR="00024C0A" w:rsidRDefault="00694C0F">
            <w:pPr>
              <w:pStyle w:val="TableBodyText"/>
            </w:pPr>
            <w:r>
              <w:t>The top border shall be a 3/4 pt single line.</w:t>
            </w:r>
          </w:p>
          <w:p w:rsidR="00024C0A" w:rsidRDefault="00694C0F">
            <w:pPr>
              <w:pStyle w:val="TableBodyText"/>
            </w:pPr>
            <w:r>
              <w:t>The top border color shall be dark blue (0000CC).</w:t>
            </w:r>
          </w:p>
          <w:p w:rsidR="00024C0A" w:rsidRDefault="00694C0F">
            <w:pPr>
              <w:pStyle w:val="TableBodyText"/>
            </w:pPr>
            <w:r>
              <w:t>The font shall not be bold.</w:t>
            </w:r>
          </w:p>
          <w:p w:rsidR="00024C0A" w:rsidRDefault="00024C0A">
            <w:pPr>
              <w:pStyle w:val="TableBodyText"/>
            </w:pPr>
          </w:p>
          <w:p w:rsidR="00024C0A" w:rsidRDefault="00694C0F">
            <w:pPr>
              <w:pStyle w:val="TableBodyText"/>
            </w:pPr>
            <w:r>
              <w:t xml:space="preserve">The first column </w:t>
            </w:r>
            <w:r>
              <w:t>shall have the following properties:</w:t>
            </w:r>
          </w:p>
          <w:p w:rsidR="00024C0A" w:rsidRDefault="00694C0F">
            <w:pPr>
              <w:pStyle w:val="TableBodyText"/>
            </w:pPr>
            <w:r>
              <w:t>The font shall not be bold.</w:t>
            </w:r>
          </w:p>
          <w:p w:rsidR="00024C0A" w:rsidRDefault="00024C0A">
            <w:pPr>
              <w:pStyle w:val="TableBodyText"/>
            </w:pPr>
          </w:p>
          <w:p w:rsidR="00024C0A" w:rsidRDefault="00694C0F">
            <w:pPr>
              <w:pStyle w:val="TableBodyText"/>
            </w:pPr>
            <w:r>
              <w:t>The last column shall have the following properties:</w:t>
            </w:r>
          </w:p>
          <w:p w:rsidR="00024C0A" w:rsidRDefault="00694C0F">
            <w:pPr>
              <w:pStyle w:val="TableBodyText"/>
            </w:pPr>
            <w:r>
              <w:t>The font shall not be bold.</w:t>
            </w:r>
          </w:p>
          <w:p w:rsidR="00024C0A" w:rsidRDefault="00024C0A">
            <w:pPr>
              <w:pStyle w:val="TableBodyText"/>
            </w:pPr>
          </w:p>
          <w:p w:rsidR="00024C0A" w:rsidRDefault="00694C0F">
            <w:pPr>
              <w:pStyle w:val="TableBodyText"/>
            </w:pPr>
            <w:r>
              <w:t>The header rows of the last column shall have the following properties:</w:t>
            </w:r>
          </w:p>
          <w:p w:rsidR="00024C0A" w:rsidRDefault="00694C0F">
            <w:pPr>
              <w:pStyle w:val="TableBodyText"/>
            </w:pPr>
            <w:r>
              <w:t>The font shall be bold.</w:t>
            </w:r>
          </w:p>
          <w:p w:rsidR="00024C0A" w:rsidRDefault="00024C0A">
            <w:pPr>
              <w:pStyle w:val="TableBodyText"/>
            </w:pPr>
          </w:p>
        </w:tc>
      </w:tr>
      <w:tr w:rsidR="00024C0A" w:rsidTr="00024C0A">
        <w:tc>
          <w:tcPr>
            <w:tcW w:w="0" w:type="auto"/>
            <w:vAlign w:val="center"/>
          </w:tcPr>
          <w:p w:rsidR="00024C0A" w:rsidRDefault="00694C0F">
            <w:pPr>
              <w:pStyle w:val="TableBodyText"/>
            </w:pPr>
            <w:r>
              <w:lastRenderedPageBreak/>
              <w:t xml:space="preserve">14 </w:t>
            </w:r>
            <w:r>
              <w:t>(Columns 4)</w:t>
            </w:r>
          </w:p>
          <w:p w:rsidR="00024C0A" w:rsidRDefault="00024C0A">
            <w:pPr>
              <w:pStyle w:val="TableBodyText"/>
            </w:pPr>
          </w:p>
        </w:tc>
        <w:tc>
          <w:tcPr>
            <w:tcW w:w="0" w:type="auto"/>
            <w:vAlign w:val="center"/>
          </w:tcPr>
          <w:p w:rsidR="00024C0A" w:rsidRDefault="00694C0F">
            <w:pPr>
              <w:pStyle w:val="TableBodyText"/>
            </w:pPr>
            <w:r>
              <w:t>The table shall have the following properties:</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Odd columns of table data shall have the following properties:</w:t>
            </w:r>
          </w:p>
          <w:p w:rsidR="00024C0A" w:rsidRDefault="00694C0F">
            <w:pPr>
              <w:pStyle w:val="TableBodyText"/>
            </w:pPr>
            <w:r>
              <w:t>The foreground shading color shall be black (000000).</w:t>
            </w:r>
          </w:p>
          <w:p w:rsidR="00024C0A" w:rsidRDefault="00694C0F">
            <w:pPr>
              <w:pStyle w:val="TableBodyText"/>
            </w:pPr>
            <w:r>
              <w:t>The background shading shall be white (FF</w:t>
            </w:r>
            <w:r>
              <w:t>FFFF).</w:t>
            </w:r>
          </w:p>
          <w:p w:rsidR="00024C0A" w:rsidRDefault="00694C0F">
            <w:pPr>
              <w:pStyle w:val="TableBodyText"/>
            </w:pPr>
            <w:r>
              <w:t>The shading pattern shall be pct10.</w:t>
            </w:r>
          </w:p>
          <w:p w:rsidR="00024C0A" w:rsidRDefault="00024C0A">
            <w:pPr>
              <w:pStyle w:val="TableBodyText"/>
            </w:pPr>
          </w:p>
          <w:p w:rsidR="00024C0A" w:rsidRDefault="00694C0F">
            <w:pPr>
              <w:pStyle w:val="TableBodyText"/>
            </w:pPr>
            <w:r>
              <w:t>Even columns of table data shall have the following properties:</w:t>
            </w:r>
          </w:p>
          <w:p w:rsidR="00024C0A" w:rsidRDefault="00694C0F">
            <w:pPr>
              <w:pStyle w:val="TableBodyText"/>
            </w:pPr>
            <w:r>
              <w:t>The foreground shading color shall be dark cyan (00CCCC).</w:t>
            </w:r>
          </w:p>
          <w:p w:rsidR="00024C0A" w:rsidRDefault="00694C0F">
            <w:pPr>
              <w:pStyle w:val="TableBodyText"/>
            </w:pPr>
            <w:r>
              <w:t>The background shading shall be white (FFFFFF).</w:t>
            </w:r>
          </w:p>
          <w:p w:rsidR="00024C0A" w:rsidRDefault="00694C0F">
            <w:pPr>
              <w:pStyle w:val="TableBodyText"/>
            </w:pPr>
            <w:r>
              <w:t>The shading pattern shall be pct50.</w:t>
            </w:r>
          </w:p>
          <w:p w:rsidR="00024C0A" w:rsidRDefault="00024C0A">
            <w:pPr>
              <w:pStyle w:val="TableBodyText"/>
            </w:pPr>
          </w:p>
          <w:p w:rsidR="00024C0A" w:rsidRDefault="00694C0F">
            <w:pPr>
              <w:pStyle w:val="TableBodyText"/>
            </w:pPr>
            <w:r>
              <w:t xml:space="preserve">The </w:t>
            </w:r>
            <w:r>
              <w:t>header rows shall have the following properties:</w:t>
            </w:r>
          </w:p>
          <w:p w:rsidR="00024C0A" w:rsidRDefault="00694C0F">
            <w:pPr>
              <w:pStyle w:val="TableBodyText"/>
            </w:pPr>
            <w:r>
              <w:t>The foreground shading color shall be black (000000).</w:t>
            </w:r>
          </w:p>
          <w:p w:rsidR="00024C0A" w:rsidRDefault="00694C0F">
            <w:pPr>
              <w:pStyle w:val="TableBodyText"/>
            </w:pPr>
            <w:r>
              <w:t>The background shading shall be white (FFFFFF).</w:t>
            </w:r>
          </w:p>
          <w:p w:rsidR="00024C0A" w:rsidRDefault="00694C0F">
            <w:pPr>
              <w:pStyle w:val="TableBodyText"/>
            </w:pPr>
            <w:r>
              <w:t>The shading pattern shall be solid.</w:t>
            </w:r>
          </w:p>
          <w:p w:rsidR="00024C0A" w:rsidRDefault="00694C0F">
            <w:pPr>
              <w:pStyle w:val="TableBodyText"/>
            </w:pPr>
            <w:r>
              <w:t>The font color shall be white (FFFFFF).</w:t>
            </w:r>
          </w:p>
          <w:p w:rsidR="00024C0A" w:rsidRDefault="00024C0A">
            <w:pPr>
              <w:pStyle w:val="TableBodyText"/>
            </w:pPr>
          </w:p>
          <w:p w:rsidR="00024C0A" w:rsidRDefault="00694C0F">
            <w:pPr>
              <w:pStyle w:val="TableBodyText"/>
            </w:pPr>
            <w:r>
              <w:t xml:space="preserve">The last row shall have the </w:t>
            </w:r>
            <w:r>
              <w:t>following properties:</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last column shall have the following properties:</w:t>
            </w:r>
          </w:p>
          <w:p w:rsidR="00024C0A" w:rsidRDefault="00694C0F">
            <w:pPr>
              <w:pStyle w:val="TableBodyText"/>
            </w:pPr>
            <w:r>
              <w:t>The font shall be bold.</w:t>
            </w:r>
          </w:p>
          <w:p w:rsidR="00024C0A" w:rsidRDefault="00024C0A">
            <w:pPr>
              <w:pStyle w:val="TableBodyText"/>
            </w:pPr>
          </w:p>
        </w:tc>
      </w:tr>
      <w:tr w:rsidR="00024C0A" w:rsidTr="00024C0A">
        <w:tc>
          <w:tcPr>
            <w:tcW w:w="0" w:type="auto"/>
            <w:vAlign w:val="center"/>
          </w:tcPr>
          <w:p w:rsidR="00024C0A" w:rsidRDefault="00694C0F">
            <w:pPr>
              <w:pStyle w:val="TableBodyText"/>
            </w:pPr>
            <w:r>
              <w:lastRenderedPageBreak/>
              <w:t>15 (Columns 5)</w:t>
            </w:r>
          </w:p>
        </w:tc>
        <w:tc>
          <w:tcPr>
            <w:tcW w:w="0" w:type="auto"/>
            <w:vAlign w:val="center"/>
          </w:tcPr>
          <w:p w:rsidR="00024C0A" w:rsidRDefault="00694C0F">
            <w:pPr>
              <w:pStyle w:val="TableBodyText"/>
            </w:pPr>
            <w:r>
              <w:t>The table shall have the following properties:</w:t>
            </w:r>
          </w:p>
          <w:p w:rsidR="00024C0A" w:rsidRDefault="00694C0F">
            <w:pPr>
              <w:pStyle w:val="TableBodyText"/>
            </w:pPr>
            <w:r>
              <w:t>The top border shall be a 1 1/2 pt single line.</w:t>
            </w:r>
          </w:p>
          <w:p w:rsidR="00024C0A" w:rsidRDefault="00694C0F">
            <w:pPr>
              <w:pStyle w:val="TableBodyText"/>
            </w:pPr>
            <w:r>
              <w:t>The left border shal</w:t>
            </w:r>
            <w:r>
              <w:t>l be a 1 1/2 pt single line.</w:t>
            </w:r>
          </w:p>
          <w:p w:rsidR="00024C0A" w:rsidRDefault="00694C0F">
            <w:pPr>
              <w:pStyle w:val="TableBodyText"/>
            </w:pPr>
            <w:r>
              <w:t>The bottom border shall be a 1 1/2 pt single line.</w:t>
            </w:r>
          </w:p>
          <w:p w:rsidR="00024C0A" w:rsidRDefault="00694C0F">
            <w:pPr>
              <w:pStyle w:val="TableBodyText"/>
            </w:pPr>
            <w:r>
              <w:t>The right border shall be a 1 1/2 pt single line.</w:t>
            </w:r>
          </w:p>
          <w:p w:rsidR="00024C0A" w:rsidRDefault="00694C0F">
            <w:pPr>
              <w:pStyle w:val="TableBodyText"/>
            </w:pPr>
            <w:r>
              <w:t>The inside vertical border shall be a 3/4 pt single line.</w:t>
            </w:r>
          </w:p>
          <w:p w:rsidR="00024C0A" w:rsidRDefault="00694C0F">
            <w:pPr>
              <w:pStyle w:val="TableBodyText"/>
            </w:pPr>
            <w:r>
              <w:t>The top border color shall be dark gray (CCCCCC).</w:t>
            </w:r>
          </w:p>
          <w:p w:rsidR="00024C0A" w:rsidRDefault="00694C0F">
            <w:pPr>
              <w:pStyle w:val="TableBodyText"/>
            </w:pPr>
            <w:r>
              <w:t xml:space="preserve">The left border </w:t>
            </w:r>
            <w:r>
              <w:t>color shall be dark gray (CCCCCC).</w:t>
            </w:r>
          </w:p>
          <w:p w:rsidR="00024C0A" w:rsidRDefault="00694C0F">
            <w:pPr>
              <w:pStyle w:val="TableBodyText"/>
            </w:pPr>
            <w:r>
              <w:t>The bottom border color shall be dark gray (CCCCCC).</w:t>
            </w:r>
          </w:p>
          <w:p w:rsidR="00024C0A" w:rsidRDefault="00694C0F">
            <w:pPr>
              <w:pStyle w:val="TableBodyText"/>
            </w:pPr>
            <w:r>
              <w:t>The right border color shall be dark gray (CCCCCC).</w:t>
            </w:r>
          </w:p>
          <w:p w:rsidR="00024C0A" w:rsidRDefault="00694C0F">
            <w:pPr>
              <w:pStyle w:val="TableBodyText"/>
            </w:pPr>
            <w:r>
              <w:t>The inside vertical border color shall be light gray (C0C0C0).</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Even columns of</w:t>
            </w:r>
            <w:r>
              <w:t xml:space="preserve"> table data shall have the following properties:</w:t>
            </w:r>
          </w:p>
          <w:p w:rsidR="00024C0A" w:rsidRDefault="00694C0F">
            <w:pPr>
              <w:pStyle w:val="TableBodyText"/>
            </w:pPr>
            <w:r>
              <w:t>The foreground shading color shall be dark gray (C0C0C0).</w:t>
            </w:r>
          </w:p>
          <w:p w:rsidR="00024C0A" w:rsidRDefault="00694C0F">
            <w:pPr>
              <w:pStyle w:val="TableBodyText"/>
            </w:pPr>
            <w:r>
              <w:t>The background shading shall be white (FFFFFF).</w:t>
            </w:r>
          </w:p>
          <w:p w:rsidR="00024C0A" w:rsidRDefault="00694C0F">
            <w:pPr>
              <w:pStyle w:val="TableBodyText"/>
            </w:pPr>
            <w:r>
              <w:t>The shading pattern shall be solid.</w:t>
            </w:r>
          </w:p>
          <w:p w:rsidR="00024C0A" w:rsidRDefault="00024C0A">
            <w:pPr>
              <w:pStyle w:val="TableBodyText"/>
            </w:pPr>
          </w:p>
          <w:p w:rsidR="00024C0A" w:rsidRDefault="00694C0F">
            <w:pPr>
              <w:pStyle w:val="TableBodyText"/>
            </w:pPr>
            <w:r>
              <w:t>The header rows shall have the following properties:</w:t>
            </w:r>
          </w:p>
          <w:p w:rsidR="00024C0A" w:rsidRDefault="00694C0F">
            <w:pPr>
              <w:pStyle w:val="TableBodyText"/>
            </w:pPr>
            <w:r>
              <w:t xml:space="preserve">The bottom </w:t>
            </w:r>
            <w:r>
              <w:t>border shall be a 3/4 pt single line.</w:t>
            </w:r>
          </w:p>
          <w:p w:rsidR="00024C0A" w:rsidRDefault="00694C0F">
            <w:pPr>
              <w:pStyle w:val="TableBodyText"/>
            </w:pPr>
            <w:r>
              <w:t>The bottom border color shall be dark gray (CCCCCC).</w:t>
            </w:r>
          </w:p>
          <w:p w:rsidR="00024C0A" w:rsidRDefault="00694C0F">
            <w:pPr>
              <w:pStyle w:val="TableBodyText"/>
            </w:pPr>
            <w:r>
              <w:t>The font shall be bold.</w:t>
            </w:r>
          </w:p>
          <w:p w:rsidR="00024C0A" w:rsidRDefault="00694C0F">
            <w:pPr>
              <w:pStyle w:val="TableBodyText"/>
            </w:pPr>
            <w:r>
              <w:t>The font shall be italic.</w:t>
            </w:r>
          </w:p>
          <w:p w:rsidR="00024C0A" w:rsidRDefault="00024C0A">
            <w:pPr>
              <w:pStyle w:val="TableBodyText"/>
            </w:pPr>
          </w:p>
          <w:p w:rsidR="00024C0A" w:rsidRDefault="00694C0F">
            <w:pPr>
              <w:pStyle w:val="TableBodyText"/>
            </w:pPr>
            <w:r>
              <w:t>The last row shall have the following properties:</w:t>
            </w:r>
          </w:p>
          <w:p w:rsidR="00024C0A" w:rsidRDefault="00694C0F">
            <w:pPr>
              <w:pStyle w:val="TableBodyText"/>
            </w:pPr>
            <w:r>
              <w:t>The top border shall be a 3/4 pt single line.</w:t>
            </w:r>
          </w:p>
          <w:p w:rsidR="00024C0A" w:rsidRDefault="00694C0F">
            <w:pPr>
              <w:pStyle w:val="TableBodyText"/>
            </w:pPr>
            <w:r>
              <w:t>The top border col</w:t>
            </w:r>
            <w:r>
              <w:t>or shall be dark gray (CCCCCC).</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first column shall have the following properties:</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last column shall have the following properties:</w:t>
            </w:r>
          </w:p>
          <w:p w:rsidR="00024C0A" w:rsidRDefault="00694C0F">
            <w:pPr>
              <w:pStyle w:val="TableBodyText"/>
            </w:pPr>
            <w:r>
              <w:t>The font shall be bold.</w:t>
            </w:r>
          </w:p>
          <w:p w:rsidR="00024C0A" w:rsidRDefault="00024C0A">
            <w:pPr>
              <w:pStyle w:val="TableBodyText"/>
            </w:pPr>
          </w:p>
        </w:tc>
      </w:tr>
      <w:tr w:rsidR="00024C0A" w:rsidTr="00024C0A">
        <w:tc>
          <w:tcPr>
            <w:tcW w:w="0" w:type="auto"/>
            <w:vAlign w:val="center"/>
          </w:tcPr>
          <w:p w:rsidR="00024C0A" w:rsidRDefault="00694C0F">
            <w:pPr>
              <w:pStyle w:val="TableBodyText"/>
            </w:pPr>
            <w:r>
              <w:t>16 (Grid 1)</w:t>
            </w:r>
          </w:p>
          <w:p w:rsidR="00024C0A" w:rsidRDefault="00024C0A">
            <w:pPr>
              <w:pStyle w:val="TableBodyText"/>
            </w:pPr>
          </w:p>
        </w:tc>
        <w:tc>
          <w:tcPr>
            <w:tcW w:w="0" w:type="auto"/>
            <w:vAlign w:val="center"/>
          </w:tcPr>
          <w:p w:rsidR="00024C0A" w:rsidRDefault="00694C0F">
            <w:pPr>
              <w:pStyle w:val="TableBodyText"/>
            </w:pPr>
            <w:r>
              <w:t xml:space="preserve">The table shall have the </w:t>
            </w:r>
            <w:r>
              <w:t>following properties:</w:t>
            </w:r>
          </w:p>
          <w:p w:rsidR="00024C0A" w:rsidRDefault="00694C0F">
            <w:pPr>
              <w:pStyle w:val="TableBodyText"/>
            </w:pPr>
            <w:r>
              <w:t>The top border shall be a 3/4 pt single line.</w:t>
            </w:r>
          </w:p>
          <w:p w:rsidR="00024C0A" w:rsidRDefault="00694C0F">
            <w:pPr>
              <w:pStyle w:val="TableBodyText"/>
            </w:pPr>
            <w:r>
              <w:t>The left border shall be a 3/4 pt single line.</w:t>
            </w:r>
          </w:p>
          <w:p w:rsidR="00024C0A" w:rsidRDefault="00694C0F">
            <w:pPr>
              <w:pStyle w:val="TableBodyText"/>
            </w:pPr>
            <w:r>
              <w:t>The bottom border shall be a 3/4 pt single line.</w:t>
            </w:r>
          </w:p>
          <w:p w:rsidR="00024C0A" w:rsidRDefault="00694C0F">
            <w:pPr>
              <w:pStyle w:val="TableBodyText"/>
            </w:pPr>
            <w:r>
              <w:t>The right border shall be a 3/4 pt single line.</w:t>
            </w:r>
          </w:p>
          <w:p w:rsidR="00024C0A" w:rsidRDefault="00694C0F">
            <w:pPr>
              <w:pStyle w:val="TableBodyText"/>
            </w:pPr>
            <w:r>
              <w:t xml:space="preserve">The inside horizontal border shall be a 3/4 </w:t>
            </w:r>
            <w:r>
              <w:t>pt single line.</w:t>
            </w:r>
          </w:p>
          <w:p w:rsidR="00024C0A" w:rsidRDefault="00694C0F">
            <w:pPr>
              <w:pStyle w:val="TableBodyText"/>
            </w:pPr>
            <w:r>
              <w:t>The inside vertical border shall be a 3/4 pt single line.</w:t>
            </w:r>
          </w:p>
          <w:p w:rsidR="00024C0A" w:rsidRDefault="00694C0F">
            <w:pPr>
              <w:pStyle w:val="TableBodyText"/>
            </w:pPr>
            <w:r>
              <w:t>The top border color shall be black (000000).</w:t>
            </w:r>
          </w:p>
          <w:p w:rsidR="00024C0A" w:rsidRDefault="00694C0F">
            <w:pPr>
              <w:pStyle w:val="TableBodyText"/>
            </w:pPr>
            <w:r>
              <w:t>The left border color shall be black (000000).</w:t>
            </w:r>
          </w:p>
          <w:p w:rsidR="00024C0A" w:rsidRDefault="00694C0F">
            <w:pPr>
              <w:pStyle w:val="TableBodyText"/>
            </w:pPr>
            <w:r>
              <w:t>The bottom border color shall be black (000000).</w:t>
            </w:r>
          </w:p>
          <w:p w:rsidR="00024C0A" w:rsidRDefault="00694C0F">
            <w:pPr>
              <w:pStyle w:val="TableBodyText"/>
            </w:pPr>
            <w:r>
              <w:t>The right border color shall be black (0</w:t>
            </w:r>
            <w:r>
              <w:t>00000).</w:t>
            </w:r>
          </w:p>
          <w:p w:rsidR="00024C0A" w:rsidRDefault="00694C0F">
            <w:pPr>
              <w:pStyle w:val="TableBodyText"/>
            </w:pPr>
            <w:r>
              <w:lastRenderedPageBreak/>
              <w:t>The inside horizontal border color shall be black (000000).</w:t>
            </w:r>
          </w:p>
          <w:p w:rsidR="00024C0A" w:rsidRDefault="00694C0F">
            <w:pPr>
              <w:pStyle w:val="TableBodyText"/>
            </w:pPr>
            <w:r>
              <w:t>The inside vertical border color shall be black (000000).</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The last column shall have the following properties:</w:t>
            </w:r>
          </w:p>
          <w:p w:rsidR="00024C0A" w:rsidRDefault="00694C0F">
            <w:pPr>
              <w:pStyle w:val="TableBodyText"/>
            </w:pPr>
            <w:r>
              <w:t>The font shall be italic.</w:t>
            </w:r>
          </w:p>
          <w:p w:rsidR="00024C0A" w:rsidRDefault="00024C0A">
            <w:pPr>
              <w:pStyle w:val="TableBodyText"/>
            </w:pPr>
          </w:p>
          <w:p w:rsidR="00024C0A" w:rsidRDefault="00694C0F">
            <w:pPr>
              <w:pStyle w:val="TableBodyText"/>
            </w:pPr>
            <w:r>
              <w:t>The last row</w:t>
            </w:r>
            <w:r>
              <w:t xml:space="preserve"> shall have the following properties:</w:t>
            </w:r>
          </w:p>
          <w:p w:rsidR="00024C0A" w:rsidRDefault="00694C0F">
            <w:pPr>
              <w:pStyle w:val="TableBodyText"/>
            </w:pPr>
            <w:r>
              <w:t>The font shall be italic.</w:t>
            </w:r>
          </w:p>
          <w:p w:rsidR="00024C0A" w:rsidRDefault="00024C0A">
            <w:pPr>
              <w:pStyle w:val="TableBodyText"/>
            </w:pPr>
          </w:p>
        </w:tc>
      </w:tr>
      <w:tr w:rsidR="00024C0A" w:rsidTr="00024C0A">
        <w:tc>
          <w:tcPr>
            <w:tcW w:w="0" w:type="auto"/>
            <w:vAlign w:val="center"/>
          </w:tcPr>
          <w:p w:rsidR="00024C0A" w:rsidRDefault="00694C0F">
            <w:pPr>
              <w:pStyle w:val="TableBodyText"/>
            </w:pPr>
            <w:r>
              <w:lastRenderedPageBreak/>
              <w:t>17 (Grid 2)</w:t>
            </w:r>
          </w:p>
          <w:p w:rsidR="00024C0A" w:rsidRDefault="00024C0A">
            <w:pPr>
              <w:pStyle w:val="TableBodyText"/>
            </w:pPr>
          </w:p>
        </w:tc>
        <w:tc>
          <w:tcPr>
            <w:tcW w:w="0" w:type="auto"/>
            <w:vAlign w:val="center"/>
          </w:tcPr>
          <w:p w:rsidR="00024C0A" w:rsidRDefault="00694C0F">
            <w:pPr>
              <w:pStyle w:val="TableBodyText"/>
            </w:pPr>
            <w:r>
              <w:t>The table shall have the following properties:</w:t>
            </w:r>
          </w:p>
          <w:p w:rsidR="00024C0A" w:rsidRDefault="00694C0F">
            <w:pPr>
              <w:pStyle w:val="TableBodyText"/>
            </w:pPr>
            <w:r>
              <w:t>The inside horizontal border shall be a 3/4 pt single line.</w:t>
            </w:r>
          </w:p>
          <w:p w:rsidR="00024C0A" w:rsidRDefault="00694C0F">
            <w:pPr>
              <w:pStyle w:val="TableBodyText"/>
            </w:pPr>
            <w:r>
              <w:t>The inside vertical border shall be a 3/4 pt single line.</w:t>
            </w:r>
          </w:p>
          <w:p w:rsidR="00024C0A" w:rsidRDefault="00694C0F">
            <w:pPr>
              <w:pStyle w:val="TableBodyText"/>
            </w:pPr>
            <w:r>
              <w:t xml:space="preserve">The inside </w:t>
            </w:r>
            <w:r>
              <w:t>horizontal border color shall be black (000000).</w:t>
            </w:r>
          </w:p>
          <w:p w:rsidR="00024C0A" w:rsidRDefault="00694C0F">
            <w:pPr>
              <w:pStyle w:val="TableBodyText"/>
            </w:pPr>
            <w:r>
              <w:t>The inside vertical border color shall be black (000000).</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The header rows shall have the following properties:</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last row shall have the follo</w:t>
            </w:r>
            <w:r>
              <w:t>wing properties:</w:t>
            </w:r>
          </w:p>
          <w:p w:rsidR="00024C0A" w:rsidRDefault="00694C0F">
            <w:pPr>
              <w:pStyle w:val="TableBodyText"/>
            </w:pPr>
            <w:r>
              <w:t>The top border shall be a 3/4 pt single line.</w:t>
            </w:r>
          </w:p>
          <w:p w:rsidR="00024C0A" w:rsidRDefault="00694C0F">
            <w:pPr>
              <w:pStyle w:val="TableBodyText"/>
            </w:pPr>
            <w:r>
              <w:t>The top border color shall be black (000000).</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first column shall have the following properties:</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last column shall have the following pr</w:t>
            </w:r>
            <w:r>
              <w:t>operties:</w:t>
            </w:r>
          </w:p>
          <w:p w:rsidR="00024C0A" w:rsidRDefault="00694C0F">
            <w:pPr>
              <w:pStyle w:val="TableBodyText"/>
            </w:pPr>
            <w:r>
              <w:t>The font shall be bold.</w:t>
            </w:r>
          </w:p>
          <w:p w:rsidR="00024C0A" w:rsidRDefault="00024C0A">
            <w:pPr>
              <w:pStyle w:val="TableBodyText"/>
            </w:pPr>
          </w:p>
        </w:tc>
      </w:tr>
      <w:tr w:rsidR="00024C0A" w:rsidTr="00024C0A">
        <w:tc>
          <w:tcPr>
            <w:tcW w:w="0" w:type="auto"/>
            <w:vAlign w:val="center"/>
          </w:tcPr>
          <w:p w:rsidR="00024C0A" w:rsidRDefault="00694C0F">
            <w:pPr>
              <w:pStyle w:val="TableBodyText"/>
            </w:pPr>
            <w:r>
              <w:t>18 (Grid 3)</w:t>
            </w:r>
          </w:p>
        </w:tc>
        <w:tc>
          <w:tcPr>
            <w:tcW w:w="0" w:type="auto"/>
            <w:vAlign w:val="center"/>
          </w:tcPr>
          <w:p w:rsidR="00024C0A" w:rsidRDefault="00694C0F">
            <w:pPr>
              <w:pStyle w:val="TableBodyText"/>
            </w:pPr>
            <w:r>
              <w:t>The table shall have the following properties:</w:t>
            </w:r>
          </w:p>
          <w:p w:rsidR="00024C0A" w:rsidRDefault="00694C0F">
            <w:pPr>
              <w:pStyle w:val="TableBodyText"/>
            </w:pPr>
            <w:r>
              <w:t>The top border shall be a 3/4 pt single line.</w:t>
            </w:r>
          </w:p>
          <w:p w:rsidR="00024C0A" w:rsidRDefault="00694C0F">
            <w:pPr>
              <w:pStyle w:val="TableBodyText"/>
            </w:pPr>
            <w:r>
              <w:t>The left border shall be a 1 1/2 pt single line.</w:t>
            </w:r>
          </w:p>
          <w:p w:rsidR="00024C0A" w:rsidRDefault="00694C0F">
            <w:pPr>
              <w:pStyle w:val="TableBodyText"/>
            </w:pPr>
            <w:r>
              <w:t>The bottom border shall be a 3/4 pt single line.</w:t>
            </w:r>
          </w:p>
          <w:p w:rsidR="00024C0A" w:rsidRDefault="00694C0F">
            <w:pPr>
              <w:pStyle w:val="TableBodyText"/>
            </w:pPr>
            <w:r>
              <w:t xml:space="preserve">The right border </w:t>
            </w:r>
            <w:r>
              <w:t>shall be a 1 1/2 pt single line.</w:t>
            </w:r>
          </w:p>
          <w:p w:rsidR="00024C0A" w:rsidRDefault="00694C0F">
            <w:pPr>
              <w:pStyle w:val="TableBodyText"/>
            </w:pPr>
            <w:r>
              <w:t>The inside vertical border shall be a 3/4 pt single line.</w:t>
            </w:r>
          </w:p>
          <w:p w:rsidR="00024C0A" w:rsidRDefault="00694C0F">
            <w:pPr>
              <w:pStyle w:val="TableBodyText"/>
            </w:pPr>
            <w:r>
              <w:t>The top border color shall be black (000000).</w:t>
            </w:r>
          </w:p>
          <w:p w:rsidR="00024C0A" w:rsidRDefault="00694C0F">
            <w:pPr>
              <w:pStyle w:val="TableBodyText"/>
            </w:pPr>
            <w:r>
              <w:t>The left border color shall be black (000000).</w:t>
            </w:r>
          </w:p>
          <w:p w:rsidR="00024C0A" w:rsidRDefault="00694C0F">
            <w:pPr>
              <w:pStyle w:val="TableBodyText"/>
            </w:pPr>
            <w:r>
              <w:t>The bottom border color shall be black (000000).</w:t>
            </w:r>
          </w:p>
          <w:p w:rsidR="00024C0A" w:rsidRDefault="00694C0F">
            <w:pPr>
              <w:pStyle w:val="TableBodyText"/>
            </w:pPr>
            <w:r>
              <w:t xml:space="preserve">The right border color </w:t>
            </w:r>
            <w:r>
              <w:t>shall be black (000000).</w:t>
            </w:r>
          </w:p>
          <w:p w:rsidR="00024C0A" w:rsidRDefault="00694C0F">
            <w:pPr>
              <w:pStyle w:val="TableBodyText"/>
            </w:pPr>
            <w:r>
              <w:t>The inside vertical border color shall be black (000000).</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The header rows shall have the following properties:</w:t>
            </w:r>
          </w:p>
          <w:p w:rsidR="00024C0A" w:rsidRDefault="00694C0F">
            <w:pPr>
              <w:pStyle w:val="TableBodyText"/>
            </w:pPr>
            <w:r>
              <w:t>The bottom border shall be a 3/4 pt single line.</w:t>
            </w:r>
          </w:p>
          <w:p w:rsidR="00024C0A" w:rsidRDefault="00694C0F">
            <w:pPr>
              <w:pStyle w:val="TableBodyText"/>
            </w:pPr>
            <w:r>
              <w:t xml:space="preserve">The bottom border color shall be </w:t>
            </w:r>
            <w:r>
              <w:t>black (000000).</w:t>
            </w:r>
          </w:p>
          <w:p w:rsidR="00024C0A" w:rsidRDefault="00694C0F">
            <w:pPr>
              <w:pStyle w:val="TableBodyText"/>
            </w:pPr>
            <w:r>
              <w:lastRenderedPageBreak/>
              <w:t>The foreground shading color shall be yellow (FFFF00).</w:t>
            </w:r>
          </w:p>
          <w:p w:rsidR="00024C0A" w:rsidRDefault="00694C0F">
            <w:pPr>
              <w:pStyle w:val="TableBodyText"/>
            </w:pPr>
            <w:r>
              <w:t>The background shading shall be white (FFFFFF).</w:t>
            </w:r>
          </w:p>
          <w:p w:rsidR="00024C0A" w:rsidRDefault="00694C0F">
            <w:pPr>
              <w:pStyle w:val="TableBodyText"/>
            </w:pPr>
            <w:r>
              <w:t>The shading pattern shall be pct30.</w:t>
            </w:r>
          </w:p>
          <w:p w:rsidR="00024C0A" w:rsidRDefault="00024C0A">
            <w:pPr>
              <w:pStyle w:val="TableBodyText"/>
            </w:pPr>
          </w:p>
          <w:p w:rsidR="00024C0A" w:rsidRDefault="00694C0F">
            <w:pPr>
              <w:pStyle w:val="TableBodyText"/>
            </w:pPr>
            <w:r>
              <w:t>The last row shall have the following properties:</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 xml:space="preserve">The last column shall </w:t>
            </w:r>
            <w:r>
              <w:t>have the following properties:</w:t>
            </w:r>
          </w:p>
          <w:p w:rsidR="00024C0A" w:rsidRDefault="00694C0F">
            <w:pPr>
              <w:pStyle w:val="TableBodyText"/>
            </w:pPr>
            <w:r>
              <w:t>The font shall be bold.</w:t>
            </w:r>
          </w:p>
          <w:p w:rsidR="00024C0A" w:rsidRDefault="00024C0A">
            <w:pPr>
              <w:pStyle w:val="TableBodyText"/>
            </w:pPr>
          </w:p>
        </w:tc>
      </w:tr>
      <w:tr w:rsidR="00024C0A" w:rsidTr="00024C0A">
        <w:tc>
          <w:tcPr>
            <w:tcW w:w="0" w:type="auto"/>
            <w:vAlign w:val="center"/>
          </w:tcPr>
          <w:p w:rsidR="00024C0A" w:rsidRDefault="00694C0F">
            <w:pPr>
              <w:pStyle w:val="TableBodyText"/>
            </w:pPr>
            <w:r>
              <w:lastRenderedPageBreak/>
              <w:t>19 (Grid 4)</w:t>
            </w:r>
          </w:p>
          <w:p w:rsidR="00024C0A" w:rsidRDefault="00024C0A">
            <w:pPr>
              <w:pStyle w:val="TableBodyText"/>
            </w:pPr>
          </w:p>
        </w:tc>
        <w:tc>
          <w:tcPr>
            <w:tcW w:w="0" w:type="auto"/>
            <w:vAlign w:val="center"/>
          </w:tcPr>
          <w:p w:rsidR="00024C0A" w:rsidRDefault="00694C0F">
            <w:pPr>
              <w:pStyle w:val="TableBodyText"/>
            </w:pPr>
            <w:r>
              <w:t>The table shall have the following properties:</w:t>
            </w:r>
          </w:p>
          <w:p w:rsidR="00024C0A" w:rsidRDefault="00694C0F">
            <w:pPr>
              <w:pStyle w:val="TableBodyText"/>
            </w:pPr>
            <w:r>
              <w:t>The left border shall be a 1 1/2 pt single line.</w:t>
            </w:r>
          </w:p>
          <w:p w:rsidR="00024C0A" w:rsidRDefault="00694C0F">
            <w:pPr>
              <w:pStyle w:val="TableBodyText"/>
            </w:pPr>
            <w:r>
              <w:t>The right border shall be a 1 1/2 pt single line.</w:t>
            </w:r>
          </w:p>
          <w:p w:rsidR="00024C0A" w:rsidRDefault="00694C0F">
            <w:pPr>
              <w:pStyle w:val="TableBodyText"/>
            </w:pPr>
            <w:r>
              <w:t xml:space="preserve">The inside horizontal border shall be a </w:t>
            </w:r>
            <w:r>
              <w:t>3/4 pt single line.</w:t>
            </w:r>
          </w:p>
          <w:p w:rsidR="00024C0A" w:rsidRDefault="00694C0F">
            <w:pPr>
              <w:pStyle w:val="TableBodyText"/>
            </w:pPr>
            <w:r>
              <w:t>The inside vertical border shall be a 3/4 pt single line.</w:t>
            </w:r>
          </w:p>
          <w:p w:rsidR="00024C0A" w:rsidRDefault="00694C0F">
            <w:pPr>
              <w:pStyle w:val="TableBodyText"/>
            </w:pPr>
            <w:r>
              <w:t>The left border color shall be black (000000).</w:t>
            </w:r>
          </w:p>
          <w:p w:rsidR="00024C0A" w:rsidRDefault="00694C0F">
            <w:pPr>
              <w:pStyle w:val="TableBodyText"/>
            </w:pPr>
            <w:r>
              <w:t>The right border color shall be black (000000).</w:t>
            </w:r>
          </w:p>
          <w:p w:rsidR="00024C0A" w:rsidRDefault="00694C0F">
            <w:pPr>
              <w:pStyle w:val="TableBodyText"/>
            </w:pPr>
            <w:r>
              <w:t>The inside horizontal border color shall be black (000000).</w:t>
            </w:r>
          </w:p>
          <w:p w:rsidR="00024C0A" w:rsidRDefault="00694C0F">
            <w:pPr>
              <w:pStyle w:val="TableBodyText"/>
            </w:pPr>
            <w:r>
              <w:t>The inside vertical bor</w:t>
            </w:r>
            <w:r>
              <w:t>der color shall be black (000000).</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The header rows shall have the following properties:</w:t>
            </w:r>
          </w:p>
          <w:p w:rsidR="00024C0A" w:rsidRDefault="00694C0F">
            <w:pPr>
              <w:pStyle w:val="TableBodyText"/>
            </w:pPr>
            <w:r>
              <w:t>The bottom border shall be a 3/4 pt single line.</w:t>
            </w:r>
          </w:p>
          <w:p w:rsidR="00024C0A" w:rsidRDefault="00694C0F">
            <w:pPr>
              <w:pStyle w:val="TableBodyText"/>
            </w:pPr>
            <w:r>
              <w:t>The bottom border color shall be black (000000).</w:t>
            </w:r>
          </w:p>
          <w:p w:rsidR="00024C0A" w:rsidRDefault="00694C0F">
            <w:pPr>
              <w:pStyle w:val="TableBodyText"/>
            </w:pPr>
            <w:r>
              <w:t>The foreground shading color sha</w:t>
            </w:r>
            <w:r>
              <w:t>ll be yellow (FFFF00).</w:t>
            </w:r>
          </w:p>
          <w:p w:rsidR="00024C0A" w:rsidRDefault="00694C0F">
            <w:pPr>
              <w:pStyle w:val="TableBodyText"/>
            </w:pPr>
            <w:r>
              <w:t>The background shading shall be white (FFFFFF).</w:t>
            </w:r>
          </w:p>
          <w:p w:rsidR="00024C0A" w:rsidRDefault="00694C0F">
            <w:pPr>
              <w:pStyle w:val="TableBodyText"/>
            </w:pPr>
            <w:r>
              <w:t>The shading pattern shall be pct30.</w:t>
            </w:r>
          </w:p>
          <w:p w:rsidR="00024C0A" w:rsidRDefault="00024C0A">
            <w:pPr>
              <w:pStyle w:val="TableBodyText"/>
            </w:pPr>
          </w:p>
          <w:p w:rsidR="00024C0A" w:rsidRDefault="00694C0F">
            <w:pPr>
              <w:pStyle w:val="TableBodyText"/>
            </w:pPr>
            <w:r>
              <w:t>The last row shall have the following properties:</w:t>
            </w:r>
          </w:p>
          <w:p w:rsidR="00024C0A" w:rsidRDefault="00694C0F">
            <w:pPr>
              <w:pStyle w:val="TableBodyText"/>
            </w:pPr>
            <w:r>
              <w:t>The top border shall be a 3/4 pt single line.</w:t>
            </w:r>
          </w:p>
          <w:p w:rsidR="00024C0A" w:rsidRDefault="00694C0F">
            <w:pPr>
              <w:pStyle w:val="TableBodyText"/>
            </w:pPr>
            <w:r>
              <w:t>The top border color shall be black (000000).</w:t>
            </w:r>
          </w:p>
          <w:p w:rsidR="00024C0A" w:rsidRDefault="00694C0F">
            <w:pPr>
              <w:pStyle w:val="TableBodyText"/>
            </w:pPr>
            <w:r>
              <w:t xml:space="preserve">The </w:t>
            </w:r>
            <w:r>
              <w:t>foreground shading color shall be yellow (FFFF00).</w:t>
            </w:r>
          </w:p>
          <w:p w:rsidR="00024C0A" w:rsidRDefault="00694C0F">
            <w:pPr>
              <w:pStyle w:val="TableBodyText"/>
            </w:pPr>
            <w:r>
              <w:t>The background shading shall be white (FFFFFF).</w:t>
            </w:r>
          </w:p>
          <w:p w:rsidR="00024C0A" w:rsidRDefault="00694C0F">
            <w:pPr>
              <w:pStyle w:val="TableBodyText"/>
            </w:pPr>
            <w:r>
              <w:t>The shading pattern shall be pct30.</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last column shall have the following properties:</w:t>
            </w:r>
          </w:p>
          <w:p w:rsidR="00024C0A" w:rsidRDefault="00694C0F">
            <w:pPr>
              <w:pStyle w:val="TableBodyText"/>
            </w:pPr>
            <w:r>
              <w:t>The font shall be bold.</w:t>
            </w:r>
          </w:p>
          <w:p w:rsidR="00024C0A" w:rsidRDefault="00024C0A">
            <w:pPr>
              <w:pStyle w:val="TableBodyText"/>
            </w:pPr>
          </w:p>
        </w:tc>
      </w:tr>
      <w:tr w:rsidR="00024C0A" w:rsidTr="00024C0A">
        <w:tc>
          <w:tcPr>
            <w:tcW w:w="0" w:type="auto"/>
            <w:vAlign w:val="center"/>
          </w:tcPr>
          <w:p w:rsidR="00024C0A" w:rsidRDefault="00694C0F">
            <w:pPr>
              <w:pStyle w:val="TableBodyText"/>
            </w:pPr>
            <w:r>
              <w:t>20 (Grid 5)</w:t>
            </w:r>
          </w:p>
          <w:p w:rsidR="00024C0A" w:rsidRDefault="00024C0A">
            <w:pPr>
              <w:pStyle w:val="TableBodyText"/>
            </w:pPr>
          </w:p>
        </w:tc>
        <w:tc>
          <w:tcPr>
            <w:tcW w:w="0" w:type="auto"/>
            <w:vAlign w:val="center"/>
          </w:tcPr>
          <w:p w:rsidR="00024C0A" w:rsidRDefault="00694C0F">
            <w:pPr>
              <w:pStyle w:val="TableBodyText"/>
            </w:pPr>
            <w:r>
              <w:t xml:space="preserve">The </w:t>
            </w:r>
            <w:r>
              <w:t>table shall have the following properties:</w:t>
            </w:r>
          </w:p>
          <w:p w:rsidR="00024C0A" w:rsidRDefault="00694C0F">
            <w:pPr>
              <w:pStyle w:val="TableBodyText"/>
            </w:pPr>
            <w:r>
              <w:t>The top border shall be a 1 1/2 pt single line.</w:t>
            </w:r>
          </w:p>
          <w:p w:rsidR="00024C0A" w:rsidRDefault="00694C0F">
            <w:pPr>
              <w:pStyle w:val="TableBodyText"/>
            </w:pPr>
            <w:r>
              <w:t>The left border shall be a 1 1/2 pt single line.</w:t>
            </w:r>
          </w:p>
          <w:p w:rsidR="00024C0A" w:rsidRDefault="00694C0F">
            <w:pPr>
              <w:pStyle w:val="TableBodyText"/>
            </w:pPr>
            <w:r>
              <w:t>The bottom border shall be a 1 1/2 pt single line.</w:t>
            </w:r>
          </w:p>
          <w:p w:rsidR="00024C0A" w:rsidRDefault="00694C0F">
            <w:pPr>
              <w:pStyle w:val="TableBodyText"/>
            </w:pPr>
            <w:r>
              <w:t>The right border shall be a 1 1/2 pt single line.</w:t>
            </w:r>
          </w:p>
          <w:p w:rsidR="00024C0A" w:rsidRDefault="00694C0F">
            <w:pPr>
              <w:pStyle w:val="TableBodyText"/>
            </w:pPr>
            <w:r>
              <w:t>The inside hori</w:t>
            </w:r>
            <w:r>
              <w:t>zontal border shall be a 3/4 pt single line.</w:t>
            </w:r>
          </w:p>
          <w:p w:rsidR="00024C0A" w:rsidRDefault="00694C0F">
            <w:pPr>
              <w:pStyle w:val="TableBodyText"/>
            </w:pPr>
            <w:r>
              <w:t>The inside vertical border shall be a 3/4 pt single line.</w:t>
            </w:r>
          </w:p>
          <w:p w:rsidR="00024C0A" w:rsidRDefault="00694C0F">
            <w:pPr>
              <w:pStyle w:val="TableBodyText"/>
            </w:pPr>
            <w:r>
              <w:t>The top border color shall be black (000000).</w:t>
            </w:r>
          </w:p>
          <w:p w:rsidR="00024C0A" w:rsidRDefault="00694C0F">
            <w:pPr>
              <w:pStyle w:val="TableBodyText"/>
            </w:pPr>
            <w:r>
              <w:lastRenderedPageBreak/>
              <w:t>The left border color shall be black (000000).</w:t>
            </w:r>
          </w:p>
          <w:p w:rsidR="00024C0A" w:rsidRDefault="00694C0F">
            <w:pPr>
              <w:pStyle w:val="TableBodyText"/>
            </w:pPr>
            <w:r>
              <w:t>The bottom border color shall be black (000000).</w:t>
            </w:r>
          </w:p>
          <w:p w:rsidR="00024C0A" w:rsidRDefault="00694C0F">
            <w:pPr>
              <w:pStyle w:val="TableBodyText"/>
            </w:pPr>
            <w:r>
              <w:t xml:space="preserve">The right </w:t>
            </w:r>
            <w:r>
              <w:t>border color shall be black (000000).</w:t>
            </w:r>
          </w:p>
          <w:p w:rsidR="00024C0A" w:rsidRDefault="00694C0F">
            <w:pPr>
              <w:pStyle w:val="TableBodyText"/>
            </w:pPr>
            <w:r>
              <w:t>The inside horizontal border color shall be black (000000).</w:t>
            </w:r>
          </w:p>
          <w:p w:rsidR="00024C0A" w:rsidRDefault="00694C0F">
            <w:pPr>
              <w:pStyle w:val="TableBodyText"/>
            </w:pPr>
            <w:r>
              <w:t>The inside vertical border color shall be black (000000).</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The header rows shall have the following properties:</w:t>
            </w:r>
          </w:p>
          <w:p w:rsidR="00024C0A" w:rsidRDefault="00694C0F">
            <w:pPr>
              <w:pStyle w:val="TableBodyText"/>
            </w:pPr>
            <w:r>
              <w:t xml:space="preserve">The </w:t>
            </w:r>
            <w:r>
              <w:t>bottom border shall be a 1 1/2 pt single line.</w:t>
            </w:r>
          </w:p>
          <w:p w:rsidR="00024C0A" w:rsidRDefault="00694C0F">
            <w:pPr>
              <w:pStyle w:val="TableBodyText"/>
            </w:pPr>
            <w:r>
              <w:t>The bottom border color shall be black (000000).</w:t>
            </w:r>
          </w:p>
          <w:p w:rsidR="00024C0A" w:rsidRDefault="00024C0A">
            <w:pPr>
              <w:pStyle w:val="TableBodyText"/>
            </w:pPr>
          </w:p>
          <w:p w:rsidR="00024C0A" w:rsidRDefault="00694C0F">
            <w:pPr>
              <w:pStyle w:val="TableBodyText"/>
            </w:pPr>
            <w:r>
              <w:t>The last row shall have the following properties:</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last column shall have the following properties:</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he</w:t>
            </w:r>
            <w:r>
              <w:t>ader rows in the first column shall have the following properties:</w:t>
            </w:r>
          </w:p>
          <w:p w:rsidR="00024C0A" w:rsidRDefault="00694C0F">
            <w:pPr>
              <w:pStyle w:val="TableBodyText"/>
            </w:pPr>
            <w:r>
              <w:t>The top left to bottom right border shall be a 3/4 pt single line.</w:t>
            </w:r>
          </w:p>
          <w:p w:rsidR="00024C0A" w:rsidRDefault="00694C0F">
            <w:pPr>
              <w:pStyle w:val="TableBodyText"/>
            </w:pPr>
            <w:r>
              <w:t>The top left to bottom right border color shall be black (000000).</w:t>
            </w:r>
          </w:p>
          <w:p w:rsidR="00024C0A" w:rsidRDefault="00024C0A">
            <w:pPr>
              <w:pStyle w:val="TableBodyText"/>
            </w:pPr>
          </w:p>
        </w:tc>
      </w:tr>
      <w:tr w:rsidR="00024C0A" w:rsidTr="00024C0A">
        <w:tc>
          <w:tcPr>
            <w:tcW w:w="0" w:type="auto"/>
            <w:vAlign w:val="center"/>
          </w:tcPr>
          <w:p w:rsidR="00024C0A" w:rsidRDefault="00694C0F">
            <w:pPr>
              <w:pStyle w:val="TableBodyText"/>
            </w:pPr>
            <w:r>
              <w:lastRenderedPageBreak/>
              <w:t>21 (Grid 6)</w:t>
            </w:r>
          </w:p>
        </w:tc>
        <w:tc>
          <w:tcPr>
            <w:tcW w:w="0" w:type="auto"/>
            <w:vAlign w:val="center"/>
          </w:tcPr>
          <w:p w:rsidR="00024C0A" w:rsidRDefault="00694C0F">
            <w:pPr>
              <w:pStyle w:val="TableBodyText"/>
            </w:pPr>
            <w:r>
              <w:t>The table shall have the following proper</w:t>
            </w:r>
            <w:r>
              <w:t>ties:</w:t>
            </w:r>
          </w:p>
          <w:p w:rsidR="00024C0A" w:rsidRDefault="00694C0F">
            <w:pPr>
              <w:pStyle w:val="TableBodyText"/>
            </w:pPr>
            <w:r>
              <w:t>The top border shall be a 1 1/2 pt single line.</w:t>
            </w:r>
          </w:p>
          <w:p w:rsidR="00024C0A" w:rsidRDefault="00694C0F">
            <w:pPr>
              <w:pStyle w:val="TableBodyText"/>
            </w:pPr>
            <w:r>
              <w:t>The left border shall be a 1 1/2 pt single line.</w:t>
            </w:r>
          </w:p>
          <w:p w:rsidR="00024C0A" w:rsidRDefault="00694C0F">
            <w:pPr>
              <w:pStyle w:val="TableBodyText"/>
            </w:pPr>
            <w:r>
              <w:t>The bottom border shall be a 1 1/2 pt single line.</w:t>
            </w:r>
          </w:p>
          <w:p w:rsidR="00024C0A" w:rsidRDefault="00694C0F">
            <w:pPr>
              <w:pStyle w:val="TableBodyText"/>
            </w:pPr>
            <w:r>
              <w:t>The right border shall be a 1 1/2 pt single line.</w:t>
            </w:r>
          </w:p>
          <w:p w:rsidR="00024C0A" w:rsidRDefault="00694C0F">
            <w:pPr>
              <w:pStyle w:val="TableBodyText"/>
            </w:pPr>
            <w:r>
              <w:t xml:space="preserve">The inside vertical border shall be a 3/4 pt single </w:t>
            </w:r>
            <w:r>
              <w:t>line.</w:t>
            </w:r>
          </w:p>
          <w:p w:rsidR="00024C0A" w:rsidRDefault="00694C0F">
            <w:pPr>
              <w:pStyle w:val="TableBodyText"/>
            </w:pPr>
            <w:r>
              <w:t>The top border color shall be black (000000).</w:t>
            </w:r>
          </w:p>
          <w:p w:rsidR="00024C0A" w:rsidRDefault="00694C0F">
            <w:pPr>
              <w:pStyle w:val="TableBodyText"/>
            </w:pPr>
            <w:r>
              <w:t>The left border color shall be black (000000).</w:t>
            </w:r>
          </w:p>
          <w:p w:rsidR="00024C0A" w:rsidRDefault="00694C0F">
            <w:pPr>
              <w:pStyle w:val="TableBodyText"/>
            </w:pPr>
            <w:r>
              <w:t>The bottom border color shall be black (000000).</w:t>
            </w:r>
          </w:p>
          <w:p w:rsidR="00024C0A" w:rsidRDefault="00694C0F">
            <w:pPr>
              <w:pStyle w:val="TableBodyText"/>
            </w:pPr>
            <w:r>
              <w:t>The right border color shall be black (000000).</w:t>
            </w:r>
          </w:p>
          <w:p w:rsidR="00024C0A" w:rsidRDefault="00694C0F">
            <w:pPr>
              <w:pStyle w:val="TableBodyText"/>
            </w:pPr>
            <w:r>
              <w:t>The inside vertical border color shall be black (000000).</w:t>
            </w:r>
          </w:p>
          <w:p w:rsidR="00024C0A" w:rsidRDefault="00694C0F">
            <w:pPr>
              <w:pStyle w:val="TableBodyText"/>
            </w:pPr>
            <w:r>
              <w:t>Th</w:t>
            </w:r>
            <w:r>
              <w:t>e vertical alignment shall be top.</w:t>
            </w:r>
          </w:p>
          <w:p w:rsidR="00024C0A" w:rsidRDefault="00024C0A">
            <w:pPr>
              <w:pStyle w:val="TableBodyText"/>
            </w:pPr>
          </w:p>
          <w:p w:rsidR="00024C0A" w:rsidRDefault="00694C0F">
            <w:pPr>
              <w:pStyle w:val="TableBodyText"/>
            </w:pPr>
            <w:r>
              <w:t>The header rows shall have the following properties:</w:t>
            </w:r>
          </w:p>
          <w:p w:rsidR="00024C0A" w:rsidRDefault="00694C0F">
            <w:pPr>
              <w:pStyle w:val="TableBodyText"/>
            </w:pPr>
            <w:r>
              <w:t>The bottom border shall be a 3/4 pt single line.</w:t>
            </w:r>
          </w:p>
          <w:p w:rsidR="00024C0A" w:rsidRDefault="00694C0F">
            <w:pPr>
              <w:pStyle w:val="TableBodyText"/>
            </w:pPr>
            <w:r>
              <w:t>The bottom border color shall be black (000000).</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last row shall have the following proper</w:t>
            </w:r>
            <w:r>
              <w:t>ties:</w:t>
            </w:r>
          </w:p>
          <w:p w:rsidR="00024C0A" w:rsidRDefault="00694C0F">
            <w:pPr>
              <w:pStyle w:val="TableBodyText"/>
            </w:pPr>
            <w:r>
              <w:t>The top border shall be a 3/4 pt single line.</w:t>
            </w:r>
          </w:p>
          <w:p w:rsidR="00024C0A" w:rsidRDefault="00694C0F">
            <w:pPr>
              <w:pStyle w:val="TableBodyText"/>
            </w:pPr>
            <w:r>
              <w:t>The top border color shall be black (000000).</w:t>
            </w:r>
          </w:p>
          <w:p w:rsidR="00024C0A" w:rsidRDefault="00024C0A">
            <w:pPr>
              <w:pStyle w:val="TableBodyText"/>
            </w:pPr>
          </w:p>
          <w:p w:rsidR="00024C0A" w:rsidRDefault="00694C0F">
            <w:pPr>
              <w:pStyle w:val="TableBodyText"/>
            </w:pPr>
            <w:r>
              <w:t>The first column shall have the following properties:</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header rows in the first column shall have the following properties:</w:t>
            </w:r>
          </w:p>
          <w:p w:rsidR="00024C0A" w:rsidRDefault="00694C0F">
            <w:pPr>
              <w:pStyle w:val="TableBodyText"/>
            </w:pPr>
            <w:r>
              <w:lastRenderedPageBreak/>
              <w:t>The t</w:t>
            </w:r>
            <w:r>
              <w:t>op left to bottom right border shall be a 3/4 pt single line.</w:t>
            </w:r>
          </w:p>
          <w:p w:rsidR="00024C0A" w:rsidRDefault="00694C0F">
            <w:pPr>
              <w:pStyle w:val="TableBodyText"/>
            </w:pPr>
            <w:r>
              <w:t>The top left to bottom right border color shall be black (000000).</w:t>
            </w:r>
          </w:p>
          <w:p w:rsidR="00024C0A" w:rsidRDefault="00024C0A">
            <w:pPr>
              <w:pStyle w:val="TableBodyText"/>
            </w:pPr>
          </w:p>
        </w:tc>
      </w:tr>
      <w:tr w:rsidR="00024C0A" w:rsidTr="00024C0A">
        <w:tc>
          <w:tcPr>
            <w:tcW w:w="0" w:type="auto"/>
            <w:vAlign w:val="center"/>
          </w:tcPr>
          <w:p w:rsidR="00024C0A" w:rsidRDefault="00694C0F">
            <w:pPr>
              <w:pStyle w:val="TableBodyText"/>
            </w:pPr>
            <w:r>
              <w:lastRenderedPageBreak/>
              <w:t>22 (Grid 7)</w:t>
            </w:r>
          </w:p>
        </w:tc>
        <w:tc>
          <w:tcPr>
            <w:tcW w:w="0" w:type="auto"/>
            <w:vAlign w:val="center"/>
          </w:tcPr>
          <w:p w:rsidR="00024C0A" w:rsidRDefault="00694C0F">
            <w:pPr>
              <w:pStyle w:val="TableBodyText"/>
            </w:pPr>
            <w:r>
              <w:t>The table shall have the following properties:</w:t>
            </w:r>
          </w:p>
          <w:p w:rsidR="00024C0A" w:rsidRDefault="00694C0F">
            <w:pPr>
              <w:pStyle w:val="TableBodyText"/>
            </w:pPr>
            <w:r>
              <w:t>The top border shall be a 1 1/2 pt single line.</w:t>
            </w:r>
          </w:p>
          <w:p w:rsidR="00024C0A" w:rsidRDefault="00694C0F">
            <w:pPr>
              <w:pStyle w:val="TableBodyText"/>
            </w:pPr>
            <w:r>
              <w:t xml:space="preserve">The left border </w:t>
            </w:r>
            <w:r>
              <w:t>shall be a 1 1/2 pt single line.</w:t>
            </w:r>
          </w:p>
          <w:p w:rsidR="00024C0A" w:rsidRDefault="00694C0F">
            <w:pPr>
              <w:pStyle w:val="TableBodyText"/>
            </w:pPr>
            <w:r>
              <w:t>The bottom border shall be a 1 1/2 pt single line.</w:t>
            </w:r>
          </w:p>
          <w:p w:rsidR="00024C0A" w:rsidRDefault="00694C0F">
            <w:pPr>
              <w:pStyle w:val="TableBodyText"/>
            </w:pPr>
            <w:r>
              <w:t>The right border shall be a 1 1/2 pt single line.</w:t>
            </w:r>
          </w:p>
          <w:p w:rsidR="00024C0A" w:rsidRDefault="00694C0F">
            <w:pPr>
              <w:pStyle w:val="TableBodyText"/>
            </w:pPr>
            <w:r>
              <w:t>The inside horizontal border shall be a 3/4 pt single line.</w:t>
            </w:r>
          </w:p>
          <w:p w:rsidR="00024C0A" w:rsidRDefault="00694C0F">
            <w:pPr>
              <w:pStyle w:val="TableBodyText"/>
            </w:pPr>
            <w:r>
              <w:t>The inside vertical border shall be a 3/4 pt single line.</w:t>
            </w:r>
          </w:p>
          <w:p w:rsidR="00024C0A" w:rsidRDefault="00694C0F">
            <w:pPr>
              <w:pStyle w:val="TableBodyText"/>
            </w:pPr>
            <w:r>
              <w:t xml:space="preserve">The </w:t>
            </w:r>
            <w:r>
              <w:t>top border color shall be black (000000).</w:t>
            </w:r>
          </w:p>
          <w:p w:rsidR="00024C0A" w:rsidRDefault="00694C0F">
            <w:pPr>
              <w:pStyle w:val="TableBodyText"/>
            </w:pPr>
            <w:r>
              <w:t>The left border color shall be black (000000).</w:t>
            </w:r>
          </w:p>
          <w:p w:rsidR="00024C0A" w:rsidRDefault="00694C0F">
            <w:pPr>
              <w:pStyle w:val="TableBodyText"/>
            </w:pPr>
            <w:r>
              <w:t>The bottom border color shall be black (000000).</w:t>
            </w:r>
          </w:p>
          <w:p w:rsidR="00024C0A" w:rsidRDefault="00694C0F">
            <w:pPr>
              <w:pStyle w:val="TableBodyText"/>
            </w:pPr>
            <w:r>
              <w:t>The right border color shall be black (000000).</w:t>
            </w:r>
          </w:p>
          <w:p w:rsidR="00024C0A" w:rsidRDefault="00694C0F">
            <w:pPr>
              <w:pStyle w:val="TableBodyText"/>
            </w:pPr>
            <w:r>
              <w:t>The inside horizontal border color shall be black (000000).</w:t>
            </w:r>
          </w:p>
          <w:p w:rsidR="00024C0A" w:rsidRDefault="00694C0F">
            <w:pPr>
              <w:pStyle w:val="TableBodyText"/>
            </w:pPr>
            <w:r>
              <w:t>The inside</w:t>
            </w:r>
            <w:r>
              <w:t xml:space="preserve"> vertical border color shall be black (000000).</w:t>
            </w:r>
          </w:p>
          <w:p w:rsidR="00024C0A" w:rsidRDefault="00694C0F">
            <w:pPr>
              <w:pStyle w:val="TableBodyText"/>
            </w:pPr>
            <w:r>
              <w:t>The font shall be bold.</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The header rows shall have the following properties:</w:t>
            </w:r>
          </w:p>
          <w:p w:rsidR="00024C0A" w:rsidRDefault="00694C0F">
            <w:pPr>
              <w:pStyle w:val="TableBodyText"/>
            </w:pPr>
            <w:r>
              <w:t>The bottom border shall be a 1 1/2 pt single line.</w:t>
            </w:r>
          </w:p>
          <w:p w:rsidR="00024C0A" w:rsidRDefault="00694C0F">
            <w:pPr>
              <w:pStyle w:val="TableBodyText"/>
            </w:pPr>
            <w:r>
              <w:t xml:space="preserve">The bottom border color shall be black </w:t>
            </w:r>
            <w:r>
              <w:t>(000000).</w:t>
            </w:r>
          </w:p>
          <w:p w:rsidR="00024C0A" w:rsidRDefault="00694C0F">
            <w:pPr>
              <w:pStyle w:val="TableBodyText"/>
            </w:pPr>
            <w:r>
              <w:t>The font shall not be bold.</w:t>
            </w:r>
          </w:p>
          <w:p w:rsidR="00024C0A" w:rsidRDefault="00024C0A">
            <w:pPr>
              <w:pStyle w:val="TableBodyText"/>
            </w:pPr>
          </w:p>
          <w:p w:rsidR="00024C0A" w:rsidRDefault="00694C0F">
            <w:pPr>
              <w:pStyle w:val="TableBodyText"/>
            </w:pPr>
            <w:r>
              <w:t>The last row shall have the following properties:</w:t>
            </w:r>
          </w:p>
          <w:p w:rsidR="00024C0A" w:rsidRDefault="00694C0F">
            <w:pPr>
              <w:pStyle w:val="TableBodyText"/>
            </w:pPr>
            <w:r>
              <w:t>The top border shall be a 3/4 pt single line.</w:t>
            </w:r>
          </w:p>
          <w:p w:rsidR="00024C0A" w:rsidRDefault="00694C0F">
            <w:pPr>
              <w:pStyle w:val="TableBodyText"/>
            </w:pPr>
            <w:r>
              <w:t>The top border color shall be black (000000).</w:t>
            </w:r>
          </w:p>
          <w:p w:rsidR="00024C0A" w:rsidRDefault="00694C0F">
            <w:pPr>
              <w:pStyle w:val="TableBodyText"/>
            </w:pPr>
            <w:r>
              <w:t>The font shall not be bold.</w:t>
            </w:r>
          </w:p>
          <w:p w:rsidR="00024C0A" w:rsidRDefault="00024C0A">
            <w:pPr>
              <w:pStyle w:val="TableBodyText"/>
            </w:pPr>
          </w:p>
          <w:p w:rsidR="00024C0A" w:rsidRDefault="00694C0F">
            <w:pPr>
              <w:pStyle w:val="TableBodyText"/>
            </w:pPr>
            <w:r>
              <w:t xml:space="preserve">The first column shall have the following </w:t>
            </w:r>
            <w:r>
              <w:t>properties:</w:t>
            </w:r>
          </w:p>
          <w:p w:rsidR="00024C0A" w:rsidRDefault="00694C0F">
            <w:pPr>
              <w:pStyle w:val="TableBodyText"/>
            </w:pPr>
            <w:r>
              <w:t>The font shall not be bold.</w:t>
            </w:r>
          </w:p>
          <w:p w:rsidR="00024C0A" w:rsidRDefault="00024C0A">
            <w:pPr>
              <w:pStyle w:val="TableBodyText"/>
            </w:pPr>
          </w:p>
          <w:p w:rsidR="00024C0A" w:rsidRDefault="00694C0F">
            <w:pPr>
              <w:pStyle w:val="TableBodyText"/>
            </w:pPr>
            <w:r>
              <w:t>The last column shall have the following properties:</w:t>
            </w:r>
          </w:p>
          <w:p w:rsidR="00024C0A" w:rsidRDefault="00694C0F">
            <w:pPr>
              <w:pStyle w:val="TableBodyText"/>
            </w:pPr>
            <w:r>
              <w:t>The font shall not be bold.</w:t>
            </w:r>
          </w:p>
          <w:p w:rsidR="00024C0A" w:rsidRDefault="00024C0A">
            <w:pPr>
              <w:pStyle w:val="TableBodyText"/>
            </w:pPr>
          </w:p>
          <w:p w:rsidR="00024C0A" w:rsidRDefault="00694C0F">
            <w:pPr>
              <w:pStyle w:val="TableBodyText"/>
            </w:pPr>
            <w:r>
              <w:t>The header rows in the first column shall have the following properties:</w:t>
            </w:r>
          </w:p>
          <w:p w:rsidR="00024C0A" w:rsidRDefault="00694C0F">
            <w:pPr>
              <w:pStyle w:val="TableBodyText"/>
            </w:pPr>
            <w:r>
              <w:t>The top left to bottom right border shall be a 3/4 pt single</w:t>
            </w:r>
            <w:r>
              <w:t xml:space="preserve"> line.</w:t>
            </w:r>
          </w:p>
          <w:p w:rsidR="00024C0A" w:rsidRDefault="00694C0F">
            <w:pPr>
              <w:pStyle w:val="TableBodyText"/>
            </w:pPr>
            <w:r>
              <w:t>The top left to bottom right border color shall be black (000000).</w:t>
            </w:r>
          </w:p>
          <w:p w:rsidR="00024C0A" w:rsidRDefault="00024C0A">
            <w:pPr>
              <w:pStyle w:val="TableBodyText"/>
            </w:pPr>
          </w:p>
        </w:tc>
      </w:tr>
      <w:tr w:rsidR="00024C0A" w:rsidTr="00024C0A">
        <w:tc>
          <w:tcPr>
            <w:tcW w:w="0" w:type="auto"/>
            <w:vAlign w:val="center"/>
          </w:tcPr>
          <w:p w:rsidR="00024C0A" w:rsidRDefault="00694C0F">
            <w:pPr>
              <w:pStyle w:val="TableBodyText"/>
            </w:pPr>
            <w:r>
              <w:t>23 (Grid 8)</w:t>
            </w:r>
          </w:p>
        </w:tc>
        <w:tc>
          <w:tcPr>
            <w:tcW w:w="0" w:type="auto"/>
            <w:vAlign w:val="center"/>
          </w:tcPr>
          <w:p w:rsidR="00024C0A" w:rsidRDefault="00694C0F">
            <w:pPr>
              <w:pStyle w:val="TableBodyText"/>
            </w:pPr>
            <w:r>
              <w:t>The table shall have the following properties:</w:t>
            </w:r>
          </w:p>
          <w:p w:rsidR="00024C0A" w:rsidRDefault="00694C0F">
            <w:pPr>
              <w:pStyle w:val="TableBodyText"/>
            </w:pPr>
            <w:r>
              <w:t>The top border shall be a 3/4 pt single line.</w:t>
            </w:r>
          </w:p>
          <w:p w:rsidR="00024C0A" w:rsidRDefault="00694C0F">
            <w:pPr>
              <w:pStyle w:val="TableBodyText"/>
            </w:pPr>
            <w:r>
              <w:t>The left border shall be a 3/4 pt single line.</w:t>
            </w:r>
          </w:p>
          <w:p w:rsidR="00024C0A" w:rsidRDefault="00694C0F">
            <w:pPr>
              <w:pStyle w:val="TableBodyText"/>
            </w:pPr>
            <w:r>
              <w:t>The bottom border shall be a</w:t>
            </w:r>
            <w:r>
              <w:t xml:space="preserve"> 3/4 pt single line.</w:t>
            </w:r>
          </w:p>
          <w:p w:rsidR="00024C0A" w:rsidRDefault="00694C0F">
            <w:pPr>
              <w:pStyle w:val="TableBodyText"/>
            </w:pPr>
            <w:r>
              <w:t>The right border shall be a 3/4 pt single line.</w:t>
            </w:r>
          </w:p>
          <w:p w:rsidR="00024C0A" w:rsidRDefault="00694C0F">
            <w:pPr>
              <w:pStyle w:val="TableBodyText"/>
            </w:pPr>
            <w:r>
              <w:t>The inside horizontal border shall be a 3/4 pt single line.</w:t>
            </w:r>
          </w:p>
          <w:p w:rsidR="00024C0A" w:rsidRDefault="00694C0F">
            <w:pPr>
              <w:pStyle w:val="TableBodyText"/>
            </w:pPr>
            <w:r>
              <w:t>The inside vertical border shall be a 3/4 pt single line.</w:t>
            </w:r>
          </w:p>
          <w:p w:rsidR="00024C0A" w:rsidRDefault="00694C0F">
            <w:pPr>
              <w:pStyle w:val="TableBodyText"/>
            </w:pPr>
            <w:r>
              <w:t>The top border color shall be dark blue (0000CC).</w:t>
            </w:r>
          </w:p>
          <w:p w:rsidR="00024C0A" w:rsidRDefault="00694C0F">
            <w:pPr>
              <w:pStyle w:val="TableBodyText"/>
            </w:pPr>
            <w:r>
              <w:lastRenderedPageBreak/>
              <w:t xml:space="preserve">The left border </w:t>
            </w:r>
            <w:r>
              <w:t>color shall be dark blue (0000CC).</w:t>
            </w:r>
          </w:p>
          <w:p w:rsidR="00024C0A" w:rsidRDefault="00694C0F">
            <w:pPr>
              <w:pStyle w:val="TableBodyText"/>
            </w:pPr>
            <w:r>
              <w:t>The bottom border color shall be dark blue (0000CC).</w:t>
            </w:r>
          </w:p>
          <w:p w:rsidR="00024C0A" w:rsidRDefault="00694C0F">
            <w:pPr>
              <w:pStyle w:val="TableBodyText"/>
            </w:pPr>
            <w:r>
              <w:t>The right border color shall be dark blue (0000CC).</w:t>
            </w:r>
          </w:p>
          <w:p w:rsidR="00024C0A" w:rsidRDefault="00694C0F">
            <w:pPr>
              <w:pStyle w:val="TableBodyText"/>
            </w:pPr>
            <w:r>
              <w:t>The inside horizontal border color shall be dark blue (0000CC).</w:t>
            </w:r>
          </w:p>
          <w:p w:rsidR="00024C0A" w:rsidRDefault="00694C0F">
            <w:pPr>
              <w:pStyle w:val="TableBodyText"/>
            </w:pPr>
            <w:r>
              <w:t xml:space="preserve">The inside vertical border color shall be dark blue </w:t>
            </w:r>
            <w:r>
              <w:t>(0000CC).</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The header rows shall have the following properties:</w:t>
            </w:r>
          </w:p>
          <w:p w:rsidR="00024C0A" w:rsidRDefault="00694C0F">
            <w:pPr>
              <w:pStyle w:val="TableBodyText"/>
            </w:pPr>
            <w:r>
              <w:t>The foreground shading color shall be dark blue (0000CC).</w:t>
            </w:r>
          </w:p>
          <w:p w:rsidR="00024C0A" w:rsidRDefault="00694C0F">
            <w:pPr>
              <w:pStyle w:val="TableBodyText"/>
            </w:pPr>
            <w:r>
              <w:t>The background shading shall be white (FFFFFF).</w:t>
            </w:r>
          </w:p>
          <w:p w:rsidR="00024C0A" w:rsidRDefault="00694C0F">
            <w:pPr>
              <w:pStyle w:val="TableBodyText"/>
            </w:pPr>
            <w:r>
              <w:t>The shading pattern shall be solid.</w:t>
            </w:r>
          </w:p>
          <w:p w:rsidR="00024C0A" w:rsidRDefault="00694C0F">
            <w:pPr>
              <w:pStyle w:val="TableBodyText"/>
            </w:pPr>
            <w:r>
              <w:t>The font colo</w:t>
            </w:r>
            <w:r>
              <w:t>r shall be white (FFFFFF).</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last row shall have the following properties:</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last column shall have the following properties:</w:t>
            </w:r>
          </w:p>
          <w:p w:rsidR="00024C0A" w:rsidRDefault="00694C0F">
            <w:pPr>
              <w:pStyle w:val="TableBodyText"/>
            </w:pPr>
            <w:r>
              <w:t>The font shall be bold.</w:t>
            </w:r>
          </w:p>
          <w:p w:rsidR="00024C0A" w:rsidRDefault="00024C0A">
            <w:pPr>
              <w:pStyle w:val="TableBodyText"/>
            </w:pPr>
          </w:p>
        </w:tc>
      </w:tr>
      <w:tr w:rsidR="00024C0A" w:rsidTr="00024C0A">
        <w:tc>
          <w:tcPr>
            <w:tcW w:w="0" w:type="auto"/>
            <w:vAlign w:val="center"/>
          </w:tcPr>
          <w:p w:rsidR="00024C0A" w:rsidRDefault="00694C0F">
            <w:pPr>
              <w:pStyle w:val="TableBodyText"/>
            </w:pPr>
            <w:r>
              <w:lastRenderedPageBreak/>
              <w:t>24 (List 1)</w:t>
            </w:r>
          </w:p>
          <w:p w:rsidR="00024C0A" w:rsidRDefault="00024C0A">
            <w:pPr>
              <w:pStyle w:val="TableBodyText"/>
            </w:pPr>
          </w:p>
        </w:tc>
        <w:tc>
          <w:tcPr>
            <w:tcW w:w="0" w:type="auto"/>
            <w:vAlign w:val="center"/>
          </w:tcPr>
          <w:p w:rsidR="00024C0A" w:rsidRDefault="00694C0F">
            <w:pPr>
              <w:pStyle w:val="TableBodyText"/>
            </w:pPr>
            <w:r>
              <w:t>The table shall have the following pr</w:t>
            </w:r>
            <w:r>
              <w:t>operties:</w:t>
            </w:r>
          </w:p>
          <w:p w:rsidR="00024C0A" w:rsidRDefault="00694C0F">
            <w:pPr>
              <w:pStyle w:val="TableBodyText"/>
            </w:pPr>
            <w:r>
              <w:t>The top border shall be a 1 1/2 pt single line.</w:t>
            </w:r>
          </w:p>
          <w:p w:rsidR="00024C0A" w:rsidRDefault="00694C0F">
            <w:pPr>
              <w:pStyle w:val="TableBodyText"/>
            </w:pPr>
            <w:r>
              <w:t>The left border shall be a 3/4 pt single line.</w:t>
            </w:r>
          </w:p>
          <w:p w:rsidR="00024C0A" w:rsidRDefault="00694C0F">
            <w:pPr>
              <w:pStyle w:val="TableBodyText"/>
            </w:pPr>
            <w:r>
              <w:t>The bottom border shall be a 1 1/2 pt single line.</w:t>
            </w:r>
          </w:p>
          <w:p w:rsidR="00024C0A" w:rsidRDefault="00694C0F">
            <w:pPr>
              <w:pStyle w:val="TableBodyText"/>
            </w:pPr>
            <w:r>
              <w:t>The right border shall be a 3/4 pt single line.</w:t>
            </w:r>
          </w:p>
          <w:p w:rsidR="00024C0A" w:rsidRDefault="00694C0F">
            <w:pPr>
              <w:pStyle w:val="TableBodyText"/>
            </w:pPr>
            <w:r>
              <w:t>The top border color shall be dark cyan (00CCCC).</w:t>
            </w:r>
          </w:p>
          <w:p w:rsidR="00024C0A" w:rsidRDefault="00694C0F">
            <w:pPr>
              <w:pStyle w:val="TableBodyText"/>
            </w:pPr>
            <w:r>
              <w:t>The left border color shall be dark cyan (00CCCC).</w:t>
            </w:r>
          </w:p>
          <w:p w:rsidR="00024C0A" w:rsidRDefault="00694C0F">
            <w:pPr>
              <w:pStyle w:val="TableBodyText"/>
            </w:pPr>
            <w:r>
              <w:t>The bottom border color shall be dark cyan (00CCCC).</w:t>
            </w:r>
          </w:p>
          <w:p w:rsidR="00024C0A" w:rsidRDefault="00694C0F">
            <w:pPr>
              <w:pStyle w:val="TableBodyText"/>
            </w:pPr>
            <w:r>
              <w:t>The right border color shall be dark cyan (00CCCC).</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Even rows of table data shall have the following properties:</w:t>
            </w:r>
          </w:p>
          <w:p w:rsidR="00024C0A" w:rsidRDefault="00694C0F">
            <w:pPr>
              <w:pStyle w:val="TableBodyText"/>
            </w:pPr>
            <w:r>
              <w:t>The foreground shading color shall be dark gray (C0C0C0).</w:t>
            </w:r>
          </w:p>
          <w:p w:rsidR="00024C0A" w:rsidRDefault="00694C0F">
            <w:pPr>
              <w:pStyle w:val="TableBodyText"/>
            </w:pPr>
            <w:r>
              <w:t>The background shading shall be white (FFFFFF).</w:t>
            </w:r>
          </w:p>
          <w:p w:rsidR="00024C0A" w:rsidRDefault="00694C0F">
            <w:pPr>
              <w:pStyle w:val="TableBodyText"/>
            </w:pPr>
            <w:r>
              <w:t>The shading pattern shall be solid.</w:t>
            </w:r>
          </w:p>
          <w:p w:rsidR="00024C0A" w:rsidRDefault="00024C0A">
            <w:pPr>
              <w:pStyle w:val="TableBodyText"/>
            </w:pPr>
          </w:p>
          <w:p w:rsidR="00024C0A" w:rsidRDefault="00694C0F">
            <w:pPr>
              <w:pStyle w:val="TableBodyText"/>
            </w:pPr>
            <w:r>
              <w:t>The header rows shall have the following properties:</w:t>
            </w:r>
          </w:p>
          <w:p w:rsidR="00024C0A" w:rsidRDefault="00694C0F">
            <w:pPr>
              <w:pStyle w:val="TableBodyText"/>
            </w:pPr>
            <w:r>
              <w:t>The bottom border shall be a 3/4 pt single line.</w:t>
            </w:r>
          </w:p>
          <w:p w:rsidR="00024C0A" w:rsidRDefault="00694C0F">
            <w:pPr>
              <w:pStyle w:val="TableBodyText"/>
            </w:pPr>
            <w:r>
              <w:t xml:space="preserve">The bottom </w:t>
            </w:r>
            <w:r>
              <w:t>border color shall be black (000000).</w:t>
            </w:r>
          </w:p>
          <w:p w:rsidR="00024C0A" w:rsidRDefault="00694C0F">
            <w:pPr>
              <w:pStyle w:val="TableBodyText"/>
            </w:pPr>
            <w:r>
              <w:t>The foreground shading color shall be dark gray (C0C0C0).</w:t>
            </w:r>
          </w:p>
          <w:p w:rsidR="00024C0A" w:rsidRDefault="00694C0F">
            <w:pPr>
              <w:pStyle w:val="TableBodyText"/>
            </w:pPr>
            <w:r>
              <w:t>The background shading shall be white (FFFFFF).</w:t>
            </w:r>
          </w:p>
          <w:p w:rsidR="00024C0A" w:rsidRDefault="00694C0F">
            <w:pPr>
              <w:pStyle w:val="TableBodyText"/>
            </w:pPr>
            <w:r>
              <w:t>The shading pattern shall be solid.</w:t>
            </w:r>
          </w:p>
          <w:p w:rsidR="00024C0A" w:rsidRDefault="00694C0F">
            <w:pPr>
              <w:pStyle w:val="TableBodyText"/>
            </w:pPr>
            <w:r>
              <w:t>The font color shall be dark red (CC0000).</w:t>
            </w:r>
          </w:p>
          <w:p w:rsidR="00024C0A" w:rsidRDefault="00694C0F">
            <w:pPr>
              <w:pStyle w:val="TableBodyText"/>
            </w:pPr>
            <w:r>
              <w:t>The font shall be bold.</w:t>
            </w:r>
          </w:p>
          <w:p w:rsidR="00024C0A" w:rsidRDefault="00694C0F">
            <w:pPr>
              <w:pStyle w:val="TableBodyText"/>
            </w:pPr>
            <w:r>
              <w:t xml:space="preserve">The font </w:t>
            </w:r>
            <w:r>
              <w:t>shall be italic.</w:t>
            </w:r>
          </w:p>
          <w:p w:rsidR="00024C0A" w:rsidRDefault="00024C0A">
            <w:pPr>
              <w:pStyle w:val="TableBodyText"/>
            </w:pPr>
          </w:p>
          <w:p w:rsidR="00024C0A" w:rsidRDefault="00694C0F">
            <w:pPr>
              <w:pStyle w:val="TableBodyText"/>
            </w:pPr>
            <w:r>
              <w:t>The last row shall have the following properties:</w:t>
            </w:r>
          </w:p>
          <w:p w:rsidR="00024C0A" w:rsidRDefault="00694C0F">
            <w:pPr>
              <w:pStyle w:val="TableBodyText"/>
            </w:pPr>
            <w:r>
              <w:lastRenderedPageBreak/>
              <w:t>The top border shall be a 3/4 pt single line.</w:t>
            </w:r>
          </w:p>
          <w:p w:rsidR="00024C0A" w:rsidRDefault="00694C0F">
            <w:pPr>
              <w:pStyle w:val="TableBodyText"/>
            </w:pPr>
            <w:r>
              <w:t>The top border color shall be black (000000).</w:t>
            </w:r>
          </w:p>
          <w:p w:rsidR="00024C0A" w:rsidRDefault="00694C0F">
            <w:pPr>
              <w:pStyle w:val="TableBodyText"/>
            </w:pPr>
            <w:r>
              <w:t>The shading pattern shall be clear.</w:t>
            </w:r>
          </w:p>
          <w:p w:rsidR="00024C0A" w:rsidRDefault="00024C0A">
            <w:pPr>
              <w:pStyle w:val="TableBodyText"/>
            </w:pPr>
          </w:p>
          <w:p w:rsidR="00024C0A" w:rsidRDefault="00694C0F">
            <w:pPr>
              <w:pStyle w:val="TableBodyText"/>
            </w:pPr>
            <w:r>
              <w:t xml:space="preserve">The first column of the last row shall have the following </w:t>
            </w:r>
            <w:r>
              <w:t>properties:</w:t>
            </w:r>
          </w:p>
          <w:p w:rsidR="00024C0A" w:rsidRDefault="00694C0F">
            <w:pPr>
              <w:pStyle w:val="TableBodyText"/>
            </w:pPr>
            <w:r>
              <w:t>The font shall be bold.</w:t>
            </w:r>
          </w:p>
          <w:p w:rsidR="00024C0A" w:rsidRDefault="00024C0A">
            <w:pPr>
              <w:pStyle w:val="TableBodyText"/>
            </w:pPr>
          </w:p>
        </w:tc>
      </w:tr>
      <w:tr w:rsidR="00024C0A" w:rsidTr="00024C0A">
        <w:tc>
          <w:tcPr>
            <w:tcW w:w="0" w:type="auto"/>
            <w:vAlign w:val="center"/>
          </w:tcPr>
          <w:p w:rsidR="00024C0A" w:rsidRDefault="00694C0F">
            <w:pPr>
              <w:pStyle w:val="TableBodyText"/>
            </w:pPr>
            <w:r>
              <w:lastRenderedPageBreak/>
              <w:t>25 (List 2)</w:t>
            </w:r>
          </w:p>
          <w:p w:rsidR="00024C0A" w:rsidRDefault="00024C0A">
            <w:pPr>
              <w:pStyle w:val="TableBodyText"/>
            </w:pPr>
          </w:p>
        </w:tc>
        <w:tc>
          <w:tcPr>
            <w:tcW w:w="0" w:type="auto"/>
            <w:vAlign w:val="center"/>
          </w:tcPr>
          <w:p w:rsidR="00024C0A" w:rsidRDefault="00694C0F">
            <w:pPr>
              <w:pStyle w:val="TableBodyText"/>
            </w:pPr>
            <w:r>
              <w:t>The table shall have the following properties:</w:t>
            </w:r>
          </w:p>
          <w:p w:rsidR="00024C0A" w:rsidRDefault="00694C0F">
            <w:pPr>
              <w:pStyle w:val="TableBodyText"/>
            </w:pPr>
            <w:r>
              <w:t>The bottom border shall be a 1 1/2 pt single line.</w:t>
            </w:r>
          </w:p>
          <w:p w:rsidR="00024C0A" w:rsidRDefault="00694C0F">
            <w:pPr>
              <w:pStyle w:val="TableBodyText"/>
            </w:pPr>
            <w:r>
              <w:t>The bottom border color shall be dark gray (CCCCCC).</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Double banded ev</w:t>
            </w:r>
            <w:r>
              <w:t>en rows of table data shall have the following properties:</w:t>
            </w:r>
          </w:p>
          <w:p w:rsidR="00024C0A" w:rsidRDefault="00694C0F">
            <w:pPr>
              <w:pStyle w:val="TableBodyText"/>
            </w:pPr>
            <w:r>
              <w:t>The foreground shading color shall be green (00FF00).</w:t>
            </w:r>
          </w:p>
          <w:p w:rsidR="00024C0A" w:rsidRDefault="00694C0F">
            <w:pPr>
              <w:pStyle w:val="TableBodyText"/>
            </w:pPr>
            <w:r>
              <w:t>The background shading shall be white (FFFFFF).</w:t>
            </w:r>
          </w:p>
          <w:p w:rsidR="00024C0A" w:rsidRDefault="00694C0F">
            <w:pPr>
              <w:pStyle w:val="TableBodyText"/>
            </w:pPr>
            <w:r>
              <w:t>The shading pattern shall be pct20.</w:t>
            </w:r>
          </w:p>
          <w:p w:rsidR="00024C0A" w:rsidRDefault="00024C0A">
            <w:pPr>
              <w:pStyle w:val="TableBodyText"/>
            </w:pPr>
          </w:p>
          <w:p w:rsidR="00024C0A" w:rsidRDefault="00694C0F">
            <w:pPr>
              <w:pStyle w:val="TableBodyText"/>
            </w:pPr>
            <w:r>
              <w:t>The header rows shall have the following properties:</w:t>
            </w:r>
          </w:p>
          <w:p w:rsidR="00024C0A" w:rsidRDefault="00694C0F">
            <w:pPr>
              <w:pStyle w:val="TableBodyText"/>
            </w:pPr>
            <w:r>
              <w:t>The b</w:t>
            </w:r>
            <w:r>
              <w:t>ottom border shall be a 3/4 pt single line.</w:t>
            </w:r>
          </w:p>
          <w:p w:rsidR="00024C0A" w:rsidRDefault="00694C0F">
            <w:pPr>
              <w:pStyle w:val="TableBodyText"/>
            </w:pPr>
            <w:r>
              <w:t>The bottom border color shall be black (000000).</w:t>
            </w:r>
          </w:p>
          <w:p w:rsidR="00024C0A" w:rsidRDefault="00694C0F">
            <w:pPr>
              <w:pStyle w:val="TableBodyText"/>
            </w:pPr>
            <w:r>
              <w:t>The foreground shading color shall be dark cyan (00CCCC).</w:t>
            </w:r>
          </w:p>
          <w:p w:rsidR="00024C0A" w:rsidRDefault="00694C0F">
            <w:pPr>
              <w:pStyle w:val="TableBodyText"/>
            </w:pPr>
            <w:r>
              <w:t>The background shading shall be dark green (00CC00).</w:t>
            </w:r>
          </w:p>
          <w:p w:rsidR="00024C0A" w:rsidRDefault="00694C0F">
            <w:pPr>
              <w:pStyle w:val="TableBodyText"/>
            </w:pPr>
            <w:r>
              <w:t>The shading pattern shall be pct75.</w:t>
            </w:r>
          </w:p>
          <w:p w:rsidR="00024C0A" w:rsidRDefault="00694C0F">
            <w:pPr>
              <w:pStyle w:val="TableBodyText"/>
            </w:pPr>
            <w:r>
              <w:t xml:space="preserve">The font color </w:t>
            </w:r>
            <w:r>
              <w:t>shall be white (FFFFFF).</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last row shall have the following properties:</w:t>
            </w:r>
          </w:p>
          <w:p w:rsidR="00024C0A" w:rsidRDefault="00694C0F">
            <w:pPr>
              <w:pStyle w:val="TableBodyText"/>
            </w:pPr>
            <w:r>
              <w:t>The top border shall be a 3/4 pt single line.</w:t>
            </w:r>
          </w:p>
          <w:p w:rsidR="00024C0A" w:rsidRDefault="00694C0F">
            <w:pPr>
              <w:pStyle w:val="TableBodyText"/>
            </w:pPr>
            <w:r>
              <w:t>The top border color shall be black (000000).</w:t>
            </w:r>
          </w:p>
          <w:p w:rsidR="00024C0A" w:rsidRDefault="00694C0F">
            <w:pPr>
              <w:pStyle w:val="TableBodyText"/>
            </w:pPr>
            <w:r>
              <w:t>The shading pattern shall be clear.</w:t>
            </w:r>
          </w:p>
          <w:p w:rsidR="00024C0A" w:rsidRDefault="00024C0A">
            <w:pPr>
              <w:pStyle w:val="TableBodyText"/>
            </w:pPr>
          </w:p>
          <w:p w:rsidR="00024C0A" w:rsidRDefault="00694C0F">
            <w:pPr>
              <w:pStyle w:val="TableBodyText"/>
            </w:pPr>
            <w:r>
              <w:t>The first column of the las</w:t>
            </w:r>
            <w:r>
              <w:t>t row shall have the following properties:</w:t>
            </w:r>
          </w:p>
          <w:p w:rsidR="00024C0A" w:rsidRDefault="00694C0F">
            <w:pPr>
              <w:pStyle w:val="TableBodyText"/>
            </w:pPr>
            <w:r>
              <w:t>The font shall be bold.</w:t>
            </w:r>
          </w:p>
          <w:p w:rsidR="00024C0A" w:rsidRDefault="00024C0A">
            <w:pPr>
              <w:pStyle w:val="TableBodyText"/>
            </w:pPr>
          </w:p>
        </w:tc>
      </w:tr>
      <w:tr w:rsidR="00024C0A" w:rsidTr="00024C0A">
        <w:tc>
          <w:tcPr>
            <w:tcW w:w="0" w:type="auto"/>
            <w:vAlign w:val="center"/>
          </w:tcPr>
          <w:p w:rsidR="00024C0A" w:rsidRDefault="00694C0F">
            <w:pPr>
              <w:pStyle w:val="TableBodyText"/>
            </w:pPr>
            <w:r>
              <w:t>26 (List 3)</w:t>
            </w:r>
          </w:p>
          <w:p w:rsidR="00024C0A" w:rsidRDefault="00024C0A">
            <w:pPr>
              <w:pStyle w:val="TableBodyText"/>
            </w:pPr>
          </w:p>
        </w:tc>
        <w:tc>
          <w:tcPr>
            <w:tcW w:w="0" w:type="auto"/>
            <w:vAlign w:val="center"/>
          </w:tcPr>
          <w:p w:rsidR="00024C0A" w:rsidRDefault="00694C0F">
            <w:pPr>
              <w:pStyle w:val="TableBodyText"/>
            </w:pPr>
            <w:r>
              <w:t>The table shall have the following properties:</w:t>
            </w:r>
          </w:p>
          <w:p w:rsidR="00024C0A" w:rsidRDefault="00694C0F">
            <w:pPr>
              <w:pStyle w:val="TableBodyText"/>
            </w:pPr>
            <w:r>
              <w:t>The top border shall be a 1 1/2 pt single line.</w:t>
            </w:r>
          </w:p>
          <w:p w:rsidR="00024C0A" w:rsidRDefault="00694C0F">
            <w:pPr>
              <w:pStyle w:val="TableBodyText"/>
            </w:pPr>
            <w:r>
              <w:t>The bottom border shall be a 1 1/2 pt single line.</w:t>
            </w:r>
          </w:p>
          <w:p w:rsidR="00024C0A" w:rsidRDefault="00694C0F">
            <w:pPr>
              <w:pStyle w:val="TableBodyText"/>
            </w:pPr>
            <w:r>
              <w:t>The top border color shall b</w:t>
            </w:r>
            <w:r>
              <w:t>e black (000000).</w:t>
            </w:r>
          </w:p>
          <w:p w:rsidR="00024C0A" w:rsidRDefault="00694C0F">
            <w:pPr>
              <w:pStyle w:val="TableBodyText"/>
            </w:pPr>
            <w:r>
              <w:t>The bottom border color shall be black (000000).</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The table data shall have the following properties:</w:t>
            </w:r>
          </w:p>
          <w:p w:rsidR="00024C0A" w:rsidRDefault="00694C0F">
            <w:pPr>
              <w:pStyle w:val="TableBodyText"/>
            </w:pPr>
            <w:r>
              <w:t>The inside horizontal border shall be a 3/4 pt single line.</w:t>
            </w:r>
          </w:p>
          <w:p w:rsidR="00024C0A" w:rsidRDefault="00694C0F">
            <w:pPr>
              <w:pStyle w:val="TableBodyText"/>
            </w:pPr>
            <w:r>
              <w:t xml:space="preserve">The inside horizontal border color </w:t>
            </w:r>
            <w:r>
              <w:t>shall be black (000000).</w:t>
            </w:r>
          </w:p>
          <w:p w:rsidR="00024C0A" w:rsidRDefault="00024C0A">
            <w:pPr>
              <w:pStyle w:val="TableBodyText"/>
            </w:pPr>
          </w:p>
          <w:p w:rsidR="00024C0A" w:rsidRDefault="00694C0F">
            <w:pPr>
              <w:pStyle w:val="TableBodyText"/>
            </w:pPr>
            <w:r>
              <w:t>The header rows shall have the following properties:</w:t>
            </w:r>
          </w:p>
          <w:p w:rsidR="00024C0A" w:rsidRDefault="00694C0F">
            <w:pPr>
              <w:pStyle w:val="TableBodyText"/>
            </w:pPr>
            <w:r>
              <w:t>The bottom border shall be a 1 1/2 pt single line.</w:t>
            </w:r>
          </w:p>
          <w:p w:rsidR="00024C0A" w:rsidRDefault="00694C0F">
            <w:pPr>
              <w:pStyle w:val="TableBodyText"/>
            </w:pPr>
            <w:r>
              <w:lastRenderedPageBreak/>
              <w:t>The bottom border color shall be black (000000).</w:t>
            </w:r>
          </w:p>
          <w:p w:rsidR="00024C0A" w:rsidRDefault="00694C0F">
            <w:pPr>
              <w:pStyle w:val="TableBodyText"/>
            </w:pPr>
            <w:r>
              <w:t>The font color shall be dark blue (0000CC).</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last</w:t>
            </w:r>
            <w:r>
              <w:t xml:space="preserve"> row shall have the following properties:</w:t>
            </w:r>
          </w:p>
          <w:p w:rsidR="00024C0A" w:rsidRDefault="00694C0F">
            <w:pPr>
              <w:pStyle w:val="TableBodyText"/>
            </w:pPr>
            <w:r>
              <w:t>The top border shall be a 1 1/2 pt single line.</w:t>
            </w:r>
          </w:p>
          <w:p w:rsidR="00024C0A" w:rsidRDefault="00694C0F">
            <w:pPr>
              <w:pStyle w:val="TableBodyText"/>
            </w:pPr>
            <w:r>
              <w:t>The top border color shall be black (000000).</w:t>
            </w:r>
          </w:p>
          <w:p w:rsidR="00024C0A" w:rsidRDefault="00024C0A">
            <w:pPr>
              <w:pStyle w:val="TableBodyText"/>
            </w:pPr>
          </w:p>
          <w:p w:rsidR="00024C0A" w:rsidRDefault="00694C0F">
            <w:pPr>
              <w:pStyle w:val="TableBodyText"/>
            </w:pPr>
            <w:r>
              <w:t>The first column of the last row shall have the following properties:</w:t>
            </w:r>
          </w:p>
          <w:p w:rsidR="00024C0A" w:rsidRDefault="00694C0F">
            <w:pPr>
              <w:pStyle w:val="TableBodyText"/>
            </w:pPr>
            <w:r>
              <w:t>The font color shall be dark blue (0000CC).</w:t>
            </w:r>
          </w:p>
          <w:p w:rsidR="00024C0A" w:rsidRDefault="00694C0F">
            <w:pPr>
              <w:pStyle w:val="TableBodyText"/>
            </w:pPr>
            <w:r>
              <w:t>The f</w:t>
            </w:r>
            <w:r>
              <w:t>ont shall be italic.</w:t>
            </w:r>
          </w:p>
          <w:p w:rsidR="00024C0A" w:rsidRDefault="00024C0A">
            <w:pPr>
              <w:pStyle w:val="TableBodyText"/>
            </w:pPr>
          </w:p>
        </w:tc>
      </w:tr>
      <w:tr w:rsidR="00024C0A" w:rsidTr="00024C0A">
        <w:tc>
          <w:tcPr>
            <w:tcW w:w="0" w:type="auto"/>
            <w:vAlign w:val="center"/>
          </w:tcPr>
          <w:p w:rsidR="00024C0A" w:rsidRDefault="00694C0F">
            <w:pPr>
              <w:pStyle w:val="TableBodyText"/>
            </w:pPr>
            <w:r>
              <w:lastRenderedPageBreak/>
              <w:t>27 (List 4)</w:t>
            </w:r>
          </w:p>
          <w:p w:rsidR="00024C0A" w:rsidRDefault="00024C0A">
            <w:pPr>
              <w:pStyle w:val="TableBodyText"/>
            </w:pPr>
          </w:p>
        </w:tc>
        <w:tc>
          <w:tcPr>
            <w:tcW w:w="0" w:type="auto"/>
            <w:vAlign w:val="center"/>
          </w:tcPr>
          <w:p w:rsidR="00024C0A" w:rsidRDefault="00694C0F">
            <w:pPr>
              <w:pStyle w:val="TableBodyText"/>
            </w:pPr>
            <w:r>
              <w:t>The table shall have the following properties:</w:t>
            </w:r>
          </w:p>
          <w:p w:rsidR="00024C0A" w:rsidRDefault="00694C0F">
            <w:pPr>
              <w:pStyle w:val="TableBodyText"/>
            </w:pPr>
            <w:r>
              <w:t>The top border shall be a 1 1/2 pt single line.</w:t>
            </w:r>
          </w:p>
          <w:p w:rsidR="00024C0A" w:rsidRDefault="00694C0F">
            <w:pPr>
              <w:pStyle w:val="TableBodyText"/>
            </w:pPr>
            <w:r>
              <w:t>The left border shall be a 1 1/2 pt single line.</w:t>
            </w:r>
          </w:p>
          <w:p w:rsidR="00024C0A" w:rsidRDefault="00694C0F">
            <w:pPr>
              <w:pStyle w:val="TableBodyText"/>
            </w:pPr>
            <w:r>
              <w:t>The bottom border shall be a 1 1/2 pt single line.</w:t>
            </w:r>
          </w:p>
          <w:p w:rsidR="00024C0A" w:rsidRDefault="00694C0F">
            <w:pPr>
              <w:pStyle w:val="TableBodyText"/>
            </w:pPr>
            <w:r>
              <w:t>The right border shall be</w:t>
            </w:r>
            <w:r>
              <w:t xml:space="preserve"> a 1 1/2 pt single line.</w:t>
            </w:r>
          </w:p>
          <w:p w:rsidR="00024C0A" w:rsidRDefault="00694C0F">
            <w:pPr>
              <w:pStyle w:val="TableBodyText"/>
            </w:pPr>
            <w:r>
              <w:t>The inside horizontal border shall be a 3/4 pt single line.</w:t>
            </w:r>
          </w:p>
          <w:p w:rsidR="00024C0A" w:rsidRDefault="00694C0F">
            <w:pPr>
              <w:pStyle w:val="TableBodyText"/>
            </w:pPr>
            <w:r>
              <w:t>The top border color shall be black (000000).</w:t>
            </w:r>
          </w:p>
          <w:p w:rsidR="00024C0A" w:rsidRDefault="00694C0F">
            <w:pPr>
              <w:pStyle w:val="TableBodyText"/>
            </w:pPr>
            <w:r>
              <w:t>The left border color shall be black (000000).</w:t>
            </w:r>
          </w:p>
          <w:p w:rsidR="00024C0A" w:rsidRDefault="00694C0F">
            <w:pPr>
              <w:pStyle w:val="TableBodyText"/>
            </w:pPr>
            <w:r>
              <w:t>The bottom border color shall be black (000000).</w:t>
            </w:r>
          </w:p>
          <w:p w:rsidR="00024C0A" w:rsidRDefault="00694C0F">
            <w:pPr>
              <w:pStyle w:val="TableBodyText"/>
            </w:pPr>
            <w:r>
              <w:t xml:space="preserve">The right border color shall </w:t>
            </w:r>
            <w:r>
              <w:t>be black (000000).</w:t>
            </w:r>
          </w:p>
          <w:p w:rsidR="00024C0A" w:rsidRDefault="00694C0F">
            <w:pPr>
              <w:pStyle w:val="TableBodyText"/>
            </w:pPr>
            <w:r>
              <w:t>The inside horizontal border color shall be black (000000).</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The header rows shall have the following properties:</w:t>
            </w:r>
          </w:p>
          <w:p w:rsidR="00024C0A" w:rsidRDefault="00694C0F">
            <w:pPr>
              <w:pStyle w:val="TableBodyText"/>
            </w:pPr>
            <w:r>
              <w:t>The bottom border shall be a 1 1/2 pt single line.</w:t>
            </w:r>
          </w:p>
          <w:p w:rsidR="00024C0A" w:rsidRDefault="00694C0F">
            <w:pPr>
              <w:pStyle w:val="TableBodyText"/>
            </w:pPr>
            <w:r>
              <w:t>The bottom border color shall be bl</w:t>
            </w:r>
            <w:r>
              <w:t>ack (000000).</w:t>
            </w:r>
          </w:p>
          <w:p w:rsidR="00024C0A" w:rsidRDefault="00694C0F">
            <w:pPr>
              <w:pStyle w:val="TableBodyText"/>
            </w:pPr>
            <w:r>
              <w:t>The foreground shading color shall be dark gray (CCCCCC).</w:t>
            </w:r>
          </w:p>
          <w:p w:rsidR="00024C0A" w:rsidRDefault="00694C0F">
            <w:pPr>
              <w:pStyle w:val="TableBodyText"/>
            </w:pPr>
            <w:r>
              <w:t>The background shading shall be white (FFFFFF).</w:t>
            </w:r>
          </w:p>
          <w:p w:rsidR="00024C0A" w:rsidRDefault="00694C0F">
            <w:pPr>
              <w:pStyle w:val="TableBodyText"/>
            </w:pPr>
            <w:r>
              <w:t>The shading pattern shall be solid.</w:t>
            </w:r>
          </w:p>
          <w:p w:rsidR="00024C0A" w:rsidRDefault="00694C0F">
            <w:pPr>
              <w:pStyle w:val="TableBodyText"/>
            </w:pPr>
            <w:r>
              <w:t>The font color shall be white (FFFFFF).</w:t>
            </w:r>
          </w:p>
          <w:p w:rsidR="00024C0A" w:rsidRDefault="00694C0F">
            <w:pPr>
              <w:pStyle w:val="TableBodyText"/>
            </w:pPr>
            <w:r>
              <w:t>The font shall be bold.</w:t>
            </w:r>
          </w:p>
          <w:p w:rsidR="00024C0A" w:rsidRDefault="00024C0A">
            <w:pPr>
              <w:pStyle w:val="TableBodyText"/>
            </w:pPr>
          </w:p>
        </w:tc>
      </w:tr>
      <w:tr w:rsidR="00024C0A" w:rsidTr="00024C0A">
        <w:tc>
          <w:tcPr>
            <w:tcW w:w="0" w:type="auto"/>
            <w:vAlign w:val="center"/>
          </w:tcPr>
          <w:p w:rsidR="00024C0A" w:rsidRDefault="00694C0F">
            <w:pPr>
              <w:pStyle w:val="TableBodyText"/>
            </w:pPr>
            <w:r>
              <w:t>28 (List 5)</w:t>
            </w:r>
          </w:p>
          <w:p w:rsidR="00024C0A" w:rsidRDefault="00024C0A">
            <w:pPr>
              <w:pStyle w:val="TableBodyText"/>
            </w:pPr>
          </w:p>
        </w:tc>
        <w:tc>
          <w:tcPr>
            <w:tcW w:w="0" w:type="auto"/>
            <w:vAlign w:val="center"/>
          </w:tcPr>
          <w:p w:rsidR="00024C0A" w:rsidRDefault="00694C0F">
            <w:pPr>
              <w:pStyle w:val="TableBodyText"/>
            </w:pPr>
            <w:r>
              <w:t xml:space="preserve">The table shall have </w:t>
            </w:r>
            <w:r>
              <w:t>the following properties:</w:t>
            </w:r>
          </w:p>
          <w:p w:rsidR="00024C0A" w:rsidRDefault="00694C0F">
            <w:pPr>
              <w:pStyle w:val="TableBodyText"/>
            </w:pPr>
            <w:r>
              <w:t>The top border shall be a 3/4 pt single line.</w:t>
            </w:r>
          </w:p>
          <w:p w:rsidR="00024C0A" w:rsidRDefault="00694C0F">
            <w:pPr>
              <w:pStyle w:val="TableBodyText"/>
            </w:pPr>
            <w:r>
              <w:t>The left border shall be a 3/4 pt single line.</w:t>
            </w:r>
          </w:p>
          <w:p w:rsidR="00024C0A" w:rsidRDefault="00694C0F">
            <w:pPr>
              <w:pStyle w:val="TableBodyText"/>
            </w:pPr>
            <w:r>
              <w:t>The bottom border shall be a 3/4 pt single line.</w:t>
            </w:r>
          </w:p>
          <w:p w:rsidR="00024C0A" w:rsidRDefault="00694C0F">
            <w:pPr>
              <w:pStyle w:val="TableBodyText"/>
            </w:pPr>
            <w:r>
              <w:t>The right border shall be a 3/4 pt single line.</w:t>
            </w:r>
          </w:p>
          <w:p w:rsidR="00024C0A" w:rsidRDefault="00694C0F">
            <w:pPr>
              <w:pStyle w:val="TableBodyText"/>
            </w:pPr>
            <w:r>
              <w:t xml:space="preserve">The top border color shall be black </w:t>
            </w:r>
            <w:r>
              <w:t>(000000).</w:t>
            </w:r>
          </w:p>
          <w:p w:rsidR="00024C0A" w:rsidRDefault="00694C0F">
            <w:pPr>
              <w:pStyle w:val="TableBodyText"/>
            </w:pPr>
            <w:r>
              <w:t>The left border color shall be black (000000).</w:t>
            </w:r>
          </w:p>
          <w:p w:rsidR="00024C0A" w:rsidRDefault="00694C0F">
            <w:pPr>
              <w:pStyle w:val="TableBodyText"/>
            </w:pPr>
            <w:r>
              <w:t>The bottom border color shall be black (000000).</w:t>
            </w:r>
          </w:p>
          <w:p w:rsidR="00024C0A" w:rsidRDefault="00694C0F">
            <w:pPr>
              <w:pStyle w:val="TableBodyText"/>
            </w:pPr>
            <w:r>
              <w:t>The right border color shall be black (000000).</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The table data shall have the following properties:</w:t>
            </w:r>
          </w:p>
          <w:p w:rsidR="00024C0A" w:rsidRDefault="00694C0F">
            <w:pPr>
              <w:pStyle w:val="TableBodyText"/>
            </w:pPr>
            <w:r>
              <w:t>The inside h</w:t>
            </w:r>
            <w:r>
              <w:t>orizontal border shall be a 3/4 pt single line.</w:t>
            </w:r>
          </w:p>
          <w:p w:rsidR="00024C0A" w:rsidRDefault="00694C0F">
            <w:pPr>
              <w:pStyle w:val="TableBodyText"/>
            </w:pPr>
            <w:r>
              <w:lastRenderedPageBreak/>
              <w:t>The inside horizontal border color shall be black (000000).</w:t>
            </w:r>
          </w:p>
          <w:p w:rsidR="00024C0A" w:rsidRDefault="00024C0A">
            <w:pPr>
              <w:pStyle w:val="TableBodyText"/>
            </w:pPr>
          </w:p>
          <w:p w:rsidR="00024C0A" w:rsidRDefault="00694C0F">
            <w:pPr>
              <w:pStyle w:val="TableBodyText"/>
            </w:pPr>
            <w:r>
              <w:t>The header rows shall have the following properties:</w:t>
            </w:r>
          </w:p>
          <w:p w:rsidR="00024C0A" w:rsidRDefault="00694C0F">
            <w:pPr>
              <w:pStyle w:val="TableBodyText"/>
            </w:pPr>
            <w:r>
              <w:t>The bottom border shall be a 1 1/2 pt single line.</w:t>
            </w:r>
          </w:p>
          <w:p w:rsidR="00024C0A" w:rsidRDefault="00694C0F">
            <w:pPr>
              <w:pStyle w:val="TableBodyText"/>
            </w:pPr>
            <w:r>
              <w:t xml:space="preserve">The bottom border color shall be black </w:t>
            </w:r>
            <w:r>
              <w:t>(000000).</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first column shall have the following properties:</w:t>
            </w:r>
          </w:p>
          <w:p w:rsidR="00024C0A" w:rsidRDefault="00694C0F">
            <w:pPr>
              <w:pStyle w:val="TableBodyText"/>
            </w:pPr>
            <w:r>
              <w:t>The font shall be bold.</w:t>
            </w:r>
          </w:p>
          <w:p w:rsidR="00024C0A" w:rsidRDefault="00024C0A">
            <w:pPr>
              <w:pStyle w:val="TableBodyText"/>
            </w:pPr>
          </w:p>
        </w:tc>
      </w:tr>
      <w:tr w:rsidR="00024C0A" w:rsidTr="00024C0A">
        <w:tc>
          <w:tcPr>
            <w:tcW w:w="0" w:type="auto"/>
            <w:vAlign w:val="center"/>
          </w:tcPr>
          <w:p w:rsidR="00024C0A" w:rsidRDefault="00694C0F">
            <w:pPr>
              <w:pStyle w:val="TableBodyText"/>
            </w:pPr>
            <w:r>
              <w:lastRenderedPageBreak/>
              <w:t>29 (List 6)</w:t>
            </w:r>
          </w:p>
          <w:p w:rsidR="00024C0A" w:rsidRDefault="00024C0A">
            <w:pPr>
              <w:pStyle w:val="TableBodyText"/>
            </w:pPr>
          </w:p>
        </w:tc>
        <w:tc>
          <w:tcPr>
            <w:tcW w:w="0" w:type="auto"/>
            <w:vAlign w:val="center"/>
          </w:tcPr>
          <w:p w:rsidR="00024C0A" w:rsidRDefault="00694C0F">
            <w:pPr>
              <w:pStyle w:val="TableBodyText"/>
            </w:pPr>
            <w:r>
              <w:t>The table shall have the following properties:</w:t>
            </w:r>
          </w:p>
          <w:p w:rsidR="00024C0A" w:rsidRDefault="00694C0F">
            <w:pPr>
              <w:pStyle w:val="TableBodyText"/>
            </w:pPr>
            <w:r>
              <w:t>The top border shall be a 3/4 pt single line.</w:t>
            </w:r>
          </w:p>
          <w:p w:rsidR="00024C0A" w:rsidRDefault="00694C0F">
            <w:pPr>
              <w:pStyle w:val="TableBodyText"/>
            </w:pPr>
            <w:r>
              <w:t>The left border shall be a 3/4 pt s</w:t>
            </w:r>
            <w:r>
              <w:t>ingle line.</w:t>
            </w:r>
          </w:p>
          <w:p w:rsidR="00024C0A" w:rsidRDefault="00694C0F">
            <w:pPr>
              <w:pStyle w:val="TableBodyText"/>
            </w:pPr>
            <w:r>
              <w:t>The bottom border shall be a 3/4 pt single line.</w:t>
            </w:r>
          </w:p>
          <w:p w:rsidR="00024C0A" w:rsidRDefault="00694C0F">
            <w:pPr>
              <w:pStyle w:val="TableBodyText"/>
            </w:pPr>
            <w:r>
              <w:t>The right border shall be a 3/4 pt single line.</w:t>
            </w:r>
          </w:p>
          <w:p w:rsidR="00024C0A" w:rsidRDefault="00694C0F">
            <w:pPr>
              <w:pStyle w:val="TableBodyText"/>
            </w:pPr>
            <w:r>
              <w:t>The top border color shall be black (000000).</w:t>
            </w:r>
          </w:p>
          <w:p w:rsidR="00024C0A" w:rsidRDefault="00694C0F">
            <w:pPr>
              <w:pStyle w:val="TableBodyText"/>
            </w:pPr>
            <w:r>
              <w:t>The left border color shall be black (000000).</w:t>
            </w:r>
          </w:p>
          <w:p w:rsidR="00024C0A" w:rsidRDefault="00694C0F">
            <w:pPr>
              <w:pStyle w:val="TableBodyText"/>
            </w:pPr>
            <w:r>
              <w:t>The bottom border color shall be black (000000).</w:t>
            </w:r>
          </w:p>
          <w:p w:rsidR="00024C0A" w:rsidRDefault="00694C0F">
            <w:pPr>
              <w:pStyle w:val="TableBodyText"/>
            </w:pPr>
            <w:r>
              <w:t xml:space="preserve">The </w:t>
            </w:r>
            <w:r>
              <w:t>right border color shall be black (000000).</w:t>
            </w:r>
          </w:p>
          <w:p w:rsidR="00024C0A" w:rsidRDefault="00694C0F">
            <w:pPr>
              <w:pStyle w:val="TableBodyText"/>
            </w:pPr>
            <w:r>
              <w:t>The foreground shading color shall be black (000000).</w:t>
            </w:r>
          </w:p>
          <w:p w:rsidR="00024C0A" w:rsidRDefault="00694C0F">
            <w:pPr>
              <w:pStyle w:val="TableBodyText"/>
            </w:pPr>
            <w:r>
              <w:t>The background shading shall be white (FFFFFF).</w:t>
            </w:r>
          </w:p>
          <w:p w:rsidR="00024C0A" w:rsidRDefault="00694C0F">
            <w:pPr>
              <w:pStyle w:val="TableBodyText"/>
            </w:pPr>
            <w:r>
              <w:t>The shading pattern shall be pct50.</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Even rows of table data shall have t</w:t>
            </w:r>
            <w:r>
              <w:t>he following properties:</w:t>
            </w:r>
          </w:p>
          <w:p w:rsidR="00024C0A" w:rsidRDefault="00694C0F">
            <w:pPr>
              <w:pStyle w:val="TableBodyText"/>
            </w:pPr>
            <w:r>
              <w:t>The foreground shading color shall be black (000000).</w:t>
            </w:r>
          </w:p>
          <w:p w:rsidR="00024C0A" w:rsidRDefault="00694C0F">
            <w:pPr>
              <w:pStyle w:val="TableBodyText"/>
            </w:pPr>
            <w:r>
              <w:t>The background shading shall be white (FFFFFF).</w:t>
            </w:r>
          </w:p>
          <w:p w:rsidR="00024C0A" w:rsidRDefault="00694C0F">
            <w:pPr>
              <w:pStyle w:val="TableBodyText"/>
            </w:pPr>
            <w:r>
              <w:t>The shading pattern shall be pct25.</w:t>
            </w:r>
          </w:p>
          <w:p w:rsidR="00024C0A" w:rsidRDefault="00024C0A">
            <w:pPr>
              <w:pStyle w:val="TableBodyText"/>
            </w:pPr>
          </w:p>
          <w:p w:rsidR="00024C0A" w:rsidRDefault="00694C0F">
            <w:pPr>
              <w:pStyle w:val="TableBodyText"/>
            </w:pPr>
            <w:r>
              <w:t>The header rows shall have the following properties:</w:t>
            </w:r>
          </w:p>
          <w:p w:rsidR="00024C0A" w:rsidRDefault="00694C0F">
            <w:pPr>
              <w:pStyle w:val="TableBodyText"/>
            </w:pPr>
            <w:r>
              <w:t>The bottom border shall be a 1 1/2 pt s</w:t>
            </w:r>
            <w:r>
              <w:t>ingle line.</w:t>
            </w:r>
          </w:p>
          <w:p w:rsidR="00024C0A" w:rsidRDefault="00694C0F">
            <w:pPr>
              <w:pStyle w:val="TableBodyText"/>
            </w:pPr>
            <w:r>
              <w:t>The bottom border color shall be black (000000).</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first column shall have the following properties:</w:t>
            </w:r>
          </w:p>
          <w:p w:rsidR="00024C0A" w:rsidRDefault="00694C0F">
            <w:pPr>
              <w:pStyle w:val="TableBodyText"/>
            </w:pPr>
            <w:r>
              <w:t>The right border shall be a 1 1/2 pt single line.</w:t>
            </w:r>
          </w:p>
          <w:p w:rsidR="00024C0A" w:rsidRDefault="00694C0F">
            <w:pPr>
              <w:pStyle w:val="TableBodyText"/>
            </w:pPr>
            <w:r>
              <w:t>The right border color shall be black (000000).</w:t>
            </w:r>
          </w:p>
          <w:p w:rsidR="00024C0A" w:rsidRDefault="00694C0F">
            <w:pPr>
              <w:pStyle w:val="TableBodyText"/>
            </w:pPr>
            <w:r>
              <w:t xml:space="preserve">The font shall be </w:t>
            </w:r>
            <w:r>
              <w:t>bold.</w:t>
            </w:r>
          </w:p>
          <w:p w:rsidR="00024C0A" w:rsidRDefault="00024C0A">
            <w:pPr>
              <w:pStyle w:val="TableBodyText"/>
            </w:pPr>
          </w:p>
        </w:tc>
      </w:tr>
      <w:tr w:rsidR="00024C0A" w:rsidTr="00024C0A">
        <w:tc>
          <w:tcPr>
            <w:tcW w:w="0" w:type="auto"/>
            <w:vAlign w:val="center"/>
          </w:tcPr>
          <w:p w:rsidR="00024C0A" w:rsidRDefault="00694C0F">
            <w:pPr>
              <w:pStyle w:val="TableBodyText"/>
            </w:pPr>
            <w:r>
              <w:t>30 (List 7)</w:t>
            </w:r>
          </w:p>
          <w:p w:rsidR="00024C0A" w:rsidRDefault="00024C0A">
            <w:pPr>
              <w:pStyle w:val="TableBodyText"/>
            </w:pPr>
          </w:p>
        </w:tc>
        <w:tc>
          <w:tcPr>
            <w:tcW w:w="0" w:type="auto"/>
            <w:vAlign w:val="center"/>
          </w:tcPr>
          <w:p w:rsidR="00024C0A" w:rsidRDefault="00694C0F">
            <w:pPr>
              <w:pStyle w:val="TableBodyText"/>
            </w:pPr>
            <w:r>
              <w:t>The table shall have the following properties:</w:t>
            </w:r>
          </w:p>
          <w:p w:rsidR="00024C0A" w:rsidRDefault="00694C0F">
            <w:pPr>
              <w:pStyle w:val="TableBodyText"/>
            </w:pPr>
            <w:r>
              <w:t>The top border shall be a 1 1/2 pt single line.</w:t>
            </w:r>
          </w:p>
          <w:p w:rsidR="00024C0A" w:rsidRDefault="00694C0F">
            <w:pPr>
              <w:pStyle w:val="TableBodyText"/>
            </w:pPr>
            <w:r>
              <w:t>The left border shall be a 3/4 pt single line.</w:t>
            </w:r>
          </w:p>
          <w:p w:rsidR="00024C0A" w:rsidRDefault="00694C0F">
            <w:pPr>
              <w:pStyle w:val="TableBodyText"/>
            </w:pPr>
            <w:r>
              <w:t>The bottom border shall be a 1 1/2 pt single line.</w:t>
            </w:r>
          </w:p>
          <w:p w:rsidR="00024C0A" w:rsidRDefault="00694C0F">
            <w:pPr>
              <w:pStyle w:val="TableBodyText"/>
            </w:pPr>
            <w:r>
              <w:t xml:space="preserve">The right border shall be a 3/4 pt single </w:t>
            </w:r>
            <w:r>
              <w:t>line.</w:t>
            </w:r>
          </w:p>
          <w:p w:rsidR="00024C0A" w:rsidRDefault="00694C0F">
            <w:pPr>
              <w:pStyle w:val="TableBodyText"/>
            </w:pPr>
            <w:r>
              <w:t>The inside horizontal border shall be a 3/4 pt single line.</w:t>
            </w:r>
          </w:p>
          <w:p w:rsidR="00024C0A" w:rsidRDefault="00694C0F">
            <w:pPr>
              <w:pStyle w:val="TableBodyText"/>
            </w:pPr>
            <w:r>
              <w:t>The top border color shall be dark green (00CC00).</w:t>
            </w:r>
          </w:p>
          <w:p w:rsidR="00024C0A" w:rsidRDefault="00694C0F">
            <w:pPr>
              <w:pStyle w:val="TableBodyText"/>
            </w:pPr>
            <w:r>
              <w:t>The left border color shall be dark green (00CC00).</w:t>
            </w:r>
          </w:p>
          <w:p w:rsidR="00024C0A" w:rsidRDefault="00694C0F">
            <w:pPr>
              <w:pStyle w:val="TableBodyText"/>
            </w:pPr>
            <w:r>
              <w:lastRenderedPageBreak/>
              <w:t>The bottom border color shall be dark green (00CC00).</w:t>
            </w:r>
          </w:p>
          <w:p w:rsidR="00024C0A" w:rsidRDefault="00694C0F">
            <w:pPr>
              <w:pStyle w:val="TableBodyText"/>
            </w:pPr>
            <w:r>
              <w:t>The right border color shall be d</w:t>
            </w:r>
            <w:r>
              <w:t>ark green (00CC00).</w:t>
            </w:r>
          </w:p>
          <w:p w:rsidR="00024C0A" w:rsidRDefault="00694C0F">
            <w:pPr>
              <w:pStyle w:val="TableBodyText"/>
            </w:pPr>
            <w:r>
              <w:t>The inside horizontal border color shall be black (000000).</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Odd rows of table data shall have the following properties:</w:t>
            </w:r>
          </w:p>
          <w:p w:rsidR="00024C0A" w:rsidRDefault="00694C0F">
            <w:pPr>
              <w:pStyle w:val="TableBodyText"/>
            </w:pPr>
            <w:r>
              <w:t>The foreground shading color shall be yellow (FFFF00).</w:t>
            </w:r>
          </w:p>
          <w:p w:rsidR="00024C0A" w:rsidRDefault="00694C0F">
            <w:pPr>
              <w:pStyle w:val="TableBodyText"/>
            </w:pPr>
            <w:r>
              <w:t xml:space="preserve">The background shading </w:t>
            </w:r>
            <w:r>
              <w:t>shall be white (FFFFFF).</w:t>
            </w:r>
          </w:p>
          <w:p w:rsidR="00024C0A" w:rsidRDefault="00694C0F">
            <w:pPr>
              <w:pStyle w:val="TableBodyText"/>
            </w:pPr>
            <w:r>
              <w:t>The shading pattern shall be pct25.</w:t>
            </w:r>
          </w:p>
          <w:p w:rsidR="00024C0A" w:rsidRDefault="00024C0A">
            <w:pPr>
              <w:pStyle w:val="TableBodyText"/>
            </w:pPr>
          </w:p>
          <w:p w:rsidR="00024C0A" w:rsidRDefault="00694C0F">
            <w:pPr>
              <w:pStyle w:val="TableBodyText"/>
            </w:pPr>
            <w:r>
              <w:t>Even rows of table data shall have the following properties:</w:t>
            </w:r>
          </w:p>
          <w:p w:rsidR="00024C0A" w:rsidRDefault="00694C0F">
            <w:pPr>
              <w:pStyle w:val="TableBodyText"/>
            </w:pPr>
            <w:r>
              <w:t>The foreground shading color shall be black (000000).</w:t>
            </w:r>
          </w:p>
          <w:p w:rsidR="00024C0A" w:rsidRDefault="00694C0F">
            <w:pPr>
              <w:pStyle w:val="TableBodyText"/>
            </w:pPr>
            <w:r>
              <w:t>The background shading shall be white (FFFFFF).</w:t>
            </w:r>
          </w:p>
          <w:p w:rsidR="00024C0A" w:rsidRDefault="00694C0F">
            <w:pPr>
              <w:pStyle w:val="TableBodyText"/>
            </w:pPr>
            <w:r>
              <w:t xml:space="preserve">The shading pattern shall be </w:t>
            </w:r>
            <w:r>
              <w:t>pct20.</w:t>
            </w:r>
          </w:p>
          <w:p w:rsidR="00024C0A" w:rsidRDefault="00024C0A">
            <w:pPr>
              <w:pStyle w:val="TableBodyText"/>
            </w:pPr>
          </w:p>
          <w:p w:rsidR="00024C0A" w:rsidRDefault="00694C0F">
            <w:pPr>
              <w:pStyle w:val="TableBodyText"/>
            </w:pPr>
            <w:r>
              <w:t>The header rows shall have the following properties:</w:t>
            </w:r>
          </w:p>
          <w:p w:rsidR="00024C0A" w:rsidRDefault="00694C0F">
            <w:pPr>
              <w:pStyle w:val="TableBodyText"/>
            </w:pPr>
            <w:r>
              <w:t>The bottom border shall be a 1 1/2 pt single line.</w:t>
            </w:r>
          </w:p>
          <w:p w:rsidR="00024C0A" w:rsidRDefault="00694C0F">
            <w:pPr>
              <w:pStyle w:val="TableBodyText"/>
            </w:pPr>
            <w:r>
              <w:t>The bottom border color shall be dark green (00CC00).</w:t>
            </w:r>
          </w:p>
          <w:p w:rsidR="00024C0A" w:rsidRDefault="00694C0F">
            <w:pPr>
              <w:pStyle w:val="TableBodyText"/>
            </w:pPr>
            <w:r>
              <w:t>The foreground shading color shall be dark gray (C0C0C0).</w:t>
            </w:r>
          </w:p>
          <w:p w:rsidR="00024C0A" w:rsidRDefault="00694C0F">
            <w:pPr>
              <w:pStyle w:val="TableBodyText"/>
            </w:pPr>
            <w:r>
              <w:t xml:space="preserve">The background shading shall be </w:t>
            </w:r>
            <w:r>
              <w:t>white (FFFFFF).</w:t>
            </w:r>
          </w:p>
          <w:p w:rsidR="00024C0A" w:rsidRDefault="00694C0F">
            <w:pPr>
              <w:pStyle w:val="TableBodyText"/>
            </w:pPr>
            <w:r>
              <w:t>The shading pattern shall be solid.</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first column shall have the following properties:</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last row shall have the following properties:</w:t>
            </w:r>
          </w:p>
          <w:p w:rsidR="00024C0A" w:rsidRDefault="00694C0F">
            <w:pPr>
              <w:pStyle w:val="TableBodyText"/>
            </w:pPr>
            <w:r>
              <w:t>The top border shall be a 1 1/2 pt single line.</w:t>
            </w:r>
          </w:p>
          <w:p w:rsidR="00024C0A" w:rsidRDefault="00694C0F">
            <w:pPr>
              <w:pStyle w:val="TableBodyText"/>
            </w:pPr>
            <w:r>
              <w:t>Th</w:t>
            </w:r>
            <w:r>
              <w:t>e top border color shall be dark green (00CC00).</w:t>
            </w:r>
          </w:p>
          <w:p w:rsidR="00024C0A" w:rsidRDefault="00694C0F">
            <w:pPr>
              <w:pStyle w:val="TableBodyText"/>
            </w:pPr>
            <w:r>
              <w:t>The shading pattern shall be clear.</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last column shall have the following properties:</w:t>
            </w:r>
          </w:p>
          <w:p w:rsidR="00024C0A" w:rsidRDefault="00694C0F">
            <w:pPr>
              <w:pStyle w:val="TableBodyText"/>
            </w:pPr>
            <w:r>
              <w:t>The font shall be bold.</w:t>
            </w:r>
          </w:p>
          <w:p w:rsidR="00024C0A" w:rsidRDefault="00024C0A">
            <w:pPr>
              <w:pStyle w:val="TableBodyText"/>
            </w:pPr>
          </w:p>
        </w:tc>
      </w:tr>
      <w:tr w:rsidR="00024C0A" w:rsidTr="00024C0A">
        <w:tc>
          <w:tcPr>
            <w:tcW w:w="0" w:type="auto"/>
            <w:vAlign w:val="center"/>
          </w:tcPr>
          <w:p w:rsidR="00024C0A" w:rsidRDefault="00694C0F">
            <w:pPr>
              <w:pStyle w:val="TableBodyText"/>
            </w:pPr>
            <w:r>
              <w:lastRenderedPageBreak/>
              <w:t>31 (List 8)</w:t>
            </w:r>
          </w:p>
          <w:p w:rsidR="00024C0A" w:rsidRDefault="00024C0A">
            <w:pPr>
              <w:pStyle w:val="TableBodyText"/>
            </w:pPr>
          </w:p>
        </w:tc>
        <w:tc>
          <w:tcPr>
            <w:tcW w:w="0" w:type="auto"/>
            <w:vAlign w:val="center"/>
          </w:tcPr>
          <w:p w:rsidR="00024C0A" w:rsidRDefault="00694C0F">
            <w:pPr>
              <w:pStyle w:val="TableBodyText"/>
            </w:pPr>
            <w:r>
              <w:t>The table shall have the following properties:</w:t>
            </w:r>
          </w:p>
          <w:p w:rsidR="00024C0A" w:rsidRDefault="00694C0F">
            <w:pPr>
              <w:pStyle w:val="TableBodyText"/>
            </w:pPr>
            <w:r>
              <w:t>The top</w:t>
            </w:r>
            <w:r>
              <w:t xml:space="preserve"> border shall be a 3/4 pt single line.</w:t>
            </w:r>
          </w:p>
          <w:p w:rsidR="00024C0A" w:rsidRDefault="00694C0F">
            <w:pPr>
              <w:pStyle w:val="TableBodyText"/>
            </w:pPr>
            <w:r>
              <w:t>The left border shall be a 3/4 pt single line.</w:t>
            </w:r>
          </w:p>
          <w:p w:rsidR="00024C0A" w:rsidRDefault="00694C0F">
            <w:pPr>
              <w:pStyle w:val="TableBodyText"/>
            </w:pPr>
            <w:r>
              <w:t>The bottom border shall be a 3/4 pt single line.</w:t>
            </w:r>
          </w:p>
          <w:p w:rsidR="00024C0A" w:rsidRDefault="00694C0F">
            <w:pPr>
              <w:pStyle w:val="TableBodyText"/>
            </w:pPr>
            <w:r>
              <w:t>The right border shall be a 3/4 pt single line.</w:t>
            </w:r>
          </w:p>
          <w:p w:rsidR="00024C0A" w:rsidRDefault="00694C0F">
            <w:pPr>
              <w:pStyle w:val="TableBodyText"/>
            </w:pPr>
            <w:r>
              <w:t>The inside vertical border shall be a 3/4 pt single line.</w:t>
            </w:r>
          </w:p>
          <w:p w:rsidR="00024C0A" w:rsidRDefault="00694C0F">
            <w:pPr>
              <w:pStyle w:val="TableBodyText"/>
            </w:pPr>
            <w:r>
              <w:t xml:space="preserve">The top border </w:t>
            </w:r>
            <w:r>
              <w:t>color shall be black (000000).</w:t>
            </w:r>
          </w:p>
          <w:p w:rsidR="00024C0A" w:rsidRDefault="00694C0F">
            <w:pPr>
              <w:pStyle w:val="TableBodyText"/>
            </w:pPr>
            <w:r>
              <w:t>The left border color shall be black (000000).</w:t>
            </w:r>
          </w:p>
          <w:p w:rsidR="00024C0A" w:rsidRDefault="00694C0F">
            <w:pPr>
              <w:pStyle w:val="TableBodyText"/>
            </w:pPr>
            <w:r>
              <w:t>The bottom border color shall be black (000000).</w:t>
            </w:r>
          </w:p>
          <w:p w:rsidR="00024C0A" w:rsidRDefault="00694C0F">
            <w:pPr>
              <w:pStyle w:val="TableBodyText"/>
            </w:pPr>
            <w:r>
              <w:t>The right border color shall be black (000000).</w:t>
            </w:r>
          </w:p>
          <w:p w:rsidR="00024C0A" w:rsidRDefault="00694C0F">
            <w:pPr>
              <w:pStyle w:val="TableBodyText"/>
            </w:pPr>
            <w:r>
              <w:t>The inside vertical border color shall be black (000000).</w:t>
            </w:r>
          </w:p>
          <w:p w:rsidR="00024C0A" w:rsidRDefault="00694C0F">
            <w:pPr>
              <w:pStyle w:val="TableBodyText"/>
            </w:pPr>
            <w:r>
              <w:t xml:space="preserve">The vertical alignment </w:t>
            </w:r>
            <w:r>
              <w:t>shall be top.</w:t>
            </w:r>
          </w:p>
          <w:p w:rsidR="00024C0A" w:rsidRDefault="00024C0A">
            <w:pPr>
              <w:pStyle w:val="TableBodyText"/>
            </w:pPr>
          </w:p>
          <w:p w:rsidR="00024C0A" w:rsidRDefault="00694C0F">
            <w:pPr>
              <w:pStyle w:val="TableBodyText"/>
            </w:pPr>
            <w:r>
              <w:t>Odd rows of table data shall have the following properties:</w:t>
            </w:r>
          </w:p>
          <w:p w:rsidR="00024C0A" w:rsidRDefault="00694C0F">
            <w:pPr>
              <w:pStyle w:val="TableBodyText"/>
            </w:pPr>
            <w:r>
              <w:t>The foreground shading color shall be red (FF0000).</w:t>
            </w:r>
          </w:p>
          <w:p w:rsidR="00024C0A" w:rsidRDefault="00694C0F">
            <w:pPr>
              <w:pStyle w:val="TableBodyText"/>
            </w:pPr>
            <w:r>
              <w:t>The background shading shall be white (FFFFFF).</w:t>
            </w:r>
          </w:p>
          <w:p w:rsidR="00024C0A" w:rsidRDefault="00694C0F">
            <w:pPr>
              <w:pStyle w:val="TableBodyText"/>
            </w:pPr>
            <w:r>
              <w:t>The shading pattern shall be pct50.</w:t>
            </w:r>
          </w:p>
          <w:p w:rsidR="00024C0A" w:rsidRDefault="00024C0A">
            <w:pPr>
              <w:pStyle w:val="TableBodyText"/>
            </w:pPr>
          </w:p>
          <w:p w:rsidR="00024C0A" w:rsidRDefault="00694C0F">
            <w:pPr>
              <w:pStyle w:val="TableBodyText"/>
            </w:pPr>
            <w:r>
              <w:t>Even rows of table data shall have the follo</w:t>
            </w:r>
            <w:r>
              <w:t>wing properties:</w:t>
            </w:r>
          </w:p>
          <w:p w:rsidR="00024C0A" w:rsidRDefault="00694C0F">
            <w:pPr>
              <w:pStyle w:val="TableBodyText"/>
            </w:pPr>
            <w:r>
              <w:t>The foreground shading color shall be yellow (FFFF00).</w:t>
            </w:r>
          </w:p>
          <w:p w:rsidR="00024C0A" w:rsidRDefault="00694C0F">
            <w:pPr>
              <w:pStyle w:val="TableBodyText"/>
            </w:pPr>
            <w:r>
              <w:t>The background shading shall be white (FFFFFF).</w:t>
            </w:r>
          </w:p>
          <w:p w:rsidR="00024C0A" w:rsidRDefault="00694C0F">
            <w:pPr>
              <w:pStyle w:val="TableBodyText"/>
            </w:pPr>
            <w:r>
              <w:t>The shading pattern shall be pct25.</w:t>
            </w:r>
          </w:p>
          <w:p w:rsidR="00024C0A" w:rsidRDefault="00024C0A">
            <w:pPr>
              <w:pStyle w:val="TableBodyText"/>
            </w:pPr>
          </w:p>
          <w:p w:rsidR="00024C0A" w:rsidRDefault="00694C0F">
            <w:pPr>
              <w:pStyle w:val="TableBodyText"/>
            </w:pPr>
            <w:r>
              <w:t>The header rows shall have the following properties:</w:t>
            </w:r>
          </w:p>
          <w:p w:rsidR="00024C0A" w:rsidRDefault="00694C0F">
            <w:pPr>
              <w:pStyle w:val="TableBodyText"/>
            </w:pPr>
            <w:r>
              <w:t>The bottom border shall be a 3/4 pt single lin</w:t>
            </w:r>
            <w:r>
              <w:t>e.</w:t>
            </w:r>
          </w:p>
          <w:p w:rsidR="00024C0A" w:rsidRDefault="00694C0F">
            <w:pPr>
              <w:pStyle w:val="TableBodyText"/>
            </w:pPr>
            <w:r>
              <w:t>The bottom border color shall be black (000000).</w:t>
            </w:r>
          </w:p>
          <w:p w:rsidR="00024C0A" w:rsidRDefault="00694C0F">
            <w:pPr>
              <w:pStyle w:val="TableBodyText"/>
            </w:pPr>
            <w:r>
              <w:t>The foreground shading color shall be yellow (FFFF00).</w:t>
            </w:r>
          </w:p>
          <w:p w:rsidR="00024C0A" w:rsidRDefault="00694C0F">
            <w:pPr>
              <w:pStyle w:val="TableBodyText"/>
            </w:pPr>
            <w:r>
              <w:t>The background shading shall be white (FFFFFF).</w:t>
            </w:r>
          </w:p>
          <w:p w:rsidR="00024C0A" w:rsidRDefault="00694C0F">
            <w:pPr>
              <w:pStyle w:val="TableBodyText"/>
            </w:pPr>
            <w:r>
              <w:t>The shading pattern shall be solid.</w:t>
            </w:r>
          </w:p>
          <w:p w:rsidR="00024C0A" w:rsidRDefault="00694C0F">
            <w:pPr>
              <w:pStyle w:val="TableBodyText"/>
            </w:pPr>
            <w:r>
              <w:t>The font shall be bold.</w:t>
            </w:r>
          </w:p>
          <w:p w:rsidR="00024C0A" w:rsidRDefault="00694C0F">
            <w:pPr>
              <w:pStyle w:val="TableBodyText"/>
            </w:pPr>
            <w:r>
              <w:t>The font shall be italic.</w:t>
            </w:r>
          </w:p>
          <w:p w:rsidR="00024C0A" w:rsidRDefault="00024C0A">
            <w:pPr>
              <w:pStyle w:val="TableBodyText"/>
            </w:pPr>
          </w:p>
          <w:p w:rsidR="00024C0A" w:rsidRDefault="00694C0F">
            <w:pPr>
              <w:pStyle w:val="TableBodyText"/>
            </w:pPr>
            <w:r>
              <w:t xml:space="preserve">The first </w:t>
            </w:r>
            <w:r>
              <w:t>column shall have the following properties:</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last row shall have the following properties:</w:t>
            </w:r>
          </w:p>
          <w:p w:rsidR="00024C0A" w:rsidRDefault="00694C0F">
            <w:pPr>
              <w:pStyle w:val="TableBodyText"/>
            </w:pPr>
            <w:r>
              <w:t>The top border shall be a 3/4 pt single line.</w:t>
            </w:r>
          </w:p>
          <w:p w:rsidR="00024C0A" w:rsidRDefault="00694C0F">
            <w:pPr>
              <w:pStyle w:val="TableBodyText"/>
            </w:pPr>
            <w:r>
              <w:t>The top border color shall be black (000000).</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 xml:space="preserve">The last column </w:t>
            </w:r>
            <w:r>
              <w:t>shall have the following properties:</w:t>
            </w:r>
          </w:p>
          <w:p w:rsidR="00024C0A" w:rsidRDefault="00694C0F">
            <w:pPr>
              <w:pStyle w:val="TableBodyText"/>
            </w:pPr>
            <w:r>
              <w:t>The font shall be bold.</w:t>
            </w:r>
          </w:p>
          <w:p w:rsidR="00024C0A" w:rsidRDefault="00024C0A">
            <w:pPr>
              <w:pStyle w:val="TableBodyText"/>
            </w:pPr>
          </w:p>
        </w:tc>
      </w:tr>
      <w:tr w:rsidR="00024C0A" w:rsidTr="00024C0A">
        <w:tc>
          <w:tcPr>
            <w:tcW w:w="0" w:type="auto"/>
            <w:vAlign w:val="center"/>
          </w:tcPr>
          <w:p w:rsidR="00024C0A" w:rsidRDefault="00694C0F">
            <w:pPr>
              <w:pStyle w:val="TableBodyText"/>
            </w:pPr>
            <w:r>
              <w:lastRenderedPageBreak/>
              <w:t>32 (3DFx 1)</w:t>
            </w:r>
          </w:p>
          <w:p w:rsidR="00024C0A" w:rsidRDefault="00024C0A">
            <w:pPr>
              <w:pStyle w:val="TableBodyText"/>
            </w:pPr>
          </w:p>
        </w:tc>
        <w:tc>
          <w:tcPr>
            <w:tcW w:w="0" w:type="auto"/>
            <w:vAlign w:val="center"/>
          </w:tcPr>
          <w:p w:rsidR="00024C0A" w:rsidRDefault="00694C0F">
            <w:pPr>
              <w:pStyle w:val="TableBodyText"/>
            </w:pPr>
            <w:r>
              <w:t>The table shall have the following properties:</w:t>
            </w:r>
          </w:p>
          <w:p w:rsidR="00024C0A" w:rsidRDefault="00694C0F">
            <w:pPr>
              <w:pStyle w:val="TableBodyText"/>
            </w:pPr>
            <w:r>
              <w:t>The foreground shading color shall be dark gray (C0C0C0).</w:t>
            </w:r>
          </w:p>
          <w:p w:rsidR="00024C0A" w:rsidRDefault="00694C0F">
            <w:pPr>
              <w:pStyle w:val="TableBodyText"/>
            </w:pPr>
            <w:r>
              <w:t>The background shading shall be white (FFFFFF).</w:t>
            </w:r>
          </w:p>
          <w:p w:rsidR="00024C0A" w:rsidRDefault="00694C0F">
            <w:pPr>
              <w:pStyle w:val="TableBodyText"/>
            </w:pPr>
            <w:r>
              <w:t>The shading pattern shall b</w:t>
            </w:r>
            <w:r>
              <w:t>e solid.</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The header rows shall have the following properties:</w:t>
            </w:r>
          </w:p>
          <w:p w:rsidR="00024C0A" w:rsidRDefault="00694C0F">
            <w:pPr>
              <w:pStyle w:val="TableBodyText"/>
            </w:pPr>
            <w:r>
              <w:t>The bottom border shall be a 3/4 pt single line.</w:t>
            </w:r>
          </w:p>
          <w:p w:rsidR="00024C0A" w:rsidRDefault="00694C0F">
            <w:pPr>
              <w:pStyle w:val="TableBodyText"/>
            </w:pPr>
            <w:r>
              <w:t>The bottom border color shall be dark gray (CCCCCC).</w:t>
            </w:r>
          </w:p>
          <w:p w:rsidR="00024C0A" w:rsidRDefault="00694C0F">
            <w:pPr>
              <w:pStyle w:val="TableBodyText"/>
            </w:pPr>
            <w:r>
              <w:t>The font color shall be dark magenta (CC00CC).</w:t>
            </w:r>
          </w:p>
          <w:p w:rsidR="00024C0A" w:rsidRDefault="00694C0F">
            <w:pPr>
              <w:pStyle w:val="TableBodyText"/>
            </w:pPr>
            <w:r>
              <w:t xml:space="preserve">The </w:t>
            </w:r>
            <w:r>
              <w:t>font shall be bold.</w:t>
            </w:r>
          </w:p>
          <w:p w:rsidR="00024C0A" w:rsidRDefault="00024C0A">
            <w:pPr>
              <w:pStyle w:val="TableBodyText"/>
            </w:pPr>
          </w:p>
          <w:p w:rsidR="00024C0A" w:rsidRDefault="00694C0F">
            <w:pPr>
              <w:pStyle w:val="TableBodyText"/>
            </w:pPr>
            <w:r>
              <w:t>The last row shall have the following properties:</w:t>
            </w:r>
          </w:p>
          <w:p w:rsidR="00024C0A" w:rsidRDefault="00694C0F">
            <w:pPr>
              <w:pStyle w:val="TableBodyText"/>
            </w:pPr>
            <w:r>
              <w:t>The top border shall be a 3/4 pt single line.</w:t>
            </w:r>
          </w:p>
          <w:p w:rsidR="00024C0A" w:rsidRDefault="00694C0F">
            <w:pPr>
              <w:pStyle w:val="TableBodyText"/>
            </w:pPr>
            <w:r>
              <w:t>The top border color shall be white (FFFFFF).</w:t>
            </w:r>
          </w:p>
          <w:p w:rsidR="00024C0A" w:rsidRDefault="00024C0A">
            <w:pPr>
              <w:pStyle w:val="TableBodyText"/>
            </w:pPr>
          </w:p>
          <w:p w:rsidR="00024C0A" w:rsidRDefault="00694C0F">
            <w:pPr>
              <w:pStyle w:val="TableBodyText"/>
            </w:pPr>
            <w:r>
              <w:lastRenderedPageBreak/>
              <w:t>The first column shall have the following properties:</w:t>
            </w:r>
          </w:p>
          <w:p w:rsidR="00024C0A" w:rsidRDefault="00694C0F">
            <w:pPr>
              <w:pStyle w:val="TableBodyText"/>
            </w:pPr>
            <w:r>
              <w:t>The right border shall be a 3/4 pt sin</w:t>
            </w:r>
            <w:r>
              <w:t>gle line.</w:t>
            </w:r>
          </w:p>
          <w:p w:rsidR="00024C0A" w:rsidRDefault="00694C0F">
            <w:pPr>
              <w:pStyle w:val="TableBodyText"/>
            </w:pPr>
            <w:r>
              <w:t>The right border color shall be dark gray (CCCCCC).</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last column shall have the following properties:</w:t>
            </w:r>
          </w:p>
          <w:p w:rsidR="00024C0A" w:rsidRDefault="00694C0F">
            <w:pPr>
              <w:pStyle w:val="TableBodyText"/>
            </w:pPr>
            <w:r>
              <w:t>The left border shall be a 3/4 pt single line.</w:t>
            </w:r>
          </w:p>
          <w:p w:rsidR="00024C0A" w:rsidRDefault="00694C0F">
            <w:pPr>
              <w:pStyle w:val="TableBodyText"/>
            </w:pPr>
            <w:r>
              <w:t>The left border color shall be white (FFFFFF).</w:t>
            </w:r>
          </w:p>
          <w:p w:rsidR="00024C0A" w:rsidRDefault="00024C0A">
            <w:pPr>
              <w:pStyle w:val="TableBodyText"/>
            </w:pPr>
          </w:p>
          <w:p w:rsidR="00024C0A" w:rsidRDefault="00694C0F">
            <w:pPr>
              <w:pStyle w:val="TableBodyText"/>
            </w:pPr>
            <w:r>
              <w:t>The header rows in th</w:t>
            </w:r>
            <w:r>
              <w:t>e first column shall have the following properties:</w:t>
            </w:r>
          </w:p>
          <w:p w:rsidR="00024C0A" w:rsidRDefault="00694C0F">
            <w:pPr>
              <w:pStyle w:val="TableBodyText"/>
            </w:pPr>
            <w:r>
              <w:t>There shall be no bottom border.</w:t>
            </w:r>
          </w:p>
          <w:p w:rsidR="00024C0A" w:rsidRDefault="00694C0F">
            <w:pPr>
              <w:pStyle w:val="TableBodyText"/>
            </w:pPr>
            <w:r>
              <w:t xml:space="preserve">There shall be no right border. </w:t>
            </w:r>
          </w:p>
          <w:p w:rsidR="00024C0A" w:rsidRDefault="00024C0A">
            <w:pPr>
              <w:pStyle w:val="TableBodyText"/>
            </w:pPr>
          </w:p>
          <w:p w:rsidR="00024C0A" w:rsidRDefault="00694C0F">
            <w:pPr>
              <w:pStyle w:val="TableBodyText"/>
            </w:pPr>
            <w:r>
              <w:t>The header rows of the last column shall have the following properties:</w:t>
            </w:r>
          </w:p>
          <w:p w:rsidR="00024C0A" w:rsidRDefault="00694C0F">
            <w:pPr>
              <w:pStyle w:val="TableBodyText"/>
            </w:pPr>
            <w:r>
              <w:t>There shall be no left border.</w:t>
            </w:r>
          </w:p>
          <w:p w:rsidR="00024C0A" w:rsidRDefault="00694C0F">
            <w:pPr>
              <w:pStyle w:val="TableBodyText"/>
            </w:pPr>
            <w:r>
              <w:t>There shall be no bottom border.</w:t>
            </w:r>
          </w:p>
          <w:p w:rsidR="00024C0A" w:rsidRDefault="00024C0A">
            <w:pPr>
              <w:pStyle w:val="TableBodyText"/>
            </w:pPr>
          </w:p>
          <w:p w:rsidR="00024C0A" w:rsidRDefault="00694C0F">
            <w:pPr>
              <w:pStyle w:val="TableBodyText"/>
            </w:pPr>
            <w:r>
              <w:t>The last row of the first column shall have the following properties:</w:t>
            </w:r>
          </w:p>
          <w:p w:rsidR="00024C0A" w:rsidRDefault="00694C0F">
            <w:pPr>
              <w:pStyle w:val="TableBodyText"/>
            </w:pPr>
            <w:r>
              <w:t>There shall be no top border.</w:t>
            </w:r>
          </w:p>
          <w:p w:rsidR="00024C0A" w:rsidRDefault="00694C0F">
            <w:pPr>
              <w:pStyle w:val="TableBodyText"/>
            </w:pPr>
            <w:r>
              <w:t>There shall be no right border.</w:t>
            </w:r>
          </w:p>
          <w:p w:rsidR="00024C0A" w:rsidRDefault="00694C0F">
            <w:pPr>
              <w:pStyle w:val="TableBodyText"/>
            </w:pPr>
            <w:r>
              <w:t>The font color shall be dark blue (0000CC).</w:t>
            </w:r>
          </w:p>
          <w:p w:rsidR="00024C0A" w:rsidRDefault="00024C0A">
            <w:pPr>
              <w:pStyle w:val="TableBodyText"/>
            </w:pPr>
          </w:p>
          <w:p w:rsidR="00024C0A" w:rsidRDefault="00694C0F">
            <w:pPr>
              <w:pStyle w:val="TableBodyText"/>
            </w:pPr>
            <w:r>
              <w:t>The last row of the last column shall have the following properties:</w:t>
            </w:r>
          </w:p>
          <w:p w:rsidR="00024C0A" w:rsidRDefault="00694C0F">
            <w:pPr>
              <w:pStyle w:val="TableBodyText"/>
            </w:pPr>
            <w:r>
              <w:t>There shal</w:t>
            </w:r>
            <w:r>
              <w:t>l be no top border.</w:t>
            </w:r>
          </w:p>
          <w:p w:rsidR="00024C0A" w:rsidRDefault="00694C0F">
            <w:pPr>
              <w:pStyle w:val="TableBodyText"/>
            </w:pPr>
            <w:r>
              <w:t>There shall be no left border.</w:t>
            </w:r>
          </w:p>
          <w:p w:rsidR="00024C0A" w:rsidRDefault="00024C0A">
            <w:pPr>
              <w:pStyle w:val="TableBodyText"/>
            </w:pPr>
          </w:p>
        </w:tc>
      </w:tr>
      <w:tr w:rsidR="00024C0A" w:rsidTr="00024C0A">
        <w:tc>
          <w:tcPr>
            <w:tcW w:w="0" w:type="auto"/>
            <w:vAlign w:val="center"/>
          </w:tcPr>
          <w:p w:rsidR="00024C0A" w:rsidRDefault="00694C0F">
            <w:pPr>
              <w:pStyle w:val="TableBodyText"/>
            </w:pPr>
            <w:r>
              <w:lastRenderedPageBreak/>
              <w:t>33 (3DFx 2)</w:t>
            </w:r>
          </w:p>
          <w:p w:rsidR="00024C0A" w:rsidRDefault="00024C0A">
            <w:pPr>
              <w:pStyle w:val="TableBodyText"/>
            </w:pPr>
          </w:p>
        </w:tc>
        <w:tc>
          <w:tcPr>
            <w:tcW w:w="0" w:type="auto"/>
            <w:vAlign w:val="center"/>
          </w:tcPr>
          <w:p w:rsidR="00024C0A" w:rsidRDefault="00694C0F">
            <w:pPr>
              <w:pStyle w:val="TableBodyText"/>
            </w:pPr>
            <w:r>
              <w:t>The table shall have the following properties:</w:t>
            </w:r>
          </w:p>
          <w:p w:rsidR="00024C0A" w:rsidRDefault="00694C0F">
            <w:pPr>
              <w:pStyle w:val="TableBodyText"/>
            </w:pPr>
            <w:r>
              <w:t>The foreground shading color shall be dark gray (C0C0C0).</w:t>
            </w:r>
          </w:p>
          <w:p w:rsidR="00024C0A" w:rsidRDefault="00694C0F">
            <w:pPr>
              <w:pStyle w:val="TableBodyText"/>
            </w:pPr>
            <w:r>
              <w:t>The background shading shall be white (FFFFFF).</w:t>
            </w:r>
          </w:p>
          <w:p w:rsidR="00024C0A" w:rsidRDefault="00694C0F">
            <w:pPr>
              <w:pStyle w:val="TableBodyText"/>
            </w:pPr>
            <w:r>
              <w:t>The shading pattern shall be solid.</w:t>
            </w:r>
          </w:p>
          <w:p w:rsidR="00024C0A" w:rsidRDefault="00694C0F">
            <w:pPr>
              <w:pStyle w:val="TableBodyText"/>
            </w:pPr>
            <w:r>
              <w:t>T</w:t>
            </w:r>
            <w:r>
              <w:t>he vertical alignment shall be top.</w:t>
            </w:r>
          </w:p>
          <w:p w:rsidR="00024C0A" w:rsidRDefault="00024C0A">
            <w:pPr>
              <w:pStyle w:val="TableBodyText"/>
            </w:pPr>
          </w:p>
          <w:p w:rsidR="00024C0A" w:rsidRDefault="00694C0F">
            <w:pPr>
              <w:pStyle w:val="TableBodyText"/>
            </w:pPr>
            <w:r>
              <w:t>Odd rows of table data shall have the following properties:</w:t>
            </w:r>
          </w:p>
          <w:p w:rsidR="00024C0A" w:rsidRDefault="00694C0F">
            <w:pPr>
              <w:pStyle w:val="TableBodyText"/>
            </w:pPr>
            <w:r>
              <w:t>The top border shall be a 3/4 pt single line.</w:t>
            </w:r>
          </w:p>
          <w:p w:rsidR="00024C0A" w:rsidRDefault="00694C0F">
            <w:pPr>
              <w:pStyle w:val="TableBodyText"/>
            </w:pPr>
            <w:r>
              <w:t>The bottom border shall be a 3/4 pt single line.</w:t>
            </w:r>
          </w:p>
          <w:p w:rsidR="00024C0A" w:rsidRDefault="00694C0F">
            <w:pPr>
              <w:pStyle w:val="TableBodyText"/>
            </w:pPr>
            <w:r>
              <w:t>The top border color shall be dark gray (CCCCCC).</w:t>
            </w:r>
          </w:p>
          <w:p w:rsidR="00024C0A" w:rsidRDefault="00694C0F">
            <w:pPr>
              <w:pStyle w:val="TableBodyText"/>
            </w:pPr>
            <w:r>
              <w:t xml:space="preserve">The bottom </w:t>
            </w:r>
            <w:r>
              <w:t>border color shall be white (FFFFFF).</w:t>
            </w:r>
          </w:p>
          <w:p w:rsidR="00024C0A" w:rsidRDefault="00024C0A">
            <w:pPr>
              <w:pStyle w:val="TableBodyText"/>
            </w:pPr>
          </w:p>
          <w:p w:rsidR="00024C0A" w:rsidRDefault="00694C0F">
            <w:pPr>
              <w:pStyle w:val="TableBodyText"/>
            </w:pPr>
            <w:r>
              <w:t>The header rows shall have the following properties:</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Odd rows of the first column shall have the following properties:</w:t>
            </w:r>
          </w:p>
          <w:p w:rsidR="00024C0A" w:rsidRDefault="00694C0F">
            <w:pPr>
              <w:pStyle w:val="TableBodyText"/>
            </w:pPr>
            <w:r>
              <w:t>The right border shall be a 3/4 pt single line.</w:t>
            </w:r>
          </w:p>
          <w:p w:rsidR="00024C0A" w:rsidRDefault="00694C0F">
            <w:pPr>
              <w:pStyle w:val="TableBodyText"/>
            </w:pPr>
            <w:r>
              <w:t xml:space="preserve">There shall be no top </w:t>
            </w:r>
            <w:r>
              <w:t>border.</w:t>
            </w:r>
          </w:p>
          <w:p w:rsidR="00024C0A" w:rsidRDefault="00694C0F">
            <w:pPr>
              <w:pStyle w:val="TableBodyText"/>
            </w:pPr>
            <w:r>
              <w:t>There shall be no bottom border.</w:t>
            </w:r>
          </w:p>
          <w:p w:rsidR="00024C0A" w:rsidRDefault="00694C0F">
            <w:pPr>
              <w:pStyle w:val="TableBodyText"/>
            </w:pPr>
            <w:r>
              <w:t>The right border color shall be dark gray (CCCCCC).</w:t>
            </w:r>
          </w:p>
          <w:p w:rsidR="00024C0A" w:rsidRDefault="00024C0A">
            <w:pPr>
              <w:pStyle w:val="TableBodyText"/>
            </w:pPr>
          </w:p>
          <w:p w:rsidR="00024C0A" w:rsidRDefault="00694C0F">
            <w:pPr>
              <w:pStyle w:val="TableBodyText"/>
            </w:pPr>
            <w:r>
              <w:lastRenderedPageBreak/>
              <w:t>Odd rows of the last column shall have the following properties:</w:t>
            </w:r>
          </w:p>
          <w:p w:rsidR="00024C0A" w:rsidRDefault="00694C0F">
            <w:pPr>
              <w:pStyle w:val="TableBodyText"/>
            </w:pPr>
            <w:r>
              <w:t>The right border shall be a 3/4 pt single line.</w:t>
            </w:r>
          </w:p>
          <w:p w:rsidR="00024C0A" w:rsidRDefault="00694C0F">
            <w:pPr>
              <w:pStyle w:val="TableBodyText"/>
            </w:pPr>
            <w:r>
              <w:t>The right border color shall be white (FFFFFF).</w:t>
            </w:r>
          </w:p>
          <w:p w:rsidR="00024C0A" w:rsidRDefault="00024C0A">
            <w:pPr>
              <w:pStyle w:val="TableBodyText"/>
            </w:pPr>
          </w:p>
          <w:p w:rsidR="00024C0A" w:rsidRDefault="00694C0F">
            <w:pPr>
              <w:pStyle w:val="TableBodyText"/>
            </w:pPr>
            <w:r>
              <w:t>The last row of the first column shall have the following properties:</w:t>
            </w:r>
          </w:p>
          <w:p w:rsidR="00024C0A" w:rsidRDefault="00694C0F">
            <w:pPr>
              <w:pStyle w:val="TableBodyText"/>
            </w:pPr>
            <w:r>
              <w:t>The font shall be bold.</w:t>
            </w:r>
          </w:p>
          <w:p w:rsidR="00024C0A" w:rsidRDefault="00024C0A">
            <w:pPr>
              <w:pStyle w:val="TableBodyText"/>
            </w:pPr>
          </w:p>
        </w:tc>
      </w:tr>
      <w:tr w:rsidR="00024C0A" w:rsidTr="00024C0A">
        <w:tc>
          <w:tcPr>
            <w:tcW w:w="0" w:type="auto"/>
            <w:vAlign w:val="center"/>
          </w:tcPr>
          <w:p w:rsidR="00024C0A" w:rsidRDefault="00694C0F">
            <w:pPr>
              <w:pStyle w:val="TableBodyText"/>
            </w:pPr>
            <w:r>
              <w:lastRenderedPageBreak/>
              <w:t>34 (3DFx 3)</w:t>
            </w:r>
          </w:p>
          <w:p w:rsidR="00024C0A" w:rsidRDefault="00024C0A">
            <w:pPr>
              <w:pStyle w:val="TableBodyText"/>
            </w:pPr>
          </w:p>
        </w:tc>
        <w:tc>
          <w:tcPr>
            <w:tcW w:w="0" w:type="auto"/>
            <w:vAlign w:val="center"/>
          </w:tcPr>
          <w:p w:rsidR="00024C0A" w:rsidRDefault="00694C0F">
            <w:pPr>
              <w:pStyle w:val="TableBodyText"/>
            </w:pPr>
            <w:r>
              <w:t>The table shall have the following properties:</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Even columns of the table shall have the following properties:</w:t>
            </w:r>
          </w:p>
          <w:p w:rsidR="00024C0A" w:rsidRDefault="00694C0F">
            <w:pPr>
              <w:pStyle w:val="TableBodyText"/>
            </w:pPr>
            <w:r>
              <w:t>The foreground shading color shall be dark gray (C0C0C0).</w:t>
            </w:r>
          </w:p>
          <w:p w:rsidR="00024C0A" w:rsidRDefault="00694C0F">
            <w:pPr>
              <w:pStyle w:val="TableBodyText"/>
            </w:pPr>
            <w:r>
              <w:t>The background shading shall be white (FFFFFF).</w:t>
            </w:r>
          </w:p>
          <w:p w:rsidR="00024C0A" w:rsidRDefault="00694C0F">
            <w:pPr>
              <w:pStyle w:val="TableBodyText"/>
            </w:pPr>
            <w:r>
              <w:t>The shading pattern shall be solid.</w:t>
            </w:r>
          </w:p>
          <w:p w:rsidR="00024C0A" w:rsidRDefault="00024C0A">
            <w:pPr>
              <w:pStyle w:val="TableBodyText"/>
            </w:pPr>
          </w:p>
          <w:p w:rsidR="00024C0A" w:rsidRDefault="00694C0F">
            <w:pPr>
              <w:pStyle w:val="TableBodyText"/>
            </w:pPr>
            <w:r>
              <w:t>Odd columns of the table shall have the following properties:</w:t>
            </w:r>
          </w:p>
          <w:p w:rsidR="00024C0A" w:rsidRDefault="00694C0F">
            <w:pPr>
              <w:pStyle w:val="TableBodyText"/>
            </w:pPr>
            <w:r>
              <w:t xml:space="preserve">The foreground shading color shall be dark gray </w:t>
            </w:r>
            <w:r>
              <w:t>(C0C0C0).</w:t>
            </w:r>
          </w:p>
          <w:p w:rsidR="00024C0A" w:rsidRDefault="00694C0F">
            <w:pPr>
              <w:pStyle w:val="TableBodyText"/>
            </w:pPr>
            <w:r>
              <w:t>The background shading shall be white (FFFFFF).</w:t>
            </w:r>
          </w:p>
          <w:p w:rsidR="00024C0A" w:rsidRDefault="00694C0F">
            <w:pPr>
              <w:pStyle w:val="TableBodyText"/>
            </w:pPr>
            <w:r>
              <w:t>The shading pattern shall be pct50.</w:t>
            </w:r>
          </w:p>
          <w:p w:rsidR="00024C0A" w:rsidRDefault="00024C0A">
            <w:pPr>
              <w:pStyle w:val="TableBodyText"/>
            </w:pPr>
          </w:p>
          <w:p w:rsidR="00024C0A" w:rsidRDefault="00694C0F">
            <w:pPr>
              <w:pStyle w:val="TableBodyText"/>
            </w:pPr>
            <w:r>
              <w:t>Odd rows of table data shall have the following properties:</w:t>
            </w:r>
          </w:p>
          <w:p w:rsidR="00024C0A" w:rsidRDefault="00694C0F">
            <w:pPr>
              <w:pStyle w:val="TableBodyText"/>
            </w:pPr>
            <w:r>
              <w:t>The top border shall be a 3/4 pt single line.</w:t>
            </w:r>
          </w:p>
          <w:p w:rsidR="00024C0A" w:rsidRDefault="00694C0F">
            <w:pPr>
              <w:pStyle w:val="TableBodyText"/>
            </w:pPr>
            <w:r>
              <w:t>The bottom border shall be a 3/4 pt single line.</w:t>
            </w:r>
          </w:p>
          <w:p w:rsidR="00024C0A" w:rsidRDefault="00694C0F">
            <w:pPr>
              <w:pStyle w:val="TableBodyText"/>
            </w:pPr>
            <w:r>
              <w:t>The to</w:t>
            </w:r>
            <w:r>
              <w:t>p border color shall be dark gray (CCCCCC).</w:t>
            </w:r>
          </w:p>
          <w:p w:rsidR="00024C0A" w:rsidRDefault="00694C0F">
            <w:pPr>
              <w:pStyle w:val="TableBodyText"/>
            </w:pPr>
            <w:r>
              <w:t>The bottom border color shall be white (FFFFFF).</w:t>
            </w:r>
          </w:p>
          <w:p w:rsidR="00024C0A" w:rsidRDefault="00024C0A">
            <w:pPr>
              <w:pStyle w:val="TableBodyText"/>
            </w:pPr>
          </w:p>
          <w:p w:rsidR="00024C0A" w:rsidRDefault="00694C0F">
            <w:pPr>
              <w:pStyle w:val="TableBodyText"/>
            </w:pPr>
            <w:r>
              <w:t>The header rows shall have the following properties:</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Odd rows of the first column shall have the following properties:</w:t>
            </w:r>
          </w:p>
          <w:p w:rsidR="00024C0A" w:rsidRDefault="00694C0F">
            <w:pPr>
              <w:pStyle w:val="TableBodyText"/>
            </w:pPr>
            <w:r>
              <w:t>The right border s</w:t>
            </w:r>
            <w:r>
              <w:t>hall be a 3/4 pt single line.</w:t>
            </w:r>
          </w:p>
          <w:p w:rsidR="00024C0A" w:rsidRDefault="00694C0F">
            <w:pPr>
              <w:pStyle w:val="TableBodyText"/>
            </w:pPr>
            <w:r>
              <w:t>The top border color shall be automatically determined.</w:t>
            </w:r>
          </w:p>
          <w:p w:rsidR="00024C0A" w:rsidRDefault="00694C0F">
            <w:pPr>
              <w:pStyle w:val="TableBodyText"/>
            </w:pPr>
            <w:r>
              <w:t>The bottom border color shall be automatically determined.</w:t>
            </w:r>
          </w:p>
          <w:p w:rsidR="00024C0A" w:rsidRDefault="00694C0F">
            <w:pPr>
              <w:pStyle w:val="TableBodyText"/>
            </w:pPr>
            <w:r>
              <w:t>The right border color shall be dark gray (CCCCCC).</w:t>
            </w:r>
          </w:p>
          <w:p w:rsidR="00024C0A" w:rsidRDefault="00024C0A">
            <w:pPr>
              <w:pStyle w:val="TableBodyText"/>
            </w:pPr>
          </w:p>
          <w:p w:rsidR="00024C0A" w:rsidRDefault="00694C0F">
            <w:pPr>
              <w:pStyle w:val="TableBodyText"/>
            </w:pPr>
            <w:r>
              <w:t>Odd rows of the last column shall have the following prope</w:t>
            </w:r>
            <w:r>
              <w:t>rties:</w:t>
            </w:r>
          </w:p>
          <w:p w:rsidR="00024C0A" w:rsidRDefault="00694C0F">
            <w:pPr>
              <w:pStyle w:val="TableBodyText"/>
            </w:pPr>
            <w:r>
              <w:t>The right border shall be a 3/4 pt single line.</w:t>
            </w:r>
          </w:p>
          <w:p w:rsidR="00024C0A" w:rsidRDefault="00694C0F">
            <w:pPr>
              <w:pStyle w:val="TableBodyText"/>
            </w:pPr>
            <w:r>
              <w:t>The right border color shall be white (FFFFFF).</w:t>
            </w:r>
          </w:p>
          <w:p w:rsidR="00024C0A" w:rsidRDefault="00694C0F">
            <w:pPr>
              <w:pStyle w:val="TableBodyText"/>
            </w:pPr>
            <w:r>
              <w:t>Applies to odd rows</w:t>
            </w:r>
          </w:p>
          <w:p w:rsidR="00024C0A" w:rsidRDefault="00024C0A">
            <w:pPr>
              <w:pStyle w:val="TableBodyText"/>
            </w:pPr>
          </w:p>
          <w:p w:rsidR="00024C0A" w:rsidRDefault="00694C0F">
            <w:pPr>
              <w:pStyle w:val="TableBodyText"/>
            </w:pPr>
            <w:r>
              <w:t>The last row of the first column shall have the following properties:</w:t>
            </w:r>
          </w:p>
          <w:p w:rsidR="00024C0A" w:rsidRDefault="00694C0F">
            <w:pPr>
              <w:pStyle w:val="TableBodyText"/>
            </w:pPr>
            <w:r>
              <w:t>The font shall be bold.</w:t>
            </w:r>
          </w:p>
          <w:p w:rsidR="00024C0A" w:rsidRDefault="00024C0A">
            <w:pPr>
              <w:pStyle w:val="TableBodyText"/>
            </w:pPr>
          </w:p>
        </w:tc>
      </w:tr>
      <w:tr w:rsidR="00024C0A" w:rsidTr="00024C0A">
        <w:tc>
          <w:tcPr>
            <w:tcW w:w="0" w:type="auto"/>
            <w:vAlign w:val="center"/>
          </w:tcPr>
          <w:p w:rsidR="00024C0A" w:rsidRDefault="00694C0F">
            <w:pPr>
              <w:pStyle w:val="TableBodyText"/>
            </w:pPr>
            <w:r>
              <w:t>35 (Contemporary)</w:t>
            </w:r>
          </w:p>
          <w:p w:rsidR="00024C0A" w:rsidRDefault="00024C0A">
            <w:pPr>
              <w:pStyle w:val="TableBodyText"/>
            </w:pPr>
          </w:p>
        </w:tc>
        <w:tc>
          <w:tcPr>
            <w:tcW w:w="0" w:type="auto"/>
            <w:vAlign w:val="center"/>
          </w:tcPr>
          <w:p w:rsidR="00024C0A" w:rsidRDefault="00694C0F">
            <w:pPr>
              <w:pStyle w:val="TableBodyText"/>
            </w:pPr>
            <w:r>
              <w:t xml:space="preserve">The table shall </w:t>
            </w:r>
            <w:r>
              <w:t>have the following properties:</w:t>
            </w:r>
          </w:p>
          <w:p w:rsidR="00024C0A" w:rsidRDefault="00694C0F">
            <w:pPr>
              <w:pStyle w:val="TableBodyText"/>
            </w:pPr>
            <w:r>
              <w:t>The inside horizontal border shall be a 2 1/4 pt single line.</w:t>
            </w:r>
          </w:p>
          <w:p w:rsidR="00024C0A" w:rsidRDefault="00694C0F">
            <w:pPr>
              <w:pStyle w:val="TableBodyText"/>
            </w:pPr>
            <w:r>
              <w:t>The inside vertical border shall be a 2 1/4 pt single line.</w:t>
            </w:r>
          </w:p>
          <w:p w:rsidR="00024C0A" w:rsidRDefault="00694C0F">
            <w:pPr>
              <w:pStyle w:val="TableBodyText"/>
            </w:pPr>
            <w:r>
              <w:t>The inside horizontal border color shall be white (FFFFFF).</w:t>
            </w:r>
          </w:p>
          <w:p w:rsidR="00024C0A" w:rsidRDefault="00694C0F">
            <w:pPr>
              <w:pStyle w:val="TableBodyText"/>
            </w:pPr>
            <w:r>
              <w:lastRenderedPageBreak/>
              <w:t>The inside vertical border color shall be w</w:t>
            </w:r>
            <w:r>
              <w:t>hite (FFFFFF).</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Odd rows of table data shall have the following properties:</w:t>
            </w:r>
          </w:p>
          <w:p w:rsidR="00024C0A" w:rsidRDefault="00694C0F">
            <w:pPr>
              <w:pStyle w:val="TableBodyText"/>
            </w:pPr>
            <w:r>
              <w:t>The foreground shading color shall be black (000000).</w:t>
            </w:r>
          </w:p>
          <w:p w:rsidR="00024C0A" w:rsidRDefault="00694C0F">
            <w:pPr>
              <w:pStyle w:val="TableBodyText"/>
            </w:pPr>
            <w:r>
              <w:t>The background shading shall be white (FFFFFF).</w:t>
            </w:r>
          </w:p>
          <w:p w:rsidR="00024C0A" w:rsidRDefault="00694C0F">
            <w:pPr>
              <w:pStyle w:val="TableBodyText"/>
            </w:pPr>
            <w:r>
              <w:t>The shading pattern shall be pct20.</w:t>
            </w:r>
          </w:p>
          <w:p w:rsidR="00024C0A" w:rsidRDefault="00024C0A">
            <w:pPr>
              <w:pStyle w:val="TableBodyText"/>
            </w:pPr>
          </w:p>
          <w:p w:rsidR="00024C0A" w:rsidRDefault="00694C0F">
            <w:pPr>
              <w:pStyle w:val="TableBodyText"/>
            </w:pPr>
            <w:r>
              <w:t>Even</w:t>
            </w:r>
            <w:r>
              <w:t xml:space="preserve"> rows of table data shall have the following properties:</w:t>
            </w:r>
          </w:p>
          <w:p w:rsidR="00024C0A" w:rsidRDefault="00694C0F">
            <w:pPr>
              <w:pStyle w:val="TableBodyText"/>
            </w:pPr>
            <w:r>
              <w:t>The foreground shading color shall be black (000000).</w:t>
            </w:r>
          </w:p>
          <w:p w:rsidR="00024C0A" w:rsidRDefault="00694C0F">
            <w:pPr>
              <w:pStyle w:val="TableBodyText"/>
            </w:pPr>
            <w:r>
              <w:t>The background shading shall be white (FFFFFF).</w:t>
            </w:r>
          </w:p>
          <w:p w:rsidR="00024C0A" w:rsidRDefault="00694C0F">
            <w:pPr>
              <w:pStyle w:val="TableBodyText"/>
            </w:pPr>
            <w:r>
              <w:t>The shading pattern shall be pct5.</w:t>
            </w:r>
          </w:p>
          <w:p w:rsidR="00024C0A" w:rsidRDefault="00024C0A">
            <w:pPr>
              <w:pStyle w:val="TableBodyText"/>
            </w:pPr>
          </w:p>
          <w:p w:rsidR="00024C0A" w:rsidRDefault="00694C0F">
            <w:pPr>
              <w:pStyle w:val="TableBodyText"/>
            </w:pPr>
            <w:r>
              <w:t>The header rows shall have the following properties:</w:t>
            </w:r>
          </w:p>
          <w:p w:rsidR="00024C0A" w:rsidRDefault="00694C0F">
            <w:pPr>
              <w:pStyle w:val="TableBodyText"/>
            </w:pPr>
            <w:r>
              <w:t xml:space="preserve">The </w:t>
            </w:r>
            <w:r>
              <w:t>foreground shading color shall be black (000000).</w:t>
            </w:r>
          </w:p>
          <w:p w:rsidR="00024C0A" w:rsidRDefault="00694C0F">
            <w:pPr>
              <w:pStyle w:val="TableBodyText"/>
            </w:pPr>
            <w:r>
              <w:t>The background shading shall be white (FFFFFF).</w:t>
            </w:r>
          </w:p>
          <w:p w:rsidR="00024C0A" w:rsidRDefault="00694C0F">
            <w:pPr>
              <w:pStyle w:val="TableBodyText"/>
            </w:pPr>
            <w:r>
              <w:t>The shading pattern shall be pct20.</w:t>
            </w:r>
          </w:p>
          <w:p w:rsidR="00024C0A" w:rsidRDefault="00024C0A">
            <w:pPr>
              <w:pStyle w:val="TableBodyText"/>
            </w:pPr>
          </w:p>
        </w:tc>
      </w:tr>
      <w:tr w:rsidR="00024C0A" w:rsidTr="00024C0A">
        <w:tc>
          <w:tcPr>
            <w:tcW w:w="0" w:type="auto"/>
            <w:vAlign w:val="center"/>
          </w:tcPr>
          <w:p w:rsidR="00024C0A" w:rsidRDefault="00694C0F">
            <w:pPr>
              <w:pStyle w:val="TableBodyText"/>
            </w:pPr>
            <w:r>
              <w:lastRenderedPageBreak/>
              <w:t>36 (Elegant)</w:t>
            </w:r>
          </w:p>
          <w:p w:rsidR="00024C0A" w:rsidRDefault="00024C0A">
            <w:pPr>
              <w:pStyle w:val="TableBodyText"/>
            </w:pPr>
          </w:p>
        </w:tc>
        <w:tc>
          <w:tcPr>
            <w:tcW w:w="0" w:type="auto"/>
            <w:vAlign w:val="center"/>
          </w:tcPr>
          <w:p w:rsidR="00024C0A" w:rsidRDefault="00694C0F">
            <w:pPr>
              <w:pStyle w:val="TableBodyText"/>
            </w:pPr>
            <w:r>
              <w:t>The table shall have the following properties:</w:t>
            </w:r>
          </w:p>
          <w:p w:rsidR="00024C0A" w:rsidRDefault="00694C0F">
            <w:pPr>
              <w:pStyle w:val="TableBodyText"/>
            </w:pPr>
            <w:r>
              <w:t>The top border shall be a 3/4 pt double line.</w:t>
            </w:r>
          </w:p>
          <w:p w:rsidR="00024C0A" w:rsidRDefault="00694C0F">
            <w:pPr>
              <w:pStyle w:val="TableBodyText"/>
            </w:pPr>
            <w:r>
              <w:t>The left bord</w:t>
            </w:r>
            <w:r>
              <w:t>er shall be a 3/4 pt double line.</w:t>
            </w:r>
          </w:p>
          <w:p w:rsidR="00024C0A" w:rsidRDefault="00694C0F">
            <w:pPr>
              <w:pStyle w:val="TableBodyText"/>
            </w:pPr>
            <w:r>
              <w:t>The bottom border shall be a 3/4 pt double line.</w:t>
            </w:r>
          </w:p>
          <w:p w:rsidR="00024C0A" w:rsidRDefault="00694C0F">
            <w:pPr>
              <w:pStyle w:val="TableBodyText"/>
            </w:pPr>
            <w:r>
              <w:t>The right border shall be a 3/4 pt double line.</w:t>
            </w:r>
          </w:p>
          <w:p w:rsidR="00024C0A" w:rsidRDefault="00694C0F">
            <w:pPr>
              <w:pStyle w:val="TableBodyText"/>
            </w:pPr>
            <w:r>
              <w:t>The inside horizontal border shall be a 3/4 pt single line.</w:t>
            </w:r>
          </w:p>
          <w:p w:rsidR="00024C0A" w:rsidRDefault="00694C0F">
            <w:pPr>
              <w:pStyle w:val="TableBodyText"/>
            </w:pPr>
            <w:r>
              <w:t>The inside vertical border shall be a 3/4 pt single line.</w:t>
            </w:r>
          </w:p>
          <w:p w:rsidR="00024C0A" w:rsidRDefault="00694C0F">
            <w:pPr>
              <w:pStyle w:val="TableBodyText"/>
            </w:pPr>
            <w:r>
              <w:t>The top</w:t>
            </w:r>
            <w:r>
              <w:t xml:space="preserve"> border color shall be black (000000).</w:t>
            </w:r>
          </w:p>
          <w:p w:rsidR="00024C0A" w:rsidRDefault="00694C0F">
            <w:pPr>
              <w:pStyle w:val="TableBodyText"/>
            </w:pPr>
            <w:r>
              <w:t>The left border color shall be black (000000).</w:t>
            </w:r>
          </w:p>
          <w:p w:rsidR="00024C0A" w:rsidRDefault="00694C0F">
            <w:pPr>
              <w:pStyle w:val="TableBodyText"/>
            </w:pPr>
            <w:r>
              <w:t>The bottom border color shall be black (000000).</w:t>
            </w:r>
          </w:p>
          <w:p w:rsidR="00024C0A" w:rsidRDefault="00694C0F">
            <w:pPr>
              <w:pStyle w:val="TableBodyText"/>
            </w:pPr>
            <w:r>
              <w:t>The right border color shall be black (000000).</w:t>
            </w:r>
          </w:p>
          <w:p w:rsidR="00024C0A" w:rsidRDefault="00694C0F">
            <w:pPr>
              <w:pStyle w:val="TableBodyText"/>
            </w:pPr>
            <w:r>
              <w:t>The inside horizontal border color shall be black (000000).</w:t>
            </w:r>
          </w:p>
          <w:p w:rsidR="00024C0A" w:rsidRDefault="00694C0F">
            <w:pPr>
              <w:pStyle w:val="TableBodyText"/>
            </w:pPr>
            <w:r>
              <w:t>The inside ve</w:t>
            </w:r>
            <w:r>
              <w:t>rtical border color shall be black (000000).</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The header rows shall have the following properties:</w:t>
            </w:r>
          </w:p>
          <w:p w:rsidR="00024C0A" w:rsidRDefault="00694C0F">
            <w:pPr>
              <w:pStyle w:val="TableBodyText"/>
            </w:pPr>
            <w:r>
              <w:t>The font shall be all caps.</w:t>
            </w:r>
          </w:p>
          <w:p w:rsidR="00024C0A" w:rsidRDefault="00024C0A">
            <w:pPr>
              <w:pStyle w:val="TableBodyText"/>
            </w:pPr>
          </w:p>
        </w:tc>
      </w:tr>
      <w:tr w:rsidR="00024C0A" w:rsidTr="00024C0A">
        <w:tc>
          <w:tcPr>
            <w:tcW w:w="0" w:type="auto"/>
            <w:vAlign w:val="center"/>
          </w:tcPr>
          <w:p w:rsidR="00024C0A" w:rsidRDefault="00694C0F">
            <w:pPr>
              <w:pStyle w:val="TableBodyText"/>
            </w:pPr>
            <w:r>
              <w:t>37 (Professional)</w:t>
            </w:r>
          </w:p>
          <w:p w:rsidR="00024C0A" w:rsidRDefault="00024C0A">
            <w:pPr>
              <w:pStyle w:val="TableBodyText"/>
            </w:pPr>
          </w:p>
        </w:tc>
        <w:tc>
          <w:tcPr>
            <w:tcW w:w="0" w:type="auto"/>
            <w:vAlign w:val="center"/>
          </w:tcPr>
          <w:p w:rsidR="00024C0A" w:rsidRDefault="00694C0F">
            <w:pPr>
              <w:pStyle w:val="TableBodyText"/>
            </w:pPr>
            <w:r>
              <w:t>The table shall have the following properties:</w:t>
            </w:r>
          </w:p>
          <w:p w:rsidR="00024C0A" w:rsidRDefault="00694C0F">
            <w:pPr>
              <w:pStyle w:val="TableBodyText"/>
            </w:pPr>
            <w:r>
              <w:t xml:space="preserve">The top border shall be </w:t>
            </w:r>
            <w:r>
              <w:t>a 3/4 pt single line.</w:t>
            </w:r>
          </w:p>
          <w:p w:rsidR="00024C0A" w:rsidRDefault="00694C0F">
            <w:pPr>
              <w:pStyle w:val="TableBodyText"/>
            </w:pPr>
            <w:r>
              <w:t>The left border shall be a 3/4 pt single line.</w:t>
            </w:r>
          </w:p>
          <w:p w:rsidR="00024C0A" w:rsidRDefault="00694C0F">
            <w:pPr>
              <w:pStyle w:val="TableBodyText"/>
            </w:pPr>
            <w:r>
              <w:t>The bottom border shall be a 3/4 pt single line.</w:t>
            </w:r>
          </w:p>
          <w:p w:rsidR="00024C0A" w:rsidRDefault="00694C0F">
            <w:pPr>
              <w:pStyle w:val="TableBodyText"/>
            </w:pPr>
            <w:r>
              <w:t>The right border shall be a 3/4 pt single line.</w:t>
            </w:r>
          </w:p>
          <w:p w:rsidR="00024C0A" w:rsidRDefault="00694C0F">
            <w:pPr>
              <w:pStyle w:val="TableBodyText"/>
            </w:pPr>
            <w:r>
              <w:t>The inside horizontal border shall be a 3/4 pt single line.</w:t>
            </w:r>
          </w:p>
          <w:p w:rsidR="00024C0A" w:rsidRDefault="00694C0F">
            <w:pPr>
              <w:pStyle w:val="TableBodyText"/>
            </w:pPr>
            <w:r>
              <w:t>The inside vertical border sha</w:t>
            </w:r>
            <w:r>
              <w:t>ll be a 3/4 pt single line.</w:t>
            </w:r>
          </w:p>
          <w:p w:rsidR="00024C0A" w:rsidRDefault="00694C0F">
            <w:pPr>
              <w:pStyle w:val="TableBodyText"/>
            </w:pPr>
            <w:r>
              <w:t>The top border color shall be black (000000).</w:t>
            </w:r>
          </w:p>
          <w:p w:rsidR="00024C0A" w:rsidRDefault="00694C0F">
            <w:pPr>
              <w:pStyle w:val="TableBodyText"/>
            </w:pPr>
            <w:r>
              <w:t>The left border color shall be black (000000).</w:t>
            </w:r>
          </w:p>
          <w:p w:rsidR="00024C0A" w:rsidRDefault="00694C0F">
            <w:pPr>
              <w:pStyle w:val="TableBodyText"/>
            </w:pPr>
            <w:r>
              <w:t>The bottom border color shall be black (000000).</w:t>
            </w:r>
          </w:p>
          <w:p w:rsidR="00024C0A" w:rsidRDefault="00694C0F">
            <w:pPr>
              <w:pStyle w:val="TableBodyText"/>
            </w:pPr>
            <w:r>
              <w:t>The right border color shall be black (000000).</w:t>
            </w:r>
          </w:p>
          <w:p w:rsidR="00024C0A" w:rsidRDefault="00694C0F">
            <w:pPr>
              <w:pStyle w:val="TableBodyText"/>
            </w:pPr>
            <w:r>
              <w:lastRenderedPageBreak/>
              <w:t>The inside horizontal border color sha</w:t>
            </w:r>
            <w:r>
              <w:t>ll be black (000000).</w:t>
            </w:r>
          </w:p>
          <w:p w:rsidR="00024C0A" w:rsidRDefault="00694C0F">
            <w:pPr>
              <w:pStyle w:val="TableBodyText"/>
            </w:pPr>
            <w:r>
              <w:t>The inside vertical border color shall be black (000000).</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The header rows shall have the following properties:</w:t>
            </w:r>
          </w:p>
          <w:p w:rsidR="00024C0A" w:rsidRDefault="00694C0F">
            <w:pPr>
              <w:pStyle w:val="TableBodyText"/>
            </w:pPr>
            <w:r>
              <w:t>The foreground shading color shall be black (000000).</w:t>
            </w:r>
          </w:p>
          <w:p w:rsidR="00024C0A" w:rsidRDefault="00694C0F">
            <w:pPr>
              <w:pStyle w:val="TableBodyText"/>
            </w:pPr>
            <w:r>
              <w:t>The background shading shall be</w:t>
            </w:r>
            <w:r>
              <w:t xml:space="preserve"> white (FFFFFF).</w:t>
            </w:r>
          </w:p>
          <w:p w:rsidR="00024C0A" w:rsidRDefault="00694C0F">
            <w:pPr>
              <w:pStyle w:val="TableBodyText"/>
            </w:pPr>
            <w:r>
              <w:t>The shading pattern shall be solid.</w:t>
            </w:r>
          </w:p>
          <w:p w:rsidR="00024C0A" w:rsidRDefault="00694C0F">
            <w:pPr>
              <w:pStyle w:val="TableBodyText"/>
            </w:pPr>
            <w:r>
              <w:t>The font color shall be white.</w:t>
            </w:r>
          </w:p>
          <w:p w:rsidR="00024C0A" w:rsidRDefault="00694C0F">
            <w:pPr>
              <w:pStyle w:val="TableBodyText"/>
            </w:pPr>
            <w:r>
              <w:t>The font shall be bold.</w:t>
            </w:r>
          </w:p>
          <w:p w:rsidR="00024C0A" w:rsidRDefault="00024C0A">
            <w:pPr>
              <w:pStyle w:val="TableBodyText"/>
            </w:pPr>
          </w:p>
        </w:tc>
      </w:tr>
      <w:tr w:rsidR="00024C0A" w:rsidTr="00024C0A">
        <w:tc>
          <w:tcPr>
            <w:tcW w:w="0" w:type="auto"/>
            <w:vAlign w:val="center"/>
          </w:tcPr>
          <w:p w:rsidR="00024C0A" w:rsidRDefault="00694C0F">
            <w:pPr>
              <w:pStyle w:val="TableBodyText"/>
            </w:pPr>
            <w:r>
              <w:lastRenderedPageBreak/>
              <w:t>38 (Subtle 1)</w:t>
            </w:r>
          </w:p>
          <w:p w:rsidR="00024C0A" w:rsidRDefault="00024C0A">
            <w:pPr>
              <w:pStyle w:val="TableBodyText"/>
            </w:pPr>
          </w:p>
        </w:tc>
        <w:tc>
          <w:tcPr>
            <w:tcW w:w="0" w:type="auto"/>
            <w:vAlign w:val="center"/>
          </w:tcPr>
          <w:p w:rsidR="00024C0A" w:rsidRDefault="00694C0F">
            <w:pPr>
              <w:pStyle w:val="TableBodyText"/>
            </w:pPr>
            <w:r>
              <w:t>The table shall have the following properties:</w:t>
            </w:r>
          </w:p>
          <w:p w:rsidR="00024C0A" w:rsidRDefault="00694C0F">
            <w:pPr>
              <w:pStyle w:val="TableBodyText"/>
            </w:pPr>
            <w:r>
              <w:t>The interior vertical border shall be a 3/4 pt single line.</w:t>
            </w:r>
          </w:p>
          <w:p w:rsidR="00024C0A" w:rsidRDefault="00694C0F">
            <w:pPr>
              <w:pStyle w:val="TableBodyText"/>
            </w:pPr>
            <w:r>
              <w:t xml:space="preserve">The interior vertical </w:t>
            </w:r>
            <w:r>
              <w:t>border shall be black (000000).</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Even rows of the table shall have the following properties:</w:t>
            </w:r>
          </w:p>
          <w:p w:rsidR="00024C0A" w:rsidRDefault="00694C0F">
            <w:pPr>
              <w:pStyle w:val="TableBodyText"/>
            </w:pPr>
            <w:r>
              <w:t>The bottom border shall be a 3/4 pt single line.</w:t>
            </w:r>
          </w:p>
          <w:p w:rsidR="00024C0A" w:rsidRDefault="00694C0F">
            <w:pPr>
              <w:pStyle w:val="TableBodyText"/>
            </w:pPr>
            <w:r>
              <w:t>The bottom border color shall be black (000000).</w:t>
            </w:r>
          </w:p>
          <w:p w:rsidR="00024C0A" w:rsidRDefault="00694C0F">
            <w:pPr>
              <w:pStyle w:val="TableBodyText"/>
            </w:pPr>
            <w:r>
              <w:t>There shall be no interior v</w:t>
            </w:r>
            <w:r>
              <w:t>ertical border.</w:t>
            </w:r>
          </w:p>
          <w:p w:rsidR="00024C0A" w:rsidRDefault="00694C0F">
            <w:pPr>
              <w:pStyle w:val="TableBodyText"/>
            </w:pPr>
            <w:r>
              <w:t>The foreground shading color shall be dark yellow (CCCC00).</w:t>
            </w:r>
          </w:p>
          <w:p w:rsidR="00024C0A" w:rsidRDefault="00694C0F">
            <w:pPr>
              <w:pStyle w:val="TableBodyText"/>
            </w:pPr>
            <w:r>
              <w:t>The background shading shall be white (FFFFFF).</w:t>
            </w:r>
          </w:p>
          <w:p w:rsidR="00024C0A" w:rsidRDefault="00694C0F">
            <w:pPr>
              <w:pStyle w:val="TableBodyText"/>
            </w:pPr>
            <w:r>
              <w:t>The shading pattern shall be pct25.</w:t>
            </w:r>
          </w:p>
          <w:p w:rsidR="00024C0A" w:rsidRDefault="00024C0A">
            <w:pPr>
              <w:pStyle w:val="TableBodyText"/>
            </w:pPr>
          </w:p>
          <w:p w:rsidR="00024C0A" w:rsidRDefault="00694C0F">
            <w:pPr>
              <w:pStyle w:val="TableBodyText"/>
            </w:pPr>
            <w:r>
              <w:t>The header rows shall have the following properties:</w:t>
            </w:r>
          </w:p>
          <w:p w:rsidR="00024C0A" w:rsidRDefault="00694C0F">
            <w:pPr>
              <w:pStyle w:val="TableBodyText"/>
            </w:pPr>
            <w:r>
              <w:t>The top border shall be a 3/4 pt single li</w:t>
            </w:r>
            <w:r>
              <w:t>ne.</w:t>
            </w:r>
          </w:p>
          <w:p w:rsidR="00024C0A" w:rsidRDefault="00694C0F">
            <w:pPr>
              <w:pStyle w:val="TableBodyText"/>
            </w:pPr>
            <w:r>
              <w:t>The bottom border shall be a 1 1/2 pt single line.</w:t>
            </w:r>
          </w:p>
          <w:p w:rsidR="00024C0A" w:rsidRDefault="00694C0F">
            <w:pPr>
              <w:pStyle w:val="TableBodyText"/>
            </w:pPr>
            <w:r>
              <w:t>The top border color shall be black (000000).</w:t>
            </w:r>
          </w:p>
          <w:p w:rsidR="00024C0A" w:rsidRDefault="00694C0F">
            <w:pPr>
              <w:pStyle w:val="TableBodyText"/>
            </w:pPr>
            <w:r>
              <w:t>The bottom border color shall be black (000000).</w:t>
            </w:r>
          </w:p>
          <w:p w:rsidR="00024C0A" w:rsidRDefault="00694C0F">
            <w:pPr>
              <w:pStyle w:val="TableBodyText"/>
            </w:pPr>
            <w:r>
              <w:t>The shading pattern shall be clear.</w:t>
            </w:r>
          </w:p>
          <w:p w:rsidR="00024C0A" w:rsidRDefault="00024C0A">
            <w:pPr>
              <w:pStyle w:val="TableBodyText"/>
            </w:pPr>
          </w:p>
          <w:p w:rsidR="00024C0A" w:rsidRDefault="00694C0F">
            <w:pPr>
              <w:pStyle w:val="TableBodyText"/>
            </w:pPr>
            <w:r>
              <w:t>The last row shall have the following properties:</w:t>
            </w:r>
          </w:p>
          <w:p w:rsidR="00024C0A" w:rsidRDefault="00694C0F">
            <w:pPr>
              <w:pStyle w:val="TableBodyText"/>
            </w:pPr>
            <w:r>
              <w:t xml:space="preserve">The top border </w:t>
            </w:r>
            <w:r>
              <w:t>shall be a 1 1/2 pt single line.</w:t>
            </w:r>
          </w:p>
          <w:p w:rsidR="00024C0A" w:rsidRDefault="00694C0F">
            <w:pPr>
              <w:pStyle w:val="TableBodyText"/>
            </w:pPr>
            <w:r>
              <w:t>The top border color shall be black (000000).</w:t>
            </w:r>
          </w:p>
          <w:p w:rsidR="00024C0A" w:rsidRDefault="00694C0F">
            <w:pPr>
              <w:pStyle w:val="TableBodyText"/>
            </w:pPr>
            <w:r>
              <w:t>The foreground shading color shall be dark magenta (CC00CC).</w:t>
            </w:r>
          </w:p>
          <w:p w:rsidR="00024C0A" w:rsidRDefault="00694C0F">
            <w:pPr>
              <w:pStyle w:val="TableBodyText"/>
            </w:pPr>
            <w:r>
              <w:t>The background shading shall be white (FFFFFF).</w:t>
            </w:r>
          </w:p>
          <w:p w:rsidR="00024C0A" w:rsidRDefault="00694C0F">
            <w:pPr>
              <w:pStyle w:val="TableBodyText"/>
            </w:pPr>
            <w:r>
              <w:t>The shading pattern shall be pct25.</w:t>
            </w:r>
          </w:p>
          <w:p w:rsidR="00024C0A" w:rsidRDefault="00024C0A">
            <w:pPr>
              <w:pStyle w:val="TableBodyText"/>
            </w:pPr>
          </w:p>
          <w:p w:rsidR="00024C0A" w:rsidRDefault="00694C0F">
            <w:pPr>
              <w:pStyle w:val="TableBodyText"/>
            </w:pPr>
            <w:r>
              <w:t>The first column shall have the</w:t>
            </w:r>
            <w:r>
              <w:t xml:space="preserve"> following properties:</w:t>
            </w:r>
          </w:p>
          <w:p w:rsidR="00024C0A" w:rsidRDefault="00694C0F">
            <w:pPr>
              <w:pStyle w:val="TableBodyText"/>
            </w:pPr>
            <w:r>
              <w:t>The right border shall be a 1 1/2 pt single line.</w:t>
            </w:r>
          </w:p>
          <w:p w:rsidR="00024C0A" w:rsidRDefault="00694C0F">
            <w:pPr>
              <w:pStyle w:val="TableBodyText"/>
            </w:pPr>
            <w:r>
              <w:t>The right border color shall be black (000000).</w:t>
            </w:r>
          </w:p>
          <w:p w:rsidR="00024C0A" w:rsidRDefault="00024C0A">
            <w:pPr>
              <w:pStyle w:val="TableBodyText"/>
            </w:pPr>
          </w:p>
          <w:p w:rsidR="00024C0A" w:rsidRDefault="00694C0F">
            <w:pPr>
              <w:pStyle w:val="TableBodyText"/>
            </w:pPr>
            <w:r>
              <w:t>The last column shall have the following properties:</w:t>
            </w:r>
          </w:p>
          <w:p w:rsidR="00024C0A" w:rsidRDefault="00694C0F">
            <w:pPr>
              <w:pStyle w:val="TableBodyText"/>
            </w:pPr>
            <w:r>
              <w:t>The left border shall be a 1 1/2 pt single line.</w:t>
            </w:r>
          </w:p>
          <w:p w:rsidR="00024C0A" w:rsidRDefault="00694C0F">
            <w:pPr>
              <w:pStyle w:val="TableBodyText"/>
            </w:pPr>
            <w:r>
              <w:t>The left border color shall be b</w:t>
            </w:r>
            <w:r>
              <w:t>lack (000000).</w:t>
            </w:r>
          </w:p>
          <w:p w:rsidR="00024C0A" w:rsidRDefault="00024C0A">
            <w:pPr>
              <w:pStyle w:val="TableBodyText"/>
            </w:pPr>
          </w:p>
          <w:p w:rsidR="00024C0A" w:rsidRDefault="00694C0F">
            <w:pPr>
              <w:pStyle w:val="TableBodyText"/>
            </w:pPr>
            <w:r>
              <w:t>The last column of header rows shall have the following properties:</w:t>
            </w:r>
          </w:p>
          <w:p w:rsidR="00024C0A" w:rsidRDefault="00694C0F">
            <w:pPr>
              <w:pStyle w:val="TableBodyText"/>
            </w:pPr>
            <w:r>
              <w:lastRenderedPageBreak/>
              <w:t>The font shall be bold.</w:t>
            </w:r>
          </w:p>
          <w:p w:rsidR="00024C0A" w:rsidRDefault="00024C0A">
            <w:pPr>
              <w:pStyle w:val="TableBodyText"/>
            </w:pPr>
          </w:p>
          <w:p w:rsidR="00024C0A" w:rsidRDefault="00694C0F">
            <w:pPr>
              <w:pStyle w:val="TableBodyText"/>
            </w:pPr>
            <w:r>
              <w:t>The first column of the last row shall have the following properties:</w:t>
            </w:r>
          </w:p>
          <w:p w:rsidR="00024C0A" w:rsidRDefault="00694C0F">
            <w:pPr>
              <w:pStyle w:val="TableBodyText"/>
            </w:pPr>
            <w:r>
              <w:t>The font shall be bold.</w:t>
            </w:r>
          </w:p>
          <w:p w:rsidR="00024C0A" w:rsidRDefault="00024C0A">
            <w:pPr>
              <w:pStyle w:val="TableBodyText"/>
            </w:pPr>
          </w:p>
        </w:tc>
      </w:tr>
      <w:tr w:rsidR="00024C0A" w:rsidTr="00024C0A">
        <w:tc>
          <w:tcPr>
            <w:tcW w:w="0" w:type="auto"/>
            <w:vAlign w:val="center"/>
          </w:tcPr>
          <w:p w:rsidR="00024C0A" w:rsidRDefault="00694C0F">
            <w:pPr>
              <w:pStyle w:val="TableBodyText"/>
            </w:pPr>
            <w:r>
              <w:lastRenderedPageBreak/>
              <w:t>39 (Subtle 2)</w:t>
            </w:r>
          </w:p>
          <w:p w:rsidR="00024C0A" w:rsidRDefault="00024C0A">
            <w:pPr>
              <w:pStyle w:val="TableBodyText"/>
            </w:pPr>
          </w:p>
        </w:tc>
        <w:tc>
          <w:tcPr>
            <w:tcW w:w="0" w:type="auto"/>
            <w:vAlign w:val="center"/>
          </w:tcPr>
          <w:p w:rsidR="00024C0A" w:rsidRDefault="00694C0F">
            <w:pPr>
              <w:pStyle w:val="TableBodyText"/>
            </w:pPr>
            <w:r>
              <w:t xml:space="preserve">The table shall have the following </w:t>
            </w:r>
            <w:r>
              <w:t>properties:</w:t>
            </w:r>
          </w:p>
          <w:p w:rsidR="00024C0A" w:rsidRDefault="00694C0F">
            <w:pPr>
              <w:pStyle w:val="TableBodyText"/>
            </w:pPr>
            <w:r>
              <w:t>The left border shall be a 3/4 pt single line.</w:t>
            </w:r>
          </w:p>
          <w:p w:rsidR="00024C0A" w:rsidRDefault="00694C0F">
            <w:pPr>
              <w:pStyle w:val="TableBodyText"/>
            </w:pPr>
            <w:r>
              <w:t>The right border shall be a 3/4 pt single line.</w:t>
            </w:r>
          </w:p>
          <w:p w:rsidR="00024C0A" w:rsidRDefault="00694C0F">
            <w:pPr>
              <w:pStyle w:val="TableBodyText"/>
            </w:pPr>
            <w:r>
              <w:t>The left border color shall be black (000000).</w:t>
            </w:r>
          </w:p>
          <w:p w:rsidR="00024C0A" w:rsidRDefault="00694C0F">
            <w:pPr>
              <w:pStyle w:val="TableBodyText"/>
            </w:pPr>
            <w:r>
              <w:t>The right border color shall be black (000000).</w:t>
            </w:r>
          </w:p>
          <w:p w:rsidR="00024C0A" w:rsidRDefault="00694C0F">
            <w:pPr>
              <w:pStyle w:val="TableBodyText"/>
            </w:pPr>
            <w:r>
              <w:t>The vertical alignment shall be top.</w:t>
            </w:r>
          </w:p>
          <w:p w:rsidR="00024C0A" w:rsidRDefault="00024C0A">
            <w:pPr>
              <w:pStyle w:val="TableBodyText"/>
            </w:pPr>
          </w:p>
          <w:p w:rsidR="00024C0A" w:rsidRDefault="00694C0F">
            <w:pPr>
              <w:pStyle w:val="TableBodyText"/>
            </w:pPr>
            <w:r>
              <w:t xml:space="preserve">The last column </w:t>
            </w:r>
            <w:r>
              <w:t>shall have the following properties:</w:t>
            </w:r>
          </w:p>
          <w:p w:rsidR="00024C0A" w:rsidRDefault="00694C0F">
            <w:pPr>
              <w:pStyle w:val="TableBodyText"/>
            </w:pPr>
            <w:r>
              <w:t>The left border shall be a 1 1/2 pt single line.</w:t>
            </w:r>
          </w:p>
          <w:p w:rsidR="00024C0A" w:rsidRDefault="00694C0F">
            <w:pPr>
              <w:pStyle w:val="TableBodyText"/>
            </w:pPr>
            <w:r>
              <w:t>The left border color shall be black (000000).</w:t>
            </w:r>
          </w:p>
          <w:p w:rsidR="00024C0A" w:rsidRDefault="00694C0F">
            <w:pPr>
              <w:pStyle w:val="TableBodyText"/>
            </w:pPr>
            <w:r>
              <w:t>The foreground shading color shall be dark yellow (CCCC00).</w:t>
            </w:r>
          </w:p>
          <w:p w:rsidR="00024C0A" w:rsidRDefault="00694C0F">
            <w:pPr>
              <w:pStyle w:val="TableBodyText"/>
            </w:pPr>
            <w:r>
              <w:t>The background shading shall be white (FFFFFF).</w:t>
            </w:r>
          </w:p>
          <w:p w:rsidR="00024C0A" w:rsidRDefault="00694C0F">
            <w:pPr>
              <w:pStyle w:val="TableBodyText"/>
            </w:pPr>
            <w:r>
              <w:t>The shading pat</w:t>
            </w:r>
            <w:r>
              <w:t>tern shall be pct25.</w:t>
            </w:r>
          </w:p>
          <w:p w:rsidR="00024C0A" w:rsidRDefault="00024C0A">
            <w:pPr>
              <w:pStyle w:val="TableBodyText"/>
            </w:pPr>
          </w:p>
          <w:p w:rsidR="00024C0A" w:rsidRDefault="00694C0F">
            <w:pPr>
              <w:pStyle w:val="TableBodyText"/>
            </w:pPr>
            <w:r>
              <w:t>The first column shall have the following properties:</w:t>
            </w:r>
          </w:p>
          <w:p w:rsidR="00024C0A" w:rsidRDefault="00694C0F">
            <w:pPr>
              <w:pStyle w:val="TableBodyText"/>
            </w:pPr>
            <w:r>
              <w:t>The right border shall be a 1 1/2 pt single line.</w:t>
            </w:r>
          </w:p>
          <w:p w:rsidR="00024C0A" w:rsidRDefault="00694C0F">
            <w:pPr>
              <w:pStyle w:val="TableBodyText"/>
            </w:pPr>
            <w:r>
              <w:t>The right border color shall be black (000000).</w:t>
            </w:r>
          </w:p>
          <w:p w:rsidR="00024C0A" w:rsidRDefault="00694C0F">
            <w:pPr>
              <w:pStyle w:val="TableBodyText"/>
            </w:pPr>
            <w:r>
              <w:t>The foreground shading color shall be dark green (00CC00).</w:t>
            </w:r>
          </w:p>
          <w:p w:rsidR="00024C0A" w:rsidRDefault="00694C0F">
            <w:pPr>
              <w:pStyle w:val="TableBodyText"/>
            </w:pPr>
            <w:r>
              <w:t xml:space="preserve">The background shading </w:t>
            </w:r>
            <w:r>
              <w:t>shall be white (FFFFFF).</w:t>
            </w:r>
          </w:p>
          <w:p w:rsidR="00024C0A" w:rsidRDefault="00694C0F">
            <w:pPr>
              <w:pStyle w:val="TableBodyText"/>
            </w:pPr>
            <w:r>
              <w:t>The shading pattern shall be pct25.</w:t>
            </w:r>
          </w:p>
          <w:p w:rsidR="00024C0A" w:rsidRDefault="00024C0A">
            <w:pPr>
              <w:pStyle w:val="TableBodyText"/>
            </w:pPr>
          </w:p>
          <w:p w:rsidR="00024C0A" w:rsidRDefault="00694C0F">
            <w:pPr>
              <w:pStyle w:val="TableBodyText"/>
            </w:pPr>
            <w:r>
              <w:t>The last row shall have the following properties:</w:t>
            </w:r>
          </w:p>
          <w:p w:rsidR="00024C0A" w:rsidRDefault="00694C0F">
            <w:pPr>
              <w:pStyle w:val="TableBodyText"/>
            </w:pPr>
            <w:r>
              <w:t>The top border shall be a 1 1/2 pt single line.</w:t>
            </w:r>
          </w:p>
          <w:p w:rsidR="00024C0A" w:rsidRDefault="00694C0F">
            <w:pPr>
              <w:pStyle w:val="TableBodyText"/>
            </w:pPr>
            <w:r>
              <w:t>The top border color shall be black (000000).</w:t>
            </w:r>
          </w:p>
          <w:p w:rsidR="00024C0A" w:rsidRDefault="00694C0F">
            <w:pPr>
              <w:pStyle w:val="TableBodyText"/>
            </w:pPr>
            <w:r>
              <w:t>The shading pattern shall be clear.</w:t>
            </w:r>
          </w:p>
          <w:p w:rsidR="00024C0A" w:rsidRDefault="00024C0A">
            <w:pPr>
              <w:pStyle w:val="TableBodyText"/>
            </w:pPr>
          </w:p>
          <w:p w:rsidR="00024C0A" w:rsidRDefault="00694C0F">
            <w:pPr>
              <w:pStyle w:val="TableBodyText"/>
            </w:pPr>
            <w:r>
              <w:t xml:space="preserve">The last row </w:t>
            </w:r>
            <w:r>
              <w:t>of the first column shall have the following properties:</w:t>
            </w:r>
          </w:p>
          <w:p w:rsidR="00024C0A" w:rsidRDefault="00694C0F">
            <w:pPr>
              <w:pStyle w:val="TableBodyText"/>
            </w:pPr>
            <w:r>
              <w:t>The foreground shading color shall be dark green (00CC00).</w:t>
            </w:r>
          </w:p>
          <w:p w:rsidR="00024C0A" w:rsidRDefault="00694C0F">
            <w:pPr>
              <w:pStyle w:val="TableBodyText"/>
            </w:pPr>
            <w:r>
              <w:t>The background shading shall be white (FFFFFF).</w:t>
            </w:r>
          </w:p>
          <w:p w:rsidR="00024C0A" w:rsidRDefault="00694C0F">
            <w:pPr>
              <w:pStyle w:val="TableBodyText"/>
            </w:pPr>
            <w:r>
              <w:t>The shading pattern shall be pct25.</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 xml:space="preserve">The last column of header rows </w:t>
            </w:r>
            <w:r>
              <w:t>shall have the following properties:</w:t>
            </w:r>
          </w:p>
          <w:p w:rsidR="00024C0A" w:rsidRDefault="00694C0F">
            <w:pPr>
              <w:pStyle w:val="TableBodyText"/>
            </w:pPr>
            <w:r>
              <w:t>The foreground shading color shall be dark yellow (CCCC00).</w:t>
            </w:r>
          </w:p>
          <w:p w:rsidR="00024C0A" w:rsidRDefault="00694C0F">
            <w:pPr>
              <w:pStyle w:val="TableBodyText"/>
            </w:pPr>
            <w:r>
              <w:t>The background shading shall be white (FFFFFF).</w:t>
            </w:r>
          </w:p>
          <w:p w:rsidR="00024C0A" w:rsidRDefault="00694C0F">
            <w:pPr>
              <w:pStyle w:val="TableBodyText"/>
            </w:pPr>
            <w:r>
              <w:t>The shading pattern shall be pct25.</w:t>
            </w:r>
          </w:p>
          <w:p w:rsidR="00024C0A" w:rsidRDefault="00694C0F">
            <w:pPr>
              <w:pStyle w:val="TableBodyText"/>
            </w:pPr>
            <w:r>
              <w:t>The font shall be bold.</w:t>
            </w:r>
          </w:p>
          <w:p w:rsidR="00024C0A" w:rsidRDefault="00024C0A">
            <w:pPr>
              <w:pStyle w:val="TableBodyText"/>
            </w:pPr>
          </w:p>
          <w:p w:rsidR="00024C0A" w:rsidRDefault="00694C0F">
            <w:pPr>
              <w:pStyle w:val="TableBodyText"/>
            </w:pPr>
            <w:r>
              <w:t>The header rows shall have the following propertie</w:t>
            </w:r>
            <w:r>
              <w:t>s:</w:t>
            </w:r>
          </w:p>
          <w:p w:rsidR="00024C0A" w:rsidRDefault="00694C0F">
            <w:pPr>
              <w:pStyle w:val="TableBodyText"/>
            </w:pPr>
            <w:r>
              <w:t>The bottom border shall be a 1 1/2 pt single line.</w:t>
            </w:r>
          </w:p>
          <w:p w:rsidR="00024C0A" w:rsidRDefault="00694C0F">
            <w:pPr>
              <w:pStyle w:val="TableBodyText"/>
            </w:pPr>
            <w:r>
              <w:t>The bottom border color shall be black (000000).</w:t>
            </w:r>
          </w:p>
          <w:p w:rsidR="00024C0A" w:rsidRDefault="00694C0F">
            <w:pPr>
              <w:pStyle w:val="TableBodyText"/>
            </w:pPr>
            <w:r>
              <w:t>The shading pattern shall be clear.</w:t>
            </w:r>
          </w:p>
          <w:p w:rsidR="00024C0A" w:rsidRDefault="00024C0A">
            <w:pPr>
              <w:pStyle w:val="TableBodyText"/>
            </w:pPr>
          </w:p>
        </w:tc>
      </w:tr>
      <w:tr w:rsidR="00024C0A" w:rsidTr="00024C0A">
        <w:tc>
          <w:tcPr>
            <w:tcW w:w="0" w:type="auto"/>
            <w:vAlign w:val="center"/>
          </w:tcPr>
          <w:p w:rsidR="00024C0A" w:rsidRDefault="00694C0F">
            <w:pPr>
              <w:pStyle w:val="TableBodyText"/>
            </w:pPr>
            <w:r>
              <w:lastRenderedPageBreak/>
              <w:t>40 (Web 1)</w:t>
            </w:r>
          </w:p>
          <w:p w:rsidR="00024C0A" w:rsidRDefault="00024C0A">
            <w:pPr>
              <w:pStyle w:val="TableBodyText"/>
            </w:pPr>
          </w:p>
        </w:tc>
        <w:tc>
          <w:tcPr>
            <w:tcW w:w="0" w:type="auto"/>
            <w:vAlign w:val="center"/>
          </w:tcPr>
          <w:p w:rsidR="00024C0A" w:rsidRDefault="00694C0F">
            <w:pPr>
              <w:pStyle w:val="TableBodyText"/>
            </w:pPr>
            <w:r>
              <w:t>The table shall have the following properties:</w:t>
            </w:r>
          </w:p>
          <w:p w:rsidR="00024C0A" w:rsidRDefault="00694C0F">
            <w:pPr>
              <w:pStyle w:val="TableBodyText"/>
            </w:pPr>
            <w:r>
              <w:t>The top border shall be a 3/4 pt outset line.</w:t>
            </w:r>
          </w:p>
          <w:p w:rsidR="00024C0A" w:rsidRDefault="00694C0F">
            <w:pPr>
              <w:pStyle w:val="TableBodyText"/>
            </w:pPr>
            <w:r>
              <w:t>The left b</w:t>
            </w:r>
            <w:r>
              <w:t>order shall be a 3/4 pt outset line.</w:t>
            </w:r>
          </w:p>
          <w:p w:rsidR="00024C0A" w:rsidRDefault="00694C0F">
            <w:pPr>
              <w:pStyle w:val="TableBodyText"/>
            </w:pPr>
            <w:r>
              <w:t>The bottom border shall be a 3/4 pt outset line.</w:t>
            </w:r>
          </w:p>
          <w:p w:rsidR="00024C0A" w:rsidRDefault="00694C0F">
            <w:pPr>
              <w:pStyle w:val="TableBodyText"/>
            </w:pPr>
            <w:r>
              <w:t>The right border shall be a 3/4 pt outset line.</w:t>
            </w:r>
          </w:p>
          <w:p w:rsidR="00024C0A" w:rsidRDefault="00694C0F">
            <w:pPr>
              <w:pStyle w:val="TableBodyText"/>
            </w:pPr>
            <w:r>
              <w:t>The inside horizontal border shall be a 3/4 pt outset line.</w:t>
            </w:r>
          </w:p>
          <w:p w:rsidR="00024C0A" w:rsidRDefault="00694C0F">
            <w:pPr>
              <w:pStyle w:val="TableBodyText"/>
            </w:pPr>
            <w:r>
              <w:t>The inside vertical border shall be a 3/4 pt outset line.</w:t>
            </w:r>
          </w:p>
          <w:p w:rsidR="00024C0A" w:rsidRDefault="00694C0F">
            <w:pPr>
              <w:pStyle w:val="TableBodyText"/>
            </w:pPr>
            <w:r>
              <w:t xml:space="preserve">The </w:t>
            </w:r>
            <w:r>
              <w:t>vertical alignment shall be top.</w:t>
            </w:r>
          </w:p>
          <w:p w:rsidR="00024C0A" w:rsidRDefault="00694C0F">
            <w:pPr>
              <w:pStyle w:val="TableBodyText"/>
            </w:pPr>
            <w:r>
              <w:t>The cell spacing shall be 20 twips.</w:t>
            </w:r>
          </w:p>
          <w:p w:rsidR="00024C0A" w:rsidRDefault="00024C0A">
            <w:pPr>
              <w:pStyle w:val="TableBodyText"/>
            </w:pPr>
          </w:p>
        </w:tc>
      </w:tr>
      <w:tr w:rsidR="00024C0A" w:rsidTr="00024C0A">
        <w:tc>
          <w:tcPr>
            <w:tcW w:w="0" w:type="auto"/>
            <w:vAlign w:val="center"/>
          </w:tcPr>
          <w:p w:rsidR="00024C0A" w:rsidRDefault="00694C0F">
            <w:pPr>
              <w:pStyle w:val="TableBodyText"/>
            </w:pPr>
            <w:r>
              <w:t>41 (Web 2)</w:t>
            </w:r>
          </w:p>
          <w:p w:rsidR="00024C0A" w:rsidRDefault="00024C0A">
            <w:pPr>
              <w:pStyle w:val="TableBodyText"/>
            </w:pPr>
          </w:p>
        </w:tc>
        <w:tc>
          <w:tcPr>
            <w:tcW w:w="0" w:type="auto"/>
            <w:vAlign w:val="center"/>
          </w:tcPr>
          <w:p w:rsidR="00024C0A" w:rsidRDefault="00694C0F">
            <w:pPr>
              <w:pStyle w:val="TableBodyText"/>
            </w:pPr>
            <w:r>
              <w:t>The table shall have the following properties:</w:t>
            </w:r>
          </w:p>
          <w:p w:rsidR="00024C0A" w:rsidRDefault="00694C0F">
            <w:pPr>
              <w:pStyle w:val="TableBodyText"/>
            </w:pPr>
            <w:r>
              <w:t>The top border shall be a 3/4 pt inset line.</w:t>
            </w:r>
          </w:p>
          <w:p w:rsidR="00024C0A" w:rsidRDefault="00694C0F">
            <w:pPr>
              <w:pStyle w:val="TableBodyText"/>
            </w:pPr>
            <w:r>
              <w:t>The left border shall be a 3/4 pt inset line.</w:t>
            </w:r>
          </w:p>
          <w:p w:rsidR="00024C0A" w:rsidRDefault="00694C0F">
            <w:pPr>
              <w:pStyle w:val="TableBodyText"/>
            </w:pPr>
            <w:r>
              <w:t>The bottom border shall be a 3/4 pt</w:t>
            </w:r>
            <w:r>
              <w:t xml:space="preserve"> inset line.</w:t>
            </w:r>
          </w:p>
          <w:p w:rsidR="00024C0A" w:rsidRDefault="00694C0F">
            <w:pPr>
              <w:pStyle w:val="TableBodyText"/>
            </w:pPr>
            <w:r>
              <w:t>The right border shall be a 3/4 pt inset line.</w:t>
            </w:r>
          </w:p>
          <w:p w:rsidR="00024C0A" w:rsidRDefault="00694C0F">
            <w:pPr>
              <w:pStyle w:val="TableBodyText"/>
            </w:pPr>
            <w:r>
              <w:t>The inside horizontal border shall be a 3/4 pt inset line.</w:t>
            </w:r>
          </w:p>
          <w:p w:rsidR="00024C0A" w:rsidRDefault="00694C0F">
            <w:pPr>
              <w:pStyle w:val="TableBodyText"/>
            </w:pPr>
            <w:r>
              <w:t>The inside vertical border shall be a 3/4 pt inset line.</w:t>
            </w:r>
          </w:p>
          <w:p w:rsidR="00024C0A" w:rsidRDefault="00694C0F">
            <w:pPr>
              <w:pStyle w:val="TableBodyText"/>
            </w:pPr>
            <w:r>
              <w:t>The vertical alignment shall be top.</w:t>
            </w:r>
          </w:p>
          <w:p w:rsidR="00024C0A" w:rsidRDefault="00694C0F">
            <w:pPr>
              <w:pStyle w:val="TableBodyText"/>
            </w:pPr>
            <w:r>
              <w:t>The cell spacing shall be 20 twips.</w:t>
            </w:r>
          </w:p>
          <w:p w:rsidR="00024C0A" w:rsidRDefault="00024C0A">
            <w:pPr>
              <w:pStyle w:val="TableBodyText"/>
            </w:pPr>
          </w:p>
        </w:tc>
      </w:tr>
      <w:tr w:rsidR="00024C0A" w:rsidTr="00024C0A">
        <w:tc>
          <w:tcPr>
            <w:tcW w:w="0" w:type="auto"/>
            <w:vAlign w:val="center"/>
          </w:tcPr>
          <w:p w:rsidR="00024C0A" w:rsidRDefault="00694C0F">
            <w:pPr>
              <w:pStyle w:val="TableBodyText"/>
            </w:pPr>
            <w:r>
              <w:t>42 (W</w:t>
            </w:r>
            <w:r>
              <w:t>eb 3)</w:t>
            </w:r>
          </w:p>
          <w:p w:rsidR="00024C0A" w:rsidRDefault="00024C0A">
            <w:pPr>
              <w:pStyle w:val="TableBodyText"/>
            </w:pPr>
          </w:p>
        </w:tc>
        <w:tc>
          <w:tcPr>
            <w:tcW w:w="0" w:type="auto"/>
            <w:vAlign w:val="center"/>
          </w:tcPr>
          <w:p w:rsidR="00024C0A" w:rsidRDefault="00694C0F">
            <w:pPr>
              <w:pStyle w:val="TableBodyText"/>
            </w:pPr>
            <w:r>
              <w:t>The table shall have the following properties:</w:t>
            </w:r>
          </w:p>
          <w:p w:rsidR="00024C0A" w:rsidRDefault="00694C0F">
            <w:pPr>
              <w:pStyle w:val="TableBodyText"/>
            </w:pPr>
            <w:r>
              <w:t>The top border shall be a 2 1/4 pt outset line.</w:t>
            </w:r>
          </w:p>
          <w:p w:rsidR="00024C0A" w:rsidRDefault="00694C0F">
            <w:pPr>
              <w:pStyle w:val="TableBodyText"/>
            </w:pPr>
            <w:r>
              <w:t>The left border shall be a 2 1/4 pt outset line.</w:t>
            </w:r>
          </w:p>
          <w:p w:rsidR="00024C0A" w:rsidRDefault="00694C0F">
            <w:pPr>
              <w:pStyle w:val="TableBodyText"/>
            </w:pPr>
            <w:r>
              <w:t>The bottom border shall be a 2 1/4 pt outset line.</w:t>
            </w:r>
          </w:p>
          <w:p w:rsidR="00024C0A" w:rsidRDefault="00694C0F">
            <w:pPr>
              <w:pStyle w:val="TableBodyText"/>
            </w:pPr>
            <w:r>
              <w:t>The right border shall be a 2 1/4 pt outset line.</w:t>
            </w:r>
          </w:p>
          <w:p w:rsidR="00024C0A" w:rsidRDefault="00694C0F">
            <w:pPr>
              <w:pStyle w:val="TableBodyText"/>
            </w:pPr>
            <w:r>
              <w:t xml:space="preserve">The </w:t>
            </w:r>
            <w:r>
              <w:t>inside horizontal border shall be a 3/4 pt outset line.</w:t>
            </w:r>
          </w:p>
          <w:p w:rsidR="00024C0A" w:rsidRDefault="00694C0F">
            <w:pPr>
              <w:pStyle w:val="TableBodyText"/>
            </w:pPr>
            <w:r>
              <w:t>The inside vertical border shall be a 3/4 pt outset line.</w:t>
            </w:r>
          </w:p>
          <w:p w:rsidR="00024C0A" w:rsidRDefault="00694C0F">
            <w:pPr>
              <w:pStyle w:val="TableBodyText"/>
            </w:pPr>
            <w:r>
              <w:t>The vertical alignment shall be top.</w:t>
            </w:r>
          </w:p>
          <w:p w:rsidR="00024C0A" w:rsidRDefault="00694C0F">
            <w:pPr>
              <w:pStyle w:val="TableBodyText"/>
            </w:pPr>
            <w:r>
              <w:t>The cell spacing shall be 20 twips.</w:t>
            </w:r>
          </w:p>
          <w:p w:rsidR="00024C0A" w:rsidRDefault="00024C0A">
            <w:pPr>
              <w:pStyle w:val="TableBodyText"/>
            </w:pPr>
          </w:p>
        </w:tc>
      </w:tr>
    </w:tbl>
    <w:p w:rsidR="00024C0A" w:rsidRDefault="00024C0A"/>
    <w:p w:rsidR="00024C0A" w:rsidRDefault="00694C0F">
      <w:pPr>
        <w:pStyle w:val="Definition-Field"/>
      </w:pPr>
      <w:r>
        <w:t xml:space="preserve">c.   </w:t>
      </w:r>
      <w:r>
        <w:rPr>
          <w:i/>
        </w:rPr>
        <w:t xml:space="preserve">The standard does not specify any restriction on the set of </w:t>
      </w:r>
      <w:r>
        <w:rPr>
          <w:i/>
        </w:rPr>
        <w:t>SQL instructions included with the \s switch.</w:t>
      </w:r>
    </w:p>
    <w:p w:rsidR="00024C0A" w:rsidRDefault="00694C0F">
      <w:pPr>
        <w:pStyle w:val="Definition-Field2"/>
      </w:pPr>
      <w:r>
        <w:t>Word does not allow SQL commands that attempt to make changes to the data source (Drop Table, Insert, and so on).</w:t>
      </w:r>
    </w:p>
    <w:p w:rsidR="00024C0A" w:rsidRDefault="00694C0F">
      <w:pPr>
        <w:pStyle w:val="Definition-Field"/>
      </w:pPr>
      <w:r>
        <w:t xml:space="preserve">d.   </w:t>
      </w:r>
      <w:r>
        <w:rPr>
          <w:i/>
        </w:rPr>
        <w:t>The standard says that if the \l switch is blank, the \b switch value is 16 (Autofit).</w:t>
      </w:r>
    </w:p>
    <w:p w:rsidR="00024C0A" w:rsidRDefault="00694C0F">
      <w:pPr>
        <w:pStyle w:val="Definition-Field2"/>
      </w:pPr>
      <w:r>
        <w:t>In W</w:t>
      </w:r>
      <w:r>
        <w:t>ord, if the \l switch is blank or omitted, the \b bitmask for Autofit is the only one that will affect the display of the table.</w:t>
      </w:r>
    </w:p>
    <w:p w:rsidR="00024C0A" w:rsidRDefault="00694C0F">
      <w:pPr>
        <w:pStyle w:val="Definition-Field"/>
      </w:pPr>
      <w:r>
        <w:t xml:space="preserve">e.   </w:t>
      </w:r>
      <w:r>
        <w:rPr>
          <w:i/>
        </w:rPr>
        <w:t>The standard says that if the number of columns is 62 or more, the field inserts the results of a query in columns separat</w:t>
      </w:r>
      <w:r>
        <w:rPr>
          <w:i/>
        </w:rPr>
        <w:t>ed by tabs.</w:t>
      </w:r>
    </w:p>
    <w:p w:rsidR="00024C0A" w:rsidRDefault="00694C0F">
      <w:pPr>
        <w:pStyle w:val="Definition-Field2"/>
      </w:pPr>
      <w:r>
        <w:t>In Word, the results of the query are inserted in columns separated by tabs if the number of columns in the data source is 64 or more.</w:t>
      </w:r>
    </w:p>
    <w:p w:rsidR="00024C0A" w:rsidRDefault="00694C0F">
      <w:pPr>
        <w:pStyle w:val="Definition-Field"/>
      </w:pPr>
      <w:r>
        <w:lastRenderedPageBreak/>
        <w:t xml:space="preserve">f.   </w:t>
      </w:r>
      <w:r>
        <w:rPr>
          <w:i/>
        </w:rPr>
        <w:t>The standard says the \c switch specifies a connection string for accessing the data source.</w:t>
      </w:r>
    </w:p>
    <w:p w:rsidR="00024C0A" w:rsidRDefault="00694C0F">
      <w:pPr>
        <w:pStyle w:val="Definition-Field2"/>
      </w:pPr>
      <w:r>
        <w:t>Word does n</w:t>
      </w:r>
      <w:r>
        <w:t>ot use the connection string specified by the \c switch.</w:t>
      </w:r>
    </w:p>
    <w:p w:rsidR="00024C0A" w:rsidRDefault="00694C0F">
      <w:pPr>
        <w:pStyle w:val="Heading3"/>
      </w:pPr>
      <w:bookmarkStart w:id="953" w:name="section_a5654a9f5dda4ec7bc38e48f50e4b435"/>
      <w:bookmarkStart w:id="954" w:name="_Toc12260537"/>
      <w:r>
        <w:t>Part 1 Section 17.16.5.13, DATE</w:t>
      </w:r>
      <w:bookmarkEnd w:id="953"/>
      <w:bookmarkEnd w:id="954"/>
      <w:r>
        <w:fldChar w:fldCharType="begin"/>
      </w:r>
      <w:r>
        <w:instrText xml:space="preserve"> XE "DATE" </w:instrText>
      </w:r>
      <w:r>
        <w:fldChar w:fldCharType="end"/>
      </w:r>
    </w:p>
    <w:p w:rsidR="00024C0A" w:rsidRDefault="00694C0F">
      <w:pPr>
        <w:pStyle w:val="Definition-Field"/>
      </w:pPr>
      <w:r>
        <w:t xml:space="preserve">a.   </w:t>
      </w:r>
      <w:r>
        <w:rPr>
          <w:i/>
        </w:rPr>
        <w:t>The standard says the default calendar is Gregorian.</w:t>
      </w:r>
    </w:p>
    <w:p w:rsidR="00024C0A" w:rsidRDefault="00694C0F">
      <w:pPr>
        <w:pStyle w:val="Definition-Field2"/>
      </w:pPr>
      <w:r>
        <w:t>In Word, the default calendar depends on the locale.</w:t>
      </w:r>
    </w:p>
    <w:p w:rsidR="00024C0A" w:rsidRDefault="00694C0F">
      <w:pPr>
        <w:pStyle w:val="Heading3"/>
      </w:pPr>
      <w:bookmarkStart w:id="955" w:name="section_e4275abe6a7542c2b2f0eb8f9f7cbe2c"/>
      <w:bookmarkStart w:id="956" w:name="_Toc12260538"/>
      <w:r>
        <w:t>Part 1 Section 17.16.5.14, DOCPROPERTY</w:t>
      </w:r>
      <w:bookmarkEnd w:id="955"/>
      <w:bookmarkEnd w:id="956"/>
      <w:r>
        <w:fldChar w:fldCharType="begin"/>
      </w:r>
      <w:r>
        <w:instrText xml:space="preserve"> XE "</w:instrText>
      </w:r>
      <w:r>
        <w:instrText xml:space="preserve">DOCPROPERTY" </w:instrText>
      </w:r>
      <w:r>
        <w:fldChar w:fldCharType="end"/>
      </w:r>
    </w:p>
    <w:p w:rsidR="00024C0A" w:rsidRDefault="00694C0F">
      <w:pPr>
        <w:pStyle w:val="Definition-Field"/>
      </w:pPr>
      <w:r>
        <w:t xml:space="preserve">a.   </w:t>
      </w:r>
      <w:r>
        <w:rPr>
          <w:i/>
        </w:rPr>
        <w:t>The standard does not say that Custom document properties can be specified in the DOCPROPERTY field.</w:t>
      </w:r>
    </w:p>
    <w:p w:rsidR="00024C0A" w:rsidRDefault="00694C0F">
      <w:pPr>
        <w:pStyle w:val="Definition-Field2"/>
      </w:pPr>
      <w:r>
        <w:t>In Word, Custom document properties can be specified by name in the DOCPROPERTY field.</w:t>
      </w:r>
    </w:p>
    <w:p w:rsidR="00024C0A" w:rsidRDefault="00694C0F">
      <w:pPr>
        <w:pStyle w:val="Definition-Field"/>
      </w:pPr>
      <w:r>
        <w:t xml:space="preserve">b.   </w:t>
      </w:r>
      <w:r>
        <w:rPr>
          <w:i/>
        </w:rPr>
        <w:t xml:space="preserve">The standard says that the Keywords and </w:t>
      </w:r>
      <w:r>
        <w:rPr>
          <w:i/>
        </w:rPr>
        <w:t>Words categories don't have any equivalent fields.</w:t>
      </w:r>
    </w:p>
    <w:p w:rsidR="00024C0A" w:rsidRDefault="00694C0F">
      <w:pPr>
        <w:pStyle w:val="Definition-Field2"/>
      </w:pPr>
      <w:r>
        <w:t>In Word, the Keywords and Words categories are equivalent to the Keywords and NumWords fields.</w:t>
      </w:r>
    </w:p>
    <w:p w:rsidR="00024C0A" w:rsidRDefault="00694C0F">
      <w:pPr>
        <w:pStyle w:val="Heading3"/>
      </w:pPr>
      <w:bookmarkStart w:id="957" w:name="section_784e4943f18a405e8483182e618231a2"/>
      <w:bookmarkStart w:id="958" w:name="_Toc12260539"/>
      <w:r>
        <w:t>Part 1 Section 17.16.5.17, FILENAME</w:t>
      </w:r>
      <w:bookmarkEnd w:id="957"/>
      <w:bookmarkEnd w:id="958"/>
      <w:r>
        <w:fldChar w:fldCharType="begin"/>
      </w:r>
      <w:r>
        <w:instrText xml:space="preserve"> XE "FILENAME" </w:instrText>
      </w:r>
      <w:r>
        <w:fldChar w:fldCharType="end"/>
      </w:r>
    </w:p>
    <w:p w:rsidR="00024C0A" w:rsidRDefault="00694C0F">
      <w:pPr>
        <w:pStyle w:val="Definition-Field"/>
      </w:pPr>
      <w:r>
        <w:t xml:space="preserve">a.   </w:t>
      </w:r>
      <w:r>
        <w:rPr>
          <w:i/>
        </w:rPr>
        <w:t>The standard says a FILENAME field must use a genera</w:t>
      </w:r>
      <w:r>
        <w:rPr>
          <w:i/>
        </w:rPr>
        <w:t>l-formatting-switch.</w:t>
      </w:r>
    </w:p>
    <w:p w:rsidR="00024C0A" w:rsidRDefault="00694C0F">
      <w:pPr>
        <w:pStyle w:val="Definition-Field2"/>
      </w:pPr>
      <w:r>
        <w:t>In Word, using a general-formatting-switch in a FILENAME field is optional.</w:t>
      </w:r>
    </w:p>
    <w:p w:rsidR="00024C0A" w:rsidRDefault="00694C0F">
      <w:pPr>
        <w:pStyle w:val="Heading3"/>
      </w:pPr>
      <w:bookmarkStart w:id="959" w:name="section_25aa9afa28e246f0871e6dfdff199b11"/>
      <w:bookmarkStart w:id="960" w:name="_Toc12260540"/>
      <w:r>
        <w:t>Part 1 Section 17.16.5.18, FILESIZE</w:t>
      </w:r>
      <w:bookmarkEnd w:id="959"/>
      <w:bookmarkEnd w:id="960"/>
      <w:r>
        <w:fldChar w:fldCharType="begin"/>
      </w:r>
      <w:r>
        <w:instrText xml:space="preserve"> XE "FILESIZE" </w:instrText>
      </w:r>
      <w:r>
        <w:fldChar w:fldCharType="end"/>
      </w:r>
    </w:p>
    <w:p w:rsidR="00024C0A" w:rsidRDefault="00694C0F">
      <w:pPr>
        <w:pStyle w:val="Definition-Field"/>
      </w:pPr>
      <w:r>
        <w:t xml:space="preserve">a.   </w:t>
      </w:r>
      <w:r>
        <w:rPr>
          <w:i/>
        </w:rPr>
        <w:t>The standard says that the switches cause the result to be rounded to the nearest kilobyte or megabyt</w:t>
      </w:r>
      <w:r>
        <w:rPr>
          <w:i/>
        </w:rPr>
        <w:t>e.</w:t>
      </w:r>
    </w:p>
    <w:p w:rsidR="00024C0A" w:rsidRDefault="00694C0F">
      <w:pPr>
        <w:pStyle w:val="Definition-Field2"/>
      </w:pPr>
      <w:r>
        <w:t>Word rounds to the nearest thousand bytes and million bytes.</w:t>
      </w:r>
    </w:p>
    <w:p w:rsidR="00024C0A" w:rsidRDefault="00694C0F">
      <w:pPr>
        <w:pStyle w:val="Heading3"/>
      </w:pPr>
      <w:bookmarkStart w:id="961" w:name="section_dc94db725d5f4aceae06e7bd722a3dab"/>
      <w:bookmarkStart w:id="962" w:name="_Toc12260541"/>
      <w:r>
        <w:t>Part 1 Section 17.16.5.20, FORMCHECKBOX</w:t>
      </w:r>
      <w:bookmarkEnd w:id="961"/>
      <w:bookmarkEnd w:id="962"/>
      <w:r>
        <w:fldChar w:fldCharType="begin"/>
      </w:r>
      <w:r>
        <w:instrText xml:space="preserve"> XE "FORMCHECKBOX" </w:instrText>
      </w:r>
      <w:r>
        <w:fldChar w:fldCharType="end"/>
      </w:r>
    </w:p>
    <w:p w:rsidR="00024C0A" w:rsidRDefault="00694C0F">
      <w:pPr>
        <w:pStyle w:val="Definition-Field"/>
      </w:pPr>
      <w:r>
        <w:t xml:space="preserve">a.   </w:t>
      </w:r>
      <w:r>
        <w:rPr>
          <w:i/>
        </w:rPr>
        <w:t>The standard allows the FORMCHECKBOX field to be nested inside another field.</w:t>
      </w:r>
    </w:p>
    <w:p w:rsidR="00024C0A" w:rsidRDefault="00694C0F">
      <w:pPr>
        <w:pStyle w:val="Definition-Field2"/>
      </w:pPr>
      <w:r>
        <w:t>In Word, if the FORMCHECKBOX field is nested ins</w:t>
      </w:r>
      <w:r>
        <w:t>ide another field, no result is displayed.</w:t>
      </w:r>
    </w:p>
    <w:p w:rsidR="00024C0A" w:rsidRDefault="00694C0F">
      <w:pPr>
        <w:pStyle w:val="Heading3"/>
      </w:pPr>
      <w:bookmarkStart w:id="963" w:name="section_3e69c23d9a6b4689b9a8c3d77e39567e"/>
      <w:bookmarkStart w:id="964" w:name="_Toc12260542"/>
      <w:r>
        <w:t>Part 1 Section 17.16.5.21, FORMDROPDOWN</w:t>
      </w:r>
      <w:bookmarkEnd w:id="963"/>
      <w:bookmarkEnd w:id="964"/>
      <w:r>
        <w:fldChar w:fldCharType="begin"/>
      </w:r>
      <w:r>
        <w:instrText xml:space="preserve"> XE "FORMDROPDOWN" </w:instrText>
      </w:r>
      <w:r>
        <w:fldChar w:fldCharType="end"/>
      </w:r>
    </w:p>
    <w:p w:rsidR="00024C0A" w:rsidRDefault="00694C0F">
      <w:pPr>
        <w:pStyle w:val="Definition-Field"/>
      </w:pPr>
      <w:r>
        <w:t xml:space="preserve">a.   </w:t>
      </w:r>
      <w:r>
        <w:rPr>
          <w:i/>
        </w:rPr>
        <w:t>The standard allows the FORMDROPDOWN field to be nested inside another field.</w:t>
      </w:r>
    </w:p>
    <w:p w:rsidR="00024C0A" w:rsidRDefault="00694C0F">
      <w:pPr>
        <w:pStyle w:val="Definition-Field2"/>
      </w:pPr>
      <w:r>
        <w:t>In Word, if the FORMDROPDOWN field is nested inside another field, no</w:t>
      </w:r>
      <w:r>
        <w:t xml:space="preserve"> result is displayed.</w:t>
      </w:r>
    </w:p>
    <w:p w:rsidR="00024C0A" w:rsidRDefault="00694C0F">
      <w:pPr>
        <w:pStyle w:val="Heading3"/>
      </w:pPr>
      <w:bookmarkStart w:id="965" w:name="section_88d009e20f714add9d1efd0bc02d9ca2"/>
      <w:bookmarkStart w:id="966" w:name="_Toc12260543"/>
      <w:r>
        <w:t>Part 1 Section 17.16.5.23, GOTOBUTTON</w:t>
      </w:r>
      <w:bookmarkEnd w:id="965"/>
      <w:bookmarkEnd w:id="966"/>
      <w:r>
        <w:fldChar w:fldCharType="begin"/>
      </w:r>
      <w:r>
        <w:instrText xml:space="preserve"> XE "GOTOBUTTON" </w:instrText>
      </w:r>
      <w:r>
        <w:fldChar w:fldCharType="end"/>
      </w:r>
    </w:p>
    <w:p w:rsidR="00024C0A" w:rsidRDefault="00694C0F">
      <w:pPr>
        <w:pStyle w:val="Definition-Field"/>
      </w:pPr>
      <w:r>
        <w:t xml:space="preserve">a.   </w:t>
      </w:r>
      <w:r>
        <w:rPr>
          <w:i/>
        </w:rPr>
        <w:t>The standard does not state how to interpret % in field-argument-1 for the GOTOBUTTON field.</w:t>
      </w:r>
    </w:p>
    <w:p w:rsidR="00024C0A" w:rsidRDefault="00694C0F">
      <w:pPr>
        <w:pStyle w:val="Definition-Field2"/>
      </w:pPr>
      <w:r>
        <w:t>Word uses % in field-argument-1 to specify a percentage of the document as a ta</w:t>
      </w:r>
      <w:r>
        <w:t>rget for the GOTOBUTTON field.</w:t>
      </w:r>
    </w:p>
    <w:p w:rsidR="00024C0A" w:rsidRDefault="00694C0F">
      <w:pPr>
        <w:pStyle w:val="Definition-Field"/>
      </w:pPr>
      <w:r>
        <w:t xml:space="preserve">b.   </w:t>
      </w:r>
      <w:r>
        <w:rPr>
          <w:i/>
        </w:rPr>
        <w:t>The standard allows a GOTOBUTTON field to be nested inside another field.</w:t>
      </w:r>
    </w:p>
    <w:p w:rsidR="00024C0A" w:rsidRDefault="00694C0F">
      <w:pPr>
        <w:pStyle w:val="Definition-Field2"/>
      </w:pPr>
      <w:r>
        <w:t>In Word, if a GOTOBUTTON field is nested inside another field, no result is displayed.</w:t>
      </w:r>
    </w:p>
    <w:p w:rsidR="00024C0A" w:rsidRDefault="00694C0F">
      <w:pPr>
        <w:pStyle w:val="Heading3"/>
      </w:pPr>
      <w:bookmarkStart w:id="967" w:name="section_7c6c5a820257412fb723ee973a8febe9"/>
      <w:bookmarkStart w:id="968" w:name="_Toc12260544"/>
      <w:r>
        <w:lastRenderedPageBreak/>
        <w:t>Part 1 Section 17.16.5.24, GREETINGLINE</w:t>
      </w:r>
      <w:bookmarkEnd w:id="967"/>
      <w:bookmarkEnd w:id="968"/>
      <w:r>
        <w:fldChar w:fldCharType="begin"/>
      </w:r>
      <w:r>
        <w:instrText xml:space="preserve"> XE "GREETINGLINE" </w:instrText>
      </w:r>
      <w:r>
        <w:fldChar w:fldCharType="end"/>
      </w:r>
    </w:p>
    <w:p w:rsidR="00024C0A" w:rsidRDefault="00694C0F">
      <w:pPr>
        <w:pStyle w:val="Definition-Field"/>
      </w:pPr>
      <w:r>
        <w:t xml:space="preserve">a.   </w:t>
      </w:r>
      <w:r>
        <w:rPr>
          <w:i/>
        </w:rPr>
        <w:t>The standard defines \c as both the alternate text switch and the format switch.</w:t>
      </w:r>
    </w:p>
    <w:p w:rsidR="00024C0A" w:rsidRDefault="00694C0F">
      <w:pPr>
        <w:pStyle w:val="Definition-Field2"/>
      </w:pPr>
      <w:r>
        <w:t>In Word, the format switch is \f.</w:t>
      </w:r>
    </w:p>
    <w:p w:rsidR="00024C0A" w:rsidRDefault="00694C0F">
      <w:pPr>
        <w:pStyle w:val="Definition-Field"/>
      </w:pPr>
      <w:r>
        <w:t xml:space="preserve">b.   </w:t>
      </w:r>
      <w:r>
        <w:rPr>
          <w:i/>
        </w:rPr>
        <w:t>The standard does not explain how the \f switch specifies the format of the field value.</w:t>
      </w:r>
    </w:p>
    <w:p w:rsidR="00024C0A" w:rsidRDefault="00694C0F">
      <w:r>
        <w:t xml:space="preserve">In Word, the text in this switch's field-argument specifies the greeting line format by providing placeholders which reference a </w:t>
      </w:r>
      <w:r>
        <w:rPr>
          <w:b/>
        </w:rPr>
        <w:t>fieldMapData</w:t>
      </w:r>
      <w:r>
        <w:t xml:space="preserve"> element ("</w:t>
      </w:r>
      <w:hyperlink r:id="rId105">
        <w:r>
          <w:rPr>
            <w:rStyle w:val="Hyperlink"/>
          </w:rPr>
          <w:t>[ISO/IEC-29500-1]</w:t>
        </w:r>
      </w:hyperlink>
      <w:r>
        <w:t xml:space="preserve"> §17.14.15; fieldMapD</w:t>
      </w:r>
      <w:r>
        <w:t xml:space="preserve">ata").  The placeholder will be expanded to the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024C0A" w:rsidRDefault="00694C0F">
      <w:r>
        <w:t>The following are the possible placeholder</w:t>
      </w:r>
      <w:r>
        <w:t>s and corresponding mapped merge field names are reserved:</w:t>
      </w:r>
    </w:p>
    <w:tbl>
      <w:tblPr>
        <w:tblStyle w:val="Table-ShadedHeader"/>
        <w:tblW w:w="0" w:type="auto"/>
        <w:tblLook w:val="04A0" w:firstRow="1" w:lastRow="0" w:firstColumn="1" w:lastColumn="0" w:noHBand="0" w:noVBand="1"/>
      </w:tblPr>
      <w:tblGrid>
        <w:gridCol w:w="1538"/>
        <w:gridCol w:w="2436"/>
        <w:gridCol w:w="550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PLACEHOLDER</w:t>
            </w:r>
          </w:p>
        </w:tc>
        <w:tc>
          <w:tcPr>
            <w:tcW w:w="0" w:type="auto"/>
            <w:vAlign w:val="center"/>
          </w:tcPr>
          <w:p w:rsidR="00024C0A" w:rsidRDefault="00694C0F">
            <w:pPr>
              <w:pStyle w:val="TableHeaderText"/>
            </w:pPr>
            <w:r>
              <w:t>ALTERNATE PLACEHOLDER</w:t>
            </w:r>
          </w:p>
        </w:tc>
        <w:tc>
          <w:tcPr>
            <w:tcW w:w="0" w:type="auto"/>
            <w:vAlign w:val="center"/>
          </w:tcPr>
          <w:p w:rsidR="00024C0A" w:rsidRDefault="00694C0F">
            <w:pPr>
              <w:pStyle w:val="TableHeaderText"/>
            </w:pPr>
            <w:r>
              <w:t>mappedName</w:t>
            </w:r>
          </w:p>
        </w:tc>
      </w:tr>
      <w:tr w:rsidR="00024C0A" w:rsidTr="00024C0A">
        <w:tc>
          <w:tcPr>
            <w:tcW w:w="0" w:type="auto"/>
            <w:vAlign w:val="center"/>
          </w:tcPr>
          <w:p w:rsidR="00024C0A" w:rsidRDefault="00694C0F">
            <w:pPr>
              <w:pStyle w:val="TableBodyText"/>
            </w:pPr>
            <w:r>
              <w:t>_BEFORE_ text</w:t>
            </w:r>
          </w:p>
        </w:tc>
        <w:tc>
          <w:tcPr>
            <w:tcW w:w="0" w:type="auto"/>
            <w:vAlign w:val="center"/>
          </w:tcPr>
          <w:p w:rsidR="00024C0A" w:rsidRDefault="00694C0F">
            <w:pPr>
              <w:pStyle w:val="TableBodyText"/>
            </w:pPr>
            <w:r>
              <w:t>/g text</w:t>
            </w:r>
          </w:p>
        </w:tc>
        <w:tc>
          <w:tcPr>
            <w:tcW w:w="0" w:type="auto"/>
            <w:vAlign w:val="center"/>
          </w:tcPr>
          <w:p w:rsidR="00024C0A" w:rsidRDefault="00694C0F">
            <w:pPr>
              <w:pStyle w:val="TableBodyText"/>
            </w:pPr>
            <w:r>
              <w:t>This placeholder specifies that text shall be inserted before the greeting line.</w:t>
            </w:r>
          </w:p>
        </w:tc>
      </w:tr>
      <w:tr w:rsidR="00024C0A" w:rsidTr="00024C0A">
        <w:tc>
          <w:tcPr>
            <w:tcW w:w="0" w:type="auto"/>
            <w:vAlign w:val="center"/>
          </w:tcPr>
          <w:p w:rsidR="00024C0A" w:rsidRDefault="00694C0F">
            <w:pPr>
              <w:pStyle w:val="TableBodyText"/>
            </w:pPr>
            <w:r>
              <w:t>_AFTER_ text</w:t>
            </w:r>
          </w:p>
        </w:tc>
        <w:tc>
          <w:tcPr>
            <w:tcW w:w="0" w:type="auto"/>
            <w:vAlign w:val="center"/>
          </w:tcPr>
          <w:p w:rsidR="00024C0A" w:rsidRDefault="00694C0F">
            <w:pPr>
              <w:pStyle w:val="TableBodyText"/>
            </w:pPr>
            <w:r>
              <w:t>/x text</w:t>
            </w:r>
          </w:p>
        </w:tc>
        <w:tc>
          <w:tcPr>
            <w:tcW w:w="0" w:type="auto"/>
            <w:vAlign w:val="center"/>
          </w:tcPr>
          <w:p w:rsidR="00024C0A" w:rsidRDefault="00694C0F">
            <w:pPr>
              <w:pStyle w:val="TableBodyText"/>
            </w:pPr>
            <w:r>
              <w:t>This placeholder specifies</w:t>
            </w:r>
            <w:r>
              <w:t xml:space="preserve"> that text shall be inserted after the greeting line.</w:t>
            </w:r>
          </w:p>
        </w:tc>
      </w:tr>
      <w:tr w:rsidR="00024C0A" w:rsidTr="00024C0A">
        <w:tc>
          <w:tcPr>
            <w:tcW w:w="0" w:type="auto"/>
            <w:vAlign w:val="center"/>
          </w:tcPr>
          <w:p w:rsidR="00024C0A" w:rsidRDefault="00694C0F">
            <w:pPr>
              <w:pStyle w:val="TableBodyText"/>
            </w:pPr>
            <w:r>
              <w:t>_TITLE0_</w:t>
            </w:r>
          </w:p>
        </w:tc>
        <w:tc>
          <w:tcPr>
            <w:tcW w:w="0" w:type="auto"/>
            <w:vAlign w:val="center"/>
          </w:tcPr>
          <w:p w:rsidR="00024C0A" w:rsidRDefault="00694C0F">
            <w:pPr>
              <w:pStyle w:val="TableBodyText"/>
            </w:pPr>
            <w:r>
              <w:t>/t0</w:t>
            </w:r>
          </w:p>
        </w:tc>
        <w:tc>
          <w:tcPr>
            <w:tcW w:w="0" w:type="auto"/>
            <w:vAlign w:val="center"/>
          </w:tcPr>
          <w:p w:rsidR="00024C0A" w:rsidRDefault="00694C0F">
            <w:pPr>
              <w:pStyle w:val="TableBodyText"/>
            </w:pPr>
            <w:r>
              <w:t>Courtesy Title</w:t>
            </w:r>
          </w:p>
        </w:tc>
      </w:tr>
      <w:tr w:rsidR="00024C0A" w:rsidTr="00024C0A">
        <w:tc>
          <w:tcPr>
            <w:tcW w:w="0" w:type="auto"/>
            <w:vAlign w:val="center"/>
          </w:tcPr>
          <w:p w:rsidR="00024C0A" w:rsidRDefault="00694C0F">
            <w:pPr>
              <w:pStyle w:val="TableBodyText"/>
            </w:pPr>
            <w:r>
              <w:t>_NICK0_</w:t>
            </w:r>
          </w:p>
        </w:tc>
        <w:tc>
          <w:tcPr>
            <w:tcW w:w="0" w:type="auto"/>
            <w:vAlign w:val="center"/>
          </w:tcPr>
          <w:p w:rsidR="00024C0A" w:rsidRDefault="00694C0F">
            <w:pPr>
              <w:pStyle w:val="TableBodyText"/>
            </w:pPr>
            <w:r>
              <w:t>/n0</w:t>
            </w:r>
          </w:p>
        </w:tc>
        <w:tc>
          <w:tcPr>
            <w:tcW w:w="0" w:type="auto"/>
            <w:vAlign w:val="center"/>
          </w:tcPr>
          <w:p w:rsidR="00024C0A" w:rsidRDefault="00694C0F">
            <w:pPr>
              <w:pStyle w:val="TableBodyText"/>
            </w:pPr>
            <w:r>
              <w:t>Nickname</w:t>
            </w:r>
          </w:p>
        </w:tc>
      </w:tr>
      <w:tr w:rsidR="00024C0A" w:rsidTr="00024C0A">
        <w:tc>
          <w:tcPr>
            <w:tcW w:w="0" w:type="auto"/>
            <w:vAlign w:val="center"/>
          </w:tcPr>
          <w:p w:rsidR="00024C0A" w:rsidRDefault="00694C0F">
            <w:pPr>
              <w:pStyle w:val="TableBodyText"/>
            </w:pPr>
            <w:r>
              <w:t>_FIRST0_</w:t>
            </w:r>
          </w:p>
        </w:tc>
        <w:tc>
          <w:tcPr>
            <w:tcW w:w="0" w:type="auto"/>
            <w:vAlign w:val="center"/>
          </w:tcPr>
          <w:p w:rsidR="00024C0A" w:rsidRDefault="00694C0F">
            <w:pPr>
              <w:pStyle w:val="TableBodyText"/>
            </w:pPr>
            <w:r>
              <w:t>/f0</w:t>
            </w:r>
          </w:p>
        </w:tc>
        <w:tc>
          <w:tcPr>
            <w:tcW w:w="0" w:type="auto"/>
            <w:vAlign w:val="center"/>
          </w:tcPr>
          <w:p w:rsidR="00024C0A" w:rsidRDefault="00694C0F">
            <w:pPr>
              <w:pStyle w:val="TableBodyText"/>
            </w:pPr>
            <w:r>
              <w:t>First Name</w:t>
            </w:r>
          </w:p>
        </w:tc>
      </w:tr>
      <w:tr w:rsidR="00024C0A" w:rsidTr="00024C0A">
        <w:tc>
          <w:tcPr>
            <w:tcW w:w="0" w:type="auto"/>
            <w:vAlign w:val="center"/>
          </w:tcPr>
          <w:p w:rsidR="00024C0A" w:rsidRDefault="00694C0F">
            <w:pPr>
              <w:pStyle w:val="TableBodyText"/>
            </w:pPr>
            <w:r>
              <w:t>_LAST0_</w:t>
            </w:r>
          </w:p>
        </w:tc>
        <w:tc>
          <w:tcPr>
            <w:tcW w:w="0" w:type="auto"/>
            <w:vAlign w:val="center"/>
          </w:tcPr>
          <w:p w:rsidR="00024C0A" w:rsidRDefault="00694C0F">
            <w:pPr>
              <w:pStyle w:val="TableBodyText"/>
            </w:pPr>
            <w:r>
              <w:t>/l0</w:t>
            </w:r>
          </w:p>
        </w:tc>
        <w:tc>
          <w:tcPr>
            <w:tcW w:w="0" w:type="auto"/>
            <w:vAlign w:val="center"/>
          </w:tcPr>
          <w:p w:rsidR="00024C0A" w:rsidRDefault="00694C0F">
            <w:pPr>
              <w:pStyle w:val="TableBodyText"/>
            </w:pPr>
            <w:r>
              <w:t>Last Name</w:t>
            </w:r>
          </w:p>
        </w:tc>
      </w:tr>
      <w:tr w:rsidR="00024C0A" w:rsidTr="00024C0A">
        <w:tc>
          <w:tcPr>
            <w:tcW w:w="0" w:type="auto"/>
            <w:vAlign w:val="center"/>
          </w:tcPr>
          <w:p w:rsidR="00024C0A" w:rsidRDefault="00694C0F">
            <w:pPr>
              <w:pStyle w:val="TableBodyText"/>
            </w:pPr>
            <w:r>
              <w:t>_SUFFIX0_</w:t>
            </w:r>
          </w:p>
        </w:tc>
        <w:tc>
          <w:tcPr>
            <w:tcW w:w="0" w:type="auto"/>
            <w:vAlign w:val="center"/>
          </w:tcPr>
          <w:p w:rsidR="00024C0A" w:rsidRDefault="00694C0F">
            <w:pPr>
              <w:pStyle w:val="TableBodyText"/>
            </w:pPr>
            <w:r>
              <w:t>/s0</w:t>
            </w:r>
          </w:p>
        </w:tc>
        <w:tc>
          <w:tcPr>
            <w:tcW w:w="0" w:type="auto"/>
            <w:vAlign w:val="center"/>
          </w:tcPr>
          <w:p w:rsidR="00024C0A" w:rsidRDefault="00694C0F">
            <w:pPr>
              <w:pStyle w:val="TableBodyText"/>
            </w:pPr>
            <w:r>
              <w:t>Suffix</w:t>
            </w:r>
          </w:p>
        </w:tc>
      </w:tr>
      <w:tr w:rsidR="00024C0A" w:rsidTr="00024C0A">
        <w:tc>
          <w:tcPr>
            <w:tcW w:w="0" w:type="auto"/>
            <w:vAlign w:val="center"/>
          </w:tcPr>
          <w:p w:rsidR="00024C0A" w:rsidRDefault="00694C0F">
            <w:pPr>
              <w:pStyle w:val="TableBodyText"/>
            </w:pPr>
            <w:r>
              <w:t>_TITLE1_</w:t>
            </w:r>
          </w:p>
        </w:tc>
        <w:tc>
          <w:tcPr>
            <w:tcW w:w="0" w:type="auto"/>
            <w:vAlign w:val="center"/>
          </w:tcPr>
          <w:p w:rsidR="00024C0A" w:rsidRDefault="00694C0F">
            <w:pPr>
              <w:pStyle w:val="TableBodyText"/>
            </w:pPr>
            <w:r>
              <w:t>/t1</w:t>
            </w:r>
          </w:p>
        </w:tc>
        <w:tc>
          <w:tcPr>
            <w:tcW w:w="0" w:type="auto"/>
            <w:vAlign w:val="center"/>
          </w:tcPr>
          <w:p w:rsidR="00024C0A" w:rsidRDefault="00694C0F">
            <w:pPr>
              <w:pStyle w:val="TableBodyText"/>
            </w:pPr>
            <w:r>
              <w:t>Spouse/Partner Courtesy Title</w:t>
            </w:r>
          </w:p>
        </w:tc>
      </w:tr>
      <w:tr w:rsidR="00024C0A" w:rsidTr="00024C0A">
        <w:tc>
          <w:tcPr>
            <w:tcW w:w="0" w:type="auto"/>
            <w:vAlign w:val="center"/>
          </w:tcPr>
          <w:p w:rsidR="00024C0A" w:rsidRDefault="00694C0F">
            <w:pPr>
              <w:pStyle w:val="TableBodyText"/>
            </w:pPr>
            <w:r>
              <w:t>_FIRST1_</w:t>
            </w:r>
          </w:p>
        </w:tc>
        <w:tc>
          <w:tcPr>
            <w:tcW w:w="0" w:type="auto"/>
            <w:vAlign w:val="center"/>
          </w:tcPr>
          <w:p w:rsidR="00024C0A" w:rsidRDefault="00694C0F">
            <w:pPr>
              <w:pStyle w:val="TableBodyText"/>
            </w:pPr>
            <w:r>
              <w:t>/f1</w:t>
            </w:r>
          </w:p>
        </w:tc>
        <w:tc>
          <w:tcPr>
            <w:tcW w:w="0" w:type="auto"/>
            <w:vAlign w:val="center"/>
          </w:tcPr>
          <w:p w:rsidR="00024C0A" w:rsidRDefault="00694C0F">
            <w:pPr>
              <w:pStyle w:val="TableBodyText"/>
            </w:pPr>
            <w:r>
              <w:t xml:space="preserve">Spouse/Partner First </w:t>
            </w:r>
            <w:r>
              <w:t>Name</w:t>
            </w:r>
          </w:p>
        </w:tc>
      </w:tr>
    </w:tbl>
    <w:p w:rsidR="00024C0A" w:rsidRDefault="00024C0A"/>
    <w:p w:rsidR="00024C0A" w:rsidRDefault="00694C0F">
      <w:r>
        <w:t>The following are the possible greeting line formats.</w:t>
      </w:r>
    </w:p>
    <w:tbl>
      <w:tblPr>
        <w:tblStyle w:val="Table-ShadedHeader"/>
        <w:tblW w:w="0" w:type="auto"/>
        <w:tblLook w:val="04A0" w:firstRow="1" w:lastRow="0" w:firstColumn="1" w:lastColumn="0" w:noHBand="0" w:noVBand="1"/>
      </w:tblPr>
      <w:tblGrid>
        <w:gridCol w:w="5473"/>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Greeting Line Formats</w:t>
            </w:r>
          </w:p>
        </w:tc>
      </w:tr>
      <w:tr w:rsidR="00024C0A" w:rsidTr="00024C0A">
        <w:tc>
          <w:tcPr>
            <w:tcW w:w="0" w:type="auto"/>
            <w:vAlign w:val="center"/>
          </w:tcPr>
          <w:p w:rsidR="00024C0A" w:rsidRDefault="00694C0F">
            <w:pPr>
              <w:pStyle w:val="TableBodyText"/>
            </w:pPr>
            <w:r>
              <w:t>&lt;&lt;_TITLE0_&gt;&gt;&lt;&lt;_LAST0_&gt;&gt;</w:t>
            </w:r>
          </w:p>
        </w:tc>
      </w:tr>
      <w:tr w:rsidR="00024C0A" w:rsidTr="00024C0A">
        <w:tc>
          <w:tcPr>
            <w:tcW w:w="0" w:type="auto"/>
            <w:vAlign w:val="center"/>
          </w:tcPr>
          <w:p w:rsidR="00024C0A" w:rsidRDefault="00694C0F">
            <w:pPr>
              <w:pStyle w:val="TableBodyText"/>
            </w:pPr>
            <w:r>
              <w:t>&lt;&lt;_TITLE0_&gt;&gt;&lt;&lt;and _TITLE1_&gt;&gt;&lt;&lt;_LAST0_&gt;&gt;</w:t>
            </w:r>
          </w:p>
        </w:tc>
      </w:tr>
      <w:tr w:rsidR="00024C0A" w:rsidTr="00024C0A">
        <w:tc>
          <w:tcPr>
            <w:tcW w:w="0" w:type="auto"/>
            <w:vAlign w:val="center"/>
          </w:tcPr>
          <w:p w:rsidR="00024C0A" w:rsidRDefault="00694C0F">
            <w:pPr>
              <w:pStyle w:val="TableBodyText"/>
            </w:pPr>
            <w:r>
              <w:t>&lt;&lt;_TITLE0_&gt;&gt;&lt;&lt;_FIRST0_&gt;&gt;&lt;&lt;_LAST0_&gt;&gt;&lt;&lt;_SUFFIX0_&gt;&gt;</w:t>
            </w:r>
          </w:p>
        </w:tc>
      </w:tr>
      <w:tr w:rsidR="00024C0A" w:rsidTr="00024C0A">
        <w:tc>
          <w:tcPr>
            <w:tcW w:w="0" w:type="auto"/>
            <w:vAlign w:val="center"/>
          </w:tcPr>
          <w:p w:rsidR="00024C0A" w:rsidRDefault="00694C0F">
            <w:pPr>
              <w:pStyle w:val="TableBodyText"/>
            </w:pPr>
            <w:r>
              <w:t>&lt;&lt;_TITLE0_&gt;&gt;&lt;&lt;_NICK0_&gt;&gt;&lt;&lt;_LAST0_&gt;&gt;&lt;&lt;_SUFFIX0_&gt;&gt;</w:t>
            </w:r>
          </w:p>
        </w:tc>
      </w:tr>
      <w:tr w:rsidR="00024C0A" w:rsidTr="00024C0A">
        <w:tc>
          <w:tcPr>
            <w:tcW w:w="0" w:type="auto"/>
            <w:vAlign w:val="center"/>
          </w:tcPr>
          <w:p w:rsidR="00024C0A" w:rsidRDefault="00694C0F">
            <w:pPr>
              <w:pStyle w:val="TableBodyText"/>
            </w:pPr>
            <w:r>
              <w:t>&lt;&lt;</w:t>
            </w:r>
            <w:r>
              <w:t>_FIRST0_&gt;&gt;&lt;&lt;_LAST0_&gt;&gt;&lt;&lt;_SUFFIX0_&gt;&gt;</w:t>
            </w:r>
          </w:p>
        </w:tc>
      </w:tr>
      <w:tr w:rsidR="00024C0A" w:rsidTr="00024C0A">
        <w:tc>
          <w:tcPr>
            <w:tcW w:w="0" w:type="auto"/>
            <w:vAlign w:val="center"/>
          </w:tcPr>
          <w:p w:rsidR="00024C0A" w:rsidRDefault="00694C0F">
            <w:pPr>
              <w:pStyle w:val="TableBodyText"/>
            </w:pPr>
            <w:r>
              <w:t>&lt;&lt;_NICK0_&gt;&gt;&lt;&lt;_LAST0_&gt;&gt;&lt;&lt;_SUFFIX0_&gt;&gt;</w:t>
            </w:r>
          </w:p>
        </w:tc>
      </w:tr>
      <w:tr w:rsidR="00024C0A" w:rsidTr="00024C0A">
        <w:tc>
          <w:tcPr>
            <w:tcW w:w="0" w:type="auto"/>
            <w:vAlign w:val="center"/>
          </w:tcPr>
          <w:p w:rsidR="00024C0A" w:rsidRDefault="00694C0F">
            <w:pPr>
              <w:pStyle w:val="TableBodyText"/>
            </w:pPr>
            <w:r>
              <w:t>&lt;&lt;_FIRST0_&gt;&gt;&lt;&lt;and _FIRST1_&gt;&gt;&lt;&lt;_LAST0_&gt;&gt;</w:t>
            </w:r>
          </w:p>
        </w:tc>
      </w:tr>
      <w:tr w:rsidR="00024C0A" w:rsidTr="00024C0A">
        <w:tc>
          <w:tcPr>
            <w:tcW w:w="0" w:type="auto"/>
            <w:vAlign w:val="center"/>
          </w:tcPr>
          <w:p w:rsidR="00024C0A" w:rsidRDefault="00694C0F">
            <w:pPr>
              <w:pStyle w:val="TableBodyText"/>
            </w:pPr>
            <w:r>
              <w:t>&lt;&lt;_NICK0_&gt;&gt;&lt;&lt;and _FIRST1_&gt;&gt;&lt;&lt;_LAST0_&gt;&gt;</w:t>
            </w:r>
          </w:p>
        </w:tc>
      </w:tr>
      <w:tr w:rsidR="00024C0A" w:rsidTr="00024C0A">
        <w:tc>
          <w:tcPr>
            <w:tcW w:w="0" w:type="auto"/>
            <w:vAlign w:val="center"/>
          </w:tcPr>
          <w:p w:rsidR="00024C0A" w:rsidRDefault="00694C0F">
            <w:pPr>
              <w:pStyle w:val="TableBodyText"/>
            </w:pPr>
            <w:r>
              <w:t>&lt;&lt;_FIRST0_&gt;&gt;</w:t>
            </w:r>
          </w:p>
        </w:tc>
      </w:tr>
      <w:tr w:rsidR="00024C0A" w:rsidTr="00024C0A">
        <w:tc>
          <w:tcPr>
            <w:tcW w:w="0" w:type="auto"/>
            <w:vAlign w:val="center"/>
          </w:tcPr>
          <w:p w:rsidR="00024C0A" w:rsidRDefault="00694C0F">
            <w:pPr>
              <w:pStyle w:val="TableBodyText"/>
            </w:pPr>
            <w:r>
              <w:lastRenderedPageBreak/>
              <w:t>&lt;&lt;_NICK0_&gt;&gt;</w:t>
            </w:r>
          </w:p>
        </w:tc>
      </w:tr>
      <w:tr w:rsidR="00024C0A" w:rsidTr="00024C0A">
        <w:tc>
          <w:tcPr>
            <w:tcW w:w="0" w:type="auto"/>
            <w:vAlign w:val="center"/>
          </w:tcPr>
          <w:p w:rsidR="00024C0A" w:rsidRDefault="00694C0F">
            <w:pPr>
              <w:pStyle w:val="TableBodyText"/>
            </w:pPr>
            <w:r>
              <w:t>&lt;&lt;_FIRST0_&gt;&gt;&lt;&lt;and _FIRST1_&gt;&gt;</w:t>
            </w:r>
          </w:p>
        </w:tc>
      </w:tr>
      <w:tr w:rsidR="00024C0A" w:rsidTr="00024C0A">
        <w:tc>
          <w:tcPr>
            <w:tcW w:w="0" w:type="auto"/>
            <w:vAlign w:val="center"/>
          </w:tcPr>
          <w:p w:rsidR="00024C0A" w:rsidRDefault="00694C0F">
            <w:pPr>
              <w:pStyle w:val="TableBodyText"/>
            </w:pPr>
            <w:r>
              <w:t>&lt;&lt;_NICK0_&gt;&gt;&lt;&lt;and _FIRST1_&gt;&gt;</w:t>
            </w:r>
          </w:p>
        </w:tc>
      </w:tr>
      <w:tr w:rsidR="00024C0A" w:rsidTr="00024C0A">
        <w:tc>
          <w:tcPr>
            <w:tcW w:w="0" w:type="auto"/>
            <w:vAlign w:val="center"/>
          </w:tcPr>
          <w:p w:rsidR="00024C0A" w:rsidRDefault="00694C0F">
            <w:pPr>
              <w:pStyle w:val="TableBodyText"/>
            </w:pPr>
            <w:r>
              <w:t xml:space="preserve">&lt;&lt;Mr. and Mrs. </w:t>
            </w:r>
            <w:r>
              <w:t>_LAST0_&gt;&gt;</w:t>
            </w:r>
          </w:p>
        </w:tc>
      </w:tr>
    </w:tbl>
    <w:p w:rsidR="00024C0A" w:rsidRDefault="00024C0A"/>
    <w:p w:rsidR="00024C0A" w:rsidRDefault="00694C0F">
      <w:r>
        <w:t>The &lt;&lt;_BEFORE_ text&gt;&gt; and &lt;&lt;_AFTER_ text&gt;&gt; placeholders may optionally come anywhere within a greeting line format.</w:t>
      </w:r>
    </w:p>
    <w:p w:rsidR="00024C0A" w:rsidRDefault="00694C0F">
      <w:r>
        <w:t>&lt;&lt; and &gt;&gt; shall be omitted when displaying the greeting line.</w:t>
      </w:r>
    </w:p>
    <w:p w:rsidR="00024C0A" w:rsidRDefault="00694C0F">
      <w:r>
        <w:t>If any of the placeholders in the greeting line format cannot be r</w:t>
      </w:r>
      <w:r>
        <w:t>esolved, or are empty, the text specified in the /e switch shall be the field result.  If a greeting line format is not one of the possible greeting line formats specified in the preceding table, the text specified in the /e switch shall be the field resul</w:t>
      </w:r>
      <w:r>
        <w:t>t.</w:t>
      </w:r>
    </w:p>
    <w:p w:rsidR="00024C0A" w:rsidRDefault="00694C0F">
      <w:pPr>
        <w:pStyle w:val="Definition-Field"/>
      </w:pPr>
      <w:r>
        <w:t xml:space="preserve">c.   </w:t>
      </w:r>
      <w:r>
        <w:rPr>
          <w:i/>
        </w:rPr>
        <w:t>The standard defines the alternate text switch as \c.</w:t>
      </w:r>
    </w:p>
    <w:p w:rsidR="00024C0A" w:rsidRDefault="00694C0F">
      <w:pPr>
        <w:pStyle w:val="Definition-Field2"/>
      </w:pPr>
      <w:r>
        <w:t>In Word, the alternate text switch is \e.</w:t>
      </w:r>
    </w:p>
    <w:p w:rsidR="00024C0A" w:rsidRDefault="00694C0F">
      <w:pPr>
        <w:pStyle w:val="Heading3"/>
      </w:pPr>
      <w:bookmarkStart w:id="969" w:name="section_18b8b8de874c46dda4983ce5335d430a"/>
      <w:bookmarkStart w:id="970" w:name="_Toc12260545"/>
      <w:r>
        <w:t>Part 1 Section 17.16.5.25, HYPERLINK</w:t>
      </w:r>
      <w:bookmarkEnd w:id="969"/>
      <w:bookmarkEnd w:id="970"/>
      <w:r>
        <w:fldChar w:fldCharType="begin"/>
      </w:r>
      <w:r>
        <w:instrText xml:space="preserve"> XE "HYPERLINK" </w:instrText>
      </w:r>
      <w:r>
        <w:fldChar w:fldCharType="end"/>
      </w:r>
    </w:p>
    <w:p w:rsidR="00024C0A" w:rsidRDefault="00694C0F">
      <w:pPr>
        <w:pStyle w:val="Definition-Field"/>
      </w:pPr>
      <w:r>
        <w:t xml:space="preserve">a.   </w:t>
      </w:r>
      <w:r>
        <w:rPr>
          <w:i/>
        </w:rPr>
        <w:t>The standard does not list \h as a possible switch for the HYPERLINK field.</w:t>
      </w:r>
    </w:p>
    <w:p w:rsidR="00024C0A" w:rsidRDefault="00694C0F">
      <w:pPr>
        <w:pStyle w:val="Definition-Field2"/>
      </w:pPr>
      <w:r>
        <w:t xml:space="preserve">In Word, the \h </w:t>
      </w:r>
      <w:r>
        <w:t>switch for the HYPERLINK field means that when the hyperlink is invoked, the target of the hyperlink should not be added to a list of viewed hyperlinks.</w:t>
      </w:r>
    </w:p>
    <w:p w:rsidR="00024C0A" w:rsidRDefault="00694C0F">
      <w:pPr>
        <w:pStyle w:val="Definition-Field"/>
      </w:pPr>
      <w:r>
        <w:t xml:space="preserve">b.   </w:t>
      </w:r>
      <w:r>
        <w:rPr>
          <w:i/>
        </w:rPr>
        <w:t>The standard does not list \s as a possible switch for the HYPERLINK field.</w:t>
      </w:r>
    </w:p>
    <w:p w:rsidR="00024C0A" w:rsidRDefault="00694C0F">
      <w:pPr>
        <w:pStyle w:val="Definition-Field2"/>
      </w:pPr>
      <w:r>
        <w:t>In Word, the \s switch</w:t>
      </w:r>
      <w:r>
        <w:t xml:space="preserve"> is used for the HYPERLINK field with the same meaning as the docLocation attribute of the hyperlink element.</w:t>
      </w:r>
    </w:p>
    <w:p w:rsidR="00024C0A" w:rsidRDefault="00694C0F">
      <w:pPr>
        <w:pStyle w:val="Heading3"/>
      </w:pPr>
      <w:bookmarkStart w:id="971" w:name="section_e7feed5302724346ac5c26342d8dfdf5"/>
      <w:bookmarkStart w:id="972" w:name="_Toc12260546"/>
      <w:r>
        <w:t>Part 1 Section 17.16.5.26, IF</w:t>
      </w:r>
      <w:bookmarkEnd w:id="971"/>
      <w:bookmarkEnd w:id="972"/>
      <w:r>
        <w:fldChar w:fldCharType="begin"/>
      </w:r>
      <w:r>
        <w:instrText xml:space="preserve"> XE "IF" </w:instrText>
      </w:r>
      <w:r>
        <w:fldChar w:fldCharType="end"/>
      </w:r>
    </w:p>
    <w:p w:rsidR="00024C0A" w:rsidRDefault="00694C0F">
      <w:pPr>
        <w:pStyle w:val="Definition-Field"/>
      </w:pPr>
      <w:r>
        <w:t xml:space="preserve">a.   </w:t>
      </w:r>
      <w:r>
        <w:rPr>
          <w:i/>
        </w:rPr>
        <w:t>The Standard does not specify the format of comparison.</w:t>
      </w:r>
    </w:p>
    <w:p w:rsidR="00024C0A" w:rsidRDefault="00694C0F">
      <w:pPr>
        <w:pStyle w:val="Definition-Field2"/>
      </w:pPr>
      <w:r>
        <w:t xml:space="preserve">Word uses the following rule: comparison =&gt; </w:t>
      </w:r>
      <w:r>
        <w:t>expression comparison-operator expression</w:t>
      </w:r>
    </w:p>
    <w:p w:rsidR="00024C0A" w:rsidRDefault="00694C0F">
      <w:pPr>
        <w:pStyle w:val="Definition-Field"/>
      </w:pPr>
      <w:r>
        <w:t xml:space="preserve">b.   </w:t>
      </w:r>
      <w:r>
        <w:rPr>
          <w:i/>
        </w:rPr>
        <w:t>The standard states that the left hand expression can contain ? or *  wildcard characters.</w:t>
      </w:r>
    </w:p>
    <w:p w:rsidR="00024C0A" w:rsidRDefault="00694C0F">
      <w:pPr>
        <w:pStyle w:val="Definition-Field2"/>
      </w:pPr>
      <w:r>
        <w:t>Word supports these characters in the right hand expression only.</w:t>
      </w:r>
    </w:p>
    <w:p w:rsidR="00024C0A" w:rsidRDefault="00694C0F">
      <w:pPr>
        <w:pStyle w:val="Definition-Field"/>
      </w:pPr>
      <w:r>
        <w:t xml:space="preserve">c.   </w:t>
      </w:r>
      <w:r>
        <w:rPr>
          <w:i/>
        </w:rPr>
        <w:t xml:space="preserve">The standard does not specify any length </w:t>
      </w:r>
      <w:r>
        <w:rPr>
          <w:i/>
        </w:rPr>
        <w:t>restrictions on wildcard expansion.</w:t>
      </w:r>
    </w:p>
    <w:p w:rsidR="00024C0A" w:rsidRDefault="00694C0F">
      <w:pPr>
        <w:pStyle w:val="Definition-Field2"/>
      </w:pPr>
      <w:r>
        <w:t>In Word, if an asterisk is used in Expression-2, the portion of Expression-1 that corresponds to the asterisk plus any remaining characters in Expression-2 shall NOT exceed 128 characters.</w:t>
      </w:r>
    </w:p>
    <w:p w:rsidR="00024C0A" w:rsidRDefault="00694C0F">
      <w:pPr>
        <w:pStyle w:val="Heading3"/>
      </w:pPr>
      <w:bookmarkStart w:id="973" w:name="section_dc700ec9797b4edb9bdf9338fc93d797"/>
      <w:bookmarkStart w:id="974" w:name="_Toc12260547"/>
      <w:r>
        <w:t>Part 1 Section 17.16.5.28, INCL</w:t>
      </w:r>
      <w:r>
        <w:t>UDETEXT</w:t>
      </w:r>
      <w:bookmarkEnd w:id="973"/>
      <w:bookmarkEnd w:id="974"/>
      <w:r>
        <w:fldChar w:fldCharType="begin"/>
      </w:r>
      <w:r>
        <w:instrText xml:space="preserve"> XE "INCLUDETEXT" </w:instrText>
      </w:r>
      <w:r>
        <w:fldChar w:fldCharType="end"/>
      </w:r>
    </w:p>
    <w:p w:rsidR="00024C0A" w:rsidRDefault="00694C0F">
      <w:pPr>
        <w:pStyle w:val="Definition-Field"/>
      </w:pPr>
      <w:r>
        <w:t xml:space="preserve">a.   </w:t>
      </w:r>
      <w:r>
        <w:rPr>
          <w:i/>
        </w:rPr>
        <w:t>The standard states the \e and \m switches are valid switches and describes what they should do.</w:t>
      </w:r>
    </w:p>
    <w:p w:rsidR="00024C0A" w:rsidRDefault="00694C0F">
      <w:pPr>
        <w:pStyle w:val="Definition-Field2"/>
      </w:pPr>
      <w:r>
        <w:t>Word ignores the \e and \m switches.</w:t>
      </w:r>
    </w:p>
    <w:p w:rsidR="00024C0A" w:rsidRDefault="00694C0F">
      <w:pPr>
        <w:pStyle w:val="Heading3"/>
      </w:pPr>
      <w:bookmarkStart w:id="975" w:name="section_9986087533d546d68d5276e0cdcd5da3"/>
      <w:bookmarkStart w:id="976" w:name="_Toc12260548"/>
      <w:r>
        <w:lastRenderedPageBreak/>
        <w:t>Part 1 Section 17.16.5.29, INDEX</w:t>
      </w:r>
      <w:bookmarkEnd w:id="975"/>
      <w:bookmarkEnd w:id="976"/>
      <w:r>
        <w:fldChar w:fldCharType="begin"/>
      </w:r>
      <w:r>
        <w:instrText xml:space="preserve"> XE "INDEX" </w:instrText>
      </w:r>
      <w:r>
        <w:fldChar w:fldCharType="end"/>
      </w:r>
    </w:p>
    <w:p w:rsidR="00024C0A" w:rsidRDefault="00694C0F">
      <w:pPr>
        <w:pStyle w:val="Definition-Field"/>
      </w:pPr>
      <w:r>
        <w:t xml:space="preserve">a.   </w:t>
      </w:r>
      <w:r>
        <w:rPr>
          <w:i/>
        </w:rPr>
        <w:t>The standard does not list \o as a sw</w:t>
      </w:r>
      <w:r>
        <w:rPr>
          <w:i/>
        </w:rPr>
        <w:t>itch for the INDEX field.</w:t>
      </w:r>
    </w:p>
    <w:p w:rsidR="00024C0A" w:rsidRDefault="00694C0F">
      <w:r>
        <w:t>Word adds a \o switch that is used with the INDEX field to specify sort order.  The text in this switch's field-argument specifies the sort order for Chinese, S for sorting by strokes within radicals and P for sorting by pronuncia</w:t>
      </w:r>
      <w:r>
        <w:t>tion. By default, sorting is by strokes.</w:t>
      </w:r>
    </w:p>
    <w:p w:rsidR="00024C0A" w:rsidRDefault="00694C0F">
      <w:pPr>
        <w:pStyle w:val="Definition-Field"/>
      </w:pPr>
      <w:r>
        <w:t xml:space="preserve">b.   </w:t>
      </w:r>
      <w:r>
        <w:rPr>
          <w:i/>
        </w:rPr>
        <w:t>The standard says that if the \f switch is omitted, the index will include all entries.</w:t>
      </w:r>
    </w:p>
    <w:p w:rsidR="00024C0A" w:rsidRDefault="00694C0F">
      <w:pPr>
        <w:pStyle w:val="Definition-Field2"/>
      </w:pPr>
      <w:r>
        <w:t>In Word, if the \f switch is omitted, the index will contain only those entries also lacking \f switches.</w:t>
      </w:r>
    </w:p>
    <w:p w:rsidR="00024C0A" w:rsidRDefault="00694C0F">
      <w:pPr>
        <w:pStyle w:val="Definition-Field"/>
      </w:pPr>
      <w:r>
        <w:t xml:space="preserve">c.   </w:t>
      </w:r>
      <w:r>
        <w:rPr>
          <w:i/>
        </w:rPr>
        <w:t>The standar</w:t>
      </w:r>
      <w:r>
        <w:rPr>
          <w:i/>
        </w:rPr>
        <w:t>d does not limit the length of the field arguments for switches \d, \e, \g, \k, and \l.</w:t>
      </w:r>
    </w:p>
    <w:p w:rsidR="00024C0A" w:rsidRDefault="00694C0F">
      <w:pPr>
        <w:pStyle w:val="Definition-Field2"/>
      </w:pPr>
      <w:r>
        <w:t>In Word, the \d, \e, \g, \k, and \l switches are all limited to 15 characters.</w:t>
      </w:r>
    </w:p>
    <w:p w:rsidR="00024C0A" w:rsidRDefault="00694C0F">
      <w:pPr>
        <w:pStyle w:val="Definition-Field"/>
      </w:pPr>
      <w:r>
        <w:t xml:space="preserve">d.   </w:t>
      </w:r>
      <w:r>
        <w:rPr>
          <w:i/>
        </w:rPr>
        <w:t xml:space="preserve">The standard states the \z flag is of type ST_Lang, yet has examples showing the \z </w:t>
      </w:r>
      <w:r>
        <w:rPr>
          <w:i/>
        </w:rPr>
        <w:t>switch with an argument of 1033.</w:t>
      </w:r>
    </w:p>
    <w:p w:rsidR="00024C0A" w:rsidRDefault="00694C0F">
      <w:pPr>
        <w:pStyle w:val="Definition-Field2"/>
      </w:pPr>
      <w:r>
        <w:t>Word also supports numeric language ID's for this switch.</w:t>
      </w:r>
    </w:p>
    <w:p w:rsidR="00024C0A" w:rsidRDefault="00694C0F">
      <w:pPr>
        <w:pStyle w:val="Heading3"/>
      </w:pPr>
      <w:bookmarkStart w:id="977" w:name="section_20e5dd1b37474a47b717c2c69ecc77db"/>
      <w:bookmarkStart w:id="978" w:name="_Toc12260549"/>
      <w:r>
        <w:t>Part 1 Section 17.16.5.30, KEYWORDS</w:t>
      </w:r>
      <w:bookmarkEnd w:id="977"/>
      <w:bookmarkEnd w:id="978"/>
      <w:r>
        <w:fldChar w:fldCharType="begin"/>
      </w:r>
      <w:r>
        <w:instrText xml:space="preserve"> XE "KEYWORDS" </w:instrText>
      </w:r>
      <w:r>
        <w:fldChar w:fldCharType="end"/>
      </w:r>
    </w:p>
    <w:p w:rsidR="00024C0A" w:rsidRDefault="00694C0F">
      <w:pPr>
        <w:pStyle w:val="Definition-Field"/>
      </w:pPr>
      <w:r>
        <w:t xml:space="preserve">a.   </w:t>
      </w:r>
      <w:r>
        <w:rPr>
          <w:i/>
        </w:rPr>
        <w:t>The standard says the KEYWORD field must have a general-formatting-switch.</w:t>
      </w:r>
    </w:p>
    <w:p w:rsidR="00024C0A" w:rsidRDefault="00694C0F">
      <w:pPr>
        <w:pStyle w:val="Definition-Field2"/>
      </w:pPr>
      <w:r>
        <w:t>In Word, using a general-formatt</w:t>
      </w:r>
      <w:r>
        <w:t>ing switch in a KEYWORD field is optional.</w:t>
      </w:r>
    </w:p>
    <w:p w:rsidR="00024C0A" w:rsidRDefault="00694C0F">
      <w:pPr>
        <w:pStyle w:val="Heading3"/>
      </w:pPr>
      <w:bookmarkStart w:id="979" w:name="section_9bd6ce8277ae4615a46920fd41e88e8c"/>
      <w:bookmarkStart w:id="980" w:name="_Toc12260550"/>
      <w:r>
        <w:t>Part 1 Section 17.16.5.31, LASTSAVEDBY</w:t>
      </w:r>
      <w:bookmarkEnd w:id="979"/>
      <w:bookmarkEnd w:id="980"/>
      <w:r>
        <w:fldChar w:fldCharType="begin"/>
      </w:r>
      <w:r>
        <w:instrText xml:space="preserve"> XE "LASTSAVEDBY" </w:instrText>
      </w:r>
      <w:r>
        <w:fldChar w:fldCharType="end"/>
      </w:r>
    </w:p>
    <w:p w:rsidR="00024C0A" w:rsidRDefault="00694C0F">
      <w:pPr>
        <w:pStyle w:val="Definition-Field"/>
      </w:pPr>
      <w:r>
        <w:t xml:space="preserve">a.   </w:t>
      </w:r>
      <w:r>
        <w:rPr>
          <w:i/>
        </w:rPr>
        <w:t>The standard says the LASTSAVEDBY field must use a general-formatting-switch.</w:t>
      </w:r>
    </w:p>
    <w:p w:rsidR="00024C0A" w:rsidRDefault="00694C0F">
      <w:pPr>
        <w:pStyle w:val="Definition-Field2"/>
      </w:pPr>
      <w:r>
        <w:t xml:space="preserve">In Word using a general-formatting-switch with a LASTSAVEDBY field is </w:t>
      </w:r>
      <w:r>
        <w:t>optional.</w:t>
      </w:r>
    </w:p>
    <w:p w:rsidR="00024C0A" w:rsidRDefault="00694C0F">
      <w:pPr>
        <w:pStyle w:val="Heading3"/>
      </w:pPr>
      <w:bookmarkStart w:id="981" w:name="section_9264f074a348415da2243c1576083ffb"/>
      <w:bookmarkStart w:id="982" w:name="_Toc12260551"/>
      <w:r>
        <w:t>Part 1 Section 17.16.5.32, LINK</w:t>
      </w:r>
      <w:bookmarkEnd w:id="981"/>
      <w:bookmarkEnd w:id="982"/>
      <w:r>
        <w:fldChar w:fldCharType="begin"/>
      </w:r>
      <w:r>
        <w:instrText xml:space="preserve"> XE "LINK" </w:instrText>
      </w:r>
      <w:r>
        <w:fldChar w:fldCharType="end"/>
      </w:r>
    </w:p>
    <w:p w:rsidR="00024C0A" w:rsidRDefault="00694C0F">
      <w:pPr>
        <w:pStyle w:val="Definition-Field"/>
      </w:pPr>
      <w:r>
        <w:t xml:space="preserve">a.   </w:t>
      </w:r>
      <w:r>
        <w:rPr>
          <w:i/>
        </w:rPr>
        <w:t>The standard does not explain the format of field-argument-1 of the LINK field.</w:t>
      </w:r>
    </w:p>
    <w:p w:rsidR="00024C0A" w:rsidRDefault="00694C0F">
      <w:r>
        <w:t>Word has a specific format for field-argument-1 of the LINK field. This format specifies an OLE Programmatic Identif</w:t>
      </w:r>
      <w:r>
        <w:t xml:space="preserve">ier (ProgID).  This string shall not start with a digit, shall not contain any punctuation (including underscores) other than periods, and shall have a maximum length of 39 characters. </w:t>
      </w:r>
    </w:p>
    <w:p w:rsidR="00024C0A" w:rsidRDefault="00694C0F">
      <w:r>
        <w:t>The pieces of a ProgID are separated by periods; white space shall not</w:t>
      </w:r>
      <w:r>
        <w:t xml:space="preserve"> occur within the ProgID. The typical format of a ProgID is:</w:t>
      </w:r>
    </w:p>
    <w:p w:rsidR="00024C0A" w:rsidRDefault="00694C0F">
      <w:r>
        <w:t>&lt;Library&gt;.&lt;ComponentName&gt;.&lt;VersionNumber&gt;</w:t>
      </w:r>
    </w:p>
    <w:p w:rsidR="00024C0A" w:rsidRDefault="00694C0F">
      <w:pPr>
        <w:pStyle w:val="Definition-Field"/>
      </w:pPr>
      <w:r>
        <w:t xml:space="preserve">b.   </w:t>
      </w:r>
      <w:r>
        <w:rPr>
          <w:i/>
        </w:rPr>
        <w:t>The standard says that the LINK field has no field value.</w:t>
      </w:r>
    </w:p>
    <w:p w:rsidR="00024C0A" w:rsidRDefault="00694C0F">
      <w:pPr>
        <w:pStyle w:val="Definition-Field2"/>
      </w:pPr>
      <w:r>
        <w:t>In Word, the field value of a LINK field is an OLE object representation of the linked fil</w:t>
      </w:r>
      <w:r>
        <w:t>e, or the contents of the linked file itself, depending on the switches used.</w:t>
      </w:r>
    </w:p>
    <w:p w:rsidR="00024C0A" w:rsidRDefault="00694C0F">
      <w:pPr>
        <w:pStyle w:val="Definition-Field"/>
      </w:pPr>
      <w:r>
        <w:t xml:space="preserve">c.   </w:t>
      </w:r>
      <w:r>
        <w:rPr>
          <w:i/>
        </w:rPr>
        <w:t>The standard says the \d switch will prevent the graphic data from being stored with the document.</w:t>
      </w:r>
    </w:p>
    <w:p w:rsidR="00024C0A" w:rsidRDefault="00694C0F">
      <w:pPr>
        <w:pStyle w:val="Definition-Field2"/>
      </w:pPr>
      <w:r>
        <w:t xml:space="preserve">When saving a document to OOXML, Word stores the graphic data in the file </w:t>
      </w:r>
      <w:r>
        <w:t>even if the \d switch is used.</w:t>
      </w:r>
    </w:p>
    <w:p w:rsidR="00024C0A" w:rsidRDefault="00694C0F">
      <w:pPr>
        <w:pStyle w:val="Definition-Field"/>
      </w:pPr>
      <w:r>
        <w:lastRenderedPageBreak/>
        <w:t xml:space="preserve">d.   </w:t>
      </w:r>
      <w:r>
        <w:rPr>
          <w:i/>
        </w:rPr>
        <w:t>The standard says the \f switch determines the formatting of the linked object when displayed in the document.</w:t>
      </w:r>
    </w:p>
    <w:p w:rsidR="00024C0A" w:rsidRDefault="00694C0F">
      <w:pPr>
        <w:pStyle w:val="Definition-Field2"/>
      </w:pPr>
      <w:r>
        <w:t>Word ignores the argument of the \f switch.</w:t>
      </w:r>
    </w:p>
    <w:p w:rsidR="00024C0A" w:rsidRDefault="00694C0F">
      <w:pPr>
        <w:pStyle w:val="Definition-Field"/>
      </w:pPr>
      <w:r>
        <w:t xml:space="preserve">e.   </w:t>
      </w:r>
      <w:r>
        <w:rPr>
          <w:i/>
        </w:rPr>
        <w:t>The standard does not restrict which field switches can be u</w:t>
      </w:r>
      <w:r>
        <w:rPr>
          <w:i/>
        </w:rPr>
        <w:t>sed with each other, even when their definitions are mutually exclusive.</w:t>
      </w:r>
    </w:p>
    <w:p w:rsidR="00024C0A" w:rsidRDefault="00694C0F">
      <w:pPr>
        <w:pStyle w:val="Definition-Field2"/>
      </w:pPr>
      <w:r>
        <w:t>If more than one switch is present from the set \b, \h, \p, \r, \t, \d, and \u, Word ignores all but the last one.</w:t>
      </w:r>
    </w:p>
    <w:p w:rsidR="00024C0A" w:rsidRDefault="00694C0F">
      <w:pPr>
        <w:pStyle w:val="Heading3"/>
      </w:pPr>
      <w:bookmarkStart w:id="983" w:name="section_da16701c070d4425961f496394df6d8a"/>
      <w:bookmarkStart w:id="984" w:name="_Toc12260552"/>
      <w:r>
        <w:t>Part 1 Section 17.16.5.33, LISTNUM</w:t>
      </w:r>
      <w:bookmarkEnd w:id="983"/>
      <w:bookmarkEnd w:id="984"/>
      <w:r>
        <w:fldChar w:fldCharType="begin"/>
      </w:r>
      <w:r>
        <w:instrText xml:space="preserve"> XE "LISTNUM" </w:instrText>
      </w:r>
      <w:r>
        <w:fldChar w:fldCharType="end"/>
      </w:r>
    </w:p>
    <w:p w:rsidR="00024C0A" w:rsidRDefault="00694C0F">
      <w:pPr>
        <w:pStyle w:val="Definition-Field"/>
      </w:pPr>
      <w:r>
        <w:t xml:space="preserve">a.   </w:t>
      </w:r>
      <w:r>
        <w:rPr>
          <w:i/>
        </w:rPr>
        <w:t>The standard</w:t>
      </w:r>
      <w:r>
        <w:rPr>
          <w:i/>
        </w:rPr>
        <w:t xml:space="preserve"> says that If the \l switch is omitted for a new series, the default value is 3.</w:t>
      </w:r>
    </w:p>
    <w:p w:rsidR="00024C0A" w:rsidRDefault="00694C0F">
      <w:pPr>
        <w:pStyle w:val="Definition-Field2"/>
      </w:pPr>
      <w:r>
        <w:t>In Word, if the \l switch is omitted for a new series, the default value depends on the ilvl of the paragraph.</w:t>
      </w:r>
    </w:p>
    <w:p w:rsidR="00024C0A" w:rsidRDefault="00694C0F">
      <w:pPr>
        <w:pStyle w:val="Definition-Field"/>
      </w:pPr>
      <w:r>
        <w:t xml:space="preserve">b.   </w:t>
      </w:r>
      <w:r>
        <w:rPr>
          <w:i/>
        </w:rPr>
        <w:t>The standard allows the LISTNUM to be nested inside another</w:t>
      </w:r>
      <w:r>
        <w:rPr>
          <w:i/>
        </w:rPr>
        <w:t xml:space="preserve"> field.</w:t>
      </w:r>
    </w:p>
    <w:p w:rsidR="00024C0A" w:rsidRDefault="00694C0F">
      <w:pPr>
        <w:pStyle w:val="Definition-Field2"/>
      </w:pPr>
      <w:r>
        <w:t>In Word, the LISTNUM field is ignored if nested inside another field.</w:t>
      </w:r>
    </w:p>
    <w:p w:rsidR="00024C0A" w:rsidRDefault="00694C0F">
      <w:pPr>
        <w:pStyle w:val="Definition-Field"/>
      </w:pPr>
      <w:r>
        <w:t xml:space="preserve">c.   </w:t>
      </w:r>
      <w:r>
        <w:rPr>
          <w:i/>
        </w:rPr>
        <w:t>The standard does not specify the behavior in the event that no previous numbered paragraph or LISTNUM is present in the document.</w:t>
      </w:r>
    </w:p>
    <w:p w:rsidR="00024C0A" w:rsidRDefault="00694C0F">
      <w:pPr>
        <w:pStyle w:val="Definition-Field2"/>
      </w:pPr>
      <w:r>
        <w:t>Word uses the NumberDefault sequence by de</w:t>
      </w:r>
      <w:r>
        <w:t>fault.</w:t>
      </w:r>
    </w:p>
    <w:p w:rsidR="00024C0A" w:rsidRDefault="00694C0F">
      <w:pPr>
        <w:pStyle w:val="Heading3"/>
      </w:pPr>
      <w:bookmarkStart w:id="985" w:name="section_d5aea26dd1a440c8abb93040566385fd"/>
      <w:bookmarkStart w:id="986" w:name="_Toc12260553"/>
      <w:r>
        <w:t>Part 1 Section 17.16.5.34, MACROBUTTON</w:t>
      </w:r>
      <w:bookmarkEnd w:id="985"/>
      <w:bookmarkEnd w:id="986"/>
      <w:r>
        <w:fldChar w:fldCharType="begin"/>
      </w:r>
      <w:r>
        <w:instrText xml:space="preserve"> XE "MACROBUTTON" </w:instrText>
      </w:r>
      <w:r>
        <w:fldChar w:fldCharType="end"/>
      </w:r>
    </w:p>
    <w:p w:rsidR="00024C0A" w:rsidRDefault="00694C0F">
      <w:pPr>
        <w:pStyle w:val="Definition-Field"/>
      </w:pPr>
      <w:r>
        <w:t xml:space="preserve">a.   </w:t>
      </w:r>
      <w:r>
        <w:rPr>
          <w:i/>
        </w:rPr>
        <w:t>The standard allows the MACROBUTTON field to be nested inside another field.</w:t>
      </w:r>
    </w:p>
    <w:p w:rsidR="00024C0A" w:rsidRDefault="00694C0F">
      <w:pPr>
        <w:pStyle w:val="Definition-Field2"/>
      </w:pPr>
      <w:r>
        <w:t>In Word, if the MACROBUTTON field is nested inside another field, no result is displayed.</w:t>
      </w:r>
    </w:p>
    <w:p w:rsidR="00024C0A" w:rsidRDefault="00694C0F">
      <w:pPr>
        <w:pStyle w:val="Heading3"/>
      </w:pPr>
      <w:bookmarkStart w:id="987" w:name="section_bbe3b9853afb4e7bbf46585f77f5da21"/>
      <w:bookmarkStart w:id="988" w:name="_Toc12260554"/>
      <w:r>
        <w:t>Part 1 Section 17.</w:t>
      </w:r>
      <w:r>
        <w:t>16.5.35, MERGEFIELD</w:t>
      </w:r>
      <w:bookmarkEnd w:id="987"/>
      <w:bookmarkEnd w:id="988"/>
      <w:r>
        <w:fldChar w:fldCharType="begin"/>
      </w:r>
      <w:r>
        <w:instrText xml:space="preserve"> XE "MERGEFIELD" </w:instrText>
      </w:r>
      <w:r>
        <w:fldChar w:fldCharType="end"/>
      </w:r>
    </w:p>
    <w:p w:rsidR="00024C0A" w:rsidRDefault="00694C0F">
      <w:pPr>
        <w:pStyle w:val="Definition-Field"/>
      </w:pPr>
      <w:r>
        <w:t xml:space="preserve">a.   </w:t>
      </w:r>
      <w:r>
        <w:rPr>
          <w:i/>
        </w:rPr>
        <w:t>The standard specifies that the \m switch means the MERGEFIELD field is a mapped field.</w:t>
      </w:r>
    </w:p>
    <w:p w:rsidR="00024C0A" w:rsidRDefault="00694C0F">
      <w:pPr>
        <w:pStyle w:val="Definition-Field2"/>
      </w:pPr>
      <w:r>
        <w:t>In Word, the \m switch in the MERGEFIELD means the text in field-argument specifies the mappedName of a fieldMapData element</w:t>
      </w:r>
      <w:r>
        <w:t>.</w:t>
      </w:r>
    </w:p>
    <w:p w:rsidR="00024C0A" w:rsidRDefault="00694C0F">
      <w:pPr>
        <w:pStyle w:val="Heading3"/>
      </w:pPr>
      <w:bookmarkStart w:id="989" w:name="section_1a3c2c96a9914239a39bdcfe05dd6b7c"/>
      <w:bookmarkStart w:id="990" w:name="_Toc12260555"/>
      <w:r>
        <w:t>Part 1 Section 17.16.5.39, NEXTIF</w:t>
      </w:r>
      <w:bookmarkEnd w:id="989"/>
      <w:bookmarkEnd w:id="990"/>
      <w:r>
        <w:fldChar w:fldCharType="begin"/>
      </w:r>
      <w:r>
        <w:instrText xml:space="preserve"> XE "NEXTIF" </w:instrText>
      </w:r>
      <w:r>
        <w:fldChar w:fldCharType="end"/>
      </w:r>
    </w:p>
    <w:p w:rsidR="00024C0A" w:rsidRDefault="00694C0F">
      <w:pPr>
        <w:pStyle w:val="Definition-Field"/>
      </w:pPr>
      <w:r>
        <w:t xml:space="preserve">a.   </w:t>
      </w:r>
      <w:r>
        <w:rPr>
          <w:i/>
        </w:rPr>
        <w:t>The standards states that the expression shall be enclosed in quotation marks.</w:t>
      </w:r>
    </w:p>
    <w:p w:rsidR="00024C0A" w:rsidRDefault="00694C0F">
      <w:pPr>
        <w:pStyle w:val="Definition-Field2"/>
      </w:pPr>
      <w:r>
        <w:t>Word does not require the expression to be enclosed in quotation marks.</w:t>
      </w:r>
    </w:p>
    <w:p w:rsidR="00024C0A" w:rsidRDefault="00694C0F">
      <w:pPr>
        <w:pStyle w:val="Definition-Field"/>
      </w:pPr>
      <w:r>
        <w:t xml:space="preserve">b.   </w:t>
      </w:r>
      <w:r>
        <w:rPr>
          <w:i/>
        </w:rPr>
        <w:t xml:space="preserve">The Standard does not specify the format of </w:t>
      </w:r>
      <w:r>
        <w:rPr>
          <w:i/>
        </w:rPr>
        <w:t>comparison.</w:t>
      </w:r>
    </w:p>
    <w:p w:rsidR="00024C0A" w:rsidRDefault="00694C0F">
      <w:pPr>
        <w:pStyle w:val="Definition-Field2"/>
      </w:pPr>
      <w:r>
        <w:t>Word uses the following rule: comparison =&gt; expression comparison-operator expression.</w:t>
      </w:r>
    </w:p>
    <w:p w:rsidR="00024C0A" w:rsidRDefault="00694C0F">
      <w:pPr>
        <w:pStyle w:val="Definition-Field"/>
      </w:pPr>
      <w:r>
        <w:t xml:space="preserve">c.   </w:t>
      </w:r>
      <w:r>
        <w:rPr>
          <w:i/>
        </w:rPr>
        <w:t>The standard does not specify any length restrictions on wildcards expansions.</w:t>
      </w:r>
    </w:p>
    <w:p w:rsidR="00024C0A" w:rsidRDefault="00694C0F">
      <w:pPr>
        <w:pStyle w:val="Definition-Field2"/>
      </w:pPr>
      <w:r>
        <w:t>In Word, if an asterisk is used in Expression-2, the portion of Expressio</w:t>
      </w:r>
      <w:r>
        <w:t>n-1 that corresponds to the asterisk plus any remaining characters in Expression-2 shall NOT exceed 128 characters.</w:t>
      </w:r>
    </w:p>
    <w:p w:rsidR="00024C0A" w:rsidRDefault="00694C0F">
      <w:pPr>
        <w:pStyle w:val="Heading3"/>
      </w:pPr>
      <w:bookmarkStart w:id="991" w:name="section_13f129e31cac476787c074c302db67fa"/>
      <w:bookmarkStart w:id="992" w:name="_Toc12260556"/>
      <w:r>
        <w:lastRenderedPageBreak/>
        <w:t>Part 1 Section 17.16.5.40, NOTEREF</w:t>
      </w:r>
      <w:bookmarkEnd w:id="991"/>
      <w:bookmarkEnd w:id="992"/>
      <w:r>
        <w:fldChar w:fldCharType="begin"/>
      </w:r>
      <w:r>
        <w:instrText xml:space="preserve"> XE "NOTEREF" </w:instrText>
      </w:r>
      <w:r>
        <w:fldChar w:fldCharType="end"/>
      </w:r>
    </w:p>
    <w:p w:rsidR="00024C0A" w:rsidRDefault="00694C0F">
      <w:pPr>
        <w:pStyle w:val="Definition-Field"/>
      </w:pPr>
      <w:r>
        <w:t xml:space="preserve">a.   </w:t>
      </w:r>
      <w:r>
        <w:rPr>
          <w:i/>
        </w:rPr>
        <w:t>The standard says the /p switch causes the NOTEREF field value to include the string</w:t>
      </w:r>
      <w:r>
        <w:rPr>
          <w:i/>
        </w:rPr>
        <w:t xml:space="preserve"> below or above.</w:t>
      </w:r>
    </w:p>
    <w:p w:rsidR="00024C0A" w:rsidRDefault="00694C0F">
      <w:pPr>
        <w:pStyle w:val="Definition-Field2"/>
      </w:pPr>
      <w:r>
        <w:t>In Word, the /p switch causes the NOTEREF field value to include a localized version of the strings below or above.</w:t>
      </w:r>
    </w:p>
    <w:p w:rsidR="00024C0A" w:rsidRDefault="00694C0F">
      <w:pPr>
        <w:pStyle w:val="Heading3"/>
      </w:pPr>
      <w:bookmarkStart w:id="993" w:name="section_defcfd84de2646f39ddb581dd08473a5"/>
      <w:bookmarkStart w:id="994" w:name="_Toc12260557"/>
      <w:r>
        <w:t>Part 1 Section 17.16.5.42 NUMPAGES</w:t>
      </w:r>
      <w:bookmarkEnd w:id="993"/>
      <w:bookmarkEnd w:id="994"/>
    </w:p>
    <w:p w:rsidR="00024C0A" w:rsidRDefault="00694C0F">
      <w:pPr>
        <w:pStyle w:val="Definition-Field"/>
      </w:pPr>
      <w:r>
        <w:t xml:space="preserve">a.   </w:t>
      </w:r>
      <w:r>
        <w:rPr>
          <w:i/>
        </w:rPr>
        <w:t>The standard states NUMPAGES retrieves the number of pages in the current document,</w:t>
      </w:r>
      <w:r>
        <w:rPr>
          <w:i/>
        </w:rPr>
        <w:t xml:space="preserve"> as recorded in the Pages element of the Application-Defined File Properties part.</w:t>
      </w:r>
    </w:p>
    <w:p w:rsidR="00024C0A" w:rsidRDefault="00694C0F">
      <w:pPr>
        <w:pStyle w:val="Definition-Field2"/>
      </w:pPr>
      <w:r>
        <w:t>Word uses the value stored in the Pages element of the File Properties part ("</w:t>
      </w:r>
      <w:hyperlink r:id="rId106">
        <w:r>
          <w:rPr>
            <w:rStyle w:val="Hyperlink"/>
          </w:rPr>
          <w:t>[ISO/IEC-29500-1]</w:t>
        </w:r>
      </w:hyperlink>
      <w:r>
        <w:t xml:space="preserve"> §15.2.12.3"</w:t>
      </w:r>
      <w:r>
        <w:t xml:space="preserve">). If the first section definition in the document includes a titlePg element ("[ISO/IEC-29500-1] §17.10.6; titlePg") and a pgNumType ("[ISO/IEC-29500-1] §17.6.12; pgNumType") element with a “start” attribute with a value of “0”, then Word will adjust the </w:t>
      </w:r>
      <w:r>
        <w:t>number of pages for the title page by subtracting 1 from the value of the Pages element.</w:t>
      </w:r>
    </w:p>
    <w:p w:rsidR="00024C0A" w:rsidRDefault="00694C0F">
      <w:pPr>
        <w:pStyle w:val="Heading3"/>
      </w:pPr>
      <w:bookmarkStart w:id="995" w:name="section_819d2fe99c1445e5a35321c13c2ff1f4"/>
      <w:bookmarkStart w:id="996" w:name="_Toc12260558"/>
      <w:r>
        <w:t>Part 1 Section 17.16.5.45, PAGEREF</w:t>
      </w:r>
      <w:bookmarkEnd w:id="995"/>
      <w:bookmarkEnd w:id="996"/>
      <w:r>
        <w:fldChar w:fldCharType="begin"/>
      </w:r>
      <w:r>
        <w:instrText xml:space="preserve"> XE "PAGEREF" </w:instrText>
      </w:r>
      <w:r>
        <w:fldChar w:fldCharType="end"/>
      </w:r>
    </w:p>
    <w:p w:rsidR="00024C0A" w:rsidRDefault="00694C0F">
      <w:pPr>
        <w:pStyle w:val="Definition-Field"/>
      </w:pPr>
      <w:r>
        <w:t xml:space="preserve">a.   </w:t>
      </w:r>
      <w:r>
        <w:rPr>
          <w:i/>
        </w:rPr>
        <w:t>The standard says the value of the PAGEREF field may contain the strings above, below, and "on page #".</w:t>
      </w:r>
    </w:p>
    <w:p w:rsidR="00024C0A" w:rsidRDefault="00694C0F">
      <w:pPr>
        <w:pStyle w:val="Definition-Field2"/>
      </w:pPr>
      <w:r>
        <w:t>In Word</w:t>
      </w:r>
      <w:r>
        <w:t>, the value of the PAGEREF field contains versions of the strings above, below, and "on page #" that are translated depending on the language of the text in the document and the language of the current application UI.</w:t>
      </w:r>
    </w:p>
    <w:p w:rsidR="00024C0A" w:rsidRDefault="00694C0F">
      <w:pPr>
        <w:pStyle w:val="Heading3"/>
      </w:pPr>
      <w:bookmarkStart w:id="997" w:name="section_b42eda12a66849169fd22fc2deda2359"/>
      <w:bookmarkStart w:id="998" w:name="_Toc12260559"/>
      <w:r>
        <w:t>Part 1 Section 17.16.5.46, PRINT</w:t>
      </w:r>
      <w:bookmarkEnd w:id="997"/>
      <w:bookmarkEnd w:id="998"/>
      <w:r>
        <w:fldChar w:fldCharType="begin"/>
      </w:r>
      <w:r>
        <w:instrText xml:space="preserve"> XE "P</w:instrText>
      </w:r>
      <w:r>
        <w:instrText xml:space="preserve">RINT" </w:instrText>
      </w:r>
      <w:r>
        <w:fldChar w:fldCharType="end"/>
      </w:r>
    </w:p>
    <w:p w:rsidR="00024C0A" w:rsidRDefault="00694C0F">
      <w:pPr>
        <w:pStyle w:val="Definition-Field"/>
      </w:pPr>
      <w:r>
        <w:t xml:space="preserve">a.   </w:t>
      </w:r>
      <w:r>
        <w:rPr>
          <w:i/>
        </w:rPr>
        <w:t>The standard does not specify how field argument 1 defines the drawing rectangle.</w:t>
      </w:r>
    </w:p>
    <w:p w:rsidR="00024C0A" w:rsidRDefault="00694C0F">
      <w:r>
        <w:t>In Word, text in this switch's field-argument-1 defines the drawing rectangle on which the subsequent PostScript instructions operate.  It can be any of the key</w:t>
      </w:r>
      <w:r>
        <w:t>words from the following table.</w:t>
      </w:r>
    </w:p>
    <w:tbl>
      <w:tblPr>
        <w:tblStyle w:val="Table-ShadedHeader"/>
        <w:tblW w:w="0" w:type="auto"/>
        <w:tblLook w:val="04A0" w:firstRow="1" w:lastRow="0" w:firstColumn="1" w:lastColumn="0" w:noHBand="0" w:noVBand="1"/>
      </w:tblPr>
      <w:tblGrid>
        <w:gridCol w:w="1022"/>
        <w:gridCol w:w="8453"/>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Keyword</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rStyle w:val="InlineCode"/>
              </w:rPr>
              <w:t>cell</w:t>
            </w:r>
          </w:p>
        </w:tc>
        <w:tc>
          <w:tcPr>
            <w:tcW w:w="0" w:type="auto"/>
            <w:vAlign w:val="center"/>
          </w:tcPr>
          <w:p w:rsidR="00024C0A" w:rsidRDefault="00694C0F">
            <w:pPr>
              <w:pStyle w:val="TableBodyText"/>
            </w:pPr>
            <w:r>
              <w:t xml:space="preserve">Sets the bounding box to equal the size of a one-line cell with the width of the current cell. The bounding box’s upper-left corner will be placed by default at the upper-left corner of the current </w:t>
            </w:r>
            <w:r>
              <w:t>page. The bounding box will be offset to the right by the location of the current column, and offset down by the amount of prior text in the current cell.</w:t>
            </w:r>
          </w:p>
          <w:p w:rsidR="00024C0A" w:rsidRDefault="00694C0F">
            <w:pPr>
              <w:pStyle w:val="TableBodyText"/>
            </w:pPr>
            <w:r>
              <w:t>In Word, the bounding box will be offset to the right by the location of the current column minus the</w:t>
            </w:r>
            <w:r>
              <w:t xml:space="preserve"> width of the left border, and offset down by the amount of prior text in the current cell minus the width of the top border.</w:t>
            </w:r>
          </w:p>
        </w:tc>
      </w:tr>
      <w:tr w:rsidR="00024C0A" w:rsidTr="00024C0A">
        <w:tc>
          <w:tcPr>
            <w:tcW w:w="0" w:type="auto"/>
            <w:vAlign w:val="center"/>
          </w:tcPr>
          <w:p w:rsidR="00024C0A" w:rsidRDefault="00694C0F">
            <w:pPr>
              <w:pStyle w:val="TableBodyText"/>
            </w:pPr>
            <w:r>
              <w:rPr>
                <w:rStyle w:val="InlineCode"/>
              </w:rPr>
              <w:t>page</w:t>
            </w:r>
          </w:p>
        </w:tc>
        <w:tc>
          <w:tcPr>
            <w:tcW w:w="0" w:type="auto"/>
            <w:vAlign w:val="center"/>
          </w:tcPr>
          <w:p w:rsidR="00024C0A" w:rsidRDefault="00694C0F">
            <w:pPr>
              <w:pStyle w:val="TableBodyText"/>
            </w:pPr>
            <w:r>
              <w:t>Sets the bounding box to be equal to the current page.</w:t>
            </w:r>
          </w:p>
        </w:tc>
      </w:tr>
      <w:tr w:rsidR="00024C0A" w:rsidTr="00024C0A">
        <w:tc>
          <w:tcPr>
            <w:tcW w:w="0" w:type="auto"/>
            <w:vAlign w:val="center"/>
          </w:tcPr>
          <w:p w:rsidR="00024C0A" w:rsidRDefault="00694C0F">
            <w:pPr>
              <w:pStyle w:val="TableBodyText"/>
            </w:pPr>
            <w:r>
              <w:rPr>
                <w:rStyle w:val="InlineCode"/>
              </w:rPr>
              <w:t>para</w:t>
            </w:r>
          </w:p>
        </w:tc>
        <w:tc>
          <w:tcPr>
            <w:tcW w:w="0" w:type="auto"/>
            <w:vAlign w:val="center"/>
          </w:tcPr>
          <w:p w:rsidR="00024C0A" w:rsidRDefault="00694C0F">
            <w:pPr>
              <w:pStyle w:val="TableBodyText"/>
            </w:pPr>
            <w:r>
              <w:t>Sets the bounding box to be equal to the current paragraph.</w:t>
            </w:r>
          </w:p>
        </w:tc>
      </w:tr>
      <w:tr w:rsidR="00024C0A" w:rsidTr="00024C0A">
        <w:tc>
          <w:tcPr>
            <w:tcW w:w="0" w:type="auto"/>
            <w:vAlign w:val="center"/>
          </w:tcPr>
          <w:p w:rsidR="00024C0A" w:rsidRDefault="00694C0F">
            <w:pPr>
              <w:pStyle w:val="TableBodyText"/>
            </w:pPr>
            <w:r>
              <w:rPr>
                <w:rStyle w:val="InlineCode"/>
              </w:rPr>
              <w:t>pic</w:t>
            </w:r>
          </w:p>
        </w:tc>
        <w:tc>
          <w:tcPr>
            <w:tcW w:w="0" w:type="auto"/>
            <w:vAlign w:val="center"/>
          </w:tcPr>
          <w:p w:rsidR="00024C0A" w:rsidRDefault="00694C0F">
            <w:pPr>
              <w:pStyle w:val="TableBodyText"/>
            </w:pPr>
            <w:r>
              <w:t>Sets the bounding box to be equal to the next picture in the current paragraph.</w:t>
            </w:r>
          </w:p>
          <w:p w:rsidR="00024C0A" w:rsidRDefault="00694C0F">
            <w:pPr>
              <w:pStyle w:val="TableBodyText"/>
            </w:pPr>
            <w:r>
              <w:t>Word will only recognize a picture described using VML when using this option.</w:t>
            </w:r>
          </w:p>
        </w:tc>
      </w:tr>
      <w:tr w:rsidR="00024C0A" w:rsidTr="00024C0A">
        <w:tc>
          <w:tcPr>
            <w:tcW w:w="0" w:type="auto"/>
            <w:vAlign w:val="center"/>
          </w:tcPr>
          <w:p w:rsidR="00024C0A" w:rsidRDefault="00694C0F">
            <w:pPr>
              <w:pStyle w:val="TableBodyText"/>
            </w:pPr>
            <w:r>
              <w:rPr>
                <w:rStyle w:val="InlineCode"/>
              </w:rPr>
              <w:t>row</w:t>
            </w:r>
          </w:p>
        </w:tc>
        <w:tc>
          <w:tcPr>
            <w:tcW w:w="0" w:type="auto"/>
            <w:vAlign w:val="center"/>
          </w:tcPr>
          <w:p w:rsidR="00024C0A" w:rsidRDefault="00694C0F">
            <w:pPr>
              <w:pStyle w:val="TableBodyText"/>
            </w:pPr>
            <w:r>
              <w:t>Sets the bounding box to equal the size of a one-line row in the current table. The boun</w:t>
            </w:r>
            <w:r>
              <w:t>ding box’s upper-left corner will be placed by default at the upper-left corner of the current page. The bounding box will be offset to the right by the location of the current row, and offset down by the amount of prior text in the current cell.</w:t>
            </w:r>
          </w:p>
          <w:p w:rsidR="00024C0A" w:rsidRDefault="00694C0F">
            <w:pPr>
              <w:pStyle w:val="TableBodyText"/>
            </w:pPr>
            <w:r>
              <w:t xml:space="preserve">In Word, </w:t>
            </w:r>
            <w:r>
              <w:t>the bounding box will not be offset to the right, and offset down by the amount of prior text in the current cell minus the width of the top border.</w:t>
            </w:r>
          </w:p>
        </w:tc>
      </w:tr>
    </w:tbl>
    <w:p w:rsidR="00024C0A" w:rsidRDefault="00024C0A"/>
    <w:p w:rsidR="00024C0A" w:rsidRDefault="00694C0F">
      <w:pPr>
        <w:pStyle w:val="Definition-Field"/>
      </w:pPr>
      <w:r>
        <w:t xml:space="preserve">b.   </w:t>
      </w:r>
      <w:r>
        <w:rPr>
          <w:i/>
        </w:rPr>
        <w:t>The standard says that /p is an optional switch for the PRINT field.</w:t>
      </w:r>
    </w:p>
    <w:p w:rsidR="00024C0A" w:rsidRDefault="00694C0F">
      <w:pPr>
        <w:pStyle w:val="Definition-Field2"/>
      </w:pPr>
      <w:r>
        <w:t>In Word, the /p switch is requi</w:t>
      </w:r>
      <w:r>
        <w:t>red for the PRINT field.</w:t>
      </w:r>
    </w:p>
    <w:p w:rsidR="00024C0A" w:rsidRDefault="00694C0F">
      <w:pPr>
        <w:pStyle w:val="Definition-Field"/>
      </w:pPr>
      <w:r>
        <w:t xml:space="preserve">c.   </w:t>
      </w:r>
      <w:r>
        <w:rPr>
          <w:i/>
        </w:rPr>
        <w:t>The standard does not specify any relationship between the PRINT field and the usePrinterMetrics compatibility option.</w:t>
      </w:r>
    </w:p>
    <w:p w:rsidR="00024C0A" w:rsidRDefault="00694C0F">
      <w:pPr>
        <w:pStyle w:val="Definition-Field2"/>
      </w:pPr>
      <w:r>
        <w:t>Word does not carry out the behavior specified by the PRINT field unless the usePrinterMetrics compatibilit</w:t>
      </w:r>
      <w:r>
        <w:t>y option is on.</w:t>
      </w:r>
    </w:p>
    <w:p w:rsidR="00024C0A" w:rsidRDefault="00694C0F">
      <w:pPr>
        <w:pStyle w:val="Definition-Field"/>
      </w:pPr>
      <w:r>
        <w:t xml:space="preserve">d.   </w:t>
      </w:r>
      <w:r>
        <w:rPr>
          <w:i/>
        </w:rPr>
        <w:t>The standard allows the PRINT field to be nested inside another field.</w:t>
      </w:r>
    </w:p>
    <w:p w:rsidR="00024C0A" w:rsidRDefault="00694C0F">
      <w:pPr>
        <w:pStyle w:val="Definition-Field2"/>
      </w:pPr>
      <w:r>
        <w:t>Word will not carry out the behavior specified by the PRINT field is it is nested inside another field.</w:t>
      </w:r>
    </w:p>
    <w:p w:rsidR="00024C0A" w:rsidRDefault="00694C0F">
      <w:pPr>
        <w:pStyle w:val="Heading3"/>
      </w:pPr>
      <w:bookmarkStart w:id="999" w:name="section_5f6bf1e3a9cf46c69ad63d8bcdb21a92"/>
      <w:bookmarkStart w:id="1000" w:name="_Toc12260560"/>
      <w:r>
        <w:t>Part 1 Section 17.16.5.47, PRINTDATE</w:t>
      </w:r>
      <w:bookmarkEnd w:id="999"/>
      <w:bookmarkEnd w:id="1000"/>
      <w:r>
        <w:fldChar w:fldCharType="begin"/>
      </w:r>
      <w:r>
        <w:instrText xml:space="preserve"> XE "PRINTDATE" </w:instrText>
      </w:r>
      <w:r>
        <w:fldChar w:fldCharType="end"/>
      </w:r>
    </w:p>
    <w:p w:rsidR="00024C0A" w:rsidRDefault="00694C0F">
      <w:pPr>
        <w:pStyle w:val="Definition-Field"/>
      </w:pPr>
      <w:r>
        <w:t xml:space="preserve">a.   </w:t>
      </w:r>
      <w:r>
        <w:rPr>
          <w:i/>
        </w:rPr>
        <w:t>The standard says the Gregorian calendar is used by default.</w:t>
      </w:r>
    </w:p>
    <w:p w:rsidR="00024C0A" w:rsidRDefault="00694C0F">
      <w:pPr>
        <w:pStyle w:val="Definition-Field2"/>
      </w:pPr>
      <w:r>
        <w:t>In Word, the default calendar depends on the locale.</w:t>
      </w:r>
    </w:p>
    <w:p w:rsidR="00024C0A" w:rsidRDefault="00694C0F">
      <w:pPr>
        <w:pStyle w:val="Heading3"/>
      </w:pPr>
      <w:bookmarkStart w:id="1001" w:name="section_f4b4975ae97c41cd8461fe1b08714aaa"/>
      <w:bookmarkStart w:id="1002" w:name="_Toc12260561"/>
      <w:r>
        <w:t>Part 1 Section 17.16.5.49, QUOTE</w:t>
      </w:r>
      <w:bookmarkEnd w:id="1001"/>
      <w:bookmarkEnd w:id="1002"/>
      <w:r>
        <w:fldChar w:fldCharType="begin"/>
      </w:r>
      <w:r>
        <w:instrText xml:space="preserve"> XE "QUOTE" </w:instrText>
      </w:r>
      <w:r>
        <w:fldChar w:fldCharType="end"/>
      </w:r>
    </w:p>
    <w:p w:rsidR="00024C0A" w:rsidRDefault="00694C0F">
      <w:pPr>
        <w:pStyle w:val="Definition-Field"/>
      </w:pPr>
      <w:r>
        <w:t xml:space="preserve">a.   </w:t>
      </w:r>
      <w:r>
        <w:rPr>
          <w:i/>
        </w:rPr>
        <w:t>The standard lists date-and-time-formatting switches twice in the list of switches allowed</w:t>
      </w:r>
      <w:r>
        <w:rPr>
          <w:i/>
        </w:rPr>
        <w:t xml:space="preserve"> in a QUOTE field and leaves out numeric-formatting-switches.</w:t>
      </w:r>
    </w:p>
    <w:p w:rsidR="00024C0A" w:rsidRDefault="00694C0F">
      <w:pPr>
        <w:pStyle w:val="Definition-Field2"/>
      </w:pPr>
      <w:r>
        <w:t>In Word, the list of allowable switches in a QUOTE field includes numeric-formatting-switches.</w:t>
      </w:r>
    </w:p>
    <w:p w:rsidR="00024C0A" w:rsidRDefault="00694C0F">
      <w:pPr>
        <w:pStyle w:val="Definition-Field"/>
      </w:pPr>
      <w:r>
        <w:t xml:space="preserve">b.   </w:t>
      </w:r>
      <w:r>
        <w:rPr>
          <w:i/>
        </w:rPr>
        <w:t xml:space="preserve">The standard specifies the field value of the QUOTE field as the text in the field argument </w:t>
      </w:r>
      <w:r>
        <w:rPr>
          <w:i/>
        </w:rPr>
        <w:t>without any transformation.</w:t>
      </w:r>
    </w:p>
    <w:p w:rsidR="00024C0A" w:rsidRDefault="00694C0F">
      <w:r>
        <w:t xml:space="preserve">In Word, the text specified by </w:t>
      </w:r>
      <w:r>
        <w:rPr>
          <w:i/>
        </w:rPr>
        <w:t>text</w:t>
      </w:r>
      <w:r>
        <w:t xml:space="preserve"> in </w:t>
      </w:r>
      <w:r>
        <w:rPr>
          <w:i/>
        </w:rPr>
        <w:t>field-argument</w:t>
      </w:r>
      <w:r>
        <w:t xml:space="preserve"> may specify a character whose code point value is specified in decimal or hexadecimal.  Up to three digits shall be used to specify a character using decimal numbers.  Up to four digits shall be used to specify a character using hexadecimal (leading 0x or</w:t>
      </w:r>
      <w:r>
        <w:t xml:space="preserve"> 0X). Word does not allow insertion of the code point 13 as a character.</w:t>
      </w:r>
    </w:p>
    <w:p w:rsidR="00024C0A" w:rsidRDefault="00694C0F">
      <w:pPr>
        <w:pStyle w:val="Definition-Field"/>
      </w:pPr>
      <w:r>
        <w:t xml:space="preserve">c.   </w:t>
      </w:r>
      <w:r>
        <w:rPr>
          <w:i/>
        </w:rPr>
        <w:t>The standard says that a QUOTE field must contain at least one switch.</w:t>
      </w:r>
    </w:p>
    <w:p w:rsidR="00024C0A" w:rsidRDefault="00694C0F">
      <w:pPr>
        <w:pStyle w:val="Definition-Field2"/>
      </w:pPr>
      <w:r>
        <w:t>In Word, including a switch in the QUOTE field is optional.</w:t>
      </w:r>
    </w:p>
    <w:p w:rsidR="00024C0A" w:rsidRDefault="00694C0F">
      <w:pPr>
        <w:pStyle w:val="Heading3"/>
      </w:pPr>
      <w:bookmarkStart w:id="1003" w:name="section_a56b965194d24733b5d57c9135e298cc"/>
      <w:bookmarkStart w:id="1004" w:name="_Toc12260562"/>
      <w:r>
        <w:t>Part 1 Section 17.16.5.50, RD</w:t>
      </w:r>
      <w:bookmarkEnd w:id="1003"/>
      <w:bookmarkEnd w:id="1004"/>
      <w:r>
        <w:fldChar w:fldCharType="begin"/>
      </w:r>
      <w:r>
        <w:instrText xml:space="preserve"> XE "RD" </w:instrText>
      </w:r>
      <w:r>
        <w:fldChar w:fldCharType="end"/>
      </w:r>
    </w:p>
    <w:p w:rsidR="00024C0A" w:rsidRDefault="00694C0F">
      <w:pPr>
        <w:pStyle w:val="Definition-Field"/>
      </w:pPr>
      <w:r>
        <w:t xml:space="preserve">a.   </w:t>
      </w:r>
      <w:r>
        <w:rPr>
          <w:i/>
        </w:rPr>
        <w:t>T</w:t>
      </w:r>
      <w:r>
        <w:rPr>
          <w:i/>
        </w:rPr>
        <w:t>he standard says that the \p switch indicates relative path for an RD field.</w:t>
      </w:r>
    </w:p>
    <w:p w:rsidR="00024C0A" w:rsidRDefault="00694C0F">
      <w:pPr>
        <w:pStyle w:val="Definition-Field2"/>
      </w:pPr>
      <w:r>
        <w:t>In Word, the \f indicates a relative path for an RD field.</w:t>
      </w:r>
    </w:p>
    <w:p w:rsidR="00024C0A" w:rsidRDefault="00694C0F">
      <w:pPr>
        <w:pStyle w:val="Definition-Field"/>
      </w:pPr>
      <w:r>
        <w:t xml:space="preserve">b.   </w:t>
      </w:r>
      <w:r>
        <w:rPr>
          <w:i/>
        </w:rPr>
        <w:t>The standard says the RD field must contain a switch.</w:t>
      </w:r>
    </w:p>
    <w:p w:rsidR="00024C0A" w:rsidRDefault="00694C0F">
      <w:pPr>
        <w:pStyle w:val="Definition-Field2"/>
      </w:pPr>
      <w:r>
        <w:t>In Word, including a switch in the RD field is optional.</w:t>
      </w:r>
    </w:p>
    <w:p w:rsidR="00024C0A" w:rsidRDefault="00694C0F">
      <w:pPr>
        <w:pStyle w:val="Heading3"/>
      </w:pPr>
      <w:bookmarkStart w:id="1005" w:name="section_7088a8cee78449d494b8cba6ef8fce78"/>
      <w:bookmarkStart w:id="1006" w:name="_Toc12260563"/>
      <w:r>
        <w:t>Part</w:t>
      </w:r>
      <w:r>
        <w:t xml:space="preserve"> 1 Section 17.16.5.51, REF</w:t>
      </w:r>
      <w:bookmarkEnd w:id="1005"/>
      <w:bookmarkEnd w:id="1006"/>
      <w:r>
        <w:fldChar w:fldCharType="begin"/>
      </w:r>
      <w:r>
        <w:instrText xml:space="preserve"> XE "REF" </w:instrText>
      </w:r>
      <w:r>
        <w:fldChar w:fldCharType="end"/>
      </w:r>
    </w:p>
    <w:p w:rsidR="00024C0A" w:rsidRDefault="00694C0F">
      <w:pPr>
        <w:pStyle w:val="Definition-Field"/>
      </w:pPr>
      <w:r>
        <w:t xml:space="preserve">a.   </w:t>
      </w:r>
      <w:r>
        <w:rPr>
          <w:i/>
        </w:rPr>
        <w:t>The standard says the REF must have at least one general-formatting-switch and at most one field-specific-switch.</w:t>
      </w:r>
    </w:p>
    <w:p w:rsidR="00024C0A" w:rsidRDefault="00694C0F">
      <w:pPr>
        <w:pStyle w:val="Definition-Field2"/>
      </w:pPr>
      <w:r>
        <w:t>In Word, the REF field is allowed to have zero general-formatting-switches and multiple field-spec</w:t>
      </w:r>
      <w:r>
        <w:t>ific-switches.</w:t>
      </w:r>
    </w:p>
    <w:p w:rsidR="00024C0A" w:rsidRDefault="00694C0F">
      <w:pPr>
        <w:pStyle w:val="Definition-Field"/>
      </w:pPr>
      <w:r>
        <w:lastRenderedPageBreak/>
        <w:t xml:space="preserve">b.   </w:t>
      </w:r>
      <w:r>
        <w:rPr>
          <w:i/>
        </w:rPr>
        <w:t>The standard says the \d switch specifies the character sequence used to separate sequence numbers and page numbers, but does not explain what sequence numbers and page numbers.</w:t>
      </w:r>
    </w:p>
    <w:p w:rsidR="00024C0A" w:rsidRDefault="00694C0F">
      <w:pPr>
        <w:pStyle w:val="Definition-Field2"/>
      </w:pPr>
      <w:r>
        <w:t>In Word, the \d switch specifies the character sequence us</w:t>
      </w:r>
      <w:r>
        <w:t>ed to separate sequence numbers placed in the field value by the \n, \r, and \w switches.</w:t>
      </w:r>
    </w:p>
    <w:p w:rsidR="00024C0A" w:rsidRDefault="00694C0F">
      <w:pPr>
        <w:pStyle w:val="Definition-Field"/>
      </w:pPr>
      <w:r>
        <w:t xml:space="preserve">c.   </w:t>
      </w:r>
      <w:r>
        <w:rPr>
          <w:i/>
        </w:rPr>
        <w:t>The standard provides insufficient information to explain how the \n switch affects the REF field value.</w:t>
      </w:r>
    </w:p>
    <w:p w:rsidR="00024C0A" w:rsidRDefault="00694C0F">
      <w:pPr>
        <w:pStyle w:val="Definition-Field2"/>
      </w:pPr>
      <w:r>
        <w:t xml:space="preserve">In Word, for a referenced numbered paragraph, \n causes </w:t>
      </w:r>
      <w:r>
        <w:t>the field result to be the paragraph number without trailing periods. No information about prior numbered levels is displayed unless it is included as part of the current level.</w:t>
      </w:r>
    </w:p>
    <w:p w:rsidR="00024C0A" w:rsidRDefault="00694C0F">
      <w:r>
        <w:t xml:space="preserve">[Example: </w:t>
      </w:r>
    </w:p>
    <w:p w:rsidR="00024C0A" w:rsidRDefault="00694C0F">
      <w:r>
        <w:t xml:space="preserve">If the referenced paragraph is numbered </w:t>
      </w:r>
      <w:r>
        <w:rPr>
          <w:rStyle w:val="InlineCode"/>
        </w:rPr>
        <w:t>2.7.1</w:t>
      </w:r>
      <w:r>
        <w:t>, the field shall resu</w:t>
      </w:r>
      <w:r>
        <w:t xml:space="preserve">lt in </w:t>
      </w:r>
      <w:r>
        <w:rPr>
          <w:rStyle w:val="InlineCode"/>
        </w:rPr>
        <w:t>1</w:t>
      </w:r>
      <w:r>
        <w:t>. end example]</w:t>
      </w:r>
    </w:p>
    <w:p w:rsidR="00024C0A" w:rsidRDefault="00694C0F">
      <w:pPr>
        <w:pStyle w:val="Definition-Field"/>
      </w:pPr>
      <w:r>
        <w:t xml:space="preserve">d.   </w:t>
      </w:r>
      <w:r>
        <w:rPr>
          <w:i/>
        </w:rPr>
        <w:t>The standard says the REF keyword is not optional when used with bookmarks with the same name as a field.</w:t>
      </w:r>
    </w:p>
    <w:p w:rsidR="00024C0A" w:rsidRDefault="00694C0F">
      <w:pPr>
        <w:pStyle w:val="Definition-Field2"/>
      </w:pPr>
      <w:r>
        <w:t xml:space="preserve">In Word, REF is required to be present if the bookmark name is one of the following: CONTROL, DATA, EMBED, HTMLCONTROL, or </w:t>
      </w:r>
      <w:r>
        <w:t>SUBSCRIBER.</w:t>
      </w:r>
    </w:p>
    <w:p w:rsidR="00024C0A" w:rsidRDefault="00694C0F">
      <w:pPr>
        <w:pStyle w:val="Definition-Field"/>
      </w:pPr>
      <w:r>
        <w:t xml:space="preserve">e.   </w:t>
      </w:r>
      <w:r>
        <w:rPr>
          <w:i/>
        </w:rPr>
        <w:t>The standard provides insufficient information to explain how the \r switch affects the REF field value.</w:t>
      </w:r>
    </w:p>
    <w:p w:rsidR="00024C0A" w:rsidRDefault="00694C0F">
      <w:pPr>
        <w:pStyle w:val="Definition-Field2"/>
      </w:pPr>
      <w:r>
        <w:t>In Word, for a referenced numbered paragraph, \r inserts the paragraph number of the bookmarked paragraph in relative context, or rela</w:t>
      </w:r>
      <w:r>
        <w:t>tive to its position in the numbering scheme without trailing periods.</w:t>
      </w:r>
    </w:p>
    <w:p w:rsidR="00024C0A" w:rsidRDefault="00694C0F">
      <w:r>
        <w:t>[Example:</w:t>
      </w:r>
    </w:p>
    <w:p w:rsidR="00024C0A" w:rsidRDefault="00694C0F">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5.2</w:t>
      </w:r>
      <w:r>
        <w:t>. end example]</w:t>
      </w:r>
    </w:p>
    <w:p w:rsidR="00024C0A" w:rsidRDefault="00694C0F">
      <w:pPr>
        <w:pStyle w:val="Definition-Field"/>
      </w:pPr>
      <w:r>
        <w:t xml:space="preserve">f.   </w:t>
      </w:r>
      <w:r>
        <w:rPr>
          <w:i/>
        </w:rPr>
        <w:t>The standard provides insuffici</w:t>
      </w:r>
      <w:r>
        <w:rPr>
          <w:i/>
        </w:rPr>
        <w:t>ent information to explain how the \w switch affects the REF field value.</w:t>
      </w:r>
    </w:p>
    <w:p w:rsidR="00024C0A" w:rsidRDefault="00694C0F">
      <w:pPr>
        <w:pStyle w:val="Definition-Field2"/>
      </w:pPr>
      <w:r>
        <w:t xml:space="preserve">In Word, for a referenced numbered paragraph, \w causes the field result to be the entire paragraph number without trailing periods, regardless of the location of the </w:t>
      </w:r>
      <w:r>
        <w:rPr>
          <w:rStyle w:val="InlineCode"/>
        </w:rPr>
        <w:t>REF</w:t>
      </w:r>
      <w:r>
        <w:t xml:space="preserve"> field.</w:t>
      </w:r>
    </w:p>
    <w:p w:rsidR="00024C0A" w:rsidRDefault="00694C0F">
      <w:r>
        <w:t>[Exa</w:t>
      </w:r>
      <w:r>
        <w:t>mple:</w:t>
      </w:r>
    </w:p>
    <w:p w:rsidR="00024C0A" w:rsidRDefault="00694C0F">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rsidR="00024C0A" w:rsidRDefault="00694C0F">
      <w:pPr>
        <w:pStyle w:val="Definition-Field"/>
      </w:pPr>
      <w:r>
        <w:t xml:space="preserve">g.   </w:t>
      </w:r>
      <w:r>
        <w:rPr>
          <w:i/>
        </w:rPr>
        <w:t xml:space="preserve">The standard says that a text entity in a field that does not match a known field instruction will be </w:t>
      </w:r>
      <w:r>
        <w:rPr>
          <w:i/>
        </w:rPr>
        <w:t>interpreted as a REF field.</w:t>
      </w:r>
    </w:p>
    <w:p w:rsidR="00024C0A" w:rsidRDefault="00694C0F">
      <w:pPr>
        <w:pStyle w:val="Definition-Field2"/>
      </w:pPr>
      <w:r>
        <w:t>In addition to not allowing known field instructions as REF fields, Word also disallows the following names to be used as automatic bookmarks. These reserved names must be prefaced with REF.</w:t>
      </w:r>
    </w:p>
    <w:p w:rsidR="00024C0A" w:rsidRDefault="00694C0F">
      <w:pPr>
        <w:pStyle w:val="ListParagraph"/>
        <w:numPr>
          <w:ilvl w:val="0"/>
          <w:numId w:val="63"/>
        </w:numPr>
        <w:ind w:left="720"/>
        <w:contextualSpacing/>
      </w:pPr>
      <w:r>
        <w:t>ADDIN</w:t>
      </w:r>
    </w:p>
    <w:p w:rsidR="00024C0A" w:rsidRDefault="00694C0F">
      <w:pPr>
        <w:pStyle w:val="ListParagraph"/>
        <w:numPr>
          <w:ilvl w:val="0"/>
          <w:numId w:val="63"/>
        </w:numPr>
        <w:ind w:left="720"/>
        <w:contextualSpacing/>
      </w:pPr>
      <w:r>
        <w:t>CONTROL</w:t>
      </w:r>
    </w:p>
    <w:p w:rsidR="00024C0A" w:rsidRDefault="00694C0F">
      <w:pPr>
        <w:pStyle w:val="ListParagraph"/>
        <w:numPr>
          <w:ilvl w:val="0"/>
          <w:numId w:val="63"/>
        </w:numPr>
        <w:ind w:left="720"/>
        <w:contextualSpacing/>
      </w:pPr>
      <w:r>
        <w:t>DATA</w:t>
      </w:r>
    </w:p>
    <w:p w:rsidR="00024C0A" w:rsidRDefault="00694C0F">
      <w:pPr>
        <w:pStyle w:val="ListParagraph"/>
        <w:numPr>
          <w:ilvl w:val="0"/>
          <w:numId w:val="63"/>
        </w:numPr>
        <w:ind w:left="720"/>
        <w:contextualSpacing/>
      </w:pPr>
      <w:r>
        <w:t>DISPLAYNFC</w:t>
      </w:r>
    </w:p>
    <w:p w:rsidR="00024C0A" w:rsidRDefault="00694C0F">
      <w:pPr>
        <w:pStyle w:val="ListParagraph"/>
        <w:numPr>
          <w:ilvl w:val="0"/>
          <w:numId w:val="63"/>
        </w:numPr>
        <w:ind w:left="720"/>
        <w:contextualSpacing/>
      </w:pPr>
      <w:r>
        <w:t>EMBED</w:t>
      </w:r>
    </w:p>
    <w:p w:rsidR="00024C0A" w:rsidRDefault="00694C0F">
      <w:pPr>
        <w:pStyle w:val="ListParagraph"/>
        <w:numPr>
          <w:ilvl w:val="0"/>
          <w:numId w:val="63"/>
        </w:numPr>
        <w:ind w:left="720"/>
        <w:contextualSpacing/>
      </w:pPr>
      <w:r>
        <w:t>FTNREF</w:t>
      </w:r>
    </w:p>
    <w:p w:rsidR="00024C0A" w:rsidRDefault="00694C0F">
      <w:pPr>
        <w:pStyle w:val="ListParagraph"/>
        <w:numPr>
          <w:ilvl w:val="0"/>
          <w:numId w:val="63"/>
        </w:numPr>
        <w:ind w:left="720"/>
        <w:contextualSpacing/>
      </w:pPr>
      <w:r>
        <w:t>HTMLCONTROL</w:t>
      </w:r>
    </w:p>
    <w:p w:rsidR="00024C0A" w:rsidRDefault="00694C0F">
      <w:pPr>
        <w:pStyle w:val="ListParagraph"/>
        <w:numPr>
          <w:ilvl w:val="0"/>
          <w:numId w:val="63"/>
        </w:numPr>
        <w:ind w:left="720"/>
        <w:contextualSpacing/>
      </w:pPr>
      <w:r>
        <w:t>SUBSCRIBER</w:t>
      </w:r>
    </w:p>
    <w:p w:rsidR="00024C0A" w:rsidRDefault="00694C0F">
      <w:pPr>
        <w:pStyle w:val="Heading3"/>
      </w:pPr>
      <w:bookmarkStart w:id="1007" w:name="section_a39e60af18344a42b64717ae5c794732"/>
      <w:bookmarkStart w:id="1008" w:name="_Toc12260564"/>
      <w:r>
        <w:lastRenderedPageBreak/>
        <w:t>Part 1 Section 17.16.5.52, REVNUM</w:t>
      </w:r>
      <w:bookmarkEnd w:id="1007"/>
      <w:bookmarkEnd w:id="1008"/>
      <w:r>
        <w:fldChar w:fldCharType="begin"/>
      </w:r>
      <w:r>
        <w:instrText xml:space="preserve"> XE "REVNUM" </w:instrText>
      </w:r>
      <w:r>
        <w:fldChar w:fldCharType="end"/>
      </w:r>
    </w:p>
    <w:p w:rsidR="00024C0A" w:rsidRDefault="00694C0F">
      <w:pPr>
        <w:pStyle w:val="Definition-Field"/>
      </w:pPr>
      <w:r>
        <w:t xml:space="preserve">a.   </w:t>
      </w:r>
      <w:r>
        <w:rPr>
          <w:i/>
        </w:rPr>
        <w:t>The standard says that no switches are used on the REVNUM field.</w:t>
      </w:r>
    </w:p>
    <w:p w:rsidR="00024C0A" w:rsidRDefault="00694C0F">
      <w:pPr>
        <w:pStyle w:val="Definition-Field2"/>
      </w:pPr>
      <w:r>
        <w:t>Word allows both numeric and general formatting switches for the REVNUM field.</w:t>
      </w:r>
    </w:p>
    <w:p w:rsidR="00024C0A" w:rsidRDefault="00694C0F">
      <w:pPr>
        <w:pStyle w:val="Heading3"/>
      </w:pPr>
      <w:bookmarkStart w:id="1009" w:name="section_ec6ce3a5b5c94683af962367fbcd9d08"/>
      <w:bookmarkStart w:id="1010" w:name="_Toc12260565"/>
      <w:r>
        <w:t>Part 1 Section 17.16.5.53, S</w:t>
      </w:r>
      <w:r>
        <w:t>AVEDATE</w:t>
      </w:r>
      <w:bookmarkEnd w:id="1009"/>
      <w:bookmarkEnd w:id="1010"/>
      <w:r>
        <w:fldChar w:fldCharType="begin"/>
      </w:r>
      <w:r>
        <w:instrText xml:space="preserve"> XE "SAVEDATE" </w:instrText>
      </w:r>
      <w:r>
        <w:fldChar w:fldCharType="end"/>
      </w:r>
    </w:p>
    <w:p w:rsidR="00024C0A" w:rsidRDefault="00694C0F">
      <w:pPr>
        <w:pStyle w:val="Definition-Field"/>
      </w:pPr>
      <w:r>
        <w:t xml:space="preserve">a.   </w:t>
      </w:r>
      <w:r>
        <w:rPr>
          <w:i/>
        </w:rPr>
        <w:t>The standard says the default calendar for the SAVEDATE field is Gregorian calendar.</w:t>
      </w:r>
    </w:p>
    <w:p w:rsidR="00024C0A" w:rsidRDefault="00694C0F">
      <w:pPr>
        <w:pStyle w:val="Definition-Field2"/>
      </w:pPr>
      <w:r>
        <w:t>In Word, the default calendar for the SAVEDATE field depends on the locale.</w:t>
      </w:r>
    </w:p>
    <w:p w:rsidR="00024C0A" w:rsidRDefault="00694C0F">
      <w:pPr>
        <w:pStyle w:val="Heading3"/>
      </w:pPr>
      <w:bookmarkStart w:id="1011" w:name="section_c4afd4cb3be247439ef6e730081add8e"/>
      <w:bookmarkStart w:id="1012" w:name="_Toc12260566"/>
      <w:r>
        <w:t>Part 1 Section 17.16.5.54, SECTION</w:t>
      </w:r>
      <w:bookmarkEnd w:id="1011"/>
      <w:bookmarkEnd w:id="1012"/>
      <w:r>
        <w:fldChar w:fldCharType="begin"/>
      </w:r>
      <w:r>
        <w:instrText xml:space="preserve"> XE "SECTION" </w:instrText>
      </w:r>
      <w:r>
        <w:fldChar w:fldCharType="end"/>
      </w:r>
    </w:p>
    <w:p w:rsidR="00024C0A" w:rsidRDefault="00694C0F">
      <w:pPr>
        <w:pStyle w:val="Definition-Field"/>
      </w:pPr>
      <w:r>
        <w:t xml:space="preserve">a.   </w:t>
      </w:r>
      <w:r>
        <w:rPr>
          <w:i/>
        </w:rPr>
        <w:t>The stand</w:t>
      </w:r>
      <w:r>
        <w:rPr>
          <w:i/>
        </w:rPr>
        <w:t>ard says that the SECTION field only allows switches general-formatting-switches.</w:t>
      </w:r>
    </w:p>
    <w:p w:rsidR="00024C0A" w:rsidRDefault="00694C0F">
      <w:pPr>
        <w:pStyle w:val="Definition-Field2"/>
      </w:pPr>
      <w:r>
        <w:t>In Word, the SECTION field also allows numeric-formatting-switches.</w:t>
      </w:r>
    </w:p>
    <w:p w:rsidR="00024C0A" w:rsidRDefault="00694C0F">
      <w:pPr>
        <w:pStyle w:val="Heading3"/>
      </w:pPr>
      <w:bookmarkStart w:id="1013" w:name="section_a5a21cd9a4b7494cac6b5006b7772c3f"/>
      <w:bookmarkStart w:id="1014" w:name="_Toc12260567"/>
      <w:r>
        <w:t>Part 1 Section 17.16.5.55, SECTIONPAGES</w:t>
      </w:r>
      <w:bookmarkEnd w:id="1013"/>
      <w:bookmarkEnd w:id="1014"/>
      <w:r>
        <w:fldChar w:fldCharType="begin"/>
      </w:r>
      <w:r>
        <w:instrText xml:space="preserve"> XE "SECTIONPAGES" </w:instrText>
      </w:r>
      <w:r>
        <w:fldChar w:fldCharType="end"/>
      </w:r>
    </w:p>
    <w:p w:rsidR="00024C0A" w:rsidRDefault="00694C0F">
      <w:pPr>
        <w:pStyle w:val="Definition-Field"/>
      </w:pPr>
      <w:r>
        <w:t xml:space="preserve">a.   </w:t>
      </w:r>
      <w:r>
        <w:rPr>
          <w:i/>
        </w:rPr>
        <w:t>The standard says the SECTIONPAGES field</w:t>
      </w:r>
      <w:r>
        <w:rPr>
          <w:i/>
        </w:rPr>
        <w:t xml:space="preserve"> value is the number of the current page within the current section.</w:t>
      </w:r>
    </w:p>
    <w:p w:rsidR="00024C0A" w:rsidRDefault="00694C0F">
      <w:pPr>
        <w:pStyle w:val="Definition-Field2"/>
      </w:pPr>
      <w:r>
        <w:t>In Word, the SECTIONPAGES field value is the number of pages in the current section.</w:t>
      </w:r>
    </w:p>
    <w:p w:rsidR="00024C0A" w:rsidRDefault="00694C0F">
      <w:pPr>
        <w:pStyle w:val="Definition-Field"/>
      </w:pPr>
      <w:r>
        <w:t xml:space="preserve">b.   </w:t>
      </w:r>
      <w:r>
        <w:rPr>
          <w:i/>
        </w:rPr>
        <w:t>The standard says that the only switches the SECTIONPAGES field can take are general-formatting-s</w:t>
      </w:r>
      <w:r>
        <w:rPr>
          <w:i/>
        </w:rPr>
        <w:t>witches.</w:t>
      </w:r>
    </w:p>
    <w:p w:rsidR="00024C0A" w:rsidRDefault="00694C0F">
      <w:pPr>
        <w:pStyle w:val="Definition-Field2"/>
      </w:pPr>
      <w:r>
        <w:t>In Word, the SECTIONPAGES field can also take a numeric-formatting-switch.</w:t>
      </w:r>
    </w:p>
    <w:p w:rsidR="00024C0A" w:rsidRDefault="00694C0F">
      <w:pPr>
        <w:pStyle w:val="Heading3"/>
      </w:pPr>
      <w:bookmarkStart w:id="1015" w:name="section_a591c06028004699b1f4dbb0c4374557"/>
      <w:bookmarkStart w:id="1016" w:name="_Toc12260568"/>
      <w:r>
        <w:t>Part 1 Section 17.16.5.56, SEQ</w:t>
      </w:r>
      <w:bookmarkEnd w:id="1015"/>
      <w:bookmarkEnd w:id="1016"/>
      <w:r>
        <w:fldChar w:fldCharType="begin"/>
      </w:r>
      <w:r>
        <w:instrText xml:space="preserve"> XE "SEQ" </w:instrText>
      </w:r>
      <w:r>
        <w:fldChar w:fldCharType="end"/>
      </w:r>
    </w:p>
    <w:p w:rsidR="00024C0A" w:rsidRDefault="00694C0F">
      <w:pPr>
        <w:pStyle w:val="Definition-Field"/>
      </w:pPr>
      <w:r>
        <w:t xml:space="preserve">a.   </w:t>
      </w:r>
      <w:r>
        <w:rPr>
          <w:i/>
        </w:rPr>
        <w:t>The standard does not specify the meaning of the optional bookmark name in the SEQ field.</w:t>
      </w:r>
    </w:p>
    <w:p w:rsidR="00024C0A" w:rsidRDefault="00694C0F">
      <w:pPr>
        <w:pStyle w:val="Definition-Field2"/>
      </w:pPr>
      <w:r>
        <w:t xml:space="preserve">In Word, when a bookmark name is </w:t>
      </w:r>
      <w:r>
        <w:t>used in an SEQ field, the SEQ field displays the result of the SEQ field nearest the bookmark in the document.</w:t>
      </w:r>
    </w:p>
    <w:p w:rsidR="00024C0A" w:rsidRDefault="00694C0F">
      <w:pPr>
        <w:pStyle w:val="Definition-Field"/>
      </w:pPr>
      <w:r>
        <w:t xml:space="preserve">b.   </w:t>
      </w:r>
      <w:r>
        <w:rPr>
          <w:i/>
        </w:rPr>
        <w:t>The standard says that the \s switch resets the sequence number to the built-in (integer) heading level specified.</w:t>
      </w:r>
    </w:p>
    <w:p w:rsidR="00024C0A" w:rsidRDefault="00694C0F">
      <w:pPr>
        <w:pStyle w:val="Definition-Field2"/>
      </w:pPr>
      <w:r>
        <w:t>In Word, the \s switch re</w:t>
      </w:r>
      <w:r>
        <w:t>sets the sequence following a heading of the specified level.</w:t>
      </w:r>
    </w:p>
    <w:p w:rsidR="00024C0A" w:rsidRDefault="00694C0F">
      <w:pPr>
        <w:pStyle w:val="Heading3"/>
      </w:pPr>
      <w:bookmarkStart w:id="1017" w:name="section_7ceafbd6ebba4a17865bb88d5a6b0930"/>
      <w:bookmarkStart w:id="1018" w:name="_Toc12260569"/>
      <w:r>
        <w:t>Part 1 Section 17.16.5.58, SKIPIF</w:t>
      </w:r>
      <w:bookmarkEnd w:id="1017"/>
      <w:bookmarkEnd w:id="1018"/>
      <w:r>
        <w:fldChar w:fldCharType="begin"/>
      </w:r>
      <w:r>
        <w:instrText xml:space="preserve"> XE "SKIPIF" </w:instrText>
      </w:r>
      <w:r>
        <w:fldChar w:fldCharType="end"/>
      </w:r>
    </w:p>
    <w:p w:rsidR="00024C0A" w:rsidRDefault="00694C0F">
      <w:pPr>
        <w:pStyle w:val="Definition-Field"/>
      </w:pPr>
      <w:r>
        <w:t xml:space="preserve">a.   </w:t>
      </w:r>
      <w:r>
        <w:rPr>
          <w:i/>
        </w:rPr>
        <w:t>The standard makes no mention of wildcards used in the SKIPIF field.</w:t>
      </w:r>
    </w:p>
    <w:p w:rsidR="00024C0A" w:rsidRDefault="00694C0F">
      <w:r>
        <w:t xml:space="preserve">In Word, if Operator is </w:t>
      </w:r>
      <w:r>
        <w:rPr>
          <w:rStyle w:val="InlineCode"/>
        </w:rPr>
        <w:t>=</w:t>
      </w:r>
      <w:r>
        <w:t xml:space="preserve"> or </w:t>
      </w:r>
      <w:r>
        <w:rPr>
          <w:rStyle w:val="InlineCode"/>
        </w:rPr>
        <w:t>&lt;&gt;</w:t>
      </w:r>
      <w:r>
        <w:t>, Expression-2 can contain a question ma</w:t>
      </w:r>
      <w:r>
        <w:t>rk (?) to represent any single character, or an asterisk (*) to represent any string of characters. The expression shall be enclosed in quotation marks so that it is compared as a character string. If an asterisk is used in Expression-2, the portion of Exp</w:t>
      </w:r>
      <w:r>
        <w:t>ression-1 that corresponds to the asterisk, plus any remaining characters in Expression-2, shall NOT exceed 128 characters.</w:t>
      </w:r>
    </w:p>
    <w:p w:rsidR="00024C0A" w:rsidRDefault="00694C0F">
      <w:pPr>
        <w:pStyle w:val="Definition-Field"/>
      </w:pPr>
      <w:r>
        <w:t xml:space="preserve">b.   </w:t>
      </w:r>
      <w:r>
        <w:rPr>
          <w:i/>
        </w:rPr>
        <w:t>The standard does not specify the expression that is evaluated for the comparison.</w:t>
      </w:r>
    </w:p>
    <w:p w:rsidR="00024C0A" w:rsidRDefault="00694C0F">
      <w:pPr>
        <w:pStyle w:val="Definition-Field2"/>
      </w:pPr>
      <w:r>
        <w:t>Word evaluates the following expression: com</w:t>
      </w:r>
      <w:r>
        <w:t>parison =&gt; expression comparison-operator expression.</w:t>
      </w:r>
    </w:p>
    <w:p w:rsidR="00024C0A" w:rsidRDefault="00694C0F">
      <w:pPr>
        <w:pStyle w:val="Definition-Field"/>
      </w:pPr>
      <w:r>
        <w:lastRenderedPageBreak/>
        <w:t xml:space="preserve">c.   </w:t>
      </w:r>
      <w:r>
        <w:rPr>
          <w:i/>
        </w:rPr>
        <w:t>The Standard states that quotation marks shall be around the expression using wildcard characters.</w:t>
      </w:r>
    </w:p>
    <w:p w:rsidR="00024C0A" w:rsidRDefault="00694C0F">
      <w:pPr>
        <w:pStyle w:val="Definition-Field2"/>
      </w:pPr>
      <w:r>
        <w:t>Word does not require quotation marks surrounding expressions with wildcard characters.</w:t>
      </w:r>
    </w:p>
    <w:p w:rsidR="00024C0A" w:rsidRDefault="00694C0F">
      <w:pPr>
        <w:pStyle w:val="Definition-Field"/>
      </w:pPr>
      <w:r>
        <w:t xml:space="preserve">d.   </w:t>
      </w:r>
      <w:r>
        <w:rPr>
          <w:i/>
        </w:rPr>
        <w:t>The S</w:t>
      </w:r>
      <w:r>
        <w:rPr>
          <w:i/>
        </w:rPr>
        <w:t>tandard does not specify restrictions on the length of the wildcard expansion.</w:t>
      </w:r>
    </w:p>
    <w:p w:rsidR="00024C0A" w:rsidRDefault="00694C0F">
      <w:pPr>
        <w:pStyle w:val="Definition-Field2"/>
      </w:pPr>
      <w:r>
        <w:t xml:space="preserve">In Word, if an asterisk is used in Expression-2, the portion of Expression-1 that corresponds to the asterisk plus any remaining characters in Expression-2 shall NOT exceed 128 </w:t>
      </w:r>
      <w:r>
        <w:t>characters.</w:t>
      </w:r>
    </w:p>
    <w:p w:rsidR="00024C0A" w:rsidRDefault="00694C0F">
      <w:pPr>
        <w:pStyle w:val="Heading3"/>
      </w:pPr>
      <w:bookmarkStart w:id="1019" w:name="section_0f5599c33b124970931d659e489369f4"/>
      <w:bookmarkStart w:id="1020" w:name="_Toc12260570"/>
      <w:r>
        <w:t>Part 1 Section 17.16.5.59, STYLEREF</w:t>
      </w:r>
      <w:bookmarkEnd w:id="1019"/>
      <w:bookmarkEnd w:id="1020"/>
      <w:r>
        <w:fldChar w:fldCharType="begin"/>
      </w:r>
      <w:r>
        <w:instrText xml:space="preserve"> XE "STYLEREF" </w:instrText>
      </w:r>
      <w:r>
        <w:fldChar w:fldCharType="end"/>
      </w:r>
    </w:p>
    <w:p w:rsidR="00024C0A" w:rsidRDefault="00694C0F">
      <w:pPr>
        <w:pStyle w:val="Definition-Field"/>
      </w:pPr>
      <w:r>
        <w:t xml:space="preserve">a.   </w:t>
      </w:r>
      <w:r>
        <w:rPr>
          <w:i/>
        </w:rPr>
        <w:t>The standard does not fully define what switch \n means in a STYLEREF field.</w:t>
      </w:r>
    </w:p>
    <w:p w:rsidR="00024C0A" w:rsidRDefault="00694C0F">
      <w:r>
        <w:t xml:space="preserve">In Word, for a referenced numbered paragraph, \n causes the field result to be the paragraph number without </w:t>
      </w:r>
      <w:r>
        <w:t>trailing periods. No information about prior numbered levels is displayed unless it is included as part of the current level.</w:t>
      </w:r>
    </w:p>
    <w:p w:rsidR="00024C0A" w:rsidRDefault="00694C0F">
      <w:r>
        <w:t xml:space="preserve">[Example: If the referenced paragraph is numbered </w:t>
      </w:r>
      <w:r>
        <w:rPr>
          <w:rStyle w:val="InlineCode"/>
        </w:rPr>
        <w:t>2.7.1</w:t>
      </w:r>
      <w:r>
        <w:t xml:space="preserve">, the field shall result in </w:t>
      </w:r>
      <w:r>
        <w:rPr>
          <w:rStyle w:val="InlineCode"/>
        </w:rPr>
        <w:t>1</w:t>
      </w:r>
      <w:r>
        <w:t>. end example]</w:t>
      </w:r>
    </w:p>
    <w:p w:rsidR="00024C0A" w:rsidRDefault="00694C0F">
      <w:pPr>
        <w:pStyle w:val="Definition-Field"/>
      </w:pPr>
      <w:r>
        <w:t xml:space="preserve">b.   </w:t>
      </w:r>
      <w:r>
        <w:rPr>
          <w:i/>
        </w:rPr>
        <w:t>The standard does not ment</w:t>
      </w:r>
      <w:r>
        <w:rPr>
          <w:i/>
        </w:rPr>
        <w:t>ion shorthand for how heading styles may be used.</w:t>
      </w:r>
    </w:p>
    <w:p w:rsidR="00024C0A" w:rsidRDefault="00694C0F">
      <w:pPr>
        <w:pStyle w:val="Definition-Field2"/>
      </w:pPr>
      <w:r>
        <w:t>Word interprets 1 as heading 1, 2 as heading 2, ... 9 as heading 9 in field-argument.</w:t>
      </w:r>
    </w:p>
    <w:p w:rsidR="00024C0A" w:rsidRDefault="00694C0F">
      <w:pPr>
        <w:pStyle w:val="Definition-Field"/>
      </w:pPr>
      <w:r>
        <w:t xml:space="preserve">c.   </w:t>
      </w:r>
      <w:r>
        <w:rPr>
          <w:i/>
        </w:rPr>
        <w:t>The standard specifies different search algorithms for a STYLEREF field in a header for a printed document versus a</w:t>
      </w:r>
      <w:r>
        <w:rPr>
          <w:i/>
        </w:rPr>
        <w:t>n electronic document.</w:t>
      </w:r>
    </w:p>
    <w:p w:rsidR="00024C0A" w:rsidRDefault="00694C0F">
      <w:pPr>
        <w:pStyle w:val="Definition-Field2"/>
      </w:pPr>
      <w:r>
        <w:t>When a STYLEREF field is in a header in an electronic document, Word uses the search algorithm specified for a STYLEREF field in a header for a printed document.</w:t>
      </w:r>
    </w:p>
    <w:p w:rsidR="00024C0A" w:rsidRDefault="00694C0F">
      <w:pPr>
        <w:pStyle w:val="Definition-Field"/>
      </w:pPr>
      <w:r>
        <w:t xml:space="preserve">d.   </w:t>
      </w:r>
      <w:r>
        <w:rPr>
          <w:i/>
        </w:rPr>
        <w:t>The standard does not fully define what switch \r means in a STYLE</w:t>
      </w:r>
      <w:r>
        <w:rPr>
          <w:i/>
        </w:rPr>
        <w:t>REF field.</w:t>
      </w:r>
    </w:p>
    <w:p w:rsidR="00024C0A" w:rsidRDefault="00694C0F">
      <w:r>
        <w:t>In Word, for a referenced numbered paragraph, \r inserts the paragraph number of the bookmarked paragraph in relative context, or relative to its position in the numbering scheme without trailing periods.</w:t>
      </w:r>
    </w:p>
    <w:p w:rsidR="00024C0A" w:rsidRDefault="00694C0F">
      <w:r>
        <w:t xml:space="preserve">[Example: If the </w:t>
      </w:r>
      <w:r>
        <w:rPr>
          <w:rStyle w:val="InlineCode"/>
        </w:rPr>
        <w:t>REF</w:t>
      </w:r>
      <w:r>
        <w:t xml:space="preserve"> field is contained </w:t>
      </w:r>
      <w:r>
        <w:t xml:space="preserve">within paragraph </w:t>
      </w:r>
      <w:r>
        <w:rPr>
          <w:rStyle w:val="InlineCode"/>
        </w:rPr>
        <w:t>4.3.1</w:t>
      </w:r>
      <w:r>
        <w:t xml:space="preserve"> and the referenced paragraph is numbered </w:t>
      </w:r>
      <w:r>
        <w:rPr>
          <w:rStyle w:val="InlineCode"/>
        </w:rPr>
        <w:t>4.5.2</w:t>
      </w:r>
      <w:r>
        <w:t xml:space="preserve">, the result shall be </w:t>
      </w:r>
      <w:r>
        <w:rPr>
          <w:rStyle w:val="InlineCode"/>
        </w:rPr>
        <w:t>5.2</w:t>
      </w:r>
      <w:r>
        <w:t>. end example]</w:t>
      </w:r>
    </w:p>
    <w:p w:rsidR="00024C0A" w:rsidRDefault="00694C0F">
      <w:pPr>
        <w:pStyle w:val="Definition-Field"/>
      </w:pPr>
      <w:r>
        <w:t xml:space="preserve">e.   </w:t>
      </w:r>
      <w:r>
        <w:rPr>
          <w:i/>
        </w:rPr>
        <w:t>The standard does not fully define what switch \w means in a STYLEREF field.</w:t>
      </w:r>
    </w:p>
    <w:p w:rsidR="00024C0A" w:rsidRDefault="00694C0F">
      <w:r>
        <w:t>In Word, for a referenced numbered paragraph, \w causes the field</w:t>
      </w:r>
      <w:r>
        <w:t xml:space="preserve"> result to be the entire paragraph number without trailing periods, regardless of the location of the </w:t>
      </w:r>
      <w:r>
        <w:rPr>
          <w:rStyle w:val="InlineCode"/>
        </w:rPr>
        <w:t>REF</w:t>
      </w:r>
      <w:r>
        <w:t xml:space="preserve"> field.</w:t>
      </w:r>
    </w:p>
    <w:p w:rsidR="00024C0A" w:rsidRDefault="00694C0F">
      <w:r>
        <w:t xml:space="preserve">[Example: 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w:t>
      </w:r>
      <w:r>
        <w:t>xample]</w:t>
      </w:r>
    </w:p>
    <w:p w:rsidR="00024C0A" w:rsidRDefault="00694C0F">
      <w:pPr>
        <w:pStyle w:val="Definition-Field"/>
      </w:pPr>
      <w:r>
        <w:t xml:space="preserve">f.   </w:t>
      </w:r>
      <w:r>
        <w:rPr>
          <w:i/>
        </w:rPr>
        <w:t>The standard does not fully define what switch \l means in a STYLEREF field.</w:t>
      </w:r>
    </w:p>
    <w:p w:rsidR="00024C0A" w:rsidRDefault="00694C0F">
      <w:pPr>
        <w:pStyle w:val="Definition-Field2"/>
      </w:pPr>
      <w:r>
        <w:t>In Word, if the STYLEREF field is in a header, then this switch causes the search to go from the bottom of the page to the beginning of the document and then to the e</w:t>
      </w:r>
      <w:r>
        <w:t>nd of the document; otherwise, it has no effect.</w:t>
      </w:r>
    </w:p>
    <w:p w:rsidR="00024C0A" w:rsidRDefault="00694C0F">
      <w:pPr>
        <w:pStyle w:val="Heading3"/>
      </w:pPr>
      <w:bookmarkStart w:id="1021" w:name="section_861ec14e4e1d4e82b68335a6bc07903d"/>
      <w:bookmarkStart w:id="1022" w:name="_Toc12260571"/>
      <w:r>
        <w:t>Part 1 Section 17.16.5.60, SUBJECT</w:t>
      </w:r>
      <w:bookmarkEnd w:id="1021"/>
      <w:bookmarkEnd w:id="1022"/>
      <w:r>
        <w:fldChar w:fldCharType="begin"/>
      </w:r>
      <w:r>
        <w:instrText xml:space="preserve"> XE "SUBJECT" </w:instrText>
      </w:r>
      <w:r>
        <w:fldChar w:fldCharType="end"/>
      </w:r>
    </w:p>
    <w:p w:rsidR="00024C0A" w:rsidRDefault="00694C0F">
      <w:pPr>
        <w:pStyle w:val="Definition-Field"/>
      </w:pPr>
      <w:r>
        <w:t xml:space="preserve">a.   </w:t>
      </w:r>
      <w:r>
        <w:rPr>
          <w:i/>
        </w:rPr>
        <w:t>The standard says the SUBJECT field must have a general-formatting-switch.</w:t>
      </w:r>
    </w:p>
    <w:p w:rsidR="00024C0A" w:rsidRDefault="00694C0F">
      <w:pPr>
        <w:pStyle w:val="Definition-Field2"/>
      </w:pPr>
      <w:r>
        <w:t xml:space="preserve">In Word, using a general-formatting switch with the SUBJECT field is </w:t>
      </w:r>
      <w:r>
        <w:t>optional.</w:t>
      </w:r>
    </w:p>
    <w:p w:rsidR="00024C0A" w:rsidRDefault="00694C0F">
      <w:pPr>
        <w:pStyle w:val="Heading3"/>
      </w:pPr>
      <w:bookmarkStart w:id="1023" w:name="section_32d1142aeb7a4ce8ac093b73e1de86b7"/>
      <w:bookmarkStart w:id="1024" w:name="_Toc12260572"/>
      <w:r>
        <w:lastRenderedPageBreak/>
        <w:t>Part 1 Section 17.16.5.61, SYMBOL</w:t>
      </w:r>
      <w:bookmarkEnd w:id="1023"/>
      <w:bookmarkEnd w:id="1024"/>
      <w:r>
        <w:fldChar w:fldCharType="begin"/>
      </w:r>
      <w:r>
        <w:instrText xml:space="preserve"> XE "SYMBOL" </w:instrText>
      </w:r>
      <w:r>
        <w:fldChar w:fldCharType="end"/>
      </w:r>
    </w:p>
    <w:p w:rsidR="00024C0A" w:rsidRDefault="00694C0F">
      <w:pPr>
        <w:pStyle w:val="Definition-Field"/>
      </w:pPr>
      <w:r>
        <w:t xml:space="preserve">a.   </w:t>
      </w:r>
      <w:r>
        <w:rPr>
          <w:i/>
        </w:rPr>
        <w:t>The standard says the \j switch interprets text in the field argument as the value of a SHIFT-JIS character.</w:t>
      </w:r>
    </w:p>
    <w:p w:rsidR="00024C0A" w:rsidRDefault="00694C0F">
      <w:pPr>
        <w:pStyle w:val="Definition-Field2"/>
      </w:pPr>
      <w:r>
        <w:t xml:space="preserve">If the \j switch is used with characters 0x5C or 0x7E, Word does not display their </w:t>
      </w:r>
      <w:r>
        <w:t>SHIFT-JIS substitutions.</w:t>
      </w:r>
    </w:p>
    <w:p w:rsidR="00024C0A" w:rsidRDefault="00694C0F">
      <w:pPr>
        <w:pStyle w:val="Definition-Field"/>
      </w:pPr>
      <w:r>
        <w:t xml:space="preserve">b.   </w:t>
      </w:r>
      <w:r>
        <w:rPr>
          <w:i/>
        </w:rPr>
        <w:t>The standard places no restrictions on the Unicode characters which may be used with the \u switch in the SYMBOL field.</w:t>
      </w:r>
    </w:p>
    <w:p w:rsidR="00024C0A" w:rsidRDefault="00694C0F">
      <w:pPr>
        <w:pStyle w:val="Definition-Field2"/>
      </w:pPr>
      <w:r>
        <w:t xml:space="preserve">Using the \u switch, Word will not display surrogate pairs or Unicode characters outside of Unicode plane </w:t>
      </w:r>
      <w:r>
        <w:t>0 (Basic Multilingual Plane).  If a character is specified outside of plane 0, the value will be truncated to one within plane 0.</w:t>
      </w:r>
    </w:p>
    <w:p w:rsidR="00024C0A" w:rsidRDefault="00694C0F">
      <w:pPr>
        <w:pStyle w:val="Definition-Field"/>
      </w:pPr>
      <w:r>
        <w:t xml:space="preserve">c.   </w:t>
      </w:r>
      <w:r>
        <w:rPr>
          <w:i/>
        </w:rPr>
        <w:t>The standard allows the SYMBOL field to be nested inside another field.</w:t>
      </w:r>
    </w:p>
    <w:p w:rsidR="00024C0A" w:rsidRDefault="00694C0F">
      <w:pPr>
        <w:pStyle w:val="Definition-Field2"/>
      </w:pPr>
      <w:r>
        <w:t>In Word, if the SYMBOL field is nested inside ano</w:t>
      </w:r>
      <w:r>
        <w:t>ther field, no result is displayed.</w:t>
      </w:r>
    </w:p>
    <w:p w:rsidR="00024C0A" w:rsidRDefault="00694C0F">
      <w:pPr>
        <w:pStyle w:val="Heading3"/>
      </w:pPr>
      <w:bookmarkStart w:id="1025" w:name="section_7fe21147206c484f9a5dccb42e2b75d1"/>
      <w:bookmarkStart w:id="1026" w:name="_Toc12260573"/>
      <w:r>
        <w:t>Part 1 Section 17.16.5.62, TA</w:t>
      </w:r>
      <w:bookmarkEnd w:id="1025"/>
      <w:bookmarkEnd w:id="1026"/>
      <w:r>
        <w:fldChar w:fldCharType="begin"/>
      </w:r>
      <w:r>
        <w:instrText xml:space="preserve"> XE "TA" </w:instrText>
      </w:r>
      <w:r>
        <w:fldChar w:fldCharType="end"/>
      </w:r>
    </w:p>
    <w:p w:rsidR="00024C0A" w:rsidRDefault="00694C0F">
      <w:pPr>
        <w:pStyle w:val="Definition-Field"/>
      </w:pPr>
      <w:r>
        <w:t xml:space="preserve">a.   </w:t>
      </w:r>
      <w:r>
        <w:rPr>
          <w:i/>
        </w:rPr>
        <w:t>The standard does not explain how a TOA field uses TA fields.</w:t>
      </w:r>
    </w:p>
    <w:p w:rsidR="00024C0A" w:rsidRDefault="00694C0F">
      <w:pPr>
        <w:pStyle w:val="Definition-Field2"/>
      </w:pPr>
      <w:r>
        <w:t>In Word, the TOA field will only display an entry for a set of TA fields (containing the same entry for short ci</w:t>
      </w:r>
      <w:r>
        <w:t>tation and category) if both a long citation and category are defined.</w:t>
      </w:r>
    </w:p>
    <w:p w:rsidR="00024C0A" w:rsidRDefault="00694C0F">
      <w:pPr>
        <w:pStyle w:val="Definition-Field"/>
      </w:pPr>
      <w:r>
        <w:t xml:space="preserve">b.   </w:t>
      </w:r>
      <w:r>
        <w:rPr>
          <w:i/>
        </w:rPr>
        <w:t>The standard says the default value for the \c switch is 1 when omitted.</w:t>
      </w:r>
    </w:p>
    <w:p w:rsidR="00024C0A" w:rsidRDefault="00694C0F">
      <w:pPr>
        <w:pStyle w:val="Definition-Field2"/>
      </w:pPr>
      <w:r>
        <w:t>In Word, there is no default value for the \c switch when omitted.</w:t>
      </w:r>
    </w:p>
    <w:p w:rsidR="00024C0A" w:rsidRDefault="00694C0F">
      <w:pPr>
        <w:pStyle w:val="Heading3"/>
      </w:pPr>
      <w:bookmarkStart w:id="1027" w:name="section_1b90d6fc50354192b867ad4e1e0f86e7"/>
      <w:bookmarkStart w:id="1028" w:name="_Toc12260574"/>
      <w:r>
        <w:t>Part 1 Section 17.16.5.64, TEMPLATE</w:t>
      </w:r>
      <w:bookmarkEnd w:id="1027"/>
      <w:bookmarkEnd w:id="1028"/>
      <w:r>
        <w:fldChar w:fldCharType="begin"/>
      </w:r>
      <w:r>
        <w:instrText xml:space="preserve"> XE "TEMPLATE" </w:instrText>
      </w:r>
      <w:r>
        <w:fldChar w:fldCharType="end"/>
      </w:r>
    </w:p>
    <w:p w:rsidR="00024C0A" w:rsidRDefault="00694C0F">
      <w:pPr>
        <w:pStyle w:val="Definition-Field"/>
      </w:pPr>
      <w:r>
        <w:t xml:space="preserve">a.   </w:t>
      </w:r>
      <w:r>
        <w:rPr>
          <w:i/>
        </w:rPr>
        <w:t>The standard says the TEMPLATE field must use a general-formatting-switch.</w:t>
      </w:r>
    </w:p>
    <w:p w:rsidR="00024C0A" w:rsidRDefault="00694C0F">
      <w:pPr>
        <w:pStyle w:val="Definition-Field2"/>
      </w:pPr>
      <w:r>
        <w:t>In Word, using a general-formatting-switch in the TEMPLATE field is optional.</w:t>
      </w:r>
    </w:p>
    <w:p w:rsidR="00024C0A" w:rsidRDefault="00694C0F">
      <w:pPr>
        <w:pStyle w:val="Heading3"/>
      </w:pPr>
      <w:bookmarkStart w:id="1029" w:name="section_a3c7bbb534f24e52b9e110fe2143d5f6"/>
      <w:bookmarkStart w:id="1030" w:name="_Toc12260575"/>
      <w:r>
        <w:t>Part 1 Section 17.16.5.66, TITLE</w:t>
      </w:r>
      <w:bookmarkEnd w:id="1029"/>
      <w:bookmarkEnd w:id="1030"/>
      <w:r>
        <w:fldChar w:fldCharType="begin"/>
      </w:r>
      <w:r>
        <w:instrText xml:space="preserve"> XE "TITLE" </w:instrText>
      </w:r>
      <w:r>
        <w:fldChar w:fldCharType="end"/>
      </w:r>
    </w:p>
    <w:p w:rsidR="00024C0A" w:rsidRDefault="00694C0F">
      <w:pPr>
        <w:pStyle w:val="Definition-Field"/>
      </w:pPr>
      <w:r>
        <w:t xml:space="preserve">a.   </w:t>
      </w:r>
      <w:r>
        <w:rPr>
          <w:i/>
        </w:rPr>
        <w:t xml:space="preserve">The standard says the TITLE </w:t>
      </w:r>
      <w:r>
        <w:rPr>
          <w:i/>
        </w:rPr>
        <w:t>field must use a general-formatting-switch.</w:t>
      </w:r>
    </w:p>
    <w:p w:rsidR="00024C0A" w:rsidRDefault="00694C0F">
      <w:pPr>
        <w:pStyle w:val="Definition-Field2"/>
      </w:pPr>
      <w:r>
        <w:t>In Word, using a general-formatting-switch in the TITLE field is optional.</w:t>
      </w:r>
    </w:p>
    <w:p w:rsidR="00024C0A" w:rsidRDefault="00694C0F">
      <w:pPr>
        <w:pStyle w:val="Heading3"/>
      </w:pPr>
      <w:bookmarkStart w:id="1031" w:name="section_034e6e26d25449c29b393767933a923d"/>
      <w:bookmarkStart w:id="1032" w:name="_Toc12260576"/>
      <w:r>
        <w:t>Part 1 Section 17.16.5.67, TOA</w:t>
      </w:r>
      <w:bookmarkEnd w:id="1031"/>
      <w:bookmarkEnd w:id="1032"/>
      <w:r>
        <w:fldChar w:fldCharType="begin"/>
      </w:r>
      <w:r>
        <w:instrText xml:space="preserve"> XE "TOA" </w:instrText>
      </w:r>
      <w:r>
        <w:fldChar w:fldCharType="end"/>
      </w:r>
    </w:p>
    <w:p w:rsidR="00024C0A" w:rsidRDefault="00694C0F">
      <w:pPr>
        <w:pStyle w:val="Definition-Field"/>
      </w:pPr>
      <w:r>
        <w:t xml:space="preserve">a.   </w:t>
      </w:r>
      <w:r>
        <w:rPr>
          <w:i/>
        </w:rPr>
        <w:t xml:space="preserve">The standard does not define a maximum length for the separator switches \d, \e, \g, and </w:t>
      </w:r>
      <w:r>
        <w:rPr>
          <w:i/>
        </w:rPr>
        <w:t>\l.</w:t>
      </w:r>
    </w:p>
    <w:p w:rsidR="00024C0A" w:rsidRDefault="00694C0F">
      <w:pPr>
        <w:pStyle w:val="Definition-Field2"/>
      </w:pPr>
      <w:r>
        <w:t>Word allows at most 15 characters for each of the separator switches \d, \e, \g, and \l.</w:t>
      </w:r>
    </w:p>
    <w:p w:rsidR="00024C0A" w:rsidRDefault="00694C0F">
      <w:pPr>
        <w:pStyle w:val="Heading3"/>
      </w:pPr>
      <w:bookmarkStart w:id="1033" w:name="section_68f1577f0efe453bbad9cfd69f740b30"/>
      <w:bookmarkStart w:id="1034" w:name="_Toc12260577"/>
      <w:r>
        <w:t>Part 1 Section 17.16.5.68, TOC</w:t>
      </w:r>
      <w:bookmarkEnd w:id="1033"/>
      <w:bookmarkEnd w:id="1034"/>
      <w:r>
        <w:fldChar w:fldCharType="begin"/>
      </w:r>
      <w:r>
        <w:instrText xml:space="preserve"> XE "TOC" </w:instrText>
      </w:r>
      <w:r>
        <w:fldChar w:fldCharType="end"/>
      </w:r>
    </w:p>
    <w:p w:rsidR="00024C0A" w:rsidRDefault="00694C0F">
      <w:pPr>
        <w:pStyle w:val="Definition-Field"/>
      </w:pPr>
      <w:r>
        <w:t xml:space="preserve">a.   </w:t>
      </w:r>
      <w:r>
        <w:rPr>
          <w:i/>
        </w:rPr>
        <w:t>The standard does not specify behavior when both the \f and \l switches are used.</w:t>
      </w:r>
    </w:p>
    <w:p w:rsidR="00024C0A" w:rsidRDefault="00694C0F">
      <w:pPr>
        <w:pStyle w:val="Definition-Field2"/>
      </w:pPr>
      <w:r>
        <w:t>In Word, if the \f switch is used</w:t>
      </w:r>
      <w:r>
        <w:t xml:space="preserve"> after the \l switch, the \f switch supersedes the levels specified to include all levels.</w:t>
      </w:r>
    </w:p>
    <w:p w:rsidR="00024C0A" w:rsidRDefault="00694C0F">
      <w:pPr>
        <w:pStyle w:val="Definition-Field"/>
      </w:pPr>
      <w:r>
        <w:t xml:space="preserve">b.   </w:t>
      </w:r>
      <w:r>
        <w:rPr>
          <w:i/>
        </w:rPr>
        <w:t>The standard says that the \p switch argument is a sequence of characters.</w:t>
      </w:r>
    </w:p>
    <w:p w:rsidR="00024C0A" w:rsidRDefault="00694C0F">
      <w:pPr>
        <w:pStyle w:val="Definition-Field2"/>
      </w:pPr>
      <w:r>
        <w:lastRenderedPageBreak/>
        <w:t xml:space="preserve">Word only allows a single character in the argument of the \p switch and ignores any </w:t>
      </w:r>
      <w:r>
        <w:t>additional characters.</w:t>
      </w:r>
    </w:p>
    <w:p w:rsidR="00024C0A" w:rsidRDefault="00694C0F">
      <w:pPr>
        <w:pStyle w:val="Definition-Field"/>
      </w:pPr>
      <w:r>
        <w:t xml:space="preserve">c.   </w:t>
      </w:r>
      <w:r>
        <w:rPr>
          <w:i/>
        </w:rPr>
        <w:t>The standard states that the \o switch will direct the TOC field to include paragraphs formatted with the specified built-in heading style(s).</w:t>
      </w:r>
    </w:p>
    <w:p w:rsidR="00024C0A" w:rsidRDefault="00694C0F">
      <w:pPr>
        <w:pStyle w:val="Definition-Field2"/>
      </w:pPr>
      <w:r>
        <w:t>Word will include any style whose definition includes an outlineLvl ("</w:t>
      </w:r>
      <w:hyperlink r:id="rId107">
        <w:r>
          <w:rPr>
            <w:rStyle w:val="Hyperlink"/>
          </w:rPr>
          <w:t>[ISO/IEC-29500-1]</w:t>
        </w:r>
      </w:hyperlink>
      <w:r>
        <w:t xml:space="preserve"> §17.3.1.20; outlineLvl") paragraph property corresponding to the heading level(s) specified by the \o field argument.</w:t>
      </w:r>
    </w:p>
    <w:p w:rsidR="00024C0A" w:rsidRDefault="00694C0F">
      <w:pPr>
        <w:pStyle w:val="Definition-Field"/>
        <w:rPr>
          <w:i/>
        </w:rPr>
      </w:pPr>
      <w:r>
        <w:t xml:space="preserve">d.   </w:t>
      </w:r>
      <w:r>
        <w:rPr>
          <w:i/>
        </w:rPr>
        <w:t>The standard states that the text in the field-argu</w:t>
      </w:r>
      <w:r>
        <w:rPr>
          <w:i/>
        </w:rPr>
        <w:t>ment of the \t switch specifies those styles as a set of comma-separated doublets, with each doublet being a comma-separated set of style name and table of content level.</w:t>
      </w:r>
    </w:p>
    <w:p w:rsidR="00024C0A" w:rsidRDefault="00694C0F">
      <w:pPr>
        <w:pStyle w:val="Definition-Field2"/>
      </w:pPr>
      <w:r>
        <w:t>Word uses the list</w:t>
      </w:r>
      <w:r>
        <w:rPr>
          <w:i/>
        </w:rPr>
        <w:t>-</w:t>
      </w:r>
      <w:r>
        <w:t xml:space="preserve">separator ("[ISO/IEC-29500-1] §17.16.1; Syntax") between doublets </w:t>
      </w:r>
      <w:r>
        <w:t>and the two items within the doublet. But the list</w:t>
      </w:r>
      <w:r>
        <w:rPr>
          <w:i/>
        </w:rPr>
        <w:t>-</w:t>
      </w:r>
      <w:r>
        <w:t>separator can be other characters besides a comma.</w:t>
      </w:r>
    </w:p>
    <w:p w:rsidR="00024C0A" w:rsidRDefault="00694C0F">
      <w:pPr>
        <w:pStyle w:val="Heading3"/>
      </w:pPr>
      <w:bookmarkStart w:id="1035" w:name="section_bb7ecf827f11485eacabe9237c313497"/>
      <w:bookmarkStart w:id="1036" w:name="_Toc12260578"/>
      <w:r>
        <w:t>Part 1 Section 17.16.5.69, USERADDRESS</w:t>
      </w:r>
      <w:bookmarkEnd w:id="1035"/>
      <w:bookmarkEnd w:id="1036"/>
      <w:r>
        <w:fldChar w:fldCharType="begin"/>
      </w:r>
      <w:r>
        <w:instrText xml:space="preserve"> XE "USERADDRESS" </w:instrText>
      </w:r>
      <w:r>
        <w:fldChar w:fldCharType="end"/>
      </w:r>
    </w:p>
    <w:p w:rsidR="00024C0A" w:rsidRDefault="00694C0F">
      <w:pPr>
        <w:pStyle w:val="Definition-Field"/>
      </w:pPr>
      <w:r>
        <w:t xml:space="preserve">a.   </w:t>
      </w:r>
      <w:r>
        <w:rPr>
          <w:i/>
        </w:rPr>
        <w:t>The standard says a USERADDRESS field must use a general-formatting-switch.</w:t>
      </w:r>
    </w:p>
    <w:p w:rsidR="00024C0A" w:rsidRDefault="00694C0F">
      <w:pPr>
        <w:pStyle w:val="Definition-Field2"/>
      </w:pPr>
      <w:r>
        <w:t>In Word, using</w:t>
      </w:r>
      <w:r>
        <w:t xml:space="preserve"> a general-formatting-switch in a USERADDRESS field is optional.</w:t>
      </w:r>
    </w:p>
    <w:p w:rsidR="00024C0A" w:rsidRDefault="00694C0F">
      <w:pPr>
        <w:pStyle w:val="Heading3"/>
      </w:pPr>
      <w:bookmarkStart w:id="1037" w:name="section_761605aa1b6b45aab7afd3147b353035"/>
      <w:bookmarkStart w:id="1038" w:name="_Toc12260579"/>
      <w:r>
        <w:t>Part 1 Section 17.16.5.70, USERINITIALS</w:t>
      </w:r>
      <w:bookmarkEnd w:id="1037"/>
      <w:bookmarkEnd w:id="1038"/>
      <w:r>
        <w:fldChar w:fldCharType="begin"/>
      </w:r>
      <w:r>
        <w:instrText xml:space="preserve"> XE "USERINITIALS" </w:instrText>
      </w:r>
      <w:r>
        <w:fldChar w:fldCharType="end"/>
      </w:r>
    </w:p>
    <w:p w:rsidR="00024C0A" w:rsidRDefault="00694C0F">
      <w:pPr>
        <w:pStyle w:val="Definition-Field"/>
      </w:pPr>
      <w:r>
        <w:t xml:space="preserve">a.   </w:t>
      </w:r>
      <w:r>
        <w:rPr>
          <w:i/>
        </w:rPr>
        <w:t>The standard says the USERINITIALS field must use a general-formatting-switch.</w:t>
      </w:r>
    </w:p>
    <w:p w:rsidR="00024C0A" w:rsidRDefault="00694C0F">
      <w:pPr>
        <w:pStyle w:val="Definition-Field2"/>
      </w:pPr>
      <w:r>
        <w:t xml:space="preserve">In Word, using a general-formatting-switch in </w:t>
      </w:r>
      <w:r>
        <w:t>a USERINITIALS field is optional.</w:t>
      </w:r>
    </w:p>
    <w:p w:rsidR="00024C0A" w:rsidRDefault="00694C0F">
      <w:pPr>
        <w:pStyle w:val="Heading3"/>
      </w:pPr>
      <w:bookmarkStart w:id="1039" w:name="section_fa983962308148aeaefefd3dc47bf97f"/>
      <w:bookmarkStart w:id="1040" w:name="_Toc12260580"/>
      <w:r>
        <w:t>Part 1 Section 17.16.5.71, USERNAME</w:t>
      </w:r>
      <w:bookmarkEnd w:id="1039"/>
      <w:bookmarkEnd w:id="1040"/>
      <w:r>
        <w:fldChar w:fldCharType="begin"/>
      </w:r>
      <w:r>
        <w:instrText xml:space="preserve"> XE "USERNAME" </w:instrText>
      </w:r>
      <w:r>
        <w:fldChar w:fldCharType="end"/>
      </w:r>
    </w:p>
    <w:p w:rsidR="00024C0A" w:rsidRDefault="00694C0F">
      <w:pPr>
        <w:pStyle w:val="Definition-Field"/>
      </w:pPr>
      <w:r>
        <w:t xml:space="preserve">a.   </w:t>
      </w:r>
      <w:r>
        <w:rPr>
          <w:i/>
        </w:rPr>
        <w:t>The standard says a USERNAME field must use a general-formatting-switch.</w:t>
      </w:r>
    </w:p>
    <w:p w:rsidR="00024C0A" w:rsidRDefault="00694C0F">
      <w:pPr>
        <w:pStyle w:val="Definition-Field2"/>
      </w:pPr>
      <w:r>
        <w:t>In Word, using a general-formatting-switch in a USERNAME field is optional.</w:t>
      </w:r>
    </w:p>
    <w:p w:rsidR="00024C0A" w:rsidRDefault="00694C0F">
      <w:pPr>
        <w:pStyle w:val="Heading3"/>
      </w:pPr>
      <w:bookmarkStart w:id="1041" w:name="section_7b8707b610e94ec597f9fc4672784ffd"/>
      <w:bookmarkStart w:id="1042" w:name="_Toc12260581"/>
      <w:r>
        <w:t xml:space="preserve">Part 1 Section </w:t>
      </w:r>
      <w:r>
        <w:t>17.16.5.72, XE</w:t>
      </w:r>
      <w:bookmarkEnd w:id="1041"/>
      <w:bookmarkEnd w:id="1042"/>
      <w:r>
        <w:fldChar w:fldCharType="begin"/>
      </w:r>
      <w:r>
        <w:instrText xml:space="preserve"> XE "XE" </w:instrText>
      </w:r>
      <w:r>
        <w:fldChar w:fldCharType="end"/>
      </w:r>
    </w:p>
    <w:p w:rsidR="00024C0A" w:rsidRDefault="00694C0F">
      <w:pPr>
        <w:pStyle w:val="Definition-Field"/>
      </w:pPr>
      <w:r>
        <w:t xml:space="preserve">a.   </w:t>
      </w:r>
      <w:r>
        <w:rPr>
          <w:i/>
        </w:rPr>
        <w:t>The standard allows an XE field to specify an unbounded level.</w:t>
      </w:r>
    </w:p>
    <w:p w:rsidR="00024C0A" w:rsidRDefault="00694C0F">
      <w:pPr>
        <w:pStyle w:val="Definition-Field2"/>
      </w:pPr>
      <w:r>
        <w:t>Word only allows levels up to 7 in an XE field.</w:t>
      </w:r>
    </w:p>
    <w:p w:rsidR="00024C0A" w:rsidRDefault="00694C0F">
      <w:pPr>
        <w:pStyle w:val="Heading3"/>
      </w:pPr>
      <w:bookmarkStart w:id="1043" w:name="section_91ca872a6a9444138c1471025fb0a08a"/>
      <w:bookmarkStart w:id="1044" w:name="_Toc12260582"/>
      <w:r>
        <w:t>Part 1 Section 17.16.9, ddList (Drop-Down List Form Field Properties)</w:t>
      </w:r>
      <w:bookmarkEnd w:id="1043"/>
      <w:bookmarkEnd w:id="1044"/>
      <w:r>
        <w:fldChar w:fldCharType="begin"/>
      </w:r>
      <w:r>
        <w:instrText xml:space="preserve"> XE "ddList (Drop-Down List Form Field Proper</w:instrText>
      </w:r>
      <w:r>
        <w:instrText xml:space="preserve">ties)" </w:instrText>
      </w:r>
      <w:r>
        <w:fldChar w:fldCharType="end"/>
      </w:r>
    </w:p>
    <w:p w:rsidR="00024C0A" w:rsidRDefault="00694C0F">
      <w:pPr>
        <w:pStyle w:val="Definition-Field"/>
      </w:pPr>
      <w:r>
        <w:t xml:space="preserve">a.   </w:t>
      </w:r>
      <w:r>
        <w:rPr>
          <w:i/>
        </w:rPr>
        <w:t>The standard states that the maxOccurs value for the listEntry child element is unbounded.</w:t>
      </w:r>
    </w:p>
    <w:p w:rsidR="00024C0A" w:rsidRDefault="00694C0F">
      <w:pPr>
        <w:pStyle w:val="Definition-Field2"/>
      </w:pPr>
      <w:r>
        <w:t>Word limits the occurrences of this element to 25.</w:t>
      </w:r>
    </w:p>
    <w:p w:rsidR="00024C0A" w:rsidRDefault="00694C0F">
      <w:pPr>
        <w:pStyle w:val="Heading3"/>
      </w:pPr>
      <w:bookmarkStart w:id="1045" w:name="section_26de22b70cc44053bdea8cc6c6543413"/>
      <w:bookmarkStart w:id="1046" w:name="_Toc12260583"/>
      <w:r>
        <w:t>Part 1 Section 17.16.10, default (Default Text Box Form Field String)</w:t>
      </w:r>
      <w:bookmarkEnd w:id="1045"/>
      <w:bookmarkEnd w:id="1046"/>
      <w:r>
        <w:fldChar w:fldCharType="begin"/>
      </w:r>
      <w:r>
        <w:instrText xml:space="preserve"> XE "default (Default Text Box Form Field String)" </w:instrText>
      </w:r>
      <w:r>
        <w:fldChar w:fldCharType="end"/>
      </w:r>
    </w:p>
    <w:p w:rsidR="00024C0A" w:rsidRDefault="00694C0F">
      <w:pPr>
        <w:pStyle w:val="Definition-Field"/>
      </w:pPr>
      <w:r>
        <w:t xml:space="preserve">a.   </w:t>
      </w:r>
      <w:r>
        <w:rPr>
          <w:i/>
        </w:rPr>
        <w:t>The standard does not limit the length of the value of the val attribute.</w:t>
      </w:r>
    </w:p>
    <w:p w:rsidR="00024C0A" w:rsidRDefault="00694C0F">
      <w:pPr>
        <w:pStyle w:val="Definition-Field2"/>
      </w:pPr>
      <w:r>
        <w:t>Word restricts the value of this attribute to be at most 255 characters.</w:t>
      </w:r>
    </w:p>
    <w:p w:rsidR="00024C0A" w:rsidRDefault="00694C0F">
      <w:pPr>
        <w:pStyle w:val="Heading3"/>
      </w:pPr>
      <w:bookmarkStart w:id="1047" w:name="section_7d6df51b2b874d34b9e2d8943ea6e2b4"/>
      <w:bookmarkStart w:id="1048" w:name="_Toc12260584"/>
      <w:r>
        <w:t>Part 1 Section 17.16.11, default (Default Drop-Dow</w:t>
      </w:r>
      <w:r>
        <w:t>n List Item Index)</w:t>
      </w:r>
      <w:bookmarkEnd w:id="1047"/>
      <w:bookmarkEnd w:id="1048"/>
      <w:r>
        <w:fldChar w:fldCharType="begin"/>
      </w:r>
      <w:r>
        <w:instrText xml:space="preserve"> XE "default (Default Drop-Down List Item Index)" </w:instrText>
      </w:r>
      <w:r>
        <w:fldChar w:fldCharType="end"/>
      </w:r>
    </w:p>
    <w:p w:rsidR="00024C0A" w:rsidRDefault="00694C0F">
      <w:pPr>
        <w:pStyle w:val="Definition-Field"/>
      </w:pPr>
      <w:r>
        <w:t xml:space="preserve">a.   </w:t>
      </w:r>
      <w:r>
        <w:rPr>
          <w:i/>
        </w:rPr>
        <w:t>The standard says that if the value exceeds the number of items in the drop-down list, then drop-down list defaults to its first entry.</w:t>
      </w:r>
    </w:p>
    <w:p w:rsidR="00024C0A" w:rsidRDefault="00694C0F">
      <w:pPr>
        <w:pStyle w:val="Definition-Field2"/>
      </w:pPr>
      <w:r>
        <w:lastRenderedPageBreak/>
        <w:t xml:space="preserve">In Word, if the value exceeds the number of </w:t>
      </w:r>
      <w:r>
        <w:t>items, then the drop-down list defaults to an empty entry.</w:t>
      </w:r>
    </w:p>
    <w:p w:rsidR="00024C0A" w:rsidRDefault="00694C0F">
      <w:pPr>
        <w:pStyle w:val="Definition-Field"/>
      </w:pPr>
      <w:r>
        <w:t xml:space="preserve">b.   </w:t>
      </w:r>
      <w:r>
        <w:rPr>
          <w:i/>
        </w:rPr>
        <w:t>The standard states that the values of the val attribute are defined by the XML Schema integer datatype.</w:t>
      </w:r>
    </w:p>
    <w:p w:rsidR="00024C0A" w:rsidRDefault="00694C0F">
      <w:pPr>
        <w:pStyle w:val="Definition-Field2"/>
      </w:pPr>
      <w:r>
        <w:t>Word restricts the value of this attribute to be at least 0 and at most 24.</w:t>
      </w:r>
    </w:p>
    <w:p w:rsidR="00024C0A" w:rsidRDefault="00694C0F">
      <w:pPr>
        <w:pStyle w:val="Heading3"/>
      </w:pPr>
      <w:bookmarkStart w:id="1049" w:name="section_f18e21fcb8d848a383b9c369bb3880b6"/>
      <w:bookmarkStart w:id="1050" w:name="_Toc12260585"/>
      <w:r>
        <w:t>Part 1 Sect</w:t>
      </w:r>
      <w:r>
        <w:t>ion 17.16.12, default (Default Checkbox Form Field State)</w:t>
      </w:r>
      <w:bookmarkEnd w:id="1049"/>
      <w:bookmarkEnd w:id="1050"/>
      <w:r>
        <w:fldChar w:fldCharType="begin"/>
      </w:r>
      <w:r>
        <w:instrText xml:space="preserve"> XE "default (Default Checkbox Form Field State)" </w:instrText>
      </w:r>
      <w:r>
        <w:fldChar w:fldCharType="end"/>
      </w:r>
    </w:p>
    <w:p w:rsidR="00024C0A" w:rsidRDefault="00694C0F">
      <w:pPr>
        <w:pStyle w:val="Definition-Field"/>
      </w:pPr>
      <w:r>
        <w:t xml:space="preserve">a.   </w:t>
      </w:r>
      <w:r>
        <w:rPr>
          <w:i/>
        </w:rPr>
        <w:t>The standard says the checkbox default is used when there is no content in the drop-down.</w:t>
      </w:r>
    </w:p>
    <w:p w:rsidR="00024C0A" w:rsidRDefault="00694C0F">
      <w:pPr>
        <w:pStyle w:val="Definition-Field2"/>
      </w:pPr>
      <w:r>
        <w:t xml:space="preserve">In Word, the checkbox default is the default state </w:t>
      </w:r>
      <w:r>
        <w:t>of the checkbox.</w:t>
      </w:r>
    </w:p>
    <w:p w:rsidR="00024C0A" w:rsidRDefault="00694C0F">
      <w:pPr>
        <w:pStyle w:val="Heading3"/>
      </w:pPr>
      <w:bookmarkStart w:id="1051" w:name="section_0d5f6b5ce8ae4cd3a79f5d4a6b364db7"/>
      <w:bookmarkStart w:id="1052" w:name="_Toc12260586"/>
      <w:r>
        <w:t>Part 1 Section 17.16.17, ffData (Form Field Properties)</w:t>
      </w:r>
      <w:bookmarkEnd w:id="1051"/>
      <w:bookmarkEnd w:id="1052"/>
      <w:r>
        <w:fldChar w:fldCharType="begin"/>
      </w:r>
      <w:r>
        <w:instrText xml:space="preserve"> XE "ffData (Form Field Properties)" </w:instrText>
      </w:r>
      <w:r>
        <w:fldChar w:fldCharType="end"/>
      </w:r>
    </w:p>
    <w:p w:rsidR="00024C0A" w:rsidRDefault="00694C0F">
      <w:pPr>
        <w:pStyle w:val="Definition-Field"/>
      </w:pPr>
      <w:r>
        <w:t xml:space="preserve">a.   </w:t>
      </w:r>
      <w:r>
        <w:rPr>
          <w:i/>
        </w:rPr>
        <w:t>The standard says that if ffData is omitted, the properties associated with the form field shall be based on default values for the form fi</w:t>
      </w:r>
      <w:r>
        <w:rPr>
          <w:i/>
        </w:rPr>
        <w:t>eld.</w:t>
      </w:r>
    </w:p>
    <w:p w:rsidR="00024C0A" w:rsidRDefault="00694C0F">
      <w:pPr>
        <w:pStyle w:val="Definition-Field2"/>
      </w:pPr>
      <w:r>
        <w:t>In Word, if ffData is omitted, the form field is considered invalid and cannot be used or edited.</w:t>
      </w:r>
    </w:p>
    <w:p w:rsidR="00024C0A" w:rsidRDefault="00694C0F">
      <w:pPr>
        <w:pStyle w:val="Definition-Field"/>
      </w:pPr>
      <w:r>
        <w:t xml:space="preserve">b.   </w:t>
      </w:r>
      <w:r>
        <w:rPr>
          <w:i/>
        </w:rPr>
        <w:t>The standard states that label and tabIndex are child elements of this element.</w:t>
      </w:r>
    </w:p>
    <w:p w:rsidR="00024C0A" w:rsidRDefault="00694C0F">
      <w:pPr>
        <w:pStyle w:val="Definition-Field2"/>
      </w:pPr>
      <w:r>
        <w:t>Word ignores these elements and does not round trip them.</w:t>
      </w:r>
    </w:p>
    <w:p w:rsidR="00024C0A" w:rsidRDefault="00694C0F">
      <w:pPr>
        <w:pStyle w:val="Heading3"/>
      </w:pPr>
      <w:bookmarkStart w:id="1053" w:name="section_3ef1ff9c08084ef8a90c45eae43aa729"/>
      <w:bookmarkStart w:id="1054" w:name="_Toc12260587"/>
      <w:r>
        <w:t>Part 1 Sec</w:t>
      </w:r>
      <w:r>
        <w:t>tion 17.16.19, fldSimple (Simple Field)</w:t>
      </w:r>
      <w:bookmarkEnd w:id="1053"/>
      <w:bookmarkEnd w:id="1054"/>
      <w:r>
        <w:fldChar w:fldCharType="begin"/>
      </w:r>
      <w:r>
        <w:instrText xml:space="preserve"> XE "fldSimple (Simple Field)"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24C0A" w:rsidRDefault="00694C0F">
      <w:pPr>
        <w:pStyle w:val="Heading3"/>
      </w:pPr>
      <w:bookmarkStart w:id="1055" w:name="section_345db88e99a24102ab5eab85f1c4b3d9"/>
      <w:bookmarkStart w:id="1056" w:name="_Toc12260588"/>
      <w:r>
        <w:t>Part 1 S</w:t>
      </w:r>
      <w:r>
        <w:t>ection 17.16.20, format (Text Box Form Field Formatting)</w:t>
      </w:r>
      <w:bookmarkEnd w:id="1055"/>
      <w:bookmarkEnd w:id="1056"/>
      <w:r>
        <w:fldChar w:fldCharType="begin"/>
      </w:r>
      <w:r>
        <w:instrText xml:space="preserve"> XE "format (Text Box Form Field Formatting)" </w:instrText>
      </w:r>
      <w:r>
        <w:fldChar w:fldCharType="end"/>
      </w:r>
    </w:p>
    <w:p w:rsidR="00024C0A" w:rsidRDefault="00694C0F">
      <w:pPr>
        <w:pStyle w:val="Definition-Field"/>
      </w:pPr>
      <w:r>
        <w:t xml:space="preserve">a.   </w:t>
      </w:r>
      <w:r>
        <w:rPr>
          <w:i/>
        </w:rPr>
        <w:t>The standard does not limit the length of the value of the val attribute.</w:t>
      </w:r>
    </w:p>
    <w:p w:rsidR="00024C0A" w:rsidRDefault="00694C0F">
      <w:pPr>
        <w:pStyle w:val="Definition-Field2"/>
      </w:pPr>
      <w:r>
        <w:t>Word restricts the value of this attribute to be at most 64 characters.</w:t>
      </w:r>
    </w:p>
    <w:p w:rsidR="00024C0A" w:rsidRDefault="00694C0F">
      <w:pPr>
        <w:pStyle w:val="Definition-Field"/>
      </w:pPr>
      <w:r>
        <w:t xml:space="preserve">b.   </w:t>
      </w:r>
      <w:r>
        <w:rPr>
          <w:i/>
        </w:rPr>
        <w:t>The standard lists four possible values for format when type is equal to regular.</w:t>
      </w:r>
    </w:p>
    <w:p w:rsidR="00024C0A" w:rsidRDefault="00694C0F">
      <w:pPr>
        <w:pStyle w:val="Definition-Field2"/>
      </w:pPr>
      <w:r>
        <w:t>Word also uses the values "Single byte ..." and "Double byte ...".</w:t>
      </w:r>
    </w:p>
    <w:p w:rsidR="00024C0A" w:rsidRDefault="00694C0F">
      <w:pPr>
        <w:pStyle w:val="Heading3"/>
      </w:pPr>
      <w:bookmarkStart w:id="1057" w:name="section_df06e42311a64a36bfb382139e531781"/>
      <w:bookmarkStart w:id="1058" w:name="_Toc12260589"/>
      <w:r>
        <w:t>Part 1 Section 17.16.22, hyperlink (Hyperlink)</w:t>
      </w:r>
      <w:bookmarkEnd w:id="1057"/>
      <w:bookmarkEnd w:id="1058"/>
      <w:r>
        <w:fldChar w:fldCharType="begin"/>
      </w:r>
      <w:r>
        <w:instrText xml:space="preserve"> XE "hyperlink (Hyperlink)" </w:instrText>
      </w:r>
      <w:r>
        <w:fldChar w:fldCharType="end"/>
      </w:r>
    </w:p>
    <w:p w:rsidR="00024C0A" w:rsidRDefault="00694C0F">
      <w:pPr>
        <w:pStyle w:val="Definition-Field2"/>
      </w:pPr>
      <w:r>
        <w:rPr>
          <w:i/>
        </w:rPr>
        <w:t>For additional notes that</w:t>
      </w:r>
      <w:r>
        <w:rPr>
          <w:i/>
        </w:rPr>
        <w:t xml:space="preserve"> apply to this portion of the standard, please see the notes for </w:t>
      </w:r>
      <w:hyperlink w:anchor="Section_ab7a0345712e4eef9bcc80c37e68d9bb">
        <w:r>
          <w:rPr>
            <w:rStyle w:val="Hyperlink"/>
          </w:rPr>
          <w:t>oMath, §22.1.2.77(c)</w:t>
        </w:r>
      </w:hyperlink>
      <w:r>
        <w:rPr>
          <w:i/>
        </w:rPr>
        <w:t>.</w:t>
      </w:r>
    </w:p>
    <w:p w:rsidR="00024C0A" w:rsidRDefault="00694C0F">
      <w:pPr>
        <w:pStyle w:val="Definition-Field"/>
      </w:pPr>
      <w:r>
        <w:t xml:space="preserve">a.   </w:t>
      </w:r>
      <w:r>
        <w:rPr>
          <w:i/>
        </w:rPr>
        <w:t>The standard does not limit the length of the values of the anchor, docLocation, tgtFrame, and toolti</w:t>
      </w:r>
      <w:r>
        <w:rPr>
          <w:i/>
        </w:rPr>
        <w:t>p attributes.</w:t>
      </w:r>
    </w:p>
    <w:p w:rsidR="00024C0A" w:rsidRDefault="00694C0F">
      <w:pPr>
        <w:pStyle w:val="Definition-Field2"/>
      </w:pPr>
      <w:r>
        <w:t>Word restricts the values of the anchor, docLocation, and tgtFrame attributes to be at most 255 characters and the tooltip attribute to be at most 260 characters.</w:t>
      </w:r>
    </w:p>
    <w:p w:rsidR="00024C0A" w:rsidRDefault="00694C0F">
      <w:pPr>
        <w:pStyle w:val="Definition-Field"/>
        <w:rPr>
          <w:i/>
        </w:rPr>
      </w:pPr>
      <w:r>
        <w:rPr>
          <w:i/>
        </w:rPr>
        <w:t>b.   The standard states that if a hyperlink target is also specified using the</w:t>
      </w:r>
      <w:r>
        <w:rPr>
          <w:i/>
        </w:rPr>
        <w:t xml:space="preserve"> r:id attribute, then the anchor attribute shall be ignored.</w:t>
      </w:r>
    </w:p>
    <w:p w:rsidR="00024C0A" w:rsidRDefault="00694C0F">
      <w:pPr>
        <w:pStyle w:val="Definition-Field2"/>
      </w:pPr>
      <w:r>
        <w:t>Word appends a “#” and the value of the anchor attribute to the hyperlink’s Target URL from the Relationship element in the corresponding relationship part.</w:t>
      </w:r>
    </w:p>
    <w:p w:rsidR="00024C0A" w:rsidRDefault="00694C0F">
      <w:pPr>
        <w:pStyle w:val="Heading3"/>
      </w:pPr>
      <w:bookmarkStart w:id="1059" w:name="section_3e1acc92ae7a4b3db0f756fc7fb20389"/>
      <w:bookmarkStart w:id="1060" w:name="_Toc12260590"/>
      <w:r>
        <w:lastRenderedPageBreak/>
        <w:t>Part 1 Section 17.16.24, label (Form F</w:t>
      </w:r>
      <w:r>
        <w:t>ield Label)</w:t>
      </w:r>
      <w:bookmarkEnd w:id="1059"/>
      <w:bookmarkEnd w:id="1060"/>
      <w:r>
        <w:fldChar w:fldCharType="begin"/>
      </w:r>
      <w:r>
        <w:instrText xml:space="preserve"> XE "label (Form Field Label)" </w:instrText>
      </w:r>
      <w:r>
        <w:fldChar w:fldCharType="end"/>
      </w:r>
    </w:p>
    <w:p w:rsidR="00024C0A" w:rsidRDefault="00694C0F">
      <w:pPr>
        <w:pStyle w:val="Definition-Field"/>
      </w:pPr>
      <w:r>
        <w:t xml:space="preserve">a.   </w:t>
      </w:r>
      <w:r>
        <w:rPr>
          <w:i/>
        </w:rPr>
        <w:t>The standard specifies this element as a valid element.</w:t>
      </w:r>
    </w:p>
    <w:p w:rsidR="00024C0A" w:rsidRDefault="00694C0F">
      <w:pPr>
        <w:pStyle w:val="Definition-Field2"/>
      </w:pPr>
      <w:r>
        <w:t>Word ignores this element and does not round trip it.</w:t>
      </w:r>
    </w:p>
    <w:p w:rsidR="00024C0A" w:rsidRDefault="00694C0F">
      <w:pPr>
        <w:pStyle w:val="Heading3"/>
      </w:pPr>
      <w:bookmarkStart w:id="1061" w:name="section_4e781457da074e9faf1ddd0cec4763f3"/>
      <w:bookmarkStart w:id="1062" w:name="_Toc12260591"/>
      <w:r>
        <w:t>Part 1 Section 17.16.25, listEntry (Drop-Down List Entry)</w:t>
      </w:r>
      <w:bookmarkEnd w:id="1061"/>
      <w:bookmarkEnd w:id="1062"/>
      <w:r>
        <w:fldChar w:fldCharType="begin"/>
      </w:r>
      <w:r>
        <w:instrText xml:space="preserve"> XE "listEntry (Drop-Down List Entry)" </w:instrText>
      </w:r>
      <w:r>
        <w:fldChar w:fldCharType="end"/>
      </w:r>
    </w:p>
    <w:p w:rsidR="00024C0A" w:rsidRDefault="00694C0F">
      <w:pPr>
        <w:pStyle w:val="Definition-Field"/>
      </w:pPr>
      <w:r>
        <w:t xml:space="preserve">a.   </w:t>
      </w:r>
      <w:r>
        <w:rPr>
          <w:i/>
        </w:rPr>
        <w:t>The standard does not limit the length of the value of the val attribute.</w:t>
      </w:r>
    </w:p>
    <w:p w:rsidR="00024C0A" w:rsidRDefault="00694C0F">
      <w:pPr>
        <w:pStyle w:val="Definition-Field2"/>
      </w:pPr>
      <w:r>
        <w:t>Word restricts the value of this attribute to be at most 255 characters.</w:t>
      </w:r>
    </w:p>
    <w:p w:rsidR="00024C0A" w:rsidRDefault="00694C0F">
      <w:pPr>
        <w:pStyle w:val="Heading3"/>
      </w:pPr>
      <w:bookmarkStart w:id="1063" w:name="section_e6ea592afffb4630a06894e9d7139d4f"/>
      <w:bookmarkStart w:id="1064" w:name="_Toc12260592"/>
      <w:r>
        <w:t>Part 1 Section 17.16.26, maxLength (Text Box Form Field Maximum Length)</w:t>
      </w:r>
      <w:bookmarkEnd w:id="1063"/>
      <w:bookmarkEnd w:id="1064"/>
      <w:r>
        <w:fldChar w:fldCharType="begin"/>
      </w:r>
      <w:r>
        <w:instrText xml:space="preserve"> XE "maxLength (Text Box Form </w:instrText>
      </w:r>
      <w:r>
        <w:instrText xml:space="preserve">Field Maximum Length)" </w:instrText>
      </w:r>
      <w:r>
        <w:fldChar w:fldCharType="end"/>
      </w:r>
    </w:p>
    <w:p w:rsidR="00024C0A" w:rsidRDefault="00694C0F">
      <w:pPr>
        <w:pStyle w:val="Definition-Field"/>
      </w:pPr>
      <w:r>
        <w:t xml:space="preserve">a.   </w:t>
      </w:r>
      <w:r>
        <w:rPr>
          <w:i/>
        </w:rPr>
        <w:t>The standard states that the values of the val attribute are defined by the XML Schema integer datatype.</w:t>
      </w:r>
    </w:p>
    <w:p w:rsidR="00024C0A" w:rsidRDefault="00694C0F">
      <w:pPr>
        <w:pStyle w:val="Definition-Field2"/>
      </w:pPr>
      <w:r>
        <w:t>Word defines the values of this attribute with the XML Schema short datatype, with a minimum value of 1.</w:t>
      </w:r>
    </w:p>
    <w:p w:rsidR="00024C0A" w:rsidRDefault="00694C0F">
      <w:pPr>
        <w:pStyle w:val="Heading3"/>
      </w:pPr>
      <w:bookmarkStart w:id="1065" w:name="section_0f67f3287aa143aab0460cc528dd282e"/>
      <w:bookmarkStart w:id="1066" w:name="_Toc12260593"/>
      <w:r>
        <w:t xml:space="preserve">Part 1 Section </w:t>
      </w:r>
      <w:r>
        <w:t>17.16.32, tabIndex (Form Field Navigation Order Index)</w:t>
      </w:r>
      <w:bookmarkEnd w:id="1065"/>
      <w:bookmarkEnd w:id="1066"/>
      <w:r>
        <w:fldChar w:fldCharType="begin"/>
      </w:r>
      <w:r>
        <w:instrText xml:space="preserve"> XE "tabIndex (Form Field Navigation Order Index)" </w:instrText>
      </w:r>
      <w:r>
        <w:fldChar w:fldCharType="end"/>
      </w:r>
    </w:p>
    <w:p w:rsidR="00024C0A" w:rsidRDefault="00694C0F">
      <w:pPr>
        <w:pStyle w:val="Definition-Field"/>
      </w:pPr>
      <w:r>
        <w:t xml:space="preserve">a.   </w:t>
      </w:r>
      <w:r>
        <w:rPr>
          <w:i/>
        </w:rPr>
        <w:t>The standard states this element is a valid element</w:t>
      </w:r>
    </w:p>
    <w:p w:rsidR="00024C0A" w:rsidRDefault="00694C0F">
      <w:pPr>
        <w:pStyle w:val="Definition-Field2"/>
      </w:pPr>
      <w:r>
        <w:t>Word ignores this element, and does not round trip it.</w:t>
      </w:r>
    </w:p>
    <w:p w:rsidR="00024C0A" w:rsidRDefault="00694C0F">
      <w:pPr>
        <w:pStyle w:val="Heading3"/>
      </w:pPr>
      <w:bookmarkStart w:id="1067" w:name="section_4a1be0d6d0b14f8ea9a8acc497684599"/>
      <w:bookmarkStart w:id="1068" w:name="_Toc12260594"/>
      <w:r>
        <w:t>Part 1 Section 17.17.1.1, subDoc (Anchor for Subdocument Location)</w:t>
      </w:r>
      <w:bookmarkEnd w:id="1067"/>
      <w:bookmarkEnd w:id="1068"/>
      <w:r>
        <w:fldChar w:fldCharType="begin"/>
      </w:r>
      <w:r>
        <w:instrText xml:space="preserve"> XE "subDoc (Anchor for Subdocument Location)"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 xml:space="preserve">; </w:t>
      </w:r>
      <w:hyperlink w:anchor="Section_ab7a0345712e4eef9bcc80c37e68d9bb">
        <w:r>
          <w:rPr>
            <w:rStyle w:val="Hyperlink"/>
          </w:rPr>
          <w:t>oMath, §22.1.2.77(c)</w:t>
        </w:r>
      </w:hyperlink>
      <w:r>
        <w:rPr>
          <w:i/>
        </w:rPr>
        <w:t>.</w:t>
      </w:r>
    </w:p>
    <w:p w:rsidR="00024C0A" w:rsidRDefault="00694C0F">
      <w:pPr>
        <w:pStyle w:val="Heading3"/>
      </w:pPr>
      <w:bookmarkStart w:id="1069" w:name="section_c391c28f1b034a21a4f84d9cddd4a95c"/>
      <w:bookmarkStart w:id="1070" w:name="_Toc12260595"/>
      <w:r>
        <w:t>Part 1 Section 17.17.2.1, altChunk (Anchor for Imported External Content)</w:t>
      </w:r>
      <w:bookmarkEnd w:id="1069"/>
      <w:bookmarkEnd w:id="1070"/>
      <w:r>
        <w:fldChar w:fldCharType="begin"/>
      </w:r>
      <w:r>
        <w:instrText xml:space="preserve"> XE "altChunk (Anchor for Imported External Content)</w:instrText>
      </w:r>
      <w:r>
        <w:instrText xml:space="preserve">" </w:instrText>
      </w:r>
      <w:r>
        <w:fldChar w:fldCharType="end"/>
      </w:r>
    </w:p>
    <w:p w:rsidR="00024C0A" w:rsidRDefault="00694C0F">
      <w:pPr>
        <w:pStyle w:val="Definition-Field"/>
      </w:pPr>
      <w:r>
        <w:t xml:space="preserve">a.   </w:t>
      </w:r>
      <w:r>
        <w:rPr>
          <w:i/>
        </w:rPr>
        <w:t>The standard states that the relationship type is http://schemas.openxmlformats.org/officeDocument/2006/relationships/afChunk.</w:t>
      </w:r>
    </w:p>
    <w:p w:rsidR="00024C0A" w:rsidRDefault="00694C0F">
      <w:pPr>
        <w:pStyle w:val="Definition-Field2"/>
      </w:pPr>
      <w:r>
        <w:t>Word uses the relationship type defined in Alternative Format Import Part ("</w:t>
      </w:r>
      <w:hyperlink r:id="rId108">
        <w:r>
          <w:rPr>
            <w:rStyle w:val="Hyperlink"/>
          </w:rPr>
          <w:t>[ISO/IEC-29500-1]</w:t>
        </w:r>
      </w:hyperlink>
      <w:r>
        <w:t xml:space="preserve"> §11.3.1"): http://schemas.openxmlformats.org/officeDocument/2006/relationships/aFChunk.</w:t>
      </w:r>
    </w:p>
    <w:p w:rsidR="00024C0A" w:rsidRDefault="00694C0F">
      <w:pPr>
        <w:pStyle w:val="Definition-Field"/>
      </w:pPr>
      <w:r>
        <w:t xml:space="preserve">b.   </w:t>
      </w:r>
      <w:r>
        <w:rPr>
          <w:i/>
        </w:rPr>
        <w:t>The standard specifies that applications can support any set of content types.</w:t>
      </w:r>
    </w:p>
    <w:p w:rsidR="00024C0A" w:rsidRDefault="00694C0F">
      <w:r>
        <w:t>Word supports the following content types:</w:t>
      </w:r>
    </w:p>
    <w:p w:rsidR="00024C0A" w:rsidRDefault="00694C0F">
      <w:pPr>
        <w:pStyle w:val="ListParagraph"/>
        <w:numPr>
          <w:ilvl w:val="0"/>
          <w:numId w:val="64"/>
        </w:numPr>
        <w:contextualSpacing/>
      </w:pPr>
      <w:r>
        <w:t>application/vnd.openxmlformats-officedocument.wordprocessingml.document.main+xml</w:t>
      </w:r>
    </w:p>
    <w:p w:rsidR="00024C0A" w:rsidRDefault="00694C0F">
      <w:pPr>
        <w:pStyle w:val="ListParagraph"/>
        <w:numPr>
          <w:ilvl w:val="0"/>
          <w:numId w:val="64"/>
        </w:numPr>
        <w:contextualSpacing/>
      </w:pPr>
      <w:r>
        <w:t>application/vnd.ms-word.document.macroEnabled.main+xml</w:t>
      </w:r>
    </w:p>
    <w:p w:rsidR="00024C0A" w:rsidRDefault="00694C0F">
      <w:pPr>
        <w:pStyle w:val="ListParagraph"/>
        <w:numPr>
          <w:ilvl w:val="0"/>
          <w:numId w:val="64"/>
        </w:numPr>
        <w:contextualSpacing/>
      </w:pPr>
      <w:r>
        <w:t>application/vnd.openxmlformats-officedocument.wordprocessingml.template.main+xml</w:t>
      </w:r>
    </w:p>
    <w:p w:rsidR="00024C0A" w:rsidRDefault="00694C0F">
      <w:pPr>
        <w:pStyle w:val="ListParagraph"/>
        <w:numPr>
          <w:ilvl w:val="0"/>
          <w:numId w:val="64"/>
        </w:numPr>
        <w:contextualSpacing/>
      </w:pPr>
      <w:r>
        <w:t>application/vnd.ms-word.template.macroE</w:t>
      </w:r>
      <w:r>
        <w:t>nabledTemplate.main+xml</w:t>
      </w:r>
    </w:p>
    <w:p w:rsidR="00024C0A" w:rsidRDefault="00694C0F">
      <w:pPr>
        <w:pStyle w:val="ListParagraph"/>
        <w:numPr>
          <w:ilvl w:val="0"/>
          <w:numId w:val="64"/>
        </w:numPr>
        <w:contextualSpacing/>
      </w:pPr>
      <w:r>
        <w:t>message/rfc822</w:t>
      </w:r>
    </w:p>
    <w:p w:rsidR="00024C0A" w:rsidRDefault="00694C0F">
      <w:pPr>
        <w:pStyle w:val="ListParagraph"/>
        <w:numPr>
          <w:ilvl w:val="0"/>
          <w:numId w:val="64"/>
        </w:numPr>
        <w:contextualSpacing/>
      </w:pPr>
      <w:r>
        <w:t>application/xml</w:t>
      </w:r>
    </w:p>
    <w:p w:rsidR="00024C0A" w:rsidRDefault="00694C0F">
      <w:pPr>
        <w:pStyle w:val="ListParagraph"/>
        <w:numPr>
          <w:ilvl w:val="0"/>
          <w:numId w:val="64"/>
        </w:numPr>
        <w:contextualSpacing/>
      </w:pPr>
      <w:r>
        <w:t>application/rtf</w:t>
      </w:r>
    </w:p>
    <w:p w:rsidR="00024C0A" w:rsidRDefault="00694C0F">
      <w:pPr>
        <w:pStyle w:val="ListParagraph"/>
        <w:numPr>
          <w:ilvl w:val="0"/>
          <w:numId w:val="64"/>
        </w:numPr>
        <w:contextualSpacing/>
      </w:pPr>
      <w:r>
        <w:t>application/xhtml+xml</w:t>
      </w:r>
    </w:p>
    <w:p w:rsidR="00024C0A" w:rsidRDefault="00694C0F">
      <w:pPr>
        <w:pStyle w:val="ListParagraph"/>
        <w:numPr>
          <w:ilvl w:val="0"/>
          <w:numId w:val="64"/>
        </w:numPr>
        <w:contextualSpacing/>
      </w:pPr>
      <w:r>
        <w:t>text/html</w:t>
      </w:r>
    </w:p>
    <w:p w:rsidR="00024C0A" w:rsidRDefault="00694C0F">
      <w:pPr>
        <w:pStyle w:val="ListParagraph"/>
        <w:numPr>
          <w:ilvl w:val="0"/>
          <w:numId w:val="64"/>
        </w:numPr>
      </w:pPr>
      <w:r>
        <w:t>text/plain</w:t>
      </w:r>
    </w:p>
    <w:p w:rsidR="00024C0A" w:rsidRDefault="00694C0F">
      <w:pPr>
        <w:pStyle w:val="Heading3"/>
      </w:pPr>
      <w:bookmarkStart w:id="1071" w:name="section_923382bf235a4f4ab9dfd5a0f8b2ead8"/>
      <w:bookmarkStart w:id="1072" w:name="_Toc12260596"/>
      <w:r>
        <w:lastRenderedPageBreak/>
        <w:t>Part 1 Section 17.18.2, ST_Border (Border Styles)</w:t>
      </w:r>
      <w:bookmarkEnd w:id="1071"/>
      <w:bookmarkEnd w:id="1072"/>
      <w:r>
        <w:fldChar w:fldCharType="begin"/>
      </w:r>
      <w:r>
        <w:instrText xml:space="preserve"> XE "ST_Border (Border Styles)" </w:instrText>
      </w:r>
      <w:r>
        <w:fldChar w:fldCharType="end"/>
      </w:r>
    </w:p>
    <w:p w:rsidR="00024C0A" w:rsidRDefault="00694C0F">
      <w:pPr>
        <w:pStyle w:val="Definition-Field"/>
      </w:pPr>
      <w:r>
        <w:t xml:space="preserve">a.   </w:t>
      </w:r>
      <w:r>
        <w:rPr>
          <w:i/>
        </w:rPr>
        <w:t>The standard states that the thinThickLargeGap, thinT</w:t>
      </w:r>
      <w:r>
        <w:rPr>
          <w:i/>
        </w:rPr>
        <w:t>hickMediumGap, and thinThickSmallGap border styles specify line borders consisting of a thin line contained within a thick line contained within a thick thin.</w:t>
      </w:r>
    </w:p>
    <w:p w:rsidR="00024C0A" w:rsidRDefault="00694C0F">
      <w:pPr>
        <w:pStyle w:val="Definition-Field2"/>
      </w:pPr>
      <w:r>
        <w:t>Word uses these styles to specify line borders consisting of a thin line contained within a thick</w:t>
      </w:r>
      <w:r>
        <w:t xml:space="preserve"> line.</w:t>
      </w:r>
    </w:p>
    <w:p w:rsidR="00024C0A" w:rsidRDefault="00694C0F">
      <w:pPr>
        <w:pStyle w:val="Definition-Field"/>
      </w:pPr>
      <w:r>
        <w:t xml:space="preserve">b.   </w:t>
      </w:r>
      <w:r>
        <w:rPr>
          <w:i/>
        </w:rPr>
        <w:t>The standard places no restrictions on when the inset and outset border styles should be honored.</w:t>
      </w:r>
    </w:p>
    <w:p w:rsidR="00024C0A" w:rsidRDefault="00694C0F">
      <w:pPr>
        <w:pStyle w:val="Definition-Field2"/>
      </w:pPr>
      <w:r>
        <w:t>Word displays inset and outset borders using the single border style when the border is not a table border or when the resolved value of the tblCe</w:t>
      </w:r>
      <w:r>
        <w:t>llSpacing element for a row is nil.</w:t>
      </w:r>
    </w:p>
    <w:p w:rsidR="00024C0A" w:rsidRDefault="00694C0F">
      <w:pPr>
        <w:pStyle w:val="Definition-Field"/>
      </w:pPr>
      <w:r>
        <w:t xml:space="preserve">c.   </w:t>
      </w:r>
      <w:r>
        <w:rPr>
          <w:i/>
        </w:rPr>
        <w:t>The standard states that the inset and outset border styles specify a line border consisting of an inset/outset set of lines around the parent object.</w:t>
      </w:r>
    </w:p>
    <w:p w:rsidR="00024C0A" w:rsidRDefault="00694C0F">
      <w:pPr>
        <w:pStyle w:val="Definition-Field2"/>
      </w:pPr>
      <w:r>
        <w:t>Word displays these border styles as defined in the CSS2 specifi</w:t>
      </w:r>
      <w:r>
        <w:t xml:space="preserve">cation </w:t>
      </w:r>
      <w:hyperlink r:id="rId109">
        <w:r>
          <w:rPr>
            <w:rStyle w:val="Hyperlink"/>
          </w:rPr>
          <w:t>[CSS-LEVEL2]</w:t>
        </w:r>
      </w:hyperlink>
      <w:r>
        <w:t>.</w:t>
      </w:r>
    </w:p>
    <w:p w:rsidR="00024C0A" w:rsidRDefault="00694C0F">
      <w:pPr>
        <w:pStyle w:val="Definition-Field"/>
      </w:pPr>
      <w:r>
        <w:t xml:space="preserve">d.   </w:t>
      </w:r>
      <w:r>
        <w:rPr>
          <w:i/>
        </w:rPr>
        <w:t>The standard states that custom is a valid enumeration value.</w:t>
      </w:r>
    </w:p>
    <w:p w:rsidR="00024C0A" w:rsidRDefault="00694C0F">
      <w:pPr>
        <w:pStyle w:val="Definition-Field2"/>
      </w:pPr>
      <w:r>
        <w:t xml:space="preserve">In Word, if the enumeration value of an ST_Border simple type is custom, then the file is considered </w:t>
      </w:r>
      <w:r>
        <w:t>corrupt.</w:t>
      </w:r>
    </w:p>
    <w:p w:rsidR="00024C0A" w:rsidRDefault="00694C0F">
      <w:pPr>
        <w:pStyle w:val="Heading3"/>
      </w:pPr>
      <w:bookmarkStart w:id="1073" w:name="section_1123446a4d214b2baa9cee57a2efb7c9"/>
      <w:bookmarkStart w:id="1074" w:name="_Toc12260597"/>
      <w:r>
        <w:t>Part 1 Section 17.18.3, ST_BrClear (Line Break Text Wrapping Restart Location)</w:t>
      </w:r>
      <w:bookmarkEnd w:id="1073"/>
      <w:bookmarkEnd w:id="1074"/>
      <w:r>
        <w:fldChar w:fldCharType="begin"/>
      </w:r>
      <w:r>
        <w:instrText xml:space="preserve"> XE "ST_BrClear (Line Break Text Wrapping Restart Location)" </w:instrText>
      </w:r>
      <w:r>
        <w:fldChar w:fldCharType="end"/>
      </w:r>
    </w:p>
    <w:p w:rsidR="00024C0A" w:rsidRDefault="00694C0F">
      <w:pPr>
        <w:pStyle w:val="Definition-Field"/>
      </w:pPr>
      <w:r>
        <w:t xml:space="preserve">a.   </w:t>
      </w:r>
      <w:r>
        <w:rPr>
          <w:i/>
        </w:rPr>
        <w:t>The standard states that a value of "clear" determines the next possible restart location.</w:t>
      </w:r>
    </w:p>
    <w:p w:rsidR="00024C0A" w:rsidRDefault="00694C0F">
      <w:pPr>
        <w:pStyle w:val="Definition-Field2"/>
      </w:pPr>
      <w:r>
        <w:t>Word resp</w:t>
      </w:r>
      <w:r>
        <w:t>ects this value in Web Layout, but behaves unpredictably in Print Layout.</w:t>
      </w:r>
    </w:p>
    <w:p w:rsidR="00024C0A" w:rsidRDefault="00694C0F">
      <w:pPr>
        <w:pStyle w:val="Heading3"/>
      </w:pPr>
      <w:bookmarkStart w:id="1075" w:name="section_aaf2ad21b3cf4832bfc3614966a1fd3e"/>
      <w:bookmarkStart w:id="1076" w:name="_Toc12260598"/>
      <w:r>
        <w:t>Part 1 Section 17.18.5, ST_CaptionPos (Automatic Caption Positioning Values)</w:t>
      </w:r>
      <w:bookmarkEnd w:id="1075"/>
      <w:bookmarkEnd w:id="1076"/>
      <w:r>
        <w:fldChar w:fldCharType="begin"/>
      </w:r>
      <w:r>
        <w:instrText xml:space="preserve"> XE "ST_CaptionPos (Automatic Caption Positioning Values)" </w:instrText>
      </w:r>
      <w:r>
        <w:fldChar w:fldCharType="end"/>
      </w:r>
    </w:p>
    <w:p w:rsidR="00024C0A" w:rsidRDefault="00694C0F">
      <w:pPr>
        <w:pStyle w:val="Definition-Field"/>
      </w:pPr>
      <w:r>
        <w:t xml:space="preserve">a.   </w:t>
      </w:r>
      <w:r>
        <w:rPr>
          <w:i/>
        </w:rPr>
        <w:t>The standard allows that left, right, a</w:t>
      </w:r>
      <w:r>
        <w:rPr>
          <w:i/>
        </w:rPr>
        <w:t>bove, and below for automatically inserted captions.</w:t>
      </w:r>
    </w:p>
    <w:p w:rsidR="00024C0A" w:rsidRDefault="00694C0F">
      <w:pPr>
        <w:pStyle w:val="Definition-Field2"/>
      </w:pPr>
      <w:r>
        <w:t>Word supports only above and below for automatically inserted captions.</w:t>
      </w:r>
    </w:p>
    <w:p w:rsidR="00024C0A" w:rsidRDefault="00694C0F">
      <w:pPr>
        <w:pStyle w:val="Heading3"/>
      </w:pPr>
      <w:bookmarkStart w:id="1077" w:name="section_df329b39b03e498395649c7d41edc5b5"/>
      <w:bookmarkStart w:id="1078" w:name="_Toc12260599"/>
      <w:r>
        <w:t>Part 1 Section 17.18.7, ST_CharacterSpacing (Character-Level Whitespace Compression Settings)</w:t>
      </w:r>
      <w:bookmarkEnd w:id="1077"/>
      <w:bookmarkEnd w:id="1078"/>
      <w:r>
        <w:fldChar w:fldCharType="begin"/>
      </w:r>
      <w:r>
        <w:instrText xml:space="preserve"> XE "ST_CharacterSpacing (Character-Le</w:instrText>
      </w:r>
      <w:r>
        <w:instrText xml:space="preserve">vel Whitespace Compression Settings)" </w:instrText>
      </w:r>
      <w:r>
        <w:fldChar w:fldCharType="end"/>
      </w:r>
    </w:p>
    <w:p w:rsidR="00024C0A" w:rsidRDefault="00694C0F">
      <w:pPr>
        <w:pStyle w:val="Definition-Field"/>
      </w:pPr>
      <w:r>
        <w:t xml:space="preserve">a.   </w:t>
      </w:r>
      <w:r>
        <w:rPr>
          <w:i/>
        </w:rPr>
        <w:t>The standard states that the ST_CharacterSpacing simple type specifies that white space compression is applied to white space characters.</w:t>
      </w:r>
    </w:p>
    <w:p w:rsidR="00024C0A" w:rsidRDefault="00694C0F">
      <w:pPr>
        <w:pStyle w:val="Definition-Field2"/>
      </w:pPr>
      <w:r>
        <w:t xml:space="preserve">In Word, this simple type applies white space compression to full width </w:t>
      </w:r>
      <w:r>
        <w:t>punctuation characters.</w:t>
      </w:r>
    </w:p>
    <w:p w:rsidR="00024C0A" w:rsidRDefault="00694C0F">
      <w:pPr>
        <w:pStyle w:val="Heading3"/>
      </w:pPr>
      <w:bookmarkStart w:id="1079" w:name="section_f22c45b2866741ce93a3b1451c17790a"/>
      <w:bookmarkStart w:id="1080" w:name="_Toc12260600"/>
      <w:r>
        <w:t>Part 1 Section 17.18.10, ST_DecimalNumber (Decimal Number Value)</w:t>
      </w:r>
      <w:bookmarkEnd w:id="1079"/>
      <w:bookmarkEnd w:id="1080"/>
      <w:r>
        <w:fldChar w:fldCharType="begin"/>
      </w:r>
      <w:r>
        <w:instrText xml:space="preserve"> XE "ST_DecimalNumber (Decimal Number Value)" </w:instrText>
      </w:r>
      <w:r>
        <w:fldChar w:fldCharType="end"/>
      </w:r>
    </w:p>
    <w:p w:rsidR="00024C0A" w:rsidRDefault="00694C0F">
      <w:pPr>
        <w:pStyle w:val="Definition-Field"/>
      </w:pPr>
      <w:r>
        <w:t xml:space="preserve">a.   </w:t>
      </w:r>
      <w:r>
        <w:rPr>
          <w:i/>
        </w:rPr>
        <w:t>The standard states that the contents of the ST_DecimalNumber simple type are a restriction on the XML Schema inte</w:t>
      </w:r>
      <w:r>
        <w:rPr>
          <w:i/>
        </w:rPr>
        <w:t>ger datatype.</w:t>
      </w:r>
    </w:p>
    <w:p w:rsidR="00024C0A" w:rsidRDefault="00694C0F">
      <w:pPr>
        <w:pStyle w:val="Definition-Field2"/>
      </w:pPr>
      <w:r>
        <w:t>Word defines the contents of this simple type as being a restriction on the XML Schema int datatype.</w:t>
      </w:r>
    </w:p>
    <w:p w:rsidR="00024C0A" w:rsidRDefault="00694C0F">
      <w:pPr>
        <w:pStyle w:val="Heading3"/>
      </w:pPr>
      <w:bookmarkStart w:id="1081" w:name="section_45e24c5e5db2493694488c72a1f7d60e"/>
      <w:bookmarkStart w:id="1082" w:name="_Toc12260601"/>
      <w:r>
        <w:lastRenderedPageBreak/>
        <w:t>Part 1 Section 17.18.13, ST_DisplacedByCustomXml (Location of Custom XML Markup Displacing an Annotation)</w:t>
      </w:r>
      <w:bookmarkEnd w:id="1081"/>
      <w:bookmarkEnd w:id="1082"/>
      <w:r>
        <w:fldChar w:fldCharType="begin"/>
      </w:r>
      <w:r>
        <w:instrText xml:space="preserve"> XE "ST_DisplacedByCustomXml (Locati</w:instrText>
      </w:r>
      <w:r>
        <w:instrText xml:space="preserve">on of Custom XML Markup Displacing an Annotation)" </w:instrText>
      </w:r>
      <w:r>
        <w:fldChar w:fldCharType="end"/>
      </w:r>
    </w:p>
    <w:p w:rsidR="00024C0A" w:rsidRDefault="00694C0F">
      <w:pPr>
        <w:pStyle w:val="Definition-Field"/>
      </w:pPr>
      <w:r>
        <w:t xml:space="preserve">a.   </w:t>
      </w:r>
      <w:r>
        <w:rPr>
          <w:i/>
        </w:rPr>
        <w:t>The standard allows the displacedByCustomXml attribute to be used in comments, headers, and footers.</w:t>
      </w:r>
    </w:p>
    <w:p w:rsidR="00024C0A" w:rsidRDefault="00694C0F">
      <w:pPr>
        <w:pStyle w:val="Definition-Field2"/>
      </w:pPr>
      <w:r>
        <w:t>Word may ignore the parent element under certain conditions when it encounters the displacedByCu</w:t>
      </w:r>
      <w:r>
        <w:t>stomXml attribute in a comment, header, or footer.</w:t>
      </w:r>
    </w:p>
    <w:p w:rsidR="00024C0A" w:rsidRDefault="00694C0F">
      <w:pPr>
        <w:pStyle w:val="Heading3"/>
      </w:pPr>
      <w:bookmarkStart w:id="1083" w:name="section_ad4d920120514b7d8f9cba019f0ae7a6"/>
      <w:bookmarkStart w:id="1084" w:name="_Toc12260602"/>
      <w:r>
        <w:t>Part 1 Section 17.18.14, ST_DocGrid (Document Grid Types)</w:t>
      </w:r>
      <w:bookmarkEnd w:id="1083"/>
      <w:bookmarkEnd w:id="1084"/>
      <w:r>
        <w:fldChar w:fldCharType="begin"/>
      </w:r>
      <w:r>
        <w:instrText xml:space="preserve"> XE "ST_DocGrid (Document Grid Types)" </w:instrText>
      </w:r>
      <w:r>
        <w:fldChar w:fldCharType="end"/>
      </w:r>
    </w:p>
    <w:p w:rsidR="00024C0A" w:rsidRDefault="00694C0F">
      <w:pPr>
        <w:pStyle w:val="Definition-Field"/>
      </w:pPr>
      <w:r>
        <w:t xml:space="preserve">a.   </w:t>
      </w:r>
      <w:r>
        <w:rPr>
          <w:i/>
        </w:rPr>
        <w:t>The standard states that the snapToChars attribute serves the same purpose as the linesAndChars attri</w:t>
      </w:r>
      <w:r>
        <w:rPr>
          <w:i/>
        </w:rPr>
        <w:t>bute.</w:t>
      </w:r>
    </w:p>
    <w:p w:rsidR="00024C0A" w:rsidRDefault="00694C0F">
      <w:r>
        <w:t xml:space="preserve">The snapToChars attribute specifies that each line in the parent section shall be divided into units of the character pitch specified on the </w:t>
      </w:r>
      <w:r>
        <w:rPr>
          <w:b/>
        </w:rPr>
        <w:t>docGrid</w:t>
      </w:r>
      <w:r>
        <w:t xml:space="preserve"> element ("</w:t>
      </w:r>
      <w:hyperlink r:id="rId110">
        <w:r>
          <w:rPr>
            <w:rStyle w:val="Hyperlink"/>
          </w:rPr>
          <w:t>[ISO/IEC-29500-1]</w:t>
        </w:r>
      </w:hyperlink>
      <w:r>
        <w:t xml:space="preserve"> §17.6.5</w:t>
      </w:r>
      <w:r>
        <w:t xml:space="preserve">; docGrid"). Contiguous regions of characters u as </w:t>
      </w:r>
      <w:r>
        <w:rPr>
          <w:i/>
        </w:rPr>
        <w:t>eastAsia</w:t>
      </w:r>
      <w:r>
        <w:t xml:space="preserve">, </w:t>
      </w:r>
      <w:r>
        <w:rPr>
          <w:i/>
        </w:rPr>
        <w:t>ascii</w:t>
      </w:r>
      <w:r>
        <w:t>/</w:t>
      </w:r>
      <w:r>
        <w:rPr>
          <w:i/>
        </w:rPr>
        <w:t>hAnsi</w:t>
      </w:r>
      <w:r>
        <w:t xml:space="preserve">, and </w:t>
      </w:r>
      <w:r>
        <w:rPr>
          <w:i/>
        </w:rPr>
        <w:t>cs</w:t>
      </w:r>
      <w:r>
        <w:t xml:space="preserve"> using the character classification algorithm are then placed into these units as follows:</w:t>
      </w:r>
    </w:p>
    <w:p w:rsidR="00024C0A" w:rsidRDefault="00694C0F">
      <w:pPr>
        <w:pStyle w:val="ListParagraph"/>
        <w:numPr>
          <w:ilvl w:val="0"/>
          <w:numId w:val="65"/>
        </w:numPr>
        <w:contextualSpacing/>
      </w:pPr>
      <w:r>
        <w:rPr>
          <w:i/>
        </w:rPr>
        <w:t>eastAsia</w:t>
      </w:r>
      <w:r>
        <w:t xml:space="preserve"> – One character per grid unit, centered in that unit.</w:t>
      </w:r>
    </w:p>
    <w:p w:rsidR="00024C0A" w:rsidRDefault="00694C0F">
      <w:pPr>
        <w:pStyle w:val="ListParagraph"/>
        <w:numPr>
          <w:ilvl w:val="0"/>
          <w:numId w:val="65"/>
        </w:numPr>
        <w:contextualSpacing/>
      </w:pPr>
      <w:r>
        <w:rPr>
          <w:i/>
        </w:rPr>
        <w:t>ascii</w:t>
      </w:r>
      <w:r>
        <w:t>/</w:t>
      </w:r>
      <w:r>
        <w:rPr>
          <w:i/>
        </w:rPr>
        <w:t>hAnsi</w:t>
      </w:r>
      <w:r>
        <w:t xml:space="preserve"> – All char</w:t>
      </w:r>
      <w:r>
        <w:t>acters in the block centered in as many grid units as are necessary to display that text. [Example: If text needs 4.1 grid units of space, it is centered in 5 units. end example]</w:t>
      </w:r>
    </w:p>
    <w:p w:rsidR="00024C0A" w:rsidRDefault="00694C0F">
      <w:pPr>
        <w:pStyle w:val="ListParagraph"/>
        <w:numPr>
          <w:ilvl w:val="0"/>
          <w:numId w:val="65"/>
        </w:numPr>
      </w:pPr>
      <w:r>
        <w:rPr>
          <w:i/>
        </w:rPr>
        <w:t>cs</w:t>
      </w:r>
      <w:r>
        <w:t xml:space="preserve"> – All characters in the block left-aligned in as many grid units as are ne</w:t>
      </w:r>
      <w:r>
        <w:t>cessary to display that text.</w:t>
      </w:r>
    </w:p>
    <w:p w:rsidR="00024C0A" w:rsidRDefault="00694C0F">
      <w:r>
        <w:t xml:space="preserve">The additional line pitch on the </w:t>
      </w:r>
      <w:r>
        <w:rPr>
          <w:b/>
        </w:rPr>
        <w:t>docGrid</w:t>
      </w:r>
      <w:r>
        <w:t xml:space="preserve"> element is also added in order to maintain a specific number of lines per page and characters per line.</w:t>
      </w:r>
    </w:p>
    <w:p w:rsidR="00024C0A" w:rsidRDefault="00694C0F">
      <w:pPr>
        <w:pStyle w:val="Heading3"/>
      </w:pPr>
      <w:bookmarkStart w:id="1085" w:name="section_292959d9ea4a4953b29f6c243ffa5471"/>
      <w:bookmarkStart w:id="1086" w:name="_Toc12260603"/>
      <w:r>
        <w:t>Part 1 Section 17.18.15, ST_DocPartBehavior (Insertion Behavior Types)</w:t>
      </w:r>
      <w:bookmarkEnd w:id="1085"/>
      <w:bookmarkEnd w:id="1086"/>
      <w:r>
        <w:fldChar w:fldCharType="begin"/>
      </w:r>
      <w:r>
        <w:instrText xml:space="preserve"> XE "ST_Doc</w:instrText>
      </w:r>
      <w:r>
        <w:instrText xml:space="preserve">PartBehavior (Insertion Behavior Types)" </w:instrText>
      </w:r>
      <w:r>
        <w:fldChar w:fldCharType="end"/>
      </w:r>
    </w:p>
    <w:p w:rsidR="00024C0A" w:rsidRDefault="00694C0F">
      <w:pPr>
        <w:pStyle w:val="Definition-Field"/>
      </w:pPr>
      <w:r>
        <w:t xml:space="preserve">a.   </w:t>
      </w:r>
      <w:r>
        <w:rPr>
          <w:i/>
        </w:rPr>
        <w:t>The standard says that when the behavior is set to pg, the entry is preceded by a blank paragraph whose only content is a page break character.</w:t>
      </w:r>
    </w:p>
    <w:p w:rsidR="00024C0A" w:rsidRDefault="00694C0F">
      <w:pPr>
        <w:pStyle w:val="Definition-Field2"/>
      </w:pPr>
      <w:r>
        <w:t xml:space="preserve">In Word, when the behavior is set to pg, the entry is preceded </w:t>
      </w:r>
      <w:r>
        <w:t>by a page break character, but that page break character is not necessarily the only content in the previous paragraph.</w:t>
      </w:r>
    </w:p>
    <w:p w:rsidR="00024C0A" w:rsidRDefault="00694C0F">
      <w:pPr>
        <w:pStyle w:val="Definition-Field"/>
      </w:pPr>
      <w:r>
        <w:t xml:space="preserve">b.   </w:t>
      </w:r>
      <w:r>
        <w:rPr>
          <w:i/>
        </w:rPr>
        <w:t>The standard says that when the behavior is set to pg, the entry is put on its own new page by preceding it with a page break.</w:t>
      </w:r>
    </w:p>
    <w:p w:rsidR="00024C0A" w:rsidRDefault="00694C0F">
      <w:pPr>
        <w:pStyle w:val="Definition-Field2"/>
      </w:pPr>
      <w:r>
        <w:t xml:space="preserve">In </w:t>
      </w:r>
      <w:r>
        <w:t>Word, when the behavior is set to pg, the entry is put on its own new page by adding a preceding and trailing page break.</w:t>
      </w:r>
    </w:p>
    <w:p w:rsidR="00024C0A" w:rsidRDefault="00694C0F">
      <w:pPr>
        <w:pStyle w:val="Heading3"/>
      </w:pPr>
      <w:bookmarkStart w:id="1087" w:name="section_8043b424e27544ba95726a25ee5e9b84"/>
      <w:bookmarkStart w:id="1088" w:name="_Toc12260604"/>
      <w:r>
        <w:t>Part 1 Section 17.18.24, ST_Em (Emphasis Mark Type)</w:t>
      </w:r>
      <w:bookmarkEnd w:id="1087"/>
      <w:bookmarkEnd w:id="1088"/>
      <w:r>
        <w:fldChar w:fldCharType="begin"/>
      </w:r>
      <w:r>
        <w:instrText xml:space="preserve"> XE "ST_Em (Emphasis Mark Type)" </w:instrText>
      </w:r>
      <w:r>
        <w:fldChar w:fldCharType="end"/>
      </w:r>
    </w:p>
    <w:p w:rsidR="00024C0A" w:rsidRDefault="00694C0F">
      <w:pPr>
        <w:pStyle w:val="Definition-Field"/>
      </w:pPr>
      <w:r>
        <w:t xml:space="preserve">a.   </w:t>
      </w:r>
      <w:r>
        <w:rPr>
          <w:i/>
        </w:rPr>
        <w:t>The standard does not state which language</w:t>
      </w:r>
      <w:r>
        <w:rPr>
          <w:i/>
        </w:rPr>
        <w:t xml:space="preserve"> should be used for the language resolution part of the emphasis mark values.</w:t>
      </w:r>
    </w:p>
    <w:p w:rsidR="00024C0A" w:rsidRDefault="00694C0F">
      <w:pPr>
        <w:pStyle w:val="Definition-Field2"/>
      </w:pPr>
      <w:r>
        <w:t>Word uses the East Asian language for the language resolution part of these values.</w:t>
      </w:r>
    </w:p>
    <w:p w:rsidR="00024C0A" w:rsidRDefault="00694C0F">
      <w:pPr>
        <w:pStyle w:val="Definition-Field"/>
      </w:pPr>
      <w:r>
        <w:t xml:space="preserve">b.   </w:t>
      </w:r>
      <w:r>
        <w:rPr>
          <w:i/>
        </w:rPr>
        <w:t>The standard states that the dot value specifies that the emphasis mark is to be rendered</w:t>
      </w:r>
      <w:r>
        <w:rPr>
          <w:i/>
        </w:rPr>
        <w:t xml:space="preserve"> using Unicode character 0xFF0E for Japanese and Simplified Chinese, 0x2027 for Traditional Chinese, and 0x02D9 for all other East Asian languages.</w:t>
      </w:r>
    </w:p>
    <w:p w:rsidR="00024C0A" w:rsidRDefault="00694C0F">
      <w:pPr>
        <w:pStyle w:val="Definition-Field2"/>
      </w:pPr>
      <w:r>
        <w:t>In Word, the emphasis mark is rendered using Unicode character 0x02D9 for Korean, 0x2027 for Traditional Chi</w:t>
      </w:r>
      <w:r>
        <w:t>nese, and 0xFF0E for all other East Asian languages.</w:t>
      </w:r>
    </w:p>
    <w:p w:rsidR="00024C0A" w:rsidRDefault="00694C0F">
      <w:pPr>
        <w:pStyle w:val="Definition-Field"/>
      </w:pPr>
      <w:r>
        <w:t xml:space="preserve">c.   </w:t>
      </w:r>
      <w:r>
        <w:rPr>
          <w:i/>
        </w:rPr>
        <w:t>The standard specifies that Traditional Chinese shall use Unicode character 0x3002 for the circle value and that it shall be positioned beneath the characters.</w:t>
      </w:r>
    </w:p>
    <w:p w:rsidR="00024C0A" w:rsidRDefault="00694C0F">
      <w:pPr>
        <w:pStyle w:val="Definition-Field2"/>
      </w:pPr>
      <w:r>
        <w:lastRenderedPageBreak/>
        <w:t>Word does not place the circle emphasi</w:t>
      </w:r>
      <w:r>
        <w:t>s beneath the characters for Traditional Chinese.</w:t>
      </w:r>
    </w:p>
    <w:p w:rsidR="00024C0A" w:rsidRDefault="00694C0F">
      <w:pPr>
        <w:pStyle w:val="Definition-Field"/>
      </w:pPr>
      <w:r>
        <w:t xml:space="preserve">d.   </w:t>
      </w:r>
      <w:r>
        <w:rPr>
          <w:i/>
        </w:rPr>
        <w:t>The standard specifies that the emphasis mark is a comma character, rendered above each character, using Unicode character 0x3001.</w:t>
      </w:r>
    </w:p>
    <w:p w:rsidR="00024C0A" w:rsidRDefault="00694C0F">
      <w:pPr>
        <w:pStyle w:val="Definition-Field2"/>
      </w:pPr>
      <w:r>
        <w:t>In Word, a circle type is used instead of the comma type if the East A</w:t>
      </w:r>
      <w:r>
        <w:t>sian language of the text is Korean or Traditional Chinese.</w:t>
      </w:r>
    </w:p>
    <w:p w:rsidR="00024C0A" w:rsidRDefault="00694C0F">
      <w:pPr>
        <w:pStyle w:val="Heading3"/>
      </w:pPr>
      <w:bookmarkStart w:id="1089" w:name="section_04451925852741c38c05bbfa37d3b618"/>
      <w:bookmarkStart w:id="1090" w:name="_Toc12260605"/>
      <w:r>
        <w:t>Part 1 Section 17.18.25, ST_FFHelpTextVal (Help Text Value)</w:t>
      </w:r>
      <w:bookmarkEnd w:id="1089"/>
      <w:bookmarkEnd w:id="1090"/>
      <w:r>
        <w:fldChar w:fldCharType="begin"/>
      </w:r>
      <w:r>
        <w:instrText xml:space="preserve"> XE "ST_FFHelpTextVal (Help Text Value)" </w:instrText>
      </w:r>
      <w:r>
        <w:fldChar w:fldCharType="end"/>
      </w:r>
    </w:p>
    <w:p w:rsidR="00024C0A" w:rsidRDefault="00694C0F">
      <w:pPr>
        <w:pStyle w:val="Definition-Field"/>
      </w:pPr>
      <w:r>
        <w:t xml:space="preserve">a.   </w:t>
      </w:r>
      <w:r>
        <w:rPr>
          <w:i/>
        </w:rPr>
        <w:t>The standard states that the ST_FFHelpTextVal simple type allows strings with 256 charac</w:t>
      </w:r>
      <w:r>
        <w:rPr>
          <w:i/>
        </w:rPr>
        <w:t>ters.</w:t>
      </w:r>
    </w:p>
    <w:p w:rsidR="00024C0A" w:rsidRDefault="00694C0F">
      <w:pPr>
        <w:pStyle w:val="Definition-Field2"/>
      </w:pPr>
      <w:r>
        <w:t>In Word, the ST_FFHelpTextVal attribute allows strings with at most 255 characters.</w:t>
      </w:r>
    </w:p>
    <w:p w:rsidR="00024C0A" w:rsidRDefault="00694C0F">
      <w:pPr>
        <w:pStyle w:val="Heading3"/>
      </w:pPr>
      <w:bookmarkStart w:id="1091" w:name="section_b174b3b20ea040bf8af47b79f843ebd1"/>
      <w:bookmarkStart w:id="1092" w:name="_Toc12260606"/>
      <w:r>
        <w:t>Part 1 Section 17.18.26, ST_FFName (Form Field Name Value)</w:t>
      </w:r>
      <w:bookmarkEnd w:id="1091"/>
      <w:bookmarkEnd w:id="1092"/>
      <w:r>
        <w:fldChar w:fldCharType="begin"/>
      </w:r>
      <w:r>
        <w:instrText xml:space="preserve"> XE "ST_FFName (Form Field Name Value)" </w:instrText>
      </w:r>
      <w:r>
        <w:fldChar w:fldCharType="end"/>
      </w:r>
    </w:p>
    <w:p w:rsidR="00024C0A" w:rsidRDefault="00694C0F">
      <w:pPr>
        <w:pStyle w:val="Definition-Field"/>
      </w:pPr>
      <w:r>
        <w:t xml:space="preserve">a.   </w:t>
      </w:r>
      <w:r>
        <w:rPr>
          <w:i/>
        </w:rPr>
        <w:t>The standard allows strings with at most 65 characters.</w:t>
      </w:r>
    </w:p>
    <w:p w:rsidR="00024C0A" w:rsidRDefault="00694C0F">
      <w:pPr>
        <w:pStyle w:val="Definition-Field2"/>
      </w:pPr>
      <w:r>
        <w:t>Word</w:t>
      </w:r>
      <w:r>
        <w:t xml:space="preserve"> allows strings with at most 20 characters.</w:t>
      </w:r>
    </w:p>
    <w:p w:rsidR="00024C0A" w:rsidRDefault="00694C0F">
      <w:pPr>
        <w:pStyle w:val="Heading3"/>
      </w:pPr>
      <w:bookmarkStart w:id="1093" w:name="section_7ea5a9b7e6f3441da1fb24c4e7bf5afd"/>
      <w:bookmarkStart w:id="1094" w:name="_Toc12260607"/>
      <w:r>
        <w:t>Part 1 Section 17.18.27, ST_FFStatusTextVal (Status Text Value)</w:t>
      </w:r>
      <w:bookmarkEnd w:id="1093"/>
      <w:bookmarkEnd w:id="1094"/>
      <w:r>
        <w:fldChar w:fldCharType="begin"/>
      </w:r>
      <w:r>
        <w:instrText xml:space="preserve"> XE "ST_FFStatusTextVal (Status Text Value)" </w:instrText>
      </w:r>
      <w:r>
        <w:fldChar w:fldCharType="end"/>
      </w:r>
    </w:p>
    <w:p w:rsidR="00024C0A" w:rsidRDefault="00694C0F">
      <w:pPr>
        <w:pStyle w:val="Definition-Field"/>
      </w:pPr>
      <w:r>
        <w:t xml:space="preserve">a.   </w:t>
      </w:r>
      <w:r>
        <w:rPr>
          <w:i/>
        </w:rPr>
        <w:t>The standard states that the ST_FFStatusTextVal simple type allows strings with up to 140 charac</w:t>
      </w:r>
      <w:r>
        <w:rPr>
          <w:i/>
        </w:rPr>
        <w:t>ters.</w:t>
      </w:r>
    </w:p>
    <w:p w:rsidR="00024C0A" w:rsidRDefault="00694C0F">
      <w:pPr>
        <w:pStyle w:val="Definition-Field2"/>
      </w:pPr>
      <w:r>
        <w:t>In Word, the ST_FFStatusTextVal simple type allows strings with at most 138 characters.</w:t>
      </w:r>
    </w:p>
    <w:p w:rsidR="00024C0A" w:rsidRDefault="00694C0F">
      <w:pPr>
        <w:pStyle w:val="Heading3"/>
      </w:pPr>
      <w:bookmarkStart w:id="1095" w:name="section_f84063fe7ad248c78f86630a1cd53133"/>
      <w:bookmarkStart w:id="1096" w:name="_Toc12260608"/>
      <w:r>
        <w:t>Part 1 Section 17.18.31, ST_FrameLayout (Frameset Layout Order)</w:t>
      </w:r>
      <w:bookmarkEnd w:id="1095"/>
      <w:bookmarkEnd w:id="1096"/>
      <w:r>
        <w:fldChar w:fldCharType="begin"/>
      </w:r>
      <w:r>
        <w:instrText xml:space="preserve"> XE "ST_FrameLayout (Frameset Layout Order)" </w:instrText>
      </w:r>
      <w:r>
        <w:fldChar w:fldCharType="end"/>
      </w:r>
    </w:p>
    <w:p w:rsidR="00024C0A" w:rsidRDefault="00694C0F">
      <w:pPr>
        <w:pStyle w:val="Definition-Field"/>
      </w:pPr>
      <w:r>
        <w:t xml:space="preserve">a.   </w:t>
      </w:r>
      <w:r>
        <w:rPr>
          <w:i/>
        </w:rPr>
        <w:t>The standard states that the enumeration value</w:t>
      </w:r>
      <w:r>
        <w:rPr>
          <w:i/>
        </w:rPr>
        <w:t xml:space="preserve"> none means that no frames shall be shown in the frameset.</w:t>
      </w:r>
    </w:p>
    <w:p w:rsidR="00024C0A" w:rsidRDefault="00694C0F">
      <w:pPr>
        <w:pStyle w:val="Definition-Field2"/>
      </w:pPr>
      <w:r>
        <w:t>Word interprets an enumeration value of none to mean that one frame should be shown in the frameset.</w:t>
      </w:r>
    </w:p>
    <w:p w:rsidR="00024C0A" w:rsidRDefault="00694C0F">
      <w:pPr>
        <w:pStyle w:val="Heading3"/>
      </w:pPr>
      <w:bookmarkStart w:id="1097" w:name="section_22bdb755e0c948d282929d5fac2c9a7b"/>
      <w:bookmarkStart w:id="1098" w:name="_Toc12260609"/>
      <w:r>
        <w:t>Part 1 Section 17.18.34, ST_FtnPos (Footnote Positioning Location)</w:t>
      </w:r>
      <w:bookmarkEnd w:id="1097"/>
      <w:bookmarkEnd w:id="1098"/>
      <w:r>
        <w:fldChar w:fldCharType="begin"/>
      </w:r>
      <w:r>
        <w:instrText xml:space="preserve"> XE "ST_FtnPos (Footnote Posit</w:instrText>
      </w:r>
      <w:r>
        <w:instrText xml:space="preserve">ioning Location)" </w:instrText>
      </w:r>
      <w:r>
        <w:fldChar w:fldCharType="end"/>
      </w:r>
    </w:p>
    <w:p w:rsidR="00024C0A" w:rsidRDefault="00694C0F">
      <w:pPr>
        <w:pStyle w:val="Definition-Field"/>
      </w:pPr>
      <w:r>
        <w:t xml:space="preserve">a.   </w:t>
      </w:r>
      <w:r>
        <w:rPr>
          <w:i/>
        </w:rPr>
        <w:t>The standard defines docEnd as a supported value in the footnote position enumeration.</w:t>
      </w:r>
    </w:p>
    <w:p w:rsidR="00024C0A" w:rsidRDefault="00694C0F">
      <w:pPr>
        <w:pStyle w:val="Definition-Field2"/>
      </w:pPr>
      <w:r>
        <w:t>Word does not support docEnd as a value in the footnote position enumeration.</w:t>
      </w:r>
    </w:p>
    <w:p w:rsidR="00024C0A" w:rsidRDefault="00694C0F">
      <w:pPr>
        <w:pStyle w:val="Definition-Field"/>
      </w:pPr>
      <w:r>
        <w:t xml:space="preserve">b.   </w:t>
      </w:r>
      <w:r>
        <w:rPr>
          <w:i/>
        </w:rPr>
        <w:t xml:space="preserve">In the standard, sectEnd specifies that all footnotes shall </w:t>
      </w:r>
      <w:r>
        <w:rPr>
          <w:i/>
        </w:rPr>
        <w:t>be placed at the end of the section in which they are referenced.</w:t>
      </w:r>
    </w:p>
    <w:p w:rsidR="00024C0A" w:rsidRDefault="00694C0F">
      <w:pPr>
        <w:pStyle w:val="Definition-Field2"/>
      </w:pPr>
      <w:r>
        <w:t>Word treats sectEnd like beneathText and displays footnotes immediately after the last line of text on the page on which the note reference mark appears.</w:t>
      </w:r>
    </w:p>
    <w:p w:rsidR="00024C0A" w:rsidRDefault="00694C0F">
      <w:pPr>
        <w:pStyle w:val="Heading3"/>
      </w:pPr>
      <w:bookmarkStart w:id="1099" w:name="section_df56a0b882f944d7b165a229c46c124f"/>
      <w:bookmarkStart w:id="1100" w:name="_Toc12260610"/>
      <w:r>
        <w:t>Part 1 Section 17.18.36, ST_HdrFtr (</w:t>
      </w:r>
      <w:r>
        <w:t>Header or Footer Type)</w:t>
      </w:r>
      <w:bookmarkEnd w:id="1099"/>
      <w:bookmarkEnd w:id="1100"/>
      <w:r>
        <w:fldChar w:fldCharType="begin"/>
      </w:r>
      <w:r>
        <w:instrText xml:space="preserve"> XE "ST_HdrFtr (Header or Footer Type)" </w:instrText>
      </w:r>
      <w:r>
        <w:fldChar w:fldCharType="end"/>
      </w:r>
    </w:p>
    <w:p w:rsidR="00024C0A" w:rsidRDefault="00694C0F">
      <w:pPr>
        <w:pStyle w:val="Definition-Field"/>
      </w:pPr>
      <w:r>
        <w:t xml:space="preserve">a.   </w:t>
      </w:r>
      <w:r>
        <w:rPr>
          <w:i/>
        </w:rPr>
        <w:t>The standard states that counting always starts from one for Odd/Even page number calculation.</w:t>
      </w:r>
    </w:p>
    <w:p w:rsidR="00024C0A" w:rsidRDefault="00694C0F">
      <w:pPr>
        <w:pStyle w:val="Definition-Field2"/>
      </w:pPr>
      <w:r>
        <w:t>In Word, counting depends on page numbering settings of the section.</w:t>
      </w:r>
    </w:p>
    <w:p w:rsidR="00024C0A" w:rsidRDefault="00694C0F">
      <w:pPr>
        <w:pStyle w:val="Heading3"/>
      </w:pPr>
      <w:bookmarkStart w:id="1101" w:name="section_2d0bf5facdf44e5f9a49d3b3e0a2a35c"/>
      <w:bookmarkStart w:id="1102" w:name="_Toc12260611"/>
      <w:r>
        <w:t>Part 1 Section 17.18.42, ST_HpsMeasure (Measurement in Half-Points)</w:t>
      </w:r>
      <w:bookmarkEnd w:id="1101"/>
      <w:bookmarkEnd w:id="1102"/>
      <w:r>
        <w:fldChar w:fldCharType="begin"/>
      </w:r>
      <w:r>
        <w:instrText xml:space="preserve"> XE "ST_HpsMeasure (Measurement in Half-Points)" </w:instrText>
      </w:r>
      <w:r>
        <w:fldChar w:fldCharType="end"/>
      </w:r>
    </w:p>
    <w:p w:rsidR="00024C0A" w:rsidRDefault="00694C0F">
      <w:pPr>
        <w:pStyle w:val="Definition-Field"/>
      </w:pPr>
      <w:r>
        <w:t xml:space="preserve">a.   </w:t>
      </w:r>
      <w:r>
        <w:rPr>
          <w:i/>
        </w:rPr>
        <w:t>The standard states that the contents of the ST_HpsMeasure simple type are a restriction on the XML Schema unsignedLong datatype.</w:t>
      </w:r>
    </w:p>
    <w:p w:rsidR="00024C0A" w:rsidRDefault="00694C0F">
      <w:pPr>
        <w:pStyle w:val="Definition-Field2"/>
      </w:pPr>
      <w:r>
        <w:lastRenderedPageBreak/>
        <w:t>Wo</w:t>
      </w:r>
      <w:r>
        <w:t>rd defines this simple type as being a restriction on the XML Schema unsignedInt datatype, with a minimum value of 2 and a maximum value of 3277.</w:t>
      </w:r>
    </w:p>
    <w:p w:rsidR="00024C0A" w:rsidRDefault="00694C0F">
      <w:pPr>
        <w:pStyle w:val="Heading3"/>
      </w:pPr>
      <w:bookmarkStart w:id="1103" w:name="section_07c96be7c9ee4987ab27c667e4b5ebfa"/>
      <w:bookmarkStart w:id="1104" w:name="_Toc12260612"/>
      <w:r>
        <w:t>Part 1 Section 17.18.44, ST_Jc (Horizontal Alignment Type)</w:t>
      </w:r>
      <w:bookmarkEnd w:id="1103"/>
      <w:bookmarkEnd w:id="1104"/>
      <w:r>
        <w:fldChar w:fldCharType="begin"/>
      </w:r>
      <w:r>
        <w:instrText xml:space="preserve"> XE "ST_Jc (Horizontal Alignment Type)" </w:instrText>
      </w:r>
      <w:r>
        <w:fldChar w:fldCharType="end"/>
      </w:r>
    </w:p>
    <w:p w:rsidR="00024C0A" w:rsidRDefault="00694C0F">
      <w:pPr>
        <w:pStyle w:val="Definition-Field"/>
      </w:pPr>
      <w:r>
        <w:t xml:space="preserve">a.   </w:t>
      </w:r>
      <w:r>
        <w:rPr>
          <w:i/>
        </w:rPr>
        <w:t xml:space="preserve">The </w:t>
      </w:r>
      <w:r>
        <w:rPr>
          <w:i/>
        </w:rPr>
        <w:t>standard states that the lowKashida setting shall also be applied to Arabic text when the enumeration value is set to both.</w:t>
      </w:r>
    </w:p>
    <w:p w:rsidR="00024C0A" w:rsidRDefault="00694C0F">
      <w:pPr>
        <w:pStyle w:val="Definition-Field2"/>
      </w:pPr>
      <w:r>
        <w:t>Word does not apply the lowKashida setting when the enumeration value is set to both.</w:t>
      </w:r>
    </w:p>
    <w:p w:rsidR="00024C0A" w:rsidRDefault="00694C0F">
      <w:pPr>
        <w:pStyle w:val="Heading3"/>
      </w:pPr>
      <w:bookmarkStart w:id="1105" w:name="section_889892b800884fc2b546a4e8704b3c2c"/>
      <w:bookmarkStart w:id="1106" w:name="_Toc12260613"/>
      <w:r>
        <w:t>Part 1 Section 17.18.52, ST_MailMergeDataType (Mail Merge Data Source Type Values)</w:t>
      </w:r>
      <w:bookmarkEnd w:id="1105"/>
      <w:bookmarkEnd w:id="1106"/>
      <w:r>
        <w:fldChar w:fldCharType="begin"/>
      </w:r>
      <w:r>
        <w:instrText xml:space="preserve"> XE "ST_MailMergeDataType (Mail Merge Data Source Type Values)" </w:instrText>
      </w:r>
      <w:r>
        <w:fldChar w:fldCharType="end"/>
      </w:r>
    </w:p>
    <w:p w:rsidR="00024C0A" w:rsidRDefault="00694C0F">
      <w:pPr>
        <w:pStyle w:val="Definition-Field"/>
      </w:pPr>
      <w:r>
        <w:t xml:space="preserve">a.   </w:t>
      </w:r>
      <w:r>
        <w:rPr>
          <w:i/>
        </w:rPr>
        <w:t>The standard states the type as xsd:string and calls out a number of values as reserved for this type.</w:t>
      </w:r>
    </w:p>
    <w:p w:rsidR="00024C0A" w:rsidRDefault="00694C0F">
      <w:pPr>
        <w:pStyle w:val="Definition-Field2"/>
      </w:pPr>
      <w:r>
        <w:t>Word accepts the following values 'textFile', 'database', 'spreadsheet', 'query', 'odbc', and 'native'. Word interprets any other value as equivalent to 'textFile.'</w:t>
      </w:r>
    </w:p>
    <w:p w:rsidR="00024C0A" w:rsidRDefault="00694C0F">
      <w:pPr>
        <w:pStyle w:val="Heading3"/>
      </w:pPr>
      <w:bookmarkStart w:id="1107" w:name="section_70e3977f3686456a896fb98b9a3be08e"/>
      <w:bookmarkStart w:id="1108" w:name="_Toc12260614"/>
      <w:r>
        <w:t>Part 1 Section 17.18.57, ST_Merge (Merged Cell Type)</w:t>
      </w:r>
      <w:bookmarkEnd w:id="1107"/>
      <w:bookmarkEnd w:id="1108"/>
      <w:r>
        <w:fldChar w:fldCharType="begin"/>
      </w:r>
      <w:r>
        <w:instrText xml:space="preserve"> XE "ST_Merge (Merged Cell Type)" </w:instrText>
      </w:r>
      <w:r>
        <w:fldChar w:fldCharType="end"/>
      </w:r>
    </w:p>
    <w:p w:rsidR="00024C0A" w:rsidRDefault="00694C0F">
      <w:pPr>
        <w:pStyle w:val="Definition-Field"/>
      </w:pPr>
      <w:r>
        <w:t>a</w:t>
      </w:r>
      <w:r>
        <w:t xml:space="preserve">.   </w:t>
      </w:r>
      <w:r>
        <w:rPr>
          <w:i/>
        </w:rPr>
        <w:t>The standard states that a value of continue shall be ignored if the previous cell does not specify continue or restart</w:t>
      </w:r>
    </w:p>
    <w:p w:rsidR="00024C0A" w:rsidRDefault="00694C0F">
      <w:pPr>
        <w:pStyle w:val="Definition-Field2"/>
      </w:pPr>
      <w:r>
        <w:t>Word attempts to interpret continue values for vertically merged cells even if none of the previous cells contain a restart value</w:t>
      </w:r>
    </w:p>
    <w:p w:rsidR="00024C0A" w:rsidRDefault="00694C0F">
      <w:pPr>
        <w:pStyle w:val="Heading3"/>
      </w:pPr>
      <w:bookmarkStart w:id="1109" w:name="section_ea3612c8a09946c399a993658a30cb01"/>
      <w:bookmarkStart w:id="1110" w:name="_Toc12260615"/>
      <w:r>
        <w:t>Pa</w:t>
      </w:r>
      <w:r>
        <w:t>rt 1 Section 17.18.59, ST_NumberFormat (Numbering Format)</w:t>
      </w:r>
      <w:bookmarkEnd w:id="1109"/>
      <w:bookmarkEnd w:id="1110"/>
      <w:r>
        <w:fldChar w:fldCharType="begin"/>
      </w:r>
      <w:r>
        <w:instrText xml:space="preserve"> XE "ST_NumberFormat (Numbering Format)" </w:instrText>
      </w:r>
      <w:r>
        <w:fldChar w:fldCharType="end"/>
      </w:r>
    </w:p>
    <w:p w:rsidR="00024C0A" w:rsidRDefault="00694C0F">
      <w:pPr>
        <w:pStyle w:val="Definition-Field"/>
      </w:pPr>
      <w:r>
        <w:t xml:space="preserve">a.   </w:t>
      </w:r>
      <w:r>
        <w:rPr>
          <w:i/>
        </w:rPr>
        <w:t>The standard states that the ideographEnclosedCircle numbering format specifies that the sequence shall consist of sequential numerical ideographs, us</w:t>
      </w:r>
      <w:r>
        <w:rPr>
          <w:i/>
        </w:rPr>
        <w:t>ing the appropriate character, as described below.</w:t>
      </w:r>
    </w:p>
    <w:p w:rsidR="00024C0A" w:rsidRDefault="00694C0F">
      <w:pPr>
        <w:pStyle w:val="Definition-Field2"/>
      </w:pPr>
      <w:r>
        <w:t>Word encloses sequential numerical ideographs of this format in parentheses.</w:t>
      </w:r>
    </w:p>
    <w:p w:rsidR="00024C0A" w:rsidRDefault="00694C0F">
      <w:pPr>
        <w:pStyle w:val="Definition-Field"/>
      </w:pPr>
      <w:r>
        <w:t xml:space="preserve">b.   </w:t>
      </w:r>
      <w:r>
        <w:rPr>
          <w:i/>
        </w:rPr>
        <w:t>The standard states that the hindiConsonants attribute specifies that the sequence shall consist of Hindi consonants, and t</w:t>
      </w:r>
      <w:r>
        <w:rPr>
          <w:i/>
        </w:rPr>
        <w:t>hat the hindiVowels attribute specifies that the sequence shall consist of Hindi vowels.</w:t>
      </w:r>
    </w:p>
    <w:p w:rsidR="00024C0A" w:rsidRDefault="00694C0F">
      <w:pPr>
        <w:pStyle w:val="Definition-Field2"/>
      </w:pPr>
      <w:r>
        <w:t>Word uses the hindiConsonants attribute to specify that the sequence shall consist of Hindi vowels, and the hindiVowels attribute to specify that the sequence shall co</w:t>
      </w:r>
      <w:r>
        <w:t>nsist of Hindi consonants.</w:t>
      </w:r>
    </w:p>
    <w:p w:rsidR="00024C0A" w:rsidRDefault="00694C0F">
      <w:pPr>
        <w:pStyle w:val="Definition-Field"/>
      </w:pPr>
      <w:r>
        <w:t xml:space="preserve">c.   </w:t>
      </w:r>
      <w:r>
        <w:rPr>
          <w:i/>
        </w:rPr>
        <w:t>The standard states for the aiueo and aiueoFullWidth enumeration values that a character should be repeated for values above 46</w:t>
      </w:r>
    </w:p>
    <w:p w:rsidR="00024C0A" w:rsidRDefault="00694C0F">
      <w:pPr>
        <w:pStyle w:val="Definition-Field2"/>
      </w:pPr>
      <w:r>
        <w:t>Word does not repeat any characters for values above 46, instead it simply starts at 1 again.</w:t>
      </w:r>
    </w:p>
    <w:p w:rsidR="00024C0A" w:rsidRDefault="00694C0F">
      <w:pPr>
        <w:pStyle w:val="Definition-Field"/>
      </w:pPr>
      <w:r>
        <w:t>d.</w:t>
      </w:r>
      <w:r>
        <w:t xml:space="preserve">   </w:t>
      </w:r>
      <w:r>
        <w:rPr>
          <w:i/>
        </w:rPr>
        <w:t>The standard states that for the bahtText enumeration value, the application will use a sequence consisting of a numeric value from the Thai counting system.</w:t>
      </w:r>
    </w:p>
    <w:p w:rsidR="00024C0A" w:rsidRDefault="00694C0F">
      <w:pPr>
        <w:pStyle w:val="Definition-Field2"/>
      </w:pPr>
      <w:r>
        <w:t>Word interprets the bahtText enumeration value as decimal.</w:t>
      </w:r>
    </w:p>
    <w:p w:rsidR="00024C0A" w:rsidRDefault="00694C0F">
      <w:pPr>
        <w:pStyle w:val="Definition-Field"/>
      </w:pPr>
      <w:r>
        <w:t xml:space="preserve">e.   </w:t>
      </w:r>
      <w:r>
        <w:rPr>
          <w:i/>
        </w:rPr>
        <w:t>The standard states for the chi</w:t>
      </w:r>
      <w:r>
        <w:rPr>
          <w:i/>
        </w:rPr>
        <w:t>neseCountingThousand enumeration value, if the sequence number is between 10,000 and 100,000 and no groups are formed, and the number is not a multiple of 1,000, the symbol U+96F6 should be written.</w:t>
      </w:r>
    </w:p>
    <w:p w:rsidR="00024C0A" w:rsidRDefault="00694C0F">
      <w:pPr>
        <w:pStyle w:val="Definition-Field2"/>
      </w:pPr>
      <w:r>
        <w:t>Word does not write out the symbol U+96F6.</w:t>
      </w:r>
    </w:p>
    <w:p w:rsidR="00024C0A" w:rsidRDefault="00694C0F">
      <w:pPr>
        <w:pStyle w:val="Definition-Field"/>
      </w:pPr>
      <w:r>
        <w:lastRenderedPageBreak/>
        <w:t xml:space="preserve">f.   </w:t>
      </w:r>
      <w:r>
        <w:rPr>
          <w:i/>
        </w:rPr>
        <w:t>The stand</w:t>
      </w:r>
      <w:r>
        <w:rPr>
          <w:i/>
        </w:rPr>
        <w:t>ard states for aiueoFullWidth that character is written once and then written once and then written once and then repeated the number of times the size of the set was subtracted from the original value.</w:t>
      </w:r>
    </w:p>
    <w:p w:rsidR="00024C0A" w:rsidRDefault="00694C0F">
      <w:pPr>
        <w:pStyle w:val="Definition-Field2"/>
      </w:pPr>
      <w:r>
        <w:t>Word writes the character once and then repeats it th</w:t>
      </w:r>
      <w:r>
        <w:t>e number of times the size of the set was subtracted from the original value.</w:t>
      </w:r>
    </w:p>
    <w:p w:rsidR="00024C0A" w:rsidRDefault="00694C0F">
      <w:pPr>
        <w:pStyle w:val="Definition-Field"/>
      </w:pPr>
      <w:r>
        <w:t xml:space="preserve">g.   </w:t>
      </w:r>
      <w:r>
        <w:rPr>
          <w:i/>
        </w:rPr>
        <w:t xml:space="preserve">The standard states for arabicAbjad that character is written once and then written once and then written once and then repeated the number of times the size of the set was </w:t>
      </w:r>
      <w:r>
        <w:rPr>
          <w:i/>
        </w:rPr>
        <w:t>subtracted from the original value.</w:t>
      </w:r>
    </w:p>
    <w:p w:rsidR="00024C0A" w:rsidRDefault="00694C0F">
      <w:pPr>
        <w:pStyle w:val="Definition-Field2"/>
      </w:pPr>
      <w:r>
        <w:t>Word writes the character once and then repeats it the number of times the size of the set was subtracted from the original value.</w:t>
      </w:r>
    </w:p>
    <w:p w:rsidR="00024C0A" w:rsidRDefault="00694C0F">
      <w:pPr>
        <w:pStyle w:val="Definition-Field"/>
      </w:pPr>
      <w:r>
        <w:t xml:space="preserve">h.   </w:t>
      </w:r>
      <w:r>
        <w:rPr>
          <w:i/>
        </w:rPr>
        <w:t xml:space="preserve">The standard states that the arabicAlpha character is written once and then written </w:t>
      </w:r>
      <w:r>
        <w:rPr>
          <w:i/>
        </w:rPr>
        <w:t>once and then written once and then repeated the number of times the size of the set was subtracted from the original value.</w:t>
      </w:r>
    </w:p>
    <w:p w:rsidR="00024C0A" w:rsidRDefault="00694C0F">
      <w:pPr>
        <w:pStyle w:val="Definition-Field2"/>
      </w:pPr>
      <w:r>
        <w:t>Word writes the character once and then repeats it the number of times the size of the set was subtracted from the original value.</w:t>
      </w:r>
    </w:p>
    <w:p w:rsidR="00024C0A" w:rsidRDefault="00694C0F">
      <w:pPr>
        <w:pStyle w:val="Definition-Field"/>
      </w:pPr>
      <w:r>
        <w:t xml:space="preserve">i.   </w:t>
      </w:r>
      <w:r>
        <w:rPr>
          <w:i/>
        </w:rPr>
        <w:t>The standard states for chicago that the character is written once and then written once and then repeated the number of times the size of the set was subtracted from the original value.</w:t>
      </w:r>
    </w:p>
    <w:p w:rsidR="00024C0A" w:rsidRDefault="00694C0F">
      <w:pPr>
        <w:pStyle w:val="Definition-Field2"/>
      </w:pPr>
      <w:r>
        <w:t>Word writes the character once and then repeats it the number of</w:t>
      </w:r>
      <w:r>
        <w:t xml:space="preserve"> times the size of the set was subtracted from the original value.</w:t>
      </w:r>
    </w:p>
    <w:p w:rsidR="00024C0A" w:rsidRDefault="00694C0F">
      <w:pPr>
        <w:pStyle w:val="Definition-Field"/>
      </w:pPr>
      <w:r>
        <w:t xml:space="preserve">j.   </w:t>
      </w:r>
      <w:r>
        <w:rPr>
          <w:i/>
        </w:rPr>
        <w:t>The standard does not specify a maximum value for cardinalText, chineseCountingThousand, chineseLegalSimplified, ideographLegalTraditional, japaneseCounting, koreanCounting, koreanDigi</w:t>
      </w:r>
      <w:r>
        <w:rPr>
          <w:i/>
        </w:rPr>
        <w:t>tal2, ordinalText, or taiwaneseCountingThousand.</w:t>
      </w:r>
    </w:p>
    <w:p w:rsidR="00024C0A" w:rsidRDefault="00694C0F">
      <w:r>
        <w:t>Word does not write out anything for sequence numbers after 999,999 for cardinalText, chineseCountingThousand, chineseLegalSimplified, ideographLegalTraditional, japaneseCounting, koreanCounting, koreanDigit</w:t>
      </w:r>
      <w:r>
        <w:t>al2, ordinalText, or taiwaneseCountingThousand.</w:t>
      </w:r>
    </w:p>
    <w:p w:rsidR="00024C0A" w:rsidRDefault="00694C0F">
      <w:pPr>
        <w:pStyle w:val="Definition-Field"/>
      </w:pPr>
      <w:r>
        <w:t xml:space="preserve">k.   </w:t>
      </w:r>
      <w:r>
        <w:rPr>
          <w:i/>
        </w:rPr>
        <w:t>The standard does not specify a maximum value beyond which behavior should change for chicago.</w:t>
      </w:r>
    </w:p>
    <w:p w:rsidR="00024C0A" w:rsidRDefault="00694C0F">
      <w:pPr>
        <w:pStyle w:val="Definition-Field2"/>
      </w:pPr>
      <w:r>
        <w:t>Word does not write out sequence numbers for chicago after 116.</w:t>
      </w:r>
    </w:p>
    <w:p w:rsidR="00024C0A" w:rsidRDefault="00694C0F">
      <w:pPr>
        <w:pStyle w:val="Definition-Field"/>
      </w:pPr>
      <w:r>
        <w:t xml:space="preserve">l.   </w:t>
      </w:r>
      <w:r>
        <w:rPr>
          <w:i/>
        </w:rPr>
        <w:t>The standard does not specify a maximum</w:t>
      </w:r>
      <w:r>
        <w:rPr>
          <w:i/>
        </w:rPr>
        <w:t xml:space="preserve"> value beyond which behavior should change for hexadecimal format.</w:t>
      </w:r>
    </w:p>
    <w:p w:rsidR="00024C0A" w:rsidRDefault="00694C0F">
      <w:pPr>
        <w:pStyle w:val="Definition-Field2"/>
      </w:pPr>
      <w:r>
        <w:t>Word writes out nothing for sequence numbers after 65535 in hexadecimal format.</w:t>
      </w:r>
    </w:p>
    <w:p w:rsidR="00024C0A" w:rsidRDefault="00694C0F">
      <w:pPr>
        <w:pStyle w:val="Definition-Field"/>
      </w:pPr>
      <w:r>
        <w:t xml:space="preserve">m.   </w:t>
      </w:r>
      <w:r>
        <w:rPr>
          <w:i/>
        </w:rPr>
        <w:t>The standard does not specify what to display for numbers above 9999 for japaneseDigitalTenThousand numb</w:t>
      </w:r>
      <w:r>
        <w:rPr>
          <w:i/>
        </w:rPr>
        <w:t>ering styles.</w:t>
      </w:r>
    </w:p>
    <w:p w:rsidR="00024C0A" w:rsidRDefault="00694C0F">
      <w:pPr>
        <w:pStyle w:val="Definition-Field2"/>
      </w:pPr>
      <w:r>
        <w:t>Word does not display anything for sequence numbers above 9999 for japaneseDigitalTenThousand numbering styles.</w:t>
      </w:r>
    </w:p>
    <w:p w:rsidR="00024C0A" w:rsidRDefault="00694C0F">
      <w:pPr>
        <w:pStyle w:val="Definition-Field"/>
      </w:pPr>
      <w:r>
        <w:t xml:space="preserve">n.   </w:t>
      </w:r>
      <w:r>
        <w:rPr>
          <w:i/>
        </w:rPr>
        <w:t>The standard does not specify a maximum value beyond which behavior should change for koreanLegal.</w:t>
      </w:r>
    </w:p>
    <w:p w:rsidR="00024C0A" w:rsidRDefault="00694C0F">
      <w:pPr>
        <w:pStyle w:val="Definition-Field2"/>
      </w:pPr>
      <w:r>
        <w:t>Word does not write out an</w:t>
      </w:r>
      <w:r>
        <w:t>ything for sequence numbers for koreanLegal after 9,999,999.</w:t>
      </w:r>
    </w:p>
    <w:p w:rsidR="00024C0A" w:rsidRDefault="00694C0F">
      <w:pPr>
        <w:pStyle w:val="Definition-Field"/>
      </w:pPr>
      <w:r>
        <w:t xml:space="preserve">o.   </w:t>
      </w:r>
      <w:r>
        <w:rPr>
          <w:i/>
        </w:rPr>
        <w:t>The standard does not specify maximum display values.</w:t>
      </w:r>
    </w:p>
    <w:p w:rsidR="00024C0A" w:rsidRDefault="00694C0F">
      <w:pPr>
        <w:pStyle w:val="Definition-Field2"/>
      </w:pPr>
      <w:r>
        <w:t>Word does not display values above 217483647.  In some cases Word will not display values above a lower value.</w:t>
      </w:r>
    </w:p>
    <w:p w:rsidR="00024C0A" w:rsidRDefault="00694C0F">
      <w:pPr>
        <w:pStyle w:val="Definition-Field"/>
      </w:pPr>
      <w:r>
        <w:lastRenderedPageBreak/>
        <w:t xml:space="preserve">p.   </w:t>
      </w:r>
      <w:r>
        <w:rPr>
          <w:i/>
        </w:rPr>
        <w:t xml:space="preserve">The standard states </w:t>
      </w:r>
      <w:r>
        <w:rPr>
          <w:i/>
        </w:rPr>
        <w:t>that the set of characters used by the chineseLegalSimplified numbering format for values 1-10 starts with U+96F6.</w:t>
      </w:r>
    </w:p>
    <w:p w:rsidR="00024C0A" w:rsidRDefault="00694C0F">
      <w:pPr>
        <w:pStyle w:val="Definition-Field2"/>
      </w:pPr>
      <w:r>
        <w:t>Word uses the set of characters starting with u+96F6 for this numbering format for values 0-9.</w:t>
      </w:r>
    </w:p>
    <w:p w:rsidR="00024C0A" w:rsidRDefault="00694C0F">
      <w:pPr>
        <w:pStyle w:val="Definition-Field"/>
      </w:pPr>
      <w:r>
        <w:t xml:space="preserve">q.   </w:t>
      </w:r>
      <w:r>
        <w:rPr>
          <w:i/>
        </w:rPr>
        <w:t xml:space="preserve">The standard specifies that the ten </w:t>
      </w:r>
      <w:r>
        <w:rPr>
          <w:i/>
        </w:rPr>
        <w:t>thousand symbol for chineseLegalSimplified is U+4E07.</w:t>
      </w:r>
    </w:p>
    <w:p w:rsidR="00024C0A" w:rsidRDefault="00694C0F">
      <w:pPr>
        <w:pStyle w:val="Definition-Field2"/>
      </w:pPr>
      <w:r>
        <w:t>Word uses the codepoint U+842C to represent the ten thousand sequence number for chineseLegalSimplified.</w:t>
      </w:r>
    </w:p>
    <w:p w:rsidR="00024C0A" w:rsidRDefault="00694C0F">
      <w:pPr>
        <w:pStyle w:val="Definition-Field"/>
      </w:pPr>
      <w:r>
        <w:t xml:space="preserve">r.   </w:t>
      </w:r>
      <w:r>
        <w:rPr>
          <w:i/>
        </w:rPr>
        <w:t>The standard states for the chosung enumeration value that a character should be repeated fo</w:t>
      </w:r>
      <w:r>
        <w:rPr>
          <w:i/>
        </w:rPr>
        <w:t>r values above 14.</w:t>
      </w:r>
    </w:p>
    <w:p w:rsidR="00024C0A" w:rsidRDefault="00694C0F">
      <w:pPr>
        <w:pStyle w:val="Definition-Field2"/>
      </w:pPr>
      <w:r>
        <w:t>Word does not repeat any characters for values above 14, instead it simply starts at 1 again.</w:t>
      </w:r>
    </w:p>
    <w:p w:rsidR="00024C0A" w:rsidRDefault="00694C0F">
      <w:pPr>
        <w:pStyle w:val="Definition-Field"/>
      </w:pPr>
      <w:r>
        <w:t xml:space="preserve">s.   </w:t>
      </w:r>
      <w:r>
        <w:rPr>
          <w:i/>
        </w:rPr>
        <w:t>The standard states that decimalEnclosedCircleChinese is identical to decimalEnclosedCircle.</w:t>
      </w:r>
    </w:p>
    <w:p w:rsidR="00024C0A" w:rsidRDefault="00694C0F">
      <w:pPr>
        <w:pStyle w:val="Definition-Field2"/>
      </w:pPr>
      <w:r>
        <w:t>Word uses only the first 10 characters from t</w:t>
      </w:r>
      <w:r>
        <w:t>he same set as decimalEnclosedCircle to represent the numbers 1-10, and then falls back to decimal.</w:t>
      </w:r>
    </w:p>
    <w:p w:rsidR="00024C0A" w:rsidRDefault="00694C0F">
      <w:pPr>
        <w:pStyle w:val="Definition-Field"/>
      </w:pPr>
      <w:r>
        <w:t xml:space="preserve">t.   </w:t>
      </w:r>
      <w:r>
        <w:rPr>
          <w:i/>
        </w:rPr>
        <w:t>The standards specifies a behavior for the dollarText enum value.</w:t>
      </w:r>
    </w:p>
    <w:p w:rsidR="00024C0A" w:rsidRDefault="00694C0F">
      <w:pPr>
        <w:pStyle w:val="Definition-Field2"/>
      </w:pPr>
      <w:r>
        <w:t>Word interprets the dollarText enum value as decimal.</w:t>
      </w:r>
    </w:p>
    <w:p w:rsidR="00024C0A" w:rsidRDefault="00694C0F">
      <w:pPr>
        <w:pStyle w:val="Definition-Field"/>
      </w:pPr>
      <w:r>
        <w:t xml:space="preserve">u.   </w:t>
      </w:r>
      <w:r>
        <w:rPr>
          <w:i/>
        </w:rPr>
        <w:t>The standard states for th</w:t>
      </w:r>
      <w:r>
        <w:rPr>
          <w:i/>
        </w:rPr>
        <w:t>e ganada enumeration value that a character should be repeated for values above 14</w:t>
      </w:r>
    </w:p>
    <w:p w:rsidR="00024C0A" w:rsidRDefault="00694C0F">
      <w:pPr>
        <w:pStyle w:val="Definition-Field2"/>
      </w:pPr>
      <w:r>
        <w:t>Word does not repeat any characters for values above 14; instead it simply restarts at 1.</w:t>
      </w:r>
    </w:p>
    <w:p w:rsidR="00024C0A" w:rsidRDefault="00694C0F">
      <w:pPr>
        <w:pStyle w:val="Definition-Field"/>
      </w:pPr>
      <w:r>
        <w:t xml:space="preserve">v.   </w:t>
      </w:r>
      <w:r>
        <w:rPr>
          <w:i/>
        </w:rPr>
        <w:t xml:space="preserve">The standard specifies that for the ideographLegalTraditional enum value, the </w:t>
      </w:r>
      <w:r>
        <w:rPr>
          <w:i/>
        </w:rPr>
        <w:t>sequence number 3 is represented by the character U+53C3.</w:t>
      </w:r>
    </w:p>
    <w:p w:rsidR="00024C0A" w:rsidRDefault="00694C0F">
      <w:pPr>
        <w:pStyle w:val="Definition-Field2"/>
      </w:pPr>
      <w:r>
        <w:t>Word uses the character U+53C1 to represent the sequence number 3.</w:t>
      </w:r>
    </w:p>
    <w:p w:rsidR="00024C0A" w:rsidRDefault="00694C0F">
      <w:pPr>
        <w:pStyle w:val="Definition-Field"/>
      </w:pPr>
      <w:r>
        <w:t xml:space="preserve">w.   </w:t>
      </w:r>
      <w:r>
        <w:rPr>
          <w:i/>
        </w:rPr>
        <w:t>The standard specifies the set of characters used by arabicAbjad numbering format for values 1–28.</w:t>
      </w:r>
    </w:p>
    <w:p w:rsidR="00024C0A" w:rsidRDefault="00694C0F">
      <w:pPr>
        <w:pStyle w:val="Definition-Field2"/>
      </w:pPr>
      <w:r>
        <w:t xml:space="preserve">Word adds the zero-width </w:t>
      </w:r>
      <w:r>
        <w:t>non-joiner character U+200C before every sequence number used by this numbering format.</w:t>
      </w:r>
    </w:p>
    <w:p w:rsidR="00024C0A" w:rsidRDefault="00694C0F">
      <w:pPr>
        <w:pStyle w:val="Definition-Field"/>
      </w:pPr>
      <w:r>
        <w:t xml:space="preserve">x.   </w:t>
      </w:r>
      <w:r>
        <w:rPr>
          <w:i/>
        </w:rPr>
        <w:t>The standard specifies the set of characters used by arabicAlpha numbering format for values 1–28.</w:t>
      </w:r>
    </w:p>
    <w:p w:rsidR="00024C0A" w:rsidRDefault="00694C0F">
      <w:pPr>
        <w:pStyle w:val="Definition-Field2"/>
      </w:pPr>
      <w:r>
        <w:t>Word adds the zero-width non-joiner character U+200C after every</w:t>
      </w:r>
      <w:r>
        <w:t xml:space="preserve"> sequence number used by this numbering format.</w:t>
      </w:r>
    </w:p>
    <w:p w:rsidR="00024C0A" w:rsidRDefault="00694C0F">
      <w:pPr>
        <w:pStyle w:val="Definition-Field"/>
      </w:pPr>
      <w:r>
        <w:t xml:space="preserve">y.   </w:t>
      </w:r>
      <w:r>
        <w:rPr>
          <w:i/>
        </w:rPr>
        <w:t>The standard specifies the set of characters used by hebrew2 numbering format for values 1–22.</w:t>
      </w:r>
    </w:p>
    <w:p w:rsidR="00024C0A" w:rsidRDefault="00694C0F">
      <w:pPr>
        <w:pStyle w:val="Definition-Field2"/>
      </w:pPr>
      <w:r>
        <w:t>Word adds the RTL character U+200F before every sequence number used by this numbering format.</w:t>
      </w:r>
    </w:p>
    <w:p w:rsidR="00024C0A" w:rsidRDefault="00694C0F">
      <w:pPr>
        <w:pStyle w:val="Definition-Field"/>
      </w:pPr>
      <w:r>
        <w:t xml:space="preserve">z.   </w:t>
      </w:r>
      <w:r>
        <w:rPr>
          <w:i/>
        </w:rPr>
        <w:t>The stan</w:t>
      </w:r>
      <w:r>
        <w:rPr>
          <w:i/>
        </w:rPr>
        <w:t>dard does not mention the usage of U+96F6 for ideographLegalTraditional.</w:t>
      </w:r>
    </w:p>
    <w:p w:rsidR="00024C0A" w:rsidRDefault="00694C0F">
      <w:pPr>
        <w:pStyle w:val="Definition-Field2"/>
      </w:pPr>
      <w:r>
        <w:t>Word uses the same rule as chineseLegalSimplified to determine when to write out U+96F6.</w:t>
      </w:r>
    </w:p>
    <w:p w:rsidR="00024C0A" w:rsidRDefault="00694C0F">
      <w:pPr>
        <w:pStyle w:val="Definition-Field"/>
      </w:pPr>
      <w:r>
        <w:t xml:space="preserve">aa.  </w:t>
      </w:r>
      <w:r>
        <w:rPr>
          <w:i/>
        </w:rPr>
        <w:t>The standard does not mention the usage of the character U+5104 in the japaneseLegal numb</w:t>
      </w:r>
      <w:r>
        <w:rPr>
          <w:i/>
        </w:rPr>
        <w:t>ering.</w:t>
      </w:r>
    </w:p>
    <w:p w:rsidR="00024C0A" w:rsidRDefault="00694C0F">
      <w:pPr>
        <w:pStyle w:val="Definition-Field2"/>
      </w:pPr>
      <w:r>
        <w:t>Word uses the character U+5104 when writing out the sequence numbers from 100,000,000 and above.</w:t>
      </w:r>
    </w:p>
    <w:p w:rsidR="00024C0A" w:rsidRDefault="00694C0F">
      <w:pPr>
        <w:pStyle w:val="Definition-Field"/>
      </w:pPr>
      <w:r>
        <w:lastRenderedPageBreak/>
        <w:t xml:space="preserve">bb.  </w:t>
      </w:r>
      <w:r>
        <w:rPr>
          <w:i/>
        </w:rPr>
        <w:t>The standard does not specify any other characters for sequence numbers above 100 for the koreanLegal numbering style.</w:t>
      </w:r>
    </w:p>
    <w:p w:rsidR="00024C0A" w:rsidRDefault="00694C0F">
      <w:pPr>
        <w:pStyle w:val="Definition-Field2"/>
      </w:pPr>
      <w:r>
        <w:t>Word uses the procedure spec</w:t>
      </w:r>
      <w:r>
        <w:t>ified for koreanCounting numbering format to create sequence numbers for 100 and above.</w:t>
      </w:r>
    </w:p>
    <w:p w:rsidR="00024C0A" w:rsidRDefault="00694C0F">
      <w:pPr>
        <w:pStyle w:val="Definition-Field"/>
      </w:pPr>
      <w:r>
        <w:t xml:space="preserve">cc.  </w:t>
      </w:r>
      <w:r>
        <w:rPr>
          <w:i/>
        </w:rPr>
        <w:t>The standard states that the sequence number is placed between two dashes.</w:t>
      </w:r>
    </w:p>
    <w:p w:rsidR="00024C0A" w:rsidRDefault="00694C0F">
      <w:pPr>
        <w:pStyle w:val="Definition-Field2"/>
      </w:pPr>
      <w:r>
        <w:t>Word inserts spaces (U+0020) between the number and the two dashes for numberInDashes nu</w:t>
      </w:r>
      <w:r>
        <w:t>mbering formats.</w:t>
      </w:r>
    </w:p>
    <w:p w:rsidR="00024C0A" w:rsidRDefault="00694C0F">
      <w:pPr>
        <w:pStyle w:val="Heading3"/>
      </w:pPr>
      <w:bookmarkStart w:id="1111" w:name="section_aedde12f31894c22b1363b7a6b93e574"/>
      <w:bookmarkStart w:id="1112" w:name="_Toc12260616"/>
      <w:r>
        <w:t>Part 1 Section 17.18.62, ST_PageBorderDisplay (Page Border Display Options)</w:t>
      </w:r>
      <w:bookmarkEnd w:id="1111"/>
      <w:bookmarkEnd w:id="1112"/>
      <w:r>
        <w:fldChar w:fldCharType="begin"/>
      </w:r>
      <w:r>
        <w:instrText xml:space="preserve"> XE "ST_PageBorderDisplay (Page Border Display Options)" </w:instrText>
      </w:r>
      <w:r>
        <w:fldChar w:fldCharType="end"/>
      </w:r>
    </w:p>
    <w:p w:rsidR="00024C0A" w:rsidRDefault="00694C0F">
      <w:pPr>
        <w:pStyle w:val="Definition-Field"/>
      </w:pPr>
      <w:r>
        <w:t xml:space="preserve">a.   </w:t>
      </w:r>
      <w:r>
        <w:rPr>
          <w:i/>
        </w:rPr>
        <w:t>The standard states that the value notFirstPage specifies that the page border shall be displayed o</w:t>
      </w:r>
      <w:r>
        <w:rPr>
          <w:i/>
        </w:rPr>
        <w:t>n only the first page in the parent section.</w:t>
      </w:r>
    </w:p>
    <w:p w:rsidR="00024C0A" w:rsidRDefault="00694C0F">
      <w:pPr>
        <w:pStyle w:val="Definition-Field2"/>
      </w:pPr>
      <w:r>
        <w:t>Word uses this value to specify that the page border shall be displayed on all pages except the first page in the parent section.</w:t>
      </w:r>
    </w:p>
    <w:p w:rsidR="00024C0A" w:rsidRDefault="00694C0F">
      <w:pPr>
        <w:pStyle w:val="Heading3"/>
      </w:pPr>
      <w:bookmarkStart w:id="1113" w:name="section_b21388bd37bf41f0b4b69c84e2d212ec"/>
      <w:bookmarkStart w:id="1114" w:name="_Toc12260617"/>
      <w:r>
        <w:t>Part 1 Section 17.18.68, ST_PointMeasure (Measurement in Points)</w:t>
      </w:r>
      <w:bookmarkEnd w:id="1113"/>
      <w:bookmarkEnd w:id="1114"/>
      <w:r>
        <w:fldChar w:fldCharType="begin"/>
      </w:r>
      <w:r>
        <w:instrText xml:space="preserve"> XE "ST_PointMeas</w:instrText>
      </w:r>
      <w:r>
        <w:instrText xml:space="preserve">ure (Measurement in Points)" </w:instrText>
      </w:r>
      <w:r>
        <w:fldChar w:fldCharType="end"/>
      </w:r>
    </w:p>
    <w:p w:rsidR="00024C0A" w:rsidRDefault="00694C0F">
      <w:pPr>
        <w:pStyle w:val="Definition-Field"/>
      </w:pPr>
      <w:r>
        <w:t xml:space="preserve">a.   </w:t>
      </w:r>
      <w:r>
        <w:rPr>
          <w:i/>
        </w:rPr>
        <w:t>The standard states that the contents of the ST_PointMeasure simple type are defined by the ST_UnsignedDecimalNumber simple type.</w:t>
      </w:r>
    </w:p>
    <w:p w:rsidR="00024C0A" w:rsidRDefault="00694C0F">
      <w:pPr>
        <w:pStyle w:val="Definition-Field2"/>
      </w:pPr>
      <w:r>
        <w:t>Word restricts the contents of this simple type to be at least 0 and at most 31.</w:t>
      </w:r>
    </w:p>
    <w:p w:rsidR="00024C0A" w:rsidRDefault="00694C0F">
      <w:pPr>
        <w:pStyle w:val="Heading3"/>
      </w:pPr>
      <w:bookmarkStart w:id="1115" w:name="section_2b440ff26db44035a578a0813d85890f"/>
      <w:bookmarkStart w:id="1116" w:name="_Toc12260618"/>
      <w:r>
        <w:t>Part 1 S</w:t>
      </w:r>
      <w:r>
        <w:t>ection 17.18.70, ST_ProofErr (Proofing Error Type)</w:t>
      </w:r>
      <w:bookmarkEnd w:id="1115"/>
      <w:bookmarkEnd w:id="1116"/>
      <w:r>
        <w:fldChar w:fldCharType="begin"/>
      </w:r>
      <w:r>
        <w:instrText xml:space="preserve"> XE "ST_ProofErr (Proofing Error Type)" </w:instrText>
      </w:r>
      <w:r>
        <w:fldChar w:fldCharType="end"/>
      </w:r>
    </w:p>
    <w:p w:rsidR="00024C0A" w:rsidRDefault="00694C0F">
      <w:pPr>
        <w:pStyle w:val="Definition-Field"/>
      </w:pPr>
      <w:r>
        <w:t xml:space="preserve">a.   </w:t>
      </w:r>
      <w:r>
        <w:rPr>
          <w:i/>
        </w:rPr>
        <w:t>The standard states that the gramStart attribute indicates the end of a grammatical error and the gramEnd attribute indicates the start of a grammatical error</w:t>
      </w:r>
      <w:r>
        <w:rPr>
          <w:i/>
        </w:rPr>
        <w:t>.</w:t>
      </w:r>
    </w:p>
    <w:p w:rsidR="00024C0A" w:rsidRDefault="00694C0F">
      <w:pPr>
        <w:pStyle w:val="Definition-Field2"/>
      </w:pPr>
      <w:r>
        <w:t>Word uses the gramStart attribute to indicate the start of a grammatical error and the gramEnd attribute to indicate the end of a grammatical error.</w:t>
      </w:r>
    </w:p>
    <w:p w:rsidR="00024C0A" w:rsidRDefault="00694C0F">
      <w:pPr>
        <w:pStyle w:val="Heading3"/>
      </w:pPr>
      <w:bookmarkStart w:id="1117" w:name="section_efc29c4359ea4dfdb4f82ca25fd436f8"/>
      <w:bookmarkStart w:id="1118" w:name="_Toc12260619"/>
      <w:r>
        <w:t>Part 1 Section 17.18.75, ST_RubyAlign (Phonetic Guide Text Alignment)</w:t>
      </w:r>
      <w:bookmarkEnd w:id="1117"/>
      <w:bookmarkEnd w:id="1118"/>
      <w:r>
        <w:fldChar w:fldCharType="begin"/>
      </w:r>
      <w:r>
        <w:instrText xml:space="preserve"> XE "ST_RubyAlign (Phonetic Guide Te</w:instrText>
      </w:r>
      <w:r>
        <w:instrText xml:space="preserve">xt Alignment)" </w:instrText>
      </w:r>
      <w:r>
        <w:fldChar w:fldCharType="end"/>
      </w:r>
    </w:p>
    <w:p w:rsidR="00024C0A" w:rsidRDefault="00694C0F">
      <w:pPr>
        <w:pStyle w:val="Definition-Field"/>
      </w:pPr>
      <w:r>
        <w:t xml:space="preserve">a.   </w:t>
      </w:r>
      <w:r>
        <w:rPr>
          <w:i/>
        </w:rPr>
        <w:t>The standard states that for the left enumeration value ruby text will be aligned left and for the right enumeration value ruby text will be aligned right.</w:t>
      </w:r>
    </w:p>
    <w:p w:rsidR="00024C0A" w:rsidRDefault="00694C0F">
      <w:pPr>
        <w:pStyle w:val="Definition-Field2"/>
      </w:pPr>
      <w:r>
        <w:t xml:space="preserve">Word changes left to right and left to right when the run layout is </w:t>
      </w:r>
      <w:r>
        <w:t>right-to-left.</w:t>
      </w:r>
    </w:p>
    <w:p w:rsidR="00024C0A" w:rsidRDefault="00694C0F">
      <w:pPr>
        <w:pStyle w:val="Heading3"/>
      </w:pPr>
      <w:bookmarkStart w:id="1119" w:name="section_e4664ccd36da4383a13c3d5df57ed188"/>
      <w:bookmarkStart w:id="1120" w:name="_Toc12260620"/>
      <w:r>
        <w:t>Part 1 Section 17.18.78, ST_Shd (Shading Patterns)</w:t>
      </w:r>
      <w:bookmarkEnd w:id="1119"/>
      <w:bookmarkEnd w:id="1120"/>
      <w:r>
        <w:fldChar w:fldCharType="begin"/>
      </w:r>
      <w:r>
        <w:instrText xml:space="preserve"> XE "ST_Shd (Shading Patterns)" </w:instrText>
      </w:r>
      <w:r>
        <w:fldChar w:fldCharType="end"/>
      </w:r>
    </w:p>
    <w:p w:rsidR="00024C0A" w:rsidRDefault="00694C0F">
      <w:pPr>
        <w:pStyle w:val="Definition-Field"/>
      </w:pPr>
      <w:r>
        <w:t xml:space="preserve">a.   </w:t>
      </w:r>
      <w:r>
        <w:rPr>
          <w:i/>
        </w:rPr>
        <w:t>The standard specifies an enumeration value "nil" with the same meaning as clear.</w:t>
      </w:r>
    </w:p>
    <w:p w:rsidR="00024C0A" w:rsidRDefault="00694C0F">
      <w:pPr>
        <w:pStyle w:val="Definition-Field2"/>
      </w:pPr>
      <w:r>
        <w:t>Word ignores value "nil" when used to specify properties of a paragra</w:t>
      </w:r>
      <w:r>
        <w:t>ph or a run of text. Word treats the value "nil" as equivalent to not specifying shading when it is used to specify properties of a table, cell, or row.</w:t>
      </w:r>
    </w:p>
    <w:p w:rsidR="00024C0A" w:rsidRDefault="00694C0F">
      <w:pPr>
        <w:pStyle w:val="Heading3"/>
      </w:pPr>
      <w:bookmarkStart w:id="1121" w:name="section_ec90ea290277451c89455d04dd0db08a"/>
      <w:bookmarkStart w:id="1122" w:name="_Toc12260621"/>
      <w:r>
        <w:t>Part 1 Section 17.18.80, ST_SignedHpsMeasure (Signed Measurement in Half-Points)</w:t>
      </w:r>
      <w:bookmarkEnd w:id="1121"/>
      <w:bookmarkEnd w:id="1122"/>
      <w:r>
        <w:fldChar w:fldCharType="begin"/>
      </w:r>
      <w:r>
        <w:instrText xml:space="preserve"> XE "ST_SignedHpsMeasure (Signed Measurement in Half-Points)" </w:instrText>
      </w:r>
      <w:r>
        <w:fldChar w:fldCharType="end"/>
      </w:r>
    </w:p>
    <w:p w:rsidR="00024C0A" w:rsidRDefault="00694C0F">
      <w:pPr>
        <w:pStyle w:val="Definition-Field"/>
      </w:pPr>
      <w:r>
        <w:t xml:space="preserve">a.   </w:t>
      </w:r>
      <w:r>
        <w:rPr>
          <w:i/>
        </w:rPr>
        <w:t>The standard states that ST_SignedHpsMeasure allows unbounded integers.</w:t>
      </w:r>
    </w:p>
    <w:p w:rsidR="00024C0A" w:rsidRDefault="00694C0F">
      <w:pPr>
        <w:pStyle w:val="Definition-Field2"/>
      </w:pPr>
      <w:r>
        <w:t>Word only reads 32-bit integers for ST_SignedHpsMeasure.</w:t>
      </w:r>
    </w:p>
    <w:p w:rsidR="00024C0A" w:rsidRDefault="00694C0F">
      <w:pPr>
        <w:pStyle w:val="Heading3"/>
      </w:pPr>
      <w:bookmarkStart w:id="1123" w:name="section_5bc2ab7004c742d89784bf7101866b87"/>
      <w:bookmarkStart w:id="1124" w:name="_Toc12260622"/>
      <w:r>
        <w:lastRenderedPageBreak/>
        <w:t>Part 1 Section 17.18.81, ST_SignedTwipsMeasure (Signed Me</w:t>
      </w:r>
      <w:r>
        <w:t>asurement in Twentieths of a Point)</w:t>
      </w:r>
      <w:bookmarkEnd w:id="1123"/>
      <w:bookmarkEnd w:id="1124"/>
      <w:r>
        <w:fldChar w:fldCharType="begin"/>
      </w:r>
      <w:r>
        <w:instrText xml:space="preserve"> XE "ST_SignedTwipsMeasure (Signed Measurement in Twentieths of a Point)" </w:instrText>
      </w:r>
      <w:r>
        <w:fldChar w:fldCharType="end"/>
      </w:r>
    </w:p>
    <w:p w:rsidR="00024C0A" w:rsidRDefault="00694C0F">
      <w:pPr>
        <w:pStyle w:val="Definition-Field"/>
      </w:pPr>
      <w:r>
        <w:t xml:space="preserve">a.   </w:t>
      </w:r>
      <w:r>
        <w:rPr>
          <w:i/>
        </w:rPr>
        <w:t>The standard states that ST_SignedTwipsMeasure allows unbounded integers.</w:t>
      </w:r>
    </w:p>
    <w:p w:rsidR="00024C0A" w:rsidRDefault="00694C0F">
      <w:pPr>
        <w:pStyle w:val="Definition-Field2"/>
      </w:pPr>
      <w:r>
        <w:t>Word only reads 32-bit integers for ST_SignedTwipsMeasure.</w:t>
      </w:r>
    </w:p>
    <w:p w:rsidR="00024C0A" w:rsidRDefault="00694C0F">
      <w:pPr>
        <w:pStyle w:val="Heading3"/>
      </w:pPr>
      <w:bookmarkStart w:id="1125" w:name="section_5c5c4a0a02ba44d7a0f2c101221ce4a8"/>
      <w:bookmarkStart w:id="1126" w:name="_Toc12260623"/>
      <w:r>
        <w:t>Part 1</w:t>
      </w:r>
      <w:r>
        <w:t xml:space="preserve"> Section 17.18.84, ST_TabJc (Custom Tab Stop Type)</w:t>
      </w:r>
      <w:bookmarkEnd w:id="1125"/>
      <w:bookmarkEnd w:id="1126"/>
      <w:r>
        <w:fldChar w:fldCharType="begin"/>
      </w:r>
      <w:r>
        <w:instrText xml:space="preserve"> XE "ST_TabJc (Custom Tab Stop Type)" </w:instrText>
      </w:r>
      <w:r>
        <w:fldChar w:fldCharType="end"/>
      </w:r>
    </w:p>
    <w:p w:rsidR="00024C0A" w:rsidRDefault="00694C0F">
      <w:pPr>
        <w:pStyle w:val="Definition-Field"/>
      </w:pPr>
      <w:r>
        <w:t xml:space="preserve">a.   </w:t>
      </w:r>
      <w:r>
        <w:rPr>
          <w:i/>
        </w:rPr>
        <w:t>The standard states that the decimal value specifies that the current tab stop shall result in a location in the document where all following text is aligned ar</w:t>
      </w:r>
      <w:r>
        <w:rPr>
          <w:i/>
        </w:rPr>
        <w:t>ound the first decimal character in the following text runs.</w:t>
      </w:r>
    </w:p>
    <w:p w:rsidR="00024C0A" w:rsidRDefault="00694C0F">
      <w:pPr>
        <w:pStyle w:val="Definition-Field2"/>
      </w:pPr>
      <w:r>
        <w:t>In Word, if the value is decimal, the tab stop results in a location in the document where all following text is aligned around the first decimal separator in the following text runs.</w:t>
      </w:r>
    </w:p>
    <w:p w:rsidR="00024C0A" w:rsidRDefault="00694C0F">
      <w:pPr>
        <w:pStyle w:val="Definition-Field"/>
      </w:pPr>
      <w:r>
        <w:t xml:space="preserve">b.   </w:t>
      </w:r>
      <w:r>
        <w:rPr>
          <w:i/>
        </w:rPr>
        <w:t>The st</w:t>
      </w:r>
      <w:r>
        <w:rPr>
          <w:i/>
        </w:rPr>
        <w:t>andard does not state how to interpret the decimal attribute if there is no decimal separator.</w:t>
      </w:r>
    </w:p>
    <w:p w:rsidR="00024C0A" w:rsidRDefault="00694C0F">
      <w:pPr>
        <w:pStyle w:val="Definition-Field2"/>
      </w:pPr>
      <w:r>
        <w:t>Word aligns text around the implicit decimal separator after the last digit of the first numerical value appearing in the following text if there is no decimal s</w:t>
      </w:r>
      <w:r>
        <w:t>eparator.</w:t>
      </w:r>
    </w:p>
    <w:p w:rsidR="00024C0A" w:rsidRDefault="00694C0F">
      <w:pPr>
        <w:pStyle w:val="Definition-Field"/>
      </w:pPr>
      <w:r>
        <w:t xml:space="preserve">c.   </w:t>
      </w:r>
      <w:r>
        <w:rPr>
          <w:i/>
        </w:rPr>
        <w:t>The standard does not list "left" or "right" as valid values for the val attribute.</w:t>
      </w:r>
    </w:p>
    <w:p w:rsidR="00024C0A" w:rsidRDefault="00694C0F">
      <w:pPr>
        <w:pStyle w:val="Definition-Field2"/>
      </w:pPr>
      <w:r>
        <w:t>Word treats a value of "left" as if it were "start".  Word treats a value of "right" as if it were "end".</w:t>
      </w:r>
    </w:p>
    <w:p w:rsidR="00024C0A" w:rsidRDefault="00694C0F">
      <w:pPr>
        <w:pStyle w:val="Definition-Field"/>
      </w:pPr>
      <w:r>
        <w:t xml:space="preserve">d.   </w:t>
      </w:r>
      <w:r>
        <w:rPr>
          <w:i/>
        </w:rPr>
        <w:t>The standard does not describe the behavior wh</w:t>
      </w:r>
      <w:r>
        <w:rPr>
          <w:i/>
        </w:rPr>
        <w:t>en a table cell contains a single decimal tab stop.</w:t>
      </w:r>
    </w:p>
    <w:p w:rsidR="00024C0A" w:rsidRDefault="00694C0F">
      <w:pPr>
        <w:pStyle w:val="Definition-Field2"/>
      </w:pPr>
      <w:r>
        <w:t>Word will insert an implicit tab into the table cell when there is a single decimal tab stop, which results in the content being aligned to the decimal tab stop automatically.</w:t>
      </w:r>
    </w:p>
    <w:p w:rsidR="00024C0A" w:rsidRDefault="00694C0F">
      <w:pPr>
        <w:pStyle w:val="Heading3"/>
      </w:pPr>
      <w:bookmarkStart w:id="1127" w:name="section_3359ff85c4234b9dbe78d1cf96f79486"/>
      <w:bookmarkStart w:id="1128" w:name="_Toc12260624"/>
      <w:r>
        <w:t>Part 1 Section 17.18.89, ST_</w:t>
      </w:r>
      <w:r>
        <w:t>TblStyleOverrideType (Conditional Table Style Formatting Types)</w:t>
      </w:r>
      <w:bookmarkEnd w:id="1127"/>
      <w:bookmarkEnd w:id="1128"/>
      <w:r>
        <w:fldChar w:fldCharType="begin"/>
      </w:r>
      <w:r>
        <w:instrText xml:space="preserve"> XE "ST_TblStyleOverrideType (Conditional Table Style Formatting Types)" </w:instrText>
      </w:r>
      <w:r>
        <w:fldChar w:fldCharType="end"/>
      </w:r>
    </w:p>
    <w:p w:rsidR="00024C0A" w:rsidRDefault="00694C0F">
      <w:pPr>
        <w:pStyle w:val="Definition-Field"/>
      </w:pPr>
      <w:r>
        <w:t xml:space="preserve">a.   </w:t>
      </w:r>
      <w:r>
        <w:rPr>
          <w:i/>
        </w:rPr>
        <w:t>The standard states that a value of "wholeTable" for the "type" attribute specifies that the given conditional f</w:t>
      </w:r>
      <w:r>
        <w:rPr>
          <w:i/>
        </w:rPr>
        <w:t>ormatting applies to the entire table.</w:t>
      </w:r>
    </w:p>
    <w:p w:rsidR="00024C0A" w:rsidRDefault="00694C0F">
      <w:pPr>
        <w:pStyle w:val="Definition-Field2"/>
      </w:pPr>
      <w:r>
        <w:t>Word does not apply and discards on save any properties within the tblStylePr ("</w:t>
      </w:r>
      <w:hyperlink r:id="rId111">
        <w:r>
          <w:rPr>
            <w:rStyle w:val="Hyperlink"/>
          </w:rPr>
          <w:t>[ISO/IEC-29500-1]</w:t>
        </w:r>
      </w:hyperlink>
      <w:r>
        <w:t xml:space="preserve"> §17.7.6.6; tblStylePr") element when the "type" attri</w:t>
      </w:r>
      <w:r>
        <w:t>bute has a value of "wholeTable".</w:t>
      </w:r>
    </w:p>
    <w:p w:rsidR="00024C0A" w:rsidRDefault="00694C0F">
      <w:pPr>
        <w:pStyle w:val="Heading3"/>
      </w:pPr>
      <w:bookmarkStart w:id="1129" w:name="section_ad8ec7f973a341aab193562caeda1103"/>
      <w:bookmarkStart w:id="1130" w:name="_Toc12260625"/>
      <w:r>
        <w:t>Part 1 Section 17.18.93, ST_TextDirection (Text Flow Direction)</w:t>
      </w:r>
      <w:bookmarkEnd w:id="1129"/>
      <w:bookmarkEnd w:id="1130"/>
      <w:r>
        <w:fldChar w:fldCharType="begin"/>
      </w:r>
      <w:r>
        <w:instrText xml:space="preserve"> XE "ST_TextDirection (Text Flow Direction)" </w:instrText>
      </w:r>
      <w:r>
        <w:fldChar w:fldCharType="end"/>
      </w:r>
    </w:p>
    <w:p w:rsidR="00024C0A" w:rsidRDefault="00694C0F">
      <w:pPr>
        <w:pStyle w:val="Definition-Field"/>
      </w:pPr>
      <w:r>
        <w:t xml:space="preserve">a.   </w:t>
      </w:r>
      <w:r>
        <w:rPr>
          <w:i/>
        </w:rPr>
        <w:t>The standard states that tbLrV orients lines from top to bottom, left to right and tbRlV orients lines fro</w:t>
      </w:r>
      <w:r>
        <w:rPr>
          <w:i/>
        </w:rPr>
        <w:t>m top to bottom, right to left.</w:t>
      </w:r>
    </w:p>
    <w:p w:rsidR="00024C0A" w:rsidRDefault="00694C0F">
      <w:r>
        <w:t>The standard states:</w:t>
      </w:r>
    </w:p>
    <w:tbl>
      <w:tblPr>
        <w:tblStyle w:val="Table-ShadedHeader"/>
        <w:tblW w:w="0" w:type="auto"/>
        <w:tblLook w:val="04A0" w:firstRow="1" w:lastRow="0" w:firstColumn="1" w:lastColumn="0" w:noHBand="0" w:noVBand="1"/>
      </w:tblPr>
      <w:tblGrid>
        <w:gridCol w:w="4162"/>
        <w:gridCol w:w="278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Enumeration Value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btLr</w:t>
            </w:r>
            <w:r>
              <w:t xml:space="preserve"> (Lines Flow From Left to Right)</w:t>
            </w:r>
          </w:p>
        </w:tc>
        <w:tc>
          <w:tcPr>
            <w:tcW w:w="0" w:type="auto"/>
            <w:vAlign w:val="center"/>
          </w:tcPr>
          <w:p w:rsidR="00024C0A" w:rsidRDefault="00694C0F">
            <w:pPr>
              <w:pStyle w:val="TableBodyText"/>
            </w:pPr>
            <w:r>
              <w:t xml:space="preserve">Semantically equivalent to </w:t>
            </w:r>
            <w:r>
              <w:rPr>
                <w:b/>
              </w:rPr>
              <w:t>lr</w:t>
            </w:r>
            <w:r>
              <w:t>.</w:t>
            </w:r>
          </w:p>
        </w:tc>
      </w:tr>
      <w:tr w:rsidR="00024C0A" w:rsidTr="00024C0A">
        <w:tc>
          <w:tcPr>
            <w:tcW w:w="0" w:type="auto"/>
            <w:vAlign w:val="center"/>
          </w:tcPr>
          <w:p w:rsidR="00024C0A" w:rsidRDefault="00694C0F">
            <w:pPr>
              <w:pStyle w:val="TableBodyText"/>
            </w:pPr>
            <w:r>
              <w:rPr>
                <w:b/>
              </w:rPr>
              <w:t>lrTb</w:t>
            </w:r>
            <w:r>
              <w:t xml:space="preserve"> (Lines Flow From Top to Bottom)</w:t>
            </w:r>
          </w:p>
        </w:tc>
        <w:tc>
          <w:tcPr>
            <w:tcW w:w="0" w:type="auto"/>
            <w:vAlign w:val="center"/>
          </w:tcPr>
          <w:p w:rsidR="00024C0A" w:rsidRDefault="00694C0F">
            <w:pPr>
              <w:pStyle w:val="TableBodyText"/>
            </w:pPr>
            <w:r>
              <w:t xml:space="preserve">Semantically equivalent to </w:t>
            </w:r>
            <w:r>
              <w:rPr>
                <w:b/>
              </w:rPr>
              <w:t>tb</w:t>
            </w:r>
            <w:r>
              <w:t>.</w:t>
            </w:r>
          </w:p>
        </w:tc>
      </w:tr>
      <w:tr w:rsidR="00024C0A" w:rsidTr="00024C0A">
        <w:tc>
          <w:tcPr>
            <w:tcW w:w="0" w:type="auto"/>
            <w:vAlign w:val="center"/>
          </w:tcPr>
          <w:p w:rsidR="00024C0A" w:rsidRDefault="00694C0F">
            <w:pPr>
              <w:pStyle w:val="TableBodyText"/>
            </w:pPr>
            <w:r>
              <w:rPr>
                <w:b/>
              </w:rPr>
              <w:t>lrTbV</w:t>
            </w:r>
            <w:r>
              <w:t xml:space="preserve"> (Lines Flow From Top to Bottom, Rotated)</w:t>
            </w:r>
          </w:p>
        </w:tc>
        <w:tc>
          <w:tcPr>
            <w:tcW w:w="0" w:type="auto"/>
            <w:vAlign w:val="center"/>
          </w:tcPr>
          <w:p w:rsidR="00024C0A" w:rsidRDefault="00694C0F">
            <w:pPr>
              <w:pStyle w:val="TableBodyText"/>
            </w:pPr>
            <w:r>
              <w:t xml:space="preserve">Semantically equivalent to </w:t>
            </w:r>
            <w:r>
              <w:rPr>
                <w:b/>
              </w:rPr>
              <w:t>tbV</w:t>
            </w:r>
            <w:r>
              <w:t>.</w:t>
            </w:r>
          </w:p>
        </w:tc>
      </w:tr>
      <w:tr w:rsidR="00024C0A" w:rsidTr="00024C0A">
        <w:tc>
          <w:tcPr>
            <w:tcW w:w="0" w:type="auto"/>
            <w:vAlign w:val="center"/>
          </w:tcPr>
          <w:p w:rsidR="00024C0A" w:rsidRDefault="00694C0F">
            <w:pPr>
              <w:pStyle w:val="TableBodyText"/>
            </w:pPr>
            <w:r>
              <w:rPr>
                <w:b/>
              </w:rPr>
              <w:t>tbLrV</w:t>
            </w:r>
            <w:r>
              <w:t xml:space="preserve"> (Lines Flow From Left to Right, Rotated)</w:t>
            </w:r>
          </w:p>
        </w:tc>
        <w:tc>
          <w:tcPr>
            <w:tcW w:w="0" w:type="auto"/>
            <w:vAlign w:val="center"/>
          </w:tcPr>
          <w:p w:rsidR="00024C0A" w:rsidRDefault="00694C0F">
            <w:pPr>
              <w:pStyle w:val="TableBodyText"/>
            </w:pPr>
            <w:r>
              <w:t xml:space="preserve">Semantically equivalent to </w:t>
            </w:r>
            <w:r>
              <w:rPr>
                <w:b/>
              </w:rPr>
              <w:t>lrV</w:t>
            </w:r>
            <w:r>
              <w:t>.</w:t>
            </w:r>
          </w:p>
        </w:tc>
      </w:tr>
      <w:tr w:rsidR="00024C0A" w:rsidTr="00024C0A">
        <w:tc>
          <w:tcPr>
            <w:tcW w:w="0" w:type="auto"/>
            <w:vAlign w:val="center"/>
          </w:tcPr>
          <w:p w:rsidR="00024C0A" w:rsidRDefault="00694C0F">
            <w:pPr>
              <w:pStyle w:val="TableBodyText"/>
            </w:pPr>
            <w:r>
              <w:rPr>
                <w:b/>
              </w:rPr>
              <w:t>tbRl</w:t>
            </w:r>
            <w:r>
              <w:t xml:space="preserve"> (Lines Flow From Right to Left)</w:t>
            </w:r>
          </w:p>
        </w:tc>
        <w:tc>
          <w:tcPr>
            <w:tcW w:w="0" w:type="auto"/>
            <w:vAlign w:val="center"/>
          </w:tcPr>
          <w:p w:rsidR="00024C0A" w:rsidRDefault="00694C0F">
            <w:pPr>
              <w:pStyle w:val="TableBodyText"/>
            </w:pPr>
            <w:r>
              <w:t xml:space="preserve">Semantically equivalent to </w:t>
            </w:r>
            <w:r>
              <w:rPr>
                <w:b/>
              </w:rPr>
              <w:t>rl</w:t>
            </w:r>
            <w:r>
              <w:t>.</w:t>
            </w:r>
          </w:p>
        </w:tc>
      </w:tr>
      <w:tr w:rsidR="00024C0A" w:rsidTr="00024C0A">
        <w:tc>
          <w:tcPr>
            <w:tcW w:w="0" w:type="auto"/>
            <w:vAlign w:val="center"/>
          </w:tcPr>
          <w:p w:rsidR="00024C0A" w:rsidRDefault="00694C0F">
            <w:pPr>
              <w:pStyle w:val="TableBodyText"/>
            </w:pPr>
            <w:r>
              <w:rPr>
                <w:b/>
              </w:rPr>
              <w:t>tbRlV</w:t>
            </w:r>
            <w:r>
              <w:t xml:space="preserve"> (Lines Flow From Right to Left, Rotated)</w:t>
            </w:r>
          </w:p>
        </w:tc>
        <w:tc>
          <w:tcPr>
            <w:tcW w:w="0" w:type="auto"/>
            <w:vAlign w:val="center"/>
          </w:tcPr>
          <w:p w:rsidR="00024C0A" w:rsidRDefault="00694C0F">
            <w:pPr>
              <w:pStyle w:val="TableBodyText"/>
            </w:pPr>
            <w:r>
              <w:t xml:space="preserve">Semantically equivalent to </w:t>
            </w:r>
            <w:r>
              <w:rPr>
                <w:b/>
              </w:rPr>
              <w:t>rlV</w:t>
            </w:r>
            <w:r>
              <w:t>.</w:t>
            </w:r>
          </w:p>
        </w:tc>
      </w:tr>
    </w:tbl>
    <w:p w:rsidR="00024C0A" w:rsidRDefault="00024C0A"/>
    <w:p w:rsidR="00024C0A" w:rsidRDefault="00694C0F">
      <w:r>
        <w:t>In Word, these enumeration values have different meanings when used in the context of a table.</w:t>
      </w:r>
    </w:p>
    <w:tbl>
      <w:tblPr>
        <w:tblStyle w:val="Table-ShadedHeader"/>
        <w:tblW w:w="0" w:type="auto"/>
        <w:tblLook w:val="04A0" w:firstRow="1" w:lastRow="0" w:firstColumn="1" w:lastColumn="0" w:noHBand="0" w:noVBand="1"/>
      </w:tblPr>
      <w:tblGrid>
        <w:gridCol w:w="2833"/>
        <w:gridCol w:w="6642"/>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Enumeration Value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btLr</w:t>
            </w:r>
            <w:r>
              <w:t xml:space="preserve"> (Bottom to Top, Left to Right)</w:t>
            </w:r>
          </w:p>
        </w:tc>
        <w:tc>
          <w:tcPr>
            <w:tcW w:w="0" w:type="auto"/>
            <w:vAlign w:val="center"/>
          </w:tcPr>
          <w:p w:rsidR="00024C0A" w:rsidRDefault="00694C0F">
            <w:pPr>
              <w:pStyle w:val="TableBodyText"/>
            </w:pPr>
            <w:r>
              <w:t xml:space="preserve">Specifies that </w:t>
            </w:r>
            <w:r>
              <w:t>text in the parent object shall flow from bottom to top vertically, then from left to right horizontally on the page.</w:t>
            </w:r>
          </w:p>
          <w:p w:rsidR="00024C0A" w:rsidRDefault="00024C0A">
            <w:pPr>
              <w:pStyle w:val="TableBodyText"/>
            </w:pPr>
          </w:p>
          <w:p w:rsidR="00024C0A" w:rsidRDefault="00694C0F">
            <w:pPr>
              <w:pStyle w:val="TableBodyText"/>
            </w:pPr>
            <w:r>
              <w:t>This means that vertical lines are filled before the text expands horizontally.</w:t>
            </w:r>
          </w:p>
        </w:tc>
      </w:tr>
      <w:tr w:rsidR="00024C0A" w:rsidTr="00024C0A">
        <w:tc>
          <w:tcPr>
            <w:tcW w:w="0" w:type="auto"/>
            <w:vAlign w:val="center"/>
          </w:tcPr>
          <w:p w:rsidR="00024C0A" w:rsidRDefault="00694C0F">
            <w:pPr>
              <w:pStyle w:val="TableBodyText"/>
            </w:pPr>
            <w:r>
              <w:rPr>
                <w:b/>
              </w:rPr>
              <w:t>lrTb</w:t>
            </w:r>
            <w:r>
              <w:t xml:space="preserve"> (Left to Right, Top to Bottom)</w:t>
            </w:r>
          </w:p>
        </w:tc>
        <w:tc>
          <w:tcPr>
            <w:tcW w:w="0" w:type="auto"/>
            <w:vAlign w:val="center"/>
          </w:tcPr>
          <w:p w:rsidR="00024C0A" w:rsidRDefault="00694C0F">
            <w:pPr>
              <w:pStyle w:val="TableBodyText"/>
            </w:pPr>
            <w:r>
              <w:t xml:space="preserve">Specifies that text </w:t>
            </w:r>
            <w:r>
              <w:t>in the parent object shall flow from left to right horizontally, then top to bottom vertically on the page.</w:t>
            </w:r>
          </w:p>
          <w:p w:rsidR="00024C0A" w:rsidRDefault="00024C0A">
            <w:pPr>
              <w:pStyle w:val="TableBodyText"/>
            </w:pPr>
          </w:p>
          <w:p w:rsidR="00024C0A" w:rsidRDefault="00694C0F">
            <w:pPr>
              <w:pStyle w:val="TableBodyText"/>
            </w:pPr>
            <w:r>
              <w:t>This means that horizontal lines are filled before the text expands vertically.</w:t>
            </w:r>
          </w:p>
        </w:tc>
      </w:tr>
      <w:tr w:rsidR="00024C0A" w:rsidTr="00024C0A">
        <w:tc>
          <w:tcPr>
            <w:tcW w:w="0" w:type="auto"/>
            <w:vAlign w:val="center"/>
          </w:tcPr>
          <w:p w:rsidR="00024C0A" w:rsidRDefault="00694C0F">
            <w:pPr>
              <w:pStyle w:val="TableBodyText"/>
            </w:pPr>
            <w:r>
              <w:rPr>
                <w:b/>
              </w:rPr>
              <w:t>lrTbV</w:t>
            </w:r>
            <w:r>
              <w:t xml:space="preserve"> (Left to Right, Top to Bottom Rotated)</w:t>
            </w:r>
          </w:p>
        </w:tc>
        <w:tc>
          <w:tcPr>
            <w:tcW w:w="0" w:type="auto"/>
            <w:vAlign w:val="center"/>
          </w:tcPr>
          <w:p w:rsidR="00024C0A" w:rsidRDefault="00694C0F">
            <w:pPr>
              <w:pStyle w:val="TableBodyText"/>
            </w:pPr>
            <w:r>
              <w:t>Specifies that text i</w:t>
            </w:r>
            <w:r>
              <w:t>n the parent object shall flow from left to right horizontally, then top to bottom vertically on the page.</w:t>
            </w:r>
          </w:p>
          <w:p w:rsidR="00024C0A" w:rsidRDefault="00024C0A">
            <w:pPr>
              <w:pStyle w:val="TableBodyText"/>
            </w:pPr>
          </w:p>
          <w:p w:rsidR="00024C0A" w:rsidRDefault="00694C0F">
            <w:pPr>
              <w:pStyle w:val="TableBodyText"/>
            </w:pPr>
            <w:r>
              <w:t>This means that horizontal lines are filled before the text expands vertically.</w:t>
            </w:r>
          </w:p>
          <w:p w:rsidR="00024C0A" w:rsidRDefault="00024C0A">
            <w:pPr>
              <w:pStyle w:val="TableBodyText"/>
            </w:pPr>
          </w:p>
          <w:p w:rsidR="00024C0A" w:rsidRDefault="00694C0F">
            <w:pPr>
              <w:pStyle w:val="TableBodyText"/>
            </w:pPr>
            <w:r>
              <w:t xml:space="preserve">This flow is also rotated such that any East Asian text shall be </w:t>
            </w:r>
            <w:r>
              <w:t>rotated 270 degrees when displayed on a page.</w:t>
            </w:r>
          </w:p>
        </w:tc>
      </w:tr>
      <w:tr w:rsidR="00024C0A" w:rsidTr="00024C0A">
        <w:tc>
          <w:tcPr>
            <w:tcW w:w="0" w:type="auto"/>
            <w:vAlign w:val="center"/>
          </w:tcPr>
          <w:p w:rsidR="00024C0A" w:rsidRDefault="00694C0F">
            <w:pPr>
              <w:pStyle w:val="TableBodyText"/>
            </w:pPr>
            <w:r>
              <w:rPr>
                <w:b/>
              </w:rPr>
              <w:t>tbLrV</w:t>
            </w:r>
            <w:r>
              <w:t xml:space="preserve"> (Top to Bottom, Left to Right Rotated)</w:t>
            </w:r>
          </w:p>
        </w:tc>
        <w:tc>
          <w:tcPr>
            <w:tcW w:w="0" w:type="auto"/>
            <w:vAlign w:val="center"/>
          </w:tcPr>
          <w:p w:rsidR="00024C0A" w:rsidRDefault="00694C0F">
            <w:pPr>
              <w:pStyle w:val="TableBodyText"/>
            </w:pPr>
            <w:r>
              <w:t>Specifies that text in the parent object shall flow from top to bottom vertically, then left to right horizontally on the page.</w:t>
            </w:r>
          </w:p>
          <w:p w:rsidR="00024C0A" w:rsidRDefault="00024C0A">
            <w:pPr>
              <w:pStyle w:val="TableBodyText"/>
            </w:pPr>
          </w:p>
          <w:p w:rsidR="00024C0A" w:rsidRDefault="00694C0F">
            <w:pPr>
              <w:pStyle w:val="TableBodyText"/>
            </w:pPr>
            <w:r>
              <w:t xml:space="preserve">This means that vertical lines are </w:t>
            </w:r>
            <w:r>
              <w:t>filled before the text expands horizontally.</w:t>
            </w:r>
          </w:p>
          <w:p w:rsidR="00024C0A" w:rsidRDefault="00024C0A">
            <w:pPr>
              <w:pStyle w:val="TableBodyText"/>
            </w:pPr>
          </w:p>
          <w:p w:rsidR="00024C0A" w:rsidRDefault="00694C0F">
            <w:pPr>
              <w:pStyle w:val="TableBodyText"/>
            </w:pPr>
            <w:r>
              <w:t>This flow is also rotated such that all text is rotated 90 degrees when displayed on a page.</w:t>
            </w:r>
          </w:p>
        </w:tc>
      </w:tr>
      <w:tr w:rsidR="00024C0A" w:rsidTr="00024C0A">
        <w:tc>
          <w:tcPr>
            <w:tcW w:w="0" w:type="auto"/>
            <w:vAlign w:val="center"/>
          </w:tcPr>
          <w:p w:rsidR="00024C0A" w:rsidRDefault="00694C0F">
            <w:pPr>
              <w:pStyle w:val="TableBodyText"/>
            </w:pPr>
            <w:r>
              <w:rPr>
                <w:b/>
              </w:rPr>
              <w:t>tbRl</w:t>
            </w:r>
            <w:r>
              <w:t xml:space="preserve"> (Top to Bottom, Right to Left)</w:t>
            </w:r>
          </w:p>
        </w:tc>
        <w:tc>
          <w:tcPr>
            <w:tcW w:w="0" w:type="auto"/>
            <w:vAlign w:val="center"/>
          </w:tcPr>
          <w:p w:rsidR="00024C0A" w:rsidRDefault="00694C0F">
            <w:pPr>
              <w:pStyle w:val="TableBodyText"/>
            </w:pPr>
            <w:r>
              <w:t>Specifies that text in the parent object shall flow from right to left horizonta</w:t>
            </w:r>
            <w:r>
              <w:t>lly, then top to bottom vertically on the page.</w:t>
            </w:r>
          </w:p>
          <w:p w:rsidR="00024C0A" w:rsidRDefault="00024C0A">
            <w:pPr>
              <w:pStyle w:val="TableBodyText"/>
            </w:pPr>
          </w:p>
          <w:p w:rsidR="00024C0A" w:rsidRDefault="00694C0F">
            <w:pPr>
              <w:pStyle w:val="TableBodyText"/>
            </w:pPr>
            <w:r>
              <w:t>This means that horizontal lines are filled before the text expands vertically.</w:t>
            </w:r>
          </w:p>
        </w:tc>
      </w:tr>
      <w:tr w:rsidR="00024C0A" w:rsidTr="00024C0A">
        <w:tc>
          <w:tcPr>
            <w:tcW w:w="0" w:type="auto"/>
            <w:vAlign w:val="center"/>
          </w:tcPr>
          <w:p w:rsidR="00024C0A" w:rsidRDefault="00694C0F">
            <w:pPr>
              <w:pStyle w:val="TableBodyText"/>
            </w:pPr>
            <w:r>
              <w:rPr>
                <w:b/>
              </w:rPr>
              <w:t>tbRlV</w:t>
            </w:r>
            <w:r>
              <w:t xml:space="preserve"> (Top to Bottom, Right to Left Rotated)</w:t>
            </w:r>
          </w:p>
        </w:tc>
        <w:tc>
          <w:tcPr>
            <w:tcW w:w="0" w:type="auto"/>
            <w:vAlign w:val="center"/>
          </w:tcPr>
          <w:p w:rsidR="00024C0A" w:rsidRDefault="00694C0F">
            <w:pPr>
              <w:pStyle w:val="TableBodyText"/>
            </w:pPr>
            <w:r>
              <w:t>Specifies that text in the parent object shall flow from top to bottom vertically</w:t>
            </w:r>
            <w:r>
              <w:t>, then right to left horizontally on the page.</w:t>
            </w:r>
          </w:p>
          <w:p w:rsidR="00024C0A" w:rsidRDefault="00024C0A">
            <w:pPr>
              <w:pStyle w:val="TableBodyText"/>
            </w:pPr>
          </w:p>
          <w:p w:rsidR="00024C0A" w:rsidRDefault="00694C0F">
            <w:pPr>
              <w:pStyle w:val="TableBodyText"/>
            </w:pPr>
            <w:r>
              <w:t>This means that vertical lines are filled before the text expands horizontally.</w:t>
            </w:r>
          </w:p>
          <w:p w:rsidR="00024C0A" w:rsidRDefault="00024C0A">
            <w:pPr>
              <w:pStyle w:val="TableBodyText"/>
            </w:pPr>
          </w:p>
          <w:p w:rsidR="00024C0A" w:rsidRDefault="00694C0F">
            <w:pPr>
              <w:pStyle w:val="TableBodyText"/>
            </w:pPr>
            <w:r>
              <w:t>This flow is also rotated such that all text is rotated 90 degrees when displayed on a page.</w:t>
            </w:r>
          </w:p>
        </w:tc>
      </w:tr>
    </w:tbl>
    <w:p w:rsidR="00024C0A" w:rsidRDefault="00024C0A">
      <w:pPr>
        <w:pStyle w:val="Definition-Field"/>
      </w:pPr>
    </w:p>
    <w:p w:rsidR="00024C0A" w:rsidRDefault="00694C0F">
      <w:pPr>
        <w:pStyle w:val="Definition-Field"/>
      </w:pPr>
      <w:r>
        <w:t xml:space="preserve">b.   </w:t>
      </w:r>
      <w:r>
        <w:rPr>
          <w:i/>
        </w:rPr>
        <w:t xml:space="preserve">The standard states that </w:t>
      </w:r>
      <w:r>
        <w:rPr>
          <w:i/>
        </w:rPr>
        <w:t>btLr orients the text from bottom to top, then left to right.</w:t>
      </w:r>
    </w:p>
    <w:p w:rsidR="00024C0A" w:rsidRDefault="00694C0F">
      <w:pPr>
        <w:pStyle w:val="Definition-Field2"/>
      </w:pPr>
      <w:r>
        <w:t>Word does not respect this value when used at the section level.</w:t>
      </w:r>
    </w:p>
    <w:p w:rsidR="00024C0A" w:rsidRDefault="00694C0F">
      <w:pPr>
        <w:pStyle w:val="Definition-Field2"/>
        <w:ind w:left="0"/>
        <w:rPr>
          <w:i/>
        </w:rPr>
      </w:pPr>
      <w:r>
        <w:t xml:space="preserve">c.   </w:t>
      </w:r>
      <w:r>
        <w:rPr>
          <w:i/>
        </w:rPr>
        <w:t>The standard states that rlV orients the text from top to bottom, then right to left, rotated.</w:t>
      </w:r>
    </w:p>
    <w:p w:rsidR="00024C0A" w:rsidRDefault="00694C0F">
      <w:pPr>
        <w:pStyle w:val="Definition-Field2"/>
      </w:pPr>
      <w:r>
        <w:t>Word does not respect this va</w:t>
      </w:r>
      <w:r>
        <w:t>lue when used at the section level.</w:t>
      </w:r>
    </w:p>
    <w:p w:rsidR="00024C0A" w:rsidRDefault="00694C0F">
      <w:pPr>
        <w:pStyle w:val="Definition-Field"/>
      </w:pPr>
      <w:r>
        <w:t xml:space="preserve">d.   </w:t>
      </w:r>
      <w:r>
        <w:rPr>
          <w:i/>
        </w:rPr>
        <w:t>The standard states that lrV orients the text from bottom to top, then left to right, rotated.</w:t>
      </w:r>
    </w:p>
    <w:p w:rsidR="00024C0A" w:rsidRDefault="00694C0F">
      <w:pPr>
        <w:pStyle w:val="Definition-Field2"/>
      </w:pPr>
      <w:r>
        <w:t>Word does not respect this value when used at the section level.</w:t>
      </w:r>
    </w:p>
    <w:p w:rsidR="00024C0A" w:rsidRDefault="00694C0F">
      <w:pPr>
        <w:pStyle w:val="Heading3"/>
      </w:pPr>
      <w:bookmarkStart w:id="1131" w:name="section_9e3b0422c7ba419f9708830928e14808"/>
      <w:bookmarkStart w:id="1132" w:name="_Toc12260626"/>
      <w:r>
        <w:lastRenderedPageBreak/>
        <w:t>Part 1 Section 17.18.94, ST_TextEffect (Animated Text E</w:t>
      </w:r>
      <w:r>
        <w:t>ffects)</w:t>
      </w:r>
      <w:bookmarkEnd w:id="1131"/>
      <w:bookmarkEnd w:id="1132"/>
      <w:r>
        <w:fldChar w:fldCharType="begin"/>
      </w:r>
      <w:r>
        <w:instrText xml:space="preserve"> XE "ST_TextEffect (Animated Text Effects)" </w:instrText>
      </w:r>
      <w:r>
        <w:fldChar w:fldCharType="end"/>
      </w:r>
    </w:p>
    <w:p w:rsidR="00024C0A" w:rsidRDefault="00694C0F">
      <w:pPr>
        <w:pStyle w:val="Definition-Field"/>
      </w:pPr>
      <w:r>
        <w:t xml:space="preserve">a.   </w:t>
      </w:r>
      <w:r>
        <w:rPr>
          <w:i/>
        </w:rPr>
        <w:t>The standard specifies colors for each of the enumeration values.</w:t>
      </w:r>
    </w:p>
    <w:p w:rsidR="00024C0A" w:rsidRDefault="00694C0F">
      <w:pPr>
        <w:pStyle w:val="Definition-Field2"/>
      </w:pPr>
      <w:r>
        <w:t>Word will use different colors in order to show the effect if the page background and system color background are too similar.</w:t>
      </w:r>
    </w:p>
    <w:p w:rsidR="00024C0A" w:rsidRDefault="00694C0F">
      <w:pPr>
        <w:pStyle w:val="Heading3"/>
      </w:pPr>
      <w:bookmarkStart w:id="1133" w:name="section_a797e74752bf4755a3492028c1b96dcf"/>
      <w:bookmarkStart w:id="1134" w:name="_Toc12260627"/>
      <w:r>
        <w:t>Part 1 Section 17.18.95, ST_TextScale (Text Expansion/Compression Percentage)</w:t>
      </w:r>
      <w:bookmarkEnd w:id="1133"/>
      <w:bookmarkEnd w:id="1134"/>
      <w:r>
        <w:fldChar w:fldCharType="begin"/>
      </w:r>
      <w:r>
        <w:instrText xml:space="preserve"> XE "ST_TextScale (Text Expansion/Compression Percentage)" </w:instrText>
      </w:r>
      <w:r>
        <w:fldChar w:fldCharType="end"/>
      </w:r>
    </w:p>
    <w:p w:rsidR="00024C0A" w:rsidRDefault="00694C0F">
      <w:pPr>
        <w:pStyle w:val="Definition-Field"/>
      </w:pPr>
      <w:r>
        <w:t xml:space="preserve">a.   </w:t>
      </w:r>
      <w:r>
        <w:rPr>
          <w:i/>
        </w:rPr>
        <w:t>The standard states that the valid range for ST_TextScale is between 0 and 600.</w:t>
      </w:r>
    </w:p>
    <w:p w:rsidR="00024C0A" w:rsidRDefault="00694C0F">
      <w:pPr>
        <w:pStyle w:val="Definition-Field2"/>
      </w:pPr>
      <w:r>
        <w:t>Word requires that the valid ran</w:t>
      </w:r>
      <w:r>
        <w:t>ge be between 1 and 600.</w:t>
      </w:r>
    </w:p>
    <w:p w:rsidR="00024C0A" w:rsidRDefault="00694C0F">
      <w:pPr>
        <w:pStyle w:val="Heading3"/>
      </w:pPr>
      <w:bookmarkStart w:id="1135" w:name="section_d9309b78fe044bf79a64f30ff80215a9"/>
      <w:bookmarkStart w:id="1136" w:name="_Toc12260628"/>
      <w:r>
        <w:t>Part 1 Section 17.18.101, ST_VerticalJc (Vertical Alignment Type)</w:t>
      </w:r>
      <w:bookmarkEnd w:id="1135"/>
      <w:bookmarkEnd w:id="1136"/>
      <w:r>
        <w:fldChar w:fldCharType="begin"/>
      </w:r>
      <w:r>
        <w:instrText xml:space="preserve"> XE "ST_VerticalJc (Vertical Alignment Type)" </w:instrText>
      </w:r>
      <w:r>
        <w:fldChar w:fldCharType="end"/>
      </w:r>
    </w:p>
    <w:p w:rsidR="00024C0A" w:rsidRDefault="00694C0F">
      <w:pPr>
        <w:pStyle w:val="Definition-Field"/>
      </w:pPr>
      <w:r>
        <w:t xml:space="preserve">a.   </w:t>
      </w:r>
      <w:r>
        <w:rPr>
          <w:i/>
        </w:rPr>
        <w:t>The standard says that both justification is not used if multiple sections are on a page, and does not specify b</w:t>
      </w:r>
      <w:r>
        <w:rPr>
          <w:i/>
        </w:rPr>
        <w:t>ehavior for other alignment values if multiple sections are on a page.</w:t>
      </w:r>
    </w:p>
    <w:p w:rsidR="00024C0A" w:rsidRDefault="00694C0F">
      <w:pPr>
        <w:pStyle w:val="Definition-Field2"/>
      </w:pPr>
      <w:r>
        <w:t>If there are multiple sections on one page and they have different vertical alignment, then Word will ignore the vertical alignment specified and will use the default value of top.</w:t>
      </w:r>
    </w:p>
    <w:p w:rsidR="00024C0A" w:rsidRDefault="00694C0F">
      <w:pPr>
        <w:pStyle w:val="Heading3"/>
      </w:pPr>
      <w:bookmarkStart w:id="1137" w:name="section_7c0abcfe3753410185d1d2636a792cdc"/>
      <w:bookmarkStart w:id="1138" w:name="_Toc12260629"/>
      <w:r>
        <w:t>Part</w:t>
      </w:r>
      <w:r>
        <w:t xml:space="preserve"> 1 Section 17.18.102, ST_View (Document View Values)</w:t>
      </w:r>
      <w:bookmarkEnd w:id="1137"/>
      <w:bookmarkEnd w:id="1138"/>
      <w:r>
        <w:fldChar w:fldCharType="begin"/>
      </w:r>
      <w:r>
        <w:instrText xml:space="preserve"> XE "ST_View (Document View Values)" </w:instrText>
      </w:r>
      <w:r>
        <w:fldChar w:fldCharType="end"/>
      </w:r>
    </w:p>
    <w:p w:rsidR="00024C0A" w:rsidRDefault="00694C0F">
      <w:pPr>
        <w:pStyle w:val="Definition-Field"/>
      </w:pPr>
      <w:r>
        <w:t xml:space="preserve">a.   </w:t>
      </w:r>
      <w:r>
        <w:rPr>
          <w:i/>
        </w:rPr>
        <w:t>The standard states that the enumeration value normal renders the document in outline view.</w:t>
      </w:r>
    </w:p>
    <w:p w:rsidR="00024C0A" w:rsidRDefault="00694C0F">
      <w:pPr>
        <w:pStyle w:val="Definition-Field2"/>
      </w:pPr>
      <w:r>
        <w:t>In Word, the enumeration value normal renders the document in a dra</w:t>
      </w:r>
      <w:r>
        <w:t>ft view.</w:t>
      </w:r>
    </w:p>
    <w:p w:rsidR="00024C0A" w:rsidRDefault="00694C0F">
      <w:pPr>
        <w:pStyle w:val="Heading3"/>
      </w:pPr>
      <w:bookmarkStart w:id="1139" w:name="section_d2081988766c4aa1bfe807eeeefd1f4f"/>
      <w:bookmarkStart w:id="1140" w:name="_Toc12260630"/>
      <w:r>
        <w:t>Part 1 Section 17.18.104, ST_Wrap (Text Wrapping around Text Frame Type)</w:t>
      </w:r>
      <w:bookmarkEnd w:id="1139"/>
      <w:bookmarkEnd w:id="1140"/>
      <w:r>
        <w:fldChar w:fldCharType="begin"/>
      </w:r>
      <w:r>
        <w:instrText xml:space="preserve"> XE "ST_Wrap (Text Wrapping around Text Frame Type)" </w:instrText>
      </w:r>
      <w:r>
        <w:fldChar w:fldCharType="end"/>
      </w:r>
    </w:p>
    <w:p w:rsidR="00024C0A" w:rsidRDefault="00694C0F">
      <w:pPr>
        <w:pStyle w:val="Definition-Field"/>
      </w:pPr>
      <w:r>
        <w:t xml:space="preserve">a.   </w:t>
      </w:r>
      <w:r>
        <w:rPr>
          <w:i/>
        </w:rPr>
        <w:t>The standard's description for the enumeration value none is the same as notBeside.</w:t>
      </w:r>
    </w:p>
    <w:p w:rsidR="00024C0A" w:rsidRDefault="00694C0F">
      <w:pPr>
        <w:pStyle w:val="Definition-Field2"/>
      </w:pPr>
      <w:r>
        <w:t>The behavior of the enumeratio</w:t>
      </w:r>
      <w:r>
        <w:t>n values none and notBeside are implemented distinctly by Word.  Word implements none by not allowing text to wrap around the remaining space on each line around the text frame.</w:t>
      </w:r>
    </w:p>
    <w:p w:rsidR="00024C0A" w:rsidRDefault="00694C0F">
      <w:pPr>
        <w:pStyle w:val="Heading3"/>
      </w:pPr>
      <w:bookmarkStart w:id="1141" w:name="section_b48d891444844a4f843315a9a24c3dc9"/>
      <w:bookmarkStart w:id="1142" w:name="_Toc12260631"/>
      <w:r>
        <w:t>Part 1 Section 18.2.1, bookViews (Workbook Views)</w:t>
      </w:r>
      <w:bookmarkEnd w:id="1141"/>
      <w:bookmarkEnd w:id="1142"/>
      <w:r>
        <w:fldChar w:fldCharType="begin"/>
      </w:r>
      <w:r>
        <w:instrText xml:space="preserve"> XE "bookViews (Workbook View</w:instrText>
      </w:r>
      <w:r>
        <w:instrText xml:space="preserve">s)" </w:instrText>
      </w:r>
      <w:r>
        <w:fldChar w:fldCharType="end"/>
      </w:r>
    </w:p>
    <w:p w:rsidR="00024C0A" w:rsidRDefault="00694C0F">
      <w:pPr>
        <w:pStyle w:val="Definition-Field"/>
      </w:pPr>
      <w:r>
        <w:t xml:space="preserve">a.   </w:t>
      </w:r>
      <w:r>
        <w:rPr>
          <w:i/>
        </w:rPr>
        <w:t>The standard states that the maxOccurs value for the workbookView child element is unbounded.</w:t>
      </w:r>
    </w:p>
    <w:p w:rsidR="00024C0A" w:rsidRDefault="00694C0F">
      <w:pPr>
        <w:pStyle w:val="Definition-Field2"/>
      </w:pPr>
      <w:r>
        <w:t>Excel limits the occurrences of this element to 2147483647.</w:t>
      </w:r>
    </w:p>
    <w:p w:rsidR="00024C0A" w:rsidRDefault="00694C0F">
      <w:pPr>
        <w:pStyle w:val="Heading3"/>
      </w:pPr>
      <w:bookmarkStart w:id="1143" w:name="section_9a86ba923c7d4538a7ae4c262aab614d"/>
      <w:bookmarkStart w:id="1144" w:name="_Toc12260632"/>
      <w:r>
        <w:t>Part 1 Section 18.2.2, calcPr (Calculation Properties)</w:t>
      </w:r>
      <w:bookmarkEnd w:id="1143"/>
      <w:bookmarkEnd w:id="1144"/>
      <w:r>
        <w:fldChar w:fldCharType="begin"/>
      </w:r>
      <w:r>
        <w:instrText xml:space="preserve"> XE "calcPr (Calculation Properties)</w:instrText>
      </w:r>
      <w:r>
        <w:instrText xml:space="preserve">" </w:instrText>
      </w:r>
      <w:r>
        <w:fldChar w:fldCharType="end"/>
      </w:r>
    </w:p>
    <w:p w:rsidR="00024C0A" w:rsidRDefault="00694C0F">
      <w:pPr>
        <w:pStyle w:val="Definition-Field"/>
      </w:pPr>
      <w:r>
        <w:t xml:space="preserve">a.   </w:t>
      </w:r>
      <w:r>
        <w:rPr>
          <w:i/>
        </w:rPr>
        <w:t>The standard does not specify a default value for the forceFullCalc attribute.</w:t>
      </w:r>
    </w:p>
    <w:p w:rsidR="00024C0A" w:rsidRDefault="00694C0F">
      <w:pPr>
        <w:pStyle w:val="Definition-Field2"/>
      </w:pPr>
      <w:r>
        <w:t>Excel uses a default value of false for this attribute.</w:t>
      </w:r>
    </w:p>
    <w:p w:rsidR="00024C0A" w:rsidRDefault="00694C0F">
      <w:pPr>
        <w:pStyle w:val="Definition-Field"/>
      </w:pPr>
      <w:r>
        <w:t xml:space="preserve">b.   </w:t>
      </w:r>
      <w:r>
        <w:rPr>
          <w:i/>
        </w:rPr>
        <w:t>The standard specifies that iterateCount attribute iterations will always take place.</w:t>
      </w:r>
    </w:p>
    <w:p w:rsidR="00024C0A" w:rsidRDefault="00694C0F">
      <w:pPr>
        <w:pStyle w:val="Definition-Field2"/>
      </w:pPr>
      <w:r>
        <w:t xml:space="preserve">Office will stop </w:t>
      </w:r>
      <w:r>
        <w:t>iteration if values change by less than the iterateDelta attribute value.</w:t>
      </w:r>
    </w:p>
    <w:p w:rsidR="00024C0A" w:rsidRDefault="00694C0F">
      <w:pPr>
        <w:pStyle w:val="Definition-Field"/>
      </w:pPr>
      <w:r>
        <w:t xml:space="preserve">c.   </w:t>
      </w:r>
      <w:r>
        <w:rPr>
          <w:i/>
        </w:rPr>
        <w:t>The standard does not specify a default value for the calcId attribute.</w:t>
      </w:r>
    </w:p>
    <w:p w:rsidR="00024C0A" w:rsidRDefault="00694C0F">
      <w:pPr>
        <w:pStyle w:val="Definition-Field2"/>
      </w:pPr>
      <w:r>
        <w:t>Excel uses a default value of 0 for this attribute.</w:t>
      </w:r>
    </w:p>
    <w:p w:rsidR="00024C0A" w:rsidRDefault="00694C0F">
      <w:pPr>
        <w:pStyle w:val="Heading3"/>
      </w:pPr>
      <w:bookmarkStart w:id="1145" w:name="section_4a1279ef49db44dab7a7f88b371cdc89"/>
      <w:bookmarkStart w:id="1146" w:name="_Toc12260633"/>
      <w:r>
        <w:lastRenderedPageBreak/>
        <w:t>Part 1 Section 18.2.3, customWorkbookView (Custom Wor</w:t>
      </w:r>
      <w:r>
        <w:t>kbook View)</w:t>
      </w:r>
      <w:bookmarkEnd w:id="1145"/>
      <w:bookmarkEnd w:id="1146"/>
      <w:r>
        <w:fldChar w:fldCharType="begin"/>
      </w:r>
      <w:r>
        <w:instrText xml:space="preserve"> XE "customWorkbookView (Custom Workbook View)" </w:instrText>
      </w:r>
      <w:r>
        <w:fldChar w:fldCharType="end"/>
      </w:r>
    </w:p>
    <w:p w:rsidR="00024C0A" w:rsidRDefault="00694C0F">
      <w:pPr>
        <w:pStyle w:val="Definition-Field"/>
      </w:pPr>
      <w:r>
        <w:t xml:space="preserve">a.   </w:t>
      </w:r>
      <w:r>
        <w:rPr>
          <w:i/>
        </w:rPr>
        <w:t>The standard states that the values of the windowWidth attribute are defined by the XML Schema unsignedInt datatype.</w:t>
      </w:r>
    </w:p>
    <w:p w:rsidR="00024C0A" w:rsidRDefault="00694C0F">
      <w:pPr>
        <w:pStyle w:val="Definition-Field2"/>
      </w:pPr>
      <w:r>
        <w:t>Excel restricts the value of this attribute to be at most 2147483647.</w:t>
      </w:r>
    </w:p>
    <w:p w:rsidR="00024C0A" w:rsidRDefault="00694C0F">
      <w:pPr>
        <w:pStyle w:val="Definition-Field"/>
      </w:pPr>
      <w:r>
        <w:t>b.</w:t>
      </w:r>
      <w:r>
        <w:t xml:space="preserve">   </w:t>
      </w:r>
      <w:r>
        <w:rPr>
          <w:i/>
        </w:rPr>
        <w:t>The standard states that the values of the mergeInterval attribute are defined by the XML Schema unsignedInt datatype.</w:t>
      </w:r>
    </w:p>
    <w:p w:rsidR="00024C0A" w:rsidRDefault="00694C0F">
      <w:pPr>
        <w:pStyle w:val="Definition-Field2"/>
      </w:pPr>
      <w:r>
        <w:t>Excel restricts the value of this attribute to be 0 or at least 5 and at most 1440.</w:t>
      </w:r>
    </w:p>
    <w:p w:rsidR="00024C0A" w:rsidRDefault="00694C0F">
      <w:pPr>
        <w:pStyle w:val="Definition-Field"/>
      </w:pPr>
      <w:r>
        <w:t xml:space="preserve">c.   </w:t>
      </w:r>
      <w:r>
        <w:rPr>
          <w:i/>
        </w:rPr>
        <w:t>The standard states that the values of the ta</w:t>
      </w:r>
      <w:r>
        <w:rPr>
          <w:i/>
        </w:rPr>
        <w:t>bRatio attribute are defined by the XML Schema unsignedInt datatype.</w:t>
      </w:r>
    </w:p>
    <w:p w:rsidR="00024C0A" w:rsidRDefault="00694C0F">
      <w:pPr>
        <w:pStyle w:val="Definition-Field2"/>
      </w:pPr>
      <w:r>
        <w:t>Excel restricts the value of this attribute to be at most 1000.</w:t>
      </w:r>
    </w:p>
    <w:p w:rsidR="00024C0A" w:rsidRDefault="00694C0F">
      <w:pPr>
        <w:pStyle w:val="Definition-Field"/>
      </w:pPr>
      <w:r>
        <w:t xml:space="preserve">d.   </w:t>
      </w:r>
      <w:r>
        <w:rPr>
          <w:i/>
        </w:rPr>
        <w:t>The standard states that the values of the activeSheetId attribute are defined by the XML Schema unsignedInt datatype.</w:t>
      </w:r>
    </w:p>
    <w:p w:rsidR="00024C0A" w:rsidRDefault="00694C0F">
      <w:pPr>
        <w:pStyle w:val="Definition-Field2"/>
      </w:pPr>
      <w:r>
        <w:t>Excel restricts the value of this attribute to be at least 1 and at most 65534.</w:t>
      </w:r>
    </w:p>
    <w:p w:rsidR="00024C0A" w:rsidRDefault="00694C0F">
      <w:pPr>
        <w:pStyle w:val="Definition-Field"/>
      </w:pPr>
      <w:r>
        <w:t xml:space="preserve">e.   </w:t>
      </w:r>
      <w:r>
        <w:rPr>
          <w:i/>
        </w:rPr>
        <w:t>The standard states that setting the showStatusbar attribute equal to false or 0 will hide the status bar.</w:t>
      </w:r>
    </w:p>
    <w:p w:rsidR="00024C0A" w:rsidRDefault="00694C0F">
      <w:pPr>
        <w:pStyle w:val="Definition-Field2"/>
      </w:pPr>
      <w:r>
        <w:t>Office does not hide the status bar when the showStatusbar attr</w:t>
      </w:r>
      <w:r>
        <w:t>ibute is set to false or 0.</w:t>
      </w:r>
    </w:p>
    <w:p w:rsidR="00024C0A" w:rsidRDefault="00694C0F">
      <w:pPr>
        <w:pStyle w:val="Definition-Field"/>
      </w:pPr>
      <w:r>
        <w:t xml:space="preserve">f.   </w:t>
      </w:r>
      <w:r>
        <w:rPr>
          <w:i/>
        </w:rPr>
        <w:t>The standard states that the values of the guid attribute are defined by the ST_Guid simple type.</w:t>
      </w:r>
    </w:p>
    <w:p w:rsidR="00024C0A" w:rsidRDefault="00694C0F">
      <w:pPr>
        <w:pStyle w:val="Definition-Field2"/>
      </w:pPr>
      <w:r>
        <w:t>Excel requires that the guid attribute value not be a null guid (00000000-0000-0000-0000-000000000000).</w:t>
      </w:r>
    </w:p>
    <w:p w:rsidR="00024C0A" w:rsidRDefault="00694C0F">
      <w:pPr>
        <w:pStyle w:val="Definition-Field"/>
      </w:pPr>
      <w:r>
        <w:t xml:space="preserve">g.   </w:t>
      </w:r>
      <w:r>
        <w:rPr>
          <w:i/>
        </w:rPr>
        <w:t xml:space="preserve">The standard </w:t>
      </w:r>
      <w:r>
        <w:rPr>
          <w:i/>
        </w:rPr>
        <w:t>does not limit the length of the value of the name attribute.</w:t>
      </w:r>
    </w:p>
    <w:p w:rsidR="00024C0A" w:rsidRDefault="00694C0F">
      <w:pPr>
        <w:pStyle w:val="Definition-Field2"/>
      </w:pPr>
      <w:r>
        <w:t>Excel restricts the value of this attribute to be at most 255 UTF-16 code units after escape sequences have been replaced with characters.</w:t>
      </w:r>
    </w:p>
    <w:p w:rsidR="00024C0A" w:rsidRDefault="00694C0F">
      <w:pPr>
        <w:pStyle w:val="Definition-Field"/>
      </w:pPr>
      <w:r>
        <w:t xml:space="preserve">h.   </w:t>
      </w:r>
      <w:r>
        <w:rPr>
          <w:i/>
        </w:rPr>
        <w:t>The standard states that the values of the windowH</w:t>
      </w:r>
      <w:r>
        <w:rPr>
          <w:i/>
        </w:rPr>
        <w:t>eight attribute are defined by the XML Schema unsignedInt datatype.</w:t>
      </w:r>
    </w:p>
    <w:p w:rsidR="00024C0A" w:rsidRDefault="00694C0F">
      <w:pPr>
        <w:pStyle w:val="Definition-Field2"/>
      </w:pPr>
      <w:r>
        <w:t>Excel restricts the value of this attribute to be at most 2147483647.</w:t>
      </w:r>
    </w:p>
    <w:p w:rsidR="00024C0A" w:rsidRDefault="00694C0F">
      <w:pPr>
        <w:pStyle w:val="Definition-Field"/>
      </w:pPr>
      <w:r>
        <w:t xml:space="preserve">i.   </w:t>
      </w:r>
      <w:r>
        <w:rPr>
          <w:i/>
        </w:rPr>
        <w:t>The standard states that the windowWidth attribute is required.</w:t>
      </w:r>
    </w:p>
    <w:p w:rsidR="00024C0A" w:rsidRDefault="00694C0F">
      <w:pPr>
        <w:pStyle w:val="Definition-Field2"/>
      </w:pPr>
      <w:r>
        <w:t>Excel does not require this attribute.</w:t>
      </w:r>
    </w:p>
    <w:p w:rsidR="00024C0A" w:rsidRDefault="00694C0F">
      <w:pPr>
        <w:pStyle w:val="Definition-Field"/>
      </w:pPr>
      <w:r>
        <w:t xml:space="preserve">j.   </w:t>
      </w:r>
      <w:r>
        <w:rPr>
          <w:i/>
        </w:rPr>
        <w:t>The s</w:t>
      </w:r>
      <w:r>
        <w:rPr>
          <w:i/>
        </w:rPr>
        <w:t>tandard states that the windowHeight attribute is required.</w:t>
      </w:r>
    </w:p>
    <w:p w:rsidR="00024C0A" w:rsidRDefault="00694C0F">
      <w:pPr>
        <w:pStyle w:val="Definition-Field2"/>
      </w:pPr>
      <w:r>
        <w:t>Excel does not require this attribute.</w:t>
      </w:r>
    </w:p>
    <w:p w:rsidR="00024C0A" w:rsidRDefault="00694C0F">
      <w:pPr>
        <w:pStyle w:val="Heading3"/>
      </w:pPr>
      <w:bookmarkStart w:id="1147" w:name="section_e3436d35a07349779c97c4c5cd78ddab"/>
      <w:bookmarkStart w:id="1148" w:name="_Toc12260634"/>
      <w:r>
        <w:t>Part 1 Section 18.2.4, customWorkbookViews (Custom Workbook Views)</w:t>
      </w:r>
      <w:bookmarkEnd w:id="1147"/>
      <w:bookmarkEnd w:id="1148"/>
      <w:r>
        <w:fldChar w:fldCharType="begin"/>
      </w:r>
      <w:r>
        <w:instrText xml:space="preserve"> XE "customWorkbookViews (Custom Workbook Views)" </w:instrText>
      </w:r>
      <w:r>
        <w:fldChar w:fldCharType="end"/>
      </w:r>
    </w:p>
    <w:p w:rsidR="00024C0A" w:rsidRDefault="00694C0F">
      <w:pPr>
        <w:pStyle w:val="Definition-Field"/>
      </w:pPr>
      <w:r>
        <w:t xml:space="preserve">a.   </w:t>
      </w:r>
      <w:r>
        <w:rPr>
          <w:i/>
        </w:rPr>
        <w:t>The standard states that the maxO</w:t>
      </w:r>
      <w:r>
        <w:rPr>
          <w:i/>
        </w:rPr>
        <w:t>ccurs value for the customWorkbookView child element is unbounded.</w:t>
      </w:r>
    </w:p>
    <w:p w:rsidR="00024C0A" w:rsidRDefault="00694C0F">
      <w:pPr>
        <w:pStyle w:val="Definition-Field2"/>
      </w:pPr>
      <w:r>
        <w:t>Excel limits the occurrences of this element to 2147483647.</w:t>
      </w:r>
    </w:p>
    <w:p w:rsidR="00024C0A" w:rsidRDefault="00694C0F">
      <w:pPr>
        <w:pStyle w:val="Heading3"/>
      </w:pPr>
      <w:bookmarkStart w:id="1149" w:name="section_16c3c118f358493da99f4c85ca834c00"/>
      <w:bookmarkStart w:id="1150" w:name="_Toc12260635"/>
      <w:r>
        <w:t>Part 1 Section 18.2.5, definedName (Defined Name)</w:t>
      </w:r>
      <w:bookmarkEnd w:id="1149"/>
      <w:bookmarkEnd w:id="1150"/>
      <w:r>
        <w:fldChar w:fldCharType="begin"/>
      </w:r>
      <w:r>
        <w:instrText xml:space="preserve"> XE "definedName (Defined Name)" </w:instrText>
      </w:r>
      <w:r>
        <w:fldChar w:fldCharType="end"/>
      </w:r>
    </w:p>
    <w:p w:rsidR="00024C0A" w:rsidRDefault="00694C0F">
      <w:pPr>
        <w:pStyle w:val="Definition-Field"/>
      </w:pPr>
      <w:r>
        <w:t xml:space="preserve">a.   </w:t>
      </w:r>
      <w:r>
        <w:rPr>
          <w:i/>
        </w:rPr>
        <w:t xml:space="preserve">The standard states that the contents </w:t>
      </w:r>
      <w:r>
        <w:rPr>
          <w:i/>
        </w:rPr>
        <w:t>of this element are an extension on the ST_Formula simple type.</w:t>
      </w:r>
    </w:p>
    <w:p w:rsidR="00024C0A" w:rsidRDefault="00694C0F">
      <w:pPr>
        <w:pStyle w:val="Definition-Field2"/>
      </w:pPr>
      <w:r>
        <w:lastRenderedPageBreak/>
        <w:t>Excel requires the contents of this element to follow the grammar for a name formula, as defined in Name Formulas (</w:t>
      </w:r>
      <w:hyperlink w:anchor="Section_da7f42ad0083451a98cfb475b578d91d">
        <w:r>
          <w:rPr>
            <w:rStyle w:val="Hyperlink"/>
          </w:rPr>
          <w:t>§3.2.3.1.4, Na</w:t>
        </w:r>
        <w:r>
          <w:rPr>
            <w:rStyle w:val="Hyperlink"/>
          </w:rPr>
          <w:t>me Formulas</w:t>
        </w:r>
      </w:hyperlink>
      <w:r>
        <w:t>).</w:t>
      </w:r>
    </w:p>
    <w:p w:rsidR="00024C0A" w:rsidRDefault="00694C0F">
      <w:pPr>
        <w:pStyle w:val="Definition-Field"/>
      </w:pPr>
      <w:r>
        <w:t xml:space="preserve">b.   </w:t>
      </w:r>
      <w:r>
        <w:rPr>
          <w:i/>
        </w:rPr>
        <w:t>The standard says that @customMenu is used.</w:t>
      </w:r>
    </w:p>
    <w:p w:rsidR="00024C0A" w:rsidRDefault="00694C0F">
      <w:pPr>
        <w:pStyle w:val="Definition-Field2"/>
      </w:pPr>
      <w:r>
        <w:t>In Excel, @customMenu is reserved and unused.</w:t>
      </w:r>
    </w:p>
    <w:p w:rsidR="00024C0A" w:rsidRDefault="00694C0F">
      <w:pPr>
        <w:pStyle w:val="Definition-Field"/>
      </w:pPr>
      <w:r>
        <w:t xml:space="preserve">c.   </w:t>
      </w:r>
      <w:r>
        <w:rPr>
          <w:i/>
        </w:rPr>
        <w:t>The standard says that @description is used.</w:t>
      </w:r>
    </w:p>
    <w:p w:rsidR="00024C0A" w:rsidRDefault="00694C0F">
      <w:pPr>
        <w:pStyle w:val="Definition-Field2"/>
      </w:pPr>
      <w:r>
        <w:t>In Excel, @description is reserved and unused.</w:t>
      </w:r>
    </w:p>
    <w:p w:rsidR="00024C0A" w:rsidRDefault="00694C0F">
      <w:pPr>
        <w:pStyle w:val="Definition-Field"/>
      </w:pPr>
      <w:r>
        <w:t xml:space="preserve">d.   </w:t>
      </w:r>
      <w:r>
        <w:rPr>
          <w:i/>
        </w:rPr>
        <w:t>The standard says that @help is used.</w:t>
      </w:r>
    </w:p>
    <w:p w:rsidR="00024C0A" w:rsidRDefault="00694C0F">
      <w:pPr>
        <w:pStyle w:val="Definition-Field2"/>
      </w:pPr>
      <w:r>
        <w:t>In Exce</w:t>
      </w:r>
      <w:r>
        <w:t>l, @help is reserved and unused.</w:t>
      </w:r>
    </w:p>
    <w:p w:rsidR="00024C0A" w:rsidRDefault="00694C0F">
      <w:pPr>
        <w:pStyle w:val="Definition-Field"/>
      </w:pPr>
      <w:r>
        <w:t xml:space="preserve">e.   </w:t>
      </w:r>
      <w:r>
        <w:rPr>
          <w:i/>
        </w:rPr>
        <w:t>The standard says that @statusBar is used.</w:t>
      </w:r>
    </w:p>
    <w:p w:rsidR="00024C0A" w:rsidRDefault="00694C0F">
      <w:pPr>
        <w:pStyle w:val="Definition-Field2"/>
      </w:pPr>
      <w:r>
        <w:t>In Excel, @statusBar is reserved and unused.</w:t>
      </w:r>
    </w:p>
    <w:p w:rsidR="00024C0A" w:rsidRDefault="00694C0F">
      <w:pPr>
        <w:pStyle w:val="Definition-Field"/>
      </w:pPr>
      <w:r>
        <w:t xml:space="preserve">f.   </w:t>
      </w:r>
      <w:r>
        <w:rPr>
          <w:i/>
        </w:rPr>
        <w:t>The standard says that @shortcutKey is used.</w:t>
      </w:r>
    </w:p>
    <w:p w:rsidR="00024C0A" w:rsidRDefault="00694C0F">
      <w:pPr>
        <w:pStyle w:val="Definition-Field2"/>
      </w:pPr>
      <w:r>
        <w:t>In Excel, @shortcutKey is reserved and unused.</w:t>
      </w:r>
    </w:p>
    <w:p w:rsidR="00024C0A" w:rsidRDefault="00694C0F">
      <w:pPr>
        <w:pStyle w:val="Definition-Field"/>
      </w:pPr>
      <w:r>
        <w:t xml:space="preserve">g.   </w:t>
      </w:r>
      <w:r>
        <w:rPr>
          <w:i/>
        </w:rPr>
        <w:t xml:space="preserve">The standard says that @xlm </w:t>
      </w:r>
      <w:r>
        <w:rPr>
          <w:i/>
        </w:rPr>
        <w:t>is used.</w:t>
      </w:r>
    </w:p>
    <w:p w:rsidR="00024C0A" w:rsidRDefault="00694C0F">
      <w:pPr>
        <w:pStyle w:val="Definition-Field2"/>
      </w:pPr>
      <w:r>
        <w:t>In Excel, @xlm is reserved and unused.</w:t>
      </w:r>
    </w:p>
    <w:p w:rsidR="00024C0A" w:rsidRDefault="00694C0F">
      <w:pPr>
        <w:pStyle w:val="Definition-Field"/>
      </w:pPr>
      <w:r>
        <w:t xml:space="preserve">h.   </w:t>
      </w:r>
      <w:r>
        <w:rPr>
          <w:i/>
        </w:rPr>
        <w:t>The standard says that @vbProcedure is used.</w:t>
      </w:r>
    </w:p>
    <w:p w:rsidR="00024C0A" w:rsidRDefault="00694C0F">
      <w:pPr>
        <w:pStyle w:val="Definition-Field2"/>
      </w:pPr>
      <w:r>
        <w:t>In Excel, @vbProcedure is reserved and unused.</w:t>
      </w:r>
    </w:p>
    <w:p w:rsidR="00024C0A" w:rsidRDefault="00694C0F">
      <w:pPr>
        <w:pStyle w:val="Definition-Field"/>
      </w:pPr>
      <w:r>
        <w:t xml:space="preserve">i.   </w:t>
      </w:r>
      <w:r>
        <w:rPr>
          <w:i/>
        </w:rPr>
        <w:t>The standard says that @functionGroupId is used.</w:t>
      </w:r>
    </w:p>
    <w:p w:rsidR="00024C0A" w:rsidRDefault="00694C0F">
      <w:pPr>
        <w:pStyle w:val="Definition-Field2"/>
      </w:pPr>
      <w:r>
        <w:t>In Excel, @functionGroupId is reserved and unused.</w:t>
      </w:r>
    </w:p>
    <w:p w:rsidR="00024C0A" w:rsidRDefault="00694C0F">
      <w:pPr>
        <w:pStyle w:val="Definition-Field"/>
      </w:pPr>
      <w:r>
        <w:t xml:space="preserve">j.   </w:t>
      </w:r>
      <w:r>
        <w:rPr>
          <w:i/>
        </w:rPr>
        <w:t>T</w:t>
      </w:r>
      <w:r>
        <w:rPr>
          <w:i/>
        </w:rPr>
        <w:t>he standard does not limit the length of the value of the comment attribute.</w:t>
      </w:r>
    </w:p>
    <w:p w:rsidR="00024C0A" w:rsidRDefault="00694C0F">
      <w:pPr>
        <w:pStyle w:val="Definition-Field2"/>
      </w:pPr>
      <w:r>
        <w:t>Excel restricts the value of this attribute to be at most 255 characters before escaping.</w:t>
      </w:r>
    </w:p>
    <w:p w:rsidR="00024C0A" w:rsidRDefault="00694C0F">
      <w:pPr>
        <w:pStyle w:val="Definition-Field"/>
      </w:pPr>
      <w:r>
        <w:t xml:space="preserve">k.   </w:t>
      </w:r>
      <w:r>
        <w:rPr>
          <w:i/>
        </w:rPr>
        <w:t>The standard does not limit the length of the value of the name attribute.</w:t>
      </w:r>
    </w:p>
    <w:p w:rsidR="00024C0A" w:rsidRDefault="00694C0F">
      <w:pPr>
        <w:pStyle w:val="Definition-Field2"/>
      </w:pPr>
      <w:r>
        <w:t>Excel res</w:t>
      </w:r>
      <w:r>
        <w:t>tricts the value of this attribute to be at least 1 and at most 255 characters.</w:t>
      </w:r>
    </w:p>
    <w:p w:rsidR="00024C0A" w:rsidRDefault="00694C0F">
      <w:pPr>
        <w:pStyle w:val="Definition-Field"/>
      </w:pPr>
      <w:r>
        <w:t xml:space="preserve">l.   </w:t>
      </w:r>
      <w:r>
        <w:rPr>
          <w:i/>
        </w:rPr>
        <w:t>The standard specifies localSheetID is the sheet index in this workbook where data from an external reference is displayed.</w:t>
      </w:r>
    </w:p>
    <w:p w:rsidR="00024C0A" w:rsidRDefault="00694C0F">
      <w:pPr>
        <w:pStyle w:val="Definition-Field2"/>
      </w:pPr>
      <w:r>
        <w:t>Office uses this index for sheet-local names to</w:t>
      </w:r>
      <w:r>
        <w:t xml:space="preserve"> specify the sheet on which the name is defined.</w:t>
      </w:r>
    </w:p>
    <w:p w:rsidR="00024C0A" w:rsidRDefault="00694C0F">
      <w:pPr>
        <w:pStyle w:val="Definition-Field"/>
      </w:pPr>
      <w:r>
        <w:t xml:space="preserve">m.   </w:t>
      </w:r>
      <w:r>
        <w:rPr>
          <w:i/>
        </w:rPr>
        <w:t>The standard states that built-in names reserved by SpreadsheetML begin with _xlnm.</w:t>
      </w:r>
    </w:p>
    <w:p w:rsidR="00024C0A" w:rsidRDefault="00694C0F">
      <w:pPr>
        <w:pStyle w:val="Definition-Field2"/>
      </w:pPr>
      <w:r>
        <w:t>Office assumes that all names that being with _xl are restricted.</w:t>
      </w:r>
    </w:p>
    <w:p w:rsidR="00024C0A" w:rsidRDefault="00694C0F">
      <w:pPr>
        <w:pStyle w:val="Definition-Field"/>
      </w:pPr>
      <w:r>
        <w:t xml:space="preserve">n.   </w:t>
      </w:r>
      <w:r>
        <w:rPr>
          <w:i/>
        </w:rPr>
        <w:t>The standard does not state restrictions around</w:t>
      </w:r>
      <w:r>
        <w:rPr>
          <w:i/>
        </w:rPr>
        <w:t xml:space="preserve"> uniqueness of definedName elements.</w:t>
      </w:r>
    </w:p>
    <w:p w:rsidR="00024C0A" w:rsidRDefault="00694C0F">
      <w:r>
        <w:t xml:space="preserve">If the attribute </w:t>
      </w:r>
      <w:r>
        <w:rPr>
          <w:b/>
        </w:rPr>
        <w:t>@localSheetId</w:t>
      </w:r>
      <w:r>
        <w:t xml:space="preserve"> is used on a </w:t>
      </w:r>
      <w:r>
        <w:rPr>
          <w:b/>
        </w:rPr>
        <w:t>definedName</w:t>
      </w:r>
      <w:r>
        <w:t xml:space="preserve">, the defined name is local and its </w:t>
      </w:r>
      <w:r>
        <w:rPr>
          <w:b/>
        </w:rPr>
        <w:t>@name</w:t>
      </w:r>
      <w:r>
        <w:t xml:space="preserve"> must be unique among the other defined names for the sheet ID. If the </w:t>
      </w:r>
      <w:r>
        <w:rPr>
          <w:b/>
        </w:rPr>
        <w:t>@localSheetId</w:t>
      </w:r>
      <w:r>
        <w:t xml:space="preserve"> attribute is not used, the defined nam</w:t>
      </w:r>
      <w:r>
        <w:t>e must be unique among the other defined names that do not use the attribute.</w:t>
      </w:r>
    </w:p>
    <w:p w:rsidR="00024C0A" w:rsidRDefault="00694C0F">
      <w:pPr>
        <w:pStyle w:val="Definition-Field"/>
      </w:pPr>
      <w:r>
        <w:t xml:space="preserve">o.   </w:t>
      </w:r>
      <w:r>
        <w:rPr>
          <w:i/>
        </w:rPr>
        <w:t>The standard makes no mention of an xml:space attribute.</w:t>
      </w:r>
    </w:p>
    <w:p w:rsidR="00024C0A" w:rsidRDefault="00694C0F">
      <w:pPr>
        <w:pStyle w:val="Definition-Field2"/>
      </w:pPr>
      <w:r>
        <w:lastRenderedPageBreak/>
        <w:t xml:space="preserve">Excel uses this attribute to specify, using the W3C space preservation rules, how white space should be handled for </w:t>
      </w:r>
      <w:r>
        <w:t>the element's contents; its allowed values are defined by the XML 1.0 specification.</w:t>
      </w:r>
    </w:p>
    <w:p w:rsidR="00024C0A" w:rsidRDefault="00694C0F">
      <w:pPr>
        <w:pStyle w:val="Definition-Field"/>
      </w:pPr>
      <w:r>
        <w:t xml:space="preserve">p.   </w:t>
      </w:r>
      <w:r>
        <w:rPr>
          <w:i/>
        </w:rPr>
        <w:t>The standard says that @function is used.</w:t>
      </w:r>
    </w:p>
    <w:p w:rsidR="00024C0A" w:rsidRDefault="00694C0F">
      <w:pPr>
        <w:pStyle w:val="Definition-Field2"/>
      </w:pPr>
      <w:r>
        <w:t>In Excel, @function is reserved and unused.</w:t>
      </w:r>
    </w:p>
    <w:p w:rsidR="00024C0A" w:rsidRDefault="00694C0F">
      <w:pPr>
        <w:pStyle w:val="Definition-Field"/>
      </w:pPr>
      <w:r>
        <w:t xml:space="preserve">q.   </w:t>
      </w:r>
      <w:r>
        <w:rPr>
          <w:i/>
        </w:rPr>
        <w:t>The standard states that the values of the name attribute are defined by th</w:t>
      </w:r>
      <w:r>
        <w:rPr>
          <w:i/>
        </w:rPr>
        <w:t>e ST_Xstring simple type.</w:t>
      </w:r>
    </w:p>
    <w:p w:rsidR="00024C0A" w:rsidRDefault="00694C0F">
      <w:pPr>
        <w:pStyle w:val="Definition-Field2"/>
      </w:pPr>
      <w:r>
        <w:t>Excel requires the value of this attribute to meet the restrictions defined in Names ("</w:t>
      </w:r>
      <w:hyperlink r:id="rId112">
        <w:r>
          <w:rPr>
            <w:rStyle w:val="Hyperlink"/>
          </w:rPr>
          <w:t>[ISO/IEC-29500-1]</w:t>
        </w:r>
      </w:hyperlink>
      <w:r>
        <w:t xml:space="preserve"> §18.17.2.5").</w:t>
      </w:r>
    </w:p>
    <w:p w:rsidR="00024C0A" w:rsidRDefault="00694C0F">
      <w:pPr>
        <w:pStyle w:val="Definition-Field"/>
      </w:pPr>
      <w:r>
        <w:t xml:space="preserve">r.   </w:t>
      </w:r>
      <w:r>
        <w:rPr>
          <w:i/>
        </w:rPr>
        <w:t>The standard states that the values of t</w:t>
      </w:r>
      <w:r>
        <w:rPr>
          <w:i/>
        </w:rPr>
        <w:t>he localSheetId attribute are defined by the XML Schema unsignedInt datatype.</w:t>
      </w:r>
    </w:p>
    <w:p w:rsidR="00024C0A" w:rsidRDefault="00694C0F">
      <w:pPr>
        <w:pStyle w:val="Definition-Field2"/>
      </w:pPr>
      <w:r>
        <w:t>Excel restricts the value of this attribute to be at most 32766.</w:t>
      </w:r>
    </w:p>
    <w:p w:rsidR="00024C0A" w:rsidRDefault="00694C0F">
      <w:pPr>
        <w:pStyle w:val="Heading3"/>
      </w:pPr>
      <w:bookmarkStart w:id="1151" w:name="section_1aea93a7b20844b2a2e583dc2b635b41"/>
      <w:bookmarkStart w:id="1152" w:name="_Toc12260636"/>
      <w:r>
        <w:t>Part 1 Section 18.2.6, definedNames (Defined Names)</w:t>
      </w:r>
      <w:bookmarkEnd w:id="1151"/>
      <w:bookmarkEnd w:id="1152"/>
      <w:r>
        <w:fldChar w:fldCharType="begin"/>
      </w:r>
      <w:r>
        <w:instrText xml:space="preserve"> XE "definedNames (Defined Names)" </w:instrText>
      </w:r>
      <w:r>
        <w:fldChar w:fldCharType="end"/>
      </w:r>
    </w:p>
    <w:p w:rsidR="00024C0A" w:rsidRDefault="00694C0F">
      <w:pPr>
        <w:pStyle w:val="Definition-Field"/>
      </w:pPr>
      <w:r>
        <w:t xml:space="preserve">a.   </w:t>
      </w:r>
      <w:r>
        <w:rPr>
          <w:i/>
        </w:rPr>
        <w:t>The standard states</w:t>
      </w:r>
      <w:r>
        <w:rPr>
          <w:i/>
        </w:rPr>
        <w:t xml:space="preserve"> that the maxOccurs value for the definedName child element is unbounded.</w:t>
      </w:r>
    </w:p>
    <w:p w:rsidR="00024C0A" w:rsidRDefault="00694C0F">
      <w:pPr>
        <w:pStyle w:val="Definition-Field2"/>
      </w:pPr>
      <w:r>
        <w:t>Excel limits the occurrences of this element to 2147483647.</w:t>
      </w:r>
    </w:p>
    <w:p w:rsidR="00024C0A" w:rsidRDefault="00694C0F">
      <w:pPr>
        <w:pStyle w:val="Heading3"/>
      </w:pPr>
      <w:bookmarkStart w:id="1153" w:name="section_acddb526fd6c4835a83cbdc9f0924045"/>
      <w:bookmarkStart w:id="1154" w:name="_Toc12260637"/>
      <w:r>
        <w:t>Part 1 Section 18.2.7, ext (Extension)</w:t>
      </w:r>
      <w:bookmarkEnd w:id="1153"/>
      <w:bookmarkEnd w:id="1154"/>
      <w:r>
        <w:fldChar w:fldCharType="begin"/>
      </w:r>
      <w:r>
        <w:instrText xml:space="preserve"> XE "ext (Extension)" </w:instrText>
      </w:r>
      <w:r>
        <w:fldChar w:fldCharType="end"/>
      </w:r>
    </w:p>
    <w:p w:rsidR="00024C0A" w:rsidRDefault="00694C0F">
      <w:pPr>
        <w:pStyle w:val="Definition-Field"/>
      </w:pPr>
      <w:r>
        <w:t xml:space="preserve">a.   </w:t>
      </w:r>
      <w:r>
        <w:rPr>
          <w:i/>
        </w:rPr>
        <w:t xml:space="preserve">The standard implies that the minOccurs value for the </w:t>
      </w:r>
      <w:r>
        <w:rPr>
          <w:i/>
        </w:rPr>
        <w:t>any child element is 1.</w:t>
      </w:r>
    </w:p>
    <w:p w:rsidR="00024C0A" w:rsidRDefault="00694C0F">
      <w:pPr>
        <w:pStyle w:val="Definition-Field2"/>
      </w:pPr>
      <w:r>
        <w:t>Excel allows zero occurrences of this element.</w:t>
      </w:r>
    </w:p>
    <w:p w:rsidR="00024C0A" w:rsidRDefault="00694C0F">
      <w:pPr>
        <w:pStyle w:val="Heading3"/>
      </w:pPr>
      <w:bookmarkStart w:id="1155" w:name="section_5cc825ef81d54aae9f101106494252e6"/>
      <w:bookmarkStart w:id="1156" w:name="_Toc12260638"/>
      <w:r>
        <w:t>Part 1 Section 18.2.9, externalReferences (External References)</w:t>
      </w:r>
      <w:bookmarkEnd w:id="1155"/>
      <w:bookmarkEnd w:id="1156"/>
      <w:r>
        <w:fldChar w:fldCharType="begin"/>
      </w:r>
      <w:r>
        <w:instrText xml:space="preserve"> XE "externalReferences (External References)" </w:instrText>
      </w:r>
      <w:r>
        <w:fldChar w:fldCharType="end"/>
      </w:r>
    </w:p>
    <w:p w:rsidR="00024C0A" w:rsidRDefault="00694C0F">
      <w:pPr>
        <w:pStyle w:val="Definition-Field"/>
      </w:pPr>
      <w:r>
        <w:t xml:space="preserve">a.   </w:t>
      </w:r>
      <w:r>
        <w:rPr>
          <w:i/>
        </w:rPr>
        <w:t>The standard states that the maxOccurs value for the externalRefere</w:t>
      </w:r>
      <w:r>
        <w:rPr>
          <w:i/>
        </w:rPr>
        <w:t>nce child element is unbounded.</w:t>
      </w:r>
    </w:p>
    <w:p w:rsidR="00024C0A" w:rsidRDefault="00694C0F">
      <w:pPr>
        <w:pStyle w:val="Definition-Field2"/>
      </w:pPr>
      <w:r>
        <w:t>Excel limits the occurrences of this element to 65534.</w:t>
      </w:r>
    </w:p>
    <w:p w:rsidR="00024C0A" w:rsidRDefault="00694C0F">
      <w:pPr>
        <w:pStyle w:val="Heading3"/>
      </w:pPr>
      <w:bookmarkStart w:id="1157" w:name="section_edcec9df5b19418eb91708b7fd2c4bda"/>
      <w:bookmarkStart w:id="1158" w:name="_Toc12260639"/>
      <w:r>
        <w:t>Part 1 Section 18.2.11, fileRecoveryPr (File Recovery Properties)</w:t>
      </w:r>
      <w:bookmarkEnd w:id="1157"/>
      <w:bookmarkEnd w:id="1158"/>
      <w:r>
        <w:fldChar w:fldCharType="begin"/>
      </w:r>
      <w:r>
        <w:instrText xml:space="preserve"> XE "fileRecoveryPr (File Recovery Properties)" </w:instrText>
      </w:r>
      <w:r>
        <w:fldChar w:fldCharType="end"/>
      </w:r>
    </w:p>
    <w:p w:rsidR="00024C0A" w:rsidRDefault="00694C0F">
      <w:pPr>
        <w:pStyle w:val="Definition-Field"/>
      </w:pPr>
      <w:r>
        <w:t xml:space="preserve">a.   </w:t>
      </w:r>
      <w:r>
        <w:rPr>
          <w:i/>
        </w:rPr>
        <w:t xml:space="preserve">The standard states that applications typically </w:t>
      </w:r>
      <w:r>
        <w:rPr>
          <w:i/>
        </w:rPr>
        <w:t>mark the autorecover attribute as true only after crash.</w:t>
      </w:r>
    </w:p>
    <w:p w:rsidR="00024C0A" w:rsidRDefault="00694C0F">
      <w:pPr>
        <w:pStyle w:val="Definition-Field2"/>
      </w:pPr>
      <w:r>
        <w:t>Excel unmarks the autorecover attribute after crash.</w:t>
      </w:r>
    </w:p>
    <w:p w:rsidR="00024C0A" w:rsidRDefault="00694C0F">
      <w:pPr>
        <w:pStyle w:val="Heading3"/>
      </w:pPr>
      <w:bookmarkStart w:id="1159" w:name="section_2faf54e798054ca5a4e7e74f85d96201"/>
      <w:bookmarkStart w:id="1160" w:name="_Toc12260640"/>
      <w:r>
        <w:t>Part 1 Section 18.2.12, fileSharing (File Sharing)</w:t>
      </w:r>
      <w:bookmarkEnd w:id="1159"/>
      <w:bookmarkEnd w:id="1160"/>
      <w:r>
        <w:fldChar w:fldCharType="begin"/>
      </w:r>
      <w:r>
        <w:instrText xml:space="preserve"> XE "fileSharing (File Sharing)" </w:instrText>
      </w:r>
      <w:r>
        <w:fldChar w:fldCharType="end"/>
      </w:r>
    </w:p>
    <w:p w:rsidR="00024C0A" w:rsidRDefault="00694C0F">
      <w:pPr>
        <w:pStyle w:val="Definition-Field"/>
      </w:pPr>
      <w:r>
        <w:t xml:space="preserve">a.   </w:t>
      </w:r>
      <w:r>
        <w:rPr>
          <w:i/>
        </w:rPr>
        <w:t>The standard allows the userName attribute to be any le</w:t>
      </w:r>
      <w:r>
        <w:rPr>
          <w:i/>
        </w:rPr>
        <w:t>ngth.</w:t>
      </w:r>
    </w:p>
    <w:p w:rsidR="00024C0A" w:rsidRDefault="00694C0F">
      <w:pPr>
        <w:pStyle w:val="Definition-Field2"/>
      </w:pPr>
      <w:r>
        <w:t>Office requires that if present, the value of the userName attribute must be 1 to 54 characters long.</w:t>
      </w:r>
    </w:p>
    <w:p w:rsidR="00024C0A" w:rsidRDefault="00694C0F">
      <w:pPr>
        <w:pStyle w:val="Definition-Field"/>
      </w:pPr>
      <w:r>
        <w:t xml:space="preserve">b.   </w:t>
      </w:r>
      <w:r>
        <w:rPr>
          <w:i/>
        </w:rPr>
        <w:t>The standard states that the userName and reservationPassword attributes are optional.</w:t>
      </w:r>
    </w:p>
    <w:p w:rsidR="00024C0A" w:rsidRDefault="00694C0F">
      <w:pPr>
        <w:pStyle w:val="Definition-Field2"/>
      </w:pPr>
      <w:r>
        <w:t>Office requires that the userName attribute is present i</w:t>
      </w:r>
      <w:r>
        <w:t>f the reservationPassword attribute exists.</w:t>
      </w:r>
    </w:p>
    <w:p w:rsidR="00024C0A" w:rsidRDefault="00694C0F">
      <w:pPr>
        <w:pStyle w:val="Definition-Field"/>
      </w:pPr>
      <w:r>
        <w:t xml:space="preserve">c.   </w:t>
      </w:r>
      <w:r>
        <w:rPr>
          <w:i/>
        </w:rPr>
        <w:t>The standard states that this setting uses a specific reservationPassword attribute to store the password hash for unlocking revisions in the workbook.</w:t>
      </w:r>
    </w:p>
    <w:p w:rsidR="00024C0A" w:rsidRDefault="00694C0F">
      <w:r>
        <w:lastRenderedPageBreak/>
        <w:t>In Office, when the HKCU/Software/Microsoft/Office/&lt;VER</w:t>
      </w:r>
      <w:r>
        <w:t>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Name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algorithm Name</w:t>
            </w:r>
          </w:p>
        </w:tc>
        <w:tc>
          <w:tcPr>
            <w:tcW w:w="0" w:type="auto"/>
            <w:vAlign w:val="center"/>
          </w:tcPr>
          <w:p w:rsidR="00024C0A" w:rsidRDefault="00694C0F">
            <w:pPr>
              <w:pStyle w:val="TableBodyText"/>
            </w:pPr>
            <w:r>
              <w:t>The name of the cryptographic hashing algorithm used to</w:t>
            </w:r>
            <w:r>
              <w:t xml:space="preserve"> generate the hash value. Only those algorithms that are installed in the operating system’s cryptographic subsystem can be utilized by Office.</w:t>
            </w:r>
          </w:p>
          <w:p w:rsidR="00024C0A" w:rsidRDefault="00024C0A">
            <w:pPr>
              <w:pStyle w:val="TableBodyText"/>
            </w:pPr>
          </w:p>
          <w:p w:rsidR="00024C0A" w:rsidRDefault="00694C0F">
            <w:pPr>
              <w:pStyle w:val="TableBodyText"/>
            </w:pPr>
            <w:r>
              <w:t>The hash algorithm names, described in the following table, are reserved.</w:t>
            </w:r>
          </w:p>
          <w:p w:rsidR="00024C0A" w:rsidRDefault="00024C0A">
            <w:pPr>
              <w:pStyle w:val="TableBodyText"/>
            </w:pPr>
          </w:p>
          <w:p w:rsidR="00024C0A" w:rsidRDefault="00694C0F">
            <w:pPr>
              <w:pStyle w:val="TableBodyText"/>
            </w:pPr>
            <w:r>
              <w:rPr>
                <w:b/>
                <w:i/>
              </w:rPr>
              <w:t xml:space="preserve">MD2 </w:t>
            </w:r>
          </w:p>
          <w:p w:rsidR="00024C0A" w:rsidRDefault="00694C0F">
            <w:pPr>
              <w:pStyle w:val="TableBodyText"/>
            </w:pPr>
            <w:r>
              <w:rPr>
                <w:i/>
              </w:rPr>
              <w:t>Specifies that the MD2 algorith</w:t>
            </w:r>
            <w:r>
              <w:rPr>
                <w:i/>
              </w:rPr>
              <w:t>m, as defined by RFC 1319, shall be used.</w:t>
            </w:r>
          </w:p>
          <w:p w:rsidR="00024C0A" w:rsidRDefault="00024C0A">
            <w:pPr>
              <w:pStyle w:val="TableBodyText"/>
            </w:pPr>
          </w:p>
          <w:p w:rsidR="00024C0A" w:rsidRDefault="00694C0F">
            <w:pPr>
              <w:pStyle w:val="TableBodyText"/>
            </w:pPr>
            <w:r>
              <w:rPr>
                <w:i/>
              </w:rPr>
              <w:t>[Note: It is recommended that applications should avoid using this algorithm to store new hash values, because of publicly known breaks. end note]</w:t>
            </w:r>
          </w:p>
          <w:p w:rsidR="00024C0A" w:rsidRDefault="00694C0F">
            <w:pPr>
              <w:pStyle w:val="TableBodyText"/>
            </w:pPr>
            <w:r>
              <w:rPr>
                <w:b/>
                <w:i/>
              </w:rPr>
              <w:t xml:space="preserve">MD4 </w:t>
            </w:r>
          </w:p>
          <w:p w:rsidR="00024C0A" w:rsidRDefault="00694C0F">
            <w:pPr>
              <w:pStyle w:val="TableBodyText"/>
            </w:pPr>
            <w:r>
              <w:rPr>
                <w:i/>
              </w:rPr>
              <w:t>Specifies that the MD4 algorithm, as defined by RFC 1320, sha</w:t>
            </w:r>
            <w:r>
              <w:rPr>
                <w:i/>
              </w:rPr>
              <w:t>ll be used.</w:t>
            </w:r>
          </w:p>
          <w:p w:rsidR="00024C0A" w:rsidRDefault="00024C0A">
            <w:pPr>
              <w:pStyle w:val="TableBodyText"/>
            </w:pPr>
          </w:p>
          <w:p w:rsidR="00024C0A" w:rsidRDefault="00694C0F">
            <w:pPr>
              <w:pStyle w:val="TableBodyText"/>
            </w:pPr>
            <w:r>
              <w:rPr>
                <w:i/>
              </w:rPr>
              <w:t>[Note: It is recommended that applications should avoid using this algorithm to store new hash values, because of publicly known breaks. end note]</w:t>
            </w:r>
          </w:p>
          <w:p w:rsidR="00024C0A" w:rsidRDefault="00694C0F">
            <w:pPr>
              <w:pStyle w:val="TableBodyText"/>
            </w:pPr>
            <w:r>
              <w:rPr>
                <w:b/>
                <w:i/>
              </w:rPr>
              <w:t>MD5</w:t>
            </w:r>
          </w:p>
          <w:p w:rsidR="00024C0A" w:rsidRDefault="00694C0F">
            <w:pPr>
              <w:pStyle w:val="TableBodyText"/>
            </w:pPr>
            <w:r>
              <w:rPr>
                <w:i/>
              </w:rPr>
              <w:t>Specifies that the MD5 algorithm, as defined by RFC 1321, shall be used.</w:t>
            </w:r>
          </w:p>
          <w:p w:rsidR="00024C0A" w:rsidRDefault="00024C0A">
            <w:pPr>
              <w:pStyle w:val="TableBodyText"/>
            </w:pPr>
          </w:p>
          <w:p w:rsidR="00024C0A" w:rsidRDefault="00694C0F">
            <w:pPr>
              <w:pStyle w:val="TableBodyText"/>
            </w:pPr>
            <w:r>
              <w:rPr>
                <w:i/>
              </w:rPr>
              <w:t>[Note: It is recom</w:t>
            </w:r>
            <w:r>
              <w:rPr>
                <w:i/>
              </w:rPr>
              <w:t>mended that applications should avoid using this algorithm to store new hash values, because of publicly known breaks. end note]</w:t>
            </w:r>
          </w:p>
          <w:p w:rsidR="00024C0A" w:rsidRDefault="00694C0F">
            <w:pPr>
              <w:pStyle w:val="TableBodyText"/>
            </w:pPr>
            <w:r>
              <w:rPr>
                <w:b/>
                <w:i/>
              </w:rPr>
              <w:t>RIPEMD-128</w:t>
            </w:r>
          </w:p>
          <w:p w:rsidR="00024C0A" w:rsidRDefault="00694C0F">
            <w:pPr>
              <w:pStyle w:val="TableBodyText"/>
            </w:pPr>
            <w:r>
              <w:rPr>
                <w:i/>
              </w:rPr>
              <w:t>Specifies that the RIPEMD-128 algorithm, as defined by ISO/IEC 10118-3:2004 shall be used.</w:t>
            </w:r>
          </w:p>
          <w:p w:rsidR="00024C0A" w:rsidRDefault="00024C0A">
            <w:pPr>
              <w:pStyle w:val="TableBodyText"/>
            </w:pPr>
          </w:p>
          <w:p w:rsidR="00024C0A" w:rsidRDefault="00694C0F">
            <w:pPr>
              <w:pStyle w:val="TableBodyText"/>
            </w:pPr>
            <w:r>
              <w:rPr>
                <w:i/>
              </w:rPr>
              <w:t>[Note: It is recommended</w:t>
            </w:r>
            <w:r>
              <w:rPr>
                <w:i/>
              </w:rPr>
              <w:t xml:space="preserve"> that applications should avoid using this algorithm to store new hash values, because of publicly known breaks. end note]</w:t>
            </w:r>
          </w:p>
          <w:p w:rsidR="00024C0A" w:rsidRDefault="00694C0F">
            <w:pPr>
              <w:pStyle w:val="TableBodyText"/>
            </w:pPr>
            <w:r>
              <w:rPr>
                <w:b/>
                <w:i/>
              </w:rPr>
              <w:t>RIPEMD-160</w:t>
            </w:r>
          </w:p>
          <w:p w:rsidR="00024C0A" w:rsidRDefault="00694C0F">
            <w:pPr>
              <w:pStyle w:val="TableBodyText"/>
            </w:pPr>
            <w:r>
              <w:rPr>
                <w:i/>
              </w:rPr>
              <w:t>Specifies that the RIPEMD-160 algorithm, as defined by ISO/IEC 10118-3:2004, shall be used.</w:t>
            </w:r>
          </w:p>
          <w:p w:rsidR="00024C0A" w:rsidRDefault="00694C0F">
            <w:pPr>
              <w:pStyle w:val="TableBodyText"/>
            </w:pPr>
            <w:r>
              <w:rPr>
                <w:b/>
                <w:i/>
              </w:rPr>
              <w:t>SHA-1</w:t>
            </w:r>
          </w:p>
          <w:p w:rsidR="00024C0A" w:rsidRDefault="00694C0F">
            <w:pPr>
              <w:pStyle w:val="TableBodyText"/>
            </w:pPr>
            <w:r>
              <w:rPr>
                <w:i/>
              </w:rPr>
              <w:t>Specifies that the SHA-1</w:t>
            </w:r>
            <w:r>
              <w:rPr>
                <w:i/>
              </w:rPr>
              <w:t xml:space="preserve"> algorithm, as defined by ISO/IEC 10118-3:2004, shall be used.</w:t>
            </w:r>
          </w:p>
          <w:p w:rsidR="00024C0A" w:rsidRDefault="00694C0F">
            <w:pPr>
              <w:pStyle w:val="TableBodyText"/>
            </w:pPr>
            <w:r>
              <w:rPr>
                <w:b/>
                <w:i/>
              </w:rPr>
              <w:t>SHA-256</w:t>
            </w:r>
          </w:p>
          <w:p w:rsidR="00024C0A" w:rsidRDefault="00694C0F">
            <w:pPr>
              <w:pStyle w:val="TableBodyText"/>
            </w:pPr>
            <w:r>
              <w:rPr>
                <w:i/>
              </w:rPr>
              <w:t>Specifies that the SHA-256 algorithm, as defined by ISO/IEC 10118-3:2004, shall be used.</w:t>
            </w:r>
          </w:p>
          <w:p w:rsidR="00024C0A" w:rsidRDefault="00694C0F">
            <w:pPr>
              <w:pStyle w:val="TableBodyText"/>
            </w:pPr>
            <w:r>
              <w:rPr>
                <w:b/>
                <w:i/>
              </w:rPr>
              <w:t>SHA-384</w:t>
            </w:r>
          </w:p>
          <w:p w:rsidR="00024C0A" w:rsidRDefault="00694C0F">
            <w:pPr>
              <w:pStyle w:val="TableBodyText"/>
            </w:pPr>
            <w:r>
              <w:rPr>
                <w:i/>
              </w:rPr>
              <w:t>Specifies that the SHA-384 algorithm, as defined by ISO/IEC 10118-3:2004, shall be used.</w:t>
            </w:r>
          </w:p>
          <w:p w:rsidR="00024C0A" w:rsidRDefault="00694C0F">
            <w:pPr>
              <w:pStyle w:val="TableBodyText"/>
            </w:pPr>
            <w:r>
              <w:rPr>
                <w:b/>
                <w:i/>
              </w:rPr>
              <w:t>SHA-512</w:t>
            </w:r>
          </w:p>
          <w:p w:rsidR="00024C0A" w:rsidRDefault="00694C0F">
            <w:pPr>
              <w:pStyle w:val="TableBodyText"/>
            </w:pPr>
            <w:r>
              <w:rPr>
                <w:i/>
              </w:rPr>
              <w:t>Specifies that the SHA-512 algorithm, as defined by ISO/IEC 10118-3:2004, shall be used.</w:t>
            </w:r>
          </w:p>
          <w:p w:rsidR="00024C0A" w:rsidRDefault="00694C0F">
            <w:pPr>
              <w:pStyle w:val="TableBodyText"/>
            </w:pPr>
            <w:r>
              <w:rPr>
                <w:b/>
                <w:i/>
              </w:rPr>
              <w:t>WHIRLPOOL</w:t>
            </w:r>
          </w:p>
          <w:p w:rsidR="00024C0A" w:rsidRDefault="00694C0F">
            <w:pPr>
              <w:pStyle w:val="TableBodyText"/>
            </w:pPr>
            <w:r>
              <w:rPr>
                <w:i/>
              </w:rPr>
              <w:t>Specifies that the WHIRLPOOL algorithm, as defined by ISO/IEC 10118-3:2004, shall be used.</w:t>
            </w:r>
          </w:p>
          <w:p w:rsidR="00024C0A" w:rsidRDefault="00024C0A">
            <w:pPr>
              <w:pStyle w:val="TableBodyText"/>
            </w:pPr>
          </w:p>
          <w:p w:rsidR="00024C0A" w:rsidRDefault="00024C0A">
            <w:pPr>
              <w:pStyle w:val="TableBodyText"/>
            </w:pPr>
          </w:p>
        </w:tc>
      </w:tr>
      <w:tr w:rsidR="00024C0A" w:rsidTr="00024C0A">
        <w:tc>
          <w:tcPr>
            <w:tcW w:w="0" w:type="auto"/>
            <w:vAlign w:val="center"/>
          </w:tcPr>
          <w:p w:rsidR="00024C0A" w:rsidRDefault="00694C0F">
            <w:pPr>
              <w:pStyle w:val="TableBodyText"/>
            </w:pPr>
            <w:r>
              <w:rPr>
                <w:b/>
              </w:rPr>
              <w:t>hash Value</w:t>
            </w:r>
          </w:p>
        </w:tc>
        <w:tc>
          <w:tcPr>
            <w:tcW w:w="0" w:type="auto"/>
            <w:vAlign w:val="center"/>
          </w:tcPr>
          <w:p w:rsidR="00024C0A" w:rsidRDefault="00694C0F">
            <w:pPr>
              <w:pStyle w:val="TableBodyText"/>
            </w:pPr>
            <w:r>
              <w:t>Specifies the hash value for the password r</w:t>
            </w:r>
            <w:r>
              <w:t>equired to edit this worksheet. This value shall be compared with the resulting hash value after hashing the user-supplied password using the algorithm specified by the preceding attributes and parent XML element. If the two values match, the protection sh</w:t>
            </w:r>
            <w:r>
              <w:t>all no longer be enforced.</w:t>
            </w:r>
          </w:p>
          <w:p w:rsidR="00024C0A" w:rsidRDefault="00024C0A">
            <w:pPr>
              <w:pStyle w:val="TableBodyText"/>
            </w:pPr>
          </w:p>
          <w:p w:rsidR="00024C0A" w:rsidRDefault="00694C0F">
            <w:pPr>
              <w:pStyle w:val="TableBodyText"/>
            </w:pPr>
            <w:r>
              <w:lastRenderedPageBreak/>
              <w:t>If this value is omitted, then the reservationPassword attribute shall contain the password hash for the workbook.</w:t>
            </w:r>
          </w:p>
          <w:p w:rsidR="00024C0A" w:rsidRDefault="00024C0A">
            <w:pPr>
              <w:pStyle w:val="TableBodyText"/>
            </w:pPr>
          </w:p>
          <w:p w:rsidR="00024C0A" w:rsidRDefault="00694C0F">
            <w:pPr>
              <w:pStyle w:val="TableBodyText"/>
            </w:pPr>
            <w:r>
              <w:t>[</w:t>
            </w:r>
            <w:r>
              <w:rPr>
                <w:i/>
              </w:rPr>
              <w:t>Example</w:t>
            </w:r>
          </w:p>
          <w:p w:rsidR="00024C0A" w:rsidRDefault="00024C0A">
            <w:pPr>
              <w:pStyle w:val="TableBodyText"/>
            </w:pPr>
          </w:p>
          <w:p w:rsidR="00024C0A" w:rsidRDefault="00694C0F">
            <w:pPr>
              <w:pStyle w:val="TableBodyText"/>
            </w:pPr>
            <w:r>
              <w:t xml:space="preserve"> Consider an Office Open XML document with the following information stored in one of its protection e</w:t>
            </w:r>
            <w:r>
              <w:t>lements:</w:t>
            </w:r>
          </w:p>
          <w:p w:rsidR="00024C0A" w:rsidRDefault="00024C0A">
            <w:pPr>
              <w:pStyle w:val="TableBodyText"/>
            </w:pPr>
          </w:p>
          <w:p w:rsidR="00024C0A" w:rsidRDefault="00694C0F">
            <w:pPr>
              <w:pStyle w:val="TableBodyText"/>
            </w:pPr>
            <w:r>
              <w:t>&lt;… algorithmName="SHA-1" hashValue="9oN7nWkCAyEZib1RomSJTjmPpCY=" /&gt;</w:t>
            </w:r>
          </w:p>
          <w:p w:rsidR="00024C0A" w:rsidRDefault="00024C0A">
            <w:pPr>
              <w:pStyle w:val="TableBodyText"/>
            </w:pPr>
          </w:p>
          <w:p w:rsidR="00024C0A" w:rsidRDefault="00694C0F">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024C0A" w:rsidRDefault="00694C0F">
            <w:pPr>
              <w:pStyle w:val="TableBodyText"/>
            </w:pPr>
            <w:r>
              <w:rPr>
                <w:i/>
              </w:rPr>
              <w:t>end example</w:t>
            </w:r>
            <w:r>
              <w:t>]</w:t>
            </w:r>
          </w:p>
          <w:p w:rsidR="00024C0A" w:rsidRDefault="00024C0A">
            <w:pPr>
              <w:pStyle w:val="TableBodyText"/>
            </w:pPr>
          </w:p>
          <w:p w:rsidR="00024C0A" w:rsidRDefault="00694C0F">
            <w:pPr>
              <w:pStyle w:val="TableBodyText"/>
            </w:pPr>
            <w:r>
              <w:t>The possible values for this attribute are defined by the W3C XML Schema base64Binary datatype.</w:t>
            </w:r>
          </w:p>
        </w:tc>
      </w:tr>
      <w:tr w:rsidR="00024C0A" w:rsidTr="00024C0A">
        <w:tc>
          <w:tcPr>
            <w:tcW w:w="0" w:type="auto"/>
            <w:vAlign w:val="center"/>
          </w:tcPr>
          <w:p w:rsidR="00024C0A" w:rsidRDefault="00694C0F">
            <w:pPr>
              <w:pStyle w:val="TableBodyText"/>
            </w:pPr>
            <w:r>
              <w:rPr>
                <w:b/>
              </w:rPr>
              <w:lastRenderedPageBreak/>
              <w:t>saltValue</w:t>
            </w:r>
          </w:p>
        </w:tc>
        <w:tc>
          <w:tcPr>
            <w:tcW w:w="0" w:type="auto"/>
            <w:vAlign w:val="center"/>
          </w:tcPr>
          <w:p w:rsidR="00024C0A" w:rsidRDefault="00694C0F">
            <w:pPr>
              <w:pStyle w:val="TableBodyText"/>
            </w:pPr>
            <w:r>
              <w:t>Specifies the random bytes that are pre-</w:t>
            </w:r>
            <w:r>
              <w:t>pended to the user-supplied password before it was hashed by the hashing algorithm.</w:t>
            </w:r>
          </w:p>
        </w:tc>
      </w:tr>
      <w:tr w:rsidR="00024C0A" w:rsidTr="00024C0A">
        <w:tc>
          <w:tcPr>
            <w:tcW w:w="0" w:type="auto"/>
            <w:vAlign w:val="center"/>
          </w:tcPr>
          <w:p w:rsidR="00024C0A" w:rsidRDefault="00694C0F">
            <w:pPr>
              <w:pStyle w:val="TableBodyText"/>
            </w:pPr>
            <w:r>
              <w:rPr>
                <w:b/>
              </w:rPr>
              <w:t>spinCount</w:t>
            </w:r>
          </w:p>
        </w:tc>
        <w:tc>
          <w:tcPr>
            <w:tcW w:w="0" w:type="auto"/>
            <w:vAlign w:val="center"/>
          </w:tcPr>
          <w:p w:rsidR="00024C0A" w:rsidRDefault="00694C0F">
            <w:pPr>
              <w:pStyle w:val="TableBodyText"/>
            </w:pPr>
            <w:r>
              <w:t>Specifies the number of times the hashing function shall be iteratively run (using each iteration's result as the input for the next iteration).</w:t>
            </w:r>
          </w:p>
        </w:tc>
      </w:tr>
    </w:tbl>
    <w:p w:rsidR="00024C0A" w:rsidRDefault="00024C0A"/>
    <w:p w:rsidR="00024C0A" w:rsidRDefault="00694C0F">
      <w:r>
        <w:t xml:space="preserve">[Example: </w:t>
      </w:r>
    </w:p>
    <w:p w:rsidR="00024C0A" w:rsidRDefault="00694C0F">
      <w:r>
        <w:t>Con</w:t>
      </w:r>
      <w:r>
        <w:t>sider an Office Open XML document with the following information stored in one of its protection elements:</w:t>
      </w:r>
    </w:p>
    <w:p w:rsidR="00024C0A" w:rsidRDefault="00694C0F">
      <w:r>
        <w:t>&lt; … algorithmName="SHA-1" hashValue="9oN7nWkCAyEZib1RomSJTjmPpCY=" /&gt;</w:t>
      </w:r>
    </w:p>
    <w:p w:rsidR="00024C0A" w:rsidRDefault="00694C0F">
      <w:r>
        <w:t>The algorithmName attribute value of SHA-1 specifies that the SHA-1 hashing alg</w:t>
      </w:r>
      <w:r>
        <w:t>orithm must be used to generate a hash from the user-defined password.</w:t>
      </w:r>
    </w:p>
    <w:p w:rsidR="00024C0A" w:rsidRDefault="00694C0F">
      <w:r>
        <w:t>end example]</w:t>
      </w:r>
    </w:p>
    <w:p w:rsidR="00024C0A" w:rsidRDefault="00694C0F">
      <w:pPr>
        <w:pStyle w:val="Heading3"/>
      </w:pPr>
      <w:bookmarkStart w:id="1161" w:name="section_d27109432add493cb42a58667e060146"/>
      <w:bookmarkStart w:id="1162" w:name="_Toc12260641"/>
      <w:r>
        <w:t>Part 1 Section 18.2.13, fileVersion (File Version)</w:t>
      </w:r>
      <w:bookmarkEnd w:id="1161"/>
      <w:bookmarkEnd w:id="1162"/>
      <w:r>
        <w:fldChar w:fldCharType="begin"/>
      </w:r>
      <w:r>
        <w:instrText xml:space="preserve"> XE "fileVersion (File Version)" </w:instrText>
      </w:r>
      <w:r>
        <w:fldChar w:fldCharType="end"/>
      </w:r>
    </w:p>
    <w:p w:rsidR="00024C0A" w:rsidRDefault="00694C0F">
      <w:pPr>
        <w:pStyle w:val="Definition-Field"/>
      </w:pPr>
      <w:r>
        <w:t xml:space="preserve">a.   </w:t>
      </w:r>
      <w:r>
        <w:rPr>
          <w:i/>
        </w:rPr>
        <w:t xml:space="preserve">The standard states that the appName attribute is restricted to be an XML Schema </w:t>
      </w:r>
      <w:r>
        <w:rPr>
          <w:i/>
        </w:rPr>
        <w:t>string datatype.</w:t>
      </w:r>
    </w:p>
    <w:p w:rsidR="00024C0A" w:rsidRDefault="00694C0F">
      <w:pPr>
        <w:pStyle w:val="Definition-Field2"/>
      </w:pPr>
      <w:r>
        <w:t>Office requires that the appName attribute have a maximum length of 65535 characters.</w:t>
      </w:r>
    </w:p>
    <w:p w:rsidR="00024C0A" w:rsidRDefault="00694C0F">
      <w:pPr>
        <w:pStyle w:val="Definition-Field"/>
      </w:pPr>
      <w:r>
        <w:t xml:space="preserve">b.   </w:t>
      </w:r>
      <w:r>
        <w:rPr>
          <w:i/>
        </w:rPr>
        <w:t>The standard states that the lastEdited attribute is restricted to be an XML Schema string datatype.</w:t>
      </w:r>
    </w:p>
    <w:p w:rsidR="00024C0A" w:rsidRDefault="00694C0F">
      <w:pPr>
        <w:pStyle w:val="Definition-Field2"/>
      </w:pPr>
      <w:r>
        <w:t xml:space="preserve">Office requires that the lastEdited attribute </w:t>
      </w:r>
      <w:r>
        <w:t>have a maximum length of 65535 characters.</w:t>
      </w:r>
    </w:p>
    <w:p w:rsidR="00024C0A" w:rsidRDefault="00694C0F">
      <w:pPr>
        <w:pStyle w:val="Definition-Field"/>
      </w:pPr>
      <w:r>
        <w:t xml:space="preserve">c.   </w:t>
      </w:r>
      <w:r>
        <w:rPr>
          <w:i/>
        </w:rPr>
        <w:t>The standard states that te lowestEdited attribute is restricted to be an XML Schema string datatype.</w:t>
      </w:r>
    </w:p>
    <w:p w:rsidR="00024C0A" w:rsidRDefault="00694C0F">
      <w:pPr>
        <w:pStyle w:val="Definition-Field2"/>
      </w:pPr>
      <w:r>
        <w:t>Office requires that the lowestEdited attribute have a maximum length of 65535 characters.</w:t>
      </w:r>
    </w:p>
    <w:p w:rsidR="00024C0A" w:rsidRDefault="00694C0F">
      <w:pPr>
        <w:pStyle w:val="Definition-Field"/>
      </w:pPr>
      <w:r>
        <w:t xml:space="preserve">d.   </w:t>
      </w:r>
      <w:r>
        <w:rPr>
          <w:i/>
        </w:rPr>
        <w:t>The standa</w:t>
      </w:r>
      <w:r>
        <w:rPr>
          <w:i/>
        </w:rPr>
        <w:t>rd states that the rupBuild attribute is restricted to an XML Schema string datatype.</w:t>
      </w:r>
    </w:p>
    <w:p w:rsidR="00024C0A" w:rsidRDefault="00694C0F">
      <w:pPr>
        <w:pStyle w:val="Definition-Field2"/>
      </w:pPr>
      <w:r>
        <w:lastRenderedPageBreak/>
        <w:t>Office requires that the rupBuild attribute have a maximum length of 65535 characters.</w:t>
      </w:r>
    </w:p>
    <w:p w:rsidR="00024C0A" w:rsidRDefault="00694C0F">
      <w:pPr>
        <w:pStyle w:val="Definition-Field"/>
      </w:pPr>
      <w:r>
        <w:t xml:space="preserve">e.   </w:t>
      </w:r>
      <w:r>
        <w:rPr>
          <w:i/>
        </w:rPr>
        <w:t>The standard does not define any value restrictions on the lastEdited attribut</w:t>
      </w:r>
      <w:r>
        <w:rPr>
          <w:i/>
        </w:rPr>
        <w:t>e.</w:t>
      </w:r>
    </w:p>
    <w:p w:rsidR="00024C0A" w:rsidRDefault="00694C0F">
      <w:pPr>
        <w:pStyle w:val="Definition-Field2"/>
      </w:pPr>
      <w:r>
        <w:t>In Office, if the appName attribute equals xl in the en-US locale, then the lastEdited attribute is the text representation of an unsigned integer in the en-US locale.</w:t>
      </w:r>
    </w:p>
    <w:p w:rsidR="00024C0A" w:rsidRDefault="00694C0F">
      <w:pPr>
        <w:pStyle w:val="Definition-Field"/>
      </w:pPr>
      <w:r>
        <w:t xml:space="preserve">f.   </w:t>
      </w:r>
      <w:r>
        <w:rPr>
          <w:i/>
        </w:rPr>
        <w:t>The standard does not define any value restrictions on the lowestEdited attribut</w:t>
      </w:r>
      <w:r>
        <w:rPr>
          <w:i/>
        </w:rPr>
        <w:t>e.</w:t>
      </w:r>
    </w:p>
    <w:p w:rsidR="00024C0A" w:rsidRDefault="00694C0F">
      <w:pPr>
        <w:pStyle w:val="Definition-Field2"/>
      </w:pPr>
      <w:r>
        <w:t>In Office, if the appName attribute equals xl in the en-US locale, then the lowestEdited attribute is the text representation of an unsigned integer in the en-US locale.</w:t>
      </w:r>
    </w:p>
    <w:p w:rsidR="00024C0A" w:rsidRDefault="00694C0F">
      <w:pPr>
        <w:pStyle w:val="Definition-Field"/>
      </w:pPr>
      <w:r>
        <w:t xml:space="preserve">g.   </w:t>
      </w:r>
      <w:r>
        <w:rPr>
          <w:i/>
        </w:rPr>
        <w:t>The standard does not define any value restrictions on the rupBuild attribute.</w:t>
      </w:r>
    </w:p>
    <w:p w:rsidR="00024C0A" w:rsidRDefault="00694C0F">
      <w:pPr>
        <w:pStyle w:val="Definition-Field2"/>
      </w:pPr>
      <w:r>
        <w:t>In Office, if the appName attribute equals xl in the en-US locale, then the rupBuild attribute is the text representation of an unsigned integer in the en-US locale.</w:t>
      </w:r>
    </w:p>
    <w:p w:rsidR="00024C0A" w:rsidRDefault="00694C0F">
      <w:pPr>
        <w:pStyle w:val="Definition-Field"/>
      </w:pPr>
      <w:r>
        <w:t xml:space="preserve">h.   </w:t>
      </w:r>
      <w:r>
        <w:rPr>
          <w:i/>
        </w:rPr>
        <w:t>The standard does not place any restrictions on the value for the lastEdited attribu</w:t>
      </w:r>
      <w:r>
        <w:rPr>
          <w:i/>
        </w:rPr>
        <w:t>te.</w:t>
      </w:r>
    </w:p>
    <w:p w:rsidR="00024C0A" w:rsidRDefault="00694C0F">
      <w:pPr>
        <w:pStyle w:val="Definition-Field2"/>
      </w:pPr>
      <w:r>
        <w:t>In Office, when the appName attribute equals xl, the lastEdited attribute should be less than or equal to 32767.</w:t>
      </w:r>
    </w:p>
    <w:p w:rsidR="00024C0A" w:rsidRDefault="00694C0F">
      <w:pPr>
        <w:pStyle w:val="Definition-Field"/>
      </w:pPr>
      <w:r>
        <w:t xml:space="preserve">i.   </w:t>
      </w:r>
      <w:r>
        <w:rPr>
          <w:i/>
        </w:rPr>
        <w:t>The standard does not place any restrictions on the value for the lowestEdited attribute.</w:t>
      </w:r>
    </w:p>
    <w:p w:rsidR="00024C0A" w:rsidRDefault="00694C0F">
      <w:pPr>
        <w:pStyle w:val="Definition-Field2"/>
      </w:pPr>
      <w:r>
        <w:t>In Office, when the appName attribute equals</w:t>
      </w:r>
      <w:r>
        <w:t xml:space="preserve"> xl, the lowestEdited attribute should be less than or equal to 32767.</w:t>
      </w:r>
    </w:p>
    <w:p w:rsidR="00024C0A" w:rsidRDefault="00694C0F">
      <w:pPr>
        <w:pStyle w:val="Definition-Field"/>
      </w:pPr>
      <w:r>
        <w:t xml:space="preserve">j.   </w:t>
      </w:r>
      <w:r>
        <w:rPr>
          <w:i/>
        </w:rPr>
        <w:t>The standard does not place any restrictions on the value for the rupBuild attribute.</w:t>
      </w:r>
    </w:p>
    <w:p w:rsidR="00024C0A" w:rsidRDefault="00694C0F">
      <w:pPr>
        <w:pStyle w:val="Definition-Field2"/>
      </w:pPr>
      <w:r>
        <w:t>In Office, when the appName attribute equals xl, the rupBuild attribute should be less than or</w:t>
      </w:r>
      <w:r>
        <w:t xml:space="preserve"> equal to 32767.</w:t>
      </w:r>
    </w:p>
    <w:p w:rsidR="00024C0A" w:rsidRDefault="00694C0F">
      <w:pPr>
        <w:pStyle w:val="Heading3"/>
      </w:pPr>
      <w:bookmarkStart w:id="1163" w:name="section_729549d888934b56b6597bd3dbada57e"/>
      <w:bookmarkStart w:id="1164" w:name="_Toc12260642"/>
      <w:r>
        <w:t>Part 1 Section 18.2.14, functionGroup (Function Group)</w:t>
      </w:r>
      <w:bookmarkEnd w:id="1163"/>
      <w:bookmarkEnd w:id="1164"/>
      <w:r>
        <w:fldChar w:fldCharType="begin"/>
      </w:r>
      <w:r>
        <w:instrText xml:space="preserve"> XE "functionGroup (Function Group)" </w:instrText>
      </w:r>
      <w:r>
        <w:fldChar w:fldCharType="end"/>
      </w:r>
    </w:p>
    <w:p w:rsidR="00024C0A" w:rsidRDefault="00694C0F">
      <w:pPr>
        <w:pStyle w:val="Definition-Field"/>
      </w:pPr>
      <w:r>
        <w:t xml:space="preserve">a.   </w:t>
      </w:r>
      <w:r>
        <w:rPr>
          <w:i/>
        </w:rPr>
        <w:t>The standard implies that the name attribute is optional.</w:t>
      </w:r>
    </w:p>
    <w:p w:rsidR="00024C0A" w:rsidRDefault="00694C0F">
      <w:pPr>
        <w:pStyle w:val="Definition-Field2"/>
      </w:pPr>
      <w:r>
        <w:t>Excel requires this attribute.</w:t>
      </w:r>
    </w:p>
    <w:p w:rsidR="00024C0A" w:rsidRDefault="00694C0F">
      <w:pPr>
        <w:pStyle w:val="Definition-Field"/>
      </w:pPr>
      <w:r>
        <w:t xml:space="preserve">b.   </w:t>
      </w:r>
      <w:r>
        <w:rPr>
          <w:i/>
        </w:rPr>
        <w:t xml:space="preserve">The standard does not limit the length of the </w:t>
      </w:r>
      <w:r>
        <w:rPr>
          <w:i/>
        </w:rPr>
        <w:t>value of the name attribute.</w:t>
      </w:r>
    </w:p>
    <w:p w:rsidR="00024C0A" w:rsidRDefault="00694C0F">
      <w:pPr>
        <w:pStyle w:val="Definition-Field2"/>
      </w:pPr>
      <w:r>
        <w:t>Excel restricts the value of this attribute to be at most 32 characters before escaping.</w:t>
      </w:r>
    </w:p>
    <w:p w:rsidR="00024C0A" w:rsidRDefault="00694C0F">
      <w:pPr>
        <w:pStyle w:val="Heading3"/>
      </w:pPr>
      <w:bookmarkStart w:id="1165" w:name="section_6b54db2cbdb048d79ff72aeda743c8d2"/>
      <w:bookmarkStart w:id="1166" w:name="_Toc12260643"/>
      <w:r>
        <w:t>Part 1 Section 18.2.15, functionGroups (Function Groups)</w:t>
      </w:r>
      <w:bookmarkEnd w:id="1165"/>
      <w:bookmarkEnd w:id="1166"/>
      <w:r>
        <w:fldChar w:fldCharType="begin"/>
      </w:r>
      <w:r>
        <w:instrText xml:space="preserve"> XE "functionGroups (Function Groups)" </w:instrText>
      </w:r>
      <w:r>
        <w:fldChar w:fldCharType="end"/>
      </w:r>
    </w:p>
    <w:p w:rsidR="00024C0A" w:rsidRDefault="00694C0F">
      <w:pPr>
        <w:pStyle w:val="Definition-Field"/>
      </w:pPr>
      <w:r>
        <w:t xml:space="preserve">a.   </w:t>
      </w:r>
      <w:r>
        <w:rPr>
          <w:i/>
        </w:rPr>
        <w:t>The standard does not limit the val</w:t>
      </w:r>
      <w:r>
        <w:rPr>
          <w:i/>
        </w:rPr>
        <w:t>ue of @builtInGroupCount.</w:t>
      </w:r>
    </w:p>
    <w:p w:rsidR="00024C0A" w:rsidRDefault="00694C0F">
      <w:pPr>
        <w:pStyle w:val="Definition-Field2"/>
      </w:pPr>
      <w:r>
        <w:t>Office requires that the maximum value be 255.</w:t>
      </w:r>
    </w:p>
    <w:p w:rsidR="00024C0A" w:rsidRDefault="00694C0F">
      <w:pPr>
        <w:pStyle w:val="Definition-Field"/>
      </w:pPr>
      <w:r>
        <w:t xml:space="preserve">b.   </w:t>
      </w:r>
      <w:r>
        <w:rPr>
          <w:i/>
        </w:rPr>
        <w:t>The standard states that the maxOccurs value for the sequence containing the child functionGroup element is unbounded.</w:t>
      </w:r>
    </w:p>
    <w:p w:rsidR="00024C0A" w:rsidRDefault="00694C0F">
      <w:pPr>
        <w:pStyle w:val="Definition-Field2"/>
      </w:pPr>
      <w:r>
        <w:t>Excel limits the occurrences of the functionGroup element t</w:t>
      </w:r>
      <w:r>
        <w:t>o 255.</w:t>
      </w:r>
    </w:p>
    <w:p w:rsidR="00024C0A" w:rsidRDefault="00694C0F">
      <w:pPr>
        <w:pStyle w:val="Definition-Field"/>
      </w:pPr>
      <w:r>
        <w:t xml:space="preserve">c.   </w:t>
      </w:r>
      <w:r>
        <w:rPr>
          <w:i/>
        </w:rPr>
        <w:t>The standard states that the values of the builtInGroupCount attribute are defined by the XML Schema unsignedInt datatype.</w:t>
      </w:r>
    </w:p>
    <w:p w:rsidR="00024C0A" w:rsidRDefault="00694C0F">
      <w:pPr>
        <w:pStyle w:val="Definition-Field2"/>
      </w:pPr>
      <w:r>
        <w:t xml:space="preserve">Excel restricts the sum of the functionGroup elements plus the value of the builtInGroupCount attribute to be at most </w:t>
      </w:r>
      <w:r>
        <w:t>255.</w:t>
      </w:r>
    </w:p>
    <w:p w:rsidR="00024C0A" w:rsidRDefault="00694C0F">
      <w:pPr>
        <w:pStyle w:val="Heading3"/>
      </w:pPr>
      <w:bookmarkStart w:id="1167" w:name="section_170f8575e90e4b76b95209242531771f"/>
      <w:bookmarkStart w:id="1168" w:name="_Toc12260644"/>
      <w:r>
        <w:lastRenderedPageBreak/>
        <w:t>Part 1 Section 18.2.16, oleSize (Embedded Object Size)</w:t>
      </w:r>
      <w:bookmarkEnd w:id="1167"/>
      <w:bookmarkEnd w:id="1168"/>
      <w:r>
        <w:fldChar w:fldCharType="begin"/>
      </w:r>
      <w:r>
        <w:instrText xml:space="preserve"> XE "oleSize (Embedded Object Size)" </w:instrText>
      </w:r>
      <w:r>
        <w:fldChar w:fldCharType="end"/>
      </w:r>
    </w:p>
    <w:p w:rsidR="00024C0A" w:rsidRDefault="00694C0F">
      <w:pPr>
        <w:pStyle w:val="Definition-Field"/>
      </w:pPr>
      <w:r>
        <w:t xml:space="preserve">a.   </w:t>
      </w:r>
      <w:r>
        <w:rPr>
          <w:i/>
        </w:rPr>
        <w:t>The standard states that the @ref is the reference for the embedded object.</w:t>
      </w:r>
    </w:p>
    <w:p w:rsidR="00024C0A" w:rsidRDefault="00694C0F">
      <w:pPr>
        <w:pStyle w:val="Definition-Field2"/>
      </w:pPr>
      <w:r>
        <w:t>Office treats @ref as the cell range over which the embedded object is displ</w:t>
      </w:r>
      <w:r>
        <w:t>ayed.</w:t>
      </w:r>
    </w:p>
    <w:p w:rsidR="00024C0A" w:rsidRDefault="00694C0F">
      <w:pPr>
        <w:pStyle w:val="Heading3"/>
      </w:pPr>
      <w:bookmarkStart w:id="1169" w:name="section_ebf12ea52bb44af5ab26563f22d3f895"/>
      <w:bookmarkStart w:id="1170" w:name="_Toc12260645"/>
      <w:r>
        <w:t>Part 1 Section 18.2.19, sheet (Sheet Information)</w:t>
      </w:r>
      <w:bookmarkEnd w:id="1169"/>
      <w:bookmarkEnd w:id="1170"/>
      <w:r>
        <w:fldChar w:fldCharType="begin"/>
      </w:r>
      <w:r>
        <w:instrText xml:space="preserve"> XE "sheet (Sheet Information)" </w:instrText>
      </w:r>
      <w:r>
        <w:fldChar w:fldCharType="end"/>
      </w:r>
    </w:p>
    <w:p w:rsidR="00024C0A" w:rsidRDefault="00694C0F">
      <w:pPr>
        <w:pStyle w:val="Definition-Field"/>
      </w:pPr>
      <w:r>
        <w:t xml:space="preserve">a.   </w:t>
      </w:r>
      <w:r>
        <w:rPr>
          <w:i/>
        </w:rPr>
        <w:t>The standard does not place any restrictions on the value for the name attribute.</w:t>
      </w:r>
    </w:p>
    <w:p w:rsidR="00024C0A" w:rsidRDefault="00694C0F">
      <w:pPr>
        <w:pStyle w:val="Definition-Field2"/>
      </w:pPr>
      <w:r>
        <w:t xml:space="preserve">Office requires that the name attribute be less than or equal to 31 characters </w:t>
      </w:r>
      <w:r>
        <w:t>in length and follow the character limitations for sheet-name and sheet-name-special in Formulas ("</w:t>
      </w:r>
      <w:hyperlink r:id="rId113">
        <w:r>
          <w:rPr>
            <w:rStyle w:val="Hyperlink"/>
          </w:rPr>
          <w:t>[ISO/IEC-29500-1]</w:t>
        </w:r>
      </w:hyperlink>
      <w:r>
        <w:t xml:space="preserve"> §18.17").</w:t>
      </w:r>
    </w:p>
    <w:p w:rsidR="00024C0A" w:rsidRDefault="00694C0F">
      <w:pPr>
        <w:pStyle w:val="Definition-Field"/>
      </w:pPr>
      <w:r>
        <w:t xml:space="preserve">b.   </w:t>
      </w:r>
      <w:r>
        <w:rPr>
          <w:i/>
        </w:rPr>
        <w:t xml:space="preserve">The standard does not place any restrictions on the value </w:t>
      </w:r>
      <w:r>
        <w:rPr>
          <w:i/>
        </w:rPr>
        <w:t>for the sheetId attribute.</w:t>
      </w:r>
    </w:p>
    <w:p w:rsidR="00024C0A" w:rsidRDefault="00694C0F">
      <w:pPr>
        <w:pStyle w:val="Definition-Field2"/>
      </w:pPr>
      <w:r>
        <w:t>Office requires that the sheetId attribute be between 1 and 65534 inclusive.</w:t>
      </w:r>
    </w:p>
    <w:p w:rsidR="00024C0A" w:rsidRDefault="00694C0F">
      <w:pPr>
        <w:pStyle w:val="Definition-Field"/>
      </w:pPr>
      <w:r>
        <w:t xml:space="preserve">c.   </w:t>
      </w:r>
      <w:r>
        <w:rPr>
          <w:i/>
        </w:rPr>
        <w:t>The standard does not place any restrictions on the value for the id attribute.</w:t>
      </w:r>
    </w:p>
    <w:p w:rsidR="00024C0A" w:rsidRDefault="00694C0F">
      <w:pPr>
        <w:pStyle w:val="Definition-Field2"/>
      </w:pPr>
      <w:r>
        <w:t xml:space="preserve">Office requires that the id attribute be 255 or less characters in </w:t>
      </w:r>
      <w:r>
        <w:t>length.</w:t>
      </w:r>
    </w:p>
    <w:p w:rsidR="00024C0A" w:rsidRDefault="00694C0F">
      <w:pPr>
        <w:pStyle w:val="Definition-Field"/>
      </w:pPr>
      <w:r>
        <w:t xml:space="preserve">d.   </w:t>
      </w:r>
      <w:r>
        <w:rPr>
          <w:i/>
        </w:rPr>
        <w:t>The standard states that sheet names are unique.</w:t>
      </w:r>
    </w:p>
    <w:p w:rsidR="00024C0A" w:rsidRDefault="00694C0F">
      <w:pPr>
        <w:pStyle w:val="Definition-Field2"/>
      </w:pPr>
      <w:r>
        <w:t>Office requires that sheet names are case-insensitive unique in any locale.</w:t>
      </w:r>
    </w:p>
    <w:p w:rsidR="00024C0A" w:rsidRDefault="00694C0F">
      <w:pPr>
        <w:pStyle w:val="Heading3"/>
      </w:pPr>
      <w:bookmarkStart w:id="1171" w:name="section_c9766f83abdd4351aeff90859c90c9f7"/>
      <w:bookmarkStart w:id="1172" w:name="_Toc12260646"/>
      <w:r>
        <w:t>Part 1 Section 18.2.20, sheets (Sheets)</w:t>
      </w:r>
      <w:bookmarkEnd w:id="1171"/>
      <w:bookmarkEnd w:id="1172"/>
      <w:r>
        <w:fldChar w:fldCharType="begin"/>
      </w:r>
      <w:r>
        <w:instrText xml:space="preserve"> XE "sheets (Sheets)" </w:instrText>
      </w:r>
      <w:r>
        <w:fldChar w:fldCharType="end"/>
      </w:r>
    </w:p>
    <w:p w:rsidR="00024C0A" w:rsidRDefault="00694C0F">
      <w:pPr>
        <w:pStyle w:val="Definition-Field"/>
      </w:pPr>
      <w:r>
        <w:t xml:space="preserve">a.   </w:t>
      </w:r>
      <w:r>
        <w:rPr>
          <w:i/>
        </w:rPr>
        <w:t xml:space="preserve">The standard states that the maxOccurs value for </w:t>
      </w:r>
      <w:r>
        <w:rPr>
          <w:i/>
        </w:rPr>
        <w:t>the sheet child element is unbounded.</w:t>
      </w:r>
    </w:p>
    <w:p w:rsidR="00024C0A" w:rsidRDefault="00694C0F">
      <w:pPr>
        <w:pStyle w:val="Definition-Field2"/>
      </w:pPr>
      <w:r>
        <w:t>Excel limits the occurrences of this element to 32767.</w:t>
      </w:r>
    </w:p>
    <w:p w:rsidR="00024C0A" w:rsidRDefault="00694C0F">
      <w:pPr>
        <w:pStyle w:val="Heading3"/>
      </w:pPr>
      <w:bookmarkStart w:id="1173" w:name="section_a7158173228147abbe714addd4682340"/>
      <w:bookmarkStart w:id="1174" w:name="_Toc12260647"/>
      <w:r>
        <w:t>Part 1 Section 18.2.22, smartTagType (Smart Tag Type)</w:t>
      </w:r>
      <w:bookmarkEnd w:id="1173"/>
      <w:bookmarkEnd w:id="1174"/>
      <w:r>
        <w:fldChar w:fldCharType="begin"/>
      </w:r>
      <w:r>
        <w:instrText xml:space="preserve"> XE "smartTagType (Smart Tag Type)" </w:instrText>
      </w:r>
      <w:r>
        <w:fldChar w:fldCharType="end"/>
      </w:r>
    </w:p>
    <w:p w:rsidR="00024C0A" w:rsidRDefault="00694C0F">
      <w:pPr>
        <w:pStyle w:val="Definition-Field"/>
      </w:pPr>
      <w:r>
        <w:t xml:space="preserve">a.   </w:t>
      </w:r>
      <w:r>
        <w:rPr>
          <w:i/>
        </w:rPr>
        <w:t>The standard does not limit the length of the value of the namespa</w:t>
      </w:r>
      <w:r>
        <w:rPr>
          <w:i/>
        </w:rPr>
        <w:t>ceUri attribute.</w:t>
      </w:r>
    </w:p>
    <w:p w:rsidR="00024C0A" w:rsidRDefault="00694C0F">
      <w:pPr>
        <w:pStyle w:val="Definition-Field2"/>
      </w:pPr>
      <w:r>
        <w:t>Excel restricts the value of this attribute to be at most 2083 characters.</w:t>
      </w:r>
    </w:p>
    <w:p w:rsidR="00024C0A" w:rsidRDefault="00694C0F">
      <w:pPr>
        <w:pStyle w:val="Definition-Field"/>
      </w:pPr>
      <w:r>
        <w:t xml:space="preserve">b.   </w:t>
      </w:r>
      <w:r>
        <w:rPr>
          <w:i/>
        </w:rPr>
        <w:t>The standard does not limit the length of the value of the url attribute.</w:t>
      </w:r>
    </w:p>
    <w:p w:rsidR="00024C0A" w:rsidRDefault="00694C0F">
      <w:pPr>
        <w:pStyle w:val="Definition-Field2"/>
      </w:pPr>
      <w:r>
        <w:t>Excel restricts the value of this attribute to be at most 2083 characters.</w:t>
      </w:r>
    </w:p>
    <w:p w:rsidR="00024C0A" w:rsidRDefault="00694C0F">
      <w:pPr>
        <w:pStyle w:val="Definition-Field"/>
      </w:pPr>
      <w:r>
        <w:t xml:space="preserve">c.   </w:t>
      </w:r>
      <w:r>
        <w:rPr>
          <w:i/>
        </w:rPr>
        <w:t>The s</w:t>
      </w:r>
      <w:r>
        <w:rPr>
          <w:i/>
        </w:rPr>
        <w:t>tandard does not limit the length of the value of the name attribute.</w:t>
      </w:r>
    </w:p>
    <w:p w:rsidR="00024C0A" w:rsidRDefault="00694C0F">
      <w:pPr>
        <w:pStyle w:val="Definition-Field2"/>
      </w:pPr>
      <w:r>
        <w:t>Excel restricts the value of this attribute to be at most 255 characters.</w:t>
      </w:r>
    </w:p>
    <w:p w:rsidR="00024C0A" w:rsidRDefault="00694C0F">
      <w:pPr>
        <w:pStyle w:val="Definition-Field"/>
      </w:pPr>
      <w:r>
        <w:t xml:space="preserve">d.   </w:t>
      </w:r>
      <w:r>
        <w:rPr>
          <w:i/>
        </w:rPr>
        <w:t>The standard states that the name attribute is optional.</w:t>
      </w:r>
    </w:p>
    <w:p w:rsidR="00024C0A" w:rsidRDefault="00694C0F">
      <w:pPr>
        <w:pStyle w:val="Definition-Field2"/>
      </w:pPr>
      <w:r>
        <w:t>Excel requires this attribute.</w:t>
      </w:r>
    </w:p>
    <w:p w:rsidR="00024C0A" w:rsidRDefault="00694C0F">
      <w:pPr>
        <w:pStyle w:val="Definition-Field"/>
      </w:pPr>
      <w:r>
        <w:t xml:space="preserve">e.   </w:t>
      </w:r>
      <w:r>
        <w:rPr>
          <w:i/>
        </w:rPr>
        <w:t>The standard s</w:t>
      </w:r>
      <w:r>
        <w:rPr>
          <w:i/>
        </w:rPr>
        <w:t>tates that the namespaceUri attribute is optional.</w:t>
      </w:r>
    </w:p>
    <w:p w:rsidR="00024C0A" w:rsidRDefault="00694C0F">
      <w:pPr>
        <w:pStyle w:val="Definition-Field2"/>
      </w:pPr>
      <w:r>
        <w:t>Excel requires this attribute.</w:t>
      </w:r>
    </w:p>
    <w:p w:rsidR="00024C0A" w:rsidRDefault="00694C0F">
      <w:pPr>
        <w:pStyle w:val="Heading3"/>
      </w:pPr>
      <w:bookmarkStart w:id="1175" w:name="section_bf9c45345d9846cabe7ea76543fce6a2"/>
      <w:bookmarkStart w:id="1176" w:name="_Toc12260648"/>
      <w:r>
        <w:t>Part 1 Section 18.2.23, smartTagTypes (Smart Tag Types)</w:t>
      </w:r>
      <w:bookmarkEnd w:id="1175"/>
      <w:bookmarkEnd w:id="1176"/>
      <w:r>
        <w:fldChar w:fldCharType="begin"/>
      </w:r>
      <w:r>
        <w:instrText xml:space="preserve"> XE "smartTagTypes (Smart Tag Types)" </w:instrText>
      </w:r>
      <w:r>
        <w:fldChar w:fldCharType="end"/>
      </w:r>
    </w:p>
    <w:p w:rsidR="00024C0A" w:rsidRDefault="00694C0F">
      <w:pPr>
        <w:pStyle w:val="Definition-Field"/>
      </w:pPr>
      <w:r>
        <w:t xml:space="preserve">a.   </w:t>
      </w:r>
      <w:r>
        <w:rPr>
          <w:i/>
        </w:rPr>
        <w:t>The standard states that the minOccurs value for the smartTagType child e</w:t>
      </w:r>
      <w:r>
        <w:rPr>
          <w:i/>
        </w:rPr>
        <w:t>lement is 0.</w:t>
      </w:r>
    </w:p>
    <w:p w:rsidR="00024C0A" w:rsidRDefault="00694C0F">
      <w:pPr>
        <w:pStyle w:val="Definition-Field2"/>
      </w:pPr>
      <w:r>
        <w:t>Excel requires an occurrence of this element.</w:t>
      </w:r>
    </w:p>
    <w:p w:rsidR="00024C0A" w:rsidRDefault="00694C0F">
      <w:pPr>
        <w:pStyle w:val="Heading3"/>
      </w:pPr>
      <w:bookmarkStart w:id="1177" w:name="section_039e764d91ca4804af286f748173cd53"/>
      <w:bookmarkStart w:id="1178" w:name="_Toc12260649"/>
      <w:r>
        <w:lastRenderedPageBreak/>
        <w:t>Part 1 Section 18.2.24, webPublishing (Web Publishing Properties)</w:t>
      </w:r>
      <w:bookmarkEnd w:id="1177"/>
      <w:bookmarkEnd w:id="1178"/>
      <w:r>
        <w:fldChar w:fldCharType="begin"/>
      </w:r>
      <w:r>
        <w:instrText xml:space="preserve"> XE "webPublishing (Web Publishing Properties)" </w:instrText>
      </w:r>
      <w:r>
        <w:fldChar w:fldCharType="end"/>
      </w:r>
    </w:p>
    <w:p w:rsidR="00024C0A" w:rsidRDefault="00694C0F">
      <w:pPr>
        <w:pStyle w:val="Definition-Field"/>
      </w:pPr>
      <w:r>
        <w:t xml:space="preserve">a.   </w:t>
      </w:r>
      <w:r>
        <w:rPr>
          <w:i/>
        </w:rPr>
        <w:t>The standard states that characterSet is a valid attribute, and that when it</w:t>
      </w:r>
      <w:r>
        <w:rPr>
          <w:i/>
        </w:rPr>
        <w:t xml:space="preserve"> is present, codePage should be ignored</w:t>
      </w:r>
    </w:p>
    <w:p w:rsidR="00024C0A" w:rsidRDefault="00694C0F">
      <w:pPr>
        <w:pStyle w:val="Definition-Field2"/>
      </w:pPr>
      <w:r>
        <w:t>Office ignores the characterSet attribute if it is present, and does not ignore the codePage attribute if characterSet is present.</w:t>
      </w:r>
    </w:p>
    <w:p w:rsidR="00024C0A" w:rsidRDefault="00694C0F">
      <w:pPr>
        <w:pStyle w:val="Heading3"/>
      </w:pPr>
      <w:bookmarkStart w:id="1179" w:name="section_3ef755fd19944ba1a2994e532589d163"/>
      <w:bookmarkStart w:id="1180" w:name="_Toc12260650"/>
      <w:r>
        <w:t>Part 1 Section 18.2.25, webPublishObject (Web Publishing Object)</w:t>
      </w:r>
      <w:bookmarkEnd w:id="1179"/>
      <w:bookmarkEnd w:id="1180"/>
      <w:r>
        <w:fldChar w:fldCharType="begin"/>
      </w:r>
      <w:r>
        <w:instrText xml:space="preserve"> XE "webPublishObject</w:instrText>
      </w:r>
      <w:r>
        <w:instrText xml:space="preserve"> (Web Publishing Object)" </w:instrText>
      </w:r>
      <w:r>
        <w:fldChar w:fldCharType="end"/>
      </w:r>
    </w:p>
    <w:p w:rsidR="00024C0A" w:rsidRDefault="00694C0F">
      <w:pPr>
        <w:pStyle w:val="Definition-Field"/>
      </w:pPr>
      <w:r>
        <w:t xml:space="preserve">a.   </w:t>
      </w:r>
      <w:r>
        <w:rPr>
          <w:i/>
        </w:rPr>
        <w:t>The standard does not limit the length of the value of the title attribute.</w:t>
      </w:r>
    </w:p>
    <w:p w:rsidR="00024C0A" w:rsidRDefault="00694C0F">
      <w:pPr>
        <w:pStyle w:val="Definition-Field2"/>
      </w:pPr>
      <w:r>
        <w:t>Excel restricts the value of this attribute to be at most 255 characters.</w:t>
      </w:r>
    </w:p>
    <w:p w:rsidR="00024C0A" w:rsidRDefault="00694C0F">
      <w:pPr>
        <w:pStyle w:val="Definition-Field"/>
      </w:pPr>
      <w:r>
        <w:t xml:space="preserve">b.   </w:t>
      </w:r>
      <w:r>
        <w:rPr>
          <w:i/>
        </w:rPr>
        <w:t>The standard does not limit the length of the value of the destinat</w:t>
      </w:r>
      <w:r>
        <w:rPr>
          <w:i/>
        </w:rPr>
        <w:t>ionFile attribute.</w:t>
      </w:r>
    </w:p>
    <w:p w:rsidR="00024C0A" w:rsidRDefault="00694C0F">
      <w:pPr>
        <w:pStyle w:val="Definition-Field2"/>
      </w:pPr>
      <w:r>
        <w:t>Excel restricts the value of this attribute to be at least 1 and at most 255 characters.</w:t>
      </w:r>
    </w:p>
    <w:p w:rsidR="00024C0A" w:rsidRDefault="00694C0F">
      <w:pPr>
        <w:pStyle w:val="Definition-Field"/>
      </w:pPr>
      <w:r>
        <w:t xml:space="preserve">c.   </w:t>
      </w:r>
      <w:r>
        <w:rPr>
          <w:i/>
        </w:rPr>
        <w:t>The standard does not limit the length of the value of the divId attribute.</w:t>
      </w:r>
    </w:p>
    <w:p w:rsidR="00024C0A" w:rsidRDefault="00694C0F">
      <w:pPr>
        <w:pStyle w:val="Definition-Field2"/>
      </w:pPr>
      <w:r>
        <w:t>Excel restricts the value of this attribute to be at least 1 and at</w:t>
      </w:r>
      <w:r>
        <w:t xml:space="preserve"> most 255 characters.</w:t>
      </w:r>
    </w:p>
    <w:p w:rsidR="00024C0A" w:rsidRDefault="00694C0F">
      <w:pPr>
        <w:pStyle w:val="Definition-Field"/>
      </w:pPr>
      <w:r>
        <w:t xml:space="preserve">d.   </w:t>
      </w:r>
      <w:r>
        <w:rPr>
          <w:i/>
        </w:rPr>
        <w:t>The standard does not limit the length of the value of the sourceObject attribute.</w:t>
      </w:r>
    </w:p>
    <w:p w:rsidR="00024C0A" w:rsidRDefault="00694C0F">
      <w:pPr>
        <w:pStyle w:val="Definition-Field2"/>
      </w:pPr>
      <w:r>
        <w:t>Excel restricts the value of this attribute to be at most 255 characters.</w:t>
      </w:r>
    </w:p>
    <w:p w:rsidR="00024C0A" w:rsidRDefault="00694C0F">
      <w:pPr>
        <w:pStyle w:val="Definition-Field"/>
      </w:pPr>
      <w:r>
        <w:t xml:space="preserve">e.   </w:t>
      </w:r>
      <w:r>
        <w:rPr>
          <w:i/>
        </w:rPr>
        <w:t>The standard states that the values of the id attribute are defined</w:t>
      </w:r>
      <w:r>
        <w:rPr>
          <w:i/>
        </w:rPr>
        <w:t xml:space="preserve"> by the XML Schema unsignedInt datatype.</w:t>
      </w:r>
    </w:p>
    <w:p w:rsidR="00024C0A" w:rsidRDefault="00694C0F">
      <w:pPr>
        <w:pStyle w:val="Definition-Field2"/>
      </w:pPr>
      <w:r>
        <w:t>Excel restricts the value of this attribute to be at least 1 and at most 2147483647.</w:t>
      </w:r>
    </w:p>
    <w:p w:rsidR="00024C0A" w:rsidRDefault="00694C0F">
      <w:pPr>
        <w:pStyle w:val="Definition-Field"/>
      </w:pPr>
      <w:r>
        <w:t xml:space="preserve">f.   </w:t>
      </w:r>
      <w:r>
        <w:rPr>
          <w:i/>
        </w:rPr>
        <w:t>The standard states that the values of the sourceObject attribute are defined by the ST_Xstring simple type.</w:t>
      </w:r>
    </w:p>
    <w:p w:rsidR="00024C0A" w:rsidRDefault="00694C0F">
      <w:pPr>
        <w:pStyle w:val="Definition-Field2"/>
      </w:pPr>
      <w:r>
        <w:t>Excel requires t</w:t>
      </w:r>
      <w:r>
        <w:t>he value of this attribute to meet the restrictions defined in Names ("</w:t>
      </w:r>
      <w:hyperlink r:id="rId114">
        <w:r>
          <w:rPr>
            <w:rStyle w:val="Hyperlink"/>
          </w:rPr>
          <w:t>[ISO/IEC-29500-1]</w:t>
        </w:r>
      </w:hyperlink>
      <w:r>
        <w:t xml:space="preserve"> §18.17.2.5").</w:t>
      </w:r>
    </w:p>
    <w:p w:rsidR="00024C0A" w:rsidRDefault="00694C0F">
      <w:pPr>
        <w:pStyle w:val="Heading3"/>
      </w:pPr>
      <w:bookmarkStart w:id="1181" w:name="section_7821b8f6672a4f05bc0f33b818210695"/>
      <w:bookmarkStart w:id="1182" w:name="_Toc12260651"/>
      <w:r>
        <w:t>Part 1 Section 18.2.27, workbook (Workbook)</w:t>
      </w:r>
      <w:bookmarkEnd w:id="1181"/>
      <w:bookmarkEnd w:id="1182"/>
      <w:r>
        <w:fldChar w:fldCharType="begin"/>
      </w:r>
      <w:r>
        <w:instrText xml:space="preserve"> XE "workbook (Workbook)" </w:instrText>
      </w:r>
      <w:r>
        <w:fldChar w:fldCharType="end"/>
      </w:r>
    </w:p>
    <w:p w:rsidR="00024C0A" w:rsidRDefault="00694C0F">
      <w:pPr>
        <w:pStyle w:val="Definition-Field"/>
      </w:pPr>
      <w:r>
        <w:t xml:space="preserve">a.   </w:t>
      </w:r>
      <w:r>
        <w:rPr>
          <w:i/>
        </w:rPr>
        <w:t>The standa</w:t>
      </w:r>
      <w:r>
        <w:rPr>
          <w:i/>
        </w:rPr>
        <w:t>rd states that minOccurs for the bookViews element is zero.</w:t>
      </w:r>
    </w:p>
    <w:p w:rsidR="00024C0A" w:rsidRDefault="00694C0F">
      <w:pPr>
        <w:pStyle w:val="Definition-Field2"/>
      </w:pPr>
      <w:r>
        <w:t>Excel will fail to print files without a bookViews element.</w:t>
      </w:r>
    </w:p>
    <w:p w:rsidR="00024C0A" w:rsidRDefault="00694C0F">
      <w:pPr>
        <w:pStyle w:val="Definition-Field"/>
      </w:pPr>
      <w:r>
        <w:t xml:space="preserve">b.   </w:t>
      </w:r>
      <w:r>
        <w:rPr>
          <w:i/>
        </w:rPr>
        <w:t>The standard specifies that the conformance attribute is a valid attribute of the workbook element.</w:t>
      </w:r>
    </w:p>
    <w:p w:rsidR="00024C0A" w:rsidRDefault="00694C0F">
      <w:pPr>
        <w:pStyle w:val="Definition-Field2"/>
      </w:pPr>
      <w:r>
        <w:t>Excel ignores the conformance a</w:t>
      </w:r>
      <w:r>
        <w:t>ttribute.</w:t>
      </w:r>
    </w:p>
    <w:p w:rsidR="00024C0A" w:rsidRDefault="00694C0F">
      <w:pPr>
        <w:pStyle w:val="Definition-Field2"/>
      </w:pPr>
      <w:r>
        <w:t>This note applies to the following products: Office 2010, Office 2010 Server, Office 2010 SP1.</w:t>
      </w:r>
    </w:p>
    <w:p w:rsidR="00024C0A" w:rsidRDefault="00694C0F">
      <w:pPr>
        <w:pStyle w:val="Heading3"/>
      </w:pPr>
      <w:bookmarkStart w:id="1183" w:name="section_a251e7c67b8a4e2fb284025f9f09ba3e"/>
      <w:bookmarkStart w:id="1184" w:name="_Toc12260652"/>
      <w:r>
        <w:t>Part 1 Section 18.2.28, workbookPr (Workbook Properties)</w:t>
      </w:r>
      <w:bookmarkEnd w:id="1183"/>
      <w:bookmarkEnd w:id="1184"/>
      <w:r>
        <w:fldChar w:fldCharType="begin"/>
      </w:r>
      <w:r>
        <w:instrText xml:space="preserve"> XE "workbookPr (Workbook Properties)" </w:instrText>
      </w:r>
      <w:r>
        <w:fldChar w:fldCharType="end"/>
      </w:r>
    </w:p>
    <w:p w:rsidR="00024C0A" w:rsidRDefault="00694C0F">
      <w:pPr>
        <w:pStyle w:val="Definition-Field"/>
      </w:pPr>
      <w:r>
        <w:t xml:space="preserve">a.   </w:t>
      </w:r>
      <w:r>
        <w:rPr>
          <w:i/>
        </w:rPr>
        <w:t xml:space="preserve">The standard states that allowRefreshQuery is a </w:t>
      </w:r>
      <w:r>
        <w:rPr>
          <w:i/>
        </w:rPr>
        <w:t>valid attribute on this element.</w:t>
      </w:r>
    </w:p>
    <w:p w:rsidR="00024C0A" w:rsidRDefault="00694C0F">
      <w:pPr>
        <w:pStyle w:val="Definition-Field2"/>
      </w:pPr>
      <w:r>
        <w:t>Excel does not support this attribute on this element.</w:t>
      </w:r>
    </w:p>
    <w:p w:rsidR="00024C0A" w:rsidRDefault="00694C0F">
      <w:pPr>
        <w:pStyle w:val="Definition-Field"/>
      </w:pPr>
      <w:r>
        <w:t xml:space="preserve">b.   </w:t>
      </w:r>
      <w:r>
        <w:rPr>
          <w:i/>
        </w:rPr>
        <w:t>The standard does not specify a default value for the defaultThemeVersion attribute.</w:t>
      </w:r>
    </w:p>
    <w:p w:rsidR="00024C0A" w:rsidRDefault="00694C0F">
      <w:pPr>
        <w:pStyle w:val="Definition-Field2"/>
      </w:pPr>
      <w:r>
        <w:t>Excel uses a default value of 0, which indicates that no default theme applies</w:t>
      </w:r>
      <w:r>
        <w:t xml:space="preserve"> in the workbook, for this attribute.</w:t>
      </w:r>
    </w:p>
    <w:p w:rsidR="00024C0A" w:rsidRDefault="00694C0F">
      <w:pPr>
        <w:pStyle w:val="Definition-Field"/>
      </w:pPr>
      <w:r>
        <w:lastRenderedPageBreak/>
        <w:t xml:space="preserve">c.   </w:t>
      </w:r>
      <w:r>
        <w:rPr>
          <w:i/>
        </w:rPr>
        <w:t>The standard describes the codeName attribute as specifying the codename of the application that created the workbook.</w:t>
      </w:r>
    </w:p>
    <w:p w:rsidR="00024C0A" w:rsidRDefault="00694C0F">
      <w:pPr>
        <w:pStyle w:val="Definition-Field2"/>
      </w:pPr>
      <w:r>
        <w:t>Office uses the codeName attribute to specify the name of the Workbook object as to be used in</w:t>
      </w:r>
      <w:r>
        <w:t xml:space="preserve"> a scripting application.</w:t>
      </w:r>
    </w:p>
    <w:p w:rsidR="00024C0A" w:rsidRDefault="00694C0F">
      <w:pPr>
        <w:pStyle w:val="Definition-Field"/>
      </w:pPr>
      <w:r>
        <w:t xml:space="preserve">d.   </w:t>
      </w:r>
      <w:r>
        <w:rPr>
          <w:i/>
        </w:rPr>
        <w:t>The standard states that the values of the codeName attribute are defined by the XML Schema string datatype.</w:t>
      </w:r>
    </w:p>
    <w:p w:rsidR="00024C0A" w:rsidRDefault="00694C0F">
      <w:pPr>
        <w:pStyle w:val="Definition-Field2"/>
      </w:pPr>
      <w:r>
        <w:t>Excel requires this attribute to be at most 31 characters, with the following pattern restriction: [\p{L}\P{IsBasicL</w:t>
      </w:r>
      <w:r>
        <w:t>atin}][_\d\p{L}\P{IsBasicLatin}]*.</w:t>
      </w:r>
    </w:p>
    <w:p w:rsidR="00024C0A" w:rsidRDefault="00694C0F">
      <w:pPr>
        <w:pStyle w:val="Definition-Field"/>
      </w:pPr>
      <w:r>
        <w:t xml:space="preserve">e.   </w:t>
      </w:r>
      <w:r>
        <w:rPr>
          <w:i/>
        </w:rPr>
        <w:t>The standard specifies a value of 1 or true for @hidePivotFieldList indicates the field list is shown.</w:t>
      </w:r>
    </w:p>
    <w:p w:rsidR="00024C0A" w:rsidRDefault="00694C0F">
      <w:pPr>
        <w:pStyle w:val="Definition-Field2"/>
      </w:pPr>
      <w:r>
        <w:t>Office treats that a value of 1 or true to indicate the field list is hidden, and a value of 0 or false otherwise</w:t>
      </w:r>
      <w:r>
        <w:t>.</w:t>
      </w:r>
    </w:p>
    <w:p w:rsidR="00024C0A" w:rsidRDefault="00694C0F">
      <w:pPr>
        <w:pStyle w:val="Definition-Field"/>
      </w:pPr>
      <w:r>
        <w:t xml:space="preserve">f.   </w:t>
      </w:r>
      <w:r>
        <w:rPr>
          <w:i/>
        </w:rPr>
        <w:t>The standard does not specify the meaning of possible values for the attribute refreshAllConnections.</w:t>
      </w:r>
    </w:p>
    <w:p w:rsidR="00024C0A" w:rsidRDefault="00694C0F">
      <w:pPr>
        <w:pStyle w:val="Definition-Field2"/>
      </w:pPr>
      <w:r>
        <w:t>Office treats a value of 1 or true for @refreshAllConnections to indicate all connections shall be refreshed, and 0 or false otherwise.</w:t>
      </w:r>
    </w:p>
    <w:p w:rsidR="00024C0A" w:rsidRDefault="00694C0F">
      <w:pPr>
        <w:pStyle w:val="Definition-Field"/>
      </w:pPr>
      <w:r>
        <w:t xml:space="preserve">g.   </w:t>
      </w:r>
      <w:r>
        <w:rPr>
          <w:i/>
        </w:rPr>
        <w:t>The st</w:t>
      </w:r>
      <w:r>
        <w:rPr>
          <w:i/>
        </w:rPr>
        <w:t xml:space="preserve">andard states that the dateCompatibility attribute determines whether the date base should be treated as a compatibility date base or should support the full date range of </w:t>
      </w:r>
      <w:hyperlink r:id="rId115">
        <w:r>
          <w:rPr>
            <w:rStyle w:val="Hyperlink"/>
          </w:rPr>
          <w:t>[ISO-8601]</w:t>
        </w:r>
      </w:hyperlink>
      <w:r>
        <w:rPr>
          <w:i/>
        </w:rPr>
        <w:t>.</w:t>
      </w:r>
    </w:p>
    <w:p w:rsidR="00024C0A" w:rsidRDefault="00694C0F">
      <w:pPr>
        <w:pStyle w:val="Definition-Field2"/>
      </w:pPr>
      <w:r>
        <w:t xml:space="preserve">Office </w:t>
      </w:r>
      <w:r>
        <w:t>ignores the dateCompatibility attribute, and always uses a compatibility date base.</w:t>
      </w:r>
    </w:p>
    <w:p w:rsidR="00024C0A" w:rsidRDefault="00694C0F">
      <w:pPr>
        <w:pStyle w:val="Definition-Field2"/>
      </w:pPr>
      <w:r>
        <w:t>This note applies to the following products: Office 2010, Office 2010 Server, Office 2010 SP1.</w:t>
      </w:r>
    </w:p>
    <w:p w:rsidR="00024C0A" w:rsidRDefault="00694C0F">
      <w:pPr>
        <w:pStyle w:val="Definition-Field"/>
      </w:pPr>
      <w:r>
        <w:t xml:space="preserve">h.   </w:t>
      </w:r>
      <w:r>
        <w:rPr>
          <w:i/>
        </w:rPr>
        <w:t>The standard states that the filterPrivacy attribute is used to warn the</w:t>
      </w:r>
      <w:r>
        <w:rPr>
          <w:i/>
        </w:rPr>
        <w:t xml:space="preserve"> user when PII is added to a document.</w:t>
      </w:r>
    </w:p>
    <w:p w:rsidR="00024C0A" w:rsidRDefault="00694C0F">
      <w:pPr>
        <w:pStyle w:val="Definition-Field2"/>
      </w:pPr>
      <w:r>
        <w:t>In Office, the filterPrivacy attribute is used to determine if PII is removed or not removed from the workbook when it is saved.</w:t>
      </w:r>
    </w:p>
    <w:p w:rsidR="00024C0A" w:rsidRDefault="00694C0F">
      <w:pPr>
        <w:pStyle w:val="Definition-Field"/>
      </w:pPr>
      <w:r>
        <w:t xml:space="preserve">i.   </w:t>
      </w:r>
      <w:r>
        <w:rPr>
          <w:i/>
        </w:rPr>
        <w:t xml:space="preserve">The standard implies that the implementing application should draw a border around </w:t>
      </w:r>
      <w:r>
        <w:rPr>
          <w:i/>
        </w:rPr>
        <w:t>unselected tables if @showBorderUnselectedTables is set to true.</w:t>
      </w:r>
    </w:p>
    <w:p w:rsidR="00024C0A" w:rsidRDefault="00694C0F">
      <w:pPr>
        <w:pStyle w:val="Definition-Field2"/>
      </w:pPr>
      <w:r>
        <w:t>Office does not draw the border around tables regardless of the value of showBorderUnselectedTables.</w:t>
      </w:r>
    </w:p>
    <w:p w:rsidR="00024C0A" w:rsidRDefault="00694C0F">
      <w:pPr>
        <w:pStyle w:val="Definition-Field"/>
      </w:pPr>
      <w:r>
        <w:t xml:space="preserve">j.   </w:t>
      </w:r>
      <w:r>
        <w:rPr>
          <w:i/>
        </w:rPr>
        <w:t xml:space="preserve">The standard states that the dateCompatibility attribute determines whether the date </w:t>
      </w:r>
      <w:r>
        <w:rPr>
          <w:i/>
        </w:rPr>
        <w:t xml:space="preserve">base should be treated as a compatibility date base or should support the full date range of </w:t>
      </w:r>
      <w:r>
        <w:t>[ISO-8601]</w:t>
      </w:r>
      <w:r>
        <w:rPr>
          <w:i/>
        </w:rPr>
        <w:t>.</w:t>
      </w:r>
    </w:p>
    <w:p w:rsidR="00024C0A" w:rsidRDefault="00694C0F">
      <w:pPr>
        <w:pStyle w:val="Definition-Field2"/>
      </w:pPr>
      <w:r>
        <w:t>Office ignores the dateCompatibility attribute. If workbook@conformance equals "strict", the 1900 date system is used. Otherwise the 1900 compatibility</w:t>
      </w:r>
      <w:r>
        <w:t xml:space="preserve"> date system is used. Excel does not support negative serial numbers.</w:t>
      </w:r>
    </w:p>
    <w:p w:rsidR="00024C0A" w:rsidRDefault="00694C0F">
      <w:pPr>
        <w:pStyle w:val="Definition-Field2"/>
      </w:pPr>
      <w:r>
        <w:t>This note applies to the following products: Office 2013 Client (Strict), Office 2013 Server (Strict), Office 2013 Client (Transitional), Office 2013 Server (Transitional).</w:t>
      </w:r>
    </w:p>
    <w:p w:rsidR="00024C0A" w:rsidRDefault="00694C0F">
      <w:pPr>
        <w:pStyle w:val="Heading3"/>
      </w:pPr>
      <w:bookmarkStart w:id="1185" w:name="section_601cecceb95644ef9fa6736b2ce3657d"/>
      <w:bookmarkStart w:id="1186" w:name="_Toc12260653"/>
      <w:r>
        <w:t>Part 1 Section 18.2.29, workbookProtection (Workbook Protection)</w:t>
      </w:r>
      <w:bookmarkEnd w:id="1185"/>
      <w:bookmarkEnd w:id="1186"/>
      <w:r>
        <w:fldChar w:fldCharType="begin"/>
      </w:r>
      <w:r>
        <w:instrText xml:space="preserve"> XE "workbookProtection (Workbook Protection)" </w:instrText>
      </w:r>
      <w:r>
        <w:fldChar w:fldCharType="end"/>
      </w:r>
    </w:p>
    <w:p w:rsidR="00024C0A" w:rsidRDefault="00694C0F">
      <w:pPr>
        <w:pStyle w:val="Definition-Field"/>
      </w:pPr>
      <w:r>
        <w:t xml:space="preserve">a.   </w:t>
      </w:r>
      <w:r>
        <w:rPr>
          <w:i/>
        </w:rPr>
        <w:t>The standard specifies @lockWindows indicates whether the windows that comprise the workbook are locked.</w:t>
      </w:r>
    </w:p>
    <w:p w:rsidR="00024C0A" w:rsidRDefault="00694C0F">
      <w:pPr>
        <w:pStyle w:val="Definition-Field2"/>
      </w:pPr>
      <w:r>
        <w:t>In Office if all sheets have a s</w:t>
      </w:r>
      <w:r>
        <w:t>heetView element with the attribute windowProtection set to false, then @lockWindows will also be saved as false.</w:t>
      </w:r>
    </w:p>
    <w:p w:rsidR="00024C0A" w:rsidRDefault="00694C0F">
      <w:pPr>
        <w:pStyle w:val="Definition-Field"/>
      </w:pPr>
      <w:r>
        <w:t xml:space="preserve">b.   </w:t>
      </w:r>
      <w:r>
        <w:rPr>
          <w:i/>
        </w:rPr>
        <w:t>The standard specifies @lockRevision indicates whether the workbook is locked for revisions.</w:t>
      </w:r>
    </w:p>
    <w:p w:rsidR="00024C0A" w:rsidRDefault="00694C0F">
      <w:pPr>
        <w:pStyle w:val="Definition-Field2"/>
      </w:pPr>
      <w:r>
        <w:lastRenderedPageBreak/>
        <w:t>Office uses @lockRevision to specify whether</w:t>
      </w:r>
      <w:r>
        <w:t xml:space="preserve"> the change history in a shared workbook cannot be removed.</w:t>
      </w:r>
    </w:p>
    <w:p w:rsidR="00024C0A" w:rsidRDefault="00694C0F">
      <w:pPr>
        <w:pStyle w:val="Definition-Field"/>
      </w:pPr>
      <w:r>
        <w:t xml:space="preserve">c.   </w:t>
      </w:r>
      <w:r>
        <w:rPr>
          <w:i/>
        </w:rPr>
        <w:t>The standard specifies @workbookPassword as the hash of the password required for unlocking revisions in this workbook.</w:t>
      </w:r>
    </w:p>
    <w:p w:rsidR="00024C0A" w:rsidRDefault="00694C0F">
      <w:pPr>
        <w:pStyle w:val="Definition-Field2"/>
      </w:pPr>
      <w:r>
        <w:t xml:space="preserve">Office uses @workbookPassword as the hash of the password required for </w:t>
      </w:r>
      <w:r>
        <w:t>unlocking the structure of the workbook and/or the windows in this workbook.</w:t>
      </w:r>
    </w:p>
    <w:p w:rsidR="00024C0A" w:rsidRDefault="00694C0F">
      <w:pPr>
        <w:pStyle w:val="Definition-Field"/>
      </w:pPr>
      <w:r>
        <w:t xml:space="preserve">d.   </w:t>
      </w:r>
      <w:r>
        <w:rPr>
          <w:i/>
        </w:rPr>
        <w:t>The standard states that this setting uses a specific revisionsPassword attribute to store the password hash for unlocking revisions in the workbook.</w:t>
      </w:r>
    </w:p>
    <w:p w:rsidR="00024C0A" w:rsidRDefault="00694C0F">
      <w:r>
        <w:t>In Office, when the HKCU</w:t>
      </w:r>
      <w:r>
        <w:t>/Software/Microsoft/Office/&lt;VERSION&gt;/Common/Security/UseIsoPasswordVerifier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Name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algorithm Name</w:t>
            </w:r>
          </w:p>
        </w:tc>
        <w:tc>
          <w:tcPr>
            <w:tcW w:w="0" w:type="auto"/>
            <w:vAlign w:val="center"/>
          </w:tcPr>
          <w:p w:rsidR="00024C0A" w:rsidRDefault="00694C0F">
            <w:pPr>
              <w:pStyle w:val="TableBodyText"/>
            </w:pPr>
            <w:r>
              <w:t xml:space="preserve">The name of the </w:t>
            </w:r>
            <w:r>
              <w:t>cryptographic hashing algorithm used to generate the hash value. Only those algorithms that are installed in the operating system’s cryptographic subsystem can be utilized by Office.</w:t>
            </w:r>
          </w:p>
          <w:p w:rsidR="00024C0A" w:rsidRDefault="00024C0A">
            <w:pPr>
              <w:pStyle w:val="TableBodyText"/>
            </w:pPr>
          </w:p>
          <w:p w:rsidR="00024C0A" w:rsidRDefault="00694C0F">
            <w:pPr>
              <w:pStyle w:val="TableBodyText"/>
            </w:pPr>
            <w:r>
              <w:t>The hash algorithm names, described in the following table, are reserved</w:t>
            </w:r>
            <w:r>
              <w:t>.</w:t>
            </w:r>
          </w:p>
          <w:p w:rsidR="00024C0A" w:rsidRDefault="00024C0A">
            <w:pPr>
              <w:pStyle w:val="TableBodyText"/>
            </w:pPr>
          </w:p>
          <w:p w:rsidR="00024C0A" w:rsidRDefault="00694C0F">
            <w:pPr>
              <w:pStyle w:val="TableBodyText"/>
            </w:pPr>
            <w:r>
              <w:rPr>
                <w:b/>
                <w:i/>
              </w:rPr>
              <w:t xml:space="preserve">MD2 </w:t>
            </w:r>
          </w:p>
          <w:p w:rsidR="00024C0A" w:rsidRDefault="00694C0F">
            <w:pPr>
              <w:pStyle w:val="TableBodyText"/>
            </w:pPr>
            <w:r>
              <w:rPr>
                <w:i/>
              </w:rPr>
              <w:t>Specifies that the MD2 algorithm, as defined by RFC 1319, shall be used.</w:t>
            </w:r>
          </w:p>
          <w:p w:rsidR="00024C0A" w:rsidRDefault="00024C0A">
            <w:pPr>
              <w:pStyle w:val="TableBodyText"/>
            </w:pPr>
          </w:p>
          <w:p w:rsidR="00024C0A" w:rsidRDefault="00694C0F">
            <w:pPr>
              <w:pStyle w:val="TableBodyText"/>
            </w:pPr>
            <w:r>
              <w:rPr>
                <w:i/>
              </w:rPr>
              <w:t>[Note: It is recommended that applications should avoid using this algorithm to store new hash values, because of publicly known breaks. end note]</w:t>
            </w:r>
          </w:p>
          <w:p w:rsidR="00024C0A" w:rsidRDefault="00694C0F">
            <w:pPr>
              <w:pStyle w:val="TableBodyText"/>
            </w:pPr>
            <w:r>
              <w:rPr>
                <w:b/>
                <w:i/>
              </w:rPr>
              <w:t xml:space="preserve">MD4 </w:t>
            </w:r>
          </w:p>
          <w:p w:rsidR="00024C0A" w:rsidRDefault="00694C0F">
            <w:pPr>
              <w:pStyle w:val="TableBodyText"/>
            </w:pPr>
            <w:r>
              <w:rPr>
                <w:i/>
              </w:rPr>
              <w:t>Specifies that the MD4</w:t>
            </w:r>
            <w:r>
              <w:rPr>
                <w:i/>
              </w:rPr>
              <w:t xml:space="preserve"> algorithm, as defined by RFC 1320, shall be used.</w:t>
            </w:r>
          </w:p>
          <w:p w:rsidR="00024C0A" w:rsidRDefault="00024C0A">
            <w:pPr>
              <w:pStyle w:val="TableBodyText"/>
            </w:pPr>
          </w:p>
          <w:p w:rsidR="00024C0A" w:rsidRDefault="00694C0F">
            <w:pPr>
              <w:pStyle w:val="TableBodyText"/>
            </w:pPr>
            <w:r>
              <w:rPr>
                <w:i/>
              </w:rPr>
              <w:t>[Note: It is recommended that applications should avoid using this algorithm to store new hash values, because of publicly known breaks. end note]</w:t>
            </w:r>
          </w:p>
          <w:p w:rsidR="00024C0A" w:rsidRDefault="00694C0F">
            <w:pPr>
              <w:pStyle w:val="TableBodyText"/>
            </w:pPr>
            <w:r>
              <w:rPr>
                <w:b/>
                <w:i/>
              </w:rPr>
              <w:t>MD5</w:t>
            </w:r>
          </w:p>
          <w:p w:rsidR="00024C0A" w:rsidRDefault="00694C0F">
            <w:pPr>
              <w:pStyle w:val="TableBodyText"/>
            </w:pPr>
            <w:r>
              <w:rPr>
                <w:i/>
              </w:rPr>
              <w:t>Specifies that the MD5 algorithm, as defined by RFC 1</w:t>
            </w:r>
            <w:r>
              <w:rPr>
                <w:i/>
              </w:rPr>
              <w:t>321, shall be used.</w:t>
            </w:r>
          </w:p>
          <w:p w:rsidR="00024C0A" w:rsidRDefault="00024C0A">
            <w:pPr>
              <w:pStyle w:val="TableBodyText"/>
            </w:pPr>
          </w:p>
          <w:p w:rsidR="00024C0A" w:rsidRDefault="00694C0F">
            <w:pPr>
              <w:pStyle w:val="TableBodyText"/>
            </w:pPr>
            <w:r>
              <w:rPr>
                <w:i/>
              </w:rPr>
              <w:t>[Note: It is recommended that applications should avoid using this algorithm to store new hash values, because of publicly known breaks. end note]</w:t>
            </w:r>
          </w:p>
          <w:p w:rsidR="00024C0A" w:rsidRDefault="00694C0F">
            <w:pPr>
              <w:pStyle w:val="TableBodyText"/>
            </w:pPr>
            <w:r>
              <w:rPr>
                <w:b/>
                <w:i/>
              </w:rPr>
              <w:t>RIPEMD-128</w:t>
            </w:r>
          </w:p>
          <w:p w:rsidR="00024C0A" w:rsidRDefault="00694C0F">
            <w:pPr>
              <w:pStyle w:val="TableBodyText"/>
            </w:pPr>
            <w:r>
              <w:rPr>
                <w:i/>
              </w:rPr>
              <w:t>Specifies that the RIPEMD-128 algorithm, as defined by ISO/IEC 10118-3:2004 s</w:t>
            </w:r>
            <w:r>
              <w:rPr>
                <w:i/>
              </w:rPr>
              <w:t>hall be used.</w:t>
            </w:r>
          </w:p>
          <w:p w:rsidR="00024C0A" w:rsidRDefault="00024C0A">
            <w:pPr>
              <w:pStyle w:val="TableBodyText"/>
            </w:pPr>
          </w:p>
          <w:p w:rsidR="00024C0A" w:rsidRDefault="00694C0F">
            <w:pPr>
              <w:pStyle w:val="TableBodyText"/>
            </w:pPr>
            <w:r>
              <w:rPr>
                <w:i/>
              </w:rPr>
              <w:t>[Note: It is recommended that applications should avoid using this algorithm to store new hash values, because of publicly known breaks. end note]</w:t>
            </w:r>
          </w:p>
          <w:p w:rsidR="00024C0A" w:rsidRDefault="00694C0F">
            <w:pPr>
              <w:pStyle w:val="TableBodyText"/>
            </w:pPr>
            <w:r>
              <w:rPr>
                <w:b/>
                <w:i/>
              </w:rPr>
              <w:t>RIPEMD-160</w:t>
            </w:r>
          </w:p>
          <w:p w:rsidR="00024C0A" w:rsidRDefault="00694C0F">
            <w:pPr>
              <w:pStyle w:val="TableBodyText"/>
            </w:pPr>
            <w:r>
              <w:rPr>
                <w:i/>
              </w:rPr>
              <w:t xml:space="preserve">Specifies that the RIPEMD-160 algorithm, as defined by ISO/IEC 10118-3:2004, shall </w:t>
            </w:r>
            <w:r>
              <w:rPr>
                <w:i/>
              </w:rPr>
              <w:t>be used.</w:t>
            </w:r>
          </w:p>
          <w:p w:rsidR="00024C0A" w:rsidRDefault="00694C0F">
            <w:pPr>
              <w:pStyle w:val="TableBodyText"/>
            </w:pPr>
            <w:r>
              <w:rPr>
                <w:b/>
                <w:i/>
              </w:rPr>
              <w:t>SHA-1</w:t>
            </w:r>
          </w:p>
          <w:p w:rsidR="00024C0A" w:rsidRDefault="00694C0F">
            <w:pPr>
              <w:pStyle w:val="TableBodyText"/>
            </w:pPr>
            <w:r>
              <w:rPr>
                <w:i/>
              </w:rPr>
              <w:t>Specifies that the SHA-1 algorithm, as defined by ISO/IEC 10118-3:2004, shall be used.</w:t>
            </w:r>
          </w:p>
          <w:p w:rsidR="00024C0A" w:rsidRDefault="00694C0F">
            <w:pPr>
              <w:pStyle w:val="TableBodyText"/>
            </w:pPr>
            <w:r>
              <w:rPr>
                <w:b/>
                <w:i/>
              </w:rPr>
              <w:t>SHA-256</w:t>
            </w:r>
          </w:p>
          <w:p w:rsidR="00024C0A" w:rsidRDefault="00694C0F">
            <w:pPr>
              <w:pStyle w:val="TableBodyText"/>
            </w:pPr>
            <w:r>
              <w:rPr>
                <w:i/>
              </w:rPr>
              <w:t>Specifies that the SHA-256 algorithm, as defined by ISO/IEC 10118-3:2004, shall be used.</w:t>
            </w:r>
          </w:p>
          <w:p w:rsidR="00024C0A" w:rsidRDefault="00694C0F">
            <w:pPr>
              <w:pStyle w:val="TableBodyText"/>
            </w:pPr>
            <w:r>
              <w:rPr>
                <w:b/>
                <w:i/>
              </w:rPr>
              <w:t>SHA-384</w:t>
            </w:r>
          </w:p>
          <w:p w:rsidR="00024C0A" w:rsidRDefault="00694C0F">
            <w:pPr>
              <w:pStyle w:val="TableBodyText"/>
            </w:pPr>
            <w:r>
              <w:rPr>
                <w:i/>
              </w:rPr>
              <w:t xml:space="preserve">Specifies that the SHA-384 algorithm, as defined </w:t>
            </w:r>
            <w:r>
              <w:rPr>
                <w:i/>
              </w:rPr>
              <w:t>by ISO/IEC 10118-3:2004, shall be used.</w:t>
            </w:r>
          </w:p>
          <w:p w:rsidR="00024C0A" w:rsidRDefault="00694C0F">
            <w:pPr>
              <w:pStyle w:val="TableBodyText"/>
            </w:pPr>
            <w:r>
              <w:rPr>
                <w:b/>
                <w:i/>
              </w:rPr>
              <w:t>SHA-512</w:t>
            </w:r>
          </w:p>
          <w:p w:rsidR="00024C0A" w:rsidRDefault="00694C0F">
            <w:pPr>
              <w:pStyle w:val="TableBodyText"/>
            </w:pPr>
            <w:r>
              <w:rPr>
                <w:i/>
              </w:rPr>
              <w:lastRenderedPageBreak/>
              <w:t>Specifies that the SHA-512 algorithm, as defined by ISO/IEC 10118-3:2004, shall be used.</w:t>
            </w:r>
          </w:p>
          <w:p w:rsidR="00024C0A" w:rsidRDefault="00694C0F">
            <w:pPr>
              <w:pStyle w:val="TableBodyText"/>
            </w:pPr>
            <w:r>
              <w:rPr>
                <w:b/>
                <w:i/>
              </w:rPr>
              <w:t>WHIRLPOOL</w:t>
            </w:r>
          </w:p>
          <w:p w:rsidR="00024C0A" w:rsidRDefault="00694C0F">
            <w:pPr>
              <w:pStyle w:val="TableBodyText"/>
            </w:pPr>
            <w:r>
              <w:rPr>
                <w:i/>
              </w:rPr>
              <w:t>Specifies that the WHIRLPOOL algorithm, as defined by ISO/IEC 10118-3:2004, shall be used.</w:t>
            </w:r>
          </w:p>
          <w:p w:rsidR="00024C0A" w:rsidRDefault="00024C0A">
            <w:pPr>
              <w:pStyle w:val="TableBodyText"/>
            </w:pPr>
          </w:p>
          <w:p w:rsidR="00024C0A" w:rsidRDefault="00024C0A">
            <w:pPr>
              <w:pStyle w:val="TableBodyText"/>
            </w:pPr>
          </w:p>
        </w:tc>
      </w:tr>
      <w:tr w:rsidR="00024C0A" w:rsidTr="00024C0A">
        <w:tc>
          <w:tcPr>
            <w:tcW w:w="0" w:type="auto"/>
            <w:vAlign w:val="center"/>
          </w:tcPr>
          <w:p w:rsidR="00024C0A" w:rsidRDefault="00694C0F">
            <w:pPr>
              <w:pStyle w:val="TableBodyText"/>
            </w:pPr>
            <w:r>
              <w:rPr>
                <w:b/>
              </w:rPr>
              <w:lastRenderedPageBreak/>
              <w:t>hash Value</w:t>
            </w:r>
          </w:p>
        </w:tc>
        <w:tc>
          <w:tcPr>
            <w:tcW w:w="0" w:type="auto"/>
            <w:vAlign w:val="center"/>
          </w:tcPr>
          <w:p w:rsidR="00024C0A" w:rsidRDefault="00694C0F">
            <w:pPr>
              <w:pStyle w:val="TableBodyText"/>
            </w:pPr>
            <w:r>
              <w:t>Spec</w:t>
            </w:r>
            <w:r>
              <w:t xml:space="preserve">ifies the hash value for the password required to edit this worksheet. This value shall be compared with the resulting hash value after hashing the user-supplied password using the algorithm specified by the preceding attributes and parent XML element. If </w:t>
            </w:r>
            <w:r>
              <w:t>the two values match, the protection shall no longer be enforced.</w:t>
            </w:r>
          </w:p>
          <w:p w:rsidR="00024C0A" w:rsidRDefault="00024C0A">
            <w:pPr>
              <w:pStyle w:val="TableBodyText"/>
            </w:pPr>
          </w:p>
          <w:p w:rsidR="00024C0A" w:rsidRDefault="00694C0F">
            <w:pPr>
              <w:pStyle w:val="TableBodyText"/>
            </w:pPr>
            <w:r>
              <w:t>If this value is omitted, then the reservationPassword attribute shall contain the password hash for the workbook.</w:t>
            </w:r>
          </w:p>
          <w:p w:rsidR="00024C0A" w:rsidRDefault="00024C0A">
            <w:pPr>
              <w:pStyle w:val="TableBodyText"/>
            </w:pPr>
          </w:p>
          <w:p w:rsidR="00024C0A" w:rsidRDefault="00694C0F">
            <w:pPr>
              <w:pStyle w:val="TableBodyText"/>
            </w:pPr>
            <w:r>
              <w:t>[</w:t>
            </w:r>
            <w:r>
              <w:rPr>
                <w:i/>
              </w:rPr>
              <w:t>Example</w:t>
            </w:r>
            <w:r>
              <w:t>: Consider an Office Open XML document with the following informa</w:t>
            </w:r>
            <w:r>
              <w:t>tion stored in one of its protection elements:</w:t>
            </w:r>
          </w:p>
          <w:p w:rsidR="00024C0A" w:rsidRDefault="00024C0A">
            <w:pPr>
              <w:pStyle w:val="TableBodyText"/>
            </w:pPr>
          </w:p>
          <w:p w:rsidR="00024C0A" w:rsidRDefault="00694C0F">
            <w:pPr>
              <w:pStyle w:val="TableBodyText"/>
            </w:pPr>
            <w:r>
              <w:t>&lt;… algorithmName="SHA-1" hashValue="9oN7nWkCAyEZib1RomSJTjmPpCY=" /&gt;</w:t>
            </w:r>
          </w:p>
          <w:p w:rsidR="00024C0A" w:rsidRDefault="00024C0A">
            <w:pPr>
              <w:pStyle w:val="TableBodyText"/>
            </w:pPr>
          </w:p>
          <w:p w:rsidR="00024C0A" w:rsidRDefault="00694C0F">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024C0A" w:rsidRDefault="00694C0F">
            <w:pPr>
              <w:pStyle w:val="TableBodyText"/>
            </w:pPr>
            <w:r>
              <w:rPr>
                <w:i/>
              </w:rPr>
              <w:t>end example</w:t>
            </w:r>
            <w:r>
              <w:t>]</w:t>
            </w:r>
          </w:p>
          <w:p w:rsidR="00024C0A" w:rsidRDefault="00024C0A">
            <w:pPr>
              <w:pStyle w:val="TableBodyText"/>
            </w:pPr>
          </w:p>
          <w:p w:rsidR="00024C0A" w:rsidRDefault="00694C0F">
            <w:pPr>
              <w:pStyle w:val="TableBodyText"/>
            </w:pPr>
            <w:r>
              <w:t>The possible values for this attribute are defined by the W3C XML Schema base64Binary datatype.</w:t>
            </w:r>
          </w:p>
        </w:tc>
      </w:tr>
      <w:tr w:rsidR="00024C0A" w:rsidTr="00024C0A">
        <w:tc>
          <w:tcPr>
            <w:tcW w:w="0" w:type="auto"/>
            <w:vAlign w:val="center"/>
          </w:tcPr>
          <w:p w:rsidR="00024C0A" w:rsidRDefault="00694C0F">
            <w:pPr>
              <w:pStyle w:val="TableBodyText"/>
            </w:pPr>
            <w:r>
              <w:rPr>
                <w:b/>
              </w:rPr>
              <w:t>saltValue</w:t>
            </w:r>
          </w:p>
        </w:tc>
        <w:tc>
          <w:tcPr>
            <w:tcW w:w="0" w:type="auto"/>
            <w:vAlign w:val="center"/>
          </w:tcPr>
          <w:p w:rsidR="00024C0A" w:rsidRDefault="00694C0F">
            <w:pPr>
              <w:pStyle w:val="TableBodyText"/>
            </w:pPr>
            <w:r>
              <w:t>Specifies the random bytes that are pre-</w:t>
            </w:r>
            <w:r>
              <w:t>pended to the user-supplied password before it was hashed by the hashing algorithm.</w:t>
            </w:r>
          </w:p>
        </w:tc>
      </w:tr>
      <w:tr w:rsidR="00024C0A" w:rsidTr="00024C0A">
        <w:tc>
          <w:tcPr>
            <w:tcW w:w="0" w:type="auto"/>
            <w:vAlign w:val="center"/>
          </w:tcPr>
          <w:p w:rsidR="00024C0A" w:rsidRDefault="00694C0F">
            <w:pPr>
              <w:pStyle w:val="TableBodyText"/>
            </w:pPr>
            <w:r>
              <w:rPr>
                <w:b/>
              </w:rPr>
              <w:t>spinCount</w:t>
            </w:r>
          </w:p>
        </w:tc>
        <w:tc>
          <w:tcPr>
            <w:tcW w:w="0" w:type="auto"/>
            <w:vAlign w:val="center"/>
          </w:tcPr>
          <w:p w:rsidR="00024C0A" w:rsidRDefault="00694C0F">
            <w:pPr>
              <w:pStyle w:val="TableBodyText"/>
            </w:pPr>
            <w:r>
              <w:t>Specifies the number of times the hashing function shall be iteratively run (using each iteration's result as the input for the next iteration).</w:t>
            </w:r>
          </w:p>
        </w:tc>
      </w:tr>
    </w:tbl>
    <w:p w:rsidR="00024C0A" w:rsidRDefault="00024C0A"/>
    <w:p w:rsidR="00024C0A" w:rsidRDefault="00694C0F">
      <w:r>
        <w:t xml:space="preserve">[Example: </w:t>
      </w:r>
    </w:p>
    <w:p w:rsidR="00024C0A" w:rsidRDefault="00694C0F">
      <w:r>
        <w:t>Con</w:t>
      </w:r>
      <w:r>
        <w:t>sider an Office Open XML document with the following information stored in one of its protection elements:</w:t>
      </w:r>
    </w:p>
    <w:p w:rsidR="00024C0A" w:rsidRDefault="00694C0F">
      <w:r>
        <w:t>&lt; … algorithmName="SHA-1" hashValue="9oN7nWkCAyEZib1RomSJTjmPpCY=" /&gt;</w:t>
      </w:r>
    </w:p>
    <w:p w:rsidR="00024C0A" w:rsidRDefault="00694C0F">
      <w:r>
        <w:t>The algorithmName attribute value of SHA-1 specifies that the SHA-1 hashing alg</w:t>
      </w:r>
      <w:r>
        <w:t>orithm must be used to generate a hash from the user-defined password.</w:t>
      </w:r>
    </w:p>
    <w:p w:rsidR="00024C0A" w:rsidRDefault="00694C0F">
      <w:r>
        <w:t>end example]</w:t>
      </w:r>
    </w:p>
    <w:p w:rsidR="00024C0A" w:rsidRDefault="00694C0F">
      <w:pPr>
        <w:pStyle w:val="Definition-Field"/>
      </w:pPr>
      <w:r>
        <w:t xml:space="preserve">e.   </w:t>
      </w:r>
      <w:r>
        <w:rPr>
          <w:i/>
        </w:rPr>
        <w:t>The standard states that this setting uses a specific workbookPassword attribute to store the password hash for unlocking revisions in the workbook.</w:t>
      </w:r>
    </w:p>
    <w:p w:rsidR="00024C0A" w:rsidRDefault="00694C0F">
      <w:r>
        <w:t>In Office, when th</w:t>
      </w:r>
      <w:r>
        <w:t>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lastRenderedPageBreak/>
              <w:t>Name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algorithm Name</w:t>
            </w:r>
          </w:p>
        </w:tc>
        <w:tc>
          <w:tcPr>
            <w:tcW w:w="0" w:type="auto"/>
            <w:vAlign w:val="center"/>
          </w:tcPr>
          <w:p w:rsidR="00024C0A" w:rsidRDefault="00694C0F">
            <w:pPr>
              <w:pStyle w:val="TableBodyText"/>
            </w:pPr>
            <w:r>
              <w:t xml:space="preserve">The name of the </w:t>
            </w:r>
            <w:r>
              <w:t>cryptographic hashing algorithm used to generate the hash value. Only those algorithms that are installed in the operating system’s cryptographic subsystem can be utilized by Office.</w:t>
            </w:r>
          </w:p>
          <w:p w:rsidR="00024C0A" w:rsidRDefault="00024C0A">
            <w:pPr>
              <w:pStyle w:val="TableBodyText"/>
            </w:pPr>
          </w:p>
          <w:p w:rsidR="00024C0A" w:rsidRDefault="00694C0F">
            <w:pPr>
              <w:pStyle w:val="TableBodyText"/>
            </w:pPr>
            <w:r>
              <w:t>The hash algorithm names, described in the following table, are reserved</w:t>
            </w:r>
            <w:r>
              <w:t>.</w:t>
            </w:r>
          </w:p>
          <w:p w:rsidR="00024C0A" w:rsidRDefault="00024C0A">
            <w:pPr>
              <w:pStyle w:val="TableBodyText"/>
            </w:pPr>
          </w:p>
          <w:p w:rsidR="00024C0A" w:rsidRDefault="00694C0F">
            <w:pPr>
              <w:pStyle w:val="TableBodyText"/>
            </w:pPr>
            <w:r>
              <w:rPr>
                <w:b/>
                <w:i/>
              </w:rPr>
              <w:t xml:space="preserve">MD2 </w:t>
            </w:r>
          </w:p>
          <w:p w:rsidR="00024C0A" w:rsidRDefault="00694C0F">
            <w:pPr>
              <w:pStyle w:val="TableBodyText"/>
            </w:pPr>
            <w:r>
              <w:rPr>
                <w:i/>
              </w:rPr>
              <w:t>Specifies that the MD2 algorithm, as defined by RFC 1319, shall be used.</w:t>
            </w:r>
          </w:p>
          <w:p w:rsidR="00024C0A" w:rsidRDefault="00024C0A">
            <w:pPr>
              <w:pStyle w:val="TableBodyText"/>
            </w:pPr>
          </w:p>
          <w:p w:rsidR="00024C0A" w:rsidRDefault="00694C0F">
            <w:pPr>
              <w:pStyle w:val="TableBodyText"/>
            </w:pPr>
            <w:r>
              <w:rPr>
                <w:i/>
              </w:rPr>
              <w:t>[Note: It is recommended that applications should avoid using this algorithm to store new hash values, because of publicly known breaks. end note]</w:t>
            </w:r>
          </w:p>
          <w:p w:rsidR="00024C0A" w:rsidRDefault="00694C0F">
            <w:pPr>
              <w:pStyle w:val="TableBodyText"/>
            </w:pPr>
            <w:r>
              <w:rPr>
                <w:b/>
                <w:i/>
              </w:rPr>
              <w:t xml:space="preserve">MD4 </w:t>
            </w:r>
          </w:p>
          <w:p w:rsidR="00024C0A" w:rsidRDefault="00694C0F">
            <w:pPr>
              <w:pStyle w:val="TableBodyText"/>
            </w:pPr>
            <w:r>
              <w:rPr>
                <w:i/>
              </w:rPr>
              <w:t>Specifies that the MD4</w:t>
            </w:r>
            <w:r>
              <w:rPr>
                <w:i/>
              </w:rPr>
              <w:t xml:space="preserve"> algorithm, as defined by RFC 1320, shall be used.</w:t>
            </w:r>
          </w:p>
          <w:p w:rsidR="00024C0A" w:rsidRDefault="00024C0A">
            <w:pPr>
              <w:pStyle w:val="TableBodyText"/>
            </w:pPr>
          </w:p>
          <w:p w:rsidR="00024C0A" w:rsidRDefault="00694C0F">
            <w:pPr>
              <w:pStyle w:val="TableBodyText"/>
            </w:pPr>
            <w:r>
              <w:rPr>
                <w:i/>
              </w:rPr>
              <w:t>[Note: It is recommended that applications should avoid using this algorithm to store new hash values, because of publicly known breaks. end note]</w:t>
            </w:r>
          </w:p>
          <w:p w:rsidR="00024C0A" w:rsidRDefault="00694C0F">
            <w:pPr>
              <w:pStyle w:val="TableBodyText"/>
            </w:pPr>
            <w:r>
              <w:rPr>
                <w:b/>
                <w:i/>
              </w:rPr>
              <w:t>MD5</w:t>
            </w:r>
          </w:p>
          <w:p w:rsidR="00024C0A" w:rsidRDefault="00694C0F">
            <w:pPr>
              <w:pStyle w:val="TableBodyText"/>
            </w:pPr>
            <w:r>
              <w:rPr>
                <w:i/>
              </w:rPr>
              <w:t>Specifies that the MD5 algorithm, as defined by RFC 1</w:t>
            </w:r>
            <w:r>
              <w:rPr>
                <w:i/>
              </w:rPr>
              <w:t>321, shall be used.</w:t>
            </w:r>
          </w:p>
          <w:p w:rsidR="00024C0A" w:rsidRDefault="00024C0A">
            <w:pPr>
              <w:pStyle w:val="TableBodyText"/>
            </w:pPr>
          </w:p>
          <w:p w:rsidR="00024C0A" w:rsidRDefault="00694C0F">
            <w:pPr>
              <w:pStyle w:val="TableBodyText"/>
            </w:pPr>
            <w:r>
              <w:rPr>
                <w:i/>
              </w:rPr>
              <w:t>[Note: It is recommended that applications should avoid using this algorithm to store new hash values, because of publicly known breaks. end note]</w:t>
            </w:r>
          </w:p>
          <w:p w:rsidR="00024C0A" w:rsidRDefault="00694C0F">
            <w:pPr>
              <w:pStyle w:val="TableBodyText"/>
            </w:pPr>
            <w:r>
              <w:rPr>
                <w:b/>
                <w:i/>
              </w:rPr>
              <w:t>RIPEMD-128</w:t>
            </w:r>
          </w:p>
          <w:p w:rsidR="00024C0A" w:rsidRDefault="00694C0F">
            <w:pPr>
              <w:pStyle w:val="TableBodyText"/>
            </w:pPr>
            <w:r>
              <w:rPr>
                <w:i/>
              </w:rPr>
              <w:t>Specifies that the RIPEMD-128 algorithm, as defined by ISO/IEC 10118-3:2004 s</w:t>
            </w:r>
            <w:r>
              <w:rPr>
                <w:i/>
              </w:rPr>
              <w:t>hall be used.</w:t>
            </w:r>
          </w:p>
          <w:p w:rsidR="00024C0A" w:rsidRDefault="00024C0A">
            <w:pPr>
              <w:pStyle w:val="TableBodyText"/>
            </w:pPr>
          </w:p>
          <w:p w:rsidR="00024C0A" w:rsidRDefault="00694C0F">
            <w:pPr>
              <w:pStyle w:val="TableBodyText"/>
            </w:pPr>
            <w:r>
              <w:rPr>
                <w:i/>
              </w:rPr>
              <w:t>[Note: It is recommended that applications should avoid using this algorithm to store new hash values, because of publicly known breaks. end note]</w:t>
            </w:r>
          </w:p>
          <w:p w:rsidR="00024C0A" w:rsidRDefault="00694C0F">
            <w:pPr>
              <w:pStyle w:val="TableBodyText"/>
            </w:pPr>
            <w:r>
              <w:rPr>
                <w:b/>
                <w:i/>
              </w:rPr>
              <w:t>RIPEMD-160</w:t>
            </w:r>
          </w:p>
          <w:p w:rsidR="00024C0A" w:rsidRDefault="00694C0F">
            <w:pPr>
              <w:pStyle w:val="TableBodyText"/>
            </w:pPr>
            <w:r>
              <w:rPr>
                <w:i/>
              </w:rPr>
              <w:t xml:space="preserve">Specifies that the RIPEMD-160 algorithm, as defined by ISO/IEC 10118-3:2004, shall </w:t>
            </w:r>
            <w:r>
              <w:rPr>
                <w:i/>
              </w:rPr>
              <w:t>be used.</w:t>
            </w:r>
          </w:p>
          <w:p w:rsidR="00024C0A" w:rsidRDefault="00694C0F">
            <w:pPr>
              <w:pStyle w:val="TableBodyText"/>
            </w:pPr>
            <w:r>
              <w:rPr>
                <w:b/>
                <w:i/>
              </w:rPr>
              <w:t>SHA-1</w:t>
            </w:r>
          </w:p>
          <w:p w:rsidR="00024C0A" w:rsidRDefault="00694C0F">
            <w:pPr>
              <w:pStyle w:val="TableBodyText"/>
            </w:pPr>
            <w:r>
              <w:rPr>
                <w:i/>
              </w:rPr>
              <w:t>Specifies that the SHA-1 algorithm, as defined by ISO/IEC 10118-3:2004, shall be used.</w:t>
            </w:r>
          </w:p>
          <w:p w:rsidR="00024C0A" w:rsidRDefault="00694C0F">
            <w:pPr>
              <w:pStyle w:val="TableBodyText"/>
            </w:pPr>
            <w:r>
              <w:rPr>
                <w:b/>
                <w:i/>
              </w:rPr>
              <w:t>SHA-256</w:t>
            </w:r>
          </w:p>
          <w:p w:rsidR="00024C0A" w:rsidRDefault="00694C0F">
            <w:pPr>
              <w:pStyle w:val="TableBodyText"/>
            </w:pPr>
            <w:r>
              <w:rPr>
                <w:i/>
              </w:rPr>
              <w:t>Specifies that the SHA-256 algorithm, as defined by ISO/IEC 10118-3:2004, shall be used.</w:t>
            </w:r>
          </w:p>
          <w:p w:rsidR="00024C0A" w:rsidRDefault="00694C0F">
            <w:pPr>
              <w:pStyle w:val="TableBodyText"/>
            </w:pPr>
            <w:r>
              <w:rPr>
                <w:b/>
                <w:i/>
              </w:rPr>
              <w:t>SHA-384</w:t>
            </w:r>
          </w:p>
          <w:p w:rsidR="00024C0A" w:rsidRDefault="00694C0F">
            <w:pPr>
              <w:pStyle w:val="TableBodyText"/>
            </w:pPr>
            <w:r>
              <w:rPr>
                <w:i/>
              </w:rPr>
              <w:t xml:space="preserve">Specifies that the SHA-384 algorithm, as defined </w:t>
            </w:r>
            <w:r>
              <w:rPr>
                <w:i/>
              </w:rPr>
              <w:t>by ISO/IEC 10118-3:2004, shall be used.</w:t>
            </w:r>
          </w:p>
          <w:p w:rsidR="00024C0A" w:rsidRDefault="00694C0F">
            <w:pPr>
              <w:pStyle w:val="TableBodyText"/>
            </w:pPr>
            <w:r>
              <w:rPr>
                <w:b/>
                <w:i/>
              </w:rPr>
              <w:t>SHA-512</w:t>
            </w:r>
          </w:p>
          <w:p w:rsidR="00024C0A" w:rsidRDefault="00694C0F">
            <w:pPr>
              <w:pStyle w:val="TableBodyText"/>
            </w:pPr>
            <w:r>
              <w:rPr>
                <w:i/>
              </w:rPr>
              <w:t>Specifies that the SHA-512 algorithm, as defined by ISO/IEC 10118-3:2004, shall be used.</w:t>
            </w:r>
          </w:p>
          <w:p w:rsidR="00024C0A" w:rsidRDefault="00694C0F">
            <w:pPr>
              <w:pStyle w:val="TableBodyText"/>
            </w:pPr>
            <w:r>
              <w:rPr>
                <w:b/>
                <w:i/>
              </w:rPr>
              <w:t>WHIRLPOOL</w:t>
            </w:r>
          </w:p>
          <w:p w:rsidR="00024C0A" w:rsidRDefault="00694C0F">
            <w:pPr>
              <w:pStyle w:val="TableBodyText"/>
            </w:pPr>
            <w:r>
              <w:rPr>
                <w:i/>
              </w:rPr>
              <w:t>Specifies that the WHIRLPOOL algorithm, as defined by ISO/IEC 10118-3:2004, shall be used.</w:t>
            </w:r>
          </w:p>
          <w:p w:rsidR="00024C0A" w:rsidRDefault="00024C0A">
            <w:pPr>
              <w:pStyle w:val="TableBodyText"/>
            </w:pPr>
          </w:p>
          <w:p w:rsidR="00024C0A" w:rsidRDefault="00024C0A">
            <w:pPr>
              <w:pStyle w:val="TableBodyText"/>
            </w:pPr>
          </w:p>
        </w:tc>
      </w:tr>
      <w:tr w:rsidR="00024C0A" w:rsidTr="00024C0A">
        <w:tc>
          <w:tcPr>
            <w:tcW w:w="0" w:type="auto"/>
            <w:vAlign w:val="center"/>
          </w:tcPr>
          <w:p w:rsidR="00024C0A" w:rsidRDefault="00694C0F">
            <w:pPr>
              <w:pStyle w:val="TableBodyText"/>
            </w:pPr>
            <w:r>
              <w:rPr>
                <w:b/>
              </w:rPr>
              <w:t>hash Value</w:t>
            </w:r>
          </w:p>
        </w:tc>
        <w:tc>
          <w:tcPr>
            <w:tcW w:w="0" w:type="auto"/>
            <w:vAlign w:val="center"/>
          </w:tcPr>
          <w:p w:rsidR="00024C0A" w:rsidRDefault="00694C0F">
            <w:pPr>
              <w:pStyle w:val="TableBodyText"/>
            </w:pPr>
            <w:r>
              <w:t>Spec</w:t>
            </w:r>
            <w:r>
              <w:t xml:space="preserve">ifies the hash value for the password required to edit this worksheet. This value shall be compared with the resulting hash value after hashing the user-supplied password using the algorithm specified by the preceding attributes and parent XML element. If </w:t>
            </w:r>
            <w:r>
              <w:t xml:space="preserve">the two values match, the protection shall no longer be enforced. </w:t>
            </w:r>
          </w:p>
          <w:p w:rsidR="00024C0A" w:rsidRDefault="00024C0A">
            <w:pPr>
              <w:pStyle w:val="TableBodyText"/>
            </w:pPr>
          </w:p>
          <w:p w:rsidR="00024C0A" w:rsidRDefault="00694C0F">
            <w:pPr>
              <w:pStyle w:val="TableBodyText"/>
            </w:pPr>
            <w:r>
              <w:t xml:space="preserve">If this value is omitted, then the reservationPassword attribute shall contain the password hash for the workbook. </w:t>
            </w:r>
          </w:p>
          <w:p w:rsidR="00024C0A" w:rsidRDefault="00024C0A">
            <w:pPr>
              <w:pStyle w:val="TableBodyText"/>
            </w:pPr>
          </w:p>
          <w:p w:rsidR="00024C0A" w:rsidRDefault="00694C0F">
            <w:pPr>
              <w:pStyle w:val="TableBodyText"/>
            </w:pPr>
            <w:r>
              <w:t>[</w:t>
            </w:r>
            <w:r>
              <w:rPr>
                <w:i/>
              </w:rPr>
              <w:t>Example</w:t>
            </w:r>
            <w:r>
              <w:t xml:space="preserve">: </w:t>
            </w:r>
          </w:p>
          <w:p w:rsidR="00024C0A" w:rsidRDefault="00024C0A">
            <w:pPr>
              <w:pStyle w:val="TableBodyText"/>
            </w:pPr>
          </w:p>
          <w:p w:rsidR="00024C0A" w:rsidRDefault="00694C0F">
            <w:pPr>
              <w:pStyle w:val="TableBodyText"/>
            </w:pPr>
            <w:r>
              <w:t xml:space="preserve">Consider an Office Open XML document with the following </w:t>
            </w:r>
            <w:r>
              <w:t>information stored in one of its protection elements:</w:t>
            </w:r>
          </w:p>
          <w:p w:rsidR="00024C0A" w:rsidRDefault="00024C0A">
            <w:pPr>
              <w:pStyle w:val="TableBodyText"/>
            </w:pPr>
          </w:p>
          <w:p w:rsidR="00024C0A" w:rsidRDefault="00694C0F">
            <w:pPr>
              <w:pStyle w:val="TableBodyText"/>
            </w:pPr>
            <w:r>
              <w:t>&lt;… algorithmName="SHA-1" hashValue="9oN7nWkCAyEZib1RomSJTjmPpCY=" /&gt;</w:t>
            </w:r>
          </w:p>
          <w:p w:rsidR="00024C0A" w:rsidRDefault="00024C0A">
            <w:pPr>
              <w:pStyle w:val="TableBodyText"/>
            </w:pPr>
          </w:p>
          <w:p w:rsidR="00024C0A" w:rsidRDefault="00694C0F">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024C0A" w:rsidRDefault="00694C0F">
            <w:pPr>
              <w:pStyle w:val="TableBodyText"/>
            </w:pPr>
            <w:r>
              <w:rPr>
                <w:i/>
              </w:rPr>
              <w:t>end example</w:t>
            </w:r>
            <w:r>
              <w:t>]</w:t>
            </w:r>
          </w:p>
          <w:p w:rsidR="00024C0A" w:rsidRDefault="00024C0A">
            <w:pPr>
              <w:pStyle w:val="TableBodyText"/>
            </w:pPr>
          </w:p>
          <w:p w:rsidR="00024C0A" w:rsidRDefault="00694C0F">
            <w:pPr>
              <w:pStyle w:val="TableBodyText"/>
            </w:pPr>
            <w:r>
              <w:t>The possible values for this attribute are defined by the W3C XML Schema base64Binary datatype.</w:t>
            </w:r>
          </w:p>
        </w:tc>
      </w:tr>
      <w:tr w:rsidR="00024C0A" w:rsidTr="00024C0A">
        <w:tc>
          <w:tcPr>
            <w:tcW w:w="0" w:type="auto"/>
            <w:vAlign w:val="center"/>
          </w:tcPr>
          <w:p w:rsidR="00024C0A" w:rsidRDefault="00694C0F">
            <w:pPr>
              <w:pStyle w:val="TableBodyText"/>
            </w:pPr>
            <w:r>
              <w:rPr>
                <w:b/>
              </w:rPr>
              <w:lastRenderedPageBreak/>
              <w:t>saltValue</w:t>
            </w:r>
          </w:p>
        </w:tc>
        <w:tc>
          <w:tcPr>
            <w:tcW w:w="0" w:type="auto"/>
            <w:vAlign w:val="center"/>
          </w:tcPr>
          <w:p w:rsidR="00024C0A" w:rsidRDefault="00694C0F">
            <w:pPr>
              <w:pStyle w:val="TableBodyText"/>
            </w:pPr>
            <w:r>
              <w:t>Specifies the random bytes that are pre-</w:t>
            </w:r>
            <w:r>
              <w:t>pended to the user-supplied password before it was hashed by the hashing algorithm.</w:t>
            </w:r>
          </w:p>
        </w:tc>
      </w:tr>
      <w:tr w:rsidR="00024C0A" w:rsidTr="00024C0A">
        <w:tc>
          <w:tcPr>
            <w:tcW w:w="0" w:type="auto"/>
            <w:vAlign w:val="center"/>
          </w:tcPr>
          <w:p w:rsidR="00024C0A" w:rsidRDefault="00694C0F">
            <w:pPr>
              <w:pStyle w:val="TableBodyText"/>
            </w:pPr>
            <w:r>
              <w:rPr>
                <w:b/>
              </w:rPr>
              <w:t>spinCount</w:t>
            </w:r>
          </w:p>
        </w:tc>
        <w:tc>
          <w:tcPr>
            <w:tcW w:w="0" w:type="auto"/>
            <w:vAlign w:val="center"/>
          </w:tcPr>
          <w:p w:rsidR="00024C0A" w:rsidRDefault="00694C0F">
            <w:pPr>
              <w:pStyle w:val="TableBodyText"/>
            </w:pPr>
            <w:r>
              <w:t>Specifies the number of times the hashing function shall be iteratively run (using each iteration's result as the input for the next iteration).</w:t>
            </w:r>
          </w:p>
        </w:tc>
      </w:tr>
    </w:tbl>
    <w:p w:rsidR="00024C0A" w:rsidRDefault="00024C0A"/>
    <w:p w:rsidR="00024C0A" w:rsidRDefault="00694C0F">
      <w:r>
        <w:t xml:space="preserve">[Example: </w:t>
      </w:r>
    </w:p>
    <w:p w:rsidR="00024C0A" w:rsidRDefault="00694C0F">
      <w:r>
        <w:t>Con</w:t>
      </w:r>
      <w:r>
        <w:t>sider an Office Open XML document with the following information stored in one of its protection elements:</w:t>
      </w:r>
    </w:p>
    <w:p w:rsidR="00024C0A" w:rsidRDefault="00694C0F">
      <w:r>
        <w:t>&lt; … algorithmName="SHA-1" hashValue="9oN7nWkCAyEZib1RomSJTjmPpCY=" /&gt;</w:t>
      </w:r>
    </w:p>
    <w:p w:rsidR="00024C0A" w:rsidRDefault="00694C0F">
      <w:r>
        <w:t>The algorithmName attribute value of SHA-1 specifies that the SHA-1 hashing alg</w:t>
      </w:r>
      <w:r>
        <w:t>orithm must be used to generate a hash from the user-defined password.</w:t>
      </w:r>
    </w:p>
    <w:p w:rsidR="00024C0A" w:rsidRDefault="00694C0F">
      <w:r>
        <w:t>end example]</w:t>
      </w:r>
    </w:p>
    <w:p w:rsidR="00024C0A" w:rsidRDefault="00694C0F">
      <w:pPr>
        <w:pStyle w:val="Heading3"/>
      </w:pPr>
      <w:bookmarkStart w:id="1187" w:name="section_6cdbff1e167a4316bdfe387b87fc6e58"/>
      <w:bookmarkStart w:id="1188" w:name="_Toc12260654"/>
      <w:r>
        <w:t>Part 1 Section 18.2.30, workbookView (Workbook View)</w:t>
      </w:r>
      <w:bookmarkEnd w:id="1187"/>
      <w:bookmarkEnd w:id="1188"/>
      <w:r>
        <w:fldChar w:fldCharType="begin"/>
      </w:r>
      <w:r>
        <w:instrText xml:space="preserve"> XE "workbookView (Workbook View)" </w:instrText>
      </w:r>
      <w:r>
        <w:fldChar w:fldCharType="end"/>
      </w:r>
    </w:p>
    <w:p w:rsidR="00024C0A" w:rsidRDefault="00694C0F">
      <w:pPr>
        <w:pStyle w:val="Definition-Field"/>
      </w:pPr>
      <w:r>
        <w:t xml:space="preserve">a.   </w:t>
      </w:r>
      <w:r>
        <w:rPr>
          <w:i/>
        </w:rPr>
        <w:t>The standard does not place any restrictions on the length of the value for @</w:t>
      </w:r>
      <w:r>
        <w:rPr>
          <w:i/>
        </w:rPr>
        <w:t>windowHeight and @windowWidth.</w:t>
      </w:r>
    </w:p>
    <w:p w:rsidR="00024C0A" w:rsidRDefault="00694C0F">
      <w:pPr>
        <w:pStyle w:val="Definition-Field2"/>
      </w:pPr>
      <w:r>
        <w:t>Office requires that the value of @windowHeight and @windowWidth be less than or equal to 2147483647.</w:t>
      </w:r>
    </w:p>
    <w:p w:rsidR="00024C0A" w:rsidRDefault="00694C0F">
      <w:pPr>
        <w:pStyle w:val="Definition-Field"/>
      </w:pPr>
      <w:r>
        <w:t xml:space="preserve">b.   </w:t>
      </w:r>
      <w:r>
        <w:rPr>
          <w:i/>
        </w:rPr>
        <w:t>The standard does not place any restrictions on the value for @tabRatio.</w:t>
      </w:r>
    </w:p>
    <w:p w:rsidR="00024C0A" w:rsidRDefault="00694C0F">
      <w:pPr>
        <w:pStyle w:val="Definition-Field2"/>
      </w:pPr>
      <w:r>
        <w:t>Office requires that @tabRatio be less than o</w:t>
      </w:r>
      <w:r>
        <w:t>r equal to 1000.</w:t>
      </w:r>
    </w:p>
    <w:p w:rsidR="00024C0A" w:rsidRDefault="00694C0F">
      <w:pPr>
        <w:pStyle w:val="Definition-Field"/>
      </w:pPr>
      <w:r>
        <w:t xml:space="preserve">c.   </w:t>
      </w:r>
      <w:r>
        <w:rPr>
          <w:i/>
        </w:rPr>
        <w:t>The standard does not place any restrictions on the value for @activeTab.</w:t>
      </w:r>
    </w:p>
    <w:p w:rsidR="00024C0A" w:rsidRDefault="00694C0F">
      <w:pPr>
        <w:pStyle w:val="Definition-Field2"/>
      </w:pPr>
      <w:r>
        <w:t>Office requires that @activeTab be between 0 and 32766 inclusive.</w:t>
      </w:r>
    </w:p>
    <w:p w:rsidR="00024C0A" w:rsidRDefault="00694C0F">
      <w:pPr>
        <w:pStyle w:val="Definition-Field"/>
      </w:pPr>
      <w:r>
        <w:t xml:space="preserve">d.   </w:t>
      </w:r>
      <w:r>
        <w:rPr>
          <w:i/>
        </w:rPr>
        <w:t>The standard does not restrict the value of the firstSheet attribute.</w:t>
      </w:r>
    </w:p>
    <w:p w:rsidR="00024C0A" w:rsidRDefault="00694C0F">
      <w:pPr>
        <w:pStyle w:val="Definition-Field2"/>
      </w:pPr>
      <w:r>
        <w:t xml:space="preserve">Office limits the </w:t>
      </w:r>
      <w:r>
        <w:t>value of the firstSheet attribute to 0 through 32766 inclusive or to 4294967286.</w:t>
      </w:r>
    </w:p>
    <w:p w:rsidR="00024C0A" w:rsidRDefault="00694C0F">
      <w:pPr>
        <w:pStyle w:val="Heading3"/>
      </w:pPr>
      <w:bookmarkStart w:id="1189" w:name="section_2a1eea2d377344f7ab3b51dd9a427f79"/>
      <w:bookmarkStart w:id="1190" w:name="_Toc12260655"/>
      <w:r>
        <w:t>Part 1 Section 18.3.1.1, anchor (Object Cell Anchor)</w:t>
      </w:r>
      <w:bookmarkEnd w:id="1189"/>
      <w:bookmarkEnd w:id="1190"/>
      <w:r>
        <w:fldChar w:fldCharType="begin"/>
      </w:r>
      <w:r>
        <w:instrText xml:space="preserve"> XE "anchor (Object Cell Anchor)" </w:instrText>
      </w:r>
      <w:r>
        <w:fldChar w:fldCharType="end"/>
      </w:r>
    </w:p>
    <w:p w:rsidR="00024C0A" w:rsidRDefault="00694C0F">
      <w:pPr>
        <w:pStyle w:val="Definition-Field"/>
      </w:pPr>
      <w:r>
        <w:t xml:space="preserve">a.   </w:t>
      </w:r>
      <w:r>
        <w:rPr>
          <w:i/>
        </w:rPr>
        <w:t>The standard states that any combination of sizeWithCells and moveWithCells is al</w:t>
      </w:r>
      <w:r>
        <w:rPr>
          <w:i/>
        </w:rPr>
        <w:t>lowed.</w:t>
      </w:r>
    </w:p>
    <w:p w:rsidR="00024C0A" w:rsidRDefault="00694C0F">
      <w:pPr>
        <w:pStyle w:val="Definition-Field2"/>
      </w:pPr>
      <w:r>
        <w:lastRenderedPageBreak/>
        <w:t>Office does not implement the combination sizeWithCells with a value of true and moveWithCells with a value of false.</w:t>
      </w:r>
    </w:p>
    <w:p w:rsidR="00024C0A" w:rsidRDefault="00694C0F">
      <w:pPr>
        <w:pStyle w:val="Definition-Field"/>
      </w:pPr>
      <w:r>
        <w:t xml:space="preserve">b.   </w:t>
      </w:r>
      <w:r>
        <w:rPr>
          <w:i/>
        </w:rPr>
        <w:t>The standard specifies that the z-order attribute is a valid attribute of the anchor element.</w:t>
      </w:r>
    </w:p>
    <w:p w:rsidR="00024C0A" w:rsidRDefault="00694C0F">
      <w:pPr>
        <w:pStyle w:val="Definition-Field2"/>
      </w:pPr>
      <w:r>
        <w:t>Excel ignores the z-order attrib</w:t>
      </w:r>
      <w:r>
        <w:t>ute.</w:t>
      </w:r>
    </w:p>
    <w:p w:rsidR="00024C0A" w:rsidRDefault="00694C0F">
      <w:pPr>
        <w:pStyle w:val="Heading3"/>
      </w:pPr>
      <w:bookmarkStart w:id="1191" w:name="section_77730f137af942e096c70b349853617e"/>
      <w:bookmarkStart w:id="1192" w:name="_Toc12260656"/>
      <w:r>
        <w:t>Part 1 Section 18.3.1.3, brk (Break)</w:t>
      </w:r>
      <w:bookmarkEnd w:id="1191"/>
      <w:bookmarkEnd w:id="1192"/>
      <w:r>
        <w:fldChar w:fldCharType="begin"/>
      </w:r>
      <w:r>
        <w:instrText xml:space="preserve"> XE "brk (Break)" </w:instrText>
      </w:r>
      <w:r>
        <w:fldChar w:fldCharType="end"/>
      </w:r>
    </w:p>
    <w:p w:rsidR="00024C0A" w:rsidRDefault="00694C0F">
      <w:pPr>
        <w:pStyle w:val="Definition-Field"/>
      </w:pPr>
      <w:r>
        <w:t xml:space="preserve">a.   </w:t>
      </w:r>
      <w:r>
        <w:rPr>
          <w:i/>
        </w:rPr>
        <w:t>The standard states that the values of the min attribute are defined by the XML Schema unsignedInt datatype.</w:t>
      </w:r>
    </w:p>
    <w:p w:rsidR="00024C0A" w:rsidRDefault="00694C0F">
      <w:pPr>
        <w:pStyle w:val="Definition-Field2"/>
      </w:pPr>
      <w:r>
        <w:t>Excel restricts the value of this attribute to be at most 1048576; it should nev</w:t>
      </w:r>
      <w:r>
        <w:t>er exceed the number of rows or columns in the spreadsheetML instance.</w:t>
      </w:r>
    </w:p>
    <w:p w:rsidR="00024C0A" w:rsidRDefault="00694C0F">
      <w:pPr>
        <w:pStyle w:val="Definition-Field"/>
      </w:pPr>
      <w:r>
        <w:t xml:space="preserve">b.   </w:t>
      </w:r>
      <w:r>
        <w:rPr>
          <w:i/>
        </w:rPr>
        <w:t>The standard states that Page Breaks can have a start and end point defined by using the min and max attributes.</w:t>
      </w:r>
    </w:p>
    <w:p w:rsidR="00024C0A" w:rsidRDefault="00694C0F">
      <w:pPr>
        <w:pStyle w:val="Definition-Field2"/>
      </w:pPr>
      <w:r>
        <w:t>Office ignores the min and max attribute values and places a page b</w:t>
      </w:r>
      <w:r>
        <w:t>reak across the entire range.</w:t>
      </w:r>
    </w:p>
    <w:p w:rsidR="00024C0A" w:rsidRDefault="00694C0F">
      <w:pPr>
        <w:pStyle w:val="Definition-Field"/>
      </w:pPr>
      <w:r>
        <w:t xml:space="preserve">c.   </w:t>
      </w:r>
      <w:r>
        <w:rPr>
          <w:i/>
        </w:rPr>
        <w:t>The standard states that the values of the id attribute are defined by the XML Schema unsignedInt datatype.</w:t>
      </w:r>
    </w:p>
    <w:p w:rsidR="00024C0A" w:rsidRDefault="00694C0F">
      <w:pPr>
        <w:pStyle w:val="Definition-Field2"/>
      </w:pPr>
      <w:r>
        <w:t>Excel restricts the value of this attribute to be at least 1 and at most 1048576.</w:t>
      </w:r>
    </w:p>
    <w:p w:rsidR="00024C0A" w:rsidRDefault="00694C0F">
      <w:pPr>
        <w:pStyle w:val="Definition-Field"/>
      </w:pPr>
      <w:r>
        <w:t xml:space="preserve">d.   </w:t>
      </w:r>
      <w:r>
        <w:rPr>
          <w:i/>
        </w:rPr>
        <w:t>The standard states that t</w:t>
      </w:r>
      <w:r>
        <w:rPr>
          <w:i/>
        </w:rPr>
        <w:t>he values of the max attribute are defined by the XML Schema unsignedInt datatype.</w:t>
      </w:r>
    </w:p>
    <w:p w:rsidR="00024C0A" w:rsidRDefault="00694C0F">
      <w:pPr>
        <w:pStyle w:val="Definition-Field2"/>
      </w:pPr>
      <w:r>
        <w:t>Excel restricts the value of this attribute to be at least 1 and at most 1048576.</w:t>
      </w:r>
    </w:p>
    <w:p w:rsidR="00024C0A" w:rsidRDefault="00694C0F">
      <w:pPr>
        <w:pStyle w:val="Definition-Field"/>
      </w:pPr>
      <w:r>
        <w:t xml:space="preserve">e.   </w:t>
      </w:r>
      <w:r>
        <w:rPr>
          <w:i/>
        </w:rPr>
        <w:t>The standard states that the default value of the id attribute is 0.</w:t>
      </w:r>
    </w:p>
    <w:p w:rsidR="00024C0A" w:rsidRDefault="00694C0F">
      <w:pPr>
        <w:pStyle w:val="Definition-Field2"/>
      </w:pPr>
      <w:r>
        <w:t>Excel does not us</w:t>
      </w:r>
      <w:r>
        <w:t>e a default value for this attribute.</w:t>
      </w:r>
    </w:p>
    <w:p w:rsidR="00024C0A" w:rsidRDefault="00694C0F">
      <w:pPr>
        <w:pStyle w:val="Definition-Field"/>
      </w:pPr>
      <w:r>
        <w:t xml:space="preserve">f.   </w:t>
      </w:r>
      <w:r>
        <w:rPr>
          <w:i/>
        </w:rPr>
        <w:t>The standard states that the default value of the max attribute is 0.</w:t>
      </w:r>
    </w:p>
    <w:p w:rsidR="00024C0A" w:rsidRDefault="00694C0F">
      <w:pPr>
        <w:pStyle w:val="Definition-Field2"/>
      </w:pPr>
      <w:r>
        <w:t>Excel does not use a default value for this attribute.</w:t>
      </w:r>
    </w:p>
    <w:p w:rsidR="00024C0A" w:rsidRDefault="00694C0F">
      <w:pPr>
        <w:pStyle w:val="Heading3"/>
      </w:pPr>
      <w:bookmarkStart w:id="1193" w:name="section_2fd4e47f09654c6095bdcff980b6c325"/>
      <w:bookmarkStart w:id="1194" w:name="_Toc12260657"/>
      <w:r>
        <w:t>Part 1 Section 18.3.1.4, c (Cell)</w:t>
      </w:r>
      <w:bookmarkEnd w:id="1193"/>
      <w:bookmarkEnd w:id="1194"/>
      <w:r>
        <w:fldChar w:fldCharType="begin"/>
      </w:r>
      <w:r>
        <w:instrText xml:space="preserve"> XE "c (Cell)" </w:instrText>
      </w:r>
      <w:r>
        <w:fldChar w:fldCharType="end"/>
      </w:r>
    </w:p>
    <w:p w:rsidR="00024C0A" w:rsidRDefault="00694C0F">
      <w:pPr>
        <w:pStyle w:val="Definition-Field"/>
      </w:pPr>
      <w:r>
        <w:t xml:space="preserve">a.   </w:t>
      </w:r>
      <w:r>
        <w:rPr>
          <w:i/>
        </w:rPr>
        <w:t xml:space="preserve">The standard states that @cm is </w:t>
      </w:r>
      <w:r>
        <w:rPr>
          <w:i/>
        </w:rPr>
        <w:t>zero-based index and does not specify the collection.</w:t>
      </w:r>
    </w:p>
    <w:p w:rsidR="00024C0A" w:rsidRDefault="00694C0F">
      <w:pPr>
        <w:pStyle w:val="Definition-Field2"/>
      </w:pPr>
      <w:r>
        <w:t>Office specifies that @cm is a one-based index into the cellMetadata collection in the metadata part.</w:t>
      </w:r>
    </w:p>
    <w:p w:rsidR="00024C0A" w:rsidRDefault="00694C0F">
      <w:pPr>
        <w:pStyle w:val="Definition-Field"/>
      </w:pPr>
      <w:r>
        <w:t xml:space="preserve">b.   </w:t>
      </w:r>
      <w:r>
        <w:rPr>
          <w:i/>
        </w:rPr>
        <w:t>The standard states that @vm is a zero-based index and does not specify the collection.</w:t>
      </w:r>
    </w:p>
    <w:p w:rsidR="00024C0A" w:rsidRDefault="00694C0F">
      <w:pPr>
        <w:pStyle w:val="Definition-Field2"/>
      </w:pPr>
      <w:r>
        <w:t xml:space="preserve">Office </w:t>
      </w:r>
      <w:r>
        <w:t>specifies that @vm is a one-based index into cellMetadata collection in the metadata part.</w:t>
      </w:r>
    </w:p>
    <w:p w:rsidR="00024C0A" w:rsidRDefault="00694C0F">
      <w:pPr>
        <w:pStyle w:val="Definition-Field"/>
      </w:pPr>
      <w:r>
        <w:t xml:space="preserve">c.   </w:t>
      </w:r>
      <w:r>
        <w:rPr>
          <w:i/>
        </w:rPr>
        <w:t>The standard makes @r optional in the schema, but the prose does not explain the meaning of the default behavior.</w:t>
      </w:r>
    </w:p>
    <w:p w:rsidR="00024C0A" w:rsidRDefault="00694C0F">
      <w:r>
        <w:t>If this attribute is not specified, the cell s</w:t>
      </w:r>
      <w:r>
        <w:t xml:space="preserve">hall be located in the column with the index that is 1 greater than that of the previous cell in the parent </w:t>
      </w:r>
      <w:r>
        <w:rPr>
          <w:b/>
        </w:rPr>
        <w:t xml:space="preserve">row </w:t>
      </w:r>
      <w:r>
        <w:t xml:space="preserve">collection. If this attribute is not specified and the cell is the first </w:t>
      </w:r>
      <w:r>
        <w:rPr>
          <w:b/>
        </w:rPr>
        <w:t>c</w:t>
      </w:r>
      <w:r>
        <w:t xml:space="preserve"> element in the parent </w:t>
      </w:r>
      <w:r>
        <w:rPr>
          <w:b/>
        </w:rPr>
        <w:t>row</w:t>
      </w:r>
      <w:r>
        <w:t xml:space="preserve"> collection, the cell shall be located in th</w:t>
      </w:r>
      <w:r>
        <w:t>e first column.</w:t>
      </w:r>
    </w:p>
    <w:p w:rsidR="00024C0A" w:rsidRDefault="00694C0F">
      <w:pPr>
        <w:pStyle w:val="Definition-Field"/>
      </w:pPr>
      <w:r>
        <w:t xml:space="preserve">d.   </w:t>
      </w:r>
      <w:r>
        <w:rPr>
          <w:i/>
        </w:rPr>
        <w:t>The standard states that the values of the cm attributes are defined by the XML Schema unsignedInt datatype.</w:t>
      </w:r>
    </w:p>
    <w:p w:rsidR="00024C0A" w:rsidRDefault="00694C0F">
      <w:pPr>
        <w:pStyle w:val="Definition-Field2"/>
      </w:pPr>
      <w:r>
        <w:t>Office requires that the cm attribute be less than 2147483648.</w:t>
      </w:r>
    </w:p>
    <w:p w:rsidR="00024C0A" w:rsidRDefault="00694C0F">
      <w:pPr>
        <w:pStyle w:val="Definition-Field"/>
      </w:pPr>
      <w:r>
        <w:lastRenderedPageBreak/>
        <w:t xml:space="preserve">e.   </w:t>
      </w:r>
      <w:r>
        <w:rPr>
          <w:i/>
        </w:rPr>
        <w:t>The standard specifies that @vm is an unsignedInt.</w:t>
      </w:r>
    </w:p>
    <w:p w:rsidR="00024C0A" w:rsidRDefault="00694C0F">
      <w:pPr>
        <w:pStyle w:val="Definition-Field2"/>
      </w:pPr>
      <w:r>
        <w:t xml:space="preserve">Office </w:t>
      </w:r>
      <w:r>
        <w:t>specifies that @vm is an unsignedInt and is less than 2147483648.</w:t>
      </w:r>
    </w:p>
    <w:p w:rsidR="00024C0A" w:rsidRDefault="00694C0F">
      <w:pPr>
        <w:pStyle w:val="Definition-Field"/>
      </w:pPr>
      <w:r>
        <w:t xml:space="preserve">f.   </w:t>
      </w:r>
      <w:r>
        <w:rPr>
          <w:i/>
        </w:rPr>
        <w:t>The standard specifies that @s is unsignedInt.</w:t>
      </w:r>
    </w:p>
    <w:p w:rsidR="00024C0A" w:rsidRDefault="00694C0F">
      <w:pPr>
        <w:pStyle w:val="Definition-Field2"/>
      </w:pPr>
      <w:r>
        <w:t>Office specifies @s is an unsignedInt between 0 and 65490.</w:t>
      </w:r>
    </w:p>
    <w:p w:rsidR="00024C0A" w:rsidRDefault="00694C0F">
      <w:pPr>
        <w:pStyle w:val="Definition-Field"/>
      </w:pPr>
      <w:r>
        <w:t xml:space="preserve">g.   </w:t>
      </w:r>
      <w:r>
        <w:rPr>
          <w:i/>
        </w:rPr>
        <w:t>The standard does not specify which collection @s indexes.</w:t>
      </w:r>
    </w:p>
    <w:p w:rsidR="00024C0A" w:rsidRDefault="00694C0F">
      <w:pPr>
        <w:pStyle w:val="Definition-Field2"/>
      </w:pPr>
      <w:r>
        <w:t>Office specifie</w:t>
      </w:r>
      <w:r>
        <w:t>s that @s indexes into the cellXfs collection in the style part.</w:t>
      </w:r>
    </w:p>
    <w:p w:rsidR="00024C0A" w:rsidRDefault="00694C0F">
      <w:pPr>
        <w:pStyle w:val="Definition-Field"/>
      </w:pPr>
      <w:r>
        <w:t xml:space="preserve">h.   </w:t>
      </w:r>
      <w:r>
        <w:rPr>
          <w:i/>
        </w:rPr>
        <w:t>The standard incorrectly describes the style index in the example as "6", which conflicts with the XML fragment.</w:t>
      </w:r>
    </w:p>
    <w:p w:rsidR="00024C0A" w:rsidRDefault="00694C0F">
      <w:pPr>
        <w:pStyle w:val="Definition-Field2"/>
      </w:pPr>
      <w:r>
        <w:t>In Excel, the style index in the example should read "1" which matches th</w:t>
      </w:r>
      <w:r>
        <w:t>e XML fragment.</w:t>
      </w:r>
    </w:p>
    <w:p w:rsidR="00024C0A" w:rsidRDefault="00694C0F">
      <w:pPr>
        <w:pStyle w:val="Heading3"/>
      </w:pPr>
      <w:bookmarkStart w:id="1195" w:name="section_ec10569c1caf4285a98fce0872fe0fc2"/>
      <w:bookmarkStart w:id="1196" w:name="_Toc12260658"/>
      <w:r>
        <w:t>Part 1 Section 18.3.1.5, cellSmartTag (Cell Smart Tag)</w:t>
      </w:r>
      <w:bookmarkEnd w:id="1195"/>
      <w:bookmarkEnd w:id="1196"/>
      <w:r>
        <w:fldChar w:fldCharType="begin"/>
      </w:r>
      <w:r>
        <w:instrText xml:space="preserve"> XE "cellSmartTag (Cell Smart Tag)" </w:instrText>
      </w:r>
      <w:r>
        <w:fldChar w:fldCharType="end"/>
      </w:r>
    </w:p>
    <w:p w:rsidR="00024C0A" w:rsidRDefault="00694C0F">
      <w:pPr>
        <w:pStyle w:val="Definition-Field"/>
      </w:pPr>
      <w:r>
        <w:t xml:space="preserve">a.   </w:t>
      </w:r>
      <w:r>
        <w:rPr>
          <w:i/>
        </w:rPr>
        <w:t>The standard states that the values for the type attribute are defined by the XML Schema unsignedInt datatype.</w:t>
      </w:r>
    </w:p>
    <w:p w:rsidR="00024C0A" w:rsidRDefault="00694C0F">
      <w:pPr>
        <w:pStyle w:val="Definition-Field2"/>
      </w:pPr>
      <w:r>
        <w:t xml:space="preserve">Office requires that the value </w:t>
      </w:r>
      <w:r>
        <w:t>be between 0 and 32768 inclusive.</w:t>
      </w:r>
    </w:p>
    <w:p w:rsidR="00024C0A" w:rsidRDefault="00694C0F">
      <w:pPr>
        <w:pStyle w:val="Definition-Field"/>
      </w:pPr>
      <w:r>
        <w:t xml:space="preserve">b.   </w:t>
      </w:r>
      <w:r>
        <w:rPr>
          <w:i/>
        </w:rPr>
        <w:t>The standard indicates that there can be more than one cellSmartTag for a cell.</w:t>
      </w:r>
    </w:p>
    <w:p w:rsidR="00024C0A" w:rsidRDefault="00694C0F">
      <w:pPr>
        <w:pStyle w:val="Definition-Field2"/>
      </w:pPr>
      <w:r>
        <w:t>Office assumes that each cellSmartTag must have its corresponding type present in the smartTagType element in the smartTagTypes collectio</w:t>
      </w:r>
      <w:r>
        <w:t>n of the workbook.</w:t>
      </w:r>
    </w:p>
    <w:p w:rsidR="00024C0A" w:rsidRDefault="00694C0F">
      <w:pPr>
        <w:pStyle w:val="Heading3"/>
      </w:pPr>
      <w:bookmarkStart w:id="1197" w:name="section_f23f28336cf64bef83540b7f3e486b9b"/>
      <w:bookmarkStart w:id="1198" w:name="_Toc12260659"/>
      <w:r>
        <w:t>Part 1 Section 18.3.1.6, cellSmartTagPr (Smart Tag Properties)</w:t>
      </w:r>
      <w:bookmarkEnd w:id="1197"/>
      <w:bookmarkEnd w:id="1198"/>
      <w:r>
        <w:fldChar w:fldCharType="begin"/>
      </w:r>
      <w:r>
        <w:instrText xml:space="preserve"> XE "cellSmartTagPr (Smart Tag Properties)" </w:instrText>
      </w:r>
      <w:r>
        <w:fldChar w:fldCharType="end"/>
      </w:r>
    </w:p>
    <w:p w:rsidR="00024C0A" w:rsidRDefault="00694C0F">
      <w:pPr>
        <w:pStyle w:val="Definition-Field"/>
      </w:pPr>
      <w:r>
        <w:t xml:space="preserve">a.   </w:t>
      </w:r>
      <w:r>
        <w:rPr>
          <w:i/>
        </w:rPr>
        <w:t>The standard does not place any restrictions on the length of the value for the key attribute.</w:t>
      </w:r>
    </w:p>
    <w:p w:rsidR="00024C0A" w:rsidRDefault="00694C0F">
      <w:pPr>
        <w:pStyle w:val="Definition-Field2"/>
      </w:pPr>
      <w:r>
        <w:t>Office requires that the key</w:t>
      </w:r>
      <w:r>
        <w:t xml:space="preserve"> attribute be less than or equal to 255 characters in length.</w:t>
      </w:r>
    </w:p>
    <w:p w:rsidR="00024C0A" w:rsidRDefault="00694C0F">
      <w:pPr>
        <w:pStyle w:val="Definition-Field"/>
      </w:pPr>
      <w:r>
        <w:t xml:space="preserve">b.   </w:t>
      </w:r>
      <w:r>
        <w:rPr>
          <w:i/>
        </w:rPr>
        <w:t>The standard does not place any restrictions on the length of the value for the val attribute.</w:t>
      </w:r>
    </w:p>
    <w:p w:rsidR="00024C0A" w:rsidRDefault="00694C0F">
      <w:pPr>
        <w:pStyle w:val="Definition-Field2"/>
      </w:pPr>
      <w:r>
        <w:t>Office requires that the val attribute be less than or equal to 255 characters in length.</w:t>
      </w:r>
    </w:p>
    <w:p w:rsidR="00024C0A" w:rsidRDefault="00694C0F">
      <w:pPr>
        <w:pStyle w:val="Heading3"/>
      </w:pPr>
      <w:bookmarkStart w:id="1199" w:name="section_600a8463ba1f481cb30668cf2e39c541"/>
      <w:bookmarkStart w:id="1200" w:name="_Toc12260660"/>
      <w:r>
        <w:t>Part</w:t>
      </w:r>
      <w:r>
        <w:t xml:space="preserve"> 1 Section 18.3.1.7, cellSmartTags (Cell Smart Tags)</w:t>
      </w:r>
      <w:bookmarkEnd w:id="1199"/>
      <w:bookmarkEnd w:id="1200"/>
      <w:r>
        <w:fldChar w:fldCharType="begin"/>
      </w:r>
      <w:r>
        <w:instrText xml:space="preserve"> XE "cellSmartTags (Cell Smart Tags)" </w:instrText>
      </w:r>
      <w:r>
        <w:fldChar w:fldCharType="end"/>
      </w:r>
    </w:p>
    <w:p w:rsidR="00024C0A" w:rsidRDefault="00694C0F">
      <w:pPr>
        <w:pStyle w:val="Definition-Field"/>
      </w:pPr>
      <w:r>
        <w:t xml:space="preserve">a.   </w:t>
      </w:r>
      <w:r>
        <w:rPr>
          <w:i/>
        </w:rPr>
        <w:t>The standard does not limit the number of cellSmartTag elements that can exist within the parent element.</w:t>
      </w:r>
    </w:p>
    <w:p w:rsidR="00024C0A" w:rsidRDefault="00694C0F">
      <w:pPr>
        <w:pStyle w:val="Definition-Field2"/>
      </w:pPr>
      <w:r>
        <w:t xml:space="preserve">Office allows only a single cellSmartTag element to </w:t>
      </w:r>
      <w:r>
        <w:t>exist within the parent.</w:t>
      </w:r>
    </w:p>
    <w:p w:rsidR="00024C0A" w:rsidRDefault="00694C0F">
      <w:pPr>
        <w:pStyle w:val="Heading3"/>
      </w:pPr>
      <w:bookmarkStart w:id="1201" w:name="section_92990fe314d9435495cf5c413adeecf1"/>
      <w:bookmarkStart w:id="1202" w:name="_Toc12260661"/>
      <w:r>
        <w:t>Part 1 Section 18.3.1.8, cellWatch (Cell Watch Item)</w:t>
      </w:r>
      <w:bookmarkEnd w:id="1201"/>
      <w:bookmarkEnd w:id="1202"/>
      <w:r>
        <w:fldChar w:fldCharType="begin"/>
      </w:r>
      <w:r>
        <w:instrText xml:space="preserve"> XE "cellWatch (Cell Watch Item)" </w:instrText>
      </w:r>
      <w:r>
        <w:fldChar w:fldCharType="end"/>
      </w:r>
    </w:p>
    <w:p w:rsidR="00024C0A" w:rsidRDefault="00694C0F">
      <w:pPr>
        <w:pStyle w:val="Definition-Field"/>
      </w:pPr>
      <w:r>
        <w:t xml:space="preserve">a.   </w:t>
      </w:r>
      <w:r>
        <w:rPr>
          <w:i/>
        </w:rPr>
        <w:t>The standard includes the @r defined without any restrictions within the parent element collection.</w:t>
      </w:r>
    </w:p>
    <w:p w:rsidR="00024C0A" w:rsidRDefault="00694C0F">
      <w:pPr>
        <w:pStyle w:val="Definition-Field2"/>
      </w:pPr>
      <w:r>
        <w:t>Office requires that @r shall be uniq</w:t>
      </w:r>
      <w:r>
        <w:t>ue within parent element collection.</w:t>
      </w:r>
    </w:p>
    <w:p w:rsidR="00024C0A" w:rsidRDefault="00694C0F">
      <w:pPr>
        <w:pStyle w:val="Heading3"/>
      </w:pPr>
      <w:bookmarkStart w:id="1203" w:name="section_afe8b75e7f524999a2b8ad3255257de5"/>
      <w:bookmarkStart w:id="1204" w:name="_Toc12260662"/>
      <w:r>
        <w:t>Part 1 Section 18.3.1.10, cfRule (Conditional Formatting Rule)</w:t>
      </w:r>
      <w:bookmarkEnd w:id="1203"/>
      <w:bookmarkEnd w:id="1204"/>
      <w:r>
        <w:fldChar w:fldCharType="begin"/>
      </w:r>
      <w:r>
        <w:instrText xml:space="preserve"> XE "cfRule (Conditional Formatting Rule)" </w:instrText>
      </w:r>
      <w:r>
        <w:fldChar w:fldCharType="end"/>
      </w:r>
    </w:p>
    <w:p w:rsidR="00024C0A" w:rsidRDefault="00694C0F">
      <w:pPr>
        <w:pStyle w:val="Definition-Field"/>
      </w:pPr>
      <w:r>
        <w:t xml:space="preserve">a.   </w:t>
      </w:r>
      <w:r>
        <w:rPr>
          <w:i/>
        </w:rPr>
        <w:t>The standard implies that the type attribute is optional.</w:t>
      </w:r>
    </w:p>
    <w:p w:rsidR="00024C0A" w:rsidRDefault="00694C0F">
      <w:pPr>
        <w:pStyle w:val="Definition-Field2"/>
      </w:pPr>
      <w:r>
        <w:t>Excel requires this attribute.</w:t>
      </w:r>
    </w:p>
    <w:p w:rsidR="00024C0A" w:rsidRDefault="00694C0F">
      <w:pPr>
        <w:pStyle w:val="Definition-Field"/>
      </w:pPr>
      <w:r>
        <w:t xml:space="preserve">b.   </w:t>
      </w:r>
      <w:r>
        <w:rPr>
          <w:i/>
        </w:rPr>
        <w:t>The standard</w:t>
      </w:r>
      <w:r>
        <w:rPr>
          <w:i/>
        </w:rPr>
        <w:t xml:space="preserve"> specifies the operator attribute as optional.</w:t>
      </w:r>
    </w:p>
    <w:p w:rsidR="00024C0A" w:rsidRDefault="00694C0F">
      <w:pPr>
        <w:pStyle w:val="Definition-Field2"/>
      </w:pPr>
      <w:r>
        <w:lastRenderedPageBreak/>
        <w:t>Office requires the operator attribute to be specified if and only if type attribute value equals cells.</w:t>
      </w:r>
    </w:p>
    <w:p w:rsidR="00024C0A" w:rsidRDefault="00694C0F">
      <w:pPr>
        <w:pStyle w:val="Definition-Field"/>
      </w:pPr>
      <w:r>
        <w:t xml:space="preserve">c.   </w:t>
      </w:r>
      <w:r>
        <w:rPr>
          <w:i/>
        </w:rPr>
        <w:t>The standard specifies timePeriod attribute as optional.</w:t>
      </w:r>
    </w:p>
    <w:p w:rsidR="00024C0A" w:rsidRDefault="00694C0F">
      <w:pPr>
        <w:pStyle w:val="Definition-Field2"/>
      </w:pPr>
      <w:r>
        <w:t>Office requires timePeriod attribute to be</w:t>
      </w:r>
      <w:r>
        <w:t xml:space="preserve"> specified if and only if type attribute value equals timePeriod.</w:t>
      </w:r>
    </w:p>
    <w:p w:rsidR="00024C0A" w:rsidRDefault="00694C0F">
      <w:pPr>
        <w:pStyle w:val="Definition-Field"/>
      </w:pPr>
      <w:r>
        <w:t xml:space="preserve">d.   </w:t>
      </w:r>
      <w:r>
        <w:rPr>
          <w:i/>
        </w:rPr>
        <w:t>The standard does not specify a default value for the rank attribute.</w:t>
      </w:r>
    </w:p>
    <w:p w:rsidR="00024C0A" w:rsidRDefault="00694C0F">
      <w:pPr>
        <w:pStyle w:val="Definition-Field2"/>
      </w:pPr>
      <w:r>
        <w:t>Excel uses a default value of 0 for this attribute.</w:t>
      </w:r>
    </w:p>
    <w:p w:rsidR="00024C0A" w:rsidRDefault="00694C0F">
      <w:pPr>
        <w:pStyle w:val="Definition-Field"/>
      </w:pPr>
      <w:r>
        <w:t xml:space="preserve">e.   </w:t>
      </w:r>
      <w:r>
        <w:rPr>
          <w:i/>
        </w:rPr>
        <w:t>The standard states that the formula ("</w:t>
      </w:r>
      <w:hyperlink r:id="rId116">
        <w:r>
          <w:rPr>
            <w:rStyle w:val="Hyperlink"/>
          </w:rPr>
          <w:t>[ISO/IEC-29500-1]</w:t>
        </w:r>
      </w:hyperlink>
      <w:r>
        <w:rPr>
          <w:i/>
        </w:rPr>
        <w:t xml:space="preserve"> §18.3.1.43; formula") child element is optional.</w:t>
      </w:r>
    </w:p>
    <w:p w:rsidR="00024C0A" w:rsidRDefault="00694C0F">
      <w:pPr>
        <w:pStyle w:val="Definition-Field2"/>
      </w:pPr>
      <w:r>
        <w:t>Excel requires the formula child element unless the type attribute is “colorScale”, “dataBar”, or “iconSet”.</w:t>
      </w:r>
    </w:p>
    <w:p w:rsidR="00024C0A" w:rsidRDefault="00694C0F">
      <w:pPr>
        <w:pStyle w:val="Heading3"/>
      </w:pPr>
      <w:bookmarkStart w:id="1205" w:name="section_cce7de7460434b7d87e59b763f19fb81"/>
      <w:bookmarkStart w:id="1206" w:name="_Toc12260663"/>
      <w:r>
        <w:t>Part 1 Section 18.3.1.11, cfvo (C</w:t>
      </w:r>
      <w:r>
        <w:t>onditional Format Value Object)</w:t>
      </w:r>
      <w:bookmarkEnd w:id="1205"/>
      <w:bookmarkEnd w:id="1206"/>
      <w:r>
        <w:fldChar w:fldCharType="begin"/>
      </w:r>
      <w:r>
        <w:instrText xml:space="preserve"> XE "cfvo (Conditional Format Value Object)" </w:instrText>
      </w:r>
      <w:r>
        <w:fldChar w:fldCharType="end"/>
      </w:r>
    </w:p>
    <w:p w:rsidR="00024C0A" w:rsidRDefault="00694C0F">
      <w:pPr>
        <w:pStyle w:val="Definition-Field"/>
      </w:pPr>
      <w:r>
        <w:t xml:space="preserve">a.   </w:t>
      </w:r>
      <w:r>
        <w:rPr>
          <w:i/>
        </w:rPr>
        <w:t>The standard describes @val as type ST_Xstring.</w:t>
      </w:r>
    </w:p>
    <w:p w:rsidR="00024C0A" w:rsidRDefault="00694C0F">
      <w:pPr>
        <w:pStyle w:val="Definition-Field2"/>
      </w:pPr>
      <w:r>
        <w:t>Office assumes that @val is restricted by valid Conditional Format Formulas as defined in Formulas ("</w:t>
      </w:r>
      <w:hyperlink r:id="rId117">
        <w:r>
          <w:rPr>
            <w:rStyle w:val="Hyperlink"/>
          </w:rPr>
          <w:t>[ISO/IEC-29500-1]</w:t>
        </w:r>
      </w:hyperlink>
      <w:r>
        <w:t xml:space="preserve"> §18.17").</w:t>
      </w:r>
    </w:p>
    <w:p w:rsidR="00024C0A" w:rsidRDefault="00694C0F">
      <w:pPr>
        <w:pStyle w:val="Definition-Field"/>
      </w:pPr>
      <w:r>
        <w:t xml:space="preserve">b.   </w:t>
      </w:r>
      <w:r>
        <w:rPr>
          <w:i/>
        </w:rPr>
        <w:t>The standard does not state any restrictions on the value of the type attribute.</w:t>
      </w:r>
    </w:p>
    <w:p w:rsidR="00024C0A" w:rsidRDefault="00694C0F">
      <w:pPr>
        <w:pStyle w:val="Definition-Field2"/>
      </w:pPr>
      <w:r>
        <w:t>In Office, if the parent element is iconSet, the type attribute cannot have values of min or max.</w:t>
      </w:r>
    </w:p>
    <w:p w:rsidR="00024C0A" w:rsidRDefault="00694C0F">
      <w:pPr>
        <w:pStyle w:val="Heading3"/>
      </w:pPr>
      <w:bookmarkStart w:id="1207" w:name="section_8689ba908b1f43409eb3e48fc9c391e2"/>
      <w:bookmarkStart w:id="1208" w:name="_Toc12260664"/>
      <w:r>
        <w:t>P</w:t>
      </w:r>
      <w:r>
        <w:t>art 1 Section 18.3.1.12, chartsheet (Chart Sheet)</w:t>
      </w:r>
      <w:bookmarkEnd w:id="1207"/>
      <w:bookmarkEnd w:id="1208"/>
      <w:r>
        <w:fldChar w:fldCharType="begin"/>
      </w:r>
      <w:r>
        <w:instrText xml:space="preserve"> XE "chartsheet (Chart Sheet)" </w:instrText>
      </w:r>
      <w:r>
        <w:fldChar w:fldCharType="end"/>
      </w:r>
    </w:p>
    <w:p w:rsidR="00024C0A" w:rsidRDefault="00694C0F">
      <w:pPr>
        <w:pStyle w:val="Definition-Field"/>
      </w:pPr>
      <w:r>
        <w:t xml:space="preserve">a.   </w:t>
      </w:r>
      <w:r>
        <w:rPr>
          <w:i/>
        </w:rPr>
        <w:t>The standard specifies that the drawingHF element is a valid child element of the chartsheet element.</w:t>
      </w:r>
    </w:p>
    <w:p w:rsidR="00024C0A" w:rsidRDefault="00694C0F">
      <w:pPr>
        <w:pStyle w:val="Definition-Field2"/>
      </w:pPr>
      <w:r>
        <w:t>Excel ignores the drawingHF element.</w:t>
      </w:r>
    </w:p>
    <w:p w:rsidR="00024C0A" w:rsidRDefault="00694C0F">
      <w:pPr>
        <w:pStyle w:val="Heading3"/>
      </w:pPr>
      <w:bookmarkStart w:id="1209" w:name="section_727f47366cba40e3b4d3ce319885780e"/>
      <w:bookmarkStart w:id="1210" w:name="_Toc12260665"/>
      <w:r>
        <w:t>Part 1 Section 18.3.1.13, col</w:t>
      </w:r>
      <w:r>
        <w:t xml:space="preserve"> (Column Width &amp; Formatting)</w:t>
      </w:r>
      <w:bookmarkEnd w:id="1209"/>
      <w:bookmarkEnd w:id="1210"/>
      <w:r>
        <w:fldChar w:fldCharType="begin"/>
      </w:r>
      <w:r>
        <w:instrText xml:space="preserve"> XE "col (Column Width &amp; Formatting)" </w:instrText>
      </w:r>
      <w:r>
        <w:fldChar w:fldCharType="end"/>
      </w:r>
    </w:p>
    <w:p w:rsidR="00024C0A" w:rsidRDefault="00694C0F">
      <w:pPr>
        <w:pStyle w:val="Definition-Field"/>
      </w:pPr>
      <w:r>
        <w:t xml:space="preserve">a.   </w:t>
      </w:r>
      <w:r>
        <w:rPr>
          <w:i/>
        </w:rPr>
        <w:t>The standard describes the min attribute of without any restrictions on its minimum or maximum values.</w:t>
      </w:r>
    </w:p>
    <w:p w:rsidR="00024C0A" w:rsidRDefault="00694C0F">
      <w:pPr>
        <w:pStyle w:val="Definition-Field2"/>
      </w:pPr>
      <w:r>
        <w:t>Office requires the min attribute to be between 1 and 16384 inclusive.</w:t>
      </w:r>
    </w:p>
    <w:p w:rsidR="00024C0A" w:rsidRDefault="00694C0F">
      <w:pPr>
        <w:pStyle w:val="Definition-Field"/>
      </w:pPr>
      <w:r>
        <w:t xml:space="preserve">b.   </w:t>
      </w:r>
      <w:r>
        <w:rPr>
          <w:i/>
        </w:rPr>
        <w:t>The</w:t>
      </w:r>
      <w:r>
        <w:rPr>
          <w:i/>
        </w:rPr>
        <w:t xml:space="preserve"> standard defines the values of the max attribute without any restrictions on its length other than what is called for in xs:unsignedInt.</w:t>
      </w:r>
    </w:p>
    <w:p w:rsidR="00024C0A" w:rsidRDefault="00694C0F">
      <w:pPr>
        <w:pStyle w:val="Definition-Field2"/>
      </w:pPr>
      <w:r>
        <w:t>Office requires the max attribute to be between values 1 and 16384 inclusive.</w:t>
      </w:r>
    </w:p>
    <w:p w:rsidR="00024C0A" w:rsidRDefault="00694C0F">
      <w:pPr>
        <w:pStyle w:val="Definition-Field"/>
      </w:pPr>
      <w:r>
        <w:t xml:space="preserve">c.   </w:t>
      </w:r>
      <w:r>
        <w:rPr>
          <w:i/>
        </w:rPr>
        <w:t>The standard defines the width attr</w:t>
      </w:r>
      <w:r>
        <w:rPr>
          <w:i/>
        </w:rPr>
        <w:t>ibute without any restrictions on the length.</w:t>
      </w:r>
    </w:p>
    <w:p w:rsidR="00024C0A" w:rsidRDefault="00694C0F">
      <w:pPr>
        <w:pStyle w:val="Definition-Field2"/>
      </w:pPr>
      <w:r>
        <w:t>Office requires the width attribute be between 0 and 255 inclusive.</w:t>
      </w:r>
    </w:p>
    <w:p w:rsidR="00024C0A" w:rsidRDefault="00694C0F">
      <w:pPr>
        <w:pStyle w:val="Definition-Field"/>
      </w:pPr>
      <w:r>
        <w:t xml:space="preserve">d.   </w:t>
      </w:r>
      <w:r>
        <w:rPr>
          <w:i/>
        </w:rPr>
        <w:t>The standard states that the values of the style attribute are defined by the XML Schema unsignedInt datatype.</w:t>
      </w:r>
    </w:p>
    <w:p w:rsidR="00024C0A" w:rsidRDefault="00694C0F">
      <w:pPr>
        <w:pStyle w:val="Definition-Field2"/>
      </w:pPr>
      <w:r>
        <w:t>Office requires that the s</w:t>
      </w:r>
      <w:r>
        <w:t>tyle attribute be between 0 and 65429 inclusive.</w:t>
      </w:r>
    </w:p>
    <w:p w:rsidR="00024C0A" w:rsidRDefault="00694C0F">
      <w:pPr>
        <w:pStyle w:val="Definition-Field"/>
      </w:pPr>
      <w:r>
        <w:t xml:space="preserve">e.   </w:t>
      </w:r>
      <w:r>
        <w:rPr>
          <w:i/>
        </w:rPr>
        <w:t>The standard defines the outlineLevel attribute without specifying its maximum value.</w:t>
      </w:r>
    </w:p>
    <w:p w:rsidR="00024C0A" w:rsidRDefault="00694C0F">
      <w:pPr>
        <w:pStyle w:val="Definition-Field2"/>
      </w:pPr>
      <w:r>
        <w:t>Office specifies the outlineLevel attributes maximum value is 7.</w:t>
      </w:r>
    </w:p>
    <w:p w:rsidR="00024C0A" w:rsidRDefault="00694C0F">
      <w:pPr>
        <w:pStyle w:val="Definition-Field"/>
      </w:pPr>
      <w:r>
        <w:lastRenderedPageBreak/>
        <w:t xml:space="preserve">f.   </w:t>
      </w:r>
      <w:r>
        <w:rPr>
          <w:i/>
        </w:rPr>
        <w:t>The standard defines the width attribute as th</w:t>
      </w:r>
      <w:r>
        <w:rPr>
          <w:i/>
        </w:rPr>
        <w:t>e number of characters times the maximum digit width of the numbers 0, 1, …, 9 as rendered in the normal style's font, plus 2 pixels of margin padding on each side, plus 1 pixel padding for the gridlines.</w:t>
      </w:r>
    </w:p>
    <w:p w:rsidR="00024C0A" w:rsidRDefault="00694C0F">
      <w:pPr>
        <w:pStyle w:val="Definition-Field2"/>
      </w:pPr>
      <w:r>
        <w:t>Office specifies the formula as width = Truncate( (</w:t>
      </w:r>
      <w:r>
        <w:t xml:space="preserve"> ( ( ( ( NoC * MDW + PP ) ) + ( ( NoC * MDW + PP ) MOD 8 ) ) - PP ) / MDW ) * 256 ) / 256.</w:t>
      </w:r>
    </w:p>
    <w:p w:rsidR="00024C0A" w:rsidRDefault="00694C0F">
      <w:pPr>
        <w:pStyle w:val="Heading3"/>
      </w:pPr>
      <w:bookmarkStart w:id="1211" w:name="section_3d92605334c84ee091157bc5858ef579"/>
      <w:bookmarkStart w:id="1212" w:name="_Toc12260666"/>
      <w:r>
        <w:t>Part 1 Section 18.3.1.14, colBreaks (Vertical Page Breaks)</w:t>
      </w:r>
      <w:bookmarkEnd w:id="1211"/>
      <w:bookmarkEnd w:id="1212"/>
      <w:r>
        <w:fldChar w:fldCharType="begin"/>
      </w:r>
      <w:r>
        <w:instrText xml:space="preserve"> XE "colBreaks (Vertical Page Breaks)"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09d193ae5f884f098bc2a744a755c881">
        <w:r>
          <w:rPr>
            <w:rStyle w:val="Hyperlink"/>
          </w:rPr>
          <w:t>rowBreaks, §18.3.1.74(a, b)</w:t>
        </w:r>
      </w:hyperlink>
      <w:r>
        <w:rPr>
          <w:i/>
        </w:rPr>
        <w:t>.</w:t>
      </w:r>
    </w:p>
    <w:p w:rsidR="00024C0A" w:rsidRDefault="00694C0F">
      <w:pPr>
        <w:pStyle w:val="Definition-Field"/>
      </w:pPr>
      <w:r>
        <w:t xml:space="preserve">a.   </w:t>
      </w:r>
      <w:r>
        <w:rPr>
          <w:i/>
        </w:rPr>
        <w:t xml:space="preserve">The standard states that the values of the count attribute are </w:t>
      </w:r>
      <w:r>
        <w:rPr>
          <w:i/>
        </w:rPr>
        <w:t>defined by the XML Schema unsignedInt datatype.</w:t>
      </w:r>
    </w:p>
    <w:p w:rsidR="00024C0A" w:rsidRDefault="00694C0F">
      <w:pPr>
        <w:pStyle w:val="Definition-Field2"/>
      </w:pPr>
      <w:r>
        <w:t>Office requires that the count attribute be an unsignedInt less than or equal to 1023.</w:t>
      </w:r>
    </w:p>
    <w:p w:rsidR="00024C0A" w:rsidRDefault="00694C0F">
      <w:pPr>
        <w:pStyle w:val="Definition-Field"/>
      </w:pPr>
      <w:r>
        <w:t xml:space="preserve">b.   </w:t>
      </w:r>
      <w:r>
        <w:rPr>
          <w:i/>
        </w:rPr>
        <w:t>The standard states that the values of the manualBreakCount attribute are defined by the XML Schema unsignedInt data</w:t>
      </w:r>
      <w:r>
        <w:rPr>
          <w:i/>
        </w:rPr>
        <w:t>type.</w:t>
      </w:r>
    </w:p>
    <w:p w:rsidR="00024C0A" w:rsidRDefault="00694C0F">
      <w:pPr>
        <w:pStyle w:val="Definition-Field2"/>
      </w:pPr>
      <w:r>
        <w:t>Office requires that the manualBreakCount attribute is an unsignedInt less than or equal to 1023.</w:t>
      </w:r>
    </w:p>
    <w:p w:rsidR="00024C0A" w:rsidRDefault="00694C0F">
      <w:pPr>
        <w:pStyle w:val="Heading3"/>
      </w:pPr>
      <w:bookmarkStart w:id="1213" w:name="section_903e02250adb44a3864f59cacf639a76"/>
      <w:bookmarkStart w:id="1214" w:name="_Toc12260667"/>
      <w:r>
        <w:t>Part 1 Section 18.3.1.15, color (Data Bar Color)</w:t>
      </w:r>
      <w:bookmarkEnd w:id="1213"/>
      <w:bookmarkEnd w:id="1214"/>
      <w:r>
        <w:fldChar w:fldCharType="begin"/>
      </w:r>
      <w:r>
        <w:instrText xml:space="preserve"> XE "color (Data Bar Color)" </w:instrText>
      </w:r>
      <w:r>
        <w:fldChar w:fldCharType="end"/>
      </w:r>
    </w:p>
    <w:p w:rsidR="00024C0A" w:rsidRDefault="00694C0F">
      <w:pPr>
        <w:pStyle w:val="Definition-Field2"/>
      </w:pPr>
      <w:r>
        <w:rPr>
          <w:i/>
        </w:rPr>
        <w:t xml:space="preserve">For additional notes that apply to this portion of the standard, please </w:t>
      </w:r>
      <w:r>
        <w:rPr>
          <w:i/>
        </w:rPr>
        <w:t xml:space="preserve">see the notes for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hyperlink>
      <w:r>
        <w:rPr>
          <w:i/>
        </w:rPr>
        <w:t>.</w:t>
      </w:r>
    </w:p>
    <w:p w:rsidR="00024C0A" w:rsidRDefault="00694C0F">
      <w:pPr>
        <w:pStyle w:val="Definition-Field"/>
      </w:pPr>
      <w:r>
        <w:t xml:space="preserve">a.   </w:t>
      </w:r>
      <w:r>
        <w:rPr>
          <w:i/>
        </w:rPr>
        <w:t>The standard specifies use with only data bar and color sca</w:t>
      </w:r>
      <w:r>
        <w:rPr>
          <w:i/>
        </w:rPr>
        <w:t>le.</w:t>
      </w:r>
    </w:p>
    <w:p w:rsidR="00024C0A" w:rsidRDefault="00694C0F">
      <w:pPr>
        <w:pStyle w:val="Definition-Field2"/>
      </w:pPr>
      <w:r>
        <w:t>In Office, the color element used in various formatting elements as defined in parent sub-clause list.</w:t>
      </w:r>
    </w:p>
    <w:p w:rsidR="00024C0A" w:rsidRDefault="00694C0F">
      <w:pPr>
        <w:pStyle w:val="Definition-Field"/>
      </w:pPr>
      <w:r>
        <w:t xml:space="preserve">b.   </w:t>
      </w:r>
      <w:r>
        <w:rPr>
          <w:i/>
        </w:rPr>
        <w:t>The standard states that the values of the indexed attribute are defined by the XML Schema unsignedInt datatype.</w:t>
      </w:r>
    </w:p>
    <w:p w:rsidR="00024C0A" w:rsidRDefault="00694C0F">
      <w:pPr>
        <w:pStyle w:val="Definition-Field2"/>
      </w:pPr>
      <w:r>
        <w:t>Excel restricts the value of th</w:t>
      </w:r>
      <w:r>
        <w:t>is attribute to be at most 255.</w:t>
      </w:r>
    </w:p>
    <w:p w:rsidR="00024C0A" w:rsidRDefault="00694C0F">
      <w:pPr>
        <w:pStyle w:val="Definition-Field"/>
      </w:pPr>
      <w:r>
        <w:t xml:space="preserve">c.   </w:t>
      </w:r>
      <w:r>
        <w:rPr>
          <w:i/>
        </w:rPr>
        <w:t>The standard states that the values of the tint attribute are defined by the XML Schema double datatype.</w:t>
      </w:r>
    </w:p>
    <w:p w:rsidR="00024C0A" w:rsidRDefault="00694C0F">
      <w:pPr>
        <w:pStyle w:val="Definition-Field2"/>
      </w:pPr>
      <w:r>
        <w:t>Excel restricts the value of this attribute to be at least -1 and at most 1.</w:t>
      </w:r>
    </w:p>
    <w:p w:rsidR="00024C0A" w:rsidRDefault="00694C0F">
      <w:pPr>
        <w:pStyle w:val="Definition-Field"/>
      </w:pPr>
      <w:r>
        <w:t xml:space="preserve">d.   </w:t>
      </w:r>
      <w:r>
        <w:rPr>
          <w:i/>
        </w:rPr>
        <w:t>The standard states that the val</w:t>
      </w:r>
      <w:r>
        <w:rPr>
          <w:i/>
        </w:rPr>
        <w:t>ues of the theme attribute are defined by the XML Schema unsignedInt datatype.</w:t>
      </w:r>
    </w:p>
    <w:p w:rsidR="00024C0A" w:rsidRDefault="00694C0F">
      <w:pPr>
        <w:pStyle w:val="Definition-Field2"/>
      </w:pPr>
      <w:r>
        <w:t>Excel restricts the value of this attribute, a zero-based index, to be at most 255.</w:t>
      </w:r>
    </w:p>
    <w:p w:rsidR="00024C0A" w:rsidRDefault="00694C0F">
      <w:pPr>
        <w:pStyle w:val="Heading3"/>
      </w:pPr>
      <w:bookmarkStart w:id="1215" w:name="section_6f3c3ad9dd02428c9fc960b13ef0da08"/>
      <w:bookmarkStart w:id="1216" w:name="_Toc12260668"/>
      <w:r>
        <w:t>Part 1 Section 18.3.1.16, colorScale (Color Scale)</w:t>
      </w:r>
      <w:bookmarkEnd w:id="1215"/>
      <w:bookmarkEnd w:id="1216"/>
      <w:r>
        <w:fldChar w:fldCharType="begin"/>
      </w:r>
      <w:r>
        <w:instrText xml:space="preserve"> XE "colorScale (Color Scale)" </w:instrText>
      </w:r>
      <w:r>
        <w:fldChar w:fldCharType="end"/>
      </w:r>
    </w:p>
    <w:p w:rsidR="00024C0A" w:rsidRDefault="00694C0F">
      <w:pPr>
        <w:pStyle w:val="Definition-Field"/>
      </w:pPr>
      <w:r>
        <w:t xml:space="preserve">a.   </w:t>
      </w:r>
      <w:r>
        <w:rPr>
          <w:i/>
        </w:rPr>
        <w:t xml:space="preserve">The </w:t>
      </w:r>
      <w:r>
        <w:rPr>
          <w:i/>
        </w:rPr>
        <w:t>standard states that the maxOccurs value for the cfvo child element is unbounded.</w:t>
      </w:r>
    </w:p>
    <w:p w:rsidR="00024C0A" w:rsidRDefault="00694C0F">
      <w:pPr>
        <w:pStyle w:val="Definition-Field2"/>
      </w:pPr>
      <w:r>
        <w:t>Excel limits the occurrences of this element to 3.</w:t>
      </w:r>
    </w:p>
    <w:p w:rsidR="00024C0A" w:rsidRDefault="00694C0F">
      <w:pPr>
        <w:pStyle w:val="Definition-Field"/>
      </w:pPr>
      <w:r>
        <w:t xml:space="preserve">b.   </w:t>
      </w:r>
      <w:r>
        <w:rPr>
          <w:i/>
        </w:rPr>
        <w:t>The standard states that the maxOccurs value for the color child element is unbounded.</w:t>
      </w:r>
    </w:p>
    <w:p w:rsidR="00024C0A" w:rsidRDefault="00694C0F">
      <w:pPr>
        <w:pStyle w:val="Definition-Field2"/>
      </w:pPr>
      <w:r>
        <w:t>Excel limits the occurrences of</w:t>
      </w:r>
      <w:r>
        <w:t xml:space="preserve"> this element to 3.</w:t>
      </w:r>
    </w:p>
    <w:p w:rsidR="00024C0A" w:rsidRDefault="00694C0F">
      <w:pPr>
        <w:pStyle w:val="Definition-Field"/>
      </w:pPr>
      <w:r>
        <w:t xml:space="preserve">c.   </w:t>
      </w:r>
      <w:r>
        <w:rPr>
          <w:i/>
        </w:rPr>
        <w:t>The standard places no restrictions on the relationship between the count of cfvo child elements and the count of color child elements.</w:t>
      </w:r>
    </w:p>
    <w:p w:rsidR="00024C0A" w:rsidRDefault="00694C0F">
      <w:pPr>
        <w:pStyle w:val="Definition-Field2"/>
      </w:pPr>
      <w:r>
        <w:lastRenderedPageBreak/>
        <w:t>Excel requires these two counts to be the same.</w:t>
      </w:r>
    </w:p>
    <w:p w:rsidR="00024C0A" w:rsidRDefault="00694C0F">
      <w:pPr>
        <w:pStyle w:val="Heading3"/>
      </w:pPr>
      <w:bookmarkStart w:id="1217" w:name="section_a876bb76a6c348569232028b4d575aa2"/>
      <w:bookmarkStart w:id="1218" w:name="_Toc12260669"/>
      <w:r>
        <w:t>Part 1 Section 18.3.1.18, conditionalFormatting</w:t>
      </w:r>
      <w:r>
        <w:t xml:space="preserve"> (Conditional Formatting)</w:t>
      </w:r>
      <w:bookmarkEnd w:id="1217"/>
      <w:bookmarkEnd w:id="1218"/>
      <w:r>
        <w:fldChar w:fldCharType="begin"/>
      </w:r>
      <w:r>
        <w:instrText xml:space="preserve"> XE "conditionalFormatting (Conditional Formatting)" </w:instrText>
      </w:r>
      <w:r>
        <w:fldChar w:fldCharType="end"/>
      </w:r>
    </w:p>
    <w:p w:rsidR="00024C0A" w:rsidRDefault="00694C0F">
      <w:pPr>
        <w:pStyle w:val="Definition-Field"/>
      </w:pPr>
      <w:r>
        <w:t xml:space="preserve">a.   </w:t>
      </w:r>
      <w:r>
        <w:rPr>
          <w:i/>
        </w:rPr>
        <w:t>The standard states that the possible values for @sqref are defined by ST_Sqref simple type.</w:t>
      </w:r>
    </w:p>
    <w:p w:rsidR="00024C0A" w:rsidRDefault="00694C0F">
      <w:pPr>
        <w:pStyle w:val="Definition-Field2"/>
      </w:pPr>
      <w:r>
        <w:t>Office requires that the value of @sqref have a length of at least 1 (be non-</w:t>
      </w:r>
      <w:r>
        <w:t>empty).</w:t>
      </w:r>
    </w:p>
    <w:p w:rsidR="00024C0A" w:rsidRDefault="00694C0F">
      <w:pPr>
        <w:pStyle w:val="Heading3"/>
      </w:pPr>
      <w:bookmarkStart w:id="1219" w:name="section_191c4c0c89ac45619cbf5b27a753beee"/>
      <w:bookmarkStart w:id="1220" w:name="_Toc12260670"/>
      <w:r>
        <w:t>Part 1 Section 18.3.1.19, control (Embedded Control)</w:t>
      </w:r>
      <w:bookmarkEnd w:id="1219"/>
      <w:bookmarkEnd w:id="1220"/>
      <w:r>
        <w:fldChar w:fldCharType="begin"/>
      </w:r>
      <w:r>
        <w:instrText xml:space="preserve"> XE "control (Embedded Control)" </w:instrText>
      </w:r>
      <w:r>
        <w:fldChar w:fldCharType="end"/>
      </w:r>
    </w:p>
    <w:p w:rsidR="00024C0A" w:rsidRDefault="00694C0F">
      <w:pPr>
        <w:pStyle w:val="Definition-Field"/>
      </w:pPr>
      <w:r>
        <w:t xml:space="preserve">a.   </w:t>
      </w:r>
      <w:r>
        <w:rPr>
          <w:i/>
        </w:rPr>
        <w:t>The standard does not specify the ObjectType or restriction of valid values for @shapeId.</w:t>
      </w:r>
    </w:p>
    <w:p w:rsidR="00024C0A" w:rsidRDefault="00694C0F">
      <w:pPr>
        <w:pStyle w:val="Definition-Field2"/>
      </w:pPr>
      <w:r>
        <w:t>Office requires the ObjectType of the drawing shape to be Picture</w:t>
      </w:r>
      <w:r>
        <w:t xml:space="preserve"> and the value to be between 1 and 67098623 inclusive.</w:t>
      </w:r>
    </w:p>
    <w:p w:rsidR="00024C0A" w:rsidRDefault="00694C0F">
      <w:pPr>
        <w:pStyle w:val="Definition-Field"/>
      </w:pPr>
      <w:r>
        <w:t xml:space="preserve">b.   </w:t>
      </w:r>
      <w:r>
        <w:rPr>
          <w:i/>
        </w:rPr>
        <w:t>The standard does not specify restrictions for the name attribute.</w:t>
      </w:r>
    </w:p>
    <w:p w:rsidR="00024C0A" w:rsidRDefault="00694C0F">
      <w:pPr>
        <w:pStyle w:val="Definition-Field2"/>
      </w:pPr>
      <w:r>
        <w:t>In Excel, the string shall be unique and have a maximum of 32 characters.</w:t>
      </w:r>
    </w:p>
    <w:p w:rsidR="00024C0A" w:rsidRDefault="00694C0F">
      <w:pPr>
        <w:pStyle w:val="Heading3"/>
      </w:pPr>
      <w:bookmarkStart w:id="1221" w:name="section_ee6983cc1d544770b179a332e5bb8ffa"/>
      <w:bookmarkStart w:id="1222" w:name="_Toc12260671"/>
      <w:r>
        <w:t>Part 1 Section 18.3.1.20, controlPr (Embedded Control Properties)</w:t>
      </w:r>
      <w:bookmarkEnd w:id="1221"/>
      <w:bookmarkEnd w:id="1222"/>
      <w:r>
        <w:fldChar w:fldCharType="begin"/>
      </w:r>
      <w:r>
        <w:instrText xml:space="preserve"> XE "controlPr (Embedded Control Properties)" </w:instrText>
      </w:r>
      <w:r>
        <w:fldChar w:fldCharType="end"/>
      </w:r>
    </w:p>
    <w:p w:rsidR="00024C0A" w:rsidRDefault="00694C0F">
      <w:pPr>
        <w:pStyle w:val="Definition-Field"/>
      </w:pPr>
      <w:r>
        <w:t xml:space="preserve">a.   </w:t>
      </w:r>
      <w:r>
        <w:rPr>
          <w:i/>
        </w:rPr>
        <w:t>The standard specifies the recalcAlways attribute.</w:t>
      </w:r>
    </w:p>
    <w:p w:rsidR="00024C0A" w:rsidRDefault="00694C0F">
      <w:pPr>
        <w:pStyle w:val="Definition-Field2"/>
      </w:pPr>
      <w:r>
        <w:t>Office does not read or write the recalcAlways attribute and ignores this attribute if</w:t>
      </w:r>
      <w:r>
        <w:t xml:space="preserve"> present.</w:t>
      </w:r>
    </w:p>
    <w:p w:rsidR="00024C0A" w:rsidRDefault="00694C0F">
      <w:pPr>
        <w:pStyle w:val="Definition-Field"/>
      </w:pPr>
      <w:r>
        <w:t xml:space="preserve">b.   </w:t>
      </w:r>
      <w:r>
        <w:rPr>
          <w:i/>
        </w:rPr>
        <w:t>The cf attribute in the controlPr element is round tripped.</w:t>
      </w:r>
    </w:p>
    <w:p w:rsidR="00024C0A" w:rsidRDefault="00694C0F">
      <w:pPr>
        <w:pStyle w:val="Definition-Field2"/>
      </w:pPr>
      <w:r>
        <w:t>Office does not round trip the cf attribute in the controlPr element.</w:t>
      </w:r>
    </w:p>
    <w:p w:rsidR="00024C0A" w:rsidRDefault="00694C0F">
      <w:pPr>
        <w:pStyle w:val="Definition-Field"/>
      </w:pPr>
      <w:r>
        <w:t xml:space="preserve">c.   </w:t>
      </w:r>
      <w:r>
        <w:rPr>
          <w:i/>
        </w:rPr>
        <w:t>The standard specifies that all of the attributes under the controlPr element are valid.</w:t>
      </w:r>
    </w:p>
    <w:p w:rsidR="00024C0A" w:rsidRDefault="00694C0F">
      <w:pPr>
        <w:pStyle w:val="Definition-Field2"/>
      </w:pPr>
      <w:r>
        <w:t>Excel ignores the</w:t>
      </w:r>
      <w:r>
        <w:t xml:space="preserve"> attributes autoFill, autoLine, autoPict, cf, defaultSize, disabled, macro, recalcAlways and uiObject, and does not round trip cf and recalcAlways when controlPr is associated with an ActiveX(R) control.</w:t>
      </w:r>
    </w:p>
    <w:p w:rsidR="00024C0A" w:rsidRDefault="00694C0F">
      <w:pPr>
        <w:pStyle w:val="Definition-Field"/>
      </w:pPr>
      <w:r>
        <w:t xml:space="preserve">d.   </w:t>
      </w:r>
      <w:r>
        <w:rPr>
          <w:i/>
        </w:rPr>
        <w:t>The standard specifies that all of the attribut</w:t>
      </w:r>
      <w:r>
        <w:rPr>
          <w:i/>
        </w:rPr>
        <w:t>es under the controlPr element are valid.</w:t>
      </w:r>
    </w:p>
    <w:p w:rsidR="00024C0A" w:rsidRDefault="00694C0F">
      <w:pPr>
        <w:pStyle w:val="Definition-Field2"/>
      </w:pPr>
      <w:r>
        <w:t xml:space="preserve">Excel ignores autoFill, autoLine, autoPict, cf, defaultSize, disabled, id, linkedCell, listFillRange, recalcAlways and uiObject, and does not round trip autoPict, cf, id, linkedCell, listFillRange and recalcAlways </w:t>
      </w:r>
      <w:r>
        <w:t>when associated with a form control.</w:t>
      </w:r>
    </w:p>
    <w:p w:rsidR="00024C0A" w:rsidRDefault="00694C0F">
      <w:pPr>
        <w:pStyle w:val="Heading3"/>
      </w:pPr>
      <w:bookmarkStart w:id="1223" w:name="section_10f45a7e53934ea2b0f7dac31d426fea"/>
      <w:bookmarkStart w:id="1224" w:name="_Toc12260672"/>
      <w:r>
        <w:t>Part 1 Section 18.3.1.21, controls (Embedded Controls)</w:t>
      </w:r>
      <w:bookmarkEnd w:id="1223"/>
      <w:bookmarkEnd w:id="1224"/>
      <w:r>
        <w:fldChar w:fldCharType="begin"/>
      </w:r>
      <w:r>
        <w:instrText xml:space="preserve"> XE "controls (Embedded Controls)" </w:instrText>
      </w:r>
      <w:r>
        <w:fldChar w:fldCharType="end"/>
      </w:r>
    </w:p>
    <w:p w:rsidR="00024C0A" w:rsidRDefault="00694C0F">
      <w:pPr>
        <w:pStyle w:val="Definition-Field"/>
      </w:pPr>
      <w:r>
        <w:t xml:space="preserve">a.   </w:t>
      </w:r>
      <w:r>
        <w:rPr>
          <w:i/>
        </w:rPr>
        <w:t>The standard states that the maxOccurs value for the control child element is unbounded.</w:t>
      </w:r>
    </w:p>
    <w:p w:rsidR="00024C0A" w:rsidRDefault="00694C0F">
      <w:pPr>
        <w:pStyle w:val="Definition-Field2"/>
      </w:pPr>
      <w:r>
        <w:t>Excel limits the occurrences of t</w:t>
      </w:r>
      <w:r>
        <w:t>his element to 65535.</w:t>
      </w:r>
    </w:p>
    <w:p w:rsidR="00024C0A" w:rsidRDefault="00694C0F">
      <w:pPr>
        <w:pStyle w:val="Heading3"/>
      </w:pPr>
      <w:bookmarkStart w:id="1225" w:name="section_8657e06740fd46f987172bab6fea07aa"/>
      <w:bookmarkStart w:id="1226" w:name="_Toc12260673"/>
      <w:r>
        <w:t>Part 1 Section 18.3.1.22, customPr (Custom Property)</w:t>
      </w:r>
      <w:bookmarkEnd w:id="1225"/>
      <w:bookmarkEnd w:id="1226"/>
      <w:r>
        <w:fldChar w:fldCharType="begin"/>
      </w:r>
      <w:r>
        <w:instrText xml:space="preserve"> XE "customPr (Custom Property)" </w:instrText>
      </w:r>
      <w:r>
        <w:fldChar w:fldCharType="end"/>
      </w:r>
    </w:p>
    <w:p w:rsidR="00024C0A" w:rsidRDefault="00694C0F">
      <w:pPr>
        <w:pStyle w:val="Definition-Field"/>
      </w:pPr>
      <w:r>
        <w:t xml:space="preserve">a.   </w:t>
      </w:r>
      <w:r>
        <w:rPr>
          <w:i/>
        </w:rPr>
        <w:t>The standard specifies no restriction on the uniqueness of the name attribute.</w:t>
      </w:r>
    </w:p>
    <w:p w:rsidR="00024C0A" w:rsidRDefault="00694C0F">
      <w:pPr>
        <w:pStyle w:val="Definition-Field2"/>
      </w:pPr>
      <w:r>
        <w:t>In Office, the name attribute must be case-insensitive and uni</w:t>
      </w:r>
      <w:r>
        <w:t>que.</w:t>
      </w:r>
    </w:p>
    <w:p w:rsidR="00024C0A" w:rsidRDefault="00694C0F">
      <w:pPr>
        <w:pStyle w:val="Heading3"/>
      </w:pPr>
      <w:bookmarkStart w:id="1227" w:name="section_13ee020779e148b5b0ed333a3a7dbb81"/>
      <w:bookmarkStart w:id="1228" w:name="_Toc12260674"/>
      <w:r>
        <w:t>Part 1 Section 18.3.1.24, customSheetView (Custom Chart Sheet View)</w:t>
      </w:r>
      <w:bookmarkEnd w:id="1227"/>
      <w:bookmarkEnd w:id="1228"/>
      <w:r>
        <w:fldChar w:fldCharType="begin"/>
      </w:r>
      <w:r>
        <w:instrText xml:space="preserve"> XE "customSheetView (Custom Chart Sheet View)" </w:instrText>
      </w:r>
      <w:r>
        <w:fldChar w:fldCharType="end"/>
      </w:r>
    </w:p>
    <w:p w:rsidR="00024C0A" w:rsidRDefault="00694C0F">
      <w:pPr>
        <w:pStyle w:val="Definition-Field"/>
      </w:pPr>
      <w:r>
        <w:t xml:space="preserve">a.   </w:t>
      </w:r>
      <w:r>
        <w:rPr>
          <w:i/>
        </w:rPr>
        <w:t>The standard states that the attribute scale defines the print scale.</w:t>
      </w:r>
    </w:p>
    <w:p w:rsidR="00024C0A" w:rsidRDefault="00694C0F">
      <w:pPr>
        <w:pStyle w:val="Definition-Field2"/>
      </w:pPr>
      <w:r>
        <w:t>Office uses the scale attribute to define the zoom level.</w:t>
      </w:r>
    </w:p>
    <w:p w:rsidR="00024C0A" w:rsidRDefault="00694C0F">
      <w:pPr>
        <w:pStyle w:val="Heading3"/>
      </w:pPr>
      <w:bookmarkStart w:id="1229" w:name="section_2d575d4956e24adf8f4713c09a3a8628"/>
      <w:bookmarkStart w:id="1230" w:name="_Toc12260675"/>
      <w:r>
        <w:lastRenderedPageBreak/>
        <w:t>Part 1 Section 18.3.1.25, customSheetView (Custom Sheet View)</w:t>
      </w:r>
      <w:bookmarkEnd w:id="1229"/>
      <w:bookmarkEnd w:id="1230"/>
      <w:r>
        <w:fldChar w:fldCharType="begin"/>
      </w:r>
      <w:r>
        <w:instrText xml:space="preserve"> XE "customSheetView (Custom Sheet View)" </w:instrText>
      </w:r>
      <w:r>
        <w:fldChar w:fldCharType="end"/>
      </w:r>
    </w:p>
    <w:p w:rsidR="00024C0A" w:rsidRDefault="00694C0F">
      <w:pPr>
        <w:pStyle w:val="Definition-Field"/>
      </w:pPr>
      <w:r>
        <w:t xml:space="preserve">a.   </w:t>
      </w:r>
      <w:r>
        <w:rPr>
          <w:i/>
        </w:rPr>
        <w:t>The standard says scale attribute defines the print scale.</w:t>
      </w:r>
    </w:p>
    <w:p w:rsidR="00024C0A" w:rsidRDefault="00694C0F">
      <w:pPr>
        <w:pStyle w:val="Definition-Field2"/>
      </w:pPr>
      <w:r>
        <w:t>Office uses the scale attribute to define the zoom level.</w:t>
      </w:r>
    </w:p>
    <w:p w:rsidR="00024C0A" w:rsidRDefault="00694C0F">
      <w:pPr>
        <w:pStyle w:val="Definition-Field"/>
      </w:pPr>
      <w:r>
        <w:t xml:space="preserve">b.   </w:t>
      </w:r>
      <w:r>
        <w:rPr>
          <w:i/>
        </w:rPr>
        <w:t>The standard states tha</w:t>
      </w:r>
      <w:r>
        <w:rPr>
          <w:i/>
        </w:rPr>
        <w:t>t the values of the colorId attribute are defined by the XML Schema unsignedInt datatype.</w:t>
      </w:r>
    </w:p>
    <w:p w:rsidR="00024C0A" w:rsidRDefault="00694C0F">
      <w:pPr>
        <w:pStyle w:val="Definition-Field2"/>
      </w:pPr>
      <w:r>
        <w:t>Office restricts the colorId attribute value to an unsignedInt less than or equal to 64.</w:t>
      </w:r>
    </w:p>
    <w:p w:rsidR="00024C0A" w:rsidRDefault="00694C0F">
      <w:pPr>
        <w:pStyle w:val="Definition-Field"/>
      </w:pPr>
      <w:r>
        <w:t xml:space="preserve">c.   </w:t>
      </w:r>
      <w:r>
        <w:rPr>
          <w:i/>
        </w:rPr>
        <w:t>The standard specifies @scale ranges from 10 to 400.</w:t>
      </w:r>
    </w:p>
    <w:p w:rsidR="00024C0A" w:rsidRDefault="00694C0F">
      <w:pPr>
        <w:pStyle w:val="Definition-Field2"/>
      </w:pPr>
      <w:r>
        <w:t>Excel also allow fo</w:t>
      </w:r>
      <w:r>
        <w:t>r a value of zero, which is interpreted as the automatic setting.</w:t>
      </w:r>
    </w:p>
    <w:p w:rsidR="00024C0A" w:rsidRDefault="00694C0F">
      <w:pPr>
        <w:pStyle w:val="Definition-Field"/>
      </w:pPr>
      <w:r>
        <w:t xml:space="preserve">d.   </w:t>
      </w:r>
      <w:r>
        <w:rPr>
          <w:i/>
        </w:rPr>
        <w:t>The standard specifies that colorId attribute defines the color value for text in row or column headings and gridlines the custom view.</w:t>
      </w:r>
    </w:p>
    <w:p w:rsidR="00024C0A" w:rsidRDefault="00694C0F">
      <w:pPr>
        <w:pStyle w:val="Definition-Field2"/>
      </w:pPr>
      <w:r>
        <w:t>Office uses colorId attribute to define the color</w:t>
      </w:r>
      <w:r>
        <w:t xml:space="preserve"> value for gridlines in the custom view.</w:t>
      </w:r>
    </w:p>
    <w:p w:rsidR="00024C0A" w:rsidRDefault="00694C0F">
      <w:pPr>
        <w:pStyle w:val="Definition-Field"/>
      </w:pPr>
      <w:r>
        <w:t xml:space="preserve">e.   </w:t>
      </w:r>
      <w:r>
        <w:rPr>
          <w:i/>
        </w:rPr>
        <w:t>The standard specifies that possible values for the guid attribute are defined by ST_Guid simple type.</w:t>
      </w:r>
    </w:p>
    <w:p w:rsidR="00024C0A" w:rsidRDefault="00694C0F">
      <w:pPr>
        <w:pStyle w:val="Definition-Field2"/>
      </w:pPr>
      <w:r>
        <w:t xml:space="preserve">Office requires the guid attribute to be a non-null guid (a null guid is defined as </w:t>
      </w:r>
      <w:r>
        <w:t>00000000-0000-0000-0000-000000000000).</w:t>
      </w:r>
    </w:p>
    <w:p w:rsidR="00024C0A" w:rsidRDefault="00694C0F">
      <w:pPr>
        <w:pStyle w:val="Heading3"/>
      </w:pPr>
      <w:bookmarkStart w:id="1231" w:name="section_648369e29fdb434b810c4b1ce737ea8a"/>
      <w:bookmarkStart w:id="1232" w:name="_Toc12260676"/>
      <w:r>
        <w:t>Part 1 Section 18.3.1.26, customSheetViews (Custom Chart Sheet Views)</w:t>
      </w:r>
      <w:bookmarkEnd w:id="1231"/>
      <w:bookmarkEnd w:id="1232"/>
      <w:r>
        <w:fldChar w:fldCharType="begin"/>
      </w:r>
      <w:r>
        <w:instrText xml:space="preserve"> XE "customSheetViews (Custom Chart Sheet Views)" </w:instrText>
      </w:r>
      <w:r>
        <w:fldChar w:fldCharType="end"/>
      </w:r>
    </w:p>
    <w:p w:rsidR="00024C0A" w:rsidRDefault="00694C0F">
      <w:pPr>
        <w:pStyle w:val="Definition-Field"/>
      </w:pPr>
      <w:r>
        <w:t xml:space="preserve">a.   </w:t>
      </w:r>
      <w:r>
        <w:rPr>
          <w:i/>
        </w:rPr>
        <w:t>The standard states that the maxOccurs value for the customSheetView child element is unbo</w:t>
      </w:r>
      <w:r>
        <w:rPr>
          <w:i/>
        </w:rPr>
        <w:t>unded.</w:t>
      </w:r>
    </w:p>
    <w:p w:rsidR="00024C0A" w:rsidRDefault="00694C0F">
      <w:pPr>
        <w:pStyle w:val="Definition-Field2"/>
      </w:pPr>
      <w:r>
        <w:t>Excel limits the occurrences of this element to 2147483647.</w:t>
      </w:r>
    </w:p>
    <w:p w:rsidR="00024C0A" w:rsidRDefault="00694C0F">
      <w:pPr>
        <w:pStyle w:val="Heading3"/>
      </w:pPr>
      <w:bookmarkStart w:id="1233" w:name="section_0c2fcd3d6c2d4e039e64366e977e6d5a"/>
      <w:bookmarkStart w:id="1234" w:name="_Toc12260677"/>
      <w:r>
        <w:t>Part 1 Section 18.3.1.27, customSheetViews (Custom Sheet Views)</w:t>
      </w:r>
      <w:bookmarkEnd w:id="1233"/>
      <w:bookmarkEnd w:id="1234"/>
      <w:r>
        <w:fldChar w:fldCharType="begin"/>
      </w:r>
      <w:r>
        <w:instrText xml:space="preserve"> XE "customSheetViews (Custom Sheet Views)" </w:instrText>
      </w:r>
      <w:r>
        <w:fldChar w:fldCharType="end"/>
      </w:r>
    </w:p>
    <w:p w:rsidR="00024C0A" w:rsidRDefault="00694C0F">
      <w:pPr>
        <w:pStyle w:val="Definition-Field"/>
      </w:pPr>
      <w:r>
        <w:t xml:space="preserve">a.   </w:t>
      </w:r>
      <w:r>
        <w:rPr>
          <w:i/>
        </w:rPr>
        <w:t>The standard states that the maxOccurs value for the customSheetView child</w:t>
      </w:r>
      <w:r>
        <w:rPr>
          <w:i/>
        </w:rPr>
        <w:t xml:space="preserve"> element is unbounded.</w:t>
      </w:r>
    </w:p>
    <w:p w:rsidR="00024C0A" w:rsidRDefault="00694C0F">
      <w:pPr>
        <w:pStyle w:val="Definition-Field2"/>
      </w:pPr>
      <w:r>
        <w:t>Excel limits the occurrences of this element to 2147483647.</w:t>
      </w:r>
    </w:p>
    <w:p w:rsidR="00024C0A" w:rsidRDefault="00694C0F">
      <w:pPr>
        <w:pStyle w:val="Heading3"/>
      </w:pPr>
      <w:bookmarkStart w:id="1235" w:name="section_ba8574f369804425b7e366b533340783"/>
      <w:bookmarkStart w:id="1236" w:name="_Toc12260678"/>
      <w:r>
        <w:t>Part 1 Section 18.3.1.28, dataBar (Data Bar)</w:t>
      </w:r>
      <w:bookmarkEnd w:id="1235"/>
      <w:bookmarkEnd w:id="1236"/>
      <w:r>
        <w:fldChar w:fldCharType="begin"/>
      </w:r>
      <w:r>
        <w:instrText xml:space="preserve"> XE "dataBar (Data Bar)" </w:instrText>
      </w:r>
      <w:r>
        <w:fldChar w:fldCharType="end"/>
      </w:r>
    </w:p>
    <w:p w:rsidR="00024C0A" w:rsidRDefault="00694C0F">
      <w:pPr>
        <w:pStyle w:val="Definition-Field"/>
      </w:pPr>
      <w:r>
        <w:t xml:space="preserve">a.   </w:t>
      </w:r>
      <w:r>
        <w:rPr>
          <w:i/>
        </w:rPr>
        <w:t>The standard states that the values of the maxLength attribute are defined by the XML Schema uns</w:t>
      </w:r>
      <w:r>
        <w:rPr>
          <w:i/>
        </w:rPr>
        <w:t>ignedInt datatype.</w:t>
      </w:r>
    </w:p>
    <w:p w:rsidR="00024C0A" w:rsidRDefault="00694C0F">
      <w:pPr>
        <w:pStyle w:val="Definition-Field2"/>
      </w:pPr>
      <w:r>
        <w:t>Excel restricts the value of this attribute to be at most 100.</w:t>
      </w:r>
    </w:p>
    <w:p w:rsidR="00024C0A" w:rsidRDefault="00694C0F">
      <w:pPr>
        <w:pStyle w:val="Definition-Field"/>
      </w:pPr>
      <w:r>
        <w:t xml:space="preserve">b.   </w:t>
      </w:r>
      <w:r>
        <w:rPr>
          <w:i/>
        </w:rPr>
        <w:t>The standard states that the values of the minLength attribute are defined by the XML Schema unsignedInt datatype.</w:t>
      </w:r>
    </w:p>
    <w:p w:rsidR="00024C0A" w:rsidRDefault="00694C0F">
      <w:pPr>
        <w:pStyle w:val="Definition-Field2"/>
      </w:pPr>
      <w:r>
        <w:t xml:space="preserve">Excel restricts the value of this attribute to be at </w:t>
      </w:r>
      <w:r>
        <w:t>most 100.</w:t>
      </w:r>
    </w:p>
    <w:p w:rsidR="00024C0A" w:rsidRDefault="00694C0F">
      <w:pPr>
        <w:pStyle w:val="Heading3"/>
      </w:pPr>
      <w:bookmarkStart w:id="1237" w:name="section_387d25855753451ca29b686ce0a01acc"/>
      <w:bookmarkStart w:id="1238" w:name="_Toc12260679"/>
      <w:r>
        <w:t>Part 1 Section 18.3.1.29, dataConsolidate (Data Consolidate)</w:t>
      </w:r>
      <w:bookmarkEnd w:id="1237"/>
      <w:bookmarkEnd w:id="1238"/>
      <w:r>
        <w:fldChar w:fldCharType="begin"/>
      </w:r>
      <w:r>
        <w:instrText xml:space="preserve"> XE "dataConsolidate (Data Consolidate)" </w:instrText>
      </w:r>
      <w:r>
        <w:fldChar w:fldCharType="end"/>
      </w:r>
    </w:p>
    <w:p w:rsidR="00024C0A" w:rsidRDefault="00694C0F">
      <w:pPr>
        <w:pStyle w:val="Definition-Field"/>
      </w:pPr>
      <w:r>
        <w:t xml:space="preserve">a.   </w:t>
      </w:r>
      <w:r>
        <w:rPr>
          <w:i/>
        </w:rPr>
        <w:t>The standard states that startLabels is an attribute</w:t>
      </w:r>
    </w:p>
    <w:p w:rsidR="00024C0A" w:rsidRDefault="00694C0F">
      <w:pPr>
        <w:pStyle w:val="Definition-Field2"/>
      </w:pPr>
      <w:r>
        <w:t>Excel uses leftLabels instead of startLabels</w:t>
      </w:r>
    </w:p>
    <w:p w:rsidR="00024C0A" w:rsidRDefault="00694C0F">
      <w:pPr>
        <w:pStyle w:val="Heading3"/>
      </w:pPr>
      <w:bookmarkStart w:id="1239" w:name="section_0114969a4859443eae3e0c1fdebfcc64"/>
      <w:bookmarkStart w:id="1240" w:name="_Toc12260680"/>
      <w:r>
        <w:lastRenderedPageBreak/>
        <w:t>Part 1 Section 18.3.1.32, dataValidatio</w:t>
      </w:r>
      <w:r>
        <w:t>n (Data Validation)</w:t>
      </w:r>
      <w:bookmarkEnd w:id="1239"/>
      <w:bookmarkEnd w:id="1240"/>
      <w:r>
        <w:fldChar w:fldCharType="begin"/>
      </w:r>
      <w:r>
        <w:instrText xml:space="preserve"> XE "dataValidation (Data Validation)" </w:instrText>
      </w:r>
      <w:r>
        <w:fldChar w:fldCharType="end"/>
      </w:r>
    </w:p>
    <w:p w:rsidR="00024C0A" w:rsidRDefault="00694C0F">
      <w:pPr>
        <w:pStyle w:val="Definition-Field"/>
      </w:pPr>
      <w:r>
        <w:t xml:space="preserve">a.   </w:t>
      </w:r>
      <w:r>
        <w:rPr>
          <w:i/>
        </w:rPr>
        <w:t>The standard does not limit the length of the value of the prompt attribute.</w:t>
      </w:r>
    </w:p>
    <w:p w:rsidR="00024C0A" w:rsidRDefault="00694C0F">
      <w:pPr>
        <w:pStyle w:val="Definition-Field2"/>
      </w:pPr>
      <w:r>
        <w:t>Excel restricts the value of this attribute to be at most 255 characters, after decoding.</w:t>
      </w:r>
    </w:p>
    <w:p w:rsidR="00024C0A" w:rsidRDefault="00694C0F">
      <w:pPr>
        <w:pStyle w:val="Definition-Field"/>
      </w:pPr>
      <w:r>
        <w:t xml:space="preserve">b.   </w:t>
      </w:r>
      <w:r>
        <w:rPr>
          <w:i/>
        </w:rPr>
        <w:t>The standard state</w:t>
      </w:r>
      <w:r>
        <w:rPr>
          <w:i/>
        </w:rPr>
        <w:t>s that the possible values for @sqref are defined by ST_Sqref simple type.</w:t>
      </w:r>
    </w:p>
    <w:p w:rsidR="00024C0A" w:rsidRDefault="00694C0F">
      <w:pPr>
        <w:pStyle w:val="Definition-Field2"/>
      </w:pPr>
      <w:r>
        <w:t>Office limits the number of references in @sqref to be between 1 and 32767 inclusive.</w:t>
      </w:r>
    </w:p>
    <w:p w:rsidR="00024C0A" w:rsidRDefault="00694C0F">
      <w:pPr>
        <w:pStyle w:val="Definition-Field"/>
      </w:pPr>
      <w:r>
        <w:t xml:space="preserve">c.   </w:t>
      </w:r>
      <w:r>
        <w:rPr>
          <w:i/>
        </w:rPr>
        <w:t>The standard does not restrict the value of the error attribute.</w:t>
      </w:r>
    </w:p>
    <w:p w:rsidR="00024C0A" w:rsidRDefault="00694C0F">
      <w:pPr>
        <w:pStyle w:val="Definition-Field2"/>
      </w:pPr>
      <w:r>
        <w:t>Office restricts the leng</w:t>
      </w:r>
      <w:r>
        <w:t>th of the value of the error attribute to 224 characters.</w:t>
      </w:r>
    </w:p>
    <w:p w:rsidR="00024C0A" w:rsidRDefault="00694C0F">
      <w:pPr>
        <w:pStyle w:val="Definition-Field"/>
      </w:pPr>
      <w:r>
        <w:t xml:space="preserve">d.   </w:t>
      </w:r>
      <w:r>
        <w:rPr>
          <w:i/>
        </w:rPr>
        <w:t>The standard does not limit the length of the value of the errorTitle attribute.</w:t>
      </w:r>
    </w:p>
    <w:p w:rsidR="00024C0A" w:rsidRDefault="00694C0F">
      <w:pPr>
        <w:pStyle w:val="Definition-Field2"/>
      </w:pPr>
      <w:r>
        <w:t>Office limits the length of the value of the errorTitle attribute to 32 characters.</w:t>
      </w:r>
    </w:p>
    <w:p w:rsidR="00024C0A" w:rsidRDefault="00694C0F">
      <w:pPr>
        <w:pStyle w:val="Definition-Field"/>
      </w:pPr>
      <w:r>
        <w:t xml:space="preserve">e.   </w:t>
      </w:r>
      <w:r>
        <w:rPr>
          <w:i/>
        </w:rPr>
        <w:t>The standard states tha</w:t>
      </w:r>
      <w:r>
        <w:rPr>
          <w:i/>
        </w:rPr>
        <w:t>t there is no limit on length of the promptTitle attribute value.</w:t>
      </w:r>
    </w:p>
    <w:p w:rsidR="00024C0A" w:rsidRDefault="00694C0F">
      <w:pPr>
        <w:pStyle w:val="Definition-Field2"/>
      </w:pPr>
      <w:r>
        <w:t>Office limits the length of the promptTitle attribute value to 32 characters.</w:t>
      </w:r>
    </w:p>
    <w:p w:rsidR="00024C0A" w:rsidRDefault="00694C0F">
      <w:pPr>
        <w:pStyle w:val="Heading3"/>
      </w:pPr>
      <w:bookmarkStart w:id="1241" w:name="section_0e5b9bebd59d45c5be218c82c275c705"/>
      <w:bookmarkStart w:id="1242" w:name="_Toc12260681"/>
      <w:r>
        <w:t>Part 1 Section 18.3.1.33, dataValidations (Data Validations)</w:t>
      </w:r>
      <w:bookmarkEnd w:id="1241"/>
      <w:bookmarkEnd w:id="1242"/>
      <w:r>
        <w:fldChar w:fldCharType="begin"/>
      </w:r>
      <w:r>
        <w:instrText xml:space="preserve"> XE "dataValidations (Data Validations)" </w:instrText>
      </w:r>
      <w:r>
        <w:fldChar w:fldCharType="end"/>
      </w:r>
    </w:p>
    <w:p w:rsidR="00024C0A" w:rsidRDefault="00694C0F">
      <w:pPr>
        <w:pStyle w:val="Definition-Field"/>
      </w:pPr>
      <w:r>
        <w:t xml:space="preserve">a.   </w:t>
      </w:r>
      <w:r>
        <w:rPr>
          <w:i/>
        </w:rPr>
        <w:t>The</w:t>
      </w:r>
      <w:r>
        <w:rPr>
          <w:i/>
        </w:rPr>
        <w:t xml:space="preserve"> standard states that the values of the xWindow attribute are defined by the XML Schema unsignedInt datatype.</w:t>
      </w:r>
    </w:p>
    <w:p w:rsidR="00024C0A" w:rsidRDefault="00694C0F">
      <w:pPr>
        <w:pStyle w:val="Definition-Field2"/>
      </w:pPr>
      <w:r>
        <w:t>Excel restricts the value of this attribute to be at most 65535.</w:t>
      </w:r>
    </w:p>
    <w:p w:rsidR="00024C0A" w:rsidRDefault="00694C0F">
      <w:pPr>
        <w:pStyle w:val="Definition-Field"/>
      </w:pPr>
      <w:r>
        <w:t xml:space="preserve">b.   </w:t>
      </w:r>
      <w:r>
        <w:rPr>
          <w:i/>
        </w:rPr>
        <w:t xml:space="preserve">The standard states that the values of the count attribute are defined by </w:t>
      </w:r>
      <w:r>
        <w:rPr>
          <w:i/>
        </w:rPr>
        <w:t>the XML Schema unsignedInt datatype.</w:t>
      </w:r>
    </w:p>
    <w:p w:rsidR="00024C0A" w:rsidRDefault="00694C0F">
      <w:pPr>
        <w:pStyle w:val="Definition-Field2"/>
      </w:pPr>
      <w:r>
        <w:t>Excel restricts the value of this attribute to be at most 65534.</w:t>
      </w:r>
    </w:p>
    <w:p w:rsidR="00024C0A" w:rsidRDefault="00694C0F">
      <w:pPr>
        <w:pStyle w:val="Definition-Field"/>
      </w:pPr>
      <w:r>
        <w:t xml:space="preserve">c.   </w:t>
      </w:r>
      <w:r>
        <w:rPr>
          <w:i/>
        </w:rPr>
        <w:t>The standard states that the values of the yWindow attribute are defined by the XML Schema unsignedInt datatype.</w:t>
      </w:r>
    </w:p>
    <w:p w:rsidR="00024C0A" w:rsidRDefault="00694C0F">
      <w:pPr>
        <w:pStyle w:val="Definition-Field2"/>
      </w:pPr>
      <w:r>
        <w:t>Excel restricts the value of this at</w:t>
      </w:r>
      <w:r>
        <w:t>tribute to be at most 65535.</w:t>
      </w:r>
    </w:p>
    <w:p w:rsidR="00024C0A" w:rsidRDefault="00694C0F">
      <w:pPr>
        <w:pStyle w:val="Definition-Field"/>
      </w:pPr>
      <w:r>
        <w:t xml:space="preserve">d.   </w:t>
      </w:r>
      <w:r>
        <w:rPr>
          <w:i/>
        </w:rPr>
        <w:t>The standard does not specify a default value for the xWindow attribute.</w:t>
      </w:r>
    </w:p>
    <w:p w:rsidR="00024C0A" w:rsidRDefault="00694C0F">
      <w:pPr>
        <w:pStyle w:val="Definition-Field2"/>
      </w:pPr>
      <w:r>
        <w:t>Excel uses a default value of 0 for this attribute.</w:t>
      </w:r>
    </w:p>
    <w:p w:rsidR="00024C0A" w:rsidRDefault="00694C0F">
      <w:pPr>
        <w:pStyle w:val="Definition-Field"/>
      </w:pPr>
      <w:r>
        <w:t xml:space="preserve">e.   </w:t>
      </w:r>
      <w:r>
        <w:rPr>
          <w:i/>
        </w:rPr>
        <w:t>The standard does not specify a default value for the yWindow attribute.</w:t>
      </w:r>
    </w:p>
    <w:p w:rsidR="00024C0A" w:rsidRDefault="00694C0F">
      <w:pPr>
        <w:pStyle w:val="Definition-Field2"/>
      </w:pPr>
      <w:r>
        <w:t>Excel uses a defaul</w:t>
      </w:r>
      <w:r>
        <w:t>t value of 0 for this attribute.</w:t>
      </w:r>
    </w:p>
    <w:p w:rsidR="00024C0A" w:rsidRDefault="00694C0F">
      <w:pPr>
        <w:pStyle w:val="Definition-Field"/>
      </w:pPr>
      <w:r>
        <w:t xml:space="preserve">f.   </w:t>
      </w:r>
      <w:r>
        <w:rPr>
          <w:i/>
        </w:rPr>
        <w:t>The standard does not specify a default value for the count attribute.</w:t>
      </w:r>
    </w:p>
    <w:p w:rsidR="00024C0A" w:rsidRDefault="00694C0F">
      <w:pPr>
        <w:pStyle w:val="Definition-Field2"/>
      </w:pPr>
      <w:r>
        <w:t>Excel uses a default value of 0 for this attribute.</w:t>
      </w:r>
    </w:p>
    <w:p w:rsidR="00024C0A" w:rsidRDefault="00694C0F">
      <w:pPr>
        <w:pStyle w:val="Definition-Field"/>
      </w:pPr>
      <w:r>
        <w:t xml:space="preserve">g.   </w:t>
      </w:r>
      <w:r>
        <w:rPr>
          <w:i/>
        </w:rPr>
        <w:t>The standard states that the maxOccurs value for the dataValidation child element is unbou</w:t>
      </w:r>
      <w:r>
        <w:rPr>
          <w:i/>
        </w:rPr>
        <w:t>nded.</w:t>
      </w:r>
    </w:p>
    <w:p w:rsidR="00024C0A" w:rsidRDefault="00694C0F">
      <w:pPr>
        <w:pStyle w:val="Definition-Field2"/>
      </w:pPr>
      <w:r>
        <w:t>Excel limits the occurrences of this element to 65534.</w:t>
      </w:r>
    </w:p>
    <w:p w:rsidR="00024C0A" w:rsidRDefault="00694C0F">
      <w:pPr>
        <w:pStyle w:val="Heading3"/>
      </w:pPr>
      <w:bookmarkStart w:id="1243" w:name="section_40af1ca11a054f24aad1190f60d7965e"/>
      <w:bookmarkStart w:id="1244" w:name="_Toc12260682"/>
      <w:r>
        <w:t>Part 1 Section 18.3.1.34, dialogsheet (Dialog Sheet)</w:t>
      </w:r>
      <w:bookmarkEnd w:id="1243"/>
      <w:bookmarkEnd w:id="1244"/>
      <w:r>
        <w:fldChar w:fldCharType="begin"/>
      </w:r>
      <w:r>
        <w:instrText xml:space="preserve"> XE "dialogsheet (Dialog Sheet)" </w:instrText>
      </w:r>
      <w:r>
        <w:fldChar w:fldCharType="end"/>
      </w:r>
    </w:p>
    <w:p w:rsidR="00024C0A" w:rsidRDefault="00694C0F">
      <w:pPr>
        <w:pStyle w:val="Definition-Field"/>
      </w:pPr>
      <w:r>
        <w:t xml:space="preserve">a.   </w:t>
      </w:r>
      <w:r>
        <w:rPr>
          <w:i/>
        </w:rPr>
        <w:t>The standard states that the drawing element is specified in CT_Dialogsheet.</w:t>
      </w:r>
    </w:p>
    <w:p w:rsidR="00024C0A" w:rsidRDefault="00694C0F">
      <w:pPr>
        <w:pStyle w:val="Definition-Field2"/>
      </w:pPr>
      <w:r>
        <w:t>Office never saves the dr</w:t>
      </w:r>
      <w:r>
        <w:t>awing element.</w:t>
      </w:r>
    </w:p>
    <w:p w:rsidR="00024C0A" w:rsidRDefault="00694C0F">
      <w:pPr>
        <w:pStyle w:val="Definition-Field"/>
      </w:pPr>
      <w:r>
        <w:lastRenderedPageBreak/>
        <w:t xml:space="preserve">b.   </w:t>
      </w:r>
      <w:r>
        <w:rPr>
          <w:i/>
        </w:rPr>
        <w:t>The standard states that the minOccurs value for the legacyDrawing child element is 0.</w:t>
      </w:r>
    </w:p>
    <w:p w:rsidR="00024C0A" w:rsidRDefault="00694C0F">
      <w:pPr>
        <w:pStyle w:val="Definition-Field2"/>
      </w:pPr>
      <w:r>
        <w:t>Excel requires an occurrence of this element.</w:t>
      </w:r>
    </w:p>
    <w:p w:rsidR="00024C0A" w:rsidRDefault="00694C0F">
      <w:pPr>
        <w:pStyle w:val="Definition-Field"/>
      </w:pPr>
      <w:r>
        <w:t xml:space="preserve">c.   </w:t>
      </w:r>
      <w:r>
        <w:rPr>
          <w:i/>
        </w:rPr>
        <w:t>The standard specifies that the drawingHF element is a valid child element of the dialogsheet elem</w:t>
      </w:r>
      <w:r>
        <w:rPr>
          <w:i/>
        </w:rPr>
        <w:t>ent.</w:t>
      </w:r>
    </w:p>
    <w:p w:rsidR="00024C0A" w:rsidRDefault="00694C0F">
      <w:pPr>
        <w:pStyle w:val="Definition-Field2"/>
      </w:pPr>
      <w:r>
        <w:t>Excel ignores the drawingHF element.</w:t>
      </w:r>
    </w:p>
    <w:p w:rsidR="00024C0A" w:rsidRDefault="00694C0F">
      <w:pPr>
        <w:pStyle w:val="Heading3"/>
      </w:pPr>
      <w:bookmarkStart w:id="1245" w:name="section_efcc9c90877d48d4947f5194629db949"/>
      <w:bookmarkStart w:id="1246" w:name="_Toc12260683"/>
      <w:r>
        <w:t>Part 1 Section 18.3.1.36, drawing (Drawing)</w:t>
      </w:r>
      <w:bookmarkEnd w:id="1245"/>
      <w:bookmarkEnd w:id="1246"/>
      <w:r>
        <w:fldChar w:fldCharType="begin"/>
      </w:r>
      <w:r>
        <w:instrText xml:space="preserve"> XE "drawing (Drawing)"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40af1ca11a054f24aad1190f60d7965e">
        <w:r>
          <w:rPr>
            <w:rStyle w:val="Hyperlink"/>
          </w:rPr>
          <w:t>dialogsheet, §18.3.1.34(a)</w:t>
        </w:r>
      </w:hyperlink>
      <w:r>
        <w:rPr>
          <w:i/>
        </w:rPr>
        <w:t>.</w:t>
      </w:r>
    </w:p>
    <w:p w:rsidR="00024C0A" w:rsidRDefault="00694C0F">
      <w:pPr>
        <w:pStyle w:val="Heading3"/>
      </w:pPr>
      <w:bookmarkStart w:id="1247" w:name="section_654ae6202cb44d9caa31e2ae86f121fc"/>
      <w:bookmarkStart w:id="1248" w:name="_Toc12260684"/>
      <w:r>
        <w:t>Part 1 Section 18.3.1.37, drawingHF (Drawing Reference in Header Footer)</w:t>
      </w:r>
      <w:bookmarkEnd w:id="1247"/>
      <w:bookmarkEnd w:id="1248"/>
      <w:r>
        <w:fldChar w:fldCharType="begin"/>
      </w:r>
      <w:r>
        <w:instrText xml:space="preserve"> XE "drawingHF (Drawing Reference in Header Footer)" </w:instrText>
      </w:r>
      <w:r>
        <w:fldChar w:fldCharType="end"/>
      </w:r>
    </w:p>
    <w:p w:rsidR="00024C0A" w:rsidRDefault="00694C0F">
      <w:pPr>
        <w:pStyle w:val="Definition-Field"/>
      </w:pPr>
      <w:r>
        <w:t xml:space="preserve">a.   </w:t>
      </w:r>
      <w:r>
        <w:rPr>
          <w:i/>
        </w:rPr>
        <w:t>The standard specifies the drawing</w:t>
      </w:r>
      <w:r>
        <w:rPr>
          <w:i/>
        </w:rPr>
        <w:t>HF element.</w:t>
      </w:r>
    </w:p>
    <w:p w:rsidR="00024C0A" w:rsidRDefault="00694C0F">
      <w:pPr>
        <w:pStyle w:val="Definition-Field2"/>
      </w:pPr>
      <w:r>
        <w:t>Excel will ignore the drawingHF element.</w:t>
      </w:r>
    </w:p>
    <w:p w:rsidR="00024C0A" w:rsidRDefault="00694C0F">
      <w:pPr>
        <w:pStyle w:val="Heading3"/>
      </w:pPr>
      <w:bookmarkStart w:id="1249" w:name="section_7843ab18de4c4bf18c84b20a414d6e4f"/>
      <w:bookmarkStart w:id="1250" w:name="_Toc12260685"/>
      <w:r>
        <w:t>Part 1 Section 18.3.1.38, evenFooter (Even Page Footer)</w:t>
      </w:r>
      <w:bookmarkEnd w:id="1249"/>
      <w:bookmarkEnd w:id="1250"/>
      <w:r>
        <w:fldChar w:fldCharType="begin"/>
      </w:r>
      <w:r>
        <w:instrText xml:space="preserve"> XE "evenFooter (Even Page Footer)" </w:instrText>
      </w:r>
      <w:r>
        <w:fldChar w:fldCharType="end"/>
      </w:r>
    </w:p>
    <w:p w:rsidR="00024C0A" w:rsidRDefault="00694C0F">
      <w:pPr>
        <w:pStyle w:val="Definition-Field"/>
      </w:pPr>
      <w:r>
        <w:t xml:space="preserve">a.   </w:t>
      </w:r>
      <w:r>
        <w:rPr>
          <w:i/>
        </w:rPr>
        <w:t>The standard states that if no evenFooter is specified, then the oddFooter is used.</w:t>
      </w:r>
    </w:p>
    <w:p w:rsidR="00024C0A" w:rsidRDefault="00694C0F">
      <w:pPr>
        <w:pStyle w:val="Definition-Field2"/>
      </w:pPr>
      <w:r>
        <w:t>In Office, oddFooter</w:t>
      </w:r>
      <w:r>
        <w:t xml:space="preserve"> is used only when headerFooter@differentOddEven equals false.</w:t>
      </w:r>
    </w:p>
    <w:p w:rsidR="00024C0A" w:rsidRDefault="00694C0F">
      <w:pPr>
        <w:pStyle w:val="Definition-Field"/>
      </w:pPr>
      <w:r>
        <w:t xml:space="preserve">b.   </w:t>
      </w:r>
      <w:r>
        <w:rPr>
          <w:i/>
        </w:rPr>
        <w:t>The standard does not limit the length of the value of this element.</w:t>
      </w:r>
    </w:p>
    <w:p w:rsidR="00024C0A" w:rsidRDefault="00694C0F">
      <w:pPr>
        <w:pStyle w:val="Definition-Field2"/>
      </w:pPr>
      <w:r>
        <w:t>Excel restricts the value of this element to be at most 255 characters.</w:t>
      </w:r>
    </w:p>
    <w:p w:rsidR="00024C0A" w:rsidRDefault="00694C0F">
      <w:pPr>
        <w:pStyle w:val="Definition-Field"/>
      </w:pPr>
      <w:r>
        <w:t xml:space="preserve">c.   </w:t>
      </w:r>
      <w:r>
        <w:rPr>
          <w:i/>
        </w:rPr>
        <w:t xml:space="preserve">The standard makes no mention of an </w:t>
      </w:r>
      <w:r>
        <w:rPr>
          <w:i/>
        </w:rPr>
        <w:t>xml:space attribute.</w:t>
      </w:r>
    </w:p>
    <w:p w:rsidR="00024C0A" w:rsidRDefault="00694C0F">
      <w:pPr>
        <w:pStyle w:val="Definition-Field2"/>
      </w:pPr>
      <w:r>
        <w:t>Excel uses this attribute to specify, using the W3C space preservation rules, how white space should be handled for the element's contents; its allowed values are defined by the XML 1.0 specification.</w:t>
      </w:r>
    </w:p>
    <w:p w:rsidR="00024C0A" w:rsidRDefault="00694C0F">
      <w:pPr>
        <w:pStyle w:val="Heading3"/>
      </w:pPr>
      <w:bookmarkStart w:id="1251" w:name="section_c167a24345ad4def816e7032fb1adf5c"/>
      <w:bookmarkStart w:id="1252" w:name="_Toc12260686"/>
      <w:r>
        <w:t>Part 1 Section 18.3.1.39, evenHead</w:t>
      </w:r>
      <w:r>
        <w:t>er (Even Page Header)</w:t>
      </w:r>
      <w:bookmarkEnd w:id="1251"/>
      <w:bookmarkEnd w:id="1252"/>
      <w:r>
        <w:fldChar w:fldCharType="begin"/>
      </w:r>
      <w:r>
        <w:instrText xml:space="preserve"> XE "evenHeader (Even Page Header)" </w:instrText>
      </w:r>
      <w:r>
        <w:fldChar w:fldCharType="end"/>
      </w:r>
    </w:p>
    <w:p w:rsidR="00024C0A" w:rsidRDefault="00694C0F">
      <w:pPr>
        <w:pStyle w:val="Definition-Field"/>
      </w:pPr>
      <w:r>
        <w:t xml:space="preserve">a.   </w:t>
      </w:r>
      <w:r>
        <w:rPr>
          <w:i/>
        </w:rPr>
        <w:t>The standard states that if no evenHeader is specified, then the oddHeader is used.</w:t>
      </w:r>
    </w:p>
    <w:p w:rsidR="00024C0A" w:rsidRDefault="00694C0F">
      <w:pPr>
        <w:pStyle w:val="Definition-Field2"/>
      </w:pPr>
      <w:r>
        <w:t>In Office, oddHeader is used only when headerFooter@differentOddEven equals false.</w:t>
      </w:r>
    </w:p>
    <w:p w:rsidR="00024C0A" w:rsidRDefault="00694C0F">
      <w:pPr>
        <w:pStyle w:val="Definition-Field"/>
      </w:pPr>
      <w:r>
        <w:t xml:space="preserve">b.   </w:t>
      </w:r>
      <w:r>
        <w:rPr>
          <w:i/>
        </w:rPr>
        <w:t>The standard does n</w:t>
      </w:r>
      <w:r>
        <w:rPr>
          <w:i/>
        </w:rPr>
        <w:t>ot specify formatting codes in ABNF format.</w:t>
      </w:r>
    </w:p>
    <w:p w:rsidR="00024C0A" w:rsidRDefault="00694C0F">
      <w:r>
        <w:t>Office uses the following ABNF formatting codes to describe header and footer formatting:</w:t>
      </w:r>
    </w:p>
    <w:p w:rsidR="00024C0A" w:rsidRDefault="00694C0F">
      <w:r>
        <w:t xml:space="preserve">headerfooter = *(left / pagenum / pagetotal / fontsize / strikethrough / superscript / subscript / center / date / time / </w:t>
      </w:r>
      <w:r>
        <w:t>filepath / picture / underline / doubleunderline / right / bookpath / sheetname / fontname / fonttype / font / bold / italic / ampersand / emptytoken / UNICHAR)</w:t>
      </w:r>
    </w:p>
    <w:p w:rsidR="00024C0A" w:rsidRDefault="00694C0F">
      <w:r>
        <w:t>UNICHAR = %x0020-FFFF</w:t>
      </w:r>
    </w:p>
    <w:p w:rsidR="00024C0A" w:rsidRDefault="00694C0F">
      <w:r>
        <w:t>This code specifies Unicode characters, starting with the space character</w:t>
      </w:r>
      <w:r>
        <w:t xml:space="preserve"> (%x0020).</w:t>
      </w:r>
    </w:p>
    <w:p w:rsidR="00024C0A" w:rsidRDefault="00694C0F">
      <w:r>
        <w:t>DIGIT = %x0030-0039</w:t>
      </w:r>
    </w:p>
    <w:p w:rsidR="00024C0A" w:rsidRDefault="00694C0F">
      <w:r>
        <w:t>This code specifies a digit between 0 and 9.</w:t>
      </w:r>
    </w:p>
    <w:p w:rsidR="00024C0A" w:rsidRDefault="00694C0F">
      <w:r>
        <w:lastRenderedPageBreak/>
        <w:t>HEXALPHA = %x0041-0046 / %x0061-0066</w:t>
      </w:r>
    </w:p>
    <w:p w:rsidR="00024C0A" w:rsidRDefault="00694C0F">
      <w:r>
        <w:t>This code specifies a character between A and F or between a and f.</w:t>
      </w:r>
    </w:p>
    <w:p w:rsidR="00024C0A" w:rsidRDefault="00694C0F">
      <w:r>
        <w:t>DQUOTE = %x0022</w:t>
      </w:r>
    </w:p>
    <w:p w:rsidR="00024C0A" w:rsidRDefault="00694C0F">
      <w:r>
        <w:t>This code specifies a double quotation mark.</w:t>
      </w:r>
    </w:p>
    <w:p w:rsidR="00024C0A" w:rsidRDefault="00694C0F">
      <w:r>
        <w:t>left = "&amp;L"</w:t>
      </w:r>
    </w:p>
    <w:p w:rsidR="00024C0A" w:rsidRDefault="00694C0F">
      <w:r>
        <w:t>Th</w:t>
      </w:r>
      <w:r>
        <w:t xml:space="preserve">is code specifies the beginning of the left section. There are three header and footer sections: left, center, and right. When two or more of this section marker exist, the contents from All markers are concatenated, in the order of appearance, and placed </w:t>
      </w:r>
      <w:r>
        <w:t>into the left section.</w:t>
      </w:r>
    </w:p>
    <w:p w:rsidR="00024C0A" w:rsidRDefault="00694C0F">
      <w:r>
        <w:t>pagenum = "&amp;P"</w:t>
      </w:r>
    </w:p>
    <w:p w:rsidR="00024C0A" w:rsidRDefault="00694C0F">
      <w:r>
        <w:t>This code specifies the current page number.</w:t>
      </w:r>
    </w:p>
    <w:p w:rsidR="00024C0A" w:rsidRDefault="00694C0F">
      <w:r>
        <w:t>pagetotal = "&amp;N" 0*1(("-" / "+") *DIGIT)</w:t>
      </w:r>
    </w:p>
    <w:p w:rsidR="00024C0A" w:rsidRDefault="00694C0F">
      <w:r>
        <w:t>This code specifies the total number of pages.</w:t>
      </w:r>
    </w:p>
    <w:p w:rsidR="00024C0A" w:rsidRDefault="00694C0F">
      <w:r>
        <w:t>fontsize = "&amp;" 1*3DIGIT</w:t>
      </w:r>
    </w:p>
    <w:p w:rsidR="00024C0A" w:rsidRDefault="00694C0F">
      <w:r>
        <w:t>This code specifies the text font size, where font size is me</w:t>
      </w:r>
      <w:r>
        <w:t>asured in points.</w:t>
      </w:r>
    </w:p>
    <w:p w:rsidR="00024C0A" w:rsidRDefault="00694C0F">
      <w:r>
        <w:t>strikethrough = "&amp;S"</w:t>
      </w:r>
    </w:p>
    <w:p w:rsidR="00024C0A" w:rsidRDefault="00694C0F">
      <w:r>
        <w:t>This code specifies whether the strikethrough text style is on or off. The first occurrence of this code must turn the strikethrough text style on, and the second occurrence must turn it off.</w:t>
      </w:r>
    </w:p>
    <w:p w:rsidR="00024C0A" w:rsidRDefault="00694C0F">
      <w:r>
        <w:t>superscript = "&amp;X"</w:t>
      </w:r>
    </w:p>
    <w:p w:rsidR="00024C0A" w:rsidRDefault="00694C0F">
      <w:r>
        <w:t xml:space="preserve">This </w:t>
      </w:r>
      <w:r>
        <w:t xml:space="preserve">code specifies whether the superscript text style is on or off. The first occurrence of this code must turn the superscript text style on, and the second occurrence must turn it off. The superscript and subscript codes must not both be on at same time. If </w:t>
      </w:r>
      <w:r>
        <w:t>both codes occur in the string, the code that occurs first is applied and the other is ignored.</w:t>
      </w:r>
    </w:p>
    <w:p w:rsidR="00024C0A" w:rsidRDefault="00694C0F">
      <w:r>
        <w:t>subscript = "&amp;Y"</w:t>
      </w:r>
    </w:p>
    <w:p w:rsidR="00024C0A" w:rsidRDefault="00694C0F">
      <w:r>
        <w:t>This code specifies whether the subscript text style is on or off. The first occurrence of this code must turn the subscript text style on, and</w:t>
      </w:r>
      <w:r>
        <w:t xml:space="preserve"> the second occurrence must turn it off. The superscript and subscript codes must not both be on at same time. If both codes occur in the string, the code that occurs first is applied and the other is ignored.</w:t>
      </w:r>
    </w:p>
    <w:p w:rsidR="00024C0A" w:rsidRDefault="00694C0F">
      <w:r>
        <w:t>center = "&amp;C"</w:t>
      </w:r>
    </w:p>
    <w:p w:rsidR="00024C0A" w:rsidRDefault="00694C0F">
      <w:r>
        <w:t xml:space="preserve">This code specifies the </w:t>
      </w:r>
      <w:r>
        <w:t>beginning of the center section. When two or more of this section marker exist, the contents from All markers are concatenated, in the order of appearance, and placed into the center section.</w:t>
      </w:r>
    </w:p>
    <w:p w:rsidR="00024C0A" w:rsidRDefault="00694C0F">
      <w:r>
        <w:t>date = "&amp;D"</w:t>
      </w:r>
    </w:p>
    <w:p w:rsidR="00024C0A" w:rsidRDefault="00694C0F">
      <w:r>
        <w:t>This code specifies a date.</w:t>
      </w:r>
    </w:p>
    <w:p w:rsidR="00024C0A" w:rsidRDefault="00694C0F">
      <w:r>
        <w:t>time = "&amp;T"</w:t>
      </w:r>
    </w:p>
    <w:p w:rsidR="00024C0A" w:rsidRDefault="00694C0F">
      <w:r>
        <w:t>This code sp</w:t>
      </w:r>
      <w:r>
        <w:t>ecifies a time.</w:t>
      </w:r>
    </w:p>
    <w:p w:rsidR="00024C0A" w:rsidRDefault="00694C0F">
      <w:r>
        <w:t>picture = "&amp;G"</w:t>
      </w:r>
    </w:p>
    <w:p w:rsidR="00024C0A" w:rsidRDefault="00694C0F">
      <w:r>
        <w:t>This code specifies a picture.</w:t>
      </w:r>
    </w:p>
    <w:p w:rsidR="00024C0A" w:rsidRDefault="00694C0F">
      <w:r>
        <w:lastRenderedPageBreak/>
        <w:t>underline = "&amp;U"</w:t>
      </w:r>
    </w:p>
    <w:p w:rsidR="00024C0A" w:rsidRDefault="00694C0F">
      <w:r>
        <w:t>This code specifies whether the single underline text style is on or off. The first occurrence of this code must turn the underline text style on, and the second occurrence must</w:t>
      </w:r>
      <w:r>
        <w:t xml:space="preserve"> turn it off.</w:t>
      </w:r>
    </w:p>
    <w:p w:rsidR="00024C0A" w:rsidRDefault="00694C0F">
      <w:r>
        <w:t>doubleunderline = "&amp;E"</w:t>
      </w:r>
    </w:p>
    <w:p w:rsidR="00024C0A" w:rsidRDefault="00694C0F">
      <w:r>
        <w:t>This code specifies whether the double underline text style is on or off. The first occurrence of this code must turn the double underline text style on, and the second occurrence must turn it off.</w:t>
      </w:r>
    </w:p>
    <w:p w:rsidR="00024C0A" w:rsidRDefault="00694C0F">
      <w:r>
        <w:t>right = "&amp;R"</w:t>
      </w:r>
    </w:p>
    <w:p w:rsidR="00024C0A" w:rsidRDefault="00694C0F">
      <w:r>
        <w:t>This cod</w:t>
      </w:r>
      <w:r>
        <w:t>e specifies the beginning of the right section. When two or more of this section marker exist, the contents from All markers are concatenated, in the order of appearance, and placed into the right section.</w:t>
      </w:r>
    </w:p>
    <w:p w:rsidR="00024C0A" w:rsidRDefault="00694C0F">
      <w:r>
        <w:t>bookpath = "&amp;Z"</w:t>
      </w:r>
    </w:p>
    <w:p w:rsidR="00024C0A" w:rsidRDefault="00694C0F">
      <w:r>
        <w:t>This code specifies a workbook fil</w:t>
      </w:r>
      <w:r>
        <w:t>e path.</w:t>
      </w:r>
    </w:p>
    <w:p w:rsidR="00024C0A" w:rsidRDefault="00694C0F">
      <w:r>
        <w:t>bookname = "&amp;F"</w:t>
      </w:r>
    </w:p>
    <w:p w:rsidR="00024C0A" w:rsidRDefault="00694C0F">
      <w:r>
        <w:t>This code specifies a workbook file name.</w:t>
      </w:r>
    </w:p>
    <w:p w:rsidR="00024C0A" w:rsidRDefault="00694C0F">
      <w:r>
        <w:t>sheetname = "&amp;A"</w:t>
      </w:r>
    </w:p>
    <w:p w:rsidR="00024C0A" w:rsidRDefault="00694C0F">
      <w:r>
        <w:t>This code specifies a worksheet name.</w:t>
      </w:r>
    </w:p>
    <w:p w:rsidR="00024C0A" w:rsidRDefault="00694C0F">
      <w:r>
        <w:t>fontname = (1*UNICHAR / "-")</w:t>
      </w:r>
    </w:p>
    <w:p w:rsidR="00024C0A" w:rsidRDefault="00694C0F">
      <w:r>
        <w:t xml:space="preserve">This code specifies the text font name. When the font name is a hyphen, no font is specified. This can be </w:t>
      </w:r>
      <w:r>
        <w:t xml:space="preserve">a localized string. </w:t>
      </w:r>
    </w:p>
    <w:p w:rsidR="00024C0A" w:rsidRDefault="00694C0F">
      <w:r>
        <w:t>fonttype = ("italic" / "bold" / "regular" / "italic bold" / "bold italic")</w:t>
      </w:r>
    </w:p>
    <w:p w:rsidR="00024C0A" w:rsidRDefault="00694C0F">
      <w:r>
        <w:t xml:space="preserve">This code specifies the text font type. This can be a localized string. </w:t>
      </w:r>
    </w:p>
    <w:p w:rsidR="00024C0A" w:rsidRDefault="00694C0F">
      <w:r>
        <w:t>font = "&amp;" DQUOTE fontname , fonttype DQUOTE</w:t>
      </w:r>
    </w:p>
    <w:p w:rsidR="00024C0A" w:rsidRDefault="00694C0F">
      <w:r>
        <w:t>This code specifies the text font.</w:t>
      </w:r>
    </w:p>
    <w:p w:rsidR="00024C0A" w:rsidRDefault="00694C0F">
      <w:r>
        <w:t xml:space="preserve">bold = </w:t>
      </w:r>
      <w:r>
        <w:t>"&amp;B"</w:t>
      </w:r>
    </w:p>
    <w:p w:rsidR="00024C0A" w:rsidRDefault="00694C0F">
      <w:r>
        <w:t>This code specifies whether the bold text style is on or off. The first occurrence of this code must turn the bold text style on, and the second occurrence must turn it off.</w:t>
      </w:r>
    </w:p>
    <w:p w:rsidR="00024C0A" w:rsidRDefault="00694C0F">
      <w:r>
        <w:t>italic = "&amp;I"</w:t>
      </w:r>
    </w:p>
    <w:p w:rsidR="00024C0A" w:rsidRDefault="00694C0F">
      <w:r>
        <w:t>This code specifies whether the italic text style is on or off.</w:t>
      </w:r>
      <w:r>
        <w:t xml:space="preserve"> The first occurrence of this code must turn the italic text style on, and the second occurrence must turn it off.</w:t>
      </w:r>
    </w:p>
    <w:p w:rsidR="00024C0A" w:rsidRDefault="00694C0F">
      <w:r>
        <w:t>ampersand = "&amp;&amp;"</w:t>
      </w:r>
    </w:p>
    <w:p w:rsidR="00024C0A" w:rsidRDefault="00694C0F">
      <w:r>
        <w:t>This code specifies an ampersand character.</w:t>
      </w:r>
    </w:p>
    <w:p w:rsidR="00024C0A" w:rsidRDefault="00694C0F">
      <w:r>
        <w:t>emptytoken = "&amp;" *1UNICHAR</w:t>
      </w:r>
    </w:p>
    <w:p w:rsidR="00024C0A" w:rsidRDefault="00694C0F">
      <w:r>
        <w:t>This code specifies an unidentified token. If only "&amp;</w:t>
      </w:r>
      <w:r>
        <w:t>" appears, or if there is a UNICHAR specified after "&amp;" and it is not one of the UNICHAR characters listed in the preceding rules, then the token is interpreted as empty and nothing is rendered in the header or footer text.</w:t>
      </w:r>
    </w:p>
    <w:p w:rsidR="00024C0A" w:rsidRDefault="00694C0F">
      <w:pPr>
        <w:pStyle w:val="Definition-Field"/>
      </w:pPr>
      <w:r>
        <w:t xml:space="preserve">c.   </w:t>
      </w:r>
      <w:r>
        <w:rPr>
          <w:i/>
        </w:rPr>
        <w:t>The standard does not limit</w:t>
      </w:r>
      <w:r>
        <w:rPr>
          <w:i/>
        </w:rPr>
        <w:t xml:space="preserve"> the length of the value of this element.</w:t>
      </w:r>
    </w:p>
    <w:p w:rsidR="00024C0A" w:rsidRDefault="00694C0F">
      <w:pPr>
        <w:pStyle w:val="Definition-Field2"/>
      </w:pPr>
      <w:r>
        <w:lastRenderedPageBreak/>
        <w:t>Excel restricts the value of this element to be at most 255 characters.</w:t>
      </w:r>
    </w:p>
    <w:p w:rsidR="00024C0A" w:rsidRDefault="00694C0F">
      <w:pPr>
        <w:pStyle w:val="Definition-Field"/>
      </w:pPr>
      <w:r>
        <w:t xml:space="preserve">d.   </w:t>
      </w:r>
      <w:r>
        <w:rPr>
          <w:i/>
        </w:rPr>
        <w:t>The standard makes no mention of an xml:space attribute.</w:t>
      </w:r>
    </w:p>
    <w:p w:rsidR="00024C0A" w:rsidRDefault="00694C0F">
      <w:pPr>
        <w:pStyle w:val="Definition-Field2"/>
      </w:pPr>
      <w:r>
        <w:t>Excel uses this attribute to specify, using the W3C space preservation rules, ho</w:t>
      </w:r>
      <w:r>
        <w:t>w white space should be handled for the element's contents; its allowed values are defined by the XML 1.0 specification.</w:t>
      </w:r>
    </w:p>
    <w:p w:rsidR="00024C0A" w:rsidRDefault="00694C0F">
      <w:pPr>
        <w:pStyle w:val="Heading3"/>
      </w:pPr>
      <w:bookmarkStart w:id="1253" w:name="section_b5d1f58cb1a14fcdaaa0ee7f4e8af9de"/>
      <w:bookmarkStart w:id="1254" w:name="_Toc12260687"/>
      <w:r>
        <w:t>Part 1 Section 18.3.1.40, f (Formula)</w:t>
      </w:r>
      <w:bookmarkEnd w:id="1253"/>
      <w:bookmarkEnd w:id="1254"/>
      <w:r>
        <w:fldChar w:fldCharType="begin"/>
      </w:r>
      <w:r>
        <w:instrText xml:space="preserve"> XE "f (Formula)" </w:instrText>
      </w:r>
      <w:r>
        <w:fldChar w:fldCharType="end"/>
      </w:r>
    </w:p>
    <w:p w:rsidR="00024C0A" w:rsidRDefault="00694C0F">
      <w:pPr>
        <w:pStyle w:val="Definition-Field"/>
      </w:pPr>
      <w:r>
        <w:t xml:space="preserve">a.   </w:t>
      </w:r>
      <w:r>
        <w:rPr>
          <w:i/>
        </w:rPr>
        <w:t>The standard specifies that any cell in a worksheet may be the input cel</w:t>
      </w:r>
      <w:r>
        <w:rPr>
          <w:i/>
        </w:rPr>
        <w:t>l for a data table.</w:t>
      </w:r>
    </w:p>
    <w:p w:rsidR="00024C0A" w:rsidRDefault="00694C0F">
      <w:pPr>
        <w:pStyle w:val="Definition-Field2"/>
      </w:pPr>
      <w:r>
        <w:t>Office requires that the input cell not belong to the cell range in the ref attribute, the master row or the master column - unless the cell is deleted as specified in attribute del1.</w:t>
      </w:r>
    </w:p>
    <w:p w:rsidR="00024C0A" w:rsidRDefault="00694C0F">
      <w:pPr>
        <w:pStyle w:val="Definition-Field"/>
      </w:pPr>
      <w:r>
        <w:t xml:space="preserve">b.   </w:t>
      </w:r>
      <w:r>
        <w:rPr>
          <w:i/>
        </w:rPr>
        <w:t xml:space="preserve">The standard specifies a bx attribute value of </w:t>
      </w:r>
      <w:r>
        <w:rPr>
          <w:i/>
        </w:rPr>
        <w:t>true causes this formula to assign a value to a name.</w:t>
      </w:r>
    </w:p>
    <w:p w:rsidR="00024C0A" w:rsidRDefault="00694C0F">
      <w:pPr>
        <w:pStyle w:val="Definition-Field2"/>
      </w:pPr>
      <w:r>
        <w:t>Office requires the bx attribute to be always set to false.</w:t>
      </w:r>
    </w:p>
    <w:p w:rsidR="00024C0A" w:rsidRDefault="00694C0F">
      <w:pPr>
        <w:pStyle w:val="Definition-Field"/>
      </w:pPr>
      <w:r>
        <w:t xml:space="preserve">c.   </w:t>
      </w:r>
      <w:r>
        <w:rPr>
          <w:i/>
        </w:rPr>
        <w:t>The standard specifies that attribute del2 applies to data table formulas only.</w:t>
      </w:r>
    </w:p>
    <w:p w:rsidR="00024C0A" w:rsidRDefault="00694C0F">
      <w:pPr>
        <w:pStyle w:val="Definition-Field2"/>
      </w:pPr>
      <w:r>
        <w:t>Office uses attribute del2 for two-dimensional data table</w:t>
      </w:r>
      <w:r>
        <w:t xml:space="preserve"> formulas only.</w:t>
      </w:r>
    </w:p>
    <w:p w:rsidR="00024C0A" w:rsidRDefault="00694C0F">
      <w:pPr>
        <w:pStyle w:val="Definition-Field"/>
      </w:pPr>
      <w:r>
        <w:t xml:space="preserve">d.   </w:t>
      </w:r>
      <w:r>
        <w:rPr>
          <w:i/>
        </w:rPr>
        <w:t>The standard specifies that the top-left cell in the data table is the master cell.</w:t>
      </w:r>
    </w:p>
    <w:p w:rsidR="00024C0A" w:rsidRDefault="00694C0F">
      <w:r>
        <w:t xml:space="preserve">The cell with the smallest row and column in the </w:t>
      </w:r>
      <w:r>
        <w:rPr>
          <w:b/>
        </w:rPr>
        <w:t>ref</w:t>
      </w:r>
      <w:r>
        <w:t xml:space="preserve"> attribute is called the master cell. The single column reference with the column one less than the smallest column in the </w:t>
      </w:r>
      <w:r>
        <w:rPr>
          <w:b/>
        </w:rPr>
        <w:t>ref</w:t>
      </w:r>
      <w:r>
        <w:t xml:space="preserve"> attribute and spanning the same rows as the cell range in the </w:t>
      </w:r>
      <w:r>
        <w:rPr>
          <w:b/>
        </w:rPr>
        <w:t>ref</w:t>
      </w:r>
      <w:r>
        <w:t xml:space="preserve"> attribute is called the master column. The single row reference</w:t>
      </w:r>
      <w:r>
        <w:t xml:space="preserve"> with the row one less than the smallest row in the </w:t>
      </w:r>
      <w:r>
        <w:rPr>
          <w:b/>
        </w:rPr>
        <w:t>ref</w:t>
      </w:r>
      <w:r>
        <w:t xml:space="preserve"> attribute and spanning the same columns as the cell range in the </w:t>
      </w:r>
      <w:r>
        <w:rPr>
          <w:b/>
        </w:rPr>
        <w:t>ref</w:t>
      </w:r>
      <w:r>
        <w:t xml:space="preserve"> attribute is called the master row. The cell with the column and row one less than the master cell is called, the corner cell.</w:t>
      </w:r>
    </w:p>
    <w:p w:rsidR="00024C0A" w:rsidRDefault="00694C0F">
      <w:r>
        <w:t>[Exa</w:t>
      </w:r>
      <w:r>
        <w:t>mple:</w:t>
      </w:r>
    </w:p>
    <w:p w:rsidR="00024C0A" w:rsidRDefault="00694C0F">
      <w:r>
        <w:t xml:space="preserve">The example shows the master cell, row and column, and the corner cell for the data table specified by the </w:t>
      </w:r>
      <w:r>
        <w:rPr>
          <w:b/>
        </w:rPr>
        <w:t>ref</w:t>
      </w:r>
      <w:r>
        <w:t xml:space="preserve"> attribute equal to </w:t>
      </w:r>
      <w:r>
        <w:rPr>
          <w:i/>
        </w:rPr>
        <w:t>“C4:E10”</w:t>
      </w:r>
      <w:r>
        <w:t>:</w:t>
      </w:r>
    </w:p>
    <w:p w:rsidR="00024C0A" w:rsidRDefault="00694C0F">
      <w:r>
        <w:rPr>
          <w:noProof/>
        </w:rPr>
        <w:drawing>
          <wp:inline distT="0" distB="0" distL="0" distR="0">
            <wp:extent cx="3533775" cy="2695575"/>
            <wp:effectExtent l="0" t="0" r="0" b="0"/>
            <wp:docPr id="16" name="Picture 1"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0fb-0000-0000-0000-000000000000"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pic:cNvPicPr>
                      <a:picLocks noChangeAspect="1" noChangeArrowheads="1"/>
                    </pic:cNvPicPr>
                  </pic:nvPicPr>
                  <pic:blipFill>
                    <a:blip r:embed="rId118" cstate="print"/>
                    <a:srcRect/>
                    <a:stretch>
                      <a:fillRect/>
                    </a:stretch>
                  </pic:blipFill>
                  <pic:spPr bwMode="auto">
                    <a:xfrm>
                      <a:off x="0" y="0"/>
                      <a:ext cx="3533775" cy="2695575"/>
                    </a:xfrm>
                    <a:prstGeom prst="rect">
                      <a:avLst/>
                    </a:prstGeom>
                    <a:noFill/>
                    <a:ln w="9525">
                      <a:noFill/>
                      <a:miter lim="800000"/>
                      <a:headEnd/>
                      <a:tailEnd/>
                    </a:ln>
                  </pic:spPr>
                </pic:pic>
              </a:graphicData>
            </a:graphic>
          </wp:inline>
        </w:drawing>
      </w:r>
    </w:p>
    <w:p w:rsidR="00024C0A" w:rsidRDefault="00694C0F">
      <w:r>
        <w:t>end example]</w:t>
      </w:r>
    </w:p>
    <w:p w:rsidR="00024C0A" w:rsidRDefault="00694C0F">
      <w:pPr>
        <w:pStyle w:val="Definition-Field"/>
      </w:pPr>
      <w:r>
        <w:lastRenderedPageBreak/>
        <w:t xml:space="preserve">e.   </w:t>
      </w:r>
      <w:r>
        <w:rPr>
          <w:i/>
        </w:rPr>
        <w:t>The standard specifies that if the aca attribute equals true, then that formula is an arra</w:t>
      </w:r>
      <w:r>
        <w:rPr>
          <w:i/>
        </w:rPr>
        <w:t>y formula.</w:t>
      </w:r>
    </w:p>
    <w:p w:rsidR="00024C0A" w:rsidRDefault="00694C0F">
      <w:pPr>
        <w:pStyle w:val="Definition-Field2"/>
      </w:pPr>
      <w:r>
        <w:t>Office uses the t attribute value array to indicate an array formula. The aca attribute is ignored if the formula is not an array formula.</w:t>
      </w:r>
    </w:p>
    <w:p w:rsidR="00024C0A" w:rsidRDefault="00694C0F">
      <w:pPr>
        <w:pStyle w:val="Definition-Field"/>
      </w:pPr>
      <w:r>
        <w:t xml:space="preserve">f.   </w:t>
      </w:r>
      <w:r>
        <w:rPr>
          <w:i/>
        </w:rPr>
        <w:t>The standard specifies that any cells in a worksheet may be the input cells for a two-dimensional dat</w:t>
      </w:r>
      <w:r>
        <w:rPr>
          <w:i/>
        </w:rPr>
        <w:t>a table.</w:t>
      </w:r>
    </w:p>
    <w:p w:rsidR="00024C0A" w:rsidRDefault="00694C0F">
      <w:pPr>
        <w:pStyle w:val="Definition-Field2"/>
      </w:pPr>
      <w:r>
        <w:t>Office requires that the input cells not belong to the cell range in the ref attribute, the master row, the master column or the corner cell unless the corresponding cells are deleted as specified in attributes del1 and del2.</w:t>
      </w:r>
    </w:p>
    <w:p w:rsidR="00024C0A" w:rsidRDefault="00694C0F">
      <w:pPr>
        <w:pStyle w:val="Definition-Field"/>
      </w:pPr>
      <w:r>
        <w:t xml:space="preserve">g.   </w:t>
      </w:r>
      <w:r>
        <w:rPr>
          <w:i/>
        </w:rPr>
        <w:t xml:space="preserve">The standard </w:t>
      </w:r>
      <w:r>
        <w:rPr>
          <w:i/>
        </w:rPr>
        <w:t>specifies that data tables are recalculated whenever a worksheet is recalculated.</w:t>
      </w:r>
    </w:p>
    <w:p w:rsidR="00024C0A" w:rsidRDefault="00694C0F">
      <w:pPr>
        <w:pStyle w:val="Definition-Field2"/>
      </w:pPr>
      <w:r>
        <w:t>Office recalculates data tables as specified by calcPr@calcMode.</w:t>
      </w:r>
    </w:p>
    <w:p w:rsidR="00024C0A" w:rsidRDefault="00694C0F">
      <w:pPr>
        <w:pStyle w:val="Definition-Field"/>
      </w:pPr>
      <w:r>
        <w:t xml:space="preserve">h.   </w:t>
      </w:r>
      <w:r>
        <w:rPr>
          <w:i/>
        </w:rPr>
        <w:t>The standard states that the si attribute is optional.</w:t>
      </w:r>
    </w:p>
    <w:p w:rsidR="00024C0A" w:rsidRDefault="00694C0F">
      <w:pPr>
        <w:pStyle w:val="Definition-Field2"/>
      </w:pPr>
      <w:r>
        <w:t>Office requires the si attribute to exist when th</w:t>
      </w:r>
      <w:r>
        <w:t>e t attribute equals shared and is ignored otherwise.</w:t>
      </w:r>
    </w:p>
    <w:p w:rsidR="00024C0A" w:rsidRDefault="00694C0F">
      <w:pPr>
        <w:pStyle w:val="Definition-Field"/>
      </w:pPr>
      <w:r>
        <w:t xml:space="preserve">i.   </w:t>
      </w:r>
      <w:r>
        <w:rPr>
          <w:i/>
        </w:rPr>
        <w:t>The standard makes no mention of an xml:space attribute.</w:t>
      </w:r>
    </w:p>
    <w:p w:rsidR="00024C0A" w:rsidRDefault="00694C0F">
      <w:pPr>
        <w:pStyle w:val="Definition-Field2"/>
      </w:pPr>
      <w:r>
        <w:t xml:space="preserve">Excel uses this attribute to specify, using the W3C space preservation rules, how white space should be handled for the element's contents; </w:t>
      </w:r>
      <w:r>
        <w:t>its allowed values are defined by the XML 1.0 specification.</w:t>
      </w:r>
    </w:p>
    <w:p w:rsidR="00024C0A" w:rsidRDefault="00694C0F">
      <w:pPr>
        <w:pStyle w:val="Heading3"/>
      </w:pPr>
      <w:bookmarkStart w:id="1255" w:name="section_18f72dee69094641812773fff1ce7be4"/>
      <w:bookmarkStart w:id="1256" w:name="_Toc12260688"/>
      <w:r>
        <w:t>Part 1 Section 18.3.1.41, firstFooter (First Page Footer)</w:t>
      </w:r>
      <w:bookmarkEnd w:id="1255"/>
      <w:bookmarkEnd w:id="1256"/>
      <w:r>
        <w:fldChar w:fldCharType="begin"/>
      </w:r>
      <w:r>
        <w:instrText xml:space="preserve"> XE "firstFooter (First Page Footer)" </w:instrText>
      </w:r>
      <w:r>
        <w:fldChar w:fldCharType="end"/>
      </w:r>
    </w:p>
    <w:p w:rsidR="00024C0A" w:rsidRDefault="00694C0F">
      <w:pPr>
        <w:pStyle w:val="Definition-Field"/>
      </w:pPr>
      <w:r>
        <w:t xml:space="preserve">a.   </w:t>
      </w:r>
      <w:r>
        <w:rPr>
          <w:i/>
        </w:rPr>
        <w:t>The standard does not limit the length of the value of this element.</w:t>
      </w:r>
    </w:p>
    <w:p w:rsidR="00024C0A" w:rsidRDefault="00694C0F">
      <w:pPr>
        <w:pStyle w:val="Definition-Field2"/>
      </w:pPr>
      <w:r>
        <w:t>Excel restricts the val</w:t>
      </w:r>
      <w:r>
        <w:t>ue of this element to be at most 255 characters after escaped sequences are replaced with characters.</w:t>
      </w:r>
    </w:p>
    <w:p w:rsidR="00024C0A" w:rsidRDefault="00694C0F">
      <w:pPr>
        <w:pStyle w:val="Definition-Field"/>
      </w:pPr>
      <w:r>
        <w:t xml:space="preserve">b.   </w:t>
      </w:r>
      <w:r>
        <w:rPr>
          <w:i/>
        </w:rPr>
        <w:t>The standard makes no mention of an xml:space attribute.</w:t>
      </w:r>
    </w:p>
    <w:p w:rsidR="00024C0A" w:rsidRDefault="00694C0F">
      <w:pPr>
        <w:pStyle w:val="Definition-Field2"/>
      </w:pPr>
      <w:r>
        <w:t>Excel uses this attribute to specify, using the W3C space preservation rules, how white spac</w:t>
      </w:r>
      <w:r>
        <w:t>e should be handled for the element's contents; its allowed values are defined by the XML 1.0 specification.</w:t>
      </w:r>
    </w:p>
    <w:p w:rsidR="00024C0A" w:rsidRDefault="00694C0F">
      <w:pPr>
        <w:pStyle w:val="Heading3"/>
      </w:pPr>
      <w:bookmarkStart w:id="1257" w:name="section_9ec6794e9c71422da396ac2934bb3a35"/>
      <w:bookmarkStart w:id="1258" w:name="_Toc12260689"/>
      <w:r>
        <w:t>Part 1 Section 18.3.1.42, firstHeader (First Page Header)</w:t>
      </w:r>
      <w:bookmarkEnd w:id="1257"/>
      <w:bookmarkEnd w:id="1258"/>
      <w:r>
        <w:fldChar w:fldCharType="begin"/>
      </w:r>
      <w:r>
        <w:instrText xml:space="preserve"> XE "firstHeader (First Page Header)" </w:instrText>
      </w:r>
      <w:r>
        <w:fldChar w:fldCharType="end"/>
      </w:r>
    </w:p>
    <w:p w:rsidR="00024C0A" w:rsidRDefault="00694C0F">
      <w:pPr>
        <w:pStyle w:val="Definition-Field"/>
      </w:pPr>
      <w:r>
        <w:t xml:space="preserve">a.   </w:t>
      </w:r>
      <w:r>
        <w:rPr>
          <w:i/>
        </w:rPr>
        <w:t>The standard does not place any restrictions</w:t>
      </w:r>
      <w:r>
        <w:rPr>
          <w:i/>
        </w:rPr>
        <w:t xml:space="preserve"> on the length of the value for this element.</w:t>
      </w:r>
    </w:p>
    <w:p w:rsidR="00024C0A" w:rsidRDefault="00694C0F">
      <w:pPr>
        <w:pStyle w:val="Definition-Field2"/>
      </w:pPr>
      <w:r>
        <w:t>Office requires that the length of the value for this element be less than or equal to 255.</w:t>
      </w:r>
    </w:p>
    <w:p w:rsidR="00024C0A" w:rsidRDefault="00694C0F">
      <w:pPr>
        <w:pStyle w:val="Definition-Field"/>
      </w:pPr>
      <w:r>
        <w:t xml:space="preserve">b.   </w:t>
      </w:r>
      <w:r>
        <w:rPr>
          <w:i/>
        </w:rPr>
        <w:t>The standard makes no mention of an xml:space attribute.</w:t>
      </w:r>
    </w:p>
    <w:p w:rsidR="00024C0A" w:rsidRDefault="00694C0F">
      <w:pPr>
        <w:pStyle w:val="Definition-Field2"/>
      </w:pPr>
      <w:r>
        <w:t>Excel uses this attribute to specify, using the W3C spac</w:t>
      </w:r>
      <w:r>
        <w:t>e preservation rules, how white space should be handled for the element's contents; its allowed values are defined by the XML 1.0 specification.</w:t>
      </w:r>
    </w:p>
    <w:p w:rsidR="00024C0A" w:rsidRDefault="00694C0F">
      <w:pPr>
        <w:pStyle w:val="Heading3"/>
      </w:pPr>
      <w:bookmarkStart w:id="1259" w:name="section_d0e6b3688e66420c94c4e9f9b23c6fba"/>
      <w:bookmarkStart w:id="1260" w:name="_Toc12260690"/>
      <w:r>
        <w:t>Part 1 Section 18.3.1.43, formula (Formula)</w:t>
      </w:r>
      <w:bookmarkEnd w:id="1259"/>
      <w:bookmarkEnd w:id="1260"/>
      <w:r>
        <w:fldChar w:fldCharType="begin"/>
      </w:r>
      <w:r>
        <w:instrText xml:space="preserve"> XE "formula (Formula)" </w:instrText>
      </w:r>
      <w:r>
        <w:fldChar w:fldCharType="end"/>
      </w:r>
    </w:p>
    <w:p w:rsidR="00024C0A" w:rsidRDefault="00694C0F">
      <w:pPr>
        <w:pStyle w:val="Definition-Field"/>
      </w:pPr>
      <w:r>
        <w:t xml:space="preserve">a.   </w:t>
      </w:r>
      <w:r>
        <w:rPr>
          <w:i/>
        </w:rPr>
        <w:t>The standard states that the content</w:t>
      </w:r>
      <w:r>
        <w:rPr>
          <w:i/>
        </w:rPr>
        <w:t xml:space="preserve"> of this element is a formula whose calculated value specifies the criteria for the conditional formatting rule.</w:t>
      </w:r>
    </w:p>
    <w:p w:rsidR="00024C0A" w:rsidRDefault="00694C0F">
      <w:r>
        <w:lastRenderedPageBreak/>
        <w:t>If the parent element for formula is rdn ("</w:t>
      </w:r>
      <w:hyperlink r:id="rId119">
        <w:r>
          <w:rPr>
            <w:rStyle w:val="Hyperlink"/>
          </w:rPr>
          <w:t>[ISO/IEC-29500-1]</w:t>
        </w:r>
      </w:hyperlink>
      <w:r>
        <w:t xml:space="preserve"> §18.11.1.13; rdn</w:t>
      </w:r>
      <w:r>
        <w:t>"), then the formula element represents a formula for a defined name and is defined by the grammar in Name Formulas (</w:t>
      </w:r>
      <w:hyperlink w:anchor="Section_da7f42ad0083451a98cfb475b578d91d">
        <w:r>
          <w:rPr>
            <w:rStyle w:val="Hyperlink"/>
          </w:rPr>
          <w:t>§3.2.3.1.4, Name Formulas</w:t>
        </w:r>
      </w:hyperlink>
      <w:r>
        <w:t>).</w:t>
      </w:r>
    </w:p>
    <w:p w:rsidR="00024C0A" w:rsidRDefault="00694C0F">
      <w:r>
        <w:t>If the parent element for formula is cfRule ("</w:t>
      </w:r>
      <w:r>
        <w:t>[ISO/IEC-29500-1] §18.3.1.10; cfRule"), then the formula element represents a formula for a conditional formatting rule, and is defined by the grammar in Conditional Formatting Formulas (</w:t>
      </w:r>
      <w:hyperlink w:anchor="Section_ed5fc677a2444bfca1488ac15a6a97db">
        <w:r>
          <w:rPr>
            <w:rStyle w:val="Hyperlink"/>
          </w:rPr>
          <w:t>§3.2.3</w:t>
        </w:r>
        <w:r>
          <w:rPr>
            <w:rStyle w:val="Hyperlink"/>
          </w:rPr>
          <w:t>.1.2, Conditional Formatting Formulas</w:t>
        </w:r>
      </w:hyperlink>
      <w:r>
        <w:t>).</w:t>
      </w:r>
    </w:p>
    <w:p w:rsidR="00024C0A" w:rsidRDefault="00694C0F">
      <w:pPr>
        <w:pStyle w:val="Definition-Field"/>
      </w:pPr>
      <w:r>
        <w:t xml:space="preserve">b.   </w:t>
      </w:r>
      <w:r>
        <w:rPr>
          <w:i/>
        </w:rPr>
        <w:t>The standard makes no mention of an xml:space attribute.</w:t>
      </w:r>
    </w:p>
    <w:p w:rsidR="00024C0A" w:rsidRDefault="00694C0F">
      <w:pPr>
        <w:pStyle w:val="Definition-Field2"/>
      </w:pPr>
      <w:r>
        <w:t>Excel uses this attribute to specify, using the W3C space preservation rules, how white space should be handled for the element's contents; its allowed va</w:t>
      </w:r>
      <w:r>
        <w:t>lues are defined by the XML 1.0 specification.</w:t>
      </w:r>
    </w:p>
    <w:p w:rsidR="00024C0A" w:rsidRDefault="00694C0F">
      <w:pPr>
        <w:pStyle w:val="Heading3"/>
      </w:pPr>
      <w:bookmarkStart w:id="1261" w:name="section_a8f97422b8d24692af51a4dd1750c66e"/>
      <w:bookmarkStart w:id="1262" w:name="_Toc12260691"/>
      <w:r>
        <w:t>Part 1 Section 18.3.1.44, formula1 (Formula 1)</w:t>
      </w:r>
      <w:bookmarkEnd w:id="1261"/>
      <w:bookmarkEnd w:id="1262"/>
      <w:r>
        <w:fldChar w:fldCharType="begin"/>
      </w:r>
      <w:r>
        <w:instrText xml:space="preserve"> XE "formula1 (Formula 1)" </w:instrText>
      </w:r>
      <w:r>
        <w:fldChar w:fldCharType="end"/>
      </w:r>
    </w:p>
    <w:p w:rsidR="00024C0A" w:rsidRDefault="00694C0F">
      <w:pPr>
        <w:pStyle w:val="Definition-Field"/>
      </w:pPr>
      <w:r>
        <w:t xml:space="preserve">a.   </w:t>
      </w:r>
      <w:r>
        <w:rPr>
          <w:i/>
        </w:rPr>
        <w:t>The standard states that the contents of this element are an extension on the ST_Formula simple type.</w:t>
      </w:r>
    </w:p>
    <w:p w:rsidR="00024C0A" w:rsidRDefault="00694C0F">
      <w:pPr>
        <w:pStyle w:val="Definition-Field2"/>
      </w:pPr>
      <w:r>
        <w:t>Excel requires the content</w:t>
      </w:r>
      <w:r>
        <w:t>s of this element for a data validation formula, as defined in Data Validation Formulas (</w:t>
      </w:r>
      <w:hyperlink w:anchor="Section_26e0ceb25b9342dc838c9e15c1a8cd8b">
        <w:r>
          <w:rPr>
            <w:rStyle w:val="Hyperlink"/>
          </w:rPr>
          <w:t>§3.2.3.1.3, Data Validation Formulas</w:t>
        </w:r>
      </w:hyperlink>
      <w:r>
        <w:t>).</w:t>
      </w:r>
    </w:p>
    <w:p w:rsidR="00024C0A" w:rsidRDefault="00694C0F">
      <w:pPr>
        <w:pStyle w:val="Definition-Field"/>
      </w:pPr>
      <w:r>
        <w:t xml:space="preserve">b.   </w:t>
      </w:r>
      <w:r>
        <w:rPr>
          <w:i/>
        </w:rPr>
        <w:t>The standard makes no mention of an xml:space attribute.</w:t>
      </w:r>
    </w:p>
    <w:p w:rsidR="00024C0A" w:rsidRDefault="00694C0F">
      <w:pPr>
        <w:pStyle w:val="Definition-Field2"/>
      </w:pPr>
      <w:r>
        <w:t>Exc</w:t>
      </w:r>
      <w:r>
        <w:t>el uses this attribute to specify, using the W3C space preservation rules, how white space should be handled for the element's contents; its allowed values are defined by the XML 1.0 specification.</w:t>
      </w:r>
    </w:p>
    <w:p w:rsidR="00024C0A" w:rsidRDefault="00694C0F">
      <w:pPr>
        <w:pStyle w:val="Heading3"/>
      </w:pPr>
      <w:bookmarkStart w:id="1263" w:name="section_8636b952cceb43d6bc9b6b381cba0ea6"/>
      <w:bookmarkStart w:id="1264" w:name="_Toc12260692"/>
      <w:r>
        <w:t>Part 1 Section 18.3.1.45, formula2 (Formula 2)</w:t>
      </w:r>
      <w:bookmarkEnd w:id="1263"/>
      <w:bookmarkEnd w:id="1264"/>
      <w:r>
        <w:fldChar w:fldCharType="begin"/>
      </w:r>
      <w:r>
        <w:instrText xml:space="preserve"> XE "formula2 (Formula 2)" </w:instrText>
      </w:r>
      <w:r>
        <w:fldChar w:fldCharType="end"/>
      </w:r>
    </w:p>
    <w:p w:rsidR="00024C0A" w:rsidRDefault="00694C0F">
      <w:pPr>
        <w:pStyle w:val="Definition-Field"/>
      </w:pPr>
      <w:r>
        <w:t xml:space="preserve">a.   </w:t>
      </w:r>
      <w:r>
        <w:rPr>
          <w:i/>
        </w:rPr>
        <w:t>The standard states that the contents of this element are an extension on the ST_Formula simple type.</w:t>
      </w:r>
    </w:p>
    <w:p w:rsidR="00024C0A" w:rsidRDefault="00694C0F">
      <w:pPr>
        <w:pStyle w:val="Definition-Field2"/>
      </w:pPr>
      <w:r>
        <w:t>Excel requires the contents of this element to follow the grammar for a data validation formula, as defined in Data Val</w:t>
      </w:r>
      <w:r>
        <w:t>idation Formulas (</w:t>
      </w:r>
      <w:hyperlink w:anchor="Section_26e0ceb25b9342dc838c9e15c1a8cd8b">
        <w:r>
          <w:rPr>
            <w:rStyle w:val="Hyperlink"/>
          </w:rPr>
          <w:t>§3.2.3.1.3, Data Validation Formulas</w:t>
        </w:r>
      </w:hyperlink>
      <w:r>
        <w:t>).</w:t>
      </w:r>
    </w:p>
    <w:p w:rsidR="00024C0A" w:rsidRDefault="00694C0F">
      <w:pPr>
        <w:pStyle w:val="Definition-Field"/>
      </w:pPr>
      <w:r>
        <w:t xml:space="preserve">b.   </w:t>
      </w:r>
      <w:r>
        <w:rPr>
          <w:i/>
        </w:rPr>
        <w:t>The standard makes no mention of an xml:space attribute.</w:t>
      </w:r>
    </w:p>
    <w:p w:rsidR="00024C0A" w:rsidRDefault="00694C0F">
      <w:pPr>
        <w:pStyle w:val="Definition-Field2"/>
      </w:pPr>
      <w:r>
        <w:t>Excel uses this attribute to specify, using the W3C space preservation rul</w:t>
      </w:r>
      <w:r>
        <w:t>es, how white space should be handled for the element's contents; its allowed values are defined by the XML 1.0 specification.</w:t>
      </w:r>
    </w:p>
    <w:p w:rsidR="00024C0A" w:rsidRDefault="00694C0F">
      <w:pPr>
        <w:pStyle w:val="Heading3"/>
      </w:pPr>
      <w:bookmarkStart w:id="1265" w:name="section_842e6c5ecfaf4d168395a64547b5e22b"/>
      <w:bookmarkStart w:id="1266" w:name="_Toc12260693"/>
      <w:r>
        <w:t>Part 1 Section 18.3.1.47, hyperlink (Hyperlink)</w:t>
      </w:r>
      <w:bookmarkEnd w:id="1265"/>
      <w:bookmarkEnd w:id="1266"/>
      <w:r>
        <w:fldChar w:fldCharType="begin"/>
      </w:r>
      <w:r>
        <w:instrText xml:space="preserve"> XE "hyperlink (Hyperlink)" </w:instrText>
      </w:r>
      <w:r>
        <w:fldChar w:fldCharType="end"/>
      </w:r>
    </w:p>
    <w:p w:rsidR="00024C0A" w:rsidRDefault="00694C0F">
      <w:pPr>
        <w:pStyle w:val="Definition-Field"/>
      </w:pPr>
      <w:r>
        <w:t xml:space="preserve">a.   </w:t>
      </w:r>
      <w:r>
        <w:rPr>
          <w:i/>
        </w:rPr>
        <w:t>The standard does not place any restrictions o</w:t>
      </w:r>
      <w:r>
        <w:rPr>
          <w:i/>
        </w:rPr>
        <w:t>n the length of the value for the location attribute.</w:t>
      </w:r>
    </w:p>
    <w:p w:rsidR="00024C0A" w:rsidRDefault="00694C0F">
      <w:pPr>
        <w:pStyle w:val="Definition-Field2"/>
      </w:pPr>
      <w:r>
        <w:t>Office requires that length of the location attribute be between 0 and 2084 inclusive.</w:t>
      </w:r>
    </w:p>
    <w:p w:rsidR="00024C0A" w:rsidRDefault="00694C0F">
      <w:pPr>
        <w:pStyle w:val="Definition-Field"/>
      </w:pPr>
      <w:r>
        <w:t xml:space="preserve">b.   </w:t>
      </w:r>
      <w:r>
        <w:rPr>
          <w:i/>
        </w:rPr>
        <w:t>The standard does not place any restrictions on the length of the value for the display attribute.</w:t>
      </w:r>
    </w:p>
    <w:p w:rsidR="00024C0A" w:rsidRDefault="00694C0F">
      <w:pPr>
        <w:pStyle w:val="Definition-Field2"/>
      </w:pPr>
      <w:r>
        <w:t>Office requ</w:t>
      </w:r>
      <w:r>
        <w:t>ires that the length of the display attribute be between 0 and 2084 inclusive.</w:t>
      </w:r>
    </w:p>
    <w:p w:rsidR="00024C0A" w:rsidRDefault="00694C0F">
      <w:pPr>
        <w:pStyle w:val="Definition-Field"/>
      </w:pPr>
      <w:r>
        <w:t xml:space="preserve">c.   </w:t>
      </w:r>
      <w:r>
        <w:rPr>
          <w:i/>
        </w:rPr>
        <w:t>The standard does not place any restrictions on the length of the value for the tooltip attribute.</w:t>
      </w:r>
    </w:p>
    <w:p w:rsidR="00024C0A" w:rsidRDefault="00694C0F">
      <w:pPr>
        <w:pStyle w:val="Definition-Field2"/>
      </w:pPr>
      <w:r>
        <w:t>Office requires that the tooltip attribute be less than or equal to 255 c</w:t>
      </w:r>
      <w:r>
        <w:t>haracters in length.</w:t>
      </w:r>
    </w:p>
    <w:p w:rsidR="00024C0A" w:rsidRDefault="00694C0F">
      <w:pPr>
        <w:pStyle w:val="Heading3"/>
      </w:pPr>
      <w:bookmarkStart w:id="1267" w:name="section_68d330fe5d134f51a64f8fea06399023"/>
      <w:bookmarkStart w:id="1268" w:name="_Toc12260694"/>
      <w:r>
        <w:t>Part 1 Section 18.3.1.50, ignoredError (Ignored Error)</w:t>
      </w:r>
      <w:bookmarkEnd w:id="1267"/>
      <w:bookmarkEnd w:id="1268"/>
      <w:r>
        <w:fldChar w:fldCharType="begin"/>
      </w:r>
      <w:r>
        <w:instrText xml:space="preserve"> XE "ignoredError (Ignored Error)" </w:instrText>
      </w:r>
      <w:r>
        <w:fldChar w:fldCharType="end"/>
      </w:r>
    </w:p>
    <w:p w:rsidR="00024C0A" w:rsidRDefault="00694C0F">
      <w:pPr>
        <w:pStyle w:val="Definition-Field"/>
      </w:pPr>
      <w:r>
        <w:t xml:space="preserve">a.   </w:t>
      </w:r>
      <w:r>
        <w:rPr>
          <w:i/>
        </w:rPr>
        <w:t>The standard does not specify the maximum item number of the sqref attribute.</w:t>
      </w:r>
    </w:p>
    <w:p w:rsidR="00024C0A" w:rsidRDefault="00694C0F">
      <w:pPr>
        <w:pStyle w:val="Definition-Field2"/>
      </w:pPr>
      <w:r>
        <w:lastRenderedPageBreak/>
        <w:t>Office defines the maximum item number of the sqref attribut</w:t>
      </w:r>
      <w:r>
        <w:t>e as 2147483647.</w:t>
      </w:r>
    </w:p>
    <w:p w:rsidR="00024C0A" w:rsidRDefault="00694C0F">
      <w:pPr>
        <w:pStyle w:val="Heading3"/>
      </w:pPr>
      <w:bookmarkStart w:id="1269" w:name="section_cdd4f652cf064ebcad4ba9d647ff7888"/>
      <w:bookmarkStart w:id="1270" w:name="_Toc12260695"/>
      <w:r>
        <w:t>Part 1 Section 18.3.1.51, ignoredErrors (Ignored Errors)</w:t>
      </w:r>
      <w:bookmarkEnd w:id="1269"/>
      <w:bookmarkEnd w:id="1270"/>
      <w:r>
        <w:fldChar w:fldCharType="begin"/>
      </w:r>
      <w:r>
        <w:instrText xml:space="preserve"> XE "ignoredErrors (Ignored Errors)" </w:instrText>
      </w:r>
      <w:r>
        <w:fldChar w:fldCharType="end"/>
      </w:r>
    </w:p>
    <w:p w:rsidR="00024C0A" w:rsidRDefault="00694C0F">
      <w:pPr>
        <w:pStyle w:val="Definition-Field"/>
      </w:pPr>
      <w:r>
        <w:t xml:space="preserve">a.   </w:t>
      </w:r>
      <w:r>
        <w:rPr>
          <w:i/>
        </w:rPr>
        <w:t>The standard states that the maxOccurs value for the ignoredError child element is unbounded.</w:t>
      </w:r>
    </w:p>
    <w:p w:rsidR="00024C0A" w:rsidRDefault="00694C0F">
      <w:pPr>
        <w:pStyle w:val="Definition-Field2"/>
      </w:pPr>
      <w:r>
        <w:t>Excel limits the occurrences of this element</w:t>
      </w:r>
      <w:r>
        <w:t xml:space="preserve"> to 9.</w:t>
      </w:r>
    </w:p>
    <w:p w:rsidR="00024C0A" w:rsidRDefault="00694C0F">
      <w:pPr>
        <w:pStyle w:val="Heading3"/>
      </w:pPr>
      <w:bookmarkStart w:id="1271" w:name="section_2682468cc87f48c5a82bb5f915749eb0"/>
      <w:bookmarkStart w:id="1272" w:name="_Toc12260696"/>
      <w:r>
        <w:t>Part 1 Section 18.3.1.52, inputCells (Input Cells)</w:t>
      </w:r>
      <w:bookmarkEnd w:id="1271"/>
      <w:bookmarkEnd w:id="1272"/>
      <w:r>
        <w:fldChar w:fldCharType="begin"/>
      </w:r>
      <w:r>
        <w:instrText xml:space="preserve"> XE "inputCells (Input Cells)"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44a549a0150b49d0bb6be02bc5122381">
        <w:r>
          <w:rPr>
            <w:rStyle w:val="Hyperlink"/>
          </w:rPr>
          <w:t>scenario, §1</w:t>
        </w:r>
        <w:r>
          <w:rPr>
            <w:rStyle w:val="Hyperlink"/>
          </w:rPr>
          <w:t>8.3.1.75(c, d)</w:t>
        </w:r>
      </w:hyperlink>
      <w:r>
        <w:rPr>
          <w:i/>
        </w:rPr>
        <w:t>.</w:t>
      </w:r>
    </w:p>
    <w:p w:rsidR="00024C0A" w:rsidRDefault="00694C0F">
      <w:pPr>
        <w:pStyle w:val="Definition-Field"/>
      </w:pPr>
      <w:r>
        <w:t xml:space="preserve">a.   </w:t>
      </w:r>
      <w:r>
        <w:rPr>
          <w:i/>
        </w:rPr>
        <w:t>The standard does not limit the length of the value of the val attribute.</w:t>
      </w:r>
    </w:p>
    <w:p w:rsidR="00024C0A" w:rsidRDefault="00694C0F">
      <w:pPr>
        <w:pStyle w:val="Definition-Field2"/>
      </w:pPr>
      <w:r>
        <w:t>Excel restricts the value of this attribute to be at most 255 characters, after decoding.</w:t>
      </w:r>
    </w:p>
    <w:p w:rsidR="00024C0A" w:rsidRDefault="00694C0F">
      <w:pPr>
        <w:pStyle w:val="Definition-Field"/>
      </w:pPr>
      <w:r>
        <w:t xml:space="preserve">b.   </w:t>
      </w:r>
      <w:r>
        <w:rPr>
          <w:i/>
        </w:rPr>
        <w:t xml:space="preserve">The standard does not specify a default value for the numFmtId </w:t>
      </w:r>
      <w:r>
        <w:rPr>
          <w:i/>
        </w:rPr>
        <w:t>attribute.</w:t>
      </w:r>
    </w:p>
    <w:p w:rsidR="00024C0A" w:rsidRDefault="00694C0F">
      <w:pPr>
        <w:pStyle w:val="Definition-Field2"/>
      </w:pPr>
      <w:r>
        <w:t>Excel uses a default value of 0 for this attribute.</w:t>
      </w:r>
    </w:p>
    <w:p w:rsidR="00024C0A" w:rsidRDefault="00694C0F">
      <w:pPr>
        <w:pStyle w:val="Definition-Field"/>
      </w:pPr>
      <w:r>
        <w:t xml:space="preserve">c.   </w:t>
      </w:r>
      <w:r>
        <w:rPr>
          <w:i/>
        </w:rPr>
        <w:t>The standard states that @deleted prevents the inputCell from being a part of a scenario when run.</w:t>
      </w:r>
    </w:p>
    <w:p w:rsidR="00024C0A" w:rsidRDefault="00694C0F">
      <w:pPr>
        <w:pStyle w:val="Definition-Field2"/>
      </w:pPr>
      <w:r>
        <w:t>Office includes inputCells that have @deleted="true" when running a scenario.</w:t>
      </w:r>
    </w:p>
    <w:p w:rsidR="00024C0A" w:rsidRDefault="00694C0F">
      <w:pPr>
        <w:pStyle w:val="Definition-Field"/>
      </w:pPr>
      <w:r>
        <w:t xml:space="preserve">d.   </w:t>
      </w:r>
      <w:r>
        <w:rPr>
          <w:i/>
        </w:rPr>
        <w:t>The st</w:t>
      </w:r>
      <w:r>
        <w:rPr>
          <w:i/>
        </w:rPr>
        <w:t>andard states a usage for the @numFmtId field.</w:t>
      </w:r>
    </w:p>
    <w:p w:rsidR="00024C0A" w:rsidRDefault="00694C0F">
      <w:pPr>
        <w:pStyle w:val="Definition-Field2"/>
      </w:pPr>
      <w:r>
        <w:t>In Office @numFmtId is the number formatting used to display the input values for the scenario when it was created.</w:t>
      </w:r>
    </w:p>
    <w:p w:rsidR="00024C0A" w:rsidRDefault="00694C0F">
      <w:pPr>
        <w:pStyle w:val="Heading3"/>
      </w:pPr>
      <w:bookmarkStart w:id="1273" w:name="section_76b69cb6d97e4dd28106a823c4e65d0c"/>
      <w:bookmarkStart w:id="1274" w:name="_Toc12260697"/>
      <w:r>
        <w:t>Part 1 Section 18.3.1.53, is (Rich Text Inline)</w:t>
      </w:r>
      <w:bookmarkEnd w:id="1273"/>
      <w:bookmarkEnd w:id="1274"/>
      <w:r>
        <w:fldChar w:fldCharType="begin"/>
      </w:r>
      <w:r>
        <w:instrText xml:space="preserve"> XE "is (Rich Text Inline)" </w:instrText>
      </w:r>
      <w:r>
        <w:fldChar w:fldCharType="end"/>
      </w:r>
    </w:p>
    <w:p w:rsidR="00024C0A" w:rsidRDefault="00694C0F">
      <w:pPr>
        <w:pStyle w:val="Definition-Field"/>
      </w:pPr>
      <w:r>
        <w:t xml:space="preserve">a.   </w:t>
      </w:r>
      <w:r>
        <w:rPr>
          <w:i/>
        </w:rPr>
        <w:t xml:space="preserve">The </w:t>
      </w:r>
      <w:r>
        <w:rPr>
          <w:i/>
        </w:rPr>
        <w:t>standard states that the maxOccurs value for the r child element is unbounded.</w:t>
      </w:r>
    </w:p>
    <w:p w:rsidR="00024C0A" w:rsidRDefault="00694C0F">
      <w:pPr>
        <w:pStyle w:val="Definition-Field2"/>
      </w:pPr>
      <w:r>
        <w:t>Excel limits the occurrences of this element to 32767.</w:t>
      </w:r>
    </w:p>
    <w:p w:rsidR="00024C0A" w:rsidRDefault="00694C0F">
      <w:pPr>
        <w:pStyle w:val="Definition-Field"/>
      </w:pPr>
      <w:r>
        <w:t xml:space="preserve">b.   </w:t>
      </w:r>
      <w:r>
        <w:rPr>
          <w:i/>
        </w:rPr>
        <w:t>The standard states that the maxOccurs value for the rPh child element is unbounded.</w:t>
      </w:r>
    </w:p>
    <w:p w:rsidR="00024C0A" w:rsidRDefault="00694C0F">
      <w:pPr>
        <w:pStyle w:val="Definition-Field2"/>
      </w:pPr>
      <w:r>
        <w:t xml:space="preserve">Excel limits the occurrences of </w:t>
      </w:r>
      <w:r>
        <w:t>this element to 32767.</w:t>
      </w:r>
    </w:p>
    <w:p w:rsidR="00024C0A" w:rsidRDefault="00694C0F">
      <w:pPr>
        <w:pStyle w:val="Heading3"/>
      </w:pPr>
      <w:bookmarkStart w:id="1275" w:name="section_8a2a99c9bfc54d448d003046b75af83c"/>
      <w:bookmarkStart w:id="1276" w:name="_Toc12260698"/>
      <w:r>
        <w:t>Part 1 Section 18.3.1.55, mergeCells (Merge Cells)</w:t>
      </w:r>
      <w:bookmarkEnd w:id="1275"/>
      <w:bookmarkEnd w:id="1276"/>
      <w:r>
        <w:fldChar w:fldCharType="begin"/>
      </w:r>
      <w:r>
        <w:instrText xml:space="preserve"> XE "mergeCells (Merge Cells)" </w:instrText>
      </w:r>
      <w:r>
        <w:fldChar w:fldCharType="end"/>
      </w:r>
    </w:p>
    <w:p w:rsidR="00024C0A" w:rsidRDefault="00694C0F">
      <w:pPr>
        <w:pStyle w:val="Definition-Field"/>
      </w:pPr>
      <w:r>
        <w:t xml:space="preserve">a.   </w:t>
      </w:r>
      <w:r>
        <w:rPr>
          <w:i/>
        </w:rPr>
        <w:t>The standard states that the maxOccurs value for the mergeCell child element is unbounded.</w:t>
      </w:r>
    </w:p>
    <w:p w:rsidR="00024C0A" w:rsidRDefault="00694C0F">
      <w:pPr>
        <w:pStyle w:val="Definition-Field2"/>
      </w:pPr>
      <w:r>
        <w:t>Excel limits the occurrences of this element to 42949</w:t>
      </w:r>
      <w:r>
        <w:t>67294.</w:t>
      </w:r>
    </w:p>
    <w:p w:rsidR="00024C0A" w:rsidRDefault="00694C0F">
      <w:pPr>
        <w:pStyle w:val="Heading3"/>
      </w:pPr>
      <w:bookmarkStart w:id="1277" w:name="section_0c52058fe8c545a5802053ab9fb28d21"/>
      <w:bookmarkStart w:id="1278" w:name="_Toc12260699"/>
      <w:r>
        <w:t>Part 1 Section 18.3.1.56, objectPr (Embedded Object Properties)</w:t>
      </w:r>
      <w:bookmarkEnd w:id="1277"/>
      <w:bookmarkEnd w:id="1278"/>
      <w:r>
        <w:fldChar w:fldCharType="begin"/>
      </w:r>
      <w:r>
        <w:instrText xml:space="preserve"> XE "objectPr (Embedded Object Properties)" </w:instrText>
      </w:r>
      <w:r>
        <w:fldChar w:fldCharType="end"/>
      </w:r>
    </w:p>
    <w:p w:rsidR="00024C0A" w:rsidRDefault="00694C0F">
      <w:pPr>
        <w:pStyle w:val="Definition-Field"/>
      </w:pPr>
      <w:r>
        <w:t xml:space="preserve">a.   </w:t>
      </w:r>
      <w:r>
        <w:rPr>
          <w:i/>
        </w:rPr>
        <w:t>The standard specifies that setting the disabled attribute to true disables the running of the specified macro.</w:t>
      </w:r>
    </w:p>
    <w:p w:rsidR="00024C0A" w:rsidRDefault="00694C0F">
      <w:pPr>
        <w:pStyle w:val="Definition-Field2"/>
      </w:pPr>
      <w:r>
        <w:t>Office allows the spec</w:t>
      </w:r>
      <w:r>
        <w:t>ified macro to run regardless of the value assigned to disabled.</w:t>
      </w:r>
    </w:p>
    <w:p w:rsidR="00024C0A" w:rsidRDefault="00694C0F">
      <w:pPr>
        <w:pStyle w:val="Heading3"/>
      </w:pPr>
      <w:bookmarkStart w:id="1279" w:name="section_18a8d65524df4375aa1133c30b9ee92c"/>
      <w:bookmarkStart w:id="1280" w:name="_Toc12260700"/>
      <w:r>
        <w:t>Part 1 Section 18.3.1.57, oddFooter (Odd Page Footer)</w:t>
      </w:r>
      <w:bookmarkEnd w:id="1279"/>
      <w:bookmarkEnd w:id="1280"/>
      <w:r>
        <w:fldChar w:fldCharType="begin"/>
      </w:r>
      <w:r>
        <w:instrText xml:space="preserve"> XE "oddFooter (Odd Page Footer)" </w:instrText>
      </w:r>
      <w:r>
        <w:fldChar w:fldCharType="end"/>
      </w:r>
    </w:p>
    <w:p w:rsidR="00024C0A" w:rsidRDefault="00694C0F">
      <w:pPr>
        <w:pStyle w:val="Definition-Field"/>
      </w:pPr>
      <w:r>
        <w:t xml:space="preserve">a.   </w:t>
      </w:r>
      <w:r>
        <w:rPr>
          <w:i/>
        </w:rPr>
        <w:t>The standard does not limit the length of the value of this element.</w:t>
      </w:r>
    </w:p>
    <w:p w:rsidR="00024C0A" w:rsidRDefault="00694C0F">
      <w:pPr>
        <w:pStyle w:val="Definition-Field2"/>
      </w:pPr>
      <w:r>
        <w:lastRenderedPageBreak/>
        <w:t>Excel restricts the value o</w:t>
      </w:r>
      <w:r>
        <w:t>f this element to be at most 255 characters.</w:t>
      </w:r>
    </w:p>
    <w:p w:rsidR="00024C0A" w:rsidRDefault="00694C0F">
      <w:pPr>
        <w:pStyle w:val="Definition-Field"/>
      </w:pPr>
      <w:r>
        <w:t xml:space="preserve">b.   </w:t>
      </w:r>
      <w:r>
        <w:rPr>
          <w:i/>
        </w:rPr>
        <w:t>The standard makes no mention of an xml:space attribute.</w:t>
      </w:r>
    </w:p>
    <w:p w:rsidR="00024C0A" w:rsidRDefault="00694C0F">
      <w:pPr>
        <w:pStyle w:val="Definition-Field2"/>
      </w:pPr>
      <w:r>
        <w:t>Excel uses this attribute to specify, using the W3C space preservation rules, how white space should be handled for the element's contents; its allow</w:t>
      </w:r>
      <w:r>
        <w:t>ed values are defined by the XML 1.0 specification.</w:t>
      </w:r>
    </w:p>
    <w:p w:rsidR="00024C0A" w:rsidRDefault="00694C0F">
      <w:pPr>
        <w:pStyle w:val="Heading3"/>
      </w:pPr>
      <w:bookmarkStart w:id="1281" w:name="section_f477f387b8614166b8494e35f8cc5a95"/>
      <w:bookmarkStart w:id="1282" w:name="_Toc12260701"/>
      <w:r>
        <w:t>Part 1 Section 18.3.1.58, oddHeader (Odd Header)</w:t>
      </w:r>
      <w:bookmarkEnd w:id="1281"/>
      <w:bookmarkEnd w:id="1282"/>
      <w:r>
        <w:fldChar w:fldCharType="begin"/>
      </w:r>
      <w:r>
        <w:instrText xml:space="preserve"> XE "oddHeader (Odd Header)" </w:instrText>
      </w:r>
      <w:r>
        <w:fldChar w:fldCharType="end"/>
      </w:r>
    </w:p>
    <w:p w:rsidR="00024C0A" w:rsidRDefault="00694C0F">
      <w:pPr>
        <w:pStyle w:val="Definition-Field"/>
      </w:pPr>
      <w:r>
        <w:t xml:space="preserve">a.   </w:t>
      </w:r>
      <w:r>
        <w:rPr>
          <w:i/>
        </w:rPr>
        <w:t>The standard does not limit the length of the value of this element.</w:t>
      </w:r>
    </w:p>
    <w:p w:rsidR="00024C0A" w:rsidRDefault="00694C0F">
      <w:pPr>
        <w:pStyle w:val="Definition-Field2"/>
      </w:pPr>
      <w:r>
        <w:t>Excel restricts the value of this element to be at</w:t>
      </w:r>
      <w:r>
        <w:t xml:space="preserve"> most 255 characters.</w:t>
      </w:r>
    </w:p>
    <w:p w:rsidR="00024C0A" w:rsidRDefault="00694C0F">
      <w:pPr>
        <w:pStyle w:val="Definition-Field"/>
      </w:pPr>
      <w:r>
        <w:t xml:space="preserve">b.   </w:t>
      </w:r>
      <w:r>
        <w:rPr>
          <w:i/>
        </w:rPr>
        <w:t>The standard makes no mention of an xml:space attribute.</w:t>
      </w:r>
    </w:p>
    <w:p w:rsidR="00024C0A" w:rsidRDefault="00694C0F">
      <w:pPr>
        <w:pStyle w:val="Definition-Field2"/>
      </w:pPr>
      <w:r>
        <w:t>Excel uses this attribute to specify, using the W3C space preservation rules, how white space should be handled for the element's contents; its allowed values are defined b</w:t>
      </w:r>
      <w:r>
        <w:t>y the XML 1.0 specification.</w:t>
      </w:r>
    </w:p>
    <w:p w:rsidR="00024C0A" w:rsidRDefault="00694C0F">
      <w:pPr>
        <w:pStyle w:val="Heading3"/>
      </w:pPr>
      <w:bookmarkStart w:id="1283" w:name="section_19190ae3573448eba919b89d0b3ce114"/>
      <w:bookmarkStart w:id="1284" w:name="_Toc12260702"/>
      <w:r>
        <w:t>Part 1 Section 18.3.1.59, oleObject (Embedded Object)</w:t>
      </w:r>
      <w:bookmarkEnd w:id="1283"/>
      <w:bookmarkEnd w:id="1284"/>
      <w:r>
        <w:fldChar w:fldCharType="begin"/>
      </w:r>
      <w:r>
        <w:instrText xml:space="preserve"> XE "oleObject (Embedded Object)" </w:instrText>
      </w:r>
      <w:r>
        <w:fldChar w:fldCharType="end"/>
      </w:r>
    </w:p>
    <w:p w:rsidR="00024C0A" w:rsidRDefault="00694C0F">
      <w:pPr>
        <w:pStyle w:val="Definition-Field"/>
      </w:pPr>
      <w:r>
        <w:t xml:space="preserve">a.   </w:t>
      </w:r>
      <w:r>
        <w:rPr>
          <w:i/>
        </w:rPr>
        <w:t>The standard allows any string for progId attribute.</w:t>
      </w:r>
    </w:p>
    <w:p w:rsidR="00024C0A" w:rsidRDefault="00694C0F">
      <w:pPr>
        <w:pStyle w:val="Definition-Field2"/>
      </w:pPr>
      <w:r>
        <w:t xml:space="preserve">Office requires that the value of @progId be less than 39 characters in length </w:t>
      </w:r>
      <w:r>
        <w:t>and shall not start with a digit, contain any punctuation (including underscores) other than periods.</w:t>
      </w:r>
    </w:p>
    <w:p w:rsidR="00024C0A" w:rsidRDefault="00694C0F">
      <w:pPr>
        <w:pStyle w:val="Definition-Field"/>
      </w:pPr>
      <w:r>
        <w:t xml:space="preserve">b.   </w:t>
      </w:r>
      <w:r>
        <w:rPr>
          <w:i/>
        </w:rPr>
        <w:t>The standard allows any Xstring for link attribute.</w:t>
      </w:r>
    </w:p>
    <w:p w:rsidR="00024C0A" w:rsidRDefault="00694C0F">
      <w:pPr>
        <w:pStyle w:val="Definition-Field2"/>
      </w:pPr>
      <w:r>
        <w:t>Office requires that the value of @link be a formula as defined in "</w:t>
      </w:r>
      <w:hyperlink r:id="rId120">
        <w:r>
          <w:rPr>
            <w:rStyle w:val="Hyperlink"/>
          </w:rPr>
          <w:t>[ISO/IEC-29500-1]</w:t>
        </w:r>
      </w:hyperlink>
      <w:r>
        <w:t xml:space="preserve"> §18.17". The length of the decoded string shall not exceed 8192 characters.</w:t>
      </w:r>
    </w:p>
    <w:p w:rsidR="00024C0A" w:rsidRDefault="00694C0F">
      <w:pPr>
        <w:pStyle w:val="Definition-Field"/>
      </w:pPr>
      <w:r>
        <w:t xml:space="preserve">c.   </w:t>
      </w:r>
      <w:r>
        <w:rPr>
          <w:i/>
        </w:rPr>
        <w:t>The standard does not specify any restriction of valid values for the attribute shapeId.</w:t>
      </w:r>
    </w:p>
    <w:p w:rsidR="00024C0A" w:rsidRDefault="00694C0F">
      <w:pPr>
        <w:pStyle w:val="Definition-Field2"/>
      </w:pPr>
      <w:r>
        <w:t xml:space="preserve">Office requires @min to be </w:t>
      </w:r>
      <w:r>
        <w:t>between 1 and 67098623 inclusive.</w:t>
      </w:r>
    </w:p>
    <w:p w:rsidR="00024C0A" w:rsidRDefault="00694C0F">
      <w:pPr>
        <w:pStyle w:val="Definition-Field"/>
      </w:pPr>
      <w:r>
        <w:t xml:space="preserve">d.   </w:t>
      </w:r>
      <w:r>
        <w:rPr>
          <w:i/>
        </w:rPr>
        <w:t>The standard does not call out a type of the shape specified by the shapeId attribute.</w:t>
      </w:r>
    </w:p>
    <w:p w:rsidR="00024C0A" w:rsidRDefault="00694C0F">
      <w:pPr>
        <w:pStyle w:val="Definition-Field2"/>
      </w:pPr>
      <w:r>
        <w:t>In Office, only Picture shapes are valid ObjectTypes for the shapeID attribute.</w:t>
      </w:r>
    </w:p>
    <w:p w:rsidR="00024C0A" w:rsidRDefault="00694C0F">
      <w:pPr>
        <w:pStyle w:val="Definition-Field"/>
        <w:rPr>
          <w:i/>
        </w:rPr>
      </w:pPr>
      <w:r>
        <w:t xml:space="preserve">e.   </w:t>
      </w:r>
      <w:r>
        <w:rPr>
          <w:i/>
        </w:rPr>
        <w:t xml:space="preserve">The standard makes no mention of an ObjectID </w:t>
      </w:r>
      <w:r>
        <w:rPr>
          <w:i/>
        </w:rPr>
        <w:t>attribute.</w:t>
      </w:r>
    </w:p>
    <w:p w:rsidR="00024C0A" w:rsidRDefault="00694C0F">
      <w:pPr>
        <w:pStyle w:val="Definition-Field2"/>
      </w:pPr>
      <w:r>
        <w:t>Office uses the ObjectID attribute to specify a unique ID identifying the embedded object, with a value data type of ST_String ("[ISO/IEC-29500-1] §22.9.2.13").</w:t>
      </w:r>
    </w:p>
    <w:p w:rsidR="00024C0A" w:rsidRDefault="00694C0F">
      <w:pPr>
        <w:pStyle w:val="Definition-Field"/>
        <w:rPr>
          <w:i/>
        </w:rPr>
      </w:pPr>
      <w:r>
        <w:t xml:space="preserve">f.   </w:t>
      </w:r>
      <w:r>
        <w:rPr>
          <w:i/>
        </w:rPr>
        <w:t>The standard uses the dvAspect attribute.</w:t>
      </w:r>
    </w:p>
    <w:p w:rsidR="00024C0A" w:rsidRDefault="00694C0F">
      <w:pPr>
        <w:pStyle w:val="Definition-Field2"/>
      </w:pPr>
      <w:r>
        <w:t>Office implements the dvAspect attrib</w:t>
      </w:r>
      <w:r>
        <w:t>ute using the name DrawAspect. The values for this attribute are defined by the ST_OLEDrawAspect ("</w:t>
      </w:r>
      <w:hyperlink r:id="rId121">
        <w:r>
          <w:rPr>
            <w:rStyle w:val="Hyperlink"/>
          </w:rPr>
          <w:t>[ISO/IEC-29500-4]</w:t>
        </w:r>
      </w:hyperlink>
      <w:r>
        <w:t xml:space="preserve"> §19.2.3.18").</w:t>
      </w:r>
    </w:p>
    <w:p w:rsidR="00024C0A" w:rsidRDefault="00694C0F">
      <w:pPr>
        <w:pStyle w:val="Definition-Field"/>
        <w:rPr>
          <w:i/>
        </w:rPr>
      </w:pPr>
      <w:r>
        <w:t xml:space="preserve">g.   </w:t>
      </w:r>
      <w:r>
        <w:rPr>
          <w:i/>
        </w:rPr>
        <w:t>The standard makes no mention of a Type attribute.</w:t>
      </w:r>
    </w:p>
    <w:p w:rsidR="00024C0A" w:rsidRDefault="00694C0F">
      <w:pPr>
        <w:pStyle w:val="Definition-Field2"/>
      </w:pPr>
      <w:r>
        <w:t>Off</w:t>
      </w:r>
      <w:r>
        <w:t>ice uses this attribute to define how the embedded OLE object is included in the package or stored externally from the package. The attribute data type is ST_OLEType ("[ISO/IEC-29500-4] §19.2.3.20").</w:t>
      </w:r>
    </w:p>
    <w:p w:rsidR="00024C0A" w:rsidRDefault="00694C0F">
      <w:pPr>
        <w:pStyle w:val="Heading3"/>
      </w:pPr>
      <w:bookmarkStart w:id="1285" w:name="section_c2c6f13ea41a49cd88ab3beb4da0b875"/>
      <w:bookmarkStart w:id="1286" w:name="_Toc12260703"/>
      <w:r>
        <w:t>Part 1 Section 18.3.1.60, oleObjects (Embedded Objects)</w:t>
      </w:r>
      <w:bookmarkEnd w:id="1285"/>
      <w:bookmarkEnd w:id="1286"/>
      <w:r>
        <w:fldChar w:fldCharType="begin"/>
      </w:r>
      <w:r>
        <w:instrText xml:space="preserve"> </w:instrText>
      </w:r>
      <w:r>
        <w:instrText xml:space="preserve">XE "oleObjects (Embedded Objects)" </w:instrText>
      </w:r>
      <w:r>
        <w:fldChar w:fldCharType="end"/>
      </w:r>
    </w:p>
    <w:p w:rsidR="00024C0A" w:rsidRDefault="00694C0F">
      <w:pPr>
        <w:pStyle w:val="Definition-Field"/>
      </w:pPr>
      <w:r>
        <w:t xml:space="preserve">a.   </w:t>
      </w:r>
      <w:r>
        <w:rPr>
          <w:i/>
        </w:rPr>
        <w:t>The standard states that the maxOccurs value for the oleObject child element is unbounded.</w:t>
      </w:r>
    </w:p>
    <w:p w:rsidR="00024C0A" w:rsidRDefault="00694C0F">
      <w:pPr>
        <w:pStyle w:val="Definition-Field2"/>
      </w:pPr>
      <w:r>
        <w:lastRenderedPageBreak/>
        <w:t>Excel limits the occurrences of this element to 65535.</w:t>
      </w:r>
    </w:p>
    <w:p w:rsidR="00024C0A" w:rsidRDefault="00694C0F">
      <w:pPr>
        <w:pStyle w:val="Heading3"/>
      </w:pPr>
      <w:bookmarkStart w:id="1287" w:name="section_261571d7a2234a99a584daab0bb4196c"/>
      <w:bookmarkStart w:id="1288" w:name="_Toc12260704"/>
      <w:r>
        <w:t>Part 1 Section 18.3.1.62, pageMargins (Page Margins)</w:t>
      </w:r>
      <w:bookmarkEnd w:id="1287"/>
      <w:bookmarkEnd w:id="1288"/>
      <w:r>
        <w:fldChar w:fldCharType="begin"/>
      </w:r>
      <w:r>
        <w:instrText xml:space="preserve"> XE "pageMargin</w:instrText>
      </w:r>
      <w:r>
        <w:instrText xml:space="preserve">s (Page Margins)" </w:instrText>
      </w:r>
      <w:r>
        <w:fldChar w:fldCharType="end"/>
      </w:r>
    </w:p>
    <w:p w:rsidR="00024C0A" w:rsidRDefault="00694C0F">
      <w:pPr>
        <w:pStyle w:val="Definition-Field"/>
      </w:pPr>
      <w:r>
        <w:t xml:space="preserve">a.   </w:t>
      </w:r>
      <w:r>
        <w:rPr>
          <w:i/>
        </w:rPr>
        <w:t>The standard states that the values of the left attribute are defined by the XML Schema double datatype.</w:t>
      </w:r>
    </w:p>
    <w:p w:rsidR="00024C0A" w:rsidRDefault="00694C0F">
      <w:pPr>
        <w:pStyle w:val="Definition-Field2"/>
      </w:pPr>
      <w:r>
        <w:t>In Office, the left attribute is limited to between 0 inclusive and 49 exclusive.</w:t>
      </w:r>
    </w:p>
    <w:p w:rsidR="00024C0A" w:rsidRDefault="00694C0F">
      <w:pPr>
        <w:pStyle w:val="Definition-Field"/>
      </w:pPr>
      <w:r>
        <w:t xml:space="preserve">b.   </w:t>
      </w:r>
      <w:r>
        <w:rPr>
          <w:i/>
        </w:rPr>
        <w:t>The standard states that the values of</w:t>
      </w:r>
      <w:r>
        <w:rPr>
          <w:i/>
        </w:rPr>
        <w:t xml:space="preserve"> the right attribute are defined by the XML Schema double datatype.</w:t>
      </w:r>
    </w:p>
    <w:p w:rsidR="00024C0A" w:rsidRDefault="00694C0F">
      <w:pPr>
        <w:pStyle w:val="Definition-Field2"/>
      </w:pPr>
      <w:r>
        <w:t>In Office, the right attribute is limited to between 0 inclusive and 49 exclusive.</w:t>
      </w:r>
    </w:p>
    <w:p w:rsidR="00024C0A" w:rsidRDefault="00694C0F">
      <w:pPr>
        <w:pStyle w:val="Definition-Field"/>
      </w:pPr>
      <w:r>
        <w:t xml:space="preserve">c.   </w:t>
      </w:r>
      <w:r>
        <w:rPr>
          <w:i/>
        </w:rPr>
        <w:t>The standard states that the values of the top attribute are defined by the XML Schema double dataty</w:t>
      </w:r>
      <w:r>
        <w:rPr>
          <w:i/>
        </w:rPr>
        <w:t>pe.</w:t>
      </w:r>
    </w:p>
    <w:p w:rsidR="00024C0A" w:rsidRDefault="00694C0F">
      <w:pPr>
        <w:pStyle w:val="Definition-Field2"/>
      </w:pPr>
      <w:r>
        <w:t>In Office, the top attribute is limited to between 0 inclusive and 49 exclusive.</w:t>
      </w:r>
    </w:p>
    <w:p w:rsidR="00024C0A" w:rsidRDefault="00694C0F">
      <w:pPr>
        <w:pStyle w:val="Definition-Field"/>
      </w:pPr>
      <w:r>
        <w:t xml:space="preserve">d.   </w:t>
      </w:r>
      <w:r>
        <w:rPr>
          <w:i/>
        </w:rPr>
        <w:t>The standard states that the values of the bottom attribute are defined by the XML Schema double datatype.</w:t>
      </w:r>
    </w:p>
    <w:p w:rsidR="00024C0A" w:rsidRDefault="00694C0F">
      <w:pPr>
        <w:pStyle w:val="Definition-Field2"/>
      </w:pPr>
      <w:r>
        <w:t>In Office, the bottom attribute is limited to between 0 inc</w:t>
      </w:r>
      <w:r>
        <w:t>lusive and 49 exclusive.</w:t>
      </w:r>
    </w:p>
    <w:p w:rsidR="00024C0A" w:rsidRDefault="00694C0F">
      <w:pPr>
        <w:pStyle w:val="Definition-Field"/>
      </w:pPr>
      <w:r>
        <w:t xml:space="preserve">e.   </w:t>
      </w:r>
      <w:r>
        <w:rPr>
          <w:i/>
        </w:rPr>
        <w:t>The standard states that values of the header attribute are defined by the XML Schema double datatype.</w:t>
      </w:r>
    </w:p>
    <w:p w:rsidR="00024C0A" w:rsidRDefault="00694C0F">
      <w:pPr>
        <w:pStyle w:val="Definition-Field2"/>
      </w:pPr>
      <w:r>
        <w:t>In Office, the header attribute is limited to between 0 inclusive and 49 exclusive.</w:t>
      </w:r>
    </w:p>
    <w:p w:rsidR="00024C0A" w:rsidRDefault="00694C0F">
      <w:pPr>
        <w:pStyle w:val="Definition-Field"/>
      </w:pPr>
      <w:r>
        <w:t xml:space="preserve">f.   </w:t>
      </w:r>
      <w:r>
        <w:rPr>
          <w:i/>
        </w:rPr>
        <w:t>The standard states that values of</w:t>
      </w:r>
      <w:r>
        <w:rPr>
          <w:i/>
        </w:rPr>
        <w:t xml:space="preserve"> the footer attribute are defined by the XML Schema double datatype.</w:t>
      </w:r>
    </w:p>
    <w:p w:rsidR="00024C0A" w:rsidRDefault="00694C0F">
      <w:pPr>
        <w:pStyle w:val="Definition-Field2"/>
      </w:pPr>
      <w:r>
        <w:t>In Office, the footer attribute is limited to between 0 inclusive and 49 exclusive.</w:t>
      </w:r>
    </w:p>
    <w:p w:rsidR="00024C0A" w:rsidRDefault="00694C0F">
      <w:pPr>
        <w:pStyle w:val="Heading3"/>
      </w:pPr>
      <w:bookmarkStart w:id="1289" w:name="section_7d79dcced8fb43daa189f0e46658da62"/>
      <w:bookmarkStart w:id="1290" w:name="_Toc12260705"/>
      <w:r>
        <w:t>Part 1 Section 18.3.1.63, pageSetup (Page Setup Settings)</w:t>
      </w:r>
      <w:bookmarkEnd w:id="1289"/>
      <w:bookmarkEnd w:id="1290"/>
      <w:r>
        <w:fldChar w:fldCharType="begin"/>
      </w:r>
      <w:r>
        <w:instrText xml:space="preserve"> XE "pageSetup (Page Setup Settings)" </w:instrText>
      </w:r>
      <w:r>
        <w:fldChar w:fldCharType="end"/>
      </w:r>
    </w:p>
    <w:p w:rsidR="00024C0A" w:rsidRDefault="00694C0F">
      <w:pPr>
        <w:pStyle w:val="Definition-Field2"/>
      </w:pPr>
      <w:r>
        <w:rPr>
          <w:i/>
        </w:rPr>
        <w:t>For a</w:t>
      </w:r>
      <w:r>
        <w:rPr>
          <w:i/>
        </w:rPr>
        <w:t xml:space="preserve">dditional notes that apply to this portion of the standard, please see the notes for </w:t>
      </w:r>
      <w:hyperlink w:anchor="Section_8ffbeaeb0d294ab783603f7b61509929">
        <w:r>
          <w:rPr>
            <w:rStyle w:val="Hyperlink"/>
          </w:rPr>
          <w:t>pageSetup, §21.2.2.134(b)</w:t>
        </w:r>
      </w:hyperlink>
      <w:r>
        <w:rPr>
          <w:i/>
        </w:rPr>
        <w:t>.</w:t>
      </w:r>
    </w:p>
    <w:p w:rsidR="00024C0A" w:rsidRDefault="00694C0F">
      <w:pPr>
        <w:pStyle w:val="Definition-Field"/>
      </w:pPr>
      <w:r>
        <w:t xml:space="preserve">a.   </w:t>
      </w:r>
      <w:r>
        <w:rPr>
          <w:i/>
        </w:rPr>
        <w:t>The standard specifies that the scale attribute ranges from 10 to 400.</w:t>
      </w:r>
    </w:p>
    <w:p w:rsidR="00024C0A" w:rsidRDefault="00694C0F">
      <w:pPr>
        <w:pStyle w:val="Definition-Field2"/>
      </w:pPr>
      <w:r>
        <w:t>Excel</w:t>
      </w:r>
      <w:r>
        <w:t xml:space="preserve"> also allow for a value of zero, which is interpreted as the automatic setting.</w:t>
      </w:r>
    </w:p>
    <w:p w:rsidR="00024C0A" w:rsidRDefault="00694C0F">
      <w:pPr>
        <w:pStyle w:val="Definition-Field"/>
      </w:pPr>
      <w:r>
        <w:t xml:space="preserve">b.   </w:t>
      </w:r>
      <w:r>
        <w:rPr>
          <w:i/>
        </w:rPr>
        <w:t>The standard states that the values of the horizontalDpi attribute are defined by the XML Schema unsignedInt datatype.</w:t>
      </w:r>
    </w:p>
    <w:p w:rsidR="00024C0A" w:rsidRDefault="00694C0F">
      <w:pPr>
        <w:pStyle w:val="Definition-Field2"/>
      </w:pPr>
      <w:r>
        <w:t>Excel restricts the value of this attribute to be at</w:t>
      </w:r>
      <w:r>
        <w:t xml:space="preserve"> least 1.</w:t>
      </w:r>
    </w:p>
    <w:p w:rsidR="00024C0A" w:rsidRDefault="00694C0F">
      <w:pPr>
        <w:pStyle w:val="Definition-Field"/>
      </w:pPr>
      <w:r>
        <w:t xml:space="preserve">c.   </w:t>
      </w:r>
      <w:r>
        <w:rPr>
          <w:i/>
        </w:rPr>
        <w:t>The standard states that the values of the verticalDpi attribute are defined by the XML Schema unsignedInt datatype.</w:t>
      </w:r>
    </w:p>
    <w:p w:rsidR="00024C0A" w:rsidRDefault="00694C0F">
      <w:pPr>
        <w:pStyle w:val="Definition-Field2"/>
      </w:pPr>
      <w:r>
        <w:t>Excel restricts the value of this attribute to be at least 1.</w:t>
      </w:r>
    </w:p>
    <w:p w:rsidR="00024C0A" w:rsidRDefault="00694C0F">
      <w:pPr>
        <w:pStyle w:val="Definition-Field"/>
      </w:pPr>
      <w:r>
        <w:t xml:space="preserve">d.   </w:t>
      </w:r>
      <w:r>
        <w:rPr>
          <w:i/>
        </w:rPr>
        <w:t xml:space="preserve">The standard states that the values of the copies </w:t>
      </w:r>
      <w:r>
        <w:rPr>
          <w:i/>
        </w:rPr>
        <w:t>attribute are defined by the XML Schema unsignedInt datatype.</w:t>
      </w:r>
    </w:p>
    <w:p w:rsidR="00024C0A" w:rsidRDefault="00694C0F">
      <w:pPr>
        <w:pStyle w:val="Definition-Field2"/>
      </w:pPr>
      <w:r>
        <w:t>Excel restricts the value of this attribute to be at least 1 and at most 32767.</w:t>
      </w:r>
    </w:p>
    <w:p w:rsidR="00024C0A" w:rsidRDefault="00694C0F">
      <w:pPr>
        <w:pStyle w:val="Definition-Field"/>
      </w:pPr>
      <w:r>
        <w:t xml:space="preserve">e.   </w:t>
      </w:r>
      <w:r>
        <w:rPr>
          <w:i/>
        </w:rPr>
        <w:t>The standard states that the values of the firstPageNumber attribute are defined by the XML Schema unsignedIn</w:t>
      </w:r>
      <w:r>
        <w:rPr>
          <w:i/>
        </w:rPr>
        <w:t>t datatype.</w:t>
      </w:r>
    </w:p>
    <w:p w:rsidR="00024C0A" w:rsidRDefault="00694C0F">
      <w:pPr>
        <w:pStyle w:val="Definition-Field2"/>
      </w:pPr>
      <w:r>
        <w:lastRenderedPageBreak/>
        <w:t>Excel restricts the value of this attribute to be at most 32767 for the positive first page range and at least 4294967295 (-1) and at most 4294934531 (-32767) for the negative first page range.</w:t>
      </w:r>
    </w:p>
    <w:p w:rsidR="00024C0A" w:rsidRDefault="00694C0F">
      <w:pPr>
        <w:pStyle w:val="Definition-Field"/>
      </w:pPr>
      <w:r>
        <w:t xml:space="preserve">f.   </w:t>
      </w:r>
      <w:r>
        <w:rPr>
          <w:i/>
        </w:rPr>
        <w:t>The standard states that the values of the fi</w:t>
      </w:r>
      <w:r>
        <w:rPr>
          <w:i/>
        </w:rPr>
        <w:t>tToWidth attribute are defined by the XML Schema unsignedInt datatype.</w:t>
      </w:r>
    </w:p>
    <w:p w:rsidR="00024C0A" w:rsidRDefault="00694C0F">
      <w:pPr>
        <w:pStyle w:val="Definition-Field2"/>
      </w:pPr>
      <w:r>
        <w:t>Excel restricts the value of this attribute to be at most 32767.</w:t>
      </w:r>
    </w:p>
    <w:p w:rsidR="00024C0A" w:rsidRDefault="00694C0F">
      <w:pPr>
        <w:pStyle w:val="Definition-Field"/>
      </w:pPr>
      <w:r>
        <w:t xml:space="preserve">g.   </w:t>
      </w:r>
      <w:r>
        <w:rPr>
          <w:i/>
        </w:rPr>
        <w:t>The standard states that the values of the fitToHeight attribute are defined by the XML Schema unsignedInt datatype</w:t>
      </w:r>
      <w:r>
        <w:rPr>
          <w:i/>
        </w:rPr>
        <w:t>.</w:t>
      </w:r>
    </w:p>
    <w:p w:rsidR="00024C0A" w:rsidRDefault="00694C0F">
      <w:pPr>
        <w:pStyle w:val="Definition-Field2"/>
      </w:pPr>
      <w:r>
        <w:t>Excel restricts the value of this attribute to be at most 32767.</w:t>
      </w:r>
    </w:p>
    <w:p w:rsidR="00024C0A" w:rsidRDefault="00694C0F">
      <w:pPr>
        <w:pStyle w:val="Definition-Field"/>
      </w:pPr>
      <w:r>
        <w:t xml:space="preserve">h.   </w:t>
      </w:r>
      <w:r>
        <w:rPr>
          <w:i/>
        </w:rPr>
        <w:t>The standard provides a list of paper sizes supported by the paperSize attribute.</w:t>
      </w:r>
    </w:p>
    <w:p w:rsidR="00024C0A" w:rsidRDefault="00694C0F">
      <w:r>
        <w:t xml:space="preserve">The paperSize attribute specifies the paper size according to the following table. Values larger than </w:t>
      </w:r>
      <w:r>
        <w:t>or equal to 256 specify custom printer paper sizes. The default value may vary by locale and default printer.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Value</w:t>
            </w:r>
          </w:p>
        </w:tc>
        <w:tc>
          <w:tcPr>
            <w:tcW w:w="0" w:type="auto"/>
            <w:vAlign w:val="center"/>
          </w:tcPr>
          <w:p w:rsidR="00024C0A" w:rsidRDefault="00694C0F">
            <w:pPr>
              <w:pStyle w:val="TableHeaderText"/>
            </w:pPr>
            <w:r>
              <w:t>Meaning</w:t>
            </w:r>
          </w:p>
        </w:tc>
      </w:tr>
      <w:tr w:rsidR="00024C0A" w:rsidTr="00024C0A">
        <w:tc>
          <w:tcPr>
            <w:tcW w:w="0" w:type="auto"/>
            <w:vAlign w:val="center"/>
          </w:tcPr>
          <w:p w:rsidR="00024C0A" w:rsidRDefault="00694C0F">
            <w:pPr>
              <w:pStyle w:val="TableBodyText"/>
            </w:pPr>
            <w:r>
              <w:t>1</w:t>
            </w:r>
          </w:p>
        </w:tc>
        <w:tc>
          <w:tcPr>
            <w:tcW w:w="0" w:type="auto"/>
            <w:vAlign w:val="center"/>
          </w:tcPr>
          <w:p w:rsidR="00024C0A" w:rsidRDefault="00694C0F">
            <w:pPr>
              <w:pStyle w:val="TableBodyText"/>
            </w:pPr>
            <w:r>
              <w:t>US Letter 8 1/2 x 11 in</w:t>
            </w:r>
          </w:p>
        </w:tc>
      </w:tr>
      <w:tr w:rsidR="00024C0A" w:rsidTr="00024C0A">
        <w:tc>
          <w:tcPr>
            <w:tcW w:w="0" w:type="auto"/>
            <w:vAlign w:val="center"/>
          </w:tcPr>
          <w:p w:rsidR="00024C0A" w:rsidRDefault="00694C0F">
            <w:pPr>
              <w:pStyle w:val="TableBodyText"/>
            </w:pPr>
            <w:r>
              <w:t>2</w:t>
            </w:r>
          </w:p>
        </w:tc>
        <w:tc>
          <w:tcPr>
            <w:tcW w:w="0" w:type="auto"/>
            <w:vAlign w:val="center"/>
          </w:tcPr>
          <w:p w:rsidR="00024C0A" w:rsidRDefault="00694C0F">
            <w:pPr>
              <w:pStyle w:val="TableBodyText"/>
            </w:pPr>
            <w:r>
              <w:t>US Letter Small 8 1/2 x 11 in</w:t>
            </w:r>
          </w:p>
        </w:tc>
      </w:tr>
      <w:tr w:rsidR="00024C0A" w:rsidTr="00024C0A">
        <w:tc>
          <w:tcPr>
            <w:tcW w:w="0" w:type="auto"/>
            <w:vAlign w:val="center"/>
          </w:tcPr>
          <w:p w:rsidR="00024C0A" w:rsidRDefault="00694C0F">
            <w:pPr>
              <w:pStyle w:val="TableBodyText"/>
            </w:pPr>
            <w:r>
              <w:t>3</w:t>
            </w:r>
          </w:p>
        </w:tc>
        <w:tc>
          <w:tcPr>
            <w:tcW w:w="0" w:type="auto"/>
            <w:vAlign w:val="center"/>
          </w:tcPr>
          <w:p w:rsidR="00024C0A" w:rsidRDefault="00694C0F">
            <w:pPr>
              <w:pStyle w:val="TableBodyText"/>
            </w:pPr>
            <w:r>
              <w:t>US Tabloid 11</w:t>
            </w:r>
            <w:r>
              <w:t xml:space="preserve"> x 17 in</w:t>
            </w:r>
          </w:p>
        </w:tc>
      </w:tr>
      <w:tr w:rsidR="00024C0A" w:rsidTr="00024C0A">
        <w:tc>
          <w:tcPr>
            <w:tcW w:w="0" w:type="auto"/>
            <w:vAlign w:val="center"/>
          </w:tcPr>
          <w:p w:rsidR="00024C0A" w:rsidRDefault="00694C0F">
            <w:pPr>
              <w:pStyle w:val="TableBodyText"/>
            </w:pPr>
            <w:r>
              <w:t>4</w:t>
            </w:r>
          </w:p>
        </w:tc>
        <w:tc>
          <w:tcPr>
            <w:tcW w:w="0" w:type="auto"/>
            <w:vAlign w:val="center"/>
          </w:tcPr>
          <w:p w:rsidR="00024C0A" w:rsidRDefault="00694C0F">
            <w:pPr>
              <w:pStyle w:val="TableBodyText"/>
            </w:pPr>
            <w:r>
              <w:t xml:space="preserve">US Ledger 17 x 11 in </w:t>
            </w:r>
          </w:p>
        </w:tc>
      </w:tr>
      <w:tr w:rsidR="00024C0A" w:rsidTr="00024C0A">
        <w:tc>
          <w:tcPr>
            <w:tcW w:w="0" w:type="auto"/>
            <w:vAlign w:val="center"/>
          </w:tcPr>
          <w:p w:rsidR="00024C0A" w:rsidRDefault="00694C0F">
            <w:pPr>
              <w:pStyle w:val="TableBodyText"/>
            </w:pPr>
            <w:r>
              <w:t>5</w:t>
            </w:r>
          </w:p>
        </w:tc>
        <w:tc>
          <w:tcPr>
            <w:tcW w:w="0" w:type="auto"/>
            <w:vAlign w:val="center"/>
          </w:tcPr>
          <w:p w:rsidR="00024C0A" w:rsidRDefault="00694C0F">
            <w:pPr>
              <w:pStyle w:val="TableBodyText"/>
            </w:pPr>
            <w:r>
              <w:t>US Legal 8 1/2 x 14 in</w:t>
            </w:r>
          </w:p>
        </w:tc>
      </w:tr>
      <w:tr w:rsidR="00024C0A" w:rsidTr="00024C0A">
        <w:tc>
          <w:tcPr>
            <w:tcW w:w="0" w:type="auto"/>
            <w:vAlign w:val="center"/>
          </w:tcPr>
          <w:p w:rsidR="00024C0A" w:rsidRDefault="00694C0F">
            <w:pPr>
              <w:pStyle w:val="TableBodyText"/>
            </w:pPr>
            <w:r>
              <w:t>6</w:t>
            </w:r>
          </w:p>
        </w:tc>
        <w:tc>
          <w:tcPr>
            <w:tcW w:w="0" w:type="auto"/>
            <w:vAlign w:val="center"/>
          </w:tcPr>
          <w:p w:rsidR="00024C0A" w:rsidRDefault="00694C0F">
            <w:pPr>
              <w:pStyle w:val="TableBodyText"/>
            </w:pPr>
            <w:r>
              <w:t>US Statement 5 1/2 x 8 1/2 in</w:t>
            </w:r>
          </w:p>
        </w:tc>
      </w:tr>
      <w:tr w:rsidR="00024C0A" w:rsidTr="00024C0A">
        <w:tc>
          <w:tcPr>
            <w:tcW w:w="0" w:type="auto"/>
            <w:vAlign w:val="center"/>
          </w:tcPr>
          <w:p w:rsidR="00024C0A" w:rsidRDefault="00694C0F">
            <w:pPr>
              <w:pStyle w:val="TableBodyText"/>
            </w:pPr>
            <w:r>
              <w:t>7</w:t>
            </w:r>
          </w:p>
        </w:tc>
        <w:tc>
          <w:tcPr>
            <w:tcW w:w="0" w:type="auto"/>
            <w:vAlign w:val="center"/>
          </w:tcPr>
          <w:p w:rsidR="00024C0A" w:rsidRDefault="00694C0F">
            <w:pPr>
              <w:pStyle w:val="TableBodyText"/>
            </w:pPr>
            <w:r>
              <w:t>US Executive 7 1/4 x 10 1/2 in</w:t>
            </w:r>
          </w:p>
        </w:tc>
      </w:tr>
      <w:tr w:rsidR="00024C0A" w:rsidTr="00024C0A">
        <w:tc>
          <w:tcPr>
            <w:tcW w:w="0" w:type="auto"/>
            <w:vAlign w:val="center"/>
          </w:tcPr>
          <w:p w:rsidR="00024C0A" w:rsidRDefault="00694C0F">
            <w:pPr>
              <w:pStyle w:val="TableBodyText"/>
            </w:pPr>
            <w:r>
              <w:t>8</w:t>
            </w:r>
          </w:p>
        </w:tc>
        <w:tc>
          <w:tcPr>
            <w:tcW w:w="0" w:type="auto"/>
            <w:vAlign w:val="center"/>
          </w:tcPr>
          <w:p w:rsidR="00024C0A" w:rsidRDefault="00694C0F">
            <w:pPr>
              <w:pStyle w:val="TableBodyText"/>
            </w:pPr>
            <w:r>
              <w:t>A3 297 x 420 mm</w:t>
            </w:r>
          </w:p>
        </w:tc>
      </w:tr>
      <w:tr w:rsidR="00024C0A" w:rsidTr="00024C0A">
        <w:tc>
          <w:tcPr>
            <w:tcW w:w="0" w:type="auto"/>
            <w:vAlign w:val="center"/>
          </w:tcPr>
          <w:p w:rsidR="00024C0A" w:rsidRDefault="00694C0F">
            <w:pPr>
              <w:pStyle w:val="TableBodyText"/>
            </w:pPr>
            <w:r>
              <w:t>9</w:t>
            </w:r>
          </w:p>
        </w:tc>
        <w:tc>
          <w:tcPr>
            <w:tcW w:w="0" w:type="auto"/>
            <w:vAlign w:val="center"/>
          </w:tcPr>
          <w:p w:rsidR="00024C0A" w:rsidRDefault="00694C0F">
            <w:pPr>
              <w:pStyle w:val="TableBodyText"/>
            </w:pPr>
            <w:r>
              <w:t>A4 210 x 297 mm</w:t>
            </w:r>
          </w:p>
        </w:tc>
      </w:tr>
      <w:tr w:rsidR="00024C0A" w:rsidTr="00024C0A">
        <w:tc>
          <w:tcPr>
            <w:tcW w:w="0" w:type="auto"/>
            <w:vAlign w:val="center"/>
          </w:tcPr>
          <w:p w:rsidR="00024C0A" w:rsidRDefault="00694C0F">
            <w:pPr>
              <w:pStyle w:val="TableBodyText"/>
            </w:pPr>
            <w:r>
              <w:t>10</w:t>
            </w:r>
          </w:p>
        </w:tc>
        <w:tc>
          <w:tcPr>
            <w:tcW w:w="0" w:type="auto"/>
            <w:vAlign w:val="center"/>
          </w:tcPr>
          <w:p w:rsidR="00024C0A" w:rsidRDefault="00694C0F">
            <w:pPr>
              <w:pStyle w:val="TableBodyText"/>
            </w:pPr>
            <w:r>
              <w:t>A4 Small 210 x 297 mm</w:t>
            </w:r>
          </w:p>
        </w:tc>
      </w:tr>
      <w:tr w:rsidR="00024C0A" w:rsidTr="00024C0A">
        <w:tc>
          <w:tcPr>
            <w:tcW w:w="0" w:type="auto"/>
            <w:vAlign w:val="center"/>
          </w:tcPr>
          <w:p w:rsidR="00024C0A" w:rsidRDefault="00694C0F">
            <w:pPr>
              <w:pStyle w:val="TableBodyText"/>
            </w:pPr>
            <w:r>
              <w:t>11</w:t>
            </w:r>
          </w:p>
        </w:tc>
        <w:tc>
          <w:tcPr>
            <w:tcW w:w="0" w:type="auto"/>
            <w:vAlign w:val="center"/>
          </w:tcPr>
          <w:p w:rsidR="00024C0A" w:rsidRDefault="00694C0F">
            <w:pPr>
              <w:pStyle w:val="TableBodyText"/>
            </w:pPr>
            <w:r>
              <w:t>A5 148 x 210 mm</w:t>
            </w:r>
          </w:p>
        </w:tc>
      </w:tr>
      <w:tr w:rsidR="00024C0A" w:rsidTr="00024C0A">
        <w:tc>
          <w:tcPr>
            <w:tcW w:w="0" w:type="auto"/>
            <w:vAlign w:val="center"/>
          </w:tcPr>
          <w:p w:rsidR="00024C0A" w:rsidRDefault="00694C0F">
            <w:pPr>
              <w:pStyle w:val="TableBodyText"/>
            </w:pPr>
            <w:r>
              <w:t>12</w:t>
            </w:r>
          </w:p>
        </w:tc>
        <w:tc>
          <w:tcPr>
            <w:tcW w:w="0" w:type="auto"/>
            <w:vAlign w:val="center"/>
          </w:tcPr>
          <w:p w:rsidR="00024C0A" w:rsidRDefault="00694C0F">
            <w:pPr>
              <w:pStyle w:val="TableBodyText"/>
            </w:pPr>
            <w:r>
              <w:t>B4 (JIS) 250 x 354</w:t>
            </w:r>
          </w:p>
        </w:tc>
      </w:tr>
      <w:tr w:rsidR="00024C0A" w:rsidTr="00024C0A">
        <w:tc>
          <w:tcPr>
            <w:tcW w:w="0" w:type="auto"/>
            <w:vAlign w:val="center"/>
          </w:tcPr>
          <w:p w:rsidR="00024C0A" w:rsidRDefault="00694C0F">
            <w:pPr>
              <w:pStyle w:val="TableBodyText"/>
            </w:pPr>
            <w:r>
              <w:t>13</w:t>
            </w:r>
          </w:p>
        </w:tc>
        <w:tc>
          <w:tcPr>
            <w:tcW w:w="0" w:type="auto"/>
            <w:vAlign w:val="center"/>
          </w:tcPr>
          <w:p w:rsidR="00024C0A" w:rsidRDefault="00694C0F">
            <w:pPr>
              <w:pStyle w:val="TableBodyText"/>
            </w:pPr>
            <w:r>
              <w:t>B5 (JIS) 182 x 257</w:t>
            </w:r>
            <w:r>
              <w:t xml:space="preserve"> mm</w:t>
            </w:r>
          </w:p>
        </w:tc>
      </w:tr>
      <w:tr w:rsidR="00024C0A" w:rsidTr="00024C0A">
        <w:tc>
          <w:tcPr>
            <w:tcW w:w="0" w:type="auto"/>
            <w:vAlign w:val="center"/>
          </w:tcPr>
          <w:p w:rsidR="00024C0A" w:rsidRDefault="00694C0F">
            <w:pPr>
              <w:pStyle w:val="TableBodyText"/>
            </w:pPr>
            <w:r>
              <w:t>14</w:t>
            </w:r>
          </w:p>
        </w:tc>
        <w:tc>
          <w:tcPr>
            <w:tcW w:w="0" w:type="auto"/>
            <w:vAlign w:val="center"/>
          </w:tcPr>
          <w:p w:rsidR="00024C0A" w:rsidRDefault="00694C0F">
            <w:pPr>
              <w:pStyle w:val="TableBodyText"/>
            </w:pPr>
            <w:r>
              <w:t>Folio 8 1/2 x 13 in</w:t>
            </w:r>
          </w:p>
        </w:tc>
      </w:tr>
      <w:tr w:rsidR="00024C0A" w:rsidTr="00024C0A">
        <w:tc>
          <w:tcPr>
            <w:tcW w:w="0" w:type="auto"/>
            <w:vAlign w:val="center"/>
          </w:tcPr>
          <w:p w:rsidR="00024C0A" w:rsidRDefault="00694C0F">
            <w:pPr>
              <w:pStyle w:val="TableBodyText"/>
            </w:pPr>
            <w:r>
              <w:t>15</w:t>
            </w:r>
          </w:p>
        </w:tc>
        <w:tc>
          <w:tcPr>
            <w:tcW w:w="0" w:type="auto"/>
            <w:vAlign w:val="center"/>
          </w:tcPr>
          <w:p w:rsidR="00024C0A" w:rsidRDefault="00694C0F">
            <w:pPr>
              <w:pStyle w:val="TableBodyText"/>
            </w:pPr>
            <w:r>
              <w:t>Quarto 215 x 275 mm</w:t>
            </w:r>
          </w:p>
        </w:tc>
      </w:tr>
      <w:tr w:rsidR="00024C0A" w:rsidTr="00024C0A">
        <w:tc>
          <w:tcPr>
            <w:tcW w:w="0" w:type="auto"/>
            <w:vAlign w:val="center"/>
          </w:tcPr>
          <w:p w:rsidR="00024C0A" w:rsidRDefault="00694C0F">
            <w:pPr>
              <w:pStyle w:val="TableBodyText"/>
            </w:pPr>
            <w:r>
              <w:t>16</w:t>
            </w:r>
          </w:p>
        </w:tc>
        <w:tc>
          <w:tcPr>
            <w:tcW w:w="0" w:type="auto"/>
            <w:vAlign w:val="center"/>
          </w:tcPr>
          <w:p w:rsidR="00024C0A" w:rsidRDefault="00694C0F">
            <w:pPr>
              <w:pStyle w:val="TableBodyText"/>
            </w:pPr>
            <w:r>
              <w:t>10 x 14 in</w:t>
            </w:r>
          </w:p>
        </w:tc>
      </w:tr>
      <w:tr w:rsidR="00024C0A" w:rsidTr="00024C0A">
        <w:tc>
          <w:tcPr>
            <w:tcW w:w="0" w:type="auto"/>
            <w:vAlign w:val="center"/>
          </w:tcPr>
          <w:p w:rsidR="00024C0A" w:rsidRDefault="00694C0F">
            <w:pPr>
              <w:pStyle w:val="TableBodyText"/>
            </w:pPr>
            <w:r>
              <w:t>17</w:t>
            </w:r>
          </w:p>
        </w:tc>
        <w:tc>
          <w:tcPr>
            <w:tcW w:w="0" w:type="auto"/>
            <w:vAlign w:val="center"/>
          </w:tcPr>
          <w:p w:rsidR="00024C0A" w:rsidRDefault="00694C0F">
            <w:pPr>
              <w:pStyle w:val="TableBodyText"/>
            </w:pPr>
            <w:r>
              <w:t>11 x 17 in</w:t>
            </w:r>
          </w:p>
        </w:tc>
      </w:tr>
      <w:tr w:rsidR="00024C0A" w:rsidTr="00024C0A">
        <w:tc>
          <w:tcPr>
            <w:tcW w:w="0" w:type="auto"/>
            <w:vAlign w:val="center"/>
          </w:tcPr>
          <w:p w:rsidR="00024C0A" w:rsidRDefault="00694C0F">
            <w:pPr>
              <w:pStyle w:val="TableBodyText"/>
            </w:pPr>
            <w:r>
              <w:t>18</w:t>
            </w:r>
          </w:p>
        </w:tc>
        <w:tc>
          <w:tcPr>
            <w:tcW w:w="0" w:type="auto"/>
            <w:vAlign w:val="center"/>
          </w:tcPr>
          <w:p w:rsidR="00024C0A" w:rsidRDefault="00694C0F">
            <w:pPr>
              <w:pStyle w:val="TableBodyText"/>
            </w:pPr>
            <w:r>
              <w:t>US Note 8 1/2 x 11 in</w:t>
            </w:r>
          </w:p>
        </w:tc>
      </w:tr>
      <w:tr w:rsidR="00024C0A" w:rsidTr="00024C0A">
        <w:tc>
          <w:tcPr>
            <w:tcW w:w="0" w:type="auto"/>
            <w:vAlign w:val="center"/>
          </w:tcPr>
          <w:p w:rsidR="00024C0A" w:rsidRDefault="00694C0F">
            <w:pPr>
              <w:pStyle w:val="TableBodyText"/>
            </w:pPr>
            <w:r>
              <w:t>19</w:t>
            </w:r>
          </w:p>
        </w:tc>
        <w:tc>
          <w:tcPr>
            <w:tcW w:w="0" w:type="auto"/>
            <w:vAlign w:val="center"/>
          </w:tcPr>
          <w:p w:rsidR="00024C0A" w:rsidRDefault="00694C0F">
            <w:pPr>
              <w:pStyle w:val="TableBodyText"/>
            </w:pPr>
            <w:r>
              <w:t>US Envelope #9 3 7/8 x 8 7/8</w:t>
            </w:r>
          </w:p>
        </w:tc>
      </w:tr>
      <w:tr w:rsidR="00024C0A" w:rsidTr="00024C0A">
        <w:tc>
          <w:tcPr>
            <w:tcW w:w="0" w:type="auto"/>
            <w:vAlign w:val="center"/>
          </w:tcPr>
          <w:p w:rsidR="00024C0A" w:rsidRDefault="00694C0F">
            <w:pPr>
              <w:pStyle w:val="TableBodyText"/>
            </w:pPr>
            <w:r>
              <w:t>20</w:t>
            </w:r>
          </w:p>
        </w:tc>
        <w:tc>
          <w:tcPr>
            <w:tcW w:w="0" w:type="auto"/>
            <w:vAlign w:val="center"/>
          </w:tcPr>
          <w:p w:rsidR="00024C0A" w:rsidRDefault="00694C0F">
            <w:pPr>
              <w:pStyle w:val="TableBodyText"/>
            </w:pPr>
            <w:r>
              <w:t>US Envelope #10 4 1/8 x 9 1/2</w:t>
            </w:r>
          </w:p>
        </w:tc>
      </w:tr>
      <w:tr w:rsidR="00024C0A" w:rsidTr="00024C0A">
        <w:tc>
          <w:tcPr>
            <w:tcW w:w="0" w:type="auto"/>
            <w:vAlign w:val="center"/>
          </w:tcPr>
          <w:p w:rsidR="00024C0A" w:rsidRDefault="00694C0F">
            <w:pPr>
              <w:pStyle w:val="TableBodyText"/>
            </w:pPr>
            <w:r>
              <w:t>21</w:t>
            </w:r>
          </w:p>
        </w:tc>
        <w:tc>
          <w:tcPr>
            <w:tcW w:w="0" w:type="auto"/>
            <w:vAlign w:val="center"/>
          </w:tcPr>
          <w:p w:rsidR="00024C0A" w:rsidRDefault="00694C0F">
            <w:pPr>
              <w:pStyle w:val="TableBodyText"/>
            </w:pPr>
            <w:r>
              <w:t>US Envelope #11 4 1/2 x 10 3/8</w:t>
            </w:r>
          </w:p>
        </w:tc>
      </w:tr>
      <w:tr w:rsidR="00024C0A" w:rsidTr="00024C0A">
        <w:tc>
          <w:tcPr>
            <w:tcW w:w="0" w:type="auto"/>
            <w:vAlign w:val="center"/>
          </w:tcPr>
          <w:p w:rsidR="00024C0A" w:rsidRDefault="00694C0F">
            <w:pPr>
              <w:pStyle w:val="TableBodyText"/>
            </w:pPr>
            <w:r>
              <w:t>22</w:t>
            </w:r>
          </w:p>
        </w:tc>
        <w:tc>
          <w:tcPr>
            <w:tcW w:w="0" w:type="auto"/>
            <w:vAlign w:val="center"/>
          </w:tcPr>
          <w:p w:rsidR="00024C0A" w:rsidRDefault="00694C0F">
            <w:pPr>
              <w:pStyle w:val="TableBodyText"/>
            </w:pPr>
            <w:r>
              <w:t>US Envelope #12 4 \276 x 11</w:t>
            </w:r>
          </w:p>
        </w:tc>
      </w:tr>
      <w:tr w:rsidR="00024C0A" w:rsidTr="00024C0A">
        <w:tc>
          <w:tcPr>
            <w:tcW w:w="0" w:type="auto"/>
            <w:vAlign w:val="center"/>
          </w:tcPr>
          <w:p w:rsidR="00024C0A" w:rsidRDefault="00694C0F">
            <w:pPr>
              <w:pStyle w:val="TableBodyText"/>
            </w:pPr>
            <w:r>
              <w:lastRenderedPageBreak/>
              <w:t>23</w:t>
            </w:r>
          </w:p>
        </w:tc>
        <w:tc>
          <w:tcPr>
            <w:tcW w:w="0" w:type="auto"/>
            <w:vAlign w:val="center"/>
          </w:tcPr>
          <w:p w:rsidR="00024C0A" w:rsidRDefault="00694C0F">
            <w:pPr>
              <w:pStyle w:val="TableBodyText"/>
            </w:pPr>
            <w:r>
              <w:t xml:space="preserve">US </w:t>
            </w:r>
            <w:r>
              <w:t>Envelope #14 5 x 11 1/2</w:t>
            </w:r>
          </w:p>
        </w:tc>
      </w:tr>
      <w:tr w:rsidR="00024C0A" w:rsidTr="00024C0A">
        <w:tc>
          <w:tcPr>
            <w:tcW w:w="0" w:type="auto"/>
            <w:vAlign w:val="center"/>
          </w:tcPr>
          <w:p w:rsidR="00024C0A" w:rsidRDefault="00694C0F">
            <w:pPr>
              <w:pStyle w:val="TableBodyText"/>
            </w:pPr>
            <w:r>
              <w:t>24</w:t>
            </w:r>
          </w:p>
        </w:tc>
        <w:tc>
          <w:tcPr>
            <w:tcW w:w="0" w:type="auto"/>
            <w:vAlign w:val="center"/>
          </w:tcPr>
          <w:p w:rsidR="00024C0A" w:rsidRDefault="00694C0F">
            <w:pPr>
              <w:pStyle w:val="TableBodyText"/>
            </w:pPr>
            <w:r>
              <w:t>C size sheet</w:t>
            </w:r>
          </w:p>
        </w:tc>
      </w:tr>
      <w:tr w:rsidR="00024C0A" w:rsidTr="00024C0A">
        <w:tc>
          <w:tcPr>
            <w:tcW w:w="0" w:type="auto"/>
            <w:vAlign w:val="center"/>
          </w:tcPr>
          <w:p w:rsidR="00024C0A" w:rsidRDefault="00694C0F">
            <w:pPr>
              <w:pStyle w:val="TableBodyText"/>
            </w:pPr>
            <w:r>
              <w:t>25</w:t>
            </w:r>
          </w:p>
        </w:tc>
        <w:tc>
          <w:tcPr>
            <w:tcW w:w="0" w:type="auto"/>
            <w:vAlign w:val="center"/>
          </w:tcPr>
          <w:p w:rsidR="00024C0A" w:rsidRDefault="00694C0F">
            <w:pPr>
              <w:pStyle w:val="TableBodyText"/>
            </w:pPr>
            <w:r>
              <w:t>D size sheet</w:t>
            </w:r>
          </w:p>
        </w:tc>
      </w:tr>
      <w:tr w:rsidR="00024C0A" w:rsidTr="00024C0A">
        <w:tc>
          <w:tcPr>
            <w:tcW w:w="0" w:type="auto"/>
            <w:vAlign w:val="center"/>
          </w:tcPr>
          <w:p w:rsidR="00024C0A" w:rsidRDefault="00694C0F">
            <w:pPr>
              <w:pStyle w:val="TableBodyText"/>
            </w:pPr>
            <w:r>
              <w:t>26</w:t>
            </w:r>
          </w:p>
        </w:tc>
        <w:tc>
          <w:tcPr>
            <w:tcW w:w="0" w:type="auto"/>
            <w:vAlign w:val="center"/>
          </w:tcPr>
          <w:p w:rsidR="00024C0A" w:rsidRDefault="00694C0F">
            <w:pPr>
              <w:pStyle w:val="TableBodyText"/>
            </w:pPr>
            <w:r>
              <w:t>E size sheet</w:t>
            </w:r>
          </w:p>
        </w:tc>
      </w:tr>
      <w:tr w:rsidR="00024C0A" w:rsidTr="00024C0A">
        <w:tc>
          <w:tcPr>
            <w:tcW w:w="0" w:type="auto"/>
            <w:vAlign w:val="center"/>
          </w:tcPr>
          <w:p w:rsidR="00024C0A" w:rsidRDefault="00694C0F">
            <w:pPr>
              <w:pStyle w:val="TableBodyText"/>
            </w:pPr>
            <w:r>
              <w:t>27</w:t>
            </w:r>
          </w:p>
        </w:tc>
        <w:tc>
          <w:tcPr>
            <w:tcW w:w="0" w:type="auto"/>
            <w:vAlign w:val="center"/>
          </w:tcPr>
          <w:p w:rsidR="00024C0A" w:rsidRDefault="00694C0F">
            <w:pPr>
              <w:pStyle w:val="TableBodyText"/>
            </w:pPr>
            <w:r>
              <w:t>Envelope DL 110 x 220mm</w:t>
            </w:r>
          </w:p>
        </w:tc>
      </w:tr>
      <w:tr w:rsidR="00024C0A" w:rsidTr="00024C0A">
        <w:tc>
          <w:tcPr>
            <w:tcW w:w="0" w:type="auto"/>
            <w:vAlign w:val="center"/>
          </w:tcPr>
          <w:p w:rsidR="00024C0A" w:rsidRDefault="00694C0F">
            <w:pPr>
              <w:pStyle w:val="TableBodyText"/>
            </w:pPr>
            <w:r>
              <w:t>28</w:t>
            </w:r>
          </w:p>
        </w:tc>
        <w:tc>
          <w:tcPr>
            <w:tcW w:w="0" w:type="auto"/>
            <w:vAlign w:val="center"/>
          </w:tcPr>
          <w:p w:rsidR="00024C0A" w:rsidRDefault="00694C0F">
            <w:pPr>
              <w:pStyle w:val="TableBodyText"/>
            </w:pPr>
            <w:r>
              <w:t>Envelope C5 162 x 229 mm</w:t>
            </w:r>
          </w:p>
        </w:tc>
      </w:tr>
      <w:tr w:rsidR="00024C0A" w:rsidTr="00024C0A">
        <w:tc>
          <w:tcPr>
            <w:tcW w:w="0" w:type="auto"/>
            <w:vAlign w:val="center"/>
          </w:tcPr>
          <w:p w:rsidR="00024C0A" w:rsidRDefault="00694C0F">
            <w:pPr>
              <w:pStyle w:val="TableBodyText"/>
            </w:pPr>
            <w:r>
              <w:t>29</w:t>
            </w:r>
          </w:p>
        </w:tc>
        <w:tc>
          <w:tcPr>
            <w:tcW w:w="0" w:type="auto"/>
            <w:vAlign w:val="center"/>
          </w:tcPr>
          <w:p w:rsidR="00024C0A" w:rsidRDefault="00694C0F">
            <w:pPr>
              <w:pStyle w:val="TableBodyText"/>
            </w:pPr>
            <w:r>
              <w:t>Envelope C3 324 x 458 mm</w:t>
            </w:r>
          </w:p>
        </w:tc>
      </w:tr>
      <w:tr w:rsidR="00024C0A" w:rsidTr="00024C0A">
        <w:tc>
          <w:tcPr>
            <w:tcW w:w="0" w:type="auto"/>
            <w:vAlign w:val="center"/>
          </w:tcPr>
          <w:p w:rsidR="00024C0A" w:rsidRDefault="00694C0F">
            <w:pPr>
              <w:pStyle w:val="TableBodyText"/>
            </w:pPr>
            <w:r>
              <w:t>30</w:t>
            </w:r>
          </w:p>
        </w:tc>
        <w:tc>
          <w:tcPr>
            <w:tcW w:w="0" w:type="auto"/>
            <w:vAlign w:val="center"/>
          </w:tcPr>
          <w:p w:rsidR="00024C0A" w:rsidRDefault="00694C0F">
            <w:pPr>
              <w:pStyle w:val="TableBodyText"/>
            </w:pPr>
            <w:r>
              <w:t>Envelope C4 229 x 324 mm</w:t>
            </w:r>
          </w:p>
        </w:tc>
      </w:tr>
      <w:tr w:rsidR="00024C0A" w:rsidTr="00024C0A">
        <w:tc>
          <w:tcPr>
            <w:tcW w:w="0" w:type="auto"/>
            <w:vAlign w:val="center"/>
          </w:tcPr>
          <w:p w:rsidR="00024C0A" w:rsidRDefault="00694C0F">
            <w:pPr>
              <w:pStyle w:val="TableBodyText"/>
            </w:pPr>
            <w:r>
              <w:t>31</w:t>
            </w:r>
          </w:p>
        </w:tc>
        <w:tc>
          <w:tcPr>
            <w:tcW w:w="0" w:type="auto"/>
            <w:vAlign w:val="center"/>
          </w:tcPr>
          <w:p w:rsidR="00024C0A" w:rsidRDefault="00694C0F">
            <w:pPr>
              <w:pStyle w:val="TableBodyText"/>
            </w:pPr>
            <w:r>
              <w:t>Envelope C6 114 x 162 mm</w:t>
            </w:r>
          </w:p>
        </w:tc>
      </w:tr>
      <w:tr w:rsidR="00024C0A" w:rsidTr="00024C0A">
        <w:tc>
          <w:tcPr>
            <w:tcW w:w="0" w:type="auto"/>
            <w:vAlign w:val="center"/>
          </w:tcPr>
          <w:p w:rsidR="00024C0A" w:rsidRDefault="00694C0F">
            <w:pPr>
              <w:pStyle w:val="TableBodyText"/>
            </w:pPr>
            <w:r>
              <w:t>32</w:t>
            </w:r>
          </w:p>
        </w:tc>
        <w:tc>
          <w:tcPr>
            <w:tcW w:w="0" w:type="auto"/>
            <w:vAlign w:val="center"/>
          </w:tcPr>
          <w:p w:rsidR="00024C0A" w:rsidRDefault="00694C0F">
            <w:pPr>
              <w:pStyle w:val="TableBodyText"/>
            </w:pPr>
            <w:r>
              <w:t>Envelope C65 114 x 229 mm</w:t>
            </w:r>
          </w:p>
        </w:tc>
      </w:tr>
      <w:tr w:rsidR="00024C0A" w:rsidTr="00024C0A">
        <w:tc>
          <w:tcPr>
            <w:tcW w:w="0" w:type="auto"/>
            <w:vAlign w:val="center"/>
          </w:tcPr>
          <w:p w:rsidR="00024C0A" w:rsidRDefault="00694C0F">
            <w:pPr>
              <w:pStyle w:val="TableBodyText"/>
            </w:pPr>
            <w:r>
              <w:t>33</w:t>
            </w:r>
          </w:p>
        </w:tc>
        <w:tc>
          <w:tcPr>
            <w:tcW w:w="0" w:type="auto"/>
            <w:vAlign w:val="center"/>
          </w:tcPr>
          <w:p w:rsidR="00024C0A" w:rsidRDefault="00694C0F">
            <w:pPr>
              <w:pStyle w:val="TableBodyText"/>
            </w:pPr>
            <w:r>
              <w:t>Envelope B4 250 x 353 mm</w:t>
            </w:r>
          </w:p>
        </w:tc>
      </w:tr>
      <w:tr w:rsidR="00024C0A" w:rsidTr="00024C0A">
        <w:tc>
          <w:tcPr>
            <w:tcW w:w="0" w:type="auto"/>
            <w:vAlign w:val="center"/>
          </w:tcPr>
          <w:p w:rsidR="00024C0A" w:rsidRDefault="00694C0F">
            <w:pPr>
              <w:pStyle w:val="TableBodyText"/>
            </w:pPr>
            <w:r>
              <w:t>34</w:t>
            </w:r>
          </w:p>
        </w:tc>
        <w:tc>
          <w:tcPr>
            <w:tcW w:w="0" w:type="auto"/>
            <w:vAlign w:val="center"/>
          </w:tcPr>
          <w:p w:rsidR="00024C0A" w:rsidRDefault="00694C0F">
            <w:pPr>
              <w:pStyle w:val="TableBodyText"/>
            </w:pPr>
            <w:r>
              <w:t>Envelope B5 176 x 250 mm</w:t>
            </w:r>
          </w:p>
        </w:tc>
      </w:tr>
      <w:tr w:rsidR="00024C0A" w:rsidTr="00024C0A">
        <w:tc>
          <w:tcPr>
            <w:tcW w:w="0" w:type="auto"/>
            <w:vAlign w:val="center"/>
          </w:tcPr>
          <w:p w:rsidR="00024C0A" w:rsidRDefault="00694C0F">
            <w:pPr>
              <w:pStyle w:val="TableBodyText"/>
            </w:pPr>
            <w:r>
              <w:t>35</w:t>
            </w:r>
          </w:p>
        </w:tc>
        <w:tc>
          <w:tcPr>
            <w:tcW w:w="0" w:type="auto"/>
            <w:vAlign w:val="center"/>
          </w:tcPr>
          <w:p w:rsidR="00024C0A" w:rsidRDefault="00694C0F">
            <w:pPr>
              <w:pStyle w:val="TableBodyText"/>
            </w:pPr>
            <w:r>
              <w:t>Envelope B6 176 x 125 mm</w:t>
            </w:r>
          </w:p>
        </w:tc>
      </w:tr>
      <w:tr w:rsidR="00024C0A" w:rsidTr="00024C0A">
        <w:tc>
          <w:tcPr>
            <w:tcW w:w="0" w:type="auto"/>
            <w:vAlign w:val="center"/>
          </w:tcPr>
          <w:p w:rsidR="00024C0A" w:rsidRDefault="00694C0F">
            <w:pPr>
              <w:pStyle w:val="TableBodyText"/>
            </w:pPr>
            <w:r>
              <w:t>36</w:t>
            </w:r>
          </w:p>
        </w:tc>
        <w:tc>
          <w:tcPr>
            <w:tcW w:w="0" w:type="auto"/>
            <w:vAlign w:val="center"/>
          </w:tcPr>
          <w:p w:rsidR="00024C0A" w:rsidRDefault="00694C0F">
            <w:pPr>
              <w:pStyle w:val="TableBodyText"/>
            </w:pPr>
            <w:r>
              <w:t>Envelope 110 x 230 mm</w:t>
            </w:r>
          </w:p>
        </w:tc>
      </w:tr>
      <w:tr w:rsidR="00024C0A" w:rsidTr="00024C0A">
        <w:tc>
          <w:tcPr>
            <w:tcW w:w="0" w:type="auto"/>
            <w:vAlign w:val="center"/>
          </w:tcPr>
          <w:p w:rsidR="00024C0A" w:rsidRDefault="00694C0F">
            <w:pPr>
              <w:pStyle w:val="TableBodyText"/>
            </w:pPr>
            <w:r>
              <w:t>37</w:t>
            </w:r>
          </w:p>
        </w:tc>
        <w:tc>
          <w:tcPr>
            <w:tcW w:w="0" w:type="auto"/>
            <w:vAlign w:val="center"/>
          </w:tcPr>
          <w:p w:rsidR="00024C0A" w:rsidRDefault="00694C0F">
            <w:pPr>
              <w:pStyle w:val="TableBodyText"/>
            </w:pPr>
            <w:r>
              <w:t>US Envelope Monarch 3.875 x 7.5 in</w:t>
            </w:r>
          </w:p>
        </w:tc>
      </w:tr>
      <w:tr w:rsidR="00024C0A" w:rsidTr="00024C0A">
        <w:tc>
          <w:tcPr>
            <w:tcW w:w="0" w:type="auto"/>
            <w:vAlign w:val="center"/>
          </w:tcPr>
          <w:p w:rsidR="00024C0A" w:rsidRDefault="00694C0F">
            <w:pPr>
              <w:pStyle w:val="TableBodyText"/>
            </w:pPr>
            <w:r>
              <w:t>38</w:t>
            </w:r>
          </w:p>
        </w:tc>
        <w:tc>
          <w:tcPr>
            <w:tcW w:w="0" w:type="auto"/>
            <w:vAlign w:val="center"/>
          </w:tcPr>
          <w:p w:rsidR="00024C0A" w:rsidRDefault="00694C0F">
            <w:pPr>
              <w:pStyle w:val="TableBodyText"/>
            </w:pPr>
            <w:r>
              <w:t>6 3/4 US Envelope 3 5/8 x 6 1/2 in</w:t>
            </w:r>
          </w:p>
        </w:tc>
      </w:tr>
      <w:tr w:rsidR="00024C0A" w:rsidTr="00024C0A">
        <w:tc>
          <w:tcPr>
            <w:tcW w:w="0" w:type="auto"/>
            <w:vAlign w:val="center"/>
          </w:tcPr>
          <w:p w:rsidR="00024C0A" w:rsidRDefault="00694C0F">
            <w:pPr>
              <w:pStyle w:val="TableBodyText"/>
            </w:pPr>
            <w:r>
              <w:t>39</w:t>
            </w:r>
          </w:p>
        </w:tc>
        <w:tc>
          <w:tcPr>
            <w:tcW w:w="0" w:type="auto"/>
            <w:vAlign w:val="center"/>
          </w:tcPr>
          <w:p w:rsidR="00024C0A" w:rsidRDefault="00694C0F">
            <w:pPr>
              <w:pStyle w:val="TableBodyText"/>
            </w:pPr>
            <w:r>
              <w:t>US Std Fanfold 14 7/8 x 11 in</w:t>
            </w:r>
          </w:p>
        </w:tc>
      </w:tr>
      <w:tr w:rsidR="00024C0A" w:rsidTr="00024C0A">
        <w:tc>
          <w:tcPr>
            <w:tcW w:w="0" w:type="auto"/>
            <w:vAlign w:val="center"/>
          </w:tcPr>
          <w:p w:rsidR="00024C0A" w:rsidRDefault="00694C0F">
            <w:pPr>
              <w:pStyle w:val="TableBodyText"/>
            </w:pPr>
            <w:r>
              <w:t>40</w:t>
            </w:r>
          </w:p>
        </w:tc>
        <w:tc>
          <w:tcPr>
            <w:tcW w:w="0" w:type="auto"/>
            <w:vAlign w:val="center"/>
          </w:tcPr>
          <w:p w:rsidR="00024C0A" w:rsidRDefault="00694C0F">
            <w:pPr>
              <w:pStyle w:val="TableBodyText"/>
            </w:pPr>
            <w:r>
              <w:t xml:space="preserve">German Std Fanfold 8 1/2 x 12 </w:t>
            </w:r>
            <w:r>
              <w:t>in</w:t>
            </w:r>
          </w:p>
        </w:tc>
      </w:tr>
      <w:tr w:rsidR="00024C0A" w:rsidTr="00024C0A">
        <w:tc>
          <w:tcPr>
            <w:tcW w:w="0" w:type="auto"/>
            <w:vAlign w:val="center"/>
          </w:tcPr>
          <w:p w:rsidR="00024C0A" w:rsidRDefault="00694C0F">
            <w:pPr>
              <w:pStyle w:val="TableBodyText"/>
            </w:pPr>
            <w:r>
              <w:t>41</w:t>
            </w:r>
          </w:p>
        </w:tc>
        <w:tc>
          <w:tcPr>
            <w:tcW w:w="0" w:type="auto"/>
            <w:vAlign w:val="center"/>
          </w:tcPr>
          <w:p w:rsidR="00024C0A" w:rsidRDefault="00694C0F">
            <w:pPr>
              <w:pStyle w:val="TableBodyText"/>
            </w:pPr>
            <w:r>
              <w:t>German Legal Fanfold 8 1/2 x 13 in</w:t>
            </w:r>
          </w:p>
        </w:tc>
      </w:tr>
      <w:tr w:rsidR="00024C0A" w:rsidTr="00024C0A">
        <w:tc>
          <w:tcPr>
            <w:tcW w:w="0" w:type="auto"/>
            <w:vAlign w:val="center"/>
          </w:tcPr>
          <w:p w:rsidR="00024C0A" w:rsidRDefault="00694C0F">
            <w:pPr>
              <w:pStyle w:val="TableBodyText"/>
            </w:pPr>
            <w:r>
              <w:t>42</w:t>
            </w:r>
          </w:p>
        </w:tc>
        <w:tc>
          <w:tcPr>
            <w:tcW w:w="0" w:type="auto"/>
            <w:vAlign w:val="center"/>
          </w:tcPr>
          <w:p w:rsidR="00024C0A" w:rsidRDefault="00694C0F">
            <w:pPr>
              <w:pStyle w:val="TableBodyText"/>
            </w:pPr>
            <w:r>
              <w:t>B4 (ISO) 250 x 353 mm</w:t>
            </w:r>
          </w:p>
        </w:tc>
      </w:tr>
      <w:tr w:rsidR="00024C0A" w:rsidTr="00024C0A">
        <w:tc>
          <w:tcPr>
            <w:tcW w:w="0" w:type="auto"/>
            <w:vAlign w:val="center"/>
          </w:tcPr>
          <w:p w:rsidR="00024C0A" w:rsidRDefault="00694C0F">
            <w:pPr>
              <w:pStyle w:val="TableBodyText"/>
            </w:pPr>
            <w:r>
              <w:t>43</w:t>
            </w:r>
          </w:p>
        </w:tc>
        <w:tc>
          <w:tcPr>
            <w:tcW w:w="0" w:type="auto"/>
            <w:vAlign w:val="center"/>
          </w:tcPr>
          <w:p w:rsidR="00024C0A" w:rsidRDefault="00694C0F">
            <w:pPr>
              <w:pStyle w:val="TableBodyText"/>
            </w:pPr>
            <w:r>
              <w:t>Japanese Postcard 100 x 148 mm</w:t>
            </w:r>
          </w:p>
        </w:tc>
      </w:tr>
      <w:tr w:rsidR="00024C0A" w:rsidTr="00024C0A">
        <w:tc>
          <w:tcPr>
            <w:tcW w:w="0" w:type="auto"/>
            <w:vAlign w:val="center"/>
          </w:tcPr>
          <w:p w:rsidR="00024C0A" w:rsidRDefault="00694C0F">
            <w:pPr>
              <w:pStyle w:val="TableBodyText"/>
            </w:pPr>
            <w:r>
              <w:t>44</w:t>
            </w:r>
          </w:p>
        </w:tc>
        <w:tc>
          <w:tcPr>
            <w:tcW w:w="0" w:type="auto"/>
            <w:vAlign w:val="center"/>
          </w:tcPr>
          <w:p w:rsidR="00024C0A" w:rsidRDefault="00694C0F">
            <w:pPr>
              <w:pStyle w:val="TableBodyText"/>
            </w:pPr>
            <w:r>
              <w:t>9 x 11 in</w:t>
            </w:r>
          </w:p>
        </w:tc>
      </w:tr>
      <w:tr w:rsidR="00024C0A" w:rsidTr="00024C0A">
        <w:tc>
          <w:tcPr>
            <w:tcW w:w="0" w:type="auto"/>
            <w:vAlign w:val="center"/>
          </w:tcPr>
          <w:p w:rsidR="00024C0A" w:rsidRDefault="00694C0F">
            <w:pPr>
              <w:pStyle w:val="TableBodyText"/>
            </w:pPr>
            <w:r>
              <w:t>45</w:t>
            </w:r>
          </w:p>
        </w:tc>
        <w:tc>
          <w:tcPr>
            <w:tcW w:w="0" w:type="auto"/>
            <w:vAlign w:val="center"/>
          </w:tcPr>
          <w:p w:rsidR="00024C0A" w:rsidRDefault="00694C0F">
            <w:pPr>
              <w:pStyle w:val="TableBodyText"/>
            </w:pPr>
            <w:r>
              <w:t>10 x 11 in</w:t>
            </w:r>
          </w:p>
        </w:tc>
      </w:tr>
      <w:tr w:rsidR="00024C0A" w:rsidTr="00024C0A">
        <w:tc>
          <w:tcPr>
            <w:tcW w:w="0" w:type="auto"/>
            <w:vAlign w:val="center"/>
          </w:tcPr>
          <w:p w:rsidR="00024C0A" w:rsidRDefault="00694C0F">
            <w:pPr>
              <w:pStyle w:val="TableBodyText"/>
            </w:pPr>
            <w:r>
              <w:t>46</w:t>
            </w:r>
          </w:p>
        </w:tc>
        <w:tc>
          <w:tcPr>
            <w:tcW w:w="0" w:type="auto"/>
            <w:vAlign w:val="center"/>
          </w:tcPr>
          <w:p w:rsidR="00024C0A" w:rsidRDefault="00694C0F">
            <w:pPr>
              <w:pStyle w:val="TableBodyText"/>
            </w:pPr>
            <w:r>
              <w:t>15 x 11 in</w:t>
            </w:r>
          </w:p>
        </w:tc>
      </w:tr>
      <w:tr w:rsidR="00024C0A" w:rsidTr="00024C0A">
        <w:tc>
          <w:tcPr>
            <w:tcW w:w="0" w:type="auto"/>
            <w:vAlign w:val="center"/>
          </w:tcPr>
          <w:p w:rsidR="00024C0A" w:rsidRDefault="00694C0F">
            <w:pPr>
              <w:pStyle w:val="TableBodyText"/>
            </w:pPr>
            <w:r>
              <w:t>47</w:t>
            </w:r>
          </w:p>
        </w:tc>
        <w:tc>
          <w:tcPr>
            <w:tcW w:w="0" w:type="auto"/>
            <w:vAlign w:val="center"/>
          </w:tcPr>
          <w:p w:rsidR="00024C0A" w:rsidRDefault="00694C0F">
            <w:pPr>
              <w:pStyle w:val="TableBodyText"/>
            </w:pPr>
            <w:r>
              <w:t>Envelope Invite 220 x 220 mm</w:t>
            </w:r>
          </w:p>
        </w:tc>
      </w:tr>
      <w:tr w:rsidR="00024C0A" w:rsidTr="00024C0A">
        <w:tc>
          <w:tcPr>
            <w:tcW w:w="0" w:type="auto"/>
            <w:vAlign w:val="center"/>
          </w:tcPr>
          <w:p w:rsidR="00024C0A" w:rsidRDefault="00694C0F">
            <w:pPr>
              <w:pStyle w:val="TableBodyText"/>
            </w:pPr>
            <w:r>
              <w:t>48</w:t>
            </w:r>
          </w:p>
        </w:tc>
        <w:tc>
          <w:tcPr>
            <w:tcW w:w="0" w:type="auto"/>
            <w:vAlign w:val="center"/>
          </w:tcPr>
          <w:p w:rsidR="00024C0A" w:rsidRDefault="00694C0F">
            <w:pPr>
              <w:pStyle w:val="TableBodyText"/>
            </w:pPr>
            <w:r>
              <w:t>RESERVED--DO NOT USE</w:t>
            </w:r>
          </w:p>
        </w:tc>
      </w:tr>
      <w:tr w:rsidR="00024C0A" w:rsidTr="00024C0A">
        <w:tc>
          <w:tcPr>
            <w:tcW w:w="0" w:type="auto"/>
            <w:vAlign w:val="center"/>
          </w:tcPr>
          <w:p w:rsidR="00024C0A" w:rsidRDefault="00694C0F">
            <w:pPr>
              <w:pStyle w:val="TableBodyText"/>
            </w:pPr>
            <w:r>
              <w:t>49</w:t>
            </w:r>
          </w:p>
        </w:tc>
        <w:tc>
          <w:tcPr>
            <w:tcW w:w="0" w:type="auto"/>
            <w:vAlign w:val="center"/>
          </w:tcPr>
          <w:p w:rsidR="00024C0A" w:rsidRDefault="00694C0F">
            <w:pPr>
              <w:pStyle w:val="TableBodyText"/>
            </w:pPr>
            <w:r>
              <w:t>RESERVED--DO NOT USE</w:t>
            </w:r>
          </w:p>
        </w:tc>
      </w:tr>
      <w:tr w:rsidR="00024C0A" w:rsidTr="00024C0A">
        <w:tc>
          <w:tcPr>
            <w:tcW w:w="0" w:type="auto"/>
            <w:vAlign w:val="center"/>
          </w:tcPr>
          <w:p w:rsidR="00024C0A" w:rsidRDefault="00694C0F">
            <w:pPr>
              <w:pStyle w:val="TableBodyText"/>
            </w:pPr>
            <w:r>
              <w:t>50</w:t>
            </w:r>
          </w:p>
        </w:tc>
        <w:tc>
          <w:tcPr>
            <w:tcW w:w="0" w:type="auto"/>
            <w:vAlign w:val="center"/>
          </w:tcPr>
          <w:p w:rsidR="00024C0A" w:rsidRDefault="00694C0F">
            <w:pPr>
              <w:pStyle w:val="TableBodyText"/>
            </w:pPr>
            <w:r>
              <w:t>US Letter Extra 9 \275</w:t>
            </w:r>
            <w:r>
              <w:t xml:space="preserve"> x 12 in</w:t>
            </w:r>
          </w:p>
        </w:tc>
      </w:tr>
      <w:tr w:rsidR="00024C0A" w:rsidTr="00024C0A">
        <w:tc>
          <w:tcPr>
            <w:tcW w:w="0" w:type="auto"/>
            <w:vAlign w:val="center"/>
          </w:tcPr>
          <w:p w:rsidR="00024C0A" w:rsidRDefault="00694C0F">
            <w:pPr>
              <w:pStyle w:val="TableBodyText"/>
            </w:pPr>
            <w:r>
              <w:t>51</w:t>
            </w:r>
          </w:p>
        </w:tc>
        <w:tc>
          <w:tcPr>
            <w:tcW w:w="0" w:type="auto"/>
            <w:vAlign w:val="center"/>
          </w:tcPr>
          <w:p w:rsidR="00024C0A" w:rsidRDefault="00694C0F">
            <w:pPr>
              <w:pStyle w:val="TableBodyText"/>
            </w:pPr>
            <w:r>
              <w:t>US Legal Extra 9 \275 x 15 in</w:t>
            </w:r>
          </w:p>
        </w:tc>
      </w:tr>
      <w:tr w:rsidR="00024C0A" w:rsidTr="00024C0A">
        <w:tc>
          <w:tcPr>
            <w:tcW w:w="0" w:type="auto"/>
            <w:vAlign w:val="center"/>
          </w:tcPr>
          <w:p w:rsidR="00024C0A" w:rsidRDefault="00694C0F">
            <w:pPr>
              <w:pStyle w:val="TableBodyText"/>
            </w:pPr>
            <w:r>
              <w:t>52</w:t>
            </w:r>
          </w:p>
        </w:tc>
        <w:tc>
          <w:tcPr>
            <w:tcW w:w="0" w:type="auto"/>
            <w:vAlign w:val="center"/>
          </w:tcPr>
          <w:p w:rsidR="00024C0A" w:rsidRDefault="00694C0F">
            <w:pPr>
              <w:pStyle w:val="TableBodyText"/>
            </w:pPr>
            <w:r>
              <w:t>US Tabloid Extra 11.69 x 18 in</w:t>
            </w:r>
          </w:p>
        </w:tc>
      </w:tr>
      <w:tr w:rsidR="00024C0A" w:rsidTr="00024C0A">
        <w:tc>
          <w:tcPr>
            <w:tcW w:w="0" w:type="auto"/>
            <w:vAlign w:val="center"/>
          </w:tcPr>
          <w:p w:rsidR="00024C0A" w:rsidRDefault="00694C0F">
            <w:pPr>
              <w:pStyle w:val="TableBodyText"/>
            </w:pPr>
            <w:r>
              <w:t>53</w:t>
            </w:r>
          </w:p>
        </w:tc>
        <w:tc>
          <w:tcPr>
            <w:tcW w:w="0" w:type="auto"/>
            <w:vAlign w:val="center"/>
          </w:tcPr>
          <w:p w:rsidR="00024C0A" w:rsidRDefault="00694C0F">
            <w:pPr>
              <w:pStyle w:val="TableBodyText"/>
            </w:pPr>
            <w:r>
              <w:t>A4 Extra 9.27 x 12.69 in</w:t>
            </w:r>
          </w:p>
        </w:tc>
      </w:tr>
      <w:tr w:rsidR="00024C0A" w:rsidTr="00024C0A">
        <w:tc>
          <w:tcPr>
            <w:tcW w:w="0" w:type="auto"/>
            <w:vAlign w:val="center"/>
          </w:tcPr>
          <w:p w:rsidR="00024C0A" w:rsidRDefault="00694C0F">
            <w:pPr>
              <w:pStyle w:val="TableBodyText"/>
            </w:pPr>
            <w:r>
              <w:t>54</w:t>
            </w:r>
          </w:p>
        </w:tc>
        <w:tc>
          <w:tcPr>
            <w:tcW w:w="0" w:type="auto"/>
            <w:vAlign w:val="center"/>
          </w:tcPr>
          <w:p w:rsidR="00024C0A" w:rsidRDefault="00694C0F">
            <w:pPr>
              <w:pStyle w:val="TableBodyText"/>
            </w:pPr>
            <w:r>
              <w:t xml:space="preserve">Letter Transverse 8 \275 x 11 in </w:t>
            </w:r>
          </w:p>
        </w:tc>
      </w:tr>
      <w:tr w:rsidR="00024C0A" w:rsidTr="00024C0A">
        <w:tc>
          <w:tcPr>
            <w:tcW w:w="0" w:type="auto"/>
            <w:vAlign w:val="center"/>
          </w:tcPr>
          <w:p w:rsidR="00024C0A" w:rsidRDefault="00694C0F">
            <w:pPr>
              <w:pStyle w:val="TableBodyText"/>
            </w:pPr>
            <w:r>
              <w:lastRenderedPageBreak/>
              <w:t>55</w:t>
            </w:r>
          </w:p>
        </w:tc>
        <w:tc>
          <w:tcPr>
            <w:tcW w:w="0" w:type="auto"/>
            <w:vAlign w:val="center"/>
          </w:tcPr>
          <w:p w:rsidR="00024C0A" w:rsidRDefault="00694C0F">
            <w:pPr>
              <w:pStyle w:val="TableBodyText"/>
            </w:pPr>
            <w:r>
              <w:t>A4 Transverse 210 x 297 mm</w:t>
            </w:r>
          </w:p>
        </w:tc>
      </w:tr>
      <w:tr w:rsidR="00024C0A" w:rsidTr="00024C0A">
        <w:tc>
          <w:tcPr>
            <w:tcW w:w="0" w:type="auto"/>
            <w:vAlign w:val="center"/>
          </w:tcPr>
          <w:p w:rsidR="00024C0A" w:rsidRDefault="00694C0F">
            <w:pPr>
              <w:pStyle w:val="TableBodyText"/>
            </w:pPr>
            <w:r>
              <w:t>56</w:t>
            </w:r>
          </w:p>
        </w:tc>
        <w:tc>
          <w:tcPr>
            <w:tcW w:w="0" w:type="auto"/>
            <w:vAlign w:val="center"/>
          </w:tcPr>
          <w:p w:rsidR="00024C0A" w:rsidRDefault="00694C0F">
            <w:pPr>
              <w:pStyle w:val="TableBodyText"/>
            </w:pPr>
            <w:r>
              <w:t>Letter Extra Transverse 9\275 x 12 in</w:t>
            </w:r>
          </w:p>
        </w:tc>
      </w:tr>
      <w:tr w:rsidR="00024C0A" w:rsidTr="00024C0A">
        <w:tc>
          <w:tcPr>
            <w:tcW w:w="0" w:type="auto"/>
            <w:vAlign w:val="center"/>
          </w:tcPr>
          <w:p w:rsidR="00024C0A" w:rsidRDefault="00694C0F">
            <w:pPr>
              <w:pStyle w:val="TableBodyText"/>
            </w:pPr>
            <w:r>
              <w:t>57</w:t>
            </w:r>
          </w:p>
        </w:tc>
        <w:tc>
          <w:tcPr>
            <w:tcW w:w="0" w:type="auto"/>
            <w:vAlign w:val="center"/>
          </w:tcPr>
          <w:p w:rsidR="00024C0A" w:rsidRDefault="00694C0F">
            <w:pPr>
              <w:pStyle w:val="TableBodyText"/>
            </w:pPr>
            <w:r>
              <w:t>SuperA/SuperA/A4 227 x 356 mm</w:t>
            </w:r>
          </w:p>
        </w:tc>
      </w:tr>
      <w:tr w:rsidR="00024C0A" w:rsidTr="00024C0A">
        <w:tc>
          <w:tcPr>
            <w:tcW w:w="0" w:type="auto"/>
            <w:vAlign w:val="center"/>
          </w:tcPr>
          <w:p w:rsidR="00024C0A" w:rsidRDefault="00694C0F">
            <w:pPr>
              <w:pStyle w:val="TableBodyText"/>
            </w:pPr>
            <w:r>
              <w:t>58</w:t>
            </w:r>
          </w:p>
        </w:tc>
        <w:tc>
          <w:tcPr>
            <w:tcW w:w="0" w:type="auto"/>
            <w:vAlign w:val="center"/>
          </w:tcPr>
          <w:p w:rsidR="00024C0A" w:rsidRDefault="00694C0F">
            <w:pPr>
              <w:pStyle w:val="TableBodyText"/>
            </w:pPr>
            <w:r>
              <w:t>SuperB/SuperB/A3 305 x 487 mm</w:t>
            </w:r>
          </w:p>
        </w:tc>
      </w:tr>
      <w:tr w:rsidR="00024C0A" w:rsidTr="00024C0A">
        <w:tc>
          <w:tcPr>
            <w:tcW w:w="0" w:type="auto"/>
            <w:vAlign w:val="center"/>
          </w:tcPr>
          <w:p w:rsidR="00024C0A" w:rsidRDefault="00694C0F">
            <w:pPr>
              <w:pStyle w:val="TableBodyText"/>
            </w:pPr>
            <w:r>
              <w:t>59</w:t>
            </w:r>
          </w:p>
        </w:tc>
        <w:tc>
          <w:tcPr>
            <w:tcW w:w="0" w:type="auto"/>
            <w:vAlign w:val="center"/>
          </w:tcPr>
          <w:p w:rsidR="00024C0A" w:rsidRDefault="00694C0F">
            <w:pPr>
              <w:pStyle w:val="TableBodyText"/>
            </w:pPr>
            <w:r>
              <w:t>US Letter Plus 8.5 x 12.69 in</w:t>
            </w:r>
          </w:p>
        </w:tc>
      </w:tr>
      <w:tr w:rsidR="00024C0A" w:rsidTr="00024C0A">
        <w:tc>
          <w:tcPr>
            <w:tcW w:w="0" w:type="auto"/>
            <w:vAlign w:val="center"/>
          </w:tcPr>
          <w:p w:rsidR="00024C0A" w:rsidRDefault="00694C0F">
            <w:pPr>
              <w:pStyle w:val="TableBodyText"/>
            </w:pPr>
            <w:r>
              <w:t>60</w:t>
            </w:r>
          </w:p>
        </w:tc>
        <w:tc>
          <w:tcPr>
            <w:tcW w:w="0" w:type="auto"/>
            <w:vAlign w:val="center"/>
          </w:tcPr>
          <w:p w:rsidR="00024C0A" w:rsidRDefault="00694C0F">
            <w:pPr>
              <w:pStyle w:val="TableBodyText"/>
            </w:pPr>
            <w:r>
              <w:t>A4 Plus 210 x 330 mm</w:t>
            </w:r>
          </w:p>
        </w:tc>
      </w:tr>
      <w:tr w:rsidR="00024C0A" w:rsidTr="00024C0A">
        <w:tc>
          <w:tcPr>
            <w:tcW w:w="0" w:type="auto"/>
            <w:vAlign w:val="center"/>
          </w:tcPr>
          <w:p w:rsidR="00024C0A" w:rsidRDefault="00694C0F">
            <w:pPr>
              <w:pStyle w:val="TableBodyText"/>
            </w:pPr>
            <w:r>
              <w:t>61</w:t>
            </w:r>
          </w:p>
        </w:tc>
        <w:tc>
          <w:tcPr>
            <w:tcW w:w="0" w:type="auto"/>
            <w:vAlign w:val="center"/>
          </w:tcPr>
          <w:p w:rsidR="00024C0A" w:rsidRDefault="00694C0F">
            <w:pPr>
              <w:pStyle w:val="TableBodyText"/>
            </w:pPr>
            <w:r>
              <w:t>A5 Transverse 148 x 210 mm</w:t>
            </w:r>
          </w:p>
        </w:tc>
      </w:tr>
      <w:tr w:rsidR="00024C0A" w:rsidTr="00024C0A">
        <w:tc>
          <w:tcPr>
            <w:tcW w:w="0" w:type="auto"/>
            <w:vAlign w:val="center"/>
          </w:tcPr>
          <w:p w:rsidR="00024C0A" w:rsidRDefault="00694C0F">
            <w:pPr>
              <w:pStyle w:val="TableBodyText"/>
            </w:pPr>
            <w:r>
              <w:t>62</w:t>
            </w:r>
          </w:p>
        </w:tc>
        <w:tc>
          <w:tcPr>
            <w:tcW w:w="0" w:type="auto"/>
            <w:vAlign w:val="center"/>
          </w:tcPr>
          <w:p w:rsidR="00024C0A" w:rsidRDefault="00694C0F">
            <w:pPr>
              <w:pStyle w:val="TableBodyText"/>
            </w:pPr>
            <w:r>
              <w:t>B5 (JIS) Transverse 182 x 257 mm</w:t>
            </w:r>
          </w:p>
        </w:tc>
      </w:tr>
      <w:tr w:rsidR="00024C0A" w:rsidTr="00024C0A">
        <w:tc>
          <w:tcPr>
            <w:tcW w:w="0" w:type="auto"/>
            <w:vAlign w:val="center"/>
          </w:tcPr>
          <w:p w:rsidR="00024C0A" w:rsidRDefault="00694C0F">
            <w:pPr>
              <w:pStyle w:val="TableBodyText"/>
            </w:pPr>
            <w:r>
              <w:t>63</w:t>
            </w:r>
          </w:p>
        </w:tc>
        <w:tc>
          <w:tcPr>
            <w:tcW w:w="0" w:type="auto"/>
            <w:vAlign w:val="center"/>
          </w:tcPr>
          <w:p w:rsidR="00024C0A" w:rsidRDefault="00694C0F">
            <w:pPr>
              <w:pStyle w:val="TableBodyText"/>
            </w:pPr>
            <w:r>
              <w:t>A3 Extra 322 x 445 mm</w:t>
            </w:r>
          </w:p>
        </w:tc>
      </w:tr>
      <w:tr w:rsidR="00024C0A" w:rsidTr="00024C0A">
        <w:tc>
          <w:tcPr>
            <w:tcW w:w="0" w:type="auto"/>
            <w:vAlign w:val="center"/>
          </w:tcPr>
          <w:p w:rsidR="00024C0A" w:rsidRDefault="00694C0F">
            <w:pPr>
              <w:pStyle w:val="TableBodyText"/>
            </w:pPr>
            <w:r>
              <w:t>64</w:t>
            </w:r>
          </w:p>
        </w:tc>
        <w:tc>
          <w:tcPr>
            <w:tcW w:w="0" w:type="auto"/>
            <w:vAlign w:val="center"/>
          </w:tcPr>
          <w:p w:rsidR="00024C0A" w:rsidRDefault="00694C0F">
            <w:pPr>
              <w:pStyle w:val="TableBodyText"/>
            </w:pPr>
            <w:r>
              <w:t>A5 Extra 174 x 235 mm</w:t>
            </w:r>
          </w:p>
        </w:tc>
      </w:tr>
      <w:tr w:rsidR="00024C0A" w:rsidTr="00024C0A">
        <w:tc>
          <w:tcPr>
            <w:tcW w:w="0" w:type="auto"/>
            <w:vAlign w:val="center"/>
          </w:tcPr>
          <w:p w:rsidR="00024C0A" w:rsidRDefault="00694C0F">
            <w:pPr>
              <w:pStyle w:val="TableBodyText"/>
            </w:pPr>
            <w:r>
              <w:t>65</w:t>
            </w:r>
          </w:p>
        </w:tc>
        <w:tc>
          <w:tcPr>
            <w:tcW w:w="0" w:type="auto"/>
            <w:vAlign w:val="center"/>
          </w:tcPr>
          <w:p w:rsidR="00024C0A" w:rsidRDefault="00694C0F">
            <w:pPr>
              <w:pStyle w:val="TableBodyText"/>
            </w:pPr>
            <w:r>
              <w:t>B5 (ISO) Extra 201 x 276 mm</w:t>
            </w:r>
          </w:p>
        </w:tc>
      </w:tr>
      <w:tr w:rsidR="00024C0A" w:rsidTr="00024C0A">
        <w:tc>
          <w:tcPr>
            <w:tcW w:w="0" w:type="auto"/>
            <w:vAlign w:val="center"/>
          </w:tcPr>
          <w:p w:rsidR="00024C0A" w:rsidRDefault="00694C0F">
            <w:pPr>
              <w:pStyle w:val="TableBodyText"/>
            </w:pPr>
            <w:r>
              <w:t>66</w:t>
            </w:r>
          </w:p>
        </w:tc>
        <w:tc>
          <w:tcPr>
            <w:tcW w:w="0" w:type="auto"/>
            <w:vAlign w:val="center"/>
          </w:tcPr>
          <w:p w:rsidR="00024C0A" w:rsidRDefault="00694C0F">
            <w:pPr>
              <w:pStyle w:val="TableBodyText"/>
            </w:pPr>
            <w:r>
              <w:t xml:space="preserve">A2 420 x </w:t>
            </w:r>
            <w:r>
              <w:t>594 mm</w:t>
            </w:r>
          </w:p>
        </w:tc>
      </w:tr>
      <w:tr w:rsidR="00024C0A" w:rsidTr="00024C0A">
        <w:tc>
          <w:tcPr>
            <w:tcW w:w="0" w:type="auto"/>
            <w:vAlign w:val="center"/>
          </w:tcPr>
          <w:p w:rsidR="00024C0A" w:rsidRDefault="00694C0F">
            <w:pPr>
              <w:pStyle w:val="TableBodyText"/>
            </w:pPr>
            <w:r>
              <w:t>67</w:t>
            </w:r>
          </w:p>
        </w:tc>
        <w:tc>
          <w:tcPr>
            <w:tcW w:w="0" w:type="auto"/>
            <w:vAlign w:val="center"/>
          </w:tcPr>
          <w:p w:rsidR="00024C0A" w:rsidRDefault="00694C0F">
            <w:pPr>
              <w:pStyle w:val="TableBodyText"/>
            </w:pPr>
            <w:r>
              <w:t>A3 Transverse 297 x 420 mm</w:t>
            </w:r>
          </w:p>
        </w:tc>
      </w:tr>
      <w:tr w:rsidR="00024C0A" w:rsidTr="00024C0A">
        <w:tc>
          <w:tcPr>
            <w:tcW w:w="0" w:type="auto"/>
            <w:vAlign w:val="center"/>
          </w:tcPr>
          <w:p w:rsidR="00024C0A" w:rsidRDefault="00694C0F">
            <w:pPr>
              <w:pStyle w:val="TableBodyText"/>
            </w:pPr>
            <w:r>
              <w:t>68</w:t>
            </w:r>
          </w:p>
        </w:tc>
        <w:tc>
          <w:tcPr>
            <w:tcW w:w="0" w:type="auto"/>
            <w:vAlign w:val="center"/>
          </w:tcPr>
          <w:p w:rsidR="00024C0A" w:rsidRDefault="00694C0F">
            <w:pPr>
              <w:pStyle w:val="TableBodyText"/>
            </w:pPr>
            <w:r>
              <w:t xml:space="preserve">A3 Extra Transverse 322 x 445 mm </w:t>
            </w:r>
          </w:p>
        </w:tc>
      </w:tr>
      <w:tr w:rsidR="00024C0A" w:rsidTr="00024C0A">
        <w:tc>
          <w:tcPr>
            <w:tcW w:w="0" w:type="auto"/>
            <w:vAlign w:val="center"/>
          </w:tcPr>
          <w:p w:rsidR="00024C0A" w:rsidRDefault="00694C0F">
            <w:pPr>
              <w:pStyle w:val="TableBodyText"/>
            </w:pPr>
            <w:r>
              <w:t>69</w:t>
            </w:r>
          </w:p>
        </w:tc>
        <w:tc>
          <w:tcPr>
            <w:tcW w:w="0" w:type="auto"/>
            <w:vAlign w:val="center"/>
          </w:tcPr>
          <w:p w:rsidR="00024C0A" w:rsidRDefault="00694C0F">
            <w:pPr>
              <w:pStyle w:val="TableBodyText"/>
            </w:pPr>
            <w:r>
              <w:t>Japanese Double Postcard 200 x 148 mm</w:t>
            </w:r>
          </w:p>
        </w:tc>
      </w:tr>
      <w:tr w:rsidR="00024C0A" w:rsidTr="00024C0A">
        <w:tc>
          <w:tcPr>
            <w:tcW w:w="0" w:type="auto"/>
            <w:vAlign w:val="center"/>
          </w:tcPr>
          <w:p w:rsidR="00024C0A" w:rsidRDefault="00694C0F">
            <w:pPr>
              <w:pStyle w:val="TableBodyText"/>
            </w:pPr>
            <w:r>
              <w:t>70</w:t>
            </w:r>
          </w:p>
        </w:tc>
        <w:tc>
          <w:tcPr>
            <w:tcW w:w="0" w:type="auto"/>
            <w:vAlign w:val="center"/>
          </w:tcPr>
          <w:p w:rsidR="00024C0A" w:rsidRDefault="00694C0F">
            <w:pPr>
              <w:pStyle w:val="TableBodyText"/>
            </w:pPr>
            <w:r>
              <w:t>A6 105 x 148 mm</w:t>
            </w:r>
          </w:p>
        </w:tc>
      </w:tr>
      <w:tr w:rsidR="00024C0A" w:rsidTr="00024C0A">
        <w:tc>
          <w:tcPr>
            <w:tcW w:w="0" w:type="auto"/>
            <w:vAlign w:val="center"/>
          </w:tcPr>
          <w:p w:rsidR="00024C0A" w:rsidRDefault="00694C0F">
            <w:pPr>
              <w:pStyle w:val="TableBodyText"/>
            </w:pPr>
            <w:r>
              <w:t>71</w:t>
            </w:r>
          </w:p>
        </w:tc>
        <w:tc>
          <w:tcPr>
            <w:tcW w:w="0" w:type="auto"/>
            <w:vAlign w:val="center"/>
          </w:tcPr>
          <w:p w:rsidR="00024C0A" w:rsidRDefault="00694C0F">
            <w:pPr>
              <w:pStyle w:val="TableBodyText"/>
            </w:pPr>
            <w:r>
              <w:t>Japanese Envelope Kaku #2</w:t>
            </w:r>
          </w:p>
        </w:tc>
      </w:tr>
      <w:tr w:rsidR="00024C0A" w:rsidTr="00024C0A">
        <w:tc>
          <w:tcPr>
            <w:tcW w:w="0" w:type="auto"/>
            <w:vAlign w:val="center"/>
          </w:tcPr>
          <w:p w:rsidR="00024C0A" w:rsidRDefault="00694C0F">
            <w:pPr>
              <w:pStyle w:val="TableBodyText"/>
            </w:pPr>
            <w:r>
              <w:t xml:space="preserve">72 </w:t>
            </w:r>
          </w:p>
        </w:tc>
        <w:tc>
          <w:tcPr>
            <w:tcW w:w="0" w:type="auto"/>
            <w:vAlign w:val="center"/>
          </w:tcPr>
          <w:p w:rsidR="00024C0A" w:rsidRDefault="00694C0F">
            <w:pPr>
              <w:pStyle w:val="TableBodyText"/>
            </w:pPr>
            <w:r>
              <w:t>Japanese Envelope Kaku #3</w:t>
            </w:r>
          </w:p>
        </w:tc>
      </w:tr>
      <w:tr w:rsidR="00024C0A" w:rsidTr="00024C0A">
        <w:tc>
          <w:tcPr>
            <w:tcW w:w="0" w:type="auto"/>
            <w:vAlign w:val="center"/>
          </w:tcPr>
          <w:p w:rsidR="00024C0A" w:rsidRDefault="00694C0F">
            <w:pPr>
              <w:pStyle w:val="TableBodyText"/>
            </w:pPr>
            <w:r>
              <w:t>73</w:t>
            </w:r>
          </w:p>
        </w:tc>
        <w:tc>
          <w:tcPr>
            <w:tcW w:w="0" w:type="auto"/>
            <w:vAlign w:val="center"/>
          </w:tcPr>
          <w:p w:rsidR="00024C0A" w:rsidRDefault="00694C0F">
            <w:pPr>
              <w:pStyle w:val="TableBodyText"/>
            </w:pPr>
            <w:r>
              <w:t>Japanese Envelope Chou #3</w:t>
            </w:r>
          </w:p>
        </w:tc>
      </w:tr>
      <w:tr w:rsidR="00024C0A" w:rsidTr="00024C0A">
        <w:tc>
          <w:tcPr>
            <w:tcW w:w="0" w:type="auto"/>
            <w:vAlign w:val="center"/>
          </w:tcPr>
          <w:p w:rsidR="00024C0A" w:rsidRDefault="00694C0F">
            <w:pPr>
              <w:pStyle w:val="TableBodyText"/>
            </w:pPr>
            <w:r>
              <w:t>74</w:t>
            </w:r>
          </w:p>
        </w:tc>
        <w:tc>
          <w:tcPr>
            <w:tcW w:w="0" w:type="auto"/>
            <w:vAlign w:val="center"/>
          </w:tcPr>
          <w:p w:rsidR="00024C0A" w:rsidRDefault="00694C0F">
            <w:pPr>
              <w:pStyle w:val="TableBodyText"/>
            </w:pPr>
            <w:r>
              <w:t xml:space="preserve">Japanese Envelope Chou </w:t>
            </w:r>
            <w:r>
              <w:t>#4</w:t>
            </w:r>
          </w:p>
        </w:tc>
      </w:tr>
      <w:tr w:rsidR="00024C0A" w:rsidTr="00024C0A">
        <w:tc>
          <w:tcPr>
            <w:tcW w:w="0" w:type="auto"/>
            <w:vAlign w:val="center"/>
          </w:tcPr>
          <w:p w:rsidR="00024C0A" w:rsidRDefault="00694C0F">
            <w:pPr>
              <w:pStyle w:val="TableBodyText"/>
            </w:pPr>
            <w:r>
              <w:t>75</w:t>
            </w:r>
          </w:p>
        </w:tc>
        <w:tc>
          <w:tcPr>
            <w:tcW w:w="0" w:type="auto"/>
            <w:vAlign w:val="center"/>
          </w:tcPr>
          <w:p w:rsidR="00024C0A" w:rsidRDefault="00694C0F">
            <w:pPr>
              <w:pStyle w:val="TableBodyText"/>
            </w:pPr>
            <w:r>
              <w:t>Letter Rotated 11 x 8 1/2 11 in</w:t>
            </w:r>
          </w:p>
        </w:tc>
      </w:tr>
      <w:tr w:rsidR="00024C0A" w:rsidTr="00024C0A">
        <w:tc>
          <w:tcPr>
            <w:tcW w:w="0" w:type="auto"/>
            <w:vAlign w:val="center"/>
          </w:tcPr>
          <w:p w:rsidR="00024C0A" w:rsidRDefault="00694C0F">
            <w:pPr>
              <w:pStyle w:val="TableBodyText"/>
            </w:pPr>
            <w:r>
              <w:t>76</w:t>
            </w:r>
          </w:p>
        </w:tc>
        <w:tc>
          <w:tcPr>
            <w:tcW w:w="0" w:type="auto"/>
            <w:vAlign w:val="center"/>
          </w:tcPr>
          <w:p w:rsidR="00024C0A" w:rsidRDefault="00694C0F">
            <w:pPr>
              <w:pStyle w:val="TableBodyText"/>
            </w:pPr>
            <w:r>
              <w:t>A3 Rotated 420 x 297 mm</w:t>
            </w:r>
          </w:p>
        </w:tc>
      </w:tr>
      <w:tr w:rsidR="00024C0A" w:rsidTr="00024C0A">
        <w:tc>
          <w:tcPr>
            <w:tcW w:w="0" w:type="auto"/>
            <w:vAlign w:val="center"/>
          </w:tcPr>
          <w:p w:rsidR="00024C0A" w:rsidRDefault="00694C0F">
            <w:pPr>
              <w:pStyle w:val="TableBodyText"/>
            </w:pPr>
            <w:r>
              <w:t>77</w:t>
            </w:r>
          </w:p>
        </w:tc>
        <w:tc>
          <w:tcPr>
            <w:tcW w:w="0" w:type="auto"/>
            <w:vAlign w:val="center"/>
          </w:tcPr>
          <w:p w:rsidR="00024C0A" w:rsidRDefault="00694C0F">
            <w:pPr>
              <w:pStyle w:val="TableBodyText"/>
            </w:pPr>
            <w:r>
              <w:t>A4 Rotated 297 x 210 mm</w:t>
            </w:r>
          </w:p>
        </w:tc>
      </w:tr>
      <w:tr w:rsidR="00024C0A" w:rsidTr="00024C0A">
        <w:tc>
          <w:tcPr>
            <w:tcW w:w="0" w:type="auto"/>
            <w:vAlign w:val="center"/>
          </w:tcPr>
          <w:p w:rsidR="00024C0A" w:rsidRDefault="00694C0F">
            <w:pPr>
              <w:pStyle w:val="TableBodyText"/>
            </w:pPr>
            <w:r>
              <w:t>78</w:t>
            </w:r>
          </w:p>
        </w:tc>
        <w:tc>
          <w:tcPr>
            <w:tcW w:w="0" w:type="auto"/>
            <w:vAlign w:val="center"/>
          </w:tcPr>
          <w:p w:rsidR="00024C0A" w:rsidRDefault="00694C0F">
            <w:pPr>
              <w:pStyle w:val="TableBodyText"/>
            </w:pPr>
            <w:r>
              <w:t>A5 Rotated 210 x 148 mm</w:t>
            </w:r>
          </w:p>
        </w:tc>
      </w:tr>
      <w:tr w:rsidR="00024C0A" w:rsidTr="00024C0A">
        <w:tc>
          <w:tcPr>
            <w:tcW w:w="0" w:type="auto"/>
            <w:vAlign w:val="center"/>
          </w:tcPr>
          <w:p w:rsidR="00024C0A" w:rsidRDefault="00694C0F">
            <w:pPr>
              <w:pStyle w:val="TableBodyText"/>
            </w:pPr>
            <w:r>
              <w:t>79</w:t>
            </w:r>
          </w:p>
        </w:tc>
        <w:tc>
          <w:tcPr>
            <w:tcW w:w="0" w:type="auto"/>
            <w:vAlign w:val="center"/>
          </w:tcPr>
          <w:p w:rsidR="00024C0A" w:rsidRDefault="00694C0F">
            <w:pPr>
              <w:pStyle w:val="TableBodyText"/>
            </w:pPr>
            <w:r>
              <w:t>B4 (JIS) Rotated 364 x 257 mm</w:t>
            </w:r>
          </w:p>
        </w:tc>
      </w:tr>
      <w:tr w:rsidR="00024C0A" w:rsidTr="00024C0A">
        <w:tc>
          <w:tcPr>
            <w:tcW w:w="0" w:type="auto"/>
            <w:vAlign w:val="center"/>
          </w:tcPr>
          <w:p w:rsidR="00024C0A" w:rsidRDefault="00694C0F">
            <w:pPr>
              <w:pStyle w:val="TableBodyText"/>
            </w:pPr>
            <w:r>
              <w:t>80</w:t>
            </w:r>
          </w:p>
        </w:tc>
        <w:tc>
          <w:tcPr>
            <w:tcW w:w="0" w:type="auto"/>
            <w:vAlign w:val="center"/>
          </w:tcPr>
          <w:p w:rsidR="00024C0A" w:rsidRDefault="00694C0F">
            <w:pPr>
              <w:pStyle w:val="TableBodyText"/>
            </w:pPr>
            <w:r>
              <w:t>B5 (JIS) Rotated 257 x 182 mm</w:t>
            </w:r>
          </w:p>
        </w:tc>
      </w:tr>
      <w:tr w:rsidR="00024C0A" w:rsidTr="00024C0A">
        <w:tc>
          <w:tcPr>
            <w:tcW w:w="0" w:type="auto"/>
            <w:vAlign w:val="center"/>
          </w:tcPr>
          <w:p w:rsidR="00024C0A" w:rsidRDefault="00694C0F">
            <w:pPr>
              <w:pStyle w:val="TableBodyText"/>
            </w:pPr>
            <w:r>
              <w:t>81</w:t>
            </w:r>
          </w:p>
        </w:tc>
        <w:tc>
          <w:tcPr>
            <w:tcW w:w="0" w:type="auto"/>
            <w:vAlign w:val="center"/>
          </w:tcPr>
          <w:p w:rsidR="00024C0A" w:rsidRDefault="00694C0F">
            <w:pPr>
              <w:pStyle w:val="TableBodyText"/>
            </w:pPr>
            <w:r>
              <w:t>Japanese Postcard Rotated 148 x 100 mm</w:t>
            </w:r>
          </w:p>
        </w:tc>
      </w:tr>
      <w:tr w:rsidR="00024C0A" w:rsidTr="00024C0A">
        <w:tc>
          <w:tcPr>
            <w:tcW w:w="0" w:type="auto"/>
            <w:vAlign w:val="center"/>
          </w:tcPr>
          <w:p w:rsidR="00024C0A" w:rsidRDefault="00694C0F">
            <w:pPr>
              <w:pStyle w:val="TableBodyText"/>
            </w:pPr>
            <w:r>
              <w:t>82</w:t>
            </w:r>
          </w:p>
        </w:tc>
        <w:tc>
          <w:tcPr>
            <w:tcW w:w="0" w:type="auto"/>
            <w:vAlign w:val="center"/>
          </w:tcPr>
          <w:p w:rsidR="00024C0A" w:rsidRDefault="00694C0F">
            <w:pPr>
              <w:pStyle w:val="TableBodyText"/>
            </w:pPr>
            <w:r>
              <w:t xml:space="preserve">Double Japanese </w:t>
            </w:r>
            <w:r>
              <w:t>Postcard Rotated 148 x 200 mm</w:t>
            </w:r>
          </w:p>
        </w:tc>
      </w:tr>
      <w:tr w:rsidR="00024C0A" w:rsidTr="00024C0A">
        <w:tc>
          <w:tcPr>
            <w:tcW w:w="0" w:type="auto"/>
            <w:vAlign w:val="center"/>
          </w:tcPr>
          <w:p w:rsidR="00024C0A" w:rsidRDefault="00694C0F">
            <w:pPr>
              <w:pStyle w:val="TableBodyText"/>
            </w:pPr>
            <w:r>
              <w:t>83</w:t>
            </w:r>
          </w:p>
        </w:tc>
        <w:tc>
          <w:tcPr>
            <w:tcW w:w="0" w:type="auto"/>
            <w:vAlign w:val="center"/>
          </w:tcPr>
          <w:p w:rsidR="00024C0A" w:rsidRDefault="00694C0F">
            <w:pPr>
              <w:pStyle w:val="TableBodyText"/>
            </w:pPr>
            <w:r>
              <w:t>A6 Rotated 148 x 105 mm</w:t>
            </w:r>
          </w:p>
        </w:tc>
      </w:tr>
      <w:tr w:rsidR="00024C0A" w:rsidTr="00024C0A">
        <w:tc>
          <w:tcPr>
            <w:tcW w:w="0" w:type="auto"/>
            <w:vAlign w:val="center"/>
          </w:tcPr>
          <w:p w:rsidR="00024C0A" w:rsidRDefault="00694C0F">
            <w:pPr>
              <w:pStyle w:val="TableBodyText"/>
            </w:pPr>
            <w:r>
              <w:t>84</w:t>
            </w:r>
          </w:p>
        </w:tc>
        <w:tc>
          <w:tcPr>
            <w:tcW w:w="0" w:type="auto"/>
            <w:vAlign w:val="center"/>
          </w:tcPr>
          <w:p w:rsidR="00024C0A" w:rsidRDefault="00694C0F">
            <w:pPr>
              <w:pStyle w:val="TableBodyText"/>
            </w:pPr>
            <w:r>
              <w:t>Japanese Envelope Kaku #2 Rotated</w:t>
            </w:r>
          </w:p>
        </w:tc>
      </w:tr>
      <w:tr w:rsidR="00024C0A" w:rsidTr="00024C0A">
        <w:tc>
          <w:tcPr>
            <w:tcW w:w="0" w:type="auto"/>
            <w:vAlign w:val="center"/>
          </w:tcPr>
          <w:p w:rsidR="00024C0A" w:rsidRDefault="00694C0F">
            <w:pPr>
              <w:pStyle w:val="TableBodyText"/>
            </w:pPr>
            <w:r>
              <w:t>85</w:t>
            </w:r>
          </w:p>
        </w:tc>
        <w:tc>
          <w:tcPr>
            <w:tcW w:w="0" w:type="auto"/>
            <w:vAlign w:val="center"/>
          </w:tcPr>
          <w:p w:rsidR="00024C0A" w:rsidRDefault="00694C0F">
            <w:pPr>
              <w:pStyle w:val="TableBodyText"/>
            </w:pPr>
            <w:r>
              <w:t>Japanese Envelope Kaku #3 Rotated</w:t>
            </w:r>
          </w:p>
        </w:tc>
      </w:tr>
      <w:tr w:rsidR="00024C0A" w:rsidTr="00024C0A">
        <w:tc>
          <w:tcPr>
            <w:tcW w:w="0" w:type="auto"/>
            <w:vAlign w:val="center"/>
          </w:tcPr>
          <w:p w:rsidR="00024C0A" w:rsidRDefault="00694C0F">
            <w:pPr>
              <w:pStyle w:val="TableBodyText"/>
            </w:pPr>
            <w:r>
              <w:t>86</w:t>
            </w:r>
          </w:p>
        </w:tc>
        <w:tc>
          <w:tcPr>
            <w:tcW w:w="0" w:type="auto"/>
            <w:vAlign w:val="center"/>
          </w:tcPr>
          <w:p w:rsidR="00024C0A" w:rsidRDefault="00694C0F">
            <w:pPr>
              <w:pStyle w:val="TableBodyText"/>
            </w:pPr>
            <w:r>
              <w:t>Japanese Envelope Chou #3 Rotated</w:t>
            </w:r>
          </w:p>
        </w:tc>
      </w:tr>
      <w:tr w:rsidR="00024C0A" w:rsidTr="00024C0A">
        <w:tc>
          <w:tcPr>
            <w:tcW w:w="0" w:type="auto"/>
            <w:vAlign w:val="center"/>
          </w:tcPr>
          <w:p w:rsidR="00024C0A" w:rsidRDefault="00694C0F">
            <w:pPr>
              <w:pStyle w:val="TableBodyText"/>
            </w:pPr>
            <w:r>
              <w:lastRenderedPageBreak/>
              <w:t>87</w:t>
            </w:r>
          </w:p>
        </w:tc>
        <w:tc>
          <w:tcPr>
            <w:tcW w:w="0" w:type="auto"/>
            <w:vAlign w:val="center"/>
          </w:tcPr>
          <w:p w:rsidR="00024C0A" w:rsidRDefault="00694C0F">
            <w:pPr>
              <w:pStyle w:val="TableBodyText"/>
            </w:pPr>
            <w:r>
              <w:t>Japanese Envelope Chou #4 Rotated</w:t>
            </w:r>
          </w:p>
        </w:tc>
      </w:tr>
      <w:tr w:rsidR="00024C0A" w:rsidTr="00024C0A">
        <w:tc>
          <w:tcPr>
            <w:tcW w:w="0" w:type="auto"/>
            <w:vAlign w:val="center"/>
          </w:tcPr>
          <w:p w:rsidR="00024C0A" w:rsidRDefault="00694C0F">
            <w:pPr>
              <w:pStyle w:val="TableBodyText"/>
            </w:pPr>
            <w:r>
              <w:t>88</w:t>
            </w:r>
          </w:p>
        </w:tc>
        <w:tc>
          <w:tcPr>
            <w:tcW w:w="0" w:type="auto"/>
            <w:vAlign w:val="center"/>
          </w:tcPr>
          <w:p w:rsidR="00024C0A" w:rsidRDefault="00694C0F">
            <w:pPr>
              <w:pStyle w:val="TableBodyText"/>
            </w:pPr>
            <w:r>
              <w:t>B6 (JIS) 128 x 182 mm</w:t>
            </w:r>
          </w:p>
        </w:tc>
      </w:tr>
      <w:tr w:rsidR="00024C0A" w:rsidTr="00024C0A">
        <w:tc>
          <w:tcPr>
            <w:tcW w:w="0" w:type="auto"/>
            <w:vAlign w:val="center"/>
          </w:tcPr>
          <w:p w:rsidR="00024C0A" w:rsidRDefault="00694C0F">
            <w:pPr>
              <w:pStyle w:val="TableBodyText"/>
            </w:pPr>
            <w:r>
              <w:t>89</w:t>
            </w:r>
          </w:p>
        </w:tc>
        <w:tc>
          <w:tcPr>
            <w:tcW w:w="0" w:type="auto"/>
            <w:vAlign w:val="center"/>
          </w:tcPr>
          <w:p w:rsidR="00024C0A" w:rsidRDefault="00694C0F">
            <w:pPr>
              <w:pStyle w:val="TableBodyText"/>
            </w:pPr>
            <w:r>
              <w:t>B6 (JIS) Rotated</w:t>
            </w:r>
            <w:r>
              <w:t xml:space="preserve"> 182 x 128 mm</w:t>
            </w:r>
          </w:p>
        </w:tc>
      </w:tr>
      <w:tr w:rsidR="00024C0A" w:rsidTr="00024C0A">
        <w:tc>
          <w:tcPr>
            <w:tcW w:w="0" w:type="auto"/>
            <w:vAlign w:val="center"/>
          </w:tcPr>
          <w:p w:rsidR="00024C0A" w:rsidRDefault="00694C0F">
            <w:pPr>
              <w:pStyle w:val="TableBodyText"/>
            </w:pPr>
            <w:r>
              <w:t>90</w:t>
            </w:r>
          </w:p>
        </w:tc>
        <w:tc>
          <w:tcPr>
            <w:tcW w:w="0" w:type="auto"/>
            <w:vAlign w:val="center"/>
          </w:tcPr>
          <w:p w:rsidR="00024C0A" w:rsidRDefault="00694C0F">
            <w:pPr>
              <w:pStyle w:val="TableBodyText"/>
            </w:pPr>
            <w:r>
              <w:t>12 x 11 in</w:t>
            </w:r>
          </w:p>
        </w:tc>
      </w:tr>
      <w:tr w:rsidR="00024C0A" w:rsidTr="00024C0A">
        <w:tc>
          <w:tcPr>
            <w:tcW w:w="0" w:type="auto"/>
            <w:vAlign w:val="center"/>
          </w:tcPr>
          <w:p w:rsidR="00024C0A" w:rsidRDefault="00694C0F">
            <w:pPr>
              <w:pStyle w:val="TableBodyText"/>
            </w:pPr>
            <w:r>
              <w:t>91</w:t>
            </w:r>
          </w:p>
        </w:tc>
        <w:tc>
          <w:tcPr>
            <w:tcW w:w="0" w:type="auto"/>
            <w:vAlign w:val="center"/>
          </w:tcPr>
          <w:p w:rsidR="00024C0A" w:rsidRDefault="00694C0F">
            <w:pPr>
              <w:pStyle w:val="TableBodyText"/>
            </w:pPr>
            <w:r>
              <w:t>Japanese Envelope You #4</w:t>
            </w:r>
          </w:p>
        </w:tc>
      </w:tr>
      <w:tr w:rsidR="00024C0A" w:rsidTr="00024C0A">
        <w:tc>
          <w:tcPr>
            <w:tcW w:w="0" w:type="auto"/>
            <w:vAlign w:val="center"/>
          </w:tcPr>
          <w:p w:rsidR="00024C0A" w:rsidRDefault="00694C0F">
            <w:pPr>
              <w:pStyle w:val="TableBodyText"/>
            </w:pPr>
            <w:r>
              <w:t>92</w:t>
            </w:r>
          </w:p>
        </w:tc>
        <w:tc>
          <w:tcPr>
            <w:tcW w:w="0" w:type="auto"/>
            <w:vAlign w:val="center"/>
          </w:tcPr>
          <w:p w:rsidR="00024C0A" w:rsidRDefault="00694C0F">
            <w:pPr>
              <w:pStyle w:val="TableBodyText"/>
            </w:pPr>
            <w:r>
              <w:t>Japanese Envelope You #4 Rotated</w:t>
            </w:r>
          </w:p>
        </w:tc>
      </w:tr>
      <w:tr w:rsidR="00024C0A" w:rsidTr="00024C0A">
        <w:tc>
          <w:tcPr>
            <w:tcW w:w="0" w:type="auto"/>
            <w:vAlign w:val="center"/>
          </w:tcPr>
          <w:p w:rsidR="00024C0A" w:rsidRDefault="00694C0F">
            <w:pPr>
              <w:pStyle w:val="TableBodyText"/>
            </w:pPr>
            <w:r>
              <w:t>93</w:t>
            </w:r>
          </w:p>
        </w:tc>
        <w:tc>
          <w:tcPr>
            <w:tcW w:w="0" w:type="auto"/>
            <w:vAlign w:val="center"/>
          </w:tcPr>
          <w:p w:rsidR="00024C0A" w:rsidRDefault="00694C0F">
            <w:pPr>
              <w:pStyle w:val="TableBodyText"/>
            </w:pPr>
            <w:r>
              <w:t>PRC 16K 146 x 215 mm</w:t>
            </w:r>
          </w:p>
        </w:tc>
      </w:tr>
      <w:tr w:rsidR="00024C0A" w:rsidTr="00024C0A">
        <w:tc>
          <w:tcPr>
            <w:tcW w:w="0" w:type="auto"/>
            <w:vAlign w:val="center"/>
          </w:tcPr>
          <w:p w:rsidR="00024C0A" w:rsidRDefault="00694C0F">
            <w:pPr>
              <w:pStyle w:val="TableBodyText"/>
            </w:pPr>
            <w:r>
              <w:t>94</w:t>
            </w:r>
          </w:p>
        </w:tc>
        <w:tc>
          <w:tcPr>
            <w:tcW w:w="0" w:type="auto"/>
            <w:vAlign w:val="center"/>
          </w:tcPr>
          <w:p w:rsidR="00024C0A" w:rsidRDefault="00694C0F">
            <w:pPr>
              <w:pStyle w:val="TableBodyText"/>
            </w:pPr>
            <w:r>
              <w:t>PRC 32K 97 x 151 mm</w:t>
            </w:r>
          </w:p>
        </w:tc>
      </w:tr>
      <w:tr w:rsidR="00024C0A" w:rsidTr="00024C0A">
        <w:tc>
          <w:tcPr>
            <w:tcW w:w="0" w:type="auto"/>
            <w:vAlign w:val="center"/>
          </w:tcPr>
          <w:p w:rsidR="00024C0A" w:rsidRDefault="00694C0F">
            <w:pPr>
              <w:pStyle w:val="TableBodyText"/>
            </w:pPr>
            <w:r>
              <w:t>95</w:t>
            </w:r>
          </w:p>
        </w:tc>
        <w:tc>
          <w:tcPr>
            <w:tcW w:w="0" w:type="auto"/>
            <w:vAlign w:val="center"/>
          </w:tcPr>
          <w:p w:rsidR="00024C0A" w:rsidRDefault="00694C0F">
            <w:pPr>
              <w:pStyle w:val="TableBodyText"/>
            </w:pPr>
            <w:r>
              <w:t>PRC 32K(Big) 97 x 151 mm</w:t>
            </w:r>
          </w:p>
        </w:tc>
      </w:tr>
      <w:tr w:rsidR="00024C0A" w:rsidTr="00024C0A">
        <w:tc>
          <w:tcPr>
            <w:tcW w:w="0" w:type="auto"/>
            <w:vAlign w:val="center"/>
          </w:tcPr>
          <w:p w:rsidR="00024C0A" w:rsidRDefault="00694C0F">
            <w:pPr>
              <w:pStyle w:val="TableBodyText"/>
            </w:pPr>
            <w:r>
              <w:t>96</w:t>
            </w:r>
          </w:p>
        </w:tc>
        <w:tc>
          <w:tcPr>
            <w:tcW w:w="0" w:type="auto"/>
            <w:vAlign w:val="center"/>
          </w:tcPr>
          <w:p w:rsidR="00024C0A" w:rsidRDefault="00694C0F">
            <w:pPr>
              <w:pStyle w:val="TableBodyText"/>
            </w:pPr>
            <w:r>
              <w:t>PRC Envelope #1 102 x 165 mm</w:t>
            </w:r>
          </w:p>
        </w:tc>
      </w:tr>
      <w:tr w:rsidR="00024C0A" w:rsidTr="00024C0A">
        <w:tc>
          <w:tcPr>
            <w:tcW w:w="0" w:type="auto"/>
            <w:vAlign w:val="center"/>
          </w:tcPr>
          <w:p w:rsidR="00024C0A" w:rsidRDefault="00694C0F">
            <w:pPr>
              <w:pStyle w:val="TableBodyText"/>
            </w:pPr>
            <w:r>
              <w:t>97</w:t>
            </w:r>
          </w:p>
        </w:tc>
        <w:tc>
          <w:tcPr>
            <w:tcW w:w="0" w:type="auto"/>
            <w:vAlign w:val="center"/>
          </w:tcPr>
          <w:p w:rsidR="00024C0A" w:rsidRDefault="00694C0F">
            <w:pPr>
              <w:pStyle w:val="TableBodyText"/>
            </w:pPr>
            <w:r>
              <w:t>PRC Envelope #2 102 x 176 mm</w:t>
            </w:r>
          </w:p>
        </w:tc>
      </w:tr>
      <w:tr w:rsidR="00024C0A" w:rsidTr="00024C0A">
        <w:tc>
          <w:tcPr>
            <w:tcW w:w="0" w:type="auto"/>
            <w:vAlign w:val="center"/>
          </w:tcPr>
          <w:p w:rsidR="00024C0A" w:rsidRDefault="00694C0F">
            <w:pPr>
              <w:pStyle w:val="TableBodyText"/>
            </w:pPr>
            <w:r>
              <w:t>98</w:t>
            </w:r>
          </w:p>
        </w:tc>
        <w:tc>
          <w:tcPr>
            <w:tcW w:w="0" w:type="auto"/>
            <w:vAlign w:val="center"/>
          </w:tcPr>
          <w:p w:rsidR="00024C0A" w:rsidRDefault="00694C0F">
            <w:pPr>
              <w:pStyle w:val="TableBodyText"/>
            </w:pPr>
            <w:r>
              <w:t xml:space="preserve">PRC Envelope </w:t>
            </w:r>
            <w:r>
              <w:t>#3 125 x 176 mm</w:t>
            </w:r>
          </w:p>
        </w:tc>
      </w:tr>
      <w:tr w:rsidR="00024C0A" w:rsidTr="00024C0A">
        <w:tc>
          <w:tcPr>
            <w:tcW w:w="0" w:type="auto"/>
            <w:vAlign w:val="center"/>
          </w:tcPr>
          <w:p w:rsidR="00024C0A" w:rsidRDefault="00694C0F">
            <w:pPr>
              <w:pStyle w:val="TableBodyText"/>
            </w:pPr>
            <w:r>
              <w:t>99</w:t>
            </w:r>
          </w:p>
        </w:tc>
        <w:tc>
          <w:tcPr>
            <w:tcW w:w="0" w:type="auto"/>
            <w:vAlign w:val="center"/>
          </w:tcPr>
          <w:p w:rsidR="00024C0A" w:rsidRDefault="00694C0F">
            <w:pPr>
              <w:pStyle w:val="TableBodyText"/>
            </w:pPr>
            <w:r>
              <w:t>PRC Envelope #4 110 x 208 mm</w:t>
            </w:r>
          </w:p>
        </w:tc>
      </w:tr>
      <w:tr w:rsidR="00024C0A" w:rsidTr="00024C0A">
        <w:tc>
          <w:tcPr>
            <w:tcW w:w="0" w:type="auto"/>
            <w:vAlign w:val="center"/>
          </w:tcPr>
          <w:p w:rsidR="00024C0A" w:rsidRDefault="00694C0F">
            <w:pPr>
              <w:pStyle w:val="TableBodyText"/>
            </w:pPr>
            <w:r>
              <w:t>100</w:t>
            </w:r>
          </w:p>
        </w:tc>
        <w:tc>
          <w:tcPr>
            <w:tcW w:w="0" w:type="auto"/>
            <w:vAlign w:val="center"/>
          </w:tcPr>
          <w:p w:rsidR="00024C0A" w:rsidRDefault="00694C0F">
            <w:pPr>
              <w:pStyle w:val="TableBodyText"/>
            </w:pPr>
            <w:r>
              <w:t>PRC Envelope #5 110 x 220 mm</w:t>
            </w:r>
          </w:p>
        </w:tc>
      </w:tr>
      <w:tr w:rsidR="00024C0A" w:rsidTr="00024C0A">
        <w:tc>
          <w:tcPr>
            <w:tcW w:w="0" w:type="auto"/>
            <w:vAlign w:val="center"/>
          </w:tcPr>
          <w:p w:rsidR="00024C0A" w:rsidRDefault="00694C0F">
            <w:pPr>
              <w:pStyle w:val="TableBodyText"/>
            </w:pPr>
            <w:r>
              <w:t>101</w:t>
            </w:r>
          </w:p>
        </w:tc>
        <w:tc>
          <w:tcPr>
            <w:tcW w:w="0" w:type="auto"/>
            <w:vAlign w:val="center"/>
          </w:tcPr>
          <w:p w:rsidR="00024C0A" w:rsidRDefault="00694C0F">
            <w:pPr>
              <w:pStyle w:val="TableBodyText"/>
            </w:pPr>
            <w:r>
              <w:t>PRC Envelope #6 120 x 230 mm</w:t>
            </w:r>
          </w:p>
        </w:tc>
      </w:tr>
      <w:tr w:rsidR="00024C0A" w:rsidTr="00024C0A">
        <w:tc>
          <w:tcPr>
            <w:tcW w:w="0" w:type="auto"/>
            <w:vAlign w:val="center"/>
          </w:tcPr>
          <w:p w:rsidR="00024C0A" w:rsidRDefault="00694C0F">
            <w:pPr>
              <w:pStyle w:val="TableBodyText"/>
            </w:pPr>
            <w:r>
              <w:t>102</w:t>
            </w:r>
          </w:p>
        </w:tc>
        <w:tc>
          <w:tcPr>
            <w:tcW w:w="0" w:type="auto"/>
            <w:vAlign w:val="center"/>
          </w:tcPr>
          <w:p w:rsidR="00024C0A" w:rsidRDefault="00694C0F">
            <w:pPr>
              <w:pStyle w:val="TableBodyText"/>
            </w:pPr>
            <w:r>
              <w:t>PRC Envelope #7 160 x 230 mm</w:t>
            </w:r>
          </w:p>
        </w:tc>
      </w:tr>
      <w:tr w:rsidR="00024C0A" w:rsidTr="00024C0A">
        <w:tc>
          <w:tcPr>
            <w:tcW w:w="0" w:type="auto"/>
            <w:vAlign w:val="center"/>
          </w:tcPr>
          <w:p w:rsidR="00024C0A" w:rsidRDefault="00694C0F">
            <w:pPr>
              <w:pStyle w:val="TableBodyText"/>
            </w:pPr>
            <w:r>
              <w:t>103</w:t>
            </w:r>
          </w:p>
        </w:tc>
        <w:tc>
          <w:tcPr>
            <w:tcW w:w="0" w:type="auto"/>
            <w:vAlign w:val="center"/>
          </w:tcPr>
          <w:p w:rsidR="00024C0A" w:rsidRDefault="00694C0F">
            <w:pPr>
              <w:pStyle w:val="TableBodyText"/>
            </w:pPr>
            <w:r>
              <w:t>PRC Envelope #8 120 x 309 mm</w:t>
            </w:r>
          </w:p>
        </w:tc>
      </w:tr>
      <w:tr w:rsidR="00024C0A" w:rsidTr="00024C0A">
        <w:tc>
          <w:tcPr>
            <w:tcW w:w="0" w:type="auto"/>
            <w:vAlign w:val="center"/>
          </w:tcPr>
          <w:p w:rsidR="00024C0A" w:rsidRDefault="00694C0F">
            <w:pPr>
              <w:pStyle w:val="TableBodyText"/>
            </w:pPr>
            <w:r>
              <w:t>104</w:t>
            </w:r>
          </w:p>
        </w:tc>
        <w:tc>
          <w:tcPr>
            <w:tcW w:w="0" w:type="auto"/>
            <w:vAlign w:val="center"/>
          </w:tcPr>
          <w:p w:rsidR="00024C0A" w:rsidRDefault="00694C0F">
            <w:pPr>
              <w:pStyle w:val="TableBodyText"/>
            </w:pPr>
            <w:r>
              <w:t>PRC Envelope #9 229 x 324 mm</w:t>
            </w:r>
          </w:p>
        </w:tc>
      </w:tr>
      <w:tr w:rsidR="00024C0A" w:rsidTr="00024C0A">
        <w:tc>
          <w:tcPr>
            <w:tcW w:w="0" w:type="auto"/>
            <w:vAlign w:val="center"/>
          </w:tcPr>
          <w:p w:rsidR="00024C0A" w:rsidRDefault="00694C0F">
            <w:pPr>
              <w:pStyle w:val="TableBodyText"/>
            </w:pPr>
            <w:r>
              <w:t>105</w:t>
            </w:r>
          </w:p>
        </w:tc>
        <w:tc>
          <w:tcPr>
            <w:tcW w:w="0" w:type="auto"/>
            <w:vAlign w:val="center"/>
          </w:tcPr>
          <w:p w:rsidR="00024C0A" w:rsidRDefault="00694C0F">
            <w:pPr>
              <w:pStyle w:val="TableBodyText"/>
            </w:pPr>
            <w:r>
              <w:t>PRC Envelope #10 324 x 458 mm</w:t>
            </w:r>
          </w:p>
        </w:tc>
      </w:tr>
      <w:tr w:rsidR="00024C0A" w:rsidTr="00024C0A">
        <w:tc>
          <w:tcPr>
            <w:tcW w:w="0" w:type="auto"/>
            <w:vAlign w:val="center"/>
          </w:tcPr>
          <w:p w:rsidR="00024C0A" w:rsidRDefault="00694C0F">
            <w:pPr>
              <w:pStyle w:val="TableBodyText"/>
            </w:pPr>
            <w:r>
              <w:t>1</w:t>
            </w:r>
            <w:r>
              <w:t>06</w:t>
            </w:r>
          </w:p>
        </w:tc>
        <w:tc>
          <w:tcPr>
            <w:tcW w:w="0" w:type="auto"/>
            <w:vAlign w:val="center"/>
          </w:tcPr>
          <w:p w:rsidR="00024C0A" w:rsidRDefault="00694C0F">
            <w:pPr>
              <w:pStyle w:val="TableBodyText"/>
            </w:pPr>
            <w:r>
              <w:t>PRC 16K Rotated</w:t>
            </w:r>
          </w:p>
        </w:tc>
      </w:tr>
      <w:tr w:rsidR="00024C0A" w:rsidTr="00024C0A">
        <w:tc>
          <w:tcPr>
            <w:tcW w:w="0" w:type="auto"/>
            <w:vAlign w:val="center"/>
          </w:tcPr>
          <w:p w:rsidR="00024C0A" w:rsidRDefault="00694C0F">
            <w:pPr>
              <w:pStyle w:val="TableBodyText"/>
            </w:pPr>
            <w:r>
              <w:t>107</w:t>
            </w:r>
          </w:p>
        </w:tc>
        <w:tc>
          <w:tcPr>
            <w:tcW w:w="0" w:type="auto"/>
            <w:vAlign w:val="center"/>
          </w:tcPr>
          <w:p w:rsidR="00024C0A" w:rsidRDefault="00694C0F">
            <w:pPr>
              <w:pStyle w:val="TableBodyText"/>
            </w:pPr>
            <w:r>
              <w:t>PRC 32K Rotated</w:t>
            </w:r>
          </w:p>
        </w:tc>
      </w:tr>
      <w:tr w:rsidR="00024C0A" w:rsidTr="00024C0A">
        <w:tc>
          <w:tcPr>
            <w:tcW w:w="0" w:type="auto"/>
            <w:vAlign w:val="center"/>
          </w:tcPr>
          <w:p w:rsidR="00024C0A" w:rsidRDefault="00694C0F">
            <w:pPr>
              <w:pStyle w:val="TableBodyText"/>
            </w:pPr>
            <w:r>
              <w:t>108</w:t>
            </w:r>
          </w:p>
        </w:tc>
        <w:tc>
          <w:tcPr>
            <w:tcW w:w="0" w:type="auto"/>
            <w:vAlign w:val="center"/>
          </w:tcPr>
          <w:p w:rsidR="00024C0A" w:rsidRDefault="00694C0F">
            <w:pPr>
              <w:pStyle w:val="TableBodyText"/>
            </w:pPr>
            <w:r>
              <w:t>PRC 32K(Big) Rotated</w:t>
            </w:r>
          </w:p>
        </w:tc>
      </w:tr>
      <w:tr w:rsidR="00024C0A" w:rsidTr="00024C0A">
        <w:tc>
          <w:tcPr>
            <w:tcW w:w="0" w:type="auto"/>
            <w:vAlign w:val="center"/>
          </w:tcPr>
          <w:p w:rsidR="00024C0A" w:rsidRDefault="00694C0F">
            <w:pPr>
              <w:pStyle w:val="TableBodyText"/>
            </w:pPr>
            <w:r>
              <w:t>109</w:t>
            </w:r>
          </w:p>
        </w:tc>
        <w:tc>
          <w:tcPr>
            <w:tcW w:w="0" w:type="auto"/>
            <w:vAlign w:val="center"/>
          </w:tcPr>
          <w:p w:rsidR="00024C0A" w:rsidRDefault="00694C0F">
            <w:pPr>
              <w:pStyle w:val="TableBodyText"/>
            </w:pPr>
            <w:r>
              <w:t>PRC Envelope #1 Rotated 165 x 102 mm</w:t>
            </w:r>
          </w:p>
        </w:tc>
      </w:tr>
      <w:tr w:rsidR="00024C0A" w:rsidTr="00024C0A">
        <w:tc>
          <w:tcPr>
            <w:tcW w:w="0" w:type="auto"/>
            <w:vAlign w:val="center"/>
          </w:tcPr>
          <w:p w:rsidR="00024C0A" w:rsidRDefault="00694C0F">
            <w:pPr>
              <w:pStyle w:val="TableBodyText"/>
            </w:pPr>
            <w:r>
              <w:t>110</w:t>
            </w:r>
          </w:p>
        </w:tc>
        <w:tc>
          <w:tcPr>
            <w:tcW w:w="0" w:type="auto"/>
            <w:vAlign w:val="center"/>
          </w:tcPr>
          <w:p w:rsidR="00024C0A" w:rsidRDefault="00694C0F">
            <w:pPr>
              <w:pStyle w:val="TableBodyText"/>
            </w:pPr>
            <w:r>
              <w:t>PRC Envelope #2 Rotated 176 x 102 mm</w:t>
            </w:r>
          </w:p>
        </w:tc>
      </w:tr>
      <w:tr w:rsidR="00024C0A" w:rsidTr="00024C0A">
        <w:tc>
          <w:tcPr>
            <w:tcW w:w="0" w:type="auto"/>
            <w:vAlign w:val="center"/>
          </w:tcPr>
          <w:p w:rsidR="00024C0A" w:rsidRDefault="00694C0F">
            <w:pPr>
              <w:pStyle w:val="TableBodyText"/>
            </w:pPr>
            <w:r>
              <w:t>111</w:t>
            </w:r>
          </w:p>
        </w:tc>
        <w:tc>
          <w:tcPr>
            <w:tcW w:w="0" w:type="auto"/>
            <w:vAlign w:val="center"/>
          </w:tcPr>
          <w:p w:rsidR="00024C0A" w:rsidRDefault="00694C0F">
            <w:pPr>
              <w:pStyle w:val="TableBodyText"/>
            </w:pPr>
            <w:r>
              <w:t>PRC Envelope #3 Rotated 176 x 125 mm</w:t>
            </w:r>
          </w:p>
        </w:tc>
      </w:tr>
      <w:tr w:rsidR="00024C0A" w:rsidTr="00024C0A">
        <w:tc>
          <w:tcPr>
            <w:tcW w:w="0" w:type="auto"/>
            <w:vAlign w:val="center"/>
          </w:tcPr>
          <w:p w:rsidR="00024C0A" w:rsidRDefault="00694C0F">
            <w:pPr>
              <w:pStyle w:val="TableBodyText"/>
            </w:pPr>
            <w:r>
              <w:t>112</w:t>
            </w:r>
          </w:p>
        </w:tc>
        <w:tc>
          <w:tcPr>
            <w:tcW w:w="0" w:type="auto"/>
            <w:vAlign w:val="center"/>
          </w:tcPr>
          <w:p w:rsidR="00024C0A" w:rsidRDefault="00694C0F">
            <w:pPr>
              <w:pStyle w:val="TableBodyText"/>
            </w:pPr>
            <w:r>
              <w:t>PRC Envelope #4 Rotated 208 x 110 mm</w:t>
            </w:r>
          </w:p>
        </w:tc>
      </w:tr>
      <w:tr w:rsidR="00024C0A" w:rsidTr="00024C0A">
        <w:tc>
          <w:tcPr>
            <w:tcW w:w="0" w:type="auto"/>
            <w:vAlign w:val="center"/>
          </w:tcPr>
          <w:p w:rsidR="00024C0A" w:rsidRDefault="00694C0F">
            <w:pPr>
              <w:pStyle w:val="TableBodyText"/>
            </w:pPr>
            <w:r>
              <w:t>113</w:t>
            </w:r>
          </w:p>
        </w:tc>
        <w:tc>
          <w:tcPr>
            <w:tcW w:w="0" w:type="auto"/>
            <w:vAlign w:val="center"/>
          </w:tcPr>
          <w:p w:rsidR="00024C0A" w:rsidRDefault="00694C0F">
            <w:pPr>
              <w:pStyle w:val="TableBodyText"/>
            </w:pPr>
            <w:r>
              <w:t xml:space="preserve">PRC Envelope #5 </w:t>
            </w:r>
            <w:r>
              <w:t>Rotated 220 x 110 mm</w:t>
            </w:r>
          </w:p>
        </w:tc>
      </w:tr>
      <w:tr w:rsidR="00024C0A" w:rsidTr="00024C0A">
        <w:tc>
          <w:tcPr>
            <w:tcW w:w="0" w:type="auto"/>
            <w:vAlign w:val="center"/>
          </w:tcPr>
          <w:p w:rsidR="00024C0A" w:rsidRDefault="00694C0F">
            <w:pPr>
              <w:pStyle w:val="TableBodyText"/>
            </w:pPr>
            <w:r>
              <w:t>114</w:t>
            </w:r>
          </w:p>
        </w:tc>
        <w:tc>
          <w:tcPr>
            <w:tcW w:w="0" w:type="auto"/>
            <w:vAlign w:val="center"/>
          </w:tcPr>
          <w:p w:rsidR="00024C0A" w:rsidRDefault="00694C0F">
            <w:pPr>
              <w:pStyle w:val="TableBodyText"/>
            </w:pPr>
            <w:r>
              <w:t>PRC Envelope #6 Rotated 230 x 120 mm</w:t>
            </w:r>
          </w:p>
        </w:tc>
      </w:tr>
      <w:tr w:rsidR="00024C0A" w:rsidTr="00024C0A">
        <w:tc>
          <w:tcPr>
            <w:tcW w:w="0" w:type="auto"/>
            <w:vAlign w:val="center"/>
          </w:tcPr>
          <w:p w:rsidR="00024C0A" w:rsidRDefault="00694C0F">
            <w:pPr>
              <w:pStyle w:val="TableBodyText"/>
            </w:pPr>
            <w:r>
              <w:t>115</w:t>
            </w:r>
          </w:p>
        </w:tc>
        <w:tc>
          <w:tcPr>
            <w:tcW w:w="0" w:type="auto"/>
            <w:vAlign w:val="center"/>
          </w:tcPr>
          <w:p w:rsidR="00024C0A" w:rsidRDefault="00694C0F">
            <w:pPr>
              <w:pStyle w:val="TableBodyText"/>
            </w:pPr>
            <w:r>
              <w:t>PRC Envelope #7 Rotated 230 x 160 mm</w:t>
            </w:r>
          </w:p>
        </w:tc>
      </w:tr>
      <w:tr w:rsidR="00024C0A" w:rsidTr="00024C0A">
        <w:tc>
          <w:tcPr>
            <w:tcW w:w="0" w:type="auto"/>
            <w:vAlign w:val="center"/>
          </w:tcPr>
          <w:p w:rsidR="00024C0A" w:rsidRDefault="00694C0F">
            <w:pPr>
              <w:pStyle w:val="TableBodyText"/>
            </w:pPr>
            <w:r>
              <w:t>116</w:t>
            </w:r>
          </w:p>
        </w:tc>
        <w:tc>
          <w:tcPr>
            <w:tcW w:w="0" w:type="auto"/>
            <w:vAlign w:val="center"/>
          </w:tcPr>
          <w:p w:rsidR="00024C0A" w:rsidRDefault="00694C0F">
            <w:pPr>
              <w:pStyle w:val="TableBodyText"/>
            </w:pPr>
            <w:r>
              <w:t>PRC Envelope #8 Rotated 309 x 120 mm</w:t>
            </w:r>
          </w:p>
        </w:tc>
      </w:tr>
      <w:tr w:rsidR="00024C0A" w:rsidTr="00024C0A">
        <w:tc>
          <w:tcPr>
            <w:tcW w:w="0" w:type="auto"/>
            <w:vAlign w:val="center"/>
          </w:tcPr>
          <w:p w:rsidR="00024C0A" w:rsidRDefault="00694C0F">
            <w:pPr>
              <w:pStyle w:val="TableBodyText"/>
            </w:pPr>
            <w:r>
              <w:t>117</w:t>
            </w:r>
          </w:p>
        </w:tc>
        <w:tc>
          <w:tcPr>
            <w:tcW w:w="0" w:type="auto"/>
            <w:vAlign w:val="center"/>
          </w:tcPr>
          <w:p w:rsidR="00024C0A" w:rsidRDefault="00694C0F">
            <w:pPr>
              <w:pStyle w:val="TableBodyText"/>
            </w:pPr>
            <w:r>
              <w:t>PRC Envelope #9 Rotated 324 x 229 mm</w:t>
            </w:r>
          </w:p>
        </w:tc>
      </w:tr>
      <w:tr w:rsidR="00024C0A" w:rsidTr="00024C0A">
        <w:tc>
          <w:tcPr>
            <w:tcW w:w="0" w:type="auto"/>
            <w:vAlign w:val="center"/>
          </w:tcPr>
          <w:p w:rsidR="00024C0A" w:rsidRDefault="00694C0F">
            <w:pPr>
              <w:pStyle w:val="TableBodyText"/>
            </w:pPr>
            <w:r>
              <w:t>118</w:t>
            </w:r>
          </w:p>
        </w:tc>
        <w:tc>
          <w:tcPr>
            <w:tcW w:w="0" w:type="auto"/>
            <w:vAlign w:val="center"/>
          </w:tcPr>
          <w:p w:rsidR="00024C0A" w:rsidRDefault="00694C0F">
            <w:pPr>
              <w:pStyle w:val="TableBodyText"/>
            </w:pPr>
            <w:r>
              <w:t>PRC Envelope #10 Rotated 458 x 324 mm</w:t>
            </w:r>
          </w:p>
        </w:tc>
      </w:tr>
    </w:tbl>
    <w:p w:rsidR="00024C0A" w:rsidRDefault="00024C0A"/>
    <w:p w:rsidR="00024C0A" w:rsidRDefault="00694C0F">
      <w:pPr>
        <w:pStyle w:val="Definition-Field"/>
      </w:pPr>
      <w:r>
        <w:t xml:space="preserve">i.   </w:t>
      </w:r>
      <w:r>
        <w:rPr>
          <w:i/>
        </w:rPr>
        <w:t xml:space="preserve">The standard </w:t>
      </w:r>
      <w:r>
        <w:rPr>
          <w:i/>
        </w:rPr>
        <w:t>states that paperHeight is a valid attribute, and that when it is present, paperSize shall be ignored.</w:t>
      </w:r>
    </w:p>
    <w:p w:rsidR="00024C0A" w:rsidRDefault="00694C0F">
      <w:pPr>
        <w:pStyle w:val="Definition-Field2"/>
      </w:pPr>
      <w:r>
        <w:t>Office ignores the paperHeight attribute if it is present, and does not ignore the paperSize attribute if paperHeight is present.</w:t>
      </w:r>
    </w:p>
    <w:p w:rsidR="00024C0A" w:rsidRDefault="00694C0F">
      <w:pPr>
        <w:pStyle w:val="Definition-Field"/>
      </w:pPr>
      <w:r>
        <w:t xml:space="preserve">j.   </w:t>
      </w:r>
      <w:r>
        <w:rPr>
          <w:i/>
        </w:rPr>
        <w:t>The standard state</w:t>
      </w:r>
      <w:r>
        <w:rPr>
          <w:i/>
        </w:rPr>
        <w:t>s that paperWidth is a valid attribute, and that when it is present, paperSize shall be ignored.</w:t>
      </w:r>
    </w:p>
    <w:p w:rsidR="00024C0A" w:rsidRDefault="00694C0F">
      <w:pPr>
        <w:pStyle w:val="Definition-Field2"/>
      </w:pPr>
      <w:r>
        <w:t>Office ignores the paperWidth attribute if it is present, and does not ignore the paperSize attribute if paperWidth is present.</w:t>
      </w:r>
    </w:p>
    <w:p w:rsidR="00024C0A" w:rsidRDefault="00694C0F">
      <w:pPr>
        <w:pStyle w:val="Heading3"/>
      </w:pPr>
      <w:bookmarkStart w:id="1291" w:name="section_a3f0dcd307ed4e7bb08374ce6de5f195"/>
      <w:bookmarkStart w:id="1292" w:name="_Toc12260706"/>
      <w:r>
        <w:t>Part 1 Section 18.3.1.64, pageS</w:t>
      </w:r>
      <w:r>
        <w:t>etup (Chart Sheet Page Setup)</w:t>
      </w:r>
      <w:bookmarkEnd w:id="1291"/>
      <w:bookmarkEnd w:id="1292"/>
      <w:r>
        <w:fldChar w:fldCharType="begin"/>
      </w:r>
      <w:r>
        <w:instrText xml:space="preserve"> XE "pageSetup (Chart Sheet Page Setup)" </w:instrText>
      </w:r>
      <w:r>
        <w:fldChar w:fldCharType="end"/>
      </w:r>
    </w:p>
    <w:p w:rsidR="00024C0A" w:rsidRDefault="00694C0F">
      <w:pPr>
        <w:pStyle w:val="Definition-Field"/>
      </w:pPr>
      <w:r>
        <w:t xml:space="preserve">a.   </w:t>
      </w:r>
      <w:r>
        <w:rPr>
          <w:i/>
        </w:rPr>
        <w:t>The standard states that the values of the firstPageNumber attribute are defined by the XML Schema unsignedInt datatype.</w:t>
      </w:r>
    </w:p>
    <w:p w:rsidR="00024C0A" w:rsidRDefault="00694C0F">
      <w:pPr>
        <w:pStyle w:val="Definition-Field2"/>
      </w:pPr>
      <w:r>
        <w:t>Excel restricts the value of this attribute to be at most</w:t>
      </w:r>
      <w:r>
        <w:t xml:space="preserve"> 65534.</w:t>
      </w:r>
    </w:p>
    <w:p w:rsidR="00024C0A" w:rsidRDefault="00694C0F">
      <w:pPr>
        <w:pStyle w:val="Definition-Field"/>
      </w:pPr>
      <w:r>
        <w:t xml:space="preserve">b.   </w:t>
      </w:r>
      <w:r>
        <w:rPr>
          <w:i/>
        </w:rPr>
        <w:t>The standard states that the values of the copies attribute are defined by the XML Schema unsignedInt datatype.</w:t>
      </w:r>
    </w:p>
    <w:p w:rsidR="00024C0A" w:rsidRDefault="00694C0F">
      <w:pPr>
        <w:pStyle w:val="Definition-Field2"/>
      </w:pPr>
      <w:r>
        <w:t>Excel restricts the value of this attribute to be at least 1 and at most 32767.</w:t>
      </w:r>
    </w:p>
    <w:p w:rsidR="00024C0A" w:rsidRDefault="00694C0F">
      <w:pPr>
        <w:pStyle w:val="Definition-Field"/>
      </w:pPr>
      <w:r>
        <w:t xml:space="preserve">c.   </w:t>
      </w:r>
      <w:r>
        <w:rPr>
          <w:i/>
        </w:rPr>
        <w:t xml:space="preserve">The standard states that the values of the </w:t>
      </w:r>
      <w:r>
        <w:rPr>
          <w:i/>
        </w:rPr>
        <w:t>horizontalDpi attribute are defined by the XML Schema unsignedInt datatype.</w:t>
      </w:r>
    </w:p>
    <w:p w:rsidR="00024C0A" w:rsidRDefault="00694C0F">
      <w:pPr>
        <w:pStyle w:val="Definition-Field2"/>
      </w:pPr>
      <w:r>
        <w:t>Excel restricts the value of this attribute to be at least 1.</w:t>
      </w:r>
    </w:p>
    <w:p w:rsidR="00024C0A" w:rsidRDefault="00694C0F">
      <w:pPr>
        <w:pStyle w:val="Definition-Field"/>
      </w:pPr>
      <w:r>
        <w:t xml:space="preserve">d.   </w:t>
      </w:r>
      <w:r>
        <w:rPr>
          <w:i/>
        </w:rPr>
        <w:t>The standard states that the values of the verticalDpi attribute are defined by the XML Schema unsignedInt dataty</w:t>
      </w:r>
      <w:r>
        <w:rPr>
          <w:i/>
        </w:rPr>
        <w:t>pe.</w:t>
      </w:r>
    </w:p>
    <w:p w:rsidR="00024C0A" w:rsidRDefault="00694C0F">
      <w:pPr>
        <w:pStyle w:val="Definition-Field2"/>
      </w:pPr>
      <w:r>
        <w:t>Excel restricts the value of this attribute to be at least 1.</w:t>
      </w:r>
    </w:p>
    <w:p w:rsidR="00024C0A" w:rsidRDefault="00694C0F">
      <w:pPr>
        <w:pStyle w:val="Definition-Field"/>
      </w:pPr>
      <w:r>
        <w:t xml:space="preserve">e.   </w:t>
      </w:r>
      <w:r>
        <w:rPr>
          <w:i/>
        </w:rPr>
        <w:t>The standard states that the paperSize attribute allows values as defined in the table.</w:t>
      </w:r>
    </w:p>
    <w:p w:rsidR="00024C0A" w:rsidRDefault="00694C0F">
      <w:r>
        <w:t>The paperSize attribute specifies the paper size according to the following table. The value 0, o</w:t>
      </w:r>
      <w:r>
        <w:t>r values larger than or equal to 256 specify custom printer paper sizes.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Value</w:t>
            </w:r>
          </w:p>
        </w:tc>
        <w:tc>
          <w:tcPr>
            <w:tcW w:w="0" w:type="auto"/>
            <w:vAlign w:val="center"/>
          </w:tcPr>
          <w:p w:rsidR="00024C0A" w:rsidRDefault="00694C0F">
            <w:pPr>
              <w:pStyle w:val="TableHeaderText"/>
            </w:pPr>
            <w:r>
              <w:t>Meaning</w:t>
            </w:r>
          </w:p>
        </w:tc>
      </w:tr>
      <w:tr w:rsidR="00024C0A" w:rsidTr="00024C0A">
        <w:tc>
          <w:tcPr>
            <w:tcW w:w="0" w:type="auto"/>
            <w:vAlign w:val="center"/>
          </w:tcPr>
          <w:p w:rsidR="00024C0A" w:rsidRDefault="00694C0F">
            <w:pPr>
              <w:pStyle w:val="TableBodyText"/>
            </w:pPr>
            <w:r>
              <w:t>1</w:t>
            </w:r>
          </w:p>
        </w:tc>
        <w:tc>
          <w:tcPr>
            <w:tcW w:w="0" w:type="auto"/>
            <w:vAlign w:val="center"/>
          </w:tcPr>
          <w:p w:rsidR="00024C0A" w:rsidRDefault="00694C0F">
            <w:pPr>
              <w:pStyle w:val="TableBodyText"/>
            </w:pPr>
            <w:r>
              <w:t>US Letter 8 1/2 x 11 in</w:t>
            </w:r>
          </w:p>
        </w:tc>
      </w:tr>
      <w:tr w:rsidR="00024C0A" w:rsidTr="00024C0A">
        <w:tc>
          <w:tcPr>
            <w:tcW w:w="0" w:type="auto"/>
            <w:vAlign w:val="center"/>
          </w:tcPr>
          <w:p w:rsidR="00024C0A" w:rsidRDefault="00694C0F">
            <w:pPr>
              <w:pStyle w:val="TableBodyText"/>
            </w:pPr>
            <w:r>
              <w:t>2</w:t>
            </w:r>
          </w:p>
        </w:tc>
        <w:tc>
          <w:tcPr>
            <w:tcW w:w="0" w:type="auto"/>
            <w:vAlign w:val="center"/>
          </w:tcPr>
          <w:p w:rsidR="00024C0A" w:rsidRDefault="00694C0F">
            <w:pPr>
              <w:pStyle w:val="TableBodyText"/>
            </w:pPr>
            <w:r>
              <w:t>US Letter Small 8 1/2 x 11 in</w:t>
            </w:r>
          </w:p>
        </w:tc>
      </w:tr>
      <w:tr w:rsidR="00024C0A" w:rsidTr="00024C0A">
        <w:tc>
          <w:tcPr>
            <w:tcW w:w="0" w:type="auto"/>
            <w:vAlign w:val="center"/>
          </w:tcPr>
          <w:p w:rsidR="00024C0A" w:rsidRDefault="00694C0F">
            <w:pPr>
              <w:pStyle w:val="TableBodyText"/>
            </w:pPr>
            <w:r>
              <w:t>3</w:t>
            </w:r>
          </w:p>
        </w:tc>
        <w:tc>
          <w:tcPr>
            <w:tcW w:w="0" w:type="auto"/>
            <w:vAlign w:val="center"/>
          </w:tcPr>
          <w:p w:rsidR="00024C0A" w:rsidRDefault="00694C0F">
            <w:pPr>
              <w:pStyle w:val="TableBodyText"/>
            </w:pPr>
            <w:r>
              <w:t>US Tabloid 11 x 17 in</w:t>
            </w:r>
          </w:p>
        </w:tc>
      </w:tr>
      <w:tr w:rsidR="00024C0A" w:rsidTr="00024C0A">
        <w:tc>
          <w:tcPr>
            <w:tcW w:w="0" w:type="auto"/>
            <w:vAlign w:val="center"/>
          </w:tcPr>
          <w:p w:rsidR="00024C0A" w:rsidRDefault="00694C0F">
            <w:pPr>
              <w:pStyle w:val="TableBodyText"/>
            </w:pPr>
            <w:r>
              <w:t>4</w:t>
            </w:r>
          </w:p>
        </w:tc>
        <w:tc>
          <w:tcPr>
            <w:tcW w:w="0" w:type="auto"/>
            <w:vAlign w:val="center"/>
          </w:tcPr>
          <w:p w:rsidR="00024C0A" w:rsidRDefault="00694C0F">
            <w:pPr>
              <w:pStyle w:val="TableBodyText"/>
            </w:pPr>
            <w:r>
              <w:t xml:space="preserve">US Ledger 17 x 11 in </w:t>
            </w:r>
          </w:p>
        </w:tc>
      </w:tr>
      <w:tr w:rsidR="00024C0A" w:rsidTr="00024C0A">
        <w:tc>
          <w:tcPr>
            <w:tcW w:w="0" w:type="auto"/>
            <w:vAlign w:val="center"/>
          </w:tcPr>
          <w:p w:rsidR="00024C0A" w:rsidRDefault="00694C0F">
            <w:pPr>
              <w:pStyle w:val="TableBodyText"/>
            </w:pPr>
            <w:r>
              <w:t>5</w:t>
            </w:r>
          </w:p>
        </w:tc>
        <w:tc>
          <w:tcPr>
            <w:tcW w:w="0" w:type="auto"/>
            <w:vAlign w:val="center"/>
          </w:tcPr>
          <w:p w:rsidR="00024C0A" w:rsidRDefault="00694C0F">
            <w:pPr>
              <w:pStyle w:val="TableBodyText"/>
            </w:pPr>
            <w:r>
              <w:t>US Legal 8 1/2 x 14 in</w:t>
            </w:r>
          </w:p>
        </w:tc>
      </w:tr>
      <w:tr w:rsidR="00024C0A" w:rsidTr="00024C0A">
        <w:tc>
          <w:tcPr>
            <w:tcW w:w="0" w:type="auto"/>
            <w:vAlign w:val="center"/>
          </w:tcPr>
          <w:p w:rsidR="00024C0A" w:rsidRDefault="00694C0F">
            <w:pPr>
              <w:pStyle w:val="TableBodyText"/>
            </w:pPr>
            <w:r>
              <w:t>6</w:t>
            </w:r>
          </w:p>
        </w:tc>
        <w:tc>
          <w:tcPr>
            <w:tcW w:w="0" w:type="auto"/>
            <w:vAlign w:val="center"/>
          </w:tcPr>
          <w:p w:rsidR="00024C0A" w:rsidRDefault="00694C0F">
            <w:pPr>
              <w:pStyle w:val="TableBodyText"/>
            </w:pPr>
            <w:r>
              <w:t>US Statement 5 1/2 x 8 1/2 in</w:t>
            </w:r>
          </w:p>
        </w:tc>
      </w:tr>
      <w:tr w:rsidR="00024C0A" w:rsidTr="00024C0A">
        <w:tc>
          <w:tcPr>
            <w:tcW w:w="0" w:type="auto"/>
            <w:vAlign w:val="center"/>
          </w:tcPr>
          <w:p w:rsidR="00024C0A" w:rsidRDefault="00694C0F">
            <w:pPr>
              <w:pStyle w:val="TableBodyText"/>
            </w:pPr>
            <w:r>
              <w:t>7</w:t>
            </w:r>
          </w:p>
        </w:tc>
        <w:tc>
          <w:tcPr>
            <w:tcW w:w="0" w:type="auto"/>
            <w:vAlign w:val="center"/>
          </w:tcPr>
          <w:p w:rsidR="00024C0A" w:rsidRDefault="00694C0F">
            <w:pPr>
              <w:pStyle w:val="TableBodyText"/>
            </w:pPr>
            <w:r>
              <w:t>US Executive 7 1/4 x 10 1/2 in</w:t>
            </w:r>
          </w:p>
        </w:tc>
      </w:tr>
      <w:tr w:rsidR="00024C0A" w:rsidTr="00024C0A">
        <w:tc>
          <w:tcPr>
            <w:tcW w:w="0" w:type="auto"/>
            <w:vAlign w:val="center"/>
          </w:tcPr>
          <w:p w:rsidR="00024C0A" w:rsidRDefault="00694C0F">
            <w:pPr>
              <w:pStyle w:val="TableBodyText"/>
            </w:pPr>
            <w:r>
              <w:t>8</w:t>
            </w:r>
          </w:p>
        </w:tc>
        <w:tc>
          <w:tcPr>
            <w:tcW w:w="0" w:type="auto"/>
            <w:vAlign w:val="center"/>
          </w:tcPr>
          <w:p w:rsidR="00024C0A" w:rsidRDefault="00694C0F">
            <w:pPr>
              <w:pStyle w:val="TableBodyText"/>
            </w:pPr>
            <w:r>
              <w:t>A3 297 x 420 mm</w:t>
            </w:r>
          </w:p>
        </w:tc>
      </w:tr>
      <w:tr w:rsidR="00024C0A" w:rsidTr="00024C0A">
        <w:tc>
          <w:tcPr>
            <w:tcW w:w="0" w:type="auto"/>
            <w:vAlign w:val="center"/>
          </w:tcPr>
          <w:p w:rsidR="00024C0A" w:rsidRDefault="00694C0F">
            <w:pPr>
              <w:pStyle w:val="TableBodyText"/>
            </w:pPr>
            <w:r>
              <w:t>9</w:t>
            </w:r>
          </w:p>
        </w:tc>
        <w:tc>
          <w:tcPr>
            <w:tcW w:w="0" w:type="auto"/>
            <w:vAlign w:val="center"/>
          </w:tcPr>
          <w:p w:rsidR="00024C0A" w:rsidRDefault="00694C0F">
            <w:pPr>
              <w:pStyle w:val="TableBodyText"/>
            </w:pPr>
            <w:r>
              <w:t>A4 210 x 297 mm</w:t>
            </w:r>
          </w:p>
        </w:tc>
      </w:tr>
      <w:tr w:rsidR="00024C0A" w:rsidTr="00024C0A">
        <w:tc>
          <w:tcPr>
            <w:tcW w:w="0" w:type="auto"/>
            <w:vAlign w:val="center"/>
          </w:tcPr>
          <w:p w:rsidR="00024C0A" w:rsidRDefault="00694C0F">
            <w:pPr>
              <w:pStyle w:val="TableBodyText"/>
            </w:pPr>
            <w:r>
              <w:lastRenderedPageBreak/>
              <w:t>10</w:t>
            </w:r>
          </w:p>
        </w:tc>
        <w:tc>
          <w:tcPr>
            <w:tcW w:w="0" w:type="auto"/>
            <w:vAlign w:val="center"/>
          </w:tcPr>
          <w:p w:rsidR="00024C0A" w:rsidRDefault="00694C0F">
            <w:pPr>
              <w:pStyle w:val="TableBodyText"/>
            </w:pPr>
            <w:r>
              <w:t>A4 Small 210 x 297 mm</w:t>
            </w:r>
          </w:p>
        </w:tc>
      </w:tr>
      <w:tr w:rsidR="00024C0A" w:rsidTr="00024C0A">
        <w:tc>
          <w:tcPr>
            <w:tcW w:w="0" w:type="auto"/>
            <w:vAlign w:val="center"/>
          </w:tcPr>
          <w:p w:rsidR="00024C0A" w:rsidRDefault="00694C0F">
            <w:pPr>
              <w:pStyle w:val="TableBodyText"/>
            </w:pPr>
            <w:r>
              <w:t>11</w:t>
            </w:r>
          </w:p>
        </w:tc>
        <w:tc>
          <w:tcPr>
            <w:tcW w:w="0" w:type="auto"/>
            <w:vAlign w:val="center"/>
          </w:tcPr>
          <w:p w:rsidR="00024C0A" w:rsidRDefault="00694C0F">
            <w:pPr>
              <w:pStyle w:val="TableBodyText"/>
            </w:pPr>
            <w:r>
              <w:t>A5 148 x 210 mm</w:t>
            </w:r>
          </w:p>
        </w:tc>
      </w:tr>
      <w:tr w:rsidR="00024C0A" w:rsidTr="00024C0A">
        <w:tc>
          <w:tcPr>
            <w:tcW w:w="0" w:type="auto"/>
            <w:vAlign w:val="center"/>
          </w:tcPr>
          <w:p w:rsidR="00024C0A" w:rsidRDefault="00694C0F">
            <w:pPr>
              <w:pStyle w:val="TableBodyText"/>
            </w:pPr>
            <w:r>
              <w:t>12</w:t>
            </w:r>
          </w:p>
        </w:tc>
        <w:tc>
          <w:tcPr>
            <w:tcW w:w="0" w:type="auto"/>
            <w:vAlign w:val="center"/>
          </w:tcPr>
          <w:p w:rsidR="00024C0A" w:rsidRDefault="00694C0F">
            <w:pPr>
              <w:pStyle w:val="TableBodyText"/>
            </w:pPr>
            <w:r>
              <w:t>B4 (JIS) 250 x 354</w:t>
            </w:r>
          </w:p>
        </w:tc>
      </w:tr>
      <w:tr w:rsidR="00024C0A" w:rsidTr="00024C0A">
        <w:tc>
          <w:tcPr>
            <w:tcW w:w="0" w:type="auto"/>
            <w:vAlign w:val="center"/>
          </w:tcPr>
          <w:p w:rsidR="00024C0A" w:rsidRDefault="00694C0F">
            <w:pPr>
              <w:pStyle w:val="TableBodyText"/>
            </w:pPr>
            <w:r>
              <w:t>13</w:t>
            </w:r>
          </w:p>
        </w:tc>
        <w:tc>
          <w:tcPr>
            <w:tcW w:w="0" w:type="auto"/>
            <w:vAlign w:val="center"/>
          </w:tcPr>
          <w:p w:rsidR="00024C0A" w:rsidRDefault="00694C0F">
            <w:pPr>
              <w:pStyle w:val="TableBodyText"/>
            </w:pPr>
            <w:r>
              <w:t>B5 (JIS) 182 x 257 mm</w:t>
            </w:r>
          </w:p>
        </w:tc>
      </w:tr>
      <w:tr w:rsidR="00024C0A" w:rsidTr="00024C0A">
        <w:tc>
          <w:tcPr>
            <w:tcW w:w="0" w:type="auto"/>
            <w:vAlign w:val="center"/>
          </w:tcPr>
          <w:p w:rsidR="00024C0A" w:rsidRDefault="00694C0F">
            <w:pPr>
              <w:pStyle w:val="TableBodyText"/>
            </w:pPr>
            <w:r>
              <w:t>14</w:t>
            </w:r>
          </w:p>
        </w:tc>
        <w:tc>
          <w:tcPr>
            <w:tcW w:w="0" w:type="auto"/>
            <w:vAlign w:val="center"/>
          </w:tcPr>
          <w:p w:rsidR="00024C0A" w:rsidRDefault="00694C0F">
            <w:pPr>
              <w:pStyle w:val="TableBodyText"/>
            </w:pPr>
            <w:r>
              <w:t>Folio 8 1/2 x 13 in</w:t>
            </w:r>
          </w:p>
        </w:tc>
      </w:tr>
      <w:tr w:rsidR="00024C0A" w:rsidTr="00024C0A">
        <w:tc>
          <w:tcPr>
            <w:tcW w:w="0" w:type="auto"/>
            <w:vAlign w:val="center"/>
          </w:tcPr>
          <w:p w:rsidR="00024C0A" w:rsidRDefault="00694C0F">
            <w:pPr>
              <w:pStyle w:val="TableBodyText"/>
            </w:pPr>
            <w:r>
              <w:t>15</w:t>
            </w:r>
          </w:p>
        </w:tc>
        <w:tc>
          <w:tcPr>
            <w:tcW w:w="0" w:type="auto"/>
            <w:vAlign w:val="center"/>
          </w:tcPr>
          <w:p w:rsidR="00024C0A" w:rsidRDefault="00694C0F">
            <w:pPr>
              <w:pStyle w:val="TableBodyText"/>
            </w:pPr>
            <w:r>
              <w:t>Quarto 215 x 275 mm</w:t>
            </w:r>
          </w:p>
        </w:tc>
      </w:tr>
      <w:tr w:rsidR="00024C0A" w:rsidTr="00024C0A">
        <w:tc>
          <w:tcPr>
            <w:tcW w:w="0" w:type="auto"/>
            <w:vAlign w:val="center"/>
          </w:tcPr>
          <w:p w:rsidR="00024C0A" w:rsidRDefault="00694C0F">
            <w:pPr>
              <w:pStyle w:val="TableBodyText"/>
            </w:pPr>
            <w:r>
              <w:t>16</w:t>
            </w:r>
          </w:p>
        </w:tc>
        <w:tc>
          <w:tcPr>
            <w:tcW w:w="0" w:type="auto"/>
            <w:vAlign w:val="center"/>
          </w:tcPr>
          <w:p w:rsidR="00024C0A" w:rsidRDefault="00694C0F">
            <w:pPr>
              <w:pStyle w:val="TableBodyText"/>
            </w:pPr>
            <w:r>
              <w:t>10 x 14 in</w:t>
            </w:r>
          </w:p>
        </w:tc>
      </w:tr>
      <w:tr w:rsidR="00024C0A" w:rsidTr="00024C0A">
        <w:tc>
          <w:tcPr>
            <w:tcW w:w="0" w:type="auto"/>
            <w:vAlign w:val="center"/>
          </w:tcPr>
          <w:p w:rsidR="00024C0A" w:rsidRDefault="00694C0F">
            <w:pPr>
              <w:pStyle w:val="TableBodyText"/>
            </w:pPr>
            <w:r>
              <w:t>17</w:t>
            </w:r>
          </w:p>
        </w:tc>
        <w:tc>
          <w:tcPr>
            <w:tcW w:w="0" w:type="auto"/>
            <w:vAlign w:val="center"/>
          </w:tcPr>
          <w:p w:rsidR="00024C0A" w:rsidRDefault="00694C0F">
            <w:pPr>
              <w:pStyle w:val="TableBodyText"/>
            </w:pPr>
            <w:r>
              <w:t>11 x 17 in</w:t>
            </w:r>
          </w:p>
        </w:tc>
      </w:tr>
      <w:tr w:rsidR="00024C0A" w:rsidTr="00024C0A">
        <w:tc>
          <w:tcPr>
            <w:tcW w:w="0" w:type="auto"/>
            <w:vAlign w:val="center"/>
          </w:tcPr>
          <w:p w:rsidR="00024C0A" w:rsidRDefault="00694C0F">
            <w:pPr>
              <w:pStyle w:val="TableBodyText"/>
            </w:pPr>
            <w:r>
              <w:t>18</w:t>
            </w:r>
          </w:p>
        </w:tc>
        <w:tc>
          <w:tcPr>
            <w:tcW w:w="0" w:type="auto"/>
            <w:vAlign w:val="center"/>
          </w:tcPr>
          <w:p w:rsidR="00024C0A" w:rsidRDefault="00694C0F">
            <w:pPr>
              <w:pStyle w:val="TableBodyText"/>
            </w:pPr>
            <w:r>
              <w:t>US Note 8 1/2 x 11 in</w:t>
            </w:r>
          </w:p>
        </w:tc>
      </w:tr>
      <w:tr w:rsidR="00024C0A" w:rsidTr="00024C0A">
        <w:tc>
          <w:tcPr>
            <w:tcW w:w="0" w:type="auto"/>
            <w:vAlign w:val="center"/>
          </w:tcPr>
          <w:p w:rsidR="00024C0A" w:rsidRDefault="00694C0F">
            <w:pPr>
              <w:pStyle w:val="TableBodyText"/>
            </w:pPr>
            <w:r>
              <w:t>19</w:t>
            </w:r>
          </w:p>
        </w:tc>
        <w:tc>
          <w:tcPr>
            <w:tcW w:w="0" w:type="auto"/>
            <w:vAlign w:val="center"/>
          </w:tcPr>
          <w:p w:rsidR="00024C0A" w:rsidRDefault="00694C0F">
            <w:pPr>
              <w:pStyle w:val="TableBodyText"/>
            </w:pPr>
            <w:r>
              <w:t>US Envelope #9 3 7/8 x 8 7/8</w:t>
            </w:r>
          </w:p>
        </w:tc>
      </w:tr>
      <w:tr w:rsidR="00024C0A" w:rsidTr="00024C0A">
        <w:tc>
          <w:tcPr>
            <w:tcW w:w="0" w:type="auto"/>
            <w:vAlign w:val="center"/>
          </w:tcPr>
          <w:p w:rsidR="00024C0A" w:rsidRDefault="00694C0F">
            <w:pPr>
              <w:pStyle w:val="TableBodyText"/>
            </w:pPr>
            <w:r>
              <w:t>20</w:t>
            </w:r>
          </w:p>
        </w:tc>
        <w:tc>
          <w:tcPr>
            <w:tcW w:w="0" w:type="auto"/>
            <w:vAlign w:val="center"/>
          </w:tcPr>
          <w:p w:rsidR="00024C0A" w:rsidRDefault="00694C0F">
            <w:pPr>
              <w:pStyle w:val="TableBodyText"/>
            </w:pPr>
            <w:r>
              <w:t>US Envelope #10 4 1/8 x 9 1/2</w:t>
            </w:r>
          </w:p>
        </w:tc>
      </w:tr>
      <w:tr w:rsidR="00024C0A" w:rsidTr="00024C0A">
        <w:tc>
          <w:tcPr>
            <w:tcW w:w="0" w:type="auto"/>
            <w:vAlign w:val="center"/>
          </w:tcPr>
          <w:p w:rsidR="00024C0A" w:rsidRDefault="00694C0F">
            <w:pPr>
              <w:pStyle w:val="TableBodyText"/>
            </w:pPr>
            <w:r>
              <w:t>21</w:t>
            </w:r>
          </w:p>
        </w:tc>
        <w:tc>
          <w:tcPr>
            <w:tcW w:w="0" w:type="auto"/>
            <w:vAlign w:val="center"/>
          </w:tcPr>
          <w:p w:rsidR="00024C0A" w:rsidRDefault="00694C0F">
            <w:pPr>
              <w:pStyle w:val="TableBodyText"/>
            </w:pPr>
            <w:r>
              <w:t>US Envelope #11 4 1/2 x 10 3/8</w:t>
            </w:r>
          </w:p>
        </w:tc>
      </w:tr>
      <w:tr w:rsidR="00024C0A" w:rsidTr="00024C0A">
        <w:tc>
          <w:tcPr>
            <w:tcW w:w="0" w:type="auto"/>
            <w:vAlign w:val="center"/>
          </w:tcPr>
          <w:p w:rsidR="00024C0A" w:rsidRDefault="00694C0F">
            <w:pPr>
              <w:pStyle w:val="TableBodyText"/>
            </w:pPr>
            <w:r>
              <w:t>22</w:t>
            </w:r>
          </w:p>
        </w:tc>
        <w:tc>
          <w:tcPr>
            <w:tcW w:w="0" w:type="auto"/>
            <w:vAlign w:val="center"/>
          </w:tcPr>
          <w:p w:rsidR="00024C0A" w:rsidRDefault="00694C0F">
            <w:pPr>
              <w:pStyle w:val="TableBodyText"/>
            </w:pPr>
            <w:r>
              <w:t>US Envelope #12 4 \276 x 11</w:t>
            </w:r>
          </w:p>
        </w:tc>
      </w:tr>
      <w:tr w:rsidR="00024C0A" w:rsidTr="00024C0A">
        <w:tc>
          <w:tcPr>
            <w:tcW w:w="0" w:type="auto"/>
            <w:vAlign w:val="center"/>
          </w:tcPr>
          <w:p w:rsidR="00024C0A" w:rsidRDefault="00694C0F">
            <w:pPr>
              <w:pStyle w:val="TableBodyText"/>
            </w:pPr>
            <w:r>
              <w:t>23</w:t>
            </w:r>
          </w:p>
        </w:tc>
        <w:tc>
          <w:tcPr>
            <w:tcW w:w="0" w:type="auto"/>
            <w:vAlign w:val="center"/>
          </w:tcPr>
          <w:p w:rsidR="00024C0A" w:rsidRDefault="00694C0F">
            <w:pPr>
              <w:pStyle w:val="TableBodyText"/>
            </w:pPr>
            <w:r>
              <w:t>US Envelope #14 5 x 11 1/2</w:t>
            </w:r>
          </w:p>
        </w:tc>
      </w:tr>
      <w:tr w:rsidR="00024C0A" w:rsidTr="00024C0A">
        <w:tc>
          <w:tcPr>
            <w:tcW w:w="0" w:type="auto"/>
            <w:vAlign w:val="center"/>
          </w:tcPr>
          <w:p w:rsidR="00024C0A" w:rsidRDefault="00694C0F">
            <w:pPr>
              <w:pStyle w:val="TableBodyText"/>
            </w:pPr>
            <w:r>
              <w:t>24</w:t>
            </w:r>
          </w:p>
        </w:tc>
        <w:tc>
          <w:tcPr>
            <w:tcW w:w="0" w:type="auto"/>
            <w:vAlign w:val="center"/>
          </w:tcPr>
          <w:p w:rsidR="00024C0A" w:rsidRDefault="00694C0F">
            <w:pPr>
              <w:pStyle w:val="TableBodyText"/>
            </w:pPr>
            <w:r>
              <w:t xml:space="preserve">C size </w:t>
            </w:r>
            <w:r>
              <w:t>sheet</w:t>
            </w:r>
          </w:p>
        </w:tc>
      </w:tr>
      <w:tr w:rsidR="00024C0A" w:rsidTr="00024C0A">
        <w:tc>
          <w:tcPr>
            <w:tcW w:w="0" w:type="auto"/>
            <w:vAlign w:val="center"/>
          </w:tcPr>
          <w:p w:rsidR="00024C0A" w:rsidRDefault="00694C0F">
            <w:pPr>
              <w:pStyle w:val="TableBodyText"/>
            </w:pPr>
            <w:r>
              <w:t>25</w:t>
            </w:r>
          </w:p>
        </w:tc>
        <w:tc>
          <w:tcPr>
            <w:tcW w:w="0" w:type="auto"/>
            <w:vAlign w:val="center"/>
          </w:tcPr>
          <w:p w:rsidR="00024C0A" w:rsidRDefault="00694C0F">
            <w:pPr>
              <w:pStyle w:val="TableBodyText"/>
            </w:pPr>
            <w:r>
              <w:t>D size sheet</w:t>
            </w:r>
          </w:p>
        </w:tc>
      </w:tr>
      <w:tr w:rsidR="00024C0A" w:rsidTr="00024C0A">
        <w:tc>
          <w:tcPr>
            <w:tcW w:w="0" w:type="auto"/>
            <w:vAlign w:val="center"/>
          </w:tcPr>
          <w:p w:rsidR="00024C0A" w:rsidRDefault="00694C0F">
            <w:pPr>
              <w:pStyle w:val="TableBodyText"/>
            </w:pPr>
            <w:r>
              <w:t>26</w:t>
            </w:r>
          </w:p>
        </w:tc>
        <w:tc>
          <w:tcPr>
            <w:tcW w:w="0" w:type="auto"/>
            <w:vAlign w:val="center"/>
          </w:tcPr>
          <w:p w:rsidR="00024C0A" w:rsidRDefault="00694C0F">
            <w:pPr>
              <w:pStyle w:val="TableBodyText"/>
            </w:pPr>
            <w:r>
              <w:t>E size sheet</w:t>
            </w:r>
          </w:p>
        </w:tc>
      </w:tr>
      <w:tr w:rsidR="00024C0A" w:rsidTr="00024C0A">
        <w:tc>
          <w:tcPr>
            <w:tcW w:w="0" w:type="auto"/>
            <w:vAlign w:val="center"/>
          </w:tcPr>
          <w:p w:rsidR="00024C0A" w:rsidRDefault="00694C0F">
            <w:pPr>
              <w:pStyle w:val="TableBodyText"/>
            </w:pPr>
            <w:r>
              <w:t>27</w:t>
            </w:r>
          </w:p>
        </w:tc>
        <w:tc>
          <w:tcPr>
            <w:tcW w:w="0" w:type="auto"/>
            <w:vAlign w:val="center"/>
          </w:tcPr>
          <w:p w:rsidR="00024C0A" w:rsidRDefault="00694C0F">
            <w:pPr>
              <w:pStyle w:val="TableBodyText"/>
            </w:pPr>
            <w:r>
              <w:t>Envelope DL 110 x 220mm</w:t>
            </w:r>
          </w:p>
        </w:tc>
      </w:tr>
      <w:tr w:rsidR="00024C0A" w:rsidTr="00024C0A">
        <w:tc>
          <w:tcPr>
            <w:tcW w:w="0" w:type="auto"/>
            <w:vAlign w:val="center"/>
          </w:tcPr>
          <w:p w:rsidR="00024C0A" w:rsidRDefault="00694C0F">
            <w:pPr>
              <w:pStyle w:val="TableBodyText"/>
            </w:pPr>
            <w:r>
              <w:t>28</w:t>
            </w:r>
          </w:p>
        </w:tc>
        <w:tc>
          <w:tcPr>
            <w:tcW w:w="0" w:type="auto"/>
            <w:vAlign w:val="center"/>
          </w:tcPr>
          <w:p w:rsidR="00024C0A" w:rsidRDefault="00694C0F">
            <w:pPr>
              <w:pStyle w:val="TableBodyText"/>
            </w:pPr>
            <w:r>
              <w:t>Envelope C5 162 x 229 mm</w:t>
            </w:r>
          </w:p>
        </w:tc>
      </w:tr>
      <w:tr w:rsidR="00024C0A" w:rsidTr="00024C0A">
        <w:tc>
          <w:tcPr>
            <w:tcW w:w="0" w:type="auto"/>
            <w:vAlign w:val="center"/>
          </w:tcPr>
          <w:p w:rsidR="00024C0A" w:rsidRDefault="00694C0F">
            <w:pPr>
              <w:pStyle w:val="TableBodyText"/>
            </w:pPr>
            <w:r>
              <w:t>29</w:t>
            </w:r>
          </w:p>
        </w:tc>
        <w:tc>
          <w:tcPr>
            <w:tcW w:w="0" w:type="auto"/>
            <w:vAlign w:val="center"/>
          </w:tcPr>
          <w:p w:rsidR="00024C0A" w:rsidRDefault="00694C0F">
            <w:pPr>
              <w:pStyle w:val="TableBodyText"/>
            </w:pPr>
            <w:r>
              <w:t>Envelope C3 324 x 458 mm</w:t>
            </w:r>
          </w:p>
        </w:tc>
      </w:tr>
      <w:tr w:rsidR="00024C0A" w:rsidTr="00024C0A">
        <w:tc>
          <w:tcPr>
            <w:tcW w:w="0" w:type="auto"/>
            <w:vAlign w:val="center"/>
          </w:tcPr>
          <w:p w:rsidR="00024C0A" w:rsidRDefault="00694C0F">
            <w:pPr>
              <w:pStyle w:val="TableBodyText"/>
            </w:pPr>
            <w:r>
              <w:t>30</w:t>
            </w:r>
          </w:p>
        </w:tc>
        <w:tc>
          <w:tcPr>
            <w:tcW w:w="0" w:type="auto"/>
            <w:vAlign w:val="center"/>
          </w:tcPr>
          <w:p w:rsidR="00024C0A" w:rsidRDefault="00694C0F">
            <w:pPr>
              <w:pStyle w:val="TableBodyText"/>
            </w:pPr>
            <w:r>
              <w:t>Envelope C4 229 x 324 mm</w:t>
            </w:r>
          </w:p>
        </w:tc>
      </w:tr>
      <w:tr w:rsidR="00024C0A" w:rsidTr="00024C0A">
        <w:tc>
          <w:tcPr>
            <w:tcW w:w="0" w:type="auto"/>
            <w:vAlign w:val="center"/>
          </w:tcPr>
          <w:p w:rsidR="00024C0A" w:rsidRDefault="00694C0F">
            <w:pPr>
              <w:pStyle w:val="TableBodyText"/>
            </w:pPr>
            <w:r>
              <w:t>31</w:t>
            </w:r>
          </w:p>
        </w:tc>
        <w:tc>
          <w:tcPr>
            <w:tcW w:w="0" w:type="auto"/>
            <w:vAlign w:val="center"/>
          </w:tcPr>
          <w:p w:rsidR="00024C0A" w:rsidRDefault="00694C0F">
            <w:pPr>
              <w:pStyle w:val="TableBodyText"/>
            </w:pPr>
            <w:r>
              <w:t>Envelope C6 114 x 162 mm</w:t>
            </w:r>
          </w:p>
        </w:tc>
      </w:tr>
      <w:tr w:rsidR="00024C0A" w:rsidTr="00024C0A">
        <w:tc>
          <w:tcPr>
            <w:tcW w:w="0" w:type="auto"/>
            <w:vAlign w:val="center"/>
          </w:tcPr>
          <w:p w:rsidR="00024C0A" w:rsidRDefault="00694C0F">
            <w:pPr>
              <w:pStyle w:val="TableBodyText"/>
            </w:pPr>
            <w:r>
              <w:t>32</w:t>
            </w:r>
          </w:p>
        </w:tc>
        <w:tc>
          <w:tcPr>
            <w:tcW w:w="0" w:type="auto"/>
            <w:vAlign w:val="center"/>
          </w:tcPr>
          <w:p w:rsidR="00024C0A" w:rsidRDefault="00694C0F">
            <w:pPr>
              <w:pStyle w:val="TableBodyText"/>
            </w:pPr>
            <w:r>
              <w:t>Envelope C65 114 x 229 mm</w:t>
            </w:r>
          </w:p>
        </w:tc>
      </w:tr>
      <w:tr w:rsidR="00024C0A" w:rsidTr="00024C0A">
        <w:tc>
          <w:tcPr>
            <w:tcW w:w="0" w:type="auto"/>
            <w:vAlign w:val="center"/>
          </w:tcPr>
          <w:p w:rsidR="00024C0A" w:rsidRDefault="00694C0F">
            <w:pPr>
              <w:pStyle w:val="TableBodyText"/>
            </w:pPr>
            <w:r>
              <w:t>33</w:t>
            </w:r>
          </w:p>
        </w:tc>
        <w:tc>
          <w:tcPr>
            <w:tcW w:w="0" w:type="auto"/>
            <w:vAlign w:val="center"/>
          </w:tcPr>
          <w:p w:rsidR="00024C0A" w:rsidRDefault="00694C0F">
            <w:pPr>
              <w:pStyle w:val="TableBodyText"/>
            </w:pPr>
            <w:r>
              <w:t>Envelope B4 250 x 353 mm</w:t>
            </w:r>
          </w:p>
        </w:tc>
      </w:tr>
      <w:tr w:rsidR="00024C0A" w:rsidTr="00024C0A">
        <w:tc>
          <w:tcPr>
            <w:tcW w:w="0" w:type="auto"/>
            <w:vAlign w:val="center"/>
          </w:tcPr>
          <w:p w:rsidR="00024C0A" w:rsidRDefault="00694C0F">
            <w:pPr>
              <w:pStyle w:val="TableBodyText"/>
            </w:pPr>
            <w:r>
              <w:t>34</w:t>
            </w:r>
          </w:p>
        </w:tc>
        <w:tc>
          <w:tcPr>
            <w:tcW w:w="0" w:type="auto"/>
            <w:vAlign w:val="center"/>
          </w:tcPr>
          <w:p w:rsidR="00024C0A" w:rsidRDefault="00694C0F">
            <w:pPr>
              <w:pStyle w:val="TableBodyText"/>
            </w:pPr>
            <w:r>
              <w:t xml:space="preserve">Envelope </w:t>
            </w:r>
            <w:r>
              <w:t>B5 176 x 250 mm</w:t>
            </w:r>
          </w:p>
        </w:tc>
      </w:tr>
      <w:tr w:rsidR="00024C0A" w:rsidTr="00024C0A">
        <w:tc>
          <w:tcPr>
            <w:tcW w:w="0" w:type="auto"/>
            <w:vAlign w:val="center"/>
          </w:tcPr>
          <w:p w:rsidR="00024C0A" w:rsidRDefault="00694C0F">
            <w:pPr>
              <w:pStyle w:val="TableBodyText"/>
            </w:pPr>
            <w:r>
              <w:t>35</w:t>
            </w:r>
          </w:p>
        </w:tc>
        <w:tc>
          <w:tcPr>
            <w:tcW w:w="0" w:type="auto"/>
            <w:vAlign w:val="center"/>
          </w:tcPr>
          <w:p w:rsidR="00024C0A" w:rsidRDefault="00694C0F">
            <w:pPr>
              <w:pStyle w:val="TableBodyText"/>
            </w:pPr>
            <w:r>
              <w:t>Envelope B6 176 x 125 mm</w:t>
            </w:r>
          </w:p>
        </w:tc>
      </w:tr>
      <w:tr w:rsidR="00024C0A" w:rsidTr="00024C0A">
        <w:tc>
          <w:tcPr>
            <w:tcW w:w="0" w:type="auto"/>
            <w:vAlign w:val="center"/>
          </w:tcPr>
          <w:p w:rsidR="00024C0A" w:rsidRDefault="00694C0F">
            <w:pPr>
              <w:pStyle w:val="TableBodyText"/>
            </w:pPr>
            <w:r>
              <w:t>36</w:t>
            </w:r>
          </w:p>
        </w:tc>
        <w:tc>
          <w:tcPr>
            <w:tcW w:w="0" w:type="auto"/>
            <w:vAlign w:val="center"/>
          </w:tcPr>
          <w:p w:rsidR="00024C0A" w:rsidRDefault="00694C0F">
            <w:pPr>
              <w:pStyle w:val="TableBodyText"/>
            </w:pPr>
            <w:r>
              <w:t>Envelope 110 x 230 mm</w:t>
            </w:r>
          </w:p>
        </w:tc>
      </w:tr>
      <w:tr w:rsidR="00024C0A" w:rsidTr="00024C0A">
        <w:tc>
          <w:tcPr>
            <w:tcW w:w="0" w:type="auto"/>
            <w:vAlign w:val="center"/>
          </w:tcPr>
          <w:p w:rsidR="00024C0A" w:rsidRDefault="00694C0F">
            <w:pPr>
              <w:pStyle w:val="TableBodyText"/>
            </w:pPr>
            <w:r>
              <w:t>37</w:t>
            </w:r>
          </w:p>
        </w:tc>
        <w:tc>
          <w:tcPr>
            <w:tcW w:w="0" w:type="auto"/>
            <w:vAlign w:val="center"/>
          </w:tcPr>
          <w:p w:rsidR="00024C0A" w:rsidRDefault="00694C0F">
            <w:pPr>
              <w:pStyle w:val="TableBodyText"/>
            </w:pPr>
            <w:r>
              <w:t>US Envelope Monarch 3.875 x 7.5 in</w:t>
            </w:r>
          </w:p>
        </w:tc>
      </w:tr>
      <w:tr w:rsidR="00024C0A" w:rsidTr="00024C0A">
        <w:tc>
          <w:tcPr>
            <w:tcW w:w="0" w:type="auto"/>
            <w:vAlign w:val="center"/>
          </w:tcPr>
          <w:p w:rsidR="00024C0A" w:rsidRDefault="00694C0F">
            <w:pPr>
              <w:pStyle w:val="TableBodyText"/>
            </w:pPr>
            <w:r>
              <w:t>38</w:t>
            </w:r>
          </w:p>
        </w:tc>
        <w:tc>
          <w:tcPr>
            <w:tcW w:w="0" w:type="auto"/>
            <w:vAlign w:val="center"/>
          </w:tcPr>
          <w:p w:rsidR="00024C0A" w:rsidRDefault="00694C0F">
            <w:pPr>
              <w:pStyle w:val="TableBodyText"/>
            </w:pPr>
            <w:r>
              <w:t>6 3/4 US Envelope 3 5/8 x 6 1/2 in</w:t>
            </w:r>
          </w:p>
        </w:tc>
      </w:tr>
      <w:tr w:rsidR="00024C0A" w:rsidTr="00024C0A">
        <w:tc>
          <w:tcPr>
            <w:tcW w:w="0" w:type="auto"/>
            <w:vAlign w:val="center"/>
          </w:tcPr>
          <w:p w:rsidR="00024C0A" w:rsidRDefault="00694C0F">
            <w:pPr>
              <w:pStyle w:val="TableBodyText"/>
            </w:pPr>
            <w:r>
              <w:t>39</w:t>
            </w:r>
          </w:p>
        </w:tc>
        <w:tc>
          <w:tcPr>
            <w:tcW w:w="0" w:type="auto"/>
            <w:vAlign w:val="center"/>
          </w:tcPr>
          <w:p w:rsidR="00024C0A" w:rsidRDefault="00694C0F">
            <w:pPr>
              <w:pStyle w:val="TableBodyText"/>
            </w:pPr>
            <w:r>
              <w:t>US Std Fanfold 14 7/8 x 11 in</w:t>
            </w:r>
          </w:p>
        </w:tc>
      </w:tr>
      <w:tr w:rsidR="00024C0A" w:rsidTr="00024C0A">
        <w:tc>
          <w:tcPr>
            <w:tcW w:w="0" w:type="auto"/>
            <w:vAlign w:val="center"/>
          </w:tcPr>
          <w:p w:rsidR="00024C0A" w:rsidRDefault="00694C0F">
            <w:pPr>
              <w:pStyle w:val="TableBodyText"/>
            </w:pPr>
            <w:r>
              <w:t>40</w:t>
            </w:r>
          </w:p>
        </w:tc>
        <w:tc>
          <w:tcPr>
            <w:tcW w:w="0" w:type="auto"/>
            <w:vAlign w:val="center"/>
          </w:tcPr>
          <w:p w:rsidR="00024C0A" w:rsidRDefault="00694C0F">
            <w:pPr>
              <w:pStyle w:val="TableBodyText"/>
            </w:pPr>
            <w:r>
              <w:t>German Std Fanfold 8 1/2 x 12 in</w:t>
            </w:r>
          </w:p>
        </w:tc>
      </w:tr>
      <w:tr w:rsidR="00024C0A" w:rsidTr="00024C0A">
        <w:tc>
          <w:tcPr>
            <w:tcW w:w="0" w:type="auto"/>
            <w:vAlign w:val="center"/>
          </w:tcPr>
          <w:p w:rsidR="00024C0A" w:rsidRDefault="00694C0F">
            <w:pPr>
              <w:pStyle w:val="TableBodyText"/>
            </w:pPr>
            <w:r>
              <w:t>41</w:t>
            </w:r>
          </w:p>
        </w:tc>
        <w:tc>
          <w:tcPr>
            <w:tcW w:w="0" w:type="auto"/>
            <w:vAlign w:val="center"/>
          </w:tcPr>
          <w:p w:rsidR="00024C0A" w:rsidRDefault="00694C0F">
            <w:pPr>
              <w:pStyle w:val="TableBodyText"/>
            </w:pPr>
            <w:r>
              <w:t xml:space="preserve">German Legal Fanfold 8 1/2 x 13 </w:t>
            </w:r>
            <w:r>
              <w:t>in</w:t>
            </w:r>
          </w:p>
        </w:tc>
      </w:tr>
      <w:tr w:rsidR="00024C0A" w:rsidTr="00024C0A">
        <w:tc>
          <w:tcPr>
            <w:tcW w:w="0" w:type="auto"/>
            <w:vAlign w:val="center"/>
          </w:tcPr>
          <w:p w:rsidR="00024C0A" w:rsidRDefault="00694C0F">
            <w:pPr>
              <w:pStyle w:val="TableBodyText"/>
            </w:pPr>
            <w:r>
              <w:lastRenderedPageBreak/>
              <w:t>42</w:t>
            </w:r>
          </w:p>
        </w:tc>
        <w:tc>
          <w:tcPr>
            <w:tcW w:w="0" w:type="auto"/>
            <w:vAlign w:val="center"/>
          </w:tcPr>
          <w:p w:rsidR="00024C0A" w:rsidRDefault="00694C0F">
            <w:pPr>
              <w:pStyle w:val="TableBodyText"/>
            </w:pPr>
            <w:r>
              <w:t>B4 (ISO) 250 x 353 mm</w:t>
            </w:r>
          </w:p>
        </w:tc>
      </w:tr>
      <w:tr w:rsidR="00024C0A" w:rsidTr="00024C0A">
        <w:tc>
          <w:tcPr>
            <w:tcW w:w="0" w:type="auto"/>
            <w:vAlign w:val="center"/>
          </w:tcPr>
          <w:p w:rsidR="00024C0A" w:rsidRDefault="00694C0F">
            <w:pPr>
              <w:pStyle w:val="TableBodyText"/>
            </w:pPr>
            <w:r>
              <w:t>43</w:t>
            </w:r>
          </w:p>
        </w:tc>
        <w:tc>
          <w:tcPr>
            <w:tcW w:w="0" w:type="auto"/>
            <w:vAlign w:val="center"/>
          </w:tcPr>
          <w:p w:rsidR="00024C0A" w:rsidRDefault="00694C0F">
            <w:pPr>
              <w:pStyle w:val="TableBodyText"/>
            </w:pPr>
            <w:r>
              <w:t>Japanese Postcard 100 x 148 mm</w:t>
            </w:r>
          </w:p>
        </w:tc>
      </w:tr>
      <w:tr w:rsidR="00024C0A" w:rsidTr="00024C0A">
        <w:tc>
          <w:tcPr>
            <w:tcW w:w="0" w:type="auto"/>
            <w:vAlign w:val="center"/>
          </w:tcPr>
          <w:p w:rsidR="00024C0A" w:rsidRDefault="00694C0F">
            <w:pPr>
              <w:pStyle w:val="TableBodyText"/>
            </w:pPr>
            <w:r>
              <w:t>44</w:t>
            </w:r>
          </w:p>
        </w:tc>
        <w:tc>
          <w:tcPr>
            <w:tcW w:w="0" w:type="auto"/>
            <w:vAlign w:val="center"/>
          </w:tcPr>
          <w:p w:rsidR="00024C0A" w:rsidRDefault="00694C0F">
            <w:pPr>
              <w:pStyle w:val="TableBodyText"/>
            </w:pPr>
            <w:r>
              <w:t>9 x 11 in</w:t>
            </w:r>
          </w:p>
        </w:tc>
      </w:tr>
      <w:tr w:rsidR="00024C0A" w:rsidTr="00024C0A">
        <w:tc>
          <w:tcPr>
            <w:tcW w:w="0" w:type="auto"/>
            <w:vAlign w:val="center"/>
          </w:tcPr>
          <w:p w:rsidR="00024C0A" w:rsidRDefault="00694C0F">
            <w:pPr>
              <w:pStyle w:val="TableBodyText"/>
            </w:pPr>
            <w:r>
              <w:t>45</w:t>
            </w:r>
          </w:p>
        </w:tc>
        <w:tc>
          <w:tcPr>
            <w:tcW w:w="0" w:type="auto"/>
            <w:vAlign w:val="center"/>
          </w:tcPr>
          <w:p w:rsidR="00024C0A" w:rsidRDefault="00694C0F">
            <w:pPr>
              <w:pStyle w:val="TableBodyText"/>
            </w:pPr>
            <w:r>
              <w:t>10 x 11 in</w:t>
            </w:r>
          </w:p>
        </w:tc>
      </w:tr>
      <w:tr w:rsidR="00024C0A" w:rsidTr="00024C0A">
        <w:tc>
          <w:tcPr>
            <w:tcW w:w="0" w:type="auto"/>
            <w:vAlign w:val="center"/>
          </w:tcPr>
          <w:p w:rsidR="00024C0A" w:rsidRDefault="00694C0F">
            <w:pPr>
              <w:pStyle w:val="TableBodyText"/>
            </w:pPr>
            <w:r>
              <w:t>46</w:t>
            </w:r>
          </w:p>
        </w:tc>
        <w:tc>
          <w:tcPr>
            <w:tcW w:w="0" w:type="auto"/>
            <w:vAlign w:val="center"/>
          </w:tcPr>
          <w:p w:rsidR="00024C0A" w:rsidRDefault="00694C0F">
            <w:pPr>
              <w:pStyle w:val="TableBodyText"/>
            </w:pPr>
            <w:r>
              <w:t>15 x 11 in</w:t>
            </w:r>
          </w:p>
        </w:tc>
      </w:tr>
      <w:tr w:rsidR="00024C0A" w:rsidTr="00024C0A">
        <w:tc>
          <w:tcPr>
            <w:tcW w:w="0" w:type="auto"/>
            <w:vAlign w:val="center"/>
          </w:tcPr>
          <w:p w:rsidR="00024C0A" w:rsidRDefault="00694C0F">
            <w:pPr>
              <w:pStyle w:val="TableBodyText"/>
            </w:pPr>
            <w:r>
              <w:t>47</w:t>
            </w:r>
          </w:p>
        </w:tc>
        <w:tc>
          <w:tcPr>
            <w:tcW w:w="0" w:type="auto"/>
            <w:vAlign w:val="center"/>
          </w:tcPr>
          <w:p w:rsidR="00024C0A" w:rsidRDefault="00694C0F">
            <w:pPr>
              <w:pStyle w:val="TableBodyText"/>
            </w:pPr>
            <w:r>
              <w:t>Envelope Invite 220 x 220 mm</w:t>
            </w:r>
          </w:p>
        </w:tc>
      </w:tr>
      <w:tr w:rsidR="00024C0A" w:rsidTr="00024C0A">
        <w:tc>
          <w:tcPr>
            <w:tcW w:w="0" w:type="auto"/>
            <w:vAlign w:val="center"/>
          </w:tcPr>
          <w:p w:rsidR="00024C0A" w:rsidRDefault="00694C0F">
            <w:pPr>
              <w:pStyle w:val="TableBodyText"/>
            </w:pPr>
            <w:r>
              <w:t>48</w:t>
            </w:r>
          </w:p>
        </w:tc>
        <w:tc>
          <w:tcPr>
            <w:tcW w:w="0" w:type="auto"/>
            <w:vAlign w:val="center"/>
          </w:tcPr>
          <w:p w:rsidR="00024C0A" w:rsidRDefault="00694C0F">
            <w:pPr>
              <w:pStyle w:val="TableBodyText"/>
            </w:pPr>
            <w:r>
              <w:t>RESERVED--DO NOT USE</w:t>
            </w:r>
          </w:p>
        </w:tc>
      </w:tr>
      <w:tr w:rsidR="00024C0A" w:rsidTr="00024C0A">
        <w:tc>
          <w:tcPr>
            <w:tcW w:w="0" w:type="auto"/>
            <w:vAlign w:val="center"/>
          </w:tcPr>
          <w:p w:rsidR="00024C0A" w:rsidRDefault="00694C0F">
            <w:pPr>
              <w:pStyle w:val="TableBodyText"/>
            </w:pPr>
            <w:r>
              <w:t>49</w:t>
            </w:r>
          </w:p>
        </w:tc>
        <w:tc>
          <w:tcPr>
            <w:tcW w:w="0" w:type="auto"/>
            <w:vAlign w:val="center"/>
          </w:tcPr>
          <w:p w:rsidR="00024C0A" w:rsidRDefault="00694C0F">
            <w:pPr>
              <w:pStyle w:val="TableBodyText"/>
            </w:pPr>
            <w:r>
              <w:t>RESERVED--DO NOT USE</w:t>
            </w:r>
          </w:p>
        </w:tc>
      </w:tr>
      <w:tr w:rsidR="00024C0A" w:rsidTr="00024C0A">
        <w:tc>
          <w:tcPr>
            <w:tcW w:w="0" w:type="auto"/>
            <w:vAlign w:val="center"/>
          </w:tcPr>
          <w:p w:rsidR="00024C0A" w:rsidRDefault="00694C0F">
            <w:pPr>
              <w:pStyle w:val="TableBodyText"/>
            </w:pPr>
            <w:r>
              <w:t>50</w:t>
            </w:r>
          </w:p>
        </w:tc>
        <w:tc>
          <w:tcPr>
            <w:tcW w:w="0" w:type="auto"/>
            <w:vAlign w:val="center"/>
          </w:tcPr>
          <w:p w:rsidR="00024C0A" w:rsidRDefault="00694C0F">
            <w:pPr>
              <w:pStyle w:val="TableBodyText"/>
            </w:pPr>
            <w:r>
              <w:t>US Letter Extra 9 \275 x 12 in</w:t>
            </w:r>
          </w:p>
        </w:tc>
      </w:tr>
      <w:tr w:rsidR="00024C0A" w:rsidTr="00024C0A">
        <w:tc>
          <w:tcPr>
            <w:tcW w:w="0" w:type="auto"/>
            <w:vAlign w:val="center"/>
          </w:tcPr>
          <w:p w:rsidR="00024C0A" w:rsidRDefault="00694C0F">
            <w:pPr>
              <w:pStyle w:val="TableBodyText"/>
            </w:pPr>
            <w:r>
              <w:t>51</w:t>
            </w:r>
          </w:p>
        </w:tc>
        <w:tc>
          <w:tcPr>
            <w:tcW w:w="0" w:type="auto"/>
            <w:vAlign w:val="center"/>
          </w:tcPr>
          <w:p w:rsidR="00024C0A" w:rsidRDefault="00694C0F">
            <w:pPr>
              <w:pStyle w:val="TableBodyText"/>
            </w:pPr>
            <w:r>
              <w:t>US Legal Extra 9 \275 x 15</w:t>
            </w:r>
            <w:r>
              <w:t xml:space="preserve"> in</w:t>
            </w:r>
          </w:p>
        </w:tc>
      </w:tr>
      <w:tr w:rsidR="00024C0A" w:rsidTr="00024C0A">
        <w:tc>
          <w:tcPr>
            <w:tcW w:w="0" w:type="auto"/>
            <w:vAlign w:val="center"/>
          </w:tcPr>
          <w:p w:rsidR="00024C0A" w:rsidRDefault="00694C0F">
            <w:pPr>
              <w:pStyle w:val="TableBodyText"/>
            </w:pPr>
            <w:r>
              <w:t>52</w:t>
            </w:r>
          </w:p>
        </w:tc>
        <w:tc>
          <w:tcPr>
            <w:tcW w:w="0" w:type="auto"/>
            <w:vAlign w:val="center"/>
          </w:tcPr>
          <w:p w:rsidR="00024C0A" w:rsidRDefault="00694C0F">
            <w:pPr>
              <w:pStyle w:val="TableBodyText"/>
            </w:pPr>
            <w:r>
              <w:t>US Tabloid Extra 11.69 x 18 in</w:t>
            </w:r>
          </w:p>
        </w:tc>
      </w:tr>
      <w:tr w:rsidR="00024C0A" w:rsidTr="00024C0A">
        <w:tc>
          <w:tcPr>
            <w:tcW w:w="0" w:type="auto"/>
            <w:vAlign w:val="center"/>
          </w:tcPr>
          <w:p w:rsidR="00024C0A" w:rsidRDefault="00694C0F">
            <w:pPr>
              <w:pStyle w:val="TableBodyText"/>
            </w:pPr>
            <w:r>
              <w:t>53</w:t>
            </w:r>
          </w:p>
        </w:tc>
        <w:tc>
          <w:tcPr>
            <w:tcW w:w="0" w:type="auto"/>
            <w:vAlign w:val="center"/>
          </w:tcPr>
          <w:p w:rsidR="00024C0A" w:rsidRDefault="00694C0F">
            <w:pPr>
              <w:pStyle w:val="TableBodyText"/>
            </w:pPr>
            <w:r>
              <w:t>A4 Extra 9.27 x 12.69 in</w:t>
            </w:r>
          </w:p>
        </w:tc>
      </w:tr>
      <w:tr w:rsidR="00024C0A" w:rsidTr="00024C0A">
        <w:tc>
          <w:tcPr>
            <w:tcW w:w="0" w:type="auto"/>
            <w:vAlign w:val="center"/>
          </w:tcPr>
          <w:p w:rsidR="00024C0A" w:rsidRDefault="00694C0F">
            <w:pPr>
              <w:pStyle w:val="TableBodyText"/>
            </w:pPr>
            <w:r>
              <w:t>54</w:t>
            </w:r>
          </w:p>
        </w:tc>
        <w:tc>
          <w:tcPr>
            <w:tcW w:w="0" w:type="auto"/>
            <w:vAlign w:val="center"/>
          </w:tcPr>
          <w:p w:rsidR="00024C0A" w:rsidRDefault="00694C0F">
            <w:pPr>
              <w:pStyle w:val="TableBodyText"/>
            </w:pPr>
            <w:r>
              <w:t xml:space="preserve">Letter Transverse 8 \275 x 11 in </w:t>
            </w:r>
          </w:p>
        </w:tc>
      </w:tr>
      <w:tr w:rsidR="00024C0A" w:rsidTr="00024C0A">
        <w:tc>
          <w:tcPr>
            <w:tcW w:w="0" w:type="auto"/>
            <w:vAlign w:val="center"/>
          </w:tcPr>
          <w:p w:rsidR="00024C0A" w:rsidRDefault="00694C0F">
            <w:pPr>
              <w:pStyle w:val="TableBodyText"/>
            </w:pPr>
            <w:r>
              <w:t>55</w:t>
            </w:r>
          </w:p>
        </w:tc>
        <w:tc>
          <w:tcPr>
            <w:tcW w:w="0" w:type="auto"/>
            <w:vAlign w:val="center"/>
          </w:tcPr>
          <w:p w:rsidR="00024C0A" w:rsidRDefault="00694C0F">
            <w:pPr>
              <w:pStyle w:val="TableBodyText"/>
            </w:pPr>
            <w:r>
              <w:t>A4 Transverse 210 x 297 mm</w:t>
            </w:r>
          </w:p>
        </w:tc>
      </w:tr>
      <w:tr w:rsidR="00024C0A" w:rsidTr="00024C0A">
        <w:tc>
          <w:tcPr>
            <w:tcW w:w="0" w:type="auto"/>
            <w:vAlign w:val="center"/>
          </w:tcPr>
          <w:p w:rsidR="00024C0A" w:rsidRDefault="00694C0F">
            <w:pPr>
              <w:pStyle w:val="TableBodyText"/>
            </w:pPr>
            <w:r>
              <w:t>56</w:t>
            </w:r>
          </w:p>
        </w:tc>
        <w:tc>
          <w:tcPr>
            <w:tcW w:w="0" w:type="auto"/>
            <w:vAlign w:val="center"/>
          </w:tcPr>
          <w:p w:rsidR="00024C0A" w:rsidRDefault="00694C0F">
            <w:pPr>
              <w:pStyle w:val="TableBodyText"/>
            </w:pPr>
            <w:r>
              <w:t>Letter Extra Transverse 9\275 x 12 in</w:t>
            </w:r>
          </w:p>
        </w:tc>
      </w:tr>
      <w:tr w:rsidR="00024C0A" w:rsidTr="00024C0A">
        <w:tc>
          <w:tcPr>
            <w:tcW w:w="0" w:type="auto"/>
            <w:vAlign w:val="center"/>
          </w:tcPr>
          <w:p w:rsidR="00024C0A" w:rsidRDefault="00694C0F">
            <w:pPr>
              <w:pStyle w:val="TableBodyText"/>
            </w:pPr>
            <w:r>
              <w:t>57</w:t>
            </w:r>
          </w:p>
        </w:tc>
        <w:tc>
          <w:tcPr>
            <w:tcW w:w="0" w:type="auto"/>
            <w:vAlign w:val="center"/>
          </w:tcPr>
          <w:p w:rsidR="00024C0A" w:rsidRDefault="00694C0F">
            <w:pPr>
              <w:pStyle w:val="TableBodyText"/>
            </w:pPr>
            <w:r>
              <w:t>SuperA/SuperA/A4 227 x 356 mm</w:t>
            </w:r>
          </w:p>
        </w:tc>
      </w:tr>
      <w:tr w:rsidR="00024C0A" w:rsidTr="00024C0A">
        <w:tc>
          <w:tcPr>
            <w:tcW w:w="0" w:type="auto"/>
            <w:vAlign w:val="center"/>
          </w:tcPr>
          <w:p w:rsidR="00024C0A" w:rsidRDefault="00694C0F">
            <w:pPr>
              <w:pStyle w:val="TableBodyText"/>
            </w:pPr>
            <w:r>
              <w:t>58</w:t>
            </w:r>
          </w:p>
        </w:tc>
        <w:tc>
          <w:tcPr>
            <w:tcW w:w="0" w:type="auto"/>
            <w:vAlign w:val="center"/>
          </w:tcPr>
          <w:p w:rsidR="00024C0A" w:rsidRDefault="00694C0F">
            <w:pPr>
              <w:pStyle w:val="TableBodyText"/>
            </w:pPr>
            <w:r>
              <w:t>SuperB/SuperB/A3 305 x 487 mm</w:t>
            </w:r>
          </w:p>
        </w:tc>
      </w:tr>
      <w:tr w:rsidR="00024C0A" w:rsidTr="00024C0A">
        <w:tc>
          <w:tcPr>
            <w:tcW w:w="0" w:type="auto"/>
            <w:vAlign w:val="center"/>
          </w:tcPr>
          <w:p w:rsidR="00024C0A" w:rsidRDefault="00694C0F">
            <w:pPr>
              <w:pStyle w:val="TableBodyText"/>
            </w:pPr>
            <w:r>
              <w:t>59</w:t>
            </w:r>
          </w:p>
        </w:tc>
        <w:tc>
          <w:tcPr>
            <w:tcW w:w="0" w:type="auto"/>
            <w:vAlign w:val="center"/>
          </w:tcPr>
          <w:p w:rsidR="00024C0A" w:rsidRDefault="00694C0F">
            <w:pPr>
              <w:pStyle w:val="TableBodyText"/>
            </w:pPr>
            <w:r>
              <w:t xml:space="preserve">US </w:t>
            </w:r>
            <w:r>
              <w:t>Letter Plus 8.5 x 12.69 in</w:t>
            </w:r>
          </w:p>
        </w:tc>
      </w:tr>
      <w:tr w:rsidR="00024C0A" w:rsidTr="00024C0A">
        <w:tc>
          <w:tcPr>
            <w:tcW w:w="0" w:type="auto"/>
            <w:vAlign w:val="center"/>
          </w:tcPr>
          <w:p w:rsidR="00024C0A" w:rsidRDefault="00694C0F">
            <w:pPr>
              <w:pStyle w:val="TableBodyText"/>
            </w:pPr>
            <w:r>
              <w:t>60</w:t>
            </w:r>
          </w:p>
        </w:tc>
        <w:tc>
          <w:tcPr>
            <w:tcW w:w="0" w:type="auto"/>
            <w:vAlign w:val="center"/>
          </w:tcPr>
          <w:p w:rsidR="00024C0A" w:rsidRDefault="00694C0F">
            <w:pPr>
              <w:pStyle w:val="TableBodyText"/>
            </w:pPr>
            <w:r>
              <w:t>A4 Plus 210 x 330 mm</w:t>
            </w:r>
          </w:p>
        </w:tc>
      </w:tr>
      <w:tr w:rsidR="00024C0A" w:rsidTr="00024C0A">
        <w:tc>
          <w:tcPr>
            <w:tcW w:w="0" w:type="auto"/>
            <w:vAlign w:val="center"/>
          </w:tcPr>
          <w:p w:rsidR="00024C0A" w:rsidRDefault="00694C0F">
            <w:pPr>
              <w:pStyle w:val="TableBodyText"/>
            </w:pPr>
            <w:r>
              <w:t>61</w:t>
            </w:r>
          </w:p>
        </w:tc>
        <w:tc>
          <w:tcPr>
            <w:tcW w:w="0" w:type="auto"/>
            <w:vAlign w:val="center"/>
          </w:tcPr>
          <w:p w:rsidR="00024C0A" w:rsidRDefault="00694C0F">
            <w:pPr>
              <w:pStyle w:val="TableBodyText"/>
            </w:pPr>
            <w:r>
              <w:t>A5 Transverse 148 x 210 mm</w:t>
            </w:r>
          </w:p>
        </w:tc>
      </w:tr>
      <w:tr w:rsidR="00024C0A" w:rsidTr="00024C0A">
        <w:tc>
          <w:tcPr>
            <w:tcW w:w="0" w:type="auto"/>
            <w:vAlign w:val="center"/>
          </w:tcPr>
          <w:p w:rsidR="00024C0A" w:rsidRDefault="00694C0F">
            <w:pPr>
              <w:pStyle w:val="TableBodyText"/>
            </w:pPr>
            <w:r>
              <w:t>62</w:t>
            </w:r>
          </w:p>
        </w:tc>
        <w:tc>
          <w:tcPr>
            <w:tcW w:w="0" w:type="auto"/>
            <w:vAlign w:val="center"/>
          </w:tcPr>
          <w:p w:rsidR="00024C0A" w:rsidRDefault="00694C0F">
            <w:pPr>
              <w:pStyle w:val="TableBodyText"/>
            </w:pPr>
            <w:r>
              <w:t>B5 (JIS) Transverse 182 x 257 mm</w:t>
            </w:r>
          </w:p>
        </w:tc>
      </w:tr>
      <w:tr w:rsidR="00024C0A" w:rsidTr="00024C0A">
        <w:tc>
          <w:tcPr>
            <w:tcW w:w="0" w:type="auto"/>
            <w:vAlign w:val="center"/>
          </w:tcPr>
          <w:p w:rsidR="00024C0A" w:rsidRDefault="00694C0F">
            <w:pPr>
              <w:pStyle w:val="TableBodyText"/>
            </w:pPr>
            <w:r>
              <w:t>63</w:t>
            </w:r>
          </w:p>
        </w:tc>
        <w:tc>
          <w:tcPr>
            <w:tcW w:w="0" w:type="auto"/>
            <w:vAlign w:val="center"/>
          </w:tcPr>
          <w:p w:rsidR="00024C0A" w:rsidRDefault="00694C0F">
            <w:pPr>
              <w:pStyle w:val="TableBodyText"/>
            </w:pPr>
            <w:r>
              <w:t>A3 Extra 322 x 445 mm</w:t>
            </w:r>
          </w:p>
        </w:tc>
      </w:tr>
      <w:tr w:rsidR="00024C0A" w:rsidTr="00024C0A">
        <w:tc>
          <w:tcPr>
            <w:tcW w:w="0" w:type="auto"/>
            <w:vAlign w:val="center"/>
          </w:tcPr>
          <w:p w:rsidR="00024C0A" w:rsidRDefault="00694C0F">
            <w:pPr>
              <w:pStyle w:val="TableBodyText"/>
            </w:pPr>
            <w:r>
              <w:t>64</w:t>
            </w:r>
          </w:p>
        </w:tc>
        <w:tc>
          <w:tcPr>
            <w:tcW w:w="0" w:type="auto"/>
            <w:vAlign w:val="center"/>
          </w:tcPr>
          <w:p w:rsidR="00024C0A" w:rsidRDefault="00694C0F">
            <w:pPr>
              <w:pStyle w:val="TableBodyText"/>
            </w:pPr>
            <w:r>
              <w:t>A5 Extra 174 x 235 mm</w:t>
            </w:r>
          </w:p>
        </w:tc>
      </w:tr>
      <w:tr w:rsidR="00024C0A" w:rsidTr="00024C0A">
        <w:tc>
          <w:tcPr>
            <w:tcW w:w="0" w:type="auto"/>
            <w:vAlign w:val="center"/>
          </w:tcPr>
          <w:p w:rsidR="00024C0A" w:rsidRDefault="00694C0F">
            <w:pPr>
              <w:pStyle w:val="TableBodyText"/>
            </w:pPr>
            <w:r>
              <w:t>65</w:t>
            </w:r>
          </w:p>
        </w:tc>
        <w:tc>
          <w:tcPr>
            <w:tcW w:w="0" w:type="auto"/>
            <w:vAlign w:val="center"/>
          </w:tcPr>
          <w:p w:rsidR="00024C0A" w:rsidRDefault="00694C0F">
            <w:pPr>
              <w:pStyle w:val="TableBodyText"/>
            </w:pPr>
            <w:r>
              <w:t>B5 (ISO) Extra 201 x 276 mm</w:t>
            </w:r>
          </w:p>
        </w:tc>
      </w:tr>
      <w:tr w:rsidR="00024C0A" w:rsidTr="00024C0A">
        <w:tc>
          <w:tcPr>
            <w:tcW w:w="0" w:type="auto"/>
            <w:vAlign w:val="center"/>
          </w:tcPr>
          <w:p w:rsidR="00024C0A" w:rsidRDefault="00694C0F">
            <w:pPr>
              <w:pStyle w:val="TableBodyText"/>
            </w:pPr>
            <w:r>
              <w:t>66</w:t>
            </w:r>
          </w:p>
        </w:tc>
        <w:tc>
          <w:tcPr>
            <w:tcW w:w="0" w:type="auto"/>
            <w:vAlign w:val="center"/>
          </w:tcPr>
          <w:p w:rsidR="00024C0A" w:rsidRDefault="00694C0F">
            <w:pPr>
              <w:pStyle w:val="TableBodyText"/>
            </w:pPr>
            <w:r>
              <w:t>A2 420 x 594 mm</w:t>
            </w:r>
          </w:p>
        </w:tc>
      </w:tr>
      <w:tr w:rsidR="00024C0A" w:rsidTr="00024C0A">
        <w:tc>
          <w:tcPr>
            <w:tcW w:w="0" w:type="auto"/>
            <w:vAlign w:val="center"/>
          </w:tcPr>
          <w:p w:rsidR="00024C0A" w:rsidRDefault="00694C0F">
            <w:pPr>
              <w:pStyle w:val="TableBodyText"/>
            </w:pPr>
            <w:r>
              <w:t>67</w:t>
            </w:r>
          </w:p>
        </w:tc>
        <w:tc>
          <w:tcPr>
            <w:tcW w:w="0" w:type="auto"/>
            <w:vAlign w:val="center"/>
          </w:tcPr>
          <w:p w:rsidR="00024C0A" w:rsidRDefault="00694C0F">
            <w:pPr>
              <w:pStyle w:val="TableBodyText"/>
            </w:pPr>
            <w:r>
              <w:t>A3 Transverse 297 x 420 mm</w:t>
            </w:r>
          </w:p>
        </w:tc>
      </w:tr>
      <w:tr w:rsidR="00024C0A" w:rsidTr="00024C0A">
        <w:tc>
          <w:tcPr>
            <w:tcW w:w="0" w:type="auto"/>
            <w:vAlign w:val="center"/>
          </w:tcPr>
          <w:p w:rsidR="00024C0A" w:rsidRDefault="00694C0F">
            <w:pPr>
              <w:pStyle w:val="TableBodyText"/>
            </w:pPr>
            <w:r>
              <w:t>68</w:t>
            </w:r>
          </w:p>
        </w:tc>
        <w:tc>
          <w:tcPr>
            <w:tcW w:w="0" w:type="auto"/>
            <w:vAlign w:val="center"/>
          </w:tcPr>
          <w:p w:rsidR="00024C0A" w:rsidRDefault="00694C0F">
            <w:pPr>
              <w:pStyle w:val="TableBodyText"/>
            </w:pPr>
            <w:r>
              <w:t xml:space="preserve">A3 Extra Transverse 322 x 445 mm </w:t>
            </w:r>
          </w:p>
        </w:tc>
      </w:tr>
      <w:tr w:rsidR="00024C0A" w:rsidTr="00024C0A">
        <w:tc>
          <w:tcPr>
            <w:tcW w:w="0" w:type="auto"/>
            <w:vAlign w:val="center"/>
          </w:tcPr>
          <w:p w:rsidR="00024C0A" w:rsidRDefault="00694C0F">
            <w:pPr>
              <w:pStyle w:val="TableBodyText"/>
            </w:pPr>
            <w:r>
              <w:t>69</w:t>
            </w:r>
          </w:p>
        </w:tc>
        <w:tc>
          <w:tcPr>
            <w:tcW w:w="0" w:type="auto"/>
            <w:vAlign w:val="center"/>
          </w:tcPr>
          <w:p w:rsidR="00024C0A" w:rsidRDefault="00694C0F">
            <w:pPr>
              <w:pStyle w:val="TableBodyText"/>
            </w:pPr>
            <w:r>
              <w:t>Japanese Double Postcard 200 x 148 mm</w:t>
            </w:r>
          </w:p>
        </w:tc>
      </w:tr>
      <w:tr w:rsidR="00024C0A" w:rsidTr="00024C0A">
        <w:tc>
          <w:tcPr>
            <w:tcW w:w="0" w:type="auto"/>
            <w:vAlign w:val="center"/>
          </w:tcPr>
          <w:p w:rsidR="00024C0A" w:rsidRDefault="00694C0F">
            <w:pPr>
              <w:pStyle w:val="TableBodyText"/>
            </w:pPr>
            <w:r>
              <w:t>70</w:t>
            </w:r>
          </w:p>
        </w:tc>
        <w:tc>
          <w:tcPr>
            <w:tcW w:w="0" w:type="auto"/>
            <w:vAlign w:val="center"/>
          </w:tcPr>
          <w:p w:rsidR="00024C0A" w:rsidRDefault="00694C0F">
            <w:pPr>
              <w:pStyle w:val="TableBodyText"/>
            </w:pPr>
            <w:r>
              <w:t>A6 105 x 148 mm</w:t>
            </w:r>
          </w:p>
        </w:tc>
      </w:tr>
      <w:tr w:rsidR="00024C0A" w:rsidTr="00024C0A">
        <w:tc>
          <w:tcPr>
            <w:tcW w:w="0" w:type="auto"/>
            <w:vAlign w:val="center"/>
          </w:tcPr>
          <w:p w:rsidR="00024C0A" w:rsidRDefault="00694C0F">
            <w:pPr>
              <w:pStyle w:val="TableBodyText"/>
            </w:pPr>
            <w:r>
              <w:t>71</w:t>
            </w:r>
          </w:p>
        </w:tc>
        <w:tc>
          <w:tcPr>
            <w:tcW w:w="0" w:type="auto"/>
            <w:vAlign w:val="center"/>
          </w:tcPr>
          <w:p w:rsidR="00024C0A" w:rsidRDefault="00694C0F">
            <w:pPr>
              <w:pStyle w:val="TableBodyText"/>
            </w:pPr>
            <w:r>
              <w:t>Japanese Envelope Kaku #2</w:t>
            </w:r>
          </w:p>
        </w:tc>
      </w:tr>
      <w:tr w:rsidR="00024C0A" w:rsidTr="00024C0A">
        <w:tc>
          <w:tcPr>
            <w:tcW w:w="0" w:type="auto"/>
            <w:vAlign w:val="center"/>
          </w:tcPr>
          <w:p w:rsidR="00024C0A" w:rsidRDefault="00694C0F">
            <w:pPr>
              <w:pStyle w:val="TableBodyText"/>
            </w:pPr>
            <w:r>
              <w:t xml:space="preserve">72 </w:t>
            </w:r>
          </w:p>
        </w:tc>
        <w:tc>
          <w:tcPr>
            <w:tcW w:w="0" w:type="auto"/>
            <w:vAlign w:val="center"/>
          </w:tcPr>
          <w:p w:rsidR="00024C0A" w:rsidRDefault="00694C0F">
            <w:pPr>
              <w:pStyle w:val="TableBodyText"/>
            </w:pPr>
            <w:r>
              <w:t>Japanese Envelope Kaku #3</w:t>
            </w:r>
          </w:p>
        </w:tc>
      </w:tr>
      <w:tr w:rsidR="00024C0A" w:rsidTr="00024C0A">
        <w:tc>
          <w:tcPr>
            <w:tcW w:w="0" w:type="auto"/>
            <w:vAlign w:val="center"/>
          </w:tcPr>
          <w:p w:rsidR="00024C0A" w:rsidRDefault="00694C0F">
            <w:pPr>
              <w:pStyle w:val="TableBodyText"/>
            </w:pPr>
            <w:r>
              <w:t>73</w:t>
            </w:r>
          </w:p>
        </w:tc>
        <w:tc>
          <w:tcPr>
            <w:tcW w:w="0" w:type="auto"/>
            <w:vAlign w:val="center"/>
          </w:tcPr>
          <w:p w:rsidR="00024C0A" w:rsidRDefault="00694C0F">
            <w:pPr>
              <w:pStyle w:val="TableBodyText"/>
            </w:pPr>
            <w:r>
              <w:t>Japanese Envelope Chou #3</w:t>
            </w:r>
          </w:p>
        </w:tc>
      </w:tr>
      <w:tr w:rsidR="00024C0A" w:rsidTr="00024C0A">
        <w:tc>
          <w:tcPr>
            <w:tcW w:w="0" w:type="auto"/>
            <w:vAlign w:val="center"/>
          </w:tcPr>
          <w:p w:rsidR="00024C0A" w:rsidRDefault="00694C0F">
            <w:pPr>
              <w:pStyle w:val="TableBodyText"/>
            </w:pPr>
            <w:r>
              <w:lastRenderedPageBreak/>
              <w:t>74</w:t>
            </w:r>
          </w:p>
        </w:tc>
        <w:tc>
          <w:tcPr>
            <w:tcW w:w="0" w:type="auto"/>
            <w:vAlign w:val="center"/>
          </w:tcPr>
          <w:p w:rsidR="00024C0A" w:rsidRDefault="00694C0F">
            <w:pPr>
              <w:pStyle w:val="TableBodyText"/>
            </w:pPr>
            <w:r>
              <w:t>Japanese Envelope Chou #4</w:t>
            </w:r>
          </w:p>
        </w:tc>
      </w:tr>
      <w:tr w:rsidR="00024C0A" w:rsidTr="00024C0A">
        <w:tc>
          <w:tcPr>
            <w:tcW w:w="0" w:type="auto"/>
            <w:vAlign w:val="center"/>
          </w:tcPr>
          <w:p w:rsidR="00024C0A" w:rsidRDefault="00694C0F">
            <w:pPr>
              <w:pStyle w:val="TableBodyText"/>
            </w:pPr>
            <w:r>
              <w:t>75</w:t>
            </w:r>
          </w:p>
        </w:tc>
        <w:tc>
          <w:tcPr>
            <w:tcW w:w="0" w:type="auto"/>
            <w:vAlign w:val="center"/>
          </w:tcPr>
          <w:p w:rsidR="00024C0A" w:rsidRDefault="00694C0F">
            <w:pPr>
              <w:pStyle w:val="TableBodyText"/>
            </w:pPr>
            <w:r>
              <w:t>Letter Rotated 11 x 8 1/2 11 in</w:t>
            </w:r>
          </w:p>
        </w:tc>
      </w:tr>
      <w:tr w:rsidR="00024C0A" w:rsidTr="00024C0A">
        <w:tc>
          <w:tcPr>
            <w:tcW w:w="0" w:type="auto"/>
            <w:vAlign w:val="center"/>
          </w:tcPr>
          <w:p w:rsidR="00024C0A" w:rsidRDefault="00694C0F">
            <w:pPr>
              <w:pStyle w:val="TableBodyText"/>
            </w:pPr>
            <w:r>
              <w:t>76</w:t>
            </w:r>
          </w:p>
        </w:tc>
        <w:tc>
          <w:tcPr>
            <w:tcW w:w="0" w:type="auto"/>
            <w:vAlign w:val="center"/>
          </w:tcPr>
          <w:p w:rsidR="00024C0A" w:rsidRDefault="00694C0F">
            <w:pPr>
              <w:pStyle w:val="TableBodyText"/>
            </w:pPr>
            <w:r>
              <w:t>A3 Rotated 420 x 297 mm</w:t>
            </w:r>
          </w:p>
        </w:tc>
      </w:tr>
      <w:tr w:rsidR="00024C0A" w:rsidTr="00024C0A">
        <w:tc>
          <w:tcPr>
            <w:tcW w:w="0" w:type="auto"/>
            <w:vAlign w:val="center"/>
          </w:tcPr>
          <w:p w:rsidR="00024C0A" w:rsidRDefault="00694C0F">
            <w:pPr>
              <w:pStyle w:val="TableBodyText"/>
            </w:pPr>
            <w:r>
              <w:t>77</w:t>
            </w:r>
          </w:p>
        </w:tc>
        <w:tc>
          <w:tcPr>
            <w:tcW w:w="0" w:type="auto"/>
            <w:vAlign w:val="center"/>
          </w:tcPr>
          <w:p w:rsidR="00024C0A" w:rsidRDefault="00694C0F">
            <w:pPr>
              <w:pStyle w:val="TableBodyText"/>
            </w:pPr>
            <w:r>
              <w:t>A4 Rotated 297 x 210 mm</w:t>
            </w:r>
          </w:p>
        </w:tc>
      </w:tr>
      <w:tr w:rsidR="00024C0A" w:rsidTr="00024C0A">
        <w:tc>
          <w:tcPr>
            <w:tcW w:w="0" w:type="auto"/>
            <w:vAlign w:val="center"/>
          </w:tcPr>
          <w:p w:rsidR="00024C0A" w:rsidRDefault="00694C0F">
            <w:pPr>
              <w:pStyle w:val="TableBodyText"/>
            </w:pPr>
            <w:r>
              <w:t>78</w:t>
            </w:r>
          </w:p>
        </w:tc>
        <w:tc>
          <w:tcPr>
            <w:tcW w:w="0" w:type="auto"/>
            <w:vAlign w:val="center"/>
          </w:tcPr>
          <w:p w:rsidR="00024C0A" w:rsidRDefault="00694C0F">
            <w:pPr>
              <w:pStyle w:val="TableBodyText"/>
            </w:pPr>
            <w:r>
              <w:t>A5 Rotated 210 x 148 mm</w:t>
            </w:r>
          </w:p>
        </w:tc>
      </w:tr>
      <w:tr w:rsidR="00024C0A" w:rsidTr="00024C0A">
        <w:tc>
          <w:tcPr>
            <w:tcW w:w="0" w:type="auto"/>
            <w:vAlign w:val="center"/>
          </w:tcPr>
          <w:p w:rsidR="00024C0A" w:rsidRDefault="00694C0F">
            <w:pPr>
              <w:pStyle w:val="TableBodyText"/>
            </w:pPr>
            <w:r>
              <w:t>79</w:t>
            </w:r>
          </w:p>
        </w:tc>
        <w:tc>
          <w:tcPr>
            <w:tcW w:w="0" w:type="auto"/>
            <w:vAlign w:val="center"/>
          </w:tcPr>
          <w:p w:rsidR="00024C0A" w:rsidRDefault="00694C0F">
            <w:pPr>
              <w:pStyle w:val="TableBodyText"/>
            </w:pPr>
            <w:r>
              <w:t>B4 (JIS) Rotated 364 x 257 mm</w:t>
            </w:r>
          </w:p>
        </w:tc>
      </w:tr>
      <w:tr w:rsidR="00024C0A" w:rsidTr="00024C0A">
        <w:tc>
          <w:tcPr>
            <w:tcW w:w="0" w:type="auto"/>
            <w:vAlign w:val="center"/>
          </w:tcPr>
          <w:p w:rsidR="00024C0A" w:rsidRDefault="00694C0F">
            <w:pPr>
              <w:pStyle w:val="TableBodyText"/>
            </w:pPr>
            <w:r>
              <w:t>80</w:t>
            </w:r>
          </w:p>
        </w:tc>
        <w:tc>
          <w:tcPr>
            <w:tcW w:w="0" w:type="auto"/>
            <w:vAlign w:val="center"/>
          </w:tcPr>
          <w:p w:rsidR="00024C0A" w:rsidRDefault="00694C0F">
            <w:pPr>
              <w:pStyle w:val="TableBodyText"/>
            </w:pPr>
            <w:r>
              <w:t>B5 (JIS) Rotated 257 x 182 mm</w:t>
            </w:r>
          </w:p>
        </w:tc>
      </w:tr>
      <w:tr w:rsidR="00024C0A" w:rsidTr="00024C0A">
        <w:tc>
          <w:tcPr>
            <w:tcW w:w="0" w:type="auto"/>
            <w:vAlign w:val="center"/>
          </w:tcPr>
          <w:p w:rsidR="00024C0A" w:rsidRDefault="00694C0F">
            <w:pPr>
              <w:pStyle w:val="TableBodyText"/>
            </w:pPr>
            <w:r>
              <w:t>81</w:t>
            </w:r>
          </w:p>
        </w:tc>
        <w:tc>
          <w:tcPr>
            <w:tcW w:w="0" w:type="auto"/>
            <w:vAlign w:val="center"/>
          </w:tcPr>
          <w:p w:rsidR="00024C0A" w:rsidRDefault="00694C0F">
            <w:pPr>
              <w:pStyle w:val="TableBodyText"/>
            </w:pPr>
            <w:r>
              <w:t>Japanese Postcard Rotated 148 x 100 mm</w:t>
            </w:r>
          </w:p>
        </w:tc>
      </w:tr>
      <w:tr w:rsidR="00024C0A" w:rsidTr="00024C0A">
        <w:tc>
          <w:tcPr>
            <w:tcW w:w="0" w:type="auto"/>
            <w:vAlign w:val="center"/>
          </w:tcPr>
          <w:p w:rsidR="00024C0A" w:rsidRDefault="00694C0F">
            <w:pPr>
              <w:pStyle w:val="TableBodyText"/>
            </w:pPr>
            <w:r>
              <w:t>82</w:t>
            </w:r>
          </w:p>
        </w:tc>
        <w:tc>
          <w:tcPr>
            <w:tcW w:w="0" w:type="auto"/>
            <w:vAlign w:val="center"/>
          </w:tcPr>
          <w:p w:rsidR="00024C0A" w:rsidRDefault="00694C0F">
            <w:pPr>
              <w:pStyle w:val="TableBodyText"/>
            </w:pPr>
            <w:r>
              <w:t>Double Japanese Postcard Rotated 148 x 200 mm</w:t>
            </w:r>
          </w:p>
        </w:tc>
      </w:tr>
      <w:tr w:rsidR="00024C0A" w:rsidTr="00024C0A">
        <w:tc>
          <w:tcPr>
            <w:tcW w:w="0" w:type="auto"/>
            <w:vAlign w:val="center"/>
          </w:tcPr>
          <w:p w:rsidR="00024C0A" w:rsidRDefault="00694C0F">
            <w:pPr>
              <w:pStyle w:val="TableBodyText"/>
            </w:pPr>
            <w:r>
              <w:t>83</w:t>
            </w:r>
          </w:p>
        </w:tc>
        <w:tc>
          <w:tcPr>
            <w:tcW w:w="0" w:type="auto"/>
            <w:vAlign w:val="center"/>
          </w:tcPr>
          <w:p w:rsidR="00024C0A" w:rsidRDefault="00694C0F">
            <w:pPr>
              <w:pStyle w:val="TableBodyText"/>
            </w:pPr>
            <w:r>
              <w:t>A6 Rota</w:t>
            </w:r>
            <w:r>
              <w:t>ted 148 x 105 mm</w:t>
            </w:r>
          </w:p>
        </w:tc>
      </w:tr>
      <w:tr w:rsidR="00024C0A" w:rsidTr="00024C0A">
        <w:tc>
          <w:tcPr>
            <w:tcW w:w="0" w:type="auto"/>
            <w:vAlign w:val="center"/>
          </w:tcPr>
          <w:p w:rsidR="00024C0A" w:rsidRDefault="00694C0F">
            <w:pPr>
              <w:pStyle w:val="TableBodyText"/>
            </w:pPr>
            <w:r>
              <w:t>84</w:t>
            </w:r>
          </w:p>
        </w:tc>
        <w:tc>
          <w:tcPr>
            <w:tcW w:w="0" w:type="auto"/>
            <w:vAlign w:val="center"/>
          </w:tcPr>
          <w:p w:rsidR="00024C0A" w:rsidRDefault="00694C0F">
            <w:pPr>
              <w:pStyle w:val="TableBodyText"/>
            </w:pPr>
            <w:r>
              <w:t>Japanese Envelope Kaku #2 Rotated</w:t>
            </w:r>
          </w:p>
        </w:tc>
      </w:tr>
      <w:tr w:rsidR="00024C0A" w:rsidTr="00024C0A">
        <w:tc>
          <w:tcPr>
            <w:tcW w:w="0" w:type="auto"/>
            <w:vAlign w:val="center"/>
          </w:tcPr>
          <w:p w:rsidR="00024C0A" w:rsidRDefault="00694C0F">
            <w:pPr>
              <w:pStyle w:val="TableBodyText"/>
            </w:pPr>
            <w:r>
              <w:t>85</w:t>
            </w:r>
          </w:p>
        </w:tc>
        <w:tc>
          <w:tcPr>
            <w:tcW w:w="0" w:type="auto"/>
            <w:vAlign w:val="center"/>
          </w:tcPr>
          <w:p w:rsidR="00024C0A" w:rsidRDefault="00694C0F">
            <w:pPr>
              <w:pStyle w:val="TableBodyText"/>
            </w:pPr>
            <w:r>
              <w:t>Japanese Envelope Kaku #3 Rotated</w:t>
            </w:r>
          </w:p>
        </w:tc>
      </w:tr>
      <w:tr w:rsidR="00024C0A" w:rsidTr="00024C0A">
        <w:tc>
          <w:tcPr>
            <w:tcW w:w="0" w:type="auto"/>
            <w:vAlign w:val="center"/>
          </w:tcPr>
          <w:p w:rsidR="00024C0A" w:rsidRDefault="00694C0F">
            <w:pPr>
              <w:pStyle w:val="TableBodyText"/>
            </w:pPr>
            <w:r>
              <w:t>86</w:t>
            </w:r>
          </w:p>
        </w:tc>
        <w:tc>
          <w:tcPr>
            <w:tcW w:w="0" w:type="auto"/>
            <w:vAlign w:val="center"/>
          </w:tcPr>
          <w:p w:rsidR="00024C0A" w:rsidRDefault="00694C0F">
            <w:pPr>
              <w:pStyle w:val="TableBodyText"/>
            </w:pPr>
            <w:r>
              <w:t>Japanese Envelope Chou #3 Rotated</w:t>
            </w:r>
          </w:p>
        </w:tc>
      </w:tr>
      <w:tr w:rsidR="00024C0A" w:rsidTr="00024C0A">
        <w:tc>
          <w:tcPr>
            <w:tcW w:w="0" w:type="auto"/>
            <w:vAlign w:val="center"/>
          </w:tcPr>
          <w:p w:rsidR="00024C0A" w:rsidRDefault="00694C0F">
            <w:pPr>
              <w:pStyle w:val="TableBodyText"/>
            </w:pPr>
            <w:r>
              <w:t>87</w:t>
            </w:r>
          </w:p>
        </w:tc>
        <w:tc>
          <w:tcPr>
            <w:tcW w:w="0" w:type="auto"/>
            <w:vAlign w:val="center"/>
          </w:tcPr>
          <w:p w:rsidR="00024C0A" w:rsidRDefault="00694C0F">
            <w:pPr>
              <w:pStyle w:val="TableBodyText"/>
            </w:pPr>
            <w:r>
              <w:t>Japanese Envelope Chou #4 Rotated</w:t>
            </w:r>
          </w:p>
        </w:tc>
      </w:tr>
      <w:tr w:rsidR="00024C0A" w:rsidTr="00024C0A">
        <w:tc>
          <w:tcPr>
            <w:tcW w:w="0" w:type="auto"/>
            <w:vAlign w:val="center"/>
          </w:tcPr>
          <w:p w:rsidR="00024C0A" w:rsidRDefault="00694C0F">
            <w:pPr>
              <w:pStyle w:val="TableBodyText"/>
            </w:pPr>
            <w:r>
              <w:t>88</w:t>
            </w:r>
          </w:p>
        </w:tc>
        <w:tc>
          <w:tcPr>
            <w:tcW w:w="0" w:type="auto"/>
            <w:vAlign w:val="center"/>
          </w:tcPr>
          <w:p w:rsidR="00024C0A" w:rsidRDefault="00694C0F">
            <w:pPr>
              <w:pStyle w:val="TableBodyText"/>
            </w:pPr>
            <w:r>
              <w:t>B6 (JIS) 128 x 182 mm</w:t>
            </w:r>
          </w:p>
        </w:tc>
      </w:tr>
      <w:tr w:rsidR="00024C0A" w:rsidTr="00024C0A">
        <w:tc>
          <w:tcPr>
            <w:tcW w:w="0" w:type="auto"/>
            <w:vAlign w:val="center"/>
          </w:tcPr>
          <w:p w:rsidR="00024C0A" w:rsidRDefault="00694C0F">
            <w:pPr>
              <w:pStyle w:val="TableBodyText"/>
            </w:pPr>
            <w:r>
              <w:t>89</w:t>
            </w:r>
          </w:p>
        </w:tc>
        <w:tc>
          <w:tcPr>
            <w:tcW w:w="0" w:type="auto"/>
            <w:vAlign w:val="center"/>
          </w:tcPr>
          <w:p w:rsidR="00024C0A" w:rsidRDefault="00694C0F">
            <w:pPr>
              <w:pStyle w:val="TableBodyText"/>
            </w:pPr>
            <w:r>
              <w:t>B6 (JIS) Rotated 182 x 128 mm</w:t>
            </w:r>
          </w:p>
        </w:tc>
      </w:tr>
      <w:tr w:rsidR="00024C0A" w:rsidTr="00024C0A">
        <w:tc>
          <w:tcPr>
            <w:tcW w:w="0" w:type="auto"/>
            <w:vAlign w:val="center"/>
          </w:tcPr>
          <w:p w:rsidR="00024C0A" w:rsidRDefault="00694C0F">
            <w:pPr>
              <w:pStyle w:val="TableBodyText"/>
            </w:pPr>
            <w:r>
              <w:t>90</w:t>
            </w:r>
          </w:p>
        </w:tc>
        <w:tc>
          <w:tcPr>
            <w:tcW w:w="0" w:type="auto"/>
            <w:vAlign w:val="center"/>
          </w:tcPr>
          <w:p w:rsidR="00024C0A" w:rsidRDefault="00694C0F">
            <w:pPr>
              <w:pStyle w:val="TableBodyText"/>
            </w:pPr>
            <w:r>
              <w:t>12 x 11 in</w:t>
            </w:r>
          </w:p>
        </w:tc>
      </w:tr>
      <w:tr w:rsidR="00024C0A" w:rsidTr="00024C0A">
        <w:tc>
          <w:tcPr>
            <w:tcW w:w="0" w:type="auto"/>
            <w:vAlign w:val="center"/>
          </w:tcPr>
          <w:p w:rsidR="00024C0A" w:rsidRDefault="00694C0F">
            <w:pPr>
              <w:pStyle w:val="TableBodyText"/>
            </w:pPr>
            <w:r>
              <w:t>91</w:t>
            </w:r>
          </w:p>
        </w:tc>
        <w:tc>
          <w:tcPr>
            <w:tcW w:w="0" w:type="auto"/>
            <w:vAlign w:val="center"/>
          </w:tcPr>
          <w:p w:rsidR="00024C0A" w:rsidRDefault="00694C0F">
            <w:pPr>
              <w:pStyle w:val="TableBodyText"/>
            </w:pPr>
            <w:r>
              <w:t>Japanese</w:t>
            </w:r>
            <w:r>
              <w:t xml:space="preserve"> Envelope You #4</w:t>
            </w:r>
          </w:p>
        </w:tc>
      </w:tr>
      <w:tr w:rsidR="00024C0A" w:rsidTr="00024C0A">
        <w:tc>
          <w:tcPr>
            <w:tcW w:w="0" w:type="auto"/>
            <w:vAlign w:val="center"/>
          </w:tcPr>
          <w:p w:rsidR="00024C0A" w:rsidRDefault="00694C0F">
            <w:pPr>
              <w:pStyle w:val="TableBodyText"/>
            </w:pPr>
            <w:r>
              <w:t>92</w:t>
            </w:r>
          </w:p>
        </w:tc>
        <w:tc>
          <w:tcPr>
            <w:tcW w:w="0" w:type="auto"/>
            <w:vAlign w:val="center"/>
          </w:tcPr>
          <w:p w:rsidR="00024C0A" w:rsidRDefault="00694C0F">
            <w:pPr>
              <w:pStyle w:val="TableBodyText"/>
            </w:pPr>
            <w:r>
              <w:t>Japanese Envelope You #4 Rotated</w:t>
            </w:r>
          </w:p>
        </w:tc>
      </w:tr>
      <w:tr w:rsidR="00024C0A" w:rsidTr="00024C0A">
        <w:tc>
          <w:tcPr>
            <w:tcW w:w="0" w:type="auto"/>
            <w:vAlign w:val="center"/>
          </w:tcPr>
          <w:p w:rsidR="00024C0A" w:rsidRDefault="00694C0F">
            <w:pPr>
              <w:pStyle w:val="TableBodyText"/>
            </w:pPr>
            <w:r>
              <w:t>93</w:t>
            </w:r>
          </w:p>
        </w:tc>
        <w:tc>
          <w:tcPr>
            <w:tcW w:w="0" w:type="auto"/>
            <w:vAlign w:val="center"/>
          </w:tcPr>
          <w:p w:rsidR="00024C0A" w:rsidRDefault="00694C0F">
            <w:pPr>
              <w:pStyle w:val="TableBodyText"/>
            </w:pPr>
            <w:r>
              <w:t>PRC 16K 146 x 215 mm</w:t>
            </w:r>
          </w:p>
        </w:tc>
      </w:tr>
      <w:tr w:rsidR="00024C0A" w:rsidTr="00024C0A">
        <w:tc>
          <w:tcPr>
            <w:tcW w:w="0" w:type="auto"/>
            <w:vAlign w:val="center"/>
          </w:tcPr>
          <w:p w:rsidR="00024C0A" w:rsidRDefault="00694C0F">
            <w:pPr>
              <w:pStyle w:val="TableBodyText"/>
            </w:pPr>
            <w:r>
              <w:t>94</w:t>
            </w:r>
          </w:p>
        </w:tc>
        <w:tc>
          <w:tcPr>
            <w:tcW w:w="0" w:type="auto"/>
            <w:vAlign w:val="center"/>
          </w:tcPr>
          <w:p w:rsidR="00024C0A" w:rsidRDefault="00694C0F">
            <w:pPr>
              <w:pStyle w:val="TableBodyText"/>
            </w:pPr>
            <w:r>
              <w:t>PRC 32K 97 x 151 mm</w:t>
            </w:r>
          </w:p>
        </w:tc>
      </w:tr>
      <w:tr w:rsidR="00024C0A" w:rsidTr="00024C0A">
        <w:tc>
          <w:tcPr>
            <w:tcW w:w="0" w:type="auto"/>
            <w:vAlign w:val="center"/>
          </w:tcPr>
          <w:p w:rsidR="00024C0A" w:rsidRDefault="00694C0F">
            <w:pPr>
              <w:pStyle w:val="TableBodyText"/>
            </w:pPr>
            <w:r>
              <w:t>95</w:t>
            </w:r>
          </w:p>
        </w:tc>
        <w:tc>
          <w:tcPr>
            <w:tcW w:w="0" w:type="auto"/>
            <w:vAlign w:val="center"/>
          </w:tcPr>
          <w:p w:rsidR="00024C0A" w:rsidRDefault="00694C0F">
            <w:pPr>
              <w:pStyle w:val="TableBodyText"/>
            </w:pPr>
            <w:r>
              <w:t>PRC 32K(Big) 97 x 151 mm</w:t>
            </w:r>
          </w:p>
        </w:tc>
      </w:tr>
      <w:tr w:rsidR="00024C0A" w:rsidTr="00024C0A">
        <w:tc>
          <w:tcPr>
            <w:tcW w:w="0" w:type="auto"/>
            <w:vAlign w:val="center"/>
          </w:tcPr>
          <w:p w:rsidR="00024C0A" w:rsidRDefault="00694C0F">
            <w:pPr>
              <w:pStyle w:val="TableBodyText"/>
            </w:pPr>
            <w:r>
              <w:t>96</w:t>
            </w:r>
          </w:p>
        </w:tc>
        <w:tc>
          <w:tcPr>
            <w:tcW w:w="0" w:type="auto"/>
            <w:vAlign w:val="center"/>
          </w:tcPr>
          <w:p w:rsidR="00024C0A" w:rsidRDefault="00694C0F">
            <w:pPr>
              <w:pStyle w:val="TableBodyText"/>
            </w:pPr>
            <w:r>
              <w:t>PRC Envelope #1 102 x 165 mm</w:t>
            </w:r>
          </w:p>
        </w:tc>
      </w:tr>
      <w:tr w:rsidR="00024C0A" w:rsidTr="00024C0A">
        <w:tc>
          <w:tcPr>
            <w:tcW w:w="0" w:type="auto"/>
            <w:vAlign w:val="center"/>
          </w:tcPr>
          <w:p w:rsidR="00024C0A" w:rsidRDefault="00694C0F">
            <w:pPr>
              <w:pStyle w:val="TableBodyText"/>
            </w:pPr>
            <w:r>
              <w:t>97</w:t>
            </w:r>
          </w:p>
        </w:tc>
        <w:tc>
          <w:tcPr>
            <w:tcW w:w="0" w:type="auto"/>
            <w:vAlign w:val="center"/>
          </w:tcPr>
          <w:p w:rsidR="00024C0A" w:rsidRDefault="00694C0F">
            <w:pPr>
              <w:pStyle w:val="TableBodyText"/>
            </w:pPr>
            <w:r>
              <w:t>PRC Envelope #2 102 x 176 mm</w:t>
            </w:r>
          </w:p>
        </w:tc>
      </w:tr>
      <w:tr w:rsidR="00024C0A" w:rsidTr="00024C0A">
        <w:tc>
          <w:tcPr>
            <w:tcW w:w="0" w:type="auto"/>
            <w:vAlign w:val="center"/>
          </w:tcPr>
          <w:p w:rsidR="00024C0A" w:rsidRDefault="00694C0F">
            <w:pPr>
              <w:pStyle w:val="TableBodyText"/>
            </w:pPr>
            <w:r>
              <w:t>98</w:t>
            </w:r>
          </w:p>
        </w:tc>
        <w:tc>
          <w:tcPr>
            <w:tcW w:w="0" w:type="auto"/>
            <w:vAlign w:val="center"/>
          </w:tcPr>
          <w:p w:rsidR="00024C0A" w:rsidRDefault="00694C0F">
            <w:pPr>
              <w:pStyle w:val="TableBodyText"/>
            </w:pPr>
            <w:r>
              <w:t>PRC Envelope #3 125 x 176 mm</w:t>
            </w:r>
          </w:p>
        </w:tc>
      </w:tr>
      <w:tr w:rsidR="00024C0A" w:rsidTr="00024C0A">
        <w:tc>
          <w:tcPr>
            <w:tcW w:w="0" w:type="auto"/>
            <w:vAlign w:val="center"/>
          </w:tcPr>
          <w:p w:rsidR="00024C0A" w:rsidRDefault="00694C0F">
            <w:pPr>
              <w:pStyle w:val="TableBodyText"/>
            </w:pPr>
            <w:r>
              <w:t>99</w:t>
            </w:r>
          </w:p>
        </w:tc>
        <w:tc>
          <w:tcPr>
            <w:tcW w:w="0" w:type="auto"/>
            <w:vAlign w:val="center"/>
          </w:tcPr>
          <w:p w:rsidR="00024C0A" w:rsidRDefault="00694C0F">
            <w:pPr>
              <w:pStyle w:val="TableBodyText"/>
            </w:pPr>
            <w:r>
              <w:t>PRC Envelope #4 110 x</w:t>
            </w:r>
            <w:r>
              <w:t xml:space="preserve"> 208 mm</w:t>
            </w:r>
          </w:p>
        </w:tc>
      </w:tr>
      <w:tr w:rsidR="00024C0A" w:rsidTr="00024C0A">
        <w:tc>
          <w:tcPr>
            <w:tcW w:w="0" w:type="auto"/>
            <w:vAlign w:val="center"/>
          </w:tcPr>
          <w:p w:rsidR="00024C0A" w:rsidRDefault="00694C0F">
            <w:pPr>
              <w:pStyle w:val="TableBodyText"/>
            </w:pPr>
            <w:r>
              <w:t>100</w:t>
            </w:r>
          </w:p>
        </w:tc>
        <w:tc>
          <w:tcPr>
            <w:tcW w:w="0" w:type="auto"/>
            <w:vAlign w:val="center"/>
          </w:tcPr>
          <w:p w:rsidR="00024C0A" w:rsidRDefault="00694C0F">
            <w:pPr>
              <w:pStyle w:val="TableBodyText"/>
            </w:pPr>
            <w:r>
              <w:t>PRC Envelope #5 110 x 220 mm</w:t>
            </w:r>
          </w:p>
        </w:tc>
      </w:tr>
      <w:tr w:rsidR="00024C0A" w:rsidTr="00024C0A">
        <w:tc>
          <w:tcPr>
            <w:tcW w:w="0" w:type="auto"/>
            <w:vAlign w:val="center"/>
          </w:tcPr>
          <w:p w:rsidR="00024C0A" w:rsidRDefault="00694C0F">
            <w:pPr>
              <w:pStyle w:val="TableBodyText"/>
            </w:pPr>
            <w:r>
              <w:t>101</w:t>
            </w:r>
          </w:p>
        </w:tc>
        <w:tc>
          <w:tcPr>
            <w:tcW w:w="0" w:type="auto"/>
            <w:vAlign w:val="center"/>
          </w:tcPr>
          <w:p w:rsidR="00024C0A" w:rsidRDefault="00694C0F">
            <w:pPr>
              <w:pStyle w:val="TableBodyText"/>
            </w:pPr>
            <w:r>
              <w:t>PRC Envelope #6 120 x 230 mm</w:t>
            </w:r>
          </w:p>
        </w:tc>
      </w:tr>
      <w:tr w:rsidR="00024C0A" w:rsidTr="00024C0A">
        <w:tc>
          <w:tcPr>
            <w:tcW w:w="0" w:type="auto"/>
            <w:vAlign w:val="center"/>
          </w:tcPr>
          <w:p w:rsidR="00024C0A" w:rsidRDefault="00694C0F">
            <w:pPr>
              <w:pStyle w:val="TableBodyText"/>
            </w:pPr>
            <w:r>
              <w:t>102</w:t>
            </w:r>
          </w:p>
        </w:tc>
        <w:tc>
          <w:tcPr>
            <w:tcW w:w="0" w:type="auto"/>
            <w:vAlign w:val="center"/>
          </w:tcPr>
          <w:p w:rsidR="00024C0A" w:rsidRDefault="00694C0F">
            <w:pPr>
              <w:pStyle w:val="TableBodyText"/>
            </w:pPr>
            <w:r>
              <w:t>PRC Envelope #7 160 x 230 mm</w:t>
            </w:r>
          </w:p>
        </w:tc>
      </w:tr>
      <w:tr w:rsidR="00024C0A" w:rsidTr="00024C0A">
        <w:tc>
          <w:tcPr>
            <w:tcW w:w="0" w:type="auto"/>
            <w:vAlign w:val="center"/>
          </w:tcPr>
          <w:p w:rsidR="00024C0A" w:rsidRDefault="00694C0F">
            <w:pPr>
              <w:pStyle w:val="TableBodyText"/>
            </w:pPr>
            <w:r>
              <w:t>103</w:t>
            </w:r>
          </w:p>
        </w:tc>
        <w:tc>
          <w:tcPr>
            <w:tcW w:w="0" w:type="auto"/>
            <w:vAlign w:val="center"/>
          </w:tcPr>
          <w:p w:rsidR="00024C0A" w:rsidRDefault="00694C0F">
            <w:pPr>
              <w:pStyle w:val="TableBodyText"/>
            </w:pPr>
            <w:r>
              <w:t>PRC Envelope #8 120 x 309 mm</w:t>
            </w:r>
          </w:p>
        </w:tc>
      </w:tr>
      <w:tr w:rsidR="00024C0A" w:rsidTr="00024C0A">
        <w:tc>
          <w:tcPr>
            <w:tcW w:w="0" w:type="auto"/>
            <w:vAlign w:val="center"/>
          </w:tcPr>
          <w:p w:rsidR="00024C0A" w:rsidRDefault="00694C0F">
            <w:pPr>
              <w:pStyle w:val="TableBodyText"/>
            </w:pPr>
            <w:r>
              <w:t>104</w:t>
            </w:r>
          </w:p>
        </w:tc>
        <w:tc>
          <w:tcPr>
            <w:tcW w:w="0" w:type="auto"/>
            <w:vAlign w:val="center"/>
          </w:tcPr>
          <w:p w:rsidR="00024C0A" w:rsidRDefault="00694C0F">
            <w:pPr>
              <w:pStyle w:val="TableBodyText"/>
            </w:pPr>
            <w:r>
              <w:t>PRC Envelope #9 229 x 324 mm</w:t>
            </w:r>
          </w:p>
        </w:tc>
      </w:tr>
      <w:tr w:rsidR="00024C0A" w:rsidTr="00024C0A">
        <w:tc>
          <w:tcPr>
            <w:tcW w:w="0" w:type="auto"/>
            <w:vAlign w:val="center"/>
          </w:tcPr>
          <w:p w:rsidR="00024C0A" w:rsidRDefault="00694C0F">
            <w:pPr>
              <w:pStyle w:val="TableBodyText"/>
            </w:pPr>
            <w:r>
              <w:t>105</w:t>
            </w:r>
          </w:p>
        </w:tc>
        <w:tc>
          <w:tcPr>
            <w:tcW w:w="0" w:type="auto"/>
            <w:vAlign w:val="center"/>
          </w:tcPr>
          <w:p w:rsidR="00024C0A" w:rsidRDefault="00694C0F">
            <w:pPr>
              <w:pStyle w:val="TableBodyText"/>
            </w:pPr>
            <w:r>
              <w:t>PRC Envelope #10 324 x 458 mm</w:t>
            </w:r>
          </w:p>
        </w:tc>
      </w:tr>
      <w:tr w:rsidR="00024C0A" w:rsidTr="00024C0A">
        <w:tc>
          <w:tcPr>
            <w:tcW w:w="0" w:type="auto"/>
            <w:vAlign w:val="center"/>
          </w:tcPr>
          <w:p w:rsidR="00024C0A" w:rsidRDefault="00694C0F">
            <w:pPr>
              <w:pStyle w:val="TableBodyText"/>
            </w:pPr>
            <w:r>
              <w:lastRenderedPageBreak/>
              <w:t>106</w:t>
            </w:r>
          </w:p>
        </w:tc>
        <w:tc>
          <w:tcPr>
            <w:tcW w:w="0" w:type="auto"/>
            <w:vAlign w:val="center"/>
          </w:tcPr>
          <w:p w:rsidR="00024C0A" w:rsidRDefault="00694C0F">
            <w:pPr>
              <w:pStyle w:val="TableBodyText"/>
            </w:pPr>
            <w:r>
              <w:t>PRC 16K Rotated</w:t>
            </w:r>
          </w:p>
        </w:tc>
      </w:tr>
      <w:tr w:rsidR="00024C0A" w:rsidTr="00024C0A">
        <w:tc>
          <w:tcPr>
            <w:tcW w:w="0" w:type="auto"/>
            <w:vAlign w:val="center"/>
          </w:tcPr>
          <w:p w:rsidR="00024C0A" w:rsidRDefault="00694C0F">
            <w:pPr>
              <w:pStyle w:val="TableBodyText"/>
            </w:pPr>
            <w:r>
              <w:t>107</w:t>
            </w:r>
          </w:p>
        </w:tc>
        <w:tc>
          <w:tcPr>
            <w:tcW w:w="0" w:type="auto"/>
            <w:vAlign w:val="center"/>
          </w:tcPr>
          <w:p w:rsidR="00024C0A" w:rsidRDefault="00694C0F">
            <w:pPr>
              <w:pStyle w:val="TableBodyText"/>
            </w:pPr>
            <w:r>
              <w:t>PRC 32K Rotated</w:t>
            </w:r>
          </w:p>
        </w:tc>
      </w:tr>
      <w:tr w:rsidR="00024C0A" w:rsidTr="00024C0A">
        <w:tc>
          <w:tcPr>
            <w:tcW w:w="0" w:type="auto"/>
            <w:vAlign w:val="center"/>
          </w:tcPr>
          <w:p w:rsidR="00024C0A" w:rsidRDefault="00694C0F">
            <w:pPr>
              <w:pStyle w:val="TableBodyText"/>
            </w:pPr>
            <w:r>
              <w:t>108</w:t>
            </w:r>
          </w:p>
        </w:tc>
        <w:tc>
          <w:tcPr>
            <w:tcW w:w="0" w:type="auto"/>
            <w:vAlign w:val="center"/>
          </w:tcPr>
          <w:p w:rsidR="00024C0A" w:rsidRDefault="00694C0F">
            <w:pPr>
              <w:pStyle w:val="TableBodyText"/>
            </w:pPr>
            <w:r>
              <w:t>PRC 32K(Big) Rotated</w:t>
            </w:r>
          </w:p>
        </w:tc>
      </w:tr>
      <w:tr w:rsidR="00024C0A" w:rsidTr="00024C0A">
        <w:tc>
          <w:tcPr>
            <w:tcW w:w="0" w:type="auto"/>
            <w:vAlign w:val="center"/>
          </w:tcPr>
          <w:p w:rsidR="00024C0A" w:rsidRDefault="00694C0F">
            <w:pPr>
              <w:pStyle w:val="TableBodyText"/>
            </w:pPr>
            <w:r>
              <w:t>109</w:t>
            </w:r>
          </w:p>
        </w:tc>
        <w:tc>
          <w:tcPr>
            <w:tcW w:w="0" w:type="auto"/>
            <w:vAlign w:val="center"/>
          </w:tcPr>
          <w:p w:rsidR="00024C0A" w:rsidRDefault="00694C0F">
            <w:pPr>
              <w:pStyle w:val="TableBodyText"/>
            </w:pPr>
            <w:r>
              <w:t>PRC Envelope #1 Rotated 165 x 102 mm</w:t>
            </w:r>
          </w:p>
        </w:tc>
      </w:tr>
      <w:tr w:rsidR="00024C0A" w:rsidTr="00024C0A">
        <w:tc>
          <w:tcPr>
            <w:tcW w:w="0" w:type="auto"/>
            <w:vAlign w:val="center"/>
          </w:tcPr>
          <w:p w:rsidR="00024C0A" w:rsidRDefault="00694C0F">
            <w:pPr>
              <w:pStyle w:val="TableBodyText"/>
            </w:pPr>
            <w:r>
              <w:t>110</w:t>
            </w:r>
          </w:p>
        </w:tc>
        <w:tc>
          <w:tcPr>
            <w:tcW w:w="0" w:type="auto"/>
            <w:vAlign w:val="center"/>
          </w:tcPr>
          <w:p w:rsidR="00024C0A" w:rsidRDefault="00694C0F">
            <w:pPr>
              <w:pStyle w:val="TableBodyText"/>
            </w:pPr>
            <w:r>
              <w:t>PRC Envelope #2 Rotated 176 x 102 mm</w:t>
            </w:r>
          </w:p>
        </w:tc>
      </w:tr>
      <w:tr w:rsidR="00024C0A" w:rsidTr="00024C0A">
        <w:tc>
          <w:tcPr>
            <w:tcW w:w="0" w:type="auto"/>
            <w:vAlign w:val="center"/>
          </w:tcPr>
          <w:p w:rsidR="00024C0A" w:rsidRDefault="00694C0F">
            <w:pPr>
              <w:pStyle w:val="TableBodyText"/>
            </w:pPr>
            <w:r>
              <w:t>111</w:t>
            </w:r>
          </w:p>
        </w:tc>
        <w:tc>
          <w:tcPr>
            <w:tcW w:w="0" w:type="auto"/>
            <w:vAlign w:val="center"/>
          </w:tcPr>
          <w:p w:rsidR="00024C0A" w:rsidRDefault="00694C0F">
            <w:pPr>
              <w:pStyle w:val="TableBodyText"/>
            </w:pPr>
            <w:r>
              <w:t>PRC Envelope #3 Rotated 176 x 125 mm</w:t>
            </w:r>
          </w:p>
        </w:tc>
      </w:tr>
      <w:tr w:rsidR="00024C0A" w:rsidTr="00024C0A">
        <w:tc>
          <w:tcPr>
            <w:tcW w:w="0" w:type="auto"/>
            <w:vAlign w:val="center"/>
          </w:tcPr>
          <w:p w:rsidR="00024C0A" w:rsidRDefault="00694C0F">
            <w:pPr>
              <w:pStyle w:val="TableBodyText"/>
            </w:pPr>
            <w:r>
              <w:t>112</w:t>
            </w:r>
          </w:p>
        </w:tc>
        <w:tc>
          <w:tcPr>
            <w:tcW w:w="0" w:type="auto"/>
            <w:vAlign w:val="center"/>
          </w:tcPr>
          <w:p w:rsidR="00024C0A" w:rsidRDefault="00694C0F">
            <w:pPr>
              <w:pStyle w:val="TableBodyText"/>
            </w:pPr>
            <w:r>
              <w:t>PRC Envelope #4 Rotated 208 x 110 mm</w:t>
            </w:r>
          </w:p>
        </w:tc>
      </w:tr>
      <w:tr w:rsidR="00024C0A" w:rsidTr="00024C0A">
        <w:tc>
          <w:tcPr>
            <w:tcW w:w="0" w:type="auto"/>
            <w:vAlign w:val="center"/>
          </w:tcPr>
          <w:p w:rsidR="00024C0A" w:rsidRDefault="00694C0F">
            <w:pPr>
              <w:pStyle w:val="TableBodyText"/>
            </w:pPr>
            <w:r>
              <w:t>113</w:t>
            </w:r>
          </w:p>
        </w:tc>
        <w:tc>
          <w:tcPr>
            <w:tcW w:w="0" w:type="auto"/>
            <w:vAlign w:val="center"/>
          </w:tcPr>
          <w:p w:rsidR="00024C0A" w:rsidRDefault="00694C0F">
            <w:pPr>
              <w:pStyle w:val="TableBodyText"/>
            </w:pPr>
            <w:r>
              <w:t>PRC Envelope #5 Rotated 220 x 110 mm</w:t>
            </w:r>
          </w:p>
        </w:tc>
      </w:tr>
      <w:tr w:rsidR="00024C0A" w:rsidTr="00024C0A">
        <w:tc>
          <w:tcPr>
            <w:tcW w:w="0" w:type="auto"/>
            <w:vAlign w:val="center"/>
          </w:tcPr>
          <w:p w:rsidR="00024C0A" w:rsidRDefault="00694C0F">
            <w:pPr>
              <w:pStyle w:val="TableBodyText"/>
            </w:pPr>
            <w:r>
              <w:t>114</w:t>
            </w:r>
          </w:p>
        </w:tc>
        <w:tc>
          <w:tcPr>
            <w:tcW w:w="0" w:type="auto"/>
            <w:vAlign w:val="center"/>
          </w:tcPr>
          <w:p w:rsidR="00024C0A" w:rsidRDefault="00694C0F">
            <w:pPr>
              <w:pStyle w:val="TableBodyText"/>
            </w:pPr>
            <w:r>
              <w:t xml:space="preserve">PRC Envelope #6 </w:t>
            </w:r>
            <w:r>
              <w:t>Rotated 230 x 120 mm</w:t>
            </w:r>
          </w:p>
        </w:tc>
      </w:tr>
      <w:tr w:rsidR="00024C0A" w:rsidTr="00024C0A">
        <w:tc>
          <w:tcPr>
            <w:tcW w:w="0" w:type="auto"/>
            <w:vAlign w:val="center"/>
          </w:tcPr>
          <w:p w:rsidR="00024C0A" w:rsidRDefault="00694C0F">
            <w:pPr>
              <w:pStyle w:val="TableBodyText"/>
            </w:pPr>
            <w:r>
              <w:t>115</w:t>
            </w:r>
          </w:p>
        </w:tc>
        <w:tc>
          <w:tcPr>
            <w:tcW w:w="0" w:type="auto"/>
            <w:vAlign w:val="center"/>
          </w:tcPr>
          <w:p w:rsidR="00024C0A" w:rsidRDefault="00694C0F">
            <w:pPr>
              <w:pStyle w:val="TableBodyText"/>
            </w:pPr>
            <w:r>
              <w:t>PRC Envelope #7 Rotated 230 x 160 mm</w:t>
            </w:r>
          </w:p>
        </w:tc>
      </w:tr>
      <w:tr w:rsidR="00024C0A" w:rsidTr="00024C0A">
        <w:tc>
          <w:tcPr>
            <w:tcW w:w="0" w:type="auto"/>
            <w:vAlign w:val="center"/>
          </w:tcPr>
          <w:p w:rsidR="00024C0A" w:rsidRDefault="00694C0F">
            <w:pPr>
              <w:pStyle w:val="TableBodyText"/>
            </w:pPr>
            <w:r>
              <w:t>116</w:t>
            </w:r>
          </w:p>
        </w:tc>
        <w:tc>
          <w:tcPr>
            <w:tcW w:w="0" w:type="auto"/>
            <w:vAlign w:val="center"/>
          </w:tcPr>
          <w:p w:rsidR="00024C0A" w:rsidRDefault="00694C0F">
            <w:pPr>
              <w:pStyle w:val="TableBodyText"/>
            </w:pPr>
            <w:r>
              <w:t>PRC Envelope #8 Rotated 309 x 120 mm</w:t>
            </w:r>
          </w:p>
        </w:tc>
      </w:tr>
      <w:tr w:rsidR="00024C0A" w:rsidTr="00024C0A">
        <w:tc>
          <w:tcPr>
            <w:tcW w:w="0" w:type="auto"/>
            <w:vAlign w:val="center"/>
          </w:tcPr>
          <w:p w:rsidR="00024C0A" w:rsidRDefault="00694C0F">
            <w:pPr>
              <w:pStyle w:val="TableBodyText"/>
            </w:pPr>
            <w:r>
              <w:t>117</w:t>
            </w:r>
          </w:p>
        </w:tc>
        <w:tc>
          <w:tcPr>
            <w:tcW w:w="0" w:type="auto"/>
            <w:vAlign w:val="center"/>
          </w:tcPr>
          <w:p w:rsidR="00024C0A" w:rsidRDefault="00694C0F">
            <w:pPr>
              <w:pStyle w:val="TableBodyText"/>
            </w:pPr>
            <w:r>
              <w:t>PRC Envelope #9 Rotated 324 x 229 mm</w:t>
            </w:r>
          </w:p>
        </w:tc>
      </w:tr>
      <w:tr w:rsidR="00024C0A" w:rsidTr="00024C0A">
        <w:tc>
          <w:tcPr>
            <w:tcW w:w="0" w:type="auto"/>
            <w:vAlign w:val="center"/>
          </w:tcPr>
          <w:p w:rsidR="00024C0A" w:rsidRDefault="00694C0F">
            <w:pPr>
              <w:pStyle w:val="TableBodyText"/>
            </w:pPr>
            <w:r>
              <w:t>118</w:t>
            </w:r>
          </w:p>
        </w:tc>
        <w:tc>
          <w:tcPr>
            <w:tcW w:w="0" w:type="auto"/>
            <w:vAlign w:val="center"/>
          </w:tcPr>
          <w:p w:rsidR="00024C0A" w:rsidRDefault="00694C0F">
            <w:pPr>
              <w:pStyle w:val="TableBodyText"/>
            </w:pPr>
            <w:r>
              <w:t>PRC Envelope #10 Rotated 458 x 324 mm</w:t>
            </w:r>
          </w:p>
        </w:tc>
      </w:tr>
    </w:tbl>
    <w:p w:rsidR="00024C0A" w:rsidRDefault="00024C0A"/>
    <w:p w:rsidR="00024C0A" w:rsidRDefault="00694C0F">
      <w:pPr>
        <w:pStyle w:val="Definition-Field"/>
      </w:pPr>
      <w:r>
        <w:t xml:space="preserve">f.   </w:t>
      </w:r>
      <w:r>
        <w:rPr>
          <w:i/>
        </w:rPr>
        <w:t xml:space="preserve">The standard states that the values of the paperSize </w:t>
      </w:r>
      <w:r>
        <w:rPr>
          <w:i/>
        </w:rPr>
        <w:t>attribute are defined by the XML Schema unsignedInt datatype.</w:t>
      </w:r>
    </w:p>
    <w:p w:rsidR="00024C0A" w:rsidRDefault="00694C0F">
      <w:pPr>
        <w:pStyle w:val="Definition-Field2"/>
      </w:pPr>
      <w:r>
        <w:t>Excel restricts the value of this attribute to be at most 2147483647.</w:t>
      </w:r>
    </w:p>
    <w:p w:rsidR="00024C0A" w:rsidRDefault="00694C0F">
      <w:pPr>
        <w:pStyle w:val="Definition-Field"/>
      </w:pPr>
      <w:r>
        <w:t xml:space="preserve">g.   </w:t>
      </w:r>
      <w:r>
        <w:rPr>
          <w:i/>
        </w:rPr>
        <w:t>The standard states that paperHeight is a valid attribute, and that when it is present, paperSize shall be ignored.</w:t>
      </w:r>
    </w:p>
    <w:p w:rsidR="00024C0A" w:rsidRDefault="00694C0F">
      <w:pPr>
        <w:pStyle w:val="Definition-Field2"/>
      </w:pPr>
      <w:r>
        <w:t>Off</w:t>
      </w:r>
      <w:r>
        <w:t>ice ignores the paperHeight attribute if it is present, and does not ignore the paperSize attribute if paperHeight is present.</w:t>
      </w:r>
    </w:p>
    <w:p w:rsidR="00024C0A" w:rsidRDefault="00694C0F">
      <w:pPr>
        <w:pStyle w:val="Definition-Field"/>
      </w:pPr>
      <w:r>
        <w:t xml:space="preserve">h.   </w:t>
      </w:r>
      <w:r>
        <w:rPr>
          <w:i/>
        </w:rPr>
        <w:t>The standard states that paperWidth is a valid attribute, and that when it is present, paperSize shall be ignored.</w:t>
      </w:r>
    </w:p>
    <w:p w:rsidR="00024C0A" w:rsidRDefault="00694C0F">
      <w:pPr>
        <w:pStyle w:val="Definition-Field2"/>
      </w:pPr>
      <w:r>
        <w:t>Office ig</w:t>
      </w:r>
      <w:r>
        <w:t>nores the paperWidth attribute if it is present, and does not ignore the paperSize attribute if paperWidth is present.</w:t>
      </w:r>
    </w:p>
    <w:p w:rsidR="00024C0A" w:rsidRDefault="00694C0F">
      <w:pPr>
        <w:pStyle w:val="Heading3"/>
      </w:pPr>
      <w:bookmarkStart w:id="1293" w:name="section_ec58171895fa49388a746b840a7044ec"/>
      <w:bookmarkStart w:id="1294" w:name="_Toc12260707"/>
      <w:r>
        <w:t>Part 1 Section 18.3.1.66, pane (View Pane)</w:t>
      </w:r>
      <w:bookmarkEnd w:id="1293"/>
      <w:bookmarkEnd w:id="1294"/>
      <w:r>
        <w:fldChar w:fldCharType="begin"/>
      </w:r>
      <w:r>
        <w:instrText xml:space="preserve"> XE "pane (View Pane)" </w:instrText>
      </w:r>
      <w:r>
        <w:fldChar w:fldCharType="end"/>
      </w:r>
    </w:p>
    <w:p w:rsidR="00024C0A" w:rsidRDefault="00694C0F">
      <w:pPr>
        <w:pStyle w:val="Definition-Field"/>
      </w:pPr>
      <w:r>
        <w:t xml:space="preserve">a.   </w:t>
      </w:r>
      <w:r>
        <w:rPr>
          <w:i/>
        </w:rPr>
        <w:t>In the standard the TopLeftCell attribute currently states use e</w:t>
      </w:r>
      <w:r>
        <w:rPr>
          <w:i/>
        </w:rPr>
        <w:t>quals optional.</w:t>
      </w:r>
    </w:p>
    <w:p w:rsidR="00024C0A" w:rsidRDefault="00694C0F">
      <w:pPr>
        <w:pStyle w:val="Definition-Field2"/>
      </w:pPr>
      <w:r>
        <w:t>Office treats the TopLeftCell attribute as optional if state equals split; otherwise, it is required.</w:t>
      </w:r>
    </w:p>
    <w:p w:rsidR="00024C0A" w:rsidRDefault="00694C0F">
      <w:pPr>
        <w:pStyle w:val="Definition-Field"/>
      </w:pPr>
      <w:r>
        <w:t xml:space="preserve">b.   </w:t>
      </w:r>
      <w:r>
        <w:rPr>
          <w:i/>
        </w:rPr>
        <w:t>The standard does not define what the value for the xSplit attribute indicates if the parent element is customSheetView.</w:t>
      </w:r>
    </w:p>
    <w:p w:rsidR="00024C0A" w:rsidRDefault="00694C0F">
      <w:pPr>
        <w:pStyle w:val="Definition-Field2"/>
      </w:pPr>
      <w:r>
        <w:t>In Office, w</w:t>
      </w:r>
      <w:r>
        <w:t>hen parent is customSheetView, the xSplit attribute is always saved as the number of columns (regardless of frozen or unfrozen state).</w:t>
      </w:r>
    </w:p>
    <w:p w:rsidR="00024C0A" w:rsidRDefault="00694C0F">
      <w:pPr>
        <w:pStyle w:val="Definition-Field"/>
      </w:pPr>
      <w:r>
        <w:t xml:space="preserve">c.   </w:t>
      </w:r>
      <w:r>
        <w:rPr>
          <w:i/>
        </w:rPr>
        <w:t>The standard does not define what the value for the ySplit attribute indicates if the parent element is customSheetV</w:t>
      </w:r>
      <w:r>
        <w:rPr>
          <w:i/>
        </w:rPr>
        <w:t>iew.</w:t>
      </w:r>
    </w:p>
    <w:p w:rsidR="00024C0A" w:rsidRDefault="00694C0F">
      <w:pPr>
        <w:pStyle w:val="Definition-Field2"/>
      </w:pPr>
      <w:r>
        <w:lastRenderedPageBreak/>
        <w:t>In Office, when parent is customSheetView, the ySplit attribute is always saved as the number of rows (regardless of frozen or unfrozen state).</w:t>
      </w:r>
    </w:p>
    <w:p w:rsidR="00024C0A" w:rsidRDefault="00694C0F">
      <w:pPr>
        <w:pStyle w:val="Definition-Field"/>
      </w:pPr>
      <w:r>
        <w:t xml:space="preserve">d.   </w:t>
      </w:r>
      <w:r>
        <w:rPr>
          <w:i/>
        </w:rPr>
        <w:t>In the standard the xSplit and ySplit definitions are reversed.</w:t>
      </w:r>
    </w:p>
    <w:p w:rsidR="00024C0A" w:rsidRDefault="00694C0F">
      <w:pPr>
        <w:pStyle w:val="Definition-Field2"/>
      </w:pPr>
      <w:r>
        <w:t xml:space="preserve">In Office, xSplit is the Vertical </w:t>
      </w:r>
      <w:r>
        <w:t>split position and columns visible in the left pane, and ySplit is the Horizontal split position and columns visible in the top pane.</w:t>
      </w:r>
    </w:p>
    <w:p w:rsidR="00024C0A" w:rsidRDefault="00694C0F">
      <w:pPr>
        <w:pStyle w:val="Definition-Field"/>
      </w:pPr>
      <w:r>
        <w:t xml:space="preserve">e.   </w:t>
      </w:r>
      <w:r>
        <w:rPr>
          <w:i/>
        </w:rPr>
        <w:t>The standard states that the xSplit and ySplit values can be zero indicating none for that setting.</w:t>
      </w:r>
    </w:p>
    <w:p w:rsidR="00024C0A" w:rsidRDefault="00694C0F">
      <w:pPr>
        <w:pStyle w:val="Definition-Field2"/>
      </w:pPr>
      <w:r>
        <w:t>Office does not s</w:t>
      </w:r>
      <w:r>
        <w:t>upport setting xSplit and ySplit to Zero when the parent element is SheetView.</w:t>
      </w:r>
    </w:p>
    <w:p w:rsidR="00024C0A" w:rsidRDefault="00694C0F">
      <w:pPr>
        <w:pStyle w:val="Heading3"/>
      </w:pPr>
      <w:bookmarkStart w:id="1295" w:name="section_0258cf3b6fa44c229af13f8983d3a381"/>
      <w:bookmarkStart w:id="1296" w:name="_Toc12260708"/>
      <w:r>
        <w:t>Part 1 Section 18.3.1.68, pivotArea (Pivot Area)</w:t>
      </w:r>
      <w:bookmarkEnd w:id="1295"/>
      <w:bookmarkEnd w:id="1296"/>
      <w:r>
        <w:fldChar w:fldCharType="begin"/>
      </w:r>
      <w:r>
        <w:instrText xml:space="preserve"> XE "pivotArea (Pivot Area)" </w:instrText>
      </w:r>
      <w:r>
        <w:fldChar w:fldCharType="end"/>
      </w:r>
    </w:p>
    <w:p w:rsidR="00024C0A" w:rsidRDefault="00694C0F">
      <w:pPr>
        <w:pStyle w:val="Definition-Field"/>
      </w:pPr>
      <w:r>
        <w:t xml:space="preserve">a.   </w:t>
      </w:r>
      <w:r>
        <w:rPr>
          <w:i/>
        </w:rPr>
        <w:t>The standard does not state that the dataOnly attribute can be true only if the labelOnly at</w:t>
      </w:r>
      <w:r>
        <w:rPr>
          <w:i/>
        </w:rPr>
        <w:t>tribute is false.</w:t>
      </w:r>
    </w:p>
    <w:p w:rsidR="00024C0A" w:rsidRDefault="00694C0F">
      <w:pPr>
        <w:pStyle w:val="Definition-Field2"/>
      </w:pPr>
      <w:r>
        <w:t>Office allows the dataOnly attribute to be true only if the labelOnly attribute is false.</w:t>
      </w:r>
    </w:p>
    <w:p w:rsidR="00024C0A" w:rsidRDefault="00694C0F">
      <w:pPr>
        <w:pStyle w:val="Definition-Field"/>
      </w:pPr>
      <w:r>
        <w:t xml:space="preserve">b.   </w:t>
      </w:r>
      <w:r>
        <w:rPr>
          <w:i/>
        </w:rPr>
        <w:t>The standard does not state that the labelOnly attribute can be true only if the dataOnly attribute is false.</w:t>
      </w:r>
    </w:p>
    <w:p w:rsidR="00024C0A" w:rsidRDefault="00694C0F">
      <w:pPr>
        <w:pStyle w:val="Definition-Field2"/>
      </w:pPr>
      <w:r>
        <w:t>Office allows the labelOnly attri</w:t>
      </w:r>
      <w:r>
        <w:t>bute to be true only if the dataOnly attribute is false.</w:t>
      </w:r>
    </w:p>
    <w:p w:rsidR="00024C0A" w:rsidRDefault="00694C0F">
      <w:pPr>
        <w:pStyle w:val="Definition-Field"/>
      </w:pPr>
      <w:r>
        <w:t xml:space="preserve">c.   </w:t>
      </w:r>
      <w:r>
        <w:rPr>
          <w:i/>
        </w:rPr>
        <w:t>The standard does not specify a default value for the field attribute.</w:t>
      </w:r>
    </w:p>
    <w:p w:rsidR="00024C0A" w:rsidRDefault="00694C0F">
      <w:pPr>
        <w:pStyle w:val="Definition-Field2"/>
      </w:pPr>
      <w:r>
        <w:t>Excel uses a default value of -1 for this attribute.</w:t>
      </w:r>
    </w:p>
    <w:p w:rsidR="00024C0A" w:rsidRDefault="00694C0F">
      <w:pPr>
        <w:pStyle w:val="Definition-Field"/>
      </w:pPr>
      <w:r>
        <w:t xml:space="preserve">d.   </w:t>
      </w:r>
      <w:r>
        <w:rPr>
          <w:i/>
        </w:rPr>
        <w:t>The standard does not restrict the value of the fieldPosition att</w:t>
      </w:r>
      <w:r>
        <w:rPr>
          <w:i/>
        </w:rPr>
        <w:t>ribute.</w:t>
      </w:r>
    </w:p>
    <w:p w:rsidR="00024C0A" w:rsidRDefault="00694C0F">
      <w:r>
        <w:t>In Office, the fieldPosition attribute represents the position of the field within the axis to which this rule applies. If cacheIndex is true, the value of this field shall be greater than or equal to zero and less than 256. If cacheIndex is false,</w:t>
      </w:r>
      <w:r>
        <w:t xml:space="preserve"> then if the axis value is axisRow, the value of fieldPosition shall be less than the number of elements in the row fields collection ("</w:t>
      </w:r>
      <w:hyperlink r:id="rId122">
        <w:r>
          <w:rPr>
            <w:rStyle w:val="Hyperlink"/>
          </w:rPr>
          <w:t>[ISO/IEC-29500-1]</w:t>
        </w:r>
      </w:hyperlink>
      <w:r>
        <w:t xml:space="preserve"> §18.10.1.81; rowFields"). If the axi</w:t>
      </w:r>
      <w:r>
        <w:t>s value is axisCol, the value of fieldPosition shall be less than the number of elements in the column fields collection ("[ISO/IEC-29500-1] §18.10.1.14; colFields"). If the axis value is axisPage, the value of fieldPosition shall be less than number of el</w:t>
      </w:r>
      <w:r>
        <w:t>ements in page fields collection ("[ISO/IEC-29500-1] §18.10.1.63; pageFields"). If axis value is axisData, the value of fieldPosition shall be less than the number of elements in the data fields collection ("[ISO/IEC-29500-1] §18.10.1.13; chartFormats").</w:t>
      </w:r>
    </w:p>
    <w:p w:rsidR="00024C0A" w:rsidRDefault="00694C0F">
      <w:pPr>
        <w:pStyle w:val="Definition-Field"/>
      </w:pPr>
      <w:r>
        <w:t>e</w:t>
      </w:r>
      <w:r>
        <w:t xml:space="preserve">.   </w:t>
      </w:r>
      <w:r>
        <w:rPr>
          <w:i/>
        </w:rPr>
        <w:t>The standard does not place restrictions on the value of the field attribute.</w:t>
      </w:r>
    </w:p>
    <w:p w:rsidR="00024C0A" w:rsidRDefault="00694C0F">
      <w:r>
        <w:t>In Office, the field attribute represents a zero-based index of the field that this selection rule refers to. The value of this field can be -1 (it references nothing) or the</w:t>
      </w:r>
      <w:r>
        <w:t xml:space="preserve"> value can be -2 (it references data). Otherwise, if cacheIndex is true, it shall be greater than or equal to zero and less than the number of elements in the cacheFields collection in the pivot cache definition ("[ISO/IEC-29500-1] §18.10.1.67; pivotCacheD</w:t>
      </w:r>
      <w:r>
        <w:t>efinition"); if the cacheIndex is false, the value shall be less than the number of elements in the pivot fields (§3.10.1.70 pivotFields (PivotTable Fields)) collection ("[ISO/IEC-29500-1] §18.10.1.70; pivotFields").</w:t>
      </w:r>
    </w:p>
    <w:p w:rsidR="00024C0A" w:rsidRDefault="00694C0F">
      <w:pPr>
        <w:pStyle w:val="Heading3"/>
      </w:pPr>
      <w:bookmarkStart w:id="1297" w:name="section_fc90ed3545804a84aba88bdde70ebbf8"/>
      <w:bookmarkStart w:id="1298" w:name="_Toc12260709"/>
      <w:r>
        <w:t>Part 1 Section 18.3.1.69, pivotSelectio</w:t>
      </w:r>
      <w:r>
        <w:t>n (PivotTable Selection)</w:t>
      </w:r>
      <w:bookmarkEnd w:id="1297"/>
      <w:bookmarkEnd w:id="1298"/>
      <w:r>
        <w:fldChar w:fldCharType="begin"/>
      </w:r>
      <w:r>
        <w:instrText xml:space="preserve"> XE "pivotSelection (PivotTable Selection)" </w:instrText>
      </w:r>
      <w:r>
        <w:fldChar w:fldCharType="end"/>
      </w:r>
    </w:p>
    <w:p w:rsidR="00024C0A" w:rsidRDefault="00694C0F">
      <w:pPr>
        <w:pStyle w:val="Definition-Field"/>
      </w:pPr>
      <w:r>
        <w:t xml:space="preserve">a.   </w:t>
      </w:r>
      <w:r>
        <w:rPr>
          <w:i/>
        </w:rPr>
        <w:t>The standard does not specify any relationships for the data attribute.</w:t>
      </w:r>
    </w:p>
    <w:p w:rsidR="00024C0A" w:rsidRDefault="00694C0F">
      <w:pPr>
        <w:pStyle w:val="Definition-Field2"/>
      </w:pPr>
      <w:r>
        <w:t>Office requires that the data attribute be false when the label attribute is true.</w:t>
      </w:r>
    </w:p>
    <w:p w:rsidR="00024C0A" w:rsidRDefault="00694C0F">
      <w:pPr>
        <w:pStyle w:val="Definition-Field"/>
      </w:pPr>
      <w:r>
        <w:t xml:space="preserve">b.   </w:t>
      </w:r>
      <w:r>
        <w:rPr>
          <w:i/>
        </w:rPr>
        <w:t xml:space="preserve">The standard states </w:t>
      </w:r>
      <w:r>
        <w:rPr>
          <w:i/>
        </w:rPr>
        <w:t>that the values of the previousRow attribute are defined by the XML Schema unsignedInt datatype.</w:t>
      </w:r>
    </w:p>
    <w:p w:rsidR="00024C0A" w:rsidRDefault="00694C0F">
      <w:pPr>
        <w:pStyle w:val="Definition-Field2"/>
      </w:pPr>
      <w:r>
        <w:lastRenderedPageBreak/>
        <w:t>Excel restricts the value of this attribute to be at most 1048575.</w:t>
      </w:r>
    </w:p>
    <w:p w:rsidR="00024C0A" w:rsidRDefault="00694C0F">
      <w:pPr>
        <w:pStyle w:val="Definition-Field"/>
      </w:pPr>
      <w:r>
        <w:t xml:space="preserve">c.   </w:t>
      </w:r>
      <w:r>
        <w:rPr>
          <w:i/>
        </w:rPr>
        <w:t>The standard states that the values of the previousCol attribute are defined by the XML</w:t>
      </w:r>
      <w:r>
        <w:rPr>
          <w:i/>
        </w:rPr>
        <w:t xml:space="preserve"> Schema unsignedInt datatype.</w:t>
      </w:r>
    </w:p>
    <w:p w:rsidR="00024C0A" w:rsidRDefault="00694C0F">
      <w:pPr>
        <w:pStyle w:val="Definition-Field2"/>
      </w:pPr>
      <w:r>
        <w:t>Excel restricts the value of this attribute to be at most 16383.</w:t>
      </w:r>
    </w:p>
    <w:p w:rsidR="00024C0A" w:rsidRDefault="00694C0F">
      <w:pPr>
        <w:pStyle w:val="Definition-Field"/>
      </w:pPr>
      <w:r>
        <w:t xml:space="preserve">d.   </w:t>
      </w:r>
      <w:r>
        <w:rPr>
          <w:i/>
        </w:rPr>
        <w:t>The standard states that the values of the dimension attribute are defined by the XML Schema unsignedInt datatype.</w:t>
      </w:r>
    </w:p>
    <w:p w:rsidR="00024C0A" w:rsidRDefault="00694C0F">
      <w:r>
        <w:t>In Excel, if the axis attribute equals ax</w:t>
      </w:r>
      <w:r>
        <w:t>isRow, then the dimension attribute must be less than number of elements in the rowFields collection. If the axis attribute equals axisCol, then the dimension attribute must be less than number of elements in the columnFields collection. If the axis attrib</w:t>
      </w:r>
      <w:r>
        <w:t>ute equals axisPage, then the dimension attribute equals 0.</w:t>
      </w:r>
    </w:p>
    <w:p w:rsidR="00024C0A" w:rsidRDefault="00694C0F">
      <w:pPr>
        <w:pStyle w:val="Definition-Field"/>
      </w:pPr>
      <w:r>
        <w:t xml:space="preserve">e.   </w:t>
      </w:r>
      <w:r>
        <w:rPr>
          <w:i/>
        </w:rPr>
        <w:t>The standard states that the values for the min attribute are defined by the XML Schema unsignedInt datatype.</w:t>
      </w:r>
    </w:p>
    <w:p w:rsidR="00024C0A" w:rsidRDefault="00694C0F">
      <w:r>
        <w:t>In Excel, if the axis attribute equals axisRow, then the min attribute must be le</w:t>
      </w:r>
      <w:r>
        <w:t>ss than the number of elements in the rowItems collection. If the axis attribute equals axisCol, then the min attribute must be less than the number of elements in the colItems collection. When the axis attribute equals axisPage, then the min attribute mus</w:t>
      </w:r>
      <w:r>
        <w:t>t be 0.</w:t>
      </w:r>
    </w:p>
    <w:p w:rsidR="00024C0A" w:rsidRDefault="00694C0F">
      <w:pPr>
        <w:pStyle w:val="Definition-Field"/>
      </w:pPr>
      <w:r>
        <w:t xml:space="preserve">f.   </w:t>
      </w:r>
      <w:r>
        <w:rPr>
          <w:i/>
        </w:rPr>
        <w:t>The standard states that @max is not restricted beyond unsigned int.</w:t>
      </w:r>
    </w:p>
    <w:p w:rsidR="00024C0A" w:rsidRDefault="00694C0F">
      <w:pPr>
        <w:pStyle w:val="Definition-Field2"/>
      </w:pPr>
      <w:r>
        <w:t xml:space="preserve">In Excel, if @axis=axisRow, @max shall be less than the number of elements in rowItems collection. If @axis=axisCol, @max shall be less than the number of elements in </w:t>
      </w:r>
      <w:r>
        <w:t>colItems. When @axis=axisPage then @max shall be 0.</w:t>
      </w:r>
    </w:p>
    <w:p w:rsidR="00024C0A" w:rsidRDefault="00694C0F">
      <w:pPr>
        <w:pStyle w:val="Definition-Field"/>
      </w:pPr>
      <w:r>
        <w:t xml:space="preserve">g.   </w:t>
      </w:r>
      <w:r>
        <w:rPr>
          <w:i/>
        </w:rPr>
        <w:t>The standard does not limit @start beyond unsigned int.</w:t>
      </w:r>
    </w:p>
    <w:p w:rsidR="00024C0A" w:rsidRDefault="00694C0F">
      <w:pPr>
        <w:pStyle w:val="Definition-Field2"/>
      </w:pPr>
      <w:r>
        <w:t>Office requires that @min &lt; @start &lt; @max+1.</w:t>
      </w:r>
    </w:p>
    <w:p w:rsidR="00024C0A" w:rsidRDefault="00694C0F">
      <w:pPr>
        <w:pStyle w:val="Definition-Field"/>
      </w:pPr>
      <w:r>
        <w:t xml:space="preserve">h.   </w:t>
      </w:r>
      <w:r>
        <w:rPr>
          <w:i/>
        </w:rPr>
        <w:t>The standard does not define the valid set of values for the activeRow or the activeCol attri</w:t>
      </w:r>
      <w:r>
        <w:rPr>
          <w:i/>
        </w:rPr>
        <w:t>butes.</w:t>
      </w:r>
    </w:p>
    <w:p w:rsidR="00024C0A" w:rsidRDefault="00694C0F">
      <w:r>
        <w:t>Office requires that the following conditions be true:</w:t>
      </w:r>
    </w:p>
    <w:p w:rsidR="00024C0A" w:rsidRDefault="00694C0F">
      <w:pPr>
        <w:pStyle w:val="ListParagraph"/>
        <w:numPr>
          <w:ilvl w:val="0"/>
          <w:numId w:val="66"/>
        </w:numPr>
        <w:contextualSpacing/>
      </w:pPr>
      <w:r>
        <w:t xml:space="preserve">If </w:t>
      </w:r>
      <w:r>
        <w:rPr>
          <w:b/>
        </w:rPr>
        <w:t>axis</w:t>
      </w:r>
      <w:r>
        <w:t xml:space="preserve"> is set to </w:t>
      </w:r>
      <w:r>
        <w:rPr>
          <w:i/>
        </w:rPr>
        <w:t>axisRow</w:t>
      </w:r>
      <w:r>
        <w:t>, then the valid set of values for the activeRow or activeCol attributes should be within the Row axis area.</w:t>
      </w:r>
    </w:p>
    <w:p w:rsidR="00024C0A" w:rsidRDefault="00694C0F">
      <w:pPr>
        <w:pStyle w:val="ListParagraph"/>
        <w:numPr>
          <w:ilvl w:val="0"/>
          <w:numId w:val="66"/>
        </w:numPr>
        <w:contextualSpacing/>
      </w:pPr>
      <w:r>
        <w:t xml:space="preserve">If </w:t>
      </w:r>
      <w:r>
        <w:rPr>
          <w:b/>
        </w:rPr>
        <w:t>axis</w:t>
      </w:r>
      <w:r>
        <w:t xml:space="preserve"> is set to </w:t>
      </w:r>
      <w:r>
        <w:rPr>
          <w:i/>
        </w:rPr>
        <w:t>axisCol</w:t>
      </w:r>
      <w:r>
        <w:t xml:space="preserve">, then the valid set of values for </w:t>
      </w:r>
      <w:r>
        <w:t>the activeRow or activeCol attributes should be within the Column axis area.</w:t>
      </w:r>
    </w:p>
    <w:p w:rsidR="00024C0A" w:rsidRDefault="00694C0F">
      <w:pPr>
        <w:pStyle w:val="ListParagraph"/>
        <w:numPr>
          <w:ilvl w:val="0"/>
          <w:numId w:val="66"/>
        </w:numPr>
      </w:pPr>
      <w:r>
        <w:t xml:space="preserve">If </w:t>
      </w:r>
      <w:r>
        <w:rPr>
          <w:b/>
        </w:rPr>
        <w:t>axis</w:t>
      </w:r>
      <w:r>
        <w:t xml:space="preserve"> is set to </w:t>
      </w:r>
      <w:r>
        <w:rPr>
          <w:i/>
        </w:rPr>
        <w:t>axisPage</w:t>
      </w:r>
      <w:r>
        <w:t>, then the valid set of values for the activeRow or activeCol attributes should be within the Page/Report Filter axis area.</w:t>
      </w:r>
    </w:p>
    <w:p w:rsidR="00024C0A" w:rsidRDefault="00694C0F">
      <w:pPr>
        <w:pStyle w:val="Definition-Field"/>
      </w:pPr>
      <w:r>
        <w:t xml:space="preserve">i.   </w:t>
      </w:r>
      <w:r>
        <w:rPr>
          <w:i/>
        </w:rPr>
        <w:t>The standard defines val</w:t>
      </w:r>
      <w:r>
        <w:rPr>
          <w:i/>
        </w:rPr>
        <w:t>ues for the pane attribute.</w:t>
      </w:r>
    </w:p>
    <w:p w:rsidR="00024C0A" w:rsidRDefault="00694C0F">
      <w:pPr>
        <w:pStyle w:val="Definition-Field2"/>
      </w:pPr>
      <w:r>
        <w:t>In Office, topLeft is interpreted as bottomRight and vice versa.</w:t>
      </w:r>
    </w:p>
    <w:p w:rsidR="00024C0A" w:rsidRDefault="00694C0F">
      <w:pPr>
        <w:pStyle w:val="Definition-Field"/>
      </w:pPr>
      <w:r>
        <w:t xml:space="preserve">j.   </w:t>
      </w:r>
      <w:r>
        <w:rPr>
          <w:i/>
        </w:rPr>
        <w:t>The standard states that the r:id attribute is optional.</w:t>
      </w:r>
    </w:p>
    <w:p w:rsidR="00024C0A" w:rsidRDefault="00694C0F">
      <w:pPr>
        <w:pStyle w:val="Definition-Field2"/>
      </w:pPr>
      <w:r>
        <w:t>Excel requires this attribute.</w:t>
      </w:r>
    </w:p>
    <w:p w:rsidR="00024C0A" w:rsidRDefault="00694C0F">
      <w:pPr>
        <w:pStyle w:val="Definition-Field"/>
      </w:pPr>
      <w:r>
        <w:t xml:space="preserve">k.   </w:t>
      </w:r>
      <w:r>
        <w:rPr>
          <w:i/>
        </w:rPr>
        <w:t xml:space="preserve">The standard states that the axis attribute has a valid value of </w:t>
      </w:r>
      <w:r>
        <w:rPr>
          <w:i/>
        </w:rPr>
        <w:t>axisPage.</w:t>
      </w:r>
    </w:p>
    <w:p w:rsidR="00024C0A" w:rsidRDefault="00694C0F">
      <w:pPr>
        <w:pStyle w:val="Definition-Field2"/>
      </w:pPr>
      <w:r>
        <w:t>Office will report a valid file as corrupt if axis is equal to axisPage.</w:t>
      </w:r>
    </w:p>
    <w:p w:rsidR="00024C0A" w:rsidRDefault="00694C0F">
      <w:pPr>
        <w:pStyle w:val="Definition-Field"/>
      </w:pPr>
      <w:r>
        <w:t xml:space="preserve">l.   </w:t>
      </w:r>
      <w:r>
        <w:rPr>
          <w:i/>
        </w:rPr>
        <w:t>The standard states that the valid values for the axis attribute are defined by the ST_Axis simple type.</w:t>
      </w:r>
    </w:p>
    <w:p w:rsidR="00024C0A" w:rsidRDefault="00694C0F">
      <w:pPr>
        <w:pStyle w:val="Definition-Field2"/>
      </w:pPr>
      <w:r>
        <w:t>Office does not allow the axis attribute to equal axisValue.</w:t>
      </w:r>
    </w:p>
    <w:p w:rsidR="00024C0A" w:rsidRDefault="00694C0F">
      <w:pPr>
        <w:pStyle w:val="Heading3"/>
      </w:pPr>
      <w:bookmarkStart w:id="1299" w:name="section_d162cec20b0d4de48edce1641a455d05"/>
      <w:bookmarkStart w:id="1300" w:name="_Toc12260710"/>
      <w:r>
        <w:lastRenderedPageBreak/>
        <w:t>Pa</w:t>
      </w:r>
      <w:r>
        <w:t>rt 1 Section 18.3.1.71, protectedRange (Protected Range)</w:t>
      </w:r>
      <w:bookmarkEnd w:id="1299"/>
      <w:bookmarkEnd w:id="1300"/>
      <w:r>
        <w:fldChar w:fldCharType="begin"/>
      </w:r>
      <w:r>
        <w:instrText xml:space="preserve"> XE "protectedRange (Protected Range)" </w:instrText>
      </w:r>
      <w:r>
        <w:fldChar w:fldCharType="end"/>
      </w:r>
    </w:p>
    <w:p w:rsidR="00024C0A" w:rsidRDefault="00694C0F">
      <w:pPr>
        <w:pStyle w:val="Definition-Field"/>
      </w:pPr>
      <w:r>
        <w:t xml:space="preserve">a.   </w:t>
      </w:r>
      <w:r>
        <w:rPr>
          <w:i/>
        </w:rPr>
        <w:t>The standard sets no restrictions on the string for the name attribute.</w:t>
      </w:r>
    </w:p>
    <w:p w:rsidR="00024C0A" w:rsidRDefault="00694C0F">
      <w:pPr>
        <w:pStyle w:val="Definition-Field2"/>
      </w:pPr>
      <w:r>
        <w:t>Office requires that the name attribute shall be unique within the parent element</w:t>
      </w:r>
      <w:r>
        <w:t xml:space="preserve"> collection, start with a letter, only contain letters, numbers, spaces, underscores, periods, backslashes, or question marks.</w:t>
      </w:r>
    </w:p>
    <w:p w:rsidR="00024C0A" w:rsidRDefault="00694C0F">
      <w:pPr>
        <w:pStyle w:val="Definition-Field"/>
      </w:pPr>
      <w:r>
        <w:t xml:space="preserve">b.   </w:t>
      </w:r>
      <w:r>
        <w:rPr>
          <w:i/>
        </w:rPr>
        <w:t>The standard does not define the minimum values for the sqref attribute.</w:t>
      </w:r>
    </w:p>
    <w:p w:rsidR="00024C0A" w:rsidRDefault="00694C0F">
      <w:pPr>
        <w:pStyle w:val="Definition-Field2"/>
      </w:pPr>
      <w:r>
        <w:t>Office defines the minimum value for the sqref attr</w:t>
      </w:r>
      <w:r>
        <w:t>ibute to be 1.</w:t>
      </w:r>
    </w:p>
    <w:p w:rsidR="00024C0A" w:rsidRDefault="00694C0F">
      <w:pPr>
        <w:pStyle w:val="Definition-Field"/>
      </w:pPr>
      <w:r>
        <w:t xml:space="preserve">c.   </w:t>
      </w:r>
      <w:r>
        <w:rPr>
          <w:i/>
        </w:rPr>
        <w:t>The standard does not limit the length of the value of the name attribute.</w:t>
      </w:r>
    </w:p>
    <w:p w:rsidR="00024C0A" w:rsidRDefault="00694C0F">
      <w:pPr>
        <w:pStyle w:val="Definition-Field2"/>
      </w:pPr>
      <w:r>
        <w:t>Word restricts the value of this attribute to be at least 1 and at most 255 characters.</w:t>
      </w:r>
    </w:p>
    <w:p w:rsidR="00024C0A" w:rsidRDefault="00694C0F">
      <w:pPr>
        <w:pStyle w:val="Definition-Field"/>
      </w:pPr>
      <w:r>
        <w:t xml:space="preserve">d.   </w:t>
      </w:r>
      <w:r>
        <w:rPr>
          <w:i/>
        </w:rPr>
        <w:t xml:space="preserve">The standard states that this setting uses a specific Password </w:t>
      </w:r>
      <w:r>
        <w:rPr>
          <w:i/>
        </w:rPr>
        <w:t>attribute to store the password hash.</w:t>
      </w:r>
    </w:p>
    <w:p w:rsidR="00024C0A" w:rsidRDefault="00694C0F">
      <w:r>
        <w:t>In Office, when the HKCU/Software/Microsoft/Office/&lt;VERSION&gt;/Common/Security/UseIsoPasswordVerifier registry key is set to 1, the XML for file sharing is written by using the XML attribute structure in the following ta</w:t>
      </w:r>
      <w:r>
        <w:t>ble.</w:t>
      </w:r>
    </w:p>
    <w:tbl>
      <w:tblPr>
        <w:tblStyle w:val="Table-ShadedHeader"/>
        <w:tblW w:w="0" w:type="auto"/>
        <w:tblLook w:val="04A0" w:firstRow="1" w:lastRow="0" w:firstColumn="1" w:lastColumn="0" w:noHBand="0" w:noVBand="1"/>
      </w:tblPr>
      <w:tblGrid>
        <w:gridCol w:w="1219"/>
        <w:gridCol w:w="825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Name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algorithm Name</w:t>
            </w:r>
          </w:p>
        </w:tc>
        <w:tc>
          <w:tcPr>
            <w:tcW w:w="0" w:type="auto"/>
            <w:vAlign w:val="center"/>
          </w:tcPr>
          <w:p w:rsidR="00024C0A" w:rsidRDefault="00694C0F">
            <w:pPr>
              <w:pStyle w:val="TableBodyText"/>
            </w:pPr>
            <w:r>
              <w:t>The name of the cryptographic hashing algorithm used to generate the hash value. Only those algorithms that are installed in the operating system’s cryptographic subsystem can be utilized by Office.</w:t>
            </w:r>
          </w:p>
          <w:p w:rsidR="00024C0A" w:rsidRDefault="00024C0A">
            <w:pPr>
              <w:pStyle w:val="TableBodyText"/>
            </w:pPr>
          </w:p>
          <w:p w:rsidR="00024C0A" w:rsidRDefault="00694C0F">
            <w:pPr>
              <w:pStyle w:val="TableBodyText"/>
            </w:pPr>
            <w:r>
              <w:t>The hash algorithm</w:t>
            </w:r>
            <w:r>
              <w:t xml:space="preserve"> names, described in the following table, are reserved.</w:t>
            </w:r>
          </w:p>
          <w:p w:rsidR="00024C0A" w:rsidRDefault="00024C0A">
            <w:pPr>
              <w:pStyle w:val="TableBodyText"/>
            </w:pPr>
          </w:p>
          <w:p w:rsidR="00024C0A" w:rsidRDefault="00694C0F">
            <w:pPr>
              <w:pStyle w:val="TableBodyText"/>
            </w:pPr>
            <w:r>
              <w:rPr>
                <w:b/>
                <w:i/>
              </w:rPr>
              <w:t xml:space="preserve">MD2 </w:t>
            </w:r>
          </w:p>
          <w:p w:rsidR="00024C0A" w:rsidRDefault="00694C0F">
            <w:pPr>
              <w:pStyle w:val="TableBodyText"/>
            </w:pPr>
            <w:r>
              <w:rPr>
                <w:i/>
              </w:rPr>
              <w:t>Specifies that the MD2 algorithm, as defined by RFC 1319, shall be used.</w:t>
            </w:r>
          </w:p>
          <w:p w:rsidR="00024C0A" w:rsidRDefault="00024C0A">
            <w:pPr>
              <w:pStyle w:val="TableBodyText"/>
            </w:pPr>
          </w:p>
          <w:p w:rsidR="00024C0A" w:rsidRDefault="00694C0F">
            <w:pPr>
              <w:pStyle w:val="TableBodyText"/>
            </w:pPr>
            <w:r>
              <w:rPr>
                <w:i/>
              </w:rPr>
              <w:t>[Note: It is recommended that applications should avoid using this algorithm to store new hash values, because of public</w:t>
            </w:r>
            <w:r>
              <w:rPr>
                <w:i/>
              </w:rPr>
              <w:t>ly known breaks. end note]</w:t>
            </w:r>
          </w:p>
          <w:p w:rsidR="00024C0A" w:rsidRDefault="00694C0F">
            <w:pPr>
              <w:pStyle w:val="TableBodyText"/>
            </w:pPr>
            <w:r>
              <w:rPr>
                <w:b/>
                <w:i/>
              </w:rPr>
              <w:t xml:space="preserve">MD4 </w:t>
            </w:r>
          </w:p>
          <w:p w:rsidR="00024C0A" w:rsidRDefault="00694C0F">
            <w:pPr>
              <w:pStyle w:val="TableBodyText"/>
            </w:pPr>
            <w:r>
              <w:rPr>
                <w:i/>
              </w:rPr>
              <w:t>Specifies that the MD4 algorithm, as defined by RFC 1320, shall be used.</w:t>
            </w:r>
          </w:p>
          <w:p w:rsidR="00024C0A" w:rsidRDefault="00024C0A">
            <w:pPr>
              <w:pStyle w:val="TableBodyText"/>
            </w:pPr>
          </w:p>
          <w:p w:rsidR="00024C0A" w:rsidRDefault="00694C0F">
            <w:pPr>
              <w:pStyle w:val="TableBodyText"/>
            </w:pPr>
            <w:r>
              <w:rPr>
                <w:i/>
              </w:rPr>
              <w:t>[Note: It is recommended that applications should avoid using this algorithm to store new hash values, because of publicly known breaks. end note]</w:t>
            </w:r>
          </w:p>
          <w:p w:rsidR="00024C0A" w:rsidRDefault="00694C0F">
            <w:pPr>
              <w:pStyle w:val="TableBodyText"/>
            </w:pPr>
            <w:r>
              <w:rPr>
                <w:b/>
                <w:i/>
              </w:rPr>
              <w:t>MD5</w:t>
            </w:r>
          </w:p>
          <w:p w:rsidR="00024C0A" w:rsidRDefault="00694C0F">
            <w:pPr>
              <w:pStyle w:val="TableBodyText"/>
            </w:pPr>
            <w:r>
              <w:rPr>
                <w:i/>
              </w:rPr>
              <w:t>Specifies that the MD5 algorithm, as defined by RFC 1321, shall be used.</w:t>
            </w:r>
          </w:p>
          <w:p w:rsidR="00024C0A" w:rsidRDefault="00024C0A">
            <w:pPr>
              <w:pStyle w:val="TableBodyText"/>
            </w:pPr>
          </w:p>
          <w:p w:rsidR="00024C0A" w:rsidRDefault="00694C0F">
            <w:pPr>
              <w:pStyle w:val="TableBodyText"/>
            </w:pPr>
            <w:r>
              <w:rPr>
                <w:i/>
              </w:rPr>
              <w:t>[Note: It is recommended that applications should avoid using this algorithm to store new hash values, because of publicly known breaks. end note]</w:t>
            </w:r>
          </w:p>
          <w:p w:rsidR="00024C0A" w:rsidRDefault="00694C0F">
            <w:pPr>
              <w:pStyle w:val="TableBodyText"/>
            </w:pPr>
            <w:r>
              <w:rPr>
                <w:b/>
                <w:i/>
              </w:rPr>
              <w:t>RIPEMD-128</w:t>
            </w:r>
          </w:p>
          <w:p w:rsidR="00024C0A" w:rsidRDefault="00694C0F">
            <w:pPr>
              <w:pStyle w:val="TableBodyText"/>
            </w:pPr>
            <w:r>
              <w:rPr>
                <w:i/>
              </w:rPr>
              <w:t>Specifies that the RIPE</w:t>
            </w:r>
            <w:r>
              <w:rPr>
                <w:i/>
              </w:rPr>
              <w:t>MD-128 algorithm, as defined by ISO/IEC 10118-3:2004 shall be used.</w:t>
            </w:r>
          </w:p>
          <w:p w:rsidR="00024C0A" w:rsidRDefault="00024C0A">
            <w:pPr>
              <w:pStyle w:val="TableBodyText"/>
            </w:pPr>
          </w:p>
          <w:p w:rsidR="00024C0A" w:rsidRDefault="00694C0F">
            <w:pPr>
              <w:pStyle w:val="TableBodyText"/>
            </w:pPr>
            <w:r>
              <w:rPr>
                <w:i/>
              </w:rPr>
              <w:t>[Note: It is recommended that applications should avoid using this algorithm to store new hash values, because of publicly known breaks. end note]</w:t>
            </w:r>
          </w:p>
          <w:p w:rsidR="00024C0A" w:rsidRDefault="00694C0F">
            <w:pPr>
              <w:pStyle w:val="TableBodyText"/>
            </w:pPr>
            <w:r>
              <w:rPr>
                <w:b/>
                <w:i/>
              </w:rPr>
              <w:t>RIPEMD-160</w:t>
            </w:r>
          </w:p>
          <w:p w:rsidR="00024C0A" w:rsidRDefault="00694C0F">
            <w:pPr>
              <w:pStyle w:val="TableBodyText"/>
            </w:pPr>
            <w:r>
              <w:rPr>
                <w:i/>
              </w:rPr>
              <w:t>Specifies that the RIPEMD-160</w:t>
            </w:r>
            <w:r>
              <w:rPr>
                <w:i/>
              </w:rPr>
              <w:t xml:space="preserve"> algorithm, as defined by ISO/IEC 10118-3:2004, shall be used.</w:t>
            </w:r>
          </w:p>
          <w:p w:rsidR="00024C0A" w:rsidRDefault="00694C0F">
            <w:pPr>
              <w:pStyle w:val="TableBodyText"/>
            </w:pPr>
            <w:r>
              <w:rPr>
                <w:b/>
                <w:i/>
              </w:rPr>
              <w:t>SHA-1</w:t>
            </w:r>
          </w:p>
          <w:p w:rsidR="00024C0A" w:rsidRDefault="00694C0F">
            <w:pPr>
              <w:pStyle w:val="TableBodyText"/>
            </w:pPr>
            <w:r>
              <w:rPr>
                <w:i/>
              </w:rPr>
              <w:t>Specifies that the SHA-1 algorithm, as defined by ISO/IEC 10118-3:2004, shall be used.</w:t>
            </w:r>
          </w:p>
          <w:p w:rsidR="00024C0A" w:rsidRDefault="00694C0F">
            <w:pPr>
              <w:pStyle w:val="TableBodyText"/>
            </w:pPr>
            <w:r>
              <w:rPr>
                <w:b/>
                <w:i/>
              </w:rPr>
              <w:lastRenderedPageBreak/>
              <w:t>SHA-256</w:t>
            </w:r>
          </w:p>
          <w:p w:rsidR="00024C0A" w:rsidRDefault="00694C0F">
            <w:pPr>
              <w:pStyle w:val="TableBodyText"/>
            </w:pPr>
            <w:r>
              <w:rPr>
                <w:i/>
              </w:rPr>
              <w:t>Specifies that the SHA-256 algorithm, as defined by ISO/IEC 10118-3:2004, shall be used.</w:t>
            </w:r>
          </w:p>
          <w:p w:rsidR="00024C0A" w:rsidRDefault="00694C0F">
            <w:pPr>
              <w:pStyle w:val="TableBodyText"/>
            </w:pPr>
            <w:r>
              <w:rPr>
                <w:b/>
                <w:i/>
              </w:rPr>
              <w:t>SHA</w:t>
            </w:r>
            <w:r>
              <w:rPr>
                <w:b/>
                <w:i/>
              </w:rPr>
              <w:t>-384</w:t>
            </w:r>
          </w:p>
          <w:p w:rsidR="00024C0A" w:rsidRDefault="00694C0F">
            <w:pPr>
              <w:pStyle w:val="TableBodyText"/>
            </w:pPr>
            <w:r>
              <w:rPr>
                <w:i/>
              </w:rPr>
              <w:t>Specifies that the SHA-384 algorithm, as defined by ISO/IEC 10118-3:2004, shall be used.</w:t>
            </w:r>
          </w:p>
          <w:p w:rsidR="00024C0A" w:rsidRDefault="00694C0F">
            <w:pPr>
              <w:pStyle w:val="TableBodyText"/>
            </w:pPr>
            <w:r>
              <w:rPr>
                <w:b/>
                <w:i/>
              </w:rPr>
              <w:t>SHA-512</w:t>
            </w:r>
          </w:p>
          <w:p w:rsidR="00024C0A" w:rsidRDefault="00694C0F">
            <w:pPr>
              <w:pStyle w:val="TableBodyText"/>
            </w:pPr>
            <w:r>
              <w:rPr>
                <w:i/>
              </w:rPr>
              <w:t>Specifies that the SHA-512 algorithm, as defined by ISO/IEC 10118-3:2004, shall be used.</w:t>
            </w:r>
          </w:p>
          <w:p w:rsidR="00024C0A" w:rsidRDefault="00694C0F">
            <w:pPr>
              <w:pStyle w:val="TableBodyText"/>
            </w:pPr>
            <w:r>
              <w:rPr>
                <w:b/>
                <w:i/>
              </w:rPr>
              <w:t>WHIRLPOOL</w:t>
            </w:r>
          </w:p>
          <w:p w:rsidR="00024C0A" w:rsidRDefault="00694C0F">
            <w:pPr>
              <w:pStyle w:val="TableBodyText"/>
            </w:pPr>
            <w:r>
              <w:rPr>
                <w:i/>
              </w:rPr>
              <w:t>Specifies that the WHIRLPOOL algorithm, as defined by I</w:t>
            </w:r>
            <w:r>
              <w:rPr>
                <w:i/>
              </w:rPr>
              <w:t>SO/IEC 10118-3:2004, shall be used.</w:t>
            </w:r>
          </w:p>
          <w:p w:rsidR="00024C0A" w:rsidRDefault="00024C0A">
            <w:pPr>
              <w:pStyle w:val="TableBodyText"/>
            </w:pPr>
          </w:p>
          <w:p w:rsidR="00024C0A" w:rsidRDefault="00024C0A">
            <w:pPr>
              <w:pStyle w:val="TableBodyText"/>
            </w:pPr>
          </w:p>
        </w:tc>
      </w:tr>
      <w:tr w:rsidR="00024C0A" w:rsidTr="00024C0A">
        <w:tc>
          <w:tcPr>
            <w:tcW w:w="0" w:type="auto"/>
            <w:vAlign w:val="center"/>
          </w:tcPr>
          <w:p w:rsidR="00024C0A" w:rsidRDefault="00694C0F">
            <w:pPr>
              <w:pStyle w:val="TableBodyText"/>
            </w:pPr>
            <w:r>
              <w:rPr>
                <w:b/>
              </w:rPr>
              <w:lastRenderedPageBreak/>
              <w:t>hash Value</w:t>
            </w:r>
          </w:p>
        </w:tc>
        <w:tc>
          <w:tcPr>
            <w:tcW w:w="0" w:type="auto"/>
            <w:vAlign w:val="center"/>
          </w:tcPr>
          <w:p w:rsidR="00024C0A" w:rsidRDefault="00694C0F">
            <w:pPr>
              <w:pStyle w:val="TableBodyText"/>
            </w:pPr>
            <w:r>
              <w:t>Specifies the hash value for the password required to edit this worksheet. This value shall be compared with the resulting hash value after hashing the user-supplied password using the algorithm specified b</w:t>
            </w:r>
            <w:r>
              <w:t>y the preceding attributes and parent XML element. If the two values match, the protection shall no longer be enforced.</w:t>
            </w:r>
          </w:p>
          <w:p w:rsidR="00024C0A" w:rsidRDefault="00024C0A">
            <w:pPr>
              <w:pStyle w:val="TableBodyText"/>
            </w:pPr>
          </w:p>
          <w:p w:rsidR="00024C0A" w:rsidRDefault="00694C0F">
            <w:pPr>
              <w:pStyle w:val="TableBodyText"/>
            </w:pPr>
            <w:r>
              <w:t>If this value is omitted, then the reservationPassword attribute shall contain the password hash for the workbook.</w:t>
            </w:r>
          </w:p>
          <w:p w:rsidR="00024C0A" w:rsidRDefault="00024C0A">
            <w:pPr>
              <w:pStyle w:val="TableBodyText"/>
            </w:pPr>
          </w:p>
          <w:p w:rsidR="00024C0A" w:rsidRDefault="00694C0F">
            <w:pPr>
              <w:pStyle w:val="TableBodyText"/>
            </w:pPr>
            <w:r>
              <w:t>[</w:t>
            </w:r>
            <w:r>
              <w:rPr>
                <w:i/>
              </w:rPr>
              <w:t>Example</w:t>
            </w:r>
            <w:r>
              <w:t xml:space="preserve">: Consider </w:t>
            </w:r>
            <w:r>
              <w:t>an Office Open XML document with the following information stored in one of its protection elements:</w:t>
            </w:r>
          </w:p>
          <w:p w:rsidR="00024C0A" w:rsidRDefault="00024C0A">
            <w:pPr>
              <w:pStyle w:val="TableBodyText"/>
            </w:pPr>
          </w:p>
          <w:p w:rsidR="00024C0A" w:rsidRDefault="00694C0F">
            <w:pPr>
              <w:pStyle w:val="TableBodyText"/>
            </w:pPr>
            <w:r>
              <w:t>&lt;… algorithmName="SHA-1" hashValue="9oN7nWkCAyEZib1RomSJTjmPpCY=" /&gt;</w:t>
            </w:r>
          </w:p>
          <w:p w:rsidR="00024C0A" w:rsidRDefault="00024C0A">
            <w:pPr>
              <w:pStyle w:val="TableBodyText"/>
            </w:pPr>
          </w:p>
          <w:p w:rsidR="00024C0A" w:rsidRDefault="00694C0F">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024C0A" w:rsidRDefault="00694C0F">
            <w:pPr>
              <w:pStyle w:val="TableBodyText"/>
            </w:pPr>
            <w:r>
              <w:rPr>
                <w:i/>
              </w:rPr>
              <w:t>end example</w:t>
            </w:r>
            <w:r>
              <w:t>]</w:t>
            </w:r>
          </w:p>
          <w:p w:rsidR="00024C0A" w:rsidRDefault="00024C0A">
            <w:pPr>
              <w:pStyle w:val="TableBodyText"/>
            </w:pPr>
          </w:p>
          <w:p w:rsidR="00024C0A" w:rsidRDefault="00694C0F">
            <w:pPr>
              <w:pStyle w:val="TableBodyText"/>
            </w:pPr>
            <w:r>
              <w:t>The possible values for this attribute are defined by the W3C XML Schema base64Binary datatype.</w:t>
            </w:r>
          </w:p>
        </w:tc>
      </w:tr>
      <w:tr w:rsidR="00024C0A" w:rsidTr="00024C0A">
        <w:tc>
          <w:tcPr>
            <w:tcW w:w="0" w:type="auto"/>
            <w:vAlign w:val="center"/>
          </w:tcPr>
          <w:p w:rsidR="00024C0A" w:rsidRDefault="00694C0F">
            <w:pPr>
              <w:pStyle w:val="TableBodyText"/>
            </w:pPr>
            <w:r>
              <w:rPr>
                <w:b/>
              </w:rPr>
              <w:t>saltValue</w:t>
            </w:r>
          </w:p>
        </w:tc>
        <w:tc>
          <w:tcPr>
            <w:tcW w:w="0" w:type="auto"/>
            <w:vAlign w:val="center"/>
          </w:tcPr>
          <w:p w:rsidR="00024C0A" w:rsidRDefault="00694C0F">
            <w:pPr>
              <w:pStyle w:val="TableBodyText"/>
            </w:pPr>
            <w:r>
              <w:t>Specifies the random bytes that are pre-</w:t>
            </w:r>
            <w:r>
              <w:t>pended to the user-supplied password before it was hashed by the hashing algorithm.</w:t>
            </w:r>
          </w:p>
        </w:tc>
      </w:tr>
      <w:tr w:rsidR="00024C0A" w:rsidTr="00024C0A">
        <w:tc>
          <w:tcPr>
            <w:tcW w:w="0" w:type="auto"/>
            <w:vAlign w:val="center"/>
          </w:tcPr>
          <w:p w:rsidR="00024C0A" w:rsidRDefault="00694C0F">
            <w:pPr>
              <w:pStyle w:val="TableBodyText"/>
            </w:pPr>
            <w:r>
              <w:rPr>
                <w:b/>
              </w:rPr>
              <w:t>spinCount</w:t>
            </w:r>
          </w:p>
        </w:tc>
        <w:tc>
          <w:tcPr>
            <w:tcW w:w="0" w:type="auto"/>
            <w:vAlign w:val="center"/>
          </w:tcPr>
          <w:p w:rsidR="00024C0A" w:rsidRDefault="00694C0F">
            <w:pPr>
              <w:pStyle w:val="TableBodyText"/>
            </w:pPr>
            <w:r>
              <w:t>Specifies the number of times the hashing function shall be iteratively run (using each iteration's result as the input for the next iteration).</w:t>
            </w:r>
          </w:p>
        </w:tc>
      </w:tr>
    </w:tbl>
    <w:p w:rsidR="00024C0A" w:rsidRDefault="00024C0A"/>
    <w:p w:rsidR="00024C0A" w:rsidRDefault="00694C0F">
      <w:r>
        <w:t xml:space="preserve">[Example: </w:t>
      </w:r>
    </w:p>
    <w:p w:rsidR="00024C0A" w:rsidRDefault="00694C0F">
      <w:r>
        <w:t>Consider an Office Open XML document with the following information stored in one of its protection elements:</w:t>
      </w:r>
    </w:p>
    <w:p w:rsidR="00024C0A" w:rsidRDefault="00694C0F">
      <w:r>
        <w:t>&lt; … algorithmName="SHA-1" hashValue="9oN7nWkCAyEZib1RomSJTjmPpCY=" /&gt;</w:t>
      </w:r>
    </w:p>
    <w:p w:rsidR="00024C0A" w:rsidRDefault="00694C0F">
      <w:r>
        <w:t xml:space="preserve">The algorithmName attribute value of SHA-1 specifies that the SHA-1 hashing </w:t>
      </w:r>
      <w:r>
        <w:t>algorithm must be used to generate a hash from the user-defined password.</w:t>
      </w:r>
    </w:p>
    <w:p w:rsidR="00024C0A" w:rsidRDefault="00694C0F">
      <w:r>
        <w:t>end example]</w:t>
      </w:r>
    </w:p>
    <w:p w:rsidR="00024C0A" w:rsidRDefault="00694C0F">
      <w:pPr>
        <w:pStyle w:val="Definition-Field"/>
      </w:pPr>
      <w:r>
        <w:t xml:space="preserve">e.   </w:t>
      </w:r>
      <w:r>
        <w:rPr>
          <w:i/>
        </w:rPr>
        <w:t>The standard states that the securityDescriptor element is a valid child element of the CT_ProtectedRange type.</w:t>
      </w:r>
    </w:p>
    <w:p w:rsidR="00024C0A" w:rsidRDefault="00694C0F">
      <w:pPr>
        <w:pStyle w:val="Definition-Field2"/>
      </w:pPr>
      <w:r>
        <w:lastRenderedPageBreak/>
        <w:t>Office does not support the securityDescriptor eleme</w:t>
      </w:r>
      <w:r>
        <w:t>nt as a child of CT_ProtectedRange, and ignores any instances of the securityDescriptor element.</w:t>
      </w:r>
    </w:p>
    <w:p w:rsidR="00024C0A" w:rsidRDefault="00694C0F">
      <w:pPr>
        <w:pStyle w:val="Heading3"/>
      </w:pPr>
      <w:bookmarkStart w:id="1301" w:name="section_5cf07e3168684d0cb0e86de69c57569f"/>
      <w:bookmarkStart w:id="1302" w:name="_Toc12260711"/>
      <w:r>
        <w:t>Part 1 Section 18.3.1.73, row (Row)</w:t>
      </w:r>
      <w:bookmarkEnd w:id="1301"/>
      <w:bookmarkEnd w:id="1302"/>
      <w:r>
        <w:fldChar w:fldCharType="begin"/>
      </w:r>
      <w:r>
        <w:instrText xml:space="preserve"> XE "row (Row)" </w:instrText>
      </w:r>
      <w:r>
        <w:fldChar w:fldCharType="end"/>
      </w:r>
    </w:p>
    <w:p w:rsidR="00024C0A" w:rsidRDefault="00694C0F">
      <w:pPr>
        <w:pStyle w:val="Definition-Field"/>
      </w:pPr>
      <w:r>
        <w:t xml:space="preserve">a.   </w:t>
      </w:r>
      <w:r>
        <w:rPr>
          <w:i/>
        </w:rPr>
        <w:t>The standard states that the values of the r attribute are defined by the XML Schema unsignedInt dat</w:t>
      </w:r>
      <w:r>
        <w:rPr>
          <w:i/>
        </w:rPr>
        <w:t>atype.</w:t>
      </w:r>
    </w:p>
    <w:p w:rsidR="00024C0A" w:rsidRDefault="00694C0F">
      <w:pPr>
        <w:pStyle w:val="Definition-Field2"/>
      </w:pPr>
      <w:r>
        <w:t>Office requires that the r attribute be between 1 and 1048576 inclusive, and shall be in non-decreasing order.</w:t>
      </w:r>
    </w:p>
    <w:p w:rsidR="00024C0A" w:rsidRDefault="00694C0F">
      <w:pPr>
        <w:pStyle w:val="Definition-Field"/>
      </w:pPr>
      <w:r>
        <w:t xml:space="preserve">b.   </w:t>
      </w:r>
      <w:r>
        <w:rPr>
          <w:i/>
        </w:rPr>
        <w:t>The standard states that the values of the outlineLevel attribute are defined by the XML Schema unsignedByte datatype.</w:t>
      </w:r>
    </w:p>
    <w:p w:rsidR="00024C0A" w:rsidRDefault="00694C0F">
      <w:pPr>
        <w:pStyle w:val="Definition-Field2"/>
      </w:pPr>
      <w:r>
        <w:t xml:space="preserve">Office </w:t>
      </w:r>
      <w:r>
        <w:t>requires that the value of the outlineLevel attribute be between 0 and 7 inclusive.</w:t>
      </w:r>
    </w:p>
    <w:p w:rsidR="00024C0A" w:rsidRDefault="00694C0F">
      <w:pPr>
        <w:pStyle w:val="Definition-Field"/>
      </w:pPr>
      <w:r>
        <w:t xml:space="preserve">c.   </w:t>
      </w:r>
      <w:r>
        <w:rPr>
          <w:i/>
        </w:rPr>
        <w:t>The standard states that the values of the s attribute are defined by the XML Schema unsignedInt datatype.</w:t>
      </w:r>
    </w:p>
    <w:p w:rsidR="00024C0A" w:rsidRDefault="00694C0F">
      <w:pPr>
        <w:pStyle w:val="Definition-Field2"/>
      </w:pPr>
      <w:r>
        <w:t>Office requires that the value of the s attribute be between</w:t>
      </w:r>
      <w:r>
        <w:t xml:space="preserve"> 0 and 65490 inclusive.</w:t>
      </w:r>
    </w:p>
    <w:p w:rsidR="00024C0A" w:rsidRDefault="00694C0F">
      <w:pPr>
        <w:pStyle w:val="Heading3"/>
      </w:pPr>
      <w:bookmarkStart w:id="1303" w:name="section_09d193ae5f884f098bc2a744a755c881"/>
      <w:bookmarkStart w:id="1304" w:name="_Toc12260712"/>
      <w:r>
        <w:t>Part 1 Section 18.3.1.74, rowBreaks (Horizontal Page Breaks (Row))</w:t>
      </w:r>
      <w:bookmarkEnd w:id="1303"/>
      <w:bookmarkEnd w:id="1304"/>
      <w:r>
        <w:fldChar w:fldCharType="begin"/>
      </w:r>
      <w:r>
        <w:instrText xml:space="preserve"> XE "rowBreaks (Horizontal Page Breaks (Row))"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3d92605334c84ee091157bc5858ef579">
        <w:r>
          <w:rPr>
            <w:rStyle w:val="Hyperlink"/>
          </w:rPr>
          <w:t>colBreaks, §18.3.1.14(a, b)</w:t>
        </w:r>
      </w:hyperlink>
      <w:r>
        <w:rPr>
          <w:i/>
        </w:rPr>
        <w:t>.</w:t>
      </w:r>
    </w:p>
    <w:p w:rsidR="00024C0A" w:rsidRDefault="00694C0F">
      <w:pPr>
        <w:pStyle w:val="Definition-Field"/>
      </w:pPr>
      <w:r>
        <w:t xml:space="preserve">a.   </w:t>
      </w:r>
      <w:r>
        <w:rPr>
          <w:i/>
        </w:rPr>
        <w:t>The standard states that the count attribute is defined by unsignedInt.</w:t>
      </w:r>
    </w:p>
    <w:p w:rsidR="00024C0A" w:rsidRDefault="00694C0F">
      <w:pPr>
        <w:pStyle w:val="Definition-Field2"/>
      </w:pPr>
      <w:r>
        <w:t>Office defines count to be an xsd:unsignedInt less than 1023.</w:t>
      </w:r>
    </w:p>
    <w:p w:rsidR="00024C0A" w:rsidRDefault="00694C0F">
      <w:pPr>
        <w:pStyle w:val="Definition-Field"/>
      </w:pPr>
      <w:r>
        <w:t xml:space="preserve">b.   </w:t>
      </w:r>
      <w:r>
        <w:rPr>
          <w:i/>
        </w:rPr>
        <w:t xml:space="preserve">The standard states that the manualBreakCount </w:t>
      </w:r>
      <w:r>
        <w:rPr>
          <w:i/>
        </w:rPr>
        <w:t>attribute is defined by unsignedInt.</w:t>
      </w:r>
    </w:p>
    <w:p w:rsidR="00024C0A" w:rsidRDefault="00694C0F">
      <w:pPr>
        <w:pStyle w:val="Definition-Field2"/>
      </w:pPr>
      <w:r>
        <w:t>Office defines manualBreakCount to be an xsd:unsignedInt less than 1023.</w:t>
      </w:r>
    </w:p>
    <w:p w:rsidR="00024C0A" w:rsidRDefault="00694C0F">
      <w:pPr>
        <w:pStyle w:val="Heading3"/>
      </w:pPr>
      <w:bookmarkStart w:id="1305" w:name="section_44a549a0150b49d0bb6be02bc5122381"/>
      <w:bookmarkStart w:id="1306" w:name="_Toc12260713"/>
      <w:r>
        <w:t>Part 1 Section 18.3.1.75, scenario (Scenario)</w:t>
      </w:r>
      <w:bookmarkEnd w:id="1305"/>
      <w:bookmarkEnd w:id="1306"/>
      <w:r>
        <w:fldChar w:fldCharType="begin"/>
      </w:r>
      <w:r>
        <w:instrText xml:space="preserve"> XE "scenario (Scenario)" </w:instrText>
      </w:r>
      <w:r>
        <w:fldChar w:fldCharType="end"/>
      </w:r>
    </w:p>
    <w:p w:rsidR="00024C0A" w:rsidRDefault="00694C0F">
      <w:pPr>
        <w:pStyle w:val="Definition-Field"/>
      </w:pPr>
      <w:r>
        <w:t xml:space="preserve">a.   </w:t>
      </w:r>
      <w:r>
        <w:rPr>
          <w:i/>
        </w:rPr>
        <w:t>The standard states that the values of the count attribute are defi</w:t>
      </w:r>
      <w:r>
        <w:rPr>
          <w:i/>
        </w:rPr>
        <w:t>ned by the XML Schema unsignedInt datatype.</w:t>
      </w:r>
    </w:p>
    <w:p w:rsidR="00024C0A" w:rsidRDefault="00694C0F">
      <w:pPr>
        <w:pStyle w:val="Definition-Field2"/>
      </w:pPr>
      <w:r>
        <w:t>Excel restricts the value of this attribute to be at least 1 and at most 32.</w:t>
      </w:r>
    </w:p>
    <w:p w:rsidR="00024C0A" w:rsidRDefault="00694C0F">
      <w:pPr>
        <w:pStyle w:val="Definition-Field"/>
      </w:pPr>
      <w:r>
        <w:t xml:space="preserve">b.   </w:t>
      </w:r>
      <w:r>
        <w:rPr>
          <w:i/>
        </w:rPr>
        <w:t>The standard states that the maxOccurs value for the inputCells child element is unbounded.</w:t>
      </w:r>
    </w:p>
    <w:p w:rsidR="00024C0A" w:rsidRDefault="00694C0F">
      <w:pPr>
        <w:pStyle w:val="Definition-Field2"/>
      </w:pPr>
      <w:r>
        <w:t>Excel limits the occurrences of this e</w:t>
      </w:r>
      <w:r>
        <w:t>lement to 32.</w:t>
      </w:r>
    </w:p>
    <w:p w:rsidR="00024C0A" w:rsidRDefault="00694C0F">
      <w:pPr>
        <w:pStyle w:val="Definition-Field"/>
      </w:pPr>
      <w:r>
        <w:t xml:space="preserve">c.   </w:t>
      </w:r>
      <w:r>
        <w:rPr>
          <w:i/>
        </w:rPr>
        <w:t>The standard does not limit the length of the value of the name attribute.</w:t>
      </w:r>
    </w:p>
    <w:p w:rsidR="00024C0A" w:rsidRDefault="00694C0F">
      <w:pPr>
        <w:pStyle w:val="Definition-Field2"/>
      </w:pPr>
      <w:r>
        <w:t>Excel restricts the value of this attribute to be at most 255 characters, after decoding.</w:t>
      </w:r>
    </w:p>
    <w:p w:rsidR="00024C0A" w:rsidRDefault="00694C0F">
      <w:pPr>
        <w:pStyle w:val="Definition-Field"/>
      </w:pPr>
      <w:r>
        <w:t xml:space="preserve">d.   </w:t>
      </w:r>
      <w:r>
        <w:rPr>
          <w:i/>
        </w:rPr>
        <w:t xml:space="preserve">The standard states that the name attribute must be unique for the </w:t>
      </w:r>
      <w:r>
        <w:rPr>
          <w:i/>
        </w:rPr>
        <w:t>workbook.</w:t>
      </w:r>
    </w:p>
    <w:p w:rsidR="00024C0A" w:rsidRDefault="00694C0F">
      <w:pPr>
        <w:pStyle w:val="Definition-Field2"/>
      </w:pPr>
      <w:r>
        <w:t>Office only requires that the name attribute be unique for each worksheet (allows duplicates in a workbook).</w:t>
      </w:r>
    </w:p>
    <w:p w:rsidR="00024C0A" w:rsidRDefault="00694C0F">
      <w:pPr>
        <w:pStyle w:val="Definition-Field"/>
      </w:pPr>
      <w:r>
        <w:t xml:space="preserve">e.   </w:t>
      </w:r>
      <w:r>
        <w:rPr>
          <w:i/>
        </w:rPr>
        <w:t>The standard does not limit the length of the value of the user attribute.</w:t>
      </w:r>
    </w:p>
    <w:p w:rsidR="00024C0A" w:rsidRDefault="00694C0F">
      <w:pPr>
        <w:pStyle w:val="Definition-Field2"/>
      </w:pPr>
      <w:r>
        <w:t>Excel restricts the value of this attribute to be at leas</w:t>
      </w:r>
      <w:r>
        <w:t>t 1 and at most 54 characters, after decoding.</w:t>
      </w:r>
    </w:p>
    <w:p w:rsidR="00024C0A" w:rsidRDefault="00694C0F">
      <w:pPr>
        <w:pStyle w:val="Definition-Field"/>
      </w:pPr>
      <w:r>
        <w:t xml:space="preserve">f.   </w:t>
      </w:r>
      <w:r>
        <w:rPr>
          <w:i/>
        </w:rPr>
        <w:t>The standard does not limit the length of the value of the comment attribute.</w:t>
      </w:r>
    </w:p>
    <w:p w:rsidR="00024C0A" w:rsidRDefault="00694C0F">
      <w:pPr>
        <w:pStyle w:val="Definition-Field2"/>
      </w:pPr>
      <w:r>
        <w:lastRenderedPageBreak/>
        <w:t>Excel restricts the value of this attribute to be at most 255 characters, after decoding.</w:t>
      </w:r>
    </w:p>
    <w:p w:rsidR="00024C0A" w:rsidRDefault="00694C0F">
      <w:pPr>
        <w:pStyle w:val="Heading3"/>
      </w:pPr>
      <w:bookmarkStart w:id="1307" w:name="section_340d24aef870491180380cb886c4aa1c"/>
      <w:bookmarkStart w:id="1308" w:name="_Toc12260714"/>
      <w:r>
        <w:t xml:space="preserve">Part 1 Section 18.3.1.76, scenarios </w:t>
      </w:r>
      <w:r>
        <w:t>(Scenarios)</w:t>
      </w:r>
      <w:bookmarkEnd w:id="1307"/>
      <w:bookmarkEnd w:id="1308"/>
      <w:r>
        <w:fldChar w:fldCharType="begin"/>
      </w:r>
      <w:r>
        <w:instrText xml:space="preserve"> XE "scenarios (Scenarios)" </w:instrText>
      </w:r>
      <w:r>
        <w:fldChar w:fldCharType="end"/>
      </w:r>
    </w:p>
    <w:p w:rsidR="00024C0A" w:rsidRDefault="00694C0F">
      <w:pPr>
        <w:pStyle w:val="Definition-Field"/>
      </w:pPr>
      <w:r>
        <w:t xml:space="preserve">a.   </w:t>
      </w:r>
      <w:r>
        <w:rPr>
          <w:i/>
        </w:rPr>
        <w:t>In the standard, the current and show attributes do not have upper limits.</w:t>
      </w:r>
    </w:p>
    <w:p w:rsidR="00024C0A" w:rsidRDefault="00694C0F">
      <w:pPr>
        <w:pStyle w:val="Definition-Field2"/>
      </w:pPr>
      <w:r>
        <w:t>In Excel, both the current and show attributes must be less than the number of child scenario elements.</w:t>
      </w:r>
    </w:p>
    <w:p w:rsidR="00024C0A" w:rsidRDefault="00694C0F">
      <w:pPr>
        <w:pStyle w:val="Heading3"/>
      </w:pPr>
      <w:bookmarkStart w:id="1309" w:name="section_91bb957fbae645d7a45f8dcbf898ad70"/>
      <w:bookmarkStart w:id="1310" w:name="_Toc12260715"/>
      <w:r>
        <w:t>Part 1 Section 18.3.1.77, secu</w:t>
      </w:r>
      <w:r>
        <w:t>rityDescriptor (Security Descriptor)</w:t>
      </w:r>
      <w:bookmarkEnd w:id="1309"/>
      <w:bookmarkEnd w:id="1310"/>
      <w:r>
        <w:fldChar w:fldCharType="begin"/>
      </w:r>
      <w:r>
        <w:instrText xml:space="preserve"> XE "securityDescriptor (Security Descriptor)" </w:instrText>
      </w:r>
      <w:r>
        <w:fldChar w:fldCharType="end"/>
      </w:r>
    </w:p>
    <w:p w:rsidR="00024C0A" w:rsidRDefault="00694C0F">
      <w:pPr>
        <w:pStyle w:val="Definition-Field"/>
      </w:pPr>
      <w:r>
        <w:t xml:space="preserve">a.   </w:t>
      </w:r>
      <w:r>
        <w:rPr>
          <w:i/>
        </w:rPr>
        <w:t>The standard states that the securityDescriptor element is a valid child element of the CT_ProtectedRange type.</w:t>
      </w:r>
    </w:p>
    <w:p w:rsidR="00024C0A" w:rsidRDefault="00694C0F">
      <w:pPr>
        <w:pStyle w:val="Definition-Field2"/>
      </w:pPr>
      <w:r>
        <w:t xml:space="preserve">Office does not support the securityDescriptor </w:t>
      </w:r>
      <w:r>
        <w:t>element as a child of CT_ProtectedRange, and ignores any instances of the securityDescriptor element.</w:t>
      </w:r>
    </w:p>
    <w:p w:rsidR="00024C0A" w:rsidRDefault="00694C0F">
      <w:pPr>
        <w:pStyle w:val="Definition-Field2"/>
      </w:pPr>
      <w:r>
        <w:t>This note applies to the following products: Office 2010, Office 2010 Server, Office 2010 SP1.</w:t>
      </w:r>
    </w:p>
    <w:p w:rsidR="00024C0A" w:rsidRDefault="00694C0F">
      <w:pPr>
        <w:pStyle w:val="Definition-Field"/>
      </w:pPr>
      <w:r>
        <w:t xml:space="preserve">b.   </w:t>
      </w:r>
      <w:r>
        <w:rPr>
          <w:i/>
        </w:rPr>
        <w:t xml:space="preserve">The standard states that the securityDescriptor </w:t>
      </w:r>
      <w:r>
        <w:rPr>
          <w:i/>
        </w:rPr>
        <w:t>element is a valid child element of the CT_ProtectedRange type.</w:t>
      </w:r>
    </w:p>
    <w:p w:rsidR="00024C0A" w:rsidRDefault="00694C0F">
      <w:pPr>
        <w:pStyle w:val="Definition-Field2"/>
      </w:pPr>
      <w:r>
        <w:t>Excel ignores all but first of securityDescriptor elements with a common parent.</w:t>
      </w:r>
    </w:p>
    <w:p w:rsidR="00024C0A" w:rsidRDefault="00694C0F">
      <w:pPr>
        <w:pStyle w:val="Definition-Field2"/>
      </w:pPr>
      <w:r>
        <w:t>This note applies to the following products: Office 2013 Client (Strict), Office 2013 Server (Strict), Office 2</w:t>
      </w:r>
      <w:r>
        <w:t>013 Client (Transitional), Office 2013 Server (Transitional).</w:t>
      </w:r>
    </w:p>
    <w:p w:rsidR="00024C0A" w:rsidRDefault="00694C0F">
      <w:pPr>
        <w:pStyle w:val="Heading3"/>
      </w:pPr>
      <w:bookmarkStart w:id="1311" w:name="section_d958b467c9464f32aecf9f7b27a28fc5"/>
      <w:bookmarkStart w:id="1312" w:name="_Toc12260716"/>
      <w:r>
        <w:t>Part 1 Section 18.3.1.78, selection (Selection)</w:t>
      </w:r>
      <w:bookmarkEnd w:id="1311"/>
      <w:bookmarkEnd w:id="1312"/>
      <w:r>
        <w:fldChar w:fldCharType="begin"/>
      </w:r>
      <w:r>
        <w:instrText xml:space="preserve"> XE "selection (Selection)" </w:instrText>
      </w:r>
      <w:r>
        <w:fldChar w:fldCharType="end"/>
      </w:r>
    </w:p>
    <w:p w:rsidR="00024C0A" w:rsidRDefault="00694C0F">
      <w:pPr>
        <w:pStyle w:val="Definition-Field"/>
      </w:pPr>
      <w:r>
        <w:t xml:space="preserve">a.   </w:t>
      </w:r>
      <w:r>
        <w:rPr>
          <w:i/>
        </w:rPr>
        <w:t>The standard does not specify a default value for the activeCell attribute.</w:t>
      </w:r>
    </w:p>
    <w:p w:rsidR="00024C0A" w:rsidRDefault="00694C0F">
      <w:pPr>
        <w:pStyle w:val="Definition-Field2"/>
      </w:pPr>
      <w:r>
        <w:t>Excel uses a default value of A1 fo</w:t>
      </w:r>
      <w:r>
        <w:t>r this attribute.</w:t>
      </w:r>
    </w:p>
    <w:p w:rsidR="00024C0A" w:rsidRDefault="00694C0F">
      <w:pPr>
        <w:pStyle w:val="Definition-Field"/>
      </w:pPr>
      <w:r>
        <w:t xml:space="preserve">b.   </w:t>
      </w:r>
      <w:r>
        <w:rPr>
          <w:i/>
        </w:rPr>
        <w:t>The standard states that the values of the activeCellId attribute are defined by the XML Schema unsignedInt datatype.</w:t>
      </w:r>
    </w:p>
    <w:p w:rsidR="00024C0A" w:rsidRDefault="00694C0F">
      <w:pPr>
        <w:pStyle w:val="Definition-Field2"/>
      </w:pPr>
      <w:r>
        <w:t>Excel restricts the value of this attribute to be at most 8191.</w:t>
      </w:r>
    </w:p>
    <w:p w:rsidR="00024C0A" w:rsidRDefault="00694C0F">
      <w:pPr>
        <w:pStyle w:val="Heading3"/>
      </w:pPr>
      <w:bookmarkStart w:id="1313" w:name="section_1d47296a5b004fc2b4d7c7efc8fff0fc"/>
      <w:bookmarkStart w:id="1314" w:name="_Toc12260717"/>
      <w:r>
        <w:t>Part 1 Section 18.3.1.81, sheetFormatPr (Sheet Form</w:t>
      </w:r>
      <w:r>
        <w:t>at Properties)</w:t>
      </w:r>
      <w:bookmarkEnd w:id="1313"/>
      <w:bookmarkEnd w:id="1314"/>
      <w:r>
        <w:fldChar w:fldCharType="begin"/>
      </w:r>
      <w:r>
        <w:instrText xml:space="preserve"> XE "sheetFormatPr (Sheet Format Properties)" </w:instrText>
      </w:r>
      <w:r>
        <w:fldChar w:fldCharType="end"/>
      </w:r>
    </w:p>
    <w:p w:rsidR="00024C0A" w:rsidRDefault="00694C0F">
      <w:pPr>
        <w:pStyle w:val="Definition-Field"/>
      </w:pPr>
      <w:r>
        <w:t xml:space="preserve">a.   </w:t>
      </w:r>
      <w:r>
        <w:rPr>
          <w:i/>
        </w:rPr>
        <w:t>The standard does not place any restrictions on the value of the outlineLevelRow or outlineLevelCol attributes.</w:t>
      </w:r>
    </w:p>
    <w:p w:rsidR="00024C0A" w:rsidRDefault="00694C0F">
      <w:pPr>
        <w:pStyle w:val="Definition-Field2"/>
      </w:pPr>
      <w:r>
        <w:t>Office requires that the outlineLevelRow and outlineLevelCol attributes be b</w:t>
      </w:r>
      <w:r>
        <w:t>etween 0 and 7 inclusive.</w:t>
      </w:r>
    </w:p>
    <w:p w:rsidR="00024C0A" w:rsidRDefault="00694C0F">
      <w:pPr>
        <w:pStyle w:val="Definition-Field"/>
      </w:pPr>
      <w:r>
        <w:t xml:space="preserve">b.   </w:t>
      </w:r>
      <w:r>
        <w:rPr>
          <w:i/>
        </w:rPr>
        <w:t>The standard does not place any restrictions on the value of @baseColWidth.</w:t>
      </w:r>
    </w:p>
    <w:p w:rsidR="00024C0A" w:rsidRDefault="00694C0F">
      <w:pPr>
        <w:pStyle w:val="Definition-Field2"/>
      </w:pPr>
      <w:r>
        <w:t>Office requires that @baseColWidth have a maximum value of less than or equal to 255.</w:t>
      </w:r>
    </w:p>
    <w:p w:rsidR="00024C0A" w:rsidRDefault="00694C0F">
      <w:pPr>
        <w:pStyle w:val="Definition-Field"/>
      </w:pPr>
      <w:r>
        <w:t xml:space="preserve">c.   </w:t>
      </w:r>
      <w:r>
        <w:rPr>
          <w:i/>
        </w:rPr>
        <w:t>The standard does not place restrictions on the value of t</w:t>
      </w:r>
      <w:r>
        <w:rPr>
          <w:i/>
        </w:rPr>
        <w:t>he defaultColWidth attribute.</w:t>
      </w:r>
    </w:p>
    <w:p w:rsidR="00024C0A" w:rsidRDefault="00694C0F">
      <w:pPr>
        <w:pStyle w:val="Definition-Field2"/>
      </w:pPr>
      <w:r>
        <w:t>Office requires that the defaultColWidth attribute be less than 65536 and greater than or equal to zero.</w:t>
      </w:r>
    </w:p>
    <w:p w:rsidR="00024C0A" w:rsidRDefault="00694C0F">
      <w:pPr>
        <w:pStyle w:val="Heading3"/>
      </w:pPr>
      <w:bookmarkStart w:id="1315" w:name="section_e2b7325c912947e1abc73cc75ca1e2d8"/>
      <w:bookmarkStart w:id="1316" w:name="_Toc12260718"/>
      <w:r>
        <w:t>Part 1 Section 18.3.1.82, sheetPr (Sheet Properties)</w:t>
      </w:r>
      <w:bookmarkEnd w:id="1315"/>
      <w:bookmarkEnd w:id="1316"/>
      <w:r>
        <w:fldChar w:fldCharType="begin"/>
      </w:r>
      <w:r>
        <w:instrText xml:space="preserve"> XE "sheetPr (Sheet Properties)" </w:instrText>
      </w:r>
      <w:r>
        <w:fldChar w:fldCharType="end"/>
      </w:r>
    </w:p>
    <w:p w:rsidR="00024C0A" w:rsidRDefault="00694C0F">
      <w:pPr>
        <w:pStyle w:val="Definition-Field"/>
      </w:pPr>
      <w:r>
        <w:t xml:space="preserve">a.   </w:t>
      </w:r>
      <w:r>
        <w:rPr>
          <w:i/>
        </w:rPr>
        <w:t>The standard allows any rang</w:t>
      </w:r>
      <w:r>
        <w:rPr>
          <w:i/>
        </w:rPr>
        <w:t>e reference for the syncRef attribute.</w:t>
      </w:r>
    </w:p>
    <w:p w:rsidR="00024C0A" w:rsidRDefault="00694C0F">
      <w:pPr>
        <w:pStyle w:val="Definition-Field2"/>
      </w:pPr>
      <w:r>
        <w:lastRenderedPageBreak/>
        <w:t>In Office, the syncRef attribute specifies a valid cell reference only when either the syncHorizontal or the syncVertical attributes is true.</w:t>
      </w:r>
    </w:p>
    <w:p w:rsidR="00024C0A" w:rsidRDefault="00694C0F">
      <w:pPr>
        <w:pStyle w:val="Definition-Field"/>
      </w:pPr>
      <w:r>
        <w:t xml:space="preserve">b.   </w:t>
      </w:r>
      <w:r>
        <w:rPr>
          <w:i/>
        </w:rPr>
        <w:t>The standard states that the values of the codeName attribute are defi</w:t>
      </w:r>
      <w:r>
        <w:rPr>
          <w:i/>
        </w:rPr>
        <w:t>ned by the XML Schema string datatype.</w:t>
      </w:r>
    </w:p>
    <w:p w:rsidR="00024C0A" w:rsidRDefault="00694C0F">
      <w:pPr>
        <w:pStyle w:val="Definition-Field2"/>
      </w:pPr>
      <w:r>
        <w:t>Office requires the codeName attribute to be less than 32 characters with the following pattern restriction: [\p{L}\P{IsBasicLatin}][_\d\p{L}\P{IsBasicLatin}]*.</w:t>
      </w:r>
    </w:p>
    <w:p w:rsidR="00024C0A" w:rsidRDefault="00694C0F">
      <w:pPr>
        <w:pStyle w:val="Definition-Field"/>
      </w:pPr>
      <w:r>
        <w:t xml:space="preserve">c.   </w:t>
      </w:r>
      <w:r>
        <w:rPr>
          <w:i/>
        </w:rPr>
        <w:t>The standard specifies the codeName attribute is va</w:t>
      </w:r>
      <w:r>
        <w:rPr>
          <w:i/>
        </w:rPr>
        <w:t>lid for all parents.</w:t>
      </w:r>
    </w:p>
    <w:p w:rsidR="00024C0A" w:rsidRDefault="00694C0F">
      <w:pPr>
        <w:pStyle w:val="Definition-Field2"/>
      </w:pPr>
      <w:r>
        <w:t>In Office, the codeName attribute is only valid for the worksheet parent.</w:t>
      </w:r>
    </w:p>
    <w:p w:rsidR="00024C0A" w:rsidRDefault="00694C0F">
      <w:pPr>
        <w:pStyle w:val="Heading3"/>
      </w:pPr>
      <w:bookmarkStart w:id="1317" w:name="section_6f37d5b810364318a35b22d5899c0a23"/>
      <w:bookmarkStart w:id="1318" w:name="_Toc12260719"/>
      <w:r>
        <w:t>Part 1 Section 18.3.1.83, sheetPr (Chart Sheet Properties)</w:t>
      </w:r>
      <w:bookmarkEnd w:id="1317"/>
      <w:bookmarkEnd w:id="1318"/>
      <w:r>
        <w:fldChar w:fldCharType="begin"/>
      </w:r>
      <w:r>
        <w:instrText xml:space="preserve"> XE "sheetPr (Chart Sheet Properties)" </w:instrText>
      </w:r>
      <w:r>
        <w:fldChar w:fldCharType="end"/>
      </w:r>
    </w:p>
    <w:p w:rsidR="00024C0A" w:rsidRDefault="00694C0F">
      <w:pPr>
        <w:pStyle w:val="Definition-Field"/>
      </w:pPr>
      <w:r>
        <w:t xml:space="preserve">a.   </w:t>
      </w:r>
      <w:r>
        <w:rPr>
          <w:i/>
        </w:rPr>
        <w:t>The standard specifies @codeName can be any xsd:string.</w:t>
      </w:r>
    </w:p>
    <w:p w:rsidR="00024C0A" w:rsidRDefault="00694C0F">
      <w:pPr>
        <w:pStyle w:val="Definition-Field2"/>
      </w:pPr>
      <w:r>
        <w:t>Office requires @codeName to be less than 32 characters with the following pattern restriction: [\p{L}\P{IsBasicLatin}][_\d\p{L}\P{IsBasicLatin}]*.</w:t>
      </w:r>
    </w:p>
    <w:p w:rsidR="00024C0A" w:rsidRDefault="00694C0F">
      <w:pPr>
        <w:pStyle w:val="Heading3"/>
      </w:pPr>
      <w:bookmarkStart w:id="1319" w:name="section_fcf4108f555a4d3ba9ca85fcfec97d1b"/>
      <w:bookmarkStart w:id="1320" w:name="_Toc12260720"/>
      <w:r>
        <w:t>Part 1 Section 18.3.1.84, sheetProtection (Chart Sheet Protection)</w:t>
      </w:r>
      <w:bookmarkEnd w:id="1319"/>
      <w:bookmarkEnd w:id="1320"/>
      <w:r>
        <w:fldChar w:fldCharType="begin"/>
      </w:r>
      <w:r>
        <w:instrText xml:space="preserve"> XE "sheetProtection (Chart Sheet Protecti</w:instrText>
      </w:r>
      <w:r>
        <w:instrText xml:space="preserve">on)" </w:instrText>
      </w:r>
      <w:r>
        <w:fldChar w:fldCharType="end"/>
      </w:r>
    </w:p>
    <w:p w:rsidR="00024C0A" w:rsidRDefault="00694C0F">
      <w:pPr>
        <w:pStyle w:val="Definition-Field"/>
      </w:pPr>
      <w:r>
        <w:t xml:space="preserve">a.   </w:t>
      </w:r>
      <w:r>
        <w:rPr>
          <w:i/>
        </w:rPr>
        <w:t>The standard states that when the content attribute equals true, no changes can be made to chart elements.</w:t>
      </w:r>
    </w:p>
    <w:p w:rsidR="00024C0A" w:rsidRDefault="00694C0F">
      <w:pPr>
        <w:pStyle w:val="Definition-Field2"/>
      </w:pPr>
      <w:r>
        <w:t>Office allows changes to chart elements, even when the content attribute equals true.</w:t>
      </w:r>
    </w:p>
    <w:p w:rsidR="00024C0A" w:rsidRDefault="00694C0F">
      <w:pPr>
        <w:pStyle w:val="Definition-Field"/>
      </w:pPr>
      <w:r>
        <w:t xml:space="preserve">b.   </w:t>
      </w:r>
      <w:r>
        <w:rPr>
          <w:i/>
        </w:rPr>
        <w:t xml:space="preserve">The standard states that this setting uses a </w:t>
      </w:r>
      <w:r>
        <w:rPr>
          <w:i/>
        </w:rPr>
        <w:t>specific Password attribute to store the password hash.</w:t>
      </w:r>
    </w:p>
    <w:p w:rsidR="00024C0A" w:rsidRDefault="00694C0F">
      <w:r>
        <w:t>In Office, when the HKCU/Software/Microsoft/Office/&lt;VERSION&gt;/Common/Security/UseIsoPasswordVerifier registry key is set to 1, the XML for file sharing is written by using the XML attribute structure i</w:t>
      </w:r>
      <w:r>
        <w:t>n the following table.</w:t>
      </w:r>
    </w:p>
    <w:tbl>
      <w:tblPr>
        <w:tblStyle w:val="Table-ShadedHeader"/>
        <w:tblW w:w="0" w:type="auto"/>
        <w:tblLook w:val="04A0" w:firstRow="1" w:lastRow="0" w:firstColumn="1" w:lastColumn="0" w:noHBand="0" w:noVBand="1"/>
      </w:tblPr>
      <w:tblGrid>
        <w:gridCol w:w="1219"/>
        <w:gridCol w:w="825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Name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algorithm Name</w:t>
            </w:r>
          </w:p>
        </w:tc>
        <w:tc>
          <w:tcPr>
            <w:tcW w:w="0" w:type="auto"/>
            <w:vAlign w:val="center"/>
          </w:tcPr>
          <w:p w:rsidR="00024C0A" w:rsidRDefault="00694C0F">
            <w:pPr>
              <w:pStyle w:val="TableBodyText"/>
            </w:pPr>
            <w:r>
              <w:t>The name of the cryptographic hashing algorithm used to generate the hash value. Only those algorithms that are installed in the operating system’s cryptographic subsystem can be utilized by Office.</w:t>
            </w:r>
          </w:p>
          <w:p w:rsidR="00024C0A" w:rsidRDefault="00024C0A">
            <w:pPr>
              <w:pStyle w:val="TableBodyText"/>
            </w:pPr>
          </w:p>
          <w:p w:rsidR="00024C0A" w:rsidRDefault="00694C0F">
            <w:pPr>
              <w:pStyle w:val="TableBodyText"/>
            </w:pPr>
            <w:r>
              <w:t>The hash algorithm names, described in the following table, are reserved.</w:t>
            </w:r>
          </w:p>
          <w:p w:rsidR="00024C0A" w:rsidRDefault="00024C0A">
            <w:pPr>
              <w:pStyle w:val="TableBodyText"/>
            </w:pPr>
          </w:p>
          <w:p w:rsidR="00024C0A" w:rsidRDefault="00694C0F">
            <w:pPr>
              <w:pStyle w:val="TableBodyText"/>
            </w:pPr>
            <w:r>
              <w:rPr>
                <w:b/>
                <w:i/>
              </w:rPr>
              <w:t xml:space="preserve">MD2 </w:t>
            </w:r>
          </w:p>
          <w:p w:rsidR="00024C0A" w:rsidRDefault="00694C0F">
            <w:pPr>
              <w:pStyle w:val="TableBodyText"/>
            </w:pPr>
            <w:r>
              <w:rPr>
                <w:i/>
              </w:rPr>
              <w:t>Specifies that the MD2 algorithm, as defined by RFC 1319, shall be used.</w:t>
            </w:r>
          </w:p>
          <w:p w:rsidR="00024C0A" w:rsidRDefault="00024C0A">
            <w:pPr>
              <w:pStyle w:val="TableBodyText"/>
            </w:pPr>
          </w:p>
          <w:p w:rsidR="00024C0A" w:rsidRDefault="00694C0F">
            <w:pPr>
              <w:pStyle w:val="TableBodyText"/>
            </w:pPr>
            <w:r>
              <w:rPr>
                <w:i/>
              </w:rPr>
              <w:t>[Note: It is recommended that applications should avoid using this algorithm to store new hash values,</w:t>
            </w:r>
            <w:r>
              <w:rPr>
                <w:i/>
              </w:rPr>
              <w:t xml:space="preserve"> because of publicly known breaks. end note]</w:t>
            </w:r>
          </w:p>
          <w:p w:rsidR="00024C0A" w:rsidRDefault="00694C0F">
            <w:pPr>
              <w:pStyle w:val="TableBodyText"/>
            </w:pPr>
            <w:r>
              <w:rPr>
                <w:b/>
                <w:i/>
              </w:rPr>
              <w:t xml:space="preserve">MD4 </w:t>
            </w:r>
          </w:p>
          <w:p w:rsidR="00024C0A" w:rsidRDefault="00694C0F">
            <w:pPr>
              <w:pStyle w:val="TableBodyText"/>
            </w:pPr>
            <w:r>
              <w:rPr>
                <w:i/>
              </w:rPr>
              <w:t>Specifies that the MD4 algorithm, as defined by RFC 1320, shall be used.</w:t>
            </w:r>
          </w:p>
          <w:p w:rsidR="00024C0A" w:rsidRDefault="00024C0A">
            <w:pPr>
              <w:pStyle w:val="TableBodyText"/>
            </w:pPr>
          </w:p>
          <w:p w:rsidR="00024C0A" w:rsidRDefault="00694C0F">
            <w:pPr>
              <w:pStyle w:val="TableBodyText"/>
            </w:pPr>
            <w:r>
              <w:rPr>
                <w:i/>
              </w:rPr>
              <w:t>[Note: It is recommended that applications should avoid using this algorithm to store new hash values, because of publicly known bre</w:t>
            </w:r>
            <w:r>
              <w:rPr>
                <w:i/>
              </w:rPr>
              <w:t>aks. end note]</w:t>
            </w:r>
          </w:p>
          <w:p w:rsidR="00024C0A" w:rsidRDefault="00694C0F">
            <w:pPr>
              <w:pStyle w:val="TableBodyText"/>
            </w:pPr>
            <w:r>
              <w:rPr>
                <w:b/>
                <w:i/>
              </w:rPr>
              <w:t>MD5</w:t>
            </w:r>
          </w:p>
          <w:p w:rsidR="00024C0A" w:rsidRDefault="00694C0F">
            <w:pPr>
              <w:pStyle w:val="TableBodyText"/>
            </w:pPr>
            <w:r>
              <w:rPr>
                <w:i/>
              </w:rPr>
              <w:t>Specifies that the MD5 algorithm, as defined by RFC 1321, shall be used.</w:t>
            </w:r>
          </w:p>
          <w:p w:rsidR="00024C0A" w:rsidRDefault="00024C0A">
            <w:pPr>
              <w:pStyle w:val="TableBodyText"/>
            </w:pPr>
          </w:p>
          <w:p w:rsidR="00024C0A" w:rsidRDefault="00694C0F">
            <w:pPr>
              <w:pStyle w:val="TableBodyText"/>
            </w:pPr>
            <w:r>
              <w:rPr>
                <w:i/>
              </w:rPr>
              <w:lastRenderedPageBreak/>
              <w:t>[Note: It is recommended that applications should avoid using this algorithm to store new hash values, because of publicly known breaks. end note]</w:t>
            </w:r>
          </w:p>
          <w:p w:rsidR="00024C0A" w:rsidRDefault="00694C0F">
            <w:pPr>
              <w:pStyle w:val="TableBodyText"/>
            </w:pPr>
            <w:r>
              <w:rPr>
                <w:b/>
                <w:i/>
              </w:rPr>
              <w:t>RIPEMD-128</w:t>
            </w:r>
          </w:p>
          <w:p w:rsidR="00024C0A" w:rsidRDefault="00694C0F">
            <w:pPr>
              <w:pStyle w:val="TableBodyText"/>
            </w:pPr>
            <w:r>
              <w:rPr>
                <w:i/>
              </w:rPr>
              <w:t>Specifies that the RIPEMD-128 algorithm, as defined by ISO/IEC 10118-3:2004 shall be used.</w:t>
            </w:r>
          </w:p>
          <w:p w:rsidR="00024C0A" w:rsidRDefault="00024C0A">
            <w:pPr>
              <w:pStyle w:val="TableBodyText"/>
            </w:pPr>
          </w:p>
          <w:p w:rsidR="00024C0A" w:rsidRDefault="00694C0F">
            <w:pPr>
              <w:pStyle w:val="TableBodyText"/>
            </w:pPr>
            <w:r>
              <w:rPr>
                <w:i/>
              </w:rPr>
              <w:t>[Note: It is recommended that applications should avoid using this algorithm to store new hash values, because of publicly known breaks. end note]</w:t>
            </w:r>
          </w:p>
          <w:p w:rsidR="00024C0A" w:rsidRDefault="00694C0F">
            <w:pPr>
              <w:pStyle w:val="TableBodyText"/>
            </w:pPr>
            <w:r>
              <w:rPr>
                <w:b/>
                <w:i/>
              </w:rPr>
              <w:t>RIPEMD-160</w:t>
            </w:r>
          </w:p>
          <w:p w:rsidR="00024C0A" w:rsidRDefault="00694C0F">
            <w:pPr>
              <w:pStyle w:val="TableBodyText"/>
            </w:pPr>
            <w:r>
              <w:rPr>
                <w:i/>
              </w:rPr>
              <w:t>Specif</w:t>
            </w:r>
            <w:r>
              <w:rPr>
                <w:i/>
              </w:rPr>
              <w:t>ies that the RIPEMD-160 algorithm, as defined by ISO/IEC 10118-3:2004, shall be used.</w:t>
            </w:r>
          </w:p>
          <w:p w:rsidR="00024C0A" w:rsidRDefault="00694C0F">
            <w:pPr>
              <w:pStyle w:val="TableBodyText"/>
            </w:pPr>
            <w:r>
              <w:rPr>
                <w:b/>
                <w:i/>
              </w:rPr>
              <w:t>SHA-1</w:t>
            </w:r>
          </w:p>
          <w:p w:rsidR="00024C0A" w:rsidRDefault="00694C0F">
            <w:pPr>
              <w:pStyle w:val="TableBodyText"/>
            </w:pPr>
            <w:r>
              <w:rPr>
                <w:i/>
              </w:rPr>
              <w:t>Specifies that the SHA-1 algorithm, as defined by ISO/IEC 10118-3:2004, shall be used.</w:t>
            </w:r>
          </w:p>
          <w:p w:rsidR="00024C0A" w:rsidRDefault="00694C0F">
            <w:pPr>
              <w:pStyle w:val="TableBodyText"/>
            </w:pPr>
            <w:r>
              <w:rPr>
                <w:b/>
                <w:i/>
              </w:rPr>
              <w:t>SHA-256</w:t>
            </w:r>
          </w:p>
          <w:p w:rsidR="00024C0A" w:rsidRDefault="00694C0F">
            <w:pPr>
              <w:pStyle w:val="TableBodyText"/>
            </w:pPr>
            <w:r>
              <w:rPr>
                <w:i/>
              </w:rPr>
              <w:t>Specifies that the SHA-256 algorithm, as defined by ISO/IEC 10118-3:2</w:t>
            </w:r>
            <w:r>
              <w:rPr>
                <w:i/>
              </w:rPr>
              <w:t>004, shall be used.</w:t>
            </w:r>
          </w:p>
          <w:p w:rsidR="00024C0A" w:rsidRDefault="00694C0F">
            <w:pPr>
              <w:pStyle w:val="TableBodyText"/>
            </w:pPr>
            <w:r>
              <w:rPr>
                <w:b/>
                <w:i/>
              </w:rPr>
              <w:t>SHA-384</w:t>
            </w:r>
          </w:p>
          <w:p w:rsidR="00024C0A" w:rsidRDefault="00694C0F">
            <w:pPr>
              <w:pStyle w:val="TableBodyText"/>
            </w:pPr>
            <w:r>
              <w:rPr>
                <w:i/>
              </w:rPr>
              <w:t>Specifies that the SHA-384 algorithm, as defined by ISO/IEC 10118-3:2004, shall be used.</w:t>
            </w:r>
          </w:p>
          <w:p w:rsidR="00024C0A" w:rsidRDefault="00694C0F">
            <w:pPr>
              <w:pStyle w:val="TableBodyText"/>
            </w:pPr>
            <w:r>
              <w:rPr>
                <w:b/>
                <w:i/>
              </w:rPr>
              <w:t>SHA-512</w:t>
            </w:r>
          </w:p>
          <w:p w:rsidR="00024C0A" w:rsidRDefault="00694C0F">
            <w:pPr>
              <w:pStyle w:val="TableBodyText"/>
            </w:pPr>
            <w:r>
              <w:rPr>
                <w:i/>
              </w:rPr>
              <w:t>Specifies that the SHA-512 algorithm, as defined by ISO/IEC 10118-3:2004, shall be used.</w:t>
            </w:r>
          </w:p>
          <w:p w:rsidR="00024C0A" w:rsidRDefault="00694C0F">
            <w:pPr>
              <w:pStyle w:val="TableBodyText"/>
            </w:pPr>
            <w:r>
              <w:rPr>
                <w:b/>
                <w:i/>
              </w:rPr>
              <w:t>WHIRLPOOL</w:t>
            </w:r>
          </w:p>
          <w:p w:rsidR="00024C0A" w:rsidRDefault="00694C0F">
            <w:pPr>
              <w:pStyle w:val="TableBodyText"/>
            </w:pPr>
            <w:r>
              <w:rPr>
                <w:i/>
              </w:rPr>
              <w:t>Specifies that the WHIRLPOOL alg</w:t>
            </w:r>
            <w:r>
              <w:rPr>
                <w:i/>
              </w:rPr>
              <w:t>orithm, as defined by ISO/IEC 10118-3:2004, shall be used.</w:t>
            </w:r>
          </w:p>
          <w:p w:rsidR="00024C0A" w:rsidRDefault="00024C0A">
            <w:pPr>
              <w:pStyle w:val="TableBodyText"/>
            </w:pPr>
          </w:p>
          <w:p w:rsidR="00024C0A" w:rsidRDefault="00024C0A">
            <w:pPr>
              <w:pStyle w:val="TableBodyText"/>
            </w:pPr>
          </w:p>
        </w:tc>
      </w:tr>
      <w:tr w:rsidR="00024C0A" w:rsidTr="00024C0A">
        <w:tc>
          <w:tcPr>
            <w:tcW w:w="0" w:type="auto"/>
            <w:vAlign w:val="center"/>
          </w:tcPr>
          <w:p w:rsidR="00024C0A" w:rsidRDefault="00694C0F">
            <w:pPr>
              <w:pStyle w:val="TableBodyText"/>
            </w:pPr>
            <w:r>
              <w:rPr>
                <w:b/>
              </w:rPr>
              <w:lastRenderedPageBreak/>
              <w:t>hash Value</w:t>
            </w:r>
          </w:p>
        </w:tc>
        <w:tc>
          <w:tcPr>
            <w:tcW w:w="0" w:type="auto"/>
            <w:vAlign w:val="center"/>
          </w:tcPr>
          <w:p w:rsidR="00024C0A" w:rsidRDefault="00694C0F">
            <w:pPr>
              <w:pStyle w:val="TableBodyText"/>
            </w:pPr>
            <w:r>
              <w:t>Specifies the hash value for the password required to edit this worksheet. This value shall be compared with the resulting hash value after hashing the user-supplied password using th</w:t>
            </w:r>
            <w:r>
              <w:t>e algorithm specified by the preceding attributes and parent XML element. If the two values match, the protection shall no longer be enforced.</w:t>
            </w:r>
          </w:p>
          <w:p w:rsidR="00024C0A" w:rsidRDefault="00024C0A">
            <w:pPr>
              <w:pStyle w:val="TableBodyText"/>
            </w:pPr>
          </w:p>
          <w:p w:rsidR="00024C0A" w:rsidRDefault="00694C0F">
            <w:pPr>
              <w:pStyle w:val="TableBodyText"/>
            </w:pPr>
            <w:r>
              <w:t>If this value is omitted, then the reservationPassword attribute shall contain the password hash for the workboo</w:t>
            </w:r>
            <w:r>
              <w:t>k.</w:t>
            </w:r>
          </w:p>
          <w:p w:rsidR="00024C0A" w:rsidRDefault="00024C0A">
            <w:pPr>
              <w:pStyle w:val="TableBodyText"/>
            </w:pPr>
          </w:p>
          <w:p w:rsidR="00024C0A" w:rsidRDefault="00694C0F">
            <w:pPr>
              <w:pStyle w:val="TableBodyText"/>
            </w:pPr>
            <w:r>
              <w:t>[</w:t>
            </w:r>
            <w:r>
              <w:rPr>
                <w:i/>
              </w:rPr>
              <w:t>Example</w:t>
            </w:r>
            <w:r>
              <w:t>: Consider an Office Open XML document with the following information stored in one of its protection elements:</w:t>
            </w:r>
          </w:p>
          <w:p w:rsidR="00024C0A" w:rsidRDefault="00024C0A">
            <w:pPr>
              <w:pStyle w:val="TableBodyText"/>
            </w:pPr>
          </w:p>
          <w:p w:rsidR="00024C0A" w:rsidRDefault="00694C0F">
            <w:pPr>
              <w:pStyle w:val="TableBodyText"/>
            </w:pPr>
            <w:r>
              <w:t>&lt;… algorithmName="SHA-1" hashValue="9oN7nWkCAyEZib1RomSJTjmPpCY=" /&gt;</w:t>
            </w:r>
          </w:p>
          <w:p w:rsidR="00024C0A" w:rsidRDefault="00024C0A">
            <w:pPr>
              <w:pStyle w:val="TableBodyText"/>
            </w:pPr>
          </w:p>
          <w:p w:rsidR="00024C0A" w:rsidRDefault="00694C0F">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024C0A" w:rsidRDefault="00694C0F">
            <w:pPr>
              <w:pStyle w:val="TableBodyText"/>
            </w:pPr>
            <w:r>
              <w:rPr>
                <w:i/>
              </w:rPr>
              <w:t>end example</w:t>
            </w:r>
            <w:r>
              <w:t>]</w:t>
            </w:r>
          </w:p>
          <w:p w:rsidR="00024C0A" w:rsidRDefault="00024C0A">
            <w:pPr>
              <w:pStyle w:val="TableBodyText"/>
            </w:pPr>
          </w:p>
          <w:p w:rsidR="00024C0A" w:rsidRDefault="00694C0F">
            <w:pPr>
              <w:pStyle w:val="TableBodyText"/>
            </w:pPr>
            <w:r>
              <w:t>The possible values for this attribute are defined by the W3C XML Schema base64Binary datatype.</w:t>
            </w:r>
          </w:p>
        </w:tc>
      </w:tr>
      <w:tr w:rsidR="00024C0A" w:rsidTr="00024C0A">
        <w:tc>
          <w:tcPr>
            <w:tcW w:w="0" w:type="auto"/>
            <w:vAlign w:val="center"/>
          </w:tcPr>
          <w:p w:rsidR="00024C0A" w:rsidRDefault="00694C0F">
            <w:pPr>
              <w:pStyle w:val="TableBodyText"/>
            </w:pPr>
            <w:r>
              <w:rPr>
                <w:b/>
              </w:rPr>
              <w:t>saltValue</w:t>
            </w:r>
          </w:p>
        </w:tc>
        <w:tc>
          <w:tcPr>
            <w:tcW w:w="0" w:type="auto"/>
            <w:vAlign w:val="center"/>
          </w:tcPr>
          <w:p w:rsidR="00024C0A" w:rsidRDefault="00694C0F">
            <w:pPr>
              <w:pStyle w:val="TableBodyText"/>
            </w:pPr>
            <w:r>
              <w:t>Specifies the random bytes that are pre-</w:t>
            </w:r>
            <w:r>
              <w:t>pended to the user-supplied password before it was hashed by the hashing algorithm.</w:t>
            </w:r>
          </w:p>
        </w:tc>
      </w:tr>
      <w:tr w:rsidR="00024C0A" w:rsidTr="00024C0A">
        <w:tc>
          <w:tcPr>
            <w:tcW w:w="0" w:type="auto"/>
            <w:vAlign w:val="center"/>
          </w:tcPr>
          <w:p w:rsidR="00024C0A" w:rsidRDefault="00694C0F">
            <w:pPr>
              <w:pStyle w:val="TableBodyText"/>
            </w:pPr>
            <w:r>
              <w:rPr>
                <w:b/>
              </w:rPr>
              <w:t>spinCount</w:t>
            </w:r>
          </w:p>
        </w:tc>
        <w:tc>
          <w:tcPr>
            <w:tcW w:w="0" w:type="auto"/>
            <w:vAlign w:val="center"/>
          </w:tcPr>
          <w:p w:rsidR="00024C0A" w:rsidRDefault="00694C0F">
            <w:pPr>
              <w:pStyle w:val="TableBodyText"/>
            </w:pPr>
            <w:r>
              <w:t>Specifies the number of times the hashing function shall be iteratively run (using each iteration's result as the input for the next iteration).</w:t>
            </w:r>
          </w:p>
        </w:tc>
      </w:tr>
    </w:tbl>
    <w:p w:rsidR="00024C0A" w:rsidRDefault="00024C0A"/>
    <w:p w:rsidR="00024C0A" w:rsidRDefault="00694C0F">
      <w:r>
        <w:t xml:space="preserve">[Example: </w:t>
      </w:r>
    </w:p>
    <w:p w:rsidR="00024C0A" w:rsidRDefault="00694C0F">
      <w:r>
        <w:lastRenderedPageBreak/>
        <w:t>Con</w:t>
      </w:r>
      <w:r>
        <w:t>sider an Office Open XML document with the following information stored in one of its protection elements:</w:t>
      </w:r>
    </w:p>
    <w:p w:rsidR="00024C0A" w:rsidRDefault="00694C0F">
      <w:r>
        <w:t>&lt; … algorithmName="SHA-1" hashValue="9oN7nWkCAyEZib1RomSJTjmPpCY=" /&gt;</w:t>
      </w:r>
    </w:p>
    <w:p w:rsidR="00024C0A" w:rsidRDefault="00694C0F">
      <w:r>
        <w:t>The algorithmName attribute value of SHA-1 specifies that the SHA-1 hashing alg</w:t>
      </w:r>
      <w:r>
        <w:t>orithm must be used to generate a hash from the user-defined password.</w:t>
      </w:r>
    </w:p>
    <w:p w:rsidR="00024C0A" w:rsidRDefault="00694C0F">
      <w:r>
        <w:t>end example]</w:t>
      </w:r>
    </w:p>
    <w:p w:rsidR="00024C0A" w:rsidRDefault="00694C0F">
      <w:pPr>
        <w:pStyle w:val="Heading3"/>
      </w:pPr>
      <w:bookmarkStart w:id="1321" w:name="section_15197a0226f74a37ab9c7de4d4894ea5"/>
      <w:bookmarkStart w:id="1322" w:name="_Toc12260721"/>
      <w:r>
        <w:t>Part 1 Section 18.3.1.85, sheetProtection (Sheet Protection Options)</w:t>
      </w:r>
      <w:bookmarkEnd w:id="1321"/>
      <w:bookmarkEnd w:id="1322"/>
      <w:r>
        <w:fldChar w:fldCharType="begin"/>
      </w:r>
      <w:r>
        <w:instrText xml:space="preserve"> XE "sheetProtection (Sheet Protection Options)" </w:instrText>
      </w:r>
      <w:r>
        <w:fldChar w:fldCharType="end"/>
      </w:r>
    </w:p>
    <w:p w:rsidR="00024C0A" w:rsidRDefault="00694C0F">
      <w:pPr>
        <w:pStyle w:val="Definition-Field"/>
      </w:pPr>
      <w:r>
        <w:t xml:space="preserve">a.   </w:t>
      </w:r>
      <w:r>
        <w:rPr>
          <w:i/>
        </w:rPr>
        <w:t xml:space="preserve">The standard does not specify any restrictions </w:t>
      </w:r>
      <w:r>
        <w:rPr>
          <w:i/>
        </w:rPr>
        <w:t>for a dialogsheet parent element.</w:t>
      </w:r>
    </w:p>
    <w:p w:rsidR="00024C0A" w:rsidRDefault="00694C0F">
      <w:r>
        <w:t xml:space="preserve">For a </w:t>
      </w:r>
      <w:r>
        <w:rPr>
          <w:b/>
        </w:rPr>
        <w:t>dialogsheet</w:t>
      </w:r>
      <w:r>
        <w:t xml:space="preserve"> parent element, Office requires that the dialog sheet is protected when the attributes </w:t>
      </w:r>
      <w:r>
        <w:rPr>
          <w:b/>
        </w:rPr>
        <w:t>objects</w:t>
      </w:r>
      <w:r>
        <w:t xml:space="preserve"> and </w:t>
      </w:r>
      <w:r>
        <w:rPr>
          <w:b/>
        </w:rPr>
        <w:t>scenarios</w:t>
      </w:r>
      <w:r>
        <w:t xml:space="preserve"> are </w:t>
      </w:r>
      <w:r>
        <w:rPr>
          <w:i/>
        </w:rPr>
        <w:t>true</w:t>
      </w:r>
      <w:r>
        <w:t xml:space="preserve">. The dialog sheet should not be protected when the attributes </w:t>
      </w:r>
      <w:r>
        <w:rPr>
          <w:b/>
        </w:rPr>
        <w:t>objects</w:t>
      </w:r>
      <w:r>
        <w:t xml:space="preserve"> and </w:t>
      </w:r>
      <w:r>
        <w:rPr>
          <w:b/>
        </w:rPr>
        <w:t>scenarios</w:t>
      </w:r>
      <w:r>
        <w:t xml:space="preserve"> are </w:t>
      </w:r>
      <w:r>
        <w:rPr>
          <w:i/>
        </w:rPr>
        <w:t>false</w:t>
      </w:r>
      <w:r>
        <w:t xml:space="preserve">. No other values are allowed. In addition, the </w:t>
      </w:r>
      <w:r>
        <w:rPr>
          <w:b/>
        </w:rPr>
        <w:t>sheet</w:t>
      </w:r>
      <w:r>
        <w:t xml:space="preserve"> attribute is always </w:t>
      </w:r>
      <w:r>
        <w:rPr>
          <w:i/>
        </w:rPr>
        <w:t>true</w:t>
      </w:r>
      <w:r>
        <w:t xml:space="preserve"> and all other attributes are their default value.</w:t>
      </w:r>
    </w:p>
    <w:p w:rsidR="00024C0A" w:rsidRDefault="00694C0F">
      <w:pPr>
        <w:pStyle w:val="Definition-Field"/>
      </w:pPr>
      <w:r>
        <w:t xml:space="preserve">b.   </w:t>
      </w:r>
      <w:r>
        <w:rPr>
          <w:i/>
        </w:rPr>
        <w:t>The standard states that this setting uses a specific Password attribute to store the password hash.</w:t>
      </w:r>
    </w:p>
    <w:p w:rsidR="00024C0A" w:rsidRDefault="00694C0F">
      <w:r>
        <w:t xml:space="preserve">In Office, </w:t>
      </w:r>
      <w:r>
        <w:t>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Name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algorithm Name</w:t>
            </w:r>
          </w:p>
        </w:tc>
        <w:tc>
          <w:tcPr>
            <w:tcW w:w="0" w:type="auto"/>
            <w:vAlign w:val="center"/>
          </w:tcPr>
          <w:p w:rsidR="00024C0A" w:rsidRDefault="00694C0F">
            <w:pPr>
              <w:pStyle w:val="TableBodyText"/>
            </w:pPr>
            <w:r>
              <w:t>The name of</w:t>
            </w:r>
            <w:r>
              <w:t xml:space="preserve"> the cryptographic hashing algorithm used to generate the hash value. Only those algorithms that are installed in the operating system’s cryptographic subsystem can be utilized by Office.</w:t>
            </w:r>
          </w:p>
          <w:p w:rsidR="00024C0A" w:rsidRDefault="00024C0A">
            <w:pPr>
              <w:pStyle w:val="TableBodyText"/>
            </w:pPr>
          </w:p>
          <w:p w:rsidR="00024C0A" w:rsidRDefault="00694C0F">
            <w:pPr>
              <w:pStyle w:val="TableBodyText"/>
            </w:pPr>
            <w:r>
              <w:t>The hash algorithm names, described in the following table, are res</w:t>
            </w:r>
            <w:r>
              <w:t>erved.</w:t>
            </w:r>
          </w:p>
          <w:p w:rsidR="00024C0A" w:rsidRDefault="00024C0A">
            <w:pPr>
              <w:pStyle w:val="TableBodyText"/>
            </w:pPr>
          </w:p>
          <w:p w:rsidR="00024C0A" w:rsidRDefault="00694C0F">
            <w:pPr>
              <w:pStyle w:val="TableBodyText"/>
            </w:pPr>
            <w:r>
              <w:rPr>
                <w:b/>
                <w:i/>
              </w:rPr>
              <w:t xml:space="preserve">MD2 </w:t>
            </w:r>
          </w:p>
          <w:p w:rsidR="00024C0A" w:rsidRDefault="00694C0F">
            <w:pPr>
              <w:pStyle w:val="TableBodyText"/>
            </w:pPr>
            <w:r>
              <w:rPr>
                <w:i/>
              </w:rPr>
              <w:t>Specifies that the MD2 algorithm, as defined by RFC 1319, shall be used.</w:t>
            </w:r>
          </w:p>
          <w:p w:rsidR="00024C0A" w:rsidRDefault="00024C0A">
            <w:pPr>
              <w:pStyle w:val="TableBodyText"/>
            </w:pPr>
          </w:p>
          <w:p w:rsidR="00024C0A" w:rsidRDefault="00694C0F">
            <w:pPr>
              <w:pStyle w:val="TableBodyText"/>
            </w:pPr>
            <w:r>
              <w:rPr>
                <w:i/>
              </w:rPr>
              <w:t>[Note: It is recommended that applications should avoid using this algorithm to store new hash values, because of publicly known breaks. end note]</w:t>
            </w:r>
          </w:p>
          <w:p w:rsidR="00024C0A" w:rsidRDefault="00694C0F">
            <w:pPr>
              <w:pStyle w:val="TableBodyText"/>
            </w:pPr>
            <w:r>
              <w:rPr>
                <w:b/>
                <w:i/>
              </w:rPr>
              <w:t xml:space="preserve">MD4 </w:t>
            </w:r>
          </w:p>
          <w:p w:rsidR="00024C0A" w:rsidRDefault="00694C0F">
            <w:pPr>
              <w:pStyle w:val="TableBodyText"/>
            </w:pPr>
            <w:r>
              <w:rPr>
                <w:i/>
              </w:rPr>
              <w:t>Specifies that th</w:t>
            </w:r>
            <w:r>
              <w:rPr>
                <w:i/>
              </w:rPr>
              <w:t>e MD4 algorithm, as defined by RFC 1320, shall be used.</w:t>
            </w:r>
          </w:p>
          <w:p w:rsidR="00024C0A" w:rsidRDefault="00024C0A">
            <w:pPr>
              <w:pStyle w:val="TableBodyText"/>
            </w:pPr>
          </w:p>
          <w:p w:rsidR="00024C0A" w:rsidRDefault="00694C0F">
            <w:pPr>
              <w:pStyle w:val="TableBodyText"/>
            </w:pPr>
            <w:r>
              <w:rPr>
                <w:i/>
              </w:rPr>
              <w:t>[Note: It is recommended that applications should avoid using this algorithm to store new hash values, because of publicly known breaks. end note]</w:t>
            </w:r>
          </w:p>
          <w:p w:rsidR="00024C0A" w:rsidRDefault="00694C0F">
            <w:pPr>
              <w:pStyle w:val="TableBodyText"/>
            </w:pPr>
            <w:r>
              <w:rPr>
                <w:b/>
                <w:i/>
              </w:rPr>
              <w:t>MD5</w:t>
            </w:r>
          </w:p>
          <w:p w:rsidR="00024C0A" w:rsidRDefault="00694C0F">
            <w:pPr>
              <w:pStyle w:val="TableBodyText"/>
            </w:pPr>
            <w:r>
              <w:rPr>
                <w:i/>
              </w:rPr>
              <w:t xml:space="preserve">Specifies that the MD5 algorithm, as defined by </w:t>
            </w:r>
            <w:r>
              <w:rPr>
                <w:i/>
              </w:rPr>
              <w:t>RFC 1321, shall be used.</w:t>
            </w:r>
          </w:p>
          <w:p w:rsidR="00024C0A" w:rsidRDefault="00024C0A">
            <w:pPr>
              <w:pStyle w:val="TableBodyText"/>
            </w:pPr>
          </w:p>
          <w:p w:rsidR="00024C0A" w:rsidRDefault="00694C0F">
            <w:pPr>
              <w:pStyle w:val="TableBodyText"/>
            </w:pPr>
            <w:r>
              <w:rPr>
                <w:i/>
              </w:rPr>
              <w:t>[Note: It is recommended that applications should avoid using this algorithm to store new hash values, because of publicly known breaks. end note]</w:t>
            </w:r>
          </w:p>
          <w:p w:rsidR="00024C0A" w:rsidRDefault="00694C0F">
            <w:pPr>
              <w:pStyle w:val="TableBodyText"/>
            </w:pPr>
            <w:r>
              <w:rPr>
                <w:b/>
                <w:i/>
              </w:rPr>
              <w:t>RIPEMD-128</w:t>
            </w:r>
          </w:p>
          <w:p w:rsidR="00024C0A" w:rsidRDefault="00694C0F">
            <w:pPr>
              <w:pStyle w:val="TableBodyText"/>
            </w:pPr>
            <w:r>
              <w:rPr>
                <w:i/>
              </w:rPr>
              <w:t xml:space="preserve">Specifies that the RIPEMD-128 algorithm, as defined by ISO/IEC </w:t>
            </w:r>
            <w:r>
              <w:rPr>
                <w:i/>
              </w:rPr>
              <w:t>10118-3:2004 shall be used.</w:t>
            </w:r>
          </w:p>
          <w:p w:rsidR="00024C0A" w:rsidRDefault="00024C0A">
            <w:pPr>
              <w:pStyle w:val="TableBodyText"/>
            </w:pPr>
          </w:p>
          <w:p w:rsidR="00024C0A" w:rsidRDefault="00694C0F">
            <w:pPr>
              <w:pStyle w:val="TableBodyText"/>
            </w:pPr>
            <w:r>
              <w:rPr>
                <w:i/>
              </w:rPr>
              <w:t>[Note: It is recommended that applications should avoid using this algorithm to store new hash values, because of publicly known breaks. end note]</w:t>
            </w:r>
          </w:p>
          <w:p w:rsidR="00024C0A" w:rsidRDefault="00694C0F">
            <w:pPr>
              <w:pStyle w:val="TableBodyText"/>
            </w:pPr>
            <w:r>
              <w:rPr>
                <w:b/>
                <w:i/>
              </w:rPr>
              <w:lastRenderedPageBreak/>
              <w:t>RIPEMD-160</w:t>
            </w:r>
          </w:p>
          <w:p w:rsidR="00024C0A" w:rsidRDefault="00694C0F">
            <w:pPr>
              <w:pStyle w:val="TableBodyText"/>
            </w:pPr>
            <w:r>
              <w:rPr>
                <w:i/>
              </w:rPr>
              <w:t>Specifies that the RIPEMD-160 algorithm, as defined by ISO/IEC 10118-</w:t>
            </w:r>
            <w:r>
              <w:rPr>
                <w:i/>
              </w:rPr>
              <w:t>3:2004, shall be used.</w:t>
            </w:r>
          </w:p>
          <w:p w:rsidR="00024C0A" w:rsidRDefault="00694C0F">
            <w:pPr>
              <w:pStyle w:val="TableBodyText"/>
            </w:pPr>
            <w:r>
              <w:rPr>
                <w:b/>
                <w:i/>
              </w:rPr>
              <w:t>SHA-1</w:t>
            </w:r>
          </w:p>
          <w:p w:rsidR="00024C0A" w:rsidRDefault="00694C0F">
            <w:pPr>
              <w:pStyle w:val="TableBodyText"/>
            </w:pPr>
            <w:r>
              <w:rPr>
                <w:i/>
              </w:rPr>
              <w:t>Specifies that the SHA-1 algorithm, as defined by ISO/IEC 10118-3:2004, shall be used.</w:t>
            </w:r>
          </w:p>
          <w:p w:rsidR="00024C0A" w:rsidRDefault="00694C0F">
            <w:pPr>
              <w:pStyle w:val="TableBodyText"/>
            </w:pPr>
            <w:r>
              <w:rPr>
                <w:b/>
                <w:i/>
              </w:rPr>
              <w:t>SHA-256</w:t>
            </w:r>
          </w:p>
          <w:p w:rsidR="00024C0A" w:rsidRDefault="00694C0F">
            <w:pPr>
              <w:pStyle w:val="TableBodyText"/>
            </w:pPr>
            <w:r>
              <w:rPr>
                <w:i/>
              </w:rPr>
              <w:t>Specifies that the SHA-256 algorithm, as defined by ISO/IEC 10118-3:2004, shall be used.</w:t>
            </w:r>
          </w:p>
          <w:p w:rsidR="00024C0A" w:rsidRDefault="00694C0F">
            <w:pPr>
              <w:pStyle w:val="TableBodyText"/>
            </w:pPr>
            <w:r>
              <w:rPr>
                <w:b/>
                <w:i/>
              </w:rPr>
              <w:t>SHA-384</w:t>
            </w:r>
          </w:p>
          <w:p w:rsidR="00024C0A" w:rsidRDefault="00694C0F">
            <w:pPr>
              <w:pStyle w:val="TableBodyText"/>
            </w:pPr>
            <w:r>
              <w:rPr>
                <w:i/>
              </w:rPr>
              <w:t>Specifies that the SHA-384 algorith</w:t>
            </w:r>
            <w:r>
              <w:rPr>
                <w:i/>
              </w:rPr>
              <w:t>m, as defined by ISO/IEC 10118-3:2004, shall be used.</w:t>
            </w:r>
          </w:p>
          <w:p w:rsidR="00024C0A" w:rsidRDefault="00694C0F">
            <w:pPr>
              <w:pStyle w:val="TableBodyText"/>
            </w:pPr>
            <w:r>
              <w:rPr>
                <w:b/>
                <w:i/>
              </w:rPr>
              <w:t>SHA-512</w:t>
            </w:r>
          </w:p>
          <w:p w:rsidR="00024C0A" w:rsidRDefault="00694C0F">
            <w:pPr>
              <w:pStyle w:val="TableBodyText"/>
            </w:pPr>
            <w:r>
              <w:rPr>
                <w:i/>
              </w:rPr>
              <w:t>Specifies that the SHA-512 algorithm, as defined by ISO/IEC 10118-3:2004, shall be used.</w:t>
            </w:r>
          </w:p>
          <w:p w:rsidR="00024C0A" w:rsidRDefault="00694C0F">
            <w:pPr>
              <w:pStyle w:val="TableBodyText"/>
            </w:pPr>
            <w:r>
              <w:rPr>
                <w:b/>
                <w:i/>
              </w:rPr>
              <w:t>WHIRLPOOL</w:t>
            </w:r>
          </w:p>
          <w:p w:rsidR="00024C0A" w:rsidRDefault="00694C0F">
            <w:pPr>
              <w:pStyle w:val="TableBodyText"/>
            </w:pPr>
            <w:r>
              <w:rPr>
                <w:i/>
              </w:rPr>
              <w:t>Specifies that the WHIRLPOOL algorithm, as defined by ISO/IEC 10118-3:2004, shall be used.</w:t>
            </w:r>
          </w:p>
          <w:p w:rsidR="00024C0A" w:rsidRDefault="00024C0A">
            <w:pPr>
              <w:pStyle w:val="TableBodyText"/>
            </w:pPr>
          </w:p>
          <w:p w:rsidR="00024C0A" w:rsidRDefault="00024C0A">
            <w:pPr>
              <w:pStyle w:val="TableBodyText"/>
            </w:pPr>
          </w:p>
        </w:tc>
      </w:tr>
      <w:tr w:rsidR="00024C0A" w:rsidTr="00024C0A">
        <w:tc>
          <w:tcPr>
            <w:tcW w:w="0" w:type="auto"/>
            <w:vAlign w:val="center"/>
          </w:tcPr>
          <w:p w:rsidR="00024C0A" w:rsidRDefault="00694C0F">
            <w:pPr>
              <w:pStyle w:val="TableBodyText"/>
            </w:pPr>
            <w:r>
              <w:rPr>
                <w:b/>
              </w:rPr>
              <w:lastRenderedPageBreak/>
              <w:t>h</w:t>
            </w:r>
            <w:r>
              <w:rPr>
                <w:b/>
              </w:rPr>
              <w:t>ash Value</w:t>
            </w:r>
          </w:p>
        </w:tc>
        <w:tc>
          <w:tcPr>
            <w:tcW w:w="0" w:type="auto"/>
            <w:vAlign w:val="center"/>
          </w:tcPr>
          <w:p w:rsidR="00024C0A" w:rsidRDefault="00694C0F">
            <w:pPr>
              <w:pStyle w:val="TableBodyText"/>
            </w:pPr>
            <w:r>
              <w:t>Specifies the hash value for the password required to edit this worksheet. This value shall be compared with the resulting hash value after hashing the user-supplied password using the algorithm specified by the preceding attributes and parent XM</w:t>
            </w:r>
            <w:r>
              <w:t>L element. If the two values match, the protection shall no longer be enforced.</w:t>
            </w:r>
          </w:p>
          <w:p w:rsidR="00024C0A" w:rsidRDefault="00024C0A">
            <w:pPr>
              <w:pStyle w:val="TableBodyText"/>
            </w:pPr>
          </w:p>
          <w:p w:rsidR="00024C0A" w:rsidRDefault="00694C0F">
            <w:pPr>
              <w:pStyle w:val="TableBodyText"/>
            </w:pPr>
            <w:r>
              <w:t>If this value is omitted, then the reservationPassword attribute shall contain the password hash for the workbook.</w:t>
            </w:r>
          </w:p>
          <w:p w:rsidR="00024C0A" w:rsidRDefault="00024C0A">
            <w:pPr>
              <w:pStyle w:val="TableBodyText"/>
            </w:pPr>
          </w:p>
          <w:p w:rsidR="00024C0A" w:rsidRDefault="00694C0F">
            <w:pPr>
              <w:pStyle w:val="TableBodyText"/>
            </w:pPr>
            <w:r>
              <w:t>[</w:t>
            </w:r>
            <w:r>
              <w:rPr>
                <w:i/>
              </w:rPr>
              <w:t>Example</w:t>
            </w:r>
            <w:r>
              <w:t xml:space="preserve">: Consider an Office Open XML document with the </w:t>
            </w:r>
            <w:r>
              <w:t>following information stored in one of its protection elements:</w:t>
            </w:r>
          </w:p>
          <w:p w:rsidR="00024C0A" w:rsidRDefault="00024C0A">
            <w:pPr>
              <w:pStyle w:val="TableBodyText"/>
            </w:pPr>
          </w:p>
          <w:p w:rsidR="00024C0A" w:rsidRDefault="00694C0F">
            <w:pPr>
              <w:pStyle w:val="TableBodyText"/>
            </w:pPr>
            <w:r>
              <w:t>&lt;… algorithmName="SHA-1" hashValue="9oN7nWkCAyEZib1RomSJTjmPpCY=" /&gt;</w:t>
            </w:r>
          </w:p>
          <w:p w:rsidR="00024C0A" w:rsidRDefault="00024C0A">
            <w:pPr>
              <w:pStyle w:val="TableBodyText"/>
            </w:pPr>
          </w:p>
          <w:p w:rsidR="00024C0A" w:rsidRDefault="00694C0F">
            <w:pPr>
              <w:pStyle w:val="TableBodyText"/>
            </w:pPr>
            <w:r>
              <w:t>The hashValue attribute value of 9oN7nWkCAyEZib1RomSJTjmPpCY= specifies that the user-supplied password must be hashed us</w:t>
            </w:r>
            <w:r>
              <w:t xml:space="preserve">ing the pre-processing defined by the parent element (if any) followed by the hashing algorithm (specified via the algorithmName attribute value) and that the resulting hash value must be match for the protection to be disabled. </w:t>
            </w:r>
          </w:p>
          <w:p w:rsidR="00024C0A" w:rsidRDefault="00694C0F">
            <w:pPr>
              <w:pStyle w:val="TableBodyText"/>
            </w:pPr>
            <w:r>
              <w:rPr>
                <w:i/>
              </w:rPr>
              <w:t>end example</w:t>
            </w:r>
            <w:r>
              <w:t>]</w:t>
            </w:r>
          </w:p>
          <w:p w:rsidR="00024C0A" w:rsidRDefault="00024C0A">
            <w:pPr>
              <w:pStyle w:val="TableBodyText"/>
            </w:pPr>
          </w:p>
          <w:p w:rsidR="00024C0A" w:rsidRDefault="00694C0F">
            <w:pPr>
              <w:pStyle w:val="TableBodyText"/>
            </w:pPr>
            <w:r>
              <w:t>The possible</w:t>
            </w:r>
            <w:r>
              <w:t xml:space="preserve"> values for this attribute are defined by the W3C XML Schema base64Binary datatype.</w:t>
            </w:r>
          </w:p>
        </w:tc>
      </w:tr>
      <w:tr w:rsidR="00024C0A" w:rsidTr="00024C0A">
        <w:tc>
          <w:tcPr>
            <w:tcW w:w="0" w:type="auto"/>
            <w:vAlign w:val="center"/>
          </w:tcPr>
          <w:p w:rsidR="00024C0A" w:rsidRDefault="00694C0F">
            <w:pPr>
              <w:pStyle w:val="TableBodyText"/>
            </w:pPr>
            <w:r>
              <w:rPr>
                <w:b/>
              </w:rPr>
              <w:t>saltValue</w:t>
            </w:r>
          </w:p>
        </w:tc>
        <w:tc>
          <w:tcPr>
            <w:tcW w:w="0" w:type="auto"/>
            <w:vAlign w:val="center"/>
          </w:tcPr>
          <w:p w:rsidR="00024C0A" w:rsidRDefault="00694C0F">
            <w:pPr>
              <w:pStyle w:val="TableBodyText"/>
            </w:pPr>
            <w:r>
              <w:t>Specifies the random bytes that are pre-pended to the user-supplied password before it was hashed by the hashing algorithm.</w:t>
            </w:r>
          </w:p>
        </w:tc>
      </w:tr>
      <w:tr w:rsidR="00024C0A" w:rsidTr="00024C0A">
        <w:tc>
          <w:tcPr>
            <w:tcW w:w="0" w:type="auto"/>
            <w:vAlign w:val="center"/>
          </w:tcPr>
          <w:p w:rsidR="00024C0A" w:rsidRDefault="00694C0F">
            <w:pPr>
              <w:pStyle w:val="TableBodyText"/>
            </w:pPr>
            <w:r>
              <w:rPr>
                <w:b/>
              </w:rPr>
              <w:t>spinCount</w:t>
            </w:r>
          </w:p>
        </w:tc>
        <w:tc>
          <w:tcPr>
            <w:tcW w:w="0" w:type="auto"/>
            <w:vAlign w:val="center"/>
          </w:tcPr>
          <w:p w:rsidR="00024C0A" w:rsidRDefault="00694C0F">
            <w:pPr>
              <w:pStyle w:val="TableBodyText"/>
            </w:pPr>
            <w:r>
              <w:t>Specifies the number of ti</w:t>
            </w:r>
            <w:r>
              <w:t>mes the hashing function shall be iteratively run (using each iteration's result as the input for the next iteration).</w:t>
            </w:r>
          </w:p>
        </w:tc>
      </w:tr>
    </w:tbl>
    <w:p w:rsidR="00024C0A" w:rsidRDefault="00024C0A"/>
    <w:p w:rsidR="00024C0A" w:rsidRDefault="00694C0F">
      <w:r>
        <w:t xml:space="preserve">[Example: </w:t>
      </w:r>
    </w:p>
    <w:p w:rsidR="00024C0A" w:rsidRDefault="00694C0F">
      <w:r>
        <w:t>Consider an Office Open XML document with the following information stored in one of its protection elements:</w:t>
      </w:r>
    </w:p>
    <w:p w:rsidR="00024C0A" w:rsidRDefault="00694C0F">
      <w:r>
        <w:t>&lt; … algorithmN</w:t>
      </w:r>
      <w:r>
        <w:t>ame="SHA-1" hashValue="9oN7nWkCAyEZib1RomSJTjmPpCY=" /&gt;</w:t>
      </w:r>
    </w:p>
    <w:p w:rsidR="00024C0A" w:rsidRDefault="00694C0F">
      <w:r>
        <w:t>The algorithmName attribute value of SHA-1 specifies that the SHA-1 hashing algorithm must be used to generate a hash from the user-defined password.</w:t>
      </w:r>
    </w:p>
    <w:p w:rsidR="00024C0A" w:rsidRDefault="00694C0F">
      <w:r>
        <w:t>end example]</w:t>
      </w:r>
    </w:p>
    <w:p w:rsidR="00024C0A" w:rsidRDefault="00694C0F">
      <w:pPr>
        <w:pStyle w:val="Heading3"/>
      </w:pPr>
      <w:bookmarkStart w:id="1323" w:name="section_f68f7a75f8714844974dd2cc226334e8"/>
      <w:bookmarkStart w:id="1324" w:name="_Toc12260722"/>
      <w:r>
        <w:lastRenderedPageBreak/>
        <w:t>Part 1 Section 18.3.1.87, sheetView (</w:t>
      </w:r>
      <w:r>
        <w:t>Worksheet View)</w:t>
      </w:r>
      <w:bookmarkEnd w:id="1323"/>
      <w:bookmarkEnd w:id="1324"/>
      <w:r>
        <w:fldChar w:fldCharType="begin"/>
      </w:r>
      <w:r>
        <w:instrText xml:space="preserve"> XE "sheetView (Worksheet View)" </w:instrText>
      </w:r>
      <w:r>
        <w:fldChar w:fldCharType="end"/>
      </w:r>
    </w:p>
    <w:p w:rsidR="00024C0A" w:rsidRDefault="00694C0F">
      <w:pPr>
        <w:pStyle w:val="Definition-Field"/>
      </w:pPr>
      <w:r>
        <w:t xml:space="preserve">a.   </w:t>
      </w:r>
      <w:r>
        <w:rPr>
          <w:i/>
        </w:rPr>
        <w:t>The standard states that the values of the colorId attribute are defined by the XML Schema unsignedInt datatype.</w:t>
      </w:r>
    </w:p>
    <w:p w:rsidR="00024C0A" w:rsidRDefault="00694C0F">
      <w:pPr>
        <w:pStyle w:val="Definition-Field2"/>
      </w:pPr>
      <w:r>
        <w:t xml:space="preserve">Office restricts the colorId attribute value to an unsignedInt less than or equal to </w:t>
      </w:r>
      <w:r>
        <w:t>64.</w:t>
      </w:r>
    </w:p>
    <w:p w:rsidR="00024C0A" w:rsidRDefault="00694C0F">
      <w:pPr>
        <w:pStyle w:val="Definition-Field"/>
      </w:pPr>
      <w:r>
        <w:t xml:space="preserve">b.   </w:t>
      </w:r>
      <w:r>
        <w:rPr>
          <w:i/>
        </w:rPr>
        <w:t>The standard specifies that the @colorId defines the color value for text in row/column headings and gridlines in the view.</w:t>
      </w:r>
    </w:p>
    <w:p w:rsidR="00024C0A" w:rsidRDefault="00694C0F">
      <w:pPr>
        <w:pStyle w:val="Definition-Field2"/>
      </w:pPr>
      <w:r>
        <w:t>Office uses the @colorId to define the color value only for gridlines in the view.</w:t>
      </w:r>
    </w:p>
    <w:p w:rsidR="00024C0A" w:rsidRDefault="00694C0F">
      <w:pPr>
        <w:pStyle w:val="Heading3"/>
      </w:pPr>
      <w:bookmarkStart w:id="1325" w:name="section_81d680f217234cffb82b64b52efd2b72"/>
      <w:bookmarkStart w:id="1326" w:name="_Toc12260723"/>
      <w:r>
        <w:t>Part 1 Section 18.3.1.88, sheetViews (Sh</w:t>
      </w:r>
      <w:r>
        <w:t>eet Views)</w:t>
      </w:r>
      <w:bookmarkEnd w:id="1325"/>
      <w:bookmarkEnd w:id="1326"/>
      <w:r>
        <w:fldChar w:fldCharType="begin"/>
      </w:r>
      <w:r>
        <w:instrText xml:space="preserve"> XE "sheetViews (Sheet Views)" </w:instrText>
      </w:r>
      <w:r>
        <w:fldChar w:fldCharType="end"/>
      </w:r>
    </w:p>
    <w:p w:rsidR="00024C0A" w:rsidRDefault="00694C0F">
      <w:pPr>
        <w:pStyle w:val="Definition-Field"/>
      </w:pPr>
      <w:r>
        <w:t xml:space="preserve">a.   </w:t>
      </w:r>
      <w:r>
        <w:rPr>
          <w:i/>
        </w:rPr>
        <w:t>The standard states that the maxOccurs value for the sheetView child element is unbounded.</w:t>
      </w:r>
    </w:p>
    <w:p w:rsidR="00024C0A" w:rsidRDefault="00694C0F">
      <w:pPr>
        <w:pStyle w:val="Definition-Field2"/>
      </w:pPr>
      <w:r>
        <w:t>Excel limits the occurrences of this element to 2147483647.</w:t>
      </w:r>
    </w:p>
    <w:p w:rsidR="00024C0A" w:rsidRDefault="00694C0F">
      <w:pPr>
        <w:pStyle w:val="Heading3"/>
      </w:pPr>
      <w:bookmarkStart w:id="1327" w:name="section_b60b7e029a9e47a28424e973bc811108"/>
      <w:bookmarkStart w:id="1328" w:name="_Toc12260724"/>
      <w:r>
        <w:t>Part 1 Section 18.3.1.89, sheetViews (Chart Sheet Views)</w:t>
      </w:r>
      <w:bookmarkEnd w:id="1327"/>
      <w:bookmarkEnd w:id="1328"/>
      <w:r>
        <w:fldChar w:fldCharType="begin"/>
      </w:r>
      <w:r>
        <w:instrText xml:space="preserve"> XE "sheetViews (Chart Sheet Views)" </w:instrText>
      </w:r>
      <w:r>
        <w:fldChar w:fldCharType="end"/>
      </w:r>
    </w:p>
    <w:p w:rsidR="00024C0A" w:rsidRDefault="00694C0F">
      <w:pPr>
        <w:pStyle w:val="Definition-Field"/>
      </w:pPr>
      <w:r>
        <w:t xml:space="preserve">a.   </w:t>
      </w:r>
      <w:r>
        <w:rPr>
          <w:i/>
        </w:rPr>
        <w:t>The standard states that the maxOccurs value for the sheetView child element is unbounded.</w:t>
      </w:r>
    </w:p>
    <w:p w:rsidR="00024C0A" w:rsidRDefault="00694C0F">
      <w:pPr>
        <w:pStyle w:val="Definition-Field2"/>
      </w:pPr>
      <w:r>
        <w:t>Excel limits the occurrences of this element to 2147483647.</w:t>
      </w:r>
    </w:p>
    <w:p w:rsidR="00024C0A" w:rsidRDefault="00694C0F">
      <w:pPr>
        <w:pStyle w:val="Heading3"/>
      </w:pPr>
      <w:bookmarkStart w:id="1329" w:name="section_b9ae079aa7a545a9ae7e870aa96b5f84"/>
      <w:bookmarkStart w:id="1330" w:name="_Toc12260725"/>
      <w:r>
        <w:t>Part 1 Section 18.3.1.91, sortCondition (Sort Condition)</w:t>
      </w:r>
      <w:bookmarkEnd w:id="1329"/>
      <w:bookmarkEnd w:id="1330"/>
      <w:r>
        <w:fldChar w:fldCharType="begin"/>
      </w:r>
      <w:r>
        <w:instrText xml:space="preserve"> XE </w:instrText>
      </w:r>
      <w:r>
        <w:instrText xml:space="preserve">"sortCondition (Sort Condition)" </w:instrText>
      </w:r>
      <w:r>
        <w:fldChar w:fldCharType="end"/>
      </w:r>
    </w:p>
    <w:p w:rsidR="00024C0A" w:rsidRDefault="00694C0F">
      <w:pPr>
        <w:pStyle w:val="Definition-Field"/>
      </w:pPr>
      <w:r>
        <w:t xml:space="preserve">a.   </w:t>
      </w:r>
      <w:r>
        <w:rPr>
          <w:i/>
        </w:rPr>
        <w:t>The standard states that the values of the customList attribute are defined by the ST_Xstring simple type.</w:t>
      </w:r>
    </w:p>
    <w:p w:rsidR="00024C0A" w:rsidRDefault="00694C0F">
      <w:pPr>
        <w:pStyle w:val="Definition-Field2"/>
      </w:pPr>
      <w:r>
        <w:t>Office requires that the customList attribute value be an escaped string not exceeding 255 UTF-16 code units</w:t>
      </w:r>
      <w:r>
        <w:t xml:space="preserve"> after escape sequences are replaced with characters.</w:t>
      </w:r>
    </w:p>
    <w:p w:rsidR="00024C0A" w:rsidRDefault="00694C0F">
      <w:pPr>
        <w:pStyle w:val="Heading3"/>
      </w:pPr>
      <w:bookmarkStart w:id="1331" w:name="section_57f3992c0f4646afa3c764132f66ebe0"/>
      <w:bookmarkStart w:id="1332" w:name="_Toc12260726"/>
      <w:r>
        <w:t>Part 1 Section 18.3.1.93, tabColor (Sheet Tab Color)</w:t>
      </w:r>
      <w:bookmarkEnd w:id="1331"/>
      <w:bookmarkEnd w:id="1332"/>
      <w:r>
        <w:fldChar w:fldCharType="begin"/>
      </w:r>
      <w:r>
        <w:instrText xml:space="preserve"> XE "tabColor (Sheet Tab Color)"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2b0a8b9d392f46c1b3c1c5a5f98f8e69">
        <w:r>
          <w:rPr>
            <w:rStyle w:val="Hyperlink"/>
          </w:rPr>
          <w:t>bgColor, §18.8.3(a)</w:t>
        </w:r>
      </w:hyperlink>
      <w:r>
        <w:rPr>
          <w:i/>
        </w:rPr>
        <w:t>.</w:t>
      </w:r>
    </w:p>
    <w:p w:rsidR="00024C0A" w:rsidRDefault="00694C0F">
      <w:pPr>
        <w:pStyle w:val="Definition-Field"/>
      </w:pPr>
      <w:r>
        <w:t xml:space="preserve">a.   </w:t>
      </w:r>
      <w:r>
        <w:rPr>
          <w:i/>
        </w:rPr>
        <w:t>The standard does not specify a default value for the auto attribute.</w:t>
      </w:r>
    </w:p>
    <w:p w:rsidR="00024C0A" w:rsidRDefault="00694C0F">
      <w:pPr>
        <w:pStyle w:val="Definition-Field2"/>
      </w:pPr>
      <w:r>
        <w:t>Excel uses a default value of fals</w:t>
      </w:r>
      <w:r>
        <w:t>e for this attribute.</w:t>
      </w:r>
    </w:p>
    <w:p w:rsidR="00024C0A" w:rsidRDefault="00694C0F">
      <w:pPr>
        <w:pStyle w:val="Definition-Field"/>
      </w:pPr>
      <w:r>
        <w:t xml:space="preserve">b.   </w:t>
      </w:r>
      <w:r>
        <w:rPr>
          <w:i/>
        </w:rPr>
        <w:t>In the standard, the auto, indexed, rgb, and theme attributes are all optional.</w:t>
      </w:r>
    </w:p>
    <w:p w:rsidR="00024C0A" w:rsidRDefault="00694C0F">
      <w:pPr>
        <w:pStyle w:val="Definition-Field2"/>
      </w:pPr>
      <w:r>
        <w:t>Office requires that only one of the auto, indexed, rgb, or theme attributes shall be specified.</w:t>
      </w:r>
    </w:p>
    <w:p w:rsidR="00024C0A" w:rsidRDefault="00694C0F">
      <w:pPr>
        <w:pStyle w:val="Definition-Field"/>
      </w:pPr>
      <w:r>
        <w:t xml:space="preserve">c.   </w:t>
      </w:r>
      <w:r>
        <w:rPr>
          <w:i/>
        </w:rPr>
        <w:t>The standard specifies that the theme attribute</w:t>
      </w:r>
      <w:r>
        <w:rPr>
          <w:i/>
        </w:rPr>
        <w:t xml:space="preserve"> is an index of an item in the clrScheme collection.</w:t>
      </w:r>
    </w:p>
    <w:p w:rsidR="00024C0A" w:rsidRDefault="00694C0F">
      <w:pPr>
        <w:pStyle w:val="Definition-Field2"/>
      </w:pPr>
      <w:r>
        <w:t>Office requires the theme attribute to be a zero-based index of an item in the clrScheme collection.</w:t>
      </w:r>
    </w:p>
    <w:p w:rsidR="00024C0A" w:rsidRDefault="00694C0F">
      <w:pPr>
        <w:pStyle w:val="Heading3"/>
      </w:pPr>
      <w:bookmarkStart w:id="1333" w:name="section_b9d01770b85b4fb2a387f5811719a1af"/>
      <w:bookmarkStart w:id="1334" w:name="_Toc12260727"/>
      <w:r>
        <w:t>Part 1 Section 18.3.1.96, v (Cell Value)</w:t>
      </w:r>
      <w:bookmarkEnd w:id="1333"/>
      <w:bookmarkEnd w:id="1334"/>
      <w:r>
        <w:fldChar w:fldCharType="begin"/>
      </w:r>
      <w:r>
        <w:instrText xml:space="preserve"> XE "v (Cell Value)" </w:instrText>
      </w:r>
      <w:r>
        <w:fldChar w:fldCharType="end"/>
      </w:r>
    </w:p>
    <w:p w:rsidR="00024C0A" w:rsidRDefault="00694C0F">
      <w:pPr>
        <w:pStyle w:val="Definition-Field"/>
      </w:pPr>
      <w:r>
        <w:t xml:space="preserve">a.   </w:t>
      </w:r>
      <w:r>
        <w:rPr>
          <w:i/>
        </w:rPr>
        <w:t>The standard does not limit the l</w:t>
      </w:r>
      <w:r>
        <w:rPr>
          <w:i/>
        </w:rPr>
        <w:t>ength of the value of this element.</w:t>
      </w:r>
    </w:p>
    <w:p w:rsidR="00024C0A" w:rsidRDefault="00694C0F">
      <w:pPr>
        <w:pStyle w:val="Definition-Field2"/>
      </w:pPr>
      <w:r>
        <w:t>Excel restricts the value of this element to be at most 32767 characters.</w:t>
      </w:r>
    </w:p>
    <w:p w:rsidR="00024C0A" w:rsidRDefault="00694C0F">
      <w:pPr>
        <w:pStyle w:val="Definition-Field"/>
      </w:pPr>
      <w:r>
        <w:t xml:space="preserve">b.   </w:t>
      </w:r>
      <w:r>
        <w:rPr>
          <w:i/>
        </w:rPr>
        <w:t>The standard does not place content restrictions on values based on the t attribute.</w:t>
      </w:r>
    </w:p>
    <w:p w:rsidR="00024C0A" w:rsidRDefault="00694C0F">
      <w:r>
        <w:lastRenderedPageBreak/>
        <w:t xml:space="preserve">Office places the following value restrictions based on </w:t>
      </w:r>
      <w:r>
        <w:t>the cell type:</w:t>
      </w:r>
    </w:p>
    <w:p w:rsidR="00024C0A" w:rsidRDefault="00694C0F">
      <w:pPr>
        <w:pStyle w:val="ListParagraph"/>
        <w:numPr>
          <w:ilvl w:val="0"/>
          <w:numId w:val="67"/>
        </w:numPr>
        <w:contextualSpacing/>
      </w:pPr>
      <w:r>
        <w:t>If the cell contains a string, the value shall be a zero-based index into the shared string table, pointing to the actual string value.</w:t>
      </w:r>
    </w:p>
    <w:p w:rsidR="00024C0A" w:rsidRDefault="00694C0F">
      <w:pPr>
        <w:pStyle w:val="ListParagraph"/>
        <w:numPr>
          <w:ilvl w:val="0"/>
          <w:numId w:val="67"/>
        </w:numPr>
        <w:contextualSpacing/>
      </w:pPr>
      <w:r>
        <w:t>If the cell contains a number, the value shall be a textual representation of a double-precision floating</w:t>
      </w:r>
      <w:r>
        <w:t xml:space="preserve"> point number.</w:t>
      </w:r>
    </w:p>
    <w:p w:rsidR="00024C0A" w:rsidRDefault="00694C0F">
      <w:pPr>
        <w:pStyle w:val="ListParagraph"/>
        <w:numPr>
          <w:ilvl w:val="0"/>
          <w:numId w:val="67"/>
        </w:numPr>
        <w:contextualSpacing/>
      </w:pPr>
      <w:r>
        <w:t>If the cell contains a Boolean, the value shall be 1 to specify true and 0 to specify false.</w:t>
      </w:r>
    </w:p>
    <w:p w:rsidR="00024C0A" w:rsidRDefault="00694C0F">
      <w:pPr>
        <w:pStyle w:val="ListParagraph"/>
        <w:numPr>
          <w:ilvl w:val="0"/>
          <w:numId w:val="67"/>
        </w:numPr>
        <w:contextualSpacing/>
      </w:pPr>
      <w:r>
        <w:t>If the cell contains an error, the value shall be one of the following text strings: #NULL!, #DIV/0!, #VALUE!, #REF!, #NAME?, #NUM!, or #N/A.</w:t>
      </w:r>
    </w:p>
    <w:p w:rsidR="00024C0A" w:rsidRDefault="00694C0F">
      <w:pPr>
        <w:pStyle w:val="ListParagraph"/>
        <w:numPr>
          <w:ilvl w:val="0"/>
          <w:numId w:val="67"/>
        </w:numPr>
      </w:pPr>
      <w:r>
        <w:t xml:space="preserve">Cells </w:t>
      </w:r>
      <w:r>
        <w:t>containing formulas express the last calculated result of the formula in this element.</w:t>
      </w:r>
    </w:p>
    <w:p w:rsidR="00024C0A" w:rsidRDefault="00694C0F">
      <w:r>
        <w:t xml:space="preserve">A spreadsheet application may use inline strings to bypass creating the shared string table. Inline strings are specified by the </w:t>
      </w:r>
      <w:r>
        <w:rPr>
          <w:b/>
        </w:rPr>
        <w:t>is</w:t>
      </w:r>
      <w:r>
        <w:t xml:space="preserve"> element under the </w:t>
      </w:r>
      <w:r>
        <w:rPr>
          <w:b/>
        </w:rPr>
        <w:t xml:space="preserve">c </w:t>
      </w:r>
      <w:r>
        <w:t>element instead o</w:t>
      </w:r>
      <w:r>
        <w:t xml:space="preserve">f the </w:t>
      </w:r>
      <w:r>
        <w:rPr>
          <w:b/>
        </w:rPr>
        <w:t>v</w:t>
      </w:r>
      <w:r>
        <w:t xml:space="preserve"> element under the </w:t>
      </w:r>
      <w:r>
        <w:rPr>
          <w:b/>
        </w:rPr>
        <w:t>c</w:t>
      </w:r>
      <w:r>
        <w:t xml:space="preserve"> element. Inline strings are specified in the same way a string would be expressed in the shared string table.  See the </w:t>
      </w:r>
      <w:r>
        <w:rPr>
          <w:b/>
        </w:rPr>
        <w:t>is</w:t>
      </w:r>
      <w:r>
        <w:t xml:space="preserve"> element ("</w:t>
      </w:r>
      <w:hyperlink r:id="rId123">
        <w:r>
          <w:rPr>
            <w:rStyle w:val="Hyperlink"/>
          </w:rPr>
          <w:t>[ISO/IEC-29500-1]</w:t>
        </w:r>
      </w:hyperlink>
      <w:r>
        <w:t xml:space="preserve"> §18.3.1.53; </w:t>
      </w:r>
      <w:r>
        <w:t>is") for an example.</w:t>
      </w:r>
    </w:p>
    <w:p w:rsidR="00024C0A" w:rsidRDefault="00694C0F">
      <w:pPr>
        <w:pStyle w:val="Definition-Field"/>
      </w:pPr>
      <w:r>
        <w:t xml:space="preserve">c.   </w:t>
      </w:r>
      <w:r>
        <w:rPr>
          <w:i/>
        </w:rPr>
        <w:t>The standard makes no mention of an xml:space attribute.</w:t>
      </w:r>
    </w:p>
    <w:p w:rsidR="00024C0A" w:rsidRDefault="00694C0F">
      <w:pPr>
        <w:pStyle w:val="Definition-Field2"/>
      </w:pPr>
      <w:r>
        <w:t>Excel uses this attribute to specify, using the W3C space preservation rules, how white space should be handled for the element's contents; its allowed values are defined by</w:t>
      </w:r>
      <w:r>
        <w:t xml:space="preserve"> the XML 1.0 specification.</w:t>
      </w:r>
    </w:p>
    <w:p w:rsidR="00024C0A" w:rsidRDefault="00694C0F">
      <w:pPr>
        <w:pStyle w:val="Definition-Field"/>
      </w:pPr>
      <w:r>
        <w:t xml:space="preserve">d.   </w:t>
      </w:r>
      <w:r>
        <w:rPr>
          <w:i/>
        </w:rPr>
        <w:t>The standard states that when the cell value is a date, that it is in ISO 8601 format.</w:t>
      </w:r>
    </w:p>
    <w:p w:rsidR="00024C0A" w:rsidRDefault="00694C0F">
      <w:pPr>
        <w:pStyle w:val="Definition-Field2"/>
      </w:pPr>
      <w:r>
        <w:t>Office supports only a limited number of date formats possible using ISO 8601, as listed in the Notes field.</w:t>
      </w:r>
    </w:p>
    <w:p w:rsidR="00024C0A" w:rsidRDefault="00694C0F">
      <w:pPr>
        <w:pStyle w:val="Heading3"/>
      </w:pPr>
      <w:bookmarkStart w:id="1335" w:name="section_3f30b11eade64949b71423291a3c2c78"/>
      <w:bookmarkStart w:id="1336" w:name="_Toc12260728"/>
      <w:r>
        <w:t>Part 1 Section 18.3.1.97, w</w:t>
      </w:r>
      <w:r>
        <w:t>ebPublishItem (Web Publishing Item)</w:t>
      </w:r>
      <w:bookmarkEnd w:id="1335"/>
      <w:bookmarkEnd w:id="1336"/>
      <w:r>
        <w:fldChar w:fldCharType="begin"/>
      </w:r>
      <w:r>
        <w:instrText xml:space="preserve"> XE "webPublishItem (Web Publishing Item)" </w:instrText>
      </w:r>
      <w:r>
        <w:fldChar w:fldCharType="end"/>
      </w:r>
    </w:p>
    <w:p w:rsidR="00024C0A" w:rsidRDefault="00694C0F">
      <w:pPr>
        <w:pStyle w:val="Definition-Field"/>
      </w:pPr>
      <w:r>
        <w:t xml:space="preserve">a.   </w:t>
      </w:r>
      <w:r>
        <w:rPr>
          <w:i/>
        </w:rPr>
        <w:t>The standard does not place any restrictions on the length of the value for the title attribute.</w:t>
      </w:r>
    </w:p>
    <w:p w:rsidR="00024C0A" w:rsidRDefault="00694C0F">
      <w:pPr>
        <w:pStyle w:val="Definition-Field2"/>
      </w:pPr>
      <w:r>
        <w:t>Office requires that the title attribute be less than 255 characters in l</w:t>
      </w:r>
      <w:r>
        <w:t>ength.</w:t>
      </w:r>
    </w:p>
    <w:p w:rsidR="00024C0A" w:rsidRDefault="00694C0F">
      <w:pPr>
        <w:pStyle w:val="Definition-Field"/>
      </w:pPr>
      <w:r>
        <w:t xml:space="preserve">b.   </w:t>
      </w:r>
      <w:r>
        <w:rPr>
          <w:i/>
        </w:rPr>
        <w:t>The standard does not place any restrictions on the length of the value for the destinationFile attribute.</w:t>
      </w:r>
    </w:p>
    <w:p w:rsidR="00024C0A" w:rsidRDefault="00694C0F">
      <w:pPr>
        <w:pStyle w:val="Definition-Field2"/>
      </w:pPr>
      <w:r>
        <w:t>Office requires that the destinationFile attribute be less than 255 characters in length, and not empty.</w:t>
      </w:r>
    </w:p>
    <w:p w:rsidR="00024C0A" w:rsidRDefault="00694C0F">
      <w:pPr>
        <w:pStyle w:val="Definition-Field"/>
      </w:pPr>
      <w:r>
        <w:t xml:space="preserve">c.   </w:t>
      </w:r>
      <w:r>
        <w:rPr>
          <w:i/>
        </w:rPr>
        <w:t>The standard does not place</w:t>
      </w:r>
      <w:r>
        <w:rPr>
          <w:i/>
        </w:rPr>
        <w:t xml:space="preserve"> any restrictions on the length of the value for the divId attribute.</w:t>
      </w:r>
    </w:p>
    <w:p w:rsidR="00024C0A" w:rsidRDefault="00694C0F">
      <w:pPr>
        <w:pStyle w:val="Definition-Field2"/>
      </w:pPr>
      <w:r>
        <w:t>Office requires that the divId attribute be less than 255 characters in length, and not empty.</w:t>
      </w:r>
    </w:p>
    <w:p w:rsidR="00024C0A" w:rsidRDefault="00694C0F">
      <w:pPr>
        <w:pStyle w:val="Definition-Field"/>
      </w:pPr>
      <w:r>
        <w:t xml:space="preserve">d.   </w:t>
      </w:r>
      <w:r>
        <w:rPr>
          <w:i/>
        </w:rPr>
        <w:t>The standard does not place any restrictions on the length of the value for the source</w:t>
      </w:r>
      <w:r>
        <w:rPr>
          <w:i/>
        </w:rPr>
        <w:t>Object attribute.</w:t>
      </w:r>
    </w:p>
    <w:p w:rsidR="00024C0A" w:rsidRDefault="00694C0F">
      <w:pPr>
        <w:pStyle w:val="Definition-Field2"/>
      </w:pPr>
      <w:r>
        <w:t>Office requires that the sourceObject attribute follow the rules of defined names as specified in Names ("</w:t>
      </w:r>
      <w:hyperlink r:id="rId124">
        <w:r>
          <w:rPr>
            <w:rStyle w:val="Hyperlink"/>
          </w:rPr>
          <w:t>[ISO/IEC-29500-1]</w:t>
        </w:r>
      </w:hyperlink>
      <w:r>
        <w:t xml:space="preserve"> §18.17.2.5").</w:t>
      </w:r>
    </w:p>
    <w:p w:rsidR="00024C0A" w:rsidRDefault="00694C0F">
      <w:pPr>
        <w:pStyle w:val="Definition-Field"/>
      </w:pPr>
      <w:r>
        <w:t xml:space="preserve">e.   </w:t>
      </w:r>
      <w:r>
        <w:rPr>
          <w:i/>
        </w:rPr>
        <w:t>The standard does not place a</w:t>
      </w:r>
      <w:r>
        <w:rPr>
          <w:i/>
        </w:rPr>
        <w:t>ny restrictions on the value for the id attribute.</w:t>
      </w:r>
    </w:p>
    <w:p w:rsidR="00024C0A" w:rsidRDefault="00694C0F">
      <w:pPr>
        <w:pStyle w:val="Definition-Field2"/>
      </w:pPr>
      <w:r>
        <w:t>Office requires that the value of the id attribute be between 1 and 2147483647 inclusive.</w:t>
      </w:r>
    </w:p>
    <w:p w:rsidR="00024C0A" w:rsidRDefault="00694C0F">
      <w:pPr>
        <w:pStyle w:val="Definition-Field"/>
      </w:pPr>
      <w:r>
        <w:t xml:space="preserve">f.   </w:t>
      </w:r>
      <w:r>
        <w:rPr>
          <w:i/>
        </w:rPr>
        <w:t xml:space="preserve">The standard states that the sourceObject attribute is required for sourceType equal to pivotTable, query, or </w:t>
      </w:r>
      <w:r>
        <w:rPr>
          <w:i/>
        </w:rPr>
        <w:t>label.</w:t>
      </w:r>
    </w:p>
    <w:p w:rsidR="00024C0A" w:rsidRDefault="00694C0F">
      <w:pPr>
        <w:pStyle w:val="Definition-Field2"/>
      </w:pPr>
      <w:r>
        <w:t>Office requires the sourceObject attribute for sourceType equal to pivotTable, query, or label. The sourceObject attribute shall not be present otherwise.</w:t>
      </w:r>
    </w:p>
    <w:p w:rsidR="00024C0A" w:rsidRDefault="00694C0F">
      <w:pPr>
        <w:pStyle w:val="Definition-Field"/>
      </w:pPr>
      <w:r>
        <w:t xml:space="preserve">g.   </w:t>
      </w:r>
      <w:r>
        <w:rPr>
          <w:i/>
        </w:rPr>
        <w:t>The standard states that the sourceRef attribute is required when the sourceType attribut</w:t>
      </w:r>
      <w:r>
        <w:rPr>
          <w:i/>
        </w:rPr>
        <w:t>e equals range.</w:t>
      </w:r>
    </w:p>
    <w:p w:rsidR="00024C0A" w:rsidRDefault="00694C0F">
      <w:pPr>
        <w:pStyle w:val="Definition-Field2"/>
      </w:pPr>
      <w:r>
        <w:lastRenderedPageBreak/>
        <w:t>Office requires the sourceRef attribute shall not be missing if the sourceType is a range, otherwise it shall not be present.</w:t>
      </w:r>
    </w:p>
    <w:p w:rsidR="00024C0A" w:rsidRDefault="00694C0F">
      <w:pPr>
        <w:pStyle w:val="Heading3"/>
      </w:pPr>
      <w:bookmarkStart w:id="1337" w:name="section_06b74d23c4ad4aea80942c046af21ce5"/>
      <w:bookmarkStart w:id="1338" w:name="_Toc12260729"/>
      <w:r>
        <w:t>Part 1 Section 18.3.1.99, worksheet (Worksheet)</w:t>
      </w:r>
      <w:bookmarkEnd w:id="1337"/>
      <w:bookmarkEnd w:id="1338"/>
      <w:r>
        <w:fldChar w:fldCharType="begin"/>
      </w:r>
      <w:r>
        <w:instrText xml:space="preserve"> XE "worksheet (Worksheet)" </w:instrText>
      </w:r>
      <w:r>
        <w:fldChar w:fldCharType="end"/>
      </w:r>
    </w:p>
    <w:p w:rsidR="00024C0A" w:rsidRDefault="00694C0F">
      <w:pPr>
        <w:pStyle w:val="Definition-Field"/>
      </w:pPr>
      <w:r>
        <w:t xml:space="preserve">a.   </w:t>
      </w:r>
      <w:r>
        <w:rPr>
          <w:i/>
        </w:rPr>
        <w:t>The standard states that the ma</w:t>
      </w:r>
      <w:r>
        <w:rPr>
          <w:i/>
        </w:rPr>
        <w:t>xOccurs value for the conditionalFormatting child element is unbounded.</w:t>
      </w:r>
    </w:p>
    <w:p w:rsidR="00024C0A" w:rsidRDefault="00694C0F">
      <w:pPr>
        <w:pStyle w:val="Definition-Field2"/>
      </w:pPr>
      <w:r>
        <w:t>Excel limits the occurrences of this element to 2147483647.</w:t>
      </w:r>
    </w:p>
    <w:p w:rsidR="00024C0A" w:rsidRDefault="00694C0F">
      <w:pPr>
        <w:pStyle w:val="Definition-Field"/>
      </w:pPr>
      <w:r>
        <w:t xml:space="preserve">b.   </w:t>
      </w:r>
      <w:r>
        <w:rPr>
          <w:i/>
        </w:rPr>
        <w:t>The standard specifies that the drawingHF element is a valid child element of the worksheet element.</w:t>
      </w:r>
    </w:p>
    <w:p w:rsidR="00024C0A" w:rsidRDefault="00694C0F">
      <w:pPr>
        <w:pStyle w:val="Definition-Field2"/>
      </w:pPr>
      <w:r>
        <w:t xml:space="preserve">Excel ignores the </w:t>
      </w:r>
      <w:r>
        <w:t>drawingHF element.</w:t>
      </w:r>
    </w:p>
    <w:p w:rsidR="00024C0A" w:rsidRDefault="00694C0F">
      <w:pPr>
        <w:pStyle w:val="Heading3"/>
      </w:pPr>
      <w:bookmarkStart w:id="1339" w:name="section_00d10ae34a454065822a7472be383126"/>
      <w:bookmarkStart w:id="1340" w:name="_Toc12260730"/>
      <w:r>
        <w:t>Part 1 Section 18.3.2.1, colorFilter (Color Filter Criteria)</w:t>
      </w:r>
      <w:bookmarkEnd w:id="1339"/>
      <w:bookmarkEnd w:id="1340"/>
      <w:r>
        <w:fldChar w:fldCharType="begin"/>
      </w:r>
      <w:r>
        <w:instrText xml:space="preserve"> XE "colorFilter (Color Filter Criteria)" </w:instrText>
      </w:r>
      <w:r>
        <w:fldChar w:fldCharType="end"/>
      </w:r>
    </w:p>
    <w:p w:rsidR="00024C0A" w:rsidRDefault="00694C0F">
      <w:pPr>
        <w:pStyle w:val="Definition-Field"/>
      </w:pPr>
      <w:r>
        <w:t xml:space="preserve">a.   </w:t>
      </w:r>
      <w:r>
        <w:rPr>
          <w:i/>
        </w:rPr>
        <w:t>The standard states that the dxfId attribute is optional.</w:t>
      </w:r>
    </w:p>
    <w:p w:rsidR="00024C0A" w:rsidRDefault="00694C0F">
      <w:pPr>
        <w:pStyle w:val="Definition-Field2"/>
      </w:pPr>
      <w:r>
        <w:t>Excel requires this attribute.</w:t>
      </w:r>
    </w:p>
    <w:p w:rsidR="00024C0A" w:rsidRDefault="00694C0F">
      <w:pPr>
        <w:pStyle w:val="Heading3"/>
      </w:pPr>
      <w:bookmarkStart w:id="1341" w:name="section_94154f47b251489fbe160bbf4bd183dd"/>
      <w:bookmarkStart w:id="1342" w:name="_Toc12260731"/>
      <w:r>
        <w:t>Part 1 Section 18.3.2.4, dateGroupItem</w:t>
      </w:r>
      <w:r>
        <w:t xml:space="preserve"> (Date Grouping)</w:t>
      </w:r>
      <w:bookmarkEnd w:id="1341"/>
      <w:bookmarkEnd w:id="1342"/>
      <w:r>
        <w:fldChar w:fldCharType="begin"/>
      </w:r>
      <w:r>
        <w:instrText xml:space="preserve"> XE "dateGroupItem (Date Grouping)" </w:instrText>
      </w:r>
      <w:r>
        <w:fldChar w:fldCharType="end"/>
      </w:r>
    </w:p>
    <w:p w:rsidR="00024C0A" w:rsidRDefault="00694C0F">
      <w:pPr>
        <w:pStyle w:val="Definition-Field"/>
      </w:pPr>
      <w:r>
        <w:t xml:space="preserve">a.   </w:t>
      </w:r>
      <w:r>
        <w:rPr>
          <w:i/>
        </w:rPr>
        <w:t>The standard does not specify a default value for the month attribute.</w:t>
      </w:r>
    </w:p>
    <w:p w:rsidR="00024C0A" w:rsidRDefault="00694C0F">
      <w:pPr>
        <w:pStyle w:val="Definition-Field2"/>
      </w:pPr>
      <w:r>
        <w:t>Excel uses a default value of 1 for this attribute.</w:t>
      </w:r>
    </w:p>
    <w:p w:rsidR="00024C0A" w:rsidRDefault="00694C0F">
      <w:pPr>
        <w:pStyle w:val="Definition-Field"/>
      </w:pPr>
      <w:r>
        <w:t xml:space="preserve">b.   </w:t>
      </w:r>
      <w:r>
        <w:rPr>
          <w:i/>
        </w:rPr>
        <w:t>The standard does not specify a default value for the day attribute.</w:t>
      </w:r>
    </w:p>
    <w:p w:rsidR="00024C0A" w:rsidRDefault="00694C0F">
      <w:pPr>
        <w:pStyle w:val="Definition-Field2"/>
      </w:pPr>
      <w:r>
        <w:t>Excel uses a default value of 1 for this attribute.</w:t>
      </w:r>
    </w:p>
    <w:p w:rsidR="00024C0A" w:rsidRDefault="00694C0F">
      <w:pPr>
        <w:pStyle w:val="Definition-Field"/>
      </w:pPr>
      <w:r>
        <w:t xml:space="preserve">c.   </w:t>
      </w:r>
      <w:r>
        <w:rPr>
          <w:i/>
        </w:rPr>
        <w:t>The standard does not specify a default value for the hour attribute.</w:t>
      </w:r>
    </w:p>
    <w:p w:rsidR="00024C0A" w:rsidRDefault="00694C0F">
      <w:pPr>
        <w:pStyle w:val="Definition-Field2"/>
      </w:pPr>
      <w:r>
        <w:t>Excel uses a default value of 0 for this attribute.</w:t>
      </w:r>
    </w:p>
    <w:p w:rsidR="00024C0A" w:rsidRDefault="00694C0F">
      <w:pPr>
        <w:pStyle w:val="Definition-Field"/>
      </w:pPr>
      <w:r>
        <w:t xml:space="preserve">d.   </w:t>
      </w:r>
      <w:r>
        <w:rPr>
          <w:i/>
        </w:rPr>
        <w:t>The standard does not specify a default value for the minute attribute.</w:t>
      </w:r>
    </w:p>
    <w:p w:rsidR="00024C0A" w:rsidRDefault="00694C0F">
      <w:pPr>
        <w:pStyle w:val="Definition-Field2"/>
      </w:pPr>
      <w:r>
        <w:t>Excel uses a default value of 0 for this attribute.</w:t>
      </w:r>
    </w:p>
    <w:p w:rsidR="00024C0A" w:rsidRDefault="00694C0F">
      <w:pPr>
        <w:pStyle w:val="Definition-Field"/>
      </w:pPr>
      <w:r>
        <w:t xml:space="preserve">e.   </w:t>
      </w:r>
      <w:r>
        <w:rPr>
          <w:i/>
        </w:rPr>
        <w:t>The standard does not specify a default value for the second attribute.</w:t>
      </w:r>
    </w:p>
    <w:p w:rsidR="00024C0A" w:rsidRDefault="00694C0F">
      <w:pPr>
        <w:pStyle w:val="Definition-Field2"/>
      </w:pPr>
      <w:r>
        <w:t>Excel uses a default value of 0 for this attribute.</w:t>
      </w:r>
    </w:p>
    <w:p w:rsidR="00024C0A" w:rsidRDefault="00694C0F">
      <w:pPr>
        <w:pStyle w:val="Heading3"/>
      </w:pPr>
      <w:bookmarkStart w:id="1343" w:name="section_d118f1d4878c4db69f4a63dba6e56158"/>
      <w:bookmarkStart w:id="1344" w:name="_Toc12260732"/>
      <w:r>
        <w:t>Part 1 Section 18.3.2.5, dynamicFilter (Dynamic Filter)</w:t>
      </w:r>
      <w:bookmarkEnd w:id="1343"/>
      <w:bookmarkEnd w:id="1344"/>
      <w:r>
        <w:fldChar w:fldCharType="begin"/>
      </w:r>
      <w:r>
        <w:instrText xml:space="preserve"> XE "dynamicFilter </w:instrText>
      </w:r>
      <w:r>
        <w:instrText xml:space="preserve">(Dynamic Filter)" </w:instrText>
      </w:r>
      <w:r>
        <w:fldChar w:fldCharType="end"/>
      </w:r>
    </w:p>
    <w:p w:rsidR="00024C0A" w:rsidRDefault="00694C0F">
      <w:pPr>
        <w:pStyle w:val="Definition-Field"/>
      </w:pPr>
      <w:r>
        <w:t xml:space="preserve">a.   </w:t>
      </w:r>
      <w:r>
        <w:rPr>
          <w:i/>
        </w:rPr>
        <w:t>The standard does not place any limitations on the value of the val attribute.</w:t>
      </w:r>
    </w:p>
    <w:p w:rsidR="00024C0A" w:rsidRDefault="00694C0F">
      <w:pPr>
        <w:pStyle w:val="Definition-Field2"/>
      </w:pPr>
      <w:r>
        <w:t>Office requires that the val attribute be less than the maxVal attribute.</w:t>
      </w:r>
    </w:p>
    <w:p w:rsidR="00024C0A" w:rsidRDefault="00694C0F">
      <w:pPr>
        <w:pStyle w:val="Definition-Field"/>
      </w:pPr>
      <w:r>
        <w:t xml:space="preserve">b.   </w:t>
      </w:r>
      <w:r>
        <w:rPr>
          <w:i/>
        </w:rPr>
        <w:t>The standard states in the description of the val attribute: "See descri</w:t>
      </w:r>
      <w:r>
        <w:rPr>
          <w:i/>
        </w:rPr>
        <w:t>ption of maxVal to understand when val is required." However, the description of the maxVal attribute is not clear that both values are required at the same time.</w:t>
      </w:r>
    </w:p>
    <w:p w:rsidR="00024C0A" w:rsidRDefault="00694C0F">
      <w:pPr>
        <w:pStyle w:val="Definition-Field2"/>
      </w:pPr>
      <w:r>
        <w:t>Office requires that @val is required whenever @maxVal is required.</w:t>
      </w:r>
    </w:p>
    <w:p w:rsidR="00024C0A" w:rsidRDefault="00694C0F">
      <w:pPr>
        <w:pStyle w:val="Definition-Field"/>
      </w:pPr>
      <w:r>
        <w:t xml:space="preserve">c.   </w:t>
      </w:r>
      <w:r>
        <w:rPr>
          <w:i/>
        </w:rPr>
        <w:t>The standard describ</w:t>
      </w:r>
      <w:r>
        <w:rPr>
          <w:i/>
        </w:rPr>
        <w:t>es @maxVal as optional and correctly describes instances when it is required and what it means then, but does not state what happens when it is not required.</w:t>
      </w:r>
    </w:p>
    <w:p w:rsidR="00024C0A" w:rsidRDefault="00694C0F">
      <w:pPr>
        <w:pStyle w:val="Definition-Field2"/>
      </w:pPr>
      <w:r>
        <w:t>Office requires that when @maxVal is not required, it shall not be written out.</w:t>
      </w:r>
    </w:p>
    <w:p w:rsidR="00024C0A" w:rsidRDefault="00694C0F">
      <w:pPr>
        <w:pStyle w:val="Heading3"/>
      </w:pPr>
      <w:bookmarkStart w:id="1345" w:name="section_2d4504f3c3044e20b7542e0595c1d917"/>
      <w:bookmarkStart w:id="1346" w:name="_Toc12260733"/>
      <w:r>
        <w:lastRenderedPageBreak/>
        <w:t>Part 1 Section 18.</w:t>
      </w:r>
      <w:r>
        <w:t>3.2.6, filter (Filter)</w:t>
      </w:r>
      <w:bookmarkEnd w:id="1345"/>
      <w:bookmarkEnd w:id="1346"/>
      <w:r>
        <w:fldChar w:fldCharType="begin"/>
      </w:r>
      <w:r>
        <w:instrText xml:space="preserve"> XE "filter (Filter)" </w:instrText>
      </w:r>
      <w:r>
        <w:fldChar w:fldCharType="end"/>
      </w:r>
    </w:p>
    <w:p w:rsidR="00024C0A" w:rsidRDefault="00694C0F">
      <w:pPr>
        <w:pStyle w:val="Definition-Field"/>
      </w:pPr>
      <w:r>
        <w:t xml:space="preserve">a.   </w:t>
      </w:r>
      <w:r>
        <w:rPr>
          <w:i/>
        </w:rPr>
        <w:t>The standard implies that the val attribute is optional.</w:t>
      </w:r>
    </w:p>
    <w:p w:rsidR="00024C0A" w:rsidRDefault="00694C0F">
      <w:pPr>
        <w:pStyle w:val="Definition-Field2"/>
      </w:pPr>
      <w:r>
        <w:t>Excel requires this attribute.</w:t>
      </w:r>
    </w:p>
    <w:p w:rsidR="00024C0A" w:rsidRDefault="00694C0F">
      <w:pPr>
        <w:pStyle w:val="Heading3"/>
      </w:pPr>
      <w:bookmarkStart w:id="1347" w:name="section_fa72fc954ca54476bce45d0b756e667d"/>
      <w:bookmarkStart w:id="1348" w:name="_Toc12260734"/>
      <w:r>
        <w:t>Part 1 Section 18.3.2.7, filterColumn (AutoFilter Column)</w:t>
      </w:r>
      <w:bookmarkEnd w:id="1347"/>
      <w:bookmarkEnd w:id="1348"/>
      <w:r>
        <w:fldChar w:fldCharType="begin"/>
      </w:r>
      <w:r>
        <w:instrText xml:space="preserve"> XE "filterColumn (AutoFilter Column)" </w:instrText>
      </w:r>
      <w:r>
        <w:fldChar w:fldCharType="end"/>
      </w:r>
    </w:p>
    <w:p w:rsidR="00024C0A" w:rsidRDefault="00694C0F">
      <w:pPr>
        <w:pStyle w:val="Definition-Field"/>
      </w:pPr>
      <w:r>
        <w:t xml:space="preserve">a.   </w:t>
      </w:r>
      <w:r>
        <w:rPr>
          <w:i/>
        </w:rPr>
        <w:t>The standard</w:t>
      </w:r>
      <w:r>
        <w:rPr>
          <w:i/>
        </w:rPr>
        <w:t xml:space="preserve"> does not place limitations on the value of the colId attribute.</w:t>
      </w:r>
    </w:p>
    <w:p w:rsidR="00024C0A" w:rsidRDefault="00694C0F">
      <w:pPr>
        <w:pStyle w:val="Definition-Field2"/>
      </w:pPr>
      <w:r>
        <w:t>In Office, the colId attribute must be greater than or equal to 0 and less than or equal to the number of columns in the region described by the parent autoFilter element's ref attribute.</w:t>
      </w:r>
    </w:p>
    <w:p w:rsidR="00024C0A" w:rsidRDefault="00694C0F">
      <w:pPr>
        <w:pStyle w:val="Heading3"/>
      </w:pPr>
      <w:bookmarkStart w:id="1349" w:name="section_24c0f8b91ce6447dae7cf2d69e0727b0"/>
      <w:bookmarkStart w:id="1350" w:name="_Toc12260735"/>
      <w:r>
        <w:t>Par</w:t>
      </w:r>
      <w:r>
        <w:t>t 1 Section 18.3.2.8, filters (Filter Criteria)</w:t>
      </w:r>
      <w:bookmarkEnd w:id="1349"/>
      <w:bookmarkEnd w:id="1350"/>
      <w:r>
        <w:fldChar w:fldCharType="begin"/>
      </w:r>
      <w:r>
        <w:instrText xml:space="preserve"> XE "filters (Filter Criteria)" </w:instrText>
      </w:r>
      <w:r>
        <w:fldChar w:fldCharType="end"/>
      </w:r>
    </w:p>
    <w:p w:rsidR="00024C0A" w:rsidRDefault="00694C0F">
      <w:pPr>
        <w:pStyle w:val="Definition-Field"/>
      </w:pPr>
      <w:r>
        <w:t xml:space="preserve">a.   </w:t>
      </w:r>
      <w:r>
        <w:rPr>
          <w:i/>
        </w:rPr>
        <w:t>The standard states that the filter and dateGroupItem child elements should be sequenced.</w:t>
      </w:r>
    </w:p>
    <w:p w:rsidR="00024C0A" w:rsidRDefault="00694C0F">
      <w:pPr>
        <w:pStyle w:val="Definition-Field2"/>
      </w:pPr>
      <w:r>
        <w:t>Excel requires these child elements to be a choice of one or the other.</w:t>
      </w:r>
    </w:p>
    <w:p w:rsidR="00024C0A" w:rsidRDefault="00694C0F">
      <w:pPr>
        <w:pStyle w:val="Definition-Field"/>
      </w:pPr>
      <w:r>
        <w:t xml:space="preserve">b.   </w:t>
      </w:r>
      <w:r>
        <w:rPr>
          <w:i/>
        </w:rPr>
        <w:t>The standard defines the calendarType attribute for date grouped items.</w:t>
      </w:r>
    </w:p>
    <w:p w:rsidR="00024C0A" w:rsidRDefault="00694C0F">
      <w:pPr>
        <w:pStyle w:val="Definition-Field2"/>
      </w:pPr>
      <w:r>
        <w:t>Office ignores the calendarType attribute.</w:t>
      </w:r>
    </w:p>
    <w:p w:rsidR="00024C0A" w:rsidRDefault="00694C0F">
      <w:pPr>
        <w:pStyle w:val="Definition-Field"/>
      </w:pPr>
      <w:r>
        <w:t xml:space="preserve">c.   </w:t>
      </w:r>
      <w:r>
        <w:rPr>
          <w:i/>
        </w:rPr>
        <w:t>The standard states that the calendarType attribute is of type ST_CalendarType, which has a value for "saka".</w:t>
      </w:r>
    </w:p>
    <w:p w:rsidR="00024C0A" w:rsidRDefault="00694C0F">
      <w:pPr>
        <w:pStyle w:val="Definition-Field2"/>
      </w:pPr>
      <w:r>
        <w:t>Office does not support th</w:t>
      </w:r>
      <w:r>
        <w:t>e ST_CalendarType value of "saka" and instead treats the "saka" value as equivalent to the "none" value of ST_CalendarType.</w:t>
      </w:r>
    </w:p>
    <w:p w:rsidR="00024C0A" w:rsidRDefault="00694C0F">
      <w:pPr>
        <w:pStyle w:val="Heading3"/>
      </w:pPr>
      <w:bookmarkStart w:id="1351" w:name="section_05446a4887db4862bbb94fbf551e51e1"/>
      <w:bookmarkStart w:id="1352" w:name="_Toc12260736"/>
      <w:r>
        <w:t>Part 1 Section 18.3.2.9, iconFilter (Icon Filter)</w:t>
      </w:r>
      <w:bookmarkEnd w:id="1351"/>
      <w:bookmarkEnd w:id="1352"/>
      <w:r>
        <w:fldChar w:fldCharType="begin"/>
      </w:r>
      <w:r>
        <w:instrText xml:space="preserve"> XE "iconFilter (Icon Filter)" </w:instrText>
      </w:r>
      <w:r>
        <w:fldChar w:fldCharType="end"/>
      </w:r>
    </w:p>
    <w:p w:rsidR="00024C0A" w:rsidRDefault="00694C0F">
      <w:pPr>
        <w:pStyle w:val="Definition-Field"/>
      </w:pPr>
      <w:r>
        <w:t xml:space="preserve">a.   </w:t>
      </w:r>
      <w:r>
        <w:rPr>
          <w:i/>
        </w:rPr>
        <w:t>The standard does not specify any limitation</w:t>
      </w:r>
      <w:r>
        <w:rPr>
          <w:i/>
        </w:rPr>
        <w:t>s on the value of the iconId attribute.</w:t>
      </w:r>
    </w:p>
    <w:p w:rsidR="00024C0A" w:rsidRDefault="00694C0F">
      <w:pPr>
        <w:pStyle w:val="Definition-Field2"/>
      </w:pPr>
      <w:r>
        <w:t>Office requires that value in the iconId attribute is less than the total number of icons in the iconSet.</w:t>
      </w:r>
    </w:p>
    <w:p w:rsidR="00024C0A" w:rsidRDefault="00694C0F">
      <w:pPr>
        <w:pStyle w:val="Heading3"/>
      </w:pPr>
      <w:bookmarkStart w:id="1353" w:name="section_2961ac370f8e47a889f9981403e619b6"/>
      <w:bookmarkStart w:id="1354" w:name="_Toc12260737"/>
      <w:r>
        <w:t>Part 1 Section 18.3.2.10, top10 (Top 10)</w:t>
      </w:r>
      <w:bookmarkEnd w:id="1353"/>
      <w:bookmarkEnd w:id="1354"/>
      <w:r>
        <w:fldChar w:fldCharType="begin"/>
      </w:r>
      <w:r>
        <w:instrText xml:space="preserve"> XE "top10 (Top 10)" </w:instrText>
      </w:r>
      <w:r>
        <w:fldChar w:fldCharType="end"/>
      </w:r>
    </w:p>
    <w:p w:rsidR="00024C0A" w:rsidRDefault="00694C0F">
      <w:pPr>
        <w:pStyle w:val="Definition-Field"/>
      </w:pPr>
      <w:r>
        <w:t xml:space="preserve">a.   </w:t>
      </w:r>
      <w:r>
        <w:rPr>
          <w:i/>
        </w:rPr>
        <w:t xml:space="preserve">The standard does not mention any limits </w:t>
      </w:r>
      <w:r>
        <w:rPr>
          <w:i/>
        </w:rPr>
        <w:t>on the value of @val.</w:t>
      </w:r>
    </w:p>
    <w:p w:rsidR="00024C0A" w:rsidRDefault="00694C0F">
      <w:pPr>
        <w:pStyle w:val="Definition-Field2"/>
      </w:pPr>
      <w:r>
        <w:t>In Office, if this element is on a pivottable, the @val must be greater than or equal to 0. Otherwise, it must be between 1 and 500 inclusive.</w:t>
      </w:r>
    </w:p>
    <w:p w:rsidR="00024C0A" w:rsidRDefault="00694C0F">
      <w:pPr>
        <w:pStyle w:val="Definition-Field"/>
      </w:pPr>
      <w:r>
        <w:t xml:space="preserve">b.   </w:t>
      </w:r>
      <w:r>
        <w:rPr>
          <w:i/>
        </w:rPr>
        <w:t>The standard does not specify a default value for the filterVal attribute.</w:t>
      </w:r>
    </w:p>
    <w:p w:rsidR="00024C0A" w:rsidRDefault="00694C0F">
      <w:pPr>
        <w:pStyle w:val="Definition-Field2"/>
      </w:pPr>
      <w:r>
        <w:t xml:space="preserve">Excel uses </w:t>
      </w:r>
      <w:r>
        <w:t>a default value of 0 for this attribute.</w:t>
      </w:r>
    </w:p>
    <w:p w:rsidR="00024C0A" w:rsidRDefault="00694C0F">
      <w:pPr>
        <w:pStyle w:val="Heading3"/>
      </w:pPr>
      <w:bookmarkStart w:id="1355" w:name="section_90eb53d6da854c0280cf509eeec5124a"/>
      <w:bookmarkStart w:id="1356" w:name="_Toc12260738"/>
      <w:r>
        <w:t>Part 1 Section 18.4.3, phoneticPr (Phonetic Properties)</w:t>
      </w:r>
      <w:bookmarkEnd w:id="1355"/>
      <w:bookmarkEnd w:id="1356"/>
      <w:r>
        <w:fldChar w:fldCharType="begin"/>
      </w:r>
      <w:r>
        <w:instrText xml:space="preserve"> XE "phoneticPr (Phonetic Properties)" </w:instrText>
      </w:r>
      <w:r>
        <w:fldChar w:fldCharType="end"/>
      </w:r>
    </w:p>
    <w:p w:rsidR="00024C0A" w:rsidRDefault="00694C0F">
      <w:pPr>
        <w:pStyle w:val="Definition-Field"/>
      </w:pPr>
      <w:r>
        <w:t xml:space="preserve">a.   </w:t>
      </w:r>
      <w:r>
        <w:rPr>
          <w:i/>
        </w:rPr>
        <w:t>The standard states that the type attribute specifies which type of East Asian character set should be used to di</w:t>
      </w:r>
      <w:r>
        <w:rPr>
          <w:i/>
        </w:rPr>
        <w:t>splay the phonetic run.</w:t>
      </w:r>
    </w:p>
    <w:p w:rsidR="00024C0A" w:rsidRDefault="00694C0F">
      <w:pPr>
        <w:pStyle w:val="Definition-Field2"/>
      </w:pPr>
      <w:r>
        <w:t>Excel uses this attribute to specify which Japanese character set should be used to display the phonetic run.</w:t>
      </w:r>
    </w:p>
    <w:p w:rsidR="00024C0A" w:rsidRDefault="00694C0F">
      <w:pPr>
        <w:pStyle w:val="Definition-Field"/>
      </w:pPr>
      <w:r>
        <w:t xml:space="preserve">b.   </w:t>
      </w:r>
      <w:r>
        <w:rPr>
          <w:i/>
        </w:rPr>
        <w:t>The standard states that phonetic text is allowed for East Asian languages.</w:t>
      </w:r>
    </w:p>
    <w:p w:rsidR="00024C0A" w:rsidRDefault="00694C0F">
      <w:pPr>
        <w:pStyle w:val="Definition-Field2"/>
      </w:pPr>
      <w:r>
        <w:t>Excel restricts phonetic text to the Japa</w:t>
      </w:r>
      <w:r>
        <w:t>nese language.</w:t>
      </w:r>
    </w:p>
    <w:p w:rsidR="00024C0A" w:rsidRDefault="00694C0F">
      <w:pPr>
        <w:pStyle w:val="Heading3"/>
      </w:pPr>
      <w:bookmarkStart w:id="1357" w:name="section_00d5905375314caaa1e4be1838a69013"/>
      <w:bookmarkStart w:id="1358" w:name="_Toc12260739"/>
      <w:r>
        <w:lastRenderedPageBreak/>
        <w:t>Part 1 Section 18.4.5, rFont (Font)</w:t>
      </w:r>
      <w:bookmarkEnd w:id="1357"/>
      <w:bookmarkEnd w:id="1358"/>
      <w:r>
        <w:fldChar w:fldCharType="begin"/>
      </w:r>
      <w:r>
        <w:instrText xml:space="preserve"> XE "rFont (Font)" </w:instrText>
      </w:r>
      <w:r>
        <w:fldChar w:fldCharType="end"/>
      </w:r>
    </w:p>
    <w:p w:rsidR="00024C0A" w:rsidRDefault="00694C0F">
      <w:pPr>
        <w:pStyle w:val="Definition-Field"/>
      </w:pPr>
      <w:r>
        <w:t xml:space="preserve">a.   </w:t>
      </w:r>
      <w:r>
        <w:rPr>
          <w:i/>
        </w:rPr>
        <w:t>The standard specifies the string length for the val attribute shall be 0 to 31 characters.</w:t>
      </w:r>
    </w:p>
    <w:p w:rsidR="00024C0A" w:rsidRDefault="00694C0F">
      <w:pPr>
        <w:pStyle w:val="Definition-Field2"/>
      </w:pPr>
      <w:r>
        <w:t>Office requires the length to be that of the string before escaping.</w:t>
      </w:r>
    </w:p>
    <w:p w:rsidR="00024C0A" w:rsidRDefault="00694C0F">
      <w:pPr>
        <w:pStyle w:val="Heading3"/>
      </w:pPr>
      <w:bookmarkStart w:id="1359" w:name="section_7a3b21a4906947cfbf05b777e6d2078d"/>
      <w:bookmarkStart w:id="1360" w:name="_Toc12260740"/>
      <w:r>
        <w:t>Part 1 Section 18.</w:t>
      </w:r>
      <w:r>
        <w:t>4.6, rPh (Phonetic Run)</w:t>
      </w:r>
      <w:bookmarkEnd w:id="1359"/>
      <w:bookmarkEnd w:id="1360"/>
      <w:r>
        <w:fldChar w:fldCharType="begin"/>
      </w:r>
      <w:r>
        <w:instrText xml:space="preserve"> XE "rPh (Phonetic Run)" </w:instrText>
      </w:r>
      <w:r>
        <w:fldChar w:fldCharType="end"/>
      </w:r>
    </w:p>
    <w:p w:rsidR="00024C0A" w:rsidRDefault="00694C0F">
      <w:pPr>
        <w:pStyle w:val="Definition-Field"/>
      </w:pPr>
      <w:r>
        <w:t xml:space="preserve">a.   </w:t>
      </w:r>
      <w:r>
        <w:rPr>
          <w:i/>
        </w:rPr>
        <w:t>The standard states that phonetic text is allowed for East Asian languages.</w:t>
      </w:r>
    </w:p>
    <w:p w:rsidR="00024C0A" w:rsidRDefault="00694C0F">
      <w:pPr>
        <w:pStyle w:val="Definition-Field2"/>
      </w:pPr>
      <w:r>
        <w:t>Excel restricts phonetic text to the Japanese language.</w:t>
      </w:r>
    </w:p>
    <w:p w:rsidR="00024C0A" w:rsidRDefault="00694C0F">
      <w:pPr>
        <w:pStyle w:val="Heading3"/>
      </w:pPr>
      <w:bookmarkStart w:id="1361" w:name="section_29f6b8095f1a4b2bb65a0286a0758460"/>
      <w:bookmarkStart w:id="1362" w:name="_Toc12260741"/>
      <w:r>
        <w:t>Part 1 Section 18.4.7, rPr (Run Properties)</w:t>
      </w:r>
      <w:bookmarkEnd w:id="1361"/>
      <w:bookmarkEnd w:id="1362"/>
      <w:r>
        <w:fldChar w:fldCharType="begin"/>
      </w:r>
      <w:r>
        <w:instrText xml:space="preserve"> XE "rPr (Run Properties)</w:instrText>
      </w:r>
      <w:r>
        <w:instrText xml:space="preserve">" </w:instrText>
      </w:r>
      <w:r>
        <w:fldChar w:fldCharType="end"/>
      </w:r>
    </w:p>
    <w:p w:rsidR="00024C0A" w:rsidRDefault="00694C0F">
      <w:pPr>
        <w:pStyle w:val="Definition-Field"/>
      </w:pPr>
      <w:r>
        <w:t xml:space="preserve">a.   </w:t>
      </w:r>
      <w:r>
        <w:rPr>
          <w:i/>
        </w:rPr>
        <w:t>The standard defines the child elements using a choice.</w:t>
      </w:r>
    </w:p>
    <w:p w:rsidR="00024C0A" w:rsidRDefault="00694C0F">
      <w:pPr>
        <w:pStyle w:val="Definition-Field2"/>
      </w:pPr>
      <w:r>
        <w:t>Excel requires the child elements to be in the following sequence:  b, i, strike, condense, extend, outline, shadow, u, vertAlign, sz, color, rFont, family, charset, scheme.</w:t>
      </w:r>
    </w:p>
    <w:p w:rsidR="00024C0A" w:rsidRDefault="00694C0F">
      <w:pPr>
        <w:pStyle w:val="Heading3"/>
      </w:pPr>
      <w:bookmarkStart w:id="1363" w:name="section_7265d89c907745b5826fffa7a10811ae"/>
      <w:bookmarkStart w:id="1364" w:name="_Toc12260742"/>
      <w:r>
        <w:t>Part 1 Section 1</w:t>
      </w:r>
      <w:r>
        <w:t>8.4.8, si (String Item)</w:t>
      </w:r>
      <w:bookmarkEnd w:id="1363"/>
      <w:bookmarkEnd w:id="1364"/>
      <w:r>
        <w:fldChar w:fldCharType="begin"/>
      </w:r>
      <w:r>
        <w:instrText xml:space="preserve"> XE "si (String Item)" </w:instrText>
      </w:r>
      <w:r>
        <w:fldChar w:fldCharType="end"/>
      </w:r>
    </w:p>
    <w:p w:rsidR="00024C0A" w:rsidRDefault="00694C0F">
      <w:pPr>
        <w:pStyle w:val="Definition-Field"/>
      </w:pPr>
      <w:r>
        <w:t xml:space="preserve">a.   </w:t>
      </w:r>
      <w:r>
        <w:rPr>
          <w:i/>
        </w:rPr>
        <w:t>The standard states that t can be an unbounded number of characters.</w:t>
      </w:r>
    </w:p>
    <w:p w:rsidR="00024C0A" w:rsidRDefault="00694C0F">
      <w:pPr>
        <w:pStyle w:val="Definition-Field2"/>
      </w:pPr>
      <w:r>
        <w:t>Excel restricts t to 32767.</w:t>
      </w:r>
    </w:p>
    <w:p w:rsidR="00024C0A" w:rsidRDefault="00694C0F">
      <w:pPr>
        <w:pStyle w:val="Definition-Field"/>
      </w:pPr>
      <w:r>
        <w:t xml:space="preserve">b.   </w:t>
      </w:r>
      <w:r>
        <w:rPr>
          <w:i/>
        </w:rPr>
        <w:t>The standard states that the maxOccurs value for the r child element is unbounded.</w:t>
      </w:r>
    </w:p>
    <w:p w:rsidR="00024C0A" w:rsidRDefault="00694C0F">
      <w:pPr>
        <w:pStyle w:val="Definition-Field2"/>
      </w:pPr>
      <w:r>
        <w:t xml:space="preserve">Excel limits the </w:t>
      </w:r>
      <w:r>
        <w:t>occurrences of this element to 32767.</w:t>
      </w:r>
    </w:p>
    <w:p w:rsidR="00024C0A" w:rsidRDefault="00694C0F">
      <w:pPr>
        <w:pStyle w:val="Definition-Field"/>
      </w:pPr>
      <w:r>
        <w:t xml:space="preserve">c.   </w:t>
      </w:r>
      <w:r>
        <w:rPr>
          <w:i/>
        </w:rPr>
        <w:t>The standard states that the maxOccurs value for the rPh child element is unbounded.</w:t>
      </w:r>
    </w:p>
    <w:p w:rsidR="00024C0A" w:rsidRDefault="00694C0F">
      <w:pPr>
        <w:pStyle w:val="Definition-Field2"/>
      </w:pPr>
      <w:r>
        <w:t>Excel limits the occurrences of this element to 32767.</w:t>
      </w:r>
    </w:p>
    <w:p w:rsidR="00024C0A" w:rsidRDefault="00694C0F">
      <w:pPr>
        <w:pStyle w:val="Heading3"/>
      </w:pPr>
      <w:bookmarkStart w:id="1365" w:name="section_4e99ac5e199d4c0cab34198ab8fbbeba"/>
      <w:bookmarkStart w:id="1366" w:name="_Toc12260743"/>
      <w:r>
        <w:t>Part 1 Section 18.4.9, sst (Shared String Table)</w:t>
      </w:r>
      <w:bookmarkEnd w:id="1365"/>
      <w:bookmarkEnd w:id="1366"/>
      <w:r>
        <w:fldChar w:fldCharType="begin"/>
      </w:r>
      <w:r>
        <w:instrText xml:space="preserve"> XE "sst (Shared String T</w:instrText>
      </w:r>
      <w:r>
        <w:instrText xml:space="preserve">able)" </w:instrText>
      </w:r>
      <w:r>
        <w:fldChar w:fldCharType="end"/>
      </w:r>
    </w:p>
    <w:p w:rsidR="00024C0A" w:rsidRDefault="00694C0F">
      <w:pPr>
        <w:pStyle w:val="Definition-Field"/>
      </w:pPr>
      <w:r>
        <w:t xml:space="preserve">a.   </w:t>
      </w:r>
      <w:r>
        <w:rPr>
          <w:i/>
        </w:rPr>
        <w:t>The standard specifies uniqueCount as an unbound unsigned int.</w:t>
      </w:r>
    </w:p>
    <w:p w:rsidR="00024C0A" w:rsidRDefault="00694C0F">
      <w:pPr>
        <w:pStyle w:val="Definition-Field2"/>
      </w:pPr>
      <w:r>
        <w:t>Office requires the value be less than or equal to 2147483647.</w:t>
      </w:r>
    </w:p>
    <w:p w:rsidR="00024C0A" w:rsidRDefault="00694C0F">
      <w:pPr>
        <w:pStyle w:val="Definition-Field"/>
      </w:pPr>
      <w:r>
        <w:t xml:space="preserve">b.   </w:t>
      </w:r>
      <w:r>
        <w:rPr>
          <w:i/>
        </w:rPr>
        <w:t>The standard specifies count as an unbound unsigned int.</w:t>
      </w:r>
    </w:p>
    <w:p w:rsidR="00024C0A" w:rsidRDefault="00694C0F">
      <w:pPr>
        <w:pStyle w:val="Definition-Field2"/>
      </w:pPr>
      <w:r>
        <w:t>Office requires the value be less than or equal to 21</w:t>
      </w:r>
      <w:r>
        <w:t>47483647.</w:t>
      </w:r>
    </w:p>
    <w:p w:rsidR="00024C0A" w:rsidRDefault="00694C0F">
      <w:pPr>
        <w:pStyle w:val="Heading3"/>
      </w:pPr>
      <w:bookmarkStart w:id="1367" w:name="section_347b28bddabc4ef59fe74e57690fbbd4"/>
      <w:bookmarkStart w:id="1368" w:name="_Toc12260744"/>
      <w:r>
        <w:t>Part 1 Section 18.4.11, sz (Font Size)</w:t>
      </w:r>
      <w:bookmarkEnd w:id="1367"/>
      <w:bookmarkEnd w:id="1368"/>
      <w:r>
        <w:fldChar w:fldCharType="begin"/>
      </w:r>
      <w:r>
        <w:instrText xml:space="preserve"> XE "sz (Font Size)" </w:instrText>
      </w:r>
      <w:r>
        <w:fldChar w:fldCharType="end"/>
      </w:r>
    </w:p>
    <w:p w:rsidR="00024C0A" w:rsidRDefault="00694C0F">
      <w:pPr>
        <w:pStyle w:val="Definition-Field"/>
      </w:pPr>
      <w:r>
        <w:t xml:space="preserve">a.   </w:t>
      </w:r>
      <w:r>
        <w:rPr>
          <w:i/>
        </w:rPr>
        <w:t>The standard restricts the definition of the sz element to Latin and East Asian text only.</w:t>
      </w:r>
    </w:p>
    <w:p w:rsidR="00024C0A" w:rsidRDefault="00694C0F">
      <w:pPr>
        <w:pStyle w:val="Definition-Field2"/>
      </w:pPr>
      <w:r>
        <w:t>Office does not restrict the applicability of the sz element to only Latin and East Asia</w:t>
      </w:r>
      <w:r>
        <w:t>n text, that is, it applies to all text.</w:t>
      </w:r>
    </w:p>
    <w:p w:rsidR="00024C0A" w:rsidRDefault="00694C0F">
      <w:pPr>
        <w:pStyle w:val="Definition-Field"/>
      </w:pPr>
      <w:r>
        <w:t xml:space="preserve">b.   </w:t>
      </w:r>
      <w:r>
        <w:rPr>
          <w:i/>
        </w:rPr>
        <w:t>The standard states that sz is the point size to be used to display text.</w:t>
      </w:r>
    </w:p>
    <w:p w:rsidR="00024C0A" w:rsidRDefault="00694C0F">
      <w:pPr>
        <w:pStyle w:val="Definition-Field2"/>
      </w:pPr>
      <w:r>
        <w:t>Office converts the points provided to twips, and rounding may occur when writing sz@val back to SpreadsheetML files.</w:t>
      </w:r>
    </w:p>
    <w:p w:rsidR="00024C0A" w:rsidRDefault="00694C0F">
      <w:pPr>
        <w:pStyle w:val="Definition-Field"/>
      </w:pPr>
      <w:r>
        <w:t xml:space="preserve">c.   </w:t>
      </w:r>
      <w:r>
        <w:rPr>
          <w:i/>
        </w:rPr>
        <w:t xml:space="preserve">The standard </w:t>
      </w:r>
      <w:r>
        <w:rPr>
          <w:i/>
        </w:rPr>
        <w:t>does not specify restrictions on the val attribute.</w:t>
      </w:r>
    </w:p>
    <w:p w:rsidR="00024C0A" w:rsidRDefault="00694C0F">
      <w:pPr>
        <w:pStyle w:val="Definition-Field2"/>
      </w:pPr>
      <w:r>
        <w:t>Office requires the val attribute to be a double between 1 and 409.55 inclusive.</w:t>
      </w:r>
    </w:p>
    <w:p w:rsidR="00024C0A" w:rsidRDefault="00694C0F">
      <w:pPr>
        <w:pStyle w:val="Heading3"/>
      </w:pPr>
      <w:bookmarkStart w:id="1369" w:name="section_82ad64a7401b4f3493193600b16b2791"/>
      <w:bookmarkStart w:id="1370" w:name="_Toc12260745"/>
      <w:r>
        <w:lastRenderedPageBreak/>
        <w:t>Part 1 Section 18.4.12, t (Text)</w:t>
      </w:r>
      <w:bookmarkEnd w:id="1369"/>
      <w:bookmarkEnd w:id="1370"/>
      <w:r>
        <w:fldChar w:fldCharType="begin"/>
      </w:r>
      <w:r>
        <w:instrText xml:space="preserve"> XE "t (Text)" </w:instrText>
      </w:r>
      <w:r>
        <w:fldChar w:fldCharType="end"/>
      </w:r>
    </w:p>
    <w:p w:rsidR="00024C0A" w:rsidRDefault="00694C0F">
      <w:pPr>
        <w:pStyle w:val="Definition-Field"/>
      </w:pPr>
      <w:r>
        <w:t xml:space="preserve">a.   </w:t>
      </w:r>
      <w:r>
        <w:rPr>
          <w:i/>
        </w:rPr>
        <w:t>The standard makes no mention of an xml:space attribute.</w:t>
      </w:r>
    </w:p>
    <w:p w:rsidR="00024C0A" w:rsidRDefault="00694C0F">
      <w:pPr>
        <w:pStyle w:val="Definition-Field2"/>
      </w:pPr>
      <w:r>
        <w:t xml:space="preserve">Excel uses </w:t>
      </w:r>
      <w:r>
        <w:t>this attribute to specify, using the W3C space preservation rules, how white space should be handled for the element's contents; its allowed values are defined by the XML 1.0 specification.</w:t>
      </w:r>
    </w:p>
    <w:p w:rsidR="00024C0A" w:rsidRDefault="00694C0F">
      <w:pPr>
        <w:pStyle w:val="Definition-Field"/>
      </w:pPr>
      <w:r>
        <w:t xml:space="preserve">b.   </w:t>
      </w:r>
      <w:r>
        <w:rPr>
          <w:i/>
        </w:rPr>
        <w:t>The standard places no restrictions on the length of the valu</w:t>
      </w:r>
      <w:r>
        <w:rPr>
          <w:i/>
        </w:rPr>
        <w:t>e of the t element.</w:t>
      </w:r>
    </w:p>
    <w:p w:rsidR="00024C0A" w:rsidRDefault="00694C0F">
      <w:pPr>
        <w:pStyle w:val="Definition-Field2"/>
      </w:pPr>
      <w:r>
        <w:t>Excel restricts the value of this element to 32767 characters.</w:t>
      </w:r>
    </w:p>
    <w:p w:rsidR="00024C0A" w:rsidRDefault="00694C0F">
      <w:pPr>
        <w:pStyle w:val="Heading3"/>
      </w:pPr>
      <w:bookmarkStart w:id="1371" w:name="section_128d23b57cee4fdf9d4f94103e1bc48f"/>
      <w:bookmarkStart w:id="1372" w:name="_Toc12260746"/>
      <w:r>
        <w:t>Part 1 Section 18.5.1.1, calculatedColumnFormula (Calculated Column Formula)</w:t>
      </w:r>
      <w:bookmarkEnd w:id="1371"/>
      <w:bookmarkEnd w:id="1372"/>
      <w:r>
        <w:fldChar w:fldCharType="begin"/>
      </w:r>
      <w:r>
        <w:instrText xml:space="preserve"> XE "calculatedColumnFormula (Calculated Column Formula)" </w:instrText>
      </w:r>
      <w:r>
        <w:fldChar w:fldCharType="end"/>
      </w:r>
    </w:p>
    <w:p w:rsidR="00024C0A" w:rsidRDefault="00694C0F">
      <w:pPr>
        <w:pStyle w:val="Definition-Field"/>
      </w:pPr>
      <w:r>
        <w:t xml:space="preserve">a.   </w:t>
      </w:r>
      <w:r>
        <w:rPr>
          <w:i/>
        </w:rPr>
        <w:t>The standard makes no mention o</w:t>
      </w:r>
      <w:r>
        <w:rPr>
          <w:i/>
        </w:rPr>
        <w:t>f an xml:space attribute.</w:t>
      </w:r>
    </w:p>
    <w:p w:rsidR="00024C0A" w:rsidRDefault="00694C0F">
      <w:pPr>
        <w:pStyle w:val="Definition-Field2"/>
      </w:pPr>
      <w:r>
        <w:t>Excel uses this attribute to specify, using the W3C space preservation rules, how white space should be handled for the element's contents; its allowed values are defined by the XML 1.0 specification.</w:t>
      </w:r>
    </w:p>
    <w:p w:rsidR="00024C0A" w:rsidRDefault="00694C0F">
      <w:pPr>
        <w:pStyle w:val="Heading3"/>
      </w:pPr>
      <w:bookmarkStart w:id="1373" w:name="section_bd61087c09d44789acf1b7ee8234a373"/>
      <w:bookmarkStart w:id="1374" w:name="_Toc12260747"/>
      <w:r>
        <w:t>Part 1 Section 18.5.1.2, tabl</w:t>
      </w:r>
      <w:r>
        <w:t>e (Table)</w:t>
      </w:r>
      <w:bookmarkEnd w:id="1373"/>
      <w:bookmarkEnd w:id="1374"/>
      <w:r>
        <w:fldChar w:fldCharType="begin"/>
      </w:r>
      <w:r>
        <w:instrText xml:space="preserve"> XE "table (Table)" </w:instrText>
      </w:r>
      <w:r>
        <w:fldChar w:fldCharType="end"/>
      </w:r>
    </w:p>
    <w:p w:rsidR="00024C0A" w:rsidRDefault="00694C0F">
      <w:pPr>
        <w:pStyle w:val="Definition-Field"/>
      </w:pPr>
      <w:r>
        <w:t xml:space="preserve">a.   </w:t>
      </w:r>
      <w:r>
        <w:rPr>
          <w:i/>
        </w:rPr>
        <w:t>The standard states that the values of the id attribute are defined by the XML Schema unsignedInt datatype.</w:t>
      </w:r>
    </w:p>
    <w:p w:rsidR="00024C0A" w:rsidRDefault="00694C0F">
      <w:pPr>
        <w:pStyle w:val="Definition-Field2"/>
      </w:pPr>
      <w:r>
        <w:t>Excel restricts the value of this attribute to be at least 1 and at most 4294967294.</w:t>
      </w:r>
    </w:p>
    <w:p w:rsidR="00024C0A" w:rsidRDefault="00694C0F">
      <w:pPr>
        <w:pStyle w:val="Definition-Field"/>
      </w:pPr>
      <w:r>
        <w:t xml:space="preserve">b.   </w:t>
      </w:r>
      <w:r>
        <w:rPr>
          <w:i/>
        </w:rPr>
        <w:t>The standard does not</w:t>
      </w:r>
      <w:r>
        <w:rPr>
          <w:i/>
        </w:rPr>
        <w:t xml:space="preserve"> limit the length of the value of the name attribute.</w:t>
      </w:r>
    </w:p>
    <w:p w:rsidR="00024C0A" w:rsidRDefault="00694C0F">
      <w:pPr>
        <w:pStyle w:val="Definition-Field2"/>
      </w:pPr>
      <w:r>
        <w:t>Excel restricts the value of this attribute to be at most 255 characters.</w:t>
      </w:r>
    </w:p>
    <w:p w:rsidR="00024C0A" w:rsidRDefault="00694C0F">
      <w:pPr>
        <w:pStyle w:val="Definition-Field"/>
      </w:pPr>
      <w:r>
        <w:t xml:space="preserve">c.   </w:t>
      </w:r>
      <w:r>
        <w:rPr>
          <w:i/>
        </w:rPr>
        <w:t>The standard does not describe what happens if the name attribute value is the empty string or the name attribute is not pr</w:t>
      </w:r>
      <w:r>
        <w:rPr>
          <w:i/>
        </w:rPr>
        <w:t>esent.</w:t>
      </w:r>
    </w:p>
    <w:p w:rsidR="00024C0A" w:rsidRDefault="00694C0F">
      <w:pPr>
        <w:pStyle w:val="Definition-Field2"/>
      </w:pPr>
      <w:r>
        <w:t>Office, if this attribute is not specified or the value is an empty string, the value will be set to the value specified for the required displayName attribute.</w:t>
      </w:r>
    </w:p>
    <w:p w:rsidR="00024C0A" w:rsidRDefault="00694C0F">
      <w:pPr>
        <w:pStyle w:val="Definition-Field"/>
      </w:pPr>
      <w:r>
        <w:t xml:space="preserve">d.   </w:t>
      </w:r>
      <w:r>
        <w:rPr>
          <w:i/>
        </w:rPr>
        <w:t>The standard does not specify a default value for the connectionId attribute.</w:t>
      </w:r>
    </w:p>
    <w:p w:rsidR="00024C0A" w:rsidRDefault="00694C0F">
      <w:pPr>
        <w:pStyle w:val="Definition-Field2"/>
      </w:pPr>
      <w:r>
        <w:t>Excel</w:t>
      </w:r>
      <w:r>
        <w:t xml:space="preserve"> uses a default value of 0 for this attribute.</w:t>
      </w:r>
    </w:p>
    <w:p w:rsidR="00024C0A" w:rsidRDefault="00694C0F">
      <w:pPr>
        <w:pStyle w:val="Definition-Field"/>
      </w:pPr>
      <w:r>
        <w:t xml:space="preserve">e.   </w:t>
      </w:r>
      <w:r>
        <w:rPr>
          <w:i/>
        </w:rPr>
        <w:t>In the standard there are no limits on when the connectionId attribute can be present.</w:t>
      </w:r>
    </w:p>
    <w:p w:rsidR="00024C0A" w:rsidRDefault="00694C0F">
      <w:pPr>
        <w:pStyle w:val="Definition-Field2"/>
      </w:pPr>
      <w:r>
        <w:t>In Office, this attribute must not be specified or the specified value must be 0 if tableType is not xml.</w:t>
      </w:r>
    </w:p>
    <w:p w:rsidR="00024C0A" w:rsidRDefault="00694C0F">
      <w:pPr>
        <w:pStyle w:val="Definition-Field"/>
      </w:pPr>
      <w:r>
        <w:t xml:space="preserve">f.   </w:t>
      </w:r>
      <w:r>
        <w:rPr>
          <w:i/>
        </w:rPr>
        <w:t>In the</w:t>
      </w:r>
      <w:r>
        <w:rPr>
          <w:i/>
        </w:rPr>
        <w:t xml:space="preserve"> standard no relationship between @totalsRowCount and @totalRowShown is specified.</w:t>
      </w:r>
    </w:p>
    <w:p w:rsidR="00024C0A" w:rsidRDefault="00694C0F">
      <w:pPr>
        <w:pStyle w:val="Definition-Field2"/>
      </w:pPr>
      <w:r>
        <w:t>In Office, if @totalsRowCount equals 1, then totalsRowShown must be true.</w:t>
      </w:r>
    </w:p>
    <w:p w:rsidR="00024C0A" w:rsidRDefault="00694C0F">
      <w:pPr>
        <w:pStyle w:val="Definition-Field"/>
      </w:pPr>
      <w:r>
        <w:t xml:space="preserve">g.   </w:t>
      </w:r>
      <w:r>
        <w:rPr>
          <w:i/>
        </w:rPr>
        <w:t>The standard does not limit the length of the value of the comment attribute.</w:t>
      </w:r>
    </w:p>
    <w:p w:rsidR="00024C0A" w:rsidRDefault="00694C0F">
      <w:pPr>
        <w:pStyle w:val="Definition-Field2"/>
      </w:pPr>
      <w:r>
        <w:t xml:space="preserve">Excel restricts </w:t>
      </w:r>
      <w:r>
        <w:t>the value of this attribute to be at most 255 characters.</w:t>
      </w:r>
    </w:p>
    <w:p w:rsidR="00024C0A" w:rsidRDefault="00694C0F">
      <w:pPr>
        <w:pStyle w:val="Definition-Field"/>
      </w:pPr>
      <w:r>
        <w:t xml:space="preserve">h.   </w:t>
      </w:r>
      <w:r>
        <w:rPr>
          <w:i/>
        </w:rPr>
        <w:t>The standard only limits the @ref to include the totals row.</w:t>
      </w:r>
    </w:p>
    <w:p w:rsidR="00024C0A" w:rsidRDefault="00694C0F">
      <w:pPr>
        <w:pStyle w:val="Definition-Field2"/>
      </w:pPr>
      <w:r>
        <w:t>In Office, the count of rows for @ref shall be equal to or greater than the sum of rows specified by: @headerRowCount, @insertRow, a</w:t>
      </w:r>
      <w:r>
        <w:t>nd @totalsRowCount. Additionally, @ref must not overlap with another Table or auto-filter on the same worksheet.</w:t>
      </w:r>
    </w:p>
    <w:p w:rsidR="00024C0A" w:rsidRDefault="00694C0F">
      <w:pPr>
        <w:pStyle w:val="Definition-Field"/>
      </w:pPr>
      <w:r>
        <w:lastRenderedPageBreak/>
        <w:t xml:space="preserve">i.   </w:t>
      </w:r>
      <w:r>
        <w:rPr>
          <w:i/>
        </w:rPr>
        <w:t>The standard does not limit the length of the value of the dataCellStyle attribute.</w:t>
      </w:r>
    </w:p>
    <w:p w:rsidR="00024C0A" w:rsidRDefault="00694C0F">
      <w:pPr>
        <w:pStyle w:val="Definition-Field2"/>
      </w:pPr>
      <w:r>
        <w:t>Excel restricts the value of this attribute to be at l</w:t>
      </w:r>
      <w:r>
        <w:t>east 1 and at most 255 characters.</w:t>
      </w:r>
    </w:p>
    <w:p w:rsidR="00024C0A" w:rsidRDefault="00694C0F">
      <w:pPr>
        <w:pStyle w:val="Definition-Field"/>
      </w:pPr>
      <w:r>
        <w:t xml:space="preserve">j.   </w:t>
      </w:r>
      <w:r>
        <w:rPr>
          <w:i/>
        </w:rPr>
        <w:t>The standard does not limit the length of the value of the headerRowCellStyle attribute.</w:t>
      </w:r>
    </w:p>
    <w:p w:rsidR="00024C0A" w:rsidRDefault="00694C0F">
      <w:pPr>
        <w:pStyle w:val="Definition-Field2"/>
      </w:pPr>
      <w:r>
        <w:t>Excel restricts the value of this attribute to be at least 1 and at most 255 characters.</w:t>
      </w:r>
    </w:p>
    <w:p w:rsidR="00024C0A" w:rsidRDefault="00694C0F">
      <w:pPr>
        <w:pStyle w:val="Definition-Field"/>
      </w:pPr>
      <w:r>
        <w:t xml:space="preserve">k.   </w:t>
      </w:r>
      <w:r>
        <w:rPr>
          <w:i/>
        </w:rPr>
        <w:t>The standard does not limit the l</w:t>
      </w:r>
      <w:r>
        <w:rPr>
          <w:i/>
        </w:rPr>
        <w:t>ength of the value of the totalsRowCellStyle attribute.</w:t>
      </w:r>
    </w:p>
    <w:p w:rsidR="00024C0A" w:rsidRDefault="00694C0F">
      <w:pPr>
        <w:pStyle w:val="Definition-Field2"/>
      </w:pPr>
      <w:r>
        <w:t>Excel restricts the value of this attribute to be at least 1 and at most 255 characters.</w:t>
      </w:r>
    </w:p>
    <w:p w:rsidR="00024C0A" w:rsidRDefault="00694C0F">
      <w:pPr>
        <w:pStyle w:val="Definition-Field"/>
      </w:pPr>
      <w:r>
        <w:t xml:space="preserve">l.   </w:t>
      </w:r>
      <w:r>
        <w:rPr>
          <w:i/>
        </w:rPr>
        <w:t>The standard states that the values of the connectionId attribute are defined by the XML Schema unsignedIn</w:t>
      </w:r>
      <w:r>
        <w:rPr>
          <w:i/>
        </w:rPr>
        <w:t>t datatype.</w:t>
      </w:r>
    </w:p>
    <w:p w:rsidR="00024C0A" w:rsidRDefault="00694C0F">
      <w:pPr>
        <w:pStyle w:val="Definition-Field2"/>
      </w:pPr>
      <w:r>
        <w:t>Excel restricts the value of this attribute to be at most 2147483647.</w:t>
      </w:r>
    </w:p>
    <w:p w:rsidR="00024C0A" w:rsidRDefault="00694C0F">
      <w:pPr>
        <w:pStyle w:val="Heading3"/>
      </w:pPr>
      <w:bookmarkStart w:id="1375" w:name="section_8f4f8ebca0854cefbec96d6a40066513"/>
      <w:bookmarkStart w:id="1376" w:name="_Toc12260748"/>
      <w:r>
        <w:t>Part 1 Section 18.5.1.3, tableColumn (Table Column)</w:t>
      </w:r>
      <w:bookmarkEnd w:id="1375"/>
      <w:bookmarkEnd w:id="1376"/>
      <w:r>
        <w:fldChar w:fldCharType="begin"/>
      </w:r>
      <w:r>
        <w:instrText xml:space="preserve"> XE "tableColumn (Table Column)" </w:instrText>
      </w:r>
      <w:r>
        <w:fldChar w:fldCharType="end"/>
      </w:r>
    </w:p>
    <w:p w:rsidR="00024C0A" w:rsidRDefault="00694C0F">
      <w:pPr>
        <w:pStyle w:val="Definition-Field"/>
      </w:pPr>
      <w:r>
        <w:t xml:space="preserve">a.   </w:t>
      </w:r>
      <w:r>
        <w:rPr>
          <w:i/>
        </w:rPr>
        <w:t>The standard says the maximum string length of the name attribute is unlimited.</w:t>
      </w:r>
    </w:p>
    <w:p w:rsidR="00024C0A" w:rsidRDefault="00694C0F">
      <w:pPr>
        <w:pStyle w:val="Definition-Field2"/>
      </w:pPr>
      <w:r>
        <w:t>In</w:t>
      </w:r>
      <w:r>
        <w:t xml:space="preserve"> Office, the name attribute string length must be less than or equal to 255 characters.</w:t>
      </w:r>
    </w:p>
    <w:p w:rsidR="00024C0A" w:rsidRDefault="00694C0F">
      <w:pPr>
        <w:pStyle w:val="Definition-Field"/>
      </w:pPr>
      <w:r>
        <w:t xml:space="preserve">b.   </w:t>
      </w:r>
      <w:r>
        <w:rPr>
          <w:i/>
        </w:rPr>
        <w:t>The standard says the maximum string length of the uniqueName attribute is unlimited.</w:t>
      </w:r>
    </w:p>
    <w:p w:rsidR="00024C0A" w:rsidRDefault="00694C0F">
      <w:pPr>
        <w:pStyle w:val="Definition-Field2"/>
      </w:pPr>
      <w:r>
        <w:t xml:space="preserve">In Excel, the string length of the uniqueName attribute must be less than or </w:t>
      </w:r>
      <w:r>
        <w:t>equal to 255.</w:t>
      </w:r>
    </w:p>
    <w:p w:rsidR="00024C0A" w:rsidRDefault="00694C0F">
      <w:pPr>
        <w:pStyle w:val="Definition-Field"/>
      </w:pPr>
      <w:r>
        <w:t xml:space="preserve">c.   </w:t>
      </w:r>
      <w:r>
        <w:rPr>
          <w:i/>
        </w:rPr>
        <w:t>The standard specifies that the totalsRowLabel attribute shall be ignored unless totalRowFunction is none.</w:t>
      </w:r>
    </w:p>
    <w:p w:rsidR="00024C0A" w:rsidRDefault="00694C0F">
      <w:pPr>
        <w:pStyle w:val="Definition-Field2"/>
      </w:pPr>
      <w:r>
        <w:t>In Office, the totalsRowLabel attribute shall be absent if totalsRowFunction has the value custom.</w:t>
      </w:r>
    </w:p>
    <w:p w:rsidR="00024C0A" w:rsidRDefault="00694C0F">
      <w:pPr>
        <w:pStyle w:val="Definition-Field"/>
      </w:pPr>
      <w:r>
        <w:t xml:space="preserve">d.   </w:t>
      </w:r>
      <w:r>
        <w:rPr>
          <w:i/>
        </w:rPr>
        <w:t xml:space="preserve">The standard says the </w:t>
      </w:r>
      <w:r>
        <w:rPr>
          <w:i/>
        </w:rPr>
        <w:t>@headerRowCellStyle maximum string length is unlimited.</w:t>
      </w:r>
    </w:p>
    <w:p w:rsidR="00024C0A" w:rsidRDefault="00694C0F">
      <w:pPr>
        <w:pStyle w:val="Definition-Field2"/>
      </w:pPr>
      <w:r>
        <w:t>In Office, the headerRowCellStyle length must be between 1 and 255 characters inclusive.</w:t>
      </w:r>
    </w:p>
    <w:p w:rsidR="00024C0A" w:rsidRDefault="00694C0F">
      <w:pPr>
        <w:pStyle w:val="Definition-Field"/>
      </w:pPr>
      <w:r>
        <w:t xml:space="preserve">e.   </w:t>
      </w:r>
      <w:r>
        <w:rPr>
          <w:i/>
        </w:rPr>
        <w:t>The standard says the @totalsRowCellStyle maximum string length is unlimited.</w:t>
      </w:r>
    </w:p>
    <w:p w:rsidR="00024C0A" w:rsidRDefault="00694C0F">
      <w:pPr>
        <w:pStyle w:val="Definition-Field2"/>
      </w:pPr>
      <w:r>
        <w:t>In Office the length of @tot</w:t>
      </w:r>
      <w:r>
        <w:t>alsRowCellStyle shall be between 1 and 255 inclusive.</w:t>
      </w:r>
    </w:p>
    <w:p w:rsidR="00024C0A" w:rsidRDefault="00694C0F">
      <w:pPr>
        <w:pStyle w:val="Definition-Field"/>
      </w:pPr>
      <w:r>
        <w:t xml:space="preserve">f.   </w:t>
      </w:r>
      <w:r>
        <w:rPr>
          <w:i/>
        </w:rPr>
        <w:t>The standard does not have requirements about the presence of the headerRowCellStyle attribute.</w:t>
      </w:r>
    </w:p>
    <w:p w:rsidR="00024C0A" w:rsidRDefault="00694C0F">
      <w:pPr>
        <w:pStyle w:val="Definition-Field2"/>
      </w:pPr>
      <w:r>
        <w:t>In Office, headerRowCellStyle attribute shall be absent if the enclosing table element's headerRow at</w:t>
      </w:r>
      <w:r>
        <w:t>tribute value is greater than or equal to 1.</w:t>
      </w:r>
    </w:p>
    <w:p w:rsidR="00024C0A" w:rsidRDefault="00694C0F">
      <w:pPr>
        <w:pStyle w:val="Definition-Field"/>
      </w:pPr>
      <w:r>
        <w:t xml:space="preserve">g.   </w:t>
      </w:r>
      <w:r>
        <w:rPr>
          <w:i/>
        </w:rPr>
        <w:t>The standard specifies the queryTableFieldId attribute as an unsignedInt datatype.</w:t>
      </w:r>
    </w:p>
    <w:p w:rsidR="00024C0A" w:rsidRDefault="00694C0F">
      <w:pPr>
        <w:pStyle w:val="Definition-Field2"/>
      </w:pPr>
      <w:r>
        <w:t>In Office, the queryTableFieldId attribute must be greater than zero.</w:t>
      </w:r>
    </w:p>
    <w:p w:rsidR="00024C0A" w:rsidRDefault="00694C0F">
      <w:pPr>
        <w:pStyle w:val="Definition-Field"/>
      </w:pPr>
      <w:r>
        <w:t xml:space="preserve">h.   </w:t>
      </w:r>
      <w:r>
        <w:rPr>
          <w:i/>
        </w:rPr>
        <w:t>The standard says the @id value range is defined</w:t>
      </w:r>
      <w:r>
        <w:rPr>
          <w:i/>
        </w:rPr>
        <w:t xml:space="preserve"> as unsigned integer.</w:t>
      </w:r>
    </w:p>
    <w:p w:rsidR="00024C0A" w:rsidRDefault="00694C0F">
      <w:pPr>
        <w:pStyle w:val="Definition-Field2"/>
      </w:pPr>
      <w:r>
        <w:t>In Office the value of @id must be greater than zero.</w:t>
      </w:r>
    </w:p>
    <w:p w:rsidR="00024C0A" w:rsidRDefault="00694C0F">
      <w:pPr>
        <w:pStyle w:val="Definition-Field"/>
      </w:pPr>
      <w:r>
        <w:t xml:space="preserve">i.   </w:t>
      </w:r>
      <w:r>
        <w:rPr>
          <w:i/>
        </w:rPr>
        <w:t>The standard does not specify any relationship between the value of the name attribute and cell contents.</w:t>
      </w:r>
    </w:p>
    <w:p w:rsidR="00024C0A" w:rsidRDefault="00694C0F">
      <w:pPr>
        <w:pStyle w:val="Definition-Field2"/>
      </w:pPr>
      <w:r>
        <w:t xml:space="preserve">In Office, if the enclosing table element's headerRowCount attribute </w:t>
      </w:r>
      <w:r>
        <w:t>has a value greater than or equal to 1, then this attribute must have the same value as the cell it occupies.</w:t>
      </w:r>
    </w:p>
    <w:p w:rsidR="00024C0A" w:rsidRDefault="00694C0F">
      <w:pPr>
        <w:pStyle w:val="Definition-Field"/>
      </w:pPr>
      <w:r>
        <w:t xml:space="preserve">j.   </w:t>
      </w:r>
      <w:r>
        <w:rPr>
          <w:i/>
        </w:rPr>
        <w:t>The standard says the maximum string length of the totalsRowLabel attribute is unlimited.</w:t>
      </w:r>
    </w:p>
    <w:p w:rsidR="00024C0A" w:rsidRDefault="00694C0F">
      <w:pPr>
        <w:pStyle w:val="Definition-Field2"/>
      </w:pPr>
      <w:r>
        <w:lastRenderedPageBreak/>
        <w:t>In Office, the maximum string length of the totalsR</w:t>
      </w:r>
      <w:r>
        <w:t>owLabel attribute must be less than or equal to 32767.</w:t>
      </w:r>
    </w:p>
    <w:p w:rsidR="00024C0A" w:rsidRDefault="00694C0F">
      <w:pPr>
        <w:pStyle w:val="Definition-Field"/>
      </w:pPr>
      <w:r>
        <w:t xml:space="preserve">k.   </w:t>
      </w:r>
      <w:r>
        <w:rPr>
          <w:i/>
        </w:rPr>
        <w:t>The standard does not specify when the headerRowDxfId attribute shall be absent.</w:t>
      </w:r>
    </w:p>
    <w:p w:rsidR="00024C0A" w:rsidRDefault="00694C0F">
      <w:pPr>
        <w:pStyle w:val="Definition-Field2"/>
      </w:pPr>
      <w:r>
        <w:t xml:space="preserve">In Office, the headerRowDxfId attribute shall be absent if the enclosing table element's headerRow attribute value </w:t>
      </w:r>
      <w:r>
        <w:t>is greater than or equal to 1.</w:t>
      </w:r>
    </w:p>
    <w:p w:rsidR="00024C0A" w:rsidRDefault="00694C0F">
      <w:pPr>
        <w:pStyle w:val="Definition-Field"/>
      </w:pPr>
      <w:r>
        <w:t xml:space="preserve">l.   </w:t>
      </w:r>
      <w:r>
        <w:rPr>
          <w:i/>
        </w:rPr>
        <w:t>The standard says the @dataCellStyle maximum string length is unlimited.</w:t>
      </w:r>
    </w:p>
    <w:p w:rsidR="00024C0A" w:rsidRDefault="00694C0F">
      <w:pPr>
        <w:pStyle w:val="Definition-Field2"/>
      </w:pPr>
      <w:r>
        <w:t>In Office, the @dataCellStyle length must be between 1 and 255 characters inclusive.</w:t>
      </w:r>
    </w:p>
    <w:p w:rsidR="00024C0A" w:rsidRDefault="00694C0F">
      <w:pPr>
        <w:pStyle w:val="Definition-Field"/>
      </w:pPr>
      <w:r>
        <w:t xml:space="preserve">m.   </w:t>
      </w:r>
      <w:r>
        <w:rPr>
          <w:i/>
        </w:rPr>
        <w:t xml:space="preserve">The standard does not specify a relationship between the </w:t>
      </w:r>
      <w:r>
        <w:rPr>
          <w:i/>
        </w:rPr>
        <w:t>queryTableFieldId attribute and @tableType.</w:t>
      </w:r>
    </w:p>
    <w:p w:rsidR="00024C0A" w:rsidRDefault="00694C0F">
      <w:pPr>
        <w:pStyle w:val="Definition-Field2"/>
      </w:pPr>
      <w:r>
        <w:t>In Office, the queryTableFieldId attribute shall be absent when the enclosing table element's tableType attribute equals queryTable.</w:t>
      </w:r>
    </w:p>
    <w:p w:rsidR="00024C0A" w:rsidRDefault="00694C0F">
      <w:pPr>
        <w:pStyle w:val="Definition-Field"/>
      </w:pPr>
      <w:r>
        <w:t xml:space="preserve">n.   </w:t>
      </w:r>
      <w:r>
        <w:rPr>
          <w:i/>
        </w:rPr>
        <w:t>The standard does not specify the totalsRowFunction attribute relationship</w:t>
      </w:r>
      <w:r>
        <w:rPr>
          <w:i/>
        </w:rPr>
        <w:t>s.</w:t>
      </w:r>
    </w:p>
    <w:p w:rsidR="00024C0A" w:rsidRDefault="00694C0F">
      <w:r>
        <w:t>In Office, if the table element attribute totalsRowCount is not 0, the totalsRowFunction attribute shall match the formula of the occupied cell and be of the form SUBTOTAL(&lt;function number&gt;,&lt;ref&gt;), unless the value is none or custom.  A value of none im</w:t>
      </w:r>
      <w:r>
        <w:t>plies no formula.</w:t>
      </w:r>
    </w:p>
    <w:p w:rsidR="00024C0A" w:rsidRDefault="00694C0F">
      <w:pPr>
        <w:pStyle w:val="Heading3"/>
      </w:pPr>
      <w:bookmarkStart w:id="1377" w:name="section_2390d9fdc06a4a93b5e4b8ccbe237708"/>
      <w:bookmarkStart w:id="1378" w:name="_Toc12260749"/>
      <w:r>
        <w:t>Part 1 Section 18.5.1.5, tableStyleInfo (Table Style)</w:t>
      </w:r>
      <w:bookmarkEnd w:id="1377"/>
      <w:bookmarkEnd w:id="1378"/>
      <w:r>
        <w:fldChar w:fldCharType="begin"/>
      </w:r>
      <w:r>
        <w:instrText xml:space="preserve"> XE "tableStyleInfo (Table Style)" </w:instrText>
      </w:r>
      <w:r>
        <w:fldChar w:fldCharType="end"/>
      </w:r>
    </w:p>
    <w:p w:rsidR="00024C0A" w:rsidRDefault="00694C0F">
      <w:pPr>
        <w:pStyle w:val="Definition-Field"/>
      </w:pPr>
      <w:r>
        <w:t xml:space="preserve">a.   </w:t>
      </w:r>
      <w:r>
        <w:rPr>
          <w:i/>
        </w:rPr>
        <w:t>The standard does not limit the length of the value of the name attribute.</w:t>
      </w:r>
    </w:p>
    <w:p w:rsidR="00024C0A" w:rsidRDefault="00694C0F">
      <w:pPr>
        <w:pStyle w:val="Definition-Field2"/>
      </w:pPr>
      <w:r>
        <w:t>Excel restricts the value of this attribute to be at least 1 and at</w:t>
      </w:r>
      <w:r>
        <w:t xml:space="preserve"> most 255 characters.</w:t>
      </w:r>
    </w:p>
    <w:p w:rsidR="00024C0A" w:rsidRDefault="00694C0F">
      <w:pPr>
        <w:pStyle w:val="Definition-Field"/>
      </w:pPr>
      <w:r>
        <w:t xml:space="preserve">b.   </w:t>
      </w:r>
      <w:r>
        <w:rPr>
          <w:i/>
        </w:rPr>
        <w:t>The standard does not specify a default value for the showColumnStripes attribute.</w:t>
      </w:r>
    </w:p>
    <w:p w:rsidR="00024C0A" w:rsidRDefault="00694C0F">
      <w:pPr>
        <w:pStyle w:val="Definition-Field2"/>
      </w:pPr>
      <w:r>
        <w:t>Excel uses a default value of false for this attribute.</w:t>
      </w:r>
    </w:p>
    <w:p w:rsidR="00024C0A" w:rsidRDefault="00694C0F">
      <w:pPr>
        <w:pStyle w:val="Definition-Field"/>
      </w:pPr>
      <w:r>
        <w:t xml:space="preserve">c.   </w:t>
      </w:r>
      <w:r>
        <w:rPr>
          <w:i/>
        </w:rPr>
        <w:t>The standard does not specify a default value for the showFirstColumn attribute.</w:t>
      </w:r>
    </w:p>
    <w:p w:rsidR="00024C0A" w:rsidRDefault="00694C0F">
      <w:pPr>
        <w:pStyle w:val="Definition-Field2"/>
      </w:pPr>
      <w:r>
        <w:t>Excel uses a default value of false for this attribute.</w:t>
      </w:r>
    </w:p>
    <w:p w:rsidR="00024C0A" w:rsidRDefault="00694C0F">
      <w:pPr>
        <w:pStyle w:val="Definition-Field"/>
      </w:pPr>
      <w:r>
        <w:t xml:space="preserve">d.   </w:t>
      </w:r>
      <w:r>
        <w:rPr>
          <w:i/>
        </w:rPr>
        <w:t>The standard does not specify a default value for the showLastColumn attribute.</w:t>
      </w:r>
    </w:p>
    <w:p w:rsidR="00024C0A" w:rsidRDefault="00694C0F">
      <w:pPr>
        <w:pStyle w:val="Definition-Field2"/>
      </w:pPr>
      <w:r>
        <w:t>Excel uses a default value of false for this attribute.</w:t>
      </w:r>
    </w:p>
    <w:p w:rsidR="00024C0A" w:rsidRDefault="00694C0F">
      <w:pPr>
        <w:pStyle w:val="Definition-Field"/>
      </w:pPr>
      <w:r>
        <w:t xml:space="preserve">e.   </w:t>
      </w:r>
      <w:r>
        <w:rPr>
          <w:i/>
        </w:rPr>
        <w:t xml:space="preserve">The standard does not specify a default value for the </w:t>
      </w:r>
      <w:r>
        <w:rPr>
          <w:i/>
        </w:rPr>
        <w:t>showRowStripes attribute.</w:t>
      </w:r>
    </w:p>
    <w:p w:rsidR="00024C0A" w:rsidRDefault="00694C0F">
      <w:pPr>
        <w:pStyle w:val="Definition-Field2"/>
      </w:pPr>
      <w:r>
        <w:t>Excel uses a default value of false for this attribute.</w:t>
      </w:r>
    </w:p>
    <w:p w:rsidR="00024C0A" w:rsidRDefault="00694C0F">
      <w:pPr>
        <w:pStyle w:val="Heading3"/>
      </w:pPr>
      <w:bookmarkStart w:id="1379" w:name="section_0d3053ab7a8b4e3a9e5a59caf6f223c9"/>
      <w:bookmarkStart w:id="1380" w:name="_Toc12260750"/>
      <w:r>
        <w:t>Part 1 Section 18.5.1.6, totalsRowFormula (Totals Row Formula)</w:t>
      </w:r>
      <w:bookmarkEnd w:id="1379"/>
      <w:bookmarkEnd w:id="1380"/>
      <w:r>
        <w:fldChar w:fldCharType="begin"/>
      </w:r>
      <w:r>
        <w:instrText xml:space="preserve"> XE "totalsRowFormula (Totals Row Formula)"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128d23b57cee4fdf9d4f94103e1bc48f">
        <w:r>
          <w:rPr>
            <w:rStyle w:val="Hyperlink"/>
          </w:rPr>
          <w:t>calculatedColumnFormula, §18.5.1.1(a)</w:t>
        </w:r>
      </w:hyperlink>
      <w:r>
        <w:rPr>
          <w:i/>
        </w:rPr>
        <w:t>.</w:t>
      </w:r>
    </w:p>
    <w:p w:rsidR="00024C0A" w:rsidRDefault="00694C0F">
      <w:pPr>
        <w:pStyle w:val="Heading3"/>
      </w:pPr>
      <w:bookmarkStart w:id="1381" w:name="section_23b8caabf8874d62a52cd0f1cb904aab"/>
      <w:bookmarkStart w:id="1382" w:name="_Toc12260751"/>
      <w:r>
        <w:t>Part 1 Section 18.5.1.7, xmlColumnPr (XML Column Properties)</w:t>
      </w:r>
      <w:bookmarkEnd w:id="1381"/>
      <w:bookmarkEnd w:id="1382"/>
      <w:r>
        <w:fldChar w:fldCharType="begin"/>
      </w:r>
      <w:r>
        <w:instrText xml:space="preserve"> XE </w:instrText>
      </w:r>
      <w:r>
        <w:instrText xml:space="preserve">"xmlColumnPr (XML Column Properties)" </w:instrText>
      </w:r>
      <w:r>
        <w:fldChar w:fldCharType="end"/>
      </w:r>
    </w:p>
    <w:p w:rsidR="00024C0A" w:rsidRDefault="00694C0F">
      <w:pPr>
        <w:pStyle w:val="Definition-Field"/>
      </w:pPr>
      <w:r>
        <w:t xml:space="preserve">a.   </w:t>
      </w:r>
      <w:r>
        <w:rPr>
          <w:i/>
        </w:rPr>
        <w:t>The standard does not specify a maximum length for @xpath.</w:t>
      </w:r>
    </w:p>
    <w:p w:rsidR="00024C0A" w:rsidRDefault="00694C0F">
      <w:pPr>
        <w:pStyle w:val="Definition-Field2"/>
      </w:pPr>
      <w:r>
        <w:t>Office requires the decoded string length of @xpath to be less than 32000.</w:t>
      </w:r>
    </w:p>
    <w:p w:rsidR="00024C0A" w:rsidRDefault="00694C0F">
      <w:pPr>
        <w:pStyle w:val="Definition-Field"/>
      </w:pPr>
      <w:r>
        <w:t xml:space="preserve">b.   </w:t>
      </w:r>
      <w:r>
        <w:rPr>
          <w:i/>
        </w:rPr>
        <w:t xml:space="preserve">The standard specifies that the mapId attribute has the value range of </w:t>
      </w:r>
      <w:r>
        <w:rPr>
          <w:i/>
        </w:rPr>
        <w:t>an xs:unsignedInt datatype.</w:t>
      </w:r>
    </w:p>
    <w:p w:rsidR="00024C0A" w:rsidRDefault="00694C0F">
      <w:pPr>
        <w:pStyle w:val="Definition-Field2"/>
      </w:pPr>
      <w:r>
        <w:lastRenderedPageBreak/>
        <w:t>In Excel, the mapId attribute must be greater than 0 and less than 2147483647.</w:t>
      </w:r>
    </w:p>
    <w:p w:rsidR="00024C0A" w:rsidRDefault="00694C0F">
      <w:pPr>
        <w:pStyle w:val="Definition-Field"/>
      </w:pPr>
      <w:r>
        <w:t xml:space="preserve">c.   </w:t>
      </w:r>
      <w:r>
        <w:rPr>
          <w:i/>
        </w:rPr>
        <w:t>The standard states that the denormalized attribute is true if it has been filled down (denormalized) and false otherwise.</w:t>
      </w:r>
    </w:p>
    <w:p w:rsidR="00024C0A" w:rsidRDefault="00694C0F">
      <w:pPr>
        <w:pStyle w:val="Definition-Field2"/>
      </w:pPr>
      <w:r>
        <w:t>The denormalized attr</w:t>
      </w:r>
      <w:r>
        <w:t>ibute does not have any effect on the way Office behaves. Excel always denormalizes non-repeating nodes when mapped to a Table's column.</w:t>
      </w:r>
    </w:p>
    <w:p w:rsidR="00024C0A" w:rsidRDefault="00694C0F">
      <w:pPr>
        <w:pStyle w:val="Heading3"/>
      </w:pPr>
      <w:bookmarkStart w:id="1383" w:name="section_5da2bd53cc8540b2821cdcb841fe740e"/>
      <w:bookmarkStart w:id="1384" w:name="_Toc12260752"/>
      <w:r>
        <w:t>Part 1 Section 18.5.2.1, singleXmlCell (Table Properties)</w:t>
      </w:r>
      <w:bookmarkEnd w:id="1383"/>
      <w:bookmarkEnd w:id="1384"/>
      <w:r>
        <w:fldChar w:fldCharType="begin"/>
      </w:r>
      <w:r>
        <w:instrText xml:space="preserve"> XE "singleXmlCell (Table Properties)" </w:instrText>
      </w:r>
      <w:r>
        <w:fldChar w:fldCharType="end"/>
      </w:r>
    </w:p>
    <w:p w:rsidR="00024C0A" w:rsidRDefault="00694C0F">
      <w:pPr>
        <w:pStyle w:val="Definition-Field"/>
      </w:pPr>
      <w:r>
        <w:t xml:space="preserve">a.   </w:t>
      </w:r>
      <w:r>
        <w:rPr>
          <w:i/>
        </w:rPr>
        <w:t>The standard sp</w:t>
      </w:r>
      <w:r>
        <w:rPr>
          <w:i/>
        </w:rPr>
        <w:t>ecifies the value range for attribute id to be xsd:unsignedInt.</w:t>
      </w:r>
    </w:p>
    <w:p w:rsidR="00024C0A" w:rsidRDefault="00694C0F">
      <w:pPr>
        <w:pStyle w:val="Definition-Field2"/>
      </w:pPr>
      <w:r>
        <w:t>In Office, id shall be between 1 and 4294967294 inclusive.</w:t>
      </w:r>
    </w:p>
    <w:p w:rsidR="00024C0A" w:rsidRDefault="00694C0F">
      <w:pPr>
        <w:pStyle w:val="Definition-Field"/>
      </w:pPr>
      <w:r>
        <w:t xml:space="preserve">b.   </w:t>
      </w:r>
      <w:r>
        <w:rPr>
          <w:i/>
        </w:rPr>
        <w:t>The standard specifies the value range of attribute connectionId to be xsd:unsignedInt.</w:t>
      </w:r>
    </w:p>
    <w:p w:rsidR="00024C0A" w:rsidRDefault="00694C0F">
      <w:pPr>
        <w:pStyle w:val="Definition-Field2"/>
      </w:pPr>
      <w:r>
        <w:t xml:space="preserve">In Office, attribute connectionId shall </w:t>
      </w:r>
      <w:r>
        <w:t>be less than or equal to 2147483647.</w:t>
      </w:r>
    </w:p>
    <w:p w:rsidR="00024C0A" w:rsidRDefault="00694C0F">
      <w:pPr>
        <w:pStyle w:val="Heading3"/>
      </w:pPr>
      <w:bookmarkStart w:id="1385" w:name="section_c4068cc3c49f4d34bbfc4fe10a1a689d"/>
      <w:bookmarkStart w:id="1386" w:name="_Toc12260753"/>
      <w:r>
        <w:t>Part 1 Section 18.5.2.3, xmlCellPr (Cell Properties)</w:t>
      </w:r>
      <w:bookmarkEnd w:id="1385"/>
      <w:bookmarkEnd w:id="1386"/>
      <w:r>
        <w:fldChar w:fldCharType="begin"/>
      </w:r>
      <w:r>
        <w:instrText xml:space="preserve"> XE "xmlCellPr (Cell Properties)" </w:instrText>
      </w:r>
      <w:r>
        <w:fldChar w:fldCharType="end"/>
      </w:r>
    </w:p>
    <w:p w:rsidR="00024C0A" w:rsidRDefault="00694C0F">
      <w:pPr>
        <w:pStyle w:val="Definition-Field"/>
      </w:pPr>
      <w:r>
        <w:t xml:space="preserve">a.   </w:t>
      </w:r>
      <w:r>
        <w:rPr>
          <w:i/>
        </w:rPr>
        <w:t>The standard does not limit the length of the value of the uniqueName attribute.</w:t>
      </w:r>
    </w:p>
    <w:p w:rsidR="00024C0A" w:rsidRDefault="00694C0F">
      <w:pPr>
        <w:pStyle w:val="Definition-Field2"/>
      </w:pPr>
      <w:r>
        <w:t xml:space="preserve">Excel restricts the value of this attribute </w:t>
      </w:r>
      <w:r>
        <w:t>to be at least 1 and at most 255 characters.</w:t>
      </w:r>
    </w:p>
    <w:p w:rsidR="00024C0A" w:rsidRDefault="00694C0F">
      <w:pPr>
        <w:pStyle w:val="Definition-Field"/>
      </w:pPr>
      <w:r>
        <w:t xml:space="preserve">b.   </w:t>
      </w:r>
      <w:r>
        <w:rPr>
          <w:i/>
        </w:rPr>
        <w:t>The standard states that the uniqueName attribute is optional.</w:t>
      </w:r>
    </w:p>
    <w:p w:rsidR="00024C0A" w:rsidRDefault="00694C0F">
      <w:pPr>
        <w:pStyle w:val="Definition-Field2"/>
      </w:pPr>
      <w:r>
        <w:t>Excel requires this attribute.</w:t>
      </w:r>
    </w:p>
    <w:p w:rsidR="00024C0A" w:rsidRDefault="00694C0F">
      <w:pPr>
        <w:pStyle w:val="Heading3"/>
      </w:pPr>
      <w:bookmarkStart w:id="1387" w:name="section_cbb4061e04964dd294f5cacadf834a0a"/>
      <w:bookmarkStart w:id="1388" w:name="_Toc12260754"/>
      <w:r>
        <w:t>Part 1 Section 18.5.2.4, xmlPr (Column XML Properties)</w:t>
      </w:r>
      <w:bookmarkEnd w:id="1387"/>
      <w:bookmarkEnd w:id="1388"/>
      <w:r>
        <w:fldChar w:fldCharType="begin"/>
      </w:r>
      <w:r>
        <w:instrText xml:space="preserve"> XE "xmlPr (Column XML Properties)" </w:instrText>
      </w:r>
      <w:r>
        <w:fldChar w:fldCharType="end"/>
      </w:r>
    </w:p>
    <w:p w:rsidR="00024C0A" w:rsidRDefault="00694C0F">
      <w:pPr>
        <w:pStyle w:val="Definition-Field"/>
      </w:pPr>
      <w:r>
        <w:t xml:space="preserve">a.   </w:t>
      </w:r>
      <w:r>
        <w:rPr>
          <w:i/>
        </w:rPr>
        <w:t>The standard s</w:t>
      </w:r>
      <w:r>
        <w:rPr>
          <w:i/>
        </w:rPr>
        <w:t>pecifies the value range for @xpath to be ST_Xstring.</w:t>
      </w:r>
    </w:p>
    <w:p w:rsidR="00024C0A" w:rsidRDefault="00694C0F">
      <w:pPr>
        <w:pStyle w:val="Definition-Field2"/>
      </w:pPr>
      <w:r>
        <w:t>Office requires that the value of attribute xpath be greater than 0 and less than 32000 characters.</w:t>
      </w:r>
    </w:p>
    <w:p w:rsidR="00024C0A" w:rsidRDefault="00694C0F">
      <w:pPr>
        <w:pStyle w:val="Definition-Field"/>
      </w:pPr>
      <w:r>
        <w:t xml:space="preserve">b.   </w:t>
      </w:r>
      <w:r>
        <w:rPr>
          <w:i/>
        </w:rPr>
        <w:t>The standard specifies that attribute mapId has the value range of xs:unsignedInt.</w:t>
      </w:r>
    </w:p>
    <w:p w:rsidR="00024C0A" w:rsidRDefault="00694C0F">
      <w:pPr>
        <w:pStyle w:val="Definition-Field2"/>
      </w:pPr>
      <w:r>
        <w:t>Office require</w:t>
      </w:r>
      <w:r>
        <w:t>s that the value of attribute mapId be greater than or equal to 1 and less than or equal to 2147483647.</w:t>
      </w:r>
    </w:p>
    <w:p w:rsidR="00024C0A" w:rsidRDefault="00694C0F">
      <w:pPr>
        <w:pStyle w:val="Heading3"/>
      </w:pPr>
      <w:bookmarkStart w:id="1389" w:name="section_67a432a81f584198aec477849c1684fd"/>
      <w:bookmarkStart w:id="1390" w:name="_Toc12260755"/>
      <w:r>
        <w:t>Part 1 Section 18.6.1, c (Cell)</w:t>
      </w:r>
      <w:bookmarkEnd w:id="1389"/>
      <w:bookmarkEnd w:id="1390"/>
      <w:r>
        <w:fldChar w:fldCharType="begin"/>
      </w:r>
      <w:r>
        <w:instrText xml:space="preserve"> XE "c (Cell)" </w:instrText>
      </w:r>
      <w:r>
        <w:fldChar w:fldCharType="end"/>
      </w:r>
    </w:p>
    <w:p w:rsidR="00024C0A" w:rsidRDefault="00694C0F">
      <w:pPr>
        <w:pStyle w:val="Definition-Field"/>
      </w:pPr>
      <w:r>
        <w:t xml:space="preserve">a.   </w:t>
      </w:r>
      <w:r>
        <w:rPr>
          <w:i/>
        </w:rPr>
        <w:t>The standard refers to "c attribute" and "cell's" .</w:t>
      </w:r>
    </w:p>
    <w:p w:rsidR="00024C0A" w:rsidRDefault="00694C0F">
      <w:pPr>
        <w:pStyle w:val="Definition-Field2"/>
      </w:pPr>
      <w:r>
        <w:t xml:space="preserve">Office interprets these to refer to "c </w:t>
      </w:r>
      <w:r>
        <w:t>element" and "cells".</w:t>
      </w:r>
    </w:p>
    <w:p w:rsidR="00024C0A" w:rsidRDefault="00694C0F">
      <w:pPr>
        <w:pStyle w:val="Definition-Field"/>
      </w:pPr>
      <w:r>
        <w:t xml:space="preserve">b.   </w:t>
      </w:r>
      <w:r>
        <w:rPr>
          <w:i/>
        </w:rPr>
        <w:t>The standard does not specify the context of cell for the i attribute.</w:t>
      </w:r>
    </w:p>
    <w:p w:rsidR="00024C0A" w:rsidRDefault="00694C0F">
      <w:pPr>
        <w:pStyle w:val="Definition-Field2"/>
      </w:pPr>
      <w:r>
        <w:t>Office uses the previous cell in the calcChain collection.</w:t>
      </w:r>
    </w:p>
    <w:p w:rsidR="00024C0A" w:rsidRDefault="00694C0F">
      <w:pPr>
        <w:pStyle w:val="Definition-Field"/>
      </w:pPr>
      <w:r>
        <w:t xml:space="preserve">c.   </w:t>
      </w:r>
      <w:r>
        <w:rPr>
          <w:i/>
        </w:rPr>
        <w:t>The standard does not place restrictions between the use of the l attribute and the s attribut</w:t>
      </w:r>
      <w:r>
        <w:rPr>
          <w:i/>
        </w:rPr>
        <w:t>e.</w:t>
      </w:r>
    </w:p>
    <w:p w:rsidR="00024C0A" w:rsidRDefault="00694C0F">
      <w:pPr>
        <w:pStyle w:val="Definition-Field2"/>
      </w:pPr>
      <w:r>
        <w:t>Office requires that the l and s attributes be mutually exclusive.</w:t>
      </w:r>
    </w:p>
    <w:p w:rsidR="00024C0A" w:rsidRDefault="00694C0F">
      <w:pPr>
        <w:pStyle w:val="Definition-Field"/>
      </w:pPr>
      <w:r>
        <w:t xml:space="preserve">d.   </w:t>
      </w:r>
      <w:r>
        <w:rPr>
          <w:i/>
        </w:rPr>
        <w:t>The standard does not adequately describe dependency levels for the l attribute.</w:t>
      </w:r>
    </w:p>
    <w:p w:rsidR="00024C0A" w:rsidRDefault="00694C0F">
      <w:r>
        <w:t>A dependency level is the set of formulas that may depend on formulas on the preceding dependency le</w:t>
      </w:r>
      <w:r>
        <w:t xml:space="preserve">vels. A parent formula, as defined by </w:t>
      </w:r>
      <w:r>
        <w:rPr>
          <w:b/>
        </w:rPr>
        <w:t xml:space="preserve">s </w:t>
      </w:r>
      <w:r>
        <w:t xml:space="preserve">attribute, shall not depend on other formulas on the same dependency level. A child formula, as defined by </w:t>
      </w:r>
      <w:r>
        <w:rPr>
          <w:b/>
        </w:rPr>
        <w:t xml:space="preserve">s </w:t>
      </w:r>
      <w:r>
        <w:t>attribute, shall only depend on other formulas on the same dependency level that precede it on the same chi</w:t>
      </w:r>
      <w:r>
        <w:t>ld chain.</w:t>
      </w:r>
    </w:p>
    <w:p w:rsidR="00024C0A" w:rsidRDefault="00694C0F">
      <w:pPr>
        <w:pStyle w:val="Definition-Field"/>
      </w:pPr>
      <w:r>
        <w:lastRenderedPageBreak/>
        <w:t xml:space="preserve">e.   </w:t>
      </w:r>
      <w:r>
        <w:rPr>
          <w:i/>
        </w:rPr>
        <w:t>The standard does not adequately describe child chains for the s attribute.</w:t>
      </w:r>
    </w:p>
    <w:p w:rsidR="00024C0A" w:rsidRDefault="00694C0F">
      <w:r>
        <w:t xml:space="preserve">A child chain is a sequence of </w:t>
      </w:r>
      <w:r>
        <w:rPr>
          <w:b/>
        </w:rPr>
        <w:t>c</w:t>
      </w:r>
      <w:r>
        <w:t xml:space="preserve"> elements and the corresponding formulas that have </w:t>
      </w:r>
      <w:r>
        <w:rPr>
          <w:b/>
        </w:rPr>
        <w:t xml:space="preserve">s </w:t>
      </w:r>
      <w:r>
        <w:t xml:space="preserve">attribute equal to true. A parent formula is a formula corresponding to the </w:t>
      </w:r>
      <w:r>
        <w:rPr>
          <w:b/>
        </w:rPr>
        <w:t>c</w:t>
      </w:r>
      <w:r>
        <w:t xml:space="preserve"> element that has </w:t>
      </w:r>
      <w:r>
        <w:rPr>
          <w:b/>
        </w:rPr>
        <w:t>s</w:t>
      </w:r>
      <w:r>
        <w:t xml:space="preserve"> attribute equal to false, and that immediately precedes the child chain. The child chain’s formulas, within the same dependency level, depend only on the preceding child formulas and on the parent formula.</w:t>
      </w:r>
    </w:p>
    <w:p w:rsidR="00024C0A" w:rsidRDefault="00694C0F">
      <w:pPr>
        <w:pStyle w:val="Definition-Field"/>
      </w:pPr>
      <w:r>
        <w:t xml:space="preserve">f.   </w:t>
      </w:r>
      <w:r>
        <w:rPr>
          <w:i/>
        </w:rPr>
        <w:t xml:space="preserve">The standard states that </w:t>
      </w:r>
      <w:r>
        <w:rPr>
          <w:i/>
        </w:rPr>
        <w:t>when the s attribute is omitted its value is inherited from the previous c element.</w:t>
      </w:r>
    </w:p>
    <w:p w:rsidR="00024C0A" w:rsidRDefault="00694C0F">
      <w:pPr>
        <w:pStyle w:val="Definition-Field2"/>
      </w:pPr>
      <w:r>
        <w:t>Office defaults to false when the s attribute is omitted, indicating that the formula is a parent formula.</w:t>
      </w:r>
    </w:p>
    <w:p w:rsidR="00024C0A" w:rsidRDefault="00694C0F">
      <w:pPr>
        <w:pStyle w:val="Definition-Field"/>
      </w:pPr>
      <w:r>
        <w:t xml:space="preserve">g.   </w:t>
      </w:r>
      <w:r>
        <w:rPr>
          <w:i/>
        </w:rPr>
        <w:t>The standard specifies @t starts a new thread.</w:t>
      </w:r>
    </w:p>
    <w:p w:rsidR="00024C0A" w:rsidRDefault="00694C0F">
      <w:pPr>
        <w:pStyle w:val="Definition-Field2"/>
      </w:pPr>
      <w:r>
        <w:t>Office treats</w:t>
      </w:r>
      <w:r>
        <w:t xml:space="preserve"> the attribute as deprecated and is ignored.</w:t>
      </w:r>
    </w:p>
    <w:p w:rsidR="00024C0A" w:rsidRDefault="00694C0F">
      <w:pPr>
        <w:pStyle w:val="Definition-Field"/>
      </w:pPr>
      <w:r>
        <w:t xml:space="preserve">h.   </w:t>
      </w:r>
      <w:r>
        <w:rPr>
          <w:i/>
        </w:rPr>
        <w:t>The standard states that the values of the i attribute are defined by the XML int datatype.</w:t>
      </w:r>
    </w:p>
    <w:p w:rsidR="00024C0A" w:rsidRDefault="00694C0F">
      <w:pPr>
        <w:pStyle w:val="Definition-Field2"/>
      </w:pPr>
      <w:r>
        <w:t>Excel restricts the value of this attribute to be at least 1 and at most 65534.</w:t>
      </w:r>
    </w:p>
    <w:p w:rsidR="00024C0A" w:rsidRDefault="00694C0F">
      <w:pPr>
        <w:pStyle w:val="Definition-Field"/>
      </w:pPr>
      <w:r>
        <w:t xml:space="preserve">i.   </w:t>
      </w:r>
      <w:r>
        <w:rPr>
          <w:i/>
        </w:rPr>
        <w:t xml:space="preserve">The standard states that the </w:t>
      </w:r>
      <w:r>
        <w:rPr>
          <w:i/>
        </w:rPr>
        <w:t>default value of the i attribute is 0.</w:t>
      </w:r>
    </w:p>
    <w:p w:rsidR="00024C0A" w:rsidRDefault="00694C0F">
      <w:pPr>
        <w:pStyle w:val="Definition-Field2"/>
      </w:pPr>
      <w:r>
        <w:t>Excel requires this attribute to be specified on the first cell in the calcChain collection; the default value on subsequent cells is taken from the previous record.</w:t>
      </w:r>
    </w:p>
    <w:p w:rsidR="00024C0A" w:rsidRDefault="00694C0F">
      <w:pPr>
        <w:pStyle w:val="Heading3"/>
      </w:pPr>
      <w:bookmarkStart w:id="1391" w:name="section_ae3bd10a0ef44b559ee681b26f8229b0"/>
      <w:bookmarkStart w:id="1392" w:name="_Toc12260756"/>
      <w:r>
        <w:t>Part 1 Section 18.7.1, author (Author)</w:t>
      </w:r>
      <w:bookmarkEnd w:id="1391"/>
      <w:bookmarkEnd w:id="1392"/>
      <w:r>
        <w:fldChar w:fldCharType="begin"/>
      </w:r>
      <w:r>
        <w:instrText xml:space="preserve"> XE "author (</w:instrText>
      </w:r>
      <w:r>
        <w:instrText xml:space="preserve">Author)" </w:instrText>
      </w:r>
      <w:r>
        <w:fldChar w:fldCharType="end"/>
      </w:r>
    </w:p>
    <w:p w:rsidR="00024C0A" w:rsidRDefault="00694C0F">
      <w:pPr>
        <w:pStyle w:val="Definition-Field"/>
      </w:pPr>
      <w:r>
        <w:t xml:space="preserve">a.   </w:t>
      </w:r>
      <w:r>
        <w:rPr>
          <w:i/>
        </w:rPr>
        <w:t>The standard does not limit the length of the value of the author element.</w:t>
      </w:r>
    </w:p>
    <w:p w:rsidR="00024C0A" w:rsidRDefault="00694C0F">
      <w:pPr>
        <w:pStyle w:val="Definition-Field2"/>
      </w:pPr>
      <w:r>
        <w:t>Excel restricts the value of this element to be at most 65535 characters.</w:t>
      </w:r>
    </w:p>
    <w:p w:rsidR="00024C0A" w:rsidRDefault="00694C0F">
      <w:pPr>
        <w:pStyle w:val="Definition-Field"/>
      </w:pPr>
      <w:r>
        <w:t xml:space="preserve">b.   </w:t>
      </w:r>
      <w:r>
        <w:rPr>
          <w:i/>
        </w:rPr>
        <w:t>The standard makes no mention of an xml:space attribute.</w:t>
      </w:r>
    </w:p>
    <w:p w:rsidR="00024C0A" w:rsidRDefault="00694C0F">
      <w:pPr>
        <w:pStyle w:val="Definition-Field2"/>
      </w:pPr>
      <w:r>
        <w:t>Excel uses this attribute to</w:t>
      </w:r>
      <w:r>
        <w:t xml:space="preserve"> specify, using the W3C space preservation rules, how white space should be handled for the element's contents; its allowed values are defined by the XML 1.0 specification.</w:t>
      </w:r>
    </w:p>
    <w:p w:rsidR="00024C0A" w:rsidRDefault="00694C0F">
      <w:pPr>
        <w:pStyle w:val="Heading3"/>
      </w:pPr>
      <w:bookmarkStart w:id="1393" w:name="section_894596a2886444408e7e51c339d8e665"/>
      <w:bookmarkStart w:id="1394" w:name="_Toc12260757"/>
      <w:r>
        <w:t>Part 1 Section 18.7.3, comment (Comment)</w:t>
      </w:r>
      <w:bookmarkEnd w:id="1393"/>
      <w:bookmarkEnd w:id="1394"/>
      <w:r>
        <w:fldChar w:fldCharType="begin"/>
      </w:r>
      <w:r>
        <w:instrText xml:space="preserve"> XE "comment (Comment)" </w:instrText>
      </w:r>
      <w:r>
        <w:fldChar w:fldCharType="end"/>
      </w:r>
    </w:p>
    <w:p w:rsidR="00024C0A" w:rsidRDefault="00694C0F">
      <w:pPr>
        <w:pStyle w:val="Definition-Field"/>
      </w:pPr>
      <w:r>
        <w:t xml:space="preserve">a.   </w:t>
      </w:r>
      <w:r>
        <w:rPr>
          <w:i/>
        </w:rPr>
        <w:t>The standar</w:t>
      </w:r>
      <w:r>
        <w:rPr>
          <w:i/>
        </w:rPr>
        <w:t>d specifies @guid is required and unique if the workbook is shared.</w:t>
      </w:r>
    </w:p>
    <w:p w:rsidR="00024C0A" w:rsidRDefault="00694C0F">
      <w:pPr>
        <w:pStyle w:val="Definition-Field2"/>
      </w:pPr>
      <w:r>
        <w:t>Excel additionally specifies @guid is optional if the workbook is not shared.</w:t>
      </w:r>
    </w:p>
    <w:p w:rsidR="00024C0A" w:rsidRDefault="00694C0F">
      <w:pPr>
        <w:pStyle w:val="Definition-Field"/>
      </w:pPr>
      <w:r>
        <w:t xml:space="preserve">b.   </w:t>
      </w:r>
      <w:r>
        <w:rPr>
          <w:i/>
        </w:rPr>
        <w:t>The standard specifies that the shapeId attribute is a valid attribute of the comment element.</w:t>
      </w:r>
    </w:p>
    <w:p w:rsidR="00024C0A" w:rsidRDefault="00694C0F">
      <w:pPr>
        <w:pStyle w:val="Definition-Field2"/>
      </w:pPr>
      <w:r>
        <w:t xml:space="preserve">Excel </w:t>
      </w:r>
      <w:r>
        <w:t>ignores the shapeId attribute.</w:t>
      </w:r>
    </w:p>
    <w:p w:rsidR="00024C0A" w:rsidRDefault="00694C0F">
      <w:pPr>
        <w:pStyle w:val="Heading3"/>
      </w:pPr>
      <w:bookmarkStart w:id="1395" w:name="section_e9edd17d6abd4eb4809926c53991de54"/>
      <w:bookmarkStart w:id="1396" w:name="_Toc12260758"/>
      <w:r>
        <w:t>Part 1 Section 18.7.5, commentPr (Comment Properties)</w:t>
      </w:r>
      <w:bookmarkEnd w:id="1395"/>
      <w:bookmarkEnd w:id="1396"/>
      <w:r>
        <w:fldChar w:fldCharType="begin"/>
      </w:r>
      <w:r>
        <w:instrText xml:space="preserve"> XE "commentPr (Comment Properties)" </w:instrText>
      </w:r>
      <w:r>
        <w:fldChar w:fldCharType="end"/>
      </w:r>
    </w:p>
    <w:p w:rsidR="00024C0A" w:rsidRDefault="00694C0F">
      <w:pPr>
        <w:pStyle w:val="Definition-Field"/>
      </w:pPr>
      <w:r>
        <w:t xml:space="preserve">a.   </w:t>
      </w:r>
      <w:r>
        <w:rPr>
          <w:i/>
        </w:rPr>
        <w:t>The standard specifies the commentPR element.</w:t>
      </w:r>
    </w:p>
    <w:p w:rsidR="00024C0A" w:rsidRDefault="00694C0F">
      <w:pPr>
        <w:pStyle w:val="Definition-Field2"/>
      </w:pPr>
      <w:r>
        <w:t>Excel will fail to open a file containing the commentPR element.</w:t>
      </w:r>
    </w:p>
    <w:p w:rsidR="00024C0A" w:rsidRDefault="00694C0F">
      <w:pPr>
        <w:pStyle w:val="Heading3"/>
      </w:pPr>
      <w:bookmarkStart w:id="1397" w:name="section_ef31a978e97949ee82693ea9b145bef3"/>
      <w:bookmarkStart w:id="1398" w:name="_Toc12260759"/>
      <w:r>
        <w:t>Part 1 Section 1</w:t>
      </w:r>
      <w:r>
        <w:t>8.7.7, text (Comment Text)</w:t>
      </w:r>
      <w:bookmarkEnd w:id="1397"/>
      <w:bookmarkEnd w:id="1398"/>
      <w:r>
        <w:fldChar w:fldCharType="begin"/>
      </w:r>
      <w:r>
        <w:instrText xml:space="preserve"> XE "text (Comment Text)"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76b69cb6d97e4dd28106a823c4e65d0c">
        <w:r>
          <w:rPr>
            <w:rStyle w:val="Hyperlink"/>
          </w:rPr>
          <w:t>is, §18.3.1.53(a, b)</w:t>
        </w:r>
      </w:hyperlink>
      <w:r>
        <w:rPr>
          <w:i/>
        </w:rPr>
        <w:t xml:space="preserve">; </w:t>
      </w:r>
      <w:hyperlink w:anchor="Section_82ad64a7401b4f3493193600b16b2791">
        <w:r>
          <w:rPr>
            <w:rStyle w:val="Hyperlink"/>
          </w:rPr>
          <w:t>t, §18.4.12(b)</w:t>
        </w:r>
      </w:hyperlink>
      <w:r>
        <w:rPr>
          <w:i/>
        </w:rPr>
        <w:t>.</w:t>
      </w:r>
    </w:p>
    <w:p w:rsidR="00024C0A" w:rsidRDefault="00694C0F">
      <w:pPr>
        <w:pStyle w:val="Heading3"/>
      </w:pPr>
      <w:bookmarkStart w:id="1399" w:name="section_e4ad6e3e77024dbe8c44f5a4c686c440"/>
      <w:bookmarkStart w:id="1400" w:name="_Toc12260760"/>
      <w:r>
        <w:lastRenderedPageBreak/>
        <w:t>Part 1 Section 18.8.1, alignment (Alignment)</w:t>
      </w:r>
      <w:bookmarkEnd w:id="1399"/>
      <w:bookmarkEnd w:id="1400"/>
      <w:r>
        <w:fldChar w:fldCharType="begin"/>
      </w:r>
      <w:r>
        <w:instrText xml:space="preserve"> XE "alignment (Alignment)" </w:instrText>
      </w:r>
      <w:r>
        <w:fldChar w:fldCharType="end"/>
      </w:r>
    </w:p>
    <w:p w:rsidR="00024C0A" w:rsidRDefault="00694C0F">
      <w:pPr>
        <w:pStyle w:val="Definition-Field"/>
      </w:pPr>
      <w:r>
        <w:t xml:space="preserve">a.   </w:t>
      </w:r>
      <w:r>
        <w:rPr>
          <w:i/>
        </w:rPr>
        <w:t>The standard states that the values of the textRotation attribute are defined by the XML Schema unsignedInt.</w:t>
      </w:r>
    </w:p>
    <w:p w:rsidR="00024C0A" w:rsidRDefault="00694C0F">
      <w:pPr>
        <w:pStyle w:val="Definition-Field2"/>
      </w:pPr>
      <w:r>
        <w:t>Excel restrict</w:t>
      </w:r>
      <w:r>
        <w:t>s the value of this attribute to be in the range 0-180 inclusive or 255. The meaning of the values 0-180 is defined in the standard, 255 means Vertical Text.</w:t>
      </w:r>
    </w:p>
    <w:p w:rsidR="00024C0A" w:rsidRDefault="00694C0F">
      <w:pPr>
        <w:pStyle w:val="Definition-Field"/>
      </w:pPr>
      <w:r>
        <w:t xml:space="preserve">b.   </w:t>
      </w:r>
      <w:r>
        <w:rPr>
          <w:i/>
        </w:rPr>
        <w:t>The standard states that the values of the indent attribute are defined by the XML Schema uns</w:t>
      </w:r>
      <w:r>
        <w:rPr>
          <w:i/>
        </w:rPr>
        <w:t>ignedInt datatype.</w:t>
      </w:r>
    </w:p>
    <w:p w:rsidR="00024C0A" w:rsidRDefault="00694C0F">
      <w:pPr>
        <w:pStyle w:val="Definition-Field2"/>
      </w:pPr>
      <w:r>
        <w:t>Excel restricts the value of this attribute to be at most 255.</w:t>
      </w:r>
    </w:p>
    <w:p w:rsidR="00024C0A" w:rsidRDefault="00694C0F">
      <w:pPr>
        <w:pStyle w:val="Definition-Field"/>
      </w:pPr>
      <w:r>
        <w:t xml:space="preserve">c.   </w:t>
      </w:r>
      <w:r>
        <w:rPr>
          <w:i/>
        </w:rPr>
        <w:t>The standard states that the values of the readingOrder attribute are defined by the XML Schema unsignedInt datatype.</w:t>
      </w:r>
    </w:p>
    <w:p w:rsidR="00024C0A" w:rsidRDefault="00694C0F">
      <w:pPr>
        <w:pStyle w:val="Definition-Field2"/>
      </w:pPr>
      <w:r>
        <w:t xml:space="preserve">Excel restricts the value of this attribute to be </w:t>
      </w:r>
      <w:r>
        <w:t>0, 1, or 2.</w:t>
      </w:r>
    </w:p>
    <w:p w:rsidR="00024C0A" w:rsidRDefault="00694C0F">
      <w:pPr>
        <w:pStyle w:val="Definition-Field"/>
      </w:pPr>
      <w:r>
        <w:t xml:space="preserve">d.   </w:t>
      </w:r>
      <w:r>
        <w:rPr>
          <w:i/>
        </w:rPr>
        <w:t>The standard does not specify a default value for the horizontal attribute.</w:t>
      </w:r>
    </w:p>
    <w:p w:rsidR="00024C0A" w:rsidRDefault="00694C0F">
      <w:pPr>
        <w:pStyle w:val="Definition-Field2"/>
      </w:pPr>
      <w:r>
        <w:t>Excel uses a default value of general for this attribute.</w:t>
      </w:r>
    </w:p>
    <w:p w:rsidR="00024C0A" w:rsidRDefault="00694C0F">
      <w:pPr>
        <w:pStyle w:val="Definition-Field"/>
      </w:pPr>
      <w:r>
        <w:t xml:space="preserve">e.   </w:t>
      </w:r>
      <w:r>
        <w:rPr>
          <w:i/>
        </w:rPr>
        <w:t>The standard does not specify a default value for the vertical attribute.</w:t>
      </w:r>
    </w:p>
    <w:p w:rsidR="00024C0A" w:rsidRDefault="00694C0F">
      <w:pPr>
        <w:pStyle w:val="Definition-Field2"/>
      </w:pPr>
      <w:r>
        <w:t>Excel uses a default value</w:t>
      </w:r>
      <w:r>
        <w:t xml:space="preserve"> of bottom for this attribute.</w:t>
      </w:r>
    </w:p>
    <w:p w:rsidR="00024C0A" w:rsidRDefault="00694C0F">
      <w:pPr>
        <w:pStyle w:val="Definition-Field"/>
      </w:pPr>
      <w:r>
        <w:t xml:space="preserve">f.   </w:t>
      </w:r>
      <w:r>
        <w:rPr>
          <w:i/>
        </w:rPr>
        <w:t>The standard does not specify a default value for the textRotation attribute.</w:t>
      </w:r>
    </w:p>
    <w:p w:rsidR="00024C0A" w:rsidRDefault="00694C0F">
      <w:pPr>
        <w:pStyle w:val="Definition-Field2"/>
      </w:pPr>
      <w:r>
        <w:t>Excel uses a default value of 0 for this attribute.</w:t>
      </w:r>
    </w:p>
    <w:p w:rsidR="00024C0A" w:rsidRDefault="00694C0F">
      <w:pPr>
        <w:pStyle w:val="Definition-Field"/>
      </w:pPr>
      <w:r>
        <w:t xml:space="preserve">g.   </w:t>
      </w:r>
      <w:r>
        <w:rPr>
          <w:i/>
        </w:rPr>
        <w:t>The standard does not specify a default value for the wrapText attribute.</w:t>
      </w:r>
    </w:p>
    <w:p w:rsidR="00024C0A" w:rsidRDefault="00694C0F">
      <w:pPr>
        <w:pStyle w:val="Definition-Field2"/>
      </w:pPr>
      <w:r>
        <w:t xml:space="preserve">Excel uses </w:t>
      </w:r>
      <w:r>
        <w:t>a default value of false for this attribute.</w:t>
      </w:r>
    </w:p>
    <w:p w:rsidR="00024C0A" w:rsidRDefault="00694C0F">
      <w:pPr>
        <w:pStyle w:val="Definition-Field"/>
      </w:pPr>
      <w:r>
        <w:t xml:space="preserve">h.   </w:t>
      </w:r>
      <w:r>
        <w:rPr>
          <w:i/>
        </w:rPr>
        <w:t>The standard does not specify a default value for the indent attribute.</w:t>
      </w:r>
    </w:p>
    <w:p w:rsidR="00024C0A" w:rsidRDefault="00694C0F">
      <w:pPr>
        <w:pStyle w:val="Definition-Field2"/>
      </w:pPr>
      <w:r>
        <w:t>Excel uses a default value of 0 for this attribute.</w:t>
      </w:r>
    </w:p>
    <w:p w:rsidR="00024C0A" w:rsidRDefault="00694C0F">
      <w:pPr>
        <w:pStyle w:val="Definition-Field"/>
      </w:pPr>
      <w:r>
        <w:t xml:space="preserve">i.   </w:t>
      </w:r>
      <w:r>
        <w:rPr>
          <w:i/>
        </w:rPr>
        <w:t>The standard does not specify a default value for the relativeIndent attribut</w:t>
      </w:r>
      <w:r>
        <w:rPr>
          <w:i/>
        </w:rPr>
        <w:t>e.</w:t>
      </w:r>
    </w:p>
    <w:p w:rsidR="00024C0A" w:rsidRDefault="00694C0F">
      <w:pPr>
        <w:pStyle w:val="Definition-Field2"/>
      </w:pPr>
      <w:r>
        <w:t>Excel uses a default value of 0 for this attribute.</w:t>
      </w:r>
    </w:p>
    <w:p w:rsidR="00024C0A" w:rsidRDefault="00694C0F">
      <w:pPr>
        <w:pStyle w:val="Definition-Field"/>
      </w:pPr>
      <w:r>
        <w:t xml:space="preserve">j.   </w:t>
      </w:r>
      <w:r>
        <w:rPr>
          <w:i/>
        </w:rPr>
        <w:t>The standard does not specify a default value for the justifyLastLine attribute.</w:t>
      </w:r>
    </w:p>
    <w:p w:rsidR="00024C0A" w:rsidRDefault="00694C0F">
      <w:pPr>
        <w:pStyle w:val="Definition-Field2"/>
      </w:pPr>
      <w:r>
        <w:t>Excel uses a default value of false for this attribute.</w:t>
      </w:r>
    </w:p>
    <w:p w:rsidR="00024C0A" w:rsidRDefault="00694C0F">
      <w:pPr>
        <w:pStyle w:val="Definition-Field"/>
      </w:pPr>
      <w:r>
        <w:t xml:space="preserve">k.   </w:t>
      </w:r>
      <w:r>
        <w:rPr>
          <w:i/>
        </w:rPr>
        <w:t xml:space="preserve">The standard does not specify a default value for the </w:t>
      </w:r>
      <w:r>
        <w:rPr>
          <w:i/>
        </w:rPr>
        <w:t>shrinkToFit attribute.</w:t>
      </w:r>
    </w:p>
    <w:p w:rsidR="00024C0A" w:rsidRDefault="00694C0F">
      <w:pPr>
        <w:pStyle w:val="Definition-Field2"/>
      </w:pPr>
      <w:r>
        <w:t>Excel uses a default value of false for this attribute.</w:t>
      </w:r>
    </w:p>
    <w:p w:rsidR="00024C0A" w:rsidRDefault="00694C0F">
      <w:pPr>
        <w:pStyle w:val="Definition-Field"/>
      </w:pPr>
      <w:r>
        <w:t xml:space="preserve">l.   </w:t>
      </w:r>
      <w:r>
        <w:rPr>
          <w:i/>
        </w:rPr>
        <w:t>The standard does not specify a default value for the readingOrder attribute.</w:t>
      </w:r>
    </w:p>
    <w:p w:rsidR="00024C0A" w:rsidRDefault="00694C0F">
      <w:pPr>
        <w:pStyle w:val="Definition-Field2"/>
      </w:pPr>
      <w:r>
        <w:t>Excel uses a default value of 0 for this attribute.</w:t>
      </w:r>
    </w:p>
    <w:p w:rsidR="00024C0A" w:rsidRDefault="00694C0F">
      <w:pPr>
        <w:pStyle w:val="Heading3"/>
      </w:pPr>
      <w:bookmarkStart w:id="1401" w:name="section_2b0a8b9d392f46c1b3c1c5a5f98f8e69"/>
      <w:bookmarkStart w:id="1402" w:name="_Toc12260761"/>
      <w:r>
        <w:t>Part 1 Section 18.8.3, bgColor (Background Color)</w:t>
      </w:r>
      <w:bookmarkEnd w:id="1401"/>
      <w:bookmarkEnd w:id="1402"/>
      <w:r>
        <w:fldChar w:fldCharType="begin"/>
      </w:r>
      <w:r>
        <w:instrText xml:space="preserve"> XE "bgColor (Background Color)"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903e02250adb44a3864f59cacf639a76">
        <w:r>
          <w:rPr>
            <w:rStyle w:val="Hyperlink"/>
          </w:rPr>
          <w:t>color, §18.3.1.15(</w:t>
        </w:r>
        <w:r>
          <w:rPr>
            <w:rStyle w:val="Hyperlink"/>
          </w:rPr>
          <w:t>b-d)</w:t>
        </w:r>
      </w:hyperlink>
      <w:r>
        <w:rPr>
          <w:i/>
        </w:rPr>
        <w:t xml:space="preserve">; </w:t>
      </w:r>
      <w:hyperlink w:anchor="Section_57f3992c0f4646afa3c764132f66ebe0">
        <w:r>
          <w:rPr>
            <w:rStyle w:val="Hyperlink"/>
          </w:rPr>
          <w:t>tabColor, §18.3.1.93(a-c)</w:t>
        </w:r>
      </w:hyperlink>
      <w:r>
        <w:rPr>
          <w:i/>
        </w:rPr>
        <w:t>.</w:t>
      </w:r>
    </w:p>
    <w:p w:rsidR="00024C0A" w:rsidRDefault="00694C0F">
      <w:pPr>
        <w:pStyle w:val="Definition-Field"/>
      </w:pPr>
      <w:r>
        <w:t xml:space="preserve">a.   </w:t>
      </w:r>
      <w:r>
        <w:rPr>
          <w:i/>
        </w:rPr>
        <w:t>The standard does not specify the priorities of the various color types.</w:t>
      </w:r>
    </w:p>
    <w:p w:rsidR="00024C0A" w:rsidRDefault="00694C0F">
      <w:pPr>
        <w:pStyle w:val="Definition-Field2"/>
      </w:pPr>
      <w:r>
        <w:lastRenderedPageBreak/>
        <w:t>Office prioritizes the attributes as auto &lt; indexed &lt; rgb &lt; theme, and only roundt</w:t>
      </w:r>
      <w:r>
        <w:t>rips the type with the highest priority if two or more are specified.</w:t>
      </w:r>
    </w:p>
    <w:p w:rsidR="00024C0A" w:rsidRDefault="00694C0F">
      <w:pPr>
        <w:pStyle w:val="Heading3"/>
      </w:pPr>
      <w:bookmarkStart w:id="1403" w:name="section_e9bf10bfee5749fa9c1baece23e733cb"/>
      <w:bookmarkStart w:id="1404" w:name="_Toc12260762"/>
      <w:r>
        <w:t>Part 1 Section 18.8.4, border (Border)</w:t>
      </w:r>
      <w:bookmarkEnd w:id="1403"/>
      <w:bookmarkEnd w:id="1404"/>
      <w:r>
        <w:fldChar w:fldCharType="begin"/>
      </w:r>
      <w:r>
        <w:instrText xml:space="preserve"> XE "border (Border)" </w:instrText>
      </w:r>
      <w:r>
        <w:fldChar w:fldCharType="end"/>
      </w:r>
    </w:p>
    <w:p w:rsidR="00024C0A" w:rsidRDefault="00694C0F">
      <w:pPr>
        <w:pStyle w:val="Definition-Field"/>
      </w:pPr>
      <w:r>
        <w:t xml:space="preserve">a.   </w:t>
      </w:r>
      <w:r>
        <w:rPr>
          <w:i/>
        </w:rPr>
        <w:t>The standard does not specify a default value for the diagonalUp attribute.</w:t>
      </w:r>
    </w:p>
    <w:p w:rsidR="00024C0A" w:rsidRDefault="00694C0F">
      <w:pPr>
        <w:pStyle w:val="Definition-Field2"/>
      </w:pPr>
      <w:r>
        <w:t>Excel uses a default value of false for th</w:t>
      </w:r>
      <w:r>
        <w:t>is attribute.</w:t>
      </w:r>
    </w:p>
    <w:p w:rsidR="00024C0A" w:rsidRDefault="00694C0F">
      <w:pPr>
        <w:pStyle w:val="Definition-Field"/>
      </w:pPr>
      <w:r>
        <w:t xml:space="preserve">b.   </w:t>
      </w:r>
      <w:r>
        <w:rPr>
          <w:i/>
        </w:rPr>
        <w:t>The standard does not specify a default value for the diagonalDown attribute.</w:t>
      </w:r>
    </w:p>
    <w:p w:rsidR="00024C0A" w:rsidRDefault="00694C0F">
      <w:pPr>
        <w:pStyle w:val="Definition-Field2"/>
      </w:pPr>
      <w:r>
        <w:t>Excel uses a default value of false for this attribute.</w:t>
      </w:r>
    </w:p>
    <w:p w:rsidR="00024C0A" w:rsidRDefault="00694C0F">
      <w:pPr>
        <w:pStyle w:val="Heading3"/>
      </w:pPr>
      <w:bookmarkStart w:id="1405" w:name="section_c3c609ef965745b98a9f023bf50268df"/>
      <w:bookmarkStart w:id="1406" w:name="_Toc12260763"/>
      <w:r>
        <w:t>Part 1 Section 18.8.5, borders (Borders)</w:t>
      </w:r>
      <w:bookmarkEnd w:id="1405"/>
      <w:bookmarkEnd w:id="1406"/>
      <w:r>
        <w:fldChar w:fldCharType="begin"/>
      </w:r>
      <w:r>
        <w:instrText xml:space="preserve"> XE "borders (Borders)" </w:instrText>
      </w:r>
      <w:r>
        <w:fldChar w:fldCharType="end"/>
      </w:r>
    </w:p>
    <w:p w:rsidR="00024C0A" w:rsidRDefault="00694C0F">
      <w:pPr>
        <w:pStyle w:val="Definition-Field"/>
      </w:pPr>
      <w:r>
        <w:t xml:space="preserve">a.   </w:t>
      </w:r>
      <w:r>
        <w:rPr>
          <w:i/>
        </w:rPr>
        <w:t>The standard states that the bo</w:t>
      </w:r>
      <w:r>
        <w:rPr>
          <w:i/>
        </w:rPr>
        <w:t>rder child element has a minOccurs value of 0 and a maxOccurs value of unbounded.</w:t>
      </w:r>
    </w:p>
    <w:p w:rsidR="00024C0A" w:rsidRDefault="00694C0F">
      <w:pPr>
        <w:pStyle w:val="Definition-Field2"/>
      </w:pPr>
      <w:r>
        <w:t>Excel limits the occurrences of this element to be at least 1 and at most 65430.</w:t>
      </w:r>
    </w:p>
    <w:p w:rsidR="00024C0A" w:rsidRDefault="00694C0F">
      <w:pPr>
        <w:pStyle w:val="Heading3"/>
      </w:pPr>
      <w:bookmarkStart w:id="1407" w:name="section_dff6242bddbe4a768d6567496b074576"/>
      <w:bookmarkStart w:id="1408" w:name="_Toc12260764"/>
      <w:r>
        <w:t>Part 1 Section 18.8.7, cellStyle (Cell Style)</w:t>
      </w:r>
      <w:bookmarkEnd w:id="1407"/>
      <w:bookmarkEnd w:id="1408"/>
      <w:r>
        <w:fldChar w:fldCharType="begin"/>
      </w:r>
      <w:r>
        <w:instrText xml:space="preserve"> XE "cellStyle (Cell Style)" </w:instrText>
      </w:r>
      <w:r>
        <w:fldChar w:fldCharType="end"/>
      </w:r>
    </w:p>
    <w:p w:rsidR="00024C0A" w:rsidRDefault="00694C0F">
      <w:pPr>
        <w:pStyle w:val="Definition-Field"/>
      </w:pPr>
      <w:r>
        <w:t xml:space="preserve">a.   </w:t>
      </w:r>
      <w:r>
        <w:rPr>
          <w:i/>
        </w:rPr>
        <w:t>The standar</w:t>
      </w:r>
      <w:r>
        <w:rPr>
          <w:i/>
        </w:rPr>
        <w:t>d does not limit the length of the value for the @name.</w:t>
      </w:r>
    </w:p>
    <w:p w:rsidR="00024C0A" w:rsidRDefault="00694C0F">
      <w:pPr>
        <w:pStyle w:val="Definition-Field2"/>
      </w:pPr>
      <w:r>
        <w:t>Office limits the value of @name to 255 characters.</w:t>
      </w:r>
    </w:p>
    <w:p w:rsidR="00024C0A" w:rsidRDefault="00694C0F">
      <w:pPr>
        <w:pStyle w:val="Definition-Field"/>
      </w:pPr>
      <w:r>
        <w:t xml:space="preserve">b.   </w:t>
      </w:r>
      <w:r>
        <w:rPr>
          <w:i/>
        </w:rPr>
        <w:t>The standard states that the builtinId attribute is any 32-bit unsigned integer.</w:t>
      </w:r>
    </w:p>
    <w:p w:rsidR="00024C0A" w:rsidRDefault="00694C0F">
      <w:pPr>
        <w:pStyle w:val="Definition-Field2"/>
      </w:pPr>
      <w:r>
        <w:t>Office limits the values of the builtinId attribute to greater</w:t>
      </w:r>
      <w:r>
        <w:t xml:space="preserve"> than or equal to zero and less than or equal to 53.</w:t>
      </w:r>
    </w:p>
    <w:p w:rsidR="00024C0A" w:rsidRDefault="00694C0F">
      <w:pPr>
        <w:pStyle w:val="Definition-Field"/>
      </w:pPr>
      <w:r>
        <w:t xml:space="preserve">c.   </w:t>
      </w:r>
      <w:r>
        <w:rPr>
          <w:i/>
        </w:rPr>
        <w:t>The standard states that the iLevel attribute indicates that formatting is for an outline style, regardless of the value of the builtIn attribute.</w:t>
      </w:r>
    </w:p>
    <w:p w:rsidR="00024C0A" w:rsidRDefault="00694C0F">
      <w:pPr>
        <w:pStyle w:val="Definition-Field2"/>
      </w:pPr>
      <w:r>
        <w:t>Office will ignore the iLevel attribute if the styl</w:t>
      </w:r>
      <w:r>
        <w:t>e is not either the RowLevel or ColLevel built-in styles (builtIn=1 or =2).</w:t>
      </w:r>
    </w:p>
    <w:p w:rsidR="00024C0A" w:rsidRDefault="00694C0F">
      <w:pPr>
        <w:pStyle w:val="Definition-Field"/>
      </w:pPr>
      <w:r>
        <w:t xml:space="preserve">d.   </w:t>
      </w:r>
      <w:r>
        <w:rPr>
          <w:i/>
        </w:rPr>
        <w:t>The standard states that the values of the iLevel attribute are defined by the XML Schema unsigned int datatype.</w:t>
      </w:r>
    </w:p>
    <w:p w:rsidR="00024C0A" w:rsidRDefault="00694C0F">
      <w:pPr>
        <w:pStyle w:val="Definition-Field2"/>
      </w:pPr>
      <w:r>
        <w:t>Office limits the iLevel attribute to the values 0 through 7.</w:t>
      </w:r>
    </w:p>
    <w:p w:rsidR="00024C0A" w:rsidRDefault="00694C0F">
      <w:pPr>
        <w:pStyle w:val="Definition-Field"/>
      </w:pPr>
      <w:r>
        <w:t xml:space="preserve">e.   </w:t>
      </w:r>
      <w:r>
        <w:rPr>
          <w:i/>
        </w:rPr>
        <w:t>The standard does not define built-in styles 12, 13, and 14.</w:t>
      </w:r>
    </w:p>
    <w:p w:rsidR="00024C0A" w:rsidRDefault="00694C0F">
      <w:pPr>
        <w:pStyle w:val="Definition-Field2"/>
      </w:pPr>
      <w:r>
        <w:t>Office defines built-in styles 12 = "Emphasis 1", 13 = "Emphasis 2", 14 = "Emphasis 3".</w:t>
      </w:r>
    </w:p>
    <w:p w:rsidR="00024C0A" w:rsidRDefault="00694C0F">
      <w:pPr>
        <w:pStyle w:val="Definition-Field"/>
      </w:pPr>
      <w:r>
        <w:t xml:space="preserve">f.   </w:t>
      </w:r>
      <w:r>
        <w:rPr>
          <w:i/>
        </w:rPr>
        <w:t>The standard does not place uniqueness restrictions on the xfId attribute.</w:t>
      </w:r>
    </w:p>
    <w:p w:rsidR="00024C0A" w:rsidRDefault="00694C0F">
      <w:pPr>
        <w:pStyle w:val="Definition-Field2"/>
      </w:pPr>
      <w:r>
        <w:t>Office requires that t</w:t>
      </w:r>
      <w:r>
        <w:t>he xfId attribute must be unique with respect to the xfId values in all other cellStyle elements.</w:t>
      </w:r>
    </w:p>
    <w:p w:rsidR="00024C0A" w:rsidRDefault="00694C0F">
      <w:pPr>
        <w:pStyle w:val="Definition-Field"/>
      </w:pPr>
      <w:r>
        <w:t xml:space="preserve">g.   </w:t>
      </w:r>
      <w:r>
        <w:rPr>
          <w:i/>
        </w:rPr>
        <w:t>The standard does not place uniqueness restrictions on the name attribute.</w:t>
      </w:r>
    </w:p>
    <w:p w:rsidR="00024C0A" w:rsidRDefault="00694C0F">
      <w:pPr>
        <w:pStyle w:val="Definition-Field2"/>
      </w:pPr>
      <w:r>
        <w:t>Office requires that value of the name attribute must be unique with respect t</w:t>
      </w:r>
      <w:r>
        <w:t>o the name values in all other cellStyle elements.</w:t>
      </w:r>
    </w:p>
    <w:p w:rsidR="00024C0A" w:rsidRDefault="00694C0F">
      <w:pPr>
        <w:pStyle w:val="Heading3"/>
      </w:pPr>
      <w:bookmarkStart w:id="1409" w:name="section_991dac4a9f954af2af5a8cf088522ec1"/>
      <w:bookmarkStart w:id="1410" w:name="_Toc12260765"/>
      <w:r>
        <w:t>Part 1 Section 18.8.8, cellStyles (Cell Styles)</w:t>
      </w:r>
      <w:bookmarkEnd w:id="1409"/>
      <w:bookmarkEnd w:id="1410"/>
      <w:r>
        <w:fldChar w:fldCharType="begin"/>
      </w:r>
      <w:r>
        <w:instrText xml:space="preserve"> XE "cellStyles (Cell Styles)" </w:instrText>
      </w:r>
      <w:r>
        <w:fldChar w:fldCharType="end"/>
      </w:r>
    </w:p>
    <w:p w:rsidR="00024C0A" w:rsidRDefault="00694C0F">
      <w:pPr>
        <w:pStyle w:val="Definition-Field"/>
      </w:pPr>
      <w:r>
        <w:t xml:space="preserve">a.   </w:t>
      </w:r>
      <w:r>
        <w:rPr>
          <w:i/>
        </w:rPr>
        <w:t>The standard states that the maxOccurs value for the cellStyle child element is unbounded.</w:t>
      </w:r>
    </w:p>
    <w:p w:rsidR="00024C0A" w:rsidRDefault="00694C0F">
      <w:pPr>
        <w:pStyle w:val="Definition-Field2"/>
      </w:pPr>
      <w:r>
        <w:lastRenderedPageBreak/>
        <w:t>Excel limits the occurrences</w:t>
      </w:r>
      <w:r>
        <w:t xml:space="preserve"> of this element to 65430.</w:t>
      </w:r>
    </w:p>
    <w:p w:rsidR="00024C0A" w:rsidRDefault="00694C0F">
      <w:pPr>
        <w:pStyle w:val="Heading3"/>
      </w:pPr>
      <w:bookmarkStart w:id="1411" w:name="section_5c2f48dfe9034d4692bcf67d2f25ecb0"/>
      <w:bookmarkStart w:id="1412" w:name="_Toc12260766"/>
      <w:r>
        <w:t>Part 1 Section 18.8.9, cellStyleXfs (Formatting Records)</w:t>
      </w:r>
      <w:bookmarkEnd w:id="1411"/>
      <w:bookmarkEnd w:id="1412"/>
      <w:r>
        <w:fldChar w:fldCharType="begin"/>
      </w:r>
      <w:r>
        <w:instrText xml:space="preserve"> XE "cellStyleXfs (Formatting Records)" </w:instrText>
      </w:r>
      <w:r>
        <w:fldChar w:fldCharType="end"/>
      </w:r>
    </w:p>
    <w:p w:rsidR="00024C0A" w:rsidRDefault="00694C0F">
      <w:pPr>
        <w:pStyle w:val="Definition-Field"/>
      </w:pPr>
      <w:r>
        <w:t xml:space="preserve">a.   </w:t>
      </w:r>
      <w:r>
        <w:rPr>
          <w:i/>
        </w:rPr>
        <w:t>The standard states that the maxOccurs value for the xf child element is unbounded.</w:t>
      </w:r>
    </w:p>
    <w:p w:rsidR="00024C0A" w:rsidRDefault="00694C0F">
      <w:pPr>
        <w:pStyle w:val="Definition-Field2"/>
      </w:pPr>
      <w:r>
        <w:t>Excel limits the occurrences of this elem</w:t>
      </w:r>
      <w:r>
        <w:t>ent to 65430.</w:t>
      </w:r>
    </w:p>
    <w:p w:rsidR="00024C0A" w:rsidRDefault="00694C0F">
      <w:pPr>
        <w:pStyle w:val="Definition-Field"/>
      </w:pPr>
      <w:r>
        <w:t xml:space="preserve">b.   </w:t>
      </w:r>
      <w:r>
        <w:rPr>
          <w:i/>
        </w:rPr>
        <w:t>The standard states that both the cell style xf records and cell xf records must be read to understand the full set of formatting applied to a cell.</w:t>
      </w:r>
    </w:p>
    <w:p w:rsidR="00024C0A" w:rsidRDefault="00694C0F">
      <w:pPr>
        <w:pStyle w:val="Definition-Field2"/>
      </w:pPr>
      <w:r>
        <w:t>In Office, only the cell xf record defines the formatting applied to a cell.</w:t>
      </w:r>
    </w:p>
    <w:p w:rsidR="00024C0A" w:rsidRDefault="00694C0F">
      <w:pPr>
        <w:pStyle w:val="Definition-Field"/>
      </w:pPr>
      <w:r>
        <w:t xml:space="preserve">c.   </w:t>
      </w:r>
      <w:r>
        <w:rPr>
          <w:i/>
        </w:rPr>
        <w:t>The st</w:t>
      </w:r>
      <w:r>
        <w:rPr>
          <w:i/>
        </w:rPr>
        <w:t>andard does not limit the number of xf elements inside cellXfs and cellStyleXfs, or note any relationship between them.</w:t>
      </w:r>
    </w:p>
    <w:p w:rsidR="00024C0A" w:rsidRDefault="00694C0F">
      <w:pPr>
        <w:pStyle w:val="Definition-Field2"/>
      </w:pPr>
      <w:r>
        <w:t xml:space="preserve">Office requires that the combined quantity of xf records inside cellXfs and non-built-in xf records inside CellStyleXfs must not exceed </w:t>
      </w:r>
      <w:r>
        <w:t>65430 elements.</w:t>
      </w:r>
    </w:p>
    <w:p w:rsidR="00024C0A" w:rsidRDefault="00694C0F">
      <w:pPr>
        <w:pStyle w:val="Heading3"/>
      </w:pPr>
      <w:bookmarkStart w:id="1413" w:name="section_d0f88a45c7c3456b9e212fd5577e9898"/>
      <w:bookmarkStart w:id="1414" w:name="_Toc12260767"/>
      <w:r>
        <w:t>Part 1 Section 18.8.10, cellXfs (Cell Formats)</w:t>
      </w:r>
      <w:bookmarkEnd w:id="1413"/>
      <w:bookmarkEnd w:id="1414"/>
      <w:r>
        <w:fldChar w:fldCharType="begin"/>
      </w:r>
      <w:r>
        <w:instrText xml:space="preserve"> XE "cellXfs (Cell Formats)" </w:instrText>
      </w:r>
      <w:r>
        <w:fldChar w:fldCharType="end"/>
      </w:r>
    </w:p>
    <w:p w:rsidR="00024C0A" w:rsidRDefault="00694C0F">
      <w:pPr>
        <w:pStyle w:val="Definition-Field"/>
      </w:pPr>
      <w:r>
        <w:t xml:space="preserve">a.   </w:t>
      </w:r>
      <w:r>
        <w:rPr>
          <w:i/>
        </w:rPr>
        <w:t>The standard states that the maxOccurs value for the xf child element is unbounded.</w:t>
      </w:r>
    </w:p>
    <w:p w:rsidR="00024C0A" w:rsidRDefault="00694C0F">
      <w:pPr>
        <w:pStyle w:val="Definition-Field2"/>
      </w:pPr>
      <w:r>
        <w:t>Excel limits the occurrences of this element to 65430.</w:t>
      </w:r>
    </w:p>
    <w:p w:rsidR="00024C0A" w:rsidRDefault="00694C0F">
      <w:pPr>
        <w:pStyle w:val="Definition-Field"/>
      </w:pPr>
      <w:r>
        <w:t xml:space="preserve">b.   </w:t>
      </w:r>
      <w:r>
        <w:rPr>
          <w:i/>
        </w:rPr>
        <w:t xml:space="preserve">The standard </w:t>
      </w:r>
      <w:r>
        <w:rPr>
          <w:i/>
        </w:rPr>
        <w:t>states that both the cell style xf records and cell xf records must be read to understand the full set of formatting applied to a cell.</w:t>
      </w:r>
    </w:p>
    <w:p w:rsidR="00024C0A" w:rsidRDefault="00694C0F">
      <w:pPr>
        <w:pStyle w:val="Definition-Field2"/>
      </w:pPr>
      <w:r>
        <w:t>In Office, only the cell xf record defines the formatting applied to a cell.</w:t>
      </w:r>
    </w:p>
    <w:p w:rsidR="00024C0A" w:rsidRDefault="00694C0F">
      <w:pPr>
        <w:pStyle w:val="Definition-Field"/>
      </w:pPr>
      <w:r>
        <w:t xml:space="preserve">c.   </w:t>
      </w:r>
      <w:r>
        <w:rPr>
          <w:i/>
        </w:rPr>
        <w:t>The standard does not limit the number</w:t>
      </w:r>
      <w:r>
        <w:rPr>
          <w:i/>
        </w:rPr>
        <w:t xml:space="preserve"> of xf elements inside cellXfs and cellStyleXfs, or note any relationship between them.</w:t>
      </w:r>
    </w:p>
    <w:p w:rsidR="00024C0A" w:rsidRDefault="00694C0F">
      <w:pPr>
        <w:pStyle w:val="Definition-Field2"/>
      </w:pPr>
      <w:r>
        <w:t>Office requires that the combined quantity of xf records inside cellXfs and non-built-in xf records inside CellStyleXfs must not exceed 65430 elements.</w:t>
      </w:r>
    </w:p>
    <w:p w:rsidR="00024C0A" w:rsidRDefault="00694C0F">
      <w:pPr>
        <w:pStyle w:val="Heading3"/>
      </w:pPr>
      <w:bookmarkStart w:id="1415" w:name="section_c9e9313d99ba4a11aeb1d390477d6163"/>
      <w:bookmarkStart w:id="1416" w:name="_Toc12260768"/>
      <w:r>
        <w:t>Part 1 Section 1</w:t>
      </w:r>
      <w:r>
        <w:t>8.8.15, dxfs (Formats)</w:t>
      </w:r>
      <w:bookmarkEnd w:id="1415"/>
      <w:bookmarkEnd w:id="1416"/>
      <w:r>
        <w:fldChar w:fldCharType="begin"/>
      </w:r>
      <w:r>
        <w:instrText xml:space="preserve"> XE "dxfs (Formats)" </w:instrText>
      </w:r>
      <w:r>
        <w:fldChar w:fldCharType="end"/>
      </w:r>
    </w:p>
    <w:p w:rsidR="00024C0A" w:rsidRDefault="00694C0F">
      <w:pPr>
        <w:pStyle w:val="Definition-Field"/>
      </w:pPr>
      <w:r>
        <w:t xml:space="preserve">a.   </w:t>
      </w:r>
      <w:r>
        <w:rPr>
          <w:i/>
        </w:rPr>
        <w:t>The standard states that the maxOccurs value for the dxf child element is unbounded.</w:t>
      </w:r>
    </w:p>
    <w:p w:rsidR="00024C0A" w:rsidRDefault="00694C0F">
      <w:pPr>
        <w:pStyle w:val="Definition-Field2"/>
      </w:pPr>
      <w:r>
        <w:t>Excel limits the occurrences of this element to 2147483647.</w:t>
      </w:r>
    </w:p>
    <w:p w:rsidR="00024C0A" w:rsidRDefault="00694C0F">
      <w:pPr>
        <w:pStyle w:val="Heading3"/>
      </w:pPr>
      <w:bookmarkStart w:id="1417" w:name="section_adcd81b4377b4c819ebd670b0fab6704"/>
      <w:bookmarkStart w:id="1418" w:name="_Toc12260769"/>
      <w:r>
        <w:t>Part 1 Section 18.8.16, end (Trailing Edge Border)</w:t>
      </w:r>
      <w:bookmarkEnd w:id="1417"/>
      <w:bookmarkEnd w:id="1418"/>
      <w:r>
        <w:fldChar w:fldCharType="begin"/>
      </w:r>
      <w:r>
        <w:instrText xml:space="preserve"> XE "end (</w:instrText>
      </w:r>
      <w:r>
        <w:instrText xml:space="preserve">Trailing Edge Border)" </w:instrText>
      </w:r>
      <w:r>
        <w:fldChar w:fldCharType="end"/>
      </w:r>
    </w:p>
    <w:p w:rsidR="00024C0A" w:rsidRDefault="00694C0F">
      <w:pPr>
        <w:pStyle w:val="Definition-Field"/>
      </w:pPr>
      <w:r>
        <w:t xml:space="preserve">a.   </w:t>
      </w:r>
      <w:r>
        <w:rPr>
          <w:i/>
        </w:rPr>
        <w:t>The standard specifies that an "end" element specify a trailing edge border.</w:t>
      </w:r>
    </w:p>
    <w:p w:rsidR="00024C0A" w:rsidRDefault="00694C0F">
      <w:pPr>
        <w:pStyle w:val="Definition-Field2"/>
      </w:pPr>
      <w:r>
        <w:t>Excel writes "right" instead of "end".</w:t>
      </w:r>
    </w:p>
    <w:p w:rsidR="00024C0A" w:rsidRDefault="00694C0F">
      <w:pPr>
        <w:pStyle w:val="Heading3"/>
      </w:pPr>
      <w:bookmarkStart w:id="1419" w:name="section_2b2b6126757449f8bbcf6335bb1f7026"/>
      <w:bookmarkStart w:id="1420" w:name="_Toc12260770"/>
      <w:r>
        <w:t>Part 1 Section 18.8.18, family (Font Family)</w:t>
      </w:r>
      <w:bookmarkEnd w:id="1419"/>
      <w:bookmarkEnd w:id="1420"/>
      <w:r>
        <w:fldChar w:fldCharType="begin"/>
      </w:r>
      <w:r>
        <w:instrText xml:space="preserve"> XE "family (Font Family)" </w:instrText>
      </w:r>
      <w:r>
        <w:fldChar w:fldCharType="end"/>
      </w:r>
    </w:p>
    <w:p w:rsidR="00024C0A" w:rsidRDefault="00694C0F">
      <w:pPr>
        <w:pStyle w:val="Definition-Field"/>
      </w:pPr>
      <w:r>
        <w:t xml:space="preserve">a.   </w:t>
      </w:r>
      <w:r>
        <w:rPr>
          <w:i/>
        </w:rPr>
        <w:t>The standard states that the v</w:t>
      </w:r>
      <w:r>
        <w:rPr>
          <w:i/>
        </w:rPr>
        <w:t>alues of the val attribute are defined by the XML Schema int datatype.</w:t>
      </w:r>
    </w:p>
    <w:p w:rsidR="00024C0A" w:rsidRDefault="00694C0F">
      <w:pPr>
        <w:pStyle w:val="Definition-Field2"/>
      </w:pPr>
      <w:r>
        <w:t>Excel restricts the value of this attribute to be at least 0 and at most 5.</w:t>
      </w:r>
    </w:p>
    <w:p w:rsidR="00024C0A" w:rsidRDefault="00694C0F">
      <w:pPr>
        <w:pStyle w:val="Definition-Field"/>
      </w:pPr>
      <w:r>
        <w:t xml:space="preserve">b.   </w:t>
      </w:r>
      <w:r>
        <w:rPr>
          <w:i/>
        </w:rPr>
        <w:t>The standard implies that the val attribute refers to character set.</w:t>
      </w:r>
    </w:p>
    <w:p w:rsidR="00024C0A" w:rsidRDefault="00694C0F">
      <w:pPr>
        <w:pStyle w:val="Definition-Field2"/>
      </w:pPr>
      <w:r>
        <w:t xml:space="preserve">In Office, the val attribute is </w:t>
      </w:r>
      <w:r>
        <w:t>interpreted as referring to the font family.</w:t>
      </w:r>
    </w:p>
    <w:p w:rsidR="00024C0A" w:rsidRDefault="00694C0F">
      <w:pPr>
        <w:pStyle w:val="Heading3"/>
      </w:pPr>
      <w:bookmarkStart w:id="1421" w:name="section_df550c30b35c42d29914f3011ba1f2e6"/>
      <w:bookmarkStart w:id="1422" w:name="_Toc12260771"/>
      <w:r>
        <w:lastRenderedPageBreak/>
        <w:t>Part 1 Section 18.8.19, fgColor (Foreground Color)</w:t>
      </w:r>
      <w:bookmarkEnd w:id="1421"/>
      <w:bookmarkEnd w:id="1422"/>
      <w:r>
        <w:fldChar w:fldCharType="begin"/>
      </w:r>
      <w:r>
        <w:instrText xml:space="preserve"> XE "fgColor (Foreground Color)"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r>
          <w:rPr>
            <w:rStyle w:val="Hyperlink"/>
          </w:rPr>
          <w:t>)</w:t>
        </w:r>
      </w:hyperlink>
      <w:r>
        <w:rPr>
          <w:i/>
        </w:rPr>
        <w:t>.</w:t>
      </w:r>
    </w:p>
    <w:p w:rsidR="00024C0A" w:rsidRDefault="00694C0F">
      <w:pPr>
        <w:pStyle w:val="Definition-Field"/>
      </w:pPr>
      <w:r>
        <w:t xml:space="preserve">a.   </w:t>
      </w:r>
      <w:r>
        <w:rPr>
          <w:i/>
        </w:rPr>
        <w:t>The standard does not specify the priorities of the various color types.</w:t>
      </w:r>
    </w:p>
    <w:p w:rsidR="00024C0A" w:rsidRDefault="00694C0F">
      <w:pPr>
        <w:pStyle w:val="Definition-Field2"/>
      </w:pPr>
      <w:r>
        <w:t>Office prioritizes the attributes as auto &lt; indexed &lt; rgb &lt; theme, and only roundtrips the type with the highest priority if two or more are specified.</w:t>
      </w:r>
    </w:p>
    <w:p w:rsidR="00024C0A" w:rsidRDefault="00694C0F">
      <w:pPr>
        <w:pStyle w:val="Heading3"/>
      </w:pPr>
      <w:bookmarkStart w:id="1423" w:name="section_79949711feab4cdba73477cad7a95735"/>
      <w:bookmarkStart w:id="1424" w:name="_Toc12260772"/>
      <w:r>
        <w:t>Part 1 Section 18.8.21,</w:t>
      </w:r>
      <w:r>
        <w:t xml:space="preserve"> fills (Fills)</w:t>
      </w:r>
      <w:bookmarkEnd w:id="1423"/>
      <w:bookmarkEnd w:id="1424"/>
      <w:r>
        <w:fldChar w:fldCharType="begin"/>
      </w:r>
      <w:r>
        <w:instrText xml:space="preserve"> XE "fills (Fills)" </w:instrText>
      </w:r>
      <w:r>
        <w:fldChar w:fldCharType="end"/>
      </w:r>
    </w:p>
    <w:p w:rsidR="00024C0A" w:rsidRDefault="00694C0F">
      <w:pPr>
        <w:pStyle w:val="Definition-Field"/>
      </w:pPr>
      <w:r>
        <w:t xml:space="preserve">a.   </w:t>
      </w:r>
      <w:r>
        <w:rPr>
          <w:i/>
        </w:rPr>
        <w:t>The standard states that the fill child element has a minOccurs value of 0 and a maxOccurs value of unbounded.</w:t>
      </w:r>
    </w:p>
    <w:p w:rsidR="00024C0A" w:rsidRDefault="00694C0F">
      <w:pPr>
        <w:pStyle w:val="Definition-Field2"/>
      </w:pPr>
      <w:r>
        <w:t>Excel limits the occurrences of this element to be at least 1 and at most 65430.</w:t>
      </w:r>
    </w:p>
    <w:p w:rsidR="00024C0A" w:rsidRDefault="00694C0F">
      <w:pPr>
        <w:pStyle w:val="Definition-Field"/>
      </w:pPr>
      <w:r>
        <w:t xml:space="preserve">b.   </w:t>
      </w:r>
      <w:r>
        <w:rPr>
          <w:i/>
        </w:rPr>
        <w:t>The standard allo</w:t>
      </w:r>
      <w:r>
        <w:rPr>
          <w:i/>
        </w:rPr>
        <w:t>ws for arbitrary definitions of these elements</w:t>
      </w:r>
    </w:p>
    <w:p w:rsidR="00024C0A" w:rsidRDefault="00694C0F">
      <w:pPr>
        <w:pStyle w:val="Definition-Field2"/>
      </w:pPr>
      <w:r>
        <w:t>In Excel, the first two Fill ("</w:t>
      </w:r>
      <w:hyperlink r:id="rId125">
        <w:r>
          <w:rPr>
            <w:rStyle w:val="Hyperlink"/>
          </w:rPr>
          <w:t>[ISO/IEC-29500-1]</w:t>
        </w:r>
      </w:hyperlink>
      <w:r>
        <w:t xml:space="preserve"> §18.8.20; fill") values are reserved and deviations from their predefined values are not respe</w:t>
      </w:r>
      <w:r>
        <w:t>cted</w:t>
      </w:r>
    </w:p>
    <w:p w:rsidR="00024C0A" w:rsidRDefault="00694C0F">
      <w:pPr>
        <w:pStyle w:val="Heading3"/>
      </w:pPr>
      <w:bookmarkStart w:id="1425" w:name="section_6bb22ec6338141d69df3a1f4d588b39a"/>
      <w:bookmarkStart w:id="1426" w:name="_Toc12260773"/>
      <w:r>
        <w:t>Part 1 Section 18.8.22, font (Font)</w:t>
      </w:r>
      <w:bookmarkEnd w:id="1425"/>
      <w:bookmarkEnd w:id="1426"/>
      <w:r>
        <w:fldChar w:fldCharType="begin"/>
      </w:r>
      <w:r>
        <w:instrText xml:space="preserve"> XE "font (Font)" </w:instrText>
      </w:r>
      <w:r>
        <w:fldChar w:fldCharType="end"/>
      </w:r>
    </w:p>
    <w:p w:rsidR="00024C0A" w:rsidRDefault="00694C0F">
      <w:pPr>
        <w:pStyle w:val="Definition-Field"/>
      </w:pPr>
      <w:r>
        <w:t xml:space="preserve">a.   </w:t>
      </w:r>
      <w:r>
        <w:rPr>
          <w:i/>
        </w:rPr>
        <w:t>The standard defines the child elements using a choice.</w:t>
      </w:r>
    </w:p>
    <w:p w:rsidR="00024C0A" w:rsidRDefault="00694C0F">
      <w:pPr>
        <w:pStyle w:val="Definition-Field2"/>
      </w:pPr>
      <w:r>
        <w:t>Excel requires the child elements to be in the following sequence:  i, strike, condense, extend, outline, shadow, u, vertAlign, sz, co</w:t>
      </w:r>
      <w:r>
        <w:t>lor, name, family, charset, scheme.</w:t>
      </w:r>
    </w:p>
    <w:p w:rsidR="00024C0A" w:rsidRDefault="00694C0F">
      <w:pPr>
        <w:pStyle w:val="Heading3"/>
      </w:pPr>
      <w:bookmarkStart w:id="1427" w:name="section_5e6b826f1abf496a8c7faf58b5312aaf"/>
      <w:bookmarkStart w:id="1428" w:name="_Toc12260774"/>
      <w:r>
        <w:t>Part 1 Section 18.8.23, fonts (Fonts)</w:t>
      </w:r>
      <w:bookmarkEnd w:id="1427"/>
      <w:bookmarkEnd w:id="1428"/>
      <w:r>
        <w:fldChar w:fldCharType="begin"/>
      </w:r>
      <w:r>
        <w:instrText xml:space="preserve"> XE "fonts (Fonts)" </w:instrText>
      </w:r>
      <w:r>
        <w:fldChar w:fldCharType="end"/>
      </w:r>
    </w:p>
    <w:p w:rsidR="00024C0A" w:rsidRDefault="00694C0F">
      <w:pPr>
        <w:pStyle w:val="Definition-Field"/>
      </w:pPr>
      <w:r>
        <w:t xml:space="preserve">a.   </w:t>
      </w:r>
      <w:r>
        <w:rPr>
          <w:i/>
        </w:rPr>
        <w:t>The standard states that the font child element has a minOccurs value of 0 and a maxOccurs value of unbounded.</w:t>
      </w:r>
    </w:p>
    <w:p w:rsidR="00024C0A" w:rsidRDefault="00694C0F">
      <w:pPr>
        <w:pStyle w:val="Definition-Field2"/>
      </w:pPr>
      <w:r>
        <w:t>Excel limits the occurrences of this element</w:t>
      </w:r>
      <w:r>
        <w:t xml:space="preserve"> to be at least 1 and at most 65491.</w:t>
      </w:r>
    </w:p>
    <w:p w:rsidR="00024C0A" w:rsidRDefault="00694C0F">
      <w:pPr>
        <w:pStyle w:val="Heading3"/>
      </w:pPr>
      <w:bookmarkStart w:id="1429" w:name="section_93eecc5015504cbe911ca2aad70cbbd5"/>
      <w:bookmarkStart w:id="1430" w:name="_Toc12260775"/>
      <w:r>
        <w:t>Part 1 Section 18.8.24, gradientFill (Gradient)</w:t>
      </w:r>
      <w:bookmarkEnd w:id="1429"/>
      <w:bookmarkEnd w:id="1430"/>
      <w:r>
        <w:fldChar w:fldCharType="begin"/>
      </w:r>
      <w:r>
        <w:instrText xml:space="preserve"> XE "gradientFill (Gradient)" </w:instrText>
      </w:r>
      <w:r>
        <w:fldChar w:fldCharType="end"/>
      </w:r>
    </w:p>
    <w:p w:rsidR="00024C0A" w:rsidRDefault="00694C0F">
      <w:pPr>
        <w:pStyle w:val="Definition-Field"/>
      </w:pPr>
      <w:r>
        <w:t xml:space="preserve">a.   </w:t>
      </w:r>
      <w:r>
        <w:rPr>
          <w:i/>
        </w:rPr>
        <w:t>The standard specifies @degree as defined by the XML Schema double datatype.</w:t>
      </w:r>
    </w:p>
    <w:p w:rsidR="00024C0A" w:rsidRDefault="00694C0F">
      <w:pPr>
        <w:pStyle w:val="Definition-Field2"/>
      </w:pPr>
      <w:r>
        <w:t>Office requires @degree to be a double between -1.7E308 a</w:t>
      </w:r>
      <w:r>
        <w:t>nd 1.7E308 inclusive.</w:t>
      </w:r>
    </w:p>
    <w:p w:rsidR="00024C0A" w:rsidRDefault="00694C0F">
      <w:pPr>
        <w:pStyle w:val="Heading3"/>
      </w:pPr>
      <w:bookmarkStart w:id="1431" w:name="section_96467cf3991545d8b9979183e29b29e4"/>
      <w:bookmarkStart w:id="1432" w:name="_Toc12260776"/>
      <w:r>
        <w:t>Part 1 Section 18.8.27, indexedColors (Color Indexes)</w:t>
      </w:r>
      <w:bookmarkEnd w:id="1431"/>
      <w:bookmarkEnd w:id="1432"/>
      <w:r>
        <w:fldChar w:fldCharType="begin"/>
      </w:r>
      <w:r>
        <w:instrText xml:space="preserve"> XE "indexedColors (Color Indexes)" </w:instrText>
      </w:r>
      <w:r>
        <w:fldChar w:fldCharType="end"/>
      </w:r>
    </w:p>
    <w:p w:rsidR="00024C0A" w:rsidRDefault="00694C0F">
      <w:pPr>
        <w:pStyle w:val="Definition-Field"/>
      </w:pPr>
      <w:r>
        <w:t xml:space="preserve">a.   </w:t>
      </w:r>
      <w:r>
        <w:rPr>
          <w:i/>
        </w:rPr>
        <w:t>The standard states that the maxOccurs value for the rgbColor child element is unbounded.</w:t>
      </w:r>
    </w:p>
    <w:p w:rsidR="00024C0A" w:rsidRDefault="00694C0F">
      <w:pPr>
        <w:pStyle w:val="Definition-Field2"/>
      </w:pPr>
      <w:r>
        <w:t>Excel limits the occurrences of this element to</w:t>
      </w:r>
      <w:r>
        <w:t xml:space="preserve"> 64.</w:t>
      </w:r>
    </w:p>
    <w:p w:rsidR="00024C0A" w:rsidRDefault="00694C0F">
      <w:pPr>
        <w:pStyle w:val="Heading3"/>
      </w:pPr>
      <w:bookmarkStart w:id="1433" w:name="section_236b2ae9ee2841ec9cb9e9085bba3100"/>
      <w:bookmarkStart w:id="1434" w:name="_Toc12260777"/>
      <w:r>
        <w:t>Part 1 Section 18.8.28, mruColors (MRU Colors)</w:t>
      </w:r>
      <w:bookmarkEnd w:id="1433"/>
      <w:bookmarkEnd w:id="1434"/>
      <w:r>
        <w:fldChar w:fldCharType="begin"/>
      </w:r>
      <w:r>
        <w:instrText xml:space="preserve"> XE "mruColors (MRU Colors)" </w:instrText>
      </w:r>
      <w:r>
        <w:fldChar w:fldCharType="end"/>
      </w:r>
    </w:p>
    <w:p w:rsidR="00024C0A" w:rsidRDefault="00694C0F">
      <w:pPr>
        <w:pStyle w:val="Definition-Field"/>
      </w:pPr>
      <w:r>
        <w:t xml:space="preserve">a.   </w:t>
      </w:r>
      <w:r>
        <w:rPr>
          <w:i/>
        </w:rPr>
        <w:t>The standard states that the maxOccurs value for the color child element is unbounded.</w:t>
      </w:r>
    </w:p>
    <w:p w:rsidR="00024C0A" w:rsidRDefault="00694C0F">
      <w:pPr>
        <w:pStyle w:val="Definition-Field2"/>
      </w:pPr>
      <w:r>
        <w:t>Excel limits the occurrences of this element to 10.</w:t>
      </w:r>
    </w:p>
    <w:p w:rsidR="00024C0A" w:rsidRDefault="00694C0F">
      <w:pPr>
        <w:pStyle w:val="Heading3"/>
      </w:pPr>
      <w:bookmarkStart w:id="1435" w:name="section_0e286ffd189c4df8a44f3879af50a4a2"/>
      <w:bookmarkStart w:id="1436" w:name="_Toc12260778"/>
      <w:r>
        <w:t xml:space="preserve">Part 1 Section 18.8.29, name </w:t>
      </w:r>
      <w:r>
        <w:t>(Font Name)</w:t>
      </w:r>
      <w:bookmarkEnd w:id="1435"/>
      <w:bookmarkEnd w:id="1436"/>
      <w:r>
        <w:fldChar w:fldCharType="begin"/>
      </w:r>
      <w:r>
        <w:instrText xml:space="preserve"> XE "name (Font Name)" </w:instrText>
      </w:r>
      <w:r>
        <w:fldChar w:fldCharType="end"/>
      </w:r>
    </w:p>
    <w:p w:rsidR="00024C0A" w:rsidRDefault="00694C0F">
      <w:pPr>
        <w:pStyle w:val="Definition-Field"/>
      </w:pPr>
      <w:r>
        <w:t xml:space="preserve">a.   </w:t>
      </w:r>
      <w:r>
        <w:rPr>
          <w:i/>
        </w:rPr>
        <w:t>The standard states that string length for the val attribute can be 0 to 31 characters.</w:t>
      </w:r>
    </w:p>
    <w:p w:rsidR="00024C0A" w:rsidRDefault="00694C0F">
      <w:pPr>
        <w:pStyle w:val="Definition-Field2"/>
      </w:pPr>
      <w:r>
        <w:lastRenderedPageBreak/>
        <w:t>Excel restricts the value of this attribute to be at least 1 and at most 31 characters before escaping.</w:t>
      </w:r>
    </w:p>
    <w:p w:rsidR="00024C0A" w:rsidRDefault="00694C0F">
      <w:pPr>
        <w:pStyle w:val="Heading3"/>
      </w:pPr>
      <w:bookmarkStart w:id="1437" w:name="section_17d11129219b4e2c88db45844d21e528"/>
      <w:bookmarkStart w:id="1438" w:name="_Toc12260779"/>
      <w:r>
        <w:t>Part 1 Section 18.8.30, numFmt (Number Format)</w:t>
      </w:r>
      <w:bookmarkEnd w:id="1437"/>
      <w:bookmarkEnd w:id="1438"/>
      <w:r>
        <w:fldChar w:fldCharType="begin"/>
      </w:r>
      <w:r>
        <w:instrText xml:space="preserve"> XE "numFmt (Number Format)" </w:instrText>
      </w:r>
      <w:r>
        <w:fldChar w:fldCharType="end"/>
      </w:r>
    </w:p>
    <w:p w:rsidR="00024C0A" w:rsidRDefault="00694C0F">
      <w:pPr>
        <w:pStyle w:val="Definition-Field"/>
      </w:pPr>
      <w:r>
        <w:t xml:space="preserve">a.   </w:t>
      </w:r>
      <w:r>
        <w:rPr>
          <w:i/>
        </w:rPr>
        <w:t>The standard defines built-in format ID 14: "mm-dd-yy"; 22: "m/d/yy h:mm"; 37: "#,##0 ;(#,##0)"; 38: "#,##0 ;[Red](#,##0)"; 39: "#,##0.00;(#,##0.00)"; 40: "#,##0.00;[Red](#,</w:t>
      </w:r>
      <w:r>
        <w:rPr>
          <w:i/>
        </w:rPr>
        <w:t>##0.00)"; 47: "mmss.0"; KOR fmt 55: "yyyy-mm-dd".</w:t>
      </w:r>
    </w:p>
    <w:p w:rsidR="00024C0A" w:rsidRDefault="00694C0F">
      <w:pPr>
        <w:pStyle w:val="Definition-Field2"/>
      </w:pPr>
      <w:r>
        <w:t>Excel defines built-in format ID 14: "m/d/yyyy"; 22: "m/d/yyyy h:mm"; 37: "#,##0_);(#,##0)"; 38: "#,##0_);[Red](#,##0)"; 39: "#,##0.00_);(#,##0.00)"; 40: "#,##0.00_);[Red](#,##0.00)"; 47: "mm:ss.0"; KOR fmt</w:t>
      </w:r>
      <w:r>
        <w:t xml:space="preserve"> 55: "yyyy/mm/dd".</w:t>
      </w:r>
    </w:p>
    <w:p w:rsidR="00024C0A" w:rsidRDefault="00694C0F">
      <w:pPr>
        <w:pStyle w:val="Definition-Field"/>
      </w:pPr>
      <w:r>
        <w:t xml:space="preserve">b.   </w:t>
      </w:r>
      <w:r>
        <w:rPr>
          <w:i/>
        </w:rPr>
        <w:t>The standard does not define a restriction on the size or content of the formatCode attribute.</w:t>
      </w:r>
    </w:p>
    <w:p w:rsidR="00024C0A" w:rsidRDefault="00694C0F">
      <w:r>
        <w:t xml:space="preserve">In Office, the formatCode attribute is a string specifying how to format and render the numeric value of a cell.  It must be less than </w:t>
      </w:r>
      <w:r>
        <w:t>255 characters in length.  For a string to be considered a valid format code, it should be well-formed according to the following ABNF specification.</w:t>
      </w:r>
    </w:p>
    <w:p w:rsidR="00024C0A" w:rsidRDefault="00694C0F">
      <w:r>
        <w:t>These definitions are for en-US locale. International consideration as specified in numFmts ("</w:t>
      </w:r>
      <w:hyperlink r:id="rId126">
        <w:r>
          <w:rPr>
            <w:rStyle w:val="Hyperlink"/>
          </w:rPr>
          <w:t>[ISO/IEC-29500-1]</w:t>
        </w:r>
      </w:hyperlink>
      <w:r>
        <w:t xml:space="preserve"> §18.8.31; numFmts") must be accounted for and the ABNF must be modified accordingly for specific international number formats.</w:t>
      </w:r>
    </w:p>
    <w:p w:rsidR="00024C0A" w:rsidRDefault="00694C0F">
      <w:r>
        <w:t>In the following ABNF specification, the following set of</w:t>
      </w:r>
      <w:r>
        <w:t xml:space="preserve"> tokens can occur 0 to unbounded times:</w:t>
      </w:r>
    </w:p>
    <w:p w:rsidR="00024C0A" w:rsidRDefault="00694C0F">
      <w:r>
        <w:t>LITERAL-STRING</w:t>
      </w:r>
    </w:p>
    <w:p w:rsidR="00024C0A" w:rsidRDefault="00694C0F">
      <w:r>
        <w:t>LITERAL-CHAR-REPEAT</w:t>
      </w:r>
    </w:p>
    <w:p w:rsidR="00024C0A" w:rsidRDefault="00694C0F">
      <w:r>
        <w:t>LITERAL-CHAR-SPACE</w:t>
      </w:r>
    </w:p>
    <w:p w:rsidR="00024C0A" w:rsidRDefault="00694C0F">
      <w:r>
        <w:t>as long as they don't break apart the following elements:</w:t>
      </w:r>
    </w:p>
    <w:p w:rsidR="00024C0A" w:rsidRDefault="00694C0F">
      <w:r>
        <w:t>INTL*</w:t>
      </w:r>
    </w:p>
    <w:p w:rsidR="00024C0A" w:rsidRDefault="00694C0F">
      <w:r>
        <w:t>LITERAL*</w:t>
      </w:r>
    </w:p>
    <w:p w:rsidR="00024C0A" w:rsidRDefault="00694C0F">
      <w:r>
        <w:t>NFDateTimeToken</w:t>
      </w:r>
    </w:p>
    <w:p w:rsidR="00024C0A" w:rsidRDefault="00694C0F">
      <w:r>
        <w:t>NFPartExponential</w:t>
      </w:r>
    </w:p>
    <w:p w:rsidR="00024C0A" w:rsidRDefault="00694C0F">
      <w:r>
        <w:t>NFPartCond</w:t>
      </w:r>
    </w:p>
    <w:p w:rsidR="00024C0A" w:rsidRDefault="00694C0F">
      <w:r>
        <w:t>NFPartLocaleID</w:t>
      </w:r>
    </w:p>
    <w:p w:rsidR="00024C0A" w:rsidRDefault="00694C0F">
      <w:r>
        <w:t>NFPartColor</w:t>
      </w:r>
    </w:p>
    <w:p w:rsidR="00024C0A" w:rsidRDefault="00694C0F">
      <w:r>
        <w:t>NFPartIntNum</w:t>
      </w:r>
    </w:p>
    <w:p w:rsidR="00024C0A" w:rsidRDefault="00694C0F">
      <w:r>
        <w:t>NFPa</w:t>
      </w:r>
      <w:r>
        <w:t>rtStrColor</w:t>
      </w:r>
    </w:p>
    <w:p w:rsidR="00024C0A" w:rsidRDefault="00694C0F">
      <w:r>
        <w:t>The following set of tokens must occur 0 or 1 times in each section as defined in numFmts ("[ISO/IEC-29500-1] §18.8.31; numFmts").</w:t>
      </w:r>
    </w:p>
    <w:p w:rsidR="00024C0A" w:rsidRDefault="00694C0F">
      <w:r>
        <w:t>NFPartLocaleID</w:t>
      </w:r>
    </w:p>
    <w:p w:rsidR="00024C0A" w:rsidRDefault="00694C0F">
      <w:r>
        <w:t xml:space="preserve">NFAbsTimeToken must occur 0 or 1 times in NFDateTime.  </w:t>
      </w:r>
    </w:p>
    <w:p w:rsidR="00024C0A" w:rsidRDefault="00694C0F">
      <w:r>
        <w:t>Also, an absolute time token must not coexi</w:t>
      </w:r>
      <w:r>
        <w:t>st with a non-absolute equivalent token in NFDateTime.</w:t>
      </w:r>
    </w:p>
    <w:p w:rsidR="00024C0A" w:rsidRDefault="00694C0F">
      <w:r>
        <w:t>All =</w:t>
      </w:r>
    </w:p>
    <w:p w:rsidR="00024C0A" w:rsidRDefault="00694C0F">
      <w:r>
        <w:lastRenderedPageBreak/>
        <w:t xml:space="preserve">    ([NFPartColor] NFPartCond NFGeneral) /</w:t>
      </w:r>
    </w:p>
    <w:p w:rsidR="00024C0A" w:rsidRDefault="00694C0F">
      <w:r>
        <w:t xml:space="preserve">    NFAnyNoCond /</w:t>
      </w:r>
    </w:p>
    <w:p w:rsidR="00024C0A" w:rsidRDefault="00694C0F">
      <w:r>
        <w:t xml:space="preserve">    (NFAnyNoText ASCII-SEMICOLON NFAny) /</w:t>
      </w:r>
    </w:p>
    <w:p w:rsidR="00024C0A" w:rsidRDefault="00694C0F">
      <w:r>
        <w:t xml:space="preserve">    (NFAnyNoText ASCII-SEMICOLON NFAnyNoText ASCII-SEMICOLON NFAnyNoCond) /</w:t>
      </w:r>
    </w:p>
    <w:p w:rsidR="00024C0A" w:rsidRDefault="00694C0F">
      <w:r>
        <w:t xml:space="preserve">    (NFAnyNoText</w:t>
      </w:r>
      <w:r>
        <w:t xml:space="preserve"> ASCII-SEMICOLON NFAnyNoText ASCII-SEMICOLON </w:t>
      </w:r>
    </w:p>
    <w:p w:rsidR="00024C0A" w:rsidRDefault="00694C0F">
      <w:r>
        <w:t xml:space="preserve">        NFAnyNoTextNoCond ASCII-SEMICOLON [NFText / NFGeneral])</w:t>
      </w:r>
    </w:p>
    <w:p w:rsidR="00024C0A" w:rsidRDefault="00694C0F">
      <w:r>
        <w:t>NFAny =</w:t>
      </w:r>
    </w:p>
    <w:p w:rsidR="00024C0A" w:rsidRDefault="00694C0F">
      <w:r>
        <w:t>[NFPartColor]</w:t>
      </w:r>
    </w:p>
    <w:p w:rsidR="00024C0A" w:rsidRDefault="00694C0F">
      <w:r>
        <w:t>(</w:t>
      </w:r>
    </w:p>
    <w:p w:rsidR="00024C0A" w:rsidRDefault="00694C0F">
      <w:r>
        <w:t xml:space="preserve">    ([NFPartCond] NFNumber) /</w:t>
      </w:r>
    </w:p>
    <w:p w:rsidR="00024C0A" w:rsidRDefault="00694C0F">
      <w:r>
        <w:t xml:space="preserve">    NFText /</w:t>
      </w:r>
    </w:p>
    <w:p w:rsidR="00024C0A" w:rsidRDefault="00694C0F">
      <w:r>
        <w:t xml:space="preserve">    ([NFPartCond] NFFraction) /</w:t>
      </w:r>
    </w:p>
    <w:p w:rsidR="00024C0A" w:rsidRDefault="00694C0F">
      <w:r>
        <w:t xml:space="preserve">    ([NFPartCond] [NFDateTime] [NFGeneral] [NFDateTime])</w:t>
      </w:r>
    </w:p>
    <w:p w:rsidR="00024C0A" w:rsidRDefault="00694C0F">
      <w:r>
        <w:t xml:space="preserve">    )</w:t>
      </w:r>
    </w:p>
    <w:p w:rsidR="00024C0A" w:rsidRDefault="00694C0F">
      <w:r>
        <w:t>NFAnyNoText =</w:t>
      </w:r>
    </w:p>
    <w:p w:rsidR="00024C0A" w:rsidRDefault="00694C0F">
      <w:r>
        <w:t>[NFPartColor] [NFPartCond]</w:t>
      </w:r>
    </w:p>
    <w:p w:rsidR="00024C0A" w:rsidRDefault="00694C0F">
      <w:r>
        <w:t>(</w:t>
      </w:r>
    </w:p>
    <w:p w:rsidR="00024C0A" w:rsidRDefault="00694C0F">
      <w:r>
        <w:t xml:space="preserve">    NFNumber /</w:t>
      </w:r>
    </w:p>
    <w:p w:rsidR="00024C0A" w:rsidRDefault="00694C0F">
      <w:r>
        <w:t xml:space="preserve">    NFFraction /</w:t>
      </w:r>
    </w:p>
    <w:p w:rsidR="00024C0A" w:rsidRDefault="00694C0F">
      <w:r>
        <w:t xml:space="preserve">    ([NFDateTime] [NFGeneral] [NFDateTime])</w:t>
      </w:r>
    </w:p>
    <w:p w:rsidR="00024C0A" w:rsidRDefault="00694C0F">
      <w:r>
        <w:t xml:space="preserve">    )</w:t>
      </w:r>
    </w:p>
    <w:p w:rsidR="00024C0A" w:rsidRDefault="00694C0F">
      <w:r>
        <w:t>NFAnyNoCond =</w:t>
      </w:r>
    </w:p>
    <w:p w:rsidR="00024C0A" w:rsidRDefault="00694C0F">
      <w:r>
        <w:t>[NFPartColor]</w:t>
      </w:r>
    </w:p>
    <w:p w:rsidR="00024C0A" w:rsidRDefault="00694C0F">
      <w:r>
        <w:t>(</w:t>
      </w:r>
    </w:p>
    <w:p w:rsidR="00024C0A" w:rsidRDefault="00694C0F">
      <w:r>
        <w:t xml:space="preserve">    NFNumber /</w:t>
      </w:r>
    </w:p>
    <w:p w:rsidR="00024C0A" w:rsidRDefault="00694C0F">
      <w:r>
        <w:t xml:space="preserve">    NFText /</w:t>
      </w:r>
    </w:p>
    <w:p w:rsidR="00024C0A" w:rsidRDefault="00694C0F">
      <w:r>
        <w:t xml:space="preserve">    NFFraction /</w:t>
      </w:r>
    </w:p>
    <w:p w:rsidR="00024C0A" w:rsidRDefault="00694C0F">
      <w:r>
        <w:t xml:space="preserve">    ([NFDateTime] [NFGeneral] [NFDateTime])</w:t>
      </w:r>
    </w:p>
    <w:p w:rsidR="00024C0A" w:rsidRDefault="00694C0F">
      <w:r>
        <w:t xml:space="preserve">    )</w:t>
      </w:r>
    </w:p>
    <w:p w:rsidR="00024C0A" w:rsidRDefault="00694C0F">
      <w:r>
        <w:t>NFAnyNoTextNoCond =</w:t>
      </w:r>
    </w:p>
    <w:p w:rsidR="00024C0A" w:rsidRDefault="00694C0F">
      <w:r>
        <w:t>[NFPartColor]</w:t>
      </w:r>
    </w:p>
    <w:p w:rsidR="00024C0A" w:rsidRDefault="00694C0F">
      <w:r>
        <w:t>(</w:t>
      </w:r>
    </w:p>
    <w:p w:rsidR="00024C0A" w:rsidRDefault="00694C0F">
      <w:r>
        <w:lastRenderedPageBreak/>
        <w:t xml:space="preserve">    NFNumber /</w:t>
      </w:r>
    </w:p>
    <w:p w:rsidR="00024C0A" w:rsidRDefault="00694C0F">
      <w:r>
        <w:t xml:space="preserve">    NFFraction /</w:t>
      </w:r>
    </w:p>
    <w:p w:rsidR="00024C0A" w:rsidRDefault="00694C0F">
      <w:r>
        <w:t xml:space="preserve">    ([NFDateTime] [NFGeneral] [NFDateTime])</w:t>
      </w:r>
    </w:p>
    <w:p w:rsidR="00024C0A" w:rsidRDefault="00694C0F">
      <w:r>
        <w:t xml:space="preserve">    )</w:t>
      </w:r>
    </w:p>
    <w:p w:rsidR="00024C0A" w:rsidRDefault="00694C0F">
      <w:r>
        <w:t>NFGeneral = INTL-NUMFMT-GENERAL</w:t>
      </w:r>
    </w:p>
    <w:p w:rsidR="00024C0A" w:rsidRDefault="00694C0F">
      <w:r>
        <w:t>NFNumber = NFPartNum [NFPartExponential</w:t>
      </w:r>
      <w:r>
        <w:t xml:space="preserve"> NFPartNum] *INTL-CHAR-NUMGRP-SEP *INTL-AMPM</w:t>
      </w:r>
    </w:p>
    <w:p w:rsidR="00024C0A" w:rsidRDefault="00694C0F">
      <w:r>
        <w:t xml:space="preserve">NFDateTimeToken = NFPartYear / NFPartMonth / NFPartDay / </w:t>
      </w:r>
    </w:p>
    <w:p w:rsidR="00024C0A" w:rsidRDefault="00694C0F">
      <w:r>
        <w:t xml:space="preserve">    NFPartHour / NFPartMinute / NFPartSecond / NFAbsTimeToken</w:t>
      </w:r>
    </w:p>
    <w:p w:rsidR="00024C0A" w:rsidRDefault="00694C0F">
      <w:r>
        <w:t xml:space="preserve">    </w:t>
      </w:r>
    </w:p>
    <w:p w:rsidR="00024C0A" w:rsidRDefault="00694C0F">
      <w:r>
        <w:t>NFAbsTimeToken = NFPartAbsHour / NFPartAbsSecond / NFPartAbsMinute</w:t>
      </w:r>
    </w:p>
    <w:p w:rsidR="00024C0A" w:rsidRDefault="00694C0F">
      <w:r>
        <w:t>NFDateTime =</w:t>
      </w:r>
    </w:p>
    <w:p w:rsidR="00024C0A" w:rsidRDefault="00694C0F">
      <w:r>
        <w:t xml:space="preserve">    *I</w:t>
      </w:r>
      <w:r>
        <w:t xml:space="preserve">NTL-AMPM (1*(NFDateTimeToken) *(NFDateTimeToken / NFPartSubSecond / </w:t>
      </w:r>
    </w:p>
    <w:p w:rsidR="00024C0A" w:rsidRDefault="00694C0F">
      <w:r>
        <w:t xml:space="preserve">        INTL-CHAR-DATE-SEP / INTL-CHAR-TIME-SEP / INTL-AMPM))</w:t>
      </w:r>
    </w:p>
    <w:p w:rsidR="00024C0A" w:rsidRDefault="00694C0F">
      <w:r>
        <w:t>NFText =</w:t>
      </w:r>
    </w:p>
    <w:p w:rsidR="00024C0A" w:rsidRDefault="00694C0F">
      <w:r>
        <w:t>(1*ASCII-COMMERCIAL-AT *(ASCII-COMMERCIAL-AT / INTL-AMPM)) /</w:t>
      </w:r>
    </w:p>
    <w:p w:rsidR="00024C0A" w:rsidRDefault="00694C0F">
      <w:r>
        <w:t>(*(ASCII-COMMERCIAL-AT / INTL-AMPM) 1*ASCII-COMMERCIAL-</w:t>
      </w:r>
      <w:r>
        <w:t>AT)</w:t>
      </w:r>
    </w:p>
    <w:p w:rsidR="00024C0A" w:rsidRDefault="00694C0F">
      <w:r>
        <w:t>NFFraction = NFPartFraction ASCII-SOLIDUS NFPartFraction [NFPartNum] *INTL-AMPM</w:t>
      </w:r>
    </w:p>
    <w:p w:rsidR="00024C0A" w:rsidRDefault="00694C0F">
      <w:r>
        <w:t>; Definitions for partial rules used by the preceding rules.</w:t>
      </w:r>
    </w:p>
    <w:p w:rsidR="00024C0A" w:rsidRDefault="00694C0F">
      <w:r>
        <w:t xml:space="preserve">NFPartNum = </w:t>
      </w:r>
    </w:p>
    <w:p w:rsidR="00024C0A" w:rsidRDefault="00694C0F">
      <w:r>
        <w:t>(1*NFPartNumToken2 *(NFPartNumToken2 / ASCII-PERCENT-SIGN)) /</w:t>
      </w:r>
    </w:p>
    <w:p w:rsidR="00024C0A" w:rsidRDefault="00694C0F">
      <w:r>
        <w:t>(*(NFPartNumToken2 / ASCII-PERCENT-S</w:t>
      </w:r>
      <w:r>
        <w:t>IGN) 1*NFPartNumToken2)</w:t>
      </w:r>
    </w:p>
    <w:p w:rsidR="00024C0A" w:rsidRDefault="00694C0F">
      <w:r>
        <w:t>NFPartExponential = ASCII-CAPITAL-LETTER-E NFPartSign</w:t>
      </w:r>
    </w:p>
    <w:p w:rsidR="00024C0A" w:rsidRDefault="00694C0F">
      <w:r>
        <w:t>NFPartYear = 2(ASCII-SMALL-LETTER-Y) / 4(ASCII-SMALL-LETTER-Y)</w:t>
      </w:r>
    </w:p>
    <w:p w:rsidR="00024C0A" w:rsidRDefault="00694C0F">
      <w:r>
        <w:t>NFPartMonth = 1*5(ASCII-SMALL-LETTER-M)</w:t>
      </w:r>
    </w:p>
    <w:p w:rsidR="00024C0A" w:rsidRDefault="00694C0F">
      <w:r>
        <w:t>NFPartDay = 1*4(ASCII-SMALL-LETTER-D)</w:t>
      </w:r>
    </w:p>
    <w:p w:rsidR="00024C0A" w:rsidRDefault="00694C0F">
      <w:r>
        <w:t>NFPartHour = 1*2(ASCII-SMALL-LETTER-H</w:t>
      </w:r>
      <w:r>
        <w:t>)</w:t>
      </w:r>
    </w:p>
    <w:p w:rsidR="00024C0A" w:rsidRDefault="00694C0F">
      <w:r>
        <w:t xml:space="preserve">NFPartAbsHour = </w:t>
      </w:r>
    </w:p>
    <w:p w:rsidR="00024C0A" w:rsidRDefault="00694C0F">
      <w:r>
        <w:t xml:space="preserve">    ASCII-LEFT-SQUARE-BRACKET 1*ASCII-SMALL-LETTER-H ASCII-RIGHT-SQUARE-BRACKET</w:t>
      </w:r>
    </w:p>
    <w:p w:rsidR="00024C0A" w:rsidRDefault="00694C0F">
      <w:r>
        <w:t xml:space="preserve">    </w:t>
      </w:r>
    </w:p>
    <w:p w:rsidR="00024C0A" w:rsidRDefault="00694C0F">
      <w:r>
        <w:t>NFPartMinute = 1*2(ASCII-SMALL-LETTER-M)</w:t>
      </w:r>
    </w:p>
    <w:p w:rsidR="00024C0A" w:rsidRDefault="00694C0F">
      <w:r>
        <w:t xml:space="preserve">NFPartAbsMinute = </w:t>
      </w:r>
    </w:p>
    <w:p w:rsidR="00024C0A" w:rsidRDefault="00694C0F">
      <w:r>
        <w:t xml:space="preserve">    ASCII-LEFT-SQUARE-BRACKET 1*ASCII-SMALL-LETTER-M ASCII-RIGHT-SQUARE-BRACKET</w:t>
      </w:r>
    </w:p>
    <w:p w:rsidR="00024C0A" w:rsidRDefault="00694C0F">
      <w:r>
        <w:lastRenderedPageBreak/>
        <w:t xml:space="preserve">    </w:t>
      </w:r>
    </w:p>
    <w:p w:rsidR="00024C0A" w:rsidRDefault="00694C0F">
      <w:r>
        <w:t xml:space="preserve">NFPartSecond = </w:t>
      </w:r>
    </w:p>
    <w:p w:rsidR="00024C0A" w:rsidRDefault="00694C0F">
      <w:r>
        <w:t xml:space="preserve">    1*2(ASCII-SMALL-LETTER-S)</w:t>
      </w:r>
    </w:p>
    <w:p w:rsidR="00024C0A" w:rsidRDefault="00694C0F">
      <w:r>
        <w:t xml:space="preserve">    </w:t>
      </w:r>
    </w:p>
    <w:p w:rsidR="00024C0A" w:rsidRDefault="00694C0F">
      <w:r>
        <w:t xml:space="preserve">NFPartAbsSecond = </w:t>
      </w:r>
    </w:p>
    <w:p w:rsidR="00024C0A" w:rsidRDefault="00694C0F">
      <w:r>
        <w:t xml:space="preserve">    ASCII-LEFT-SQUARE-BRACKET 1*ASCII-SMALL-LETTER-S ASCII-RIGHT-SQUARE-BRACKET</w:t>
      </w:r>
    </w:p>
    <w:p w:rsidR="00024C0A" w:rsidRDefault="00694C0F">
      <w:r>
        <w:t xml:space="preserve">    </w:t>
      </w:r>
    </w:p>
    <w:p w:rsidR="00024C0A" w:rsidRDefault="00694C0F">
      <w:r>
        <w:t>NFPartSubSecond = INTL-CHAR-DECIMAL-SEP 1*3ASCII-DIGIT-ZERO</w:t>
      </w:r>
    </w:p>
    <w:p w:rsidR="00024C0A" w:rsidRDefault="00694C0F">
      <w:r>
        <w:t xml:space="preserve">NFPartCond = </w:t>
      </w:r>
    </w:p>
    <w:p w:rsidR="00024C0A" w:rsidRDefault="00694C0F">
      <w:r>
        <w:t xml:space="preserve">    ASCII-LEFT-SQUARE-BRACKET NFPartCompOper NFPartCondNum</w:t>
      </w:r>
    </w:p>
    <w:p w:rsidR="00024C0A" w:rsidRDefault="00694C0F">
      <w:r>
        <w:t xml:space="preserve">    ASCII-RIGHT-SQUARE-BRACKET</w:t>
      </w:r>
    </w:p>
    <w:p w:rsidR="00024C0A" w:rsidRDefault="00694C0F">
      <w:r>
        <w:t xml:space="preserve">NFPartCompOper = </w:t>
      </w:r>
    </w:p>
    <w:p w:rsidR="00024C0A" w:rsidRDefault="00694C0F">
      <w:r>
        <w:t xml:space="preserve">    (ASCII-LESS-THAN-SIGN [ASCII-EQUALS-SIGN / ASCII-GREATER-THAN-SIGN]) /</w:t>
      </w:r>
    </w:p>
    <w:p w:rsidR="00024C0A" w:rsidRDefault="00694C0F">
      <w:r>
        <w:t xml:space="preserve">    ASCII-EQUALS-SIGN /</w:t>
      </w:r>
    </w:p>
    <w:p w:rsidR="00024C0A" w:rsidRDefault="00694C0F">
      <w:r>
        <w:t xml:space="preserve">    (ASCII-GREATER-THAN-SIGN [ASCII-EQUALS-SIGN])</w:t>
      </w:r>
    </w:p>
    <w:p w:rsidR="00024C0A" w:rsidRDefault="00694C0F">
      <w:r>
        <w:t xml:space="preserve">NFPartLocaleID = </w:t>
      </w:r>
    </w:p>
    <w:p w:rsidR="00024C0A" w:rsidRDefault="00694C0F">
      <w:r>
        <w:t xml:space="preserve">    ASCII-LEFT-SQUARE-BRACKET ASCII-DOLLAR-SIGN 1*UTF16-ANY [ASCII-HYPHEN-MINUS</w:t>
      </w:r>
    </w:p>
    <w:p w:rsidR="00024C0A" w:rsidRDefault="00694C0F">
      <w:r>
        <w:t xml:space="preserve">    3*8ASCII-DIGIT-HEXADECIMAL] ASCII-RIGHT-SQUARE-BRACKET</w:t>
      </w:r>
    </w:p>
    <w:p w:rsidR="00024C0A" w:rsidRDefault="00694C0F">
      <w:r>
        <w:t xml:space="preserve">NFPartCondNum = </w:t>
      </w:r>
    </w:p>
    <w:p w:rsidR="00024C0A" w:rsidRDefault="00694C0F">
      <w:r>
        <w:t xml:space="preserve">    [ASCII-HYPHEN-MINUS] NFPartIntNum [INTL-CHAR-DECIMAL-SEP NFPartIntNum] </w:t>
      </w:r>
    </w:p>
    <w:p w:rsidR="00024C0A" w:rsidRDefault="00694C0F">
      <w:r>
        <w:t xml:space="preserve">     </w:t>
      </w:r>
      <w:r>
        <w:t xml:space="preserve">   [NFPartExponential NFPartIntNum]</w:t>
      </w:r>
    </w:p>
    <w:p w:rsidR="00024C0A" w:rsidRDefault="00694C0F">
      <w:r>
        <w:t>NFPartSign = ASCII-PLUS-SIGN / ASCII-HYPHEN-MINUS</w:t>
      </w:r>
    </w:p>
    <w:p w:rsidR="00024C0A" w:rsidRDefault="00694C0F">
      <w:r>
        <w:t xml:space="preserve">NFPartColor = </w:t>
      </w:r>
    </w:p>
    <w:p w:rsidR="00024C0A" w:rsidRDefault="00694C0F">
      <w:r>
        <w:t xml:space="preserve">    ASCII-LEFT-SQUARE-BRACKET </w:t>
      </w:r>
    </w:p>
    <w:p w:rsidR="00024C0A" w:rsidRDefault="00694C0F">
      <w:r>
        <w:t xml:space="preserve">    INTL-COLOR / (NFPartStrColor NFPart1To56)</w:t>
      </w:r>
    </w:p>
    <w:p w:rsidR="00024C0A" w:rsidRDefault="00694C0F">
      <w:r>
        <w:t xml:space="preserve">    ASCII-RIGHT-SQUARE-BRACKET</w:t>
      </w:r>
    </w:p>
    <w:p w:rsidR="00024C0A" w:rsidRDefault="00694C0F">
      <w:r>
        <w:t>NFPart1To56 =</w:t>
      </w:r>
    </w:p>
    <w:p w:rsidR="00024C0A" w:rsidRDefault="00694C0F">
      <w:r>
        <w:t xml:space="preserve">    NFPartNumber1To9 /</w:t>
      </w:r>
    </w:p>
    <w:p w:rsidR="00024C0A" w:rsidRDefault="00694C0F">
      <w:r>
        <w:t xml:space="preserve">    NFPart</w:t>
      </w:r>
      <w:r>
        <w:t>Number1To4 ASCII-DIGIT /</w:t>
      </w:r>
    </w:p>
    <w:p w:rsidR="00024C0A" w:rsidRDefault="00694C0F">
      <w:r>
        <w:t xml:space="preserve">    ASCII-DIGIT-FIVE (ASCII-DIGIT-ZERO / NFPartNumber1To6)</w:t>
      </w:r>
    </w:p>
    <w:p w:rsidR="00024C0A" w:rsidRDefault="00694C0F">
      <w:r>
        <w:t>NFPartIntNum = 1*ASCII-DIGIT</w:t>
      </w:r>
    </w:p>
    <w:p w:rsidR="00024C0A" w:rsidRDefault="00694C0F">
      <w:r>
        <w:t xml:space="preserve">NFPartNumToken1 = ASCII-NUMBER-SIGN / ASCII-QUESTION-MARK / </w:t>
      </w:r>
    </w:p>
    <w:p w:rsidR="00024C0A" w:rsidRDefault="00694C0F">
      <w:r>
        <w:lastRenderedPageBreak/>
        <w:t xml:space="preserve">    ASCII-DIGIT-ZERO</w:t>
      </w:r>
    </w:p>
    <w:p w:rsidR="00024C0A" w:rsidRDefault="00694C0F">
      <w:r>
        <w:t xml:space="preserve">NFPartNumToken2 = NFPartNumToken1 / INTL-CHAR-DECIMAL-SEP / </w:t>
      </w:r>
      <w:r>
        <w:t>INTL-CHAR-NUMGRP-SEP</w:t>
      </w:r>
    </w:p>
    <w:p w:rsidR="00024C0A" w:rsidRDefault="00694C0F">
      <w:r>
        <w:t xml:space="preserve">NFPartFraction = </w:t>
      </w:r>
    </w:p>
    <w:p w:rsidR="00024C0A" w:rsidRDefault="00694C0F">
      <w:r>
        <w:t>(1*NFPartIntNum *(NFPartIntNum / ASCII-PERCENT-SIGN)) /</w:t>
      </w:r>
    </w:p>
    <w:p w:rsidR="00024C0A" w:rsidRDefault="00694C0F">
      <w:r>
        <w:t>(*(NFPartIntNum / ASCII-PERCENT-SIGN) 1*NFPartIntNum) /</w:t>
      </w:r>
    </w:p>
    <w:p w:rsidR="00024C0A" w:rsidRDefault="00694C0F">
      <w:r>
        <w:t>(1*NFPartNumToken1 *(NFPartNumToken1 / ASCII-PERCENT-SIGN)) /</w:t>
      </w:r>
    </w:p>
    <w:p w:rsidR="00024C0A" w:rsidRDefault="00694C0F">
      <w:r>
        <w:t>(*(NFPartNumToken1 / ASCII-PERCENT-SIGN) 1*</w:t>
      </w:r>
      <w:r>
        <w:t>NFPartNumToken1)</w:t>
      </w:r>
    </w:p>
    <w:p w:rsidR="00024C0A" w:rsidRDefault="00694C0F">
      <w:r>
        <w:t>NFPartNumber1To4 =</w:t>
      </w:r>
    </w:p>
    <w:p w:rsidR="00024C0A" w:rsidRDefault="00694C0F">
      <w:r>
        <w:t xml:space="preserve">    ASCII-DIGIT-ONE /</w:t>
      </w:r>
    </w:p>
    <w:p w:rsidR="00024C0A" w:rsidRDefault="00694C0F">
      <w:r>
        <w:t xml:space="preserve">    ASCII-DIGIT-TWO /</w:t>
      </w:r>
    </w:p>
    <w:p w:rsidR="00024C0A" w:rsidRDefault="00694C0F">
      <w:r>
        <w:t xml:space="preserve">    ASCII-DIGIT-THREE /</w:t>
      </w:r>
    </w:p>
    <w:p w:rsidR="00024C0A" w:rsidRDefault="00694C0F">
      <w:r>
        <w:t xml:space="preserve">    ASCII-DIGIT-FOUR</w:t>
      </w:r>
    </w:p>
    <w:p w:rsidR="00024C0A" w:rsidRDefault="00694C0F">
      <w:r>
        <w:t>NFPartNumber1To6 =</w:t>
      </w:r>
    </w:p>
    <w:p w:rsidR="00024C0A" w:rsidRDefault="00694C0F">
      <w:r>
        <w:t xml:space="preserve">    NFPartNumber1To4 /</w:t>
      </w:r>
    </w:p>
    <w:p w:rsidR="00024C0A" w:rsidRDefault="00694C0F">
      <w:r>
        <w:t xml:space="preserve">    ASCII-DIGIT-FIVE /</w:t>
      </w:r>
    </w:p>
    <w:p w:rsidR="00024C0A" w:rsidRDefault="00694C0F">
      <w:r>
        <w:t xml:space="preserve">    ASCII-DIGIT-SIX</w:t>
      </w:r>
    </w:p>
    <w:p w:rsidR="00024C0A" w:rsidRDefault="00694C0F">
      <w:r>
        <w:t>NFPartNumber1To9 =</w:t>
      </w:r>
    </w:p>
    <w:p w:rsidR="00024C0A" w:rsidRDefault="00694C0F">
      <w:r>
        <w:t xml:space="preserve">    NFPartNumber1To6 /</w:t>
      </w:r>
    </w:p>
    <w:p w:rsidR="00024C0A" w:rsidRDefault="00694C0F">
      <w:r>
        <w:t xml:space="preserve">    </w:t>
      </w:r>
      <w:r>
        <w:t>ASCII-DIGIT-SEVEN /</w:t>
      </w:r>
    </w:p>
    <w:p w:rsidR="00024C0A" w:rsidRDefault="00694C0F">
      <w:r>
        <w:t xml:space="preserve">    ASCII-DIGIT-EIGHT /</w:t>
      </w:r>
    </w:p>
    <w:p w:rsidR="00024C0A" w:rsidRDefault="00694C0F">
      <w:r>
        <w:t xml:space="preserve">    ASCII-DIGIT-NINE</w:t>
      </w:r>
    </w:p>
    <w:p w:rsidR="00024C0A" w:rsidRDefault="00694C0F">
      <w:r>
        <w:t xml:space="preserve">NFPartStrColor = </w:t>
      </w:r>
    </w:p>
    <w:p w:rsidR="00024C0A" w:rsidRDefault="00694C0F">
      <w:r>
        <w:t xml:space="preserve">    ASCII-CAPITAL-LETTER-C ASCII-SMALL-LETTER-O ASCII-SMALL-LETTER-L </w:t>
      </w:r>
    </w:p>
    <w:p w:rsidR="00024C0A" w:rsidRDefault="00694C0F">
      <w:r>
        <w:t xml:space="preserve">        ASCII-SMALL-LETTER-O ASCII-SMALL-LETTER-R</w:t>
      </w:r>
    </w:p>
    <w:p w:rsidR="00024C0A" w:rsidRDefault="00694C0F">
      <w:r>
        <w:t xml:space="preserve">LITERAL-CHAR = ASCII-REVERSE-SOLIDUS UTF16-ANY </w:t>
      </w:r>
    </w:p>
    <w:p w:rsidR="00024C0A" w:rsidRDefault="00694C0F">
      <w:r>
        <w:t>LITERAL-CHAR-REPEAT = ASCII-ASTERISK UTF16-ANY</w:t>
      </w:r>
    </w:p>
    <w:p w:rsidR="00024C0A" w:rsidRDefault="00694C0F">
      <w:r>
        <w:t xml:space="preserve">LITERAL-STRING = </w:t>
      </w:r>
    </w:p>
    <w:p w:rsidR="00024C0A" w:rsidRDefault="00694C0F">
      <w:r>
        <w:t xml:space="preserve">    (ASCII-QUOTATION-MARK 1*UTF16-ANY-WITHOUT-QUOTE ASCII-QUOTATION-MARK) /</w:t>
      </w:r>
    </w:p>
    <w:p w:rsidR="00024C0A" w:rsidRDefault="00694C0F">
      <w:r>
        <w:t xml:space="preserve">    1*LITERAL-CHAR</w:t>
      </w:r>
    </w:p>
    <w:p w:rsidR="00024C0A" w:rsidRDefault="00694C0F">
      <w:r>
        <w:t>UTF16-ANY-WITHOUT-QUOTE = %x0000-0021 / %x0023-FFFF</w:t>
      </w:r>
    </w:p>
    <w:p w:rsidR="00024C0A" w:rsidRDefault="00694C0F">
      <w:r>
        <w:t xml:space="preserve">LITERAL-CHAR-SPACE = ASCII-LOW-LINE </w:t>
      </w:r>
      <w:r>
        <w:t>UTF16-ANY</w:t>
      </w:r>
    </w:p>
    <w:p w:rsidR="00024C0A" w:rsidRDefault="00694C0F">
      <w:r>
        <w:t xml:space="preserve">        </w:t>
      </w:r>
    </w:p>
    <w:p w:rsidR="00024C0A" w:rsidRDefault="00694C0F">
      <w:r>
        <w:lastRenderedPageBreak/>
        <w:t xml:space="preserve">; INTL* Rules must be validated to suit the </w:t>
      </w:r>
    </w:p>
    <w:p w:rsidR="00024C0A" w:rsidRDefault="00694C0F">
      <w:r>
        <w:t>; Locale and/or the UI language as appropriate</w:t>
      </w:r>
    </w:p>
    <w:p w:rsidR="00024C0A" w:rsidRDefault="00694C0F">
      <w:r>
        <w:t>; ===================================================================</w:t>
      </w:r>
    </w:p>
    <w:p w:rsidR="00024C0A" w:rsidRDefault="00694C0F">
      <w:r>
        <w:t>INTL-CHAR-DECIMAL-SEP = ASCII-FULL-STOP</w:t>
      </w:r>
    </w:p>
    <w:p w:rsidR="00024C0A" w:rsidRDefault="00694C0F">
      <w:r>
        <w:t>INTL-CHAR-NUMGRP-SEP = ASCII-COMMA</w:t>
      </w:r>
    </w:p>
    <w:p w:rsidR="00024C0A" w:rsidRDefault="00694C0F">
      <w:r>
        <w:t>INTL-CHAR-DATE-SEP = ASCII-SOLIDUS</w:t>
      </w:r>
    </w:p>
    <w:p w:rsidR="00024C0A" w:rsidRDefault="00694C0F">
      <w:r>
        <w:t>INTL-CHAR-TIME-SEP = ASCII-COLON</w:t>
      </w:r>
    </w:p>
    <w:p w:rsidR="00024C0A" w:rsidRDefault="00694C0F">
      <w:r>
        <w:t xml:space="preserve">INTL-COLOR = </w:t>
      </w:r>
    </w:p>
    <w:p w:rsidR="00024C0A" w:rsidRDefault="00694C0F">
      <w:r>
        <w:t xml:space="preserve">    (ASCII-CAPITAL-LETTER-B ASCII-SMALL-LETTER-L ASCII-SMALL-LETTER-A </w:t>
      </w:r>
    </w:p>
    <w:p w:rsidR="00024C0A" w:rsidRDefault="00694C0F">
      <w:r>
        <w:t xml:space="preserve">        ASCII-SMALL-LETTER-C ASCII-SMALL-LETTER-K) / ; Black</w:t>
      </w:r>
    </w:p>
    <w:p w:rsidR="00024C0A" w:rsidRDefault="00694C0F">
      <w:r>
        <w:t xml:space="preserve">    (ASCII-CAPITAL-LETTER-B ASCII-SMALL-LE</w:t>
      </w:r>
      <w:r>
        <w:t xml:space="preserve">TTER-L ASCII-SMALL-LETTER-U </w:t>
      </w:r>
    </w:p>
    <w:p w:rsidR="00024C0A" w:rsidRDefault="00694C0F">
      <w:r>
        <w:t xml:space="preserve">        ASCII-SMALL-LETTER-E) / ; Blue</w:t>
      </w:r>
    </w:p>
    <w:p w:rsidR="00024C0A" w:rsidRDefault="00694C0F">
      <w:r>
        <w:t xml:space="preserve">    (ASCII-CAPITAL-LETTER-C ASCII-SMALL-LETTER-Y ASCII-SMALL-LETTER-A </w:t>
      </w:r>
    </w:p>
    <w:p w:rsidR="00024C0A" w:rsidRDefault="00694C0F">
      <w:r>
        <w:t xml:space="preserve">        ASCII-SMALL-LETTER-N) / ;Cyan</w:t>
      </w:r>
    </w:p>
    <w:p w:rsidR="00024C0A" w:rsidRDefault="00694C0F">
      <w:r>
        <w:t xml:space="preserve">    (ASCII-CAPITAL-LETTER-G ASCII-SMALL-LETTER-R ASCII-SMALL-LETTER-E </w:t>
      </w:r>
    </w:p>
    <w:p w:rsidR="00024C0A" w:rsidRDefault="00694C0F">
      <w:r>
        <w:t xml:space="preserve">        </w:t>
      </w:r>
      <w:r>
        <w:t>ASCII-SMALL-LETTER-E ASCII-SMALL-LETTER-N) / ; Green</w:t>
      </w:r>
    </w:p>
    <w:p w:rsidR="00024C0A" w:rsidRDefault="00694C0F">
      <w:r>
        <w:t xml:space="preserve">    (ASCII-CAPITAL-LETTER-M ASCII-SMALL-LETTER-A ASCII-SMALL-LETTER-G </w:t>
      </w:r>
    </w:p>
    <w:p w:rsidR="00024C0A" w:rsidRDefault="00694C0F">
      <w:r>
        <w:t xml:space="preserve">        ASCII-SMALL-LETTER-E ASCII-SMALL-LETTER-N </w:t>
      </w:r>
    </w:p>
    <w:p w:rsidR="00024C0A" w:rsidRDefault="00694C0F">
      <w:r>
        <w:t xml:space="preserve">        ASCII-SMALL-LETTER-T ASCII-SMALL-LETTER-A) / ; Magenta</w:t>
      </w:r>
    </w:p>
    <w:p w:rsidR="00024C0A" w:rsidRDefault="00694C0F">
      <w:r>
        <w:t xml:space="preserve">    (ASCII-CAPITAL</w:t>
      </w:r>
      <w:r>
        <w:t xml:space="preserve">-LETTER-R ASCII-SMALL-LETTER-E </w:t>
      </w:r>
    </w:p>
    <w:p w:rsidR="00024C0A" w:rsidRDefault="00694C0F">
      <w:r>
        <w:t xml:space="preserve">        ASCII-SMALL-LETTER-D ) / ; Red</w:t>
      </w:r>
    </w:p>
    <w:p w:rsidR="00024C0A" w:rsidRDefault="00694C0F">
      <w:r>
        <w:t xml:space="preserve">    (ASCII-CAPITAL-LETTER-W ASCII-SMALL-LETTER-H ASCII-SMALL-LETTER-I </w:t>
      </w:r>
    </w:p>
    <w:p w:rsidR="00024C0A" w:rsidRDefault="00694C0F">
      <w:r>
        <w:t xml:space="preserve">        ASCII-SMALL-LETTER-T ASCII-SMALL-LETTER-E) / ; White</w:t>
      </w:r>
    </w:p>
    <w:p w:rsidR="00024C0A" w:rsidRDefault="00694C0F">
      <w:r>
        <w:t xml:space="preserve">    (ASCII-CAPITAL-LETTER-Y ASCII-SMALL-LETTER-E ASCI</w:t>
      </w:r>
      <w:r>
        <w:t xml:space="preserve">I-SMALL-LETTER-L </w:t>
      </w:r>
    </w:p>
    <w:p w:rsidR="00024C0A" w:rsidRDefault="00694C0F">
      <w:r>
        <w:t xml:space="preserve">        ASCII-SMALL-LETTER-L ASCII-SMALL-LETTER-O </w:t>
      </w:r>
    </w:p>
    <w:p w:rsidR="00024C0A" w:rsidRDefault="00694C0F">
      <w:r>
        <w:t xml:space="preserve">        ASCII-SMALL-LETTER-W) ; Yellow</w:t>
      </w:r>
    </w:p>
    <w:p w:rsidR="00024C0A" w:rsidRDefault="00694C0F">
      <w:r>
        <w:t xml:space="preserve">        </w:t>
      </w:r>
    </w:p>
    <w:p w:rsidR="00024C0A" w:rsidRDefault="00694C0F">
      <w:r>
        <w:t xml:space="preserve">INTL-NUMFMT-GENERAL = </w:t>
      </w:r>
    </w:p>
    <w:p w:rsidR="00024C0A" w:rsidRDefault="00694C0F">
      <w:r>
        <w:t xml:space="preserve">    ASCII-CAPITAL-LETTER-G ASCII-SMALL-LETTER-E ASCII-SMALL-LETTER-N </w:t>
      </w:r>
    </w:p>
    <w:p w:rsidR="00024C0A" w:rsidRDefault="00694C0F">
      <w:r>
        <w:t xml:space="preserve">    ASCII-SMALL-LETTER-E ASCII-SMALL-LETTER-R ASCII-SMALL-LETTER-A </w:t>
      </w:r>
    </w:p>
    <w:p w:rsidR="00024C0A" w:rsidRDefault="00694C0F">
      <w:r>
        <w:t xml:space="preserve">    ASCII-SMALL-LETTER-L</w:t>
      </w:r>
    </w:p>
    <w:p w:rsidR="00024C0A" w:rsidRDefault="00694C0F">
      <w:r>
        <w:lastRenderedPageBreak/>
        <w:t xml:space="preserve">INTL-AMPM = </w:t>
      </w:r>
    </w:p>
    <w:p w:rsidR="00024C0A" w:rsidRDefault="00694C0F">
      <w:r>
        <w:t xml:space="preserve">    (ASCII-CAPITAL-LETTER-A ASCII-CAPITAL-LETTER-M ASCII-SOLIDUS </w:t>
      </w:r>
    </w:p>
    <w:p w:rsidR="00024C0A" w:rsidRDefault="00694C0F">
      <w:r>
        <w:t xml:space="preserve">        ASCII-CAPITAL-LETTER-P ASCII-CAPITAL-LETTER-M) /</w:t>
      </w:r>
    </w:p>
    <w:p w:rsidR="00024C0A" w:rsidRDefault="00694C0F">
      <w:r>
        <w:t xml:space="preserve">    "A/P"</w:t>
      </w:r>
    </w:p>
    <w:p w:rsidR="00024C0A" w:rsidRDefault="00694C0F">
      <w:r>
        <w:t xml:space="preserve">    </w:t>
      </w:r>
    </w:p>
    <w:p w:rsidR="00024C0A" w:rsidRDefault="00694C0F">
      <w:r>
        <w:t xml:space="preserve">UTF16-ANY = </w:t>
      </w:r>
      <w:r>
        <w:t>%x0000-FFFF</w:t>
      </w:r>
    </w:p>
    <w:p w:rsidR="00024C0A" w:rsidRDefault="00694C0F">
      <w:r>
        <w:t>; ===================================================================</w:t>
      </w:r>
    </w:p>
    <w:p w:rsidR="00024C0A" w:rsidRDefault="00694C0F">
      <w:r>
        <w:t>; Derived from Unicode names of ASCII characters (%x20-7F)</w:t>
      </w:r>
    </w:p>
    <w:p w:rsidR="00024C0A" w:rsidRDefault="00694C0F">
      <w:r>
        <w:t xml:space="preserve">; =================================================================== </w:t>
      </w:r>
    </w:p>
    <w:p w:rsidR="00024C0A" w:rsidRDefault="00694C0F">
      <w:r>
        <w:t>ASCII-SPACE = %x20</w:t>
      </w:r>
    </w:p>
    <w:p w:rsidR="00024C0A" w:rsidRDefault="00694C0F">
      <w:r>
        <w:t xml:space="preserve">ASCII-EXCLAMATION-MARK = </w:t>
      </w:r>
      <w:r>
        <w:t>%x21</w:t>
      </w:r>
    </w:p>
    <w:p w:rsidR="00024C0A" w:rsidRDefault="00694C0F">
      <w:r>
        <w:t>ASCII-QUOTATION-MARK = %x22</w:t>
      </w:r>
    </w:p>
    <w:p w:rsidR="00024C0A" w:rsidRDefault="00694C0F">
      <w:r>
        <w:t>ASCII-NUMBER-SIGN = %x23</w:t>
      </w:r>
    </w:p>
    <w:p w:rsidR="00024C0A" w:rsidRDefault="00694C0F">
      <w:r>
        <w:t>ASCII-DOLLAR-SIGN = %x24</w:t>
      </w:r>
    </w:p>
    <w:p w:rsidR="00024C0A" w:rsidRDefault="00694C0F">
      <w:r>
        <w:t>ASCII-PERCENT-SIGN = %x25</w:t>
      </w:r>
    </w:p>
    <w:p w:rsidR="00024C0A" w:rsidRDefault="00694C0F">
      <w:r>
        <w:t>ASCII-AMPERSAND = %x26</w:t>
      </w:r>
    </w:p>
    <w:p w:rsidR="00024C0A" w:rsidRDefault="00694C0F">
      <w:r>
        <w:t>ASCII-APOSTROPHE = %x27</w:t>
      </w:r>
    </w:p>
    <w:p w:rsidR="00024C0A" w:rsidRDefault="00694C0F">
      <w:r>
        <w:t>ASCII-LEFT-PARENTHESIS = %x28</w:t>
      </w:r>
    </w:p>
    <w:p w:rsidR="00024C0A" w:rsidRDefault="00694C0F">
      <w:r>
        <w:t>ASCII-RIGHT-PARENTHESIS = %x29</w:t>
      </w:r>
    </w:p>
    <w:p w:rsidR="00024C0A" w:rsidRDefault="00694C0F">
      <w:r>
        <w:t>ASCII-ASTERISK = %x2A</w:t>
      </w:r>
    </w:p>
    <w:p w:rsidR="00024C0A" w:rsidRDefault="00694C0F">
      <w:r>
        <w:t>ASCII-PLUS-SIGN =</w:t>
      </w:r>
      <w:r>
        <w:t xml:space="preserve"> %x2B</w:t>
      </w:r>
    </w:p>
    <w:p w:rsidR="00024C0A" w:rsidRDefault="00694C0F">
      <w:r>
        <w:t>ASCII-COMMA = %x2C</w:t>
      </w:r>
    </w:p>
    <w:p w:rsidR="00024C0A" w:rsidRDefault="00694C0F">
      <w:r>
        <w:t>ASCII-HYPHEN-MINUS = %x2D</w:t>
      </w:r>
    </w:p>
    <w:p w:rsidR="00024C0A" w:rsidRDefault="00694C0F">
      <w:r>
        <w:t>ASCII-FULL-STOP = %x2E</w:t>
      </w:r>
    </w:p>
    <w:p w:rsidR="00024C0A" w:rsidRDefault="00694C0F">
      <w:r>
        <w:t>ASCII-SOLIDUS = %x2F</w:t>
      </w:r>
    </w:p>
    <w:p w:rsidR="00024C0A" w:rsidRDefault="00694C0F">
      <w:r>
        <w:t>ASCII-DIGIT-ZERO = %x30</w:t>
      </w:r>
    </w:p>
    <w:p w:rsidR="00024C0A" w:rsidRDefault="00694C0F">
      <w:r>
        <w:t>ASCII-DIGIT-ONE = %x31</w:t>
      </w:r>
    </w:p>
    <w:p w:rsidR="00024C0A" w:rsidRDefault="00694C0F">
      <w:r>
        <w:t>ASCII-DIGIT-TWO = %x32</w:t>
      </w:r>
    </w:p>
    <w:p w:rsidR="00024C0A" w:rsidRDefault="00694C0F">
      <w:r>
        <w:t>ASCII-DIGIT-THREE = %x33</w:t>
      </w:r>
    </w:p>
    <w:p w:rsidR="00024C0A" w:rsidRDefault="00694C0F">
      <w:r>
        <w:t>ASCII-DIGIT-FOUR = %x34</w:t>
      </w:r>
    </w:p>
    <w:p w:rsidR="00024C0A" w:rsidRDefault="00694C0F">
      <w:r>
        <w:lastRenderedPageBreak/>
        <w:t>ASCII-DIGIT-FIVE = %x35</w:t>
      </w:r>
    </w:p>
    <w:p w:rsidR="00024C0A" w:rsidRDefault="00694C0F">
      <w:r>
        <w:t xml:space="preserve">ASCII-DIGIT-SIX = </w:t>
      </w:r>
      <w:r>
        <w:t>%x36</w:t>
      </w:r>
    </w:p>
    <w:p w:rsidR="00024C0A" w:rsidRDefault="00694C0F">
      <w:r>
        <w:t>ASCII-DIGIT-SEVEN = %x37</w:t>
      </w:r>
    </w:p>
    <w:p w:rsidR="00024C0A" w:rsidRDefault="00694C0F">
      <w:r>
        <w:t>ASCII-DIGIT-EIGHT = %x38</w:t>
      </w:r>
    </w:p>
    <w:p w:rsidR="00024C0A" w:rsidRDefault="00694C0F">
      <w:r>
        <w:t>ASCII-DIGIT-NINE = %x39</w:t>
      </w:r>
    </w:p>
    <w:p w:rsidR="00024C0A" w:rsidRDefault="00694C0F">
      <w:r>
        <w:t>ASCII-COLON = %x3A</w:t>
      </w:r>
    </w:p>
    <w:p w:rsidR="00024C0A" w:rsidRDefault="00694C0F">
      <w:r>
        <w:t>ASCII-SEMICOLON = %x3B</w:t>
      </w:r>
    </w:p>
    <w:p w:rsidR="00024C0A" w:rsidRDefault="00694C0F">
      <w:r>
        <w:t>ASCII-LESS-THAN-SIGN = %x3C</w:t>
      </w:r>
    </w:p>
    <w:p w:rsidR="00024C0A" w:rsidRDefault="00694C0F">
      <w:r>
        <w:t>ASCII-EQUALS-SIGN = %x3D</w:t>
      </w:r>
    </w:p>
    <w:p w:rsidR="00024C0A" w:rsidRDefault="00694C0F">
      <w:r>
        <w:t>ASCII-GREATER-THAN-SIGN = %x3E</w:t>
      </w:r>
    </w:p>
    <w:p w:rsidR="00024C0A" w:rsidRDefault="00694C0F">
      <w:r>
        <w:t>ASCII-QUESTION-MARK = %x3F</w:t>
      </w:r>
    </w:p>
    <w:p w:rsidR="00024C0A" w:rsidRDefault="00694C0F">
      <w:r>
        <w:t>ASCII-COMMERCIAL-AT = %x</w:t>
      </w:r>
      <w:r>
        <w:t>40</w:t>
      </w:r>
    </w:p>
    <w:p w:rsidR="00024C0A" w:rsidRDefault="00694C0F">
      <w:r>
        <w:t>ASCII-CAPITAL-LETTER-A = %x41</w:t>
      </w:r>
    </w:p>
    <w:p w:rsidR="00024C0A" w:rsidRDefault="00694C0F">
      <w:r>
        <w:t>ASCII-CAPITAL-LETTER-B = %x42</w:t>
      </w:r>
    </w:p>
    <w:p w:rsidR="00024C0A" w:rsidRDefault="00694C0F">
      <w:r>
        <w:t>ASCII-CAPITAL-LETTER-C = %x43</w:t>
      </w:r>
    </w:p>
    <w:p w:rsidR="00024C0A" w:rsidRDefault="00694C0F">
      <w:r>
        <w:t>ASCII-CAPITAL-LETTER-D = %x44</w:t>
      </w:r>
    </w:p>
    <w:p w:rsidR="00024C0A" w:rsidRDefault="00694C0F">
      <w:r>
        <w:t>ASCII-CAPITAL-LETTER-E = %x45</w:t>
      </w:r>
    </w:p>
    <w:p w:rsidR="00024C0A" w:rsidRDefault="00694C0F">
      <w:r>
        <w:t>ASCII-CAPITAL-LETTER-F = %x46</w:t>
      </w:r>
    </w:p>
    <w:p w:rsidR="00024C0A" w:rsidRDefault="00694C0F">
      <w:r>
        <w:t>ASCII-CAPITAL-LETTER-G = %x47</w:t>
      </w:r>
    </w:p>
    <w:p w:rsidR="00024C0A" w:rsidRDefault="00694C0F">
      <w:r>
        <w:t>ASCII-CAPITAL-LETTER-H = %x48</w:t>
      </w:r>
    </w:p>
    <w:p w:rsidR="00024C0A" w:rsidRDefault="00694C0F">
      <w:r>
        <w:t>ASCII-CAPITAL</w:t>
      </w:r>
      <w:r>
        <w:t>-LETTER-I = %x49</w:t>
      </w:r>
    </w:p>
    <w:p w:rsidR="00024C0A" w:rsidRDefault="00694C0F">
      <w:r>
        <w:t>ASCII-CAPITAL-LETTER-J = %x4A</w:t>
      </w:r>
    </w:p>
    <w:p w:rsidR="00024C0A" w:rsidRDefault="00694C0F">
      <w:r>
        <w:t>ASCII-CAPITAL-LETTER-K = %x4B</w:t>
      </w:r>
    </w:p>
    <w:p w:rsidR="00024C0A" w:rsidRDefault="00694C0F">
      <w:r>
        <w:t>ASCII-CAPITAL-LETTER-L = %x4C</w:t>
      </w:r>
    </w:p>
    <w:p w:rsidR="00024C0A" w:rsidRDefault="00694C0F">
      <w:r>
        <w:t>ASCII-CAPITAL-LETTER-M = %x4D</w:t>
      </w:r>
    </w:p>
    <w:p w:rsidR="00024C0A" w:rsidRDefault="00694C0F">
      <w:r>
        <w:t>ASCII-CAPITAL-LETTER-N = %x4E</w:t>
      </w:r>
    </w:p>
    <w:p w:rsidR="00024C0A" w:rsidRDefault="00694C0F">
      <w:r>
        <w:t>ASCII-CAPITAL-LETTER-O = %x4F</w:t>
      </w:r>
    </w:p>
    <w:p w:rsidR="00024C0A" w:rsidRDefault="00694C0F">
      <w:r>
        <w:t>ASCII-CAPITAL-LETTER-P = %x50</w:t>
      </w:r>
    </w:p>
    <w:p w:rsidR="00024C0A" w:rsidRDefault="00694C0F">
      <w:r>
        <w:t>ASCII-CAPITAL-LETTER-Q = %x51</w:t>
      </w:r>
    </w:p>
    <w:p w:rsidR="00024C0A" w:rsidRDefault="00694C0F">
      <w:r>
        <w:t>ASCII-CAPITAL-LETTER-R = %x52</w:t>
      </w:r>
    </w:p>
    <w:p w:rsidR="00024C0A" w:rsidRDefault="00694C0F">
      <w:r>
        <w:t>ASCII-CAPITAL-LETTER-S = %x53</w:t>
      </w:r>
    </w:p>
    <w:p w:rsidR="00024C0A" w:rsidRDefault="00694C0F">
      <w:r>
        <w:t>ASCII-CAPITAL-LETTER-T = %x54</w:t>
      </w:r>
    </w:p>
    <w:p w:rsidR="00024C0A" w:rsidRDefault="00694C0F">
      <w:r>
        <w:lastRenderedPageBreak/>
        <w:t>ASCII-CAPITAL-LETTER-U = %x55</w:t>
      </w:r>
    </w:p>
    <w:p w:rsidR="00024C0A" w:rsidRDefault="00694C0F">
      <w:r>
        <w:t>ASCII-CAPITAL-LETTER-V = %x56</w:t>
      </w:r>
    </w:p>
    <w:p w:rsidR="00024C0A" w:rsidRDefault="00694C0F">
      <w:r>
        <w:t>ASCII-CAPITAL-LETTER-W = %x57</w:t>
      </w:r>
    </w:p>
    <w:p w:rsidR="00024C0A" w:rsidRDefault="00694C0F">
      <w:r>
        <w:t>ASCII-CAPITAL-LETTER-X = %x58</w:t>
      </w:r>
    </w:p>
    <w:p w:rsidR="00024C0A" w:rsidRDefault="00694C0F">
      <w:r>
        <w:t>ASCII-CAPITAL-LETTER-Y = %x59</w:t>
      </w:r>
    </w:p>
    <w:p w:rsidR="00024C0A" w:rsidRDefault="00694C0F">
      <w:r>
        <w:t>ASCII-CAPITAL-LETTER-Z = %x5A</w:t>
      </w:r>
    </w:p>
    <w:p w:rsidR="00024C0A" w:rsidRDefault="00694C0F">
      <w:r>
        <w:t>ASCII-LEFT-SQUARE-BRACKET = %x5B</w:t>
      </w:r>
    </w:p>
    <w:p w:rsidR="00024C0A" w:rsidRDefault="00694C0F">
      <w:r>
        <w:t>ASCII-REVERSE-SOLIDUS = %x5C</w:t>
      </w:r>
    </w:p>
    <w:p w:rsidR="00024C0A" w:rsidRDefault="00694C0F">
      <w:r>
        <w:t>ASCII-RIGHT-SQUARE-BRACKET = %x5D</w:t>
      </w:r>
    </w:p>
    <w:p w:rsidR="00024C0A" w:rsidRDefault="00694C0F">
      <w:r>
        <w:t>ASCII-CIRCUMFLEX-ACCENT = %x5E</w:t>
      </w:r>
    </w:p>
    <w:p w:rsidR="00024C0A" w:rsidRDefault="00694C0F">
      <w:r>
        <w:t>ASCII-LOW-LINE = %x5F</w:t>
      </w:r>
    </w:p>
    <w:p w:rsidR="00024C0A" w:rsidRDefault="00694C0F">
      <w:r>
        <w:t>ASCII-GRAVE-ACCENT = %x60</w:t>
      </w:r>
    </w:p>
    <w:p w:rsidR="00024C0A" w:rsidRDefault="00694C0F">
      <w:r>
        <w:t>ASCII-SMALL-LETTER-A = %x61</w:t>
      </w:r>
    </w:p>
    <w:p w:rsidR="00024C0A" w:rsidRDefault="00694C0F">
      <w:r>
        <w:t xml:space="preserve">ASCII-SMALL-LETTER-B = </w:t>
      </w:r>
      <w:r>
        <w:t>%x62</w:t>
      </w:r>
    </w:p>
    <w:p w:rsidR="00024C0A" w:rsidRDefault="00694C0F">
      <w:r>
        <w:t>ASCII-SMALL-LETTER-C = %x63</w:t>
      </w:r>
    </w:p>
    <w:p w:rsidR="00024C0A" w:rsidRDefault="00694C0F">
      <w:r>
        <w:t>ASCII-SMALL-LETTER-D = %x64</w:t>
      </w:r>
    </w:p>
    <w:p w:rsidR="00024C0A" w:rsidRDefault="00694C0F">
      <w:r>
        <w:t>ASCII-SMALL-LETTER-E = %x65</w:t>
      </w:r>
    </w:p>
    <w:p w:rsidR="00024C0A" w:rsidRDefault="00694C0F">
      <w:r>
        <w:t>ASCII-SMALL-LETTER-F = %x66</w:t>
      </w:r>
    </w:p>
    <w:p w:rsidR="00024C0A" w:rsidRDefault="00694C0F">
      <w:r>
        <w:t>ASCII-SMALL-LETTER-G = %x67</w:t>
      </w:r>
    </w:p>
    <w:p w:rsidR="00024C0A" w:rsidRDefault="00694C0F">
      <w:r>
        <w:t>ASCII-SMALL-LETTER-H = %x68</w:t>
      </w:r>
    </w:p>
    <w:p w:rsidR="00024C0A" w:rsidRDefault="00694C0F">
      <w:r>
        <w:t>ASCII-SMALL-LETTER-I = %x69</w:t>
      </w:r>
    </w:p>
    <w:p w:rsidR="00024C0A" w:rsidRDefault="00694C0F">
      <w:r>
        <w:t>ASCII-SMALL-LETTER-J = %x6A</w:t>
      </w:r>
    </w:p>
    <w:p w:rsidR="00024C0A" w:rsidRDefault="00694C0F">
      <w:r>
        <w:t>ASCII-SMALL-LETTER-K = %x6B</w:t>
      </w:r>
    </w:p>
    <w:p w:rsidR="00024C0A" w:rsidRDefault="00694C0F">
      <w:r>
        <w:t>ASCII-SMALL-LETTER-L = %x6C</w:t>
      </w:r>
    </w:p>
    <w:p w:rsidR="00024C0A" w:rsidRDefault="00694C0F">
      <w:r>
        <w:t>ASCII-SMALL-LETTER-M = %x6D</w:t>
      </w:r>
    </w:p>
    <w:p w:rsidR="00024C0A" w:rsidRDefault="00694C0F">
      <w:r>
        <w:t>ASCII-SMALL-LETTER-N = %x6E</w:t>
      </w:r>
    </w:p>
    <w:p w:rsidR="00024C0A" w:rsidRDefault="00694C0F">
      <w:r>
        <w:t>ASCII-SMALL-LETTER-O = %x6F</w:t>
      </w:r>
    </w:p>
    <w:p w:rsidR="00024C0A" w:rsidRDefault="00694C0F">
      <w:r>
        <w:t>ASCII-SMALL-LETTER-P = %x70</w:t>
      </w:r>
    </w:p>
    <w:p w:rsidR="00024C0A" w:rsidRDefault="00694C0F">
      <w:r>
        <w:t>ASCII-SMALL-LETTER-Q = %x71</w:t>
      </w:r>
    </w:p>
    <w:p w:rsidR="00024C0A" w:rsidRDefault="00694C0F">
      <w:r>
        <w:t>ASCII-SMALL-LETTER-R = %x72</w:t>
      </w:r>
    </w:p>
    <w:p w:rsidR="00024C0A" w:rsidRDefault="00694C0F">
      <w:r>
        <w:t>ASCII-SMALL-LETTER-S = %x73</w:t>
      </w:r>
    </w:p>
    <w:p w:rsidR="00024C0A" w:rsidRDefault="00694C0F">
      <w:r>
        <w:t>ASCII-SMALL-LETTER-T = %x74</w:t>
      </w:r>
    </w:p>
    <w:p w:rsidR="00024C0A" w:rsidRDefault="00694C0F">
      <w:r>
        <w:lastRenderedPageBreak/>
        <w:t>ASC</w:t>
      </w:r>
      <w:r>
        <w:t>II-SMALL-LETTER-U = %x75</w:t>
      </w:r>
    </w:p>
    <w:p w:rsidR="00024C0A" w:rsidRDefault="00694C0F">
      <w:r>
        <w:t>ASCII-SMALL-LETTER-V = %x76</w:t>
      </w:r>
    </w:p>
    <w:p w:rsidR="00024C0A" w:rsidRDefault="00694C0F">
      <w:r>
        <w:t>ASCII-SMALL-LETTER-W = %x77</w:t>
      </w:r>
    </w:p>
    <w:p w:rsidR="00024C0A" w:rsidRDefault="00694C0F">
      <w:r>
        <w:t>ASCII-SMALL-LETTER-X = %x78</w:t>
      </w:r>
    </w:p>
    <w:p w:rsidR="00024C0A" w:rsidRDefault="00694C0F">
      <w:r>
        <w:t>ASCII-SMALL-LETTER-Y = %x79</w:t>
      </w:r>
    </w:p>
    <w:p w:rsidR="00024C0A" w:rsidRDefault="00694C0F">
      <w:r>
        <w:t>ASCII-SMALL-LETTER-Z = %x7A</w:t>
      </w:r>
    </w:p>
    <w:p w:rsidR="00024C0A" w:rsidRDefault="00694C0F">
      <w:r>
        <w:t>ASCII-LEFT-CURLY-BRACKET = %x7B</w:t>
      </w:r>
    </w:p>
    <w:p w:rsidR="00024C0A" w:rsidRDefault="00694C0F">
      <w:r>
        <w:t>ASCII-VERTICAL-LINE = %x7C</w:t>
      </w:r>
    </w:p>
    <w:p w:rsidR="00024C0A" w:rsidRDefault="00694C0F">
      <w:r>
        <w:t>ASCII-RIGHT-CURLY-BRACKET = %x7D</w:t>
      </w:r>
    </w:p>
    <w:p w:rsidR="00024C0A" w:rsidRDefault="00694C0F">
      <w:r>
        <w:t>ASCII-TILDE = %x7E</w:t>
      </w:r>
    </w:p>
    <w:p w:rsidR="00024C0A" w:rsidRDefault="00694C0F">
      <w:r>
        <w:t>ASCII-DELETE = %x7F</w:t>
      </w:r>
    </w:p>
    <w:p w:rsidR="00024C0A" w:rsidRDefault="00694C0F">
      <w:r>
        <w:t>ASCII-CRLF = %x0d.0a</w:t>
      </w:r>
    </w:p>
    <w:p w:rsidR="00024C0A" w:rsidRDefault="00694C0F">
      <w:r>
        <w:t xml:space="preserve">ASCII-DIGIT = </w:t>
      </w:r>
    </w:p>
    <w:p w:rsidR="00024C0A" w:rsidRDefault="00694C0F">
      <w:r>
        <w:t xml:space="preserve">    ASCII-DIGIT-ZERO /</w:t>
      </w:r>
    </w:p>
    <w:p w:rsidR="00024C0A" w:rsidRDefault="00694C0F">
      <w:r>
        <w:t xml:space="preserve">    ASCII-DIGIT-ONE /</w:t>
      </w:r>
    </w:p>
    <w:p w:rsidR="00024C0A" w:rsidRDefault="00694C0F">
      <w:r>
        <w:t xml:space="preserve">    ASCII-DIGIT-TWO /</w:t>
      </w:r>
    </w:p>
    <w:p w:rsidR="00024C0A" w:rsidRDefault="00694C0F">
      <w:r>
        <w:t xml:space="preserve">    ASCII-DIGIT-THREE /</w:t>
      </w:r>
    </w:p>
    <w:p w:rsidR="00024C0A" w:rsidRDefault="00694C0F">
      <w:r>
        <w:t xml:space="preserve">    ASCII-DIGIT-FOUR /</w:t>
      </w:r>
    </w:p>
    <w:p w:rsidR="00024C0A" w:rsidRDefault="00694C0F">
      <w:r>
        <w:t xml:space="preserve">    ASCII-DIGIT-FIVE /</w:t>
      </w:r>
    </w:p>
    <w:p w:rsidR="00024C0A" w:rsidRDefault="00694C0F">
      <w:r>
        <w:t xml:space="preserve">    ASCII-DIGIT-SIX /</w:t>
      </w:r>
    </w:p>
    <w:p w:rsidR="00024C0A" w:rsidRDefault="00694C0F">
      <w:r>
        <w:t xml:space="preserve">    ASCII-DIGIT-SEVEN /</w:t>
      </w:r>
    </w:p>
    <w:p w:rsidR="00024C0A" w:rsidRDefault="00694C0F">
      <w:r>
        <w:t xml:space="preserve">    ASCII-DIGIT-EIGHT /</w:t>
      </w:r>
    </w:p>
    <w:p w:rsidR="00024C0A" w:rsidRDefault="00694C0F">
      <w:r>
        <w:t xml:space="preserve">    ASCII-DIGIT-NINE</w:t>
      </w:r>
    </w:p>
    <w:p w:rsidR="00024C0A" w:rsidRDefault="00694C0F">
      <w:r>
        <w:t xml:space="preserve">ASCII-DIGIT-HEXADECIMAL = </w:t>
      </w:r>
    </w:p>
    <w:p w:rsidR="00024C0A" w:rsidRDefault="00694C0F">
      <w:r>
        <w:t xml:space="preserve">    ASCII-DIGIT / </w:t>
      </w:r>
    </w:p>
    <w:p w:rsidR="00024C0A" w:rsidRDefault="00694C0F">
      <w:r>
        <w:t xml:space="preserve">    ASCII-SMALL-LETTER-A /</w:t>
      </w:r>
    </w:p>
    <w:p w:rsidR="00024C0A" w:rsidRDefault="00694C0F">
      <w:r>
        <w:t xml:space="preserve">    ASCII-SMALL-LETTER-B /</w:t>
      </w:r>
    </w:p>
    <w:p w:rsidR="00024C0A" w:rsidRDefault="00694C0F">
      <w:r>
        <w:t xml:space="preserve">    ASCII-SMALL-LETTER-C /</w:t>
      </w:r>
    </w:p>
    <w:p w:rsidR="00024C0A" w:rsidRDefault="00694C0F">
      <w:r>
        <w:t xml:space="preserve">    ASCII-SMALL-LETTER-D /</w:t>
      </w:r>
    </w:p>
    <w:p w:rsidR="00024C0A" w:rsidRDefault="00694C0F">
      <w:r>
        <w:t xml:space="preserve">    ASCII-SMALL-LETTER-E /</w:t>
      </w:r>
    </w:p>
    <w:p w:rsidR="00024C0A" w:rsidRDefault="00694C0F">
      <w:r>
        <w:t xml:space="preserve">    AS</w:t>
      </w:r>
      <w:r>
        <w:t>CII-SMALL-LETTER-F /</w:t>
      </w:r>
    </w:p>
    <w:p w:rsidR="00024C0A" w:rsidRDefault="00694C0F">
      <w:r>
        <w:t xml:space="preserve">    ASCII-CAPITAL-LETTER-A /</w:t>
      </w:r>
    </w:p>
    <w:p w:rsidR="00024C0A" w:rsidRDefault="00694C0F">
      <w:r>
        <w:lastRenderedPageBreak/>
        <w:t xml:space="preserve">    ASCII-CAPITAL-LETTER-B /</w:t>
      </w:r>
    </w:p>
    <w:p w:rsidR="00024C0A" w:rsidRDefault="00694C0F">
      <w:r>
        <w:t xml:space="preserve">    ASCII-CAPITAL-LETTER-C /</w:t>
      </w:r>
    </w:p>
    <w:p w:rsidR="00024C0A" w:rsidRDefault="00694C0F">
      <w:r>
        <w:t xml:space="preserve">    ASCII-CAPITAL-LETTER-D /</w:t>
      </w:r>
    </w:p>
    <w:p w:rsidR="00024C0A" w:rsidRDefault="00694C0F">
      <w:r>
        <w:t xml:space="preserve">    ASCII-CAPITAL-LETTER-E /</w:t>
      </w:r>
    </w:p>
    <w:p w:rsidR="00024C0A" w:rsidRDefault="00694C0F">
      <w:r>
        <w:t xml:space="preserve">    ASCII-CAPITAL-LETTER-F</w:t>
      </w:r>
    </w:p>
    <w:p w:rsidR="00024C0A" w:rsidRDefault="00694C0F">
      <w:r>
        <w:t>; =============================================================</w:t>
      </w:r>
      <w:r>
        <w:t xml:space="preserve">====== </w:t>
      </w:r>
    </w:p>
    <w:p w:rsidR="00024C0A" w:rsidRDefault="00694C0F">
      <w:pPr>
        <w:pStyle w:val="Definition-Field"/>
      </w:pPr>
      <w:r>
        <w:t xml:space="preserve">c.   </w:t>
      </w:r>
      <w:r>
        <w:rPr>
          <w:i/>
        </w:rPr>
        <w:t>The standard does not restrict the parent of numFmt, such that the numFmtId attribute specifies the Id used by the master style records (xf's) to reference this number format.</w:t>
      </w:r>
    </w:p>
    <w:p w:rsidR="00024C0A" w:rsidRDefault="00694C0F">
      <w:pPr>
        <w:pStyle w:val="Definition-Field2"/>
      </w:pPr>
      <w:r>
        <w:t>In Office, the numFmtId attribute specifies the Id used by the mast</w:t>
      </w:r>
      <w:r>
        <w:t>er style records (xf's) to reference this number format only if the parent element is present within numFmts element. Its value is ignored otherwise.</w:t>
      </w:r>
    </w:p>
    <w:p w:rsidR="00024C0A" w:rsidRDefault="00694C0F">
      <w:pPr>
        <w:pStyle w:val="Heading3"/>
      </w:pPr>
      <w:bookmarkStart w:id="1439" w:name="section_c6046ec6f96d460998e40dd549292955"/>
      <w:bookmarkStart w:id="1440" w:name="_Toc12260780"/>
      <w:r>
        <w:t>Part 1 Section 18.8.31, numFmts (Number Formats)</w:t>
      </w:r>
      <w:bookmarkEnd w:id="1439"/>
      <w:bookmarkEnd w:id="1440"/>
      <w:r>
        <w:fldChar w:fldCharType="begin"/>
      </w:r>
      <w:r>
        <w:instrText xml:space="preserve"> XE "numFmts (Number Formats)" </w:instrText>
      </w:r>
      <w:r>
        <w:fldChar w:fldCharType="end"/>
      </w:r>
    </w:p>
    <w:p w:rsidR="00024C0A" w:rsidRDefault="00694C0F">
      <w:pPr>
        <w:pStyle w:val="Definition-Field"/>
      </w:pPr>
      <w:r>
        <w:t xml:space="preserve">a.   </w:t>
      </w:r>
      <w:r>
        <w:rPr>
          <w:i/>
        </w:rPr>
        <w:t>The standard does n</w:t>
      </w:r>
      <w:r>
        <w:rPr>
          <w:i/>
        </w:rPr>
        <w:t>ot describe how to interpret a number format with only three sections.</w:t>
      </w:r>
    </w:p>
    <w:p w:rsidR="00024C0A" w:rsidRDefault="00694C0F">
      <w:pPr>
        <w:pStyle w:val="Definition-Field2"/>
      </w:pPr>
      <w:r>
        <w:t>If only three sections are specified, the first is used for positive numbers, second for negative numbers and the third is used for zero values in Office.</w:t>
      </w:r>
    </w:p>
    <w:p w:rsidR="00024C0A" w:rsidRDefault="00694C0F">
      <w:pPr>
        <w:pStyle w:val="Definition-Field"/>
      </w:pPr>
      <w:r>
        <w:t xml:space="preserve">b.   </w:t>
      </w:r>
      <w:r>
        <w:rPr>
          <w:i/>
        </w:rPr>
        <w:t xml:space="preserve">The standard states that </w:t>
      </w:r>
      <w:r>
        <w:rPr>
          <w:i/>
        </w:rPr>
        <w:t>the &amp; (ampersand) text operator is used to join, or concatenate, two values.</w:t>
      </w:r>
    </w:p>
    <w:p w:rsidR="00024C0A" w:rsidRDefault="00694C0F">
      <w:pPr>
        <w:pStyle w:val="Definition-Field2"/>
      </w:pPr>
      <w:r>
        <w:t>Excel displays '&amp;' if '&amp;' is present in the format.</w:t>
      </w:r>
    </w:p>
    <w:p w:rsidR="00024C0A" w:rsidRDefault="00694C0F">
      <w:pPr>
        <w:pStyle w:val="Definition-Field"/>
      </w:pPr>
      <w:r>
        <w:t xml:space="preserve">c.   </w:t>
      </w:r>
      <w:r>
        <w:rPr>
          <w:i/>
        </w:rPr>
        <w:t>The standard states that if the cell contains a number between 0 and 1, the application shall multiply the number by 100 a</w:t>
      </w:r>
      <w:r>
        <w:rPr>
          <w:i/>
        </w:rPr>
        <w:t>nd add the percentage symbol in the cell (for Percentage formatting).</w:t>
      </w:r>
    </w:p>
    <w:p w:rsidR="00024C0A" w:rsidRDefault="00694C0F">
      <w:pPr>
        <w:pStyle w:val="Definition-Field2"/>
      </w:pPr>
      <w:r>
        <w:t>Office applies percentage formatting to any numeric cell value.</w:t>
      </w:r>
    </w:p>
    <w:p w:rsidR="00024C0A" w:rsidRDefault="00694C0F">
      <w:pPr>
        <w:pStyle w:val="Definition-Field"/>
      </w:pPr>
      <w:r>
        <w:t xml:space="preserve">d.   </w:t>
      </w:r>
      <w:r>
        <w:rPr>
          <w:i/>
        </w:rPr>
        <w:t>The standard does not include an entry for '/' in the table of format characters.</w:t>
      </w:r>
    </w:p>
    <w:p w:rsidR="00024C0A" w:rsidRDefault="00694C0F">
      <w:pPr>
        <w:pStyle w:val="Definition-Field2"/>
      </w:pPr>
      <w:r>
        <w:t>In Excel, the fraction format chara</w:t>
      </w:r>
      <w:r>
        <w:t>cter ('/') displays the number in the format of a fraction. It is interpreted as the fraction format character only when preceded and followed by a number symbol (0, #, and ?).</w:t>
      </w:r>
    </w:p>
    <w:p w:rsidR="00024C0A" w:rsidRDefault="00694C0F">
      <w:pPr>
        <w:pStyle w:val="Definition-Field"/>
      </w:pPr>
      <w:r>
        <w:t xml:space="preserve">e.   </w:t>
      </w:r>
      <w:r>
        <w:rPr>
          <w:i/>
        </w:rPr>
        <w:t>The standard lists e+ and e- along with E+ and E- as the format characters</w:t>
      </w:r>
      <w:r>
        <w:rPr>
          <w:i/>
        </w:rPr>
        <w:t xml:space="preserve"> for specifying use of scientific notation.</w:t>
      </w:r>
    </w:p>
    <w:p w:rsidR="00024C0A" w:rsidRDefault="00694C0F">
      <w:pPr>
        <w:pStyle w:val="Definition-Field2"/>
      </w:pPr>
      <w:r>
        <w:t>In Office, only E+ and E- are the format characters for specifying use of scientific notation.</w:t>
      </w:r>
    </w:p>
    <w:p w:rsidR="00024C0A" w:rsidRDefault="00694C0F">
      <w:pPr>
        <w:pStyle w:val="Definition-Field"/>
      </w:pPr>
      <w:r>
        <w:t xml:space="preserve">f.   </w:t>
      </w:r>
      <w:r>
        <w:rPr>
          <w:i/>
        </w:rPr>
        <w:t>The standard states that date format codes e and ee become yy in all locales other than JPN/CHT.</w:t>
      </w:r>
    </w:p>
    <w:p w:rsidR="00024C0A" w:rsidRDefault="00694C0F">
      <w:pPr>
        <w:pStyle w:val="Definition-Field2"/>
      </w:pPr>
      <w:r>
        <w:t>In Office, date</w:t>
      </w:r>
      <w:r>
        <w:t xml:space="preserve"> format codes e and ee become yyyy in all locales other than JPN/CHT.</w:t>
      </w:r>
    </w:p>
    <w:p w:rsidR="00024C0A" w:rsidRDefault="00694C0F">
      <w:pPr>
        <w:pStyle w:val="Definition-Field"/>
      </w:pPr>
      <w:r>
        <w:t xml:space="preserve">g.   </w:t>
      </w:r>
      <w:r>
        <w:rPr>
          <w:i/>
        </w:rPr>
        <w:t>The standard does not limit the number of custom number formats defined in numFmts.</w:t>
      </w:r>
    </w:p>
    <w:p w:rsidR="00024C0A" w:rsidRDefault="00694C0F">
      <w:pPr>
        <w:pStyle w:val="Definition-Field2"/>
      </w:pPr>
      <w:r>
        <w:t>Office limits the number of custom number formats to 206 and also persists files that contain mor</w:t>
      </w:r>
      <w:r>
        <w:t>e than 206 custom formats (which it cannot load).</w:t>
      </w:r>
    </w:p>
    <w:p w:rsidR="00024C0A" w:rsidRDefault="00694C0F">
      <w:pPr>
        <w:pStyle w:val="Heading3"/>
      </w:pPr>
      <w:bookmarkStart w:id="1441" w:name="section_21ce5bfcf7c345cf9b7b6e46a34745c1"/>
      <w:bookmarkStart w:id="1442" w:name="_Toc12260781"/>
      <w:r>
        <w:lastRenderedPageBreak/>
        <w:t>Part 1 Section 18.8.33, protection (Protection Properties)</w:t>
      </w:r>
      <w:bookmarkEnd w:id="1441"/>
      <w:bookmarkEnd w:id="1442"/>
      <w:r>
        <w:fldChar w:fldCharType="begin"/>
      </w:r>
      <w:r>
        <w:instrText xml:space="preserve"> XE "protection (Protection Properties)" </w:instrText>
      </w:r>
      <w:r>
        <w:fldChar w:fldCharType="end"/>
      </w:r>
    </w:p>
    <w:p w:rsidR="00024C0A" w:rsidRDefault="00694C0F">
      <w:pPr>
        <w:pStyle w:val="Definition-Field"/>
      </w:pPr>
      <w:r>
        <w:t xml:space="preserve">a.   </w:t>
      </w:r>
      <w:r>
        <w:rPr>
          <w:i/>
        </w:rPr>
        <w:t>The standard does not specify a default value for the locked attribute.</w:t>
      </w:r>
    </w:p>
    <w:p w:rsidR="00024C0A" w:rsidRDefault="00694C0F">
      <w:pPr>
        <w:pStyle w:val="Definition-Field2"/>
      </w:pPr>
      <w:r>
        <w:t xml:space="preserve">Excel uses a default value </w:t>
      </w:r>
      <w:r>
        <w:t>of true for this attribute.</w:t>
      </w:r>
    </w:p>
    <w:p w:rsidR="00024C0A" w:rsidRDefault="00694C0F">
      <w:pPr>
        <w:pStyle w:val="Definition-Field"/>
      </w:pPr>
      <w:r>
        <w:t xml:space="preserve">b.   </w:t>
      </w:r>
      <w:r>
        <w:rPr>
          <w:i/>
        </w:rPr>
        <w:t>The standard does not specify a default value for the hidden attribute.</w:t>
      </w:r>
    </w:p>
    <w:p w:rsidR="00024C0A" w:rsidRDefault="00694C0F">
      <w:pPr>
        <w:pStyle w:val="Definition-Field2"/>
      </w:pPr>
      <w:r>
        <w:t>Excel uses a default value of false for this attribute.</w:t>
      </w:r>
    </w:p>
    <w:p w:rsidR="00024C0A" w:rsidRDefault="00694C0F">
      <w:pPr>
        <w:pStyle w:val="Heading3"/>
      </w:pPr>
      <w:bookmarkStart w:id="1443" w:name="section_56cfa653d6124212a1a7b3e67b96edc2"/>
      <w:bookmarkStart w:id="1444" w:name="_Toc12260782"/>
      <w:r>
        <w:t>Part 1 Section 18.8.37, start (Leading Edge Border)</w:t>
      </w:r>
      <w:bookmarkEnd w:id="1443"/>
      <w:bookmarkEnd w:id="1444"/>
      <w:r>
        <w:fldChar w:fldCharType="begin"/>
      </w:r>
      <w:r>
        <w:instrText xml:space="preserve"> XE "start (Leading Edge Border)" </w:instrText>
      </w:r>
      <w:r>
        <w:fldChar w:fldCharType="end"/>
      </w:r>
    </w:p>
    <w:p w:rsidR="00024C0A" w:rsidRDefault="00694C0F">
      <w:pPr>
        <w:pStyle w:val="Definition-Field"/>
      </w:pPr>
      <w:r>
        <w:t xml:space="preserve">a.   </w:t>
      </w:r>
      <w:r>
        <w:rPr>
          <w:i/>
        </w:rPr>
        <w:t>The standard specifies that "start" should be the element to specify a leading edge border.</w:t>
      </w:r>
    </w:p>
    <w:p w:rsidR="00024C0A" w:rsidRDefault="00694C0F">
      <w:pPr>
        <w:pStyle w:val="Definition-Field2"/>
      </w:pPr>
      <w:r>
        <w:t>Excel uses "left" to specify a leading edge border.</w:t>
      </w:r>
    </w:p>
    <w:p w:rsidR="00024C0A" w:rsidRDefault="00694C0F">
      <w:pPr>
        <w:pStyle w:val="Heading3"/>
      </w:pPr>
      <w:bookmarkStart w:id="1445" w:name="section_62ebad67e8234c9ba37c4ef566da94f0"/>
      <w:bookmarkStart w:id="1446" w:name="_Toc12260783"/>
      <w:r>
        <w:t>Part 1 Section 18.8.38, stop (Gradient Stop)</w:t>
      </w:r>
      <w:bookmarkEnd w:id="1445"/>
      <w:bookmarkEnd w:id="1446"/>
      <w:r>
        <w:fldChar w:fldCharType="begin"/>
      </w:r>
      <w:r>
        <w:instrText xml:space="preserve"> XE "stop (Gradient Stop)" </w:instrText>
      </w:r>
      <w:r>
        <w:fldChar w:fldCharType="end"/>
      </w:r>
    </w:p>
    <w:p w:rsidR="00024C0A" w:rsidRDefault="00694C0F">
      <w:pPr>
        <w:pStyle w:val="Definition-Field"/>
      </w:pPr>
      <w:r>
        <w:t xml:space="preserve">a.   </w:t>
      </w:r>
      <w:r>
        <w:rPr>
          <w:i/>
        </w:rPr>
        <w:t xml:space="preserve">The standard specifies @position </w:t>
      </w:r>
      <w:r>
        <w:rPr>
          <w:i/>
        </w:rPr>
        <w:t>as defined by the XML Schema double datatype.</w:t>
      </w:r>
    </w:p>
    <w:p w:rsidR="00024C0A" w:rsidRDefault="00694C0F">
      <w:pPr>
        <w:pStyle w:val="Definition-Field2"/>
      </w:pPr>
      <w:r>
        <w:t>Office requires @position to be a double between 0 and 1 inclusive.</w:t>
      </w:r>
    </w:p>
    <w:p w:rsidR="00024C0A" w:rsidRDefault="00694C0F">
      <w:pPr>
        <w:pStyle w:val="Heading3"/>
      </w:pPr>
      <w:bookmarkStart w:id="1447" w:name="section_fffd477ceaf2417db86ef964a5f4d419"/>
      <w:bookmarkStart w:id="1448" w:name="_Toc12260784"/>
      <w:r>
        <w:t>Part 1 Section 18.8.39, styleSheet (Style Sheet)</w:t>
      </w:r>
      <w:bookmarkEnd w:id="1447"/>
      <w:bookmarkEnd w:id="1448"/>
      <w:r>
        <w:fldChar w:fldCharType="begin"/>
      </w:r>
      <w:r>
        <w:instrText xml:space="preserve"> XE "styleSheet (Style Sheet)" </w:instrText>
      </w:r>
      <w:r>
        <w:fldChar w:fldCharType="end"/>
      </w:r>
    </w:p>
    <w:p w:rsidR="00024C0A" w:rsidRDefault="00694C0F">
      <w:pPr>
        <w:pStyle w:val="Definition-Field"/>
      </w:pPr>
      <w:r>
        <w:t xml:space="preserve">a.   </w:t>
      </w:r>
      <w:r>
        <w:rPr>
          <w:i/>
        </w:rPr>
        <w:t xml:space="preserve">The standard states that the child elements styleSheet </w:t>
      </w:r>
      <w:r>
        <w:rPr>
          <w:i/>
        </w:rPr>
        <w:t>have a minOccurs equal to zero.</w:t>
      </w:r>
    </w:p>
    <w:p w:rsidR="00024C0A" w:rsidRDefault="00694C0F">
      <w:pPr>
        <w:pStyle w:val="Definition-Field2"/>
      </w:pPr>
      <w:r>
        <w:t>In Office, styleSheet child elements specify formatting information for the cells in an Excel document.  All child elements that are referenced in the Excel document must be present or the document will be considered non-con</w:t>
      </w:r>
      <w:r>
        <w:t>formant.</w:t>
      </w:r>
    </w:p>
    <w:p w:rsidR="00024C0A" w:rsidRDefault="00694C0F">
      <w:pPr>
        <w:pStyle w:val="Heading3"/>
      </w:pPr>
      <w:bookmarkStart w:id="1449" w:name="section_ff6347f03c7043748ceb81fcb2b39331"/>
      <w:bookmarkStart w:id="1450" w:name="_Toc12260785"/>
      <w:r>
        <w:t>Part 1 Section 18.8.40, tableStyle (Table Style)</w:t>
      </w:r>
      <w:bookmarkEnd w:id="1449"/>
      <w:bookmarkEnd w:id="1450"/>
      <w:r>
        <w:fldChar w:fldCharType="begin"/>
      </w:r>
      <w:r>
        <w:instrText xml:space="preserve"> XE "tableStyle (Table Style)" </w:instrText>
      </w:r>
      <w:r>
        <w:fldChar w:fldCharType="end"/>
      </w:r>
    </w:p>
    <w:p w:rsidR="00024C0A" w:rsidRDefault="00694C0F">
      <w:pPr>
        <w:pStyle w:val="Definition-Field"/>
      </w:pPr>
      <w:r>
        <w:t xml:space="preserve">a.   </w:t>
      </w:r>
      <w:r>
        <w:rPr>
          <w:i/>
        </w:rPr>
        <w:t>The standard incorrectly states that built-in table styles are written in tableStyle elements.</w:t>
      </w:r>
    </w:p>
    <w:p w:rsidR="00024C0A" w:rsidRDefault="00694C0F">
      <w:pPr>
        <w:pStyle w:val="Definition-Field2"/>
      </w:pPr>
      <w:r>
        <w:t>In Office, only user-defined table styles are written to the tabl</w:t>
      </w:r>
      <w:r>
        <w:t>eStyle elements.</w:t>
      </w:r>
    </w:p>
    <w:p w:rsidR="00024C0A" w:rsidRDefault="00694C0F">
      <w:pPr>
        <w:pStyle w:val="Definition-Field"/>
      </w:pPr>
      <w:r>
        <w:t xml:space="preserve">b.   </w:t>
      </w:r>
      <w:r>
        <w:rPr>
          <w:i/>
        </w:rPr>
        <w:t>The standard does not limit the length of the value of the name attribute.</w:t>
      </w:r>
    </w:p>
    <w:p w:rsidR="00024C0A" w:rsidRDefault="00694C0F">
      <w:pPr>
        <w:pStyle w:val="Definition-Field2"/>
      </w:pPr>
      <w:r>
        <w:t>Excel restricts the value of this attribute to be at least 1 and at most 255 characters.</w:t>
      </w:r>
    </w:p>
    <w:p w:rsidR="00024C0A" w:rsidRDefault="00694C0F">
      <w:pPr>
        <w:pStyle w:val="Definition-Field"/>
      </w:pPr>
      <w:r>
        <w:t xml:space="preserve">c.   </w:t>
      </w:r>
      <w:r>
        <w:rPr>
          <w:i/>
        </w:rPr>
        <w:t xml:space="preserve">The standard states that the maxOccurs value for the </w:t>
      </w:r>
      <w:r>
        <w:rPr>
          <w:i/>
        </w:rPr>
        <w:t>tableStyleElement child element is unbounded.</w:t>
      </w:r>
    </w:p>
    <w:p w:rsidR="00024C0A" w:rsidRDefault="00694C0F">
      <w:pPr>
        <w:pStyle w:val="Definition-Field2"/>
      </w:pPr>
      <w:r>
        <w:t>Excel limits the occurrences of this element to 28.</w:t>
      </w:r>
    </w:p>
    <w:p w:rsidR="00024C0A" w:rsidRDefault="00694C0F">
      <w:pPr>
        <w:pStyle w:val="Heading3"/>
      </w:pPr>
      <w:bookmarkStart w:id="1451" w:name="section_d91a5d310bf448019139f6c13a690505"/>
      <w:bookmarkStart w:id="1452" w:name="_Toc12260786"/>
      <w:r>
        <w:t>Part 1 Section 18.8.41, tableStyleElement (Table Style)</w:t>
      </w:r>
      <w:bookmarkEnd w:id="1451"/>
      <w:bookmarkEnd w:id="1452"/>
      <w:r>
        <w:fldChar w:fldCharType="begin"/>
      </w:r>
      <w:r>
        <w:instrText xml:space="preserve"> XE "tableStyleElement (Table Style)" </w:instrText>
      </w:r>
      <w:r>
        <w:fldChar w:fldCharType="end"/>
      </w:r>
    </w:p>
    <w:p w:rsidR="00024C0A" w:rsidRDefault="00694C0F">
      <w:pPr>
        <w:pStyle w:val="Definition-Field"/>
      </w:pPr>
      <w:r>
        <w:t xml:space="preserve">a.   </w:t>
      </w:r>
      <w:r>
        <w:rPr>
          <w:i/>
        </w:rPr>
        <w:t>The standard specifies that the values of the size attrib</w:t>
      </w:r>
      <w:r>
        <w:rPr>
          <w:i/>
        </w:rPr>
        <w:t>ute are defined by the XML Schema unsignedInt datatype.</w:t>
      </w:r>
    </w:p>
    <w:p w:rsidR="00024C0A" w:rsidRDefault="00694C0F">
      <w:pPr>
        <w:pStyle w:val="Definition-Field2"/>
      </w:pPr>
      <w:r>
        <w:t>Office requires the size attribute to be an unsignedInt between 1 to 9 inclusive.</w:t>
      </w:r>
    </w:p>
    <w:p w:rsidR="00024C0A" w:rsidRDefault="00694C0F">
      <w:pPr>
        <w:pStyle w:val="Heading3"/>
      </w:pPr>
      <w:bookmarkStart w:id="1453" w:name="section_3e73b8aa77d244a79b9fe92e296915c5"/>
      <w:bookmarkStart w:id="1454" w:name="_Toc12260787"/>
      <w:r>
        <w:t>Part 1 Section 18.8.42, tableStyles (Table Styles)</w:t>
      </w:r>
      <w:bookmarkEnd w:id="1453"/>
      <w:bookmarkEnd w:id="1454"/>
      <w:r>
        <w:fldChar w:fldCharType="begin"/>
      </w:r>
      <w:r>
        <w:instrText xml:space="preserve"> XE "tableStyles (Table Styles)" </w:instrText>
      </w:r>
      <w:r>
        <w:fldChar w:fldCharType="end"/>
      </w:r>
    </w:p>
    <w:p w:rsidR="00024C0A" w:rsidRDefault="00694C0F">
      <w:pPr>
        <w:pStyle w:val="Definition-Field"/>
      </w:pPr>
      <w:r>
        <w:t xml:space="preserve">a.   </w:t>
      </w:r>
      <w:r>
        <w:rPr>
          <w:i/>
        </w:rPr>
        <w:t>The standard specifies @def</w:t>
      </w:r>
      <w:r>
        <w:rPr>
          <w:i/>
        </w:rPr>
        <w:t>aultTableStyle as xsd:string.</w:t>
      </w:r>
    </w:p>
    <w:p w:rsidR="00024C0A" w:rsidRDefault="00694C0F">
      <w:pPr>
        <w:pStyle w:val="Definition-Field2"/>
      </w:pPr>
      <w:r>
        <w:t>Office requires @defaultChanged to be an xsd:string whose length is between 1 and 255 inclusive.</w:t>
      </w:r>
    </w:p>
    <w:p w:rsidR="00024C0A" w:rsidRDefault="00694C0F">
      <w:pPr>
        <w:pStyle w:val="Definition-Field"/>
      </w:pPr>
      <w:r>
        <w:lastRenderedPageBreak/>
        <w:t xml:space="preserve">b.   </w:t>
      </w:r>
      <w:r>
        <w:rPr>
          <w:i/>
        </w:rPr>
        <w:t>The standard specifies @defaultPivotStyle as xsd:string.</w:t>
      </w:r>
    </w:p>
    <w:p w:rsidR="00024C0A" w:rsidRDefault="00694C0F">
      <w:pPr>
        <w:pStyle w:val="Definition-Field2"/>
      </w:pPr>
      <w:r>
        <w:t>Office requires @defaultPivotStyle to be an xsd:string whose length</w:t>
      </w:r>
      <w:r>
        <w:t xml:space="preserve"> is between 1 and 255 inclusive.</w:t>
      </w:r>
    </w:p>
    <w:p w:rsidR="00024C0A" w:rsidRDefault="00694C0F">
      <w:pPr>
        <w:pStyle w:val="Heading3"/>
      </w:pPr>
      <w:bookmarkStart w:id="1455" w:name="section_68362a4b55894504b566e8154dce1de3"/>
      <w:bookmarkStart w:id="1456" w:name="_Toc12260788"/>
      <w:r>
        <w:t>Part 1 Section 18.8.45, xf (Format)</w:t>
      </w:r>
      <w:bookmarkEnd w:id="1455"/>
      <w:bookmarkEnd w:id="1456"/>
      <w:r>
        <w:fldChar w:fldCharType="begin"/>
      </w:r>
      <w:r>
        <w:instrText xml:space="preserve"> XE "xf (Format)" </w:instrText>
      </w:r>
      <w:r>
        <w:fldChar w:fldCharType="end"/>
      </w:r>
    </w:p>
    <w:p w:rsidR="00024C0A" w:rsidRDefault="00694C0F">
      <w:pPr>
        <w:pStyle w:val="Definition-Field"/>
      </w:pPr>
      <w:r>
        <w:t xml:space="preserve">a.   </w:t>
      </w:r>
      <w:r>
        <w:rPr>
          <w:i/>
        </w:rPr>
        <w:t>The standard does not define different behaviors for @applyAlignment depending on whether the xf is in the CellXfs element or the CellStyleXfs element.</w:t>
      </w:r>
    </w:p>
    <w:p w:rsidR="00024C0A" w:rsidRDefault="00694C0F">
      <w:r>
        <w:t xml:space="preserve">For the </w:t>
      </w:r>
      <w:r>
        <w:rPr>
          <w:b/>
        </w:rPr>
        <w:t>ce</w:t>
      </w:r>
      <w:r>
        <w:rPr>
          <w:b/>
        </w:rPr>
        <w:t>llStyleXfs</w:t>
      </w:r>
      <w:r>
        <w:t xml:space="preserve"> element, this boolean value indicates whether the alignment formatting specified for this </w:t>
      </w:r>
      <w:r>
        <w:rPr>
          <w:b/>
        </w:rPr>
        <w:t xml:space="preserve">xf </w:t>
      </w:r>
      <w:r>
        <w:t xml:space="preserve">is applied. The default value for </w:t>
      </w:r>
      <w:r>
        <w:rPr>
          <w:b/>
        </w:rPr>
        <w:t>applyAlignment</w:t>
      </w:r>
      <w:r>
        <w:t xml:space="preserve"> in </w:t>
      </w:r>
      <w:r>
        <w:rPr>
          <w:b/>
        </w:rPr>
        <w:t>cellStyleXfs</w:t>
      </w:r>
      <w:r>
        <w:t xml:space="preserve"> is true.</w:t>
      </w:r>
    </w:p>
    <w:p w:rsidR="00024C0A" w:rsidRDefault="00694C0F">
      <w:r>
        <w:t xml:space="preserve">For the </w:t>
      </w:r>
      <w:r>
        <w:rPr>
          <w:b/>
        </w:rPr>
        <w:t>cellXfs</w:t>
      </w:r>
      <w:r>
        <w:t xml:space="preserve"> element, this boolean value indicates whether the alignment fo</w:t>
      </w:r>
      <w:r>
        <w:t xml:space="preserve">rmatting in the xf is overwritten by changes to the </w:t>
      </w:r>
      <w:r>
        <w:rPr>
          <w:b/>
        </w:rPr>
        <w:t>cellStyleXfs</w:t>
      </w:r>
      <w:r>
        <w:t xml:space="preserve"> referenced by </w:t>
      </w:r>
      <w:r>
        <w:rPr>
          <w:b/>
        </w:rPr>
        <w:t>xfId</w:t>
      </w:r>
      <w:r>
        <w:t xml:space="preserve">. If </w:t>
      </w:r>
      <w:r>
        <w:rPr>
          <w:b/>
        </w:rPr>
        <w:t>applyAlignment</w:t>
      </w:r>
      <w:r>
        <w:t xml:space="preserve"> is false and the alignment formatting in the </w:t>
      </w:r>
      <w:r>
        <w:rPr>
          <w:b/>
        </w:rPr>
        <w:t>cellStyleXfs</w:t>
      </w:r>
      <w:r>
        <w:t xml:space="preserve"> changes, the new alignment formatting is set in the </w:t>
      </w:r>
      <w:r>
        <w:rPr>
          <w:b/>
        </w:rPr>
        <w:t>xf</w:t>
      </w:r>
      <w:r>
        <w:t xml:space="preserve"> as well. If </w:t>
      </w:r>
      <w:r>
        <w:rPr>
          <w:b/>
        </w:rPr>
        <w:t>applyAlignment</w:t>
      </w:r>
      <w:r>
        <w:t xml:space="preserve"> is true, then the </w:t>
      </w:r>
      <w:r>
        <w:rPr>
          <w:b/>
        </w:rPr>
        <w:t>xf</w:t>
      </w:r>
      <w:r>
        <w:t xml:space="preserve"> will retain its existing alignment formatting. If the alignment formatting in the </w:t>
      </w:r>
      <w:r>
        <w:rPr>
          <w:b/>
        </w:rPr>
        <w:t>cellXf</w:t>
      </w:r>
      <w:r>
        <w:t xml:space="preserve"> is different than the alignment formatting in the parent </w:t>
      </w:r>
      <w:r>
        <w:rPr>
          <w:b/>
        </w:rPr>
        <w:t>cellStyleXf</w:t>
      </w:r>
      <w:r>
        <w:t xml:space="preserve">, </w:t>
      </w:r>
      <w:r>
        <w:rPr>
          <w:b/>
        </w:rPr>
        <w:t>applyAlignment</w:t>
      </w:r>
      <w:r>
        <w:t xml:space="preserve"> shall be true. The default value for </w:t>
      </w:r>
      <w:r>
        <w:rPr>
          <w:b/>
        </w:rPr>
        <w:t>applyAlignment</w:t>
      </w:r>
      <w:r>
        <w:t xml:space="preserve"> in cellX</w:t>
      </w:r>
      <w:r>
        <w:t>fs element is false.</w:t>
      </w:r>
    </w:p>
    <w:p w:rsidR="00024C0A" w:rsidRDefault="00694C0F">
      <w:pPr>
        <w:pStyle w:val="Definition-Field"/>
      </w:pPr>
      <w:r>
        <w:t xml:space="preserve">b.   </w:t>
      </w:r>
      <w:r>
        <w:rPr>
          <w:i/>
        </w:rPr>
        <w:t>The standard does not define different behaviors for @applyBorder depending on whether the xf is in the CellXfs element or the CellStyleXfs element.</w:t>
      </w:r>
    </w:p>
    <w:p w:rsidR="00024C0A" w:rsidRDefault="00694C0F">
      <w:r>
        <w:t xml:space="preserve">For the </w:t>
      </w:r>
      <w:r>
        <w:rPr>
          <w:b/>
        </w:rPr>
        <w:t>cellStyleXfs</w:t>
      </w:r>
      <w:r>
        <w:t xml:space="preserve"> element, this boolean value indicates whether the border for</w:t>
      </w:r>
      <w:r>
        <w:t xml:space="preserve">matting specified for this </w:t>
      </w:r>
      <w:r>
        <w:rPr>
          <w:b/>
        </w:rPr>
        <w:t xml:space="preserve">xf </w:t>
      </w:r>
      <w:r>
        <w:t xml:space="preserve">is applied. The default value for </w:t>
      </w:r>
      <w:r>
        <w:rPr>
          <w:b/>
        </w:rPr>
        <w:t>applyBorder</w:t>
      </w:r>
      <w:r>
        <w:t xml:space="preserve"> in </w:t>
      </w:r>
      <w:r>
        <w:rPr>
          <w:b/>
        </w:rPr>
        <w:t>cellStyleXfs</w:t>
      </w:r>
      <w:r>
        <w:t xml:space="preserve"> is true.</w:t>
      </w:r>
    </w:p>
    <w:p w:rsidR="00024C0A" w:rsidRDefault="00694C0F">
      <w:r>
        <w:t xml:space="preserve">For the </w:t>
      </w:r>
      <w:r>
        <w:rPr>
          <w:b/>
        </w:rPr>
        <w:t>cellXfs</w:t>
      </w:r>
      <w:r>
        <w:t xml:space="preserve"> element, this boolean value indicates whether the border formatting in the xf is overwritten by changes to the </w:t>
      </w:r>
      <w:r>
        <w:rPr>
          <w:b/>
        </w:rPr>
        <w:t>cellStyleXfs</w:t>
      </w:r>
      <w:r>
        <w:t xml:space="preserve"> referenced by </w:t>
      </w:r>
      <w:r>
        <w:rPr>
          <w:b/>
        </w:rPr>
        <w:t>x</w:t>
      </w:r>
      <w:r>
        <w:rPr>
          <w:b/>
        </w:rPr>
        <w:t>fId</w:t>
      </w:r>
      <w:r>
        <w:t xml:space="preserve">. If </w:t>
      </w:r>
      <w:r>
        <w:rPr>
          <w:b/>
        </w:rPr>
        <w:t>applyBorder</w:t>
      </w:r>
      <w:r>
        <w:t xml:space="preserve"> is false and the border formatting in the </w:t>
      </w:r>
      <w:r>
        <w:rPr>
          <w:b/>
        </w:rPr>
        <w:t>cellStyleXfs</w:t>
      </w:r>
      <w:r>
        <w:t xml:space="preserve"> changes, the new border formatting is set in the </w:t>
      </w:r>
      <w:r>
        <w:rPr>
          <w:b/>
        </w:rPr>
        <w:t>xf</w:t>
      </w:r>
      <w:r>
        <w:t xml:space="preserve"> as well. If </w:t>
      </w:r>
      <w:r>
        <w:rPr>
          <w:b/>
        </w:rPr>
        <w:t>applyBorder</w:t>
      </w:r>
      <w:r>
        <w:t xml:space="preserve"> is true, then the </w:t>
      </w:r>
      <w:r>
        <w:rPr>
          <w:b/>
        </w:rPr>
        <w:t>xf</w:t>
      </w:r>
      <w:r>
        <w:t xml:space="preserve"> will retain its existing border formatting. If the border formatting in the </w:t>
      </w:r>
      <w:r>
        <w:rPr>
          <w:b/>
        </w:rPr>
        <w:t>cellXf</w:t>
      </w:r>
      <w:r>
        <w:t xml:space="preserve"> i</w:t>
      </w:r>
      <w:r>
        <w:t xml:space="preserve">s different than the border formatting in the parent </w:t>
      </w:r>
      <w:r>
        <w:rPr>
          <w:b/>
        </w:rPr>
        <w:t>cellStyleXf</w:t>
      </w:r>
      <w:r>
        <w:t xml:space="preserve">, </w:t>
      </w:r>
      <w:r>
        <w:rPr>
          <w:b/>
        </w:rPr>
        <w:t>applyBorder</w:t>
      </w:r>
      <w:r>
        <w:t xml:space="preserve"> shall be true. The default value for </w:t>
      </w:r>
      <w:r>
        <w:rPr>
          <w:b/>
        </w:rPr>
        <w:t>applyBorder</w:t>
      </w:r>
      <w:r>
        <w:t xml:space="preserve"> in cellXfs element is false.</w:t>
      </w:r>
    </w:p>
    <w:p w:rsidR="00024C0A" w:rsidRDefault="00694C0F">
      <w:pPr>
        <w:pStyle w:val="Definition-Field"/>
      </w:pPr>
      <w:r>
        <w:t xml:space="preserve">c.   </w:t>
      </w:r>
      <w:r>
        <w:rPr>
          <w:i/>
        </w:rPr>
        <w:t xml:space="preserve">The standard does not define different behaviors for @applyFill depending on whether the xf is </w:t>
      </w:r>
      <w:r>
        <w:rPr>
          <w:i/>
        </w:rPr>
        <w:t>in the CellXfs element or the CellStyleXfs element.</w:t>
      </w:r>
    </w:p>
    <w:p w:rsidR="00024C0A" w:rsidRDefault="00694C0F">
      <w:r>
        <w:t xml:space="preserve">For the </w:t>
      </w:r>
      <w:r>
        <w:rPr>
          <w:b/>
        </w:rPr>
        <w:t>cellStyleXfs</w:t>
      </w:r>
      <w:r>
        <w:t xml:space="preserve"> element, this boolean value indicates whether the fill formatting specified for this </w:t>
      </w:r>
      <w:r>
        <w:rPr>
          <w:b/>
        </w:rPr>
        <w:t xml:space="preserve">xf </w:t>
      </w:r>
      <w:r>
        <w:t xml:space="preserve">is applied. The default value for </w:t>
      </w:r>
      <w:r>
        <w:rPr>
          <w:b/>
        </w:rPr>
        <w:t>applyFill</w:t>
      </w:r>
      <w:r>
        <w:t xml:space="preserve"> in </w:t>
      </w:r>
      <w:r>
        <w:rPr>
          <w:b/>
        </w:rPr>
        <w:t>cellStyleXfs</w:t>
      </w:r>
      <w:r>
        <w:t xml:space="preserve"> is true.</w:t>
      </w:r>
    </w:p>
    <w:p w:rsidR="00024C0A" w:rsidRDefault="00694C0F">
      <w:r>
        <w:t xml:space="preserve">For the </w:t>
      </w:r>
      <w:r>
        <w:rPr>
          <w:b/>
        </w:rPr>
        <w:t>cellXfs</w:t>
      </w:r>
      <w:r>
        <w:t xml:space="preserve"> element, t</w:t>
      </w:r>
      <w:r>
        <w:t xml:space="preserve">his boolean value indicates whether the fill formatting in the xf is overwritten by changes to the </w:t>
      </w:r>
      <w:r>
        <w:rPr>
          <w:b/>
        </w:rPr>
        <w:t>cellStyleXfs</w:t>
      </w:r>
      <w:r>
        <w:t xml:space="preserve"> referenced by </w:t>
      </w:r>
      <w:r>
        <w:rPr>
          <w:b/>
        </w:rPr>
        <w:t>xfId</w:t>
      </w:r>
      <w:r>
        <w:t xml:space="preserve">. If </w:t>
      </w:r>
      <w:r>
        <w:rPr>
          <w:b/>
        </w:rPr>
        <w:t>applyFill</w:t>
      </w:r>
      <w:r>
        <w:t xml:space="preserve"> is false and the fill formatting in the </w:t>
      </w:r>
      <w:r>
        <w:rPr>
          <w:b/>
        </w:rPr>
        <w:t>cellStyleXfs</w:t>
      </w:r>
      <w:r>
        <w:t xml:space="preserve"> changes, the new fill formatting is set in the </w:t>
      </w:r>
      <w:r>
        <w:rPr>
          <w:b/>
        </w:rPr>
        <w:t>xf</w:t>
      </w:r>
      <w:r>
        <w:t xml:space="preserve"> as well.</w:t>
      </w:r>
      <w:r>
        <w:t xml:space="preserve"> If </w:t>
      </w:r>
      <w:r>
        <w:rPr>
          <w:b/>
        </w:rPr>
        <w:t>applyFill</w:t>
      </w:r>
      <w:r>
        <w:t xml:space="preserve"> is true, then the </w:t>
      </w:r>
      <w:r>
        <w:rPr>
          <w:b/>
        </w:rPr>
        <w:t>xf</w:t>
      </w:r>
      <w:r>
        <w:t xml:space="preserve"> will retain its existing fill formatting. If the fill formatting in the </w:t>
      </w:r>
      <w:r>
        <w:rPr>
          <w:b/>
        </w:rPr>
        <w:t>cellXf</w:t>
      </w:r>
      <w:r>
        <w:t xml:space="preserve"> is different than the fill formatting in the parent </w:t>
      </w:r>
      <w:r>
        <w:rPr>
          <w:b/>
        </w:rPr>
        <w:t>cellStyleXf</w:t>
      </w:r>
      <w:r>
        <w:t xml:space="preserve">, </w:t>
      </w:r>
      <w:r>
        <w:rPr>
          <w:b/>
        </w:rPr>
        <w:t>applyFill</w:t>
      </w:r>
      <w:r>
        <w:t xml:space="preserve"> shall be true. The default value for </w:t>
      </w:r>
      <w:r>
        <w:rPr>
          <w:b/>
        </w:rPr>
        <w:t>applyFill</w:t>
      </w:r>
      <w:r>
        <w:t xml:space="preserve"> in cellXfs element i</w:t>
      </w:r>
      <w:r>
        <w:t>s false.</w:t>
      </w:r>
    </w:p>
    <w:p w:rsidR="00024C0A" w:rsidRDefault="00694C0F">
      <w:pPr>
        <w:pStyle w:val="Definition-Field"/>
      </w:pPr>
      <w:r>
        <w:t xml:space="preserve">d.   </w:t>
      </w:r>
      <w:r>
        <w:rPr>
          <w:i/>
        </w:rPr>
        <w:t>The standard does not define different behaviors for @applyFont depending on whether the xf is in the CellXfs element or the CellStyleXfs element.</w:t>
      </w:r>
    </w:p>
    <w:p w:rsidR="00024C0A" w:rsidRDefault="00694C0F">
      <w:r>
        <w:t xml:space="preserve">For the </w:t>
      </w:r>
      <w:r>
        <w:rPr>
          <w:b/>
        </w:rPr>
        <w:t>cellStyleXfs</w:t>
      </w:r>
      <w:r>
        <w:t xml:space="preserve"> element, this boolean value indicates whether the font formatting specifie</w:t>
      </w:r>
      <w:r>
        <w:t xml:space="preserve">d for this </w:t>
      </w:r>
      <w:r>
        <w:rPr>
          <w:b/>
        </w:rPr>
        <w:t xml:space="preserve">xf </w:t>
      </w:r>
      <w:r>
        <w:t xml:space="preserve">is applied. The default value for </w:t>
      </w:r>
      <w:r>
        <w:rPr>
          <w:b/>
        </w:rPr>
        <w:t>applyFont</w:t>
      </w:r>
      <w:r>
        <w:t xml:space="preserve"> in </w:t>
      </w:r>
      <w:r>
        <w:rPr>
          <w:b/>
        </w:rPr>
        <w:t>cellStyleXfs</w:t>
      </w:r>
      <w:r>
        <w:t xml:space="preserve"> is true.</w:t>
      </w:r>
    </w:p>
    <w:p w:rsidR="00024C0A" w:rsidRDefault="00694C0F">
      <w:r>
        <w:t xml:space="preserve">For the </w:t>
      </w:r>
      <w:r>
        <w:rPr>
          <w:b/>
        </w:rPr>
        <w:t>cellXfs</w:t>
      </w:r>
      <w:r>
        <w:t xml:space="preserve"> element, this boolean value indicates whether the font formatting in the xf is overwritten by changes to the </w:t>
      </w:r>
      <w:r>
        <w:rPr>
          <w:b/>
        </w:rPr>
        <w:t>cellStyleXfs</w:t>
      </w:r>
      <w:r>
        <w:t xml:space="preserve"> referenced by </w:t>
      </w:r>
      <w:r>
        <w:rPr>
          <w:b/>
        </w:rPr>
        <w:t>xfId</w:t>
      </w:r>
      <w:r>
        <w:t xml:space="preserve">. If </w:t>
      </w:r>
      <w:r>
        <w:rPr>
          <w:b/>
        </w:rPr>
        <w:t>applyFont</w:t>
      </w:r>
      <w:r>
        <w:t xml:space="preserve"> is false and the font formatting in the </w:t>
      </w:r>
      <w:r>
        <w:rPr>
          <w:b/>
        </w:rPr>
        <w:t>cellStyleXfs</w:t>
      </w:r>
      <w:r>
        <w:t xml:space="preserve"> changes, the new font formatting is set in the </w:t>
      </w:r>
      <w:r>
        <w:rPr>
          <w:b/>
        </w:rPr>
        <w:t>xf</w:t>
      </w:r>
      <w:r>
        <w:t xml:space="preserve"> as well. If </w:t>
      </w:r>
      <w:r>
        <w:rPr>
          <w:b/>
        </w:rPr>
        <w:t>applyFont</w:t>
      </w:r>
      <w:r>
        <w:t xml:space="preserve"> is true, then the </w:t>
      </w:r>
      <w:r>
        <w:rPr>
          <w:b/>
        </w:rPr>
        <w:t>xf</w:t>
      </w:r>
      <w:r>
        <w:t xml:space="preserve"> will retain its existing font formatting. If the font formatting in the </w:t>
      </w:r>
      <w:r>
        <w:rPr>
          <w:b/>
        </w:rPr>
        <w:t>cellXf</w:t>
      </w:r>
      <w:r>
        <w:t xml:space="preserve"> is different than the font for</w:t>
      </w:r>
      <w:r>
        <w:t xml:space="preserve">matting in the parent </w:t>
      </w:r>
      <w:r>
        <w:rPr>
          <w:b/>
        </w:rPr>
        <w:t>cellStyleXf</w:t>
      </w:r>
      <w:r>
        <w:t xml:space="preserve">, </w:t>
      </w:r>
      <w:r>
        <w:rPr>
          <w:b/>
        </w:rPr>
        <w:t>applyFont</w:t>
      </w:r>
      <w:r>
        <w:t xml:space="preserve"> shall be true. The default value for </w:t>
      </w:r>
      <w:r>
        <w:rPr>
          <w:b/>
        </w:rPr>
        <w:t>applyFont</w:t>
      </w:r>
      <w:r>
        <w:t xml:space="preserve"> in cellXfs element is false.</w:t>
      </w:r>
    </w:p>
    <w:p w:rsidR="00024C0A" w:rsidRDefault="00694C0F">
      <w:pPr>
        <w:pStyle w:val="Definition-Field"/>
      </w:pPr>
      <w:r>
        <w:lastRenderedPageBreak/>
        <w:t xml:space="preserve">e.   </w:t>
      </w:r>
      <w:r>
        <w:rPr>
          <w:i/>
        </w:rPr>
        <w:t>The standard does not define different behavior for @applyNumberFormat depending on whether the xf is in the CellXfs element or th</w:t>
      </w:r>
      <w:r>
        <w:rPr>
          <w:i/>
        </w:rPr>
        <w:t>e CellStyleXfs element.</w:t>
      </w:r>
    </w:p>
    <w:p w:rsidR="00024C0A" w:rsidRDefault="00694C0F">
      <w:r>
        <w:t xml:space="preserve">For the </w:t>
      </w:r>
      <w:r>
        <w:rPr>
          <w:b/>
        </w:rPr>
        <w:t>cellStyleXfs</w:t>
      </w:r>
      <w:r>
        <w:t xml:space="preserve"> element, this boolean value indicates whether the number formatting specified for this </w:t>
      </w:r>
      <w:r>
        <w:rPr>
          <w:b/>
        </w:rPr>
        <w:t xml:space="preserve">xf </w:t>
      </w:r>
      <w:r>
        <w:t xml:space="preserve">is applied. The default value for </w:t>
      </w:r>
      <w:r>
        <w:rPr>
          <w:b/>
        </w:rPr>
        <w:t>applyNumberFormat</w:t>
      </w:r>
      <w:r>
        <w:t xml:space="preserve"> in </w:t>
      </w:r>
      <w:r>
        <w:rPr>
          <w:b/>
        </w:rPr>
        <w:t>cellStyleXfs</w:t>
      </w:r>
      <w:r>
        <w:t xml:space="preserve"> is true.</w:t>
      </w:r>
    </w:p>
    <w:p w:rsidR="00024C0A" w:rsidRDefault="00694C0F">
      <w:r>
        <w:t xml:space="preserve">For the </w:t>
      </w:r>
      <w:r>
        <w:rPr>
          <w:b/>
        </w:rPr>
        <w:t>cellXfs</w:t>
      </w:r>
      <w:r>
        <w:t xml:space="preserve"> element, this boolean value </w:t>
      </w:r>
      <w:r>
        <w:t xml:space="preserve">indicates whether the number formatting in the xf is overwritten by changes to the </w:t>
      </w:r>
      <w:r>
        <w:rPr>
          <w:b/>
        </w:rPr>
        <w:t>cellStyleXfs</w:t>
      </w:r>
      <w:r>
        <w:t xml:space="preserve"> referenced by </w:t>
      </w:r>
      <w:r>
        <w:rPr>
          <w:b/>
        </w:rPr>
        <w:t>xfId</w:t>
      </w:r>
      <w:r>
        <w:t xml:space="preserve">. If </w:t>
      </w:r>
      <w:r>
        <w:rPr>
          <w:b/>
        </w:rPr>
        <w:t>applyNumberFormat</w:t>
      </w:r>
      <w:r>
        <w:t xml:space="preserve"> is false and the number formatting in the </w:t>
      </w:r>
      <w:r>
        <w:rPr>
          <w:b/>
        </w:rPr>
        <w:t>cellStyleXfs</w:t>
      </w:r>
      <w:r>
        <w:t xml:space="preserve"> changes, the new number formatting is set in the </w:t>
      </w:r>
      <w:r>
        <w:rPr>
          <w:b/>
        </w:rPr>
        <w:t>xf</w:t>
      </w:r>
      <w:r>
        <w:t xml:space="preserve"> as well. If </w:t>
      </w:r>
      <w:r>
        <w:rPr>
          <w:b/>
        </w:rPr>
        <w:t>applyNumberFormat</w:t>
      </w:r>
      <w:r>
        <w:t xml:space="preserve"> is true, then the </w:t>
      </w:r>
      <w:r>
        <w:rPr>
          <w:b/>
        </w:rPr>
        <w:t>xf</w:t>
      </w:r>
      <w:r>
        <w:t xml:space="preserve"> will retain its existing number formatting. If the number formatting in the </w:t>
      </w:r>
      <w:r>
        <w:rPr>
          <w:b/>
        </w:rPr>
        <w:t>cellXf</w:t>
      </w:r>
      <w:r>
        <w:t xml:space="preserve"> is different than the number formatting in the parent </w:t>
      </w:r>
      <w:r>
        <w:rPr>
          <w:b/>
        </w:rPr>
        <w:t>cellStyleXf</w:t>
      </w:r>
      <w:r>
        <w:t xml:space="preserve">, </w:t>
      </w:r>
      <w:r>
        <w:rPr>
          <w:b/>
        </w:rPr>
        <w:t>applyNumberFormat</w:t>
      </w:r>
      <w:r>
        <w:t xml:space="preserve"> shall be true. The default value for </w:t>
      </w:r>
      <w:r>
        <w:rPr>
          <w:b/>
        </w:rPr>
        <w:t>applyNumberF</w:t>
      </w:r>
      <w:r>
        <w:rPr>
          <w:b/>
        </w:rPr>
        <w:t>ormat</w:t>
      </w:r>
      <w:r>
        <w:t xml:space="preserve"> in cellXfs element is false.</w:t>
      </w:r>
    </w:p>
    <w:p w:rsidR="00024C0A" w:rsidRDefault="00694C0F">
      <w:pPr>
        <w:pStyle w:val="Definition-Field"/>
      </w:pPr>
      <w:r>
        <w:t xml:space="preserve">f.   </w:t>
      </w:r>
      <w:r>
        <w:rPr>
          <w:i/>
        </w:rPr>
        <w:t>The standard does not define different behaviors for @applyProtection depending on whether the xf is in the CellXfs element or the CellStyleXfs element.</w:t>
      </w:r>
    </w:p>
    <w:p w:rsidR="00024C0A" w:rsidRDefault="00694C0F">
      <w:r>
        <w:t xml:space="preserve">For the </w:t>
      </w:r>
      <w:r>
        <w:rPr>
          <w:b/>
        </w:rPr>
        <w:t>cellStyleXfs</w:t>
      </w:r>
      <w:r>
        <w:t xml:space="preserve"> element, this boolean value indicates whether the protection formatting specified for this </w:t>
      </w:r>
      <w:r>
        <w:rPr>
          <w:b/>
        </w:rPr>
        <w:t xml:space="preserve">xf </w:t>
      </w:r>
      <w:r>
        <w:t xml:space="preserve">is applied. The default value for </w:t>
      </w:r>
      <w:r>
        <w:rPr>
          <w:b/>
        </w:rPr>
        <w:t>applyProtection</w:t>
      </w:r>
      <w:r>
        <w:t xml:space="preserve"> in </w:t>
      </w:r>
      <w:r>
        <w:rPr>
          <w:b/>
        </w:rPr>
        <w:t>cellStyleXfs</w:t>
      </w:r>
      <w:r>
        <w:t xml:space="preserve"> is true.</w:t>
      </w:r>
    </w:p>
    <w:p w:rsidR="00024C0A" w:rsidRDefault="00694C0F">
      <w:r>
        <w:t xml:space="preserve">For the </w:t>
      </w:r>
      <w:r>
        <w:rPr>
          <w:b/>
        </w:rPr>
        <w:t>cellXfs</w:t>
      </w:r>
      <w:r>
        <w:t xml:space="preserve"> element, this boolean value indicates whether the protection formattin</w:t>
      </w:r>
      <w:r>
        <w:t xml:space="preserve">g in the xf is overwritten by changes to the </w:t>
      </w:r>
      <w:r>
        <w:rPr>
          <w:b/>
        </w:rPr>
        <w:t>cellStyleXfs</w:t>
      </w:r>
      <w:r>
        <w:t xml:space="preserve"> referenced by </w:t>
      </w:r>
      <w:r>
        <w:rPr>
          <w:b/>
        </w:rPr>
        <w:t>xfId</w:t>
      </w:r>
      <w:r>
        <w:t xml:space="preserve">. If </w:t>
      </w:r>
      <w:r>
        <w:rPr>
          <w:b/>
        </w:rPr>
        <w:t>applyProtection</w:t>
      </w:r>
      <w:r>
        <w:t xml:space="preserve"> is false and the protection formatting in the </w:t>
      </w:r>
      <w:r>
        <w:rPr>
          <w:b/>
        </w:rPr>
        <w:t>cellStyleXfs</w:t>
      </w:r>
      <w:r>
        <w:t xml:space="preserve"> changes, the new protection formatting is set in the </w:t>
      </w:r>
      <w:r>
        <w:rPr>
          <w:b/>
        </w:rPr>
        <w:t>xf</w:t>
      </w:r>
      <w:r>
        <w:t xml:space="preserve"> as well. If </w:t>
      </w:r>
      <w:r>
        <w:rPr>
          <w:b/>
        </w:rPr>
        <w:t>applyProtection</w:t>
      </w:r>
      <w:r>
        <w:t xml:space="preserve"> is true, then the </w:t>
      </w:r>
      <w:r>
        <w:rPr>
          <w:b/>
        </w:rPr>
        <w:t>xf</w:t>
      </w:r>
      <w:r>
        <w:t xml:space="preserve"> will retain its existing protection formatting. If the protection formatting in the </w:t>
      </w:r>
      <w:r>
        <w:rPr>
          <w:b/>
        </w:rPr>
        <w:t>cellXf</w:t>
      </w:r>
      <w:r>
        <w:t xml:space="preserve"> is different than the protection formatting in the parent </w:t>
      </w:r>
      <w:r>
        <w:rPr>
          <w:b/>
        </w:rPr>
        <w:t>cellStyleXf</w:t>
      </w:r>
      <w:r>
        <w:t xml:space="preserve">, </w:t>
      </w:r>
      <w:r>
        <w:rPr>
          <w:b/>
        </w:rPr>
        <w:t>applyProtection</w:t>
      </w:r>
      <w:r>
        <w:t xml:space="preserve"> shall be true. The default value for </w:t>
      </w:r>
      <w:r>
        <w:rPr>
          <w:b/>
        </w:rPr>
        <w:t>applyProtection</w:t>
      </w:r>
      <w:r>
        <w:t xml:space="preserve"> in </w:t>
      </w:r>
      <w:r>
        <w:t>cellXfs element is false.</w:t>
      </w:r>
    </w:p>
    <w:p w:rsidR="00024C0A" w:rsidRDefault="00694C0F">
      <w:pPr>
        <w:pStyle w:val="Heading3"/>
      </w:pPr>
      <w:bookmarkStart w:id="1457" w:name="section_46da4c4114864b60a733c76cd8bd821a"/>
      <w:bookmarkStart w:id="1458" w:name="_Toc12260789"/>
      <w:r>
        <w:t>Part 1 Section 18.9.1, bk (Metadata Block)</w:t>
      </w:r>
      <w:bookmarkEnd w:id="1457"/>
      <w:bookmarkEnd w:id="1458"/>
      <w:r>
        <w:fldChar w:fldCharType="begin"/>
      </w:r>
      <w:r>
        <w:instrText xml:space="preserve"> XE "bk (Metadata Block)" </w:instrText>
      </w:r>
      <w:r>
        <w:fldChar w:fldCharType="end"/>
      </w:r>
    </w:p>
    <w:p w:rsidR="00024C0A" w:rsidRDefault="00694C0F">
      <w:pPr>
        <w:pStyle w:val="Definition-Field"/>
      </w:pPr>
      <w:r>
        <w:t xml:space="preserve">a.   </w:t>
      </w:r>
      <w:r>
        <w:rPr>
          <w:i/>
        </w:rPr>
        <w:t>The standard does not place any restrictions on the ordering of rc child elements.</w:t>
      </w:r>
    </w:p>
    <w:p w:rsidR="00024C0A" w:rsidRDefault="00694C0F">
      <w:pPr>
        <w:pStyle w:val="Definition-Field2"/>
      </w:pPr>
      <w:r>
        <w:t>Office requires that rc elements must be stored in the strictly increas</w:t>
      </w:r>
      <w:r>
        <w:t>ing order of their metadata record type indexes.</w:t>
      </w:r>
    </w:p>
    <w:p w:rsidR="00024C0A" w:rsidRDefault="00694C0F">
      <w:pPr>
        <w:pStyle w:val="Heading3"/>
      </w:pPr>
      <w:bookmarkStart w:id="1459" w:name="section_4b58be005a134a4786a265cfd44f3209"/>
      <w:bookmarkStart w:id="1460" w:name="_Toc12260790"/>
      <w:r>
        <w:t>Part 1 Section 18.9.3, cellMetadata (Cell Metadata)</w:t>
      </w:r>
      <w:bookmarkEnd w:id="1459"/>
      <w:bookmarkEnd w:id="1460"/>
      <w:r>
        <w:fldChar w:fldCharType="begin"/>
      </w:r>
      <w:r>
        <w:instrText xml:space="preserve"> XE "cellMetadata (Cell Metadata)"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b041ae678cdb46d28551e922106b987f">
        <w:r>
          <w:rPr>
            <w:rStyle w:val="Hyperlink"/>
          </w:rPr>
          <w:t>valueMetadata, §18.9.17(a)</w:t>
        </w:r>
      </w:hyperlink>
      <w:r>
        <w:rPr>
          <w:i/>
        </w:rPr>
        <w:t>.</w:t>
      </w:r>
    </w:p>
    <w:p w:rsidR="00024C0A" w:rsidRDefault="00694C0F">
      <w:pPr>
        <w:pStyle w:val="Definition-Field"/>
      </w:pPr>
      <w:r>
        <w:t xml:space="preserve">a.   </w:t>
      </w:r>
      <w:r>
        <w:rPr>
          <w:i/>
        </w:rPr>
        <w:t>The standard states that the values of the count attribute are defined by the XML Schema unsignedInt datatype.</w:t>
      </w:r>
    </w:p>
    <w:p w:rsidR="00024C0A" w:rsidRDefault="00694C0F">
      <w:pPr>
        <w:pStyle w:val="Definition-Field2"/>
      </w:pPr>
      <w:r>
        <w:t>Office requires that the count attribute has a maximum value of 2147483647.</w:t>
      </w:r>
    </w:p>
    <w:p w:rsidR="00024C0A" w:rsidRDefault="00694C0F">
      <w:pPr>
        <w:pStyle w:val="Heading3"/>
      </w:pPr>
      <w:bookmarkStart w:id="1461" w:name="section_345477a385564e6c8ad0895a79f9048b"/>
      <w:bookmarkStart w:id="1462" w:name="_Toc12260791"/>
      <w:r>
        <w:t>P</w:t>
      </w:r>
      <w:r>
        <w:t>art 1 Section 18.9.4, futureMetadata (Future Metadata)</w:t>
      </w:r>
      <w:bookmarkEnd w:id="1461"/>
      <w:bookmarkEnd w:id="1462"/>
      <w:r>
        <w:fldChar w:fldCharType="begin"/>
      </w:r>
      <w:r>
        <w:instrText xml:space="preserve"> XE "futureMetadata (Future Metadata)" </w:instrText>
      </w:r>
      <w:r>
        <w:fldChar w:fldCharType="end"/>
      </w:r>
    </w:p>
    <w:p w:rsidR="00024C0A" w:rsidRDefault="00694C0F">
      <w:pPr>
        <w:pStyle w:val="Definition-Field"/>
      </w:pPr>
      <w:r>
        <w:t xml:space="preserve">a.   </w:t>
      </w:r>
      <w:r>
        <w:rPr>
          <w:i/>
        </w:rPr>
        <w:t>The standard specifies that the values of the count attribute are defined by the XML Schema unsignedInt datatype.</w:t>
      </w:r>
    </w:p>
    <w:p w:rsidR="00024C0A" w:rsidRDefault="00694C0F">
      <w:pPr>
        <w:pStyle w:val="Definition-Field2"/>
      </w:pPr>
      <w:r>
        <w:t>Office requires that @count has a maximum</w:t>
      </w:r>
      <w:r>
        <w:t xml:space="preserve"> value of 2147483647.</w:t>
      </w:r>
    </w:p>
    <w:p w:rsidR="00024C0A" w:rsidRDefault="00694C0F">
      <w:pPr>
        <w:pStyle w:val="Definition-Field"/>
      </w:pPr>
      <w:r>
        <w:t xml:space="preserve">b.   </w:t>
      </w:r>
      <w:r>
        <w:rPr>
          <w:i/>
        </w:rPr>
        <w:t>The standard states that the name attribute is the metadata type name.</w:t>
      </w:r>
    </w:p>
    <w:p w:rsidR="00024C0A" w:rsidRDefault="00694C0F">
      <w:pPr>
        <w:pStyle w:val="Definition-Field2"/>
      </w:pPr>
      <w:r>
        <w:t>Office requires this name must be equal to the name attribute of one of the metadataType records in the metadataTypes collection. This name must be unique amo</w:t>
      </w:r>
      <w:r>
        <w:t xml:space="preserve">ng all futureMetadata records and MUST NOT equal XLMDX. Excel reserves names that begin with XL. For more information, see </w:t>
      </w:r>
      <w:hyperlink r:id="rId127" w:anchor="Section_2c5dee00eff24b2292b60738acd4475e">
        <w:r>
          <w:rPr>
            <w:rStyle w:val="Hyperlink"/>
          </w:rPr>
          <w:t>[MS-XLSX]</w:t>
        </w:r>
      </w:hyperlink>
      <w:r>
        <w:t xml:space="preserve"> section 2.2.4.4.</w:t>
      </w:r>
    </w:p>
    <w:p w:rsidR="00024C0A" w:rsidRDefault="00694C0F">
      <w:pPr>
        <w:pStyle w:val="Definition-Field"/>
      </w:pPr>
      <w:r>
        <w:lastRenderedPageBreak/>
        <w:t xml:space="preserve">c.   </w:t>
      </w:r>
      <w:r>
        <w:rPr>
          <w:i/>
        </w:rPr>
        <w:t>The standard states th</w:t>
      </w:r>
      <w:r>
        <w:rPr>
          <w:i/>
        </w:rPr>
        <w:t>at the possible values for the name attribute are defined by ST_Xstring simple type.</w:t>
      </w:r>
    </w:p>
    <w:p w:rsidR="00024C0A" w:rsidRDefault="00694C0F">
      <w:pPr>
        <w:pStyle w:val="Definition-Field2"/>
      </w:pPr>
      <w:r>
        <w:t>Office requires that the name attribute be non-empty and less than or equal to 65535 characters.</w:t>
      </w:r>
    </w:p>
    <w:p w:rsidR="00024C0A" w:rsidRDefault="00694C0F">
      <w:pPr>
        <w:pStyle w:val="Heading3"/>
      </w:pPr>
      <w:bookmarkStart w:id="1463" w:name="section_72e746c537b0480d9e663a179f03e108"/>
      <w:bookmarkStart w:id="1464" w:name="_Toc12260792"/>
      <w:r>
        <w:t>Part 1 Section 18.9.5, k (KPI MDX Metadata)</w:t>
      </w:r>
      <w:bookmarkEnd w:id="1463"/>
      <w:bookmarkEnd w:id="1464"/>
      <w:r>
        <w:fldChar w:fldCharType="begin"/>
      </w:r>
      <w:r>
        <w:instrText xml:space="preserve"> XE "k (KPI MDX Metadata)" </w:instrText>
      </w:r>
      <w:r>
        <w:fldChar w:fldCharType="end"/>
      </w:r>
    </w:p>
    <w:p w:rsidR="00024C0A" w:rsidRDefault="00694C0F">
      <w:pPr>
        <w:pStyle w:val="Definition-Field"/>
      </w:pPr>
      <w:r>
        <w:t>a</w:t>
      </w:r>
      <w:r>
        <w:t xml:space="preserve">.   </w:t>
      </w:r>
      <w:r>
        <w:rPr>
          <w:i/>
        </w:rPr>
        <w:t>The standard does not specify the base of @n and @np.</w:t>
      </w:r>
    </w:p>
    <w:p w:rsidR="00024C0A" w:rsidRDefault="00694C0F">
      <w:pPr>
        <w:pStyle w:val="Definition-Field2"/>
      </w:pPr>
      <w:r>
        <w:t>Office treats @n and @np as zero-based indexes into the metadataStrings collection.</w:t>
      </w:r>
    </w:p>
    <w:p w:rsidR="00024C0A" w:rsidRDefault="00694C0F">
      <w:pPr>
        <w:pStyle w:val="Definition-Field"/>
      </w:pPr>
      <w:r>
        <w:t xml:space="preserve">b.   </w:t>
      </w:r>
      <w:r>
        <w:rPr>
          <w:i/>
        </w:rPr>
        <w:t>The standard states that the values of the n attribute are defined by the XML Schema unsignedInt datatype.</w:t>
      </w:r>
    </w:p>
    <w:p w:rsidR="00024C0A" w:rsidRDefault="00694C0F">
      <w:pPr>
        <w:pStyle w:val="Definition-Field2"/>
      </w:pPr>
      <w:r>
        <w:t>Of</w:t>
      </w:r>
      <w:r>
        <w:t>fice requires that the n attribute has a maximum value of 2147483647.</w:t>
      </w:r>
    </w:p>
    <w:p w:rsidR="00024C0A" w:rsidRDefault="00694C0F">
      <w:pPr>
        <w:pStyle w:val="Definition-Field"/>
      </w:pPr>
      <w:r>
        <w:t xml:space="preserve">c.   </w:t>
      </w:r>
      <w:r>
        <w:rPr>
          <w:i/>
        </w:rPr>
        <w:t>The standard states that the values of the np attribute are defined by the XML Schema unsignedInt datatype.</w:t>
      </w:r>
    </w:p>
    <w:p w:rsidR="00024C0A" w:rsidRDefault="00694C0F">
      <w:pPr>
        <w:pStyle w:val="Definition-Field2"/>
      </w:pPr>
      <w:r>
        <w:t>Office requires that the np attribute has a maximum value of 2147483647.</w:t>
      </w:r>
    </w:p>
    <w:p w:rsidR="00024C0A" w:rsidRDefault="00694C0F">
      <w:pPr>
        <w:pStyle w:val="Heading3"/>
      </w:pPr>
      <w:bookmarkStart w:id="1465" w:name="section_81b51cf7164b4891954ecb4e39ee088d"/>
      <w:bookmarkStart w:id="1466" w:name="_Toc12260793"/>
      <w:r>
        <w:t>Part 1 Section 18.9.6, mdx (MDX Metadata Record)</w:t>
      </w:r>
      <w:bookmarkEnd w:id="1465"/>
      <w:bookmarkEnd w:id="1466"/>
      <w:r>
        <w:fldChar w:fldCharType="begin"/>
      </w:r>
      <w:r>
        <w:instrText xml:space="preserve"> XE "mdx (MDX Metadata Record)" </w:instrText>
      </w:r>
      <w:r>
        <w:fldChar w:fldCharType="end"/>
      </w:r>
    </w:p>
    <w:p w:rsidR="00024C0A" w:rsidRDefault="00694C0F">
      <w:pPr>
        <w:pStyle w:val="Definition-Field"/>
      </w:pPr>
      <w:r>
        <w:t xml:space="preserve">a.   </w:t>
      </w:r>
      <w:r>
        <w:rPr>
          <w:i/>
        </w:rPr>
        <w:t>The standard states that the values of the n attribute are defined by the XML Schema unsignedInt datatype.</w:t>
      </w:r>
    </w:p>
    <w:p w:rsidR="00024C0A" w:rsidRDefault="00694C0F">
      <w:pPr>
        <w:pStyle w:val="Definition-Field2"/>
      </w:pPr>
      <w:r>
        <w:t>Office requires that the n attribute has a maximum value of 2</w:t>
      </w:r>
      <w:r>
        <w:t>147483647.</w:t>
      </w:r>
    </w:p>
    <w:p w:rsidR="00024C0A" w:rsidRDefault="00694C0F">
      <w:pPr>
        <w:pStyle w:val="Heading3"/>
      </w:pPr>
      <w:bookmarkStart w:id="1467" w:name="section_d374e3ff60bd40e1baf558234957b0af"/>
      <w:bookmarkStart w:id="1468" w:name="_Toc12260794"/>
      <w:r>
        <w:t>Part 1 Section 18.9.7, mdxMetadata (MDX Metadata Information)</w:t>
      </w:r>
      <w:bookmarkEnd w:id="1467"/>
      <w:bookmarkEnd w:id="1468"/>
      <w:r>
        <w:fldChar w:fldCharType="begin"/>
      </w:r>
      <w:r>
        <w:instrText xml:space="preserve"> XE "mdxMetadata (MDX Metadata Information)" </w:instrText>
      </w:r>
      <w:r>
        <w:fldChar w:fldCharType="end"/>
      </w:r>
    </w:p>
    <w:p w:rsidR="00024C0A" w:rsidRDefault="00694C0F">
      <w:pPr>
        <w:pStyle w:val="Definition-Field"/>
      </w:pPr>
      <w:r>
        <w:t xml:space="preserve">a.   </w:t>
      </w:r>
      <w:r>
        <w:rPr>
          <w:i/>
        </w:rPr>
        <w:t>The standard states that the values of the count attribute are defined by the XML Schema unsignedInt datetype.</w:t>
      </w:r>
    </w:p>
    <w:p w:rsidR="00024C0A" w:rsidRDefault="00694C0F">
      <w:pPr>
        <w:pStyle w:val="Definition-Field2"/>
      </w:pPr>
      <w:r>
        <w:t>Office requires that</w:t>
      </w:r>
      <w:r>
        <w:t xml:space="preserve"> @count has a maximum value of 2147483647.</w:t>
      </w:r>
    </w:p>
    <w:p w:rsidR="00024C0A" w:rsidRDefault="00694C0F">
      <w:pPr>
        <w:pStyle w:val="Heading3"/>
      </w:pPr>
      <w:bookmarkStart w:id="1469" w:name="section_b8398e62febd49e984731b829a8dae62"/>
      <w:bookmarkStart w:id="1470" w:name="_Toc12260795"/>
      <w:r>
        <w:t>Part 1 Section 18.9.9, metadataStrings (Metadata String Store)</w:t>
      </w:r>
      <w:bookmarkEnd w:id="1469"/>
      <w:bookmarkEnd w:id="1470"/>
      <w:r>
        <w:fldChar w:fldCharType="begin"/>
      </w:r>
      <w:r>
        <w:instrText xml:space="preserve"> XE "metadataStrings (Metadata String Store)" </w:instrText>
      </w:r>
      <w:r>
        <w:fldChar w:fldCharType="end"/>
      </w:r>
    </w:p>
    <w:p w:rsidR="00024C0A" w:rsidRDefault="00694C0F">
      <w:pPr>
        <w:pStyle w:val="Definition-Field"/>
      </w:pPr>
      <w:r>
        <w:t xml:space="preserve">a.   </w:t>
      </w:r>
      <w:r>
        <w:rPr>
          <w:i/>
        </w:rPr>
        <w:t xml:space="preserve">The standard specifies that the values of the count attribute are defined by the XML Schema </w:t>
      </w:r>
      <w:r>
        <w:rPr>
          <w:i/>
        </w:rPr>
        <w:t>unsignedInt datatype.</w:t>
      </w:r>
    </w:p>
    <w:p w:rsidR="00024C0A" w:rsidRDefault="00694C0F">
      <w:pPr>
        <w:pStyle w:val="Definition-Field2"/>
      </w:pPr>
      <w:r>
        <w:t>Office requires that @count has a maximum value of 2147483647.</w:t>
      </w:r>
    </w:p>
    <w:p w:rsidR="00024C0A" w:rsidRDefault="00694C0F">
      <w:pPr>
        <w:pStyle w:val="Heading3"/>
      </w:pPr>
      <w:bookmarkStart w:id="1471" w:name="section_130fa123a3b942f5adf52f44067facf5"/>
      <w:bookmarkStart w:id="1472" w:name="_Toc12260796"/>
      <w:r>
        <w:t>Part 1 Section 18.9.10, metadataType (Metadata Type Information)</w:t>
      </w:r>
      <w:bookmarkEnd w:id="1471"/>
      <w:bookmarkEnd w:id="1472"/>
      <w:r>
        <w:fldChar w:fldCharType="begin"/>
      </w:r>
      <w:r>
        <w:instrText xml:space="preserve"> XE "metadataType (Metadata Type Information)" </w:instrText>
      </w:r>
      <w:r>
        <w:fldChar w:fldCharType="end"/>
      </w:r>
    </w:p>
    <w:p w:rsidR="00024C0A" w:rsidRDefault="00694C0F">
      <w:pPr>
        <w:pStyle w:val="Definition-Field"/>
      </w:pPr>
      <w:r>
        <w:t xml:space="preserve">a.   </w:t>
      </w:r>
      <w:r>
        <w:rPr>
          <w:i/>
        </w:rPr>
        <w:t xml:space="preserve">The standard specifies that the adjust attribute is </w:t>
      </w:r>
      <w:r>
        <w:rPr>
          <w:i/>
        </w:rPr>
        <w:t>true if metadata corresponding to a particular cell needs to be notified when that cell's location is changed, false otherwise.</w:t>
      </w:r>
    </w:p>
    <w:p w:rsidR="00024C0A" w:rsidRDefault="00694C0F">
      <w:pPr>
        <w:pStyle w:val="Definition-Field2"/>
      </w:pPr>
      <w:r>
        <w:t>Office does not respect the value of the adjust attribute.</w:t>
      </w:r>
    </w:p>
    <w:p w:rsidR="00024C0A" w:rsidRDefault="00694C0F">
      <w:pPr>
        <w:pStyle w:val="Definition-Field"/>
      </w:pPr>
      <w:r>
        <w:t xml:space="preserve">b.   </w:t>
      </w:r>
      <w:r>
        <w:rPr>
          <w:i/>
        </w:rPr>
        <w:t>The standard specifies that the assign attribute is true when me</w:t>
      </w:r>
      <w:r>
        <w:rPr>
          <w:i/>
        </w:rPr>
        <w:t>tadata should be propagated by assignment, false otherwise.</w:t>
      </w:r>
    </w:p>
    <w:p w:rsidR="00024C0A" w:rsidRDefault="00694C0F">
      <w:pPr>
        <w:pStyle w:val="Definition-Field2"/>
      </w:pPr>
      <w:r>
        <w:t>Office does not respect the value of the assign attribute.</w:t>
      </w:r>
    </w:p>
    <w:p w:rsidR="00024C0A" w:rsidRDefault="00694C0F">
      <w:pPr>
        <w:pStyle w:val="Definition-Field"/>
      </w:pPr>
      <w:r>
        <w:t xml:space="preserve">c.   </w:t>
      </w:r>
      <w:r>
        <w:rPr>
          <w:i/>
        </w:rPr>
        <w:t>The standard specifies that the clearAll attribute is true if the metadata persists after a clear all, false otherwise.</w:t>
      </w:r>
    </w:p>
    <w:p w:rsidR="00024C0A" w:rsidRDefault="00694C0F">
      <w:pPr>
        <w:pStyle w:val="Definition-Field2"/>
      </w:pPr>
      <w:r>
        <w:t xml:space="preserve">Office does </w:t>
      </w:r>
      <w:r>
        <w:t>not respect the value of the clearAll attribute.</w:t>
      </w:r>
    </w:p>
    <w:p w:rsidR="00024C0A" w:rsidRDefault="00694C0F">
      <w:pPr>
        <w:pStyle w:val="Definition-Field"/>
      </w:pPr>
      <w:r>
        <w:lastRenderedPageBreak/>
        <w:t xml:space="preserve">d.   </w:t>
      </w:r>
      <w:r>
        <w:rPr>
          <w:i/>
        </w:rPr>
        <w:t>The standard specifies that the coerce attribute is true if the value metadata is removed upon coercion, false otherwise.</w:t>
      </w:r>
    </w:p>
    <w:p w:rsidR="00024C0A" w:rsidRDefault="00694C0F">
      <w:pPr>
        <w:pStyle w:val="Definition-Field2"/>
      </w:pPr>
      <w:r>
        <w:t>Office does not respect the value of the coerce attribute.</w:t>
      </w:r>
    </w:p>
    <w:p w:rsidR="00024C0A" w:rsidRDefault="00694C0F">
      <w:pPr>
        <w:pStyle w:val="Definition-Field"/>
      </w:pPr>
      <w:r>
        <w:t xml:space="preserve">e.   </w:t>
      </w:r>
      <w:r>
        <w:rPr>
          <w:i/>
        </w:rPr>
        <w:t>The standard spe</w:t>
      </w:r>
      <w:r>
        <w:rPr>
          <w:i/>
        </w:rPr>
        <w:t>cifies that the ghostCol attribute is true when the metadata is copied to or from a ghost column, false otherwise.</w:t>
      </w:r>
    </w:p>
    <w:p w:rsidR="00024C0A" w:rsidRDefault="00694C0F">
      <w:pPr>
        <w:pStyle w:val="Definition-Field2"/>
      </w:pPr>
      <w:r>
        <w:t>Office does not respect the value of the ghostCol attribute.</w:t>
      </w:r>
    </w:p>
    <w:p w:rsidR="00024C0A" w:rsidRDefault="00694C0F">
      <w:pPr>
        <w:pStyle w:val="Definition-Field"/>
      </w:pPr>
      <w:r>
        <w:t xml:space="preserve">f.   </w:t>
      </w:r>
      <w:r>
        <w:rPr>
          <w:i/>
        </w:rPr>
        <w:t>The standard specifies that the ghostRow attribute is true when the metadat</w:t>
      </w:r>
      <w:r>
        <w:rPr>
          <w:i/>
        </w:rPr>
        <w:t>a is copied to or from a ghost row, false otherwise.</w:t>
      </w:r>
    </w:p>
    <w:p w:rsidR="00024C0A" w:rsidRDefault="00694C0F">
      <w:pPr>
        <w:pStyle w:val="Definition-Field2"/>
      </w:pPr>
      <w:r>
        <w:t>Office does not respect the value of the ghostRow attribute.</w:t>
      </w:r>
    </w:p>
    <w:p w:rsidR="00024C0A" w:rsidRDefault="00694C0F">
      <w:pPr>
        <w:pStyle w:val="Definition-Field"/>
      </w:pPr>
      <w:r>
        <w:t xml:space="preserve">g.   </w:t>
      </w:r>
      <w:r>
        <w:rPr>
          <w:i/>
        </w:rPr>
        <w:t>The standard specifies that merge is true if the metadata persists after a cell merge, false otherwise.</w:t>
      </w:r>
    </w:p>
    <w:p w:rsidR="00024C0A" w:rsidRDefault="00694C0F">
      <w:pPr>
        <w:pStyle w:val="Definition-Field2"/>
      </w:pPr>
      <w:r>
        <w:t>Office does not respect the value</w:t>
      </w:r>
      <w:r>
        <w:t xml:space="preserve"> of the merge attribute.</w:t>
      </w:r>
    </w:p>
    <w:p w:rsidR="00024C0A" w:rsidRDefault="00694C0F">
      <w:pPr>
        <w:pStyle w:val="Definition-Field"/>
      </w:pPr>
      <w:r>
        <w:t xml:space="preserve">h.   </w:t>
      </w:r>
      <w:r>
        <w:rPr>
          <w:i/>
        </w:rPr>
        <w:t>The standard specifies that pasteAll is true when the metadata is populated on a Paste:All, false otherwise.</w:t>
      </w:r>
    </w:p>
    <w:p w:rsidR="00024C0A" w:rsidRDefault="00694C0F">
      <w:pPr>
        <w:pStyle w:val="Definition-Field2"/>
      </w:pPr>
      <w:r>
        <w:t>Office does not respect the value of the pasteAll attribute.</w:t>
      </w:r>
    </w:p>
    <w:p w:rsidR="00024C0A" w:rsidRDefault="00694C0F">
      <w:pPr>
        <w:pStyle w:val="Definition-Field"/>
      </w:pPr>
      <w:r>
        <w:t xml:space="preserve">i.   </w:t>
      </w:r>
      <w:r>
        <w:rPr>
          <w:i/>
        </w:rPr>
        <w:t>The standard specifies that pasteBorders is true wh</w:t>
      </w:r>
      <w:r>
        <w:rPr>
          <w:i/>
        </w:rPr>
        <w:t>en the metadata is populated when only borders are pasted, false otherwise.</w:t>
      </w:r>
    </w:p>
    <w:p w:rsidR="00024C0A" w:rsidRDefault="00694C0F">
      <w:pPr>
        <w:pStyle w:val="Definition-Field2"/>
      </w:pPr>
      <w:r>
        <w:t>Office does not respect the value of the pasteBorders attribute.</w:t>
      </w:r>
    </w:p>
    <w:p w:rsidR="00024C0A" w:rsidRDefault="00694C0F">
      <w:pPr>
        <w:pStyle w:val="Definition-Field"/>
      </w:pPr>
      <w:r>
        <w:t xml:space="preserve">j.   </w:t>
      </w:r>
      <w:r>
        <w:rPr>
          <w:i/>
        </w:rPr>
        <w:t>The standard specifies that pasteColWidths is true if the metadata is populated when only column widths are pa</w:t>
      </w:r>
      <w:r>
        <w:rPr>
          <w:i/>
        </w:rPr>
        <w:t>sted, false otherwise.</w:t>
      </w:r>
    </w:p>
    <w:p w:rsidR="00024C0A" w:rsidRDefault="00694C0F">
      <w:pPr>
        <w:pStyle w:val="Definition-Field2"/>
      </w:pPr>
      <w:r>
        <w:t>Office does not respect the value of the pasteColWidths attribute.</w:t>
      </w:r>
    </w:p>
    <w:p w:rsidR="00024C0A" w:rsidRDefault="00694C0F">
      <w:pPr>
        <w:pStyle w:val="Definition-Field"/>
      </w:pPr>
      <w:r>
        <w:t xml:space="preserve">k.   </w:t>
      </w:r>
      <w:r>
        <w:rPr>
          <w:i/>
        </w:rPr>
        <w:t>The standard specifies that the pasteComments attribute is true when metadata is populated when only comments are pasted, false otherwise.</w:t>
      </w:r>
    </w:p>
    <w:p w:rsidR="00024C0A" w:rsidRDefault="00694C0F">
      <w:pPr>
        <w:pStyle w:val="Definition-Field2"/>
      </w:pPr>
      <w:r>
        <w:t>Office does not respec</w:t>
      </w:r>
      <w:r>
        <w:t>t the value of the pasteComments attribute.</w:t>
      </w:r>
    </w:p>
    <w:p w:rsidR="00024C0A" w:rsidRDefault="00694C0F">
      <w:pPr>
        <w:pStyle w:val="Definition-Field"/>
      </w:pPr>
      <w:r>
        <w:t xml:space="preserve">l.   </w:t>
      </w:r>
      <w:r>
        <w:rPr>
          <w:i/>
        </w:rPr>
        <w:t>The standard specifies that the pasteDataValidation attribute is true when metadata is populated when only data validation is pasted, false otherwise.</w:t>
      </w:r>
    </w:p>
    <w:p w:rsidR="00024C0A" w:rsidRDefault="00694C0F">
      <w:pPr>
        <w:pStyle w:val="Definition-Field2"/>
      </w:pPr>
      <w:r>
        <w:t xml:space="preserve">Office does not respect the value of the </w:t>
      </w:r>
      <w:r>
        <w:t>pasteDataValidation attribute.</w:t>
      </w:r>
    </w:p>
    <w:p w:rsidR="00024C0A" w:rsidRDefault="00694C0F">
      <w:pPr>
        <w:pStyle w:val="Definition-Field"/>
      </w:pPr>
      <w:r>
        <w:t xml:space="preserve">m.   </w:t>
      </w:r>
      <w:r>
        <w:rPr>
          <w:i/>
        </w:rPr>
        <w:t>The standard specifies that the pasteFormats attribute is true when metadata is populated when only formatting is pasted, false otherwise.</w:t>
      </w:r>
    </w:p>
    <w:p w:rsidR="00024C0A" w:rsidRDefault="00694C0F">
      <w:pPr>
        <w:pStyle w:val="Definition-Field2"/>
      </w:pPr>
      <w:r>
        <w:t>Office does not respect the value of the pasteFormats attribute.</w:t>
      </w:r>
    </w:p>
    <w:p w:rsidR="00024C0A" w:rsidRDefault="00694C0F">
      <w:pPr>
        <w:pStyle w:val="Definition-Field"/>
      </w:pPr>
      <w:r>
        <w:t xml:space="preserve">n.   </w:t>
      </w:r>
      <w:r>
        <w:rPr>
          <w:i/>
        </w:rPr>
        <w:t>The standar</w:t>
      </w:r>
      <w:r>
        <w:rPr>
          <w:i/>
        </w:rPr>
        <w:t>d specifies that the pasteFormulas attribute is true when the metadata is populated when only formulas are pasted, false otherwise.</w:t>
      </w:r>
    </w:p>
    <w:p w:rsidR="00024C0A" w:rsidRDefault="00694C0F">
      <w:pPr>
        <w:pStyle w:val="Definition-Field2"/>
      </w:pPr>
      <w:r>
        <w:t>Office does not respect the value of the pasteFormulas attribute.</w:t>
      </w:r>
    </w:p>
    <w:p w:rsidR="00024C0A" w:rsidRDefault="00694C0F">
      <w:pPr>
        <w:pStyle w:val="Definition-Field"/>
      </w:pPr>
      <w:r>
        <w:t xml:space="preserve">o.   </w:t>
      </w:r>
      <w:r>
        <w:rPr>
          <w:i/>
        </w:rPr>
        <w:t>The standard specifies that the pasteNumberFormats at</w:t>
      </w:r>
      <w:r>
        <w:rPr>
          <w:i/>
        </w:rPr>
        <w:t>tribute is true when metadata is populated when only number formatting is pasted, false otherwise.</w:t>
      </w:r>
    </w:p>
    <w:p w:rsidR="00024C0A" w:rsidRDefault="00694C0F">
      <w:pPr>
        <w:pStyle w:val="Definition-Field2"/>
      </w:pPr>
      <w:r>
        <w:t>Office does not respect the value of the pasteNumberFormats attribute.</w:t>
      </w:r>
    </w:p>
    <w:p w:rsidR="00024C0A" w:rsidRDefault="00694C0F">
      <w:pPr>
        <w:pStyle w:val="Definition-Field"/>
      </w:pPr>
      <w:r>
        <w:t xml:space="preserve">p.   </w:t>
      </w:r>
      <w:r>
        <w:rPr>
          <w:i/>
        </w:rPr>
        <w:t>The standard specifies that the rowColShift attribute is true if the metadata per</w:t>
      </w:r>
      <w:r>
        <w:rPr>
          <w:i/>
        </w:rPr>
        <w:t>sists after the cell has been shifted, false otherwise.</w:t>
      </w:r>
    </w:p>
    <w:p w:rsidR="00024C0A" w:rsidRDefault="00694C0F">
      <w:pPr>
        <w:pStyle w:val="Definition-Field2"/>
      </w:pPr>
      <w:r>
        <w:lastRenderedPageBreak/>
        <w:t>Office does not respect the value of the rowColShift attribute.</w:t>
      </w:r>
    </w:p>
    <w:p w:rsidR="00024C0A" w:rsidRDefault="00694C0F">
      <w:pPr>
        <w:pStyle w:val="Definition-Field"/>
      </w:pPr>
      <w:r>
        <w:t xml:space="preserve">q.   </w:t>
      </w:r>
      <w:r>
        <w:rPr>
          <w:i/>
        </w:rPr>
        <w:t>The standard specifies that the splitAll attribute is true if the metadata is copied to all new cells resulting from a split and fa</w:t>
      </w:r>
      <w:r>
        <w:rPr>
          <w:i/>
        </w:rPr>
        <w:t>lse otherwise.</w:t>
      </w:r>
    </w:p>
    <w:p w:rsidR="00024C0A" w:rsidRDefault="00694C0F">
      <w:pPr>
        <w:pStyle w:val="Definition-Field2"/>
      </w:pPr>
      <w:r>
        <w:t>Office does not respect the value of the splitAll attribute.</w:t>
      </w:r>
    </w:p>
    <w:p w:rsidR="00024C0A" w:rsidRDefault="00694C0F">
      <w:pPr>
        <w:pStyle w:val="Definition-Field"/>
      </w:pPr>
      <w:r>
        <w:t xml:space="preserve">r.   </w:t>
      </w:r>
      <w:r>
        <w:rPr>
          <w:i/>
        </w:rPr>
        <w:t>The standard specifies that the splitFirst attribute is true when the metadata from a split cell is only copied to the first resulting cell, false otherwise.</w:t>
      </w:r>
    </w:p>
    <w:p w:rsidR="00024C0A" w:rsidRDefault="00694C0F">
      <w:pPr>
        <w:pStyle w:val="Definition-Field2"/>
      </w:pPr>
      <w:r>
        <w:t xml:space="preserve">Office does not </w:t>
      </w:r>
      <w:r>
        <w:t>respect the value of the splitFirst attribute.</w:t>
      </w:r>
    </w:p>
    <w:p w:rsidR="00024C0A" w:rsidRDefault="00694C0F">
      <w:pPr>
        <w:pStyle w:val="Definition-Field"/>
      </w:pPr>
      <w:r>
        <w:t xml:space="preserve">s.   </w:t>
      </w:r>
      <w:r>
        <w:rPr>
          <w:i/>
        </w:rPr>
        <w:t>The standard specifies that the clearComments attribute is true if the metadata persists after Clear:Comments, false otherwise.</w:t>
      </w:r>
    </w:p>
    <w:p w:rsidR="00024C0A" w:rsidRDefault="00694C0F">
      <w:pPr>
        <w:pStyle w:val="Definition-Field2"/>
      </w:pPr>
      <w:r>
        <w:t>Office does not respect the value of the clearComments attribute.</w:t>
      </w:r>
    </w:p>
    <w:p w:rsidR="00024C0A" w:rsidRDefault="00694C0F">
      <w:pPr>
        <w:pStyle w:val="Definition-Field"/>
      </w:pPr>
      <w:r>
        <w:t xml:space="preserve">t.   </w:t>
      </w:r>
      <w:r>
        <w:rPr>
          <w:i/>
        </w:rPr>
        <w:t>The s</w:t>
      </w:r>
      <w:r>
        <w:rPr>
          <w:i/>
        </w:rPr>
        <w:t>tandard specifies that the clearContents attribute is true if metadata persists after a "Clear: Contents" action, false otherwise.</w:t>
      </w:r>
    </w:p>
    <w:p w:rsidR="00024C0A" w:rsidRDefault="00694C0F">
      <w:pPr>
        <w:pStyle w:val="Definition-Field2"/>
      </w:pPr>
      <w:r>
        <w:t>Office does not respect the value of the clearContents attribute.</w:t>
      </w:r>
    </w:p>
    <w:p w:rsidR="00024C0A" w:rsidRDefault="00694C0F">
      <w:pPr>
        <w:pStyle w:val="Definition-Field"/>
      </w:pPr>
      <w:r>
        <w:t xml:space="preserve">u.   </w:t>
      </w:r>
      <w:r>
        <w:rPr>
          <w:i/>
        </w:rPr>
        <w:t>The standard does not restrict the value of the minSup</w:t>
      </w:r>
      <w:r>
        <w:rPr>
          <w:i/>
        </w:rPr>
        <w:t>portedVersion attribute when the name attribute equals XLMDX.</w:t>
      </w:r>
    </w:p>
    <w:p w:rsidR="00024C0A" w:rsidRDefault="00694C0F">
      <w:pPr>
        <w:pStyle w:val="Definition-Field2"/>
      </w:pPr>
      <w:r>
        <w:t>Office requires that the value of the minSupportedVersion attribute shall be set to 120000 when the name attribute equals XLMDX.</w:t>
      </w:r>
    </w:p>
    <w:p w:rsidR="00024C0A" w:rsidRDefault="00694C0F">
      <w:pPr>
        <w:pStyle w:val="Definition-Field"/>
      </w:pPr>
      <w:r>
        <w:t xml:space="preserve">v.   </w:t>
      </w:r>
      <w:r>
        <w:rPr>
          <w:i/>
        </w:rPr>
        <w:t>The standard does not restrict the value of the name attribu</w:t>
      </w:r>
      <w:r>
        <w:rPr>
          <w:i/>
        </w:rPr>
        <w:t>te.</w:t>
      </w:r>
    </w:p>
    <w:p w:rsidR="00024C0A" w:rsidRDefault="00694C0F">
      <w:pPr>
        <w:pStyle w:val="Definition-Field2"/>
      </w:pPr>
      <w:r>
        <w:t>Office requires that the value of the name attribute must be XLMDX for MDX metadata type and the name XLMDX cannot be used for future metadata type.</w:t>
      </w:r>
    </w:p>
    <w:p w:rsidR="00024C0A" w:rsidRDefault="00694C0F">
      <w:pPr>
        <w:pStyle w:val="Definition-Field"/>
      </w:pPr>
      <w:r>
        <w:t xml:space="preserve">w.   </w:t>
      </w:r>
      <w:r>
        <w:rPr>
          <w:i/>
        </w:rPr>
        <w:t>The standard states that the possible values for the name attribute are defined by ST_Xstring simp</w:t>
      </w:r>
      <w:r>
        <w:rPr>
          <w:i/>
        </w:rPr>
        <w:t>le type.</w:t>
      </w:r>
    </w:p>
    <w:p w:rsidR="00024C0A" w:rsidRDefault="00694C0F">
      <w:pPr>
        <w:pStyle w:val="Definition-Field2"/>
      </w:pPr>
      <w:r>
        <w:t>Office requires that the name attribute be non-empty and less than or equal to 65535 characters.</w:t>
      </w:r>
    </w:p>
    <w:p w:rsidR="00024C0A" w:rsidRDefault="00694C0F">
      <w:pPr>
        <w:pStyle w:val="Definition-Field"/>
      </w:pPr>
      <w:r>
        <w:t xml:space="preserve">x.   </w:t>
      </w:r>
      <w:r>
        <w:rPr>
          <w:i/>
        </w:rPr>
        <w:t>The standard does not restrict the value @adjust when @name=XLMDX.</w:t>
      </w:r>
    </w:p>
    <w:p w:rsidR="00024C0A" w:rsidRDefault="00694C0F">
      <w:pPr>
        <w:pStyle w:val="Definition-Field2"/>
      </w:pPr>
      <w:r>
        <w:t>Office requires that the value @adjust shall not be true when @name=XLMDX.</w:t>
      </w:r>
    </w:p>
    <w:p w:rsidR="00024C0A" w:rsidRDefault="00694C0F">
      <w:pPr>
        <w:pStyle w:val="Definition-Field"/>
      </w:pPr>
      <w:r>
        <w:t xml:space="preserve">y. </w:t>
      </w:r>
      <w:r>
        <w:t xml:space="preserve">  </w:t>
      </w:r>
      <w:r>
        <w:rPr>
          <w:i/>
        </w:rPr>
        <w:t>The standard does not restrict the value @assign when @name=XLMDX.</w:t>
      </w:r>
    </w:p>
    <w:p w:rsidR="00024C0A" w:rsidRDefault="00694C0F">
      <w:pPr>
        <w:pStyle w:val="Definition-Field2"/>
      </w:pPr>
      <w:r>
        <w:t>Office requires that the value @assign shall be true when @name=XLMDX.</w:t>
      </w:r>
    </w:p>
    <w:p w:rsidR="00024C0A" w:rsidRDefault="00694C0F">
      <w:pPr>
        <w:pStyle w:val="Definition-Field"/>
      </w:pPr>
      <w:r>
        <w:t xml:space="preserve">z.   </w:t>
      </w:r>
      <w:r>
        <w:rPr>
          <w:i/>
        </w:rPr>
        <w:t>The standard does not restrict the value @cellMeta when @name=XLMDX.</w:t>
      </w:r>
    </w:p>
    <w:p w:rsidR="00024C0A" w:rsidRDefault="00694C0F">
      <w:pPr>
        <w:pStyle w:val="Definition-Field2"/>
      </w:pPr>
      <w:r>
        <w:t>Office requires that the value @cellMeta s</w:t>
      </w:r>
      <w:r>
        <w:t>hall not be true when @name=XLMDX.</w:t>
      </w:r>
    </w:p>
    <w:p w:rsidR="00024C0A" w:rsidRDefault="00694C0F">
      <w:pPr>
        <w:pStyle w:val="Definition-Field"/>
      </w:pPr>
      <w:r>
        <w:t xml:space="preserve">aa.  </w:t>
      </w:r>
      <w:r>
        <w:rPr>
          <w:i/>
        </w:rPr>
        <w:t>The standard does not restrict the value @clearAll when @name=XLMDX.</w:t>
      </w:r>
    </w:p>
    <w:p w:rsidR="00024C0A" w:rsidRDefault="00694C0F">
      <w:pPr>
        <w:pStyle w:val="Definition-Field2"/>
      </w:pPr>
      <w:r>
        <w:t>Office requires that the value @clearAll shall not be true when @name=XLMDX.</w:t>
      </w:r>
    </w:p>
    <w:p w:rsidR="00024C0A" w:rsidRDefault="00694C0F">
      <w:pPr>
        <w:pStyle w:val="Definition-Field"/>
      </w:pPr>
      <w:r>
        <w:t xml:space="preserve">bb.  </w:t>
      </w:r>
      <w:r>
        <w:rPr>
          <w:i/>
        </w:rPr>
        <w:t xml:space="preserve">The standard does not restrict the value @clearComments when </w:t>
      </w:r>
      <w:r>
        <w:rPr>
          <w:i/>
        </w:rPr>
        <w:t>@name=XLMDX.</w:t>
      </w:r>
    </w:p>
    <w:p w:rsidR="00024C0A" w:rsidRDefault="00694C0F">
      <w:pPr>
        <w:pStyle w:val="Definition-Field2"/>
      </w:pPr>
      <w:r>
        <w:t>Office requires that the value @clearComments shall be true when @name=XLMDX.</w:t>
      </w:r>
    </w:p>
    <w:p w:rsidR="00024C0A" w:rsidRDefault="00694C0F">
      <w:pPr>
        <w:pStyle w:val="Definition-Field"/>
      </w:pPr>
      <w:r>
        <w:t xml:space="preserve">cc.  </w:t>
      </w:r>
      <w:r>
        <w:rPr>
          <w:i/>
        </w:rPr>
        <w:t>The standard does not restrict the value @clearContents when @name=XLMDX.</w:t>
      </w:r>
    </w:p>
    <w:p w:rsidR="00024C0A" w:rsidRDefault="00694C0F">
      <w:pPr>
        <w:pStyle w:val="Definition-Field2"/>
      </w:pPr>
      <w:r>
        <w:t>Office requires that the value @clearContents shall not be true when @name=XLMDX.</w:t>
      </w:r>
    </w:p>
    <w:p w:rsidR="00024C0A" w:rsidRDefault="00694C0F">
      <w:pPr>
        <w:pStyle w:val="Definition-Field"/>
      </w:pPr>
      <w:r>
        <w:t xml:space="preserve">dd. </w:t>
      </w:r>
      <w:r>
        <w:t xml:space="preserve"> </w:t>
      </w:r>
      <w:r>
        <w:rPr>
          <w:i/>
        </w:rPr>
        <w:t>The standard does not restrict the value @clearFormats when @name=XLMDX.</w:t>
      </w:r>
    </w:p>
    <w:p w:rsidR="00024C0A" w:rsidRDefault="00694C0F">
      <w:pPr>
        <w:pStyle w:val="Definition-Field2"/>
      </w:pPr>
      <w:r>
        <w:lastRenderedPageBreak/>
        <w:t>Office requires that the value @clearFormats shall be true when @name=XLMDX.</w:t>
      </w:r>
    </w:p>
    <w:p w:rsidR="00024C0A" w:rsidRDefault="00694C0F">
      <w:pPr>
        <w:pStyle w:val="Definition-Field"/>
      </w:pPr>
      <w:r>
        <w:t xml:space="preserve">ee.  </w:t>
      </w:r>
      <w:r>
        <w:rPr>
          <w:i/>
        </w:rPr>
        <w:t>The standard does not restrict the value @coerce when @name=XLMDX.</w:t>
      </w:r>
    </w:p>
    <w:p w:rsidR="00024C0A" w:rsidRDefault="00694C0F">
      <w:pPr>
        <w:pStyle w:val="Definition-Field2"/>
      </w:pPr>
      <w:r>
        <w:t>Office requires that the value @c</w:t>
      </w:r>
      <w:r>
        <w:t>oerce shall be true when @name=XLMDX.</w:t>
      </w:r>
    </w:p>
    <w:p w:rsidR="00024C0A" w:rsidRDefault="00694C0F">
      <w:pPr>
        <w:pStyle w:val="Definition-Field"/>
      </w:pPr>
      <w:r>
        <w:t xml:space="preserve">ff.  </w:t>
      </w:r>
      <w:r>
        <w:rPr>
          <w:i/>
        </w:rPr>
        <w:t>The standard does not restrict the value @copy when @name=XLMDX.</w:t>
      </w:r>
    </w:p>
    <w:p w:rsidR="00024C0A" w:rsidRDefault="00694C0F">
      <w:pPr>
        <w:pStyle w:val="Definition-Field2"/>
      </w:pPr>
      <w:r>
        <w:t>Office requires that the value @copy shall be true when @name=XLMDX.</w:t>
      </w:r>
    </w:p>
    <w:p w:rsidR="00024C0A" w:rsidRDefault="00694C0F">
      <w:pPr>
        <w:pStyle w:val="Definition-Field"/>
      </w:pPr>
      <w:r>
        <w:t xml:space="preserve">gg.  </w:t>
      </w:r>
      <w:r>
        <w:rPr>
          <w:i/>
        </w:rPr>
        <w:t>The standard does not restrict the value @delete when @name=XLMDX.</w:t>
      </w:r>
    </w:p>
    <w:p w:rsidR="00024C0A" w:rsidRDefault="00694C0F">
      <w:pPr>
        <w:pStyle w:val="Definition-Field2"/>
      </w:pPr>
      <w:r>
        <w:t xml:space="preserve">Office </w:t>
      </w:r>
      <w:r>
        <w:t>requires that the value @delete shall not be true when @name=XLMDX.</w:t>
      </w:r>
    </w:p>
    <w:p w:rsidR="00024C0A" w:rsidRDefault="00694C0F">
      <w:pPr>
        <w:pStyle w:val="Definition-Field"/>
      </w:pPr>
      <w:r>
        <w:t xml:space="preserve">hh.  </w:t>
      </w:r>
      <w:r>
        <w:rPr>
          <w:i/>
        </w:rPr>
        <w:t>The standard does not restrict the value @edit when @name=XLMDX.</w:t>
      </w:r>
    </w:p>
    <w:p w:rsidR="00024C0A" w:rsidRDefault="00694C0F">
      <w:pPr>
        <w:pStyle w:val="Definition-Field2"/>
      </w:pPr>
      <w:r>
        <w:t>Office requires that the value @edit shall not be true when @name=XLMDX.</w:t>
      </w:r>
    </w:p>
    <w:p w:rsidR="00024C0A" w:rsidRDefault="00694C0F">
      <w:pPr>
        <w:pStyle w:val="Definition-Field"/>
      </w:pPr>
      <w:r>
        <w:t xml:space="preserve">ii.  </w:t>
      </w:r>
      <w:r>
        <w:rPr>
          <w:i/>
        </w:rPr>
        <w:t>The standard does not restrict the value</w:t>
      </w:r>
      <w:r>
        <w:rPr>
          <w:i/>
        </w:rPr>
        <w:t xml:space="preserve"> @ghostCol when @name=XLMDX.</w:t>
      </w:r>
    </w:p>
    <w:p w:rsidR="00024C0A" w:rsidRDefault="00694C0F">
      <w:pPr>
        <w:pStyle w:val="Definition-Field2"/>
      </w:pPr>
      <w:r>
        <w:t>Office requires that the value @ghostCol shall not be true when @name=XLMDX.</w:t>
      </w:r>
    </w:p>
    <w:p w:rsidR="00024C0A" w:rsidRDefault="00694C0F">
      <w:pPr>
        <w:pStyle w:val="Definition-Field"/>
      </w:pPr>
      <w:r>
        <w:t xml:space="preserve">jj.  </w:t>
      </w:r>
      <w:r>
        <w:rPr>
          <w:i/>
        </w:rPr>
        <w:t>The standard does not restrict the value @ghostRow when @name=XLMDX.</w:t>
      </w:r>
    </w:p>
    <w:p w:rsidR="00024C0A" w:rsidRDefault="00694C0F">
      <w:pPr>
        <w:pStyle w:val="Definition-Field2"/>
      </w:pPr>
      <w:r>
        <w:t>Office requires that the value @ghostRow shall not be true when @name=XLMDX.</w:t>
      </w:r>
    </w:p>
    <w:p w:rsidR="00024C0A" w:rsidRDefault="00694C0F">
      <w:pPr>
        <w:pStyle w:val="Definition-Field"/>
      </w:pPr>
      <w:r>
        <w:t xml:space="preserve">kk.  </w:t>
      </w:r>
      <w:r>
        <w:rPr>
          <w:i/>
        </w:rPr>
        <w:t>The standard does not restrict the value @merge when @name=XLMDX.</w:t>
      </w:r>
    </w:p>
    <w:p w:rsidR="00024C0A" w:rsidRDefault="00694C0F">
      <w:pPr>
        <w:pStyle w:val="Definition-Field2"/>
      </w:pPr>
      <w:r>
        <w:t>Office requires that the value @merge shall be true when @name=XLMDX.</w:t>
      </w:r>
    </w:p>
    <w:p w:rsidR="00024C0A" w:rsidRDefault="00694C0F">
      <w:pPr>
        <w:pStyle w:val="Definition-Field"/>
      </w:pPr>
      <w:r>
        <w:t xml:space="preserve">ll.  </w:t>
      </w:r>
      <w:r>
        <w:rPr>
          <w:i/>
        </w:rPr>
        <w:t>The standard does not restrict the value @pasteAll when @name=XLMDX.</w:t>
      </w:r>
    </w:p>
    <w:p w:rsidR="00024C0A" w:rsidRDefault="00694C0F">
      <w:pPr>
        <w:pStyle w:val="Definition-Field2"/>
      </w:pPr>
      <w:r>
        <w:t>Office requires that the value @pasteAll</w:t>
      </w:r>
      <w:r>
        <w:t xml:space="preserve"> shall be true when @name=XLMDX.</w:t>
      </w:r>
    </w:p>
    <w:p w:rsidR="00024C0A" w:rsidRDefault="00694C0F">
      <w:pPr>
        <w:pStyle w:val="Definition-Field"/>
      </w:pPr>
      <w:r>
        <w:t xml:space="preserve">mm.  </w:t>
      </w:r>
      <w:r>
        <w:rPr>
          <w:i/>
        </w:rPr>
        <w:t>The standard does not restrict the value @pasteBorders when @name=XLMDX.</w:t>
      </w:r>
    </w:p>
    <w:p w:rsidR="00024C0A" w:rsidRDefault="00694C0F">
      <w:pPr>
        <w:pStyle w:val="Definition-Field2"/>
      </w:pPr>
      <w:r>
        <w:t>Office requires that the value @pasteBorders shall not be true when @name=XLMDX.</w:t>
      </w:r>
    </w:p>
    <w:p w:rsidR="00024C0A" w:rsidRDefault="00694C0F">
      <w:pPr>
        <w:pStyle w:val="Definition-Field"/>
      </w:pPr>
      <w:r>
        <w:t xml:space="preserve">nn.  </w:t>
      </w:r>
      <w:r>
        <w:rPr>
          <w:i/>
        </w:rPr>
        <w:t>The standard does not restrict the value @pasteColWidths wh</w:t>
      </w:r>
      <w:r>
        <w:rPr>
          <w:i/>
        </w:rPr>
        <w:t>en @name=XLMDX.</w:t>
      </w:r>
    </w:p>
    <w:p w:rsidR="00024C0A" w:rsidRDefault="00694C0F">
      <w:pPr>
        <w:pStyle w:val="Definition-Field2"/>
      </w:pPr>
      <w:r>
        <w:t>Office requires that the value @pasteColWidths shall not be true when @name=XLMDX.</w:t>
      </w:r>
    </w:p>
    <w:p w:rsidR="00024C0A" w:rsidRDefault="00694C0F">
      <w:pPr>
        <w:pStyle w:val="Definition-Field"/>
      </w:pPr>
      <w:r>
        <w:t xml:space="preserve">oo.  </w:t>
      </w:r>
      <w:r>
        <w:rPr>
          <w:i/>
        </w:rPr>
        <w:t>The standard does not restrict the value @pasteComments when @name=XLMDX.</w:t>
      </w:r>
    </w:p>
    <w:p w:rsidR="00024C0A" w:rsidRDefault="00694C0F">
      <w:pPr>
        <w:pStyle w:val="Definition-Field2"/>
      </w:pPr>
      <w:r>
        <w:t xml:space="preserve">Office requires that the value @pasteComments shall not be true when </w:t>
      </w:r>
      <w:r>
        <w:t>@name=XLMDX.</w:t>
      </w:r>
    </w:p>
    <w:p w:rsidR="00024C0A" w:rsidRDefault="00694C0F">
      <w:pPr>
        <w:pStyle w:val="Definition-Field"/>
      </w:pPr>
      <w:r>
        <w:t xml:space="preserve">pp.  </w:t>
      </w:r>
      <w:r>
        <w:rPr>
          <w:i/>
        </w:rPr>
        <w:t>The standard does not restrict the value @pasteDataValidation when @name=XLMDX.</w:t>
      </w:r>
    </w:p>
    <w:p w:rsidR="00024C0A" w:rsidRDefault="00694C0F">
      <w:pPr>
        <w:pStyle w:val="Definition-Field2"/>
      </w:pPr>
      <w:r>
        <w:t>Office requires that the value @pasteDataValidation shall not be true when @name=XLMDX.</w:t>
      </w:r>
    </w:p>
    <w:p w:rsidR="00024C0A" w:rsidRDefault="00694C0F">
      <w:pPr>
        <w:pStyle w:val="Definition-Field"/>
      </w:pPr>
      <w:r>
        <w:t xml:space="preserve">qq.  </w:t>
      </w:r>
      <w:r>
        <w:rPr>
          <w:i/>
        </w:rPr>
        <w:t>The standard does not restrict the value @pasteFormats when @name</w:t>
      </w:r>
      <w:r>
        <w:rPr>
          <w:i/>
        </w:rPr>
        <w:t>=XLMDX.</w:t>
      </w:r>
    </w:p>
    <w:p w:rsidR="00024C0A" w:rsidRDefault="00694C0F">
      <w:pPr>
        <w:pStyle w:val="Definition-Field2"/>
      </w:pPr>
      <w:r>
        <w:t>Office requires that the value @pasteFormats shall not be true when @name=XLMDX.</w:t>
      </w:r>
    </w:p>
    <w:p w:rsidR="00024C0A" w:rsidRDefault="00694C0F">
      <w:pPr>
        <w:pStyle w:val="Definition-Field"/>
      </w:pPr>
      <w:r>
        <w:t xml:space="preserve">rr.  </w:t>
      </w:r>
      <w:r>
        <w:rPr>
          <w:i/>
        </w:rPr>
        <w:t>The standard does not restrict the value @pasteFormulas when @name=XLMDX.</w:t>
      </w:r>
    </w:p>
    <w:p w:rsidR="00024C0A" w:rsidRDefault="00694C0F">
      <w:pPr>
        <w:pStyle w:val="Definition-Field2"/>
      </w:pPr>
      <w:r>
        <w:t>Office requires that the value @pasteFormulas shall not be true when @name=XLMDX.</w:t>
      </w:r>
    </w:p>
    <w:p w:rsidR="00024C0A" w:rsidRDefault="00694C0F">
      <w:pPr>
        <w:pStyle w:val="Definition-Field"/>
      </w:pPr>
      <w:r>
        <w:t xml:space="preserve">ss.  </w:t>
      </w:r>
      <w:r>
        <w:rPr>
          <w:i/>
        </w:rPr>
        <w:t>T</w:t>
      </w:r>
      <w:r>
        <w:rPr>
          <w:i/>
        </w:rPr>
        <w:t>he standard does not restrict the value @pasteValues when @name=XLMDX.</w:t>
      </w:r>
    </w:p>
    <w:p w:rsidR="00024C0A" w:rsidRDefault="00694C0F">
      <w:pPr>
        <w:pStyle w:val="Definition-Field2"/>
      </w:pPr>
      <w:r>
        <w:t>Office requires that the value @pasteValues shall be true when @name=XLMDX.</w:t>
      </w:r>
    </w:p>
    <w:p w:rsidR="00024C0A" w:rsidRDefault="00694C0F">
      <w:pPr>
        <w:pStyle w:val="Definition-Field"/>
      </w:pPr>
      <w:r>
        <w:t xml:space="preserve">tt.  </w:t>
      </w:r>
      <w:r>
        <w:rPr>
          <w:i/>
        </w:rPr>
        <w:t>The standard does not restrict the value @pasteNumberFormats when @name=XLMDX.</w:t>
      </w:r>
    </w:p>
    <w:p w:rsidR="00024C0A" w:rsidRDefault="00694C0F">
      <w:pPr>
        <w:pStyle w:val="Definition-Field2"/>
      </w:pPr>
      <w:r>
        <w:lastRenderedPageBreak/>
        <w:t xml:space="preserve">Office requires that the </w:t>
      </w:r>
      <w:r>
        <w:t>value @pasteNumberFormats shall not be true when @name=XLMDX.</w:t>
      </w:r>
    </w:p>
    <w:p w:rsidR="00024C0A" w:rsidRDefault="00694C0F">
      <w:pPr>
        <w:pStyle w:val="Definition-Field"/>
      </w:pPr>
      <w:r>
        <w:t xml:space="preserve">uu.  </w:t>
      </w:r>
      <w:r>
        <w:rPr>
          <w:i/>
        </w:rPr>
        <w:t>The standard does not restrict the value @rowColShift when @name=XLMDX.</w:t>
      </w:r>
    </w:p>
    <w:p w:rsidR="00024C0A" w:rsidRDefault="00694C0F">
      <w:pPr>
        <w:pStyle w:val="Definition-Field2"/>
      </w:pPr>
      <w:r>
        <w:t>Office requires that the value @rowColShift shall be true when @name=XLMDX.</w:t>
      </w:r>
    </w:p>
    <w:p w:rsidR="00024C0A" w:rsidRDefault="00694C0F">
      <w:pPr>
        <w:pStyle w:val="Definition-Field"/>
      </w:pPr>
      <w:r>
        <w:t xml:space="preserve">vv.  </w:t>
      </w:r>
      <w:r>
        <w:rPr>
          <w:i/>
        </w:rPr>
        <w:t>The standard does not restrict the v</w:t>
      </w:r>
      <w:r>
        <w:rPr>
          <w:i/>
        </w:rPr>
        <w:t>alue @splitAll when @name=XLMDX.</w:t>
      </w:r>
    </w:p>
    <w:p w:rsidR="00024C0A" w:rsidRDefault="00694C0F">
      <w:pPr>
        <w:pStyle w:val="Definition-Field2"/>
      </w:pPr>
      <w:r>
        <w:t>Office requires that the value @splitAll shall not be true when @name=XLMDX.</w:t>
      </w:r>
    </w:p>
    <w:p w:rsidR="00024C0A" w:rsidRDefault="00694C0F">
      <w:pPr>
        <w:pStyle w:val="Definition-Field"/>
      </w:pPr>
      <w:r>
        <w:t xml:space="preserve">ww.  </w:t>
      </w:r>
      <w:r>
        <w:rPr>
          <w:i/>
        </w:rPr>
        <w:t>The standard does not restrict the value @splitFirst when @name=XLMDX.</w:t>
      </w:r>
    </w:p>
    <w:p w:rsidR="00024C0A" w:rsidRDefault="00694C0F">
      <w:pPr>
        <w:pStyle w:val="Definition-Field2"/>
      </w:pPr>
      <w:r>
        <w:t>Office requires that the value @splitFirst shall be true when @name=XL</w:t>
      </w:r>
      <w:r>
        <w:t>MDX.</w:t>
      </w:r>
    </w:p>
    <w:p w:rsidR="00024C0A" w:rsidRDefault="00694C0F">
      <w:pPr>
        <w:pStyle w:val="Heading3"/>
      </w:pPr>
      <w:bookmarkStart w:id="1473" w:name="section_05e9eaad291e4fa1886e5ce683c43048"/>
      <w:bookmarkStart w:id="1474" w:name="_Toc12260797"/>
      <w:r>
        <w:t>Part 1 Section 18.9.11, metadataTypes (Metadata Types Collection)</w:t>
      </w:r>
      <w:bookmarkEnd w:id="1473"/>
      <w:bookmarkEnd w:id="1474"/>
      <w:r>
        <w:fldChar w:fldCharType="begin"/>
      </w:r>
      <w:r>
        <w:instrText xml:space="preserve"> XE "metadataTypes (Metadata Types Collection)" </w:instrText>
      </w:r>
      <w:r>
        <w:fldChar w:fldCharType="end"/>
      </w:r>
    </w:p>
    <w:p w:rsidR="00024C0A" w:rsidRDefault="00694C0F">
      <w:pPr>
        <w:pStyle w:val="Definition-Field"/>
      </w:pPr>
      <w:r>
        <w:t xml:space="preserve">a.   </w:t>
      </w:r>
      <w:r>
        <w:rPr>
          <w:i/>
        </w:rPr>
        <w:t>The standard states that the values of the count attribute are defined by the XML Schema unsignedInt datatype.</w:t>
      </w:r>
    </w:p>
    <w:p w:rsidR="00024C0A" w:rsidRDefault="00694C0F">
      <w:pPr>
        <w:pStyle w:val="Definition-Field2"/>
      </w:pPr>
      <w:r>
        <w:t>Office requires tha</w:t>
      </w:r>
      <w:r>
        <w:t>t the count attribute have a maximum value of 2147483647.</w:t>
      </w:r>
    </w:p>
    <w:p w:rsidR="00024C0A" w:rsidRDefault="00694C0F">
      <w:pPr>
        <w:pStyle w:val="Heading3"/>
      </w:pPr>
      <w:bookmarkStart w:id="1475" w:name="section_6612d3346b3a463893d847b28879a01f"/>
      <w:bookmarkStart w:id="1476" w:name="_Toc12260798"/>
      <w:r>
        <w:t>Part 1 Section 18.9.12, ms (Set MDX Metadata)</w:t>
      </w:r>
      <w:bookmarkEnd w:id="1475"/>
      <w:bookmarkEnd w:id="1476"/>
      <w:r>
        <w:fldChar w:fldCharType="begin"/>
      </w:r>
      <w:r>
        <w:instrText xml:space="preserve"> XE "ms (Set MDX Metadata)" </w:instrText>
      </w:r>
      <w:r>
        <w:fldChar w:fldCharType="end"/>
      </w:r>
    </w:p>
    <w:p w:rsidR="00024C0A" w:rsidRDefault="00694C0F">
      <w:pPr>
        <w:pStyle w:val="Definition-Field"/>
      </w:pPr>
      <w:r>
        <w:t xml:space="preserve">a.   </w:t>
      </w:r>
      <w:r>
        <w:rPr>
          <w:i/>
        </w:rPr>
        <w:t>The standard describes the ns attribute as an unsigned integer with 32 significant bits.</w:t>
      </w:r>
    </w:p>
    <w:p w:rsidR="00024C0A" w:rsidRDefault="00694C0F">
      <w:pPr>
        <w:pStyle w:val="Definition-Field2"/>
      </w:pPr>
      <w:r>
        <w:t>Office requires that the val</w:t>
      </w:r>
      <w:r>
        <w:t>ue be between 0 and 2147483647 inclusive.</w:t>
      </w:r>
    </w:p>
    <w:p w:rsidR="00024C0A" w:rsidRDefault="00694C0F">
      <w:pPr>
        <w:pStyle w:val="Definition-Field"/>
      </w:pPr>
      <w:r>
        <w:t xml:space="preserve">b.   </w:t>
      </w:r>
      <w:r>
        <w:rPr>
          <w:i/>
        </w:rPr>
        <w:t>The standard describes the @c as an unsigned integer with 32 significant bits.</w:t>
      </w:r>
    </w:p>
    <w:p w:rsidR="00024C0A" w:rsidRDefault="00694C0F">
      <w:pPr>
        <w:pStyle w:val="Definition-Field2"/>
      </w:pPr>
      <w:r>
        <w:t>Office requires that the value be between 0 and 2147483647 inclusive.</w:t>
      </w:r>
    </w:p>
    <w:p w:rsidR="00024C0A" w:rsidRDefault="00694C0F">
      <w:pPr>
        <w:pStyle w:val="Heading3"/>
      </w:pPr>
      <w:bookmarkStart w:id="1477" w:name="section_e15c9df90ad44f7c979ad268c7ac9e3e"/>
      <w:bookmarkStart w:id="1478" w:name="_Toc12260799"/>
      <w:r>
        <w:t>Part 1 Section 18.9.13, n (Member Unique Name Index)</w:t>
      </w:r>
      <w:bookmarkEnd w:id="1477"/>
      <w:bookmarkEnd w:id="1478"/>
      <w:r>
        <w:fldChar w:fldCharType="begin"/>
      </w:r>
      <w:r>
        <w:instrText xml:space="preserve"> XE "n (</w:instrText>
      </w:r>
      <w:r>
        <w:instrText xml:space="preserve">Member Unique Name Index)" </w:instrText>
      </w:r>
      <w:r>
        <w:fldChar w:fldCharType="end"/>
      </w:r>
    </w:p>
    <w:p w:rsidR="00024C0A" w:rsidRDefault="00694C0F">
      <w:pPr>
        <w:pStyle w:val="Definition-Field"/>
      </w:pPr>
      <w:r>
        <w:t xml:space="preserve">a.   </w:t>
      </w:r>
      <w:r>
        <w:rPr>
          <w:i/>
        </w:rPr>
        <w:t>The standard states that the values of the x attribute are defined by the XML Schema unsignedInt datatype.</w:t>
      </w:r>
    </w:p>
    <w:p w:rsidR="00024C0A" w:rsidRDefault="00694C0F">
      <w:pPr>
        <w:pStyle w:val="Definition-Field2"/>
      </w:pPr>
      <w:r>
        <w:t>Office requires that the x attribute has a maximum value of 2147483647.</w:t>
      </w:r>
    </w:p>
    <w:p w:rsidR="00024C0A" w:rsidRDefault="00694C0F">
      <w:pPr>
        <w:pStyle w:val="Heading3"/>
      </w:pPr>
      <w:bookmarkStart w:id="1479" w:name="section_920bba5747714fc3a39c9e6307c798e1"/>
      <w:bookmarkStart w:id="1480" w:name="_Toc12260800"/>
      <w:r>
        <w:t>Part 1 Section 18.9.14, p (Member Property</w:t>
      </w:r>
      <w:r>
        <w:t xml:space="preserve"> MDX Metadata)</w:t>
      </w:r>
      <w:bookmarkEnd w:id="1479"/>
      <w:bookmarkEnd w:id="1480"/>
      <w:r>
        <w:fldChar w:fldCharType="begin"/>
      </w:r>
      <w:r>
        <w:instrText xml:space="preserve"> XE "p (Member Property MDX Metadata)" </w:instrText>
      </w:r>
      <w:r>
        <w:fldChar w:fldCharType="end"/>
      </w:r>
    </w:p>
    <w:p w:rsidR="00024C0A" w:rsidRDefault="00694C0F">
      <w:pPr>
        <w:pStyle w:val="Definition-Field"/>
      </w:pPr>
      <w:r>
        <w:t xml:space="preserve">a.   </w:t>
      </w:r>
      <w:r>
        <w:rPr>
          <w:i/>
        </w:rPr>
        <w:t>The standard states that the values of the n attribute are defined by the XML Schema unsignedInt datatype.</w:t>
      </w:r>
    </w:p>
    <w:p w:rsidR="00024C0A" w:rsidRDefault="00694C0F">
      <w:pPr>
        <w:pStyle w:val="Definition-Field2"/>
      </w:pPr>
      <w:r>
        <w:t>Office requires that the n attribute has a maximum value of 2147483647.</w:t>
      </w:r>
    </w:p>
    <w:p w:rsidR="00024C0A" w:rsidRDefault="00694C0F">
      <w:pPr>
        <w:pStyle w:val="Definition-Field"/>
      </w:pPr>
      <w:r>
        <w:t xml:space="preserve">b.   </w:t>
      </w:r>
      <w:r>
        <w:rPr>
          <w:i/>
        </w:rPr>
        <w:t xml:space="preserve">The </w:t>
      </w:r>
      <w:r>
        <w:rPr>
          <w:i/>
        </w:rPr>
        <w:t>standard states that the values of the np attribute are defined by the XML Schema unsignedInt datatype.</w:t>
      </w:r>
    </w:p>
    <w:p w:rsidR="00024C0A" w:rsidRDefault="00694C0F">
      <w:pPr>
        <w:pStyle w:val="Definition-Field2"/>
      </w:pPr>
      <w:r>
        <w:t>Office requires that the np attribute has a maximum value of 2147483647.</w:t>
      </w:r>
    </w:p>
    <w:p w:rsidR="00024C0A" w:rsidRDefault="00694C0F">
      <w:pPr>
        <w:pStyle w:val="Heading3"/>
      </w:pPr>
      <w:bookmarkStart w:id="1481" w:name="section_068a1e33b87d49c3b92406cf6033b8cc"/>
      <w:bookmarkStart w:id="1482" w:name="_Toc12260801"/>
      <w:r>
        <w:t>Part 1 Section 18.9.15, rc (Metadata Record)</w:t>
      </w:r>
      <w:bookmarkEnd w:id="1481"/>
      <w:bookmarkEnd w:id="1482"/>
      <w:r>
        <w:fldChar w:fldCharType="begin"/>
      </w:r>
      <w:r>
        <w:instrText xml:space="preserve"> XE "rc (Metadata Record)" </w:instrText>
      </w:r>
      <w:r>
        <w:fldChar w:fldCharType="end"/>
      </w:r>
    </w:p>
    <w:p w:rsidR="00024C0A" w:rsidRDefault="00694C0F">
      <w:pPr>
        <w:pStyle w:val="Definition-Field"/>
      </w:pPr>
      <w:r>
        <w:t xml:space="preserve">a.   </w:t>
      </w:r>
      <w:r>
        <w:rPr>
          <w:i/>
        </w:rPr>
        <w:t>The standard states that the values of the t attribute are defined by the XML Schema unsignedInt datatype.</w:t>
      </w:r>
    </w:p>
    <w:p w:rsidR="00024C0A" w:rsidRDefault="00694C0F">
      <w:pPr>
        <w:pStyle w:val="Definition-Field2"/>
      </w:pPr>
      <w:r>
        <w:t>Office requires that the t attribute has a maximum value of 2147483647.</w:t>
      </w:r>
    </w:p>
    <w:p w:rsidR="00024C0A" w:rsidRDefault="00694C0F">
      <w:pPr>
        <w:pStyle w:val="Heading3"/>
      </w:pPr>
      <w:bookmarkStart w:id="1483" w:name="section_7497a2d02d184fe5a58079bc7ad04497"/>
      <w:bookmarkStart w:id="1484" w:name="_Toc12260802"/>
      <w:r>
        <w:lastRenderedPageBreak/>
        <w:t>Part 1 Section 18.9.16, t (Tuple MDX Metadata)</w:t>
      </w:r>
      <w:bookmarkEnd w:id="1483"/>
      <w:bookmarkEnd w:id="1484"/>
      <w:r>
        <w:fldChar w:fldCharType="begin"/>
      </w:r>
      <w:r>
        <w:instrText xml:space="preserve"> XE "t (Tuple MDX Metadata)" </w:instrText>
      </w:r>
      <w:r>
        <w:fldChar w:fldCharType="end"/>
      </w:r>
    </w:p>
    <w:p w:rsidR="00024C0A" w:rsidRDefault="00694C0F">
      <w:pPr>
        <w:pStyle w:val="Definition-Field"/>
      </w:pPr>
      <w:r>
        <w:t xml:space="preserve">a.   </w:t>
      </w:r>
      <w:r>
        <w:rPr>
          <w:i/>
        </w:rPr>
        <w:t>The standard has no restriction on whether ct can be present along with fi and/or si.</w:t>
      </w:r>
    </w:p>
    <w:p w:rsidR="00024C0A" w:rsidRDefault="00694C0F">
      <w:pPr>
        <w:pStyle w:val="Definition-Field2"/>
      </w:pPr>
      <w:r>
        <w:t>Office requires that @ct must not be specified if either @si or @fi is specified.</w:t>
      </w:r>
    </w:p>
    <w:p w:rsidR="00024C0A" w:rsidRDefault="00694C0F">
      <w:pPr>
        <w:pStyle w:val="Definition-Field"/>
      </w:pPr>
      <w:r>
        <w:t xml:space="preserve">b.   </w:t>
      </w:r>
      <w:r>
        <w:rPr>
          <w:i/>
        </w:rPr>
        <w:t>The standard defines the attribute si as an xsd:unsignedInt.</w:t>
      </w:r>
    </w:p>
    <w:p w:rsidR="00024C0A" w:rsidRDefault="00694C0F">
      <w:pPr>
        <w:pStyle w:val="Definition-Field2"/>
      </w:pPr>
      <w:r>
        <w:t>In Office, @si h</w:t>
      </w:r>
      <w:r>
        <w:t>as a maximum value of less than or equal to 2147483647.</w:t>
      </w:r>
    </w:p>
    <w:p w:rsidR="00024C0A" w:rsidRDefault="00694C0F">
      <w:pPr>
        <w:pStyle w:val="Definition-Field"/>
      </w:pPr>
      <w:r>
        <w:t xml:space="preserve">c.   </w:t>
      </w:r>
      <w:r>
        <w:rPr>
          <w:i/>
        </w:rPr>
        <w:t>The standard defines the attribute c as an xsd:unsignedInt.</w:t>
      </w:r>
    </w:p>
    <w:p w:rsidR="00024C0A" w:rsidRDefault="00694C0F">
      <w:pPr>
        <w:pStyle w:val="Definition-Field2"/>
      </w:pPr>
      <w:r>
        <w:t>In Office, @c has a maximum value of less than or equal to 2147483647.</w:t>
      </w:r>
    </w:p>
    <w:p w:rsidR="00024C0A" w:rsidRDefault="00694C0F">
      <w:pPr>
        <w:pStyle w:val="Definition-Field"/>
      </w:pPr>
      <w:r>
        <w:t xml:space="preserve">d.   </w:t>
      </w:r>
      <w:r>
        <w:rPr>
          <w:i/>
        </w:rPr>
        <w:t>The standard does not restrict the value of @fi beyond unsi</w:t>
      </w:r>
      <w:r>
        <w:rPr>
          <w:i/>
        </w:rPr>
        <w:t>gned int.</w:t>
      </w:r>
    </w:p>
    <w:p w:rsidR="00024C0A" w:rsidRDefault="00694C0F">
      <w:pPr>
        <w:pStyle w:val="Definition-Field2"/>
      </w:pPr>
      <w:r>
        <w:t>Office requires that @fi have a maximum value of 58.</w:t>
      </w:r>
    </w:p>
    <w:p w:rsidR="00024C0A" w:rsidRDefault="00694C0F">
      <w:pPr>
        <w:pStyle w:val="Definition-Field"/>
      </w:pPr>
      <w:r>
        <w:t xml:space="preserve">e.   </w:t>
      </w:r>
      <w:r>
        <w:rPr>
          <w:i/>
        </w:rPr>
        <w:t>The standard does not specify whether @si is a 0-based or 1-based index.</w:t>
      </w:r>
    </w:p>
    <w:p w:rsidR="00024C0A" w:rsidRDefault="00694C0F">
      <w:pPr>
        <w:pStyle w:val="Definition-Field2"/>
      </w:pPr>
      <w:r>
        <w:t>Office specifies @si is a 0-based index to a metadata string.</w:t>
      </w:r>
    </w:p>
    <w:p w:rsidR="00024C0A" w:rsidRDefault="00694C0F">
      <w:pPr>
        <w:pStyle w:val="Definition-Field"/>
      </w:pPr>
      <w:r>
        <w:t xml:space="preserve">f.   </w:t>
      </w:r>
      <w:r>
        <w:rPr>
          <w:i/>
        </w:rPr>
        <w:t>The standard does not limit the values of @ct.</w:t>
      </w:r>
    </w:p>
    <w:p w:rsidR="00024C0A" w:rsidRDefault="00694C0F">
      <w:r>
        <w:t>S</w:t>
      </w:r>
      <w:r>
        <w:t>pecifies a language used to determine the currency symbol to display for currency values. For example, if the culture is en-US, the values in the application will format the values with a dollar sign. If the culture is fr-FR the application will format the</w:t>
      </w:r>
      <w:r>
        <w:t xml:space="preserve"> values with a euro sign.</w:t>
      </w:r>
    </w:p>
    <w:p w:rsidR="00024C0A" w:rsidRDefault="00694C0F">
      <w:r>
        <w:t>This value conforms to the language tagging conventions of RFC 3066. The pattern &lt;language&gt;-&lt;REGION&gt; is used, for example, en-US or fr-FR.</w:t>
      </w:r>
    </w:p>
    <w:p w:rsidR="00024C0A" w:rsidRDefault="00694C0F">
      <w:r>
        <w:t>Office does not load a file in which this attribute contains a value that it does not recog</w:t>
      </w:r>
      <w:r>
        <w:t>nize, or is not recognized by the underlying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Language</w:t>
            </w:r>
          </w:p>
        </w:tc>
        <w:tc>
          <w:tcPr>
            <w:tcW w:w="0" w:type="auto"/>
            <w:vAlign w:val="center"/>
          </w:tcPr>
          <w:p w:rsidR="00024C0A" w:rsidRDefault="00694C0F">
            <w:pPr>
              <w:pStyle w:val="TableHeaderText"/>
            </w:pPr>
            <w:r>
              <w:t>Locale</w:t>
            </w:r>
          </w:p>
        </w:tc>
        <w:tc>
          <w:tcPr>
            <w:tcW w:w="0" w:type="auto"/>
            <w:vAlign w:val="center"/>
          </w:tcPr>
          <w:p w:rsidR="00024C0A" w:rsidRDefault="00694C0F">
            <w:pPr>
              <w:pStyle w:val="TableHeaderText"/>
            </w:pPr>
            <w:r>
              <w:t>Language Tag</w:t>
            </w:r>
          </w:p>
        </w:tc>
      </w:tr>
      <w:tr w:rsidR="00024C0A" w:rsidTr="00024C0A">
        <w:tc>
          <w:tcPr>
            <w:tcW w:w="0" w:type="auto"/>
            <w:vAlign w:val="center"/>
          </w:tcPr>
          <w:p w:rsidR="00024C0A" w:rsidRDefault="00694C0F">
            <w:pPr>
              <w:pStyle w:val="TableBodyText"/>
            </w:pPr>
            <w:r>
              <w:t>Africaans</w:t>
            </w:r>
          </w:p>
        </w:tc>
        <w:tc>
          <w:tcPr>
            <w:tcW w:w="0" w:type="auto"/>
            <w:vAlign w:val="center"/>
          </w:tcPr>
          <w:p w:rsidR="00024C0A" w:rsidRDefault="00694C0F">
            <w:pPr>
              <w:pStyle w:val="TableBodyText"/>
            </w:pPr>
            <w:r>
              <w:t>South Africa</w:t>
            </w:r>
          </w:p>
        </w:tc>
        <w:tc>
          <w:tcPr>
            <w:tcW w:w="0" w:type="auto"/>
            <w:vAlign w:val="center"/>
          </w:tcPr>
          <w:p w:rsidR="00024C0A" w:rsidRDefault="00694C0F">
            <w:pPr>
              <w:pStyle w:val="TableBodyText"/>
            </w:pPr>
            <w:r>
              <w:t>af-ZA</w:t>
            </w:r>
          </w:p>
        </w:tc>
      </w:tr>
      <w:tr w:rsidR="00024C0A" w:rsidTr="00024C0A">
        <w:tc>
          <w:tcPr>
            <w:tcW w:w="0" w:type="auto"/>
            <w:vAlign w:val="center"/>
          </w:tcPr>
          <w:p w:rsidR="00024C0A" w:rsidRDefault="00694C0F">
            <w:pPr>
              <w:pStyle w:val="TableBodyText"/>
            </w:pPr>
            <w:r>
              <w:t>Albanian</w:t>
            </w:r>
          </w:p>
        </w:tc>
        <w:tc>
          <w:tcPr>
            <w:tcW w:w="0" w:type="auto"/>
            <w:vAlign w:val="center"/>
          </w:tcPr>
          <w:p w:rsidR="00024C0A" w:rsidRDefault="00694C0F">
            <w:pPr>
              <w:pStyle w:val="TableBodyText"/>
            </w:pPr>
            <w:r>
              <w:t>Albanian</w:t>
            </w:r>
          </w:p>
        </w:tc>
        <w:tc>
          <w:tcPr>
            <w:tcW w:w="0" w:type="auto"/>
            <w:vAlign w:val="center"/>
          </w:tcPr>
          <w:p w:rsidR="00024C0A" w:rsidRDefault="00694C0F">
            <w:pPr>
              <w:pStyle w:val="TableBodyText"/>
            </w:pPr>
            <w:r>
              <w:t>sq-AL</w:t>
            </w:r>
          </w:p>
        </w:tc>
      </w:tr>
      <w:tr w:rsidR="00024C0A" w:rsidTr="00024C0A">
        <w:tc>
          <w:tcPr>
            <w:tcW w:w="0" w:type="auto"/>
            <w:vAlign w:val="center"/>
          </w:tcPr>
          <w:p w:rsidR="00024C0A" w:rsidRDefault="00694C0F">
            <w:pPr>
              <w:pStyle w:val="TableBodyText"/>
            </w:pPr>
            <w:r>
              <w:t>Alsatian</w:t>
            </w:r>
          </w:p>
        </w:tc>
        <w:tc>
          <w:tcPr>
            <w:tcW w:w="0" w:type="auto"/>
            <w:vAlign w:val="center"/>
          </w:tcPr>
          <w:p w:rsidR="00024C0A" w:rsidRDefault="00694C0F">
            <w:pPr>
              <w:pStyle w:val="TableBodyText"/>
            </w:pPr>
            <w:r>
              <w:t>France</w:t>
            </w:r>
          </w:p>
        </w:tc>
        <w:tc>
          <w:tcPr>
            <w:tcW w:w="0" w:type="auto"/>
            <w:vAlign w:val="center"/>
          </w:tcPr>
          <w:p w:rsidR="00024C0A" w:rsidRDefault="00694C0F">
            <w:pPr>
              <w:pStyle w:val="TableBodyText"/>
            </w:pPr>
            <w:r>
              <w:t>gsw-FR</w:t>
            </w:r>
          </w:p>
        </w:tc>
      </w:tr>
      <w:tr w:rsidR="00024C0A" w:rsidTr="00024C0A">
        <w:tc>
          <w:tcPr>
            <w:tcW w:w="0" w:type="auto"/>
            <w:vAlign w:val="center"/>
          </w:tcPr>
          <w:p w:rsidR="00024C0A" w:rsidRDefault="00694C0F">
            <w:pPr>
              <w:pStyle w:val="TableBodyText"/>
            </w:pPr>
            <w:r>
              <w:t>Amharic</w:t>
            </w:r>
          </w:p>
        </w:tc>
        <w:tc>
          <w:tcPr>
            <w:tcW w:w="0" w:type="auto"/>
            <w:vAlign w:val="center"/>
          </w:tcPr>
          <w:p w:rsidR="00024C0A" w:rsidRDefault="00694C0F">
            <w:pPr>
              <w:pStyle w:val="TableBodyText"/>
            </w:pPr>
            <w:r>
              <w:t>Ethiopia</w:t>
            </w:r>
          </w:p>
        </w:tc>
        <w:tc>
          <w:tcPr>
            <w:tcW w:w="0" w:type="auto"/>
            <w:vAlign w:val="center"/>
          </w:tcPr>
          <w:p w:rsidR="00024C0A" w:rsidRDefault="00694C0F">
            <w:pPr>
              <w:pStyle w:val="TableBodyText"/>
            </w:pPr>
            <w:r>
              <w:t>am-ET</w:t>
            </w:r>
          </w:p>
        </w:tc>
      </w:tr>
      <w:tr w:rsidR="00024C0A" w:rsidTr="00024C0A">
        <w:tc>
          <w:tcPr>
            <w:tcW w:w="0" w:type="auto"/>
            <w:vAlign w:val="center"/>
          </w:tcPr>
          <w:p w:rsidR="00024C0A" w:rsidRDefault="00694C0F">
            <w:pPr>
              <w:pStyle w:val="TableBodyText"/>
            </w:pPr>
            <w:r>
              <w:t>Arabic</w:t>
            </w:r>
          </w:p>
        </w:tc>
        <w:tc>
          <w:tcPr>
            <w:tcW w:w="0" w:type="auto"/>
            <w:vAlign w:val="center"/>
          </w:tcPr>
          <w:p w:rsidR="00024C0A" w:rsidRDefault="00694C0F">
            <w:pPr>
              <w:pStyle w:val="TableBodyText"/>
            </w:pPr>
            <w:r>
              <w:t>Algeria</w:t>
            </w:r>
          </w:p>
        </w:tc>
        <w:tc>
          <w:tcPr>
            <w:tcW w:w="0" w:type="auto"/>
            <w:vAlign w:val="center"/>
          </w:tcPr>
          <w:p w:rsidR="00024C0A" w:rsidRDefault="00694C0F">
            <w:pPr>
              <w:pStyle w:val="TableBodyText"/>
            </w:pPr>
            <w:r>
              <w:t>ar-DZ</w:t>
            </w:r>
          </w:p>
        </w:tc>
      </w:tr>
      <w:tr w:rsidR="00024C0A" w:rsidTr="00024C0A">
        <w:tc>
          <w:tcPr>
            <w:tcW w:w="0" w:type="auto"/>
            <w:vAlign w:val="center"/>
          </w:tcPr>
          <w:p w:rsidR="00024C0A" w:rsidRDefault="00694C0F">
            <w:pPr>
              <w:pStyle w:val="TableBodyText"/>
            </w:pPr>
            <w:r>
              <w:t>Arabic</w:t>
            </w:r>
          </w:p>
        </w:tc>
        <w:tc>
          <w:tcPr>
            <w:tcW w:w="0" w:type="auto"/>
            <w:vAlign w:val="center"/>
          </w:tcPr>
          <w:p w:rsidR="00024C0A" w:rsidRDefault="00694C0F">
            <w:pPr>
              <w:pStyle w:val="TableBodyText"/>
            </w:pPr>
            <w:r>
              <w:t>Bahrain</w:t>
            </w:r>
          </w:p>
        </w:tc>
        <w:tc>
          <w:tcPr>
            <w:tcW w:w="0" w:type="auto"/>
            <w:vAlign w:val="center"/>
          </w:tcPr>
          <w:p w:rsidR="00024C0A" w:rsidRDefault="00694C0F">
            <w:pPr>
              <w:pStyle w:val="TableBodyText"/>
            </w:pPr>
            <w:r>
              <w:t>ar-BH</w:t>
            </w:r>
          </w:p>
        </w:tc>
      </w:tr>
      <w:tr w:rsidR="00024C0A" w:rsidTr="00024C0A">
        <w:tc>
          <w:tcPr>
            <w:tcW w:w="0" w:type="auto"/>
            <w:vAlign w:val="center"/>
          </w:tcPr>
          <w:p w:rsidR="00024C0A" w:rsidRDefault="00694C0F">
            <w:pPr>
              <w:pStyle w:val="TableBodyText"/>
            </w:pPr>
            <w:r>
              <w:t>Arabic</w:t>
            </w:r>
          </w:p>
        </w:tc>
        <w:tc>
          <w:tcPr>
            <w:tcW w:w="0" w:type="auto"/>
            <w:vAlign w:val="center"/>
          </w:tcPr>
          <w:p w:rsidR="00024C0A" w:rsidRDefault="00694C0F">
            <w:pPr>
              <w:pStyle w:val="TableBodyText"/>
            </w:pPr>
            <w:r>
              <w:t>Egypt</w:t>
            </w:r>
          </w:p>
        </w:tc>
        <w:tc>
          <w:tcPr>
            <w:tcW w:w="0" w:type="auto"/>
            <w:vAlign w:val="center"/>
          </w:tcPr>
          <w:p w:rsidR="00024C0A" w:rsidRDefault="00694C0F">
            <w:pPr>
              <w:pStyle w:val="TableBodyText"/>
            </w:pPr>
            <w:r>
              <w:t>ar-EG</w:t>
            </w:r>
          </w:p>
        </w:tc>
      </w:tr>
      <w:tr w:rsidR="00024C0A" w:rsidTr="00024C0A">
        <w:tc>
          <w:tcPr>
            <w:tcW w:w="0" w:type="auto"/>
            <w:vAlign w:val="center"/>
          </w:tcPr>
          <w:p w:rsidR="00024C0A" w:rsidRDefault="00694C0F">
            <w:pPr>
              <w:pStyle w:val="TableBodyText"/>
            </w:pPr>
            <w:r>
              <w:t>Arabic</w:t>
            </w:r>
          </w:p>
        </w:tc>
        <w:tc>
          <w:tcPr>
            <w:tcW w:w="0" w:type="auto"/>
            <w:vAlign w:val="center"/>
          </w:tcPr>
          <w:p w:rsidR="00024C0A" w:rsidRDefault="00694C0F">
            <w:pPr>
              <w:pStyle w:val="TableBodyText"/>
            </w:pPr>
            <w:r>
              <w:t>Iraq</w:t>
            </w:r>
          </w:p>
        </w:tc>
        <w:tc>
          <w:tcPr>
            <w:tcW w:w="0" w:type="auto"/>
            <w:vAlign w:val="center"/>
          </w:tcPr>
          <w:p w:rsidR="00024C0A" w:rsidRDefault="00694C0F">
            <w:pPr>
              <w:pStyle w:val="TableBodyText"/>
            </w:pPr>
            <w:r>
              <w:t>ar-IQ</w:t>
            </w:r>
          </w:p>
        </w:tc>
      </w:tr>
      <w:tr w:rsidR="00024C0A" w:rsidTr="00024C0A">
        <w:tc>
          <w:tcPr>
            <w:tcW w:w="0" w:type="auto"/>
            <w:vAlign w:val="center"/>
          </w:tcPr>
          <w:p w:rsidR="00024C0A" w:rsidRDefault="00694C0F">
            <w:pPr>
              <w:pStyle w:val="TableBodyText"/>
            </w:pPr>
            <w:r>
              <w:t>Arabic</w:t>
            </w:r>
          </w:p>
        </w:tc>
        <w:tc>
          <w:tcPr>
            <w:tcW w:w="0" w:type="auto"/>
            <w:vAlign w:val="center"/>
          </w:tcPr>
          <w:p w:rsidR="00024C0A" w:rsidRDefault="00694C0F">
            <w:pPr>
              <w:pStyle w:val="TableBodyText"/>
            </w:pPr>
            <w:r>
              <w:t>Jordan</w:t>
            </w:r>
          </w:p>
        </w:tc>
        <w:tc>
          <w:tcPr>
            <w:tcW w:w="0" w:type="auto"/>
            <w:vAlign w:val="center"/>
          </w:tcPr>
          <w:p w:rsidR="00024C0A" w:rsidRDefault="00694C0F">
            <w:pPr>
              <w:pStyle w:val="TableBodyText"/>
            </w:pPr>
            <w:r>
              <w:t>ar-JO</w:t>
            </w:r>
          </w:p>
        </w:tc>
      </w:tr>
      <w:tr w:rsidR="00024C0A" w:rsidTr="00024C0A">
        <w:tc>
          <w:tcPr>
            <w:tcW w:w="0" w:type="auto"/>
            <w:vAlign w:val="center"/>
          </w:tcPr>
          <w:p w:rsidR="00024C0A" w:rsidRDefault="00694C0F">
            <w:pPr>
              <w:pStyle w:val="TableBodyText"/>
            </w:pPr>
            <w:r>
              <w:t>Arabic</w:t>
            </w:r>
          </w:p>
        </w:tc>
        <w:tc>
          <w:tcPr>
            <w:tcW w:w="0" w:type="auto"/>
            <w:vAlign w:val="center"/>
          </w:tcPr>
          <w:p w:rsidR="00024C0A" w:rsidRDefault="00694C0F">
            <w:pPr>
              <w:pStyle w:val="TableBodyText"/>
            </w:pPr>
            <w:r>
              <w:t>Kuwait</w:t>
            </w:r>
          </w:p>
        </w:tc>
        <w:tc>
          <w:tcPr>
            <w:tcW w:w="0" w:type="auto"/>
            <w:vAlign w:val="center"/>
          </w:tcPr>
          <w:p w:rsidR="00024C0A" w:rsidRDefault="00694C0F">
            <w:pPr>
              <w:pStyle w:val="TableBodyText"/>
            </w:pPr>
            <w:r>
              <w:t>ar-KW</w:t>
            </w:r>
          </w:p>
        </w:tc>
      </w:tr>
      <w:tr w:rsidR="00024C0A" w:rsidTr="00024C0A">
        <w:tc>
          <w:tcPr>
            <w:tcW w:w="0" w:type="auto"/>
            <w:vAlign w:val="center"/>
          </w:tcPr>
          <w:p w:rsidR="00024C0A" w:rsidRDefault="00694C0F">
            <w:pPr>
              <w:pStyle w:val="TableBodyText"/>
            </w:pPr>
            <w:r>
              <w:t>Arabic</w:t>
            </w:r>
          </w:p>
        </w:tc>
        <w:tc>
          <w:tcPr>
            <w:tcW w:w="0" w:type="auto"/>
            <w:vAlign w:val="center"/>
          </w:tcPr>
          <w:p w:rsidR="00024C0A" w:rsidRDefault="00694C0F">
            <w:pPr>
              <w:pStyle w:val="TableBodyText"/>
            </w:pPr>
            <w:r>
              <w:t>Lebanon</w:t>
            </w:r>
          </w:p>
        </w:tc>
        <w:tc>
          <w:tcPr>
            <w:tcW w:w="0" w:type="auto"/>
            <w:vAlign w:val="center"/>
          </w:tcPr>
          <w:p w:rsidR="00024C0A" w:rsidRDefault="00694C0F">
            <w:pPr>
              <w:pStyle w:val="TableBodyText"/>
            </w:pPr>
            <w:r>
              <w:t>ar-LB</w:t>
            </w:r>
          </w:p>
        </w:tc>
      </w:tr>
      <w:tr w:rsidR="00024C0A" w:rsidTr="00024C0A">
        <w:tc>
          <w:tcPr>
            <w:tcW w:w="0" w:type="auto"/>
            <w:vAlign w:val="center"/>
          </w:tcPr>
          <w:p w:rsidR="00024C0A" w:rsidRDefault="00694C0F">
            <w:pPr>
              <w:pStyle w:val="TableBodyText"/>
            </w:pPr>
            <w:r>
              <w:t>Arabic</w:t>
            </w:r>
          </w:p>
        </w:tc>
        <w:tc>
          <w:tcPr>
            <w:tcW w:w="0" w:type="auto"/>
            <w:vAlign w:val="center"/>
          </w:tcPr>
          <w:p w:rsidR="00024C0A" w:rsidRDefault="00694C0F">
            <w:pPr>
              <w:pStyle w:val="TableBodyText"/>
            </w:pPr>
            <w:r>
              <w:t>Libya</w:t>
            </w:r>
          </w:p>
        </w:tc>
        <w:tc>
          <w:tcPr>
            <w:tcW w:w="0" w:type="auto"/>
            <w:vAlign w:val="center"/>
          </w:tcPr>
          <w:p w:rsidR="00024C0A" w:rsidRDefault="00694C0F">
            <w:pPr>
              <w:pStyle w:val="TableBodyText"/>
            </w:pPr>
            <w:r>
              <w:t>ar-LY</w:t>
            </w:r>
          </w:p>
        </w:tc>
      </w:tr>
      <w:tr w:rsidR="00024C0A" w:rsidTr="00024C0A">
        <w:tc>
          <w:tcPr>
            <w:tcW w:w="0" w:type="auto"/>
            <w:vAlign w:val="center"/>
          </w:tcPr>
          <w:p w:rsidR="00024C0A" w:rsidRDefault="00694C0F">
            <w:pPr>
              <w:pStyle w:val="TableBodyText"/>
            </w:pPr>
            <w:r>
              <w:t>Arabic</w:t>
            </w:r>
          </w:p>
        </w:tc>
        <w:tc>
          <w:tcPr>
            <w:tcW w:w="0" w:type="auto"/>
            <w:vAlign w:val="center"/>
          </w:tcPr>
          <w:p w:rsidR="00024C0A" w:rsidRDefault="00694C0F">
            <w:pPr>
              <w:pStyle w:val="TableBodyText"/>
            </w:pPr>
            <w:r>
              <w:t>Morocco</w:t>
            </w:r>
          </w:p>
        </w:tc>
        <w:tc>
          <w:tcPr>
            <w:tcW w:w="0" w:type="auto"/>
            <w:vAlign w:val="center"/>
          </w:tcPr>
          <w:p w:rsidR="00024C0A" w:rsidRDefault="00694C0F">
            <w:pPr>
              <w:pStyle w:val="TableBodyText"/>
            </w:pPr>
            <w:r>
              <w:t>ar-MA</w:t>
            </w:r>
          </w:p>
        </w:tc>
      </w:tr>
      <w:tr w:rsidR="00024C0A" w:rsidTr="00024C0A">
        <w:tc>
          <w:tcPr>
            <w:tcW w:w="0" w:type="auto"/>
            <w:vAlign w:val="center"/>
          </w:tcPr>
          <w:p w:rsidR="00024C0A" w:rsidRDefault="00694C0F">
            <w:pPr>
              <w:pStyle w:val="TableBodyText"/>
            </w:pPr>
            <w:r>
              <w:t>Arabic</w:t>
            </w:r>
          </w:p>
        </w:tc>
        <w:tc>
          <w:tcPr>
            <w:tcW w:w="0" w:type="auto"/>
            <w:vAlign w:val="center"/>
          </w:tcPr>
          <w:p w:rsidR="00024C0A" w:rsidRDefault="00694C0F">
            <w:pPr>
              <w:pStyle w:val="TableBodyText"/>
            </w:pPr>
            <w:r>
              <w:t>Oman</w:t>
            </w:r>
          </w:p>
        </w:tc>
        <w:tc>
          <w:tcPr>
            <w:tcW w:w="0" w:type="auto"/>
            <w:vAlign w:val="center"/>
          </w:tcPr>
          <w:p w:rsidR="00024C0A" w:rsidRDefault="00694C0F">
            <w:pPr>
              <w:pStyle w:val="TableBodyText"/>
            </w:pPr>
            <w:r>
              <w:t>ar-OM</w:t>
            </w:r>
          </w:p>
        </w:tc>
      </w:tr>
      <w:tr w:rsidR="00024C0A" w:rsidTr="00024C0A">
        <w:tc>
          <w:tcPr>
            <w:tcW w:w="0" w:type="auto"/>
            <w:vAlign w:val="center"/>
          </w:tcPr>
          <w:p w:rsidR="00024C0A" w:rsidRDefault="00694C0F">
            <w:pPr>
              <w:pStyle w:val="TableBodyText"/>
            </w:pPr>
            <w:r>
              <w:lastRenderedPageBreak/>
              <w:t>Arabic</w:t>
            </w:r>
          </w:p>
        </w:tc>
        <w:tc>
          <w:tcPr>
            <w:tcW w:w="0" w:type="auto"/>
            <w:vAlign w:val="center"/>
          </w:tcPr>
          <w:p w:rsidR="00024C0A" w:rsidRDefault="00694C0F">
            <w:pPr>
              <w:pStyle w:val="TableBodyText"/>
            </w:pPr>
            <w:r>
              <w:t>Qatar</w:t>
            </w:r>
          </w:p>
        </w:tc>
        <w:tc>
          <w:tcPr>
            <w:tcW w:w="0" w:type="auto"/>
            <w:vAlign w:val="center"/>
          </w:tcPr>
          <w:p w:rsidR="00024C0A" w:rsidRDefault="00694C0F">
            <w:pPr>
              <w:pStyle w:val="TableBodyText"/>
            </w:pPr>
            <w:r>
              <w:t>ar-QA</w:t>
            </w:r>
          </w:p>
        </w:tc>
      </w:tr>
      <w:tr w:rsidR="00024C0A" w:rsidTr="00024C0A">
        <w:tc>
          <w:tcPr>
            <w:tcW w:w="0" w:type="auto"/>
            <w:vAlign w:val="center"/>
          </w:tcPr>
          <w:p w:rsidR="00024C0A" w:rsidRDefault="00694C0F">
            <w:pPr>
              <w:pStyle w:val="TableBodyText"/>
            </w:pPr>
            <w:r>
              <w:t>Arabic</w:t>
            </w:r>
          </w:p>
        </w:tc>
        <w:tc>
          <w:tcPr>
            <w:tcW w:w="0" w:type="auto"/>
            <w:vAlign w:val="center"/>
          </w:tcPr>
          <w:p w:rsidR="00024C0A" w:rsidRDefault="00694C0F">
            <w:pPr>
              <w:pStyle w:val="TableBodyText"/>
            </w:pPr>
            <w:r>
              <w:t>Saudi Arabia</w:t>
            </w:r>
          </w:p>
        </w:tc>
        <w:tc>
          <w:tcPr>
            <w:tcW w:w="0" w:type="auto"/>
            <w:vAlign w:val="center"/>
          </w:tcPr>
          <w:p w:rsidR="00024C0A" w:rsidRDefault="00694C0F">
            <w:pPr>
              <w:pStyle w:val="TableBodyText"/>
            </w:pPr>
            <w:r>
              <w:t>ar-SA</w:t>
            </w:r>
          </w:p>
        </w:tc>
      </w:tr>
      <w:tr w:rsidR="00024C0A" w:rsidTr="00024C0A">
        <w:tc>
          <w:tcPr>
            <w:tcW w:w="0" w:type="auto"/>
            <w:vAlign w:val="center"/>
          </w:tcPr>
          <w:p w:rsidR="00024C0A" w:rsidRDefault="00694C0F">
            <w:pPr>
              <w:pStyle w:val="TableBodyText"/>
            </w:pPr>
            <w:r>
              <w:t>Arabic</w:t>
            </w:r>
          </w:p>
        </w:tc>
        <w:tc>
          <w:tcPr>
            <w:tcW w:w="0" w:type="auto"/>
            <w:vAlign w:val="center"/>
          </w:tcPr>
          <w:p w:rsidR="00024C0A" w:rsidRDefault="00694C0F">
            <w:pPr>
              <w:pStyle w:val="TableBodyText"/>
            </w:pPr>
            <w:r>
              <w:t>Syria</w:t>
            </w:r>
          </w:p>
        </w:tc>
        <w:tc>
          <w:tcPr>
            <w:tcW w:w="0" w:type="auto"/>
            <w:vAlign w:val="center"/>
          </w:tcPr>
          <w:p w:rsidR="00024C0A" w:rsidRDefault="00694C0F">
            <w:pPr>
              <w:pStyle w:val="TableBodyText"/>
            </w:pPr>
            <w:r>
              <w:t>ar-SY</w:t>
            </w:r>
          </w:p>
        </w:tc>
      </w:tr>
      <w:tr w:rsidR="00024C0A" w:rsidTr="00024C0A">
        <w:tc>
          <w:tcPr>
            <w:tcW w:w="0" w:type="auto"/>
            <w:vAlign w:val="center"/>
          </w:tcPr>
          <w:p w:rsidR="00024C0A" w:rsidRDefault="00694C0F">
            <w:pPr>
              <w:pStyle w:val="TableBodyText"/>
            </w:pPr>
            <w:r>
              <w:t>Arabic</w:t>
            </w:r>
          </w:p>
        </w:tc>
        <w:tc>
          <w:tcPr>
            <w:tcW w:w="0" w:type="auto"/>
            <w:vAlign w:val="center"/>
          </w:tcPr>
          <w:p w:rsidR="00024C0A" w:rsidRDefault="00694C0F">
            <w:pPr>
              <w:pStyle w:val="TableBodyText"/>
            </w:pPr>
            <w:r>
              <w:t>Tunisia</w:t>
            </w:r>
          </w:p>
        </w:tc>
        <w:tc>
          <w:tcPr>
            <w:tcW w:w="0" w:type="auto"/>
            <w:vAlign w:val="center"/>
          </w:tcPr>
          <w:p w:rsidR="00024C0A" w:rsidRDefault="00694C0F">
            <w:pPr>
              <w:pStyle w:val="TableBodyText"/>
            </w:pPr>
            <w:r>
              <w:t>ar-TN</w:t>
            </w:r>
          </w:p>
        </w:tc>
      </w:tr>
      <w:tr w:rsidR="00024C0A" w:rsidTr="00024C0A">
        <w:tc>
          <w:tcPr>
            <w:tcW w:w="0" w:type="auto"/>
            <w:vAlign w:val="center"/>
          </w:tcPr>
          <w:p w:rsidR="00024C0A" w:rsidRDefault="00694C0F">
            <w:pPr>
              <w:pStyle w:val="TableBodyText"/>
            </w:pPr>
            <w:r>
              <w:t>Arabic</w:t>
            </w:r>
          </w:p>
        </w:tc>
        <w:tc>
          <w:tcPr>
            <w:tcW w:w="0" w:type="auto"/>
            <w:vAlign w:val="center"/>
          </w:tcPr>
          <w:p w:rsidR="00024C0A" w:rsidRDefault="00694C0F">
            <w:pPr>
              <w:pStyle w:val="TableBodyText"/>
            </w:pPr>
            <w:r>
              <w:t>U.A.E.</w:t>
            </w:r>
          </w:p>
        </w:tc>
        <w:tc>
          <w:tcPr>
            <w:tcW w:w="0" w:type="auto"/>
            <w:vAlign w:val="center"/>
          </w:tcPr>
          <w:p w:rsidR="00024C0A" w:rsidRDefault="00694C0F">
            <w:pPr>
              <w:pStyle w:val="TableBodyText"/>
            </w:pPr>
            <w:r>
              <w:t>ar-AE</w:t>
            </w:r>
          </w:p>
        </w:tc>
      </w:tr>
      <w:tr w:rsidR="00024C0A" w:rsidTr="00024C0A">
        <w:tc>
          <w:tcPr>
            <w:tcW w:w="0" w:type="auto"/>
            <w:vAlign w:val="center"/>
          </w:tcPr>
          <w:p w:rsidR="00024C0A" w:rsidRDefault="00694C0F">
            <w:pPr>
              <w:pStyle w:val="TableBodyText"/>
            </w:pPr>
            <w:r>
              <w:t>Arabic</w:t>
            </w:r>
          </w:p>
        </w:tc>
        <w:tc>
          <w:tcPr>
            <w:tcW w:w="0" w:type="auto"/>
            <w:vAlign w:val="center"/>
          </w:tcPr>
          <w:p w:rsidR="00024C0A" w:rsidRDefault="00694C0F">
            <w:pPr>
              <w:pStyle w:val="TableBodyText"/>
            </w:pPr>
            <w:r>
              <w:t>Yemen</w:t>
            </w:r>
          </w:p>
        </w:tc>
        <w:tc>
          <w:tcPr>
            <w:tcW w:w="0" w:type="auto"/>
            <w:vAlign w:val="center"/>
          </w:tcPr>
          <w:p w:rsidR="00024C0A" w:rsidRDefault="00694C0F">
            <w:pPr>
              <w:pStyle w:val="TableBodyText"/>
            </w:pPr>
            <w:r>
              <w:t>ar-YE</w:t>
            </w:r>
          </w:p>
        </w:tc>
      </w:tr>
      <w:tr w:rsidR="00024C0A" w:rsidTr="00024C0A">
        <w:tc>
          <w:tcPr>
            <w:tcW w:w="0" w:type="auto"/>
            <w:vAlign w:val="center"/>
          </w:tcPr>
          <w:p w:rsidR="00024C0A" w:rsidRDefault="00694C0F">
            <w:pPr>
              <w:pStyle w:val="TableBodyText"/>
            </w:pPr>
            <w:r>
              <w:t>Armenian</w:t>
            </w:r>
          </w:p>
        </w:tc>
        <w:tc>
          <w:tcPr>
            <w:tcW w:w="0" w:type="auto"/>
            <w:vAlign w:val="center"/>
          </w:tcPr>
          <w:p w:rsidR="00024C0A" w:rsidRDefault="00694C0F">
            <w:pPr>
              <w:pStyle w:val="TableBodyText"/>
            </w:pPr>
            <w:r>
              <w:t>Armenia</w:t>
            </w:r>
          </w:p>
        </w:tc>
        <w:tc>
          <w:tcPr>
            <w:tcW w:w="0" w:type="auto"/>
            <w:vAlign w:val="center"/>
          </w:tcPr>
          <w:p w:rsidR="00024C0A" w:rsidRDefault="00694C0F">
            <w:pPr>
              <w:pStyle w:val="TableBodyText"/>
            </w:pPr>
            <w:r>
              <w:t>hy-AM</w:t>
            </w:r>
          </w:p>
        </w:tc>
      </w:tr>
      <w:tr w:rsidR="00024C0A" w:rsidTr="00024C0A">
        <w:tc>
          <w:tcPr>
            <w:tcW w:w="0" w:type="auto"/>
            <w:vAlign w:val="center"/>
          </w:tcPr>
          <w:p w:rsidR="00024C0A" w:rsidRDefault="00694C0F">
            <w:pPr>
              <w:pStyle w:val="TableBodyText"/>
            </w:pPr>
            <w:r>
              <w:t>Assamese</w:t>
            </w:r>
          </w:p>
        </w:tc>
        <w:tc>
          <w:tcPr>
            <w:tcW w:w="0" w:type="auto"/>
            <w:vAlign w:val="center"/>
          </w:tcPr>
          <w:p w:rsidR="00024C0A" w:rsidRDefault="00694C0F">
            <w:pPr>
              <w:pStyle w:val="TableBodyText"/>
            </w:pPr>
            <w:r>
              <w:t>India</w:t>
            </w:r>
          </w:p>
        </w:tc>
        <w:tc>
          <w:tcPr>
            <w:tcW w:w="0" w:type="auto"/>
            <w:vAlign w:val="center"/>
          </w:tcPr>
          <w:p w:rsidR="00024C0A" w:rsidRDefault="00694C0F">
            <w:pPr>
              <w:pStyle w:val="TableBodyText"/>
            </w:pPr>
            <w:r>
              <w:t>as-IN</w:t>
            </w:r>
          </w:p>
        </w:tc>
      </w:tr>
      <w:tr w:rsidR="00024C0A" w:rsidTr="00024C0A">
        <w:tc>
          <w:tcPr>
            <w:tcW w:w="0" w:type="auto"/>
            <w:vAlign w:val="center"/>
          </w:tcPr>
          <w:p w:rsidR="00024C0A" w:rsidRDefault="00694C0F">
            <w:pPr>
              <w:pStyle w:val="TableBodyText"/>
            </w:pPr>
            <w:r>
              <w:t>Azerbaijani (Cyrillic)</w:t>
            </w:r>
          </w:p>
        </w:tc>
        <w:tc>
          <w:tcPr>
            <w:tcW w:w="0" w:type="auto"/>
            <w:vAlign w:val="center"/>
          </w:tcPr>
          <w:p w:rsidR="00024C0A" w:rsidRDefault="00694C0F">
            <w:pPr>
              <w:pStyle w:val="TableBodyText"/>
            </w:pPr>
            <w:r>
              <w:t>Azerbaijan</w:t>
            </w:r>
          </w:p>
        </w:tc>
        <w:tc>
          <w:tcPr>
            <w:tcW w:w="0" w:type="auto"/>
            <w:vAlign w:val="center"/>
          </w:tcPr>
          <w:p w:rsidR="00024C0A" w:rsidRDefault="00694C0F">
            <w:pPr>
              <w:pStyle w:val="TableBodyText"/>
            </w:pPr>
            <w:r>
              <w:t>az-AZ-Cyrl</w:t>
            </w:r>
          </w:p>
        </w:tc>
      </w:tr>
      <w:tr w:rsidR="00024C0A" w:rsidTr="00024C0A">
        <w:tc>
          <w:tcPr>
            <w:tcW w:w="0" w:type="auto"/>
            <w:vAlign w:val="center"/>
          </w:tcPr>
          <w:p w:rsidR="00024C0A" w:rsidRDefault="00694C0F">
            <w:pPr>
              <w:pStyle w:val="TableBodyText"/>
            </w:pPr>
            <w:r>
              <w:t>Azerbaijani (Latin)</w:t>
            </w:r>
          </w:p>
        </w:tc>
        <w:tc>
          <w:tcPr>
            <w:tcW w:w="0" w:type="auto"/>
            <w:vAlign w:val="center"/>
          </w:tcPr>
          <w:p w:rsidR="00024C0A" w:rsidRDefault="00694C0F">
            <w:pPr>
              <w:pStyle w:val="TableBodyText"/>
            </w:pPr>
            <w:r>
              <w:t>Azerbaijan</w:t>
            </w:r>
          </w:p>
        </w:tc>
        <w:tc>
          <w:tcPr>
            <w:tcW w:w="0" w:type="auto"/>
            <w:vAlign w:val="center"/>
          </w:tcPr>
          <w:p w:rsidR="00024C0A" w:rsidRDefault="00694C0F">
            <w:pPr>
              <w:pStyle w:val="TableBodyText"/>
            </w:pPr>
            <w:r>
              <w:t>az-AZ-Latn</w:t>
            </w:r>
          </w:p>
        </w:tc>
      </w:tr>
      <w:tr w:rsidR="00024C0A" w:rsidTr="00024C0A">
        <w:tc>
          <w:tcPr>
            <w:tcW w:w="0" w:type="auto"/>
            <w:vAlign w:val="center"/>
          </w:tcPr>
          <w:p w:rsidR="00024C0A" w:rsidRDefault="00694C0F">
            <w:pPr>
              <w:pStyle w:val="TableBodyText"/>
            </w:pPr>
            <w:r>
              <w:t>Bangla</w:t>
            </w:r>
          </w:p>
        </w:tc>
        <w:tc>
          <w:tcPr>
            <w:tcW w:w="0" w:type="auto"/>
            <w:vAlign w:val="center"/>
          </w:tcPr>
          <w:p w:rsidR="00024C0A" w:rsidRDefault="00694C0F">
            <w:pPr>
              <w:pStyle w:val="TableBodyText"/>
            </w:pPr>
            <w:r>
              <w:t>Bangladesh</w:t>
            </w:r>
          </w:p>
        </w:tc>
        <w:tc>
          <w:tcPr>
            <w:tcW w:w="0" w:type="auto"/>
            <w:vAlign w:val="center"/>
          </w:tcPr>
          <w:p w:rsidR="00024C0A" w:rsidRDefault="00694C0F">
            <w:pPr>
              <w:pStyle w:val="TableBodyText"/>
            </w:pPr>
            <w:r>
              <w:t xml:space="preserve">bn-BD </w:t>
            </w:r>
          </w:p>
        </w:tc>
      </w:tr>
      <w:tr w:rsidR="00024C0A" w:rsidTr="00024C0A">
        <w:tc>
          <w:tcPr>
            <w:tcW w:w="0" w:type="auto"/>
            <w:vAlign w:val="center"/>
          </w:tcPr>
          <w:p w:rsidR="00024C0A" w:rsidRDefault="00694C0F">
            <w:pPr>
              <w:pStyle w:val="TableBodyText"/>
            </w:pPr>
            <w:r>
              <w:t xml:space="preserve">Bangla (Bangla Script) </w:t>
            </w:r>
          </w:p>
        </w:tc>
        <w:tc>
          <w:tcPr>
            <w:tcW w:w="0" w:type="auto"/>
            <w:vAlign w:val="center"/>
          </w:tcPr>
          <w:p w:rsidR="00024C0A" w:rsidRDefault="00694C0F">
            <w:pPr>
              <w:pStyle w:val="TableBodyText"/>
            </w:pPr>
            <w:r>
              <w:t>India</w:t>
            </w:r>
          </w:p>
        </w:tc>
        <w:tc>
          <w:tcPr>
            <w:tcW w:w="0" w:type="auto"/>
            <w:vAlign w:val="center"/>
          </w:tcPr>
          <w:p w:rsidR="00024C0A" w:rsidRDefault="00694C0F">
            <w:pPr>
              <w:pStyle w:val="TableBodyText"/>
            </w:pPr>
            <w:r>
              <w:t>bn-IN</w:t>
            </w:r>
          </w:p>
        </w:tc>
      </w:tr>
      <w:tr w:rsidR="00024C0A" w:rsidTr="00024C0A">
        <w:tc>
          <w:tcPr>
            <w:tcW w:w="0" w:type="auto"/>
            <w:vAlign w:val="center"/>
          </w:tcPr>
          <w:p w:rsidR="00024C0A" w:rsidRDefault="00694C0F">
            <w:pPr>
              <w:pStyle w:val="TableBodyText"/>
            </w:pPr>
            <w:r>
              <w:t>Bashkir</w:t>
            </w:r>
          </w:p>
        </w:tc>
        <w:tc>
          <w:tcPr>
            <w:tcW w:w="0" w:type="auto"/>
            <w:vAlign w:val="center"/>
          </w:tcPr>
          <w:p w:rsidR="00024C0A" w:rsidRDefault="00694C0F">
            <w:pPr>
              <w:pStyle w:val="TableBodyText"/>
            </w:pPr>
            <w:r>
              <w:t>Russia</w:t>
            </w:r>
          </w:p>
        </w:tc>
        <w:tc>
          <w:tcPr>
            <w:tcW w:w="0" w:type="auto"/>
            <w:vAlign w:val="center"/>
          </w:tcPr>
          <w:p w:rsidR="00024C0A" w:rsidRDefault="00694C0F">
            <w:pPr>
              <w:pStyle w:val="TableBodyText"/>
            </w:pPr>
            <w:r>
              <w:t>ba-RU</w:t>
            </w:r>
          </w:p>
        </w:tc>
      </w:tr>
      <w:tr w:rsidR="00024C0A" w:rsidTr="00024C0A">
        <w:tc>
          <w:tcPr>
            <w:tcW w:w="0" w:type="auto"/>
            <w:vAlign w:val="center"/>
          </w:tcPr>
          <w:p w:rsidR="00024C0A" w:rsidRDefault="00694C0F">
            <w:pPr>
              <w:pStyle w:val="TableBodyText"/>
            </w:pPr>
            <w:r>
              <w:t>Basque</w:t>
            </w:r>
          </w:p>
        </w:tc>
        <w:tc>
          <w:tcPr>
            <w:tcW w:w="0" w:type="auto"/>
            <w:vAlign w:val="center"/>
          </w:tcPr>
          <w:p w:rsidR="00024C0A" w:rsidRDefault="00694C0F">
            <w:pPr>
              <w:pStyle w:val="TableBodyText"/>
            </w:pPr>
            <w:r>
              <w:t>Basque</w:t>
            </w:r>
          </w:p>
        </w:tc>
        <w:tc>
          <w:tcPr>
            <w:tcW w:w="0" w:type="auto"/>
            <w:vAlign w:val="center"/>
          </w:tcPr>
          <w:p w:rsidR="00024C0A" w:rsidRDefault="00694C0F">
            <w:pPr>
              <w:pStyle w:val="TableBodyText"/>
            </w:pPr>
            <w:r>
              <w:t>eu-ES</w:t>
            </w:r>
          </w:p>
        </w:tc>
      </w:tr>
      <w:tr w:rsidR="00024C0A" w:rsidTr="00024C0A">
        <w:tc>
          <w:tcPr>
            <w:tcW w:w="0" w:type="auto"/>
            <w:vAlign w:val="center"/>
          </w:tcPr>
          <w:p w:rsidR="00024C0A" w:rsidRDefault="00694C0F">
            <w:pPr>
              <w:pStyle w:val="TableBodyText"/>
            </w:pPr>
            <w:r>
              <w:t>Belarusian</w:t>
            </w:r>
          </w:p>
        </w:tc>
        <w:tc>
          <w:tcPr>
            <w:tcW w:w="0" w:type="auto"/>
            <w:vAlign w:val="center"/>
          </w:tcPr>
          <w:p w:rsidR="00024C0A" w:rsidRDefault="00694C0F">
            <w:pPr>
              <w:pStyle w:val="TableBodyText"/>
            </w:pPr>
            <w:r>
              <w:t>Belarus</w:t>
            </w:r>
          </w:p>
        </w:tc>
        <w:tc>
          <w:tcPr>
            <w:tcW w:w="0" w:type="auto"/>
            <w:vAlign w:val="center"/>
          </w:tcPr>
          <w:p w:rsidR="00024C0A" w:rsidRDefault="00694C0F">
            <w:pPr>
              <w:pStyle w:val="TableBodyText"/>
            </w:pPr>
            <w:r>
              <w:t>be-BY</w:t>
            </w:r>
          </w:p>
        </w:tc>
      </w:tr>
      <w:tr w:rsidR="00024C0A" w:rsidTr="00024C0A">
        <w:tc>
          <w:tcPr>
            <w:tcW w:w="0" w:type="auto"/>
            <w:vAlign w:val="center"/>
          </w:tcPr>
          <w:p w:rsidR="00024C0A" w:rsidRDefault="00694C0F">
            <w:pPr>
              <w:pStyle w:val="TableBodyText"/>
            </w:pPr>
            <w:r>
              <w:t>Bosnian (Cyrillic)</w:t>
            </w:r>
          </w:p>
        </w:tc>
        <w:tc>
          <w:tcPr>
            <w:tcW w:w="0" w:type="auto"/>
            <w:vAlign w:val="center"/>
          </w:tcPr>
          <w:p w:rsidR="00024C0A" w:rsidRDefault="00694C0F">
            <w:pPr>
              <w:pStyle w:val="TableBodyText"/>
            </w:pPr>
            <w:r>
              <w:t>Bosnia and Herzegovina</w:t>
            </w:r>
          </w:p>
        </w:tc>
        <w:tc>
          <w:tcPr>
            <w:tcW w:w="0" w:type="auto"/>
            <w:vAlign w:val="center"/>
          </w:tcPr>
          <w:p w:rsidR="00024C0A" w:rsidRDefault="00694C0F">
            <w:pPr>
              <w:pStyle w:val="TableBodyText"/>
            </w:pPr>
            <w:r>
              <w:t>bs-BA-Cyrl</w:t>
            </w:r>
          </w:p>
        </w:tc>
      </w:tr>
      <w:tr w:rsidR="00024C0A" w:rsidTr="00024C0A">
        <w:tc>
          <w:tcPr>
            <w:tcW w:w="0" w:type="auto"/>
            <w:vAlign w:val="center"/>
          </w:tcPr>
          <w:p w:rsidR="00024C0A" w:rsidRDefault="00694C0F">
            <w:pPr>
              <w:pStyle w:val="TableBodyText"/>
            </w:pPr>
            <w:r>
              <w:t>Bosnian (Latin)</w:t>
            </w:r>
          </w:p>
        </w:tc>
        <w:tc>
          <w:tcPr>
            <w:tcW w:w="0" w:type="auto"/>
            <w:vAlign w:val="center"/>
          </w:tcPr>
          <w:p w:rsidR="00024C0A" w:rsidRDefault="00694C0F">
            <w:pPr>
              <w:pStyle w:val="TableBodyText"/>
            </w:pPr>
            <w:r>
              <w:t>Bosnia and Herzegovina</w:t>
            </w:r>
          </w:p>
        </w:tc>
        <w:tc>
          <w:tcPr>
            <w:tcW w:w="0" w:type="auto"/>
            <w:vAlign w:val="center"/>
          </w:tcPr>
          <w:p w:rsidR="00024C0A" w:rsidRDefault="00694C0F">
            <w:pPr>
              <w:pStyle w:val="TableBodyText"/>
            </w:pPr>
            <w:r>
              <w:t>bs-BA-Latn</w:t>
            </w:r>
          </w:p>
        </w:tc>
      </w:tr>
      <w:tr w:rsidR="00024C0A" w:rsidTr="00024C0A">
        <w:tc>
          <w:tcPr>
            <w:tcW w:w="0" w:type="auto"/>
            <w:vAlign w:val="center"/>
          </w:tcPr>
          <w:p w:rsidR="00024C0A" w:rsidRDefault="00694C0F">
            <w:pPr>
              <w:pStyle w:val="TableBodyText"/>
            </w:pPr>
            <w:r>
              <w:t>Breton</w:t>
            </w:r>
          </w:p>
        </w:tc>
        <w:tc>
          <w:tcPr>
            <w:tcW w:w="0" w:type="auto"/>
            <w:vAlign w:val="center"/>
          </w:tcPr>
          <w:p w:rsidR="00024C0A" w:rsidRDefault="00694C0F">
            <w:pPr>
              <w:pStyle w:val="TableBodyText"/>
            </w:pPr>
            <w:r>
              <w:t>France</w:t>
            </w:r>
          </w:p>
        </w:tc>
        <w:tc>
          <w:tcPr>
            <w:tcW w:w="0" w:type="auto"/>
            <w:vAlign w:val="center"/>
          </w:tcPr>
          <w:p w:rsidR="00024C0A" w:rsidRDefault="00694C0F">
            <w:pPr>
              <w:pStyle w:val="TableBodyText"/>
            </w:pPr>
            <w:r>
              <w:t>br-FR</w:t>
            </w:r>
          </w:p>
        </w:tc>
      </w:tr>
      <w:tr w:rsidR="00024C0A" w:rsidTr="00024C0A">
        <w:tc>
          <w:tcPr>
            <w:tcW w:w="0" w:type="auto"/>
            <w:vAlign w:val="center"/>
          </w:tcPr>
          <w:p w:rsidR="00024C0A" w:rsidRDefault="00694C0F">
            <w:pPr>
              <w:pStyle w:val="TableBodyText"/>
            </w:pPr>
            <w:r>
              <w:t>Bulgarian</w:t>
            </w:r>
          </w:p>
        </w:tc>
        <w:tc>
          <w:tcPr>
            <w:tcW w:w="0" w:type="auto"/>
            <w:vAlign w:val="center"/>
          </w:tcPr>
          <w:p w:rsidR="00024C0A" w:rsidRDefault="00694C0F">
            <w:pPr>
              <w:pStyle w:val="TableBodyText"/>
            </w:pPr>
            <w:r>
              <w:t>Bulgaria</w:t>
            </w:r>
          </w:p>
        </w:tc>
        <w:tc>
          <w:tcPr>
            <w:tcW w:w="0" w:type="auto"/>
            <w:vAlign w:val="center"/>
          </w:tcPr>
          <w:p w:rsidR="00024C0A" w:rsidRDefault="00694C0F">
            <w:pPr>
              <w:pStyle w:val="TableBodyText"/>
            </w:pPr>
            <w:r>
              <w:t>bg-BG</w:t>
            </w:r>
          </w:p>
        </w:tc>
      </w:tr>
      <w:tr w:rsidR="00024C0A" w:rsidTr="00024C0A">
        <w:tc>
          <w:tcPr>
            <w:tcW w:w="0" w:type="auto"/>
            <w:vAlign w:val="center"/>
          </w:tcPr>
          <w:p w:rsidR="00024C0A" w:rsidRDefault="00694C0F">
            <w:pPr>
              <w:pStyle w:val="TableBodyText"/>
            </w:pPr>
            <w:r>
              <w:t>Catalan</w:t>
            </w:r>
          </w:p>
        </w:tc>
        <w:tc>
          <w:tcPr>
            <w:tcW w:w="0" w:type="auto"/>
            <w:vAlign w:val="center"/>
          </w:tcPr>
          <w:p w:rsidR="00024C0A" w:rsidRDefault="00694C0F">
            <w:pPr>
              <w:pStyle w:val="TableBodyText"/>
            </w:pPr>
            <w:r>
              <w:t>Catalan</w:t>
            </w:r>
          </w:p>
        </w:tc>
        <w:tc>
          <w:tcPr>
            <w:tcW w:w="0" w:type="auto"/>
            <w:vAlign w:val="center"/>
          </w:tcPr>
          <w:p w:rsidR="00024C0A" w:rsidRDefault="00694C0F">
            <w:pPr>
              <w:pStyle w:val="TableBodyText"/>
            </w:pPr>
            <w:r>
              <w:t>ca-ES</w:t>
            </w:r>
          </w:p>
        </w:tc>
      </w:tr>
      <w:tr w:rsidR="00024C0A" w:rsidTr="00024C0A">
        <w:tc>
          <w:tcPr>
            <w:tcW w:w="0" w:type="auto"/>
            <w:vAlign w:val="center"/>
          </w:tcPr>
          <w:p w:rsidR="00024C0A" w:rsidRDefault="00694C0F">
            <w:pPr>
              <w:pStyle w:val="TableBodyText"/>
            </w:pPr>
            <w:r>
              <w:t>Chinese</w:t>
            </w:r>
          </w:p>
        </w:tc>
        <w:tc>
          <w:tcPr>
            <w:tcW w:w="0" w:type="auto"/>
            <w:vAlign w:val="center"/>
          </w:tcPr>
          <w:p w:rsidR="00024C0A" w:rsidRDefault="00694C0F">
            <w:pPr>
              <w:pStyle w:val="TableBodyText"/>
            </w:pPr>
            <w:r>
              <w:t>Hong Kong SAR</w:t>
            </w:r>
          </w:p>
        </w:tc>
        <w:tc>
          <w:tcPr>
            <w:tcW w:w="0" w:type="auto"/>
            <w:vAlign w:val="center"/>
          </w:tcPr>
          <w:p w:rsidR="00024C0A" w:rsidRDefault="00694C0F">
            <w:pPr>
              <w:pStyle w:val="TableBodyText"/>
            </w:pPr>
            <w:r>
              <w:t>zh-HK</w:t>
            </w:r>
          </w:p>
        </w:tc>
      </w:tr>
      <w:tr w:rsidR="00024C0A" w:rsidTr="00024C0A">
        <w:tc>
          <w:tcPr>
            <w:tcW w:w="0" w:type="auto"/>
            <w:vAlign w:val="center"/>
          </w:tcPr>
          <w:p w:rsidR="00024C0A" w:rsidRDefault="00694C0F">
            <w:pPr>
              <w:pStyle w:val="TableBodyText"/>
            </w:pPr>
            <w:r>
              <w:t>Chinese</w:t>
            </w:r>
          </w:p>
        </w:tc>
        <w:tc>
          <w:tcPr>
            <w:tcW w:w="0" w:type="auto"/>
            <w:vAlign w:val="center"/>
          </w:tcPr>
          <w:p w:rsidR="00024C0A" w:rsidRDefault="00694C0F">
            <w:pPr>
              <w:pStyle w:val="TableBodyText"/>
            </w:pPr>
            <w:r>
              <w:t>Macao SAR</w:t>
            </w:r>
          </w:p>
        </w:tc>
        <w:tc>
          <w:tcPr>
            <w:tcW w:w="0" w:type="auto"/>
            <w:vAlign w:val="center"/>
          </w:tcPr>
          <w:p w:rsidR="00024C0A" w:rsidRDefault="00694C0F">
            <w:pPr>
              <w:pStyle w:val="TableBodyText"/>
            </w:pPr>
            <w:r>
              <w:t>zh-MO</w:t>
            </w:r>
          </w:p>
        </w:tc>
      </w:tr>
      <w:tr w:rsidR="00024C0A" w:rsidTr="00024C0A">
        <w:tc>
          <w:tcPr>
            <w:tcW w:w="0" w:type="auto"/>
            <w:vAlign w:val="center"/>
          </w:tcPr>
          <w:p w:rsidR="00024C0A" w:rsidRDefault="00694C0F">
            <w:pPr>
              <w:pStyle w:val="TableBodyText"/>
            </w:pPr>
            <w:r>
              <w:t>Chinese</w:t>
            </w:r>
          </w:p>
        </w:tc>
        <w:tc>
          <w:tcPr>
            <w:tcW w:w="0" w:type="auto"/>
            <w:vAlign w:val="center"/>
          </w:tcPr>
          <w:p w:rsidR="00024C0A" w:rsidRDefault="00694C0F">
            <w:pPr>
              <w:pStyle w:val="TableBodyText"/>
            </w:pPr>
            <w:r>
              <w:t>PRC</w:t>
            </w:r>
          </w:p>
        </w:tc>
        <w:tc>
          <w:tcPr>
            <w:tcW w:w="0" w:type="auto"/>
            <w:vAlign w:val="center"/>
          </w:tcPr>
          <w:p w:rsidR="00024C0A" w:rsidRDefault="00694C0F">
            <w:pPr>
              <w:pStyle w:val="TableBodyText"/>
            </w:pPr>
            <w:r>
              <w:t>zh-CN</w:t>
            </w:r>
          </w:p>
        </w:tc>
      </w:tr>
      <w:tr w:rsidR="00024C0A" w:rsidTr="00024C0A">
        <w:tc>
          <w:tcPr>
            <w:tcW w:w="0" w:type="auto"/>
            <w:vAlign w:val="center"/>
          </w:tcPr>
          <w:p w:rsidR="00024C0A" w:rsidRDefault="00694C0F">
            <w:pPr>
              <w:pStyle w:val="TableBodyText"/>
            </w:pPr>
            <w:r>
              <w:t>Chinese</w:t>
            </w:r>
          </w:p>
        </w:tc>
        <w:tc>
          <w:tcPr>
            <w:tcW w:w="0" w:type="auto"/>
            <w:vAlign w:val="center"/>
          </w:tcPr>
          <w:p w:rsidR="00024C0A" w:rsidRDefault="00694C0F">
            <w:pPr>
              <w:pStyle w:val="TableBodyText"/>
            </w:pPr>
            <w:r>
              <w:t>Singapore</w:t>
            </w:r>
          </w:p>
        </w:tc>
        <w:tc>
          <w:tcPr>
            <w:tcW w:w="0" w:type="auto"/>
            <w:vAlign w:val="center"/>
          </w:tcPr>
          <w:p w:rsidR="00024C0A" w:rsidRDefault="00694C0F">
            <w:pPr>
              <w:pStyle w:val="TableBodyText"/>
            </w:pPr>
            <w:r>
              <w:t>zh-SG</w:t>
            </w:r>
          </w:p>
        </w:tc>
      </w:tr>
      <w:tr w:rsidR="00024C0A" w:rsidTr="00024C0A">
        <w:tc>
          <w:tcPr>
            <w:tcW w:w="0" w:type="auto"/>
            <w:vAlign w:val="center"/>
          </w:tcPr>
          <w:p w:rsidR="00024C0A" w:rsidRDefault="00694C0F">
            <w:pPr>
              <w:pStyle w:val="TableBodyText"/>
            </w:pPr>
            <w:r>
              <w:t>Chinese</w:t>
            </w:r>
          </w:p>
        </w:tc>
        <w:tc>
          <w:tcPr>
            <w:tcW w:w="0" w:type="auto"/>
            <w:vAlign w:val="center"/>
          </w:tcPr>
          <w:p w:rsidR="00024C0A" w:rsidRDefault="00694C0F">
            <w:pPr>
              <w:pStyle w:val="TableBodyText"/>
            </w:pPr>
            <w:r>
              <w:t>Taiwan</w:t>
            </w:r>
          </w:p>
        </w:tc>
        <w:tc>
          <w:tcPr>
            <w:tcW w:w="0" w:type="auto"/>
            <w:vAlign w:val="center"/>
          </w:tcPr>
          <w:p w:rsidR="00024C0A" w:rsidRDefault="00694C0F">
            <w:pPr>
              <w:pStyle w:val="TableBodyText"/>
            </w:pPr>
            <w:r>
              <w:t>zh-TW</w:t>
            </w:r>
          </w:p>
        </w:tc>
      </w:tr>
      <w:tr w:rsidR="00024C0A" w:rsidTr="00024C0A">
        <w:tc>
          <w:tcPr>
            <w:tcW w:w="0" w:type="auto"/>
            <w:vAlign w:val="center"/>
          </w:tcPr>
          <w:p w:rsidR="00024C0A" w:rsidRDefault="00694C0F">
            <w:pPr>
              <w:pStyle w:val="TableBodyText"/>
            </w:pPr>
            <w:r>
              <w:t>Corsican</w:t>
            </w:r>
          </w:p>
        </w:tc>
        <w:tc>
          <w:tcPr>
            <w:tcW w:w="0" w:type="auto"/>
            <w:vAlign w:val="center"/>
          </w:tcPr>
          <w:p w:rsidR="00024C0A" w:rsidRDefault="00694C0F">
            <w:pPr>
              <w:pStyle w:val="TableBodyText"/>
            </w:pPr>
            <w:r>
              <w:t>France</w:t>
            </w:r>
          </w:p>
        </w:tc>
        <w:tc>
          <w:tcPr>
            <w:tcW w:w="0" w:type="auto"/>
            <w:vAlign w:val="center"/>
          </w:tcPr>
          <w:p w:rsidR="00024C0A" w:rsidRDefault="00694C0F">
            <w:pPr>
              <w:pStyle w:val="TableBodyText"/>
            </w:pPr>
            <w:r>
              <w:t>co-FR</w:t>
            </w:r>
          </w:p>
        </w:tc>
      </w:tr>
      <w:tr w:rsidR="00024C0A" w:rsidTr="00024C0A">
        <w:tc>
          <w:tcPr>
            <w:tcW w:w="0" w:type="auto"/>
            <w:vAlign w:val="center"/>
          </w:tcPr>
          <w:p w:rsidR="00024C0A" w:rsidRDefault="00694C0F">
            <w:pPr>
              <w:pStyle w:val="TableBodyText"/>
            </w:pPr>
            <w:r>
              <w:t>Croatian</w:t>
            </w:r>
          </w:p>
        </w:tc>
        <w:tc>
          <w:tcPr>
            <w:tcW w:w="0" w:type="auto"/>
            <w:vAlign w:val="center"/>
          </w:tcPr>
          <w:p w:rsidR="00024C0A" w:rsidRDefault="00694C0F">
            <w:pPr>
              <w:pStyle w:val="TableBodyText"/>
            </w:pPr>
            <w:r>
              <w:t>Croatia</w:t>
            </w:r>
          </w:p>
        </w:tc>
        <w:tc>
          <w:tcPr>
            <w:tcW w:w="0" w:type="auto"/>
            <w:vAlign w:val="center"/>
          </w:tcPr>
          <w:p w:rsidR="00024C0A" w:rsidRDefault="00694C0F">
            <w:pPr>
              <w:pStyle w:val="TableBodyText"/>
            </w:pPr>
            <w:r>
              <w:t>hr-HR</w:t>
            </w:r>
          </w:p>
        </w:tc>
      </w:tr>
      <w:tr w:rsidR="00024C0A" w:rsidTr="00024C0A">
        <w:tc>
          <w:tcPr>
            <w:tcW w:w="0" w:type="auto"/>
            <w:vAlign w:val="center"/>
          </w:tcPr>
          <w:p w:rsidR="00024C0A" w:rsidRDefault="00694C0F">
            <w:pPr>
              <w:pStyle w:val="TableBodyText"/>
            </w:pPr>
            <w:r>
              <w:t>Croatian (Latin)</w:t>
            </w:r>
          </w:p>
        </w:tc>
        <w:tc>
          <w:tcPr>
            <w:tcW w:w="0" w:type="auto"/>
            <w:vAlign w:val="center"/>
          </w:tcPr>
          <w:p w:rsidR="00024C0A" w:rsidRDefault="00694C0F">
            <w:pPr>
              <w:pStyle w:val="TableBodyText"/>
            </w:pPr>
            <w:r>
              <w:t>Bosnia and Herzegovina</w:t>
            </w:r>
          </w:p>
        </w:tc>
        <w:tc>
          <w:tcPr>
            <w:tcW w:w="0" w:type="auto"/>
            <w:vAlign w:val="center"/>
          </w:tcPr>
          <w:p w:rsidR="00024C0A" w:rsidRDefault="00694C0F">
            <w:pPr>
              <w:pStyle w:val="TableBodyText"/>
            </w:pPr>
            <w:r>
              <w:t>hr-BA-Latn</w:t>
            </w:r>
          </w:p>
        </w:tc>
      </w:tr>
      <w:tr w:rsidR="00024C0A" w:rsidTr="00024C0A">
        <w:tc>
          <w:tcPr>
            <w:tcW w:w="0" w:type="auto"/>
            <w:vAlign w:val="center"/>
          </w:tcPr>
          <w:p w:rsidR="00024C0A" w:rsidRDefault="00694C0F">
            <w:pPr>
              <w:pStyle w:val="TableBodyText"/>
            </w:pPr>
            <w:r>
              <w:t>Czech</w:t>
            </w:r>
          </w:p>
        </w:tc>
        <w:tc>
          <w:tcPr>
            <w:tcW w:w="0" w:type="auto"/>
            <w:vAlign w:val="center"/>
          </w:tcPr>
          <w:p w:rsidR="00024C0A" w:rsidRDefault="00694C0F">
            <w:pPr>
              <w:pStyle w:val="TableBodyText"/>
            </w:pPr>
            <w:r>
              <w:t>Czech Republic</w:t>
            </w:r>
          </w:p>
        </w:tc>
        <w:tc>
          <w:tcPr>
            <w:tcW w:w="0" w:type="auto"/>
            <w:vAlign w:val="center"/>
          </w:tcPr>
          <w:p w:rsidR="00024C0A" w:rsidRDefault="00694C0F">
            <w:pPr>
              <w:pStyle w:val="TableBodyText"/>
            </w:pPr>
            <w:r>
              <w:t>cs-CZ</w:t>
            </w:r>
          </w:p>
        </w:tc>
      </w:tr>
      <w:tr w:rsidR="00024C0A" w:rsidTr="00024C0A">
        <w:tc>
          <w:tcPr>
            <w:tcW w:w="0" w:type="auto"/>
            <w:vAlign w:val="center"/>
          </w:tcPr>
          <w:p w:rsidR="00024C0A" w:rsidRDefault="00694C0F">
            <w:pPr>
              <w:pStyle w:val="TableBodyText"/>
            </w:pPr>
            <w:r>
              <w:t>Danish</w:t>
            </w:r>
          </w:p>
        </w:tc>
        <w:tc>
          <w:tcPr>
            <w:tcW w:w="0" w:type="auto"/>
            <w:vAlign w:val="center"/>
          </w:tcPr>
          <w:p w:rsidR="00024C0A" w:rsidRDefault="00694C0F">
            <w:pPr>
              <w:pStyle w:val="TableBodyText"/>
            </w:pPr>
            <w:r>
              <w:t>Denmark</w:t>
            </w:r>
          </w:p>
        </w:tc>
        <w:tc>
          <w:tcPr>
            <w:tcW w:w="0" w:type="auto"/>
            <w:vAlign w:val="center"/>
          </w:tcPr>
          <w:p w:rsidR="00024C0A" w:rsidRDefault="00694C0F">
            <w:pPr>
              <w:pStyle w:val="TableBodyText"/>
            </w:pPr>
            <w:r>
              <w:t>da-DK</w:t>
            </w:r>
          </w:p>
        </w:tc>
      </w:tr>
      <w:tr w:rsidR="00024C0A" w:rsidTr="00024C0A">
        <w:tc>
          <w:tcPr>
            <w:tcW w:w="0" w:type="auto"/>
            <w:vAlign w:val="center"/>
          </w:tcPr>
          <w:p w:rsidR="00024C0A" w:rsidRDefault="00694C0F">
            <w:pPr>
              <w:pStyle w:val="TableBodyText"/>
            </w:pPr>
            <w:r>
              <w:t>Dari</w:t>
            </w:r>
          </w:p>
        </w:tc>
        <w:tc>
          <w:tcPr>
            <w:tcW w:w="0" w:type="auto"/>
            <w:vAlign w:val="center"/>
          </w:tcPr>
          <w:p w:rsidR="00024C0A" w:rsidRDefault="00694C0F">
            <w:pPr>
              <w:pStyle w:val="TableBodyText"/>
            </w:pPr>
            <w:r>
              <w:t>Afghanistan</w:t>
            </w:r>
          </w:p>
        </w:tc>
        <w:tc>
          <w:tcPr>
            <w:tcW w:w="0" w:type="auto"/>
            <w:vAlign w:val="center"/>
          </w:tcPr>
          <w:p w:rsidR="00024C0A" w:rsidRDefault="00694C0F">
            <w:pPr>
              <w:pStyle w:val="TableBodyText"/>
            </w:pPr>
            <w:r>
              <w:t>prs-AF</w:t>
            </w:r>
          </w:p>
        </w:tc>
      </w:tr>
      <w:tr w:rsidR="00024C0A" w:rsidTr="00024C0A">
        <w:tc>
          <w:tcPr>
            <w:tcW w:w="0" w:type="auto"/>
            <w:vAlign w:val="center"/>
          </w:tcPr>
          <w:p w:rsidR="00024C0A" w:rsidRDefault="00694C0F">
            <w:pPr>
              <w:pStyle w:val="TableBodyText"/>
            </w:pPr>
            <w:r>
              <w:t>Divehi</w:t>
            </w:r>
          </w:p>
        </w:tc>
        <w:tc>
          <w:tcPr>
            <w:tcW w:w="0" w:type="auto"/>
            <w:vAlign w:val="center"/>
          </w:tcPr>
          <w:p w:rsidR="00024C0A" w:rsidRDefault="00694C0F">
            <w:pPr>
              <w:pStyle w:val="TableBodyText"/>
            </w:pPr>
            <w:r>
              <w:t>Maldives</w:t>
            </w:r>
          </w:p>
        </w:tc>
        <w:tc>
          <w:tcPr>
            <w:tcW w:w="0" w:type="auto"/>
            <w:vAlign w:val="center"/>
          </w:tcPr>
          <w:p w:rsidR="00024C0A" w:rsidRDefault="00694C0F">
            <w:pPr>
              <w:pStyle w:val="TableBodyText"/>
            </w:pPr>
            <w:r>
              <w:t>div-MV</w:t>
            </w:r>
          </w:p>
        </w:tc>
      </w:tr>
      <w:tr w:rsidR="00024C0A" w:rsidTr="00024C0A">
        <w:tc>
          <w:tcPr>
            <w:tcW w:w="0" w:type="auto"/>
            <w:vAlign w:val="center"/>
          </w:tcPr>
          <w:p w:rsidR="00024C0A" w:rsidRDefault="00694C0F">
            <w:pPr>
              <w:pStyle w:val="TableBodyText"/>
            </w:pPr>
            <w:r>
              <w:lastRenderedPageBreak/>
              <w:t>Dutch</w:t>
            </w:r>
          </w:p>
        </w:tc>
        <w:tc>
          <w:tcPr>
            <w:tcW w:w="0" w:type="auto"/>
            <w:vAlign w:val="center"/>
          </w:tcPr>
          <w:p w:rsidR="00024C0A" w:rsidRDefault="00694C0F">
            <w:pPr>
              <w:pStyle w:val="TableBodyText"/>
            </w:pPr>
            <w:r>
              <w:t>Belgium</w:t>
            </w:r>
          </w:p>
        </w:tc>
        <w:tc>
          <w:tcPr>
            <w:tcW w:w="0" w:type="auto"/>
            <w:vAlign w:val="center"/>
          </w:tcPr>
          <w:p w:rsidR="00024C0A" w:rsidRDefault="00694C0F">
            <w:pPr>
              <w:pStyle w:val="TableBodyText"/>
            </w:pPr>
            <w:r>
              <w:t>nl-BE</w:t>
            </w:r>
          </w:p>
        </w:tc>
      </w:tr>
      <w:tr w:rsidR="00024C0A" w:rsidTr="00024C0A">
        <w:tc>
          <w:tcPr>
            <w:tcW w:w="0" w:type="auto"/>
            <w:vAlign w:val="center"/>
          </w:tcPr>
          <w:p w:rsidR="00024C0A" w:rsidRDefault="00694C0F">
            <w:pPr>
              <w:pStyle w:val="TableBodyText"/>
            </w:pPr>
            <w:r>
              <w:t>Dutch</w:t>
            </w:r>
          </w:p>
        </w:tc>
        <w:tc>
          <w:tcPr>
            <w:tcW w:w="0" w:type="auto"/>
            <w:vAlign w:val="center"/>
          </w:tcPr>
          <w:p w:rsidR="00024C0A" w:rsidRDefault="00694C0F">
            <w:pPr>
              <w:pStyle w:val="TableBodyText"/>
            </w:pPr>
            <w:r>
              <w:t>Netherlands</w:t>
            </w:r>
          </w:p>
        </w:tc>
        <w:tc>
          <w:tcPr>
            <w:tcW w:w="0" w:type="auto"/>
            <w:vAlign w:val="center"/>
          </w:tcPr>
          <w:p w:rsidR="00024C0A" w:rsidRDefault="00694C0F">
            <w:pPr>
              <w:pStyle w:val="TableBodyText"/>
            </w:pPr>
            <w:r>
              <w:t>nl-NL</w:t>
            </w:r>
          </w:p>
        </w:tc>
      </w:tr>
      <w:tr w:rsidR="00024C0A" w:rsidTr="00024C0A">
        <w:tc>
          <w:tcPr>
            <w:tcW w:w="0" w:type="auto"/>
            <w:vAlign w:val="center"/>
          </w:tcPr>
          <w:p w:rsidR="00024C0A" w:rsidRDefault="00694C0F">
            <w:pPr>
              <w:pStyle w:val="TableBodyText"/>
            </w:pPr>
            <w:r>
              <w:t>English</w:t>
            </w:r>
          </w:p>
        </w:tc>
        <w:tc>
          <w:tcPr>
            <w:tcW w:w="0" w:type="auto"/>
            <w:vAlign w:val="center"/>
          </w:tcPr>
          <w:p w:rsidR="00024C0A" w:rsidRDefault="00694C0F">
            <w:pPr>
              <w:pStyle w:val="TableBodyText"/>
            </w:pPr>
            <w:r>
              <w:t>Australia</w:t>
            </w:r>
          </w:p>
        </w:tc>
        <w:tc>
          <w:tcPr>
            <w:tcW w:w="0" w:type="auto"/>
            <w:vAlign w:val="center"/>
          </w:tcPr>
          <w:p w:rsidR="00024C0A" w:rsidRDefault="00694C0F">
            <w:pPr>
              <w:pStyle w:val="TableBodyText"/>
            </w:pPr>
            <w:r>
              <w:t>en-AU</w:t>
            </w:r>
          </w:p>
        </w:tc>
      </w:tr>
      <w:tr w:rsidR="00024C0A" w:rsidTr="00024C0A">
        <w:tc>
          <w:tcPr>
            <w:tcW w:w="0" w:type="auto"/>
            <w:vAlign w:val="center"/>
          </w:tcPr>
          <w:p w:rsidR="00024C0A" w:rsidRDefault="00694C0F">
            <w:pPr>
              <w:pStyle w:val="TableBodyText"/>
            </w:pPr>
            <w:r>
              <w:t>English</w:t>
            </w:r>
          </w:p>
        </w:tc>
        <w:tc>
          <w:tcPr>
            <w:tcW w:w="0" w:type="auto"/>
            <w:vAlign w:val="center"/>
          </w:tcPr>
          <w:p w:rsidR="00024C0A" w:rsidRDefault="00694C0F">
            <w:pPr>
              <w:pStyle w:val="TableBodyText"/>
            </w:pPr>
            <w:r>
              <w:t>Belize</w:t>
            </w:r>
          </w:p>
        </w:tc>
        <w:tc>
          <w:tcPr>
            <w:tcW w:w="0" w:type="auto"/>
            <w:vAlign w:val="center"/>
          </w:tcPr>
          <w:p w:rsidR="00024C0A" w:rsidRDefault="00694C0F">
            <w:pPr>
              <w:pStyle w:val="TableBodyText"/>
            </w:pPr>
            <w:r>
              <w:t>en-BZ</w:t>
            </w:r>
          </w:p>
        </w:tc>
      </w:tr>
      <w:tr w:rsidR="00024C0A" w:rsidTr="00024C0A">
        <w:tc>
          <w:tcPr>
            <w:tcW w:w="0" w:type="auto"/>
            <w:vAlign w:val="center"/>
          </w:tcPr>
          <w:p w:rsidR="00024C0A" w:rsidRDefault="00694C0F">
            <w:pPr>
              <w:pStyle w:val="TableBodyText"/>
            </w:pPr>
            <w:r>
              <w:t>English</w:t>
            </w:r>
          </w:p>
        </w:tc>
        <w:tc>
          <w:tcPr>
            <w:tcW w:w="0" w:type="auto"/>
            <w:vAlign w:val="center"/>
          </w:tcPr>
          <w:p w:rsidR="00024C0A" w:rsidRDefault="00694C0F">
            <w:pPr>
              <w:pStyle w:val="TableBodyText"/>
            </w:pPr>
            <w:r>
              <w:t>Canada</w:t>
            </w:r>
          </w:p>
        </w:tc>
        <w:tc>
          <w:tcPr>
            <w:tcW w:w="0" w:type="auto"/>
            <w:vAlign w:val="center"/>
          </w:tcPr>
          <w:p w:rsidR="00024C0A" w:rsidRDefault="00694C0F">
            <w:pPr>
              <w:pStyle w:val="TableBodyText"/>
            </w:pPr>
            <w:r>
              <w:t>en-CA</w:t>
            </w:r>
          </w:p>
        </w:tc>
      </w:tr>
      <w:tr w:rsidR="00024C0A" w:rsidTr="00024C0A">
        <w:tc>
          <w:tcPr>
            <w:tcW w:w="0" w:type="auto"/>
            <w:vAlign w:val="center"/>
          </w:tcPr>
          <w:p w:rsidR="00024C0A" w:rsidRDefault="00694C0F">
            <w:pPr>
              <w:pStyle w:val="TableBodyText"/>
            </w:pPr>
            <w:r>
              <w:t>English</w:t>
            </w:r>
          </w:p>
        </w:tc>
        <w:tc>
          <w:tcPr>
            <w:tcW w:w="0" w:type="auto"/>
            <w:vAlign w:val="center"/>
          </w:tcPr>
          <w:p w:rsidR="00024C0A" w:rsidRDefault="00694C0F">
            <w:pPr>
              <w:pStyle w:val="TableBodyText"/>
            </w:pPr>
            <w:r>
              <w:t>Caribbean</w:t>
            </w:r>
          </w:p>
        </w:tc>
        <w:tc>
          <w:tcPr>
            <w:tcW w:w="0" w:type="auto"/>
            <w:vAlign w:val="center"/>
          </w:tcPr>
          <w:p w:rsidR="00024C0A" w:rsidRDefault="00694C0F">
            <w:pPr>
              <w:pStyle w:val="TableBodyText"/>
            </w:pPr>
            <w:r>
              <w:t>en-CB</w:t>
            </w:r>
          </w:p>
        </w:tc>
      </w:tr>
      <w:tr w:rsidR="00024C0A" w:rsidTr="00024C0A">
        <w:tc>
          <w:tcPr>
            <w:tcW w:w="0" w:type="auto"/>
            <w:vAlign w:val="center"/>
          </w:tcPr>
          <w:p w:rsidR="00024C0A" w:rsidRDefault="00694C0F">
            <w:pPr>
              <w:pStyle w:val="TableBodyText"/>
            </w:pPr>
            <w:r>
              <w:t>English</w:t>
            </w:r>
          </w:p>
        </w:tc>
        <w:tc>
          <w:tcPr>
            <w:tcW w:w="0" w:type="auto"/>
            <w:vAlign w:val="center"/>
          </w:tcPr>
          <w:p w:rsidR="00024C0A" w:rsidRDefault="00694C0F">
            <w:pPr>
              <w:pStyle w:val="TableBodyText"/>
            </w:pPr>
            <w:r>
              <w:t>India</w:t>
            </w:r>
          </w:p>
        </w:tc>
        <w:tc>
          <w:tcPr>
            <w:tcW w:w="0" w:type="auto"/>
            <w:vAlign w:val="center"/>
          </w:tcPr>
          <w:p w:rsidR="00024C0A" w:rsidRDefault="00694C0F">
            <w:pPr>
              <w:pStyle w:val="TableBodyText"/>
            </w:pPr>
            <w:r>
              <w:t>en-IN</w:t>
            </w:r>
          </w:p>
        </w:tc>
      </w:tr>
      <w:tr w:rsidR="00024C0A" w:rsidTr="00024C0A">
        <w:tc>
          <w:tcPr>
            <w:tcW w:w="0" w:type="auto"/>
            <w:vAlign w:val="center"/>
          </w:tcPr>
          <w:p w:rsidR="00024C0A" w:rsidRDefault="00694C0F">
            <w:pPr>
              <w:pStyle w:val="TableBodyText"/>
            </w:pPr>
            <w:r>
              <w:t>English</w:t>
            </w:r>
          </w:p>
        </w:tc>
        <w:tc>
          <w:tcPr>
            <w:tcW w:w="0" w:type="auto"/>
            <w:vAlign w:val="center"/>
          </w:tcPr>
          <w:p w:rsidR="00024C0A" w:rsidRDefault="00694C0F">
            <w:pPr>
              <w:pStyle w:val="TableBodyText"/>
            </w:pPr>
            <w:r>
              <w:t>Ireland</w:t>
            </w:r>
          </w:p>
        </w:tc>
        <w:tc>
          <w:tcPr>
            <w:tcW w:w="0" w:type="auto"/>
            <w:vAlign w:val="center"/>
          </w:tcPr>
          <w:p w:rsidR="00024C0A" w:rsidRDefault="00694C0F">
            <w:pPr>
              <w:pStyle w:val="TableBodyText"/>
            </w:pPr>
            <w:r>
              <w:t>en-IE</w:t>
            </w:r>
          </w:p>
        </w:tc>
      </w:tr>
      <w:tr w:rsidR="00024C0A" w:rsidTr="00024C0A">
        <w:tc>
          <w:tcPr>
            <w:tcW w:w="0" w:type="auto"/>
            <w:vAlign w:val="center"/>
          </w:tcPr>
          <w:p w:rsidR="00024C0A" w:rsidRDefault="00694C0F">
            <w:pPr>
              <w:pStyle w:val="TableBodyText"/>
            </w:pPr>
            <w:r>
              <w:t>English</w:t>
            </w:r>
          </w:p>
        </w:tc>
        <w:tc>
          <w:tcPr>
            <w:tcW w:w="0" w:type="auto"/>
            <w:vAlign w:val="center"/>
          </w:tcPr>
          <w:p w:rsidR="00024C0A" w:rsidRDefault="00694C0F">
            <w:pPr>
              <w:pStyle w:val="TableBodyText"/>
            </w:pPr>
            <w:r>
              <w:t>Jamaica</w:t>
            </w:r>
          </w:p>
        </w:tc>
        <w:tc>
          <w:tcPr>
            <w:tcW w:w="0" w:type="auto"/>
            <w:vAlign w:val="center"/>
          </w:tcPr>
          <w:p w:rsidR="00024C0A" w:rsidRDefault="00694C0F">
            <w:pPr>
              <w:pStyle w:val="TableBodyText"/>
            </w:pPr>
            <w:r>
              <w:t>en-JM</w:t>
            </w:r>
          </w:p>
        </w:tc>
      </w:tr>
      <w:tr w:rsidR="00024C0A" w:rsidTr="00024C0A">
        <w:tc>
          <w:tcPr>
            <w:tcW w:w="0" w:type="auto"/>
            <w:vAlign w:val="center"/>
          </w:tcPr>
          <w:p w:rsidR="00024C0A" w:rsidRDefault="00694C0F">
            <w:pPr>
              <w:pStyle w:val="TableBodyText"/>
            </w:pPr>
            <w:r>
              <w:t>English</w:t>
            </w:r>
          </w:p>
        </w:tc>
        <w:tc>
          <w:tcPr>
            <w:tcW w:w="0" w:type="auto"/>
            <w:vAlign w:val="center"/>
          </w:tcPr>
          <w:p w:rsidR="00024C0A" w:rsidRDefault="00694C0F">
            <w:pPr>
              <w:pStyle w:val="TableBodyText"/>
            </w:pPr>
            <w:r>
              <w:t>Malaysia</w:t>
            </w:r>
          </w:p>
        </w:tc>
        <w:tc>
          <w:tcPr>
            <w:tcW w:w="0" w:type="auto"/>
            <w:vAlign w:val="center"/>
          </w:tcPr>
          <w:p w:rsidR="00024C0A" w:rsidRDefault="00694C0F">
            <w:pPr>
              <w:pStyle w:val="TableBodyText"/>
            </w:pPr>
            <w:r>
              <w:t>en-MY</w:t>
            </w:r>
          </w:p>
        </w:tc>
      </w:tr>
      <w:tr w:rsidR="00024C0A" w:rsidTr="00024C0A">
        <w:tc>
          <w:tcPr>
            <w:tcW w:w="0" w:type="auto"/>
            <w:vAlign w:val="center"/>
          </w:tcPr>
          <w:p w:rsidR="00024C0A" w:rsidRDefault="00694C0F">
            <w:pPr>
              <w:pStyle w:val="TableBodyText"/>
            </w:pPr>
            <w:r>
              <w:t>English</w:t>
            </w:r>
          </w:p>
        </w:tc>
        <w:tc>
          <w:tcPr>
            <w:tcW w:w="0" w:type="auto"/>
            <w:vAlign w:val="center"/>
          </w:tcPr>
          <w:p w:rsidR="00024C0A" w:rsidRDefault="00694C0F">
            <w:pPr>
              <w:pStyle w:val="TableBodyText"/>
            </w:pPr>
            <w:r>
              <w:t>New Zealand</w:t>
            </w:r>
          </w:p>
        </w:tc>
        <w:tc>
          <w:tcPr>
            <w:tcW w:w="0" w:type="auto"/>
            <w:vAlign w:val="center"/>
          </w:tcPr>
          <w:p w:rsidR="00024C0A" w:rsidRDefault="00694C0F">
            <w:pPr>
              <w:pStyle w:val="TableBodyText"/>
            </w:pPr>
            <w:r>
              <w:t>en-NZ</w:t>
            </w:r>
          </w:p>
        </w:tc>
      </w:tr>
      <w:tr w:rsidR="00024C0A" w:rsidTr="00024C0A">
        <w:tc>
          <w:tcPr>
            <w:tcW w:w="0" w:type="auto"/>
            <w:vAlign w:val="center"/>
          </w:tcPr>
          <w:p w:rsidR="00024C0A" w:rsidRDefault="00694C0F">
            <w:pPr>
              <w:pStyle w:val="TableBodyText"/>
            </w:pPr>
            <w:r>
              <w:t>English</w:t>
            </w:r>
          </w:p>
        </w:tc>
        <w:tc>
          <w:tcPr>
            <w:tcW w:w="0" w:type="auto"/>
            <w:vAlign w:val="center"/>
          </w:tcPr>
          <w:p w:rsidR="00024C0A" w:rsidRDefault="00694C0F">
            <w:pPr>
              <w:pStyle w:val="TableBodyText"/>
            </w:pPr>
            <w:r>
              <w:t>Philippines</w:t>
            </w:r>
          </w:p>
        </w:tc>
        <w:tc>
          <w:tcPr>
            <w:tcW w:w="0" w:type="auto"/>
            <w:vAlign w:val="center"/>
          </w:tcPr>
          <w:p w:rsidR="00024C0A" w:rsidRDefault="00694C0F">
            <w:pPr>
              <w:pStyle w:val="TableBodyText"/>
            </w:pPr>
            <w:r>
              <w:t>en-PH</w:t>
            </w:r>
          </w:p>
        </w:tc>
      </w:tr>
      <w:tr w:rsidR="00024C0A" w:rsidTr="00024C0A">
        <w:tc>
          <w:tcPr>
            <w:tcW w:w="0" w:type="auto"/>
            <w:vAlign w:val="center"/>
          </w:tcPr>
          <w:p w:rsidR="00024C0A" w:rsidRDefault="00694C0F">
            <w:pPr>
              <w:pStyle w:val="TableBodyText"/>
            </w:pPr>
            <w:r>
              <w:t>English</w:t>
            </w:r>
          </w:p>
        </w:tc>
        <w:tc>
          <w:tcPr>
            <w:tcW w:w="0" w:type="auto"/>
            <w:vAlign w:val="center"/>
          </w:tcPr>
          <w:p w:rsidR="00024C0A" w:rsidRDefault="00694C0F">
            <w:pPr>
              <w:pStyle w:val="TableBodyText"/>
            </w:pPr>
            <w:r>
              <w:t>South Africa</w:t>
            </w:r>
          </w:p>
        </w:tc>
        <w:tc>
          <w:tcPr>
            <w:tcW w:w="0" w:type="auto"/>
            <w:vAlign w:val="center"/>
          </w:tcPr>
          <w:p w:rsidR="00024C0A" w:rsidRDefault="00694C0F">
            <w:pPr>
              <w:pStyle w:val="TableBodyText"/>
            </w:pPr>
            <w:r>
              <w:t>en-ZA</w:t>
            </w:r>
          </w:p>
        </w:tc>
      </w:tr>
      <w:tr w:rsidR="00024C0A" w:rsidTr="00024C0A">
        <w:tc>
          <w:tcPr>
            <w:tcW w:w="0" w:type="auto"/>
            <w:vAlign w:val="center"/>
          </w:tcPr>
          <w:p w:rsidR="00024C0A" w:rsidRDefault="00694C0F">
            <w:pPr>
              <w:pStyle w:val="TableBodyText"/>
            </w:pPr>
            <w:r>
              <w:t>English</w:t>
            </w:r>
          </w:p>
        </w:tc>
        <w:tc>
          <w:tcPr>
            <w:tcW w:w="0" w:type="auto"/>
            <w:vAlign w:val="center"/>
          </w:tcPr>
          <w:p w:rsidR="00024C0A" w:rsidRDefault="00694C0F">
            <w:pPr>
              <w:pStyle w:val="TableBodyText"/>
            </w:pPr>
            <w:r>
              <w:t>Trinidad</w:t>
            </w:r>
          </w:p>
        </w:tc>
        <w:tc>
          <w:tcPr>
            <w:tcW w:w="0" w:type="auto"/>
            <w:vAlign w:val="center"/>
          </w:tcPr>
          <w:p w:rsidR="00024C0A" w:rsidRDefault="00694C0F">
            <w:pPr>
              <w:pStyle w:val="TableBodyText"/>
            </w:pPr>
            <w:r>
              <w:t>en-TT</w:t>
            </w:r>
          </w:p>
        </w:tc>
      </w:tr>
      <w:tr w:rsidR="00024C0A" w:rsidTr="00024C0A">
        <w:tc>
          <w:tcPr>
            <w:tcW w:w="0" w:type="auto"/>
            <w:vAlign w:val="center"/>
          </w:tcPr>
          <w:p w:rsidR="00024C0A" w:rsidRDefault="00694C0F">
            <w:pPr>
              <w:pStyle w:val="TableBodyText"/>
            </w:pPr>
            <w:r>
              <w:t>English</w:t>
            </w:r>
          </w:p>
        </w:tc>
        <w:tc>
          <w:tcPr>
            <w:tcW w:w="0" w:type="auto"/>
            <w:vAlign w:val="center"/>
          </w:tcPr>
          <w:p w:rsidR="00024C0A" w:rsidRDefault="00694C0F">
            <w:pPr>
              <w:pStyle w:val="TableBodyText"/>
            </w:pPr>
            <w:r>
              <w:t>United Kingdom</w:t>
            </w:r>
          </w:p>
        </w:tc>
        <w:tc>
          <w:tcPr>
            <w:tcW w:w="0" w:type="auto"/>
            <w:vAlign w:val="center"/>
          </w:tcPr>
          <w:p w:rsidR="00024C0A" w:rsidRDefault="00694C0F">
            <w:pPr>
              <w:pStyle w:val="TableBodyText"/>
            </w:pPr>
            <w:r>
              <w:t>en-GB</w:t>
            </w:r>
          </w:p>
        </w:tc>
      </w:tr>
      <w:tr w:rsidR="00024C0A" w:rsidTr="00024C0A">
        <w:tc>
          <w:tcPr>
            <w:tcW w:w="0" w:type="auto"/>
            <w:vAlign w:val="center"/>
          </w:tcPr>
          <w:p w:rsidR="00024C0A" w:rsidRDefault="00694C0F">
            <w:pPr>
              <w:pStyle w:val="TableBodyText"/>
            </w:pPr>
            <w:r>
              <w:t>English</w:t>
            </w:r>
          </w:p>
        </w:tc>
        <w:tc>
          <w:tcPr>
            <w:tcW w:w="0" w:type="auto"/>
            <w:vAlign w:val="center"/>
          </w:tcPr>
          <w:p w:rsidR="00024C0A" w:rsidRDefault="00694C0F">
            <w:pPr>
              <w:pStyle w:val="TableBodyText"/>
            </w:pPr>
            <w:r>
              <w:t>United States</w:t>
            </w:r>
          </w:p>
        </w:tc>
        <w:tc>
          <w:tcPr>
            <w:tcW w:w="0" w:type="auto"/>
            <w:vAlign w:val="center"/>
          </w:tcPr>
          <w:p w:rsidR="00024C0A" w:rsidRDefault="00694C0F">
            <w:pPr>
              <w:pStyle w:val="TableBodyText"/>
            </w:pPr>
            <w:r>
              <w:t>en-US</w:t>
            </w:r>
          </w:p>
        </w:tc>
      </w:tr>
      <w:tr w:rsidR="00024C0A" w:rsidTr="00024C0A">
        <w:tc>
          <w:tcPr>
            <w:tcW w:w="0" w:type="auto"/>
            <w:vAlign w:val="center"/>
          </w:tcPr>
          <w:p w:rsidR="00024C0A" w:rsidRDefault="00694C0F">
            <w:pPr>
              <w:pStyle w:val="TableBodyText"/>
            </w:pPr>
            <w:r>
              <w:t>English</w:t>
            </w:r>
          </w:p>
        </w:tc>
        <w:tc>
          <w:tcPr>
            <w:tcW w:w="0" w:type="auto"/>
            <w:vAlign w:val="center"/>
          </w:tcPr>
          <w:p w:rsidR="00024C0A" w:rsidRDefault="00694C0F">
            <w:pPr>
              <w:pStyle w:val="TableBodyText"/>
            </w:pPr>
            <w:r>
              <w:t>Zimbabwe</w:t>
            </w:r>
          </w:p>
        </w:tc>
        <w:tc>
          <w:tcPr>
            <w:tcW w:w="0" w:type="auto"/>
            <w:vAlign w:val="center"/>
          </w:tcPr>
          <w:p w:rsidR="00024C0A" w:rsidRDefault="00694C0F">
            <w:pPr>
              <w:pStyle w:val="TableBodyText"/>
            </w:pPr>
            <w:r>
              <w:t>en-ZW</w:t>
            </w:r>
          </w:p>
        </w:tc>
      </w:tr>
      <w:tr w:rsidR="00024C0A" w:rsidTr="00024C0A">
        <w:tc>
          <w:tcPr>
            <w:tcW w:w="0" w:type="auto"/>
            <w:vAlign w:val="center"/>
          </w:tcPr>
          <w:p w:rsidR="00024C0A" w:rsidRDefault="00694C0F">
            <w:pPr>
              <w:pStyle w:val="TableBodyText"/>
            </w:pPr>
            <w:r>
              <w:t xml:space="preserve">Estonian </w:t>
            </w:r>
          </w:p>
        </w:tc>
        <w:tc>
          <w:tcPr>
            <w:tcW w:w="0" w:type="auto"/>
            <w:vAlign w:val="center"/>
          </w:tcPr>
          <w:p w:rsidR="00024C0A" w:rsidRDefault="00694C0F">
            <w:pPr>
              <w:pStyle w:val="TableBodyText"/>
            </w:pPr>
            <w:r>
              <w:t>Estonia</w:t>
            </w:r>
          </w:p>
        </w:tc>
        <w:tc>
          <w:tcPr>
            <w:tcW w:w="0" w:type="auto"/>
            <w:vAlign w:val="center"/>
          </w:tcPr>
          <w:p w:rsidR="00024C0A" w:rsidRDefault="00694C0F">
            <w:pPr>
              <w:pStyle w:val="TableBodyText"/>
            </w:pPr>
            <w:r>
              <w:t>et-EE</w:t>
            </w:r>
          </w:p>
        </w:tc>
      </w:tr>
      <w:tr w:rsidR="00024C0A" w:rsidTr="00024C0A">
        <w:tc>
          <w:tcPr>
            <w:tcW w:w="0" w:type="auto"/>
            <w:vAlign w:val="center"/>
          </w:tcPr>
          <w:p w:rsidR="00024C0A" w:rsidRDefault="00694C0F">
            <w:pPr>
              <w:pStyle w:val="TableBodyText"/>
            </w:pPr>
            <w:r>
              <w:t>Faroese</w:t>
            </w:r>
          </w:p>
        </w:tc>
        <w:tc>
          <w:tcPr>
            <w:tcW w:w="0" w:type="auto"/>
            <w:vAlign w:val="center"/>
          </w:tcPr>
          <w:p w:rsidR="00024C0A" w:rsidRDefault="00694C0F">
            <w:pPr>
              <w:pStyle w:val="TableBodyText"/>
            </w:pPr>
            <w:r>
              <w:t>Faroe Islands</w:t>
            </w:r>
          </w:p>
        </w:tc>
        <w:tc>
          <w:tcPr>
            <w:tcW w:w="0" w:type="auto"/>
            <w:vAlign w:val="center"/>
          </w:tcPr>
          <w:p w:rsidR="00024C0A" w:rsidRDefault="00694C0F">
            <w:pPr>
              <w:pStyle w:val="TableBodyText"/>
            </w:pPr>
            <w:r>
              <w:t>fo-FO</w:t>
            </w:r>
          </w:p>
        </w:tc>
      </w:tr>
      <w:tr w:rsidR="00024C0A" w:rsidTr="00024C0A">
        <w:tc>
          <w:tcPr>
            <w:tcW w:w="0" w:type="auto"/>
            <w:vAlign w:val="center"/>
          </w:tcPr>
          <w:p w:rsidR="00024C0A" w:rsidRDefault="00694C0F">
            <w:pPr>
              <w:pStyle w:val="TableBodyText"/>
            </w:pPr>
            <w:r>
              <w:t>Filipino</w:t>
            </w:r>
          </w:p>
        </w:tc>
        <w:tc>
          <w:tcPr>
            <w:tcW w:w="0" w:type="auto"/>
            <w:vAlign w:val="center"/>
          </w:tcPr>
          <w:p w:rsidR="00024C0A" w:rsidRDefault="00694C0F">
            <w:pPr>
              <w:pStyle w:val="TableBodyText"/>
            </w:pPr>
            <w:r>
              <w:t>Philippines</w:t>
            </w:r>
          </w:p>
        </w:tc>
        <w:tc>
          <w:tcPr>
            <w:tcW w:w="0" w:type="auto"/>
            <w:vAlign w:val="center"/>
          </w:tcPr>
          <w:p w:rsidR="00024C0A" w:rsidRDefault="00694C0F">
            <w:pPr>
              <w:pStyle w:val="TableBodyText"/>
            </w:pPr>
            <w:r>
              <w:t>fil-PH</w:t>
            </w:r>
          </w:p>
        </w:tc>
      </w:tr>
      <w:tr w:rsidR="00024C0A" w:rsidTr="00024C0A">
        <w:tc>
          <w:tcPr>
            <w:tcW w:w="0" w:type="auto"/>
            <w:vAlign w:val="center"/>
          </w:tcPr>
          <w:p w:rsidR="00024C0A" w:rsidRDefault="00694C0F">
            <w:pPr>
              <w:pStyle w:val="TableBodyText"/>
            </w:pPr>
            <w:r>
              <w:t>Finnish</w:t>
            </w:r>
          </w:p>
        </w:tc>
        <w:tc>
          <w:tcPr>
            <w:tcW w:w="0" w:type="auto"/>
            <w:vAlign w:val="center"/>
          </w:tcPr>
          <w:p w:rsidR="00024C0A" w:rsidRDefault="00694C0F">
            <w:pPr>
              <w:pStyle w:val="TableBodyText"/>
            </w:pPr>
            <w:r>
              <w:t>Finland</w:t>
            </w:r>
          </w:p>
        </w:tc>
        <w:tc>
          <w:tcPr>
            <w:tcW w:w="0" w:type="auto"/>
            <w:vAlign w:val="center"/>
          </w:tcPr>
          <w:p w:rsidR="00024C0A" w:rsidRDefault="00694C0F">
            <w:pPr>
              <w:pStyle w:val="TableBodyText"/>
            </w:pPr>
            <w:r>
              <w:t>fi-FI</w:t>
            </w:r>
          </w:p>
        </w:tc>
      </w:tr>
      <w:tr w:rsidR="00024C0A" w:rsidTr="00024C0A">
        <w:tc>
          <w:tcPr>
            <w:tcW w:w="0" w:type="auto"/>
            <w:vAlign w:val="center"/>
          </w:tcPr>
          <w:p w:rsidR="00024C0A" w:rsidRDefault="00694C0F">
            <w:pPr>
              <w:pStyle w:val="TableBodyText"/>
            </w:pPr>
            <w:r>
              <w:t>French</w:t>
            </w:r>
          </w:p>
        </w:tc>
        <w:tc>
          <w:tcPr>
            <w:tcW w:w="0" w:type="auto"/>
            <w:vAlign w:val="center"/>
          </w:tcPr>
          <w:p w:rsidR="00024C0A" w:rsidRDefault="00694C0F">
            <w:pPr>
              <w:pStyle w:val="TableBodyText"/>
            </w:pPr>
            <w:r>
              <w:t>Belgium</w:t>
            </w:r>
          </w:p>
        </w:tc>
        <w:tc>
          <w:tcPr>
            <w:tcW w:w="0" w:type="auto"/>
            <w:vAlign w:val="center"/>
          </w:tcPr>
          <w:p w:rsidR="00024C0A" w:rsidRDefault="00694C0F">
            <w:pPr>
              <w:pStyle w:val="TableBodyText"/>
            </w:pPr>
            <w:r>
              <w:t>fr-BE</w:t>
            </w:r>
          </w:p>
        </w:tc>
      </w:tr>
      <w:tr w:rsidR="00024C0A" w:rsidTr="00024C0A">
        <w:tc>
          <w:tcPr>
            <w:tcW w:w="0" w:type="auto"/>
            <w:vAlign w:val="center"/>
          </w:tcPr>
          <w:p w:rsidR="00024C0A" w:rsidRDefault="00694C0F">
            <w:pPr>
              <w:pStyle w:val="TableBodyText"/>
            </w:pPr>
            <w:r>
              <w:t>French</w:t>
            </w:r>
          </w:p>
        </w:tc>
        <w:tc>
          <w:tcPr>
            <w:tcW w:w="0" w:type="auto"/>
            <w:vAlign w:val="center"/>
          </w:tcPr>
          <w:p w:rsidR="00024C0A" w:rsidRDefault="00694C0F">
            <w:pPr>
              <w:pStyle w:val="TableBodyText"/>
            </w:pPr>
            <w:r>
              <w:t>Canada</w:t>
            </w:r>
          </w:p>
        </w:tc>
        <w:tc>
          <w:tcPr>
            <w:tcW w:w="0" w:type="auto"/>
            <w:vAlign w:val="center"/>
          </w:tcPr>
          <w:p w:rsidR="00024C0A" w:rsidRDefault="00694C0F">
            <w:pPr>
              <w:pStyle w:val="TableBodyText"/>
            </w:pPr>
            <w:r>
              <w:t>fr-CA</w:t>
            </w:r>
          </w:p>
        </w:tc>
      </w:tr>
      <w:tr w:rsidR="00024C0A" w:rsidTr="00024C0A">
        <w:tc>
          <w:tcPr>
            <w:tcW w:w="0" w:type="auto"/>
            <w:vAlign w:val="center"/>
          </w:tcPr>
          <w:p w:rsidR="00024C0A" w:rsidRDefault="00694C0F">
            <w:pPr>
              <w:pStyle w:val="TableBodyText"/>
            </w:pPr>
            <w:r>
              <w:t>French</w:t>
            </w:r>
          </w:p>
        </w:tc>
        <w:tc>
          <w:tcPr>
            <w:tcW w:w="0" w:type="auto"/>
            <w:vAlign w:val="center"/>
          </w:tcPr>
          <w:p w:rsidR="00024C0A" w:rsidRDefault="00694C0F">
            <w:pPr>
              <w:pStyle w:val="TableBodyText"/>
            </w:pPr>
            <w:r>
              <w:t>France</w:t>
            </w:r>
          </w:p>
        </w:tc>
        <w:tc>
          <w:tcPr>
            <w:tcW w:w="0" w:type="auto"/>
            <w:vAlign w:val="center"/>
          </w:tcPr>
          <w:p w:rsidR="00024C0A" w:rsidRDefault="00694C0F">
            <w:pPr>
              <w:pStyle w:val="TableBodyText"/>
            </w:pPr>
            <w:r>
              <w:t>fr-FR</w:t>
            </w:r>
          </w:p>
        </w:tc>
      </w:tr>
      <w:tr w:rsidR="00024C0A" w:rsidTr="00024C0A">
        <w:tc>
          <w:tcPr>
            <w:tcW w:w="0" w:type="auto"/>
            <w:vAlign w:val="center"/>
          </w:tcPr>
          <w:p w:rsidR="00024C0A" w:rsidRDefault="00694C0F">
            <w:pPr>
              <w:pStyle w:val="TableBodyText"/>
            </w:pPr>
            <w:r>
              <w:t>French</w:t>
            </w:r>
          </w:p>
        </w:tc>
        <w:tc>
          <w:tcPr>
            <w:tcW w:w="0" w:type="auto"/>
            <w:vAlign w:val="center"/>
          </w:tcPr>
          <w:p w:rsidR="00024C0A" w:rsidRDefault="00694C0F">
            <w:pPr>
              <w:pStyle w:val="TableBodyText"/>
            </w:pPr>
            <w:r>
              <w:t>Luxembourg</w:t>
            </w:r>
          </w:p>
        </w:tc>
        <w:tc>
          <w:tcPr>
            <w:tcW w:w="0" w:type="auto"/>
            <w:vAlign w:val="center"/>
          </w:tcPr>
          <w:p w:rsidR="00024C0A" w:rsidRDefault="00694C0F">
            <w:pPr>
              <w:pStyle w:val="TableBodyText"/>
            </w:pPr>
            <w:r>
              <w:t>fr-LU</w:t>
            </w:r>
          </w:p>
        </w:tc>
      </w:tr>
      <w:tr w:rsidR="00024C0A" w:rsidTr="00024C0A">
        <w:tc>
          <w:tcPr>
            <w:tcW w:w="0" w:type="auto"/>
            <w:vAlign w:val="center"/>
          </w:tcPr>
          <w:p w:rsidR="00024C0A" w:rsidRDefault="00694C0F">
            <w:pPr>
              <w:pStyle w:val="TableBodyText"/>
            </w:pPr>
            <w:r>
              <w:t>French</w:t>
            </w:r>
          </w:p>
        </w:tc>
        <w:tc>
          <w:tcPr>
            <w:tcW w:w="0" w:type="auto"/>
            <w:vAlign w:val="center"/>
          </w:tcPr>
          <w:p w:rsidR="00024C0A" w:rsidRDefault="00694C0F">
            <w:pPr>
              <w:pStyle w:val="TableBodyText"/>
            </w:pPr>
            <w:r>
              <w:t>Monaco</w:t>
            </w:r>
          </w:p>
        </w:tc>
        <w:tc>
          <w:tcPr>
            <w:tcW w:w="0" w:type="auto"/>
            <w:vAlign w:val="center"/>
          </w:tcPr>
          <w:p w:rsidR="00024C0A" w:rsidRDefault="00694C0F">
            <w:pPr>
              <w:pStyle w:val="TableBodyText"/>
            </w:pPr>
            <w:r>
              <w:t>fr-MC</w:t>
            </w:r>
          </w:p>
        </w:tc>
      </w:tr>
      <w:tr w:rsidR="00024C0A" w:rsidTr="00024C0A">
        <w:tc>
          <w:tcPr>
            <w:tcW w:w="0" w:type="auto"/>
            <w:vAlign w:val="center"/>
          </w:tcPr>
          <w:p w:rsidR="00024C0A" w:rsidRDefault="00694C0F">
            <w:pPr>
              <w:pStyle w:val="TableBodyText"/>
            </w:pPr>
            <w:r>
              <w:t>French</w:t>
            </w:r>
          </w:p>
        </w:tc>
        <w:tc>
          <w:tcPr>
            <w:tcW w:w="0" w:type="auto"/>
            <w:vAlign w:val="center"/>
          </w:tcPr>
          <w:p w:rsidR="00024C0A" w:rsidRDefault="00694C0F">
            <w:pPr>
              <w:pStyle w:val="TableBodyText"/>
            </w:pPr>
            <w:r>
              <w:t>Switzerland</w:t>
            </w:r>
          </w:p>
        </w:tc>
        <w:tc>
          <w:tcPr>
            <w:tcW w:w="0" w:type="auto"/>
            <w:vAlign w:val="center"/>
          </w:tcPr>
          <w:p w:rsidR="00024C0A" w:rsidRDefault="00694C0F">
            <w:pPr>
              <w:pStyle w:val="TableBodyText"/>
            </w:pPr>
            <w:r>
              <w:t>fr-CH</w:t>
            </w:r>
          </w:p>
        </w:tc>
      </w:tr>
      <w:tr w:rsidR="00024C0A" w:rsidTr="00024C0A">
        <w:tc>
          <w:tcPr>
            <w:tcW w:w="0" w:type="auto"/>
            <w:vAlign w:val="center"/>
          </w:tcPr>
          <w:p w:rsidR="00024C0A" w:rsidRDefault="00694C0F">
            <w:pPr>
              <w:pStyle w:val="TableBodyText"/>
            </w:pPr>
            <w:r>
              <w:t>Frisian</w:t>
            </w:r>
          </w:p>
        </w:tc>
        <w:tc>
          <w:tcPr>
            <w:tcW w:w="0" w:type="auto"/>
            <w:vAlign w:val="center"/>
          </w:tcPr>
          <w:p w:rsidR="00024C0A" w:rsidRDefault="00694C0F">
            <w:pPr>
              <w:pStyle w:val="TableBodyText"/>
            </w:pPr>
            <w:r>
              <w:t>Netherlands</w:t>
            </w:r>
          </w:p>
        </w:tc>
        <w:tc>
          <w:tcPr>
            <w:tcW w:w="0" w:type="auto"/>
            <w:vAlign w:val="center"/>
          </w:tcPr>
          <w:p w:rsidR="00024C0A" w:rsidRDefault="00694C0F">
            <w:pPr>
              <w:pStyle w:val="TableBodyText"/>
            </w:pPr>
            <w:r>
              <w:t>fy-NL</w:t>
            </w:r>
          </w:p>
        </w:tc>
      </w:tr>
      <w:tr w:rsidR="00024C0A" w:rsidTr="00024C0A">
        <w:tc>
          <w:tcPr>
            <w:tcW w:w="0" w:type="auto"/>
            <w:vAlign w:val="center"/>
          </w:tcPr>
          <w:p w:rsidR="00024C0A" w:rsidRDefault="00694C0F">
            <w:pPr>
              <w:pStyle w:val="TableBodyText"/>
            </w:pPr>
            <w:r>
              <w:t>Galician</w:t>
            </w:r>
          </w:p>
        </w:tc>
        <w:tc>
          <w:tcPr>
            <w:tcW w:w="0" w:type="auto"/>
            <w:vAlign w:val="center"/>
          </w:tcPr>
          <w:p w:rsidR="00024C0A" w:rsidRDefault="00694C0F">
            <w:pPr>
              <w:pStyle w:val="TableBodyText"/>
            </w:pPr>
            <w:r>
              <w:t>Galicia</w:t>
            </w:r>
          </w:p>
        </w:tc>
        <w:tc>
          <w:tcPr>
            <w:tcW w:w="0" w:type="auto"/>
            <w:vAlign w:val="center"/>
          </w:tcPr>
          <w:p w:rsidR="00024C0A" w:rsidRDefault="00694C0F">
            <w:pPr>
              <w:pStyle w:val="TableBodyText"/>
            </w:pPr>
            <w:r>
              <w:t>gl-ES</w:t>
            </w:r>
          </w:p>
        </w:tc>
      </w:tr>
      <w:tr w:rsidR="00024C0A" w:rsidTr="00024C0A">
        <w:tc>
          <w:tcPr>
            <w:tcW w:w="0" w:type="auto"/>
            <w:vAlign w:val="center"/>
          </w:tcPr>
          <w:p w:rsidR="00024C0A" w:rsidRDefault="00694C0F">
            <w:pPr>
              <w:pStyle w:val="TableBodyText"/>
            </w:pPr>
            <w:r>
              <w:t>Georgian</w:t>
            </w:r>
          </w:p>
        </w:tc>
        <w:tc>
          <w:tcPr>
            <w:tcW w:w="0" w:type="auto"/>
            <w:vAlign w:val="center"/>
          </w:tcPr>
          <w:p w:rsidR="00024C0A" w:rsidRDefault="00694C0F">
            <w:pPr>
              <w:pStyle w:val="TableBodyText"/>
            </w:pPr>
            <w:r>
              <w:t>Georgia</w:t>
            </w:r>
          </w:p>
        </w:tc>
        <w:tc>
          <w:tcPr>
            <w:tcW w:w="0" w:type="auto"/>
            <w:vAlign w:val="center"/>
          </w:tcPr>
          <w:p w:rsidR="00024C0A" w:rsidRDefault="00694C0F">
            <w:pPr>
              <w:pStyle w:val="TableBodyText"/>
            </w:pPr>
            <w:r>
              <w:t>ka-GE</w:t>
            </w:r>
          </w:p>
        </w:tc>
      </w:tr>
      <w:tr w:rsidR="00024C0A" w:rsidTr="00024C0A">
        <w:tc>
          <w:tcPr>
            <w:tcW w:w="0" w:type="auto"/>
            <w:vAlign w:val="center"/>
          </w:tcPr>
          <w:p w:rsidR="00024C0A" w:rsidRDefault="00694C0F">
            <w:pPr>
              <w:pStyle w:val="TableBodyText"/>
            </w:pPr>
            <w:r>
              <w:t>German</w:t>
            </w:r>
          </w:p>
        </w:tc>
        <w:tc>
          <w:tcPr>
            <w:tcW w:w="0" w:type="auto"/>
            <w:vAlign w:val="center"/>
          </w:tcPr>
          <w:p w:rsidR="00024C0A" w:rsidRDefault="00694C0F">
            <w:pPr>
              <w:pStyle w:val="TableBodyText"/>
            </w:pPr>
            <w:r>
              <w:t>Austria</w:t>
            </w:r>
          </w:p>
        </w:tc>
        <w:tc>
          <w:tcPr>
            <w:tcW w:w="0" w:type="auto"/>
            <w:vAlign w:val="center"/>
          </w:tcPr>
          <w:p w:rsidR="00024C0A" w:rsidRDefault="00694C0F">
            <w:pPr>
              <w:pStyle w:val="TableBodyText"/>
            </w:pPr>
            <w:r>
              <w:t>de-AT</w:t>
            </w:r>
          </w:p>
        </w:tc>
      </w:tr>
      <w:tr w:rsidR="00024C0A" w:rsidTr="00024C0A">
        <w:tc>
          <w:tcPr>
            <w:tcW w:w="0" w:type="auto"/>
            <w:vAlign w:val="center"/>
          </w:tcPr>
          <w:p w:rsidR="00024C0A" w:rsidRDefault="00694C0F">
            <w:pPr>
              <w:pStyle w:val="TableBodyText"/>
            </w:pPr>
            <w:r>
              <w:t>German</w:t>
            </w:r>
          </w:p>
        </w:tc>
        <w:tc>
          <w:tcPr>
            <w:tcW w:w="0" w:type="auto"/>
            <w:vAlign w:val="center"/>
          </w:tcPr>
          <w:p w:rsidR="00024C0A" w:rsidRDefault="00694C0F">
            <w:pPr>
              <w:pStyle w:val="TableBodyText"/>
            </w:pPr>
            <w:r>
              <w:t>Germany</w:t>
            </w:r>
          </w:p>
        </w:tc>
        <w:tc>
          <w:tcPr>
            <w:tcW w:w="0" w:type="auto"/>
            <w:vAlign w:val="center"/>
          </w:tcPr>
          <w:p w:rsidR="00024C0A" w:rsidRDefault="00694C0F">
            <w:pPr>
              <w:pStyle w:val="TableBodyText"/>
            </w:pPr>
            <w:r>
              <w:t>de-DE</w:t>
            </w:r>
          </w:p>
        </w:tc>
      </w:tr>
      <w:tr w:rsidR="00024C0A" w:rsidTr="00024C0A">
        <w:tc>
          <w:tcPr>
            <w:tcW w:w="0" w:type="auto"/>
            <w:vAlign w:val="center"/>
          </w:tcPr>
          <w:p w:rsidR="00024C0A" w:rsidRDefault="00694C0F">
            <w:pPr>
              <w:pStyle w:val="TableBodyText"/>
            </w:pPr>
            <w:r>
              <w:lastRenderedPageBreak/>
              <w:t>German</w:t>
            </w:r>
          </w:p>
        </w:tc>
        <w:tc>
          <w:tcPr>
            <w:tcW w:w="0" w:type="auto"/>
            <w:vAlign w:val="center"/>
          </w:tcPr>
          <w:p w:rsidR="00024C0A" w:rsidRDefault="00694C0F">
            <w:pPr>
              <w:pStyle w:val="TableBodyText"/>
            </w:pPr>
            <w:r>
              <w:t>Liechtenstein</w:t>
            </w:r>
          </w:p>
        </w:tc>
        <w:tc>
          <w:tcPr>
            <w:tcW w:w="0" w:type="auto"/>
            <w:vAlign w:val="center"/>
          </w:tcPr>
          <w:p w:rsidR="00024C0A" w:rsidRDefault="00694C0F">
            <w:pPr>
              <w:pStyle w:val="TableBodyText"/>
            </w:pPr>
            <w:r>
              <w:t>de-LI</w:t>
            </w:r>
          </w:p>
        </w:tc>
      </w:tr>
      <w:tr w:rsidR="00024C0A" w:rsidTr="00024C0A">
        <w:tc>
          <w:tcPr>
            <w:tcW w:w="0" w:type="auto"/>
            <w:vAlign w:val="center"/>
          </w:tcPr>
          <w:p w:rsidR="00024C0A" w:rsidRDefault="00694C0F">
            <w:pPr>
              <w:pStyle w:val="TableBodyText"/>
            </w:pPr>
            <w:r>
              <w:t>German</w:t>
            </w:r>
          </w:p>
        </w:tc>
        <w:tc>
          <w:tcPr>
            <w:tcW w:w="0" w:type="auto"/>
            <w:vAlign w:val="center"/>
          </w:tcPr>
          <w:p w:rsidR="00024C0A" w:rsidRDefault="00694C0F">
            <w:pPr>
              <w:pStyle w:val="TableBodyText"/>
            </w:pPr>
            <w:r>
              <w:t>Luxembourg</w:t>
            </w:r>
          </w:p>
        </w:tc>
        <w:tc>
          <w:tcPr>
            <w:tcW w:w="0" w:type="auto"/>
            <w:vAlign w:val="center"/>
          </w:tcPr>
          <w:p w:rsidR="00024C0A" w:rsidRDefault="00694C0F">
            <w:pPr>
              <w:pStyle w:val="TableBodyText"/>
            </w:pPr>
            <w:r>
              <w:t>de-LU</w:t>
            </w:r>
          </w:p>
        </w:tc>
      </w:tr>
      <w:tr w:rsidR="00024C0A" w:rsidTr="00024C0A">
        <w:tc>
          <w:tcPr>
            <w:tcW w:w="0" w:type="auto"/>
            <w:vAlign w:val="center"/>
          </w:tcPr>
          <w:p w:rsidR="00024C0A" w:rsidRDefault="00694C0F">
            <w:pPr>
              <w:pStyle w:val="TableBodyText"/>
            </w:pPr>
            <w:r>
              <w:t>German</w:t>
            </w:r>
          </w:p>
        </w:tc>
        <w:tc>
          <w:tcPr>
            <w:tcW w:w="0" w:type="auto"/>
            <w:vAlign w:val="center"/>
          </w:tcPr>
          <w:p w:rsidR="00024C0A" w:rsidRDefault="00694C0F">
            <w:pPr>
              <w:pStyle w:val="TableBodyText"/>
            </w:pPr>
            <w:r>
              <w:t>Switzerland</w:t>
            </w:r>
          </w:p>
        </w:tc>
        <w:tc>
          <w:tcPr>
            <w:tcW w:w="0" w:type="auto"/>
            <w:vAlign w:val="center"/>
          </w:tcPr>
          <w:p w:rsidR="00024C0A" w:rsidRDefault="00694C0F">
            <w:pPr>
              <w:pStyle w:val="TableBodyText"/>
            </w:pPr>
            <w:r>
              <w:t>de-CH</w:t>
            </w:r>
          </w:p>
        </w:tc>
      </w:tr>
      <w:tr w:rsidR="00024C0A" w:rsidTr="00024C0A">
        <w:tc>
          <w:tcPr>
            <w:tcW w:w="0" w:type="auto"/>
            <w:vAlign w:val="center"/>
          </w:tcPr>
          <w:p w:rsidR="00024C0A" w:rsidRDefault="00694C0F">
            <w:pPr>
              <w:pStyle w:val="TableBodyText"/>
            </w:pPr>
            <w:r>
              <w:t>Greek</w:t>
            </w:r>
          </w:p>
        </w:tc>
        <w:tc>
          <w:tcPr>
            <w:tcW w:w="0" w:type="auto"/>
            <w:vAlign w:val="center"/>
          </w:tcPr>
          <w:p w:rsidR="00024C0A" w:rsidRDefault="00694C0F">
            <w:pPr>
              <w:pStyle w:val="TableBodyText"/>
            </w:pPr>
            <w:r>
              <w:t>Greece</w:t>
            </w:r>
          </w:p>
        </w:tc>
        <w:tc>
          <w:tcPr>
            <w:tcW w:w="0" w:type="auto"/>
            <w:vAlign w:val="center"/>
          </w:tcPr>
          <w:p w:rsidR="00024C0A" w:rsidRDefault="00694C0F">
            <w:pPr>
              <w:pStyle w:val="TableBodyText"/>
            </w:pPr>
            <w:r>
              <w:t>el-GR</w:t>
            </w:r>
          </w:p>
        </w:tc>
      </w:tr>
      <w:tr w:rsidR="00024C0A" w:rsidTr="00024C0A">
        <w:tc>
          <w:tcPr>
            <w:tcW w:w="0" w:type="auto"/>
            <w:vAlign w:val="center"/>
          </w:tcPr>
          <w:p w:rsidR="00024C0A" w:rsidRDefault="00694C0F">
            <w:pPr>
              <w:pStyle w:val="TableBodyText"/>
            </w:pPr>
            <w:r>
              <w:t>Greenlandic</w:t>
            </w:r>
          </w:p>
        </w:tc>
        <w:tc>
          <w:tcPr>
            <w:tcW w:w="0" w:type="auto"/>
            <w:vAlign w:val="center"/>
          </w:tcPr>
          <w:p w:rsidR="00024C0A" w:rsidRDefault="00694C0F">
            <w:pPr>
              <w:pStyle w:val="TableBodyText"/>
            </w:pPr>
            <w:r>
              <w:t>Greenland</w:t>
            </w:r>
          </w:p>
        </w:tc>
        <w:tc>
          <w:tcPr>
            <w:tcW w:w="0" w:type="auto"/>
            <w:vAlign w:val="center"/>
          </w:tcPr>
          <w:p w:rsidR="00024C0A" w:rsidRDefault="00694C0F">
            <w:pPr>
              <w:pStyle w:val="TableBodyText"/>
            </w:pPr>
            <w:r>
              <w:t>kl-GL</w:t>
            </w:r>
          </w:p>
        </w:tc>
      </w:tr>
      <w:tr w:rsidR="00024C0A" w:rsidTr="00024C0A">
        <w:tc>
          <w:tcPr>
            <w:tcW w:w="0" w:type="auto"/>
            <w:vAlign w:val="center"/>
          </w:tcPr>
          <w:p w:rsidR="00024C0A" w:rsidRDefault="00694C0F">
            <w:pPr>
              <w:pStyle w:val="TableBodyText"/>
            </w:pPr>
            <w:r>
              <w:t>Gujarati (Gujarati Script)</w:t>
            </w:r>
          </w:p>
        </w:tc>
        <w:tc>
          <w:tcPr>
            <w:tcW w:w="0" w:type="auto"/>
            <w:vAlign w:val="center"/>
          </w:tcPr>
          <w:p w:rsidR="00024C0A" w:rsidRDefault="00694C0F">
            <w:pPr>
              <w:pStyle w:val="TableBodyText"/>
            </w:pPr>
            <w:r>
              <w:t xml:space="preserve">India </w:t>
            </w:r>
          </w:p>
        </w:tc>
        <w:tc>
          <w:tcPr>
            <w:tcW w:w="0" w:type="auto"/>
            <w:vAlign w:val="center"/>
          </w:tcPr>
          <w:p w:rsidR="00024C0A" w:rsidRDefault="00694C0F">
            <w:pPr>
              <w:pStyle w:val="TableBodyText"/>
            </w:pPr>
            <w:r>
              <w:t>gu-IN</w:t>
            </w:r>
          </w:p>
        </w:tc>
      </w:tr>
      <w:tr w:rsidR="00024C0A" w:rsidTr="00024C0A">
        <w:tc>
          <w:tcPr>
            <w:tcW w:w="0" w:type="auto"/>
            <w:vAlign w:val="center"/>
          </w:tcPr>
          <w:p w:rsidR="00024C0A" w:rsidRDefault="00694C0F">
            <w:pPr>
              <w:pStyle w:val="TableBodyText"/>
            </w:pPr>
            <w:r>
              <w:t>Hausa (Latin)</w:t>
            </w:r>
          </w:p>
        </w:tc>
        <w:tc>
          <w:tcPr>
            <w:tcW w:w="0" w:type="auto"/>
            <w:vAlign w:val="center"/>
          </w:tcPr>
          <w:p w:rsidR="00024C0A" w:rsidRDefault="00694C0F">
            <w:pPr>
              <w:pStyle w:val="TableBodyText"/>
            </w:pPr>
            <w:r>
              <w:t>Nigeria</w:t>
            </w:r>
          </w:p>
        </w:tc>
        <w:tc>
          <w:tcPr>
            <w:tcW w:w="0" w:type="auto"/>
            <w:vAlign w:val="center"/>
          </w:tcPr>
          <w:p w:rsidR="00024C0A" w:rsidRDefault="00694C0F">
            <w:pPr>
              <w:pStyle w:val="TableBodyText"/>
            </w:pPr>
            <w:r>
              <w:t xml:space="preserve">ha-NG-Latn </w:t>
            </w:r>
          </w:p>
        </w:tc>
      </w:tr>
      <w:tr w:rsidR="00024C0A" w:rsidTr="00024C0A">
        <w:tc>
          <w:tcPr>
            <w:tcW w:w="0" w:type="auto"/>
            <w:vAlign w:val="center"/>
          </w:tcPr>
          <w:p w:rsidR="00024C0A" w:rsidRDefault="00694C0F">
            <w:pPr>
              <w:pStyle w:val="TableBodyText"/>
            </w:pPr>
            <w:r>
              <w:t>Hebrew</w:t>
            </w:r>
          </w:p>
        </w:tc>
        <w:tc>
          <w:tcPr>
            <w:tcW w:w="0" w:type="auto"/>
            <w:vAlign w:val="center"/>
          </w:tcPr>
          <w:p w:rsidR="00024C0A" w:rsidRDefault="00694C0F">
            <w:pPr>
              <w:pStyle w:val="TableBodyText"/>
            </w:pPr>
            <w:r>
              <w:t>Israel</w:t>
            </w:r>
          </w:p>
        </w:tc>
        <w:tc>
          <w:tcPr>
            <w:tcW w:w="0" w:type="auto"/>
            <w:vAlign w:val="center"/>
          </w:tcPr>
          <w:p w:rsidR="00024C0A" w:rsidRDefault="00694C0F">
            <w:pPr>
              <w:pStyle w:val="TableBodyText"/>
            </w:pPr>
            <w:r>
              <w:t>he-IL</w:t>
            </w:r>
          </w:p>
        </w:tc>
      </w:tr>
      <w:tr w:rsidR="00024C0A" w:rsidTr="00024C0A">
        <w:tc>
          <w:tcPr>
            <w:tcW w:w="0" w:type="auto"/>
            <w:vAlign w:val="center"/>
          </w:tcPr>
          <w:p w:rsidR="00024C0A" w:rsidRDefault="00694C0F">
            <w:pPr>
              <w:pStyle w:val="TableBodyText"/>
            </w:pPr>
            <w:r>
              <w:t>Hindi</w:t>
            </w:r>
          </w:p>
        </w:tc>
        <w:tc>
          <w:tcPr>
            <w:tcW w:w="0" w:type="auto"/>
            <w:vAlign w:val="center"/>
          </w:tcPr>
          <w:p w:rsidR="00024C0A" w:rsidRDefault="00694C0F">
            <w:pPr>
              <w:pStyle w:val="TableBodyText"/>
            </w:pPr>
            <w:r>
              <w:t>India</w:t>
            </w:r>
          </w:p>
        </w:tc>
        <w:tc>
          <w:tcPr>
            <w:tcW w:w="0" w:type="auto"/>
            <w:vAlign w:val="center"/>
          </w:tcPr>
          <w:p w:rsidR="00024C0A" w:rsidRDefault="00694C0F">
            <w:pPr>
              <w:pStyle w:val="TableBodyText"/>
            </w:pPr>
            <w:r>
              <w:t>hi-IN</w:t>
            </w:r>
          </w:p>
        </w:tc>
      </w:tr>
      <w:tr w:rsidR="00024C0A" w:rsidTr="00024C0A">
        <w:tc>
          <w:tcPr>
            <w:tcW w:w="0" w:type="auto"/>
            <w:vAlign w:val="center"/>
          </w:tcPr>
          <w:p w:rsidR="00024C0A" w:rsidRDefault="00694C0F">
            <w:pPr>
              <w:pStyle w:val="TableBodyText"/>
            </w:pPr>
            <w:r>
              <w:t>Hungarian</w:t>
            </w:r>
          </w:p>
        </w:tc>
        <w:tc>
          <w:tcPr>
            <w:tcW w:w="0" w:type="auto"/>
            <w:vAlign w:val="center"/>
          </w:tcPr>
          <w:p w:rsidR="00024C0A" w:rsidRDefault="00694C0F">
            <w:pPr>
              <w:pStyle w:val="TableBodyText"/>
            </w:pPr>
            <w:r>
              <w:t>Hungary</w:t>
            </w:r>
          </w:p>
        </w:tc>
        <w:tc>
          <w:tcPr>
            <w:tcW w:w="0" w:type="auto"/>
            <w:vAlign w:val="center"/>
          </w:tcPr>
          <w:p w:rsidR="00024C0A" w:rsidRDefault="00694C0F">
            <w:pPr>
              <w:pStyle w:val="TableBodyText"/>
            </w:pPr>
            <w:r>
              <w:t>hu-HU</w:t>
            </w:r>
          </w:p>
        </w:tc>
      </w:tr>
      <w:tr w:rsidR="00024C0A" w:rsidTr="00024C0A">
        <w:tc>
          <w:tcPr>
            <w:tcW w:w="0" w:type="auto"/>
            <w:vAlign w:val="center"/>
          </w:tcPr>
          <w:p w:rsidR="00024C0A" w:rsidRDefault="00694C0F">
            <w:pPr>
              <w:pStyle w:val="TableBodyText"/>
            </w:pPr>
            <w:r>
              <w:t>Icelandic</w:t>
            </w:r>
          </w:p>
        </w:tc>
        <w:tc>
          <w:tcPr>
            <w:tcW w:w="0" w:type="auto"/>
            <w:vAlign w:val="center"/>
          </w:tcPr>
          <w:p w:rsidR="00024C0A" w:rsidRDefault="00694C0F">
            <w:pPr>
              <w:pStyle w:val="TableBodyText"/>
            </w:pPr>
            <w:r>
              <w:t>Iceland</w:t>
            </w:r>
          </w:p>
        </w:tc>
        <w:tc>
          <w:tcPr>
            <w:tcW w:w="0" w:type="auto"/>
            <w:vAlign w:val="center"/>
          </w:tcPr>
          <w:p w:rsidR="00024C0A" w:rsidRDefault="00694C0F">
            <w:pPr>
              <w:pStyle w:val="TableBodyText"/>
            </w:pPr>
            <w:r>
              <w:t>is-IS</w:t>
            </w:r>
          </w:p>
        </w:tc>
      </w:tr>
      <w:tr w:rsidR="00024C0A" w:rsidTr="00024C0A">
        <w:tc>
          <w:tcPr>
            <w:tcW w:w="0" w:type="auto"/>
            <w:vAlign w:val="center"/>
          </w:tcPr>
          <w:p w:rsidR="00024C0A" w:rsidRDefault="00694C0F">
            <w:pPr>
              <w:pStyle w:val="TableBodyText"/>
            </w:pPr>
            <w:r>
              <w:t xml:space="preserve">Igbo </w:t>
            </w:r>
          </w:p>
        </w:tc>
        <w:tc>
          <w:tcPr>
            <w:tcW w:w="0" w:type="auto"/>
            <w:vAlign w:val="center"/>
          </w:tcPr>
          <w:p w:rsidR="00024C0A" w:rsidRDefault="00694C0F">
            <w:pPr>
              <w:pStyle w:val="TableBodyText"/>
            </w:pPr>
            <w:r>
              <w:t>Nigeria</w:t>
            </w:r>
          </w:p>
        </w:tc>
        <w:tc>
          <w:tcPr>
            <w:tcW w:w="0" w:type="auto"/>
            <w:vAlign w:val="center"/>
          </w:tcPr>
          <w:p w:rsidR="00024C0A" w:rsidRDefault="00694C0F">
            <w:pPr>
              <w:pStyle w:val="TableBodyText"/>
            </w:pPr>
            <w:r>
              <w:t xml:space="preserve">ig-NG </w:t>
            </w:r>
          </w:p>
        </w:tc>
      </w:tr>
      <w:tr w:rsidR="00024C0A" w:rsidTr="00024C0A">
        <w:tc>
          <w:tcPr>
            <w:tcW w:w="0" w:type="auto"/>
            <w:vAlign w:val="center"/>
          </w:tcPr>
          <w:p w:rsidR="00024C0A" w:rsidRDefault="00694C0F">
            <w:pPr>
              <w:pStyle w:val="TableBodyText"/>
            </w:pPr>
            <w:r>
              <w:t>Inari Sami</w:t>
            </w:r>
          </w:p>
        </w:tc>
        <w:tc>
          <w:tcPr>
            <w:tcW w:w="0" w:type="auto"/>
            <w:vAlign w:val="center"/>
          </w:tcPr>
          <w:p w:rsidR="00024C0A" w:rsidRDefault="00694C0F">
            <w:pPr>
              <w:pStyle w:val="TableBodyText"/>
            </w:pPr>
            <w:r>
              <w:t>Finland</w:t>
            </w:r>
          </w:p>
        </w:tc>
        <w:tc>
          <w:tcPr>
            <w:tcW w:w="0" w:type="auto"/>
            <w:vAlign w:val="center"/>
          </w:tcPr>
          <w:p w:rsidR="00024C0A" w:rsidRDefault="00694C0F">
            <w:pPr>
              <w:pStyle w:val="TableBodyText"/>
            </w:pPr>
            <w:r>
              <w:t>smn-FI</w:t>
            </w:r>
          </w:p>
        </w:tc>
      </w:tr>
      <w:tr w:rsidR="00024C0A" w:rsidTr="00024C0A">
        <w:tc>
          <w:tcPr>
            <w:tcW w:w="0" w:type="auto"/>
            <w:vAlign w:val="center"/>
          </w:tcPr>
          <w:p w:rsidR="00024C0A" w:rsidRDefault="00694C0F">
            <w:pPr>
              <w:pStyle w:val="TableBodyText"/>
            </w:pPr>
            <w:r>
              <w:t>Indonesian</w:t>
            </w:r>
          </w:p>
        </w:tc>
        <w:tc>
          <w:tcPr>
            <w:tcW w:w="0" w:type="auto"/>
            <w:vAlign w:val="center"/>
          </w:tcPr>
          <w:p w:rsidR="00024C0A" w:rsidRDefault="00694C0F">
            <w:pPr>
              <w:pStyle w:val="TableBodyText"/>
            </w:pPr>
            <w:r>
              <w:t>Indonesia</w:t>
            </w:r>
          </w:p>
        </w:tc>
        <w:tc>
          <w:tcPr>
            <w:tcW w:w="0" w:type="auto"/>
            <w:vAlign w:val="center"/>
          </w:tcPr>
          <w:p w:rsidR="00024C0A" w:rsidRDefault="00694C0F">
            <w:pPr>
              <w:pStyle w:val="TableBodyText"/>
            </w:pPr>
            <w:r>
              <w:t>id-ID</w:t>
            </w:r>
          </w:p>
        </w:tc>
      </w:tr>
      <w:tr w:rsidR="00024C0A" w:rsidTr="00024C0A">
        <w:tc>
          <w:tcPr>
            <w:tcW w:w="0" w:type="auto"/>
            <w:vAlign w:val="center"/>
          </w:tcPr>
          <w:p w:rsidR="00024C0A" w:rsidRDefault="00694C0F">
            <w:pPr>
              <w:pStyle w:val="TableBodyText"/>
            </w:pPr>
            <w:r>
              <w:t>Inuktitut (Latin)</w:t>
            </w:r>
          </w:p>
        </w:tc>
        <w:tc>
          <w:tcPr>
            <w:tcW w:w="0" w:type="auto"/>
            <w:vAlign w:val="center"/>
          </w:tcPr>
          <w:p w:rsidR="00024C0A" w:rsidRDefault="00694C0F">
            <w:pPr>
              <w:pStyle w:val="TableBodyText"/>
            </w:pPr>
            <w:r>
              <w:t>Canada</w:t>
            </w:r>
          </w:p>
        </w:tc>
        <w:tc>
          <w:tcPr>
            <w:tcW w:w="0" w:type="auto"/>
            <w:vAlign w:val="center"/>
          </w:tcPr>
          <w:p w:rsidR="00024C0A" w:rsidRDefault="00694C0F">
            <w:pPr>
              <w:pStyle w:val="TableBodyText"/>
            </w:pPr>
            <w:r>
              <w:t>iu-CA-Latn</w:t>
            </w:r>
          </w:p>
        </w:tc>
      </w:tr>
      <w:tr w:rsidR="00024C0A" w:rsidTr="00024C0A">
        <w:tc>
          <w:tcPr>
            <w:tcW w:w="0" w:type="auto"/>
            <w:vAlign w:val="center"/>
          </w:tcPr>
          <w:p w:rsidR="00024C0A" w:rsidRDefault="00694C0F">
            <w:pPr>
              <w:pStyle w:val="TableBodyText"/>
            </w:pPr>
            <w:r>
              <w:t xml:space="preserve">Inuktitut </w:t>
            </w:r>
            <w:r>
              <w:t>(Syllabics)</w:t>
            </w:r>
          </w:p>
        </w:tc>
        <w:tc>
          <w:tcPr>
            <w:tcW w:w="0" w:type="auto"/>
            <w:vAlign w:val="center"/>
          </w:tcPr>
          <w:p w:rsidR="00024C0A" w:rsidRDefault="00694C0F">
            <w:pPr>
              <w:pStyle w:val="TableBodyText"/>
            </w:pPr>
            <w:r>
              <w:t>Canada</w:t>
            </w:r>
          </w:p>
        </w:tc>
        <w:tc>
          <w:tcPr>
            <w:tcW w:w="0" w:type="auto"/>
            <w:vAlign w:val="center"/>
          </w:tcPr>
          <w:p w:rsidR="00024C0A" w:rsidRDefault="00694C0F">
            <w:pPr>
              <w:pStyle w:val="TableBodyText"/>
            </w:pPr>
            <w:r>
              <w:t>iu-CA-Cans</w:t>
            </w:r>
          </w:p>
        </w:tc>
      </w:tr>
      <w:tr w:rsidR="00024C0A" w:rsidTr="00024C0A">
        <w:tc>
          <w:tcPr>
            <w:tcW w:w="0" w:type="auto"/>
            <w:vAlign w:val="center"/>
          </w:tcPr>
          <w:p w:rsidR="00024C0A" w:rsidRDefault="00694C0F">
            <w:pPr>
              <w:pStyle w:val="TableBodyText"/>
            </w:pPr>
            <w:r>
              <w:t>Irish</w:t>
            </w:r>
          </w:p>
        </w:tc>
        <w:tc>
          <w:tcPr>
            <w:tcW w:w="0" w:type="auto"/>
            <w:vAlign w:val="center"/>
          </w:tcPr>
          <w:p w:rsidR="00024C0A" w:rsidRDefault="00694C0F">
            <w:pPr>
              <w:pStyle w:val="TableBodyText"/>
            </w:pPr>
            <w:r>
              <w:t>Ireland</w:t>
            </w:r>
          </w:p>
        </w:tc>
        <w:tc>
          <w:tcPr>
            <w:tcW w:w="0" w:type="auto"/>
            <w:vAlign w:val="center"/>
          </w:tcPr>
          <w:p w:rsidR="00024C0A" w:rsidRDefault="00694C0F">
            <w:pPr>
              <w:pStyle w:val="TableBodyText"/>
            </w:pPr>
            <w:r>
              <w:t>ga-IE</w:t>
            </w:r>
          </w:p>
        </w:tc>
      </w:tr>
      <w:tr w:rsidR="00024C0A" w:rsidTr="00024C0A">
        <w:tc>
          <w:tcPr>
            <w:tcW w:w="0" w:type="auto"/>
            <w:vAlign w:val="center"/>
          </w:tcPr>
          <w:p w:rsidR="00024C0A" w:rsidRDefault="00694C0F">
            <w:pPr>
              <w:pStyle w:val="TableBodyText"/>
            </w:pPr>
            <w:r>
              <w:t>isiXhosa / Xhosa</w:t>
            </w:r>
          </w:p>
        </w:tc>
        <w:tc>
          <w:tcPr>
            <w:tcW w:w="0" w:type="auto"/>
            <w:vAlign w:val="center"/>
          </w:tcPr>
          <w:p w:rsidR="00024C0A" w:rsidRDefault="00694C0F">
            <w:pPr>
              <w:pStyle w:val="TableBodyText"/>
            </w:pPr>
            <w:r>
              <w:t>South Africa</w:t>
            </w:r>
          </w:p>
        </w:tc>
        <w:tc>
          <w:tcPr>
            <w:tcW w:w="0" w:type="auto"/>
            <w:vAlign w:val="center"/>
          </w:tcPr>
          <w:p w:rsidR="00024C0A" w:rsidRDefault="00694C0F">
            <w:pPr>
              <w:pStyle w:val="TableBodyText"/>
            </w:pPr>
            <w:r>
              <w:t>xh-ZA</w:t>
            </w:r>
          </w:p>
        </w:tc>
      </w:tr>
      <w:tr w:rsidR="00024C0A" w:rsidTr="00024C0A">
        <w:tc>
          <w:tcPr>
            <w:tcW w:w="0" w:type="auto"/>
            <w:vAlign w:val="center"/>
          </w:tcPr>
          <w:p w:rsidR="00024C0A" w:rsidRDefault="00694C0F">
            <w:pPr>
              <w:pStyle w:val="TableBodyText"/>
            </w:pPr>
            <w:r>
              <w:t>isiZulu / Zulu</w:t>
            </w:r>
          </w:p>
        </w:tc>
        <w:tc>
          <w:tcPr>
            <w:tcW w:w="0" w:type="auto"/>
            <w:vAlign w:val="center"/>
          </w:tcPr>
          <w:p w:rsidR="00024C0A" w:rsidRDefault="00694C0F">
            <w:pPr>
              <w:pStyle w:val="TableBodyText"/>
            </w:pPr>
            <w:r>
              <w:t>South Africa</w:t>
            </w:r>
          </w:p>
        </w:tc>
        <w:tc>
          <w:tcPr>
            <w:tcW w:w="0" w:type="auto"/>
            <w:vAlign w:val="center"/>
          </w:tcPr>
          <w:p w:rsidR="00024C0A" w:rsidRDefault="00694C0F">
            <w:pPr>
              <w:pStyle w:val="TableBodyText"/>
            </w:pPr>
            <w:r>
              <w:t>zu-ZA</w:t>
            </w:r>
          </w:p>
        </w:tc>
      </w:tr>
      <w:tr w:rsidR="00024C0A" w:rsidTr="00024C0A">
        <w:tc>
          <w:tcPr>
            <w:tcW w:w="0" w:type="auto"/>
            <w:vAlign w:val="center"/>
          </w:tcPr>
          <w:p w:rsidR="00024C0A" w:rsidRDefault="00694C0F">
            <w:pPr>
              <w:pStyle w:val="TableBodyText"/>
            </w:pPr>
            <w:r>
              <w:t>Italian</w:t>
            </w:r>
          </w:p>
        </w:tc>
        <w:tc>
          <w:tcPr>
            <w:tcW w:w="0" w:type="auto"/>
            <w:vAlign w:val="center"/>
          </w:tcPr>
          <w:p w:rsidR="00024C0A" w:rsidRDefault="00694C0F">
            <w:pPr>
              <w:pStyle w:val="TableBodyText"/>
            </w:pPr>
            <w:r>
              <w:t>Italy</w:t>
            </w:r>
          </w:p>
        </w:tc>
        <w:tc>
          <w:tcPr>
            <w:tcW w:w="0" w:type="auto"/>
            <w:vAlign w:val="center"/>
          </w:tcPr>
          <w:p w:rsidR="00024C0A" w:rsidRDefault="00694C0F">
            <w:pPr>
              <w:pStyle w:val="TableBodyText"/>
            </w:pPr>
            <w:r>
              <w:t>it-IT</w:t>
            </w:r>
          </w:p>
        </w:tc>
      </w:tr>
      <w:tr w:rsidR="00024C0A" w:rsidTr="00024C0A">
        <w:tc>
          <w:tcPr>
            <w:tcW w:w="0" w:type="auto"/>
            <w:vAlign w:val="center"/>
          </w:tcPr>
          <w:p w:rsidR="00024C0A" w:rsidRDefault="00694C0F">
            <w:pPr>
              <w:pStyle w:val="TableBodyText"/>
            </w:pPr>
            <w:r>
              <w:t>Italian</w:t>
            </w:r>
          </w:p>
        </w:tc>
        <w:tc>
          <w:tcPr>
            <w:tcW w:w="0" w:type="auto"/>
            <w:vAlign w:val="center"/>
          </w:tcPr>
          <w:p w:rsidR="00024C0A" w:rsidRDefault="00694C0F">
            <w:pPr>
              <w:pStyle w:val="TableBodyText"/>
            </w:pPr>
            <w:r>
              <w:t>Switzerland</w:t>
            </w:r>
          </w:p>
        </w:tc>
        <w:tc>
          <w:tcPr>
            <w:tcW w:w="0" w:type="auto"/>
            <w:vAlign w:val="center"/>
          </w:tcPr>
          <w:p w:rsidR="00024C0A" w:rsidRDefault="00694C0F">
            <w:pPr>
              <w:pStyle w:val="TableBodyText"/>
            </w:pPr>
            <w:r>
              <w:t>it-CH</w:t>
            </w:r>
          </w:p>
        </w:tc>
      </w:tr>
      <w:tr w:rsidR="00024C0A" w:rsidTr="00024C0A">
        <w:tc>
          <w:tcPr>
            <w:tcW w:w="0" w:type="auto"/>
            <w:vAlign w:val="center"/>
          </w:tcPr>
          <w:p w:rsidR="00024C0A" w:rsidRDefault="00694C0F">
            <w:pPr>
              <w:pStyle w:val="TableBodyText"/>
            </w:pPr>
            <w:r>
              <w:t>Japanese</w:t>
            </w:r>
          </w:p>
        </w:tc>
        <w:tc>
          <w:tcPr>
            <w:tcW w:w="0" w:type="auto"/>
            <w:vAlign w:val="center"/>
          </w:tcPr>
          <w:p w:rsidR="00024C0A" w:rsidRDefault="00694C0F">
            <w:pPr>
              <w:pStyle w:val="TableBodyText"/>
            </w:pPr>
            <w:r>
              <w:t>Japan</w:t>
            </w:r>
          </w:p>
        </w:tc>
        <w:tc>
          <w:tcPr>
            <w:tcW w:w="0" w:type="auto"/>
            <w:vAlign w:val="center"/>
          </w:tcPr>
          <w:p w:rsidR="00024C0A" w:rsidRDefault="00694C0F">
            <w:pPr>
              <w:pStyle w:val="TableBodyText"/>
            </w:pPr>
            <w:r>
              <w:t>ja-JP</w:t>
            </w:r>
          </w:p>
        </w:tc>
      </w:tr>
      <w:tr w:rsidR="00024C0A" w:rsidTr="00024C0A">
        <w:tc>
          <w:tcPr>
            <w:tcW w:w="0" w:type="auto"/>
            <w:vAlign w:val="center"/>
          </w:tcPr>
          <w:p w:rsidR="00024C0A" w:rsidRDefault="00694C0F">
            <w:pPr>
              <w:pStyle w:val="TableBodyText"/>
            </w:pPr>
            <w:r>
              <w:t>Kannada (Kannada Script)</w:t>
            </w:r>
          </w:p>
        </w:tc>
        <w:tc>
          <w:tcPr>
            <w:tcW w:w="0" w:type="auto"/>
            <w:vAlign w:val="center"/>
          </w:tcPr>
          <w:p w:rsidR="00024C0A" w:rsidRDefault="00694C0F">
            <w:pPr>
              <w:pStyle w:val="TableBodyText"/>
            </w:pPr>
            <w:r>
              <w:t>India</w:t>
            </w:r>
          </w:p>
        </w:tc>
        <w:tc>
          <w:tcPr>
            <w:tcW w:w="0" w:type="auto"/>
            <w:vAlign w:val="center"/>
          </w:tcPr>
          <w:p w:rsidR="00024C0A" w:rsidRDefault="00694C0F">
            <w:pPr>
              <w:pStyle w:val="TableBodyText"/>
            </w:pPr>
            <w:r>
              <w:t>kn-IN</w:t>
            </w:r>
          </w:p>
        </w:tc>
      </w:tr>
      <w:tr w:rsidR="00024C0A" w:rsidTr="00024C0A">
        <w:tc>
          <w:tcPr>
            <w:tcW w:w="0" w:type="auto"/>
            <w:vAlign w:val="center"/>
          </w:tcPr>
          <w:p w:rsidR="00024C0A" w:rsidRDefault="00694C0F">
            <w:pPr>
              <w:pStyle w:val="TableBodyText"/>
            </w:pPr>
            <w:r>
              <w:t>Kazakh</w:t>
            </w:r>
          </w:p>
        </w:tc>
        <w:tc>
          <w:tcPr>
            <w:tcW w:w="0" w:type="auto"/>
            <w:vAlign w:val="center"/>
          </w:tcPr>
          <w:p w:rsidR="00024C0A" w:rsidRDefault="00694C0F">
            <w:pPr>
              <w:pStyle w:val="TableBodyText"/>
            </w:pPr>
            <w:r>
              <w:t>Kazakhstan</w:t>
            </w:r>
          </w:p>
        </w:tc>
        <w:tc>
          <w:tcPr>
            <w:tcW w:w="0" w:type="auto"/>
            <w:vAlign w:val="center"/>
          </w:tcPr>
          <w:p w:rsidR="00024C0A" w:rsidRDefault="00694C0F">
            <w:pPr>
              <w:pStyle w:val="TableBodyText"/>
            </w:pPr>
            <w:r>
              <w:t>kk-KZ</w:t>
            </w:r>
          </w:p>
        </w:tc>
      </w:tr>
      <w:tr w:rsidR="00024C0A" w:rsidTr="00024C0A">
        <w:tc>
          <w:tcPr>
            <w:tcW w:w="0" w:type="auto"/>
            <w:vAlign w:val="center"/>
          </w:tcPr>
          <w:p w:rsidR="00024C0A" w:rsidRDefault="00694C0F">
            <w:pPr>
              <w:pStyle w:val="TableBodyText"/>
            </w:pPr>
            <w:r>
              <w:t>Khmer</w:t>
            </w:r>
          </w:p>
        </w:tc>
        <w:tc>
          <w:tcPr>
            <w:tcW w:w="0" w:type="auto"/>
            <w:vAlign w:val="center"/>
          </w:tcPr>
          <w:p w:rsidR="00024C0A" w:rsidRDefault="00694C0F">
            <w:pPr>
              <w:pStyle w:val="TableBodyText"/>
            </w:pPr>
            <w:r>
              <w:t>Cambodia</w:t>
            </w:r>
          </w:p>
        </w:tc>
        <w:tc>
          <w:tcPr>
            <w:tcW w:w="0" w:type="auto"/>
            <w:vAlign w:val="center"/>
          </w:tcPr>
          <w:p w:rsidR="00024C0A" w:rsidRDefault="00694C0F">
            <w:pPr>
              <w:pStyle w:val="TableBodyText"/>
            </w:pPr>
            <w:r>
              <w:t>kh-KH</w:t>
            </w:r>
          </w:p>
        </w:tc>
      </w:tr>
      <w:tr w:rsidR="00024C0A" w:rsidTr="00024C0A">
        <w:tc>
          <w:tcPr>
            <w:tcW w:w="0" w:type="auto"/>
            <w:vAlign w:val="center"/>
          </w:tcPr>
          <w:p w:rsidR="00024C0A" w:rsidRDefault="00694C0F">
            <w:pPr>
              <w:pStyle w:val="TableBodyText"/>
            </w:pPr>
            <w:r>
              <w:t>K'iche</w:t>
            </w:r>
          </w:p>
        </w:tc>
        <w:tc>
          <w:tcPr>
            <w:tcW w:w="0" w:type="auto"/>
            <w:vAlign w:val="center"/>
          </w:tcPr>
          <w:p w:rsidR="00024C0A" w:rsidRDefault="00694C0F">
            <w:pPr>
              <w:pStyle w:val="TableBodyText"/>
            </w:pPr>
            <w:r>
              <w:t>Guatemala</w:t>
            </w:r>
          </w:p>
        </w:tc>
        <w:tc>
          <w:tcPr>
            <w:tcW w:w="0" w:type="auto"/>
            <w:vAlign w:val="center"/>
          </w:tcPr>
          <w:p w:rsidR="00024C0A" w:rsidRDefault="00694C0F">
            <w:pPr>
              <w:pStyle w:val="TableBodyText"/>
            </w:pPr>
            <w:r>
              <w:t>qut-GT</w:t>
            </w:r>
          </w:p>
        </w:tc>
      </w:tr>
      <w:tr w:rsidR="00024C0A" w:rsidTr="00024C0A">
        <w:tc>
          <w:tcPr>
            <w:tcW w:w="0" w:type="auto"/>
            <w:vAlign w:val="center"/>
          </w:tcPr>
          <w:p w:rsidR="00024C0A" w:rsidRDefault="00694C0F">
            <w:pPr>
              <w:pStyle w:val="TableBodyText"/>
            </w:pPr>
            <w:r>
              <w:t xml:space="preserve">Kinyarwanda </w:t>
            </w:r>
          </w:p>
        </w:tc>
        <w:tc>
          <w:tcPr>
            <w:tcW w:w="0" w:type="auto"/>
            <w:vAlign w:val="center"/>
          </w:tcPr>
          <w:p w:rsidR="00024C0A" w:rsidRDefault="00694C0F">
            <w:pPr>
              <w:pStyle w:val="TableBodyText"/>
            </w:pPr>
            <w:r>
              <w:t>Rwanda</w:t>
            </w:r>
          </w:p>
        </w:tc>
        <w:tc>
          <w:tcPr>
            <w:tcW w:w="0" w:type="auto"/>
            <w:vAlign w:val="center"/>
          </w:tcPr>
          <w:p w:rsidR="00024C0A" w:rsidRDefault="00694C0F">
            <w:pPr>
              <w:pStyle w:val="TableBodyText"/>
            </w:pPr>
            <w:r>
              <w:t>rw-RW</w:t>
            </w:r>
          </w:p>
        </w:tc>
      </w:tr>
      <w:tr w:rsidR="00024C0A" w:rsidTr="00024C0A">
        <w:tc>
          <w:tcPr>
            <w:tcW w:w="0" w:type="auto"/>
            <w:vAlign w:val="center"/>
          </w:tcPr>
          <w:p w:rsidR="00024C0A" w:rsidRDefault="00694C0F">
            <w:pPr>
              <w:pStyle w:val="TableBodyText"/>
            </w:pPr>
            <w:r>
              <w:t>Konkani</w:t>
            </w:r>
          </w:p>
        </w:tc>
        <w:tc>
          <w:tcPr>
            <w:tcW w:w="0" w:type="auto"/>
            <w:vAlign w:val="center"/>
          </w:tcPr>
          <w:p w:rsidR="00024C0A" w:rsidRDefault="00694C0F">
            <w:pPr>
              <w:pStyle w:val="TableBodyText"/>
            </w:pPr>
            <w:r>
              <w:t>India</w:t>
            </w:r>
          </w:p>
        </w:tc>
        <w:tc>
          <w:tcPr>
            <w:tcW w:w="0" w:type="auto"/>
            <w:vAlign w:val="center"/>
          </w:tcPr>
          <w:p w:rsidR="00024C0A" w:rsidRDefault="00694C0F">
            <w:pPr>
              <w:pStyle w:val="TableBodyText"/>
            </w:pPr>
            <w:r>
              <w:t>kok-IN</w:t>
            </w:r>
          </w:p>
        </w:tc>
      </w:tr>
      <w:tr w:rsidR="00024C0A" w:rsidTr="00024C0A">
        <w:tc>
          <w:tcPr>
            <w:tcW w:w="0" w:type="auto"/>
            <w:vAlign w:val="center"/>
          </w:tcPr>
          <w:p w:rsidR="00024C0A" w:rsidRDefault="00694C0F">
            <w:pPr>
              <w:pStyle w:val="TableBodyText"/>
            </w:pPr>
            <w:r>
              <w:t>Korean</w:t>
            </w:r>
          </w:p>
        </w:tc>
        <w:tc>
          <w:tcPr>
            <w:tcW w:w="0" w:type="auto"/>
            <w:vAlign w:val="center"/>
          </w:tcPr>
          <w:p w:rsidR="00024C0A" w:rsidRDefault="00694C0F">
            <w:pPr>
              <w:pStyle w:val="TableBodyText"/>
            </w:pPr>
            <w:r>
              <w:t>Korea</w:t>
            </w:r>
          </w:p>
        </w:tc>
        <w:tc>
          <w:tcPr>
            <w:tcW w:w="0" w:type="auto"/>
            <w:vAlign w:val="center"/>
          </w:tcPr>
          <w:p w:rsidR="00024C0A" w:rsidRDefault="00694C0F">
            <w:pPr>
              <w:pStyle w:val="TableBodyText"/>
            </w:pPr>
            <w:r>
              <w:t>ko-KR</w:t>
            </w:r>
          </w:p>
        </w:tc>
      </w:tr>
      <w:tr w:rsidR="00024C0A" w:rsidTr="00024C0A">
        <w:tc>
          <w:tcPr>
            <w:tcW w:w="0" w:type="auto"/>
            <w:vAlign w:val="center"/>
          </w:tcPr>
          <w:p w:rsidR="00024C0A" w:rsidRDefault="00694C0F">
            <w:pPr>
              <w:pStyle w:val="TableBodyText"/>
            </w:pPr>
            <w:r>
              <w:t>Kyrgyz</w:t>
            </w:r>
          </w:p>
        </w:tc>
        <w:tc>
          <w:tcPr>
            <w:tcW w:w="0" w:type="auto"/>
            <w:vAlign w:val="center"/>
          </w:tcPr>
          <w:p w:rsidR="00024C0A" w:rsidRDefault="00694C0F">
            <w:pPr>
              <w:pStyle w:val="TableBodyText"/>
            </w:pPr>
            <w:r>
              <w:t>Kyrgyzstan</w:t>
            </w:r>
          </w:p>
        </w:tc>
        <w:tc>
          <w:tcPr>
            <w:tcW w:w="0" w:type="auto"/>
            <w:vAlign w:val="center"/>
          </w:tcPr>
          <w:p w:rsidR="00024C0A" w:rsidRDefault="00694C0F">
            <w:pPr>
              <w:pStyle w:val="TableBodyText"/>
            </w:pPr>
            <w:r>
              <w:t>ky-KG</w:t>
            </w:r>
          </w:p>
        </w:tc>
      </w:tr>
      <w:tr w:rsidR="00024C0A" w:rsidTr="00024C0A">
        <w:tc>
          <w:tcPr>
            <w:tcW w:w="0" w:type="auto"/>
            <w:vAlign w:val="center"/>
          </w:tcPr>
          <w:p w:rsidR="00024C0A" w:rsidRDefault="00694C0F">
            <w:pPr>
              <w:pStyle w:val="TableBodyText"/>
            </w:pPr>
            <w:r>
              <w:t>Lao</w:t>
            </w:r>
          </w:p>
        </w:tc>
        <w:tc>
          <w:tcPr>
            <w:tcW w:w="0" w:type="auto"/>
            <w:vAlign w:val="center"/>
          </w:tcPr>
          <w:p w:rsidR="00024C0A" w:rsidRDefault="00694C0F">
            <w:pPr>
              <w:pStyle w:val="TableBodyText"/>
            </w:pPr>
            <w:r>
              <w:t>Lao PDR</w:t>
            </w:r>
          </w:p>
        </w:tc>
        <w:tc>
          <w:tcPr>
            <w:tcW w:w="0" w:type="auto"/>
            <w:vAlign w:val="center"/>
          </w:tcPr>
          <w:p w:rsidR="00024C0A" w:rsidRDefault="00694C0F">
            <w:pPr>
              <w:pStyle w:val="TableBodyText"/>
            </w:pPr>
            <w:r>
              <w:t>lo-LA</w:t>
            </w:r>
          </w:p>
        </w:tc>
      </w:tr>
      <w:tr w:rsidR="00024C0A" w:rsidTr="00024C0A">
        <w:tc>
          <w:tcPr>
            <w:tcW w:w="0" w:type="auto"/>
            <w:vAlign w:val="center"/>
          </w:tcPr>
          <w:p w:rsidR="00024C0A" w:rsidRDefault="00694C0F">
            <w:pPr>
              <w:pStyle w:val="TableBodyText"/>
            </w:pPr>
            <w:r>
              <w:t>Latvian</w:t>
            </w:r>
          </w:p>
        </w:tc>
        <w:tc>
          <w:tcPr>
            <w:tcW w:w="0" w:type="auto"/>
            <w:vAlign w:val="center"/>
          </w:tcPr>
          <w:p w:rsidR="00024C0A" w:rsidRDefault="00694C0F">
            <w:pPr>
              <w:pStyle w:val="TableBodyText"/>
            </w:pPr>
            <w:r>
              <w:t>Latvia</w:t>
            </w:r>
          </w:p>
        </w:tc>
        <w:tc>
          <w:tcPr>
            <w:tcW w:w="0" w:type="auto"/>
            <w:vAlign w:val="center"/>
          </w:tcPr>
          <w:p w:rsidR="00024C0A" w:rsidRDefault="00694C0F">
            <w:pPr>
              <w:pStyle w:val="TableBodyText"/>
            </w:pPr>
            <w:r>
              <w:t>lv-LV</w:t>
            </w:r>
          </w:p>
        </w:tc>
      </w:tr>
      <w:tr w:rsidR="00024C0A" w:rsidTr="00024C0A">
        <w:tc>
          <w:tcPr>
            <w:tcW w:w="0" w:type="auto"/>
            <w:vAlign w:val="center"/>
          </w:tcPr>
          <w:p w:rsidR="00024C0A" w:rsidRDefault="00694C0F">
            <w:pPr>
              <w:pStyle w:val="TableBodyText"/>
            </w:pPr>
            <w:r>
              <w:lastRenderedPageBreak/>
              <w:t>Lithuanian</w:t>
            </w:r>
          </w:p>
        </w:tc>
        <w:tc>
          <w:tcPr>
            <w:tcW w:w="0" w:type="auto"/>
            <w:vAlign w:val="center"/>
          </w:tcPr>
          <w:p w:rsidR="00024C0A" w:rsidRDefault="00694C0F">
            <w:pPr>
              <w:pStyle w:val="TableBodyText"/>
            </w:pPr>
            <w:r>
              <w:t>Lithuania</w:t>
            </w:r>
          </w:p>
        </w:tc>
        <w:tc>
          <w:tcPr>
            <w:tcW w:w="0" w:type="auto"/>
            <w:vAlign w:val="center"/>
          </w:tcPr>
          <w:p w:rsidR="00024C0A" w:rsidRDefault="00694C0F">
            <w:pPr>
              <w:pStyle w:val="TableBodyText"/>
            </w:pPr>
            <w:r>
              <w:t>lt-LT</w:t>
            </w:r>
          </w:p>
        </w:tc>
      </w:tr>
      <w:tr w:rsidR="00024C0A" w:rsidTr="00024C0A">
        <w:tc>
          <w:tcPr>
            <w:tcW w:w="0" w:type="auto"/>
            <w:vAlign w:val="center"/>
          </w:tcPr>
          <w:p w:rsidR="00024C0A" w:rsidRDefault="00694C0F">
            <w:pPr>
              <w:pStyle w:val="TableBodyText"/>
            </w:pPr>
            <w:r>
              <w:t>Lower Sorbian</w:t>
            </w:r>
          </w:p>
        </w:tc>
        <w:tc>
          <w:tcPr>
            <w:tcW w:w="0" w:type="auto"/>
            <w:vAlign w:val="center"/>
          </w:tcPr>
          <w:p w:rsidR="00024C0A" w:rsidRDefault="00694C0F">
            <w:pPr>
              <w:pStyle w:val="TableBodyText"/>
            </w:pPr>
            <w:r>
              <w:t>Germany</w:t>
            </w:r>
          </w:p>
        </w:tc>
        <w:tc>
          <w:tcPr>
            <w:tcW w:w="0" w:type="auto"/>
            <w:vAlign w:val="center"/>
          </w:tcPr>
          <w:p w:rsidR="00024C0A" w:rsidRDefault="00694C0F">
            <w:pPr>
              <w:pStyle w:val="TableBodyText"/>
            </w:pPr>
            <w:r>
              <w:t>wee-DE</w:t>
            </w:r>
          </w:p>
        </w:tc>
      </w:tr>
      <w:tr w:rsidR="00024C0A" w:rsidTr="00024C0A">
        <w:tc>
          <w:tcPr>
            <w:tcW w:w="0" w:type="auto"/>
            <w:vAlign w:val="center"/>
          </w:tcPr>
          <w:p w:rsidR="00024C0A" w:rsidRDefault="00694C0F">
            <w:pPr>
              <w:pStyle w:val="TableBodyText"/>
            </w:pPr>
            <w:r>
              <w:t>Lule Sami</w:t>
            </w:r>
          </w:p>
        </w:tc>
        <w:tc>
          <w:tcPr>
            <w:tcW w:w="0" w:type="auto"/>
            <w:vAlign w:val="center"/>
          </w:tcPr>
          <w:p w:rsidR="00024C0A" w:rsidRDefault="00694C0F">
            <w:pPr>
              <w:pStyle w:val="TableBodyText"/>
            </w:pPr>
            <w:r>
              <w:t>Norway</w:t>
            </w:r>
          </w:p>
        </w:tc>
        <w:tc>
          <w:tcPr>
            <w:tcW w:w="0" w:type="auto"/>
            <w:vAlign w:val="center"/>
          </w:tcPr>
          <w:p w:rsidR="00024C0A" w:rsidRDefault="00694C0F">
            <w:pPr>
              <w:pStyle w:val="TableBodyText"/>
            </w:pPr>
            <w:r>
              <w:t>smj-NO</w:t>
            </w:r>
          </w:p>
        </w:tc>
      </w:tr>
      <w:tr w:rsidR="00024C0A" w:rsidTr="00024C0A">
        <w:tc>
          <w:tcPr>
            <w:tcW w:w="0" w:type="auto"/>
            <w:vAlign w:val="center"/>
          </w:tcPr>
          <w:p w:rsidR="00024C0A" w:rsidRDefault="00694C0F">
            <w:pPr>
              <w:pStyle w:val="TableBodyText"/>
            </w:pPr>
            <w:r>
              <w:t>Lule Sami</w:t>
            </w:r>
          </w:p>
        </w:tc>
        <w:tc>
          <w:tcPr>
            <w:tcW w:w="0" w:type="auto"/>
            <w:vAlign w:val="center"/>
          </w:tcPr>
          <w:p w:rsidR="00024C0A" w:rsidRDefault="00694C0F">
            <w:pPr>
              <w:pStyle w:val="TableBodyText"/>
            </w:pPr>
            <w:r>
              <w:t>Sweden</w:t>
            </w:r>
          </w:p>
        </w:tc>
        <w:tc>
          <w:tcPr>
            <w:tcW w:w="0" w:type="auto"/>
            <w:vAlign w:val="center"/>
          </w:tcPr>
          <w:p w:rsidR="00024C0A" w:rsidRDefault="00694C0F">
            <w:pPr>
              <w:pStyle w:val="TableBodyText"/>
            </w:pPr>
            <w:r>
              <w:t>smj-SE</w:t>
            </w:r>
          </w:p>
        </w:tc>
      </w:tr>
      <w:tr w:rsidR="00024C0A" w:rsidTr="00024C0A">
        <w:tc>
          <w:tcPr>
            <w:tcW w:w="0" w:type="auto"/>
            <w:vAlign w:val="center"/>
          </w:tcPr>
          <w:p w:rsidR="00024C0A" w:rsidRDefault="00694C0F">
            <w:pPr>
              <w:pStyle w:val="TableBodyText"/>
            </w:pPr>
            <w:r>
              <w:t>Luxembourgish</w:t>
            </w:r>
          </w:p>
        </w:tc>
        <w:tc>
          <w:tcPr>
            <w:tcW w:w="0" w:type="auto"/>
            <w:vAlign w:val="center"/>
          </w:tcPr>
          <w:p w:rsidR="00024C0A" w:rsidRDefault="00694C0F">
            <w:pPr>
              <w:pStyle w:val="TableBodyText"/>
            </w:pPr>
            <w:r>
              <w:t>Luxembourg</w:t>
            </w:r>
          </w:p>
        </w:tc>
        <w:tc>
          <w:tcPr>
            <w:tcW w:w="0" w:type="auto"/>
            <w:vAlign w:val="center"/>
          </w:tcPr>
          <w:p w:rsidR="00024C0A" w:rsidRDefault="00694C0F">
            <w:pPr>
              <w:pStyle w:val="TableBodyText"/>
            </w:pPr>
            <w:r>
              <w:t>lb-LU</w:t>
            </w:r>
          </w:p>
        </w:tc>
      </w:tr>
      <w:tr w:rsidR="00024C0A" w:rsidTr="00024C0A">
        <w:tc>
          <w:tcPr>
            <w:tcW w:w="0" w:type="auto"/>
            <w:vAlign w:val="center"/>
          </w:tcPr>
          <w:p w:rsidR="00024C0A" w:rsidRDefault="00694C0F">
            <w:pPr>
              <w:pStyle w:val="TableBodyText"/>
            </w:pPr>
            <w:r>
              <w:t xml:space="preserve">Macedonian </w:t>
            </w:r>
          </w:p>
        </w:tc>
        <w:tc>
          <w:tcPr>
            <w:tcW w:w="0" w:type="auto"/>
            <w:vAlign w:val="center"/>
          </w:tcPr>
          <w:p w:rsidR="00024C0A" w:rsidRDefault="00694C0F">
            <w:pPr>
              <w:pStyle w:val="TableBodyText"/>
            </w:pPr>
            <w:r>
              <w:t>Macedonia, FYRO</w:t>
            </w:r>
          </w:p>
        </w:tc>
        <w:tc>
          <w:tcPr>
            <w:tcW w:w="0" w:type="auto"/>
            <w:vAlign w:val="center"/>
          </w:tcPr>
          <w:p w:rsidR="00024C0A" w:rsidRDefault="00694C0F">
            <w:pPr>
              <w:pStyle w:val="TableBodyText"/>
            </w:pPr>
            <w:r>
              <w:t>mk-MK</w:t>
            </w:r>
          </w:p>
        </w:tc>
      </w:tr>
      <w:tr w:rsidR="00024C0A" w:rsidTr="00024C0A">
        <w:tc>
          <w:tcPr>
            <w:tcW w:w="0" w:type="auto"/>
            <w:vAlign w:val="center"/>
          </w:tcPr>
          <w:p w:rsidR="00024C0A" w:rsidRDefault="00694C0F">
            <w:pPr>
              <w:pStyle w:val="TableBodyText"/>
            </w:pPr>
            <w:r>
              <w:t>Malay</w:t>
            </w:r>
          </w:p>
        </w:tc>
        <w:tc>
          <w:tcPr>
            <w:tcW w:w="0" w:type="auto"/>
            <w:vAlign w:val="center"/>
          </w:tcPr>
          <w:p w:rsidR="00024C0A" w:rsidRDefault="00694C0F">
            <w:pPr>
              <w:pStyle w:val="TableBodyText"/>
            </w:pPr>
            <w:r>
              <w:t>Brunei</w:t>
            </w:r>
          </w:p>
        </w:tc>
        <w:tc>
          <w:tcPr>
            <w:tcW w:w="0" w:type="auto"/>
            <w:vAlign w:val="center"/>
          </w:tcPr>
          <w:p w:rsidR="00024C0A" w:rsidRDefault="00694C0F">
            <w:pPr>
              <w:pStyle w:val="TableBodyText"/>
            </w:pPr>
            <w:r>
              <w:t>ms-BN</w:t>
            </w:r>
          </w:p>
        </w:tc>
      </w:tr>
      <w:tr w:rsidR="00024C0A" w:rsidTr="00024C0A">
        <w:tc>
          <w:tcPr>
            <w:tcW w:w="0" w:type="auto"/>
            <w:vAlign w:val="center"/>
          </w:tcPr>
          <w:p w:rsidR="00024C0A" w:rsidRDefault="00694C0F">
            <w:pPr>
              <w:pStyle w:val="TableBodyText"/>
            </w:pPr>
            <w:r>
              <w:t>Malay</w:t>
            </w:r>
          </w:p>
        </w:tc>
        <w:tc>
          <w:tcPr>
            <w:tcW w:w="0" w:type="auto"/>
            <w:vAlign w:val="center"/>
          </w:tcPr>
          <w:p w:rsidR="00024C0A" w:rsidRDefault="00694C0F">
            <w:pPr>
              <w:pStyle w:val="TableBodyText"/>
            </w:pPr>
            <w:r>
              <w:t>Malaysia</w:t>
            </w:r>
          </w:p>
        </w:tc>
        <w:tc>
          <w:tcPr>
            <w:tcW w:w="0" w:type="auto"/>
            <w:vAlign w:val="center"/>
          </w:tcPr>
          <w:p w:rsidR="00024C0A" w:rsidRDefault="00694C0F">
            <w:pPr>
              <w:pStyle w:val="TableBodyText"/>
            </w:pPr>
            <w:r>
              <w:t>ms-MY</w:t>
            </w:r>
          </w:p>
        </w:tc>
      </w:tr>
      <w:tr w:rsidR="00024C0A" w:rsidTr="00024C0A">
        <w:tc>
          <w:tcPr>
            <w:tcW w:w="0" w:type="auto"/>
            <w:vAlign w:val="center"/>
          </w:tcPr>
          <w:p w:rsidR="00024C0A" w:rsidRDefault="00694C0F">
            <w:pPr>
              <w:pStyle w:val="TableBodyText"/>
            </w:pPr>
            <w:r>
              <w:t xml:space="preserve">Malayalam (Malayalam Script) </w:t>
            </w:r>
          </w:p>
        </w:tc>
        <w:tc>
          <w:tcPr>
            <w:tcW w:w="0" w:type="auto"/>
            <w:vAlign w:val="center"/>
          </w:tcPr>
          <w:p w:rsidR="00024C0A" w:rsidRDefault="00694C0F">
            <w:pPr>
              <w:pStyle w:val="TableBodyText"/>
            </w:pPr>
            <w:r>
              <w:t>India</w:t>
            </w:r>
          </w:p>
        </w:tc>
        <w:tc>
          <w:tcPr>
            <w:tcW w:w="0" w:type="auto"/>
            <w:vAlign w:val="center"/>
          </w:tcPr>
          <w:p w:rsidR="00024C0A" w:rsidRDefault="00694C0F">
            <w:pPr>
              <w:pStyle w:val="TableBodyText"/>
            </w:pPr>
            <w:r>
              <w:t>ml-IN</w:t>
            </w:r>
          </w:p>
        </w:tc>
      </w:tr>
      <w:tr w:rsidR="00024C0A" w:rsidTr="00024C0A">
        <w:tc>
          <w:tcPr>
            <w:tcW w:w="0" w:type="auto"/>
            <w:vAlign w:val="center"/>
          </w:tcPr>
          <w:p w:rsidR="00024C0A" w:rsidRDefault="00694C0F">
            <w:pPr>
              <w:pStyle w:val="TableBodyText"/>
            </w:pPr>
            <w:r>
              <w:t>Maltese</w:t>
            </w:r>
          </w:p>
        </w:tc>
        <w:tc>
          <w:tcPr>
            <w:tcW w:w="0" w:type="auto"/>
            <w:vAlign w:val="center"/>
          </w:tcPr>
          <w:p w:rsidR="00024C0A" w:rsidRDefault="00694C0F">
            <w:pPr>
              <w:pStyle w:val="TableBodyText"/>
            </w:pPr>
            <w:r>
              <w:t>Malta</w:t>
            </w:r>
          </w:p>
        </w:tc>
        <w:tc>
          <w:tcPr>
            <w:tcW w:w="0" w:type="auto"/>
            <w:vAlign w:val="center"/>
          </w:tcPr>
          <w:p w:rsidR="00024C0A" w:rsidRDefault="00694C0F">
            <w:pPr>
              <w:pStyle w:val="TableBodyText"/>
            </w:pPr>
            <w:r>
              <w:t>mt-MT</w:t>
            </w:r>
          </w:p>
        </w:tc>
      </w:tr>
      <w:tr w:rsidR="00024C0A" w:rsidTr="00024C0A">
        <w:tc>
          <w:tcPr>
            <w:tcW w:w="0" w:type="auto"/>
            <w:vAlign w:val="center"/>
          </w:tcPr>
          <w:p w:rsidR="00024C0A" w:rsidRDefault="00694C0F">
            <w:pPr>
              <w:pStyle w:val="TableBodyText"/>
            </w:pPr>
            <w:r>
              <w:t>Maori</w:t>
            </w:r>
          </w:p>
        </w:tc>
        <w:tc>
          <w:tcPr>
            <w:tcW w:w="0" w:type="auto"/>
            <w:vAlign w:val="center"/>
          </w:tcPr>
          <w:p w:rsidR="00024C0A" w:rsidRDefault="00694C0F">
            <w:pPr>
              <w:pStyle w:val="TableBodyText"/>
            </w:pPr>
            <w:r>
              <w:t>New Zealand</w:t>
            </w:r>
          </w:p>
        </w:tc>
        <w:tc>
          <w:tcPr>
            <w:tcW w:w="0" w:type="auto"/>
            <w:vAlign w:val="center"/>
          </w:tcPr>
          <w:p w:rsidR="00024C0A" w:rsidRDefault="00694C0F">
            <w:pPr>
              <w:pStyle w:val="TableBodyText"/>
            </w:pPr>
            <w:r>
              <w:t>mi-NZ</w:t>
            </w:r>
          </w:p>
        </w:tc>
      </w:tr>
      <w:tr w:rsidR="00024C0A" w:rsidTr="00024C0A">
        <w:tc>
          <w:tcPr>
            <w:tcW w:w="0" w:type="auto"/>
            <w:vAlign w:val="center"/>
          </w:tcPr>
          <w:p w:rsidR="00024C0A" w:rsidRDefault="00694C0F">
            <w:pPr>
              <w:pStyle w:val="TableBodyText"/>
            </w:pPr>
            <w:r>
              <w:t>Mapudungun</w:t>
            </w:r>
          </w:p>
        </w:tc>
        <w:tc>
          <w:tcPr>
            <w:tcW w:w="0" w:type="auto"/>
            <w:vAlign w:val="center"/>
          </w:tcPr>
          <w:p w:rsidR="00024C0A" w:rsidRDefault="00694C0F">
            <w:pPr>
              <w:pStyle w:val="TableBodyText"/>
            </w:pPr>
            <w:r>
              <w:t>Chile</w:t>
            </w:r>
          </w:p>
        </w:tc>
        <w:tc>
          <w:tcPr>
            <w:tcW w:w="0" w:type="auto"/>
            <w:vAlign w:val="center"/>
          </w:tcPr>
          <w:p w:rsidR="00024C0A" w:rsidRDefault="00694C0F">
            <w:pPr>
              <w:pStyle w:val="TableBodyText"/>
            </w:pPr>
            <w:r>
              <w:t>arn-CL</w:t>
            </w:r>
          </w:p>
        </w:tc>
      </w:tr>
      <w:tr w:rsidR="00024C0A" w:rsidTr="00024C0A">
        <w:tc>
          <w:tcPr>
            <w:tcW w:w="0" w:type="auto"/>
            <w:vAlign w:val="center"/>
          </w:tcPr>
          <w:p w:rsidR="00024C0A" w:rsidRDefault="00694C0F">
            <w:pPr>
              <w:pStyle w:val="TableBodyText"/>
            </w:pPr>
            <w:r>
              <w:t>Marathi</w:t>
            </w:r>
          </w:p>
        </w:tc>
        <w:tc>
          <w:tcPr>
            <w:tcW w:w="0" w:type="auto"/>
            <w:vAlign w:val="center"/>
          </w:tcPr>
          <w:p w:rsidR="00024C0A" w:rsidRDefault="00694C0F">
            <w:pPr>
              <w:pStyle w:val="TableBodyText"/>
            </w:pPr>
            <w:r>
              <w:t>India</w:t>
            </w:r>
          </w:p>
        </w:tc>
        <w:tc>
          <w:tcPr>
            <w:tcW w:w="0" w:type="auto"/>
            <w:vAlign w:val="center"/>
          </w:tcPr>
          <w:p w:rsidR="00024C0A" w:rsidRDefault="00694C0F">
            <w:pPr>
              <w:pStyle w:val="TableBodyText"/>
            </w:pPr>
            <w:r>
              <w:t>mr-IN</w:t>
            </w:r>
          </w:p>
        </w:tc>
      </w:tr>
      <w:tr w:rsidR="00024C0A" w:rsidTr="00024C0A">
        <w:tc>
          <w:tcPr>
            <w:tcW w:w="0" w:type="auto"/>
            <w:vAlign w:val="center"/>
          </w:tcPr>
          <w:p w:rsidR="00024C0A" w:rsidRDefault="00694C0F">
            <w:pPr>
              <w:pStyle w:val="TableBodyText"/>
            </w:pPr>
            <w:r>
              <w:t>Mohawk</w:t>
            </w:r>
          </w:p>
        </w:tc>
        <w:tc>
          <w:tcPr>
            <w:tcW w:w="0" w:type="auto"/>
            <w:vAlign w:val="center"/>
          </w:tcPr>
          <w:p w:rsidR="00024C0A" w:rsidRDefault="00694C0F">
            <w:pPr>
              <w:pStyle w:val="TableBodyText"/>
            </w:pPr>
            <w:r>
              <w:t>Mohawk</w:t>
            </w:r>
          </w:p>
        </w:tc>
        <w:tc>
          <w:tcPr>
            <w:tcW w:w="0" w:type="auto"/>
            <w:vAlign w:val="center"/>
          </w:tcPr>
          <w:p w:rsidR="00024C0A" w:rsidRDefault="00694C0F">
            <w:pPr>
              <w:pStyle w:val="TableBodyText"/>
            </w:pPr>
            <w:r>
              <w:t>moh-CA</w:t>
            </w:r>
          </w:p>
        </w:tc>
      </w:tr>
      <w:tr w:rsidR="00024C0A" w:rsidTr="00024C0A">
        <w:tc>
          <w:tcPr>
            <w:tcW w:w="0" w:type="auto"/>
            <w:vAlign w:val="center"/>
          </w:tcPr>
          <w:p w:rsidR="00024C0A" w:rsidRDefault="00694C0F">
            <w:pPr>
              <w:pStyle w:val="TableBodyText"/>
            </w:pPr>
            <w:r>
              <w:t>Mongolian (Cyrillic)</w:t>
            </w:r>
          </w:p>
        </w:tc>
        <w:tc>
          <w:tcPr>
            <w:tcW w:w="0" w:type="auto"/>
            <w:vAlign w:val="center"/>
          </w:tcPr>
          <w:p w:rsidR="00024C0A" w:rsidRDefault="00694C0F">
            <w:pPr>
              <w:pStyle w:val="TableBodyText"/>
            </w:pPr>
            <w:r>
              <w:t>Mongolia</w:t>
            </w:r>
          </w:p>
        </w:tc>
        <w:tc>
          <w:tcPr>
            <w:tcW w:w="0" w:type="auto"/>
            <w:vAlign w:val="center"/>
          </w:tcPr>
          <w:p w:rsidR="00024C0A" w:rsidRDefault="00694C0F">
            <w:pPr>
              <w:pStyle w:val="TableBodyText"/>
            </w:pPr>
            <w:r>
              <w:t>mn-MN</w:t>
            </w:r>
          </w:p>
        </w:tc>
      </w:tr>
      <w:tr w:rsidR="00024C0A" w:rsidTr="00024C0A">
        <w:tc>
          <w:tcPr>
            <w:tcW w:w="0" w:type="auto"/>
            <w:vAlign w:val="center"/>
          </w:tcPr>
          <w:p w:rsidR="00024C0A" w:rsidRDefault="00694C0F">
            <w:pPr>
              <w:pStyle w:val="TableBodyText"/>
            </w:pPr>
            <w:r>
              <w:t>Mongolian (Mongolian)</w:t>
            </w:r>
          </w:p>
        </w:tc>
        <w:tc>
          <w:tcPr>
            <w:tcW w:w="0" w:type="auto"/>
            <w:vAlign w:val="center"/>
          </w:tcPr>
          <w:p w:rsidR="00024C0A" w:rsidRDefault="00694C0F">
            <w:pPr>
              <w:pStyle w:val="TableBodyText"/>
            </w:pPr>
            <w:r>
              <w:t>PRC</w:t>
            </w:r>
          </w:p>
        </w:tc>
        <w:tc>
          <w:tcPr>
            <w:tcW w:w="0" w:type="auto"/>
            <w:vAlign w:val="center"/>
          </w:tcPr>
          <w:p w:rsidR="00024C0A" w:rsidRDefault="00694C0F">
            <w:pPr>
              <w:pStyle w:val="TableBodyText"/>
            </w:pPr>
            <w:r>
              <w:t>mn-CN-Mong</w:t>
            </w:r>
          </w:p>
        </w:tc>
      </w:tr>
      <w:tr w:rsidR="00024C0A" w:rsidTr="00024C0A">
        <w:tc>
          <w:tcPr>
            <w:tcW w:w="0" w:type="auto"/>
            <w:vAlign w:val="center"/>
          </w:tcPr>
          <w:p w:rsidR="00024C0A" w:rsidRDefault="00694C0F">
            <w:pPr>
              <w:pStyle w:val="TableBodyText"/>
            </w:pPr>
            <w:r>
              <w:t>Nepali</w:t>
            </w:r>
          </w:p>
        </w:tc>
        <w:tc>
          <w:tcPr>
            <w:tcW w:w="0" w:type="auto"/>
            <w:vAlign w:val="center"/>
          </w:tcPr>
          <w:p w:rsidR="00024C0A" w:rsidRDefault="00694C0F">
            <w:pPr>
              <w:pStyle w:val="TableBodyText"/>
            </w:pPr>
            <w:r>
              <w:t>Nepal</w:t>
            </w:r>
          </w:p>
        </w:tc>
        <w:tc>
          <w:tcPr>
            <w:tcW w:w="0" w:type="auto"/>
            <w:vAlign w:val="center"/>
          </w:tcPr>
          <w:p w:rsidR="00024C0A" w:rsidRDefault="00694C0F">
            <w:pPr>
              <w:pStyle w:val="TableBodyText"/>
            </w:pPr>
            <w:r>
              <w:t>ne-NP</w:t>
            </w:r>
          </w:p>
        </w:tc>
      </w:tr>
      <w:tr w:rsidR="00024C0A" w:rsidTr="00024C0A">
        <w:tc>
          <w:tcPr>
            <w:tcW w:w="0" w:type="auto"/>
            <w:vAlign w:val="center"/>
          </w:tcPr>
          <w:p w:rsidR="00024C0A" w:rsidRDefault="00694C0F">
            <w:pPr>
              <w:pStyle w:val="TableBodyText"/>
            </w:pPr>
            <w:r>
              <w:t>Northern Sami</w:t>
            </w:r>
          </w:p>
        </w:tc>
        <w:tc>
          <w:tcPr>
            <w:tcW w:w="0" w:type="auto"/>
            <w:vAlign w:val="center"/>
          </w:tcPr>
          <w:p w:rsidR="00024C0A" w:rsidRDefault="00694C0F">
            <w:pPr>
              <w:pStyle w:val="TableBodyText"/>
            </w:pPr>
            <w:r>
              <w:t>Finland</w:t>
            </w:r>
          </w:p>
        </w:tc>
        <w:tc>
          <w:tcPr>
            <w:tcW w:w="0" w:type="auto"/>
            <w:vAlign w:val="center"/>
          </w:tcPr>
          <w:p w:rsidR="00024C0A" w:rsidRDefault="00694C0F">
            <w:pPr>
              <w:pStyle w:val="TableBodyText"/>
            </w:pPr>
            <w:r>
              <w:t>se-FI</w:t>
            </w:r>
          </w:p>
        </w:tc>
      </w:tr>
      <w:tr w:rsidR="00024C0A" w:rsidTr="00024C0A">
        <w:tc>
          <w:tcPr>
            <w:tcW w:w="0" w:type="auto"/>
            <w:vAlign w:val="center"/>
          </w:tcPr>
          <w:p w:rsidR="00024C0A" w:rsidRDefault="00694C0F">
            <w:pPr>
              <w:pStyle w:val="TableBodyText"/>
            </w:pPr>
            <w:r>
              <w:t>Northern Sami</w:t>
            </w:r>
          </w:p>
        </w:tc>
        <w:tc>
          <w:tcPr>
            <w:tcW w:w="0" w:type="auto"/>
            <w:vAlign w:val="center"/>
          </w:tcPr>
          <w:p w:rsidR="00024C0A" w:rsidRDefault="00694C0F">
            <w:pPr>
              <w:pStyle w:val="TableBodyText"/>
            </w:pPr>
            <w:r>
              <w:t>Norway</w:t>
            </w:r>
          </w:p>
        </w:tc>
        <w:tc>
          <w:tcPr>
            <w:tcW w:w="0" w:type="auto"/>
            <w:vAlign w:val="center"/>
          </w:tcPr>
          <w:p w:rsidR="00024C0A" w:rsidRDefault="00694C0F">
            <w:pPr>
              <w:pStyle w:val="TableBodyText"/>
            </w:pPr>
            <w:r>
              <w:t>se-NO</w:t>
            </w:r>
          </w:p>
        </w:tc>
      </w:tr>
      <w:tr w:rsidR="00024C0A" w:rsidTr="00024C0A">
        <w:tc>
          <w:tcPr>
            <w:tcW w:w="0" w:type="auto"/>
            <w:vAlign w:val="center"/>
          </w:tcPr>
          <w:p w:rsidR="00024C0A" w:rsidRDefault="00694C0F">
            <w:pPr>
              <w:pStyle w:val="TableBodyText"/>
            </w:pPr>
            <w:r>
              <w:t>Northern Sami</w:t>
            </w:r>
          </w:p>
        </w:tc>
        <w:tc>
          <w:tcPr>
            <w:tcW w:w="0" w:type="auto"/>
            <w:vAlign w:val="center"/>
          </w:tcPr>
          <w:p w:rsidR="00024C0A" w:rsidRDefault="00694C0F">
            <w:pPr>
              <w:pStyle w:val="TableBodyText"/>
            </w:pPr>
            <w:r>
              <w:t>Sweden</w:t>
            </w:r>
          </w:p>
        </w:tc>
        <w:tc>
          <w:tcPr>
            <w:tcW w:w="0" w:type="auto"/>
            <w:vAlign w:val="center"/>
          </w:tcPr>
          <w:p w:rsidR="00024C0A" w:rsidRDefault="00694C0F">
            <w:pPr>
              <w:pStyle w:val="TableBodyText"/>
            </w:pPr>
            <w:r>
              <w:t>se-SE</w:t>
            </w:r>
          </w:p>
        </w:tc>
      </w:tr>
      <w:tr w:rsidR="00024C0A" w:rsidTr="00024C0A">
        <w:tc>
          <w:tcPr>
            <w:tcW w:w="0" w:type="auto"/>
            <w:vAlign w:val="center"/>
          </w:tcPr>
          <w:p w:rsidR="00024C0A" w:rsidRDefault="00694C0F">
            <w:pPr>
              <w:pStyle w:val="TableBodyText"/>
            </w:pPr>
            <w:r>
              <w:t>Norwegian (Bokmål)</w:t>
            </w:r>
          </w:p>
        </w:tc>
        <w:tc>
          <w:tcPr>
            <w:tcW w:w="0" w:type="auto"/>
            <w:vAlign w:val="center"/>
          </w:tcPr>
          <w:p w:rsidR="00024C0A" w:rsidRDefault="00694C0F">
            <w:pPr>
              <w:pStyle w:val="TableBodyText"/>
            </w:pPr>
            <w:r>
              <w:t>Norway</w:t>
            </w:r>
          </w:p>
        </w:tc>
        <w:tc>
          <w:tcPr>
            <w:tcW w:w="0" w:type="auto"/>
            <w:vAlign w:val="center"/>
          </w:tcPr>
          <w:p w:rsidR="00024C0A" w:rsidRDefault="00694C0F">
            <w:pPr>
              <w:pStyle w:val="TableBodyText"/>
            </w:pPr>
            <w:r>
              <w:t>nb-NO</w:t>
            </w:r>
          </w:p>
        </w:tc>
      </w:tr>
      <w:tr w:rsidR="00024C0A" w:rsidTr="00024C0A">
        <w:tc>
          <w:tcPr>
            <w:tcW w:w="0" w:type="auto"/>
            <w:vAlign w:val="center"/>
          </w:tcPr>
          <w:p w:rsidR="00024C0A" w:rsidRDefault="00694C0F">
            <w:pPr>
              <w:pStyle w:val="TableBodyText"/>
            </w:pPr>
            <w:r>
              <w:t>Norwegian (Nynorsk)</w:t>
            </w:r>
          </w:p>
        </w:tc>
        <w:tc>
          <w:tcPr>
            <w:tcW w:w="0" w:type="auto"/>
            <w:vAlign w:val="center"/>
          </w:tcPr>
          <w:p w:rsidR="00024C0A" w:rsidRDefault="00694C0F">
            <w:pPr>
              <w:pStyle w:val="TableBodyText"/>
            </w:pPr>
            <w:r>
              <w:t>Norway</w:t>
            </w:r>
          </w:p>
        </w:tc>
        <w:tc>
          <w:tcPr>
            <w:tcW w:w="0" w:type="auto"/>
            <w:vAlign w:val="center"/>
          </w:tcPr>
          <w:p w:rsidR="00024C0A" w:rsidRDefault="00694C0F">
            <w:pPr>
              <w:pStyle w:val="TableBodyText"/>
            </w:pPr>
            <w:r>
              <w:t>nn-NO</w:t>
            </w:r>
          </w:p>
        </w:tc>
      </w:tr>
      <w:tr w:rsidR="00024C0A" w:rsidTr="00024C0A">
        <w:tc>
          <w:tcPr>
            <w:tcW w:w="0" w:type="auto"/>
            <w:vAlign w:val="center"/>
          </w:tcPr>
          <w:p w:rsidR="00024C0A" w:rsidRDefault="00694C0F">
            <w:pPr>
              <w:pStyle w:val="TableBodyText"/>
            </w:pPr>
            <w:r>
              <w:t>Occitan</w:t>
            </w:r>
          </w:p>
        </w:tc>
        <w:tc>
          <w:tcPr>
            <w:tcW w:w="0" w:type="auto"/>
            <w:vAlign w:val="center"/>
          </w:tcPr>
          <w:p w:rsidR="00024C0A" w:rsidRDefault="00694C0F">
            <w:pPr>
              <w:pStyle w:val="TableBodyText"/>
            </w:pPr>
            <w:r>
              <w:t>France</w:t>
            </w:r>
          </w:p>
        </w:tc>
        <w:tc>
          <w:tcPr>
            <w:tcW w:w="0" w:type="auto"/>
            <w:vAlign w:val="center"/>
          </w:tcPr>
          <w:p w:rsidR="00024C0A" w:rsidRDefault="00694C0F">
            <w:pPr>
              <w:pStyle w:val="TableBodyText"/>
            </w:pPr>
            <w:r>
              <w:t>oc-FR</w:t>
            </w:r>
          </w:p>
        </w:tc>
      </w:tr>
      <w:tr w:rsidR="00024C0A" w:rsidTr="00024C0A">
        <w:tc>
          <w:tcPr>
            <w:tcW w:w="0" w:type="auto"/>
            <w:vAlign w:val="center"/>
          </w:tcPr>
          <w:p w:rsidR="00024C0A" w:rsidRDefault="00694C0F">
            <w:pPr>
              <w:pStyle w:val="TableBodyText"/>
            </w:pPr>
            <w:r>
              <w:t>Odia (Odia Script)</w:t>
            </w:r>
          </w:p>
        </w:tc>
        <w:tc>
          <w:tcPr>
            <w:tcW w:w="0" w:type="auto"/>
            <w:vAlign w:val="center"/>
          </w:tcPr>
          <w:p w:rsidR="00024C0A" w:rsidRDefault="00694C0F">
            <w:pPr>
              <w:pStyle w:val="TableBodyText"/>
            </w:pPr>
            <w:r>
              <w:t xml:space="preserve">India </w:t>
            </w:r>
          </w:p>
        </w:tc>
        <w:tc>
          <w:tcPr>
            <w:tcW w:w="0" w:type="auto"/>
            <w:vAlign w:val="center"/>
          </w:tcPr>
          <w:p w:rsidR="00024C0A" w:rsidRDefault="00694C0F">
            <w:pPr>
              <w:pStyle w:val="TableBodyText"/>
            </w:pPr>
            <w:r>
              <w:t>or-IN</w:t>
            </w:r>
          </w:p>
        </w:tc>
      </w:tr>
      <w:tr w:rsidR="00024C0A" w:rsidTr="00024C0A">
        <w:tc>
          <w:tcPr>
            <w:tcW w:w="0" w:type="auto"/>
            <w:vAlign w:val="center"/>
          </w:tcPr>
          <w:p w:rsidR="00024C0A" w:rsidRDefault="00694C0F">
            <w:pPr>
              <w:pStyle w:val="TableBodyText"/>
            </w:pPr>
            <w:r>
              <w:t>Pashto</w:t>
            </w:r>
          </w:p>
        </w:tc>
        <w:tc>
          <w:tcPr>
            <w:tcW w:w="0" w:type="auto"/>
            <w:vAlign w:val="center"/>
          </w:tcPr>
          <w:p w:rsidR="00024C0A" w:rsidRDefault="00694C0F">
            <w:pPr>
              <w:pStyle w:val="TableBodyText"/>
            </w:pPr>
            <w:r>
              <w:t>Afghanistan</w:t>
            </w:r>
          </w:p>
        </w:tc>
        <w:tc>
          <w:tcPr>
            <w:tcW w:w="0" w:type="auto"/>
            <w:vAlign w:val="center"/>
          </w:tcPr>
          <w:p w:rsidR="00024C0A" w:rsidRDefault="00694C0F">
            <w:pPr>
              <w:pStyle w:val="TableBodyText"/>
            </w:pPr>
            <w:r>
              <w:t>ps-AF</w:t>
            </w:r>
          </w:p>
        </w:tc>
      </w:tr>
      <w:tr w:rsidR="00024C0A" w:rsidTr="00024C0A">
        <w:tc>
          <w:tcPr>
            <w:tcW w:w="0" w:type="auto"/>
            <w:vAlign w:val="center"/>
          </w:tcPr>
          <w:p w:rsidR="00024C0A" w:rsidRDefault="00694C0F">
            <w:pPr>
              <w:pStyle w:val="TableBodyText"/>
            </w:pPr>
            <w:r>
              <w:t>Persian</w:t>
            </w:r>
          </w:p>
        </w:tc>
        <w:tc>
          <w:tcPr>
            <w:tcW w:w="0" w:type="auto"/>
            <w:vAlign w:val="center"/>
          </w:tcPr>
          <w:p w:rsidR="00024C0A" w:rsidRDefault="00694C0F">
            <w:pPr>
              <w:pStyle w:val="TableBodyText"/>
            </w:pPr>
            <w:r>
              <w:t>Iran</w:t>
            </w:r>
          </w:p>
        </w:tc>
        <w:tc>
          <w:tcPr>
            <w:tcW w:w="0" w:type="auto"/>
            <w:vAlign w:val="center"/>
          </w:tcPr>
          <w:p w:rsidR="00024C0A" w:rsidRDefault="00694C0F">
            <w:pPr>
              <w:pStyle w:val="TableBodyText"/>
            </w:pPr>
            <w:r>
              <w:t>fa-IR</w:t>
            </w:r>
          </w:p>
        </w:tc>
      </w:tr>
      <w:tr w:rsidR="00024C0A" w:rsidTr="00024C0A">
        <w:tc>
          <w:tcPr>
            <w:tcW w:w="0" w:type="auto"/>
            <w:vAlign w:val="center"/>
          </w:tcPr>
          <w:p w:rsidR="00024C0A" w:rsidRDefault="00694C0F">
            <w:pPr>
              <w:pStyle w:val="TableBodyText"/>
            </w:pPr>
            <w:r>
              <w:t>Polish</w:t>
            </w:r>
          </w:p>
        </w:tc>
        <w:tc>
          <w:tcPr>
            <w:tcW w:w="0" w:type="auto"/>
            <w:vAlign w:val="center"/>
          </w:tcPr>
          <w:p w:rsidR="00024C0A" w:rsidRDefault="00694C0F">
            <w:pPr>
              <w:pStyle w:val="TableBodyText"/>
            </w:pPr>
            <w:r>
              <w:t>Poland</w:t>
            </w:r>
          </w:p>
        </w:tc>
        <w:tc>
          <w:tcPr>
            <w:tcW w:w="0" w:type="auto"/>
            <w:vAlign w:val="center"/>
          </w:tcPr>
          <w:p w:rsidR="00024C0A" w:rsidRDefault="00694C0F">
            <w:pPr>
              <w:pStyle w:val="TableBodyText"/>
            </w:pPr>
            <w:r>
              <w:t>pl-PL</w:t>
            </w:r>
          </w:p>
        </w:tc>
      </w:tr>
      <w:tr w:rsidR="00024C0A" w:rsidTr="00024C0A">
        <w:tc>
          <w:tcPr>
            <w:tcW w:w="0" w:type="auto"/>
            <w:vAlign w:val="center"/>
          </w:tcPr>
          <w:p w:rsidR="00024C0A" w:rsidRDefault="00694C0F">
            <w:pPr>
              <w:pStyle w:val="TableBodyText"/>
            </w:pPr>
            <w:r>
              <w:t>Portuguese</w:t>
            </w:r>
          </w:p>
        </w:tc>
        <w:tc>
          <w:tcPr>
            <w:tcW w:w="0" w:type="auto"/>
            <w:vAlign w:val="center"/>
          </w:tcPr>
          <w:p w:rsidR="00024C0A" w:rsidRDefault="00694C0F">
            <w:pPr>
              <w:pStyle w:val="TableBodyText"/>
            </w:pPr>
            <w:r>
              <w:t>Brazil</w:t>
            </w:r>
          </w:p>
        </w:tc>
        <w:tc>
          <w:tcPr>
            <w:tcW w:w="0" w:type="auto"/>
            <w:vAlign w:val="center"/>
          </w:tcPr>
          <w:p w:rsidR="00024C0A" w:rsidRDefault="00694C0F">
            <w:pPr>
              <w:pStyle w:val="TableBodyText"/>
            </w:pPr>
            <w:r>
              <w:t>pt-BR</w:t>
            </w:r>
          </w:p>
        </w:tc>
      </w:tr>
      <w:tr w:rsidR="00024C0A" w:rsidTr="00024C0A">
        <w:tc>
          <w:tcPr>
            <w:tcW w:w="0" w:type="auto"/>
            <w:vAlign w:val="center"/>
          </w:tcPr>
          <w:p w:rsidR="00024C0A" w:rsidRDefault="00694C0F">
            <w:pPr>
              <w:pStyle w:val="TableBodyText"/>
            </w:pPr>
            <w:r>
              <w:t>Portuguese</w:t>
            </w:r>
          </w:p>
        </w:tc>
        <w:tc>
          <w:tcPr>
            <w:tcW w:w="0" w:type="auto"/>
            <w:vAlign w:val="center"/>
          </w:tcPr>
          <w:p w:rsidR="00024C0A" w:rsidRDefault="00694C0F">
            <w:pPr>
              <w:pStyle w:val="TableBodyText"/>
            </w:pPr>
            <w:r>
              <w:t>Portugal</w:t>
            </w:r>
          </w:p>
        </w:tc>
        <w:tc>
          <w:tcPr>
            <w:tcW w:w="0" w:type="auto"/>
            <w:vAlign w:val="center"/>
          </w:tcPr>
          <w:p w:rsidR="00024C0A" w:rsidRDefault="00694C0F">
            <w:pPr>
              <w:pStyle w:val="TableBodyText"/>
            </w:pPr>
            <w:r>
              <w:t>pt-PT</w:t>
            </w:r>
          </w:p>
        </w:tc>
      </w:tr>
      <w:tr w:rsidR="00024C0A" w:rsidTr="00024C0A">
        <w:tc>
          <w:tcPr>
            <w:tcW w:w="0" w:type="auto"/>
            <w:vAlign w:val="center"/>
          </w:tcPr>
          <w:p w:rsidR="00024C0A" w:rsidRDefault="00694C0F">
            <w:pPr>
              <w:pStyle w:val="TableBodyText"/>
            </w:pPr>
            <w:r>
              <w:t>Punjabi (Gurmukhi Script)</w:t>
            </w:r>
          </w:p>
        </w:tc>
        <w:tc>
          <w:tcPr>
            <w:tcW w:w="0" w:type="auto"/>
            <w:vAlign w:val="center"/>
          </w:tcPr>
          <w:p w:rsidR="00024C0A" w:rsidRDefault="00694C0F">
            <w:pPr>
              <w:pStyle w:val="TableBodyText"/>
            </w:pPr>
            <w:r>
              <w:t>India</w:t>
            </w:r>
          </w:p>
        </w:tc>
        <w:tc>
          <w:tcPr>
            <w:tcW w:w="0" w:type="auto"/>
            <w:vAlign w:val="center"/>
          </w:tcPr>
          <w:p w:rsidR="00024C0A" w:rsidRDefault="00694C0F">
            <w:pPr>
              <w:pStyle w:val="TableBodyText"/>
            </w:pPr>
            <w:r>
              <w:t>pa-IN</w:t>
            </w:r>
          </w:p>
        </w:tc>
      </w:tr>
      <w:tr w:rsidR="00024C0A" w:rsidTr="00024C0A">
        <w:tc>
          <w:tcPr>
            <w:tcW w:w="0" w:type="auto"/>
            <w:vAlign w:val="center"/>
          </w:tcPr>
          <w:p w:rsidR="00024C0A" w:rsidRDefault="00694C0F">
            <w:pPr>
              <w:pStyle w:val="TableBodyText"/>
            </w:pPr>
            <w:r>
              <w:t>Quechua</w:t>
            </w:r>
          </w:p>
        </w:tc>
        <w:tc>
          <w:tcPr>
            <w:tcW w:w="0" w:type="auto"/>
            <w:vAlign w:val="center"/>
          </w:tcPr>
          <w:p w:rsidR="00024C0A" w:rsidRDefault="00694C0F">
            <w:pPr>
              <w:pStyle w:val="TableBodyText"/>
            </w:pPr>
            <w:r>
              <w:t>Bolivia</w:t>
            </w:r>
          </w:p>
        </w:tc>
        <w:tc>
          <w:tcPr>
            <w:tcW w:w="0" w:type="auto"/>
            <w:vAlign w:val="center"/>
          </w:tcPr>
          <w:p w:rsidR="00024C0A" w:rsidRDefault="00694C0F">
            <w:pPr>
              <w:pStyle w:val="TableBodyText"/>
            </w:pPr>
            <w:r>
              <w:t>quz-BO</w:t>
            </w:r>
          </w:p>
        </w:tc>
      </w:tr>
      <w:tr w:rsidR="00024C0A" w:rsidTr="00024C0A">
        <w:tc>
          <w:tcPr>
            <w:tcW w:w="0" w:type="auto"/>
            <w:vAlign w:val="center"/>
          </w:tcPr>
          <w:p w:rsidR="00024C0A" w:rsidRDefault="00694C0F">
            <w:pPr>
              <w:pStyle w:val="TableBodyText"/>
            </w:pPr>
            <w:r>
              <w:t>Quechua</w:t>
            </w:r>
          </w:p>
        </w:tc>
        <w:tc>
          <w:tcPr>
            <w:tcW w:w="0" w:type="auto"/>
            <w:vAlign w:val="center"/>
          </w:tcPr>
          <w:p w:rsidR="00024C0A" w:rsidRDefault="00694C0F">
            <w:pPr>
              <w:pStyle w:val="TableBodyText"/>
            </w:pPr>
            <w:r>
              <w:t>Ecuador</w:t>
            </w:r>
          </w:p>
        </w:tc>
        <w:tc>
          <w:tcPr>
            <w:tcW w:w="0" w:type="auto"/>
            <w:vAlign w:val="center"/>
          </w:tcPr>
          <w:p w:rsidR="00024C0A" w:rsidRDefault="00694C0F">
            <w:pPr>
              <w:pStyle w:val="TableBodyText"/>
            </w:pPr>
            <w:r>
              <w:t>quz-EC</w:t>
            </w:r>
          </w:p>
        </w:tc>
      </w:tr>
      <w:tr w:rsidR="00024C0A" w:rsidTr="00024C0A">
        <w:tc>
          <w:tcPr>
            <w:tcW w:w="0" w:type="auto"/>
            <w:vAlign w:val="center"/>
          </w:tcPr>
          <w:p w:rsidR="00024C0A" w:rsidRDefault="00694C0F">
            <w:pPr>
              <w:pStyle w:val="TableBodyText"/>
            </w:pPr>
            <w:r>
              <w:lastRenderedPageBreak/>
              <w:t>Quechua</w:t>
            </w:r>
          </w:p>
        </w:tc>
        <w:tc>
          <w:tcPr>
            <w:tcW w:w="0" w:type="auto"/>
            <w:vAlign w:val="center"/>
          </w:tcPr>
          <w:p w:rsidR="00024C0A" w:rsidRDefault="00694C0F">
            <w:pPr>
              <w:pStyle w:val="TableBodyText"/>
            </w:pPr>
            <w:r>
              <w:t>Peru</w:t>
            </w:r>
          </w:p>
        </w:tc>
        <w:tc>
          <w:tcPr>
            <w:tcW w:w="0" w:type="auto"/>
            <w:vAlign w:val="center"/>
          </w:tcPr>
          <w:p w:rsidR="00024C0A" w:rsidRDefault="00694C0F">
            <w:pPr>
              <w:pStyle w:val="TableBodyText"/>
            </w:pPr>
            <w:r>
              <w:t>quz-PE</w:t>
            </w:r>
          </w:p>
        </w:tc>
      </w:tr>
      <w:tr w:rsidR="00024C0A" w:rsidTr="00024C0A">
        <w:tc>
          <w:tcPr>
            <w:tcW w:w="0" w:type="auto"/>
            <w:vAlign w:val="center"/>
          </w:tcPr>
          <w:p w:rsidR="00024C0A" w:rsidRDefault="00694C0F">
            <w:pPr>
              <w:pStyle w:val="TableBodyText"/>
            </w:pPr>
            <w:r>
              <w:t>Romanian</w:t>
            </w:r>
          </w:p>
        </w:tc>
        <w:tc>
          <w:tcPr>
            <w:tcW w:w="0" w:type="auto"/>
            <w:vAlign w:val="center"/>
          </w:tcPr>
          <w:p w:rsidR="00024C0A" w:rsidRDefault="00694C0F">
            <w:pPr>
              <w:pStyle w:val="TableBodyText"/>
            </w:pPr>
            <w:r>
              <w:t>Romania</w:t>
            </w:r>
          </w:p>
        </w:tc>
        <w:tc>
          <w:tcPr>
            <w:tcW w:w="0" w:type="auto"/>
            <w:vAlign w:val="center"/>
          </w:tcPr>
          <w:p w:rsidR="00024C0A" w:rsidRDefault="00694C0F">
            <w:pPr>
              <w:pStyle w:val="TableBodyText"/>
            </w:pPr>
            <w:r>
              <w:t>ro-RO</w:t>
            </w:r>
          </w:p>
        </w:tc>
      </w:tr>
      <w:tr w:rsidR="00024C0A" w:rsidTr="00024C0A">
        <w:tc>
          <w:tcPr>
            <w:tcW w:w="0" w:type="auto"/>
            <w:vAlign w:val="center"/>
          </w:tcPr>
          <w:p w:rsidR="00024C0A" w:rsidRDefault="00694C0F">
            <w:pPr>
              <w:pStyle w:val="TableBodyText"/>
            </w:pPr>
            <w:r>
              <w:t>Romansh</w:t>
            </w:r>
          </w:p>
        </w:tc>
        <w:tc>
          <w:tcPr>
            <w:tcW w:w="0" w:type="auto"/>
            <w:vAlign w:val="center"/>
          </w:tcPr>
          <w:p w:rsidR="00024C0A" w:rsidRDefault="00694C0F">
            <w:pPr>
              <w:pStyle w:val="TableBodyText"/>
            </w:pPr>
            <w:r>
              <w:t>Switzerland</w:t>
            </w:r>
          </w:p>
        </w:tc>
        <w:tc>
          <w:tcPr>
            <w:tcW w:w="0" w:type="auto"/>
            <w:vAlign w:val="center"/>
          </w:tcPr>
          <w:p w:rsidR="00024C0A" w:rsidRDefault="00694C0F">
            <w:pPr>
              <w:pStyle w:val="TableBodyText"/>
            </w:pPr>
            <w:r>
              <w:t>rm-CH</w:t>
            </w:r>
          </w:p>
        </w:tc>
      </w:tr>
      <w:tr w:rsidR="00024C0A" w:rsidTr="00024C0A">
        <w:tc>
          <w:tcPr>
            <w:tcW w:w="0" w:type="auto"/>
            <w:vAlign w:val="center"/>
          </w:tcPr>
          <w:p w:rsidR="00024C0A" w:rsidRDefault="00694C0F">
            <w:pPr>
              <w:pStyle w:val="TableBodyText"/>
            </w:pPr>
            <w:r>
              <w:t>Russian</w:t>
            </w:r>
          </w:p>
        </w:tc>
        <w:tc>
          <w:tcPr>
            <w:tcW w:w="0" w:type="auto"/>
            <w:vAlign w:val="center"/>
          </w:tcPr>
          <w:p w:rsidR="00024C0A" w:rsidRDefault="00694C0F">
            <w:pPr>
              <w:pStyle w:val="TableBodyText"/>
            </w:pPr>
            <w:r>
              <w:t>Russia</w:t>
            </w:r>
          </w:p>
        </w:tc>
        <w:tc>
          <w:tcPr>
            <w:tcW w:w="0" w:type="auto"/>
            <w:vAlign w:val="center"/>
          </w:tcPr>
          <w:p w:rsidR="00024C0A" w:rsidRDefault="00694C0F">
            <w:pPr>
              <w:pStyle w:val="TableBodyText"/>
            </w:pPr>
            <w:r>
              <w:t>ru-RU</w:t>
            </w:r>
          </w:p>
        </w:tc>
      </w:tr>
      <w:tr w:rsidR="00024C0A" w:rsidTr="00024C0A">
        <w:tc>
          <w:tcPr>
            <w:tcW w:w="0" w:type="auto"/>
            <w:vAlign w:val="center"/>
          </w:tcPr>
          <w:p w:rsidR="00024C0A" w:rsidRDefault="00694C0F">
            <w:pPr>
              <w:pStyle w:val="TableBodyText"/>
            </w:pPr>
            <w:r>
              <w:t>Sakha</w:t>
            </w:r>
          </w:p>
        </w:tc>
        <w:tc>
          <w:tcPr>
            <w:tcW w:w="0" w:type="auto"/>
            <w:vAlign w:val="center"/>
          </w:tcPr>
          <w:p w:rsidR="00024C0A" w:rsidRDefault="00694C0F">
            <w:pPr>
              <w:pStyle w:val="TableBodyText"/>
            </w:pPr>
            <w:r>
              <w:t>Russia</w:t>
            </w:r>
          </w:p>
        </w:tc>
        <w:tc>
          <w:tcPr>
            <w:tcW w:w="0" w:type="auto"/>
            <w:vAlign w:val="center"/>
          </w:tcPr>
          <w:p w:rsidR="00024C0A" w:rsidRDefault="00694C0F">
            <w:pPr>
              <w:pStyle w:val="TableBodyText"/>
            </w:pPr>
            <w:r>
              <w:t>sah-RU</w:t>
            </w:r>
          </w:p>
        </w:tc>
      </w:tr>
      <w:tr w:rsidR="00024C0A" w:rsidTr="00024C0A">
        <w:tc>
          <w:tcPr>
            <w:tcW w:w="0" w:type="auto"/>
            <w:vAlign w:val="center"/>
          </w:tcPr>
          <w:p w:rsidR="00024C0A" w:rsidRDefault="00694C0F">
            <w:pPr>
              <w:pStyle w:val="TableBodyText"/>
            </w:pPr>
            <w:r>
              <w:t>Sanskrit</w:t>
            </w:r>
          </w:p>
        </w:tc>
        <w:tc>
          <w:tcPr>
            <w:tcW w:w="0" w:type="auto"/>
            <w:vAlign w:val="center"/>
          </w:tcPr>
          <w:p w:rsidR="00024C0A" w:rsidRDefault="00694C0F">
            <w:pPr>
              <w:pStyle w:val="TableBodyText"/>
            </w:pPr>
            <w:r>
              <w:t>India</w:t>
            </w:r>
          </w:p>
        </w:tc>
        <w:tc>
          <w:tcPr>
            <w:tcW w:w="0" w:type="auto"/>
            <w:vAlign w:val="center"/>
          </w:tcPr>
          <w:p w:rsidR="00024C0A" w:rsidRDefault="00694C0F">
            <w:pPr>
              <w:pStyle w:val="TableBodyText"/>
            </w:pPr>
            <w:r>
              <w:t>sa-IN</w:t>
            </w:r>
          </w:p>
        </w:tc>
      </w:tr>
      <w:tr w:rsidR="00024C0A" w:rsidTr="00024C0A">
        <w:tc>
          <w:tcPr>
            <w:tcW w:w="0" w:type="auto"/>
            <w:vAlign w:val="center"/>
          </w:tcPr>
          <w:p w:rsidR="00024C0A" w:rsidRDefault="00694C0F">
            <w:pPr>
              <w:pStyle w:val="TableBodyText"/>
            </w:pPr>
            <w:r>
              <w:t>Serbian (Cyrillic)</w:t>
            </w:r>
          </w:p>
        </w:tc>
        <w:tc>
          <w:tcPr>
            <w:tcW w:w="0" w:type="auto"/>
            <w:vAlign w:val="center"/>
          </w:tcPr>
          <w:p w:rsidR="00024C0A" w:rsidRDefault="00694C0F">
            <w:pPr>
              <w:pStyle w:val="TableBodyText"/>
            </w:pPr>
            <w:r>
              <w:t xml:space="preserve">Bosnia and Herzegovina </w:t>
            </w:r>
          </w:p>
        </w:tc>
        <w:tc>
          <w:tcPr>
            <w:tcW w:w="0" w:type="auto"/>
            <w:vAlign w:val="center"/>
          </w:tcPr>
          <w:p w:rsidR="00024C0A" w:rsidRDefault="00694C0F">
            <w:pPr>
              <w:pStyle w:val="TableBodyText"/>
            </w:pPr>
            <w:r>
              <w:t>sr-BA-Cyrl</w:t>
            </w:r>
          </w:p>
        </w:tc>
      </w:tr>
      <w:tr w:rsidR="00024C0A" w:rsidTr="00024C0A">
        <w:tc>
          <w:tcPr>
            <w:tcW w:w="0" w:type="auto"/>
            <w:vAlign w:val="center"/>
          </w:tcPr>
          <w:p w:rsidR="00024C0A" w:rsidRDefault="00694C0F">
            <w:pPr>
              <w:pStyle w:val="TableBodyText"/>
            </w:pPr>
            <w:r>
              <w:t xml:space="preserve">Serbian </w:t>
            </w:r>
            <w:r>
              <w:t>(Cyrillic)</w:t>
            </w:r>
          </w:p>
        </w:tc>
        <w:tc>
          <w:tcPr>
            <w:tcW w:w="0" w:type="auto"/>
            <w:vAlign w:val="center"/>
          </w:tcPr>
          <w:p w:rsidR="00024C0A" w:rsidRDefault="00694C0F">
            <w:pPr>
              <w:pStyle w:val="TableBodyText"/>
            </w:pPr>
            <w:r>
              <w:t>Serbia and Montenegro (former)</w:t>
            </w:r>
          </w:p>
        </w:tc>
        <w:tc>
          <w:tcPr>
            <w:tcW w:w="0" w:type="auto"/>
            <w:vAlign w:val="center"/>
          </w:tcPr>
          <w:p w:rsidR="00024C0A" w:rsidRDefault="00694C0F">
            <w:pPr>
              <w:pStyle w:val="TableBodyText"/>
            </w:pPr>
            <w:r>
              <w:t>sr-SP-Cyrl</w:t>
            </w:r>
          </w:p>
        </w:tc>
      </w:tr>
      <w:tr w:rsidR="00024C0A" w:rsidTr="00024C0A">
        <w:tc>
          <w:tcPr>
            <w:tcW w:w="0" w:type="auto"/>
            <w:vAlign w:val="center"/>
          </w:tcPr>
          <w:p w:rsidR="00024C0A" w:rsidRDefault="00694C0F">
            <w:pPr>
              <w:pStyle w:val="TableBodyText"/>
            </w:pPr>
            <w:r>
              <w:t>Serbian (Latin)</w:t>
            </w:r>
          </w:p>
        </w:tc>
        <w:tc>
          <w:tcPr>
            <w:tcW w:w="0" w:type="auto"/>
            <w:vAlign w:val="center"/>
          </w:tcPr>
          <w:p w:rsidR="00024C0A" w:rsidRDefault="00694C0F">
            <w:pPr>
              <w:pStyle w:val="TableBodyText"/>
            </w:pPr>
            <w:r>
              <w:t xml:space="preserve">Bosnia and Herzegovina </w:t>
            </w:r>
          </w:p>
        </w:tc>
        <w:tc>
          <w:tcPr>
            <w:tcW w:w="0" w:type="auto"/>
            <w:vAlign w:val="center"/>
          </w:tcPr>
          <w:p w:rsidR="00024C0A" w:rsidRDefault="00694C0F">
            <w:pPr>
              <w:pStyle w:val="TableBodyText"/>
            </w:pPr>
            <w:r>
              <w:t>sr-BA-Latn</w:t>
            </w:r>
          </w:p>
        </w:tc>
      </w:tr>
      <w:tr w:rsidR="00024C0A" w:rsidTr="00024C0A">
        <w:tc>
          <w:tcPr>
            <w:tcW w:w="0" w:type="auto"/>
            <w:vAlign w:val="center"/>
          </w:tcPr>
          <w:p w:rsidR="00024C0A" w:rsidRDefault="00694C0F">
            <w:pPr>
              <w:pStyle w:val="TableBodyText"/>
            </w:pPr>
            <w:r>
              <w:t>Serbian (Latin)</w:t>
            </w:r>
          </w:p>
        </w:tc>
        <w:tc>
          <w:tcPr>
            <w:tcW w:w="0" w:type="auto"/>
            <w:vAlign w:val="center"/>
          </w:tcPr>
          <w:p w:rsidR="00024C0A" w:rsidRDefault="00694C0F">
            <w:pPr>
              <w:pStyle w:val="TableBodyText"/>
            </w:pPr>
            <w:r>
              <w:t>Serbia and Montenegro (former)</w:t>
            </w:r>
          </w:p>
        </w:tc>
        <w:tc>
          <w:tcPr>
            <w:tcW w:w="0" w:type="auto"/>
            <w:vAlign w:val="center"/>
          </w:tcPr>
          <w:p w:rsidR="00024C0A" w:rsidRDefault="00694C0F">
            <w:pPr>
              <w:pStyle w:val="TableBodyText"/>
            </w:pPr>
            <w:r>
              <w:t>sr-SP-Latn</w:t>
            </w:r>
          </w:p>
        </w:tc>
      </w:tr>
      <w:tr w:rsidR="00024C0A" w:rsidTr="00024C0A">
        <w:tc>
          <w:tcPr>
            <w:tcW w:w="0" w:type="auto"/>
            <w:vAlign w:val="center"/>
          </w:tcPr>
          <w:p w:rsidR="00024C0A" w:rsidRDefault="00694C0F">
            <w:pPr>
              <w:pStyle w:val="TableBodyText"/>
            </w:pPr>
            <w:r>
              <w:t>Sesotho sa Leboa / Northern Sotho</w:t>
            </w:r>
          </w:p>
        </w:tc>
        <w:tc>
          <w:tcPr>
            <w:tcW w:w="0" w:type="auto"/>
            <w:vAlign w:val="center"/>
          </w:tcPr>
          <w:p w:rsidR="00024C0A" w:rsidRDefault="00694C0F">
            <w:pPr>
              <w:pStyle w:val="TableBodyText"/>
            </w:pPr>
            <w:r>
              <w:t>South Africa</w:t>
            </w:r>
          </w:p>
        </w:tc>
        <w:tc>
          <w:tcPr>
            <w:tcW w:w="0" w:type="auto"/>
            <w:vAlign w:val="center"/>
          </w:tcPr>
          <w:p w:rsidR="00024C0A" w:rsidRDefault="00694C0F">
            <w:pPr>
              <w:pStyle w:val="TableBodyText"/>
            </w:pPr>
            <w:r>
              <w:t>ns-ZA</w:t>
            </w:r>
          </w:p>
        </w:tc>
      </w:tr>
      <w:tr w:rsidR="00024C0A" w:rsidTr="00024C0A">
        <w:tc>
          <w:tcPr>
            <w:tcW w:w="0" w:type="auto"/>
            <w:vAlign w:val="center"/>
          </w:tcPr>
          <w:p w:rsidR="00024C0A" w:rsidRDefault="00694C0F">
            <w:pPr>
              <w:pStyle w:val="TableBodyText"/>
            </w:pPr>
            <w:r>
              <w:t>Setswana / Tswana</w:t>
            </w:r>
          </w:p>
        </w:tc>
        <w:tc>
          <w:tcPr>
            <w:tcW w:w="0" w:type="auto"/>
            <w:vAlign w:val="center"/>
          </w:tcPr>
          <w:p w:rsidR="00024C0A" w:rsidRDefault="00694C0F">
            <w:pPr>
              <w:pStyle w:val="TableBodyText"/>
            </w:pPr>
            <w:r>
              <w:t>South Africa</w:t>
            </w:r>
          </w:p>
        </w:tc>
        <w:tc>
          <w:tcPr>
            <w:tcW w:w="0" w:type="auto"/>
            <w:vAlign w:val="center"/>
          </w:tcPr>
          <w:p w:rsidR="00024C0A" w:rsidRDefault="00694C0F">
            <w:pPr>
              <w:pStyle w:val="TableBodyText"/>
            </w:pPr>
            <w:r>
              <w:t>tn-ZA</w:t>
            </w:r>
          </w:p>
        </w:tc>
      </w:tr>
      <w:tr w:rsidR="00024C0A" w:rsidTr="00024C0A">
        <w:tc>
          <w:tcPr>
            <w:tcW w:w="0" w:type="auto"/>
            <w:vAlign w:val="center"/>
          </w:tcPr>
          <w:p w:rsidR="00024C0A" w:rsidRDefault="00694C0F">
            <w:pPr>
              <w:pStyle w:val="TableBodyText"/>
            </w:pPr>
            <w:r>
              <w:t>Sinhala</w:t>
            </w:r>
          </w:p>
        </w:tc>
        <w:tc>
          <w:tcPr>
            <w:tcW w:w="0" w:type="auto"/>
            <w:vAlign w:val="center"/>
          </w:tcPr>
          <w:p w:rsidR="00024C0A" w:rsidRDefault="00694C0F">
            <w:pPr>
              <w:pStyle w:val="TableBodyText"/>
            </w:pPr>
            <w:r>
              <w:t>Sri Lanka</w:t>
            </w:r>
          </w:p>
        </w:tc>
        <w:tc>
          <w:tcPr>
            <w:tcW w:w="0" w:type="auto"/>
            <w:vAlign w:val="center"/>
          </w:tcPr>
          <w:p w:rsidR="00024C0A" w:rsidRDefault="00694C0F">
            <w:pPr>
              <w:pStyle w:val="TableBodyText"/>
            </w:pPr>
            <w:r>
              <w:t>si-LK</w:t>
            </w:r>
          </w:p>
        </w:tc>
      </w:tr>
      <w:tr w:rsidR="00024C0A" w:rsidTr="00024C0A">
        <w:tc>
          <w:tcPr>
            <w:tcW w:w="0" w:type="auto"/>
            <w:vAlign w:val="center"/>
          </w:tcPr>
          <w:p w:rsidR="00024C0A" w:rsidRDefault="00694C0F">
            <w:pPr>
              <w:pStyle w:val="TableBodyText"/>
            </w:pPr>
            <w:r>
              <w:t>Skolt Sami</w:t>
            </w:r>
          </w:p>
        </w:tc>
        <w:tc>
          <w:tcPr>
            <w:tcW w:w="0" w:type="auto"/>
            <w:vAlign w:val="center"/>
          </w:tcPr>
          <w:p w:rsidR="00024C0A" w:rsidRDefault="00694C0F">
            <w:pPr>
              <w:pStyle w:val="TableBodyText"/>
            </w:pPr>
            <w:r>
              <w:t>Finland</w:t>
            </w:r>
          </w:p>
        </w:tc>
        <w:tc>
          <w:tcPr>
            <w:tcW w:w="0" w:type="auto"/>
            <w:vAlign w:val="center"/>
          </w:tcPr>
          <w:p w:rsidR="00024C0A" w:rsidRDefault="00694C0F">
            <w:pPr>
              <w:pStyle w:val="TableBodyText"/>
            </w:pPr>
            <w:r>
              <w:t>sms-FI</w:t>
            </w:r>
          </w:p>
        </w:tc>
      </w:tr>
      <w:tr w:rsidR="00024C0A" w:rsidTr="00024C0A">
        <w:tc>
          <w:tcPr>
            <w:tcW w:w="0" w:type="auto"/>
            <w:vAlign w:val="center"/>
          </w:tcPr>
          <w:p w:rsidR="00024C0A" w:rsidRDefault="00694C0F">
            <w:pPr>
              <w:pStyle w:val="TableBodyText"/>
            </w:pPr>
            <w:r>
              <w:t>Slovak</w:t>
            </w:r>
          </w:p>
        </w:tc>
        <w:tc>
          <w:tcPr>
            <w:tcW w:w="0" w:type="auto"/>
            <w:vAlign w:val="center"/>
          </w:tcPr>
          <w:p w:rsidR="00024C0A" w:rsidRDefault="00694C0F">
            <w:pPr>
              <w:pStyle w:val="TableBodyText"/>
            </w:pPr>
            <w:r>
              <w:t>Slovakia</w:t>
            </w:r>
          </w:p>
        </w:tc>
        <w:tc>
          <w:tcPr>
            <w:tcW w:w="0" w:type="auto"/>
            <w:vAlign w:val="center"/>
          </w:tcPr>
          <w:p w:rsidR="00024C0A" w:rsidRDefault="00694C0F">
            <w:pPr>
              <w:pStyle w:val="TableBodyText"/>
            </w:pPr>
            <w:r>
              <w:t>sk-SK</w:t>
            </w:r>
          </w:p>
        </w:tc>
      </w:tr>
      <w:tr w:rsidR="00024C0A" w:rsidTr="00024C0A">
        <w:tc>
          <w:tcPr>
            <w:tcW w:w="0" w:type="auto"/>
            <w:vAlign w:val="center"/>
          </w:tcPr>
          <w:p w:rsidR="00024C0A" w:rsidRDefault="00694C0F">
            <w:pPr>
              <w:pStyle w:val="TableBodyText"/>
            </w:pPr>
            <w:r>
              <w:t>Slovenian</w:t>
            </w:r>
          </w:p>
        </w:tc>
        <w:tc>
          <w:tcPr>
            <w:tcW w:w="0" w:type="auto"/>
            <w:vAlign w:val="center"/>
          </w:tcPr>
          <w:p w:rsidR="00024C0A" w:rsidRDefault="00694C0F">
            <w:pPr>
              <w:pStyle w:val="TableBodyText"/>
            </w:pPr>
            <w:r>
              <w:t>Slovenia</w:t>
            </w:r>
          </w:p>
        </w:tc>
        <w:tc>
          <w:tcPr>
            <w:tcW w:w="0" w:type="auto"/>
            <w:vAlign w:val="center"/>
          </w:tcPr>
          <w:p w:rsidR="00024C0A" w:rsidRDefault="00694C0F">
            <w:pPr>
              <w:pStyle w:val="TableBodyText"/>
            </w:pPr>
            <w:r>
              <w:t>sl-SI</w:t>
            </w:r>
          </w:p>
        </w:tc>
      </w:tr>
      <w:tr w:rsidR="00024C0A" w:rsidTr="00024C0A">
        <w:tc>
          <w:tcPr>
            <w:tcW w:w="0" w:type="auto"/>
            <w:vAlign w:val="center"/>
          </w:tcPr>
          <w:p w:rsidR="00024C0A" w:rsidRDefault="00694C0F">
            <w:pPr>
              <w:pStyle w:val="TableBodyText"/>
            </w:pPr>
            <w:r>
              <w:t>Southern Sami</w:t>
            </w:r>
          </w:p>
        </w:tc>
        <w:tc>
          <w:tcPr>
            <w:tcW w:w="0" w:type="auto"/>
            <w:vAlign w:val="center"/>
          </w:tcPr>
          <w:p w:rsidR="00024C0A" w:rsidRDefault="00694C0F">
            <w:pPr>
              <w:pStyle w:val="TableBodyText"/>
            </w:pPr>
            <w:r>
              <w:t>Norway</w:t>
            </w:r>
          </w:p>
        </w:tc>
        <w:tc>
          <w:tcPr>
            <w:tcW w:w="0" w:type="auto"/>
            <w:vAlign w:val="center"/>
          </w:tcPr>
          <w:p w:rsidR="00024C0A" w:rsidRDefault="00694C0F">
            <w:pPr>
              <w:pStyle w:val="TableBodyText"/>
            </w:pPr>
            <w:r>
              <w:t>sma-NO</w:t>
            </w:r>
          </w:p>
        </w:tc>
      </w:tr>
      <w:tr w:rsidR="00024C0A" w:rsidTr="00024C0A">
        <w:tc>
          <w:tcPr>
            <w:tcW w:w="0" w:type="auto"/>
            <w:vAlign w:val="center"/>
          </w:tcPr>
          <w:p w:rsidR="00024C0A" w:rsidRDefault="00694C0F">
            <w:pPr>
              <w:pStyle w:val="TableBodyText"/>
            </w:pPr>
            <w:r>
              <w:t>Southern Sami</w:t>
            </w:r>
          </w:p>
        </w:tc>
        <w:tc>
          <w:tcPr>
            <w:tcW w:w="0" w:type="auto"/>
            <w:vAlign w:val="center"/>
          </w:tcPr>
          <w:p w:rsidR="00024C0A" w:rsidRDefault="00694C0F">
            <w:pPr>
              <w:pStyle w:val="TableBodyText"/>
            </w:pPr>
            <w:r>
              <w:t>Sweden</w:t>
            </w:r>
          </w:p>
        </w:tc>
        <w:tc>
          <w:tcPr>
            <w:tcW w:w="0" w:type="auto"/>
            <w:vAlign w:val="center"/>
          </w:tcPr>
          <w:p w:rsidR="00024C0A" w:rsidRDefault="00694C0F">
            <w:pPr>
              <w:pStyle w:val="TableBodyText"/>
            </w:pPr>
            <w:r>
              <w:t>sma-SE</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Argentina</w:t>
            </w:r>
          </w:p>
        </w:tc>
        <w:tc>
          <w:tcPr>
            <w:tcW w:w="0" w:type="auto"/>
            <w:vAlign w:val="center"/>
          </w:tcPr>
          <w:p w:rsidR="00024C0A" w:rsidRDefault="00694C0F">
            <w:pPr>
              <w:pStyle w:val="TableBodyText"/>
            </w:pPr>
            <w:r>
              <w:t>es-AR</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Bolivia</w:t>
            </w:r>
          </w:p>
        </w:tc>
        <w:tc>
          <w:tcPr>
            <w:tcW w:w="0" w:type="auto"/>
            <w:vAlign w:val="center"/>
          </w:tcPr>
          <w:p w:rsidR="00024C0A" w:rsidRDefault="00694C0F">
            <w:pPr>
              <w:pStyle w:val="TableBodyText"/>
            </w:pPr>
            <w:r>
              <w:t>es-BO</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Chile</w:t>
            </w:r>
          </w:p>
        </w:tc>
        <w:tc>
          <w:tcPr>
            <w:tcW w:w="0" w:type="auto"/>
            <w:vAlign w:val="center"/>
          </w:tcPr>
          <w:p w:rsidR="00024C0A" w:rsidRDefault="00694C0F">
            <w:pPr>
              <w:pStyle w:val="TableBodyText"/>
            </w:pPr>
            <w:r>
              <w:t>es-CL</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Columbia</w:t>
            </w:r>
          </w:p>
        </w:tc>
        <w:tc>
          <w:tcPr>
            <w:tcW w:w="0" w:type="auto"/>
            <w:vAlign w:val="center"/>
          </w:tcPr>
          <w:p w:rsidR="00024C0A" w:rsidRDefault="00694C0F">
            <w:pPr>
              <w:pStyle w:val="TableBodyText"/>
            </w:pPr>
            <w:r>
              <w:t>es-CO</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Costa Rica</w:t>
            </w:r>
          </w:p>
        </w:tc>
        <w:tc>
          <w:tcPr>
            <w:tcW w:w="0" w:type="auto"/>
            <w:vAlign w:val="center"/>
          </w:tcPr>
          <w:p w:rsidR="00024C0A" w:rsidRDefault="00694C0F">
            <w:pPr>
              <w:pStyle w:val="TableBodyText"/>
            </w:pPr>
            <w:r>
              <w:t>es-CR</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Dominican Republic</w:t>
            </w:r>
          </w:p>
        </w:tc>
        <w:tc>
          <w:tcPr>
            <w:tcW w:w="0" w:type="auto"/>
            <w:vAlign w:val="center"/>
          </w:tcPr>
          <w:p w:rsidR="00024C0A" w:rsidRDefault="00694C0F">
            <w:pPr>
              <w:pStyle w:val="TableBodyText"/>
            </w:pPr>
            <w:r>
              <w:t>es-DO</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Ecuador</w:t>
            </w:r>
          </w:p>
        </w:tc>
        <w:tc>
          <w:tcPr>
            <w:tcW w:w="0" w:type="auto"/>
            <w:vAlign w:val="center"/>
          </w:tcPr>
          <w:p w:rsidR="00024C0A" w:rsidRDefault="00694C0F">
            <w:pPr>
              <w:pStyle w:val="TableBodyText"/>
            </w:pPr>
            <w:r>
              <w:t>es-EC</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El Salvador</w:t>
            </w:r>
          </w:p>
        </w:tc>
        <w:tc>
          <w:tcPr>
            <w:tcW w:w="0" w:type="auto"/>
            <w:vAlign w:val="center"/>
          </w:tcPr>
          <w:p w:rsidR="00024C0A" w:rsidRDefault="00694C0F">
            <w:pPr>
              <w:pStyle w:val="TableBodyText"/>
            </w:pPr>
            <w:r>
              <w:t>es-SV</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Guatemala</w:t>
            </w:r>
          </w:p>
        </w:tc>
        <w:tc>
          <w:tcPr>
            <w:tcW w:w="0" w:type="auto"/>
            <w:vAlign w:val="center"/>
          </w:tcPr>
          <w:p w:rsidR="00024C0A" w:rsidRDefault="00694C0F">
            <w:pPr>
              <w:pStyle w:val="TableBodyText"/>
            </w:pPr>
            <w:r>
              <w:t>es-GT</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Honduras</w:t>
            </w:r>
          </w:p>
        </w:tc>
        <w:tc>
          <w:tcPr>
            <w:tcW w:w="0" w:type="auto"/>
            <w:vAlign w:val="center"/>
          </w:tcPr>
          <w:p w:rsidR="00024C0A" w:rsidRDefault="00694C0F">
            <w:pPr>
              <w:pStyle w:val="TableBodyText"/>
            </w:pPr>
            <w:r>
              <w:t>es-HN</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Mexico</w:t>
            </w:r>
          </w:p>
        </w:tc>
        <w:tc>
          <w:tcPr>
            <w:tcW w:w="0" w:type="auto"/>
            <w:vAlign w:val="center"/>
          </w:tcPr>
          <w:p w:rsidR="00024C0A" w:rsidRDefault="00694C0F">
            <w:pPr>
              <w:pStyle w:val="TableBodyText"/>
            </w:pPr>
            <w:r>
              <w:t>es-MX</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Nicaragua</w:t>
            </w:r>
          </w:p>
        </w:tc>
        <w:tc>
          <w:tcPr>
            <w:tcW w:w="0" w:type="auto"/>
            <w:vAlign w:val="center"/>
          </w:tcPr>
          <w:p w:rsidR="00024C0A" w:rsidRDefault="00694C0F">
            <w:pPr>
              <w:pStyle w:val="TableBodyText"/>
            </w:pPr>
            <w:r>
              <w:t>es-NI</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Panama</w:t>
            </w:r>
          </w:p>
        </w:tc>
        <w:tc>
          <w:tcPr>
            <w:tcW w:w="0" w:type="auto"/>
            <w:vAlign w:val="center"/>
          </w:tcPr>
          <w:p w:rsidR="00024C0A" w:rsidRDefault="00694C0F">
            <w:pPr>
              <w:pStyle w:val="TableBodyText"/>
            </w:pPr>
            <w:r>
              <w:t>es-PA</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Paraguay</w:t>
            </w:r>
          </w:p>
        </w:tc>
        <w:tc>
          <w:tcPr>
            <w:tcW w:w="0" w:type="auto"/>
            <w:vAlign w:val="center"/>
          </w:tcPr>
          <w:p w:rsidR="00024C0A" w:rsidRDefault="00694C0F">
            <w:pPr>
              <w:pStyle w:val="TableBodyText"/>
            </w:pPr>
            <w:r>
              <w:t>es-PY</w:t>
            </w:r>
          </w:p>
        </w:tc>
      </w:tr>
      <w:tr w:rsidR="00024C0A" w:rsidTr="00024C0A">
        <w:tc>
          <w:tcPr>
            <w:tcW w:w="0" w:type="auto"/>
            <w:vAlign w:val="center"/>
          </w:tcPr>
          <w:p w:rsidR="00024C0A" w:rsidRDefault="00694C0F">
            <w:pPr>
              <w:pStyle w:val="TableBodyText"/>
            </w:pPr>
            <w:r>
              <w:lastRenderedPageBreak/>
              <w:t>Spanish</w:t>
            </w:r>
          </w:p>
        </w:tc>
        <w:tc>
          <w:tcPr>
            <w:tcW w:w="0" w:type="auto"/>
            <w:vAlign w:val="center"/>
          </w:tcPr>
          <w:p w:rsidR="00024C0A" w:rsidRDefault="00694C0F">
            <w:pPr>
              <w:pStyle w:val="TableBodyText"/>
            </w:pPr>
            <w:r>
              <w:t>Peru</w:t>
            </w:r>
          </w:p>
        </w:tc>
        <w:tc>
          <w:tcPr>
            <w:tcW w:w="0" w:type="auto"/>
            <w:vAlign w:val="center"/>
          </w:tcPr>
          <w:p w:rsidR="00024C0A" w:rsidRDefault="00694C0F">
            <w:pPr>
              <w:pStyle w:val="TableBodyText"/>
            </w:pPr>
            <w:r>
              <w:t>es-PE</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Puerto Rico</w:t>
            </w:r>
          </w:p>
        </w:tc>
        <w:tc>
          <w:tcPr>
            <w:tcW w:w="0" w:type="auto"/>
            <w:vAlign w:val="center"/>
          </w:tcPr>
          <w:p w:rsidR="00024C0A" w:rsidRDefault="00694C0F">
            <w:pPr>
              <w:pStyle w:val="TableBodyText"/>
            </w:pPr>
            <w:r>
              <w:t>es-PR</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Spain</w:t>
            </w:r>
          </w:p>
        </w:tc>
        <w:tc>
          <w:tcPr>
            <w:tcW w:w="0" w:type="auto"/>
            <w:vAlign w:val="center"/>
          </w:tcPr>
          <w:p w:rsidR="00024C0A" w:rsidRDefault="00694C0F">
            <w:pPr>
              <w:pStyle w:val="TableBodyText"/>
            </w:pPr>
            <w:r>
              <w:t>es-ES</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United States</w:t>
            </w:r>
          </w:p>
        </w:tc>
        <w:tc>
          <w:tcPr>
            <w:tcW w:w="0" w:type="auto"/>
            <w:vAlign w:val="center"/>
          </w:tcPr>
          <w:p w:rsidR="00024C0A" w:rsidRDefault="00694C0F">
            <w:pPr>
              <w:pStyle w:val="TableBodyText"/>
            </w:pPr>
            <w:r>
              <w:t>es-US</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Uruguay</w:t>
            </w:r>
          </w:p>
        </w:tc>
        <w:tc>
          <w:tcPr>
            <w:tcW w:w="0" w:type="auto"/>
            <w:vAlign w:val="center"/>
          </w:tcPr>
          <w:p w:rsidR="00024C0A" w:rsidRDefault="00694C0F">
            <w:pPr>
              <w:pStyle w:val="TableBodyText"/>
            </w:pPr>
            <w:r>
              <w:t>es-UY</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Venezuela</w:t>
            </w:r>
          </w:p>
        </w:tc>
        <w:tc>
          <w:tcPr>
            <w:tcW w:w="0" w:type="auto"/>
            <w:vAlign w:val="center"/>
          </w:tcPr>
          <w:p w:rsidR="00024C0A" w:rsidRDefault="00694C0F">
            <w:pPr>
              <w:pStyle w:val="TableBodyText"/>
            </w:pPr>
            <w:r>
              <w:t>es-VE</w:t>
            </w:r>
          </w:p>
        </w:tc>
      </w:tr>
      <w:tr w:rsidR="00024C0A" w:rsidTr="00024C0A">
        <w:tc>
          <w:tcPr>
            <w:tcW w:w="0" w:type="auto"/>
            <w:vAlign w:val="center"/>
          </w:tcPr>
          <w:p w:rsidR="00024C0A" w:rsidRDefault="00694C0F">
            <w:pPr>
              <w:pStyle w:val="TableBodyText"/>
            </w:pPr>
            <w:r>
              <w:t>Swahili</w:t>
            </w:r>
          </w:p>
        </w:tc>
        <w:tc>
          <w:tcPr>
            <w:tcW w:w="0" w:type="auto"/>
            <w:vAlign w:val="center"/>
          </w:tcPr>
          <w:p w:rsidR="00024C0A" w:rsidRDefault="00694C0F">
            <w:pPr>
              <w:pStyle w:val="TableBodyText"/>
            </w:pPr>
            <w:r>
              <w:t>Kenya</w:t>
            </w:r>
          </w:p>
        </w:tc>
        <w:tc>
          <w:tcPr>
            <w:tcW w:w="0" w:type="auto"/>
            <w:vAlign w:val="center"/>
          </w:tcPr>
          <w:p w:rsidR="00024C0A" w:rsidRDefault="00694C0F">
            <w:pPr>
              <w:pStyle w:val="TableBodyText"/>
            </w:pPr>
            <w:r>
              <w:t>sw-KE</w:t>
            </w:r>
          </w:p>
        </w:tc>
      </w:tr>
      <w:tr w:rsidR="00024C0A" w:rsidTr="00024C0A">
        <w:tc>
          <w:tcPr>
            <w:tcW w:w="0" w:type="auto"/>
            <w:vAlign w:val="center"/>
          </w:tcPr>
          <w:p w:rsidR="00024C0A" w:rsidRDefault="00694C0F">
            <w:pPr>
              <w:pStyle w:val="TableBodyText"/>
            </w:pPr>
            <w:r>
              <w:t>Swedish</w:t>
            </w:r>
          </w:p>
        </w:tc>
        <w:tc>
          <w:tcPr>
            <w:tcW w:w="0" w:type="auto"/>
            <w:vAlign w:val="center"/>
          </w:tcPr>
          <w:p w:rsidR="00024C0A" w:rsidRDefault="00694C0F">
            <w:pPr>
              <w:pStyle w:val="TableBodyText"/>
            </w:pPr>
            <w:r>
              <w:t>Finland</w:t>
            </w:r>
          </w:p>
        </w:tc>
        <w:tc>
          <w:tcPr>
            <w:tcW w:w="0" w:type="auto"/>
            <w:vAlign w:val="center"/>
          </w:tcPr>
          <w:p w:rsidR="00024C0A" w:rsidRDefault="00694C0F">
            <w:pPr>
              <w:pStyle w:val="TableBodyText"/>
            </w:pPr>
            <w:r>
              <w:t>sv-FI</w:t>
            </w:r>
          </w:p>
        </w:tc>
      </w:tr>
      <w:tr w:rsidR="00024C0A" w:rsidTr="00024C0A">
        <w:tc>
          <w:tcPr>
            <w:tcW w:w="0" w:type="auto"/>
            <w:vAlign w:val="center"/>
          </w:tcPr>
          <w:p w:rsidR="00024C0A" w:rsidRDefault="00694C0F">
            <w:pPr>
              <w:pStyle w:val="TableBodyText"/>
            </w:pPr>
            <w:r>
              <w:t>Swedish</w:t>
            </w:r>
          </w:p>
        </w:tc>
        <w:tc>
          <w:tcPr>
            <w:tcW w:w="0" w:type="auto"/>
            <w:vAlign w:val="center"/>
          </w:tcPr>
          <w:p w:rsidR="00024C0A" w:rsidRDefault="00694C0F">
            <w:pPr>
              <w:pStyle w:val="TableBodyText"/>
            </w:pPr>
            <w:r>
              <w:t>Sweden</w:t>
            </w:r>
          </w:p>
        </w:tc>
        <w:tc>
          <w:tcPr>
            <w:tcW w:w="0" w:type="auto"/>
            <w:vAlign w:val="center"/>
          </w:tcPr>
          <w:p w:rsidR="00024C0A" w:rsidRDefault="00694C0F">
            <w:pPr>
              <w:pStyle w:val="TableBodyText"/>
            </w:pPr>
            <w:r>
              <w:t>sv-SE</w:t>
            </w:r>
          </w:p>
        </w:tc>
      </w:tr>
      <w:tr w:rsidR="00024C0A" w:rsidTr="00024C0A">
        <w:tc>
          <w:tcPr>
            <w:tcW w:w="0" w:type="auto"/>
            <w:vAlign w:val="center"/>
          </w:tcPr>
          <w:p w:rsidR="00024C0A" w:rsidRDefault="00694C0F">
            <w:pPr>
              <w:pStyle w:val="TableBodyText"/>
            </w:pPr>
            <w:r>
              <w:t>Syriac</w:t>
            </w:r>
          </w:p>
        </w:tc>
        <w:tc>
          <w:tcPr>
            <w:tcW w:w="0" w:type="auto"/>
            <w:vAlign w:val="center"/>
          </w:tcPr>
          <w:p w:rsidR="00024C0A" w:rsidRDefault="00694C0F">
            <w:pPr>
              <w:pStyle w:val="TableBodyText"/>
            </w:pPr>
            <w:r>
              <w:t>Syria</w:t>
            </w:r>
          </w:p>
        </w:tc>
        <w:tc>
          <w:tcPr>
            <w:tcW w:w="0" w:type="auto"/>
            <w:vAlign w:val="center"/>
          </w:tcPr>
          <w:p w:rsidR="00024C0A" w:rsidRDefault="00694C0F">
            <w:pPr>
              <w:pStyle w:val="TableBodyText"/>
            </w:pPr>
            <w:r>
              <w:t>syr-SY</w:t>
            </w:r>
          </w:p>
        </w:tc>
      </w:tr>
      <w:tr w:rsidR="00024C0A" w:rsidTr="00024C0A">
        <w:tc>
          <w:tcPr>
            <w:tcW w:w="0" w:type="auto"/>
            <w:vAlign w:val="center"/>
          </w:tcPr>
          <w:p w:rsidR="00024C0A" w:rsidRDefault="00694C0F">
            <w:pPr>
              <w:pStyle w:val="TableBodyText"/>
            </w:pPr>
            <w:r>
              <w:t>Tajik (Cyrillic)</w:t>
            </w:r>
          </w:p>
        </w:tc>
        <w:tc>
          <w:tcPr>
            <w:tcW w:w="0" w:type="auto"/>
            <w:vAlign w:val="center"/>
          </w:tcPr>
          <w:p w:rsidR="00024C0A" w:rsidRDefault="00694C0F">
            <w:pPr>
              <w:pStyle w:val="TableBodyText"/>
            </w:pPr>
            <w:r>
              <w:t>Tajikistan</w:t>
            </w:r>
          </w:p>
        </w:tc>
        <w:tc>
          <w:tcPr>
            <w:tcW w:w="0" w:type="auto"/>
            <w:vAlign w:val="center"/>
          </w:tcPr>
          <w:p w:rsidR="00024C0A" w:rsidRDefault="00694C0F">
            <w:pPr>
              <w:pStyle w:val="TableBodyText"/>
            </w:pPr>
            <w:r>
              <w:t>tg-TJ-Cyrl</w:t>
            </w:r>
          </w:p>
        </w:tc>
      </w:tr>
      <w:tr w:rsidR="00024C0A" w:rsidTr="00024C0A">
        <w:tc>
          <w:tcPr>
            <w:tcW w:w="0" w:type="auto"/>
            <w:vAlign w:val="center"/>
          </w:tcPr>
          <w:p w:rsidR="00024C0A" w:rsidRDefault="00694C0F">
            <w:pPr>
              <w:pStyle w:val="TableBodyText"/>
            </w:pPr>
            <w:r>
              <w:t>Tamazight (Latin)</w:t>
            </w:r>
          </w:p>
        </w:tc>
        <w:tc>
          <w:tcPr>
            <w:tcW w:w="0" w:type="auto"/>
            <w:vAlign w:val="center"/>
          </w:tcPr>
          <w:p w:rsidR="00024C0A" w:rsidRDefault="00694C0F">
            <w:pPr>
              <w:pStyle w:val="TableBodyText"/>
            </w:pPr>
            <w:r>
              <w:t>Algeria</w:t>
            </w:r>
          </w:p>
        </w:tc>
        <w:tc>
          <w:tcPr>
            <w:tcW w:w="0" w:type="auto"/>
            <w:vAlign w:val="center"/>
          </w:tcPr>
          <w:p w:rsidR="00024C0A" w:rsidRDefault="00694C0F">
            <w:pPr>
              <w:pStyle w:val="TableBodyText"/>
            </w:pPr>
            <w:r>
              <w:t>tmz-DZ-Latn</w:t>
            </w:r>
          </w:p>
        </w:tc>
      </w:tr>
      <w:tr w:rsidR="00024C0A" w:rsidTr="00024C0A">
        <w:tc>
          <w:tcPr>
            <w:tcW w:w="0" w:type="auto"/>
            <w:vAlign w:val="center"/>
          </w:tcPr>
          <w:p w:rsidR="00024C0A" w:rsidRDefault="00694C0F">
            <w:pPr>
              <w:pStyle w:val="TableBodyText"/>
            </w:pPr>
            <w:r>
              <w:t>Tamil</w:t>
            </w:r>
          </w:p>
        </w:tc>
        <w:tc>
          <w:tcPr>
            <w:tcW w:w="0" w:type="auto"/>
            <w:vAlign w:val="center"/>
          </w:tcPr>
          <w:p w:rsidR="00024C0A" w:rsidRDefault="00694C0F">
            <w:pPr>
              <w:pStyle w:val="TableBodyText"/>
            </w:pPr>
            <w:r>
              <w:t>India</w:t>
            </w:r>
          </w:p>
        </w:tc>
        <w:tc>
          <w:tcPr>
            <w:tcW w:w="0" w:type="auto"/>
            <w:vAlign w:val="center"/>
          </w:tcPr>
          <w:p w:rsidR="00024C0A" w:rsidRDefault="00694C0F">
            <w:pPr>
              <w:pStyle w:val="TableBodyText"/>
            </w:pPr>
            <w:r>
              <w:t>ta-IN</w:t>
            </w:r>
          </w:p>
        </w:tc>
      </w:tr>
      <w:tr w:rsidR="00024C0A" w:rsidTr="00024C0A">
        <w:tc>
          <w:tcPr>
            <w:tcW w:w="0" w:type="auto"/>
            <w:vAlign w:val="center"/>
          </w:tcPr>
          <w:p w:rsidR="00024C0A" w:rsidRDefault="00694C0F">
            <w:pPr>
              <w:pStyle w:val="TableBodyText"/>
            </w:pPr>
            <w:r>
              <w:t>Tatar</w:t>
            </w:r>
          </w:p>
        </w:tc>
        <w:tc>
          <w:tcPr>
            <w:tcW w:w="0" w:type="auto"/>
            <w:vAlign w:val="center"/>
          </w:tcPr>
          <w:p w:rsidR="00024C0A" w:rsidRDefault="00694C0F">
            <w:pPr>
              <w:pStyle w:val="TableBodyText"/>
            </w:pPr>
            <w:r>
              <w:t>Russia</w:t>
            </w:r>
          </w:p>
        </w:tc>
        <w:tc>
          <w:tcPr>
            <w:tcW w:w="0" w:type="auto"/>
            <w:vAlign w:val="center"/>
          </w:tcPr>
          <w:p w:rsidR="00024C0A" w:rsidRDefault="00694C0F">
            <w:pPr>
              <w:pStyle w:val="TableBodyText"/>
            </w:pPr>
            <w:r>
              <w:t>tt-RU</w:t>
            </w:r>
          </w:p>
        </w:tc>
      </w:tr>
      <w:tr w:rsidR="00024C0A" w:rsidTr="00024C0A">
        <w:tc>
          <w:tcPr>
            <w:tcW w:w="0" w:type="auto"/>
            <w:vAlign w:val="center"/>
          </w:tcPr>
          <w:p w:rsidR="00024C0A" w:rsidRDefault="00694C0F">
            <w:pPr>
              <w:pStyle w:val="TableBodyText"/>
            </w:pPr>
            <w:r>
              <w:t>Telugu (Telugu Script)</w:t>
            </w:r>
          </w:p>
        </w:tc>
        <w:tc>
          <w:tcPr>
            <w:tcW w:w="0" w:type="auto"/>
            <w:vAlign w:val="center"/>
          </w:tcPr>
          <w:p w:rsidR="00024C0A" w:rsidRDefault="00694C0F">
            <w:pPr>
              <w:pStyle w:val="TableBodyText"/>
            </w:pPr>
            <w:r>
              <w:t>India</w:t>
            </w:r>
          </w:p>
        </w:tc>
        <w:tc>
          <w:tcPr>
            <w:tcW w:w="0" w:type="auto"/>
            <w:vAlign w:val="center"/>
          </w:tcPr>
          <w:p w:rsidR="00024C0A" w:rsidRDefault="00694C0F">
            <w:pPr>
              <w:pStyle w:val="TableBodyText"/>
            </w:pPr>
            <w:r>
              <w:t>te-IN</w:t>
            </w:r>
          </w:p>
        </w:tc>
      </w:tr>
      <w:tr w:rsidR="00024C0A" w:rsidTr="00024C0A">
        <w:tc>
          <w:tcPr>
            <w:tcW w:w="0" w:type="auto"/>
            <w:vAlign w:val="center"/>
          </w:tcPr>
          <w:p w:rsidR="00024C0A" w:rsidRDefault="00694C0F">
            <w:pPr>
              <w:pStyle w:val="TableBodyText"/>
            </w:pPr>
            <w:r>
              <w:t xml:space="preserve">Thai </w:t>
            </w:r>
          </w:p>
        </w:tc>
        <w:tc>
          <w:tcPr>
            <w:tcW w:w="0" w:type="auto"/>
            <w:vAlign w:val="center"/>
          </w:tcPr>
          <w:p w:rsidR="00024C0A" w:rsidRDefault="00694C0F">
            <w:pPr>
              <w:pStyle w:val="TableBodyText"/>
            </w:pPr>
            <w:r>
              <w:t>Thailand</w:t>
            </w:r>
          </w:p>
        </w:tc>
        <w:tc>
          <w:tcPr>
            <w:tcW w:w="0" w:type="auto"/>
            <w:vAlign w:val="center"/>
          </w:tcPr>
          <w:p w:rsidR="00024C0A" w:rsidRDefault="00694C0F">
            <w:pPr>
              <w:pStyle w:val="TableBodyText"/>
            </w:pPr>
            <w:r>
              <w:t>th-TH</w:t>
            </w:r>
          </w:p>
        </w:tc>
      </w:tr>
      <w:tr w:rsidR="00024C0A" w:rsidTr="00024C0A">
        <w:tc>
          <w:tcPr>
            <w:tcW w:w="0" w:type="auto"/>
            <w:vAlign w:val="center"/>
          </w:tcPr>
          <w:p w:rsidR="00024C0A" w:rsidRDefault="00694C0F">
            <w:pPr>
              <w:pStyle w:val="TableBodyText"/>
            </w:pPr>
            <w:r>
              <w:t>Tibetan</w:t>
            </w:r>
          </w:p>
        </w:tc>
        <w:tc>
          <w:tcPr>
            <w:tcW w:w="0" w:type="auto"/>
            <w:vAlign w:val="center"/>
          </w:tcPr>
          <w:p w:rsidR="00024C0A" w:rsidRDefault="00694C0F">
            <w:pPr>
              <w:pStyle w:val="TableBodyText"/>
            </w:pPr>
            <w:r>
              <w:t>Bhutan</w:t>
            </w:r>
          </w:p>
        </w:tc>
        <w:tc>
          <w:tcPr>
            <w:tcW w:w="0" w:type="auto"/>
            <w:vAlign w:val="center"/>
          </w:tcPr>
          <w:p w:rsidR="00024C0A" w:rsidRDefault="00694C0F">
            <w:pPr>
              <w:pStyle w:val="TableBodyText"/>
            </w:pPr>
            <w:r>
              <w:t>bo-BT</w:t>
            </w:r>
          </w:p>
        </w:tc>
      </w:tr>
      <w:tr w:rsidR="00024C0A" w:rsidTr="00024C0A">
        <w:tc>
          <w:tcPr>
            <w:tcW w:w="0" w:type="auto"/>
            <w:vAlign w:val="center"/>
          </w:tcPr>
          <w:p w:rsidR="00024C0A" w:rsidRDefault="00694C0F">
            <w:pPr>
              <w:pStyle w:val="TableBodyText"/>
            </w:pPr>
            <w:r>
              <w:t>Tibetan</w:t>
            </w:r>
          </w:p>
        </w:tc>
        <w:tc>
          <w:tcPr>
            <w:tcW w:w="0" w:type="auto"/>
            <w:vAlign w:val="center"/>
          </w:tcPr>
          <w:p w:rsidR="00024C0A" w:rsidRDefault="00694C0F">
            <w:pPr>
              <w:pStyle w:val="TableBodyText"/>
            </w:pPr>
            <w:r>
              <w:t>PRC</w:t>
            </w:r>
          </w:p>
        </w:tc>
        <w:tc>
          <w:tcPr>
            <w:tcW w:w="0" w:type="auto"/>
            <w:vAlign w:val="center"/>
          </w:tcPr>
          <w:p w:rsidR="00024C0A" w:rsidRDefault="00694C0F">
            <w:pPr>
              <w:pStyle w:val="TableBodyText"/>
            </w:pPr>
            <w:r>
              <w:t>bo-CN</w:t>
            </w:r>
          </w:p>
        </w:tc>
      </w:tr>
      <w:tr w:rsidR="00024C0A" w:rsidTr="00024C0A">
        <w:tc>
          <w:tcPr>
            <w:tcW w:w="0" w:type="auto"/>
            <w:vAlign w:val="center"/>
          </w:tcPr>
          <w:p w:rsidR="00024C0A" w:rsidRDefault="00694C0F">
            <w:pPr>
              <w:pStyle w:val="TableBodyText"/>
            </w:pPr>
            <w:r>
              <w:t>Turkish</w:t>
            </w:r>
          </w:p>
        </w:tc>
        <w:tc>
          <w:tcPr>
            <w:tcW w:w="0" w:type="auto"/>
            <w:vAlign w:val="center"/>
          </w:tcPr>
          <w:p w:rsidR="00024C0A" w:rsidRDefault="00694C0F">
            <w:pPr>
              <w:pStyle w:val="TableBodyText"/>
            </w:pPr>
            <w:r>
              <w:t>Turkey</w:t>
            </w:r>
          </w:p>
        </w:tc>
        <w:tc>
          <w:tcPr>
            <w:tcW w:w="0" w:type="auto"/>
            <w:vAlign w:val="center"/>
          </w:tcPr>
          <w:p w:rsidR="00024C0A" w:rsidRDefault="00694C0F">
            <w:pPr>
              <w:pStyle w:val="TableBodyText"/>
            </w:pPr>
            <w:r>
              <w:t>tr-TR</w:t>
            </w:r>
          </w:p>
        </w:tc>
      </w:tr>
      <w:tr w:rsidR="00024C0A" w:rsidTr="00024C0A">
        <w:tc>
          <w:tcPr>
            <w:tcW w:w="0" w:type="auto"/>
            <w:vAlign w:val="center"/>
          </w:tcPr>
          <w:p w:rsidR="00024C0A" w:rsidRDefault="00694C0F">
            <w:pPr>
              <w:pStyle w:val="TableBodyText"/>
            </w:pPr>
            <w:r>
              <w:t>Turkmen</w:t>
            </w:r>
          </w:p>
        </w:tc>
        <w:tc>
          <w:tcPr>
            <w:tcW w:w="0" w:type="auto"/>
            <w:vAlign w:val="center"/>
          </w:tcPr>
          <w:p w:rsidR="00024C0A" w:rsidRDefault="00694C0F">
            <w:pPr>
              <w:pStyle w:val="TableBodyText"/>
            </w:pPr>
            <w:r>
              <w:t>Turkmenistan</w:t>
            </w:r>
          </w:p>
        </w:tc>
        <w:tc>
          <w:tcPr>
            <w:tcW w:w="0" w:type="auto"/>
            <w:vAlign w:val="center"/>
          </w:tcPr>
          <w:p w:rsidR="00024C0A" w:rsidRDefault="00694C0F">
            <w:pPr>
              <w:pStyle w:val="TableBodyText"/>
            </w:pPr>
            <w:r>
              <w:t>tk-TM</w:t>
            </w:r>
          </w:p>
        </w:tc>
      </w:tr>
      <w:tr w:rsidR="00024C0A" w:rsidTr="00024C0A">
        <w:tc>
          <w:tcPr>
            <w:tcW w:w="0" w:type="auto"/>
            <w:vAlign w:val="center"/>
          </w:tcPr>
          <w:p w:rsidR="00024C0A" w:rsidRDefault="00694C0F">
            <w:pPr>
              <w:pStyle w:val="TableBodyText"/>
            </w:pPr>
            <w:r>
              <w:t xml:space="preserve">Uighur </w:t>
            </w:r>
          </w:p>
        </w:tc>
        <w:tc>
          <w:tcPr>
            <w:tcW w:w="0" w:type="auto"/>
            <w:vAlign w:val="center"/>
          </w:tcPr>
          <w:p w:rsidR="00024C0A" w:rsidRDefault="00694C0F">
            <w:pPr>
              <w:pStyle w:val="TableBodyText"/>
            </w:pPr>
            <w:r>
              <w:t>PRC</w:t>
            </w:r>
          </w:p>
        </w:tc>
        <w:tc>
          <w:tcPr>
            <w:tcW w:w="0" w:type="auto"/>
            <w:vAlign w:val="center"/>
          </w:tcPr>
          <w:p w:rsidR="00024C0A" w:rsidRDefault="00694C0F">
            <w:pPr>
              <w:pStyle w:val="TableBodyText"/>
            </w:pPr>
            <w:r>
              <w:t>ug-CN</w:t>
            </w:r>
          </w:p>
        </w:tc>
      </w:tr>
      <w:tr w:rsidR="00024C0A" w:rsidTr="00024C0A">
        <w:tc>
          <w:tcPr>
            <w:tcW w:w="0" w:type="auto"/>
            <w:vAlign w:val="center"/>
          </w:tcPr>
          <w:p w:rsidR="00024C0A" w:rsidRDefault="00694C0F">
            <w:pPr>
              <w:pStyle w:val="TableBodyText"/>
            </w:pPr>
            <w:r>
              <w:t>Ukrainian</w:t>
            </w:r>
          </w:p>
        </w:tc>
        <w:tc>
          <w:tcPr>
            <w:tcW w:w="0" w:type="auto"/>
            <w:vAlign w:val="center"/>
          </w:tcPr>
          <w:p w:rsidR="00024C0A" w:rsidRDefault="00694C0F">
            <w:pPr>
              <w:pStyle w:val="TableBodyText"/>
            </w:pPr>
            <w:r>
              <w:t>Ukraine</w:t>
            </w:r>
          </w:p>
        </w:tc>
        <w:tc>
          <w:tcPr>
            <w:tcW w:w="0" w:type="auto"/>
            <w:vAlign w:val="center"/>
          </w:tcPr>
          <w:p w:rsidR="00024C0A" w:rsidRDefault="00694C0F">
            <w:pPr>
              <w:pStyle w:val="TableBodyText"/>
            </w:pPr>
            <w:r>
              <w:t>uk-UA</w:t>
            </w:r>
          </w:p>
        </w:tc>
      </w:tr>
      <w:tr w:rsidR="00024C0A" w:rsidTr="00024C0A">
        <w:tc>
          <w:tcPr>
            <w:tcW w:w="0" w:type="auto"/>
            <w:vAlign w:val="center"/>
          </w:tcPr>
          <w:p w:rsidR="00024C0A" w:rsidRDefault="00694C0F">
            <w:pPr>
              <w:pStyle w:val="TableBodyText"/>
            </w:pPr>
            <w:r>
              <w:t>Upper Sorbian</w:t>
            </w:r>
          </w:p>
        </w:tc>
        <w:tc>
          <w:tcPr>
            <w:tcW w:w="0" w:type="auto"/>
            <w:vAlign w:val="center"/>
          </w:tcPr>
          <w:p w:rsidR="00024C0A" w:rsidRDefault="00694C0F">
            <w:pPr>
              <w:pStyle w:val="TableBodyText"/>
            </w:pPr>
            <w:r>
              <w:t>Germany</w:t>
            </w:r>
          </w:p>
        </w:tc>
        <w:tc>
          <w:tcPr>
            <w:tcW w:w="0" w:type="auto"/>
            <w:vAlign w:val="center"/>
          </w:tcPr>
          <w:p w:rsidR="00024C0A" w:rsidRDefault="00694C0F">
            <w:pPr>
              <w:pStyle w:val="TableBodyText"/>
            </w:pPr>
            <w:r>
              <w:t>wen-DE</w:t>
            </w:r>
          </w:p>
        </w:tc>
      </w:tr>
      <w:tr w:rsidR="00024C0A" w:rsidTr="00024C0A">
        <w:tc>
          <w:tcPr>
            <w:tcW w:w="0" w:type="auto"/>
            <w:vAlign w:val="center"/>
          </w:tcPr>
          <w:p w:rsidR="00024C0A" w:rsidRDefault="00694C0F">
            <w:pPr>
              <w:pStyle w:val="TableBodyText"/>
            </w:pPr>
            <w:r>
              <w:t>Urdu</w:t>
            </w:r>
          </w:p>
        </w:tc>
        <w:tc>
          <w:tcPr>
            <w:tcW w:w="0" w:type="auto"/>
            <w:vAlign w:val="center"/>
          </w:tcPr>
          <w:p w:rsidR="00024C0A" w:rsidRDefault="00694C0F">
            <w:pPr>
              <w:pStyle w:val="TableBodyText"/>
            </w:pPr>
            <w:r>
              <w:t>Pakistan</w:t>
            </w:r>
          </w:p>
        </w:tc>
        <w:tc>
          <w:tcPr>
            <w:tcW w:w="0" w:type="auto"/>
            <w:vAlign w:val="center"/>
          </w:tcPr>
          <w:p w:rsidR="00024C0A" w:rsidRDefault="00694C0F">
            <w:pPr>
              <w:pStyle w:val="TableBodyText"/>
            </w:pPr>
            <w:r>
              <w:t>ur-PK</w:t>
            </w:r>
          </w:p>
        </w:tc>
      </w:tr>
      <w:tr w:rsidR="00024C0A" w:rsidTr="00024C0A">
        <w:tc>
          <w:tcPr>
            <w:tcW w:w="0" w:type="auto"/>
            <w:vAlign w:val="center"/>
          </w:tcPr>
          <w:p w:rsidR="00024C0A" w:rsidRDefault="00694C0F">
            <w:pPr>
              <w:pStyle w:val="TableBodyText"/>
            </w:pPr>
            <w:r>
              <w:t>Uzbek (Cyrillic)</w:t>
            </w:r>
          </w:p>
        </w:tc>
        <w:tc>
          <w:tcPr>
            <w:tcW w:w="0" w:type="auto"/>
            <w:vAlign w:val="center"/>
          </w:tcPr>
          <w:p w:rsidR="00024C0A" w:rsidRDefault="00694C0F">
            <w:pPr>
              <w:pStyle w:val="TableBodyText"/>
            </w:pPr>
            <w:r>
              <w:t>Uzbekistan</w:t>
            </w:r>
          </w:p>
        </w:tc>
        <w:tc>
          <w:tcPr>
            <w:tcW w:w="0" w:type="auto"/>
            <w:vAlign w:val="center"/>
          </w:tcPr>
          <w:p w:rsidR="00024C0A" w:rsidRDefault="00694C0F">
            <w:pPr>
              <w:pStyle w:val="TableBodyText"/>
            </w:pPr>
            <w:r>
              <w:t>uz-UZ-Cyrl</w:t>
            </w:r>
          </w:p>
        </w:tc>
      </w:tr>
      <w:tr w:rsidR="00024C0A" w:rsidTr="00024C0A">
        <w:tc>
          <w:tcPr>
            <w:tcW w:w="0" w:type="auto"/>
            <w:vAlign w:val="center"/>
          </w:tcPr>
          <w:p w:rsidR="00024C0A" w:rsidRDefault="00694C0F">
            <w:pPr>
              <w:pStyle w:val="TableBodyText"/>
            </w:pPr>
            <w:r>
              <w:t>Uzbek (Latin)</w:t>
            </w:r>
          </w:p>
        </w:tc>
        <w:tc>
          <w:tcPr>
            <w:tcW w:w="0" w:type="auto"/>
            <w:vAlign w:val="center"/>
          </w:tcPr>
          <w:p w:rsidR="00024C0A" w:rsidRDefault="00694C0F">
            <w:pPr>
              <w:pStyle w:val="TableBodyText"/>
            </w:pPr>
            <w:r>
              <w:t>Uzbekistan</w:t>
            </w:r>
          </w:p>
        </w:tc>
        <w:tc>
          <w:tcPr>
            <w:tcW w:w="0" w:type="auto"/>
            <w:vAlign w:val="center"/>
          </w:tcPr>
          <w:p w:rsidR="00024C0A" w:rsidRDefault="00694C0F">
            <w:pPr>
              <w:pStyle w:val="TableBodyText"/>
            </w:pPr>
            <w:r>
              <w:t>uz-UZ-Latn</w:t>
            </w:r>
          </w:p>
        </w:tc>
      </w:tr>
      <w:tr w:rsidR="00024C0A" w:rsidTr="00024C0A">
        <w:tc>
          <w:tcPr>
            <w:tcW w:w="0" w:type="auto"/>
            <w:vAlign w:val="center"/>
          </w:tcPr>
          <w:p w:rsidR="00024C0A" w:rsidRDefault="00694C0F">
            <w:pPr>
              <w:pStyle w:val="TableBodyText"/>
            </w:pPr>
            <w:r>
              <w:t>Vietnamese</w:t>
            </w:r>
          </w:p>
        </w:tc>
        <w:tc>
          <w:tcPr>
            <w:tcW w:w="0" w:type="auto"/>
            <w:vAlign w:val="center"/>
          </w:tcPr>
          <w:p w:rsidR="00024C0A" w:rsidRDefault="00694C0F">
            <w:pPr>
              <w:pStyle w:val="TableBodyText"/>
            </w:pPr>
            <w:r>
              <w:t>Viet Nam</w:t>
            </w:r>
          </w:p>
        </w:tc>
        <w:tc>
          <w:tcPr>
            <w:tcW w:w="0" w:type="auto"/>
            <w:vAlign w:val="center"/>
          </w:tcPr>
          <w:p w:rsidR="00024C0A" w:rsidRDefault="00694C0F">
            <w:pPr>
              <w:pStyle w:val="TableBodyText"/>
            </w:pPr>
            <w:r>
              <w:t>vi-VN</w:t>
            </w:r>
          </w:p>
        </w:tc>
      </w:tr>
      <w:tr w:rsidR="00024C0A" w:rsidTr="00024C0A">
        <w:tc>
          <w:tcPr>
            <w:tcW w:w="0" w:type="auto"/>
            <w:vAlign w:val="center"/>
          </w:tcPr>
          <w:p w:rsidR="00024C0A" w:rsidRDefault="00694C0F">
            <w:pPr>
              <w:pStyle w:val="TableBodyText"/>
            </w:pPr>
            <w:r>
              <w:t xml:space="preserve">Welsh </w:t>
            </w:r>
          </w:p>
        </w:tc>
        <w:tc>
          <w:tcPr>
            <w:tcW w:w="0" w:type="auto"/>
            <w:vAlign w:val="center"/>
          </w:tcPr>
          <w:p w:rsidR="00024C0A" w:rsidRDefault="00694C0F">
            <w:pPr>
              <w:pStyle w:val="TableBodyText"/>
            </w:pPr>
            <w:r>
              <w:t>United Kingdom</w:t>
            </w:r>
          </w:p>
        </w:tc>
        <w:tc>
          <w:tcPr>
            <w:tcW w:w="0" w:type="auto"/>
            <w:vAlign w:val="center"/>
          </w:tcPr>
          <w:p w:rsidR="00024C0A" w:rsidRDefault="00694C0F">
            <w:pPr>
              <w:pStyle w:val="TableBodyText"/>
            </w:pPr>
            <w:r>
              <w:t>cy-GB</w:t>
            </w:r>
          </w:p>
        </w:tc>
      </w:tr>
      <w:tr w:rsidR="00024C0A" w:rsidTr="00024C0A">
        <w:tc>
          <w:tcPr>
            <w:tcW w:w="0" w:type="auto"/>
            <w:vAlign w:val="center"/>
          </w:tcPr>
          <w:p w:rsidR="00024C0A" w:rsidRDefault="00694C0F">
            <w:pPr>
              <w:pStyle w:val="TableBodyText"/>
            </w:pPr>
            <w:r>
              <w:t xml:space="preserve">Wolof </w:t>
            </w:r>
          </w:p>
        </w:tc>
        <w:tc>
          <w:tcPr>
            <w:tcW w:w="0" w:type="auto"/>
            <w:vAlign w:val="center"/>
          </w:tcPr>
          <w:p w:rsidR="00024C0A" w:rsidRDefault="00694C0F">
            <w:pPr>
              <w:pStyle w:val="TableBodyText"/>
            </w:pPr>
            <w:r>
              <w:t>Senegal</w:t>
            </w:r>
          </w:p>
        </w:tc>
        <w:tc>
          <w:tcPr>
            <w:tcW w:w="0" w:type="auto"/>
            <w:vAlign w:val="center"/>
          </w:tcPr>
          <w:p w:rsidR="00024C0A" w:rsidRDefault="00694C0F">
            <w:pPr>
              <w:pStyle w:val="TableBodyText"/>
            </w:pPr>
            <w:r>
              <w:t>wo-SN</w:t>
            </w:r>
          </w:p>
        </w:tc>
      </w:tr>
      <w:tr w:rsidR="00024C0A" w:rsidTr="00024C0A">
        <w:tc>
          <w:tcPr>
            <w:tcW w:w="0" w:type="auto"/>
            <w:vAlign w:val="center"/>
          </w:tcPr>
          <w:p w:rsidR="00024C0A" w:rsidRDefault="00694C0F">
            <w:pPr>
              <w:pStyle w:val="TableBodyText"/>
            </w:pPr>
            <w:r>
              <w:t>Yi</w:t>
            </w:r>
          </w:p>
        </w:tc>
        <w:tc>
          <w:tcPr>
            <w:tcW w:w="0" w:type="auto"/>
            <w:vAlign w:val="center"/>
          </w:tcPr>
          <w:p w:rsidR="00024C0A" w:rsidRDefault="00694C0F">
            <w:pPr>
              <w:pStyle w:val="TableBodyText"/>
            </w:pPr>
            <w:r>
              <w:t>PRC</w:t>
            </w:r>
          </w:p>
        </w:tc>
        <w:tc>
          <w:tcPr>
            <w:tcW w:w="0" w:type="auto"/>
            <w:vAlign w:val="center"/>
          </w:tcPr>
          <w:p w:rsidR="00024C0A" w:rsidRDefault="00694C0F">
            <w:pPr>
              <w:pStyle w:val="TableBodyText"/>
            </w:pPr>
            <w:r>
              <w:t>ii-CN</w:t>
            </w:r>
          </w:p>
        </w:tc>
      </w:tr>
      <w:tr w:rsidR="00024C0A" w:rsidTr="00024C0A">
        <w:tc>
          <w:tcPr>
            <w:tcW w:w="0" w:type="auto"/>
            <w:vAlign w:val="center"/>
          </w:tcPr>
          <w:p w:rsidR="00024C0A" w:rsidRDefault="00694C0F">
            <w:pPr>
              <w:pStyle w:val="TableBodyText"/>
            </w:pPr>
            <w:r>
              <w:t>Yoruba</w:t>
            </w:r>
          </w:p>
        </w:tc>
        <w:tc>
          <w:tcPr>
            <w:tcW w:w="0" w:type="auto"/>
            <w:vAlign w:val="center"/>
          </w:tcPr>
          <w:p w:rsidR="00024C0A" w:rsidRDefault="00694C0F">
            <w:pPr>
              <w:pStyle w:val="TableBodyText"/>
            </w:pPr>
            <w:r>
              <w:t>Nigeria</w:t>
            </w:r>
          </w:p>
        </w:tc>
        <w:tc>
          <w:tcPr>
            <w:tcW w:w="0" w:type="auto"/>
            <w:vAlign w:val="center"/>
          </w:tcPr>
          <w:p w:rsidR="00024C0A" w:rsidRDefault="00694C0F">
            <w:pPr>
              <w:pStyle w:val="TableBodyText"/>
            </w:pPr>
            <w:r>
              <w:t>yo-NG</w:t>
            </w:r>
          </w:p>
        </w:tc>
      </w:tr>
    </w:tbl>
    <w:p w:rsidR="00024C0A" w:rsidRDefault="00024C0A"/>
    <w:p w:rsidR="00024C0A" w:rsidRDefault="00694C0F">
      <w:pPr>
        <w:pStyle w:val="Heading3"/>
      </w:pPr>
      <w:bookmarkStart w:id="1485" w:name="section_b041ae678cdb46d28551e922106b987f"/>
      <w:bookmarkStart w:id="1486" w:name="_Toc12260803"/>
      <w:r>
        <w:lastRenderedPageBreak/>
        <w:t>Part 1 Section 18.9.17, valueMetadata (Value Metadata)</w:t>
      </w:r>
      <w:bookmarkEnd w:id="1485"/>
      <w:bookmarkEnd w:id="1486"/>
      <w:r>
        <w:fldChar w:fldCharType="begin"/>
      </w:r>
      <w:r>
        <w:instrText xml:space="preserve"> XE "valueMetadata (Value Metadata)"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4b58be005a134a4786a265cfd44f3209">
        <w:r>
          <w:rPr>
            <w:rStyle w:val="Hyperlink"/>
          </w:rPr>
          <w:t>cellMetadata, §18.9.3(a)</w:t>
        </w:r>
      </w:hyperlink>
      <w:r>
        <w:rPr>
          <w:i/>
        </w:rPr>
        <w:t>.</w:t>
      </w:r>
    </w:p>
    <w:p w:rsidR="00024C0A" w:rsidRDefault="00694C0F">
      <w:pPr>
        <w:pStyle w:val="Definition-Field"/>
      </w:pPr>
      <w:r>
        <w:t xml:space="preserve">a.   </w:t>
      </w:r>
      <w:r>
        <w:rPr>
          <w:i/>
        </w:rPr>
        <w:t>The standard states that the values of the count attribute are defined by the XML Schema unsignedInt datatype.</w:t>
      </w:r>
    </w:p>
    <w:p w:rsidR="00024C0A" w:rsidRDefault="00694C0F">
      <w:pPr>
        <w:pStyle w:val="Definition-Field2"/>
      </w:pPr>
      <w:r>
        <w:t xml:space="preserve">Office requires that the count attribute have a </w:t>
      </w:r>
      <w:r>
        <w:t>maximum value of 2147483647.</w:t>
      </w:r>
    </w:p>
    <w:p w:rsidR="00024C0A" w:rsidRDefault="00694C0F">
      <w:pPr>
        <w:pStyle w:val="Heading3"/>
      </w:pPr>
      <w:bookmarkStart w:id="1487" w:name="section_b5a44a1cafab4a5dbc8d46ab2edc18fc"/>
      <w:bookmarkStart w:id="1488" w:name="_Toc12260804"/>
      <w:r>
        <w:t>Part 1 Section 18.10.1.1, autoSortScope (AutoSort Scope)</w:t>
      </w:r>
      <w:bookmarkEnd w:id="1487"/>
      <w:bookmarkEnd w:id="1488"/>
      <w:r>
        <w:fldChar w:fldCharType="begin"/>
      </w:r>
      <w:r>
        <w:instrText xml:space="preserve"> XE "autoSortScope (AutoSort Scope)" </w:instrText>
      </w:r>
      <w:r>
        <w:fldChar w:fldCharType="end"/>
      </w:r>
    </w:p>
    <w:p w:rsidR="00024C0A" w:rsidRDefault="00694C0F">
      <w:pPr>
        <w:pStyle w:val="Definition-Field"/>
      </w:pPr>
      <w:r>
        <w:t xml:space="preserve">a.   </w:t>
      </w:r>
      <w:r>
        <w:rPr>
          <w:i/>
        </w:rPr>
        <w:t>The standard states that autoSortScope represents the sorting scope for the PivotTable.</w:t>
      </w:r>
    </w:p>
    <w:p w:rsidR="00024C0A" w:rsidRDefault="00694C0F">
      <w:pPr>
        <w:pStyle w:val="Definition-Field2"/>
      </w:pPr>
      <w:r>
        <w:t>In Office when autoSortScope is not sp</w:t>
      </w:r>
      <w:r>
        <w:t>ecified, the sort is based on the items in the pivotField.  When the sortType attribute of the parent pivotField is set to manual, autoSortScope must not be specified.</w:t>
      </w:r>
    </w:p>
    <w:p w:rsidR="00024C0A" w:rsidRDefault="00694C0F">
      <w:pPr>
        <w:pStyle w:val="Heading3"/>
      </w:pPr>
      <w:bookmarkStart w:id="1489" w:name="section_514d639a764c4e05bdc894b684557d40"/>
      <w:bookmarkStart w:id="1490" w:name="_Toc12260805"/>
      <w:r>
        <w:t>Part 1 Section 18.10.1.2, b (Boolean)</w:t>
      </w:r>
      <w:bookmarkEnd w:id="1489"/>
      <w:bookmarkEnd w:id="1490"/>
      <w:r>
        <w:fldChar w:fldCharType="begin"/>
      </w:r>
      <w:r>
        <w:instrText xml:space="preserve"> XE "b (Boolean)" </w:instrText>
      </w:r>
      <w:r>
        <w:fldChar w:fldCharType="end"/>
      </w:r>
    </w:p>
    <w:p w:rsidR="00024C0A" w:rsidRDefault="00694C0F">
      <w:pPr>
        <w:pStyle w:val="Definition-Field"/>
      </w:pPr>
      <w:r>
        <w:t xml:space="preserve">a.   </w:t>
      </w:r>
      <w:r>
        <w:rPr>
          <w:i/>
        </w:rPr>
        <w:t>The standard does not spe</w:t>
      </w:r>
      <w:r>
        <w:rPr>
          <w:i/>
        </w:rPr>
        <w:t>cify a default value for the u attribute.</w:t>
      </w:r>
    </w:p>
    <w:p w:rsidR="00024C0A" w:rsidRDefault="00694C0F">
      <w:pPr>
        <w:pStyle w:val="Definition-Field2"/>
      </w:pPr>
      <w:r>
        <w:t>Excel uses a default value of false for this attribute.</w:t>
      </w:r>
    </w:p>
    <w:p w:rsidR="00024C0A" w:rsidRDefault="00694C0F">
      <w:pPr>
        <w:pStyle w:val="Definition-Field"/>
      </w:pPr>
      <w:r>
        <w:t xml:space="preserve">b.   </w:t>
      </w:r>
      <w:r>
        <w:rPr>
          <w:i/>
        </w:rPr>
        <w:t>The standard does not specify a default value for the f attribute.</w:t>
      </w:r>
    </w:p>
    <w:p w:rsidR="00024C0A" w:rsidRDefault="00694C0F">
      <w:pPr>
        <w:pStyle w:val="Definition-Field2"/>
      </w:pPr>
      <w:r>
        <w:t>Excel uses a default value of false for this attribute.</w:t>
      </w:r>
    </w:p>
    <w:p w:rsidR="00024C0A" w:rsidRDefault="00694C0F">
      <w:pPr>
        <w:pStyle w:val="Definition-Field"/>
      </w:pPr>
      <w:r>
        <w:t xml:space="preserve">c.   </w:t>
      </w:r>
      <w:r>
        <w:rPr>
          <w:i/>
        </w:rPr>
        <w:t>The standard does not lim</w:t>
      </w:r>
      <w:r>
        <w:rPr>
          <w:i/>
        </w:rPr>
        <w:t>it the length of the value of the c attribute.</w:t>
      </w:r>
    </w:p>
    <w:p w:rsidR="00024C0A" w:rsidRDefault="00694C0F">
      <w:pPr>
        <w:pStyle w:val="Definition-Field2"/>
      </w:pPr>
      <w:r>
        <w:t>Excel restricts the value of this attribute to be at most 65535 characters.</w:t>
      </w:r>
    </w:p>
    <w:p w:rsidR="00024C0A" w:rsidRDefault="00694C0F">
      <w:pPr>
        <w:pStyle w:val="Definition-Field"/>
      </w:pPr>
      <w:r>
        <w:t xml:space="preserve">d.   </w:t>
      </w:r>
      <w:r>
        <w:rPr>
          <w:i/>
        </w:rPr>
        <w:t>The standard does not qualify the c attribute as applicable only in certain cases.</w:t>
      </w:r>
    </w:p>
    <w:p w:rsidR="00024C0A" w:rsidRDefault="00694C0F">
      <w:pPr>
        <w:pStyle w:val="Definition-Field2"/>
      </w:pPr>
      <w:r>
        <w:t xml:space="preserve">In Office, the c attribute is only valid for </w:t>
      </w:r>
      <w:r>
        <w:t>OLAP PivotTables and when createdVersion is 3 or greater.</w:t>
      </w:r>
    </w:p>
    <w:p w:rsidR="00024C0A" w:rsidRDefault="00694C0F">
      <w:pPr>
        <w:pStyle w:val="Definition-Field"/>
      </w:pPr>
      <w:r>
        <w:t xml:space="preserve">e.   </w:t>
      </w:r>
      <w:r>
        <w:rPr>
          <w:i/>
        </w:rPr>
        <w:t>The standard does not define the relation between the u attribute and the sharedItems parent.</w:t>
      </w:r>
    </w:p>
    <w:p w:rsidR="00024C0A" w:rsidRDefault="00694C0F">
      <w:pPr>
        <w:pStyle w:val="Definition-Field2"/>
      </w:pPr>
      <w:r>
        <w:t>In Office, the u attribute only applies when the parent is sharedItems.</w:t>
      </w:r>
    </w:p>
    <w:p w:rsidR="00024C0A" w:rsidRDefault="00694C0F">
      <w:pPr>
        <w:pStyle w:val="Definition-Field"/>
      </w:pPr>
      <w:r>
        <w:t xml:space="preserve">f.   </w:t>
      </w:r>
      <w:r>
        <w:rPr>
          <w:i/>
        </w:rPr>
        <w:t xml:space="preserve">The standard does not </w:t>
      </w:r>
      <w:r>
        <w:rPr>
          <w:i/>
        </w:rPr>
        <w:t>define restrictions on when the cp attribute should be present.</w:t>
      </w:r>
    </w:p>
    <w:p w:rsidR="00024C0A" w:rsidRDefault="00694C0F">
      <w:pPr>
        <w:pStyle w:val="Definition-Field2"/>
      </w:pPr>
      <w:r>
        <w:t>In Office, the cp attribute applies to OLAP-based PivotTables only and the parent is sharedItems.</w:t>
      </w:r>
    </w:p>
    <w:p w:rsidR="00024C0A" w:rsidRDefault="00694C0F">
      <w:pPr>
        <w:pStyle w:val="Definition-Field"/>
      </w:pPr>
      <w:r>
        <w:t xml:space="preserve">g.   </w:t>
      </w:r>
      <w:r>
        <w:rPr>
          <w:i/>
        </w:rPr>
        <w:t>The standard does not specify restrictions on value of the cp attribute.</w:t>
      </w:r>
    </w:p>
    <w:p w:rsidR="00024C0A" w:rsidRDefault="00694C0F">
      <w:pPr>
        <w:pStyle w:val="Definition-Field2"/>
      </w:pPr>
      <w:r>
        <w:t>In Office, the v</w:t>
      </w:r>
      <w:r>
        <w:t>alue of the cp attribute shall be equal to the number of x child elements and less than or equal to the mappingCount attribute of the corresponding cacheField element.</w:t>
      </w:r>
    </w:p>
    <w:p w:rsidR="00024C0A" w:rsidRDefault="00694C0F">
      <w:pPr>
        <w:pStyle w:val="Definition-Field"/>
      </w:pPr>
      <w:r>
        <w:t xml:space="preserve">h.   </w:t>
      </w:r>
      <w:r>
        <w:rPr>
          <w:i/>
        </w:rPr>
        <w:t>The standard does not define the relation between the f attribute and the sharedIte</w:t>
      </w:r>
      <w:r>
        <w:rPr>
          <w:i/>
        </w:rPr>
        <w:t>ms parent.</w:t>
      </w:r>
    </w:p>
    <w:p w:rsidR="00024C0A" w:rsidRDefault="00694C0F">
      <w:pPr>
        <w:pStyle w:val="Definition-Field2"/>
      </w:pPr>
      <w:r>
        <w:t>In Office, the f attribute only applies when the parent is sharedItems.</w:t>
      </w:r>
    </w:p>
    <w:p w:rsidR="00024C0A" w:rsidRDefault="00694C0F">
      <w:pPr>
        <w:pStyle w:val="Heading3"/>
      </w:pPr>
      <w:bookmarkStart w:id="1491" w:name="section_a49a42d4fc784030ae6099400cba9912"/>
      <w:bookmarkStart w:id="1492" w:name="_Toc12260806"/>
      <w:r>
        <w:t>Part 1 Section 18.10.1.3, cacheField (PivotCache Field)</w:t>
      </w:r>
      <w:bookmarkEnd w:id="1491"/>
      <w:bookmarkEnd w:id="1492"/>
      <w:r>
        <w:fldChar w:fldCharType="begin"/>
      </w:r>
      <w:r>
        <w:instrText xml:space="preserve"> XE "cacheField (PivotCache Field)" </w:instrText>
      </w:r>
      <w:r>
        <w:fldChar w:fldCharType="end"/>
      </w:r>
    </w:p>
    <w:p w:rsidR="00024C0A" w:rsidRDefault="00694C0F">
      <w:pPr>
        <w:pStyle w:val="Definition-Field"/>
      </w:pPr>
      <w:r>
        <w:t xml:space="preserve">a.   </w:t>
      </w:r>
      <w:r>
        <w:rPr>
          <w:i/>
        </w:rPr>
        <w:t>The standard does not restrict values of the hierarchy attribute.</w:t>
      </w:r>
    </w:p>
    <w:p w:rsidR="00024C0A" w:rsidRDefault="00694C0F">
      <w:pPr>
        <w:pStyle w:val="Definition-Field2"/>
      </w:pPr>
      <w:r>
        <w:t>In Offic</w:t>
      </w:r>
      <w:r>
        <w:t>e, the hierarchy attribute must be non-negative and less than the count of cacheHierarchy elements in the cacheHierarchies node. This attribute is only used by OLAP PivotCache.</w:t>
      </w:r>
    </w:p>
    <w:p w:rsidR="00024C0A" w:rsidRDefault="00694C0F">
      <w:pPr>
        <w:pStyle w:val="Definition-Field"/>
      </w:pPr>
      <w:r>
        <w:lastRenderedPageBreak/>
        <w:t xml:space="preserve">b.   </w:t>
      </w:r>
      <w:r>
        <w:rPr>
          <w:i/>
        </w:rPr>
        <w:t>The standard does not define all the possible values of the level attribut</w:t>
      </w:r>
      <w:r>
        <w:rPr>
          <w:i/>
        </w:rPr>
        <w:t>e.</w:t>
      </w:r>
    </w:p>
    <w:p w:rsidR="00024C0A" w:rsidRDefault="00694C0F">
      <w:pPr>
        <w:pStyle w:val="Definition-Field2"/>
      </w:pPr>
      <w:r>
        <w:t>In Excel, the level attribute is only used by the OLAP PivotCache. If memberPropertyField is 0, this value shall be either 0x7fff (which means all levels) or it shall be less than the count of fieldUsage elements in fieldsUsage node.</w:t>
      </w:r>
    </w:p>
    <w:p w:rsidR="00024C0A" w:rsidRDefault="00694C0F">
      <w:pPr>
        <w:pStyle w:val="Definition-Field"/>
      </w:pPr>
      <w:r>
        <w:t xml:space="preserve">c.   </w:t>
      </w:r>
      <w:r>
        <w:rPr>
          <w:i/>
        </w:rPr>
        <w:t>The standard d</w:t>
      </w:r>
      <w:r>
        <w:rPr>
          <w:i/>
        </w:rPr>
        <w:t>oes not specify restrictions for the name attribute.</w:t>
      </w:r>
    </w:p>
    <w:p w:rsidR="00024C0A" w:rsidRDefault="00694C0F">
      <w:pPr>
        <w:pStyle w:val="Definition-Field2"/>
      </w:pPr>
      <w:r>
        <w:t xml:space="preserve">In Office, the name attribute must be unique. The name is case-insensitive and shall have length between 1 and 32767 inclusively. If the value of createdVersion is less than 3, @name shall not be longer </w:t>
      </w:r>
      <w:r>
        <w:t>than 255 characters.</w:t>
      </w:r>
    </w:p>
    <w:p w:rsidR="00024C0A" w:rsidRDefault="00694C0F">
      <w:pPr>
        <w:pStyle w:val="Definition-Field"/>
      </w:pPr>
      <w:r>
        <w:t xml:space="preserve">d.   </w:t>
      </w:r>
      <w:r>
        <w:rPr>
          <w:i/>
        </w:rPr>
        <w:t>The standard does not define maxLength restriction for the caption attribute.</w:t>
      </w:r>
    </w:p>
    <w:p w:rsidR="00024C0A" w:rsidRDefault="00694C0F">
      <w:pPr>
        <w:pStyle w:val="Definition-Field2"/>
      </w:pPr>
      <w:r>
        <w:t>In Office, the caption attribute shall not be longer than 32767; if createdVersion of pivotCacheDefinition is less than 3, then the caption attribute mu</w:t>
      </w:r>
      <w:r>
        <w:t>st not be defined.</w:t>
      </w:r>
    </w:p>
    <w:p w:rsidR="00024C0A" w:rsidRDefault="00694C0F">
      <w:pPr>
        <w:pStyle w:val="Definition-Field"/>
      </w:pPr>
      <w:r>
        <w:t xml:space="preserve">e.   </w:t>
      </w:r>
      <w:r>
        <w:rPr>
          <w:i/>
        </w:rPr>
        <w:t>The standard does not define length restriction for the propertyName attribute.</w:t>
      </w:r>
    </w:p>
    <w:p w:rsidR="00024C0A" w:rsidRDefault="00694C0F">
      <w:pPr>
        <w:pStyle w:val="Definition-Field2"/>
      </w:pPr>
      <w:r>
        <w:t>In Office, the propertyName attribute shall have length between 1 and 32767 inclusively.</w:t>
      </w:r>
    </w:p>
    <w:p w:rsidR="00024C0A" w:rsidRDefault="00694C0F">
      <w:pPr>
        <w:pStyle w:val="Definition-Field"/>
      </w:pPr>
      <w:r>
        <w:t xml:space="preserve">f.   </w:t>
      </w:r>
      <w:r>
        <w:rPr>
          <w:i/>
        </w:rPr>
        <w:t>In the standard the databaseField attribute is not restric</w:t>
      </w:r>
      <w:r>
        <w:rPr>
          <w:i/>
        </w:rPr>
        <w:t>ted by data source type.</w:t>
      </w:r>
    </w:p>
    <w:p w:rsidR="00024C0A" w:rsidRDefault="00694C0F">
      <w:pPr>
        <w:pStyle w:val="Definition-Field2"/>
      </w:pPr>
      <w:r>
        <w:t>In Office, the databaseField attribute must be TRUE for OLAP data sources.</w:t>
      </w:r>
    </w:p>
    <w:p w:rsidR="00024C0A" w:rsidRDefault="00694C0F">
      <w:pPr>
        <w:pStyle w:val="Definition-Field"/>
      </w:pPr>
      <w:r>
        <w:t xml:space="preserve">g.   </w:t>
      </w:r>
      <w:r>
        <w:rPr>
          <w:i/>
        </w:rPr>
        <w:t>In the standard, the formula attribute is defined as a generic string.</w:t>
      </w:r>
    </w:p>
    <w:p w:rsidR="00024C0A" w:rsidRDefault="00694C0F">
      <w:pPr>
        <w:pStyle w:val="Definition-Field2"/>
      </w:pPr>
      <w:r>
        <w:t xml:space="preserve">Office requires that the formula attribute be a Pivot formula as defined in </w:t>
      </w:r>
      <w:hyperlink w:anchor="Section_b23ed080d4e143a58259332e1bf85d08">
        <w:r>
          <w:rPr>
            <w:rStyle w:val="Hyperlink"/>
          </w:rPr>
          <w:t>§3.2.3.1.8, Pivot Formulas</w:t>
        </w:r>
      </w:hyperlink>
      <w:r>
        <w:t>.</w:t>
      </w:r>
    </w:p>
    <w:p w:rsidR="00024C0A" w:rsidRDefault="00694C0F">
      <w:pPr>
        <w:pStyle w:val="Definition-Field"/>
      </w:pPr>
      <w:r>
        <w:t xml:space="preserve">h.   </w:t>
      </w:r>
      <w:r>
        <w:rPr>
          <w:i/>
        </w:rPr>
        <w:t>In the standard the mappingCount attribute does not have restrictions.</w:t>
      </w:r>
    </w:p>
    <w:p w:rsidR="00024C0A" w:rsidRDefault="00694C0F">
      <w:pPr>
        <w:pStyle w:val="Definition-Field2"/>
      </w:pPr>
      <w:r>
        <w:t>In Office, the mappingCount attribute shall be less than or equal to number of cacheField i</w:t>
      </w:r>
      <w:r>
        <w:t>tems in the cacheFields collection.</w:t>
      </w:r>
    </w:p>
    <w:p w:rsidR="00024C0A" w:rsidRDefault="00694C0F">
      <w:pPr>
        <w:pStyle w:val="Definition-Field"/>
      </w:pPr>
      <w:r>
        <w:t xml:space="preserve">i.   </w:t>
      </w:r>
      <w:r>
        <w:rPr>
          <w:i/>
        </w:rPr>
        <w:t>The standard does not specify restrictions for the memberPropertyField attribute.</w:t>
      </w:r>
    </w:p>
    <w:p w:rsidR="00024C0A" w:rsidRDefault="00694C0F">
      <w:pPr>
        <w:pStyle w:val="Definition-Field2"/>
      </w:pPr>
      <w:r>
        <w:t>In Office, the memberPropertyField attribute shall be 1 if the propertyName attribute is not empty and it shall be 0 or false for non</w:t>
      </w:r>
      <w:r>
        <w:t>-OLAP PivotCaches.</w:t>
      </w:r>
    </w:p>
    <w:p w:rsidR="00024C0A" w:rsidRDefault="00694C0F">
      <w:pPr>
        <w:pStyle w:val="Definition-Field"/>
      </w:pPr>
      <w:r>
        <w:t xml:space="preserve">j.   </w:t>
      </w:r>
      <w:r>
        <w:rPr>
          <w:i/>
        </w:rPr>
        <w:t>The standard does not restrict the formula attribute usage for different data sources.</w:t>
      </w:r>
    </w:p>
    <w:p w:rsidR="00024C0A" w:rsidRDefault="00694C0F">
      <w:pPr>
        <w:pStyle w:val="Definition-Field2"/>
      </w:pPr>
      <w:r>
        <w:t>In Office, the formula attribute shall not be specified for OLAP PivotCaches.</w:t>
      </w:r>
    </w:p>
    <w:p w:rsidR="00024C0A" w:rsidRDefault="00694C0F">
      <w:pPr>
        <w:pStyle w:val="Definition-Field"/>
      </w:pPr>
      <w:r>
        <w:t xml:space="preserve">k.   </w:t>
      </w:r>
      <w:r>
        <w:rPr>
          <w:i/>
        </w:rPr>
        <w:t>In the standard, there is no restriction on value of the datab</w:t>
      </w:r>
      <w:r>
        <w:rPr>
          <w:i/>
        </w:rPr>
        <w:t>aseField attribute for the first cacheField in collection.</w:t>
      </w:r>
    </w:p>
    <w:p w:rsidR="00024C0A" w:rsidRDefault="00694C0F">
      <w:pPr>
        <w:pStyle w:val="Definition-Field2"/>
      </w:pPr>
      <w:r>
        <w:t>In Office, the first cacheField shall have a databaseField attribute equal to 1 or true.</w:t>
      </w:r>
    </w:p>
    <w:p w:rsidR="00024C0A" w:rsidRDefault="00694C0F">
      <w:pPr>
        <w:pStyle w:val="Heading3"/>
      </w:pPr>
      <w:bookmarkStart w:id="1493" w:name="section_f4b94667953e402280d4ca58568e6e05"/>
      <w:bookmarkStart w:id="1494" w:name="_Toc12260807"/>
      <w:r>
        <w:t>Part 1 Section 18.10.1.4, cacheFields (PivotCache Fields)</w:t>
      </w:r>
      <w:bookmarkEnd w:id="1493"/>
      <w:bookmarkEnd w:id="1494"/>
      <w:r>
        <w:fldChar w:fldCharType="begin"/>
      </w:r>
      <w:r>
        <w:instrText xml:space="preserve"> XE "cacheFields (PivotCache Fields)" </w:instrText>
      </w:r>
      <w:r>
        <w:fldChar w:fldCharType="end"/>
      </w:r>
    </w:p>
    <w:p w:rsidR="00024C0A" w:rsidRDefault="00694C0F">
      <w:pPr>
        <w:pStyle w:val="Definition-Field"/>
      </w:pPr>
      <w:r>
        <w:t xml:space="preserve">a.   </w:t>
      </w:r>
      <w:r>
        <w:rPr>
          <w:i/>
        </w:rPr>
        <w:t>The s</w:t>
      </w:r>
      <w:r>
        <w:rPr>
          <w:i/>
        </w:rPr>
        <w:t>tandard states that the maxOccurs value for the cacheField child element is unbounded.</w:t>
      </w:r>
    </w:p>
    <w:p w:rsidR="00024C0A" w:rsidRDefault="00694C0F">
      <w:pPr>
        <w:pStyle w:val="Definition-Field2"/>
      </w:pPr>
      <w:r>
        <w:t>Excel limits the occurrences of this element to 1024 when the value of the createdVersion attribute on the pivotCacheDefinition element is less than 3 and 16384 otherwis</w:t>
      </w:r>
      <w:r>
        <w:t>e.</w:t>
      </w:r>
    </w:p>
    <w:p w:rsidR="00024C0A" w:rsidRDefault="00694C0F">
      <w:pPr>
        <w:pStyle w:val="Definition-Field"/>
      </w:pPr>
      <w:r>
        <w:t xml:space="preserve">b.   </w:t>
      </w:r>
      <w:r>
        <w:rPr>
          <w:i/>
        </w:rPr>
        <w:t>The standard states that the minOccurs value for the cacheField child element is 0.</w:t>
      </w:r>
    </w:p>
    <w:p w:rsidR="00024C0A" w:rsidRDefault="00694C0F">
      <w:pPr>
        <w:pStyle w:val="Definition-Field2"/>
      </w:pPr>
      <w:r>
        <w:t>Excel requires an occurrence of this element for non-OLAP PivotCaches.</w:t>
      </w:r>
    </w:p>
    <w:p w:rsidR="00024C0A" w:rsidRDefault="00694C0F">
      <w:pPr>
        <w:pStyle w:val="Heading3"/>
      </w:pPr>
      <w:bookmarkStart w:id="1495" w:name="section_ce3dcffc9d464d52a8817969baf5c473"/>
      <w:bookmarkStart w:id="1496" w:name="_Toc12260808"/>
      <w:r>
        <w:lastRenderedPageBreak/>
        <w:t>Part 1 Section 18.10.1.5, cacheHierarchies (PivotCache Hierarchies)</w:t>
      </w:r>
      <w:bookmarkEnd w:id="1495"/>
      <w:bookmarkEnd w:id="1496"/>
      <w:r>
        <w:fldChar w:fldCharType="begin"/>
      </w:r>
      <w:r>
        <w:instrText xml:space="preserve"> XE "cacheHierarchies (Piv</w:instrText>
      </w:r>
      <w:r>
        <w:instrText xml:space="preserve">otCache Hierarchies)" </w:instrText>
      </w:r>
      <w:r>
        <w:fldChar w:fldCharType="end"/>
      </w:r>
    </w:p>
    <w:p w:rsidR="00024C0A" w:rsidRDefault="00694C0F">
      <w:pPr>
        <w:pStyle w:val="Definition-Field"/>
      </w:pPr>
      <w:r>
        <w:t xml:space="preserve">a.   </w:t>
      </w:r>
      <w:r>
        <w:rPr>
          <w:i/>
        </w:rPr>
        <w:t>The standard states that the minOccurs value for the cacheHierarchy child element is 0.</w:t>
      </w:r>
    </w:p>
    <w:p w:rsidR="00024C0A" w:rsidRDefault="00694C0F">
      <w:pPr>
        <w:pStyle w:val="Definition-Field2"/>
      </w:pPr>
      <w:r>
        <w:t>Excel requires an occurrence of this element.</w:t>
      </w:r>
    </w:p>
    <w:p w:rsidR="00024C0A" w:rsidRDefault="00694C0F">
      <w:pPr>
        <w:pStyle w:val="Heading3"/>
      </w:pPr>
      <w:bookmarkStart w:id="1497" w:name="section_f8e3fe8da78d4f5bb970f9f5b0fa6d35"/>
      <w:bookmarkStart w:id="1498" w:name="_Toc12260809"/>
      <w:r>
        <w:t>Part 1 Section 18.10.1.6, cacheHierarchy (PivotCache Hierarchy)</w:t>
      </w:r>
      <w:bookmarkEnd w:id="1497"/>
      <w:bookmarkEnd w:id="1498"/>
      <w:r>
        <w:fldChar w:fldCharType="begin"/>
      </w:r>
      <w:r>
        <w:instrText xml:space="preserve"> XE "cacheHierarchy (PivotCac</w:instrText>
      </w:r>
      <w:r>
        <w:instrText xml:space="preserve">he Hierarchy)" </w:instrText>
      </w:r>
      <w:r>
        <w:fldChar w:fldCharType="end"/>
      </w:r>
    </w:p>
    <w:p w:rsidR="00024C0A" w:rsidRDefault="00694C0F">
      <w:pPr>
        <w:pStyle w:val="Definition-Field"/>
      </w:pPr>
      <w:r>
        <w:t xml:space="preserve">a.   </w:t>
      </w:r>
      <w:r>
        <w:rPr>
          <w:i/>
        </w:rPr>
        <w:t>The standard does not limit the length of the value of the uniqueName attribute.</w:t>
      </w:r>
    </w:p>
    <w:p w:rsidR="00024C0A" w:rsidRDefault="00694C0F">
      <w:pPr>
        <w:pStyle w:val="Definition-Field2"/>
      </w:pPr>
      <w:r>
        <w:t>Excel restricts the value of this attribute to be at least 1 and at most 255 characters when the createdVersion attribute on the pivotCacheDefinition el</w:t>
      </w:r>
      <w:r>
        <w:t>ement is less than 3 and 32767 characters otherwise.</w:t>
      </w:r>
    </w:p>
    <w:p w:rsidR="00024C0A" w:rsidRDefault="00694C0F">
      <w:pPr>
        <w:pStyle w:val="Definition-Field"/>
      </w:pPr>
      <w:r>
        <w:t xml:space="preserve">b.   </w:t>
      </w:r>
      <w:r>
        <w:rPr>
          <w:i/>
        </w:rPr>
        <w:t>The standard does not limit the length of the value of the caption attribute.</w:t>
      </w:r>
    </w:p>
    <w:p w:rsidR="00024C0A" w:rsidRDefault="00694C0F">
      <w:pPr>
        <w:pStyle w:val="Definition-Field2"/>
      </w:pPr>
      <w:r>
        <w:t xml:space="preserve">Excel restricts the value of this attribute to be at least 1 and at most 255 characters when the createdVersion </w:t>
      </w:r>
      <w:r>
        <w:t>attribute on the pivotCacheDefinition element is less than 3 and 32767 characters otherwise.</w:t>
      </w:r>
    </w:p>
    <w:p w:rsidR="00024C0A" w:rsidRDefault="00694C0F">
      <w:pPr>
        <w:pStyle w:val="Definition-Field"/>
      </w:pPr>
      <w:r>
        <w:t xml:space="preserve">c.   </w:t>
      </w:r>
      <w:r>
        <w:rPr>
          <w:i/>
        </w:rPr>
        <w:t>The standard states that the caption attribute is optional.</w:t>
      </w:r>
    </w:p>
    <w:p w:rsidR="00024C0A" w:rsidRDefault="00694C0F">
      <w:pPr>
        <w:pStyle w:val="Definition-Field2"/>
      </w:pPr>
      <w:r>
        <w:t>Excel requires this attribute.</w:t>
      </w:r>
    </w:p>
    <w:p w:rsidR="00024C0A" w:rsidRDefault="00694C0F">
      <w:pPr>
        <w:pStyle w:val="Definition-Field"/>
      </w:pPr>
      <w:r>
        <w:t xml:space="preserve">d.   </w:t>
      </w:r>
      <w:r>
        <w:rPr>
          <w:i/>
        </w:rPr>
        <w:t>The standard does not limit the length of the value of the def</w:t>
      </w:r>
      <w:r>
        <w:rPr>
          <w:i/>
        </w:rPr>
        <w:t>aultMemberUniqueName attribute.</w:t>
      </w:r>
    </w:p>
    <w:p w:rsidR="00024C0A" w:rsidRDefault="00694C0F">
      <w:pPr>
        <w:pStyle w:val="Definition-Field2"/>
      </w:pPr>
      <w:r>
        <w:t>Excel restricts the value of this attribute to be at most 255 characters when the createdVersion attribute on the pivotCacheDefinition element is less than 3 and 32767 characters otherwise.</w:t>
      </w:r>
    </w:p>
    <w:p w:rsidR="00024C0A" w:rsidRDefault="00694C0F">
      <w:pPr>
        <w:pStyle w:val="Definition-Field"/>
      </w:pPr>
      <w:r>
        <w:t xml:space="preserve">e.   </w:t>
      </w:r>
      <w:r>
        <w:rPr>
          <w:i/>
        </w:rPr>
        <w:t>The standard does not limit t</w:t>
      </w:r>
      <w:r>
        <w:rPr>
          <w:i/>
        </w:rPr>
        <w:t>he length of the value of the allUniqueName attribute.</w:t>
      </w:r>
    </w:p>
    <w:p w:rsidR="00024C0A" w:rsidRDefault="00694C0F">
      <w:pPr>
        <w:pStyle w:val="Definition-Field2"/>
      </w:pPr>
      <w:r>
        <w:t>Excel restricts the value of this attribute to be at most 255 characters when the createdVersion attribute on the pivotCacheDefinition element is less than 3 and 32767 characters otherwise.</w:t>
      </w:r>
    </w:p>
    <w:p w:rsidR="00024C0A" w:rsidRDefault="00694C0F">
      <w:pPr>
        <w:pStyle w:val="Definition-Field"/>
      </w:pPr>
      <w:r>
        <w:t xml:space="preserve">f.   </w:t>
      </w:r>
      <w:r>
        <w:rPr>
          <w:i/>
        </w:rPr>
        <w:t>The st</w:t>
      </w:r>
      <w:r>
        <w:rPr>
          <w:i/>
        </w:rPr>
        <w:t>andard does not limit the length of the value of the allCaption attribute.</w:t>
      </w:r>
    </w:p>
    <w:p w:rsidR="00024C0A" w:rsidRDefault="00694C0F">
      <w:pPr>
        <w:pStyle w:val="Definition-Field2"/>
      </w:pPr>
      <w:r>
        <w:t>Excel restricts the value of this attribute to be at most 255 characters when the createdVersion attribute on the pivotCacheDefinition element is less than 3 and 32767 characters ot</w:t>
      </w:r>
      <w:r>
        <w:t>herwise.</w:t>
      </w:r>
    </w:p>
    <w:p w:rsidR="00024C0A" w:rsidRDefault="00694C0F">
      <w:pPr>
        <w:pStyle w:val="Definition-Field"/>
      </w:pPr>
      <w:r>
        <w:t xml:space="preserve">g.   </w:t>
      </w:r>
      <w:r>
        <w:rPr>
          <w:i/>
        </w:rPr>
        <w:t>The standard does not limit the length of the value of the dimensionUniqueName attribute.</w:t>
      </w:r>
    </w:p>
    <w:p w:rsidR="00024C0A" w:rsidRDefault="00694C0F">
      <w:pPr>
        <w:pStyle w:val="Definition-Field2"/>
      </w:pPr>
      <w:r>
        <w:t>Excel restricts the value of this attribute to be at least 1 and at most 255 characters when the createdVersion attribute on the pivotCacheDefinition el</w:t>
      </w:r>
      <w:r>
        <w:t>ement is less than 3 and 32767 characters otherwise.</w:t>
      </w:r>
    </w:p>
    <w:p w:rsidR="00024C0A" w:rsidRDefault="00694C0F">
      <w:pPr>
        <w:pStyle w:val="Definition-Field"/>
      </w:pPr>
      <w:r>
        <w:t xml:space="preserve">h.   </w:t>
      </w:r>
      <w:r>
        <w:rPr>
          <w:i/>
        </w:rPr>
        <w:t>The standard does not limit the length of the value of the displayFolder attribute.</w:t>
      </w:r>
    </w:p>
    <w:p w:rsidR="00024C0A" w:rsidRDefault="00694C0F">
      <w:pPr>
        <w:pStyle w:val="Definition-Field2"/>
      </w:pPr>
      <w:r>
        <w:t>Excel restricts the value of this attribute to be at most 65535 characters.</w:t>
      </w:r>
    </w:p>
    <w:p w:rsidR="00024C0A" w:rsidRDefault="00694C0F">
      <w:pPr>
        <w:pStyle w:val="Definition-Field"/>
      </w:pPr>
      <w:r>
        <w:t xml:space="preserve">i.   </w:t>
      </w:r>
      <w:r>
        <w:rPr>
          <w:i/>
        </w:rPr>
        <w:t>The standard does not limit the l</w:t>
      </w:r>
      <w:r>
        <w:rPr>
          <w:i/>
        </w:rPr>
        <w:t>ength of the value of the measureGroup attribute.</w:t>
      </w:r>
    </w:p>
    <w:p w:rsidR="00024C0A" w:rsidRDefault="00694C0F">
      <w:pPr>
        <w:pStyle w:val="Definition-Field2"/>
      </w:pPr>
      <w:r>
        <w:t>Excel restricts the value of this attribute to be at most 65535 characters.</w:t>
      </w:r>
    </w:p>
    <w:p w:rsidR="00024C0A" w:rsidRDefault="00694C0F">
      <w:pPr>
        <w:pStyle w:val="Definition-Field"/>
      </w:pPr>
      <w:r>
        <w:t xml:space="preserve">j.   </w:t>
      </w:r>
      <w:r>
        <w:rPr>
          <w:i/>
        </w:rPr>
        <w:t>The standard does not place any restrictions on the value for the parentSet attribute.</w:t>
      </w:r>
    </w:p>
    <w:p w:rsidR="00024C0A" w:rsidRDefault="00694C0F">
      <w:pPr>
        <w:pStyle w:val="Definition-Field2"/>
      </w:pPr>
      <w:r>
        <w:t xml:space="preserve">In Excel, the value must be less than </w:t>
      </w:r>
      <w:r>
        <w:t>the number of cacheHierarchy elements in cacheHierarchies collection.</w:t>
      </w:r>
    </w:p>
    <w:p w:rsidR="00024C0A" w:rsidRDefault="00694C0F">
      <w:pPr>
        <w:pStyle w:val="Definition-Field"/>
      </w:pPr>
      <w:r>
        <w:t xml:space="preserve">k.   </w:t>
      </w:r>
      <w:r>
        <w:rPr>
          <w:i/>
        </w:rPr>
        <w:t>The standard does not state value restrictions for the iconSet attribute.</w:t>
      </w:r>
    </w:p>
    <w:p w:rsidR="00024C0A" w:rsidRDefault="00694C0F">
      <w:pPr>
        <w:pStyle w:val="Definition-Field2"/>
      </w:pPr>
      <w:r>
        <w:t>Excel requires that the iconSet attribute be between 0 and 11.</w:t>
      </w:r>
    </w:p>
    <w:p w:rsidR="00024C0A" w:rsidRDefault="00694C0F">
      <w:pPr>
        <w:pStyle w:val="Definition-Field"/>
      </w:pPr>
      <w:r>
        <w:lastRenderedPageBreak/>
        <w:t xml:space="preserve">l.   </w:t>
      </w:r>
      <w:r>
        <w:rPr>
          <w:i/>
        </w:rPr>
        <w:t>The standard does not place any restric</w:t>
      </w:r>
      <w:r>
        <w:rPr>
          <w:i/>
        </w:rPr>
        <w:t>tions on the value for the set attribute.</w:t>
      </w:r>
    </w:p>
    <w:p w:rsidR="00024C0A" w:rsidRDefault="00694C0F">
      <w:pPr>
        <w:pStyle w:val="Definition-Field2"/>
      </w:pPr>
      <w:r>
        <w:t>In Excel, the values for the measure attribute and the set attribute cannot both be 1.</w:t>
      </w:r>
    </w:p>
    <w:p w:rsidR="00024C0A" w:rsidRDefault="00694C0F">
      <w:pPr>
        <w:pStyle w:val="Definition-Field"/>
      </w:pPr>
      <w:r>
        <w:t xml:space="preserve">m.   </w:t>
      </w:r>
      <w:r>
        <w:rPr>
          <w:i/>
        </w:rPr>
        <w:t>The standard does not place any restrictions on the value for the measure attribute.</w:t>
      </w:r>
    </w:p>
    <w:p w:rsidR="00024C0A" w:rsidRDefault="00694C0F">
      <w:pPr>
        <w:pStyle w:val="Definition-Field2"/>
      </w:pPr>
      <w:r>
        <w:t xml:space="preserve">In Excel, the values for the measure </w:t>
      </w:r>
      <w:r>
        <w:t>attribute and the set attribute cannot both be 1.</w:t>
      </w:r>
    </w:p>
    <w:p w:rsidR="00024C0A" w:rsidRDefault="00694C0F">
      <w:pPr>
        <w:pStyle w:val="Definition-Field"/>
      </w:pPr>
      <w:r>
        <w:t xml:space="preserve">n.   </w:t>
      </w:r>
      <w:r>
        <w:rPr>
          <w:i/>
        </w:rPr>
        <w:t>The standard does not specify the relationship between the dimensionUniqueName attribute and dimension item in the dimensions collection.</w:t>
      </w:r>
    </w:p>
    <w:p w:rsidR="00024C0A" w:rsidRDefault="00694C0F">
      <w:pPr>
        <w:pStyle w:val="Definition-Field2"/>
      </w:pPr>
      <w:r>
        <w:t>Excel requires that the dimensionUniqueName attribute match the</w:t>
      </w:r>
      <w:r>
        <w:t xml:space="preserve"> uniqueName attribute of an item in the dimensions collection and must be present if the set attribute equals 0, measure=0, and hidden=0.</w:t>
      </w:r>
    </w:p>
    <w:p w:rsidR="00024C0A" w:rsidRDefault="00694C0F">
      <w:pPr>
        <w:pStyle w:val="Definition-Field"/>
      </w:pPr>
      <w:r>
        <w:t xml:space="preserve">o.   </w:t>
      </w:r>
      <w:r>
        <w:rPr>
          <w:i/>
        </w:rPr>
        <w:t xml:space="preserve">The standard states that the oneField attribute, when true, indicates this hierarchy is associated with only one </w:t>
      </w:r>
      <w:r>
        <w:rPr>
          <w:i/>
        </w:rPr>
        <w:t>field.</w:t>
      </w:r>
    </w:p>
    <w:p w:rsidR="00024C0A" w:rsidRDefault="00694C0F">
      <w:pPr>
        <w:pStyle w:val="Definition-Field2"/>
      </w:pPr>
      <w:r>
        <w:t>Excel requires that the oneField attribute be written out when the fieldsUsage collection contains one item.</w:t>
      </w:r>
    </w:p>
    <w:p w:rsidR="00024C0A" w:rsidRDefault="00694C0F">
      <w:pPr>
        <w:pStyle w:val="Definition-Field"/>
      </w:pPr>
      <w:r>
        <w:t xml:space="preserve">p.   </w:t>
      </w:r>
      <w:r>
        <w:rPr>
          <w:i/>
        </w:rPr>
        <w:t>The standard does not specify any dependencies between the measure attribute value and dimensions collection.</w:t>
      </w:r>
    </w:p>
    <w:p w:rsidR="00024C0A" w:rsidRDefault="00694C0F">
      <w:pPr>
        <w:pStyle w:val="Definition-Field2"/>
      </w:pPr>
      <w:r>
        <w:t xml:space="preserve">In Excel, if the measure </w:t>
      </w:r>
      <w:r>
        <w:t>attribute equals 0, the matching dimension shall not have measure=1; if the measure attribute equals 1, there shall be at least one dimension with measure=1 if dimensions collection present.</w:t>
      </w:r>
    </w:p>
    <w:p w:rsidR="00024C0A" w:rsidRDefault="00694C0F">
      <w:pPr>
        <w:pStyle w:val="Heading3"/>
      </w:pPr>
      <w:bookmarkStart w:id="1499" w:name="section_4aff486b66ff4a1ea8529ea51026f79f"/>
      <w:bookmarkStart w:id="1500" w:name="_Toc12260810"/>
      <w:r>
        <w:t>Part 1 Section 18.10.1.7, cacheSource (PivotCache Source Description)</w:t>
      </w:r>
      <w:bookmarkEnd w:id="1499"/>
      <w:bookmarkEnd w:id="1500"/>
      <w:r>
        <w:fldChar w:fldCharType="begin"/>
      </w:r>
      <w:r>
        <w:instrText xml:space="preserve"> XE "cacheSource (PivotCache Source Description)" </w:instrText>
      </w:r>
      <w:r>
        <w:fldChar w:fldCharType="end"/>
      </w:r>
    </w:p>
    <w:p w:rsidR="00024C0A" w:rsidRDefault="00694C0F">
      <w:pPr>
        <w:pStyle w:val="Definition-Field"/>
      </w:pPr>
      <w:r>
        <w:t xml:space="preserve">a.   </w:t>
      </w:r>
      <w:r>
        <w:rPr>
          <w:i/>
        </w:rPr>
        <w:t>The standard says that data source information is retrieved with the connectionId attribute.</w:t>
      </w:r>
    </w:p>
    <w:p w:rsidR="00024C0A" w:rsidRDefault="00694C0F">
      <w:pPr>
        <w:pStyle w:val="Definition-Field2"/>
      </w:pPr>
      <w:r>
        <w:t>Office only uses the connectionId at</w:t>
      </w:r>
      <w:r>
        <w:t>tribute for external data sources.</w:t>
      </w:r>
    </w:p>
    <w:p w:rsidR="00024C0A" w:rsidRDefault="00694C0F">
      <w:pPr>
        <w:pStyle w:val="Definition-Field"/>
      </w:pPr>
      <w:r>
        <w:t xml:space="preserve">b.   </w:t>
      </w:r>
      <w:r>
        <w:rPr>
          <w:i/>
        </w:rPr>
        <w:t>The standard states that the connectionId attribute is the index to the workbook connection.</w:t>
      </w:r>
    </w:p>
    <w:p w:rsidR="00024C0A" w:rsidRDefault="00694C0F">
      <w:pPr>
        <w:pStyle w:val="Definition-Field2"/>
      </w:pPr>
      <w:r>
        <w:t>Office requires that the connectionId attribute be the unique ID of the workbook connection.</w:t>
      </w:r>
    </w:p>
    <w:p w:rsidR="00024C0A" w:rsidRDefault="00694C0F">
      <w:pPr>
        <w:pStyle w:val="Definition-Field"/>
      </w:pPr>
      <w:r>
        <w:t xml:space="preserve">c.   </w:t>
      </w:r>
      <w:r>
        <w:rPr>
          <w:i/>
        </w:rPr>
        <w:t>The standard does not pla</w:t>
      </w:r>
      <w:r>
        <w:rPr>
          <w:i/>
        </w:rPr>
        <w:t>ce any restrictions on the value for the connectionId attribute.</w:t>
      </w:r>
    </w:p>
    <w:p w:rsidR="00024C0A" w:rsidRDefault="00694C0F">
      <w:r>
        <w:t>In Office, the connectionId attribute specifies the unique identifier of the workbook connection. When the cache type is set to External, this value shall be greater than 0 and shall be equal</w:t>
      </w:r>
      <w:r>
        <w:t xml:space="preserve"> to </w:t>
      </w:r>
      <w:r>
        <w:rPr>
          <w:b/>
        </w:rPr>
        <w:t>id</w:t>
      </w:r>
      <w:r>
        <w:t xml:space="preserve"> in one of the </w:t>
      </w:r>
      <w:r>
        <w:rPr>
          <w:b/>
        </w:rPr>
        <w:t>connection</w:t>
      </w:r>
      <w:r>
        <w:t xml:space="preserve"> elements. </w:t>
      </w:r>
    </w:p>
    <w:p w:rsidR="00024C0A" w:rsidRDefault="00694C0F">
      <w:pPr>
        <w:pStyle w:val="Definition-Field"/>
      </w:pPr>
      <w:r>
        <w:t xml:space="preserve">d.   </w:t>
      </w:r>
      <w:r>
        <w:rPr>
          <w:i/>
        </w:rPr>
        <w:t>The standard does not define any required schema based on the value of the type attribute.</w:t>
      </w:r>
    </w:p>
    <w:p w:rsidR="00024C0A" w:rsidRDefault="00694C0F">
      <w:pPr>
        <w:pStyle w:val="Definition-Field2"/>
      </w:pPr>
      <w:r>
        <w:t>Office requires that if this value is worksheet, a child element worksheetSource shall be present. If this value is c</w:t>
      </w:r>
      <w:r>
        <w:t>onsolidation, a child element consolidation shall be present.</w:t>
      </w:r>
    </w:p>
    <w:p w:rsidR="00024C0A" w:rsidRDefault="00694C0F">
      <w:pPr>
        <w:pStyle w:val="Heading3"/>
      </w:pPr>
      <w:bookmarkStart w:id="1501" w:name="section_25596798a09d4c18a407e55532fb09f9"/>
      <w:bookmarkStart w:id="1502" w:name="_Toc12260811"/>
      <w:r>
        <w:t>Part 1 Section 18.10.1.8, calculatedItem (Calculated Item)</w:t>
      </w:r>
      <w:bookmarkEnd w:id="1501"/>
      <w:bookmarkEnd w:id="1502"/>
      <w:r>
        <w:fldChar w:fldCharType="begin"/>
      </w:r>
      <w:r>
        <w:instrText xml:space="preserve"> XE "calculatedItem (Calculated Item)" </w:instrText>
      </w:r>
      <w:r>
        <w:fldChar w:fldCharType="end"/>
      </w:r>
    </w:p>
    <w:p w:rsidR="00024C0A" w:rsidRDefault="00694C0F">
      <w:pPr>
        <w:pStyle w:val="Definition-Field"/>
      </w:pPr>
      <w:r>
        <w:t xml:space="preserve">a.   </w:t>
      </w:r>
      <w:r>
        <w:rPr>
          <w:i/>
        </w:rPr>
        <w:t>The standard does not define restrictions on the value of the field attribute.</w:t>
      </w:r>
    </w:p>
    <w:p w:rsidR="00024C0A" w:rsidRDefault="00694C0F">
      <w:pPr>
        <w:pStyle w:val="Definition-Field2"/>
      </w:pPr>
      <w:r>
        <w:t>Office req</w:t>
      </w:r>
      <w:r>
        <w:t>uires that the max value of the field attribute be less than the count of cacheField elements.</w:t>
      </w:r>
    </w:p>
    <w:p w:rsidR="00024C0A" w:rsidRDefault="00694C0F">
      <w:pPr>
        <w:pStyle w:val="Definition-Field"/>
      </w:pPr>
      <w:r>
        <w:t xml:space="preserve">b.   </w:t>
      </w:r>
      <w:r>
        <w:rPr>
          <w:i/>
        </w:rPr>
        <w:t>The standard does not specify usage of child pivotArea element.</w:t>
      </w:r>
    </w:p>
    <w:p w:rsidR="00024C0A" w:rsidRDefault="00694C0F">
      <w:pPr>
        <w:pStyle w:val="Definition-Field2"/>
      </w:pPr>
      <w:r>
        <w:t xml:space="preserve">In Office, pivotArea child element is used to specify cells to which the formula attributes </w:t>
      </w:r>
      <w:r>
        <w:t>apply.</w:t>
      </w:r>
    </w:p>
    <w:p w:rsidR="00024C0A" w:rsidRDefault="00694C0F">
      <w:pPr>
        <w:pStyle w:val="Definition-Field"/>
      </w:pPr>
      <w:r>
        <w:t xml:space="preserve">c.   </w:t>
      </w:r>
      <w:r>
        <w:rPr>
          <w:i/>
        </w:rPr>
        <w:t>The standard does not place any restrictions on the value for the formula attribute.</w:t>
      </w:r>
    </w:p>
    <w:p w:rsidR="00024C0A" w:rsidRDefault="00694C0F">
      <w:pPr>
        <w:pStyle w:val="Definition-Field2"/>
      </w:pPr>
      <w:r>
        <w:lastRenderedPageBreak/>
        <w:t>Office restricts the value of the formula attribute to be a Calculated Item Formula, as defined in Formulas ("</w:t>
      </w:r>
      <w:hyperlink r:id="rId128">
        <w:r>
          <w:rPr>
            <w:rStyle w:val="Hyperlink"/>
          </w:rPr>
          <w:t>[ISO/IEC-29500-1]</w:t>
        </w:r>
      </w:hyperlink>
      <w:r>
        <w:t xml:space="preserve"> §18.17").</w:t>
      </w:r>
    </w:p>
    <w:p w:rsidR="00024C0A" w:rsidRDefault="00694C0F">
      <w:pPr>
        <w:pStyle w:val="Definition-Field"/>
      </w:pPr>
      <w:r>
        <w:t xml:space="preserve">d.   </w:t>
      </w:r>
      <w:r>
        <w:rPr>
          <w:i/>
        </w:rPr>
        <w:t>The standard specifies that the field attribute indicates an index of the pivotField with which this calculated item is associated.</w:t>
      </w:r>
    </w:p>
    <w:p w:rsidR="00024C0A" w:rsidRDefault="00694C0F">
      <w:pPr>
        <w:pStyle w:val="Definition-Field2"/>
      </w:pPr>
      <w:r>
        <w:t>Office interprets the field attribute to specify an index of the cacheFiel</w:t>
      </w:r>
      <w:r>
        <w:t>d with which this calculated item is associated.</w:t>
      </w:r>
    </w:p>
    <w:p w:rsidR="00024C0A" w:rsidRDefault="00694C0F">
      <w:pPr>
        <w:pStyle w:val="Heading3"/>
      </w:pPr>
      <w:bookmarkStart w:id="1503" w:name="section_6e081fece42441c1be2e8f97ec01cf18"/>
      <w:bookmarkStart w:id="1504" w:name="_Toc12260812"/>
      <w:r>
        <w:t>Part 1 Section 18.10.1.10, calculatedMember (Calculated Member)</w:t>
      </w:r>
      <w:bookmarkEnd w:id="1503"/>
      <w:bookmarkEnd w:id="1504"/>
      <w:r>
        <w:fldChar w:fldCharType="begin"/>
      </w:r>
      <w:r>
        <w:instrText xml:space="preserve"> XE "calculatedMember (Calculated Member)" </w:instrText>
      </w:r>
      <w:r>
        <w:fldChar w:fldCharType="end"/>
      </w:r>
    </w:p>
    <w:p w:rsidR="00024C0A" w:rsidRDefault="00694C0F">
      <w:pPr>
        <w:pStyle w:val="Definition-Field"/>
      </w:pPr>
      <w:r>
        <w:t xml:space="preserve">a.   </w:t>
      </w:r>
      <w:r>
        <w:rPr>
          <w:i/>
        </w:rPr>
        <w:t>The standard discusses calculatedMember in the context of calculated OLAP hierarchies only.</w:t>
      </w:r>
    </w:p>
    <w:p w:rsidR="00024C0A" w:rsidRDefault="00694C0F">
      <w:pPr>
        <w:pStyle w:val="Definition-Field2"/>
      </w:pPr>
      <w:r>
        <w:t>In Office, the calculatedMember element can also be used to represent a named set.</w:t>
      </w:r>
    </w:p>
    <w:p w:rsidR="00024C0A" w:rsidRDefault="00694C0F">
      <w:pPr>
        <w:pStyle w:val="Definition-Field"/>
      </w:pPr>
      <w:r>
        <w:t xml:space="preserve">b.   </w:t>
      </w:r>
      <w:r>
        <w:rPr>
          <w:i/>
        </w:rPr>
        <w:t>The standard does not have a length restriction for the name attribute.</w:t>
      </w:r>
    </w:p>
    <w:p w:rsidR="00024C0A" w:rsidRDefault="00694C0F">
      <w:pPr>
        <w:pStyle w:val="Definition-Field2"/>
      </w:pPr>
      <w:r>
        <w:t>Office limits the name attribute to being non-empty and less than 64000 characters.</w:t>
      </w:r>
    </w:p>
    <w:p w:rsidR="00024C0A" w:rsidRDefault="00694C0F">
      <w:pPr>
        <w:pStyle w:val="Definition-Field"/>
      </w:pPr>
      <w:r>
        <w:t xml:space="preserve">c.   </w:t>
      </w:r>
      <w:r>
        <w:rPr>
          <w:i/>
        </w:rPr>
        <w:t>The sta</w:t>
      </w:r>
      <w:r>
        <w:rPr>
          <w:i/>
        </w:rPr>
        <w:t>ndard does not specify a length restriction for the mdx attribute.</w:t>
      </w:r>
    </w:p>
    <w:p w:rsidR="00024C0A" w:rsidRDefault="00694C0F">
      <w:pPr>
        <w:pStyle w:val="Definition-Field2"/>
      </w:pPr>
      <w:r>
        <w:t xml:space="preserve">Office limits the mdx attribute to being non-empty; if the createdVersion attribute of the pivotCacheDefinition is less than 3, the mdx attribute max length is less than 2049, otherwise it </w:t>
      </w:r>
      <w:r>
        <w:t>is 32767.</w:t>
      </w:r>
    </w:p>
    <w:p w:rsidR="00024C0A" w:rsidRDefault="00694C0F">
      <w:pPr>
        <w:pStyle w:val="Definition-Field"/>
      </w:pPr>
      <w:r>
        <w:t xml:space="preserve">d.   </w:t>
      </w:r>
      <w:r>
        <w:rPr>
          <w:i/>
        </w:rPr>
        <w:t>The standard states that calculated items cannot be added.</w:t>
      </w:r>
    </w:p>
    <w:p w:rsidR="00024C0A" w:rsidRDefault="00694C0F">
      <w:pPr>
        <w:pStyle w:val="Definition-Field2"/>
      </w:pPr>
      <w:r>
        <w:t>Office does allow the addition of calculated items.</w:t>
      </w:r>
    </w:p>
    <w:p w:rsidR="00024C0A" w:rsidRDefault="00694C0F">
      <w:pPr>
        <w:pStyle w:val="Definition-Field"/>
      </w:pPr>
      <w:r>
        <w:t xml:space="preserve">e.   </w:t>
      </w:r>
      <w:r>
        <w:rPr>
          <w:i/>
        </w:rPr>
        <w:t>The standard does not limit the length of the value of the memberName attribute.</w:t>
      </w:r>
    </w:p>
    <w:p w:rsidR="00024C0A" w:rsidRDefault="00694C0F">
      <w:pPr>
        <w:pStyle w:val="Definition-Field2"/>
      </w:pPr>
      <w:r>
        <w:t xml:space="preserve">Excel restricts the value of this attribute </w:t>
      </w:r>
      <w:r>
        <w:t>to be at least 1 and at most 65535 characters.</w:t>
      </w:r>
    </w:p>
    <w:p w:rsidR="00024C0A" w:rsidRDefault="00694C0F">
      <w:pPr>
        <w:pStyle w:val="Definition-Field"/>
      </w:pPr>
      <w:r>
        <w:t xml:space="preserve">f.   </w:t>
      </w:r>
      <w:r>
        <w:rPr>
          <w:i/>
        </w:rPr>
        <w:t>The standard does not limit the length of the value of the hierarchy attribute.</w:t>
      </w:r>
    </w:p>
    <w:p w:rsidR="00024C0A" w:rsidRDefault="00694C0F">
      <w:pPr>
        <w:pStyle w:val="Definition-Field2"/>
      </w:pPr>
      <w:r>
        <w:t>Excel restricts the value of this attribute to be at least 1 and at most 65535 characters.</w:t>
      </w:r>
    </w:p>
    <w:p w:rsidR="00024C0A" w:rsidRDefault="00694C0F">
      <w:pPr>
        <w:pStyle w:val="Definition-Field"/>
      </w:pPr>
      <w:r>
        <w:t xml:space="preserve">g.   </w:t>
      </w:r>
      <w:r>
        <w:rPr>
          <w:i/>
        </w:rPr>
        <w:t xml:space="preserve">The standard does not limit </w:t>
      </w:r>
      <w:r>
        <w:rPr>
          <w:i/>
        </w:rPr>
        <w:t>the length of the value of the parent attribute.</w:t>
      </w:r>
    </w:p>
    <w:p w:rsidR="00024C0A" w:rsidRDefault="00694C0F">
      <w:pPr>
        <w:pStyle w:val="Definition-Field2"/>
      </w:pPr>
      <w:r>
        <w:t>Excel restricts the value of this attribute to be at least 1 and at most 65535 characters.</w:t>
      </w:r>
    </w:p>
    <w:p w:rsidR="00024C0A" w:rsidRDefault="00694C0F">
      <w:pPr>
        <w:pStyle w:val="Definition-Field"/>
      </w:pPr>
      <w:r>
        <w:t xml:space="preserve">h.   </w:t>
      </w:r>
      <w:r>
        <w:rPr>
          <w:i/>
        </w:rPr>
        <w:t>The standard does not specify a dependency of the memberName attribute on the set attribute.</w:t>
      </w:r>
    </w:p>
    <w:p w:rsidR="00024C0A" w:rsidRDefault="00694C0F">
      <w:pPr>
        <w:pStyle w:val="Definition-Field2"/>
      </w:pPr>
      <w:r>
        <w:t>Office requires th</w:t>
      </w:r>
      <w:r>
        <w:t>at the memberName attribute shall be specified if the set attribute equals 0; it shall not be specified if the set attribute equals 1.</w:t>
      </w:r>
    </w:p>
    <w:p w:rsidR="00024C0A" w:rsidRDefault="00694C0F">
      <w:pPr>
        <w:pStyle w:val="Definition-Field"/>
      </w:pPr>
      <w:r>
        <w:t xml:space="preserve">i.   </w:t>
      </w:r>
      <w:r>
        <w:rPr>
          <w:i/>
        </w:rPr>
        <w:t>The standard does not specify a dependency of the hierarchy attribute on the set attribute.</w:t>
      </w:r>
    </w:p>
    <w:p w:rsidR="00024C0A" w:rsidRDefault="00694C0F">
      <w:pPr>
        <w:pStyle w:val="Definition-Field2"/>
      </w:pPr>
      <w:r>
        <w:t>Office requires that the</w:t>
      </w:r>
      <w:r>
        <w:t xml:space="preserve"> hierarchy attribute shall be specified if the set attribute equals 0; it shall not be specified if the set attribute equals 1.</w:t>
      </w:r>
    </w:p>
    <w:p w:rsidR="00024C0A" w:rsidRDefault="00694C0F">
      <w:pPr>
        <w:pStyle w:val="Definition-Field"/>
      </w:pPr>
      <w:r>
        <w:t xml:space="preserve">j.   </w:t>
      </w:r>
      <w:r>
        <w:rPr>
          <w:i/>
        </w:rPr>
        <w:t>The standard does not specify a dependency between the parent attribute and the set attribute.</w:t>
      </w:r>
    </w:p>
    <w:p w:rsidR="00024C0A" w:rsidRDefault="00694C0F">
      <w:pPr>
        <w:pStyle w:val="Definition-Field2"/>
      </w:pPr>
      <w:r>
        <w:t>Office requires that the par</w:t>
      </w:r>
      <w:r>
        <w:t>ent attribute shall not be specified if the set attribute equals 1.</w:t>
      </w:r>
    </w:p>
    <w:p w:rsidR="00024C0A" w:rsidRDefault="00694C0F">
      <w:pPr>
        <w:pStyle w:val="Heading3"/>
      </w:pPr>
      <w:bookmarkStart w:id="1505" w:name="section_9e183000e99d4de69b77a628dda03422"/>
      <w:bookmarkStart w:id="1506" w:name="_Toc12260813"/>
      <w:r>
        <w:t>Part 1 Section 18.10.1.12, chartFormat (PivotChart Format)</w:t>
      </w:r>
      <w:bookmarkEnd w:id="1505"/>
      <w:bookmarkEnd w:id="1506"/>
      <w:r>
        <w:fldChar w:fldCharType="begin"/>
      </w:r>
      <w:r>
        <w:instrText xml:space="preserve"> XE "chartFormat (PivotChart Format)" </w:instrText>
      </w:r>
      <w:r>
        <w:fldChar w:fldCharType="end"/>
      </w:r>
    </w:p>
    <w:p w:rsidR="00024C0A" w:rsidRDefault="00694C0F">
      <w:pPr>
        <w:pStyle w:val="Definition-Field"/>
      </w:pPr>
      <w:r>
        <w:t xml:space="preserve">a.   </w:t>
      </w:r>
      <w:r>
        <w:rPr>
          <w:i/>
        </w:rPr>
        <w:t>The standard states that the format attribute specifies an index to a dxf element in</w:t>
      </w:r>
      <w:r>
        <w:rPr>
          <w:i/>
        </w:rPr>
        <w:t xml:space="preserve"> the Styles part.</w:t>
      </w:r>
    </w:p>
    <w:p w:rsidR="00024C0A" w:rsidRDefault="00694C0F">
      <w:pPr>
        <w:pStyle w:val="Definition-Field2"/>
      </w:pPr>
      <w:r>
        <w:t>Office uses the format attribute to specify an index to a pivotFmt element in the Chart part.</w:t>
      </w:r>
    </w:p>
    <w:p w:rsidR="00024C0A" w:rsidRDefault="00694C0F">
      <w:pPr>
        <w:pStyle w:val="Heading3"/>
      </w:pPr>
      <w:bookmarkStart w:id="1507" w:name="section_751c37c0b03a4a0ab471094850b9faab"/>
      <w:bookmarkStart w:id="1508" w:name="_Toc12260814"/>
      <w:r>
        <w:lastRenderedPageBreak/>
        <w:t>Part 1 Section 18.10.1.15, colHierarchiesUsage (Column OLAP Hierarchy References)</w:t>
      </w:r>
      <w:bookmarkEnd w:id="1507"/>
      <w:bookmarkEnd w:id="1508"/>
      <w:r>
        <w:fldChar w:fldCharType="begin"/>
      </w:r>
      <w:r>
        <w:instrText xml:space="preserve"> XE "colHierarchiesUsage (Column OLAP Hierarchy References)" </w:instrText>
      </w:r>
      <w:r>
        <w:fldChar w:fldCharType="end"/>
      </w:r>
    </w:p>
    <w:p w:rsidR="00024C0A" w:rsidRDefault="00694C0F">
      <w:pPr>
        <w:pStyle w:val="Definition-Field"/>
      </w:pPr>
      <w:r>
        <w:t xml:space="preserve">a.   </w:t>
      </w:r>
      <w:r>
        <w:rPr>
          <w:i/>
        </w:rPr>
        <w:t>The standard states that the maxOccurs value for the colHierarchyUsage child element is unbounded.</w:t>
      </w:r>
    </w:p>
    <w:p w:rsidR="00024C0A" w:rsidRDefault="00694C0F">
      <w:pPr>
        <w:pStyle w:val="Definition-Field2"/>
      </w:pPr>
      <w:r>
        <w:t>Excel limits the occurrences of this element to 16384.</w:t>
      </w:r>
    </w:p>
    <w:p w:rsidR="00024C0A" w:rsidRDefault="00694C0F">
      <w:pPr>
        <w:pStyle w:val="Heading3"/>
      </w:pPr>
      <w:bookmarkStart w:id="1509" w:name="section_af9607e8ee2e46b1b90f57aea205bec7"/>
      <w:bookmarkStart w:id="1510" w:name="_Toc12260815"/>
      <w:r>
        <w:t>Part 1 Section 18.10.1.16, colHierarchyUsage (Column OLAP Hierarchies)</w:t>
      </w:r>
      <w:bookmarkEnd w:id="1509"/>
      <w:bookmarkEnd w:id="1510"/>
      <w:r>
        <w:fldChar w:fldCharType="begin"/>
      </w:r>
      <w:r>
        <w:instrText xml:space="preserve"> XE "colHierarchyUsage (Co</w:instrText>
      </w:r>
      <w:r>
        <w:instrText xml:space="preserve">lumn OLAP Hierarchies)"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506e2fc983ba464099f6ef157679b97d">
        <w:r>
          <w:rPr>
            <w:rStyle w:val="Hyperlink"/>
          </w:rPr>
          <w:t>rowHierarchyUsage, §18.10.1.83(a, b)</w:t>
        </w:r>
      </w:hyperlink>
      <w:r>
        <w:rPr>
          <w:i/>
        </w:rPr>
        <w:t>.</w:t>
      </w:r>
    </w:p>
    <w:p w:rsidR="00024C0A" w:rsidRDefault="00694C0F">
      <w:pPr>
        <w:pStyle w:val="Heading3"/>
      </w:pPr>
      <w:bookmarkStart w:id="1511" w:name="section_857d7ed2fdba4c2a9f3c33a6229a342d"/>
      <w:bookmarkStart w:id="1512" w:name="_Toc12260816"/>
      <w:r>
        <w:t>Part 1 Section 18.10.1.17, colItems (C</w:t>
      </w:r>
      <w:r>
        <w:t>olumn Items)</w:t>
      </w:r>
      <w:bookmarkEnd w:id="1511"/>
      <w:bookmarkEnd w:id="1512"/>
      <w:r>
        <w:fldChar w:fldCharType="begin"/>
      </w:r>
      <w:r>
        <w:instrText xml:space="preserve"> XE "colItems (Column Items)" </w:instrText>
      </w:r>
      <w:r>
        <w:fldChar w:fldCharType="end"/>
      </w:r>
    </w:p>
    <w:p w:rsidR="00024C0A" w:rsidRDefault="00694C0F">
      <w:pPr>
        <w:pStyle w:val="Definition-Field"/>
      </w:pPr>
      <w:r>
        <w:t xml:space="preserve">a.   </w:t>
      </w:r>
      <w:r>
        <w:rPr>
          <w:i/>
        </w:rPr>
        <w:t>The standard states that the maxOccurs value for the i child element is unbounded.</w:t>
      </w:r>
    </w:p>
    <w:p w:rsidR="00024C0A" w:rsidRDefault="00694C0F">
      <w:pPr>
        <w:pStyle w:val="Definition-Field2"/>
      </w:pPr>
      <w:r>
        <w:t>Excel limits the occurrences of this element to 1048576.</w:t>
      </w:r>
    </w:p>
    <w:p w:rsidR="00024C0A" w:rsidRDefault="00694C0F">
      <w:pPr>
        <w:pStyle w:val="Heading3"/>
      </w:pPr>
      <w:bookmarkStart w:id="1513" w:name="section_70202dcd0bd140e1ab4ef468dd42dc0e"/>
      <w:bookmarkStart w:id="1514" w:name="_Toc12260817"/>
      <w:r>
        <w:t>Part 1 Section 18.10.1.18, conditionalFormat (Conditional Formatti</w:t>
      </w:r>
      <w:r>
        <w:t>ng)</w:t>
      </w:r>
      <w:bookmarkEnd w:id="1513"/>
      <w:bookmarkEnd w:id="1514"/>
      <w:r>
        <w:fldChar w:fldCharType="begin"/>
      </w:r>
      <w:r>
        <w:instrText xml:space="preserve"> XE "conditionalFormat (Conditional Formatting)" </w:instrText>
      </w:r>
      <w:r>
        <w:fldChar w:fldCharType="end"/>
      </w:r>
    </w:p>
    <w:p w:rsidR="00024C0A" w:rsidRDefault="00694C0F">
      <w:pPr>
        <w:pStyle w:val="Definition-Field"/>
      </w:pPr>
      <w:r>
        <w:t xml:space="preserve">a.   </w:t>
      </w:r>
      <w:r>
        <w:rPr>
          <w:i/>
        </w:rPr>
        <w:t>The standard does not state the relationship of the priority attribute to the worksheet cfRule element.</w:t>
      </w:r>
    </w:p>
    <w:p w:rsidR="00024C0A" w:rsidRDefault="00694C0F">
      <w:pPr>
        <w:pStyle w:val="Definition-Field2"/>
      </w:pPr>
      <w:r>
        <w:t xml:space="preserve">In Office, there shall be a conditionalFormatting element, in the worksheet part associated </w:t>
      </w:r>
      <w:r>
        <w:t>with this PivotTable, with the pivot attribute equal to true and a cfRule element with the priority attribute equal to this priority value.</w:t>
      </w:r>
    </w:p>
    <w:p w:rsidR="00024C0A" w:rsidRDefault="00694C0F">
      <w:pPr>
        <w:pStyle w:val="Definition-Field"/>
      </w:pPr>
      <w:r>
        <w:t xml:space="preserve">b.   </w:t>
      </w:r>
      <w:r>
        <w:rPr>
          <w:i/>
        </w:rPr>
        <w:t>The standard does not place any restriction on the relationship between the values of the scope attribute and t</w:t>
      </w:r>
      <w:r>
        <w:rPr>
          <w:i/>
        </w:rPr>
        <w:t>he type attribute.</w:t>
      </w:r>
    </w:p>
    <w:p w:rsidR="00024C0A" w:rsidRDefault="00694C0F">
      <w:pPr>
        <w:pStyle w:val="Definition-Field2"/>
      </w:pPr>
      <w:r>
        <w:t>In Office, when the scope attribute equals data or selection, only the values all or none are allowed for the type attribute.</w:t>
      </w:r>
    </w:p>
    <w:p w:rsidR="00024C0A" w:rsidRDefault="00694C0F">
      <w:pPr>
        <w:pStyle w:val="Heading3"/>
      </w:pPr>
      <w:bookmarkStart w:id="1515" w:name="section_11e2ac2dcf0a4db3b3f69bfae45fbce6"/>
      <w:bookmarkStart w:id="1516" w:name="_Toc12260818"/>
      <w:r>
        <w:t>Part 1 Section 18.10.1.21, d (Date Time)</w:t>
      </w:r>
      <w:bookmarkEnd w:id="1515"/>
      <w:bookmarkEnd w:id="1516"/>
      <w:r>
        <w:fldChar w:fldCharType="begin"/>
      </w:r>
      <w:r>
        <w:instrText xml:space="preserve"> XE "d (Date Time)" </w:instrText>
      </w:r>
      <w:r>
        <w:fldChar w:fldCharType="end"/>
      </w:r>
    </w:p>
    <w:p w:rsidR="00024C0A" w:rsidRDefault="00694C0F">
      <w:pPr>
        <w:pStyle w:val="Definition-Field"/>
      </w:pPr>
      <w:r>
        <w:t xml:space="preserve">a.   </w:t>
      </w:r>
      <w:r>
        <w:rPr>
          <w:i/>
        </w:rPr>
        <w:t xml:space="preserve">The standard does not specify a default </w:t>
      </w:r>
      <w:r>
        <w:rPr>
          <w:i/>
        </w:rPr>
        <w:t>value for the u attribute.</w:t>
      </w:r>
    </w:p>
    <w:p w:rsidR="00024C0A" w:rsidRDefault="00694C0F">
      <w:pPr>
        <w:pStyle w:val="Definition-Field2"/>
      </w:pPr>
      <w:r>
        <w:t>Excel uses a default value of false for this attribute.</w:t>
      </w:r>
    </w:p>
    <w:p w:rsidR="00024C0A" w:rsidRDefault="00694C0F">
      <w:pPr>
        <w:pStyle w:val="Definition-Field"/>
      </w:pPr>
      <w:r>
        <w:t xml:space="preserve">b.   </w:t>
      </w:r>
      <w:r>
        <w:rPr>
          <w:i/>
        </w:rPr>
        <w:t>The standard does not specify a default value for the f attribute.</w:t>
      </w:r>
    </w:p>
    <w:p w:rsidR="00024C0A" w:rsidRDefault="00694C0F">
      <w:pPr>
        <w:pStyle w:val="Definition-Field2"/>
      </w:pPr>
      <w:r>
        <w:t>Excel uses a default value of false for this attribute.</w:t>
      </w:r>
    </w:p>
    <w:p w:rsidR="00024C0A" w:rsidRDefault="00694C0F">
      <w:pPr>
        <w:pStyle w:val="Definition-Field"/>
      </w:pPr>
      <w:r>
        <w:t xml:space="preserve">c.   </w:t>
      </w:r>
      <w:r>
        <w:rPr>
          <w:i/>
        </w:rPr>
        <w:t xml:space="preserve">The standard does not limit the length </w:t>
      </w:r>
      <w:r>
        <w:rPr>
          <w:i/>
        </w:rPr>
        <w:t>of the value of the c attribute.</w:t>
      </w:r>
    </w:p>
    <w:p w:rsidR="00024C0A" w:rsidRDefault="00694C0F">
      <w:pPr>
        <w:pStyle w:val="Definition-Field2"/>
      </w:pPr>
      <w:r>
        <w:t>Excel restricts the value of this attribute to be at most 65535 characters.</w:t>
      </w:r>
    </w:p>
    <w:p w:rsidR="00024C0A" w:rsidRDefault="00694C0F">
      <w:pPr>
        <w:pStyle w:val="Definition-Field"/>
      </w:pPr>
      <w:r>
        <w:t xml:space="preserve">d.   </w:t>
      </w:r>
      <w:r>
        <w:rPr>
          <w:i/>
        </w:rPr>
        <w:t>The standard does not define @c's relation with the datasource type.</w:t>
      </w:r>
    </w:p>
    <w:p w:rsidR="00024C0A" w:rsidRDefault="00694C0F">
      <w:pPr>
        <w:pStyle w:val="Definition-Field2"/>
      </w:pPr>
      <w:r>
        <w:t>In Office, @c applies only to OLAP-based PivotTables and only when pivotC</w:t>
      </w:r>
      <w:r>
        <w:t>acheDefinition@createdVersion is 3 or greater.</w:t>
      </w:r>
    </w:p>
    <w:p w:rsidR="00024C0A" w:rsidRDefault="00694C0F">
      <w:pPr>
        <w:pStyle w:val="Definition-Field"/>
      </w:pPr>
      <w:r>
        <w:t xml:space="preserve">e.   </w:t>
      </w:r>
      <w:r>
        <w:rPr>
          <w:i/>
        </w:rPr>
        <w:t>The standard does not define the relationship between the cp attribute and the datasource type.</w:t>
      </w:r>
    </w:p>
    <w:p w:rsidR="00024C0A" w:rsidRDefault="00694C0F">
      <w:pPr>
        <w:pStyle w:val="Definition-Field2"/>
      </w:pPr>
      <w:r>
        <w:t>In Office, the cp attribute applies to OLAP-based PivotTables only.</w:t>
      </w:r>
    </w:p>
    <w:p w:rsidR="00024C0A" w:rsidRDefault="00694C0F">
      <w:pPr>
        <w:pStyle w:val="Definition-Field"/>
      </w:pPr>
      <w:r>
        <w:t xml:space="preserve">f.   </w:t>
      </w:r>
      <w:r>
        <w:rPr>
          <w:i/>
        </w:rPr>
        <w:t>The standard does not define the re</w:t>
      </w:r>
      <w:r>
        <w:rPr>
          <w:i/>
        </w:rPr>
        <w:t>lation between the cp attribute and the sharedItems parent.</w:t>
      </w:r>
    </w:p>
    <w:p w:rsidR="00024C0A" w:rsidRDefault="00694C0F">
      <w:pPr>
        <w:pStyle w:val="Definition-Field2"/>
      </w:pPr>
      <w:r>
        <w:lastRenderedPageBreak/>
        <w:t>In Office, the cp attribute applies when the parent is sharedItems.</w:t>
      </w:r>
    </w:p>
    <w:p w:rsidR="00024C0A" w:rsidRDefault="00694C0F">
      <w:pPr>
        <w:pStyle w:val="Definition-Field"/>
      </w:pPr>
      <w:r>
        <w:t xml:space="preserve">g.   </w:t>
      </w:r>
      <w:r>
        <w:rPr>
          <w:i/>
        </w:rPr>
        <w:t>The standard does not define the relation between @f and the sharedItems parent.</w:t>
      </w:r>
    </w:p>
    <w:p w:rsidR="00024C0A" w:rsidRDefault="00694C0F">
      <w:pPr>
        <w:pStyle w:val="Definition-Field2"/>
      </w:pPr>
      <w:r>
        <w:t>In Office, @f applies when the parent is s</w:t>
      </w:r>
      <w:r>
        <w:t>haredItems.</w:t>
      </w:r>
    </w:p>
    <w:p w:rsidR="00024C0A" w:rsidRDefault="00694C0F">
      <w:pPr>
        <w:pStyle w:val="Definition-Field"/>
      </w:pPr>
      <w:r>
        <w:t xml:space="preserve">h.   </w:t>
      </w:r>
      <w:r>
        <w:rPr>
          <w:i/>
        </w:rPr>
        <w:t>The standard does not define restrictions on the value of @cp.</w:t>
      </w:r>
    </w:p>
    <w:p w:rsidR="00024C0A" w:rsidRDefault="00694C0F">
      <w:pPr>
        <w:pStyle w:val="Definition-Field2"/>
      </w:pPr>
      <w:r>
        <w:t>In Excel, @cp shall be equal to the count of child x elements and be less than or equal to the @mappingCount of the corresponding cacheField element.</w:t>
      </w:r>
    </w:p>
    <w:p w:rsidR="00024C0A" w:rsidRDefault="00694C0F">
      <w:pPr>
        <w:pStyle w:val="Definition-Field"/>
      </w:pPr>
      <w:r>
        <w:t xml:space="preserve">i.   </w:t>
      </w:r>
      <w:r>
        <w:rPr>
          <w:i/>
        </w:rPr>
        <w:t>The standard does not</w:t>
      </w:r>
      <w:r>
        <w:rPr>
          <w:i/>
        </w:rPr>
        <w:t xml:space="preserve"> define the relation between @u and the sharedItems parent.</w:t>
      </w:r>
    </w:p>
    <w:p w:rsidR="00024C0A" w:rsidRDefault="00694C0F">
      <w:pPr>
        <w:pStyle w:val="Definition-Field2"/>
      </w:pPr>
      <w:r>
        <w:t>In Excel, @u applies when the parent is sharedItems.</w:t>
      </w:r>
    </w:p>
    <w:p w:rsidR="00024C0A" w:rsidRDefault="00694C0F">
      <w:pPr>
        <w:pStyle w:val="Heading3"/>
      </w:pPr>
      <w:bookmarkStart w:id="1517" w:name="section_0736556bddde42e4ba5940410c5735c2"/>
      <w:bookmarkStart w:id="1518" w:name="_Toc12260819"/>
      <w:r>
        <w:t>Part 1 Section 18.10.1.22, dataField (Data Field Item)</w:t>
      </w:r>
      <w:bookmarkEnd w:id="1517"/>
      <w:bookmarkEnd w:id="1518"/>
      <w:r>
        <w:fldChar w:fldCharType="begin"/>
      </w:r>
      <w:r>
        <w:instrText xml:space="preserve"> XE "dataField (Data Field Item)" </w:instrText>
      </w:r>
      <w:r>
        <w:fldChar w:fldCharType="end"/>
      </w:r>
    </w:p>
    <w:p w:rsidR="00024C0A" w:rsidRDefault="00694C0F">
      <w:pPr>
        <w:pStyle w:val="Definition-Field"/>
      </w:pPr>
      <w:r>
        <w:t xml:space="preserve">a.   </w:t>
      </w:r>
      <w:r>
        <w:rPr>
          <w:i/>
        </w:rPr>
        <w:t>The standard does not specify length restrictio</w:t>
      </w:r>
      <w:r>
        <w:rPr>
          <w:i/>
        </w:rPr>
        <w:t>ns for the name attribute.</w:t>
      </w:r>
    </w:p>
    <w:p w:rsidR="00024C0A" w:rsidRDefault="00694C0F">
      <w:pPr>
        <w:pStyle w:val="Definition-Field2"/>
      </w:pPr>
      <w:r>
        <w:t>Office specifies the maximum length of the name attribute shall be 32767, unless pivotTableDefinition@createdVersion is less than 3 in which case the maximum shall be 255.</w:t>
      </w:r>
    </w:p>
    <w:p w:rsidR="00024C0A" w:rsidRDefault="00694C0F">
      <w:pPr>
        <w:pStyle w:val="Definition-Field"/>
      </w:pPr>
      <w:r>
        <w:t xml:space="preserve">b.   </w:t>
      </w:r>
      <w:r>
        <w:rPr>
          <w:i/>
        </w:rPr>
        <w:t xml:space="preserve">The standard states the fld attribute specifies the </w:t>
      </w:r>
      <w:r>
        <w:rPr>
          <w:i/>
        </w:rPr>
        <w:t>index to the field in the pivotCacheRecords part that this data item summarizes.</w:t>
      </w:r>
    </w:p>
    <w:p w:rsidR="00024C0A" w:rsidRDefault="00694C0F">
      <w:pPr>
        <w:pStyle w:val="Definition-Field2"/>
      </w:pPr>
      <w:r>
        <w:t>In Office, the fld attribute specifies a valid index into the pivotField elements of the pivotFields.</w:t>
      </w:r>
    </w:p>
    <w:p w:rsidR="00024C0A" w:rsidRDefault="00694C0F">
      <w:pPr>
        <w:pStyle w:val="Definition-Field"/>
      </w:pPr>
      <w:r>
        <w:t xml:space="preserve">c.   </w:t>
      </w:r>
      <w:r>
        <w:rPr>
          <w:i/>
        </w:rPr>
        <w:t>The standard for @showDataAs has a note about cell formatting.</w:t>
      </w:r>
    </w:p>
    <w:p w:rsidR="00024C0A" w:rsidRDefault="00694C0F">
      <w:pPr>
        <w:pStyle w:val="Definition-Field2"/>
      </w:pPr>
      <w:r>
        <w:t>Offic</w:t>
      </w:r>
      <w:r>
        <w:t>e for @showDataAs uses the ST_ShowDataAs definition to determine how the dataField should be used rather than the note direction.</w:t>
      </w:r>
    </w:p>
    <w:p w:rsidR="00024C0A" w:rsidRDefault="00694C0F">
      <w:pPr>
        <w:pStyle w:val="Definition-Field"/>
      </w:pPr>
      <w:r>
        <w:t xml:space="preserve">d.   </w:t>
      </w:r>
      <w:r>
        <w:rPr>
          <w:i/>
        </w:rPr>
        <w:t>The standard does not define a default behavior for the numFmtId attribute.</w:t>
      </w:r>
    </w:p>
    <w:p w:rsidR="00024C0A" w:rsidRDefault="00694C0F">
      <w:pPr>
        <w:pStyle w:val="Definition-Field2"/>
      </w:pPr>
      <w:r>
        <w:t>Office assumes the application uses a default</w:t>
      </w:r>
      <w:r>
        <w:t xml:space="preserve"> format if the numFmtId attribute is not present.</w:t>
      </w:r>
    </w:p>
    <w:p w:rsidR="00024C0A" w:rsidRDefault="00694C0F">
      <w:pPr>
        <w:pStyle w:val="Definition-Field"/>
      </w:pPr>
      <w:r>
        <w:t xml:space="preserve">e.   </w:t>
      </w:r>
      <w:r>
        <w:rPr>
          <w:i/>
        </w:rPr>
        <w:t>The standard does not specify restrictions for the baseField attribute.</w:t>
      </w:r>
    </w:p>
    <w:p w:rsidR="00024C0A" w:rsidRDefault="00694C0F">
      <w:pPr>
        <w:pStyle w:val="Definition-Field2"/>
      </w:pPr>
      <w:r>
        <w:t xml:space="preserve">In Office, if the showDataAs attribute is difference, percent, percentDiff or runTotal, then the baseField attribute value shall </w:t>
      </w:r>
      <w:r>
        <w:t>be greater or equal to zero and less than the number of pivotField elements in the pivotFields collection.</w:t>
      </w:r>
    </w:p>
    <w:p w:rsidR="00024C0A" w:rsidRDefault="00694C0F">
      <w:pPr>
        <w:pStyle w:val="Definition-Field"/>
      </w:pPr>
      <w:r>
        <w:t xml:space="preserve">f.   </w:t>
      </w:r>
      <w:r>
        <w:rPr>
          <w:i/>
        </w:rPr>
        <w:t>The standard does not restrict the value of the baseItem attribute.</w:t>
      </w:r>
    </w:p>
    <w:p w:rsidR="00024C0A" w:rsidRDefault="00694C0F">
      <w:r>
        <w:t xml:space="preserve">In Office, if the showDataAs attribute equals difference, percent, or </w:t>
      </w:r>
      <w:r>
        <w:t>percentDiff, then the baseItem attribute shall be 1048828 (the previous item) or 1048829 (the next item). Otherwise, it is less than the number of item elements in the items collection of the field pointed to by the baseField attribute.</w:t>
      </w:r>
    </w:p>
    <w:p w:rsidR="00024C0A" w:rsidRDefault="00694C0F">
      <w:pPr>
        <w:pStyle w:val="Heading3"/>
      </w:pPr>
      <w:bookmarkStart w:id="1519" w:name="section_f0f7a394d036412ca0811bb4aadc00ce"/>
      <w:bookmarkStart w:id="1520" w:name="_Toc12260820"/>
      <w:r>
        <w:t>Part 1 Section 18.1</w:t>
      </w:r>
      <w:r>
        <w:t>0.1.24, dimension (OLAP Dimension)</w:t>
      </w:r>
      <w:bookmarkEnd w:id="1519"/>
      <w:bookmarkEnd w:id="1520"/>
      <w:r>
        <w:fldChar w:fldCharType="begin"/>
      </w:r>
      <w:r>
        <w:instrText xml:space="preserve"> XE "dimension (OLAP Dimension)" </w:instrText>
      </w:r>
      <w:r>
        <w:fldChar w:fldCharType="end"/>
      </w:r>
    </w:p>
    <w:p w:rsidR="00024C0A" w:rsidRDefault="00694C0F">
      <w:pPr>
        <w:pStyle w:val="Definition-Field"/>
      </w:pPr>
      <w:r>
        <w:t xml:space="preserve">a.   </w:t>
      </w:r>
      <w:r>
        <w:rPr>
          <w:i/>
        </w:rPr>
        <w:t>The standard does not limit the length of the value of the caption attribute.</w:t>
      </w:r>
    </w:p>
    <w:p w:rsidR="00024C0A" w:rsidRDefault="00694C0F">
      <w:pPr>
        <w:pStyle w:val="Definition-Field2"/>
      </w:pPr>
      <w:r>
        <w:t>Excel restricts the value of this attribute to be at least 1 and at most 65535 characters.</w:t>
      </w:r>
    </w:p>
    <w:p w:rsidR="00024C0A" w:rsidRDefault="00694C0F">
      <w:pPr>
        <w:pStyle w:val="Definition-Field"/>
      </w:pPr>
      <w:r>
        <w:t xml:space="preserve">b.   </w:t>
      </w:r>
      <w:r>
        <w:rPr>
          <w:i/>
        </w:rPr>
        <w:t>The sta</w:t>
      </w:r>
      <w:r>
        <w:rPr>
          <w:i/>
        </w:rPr>
        <w:t>ndard does not limit the length of the value of the name attribute.</w:t>
      </w:r>
    </w:p>
    <w:p w:rsidR="00024C0A" w:rsidRDefault="00694C0F">
      <w:pPr>
        <w:pStyle w:val="Definition-Field2"/>
      </w:pPr>
      <w:r>
        <w:t>Excel restricts the value of this attribute to be at least 1 and at most 65535 characters.</w:t>
      </w:r>
    </w:p>
    <w:p w:rsidR="00024C0A" w:rsidRDefault="00694C0F">
      <w:pPr>
        <w:pStyle w:val="Definition-Field"/>
      </w:pPr>
      <w:r>
        <w:t xml:space="preserve">c.   </w:t>
      </w:r>
      <w:r>
        <w:rPr>
          <w:i/>
        </w:rPr>
        <w:t>The standard does not limit the length of the value of the uniqueName attribute.</w:t>
      </w:r>
    </w:p>
    <w:p w:rsidR="00024C0A" w:rsidRDefault="00694C0F">
      <w:pPr>
        <w:pStyle w:val="Definition-Field2"/>
      </w:pPr>
      <w:r>
        <w:t xml:space="preserve">Excel </w:t>
      </w:r>
      <w:r>
        <w:t>restricts the value of this attribute to be at least 1 and at most 32767 characters.</w:t>
      </w:r>
    </w:p>
    <w:p w:rsidR="00024C0A" w:rsidRDefault="00694C0F">
      <w:pPr>
        <w:pStyle w:val="Heading3"/>
      </w:pPr>
      <w:bookmarkStart w:id="1521" w:name="section_9cd9d70220324faa8243174a28700755"/>
      <w:bookmarkStart w:id="1522" w:name="_Toc12260821"/>
      <w:r>
        <w:lastRenderedPageBreak/>
        <w:t>Part 1 Section 18.10.1.26, discretePr (Discrete Grouping Properties)</w:t>
      </w:r>
      <w:bookmarkEnd w:id="1521"/>
      <w:bookmarkEnd w:id="1522"/>
      <w:r>
        <w:fldChar w:fldCharType="begin"/>
      </w:r>
      <w:r>
        <w:instrText xml:space="preserve"> XE "discretePr (Discrete Grouping Properties)" </w:instrText>
      </w:r>
      <w:r>
        <w:fldChar w:fldCharType="end"/>
      </w:r>
    </w:p>
    <w:p w:rsidR="00024C0A" w:rsidRDefault="00694C0F">
      <w:pPr>
        <w:pStyle w:val="Definition-Field"/>
      </w:pPr>
      <w:r>
        <w:t xml:space="preserve">a.   </w:t>
      </w:r>
      <w:r>
        <w:rPr>
          <w:i/>
        </w:rPr>
        <w:t>The standard says discretePr represents the col</w:t>
      </w:r>
      <w:r>
        <w:rPr>
          <w:i/>
        </w:rPr>
        <w:t>lection of discrete grouping properties for a field group.</w:t>
      </w:r>
    </w:p>
    <w:p w:rsidR="00024C0A" w:rsidRDefault="00694C0F">
      <w:r>
        <w:t>In Office, each child element specifies a mapping from an element in the sharedItems collection ("</w:t>
      </w:r>
      <w:hyperlink r:id="rId129">
        <w:r>
          <w:rPr>
            <w:rStyle w:val="Hyperlink"/>
          </w:rPr>
          <w:t>[ISO/IEC-29500-1]</w:t>
        </w:r>
      </w:hyperlink>
      <w:r>
        <w:t xml:space="preserve"> §18.10.1.90; sh</w:t>
      </w:r>
      <w:r>
        <w:t>aredItems (Shared Items)") of the base field of this field group to an element in the groupItems collection ("[ISO/IEC-29500-1] §18.10.1.38; groupItems") of the field group, using a zero-based index into the groupItems collection. The number of child eleme</w:t>
      </w:r>
      <w:r>
        <w:t>nts shall match the number of elements in the sharedItems collection ("[ISO/IEC-29500-1] §18.10.1.90; sharedItems (Shared Items)") of the base field of this field group.</w:t>
      </w:r>
    </w:p>
    <w:p w:rsidR="00024C0A" w:rsidRDefault="00694C0F">
      <w:pPr>
        <w:pStyle w:val="Heading3"/>
      </w:pPr>
      <w:bookmarkStart w:id="1523" w:name="section_7fcc8aec5f1f443399032a30573dfc5d"/>
      <w:bookmarkStart w:id="1524" w:name="_Toc12260822"/>
      <w:r>
        <w:t>Part 1 Section 18.10.1.27, e (Error Value)</w:t>
      </w:r>
      <w:bookmarkEnd w:id="1523"/>
      <w:bookmarkEnd w:id="1524"/>
      <w:r>
        <w:fldChar w:fldCharType="begin"/>
      </w:r>
      <w:r>
        <w:instrText xml:space="preserve"> XE "e (Error Value)" </w:instrText>
      </w:r>
      <w:r>
        <w:fldChar w:fldCharType="end"/>
      </w:r>
    </w:p>
    <w:p w:rsidR="00024C0A" w:rsidRDefault="00694C0F">
      <w:pPr>
        <w:pStyle w:val="Definition-Field"/>
      </w:pPr>
      <w:r>
        <w:t xml:space="preserve">a.   </w:t>
      </w:r>
      <w:r>
        <w:rPr>
          <w:i/>
        </w:rPr>
        <w:t>The standard d</w:t>
      </w:r>
      <w:r>
        <w:rPr>
          <w:i/>
        </w:rPr>
        <w:t>oes not limit the length of the value of the c attribute.</w:t>
      </w:r>
    </w:p>
    <w:p w:rsidR="00024C0A" w:rsidRDefault="00694C0F">
      <w:pPr>
        <w:pStyle w:val="Definition-Field2"/>
      </w:pPr>
      <w:r>
        <w:t>Excel restricts the value of this attribute to be at most 65535 characters.</w:t>
      </w:r>
    </w:p>
    <w:p w:rsidR="00024C0A" w:rsidRDefault="00694C0F">
      <w:pPr>
        <w:pStyle w:val="Definition-Field"/>
      </w:pPr>
      <w:r>
        <w:t xml:space="preserve">b.   </w:t>
      </w:r>
      <w:r>
        <w:rPr>
          <w:i/>
        </w:rPr>
        <w:t>The standard does not define the relation between the c attribute and the datasource type.</w:t>
      </w:r>
    </w:p>
    <w:p w:rsidR="00024C0A" w:rsidRDefault="00694C0F">
      <w:pPr>
        <w:pStyle w:val="Definition-Field2"/>
      </w:pPr>
      <w:r>
        <w:t>In Office, the c attribute</w:t>
      </w:r>
      <w:r>
        <w:t xml:space="preserve"> applies only to OLAP-based PivotTables when the pivotCacheDefinition element attribute createdVersion is greater than or equal to 3.</w:t>
      </w:r>
    </w:p>
    <w:p w:rsidR="00024C0A" w:rsidRDefault="00694C0F">
      <w:pPr>
        <w:pStyle w:val="Definition-Field"/>
      </w:pPr>
      <w:r>
        <w:t xml:space="preserve">c.   </w:t>
      </w:r>
      <w:r>
        <w:rPr>
          <w:i/>
        </w:rPr>
        <w:t>The standard does not define the relation between the cp attribute and child elements.</w:t>
      </w:r>
    </w:p>
    <w:p w:rsidR="00024C0A" w:rsidRDefault="00694C0F">
      <w:pPr>
        <w:pStyle w:val="Definition-Field2"/>
      </w:pPr>
      <w:r>
        <w:t>In Office, the value of the cp</w:t>
      </w:r>
      <w:r>
        <w:t xml:space="preserve"> attribute shall be equal to the count of child elements and be less than or equal to the @mappingCount of the corresponding cacheField element.</w:t>
      </w:r>
    </w:p>
    <w:p w:rsidR="00024C0A" w:rsidRDefault="00694C0F">
      <w:pPr>
        <w:pStyle w:val="Definition-Field"/>
      </w:pPr>
      <w:r>
        <w:t xml:space="preserve">d.   </w:t>
      </w:r>
      <w:r>
        <w:rPr>
          <w:i/>
        </w:rPr>
        <w:t>The standard does not define the relation between the cp attribute and the datasource type.</w:t>
      </w:r>
    </w:p>
    <w:p w:rsidR="00024C0A" w:rsidRDefault="00694C0F">
      <w:pPr>
        <w:pStyle w:val="Definition-Field2"/>
      </w:pPr>
      <w:r>
        <w:t>In Office, the</w:t>
      </w:r>
      <w:r>
        <w:t xml:space="preserve"> cp attribute applies only to OLAP-based PivotTables.</w:t>
      </w:r>
    </w:p>
    <w:p w:rsidR="00024C0A" w:rsidRDefault="00694C0F">
      <w:pPr>
        <w:pStyle w:val="Definition-Field"/>
      </w:pPr>
      <w:r>
        <w:t xml:space="preserve">e.   </w:t>
      </w:r>
      <w:r>
        <w:rPr>
          <w:i/>
        </w:rPr>
        <w:t>The standard does not define relation between the cp attribute and sharedItems node.</w:t>
      </w:r>
    </w:p>
    <w:p w:rsidR="00024C0A" w:rsidRDefault="00694C0F">
      <w:pPr>
        <w:pStyle w:val="Definition-Field2"/>
      </w:pPr>
      <w:r>
        <w:t>In Office, the cp attribute applies only when the node parent is sharedItems.</w:t>
      </w:r>
    </w:p>
    <w:p w:rsidR="00024C0A" w:rsidRDefault="00694C0F">
      <w:pPr>
        <w:pStyle w:val="Definition-Field"/>
      </w:pPr>
      <w:r>
        <w:t xml:space="preserve">f.   </w:t>
      </w:r>
      <w:r>
        <w:rPr>
          <w:i/>
        </w:rPr>
        <w:t>The standard does not specify</w:t>
      </w:r>
      <w:r>
        <w:rPr>
          <w:i/>
        </w:rPr>
        <w:t xml:space="preserve"> a default value for the f attribute.</w:t>
      </w:r>
    </w:p>
    <w:p w:rsidR="00024C0A" w:rsidRDefault="00694C0F">
      <w:pPr>
        <w:pStyle w:val="Definition-Field2"/>
      </w:pPr>
      <w:r>
        <w:t>Excel uses a default value of false for this attribute.</w:t>
      </w:r>
    </w:p>
    <w:p w:rsidR="00024C0A" w:rsidRDefault="00694C0F">
      <w:pPr>
        <w:pStyle w:val="Definition-Field"/>
      </w:pPr>
      <w:r>
        <w:t xml:space="preserve">g.   </w:t>
      </w:r>
      <w:r>
        <w:rPr>
          <w:i/>
        </w:rPr>
        <w:t>The standard does not specify a default value for the u attribute.</w:t>
      </w:r>
    </w:p>
    <w:p w:rsidR="00024C0A" w:rsidRDefault="00694C0F">
      <w:pPr>
        <w:pStyle w:val="Definition-Field2"/>
      </w:pPr>
      <w:r>
        <w:t>Excel uses a default value of false for this attribute.</w:t>
      </w:r>
    </w:p>
    <w:p w:rsidR="00024C0A" w:rsidRDefault="00694C0F">
      <w:pPr>
        <w:pStyle w:val="Definition-Field"/>
      </w:pPr>
      <w:r>
        <w:t xml:space="preserve">h.   </w:t>
      </w:r>
      <w:r>
        <w:rPr>
          <w:i/>
        </w:rPr>
        <w:t>The standard does not normati</w:t>
      </w:r>
      <w:r>
        <w:rPr>
          <w:i/>
        </w:rPr>
        <w:t>vely define valid error values for the v attribute.</w:t>
      </w:r>
    </w:p>
    <w:p w:rsidR="00024C0A" w:rsidRDefault="00694C0F">
      <w:r>
        <w:t>Office implements the following error values:</w:t>
      </w:r>
    </w:p>
    <w:p w:rsidR="00024C0A" w:rsidRDefault="00694C0F">
      <w:pPr>
        <w:pStyle w:val="ListParagraph"/>
        <w:numPr>
          <w:ilvl w:val="0"/>
          <w:numId w:val="68"/>
        </w:numPr>
        <w:contextualSpacing/>
      </w:pPr>
      <w:r>
        <w:t>#DIV/0!</w:t>
      </w:r>
    </w:p>
    <w:p w:rsidR="00024C0A" w:rsidRDefault="00694C0F">
      <w:pPr>
        <w:pStyle w:val="ListParagraph"/>
        <w:numPr>
          <w:ilvl w:val="0"/>
          <w:numId w:val="68"/>
        </w:numPr>
        <w:contextualSpacing/>
      </w:pPr>
      <w:r>
        <w:t>#NAME?</w:t>
      </w:r>
    </w:p>
    <w:p w:rsidR="00024C0A" w:rsidRDefault="00694C0F">
      <w:pPr>
        <w:pStyle w:val="ListParagraph"/>
        <w:numPr>
          <w:ilvl w:val="0"/>
          <w:numId w:val="68"/>
        </w:numPr>
        <w:contextualSpacing/>
      </w:pPr>
      <w:r>
        <w:t>#VALUE!</w:t>
      </w:r>
    </w:p>
    <w:p w:rsidR="00024C0A" w:rsidRDefault="00694C0F">
      <w:pPr>
        <w:pStyle w:val="ListParagraph"/>
        <w:numPr>
          <w:ilvl w:val="0"/>
          <w:numId w:val="68"/>
        </w:numPr>
        <w:contextualSpacing/>
      </w:pPr>
      <w:r>
        <w:t>#NULL!</w:t>
      </w:r>
    </w:p>
    <w:p w:rsidR="00024C0A" w:rsidRDefault="00694C0F">
      <w:pPr>
        <w:pStyle w:val="ListParagraph"/>
        <w:numPr>
          <w:ilvl w:val="0"/>
          <w:numId w:val="68"/>
        </w:numPr>
        <w:contextualSpacing/>
      </w:pPr>
      <w:r>
        <w:t>#NUM!</w:t>
      </w:r>
    </w:p>
    <w:p w:rsidR="00024C0A" w:rsidRDefault="00694C0F">
      <w:pPr>
        <w:pStyle w:val="ListParagraph"/>
        <w:numPr>
          <w:ilvl w:val="0"/>
          <w:numId w:val="68"/>
        </w:numPr>
        <w:contextualSpacing/>
      </w:pPr>
      <w:r>
        <w:t>#REF!</w:t>
      </w:r>
    </w:p>
    <w:p w:rsidR="00024C0A" w:rsidRDefault="00694C0F">
      <w:pPr>
        <w:pStyle w:val="ListParagraph"/>
        <w:numPr>
          <w:ilvl w:val="0"/>
          <w:numId w:val="68"/>
        </w:numPr>
        <w:contextualSpacing/>
      </w:pPr>
      <w:r>
        <w:t>#N/A</w:t>
      </w:r>
    </w:p>
    <w:p w:rsidR="00024C0A" w:rsidRDefault="00694C0F">
      <w:pPr>
        <w:pStyle w:val="ListParagraph"/>
        <w:numPr>
          <w:ilvl w:val="0"/>
          <w:numId w:val="68"/>
        </w:numPr>
      </w:pPr>
      <w:r>
        <w:t>#GETTING_DATA</w:t>
      </w:r>
    </w:p>
    <w:p w:rsidR="00024C0A" w:rsidRDefault="00694C0F">
      <w:pPr>
        <w:pStyle w:val="Definition-Field"/>
      </w:pPr>
      <w:r>
        <w:t xml:space="preserve">i.   </w:t>
      </w:r>
      <w:r>
        <w:rPr>
          <w:i/>
        </w:rPr>
        <w:t>The standard does not define relation between the f attribute and sharedItems node.</w:t>
      </w:r>
    </w:p>
    <w:p w:rsidR="00024C0A" w:rsidRDefault="00694C0F">
      <w:pPr>
        <w:pStyle w:val="Definition-Field2"/>
      </w:pPr>
      <w:r>
        <w:t xml:space="preserve">In </w:t>
      </w:r>
      <w:r>
        <w:t>Office, the f attribute applies only when the node parent is sharedItems.</w:t>
      </w:r>
    </w:p>
    <w:p w:rsidR="00024C0A" w:rsidRDefault="00694C0F">
      <w:pPr>
        <w:pStyle w:val="Definition-Field"/>
      </w:pPr>
      <w:r>
        <w:lastRenderedPageBreak/>
        <w:t xml:space="preserve">j.   </w:t>
      </w:r>
      <w:r>
        <w:rPr>
          <w:i/>
        </w:rPr>
        <w:t>The standard does not define relation between the u attribute and sharedItems node.</w:t>
      </w:r>
    </w:p>
    <w:p w:rsidR="00024C0A" w:rsidRDefault="00694C0F">
      <w:pPr>
        <w:pStyle w:val="Definition-Field2"/>
      </w:pPr>
      <w:r>
        <w:t>In Office, the u attribute applies only when the node parent is sharedItems.</w:t>
      </w:r>
    </w:p>
    <w:p w:rsidR="00024C0A" w:rsidRDefault="00694C0F">
      <w:pPr>
        <w:pStyle w:val="Heading3"/>
      </w:pPr>
      <w:bookmarkStart w:id="1525" w:name="section_d7eb83632269495ca763121660facbbc"/>
      <w:bookmarkStart w:id="1526" w:name="_Toc12260823"/>
      <w:r>
        <w:t>Part 1 Section 1</w:t>
      </w:r>
      <w:r>
        <w:t>8.10.1.29, field (Field)</w:t>
      </w:r>
      <w:bookmarkEnd w:id="1525"/>
      <w:bookmarkEnd w:id="1526"/>
      <w:r>
        <w:fldChar w:fldCharType="begin"/>
      </w:r>
      <w:r>
        <w:instrText xml:space="preserve"> XE "field (Field)" </w:instrText>
      </w:r>
      <w:r>
        <w:fldChar w:fldCharType="end"/>
      </w:r>
    </w:p>
    <w:p w:rsidR="00024C0A" w:rsidRDefault="00694C0F">
      <w:pPr>
        <w:pStyle w:val="Definition-Field"/>
      </w:pPr>
      <w:r>
        <w:t xml:space="preserve">a.   </w:t>
      </w:r>
      <w:r>
        <w:rPr>
          <w:i/>
        </w:rPr>
        <w:t>In the standard for the element description it says there will be as many &lt;x&gt; elements as there are item values in any particular column or row.</w:t>
      </w:r>
    </w:p>
    <w:p w:rsidR="00024C0A" w:rsidRDefault="00694C0F">
      <w:pPr>
        <w:pStyle w:val="Definition-Field2"/>
      </w:pPr>
      <w:r>
        <w:t xml:space="preserve">Office says that there will be as many &lt;field&gt; elements as </w:t>
      </w:r>
      <w:r>
        <w:t>there are fields in the column or row axis.</w:t>
      </w:r>
    </w:p>
    <w:p w:rsidR="00024C0A" w:rsidRDefault="00694C0F">
      <w:pPr>
        <w:pStyle w:val="Definition-Field"/>
      </w:pPr>
      <w:r>
        <w:t xml:space="preserve">b.   </w:t>
      </w:r>
      <w:r>
        <w:rPr>
          <w:i/>
        </w:rPr>
        <w:t>The standard notes that elements may not be explicitly written and i elements, @r and @v used, which do not occur on this element or its parents.</w:t>
      </w:r>
    </w:p>
    <w:p w:rsidR="00024C0A" w:rsidRDefault="00694C0F">
      <w:pPr>
        <w:pStyle w:val="Definition-Field2"/>
      </w:pPr>
      <w:r>
        <w:t>Office assumes that field elements are always explicit and th</w:t>
      </w:r>
      <w:r>
        <w:t>e x attribute is required.</w:t>
      </w:r>
    </w:p>
    <w:p w:rsidR="00024C0A" w:rsidRDefault="00694C0F">
      <w:pPr>
        <w:pStyle w:val="Definition-Field"/>
      </w:pPr>
      <w:r>
        <w:t xml:space="preserve">c.   </w:t>
      </w:r>
      <w:r>
        <w:rPr>
          <w:i/>
        </w:rPr>
        <w:t>The standard specifies that the x attribute is the index to a pivotField item value and there will be as many x elements as there are item values in any particular column.</w:t>
      </w:r>
    </w:p>
    <w:p w:rsidR="00024C0A" w:rsidRDefault="00694C0F">
      <w:pPr>
        <w:pStyle w:val="Definition-Field2"/>
      </w:pPr>
      <w:r>
        <w:t xml:space="preserve">Office specifies that the x attribute is a valid </w:t>
      </w:r>
      <w:r>
        <w:t>zero-based index to a pivotField element in the pivotFields collection with value equal to -2 or greater than or equal to zero and less than the element count in the pivotFields collection.</w:t>
      </w:r>
    </w:p>
    <w:p w:rsidR="00024C0A" w:rsidRDefault="00694C0F">
      <w:pPr>
        <w:pStyle w:val="Definition-Field"/>
      </w:pPr>
      <w:r>
        <w:t xml:space="preserve">d.   </w:t>
      </w:r>
      <w:r>
        <w:rPr>
          <w:i/>
        </w:rPr>
        <w:t>The standard does not restrict the document from having dupli</w:t>
      </w:r>
      <w:r>
        <w:rPr>
          <w:i/>
        </w:rPr>
        <w:t>cate field indexes (@x).</w:t>
      </w:r>
    </w:p>
    <w:p w:rsidR="00024C0A" w:rsidRDefault="00694C0F">
      <w:pPr>
        <w:pStyle w:val="Definition-Field2"/>
      </w:pPr>
      <w:r>
        <w:t>Office requires that the value of @x cannot be duplicated within the parent element.</w:t>
      </w:r>
    </w:p>
    <w:p w:rsidR="00024C0A" w:rsidRDefault="00694C0F">
      <w:pPr>
        <w:pStyle w:val="Heading3"/>
      </w:pPr>
      <w:bookmarkStart w:id="1527" w:name="section_98b3cb48ba2d410889aab8ea451e0d93"/>
      <w:bookmarkStart w:id="1528" w:name="_Toc12260824"/>
      <w:r>
        <w:t>Part 1 Section 18.10.1.30, fieldGroup (Field Group Properties)</w:t>
      </w:r>
      <w:bookmarkEnd w:id="1527"/>
      <w:bookmarkEnd w:id="1528"/>
      <w:r>
        <w:fldChar w:fldCharType="begin"/>
      </w:r>
      <w:r>
        <w:instrText xml:space="preserve"> XE "fieldGroup (Field Group Properties)" </w:instrText>
      </w:r>
      <w:r>
        <w:fldChar w:fldCharType="end"/>
      </w:r>
    </w:p>
    <w:p w:rsidR="00024C0A" w:rsidRDefault="00694C0F">
      <w:pPr>
        <w:pStyle w:val="Definition-Field"/>
      </w:pPr>
      <w:r>
        <w:t xml:space="preserve">a.   </w:t>
      </w:r>
      <w:r>
        <w:rPr>
          <w:i/>
        </w:rPr>
        <w:t xml:space="preserve">The standard allows fieldGroup to </w:t>
      </w:r>
      <w:r>
        <w:rPr>
          <w:i/>
        </w:rPr>
        <w:t>include both rangePr and discretePr in a valid document.</w:t>
      </w:r>
    </w:p>
    <w:p w:rsidR="00024C0A" w:rsidRDefault="00694C0F">
      <w:pPr>
        <w:pStyle w:val="Definition-Field2"/>
      </w:pPr>
      <w:r>
        <w:t>Office does not allow fieldGroup to include rangePr and discretePr at the same time.</w:t>
      </w:r>
    </w:p>
    <w:p w:rsidR="00024C0A" w:rsidRDefault="00694C0F">
      <w:pPr>
        <w:pStyle w:val="Definition-Field"/>
      </w:pPr>
      <w:r>
        <w:t xml:space="preserve">b.   </w:t>
      </w:r>
      <w:r>
        <w:rPr>
          <w:i/>
        </w:rPr>
        <w:t>The standard does not require the groupItems collection to exist in any circumstances.</w:t>
      </w:r>
    </w:p>
    <w:p w:rsidR="00024C0A" w:rsidRDefault="00694C0F">
      <w:pPr>
        <w:pStyle w:val="Definition-Field2"/>
      </w:pPr>
      <w:r>
        <w:t>In Office, if fieldGro</w:t>
      </w:r>
      <w:r>
        <w:t>up contains rangePr or discretePr, the groupItems collection must exist and must not be empty.</w:t>
      </w:r>
    </w:p>
    <w:p w:rsidR="00024C0A" w:rsidRDefault="00694C0F">
      <w:pPr>
        <w:pStyle w:val="Definition-Field"/>
      </w:pPr>
      <w:r>
        <w:t xml:space="preserve">c.   </w:t>
      </w:r>
      <w:r>
        <w:rPr>
          <w:i/>
        </w:rPr>
        <w:t>The standard does not provide restrictions on the base attribute.</w:t>
      </w:r>
    </w:p>
    <w:p w:rsidR="00024C0A" w:rsidRDefault="00694C0F">
      <w:pPr>
        <w:pStyle w:val="Definition-Field2"/>
      </w:pPr>
      <w:r>
        <w:t>Office requires that value of the base attribute to be less than number of cacheFields and</w:t>
      </w:r>
      <w:r>
        <w:t xml:space="preserve"> the cacheField element pointed to by the base value must have a databaseField attribute equal to 1.</w:t>
      </w:r>
    </w:p>
    <w:p w:rsidR="00024C0A" w:rsidRDefault="00694C0F">
      <w:pPr>
        <w:pStyle w:val="Definition-Field"/>
      </w:pPr>
      <w:r>
        <w:t xml:space="preserve">d.   </w:t>
      </w:r>
      <w:r>
        <w:rPr>
          <w:i/>
        </w:rPr>
        <w:t>The standard does not provide restrictions on the par attribute.</w:t>
      </w:r>
    </w:p>
    <w:p w:rsidR="00024C0A" w:rsidRDefault="00694C0F">
      <w:pPr>
        <w:pStyle w:val="Definition-Field2"/>
      </w:pPr>
      <w:r>
        <w:t>Office requires that if fieldGroup has rangePr child, then cacheField pointed to by @</w:t>
      </w:r>
      <w:r>
        <w:t>par shall have fieldGroup that contains rangePr; the value of the base attribute in that fieldGroup must equal the value of the base attribute on this element.</w:t>
      </w:r>
    </w:p>
    <w:p w:rsidR="00024C0A" w:rsidRDefault="00694C0F">
      <w:pPr>
        <w:pStyle w:val="Definition-Field"/>
      </w:pPr>
      <w:r>
        <w:t xml:space="preserve">e.   </w:t>
      </w:r>
      <w:r>
        <w:rPr>
          <w:i/>
        </w:rPr>
        <w:t>The standard does not specify a dependency between the value of the rangePr element attribu</w:t>
      </w:r>
      <w:r>
        <w:rPr>
          <w:i/>
        </w:rPr>
        <w:t>te groupBy and the par attribute value.</w:t>
      </w:r>
    </w:p>
    <w:p w:rsidR="00024C0A" w:rsidRDefault="00694C0F">
      <w:pPr>
        <w:pStyle w:val="Definition-Field2"/>
      </w:pPr>
      <w:r>
        <w:t>In Office, if the groupBy attribute of a rangePr child is range, then the par attribute shall not be specified; otherwise, it shall be less than count of cacheFields elements.</w:t>
      </w:r>
    </w:p>
    <w:p w:rsidR="00024C0A" w:rsidRDefault="00694C0F">
      <w:pPr>
        <w:pStyle w:val="Heading3"/>
      </w:pPr>
      <w:bookmarkStart w:id="1529" w:name="section_e3e39bfa42ef489a95f05a5b79682144"/>
      <w:bookmarkStart w:id="1530" w:name="_Toc12260825"/>
      <w:r>
        <w:t>Part 1 Section 18.10.1.31, fieldsUsage (</w:t>
      </w:r>
      <w:r>
        <w:t>Fields Usage)</w:t>
      </w:r>
      <w:bookmarkEnd w:id="1529"/>
      <w:bookmarkEnd w:id="1530"/>
      <w:r>
        <w:fldChar w:fldCharType="begin"/>
      </w:r>
      <w:r>
        <w:instrText xml:space="preserve"> XE "fieldsUsage (Fields Usage)" </w:instrText>
      </w:r>
      <w:r>
        <w:fldChar w:fldCharType="end"/>
      </w:r>
    </w:p>
    <w:p w:rsidR="00024C0A" w:rsidRDefault="00694C0F">
      <w:pPr>
        <w:pStyle w:val="Definition-Field"/>
      </w:pPr>
      <w:r>
        <w:t xml:space="preserve">a.   </w:t>
      </w:r>
      <w:r>
        <w:rPr>
          <w:i/>
        </w:rPr>
        <w:t>The standard does not restrict the number of items in the fieldsUsage collection, in any case.</w:t>
      </w:r>
    </w:p>
    <w:p w:rsidR="00024C0A" w:rsidRDefault="00694C0F">
      <w:pPr>
        <w:pStyle w:val="Definition-Field2"/>
      </w:pPr>
      <w:r>
        <w:lastRenderedPageBreak/>
        <w:t>In Office, if the parent cacheHierarchy has @measure equal to 1, this collection shall contain only one ite</w:t>
      </w:r>
      <w:r>
        <w:t>m.</w:t>
      </w:r>
    </w:p>
    <w:p w:rsidR="00024C0A" w:rsidRDefault="00694C0F">
      <w:pPr>
        <w:pStyle w:val="Heading3"/>
      </w:pPr>
      <w:bookmarkStart w:id="1531" w:name="section_cee4d9c4c5d84b4ba4f6a26f52d0024f"/>
      <w:bookmarkStart w:id="1532" w:name="_Toc12260826"/>
      <w:r>
        <w:t>Part 1 Section 18.10.1.32, fieldUsage (PivotCache Field Id)</w:t>
      </w:r>
      <w:bookmarkEnd w:id="1531"/>
      <w:bookmarkEnd w:id="1532"/>
      <w:r>
        <w:fldChar w:fldCharType="begin"/>
      </w:r>
      <w:r>
        <w:instrText xml:space="preserve"> XE "fieldUsage (PivotCache Field Id)" </w:instrText>
      </w:r>
      <w:r>
        <w:fldChar w:fldCharType="end"/>
      </w:r>
    </w:p>
    <w:p w:rsidR="00024C0A" w:rsidRDefault="00694C0F">
      <w:pPr>
        <w:pStyle w:val="Definition-Field"/>
      </w:pPr>
      <w:r>
        <w:t xml:space="preserve">a.   </w:t>
      </w:r>
      <w:r>
        <w:rPr>
          <w:i/>
        </w:rPr>
        <w:t>The standard does not restrict the value of the x attribute in any way.</w:t>
      </w:r>
    </w:p>
    <w:p w:rsidR="00024C0A" w:rsidRDefault="00694C0F">
      <w:pPr>
        <w:pStyle w:val="Definition-Field2"/>
      </w:pPr>
      <w:r>
        <w:t xml:space="preserve">In Office, x is a zero-based index in the parent collection, must be &gt;= -1 </w:t>
      </w:r>
      <w:r>
        <w:t>and &lt; the total number of cacheField elements. If x points to a cacheField, this cacheField must point back to the same hierarchy the parent fieldsUsage is part of.</w:t>
      </w:r>
    </w:p>
    <w:p w:rsidR="00024C0A" w:rsidRDefault="00694C0F">
      <w:pPr>
        <w:pStyle w:val="Definition-Field"/>
      </w:pPr>
      <w:r>
        <w:t xml:space="preserve">b.   </w:t>
      </w:r>
      <w:r>
        <w:rPr>
          <w:i/>
        </w:rPr>
        <w:t>The standard does not state a dependency between fieldUsage index and cacheField@level</w:t>
      </w:r>
      <w:r>
        <w:rPr>
          <w:i/>
        </w:rPr>
        <w:t>.</w:t>
      </w:r>
    </w:p>
    <w:p w:rsidR="00024C0A" w:rsidRDefault="00694C0F">
      <w:pPr>
        <w:pStyle w:val="Definition-Field2"/>
      </w:pPr>
      <w:r>
        <w:t>Office requires that the index of fieldUsage in the fieldsUsage collection determine the mapping between Pivot level and a cache field.  The index must match the value of @level in the corresponding cacheField item.</w:t>
      </w:r>
    </w:p>
    <w:p w:rsidR="00024C0A" w:rsidRDefault="00694C0F">
      <w:pPr>
        <w:pStyle w:val="Heading3"/>
      </w:pPr>
      <w:bookmarkStart w:id="1533" w:name="section_ac8bc22cf207485897f477b1be34ebfb"/>
      <w:bookmarkStart w:id="1534" w:name="_Toc12260827"/>
      <w:r>
        <w:t>Part 1 Section 18.10.1.33, filter (Piv</w:t>
      </w:r>
      <w:r>
        <w:t>otTable Advanced Filter)</w:t>
      </w:r>
      <w:bookmarkEnd w:id="1533"/>
      <w:bookmarkEnd w:id="1534"/>
      <w:r>
        <w:fldChar w:fldCharType="begin"/>
      </w:r>
      <w:r>
        <w:instrText xml:space="preserve"> XE "filter (PivotTable Advanced Filter)" </w:instrText>
      </w:r>
      <w:r>
        <w:fldChar w:fldCharType="end"/>
      </w:r>
    </w:p>
    <w:p w:rsidR="00024C0A" w:rsidRDefault="00694C0F">
      <w:pPr>
        <w:pStyle w:val="Definition-Field"/>
      </w:pPr>
      <w:r>
        <w:t xml:space="preserve">a.   </w:t>
      </w:r>
      <w:r>
        <w:rPr>
          <w:i/>
        </w:rPr>
        <w:t>The standard does not define a maximum value for @fld.</w:t>
      </w:r>
    </w:p>
    <w:p w:rsidR="00024C0A" w:rsidRDefault="00694C0F">
      <w:pPr>
        <w:pStyle w:val="Definition-Field2"/>
      </w:pPr>
      <w:r>
        <w:t>Office requires @fld to be less than the pivotFields count.</w:t>
      </w:r>
    </w:p>
    <w:p w:rsidR="00024C0A" w:rsidRDefault="00694C0F">
      <w:pPr>
        <w:pStyle w:val="Definition-Field"/>
      </w:pPr>
      <w:r>
        <w:t xml:space="preserve">b.   </w:t>
      </w:r>
      <w:r>
        <w:rPr>
          <w:i/>
        </w:rPr>
        <w:t>The standard does not define a max value for @iMeasureHier.</w:t>
      </w:r>
    </w:p>
    <w:p w:rsidR="00024C0A" w:rsidRDefault="00694C0F">
      <w:pPr>
        <w:pStyle w:val="Definition-Field2"/>
      </w:pPr>
      <w:r>
        <w:t>Of</w:t>
      </w:r>
      <w:r>
        <w:t>fice requires that @iMeasureHier be less than the pivotHierarchies count.</w:t>
      </w:r>
    </w:p>
    <w:p w:rsidR="00024C0A" w:rsidRDefault="00694C0F">
      <w:pPr>
        <w:pStyle w:val="Definition-Field"/>
      </w:pPr>
      <w:r>
        <w:t xml:space="preserve">c.   </w:t>
      </w:r>
      <w:r>
        <w:rPr>
          <w:i/>
        </w:rPr>
        <w:t>The standard does not define a maximum value for the mpFld attribute.</w:t>
      </w:r>
    </w:p>
    <w:p w:rsidR="00024C0A" w:rsidRDefault="00694C0F">
      <w:pPr>
        <w:pStyle w:val="Definition-Field2"/>
      </w:pPr>
      <w:r>
        <w:t>Office requires that the mpFld attribute be less than the pivotFields count.</w:t>
      </w:r>
    </w:p>
    <w:p w:rsidR="00024C0A" w:rsidRDefault="00694C0F">
      <w:pPr>
        <w:pStyle w:val="Definition-Field"/>
      </w:pPr>
      <w:r>
        <w:t xml:space="preserve">d.   </w:t>
      </w:r>
      <w:r>
        <w:rPr>
          <w:i/>
        </w:rPr>
        <w:t>The standard does not spe</w:t>
      </w:r>
      <w:r>
        <w:rPr>
          <w:i/>
        </w:rPr>
        <w:t>cify a default value for the iMeasureFld attribute.</w:t>
      </w:r>
    </w:p>
    <w:p w:rsidR="00024C0A" w:rsidRDefault="00694C0F">
      <w:pPr>
        <w:pStyle w:val="Definition-Field2"/>
      </w:pPr>
      <w:r>
        <w:t>Excel uses a default value of 0 for this attribute.</w:t>
      </w:r>
    </w:p>
    <w:p w:rsidR="00024C0A" w:rsidRDefault="00694C0F">
      <w:pPr>
        <w:pStyle w:val="Definition-Field"/>
      </w:pPr>
      <w:r>
        <w:t xml:space="preserve">e.   </w:t>
      </w:r>
      <w:r>
        <w:rPr>
          <w:i/>
        </w:rPr>
        <w:t>The standard does not state a maximum limit for the iMeasureFld attribute.</w:t>
      </w:r>
    </w:p>
    <w:p w:rsidR="00024C0A" w:rsidRDefault="00694C0F">
      <w:pPr>
        <w:pStyle w:val="Definition-Field2"/>
      </w:pPr>
      <w:r>
        <w:t>Office specifies that @iMeasureFld be less than the data fields count. O</w:t>
      </w:r>
      <w:r>
        <w:t>ffice will not load a file that has @iMeasureFld greater or equal to the count of pivotFields.</w:t>
      </w:r>
    </w:p>
    <w:p w:rsidR="00024C0A" w:rsidRDefault="00694C0F">
      <w:pPr>
        <w:pStyle w:val="Definition-Field"/>
      </w:pPr>
      <w:r>
        <w:t xml:space="preserve">f.   </w:t>
      </w:r>
      <w:r>
        <w:rPr>
          <w:i/>
        </w:rPr>
        <w:t>The standard does not state any restrictions on when the mpFld attribute can be used.</w:t>
      </w:r>
    </w:p>
    <w:p w:rsidR="00024C0A" w:rsidRDefault="00694C0F">
      <w:pPr>
        <w:pStyle w:val="Definition-Field2"/>
      </w:pPr>
      <w:r>
        <w:t>Office assumes that the mpFld attribute is specific to OLAP PivotTable</w:t>
      </w:r>
      <w:r>
        <w:t>s.</w:t>
      </w:r>
    </w:p>
    <w:p w:rsidR="00024C0A" w:rsidRDefault="00694C0F">
      <w:pPr>
        <w:pStyle w:val="Definition-Field"/>
      </w:pPr>
      <w:r>
        <w:t xml:space="preserve">g.   </w:t>
      </w:r>
      <w:r>
        <w:rPr>
          <w:i/>
        </w:rPr>
        <w:t>The standard states that @evalOrder specifies the evaluation order of the pivot filter.</w:t>
      </w:r>
    </w:p>
    <w:p w:rsidR="00024C0A" w:rsidRDefault="00694C0F">
      <w:pPr>
        <w:pStyle w:val="Definition-Field2"/>
      </w:pPr>
      <w:r>
        <w:t>In Office, the value of -1 indicates that the order in which filters are applied is not relevant.</w:t>
      </w:r>
    </w:p>
    <w:p w:rsidR="00024C0A" w:rsidRDefault="00694C0F">
      <w:pPr>
        <w:pStyle w:val="Heading3"/>
      </w:pPr>
      <w:bookmarkStart w:id="1535" w:name="section_f296125e31a94a82b171bb7c38652aa3"/>
      <w:bookmarkStart w:id="1536" w:name="_Toc12260828"/>
      <w:r>
        <w:t>Part 1 Section 18.10.1.35, format (PivotTable Format)</w:t>
      </w:r>
      <w:bookmarkEnd w:id="1535"/>
      <w:bookmarkEnd w:id="1536"/>
      <w:r>
        <w:fldChar w:fldCharType="begin"/>
      </w:r>
      <w:r>
        <w:instrText xml:space="preserve"> XE "format (PivotTable Format)" </w:instrText>
      </w:r>
      <w:r>
        <w:fldChar w:fldCharType="end"/>
      </w:r>
    </w:p>
    <w:p w:rsidR="00024C0A" w:rsidRDefault="00694C0F">
      <w:pPr>
        <w:pStyle w:val="Definition-Field"/>
      </w:pPr>
      <w:r>
        <w:t xml:space="preserve">a.   </w:t>
      </w:r>
      <w:r>
        <w:rPr>
          <w:i/>
        </w:rPr>
        <w:t>The standard defines the action attribute as type ST_FormatAction, which contains Drill and Formula as values.</w:t>
      </w:r>
    </w:p>
    <w:p w:rsidR="00024C0A" w:rsidRDefault="00694C0F">
      <w:pPr>
        <w:pStyle w:val="Definition-Field2"/>
      </w:pPr>
      <w:r>
        <w:t>Excel does not support the Drill and Formula values for the action attribute.</w:t>
      </w:r>
    </w:p>
    <w:p w:rsidR="00024C0A" w:rsidRDefault="00694C0F">
      <w:pPr>
        <w:pStyle w:val="Heading3"/>
      </w:pPr>
      <w:bookmarkStart w:id="1537" w:name="section_a7ba5505eafb40878616d3f706eccbb1"/>
      <w:bookmarkStart w:id="1538" w:name="_Toc12260829"/>
      <w:r>
        <w:t>Part 1 Section 18.10.1.37, group (OLAP Group)</w:t>
      </w:r>
      <w:bookmarkEnd w:id="1537"/>
      <w:bookmarkEnd w:id="1538"/>
      <w:r>
        <w:fldChar w:fldCharType="begin"/>
      </w:r>
      <w:r>
        <w:instrText xml:space="preserve"> XE "group (OLAP Group)" </w:instrText>
      </w:r>
      <w:r>
        <w:fldChar w:fldCharType="end"/>
      </w:r>
    </w:p>
    <w:p w:rsidR="00024C0A" w:rsidRDefault="00694C0F">
      <w:pPr>
        <w:pStyle w:val="Definition-Field"/>
      </w:pPr>
      <w:r>
        <w:t xml:space="preserve">a.   </w:t>
      </w:r>
      <w:r>
        <w:rPr>
          <w:i/>
        </w:rPr>
        <w:t>The standard does not define limitations on the valid values for the id attribute.</w:t>
      </w:r>
    </w:p>
    <w:p w:rsidR="00024C0A" w:rsidRDefault="00694C0F">
      <w:pPr>
        <w:pStyle w:val="Definition-Field2"/>
      </w:pPr>
      <w:r>
        <w:lastRenderedPageBreak/>
        <w:t>Office requires that the value of the id attribute be greater than 0.</w:t>
      </w:r>
    </w:p>
    <w:p w:rsidR="00024C0A" w:rsidRDefault="00694C0F">
      <w:pPr>
        <w:pStyle w:val="Definition-Field"/>
      </w:pPr>
      <w:r>
        <w:t xml:space="preserve">b.   </w:t>
      </w:r>
      <w:r>
        <w:rPr>
          <w:i/>
        </w:rPr>
        <w:t>The standard does no</w:t>
      </w:r>
      <w:r>
        <w:rPr>
          <w:i/>
        </w:rPr>
        <w:t>t define a length limitation to the value of @uniqueParent.</w:t>
      </w:r>
    </w:p>
    <w:p w:rsidR="00024C0A" w:rsidRDefault="00694C0F">
      <w:pPr>
        <w:pStyle w:val="Definition-Field2"/>
      </w:pPr>
      <w:r>
        <w:t>Office limits the value of @uniqueParent to 65535 characters.</w:t>
      </w:r>
    </w:p>
    <w:p w:rsidR="00024C0A" w:rsidRDefault="00694C0F">
      <w:pPr>
        <w:pStyle w:val="Definition-Field"/>
      </w:pPr>
      <w:r>
        <w:t xml:space="preserve">c.   </w:t>
      </w:r>
      <w:r>
        <w:rPr>
          <w:i/>
        </w:rPr>
        <w:t>The standard does not place limits on the length of @caption, @name, and @uniqueName.</w:t>
      </w:r>
    </w:p>
    <w:p w:rsidR="00024C0A" w:rsidRDefault="00694C0F">
      <w:pPr>
        <w:pStyle w:val="Definition-Field2"/>
      </w:pPr>
      <w:r>
        <w:t>Office assumes that for @caption, @name, an</w:t>
      </w:r>
      <w:r>
        <w:t>d @uniquename, if the value of pivotCacheDefinition@createdVersion is less than 3, the maximum length of these attributes is 255 characters.</w:t>
      </w:r>
    </w:p>
    <w:p w:rsidR="00024C0A" w:rsidRDefault="00694C0F">
      <w:pPr>
        <w:pStyle w:val="Heading3"/>
      </w:pPr>
      <w:bookmarkStart w:id="1539" w:name="section_2036ae8e2a23494b89987f8f6400f5a7"/>
      <w:bookmarkStart w:id="1540" w:name="_Toc12260830"/>
      <w:r>
        <w:t>Part 1 Section 18.10.1.38, groupItems (OLAP Group Items)</w:t>
      </w:r>
      <w:bookmarkEnd w:id="1539"/>
      <w:bookmarkEnd w:id="1540"/>
      <w:r>
        <w:fldChar w:fldCharType="begin"/>
      </w:r>
      <w:r>
        <w:instrText xml:space="preserve"> XE "groupItems (OLAP Group Items)" </w:instrText>
      </w:r>
      <w:r>
        <w:fldChar w:fldCharType="end"/>
      </w:r>
    </w:p>
    <w:p w:rsidR="00024C0A" w:rsidRDefault="00694C0F">
      <w:pPr>
        <w:pStyle w:val="Definition-Field"/>
      </w:pPr>
      <w:r>
        <w:t xml:space="preserve">a.   </w:t>
      </w:r>
      <w:r>
        <w:rPr>
          <w:i/>
        </w:rPr>
        <w:t>The standard st</w:t>
      </w:r>
      <w:r>
        <w:rPr>
          <w:i/>
        </w:rPr>
        <w:t>ates that the groupItems element defines OLAP Group Items.</w:t>
      </w:r>
    </w:p>
    <w:p w:rsidR="00024C0A" w:rsidRDefault="00694C0F">
      <w:pPr>
        <w:pStyle w:val="Definition-Field2"/>
      </w:pPr>
      <w:r>
        <w:t>In Office, the groupItems element does not apply to OLAP PivotTables.</w:t>
      </w:r>
    </w:p>
    <w:p w:rsidR="00024C0A" w:rsidRDefault="00694C0F">
      <w:pPr>
        <w:pStyle w:val="Heading3"/>
      </w:pPr>
      <w:bookmarkStart w:id="1541" w:name="section_81b11533f75341848ef6d40b5d9fe67a"/>
      <w:bookmarkStart w:id="1542" w:name="_Toc12260831"/>
      <w:r>
        <w:t>Part 1 Section 18.10.1.39, groupLevel (OLAP Grouping Levels)</w:t>
      </w:r>
      <w:bookmarkEnd w:id="1541"/>
      <w:bookmarkEnd w:id="1542"/>
      <w:r>
        <w:fldChar w:fldCharType="begin"/>
      </w:r>
      <w:r>
        <w:instrText xml:space="preserve"> XE "groupLevel (OLAP Grouping Levels)" </w:instrText>
      </w:r>
      <w:r>
        <w:fldChar w:fldCharType="end"/>
      </w:r>
    </w:p>
    <w:p w:rsidR="00024C0A" w:rsidRDefault="00694C0F">
      <w:pPr>
        <w:pStyle w:val="Definition-Field"/>
      </w:pPr>
      <w:r>
        <w:t xml:space="preserve">a.   </w:t>
      </w:r>
      <w:r>
        <w:rPr>
          <w:i/>
        </w:rPr>
        <w:t>The standard does n</w:t>
      </w:r>
      <w:r>
        <w:rPr>
          <w:i/>
        </w:rPr>
        <w:t>ot limit the length of the value of the caption attribute.</w:t>
      </w:r>
    </w:p>
    <w:p w:rsidR="00024C0A" w:rsidRDefault="00694C0F">
      <w:pPr>
        <w:pStyle w:val="Definition-Field2"/>
      </w:pPr>
      <w:r>
        <w:t>Excel restricts the value of this attribute to be at most 255 characters when the createdVersion attribute on the pivotCacheDefinition element is less than 3 and 32767 characters otherwise.</w:t>
      </w:r>
    </w:p>
    <w:p w:rsidR="00024C0A" w:rsidRDefault="00694C0F">
      <w:pPr>
        <w:pStyle w:val="Definition-Field"/>
      </w:pPr>
      <w:r>
        <w:t xml:space="preserve">b.   </w:t>
      </w:r>
      <w:r>
        <w:rPr>
          <w:i/>
        </w:rPr>
        <w:t>Th</w:t>
      </w:r>
      <w:r>
        <w:rPr>
          <w:i/>
        </w:rPr>
        <w:t>e standard does not limit the length of the value of the uniqueName attribute.</w:t>
      </w:r>
    </w:p>
    <w:p w:rsidR="00024C0A" w:rsidRDefault="00694C0F">
      <w:pPr>
        <w:pStyle w:val="Definition-Field2"/>
      </w:pPr>
      <w:r>
        <w:t>Excel restricts the value of this attribute to be at most 255 characters when the createdVersion attribute on the pivotCacheDefinition element is less than 3 and 32767 character</w:t>
      </w:r>
      <w:r>
        <w:t>s otherwise.</w:t>
      </w:r>
    </w:p>
    <w:p w:rsidR="00024C0A" w:rsidRDefault="00694C0F">
      <w:pPr>
        <w:pStyle w:val="Heading3"/>
      </w:pPr>
      <w:bookmarkStart w:id="1543" w:name="section_f03cfcd582bc4feeb7b7b539677a55bf"/>
      <w:bookmarkStart w:id="1544" w:name="_Toc12260832"/>
      <w:r>
        <w:t>Part 1 Section 18.10.1.41, groupMember (OLAP Group Member)</w:t>
      </w:r>
      <w:bookmarkEnd w:id="1543"/>
      <w:bookmarkEnd w:id="1544"/>
      <w:r>
        <w:fldChar w:fldCharType="begin"/>
      </w:r>
      <w:r>
        <w:instrText xml:space="preserve"> XE "groupMember (OLAP Group Member)" </w:instrText>
      </w:r>
      <w:r>
        <w:fldChar w:fldCharType="end"/>
      </w:r>
    </w:p>
    <w:p w:rsidR="00024C0A" w:rsidRDefault="00694C0F">
      <w:pPr>
        <w:pStyle w:val="Definition-Field"/>
      </w:pPr>
      <w:r>
        <w:t xml:space="preserve">a.   </w:t>
      </w:r>
      <w:r>
        <w:rPr>
          <w:i/>
        </w:rPr>
        <w:t>The standard does not limit the length of the value of the uniqueName attribute.</w:t>
      </w:r>
    </w:p>
    <w:p w:rsidR="00024C0A" w:rsidRDefault="00694C0F">
      <w:pPr>
        <w:pStyle w:val="Definition-Field2"/>
      </w:pPr>
      <w:r>
        <w:t>Excel restricts the value of this attribute to be at least</w:t>
      </w:r>
      <w:r>
        <w:t xml:space="preserve"> 1 and at most 65535 characters.</w:t>
      </w:r>
    </w:p>
    <w:p w:rsidR="00024C0A" w:rsidRDefault="00694C0F">
      <w:pPr>
        <w:pStyle w:val="Heading3"/>
      </w:pPr>
      <w:bookmarkStart w:id="1545" w:name="section_9ddef91206834190bad8456a7ddfca85"/>
      <w:bookmarkStart w:id="1546" w:name="_Toc12260833"/>
      <w:r>
        <w:t>Part 1 Section 18.10.1.44, i (Row Items)</w:t>
      </w:r>
      <w:bookmarkEnd w:id="1545"/>
      <w:bookmarkEnd w:id="1546"/>
      <w:r>
        <w:fldChar w:fldCharType="begin"/>
      </w:r>
      <w:r>
        <w:instrText xml:space="preserve"> XE "i (Row Items)" </w:instrText>
      </w:r>
      <w:r>
        <w:fldChar w:fldCharType="end"/>
      </w:r>
    </w:p>
    <w:p w:rsidR="00024C0A" w:rsidRDefault="00694C0F">
      <w:pPr>
        <w:pStyle w:val="Definition-Field"/>
      </w:pPr>
      <w:r>
        <w:t xml:space="preserve">a.   </w:t>
      </w:r>
      <w:r>
        <w:rPr>
          <w:i/>
        </w:rPr>
        <w:t>The standard does not specify restrictions on the i attribute.</w:t>
      </w:r>
    </w:p>
    <w:p w:rsidR="00024C0A" w:rsidRDefault="00694C0F">
      <w:pPr>
        <w:pStyle w:val="Definition-Field2"/>
      </w:pPr>
      <w:r>
        <w:t xml:space="preserve">Office specifies that the i attribute should be 0 if the dataFields collection is empty and </w:t>
      </w:r>
      <w:r>
        <w:t>should be less than number of elements in that collection otherwise.</w:t>
      </w:r>
    </w:p>
    <w:p w:rsidR="00024C0A" w:rsidRDefault="00694C0F">
      <w:pPr>
        <w:pStyle w:val="Definition-Field"/>
      </w:pPr>
      <w:r>
        <w:t xml:space="preserve">b.   </w:t>
      </w:r>
      <w:r>
        <w:rPr>
          <w:i/>
        </w:rPr>
        <w:t>The standard states that a value of default on the t attribute indicates a grand total as the last row item value.</w:t>
      </w:r>
    </w:p>
    <w:p w:rsidR="00024C0A" w:rsidRDefault="00694C0F">
      <w:pPr>
        <w:pStyle w:val="Definition-Field2"/>
      </w:pPr>
      <w:r>
        <w:t xml:space="preserve">Excel uses the definition from the ST_ItemType simple type for the </w:t>
      </w:r>
      <w:r>
        <w:t>definition of this value.</w:t>
      </w:r>
    </w:p>
    <w:p w:rsidR="00024C0A" w:rsidRDefault="00694C0F">
      <w:pPr>
        <w:pStyle w:val="Definition-Field"/>
      </w:pPr>
      <w:r>
        <w:t xml:space="preserve">c.   </w:t>
      </w:r>
      <w:r>
        <w:rPr>
          <w:i/>
        </w:rPr>
        <w:t>The standard does not place restrictions on the value of the r attribute.</w:t>
      </w:r>
    </w:p>
    <w:p w:rsidR="00024C0A" w:rsidRDefault="00694C0F">
      <w:r>
        <w:t>In Office, if the r attribute is not 0, then the sum of the r attribute and number of x attribute elements must be less or equal to the number of eleme</w:t>
      </w:r>
      <w:r>
        <w:t>nts in the rowFields or colFields collections, depending on context. The r attribute shall not exceed the number of items in the previous row item.</w:t>
      </w:r>
    </w:p>
    <w:p w:rsidR="00024C0A" w:rsidRDefault="00694C0F">
      <w:pPr>
        <w:pStyle w:val="Definition-Field"/>
      </w:pPr>
      <w:r>
        <w:t xml:space="preserve">d.   </w:t>
      </w:r>
      <w:r>
        <w:rPr>
          <w:i/>
        </w:rPr>
        <w:t>The standard does not specify the relationship of x elements to pivotFields.</w:t>
      </w:r>
    </w:p>
    <w:p w:rsidR="00024C0A" w:rsidRDefault="00694C0F">
      <w:r>
        <w:t xml:space="preserve">Office defines the relationship between x elements and pivotFields as follows: </w:t>
      </w:r>
    </w:p>
    <w:p w:rsidR="00024C0A" w:rsidRDefault="00694C0F">
      <w:r>
        <w:lastRenderedPageBreak/>
        <w:t xml:space="preserve">The </w:t>
      </w:r>
      <w:r>
        <w:rPr>
          <w:b/>
        </w:rPr>
        <w:t>v</w:t>
      </w:r>
      <w:r>
        <w:t xml:space="preserve"> attribute of the </w:t>
      </w:r>
      <w:r>
        <w:rPr>
          <w:b/>
        </w:rPr>
        <w:t>x</w:t>
      </w:r>
      <w:r>
        <w:t xml:space="preserve"> element shall be </w:t>
      </w:r>
      <w:r>
        <w:rPr>
          <w:i/>
        </w:rPr>
        <w:t>1048832</w:t>
      </w:r>
      <w:r>
        <w:t xml:space="preserve"> (specifying that no item appears at this position) or a valid item index in its pivot field. </w:t>
      </w:r>
    </w:p>
    <w:p w:rsidR="00024C0A" w:rsidRDefault="00694C0F">
      <w:r>
        <w:t xml:space="preserve">The axis index, of a child item </w:t>
      </w:r>
      <w:r>
        <w:rPr>
          <w:b/>
        </w:rPr>
        <w:t>x</w:t>
      </w:r>
      <w:r>
        <w:t xml:space="preserve">, is calculated as the value of </w:t>
      </w:r>
      <w:r>
        <w:rPr>
          <w:b/>
        </w:rPr>
        <w:t>r</w:t>
      </w:r>
      <w:r>
        <w:t xml:space="preserve"> plus the index of the </w:t>
      </w:r>
      <w:r>
        <w:rPr>
          <w:b/>
        </w:rPr>
        <w:t>x</w:t>
      </w:r>
      <w:r>
        <w:t xml:space="preserve"> element within the collection in this element. The field index is calculated as given by the</w:t>
      </w:r>
      <w:r>
        <w:rPr>
          <w:b/>
        </w:rPr>
        <w:t xml:space="preserve"> x</w:t>
      </w:r>
      <w:r>
        <w:t xml:space="preserve"> attribute of the</w:t>
      </w:r>
      <w:r>
        <w:rPr>
          <w:b/>
        </w:rPr>
        <w:t xml:space="preserve"> field</w:t>
      </w:r>
      <w:r>
        <w:t xml:space="preserve"> element, at the position given by the axis index, in either the </w:t>
      </w:r>
      <w:r>
        <w:rPr>
          <w:b/>
        </w:rPr>
        <w:t>colFields</w:t>
      </w:r>
      <w:r>
        <w:t xml:space="preserve"> element ("</w:t>
      </w:r>
      <w:hyperlink r:id="rId130">
        <w:r>
          <w:rPr>
            <w:rStyle w:val="Hyperlink"/>
          </w:rPr>
          <w:t>[ISO/IEC-29500-1]</w:t>
        </w:r>
      </w:hyperlink>
      <w:r>
        <w:t xml:space="preserve"> §18.10.1.14; colFields"), if the parent of this element is </w:t>
      </w:r>
      <w:r>
        <w:rPr>
          <w:b/>
        </w:rPr>
        <w:t>colItems,</w:t>
      </w:r>
      <w:r>
        <w:t xml:space="preserve"> or the </w:t>
      </w:r>
      <w:r>
        <w:rPr>
          <w:b/>
        </w:rPr>
        <w:t xml:space="preserve">rowFields </w:t>
      </w:r>
      <w:r>
        <w:t>element ("[ISO/IEC-29500-1] §18.10.1.81; rowFields"), if the parent of this</w:t>
      </w:r>
      <w:r>
        <w:t xml:space="preserve"> element is </w:t>
      </w:r>
      <w:r>
        <w:rPr>
          <w:b/>
        </w:rPr>
        <w:t>rowItems</w:t>
      </w:r>
      <w:r>
        <w:t xml:space="preserve">. </w:t>
      </w:r>
    </w:p>
    <w:p w:rsidR="00024C0A" w:rsidRDefault="00694C0F">
      <w:r>
        <w:t xml:space="preserve">If the field index is </w:t>
      </w:r>
      <w:r>
        <w:rPr>
          <w:i/>
        </w:rPr>
        <w:t>-2</w:t>
      </w:r>
      <w:r>
        <w:t xml:space="preserve"> valid item indexes, for the </w:t>
      </w:r>
      <w:r>
        <w:rPr>
          <w:b/>
        </w:rPr>
        <w:t>v</w:t>
      </w:r>
      <w:r>
        <w:t xml:space="preserve"> attribute of the </w:t>
      </w:r>
      <w:r>
        <w:rPr>
          <w:b/>
        </w:rPr>
        <w:t>x</w:t>
      </w:r>
      <w:r>
        <w:t xml:space="preserve"> child, shall be less than the number of elements in the </w:t>
      </w:r>
      <w:r>
        <w:rPr>
          <w:b/>
        </w:rPr>
        <w:t>dataFields</w:t>
      </w:r>
      <w:r>
        <w:t xml:space="preserve"> collection ("[ISO/IEC-29500-1] §18.10.1.23; dataFields"). Otherwise valid item indexes, for </w:t>
      </w:r>
      <w:r>
        <w:t xml:space="preserve">the </w:t>
      </w:r>
      <w:r>
        <w:rPr>
          <w:b/>
        </w:rPr>
        <w:t>v</w:t>
      </w:r>
      <w:r>
        <w:t xml:space="preserve"> attribute of the </w:t>
      </w:r>
      <w:r>
        <w:rPr>
          <w:b/>
        </w:rPr>
        <w:t>x</w:t>
      </w:r>
      <w:r>
        <w:t xml:space="preserve"> child, shall be less than the number of elements in the </w:t>
      </w:r>
      <w:r>
        <w:rPr>
          <w:b/>
        </w:rPr>
        <w:t>items</w:t>
      </w:r>
      <w:r>
        <w:t xml:space="preserve"> collection ("[ISO/IEC-29500-1] §18.10.1.46; items") of the </w:t>
      </w:r>
      <w:r>
        <w:rPr>
          <w:b/>
        </w:rPr>
        <w:t>pivotField,</w:t>
      </w:r>
      <w:r>
        <w:t xml:space="preserve"> at the index given by the field index in the pivotFields ("[ISO/IEC-29500-1] §18.10.1.70; pivotFie</w:t>
      </w:r>
      <w:r>
        <w:t>lds").</w:t>
      </w:r>
    </w:p>
    <w:p w:rsidR="00024C0A" w:rsidRDefault="00694C0F">
      <w:pPr>
        <w:pStyle w:val="Heading3"/>
      </w:pPr>
      <w:bookmarkStart w:id="1547" w:name="section_ff55420d79e34576a52022578daf0e91"/>
      <w:bookmarkStart w:id="1548" w:name="_Toc12260834"/>
      <w:r>
        <w:t>Part 1 Section 18.10.1.45, item (PivotTable Field Item)</w:t>
      </w:r>
      <w:bookmarkEnd w:id="1547"/>
      <w:bookmarkEnd w:id="1548"/>
      <w:r>
        <w:fldChar w:fldCharType="begin"/>
      </w:r>
      <w:r>
        <w:instrText xml:space="preserve"> XE "item (PivotTable Field Item)" </w:instrText>
      </w:r>
      <w:r>
        <w:fldChar w:fldCharType="end"/>
      </w:r>
    </w:p>
    <w:p w:rsidR="00024C0A" w:rsidRDefault="00694C0F">
      <w:pPr>
        <w:pStyle w:val="Definition-Field"/>
      </w:pPr>
      <w:r>
        <w:t xml:space="preserve">a.   </w:t>
      </w:r>
      <w:r>
        <w:rPr>
          <w:i/>
        </w:rPr>
        <w:t>The standard states that the s attribute specifies if the item has a character value.</w:t>
      </w:r>
    </w:p>
    <w:p w:rsidR="00024C0A" w:rsidRDefault="00694C0F">
      <w:pPr>
        <w:pStyle w:val="Definition-Field2"/>
      </w:pPr>
      <w:r>
        <w:t>Excel uses the s attribute to specify if the item has a manual fi</w:t>
      </w:r>
      <w:r>
        <w:t>lter applied.</w:t>
      </w:r>
    </w:p>
    <w:p w:rsidR="00024C0A" w:rsidRDefault="00694C0F">
      <w:pPr>
        <w:pStyle w:val="Definition-Field"/>
      </w:pPr>
      <w:r>
        <w:t xml:space="preserve">b.   </w:t>
      </w:r>
      <w:r>
        <w:rPr>
          <w:i/>
        </w:rPr>
        <w:t>The standard does not require any ordering of the child item elements.</w:t>
      </w:r>
    </w:p>
    <w:p w:rsidR="00024C0A" w:rsidRDefault="00694C0F">
      <w:pPr>
        <w:pStyle w:val="Definition-Field2"/>
      </w:pPr>
      <w:r>
        <w:t>In Office, any item elements that have the t attribute equal to the default value must appear before item elements with other values.</w:t>
      </w:r>
    </w:p>
    <w:p w:rsidR="00024C0A" w:rsidRDefault="00694C0F">
      <w:pPr>
        <w:pStyle w:val="Definition-Field"/>
      </w:pPr>
      <w:r>
        <w:t xml:space="preserve">c.   </w:t>
      </w:r>
      <w:r>
        <w:rPr>
          <w:i/>
        </w:rPr>
        <w:t>The standard does not restr</w:t>
      </w:r>
      <w:r>
        <w:rPr>
          <w:i/>
        </w:rPr>
        <w:t>ict the c attribute to OLAP PivotTables.</w:t>
      </w:r>
    </w:p>
    <w:p w:rsidR="00024C0A" w:rsidRDefault="00694C0F">
      <w:pPr>
        <w:pStyle w:val="Definition-Field2"/>
      </w:pPr>
      <w:r>
        <w:t>Excel allows the c attribute only for OLAP PivotTables.</w:t>
      </w:r>
    </w:p>
    <w:p w:rsidR="00024C0A" w:rsidRDefault="00694C0F">
      <w:pPr>
        <w:pStyle w:val="Definition-Field"/>
      </w:pPr>
      <w:r>
        <w:t xml:space="preserve">d.   </w:t>
      </w:r>
      <w:r>
        <w:rPr>
          <w:i/>
        </w:rPr>
        <w:t>The standard does not restrict the d attribute to OLAP PivotTables.</w:t>
      </w:r>
    </w:p>
    <w:p w:rsidR="00024C0A" w:rsidRDefault="00694C0F">
      <w:pPr>
        <w:pStyle w:val="Definition-Field2"/>
      </w:pPr>
      <w:r>
        <w:t>Excel allows the d attribute for OLAP PivotTables only.</w:t>
      </w:r>
    </w:p>
    <w:p w:rsidR="00024C0A" w:rsidRDefault="00694C0F">
      <w:pPr>
        <w:pStyle w:val="Definition-Field"/>
      </w:pPr>
      <w:r>
        <w:t xml:space="preserve">e.   </w:t>
      </w:r>
      <w:r>
        <w:rPr>
          <w:i/>
        </w:rPr>
        <w:t>The standard does not res</w:t>
      </w:r>
      <w:r>
        <w:rPr>
          <w:i/>
        </w:rPr>
        <w:t>trict the e attribute to OLAP PivotTables only.</w:t>
      </w:r>
    </w:p>
    <w:p w:rsidR="00024C0A" w:rsidRDefault="00694C0F">
      <w:pPr>
        <w:pStyle w:val="Definition-Field2"/>
      </w:pPr>
      <w:r>
        <w:t>Excel allows the e attribute for OLAP PivotTables only.</w:t>
      </w:r>
    </w:p>
    <w:p w:rsidR="00024C0A" w:rsidRDefault="00694C0F">
      <w:pPr>
        <w:pStyle w:val="Definition-Field"/>
      </w:pPr>
      <w:r>
        <w:t xml:space="preserve">f.   </w:t>
      </w:r>
      <w:r>
        <w:rPr>
          <w:i/>
        </w:rPr>
        <w:t>The standard does not restrict the f attribute to non-OLAP PivotTables.</w:t>
      </w:r>
    </w:p>
    <w:p w:rsidR="00024C0A" w:rsidRDefault="00694C0F">
      <w:pPr>
        <w:pStyle w:val="Definition-Field2"/>
      </w:pPr>
      <w:r>
        <w:t>Excel allows the f attribute in non-OLAP PivotTables only.</w:t>
      </w:r>
    </w:p>
    <w:p w:rsidR="00024C0A" w:rsidRDefault="00694C0F">
      <w:pPr>
        <w:pStyle w:val="Definition-Field"/>
      </w:pPr>
      <w:r>
        <w:t xml:space="preserve">g.   </w:t>
      </w:r>
      <w:r>
        <w:rPr>
          <w:i/>
        </w:rPr>
        <w:t>The standar</w:t>
      </w:r>
      <w:r>
        <w:rPr>
          <w:i/>
        </w:rPr>
        <w:t>d does not restrict the h attribute to non-OLAP PivotTables.</w:t>
      </w:r>
    </w:p>
    <w:p w:rsidR="00024C0A" w:rsidRDefault="00694C0F">
      <w:pPr>
        <w:pStyle w:val="Definition-Field2"/>
      </w:pPr>
      <w:r>
        <w:t>Excel allows the h attribute in non-OLAP PivotTables only.</w:t>
      </w:r>
    </w:p>
    <w:p w:rsidR="00024C0A" w:rsidRDefault="00694C0F">
      <w:pPr>
        <w:pStyle w:val="Definition-Field"/>
      </w:pPr>
      <w:r>
        <w:t xml:space="preserve">h.   </w:t>
      </w:r>
      <w:r>
        <w:rPr>
          <w:i/>
        </w:rPr>
        <w:t>The standard does not restrict the m attribute to non-OLAP PivotTables.</w:t>
      </w:r>
    </w:p>
    <w:p w:rsidR="00024C0A" w:rsidRDefault="00694C0F">
      <w:pPr>
        <w:pStyle w:val="Definition-Field2"/>
      </w:pPr>
      <w:r>
        <w:t>Excel allows the m attribute in non-OLAP PivotTables only.</w:t>
      </w:r>
    </w:p>
    <w:p w:rsidR="00024C0A" w:rsidRDefault="00694C0F">
      <w:pPr>
        <w:pStyle w:val="Definition-Field"/>
      </w:pPr>
      <w:r>
        <w:t xml:space="preserve">i.   </w:t>
      </w:r>
      <w:r>
        <w:rPr>
          <w:i/>
        </w:rPr>
        <w:t>The standard does not restrict the s attribute to OLAP PivotTables.</w:t>
      </w:r>
    </w:p>
    <w:p w:rsidR="00024C0A" w:rsidRDefault="00694C0F">
      <w:pPr>
        <w:pStyle w:val="Definition-Field2"/>
      </w:pPr>
      <w:r>
        <w:t>Excel allows the s attribute in OLAP PivotTables only.</w:t>
      </w:r>
    </w:p>
    <w:p w:rsidR="00024C0A" w:rsidRDefault="00694C0F">
      <w:pPr>
        <w:pStyle w:val="Definition-Field"/>
      </w:pPr>
      <w:r>
        <w:t xml:space="preserve">j.   </w:t>
      </w:r>
      <w:r>
        <w:rPr>
          <w:i/>
        </w:rPr>
        <w:t>The standard does not restrict the sd attribute to non-OLAP PivotTables.</w:t>
      </w:r>
    </w:p>
    <w:p w:rsidR="00024C0A" w:rsidRDefault="00694C0F">
      <w:pPr>
        <w:pStyle w:val="Definition-Field2"/>
      </w:pPr>
      <w:r>
        <w:t>Excel allows the sd attribute in non-OLAP PivotTab</w:t>
      </w:r>
      <w:r>
        <w:t>les only.</w:t>
      </w:r>
    </w:p>
    <w:p w:rsidR="00024C0A" w:rsidRDefault="00694C0F">
      <w:pPr>
        <w:pStyle w:val="Definition-Field"/>
      </w:pPr>
      <w:r>
        <w:t xml:space="preserve">k.   </w:t>
      </w:r>
      <w:r>
        <w:rPr>
          <w:i/>
        </w:rPr>
        <w:t>The standard restricts the x attribute to non-OLAP PivotTables only.</w:t>
      </w:r>
    </w:p>
    <w:p w:rsidR="00024C0A" w:rsidRDefault="00694C0F">
      <w:pPr>
        <w:pStyle w:val="Definition-Field2"/>
      </w:pPr>
      <w:r>
        <w:t>Excel allows the x attribute in both OLAP and non-OLAP PivotTables.</w:t>
      </w:r>
    </w:p>
    <w:p w:rsidR="00024C0A" w:rsidRDefault="00694C0F">
      <w:pPr>
        <w:pStyle w:val="Definition-Field"/>
      </w:pPr>
      <w:r>
        <w:lastRenderedPageBreak/>
        <w:t xml:space="preserve">l.   </w:t>
      </w:r>
      <w:r>
        <w:rPr>
          <w:i/>
        </w:rPr>
        <w:t>The standard states that the sd attribute indicates whether the details are hidden for an item.</w:t>
      </w:r>
    </w:p>
    <w:p w:rsidR="00024C0A" w:rsidRDefault="00694C0F">
      <w:pPr>
        <w:pStyle w:val="Definition-Field2"/>
      </w:pPr>
      <w:r>
        <w:t>Excel uses the sd attribute to indicate whether the item is expanded.  A value of true indicates item details are shown.  A value of false indicates item details are hidden.</w:t>
      </w:r>
    </w:p>
    <w:p w:rsidR="00024C0A" w:rsidRDefault="00694C0F">
      <w:pPr>
        <w:pStyle w:val="Definition-Field"/>
      </w:pPr>
      <w:r>
        <w:t xml:space="preserve">m.   </w:t>
      </w:r>
      <w:r>
        <w:rPr>
          <w:i/>
        </w:rPr>
        <w:t>The standard does not specify when the x attribute is required.</w:t>
      </w:r>
    </w:p>
    <w:p w:rsidR="00024C0A" w:rsidRDefault="00694C0F">
      <w:pPr>
        <w:pStyle w:val="Definition-Field2"/>
      </w:pPr>
      <w:r>
        <w:t>Excel require</w:t>
      </w:r>
      <w:r>
        <w:t>s the x attribute when the value of the t attribute is data.</w:t>
      </w:r>
    </w:p>
    <w:p w:rsidR="00024C0A" w:rsidRDefault="00694C0F">
      <w:pPr>
        <w:pStyle w:val="Definition-Field"/>
      </w:pPr>
      <w:r>
        <w:t xml:space="preserve">n.   </w:t>
      </w:r>
      <w:r>
        <w:rPr>
          <w:i/>
        </w:rPr>
        <w:t>The standard states that the x attribute specifies an index to an item in the pivotFields collection.</w:t>
      </w:r>
    </w:p>
    <w:p w:rsidR="00024C0A" w:rsidRDefault="00694C0F">
      <w:pPr>
        <w:pStyle w:val="Definition-Field2"/>
      </w:pPr>
      <w:r>
        <w:t xml:space="preserve">Excel uses the x attribute to specify an index to an item in the sharedItems collection </w:t>
      </w:r>
      <w:r>
        <w:t>for this pivotField.</w:t>
      </w:r>
    </w:p>
    <w:p w:rsidR="00024C0A" w:rsidRDefault="00694C0F">
      <w:pPr>
        <w:pStyle w:val="Definition-Field"/>
      </w:pPr>
      <w:r>
        <w:t xml:space="preserve">o.   </w:t>
      </w:r>
      <w:r>
        <w:rPr>
          <w:i/>
        </w:rPr>
        <w:t>The standard does not specify when the x attribute values should be unique for item elements in an items collection.</w:t>
      </w:r>
    </w:p>
    <w:p w:rsidR="00024C0A" w:rsidRDefault="00694C0F">
      <w:pPr>
        <w:pStyle w:val="Definition-Field2"/>
      </w:pPr>
      <w:r>
        <w:t>Excel requires the x attribute values to be unique for item elements in an items collection.</w:t>
      </w:r>
    </w:p>
    <w:p w:rsidR="00024C0A" w:rsidRDefault="00694C0F">
      <w:pPr>
        <w:pStyle w:val="Definition-Field"/>
      </w:pPr>
      <w:r>
        <w:t xml:space="preserve">p.   </w:t>
      </w:r>
      <w:r>
        <w:rPr>
          <w:i/>
        </w:rPr>
        <w:t>The standard st</w:t>
      </w:r>
      <w:r>
        <w:rPr>
          <w:i/>
        </w:rPr>
        <w:t>ates that the m attribute indicates whether the item's value is missing.</w:t>
      </w:r>
    </w:p>
    <w:p w:rsidR="00024C0A" w:rsidRDefault="00694C0F">
      <w:pPr>
        <w:pStyle w:val="Definition-Field2"/>
      </w:pPr>
      <w:r>
        <w:t>Excel uses the m attribute to indicate whether the item itself is missing from the source data.</w:t>
      </w:r>
    </w:p>
    <w:p w:rsidR="00024C0A" w:rsidRDefault="00694C0F">
      <w:pPr>
        <w:pStyle w:val="Definition-Field"/>
      </w:pPr>
      <w:r>
        <w:t xml:space="preserve">q.   </w:t>
      </w:r>
      <w:r>
        <w:rPr>
          <w:i/>
        </w:rPr>
        <w:t>The standard does not restrict the length of the n attribute.</w:t>
      </w:r>
    </w:p>
    <w:p w:rsidR="00024C0A" w:rsidRDefault="00694C0F">
      <w:pPr>
        <w:pStyle w:val="Definition-Field2"/>
      </w:pPr>
      <w:r>
        <w:t>Office requires that</w:t>
      </w:r>
      <w:r>
        <w:t xml:space="preserve"> the n attribute be no longer than 32767 characters, or 255 characters when the PivotTable version is less than 3.</w:t>
      </w:r>
    </w:p>
    <w:p w:rsidR="00024C0A" w:rsidRDefault="00694C0F">
      <w:pPr>
        <w:pStyle w:val="Definition-Field"/>
      </w:pPr>
      <w:r>
        <w:t xml:space="preserve">r.   </w:t>
      </w:r>
      <w:r>
        <w:rPr>
          <w:i/>
        </w:rPr>
        <w:t>The standard does not restrict the value of the n attribute.</w:t>
      </w:r>
    </w:p>
    <w:p w:rsidR="00024C0A" w:rsidRDefault="00694C0F">
      <w:pPr>
        <w:pStyle w:val="Definition-Field2"/>
      </w:pPr>
      <w:r>
        <w:t>Office requires for non-OLAP PivotTables that, if present, the value of the</w:t>
      </w:r>
      <w:r>
        <w:t xml:space="preserve"> n attribute be unique within the containing pivotField.</w:t>
      </w:r>
    </w:p>
    <w:p w:rsidR="00024C0A" w:rsidRDefault="00694C0F">
      <w:pPr>
        <w:pStyle w:val="Definition-Field"/>
      </w:pPr>
      <w:r>
        <w:t xml:space="preserve">s.   </w:t>
      </w:r>
      <w:r>
        <w:rPr>
          <w:i/>
        </w:rPr>
        <w:t>The standard does not restrict the value of the t attribute with respect to other attributes.</w:t>
      </w:r>
    </w:p>
    <w:p w:rsidR="00024C0A" w:rsidRDefault="00694C0F">
      <w:pPr>
        <w:pStyle w:val="Definition-Field2"/>
      </w:pPr>
      <w:r>
        <w:t>Office requires that the f, h, m, and d attributes be the default values if the t attribute has a va</w:t>
      </w:r>
      <w:r>
        <w:t>lue other than data.</w:t>
      </w:r>
    </w:p>
    <w:p w:rsidR="00024C0A" w:rsidRDefault="00694C0F">
      <w:pPr>
        <w:pStyle w:val="Definition-Field"/>
      </w:pPr>
      <w:r>
        <w:t xml:space="preserve">t.   </w:t>
      </w:r>
      <w:r>
        <w:rPr>
          <w:i/>
        </w:rPr>
        <w:t>The standard does not restrict the possible values for the t attribute within ST_ItemType.</w:t>
      </w:r>
    </w:p>
    <w:p w:rsidR="00024C0A" w:rsidRDefault="00694C0F">
      <w:pPr>
        <w:pStyle w:val="Definition-Field2"/>
      </w:pPr>
      <w:r>
        <w:t>Office does not allow blank or grand as values for the t attribute in the item element.</w:t>
      </w:r>
    </w:p>
    <w:p w:rsidR="00024C0A" w:rsidRDefault="00694C0F">
      <w:pPr>
        <w:pStyle w:val="Heading3"/>
      </w:pPr>
      <w:bookmarkStart w:id="1549" w:name="section_8c5ed3f97cb44debb3b968dd78fc4177"/>
      <w:bookmarkStart w:id="1550" w:name="_Toc12260835"/>
      <w:r>
        <w:t>Part 1 Section 18.10.1.46, items (Field Items)</w:t>
      </w:r>
      <w:bookmarkEnd w:id="1549"/>
      <w:bookmarkEnd w:id="1550"/>
      <w:r>
        <w:fldChar w:fldCharType="begin"/>
      </w:r>
      <w:r>
        <w:instrText xml:space="preserve"> XE "</w:instrText>
      </w:r>
      <w:r>
        <w:instrText xml:space="preserve">items (Field Items)" </w:instrText>
      </w:r>
      <w:r>
        <w:fldChar w:fldCharType="end"/>
      </w:r>
    </w:p>
    <w:p w:rsidR="00024C0A" w:rsidRDefault="00694C0F">
      <w:pPr>
        <w:pStyle w:val="Definition-Field"/>
      </w:pPr>
      <w:r>
        <w:t xml:space="preserve">a.   </w:t>
      </w:r>
      <w:r>
        <w:rPr>
          <w:i/>
        </w:rPr>
        <w:t>The standard says that @count specifies the number of fields in the PivotTable.</w:t>
      </w:r>
    </w:p>
    <w:p w:rsidR="00024C0A" w:rsidRDefault="00694C0F">
      <w:pPr>
        <w:pStyle w:val="Definition-Field2"/>
      </w:pPr>
      <w:r>
        <w:t>In Office @count specifies the number of items in the pivotField.</w:t>
      </w:r>
    </w:p>
    <w:p w:rsidR="00024C0A" w:rsidRDefault="00694C0F">
      <w:pPr>
        <w:pStyle w:val="Heading3"/>
      </w:pPr>
      <w:bookmarkStart w:id="1551" w:name="section_e047f66586f44768a4b69bc5bda62613"/>
      <w:bookmarkStart w:id="1552" w:name="_Toc12260836"/>
      <w:r>
        <w:t>Part 1 Section 18.10.1.47, kpi (OLAP KPI)</w:t>
      </w:r>
      <w:bookmarkEnd w:id="1551"/>
      <w:bookmarkEnd w:id="1552"/>
      <w:r>
        <w:fldChar w:fldCharType="begin"/>
      </w:r>
      <w:r>
        <w:instrText xml:space="preserve"> XE "kpi (OLAP KPI)" </w:instrText>
      </w:r>
      <w:r>
        <w:fldChar w:fldCharType="end"/>
      </w:r>
    </w:p>
    <w:p w:rsidR="00024C0A" w:rsidRDefault="00694C0F">
      <w:pPr>
        <w:pStyle w:val="Definition-Field"/>
      </w:pPr>
      <w:r>
        <w:t xml:space="preserve">a.   </w:t>
      </w:r>
      <w:r>
        <w:rPr>
          <w:i/>
        </w:rPr>
        <w:t>The standar</w:t>
      </w:r>
      <w:r>
        <w:rPr>
          <w:i/>
        </w:rPr>
        <w:t>d implies that the caption attribute is optional.</w:t>
      </w:r>
    </w:p>
    <w:p w:rsidR="00024C0A" w:rsidRDefault="00694C0F">
      <w:pPr>
        <w:pStyle w:val="Definition-Field2"/>
      </w:pPr>
      <w:r>
        <w:t>Excel requires this attribute.</w:t>
      </w:r>
    </w:p>
    <w:p w:rsidR="00024C0A" w:rsidRDefault="00694C0F">
      <w:pPr>
        <w:pStyle w:val="Definition-Field"/>
      </w:pPr>
      <w:r>
        <w:t xml:space="preserve">b.   </w:t>
      </w:r>
      <w:r>
        <w:rPr>
          <w:i/>
        </w:rPr>
        <w:t>The standard does not limit the length of the value of the uniqueName attribute.</w:t>
      </w:r>
    </w:p>
    <w:p w:rsidR="00024C0A" w:rsidRDefault="00694C0F">
      <w:pPr>
        <w:pStyle w:val="Definition-Field2"/>
      </w:pPr>
      <w:r>
        <w:t>Excel restricts the value of this attribute to be at least 1 and at most 255 characters w</w:t>
      </w:r>
      <w:r>
        <w:t>hen the createdVersion attribute on the pivotCacheDefinition element is less than 3 and 32767 characters otherwise.</w:t>
      </w:r>
    </w:p>
    <w:p w:rsidR="00024C0A" w:rsidRDefault="00694C0F">
      <w:pPr>
        <w:pStyle w:val="Definition-Field"/>
      </w:pPr>
      <w:r>
        <w:t xml:space="preserve">c.   </w:t>
      </w:r>
      <w:r>
        <w:rPr>
          <w:i/>
        </w:rPr>
        <w:t>The standard does not limit the length of the value of the caption attribute.</w:t>
      </w:r>
    </w:p>
    <w:p w:rsidR="00024C0A" w:rsidRDefault="00694C0F">
      <w:pPr>
        <w:pStyle w:val="Definition-Field2"/>
      </w:pPr>
      <w:r>
        <w:lastRenderedPageBreak/>
        <w:t>Excel restricts the value of this attribute to be at leas</w:t>
      </w:r>
      <w:r>
        <w:t>t 1 and most 32767 characters.</w:t>
      </w:r>
    </w:p>
    <w:p w:rsidR="00024C0A" w:rsidRDefault="00694C0F">
      <w:pPr>
        <w:pStyle w:val="Definition-Field"/>
      </w:pPr>
      <w:r>
        <w:t xml:space="preserve">d.   </w:t>
      </w:r>
      <w:r>
        <w:rPr>
          <w:i/>
        </w:rPr>
        <w:t>The standard does not limit the length of the value of the displayFolder attribute.</w:t>
      </w:r>
    </w:p>
    <w:p w:rsidR="00024C0A" w:rsidRDefault="00694C0F">
      <w:pPr>
        <w:pStyle w:val="Definition-Field2"/>
      </w:pPr>
      <w:r>
        <w:t>Excel restricts the value of this attribute to be at most 65535 characters.</w:t>
      </w:r>
    </w:p>
    <w:p w:rsidR="00024C0A" w:rsidRDefault="00694C0F">
      <w:pPr>
        <w:pStyle w:val="Definition-Field"/>
      </w:pPr>
      <w:r>
        <w:t xml:space="preserve">e.   </w:t>
      </w:r>
      <w:r>
        <w:rPr>
          <w:i/>
        </w:rPr>
        <w:t xml:space="preserve">The standard does not limit the length of the value of </w:t>
      </w:r>
      <w:r>
        <w:rPr>
          <w:i/>
        </w:rPr>
        <w:t>the measureGroup attribute.</w:t>
      </w:r>
    </w:p>
    <w:p w:rsidR="00024C0A" w:rsidRDefault="00694C0F">
      <w:pPr>
        <w:pStyle w:val="Definition-Field2"/>
      </w:pPr>
      <w:r>
        <w:t>Excel restricts the value of this attribute to be at most 65535 characters.</w:t>
      </w:r>
    </w:p>
    <w:p w:rsidR="00024C0A" w:rsidRDefault="00694C0F">
      <w:pPr>
        <w:pStyle w:val="Definition-Field"/>
      </w:pPr>
      <w:r>
        <w:t xml:space="preserve">f.   </w:t>
      </w:r>
      <w:r>
        <w:rPr>
          <w:i/>
        </w:rPr>
        <w:t>The standard does not limit the length of the value of the parent attribute.</w:t>
      </w:r>
    </w:p>
    <w:p w:rsidR="00024C0A" w:rsidRDefault="00694C0F">
      <w:pPr>
        <w:pStyle w:val="Definition-Field2"/>
      </w:pPr>
      <w:r>
        <w:t>Excel restricts the value of this attribute to be at most 32767 charac</w:t>
      </w:r>
      <w:r>
        <w:t>ters.</w:t>
      </w:r>
    </w:p>
    <w:p w:rsidR="00024C0A" w:rsidRDefault="00694C0F">
      <w:pPr>
        <w:pStyle w:val="Definition-Field"/>
      </w:pPr>
      <w:r>
        <w:t xml:space="preserve">g.   </w:t>
      </w:r>
      <w:r>
        <w:rPr>
          <w:i/>
        </w:rPr>
        <w:t>The standard does not limit the length of the value of the value attribute.</w:t>
      </w:r>
    </w:p>
    <w:p w:rsidR="00024C0A" w:rsidRDefault="00694C0F">
      <w:pPr>
        <w:pStyle w:val="Definition-Field2"/>
      </w:pPr>
      <w:r>
        <w:t>Excel restricts the value of this attribute to be at least 1 and at most 255 characters when the createdVersion attribute on the pivotCacheDefinition element is less tha</w:t>
      </w:r>
      <w:r>
        <w:t>n 3 and 32767 characters otherwise.</w:t>
      </w:r>
    </w:p>
    <w:p w:rsidR="00024C0A" w:rsidRDefault="00694C0F">
      <w:pPr>
        <w:pStyle w:val="Definition-Field"/>
      </w:pPr>
      <w:r>
        <w:t xml:space="preserve">h.   </w:t>
      </w:r>
      <w:r>
        <w:rPr>
          <w:i/>
        </w:rPr>
        <w:t>The standard does not limit the length of the value of the goal attribute.</w:t>
      </w:r>
    </w:p>
    <w:p w:rsidR="00024C0A" w:rsidRDefault="00694C0F">
      <w:pPr>
        <w:pStyle w:val="Definition-Field2"/>
      </w:pPr>
      <w:r>
        <w:t>Excel restricts the value of this attribute to be at most 255 characters when the createdVersion attribute on the pivotCacheDefinition eleme</w:t>
      </w:r>
      <w:r>
        <w:t>nt is less than 3 and 32767 characters otherwise.</w:t>
      </w:r>
    </w:p>
    <w:p w:rsidR="00024C0A" w:rsidRDefault="00694C0F">
      <w:pPr>
        <w:pStyle w:val="Definition-Field"/>
      </w:pPr>
      <w:r>
        <w:t xml:space="preserve">i.   </w:t>
      </w:r>
      <w:r>
        <w:rPr>
          <w:i/>
        </w:rPr>
        <w:t>The standard does not limit the length of the value of the status attribute.</w:t>
      </w:r>
    </w:p>
    <w:p w:rsidR="00024C0A" w:rsidRDefault="00694C0F">
      <w:pPr>
        <w:pStyle w:val="Definition-Field2"/>
      </w:pPr>
      <w:r>
        <w:t xml:space="preserve">Excel restricts the value of this attribute to be at most 255 characters when the createdVersion attribute on the </w:t>
      </w:r>
      <w:r>
        <w:t>pivotCacheDefinition element is less than 3 and 32767 characters otherwise.</w:t>
      </w:r>
    </w:p>
    <w:p w:rsidR="00024C0A" w:rsidRDefault="00694C0F">
      <w:pPr>
        <w:pStyle w:val="Definition-Field"/>
      </w:pPr>
      <w:r>
        <w:t xml:space="preserve">j.   </w:t>
      </w:r>
      <w:r>
        <w:rPr>
          <w:i/>
        </w:rPr>
        <w:t>The standard does not limit the length of the value of the trend attribute.</w:t>
      </w:r>
    </w:p>
    <w:p w:rsidR="00024C0A" w:rsidRDefault="00694C0F">
      <w:pPr>
        <w:pStyle w:val="Definition-Field2"/>
      </w:pPr>
      <w:r>
        <w:t>Excel restricts the value of this attribute to be at most 255 characters when the createdVersion at</w:t>
      </w:r>
      <w:r>
        <w:t>tribute on the pivotCacheDefinition element is less than 3 and 32767 characters otherwise.</w:t>
      </w:r>
    </w:p>
    <w:p w:rsidR="00024C0A" w:rsidRDefault="00694C0F">
      <w:pPr>
        <w:pStyle w:val="Definition-Field"/>
      </w:pPr>
      <w:r>
        <w:t xml:space="preserve">k.   </w:t>
      </w:r>
      <w:r>
        <w:rPr>
          <w:i/>
        </w:rPr>
        <w:t>The standard does not limit the length of the value of the weight attribute.</w:t>
      </w:r>
    </w:p>
    <w:p w:rsidR="00024C0A" w:rsidRDefault="00694C0F">
      <w:pPr>
        <w:pStyle w:val="Definition-Field2"/>
      </w:pPr>
      <w:r>
        <w:t>Excel restricts the value of this attribute to be at most 255 characters when the c</w:t>
      </w:r>
      <w:r>
        <w:t>reatedVersion attribute on the pivotCacheDefinition element is less than 3 and 32767 characters otherwise.</w:t>
      </w:r>
    </w:p>
    <w:p w:rsidR="00024C0A" w:rsidRDefault="00694C0F">
      <w:pPr>
        <w:pStyle w:val="Definition-Field"/>
      </w:pPr>
      <w:r>
        <w:t xml:space="preserve">l.   </w:t>
      </w:r>
      <w:r>
        <w:rPr>
          <w:i/>
        </w:rPr>
        <w:t>The standard does not limit the length of the value of the time attribute.</w:t>
      </w:r>
    </w:p>
    <w:p w:rsidR="00024C0A" w:rsidRDefault="00694C0F">
      <w:pPr>
        <w:pStyle w:val="Definition-Field2"/>
      </w:pPr>
      <w:r>
        <w:t>Excel restricts the value of this attribute to be at most 255 charact</w:t>
      </w:r>
      <w:r>
        <w:t>ers when the createdVersion attribute on the pivotCacheDefinition element is less than 3 and 32767 characters otherwise.</w:t>
      </w:r>
    </w:p>
    <w:p w:rsidR="00024C0A" w:rsidRDefault="00694C0F">
      <w:pPr>
        <w:pStyle w:val="Definition-Field"/>
      </w:pPr>
      <w:r>
        <w:t xml:space="preserve">m.   </w:t>
      </w:r>
      <w:r>
        <w:rPr>
          <w:i/>
        </w:rPr>
        <w:t>The standard states that the time attribute can be present.</w:t>
      </w:r>
    </w:p>
    <w:p w:rsidR="00024C0A" w:rsidRDefault="00694C0F">
      <w:pPr>
        <w:pStyle w:val="Definition-Field2"/>
      </w:pPr>
      <w:r>
        <w:t>Office reports files as corrupt that contain this attribute.</w:t>
      </w:r>
    </w:p>
    <w:p w:rsidR="00024C0A" w:rsidRDefault="00694C0F">
      <w:pPr>
        <w:pStyle w:val="Definition-Field"/>
      </w:pPr>
      <w:r>
        <w:t xml:space="preserve">n.   </w:t>
      </w:r>
      <w:r>
        <w:rPr>
          <w:i/>
        </w:rPr>
        <w:t xml:space="preserve">The </w:t>
      </w:r>
      <w:r>
        <w:rPr>
          <w:i/>
        </w:rPr>
        <w:t>standard states the values of the weight attribute are defined by the Xstring simple type.</w:t>
      </w:r>
    </w:p>
    <w:p w:rsidR="00024C0A" w:rsidRDefault="00694C0F">
      <w:pPr>
        <w:pStyle w:val="Definition-Field2"/>
      </w:pPr>
      <w:r>
        <w:t xml:space="preserve">Office will not successfully open files when this attribute is non-empty and contains a value that does not match the uniqueName attribute value of a cacheHierarchy </w:t>
      </w:r>
      <w:r>
        <w:t>with a measure value of 1.</w:t>
      </w:r>
    </w:p>
    <w:p w:rsidR="00024C0A" w:rsidRDefault="00694C0F">
      <w:pPr>
        <w:pStyle w:val="Definition-Field"/>
      </w:pPr>
      <w:r>
        <w:t xml:space="preserve">o.   </w:t>
      </w:r>
      <w:r>
        <w:rPr>
          <w:i/>
        </w:rPr>
        <w:t>The standard places no restrictions on the relationship between the parent attribute and the uniqueName attribute on the parent kpi element.</w:t>
      </w:r>
    </w:p>
    <w:p w:rsidR="00024C0A" w:rsidRDefault="00694C0F">
      <w:pPr>
        <w:pStyle w:val="Definition-Field2"/>
      </w:pPr>
      <w:r>
        <w:t>Excel requires the value of the parent attribute, when not null, to be equal to the</w:t>
      </w:r>
      <w:r>
        <w:t xml:space="preserve"> value of the uniqueName attribute on the parent kpi element.</w:t>
      </w:r>
    </w:p>
    <w:p w:rsidR="00024C0A" w:rsidRDefault="00694C0F">
      <w:pPr>
        <w:pStyle w:val="Definition-Field"/>
      </w:pPr>
      <w:r>
        <w:t xml:space="preserve">p.   </w:t>
      </w:r>
      <w:r>
        <w:rPr>
          <w:i/>
        </w:rPr>
        <w:t>The standard places no restrictions on the relationship between the value attribute and the uniqueName attribute on the cacheHierarchy element.</w:t>
      </w:r>
    </w:p>
    <w:p w:rsidR="00024C0A" w:rsidRDefault="00694C0F">
      <w:pPr>
        <w:pStyle w:val="Definition-Field2"/>
      </w:pPr>
      <w:r>
        <w:lastRenderedPageBreak/>
        <w:t>Excel requires the value of the value attribu</w:t>
      </w:r>
      <w:r>
        <w:t>te to be equal to the value of the uniqueName attribute on a cacheHierarchy element whose measure attribute has a value of 1.</w:t>
      </w:r>
    </w:p>
    <w:p w:rsidR="00024C0A" w:rsidRDefault="00694C0F">
      <w:pPr>
        <w:pStyle w:val="Definition-Field"/>
      </w:pPr>
      <w:r>
        <w:t xml:space="preserve">q.   </w:t>
      </w:r>
      <w:r>
        <w:rPr>
          <w:i/>
        </w:rPr>
        <w:t>The standard places no restrictions on the relationship between the goal attribute and the uniqueName attribute on the cacheH</w:t>
      </w:r>
      <w:r>
        <w:rPr>
          <w:i/>
        </w:rPr>
        <w:t>ierarchy element.</w:t>
      </w:r>
    </w:p>
    <w:p w:rsidR="00024C0A" w:rsidRDefault="00694C0F">
      <w:pPr>
        <w:pStyle w:val="Definition-Field2"/>
      </w:pPr>
      <w:r>
        <w:t>Excel requires the value of the goal attribute to be equal to the value of the uniqueName attribute on a cacheHierarchy element whose measure attribute has a value of 1.</w:t>
      </w:r>
    </w:p>
    <w:p w:rsidR="00024C0A" w:rsidRDefault="00694C0F">
      <w:pPr>
        <w:pStyle w:val="Definition-Field"/>
      </w:pPr>
      <w:r>
        <w:t xml:space="preserve">r.   </w:t>
      </w:r>
      <w:r>
        <w:rPr>
          <w:i/>
        </w:rPr>
        <w:t>The standard places no restrictions on the relationship between</w:t>
      </w:r>
      <w:r>
        <w:rPr>
          <w:i/>
        </w:rPr>
        <w:t xml:space="preserve"> the status attribute and the uniqueName attribute on the cacheHierarchy element.</w:t>
      </w:r>
    </w:p>
    <w:p w:rsidR="00024C0A" w:rsidRDefault="00694C0F">
      <w:pPr>
        <w:pStyle w:val="Definition-Field2"/>
      </w:pPr>
      <w:r>
        <w:t>Excel requires the value of the status attribute to be equal to the value of the uniqueName attribute on a cacheHierarchy element whose measure attribute has a value of 1.</w:t>
      </w:r>
    </w:p>
    <w:p w:rsidR="00024C0A" w:rsidRDefault="00694C0F">
      <w:pPr>
        <w:pStyle w:val="Definition-Field"/>
      </w:pPr>
      <w:r>
        <w:t>s.</w:t>
      </w:r>
      <w:r>
        <w:t xml:space="preserve">   </w:t>
      </w:r>
      <w:r>
        <w:rPr>
          <w:i/>
        </w:rPr>
        <w:t>The standard places no restrictions on the relationship between the trend attribute and the uniqueName attribute on the cacheHierarchy element.</w:t>
      </w:r>
    </w:p>
    <w:p w:rsidR="00024C0A" w:rsidRDefault="00694C0F">
      <w:pPr>
        <w:pStyle w:val="Definition-Field2"/>
      </w:pPr>
      <w:r>
        <w:t xml:space="preserve">Excel requires the value of the trend attribute to be equal to the value of the uniqueName attribute on a </w:t>
      </w:r>
      <w:r>
        <w:t>cacheHierarchy element whose measure attribute has a value of 1.</w:t>
      </w:r>
    </w:p>
    <w:p w:rsidR="00024C0A" w:rsidRDefault="00694C0F">
      <w:pPr>
        <w:pStyle w:val="Heading3"/>
      </w:pPr>
      <w:bookmarkStart w:id="1553" w:name="section_fa78de5c80bd45c2b90fc99e77c58627"/>
      <w:bookmarkStart w:id="1554" w:name="_Toc12260837"/>
      <w:r>
        <w:t>Part 1 Section 18.10.1.49, location (PivotTable Location)</w:t>
      </w:r>
      <w:bookmarkEnd w:id="1553"/>
      <w:bookmarkEnd w:id="1554"/>
      <w:r>
        <w:fldChar w:fldCharType="begin"/>
      </w:r>
      <w:r>
        <w:instrText xml:space="preserve"> XE "location (PivotTable Location)" </w:instrText>
      </w:r>
      <w:r>
        <w:fldChar w:fldCharType="end"/>
      </w:r>
    </w:p>
    <w:p w:rsidR="00024C0A" w:rsidRDefault="00694C0F">
      <w:pPr>
        <w:pStyle w:val="Definition-Field"/>
      </w:pPr>
      <w:r>
        <w:t xml:space="preserve">a.   </w:t>
      </w:r>
      <w:r>
        <w:rPr>
          <w:i/>
        </w:rPr>
        <w:t>The standard does not bound the maximum allowed value on the firstHeaderRow attribute.</w:t>
      </w:r>
    </w:p>
    <w:p w:rsidR="00024C0A" w:rsidRDefault="00694C0F">
      <w:pPr>
        <w:pStyle w:val="Definition-Field2"/>
      </w:pPr>
      <w:r>
        <w:t>Of</w:t>
      </w:r>
      <w:r>
        <w:t>fice bounds the maximum allowed value of firstHeaderRow by the value of firstDataRow.</w:t>
      </w:r>
    </w:p>
    <w:p w:rsidR="00024C0A" w:rsidRDefault="00694C0F">
      <w:pPr>
        <w:pStyle w:val="Definition-Field"/>
      </w:pPr>
      <w:r>
        <w:t xml:space="preserve">b.   </w:t>
      </w:r>
      <w:r>
        <w:rPr>
          <w:i/>
        </w:rPr>
        <w:t>The standard says the @ref specifies the first row of the PivotTable.</w:t>
      </w:r>
    </w:p>
    <w:p w:rsidR="00024C0A" w:rsidRDefault="00694C0F">
      <w:pPr>
        <w:pStyle w:val="Definition-Field2"/>
      </w:pPr>
      <w:r>
        <w:t>Office assumes that @ref specifies the range of the PivotTable excluding the page fields.</w:t>
      </w:r>
    </w:p>
    <w:p w:rsidR="00024C0A" w:rsidRDefault="00694C0F">
      <w:pPr>
        <w:pStyle w:val="Heading3"/>
      </w:pPr>
      <w:bookmarkStart w:id="1555" w:name="section_148814680d094701a500d97e5d61c8a2"/>
      <w:bookmarkStart w:id="1556" w:name="_Toc12260838"/>
      <w:r>
        <w:t xml:space="preserve">Part </w:t>
      </w:r>
      <w:r>
        <w:t>1 Section 18.10.1.50, m (No Value)</w:t>
      </w:r>
      <w:bookmarkEnd w:id="1555"/>
      <w:bookmarkEnd w:id="1556"/>
      <w:r>
        <w:fldChar w:fldCharType="begin"/>
      </w:r>
      <w:r>
        <w:instrText xml:space="preserve"> XE "m (No Value)" </w:instrText>
      </w:r>
      <w:r>
        <w:fldChar w:fldCharType="end"/>
      </w:r>
    </w:p>
    <w:p w:rsidR="00024C0A" w:rsidRDefault="00694C0F">
      <w:pPr>
        <w:pStyle w:val="Definition-Field"/>
      </w:pPr>
      <w:r>
        <w:t xml:space="preserve">a.   </w:t>
      </w:r>
      <w:r>
        <w:rPr>
          <w:i/>
        </w:rPr>
        <w:t>The standard does not limit the length of the value of the c attribute.</w:t>
      </w:r>
    </w:p>
    <w:p w:rsidR="00024C0A" w:rsidRDefault="00694C0F">
      <w:pPr>
        <w:pStyle w:val="Definition-Field2"/>
      </w:pPr>
      <w:r>
        <w:t>Excel restricts the value of this attribute to be at most 65535 characters.</w:t>
      </w:r>
    </w:p>
    <w:p w:rsidR="00024C0A" w:rsidRDefault="00694C0F">
      <w:pPr>
        <w:pStyle w:val="Definition-Field"/>
      </w:pPr>
      <w:r>
        <w:t xml:space="preserve">b.   </w:t>
      </w:r>
      <w:r>
        <w:rPr>
          <w:i/>
        </w:rPr>
        <w:t xml:space="preserve">The standard does not define the relation </w:t>
      </w:r>
      <w:r>
        <w:rPr>
          <w:i/>
        </w:rPr>
        <w:t>between @c and the datasource type.</w:t>
      </w:r>
    </w:p>
    <w:p w:rsidR="00024C0A" w:rsidRDefault="00694C0F">
      <w:pPr>
        <w:pStyle w:val="Definition-Field2"/>
      </w:pPr>
      <w:r>
        <w:t>In Office, @c applies only to OLAP-based PivotTables.  If the value of pivotCacheDefinition@createdVersion is less than 3, this value shall not be specified.</w:t>
      </w:r>
    </w:p>
    <w:p w:rsidR="00024C0A" w:rsidRDefault="00694C0F">
      <w:pPr>
        <w:pStyle w:val="Definition-Field"/>
      </w:pPr>
      <w:r>
        <w:t xml:space="preserve">c.   </w:t>
      </w:r>
      <w:r>
        <w:rPr>
          <w:i/>
        </w:rPr>
        <w:t>The standard does not specify a default value for the f a</w:t>
      </w:r>
      <w:r>
        <w:rPr>
          <w:i/>
        </w:rPr>
        <w:t>ttribute.</w:t>
      </w:r>
    </w:p>
    <w:p w:rsidR="00024C0A" w:rsidRDefault="00694C0F">
      <w:pPr>
        <w:pStyle w:val="Definition-Field2"/>
      </w:pPr>
      <w:r>
        <w:t>Excel uses a default value of false for this attribute.</w:t>
      </w:r>
    </w:p>
    <w:p w:rsidR="00024C0A" w:rsidRDefault="00694C0F">
      <w:pPr>
        <w:pStyle w:val="Definition-Field"/>
      </w:pPr>
      <w:r>
        <w:t xml:space="preserve">d.   </w:t>
      </w:r>
      <w:r>
        <w:rPr>
          <w:i/>
        </w:rPr>
        <w:t>The standard does not define the relation between @cp and child elements.</w:t>
      </w:r>
    </w:p>
    <w:p w:rsidR="00024C0A" w:rsidRDefault="00694C0F">
      <w:pPr>
        <w:pStyle w:val="Definition-Field2"/>
      </w:pPr>
      <w:r>
        <w:t>In Office, the value of @cp shall be equal to the count of child x elements and be less than or equal to the @m</w:t>
      </w:r>
      <w:r>
        <w:t>appingCount of the corresponding cacheField element.</w:t>
      </w:r>
    </w:p>
    <w:p w:rsidR="00024C0A" w:rsidRDefault="00694C0F">
      <w:pPr>
        <w:pStyle w:val="Definition-Field"/>
      </w:pPr>
      <w:r>
        <w:t xml:space="preserve">e.   </w:t>
      </w:r>
      <w:r>
        <w:rPr>
          <w:i/>
        </w:rPr>
        <w:t>The standard does not define the relation between @cp and the datasource type.</w:t>
      </w:r>
    </w:p>
    <w:p w:rsidR="00024C0A" w:rsidRDefault="00694C0F">
      <w:pPr>
        <w:pStyle w:val="Definition-Field2"/>
      </w:pPr>
      <w:r>
        <w:t>In Office, @cp applies only to OLAP-based PivotTables.</w:t>
      </w:r>
    </w:p>
    <w:p w:rsidR="00024C0A" w:rsidRDefault="00694C0F">
      <w:pPr>
        <w:pStyle w:val="Definition-Field"/>
      </w:pPr>
      <w:r>
        <w:t xml:space="preserve">f.   </w:t>
      </w:r>
      <w:r>
        <w:rPr>
          <w:i/>
        </w:rPr>
        <w:t>The standard does not define relation between @cp and share</w:t>
      </w:r>
      <w:r>
        <w:rPr>
          <w:i/>
        </w:rPr>
        <w:t>dItems node.</w:t>
      </w:r>
    </w:p>
    <w:p w:rsidR="00024C0A" w:rsidRDefault="00694C0F">
      <w:pPr>
        <w:pStyle w:val="Definition-Field2"/>
      </w:pPr>
      <w:r>
        <w:t>In Office, @cp applies only when the node parent is sharedItems.</w:t>
      </w:r>
    </w:p>
    <w:p w:rsidR="00024C0A" w:rsidRDefault="00694C0F">
      <w:pPr>
        <w:pStyle w:val="Definition-Field"/>
      </w:pPr>
      <w:r>
        <w:t xml:space="preserve">g.   </w:t>
      </w:r>
      <w:r>
        <w:rPr>
          <w:i/>
        </w:rPr>
        <w:t>The standard does not specify a default value for the u attribute.</w:t>
      </w:r>
    </w:p>
    <w:p w:rsidR="00024C0A" w:rsidRDefault="00694C0F">
      <w:pPr>
        <w:pStyle w:val="Definition-Field2"/>
      </w:pPr>
      <w:r>
        <w:lastRenderedPageBreak/>
        <w:t>Excel uses a default value of false for this attribute.</w:t>
      </w:r>
    </w:p>
    <w:p w:rsidR="00024C0A" w:rsidRDefault="00694C0F">
      <w:pPr>
        <w:pStyle w:val="Definition-Field"/>
      </w:pPr>
      <w:r>
        <w:t xml:space="preserve">h.   </w:t>
      </w:r>
      <w:r>
        <w:rPr>
          <w:i/>
        </w:rPr>
        <w:t>The standard does not define relation between</w:t>
      </w:r>
      <w:r>
        <w:rPr>
          <w:i/>
        </w:rPr>
        <w:t xml:space="preserve"> @f and sharedItems node.</w:t>
      </w:r>
    </w:p>
    <w:p w:rsidR="00024C0A" w:rsidRDefault="00694C0F">
      <w:pPr>
        <w:pStyle w:val="Definition-Field2"/>
      </w:pPr>
      <w:r>
        <w:t>In Office, @f applies only when the node parent is sharedItems.</w:t>
      </w:r>
    </w:p>
    <w:p w:rsidR="00024C0A" w:rsidRDefault="00694C0F">
      <w:pPr>
        <w:pStyle w:val="Definition-Field"/>
      </w:pPr>
      <w:r>
        <w:t xml:space="preserve">i.   </w:t>
      </w:r>
      <w:r>
        <w:rPr>
          <w:i/>
        </w:rPr>
        <w:t>The standard does not define relation between @u and sharedItems node.</w:t>
      </w:r>
    </w:p>
    <w:p w:rsidR="00024C0A" w:rsidRDefault="00694C0F">
      <w:pPr>
        <w:pStyle w:val="Definition-Field2"/>
      </w:pPr>
      <w:r>
        <w:t>In Office, @u applies only when the node parent is sharedItems.</w:t>
      </w:r>
    </w:p>
    <w:p w:rsidR="00024C0A" w:rsidRDefault="00694C0F">
      <w:pPr>
        <w:pStyle w:val="Definition-Field"/>
      </w:pPr>
      <w:r>
        <w:t xml:space="preserve">j.   </w:t>
      </w:r>
      <w:r>
        <w:rPr>
          <w:i/>
        </w:rPr>
        <w:t xml:space="preserve">The standard defines </w:t>
      </w:r>
      <w:r>
        <w:rPr>
          <w:i/>
        </w:rPr>
        <w:t>that a value of true for the i attribute indicates this value contains underline formatting.</w:t>
      </w:r>
    </w:p>
    <w:p w:rsidR="00024C0A" w:rsidRDefault="00694C0F">
      <w:pPr>
        <w:pStyle w:val="Definition-Field2"/>
      </w:pPr>
      <w:r>
        <w:t>In Excel, a value of true for the i attribute indicates this value contains italic formatting.</w:t>
      </w:r>
    </w:p>
    <w:p w:rsidR="00024C0A" w:rsidRDefault="00694C0F">
      <w:pPr>
        <w:pStyle w:val="Definition-Field"/>
      </w:pPr>
      <w:r>
        <w:t xml:space="preserve">k.   </w:t>
      </w:r>
      <w:r>
        <w:rPr>
          <w:i/>
        </w:rPr>
        <w:t xml:space="preserve">The standard defines that a value of true for the st attribute </w:t>
      </w:r>
      <w:r>
        <w:rPr>
          <w:i/>
        </w:rPr>
        <w:t>indicates this value contains underline formatting.</w:t>
      </w:r>
    </w:p>
    <w:p w:rsidR="00024C0A" w:rsidRDefault="00694C0F">
      <w:pPr>
        <w:pStyle w:val="Definition-Field2"/>
      </w:pPr>
      <w:r>
        <w:t>In Excel, a value of true for the st attribute indicates this value contains strikethrough formatting.</w:t>
      </w:r>
    </w:p>
    <w:p w:rsidR="00024C0A" w:rsidRDefault="00694C0F">
      <w:pPr>
        <w:pStyle w:val="Heading3"/>
      </w:pPr>
      <w:bookmarkStart w:id="1557" w:name="section_402db8a4378941b1a621df9fe88402ad"/>
      <w:bookmarkStart w:id="1558" w:name="_Toc12260839"/>
      <w:r>
        <w:t>Part 1 Section 18.10.1.51, map (OLAP Measure Group)</w:t>
      </w:r>
      <w:bookmarkEnd w:id="1557"/>
      <w:bookmarkEnd w:id="1558"/>
      <w:r>
        <w:fldChar w:fldCharType="begin"/>
      </w:r>
      <w:r>
        <w:instrText xml:space="preserve"> XE "map (OLAP Measure Group)" </w:instrText>
      </w:r>
      <w:r>
        <w:fldChar w:fldCharType="end"/>
      </w:r>
    </w:p>
    <w:p w:rsidR="00024C0A" w:rsidRDefault="00694C0F">
      <w:pPr>
        <w:pStyle w:val="Definition-Field"/>
      </w:pPr>
      <w:r>
        <w:t xml:space="preserve">a.   </w:t>
      </w:r>
      <w:r>
        <w:rPr>
          <w:i/>
        </w:rPr>
        <w:t xml:space="preserve">The </w:t>
      </w:r>
      <w:r>
        <w:rPr>
          <w:i/>
        </w:rPr>
        <w:t>standard does not place any restrictions on the value of the measureGroup attribute.</w:t>
      </w:r>
    </w:p>
    <w:p w:rsidR="00024C0A" w:rsidRDefault="00694C0F">
      <w:pPr>
        <w:pStyle w:val="Definition-Field2"/>
      </w:pPr>
      <w:r>
        <w:t>In Office, the value of the measureGroup attribute must be less than the number of items in measureGroups collection.</w:t>
      </w:r>
    </w:p>
    <w:p w:rsidR="00024C0A" w:rsidRDefault="00694C0F">
      <w:pPr>
        <w:pStyle w:val="Definition-Field"/>
      </w:pPr>
      <w:r>
        <w:t xml:space="preserve">b.   </w:t>
      </w:r>
      <w:r>
        <w:rPr>
          <w:i/>
        </w:rPr>
        <w:t>The standard does not restrict the value of @dim</w:t>
      </w:r>
      <w:r>
        <w:rPr>
          <w:i/>
        </w:rPr>
        <w:t>ension.</w:t>
      </w:r>
    </w:p>
    <w:p w:rsidR="00024C0A" w:rsidRDefault="00694C0F">
      <w:pPr>
        <w:pStyle w:val="Definition-Field2"/>
      </w:pPr>
      <w:r>
        <w:t>In Office, @dimension must be less than the number of items in the dimensions collection.</w:t>
      </w:r>
    </w:p>
    <w:p w:rsidR="00024C0A" w:rsidRDefault="00694C0F">
      <w:pPr>
        <w:pStyle w:val="Definition-Field"/>
      </w:pPr>
      <w:r>
        <w:t xml:space="preserve">c.   </w:t>
      </w:r>
      <w:r>
        <w:rPr>
          <w:i/>
        </w:rPr>
        <w:t>The standard does not specify the base of the dimension attribute index.</w:t>
      </w:r>
    </w:p>
    <w:p w:rsidR="00024C0A" w:rsidRDefault="00694C0F">
      <w:pPr>
        <w:pStyle w:val="Definition-Field2"/>
      </w:pPr>
      <w:r>
        <w:t>Office treats the dimension attribute as a zero-based index.</w:t>
      </w:r>
    </w:p>
    <w:p w:rsidR="00024C0A" w:rsidRDefault="00694C0F">
      <w:pPr>
        <w:pStyle w:val="Definition-Field"/>
      </w:pPr>
      <w:r>
        <w:t xml:space="preserve">d.   </w:t>
      </w:r>
      <w:r>
        <w:rPr>
          <w:i/>
        </w:rPr>
        <w:t>The standard d</w:t>
      </w:r>
      <w:r>
        <w:rPr>
          <w:i/>
        </w:rPr>
        <w:t>oes not specify the base of the measureGroup attribute index.</w:t>
      </w:r>
    </w:p>
    <w:p w:rsidR="00024C0A" w:rsidRDefault="00694C0F">
      <w:pPr>
        <w:pStyle w:val="Definition-Field2"/>
      </w:pPr>
      <w:r>
        <w:t>Office treats the measureGroup attribute as a zero-based index.</w:t>
      </w:r>
    </w:p>
    <w:p w:rsidR="00024C0A" w:rsidRDefault="00694C0F">
      <w:pPr>
        <w:pStyle w:val="Definition-Field"/>
      </w:pPr>
      <w:r>
        <w:t xml:space="preserve">e.   </w:t>
      </w:r>
      <w:r>
        <w:rPr>
          <w:i/>
        </w:rPr>
        <w:t>The standard states that the dimension attribute is optional.</w:t>
      </w:r>
    </w:p>
    <w:p w:rsidR="00024C0A" w:rsidRDefault="00694C0F">
      <w:pPr>
        <w:pStyle w:val="Definition-Field2"/>
      </w:pPr>
      <w:r>
        <w:t>Excel requires this attribute.</w:t>
      </w:r>
    </w:p>
    <w:p w:rsidR="00024C0A" w:rsidRDefault="00694C0F">
      <w:pPr>
        <w:pStyle w:val="Definition-Field"/>
      </w:pPr>
      <w:r>
        <w:t xml:space="preserve">f.   </w:t>
      </w:r>
      <w:r>
        <w:rPr>
          <w:i/>
        </w:rPr>
        <w:t>The standard implies that t</w:t>
      </w:r>
      <w:r>
        <w:rPr>
          <w:i/>
        </w:rPr>
        <w:t>he measureGroup attribute is optional.</w:t>
      </w:r>
    </w:p>
    <w:p w:rsidR="00024C0A" w:rsidRDefault="00694C0F">
      <w:pPr>
        <w:pStyle w:val="Definition-Field2"/>
      </w:pPr>
      <w:r>
        <w:t>Excel requires this attribute.</w:t>
      </w:r>
    </w:p>
    <w:p w:rsidR="00024C0A" w:rsidRDefault="00694C0F">
      <w:pPr>
        <w:pStyle w:val="Heading3"/>
      </w:pPr>
      <w:bookmarkStart w:id="1559" w:name="section_cfecb95860864d0c90767301fa40250e"/>
      <w:bookmarkStart w:id="1560" w:name="_Toc12260840"/>
      <w:r>
        <w:t>Part 1 Section 18.10.1.53, measureGroup (OLAP Measure Group)</w:t>
      </w:r>
      <w:bookmarkEnd w:id="1559"/>
      <w:bookmarkEnd w:id="1560"/>
      <w:r>
        <w:fldChar w:fldCharType="begin"/>
      </w:r>
      <w:r>
        <w:instrText xml:space="preserve"> XE "measureGroup (OLAP Measure Group)" </w:instrText>
      </w:r>
      <w:r>
        <w:fldChar w:fldCharType="end"/>
      </w:r>
    </w:p>
    <w:p w:rsidR="00024C0A" w:rsidRDefault="00694C0F">
      <w:pPr>
        <w:pStyle w:val="Definition-Field"/>
      </w:pPr>
      <w:r>
        <w:t xml:space="preserve">a.   </w:t>
      </w:r>
      <w:r>
        <w:rPr>
          <w:i/>
        </w:rPr>
        <w:t>The standard does not limit the length of the value of the caption attribute.</w:t>
      </w:r>
    </w:p>
    <w:p w:rsidR="00024C0A" w:rsidRDefault="00694C0F">
      <w:pPr>
        <w:pStyle w:val="Definition-Field2"/>
      </w:pPr>
      <w:r>
        <w:t>Excel restricts the value of this attribute to be at least 1 and at most 65535 characters.</w:t>
      </w:r>
    </w:p>
    <w:p w:rsidR="00024C0A" w:rsidRDefault="00694C0F">
      <w:pPr>
        <w:pStyle w:val="Definition-Field"/>
      </w:pPr>
      <w:r>
        <w:t xml:space="preserve">b.   </w:t>
      </w:r>
      <w:r>
        <w:rPr>
          <w:i/>
        </w:rPr>
        <w:t>The standard does not limit the length of the value of the name attribute.</w:t>
      </w:r>
    </w:p>
    <w:p w:rsidR="00024C0A" w:rsidRDefault="00694C0F">
      <w:pPr>
        <w:pStyle w:val="Definition-Field2"/>
      </w:pPr>
      <w:r>
        <w:t>Excel restricts the value of this attribute to be at least 1 and at most 65535 charac</w:t>
      </w:r>
      <w:r>
        <w:t>ters.</w:t>
      </w:r>
    </w:p>
    <w:p w:rsidR="00024C0A" w:rsidRDefault="00694C0F">
      <w:pPr>
        <w:pStyle w:val="Heading3"/>
      </w:pPr>
      <w:bookmarkStart w:id="1561" w:name="section_1bef1665e5ea43e6aa806382ef735c9f"/>
      <w:bookmarkStart w:id="1562" w:name="_Toc12260841"/>
      <w:r>
        <w:t>Part 1 Section 18.10.1.55, member (Member)</w:t>
      </w:r>
      <w:bookmarkEnd w:id="1561"/>
      <w:bookmarkEnd w:id="1562"/>
      <w:r>
        <w:fldChar w:fldCharType="begin"/>
      </w:r>
      <w:r>
        <w:instrText xml:space="preserve"> XE "member (Member)" </w:instrText>
      </w:r>
      <w:r>
        <w:fldChar w:fldCharType="end"/>
      </w:r>
    </w:p>
    <w:p w:rsidR="00024C0A" w:rsidRDefault="00694C0F">
      <w:pPr>
        <w:pStyle w:val="Definition-Field"/>
      </w:pPr>
      <w:r>
        <w:t xml:space="preserve">a.   </w:t>
      </w:r>
      <w:r>
        <w:rPr>
          <w:i/>
        </w:rPr>
        <w:t>The standard states that the name attribute specifies the name of a hidden item.</w:t>
      </w:r>
    </w:p>
    <w:p w:rsidR="00024C0A" w:rsidRDefault="00694C0F">
      <w:pPr>
        <w:pStyle w:val="Definition-Field2"/>
      </w:pPr>
      <w:r>
        <w:lastRenderedPageBreak/>
        <w:t>Excel uses this attribute to specify the name of an included or excluded item.</w:t>
      </w:r>
    </w:p>
    <w:p w:rsidR="00024C0A" w:rsidRDefault="00694C0F">
      <w:pPr>
        <w:pStyle w:val="Heading3"/>
      </w:pPr>
      <w:bookmarkStart w:id="1563" w:name="section_29bfbcf811e64151a3b3abb4825c9160"/>
      <w:bookmarkStart w:id="1564" w:name="_Toc12260842"/>
      <w:r>
        <w:t>Part 1 Section 18.</w:t>
      </w:r>
      <w:r>
        <w:t>10.1.56, members (Members)</w:t>
      </w:r>
      <w:bookmarkEnd w:id="1563"/>
      <w:bookmarkEnd w:id="1564"/>
      <w:r>
        <w:fldChar w:fldCharType="begin"/>
      </w:r>
      <w:r>
        <w:instrText xml:space="preserve"> XE "members (Members)" </w:instrText>
      </w:r>
      <w:r>
        <w:fldChar w:fldCharType="end"/>
      </w:r>
    </w:p>
    <w:p w:rsidR="00024C0A" w:rsidRDefault="00694C0F">
      <w:pPr>
        <w:pStyle w:val="Definition-Field"/>
      </w:pPr>
      <w:r>
        <w:t xml:space="preserve">a.   </w:t>
      </w:r>
      <w:r>
        <w:rPr>
          <w:i/>
        </w:rPr>
        <w:t>The standard does not state how to handle the absence of the level attribute.</w:t>
      </w:r>
    </w:p>
    <w:p w:rsidR="00024C0A" w:rsidRDefault="00694C0F">
      <w:pPr>
        <w:pStyle w:val="Definition-Field2"/>
      </w:pPr>
      <w:r>
        <w:t>Excel allows child member elements in this collection to be from all hierarchy levels under this circumstance.</w:t>
      </w:r>
    </w:p>
    <w:p w:rsidR="00024C0A" w:rsidRDefault="00694C0F">
      <w:pPr>
        <w:pStyle w:val="Definition-Field"/>
      </w:pPr>
      <w:r>
        <w:t xml:space="preserve">b.   </w:t>
      </w:r>
      <w:r>
        <w:rPr>
          <w:i/>
        </w:rPr>
        <w:t xml:space="preserve">The </w:t>
      </w:r>
      <w:r>
        <w:rPr>
          <w:i/>
        </w:rPr>
        <w:t>standard states that the values of the level attribute are defined by the XML Schema unsignedInt datatype.</w:t>
      </w:r>
    </w:p>
    <w:p w:rsidR="00024C0A" w:rsidRDefault="00694C0F">
      <w:r>
        <w:t>Excel requires the value of this attribute, when present, to be more than 0 and less than the value of the count attribute of the associated PivotCac</w:t>
      </w:r>
      <w:r>
        <w:t>he's cacheHierarchy element with the same index as the parent pivotHierarchy element, if that value is greater than 0.</w:t>
      </w:r>
    </w:p>
    <w:p w:rsidR="00024C0A" w:rsidRDefault="00694C0F">
      <w:pPr>
        <w:pStyle w:val="Heading3"/>
      </w:pPr>
      <w:bookmarkStart w:id="1565" w:name="section_71f10955d10148acb9bb4fefc73cdb96"/>
      <w:bookmarkStart w:id="1566" w:name="_Toc12260843"/>
      <w:r>
        <w:t>Part 1 Section 18.10.1.57, mp (OLAP Member Property)</w:t>
      </w:r>
      <w:bookmarkEnd w:id="1565"/>
      <w:bookmarkEnd w:id="1566"/>
      <w:r>
        <w:fldChar w:fldCharType="begin"/>
      </w:r>
      <w:r>
        <w:instrText xml:space="preserve"> XE "mp (OLAP Member Property)" </w:instrText>
      </w:r>
      <w:r>
        <w:fldChar w:fldCharType="end"/>
      </w:r>
    </w:p>
    <w:p w:rsidR="00024C0A" w:rsidRDefault="00694C0F">
      <w:pPr>
        <w:pStyle w:val="Definition-Field"/>
      </w:pPr>
      <w:r>
        <w:t xml:space="preserve">a.   </w:t>
      </w:r>
      <w:r>
        <w:rPr>
          <w:i/>
        </w:rPr>
        <w:t xml:space="preserve">The standard does not state the relation </w:t>
      </w:r>
      <w:r>
        <w:rPr>
          <w:i/>
        </w:rPr>
        <w:t>between the name attribute and the nameLen attribute.</w:t>
      </w:r>
    </w:p>
    <w:p w:rsidR="00024C0A" w:rsidRDefault="00694C0F">
      <w:pPr>
        <w:pStyle w:val="Definition-Field2"/>
      </w:pPr>
      <w:r>
        <w:t>In Office, if the name attribute is specified, the nameLen attribute shall also be specified and gives the length of an OLAP hierarchy name.</w:t>
      </w:r>
    </w:p>
    <w:p w:rsidR="00024C0A" w:rsidRDefault="00694C0F">
      <w:pPr>
        <w:pStyle w:val="Definition-Field"/>
      </w:pPr>
      <w:r>
        <w:t xml:space="preserve">b.   </w:t>
      </w:r>
      <w:r>
        <w:rPr>
          <w:i/>
        </w:rPr>
        <w:t xml:space="preserve">The standard does not state the relation between the </w:t>
      </w:r>
      <w:r>
        <w:rPr>
          <w:i/>
        </w:rPr>
        <w:t>name attribute and the pLen attribute.</w:t>
      </w:r>
    </w:p>
    <w:p w:rsidR="00024C0A" w:rsidRDefault="00694C0F">
      <w:pPr>
        <w:pStyle w:val="Definition-Field2"/>
      </w:pPr>
      <w:r>
        <w:t>In Office, if the name attribute is specified then the pLen attribute must also be specified.</w:t>
      </w:r>
    </w:p>
    <w:p w:rsidR="00024C0A" w:rsidRDefault="00694C0F">
      <w:pPr>
        <w:pStyle w:val="Definition-Field"/>
      </w:pPr>
      <w:r>
        <w:t xml:space="preserve">c.   </w:t>
      </w:r>
      <w:r>
        <w:rPr>
          <w:i/>
        </w:rPr>
        <w:t>The standard does not state the relation between the name attribute and the pPos attribute.</w:t>
      </w:r>
    </w:p>
    <w:p w:rsidR="00024C0A" w:rsidRDefault="00694C0F">
      <w:pPr>
        <w:pStyle w:val="Definition-Field2"/>
      </w:pPr>
      <w:r>
        <w:t>In Office, if the name att</w:t>
      </w:r>
      <w:r>
        <w:t>ribute is specified then the pPos attribute ust also be specified.</w:t>
      </w:r>
    </w:p>
    <w:p w:rsidR="00024C0A" w:rsidRDefault="00694C0F">
      <w:pPr>
        <w:pStyle w:val="Definition-Field"/>
      </w:pPr>
      <w:r>
        <w:t xml:space="preserve">d.   </w:t>
      </w:r>
      <w:r>
        <w:rPr>
          <w:i/>
        </w:rPr>
        <w:t>The standard does not state any relationship between the mp element and pivotTableDefinition@createdVersion.</w:t>
      </w:r>
    </w:p>
    <w:p w:rsidR="00024C0A" w:rsidRDefault="00694C0F">
      <w:pPr>
        <w:pStyle w:val="Definition-Field2"/>
      </w:pPr>
      <w:r>
        <w:t xml:space="preserve">Office assumes that if pivotTableDefinition@createdVersion is less than 3, </w:t>
      </w:r>
      <w:r>
        <w:t>then the name attribute shall be present.</w:t>
      </w:r>
    </w:p>
    <w:p w:rsidR="00024C0A" w:rsidRDefault="00694C0F">
      <w:pPr>
        <w:pStyle w:val="Definition-Field"/>
      </w:pPr>
      <w:r>
        <w:t xml:space="preserve">e.   </w:t>
      </w:r>
      <w:r>
        <w:rPr>
          <w:i/>
        </w:rPr>
        <w:t>The standard says that mp represents an OLAP Member property.</w:t>
      </w:r>
    </w:p>
    <w:p w:rsidR="00024C0A" w:rsidRDefault="00694C0F">
      <w:pPr>
        <w:pStyle w:val="Definition-Field2"/>
      </w:pPr>
      <w:r>
        <w:t>Office assumes that if field is not 4294967295, then it specifies a valid index to a pivotField, in this PivotTable, which specifies the informatio</w:t>
      </w:r>
      <w:r>
        <w:t>n for the member property that is not specified in this element.</w:t>
      </w:r>
    </w:p>
    <w:p w:rsidR="00024C0A" w:rsidRDefault="00694C0F">
      <w:pPr>
        <w:pStyle w:val="Definition-Field"/>
      </w:pPr>
      <w:r>
        <w:t xml:space="preserve">f.   </w:t>
      </w:r>
      <w:r>
        <w:rPr>
          <w:i/>
        </w:rPr>
        <w:t>The standard limits the possible values for @level to unsignedInt.</w:t>
      </w:r>
    </w:p>
    <w:p w:rsidR="00024C0A" w:rsidRDefault="00694C0F">
      <w:pPr>
        <w:pStyle w:val="Definition-Field2"/>
      </w:pPr>
      <w:r>
        <w:t>Office requires that when specified, the value of @level be equal to the value of the associated cacheField element @le</w:t>
      </w:r>
      <w:r>
        <w:t>vel with the same name attribute as this element, or that the special value of 32767 be used to apply to all levels.</w:t>
      </w:r>
    </w:p>
    <w:p w:rsidR="00024C0A" w:rsidRDefault="00694C0F">
      <w:pPr>
        <w:pStyle w:val="Definition-Field"/>
      </w:pPr>
      <w:r>
        <w:t xml:space="preserve">g.   </w:t>
      </w:r>
      <w:r>
        <w:rPr>
          <w:i/>
        </w:rPr>
        <w:t>The standard does not place restrictions on when the showAsCaption attribute is used.</w:t>
      </w:r>
    </w:p>
    <w:p w:rsidR="00024C0A" w:rsidRDefault="00694C0F">
      <w:pPr>
        <w:pStyle w:val="Definition-Field2"/>
      </w:pPr>
      <w:r>
        <w:t>Office ignores the showAsCaption attribute unles</w:t>
      </w:r>
      <w:r>
        <w:t>s the name attribute is present and the uniqueMemberProperty attribute on the PivotField this element applies to is present.</w:t>
      </w:r>
    </w:p>
    <w:p w:rsidR="00024C0A" w:rsidRDefault="00694C0F">
      <w:pPr>
        <w:pStyle w:val="Definition-Field"/>
      </w:pPr>
      <w:r>
        <w:t xml:space="preserve">h.   </w:t>
      </w:r>
      <w:r>
        <w:rPr>
          <w:i/>
        </w:rPr>
        <w:t>The standard does not place any restrictions on the value of @field.</w:t>
      </w:r>
    </w:p>
    <w:p w:rsidR="00024C0A" w:rsidRDefault="00694C0F">
      <w:pPr>
        <w:pStyle w:val="Definition-Field2"/>
      </w:pPr>
      <w:r>
        <w:t>In Office, the value of @field must refer to a valid pivo</w:t>
      </w:r>
      <w:r>
        <w:t>tField or be equal to 4294967295.</w:t>
      </w:r>
    </w:p>
    <w:p w:rsidR="00024C0A" w:rsidRDefault="00694C0F">
      <w:pPr>
        <w:pStyle w:val="Definition-Field"/>
      </w:pPr>
      <w:r>
        <w:t xml:space="preserve">i.   </w:t>
      </w:r>
      <w:r>
        <w:rPr>
          <w:i/>
        </w:rPr>
        <w:t>The standard does not state any relationship between the element and pivotTableDefinition@createdVersion.</w:t>
      </w:r>
    </w:p>
    <w:p w:rsidR="00024C0A" w:rsidRDefault="00694C0F">
      <w:pPr>
        <w:pStyle w:val="Definition-Field2"/>
      </w:pPr>
      <w:r>
        <w:lastRenderedPageBreak/>
        <w:t>In Office, if the pivotTableDefinition@createdVersion is greater than or equal to 3, then the field attribute s</w:t>
      </w:r>
      <w:r>
        <w:t>hall not equal 4294967295 and the other attributes of this element shall not be present.</w:t>
      </w:r>
    </w:p>
    <w:p w:rsidR="00024C0A" w:rsidRDefault="00694C0F">
      <w:pPr>
        <w:pStyle w:val="Definition-Field"/>
      </w:pPr>
      <w:r>
        <w:t xml:space="preserve">j.   </w:t>
      </w:r>
      <w:r>
        <w:rPr>
          <w:i/>
        </w:rPr>
        <w:t>The standard says that mp represents an OLAP Member property.</w:t>
      </w:r>
    </w:p>
    <w:p w:rsidR="00024C0A" w:rsidRDefault="00694C0F">
      <w:pPr>
        <w:pStyle w:val="Definition-Field2"/>
      </w:pPr>
      <w:r>
        <w:t>Office specifies that if field is not 4294967295, then the cacheField at index field in the associat</w:t>
      </w:r>
      <w:r>
        <w:t>ed PivotCache shall have memberPropertyField attribute equal to 1 or true.</w:t>
      </w:r>
    </w:p>
    <w:p w:rsidR="00024C0A" w:rsidRDefault="00694C0F">
      <w:pPr>
        <w:pStyle w:val="Definition-Field"/>
      </w:pPr>
      <w:r>
        <w:t xml:space="preserve">k.   </w:t>
      </w:r>
      <w:r>
        <w:rPr>
          <w:i/>
        </w:rPr>
        <w:t>The standard does not state the relation between the name attribute and the associated cacheField.</w:t>
      </w:r>
    </w:p>
    <w:p w:rsidR="00024C0A" w:rsidRDefault="00694C0F">
      <w:pPr>
        <w:pStyle w:val="Definition-Field2"/>
      </w:pPr>
      <w:r>
        <w:t>In Office, if name is specified and if field is not equal to 4294967295, then</w:t>
      </w:r>
      <w:r>
        <w:t xml:space="preserve"> the associated cacheField shall have with a name attribute that matches this one and shall begin with the unique name of the OLAP hierarchy which this element is attached.</w:t>
      </w:r>
    </w:p>
    <w:p w:rsidR="00024C0A" w:rsidRDefault="00694C0F">
      <w:pPr>
        <w:pStyle w:val="Definition-Field"/>
      </w:pPr>
      <w:r>
        <w:t xml:space="preserve">l.   </w:t>
      </w:r>
      <w:r>
        <w:rPr>
          <w:i/>
        </w:rPr>
        <w:t>The standard does not state a default value for the pPos attribute.</w:t>
      </w:r>
    </w:p>
    <w:p w:rsidR="00024C0A" w:rsidRDefault="00694C0F">
      <w:pPr>
        <w:pStyle w:val="Definition-Field2"/>
      </w:pPr>
      <w:r>
        <w:t>Excel uses</w:t>
      </w:r>
      <w:r>
        <w:t xml:space="preserve"> a default value of 0 for this attribute.</w:t>
      </w:r>
    </w:p>
    <w:p w:rsidR="00024C0A" w:rsidRDefault="00694C0F">
      <w:pPr>
        <w:pStyle w:val="Definition-Field"/>
      </w:pPr>
      <w:r>
        <w:t xml:space="preserve">m.   </w:t>
      </w:r>
      <w:r>
        <w:rPr>
          <w:i/>
        </w:rPr>
        <w:t>The standard does not state a default value for the pLen attribute.</w:t>
      </w:r>
    </w:p>
    <w:p w:rsidR="00024C0A" w:rsidRDefault="00694C0F">
      <w:pPr>
        <w:pStyle w:val="Definition-Field2"/>
      </w:pPr>
      <w:r>
        <w:t>Excel uses a default value of 0 for this attribute.</w:t>
      </w:r>
    </w:p>
    <w:p w:rsidR="00024C0A" w:rsidRDefault="00694C0F">
      <w:pPr>
        <w:pStyle w:val="Definition-Field"/>
      </w:pPr>
      <w:r>
        <w:t xml:space="preserve">n.   </w:t>
      </w:r>
      <w:r>
        <w:rPr>
          <w:i/>
        </w:rPr>
        <w:t>The standard does not state a default value for the nameLen attribute.</w:t>
      </w:r>
    </w:p>
    <w:p w:rsidR="00024C0A" w:rsidRDefault="00694C0F">
      <w:pPr>
        <w:pStyle w:val="Definition-Field2"/>
      </w:pPr>
      <w:r>
        <w:t xml:space="preserve">Excel uses a </w:t>
      </w:r>
      <w:r>
        <w:t>default value of 0 for this attribute.</w:t>
      </w:r>
    </w:p>
    <w:p w:rsidR="00024C0A" w:rsidRDefault="00694C0F">
      <w:pPr>
        <w:pStyle w:val="Heading3"/>
      </w:pPr>
      <w:bookmarkStart w:id="1567" w:name="section_b4dc42bf1fd54fac8d83fb17156bdcd2"/>
      <w:bookmarkStart w:id="1568" w:name="_Toc12260844"/>
      <w:r>
        <w:t>Part 1 Section 18.10.1.58, mpMap (Member Properties Map)</w:t>
      </w:r>
      <w:bookmarkEnd w:id="1567"/>
      <w:bookmarkEnd w:id="1568"/>
      <w:r>
        <w:fldChar w:fldCharType="begin"/>
      </w:r>
      <w:r>
        <w:instrText xml:space="preserve"> XE "mpMap (Member Properties Map)" </w:instrText>
      </w:r>
      <w:r>
        <w:fldChar w:fldCharType="end"/>
      </w:r>
    </w:p>
    <w:p w:rsidR="00024C0A" w:rsidRDefault="00694C0F">
      <w:pPr>
        <w:pStyle w:val="Definition-Field"/>
      </w:pPr>
      <w:r>
        <w:t xml:space="preserve">a.   </w:t>
      </w:r>
      <w:r>
        <w:rPr>
          <w:i/>
        </w:rPr>
        <w:t>The standard states that @v is an index into the shared items table...</w:t>
      </w:r>
    </w:p>
    <w:p w:rsidR="00024C0A" w:rsidRDefault="00694C0F">
      <w:pPr>
        <w:pStyle w:val="Definition-Field2"/>
      </w:pPr>
      <w:r>
        <w:t xml:space="preserve">Office treats @v as an index into the </w:t>
      </w:r>
      <w:r>
        <w:t>cacheFields collection.</w:t>
      </w:r>
    </w:p>
    <w:p w:rsidR="00024C0A" w:rsidRDefault="00694C0F">
      <w:pPr>
        <w:pStyle w:val="Definition-Field"/>
      </w:pPr>
      <w:r>
        <w:t xml:space="preserve">b.   </w:t>
      </w:r>
      <w:r>
        <w:rPr>
          <w:i/>
        </w:rPr>
        <w:t>The standard states that the values of the v attribute are defined by the XML int datatype.</w:t>
      </w:r>
    </w:p>
    <w:p w:rsidR="00024C0A" w:rsidRDefault="00694C0F">
      <w:pPr>
        <w:pStyle w:val="Definition-Field2"/>
      </w:pPr>
      <w:r>
        <w:t xml:space="preserve">Excel restricts the value of this attribute to be at least 0 and at most equal to the value of the cacheFields count; the value of the </w:t>
      </w:r>
      <w:r>
        <w:t>memberPropertyField attribute on the cacheField pointed to by this value must be true.</w:t>
      </w:r>
    </w:p>
    <w:p w:rsidR="00024C0A" w:rsidRDefault="00694C0F">
      <w:pPr>
        <w:pStyle w:val="Heading3"/>
      </w:pPr>
      <w:bookmarkStart w:id="1569" w:name="section_7dc71bdcc6a048ce87fd58bc9aa6ca0e"/>
      <w:bookmarkStart w:id="1570" w:name="_Toc12260845"/>
      <w:r>
        <w:t>Part 1 Section 18.10.1.60, n (Numeric)</w:t>
      </w:r>
      <w:bookmarkEnd w:id="1569"/>
      <w:bookmarkEnd w:id="1570"/>
      <w:r>
        <w:fldChar w:fldCharType="begin"/>
      </w:r>
      <w:r>
        <w:instrText xml:space="preserve"> XE "n (Numeric)" </w:instrText>
      </w:r>
      <w:r>
        <w:fldChar w:fldCharType="end"/>
      </w:r>
    </w:p>
    <w:p w:rsidR="00024C0A" w:rsidRDefault="00694C0F">
      <w:pPr>
        <w:pStyle w:val="Definition-Field"/>
      </w:pPr>
      <w:r>
        <w:t xml:space="preserve">a.   </w:t>
      </w:r>
      <w:r>
        <w:rPr>
          <w:i/>
        </w:rPr>
        <w:t>The standard does not define relation between @cp and the datasource type.</w:t>
      </w:r>
    </w:p>
    <w:p w:rsidR="00024C0A" w:rsidRDefault="00694C0F">
      <w:pPr>
        <w:pStyle w:val="Definition-Field2"/>
      </w:pPr>
      <w:r>
        <w:t>Office allows @cp only with OL</w:t>
      </w:r>
      <w:r>
        <w:t>AP PivotTables.</w:t>
      </w:r>
    </w:p>
    <w:p w:rsidR="00024C0A" w:rsidRDefault="00694C0F">
      <w:pPr>
        <w:pStyle w:val="Definition-Field"/>
      </w:pPr>
      <w:r>
        <w:t xml:space="preserve">b.   </w:t>
      </w:r>
      <w:r>
        <w:rPr>
          <w:i/>
        </w:rPr>
        <w:t>The standard does not limit the length of the value of the c attribute.</w:t>
      </w:r>
    </w:p>
    <w:p w:rsidR="00024C0A" w:rsidRDefault="00694C0F">
      <w:pPr>
        <w:pStyle w:val="Definition-Field2"/>
      </w:pPr>
      <w:r>
        <w:t>Excel restricts the value of this attribute to be at most 65535 characters.</w:t>
      </w:r>
    </w:p>
    <w:p w:rsidR="00024C0A" w:rsidRDefault="00694C0F">
      <w:pPr>
        <w:pStyle w:val="Definition-Field"/>
      </w:pPr>
      <w:r>
        <w:t xml:space="preserve">c.   </w:t>
      </w:r>
      <w:r>
        <w:rPr>
          <w:i/>
        </w:rPr>
        <w:t>The standard does not define relation between @c and the datasource type.</w:t>
      </w:r>
    </w:p>
    <w:p w:rsidR="00024C0A" w:rsidRDefault="00694C0F">
      <w:pPr>
        <w:pStyle w:val="Definition-Field2"/>
      </w:pPr>
      <w:r>
        <w:t xml:space="preserve">Office </w:t>
      </w:r>
      <w:r>
        <w:t>allows @c only for OLAP-based PivotTables.  If the value of pivotCacheDefinition@createdVersion is less than 3 this value shall not be specified.</w:t>
      </w:r>
    </w:p>
    <w:p w:rsidR="00024C0A" w:rsidRDefault="00694C0F">
      <w:pPr>
        <w:pStyle w:val="Definition-Field"/>
      </w:pPr>
      <w:r>
        <w:t xml:space="preserve">d.   </w:t>
      </w:r>
      <w:r>
        <w:rPr>
          <w:i/>
        </w:rPr>
        <w:t>The standard does not specify a default value for the u attribute.</w:t>
      </w:r>
    </w:p>
    <w:p w:rsidR="00024C0A" w:rsidRDefault="00694C0F">
      <w:pPr>
        <w:pStyle w:val="Definition-Field2"/>
      </w:pPr>
      <w:r>
        <w:t>Excel uses a default value of false fo</w:t>
      </w:r>
      <w:r>
        <w:t>r this attribute.</w:t>
      </w:r>
    </w:p>
    <w:p w:rsidR="00024C0A" w:rsidRDefault="00694C0F">
      <w:pPr>
        <w:pStyle w:val="Definition-Field"/>
      </w:pPr>
      <w:r>
        <w:t xml:space="preserve">e.   </w:t>
      </w:r>
      <w:r>
        <w:rPr>
          <w:i/>
        </w:rPr>
        <w:t>The standard does not restrict the value of @cp.</w:t>
      </w:r>
    </w:p>
    <w:p w:rsidR="00024C0A" w:rsidRDefault="00694C0F">
      <w:pPr>
        <w:pStyle w:val="Definition-Field2"/>
      </w:pPr>
      <w:r>
        <w:lastRenderedPageBreak/>
        <w:t>Office requires that @cp be equal to the count of child x elements and be less than or equal to the mappingCount of the corresponding cacheField element.</w:t>
      </w:r>
    </w:p>
    <w:p w:rsidR="00024C0A" w:rsidRDefault="00694C0F">
      <w:pPr>
        <w:pStyle w:val="Definition-Field"/>
      </w:pPr>
      <w:r>
        <w:t xml:space="preserve">f.   </w:t>
      </w:r>
      <w:r>
        <w:rPr>
          <w:i/>
        </w:rPr>
        <w:t>The standard does not spe</w:t>
      </w:r>
      <w:r>
        <w:rPr>
          <w:i/>
        </w:rPr>
        <w:t>cify a default value for the f attribute.</w:t>
      </w:r>
    </w:p>
    <w:p w:rsidR="00024C0A" w:rsidRDefault="00694C0F">
      <w:pPr>
        <w:pStyle w:val="Definition-Field2"/>
      </w:pPr>
      <w:r>
        <w:t>Excel uses a default value of false for this attribute.</w:t>
      </w:r>
    </w:p>
    <w:p w:rsidR="00024C0A" w:rsidRDefault="00694C0F">
      <w:pPr>
        <w:pStyle w:val="Definition-Field"/>
      </w:pPr>
      <w:r>
        <w:t xml:space="preserve">g.   </w:t>
      </w:r>
      <w:r>
        <w:rPr>
          <w:i/>
        </w:rPr>
        <w:t>The standard states that the values of the v attribute are defined by the XML Schema double datatype.</w:t>
      </w:r>
    </w:p>
    <w:p w:rsidR="00024C0A" w:rsidRDefault="00694C0F">
      <w:pPr>
        <w:pStyle w:val="Definition-Field2"/>
      </w:pPr>
      <w:r>
        <w:t>Excel does not allow the values of INF, -INF, or Na</w:t>
      </w:r>
      <w:r>
        <w:t>N on this attribute.</w:t>
      </w:r>
    </w:p>
    <w:p w:rsidR="00024C0A" w:rsidRDefault="00694C0F">
      <w:pPr>
        <w:pStyle w:val="Definition-Field"/>
      </w:pPr>
      <w:r>
        <w:t xml:space="preserve">h.   </w:t>
      </w:r>
      <w:r>
        <w:rPr>
          <w:i/>
        </w:rPr>
        <w:t>The standard does not state when @f is valid.</w:t>
      </w:r>
    </w:p>
    <w:p w:rsidR="00024C0A" w:rsidRDefault="00694C0F">
      <w:pPr>
        <w:pStyle w:val="Definition-Field2"/>
      </w:pPr>
      <w:r>
        <w:t>In Office, @f is valid only when the parent of the n element is of CT_SharedItems type.</w:t>
      </w:r>
    </w:p>
    <w:p w:rsidR="00024C0A" w:rsidRDefault="00694C0F">
      <w:pPr>
        <w:pStyle w:val="Definition-Field"/>
      </w:pPr>
      <w:r>
        <w:t xml:space="preserve">i.   </w:t>
      </w:r>
      <w:r>
        <w:rPr>
          <w:i/>
        </w:rPr>
        <w:t>The standard does not define relation of @u with CT_SharedItems node.</w:t>
      </w:r>
    </w:p>
    <w:p w:rsidR="00024C0A" w:rsidRDefault="00694C0F">
      <w:pPr>
        <w:pStyle w:val="Definition-Field2"/>
      </w:pPr>
      <w:r>
        <w:t>In Office, @u is used</w:t>
      </w:r>
      <w:r>
        <w:t xml:space="preserve"> only when the n element's parent is of CT_SharedItems type.</w:t>
      </w:r>
    </w:p>
    <w:p w:rsidR="00024C0A" w:rsidRDefault="00694C0F">
      <w:pPr>
        <w:pStyle w:val="Definition-Field"/>
      </w:pPr>
      <w:r>
        <w:t xml:space="preserve">j.   </w:t>
      </w:r>
      <w:r>
        <w:rPr>
          <w:i/>
        </w:rPr>
        <w:t>The standard states that @b applies to italics.</w:t>
      </w:r>
    </w:p>
    <w:p w:rsidR="00024C0A" w:rsidRDefault="00694C0F">
      <w:pPr>
        <w:pStyle w:val="Definition-Field2"/>
      </w:pPr>
      <w:r>
        <w:t>Office assumes that @b applies to bold.</w:t>
      </w:r>
    </w:p>
    <w:p w:rsidR="00024C0A" w:rsidRDefault="00694C0F">
      <w:pPr>
        <w:pStyle w:val="Definition-Field"/>
      </w:pPr>
      <w:r>
        <w:t xml:space="preserve">k.   </w:t>
      </w:r>
      <w:r>
        <w:rPr>
          <w:i/>
        </w:rPr>
        <w:t>The standard does not place a restriction for on the value of the cp attribute.</w:t>
      </w:r>
    </w:p>
    <w:p w:rsidR="00024C0A" w:rsidRDefault="00694C0F">
      <w:pPr>
        <w:pStyle w:val="Definition-Field2"/>
      </w:pPr>
      <w:r>
        <w:t>In Office, the cp</w:t>
      </w:r>
      <w:r>
        <w:t xml:space="preserve">  attribute applies only when the node parent is sharedItems.</w:t>
      </w:r>
    </w:p>
    <w:p w:rsidR="00024C0A" w:rsidRDefault="00694C0F">
      <w:pPr>
        <w:pStyle w:val="Heading3"/>
      </w:pPr>
      <w:bookmarkStart w:id="1571" w:name="section_87cd92562a8c462c805a1e489575afd0"/>
      <w:bookmarkStart w:id="1572" w:name="_Toc12260846"/>
      <w:r>
        <w:t>Part 1 Section 18.10.1.62, pageField (Page Field)</w:t>
      </w:r>
      <w:bookmarkEnd w:id="1571"/>
      <w:bookmarkEnd w:id="1572"/>
      <w:r>
        <w:fldChar w:fldCharType="begin"/>
      </w:r>
      <w:r>
        <w:instrText xml:space="preserve"> XE "pageField (Page Field)" </w:instrText>
      </w:r>
      <w:r>
        <w:fldChar w:fldCharType="end"/>
      </w:r>
    </w:p>
    <w:p w:rsidR="00024C0A" w:rsidRDefault="00694C0F">
      <w:pPr>
        <w:pStyle w:val="Definition-Field"/>
      </w:pPr>
      <w:r>
        <w:t xml:space="preserve">a.   </w:t>
      </w:r>
      <w:r>
        <w:rPr>
          <w:i/>
        </w:rPr>
        <w:t>The standard does not state the default for the item attribute.</w:t>
      </w:r>
    </w:p>
    <w:p w:rsidR="00024C0A" w:rsidRDefault="00694C0F">
      <w:pPr>
        <w:pStyle w:val="Definition-Field2"/>
      </w:pPr>
      <w:r>
        <w:t>In Office, if the item attribute is not spec</w:t>
      </w:r>
      <w:r>
        <w:t>ified it means that all items will be used if non-OLAP and pivotField@multipleItemSelectionAllowed is false.</w:t>
      </w:r>
    </w:p>
    <w:p w:rsidR="00024C0A" w:rsidRDefault="00694C0F">
      <w:pPr>
        <w:pStyle w:val="Definition-Field"/>
      </w:pPr>
      <w:r>
        <w:t xml:space="preserve">b.   </w:t>
      </w:r>
      <w:r>
        <w:rPr>
          <w:i/>
        </w:rPr>
        <w:t>The standard says @index specifies the index of the item in the PivotCache.</w:t>
      </w:r>
    </w:p>
    <w:p w:rsidR="00024C0A" w:rsidRDefault="00694C0F">
      <w:pPr>
        <w:pStyle w:val="Definition-Field2"/>
      </w:pPr>
      <w:r>
        <w:t xml:space="preserve">In Office, @item specifies the index of an item in the pivotField </w:t>
      </w:r>
      <w:r>
        <w:t>referred to by @fld. If present, @item shall be a valid index of an item element and shall specify how to filter this field in the PivotTable.</w:t>
      </w:r>
    </w:p>
    <w:p w:rsidR="00024C0A" w:rsidRDefault="00694C0F">
      <w:pPr>
        <w:pStyle w:val="Definition-Field"/>
      </w:pPr>
      <w:r>
        <w:t xml:space="preserve">c.   </w:t>
      </w:r>
      <w:r>
        <w:rPr>
          <w:i/>
        </w:rPr>
        <w:t>The standard does not mention limitations on @hier value.</w:t>
      </w:r>
    </w:p>
    <w:p w:rsidR="00024C0A" w:rsidRDefault="00694C0F">
      <w:pPr>
        <w:pStyle w:val="Definition-Field2"/>
      </w:pPr>
      <w:r>
        <w:t xml:space="preserve">In Office, if @hier is present and the PivotTable </w:t>
      </w:r>
      <w:r>
        <w:t>is an OLAP PivotTable then the number of pivotHierarchies shall be greater than 0, and @hier must be &gt;=0 and &lt; the number of pivotHierarchies. For a non-OLAP PivotTable, @hier must be -1.</w:t>
      </w:r>
    </w:p>
    <w:p w:rsidR="00024C0A" w:rsidRDefault="00694C0F">
      <w:pPr>
        <w:pStyle w:val="Definition-Field"/>
      </w:pPr>
      <w:r>
        <w:t xml:space="preserve">d.   </w:t>
      </w:r>
      <w:r>
        <w:rPr>
          <w:i/>
        </w:rPr>
        <w:t>The standard does not specify limits on length of the name attr</w:t>
      </w:r>
      <w:r>
        <w:rPr>
          <w:i/>
        </w:rPr>
        <w:t>ibute.</w:t>
      </w:r>
    </w:p>
    <w:p w:rsidR="00024C0A" w:rsidRDefault="00694C0F">
      <w:pPr>
        <w:pStyle w:val="Definition-Field2"/>
      </w:pPr>
      <w:r>
        <w:t>Office requires that the length of the name attribute be less than or equal to 255 if pivotTableDefinition@createdVersion is less than 3, and less than or equal to 32767 if pivotTableDefinition@createdVersion is greater than or equal to 3.</w:t>
      </w:r>
    </w:p>
    <w:p w:rsidR="00024C0A" w:rsidRDefault="00694C0F">
      <w:pPr>
        <w:pStyle w:val="Definition-Field"/>
      </w:pPr>
      <w:r>
        <w:t xml:space="preserve">e.   </w:t>
      </w:r>
      <w:r>
        <w:rPr>
          <w:i/>
        </w:rPr>
        <w:t xml:space="preserve">The </w:t>
      </w:r>
      <w:r>
        <w:rPr>
          <w:i/>
        </w:rPr>
        <w:t>standard does not state limits on string length of @cap.</w:t>
      </w:r>
    </w:p>
    <w:p w:rsidR="00024C0A" w:rsidRDefault="00694C0F">
      <w:pPr>
        <w:pStyle w:val="Definition-Field2"/>
      </w:pPr>
      <w:r>
        <w:t>Office specifies that the length of @cap shall be less than or equal to 255 if pivotTableDefinition@createdVersion is less than 3, and less than or equal to 32767 if pivotTableDefinition@createdVersi</w:t>
      </w:r>
      <w:r>
        <w:t>on is greater than or equal to 3.</w:t>
      </w:r>
    </w:p>
    <w:p w:rsidR="00024C0A" w:rsidRDefault="00694C0F">
      <w:pPr>
        <w:pStyle w:val="Definition-Field"/>
      </w:pPr>
      <w:r>
        <w:t xml:space="preserve">f.   </w:t>
      </w:r>
      <w:r>
        <w:rPr>
          <w:i/>
        </w:rPr>
        <w:t>The standard does not specify restrictions on @fld.</w:t>
      </w:r>
    </w:p>
    <w:p w:rsidR="00024C0A" w:rsidRDefault="00694C0F">
      <w:pPr>
        <w:pStyle w:val="Definition-Field2"/>
      </w:pPr>
      <w:r>
        <w:lastRenderedPageBreak/>
        <w:t>In Office, @fld must be greater than or equal to 0 and less than the number of pivotField elements on the PivotTable. Additionally, the pivotField referred to must h</w:t>
      </w:r>
      <w:r>
        <w:t>ave an axis attribute set to axisPage.</w:t>
      </w:r>
    </w:p>
    <w:p w:rsidR="00024C0A" w:rsidRDefault="00694C0F">
      <w:pPr>
        <w:pStyle w:val="Definition-Field"/>
      </w:pPr>
      <w:r>
        <w:t xml:space="preserve">g.   </w:t>
      </w:r>
      <w:r>
        <w:rPr>
          <w:i/>
        </w:rPr>
        <w:t>The standard does not specify limits on when the item attribute shall be present.</w:t>
      </w:r>
    </w:p>
    <w:p w:rsidR="00024C0A" w:rsidRDefault="00694C0F">
      <w:pPr>
        <w:pStyle w:val="Definition-Field2"/>
      </w:pPr>
      <w:r>
        <w:t>In Office, the item attribute shall not be present for OLAP PivotTables, or if pivotField@multipleItemSelectionAllowed is true. In</w:t>
      </w:r>
      <w:r>
        <w:t xml:space="preserve"> those cases the filtering will be determined by the settings on the pivotField and/or pivotHierarchy.</w:t>
      </w:r>
    </w:p>
    <w:p w:rsidR="00024C0A" w:rsidRDefault="00694C0F">
      <w:pPr>
        <w:pStyle w:val="Definition-Field"/>
      </w:pPr>
      <w:r>
        <w:t xml:space="preserve">h.   </w:t>
      </w:r>
      <w:r>
        <w:rPr>
          <w:i/>
        </w:rPr>
        <w:t>The standard does not define when the name attribute will be present.</w:t>
      </w:r>
    </w:p>
    <w:p w:rsidR="00024C0A" w:rsidRDefault="00694C0F">
      <w:pPr>
        <w:pStyle w:val="Definition-Field2"/>
      </w:pPr>
      <w:r>
        <w:t>Office requires the name attribute for OLAP PivotTables.</w:t>
      </w:r>
    </w:p>
    <w:p w:rsidR="00024C0A" w:rsidRDefault="00694C0F">
      <w:pPr>
        <w:pStyle w:val="Definition-Field"/>
      </w:pPr>
      <w:r>
        <w:t xml:space="preserve">i.   </w:t>
      </w:r>
      <w:r>
        <w:rPr>
          <w:i/>
        </w:rPr>
        <w:t>The standard des</w:t>
      </w:r>
      <w:r>
        <w:rPr>
          <w:i/>
        </w:rPr>
        <w:t>cribes page fields as allowing filtering to display data for a single item or all the items.</w:t>
      </w:r>
    </w:p>
    <w:p w:rsidR="00024C0A" w:rsidRDefault="00694C0F">
      <w:pPr>
        <w:pStyle w:val="Definition-Field2"/>
      </w:pPr>
      <w:r>
        <w:t>Office additionally assumes that using settings on a pivotField or pivotHierarchy filtering can be done for multiple items in a field used as a page or report filt</w:t>
      </w:r>
      <w:r>
        <w:t>er.</w:t>
      </w:r>
    </w:p>
    <w:p w:rsidR="00024C0A" w:rsidRDefault="00694C0F">
      <w:pPr>
        <w:pStyle w:val="Definition-Field"/>
      </w:pPr>
      <w:r>
        <w:t xml:space="preserve">j.   </w:t>
      </w:r>
      <w:r>
        <w:rPr>
          <w:i/>
        </w:rPr>
        <w:t>The standard does not state that the name attribute is affected by the multipleItemSelectionAllowed attribute.</w:t>
      </w:r>
    </w:p>
    <w:p w:rsidR="00024C0A" w:rsidRDefault="00694C0F">
      <w:pPr>
        <w:pStyle w:val="Definition-Field2"/>
      </w:pPr>
      <w:r>
        <w:t xml:space="preserve">In Office, if pivotHierarchy@multipleItemSelectionAllowed equals 0, the name attribute specifies the member used for filtering. </w:t>
      </w:r>
      <w:r>
        <w:t>Otherwise, it is ignored.</w:t>
      </w:r>
    </w:p>
    <w:p w:rsidR="00024C0A" w:rsidRDefault="00694C0F">
      <w:pPr>
        <w:pStyle w:val="Definition-Field"/>
      </w:pPr>
      <w:r>
        <w:t xml:space="preserve">k.   </w:t>
      </w:r>
      <w:r>
        <w:rPr>
          <w:i/>
        </w:rPr>
        <w:t>The standard states that @name specifies the unique name of the hierarchy.</w:t>
      </w:r>
    </w:p>
    <w:p w:rsidR="00024C0A" w:rsidRDefault="00694C0F">
      <w:pPr>
        <w:pStyle w:val="Definition-Field2"/>
      </w:pPr>
      <w:r>
        <w:t>Office assumes that @name specifies the member unique name of the OLAP member being displayed.</w:t>
      </w:r>
    </w:p>
    <w:p w:rsidR="00024C0A" w:rsidRDefault="00694C0F">
      <w:pPr>
        <w:pStyle w:val="Heading3"/>
      </w:pPr>
      <w:bookmarkStart w:id="1573" w:name="section_14b39f7e6d054a8a8cbc7fb18850a82a"/>
      <w:bookmarkStart w:id="1574" w:name="_Toc12260847"/>
      <w:r>
        <w:t>Part 1 Section 18.10.1.63, pageFields (Page Field Items</w:t>
      </w:r>
      <w:r>
        <w:t>)</w:t>
      </w:r>
      <w:bookmarkEnd w:id="1573"/>
      <w:bookmarkEnd w:id="1574"/>
      <w:r>
        <w:fldChar w:fldCharType="begin"/>
      </w:r>
      <w:r>
        <w:instrText xml:space="preserve"> XE "pageFields (Page Field Items)" </w:instrText>
      </w:r>
      <w:r>
        <w:fldChar w:fldCharType="end"/>
      </w:r>
    </w:p>
    <w:p w:rsidR="00024C0A" w:rsidRDefault="00694C0F">
      <w:pPr>
        <w:pStyle w:val="Definition-Field"/>
      </w:pPr>
      <w:r>
        <w:t xml:space="preserve">a.   </w:t>
      </w:r>
      <w:r>
        <w:rPr>
          <w:i/>
        </w:rPr>
        <w:t>The standard states that the maxOccurs value for the pageField child element is unbounded.</w:t>
      </w:r>
    </w:p>
    <w:p w:rsidR="00024C0A" w:rsidRDefault="00694C0F">
      <w:pPr>
        <w:pStyle w:val="Definition-Field2"/>
      </w:pPr>
      <w:r>
        <w:t>Excel limits the occurrences of this element to 256.</w:t>
      </w:r>
    </w:p>
    <w:p w:rsidR="00024C0A" w:rsidRDefault="00694C0F">
      <w:pPr>
        <w:pStyle w:val="Heading3"/>
      </w:pPr>
      <w:bookmarkStart w:id="1575" w:name="section_4027d9f9ded64b99a6141ebec23feece"/>
      <w:bookmarkStart w:id="1576" w:name="_Toc12260848"/>
      <w:r>
        <w:t>Part 1 Section 18.10.1.64, pageItem (Page Item)</w:t>
      </w:r>
      <w:bookmarkEnd w:id="1575"/>
      <w:bookmarkEnd w:id="1576"/>
      <w:r>
        <w:fldChar w:fldCharType="begin"/>
      </w:r>
      <w:r>
        <w:instrText xml:space="preserve"> XE "pageItem (Page </w:instrText>
      </w:r>
      <w:r>
        <w:instrText xml:space="preserve">Item)" </w:instrText>
      </w:r>
      <w:r>
        <w:fldChar w:fldCharType="end"/>
      </w:r>
    </w:p>
    <w:p w:rsidR="00024C0A" w:rsidRDefault="00694C0F">
      <w:pPr>
        <w:pStyle w:val="Definition-Field"/>
      </w:pPr>
      <w:r>
        <w:t xml:space="preserve">a.   </w:t>
      </w:r>
      <w:r>
        <w:rPr>
          <w:i/>
        </w:rPr>
        <w:t>The standard does not define a length restriction on the name attribute.</w:t>
      </w:r>
    </w:p>
    <w:p w:rsidR="00024C0A" w:rsidRDefault="00694C0F">
      <w:pPr>
        <w:pStyle w:val="Definition-Field2"/>
      </w:pPr>
      <w:r>
        <w:t>Office limits the name attribute to 255 or fewer characters when pivotCacheDefinition@createdVersion is less than 3, otherwise to 32767 or fewer characters.</w:t>
      </w:r>
    </w:p>
    <w:p w:rsidR="00024C0A" w:rsidRDefault="00694C0F">
      <w:pPr>
        <w:pStyle w:val="Heading3"/>
      </w:pPr>
      <w:bookmarkStart w:id="1577" w:name="section_e51aae59add04998811379ab9f8c9a4d"/>
      <w:bookmarkStart w:id="1578" w:name="_Toc12260849"/>
      <w:r>
        <w:t>Part 1 Sect</w:t>
      </w:r>
      <w:r>
        <w:t>ion 18.10.1.67, pivotCacheDefinition (PivotCache Definition)</w:t>
      </w:r>
      <w:bookmarkEnd w:id="1577"/>
      <w:bookmarkEnd w:id="1578"/>
      <w:r>
        <w:fldChar w:fldCharType="begin"/>
      </w:r>
      <w:r>
        <w:instrText xml:space="preserve"> XE "pivotCacheDefinition (PivotCache Definition)" </w:instrText>
      </w:r>
      <w:r>
        <w:fldChar w:fldCharType="end"/>
      </w:r>
    </w:p>
    <w:p w:rsidR="00024C0A" w:rsidRDefault="00694C0F">
      <w:pPr>
        <w:pStyle w:val="Definition-Field"/>
      </w:pPr>
      <w:r>
        <w:t xml:space="preserve">a.   </w:t>
      </w:r>
      <w:r>
        <w:rPr>
          <w:i/>
        </w:rPr>
        <w:t>The standard doesn't specify maxLength for @refreshedBy.</w:t>
      </w:r>
    </w:p>
    <w:p w:rsidR="00024C0A" w:rsidRDefault="00694C0F">
      <w:pPr>
        <w:pStyle w:val="Definition-Field2"/>
      </w:pPr>
      <w:r>
        <w:t>In Office, the maxLength for @refreshedBy is 255.</w:t>
      </w:r>
    </w:p>
    <w:p w:rsidR="00024C0A" w:rsidRDefault="00694C0F">
      <w:pPr>
        <w:pStyle w:val="Definition-Field"/>
      </w:pPr>
      <w:r>
        <w:t xml:space="preserve">b.   </w:t>
      </w:r>
      <w:r>
        <w:rPr>
          <w:i/>
        </w:rPr>
        <w:t xml:space="preserve">The standard doesn't </w:t>
      </w:r>
      <w:r>
        <w:rPr>
          <w:i/>
        </w:rPr>
        <w:t>specify any restrictions for @backgroundQuery.</w:t>
      </w:r>
    </w:p>
    <w:p w:rsidR="00024C0A" w:rsidRDefault="00694C0F">
      <w:pPr>
        <w:pStyle w:val="Definition-Field2"/>
      </w:pPr>
      <w:r>
        <w:t>In Office, the @backgroundQuery shall be 0 for non-external data sources.</w:t>
      </w:r>
    </w:p>
    <w:p w:rsidR="00024C0A" w:rsidRDefault="00694C0F">
      <w:pPr>
        <w:pStyle w:val="Definition-Field"/>
      </w:pPr>
      <w:r>
        <w:t xml:space="preserve">c.   </w:t>
      </w:r>
      <w:r>
        <w:rPr>
          <w:i/>
        </w:rPr>
        <w:t>The standard does not specify any restrictions for the optimizeMemory attribute.</w:t>
      </w:r>
    </w:p>
    <w:p w:rsidR="00024C0A" w:rsidRDefault="00694C0F">
      <w:pPr>
        <w:pStyle w:val="Definition-Field2"/>
      </w:pPr>
      <w:r>
        <w:t>In Office, the optimizeMemory attribute must be 0</w:t>
      </w:r>
      <w:r>
        <w:t xml:space="preserve"> or false for non-external and non-ODBC data sources.</w:t>
      </w:r>
    </w:p>
    <w:p w:rsidR="00024C0A" w:rsidRDefault="00694C0F">
      <w:pPr>
        <w:pStyle w:val="Definition-Field"/>
      </w:pPr>
      <w:r>
        <w:t xml:space="preserve">d.   </w:t>
      </w:r>
      <w:r>
        <w:rPr>
          <w:i/>
        </w:rPr>
        <w:t>The standard does not specify any restrictions for the refreshedVersion attribute.</w:t>
      </w:r>
    </w:p>
    <w:p w:rsidR="00024C0A" w:rsidRDefault="00694C0F">
      <w:pPr>
        <w:pStyle w:val="Definition-Field2"/>
      </w:pPr>
      <w:r>
        <w:lastRenderedPageBreak/>
        <w:t>In Office, the refreshedVersion attribute shall not be less than the minRefreshableVersion attribute.</w:t>
      </w:r>
    </w:p>
    <w:p w:rsidR="00024C0A" w:rsidRDefault="00694C0F">
      <w:pPr>
        <w:pStyle w:val="Definition-Field"/>
      </w:pPr>
      <w:r>
        <w:t xml:space="preserve">e.   </w:t>
      </w:r>
      <w:r>
        <w:rPr>
          <w:i/>
        </w:rPr>
        <w:t>The sta</w:t>
      </w:r>
      <w:r>
        <w:rPr>
          <w:i/>
        </w:rPr>
        <w:t>ndard does not specify any restrictions for the id attribute.</w:t>
      </w:r>
    </w:p>
    <w:p w:rsidR="00024C0A" w:rsidRDefault="00694C0F">
      <w:pPr>
        <w:pStyle w:val="Definition-Field2"/>
      </w:pPr>
      <w:r>
        <w:t>In Office, the id attribute must not be empty if the saveData attribute is 1 and the invalid attribute is 0.</w:t>
      </w:r>
    </w:p>
    <w:p w:rsidR="00024C0A" w:rsidRDefault="00694C0F">
      <w:pPr>
        <w:pStyle w:val="Definition-Field"/>
      </w:pPr>
      <w:r>
        <w:t xml:space="preserve">f.   </w:t>
      </w:r>
      <w:r>
        <w:rPr>
          <w:i/>
        </w:rPr>
        <w:t>The standard does not define application defined behavior when the missingItemsL</w:t>
      </w:r>
      <w:r>
        <w:rPr>
          <w:i/>
        </w:rPr>
        <w:t>imit attribute is not present.</w:t>
      </w:r>
    </w:p>
    <w:p w:rsidR="00024C0A" w:rsidRDefault="00694C0F">
      <w:pPr>
        <w:pStyle w:val="Definition-Field2"/>
      </w:pPr>
      <w:r>
        <w:t>If this number is not specified, Office sets the threshold automatically based on the number of items.</w:t>
      </w:r>
    </w:p>
    <w:p w:rsidR="00024C0A" w:rsidRDefault="00694C0F">
      <w:pPr>
        <w:pStyle w:val="Definition-Field"/>
      </w:pPr>
      <w:r>
        <w:t xml:space="preserve">g.   </w:t>
      </w:r>
      <w:r>
        <w:rPr>
          <w:i/>
        </w:rPr>
        <w:t>The standard does not define a relation between this @tupleCache and the tupleCache child element.</w:t>
      </w:r>
    </w:p>
    <w:p w:rsidR="00024C0A" w:rsidRDefault="00694C0F">
      <w:pPr>
        <w:pStyle w:val="Definition-Field2"/>
      </w:pPr>
      <w:r>
        <w:t>In Office, if @tup</w:t>
      </w:r>
      <w:r>
        <w:t>leCache has a value of 0, then pivotCacheDefinition shall not contain tupleCache element.</w:t>
      </w:r>
    </w:p>
    <w:p w:rsidR="00024C0A" w:rsidRDefault="00694C0F">
      <w:pPr>
        <w:pStyle w:val="Definition-Field"/>
      </w:pPr>
      <w:r>
        <w:t xml:space="preserve">h.   </w:t>
      </w:r>
      <w:r>
        <w:rPr>
          <w:i/>
        </w:rPr>
        <w:t>The standard does not place any restrictions on the value of the backgroundQuery attribute with respect to connection element.</w:t>
      </w:r>
    </w:p>
    <w:p w:rsidR="00024C0A" w:rsidRDefault="00694C0F">
      <w:pPr>
        <w:pStyle w:val="Definition-Field2"/>
      </w:pPr>
      <w:r>
        <w:t>Office requires the backgroundQuer</w:t>
      </w:r>
      <w:r>
        <w:t>y attribute match the value of background on the related connection element.</w:t>
      </w:r>
    </w:p>
    <w:p w:rsidR="00024C0A" w:rsidRDefault="00694C0F">
      <w:pPr>
        <w:pStyle w:val="Heading3"/>
      </w:pPr>
      <w:bookmarkStart w:id="1579" w:name="section_991b9d727f544454ac7801c6f4e5249b"/>
      <w:bookmarkStart w:id="1580" w:name="_Toc12260850"/>
      <w:r>
        <w:t>Part 1 Section 18.10.1.69, pivotField (PivotTable Field)</w:t>
      </w:r>
      <w:bookmarkEnd w:id="1579"/>
      <w:bookmarkEnd w:id="1580"/>
      <w:r>
        <w:fldChar w:fldCharType="begin"/>
      </w:r>
      <w:r>
        <w:instrText xml:space="preserve"> XE "pivotField (PivotTable Field)" </w:instrText>
      </w:r>
      <w:r>
        <w:fldChar w:fldCharType="end"/>
      </w:r>
    </w:p>
    <w:p w:rsidR="00024C0A" w:rsidRDefault="00694C0F">
      <w:pPr>
        <w:pStyle w:val="Definition-Field"/>
      </w:pPr>
      <w:r>
        <w:t xml:space="preserve">a.   </w:t>
      </w:r>
      <w:r>
        <w:rPr>
          <w:i/>
        </w:rPr>
        <w:t>The standard does not specify behavior if @axis is not present.</w:t>
      </w:r>
    </w:p>
    <w:p w:rsidR="00024C0A" w:rsidRDefault="00694C0F">
      <w:pPr>
        <w:pStyle w:val="Definition-Field2"/>
      </w:pPr>
      <w:r>
        <w:t>Office specifie</w:t>
      </w:r>
      <w:r>
        <w:t>s if @axis is not present, the field does not appear in the row, column or page regions of the PivotTable.</w:t>
      </w:r>
    </w:p>
    <w:p w:rsidR="00024C0A" w:rsidRDefault="00694C0F">
      <w:pPr>
        <w:pStyle w:val="Definition-Field"/>
      </w:pPr>
      <w:r>
        <w:t xml:space="preserve">b.   </w:t>
      </w:r>
      <w:r>
        <w:rPr>
          <w:i/>
        </w:rPr>
        <w:t>The standard does not restrict valid values for the axis attribute.</w:t>
      </w:r>
    </w:p>
    <w:p w:rsidR="00024C0A" w:rsidRDefault="00694C0F">
      <w:pPr>
        <w:pStyle w:val="Definition-Field2"/>
      </w:pPr>
      <w:r>
        <w:t>In Office, axisValues shall not be used for the axis attribute.</w:t>
      </w:r>
    </w:p>
    <w:p w:rsidR="00024C0A" w:rsidRDefault="00694C0F">
      <w:pPr>
        <w:pStyle w:val="Definition-Field"/>
      </w:pPr>
      <w:r>
        <w:t xml:space="preserve">c.   </w:t>
      </w:r>
      <w:r>
        <w:rPr>
          <w:i/>
        </w:rPr>
        <w:t>The sta</w:t>
      </w:r>
      <w:r>
        <w:rPr>
          <w:i/>
        </w:rPr>
        <w:t>ndard does not specify a default value for the numFmtId attribute.</w:t>
      </w:r>
    </w:p>
    <w:p w:rsidR="00024C0A" w:rsidRDefault="00694C0F">
      <w:pPr>
        <w:pStyle w:val="Definition-Field2"/>
      </w:pPr>
      <w:r>
        <w:t>Excel uses a default value of 0 for this attribute.</w:t>
      </w:r>
    </w:p>
    <w:p w:rsidR="00024C0A" w:rsidRDefault="00694C0F">
      <w:pPr>
        <w:pStyle w:val="Definition-Field"/>
      </w:pPr>
      <w:r>
        <w:t xml:space="preserve">d.   </w:t>
      </w:r>
      <w:r>
        <w:rPr>
          <w:i/>
        </w:rPr>
        <w:t>The standard does not specify a default value for the dataSourceSort attribute.</w:t>
      </w:r>
    </w:p>
    <w:p w:rsidR="00024C0A" w:rsidRDefault="00694C0F">
      <w:pPr>
        <w:pStyle w:val="Definition-Field2"/>
      </w:pPr>
      <w:r>
        <w:t>Excel uses a default value of false for this attribu</w:t>
      </w:r>
      <w:r>
        <w:t>te.</w:t>
      </w:r>
    </w:p>
    <w:p w:rsidR="00024C0A" w:rsidRDefault="00694C0F">
      <w:pPr>
        <w:pStyle w:val="Definition-Field"/>
      </w:pPr>
      <w:r>
        <w:t xml:space="preserve">e.   </w:t>
      </w:r>
      <w:r>
        <w:rPr>
          <w:i/>
        </w:rPr>
        <w:t>The standard does not define the meaning of the absence of @rankBy.</w:t>
      </w:r>
    </w:p>
    <w:p w:rsidR="00024C0A" w:rsidRDefault="00694C0F">
      <w:pPr>
        <w:pStyle w:val="Definition-Field2"/>
      </w:pPr>
      <w:r>
        <w:t>Office assumes if @rankBy is not present, this indicates that no data field will be used by AutoShow for ranking.</w:t>
      </w:r>
    </w:p>
    <w:p w:rsidR="00024C0A" w:rsidRDefault="00694C0F">
      <w:pPr>
        <w:pStyle w:val="Definition-Field"/>
      </w:pPr>
      <w:r>
        <w:t xml:space="preserve">f.   </w:t>
      </w:r>
      <w:r>
        <w:rPr>
          <w:i/>
        </w:rPr>
        <w:t xml:space="preserve">The standard does not mention any relationship between the </w:t>
      </w:r>
      <w:r>
        <w:rPr>
          <w:i/>
        </w:rPr>
        <w:t>value of the dataField attribute and dataField elements.</w:t>
      </w:r>
    </w:p>
    <w:p w:rsidR="00024C0A" w:rsidRDefault="00694C0F">
      <w:r>
        <w:t>Office requires that if the dataField attribute is true and this pivotTable is not an OLAP pivotTable, then there must be at least one matching dataField element on this pivotTable with an fld attrib</w:t>
      </w:r>
      <w:r>
        <w:t>ute equal to this element's index within its parent element.</w:t>
      </w:r>
    </w:p>
    <w:p w:rsidR="00024C0A" w:rsidRDefault="00694C0F">
      <w:pPr>
        <w:pStyle w:val="Definition-Field"/>
      </w:pPr>
      <w:r>
        <w:t xml:space="preserve">g.   </w:t>
      </w:r>
      <w:r>
        <w:rPr>
          <w:i/>
        </w:rPr>
        <w:t>The standard says that for @nonAutoSortDefault, a value of 1 or true indicates that an AutoSort operation will be applied to the field.</w:t>
      </w:r>
    </w:p>
    <w:p w:rsidR="00024C0A" w:rsidRDefault="00694C0F">
      <w:pPr>
        <w:pStyle w:val="Definition-Field2"/>
      </w:pPr>
      <w:r>
        <w:t xml:space="preserve">In Office, a value of 1 or true indicates a simple </w:t>
      </w:r>
      <w:r>
        <w:t>data sort operation will be applied to the field.</w:t>
      </w:r>
    </w:p>
    <w:p w:rsidR="00024C0A" w:rsidRDefault="00694C0F">
      <w:pPr>
        <w:pStyle w:val="Definition-Field"/>
      </w:pPr>
      <w:r>
        <w:lastRenderedPageBreak/>
        <w:t xml:space="preserve">h.   </w:t>
      </w:r>
      <w:r>
        <w:rPr>
          <w:i/>
        </w:rPr>
        <w:t>The standard does not require a relationship between the axis attribute and rowFields.</w:t>
      </w:r>
    </w:p>
    <w:p w:rsidR="00024C0A" w:rsidRDefault="00694C0F">
      <w:pPr>
        <w:pStyle w:val="Definition-Field2"/>
      </w:pPr>
      <w:r>
        <w:t>Office requires that if the axis attribute equals axisRow and this pivotTable is not an OLAP pivotTable, then ther</w:t>
      </w:r>
      <w:r>
        <w:t>e must be a field element in the rowFields collection with its x attribute set to the index of this pivotField.</w:t>
      </w:r>
    </w:p>
    <w:p w:rsidR="00024C0A" w:rsidRDefault="00694C0F">
      <w:pPr>
        <w:pStyle w:val="Definition-Field"/>
      </w:pPr>
      <w:r>
        <w:t xml:space="preserve">i.   </w:t>
      </w:r>
      <w:r>
        <w:rPr>
          <w:i/>
        </w:rPr>
        <w:t>The standard does not require a relationship between the axis attribute and colFields.</w:t>
      </w:r>
    </w:p>
    <w:p w:rsidR="00024C0A" w:rsidRDefault="00694C0F">
      <w:pPr>
        <w:pStyle w:val="Definition-Field2"/>
      </w:pPr>
      <w:r>
        <w:t>Office requires that if the axis attribute equals ax</w:t>
      </w:r>
      <w:r>
        <w:t>isCol and this pivotTable is not an OLAP pivotTable, then there must be a field element in the colFields collection with its x attribute set to the index of this pivotField.</w:t>
      </w:r>
    </w:p>
    <w:p w:rsidR="00024C0A" w:rsidRDefault="00694C0F">
      <w:pPr>
        <w:pStyle w:val="Definition-Field"/>
      </w:pPr>
      <w:r>
        <w:t xml:space="preserve">j.   </w:t>
      </w:r>
      <w:r>
        <w:rPr>
          <w:i/>
        </w:rPr>
        <w:t>The standard does not require a relationship between the axis attribute and p</w:t>
      </w:r>
      <w:r>
        <w:rPr>
          <w:i/>
        </w:rPr>
        <w:t>ageFields.</w:t>
      </w:r>
    </w:p>
    <w:p w:rsidR="00024C0A" w:rsidRDefault="00694C0F">
      <w:pPr>
        <w:pStyle w:val="Definition-Field2"/>
      </w:pPr>
      <w:r>
        <w:t>Office requires that if the axis attribute equals axisPage and this pivotTable is not an OLAP pivotTable, then there shall be a pageField element on this pivotTable with the fld attribute set to this pivotField's index.</w:t>
      </w:r>
    </w:p>
    <w:p w:rsidR="00024C0A" w:rsidRDefault="00694C0F">
      <w:pPr>
        <w:pStyle w:val="Definition-Field"/>
      </w:pPr>
      <w:r>
        <w:t xml:space="preserve">k.   </w:t>
      </w:r>
      <w:r>
        <w:rPr>
          <w:i/>
        </w:rPr>
        <w:t>The standard does no</w:t>
      </w:r>
      <w:r>
        <w:rPr>
          <w:i/>
        </w:rPr>
        <w:t>t define a relationship between the dataField attribute and the cacheHierarchy element.</w:t>
      </w:r>
    </w:p>
    <w:p w:rsidR="00024C0A" w:rsidRDefault="00694C0F">
      <w:r>
        <w:t>Office requires that if the dataField attribute equals 1 and this is an OLAP pivotTable, then the cacheField on the associated pivotCache with the same index as this el</w:t>
      </w:r>
      <w:r>
        <w:t>ement shall exist and have a hierarchy attribute which will refer to a cacheHierarchy element with its measure attribute equal to 1.</w:t>
      </w:r>
    </w:p>
    <w:p w:rsidR="00024C0A" w:rsidRDefault="00694C0F">
      <w:pPr>
        <w:pStyle w:val="Definition-Field"/>
      </w:pPr>
      <w:r>
        <w:t xml:space="preserve">l.   </w:t>
      </w:r>
      <w:r>
        <w:rPr>
          <w:i/>
        </w:rPr>
        <w:t>The standard does not require a relationship between the axis attribute and cacheHierarchy.</w:t>
      </w:r>
    </w:p>
    <w:p w:rsidR="00024C0A" w:rsidRDefault="00694C0F">
      <w:r>
        <w:t>Office specifies if the ax</w:t>
      </w:r>
      <w:r>
        <w:t>is attribute is present and this is an OLAP pivotTable, then the cacheField on the associated pivotCache with the same index as this element shall have a hierarchy attribute which will refer to a cacheHierarchy element with its measure attribute equal to 0</w:t>
      </w:r>
      <w:r>
        <w:t>.</w:t>
      </w:r>
    </w:p>
    <w:p w:rsidR="00024C0A" w:rsidRDefault="00694C0F">
      <w:pPr>
        <w:pStyle w:val="Definition-Field"/>
      </w:pPr>
      <w:r>
        <w:t xml:space="preserve">m.   </w:t>
      </w:r>
      <w:r>
        <w:rPr>
          <w:i/>
        </w:rPr>
        <w:t>The standard does not limit the length of the value of the name attribute.</w:t>
      </w:r>
    </w:p>
    <w:p w:rsidR="00024C0A" w:rsidRDefault="00694C0F">
      <w:pPr>
        <w:pStyle w:val="Definition-Field2"/>
      </w:pPr>
      <w:r>
        <w:t>Excel restricts the value of this attribute to be at most 255 characters when the createdVersion attribute on the pivotCacheDefinition element is less than 3 and 32767 charac</w:t>
      </w:r>
      <w:r>
        <w:t>ters otherwise.</w:t>
      </w:r>
    </w:p>
    <w:p w:rsidR="00024C0A" w:rsidRDefault="00694C0F">
      <w:pPr>
        <w:pStyle w:val="Definition-Field"/>
      </w:pPr>
      <w:r>
        <w:t xml:space="preserve">n.   </w:t>
      </w:r>
      <w:r>
        <w:rPr>
          <w:i/>
        </w:rPr>
        <w:t>The standard does not limit the length of the value of the subtotalCaption attribute.</w:t>
      </w:r>
    </w:p>
    <w:p w:rsidR="00024C0A" w:rsidRDefault="00694C0F">
      <w:pPr>
        <w:pStyle w:val="Definition-Field2"/>
      </w:pPr>
      <w:r>
        <w:t>Excel restricts the value of this attribute to be at most 255 characters when the createdVersion attribute on the pivotCacheDefinition element is les</w:t>
      </w:r>
      <w:r>
        <w:t>s than 3 and 32767 characters otherwise.</w:t>
      </w:r>
    </w:p>
    <w:p w:rsidR="00024C0A" w:rsidRDefault="00694C0F">
      <w:pPr>
        <w:pStyle w:val="Definition-Field"/>
      </w:pPr>
      <w:r>
        <w:t xml:space="preserve">o.   </w:t>
      </w:r>
      <w:r>
        <w:rPr>
          <w:i/>
        </w:rPr>
        <w:t>The standard does not limit the length of the value of the uniqueMemberProperty attribute.</w:t>
      </w:r>
    </w:p>
    <w:p w:rsidR="00024C0A" w:rsidRDefault="00694C0F">
      <w:pPr>
        <w:pStyle w:val="Definition-Field2"/>
      </w:pPr>
      <w:r>
        <w:t>Excel restricts the value of this attribute to be at most 255 characters when the createdVersion attribute on the pivot</w:t>
      </w:r>
      <w:r>
        <w:t>CacheDefinition element is less than 3 and 32767 characters otherwise.</w:t>
      </w:r>
    </w:p>
    <w:p w:rsidR="00024C0A" w:rsidRDefault="00694C0F">
      <w:pPr>
        <w:pStyle w:val="Definition-Field"/>
      </w:pPr>
      <w:r>
        <w:t xml:space="preserve">p.   </w:t>
      </w:r>
      <w:r>
        <w:rPr>
          <w:i/>
        </w:rPr>
        <w:t>The standard does not place a uniqueness restriction on the value of @name.</w:t>
      </w:r>
    </w:p>
    <w:p w:rsidR="00024C0A" w:rsidRDefault="00694C0F">
      <w:pPr>
        <w:pStyle w:val="Definition-Field2"/>
      </w:pPr>
      <w:r>
        <w:t>Office requires @name to be unique for non-OLAP PivotTables.</w:t>
      </w:r>
    </w:p>
    <w:p w:rsidR="00024C0A" w:rsidRDefault="00694C0F">
      <w:pPr>
        <w:pStyle w:val="Definition-Field"/>
      </w:pPr>
      <w:r>
        <w:t xml:space="preserve">q.   </w:t>
      </w:r>
      <w:r>
        <w:rPr>
          <w:i/>
        </w:rPr>
        <w:t>The standard does not place any restri</w:t>
      </w:r>
      <w:r>
        <w:rPr>
          <w:i/>
        </w:rPr>
        <w:t>ctions on the relationship between the serverField attribute and the cacheField and pivotCache elements.</w:t>
      </w:r>
    </w:p>
    <w:p w:rsidR="00024C0A" w:rsidRDefault="00694C0F">
      <w:pPr>
        <w:pStyle w:val="Definition-Field2"/>
      </w:pPr>
      <w:r>
        <w:t>Excel requires that the value of the serverField attribute on the cacheField element be 1 and the value of the type attribute on the associated pivotCa</w:t>
      </w:r>
      <w:r>
        <w:t>che element be external when the value of the serverField attribute on this element is true.</w:t>
      </w:r>
    </w:p>
    <w:p w:rsidR="00024C0A" w:rsidRDefault="00694C0F">
      <w:pPr>
        <w:pStyle w:val="Definition-Field"/>
      </w:pPr>
      <w:r>
        <w:t xml:space="preserve">r.   </w:t>
      </w:r>
      <w:r>
        <w:rPr>
          <w:i/>
        </w:rPr>
        <w:t>The standard does not mention that if autoShow is true, there are range limitations on itemPageCount.</w:t>
      </w:r>
    </w:p>
    <w:p w:rsidR="00024C0A" w:rsidRDefault="00694C0F">
      <w:pPr>
        <w:pStyle w:val="Definition-Field2"/>
      </w:pPr>
      <w:r>
        <w:lastRenderedPageBreak/>
        <w:t xml:space="preserve">In Excel, the itemPageCount attribute must be between 1 </w:t>
      </w:r>
      <w:r>
        <w:t>and 255 inclusive or the rankBy attribute must be greater than or equal to 0 and less than the number of dataField elements.</w:t>
      </w:r>
    </w:p>
    <w:p w:rsidR="00024C0A" w:rsidRDefault="00694C0F">
      <w:pPr>
        <w:pStyle w:val="Definition-Field"/>
      </w:pPr>
      <w:r>
        <w:t xml:space="preserve">s.   </w:t>
      </w:r>
      <w:r>
        <w:rPr>
          <w:i/>
        </w:rPr>
        <w:t>The standard does not specify restrictions for the hideNewItems attribute.</w:t>
      </w:r>
    </w:p>
    <w:p w:rsidR="00024C0A" w:rsidRDefault="00694C0F">
      <w:pPr>
        <w:pStyle w:val="Definition-Field2"/>
      </w:pPr>
      <w:r>
        <w:t>Office specifies that the hideNewItems attribute sh</w:t>
      </w:r>
      <w:r>
        <w:t>all be false for non-OLAP pivotTables.</w:t>
      </w:r>
    </w:p>
    <w:p w:rsidR="00024C0A" w:rsidRDefault="00694C0F">
      <w:pPr>
        <w:pStyle w:val="Definition-Field"/>
      </w:pPr>
      <w:r>
        <w:t xml:space="preserve">t.   </w:t>
      </w:r>
      <w:r>
        <w:rPr>
          <w:i/>
        </w:rPr>
        <w:t>The standard does not specify restrictions for the showPropAsCaption attribute.</w:t>
      </w:r>
    </w:p>
    <w:p w:rsidR="00024C0A" w:rsidRDefault="00694C0F">
      <w:pPr>
        <w:pStyle w:val="Definition-Field2"/>
      </w:pPr>
      <w:r>
        <w:t>Office specifies that the showPropAsCaption attribute shall be false for non-OLAP pivotTables.</w:t>
      </w:r>
    </w:p>
    <w:p w:rsidR="00024C0A" w:rsidRDefault="00694C0F">
      <w:pPr>
        <w:pStyle w:val="Definition-Field"/>
      </w:pPr>
      <w:r>
        <w:t xml:space="preserve">u.   </w:t>
      </w:r>
      <w:r>
        <w:rPr>
          <w:i/>
        </w:rPr>
        <w:t>The standard does not specify re</w:t>
      </w:r>
      <w:r>
        <w:rPr>
          <w:i/>
        </w:rPr>
        <w:t>strictions for the showPropCell attribute.</w:t>
      </w:r>
    </w:p>
    <w:p w:rsidR="00024C0A" w:rsidRDefault="00694C0F">
      <w:pPr>
        <w:pStyle w:val="Definition-Field2"/>
      </w:pPr>
      <w:r>
        <w:t>Office specifies that the showPropCell attribute shall be false for non-OLAP tables.</w:t>
      </w:r>
    </w:p>
    <w:p w:rsidR="00024C0A" w:rsidRDefault="00694C0F">
      <w:pPr>
        <w:pStyle w:val="Definition-Field"/>
      </w:pPr>
      <w:r>
        <w:t xml:space="preserve">v.   </w:t>
      </w:r>
      <w:r>
        <w:rPr>
          <w:i/>
        </w:rPr>
        <w:t>The standard does not specify restrictions for the showPropTip attribute.</w:t>
      </w:r>
    </w:p>
    <w:p w:rsidR="00024C0A" w:rsidRDefault="00694C0F">
      <w:pPr>
        <w:pStyle w:val="Definition-Field2"/>
      </w:pPr>
      <w:r>
        <w:t xml:space="preserve">Office specifies that the showPropTip attribute </w:t>
      </w:r>
      <w:r>
        <w:t>shall be false for non-OLAP pivotTables.</w:t>
      </w:r>
    </w:p>
    <w:p w:rsidR="00024C0A" w:rsidRDefault="00694C0F">
      <w:pPr>
        <w:pStyle w:val="Definition-Field"/>
      </w:pPr>
      <w:r>
        <w:t xml:space="preserve">w.   </w:t>
      </w:r>
      <w:r>
        <w:rPr>
          <w:i/>
        </w:rPr>
        <w:t>The standard does not specify restrictions for the showAll attribute.</w:t>
      </w:r>
    </w:p>
    <w:p w:rsidR="00024C0A" w:rsidRDefault="00694C0F">
      <w:pPr>
        <w:pStyle w:val="Definition-Field2"/>
      </w:pPr>
      <w:r>
        <w:t>Office specifies that the showAll attribute shall be false for OLAP pivotTables.</w:t>
      </w:r>
    </w:p>
    <w:p w:rsidR="00024C0A" w:rsidRDefault="00694C0F">
      <w:pPr>
        <w:pStyle w:val="Definition-Field"/>
      </w:pPr>
      <w:r>
        <w:t xml:space="preserve">x.   </w:t>
      </w:r>
      <w:r>
        <w:rPr>
          <w:i/>
        </w:rPr>
        <w:t>The standard does not specify restrictions on @dataSou</w:t>
      </w:r>
      <w:r>
        <w:rPr>
          <w:i/>
        </w:rPr>
        <w:t>rceSort.</w:t>
      </w:r>
    </w:p>
    <w:p w:rsidR="00024C0A" w:rsidRDefault="00694C0F">
      <w:pPr>
        <w:pStyle w:val="Definition-Field2"/>
      </w:pPr>
      <w:r>
        <w:t>Office specifies that @dataSourceSort shall not be 1 on a non-OLAP PivotTable.</w:t>
      </w:r>
    </w:p>
    <w:p w:rsidR="00024C0A" w:rsidRDefault="00694C0F">
      <w:pPr>
        <w:pStyle w:val="Definition-Field"/>
      </w:pPr>
      <w:r>
        <w:t xml:space="preserve">y.   </w:t>
      </w:r>
      <w:r>
        <w:rPr>
          <w:i/>
        </w:rPr>
        <w:t>The standard describes @hiddenLevel as a PivotTable wide attribute.</w:t>
      </w:r>
    </w:p>
    <w:p w:rsidR="00024C0A" w:rsidRDefault="00694C0F">
      <w:pPr>
        <w:pStyle w:val="Definition-Field2"/>
      </w:pPr>
      <w:r>
        <w:t>Office assumes @hiddenLevel refers to the particular level of this PivotField.</w:t>
      </w:r>
    </w:p>
    <w:p w:rsidR="00024C0A" w:rsidRDefault="00694C0F">
      <w:pPr>
        <w:pStyle w:val="Definition-Field"/>
      </w:pPr>
      <w:r>
        <w:t xml:space="preserve">z.   </w:t>
      </w:r>
      <w:r>
        <w:rPr>
          <w:i/>
        </w:rPr>
        <w:t xml:space="preserve">The </w:t>
      </w:r>
      <w:r>
        <w:rPr>
          <w:i/>
        </w:rPr>
        <w:t>standard specifies that a @dataField value of 0 or false indicates this field appears in another region of the PivotTable.</w:t>
      </w:r>
    </w:p>
    <w:p w:rsidR="00024C0A" w:rsidRDefault="00694C0F">
      <w:pPr>
        <w:pStyle w:val="Definition-Field2"/>
      </w:pPr>
      <w:r>
        <w:t>Office assumes a @dataField value of 0 or false indicates this field does not appear in the data region of the PivotTable.</w:t>
      </w:r>
    </w:p>
    <w:p w:rsidR="00024C0A" w:rsidRDefault="00694C0F">
      <w:pPr>
        <w:pStyle w:val="Definition-Field"/>
      </w:pPr>
      <w:r>
        <w:t xml:space="preserve">aa.  </w:t>
      </w:r>
      <w:r>
        <w:rPr>
          <w:i/>
        </w:rPr>
        <w:t>The s</w:t>
      </w:r>
      <w:r>
        <w:rPr>
          <w:i/>
        </w:rPr>
        <w:t>tandard states that @itemPageCount is the number of items showed per page in the PivotTable.</w:t>
      </w:r>
    </w:p>
    <w:p w:rsidR="00024C0A" w:rsidRDefault="00694C0F">
      <w:pPr>
        <w:pStyle w:val="Definition-Field2"/>
      </w:pPr>
      <w:r>
        <w:t>In Office, specifies @itemPageCount is the number of items to show when the PivotTable’s Autoshow feature is enabled.</w:t>
      </w:r>
    </w:p>
    <w:p w:rsidR="00024C0A" w:rsidRDefault="00694C0F">
      <w:pPr>
        <w:pStyle w:val="Definition-Field"/>
      </w:pPr>
      <w:r>
        <w:t xml:space="preserve">bb.  </w:t>
      </w:r>
      <w:r>
        <w:rPr>
          <w:i/>
        </w:rPr>
        <w:t>The standard specifies the subtotalCapti</w:t>
      </w:r>
      <w:r>
        <w:rPr>
          <w:i/>
        </w:rPr>
        <w:t>on attribute as text.</w:t>
      </w:r>
    </w:p>
    <w:p w:rsidR="00024C0A" w:rsidRDefault="00694C0F">
      <w:pPr>
        <w:pStyle w:val="Definition-Field2"/>
      </w:pPr>
      <w:r>
        <w:t>Office will replace the ? character in this attribute with the field name when displayed in the UI.</w:t>
      </w:r>
    </w:p>
    <w:p w:rsidR="00024C0A" w:rsidRDefault="00694C0F">
      <w:pPr>
        <w:pStyle w:val="Definition-Field"/>
      </w:pPr>
      <w:r>
        <w:t xml:space="preserve">cc.  </w:t>
      </w:r>
      <w:r>
        <w:rPr>
          <w:i/>
        </w:rPr>
        <w:t>The standard states that a value of 0 or false for @serverField indicates that this is a local page field.</w:t>
      </w:r>
    </w:p>
    <w:p w:rsidR="00024C0A" w:rsidRDefault="00694C0F">
      <w:pPr>
        <w:pStyle w:val="Definition-Field2"/>
      </w:pPr>
      <w:r>
        <w:t>In Office, assumes val</w:t>
      </w:r>
      <w:r>
        <w:t>ue of 0 or false indicates that this is not a server-based page field and the @axis can be any valid value.</w:t>
      </w:r>
    </w:p>
    <w:p w:rsidR="00024C0A" w:rsidRDefault="00694C0F">
      <w:pPr>
        <w:pStyle w:val="Definition-Field"/>
      </w:pPr>
      <w:r>
        <w:t xml:space="preserve">dd.  </w:t>
      </w:r>
      <w:r>
        <w:rPr>
          <w:i/>
        </w:rPr>
        <w:t>The standard does not state when @dragToData is used.</w:t>
      </w:r>
    </w:p>
    <w:p w:rsidR="00024C0A" w:rsidRDefault="00694C0F">
      <w:pPr>
        <w:pStyle w:val="Definition-Field2"/>
      </w:pPr>
      <w:r>
        <w:t>Office ignores @dragToData for OLAP PivotTables.</w:t>
      </w:r>
    </w:p>
    <w:p w:rsidR="00024C0A" w:rsidRDefault="00694C0F">
      <w:pPr>
        <w:pStyle w:val="Definition-Field"/>
      </w:pPr>
      <w:r>
        <w:t xml:space="preserve">ee.  </w:t>
      </w:r>
      <w:r>
        <w:rPr>
          <w:i/>
        </w:rPr>
        <w:t>The standard does not state when @d</w:t>
      </w:r>
      <w:r>
        <w:rPr>
          <w:i/>
        </w:rPr>
        <w:t>ragToRow is used.</w:t>
      </w:r>
    </w:p>
    <w:p w:rsidR="00024C0A" w:rsidRDefault="00694C0F">
      <w:pPr>
        <w:pStyle w:val="Definition-Field2"/>
      </w:pPr>
      <w:r>
        <w:t>Office ignores @dragToRow for OLAP PivotTables.</w:t>
      </w:r>
    </w:p>
    <w:p w:rsidR="00024C0A" w:rsidRDefault="00694C0F">
      <w:pPr>
        <w:pStyle w:val="Definition-Field"/>
      </w:pPr>
      <w:r>
        <w:t xml:space="preserve">ff.  </w:t>
      </w:r>
      <w:r>
        <w:rPr>
          <w:i/>
        </w:rPr>
        <w:t>The standard does not state when @dragToCol is used.</w:t>
      </w:r>
    </w:p>
    <w:p w:rsidR="00024C0A" w:rsidRDefault="00694C0F">
      <w:pPr>
        <w:pStyle w:val="Definition-Field2"/>
      </w:pPr>
      <w:r>
        <w:lastRenderedPageBreak/>
        <w:t>Office ignores @dragToCol for OLAP PivotTables.</w:t>
      </w:r>
    </w:p>
    <w:p w:rsidR="00024C0A" w:rsidRDefault="00694C0F">
      <w:pPr>
        <w:pStyle w:val="Definition-Field"/>
      </w:pPr>
      <w:r>
        <w:t xml:space="preserve">gg.  </w:t>
      </w:r>
      <w:r>
        <w:rPr>
          <w:i/>
        </w:rPr>
        <w:t>The standard does state when @dragToPage will be used.</w:t>
      </w:r>
    </w:p>
    <w:p w:rsidR="00024C0A" w:rsidRDefault="00694C0F">
      <w:pPr>
        <w:pStyle w:val="Definition-Field2"/>
      </w:pPr>
      <w:r>
        <w:t>In Office, @dragToPage i</w:t>
      </w:r>
      <w:r>
        <w:t>s ignored for OLAP PivotTables.</w:t>
      </w:r>
    </w:p>
    <w:p w:rsidR="00024C0A" w:rsidRDefault="00694C0F">
      <w:pPr>
        <w:pStyle w:val="Definition-Field"/>
      </w:pPr>
      <w:r>
        <w:t xml:space="preserve">hh.  </w:t>
      </w:r>
      <w:r>
        <w:rPr>
          <w:i/>
        </w:rPr>
        <w:t>The standard does not require a corresponding item element when the avgSubtotal is true.</w:t>
      </w:r>
    </w:p>
    <w:p w:rsidR="00024C0A" w:rsidRDefault="00694C0F">
      <w:pPr>
        <w:pStyle w:val="Definition-Field2"/>
      </w:pPr>
      <w:r>
        <w:t>In Office, if avgSubtotal is true, then this element's items collection must contain an item element with t="avg".</w:t>
      </w:r>
    </w:p>
    <w:p w:rsidR="00024C0A" w:rsidRDefault="00694C0F">
      <w:pPr>
        <w:pStyle w:val="Definition-Field"/>
      </w:pPr>
      <w:r>
        <w:t xml:space="preserve">ii.  </w:t>
      </w:r>
      <w:r>
        <w:rPr>
          <w:i/>
        </w:rPr>
        <w:t>The standa</w:t>
      </w:r>
      <w:r>
        <w:rPr>
          <w:i/>
        </w:rPr>
        <w:t>rd does not require a corresponding item element when the countASubtotal is true.</w:t>
      </w:r>
    </w:p>
    <w:p w:rsidR="00024C0A" w:rsidRDefault="00694C0F">
      <w:pPr>
        <w:pStyle w:val="Definition-Field2"/>
      </w:pPr>
      <w:r>
        <w:t>In Office, if countASubtotal is true, then this element's items collection must contain an item element with t="countA".</w:t>
      </w:r>
    </w:p>
    <w:p w:rsidR="00024C0A" w:rsidRDefault="00694C0F">
      <w:pPr>
        <w:pStyle w:val="Definition-Field"/>
      </w:pPr>
      <w:r>
        <w:t xml:space="preserve">jj.  </w:t>
      </w:r>
      <w:r>
        <w:rPr>
          <w:i/>
        </w:rPr>
        <w:t>The standard does not require a corresponding it</w:t>
      </w:r>
      <w:r>
        <w:rPr>
          <w:i/>
        </w:rPr>
        <w:t>em element when @countSubtotal is true.</w:t>
      </w:r>
    </w:p>
    <w:p w:rsidR="00024C0A" w:rsidRDefault="00694C0F">
      <w:pPr>
        <w:pStyle w:val="Definition-Field2"/>
      </w:pPr>
      <w:r>
        <w:t>In Office if @countSubtotal is true, then this element's items collection must contain an item element with t="count".</w:t>
      </w:r>
    </w:p>
    <w:p w:rsidR="00024C0A" w:rsidRDefault="00694C0F">
      <w:pPr>
        <w:pStyle w:val="Definition-Field"/>
      </w:pPr>
      <w:r>
        <w:t xml:space="preserve">kk.  </w:t>
      </w:r>
      <w:r>
        <w:rPr>
          <w:i/>
        </w:rPr>
        <w:t>The standard does not require a corresponding item element when the maxSubtotal is true.</w:t>
      </w:r>
    </w:p>
    <w:p w:rsidR="00024C0A" w:rsidRDefault="00694C0F">
      <w:pPr>
        <w:pStyle w:val="Definition-Field2"/>
      </w:pPr>
      <w:r>
        <w:t xml:space="preserve">In </w:t>
      </w:r>
      <w:r>
        <w:t>Office, if maxSubtotal is true, then this element's items collection must contain an item element with t="max".</w:t>
      </w:r>
    </w:p>
    <w:p w:rsidR="00024C0A" w:rsidRDefault="00694C0F">
      <w:pPr>
        <w:pStyle w:val="Definition-Field"/>
      </w:pPr>
      <w:r>
        <w:t xml:space="preserve">ll.  </w:t>
      </w:r>
      <w:r>
        <w:rPr>
          <w:i/>
        </w:rPr>
        <w:t>The standard does not require a corresponding item element when the minSubtotal is true.</w:t>
      </w:r>
    </w:p>
    <w:p w:rsidR="00024C0A" w:rsidRDefault="00694C0F">
      <w:pPr>
        <w:pStyle w:val="Definition-Field2"/>
      </w:pPr>
      <w:r>
        <w:t>In Office, if minSubtotal is true, then this eleme</w:t>
      </w:r>
      <w:r>
        <w:t>nt's items collection must contain an item element with t="min".</w:t>
      </w:r>
    </w:p>
    <w:p w:rsidR="00024C0A" w:rsidRDefault="00694C0F">
      <w:pPr>
        <w:pStyle w:val="Definition-Field"/>
      </w:pPr>
      <w:r>
        <w:t xml:space="preserve">mm.  </w:t>
      </w:r>
      <w:r>
        <w:rPr>
          <w:i/>
        </w:rPr>
        <w:t>The standard does not require a corresponding item element when the productSubtotal is true.</w:t>
      </w:r>
    </w:p>
    <w:p w:rsidR="00024C0A" w:rsidRDefault="00694C0F">
      <w:pPr>
        <w:pStyle w:val="Definition-Field2"/>
      </w:pPr>
      <w:r>
        <w:t>In Office, if productSubtotal is true, then this element's items collection must contain an i</w:t>
      </w:r>
      <w:r>
        <w:t>tem element with t="product".</w:t>
      </w:r>
    </w:p>
    <w:p w:rsidR="00024C0A" w:rsidRDefault="00694C0F">
      <w:pPr>
        <w:pStyle w:val="Definition-Field"/>
      </w:pPr>
      <w:r>
        <w:t xml:space="preserve">nn.  </w:t>
      </w:r>
      <w:r>
        <w:rPr>
          <w:i/>
        </w:rPr>
        <w:t>The standard does not require a corresponding item element when the stdDevPSubtotal is true.</w:t>
      </w:r>
    </w:p>
    <w:p w:rsidR="00024C0A" w:rsidRDefault="00694C0F">
      <w:pPr>
        <w:pStyle w:val="Definition-Field2"/>
      </w:pPr>
      <w:r>
        <w:t>In Office, if stdDevPSubtotal is true, then this element's items collection must contain an item element with t="stdDevP".</w:t>
      </w:r>
    </w:p>
    <w:p w:rsidR="00024C0A" w:rsidRDefault="00694C0F">
      <w:pPr>
        <w:pStyle w:val="Definition-Field"/>
      </w:pPr>
      <w:r>
        <w:t xml:space="preserve">oo.  </w:t>
      </w:r>
      <w:r>
        <w:rPr>
          <w:i/>
        </w:rPr>
        <w:t>The standard does not require a corresponding item element when the stdDevSubtotal is true.</w:t>
      </w:r>
    </w:p>
    <w:p w:rsidR="00024C0A" w:rsidRDefault="00694C0F">
      <w:pPr>
        <w:pStyle w:val="Definition-Field2"/>
      </w:pPr>
      <w:r>
        <w:t>In Office, if stdDevSubtotal is true, then this element's items collection must contain an item element with t="stdDev".</w:t>
      </w:r>
    </w:p>
    <w:p w:rsidR="00024C0A" w:rsidRDefault="00694C0F">
      <w:pPr>
        <w:pStyle w:val="Definition-Field"/>
      </w:pPr>
      <w:r>
        <w:t xml:space="preserve">pp.  </w:t>
      </w:r>
      <w:r>
        <w:rPr>
          <w:i/>
        </w:rPr>
        <w:t>The standard does not require a corres</w:t>
      </w:r>
      <w:r>
        <w:rPr>
          <w:i/>
        </w:rPr>
        <w:t>ponding item element when the sumSubtotal is true.</w:t>
      </w:r>
    </w:p>
    <w:p w:rsidR="00024C0A" w:rsidRDefault="00694C0F">
      <w:pPr>
        <w:pStyle w:val="Definition-Field2"/>
      </w:pPr>
      <w:r>
        <w:t>In Office, if sumSubtotal is true, then this element's items collection must contain an item element with t="sum".</w:t>
      </w:r>
    </w:p>
    <w:p w:rsidR="00024C0A" w:rsidRDefault="00694C0F">
      <w:pPr>
        <w:pStyle w:val="Definition-Field"/>
      </w:pPr>
      <w:r>
        <w:t xml:space="preserve">qq.  </w:t>
      </w:r>
      <w:r>
        <w:rPr>
          <w:i/>
        </w:rPr>
        <w:t>The standard does not require a corresponding item element when the varPSubtotal is t</w:t>
      </w:r>
      <w:r>
        <w:rPr>
          <w:i/>
        </w:rPr>
        <w:t>rue.</w:t>
      </w:r>
    </w:p>
    <w:p w:rsidR="00024C0A" w:rsidRDefault="00694C0F">
      <w:pPr>
        <w:pStyle w:val="Definition-Field2"/>
      </w:pPr>
      <w:r>
        <w:t>In Office, if varPSubtotal is true, then this element's items collection must contain an item element with t="varP".</w:t>
      </w:r>
    </w:p>
    <w:p w:rsidR="00024C0A" w:rsidRDefault="00694C0F">
      <w:pPr>
        <w:pStyle w:val="Definition-Field"/>
      </w:pPr>
      <w:r>
        <w:t xml:space="preserve">rr.  </w:t>
      </w:r>
      <w:r>
        <w:rPr>
          <w:i/>
        </w:rPr>
        <w:t>The standard does not require a corresponding item element when the varSubtotal is true.</w:t>
      </w:r>
    </w:p>
    <w:p w:rsidR="00024C0A" w:rsidRDefault="00694C0F">
      <w:pPr>
        <w:pStyle w:val="Definition-Field2"/>
      </w:pPr>
      <w:r>
        <w:t xml:space="preserve">In Office, if varSubtotal is true, then </w:t>
      </w:r>
      <w:r>
        <w:t>this element's items collection must contain an item element with t="var".</w:t>
      </w:r>
    </w:p>
    <w:p w:rsidR="00024C0A" w:rsidRDefault="00694C0F">
      <w:pPr>
        <w:pStyle w:val="Definition-Field"/>
      </w:pPr>
      <w:r>
        <w:t xml:space="preserve">ss.  </w:t>
      </w:r>
      <w:r>
        <w:rPr>
          <w:i/>
        </w:rPr>
        <w:t>The standard does not require a corresponding item element when the defaultSubtotal is false.</w:t>
      </w:r>
    </w:p>
    <w:p w:rsidR="00024C0A" w:rsidRDefault="00694C0F">
      <w:pPr>
        <w:pStyle w:val="Definition-Field2"/>
      </w:pPr>
      <w:r>
        <w:lastRenderedPageBreak/>
        <w:t xml:space="preserve">In Office, if defaultSubtotal is true or not written, then this element's items </w:t>
      </w:r>
      <w:r>
        <w:t>collection must contain an item element with t="default".</w:t>
      </w:r>
    </w:p>
    <w:p w:rsidR="00024C0A" w:rsidRDefault="00694C0F">
      <w:pPr>
        <w:pStyle w:val="Definition-Field"/>
      </w:pPr>
      <w:r>
        <w:t xml:space="preserve">tt.  </w:t>
      </w:r>
      <w:r>
        <w:rPr>
          <w:i/>
        </w:rPr>
        <w:t>The standard does not state any requirements on the type of PivotTable for which @uniqueMemberProperty is valid.</w:t>
      </w:r>
    </w:p>
    <w:p w:rsidR="00024C0A" w:rsidRDefault="00694C0F">
      <w:pPr>
        <w:pStyle w:val="Definition-Field2"/>
      </w:pPr>
      <w:r>
        <w:t>Office requires that this attribute is only set on OLAP PivotTables.</w:t>
      </w:r>
    </w:p>
    <w:p w:rsidR="00024C0A" w:rsidRDefault="00694C0F">
      <w:pPr>
        <w:pStyle w:val="Definition-Field"/>
      </w:pPr>
      <w:r>
        <w:t xml:space="preserve">uu.  </w:t>
      </w:r>
      <w:r>
        <w:rPr>
          <w:i/>
        </w:rPr>
        <w:t>The st</w:t>
      </w:r>
      <w:r>
        <w:rPr>
          <w:i/>
        </w:rPr>
        <w:t>andard does not restrict the usage of the includeNewItemsInFilter attribute.</w:t>
      </w:r>
    </w:p>
    <w:p w:rsidR="00024C0A" w:rsidRDefault="00694C0F">
      <w:pPr>
        <w:pStyle w:val="Definition-Field2"/>
      </w:pPr>
      <w:r>
        <w:t>Office assumes the includeNewItemsInFilter attribute shall be ignored for OLAP PivotTables.</w:t>
      </w:r>
    </w:p>
    <w:p w:rsidR="00024C0A" w:rsidRDefault="00694C0F">
      <w:pPr>
        <w:pStyle w:val="Definition-Field"/>
      </w:pPr>
      <w:r>
        <w:t xml:space="preserve">vv.  </w:t>
      </w:r>
      <w:r>
        <w:rPr>
          <w:i/>
        </w:rPr>
        <w:t>The standard states that @showPropTip determines if a tooltip is shown for a Pivot</w:t>
      </w:r>
      <w:r>
        <w:rPr>
          <w:i/>
        </w:rPr>
        <w:t>Table cell.</w:t>
      </w:r>
    </w:p>
    <w:p w:rsidR="00024C0A" w:rsidRDefault="00694C0F">
      <w:pPr>
        <w:pStyle w:val="Definition-Field2"/>
      </w:pPr>
      <w:r>
        <w:t>In Office the value of mp@showTip, if present, takes precedence over @showPropTip.</w:t>
      </w:r>
    </w:p>
    <w:p w:rsidR="00024C0A" w:rsidRDefault="00694C0F">
      <w:pPr>
        <w:pStyle w:val="Definition-Field"/>
      </w:pPr>
      <w:r>
        <w:t xml:space="preserve">ww.  </w:t>
      </w:r>
      <w:r>
        <w:rPr>
          <w:i/>
        </w:rPr>
        <w:t>The standard states that @showPropCell determines if a tooltip is shown for a PivotTable cell.</w:t>
      </w:r>
    </w:p>
    <w:p w:rsidR="00024C0A" w:rsidRDefault="00694C0F">
      <w:pPr>
        <w:pStyle w:val="Definition-Field2"/>
      </w:pPr>
      <w:r>
        <w:t>In Office the value of mp@showCell, if present, takes precede</w:t>
      </w:r>
      <w:r>
        <w:t>nce over @showPropCell.</w:t>
      </w:r>
    </w:p>
    <w:p w:rsidR="00024C0A" w:rsidRDefault="00694C0F">
      <w:pPr>
        <w:pStyle w:val="Heading3"/>
      </w:pPr>
      <w:bookmarkStart w:id="1581" w:name="section_5f2cb624bb19425584b50ccc3694063f"/>
      <w:bookmarkStart w:id="1582" w:name="_Toc12260851"/>
      <w:r>
        <w:t>Part 1 Section 18.10.1.70, pivotFields (PivotTable Fields)</w:t>
      </w:r>
      <w:bookmarkEnd w:id="1581"/>
      <w:bookmarkEnd w:id="1582"/>
      <w:r>
        <w:fldChar w:fldCharType="begin"/>
      </w:r>
      <w:r>
        <w:instrText xml:space="preserve"> XE "pivotFields (PivotTable Fields)" </w:instrText>
      </w:r>
      <w:r>
        <w:fldChar w:fldCharType="end"/>
      </w:r>
    </w:p>
    <w:p w:rsidR="00024C0A" w:rsidRDefault="00694C0F">
      <w:pPr>
        <w:pStyle w:val="Definition-Field"/>
      </w:pPr>
      <w:r>
        <w:t xml:space="preserve">a.   </w:t>
      </w:r>
      <w:r>
        <w:rPr>
          <w:i/>
        </w:rPr>
        <w:t>The standard does not specify a limit on the number of pivotField child elements.</w:t>
      </w:r>
    </w:p>
    <w:p w:rsidR="00024C0A" w:rsidRDefault="00694C0F">
      <w:pPr>
        <w:pStyle w:val="Definition-Field2"/>
      </w:pPr>
      <w:r>
        <w:t xml:space="preserve">In Office, if this PivotTable is an OLAP </w:t>
      </w:r>
      <w:r>
        <w:t>PivotTable, then the number of pivotField elements must be less than or equal to the number of cacheField elements on the associated cache. Otherwise they must be equal.</w:t>
      </w:r>
    </w:p>
    <w:p w:rsidR="00024C0A" w:rsidRDefault="00694C0F">
      <w:pPr>
        <w:pStyle w:val="Heading3"/>
      </w:pPr>
      <w:bookmarkStart w:id="1583" w:name="section_7deb007e8c6e420a8c1f12c46f901bad"/>
      <w:bookmarkStart w:id="1584" w:name="_Toc12260852"/>
      <w:r>
        <w:t>Part 1 Section 18.10.1.71, pivotHierarchies (PivotTable OLAP Hierarchies)</w:t>
      </w:r>
      <w:bookmarkEnd w:id="1583"/>
      <w:bookmarkEnd w:id="1584"/>
      <w:r>
        <w:fldChar w:fldCharType="begin"/>
      </w:r>
      <w:r>
        <w:instrText xml:space="preserve"> XE "pivotHie</w:instrText>
      </w:r>
      <w:r>
        <w:instrText xml:space="preserve">rarchies (PivotTable OLAP Hierarchies)" </w:instrText>
      </w:r>
      <w:r>
        <w:fldChar w:fldCharType="end"/>
      </w:r>
    </w:p>
    <w:p w:rsidR="00024C0A" w:rsidRDefault="00694C0F">
      <w:pPr>
        <w:pStyle w:val="Definition-Field"/>
      </w:pPr>
      <w:r>
        <w:t xml:space="preserve">a.   </w:t>
      </w:r>
      <w:r>
        <w:rPr>
          <w:i/>
        </w:rPr>
        <w:t>The standard does not mention limitations on the number of child elements.</w:t>
      </w:r>
    </w:p>
    <w:p w:rsidR="00024C0A" w:rsidRDefault="00694C0F">
      <w:pPr>
        <w:pStyle w:val="Definition-Field2"/>
      </w:pPr>
      <w:r>
        <w:t>Office requires that the number of child elements must be the same as the number of cacheHierarchy elements plus the number of kpi el</w:t>
      </w:r>
      <w:r>
        <w:t>ements in the PivotCacheDefinition associated with this PivotTable.</w:t>
      </w:r>
    </w:p>
    <w:p w:rsidR="00024C0A" w:rsidRDefault="00694C0F">
      <w:pPr>
        <w:pStyle w:val="Heading3"/>
      </w:pPr>
      <w:bookmarkStart w:id="1585" w:name="section_70f0f8e6ea974c19a60c296040c6245b"/>
      <w:bookmarkStart w:id="1586" w:name="_Toc12260853"/>
      <w:r>
        <w:t>Part 1 Section 18.10.1.72, pivotHierarchy (OLAP Hierarchy)</w:t>
      </w:r>
      <w:bookmarkEnd w:id="1585"/>
      <w:bookmarkEnd w:id="1586"/>
      <w:r>
        <w:fldChar w:fldCharType="begin"/>
      </w:r>
      <w:r>
        <w:instrText xml:space="preserve"> XE "pivotHierarchy (OLAP Hierarchy)" </w:instrText>
      </w:r>
      <w:r>
        <w:fldChar w:fldCharType="end"/>
      </w:r>
    </w:p>
    <w:p w:rsidR="00024C0A" w:rsidRDefault="00694C0F">
      <w:pPr>
        <w:pStyle w:val="Definition-Field"/>
      </w:pPr>
      <w:r>
        <w:t xml:space="preserve">a.   </w:t>
      </w:r>
      <w:r>
        <w:rPr>
          <w:i/>
        </w:rPr>
        <w:t>The standard specifies @includeNewItemsInFilter value of 1 indicates the application</w:t>
      </w:r>
      <w:r>
        <w:rPr>
          <w:i/>
        </w:rPr>
        <w:t xml:space="preserve"> will show only items the user has selected; all other items will be hidden.</w:t>
      </w:r>
    </w:p>
    <w:p w:rsidR="00024C0A" w:rsidRDefault="00694C0F">
      <w:r>
        <w:t xml:space="preserve">Specification of the includeNewItemsInFilter attribute applies to </w:t>
      </w:r>
      <w:r>
        <w:rPr>
          <w:b/>
        </w:rPr>
        <w:t xml:space="preserve">member </w:t>
      </w:r>
      <w:r>
        <w:t xml:space="preserve">elements in the </w:t>
      </w:r>
      <w:r>
        <w:rPr>
          <w:b/>
        </w:rPr>
        <w:t xml:space="preserve">members </w:t>
      </w:r>
      <w:r>
        <w:t xml:space="preserve">children (there can be more than 1 </w:t>
      </w:r>
      <w:r>
        <w:rPr>
          <w:b/>
        </w:rPr>
        <w:t xml:space="preserve">members </w:t>
      </w:r>
      <w:r>
        <w:t xml:space="preserve">under </w:t>
      </w:r>
      <w:r>
        <w:rPr>
          <w:b/>
        </w:rPr>
        <w:t>pivotHierarchy</w:t>
      </w:r>
      <w:r>
        <w:t>) of this element a</w:t>
      </w:r>
      <w:r>
        <w:t xml:space="preserve">nd </w:t>
      </w:r>
      <w:r>
        <w:rPr>
          <w:b/>
        </w:rPr>
        <w:t xml:space="preserve">item </w:t>
      </w:r>
      <w:r>
        <w:t xml:space="preserve">elements, which have </w:t>
      </w:r>
      <w:r>
        <w:rPr>
          <w:i/>
        </w:rPr>
        <w:t>s</w:t>
      </w:r>
      <w:r>
        <w:t xml:space="preserve"> equal to </w:t>
      </w:r>
      <w:r>
        <w:rPr>
          <w:i/>
        </w:rPr>
        <w:t>1</w:t>
      </w:r>
      <w:r>
        <w:t xml:space="preserve"> or </w:t>
      </w:r>
      <w:r>
        <w:rPr>
          <w:i/>
        </w:rPr>
        <w:t>true</w:t>
      </w:r>
      <w:r>
        <w:t xml:space="preserve"> and which are in </w:t>
      </w:r>
      <w:r>
        <w:rPr>
          <w:b/>
        </w:rPr>
        <w:t xml:space="preserve">pivotField </w:t>
      </w:r>
      <w:r>
        <w:t xml:space="preserve">element associated with this </w:t>
      </w:r>
      <w:r>
        <w:rPr>
          <w:b/>
        </w:rPr>
        <w:t xml:space="preserve">pivotHierarchy </w:t>
      </w:r>
      <w:r>
        <w:t xml:space="preserve">by the </w:t>
      </w:r>
      <w:r>
        <w:rPr>
          <w:b/>
        </w:rPr>
        <w:t xml:space="preserve">fieldsUsage </w:t>
      </w:r>
      <w:r>
        <w:t xml:space="preserve">element of the </w:t>
      </w:r>
      <w:r>
        <w:rPr>
          <w:b/>
        </w:rPr>
        <w:t>cacheHieararchy</w:t>
      </w:r>
      <w:r>
        <w:t xml:space="preserve">. </w:t>
      </w:r>
    </w:p>
    <w:p w:rsidR="00024C0A" w:rsidRDefault="00694C0F">
      <w:r>
        <w:t xml:space="preserve">A value of 1, or true, indicates the specified </w:t>
      </w:r>
      <w:r>
        <w:rPr>
          <w:b/>
        </w:rPr>
        <w:t>members</w:t>
      </w:r>
      <w:r>
        <w:t xml:space="preserve"> and </w:t>
      </w:r>
      <w:r>
        <w:rPr>
          <w:b/>
        </w:rPr>
        <w:t>items</w:t>
      </w:r>
      <w:r>
        <w:t xml:space="preserve"> represent items t</w:t>
      </w:r>
      <w:r>
        <w:t xml:space="preserve">hat are excluded from the PivotTable, along with their descendants. </w:t>
      </w:r>
    </w:p>
    <w:p w:rsidR="00024C0A" w:rsidRDefault="00694C0F">
      <w:r>
        <w:t xml:space="preserve">A value of 0, or false, indicates the specified </w:t>
      </w:r>
      <w:r>
        <w:rPr>
          <w:b/>
        </w:rPr>
        <w:t>members</w:t>
      </w:r>
      <w:r>
        <w:t xml:space="preserve"> and </w:t>
      </w:r>
      <w:r>
        <w:rPr>
          <w:b/>
        </w:rPr>
        <w:t>items</w:t>
      </w:r>
      <w:r>
        <w:t xml:space="preserve"> represent items that are included in the PivotTable, along with their ascendants and descendants.</w:t>
      </w:r>
    </w:p>
    <w:p w:rsidR="00024C0A" w:rsidRDefault="00694C0F">
      <w:pPr>
        <w:pStyle w:val="Definition-Field"/>
      </w:pPr>
      <w:r>
        <w:t xml:space="preserve">b.   </w:t>
      </w:r>
      <w:r>
        <w:rPr>
          <w:i/>
        </w:rPr>
        <w:t>The standard speci</w:t>
      </w:r>
      <w:r>
        <w:rPr>
          <w:i/>
        </w:rPr>
        <w:t>fies @dragToData indicates whether the user is allowed to put this hierarchy into the data area of the view.</w:t>
      </w:r>
    </w:p>
    <w:p w:rsidR="00024C0A" w:rsidRDefault="00694C0F">
      <w:pPr>
        <w:pStyle w:val="Definition-Field2"/>
      </w:pPr>
      <w:r>
        <w:t xml:space="preserve">Office specifies @dragToData value of indicates the user can put this hierarchy into the data area of the PivotTable, subject to other constraints </w:t>
      </w:r>
      <w:r>
        <w:t>that may apply.</w:t>
      </w:r>
    </w:p>
    <w:p w:rsidR="00024C0A" w:rsidRDefault="00694C0F">
      <w:pPr>
        <w:pStyle w:val="Definition-Field"/>
      </w:pPr>
      <w:r>
        <w:lastRenderedPageBreak/>
        <w:t xml:space="preserve">c.   </w:t>
      </w:r>
      <w:r>
        <w:rPr>
          <w:i/>
        </w:rPr>
        <w:t>The standard specifies @dragToRow indicates whether the user is allowed to put this hierarchy into the row area of the PivotTable.</w:t>
      </w:r>
    </w:p>
    <w:p w:rsidR="00024C0A" w:rsidRDefault="00694C0F">
      <w:pPr>
        <w:pStyle w:val="Definition-Field2"/>
      </w:pPr>
      <w:r>
        <w:t xml:space="preserve">Office specifies @dragToRow value of 1 true indicates the user can put this hierarchy into the row area </w:t>
      </w:r>
      <w:r>
        <w:t>of the PivotTable, subject to other constraints that may apply.</w:t>
      </w:r>
    </w:p>
    <w:p w:rsidR="00024C0A" w:rsidRDefault="00694C0F">
      <w:pPr>
        <w:pStyle w:val="Definition-Field"/>
      </w:pPr>
      <w:r>
        <w:t xml:space="preserve">d.   </w:t>
      </w:r>
      <w:r>
        <w:rPr>
          <w:i/>
        </w:rPr>
        <w:t>The standard does not specify a length limit for the caption attribute.</w:t>
      </w:r>
    </w:p>
    <w:p w:rsidR="00024C0A" w:rsidRDefault="00694C0F">
      <w:pPr>
        <w:pStyle w:val="Definition-Field2"/>
      </w:pPr>
      <w:r>
        <w:t>Office specifies a limit of less than or equal to 65535 characters for the caption attribute.</w:t>
      </w:r>
    </w:p>
    <w:p w:rsidR="00024C0A" w:rsidRDefault="00694C0F">
      <w:pPr>
        <w:pStyle w:val="Definition-Field"/>
      </w:pPr>
      <w:r>
        <w:t xml:space="preserve">e.   </w:t>
      </w:r>
      <w:r>
        <w:rPr>
          <w:i/>
        </w:rPr>
        <w:t xml:space="preserve">The standard </w:t>
      </w:r>
      <w:r>
        <w:rPr>
          <w:i/>
        </w:rPr>
        <w:t>specifies @dragToPage indicates whether the user is allowed to put this hierarchy into the page area of the PivotTable.</w:t>
      </w:r>
    </w:p>
    <w:p w:rsidR="00024C0A" w:rsidRDefault="00694C0F">
      <w:pPr>
        <w:pStyle w:val="Definition-Field2"/>
      </w:pPr>
      <w:r>
        <w:t>Office specifies @dragToPage value of 1 indicates the user can put this hierarchy into the page area of the PivotTable, subject to other</w:t>
      </w:r>
      <w:r>
        <w:t xml:space="preserve"> constraints that may apply.</w:t>
      </w:r>
    </w:p>
    <w:p w:rsidR="00024C0A" w:rsidRDefault="00694C0F">
      <w:pPr>
        <w:pStyle w:val="Definition-Field"/>
      </w:pPr>
      <w:r>
        <w:t xml:space="preserve">f.   </w:t>
      </w:r>
      <w:r>
        <w:rPr>
          <w:i/>
        </w:rPr>
        <w:t>In the standard when @dragToCol is 0, this hierarchy cannot be removed.</w:t>
      </w:r>
    </w:p>
    <w:p w:rsidR="00024C0A" w:rsidRDefault="00694C0F">
      <w:pPr>
        <w:pStyle w:val="Definition-Field2"/>
      </w:pPr>
      <w:r>
        <w:t xml:space="preserve">Office specifies when @dragToCol is 0 the user cannot put this hierarchy into the column area of the PivotTable. When the value is 1 the user can put </w:t>
      </w:r>
      <w:r>
        <w:t>this hierarchy into the column area of the PivotTable, subject to other constraints that may apply.</w:t>
      </w:r>
    </w:p>
    <w:p w:rsidR="00024C0A" w:rsidRDefault="00694C0F">
      <w:pPr>
        <w:pStyle w:val="Heading3"/>
      </w:pPr>
      <w:bookmarkStart w:id="1587" w:name="section_7b6c9fe631584a228a8abbf584ecf45f"/>
      <w:bookmarkStart w:id="1588" w:name="_Toc12260854"/>
      <w:r>
        <w:t>Part 1 Section 18.10.1.73, pivotTableDefinition (PivotTable Definition)</w:t>
      </w:r>
      <w:bookmarkEnd w:id="1587"/>
      <w:bookmarkEnd w:id="1588"/>
      <w:r>
        <w:fldChar w:fldCharType="begin"/>
      </w:r>
      <w:r>
        <w:instrText xml:space="preserve"> XE "pivotTableDefinition (PivotTable Definition)" </w:instrText>
      </w:r>
      <w:r>
        <w:fldChar w:fldCharType="end"/>
      </w:r>
    </w:p>
    <w:p w:rsidR="00024C0A" w:rsidRDefault="00694C0F">
      <w:pPr>
        <w:pStyle w:val="Definition-Field2"/>
      </w:pPr>
      <w:r>
        <w:rPr>
          <w:i/>
        </w:rPr>
        <w:t>For additional notes that apply</w:t>
      </w:r>
      <w:r>
        <w:rPr>
          <w:i/>
        </w:rPr>
        <w:t xml:space="preserve"> to this portion of the standard, please see the notes for </w:t>
      </w:r>
      <w:hyperlink w:anchor="Section_c204cff307be4db39524f802d03fa17c">
        <w:r>
          <w:rPr>
            <w:rStyle w:val="Hyperlink"/>
          </w:rPr>
          <w:t>raf, §18.11.1.8(b)</w:t>
        </w:r>
      </w:hyperlink>
      <w:r>
        <w:rPr>
          <w:i/>
        </w:rPr>
        <w:t>.</w:t>
      </w:r>
    </w:p>
    <w:p w:rsidR="00024C0A" w:rsidRDefault="00694C0F">
      <w:pPr>
        <w:pStyle w:val="Definition-Field"/>
      </w:pPr>
      <w:r>
        <w:t xml:space="preserve">a.   </w:t>
      </w:r>
      <w:r>
        <w:rPr>
          <w:i/>
        </w:rPr>
        <w:t>The standard does not specify a default value for the dataPosition attribute.</w:t>
      </w:r>
    </w:p>
    <w:p w:rsidR="00024C0A" w:rsidRDefault="00694C0F">
      <w:pPr>
        <w:pStyle w:val="Definition-Field2"/>
      </w:pPr>
      <w:r>
        <w:t>Excel uses a default value of 0</w:t>
      </w:r>
      <w:r>
        <w:t xml:space="preserve"> for this attribute.</w:t>
      </w:r>
    </w:p>
    <w:p w:rsidR="00024C0A" w:rsidRDefault="00694C0F">
      <w:pPr>
        <w:pStyle w:val="Definition-Field"/>
      </w:pPr>
      <w:r>
        <w:t xml:space="preserve">b.   </w:t>
      </w:r>
      <w:r>
        <w:rPr>
          <w:i/>
        </w:rPr>
        <w:t>The standard does not define a default value for @autoFormatId.</w:t>
      </w:r>
    </w:p>
    <w:p w:rsidR="00024C0A" w:rsidRDefault="00694C0F">
      <w:pPr>
        <w:pStyle w:val="Definition-Field2"/>
      </w:pPr>
      <w:r>
        <w:t>Office defines a default value for @autoFormatId of 1.</w:t>
      </w:r>
    </w:p>
    <w:p w:rsidR="00024C0A" w:rsidRDefault="00694C0F">
      <w:pPr>
        <w:pStyle w:val="Definition-Field"/>
      </w:pPr>
      <w:r>
        <w:t xml:space="preserve">c.   </w:t>
      </w:r>
      <w:r>
        <w:rPr>
          <w:i/>
        </w:rPr>
        <w:t>The standard describes the mdxSubqueries attribute.</w:t>
      </w:r>
    </w:p>
    <w:p w:rsidR="00024C0A" w:rsidRDefault="00694C0F">
      <w:pPr>
        <w:pStyle w:val="Definition-Field2"/>
      </w:pPr>
      <w:r>
        <w:t>Office does not use the mdxSubqueries attribute.</w:t>
      </w:r>
    </w:p>
    <w:p w:rsidR="00024C0A" w:rsidRDefault="00694C0F">
      <w:pPr>
        <w:pStyle w:val="Definition-Field"/>
      </w:pPr>
      <w:r>
        <w:t xml:space="preserve">d.   </w:t>
      </w:r>
      <w:r>
        <w:rPr>
          <w:i/>
        </w:rPr>
        <w:t>The standard states for @asteriskTotals that 1 or true means that asterisks will be displayed.</w:t>
      </w:r>
    </w:p>
    <w:p w:rsidR="00024C0A" w:rsidRDefault="00694C0F">
      <w:pPr>
        <w:pStyle w:val="Definition-Field2"/>
      </w:pPr>
      <w:r>
        <w:t>In Office, a value for @asteriskTotals of 1 or true means that asterisks will not be displayed.</w:t>
      </w:r>
    </w:p>
    <w:p w:rsidR="00024C0A" w:rsidRDefault="00694C0F">
      <w:pPr>
        <w:pStyle w:val="Definition-Field"/>
      </w:pPr>
      <w:r>
        <w:t xml:space="preserve">e.   </w:t>
      </w:r>
      <w:r>
        <w:rPr>
          <w:i/>
        </w:rPr>
        <w:t xml:space="preserve">The standard does not limit the length of the value of the </w:t>
      </w:r>
      <w:r>
        <w:rPr>
          <w:i/>
        </w:rPr>
        <w:t>dataCaption attribute.</w:t>
      </w:r>
    </w:p>
    <w:p w:rsidR="00024C0A" w:rsidRDefault="00694C0F">
      <w:pPr>
        <w:pStyle w:val="Definition-Field2"/>
      </w:pPr>
      <w:r>
        <w:t>Excel restricts the value of this attribute to be at most 255 characters.</w:t>
      </w:r>
    </w:p>
    <w:p w:rsidR="00024C0A" w:rsidRDefault="00694C0F">
      <w:pPr>
        <w:pStyle w:val="Definition-Field"/>
      </w:pPr>
      <w:r>
        <w:t xml:space="preserve">f.   </w:t>
      </w:r>
      <w:r>
        <w:rPr>
          <w:i/>
        </w:rPr>
        <w:t>The standard does not limit the length of the value of the grandTotalCaption attribute.</w:t>
      </w:r>
    </w:p>
    <w:p w:rsidR="00024C0A" w:rsidRDefault="00694C0F">
      <w:pPr>
        <w:pStyle w:val="Definition-Field2"/>
      </w:pPr>
      <w:r>
        <w:t>Excel restricts the value of this attribute to be at most 255 char</w:t>
      </w:r>
      <w:r>
        <w:t>acters.</w:t>
      </w:r>
    </w:p>
    <w:p w:rsidR="00024C0A" w:rsidRDefault="00694C0F">
      <w:pPr>
        <w:pStyle w:val="Definition-Field"/>
      </w:pPr>
      <w:r>
        <w:t xml:space="preserve">g.   </w:t>
      </w:r>
      <w:r>
        <w:rPr>
          <w:i/>
        </w:rPr>
        <w:t>The standard does not limit the length of the value of the errorCaption attribute.</w:t>
      </w:r>
    </w:p>
    <w:p w:rsidR="00024C0A" w:rsidRDefault="00694C0F">
      <w:pPr>
        <w:pStyle w:val="Definition-Field2"/>
      </w:pPr>
      <w:r>
        <w:t>Excel restricts the value of this attribute to be at most 255 characters.</w:t>
      </w:r>
    </w:p>
    <w:p w:rsidR="00024C0A" w:rsidRDefault="00694C0F">
      <w:pPr>
        <w:pStyle w:val="Definition-Field"/>
      </w:pPr>
      <w:r>
        <w:t xml:space="preserve">h.   </w:t>
      </w:r>
      <w:r>
        <w:rPr>
          <w:i/>
        </w:rPr>
        <w:t>The standard does not limit the length of the value of the missingCaption attribu</w:t>
      </w:r>
      <w:r>
        <w:rPr>
          <w:i/>
        </w:rPr>
        <w:t>te.</w:t>
      </w:r>
    </w:p>
    <w:p w:rsidR="00024C0A" w:rsidRDefault="00694C0F">
      <w:pPr>
        <w:pStyle w:val="Definition-Field2"/>
      </w:pPr>
      <w:r>
        <w:t>Excel restricts the value of this attribute to be at most 255 characters.</w:t>
      </w:r>
    </w:p>
    <w:p w:rsidR="00024C0A" w:rsidRDefault="00694C0F">
      <w:pPr>
        <w:pStyle w:val="Definition-Field"/>
      </w:pPr>
      <w:r>
        <w:t xml:space="preserve">i.   </w:t>
      </w:r>
      <w:r>
        <w:rPr>
          <w:i/>
        </w:rPr>
        <w:t>The standard does not limit the length of the value of the pageStyle attribute.</w:t>
      </w:r>
    </w:p>
    <w:p w:rsidR="00024C0A" w:rsidRDefault="00694C0F">
      <w:pPr>
        <w:pStyle w:val="Definition-Field2"/>
      </w:pPr>
      <w:r>
        <w:t>Excel restricts the value of this attribute to be at most 255 characters.</w:t>
      </w:r>
    </w:p>
    <w:p w:rsidR="00024C0A" w:rsidRDefault="00694C0F">
      <w:pPr>
        <w:pStyle w:val="Definition-Field"/>
      </w:pPr>
      <w:r>
        <w:lastRenderedPageBreak/>
        <w:t xml:space="preserve">j.   </w:t>
      </w:r>
      <w:r>
        <w:rPr>
          <w:i/>
        </w:rPr>
        <w:t>The standard d</w:t>
      </w:r>
      <w:r>
        <w:rPr>
          <w:i/>
        </w:rPr>
        <w:t>oes not limit the length of the value of the pivotTableStyle attribute.</w:t>
      </w:r>
    </w:p>
    <w:p w:rsidR="00024C0A" w:rsidRDefault="00694C0F">
      <w:pPr>
        <w:pStyle w:val="Definition-Field2"/>
      </w:pPr>
      <w:r>
        <w:t>Excel restricts the value of this attribute to be at most 255 characters.</w:t>
      </w:r>
    </w:p>
    <w:p w:rsidR="00024C0A" w:rsidRDefault="00694C0F">
      <w:pPr>
        <w:pStyle w:val="Definition-Field"/>
      </w:pPr>
      <w:r>
        <w:t xml:space="preserve">k.   </w:t>
      </w:r>
      <w:r>
        <w:rPr>
          <w:i/>
        </w:rPr>
        <w:t>The standard does not limit the length of the value of the vacatedStyle attribute.</w:t>
      </w:r>
    </w:p>
    <w:p w:rsidR="00024C0A" w:rsidRDefault="00694C0F">
      <w:pPr>
        <w:pStyle w:val="Definition-Field2"/>
      </w:pPr>
      <w:r>
        <w:t>Excel restricts the va</w:t>
      </w:r>
      <w:r>
        <w:t>lue of this attribute to be at most 255 characters.</w:t>
      </w:r>
    </w:p>
    <w:p w:rsidR="00024C0A" w:rsidRDefault="00694C0F">
      <w:pPr>
        <w:pStyle w:val="Definition-Field"/>
      </w:pPr>
      <w:r>
        <w:t xml:space="preserve">l.   </w:t>
      </w:r>
      <w:r>
        <w:rPr>
          <w:i/>
        </w:rPr>
        <w:t>The standard does not limit the length of the value of the tag attribute.</w:t>
      </w:r>
    </w:p>
    <w:p w:rsidR="00024C0A" w:rsidRDefault="00694C0F">
      <w:pPr>
        <w:pStyle w:val="Definition-Field2"/>
      </w:pPr>
      <w:r>
        <w:t>Excel restricts the value of this attribute to be at most 255 characters.</w:t>
      </w:r>
    </w:p>
    <w:p w:rsidR="00024C0A" w:rsidRDefault="00694C0F">
      <w:pPr>
        <w:pStyle w:val="Definition-Field"/>
      </w:pPr>
      <w:r>
        <w:t xml:space="preserve">m.   </w:t>
      </w:r>
      <w:r>
        <w:rPr>
          <w:i/>
        </w:rPr>
        <w:t xml:space="preserve">The standard does not limit the length of the </w:t>
      </w:r>
      <w:r>
        <w:rPr>
          <w:i/>
        </w:rPr>
        <w:t>value of the rowHeaderCaption attribute.</w:t>
      </w:r>
    </w:p>
    <w:p w:rsidR="00024C0A" w:rsidRDefault="00694C0F">
      <w:pPr>
        <w:pStyle w:val="Definition-Field2"/>
      </w:pPr>
      <w:r>
        <w:t>Excel restricts the value of this attribute to be at most 255 characters when the createdVersion attribute on the pivotTable element is less than 3 and 32767 characters otherwise.</w:t>
      </w:r>
    </w:p>
    <w:p w:rsidR="00024C0A" w:rsidRDefault="00694C0F">
      <w:pPr>
        <w:pStyle w:val="Definition-Field"/>
      </w:pPr>
      <w:r>
        <w:t xml:space="preserve">n.   </w:t>
      </w:r>
      <w:r>
        <w:rPr>
          <w:i/>
        </w:rPr>
        <w:t>The standard does not limit th</w:t>
      </w:r>
      <w:r>
        <w:rPr>
          <w:i/>
        </w:rPr>
        <w:t>e length of the value of the name attribute.</w:t>
      </w:r>
    </w:p>
    <w:p w:rsidR="00024C0A" w:rsidRDefault="00694C0F">
      <w:pPr>
        <w:pStyle w:val="Definition-Field2"/>
      </w:pPr>
      <w:r>
        <w:t>Excel restricts the value of this attribute to be at most 255 characters.</w:t>
      </w:r>
    </w:p>
    <w:p w:rsidR="00024C0A" w:rsidRDefault="00694C0F">
      <w:pPr>
        <w:pStyle w:val="Definition-Field"/>
      </w:pPr>
      <w:r>
        <w:t xml:space="preserve">o.   </w:t>
      </w:r>
      <w:r>
        <w:rPr>
          <w:i/>
        </w:rPr>
        <w:t>The standard says that, for @preserveFormatting, 1 or true specifies to discard formatting on refresh.</w:t>
      </w:r>
    </w:p>
    <w:p w:rsidR="00024C0A" w:rsidRDefault="00694C0F">
      <w:pPr>
        <w:pStyle w:val="Definition-Field2"/>
      </w:pPr>
      <w:r>
        <w:t xml:space="preserve">Office interprets a value of </w:t>
      </w:r>
      <w:r>
        <w:t>1 or true for @preserveFormatting to indicate the formatting will be preserved and 0 or false to indicate the formatting will be discarded.</w:t>
      </w:r>
    </w:p>
    <w:p w:rsidR="00024C0A" w:rsidRDefault="00694C0F">
      <w:pPr>
        <w:pStyle w:val="Definition-Field"/>
      </w:pPr>
      <w:r>
        <w:t xml:space="preserve">p.   </w:t>
      </w:r>
      <w:r>
        <w:rPr>
          <w:i/>
        </w:rPr>
        <w:t>The standard's @subtotalHiddenItems definition refers to the data area of the pivotTable.</w:t>
      </w:r>
    </w:p>
    <w:p w:rsidR="00024C0A" w:rsidRDefault="00694C0F">
      <w:pPr>
        <w:pStyle w:val="Definition-Field2"/>
      </w:pPr>
      <w:r>
        <w:t xml:space="preserve">Office defines </w:t>
      </w:r>
      <w:r>
        <w:t>@subtotalHiddenItems to indicate whether hidden items in the page area of the pivotTable are used for subtotal calculation.</w:t>
      </w:r>
    </w:p>
    <w:p w:rsidR="00024C0A" w:rsidRDefault="00694C0F">
      <w:pPr>
        <w:pStyle w:val="Definition-Field"/>
      </w:pPr>
      <w:r>
        <w:t xml:space="preserve">q.   </w:t>
      </w:r>
      <w:r>
        <w:rPr>
          <w:i/>
        </w:rPr>
        <w:t>The standard says that a value of 1 for @immersive means immersive is off, and that 0 means it is on.</w:t>
      </w:r>
    </w:p>
    <w:p w:rsidR="00024C0A" w:rsidRDefault="00694C0F">
      <w:pPr>
        <w:pStyle w:val="Definition-Field2"/>
      </w:pPr>
      <w:r>
        <w:t xml:space="preserve">Office specifies a value </w:t>
      </w:r>
      <w:r>
        <w:t>of 1 for @immersive means that the immersive experience is left on, and a value of 0 means it is turned off.</w:t>
      </w:r>
    </w:p>
    <w:p w:rsidR="00024C0A" w:rsidRDefault="00694C0F">
      <w:pPr>
        <w:pStyle w:val="Definition-Field"/>
      </w:pPr>
      <w:r>
        <w:t xml:space="preserve">r.   </w:t>
      </w:r>
      <w:r>
        <w:rPr>
          <w:i/>
        </w:rPr>
        <w:t>The standard does not explain what the published attribute is used for.</w:t>
      </w:r>
    </w:p>
    <w:p w:rsidR="00024C0A" w:rsidRDefault="00694C0F">
      <w:pPr>
        <w:pStyle w:val="Definition-Field2"/>
      </w:pPr>
      <w:r>
        <w:t>Office uses the published attribute to indicate that the PivotTable is</w:t>
      </w:r>
      <w:r>
        <w:t xml:space="preserve"> published for display in a Web browser.</w:t>
      </w:r>
    </w:p>
    <w:p w:rsidR="00024C0A" w:rsidRDefault="00694C0F">
      <w:pPr>
        <w:pStyle w:val="Definition-Field"/>
      </w:pPr>
      <w:r>
        <w:t xml:space="preserve">s.   </w:t>
      </w:r>
      <w:r>
        <w:rPr>
          <w:i/>
        </w:rPr>
        <w:t>The standard does not list valid values for the autoFormatId attribute.</w:t>
      </w:r>
    </w:p>
    <w:p w:rsidR="00024C0A" w:rsidRDefault="00694C0F">
      <w:pPr>
        <w:pStyle w:val="Definition-Field2"/>
      </w:pPr>
      <w:r>
        <w:t>Office, in the context of pivotTableDefinition, requires that the value of the autoFormatId attribute be less than 21 or greater than 4096</w:t>
      </w:r>
      <w:r>
        <w:t xml:space="preserve"> and less than or equal to 4117.</w:t>
      </w:r>
    </w:p>
    <w:p w:rsidR="00024C0A" w:rsidRDefault="00694C0F">
      <w:pPr>
        <w:pStyle w:val="Definition-Field"/>
      </w:pPr>
      <w:r>
        <w:t xml:space="preserve">t.   </w:t>
      </w:r>
      <w:r>
        <w:rPr>
          <w:i/>
        </w:rPr>
        <w:t>The standard does not state a default value for the applyNumberFormats attribute.</w:t>
      </w:r>
    </w:p>
    <w:p w:rsidR="00024C0A" w:rsidRDefault="00694C0F">
      <w:pPr>
        <w:pStyle w:val="Definition-Field2"/>
      </w:pPr>
      <w:r>
        <w:t>Excel uses a default value of 0 for this attribute.</w:t>
      </w:r>
    </w:p>
    <w:p w:rsidR="00024C0A" w:rsidRDefault="00694C0F">
      <w:pPr>
        <w:pStyle w:val="Definition-Field"/>
      </w:pPr>
      <w:r>
        <w:t xml:space="preserve">u.   </w:t>
      </w:r>
      <w:r>
        <w:rPr>
          <w:i/>
        </w:rPr>
        <w:t>The standard does not state a default value for the applyBorderFormats attribut</w:t>
      </w:r>
      <w:r>
        <w:rPr>
          <w:i/>
        </w:rPr>
        <w:t>e.</w:t>
      </w:r>
    </w:p>
    <w:p w:rsidR="00024C0A" w:rsidRDefault="00694C0F">
      <w:pPr>
        <w:pStyle w:val="Definition-Field2"/>
      </w:pPr>
      <w:r>
        <w:t>Excel uses a default value of 0 for this attribute.</w:t>
      </w:r>
    </w:p>
    <w:p w:rsidR="00024C0A" w:rsidRDefault="00694C0F">
      <w:pPr>
        <w:pStyle w:val="Definition-Field"/>
      </w:pPr>
      <w:r>
        <w:t xml:space="preserve">v.   </w:t>
      </w:r>
      <w:r>
        <w:rPr>
          <w:i/>
        </w:rPr>
        <w:t>The standard does not state a default value for the applyFontFormats attribute.</w:t>
      </w:r>
    </w:p>
    <w:p w:rsidR="00024C0A" w:rsidRDefault="00694C0F">
      <w:pPr>
        <w:pStyle w:val="Definition-Field2"/>
      </w:pPr>
      <w:r>
        <w:t>Excel uses a default value of 0 for this attribute.</w:t>
      </w:r>
    </w:p>
    <w:p w:rsidR="00024C0A" w:rsidRDefault="00694C0F">
      <w:pPr>
        <w:pStyle w:val="Definition-Field"/>
      </w:pPr>
      <w:r>
        <w:t xml:space="preserve">w.   </w:t>
      </w:r>
      <w:r>
        <w:rPr>
          <w:i/>
        </w:rPr>
        <w:t>The standard does not state a default value for the applyPa</w:t>
      </w:r>
      <w:r>
        <w:rPr>
          <w:i/>
        </w:rPr>
        <w:t>tternFormats attribute.</w:t>
      </w:r>
    </w:p>
    <w:p w:rsidR="00024C0A" w:rsidRDefault="00694C0F">
      <w:pPr>
        <w:pStyle w:val="Definition-Field2"/>
      </w:pPr>
      <w:r>
        <w:t>Excel uses a default value of 0 for this attribute.</w:t>
      </w:r>
    </w:p>
    <w:p w:rsidR="00024C0A" w:rsidRDefault="00694C0F">
      <w:pPr>
        <w:pStyle w:val="Definition-Field"/>
      </w:pPr>
      <w:r>
        <w:lastRenderedPageBreak/>
        <w:t xml:space="preserve">x.   </w:t>
      </w:r>
      <w:r>
        <w:rPr>
          <w:i/>
        </w:rPr>
        <w:t>The standard does not state a default value for the applyAlignmentFormats attribute.</w:t>
      </w:r>
    </w:p>
    <w:p w:rsidR="00024C0A" w:rsidRDefault="00694C0F">
      <w:pPr>
        <w:pStyle w:val="Definition-Field2"/>
      </w:pPr>
      <w:r>
        <w:t>Excel uses a default value of 0 for this attribute.</w:t>
      </w:r>
    </w:p>
    <w:p w:rsidR="00024C0A" w:rsidRDefault="00694C0F">
      <w:pPr>
        <w:pStyle w:val="Definition-Field"/>
      </w:pPr>
      <w:r>
        <w:t xml:space="preserve">y.   </w:t>
      </w:r>
      <w:r>
        <w:rPr>
          <w:i/>
        </w:rPr>
        <w:t>The standard does not state a def</w:t>
      </w:r>
      <w:r>
        <w:rPr>
          <w:i/>
        </w:rPr>
        <w:t>ault value for the applyWidthHeightFormats attribute.</w:t>
      </w:r>
    </w:p>
    <w:p w:rsidR="00024C0A" w:rsidRDefault="00694C0F">
      <w:pPr>
        <w:pStyle w:val="Definition-Field2"/>
      </w:pPr>
      <w:r>
        <w:t>Excel uses a default value of 0 for this attribute.</w:t>
      </w:r>
    </w:p>
    <w:p w:rsidR="00024C0A" w:rsidRDefault="00694C0F">
      <w:pPr>
        <w:pStyle w:val="Definition-Field"/>
      </w:pPr>
      <w:r>
        <w:t xml:space="preserve">z.   </w:t>
      </w:r>
      <w:r>
        <w:rPr>
          <w:i/>
        </w:rPr>
        <w:t>The standard does not limit the length of the value of the colHeaderCaption attribute.</w:t>
      </w:r>
    </w:p>
    <w:p w:rsidR="00024C0A" w:rsidRDefault="00694C0F">
      <w:pPr>
        <w:pStyle w:val="Definition-Field2"/>
      </w:pPr>
      <w:r>
        <w:t xml:space="preserve">Excel restricts the value of this attribute to be at most </w:t>
      </w:r>
      <w:r>
        <w:t>255 characters when the createdVersion attribute on the pivotTable element is less than 3 and 32767 characters otherwise.</w:t>
      </w:r>
    </w:p>
    <w:p w:rsidR="00024C0A" w:rsidRDefault="00694C0F">
      <w:pPr>
        <w:pStyle w:val="Definition-Field"/>
      </w:pPr>
      <w:r>
        <w:t xml:space="preserve">aa.  </w:t>
      </w:r>
      <w:r>
        <w:rPr>
          <w:i/>
        </w:rPr>
        <w:t>The standard does not state a maximum value for @indent.</w:t>
      </w:r>
    </w:p>
    <w:p w:rsidR="00024C0A" w:rsidRDefault="00694C0F">
      <w:pPr>
        <w:pStyle w:val="Definition-Field2"/>
      </w:pPr>
      <w:r>
        <w:t>Office has a maximum value of 127 for @indent.</w:t>
      </w:r>
    </w:p>
    <w:p w:rsidR="00024C0A" w:rsidRDefault="00694C0F">
      <w:pPr>
        <w:pStyle w:val="Definition-Field"/>
      </w:pPr>
      <w:r>
        <w:t xml:space="preserve">bb.  </w:t>
      </w:r>
      <w:r>
        <w:rPr>
          <w:i/>
        </w:rPr>
        <w:t>The standard does no</w:t>
      </w:r>
      <w:r>
        <w:rPr>
          <w:i/>
        </w:rPr>
        <w:t>t state how to interpret the values for @indent, or the value for no indent.</w:t>
      </w:r>
    </w:p>
    <w:p w:rsidR="00024C0A" w:rsidRDefault="00694C0F">
      <w:pPr>
        <w:pStyle w:val="Definition-Field2"/>
      </w:pPr>
      <w:r>
        <w:t xml:space="preserve">Office assumes that @indent contains a number that is one less than the number of indent increments to apply; greater than or equal to zero and less than or equal to 127. A value </w:t>
      </w:r>
      <w:r>
        <w:t>of 127 indicates no indent will be used.</w:t>
      </w:r>
    </w:p>
    <w:p w:rsidR="00024C0A" w:rsidRDefault="00694C0F">
      <w:pPr>
        <w:pStyle w:val="Definition-Field"/>
      </w:pPr>
      <w:r>
        <w:t xml:space="preserve">cc.  </w:t>
      </w:r>
      <w:r>
        <w:rPr>
          <w:i/>
        </w:rPr>
        <w:t>The standard does not specify a maximum value for @pageWrap.</w:t>
      </w:r>
    </w:p>
    <w:p w:rsidR="00024C0A" w:rsidRDefault="00694C0F">
      <w:pPr>
        <w:pStyle w:val="Definition-Field2"/>
      </w:pPr>
      <w:r>
        <w:t>Office allows a max value of 255 for @pageWrap.</w:t>
      </w:r>
    </w:p>
    <w:p w:rsidR="00024C0A" w:rsidRDefault="00694C0F">
      <w:pPr>
        <w:pStyle w:val="Definition-Field"/>
      </w:pPr>
      <w:r>
        <w:t xml:space="preserve">dd.  </w:t>
      </w:r>
      <w:r>
        <w:rPr>
          <w:i/>
        </w:rPr>
        <w:t>The standard does not define a default value for @rowHeaderCaption.</w:t>
      </w:r>
    </w:p>
    <w:p w:rsidR="00024C0A" w:rsidRDefault="00694C0F">
      <w:pPr>
        <w:pStyle w:val="Definition-Field2"/>
      </w:pPr>
      <w:r>
        <w:t>Office assumes that if @rowH</w:t>
      </w:r>
      <w:r>
        <w:t>eaderCaption is not present an application specific string can be used.</w:t>
      </w:r>
    </w:p>
    <w:p w:rsidR="00024C0A" w:rsidRDefault="00694C0F">
      <w:pPr>
        <w:pStyle w:val="Definition-Field"/>
      </w:pPr>
      <w:r>
        <w:t xml:space="preserve">ee.  </w:t>
      </w:r>
      <w:r>
        <w:rPr>
          <w:i/>
        </w:rPr>
        <w:t>The standard specifies the showEmptyCol attribute as indicating whether to include empty columns in the table.</w:t>
      </w:r>
    </w:p>
    <w:p w:rsidR="00024C0A" w:rsidRDefault="00694C0F">
      <w:pPr>
        <w:pStyle w:val="Definition-Field2"/>
      </w:pPr>
      <w:r>
        <w:t>Office only uses the showEmptyCol attribute for OLAP PivotTables.</w:t>
      </w:r>
    </w:p>
    <w:p w:rsidR="00024C0A" w:rsidRDefault="00694C0F">
      <w:pPr>
        <w:pStyle w:val="Definition-Field"/>
      </w:pPr>
      <w:r>
        <w:t>ff</w:t>
      </w:r>
      <w:r>
        <w:t xml:space="preserve">.  </w:t>
      </w:r>
      <w:r>
        <w:rPr>
          <w:i/>
        </w:rPr>
        <w:t>The standard specifies @showEmptyRow as indicating whether to include empty rows in the table.</w:t>
      </w:r>
    </w:p>
    <w:p w:rsidR="00024C0A" w:rsidRDefault="00694C0F">
      <w:pPr>
        <w:pStyle w:val="Definition-Field2"/>
      </w:pPr>
      <w:r>
        <w:t>Office only uses @showEmptyRow for OLAP PivotTables.</w:t>
      </w:r>
    </w:p>
    <w:p w:rsidR="00024C0A" w:rsidRDefault="00694C0F">
      <w:pPr>
        <w:pStyle w:val="Definition-Field"/>
      </w:pPr>
      <w:r>
        <w:t xml:space="preserve">gg.  </w:t>
      </w:r>
      <w:r>
        <w:rPr>
          <w:i/>
        </w:rPr>
        <w:t>The standard does not define when @subtotalHiddenItems should be used by an application.</w:t>
      </w:r>
    </w:p>
    <w:p w:rsidR="00024C0A" w:rsidRDefault="00694C0F">
      <w:pPr>
        <w:pStyle w:val="Definition-Field2"/>
      </w:pPr>
      <w:r>
        <w:t>Office only</w:t>
      </w:r>
      <w:r>
        <w:t xml:space="preserve"> uses the value of @subtotalHiddenItems for non-OLAP PivotTables.</w:t>
      </w:r>
    </w:p>
    <w:p w:rsidR="00024C0A" w:rsidRDefault="00694C0F">
      <w:pPr>
        <w:pStyle w:val="Definition-Field"/>
      </w:pPr>
      <w:r>
        <w:t xml:space="preserve">hh.  </w:t>
      </w:r>
      <w:r>
        <w:rPr>
          <w:i/>
        </w:rPr>
        <w:t>The standard states that page fields allow filtering of the entire PivotTable report to display data for a single item or all of the items.</w:t>
      </w:r>
    </w:p>
    <w:p w:rsidR="00024C0A" w:rsidRDefault="00694C0F">
      <w:pPr>
        <w:pStyle w:val="Definition-Field2"/>
      </w:pPr>
      <w:r>
        <w:t>In Office, page fields allow filtering to dis</w:t>
      </w:r>
      <w:r>
        <w:t>play data for multiple items.</w:t>
      </w:r>
    </w:p>
    <w:p w:rsidR="00024C0A" w:rsidRDefault="00694C0F">
      <w:pPr>
        <w:pStyle w:val="Heading3"/>
      </w:pPr>
      <w:bookmarkStart w:id="1589" w:name="section_320febb51cfe47b3ae76f2eaad735193"/>
      <w:bookmarkStart w:id="1590" w:name="_Toc12260855"/>
      <w:r>
        <w:t>Part 1 Section 18.10.1.74, pivotTableStyleInfo (PivotTable Style)</w:t>
      </w:r>
      <w:bookmarkEnd w:id="1589"/>
      <w:bookmarkEnd w:id="1590"/>
      <w:r>
        <w:fldChar w:fldCharType="begin"/>
      </w:r>
      <w:r>
        <w:instrText xml:space="preserve"> XE "pivotTableStyleInfo (PivotTable Style)" </w:instrText>
      </w:r>
      <w:r>
        <w:fldChar w:fldCharType="end"/>
      </w:r>
    </w:p>
    <w:p w:rsidR="00024C0A" w:rsidRDefault="00694C0F">
      <w:pPr>
        <w:pStyle w:val="Definition-Field"/>
      </w:pPr>
      <w:r>
        <w:t xml:space="preserve">a.   </w:t>
      </w:r>
      <w:r>
        <w:rPr>
          <w:i/>
        </w:rPr>
        <w:t>The standard defines the @showLastColumn to determine if the last column of formatting is shown.</w:t>
      </w:r>
    </w:p>
    <w:p w:rsidR="00024C0A" w:rsidRDefault="00694C0F">
      <w:pPr>
        <w:pStyle w:val="Definition-Field2"/>
      </w:pPr>
      <w:r>
        <w:t xml:space="preserve">Office </w:t>
      </w:r>
      <w:r>
        <w:t>ignores this attribute.</w:t>
      </w:r>
    </w:p>
    <w:p w:rsidR="00024C0A" w:rsidRDefault="00694C0F">
      <w:pPr>
        <w:pStyle w:val="Definition-Field"/>
      </w:pPr>
      <w:r>
        <w:t xml:space="preserve">b.   </w:t>
      </w:r>
      <w:r>
        <w:rPr>
          <w:i/>
        </w:rPr>
        <w:t>The standard does not specify a default value for the showRowHeaders attribute.</w:t>
      </w:r>
    </w:p>
    <w:p w:rsidR="00024C0A" w:rsidRDefault="00694C0F">
      <w:pPr>
        <w:pStyle w:val="Definition-Field2"/>
      </w:pPr>
      <w:r>
        <w:t>Excel uses a default value of 0 for this attribute.</w:t>
      </w:r>
    </w:p>
    <w:p w:rsidR="00024C0A" w:rsidRDefault="00694C0F">
      <w:pPr>
        <w:pStyle w:val="Definition-Field"/>
      </w:pPr>
      <w:r>
        <w:t xml:space="preserve">c.   </w:t>
      </w:r>
      <w:r>
        <w:rPr>
          <w:i/>
        </w:rPr>
        <w:t>The standard does not specify a default value for the showRowStripes attribute.</w:t>
      </w:r>
    </w:p>
    <w:p w:rsidR="00024C0A" w:rsidRDefault="00694C0F">
      <w:pPr>
        <w:pStyle w:val="Definition-Field2"/>
      </w:pPr>
      <w:r>
        <w:lastRenderedPageBreak/>
        <w:t>Excel uses</w:t>
      </w:r>
      <w:r>
        <w:t xml:space="preserve"> a default value of 0 for this attribute.</w:t>
      </w:r>
    </w:p>
    <w:p w:rsidR="00024C0A" w:rsidRDefault="00694C0F">
      <w:pPr>
        <w:pStyle w:val="Definition-Field"/>
      </w:pPr>
      <w:r>
        <w:t xml:space="preserve">d.   </w:t>
      </w:r>
      <w:r>
        <w:rPr>
          <w:i/>
        </w:rPr>
        <w:t>The standard does not specify a default value for the showColStripes attribute.</w:t>
      </w:r>
    </w:p>
    <w:p w:rsidR="00024C0A" w:rsidRDefault="00694C0F">
      <w:pPr>
        <w:pStyle w:val="Definition-Field2"/>
      </w:pPr>
      <w:r>
        <w:t>Excel uses a default value of 0 for this attribute.</w:t>
      </w:r>
    </w:p>
    <w:p w:rsidR="00024C0A" w:rsidRDefault="00694C0F">
      <w:pPr>
        <w:pStyle w:val="Definition-Field"/>
      </w:pPr>
      <w:r>
        <w:t xml:space="preserve">e.   </w:t>
      </w:r>
      <w:r>
        <w:rPr>
          <w:i/>
        </w:rPr>
        <w:t>The standard does not specify a default value for the showColHeaders att</w:t>
      </w:r>
      <w:r>
        <w:rPr>
          <w:i/>
        </w:rPr>
        <w:t>ribute.</w:t>
      </w:r>
    </w:p>
    <w:p w:rsidR="00024C0A" w:rsidRDefault="00694C0F">
      <w:pPr>
        <w:pStyle w:val="Definition-Field2"/>
      </w:pPr>
      <w:r>
        <w:t>Excel uses a default value of 0 for this attribute.</w:t>
      </w:r>
    </w:p>
    <w:p w:rsidR="00024C0A" w:rsidRDefault="00694C0F">
      <w:pPr>
        <w:pStyle w:val="Definition-Field"/>
      </w:pPr>
      <w:r>
        <w:t xml:space="preserve">f.   </w:t>
      </w:r>
      <w:r>
        <w:rPr>
          <w:i/>
        </w:rPr>
        <w:t>The standard does not limit the length of the value of the name attribute.</w:t>
      </w:r>
    </w:p>
    <w:p w:rsidR="00024C0A" w:rsidRDefault="00694C0F">
      <w:pPr>
        <w:pStyle w:val="Definition-Field2"/>
      </w:pPr>
      <w:r>
        <w:t>Excel restricts the value of this attribute to be at most 255 characters.</w:t>
      </w:r>
    </w:p>
    <w:p w:rsidR="00024C0A" w:rsidRDefault="00694C0F">
      <w:pPr>
        <w:pStyle w:val="Heading3"/>
      </w:pPr>
      <w:bookmarkStart w:id="1591" w:name="section_17df2d7dd5bd4329906b1d4b4adc0c02"/>
      <w:bookmarkStart w:id="1592" w:name="_Toc12260856"/>
      <w:r>
        <w:t>Part 1 Section 18.10.1.75, query (Query)</w:t>
      </w:r>
      <w:bookmarkEnd w:id="1591"/>
      <w:bookmarkEnd w:id="1592"/>
      <w:r>
        <w:fldChar w:fldCharType="begin"/>
      </w:r>
      <w:r>
        <w:instrText xml:space="preserve"> X</w:instrText>
      </w:r>
      <w:r>
        <w:instrText xml:space="preserve">E "query (Query)" </w:instrText>
      </w:r>
      <w:r>
        <w:fldChar w:fldCharType="end"/>
      </w:r>
    </w:p>
    <w:p w:rsidR="00024C0A" w:rsidRDefault="00694C0F">
      <w:pPr>
        <w:pStyle w:val="Definition-Field"/>
      </w:pPr>
      <w:r>
        <w:t xml:space="preserve">a.   </w:t>
      </w:r>
      <w:r>
        <w:rPr>
          <w:i/>
        </w:rPr>
        <w:t>The standard allows the mdx attribute to be any ST_Xstring.</w:t>
      </w:r>
    </w:p>
    <w:p w:rsidR="00024C0A" w:rsidRDefault="00694C0F">
      <w:pPr>
        <w:pStyle w:val="Definition-Field2"/>
      </w:pPr>
      <w:r>
        <w:t>Office requires that the mdx attribute be less than 65535 characters in length.</w:t>
      </w:r>
    </w:p>
    <w:p w:rsidR="00024C0A" w:rsidRDefault="00694C0F">
      <w:pPr>
        <w:pStyle w:val="Heading3"/>
      </w:pPr>
      <w:bookmarkStart w:id="1593" w:name="section_f1a0020af88a4f86b0d6cc59f8332454"/>
      <w:bookmarkStart w:id="1594" w:name="_Toc12260857"/>
      <w:r>
        <w:t>Part 1 Section 18.10.1.77, r (PivotCache Record)</w:t>
      </w:r>
      <w:bookmarkEnd w:id="1593"/>
      <w:bookmarkEnd w:id="1594"/>
      <w:r>
        <w:fldChar w:fldCharType="begin"/>
      </w:r>
      <w:r>
        <w:instrText xml:space="preserve"> XE "r (PivotCache Record)" </w:instrText>
      </w:r>
      <w:r>
        <w:fldChar w:fldCharType="end"/>
      </w:r>
    </w:p>
    <w:p w:rsidR="00024C0A" w:rsidRDefault="00694C0F">
      <w:pPr>
        <w:pStyle w:val="Definition-Field"/>
      </w:pPr>
      <w:r>
        <w:t xml:space="preserve">a.   </w:t>
      </w:r>
      <w:r>
        <w:rPr>
          <w:i/>
        </w:rPr>
        <w:t>The st</w:t>
      </w:r>
      <w:r>
        <w:rPr>
          <w:i/>
        </w:rPr>
        <w:t>andard does not specify restriction on the number of child elements.</w:t>
      </w:r>
    </w:p>
    <w:p w:rsidR="00024C0A" w:rsidRDefault="00694C0F">
      <w:pPr>
        <w:pStyle w:val="Definition-Field2"/>
      </w:pPr>
      <w:r>
        <w:t>In Office, the number of child elements shall be equal to the number of cacheField elements with the databaseField attribute equal to 1 or true.</w:t>
      </w:r>
    </w:p>
    <w:p w:rsidR="00024C0A" w:rsidRDefault="00694C0F">
      <w:pPr>
        <w:pStyle w:val="Heading3"/>
      </w:pPr>
      <w:bookmarkStart w:id="1595" w:name="section_26ccde017f1e47eb997380dad81e6e0e"/>
      <w:bookmarkStart w:id="1596" w:name="_Toc12260858"/>
      <w:r>
        <w:t xml:space="preserve">Part 1 Section 18.10.1.78, rangePr (Range </w:t>
      </w:r>
      <w:r>
        <w:t>Grouping Properties)</w:t>
      </w:r>
      <w:bookmarkEnd w:id="1595"/>
      <w:bookmarkEnd w:id="1596"/>
      <w:r>
        <w:fldChar w:fldCharType="begin"/>
      </w:r>
      <w:r>
        <w:instrText xml:space="preserve"> XE "rangePr (Range Grouping Properties)" </w:instrText>
      </w:r>
      <w:r>
        <w:fldChar w:fldCharType="end"/>
      </w:r>
    </w:p>
    <w:p w:rsidR="00024C0A" w:rsidRDefault="00694C0F">
      <w:pPr>
        <w:pStyle w:val="Definition-Field"/>
      </w:pPr>
      <w:r>
        <w:t xml:space="preserve">a.   </w:t>
      </w:r>
      <w:r>
        <w:rPr>
          <w:i/>
        </w:rPr>
        <w:t>The standard does not specify restrictions for @groupBy in case of parent/child relationship.</w:t>
      </w:r>
    </w:p>
    <w:p w:rsidR="00024C0A" w:rsidRDefault="00694C0F">
      <w:pPr>
        <w:pStyle w:val="Definition-Field2"/>
      </w:pPr>
      <w:r>
        <w:t>In Office, if this rangePr is a part of a fieldGroup with a parent field, the groupBy in the</w:t>
      </w:r>
      <w:r>
        <w:t xml:space="preserve"> rangePr of the parent must have a value that is greater than the groupBy in this rangePr.</w:t>
      </w:r>
    </w:p>
    <w:p w:rsidR="00024C0A" w:rsidRDefault="00694C0F">
      <w:pPr>
        <w:pStyle w:val="Definition-Field"/>
      </w:pPr>
      <w:r>
        <w:t xml:space="preserve">b.   </w:t>
      </w:r>
      <w:r>
        <w:rPr>
          <w:i/>
        </w:rPr>
        <w:t>The standard does not specify restrictions for @groupInterval.</w:t>
      </w:r>
    </w:p>
    <w:p w:rsidR="00024C0A" w:rsidRDefault="00694C0F">
      <w:pPr>
        <w:pStyle w:val="Definition-Field2"/>
      </w:pPr>
      <w:r>
        <w:t xml:space="preserve">In Office, @groupInterval must be greater than zero; if @groupBy does not equal range, the value </w:t>
      </w:r>
      <w:r>
        <w:t>must be an integer less than 32768.</w:t>
      </w:r>
    </w:p>
    <w:p w:rsidR="00024C0A" w:rsidRDefault="00694C0F">
      <w:pPr>
        <w:pStyle w:val="Definition-Field"/>
      </w:pPr>
      <w:r>
        <w:t xml:space="preserve">c.   </w:t>
      </w:r>
      <w:r>
        <w:rPr>
          <w:i/>
        </w:rPr>
        <w:t>The standard does not specify restrictions for the @startNum and @endNum relationship.</w:t>
      </w:r>
    </w:p>
    <w:p w:rsidR="00024C0A" w:rsidRDefault="00694C0F">
      <w:pPr>
        <w:pStyle w:val="Definition-Field2"/>
      </w:pPr>
      <w:r>
        <w:t>In Office, @startNum shall be less than @endNum.</w:t>
      </w:r>
    </w:p>
    <w:p w:rsidR="00024C0A" w:rsidRDefault="00694C0F">
      <w:pPr>
        <w:pStyle w:val="Definition-Field"/>
      </w:pPr>
      <w:r>
        <w:t xml:space="preserve">d.   </w:t>
      </w:r>
      <w:r>
        <w:rPr>
          <w:i/>
        </w:rPr>
        <w:t>The standard does not specify restrictions for the @startDate and @endDate</w:t>
      </w:r>
      <w:r>
        <w:rPr>
          <w:i/>
        </w:rPr>
        <w:t xml:space="preserve"> relationship.</w:t>
      </w:r>
    </w:p>
    <w:p w:rsidR="00024C0A" w:rsidRDefault="00694C0F">
      <w:pPr>
        <w:pStyle w:val="Definition-Field2"/>
      </w:pPr>
      <w:r>
        <w:t>In Office, @startDate shall be less than @endDate.</w:t>
      </w:r>
    </w:p>
    <w:p w:rsidR="00024C0A" w:rsidRDefault="00694C0F">
      <w:pPr>
        <w:pStyle w:val="Definition-Field"/>
      </w:pPr>
      <w:r>
        <w:t xml:space="preserve">e.   </w:t>
      </w:r>
      <w:r>
        <w:rPr>
          <w:i/>
        </w:rPr>
        <w:t>The standard does not specify restrictions for the startDate attribute and startNum or endNum attribute relationships.</w:t>
      </w:r>
    </w:p>
    <w:p w:rsidR="00024C0A" w:rsidRDefault="00694C0F">
      <w:pPr>
        <w:pStyle w:val="Definition-Field2"/>
      </w:pPr>
      <w:r>
        <w:t>In Office, the startDate attribute shall not be specified if the s</w:t>
      </w:r>
      <w:r>
        <w:t>tartNum or endNum attributes are specified.</w:t>
      </w:r>
    </w:p>
    <w:p w:rsidR="00024C0A" w:rsidRDefault="00694C0F">
      <w:pPr>
        <w:pStyle w:val="Definition-Field"/>
      </w:pPr>
      <w:r>
        <w:t xml:space="preserve">f.   </w:t>
      </w:r>
      <w:r>
        <w:rPr>
          <w:i/>
        </w:rPr>
        <w:t>The standard does not specify restrictions for the endDate attribute and startNum or endNum attribute relationships.</w:t>
      </w:r>
    </w:p>
    <w:p w:rsidR="00024C0A" w:rsidRDefault="00694C0F">
      <w:pPr>
        <w:pStyle w:val="Definition-Field2"/>
      </w:pPr>
      <w:r>
        <w:t>Office requires that the endDate attribute shall not be specified if the startNum or endNu</w:t>
      </w:r>
      <w:r>
        <w:t>m attributes are specified.</w:t>
      </w:r>
    </w:p>
    <w:p w:rsidR="00024C0A" w:rsidRDefault="00694C0F">
      <w:pPr>
        <w:pStyle w:val="Definition-Field"/>
      </w:pPr>
      <w:r>
        <w:lastRenderedPageBreak/>
        <w:t xml:space="preserve">g.   </w:t>
      </w:r>
      <w:r>
        <w:rPr>
          <w:i/>
        </w:rPr>
        <w:t>The standard does not specify the relationship between the groupBy attribute and the startDate and endDate attributes.</w:t>
      </w:r>
    </w:p>
    <w:p w:rsidR="00024C0A" w:rsidRDefault="00694C0F">
      <w:r>
        <w:t xml:space="preserve">In Office, if this value is not </w:t>
      </w:r>
      <w:r>
        <w:rPr>
          <w:i/>
        </w:rPr>
        <w:t>range</w:t>
      </w:r>
      <w:r>
        <w:t xml:space="preserve">, at least one of </w:t>
      </w:r>
      <w:r>
        <w:rPr>
          <w:b/>
        </w:rPr>
        <w:t>startDate</w:t>
      </w:r>
      <w:r>
        <w:t xml:space="preserve"> or </w:t>
      </w:r>
      <w:r>
        <w:rPr>
          <w:b/>
        </w:rPr>
        <w:t>endDate</w:t>
      </w:r>
      <w:r>
        <w:t xml:space="preserve"> shall be specified. Addition</w:t>
      </w:r>
      <w:r>
        <w:t xml:space="preserve">ally, if this value is not </w:t>
      </w:r>
      <w:r>
        <w:rPr>
          <w:i/>
        </w:rPr>
        <w:t>range</w:t>
      </w:r>
      <w:r>
        <w:t xml:space="preserve"> and the enclosing </w:t>
      </w:r>
      <w:r>
        <w:rPr>
          <w:b/>
        </w:rPr>
        <w:t xml:space="preserve">cacheField </w:t>
      </w:r>
      <w:r>
        <w:t xml:space="preserve">has </w:t>
      </w:r>
      <w:r>
        <w:rPr>
          <w:b/>
        </w:rPr>
        <w:t>databaseField</w:t>
      </w:r>
      <w:r>
        <w:t xml:space="preserve"> equal to 1, </w:t>
      </w:r>
      <w:r>
        <w:rPr>
          <w:b/>
        </w:rPr>
        <w:t>sharedItems</w:t>
      </w:r>
      <w:r>
        <w:t xml:space="preserve"> element ("</w:t>
      </w:r>
      <w:hyperlink r:id="rId131">
        <w:r>
          <w:rPr>
            <w:rStyle w:val="Hyperlink"/>
          </w:rPr>
          <w:t>[ISO/IEC-29500-1]</w:t>
        </w:r>
      </w:hyperlink>
      <w:r>
        <w:t xml:space="preserve"> §18.10.1.90; sharedItems (Shared Items)") of the enclosing </w:t>
      </w:r>
      <w:r>
        <w:rPr>
          <w:b/>
        </w:rPr>
        <w:t xml:space="preserve">cacheField </w:t>
      </w:r>
      <w:r>
        <w:t xml:space="preserve">shall have </w:t>
      </w:r>
      <w:r>
        <w:rPr>
          <w:b/>
        </w:rPr>
        <w:t>containsDate</w:t>
      </w:r>
      <w:r>
        <w:t xml:space="preserve"> equal to 1 and </w:t>
      </w:r>
      <w:r>
        <w:rPr>
          <w:b/>
        </w:rPr>
        <w:t>containsNumber</w:t>
      </w:r>
      <w:r>
        <w:t xml:space="preserve"> equal to 0; also, this </w:t>
      </w:r>
      <w:r>
        <w:rPr>
          <w:b/>
        </w:rPr>
        <w:t>cacheField</w:t>
      </w:r>
      <w:r>
        <w:t xml:space="preserve"> shall have </w:t>
      </w:r>
      <w:r>
        <w:rPr>
          <w:b/>
        </w:rPr>
        <w:t>containsSemiMixedTypes</w:t>
      </w:r>
      <w:r>
        <w:t xml:space="preserve"> equal to 0, otherwise it shall have </w:t>
      </w:r>
      <w:r>
        <w:rPr>
          <w:b/>
        </w:rPr>
        <w:t>containsMixedTypes</w:t>
      </w:r>
      <w:r>
        <w:t xml:space="preserve"> equal to</w:t>
      </w:r>
      <w:r>
        <w:t xml:space="preserve"> 0 and </w:t>
      </w:r>
      <w:r>
        <w:rPr>
          <w:b/>
        </w:rPr>
        <w:t>containsBlank</w:t>
      </w:r>
      <w:r>
        <w:t xml:space="preserve"> equal to 0.</w:t>
      </w:r>
    </w:p>
    <w:p w:rsidR="00024C0A" w:rsidRDefault="00694C0F">
      <w:pPr>
        <w:pStyle w:val="Definition-Field"/>
      </w:pPr>
      <w:r>
        <w:t xml:space="preserve">h.   </w:t>
      </w:r>
      <w:r>
        <w:rPr>
          <w:i/>
        </w:rPr>
        <w:t>In the standard no default behavior is specified for @endDate.</w:t>
      </w:r>
    </w:p>
    <w:p w:rsidR="00024C0A" w:rsidRDefault="00694C0F">
      <w:pPr>
        <w:pStyle w:val="Definition-Field2"/>
      </w:pPr>
      <w:r>
        <w:t>If @endDate is not specified, Office uses values in the sharedItems collection of the enclosing cacheField to calculate the ending value.</w:t>
      </w:r>
    </w:p>
    <w:p w:rsidR="00024C0A" w:rsidRDefault="00694C0F">
      <w:pPr>
        <w:pStyle w:val="Definition-Field"/>
      </w:pPr>
      <w:r>
        <w:t xml:space="preserve">i.   </w:t>
      </w:r>
      <w:r>
        <w:rPr>
          <w:i/>
        </w:rPr>
        <w:t>In the stand</w:t>
      </w:r>
      <w:r>
        <w:rPr>
          <w:i/>
        </w:rPr>
        <w:t>ard no default behavior is specified for @startDate.</w:t>
      </w:r>
    </w:p>
    <w:p w:rsidR="00024C0A" w:rsidRDefault="00694C0F">
      <w:pPr>
        <w:pStyle w:val="Definition-Field2"/>
      </w:pPr>
      <w:r>
        <w:t>If @startDate is not specified, Office uses values in the sharedItems collection of the enclosing cacheField to calculate the starting value.</w:t>
      </w:r>
    </w:p>
    <w:p w:rsidR="00024C0A" w:rsidRDefault="00694C0F">
      <w:pPr>
        <w:pStyle w:val="Definition-Field"/>
      </w:pPr>
      <w:r>
        <w:t xml:space="preserve">j.   </w:t>
      </w:r>
      <w:r>
        <w:rPr>
          <w:i/>
        </w:rPr>
        <w:t>In the standard, no default behavior is specified for th</w:t>
      </w:r>
      <w:r>
        <w:rPr>
          <w:i/>
        </w:rPr>
        <w:t>e endNum attribute.</w:t>
      </w:r>
    </w:p>
    <w:p w:rsidR="00024C0A" w:rsidRDefault="00694C0F">
      <w:pPr>
        <w:pStyle w:val="Definition-Field2"/>
      </w:pPr>
      <w:r>
        <w:t>If the endNum attribute is not specified, Office uses values in the sharedItems collection of the enclosing cacheField to calculate the ending value.</w:t>
      </w:r>
    </w:p>
    <w:p w:rsidR="00024C0A" w:rsidRDefault="00694C0F">
      <w:pPr>
        <w:pStyle w:val="Definition-Field"/>
      </w:pPr>
      <w:r>
        <w:t xml:space="preserve">k.   </w:t>
      </w:r>
      <w:r>
        <w:rPr>
          <w:i/>
        </w:rPr>
        <w:t>In the standard, no default behavior is specified for the startNum attribute.</w:t>
      </w:r>
    </w:p>
    <w:p w:rsidR="00024C0A" w:rsidRDefault="00694C0F">
      <w:pPr>
        <w:pStyle w:val="Definition-Field2"/>
      </w:pPr>
      <w:r>
        <w:t xml:space="preserve">If </w:t>
      </w:r>
      <w:r>
        <w:t>the startNum attribute is not specified, Office uses values in the sharedItems collection of the enclosing cacheField to calculate the starting value.</w:t>
      </w:r>
    </w:p>
    <w:p w:rsidR="00024C0A" w:rsidRDefault="00694C0F">
      <w:pPr>
        <w:pStyle w:val="Definition-Field"/>
      </w:pPr>
      <w:r>
        <w:t xml:space="preserve">l.   </w:t>
      </w:r>
      <w:r>
        <w:rPr>
          <w:i/>
        </w:rPr>
        <w:t>The standard does not specify restrictions on data types for items of fields when the groupBy attrib</w:t>
      </w:r>
      <w:r>
        <w:rPr>
          <w:i/>
        </w:rPr>
        <w:t>ute equals range.</w:t>
      </w:r>
    </w:p>
    <w:p w:rsidR="00024C0A" w:rsidRDefault="00694C0F">
      <w:pPr>
        <w:pStyle w:val="Definition-Field2"/>
      </w:pPr>
      <w:r>
        <w:t>Office requires that the sharedItems element of the enclosing cacheField have a containsString attribute equal to 0 and a containsMixedTypes attribute equal to 0 when the value of the groupBy attribute equals range.</w:t>
      </w:r>
    </w:p>
    <w:p w:rsidR="00024C0A" w:rsidRDefault="00694C0F">
      <w:pPr>
        <w:pStyle w:val="Definition-Field"/>
      </w:pPr>
      <w:r>
        <w:t xml:space="preserve">m.   </w:t>
      </w:r>
      <w:r>
        <w:rPr>
          <w:i/>
        </w:rPr>
        <w:t>The standard does</w:t>
      </w:r>
      <w:r>
        <w:rPr>
          <w:i/>
        </w:rPr>
        <w:t xml:space="preserve"> not place any restrictions on the value of the groupBy attribute when the value of the containsMixedType attribute on the sharedItems element of the enclosing cacheField is 1.</w:t>
      </w:r>
    </w:p>
    <w:p w:rsidR="00024C0A" w:rsidRDefault="00694C0F">
      <w:pPr>
        <w:pStyle w:val="Definition-Field2"/>
      </w:pPr>
      <w:r>
        <w:t>Excel requires the value of the groupBy attribute to be range under this circum</w:t>
      </w:r>
      <w:r>
        <w:t>stance.</w:t>
      </w:r>
    </w:p>
    <w:p w:rsidR="00024C0A" w:rsidRDefault="00694C0F">
      <w:pPr>
        <w:pStyle w:val="Heading3"/>
      </w:pPr>
      <w:bookmarkStart w:id="1597" w:name="section_a9b7cdf864e547c9950debe253c5c82e"/>
      <w:bookmarkStart w:id="1598" w:name="_Toc12260859"/>
      <w:r>
        <w:t>Part 1 Section 18.10.1.79, rangeSet (Range Set)</w:t>
      </w:r>
      <w:bookmarkEnd w:id="1597"/>
      <w:bookmarkEnd w:id="1598"/>
      <w:r>
        <w:fldChar w:fldCharType="begin"/>
      </w:r>
      <w:r>
        <w:instrText xml:space="preserve"> XE "rangeSet (Range Set)" </w:instrText>
      </w:r>
      <w:r>
        <w:fldChar w:fldCharType="end"/>
      </w:r>
    </w:p>
    <w:p w:rsidR="00024C0A" w:rsidRDefault="00694C0F">
      <w:pPr>
        <w:pStyle w:val="Definition-Field"/>
      </w:pPr>
      <w:r>
        <w:t xml:space="preserve">a.   </w:t>
      </w:r>
      <w:r>
        <w:rPr>
          <w:i/>
        </w:rPr>
        <w:t>The standard does not describe a relationship between the i1 attribute and the count attribute of the pages element.</w:t>
      </w:r>
    </w:p>
    <w:p w:rsidR="00024C0A" w:rsidRDefault="00694C0F">
      <w:pPr>
        <w:pStyle w:val="Definition-Field2"/>
      </w:pPr>
      <w:r>
        <w:t>Office expects that the i1 attribute is not prese</w:t>
      </w:r>
      <w:r>
        <w:t>nt when the count attribute of the pages element is less than 1; otherwise, the presence of the i1 attribute is optional.</w:t>
      </w:r>
    </w:p>
    <w:p w:rsidR="00024C0A" w:rsidRDefault="00694C0F">
      <w:pPr>
        <w:pStyle w:val="Definition-Field"/>
      </w:pPr>
      <w:r>
        <w:t xml:space="preserve">b.   </w:t>
      </w:r>
      <w:r>
        <w:rPr>
          <w:i/>
        </w:rPr>
        <w:t>In the standard, no relationship is described between @i1 and page@count.</w:t>
      </w:r>
    </w:p>
    <w:p w:rsidR="00024C0A" w:rsidRDefault="00694C0F">
      <w:pPr>
        <w:pStyle w:val="Definition-Field2"/>
      </w:pPr>
      <w:r>
        <w:t>Office expects @i1 to be less than page@count.</w:t>
      </w:r>
    </w:p>
    <w:p w:rsidR="00024C0A" w:rsidRDefault="00694C0F">
      <w:pPr>
        <w:pStyle w:val="Definition-Field"/>
      </w:pPr>
      <w:r>
        <w:t xml:space="preserve">c.   </w:t>
      </w:r>
      <w:r>
        <w:rPr>
          <w:i/>
        </w:rPr>
        <w:t>The</w:t>
      </w:r>
      <w:r>
        <w:rPr>
          <w:i/>
        </w:rPr>
        <w:t xml:space="preserve"> standard does not describe a relationship between the i2 attribute and the count attribute of the pages element.</w:t>
      </w:r>
    </w:p>
    <w:p w:rsidR="00024C0A" w:rsidRDefault="00694C0F">
      <w:pPr>
        <w:pStyle w:val="Definition-Field2"/>
      </w:pPr>
      <w:r>
        <w:t>Office expects that the i2 attribute is not present when the count attribute of the pages element is less than 2; otherwise, the presence of t</w:t>
      </w:r>
      <w:r>
        <w:t>he i2 attribute is optional.</w:t>
      </w:r>
    </w:p>
    <w:p w:rsidR="00024C0A" w:rsidRDefault="00694C0F">
      <w:pPr>
        <w:pStyle w:val="Definition-Field"/>
      </w:pPr>
      <w:r>
        <w:lastRenderedPageBreak/>
        <w:t xml:space="preserve">d.   </w:t>
      </w:r>
      <w:r>
        <w:rPr>
          <w:i/>
        </w:rPr>
        <w:t>The standard does not describe a relationship between the i3 attribute and the count attribute of the pages element.</w:t>
      </w:r>
    </w:p>
    <w:p w:rsidR="00024C0A" w:rsidRDefault="00694C0F">
      <w:pPr>
        <w:pStyle w:val="Definition-Field2"/>
      </w:pPr>
      <w:r>
        <w:t>Office expects that the i3 attribute is not present when the count attribute of the pages element is less</w:t>
      </w:r>
      <w:r>
        <w:t xml:space="preserve"> than 3; otherwise, the presence of the i3 attribute is optional.</w:t>
      </w:r>
    </w:p>
    <w:p w:rsidR="00024C0A" w:rsidRDefault="00694C0F">
      <w:pPr>
        <w:pStyle w:val="Definition-Field"/>
      </w:pPr>
      <w:r>
        <w:t xml:space="preserve">e.   </w:t>
      </w:r>
      <w:r>
        <w:rPr>
          <w:i/>
        </w:rPr>
        <w:t>The standard does not describe a relationship between the i4 attribute and the count attribute of the pages element.</w:t>
      </w:r>
    </w:p>
    <w:p w:rsidR="00024C0A" w:rsidRDefault="00694C0F">
      <w:pPr>
        <w:pStyle w:val="Definition-Field2"/>
      </w:pPr>
      <w:r>
        <w:t>Office expects that the i4 attribute is not present when the count a</w:t>
      </w:r>
      <w:r>
        <w:t>ttribute of the pages element is less than 4; otherwise, the presence of the i4 attribute is optional.</w:t>
      </w:r>
    </w:p>
    <w:p w:rsidR="00024C0A" w:rsidRDefault="00694C0F">
      <w:pPr>
        <w:pStyle w:val="Definition-Field"/>
      </w:pPr>
      <w:r>
        <w:t xml:space="preserve">f.   </w:t>
      </w:r>
      <w:r>
        <w:rPr>
          <w:i/>
        </w:rPr>
        <w:t>In the standard, no relationship is described between @i2 and page@count.</w:t>
      </w:r>
    </w:p>
    <w:p w:rsidR="00024C0A" w:rsidRDefault="00694C0F">
      <w:pPr>
        <w:pStyle w:val="Definition-Field2"/>
      </w:pPr>
      <w:r>
        <w:t>Office expects @i2 to be less than page@count for the second page.</w:t>
      </w:r>
    </w:p>
    <w:p w:rsidR="00024C0A" w:rsidRDefault="00694C0F">
      <w:pPr>
        <w:pStyle w:val="Definition-Field"/>
      </w:pPr>
      <w:r>
        <w:t xml:space="preserve">g.   </w:t>
      </w:r>
      <w:r>
        <w:rPr>
          <w:i/>
        </w:rPr>
        <w:t>In</w:t>
      </w:r>
      <w:r>
        <w:rPr>
          <w:i/>
        </w:rPr>
        <w:t xml:space="preserve"> the standard, no relationship is described between @i3 and page@count.</w:t>
      </w:r>
    </w:p>
    <w:p w:rsidR="00024C0A" w:rsidRDefault="00694C0F">
      <w:pPr>
        <w:pStyle w:val="Definition-Field2"/>
      </w:pPr>
      <w:r>
        <w:t>Office expects @i3 to be less than page@count for the third page.</w:t>
      </w:r>
    </w:p>
    <w:p w:rsidR="00024C0A" w:rsidRDefault="00694C0F">
      <w:pPr>
        <w:pStyle w:val="Definition-Field"/>
      </w:pPr>
      <w:r>
        <w:t xml:space="preserve">h.   </w:t>
      </w:r>
      <w:r>
        <w:rPr>
          <w:i/>
        </w:rPr>
        <w:t>In the standard, no relationship is described between @i4 and page@count.</w:t>
      </w:r>
    </w:p>
    <w:p w:rsidR="00024C0A" w:rsidRDefault="00694C0F">
      <w:pPr>
        <w:pStyle w:val="Definition-Field2"/>
      </w:pPr>
      <w:r>
        <w:t>Office expects @i4 to be less than page</w:t>
      </w:r>
      <w:r>
        <w:t>@count for the fourth page.</w:t>
      </w:r>
    </w:p>
    <w:p w:rsidR="00024C0A" w:rsidRDefault="00694C0F">
      <w:pPr>
        <w:pStyle w:val="Definition-Field"/>
      </w:pPr>
      <w:r>
        <w:t xml:space="preserve">i.   </w:t>
      </w:r>
      <w:r>
        <w:rPr>
          <w:i/>
        </w:rPr>
        <w:t>The standard does not specify a relationship between @name and @ref.</w:t>
      </w:r>
    </w:p>
    <w:p w:rsidR="00024C0A" w:rsidRDefault="00694C0F">
      <w:pPr>
        <w:pStyle w:val="Definition-Field2"/>
      </w:pPr>
      <w:r>
        <w:t>Office requires that @name and @ref not both be present.</w:t>
      </w:r>
    </w:p>
    <w:p w:rsidR="00024C0A" w:rsidRDefault="00694C0F">
      <w:pPr>
        <w:pStyle w:val="Definition-Field"/>
      </w:pPr>
      <w:r>
        <w:t xml:space="preserve">j.   </w:t>
      </w:r>
      <w:r>
        <w:rPr>
          <w:i/>
        </w:rPr>
        <w:t xml:space="preserve">The standard states that the values of the sheet attribute are defined by the XML Schema </w:t>
      </w:r>
      <w:r>
        <w:rPr>
          <w:i/>
        </w:rPr>
        <w:t>string datatype.</w:t>
      </w:r>
    </w:p>
    <w:p w:rsidR="00024C0A" w:rsidRDefault="00694C0F">
      <w:r>
        <w:t>Office places additional restrictions on the value of the sheet attribute.  This string shall not be empty and its length shall not exceed 31 characters. This string shall not begin or end with the apostrophe (0x0027) character. This strin</w:t>
      </w:r>
      <w:r>
        <w:t>g shall not contain the following characters:</w:t>
      </w:r>
    </w:p>
    <w:p w:rsidR="00024C0A" w:rsidRDefault="00694C0F">
      <w:pPr>
        <w:pStyle w:val="ListParagraph"/>
        <w:numPr>
          <w:ilvl w:val="0"/>
          <w:numId w:val="69"/>
        </w:numPr>
        <w:contextualSpacing/>
      </w:pPr>
      <w:r>
        <w:t>Null (0x0000)</w:t>
      </w:r>
    </w:p>
    <w:p w:rsidR="00024C0A" w:rsidRDefault="00694C0F">
      <w:pPr>
        <w:pStyle w:val="ListParagraph"/>
        <w:numPr>
          <w:ilvl w:val="0"/>
          <w:numId w:val="69"/>
        </w:numPr>
        <w:contextualSpacing/>
      </w:pPr>
      <w:r>
        <w:t>End Of Text (0x0003)</w:t>
      </w:r>
    </w:p>
    <w:p w:rsidR="00024C0A" w:rsidRDefault="00694C0F">
      <w:pPr>
        <w:pStyle w:val="ListParagraph"/>
        <w:numPr>
          <w:ilvl w:val="0"/>
          <w:numId w:val="69"/>
        </w:numPr>
        <w:contextualSpacing/>
      </w:pPr>
      <w:r>
        <w:t>Asterisk (0x002A)</w:t>
      </w:r>
    </w:p>
    <w:p w:rsidR="00024C0A" w:rsidRDefault="00694C0F">
      <w:pPr>
        <w:pStyle w:val="ListParagraph"/>
        <w:numPr>
          <w:ilvl w:val="0"/>
          <w:numId w:val="69"/>
        </w:numPr>
        <w:contextualSpacing/>
      </w:pPr>
      <w:r>
        <w:t>Solidus (0x002F)</w:t>
      </w:r>
    </w:p>
    <w:p w:rsidR="00024C0A" w:rsidRDefault="00694C0F">
      <w:pPr>
        <w:pStyle w:val="ListParagraph"/>
        <w:numPr>
          <w:ilvl w:val="0"/>
          <w:numId w:val="69"/>
        </w:numPr>
        <w:contextualSpacing/>
      </w:pPr>
      <w:r>
        <w:t>Colon (0x003A)</w:t>
      </w:r>
    </w:p>
    <w:p w:rsidR="00024C0A" w:rsidRDefault="00694C0F">
      <w:pPr>
        <w:pStyle w:val="ListParagraph"/>
        <w:numPr>
          <w:ilvl w:val="0"/>
          <w:numId w:val="69"/>
        </w:numPr>
        <w:contextualSpacing/>
      </w:pPr>
      <w:r>
        <w:t>Question Mark (0x003F)</w:t>
      </w:r>
    </w:p>
    <w:p w:rsidR="00024C0A" w:rsidRDefault="00694C0F">
      <w:pPr>
        <w:pStyle w:val="ListParagraph"/>
        <w:numPr>
          <w:ilvl w:val="0"/>
          <w:numId w:val="69"/>
        </w:numPr>
        <w:contextualSpacing/>
      </w:pPr>
      <w:r>
        <w:t>Left Square Bracket (0x005B)</w:t>
      </w:r>
    </w:p>
    <w:p w:rsidR="00024C0A" w:rsidRDefault="00694C0F">
      <w:pPr>
        <w:pStyle w:val="ListParagraph"/>
        <w:numPr>
          <w:ilvl w:val="0"/>
          <w:numId w:val="69"/>
        </w:numPr>
        <w:contextualSpacing/>
      </w:pPr>
      <w:r>
        <w:t>Reverse Solidus (0x005C)</w:t>
      </w:r>
    </w:p>
    <w:p w:rsidR="00024C0A" w:rsidRDefault="00694C0F">
      <w:pPr>
        <w:pStyle w:val="ListParagraph"/>
        <w:numPr>
          <w:ilvl w:val="0"/>
          <w:numId w:val="69"/>
        </w:numPr>
      </w:pPr>
      <w:r>
        <w:t>Right Square Bracket (0x005D)802</w:t>
      </w:r>
    </w:p>
    <w:p w:rsidR="00024C0A" w:rsidRDefault="00694C0F">
      <w:pPr>
        <w:pStyle w:val="Heading3"/>
      </w:pPr>
      <w:bookmarkStart w:id="1599" w:name="section_506e2fc983ba464099f6ef157679b97d"/>
      <w:bookmarkStart w:id="1600" w:name="_Toc12260860"/>
      <w:r>
        <w:t xml:space="preserve">Part 1 Section </w:t>
      </w:r>
      <w:r>
        <w:t>18.10.1.83, rowHierarchyUsage (Row OLAP Hierarchies)</w:t>
      </w:r>
      <w:bookmarkEnd w:id="1599"/>
      <w:bookmarkEnd w:id="1600"/>
      <w:r>
        <w:fldChar w:fldCharType="begin"/>
      </w:r>
      <w:r>
        <w:instrText xml:space="preserve"> XE "rowHierarchyUsage (Row OLAP Hierarchies)" </w:instrText>
      </w:r>
      <w:r>
        <w:fldChar w:fldCharType="end"/>
      </w:r>
    </w:p>
    <w:p w:rsidR="00024C0A" w:rsidRDefault="00694C0F">
      <w:pPr>
        <w:pStyle w:val="Definition-Field"/>
      </w:pPr>
      <w:r>
        <w:t xml:space="preserve">a.   </w:t>
      </w:r>
      <w:r>
        <w:rPr>
          <w:i/>
        </w:rPr>
        <w:t>The standard does not specify that @hierarchyUsage values cannot be duplicated.</w:t>
      </w:r>
    </w:p>
    <w:p w:rsidR="00024C0A" w:rsidRDefault="00694C0F">
      <w:pPr>
        <w:pStyle w:val="Definition-Field2"/>
      </w:pPr>
      <w:r>
        <w:t>In Office, @hierarchyUsage values may not be duplicated within a rowH</w:t>
      </w:r>
      <w:r>
        <w:t>ierarchiesUsage.</w:t>
      </w:r>
    </w:p>
    <w:p w:rsidR="00024C0A" w:rsidRDefault="00694C0F">
      <w:pPr>
        <w:pStyle w:val="Definition-Field"/>
      </w:pPr>
      <w:r>
        <w:t xml:space="preserve">b.   </w:t>
      </w:r>
      <w:r>
        <w:rPr>
          <w:i/>
        </w:rPr>
        <w:t>The standard says hierarchyUsage specifies the reference to an OLAP hierarchy in a PivotTable.</w:t>
      </w:r>
    </w:p>
    <w:p w:rsidR="00024C0A" w:rsidRDefault="00694C0F">
      <w:pPr>
        <w:pStyle w:val="Definition-Field2"/>
      </w:pPr>
      <w:r>
        <w:t>In Office, @hierarchyUsage must be -2 (specifying the data hierarchy) or greater than or equal to 0 and less than the number of pivotHierar</w:t>
      </w:r>
      <w:r>
        <w:t>chy elements.</w:t>
      </w:r>
    </w:p>
    <w:p w:rsidR="00024C0A" w:rsidRDefault="00694C0F">
      <w:pPr>
        <w:pStyle w:val="Heading3"/>
      </w:pPr>
      <w:bookmarkStart w:id="1601" w:name="section_666f1692575a4f56a5dd705e766fdf96"/>
      <w:bookmarkStart w:id="1602" w:name="_Toc12260861"/>
      <w:r>
        <w:t>Part 1 Section 18.10.1.85, s (Character Value)</w:t>
      </w:r>
      <w:bookmarkEnd w:id="1601"/>
      <w:bookmarkEnd w:id="1602"/>
      <w:r>
        <w:fldChar w:fldCharType="begin"/>
      </w:r>
      <w:r>
        <w:instrText xml:space="preserve"> XE "s (Character Value)" </w:instrText>
      </w:r>
      <w:r>
        <w:fldChar w:fldCharType="end"/>
      </w:r>
    </w:p>
    <w:p w:rsidR="00024C0A" w:rsidRDefault="00694C0F">
      <w:pPr>
        <w:pStyle w:val="Definition-Field"/>
      </w:pPr>
      <w:r>
        <w:t xml:space="preserve">a.   </w:t>
      </w:r>
      <w:r>
        <w:rPr>
          <w:i/>
        </w:rPr>
        <w:t>The standard does not specify a default value for the u attribute.</w:t>
      </w:r>
    </w:p>
    <w:p w:rsidR="00024C0A" w:rsidRDefault="00694C0F">
      <w:pPr>
        <w:pStyle w:val="Definition-Field2"/>
      </w:pPr>
      <w:r>
        <w:lastRenderedPageBreak/>
        <w:t>Excel uses a default value of false for this attribute.</w:t>
      </w:r>
    </w:p>
    <w:p w:rsidR="00024C0A" w:rsidRDefault="00694C0F">
      <w:pPr>
        <w:pStyle w:val="Definition-Field"/>
      </w:pPr>
      <w:r>
        <w:t xml:space="preserve">b.   </w:t>
      </w:r>
      <w:r>
        <w:rPr>
          <w:i/>
        </w:rPr>
        <w:t xml:space="preserve">The standard does not specify a </w:t>
      </w:r>
      <w:r>
        <w:rPr>
          <w:i/>
        </w:rPr>
        <w:t>default value for the f attribute.</w:t>
      </w:r>
    </w:p>
    <w:p w:rsidR="00024C0A" w:rsidRDefault="00694C0F">
      <w:pPr>
        <w:pStyle w:val="Definition-Field2"/>
      </w:pPr>
      <w:r>
        <w:t>Excel uses a default value of false for this attribute.</w:t>
      </w:r>
    </w:p>
    <w:p w:rsidR="00024C0A" w:rsidRDefault="00694C0F">
      <w:pPr>
        <w:pStyle w:val="Definition-Field"/>
      </w:pPr>
      <w:r>
        <w:t xml:space="preserve">c.   </w:t>
      </w:r>
      <w:r>
        <w:rPr>
          <w:i/>
        </w:rPr>
        <w:t>The standard does not limit the length of the value of the c attribute.</w:t>
      </w:r>
    </w:p>
    <w:p w:rsidR="00024C0A" w:rsidRDefault="00694C0F">
      <w:pPr>
        <w:pStyle w:val="Definition-Field2"/>
      </w:pPr>
      <w:r>
        <w:t>Excel restricts the value of this attribute to be at most 65535 characters.</w:t>
      </w:r>
    </w:p>
    <w:p w:rsidR="00024C0A" w:rsidRDefault="00694C0F">
      <w:pPr>
        <w:pStyle w:val="Definition-Field"/>
      </w:pPr>
      <w:r>
        <w:t xml:space="preserve">d.   </w:t>
      </w:r>
      <w:r>
        <w:rPr>
          <w:i/>
        </w:rPr>
        <w:t>The sta</w:t>
      </w:r>
      <w:r>
        <w:rPr>
          <w:i/>
        </w:rPr>
        <w:t>ndard does not define a relationship between the c attribute and the datasource type.</w:t>
      </w:r>
    </w:p>
    <w:p w:rsidR="00024C0A" w:rsidRDefault="00694C0F">
      <w:pPr>
        <w:pStyle w:val="Definition-Field2"/>
      </w:pPr>
      <w:r>
        <w:t>In Office, the c attribute is only used with OLAP-based PivotTables. If the value of pivotCacheDefinition@createdVersion is less than 3, this value shall not be specified</w:t>
      </w:r>
      <w:r>
        <w:t>.</w:t>
      </w:r>
    </w:p>
    <w:p w:rsidR="00024C0A" w:rsidRDefault="00694C0F">
      <w:pPr>
        <w:pStyle w:val="Definition-Field"/>
      </w:pPr>
      <w:r>
        <w:t xml:space="preserve">e.   </w:t>
      </w:r>
      <w:r>
        <w:rPr>
          <w:i/>
        </w:rPr>
        <w:t>The standard does not state that @cp is required in certain cases.</w:t>
      </w:r>
    </w:p>
    <w:p w:rsidR="00024C0A" w:rsidRDefault="00694C0F">
      <w:pPr>
        <w:pStyle w:val="Definition-Field2"/>
      </w:pPr>
      <w:r>
        <w:t>Office requires that @cp shall be equal to the count of child x elements and be less than or equal to the @mappingCount of the corresponding cacheField element.</w:t>
      </w:r>
    </w:p>
    <w:p w:rsidR="00024C0A" w:rsidRDefault="00694C0F">
      <w:pPr>
        <w:pStyle w:val="Definition-Field"/>
      </w:pPr>
      <w:r>
        <w:t xml:space="preserve">f.   </w:t>
      </w:r>
      <w:r>
        <w:rPr>
          <w:i/>
        </w:rPr>
        <w:t>The standard doe</w:t>
      </w:r>
      <w:r>
        <w:rPr>
          <w:i/>
        </w:rPr>
        <w:t>s not state that the presence of @cp is related to the datasource type.</w:t>
      </w:r>
    </w:p>
    <w:p w:rsidR="00024C0A" w:rsidRDefault="00694C0F">
      <w:pPr>
        <w:pStyle w:val="Definition-Field2"/>
      </w:pPr>
      <w:r>
        <w:t>In Office, @cp is specific to OLAP-based PivotTables.</w:t>
      </w:r>
    </w:p>
    <w:p w:rsidR="00024C0A" w:rsidRDefault="00694C0F">
      <w:pPr>
        <w:pStyle w:val="Definition-Field"/>
      </w:pPr>
      <w:r>
        <w:t xml:space="preserve">g.   </w:t>
      </w:r>
      <w:r>
        <w:rPr>
          <w:i/>
        </w:rPr>
        <w:t>The standard does not define a relationship between @cp and the parent element of s.</w:t>
      </w:r>
    </w:p>
    <w:p w:rsidR="00024C0A" w:rsidRDefault="00694C0F">
      <w:pPr>
        <w:pStyle w:val="Definition-Field2"/>
      </w:pPr>
      <w:r>
        <w:t>In Office, @cp applies only when the par</w:t>
      </w:r>
      <w:r>
        <w:t>ent of the s element is of type CT_SharedItems.</w:t>
      </w:r>
    </w:p>
    <w:p w:rsidR="00024C0A" w:rsidRDefault="00694C0F">
      <w:pPr>
        <w:pStyle w:val="Definition-Field"/>
      </w:pPr>
      <w:r>
        <w:t xml:space="preserve">h.   </w:t>
      </w:r>
      <w:r>
        <w:rPr>
          <w:i/>
        </w:rPr>
        <w:t>The standard does not define a relationship between @f and the parent element of s.</w:t>
      </w:r>
    </w:p>
    <w:p w:rsidR="00024C0A" w:rsidRDefault="00694C0F">
      <w:pPr>
        <w:pStyle w:val="Definition-Field2"/>
      </w:pPr>
      <w:r>
        <w:t>In Office, @f applies only when the parent of the s element is of type CT_SharedItems.</w:t>
      </w:r>
    </w:p>
    <w:p w:rsidR="00024C0A" w:rsidRDefault="00694C0F">
      <w:pPr>
        <w:pStyle w:val="Definition-Field"/>
      </w:pPr>
      <w:r>
        <w:t xml:space="preserve">i.   </w:t>
      </w:r>
      <w:r>
        <w:rPr>
          <w:i/>
        </w:rPr>
        <w:t>The standard does not defin</w:t>
      </w:r>
      <w:r>
        <w:rPr>
          <w:i/>
        </w:rPr>
        <w:t>e a relationship between @u and the parent element of s.</w:t>
      </w:r>
    </w:p>
    <w:p w:rsidR="00024C0A" w:rsidRDefault="00694C0F">
      <w:pPr>
        <w:pStyle w:val="Definition-Field2"/>
      </w:pPr>
      <w:r>
        <w:t>In Office, @u applies only when the parent of the s element is of type CT_SharedItems.</w:t>
      </w:r>
    </w:p>
    <w:p w:rsidR="00024C0A" w:rsidRDefault="00694C0F">
      <w:pPr>
        <w:pStyle w:val="Definition-Field"/>
      </w:pPr>
      <w:r>
        <w:t xml:space="preserve">j.   </w:t>
      </w:r>
      <w:r>
        <w:rPr>
          <w:i/>
        </w:rPr>
        <w:t>The standard does not limit the length of the value of the v attribute.</w:t>
      </w:r>
    </w:p>
    <w:p w:rsidR="00024C0A" w:rsidRDefault="00694C0F">
      <w:pPr>
        <w:pStyle w:val="Definition-Field2"/>
      </w:pPr>
      <w:r>
        <w:t>Excel restricts the value of this a</w:t>
      </w:r>
      <w:r>
        <w:t>ttribute to be at most 255 characters when the createdVersion attribute on the pivotCacheDefinition element is less than 3 and 32767 characters otherwise.</w:t>
      </w:r>
    </w:p>
    <w:p w:rsidR="00024C0A" w:rsidRDefault="00694C0F">
      <w:pPr>
        <w:pStyle w:val="Heading3"/>
      </w:pPr>
      <w:bookmarkStart w:id="1603" w:name="section_19b9ace7dba048ac9112554150c1563a"/>
      <w:bookmarkStart w:id="1604" w:name="_Toc12260862"/>
      <w:r>
        <w:t>Part 1 Section 18.10.1.86, serverFormat (Server Format)</w:t>
      </w:r>
      <w:bookmarkEnd w:id="1603"/>
      <w:bookmarkEnd w:id="1604"/>
      <w:r>
        <w:fldChar w:fldCharType="begin"/>
      </w:r>
      <w:r>
        <w:instrText xml:space="preserve"> XE "serverFormat (Server Format)" </w:instrText>
      </w:r>
      <w:r>
        <w:fldChar w:fldCharType="end"/>
      </w:r>
    </w:p>
    <w:p w:rsidR="00024C0A" w:rsidRDefault="00694C0F">
      <w:pPr>
        <w:pStyle w:val="Definition-Field"/>
      </w:pPr>
      <w:r>
        <w:t xml:space="preserve">a.   </w:t>
      </w:r>
      <w:r>
        <w:rPr>
          <w:i/>
        </w:rPr>
        <w:t>The</w:t>
      </w:r>
      <w:r>
        <w:rPr>
          <w:i/>
        </w:rPr>
        <w:t xml:space="preserve"> standard allows for both culture and format attributes.</w:t>
      </w:r>
    </w:p>
    <w:p w:rsidR="00024C0A" w:rsidRDefault="00694C0F">
      <w:pPr>
        <w:pStyle w:val="Definition-Field2"/>
      </w:pPr>
      <w:r>
        <w:t>Office allows only one of culture or format attributes.</w:t>
      </w:r>
    </w:p>
    <w:p w:rsidR="00024C0A" w:rsidRDefault="00694C0F">
      <w:pPr>
        <w:pStyle w:val="Definition-Field"/>
      </w:pPr>
      <w:r>
        <w:t xml:space="preserve">b.   </w:t>
      </w:r>
      <w:r>
        <w:rPr>
          <w:i/>
        </w:rPr>
        <w:t>The standard does not specify a maximum length for the culture attribute.</w:t>
      </w:r>
    </w:p>
    <w:p w:rsidR="00024C0A" w:rsidRDefault="00694C0F">
      <w:pPr>
        <w:pStyle w:val="Definition-Field2"/>
      </w:pPr>
      <w:r>
        <w:t>Office has a maximum length of 31 for the culture attribute.</w:t>
      </w:r>
    </w:p>
    <w:p w:rsidR="00024C0A" w:rsidRDefault="00694C0F">
      <w:pPr>
        <w:pStyle w:val="Definition-Field"/>
      </w:pPr>
      <w:r>
        <w:t xml:space="preserve">c. </w:t>
      </w:r>
      <w:r>
        <w:t xml:space="preserve">  </w:t>
      </w:r>
      <w:r>
        <w:rPr>
          <w:i/>
        </w:rPr>
        <w:t>The standard defines the format attribute to be an ST_Xstring, with no length limitations.</w:t>
      </w:r>
    </w:p>
    <w:p w:rsidR="00024C0A" w:rsidRDefault="00694C0F">
      <w:pPr>
        <w:pStyle w:val="Definition-Field2"/>
      </w:pPr>
      <w:r>
        <w:t>Office limits the format attribute to 65535 characters.</w:t>
      </w:r>
    </w:p>
    <w:p w:rsidR="00024C0A" w:rsidRDefault="00694C0F">
      <w:pPr>
        <w:pStyle w:val="Definition-Field"/>
      </w:pPr>
      <w:r>
        <w:t xml:space="preserve">d.   </w:t>
      </w:r>
      <w:r>
        <w:rPr>
          <w:i/>
        </w:rPr>
        <w:t>The standard does not restrict valid files to those with known language tags.</w:t>
      </w:r>
    </w:p>
    <w:p w:rsidR="00024C0A" w:rsidRDefault="00694C0F">
      <w:r>
        <w:t xml:space="preserve">Office does not load a </w:t>
      </w:r>
      <w:r>
        <w:t>file in which this attribute contains a value that it does not recognize, or is not recognized by the underlying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lastRenderedPageBreak/>
              <w:t>Language</w:t>
            </w:r>
          </w:p>
        </w:tc>
        <w:tc>
          <w:tcPr>
            <w:tcW w:w="0" w:type="auto"/>
            <w:vAlign w:val="center"/>
          </w:tcPr>
          <w:p w:rsidR="00024C0A" w:rsidRDefault="00694C0F">
            <w:pPr>
              <w:pStyle w:val="TableHeaderText"/>
            </w:pPr>
            <w:r>
              <w:t>Locale</w:t>
            </w:r>
          </w:p>
        </w:tc>
        <w:tc>
          <w:tcPr>
            <w:tcW w:w="0" w:type="auto"/>
            <w:vAlign w:val="center"/>
          </w:tcPr>
          <w:p w:rsidR="00024C0A" w:rsidRDefault="00694C0F">
            <w:pPr>
              <w:pStyle w:val="TableHeaderText"/>
            </w:pPr>
            <w:r>
              <w:t>Language Tag</w:t>
            </w:r>
          </w:p>
        </w:tc>
      </w:tr>
      <w:tr w:rsidR="00024C0A" w:rsidTr="00024C0A">
        <w:tc>
          <w:tcPr>
            <w:tcW w:w="0" w:type="auto"/>
            <w:vAlign w:val="center"/>
          </w:tcPr>
          <w:p w:rsidR="00024C0A" w:rsidRDefault="00694C0F">
            <w:pPr>
              <w:pStyle w:val="TableBodyText"/>
            </w:pPr>
            <w:r>
              <w:t>Africaans</w:t>
            </w:r>
          </w:p>
        </w:tc>
        <w:tc>
          <w:tcPr>
            <w:tcW w:w="0" w:type="auto"/>
            <w:vAlign w:val="center"/>
          </w:tcPr>
          <w:p w:rsidR="00024C0A" w:rsidRDefault="00694C0F">
            <w:pPr>
              <w:pStyle w:val="TableBodyText"/>
            </w:pPr>
            <w:r>
              <w:t>South Africa</w:t>
            </w:r>
          </w:p>
        </w:tc>
        <w:tc>
          <w:tcPr>
            <w:tcW w:w="0" w:type="auto"/>
            <w:vAlign w:val="center"/>
          </w:tcPr>
          <w:p w:rsidR="00024C0A" w:rsidRDefault="00694C0F">
            <w:pPr>
              <w:pStyle w:val="TableBodyText"/>
            </w:pPr>
            <w:r>
              <w:t>af-ZA</w:t>
            </w:r>
          </w:p>
        </w:tc>
      </w:tr>
      <w:tr w:rsidR="00024C0A" w:rsidTr="00024C0A">
        <w:tc>
          <w:tcPr>
            <w:tcW w:w="0" w:type="auto"/>
            <w:vAlign w:val="center"/>
          </w:tcPr>
          <w:p w:rsidR="00024C0A" w:rsidRDefault="00694C0F">
            <w:pPr>
              <w:pStyle w:val="TableBodyText"/>
            </w:pPr>
            <w:r>
              <w:t>Albanian</w:t>
            </w:r>
          </w:p>
        </w:tc>
        <w:tc>
          <w:tcPr>
            <w:tcW w:w="0" w:type="auto"/>
            <w:vAlign w:val="center"/>
          </w:tcPr>
          <w:p w:rsidR="00024C0A" w:rsidRDefault="00694C0F">
            <w:pPr>
              <w:pStyle w:val="TableBodyText"/>
            </w:pPr>
            <w:r>
              <w:t>Albanian</w:t>
            </w:r>
          </w:p>
        </w:tc>
        <w:tc>
          <w:tcPr>
            <w:tcW w:w="0" w:type="auto"/>
            <w:vAlign w:val="center"/>
          </w:tcPr>
          <w:p w:rsidR="00024C0A" w:rsidRDefault="00694C0F">
            <w:pPr>
              <w:pStyle w:val="TableBodyText"/>
            </w:pPr>
            <w:r>
              <w:t>sq-AL</w:t>
            </w:r>
          </w:p>
        </w:tc>
      </w:tr>
      <w:tr w:rsidR="00024C0A" w:rsidTr="00024C0A">
        <w:tc>
          <w:tcPr>
            <w:tcW w:w="0" w:type="auto"/>
            <w:vAlign w:val="center"/>
          </w:tcPr>
          <w:p w:rsidR="00024C0A" w:rsidRDefault="00694C0F">
            <w:pPr>
              <w:pStyle w:val="TableBodyText"/>
            </w:pPr>
            <w:r>
              <w:t>Alsatian</w:t>
            </w:r>
          </w:p>
        </w:tc>
        <w:tc>
          <w:tcPr>
            <w:tcW w:w="0" w:type="auto"/>
            <w:vAlign w:val="center"/>
          </w:tcPr>
          <w:p w:rsidR="00024C0A" w:rsidRDefault="00694C0F">
            <w:pPr>
              <w:pStyle w:val="TableBodyText"/>
            </w:pPr>
            <w:r>
              <w:t>France</w:t>
            </w:r>
          </w:p>
        </w:tc>
        <w:tc>
          <w:tcPr>
            <w:tcW w:w="0" w:type="auto"/>
            <w:vAlign w:val="center"/>
          </w:tcPr>
          <w:p w:rsidR="00024C0A" w:rsidRDefault="00694C0F">
            <w:pPr>
              <w:pStyle w:val="TableBodyText"/>
            </w:pPr>
            <w:r>
              <w:t>gsw-FR</w:t>
            </w:r>
          </w:p>
        </w:tc>
      </w:tr>
      <w:tr w:rsidR="00024C0A" w:rsidTr="00024C0A">
        <w:tc>
          <w:tcPr>
            <w:tcW w:w="0" w:type="auto"/>
            <w:vAlign w:val="center"/>
          </w:tcPr>
          <w:p w:rsidR="00024C0A" w:rsidRDefault="00694C0F">
            <w:pPr>
              <w:pStyle w:val="TableBodyText"/>
            </w:pPr>
            <w:r>
              <w:t>Amharic</w:t>
            </w:r>
          </w:p>
        </w:tc>
        <w:tc>
          <w:tcPr>
            <w:tcW w:w="0" w:type="auto"/>
            <w:vAlign w:val="center"/>
          </w:tcPr>
          <w:p w:rsidR="00024C0A" w:rsidRDefault="00694C0F">
            <w:pPr>
              <w:pStyle w:val="TableBodyText"/>
            </w:pPr>
            <w:r>
              <w:t>Ethiopia</w:t>
            </w:r>
          </w:p>
        </w:tc>
        <w:tc>
          <w:tcPr>
            <w:tcW w:w="0" w:type="auto"/>
            <w:vAlign w:val="center"/>
          </w:tcPr>
          <w:p w:rsidR="00024C0A" w:rsidRDefault="00694C0F">
            <w:pPr>
              <w:pStyle w:val="TableBodyText"/>
            </w:pPr>
            <w:r>
              <w:t>am-ET</w:t>
            </w:r>
          </w:p>
        </w:tc>
      </w:tr>
      <w:tr w:rsidR="00024C0A" w:rsidTr="00024C0A">
        <w:tc>
          <w:tcPr>
            <w:tcW w:w="0" w:type="auto"/>
            <w:vAlign w:val="center"/>
          </w:tcPr>
          <w:p w:rsidR="00024C0A" w:rsidRDefault="00694C0F">
            <w:pPr>
              <w:pStyle w:val="TableBodyText"/>
            </w:pPr>
            <w:r>
              <w:t>Arabic</w:t>
            </w:r>
          </w:p>
        </w:tc>
        <w:tc>
          <w:tcPr>
            <w:tcW w:w="0" w:type="auto"/>
            <w:vAlign w:val="center"/>
          </w:tcPr>
          <w:p w:rsidR="00024C0A" w:rsidRDefault="00694C0F">
            <w:pPr>
              <w:pStyle w:val="TableBodyText"/>
            </w:pPr>
            <w:r>
              <w:t>Algeria</w:t>
            </w:r>
          </w:p>
        </w:tc>
        <w:tc>
          <w:tcPr>
            <w:tcW w:w="0" w:type="auto"/>
            <w:vAlign w:val="center"/>
          </w:tcPr>
          <w:p w:rsidR="00024C0A" w:rsidRDefault="00694C0F">
            <w:pPr>
              <w:pStyle w:val="TableBodyText"/>
            </w:pPr>
            <w:r>
              <w:t>ar-DZ</w:t>
            </w:r>
          </w:p>
        </w:tc>
      </w:tr>
      <w:tr w:rsidR="00024C0A" w:rsidTr="00024C0A">
        <w:tc>
          <w:tcPr>
            <w:tcW w:w="0" w:type="auto"/>
            <w:vAlign w:val="center"/>
          </w:tcPr>
          <w:p w:rsidR="00024C0A" w:rsidRDefault="00694C0F">
            <w:pPr>
              <w:pStyle w:val="TableBodyText"/>
            </w:pPr>
            <w:r>
              <w:t>Arabic</w:t>
            </w:r>
          </w:p>
        </w:tc>
        <w:tc>
          <w:tcPr>
            <w:tcW w:w="0" w:type="auto"/>
            <w:vAlign w:val="center"/>
          </w:tcPr>
          <w:p w:rsidR="00024C0A" w:rsidRDefault="00694C0F">
            <w:pPr>
              <w:pStyle w:val="TableBodyText"/>
            </w:pPr>
            <w:r>
              <w:t>Bahrain</w:t>
            </w:r>
          </w:p>
        </w:tc>
        <w:tc>
          <w:tcPr>
            <w:tcW w:w="0" w:type="auto"/>
            <w:vAlign w:val="center"/>
          </w:tcPr>
          <w:p w:rsidR="00024C0A" w:rsidRDefault="00694C0F">
            <w:pPr>
              <w:pStyle w:val="TableBodyText"/>
            </w:pPr>
            <w:r>
              <w:t>ar-BH</w:t>
            </w:r>
          </w:p>
        </w:tc>
      </w:tr>
      <w:tr w:rsidR="00024C0A" w:rsidTr="00024C0A">
        <w:tc>
          <w:tcPr>
            <w:tcW w:w="0" w:type="auto"/>
            <w:vAlign w:val="center"/>
          </w:tcPr>
          <w:p w:rsidR="00024C0A" w:rsidRDefault="00694C0F">
            <w:pPr>
              <w:pStyle w:val="TableBodyText"/>
            </w:pPr>
            <w:r>
              <w:t>Arabic</w:t>
            </w:r>
          </w:p>
        </w:tc>
        <w:tc>
          <w:tcPr>
            <w:tcW w:w="0" w:type="auto"/>
            <w:vAlign w:val="center"/>
          </w:tcPr>
          <w:p w:rsidR="00024C0A" w:rsidRDefault="00694C0F">
            <w:pPr>
              <w:pStyle w:val="TableBodyText"/>
            </w:pPr>
            <w:r>
              <w:t>Egypt</w:t>
            </w:r>
          </w:p>
        </w:tc>
        <w:tc>
          <w:tcPr>
            <w:tcW w:w="0" w:type="auto"/>
            <w:vAlign w:val="center"/>
          </w:tcPr>
          <w:p w:rsidR="00024C0A" w:rsidRDefault="00694C0F">
            <w:pPr>
              <w:pStyle w:val="TableBodyText"/>
            </w:pPr>
            <w:r>
              <w:t>ar-EG</w:t>
            </w:r>
          </w:p>
        </w:tc>
      </w:tr>
      <w:tr w:rsidR="00024C0A" w:rsidTr="00024C0A">
        <w:tc>
          <w:tcPr>
            <w:tcW w:w="0" w:type="auto"/>
            <w:vAlign w:val="center"/>
          </w:tcPr>
          <w:p w:rsidR="00024C0A" w:rsidRDefault="00694C0F">
            <w:pPr>
              <w:pStyle w:val="TableBodyText"/>
            </w:pPr>
            <w:r>
              <w:t>Arabic</w:t>
            </w:r>
          </w:p>
        </w:tc>
        <w:tc>
          <w:tcPr>
            <w:tcW w:w="0" w:type="auto"/>
            <w:vAlign w:val="center"/>
          </w:tcPr>
          <w:p w:rsidR="00024C0A" w:rsidRDefault="00694C0F">
            <w:pPr>
              <w:pStyle w:val="TableBodyText"/>
            </w:pPr>
            <w:r>
              <w:t>Iraq</w:t>
            </w:r>
          </w:p>
        </w:tc>
        <w:tc>
          <w:tcPr>
            <w:tcW w:w="0" w:type="auto"/>
            <w:vAlign w:val="center"/>
          </w:tcPr>
          <w:p w:rsidR="00024C0A" w:rsidRDefault="00694C0F">
            <w:pPr>
              <w:pStyle w:val="TableBodyText"/>
            </w:pPr>
            <w:r>
              <w:t>ar-IQ</w:t>
            </w:r>
          </w:p>
        </w:tc>
      </w:tr>
      <w:tr w:rsidR="00024C0A" w:rsidTr="00024C0A">
        <w:tc>
          <w:tcPr>
            <w:tcW w:w="0" w:type="auto"/>
            <w:vAlign w:val="center"/>
          </w:tcPr>
          <w:p w:rsidR="00024C0A" w:rsidRDefault="00694C0F">
            <w:pPr>
              <w:pStyle w:val="TableBodyText"/>
            </w:pPr>
            <w:r>
              <w:t>Arabic</w:t>
            </w:r>
          </w:p>
        </w:tc>
        <w:tc>
          <w:tcPr>
            <w:tcW w:w="0" w:type="auto"/>
            <w:vAlign w:val="center"/>
          </w:tcPr>
          <w:p w:rsidR="00024C0A" w:rsidRDefault="00694C0F">
            <w:pPr>
              <w:pStyle w:val="TableBodyText"/>
            </w:pPr>
            <w:r>
              <w:t>Jordan</w:t>
            </w:r>
          </w:p>
        </w:tc>
        <w:tc>
          <w:tcPr>
            <w:tcW w:w="0" w:type="auto"/>
            <w:vAlign w:val="center"/>
          </w:tcPr>
          <w:p w:rsidR="00024C0A" w:rsidRDefault="00694C0F">
            <w:pPr>
              <w:pStyle w:val="TableBodyText"/>
            </w:pPr>
            <w:r>
              <w:t>ar-JO</w:t>
            </w:r>
          </w:p>
        </w:tc>
      </w:tr>
      <w:tr w:rsidR="00024C0A" w:rsidTr="00024C0A">
        <w:tc>
          <w:tcPr>
            <w:tcW w:w="0" w:type="auto"/>
            <w:vAlign w:val="center"/>
          </w:tcPr>
          <w:p w:rsidR="00024C0A" w:rsidRDefault="00694C0F">
            <w:pPr>
              <w:pStyle w:val="TableBodyText"/>
            </w:pPr>
            <w:r>
              <w:t>Arabic</w:t>
            </w:r>
          </w:p>
        </w:tc>
        <w:tc>
          <w:tcPr>
            <w:tcW w:w="0" w:type="auto"/>
            <w:vAlign w:val="center"/>
          </w:tcPr>
          <w:p w:rsidR="00024C0A" w:rsidRDefault="00694C0F">
            <w:pPr>
              <w:pStyle w:val="TableBodyText"/>
            </w:pPr>
            <w:r>
              <w:t>Kuwait</w:t>
            </w:r>
          </w:p>
        </w:tc>
        <w:tc>
          <w:tcPr>
            <w:tcW w:w="0" w:type="auto"/>
            <w:vAlign w:val="center"/>
          </w:tcPr>
          <w:p w:rsidR="00024C0A" w:rsidRDefault="00694C0F">
            <w:pPr>
              <w:pStyle w:val="TableBodyText"/>
            </w:pPr>
            <w:r>
              <w:t>ar-KW</w:t>
            </w:r>
          </w:p>
        </w:tc>
      </w:tr>
      <w:tr w:rsidR="00024C0A" w:rsidTr="00024C0A">
        <w:tc>
          <w:tcPr>
            <w:tcW w:w="0" w:type="auto"/>
            <w:vAlign w:val="center"/>
          </w:tcPr>
          <w:p w:rsidR="00024C0A" w:rsidRDefault="00694C0F">
            <w:pPr>
              <w:pStyle w:val="TableBodyText"/>
            </w:pPr>
            <w:r>
              <w:t>Arabic</w:t>
            </w:r>
          </w:p>
        </w:tc>
        <w:tc>
          <w:tcPr>
            <w:tcW w:w="0" w:type="auto"/>
            <w:vAlign w:val="center"/>
          </w:tcPr>
          <w:p w:rsidR="00024C0A" w:rsidRDefault="00694C0F">
            <w:pPr>
              <w:pStyle w:val="TableBodyText"/>
            </w:pPr>
            <w:r>
              <w:t>Lebanon</w:t>
            </w:r>
          </w:p>
        </w:tc>
        <w:tc>
          <w:tcPr>
            <w:tcW w:w="0" w:type="auto"/>
            <w:vAlign w:val="center"/>
          </w:tcPr>
          <w:p w:rsidR="00024C0A" w:rsidRDefault="00694C0F">
            <w:pPr>
              <w:pStyle w:val="TableBodyText"/>
            </w:pPr>
            <w:r>
              <w:t>ar-LB</w:t>
            </w:r>
          </w:p>
        </w:tc>
      </w:tr>
      <w:tr w:rsidR="00024C0A" w:rsidTr="00024C0A">
        <w:tc>
          <w:tcPr>
            <w:tcW w:w="0" w:type="auto"/>
            <w:vAlign w:val="center"/>
          </w:tcPr>
          <w:p w:rsidR="00024C0A" w:rsidRDefault="00694C0F">
            <w:pPr>
              <w:pStyle w:val="TableBodyText"/>
            </w:pPr>
            <w:r>
              <w:t>Arabic</w:t>
            </w:r>
          </w:p>
        </w:tc>
        <w:tc>
          <w:tcPr>
            <w:tcW w:w="0" w:type="auto"/>
            <w:vAlign w:val="center"/>
          </w:tcPr>
          <w:p w:rsidR="00024C0A" w:rsidRDefault="00694C0F">
            <w:pPr>
              <w:pStyle w:val="TableBodyText"/>
            </w:pPr>
            <w:r>
              <w:t>Libya</w:t>
            </w:r>
          </w:p>
        </w:tc>
        <w:tc>
          <w:tcPr>
            <w:tcW w:w="0" w:type="auto"/>
            <w:vAlign w:val="center"/>
          </w:tcPr>
          <w:p w:rsidR="00024C0A" w:rsidRDefault="00694C0F">
            <w:pPr>
              <w:pStyle w:val="TableBodyText"/>
            </w:pPr>
            <w:r>
              <w:t>ar-LY</w:t>
            </w:r>
          </w:p>
        </w:tc>
      </w:tr>
      <w:tr w:rsidR="00024C0A" w:rsidTr="00024C0A">
        <w:tc>
          <w:tcPr>
            <w:tcW w:w="0" w:type="auto"/>
            <w:vAlign w:val="center"/>
          </w:tcPr>
          <w:p w:rsidR="00024C0A" w:rsidRDefault="00694C0F">
            <w:pPr>
              <w:pStyle w:val="TableBodyText"/>
            </w:pPr>
            <w:r>
              <w:t>Arabic</w:t>
            </w:r>
          </w:p>
        </w:tc>
        <w:tc>
          <w:tcPr>
            <w:tcW w:w="0" w:type="auto"/>
            <w:vAlign w:val="center"/>
          </w:tcPr>
          <w:p w:rsidR="00024C0A" w:rsidRDefault="00694C0F">
            <w:pPr>
              <w:pStyle w:val="TableBodyText"/>
            </w:pPr>
            <w:r>
              <w:t>Morocco</w:t>
            </w:r>
          </w:p>
        </w:tc>
        <w:tc>
          <w:tcPr>
            <w:tcW w:w="0" w:type="auto"/>
            <w:vAlign w:val="center"/>
          </w:tcPr>
          <w:p w:rsidR="00024C0A" w:rsidRDefault="00694C0F">
            <w:pPr>
              <w:pStyle w:val="TableBodyText"/>
            </w:pPr>
            <w:r>
              <w:t>ar-MA</w:t>
            </w:r>
          </w:p>
        </w:tc>
      </w:tr>
      <w:tr w:rsidR="00024C0A" w:rsidTr="00024C0A">
        <w:tc>
          <w:tcPr>
            <w:tcW w:w="0" w:type="auto"/>
            <w:vAlign w:val="center"/>
          </w:tcPr>
          <w:p w:rsidR="00024C0A" w:rsidRDefault="00694C0F">
            <w:pPr>
              <w:pStyle w:val="TableBodyText"/>
            </w:pPr>
            <w:r>
              <w:t>Arabic</w:t>
            </w:r>
          </w:p>
        </w:tc>
        <w:tc>
          <w:tcPr>
            <w:tcW w:w="0" w:type="auto"/>
            <w:vAlign w:val="center"/>
          </w:tcPr>
          <w:p w:rsidR="00024C0A" w:rsidRDefault="00694C0F">
            <w:pPr>
              <w:pStyle w:val="TableBodyText"/>
            </w:pPr>
            <w:r>
              <w:t>Oman</w:t>
            </w:r>
          </w:p>
        </w:tc>
        <w:tc>
          <w:tcPr>
            <w:tcW w:w="0" w:type="auto"/>
            <w:vAlign w:val="center"/>
          </w:tcPr>
          <w:p w:rsidR="00024C0A" w:rsidRDefault="00694C0F">
            <w:pPr>
              <w:pStyle w:val="TableBodyText"/>
            </w:pPr>
            <w:r>
              <w:t>ar-OM</w:t>
            </w:r>
          </w:p>
        </w:tc>
      </w:tr>
      <w:tr w:rsidR="00024C0A" w:rsidTr="00024C0A">
        <w:tc>
          <w:tcPr>
            <w:tcW w:w="0" w:type="auto"/>
            <w:vAlign w:val="center"/>
          </w:tcPr>
          <w:p w:rsidR="00024C0A" w:rsidRDefault="00694C0F">
            <w:pPr>
              <w:pStyle w:val="TableBodyText"/>
            </w:pPr>
            <w:r>
              <w:t>Arabic</w:t>
            </w:r>
          </w:p>
        </w:tc>
        <w:tc>
          <w:tcPr>
            <w:tcW w:w="0" w:type="auto"/>
            <w:vAlign w:val="center"/>
          </w:tcPr>
          <w:p w:rsidR="00024C0A" w:rsidRDefault="00694C0F">
            <w:pPr>
              <w:pStyle w:val="TableBodyText"/>
            </w:pPr>
            <w:r>
              <w:t>Qatar</w:t>
            </w:r>
          </w:p>
        </w:tc>
        <w:tc>
          <w:tcPr>
            <w:tcW w:w="0" w:type="auto"/>
            <w:vAlign w:val="center"/>
          </w:tcPr>
          <w:p w:rsidR="00024C0A" w:rsidRDefault="00694C0F">
            <w:pPr>
              <w:pStyle w:val="TableBodyText"/>
            </w:pPr>
            <w:r>
              <w:t>ar-QA</w:t>
            </w:r>
          </w:p>
        </w:tc>
      </w:tr>
      <w:tr w:rsidR="00024C0A" w:rsidTr="00024C0A">
        <w:tc>
          <w:tcPr>
            <w:tcW w:w="0" w:type="auto"/>
            <w:vAlign w:val="center"/>
          </w:tcPr>
          <w:p w:rsidR="00024C0A" w:rsidRDefault="00694C0F">
            <w:pPr>
              <w:pStyle w:val="TableBodyText"/>
            </w:pPr>
            <w:r>
              <w:t>Arabic</w:t>
            </w:r>
          </w:p>
        </w:tc>
        <w:tc>
          <w:tcPr>
            <w:tcW w:w="0" w:type="auto"/>
            <w:vAlign w:val="center"/>
          </w:tcPr>
          <w:p w:rsidR="00024C0A" w:rsidRDefault="00694C0F">
            <w:pPr>
              <w:pStyle w:val="TableBodyText"/>
            </w:pPr>
            <w:r>
              <w:t>Saudi Arabia</w:t>
            </w:r>
          </w:p>
        </w:tc>
        <w:tc>
          <w:tcPr>
            <w:tcW w:w="0" w:type="auto"/>
            <w:vAlign w:val="center"/>
          </w:tcPr>
          <w:p w:rsidR="00024C0A" w:rsidRDefault="00694C0F">
            <w:pPr>
              <w:pStyle w:val="TableBodyText"/>
            </w:pPr>
            <w:r>
              <w:t>ar-SA</w:t>
            </w:r>
          </w:p>
        </w:tc>
      </w:tr>
      <w:tr w:rsidR="00024C0A" w:rsidTr="00024C0A">
        <w:tc>
          <w:tcPr>
            <w:tcW w:w="0" w:type="auto"/>
            <w:vAlign w:val="center"/>
          </w:tcPr>
          <w:p w:rsidR="00024C0A" w:rsidRDefault="00694C0F">
            <w:pPr>
              <w:pStyle w:val="TableBodyText"/>
            </w:pPr>
            <w:r>
              <w:t>Arabic</w:t>
            </w:r>
          </w:p>
        </w:tc>
        <w:tc>
          <w:tcPr>
            <w:tcW w:w="0" w:type="auto"/>
            <w:vAlign w:val="center"/>
          </w:tcPr>
          <w:p w:rsidR="00024C0A" w:rsidRDefault="00694C0F">
            <w:pPr>
              <w:pStyle w:val="TableBodyText"/>
            </w:pPr>
            <w:r>
              <w:t>Syria</w:t>
            </w:r>
          </w:p>
        </w:tc>
        <w:tc>
          <w:tcPr>
            <w:tcW w:w="0" w:type="auto"/>
            <w:vAlign w:val="center"/>
          </w:tcPr>
          <w:p w:rsidR="00024C0A" w:rsidRDefault="00694C0F">
            <w:pPr>
              <w:pStyle w:val="TableBodyText"/>
            </w:pPr>
            <w:r>
              <w:t>ar-SY</w:t>
            </w:r>
          </w:p>
        </w:tc>
      </w:tr>
      <w:tr w:rsidR="00024C0A" w:rsidTr="00024C0A">
        <w:tc>
          <w:tcPr>
            <w:tcW w:w="0" w:type="auto"/>
            <w:vAlign w:val="center"/>
          </w:tcPr>
          <w:p w:rsidR="00024C0A" w:rsidRDefault="00694C0F">
            <w:pPr>
              <w:pStyle w:val="TableBodyText"/>
            </w:pPr>
            <w:r>
              <w:t>Arabic</w:t>
            </w:r>
          </w:p>
        </w:tc>
        <w:tc>
          <w:tcPr>
            <w:tcW w:w="0" w:type="auto"/>
            <w:vAlign w:val="center"/>
          </w:tcPr>
          <w:p w:rsidR="00024C0A" w:rsidRDefault="00694C0F">
            <w:pPr>
              <w:pStyle w:val="TableBodyText"/>
            </w:pPr>
            <w:r>
              <w:t>Tunisia</w:t>
            </w:r>
          </w:p>
        </w:tc>
        <w:tc>
          <w:tcPr>
            <w:tcW w:w="0" w:type="auto"/>
            <w:vAlign w:val="center"/>
          </w:tcPr>
          <w:p w:rsidR="00024C0A" w:rsidRDefault="00694C0F">
            <w:pPr>
              <w:pStyle w:val="TableBodyText"/>
            </w:pPr>
            <w:r>
              <w:t>ar-TN</w:t>
            </w:r>
          </w:p>
        </w:tc>
      </w:tr>
      <w:tr w:rsidR="00024C0A" w:rsidTr="00024C0A">
        <w:tc>
          <w:tcPr>
            <w:tcW w:w="0" w:type="auto"/>
            <w:vAlign w:val="center"/>
          </w:tcPr>
          <w:p w:rsidR="00024C0A" w:rsidRDefault="00694C0F">
            <w:pPr>
              <w:pStyle w:val="TableBodyText"/>
            </w:pPr>
            <w:r>
              <w:t>Arabic</w:t>
            </w:r>
          </w:p>
        </w:tc>
        <w:tc>
          <w:tcPr>
            <w:tcW w:w="0" w:type="auto"/>
            <w:vAlign w:val="center"/>
          </w:tcPr>
          <w:p w:rsidR="00024C0A" w:rsidRDefault="00694C0F">
            <w:pPr>
              <w:pStyle w:val="TableBodyText"/>
            </w:pPr>
            <w:r>
              <w:t>U.A.E.</w:t>
            </w:r>
          </w:p>
        </w:tc>
        <w:tc>
          <w:tcPr>
            <w:tcW w:w="0" w:type="auto"/>
            <w:vAlign w:val="center"/>
          </w:tcPr>
          <w:p w:rsidR="00024C0A" w:rsidRDefault="00694C0F">
            <w:pPr>
              <w:pStyle w:val="TableBodyText"/>
            </w:pPr>
            <w:r>
              <w:t>ar-AE</w:t>
            </w:r>
          </w:p>
        </w:tc>
      </w:tr>
      <w:tr w:rsidR="00024C0A" w:rsidTr="00024C0A">
        <w:tc>
          <w:tcPr>
            <w:tcW w:w="0" w:type="auto"/>
            <w:vAlign w:val="center"/>
          </w:tcPr>
          <w:p w:rsidR="00024C0A" w:rsidRDefault="00694C0F">
            <w:pPr>
              <w:pStyle w:val="TableBodyText"/>
            </w:pPr>
            <w:r>
              <w:t>Arabic</w:t>
            </w:r>
          </w:p>
        </w:tc>
        <w:tc>
          <w:tcPr>
            <w:tcW w:w="0" w:type="auto"/>
            <w:vAlign w:val="center"/>
          </w:tcPr>
          <w:p w:rsidR="00024C0A" w:rsidRDefault="00694C0F">
            <w:pPr>
              <w:pStyle w:val="TableBodyText"/>
            </w:pPr>
            <w:r>
              <w:t>Yemen</w:t>
            </w:r>
          </w:p>
        </w:tc>
        <w:tc>
          <w:tcPr>
            <w:tcW w:w="0" w:type="auto"/>
            <w:vAlign w:val="center"/>
          </w:tcPr>
          <w:p w:rsidR="00024C0A" w:rsidRDefault="00694C0F">
            <w:pPr>
              <w:pStyle w:val="TableBodyText"/>
            </w:pPr>
            <w:r>
              <w:t>ar-YE</w:t>
            </w:r>
          </w:p>
        </w:tc>
      </w:tr>
      <w:tr w:rsidR="00024C0A" w:rsidTr="00024C0A">
        <w:tc>
          <w:tcPr>
            <w:tcW w:w="0" w:type="auto"/>
            <w:vAlign w:val="center"/>
          </w:tcPr>
          <w:p w:rsidR="00024C0A" w:rsidRDefault="00694C0F">
            <w:pPr>
              <w:pStyle w:val="TableBodyText"/>
            </w:pPr>
            <w:r>
              <w:t>Armenian</w:t>
            </w:r>
          </w:p>
        </w:tc>
        <w:tc>
          <w:tcPr>
            <w:tcW w:w="0" w:type="auto"/>
            <w:vAlign w:val="center"/>
          </w:tcPr>
          <w:p w:rsidR="00024C0A" w:rsidRDefault="00694C0F">
            <w:pPr>
              <w:pStyle w:val="TableBodyText"/>
            </w:pPr>
            <w:r>
              <w:t>Armenia</w:t>
            </w:r>
          </w:p>
        </w:tc>
        <w:tc>
          <w:tcPr>
            <w:tcW w:w="0" w:type="auto"/>
            <w:vAlign w:val="center"/>
          </w:tcPr>
          <w:p w:rsidR="00024C0A" w:rsidRDefault="00694C0F">
            <w:pPr>
              <w:pStyle w:val="TableBodyText"/>
            </w:pPr>
            <w:r>
              <w:t>hy-AM</w:t>
            </w:r>
          </w:p>
        </w:tc>
      </w:tr>
      <w:tr w:rsidR="00024C0A" w:rsidTr="00024C0A">
        <w:tc>
          <w:tcPr>
            <w:tcW w:w="0" w:type="auto"/>
            <w:vAlign w:val="center"/>
          </w:tcPr>
          <w:p w:rsidR="00024C0A" w:rsidRDefault="00694C0F">
            <w:pPr>
              <w:pStyle w:val="TableBodyText"/>
            </w:pPr>
            <w:r>
              <w:t>Assamese</w:t>
            </w:r>
          </w:p>
        </w:tc>
        <w:tc>
          <w:tcPr>
            <w:tcW w:w="0" w:type="auto"/>
            <w:vAlign w:val="center"/>
          </w:tcPr>
          <w:p w:rsidR="00024C0A" w:rsidRDefault="00694C0F">
            <w:pPr>
              <w:pStyle w:val="TableBodyText"/>
            </w:pPr>
            <w:r>
              <w:t>India</w:t>
            </w:r>
          </w:p>
        </w:tc>
        <w:tc>
          <w:tcPr>
            <w:tcW w:w="0" w:type="auto"/>
            <w:vAlign w:val="center"/>
          </w:tcPr>
          <w:p w:rsidR="00024C0A" w:rsidRDefault="00694C0F">
            <w:pPr>
              <w:pStyle w:val="TableBodyText"/>
            </w:pPr>
            <w:r>
              <w:t>as-IN</w:t>
            </w:r>
          </w:p>
        </w:tc>
      </w:tr>
      <w:tr w:rsidR="00024C0A" w:rsidTr="00024C0A">
        <w:tc>
          <w:tcPr>
            <w:tcW w:w="0" w:type="auto"/>
            <w:vAlign w:val="center"/>
          </w:tcPr>
          <w:p w:rsidR="00024C0A" w:rsidRDefault="00694C0F">
            <w:pPr>
              <w:pStyle w:val="TableBodyText"/>
            </w:pPr>
            <w:r>
              <w:t>Azerbaijani (Cyrillic)</w:t>
            </w:r>
          </w:p>
        </w:tc>
        <w:tc>
          <w:tcPr>
            <w:tcW w:w="0" w:type="auto"/>
            <w:vAlign w:val="center"/>
          </w:tcPr>
          <w:p w:rsidR="00024C0A" w:rsidRDefault="00694C0F">
            <w:pPr>
              <w:pStyle w:val="TableBodyText"/>
            </w:pPr>
            <w:r>
              <w:t>Azerbaijan</w:t>
            </w:r>
          </w:p>
        </w:tc>
        <w:tc>
          <w:tcPr>
            <w:tcW w:w="0" w:type="auto"/>
            <w:vAlign w:val="center"/>
          </w:tcPr>
          <w:p w:rsidR="00024C0A" w:rsidRDefault="00694C0F">
            <w:pPr>
              <w:pStyle w:val="TableBodyText"/>
            </w:pPr>
            <w:r>
              <w:t>az-AZ-Cyrl</w:t>
            </w:r>
          </w:p>
        </w:tc>
      </w:tr>
      <w:tr w:rsidR="00024C0A" w:rsidTr="00024C0A">
        <w:tc>
          <w:tcPr>
            <w:tcW w:w="0" w:type="auto"/>
            <w:vAlign w:val="center"/>
          </w:tcPr>
          <w:p w:rsidR="00024C0A" w:rsidRDefault="00694C0F">
            <w:pPr>
              <w:pStyle w:val="TableBodyText"/>
            </w:pPr>
            <w:r>
              <w:t>Azerbaijani (Latin)</w:t>
            </w:r>
          </w:p>
        </w:tc>
        <w:tc>
          <w:tcPr>
            <w:tcW w:w="0" w:type="auto"/>
            <w:vAlign w:val="center"/>
          </w:tcPr>
          <w:p w:rsidR="00024C0A" w:rsidRDefault="00694C0F">
            <w:pPr>
              <w:pStyle w:val="TableBodyText"/>
            </w:pPr>
            <w:r>
              <w:t>Azerbaijan</w:t>
            </w:r>
          </w:p>
        </w:tc>
        <w:tc>
          <w:tcPr>
            <w:tcW w:w="0" w:type="auto"/>
            <w:vAlign w:val="center"/>
          </w:tcPr>
          <w:p w:rsidR="00024C0A" w:rsidRDefault="00694C0F">
            <w:pPr>
              <w:pStyle w:val="TableBodyText"/>
            </w:pPr>
            <w:r>
              <w:t>az-AZ-Latn</w:t>
            </w:r>
          </w:p>
        </w:tc>
      </w:tr>
      <w:tr w:rsidR="00024C0A" w:rsidTr="00024C0A">
        <w:tc>
          <w:tcPr>
            <w:tcW w:w="0" w:type="auto"/>
            <w:vAlign w:val="center"/>
          </w:tcPr>
          <w:p w:rsidR="00024C0A" w:rsidRDefault="00694C0F">
            <w:pPr>
              <w:pStyle w:val="TableBodyText"/>
            </w:pPr>
            <w:r>
              <w:t>Bangla</w:t>
            </w:r>
          </w:p>
        </w:tc>
        <w:tc>
          <w:tcPr>
            <w:tcW w:w="0" w:type="auto"/>
            <w:vAlign w:val="center"/>
          </w:tcPr>
          <w:p w:rsidR="00024C0A" w:rsidRDefault="00694C0F">
            <w:pPr>
              <w:pStyle w:val="TableBodyText"/>
            </w:pPr>
            <w:r>
              <w:t>Bangladesh</w:t>
            </w:r>
          </w:p>
        </w:tc>
        <w:tc>
          <w:tcPr>
            <w:tcW w:w="0" w:type="auto"/>
            <w:vAlign w:val="center"/>
          </w:tcPr>
          <w:p w:rsidR="00024C0A" w:rsidRDefault="00694C0F">
            <w:pPr>
              <w:pStyle w:val="TableBodyText"/>
            </w:pPr>
            <w:r>
              <w:t xml:space="preserve">bn-BD </w:t>
            </w:r>
          </w:p>
        </w:tc>
      </w:tr>
      <w:tr w:rsidR="00024C0A" w:rsidTr="00024C0A">
        <w:tc>
          <w:tcPr>
            <w:tcW w:w="0" w:type="auto"/>
            <w:vAlign w:val="center"/>
          </w:tcPr>
          <w:p w:rsidR="00024C0A" w:rsidRDefault="00694C0F">
            <w:pPr>
              <w:pStyle w:val="TableBodyText"/>
            </w:pPr>
            <w:r>
              <w:t xml:space="preserve">Bangla (Bangla Script) </w:t>
            </w:r>
          </w:p>
        </w:tc>
        <w:tc>
          <w:tcPr>
            <w:tcW w:w="0" w:type="auto"/>
            <w:vAlign w:val="center"/>
          </w:tcPr>
          <w:p w:rsidR="00024C0A" w:rsidRDefault="00694C0F">
            <w:pPr>
              <w:pStyle w:val="TableBodyText"/>
            </w:pPr>
            <w:r>
              <w:t>India</w:t>
            </w:r>
          </w:p>
        </w:tc>
        <w:tc>
          <w:tcPr>
            <w:tcW w:w="0" w:type="auto"/>
            <w:vAlign w:val="center"/>
          </w:tcPr>
          <w:p w:rsidR="00024C0A" w:rsidRDefault="00694C0F">
            <w:pPr>
              <w:pStyle w:val="TableBodyText"/>
            </w:pPr>
            <w:r>
              <w:t>bn-IN</w:t>
            </w:r>
          </w:p>
        </w:tc>
      </w:tr>
      <w:tr w:rsidR="00024C0A" w:rsidTr="00024C0A">
        <w:tc>
          <w:tcPr>
            <w:tcW w:w="0" w:type="auto"/>
            <w:vAlign w:val="center"/>
          </w:tcPr>
          <w:p w:rsidR="00024C0A" w:rsidRDefault="00694C0F">
            <w:pPr>
              <w:pStyle w:val="TableBodyText"/>
            </w:pPr>
            <w:r>
              <w:t>Bashkir</w:t>
            </w:r>
          </w:p>
        </w:tc>
        <w:tc>
          <w:tcPr>
            <w:tcW w:w="0" w:type="auto"/>
            <w:vAlign w:val="center"/>
          </w:tcPr>
          <w:p w:rsidR="00024C0A" w:rsidRDefault="00694C0F">
            <w:pPr>
              <w:pStyle w:val="TableBodyText"/>
            </w:pPr>
            <w:r>
              <w:t>Russia</w:t>
            </w:r>
          </w:p>
        </w:tc>
        <w:tc>
          <w:tcPr>
            <w:tcW w:w="0" w:type="auto"/>
            <w:vAlign w:val="center"/>
          </w:tcPr>
          <w:p w:rsidR="00024C0A" w:rsidRDefault="00694C0F">
            <w:pPr>
              <w:pStyle w:val="TableBodyText"/>
            </w:pPr>
            <w:r>
              <w:t>ba-RU</w:t>
            </w:r>
          </w:p>
        </w:tc>
      </w:tr>
      <w:tr w:rsidR="00024C0A" w:rsidTr="00024C0A">
        <w:tc>
          <w:tcPr>
            <w:tcW w:w="0" w:type="auto"/>
            <w:vAlign w:val="center"/>
          </w:tcPr>
          <w:p w:rsidR="00024C0A" w:rsidRDefault="00694C0F">
            <w:pPr>
              <w:pStyle w:val="TableBodyText"/>
            </w:pPr>
            <w:r>
              <w:t>Basque</w:t>
            </w:r>
          </w:p>
        </w:tc>
        <w:tc>
          <w:tcPr>
            <w:tcW w:w="0" w:type="auto"/>
            <w:vAlign w:val="center"/>
          </w:tcPr>
          <w:p w:rsidR="00024C0A" w:rsidRDefault="00694C0F">
            <w:pPr>
              <w:pStyle w:val="TableBodyText"/>
            </w:pPr>
            <w:r>
              <w:t>Basque</w:t>
            </w:r>
          </w:p>
        </w:tc>
        <w:tc>
          <w:tcPr>
            <w:tcW w:w="0" w:type="auto"/>
            <w:vAlign w:val="center"/>
          </w:tcPr>
          <w:p w:rsidR="00024C0A" w:rsidRDefault="00694C0F">
            <w:pPr>
              <w:pStyle w:val="TableBodyText"/>
            </w:pPr>
            <w:r>
              <w:t>eu-ES</w:t>
            </w:r>
          </w:p>
        </w:tc>
      </w:tr>
      <w:tr w:rsidR="00024C0A" w:rsidTr="00024C0A">
        <w:tc>
          <w:tcPr>
            <w:tcW w:w="0" w:type="auto"/>
            <w:vAlign w:val="center"/>
          </w:tcPr>
          <w:p w:rsidR="00024C0A" w:rsidRDefault="00694C0F">
            <w:pPr>
              <w:pStyle w:val="TableBodyText"/>
            </w:pPr>
            <w:r>
              <w:t>Belarusian</w:t>
            </w:r>
          </w:p>
        </w:tc>
        <w:tc>
          <w:tcPr>
            <w:tcW w:w="0" w:type="auto"/>
            <w:vAlign w:val="center"/>
          </w:tcPr>
          <w:p w:rsidR="00024C0A" w:rsidRDefault="00694C0F">
            <w:pPr>
              <w:pStyle w:val="TableBodyText"/>
            </w:pPr>
            <w:r>
              <w:t>Belarus</w:t>
            </w:r>
          </w:p>
        </w:tc>
        <w:tc>
          <w:tcPr>
            <w:tcW w:w="0" w:type="auto"/>
            <w:vAlign w:val="center"/>
          </w:tcPr>
          <w:p w:rsidR="00024C0A" w:rsidRDefault="00694C0F">
            <w:pPr>
              <w:pStyle w:val="TableBodyText"/>
            </w:pPr>
            <w:r>
              <w:t>be-BY</w:t>
            </w:r>
          </w:p>
        </w:tc>
      </w:tr>
      <w:tr w:rsidR="00024C0A" w:rsidTr="00024C0A">
        <w:tc>
          <w:tcPr>
            <w:tcW w:w="0" w:type="auto"/>
            <w:vAlign w:val="center"/>
          </w:tcPr>
          <w:p w:rsidR="00024C0A" w:rsidRDefault="00694C0F">
            <w:pPr>
              <w:pStyle w:val="TableBodyText"/>
            </w:pPr>
            <w:r>
              <w:t>Bosnian (Cyrillic)</w:t>
            </w:r>
          </w:p>
        </w:tc>
        <w:tc>
          <w:tcPr>
            <w:tcW w:w="0" w:type="auto"/>
            <w:vAlign w:val="center"/>
          </w:tcPr>
          <w:p w:rsidR="00024C0A" w:rsidRDefault="00694C0F">
            <w:pPr>
              <w:pStyle w:val="TableBodyText"/>
            </w:pPr>
            <w:r>
              <w:t>Bosnia and Herzegovina</w:t>
            </w:r>
          </w:p>
        </w:tc>
        <w:tc>
          <w:tcPr>
            <w:tcW w:w="0" w:type="auto"/>
            <w:vAlign w:val="center"/>
          </w:tcPr>
          <w:p w:rsidR="00024C0A" w:rsidRDefault="00694C0F">
            <w:pPr>
              <w:pStyle w:val="TableBodyText"/>
            </w:pPr>
            <w:r>
              <w:t>bs-BA-Cyrl</w:t>
            </w:r>
          </w:p>
        </w:tc>
      </w:tr>
      <w:tr w:rsidR="00024C0A" w:rsidTr="00024C0A">
        <w:tc>
          <w:tcPr>
            <w:tcW w:w="0" w:type="auto"/>
            <w:vAlign w:val="center"/>
          </w:tcPr>
          <w:p w:rsidR="00024C0A" w:rsidRDefault="00694C0F">
            <w:pPr>
              <w:pStyle w:val="TableBodyText"/>
            </w:pPr>
            <w:r>
              <w:t>Bosnian (Latin)</w:t>
            </w:r>
          </w:p>
        </w:tc>
        <w:tc>
          <w:tcPr>
            <w:tcW w:w="0" w:type="auto"/>
            <w:vAlign w:val="center"/>
          </w:tcPr>
          <w:p w:rsidR="00024C0A" w:rsidRDefault="00694C0F">
            <w:pPr>
              <w:pStyle w:val="TableBodyText"/>
            </w:pPr>
            <w:r>
              <w:t>Bosnia and Herzegovina</w:t>
            </w:r>
          </w:p>
        </w:tc>
        <w:tc>
          <w:tcPr>
            <w:tcW w:w="0" w:type="auto"/>
            <w:vAlign w:val="center"/>
          </w:tcPr>
          <w:p w:rsidR="00024C0A" w:rsidRDefault="00694C0F">
            <w:pPr>
              <w:pStyle w:val="TableBodyText"/>
            </w:pPr>
            <w:r>
              <w:t>bs-BA-Latn</w:t>
            </w:r>
          </w:p>
        </w:tc>
      </w:tr>
      <w:tr w:rsidR="00024C0A" w:rsidTr="00024C0A">
        <w:tc>
          <w:tcPr>
            <w:tcW w:w="0" w:type="auto"/>
            <w:vAlign w:val="center"/>
          </w:tcPr>
          <w:p w:rsidR="00024C0A" w:rsidRDefault="00694C0F">
            <w:pPr>
              <w:pStyle w:val="TableBodyText"/>
            </w:pPr>
            <w:r>
              <w:t>Breton</w:t>
            </w:r>
          </w:p>
        </w:tc>
        <w:tc>
          <w:tcPr>
            <w:tcW w:w="0" w:type="auto"/>
            <w:vAlign w:val="center"/>
          </w:tcPr>
          <w:p w:rsidR="00024C0A" w:rsidRDefault="00694C0F">
            <w:pPr>
              <w:pStyle w:val="TableBodyText"/>
            </w:pPr>
            <w:r>
              <w:t>France</w:t>
            </w:r>
          </w:p>
        </w:tc>
        <w:tc>
          <w:tcPr>
            <w:tcW w:w="0" w:type="auto"/>
            <w:vAlign w:val="center"/>
          </w:tcPr>
          <w:p w:rsidR="00024C0A" w:rsidRDefault="00694C0F">
            <w:pPr>
              <w:pStyle w:val="TableBodyText"/>
            </w:pPr>
            <w:r>
              <w:t>br-FR</w:t>
            </w:r>
          </w:p>
        </w:tc>
      </w:tr>
      <w:tr w:rsidR="00024C0A" w:rsidTr="00024C0A">
        <w:tc>
          <w:tcPr>
            <w:tcW w:w="0" w:type="auto"/>
            <w:vAlign w:val="center"/>
          </w:tcPr>
          <w:p w:rsidR="00024C0A" w:rsidRDefault="00694C0F">
            <w:pPr>
              <w:pStyle w:val="TableBodyText"/>
            </w:pPr>
            <w:r>
              <w:lastRenderedPageBreak/>
              <w:t>Bulgarian</w:t>
            </w:r>
          </w:p>
        </w:tc>
        <w:tc>
          <w:tcPr>
            <w:tcW w:w="0" w:type="auto"/>
            <w:vAlign w:val="center"/>
          </w:tcPr>
          <w:p w:rsidR="00024C0A" w:rsidRDefault="00694C0F">
            <w:pPr>
              <w:pStyle w:val="TableBodyText"/>
            </w:pPr>
            <w:r>
              <w:t>Bulgaria</w:t>
            </w:r>
          </w:p>
        </w:tc>
        <w:tc>
          <w:tcPr>
            <w:tcW w:w="0" w:type="auto"/>
            <w:vAlign w:val="center"/>
          </w:tcPr>
          <w:p w:rsidR="00024C0A" w:rsidRDefault="00694C0F">
            <w:pPr>
              <w:pStyle w:val="TableBodyText"/>
            </w:pPr>
            <w:r>
              <w:t>bg-BG</w:t>
            </w:r>
          </w:p>
        </w:tc>
      </w:tr>
      <w:tr w:rsidR="00024C0A" w:rsidTr="00024C0A">
        <w:tc>
          <w:tcPr>
            <w:tcW w:w="0" w:type="auto"/>
            <w:vAlign w:val="center"/>
          </w:tcPr>
          <w:p w:rsidR="00024C0A" w:rsidRDefault="00694C0F">
            <w:pPr>
              <w:pStyle w:val="TableBodyText"/>
            </w:pPr>
            <w:r>
              <w:t>Catalan</w:t>
            </w:r>
          </w:p>
        </w:tc>
        <w:tc>
          <w:tcPr>
            <w:tcW w:w="0" w:type="auto"/>
            <w:vAlign w:val="center"/>
          </w:tcPr>
          <w:p w:rsidR="00024C0A" w:rsidRDefault="00694C0F">
            <w:pPr>
              <w:pStyle w:val="TableBodyText"/>
            </w:pPr>
            <w:r>
              <w:t>Catalan</w:t>
            </w:r>
          </w:p>
        </w:tc>
        <w:tc>
          <w:tcPr>
            <w:tcW w:w="0" w:type="auto"/>
            <w:vAlign w:val="center"/>
          </w:tcPr>
          <w:p w:rsidR="00024C0A" w:rsidRDefault="00694C0F">
            <w:pPr>
              <w:pStyle w:val="TableBodyText"/>
            </w:pPr>
            <w:r>
              <w:t>ca-ES</w:t>
            </w:r>
          </w:p>
        </w:tc>
      </w:tr>
      <w:tr w:rsidR="00024C0A" w:rsidTr="00024C0A">
        <w:tc>
          <w:tcPr>
            <w:tcW w:w="0" w:type="auto"/>
            <w:vAlign w:val="center"/>
          </w:tcPr>
          <w:p w:rsidR="00024C0A" w:rsidRDefault="00694C0F">
            <w:pPr>
              <w:pStyle w:val="TableBodyText"/>
            </w:pPr>
            <w:r>
              <w:t>Chinese</w:t>
            </w:r>
          </w:p>
        </w:tc>
        <w:tc>
          <w:tcPr>
            <w:tcW w:w="0" w:type="auto"/>
            <w:vAlign w:val="center"/>
          </w:tcPr>
          <w:p w:rsidR="00024C0A" w:rsidRDefault="00694C0F">
            <w:pPr>
              <w:pStyle w:val="TableBodyText"/>
            </w:pPr>
            <w:r>
              <w:t>Hong Kong SAR</w:t>
            </w:r>
          </w:p>
        </w:tc>
        <w:tc>
          <w:tcPr>
            <w:tcW w:w="0" w:type="auto"/>
            <w:vAlign w:val="center"/>
          </w:tcPr>
          <w:p w:rsidR="00024C0A" w:rsidRDefault="00694C0F">
            <w:pPr>
              <w:pStyle w:val="TableBodyText"/>
            </w:pPr>
            <w:r>
              <w:t>zh-HK</w:t>
            </w:r>
          </w:p>
        </w:tc>
      </w:tr>
      <w:tr w:rsidR="00024C0A" w:rsidTr="00024C0A">
        <w:tc>
          <w:tcPr>
            <w:tcW w:w="0" w:type="auto"/>
            <w:vAlign w:val="center"/>
          </w:tcPr>
          <w:p w:rsidR="00024C0A" w:rsidRDefault="00694C0F">
            <w:pPr>
              <w:pStyle w:val="TableBodyText"/>
            </w:pPr>
            <w:r>
              <w:t>Chinese</w:t>
            </w:r>
          </w:p>
        </w:tc>
        <w:tc>
          <w:tcPr>
            <w:tcW w:w="0" w:type="auto"/>
            <w:vAlign w:val="center"/>
          </w:tcPr>
          <w:p w:rsidR="00024C0A" w:rsidRDefault="00694C0F">
            <w:pPr>
              <w:pStyle w:val="TableBodyText"/>
            </w:pPr>
            <w:r>
              <w:t>Macao SAR</w:t>
            </w:r>
          </w:p>
        </w:tc>
        <w:tc>
          <w:tcPr>
            <w:tcW w:w="0" w:type="auto"/>
            <w:vAlign w:val="center"/>
          </w:tcPr>
          <w:p w:rsidR="00024C0A" w:rsidRDefault="00694C0F">
            <w:pPr>
              <w:pStyle w:val="TableBodyText"/>
            </w:pPr>
            <w:r>
              <w:t>zh-MO</w:t>
            </w:r>
          </w:p>
        </w:tc>
      </w:tr>
      <w:tr w:rsidR="00024C0A" w:rsidTr="00024C0A">
        <w:tc>
          <w:tcPr>
            <w:tcW w:w="0" w:type="auto"/>
            <w:vAlign w:val="center"/>
          </w:tcPr>
          <w:p w:rsidR="00024C0A" w:rsidRDefault="00694C0F">
            <w:pPr>
              <w:pStyle w:val="TableBodyText"/>
            </w:pPr>
            <w:r>
              <w:t>Chinese</w:t>
            </w:r>
          </w:p>
        </w:tc>
        <w:tc>
          <w:tcPr>
            <w:tcW w:w="0" w:type="auto"/>
            <w:vAlign w:val="center"/>
          </w:tcPr>
          <w:p w:rsidR="00024C0A" w:rsidRDefault="00694C0F">
            <w:pPr>
              <w:pStyle w:val="TableBodyText"/>
            </w:pPr>
            <w:r>
              <w:t>PRC</w:t>
            </w:r>
          </w:p>
        </w:tc>
        <w:tc>
          <w:tcPr>
            <w:tcW w:w="0" w:type="auto"/>
            <w:vAlign w:val="center"/>
          </w:tcPr>
          <w:p w:rsidR="00024C0A" w:rsidRDefault="00694C0F">
            <w:pPr>
              <w:pStyle w:val="TableBodyText"/>
            </w:pPr>
            <w:r>
              <w:t>zh-CN</w:t>
            </w:r>
          </w:p>
        </w:tc>
      </w:tr>
      <w:tr w:rsidR="00024C0A" w:rsidTr="00024C0A">
        <w:tc>
          <w:tcPr>
            <w:tcW w:w="0" w:type="auto"/>
            <w:vAlign w:val="center"/>
          </w:tcPr>
          <w:p w:rsidR="00024C0A" w:rsidRDefault="00694C0F">
            <w:pPr>
              <w:pStyle w:val="TableBodyText"/>
            </w:pPr>
            <w:r>
              <w:t>Chinese</w:t>
            </w:r>
          </w:p>
        </w:tc>
        <w:tc>
          <w:tcPr>
            <w:tcW w:w="0" w:type="auto"/>
            <w:vAlign w:val="center"/>
          </w:tcPr>
          <w:p w:rsidR="00024C0A" w:rsidRDefault="00694C0F">
            <w:pPr>
              <w:pStyle w:val="TableBodyText"/>
            </w:pPr>
            <w:r>
              <w:t>Singapore</w:t>
            </w:r>
          </w:p>
        </w:tc>
        <w:tc>
          <w:tcPr>
            <w:tcW w:w="0" w:type="auto"/>
            <w:vAlign w:val="center"/>
          </w:tcPr>
          <w:p w:rsidR="00024C0A" w:rsidRDefault="00694C0F">
            <w:pPr>
              <w:pStyle w:val="TableBodyText"/>
            </w:pPr>
            <w:r>
              <w:t>zh-SG</w:t>
            </w:r>
          </w:p>
        </w:tc>
      </w:tr>
      <w:tr w:rsidR="00024C0A" w:rsidTr="00024C0A">
        <w:tc>
          <w:tcPr>
            <w:tcW w:w="0" w:type="auto"/>
            <w:vAlign w:val="center"/>
          </w:tcPr>
          <w:p w:rsidR="00024C0A" w:rsidRDefault="00694C0F">
            <w:pPr>
              <w:pStyle w:val="TableBodyText"/>
            </w:pPr>
            <w:r>
              <w:t>Chinese</w:t>
            </w:r>
          </w:p>
        </w:tc>
        <w:tc>
          <w:tcPr>
            <w:tcW w:w="0" w:type="auto"/>
            <w:vAlign w:val="center"/>
          </w:tcPr>
          <w:p w:rsidR="00024C0A" w:rsidRDefault="00694C0F">
            <w:pPr>
              <w:pStyle w:val="TableBodyText"/>
            </w:pPr>
            <w:r>
              <w:t>Taiwan</w:t>
            </w:r>
          </w:p>
        </w:tc>
        <w:tc>
          <w:tcPr>
            <w:tcW w:w="0" w:type="auto"/>
            <w:vAlign w:val="center"/>
          </w:tcPr>
          <w:p w:rsidR="00024C0A" w:rsidRDefault="00694C0F">
            <w:pPr>
              <w:pStyle w:val="TableBodyText"/>
            </w:pPr>
            <w:r>
              <w:t>zh-TW</w:t>
            </w:r>
          </w:p>
        </w:tc>
      </w:tr>
      <w:tr w:rsidR="00024C0A" w:rsidTr="00024C0A">
        <w:tc>
          <w:tcPr>
            <w:tcW w:w="0" w:type="auto"/>
            <w:vAlign w:val="center"/>
          </w:tcPr>
          <w:p w:rsidR="00024C0A" w:rsidRDefault="00694C0F">
            <w:pPr>
              <w:pStyle w:val="TableBodyText"/>
            </w:pPr>
            <w:r>
              <w:t>Corsican</w:t>
            </w:r>
          </w:p>
        </w:tc>
        <w:tc>
          <w:tcPr>
            <w:tcW w:w="0" w:type="auto"/>
            <w:vAlign w:val="center"/>
          </w:tcPr>
          <w:p w:rsidR="00024C0A" w:rsidRDefault="00694C0F">
            <w:pPr>
              <w:pStyle w:val="TableBodyText"/>
            </w:pPr>
            <w:r>
              <w:t>France</w:t>
            </w:r>
          </w:p>
        </w:tc>
        <w:tc>
          <w:tcPr>
            <w:tcW w:w="0" w:type="auto"/>
            <w:vAlign w:val="center"/>
          </w:tcPr>
          <w:p w:rsidR="00024C0A" w:rsidRDefault="00694C0F">
            <w:pPr>
              <w:pStyle w:val="TableBodyText"/>
            </w:pPr>
            <w:r>
              <w:t>co-FR</w:t>
            </w:r>
          </w:p>
        </w:tc>
      </w:tr>
      <w:tr w:rsidR="00024C0A" w:rsidTr="00024C0A">
        <w:tc>
          <w:tcPr>
            <w:tcW w:w="0" w:type="auto"/>
            <w:vAlign w:val="center"/>
          </w:tcPr>
          <w:p w:rsidR="00024C0A" w:rsidRDefault="00694C0F">
            <w:pPr>
              <w:pStyle w:val="TableBodyText"/>
            </w:pPr>
            <w:r>
              <w:t>Croatian</w:t>
            </w:r>
          </w:p>
        </w:tc>
        <w:tc>
          <w:tcPr>
            <w:tcW w:w="0" w:type="auto"/>
            <w:vAlign w:val="center"/>
          </w:tcPr>
          <w:p w:rsidR="00024C0A" w:rsidRDefault="00694C0F">
            <w:pPr>
              <w:pStyle w:val="TableBodyText"/>
            </w:pPr>
            <w:r>
              <w:t>Croatia</w:t>
            </w:r>
          </w:p>
        </w:tc>
        <w:tc>
          <w:tcPr>
            <w:tcW w:w="0" w:type="auto"/>
            <w:vAlign w:val="center"/>
          </w:tcPr>
          <w:p w:rsidR="00024C0A" w:rsidRDefault="00694C0F">
            <w:pPr>
              <w:pStyle w:val="TableBodyText"/>
            </w:pPr>
            <w:r>
              <w:t>hr-HR</w:t>
            </w:r>
          </w:p>
        </w:tc>
      </w:tr>
      <w:tr w:rsidR="00024C0A" w:rsidTr="00024C0A">
        <w:tc>
          <w:tcPr>
            <w:tcW w:w="0" w:type="auto"/>
            <w:vAlign w:val="center"/>
          </w:tcPr>
          <w:p w:rsidR="00024C0A" w:rsidRDefault="00694C0F">
            <w:pPr>
              <w:pStyle w:val="TableBodyText"/>
            </w:pPr>
            <w:r>
              <w:t>Croatian (Latin)</w:t>
            </w:r>
          </w:p>
        </w:tc>
        <w:tc>
          <w:tcPr>
            <w:tcW w:w="0" w:type="auto"/>
            <w:vAlign w:val="center"/>
          </w:tcPr>
          <w:p w:rsidR="00024C0A" w:rsidRDefault="00694C0F">
            <w:pPr>
              <w:pStyle w:val="TableBodyText"/>
            </w:pPr>
            <w:r>
              <w:t xml:space="preserve">Bosnia </w:t>
            </w:r>
            <w:r>
              <w:t>and Herzegovina</w:t>
            </w:r>
          </w:p>
        </w:tc>
        <w:tc>
          <w:tcPr>
            <w:tcW w:w="0" w:type="auto"/>
            <w:vAlign w:val="center"/>
          </w:tcPr>
          <w:p w:rsidR="00024C0A" w:rsidRDefault="00694C0F">
            <w:pPr>
              <w:pStyle w:val="TableBodyText"/>
            </w:pPr>
            <w:r>
              <w:t>hr-BA-Latn</w:t>
            </w:r>
          </w:p>
        </w:tc>
      </w:tr>
      <w:tr w:rsidR="00024C0A" w:rsidTr="00024C0A">
        <w:tc>
          <w:tcPr>
            <w:tcW w:w="0" w:type="auto"/>
            <w:vAlign w:val="center"/>
          </w:tcPr>
          <w:p w:rsidR="00024C0A" w:rsidRDefault="00694C0F">
            <w:pPr>
              <w:pStyle w:val="TableBodyText"/>
            </w:pPr>
            <w:r>
              <w:t>Czech</w:t>
            </w:r>
          </w:p>
        </w:tc>
        <w:tc>
          <w:tcPr>
            <w:tcW w:w="0" w:type="auto"/>
            <w:vAlign w:val="center"/>
          </w:tcPr>
          <w:p w:rsidR="00024C0A" w:rsidRDefault="00694C0F">
            <w:pPr>
              <w:pStyle w:val="TableBodyText"/>
            </w:pPr>
            <w:r>
              <w:t>Czech Republic</w:t>
            </w:r>
          </w:p>
        </w:tc>
        <w:tc>
          <w:tcPr>
            <w:tcW w:w="0" w:type="auto"/>
            <w:vAlign w:val="center"/>
          </w:tcPr>
          <w:p w:rsidR="00024C0A" w:rsidRDefault="00694C0F">
            <w:pPr>
              <w:pStyle w:val="TableBodyText"/>
            </w:pPr>
            <w:r>
              <w:t>cs-CZ</w:t>
            </w:r>
          </w:p>
        </w:tc>
      </w:tr>
      <w:tr w:rsidR="00024C0A" w:rsidTr="00024C0A">
        <w:tc>
          <w:tcPr>
            <w:tcW w:w="0" w:type="auto"/>
            <w:vAlign w:val="center"/>
          </w:tcPr>
          <w:p w:rsidR="00024C0A" w:rsidRDefault="00694C0F">
            <w:pPr>
              <w:pStyle w:val="TableBodyText"/>
            </w:pPr>
            <w:r>
              <w:t>Danish</w:t>
            </w:r>
          </w:p>
        </w:tc>
        <w:tc>
          <w:tcPr>
            <w:tcW w:w="0" w:type="auto"/>
            <w:vAlign w:val="center"/>
          </w:tcPr>
          <w:p w:rsidR="00024C0A" w:rsidRDefault="00694C0F">
            <w:pPr>
              <w:pStyle w:val="TableBodyText"/>
            </w:pPr>
            <w:r>
              <w:t>Denmark</w:t>
            </w:r>
          </w:p>
        </w:tc>
        <w:tc>
          <w:tcPr>
            <w:tcW w:w="0" w:type="auto"/>
            <w:vAlign w:val="center"/>
          </w:tcPr>
          <w:p w:rsidR="00024C0A" w:rsidRDefault="00694C0F">
            <w:pPr>
              <w:pStyle w:val="TableBodyText"/>
            </w:pPr>
            <w:r>
              <w:t>da-DK</w:t>
            </w:r>
          </w:p>
        </w:tc>
      </w:tr>
      <w:tr w:rsidR="00024C0A" w:rsidTr="00024C0A">
        <w:tc>
          <w:tcPr>
            <w:tcW w:w="0" w:type="auto"/>
            <w:vAlign w:val="center"/>
          </w:tcPr>
          <w:p w:rsidR="00024C0A" w:rsidRDefault="00694C0F">
            <w:pPr>
              <w:pStyle w:val="TableBodyText"/>
            </w:pPr>
            <w:r>
              <w:t>Dari</w:t>
            </w:r>
          </w:p>
        </w:tc>
        <w:tc>
          <w:tcPr>
            <w:tcW w:w="0" w:type="auto"/>
            <w:vAlign w:val="center"/>
          </w:tcPr>
          <w:p w:rsidR="00024C0A" w:rsidRDefault="00694C0F">
            <w:pPr>
              <w:pStyle w:val="TableBodyText"/>
            </w:pPr>
            <w:r>
              <w:t>Afghanistan</w:t>
            </w:r>
          </w:p>
        </w:tc>
        <w:tc>
          <w:tcPr>
            <w:tcW w:w="0" w:type="auto"/>
            <w:vAlign w:val="center"/>
          </w:tcPr>
          <w:p w:rsidR="00024C0A" w:rsidRDefault="00694C0F">
            <w:pPr>
              <w:pStyle w:val="TableBodyText"/>
            </w:pPr>
            <w:r>
              <w:t>prs-AF</w:t>
            </w:r>
          </w:p>
        </w:tc>
      </w:tr>
      <w:tr w:rsidR="00024C0A" w:rsidTr="00024C0A">
        <w:tc>
          <w:tcPr>
            <w:tcW w:w="0" w:type="auto"/>
            <w:vAlign w:val="center"/>
          </w:tcPr>
          <w:p w:rsidR="00024C0A" w:rsidRDefault="00694C0F">
            <w:pPr>
              <w:pStyle w:val="TableBodyText"/>
            </w:pPr>
            <w:r>
              <w:t>Divehi</w:t>
            </w:r>
          </w:p>
        </w:tc>
        <w:tc>
          <w:tcPr>
            <w:tcW w:w="0" w:type="auto"/>
            <w:vAlign w:val="center"/>
          </w:tcPr>
          <w:p w:rsidR="00024C0A" w:rsidRDefault="00694C0F">
            <w:pPr>
              <w:pStyle w:val="TableBodyText"/>
            </w:pPr>
            <w:r>
              <w:t>Maldives</w:t>
            </w:r>
          </w:p>
        </w:tc>
        <w:tc>
          <w:tcPr>
            <w:tcW w:w="0" w:type="auto"/>
            <w:vAlign w:val="center"/>
          </w:tcPr>
          <w:p w:rsidR="00024C0A" w:rsidRDefault="00694C0F">
            <w:pPr>
              <w:pStyle w:val="TableBodyText"/>
            </w:pPr>
            <w:r>
              <w:t>div-MV</w:t>
            </w:r>
          </w:p>
        </w:tc>
      </w:tr>
      <w:tr w:rsidR="00024C0A" w:rsidTr="00024C0A">
        <w:tc>
          <w:tcPr>
            <w:tcW w:w="0" w:type="auto"/>
            <w:vAlign w:val="center"/>
          </w:tcPr>
          <w:p w:rsidR="00024C0A" w:rsidRDefault="00694C0F">
            <w:pPr>
              <w:pStyle w:val="TableBodyText"/>
            </w:pPr>
            <w:r>
              <w:t>Dutch</w:t>
            </w:r>
          </w:p>
        </w:tc>
        <w:tc>
          <w:tcPr>
            <w:tcW w:w="0" w:type="auto"/>
            <w:vAlign w:val="center"/>
          </w:tcPr>
          <w:p w:rsidR="00024C0A" w:rsidRDefault="00694C0F">
            <w:pPr>
              <w:pStyle w:val="TableBodyText"/>
            </w:pPr>
            <w:r>
              <w:t>Belgium</w:t>
            </w:r>
          </w:p>
        </w:tc>
        <w:tc>
          <w:tcPr>
            <w:tcW w:w="0" w:type="auto"/>
            <w:vAlign w:val="center"/>
          </w:tcPr>
          <w:p w:rsidR="00024C0A" w:rsidRDefault="00694C0F">
            <w:pPr>
              <w:pStyle w:val="TableBodyText"/>
            </w:pPr>
            <w:r>
              <w:t>nl-BE</w:t>
            </w:r>
          </w:p>
        </w:tc>
      </w:tr>
      <w:tr w:rsidR="00024C0A" w:rsidTr="00024C0A">
        <w:tc>
          <w:tcPr>
            <w:tcW w:w="0" w:type="auto"/>
            <w:vAlign w:val="center"/>
          </w:tcPr>
          <w:p w:rsidR="00024C0A" w:rsidRDefault="00694C0F">
            <w:pPr>
              <w:pStyle w:val="TableBodyText"/>
            </w:pPr>
            <w:r>
              <w:t>Dutch</w:t>
            </w:r>
          </w:p>
        </w:tc>
        <w:tc>
          <w:tcPr>
            <w:tcW w:w="0" w:type="auto"/>
            <w:vAlign w:val="center"/>
          </w:tcPr>
          <w:p w:rsidR="00024C0A" w:rsidRDefault="00694C0F">
            <w:pPr>
              <w:pStyle w:val="TableBodyText"/>
            </w:pPr>
            <w:r>
              <w:t>Netherlands</w:t>
            </w:r>
          </w:p>
        </w:tc>
        <w:tc>
          <w:tcPr>
            <w:tcW w:w="0" w:type="auto"/>
            <w:vAlign w:val="center"/>
          </w:tcPr>
          <w:p w:rsidR="00024C0A" w:rsidRDefault="00694C0F">
            <w:pPr>
              <w:pStyle w:val="TableBodyText"/>
            </w:pPr>
            <w:r>
              <w:t>nl-NL</w:t>
            </w:r>
          </w:p>
        </w:tc>
      </w:tr>
      <w:tr w:rsidR="00024C0A" w:rsidTr="00024C0A">
        <w:tc>
          <w:tcPr>
            <w:tcW w:w="0" w:type="auto"/>
            <w:vAlign w:val="center"/>
          </w:tcPr>
          <w:p w:rsidR="00024C0A" w:rsidRDefault="00694C0F">
            <w:pPr>
              <w:pStyle w:val="TableBodyText"/>
            </w:pPr>
            <w:r>
              <w:t>English</w:t>
            </w:r>
          </w:p>
        </w:tc>
        <w:tc>
          <w:tcPr>
            <w:tcW w:w="0" w:type="auto"/>
            <w:vAlign w:val="center"/>
          </w:tcPr>
          <w:p w:rsidR="00024C0A" w:rsidRDefault="00694C0F">
            <w:pPr>
              <w:pStyle w:val="TableBodyText"/>
            </w:pPr>
            <w:r>
              <w:t>Australia</w:t>
            </w:r>
          </w:p>
        </w:tc>
        <w:tc>
          <w:tcPr>
            <w:tcW w:w="0" w:type="auto"/>
            <w:vAlign w:val="center"/>
          </w:tcPr>
          <w:p w:rsidR="00024C0A" w:rsidRDefault="00694C0F">
            <w:pPr>
              <w:pStyle w:val="TableBodyText"/>
            </w:pPr>
            <w:r>
              <w:t>en-AU</w:t>
            </w:r>
          </w:p>
        </w:tc>
      </w:tr>
      <w:tr w:rsidR="00024C0A" w:rsidTr="00024C0A">
        <w:tc>
          <w:tcPr>
            <w:tcW w:w="0" w:type="auto"/>
            <w:vAlign w:val="center"/>
          </w:tcPr>
          <w:p w:rsidR="00024C0A" w:rsidRDefault="00694C0F">
            <w:pPr>
              <w:pStyle w:val="TableBodyText"/>
            </w:pPr>
            <w:r>
              <w:t>English</w:t>
            </w:r>
          </w:p>
        </w:tc>
        <w:tc>
          <w:tcPr>
            <w:tcW w:w="0" w:type="auto"/>
            <w:vAlign w:val="center"/>
          </w:tcPr>
          <w:p w:rsidR="00024C0A" w:rsidRDefault="00694C0F">
            <w:pPr>
              <w:pStyle w:val="TableBodyText"/>
            </w:pPr>
            <w:r>
              <w:t>Belize</w:t>
            </w:r>
          </w:p>
        </w:tc>
        <w:tc>
          <w:tcPr>
            <w:tcW w:w="0" w:type="auto"/>
            <w:vAlign w:val="center"/>
          </w:tcPr>
          <w:p w:rsidR="00024C0A" w:rsidRDefault="00694C0F">
            <w:pPr>
              <w:pStyle w:val="TableBodyText"/>
            </w:pPr>
            <w:r>
              <w:t>en-BZ</w:t>
            </w:r>
          </w:p>
        </w:tc>
      </w:tr>
      <w:tr w:rsidR="00024C0A" w:rsidTr="00024C0A">
        <w:tc>
          <w:tcPr>
            <w:tcW w:w="0" w:type="auto"/>
            <w:vAlign w:val="center"/>
          </w:tcPr>
          <w:p w:rsidR="00024C0A" w:rsidRDefault="00694C0F">
            <w:pPr>
              <w:pStyle w:val="TableBodyText"/>
            </w:pPr>
            <w:r>
              <w:t>English</w:t>
            </w:r>
          </w:p>
        </w:tc>
        <w:tc>
          <w:tcPr>
            <w:tcW w:w="0" w:type="auto"/>
            <w:vAlign w:val="center"/>
          </w:tcPr>
          <w:p w:rsidR="00024C0A" w:rsidRDefault="00694C0F">
            <w:pPr>
              <w:pStyle w:val="TableBodyText"/>
            </w:pPr>
            <w:r>
              <w:t>Canada</w:t>
            </w:r>
          </w:p>
        </w:tc>
        <w:tc>
          <w:tcPr>
            <w:tcW w:w="0" w:type="auto"/>
            <w:vAlign w:val="center"/>
          </w:tcPr>
          <w:p w:rsidR="00024C0A" w:rsidRDefault="00694C0F">
            <w:pPr>
              <w:pStyle w:val="TableBodyText"/>
            </w:pPr>
            <w:r>
              <w:t>en-CA</w:t>
            </w:r>
          </w:p>
        </w:tc>
      </w:tr>
      <w:tr w:rsidR="00024C0A" w:rsidTr="00024C0A">
        <w:tc>
          <w:tcPr>
            <w:tcW w:w="0" w:type="auto"/>
            <w:vAlign w:val="center"/>
          </w:tcPr>
          <w:p w:rsidR="00024C0A" w:rsidRDefault="00694C0F">
            <w:pPr>
              <w:pStyle w:val="TableBodyText"/>
            </w:pPr>
            <w:r>
              <w:t>English</w:t>
            </w:r>
          </w:p>
        </w:tc>
        <w:tc>
          <w:tcPr>
            <w:tcW w:w="0" w:type="auto"/>
            <w:vAlign w:val="center"/>
          </w:tcPr>
          <w:p w:rsidR="00024C0A" w:rsidRDefault="00694C0F">
            <w:pPr>
              <w:pStyle w:val="TableBodyText"/>
            </w:pPr>
            <w:r>
              <w:t>Caribbean</w:t>
            </w:r>
          </w:p>
        </w:tc>
        <w:tc>
          <w:tcPr>
            <w:tcW w:w="0" w:type="auto"/>
            <w:vAlign w:val="center"/>
          </w:tcPr>
          <w:p w:rsidR="00024C0A" w:rsidRDefault="00694C0F">
            <w:pPr>
              <w:pStyle w:val="TableBodyText"/>
            </w:pPr>
            <w:r>
              <w:t>en-CB</w:t>
            </w:r>
          </w:p>
        </w:tc>
      </w:tr>
      <w:tr w:rsidR="00024C0A" w:rsidTr="00024C0A">
        <w:tc>
          <w:tcPr>
            <w:tcW w:w="0" w:type="auto"/>
            <w:vAlign w:val="center"/>
          </w:tcPr>
          <w:p w:rsidR="00024C0A" w:rsidRDefault="00694C0F">
            <w:pPr>
              <w:pStyle w:val="TableBodyText"/>
            </w:pPr>
            <w:r>
              <w:t>English</w:t>
            </w:r>
          </w:p>
        </w:tc>
        <w:tc>
          <w:tcPr>
            <w:tcW w:w="0" w:type="auto"/>
            <w:vAlign w:val="center"/>
          </w:tcPr>
          <w:p w:rsidR="00024C0A" w:rsidRDefault="00694C0F">
            <w:pPr>
              <w:pStyle w:val="TableBodyText"/>
            </w:pPr>
            <w:r>
              <w:t>India</w:t>
            </w:r>
          </w:p>
        </w:tc>
        <w:tc>
          <w:tcPr>
            <w:tcW w:w="0" w:type="auto"/>
            <w:vAlign w:val="center"/>
          </w:tcPr>
          <w:p w:rsidR="00024C0A" w:rsidRDefault="00694C0F">
            <w:pPr>
              <w:pStyle w:val="TableBodyText"/>
            </w:pPr>
            <w:r>
              <w:t>en-IN</w:t>
            </w:r>
          </w:p>
        </w:tc>
      </w:tr>
      <w:tr w:rsidR="00024C0A" w:rsidTr="00024C0A">
        <w:tc>
          <w:tcPr>
            <w:tcW w:w="0" w:type="auto"/>
            <w:vAlign w:val="center"/>
          </w:tcPr>
          <w:p w:rsidR="00024C0A" w:rsidRDefault="00694C0F">
            <w:pPr>
              <w:pStyle w:val="TableBodyText"/>
            </w:pPr>
            <w:r>
              <w:t>English</w:t>
            </w:r>
          </w:p>
        </w:tc>
        <w:tc>
          <w:tcPr>
            <w:tcW w:w="0" w:type="auto"/>
            <w:vAlign w:val="center"/>
          </w:tcPr>
          <w:p w:rsidR="00024C0A" w:rsidRDefault="00694C0F">
            <w:pPr>
              <w:pStyle w:val="TableBodyText"/>
            </w:pPr>
            <w:r>
              <w:t>Ireland</w:t>
            </w:r>
          </w:p>
        </w:tc>
        <w:tc>
          <w:tcPr>
            <w:tcW w:w="0" w:type="auto"/>
            <w:vAlign w:val="center"/>
          </w:tcPr>
          <w:p w:rsidR="00024C0A" w:rsidRDefault="00694C0F">
            <w:pPr>
              <w:pStyle w:val="TableBodyText"/>
            </w:pPr>
            <w:r>
              <w:t>en-IE</w:t>
            </w:r>
          </w:p>
        </w:tc>
      </w:tr>
      <w:tr w:rsidR="00024C0A" w:rsidTr="00024C0A">
        <w:tc>
          <w:tcPr>
            <w:tcW w:w="0" w:type="auto"/>
            <w:vAlign w:val="center"/>
          </w:tcPr>
          <w:p w:rsidR="00024C0A" w:rsidRDefault="00694C0F">
            <w:pPr>
              <w:pStyle w:val="TableBodyText"/>
            </w:pPr>
            <w:r>
              <w:t>English</w:t>
            </w:r>
          </w:p>
        </w:tc>
        <w:tc>
          <w:tcPr>
            <w:tcW w:w="0" w:type="auto"/>
            <w:vAlign w:val="center"/>
          </w:tcPr>
          <w:p w:rsidR="00024C0A" w:rsidRDefault="00694C0F">
            <w:pPr>
              <w:pStyle w:val="TableBodyText"/>
            </w:pPr>
            <w:r>
              <w:t>Jamaica</w:t>
            </w:r>
          </w:p>
        </w:tc>
        <w:tc>
          <w:tcPr>
            <w:tcW w:w="0" w:type="auto"/>
            <w:vAlign w:val="center"/>
          </w:tcPr>
          <w:p w:rsidR="00024C0A" w:rsidRDefault="00694C0F">
            <w:pPr>
              <w:pStyle w:val="TableBodyText"/>
            </w:pPr>
            <w:r>
              <w:t>en-JM</w:t>
            </w:r>
          </w:p>
        </w:tc>
      </w:tr>
      <w:tr w:rsidR="00024C0A" w:rsidTr="00024C0A">
        <w:tc>
          <w:tcPr>
            <w:tcW w:w="0" w:type="auto"/>
            <w:vAlign w:val="center"/>
          </w:tcPr>
          <w:p w:rsidR="00024C0A" w:rsidRDefault="00694C0F">
            <w:pPr>
              <w:pStyle w:val="TableBodyText"/>
            </w:pPr>
            <w:r>
              <w:t>English</w:t>
            </w:r>
          </w:p>
        </w:tc>
        <w:tc>
          <w:tcPr>
            <w:tcW w:w="0" w:type="auto"/>
            <w:vAlign w:val="center"/>
          </w:tcPr>
          <w:p w:rsidR="00024C0A" w:rsidRDefault="00694C0F">
            <w:pPr>
              <w:pStyle w:val="TableBodyText"/>
            </w:pPr>
            <w:r>
              <w:t>Malaysia</w:t>
            </w:r>
          </w:p>
        </w:tc>
        <w:tc>
          <w:tcPr>
            <w:tcW w:w="0" w:type="auto"/>
            <w:vAlign w:val="center"/>
          </w:tcPr>
          <w:p w:rsidR="00024C0A" w:rsidRDefault="00694C0F">
            <w:pPr>
              <w:pStyle w:val="TableBodyText"/>
            </w:pPr>
            <w:r>
              <w:t>en-MY</w:t>
            </w:r>
          </w:p>
        </w:tc>
      </w:tr>
      <w:tr w:rsidR="00024C0A" w:rsidTr="00024C0A">
        <w:tc>
          <w:tcPr>
            <w:tcW w:w="0" w:type="auto"/>
            <w:vAlign w:val="center"/>
          </w:tcPr>
          <w:p w:rsidR="00024C0A" w:rsidRDefault="00694C0F">
            <w:pPr>
              <w:pStyle w:val="TableBodyText"/>
            </w:pPr>
            <w:r>
              <w:t>English</w:t>
            </w:r>
          </w:p>
        </w:tc>
        <w:tc>
          <w:tcPr>
            <w:tcW w:w="0" w:type="auto"/>
            <w:vAlign w:val="center"/>
          </w:tcPr>
          <w:p w:rsidR="00024C0A" w:rsidRDefault="00694C0F">
            <w:pPr>
              <w:pStyle w:val="TableBodyText"/>
            </w:pPr>
            <w:r>
              <w:t>New Zealand</w:t>
            </w:r>
          </w:p>
        </w:tc>
        <w:tc>
          <w:tcPr>
            <w:tcW w:w="0" w:type="auto"/>
            <w:vAlign w:val="center"/>
          </w:tcPr>
          <w:p w:rsidR="00024C0A" w:rsidRDefault="00694C0F">
            <w:pPr>
              <w:pStyle w:val="TableBodyText"/>
            </w:pPr>
            <w:r>
              <w:t>en-NZ</w:t>
            </w:r>
          </w:p>
        </w:tc>
      </w:tr>
      <w:tr w:rsidR="00024C0A" w:rsidTr="00024C0A">
        <w:tc>
          <w:tcPr>
            <w:tcW w:w="0" w:type="auto"/>
            <w:vAlign w:val="center"/>
          </w:tcPr>
          <w:p w:rsidR="00024C0A" w:rsidRDefault="00694C0F">
            <w:pPr>
              <w:pStyle w:val="TableBodyText"/>
            </w:pPr>
            <w:r>
              <w:t>English</w:t>
            </w:r>
          </w:p>
        </w:tc>
        <w:tc>
          <w:tcPr>
            <w:tcW w:w="0" w:type="auto"/>
            <w:vAlign w:val="center"/>
          </w:tcPr>
          <w:p w:rsidR="00024C0A" w:rsidRDefault="00694C0F">
            <w:pPr>
              <w:pStyle w:val="TableBodyText"/>
            </w:pPr>
            <w:r>
              <w:t>Philippines</w:t>
            </w:r>
          </w:p>
        </w:tc>
        <w:tc>
          <w:tcPr>
            <w:tcW w:w="0" w:type="auto"/>
            <w:vAlign w:val="center"/>
          </w:tcPr>
          <w:p w:rsidR="00024C0A" w:rsidRDefault="00694C0F">
            <w:pPr>
              <w:pStyle w:val="TableBodyText"/>
            </w:pPr>
            <w:r>
              <w:t>en-PH</w:t>
            </w:r>
          </w:p>
        </w:tc>
      </w:tr>
      <w:tr w:rsidR="00024C0A" w:rsidTr="00024C0A">
        <w:tc>
          <w:tcPr>
            <w:tcW w:w="0" w:type="auto"/>
            <w:vAlign w:val="center"/>
          </w:tcPr>
          <w:p w:rsidR="00024C0A" w:rsidRDefault="00694C0F">
            <w:pPr>
              <w:pStyle w:val="TableBodyText"/>
            </w:pPr>
            <w:r>
              <w:t>English</w:t>
            </w:r>
          </w:p>
        </w:tc>
        <w:tc>
          <w:tcPr>
            <w:tcW w:w="0" w:type="auto"/>
            <w:vAlign w:val="center"/>
          </w:tcPr>
          <w:p w:rsidR="00024C0A" w:rsidRDefault="00694C0F">
            <w:pPr>
              <w:pStyle w:val="TableBodyText"/>
            </w:pPr>
            <w:r>
              <w:t>South Africa</w:t>
            </w:r>
          </w:p>
        </w:tc>
        <w:tc>
          <w:tcPr>
            <w:tcW w:w="0" w:type="auto"/>
            <w:vAlign w:val="center"/>
          </w:tcPr>
          <w:p w:rsidR="00024C0A" w:rsidRDefault="00694C0F">
            <w:pPr>
              <w:pStyle w:val="TableBodyText"/>
            </w:pPr>
            <w:r>
              <w:t>en-ZA</w:t>
            </w:r>
          </w:p>
        </w:tc>
      </w:tr>
      <w:tr w:rsidR="00024C0A" w:rsidTr="00024C0A">
        <w:tc>
          <w:tcPr>
            <w:tcW w:w="0" w:type="auto"/>
            <w:vAlign w:val="center"/>
          </w:tcPr>
          <w:p w:rsidR="00024C0A" w:rsidRDefault="00694C0F">
            <w:pPr>
              <w:pStyle w:val="TableBodyText"/>
            </w:pPr>
            <w:r>
              <w:t>English</w:t>
            </w:r>
          </w:p>
        </w:tc>
        <w:tc>
          <w:tcPr>
            <w:tcW w:w="0" w:type="auto"/>
            <w:vAlign w:val="center"/>
          </w:tcPr>
          <w:p w:rsidR="00024C0A" w:rsidRDefault="00694C0F">
            <w:pPr>
              <w:pStyle w:val="TableBodyText"/>
            </w:pPr>
            <w:r>
              <w:t>Trinidad</w:t>
            </w:r>
          </w:p>
        </w:tc>
        <w:tc>
          <w:tcPr>
            <w:tcW w:w="0" w:type="auto"/>
            <w:vAlign w:val="center"/>
          </w:tcPr>
          <w:p w:rsidR="00024C0A" w:rsidRDefault="00694C0F">
            <w:pPr>
              <w:pStyle w:val="TableBodyText"/>
            </w:pPr>
            <w:r>
              <w:t>en-TT</w:t>
            </w:r>
          </w:p>
        </w:tc>
      </w:tr>
      <w:tr w:rsidR="00024C0A" w:rsidTr="00024C0A">
        <w:tc>
          <w:tcPr>
            <w:tcW w:w="0" w:type="auto"/>
            <w:vAlign w:val="center"/>
          </w:tcPr>
          <w:p w:rsidR="00024C0A" w:rsidRDefault="00694C0F">
            <w:pPr>
              <w:pStyle w:val="TableBodyText"/>
            </w:pPr>
            <w:r>
              <w:t>English</w:t>
            </w:r>
          </w:p>
        </w:tc>
        <w:tc>
          <w:tcPr>
            <w:tcW w:w="0" w:type="auto"/>
            <w:vAlign w:val="center"/>
          </w:tcPr>
          <w:p w:rsidR="00024C0A" w:rsidRDefault="00694C0F">
            <w:pPr>
              <w:pStyle w:val="TableBodyText"/>
            </w:pPr>
            <w:r>
              <w:t>United Kingdom</w:t>
            </w:r>
          </w:p>
        </w:tc>
        <w:tc>
          <w:tcPr>
            <w:tcW w:w="0" w:type="auto"/>
            <w:vAlign w:val="center"/>
          </w:tcPr>
          <w:p w:rsidR="00024C0A" w:rsidRDefault="00694C0F">
            <w:pPr>
              <w:pStyle w:val="TableBodyText"/>
            </w:pPr>
            <w:r>
              <w:t>en-GB</w:t>
            </w:r>
          </w:p>
        </w:tc>
      </w:tr>
      <w:tr w:rsidR="00024C0A" w:rsidTr="00024C0A">
        <w:tc>
          <w:tcPr>
            <w:tcW w:w="0" w:type="auto"/>
            <w:vAlign w:val="center"/>
          </w:tcPr>
          <w:p w:rsidR="00024C0A" w:rsidRDefault="00694C0F">
            <w:pPr>
              <w:pStyle w:val="TableBodyText"/>
            </w:pPr>
            <w:r>
              <w:t>English</w:t>
            </w:r>
          </w:p>
        </w:tc>
        <w:tc>
          <w:tcPr>
            <w:tcW w:w="0" w:type="auto"/>
            <w:vAlign w:val="center"/>
          </w:tcPr>
          <w:p w:rsidR="00024C0A" w:rsidRDefault="00694C0F">
            <w:pPr>
              <w:pStyle w:val="TableBodyText"/>
            </w:pPr>
            <w:r>
              <w:t>United States</w:t>
            </w:r>
          </w:p>
        </w:tc>
        <w:tc>
          <w:tcPr>
            <w:tcW w:w="0" w:type="auto"/>
            <w:vAlign w:val="center"/>
          </w:tcPr>
          <w:p w:rsidR="00024C0A" w:rsidRDefault="00694C0F">
            <w:pPr>
              <w:pStyle w:val="TableBodyText"/>
            </w:pPr>
            <w:r>
              <w:t>en-US</w:t>
            </w:r>
          </w:p>
        </w:tc>
      </w:tr>
      <w:tr w:rsidR="00024C0A" w:rsidTr="00024C0A">
        <w:tc>
          <w:tcPr>
            <w:tcW w:w="0" w:type="auto"/>
            <w:vAlign w:val="center"/>
          </w:tcPr>
          <w:p w:rsidR="00024C0A" w:rsidRDefault="00694C0F">
            <w:pPr>
              <w:pStyle w:val="TableBodyText"/>
            </w:pPr>
            <w:r>
              <w:t>English</w:t>
            </w:r>
          </w:p>
        </w:tc>
        <w:tc>
          <w:tcPr>
            <w:tcW w:w="0" w:type="auto"/>
            <w:vAlign w:val="center"/>
          </w:tcPr>
          <w:p w:rsidR="00024C0A" w:rsidRDefault="00694C0F">
            <w:pPr>
              <w:pStyle w:val="TableBodyText"/>
            </w:pPr>
            <w:r>
              <w:t>Zimbabwe</w:t>
            </w:r>
          </w:p>
        </w:tc>
        <w:tc>
          <w:tcPr>
            <w:tcW w:w="0" w:type="auto"/>
            <w:vAlign w:val="center"/>
          </w:tcPr>
          <w:p w:rsidR="00024C0A" w:rsidRDefault="00694C0F">
            <w:pPr>
              <w:pStyle w:val="TableBodyText"/>
            </w:pPr>
            <w:r>
              <w:t>en-ZW</w:t>
            </w:r>
          </w:p>
        </w:tc>
      </w:tr>
      <w:tr w:rsidR="00024C0A" w:rsidTr="00024C0A">
        <w:tc>
          <w:tcPr>
            <w:tcW w:w="0" w:type="auto"/>
            <w:vAlign w:val="center"/>
          </w:tcPr>
          <w:p w:rsidR="00024C0A" w:rsidRDefault="00694C0F">
            <w:pPr>
              <w:pStyle w:val="TableBodyText"/>
            </w:pPr>
            <w:r>
              <w:t xml:space="preserve">Estonian </w:t>
            </w:r>
          </w:p>
        </w:tc>
        <w:tc>
          <w:tcPr>
            <w:tcW w:w="0" w:type="auto"/>
            <w:vAlign w:val="center"/>
          </w:tcPr>
          <w:p w:rsidR="00024C0A" w:rsidRDefault="00694C0F">
            <w:pPr>
              <w:pStyle w:val="TableBodyText"/>
            </w:pPr>
            <w:r>
              <w:t>Estonia</w:t>
            </w:r>
          </w:p>
        </w:tc>
        <w:tc>
          <w:tcPr>
            <w:tcW w:w="0" w:type="auto"/>
            <w:vAlign w:val="center"/>
          </w:tcPr>
          <w:p w:rsidR="00024C0A" w:rsidRDefault="00694C0F">
            <w:pPr>
              <w:pStyle w:val="TableBodyText"/>
            </w:pPr>
            <w:r>
              <w:t>et-EE</w:t>
            </w:r>
          </w:p>
        </w:tc>
      </w:tr>
      <w:tr w:rsidR="00024C0A" w:rsidTr="00024C0A">
        <w:tc>
          <w:tcPr>
            <w:tcW w:w="0" w:type="auto"/>
            <w:vAlign w:val="center"/>
          </w:tcPr>
          <w:p w:rsidR="00024C0A" w:rsidRDefault="00694C0F">
            <w:pPr>
              <w:pStyle w:val="TableBodyText"/>
            </w:pPr>
            <w:r>
              <w:lastRenderedPageBreak/>
              <w:t>Faroese</w:t>
            </w:r>
          </w:p>
        </w:tc>
        <w:tc>
          <w:tcPr>
            <w:tcW w:w="0" w:type="auto"/>
            <w:vAlign w:val="center"/>
          </w:tcPr>
          <w:p w:rsidR="00024C0A" w:rsidRDefault="00694C0F">
            <w:pPr>
              <w:pStyle w:val="TableBodyText"/>
            </w:pPr>
            <w:r>
              <w:t>Faroe Islands</w:t>
            </w:r>
          </w:p>
        </w:tc>
        <w:tc>
          <w:tcPr>
            <w:tcW w:w="0" w:type="auto"/>
            <w:vAlign w:val="center"/>
          </w:tcPr>
          <w:p w:rsidR="00024C0A" w:rsidRDefault="00694C0F">
            <w:pPr>
              <w:pStyle w:val="TableBodyText"/>
            </w:pPr>
            <w:r>
              <w:t>fo-FO</w:t>
            </w:r>
          </w:p>
        </w:tc>
      </w:tr>
      <w:tr w:rsidR="00024C0A" w:rsidTr="00024C0A">
        <w:tc>
          <w:tcPr>
            <w:tcW w:w="0" w:type="auto"/>
            <w:vAlign w:val="center"/>
          </w:tcPr>
          <w:p w:rsidR="00024C0A" w:rsidRDefault="00694C0F">
            <w:pPr>
              <w:pStyle w:val="TableBodyText"/>
            </w:pPr>
            <w:r>
              <w:t>Filipino</w:t>
            </w:r>
          </w:p>
        </w:tc>
        <w:tc>
          <w:tcPr>
            <w:tcW w:w="0" w:type="auto"/>
            <w:vAlign w:val="center"/>
          </w:tcPr>
          <w:p w:rsidR="00024C0A" w:rsidRDefault="00694C0F">
            <w:pPr>
              <w:pStyle w:val="TableBodyText"/>
            </w:pPr>
            <w:r>
              <w:t>Philippines</w:t>
            </w:r>
          </w:p>
        </w:tc>
        <w:tc>
          <w:tcPr>
            <w:tcW w:w="0" w:type="auto"/>
            <w:vAlign w:val="center"/>
          </w:tcPr>
          <w:p w:rsidR="00024C0A" w:rsidRDefault="00694C0F">
            <w:pPr>
              <w:pStyle w:val="TableBodyText"/>
            </w:pPr>
            <w:r>
              <w:t>fil-PH</w:t>
            </w:r>
          </w:p>
        </w:tc>
      </w:tr>
      <w:tr w:rsidR="00024C0A" w:rsidTr="00024C0A">
        <w:tc>
          <w:tcPr>
            <w:tcW w:w="0" w:type="auto"/>
            <w:vAlign w:val="center"/>
          </w:tcPr>
          <w:p w:rsidR="00024C0A" w:rsidRDefault="00694C0F">
            <w:pPr>
              <w:pStyle w:val="TableBodyText"/>
            </w:pPr>
            <w:r>
              <w:t>Finnish</w:t>
            </w:r>
          </w:p>
        </w:tc>
        <w:tc>
          <w:tcPr>
            <w:tcW w:w="0" w:type="auto"/>
            <w:vAlign w:val="center"/>
          </w:tcPr>
          <w:p w:rsidR="00024C0A" w:rsidRDefault="00694C0F">
            <w:pPr>
              <w:pStyle w:val="TableBodyText"/>
            </w:pPr>
            <w:r>
              <w:t>Finland</w:t>
            </w:r>
          </w:p>
        </w:tc>
        <w:tc>
          <w:tcPr>
            <w:tcW w:w="0" w:type="auto"/>
            <w:vAlign w:val="center"/>
          </w:tcPr>
          <w:p w:rsidR="00024C0A" w:rsidRDefault="00694C0F">
            <w:pPr>
              <w:pStyle w:val="TableBodyText"/>
            </w:pPr>
            <w:r>
              <w:t>fi-FI</w:t>
            </w:r>
          </w:p>
        </w:tc>
      </w:tr>
      <w:tr w:rsidR="00024C0A" w:rsidTr="00024C0A">
        <w:tc>
          <w:tcPr>
            <w:tcW w:w="0" w:type="auto"/>
            <w:vAlign w:val="center"/>
          </w:tcPr>
          <w:p w:rsidR="00024C0A" w:rsidRDefault="00694C0F">
            <w:pPr>
              <w:pStyle w:val="TableBodyText"/>
            </w:pPr>
            <w:r>
              <w:t>French</w:t>
            </w:r>
          </w:p>
        </w:tc>
        <w:tc>
          <w:tcPr>
            <w:tcW w:w="0" w:type="auto"/>
            <w:vAlign w:val="center"/>
          </w:tcPr>
          <w:p w:rsidR="00024C0A" w:rsidRDefault="00694C0F">
            <w:pPr>
              <w:pStyle w:val="TableBodyText"/>
            </w:pPr>
            <w:r>
              <w:t>Belgium</w:t>
            </w:r>
          </w:p>
        </w:tc>
        <w:tc>
          <w:tcPr>
            <w:tcW w:w="0" w:type="auto"/>
            <w:vAlign w:val="center"/>
          </w:tcPr>
          <w:p w:rsidR="00024C0A" w:rsidRDefault="00694C0F">
            <w:pPr>
              <w:pStyle w:val="TableBodyText"/>
            </w:pPr>
            <w:r>
              <w:t>fr-BE</w:t>
            </w:r>
          </w:p>
        </w:tc>
      </w:tr>
      <w:tr w:rsidR="00024C0A" w:rsidTr="00024C0A">
        <w:tc>
          <w:tcPr>
            <w:tcW w:w="0" w:type="auto"/>
            <w:vAlign w:val="center"/>
          </w:tcPr>
          <w:p w:rsidR="00024C0A" w:rsidRDefault="00694C0F">
            <w:pPr>
              <w:pStyle w:val="TableBodyText"/>
            </w:pPr>
            <w:r>
              <w:t>French</w:t>
            </w:r>
          </w:p>
        </w:tc>
        <w:tc>
          <w:tcPr>
            <w:tcW w:w="0" w:type="auto"/>
            <w:vAlign w:val="center"/>
          </w:tcPr>
          <w:p w:rsidR="00024C0A" w:rsidRDefault="00694C0F">
            <w:pPr>
              <w:pStyle w:val="TableBodyText"/>
            </w:pPr>
            <w:r>
              <w:t>Canada</w:t>
            </w:r>
          </w:p>
        </w:tc>
        <w:tc>
          <w:tcPr>
            <w:tcW w:w="0" w:type="auto"/>
            <w:vAlign w:val="center"/>
          </w:tcPr>
          <w:p w:rsidR="00024C0A" w:rsidRDefault="00694C0F">
            <w:pPr>
              <w:pStyle w:val="TableBodyText"/>
            </w:pPr>
            <w:r>
              <w:t>fr-CA</w:t>
            </w:r>
          </w:p>
        </w:tc>
      </w:tr>
      <w:tr w:rsidR="00024C0A" w:rsidTr="00024C0A">
        <w:tc>
          <w:tcPr>
            <w:tcW w:w="0" w:type="auto"/>
            <w:vAlign w:val="center"/>
          </w:tcPr>
          <w:p w:rsidR="00024C0A" w:rsidRDefault="00694C0F">
            <w:pPr>
              <w:pStyle w:val="TableBodyText"/>
            </w:pPr>
            <w:r>
              <w:t>French</w:t>
            </w:r>
          </w:p>
        </w:tc>
        <w:tc>
          <w:tcPr>
            <w:tcW w:w="0" w:type="auto"/>
            <w:vAlign w:val="center"/>
          </w:tcPr>
          <w:p w:rsidR="00024C0A" w:rsidRDefault="00694C0F">
            <w:pPr>
              <w:pStyle w:val="TableBodyText"/>
            </w:pPr>
            <w:r>
              <w:t>France</w:t>
            </w:r>
          </w:p>
        </w:tc>
        <w:tc>
          <w:tcPr>
            <w:tcW w:w="0" w:type="auto"/>
            <w:vAlign w:val="center"/>
          </w:tcPr>
          <w:p w:rsidR="00024C0A" w:rsidRDefault="00694C0F">
            <w:pPr>
              <w:pStyle w:val="TableBodyText"/>
            </w:pPr>
            <w:r>
              <w:t>fr-FR</w:t>
            </w:r>
          </w:p>
        </w:tc>
      </w:tr>
      <w:tr w:rsidR="00024C0A" w:rsidTr="00024C0A">
        <w:tc>
          <w:tcPr>
            <w:tcW w:w="0" w:type="auto"/>
            <w:vAlign w:val="center"/>
          </w:tcPr>
          <w:p w:rsidR="00024C0A" w:rsidRDefault="00694C0F">
            <w:pPr>
              <w:pStyle w:val="TableBodyText"/>
            </w:pPr>
            <w:r>
              <w:t>French</w:t>
            </w:r>
          </w:p>
        </w:tc>
        <w:tc>
          <w:tcPr>
            <w:tcW w:w="0" w:type="auto"/>
            <w:vAlign w:val="center"/>
          </w:tcPr>
          <w:p w:rsidR="00024C0A" w:rsidRDefault="00694C0F">
            <w:pPr>
              <w:pStyle w:val="TableBodyText"/>
            </w:pPr>
            <w:r>
              <w:t>Luxembourg</w:t>
            </w:r>
          </w:p>
        </w:tc>
        <w:tc>
          <w:tcPr>
            <w:tcW w:w="0" w:type="auto"/>
            <w:vAlign w:val="center"/>
          </w:tcPr>
          <w:p w:rsidR="00024C0A" w:rsidRDefault="00694C0F">
            <w:pPr>
              <w:pStyle w:val="TableBodyText"/>
            </w:pPr>
            <w:r>
              <w:t>fr-LU</w:t>
            </w:r>
          </w:p>
        </w:tc>
      </w:tr>
      <w:tr w:rsidR="00024C0A" w:rsidTr="00024C0A">
        <w:tc>
          <w:tcPr>
            <w:tcW w:w="0" w:type="auto"/>
            <w:vAlign w:val="center"/>
          </w:tcPr>
          <w:p w:rsidR="00024C0A" w:rsidRDefault="00694C0F">
            <w:pPr>
              <w:pStyle w:val="TableBodyText"/>
            </w:pPr>
            <w:r>
              <w:t>French</w:t>
            </w:r>
          </w:p>
        </w:tc>
        <w:tc>
          <w:tcPr>
            <w:tcW w:w="0" w:type="auto"/>
            <w:vAlign w:val="center"/>
          </w:tcPr>
          <w:p w:rsidR="00024C0A" w:rsidRDefault="00694C0F">
            <w:pPr>
              <w:pStyle w:val="TableBodyText"/>
            </w:pPr>
            <w:r>
              <w:t>Monaco</w:t>
            </w:r>
          </w:p>
        </w:tc>
        <w:tc>
          <w:tcPr>
            <w:tcW w:w="0" w:type="auto"/>
            <w:vAlign w:val="center"/>
          </w:tcPr>
          <w:p w:rsidR="00024C0A" w:rsidRDefault="00694C0F">
            <w:pPr>
              <w:pStyle w:val="TableBodyText"/>
            </w:pPr>
            <w:r>
              <w:t>fr-MC</w:t>
            </w:r>
          </w:p>
        </w:tc>
      </w:tr>
      <w:tr w:rsidR="00024C0A" w:rsidTr="00024C0A">
        <w:tc>
          <w:tcPr>
            <w:tcW w:w="0" w:type="auto"/>
            <w:vAlign w:val="center"/>
          </w:tcPr>
          <w:p w:rsidR="00024C0A" w:rsidRDefault="00694C0F">
            <w:pPr>
              <w:pStyle w:val="TableBodyText"/>
            </w:pPr>
            <w:r>
              <w:t>French</w:t>
            </w:r>
          </w:p>
        </w:tc>
        <w:tc>
          <w:tcPr>
            <w:tcW w:w="0" w:type="auto"/>
            <w:vAlign w:val="center"/>
          </w:tcPr>
          <w:p w:rsidR="00024C0A" w:rsidRDefault="00694C0F">
            <w:pPr>
              <w:pStyle w:val="TableBodyText"/>
            </w:pPr>
            <w:r>
              <w:t>Switzerland</w:t>
            </w:r>
          </w:p>
        </w:tc>
        <w:tc>
          <w:tcPr>
            <w:tcW w:w="0" w:type="auto"/>
            <w:vAlign w:val="center"/>
          </w:tcPr>
          <w:p w:rsidR="00024C0A" w:rsidRDefault="00694C0F">
            <w:pPr>
              <w:pStyle w:val="TableBodyText"/>
            </w:pPr>
            <w:r>
              <w:t>fr-CH</w:t>
            </w:r>
          </w:p>
        </w:tc>
      </w:tr>
      <w:tr w:rsidR="00024C0A" w:rsidTr="00024C0A">
        <w:tc>
          <w:tcPr>
            <w:tcW w:w="0" w:type="auto"/>
            <w:vAlign w:val="center"/>
          </w:tcPr>
          <w:p w:rsidR="00024C0A" w:rsidRDefault="00694C0F">
            <w:pPr>
              <w:pStyle w:val="TableBodyText"/>
            </w:pPr>
            <w:r>
              <w:t>Frisian</w:t>
            </w:r>
          </w:p>
        </w:tc>
        <w:tc>
          <w:tcPr>
            <w:tcW w:w="0" w:type="auto"/>
            <w:vAlign w:val="center"/>
          </w:tcPr>
          <w:p w:rsidR="00024C0A" w:rsidRDefault="00694C0F">
            <w:pPr>
              <w:pStyle w:val="TableBodyText"/>
            </w:pPr>
            <w:r>
              <w:t>Netherlands</w:t>
            </w:r>
          </w:p>
        </w:tc>
        <w:tc>
          <w:tcPr>
            <w:tcW w:w="0" w:type="auto"/>
            <w:vAlign w:val="center"/>
          </w:tcPr>
          <w:p w:rsidR="00024C0A" w:rsidRDefault="00694C0F">
            <w:pPr>
              <w:pStyle w:val="TableBodyText"/>
            </w:pPr>
            <w:r>
              <w:t>fy-NL</w:t>
            </w:r>
          </w:p>
        </w:tc>
      </w:tr>
      <w:tr w:rsidR="00024C0A" w:rsidTr="00024C0A">
        <w:tc>
          <w:tcPr>
            <w:tcW w:w="0" w:type="auto"/>
            <w:vAlign w:val="center"/>
          </w:tcPr>
          <w:p w:rsidR="00024C0A" w:rsidRDefault="00694C0F">
            <w:pPr>
              <w:pStyle w:val="TableBodyText"/>
            </w:pPr>
            <w:r>
              <w:t>Galician</w:t>
            </w:r>
          </w:p>
        </w:tc>
        <w:tc>
          <w:tcPr>
            <w:tcW w:w="0" w:type="auto"/>
            <w:vAlign w:val="center"/>
          </w:tcPr>
          <w:p w:rsidR="00024C0A" w:rsidRDefault="00694C0F">
            <w:pPr>
              <w:pStyle w:val="TableBodyText"/>
            </w:pPr>
            <w:r>
              <w:t>Galicia</w:t>
            </w:r>
          </w:p>
        </w:tc>
        <w:tc>
          <w:tcPr>
            <w:tcW w:w="0" w:type="auto"/>
            <w:vAlign w:val="center"/>
          </w:tcPr>
          <w:p w:rsidR="00024C0A" w:rsidRDefault="00694C0F">
            <w:pPr>
              <w:pStyle w:val="TableBodyText"/>
            </w:pPr>
            <w:r>
              <w:t>gl-ES</w:t>
            </w:r>
          </w:p>
        </w:tc>
      </w:tr>
      <w:tr w:rsidR="00024C0A" w:rsidTr="00024C0A">
        <w:tc>
          <w:tcPr>
            <w:tcW w:w="0" w:type="auto"/>
            <w:vAlign w:val="center"/>
          </w:tcPr>
          <w:p w:rsidR="00024C0A" w:rsidRDefault="00694C0F">
            <w:pPr>
              <w:pStyle w:val="TableBodyText"/>
            </w:pPr>
            <w:r>
              <w:t>Georgian</w:t>
            </w:r>
          </w:p>
        </w:tc>
        <w:tc>
          <w:tcPr>
            <w:tcW w:w="0" w:type="auto"/>
            <w:vAlign w:val="center"/>
          </w:tcPr>
          <w:p w:rsidR="00024C0A" w:rsidRDefault="00694C0F">
            <w:pPr>
              <w:pStyle w:val="TableBodyText"/>
            </w:pPr>
            <w:r>
              <w:t>Georgia</w:t>
            </w:r>
          </w:p>
        </w:tc>
        <w:tc>
          <w:tcPr>
            <w:tcW w:w="0" w:type="auto"/>
            <w:vAlign w:val="center"/>
          </w:tcPr>
          <w:p w:rsidR="00024C0A" w:rsidRDefault="00694C0F">
            <w:pPr>
              <w:pStyle w:val="TableBodyText"/>
            </w:pPr>
            <w:r>
              <w:t>ka-GE</w:t>
            </w:r>
          </w:p>
        </w:tc>
      </w:tr>
      <w:tr w:rsidR="00024C0A" w:rsidTr="00024C0A">
        <w:tc>
          <w:tcPr>
            <w:tcW w:w="0" w:type="auto"/>
            <w:vAlign w:val="center"/>
          </w:tcPr>
          <w:p w:rsidR="00024C0A" w:rsidRDefault="00694C0F">
            <w:pPr>
              <w:pStyle w:val="TableBodyText"/>
            </w:pPr>
            <w:r>
              <w:t>German</w:t>
            </w:r>
          </w:p>
        </w:tc>
        <w:tc>
          <w:tcPr>
            <w:tcW w:w="0" w:type="auto"/>
            <w:vAlign w:val="center"/>
          </w:tcPr>
          <w:p w:rsidR="00024C0A" w:rsidRDefault="00694C0F">
            <w:pPr>
              <w:pStyle w:val="TableBodyText"/>
            </w:pPr>
            <w:r>
              <w:t>Austria</w:t>
            </w:r>
          </w:p>
        </w:tc>
        <w:tc>
          <w:tcPr>
            <w:tcW w:w="0" w:type="auto"/>
            <w:vAlign w:val="center"/>
          </w:tcPr>
          <w:p w:rsidR="00024C0A" w:rsidRDefault="00694C0F">
            <w:pPr>
              <w:pStyle w:val="TableBodyText"/>
            </w:pPr>
            <w:r>
              <w:t>de-AT</w:t>
            </w:r>
          </w:p>
        </w:tc>
      </w:tr>
      <w:tr w:rsidR="00024C0A" w:rsidTr="00024C0A">
        <w:tc>
          <w:tcPr>
            <w:tcW w:w="0" w:type="auto"/>
            <w:vAlign w:val="center"/>
          </w:tcPr>
          <w:p w:rsidR="00024C0A" w:rsidRDefault="00694C0F">
            <w:pPr>
              <w:pStyle w:val="TableBodyText"/>
            </w:pPr>
            <w:r>
              <w:t>German</w:t>
            </w:r>
          </w:p>
        </w:tc>
        <w:tc>
          <w:tcPr>
            <w:tcW w:w="0" w:type="auto"/>
            <w:vAlign w:val="center"/>
          </w:tcPr>
          <w:p w:rsidR="00024C0A" w:rsidRDefault="00694C0F">
            <w:pPr>
              <w:pStyle w:val="TableBodyText"/>
            </w:pPr>
            <w:r>
              <w:t>Germany</w:t>
            </w:r>
          </w:p>
        </w:tc>
        <w:tc>
          <w:tcPr>
            <w:tcW w:w="0" w:type="auto"/>
            <w:vAlign w:val="center"/>
          </w:tcPr>
          <w:p w:rsidR="00024C0A" w:rsidRDefault="00694C0F">
            <w:pPr>
              <w:pStyle w:val="TableBodyText"/>
            </w:pPr>
            <w:r>
              <w:t>de-DE</w:t>
            </w:r>
          </w:p>
        </w:tc>
      </w:tr>
      <w:tr w:rsidR="00024C0A" w:rsidTr="00024C0A">
        <w:tc>
          <w:tcPr>
            <w:tcW w:w="0" w:type="auto"/>
            <w:vAlign w:val="center"/>
          </w:tcPr>
          <w:p w:rsidR="00024C0A" w:rsidRDefault="00694C0F">
            <w:pPr>
              <w:pStyle w:val="TableBodyText"/>
            </w:pPr>
            <w:r>
              <w:t>German</w:t>
            </w:r>
          </w:p>
        </w:tc>
        <w:tc>
          <w:tcPr>
            <w:tcW w:w="0" w:type="auto"/>
            <w:vAlign w:val="center"/>
          </w:tcPr>
          <w:p w:rsidR="00024C0A" w:rsidRDefault="00694C0F">
            <w:pPr>
              <w:pStyle w:val="TableBodyText"/>
            </w:pPr>
            <w:r>
              <w:t>Liechtenstein</w:t>
            </w:r>
          </w:p>
        </w:tc>
        <w:tc>
          <w:tcPr>
            <w:tcW w:w="0" w:type="auto"/>
            <w:vAlign w:val="center"/>
          </w:tcPr>
          <w:p w:rsidR="00024C0A" w:rsidRDefault="00694C0F">
            <w:pPr>
              <w:pStyle w:val="TableBodyText"/>
            </w:pPr>
            <w:r>
              <w:t>de-LI</w:t>
            </w:r>
          </w:p>
        </w:tc>
      </w:tr>
      <w:tr w:rsidR="00024C0A" w:rsidTr="00024C0A">
        <w:tc>
          <w:tcPr>
            <w:tcW w:w="0" w:type="auto"/>
            <w:vAlign w:val="center"/>
          </w:tcPr>
          <w:p w:rsidR="00024C0A" w:rsidRDefault="00694C0F">
            <w:pPr>
              <w:pStyle w:val="TableBodyText"/>
            </w:pPr>
            <w:r>
              <w:t>German</w:t>
            </w:r>
          </w:p>
        </w:tc>
        <w:tc>
          <w:tcPr>
            <w:tcW w:w="0" w:type="auto"/>
            <w:vAlign w:val="center"/>
          </w:tcPr>
          <w:p w:rsidR="00024C0A" w:rsidRDefault="00694C0F">
            <w:pPr>
              <w:pStyle w:val="TableBodyText"/>
            </w:pPr>
            <w:r>
              <w:t>Luxembourg</w:t>
            </w:r>
          </w:p>
        </w:tc>
        <w:tc>
          <w:tcPr>
            <w:tcW w:w="0" w:type="auto"/>
            <w:vAlign w:val="center"/>
          </w:tcPr>
          <w:p w:rsidR="00024C0A" w:rsidRDefault="00694C0F">
            <w:pPr>
              <w:pStyle w:val="TableBodyText"/>
            </w:pPr>
            <w:r>
              <w:t>de-LU</w:t>
            </w:r>
          </w:p>
        </w:tc>
      </w:tr>
      <w:tr w:rsidR="00024C0A" w:rsidTr="00024C0A">
        <w:tc>
          <w:tcPr>
            <w:tcW w:w="0" w:type="auto"/>
            <w:vAlign w:val="center"/>
          </w:tcPr>
          <w:p w:rsidR="00024C0A" w:rsidRDefault="00694C0F">
            <w:pPr>
              <w:pStyle w:val="TableBodyText"/>
            </w:pPr>
            <w:r>
              <w:t>German</w:t>
            </w:r>
          </w:p>
        </w:tc>
        <w:tc>
          <w:tcPr>
            <w:tcW w:w="0" w:type="auto"/>
            <w:vAlign w:val="center"/>
          </w:tcPr>
          <w:p w:rsidR="00024C0A" w:rsidRDefault="00694C0F">
            <w:pPr>
              <w:pStyle w:val="TableBodyText"/>
            </w:pPr>
            <w:r>
              <w:t>Switzerland</w:t>
            </w:r>
          </w:p>
        </w:tc>
        <w:tc>
          <w:tcPr>
            <w:tcW w:w="0" w:type="auto"/>
            <w:vAlign w:val="center"/>
          </w:tcPr>
          <w:p w:rsidR="00024C0A" w:rsidRDefault="00694C0F">
            <w:pPr>
              <w:pStyle w:val="TableBodyText"/>
            </w:pPr>
            <w:r>
              <w:t>de-CH</w:t>
            </w:r>
          </w:p>
        </w:tc>
      </w:tr>
      <w:tr w:rsidR="00024C0A" w:rsidTr="00024C0A">
        <w:tc>
          <w:tcPr>
            <w:tcW w:w="0" w:type="auto"/>
            <w:vAlign w:val="center"/>
          </w:tcPr>
          <w:p w:rsidR="00024C0A" w:rsidRDefault="00694C0F">
            <w:pPr>
              <w:pStyle w:val="TableBodyText"/>
            </w:pPr>
            <w:r>
              <w:t>Greek</w:t>
            </w:r>
          </w:p>
        </w:tc>
        <w:tc>
          <w:tcPr>
            <w:tcW w:w="0" w:type="auto"/>
            <w:vAlign w:val="center"/>
          </w:tcPr>
          <w:p w:rsidR="00024C0A" w:rsidRDefault="00694C0F">
            <w:pPr>
              <w:pStyle w:val="TableBodyText"/>
            </w:pPr>
            <w:r>
              <w:t>Greece</w:t>
            </w:r>
          </w:p>
        </w:tc>
        <w:tc>
          <w:tcPr>
            <w:tcW w:w="0" w:type="auto"/>
            <w:vAlign w:val="center"/>
          </w:tcPr>
          <w:p w:rsidR="00024C0A" w:rsidRDefault="00694C0F">
            <w:pPr>
              <w:pStyle w:val="TableBodyText"/>
            </w:pPr>
            <w:r>
              <w:t>el-GR</w:t>
            </w:r>
          </w:p>
        </w:tc>
      </w:tr>
      <w:tr w:rsidR="00024C0A" w:rsidTr="00024C0A">
        <w:tc>
          <w:tcPr>
            <w:tcW w:w="0" w:type="auto"/>
            <w:vAlign w:val="center"/>
          </w:tcPr>
          <w:p w:rsidR="00024C0A" w:rsidRDefault="00694C0F">
            <w:pPr>
              <w:pStyle w:val="TableBodyText"/>
            </w:pPr>
            <w:r>
              <w:t>Greenlandic</w:t>
            </w:r>
          </w:p>
        </w:tc>
        <w:tc>
          <w:tcPr>
            <w:tcW w:w="0" w:type="auto"/>
            <w:vAlign w:val="center"/>
          </w:tcPr>
          <w:p w:rsidR="00024C0A" w:rsidRDefault="00694C0F">
            <w:pPr>
              <w:pStyle w:val="TableBodyText"/>
            </w:pPr>
            <w:r>
              <w:t>Greenland</w:t>
            </w:r>
          </w:p>
        </w:tc>
        <w:tc>
          <w:tcPr>
            <w:tcW w:w="0" w:type="auto"/>
            <w:vAlign w:val="center"/>
          </w:tcPr>
          <w:p w:rsidR="00024C0A" w:rsidRDefault="00694C0F">
            <w:pPr>
              <w:pStyle w:val="TableBodyText"/>
            </w:pPr>
            <w:r>
              <w:t>kl-GL</w:t>
            </w:r>
          </w:p>
        </w:tc>
      </w:tr>
      <w:tr w:rsidR="00024C0A" w:rsidTr="00024C0A">
        <w:tc>
          <w:tcPr>
            <w:tcW w:w="0" w:type="auto"/>
            <w:vAlign w:val="center"/>
          </w:tcPr>
          <w:p w:rsidR="00024C0A" w:rsidRDefault="00694C0F">
            <w:pPr>
              <w:pStyle w:val="TableBodyText"/>
            </w:pPr>
            <w:r>
              <w:t>Gujarati (Gujarati Script)</w:t>
            </w:r>
          </w:p>
        </w:tc>
        <w:tc>
          <w:tcPr>
            <w:tcW w:w="0" w:type="auto"/>
            <w:vAlign w:val="center"/>
          </w:tcPr>
          <w:p w:rsidR="00024C0A" w:rsidRDefault="00694C0F">
            <w:pPr>
              <w:pStyle w:val="TableBodyText"/>
            </w:pPr>
            <w:r>
              <w:t xml:space="preserve">India </w:t>
            </w:r>
          </w:p>
        </w:tc>
        <w:tc>
          <w:tcPr>
            <w:tcW w:w="0" w:type="auto"/>
            <w:vAlign w:val="center"/>
          </w:tcPr>
          <w:p w:rsidR="00024C0A" w:rsidRDefault="00694C0F">
            <w:pPr>
              <w:pStyle w:val="TableBodyText"/>
            </w:pPr>
            <w:r>
              <w:t>gu-IN</w:t>
            </w:r>
          </w:p>
        </w:tc>
      </w:tr>
      <w:tr w:rsidR="00024C0A" w:rsidTr="00024C0A">
        <w:tc>
          <w:tcPr>
            <w:tcW w:w="0" w:type="auto"/>
            <w:vAlign w:val="center"/>
          </w:tcPr>
          <w:p w:rsidR="00024C0A" w:rsidRDefault="00694C0F">
            <w:pPr>
              <w:pStyle w:val="TableBodyText"/>
            </w:pPr>
            <w:r>
              <w:t>Hausa (Latin)</w:t>
            </w:r>
          </w:p>
        </w:tc>
        <w:tc>
          <w:tcPr>
            <w:tcW w:w="0" w:type="auto"/>
            <w:vAlign w:val="center"/>
          </w:tcPr>
          <w:p w:rsidR="00024C0A" w:rsidRDefault="00694C0F">
            <w:pPr>
              <w:pStyle w:val="TableBodyText"/>
            </w:pPr>
            <w:r>
              <w:t>Nigeria</w:t>
            </w:r>
          </w:p>
        </w:tc>
        <w:tc>
          <w:tcPr>
            <w:tcW w:w="0" w:type="auto"/>
            <w:vAlign w:val="center"/>
          </w:tcPr>
          <w:p w:rsidR="00024C0A" w:rsidRDefault="00694C0F">
            <w:pPr>
              <w:pStyle w:val="TableBodyText"/>
            </w:pPr>
            <w:r>
              <w:t xml:space="preserve">ha-NG-Latn </w:t>
            </w:r>
          </w:p>
        </w:tc>
      </w:tr>
      <w:tr w:rsidR="00024C0A" w:rsidTr="00024C0A">
        <w:tc>
          <w:tcPr>
            <w:tcW w:w="0" w:type="auto"/>
            <w:vAlign w:val="center"/>
          </w:tcPr>
          <w:p w:rsidR="00024C0A" w:rsidRDefault="00694C0F">
            <w:pPr>
              <w:pStyle w:val="TableBodyText"/>
            </w:pPr>
            <w:r>
              <w:t>Hebrew</w:t>
            </w:r>
          </w:p>
        </w:tc>
        <w:tc>
          <w:tcPr>
            <w:tcW w:w="0" w:type="auto"/>
            <w:vAlign w:val="center"/>
          </w:tcPr>
          <w:p w:rsidR="00024C0A" w:rsidRDefault="00694C0F">
            <w:pPr>
              <w:pStyle w:val="TableBodyText"/>
            </w:pPr>
            <w:r>
              <w:t>Israel</w:t>
            </w:r>
          </w:p>
        </w:tc>
        <w:tc>
          <w:tcPr>
            <w:tcW w:w="0" w:type="auto"/>
            <w:vAlign w:val="center"/>
          </w:tcPr>
          <w:p w:rsidR="00024C0A" w:rsidRDefault="00694C0F">
            <w:pPr>
              <w:pStyle w:val="TableBodyText"/>
            </w:pPr>
            <w:r>
              <w:t>he-IL</w:t>
            </w:r>
          </w:p>
        </w:tc>
      </w:tr>
      <w:tr w:rsidR="00024C0A" w:rsidTr="00024C0A">
        <w:tc>
          <w:tcPr>
            <w:tcW w:w="0" w:type="auto"/>
            <w:vAlign w:val="center"/>
          </w:tcPr>
          <w:p w:rsidR="00024C0A" w:rsidRDefault="00694C0F">
            <w:pPr>
              <w:pStyle w:val="TableBodyText"/>
            </w:pPr>
            <w:r>
              <w:t>Hindi</w:t>
            </w:r>
          </w:p>
        </w:tc>
        <w:tc>
          <w:tcPr>
            <w:tcW w:w="0" w:type="auto"/>
            <w:vAlign w:val="center"/>
          </w:tcPr>
          <w:p w:rsidR="00024C0A" w:rsidRDefault="00694C0F">
            <w:pPr>
              <w:pStyle w:val="TableBodyText"/>
            </w:pPr>
            <w:r>
              <w:t>India</w:t>
            </w:r>
          </w:p>
        </w:tc>
        <w:tc>
          <w:tcPr>
            <w:tcW w:w="0" w:type="auto"/>
            <w:vAlign w:val="center"/>
          </w:tcPr>
          <w:p w:rsidR="00024C0A" w:rsidRDefault="00694C0F">
            <w:pPr>
              <w:pStyle w:val="TableBodyText"/>
            </w:pPr>
            <w:r>
              <w:t>hi-IN</w:t>
            </w:r>
          </w:p>
        </w:tc>
      </w:tr>
      <w:tr w:rsidR="00024C0A" w:rsidTr="00024C0A">
        <w:tc>
          <w:tcPr>
            <w:tcW w:w="0" w:type="auto"/>
            <w:vAlign w:val="center"/>
          </w:tcPr>
          <w:p w:rsidR="00024C0A" w:rsidRDefault="00694C0F">
            <w:pPr>
              <w:pStyle w:val="TableBodyText"/>
            </w:pPr>
            <w:r>
              <w:t>Hungarian</w:t>
            </w:r>
          </w:p>
        </w:tc>
        <w:tc>
          <w:tcPr>
            <w:tcW w:w="0" w:type="auto"/>
            <w:vAlign w:val="center"/>
          </w:tcPr>
          <w:p w:rsidR="00024C0A" w:rsidRDefault="00694C0F">
            <w:pPr>
              <w:pStyle w:val="TableBodyText"/>
            </w:pPr>
            <w:r>
              <w:t>Hungary</w:t>
            </w:r>
          </w:p>
        </w:tc>
        <w:tc>
          <w:tcPr>
            <w:tcW w:w="0" w:type="auto"/>
            <w:vAlign w:val="center"/>
          </w:tcPr>
          <w:p w:rsidR="00024C0A" w:rsidRDefault="00694C0F">
            <w:pPr>
              <w:pStyle w:val="TableBodyText"/>
            </w:pPr>
            <w:r>
              <w:t>hu-HU</w:t>
            </w:r>
          </w:p>
        </w:tc>
      </w:tr>
      <w:tr w:rsidR="00024C0A" w:rsidTr="00024C0A">
        <w:tc>
          <w:tcPr>
            <w:tcW w:w="0" w:type="auto"/>
            <w:vAlign w:val="center"/>
          </w:tcPr>
          <w:p w:rsidR="00024C0A" w:rsidRDefault="00694C0F">
            <w:pPr>
              <w:pStyle w:val="TableBodyText"/>
            </w:pPr>
            <w:r>
              <w:t>Icelandic</w:t>
            </w:r>
          </w:p>
        </w:tc>
        <w:tc>
          <w:tcPr>
            <w:tcW w:w="0" w:type="auto"/>
            <w:vAlign w:val="center"/>
          </w:tcPr>
          <w:p w:rsidR="00024C0A" w:rsidRDefault="00694C0F">
            <w:pPr>
              <w:pStyle w:val="TableBodyText"/>
            </w:pPr>
            <w:r>
              <w:t>Iceland</w:t>
            </w:r>
          </w:p>
        </w:tc>
        <w:tc>
          <w:tcPr>
            <w:tcW w:w="0" w:type="auto"/>
            <w:vAlign w:val="center"/>
          </w:tcPr>
          <w:p w:rsidR="00024C0A" w:rsidRDefault="00694C0F">
            <w:pPr>
              <w:pStyle w:val="TableBodyText"/>
            </w:pPr>
            <w:r>
              <w:t>is-IS</w:t>
            </w:r>
          </w:p>
        </w:tc>
      </w:tr>
      <w:tr w:rsidR="00024C0A" w:rsidTr="00024C0A">
        <w:tc>
          <w:tcPr>
            <w:tcW w:w="0" w:type="auto"/>
            <w:vAlign w:val="center"/>
          </w:tcPr>
          <w:p w:rsidR="00024C0A" w:rsidRDefault="00694C0F">
            <w:pPr>
              <w:pStyle w:val="TableBodyText"/>
            </w:pPr>
            <w:r>
              <w:t xml:space="preserve">Igbo </w:t>
            </w:r>
          </w:p>
        </w:tc>
        <w:tc>
          <w:tcPr>
            <w:tcW w:w="0" w:type="auto"/>
            <w:vAlign w:val="center"/>
          </w:tcPr>
          <w:p w:rsidR="00024C0A" w:rsidRDefault="00694C0F">
            <w:pPr>
              <w:pStyle w:val="TableBodyText"/>
            </w:pPr>
            <w:r>
              <w:t>Nigeria</w:t>
            </w:r>
          </w:p>
        </w:tc>
        <w:tc>
          <w:tcPr>
            <w:tcW w:w="0" w:type="auto"/>
            <w:vAlign w:val="center"/>
          </w:tcPr>
          <w:p w:rsidR="00024C0A" w:rsidRDefault="00694C0F">
            <w:pPr>
              <w:pStyle w:val="TableBodyText"/>
            </w:pPr>
            <w:r>
              <w:t xml:space="preserve">ig-NG </w:t>
            </w:r>
          </w:p>
        </w:tc>
      </w:tr>
      <w:tr w:rsidR="00024C0A" w:rsidTr="00024C0A">
        <w:tc>
          <w:tcPr>
            <w:tcW w:w="0" w:type="auto"/>
            <w:vAlign w:val="center"/>
          </w:tcPr>
          <w:p w:rsidR="00024C0A" w:rsidRDefault="00694C0F">
            <w:pPr>
              <w:pStyle w:val="TableBodyText"/>
            </w:pPr>
            <w:r>
              <w:t>Inari Sami</w:t>
            </w:r>
          </w:p>
        </w:tc>
        <w:tc>
          <w:tcPr>
            <w:tcW w:w="0" w:type="auto"/>
            <w:vAlign w:val="center"/>
          </w:tcPr>
          <w:p w:rsidR="00024C0A" w:rsidRDefault="00694C0F">
            <w:pPr>
              <w:pStyle w:val="TableBodyText"/>
            </w:pPr>
            <w:r>
              <w:t>Finland</w:t>
            </w:r>
          </w:p>
        </w:tc>
        <w:tc>
          <w:tcPr>
            <w:tcW w:w="0" w:type="auto"/>
            <w:vAlign w:val="center"/>
          </w:tcPr>
          <w:p w:rsidR="00024C0A" w:rsidRDefault="00694C0F">
            <w:pPr>
              <w:pStyle w:val="TableBodyText"/>
            </w:pPr>
            <w:r>
              <w:t>smn-FI</w:t>
            </w:r>
          </w:p>
        </w:tc>
      </w:tr>
      <w:tr w:rsidR="00024C0A" w:rsidTr="00024C0A">
        <w:tc>
          <w:tcPr>
            <w:tcW w:w="0" w:type="auto"/>
            <w:vAlign w:val="center"/>
          </w:tcPr>
          <w:p w:rsidR="00024C0A" w:rsidRDefault="00694C0F">
            <w:pPr>
              <w:pStyle w:val="TableBodyText"/>
            </w:pPr>
            <w:r>
              <w:t>Indonesian</w:t>
            </w:r>
          </w:p>
        </w:tc>
        <w:tc>
          <w:tcPr>
            <w:tcW w:w="0" w:type="auto"/>
            <w:vAlign w:val="center"/>
          </w:tcPr>
          <w:p w:rsidR="00024C0A" w:rsidRDefault="00694C0F">
            <w:pPr>
              <w:pStyle w:val="TableBodyText"/>
            </w:pPr>
            <w:r>
              <w:t>Indonesia</w:t>
            </w:r>
          </w:p>
        </w:tc>
        <w:tc>
          <w:tcPr>
            <w:tcW w:w="0" w:type="auto"/>
            <w:vAlign w:val="center"/>
          </w:tcPr>
          <w:p w:rsidR="00024C0A" w:rsidRDefault="00694C0F">
            <w:pPr>
              <w:pStyle w:val="TableBodyText"/>
            </w:pPr>
            <w:r>
              <w:t>id-ID</w:t>
            </w:r>
          </w:p>
        </w:tc>
      </w:tr>
      <w:tr w:rsidR="00024C0A" w:rsidTr="00024C0A">
        <w:tc>
          <w:tcPr>
            <w:tcW w:w="0" w:type="auto"/>
            <w:vAlign w:val="center"/>
          </w:tcPr>
          <w:p w:rsidR="00024C0A" w:rsidRDefault="00694C0F">
            <w:pPr>
              <w:pStyle w:val="TableBodyText"/>
            </w:pPr>
            <w:r>
              <w:t>Inuktitut (Latin)</w:t>
            </w:r>
          </w:p>
        </w:tc>
        <w:tc>
          <w:tcPr>
            <w:tcW w:w="0" w:type="auto"/>
            <w:vAlign w:val="center"/>
          </w:tcPr>
          <w:p w:rsidR="00024C0A" w:rsidRDefault="00694C0F">
            <w:pPr>
              <w:pStyle w:val="TableBodyText"/>
            </w:pPr>
            <w:r>
              <w:t>Canada</w:t>
            </w:r>
          </w:p>
        </w:tc>
        <w:tc>
          <w:tcPr>
            <w:tcW w:w="0" w:type="auto"/>
            <w:vAlign w:val="center"/>
          </w:tcPr>
          <w:p w:rsidR="00024C0A" w:rsidRDefault="00694C0F">
            <w:pPr>
              <w:pStyle w:val="TableBodyText"/>
            </w:pPr>
            <w:r>
              <w:t>iu-CA-Latn</w:t>
            </w:r>
          </w:p>
        </w:tc>
      </w:tr>
      <w:tr w:rsidR="00024C0A" w:rsidTr="00024C0A">
        <w:tc>
          <w:tcPr>
            <w:tcW w:w="0" w:type="auto"/>
            <w:vAlign w:val="center"/>
          </w:tcPr>
          <w:p w:rsidR="00024C0A" w:rsidRDefault="00694C0F">
            <w:pPr>
              <w:pStyle w:val="TableBodyText"/>
            </w:pPr>
            <w:r>
              <w:t>Inuktitut (Syllabics)</w:t>
            </w:r>
          </w:p>
        </w:tc>
        <w:tc>
          <w:tcPr>
            <w:tcW w:w="0" w:type="auto"/>
            <w:vAlign w:val="center"/>
          </w:tcPr>
          <w:p w:rsidR="00024C0A" w:rsidRDefault="00694C0F">
            <w:pPr>
              <w:pStyle w:val="TableBodyText"/>
            </w:pPr>
            <w:r>
              <w:t>Canada</w:t>
            </w:r>
          </w:p>
        </w:tc>
        <w:tc>
          <w:tcPr>
            <w:tcW w:w="0" w:type="auto"/>
            <w:vAlign w:val="center"/>
          </w:tcPr>
          <w:p w:rsidR="00024C0A" w:rsidRDefault="00694C0F">
            <w:pPr>
              <w:pStyle w:val="TableBodyText"/>
            </w:pPr>
            <w:r>
              <w:t>iu-CA-Cans</w:t>
            </w:r>
          </w:p>
        </w:tc>
      </w:tr>
      <w:tr w:rsidR="00024C0A" w:rsidTr="00024C0A">
        <w:tc>
          <w:tcPr>
            <w:tcW w:w="0" w:type="auto"/>
            <w:vAlign w:val="center"/>
          </w:tcPr>
          <w:p w:rsidR="00024C0A" w:rsidRDefault="00694C0F">
            <w:pPr>
              <w:pStyle w:val="TableBodyText"/>
            </w:pPr>
            <w:r>
              <w:t>Irish</w:t>
            </w:r>
          </w:p>
        </w:tc>
        <w:tc>
          <w:tcPr>
            <w:tcW w:w="0" w:type="auto"/>
            <w:vAlign w:val="center"/>
          </w:tcPr>
          <w:p w:rsidR="00024C0A" w:rsidRDefault="00694C0F">
            <w:pPr>
              <w:pStyle w:val="TableBodyText"/>
            </w:pPr>
            <w:r>
              <w:t>Ireland</w:t>
            </w:r>
          </w:p>
        </w:tc>
        <w:tc>
          <w:tcPr>
            <w:tcW w:w="0" w:type="auto"/>
            <w:vAlign w:val="center"/>
          </w:tcPr>
          <w:p w:rsidR="00024C0A" w:rsidRDefault="00694C0F">
            <w:pPr>
              <w:pStyle w:val="TableBodyText"/>
            </w:pPr>
            <w:r>
              <w:t>ga-IE</w:t>
            </w:r>
          </w:p>
        </w:tc>
      </w:tr>
      <w:tr w:rsidR="00024C0A" w:rsidTr="00024C0A">
        <w:tc>
          <w:tcPr>
            <w:tcW w:w="0" w:type="auto"/>
            <w:vAlign w:val="center"/>
          </w:tcPr>
          <w:p w:rsidR="00024C0A" w:rsidRDefault="00694C0F">
            <w:pPr>
              <w:pStyle w:val="TableBodyText"/>
            </w:pPr>
            <w:r>
              <w:t>isiXhosa / Xhosa</w:t>
            </w:r>
          </w:p>
        </w:tc>
        <w:tc>
          <w:tcPr>
            <w:tcW w:w="0" w:type="auto"/>
            <w:vAlign w:val="center"/>
          </w:tcPr>
          <w:p w:rsidR="00024C0A" w:rsidRDefault="00694C0F">
            <w:pPr>
              <w:pStyle w:val="TableBodyText"/>
            </w:pPr>
            <w:r>
              <w:t>South Africa</w:t>
            </w:r>
          </w:p>
        </w:tc>
        <w:tc>
          <w:tcPr>
            <w:tcW w:w="0" w:type="auto"/>
            <w:vAlign w:val="center"/>
          </w:tcPr>
          <w:p w:rsidR="00024C0A" w:rsidRDefault="00694C0F">
            <w:pPr>
              <w:pStyle w:val="TableBodyText"/>
            </w:pPr>
            <w:r>
              <w:t>xh-ZA</w:t>
            </w:r>
          </w:p>
        </w:tc>
      </w:tr>
      <w:tr w:rsidR="00024C0A" w:rsidTr="00024C0A">
        <w:tc>
          <w:tcPr>
            <w:tcW w:w="0" w:type="auto"/>
            <w:vAlign w:val="center"/>
          </w:tcPr>
          <w:p w:rsidR="00024C0A" w:rsidRDefault="00694C0F">
            <w:pPr>
              <w:pStyle w:val="TableBodyText"/>
            </w:pPr>
            <w:r>
              <w:lastRenderedPageBreak/>
              <w:t>isiZulu / Zulu</w:t>
            </w:r>
          </w:p>
        </w:tc>
        <w:tc>
          <w:tcPr>
            <w:tcW w:w="0" w:type="auto"/>
            <w:vAlign w:val="center"/>
          </w:tcPr>
          <w:p w:rsidR="00024C0A" w:rsidRDefault="00694C0F">
            <w:pPr>
              <w:pStyle w:val="TableBodyText"/>
            </w:pPr>
            <w:r>
              <w:t>South Africa</w:t>
            </w:r>
          </w:p>
        </w:tc>
        <w:tc>
          <w:tcPr>
            <w:tcW w:w="0" w:type="auto"/>
            <w:vAlign w:val="center"/>
          </w:tcPr>
          <w:p w:rsidR="00024C0A" w:rsidRDefault="00694C0F">
            <w:pPr>
              <w:pStyle w:val="TableBodyText"/>
            </w:pPr>
            <w:r>
              <w:t>zu-ZA</w:t>
            </w:r>
          </w:p>
        </w:tc>
      </w:tr>
      <w:tr w:rsidR="00024C0A" w:rsidTr="00024C0A">
        <w:tc>
          <w:tcPr>
            <w:tcW w:w="0" w:type="auto"/>
            <w:vAlign w:val="center"/>
          </w:tcPr>
          <w:p w:rsidR="00024C0A" w:rsidRDefault="00694C0F">
            <w:pPr>
              <w:pStyle w:val="TableBodyText"/>
            </w:pPr>
            <w:r>
              <w:t>Italian</w:t>
            </w:r>
          </w:p>
        </w:tc>
        <w:tc>
          <w:tcPr>
            <w:tcW w:w="0" w:type="auto"/>
            <w:vAlign w:val="center"/>
          </w:tcPr>
          <w:p w:rsidR="00024C0A" w:rsidRDefault="00694C0F">
            <w:pPr>
              <w:pStyle w:val="TableBodyText"/>
            </w:pPr>
            <w:r>
              <w:t>Italy</w:t>
            </w:r>
          </w:p>
        </w:tc>
        <w:tc>
          <w:tcPr>
            <w:tcW w:w="0" w:type="auto"/>
            <w:vAlign w:val="center"/>
          </w:tcPr>
          <w:p w:rsidR="00024C0A" w:rsidRDefault="00694C0F">
            <w:pPr>
              <w:pStyle w:val="TableBodyText"/>
            </w:pPr>
            <w:r>
              <w:t>it-IT</w:t>
            </w:r>
          </w:p>
        </w:tc>
      </w:tr>
      <w:tr w:rsidR="00024C0A" w:rsidTr="00024C0A">
        <w:tc>
          <w:tcPr>
            <w:tcW w:w="0" w:type="auto"/>
            <w:vAlign w:val="center"/>
          </w:tcPr>
          <w:p w:rsidR="00024C0A" w:rsidRDefault="00694C0F">
            <w:pPr>
              <w:pStyle w:val="TableBodyText"/>
            </w:pPr>
            <w:r>
              <w:t>Italian</w:t>
            </w:r>
          </w:p>
        </w:tc>
        <w:tc>
          <w:tcPr>
            <w:tcW w:w="0" w:type="auto"/>
            <w:vAlign w:val="center"/>
          </w:tcPr>
          <w:p w:rsidR="00024C0A" w:rsidRDefault="00694C0F">
            <w:pPr>
              <w:pStyle w:val="TableBodyText"/>
            </w:pPr>
            <w:r>
              <w:t>Switzerland</w:t>
            </w:r>
          </w:p>
        </w:tc>
        <w:tc>
          <w:tcPr>
            <w:tcW w:w="0" w:type="auto"/>
            <w:vAlign w:val="center"/>
          </w:tcPr>
          <w:p w:rsidR="00024C0A" w:rsidRDefault="00694C0F">
            <w:pPr>
              <w:pStyle w:val="TableBodyText"/>
            </w:pPr>
            <w:r>
              <w:t>it-CH</w:t>
            </w:r>
          </w:p>
        </w:tc>
      </w:tr>
      <w:tr w:rsidR="00024C0A" w:rsidTr="00024C0A">
        <w:tc>
          <w:tcPr>
            <w:tcW w:w="0" w:type="auto"/>
            <w:vAlign w:val="center"/>
          </w:tcPr>
          <w:p w:rsidR="00024C0A" w:rsidRDefault="00694C0F">
            <w:pPr>
              <w:pStyle w:val="TableBodyText"/>
            </w:pPr>
            <w:r>
              <w:t>Japanese</w:t>
            </w:r>
          </w:p>
        </w:tc>
        <w:tc>
          <w:tcPr>
            <w:tcW w:w="0" w:type="auto"/>
            <w:vAlign w:val="center"/>
          </w:tcPr>
          <w:p w:rsidR="00024C0A" w:rsidRDefault="00694C0F">
            <w:pPr>
              <w:pStyle w:val="TableBodyText"/>
            </w:pPr>
            <w:r>
              <w:t>Japan</w:t>
            </w:r>
          </w:p>
        </w:tc>
        <w:tc>
          <w:tcPr>
            <w:tcW w:w="0" w:type="auto"/>
            <w:vAlign w:val="center"/>
          </w:tcPr>
          <w:p w:rsidR="00024C0A" w:rsidRDefault="00694C0F">
            <w:pPr>
              <w:pStyle w:val="TableBodyText"/>
            </w:pPr>
            <w:r>
              <w:t>ja-JP</w:t>
            </w:r>
          </w:p>
        </w:tc>
      </w:tr>
      <w:tr w:rsidR="00024C0A" w:rsidTr="00024C0A">
        <w:tc>
          <w:tcPr>
            <w:tcW w:w="0" w:type="auto"/>
            <w:vAlign w:val="center"/>
          </w:tcPr>
          <w:p w:rsidR="00024C0A" w:rsidRDefault="00694C0F">
            <w:pPr>
              <w:pStyle w:val="TableBodyText"/>
            </w:pPr>
            <w:r>
              <w:t>Kannada (Kannada Script)</w:t>
            </w:r>
          </w:p>
        </w:tc>
        <w:tc>
          <w:tcPr>
            <w:tcW w:w="0" w:type="auto"/>
            <w:vAlign w:val="center"/>
          </w:tcPr>
          <w:p w:rsidR="00024C0A" w:rsidRDefault="00694C0F">
            <w:pPr>
              <w:pStyle w:val="TableBodyText"/>
            </w:pPr>
            <w:r>
              <w:t>India</w:t>
            </w:r>
          </w:p>
        </w:tc>
        <w:tc>
          <w:tcPr>
            <w:tcW w:w="0" w:type="auto"/>
            <w:vAlign w:val="center"/>
          </w:tcPr>
          <w:p w:rsidR="00024C0A" w:rsidRDefault="00694C0F">
            <w:pPr>
              <w:pStyle w:val="TableBodyText"/>
            </w:pPr>
            <w:r>
              <w:t>kn-IN</w:t>
            </w:r>
          </w:p>
        </w:tc>
      </w:tr>
      <w:tr w:rsidR="00024C0A" w:rsidTr="00024C0A">
        <w:tc>
          <w:tcPr>
            <w:tcW w:w="0" w:type="auto"/>
            <w:vAlign w:val="center"/>
          </w:tcPr>
          <w:p w:rsidR="00024C0A" w:rsidRDefault="00694C0F">
            <w:pPr>
              <w:pStyle w:val="TableBodyText"/>
            </w:pPr>
            <w:r>
              <w:t>Kazakh</w:t>
            </w:r>
          </w:p>
        </w:tc>
        <w:tc>
          <w:tcPr>
            <w:tcW w:w="0" w:type="auto"/>
            <w:vAlign w:val="center"/>
          </w:tcPr>
          <w:p w:rsidR="00024C0A" w:rsidRDefault="00694C0F">
            <w:pPr>
              <w:pStyle w:val="TableBodyText"/>
            </w:pPr>
            <w:r>
              <w:t>Kazakhstan</w:t>
            </w:r>
          </w:p>
        </w:tc>
        <w:tc>
          <w:tcPr>
            <w:tcW w:w="0" w:type="auto"/>
            <w:vAlign w:val="center"/>
          </w:tcPr>
          <w:p w:rsidR="00024C0A" w:rsidRDefault="00694C0F">
            <w:pPr>
              <w:pStyle w:val="TableBodyText"/>
            </w:pPr>
            <w:r>
              <w:t>kk-KZ</w:t>
            </w:r>
          </w:p>
        </w:tc>
      </w:tr>
      <w:tr w:rsidR="00024C0A" w:rsidTr="00024C0A">
        <w:tc>
          <w:tcPr>
            <w:tcW w:w="0" w:type="auto"/>
            <w:vAlign w:val="center"/>
          </w:tcPr>
          <w:p w:rsidR="00024C0A" w:rsidRDefault="00694C0F">
            <w:pPr>
              <w:pStyle w:val="TableBodyText"/>
            </w:pPr>
            <w:r>
              <w:t>Khmer</w:t>
            </w:r>
          </w:p>
        </w:tc>
        <w:tc>
          <w:tcPr>
            <w:tcW w:w="0" w:type="auto"/>
            <w:vAlign w:val="center"/>
          </w:tcPr>
          <w:p w:rsidR="00024C0A" w:rsidRDefault="00694C0F">
            <w:pPr>
              <w:pStyle w:val="TableBodyText"/>
            </w:pPr>
            <w:r>
              <w:t>Cambodia</w:t>
            </w:r>
          </w:p>
        </w:tc>
        <w:tc>
          <w:tcPr>
            <w:tcW w:w="0" w:type="auto"/>
            <w:vAlign w:val="center"/>
          </w:tcPr>
          <w:p w:rsidR="00024C0A" w:rsidRDefault="00694C0F">
            <w:pPr>
              <w:pStyle w:val="TableBodyText"/>
            </w:pPr>
            <w:r>
              <w:t>kh-KH</w:t>
            </w:r>
          </w:p>
        </w:tc>
      </w:tr>
      <w:tr w:rsidR="00024C0A" w:rsidTr="00024C0A">
        <w:tc>
          <w:tcPr>
            <w:tcW w:w="0" w:type="auto"/>
            <w:vAlign w:val="center"/>
          </w:tcPr>
          <w:p w:rsidR="00024C0A" w:rsidRDefault="00694C0F">
            <w:pPr>
              <w:pStyle w:val="TableBodyText"/>
            </w:pPr>
            <w:r>
              <w:t>K'iche</w:t>
            </w:r>
          </w:p>
        </w:tc>
        <w:tc>
          <w:tcPr>
            <w:tcW w:w="0" w:type="auto"/>
            <w:vAlign w:val="center"/>
          </w:tcPr>
          <w:p w:rsidR="00024C0A" w:rsidRDefault="00694C0F">
            <w:pPr>
              <w:pStyle w:val="TableBodyText"/>
            </w:pPr>
            <w:r>
              <w:t>Guatemala</w:t>
            </w:r>
          </w:p>
        </w:tc>
        <w:tc>
          <w:tcPr>
            <w:tcW w:w="0" w:type="auto"/>
            <w:vAlign w:val="center"/>
          </w:tcPr>
          <w:p w:rsidR="00024C0A" w:rsidRDefault="00694C0F">
            <w:pPr>
              <w:pStyle w:val="TableBodyText"/>
            </w:pPr>
            <w:r>
              <w:t>qut-GT</w:t>
            </w:r>
          </w:p>
        </w:tc>
      </w:tr>
      <w:tr w:rsidR="00024C0A" w:rsidTr="00024C0A">
        <w:tc>
          <w:tcPr>
            <w:tcW w:w="0" w:type="auto"/>
            <w:vAlign w:val="center"/>
          </w:tcPr>
          <w:p w:rsidR="00024C0A" w:rsidRDefault="00694C0F">
            <w:pPr>
              <w:pStyle w:val="TableBodyText"/>
            </w:pPr>
            <w:r>
              <w:t xml:space="preserve">Kinyarwanda </w:t>
            </w:r>
          </w:p>
        </w:tc>
        <w:tc>
          <w:tcPr>
            <w:tcW w:w="0" w:type="auto"/>
            <w:vAlign w:val="center"/>
          </w:tcPr>
          <w:p w:rsidR="00024C0A" w:rsidRDefault="00694C0F">
            <w:pPr>
              <w:pStyle w:val="TableBodyText"/>
            </w:pPr>
            <w:r>
              <w:t>Rwanda</w:t>
            </w:r>
          </w:p>
        </w:tc>
        <w:tc>
          <w:tcPr>
            <w:tcW w:w="0" w:type="auto"/>
            <w:vAlign w:val="center"/>
          </w:tcPr>
          <w:p w:rsidR="00024C0A" w:rsidRDefault="00694C0F">
            <w:pPr>
              <w:pStyle w:val="TableBodyText"/>
            </w:pPr>
            <w:r>
              <w:t>rw-RW</w:t>
            </w:r>
          </w:p>
        </w:tc>
      </w:tr>
      <w:tr w:rsidR="00024C0A" w:rsidTr="00024C0A">
        <w:tc>
          <w:tcPr>
            <w:tcW w:w="0" w:type="auto"/>
            <w:vAlign w:val="center"/>
          </w:tcPr>
          <w:p w:rsidR="00024C0A" w:rsidRDefault="00694C0F">
            <w:pPr>
              <w:pStyle w:val="TableBodyText"/>
            </w:pPr>
            <w:r>
              <w:t>Konkani</w:t>
            </w:r>
          </w:p>
        </w:tc>
        <w:tc>
          <w:tcPr>
            <w:tcW w:w="0" w:type="auto"/>
            <w:vAlign w:val="center"/>
          </w:tcPr>
          <w:p w:rsidR="00024C0A" w:rsidRDefault="00694C0F">
            <w:pPr>
              <w:pStyle w:val="TableBodyText"/>
            </w:pPr>
            <w:r>
              <w:t>India</w:t>
            </w:r>
          </w:p>
        </w:tc>
        <w:tc>
          <w:tcPr>
            <w:tcW w:w="0" w:type="auto"/>
            <w:vAlign w:val="center"/>
          </w:tcPr>
          <w:p w:rsidR="00024C0A" w:rsidRDefault="00694C0F">
            <w:pPr>
              <w:pStyle w:val="TableBodyText"/>
            </w:pPr>
            <w:r>
              <w:t>kok-IN</w:t>
            </w:r>
          </w:p>
        </w:tc>
      </w:tr>
      <w:tr w:rsidR="00024C0A" w:rsidTr="00024C0A">
        <w:tc>
          <w:tcPr>
            <w:tcW w:w="0" w:type="auto"/>
            <w:vAlign w:val="center"/>
          </w:tcPr>
          <w:p w:rsidR="00024C0A" w:rsidRDefault="00694C0F">
            <w:pPr>
              <w:pStyle w:val="TableBodyText"/>
            </w:pPr>
            <w:r>
              <w:t>Korean</w:t>
            </w:r>
          </w:p>
        </w:tc>
        <w:tc>
          <w:tcPr>
            <w:tcW w:w="0" w:type="auto"/>
            <w:vAlign w:val="center"/>
          </w:tcPr>
          <w:p w:rsidR="00024C0A" w:rsidRDefault="00694C0F">
            <w:pPr>
              <w:pStyle w:val="TableBodyText"/>
            </w:pPr>
            <w:r>
              <w:t>Korea</w:t>
            </w:r>
          </w:p>
        </w:tc>
        <w:tc>
          <w:tcPr>
            <w:tcW w:w="0" w:type="auto"/>
            <w:vAlign w:val="center"/>
          </w:tcPr>
          <w:p w:rsidR="00024C0A" w:rsidRDefault="00694C0F">
            <w:pPr>
              <w:pStyle w:val="TableBodyText"/>
            </w:pPr>
            <w:r>
              <w:t>ko-KR</w:t>
            </w:r>
          </w:p>
        </w:tc>
      </w:tr>
      <w:tr w:rsidR="00024C0A" w:rsidTr="00024C0A">
        <w:tc>
          <w:tcPr>
            <w:tcW w:w="0" w:type="auto"/>
            <w:vAlign w:val="center"/>
          </w:tcPr>
          <w:p w:rsidR="00024C0A" w:rsidRDefault="00694C0F">
            <w:pPr>
              <w:pStyle w:val="TableBodyText"/>
            </w:pPr>
            <w:r>
              <w:t>Kyrgyz</w:t>
            </w:r>
          </w:p>
        </w:tc>
        <w:tc>
          <w:tcPr>
            <w:tcW w:w="0" w:type="auto"/>
            <w:vAlign w:val="center"/>
          </w:tcPr>
          <w:p w:rsidR="00024C0A" w:rsidRDefault="00694C0F">
            <w:pPr>
              <w:pStyle w:val="TableBodyText"/>
            </w:pPr>
            <w:r>
              <w:t>Kyrgyzstan</w:t>
            </w:r>
          </w:p>
        </w:tc>
        <w:tc>
          <w:tcPr>
            <w:tcW w:w="0" w:type="auto"/>
            <w:vAlign w:val="center"/>
          </w:tcPr>
          <w:p w:rsidR="00024C0A" w:rsidRDefault="00694C0F">
            <w:pPr>
              <w:pStyle w:val="TableBodyText"/>
            </w:pPr>
            <w:r>
              <w:t>ky-KG</w:t>
            </w:r>
          </w:p>
        </w:tc>
      </w:tr>
      <w:tr w:rsidR="00024C0A" w:rsidTr="00024C0A">
        <w:tc>
          <w:tcPr>
            <w:tcW w:w="0" w:type="auto"/>
            <w:vAlign w:val="center"/>
          </w:tcPr>
          <w:p w:rsidR="00024C0A" w:rsidRDefault="00694C0F">
            <w:pPr>
              <w:pStyle w:val="TableBodyText"/>
            </w:pPr>
            <w:r>
              <w:t>Lao</w:t>
            </w:r>
          </w:p>
        </w:tc>
        <w:tc>
          <w:tcPr>
            <w:tcW w:w="0" w:type="auto"/>
            <w:vAlign w:val="center"/>
          </w:tcPr>
          <w:p w:rsidR="00024C0A" w:rsidRDefault="00694C0F">
            <w:pPr>
              <w:pStyle w:val="TableBodyText"/>
            </w:pPr>
            <w:r>
              <w:t>Lao PDR</w:t>
            </w:r>
          </w:p>
        </w:tc>
        <w:tc>
          <w:tcPr>
            <w:tcW w:w="0" w:type="auto"/>
            <w:vAlign w:val="center"/>
          </w:tcPr>
          <w:p w:rsidR="00024C0A" w:rsidRDefault="00694C0F">
            <w:pPr>
              <w:pStyle w:val="TableBodyText"/>
            </w:pPr>
            <w:r>
              <w:t>lo-LA</w:t>
            </w:r>
          </w:p>
        </w:tc>
      </w:tr>
      <w:tr w:rsidR="00024C0A" w:rsidTr="00024C0A">
        <w:tc>
          <w:tcPr>
            <w:tcW w:w="0" w:type="auto"/>
            <w:vAlign w:val="center"/>
          </w:tcPr>
          <w:p w:rsidR="00024C0A" w:rsidRDefault="00694C0F">
            <w:pPr>
              <w:pStyle w:val="TableBodyText"/>
            </w:pPr>
            <w:r>
              <w:t>Latvian</w:t>
            </w:r>
          </w:p>
        </w:tc>
        <w:tc>
          <w:tcPr>
            <w:tcW w:w="0" w:type="auto"/>
            <w:vAlign w:val="center"/>
          </w:tcPr>
          <w:p w:rsidR="00024C0A" w:rsidRDefault="00694C0F">
            <w:pPr>
              <w:pStyle w:val="TableBodyText"/>
            </w:pPr>
            <w:r>
              <w:t>Latvia</w:t>
            </w:r>
          </w:p>
        </w:tc>
        <w:tc>
          <w:tcPr>
            <w:tcW w:w="0" w:type="auto"/>
            <w:vAlign w:val="center"/>
          </w:tcPr>
          <w:p w:rsidR="00024C0A" w:rsidRDefault="00694C0F">
            <w:pPr>
              <w:pStyle w:val="TableBodyText"/>
            </w:pPr>
            <w:r>
              <w:t>lv-LV</w:t>
            </w:r>
          </w:p>
        </w:tc>
      </w:tr>
      <w:tr w:rsidR="00024C0A" w:rsidTr="00024C0A">
        <w:tc>
          <w:tcPr>
            <w:tcW w:w="0" w:type="auto"/>
            <w:vAlign w:val="center"/>
          </w:tcPr>
          <w:p w:rsidR="00024C0A" w:rsidRDefault="00694C0F">
            <w:pPr>
              <w:pStyle w:val="TableBodyText"/>
            </w:pPr>
            <w:r>
              <w:t>Lithuanian</w:t>
            </w:r>
          </w:p>
        </w:tc>
        <w:tc>
          <w:tcPr>
            <w:tcW w:w="0" w:type="auto"/>
            <w:vAlign w:val="center"/>
          </w:tcPr>
          <w:p w:rsidR="00024C0A" w:rsidRDefault="00694C0F">
            <w:pPr>
              <w:pStyle w:val="TableBodyText"/>
            </w:pPr>
            <w:r>
              <w:t>Lithuania</w:t>
            </w:r>
          </w:p>
        </w:tc>
        <w:tc>
          <w:tcPr>
            <w:tcW w:w="0" w:type="auto"/>
            <w:vAlign w:val="center"/>
          </w:tcPr>
          <w:p w:rsidR="00024C0A" w:rsidRDefault="00694C0F">
            <w:pPr>
              <w:pStyle w:val="TableBodyText"/>
            </w:pPr>
            <w:r>
              <w:t>lt-LT</w:t>
            </w:r>
          </w:p>
        </w:tc>
      </w:tr>
      <w:tr w:rsidR="00024C0A" w:rsidTr="00024C0A">
        <w:tc>
          <w:tcPr>
            <w:tcW w:w="0" w:type="auto"/>
            <w:vAlign w:val="center"/>
          </w:tcPr>
          <w:p w:rsidR="00024C0A" w:rsidRDefault="00694C0F">
            <w:pPr>
              <w:pStyle w:val="TableBodyText"/>
            </w:pPr>
            <w:r>
              <w:t>Lower Sorbian</w:t>
            </w:r>
          </w:p>
        </w:tc>
        <w:tc>
          <w:tcPr>
            <w:tcW w:w="0" w:type="auto"/>
            <w:vAlign w:val="center"/>
          </w:tcPr>
          <w:p w:rsidR="00024C0A" w:rsidRDefault="00694C0F">
            <w:pPr>
              <w:pStyle w:val="TableBodyText"/>
            </w:pPr>
            <w:r>
              <w:t>Germany</w:t>
            </w:r>
          </w:p>
        </w:tc>
        <w:tc>
          <w:tcPr>
            <w:tcW w:w="0" w:type="auto"/>
            <w:vAlign w:val="center"/>
          </w:tcPr>
          <w:p w:rsidR="00024C0A" w:rsidRDefault="00694C0F">
            <w:pPr>
              <w:pStyle w:val="TableBodyText"/>
            </w:pPr>
            <w:r>
              <w:t>wee-DE</w:t>
            </w:r>
          </w:p>
        </w:tc>
      </w:tr>
      <w:tr w:rsidR="00024C0A" w:rsidTr="00024C0A">
        <w:tc>
          <w:tcPr>
            <w:tcW w:w="0" w:type="auto"/>
            <w:vAlign w:val="center"/>
          </w:tcPr>
          <w:p w:rsidR="00024C0A" w:rsidRDefault="00694C0F">
            <w:pPr>
              <w:pStyle w:val="TableBodyText"/>
            </w:pPr>
            <w:r>
              <w:t>Lule Sami</w:t>
            </w:r>
          </w:p>
        </w:tc>
        <w:tc>
          <w:tcPr>
            <w:tcW w:w="0" w:type="auto"/>
            <w:vAlign w:val="center"/>
          </w:tcPr>
          <w:p w:rsidR="00024C0A" w:rsidRDefault="00694C0F">
            <w:pPr>
              <w:pStyle w:val="TableBodyText"/>
            </w:pPr>
            <w:r>
              <w:t>Norway</w:t>
            </w:r>
          </w:p>
        </w:tc>
        <w:tc>
          <w:tcPr>
            <w:tcW w:w="0" w:type="auto"/>
            <w:vAlign w:val="center"/>
          </w:tcPr>
          <w:p w:rsidR="00024C0A" w:rsidRDefault="00694C0F">
            <w:pPr>
              <w:pStyle w:val="TableBodyText"/>
            </w:pPr>
            <w:r>
              <w:t>smj-NO</w:t>
            </w:r>
          </w:p>
        </w:tc>
      </w:tr>
      <w:tr w:rsidR="00024C0A" w:rsidTr="00024C0A">
        <w:tc>
          <w:tcPr>
            <w:tcW w:w="0" w:type="auto"/>
            <w:vAlign w:val="center"/>
          </w:tcPr>
          <w:p w:rsidR="00024C0A" w:rsidRDefault="00694C0F">
            <w:pPr>
              <w:pStyle w:val="TableBodyText"/>
            </w:pPr>
            <w:r>
              <w:t>Lule Sami</w:t>
            </w:r>
          </w:p>
        </w:tc>
        <w:tc>
          <w:tcPr>
            <w:tcW w:w="0" w:type="auto"/>
            <w:vAlign w:val="center"/>
          </w:tcPr>
          <w:p w:rsidR="00024C0A" w:rsidRDefault="00694C0F">
            <w:pPr>
              <w:pStyle w:val="TableBodyText"/>
            </w:pPr>
            <w:r>
              <w:t>Sweden</w:t>
            </w:r>
          </w:p>
        </w:tc>
        <w:tc>
          <w:tcPr>
            <w:tcW w:w="0" w:type="auto"/>
            <w:vAlign w:val="center"/>
          </w:tcPr>
          <w:p w:rsidR="00024C0A" w:rsidRDefault="00694C0F">
            <w:pPr>
              <w:pStyle w:val="TableBodyText"/>
            </w:pPr>
            <w:r>
              <w:t>smj-SE</w:t>
            </w:r>
          </w:p>
        </w:tc>
      </w:tr>
      <w:tr w:rsidR="00024C0A" w:rsidTr="00024C0A">
        <w:tc>
          <w:tcPr>
            <w:tcW w:w="0" w:type="auto"/>
            <w:vAlign w:val="center"/>
          </w:tcPr>
          <w:p w:rsidR="00024C0A" w:rsidRDefault="00694C0F">
            <w:pPr>
              <w:pStyle w:val="TableBodyText"/>
            </w:pPr>
            <w:r>
              <w:t>Luxembourgish</w:t>
            </w:r>
          </w:p>
        </w:tc>
        <w:tc>
          <w:tcPr>
            <w:tcW w:w="0" w:type="auto"/>
            <w:vAlign w:val="center"/>
          </w:tcPr>
          <w:p w:rsidR="00024C0A" w:rsidRDefault="00694C0F">
            <w:pPr>
              <w:pStyle w:val="TableBodyText"/>
            </w:pPr>
            <w:r>
              <w:t>Luxembourg</w:t>
            </w:r>
          </w:p>
        </w:tc>
        <w:tc>
          <w:tcPr>
            <w:tcW w:w="0" w:type="auto"/>
            <w:vAlign w:val="center"/>
          </w:tcPr>
          <w:p w:rsidR="00024C0A" w:rsidRDefault="00694C0F">
            <w:pPr>
              <w:pStyle w:val="TableBodyText"/>
            </w:pPr>
            <w:r>
              <w:t>lb-LU</w:t>
            </w:r>
          </w:p>
        </w:tc>
      </w:tr>
      <w:tr w:rsidR="00024C0A" w:rsidTr="00024C0A">
        <w:tc>
          <w:tcPr>
            <w:tcW w:w="0" w:type="auto"/>
            <w:vAlign w:val="center"/>
          </w:tcPr>
          <w:p w:rsidR="00024C0A" w:rsidRDefault="00694C0F">
            <w:pPr>
              <w:pStyle w:val="TableBodyText"/>
            </w:pPr>
            <w:r>
              <w:t xml:space="preserve">Macedonian </w:t>
            </w:r>
          </w:p>
        </w:tc>
        <w:tc>
          <w:tcPr>
            <w:tcW w:w="0" w:type="auto"/>
            <w:vAlign w:val="center"/>
          </w:tcPr>
          <w:p w:rsidR="00024C0A" w:rsidRDefault="00694C0F">
            <w:pPr>
              <w:pStyle w:val="TableBodyText"/>
            </w:pPr>
            <w:r>
              <w:t>Macedonia, FYRO</w:t>
            </w:r>
          </w:p>
        </w:tc>
        <w:tc>
          <w:tcPr>
            <w:tcW w:w="0" w:type="auto"/>
            <w:vAlign w:val="center"/>
          </w:tcPr>
          <w:p w:rsidR="00024C0A" w:rsidRDefault="00694C0F">
            <w:pPr>
              <w:pStyle w:val="TableBodyText"/>
            </w:pPr>
            <w:r>
              <w:t>mk-MK</w:t>
            </w:r>
          </w:p>
        </w:tc>
      </w:tr>
      <w:tr w:rsidR="00024C0A" w:rsidTr="00024C0A">
        <w:tc>
          <w:tcPr>
            <w:tcW w:w="0" w:type="auto"/>
            <w:vAlign w:val="center"/>
          </w:tcPr>
          <w:p w:rsidR="00024C0A" w:rsidRDefault="00694C0F">
            <w:pPr>
              <w:pStyle w:val="TableBodyText"/>
            </w:pPr>
            <w:r>
              <w:t>Malay</w:t>
            </w:r>
          </w:p>
        </w:tc>
        <w:tc>
          <w:tcPr>
            <w:tcW w:w="0" w:type="auto"/>
            <w:vAlign w:val="center"/>
          </w:tcPr>
          <w:p w:rsidR="00024C0A" w:rsidRDefault="00694C0F">
            <w:pPr>
              <w:pStyle w:val="TableBodyText"/>
            </w:pPr>
            <w:r>
              <w:t>Brunei</w:t>
            </w:r>
          </w:p>
        </w:tc>
        <w:tc>
          <w:tcPr>
            <w:tcW w:w="0" w:type="auto"/>
            <w:vAlign w:val="center"/>
          </w:tcPr>
          <w:p w:rsidR="00024C0A" w:rsidRDefault="00694C0F">
            <w:pPr>
              <w:pStyle w:val="TableBodyText"/>
            </w:pPr>
            <w:r>
              <w:t>ms-BN</w:t>
            </w:r>
          </w:p>
        </w:tc>
      </w:tr>
      <w:tr w:rsidR="00024C0A" w:rsidTr="00024C0A">
        <w:tc>
          <w:tcPr>
            <w:tcW w:w="0" w:type="auto"/>
            <w:vAlign w:val="center"/>
          </w:tcPr>
          <w:p w:rsidR="00024C0A" w:rsidRDefault="00694C0F">
            <w:pPr>
              <w:pStyle w:val="TableBodyText"/>
            </w:pPr>
            <w:r>
              <w:t>Malay</w:t>
            </w:r>
          </w:p>
        </w:tc>
        <w:tc>
          <w:tcPr>
            <w:tcW w:w="0" w:type="auto"/>
            <w:vAlign w:val="center"/>
          </w:tcPr>
          <w:p w:rsidR="00024C0A" w:rsidRDefault="00694C0F">
            <w:pPr>
              <w:pStyle w:val="TableBodyText"/>
            </w:pPr>
            <w:r>
              <w:t>Malaysia</w:t>
            </w:r>
          </w:p>
        </w:tc>
        <w:tc>
          <w:tcPr>
            <w:tcW w:w="0" w:type="auto"/>
            <w:vAlign w:val="center"/>
          </w:tcPr>
          <w:p w:rsidR="00024C0A" w:rsidRDefault="00694C0F">
            <w:pPr>
              <w:pStyle w:val="TableBodyText"/>
            </w:pPr>
            <w:r>
              <w:t>ms-MY</w:t>
            </w:r>
          </w:p>
        </w:tc>
      </w:tr>
      <w:tr w:rsidR="00024C0A" w:rsidTr="00024C0A">
        <w:tc>
          <w:tcPr>
            <w:tcW w:w="0" w:type="auto"/>
            <w:vAlign w:val="center"/>
          </w:tcPr>
          <w:p w:rsidR="00024C0A" w:rsidRDefault="00694C0F">
            <w:pPr>
              <w:pStyle w:val="TableBodyText"/>
            </w:pPr>
            <w:r>
              <w:t xml:space="preserve">Malayalam (Malayalam Script) </w:t>
            </w:r>
          </w:p>
        </w:tc>
        <w:tc>
          <w:tcPr>
            <w:tcW w:w="0" w:type="auto"/>
            <w:vAlign w:val="center"/>
          </w:tcPr>
          <w:p w:rsidR="00024C0A" w:rsidRDefault="00694C0F">
            <w:pPr>
              <w:pStyle w:val="TableBodyText"/>
            </w:pPr>
            <w:r>
              <w:t>India</w:t>
            </w:r>
          </w:p>
        </w:tc>
        <w:tc>
          <w:tcPr>
            <w:tcW w:w="0" w:type="auto"/>
            <w:vAlign w:val="center"/>
          </w:tcPr>
          <w:p w:rsidR="00024C0A" w:rsidRDefault="00694C0F">
            <w:pPr>
              <w:pStyle w:val="TableBodyText"/>
            </w:pPr>
            <w:r>
              <w:t>ml-IN</w:t>
            </w:r>
          </w:p>
        </w:tc>
      </w:tr>
      <w:tr w:rsidR="00024C0A" w:rsidTr="00024C0A">
        <w:tc>
          <w:tcPr>
            <w:tcW w:w="0" w:type="auto"/>
            <w:vAlign w:val="center"/>
          </w:tcPr>
          <w:p w:rsidR="00024C0A" w:rsidRDefault="00694C0F">
            <w:pPr>
              <w:pStyle w:val="TableBodyText"/>
            </w:pPr>
            <w:r>
              <w:t>Maltese</w:t>
            </w:r>
          </w:p>
        </w:tc>
        <w:tc>
          <w:tcPr>
            <w:tcW w:w="0" w:type="auto"/>
            <w:vAlign w:val="center"/>
          </w:tcPr>
          <w:p w:rsidR="00024C0A" w:rsidRDefault="00694C0F">
            <w:pPr>
              <w:pStyle w:val="TableBodyText"/>
            </w:pPr>
            <w:r>
              <w:t>Malta</w:t>
            </w:r>
          </w:p>
        </w:tc>
        <w:tc>
          <w:tcPr>
            <w:tcW w:w="0" w:type="auto"/>
            <w:vAlign w:val="center"/>
          </w:tcPr>
          <w:p w:rsidR="00024C0A" w:rsidRDefault="00694C0F">
            <w:pPr>
              <w:pStyle w:val="TableBodyText"/>
            </w:pPr>
            <w:r>
              <w:t>mt-MT</w:t>
            </w:r>
          </w:p>
        </w:tc>
      </w:tr>
      <w:tr w:rsidR="00024C0A" w:rsidTr="00024C0A">
        <w:tc>
          <w:tcPr>
            <w:tcW w:w="0" w:type="auto"/>
            <w:vAlign w:val="center"/>
          </w:tcPr>
          <w:p w:rsidR="00024C0A" w:rsidRDefault="00694C0F">
            <w:pPr>
              <w:pStyle w:val="TableBodyText"/>
            </w:pPr>
            <w:r>
              <w:t>Maori</w:t>
            </w:r>
          </w:p>
        </w:tc>
        <w:tc>
          <w:tcPr>
            <w:tcW w:w="0" w:type="auto"/>
            <w:vAlign w:val="center"/>
          </w:tcPr>
          <w:p w:rsidR="00024C0A" w:rsidRDefault="00694C0F">
            <w:pPr>
              <w:pStyle w:val="TableBodyText"/>
            </w:pPr>
            <w:r>
              <w:t>New Zealand</w:t>
            </w:r>
          </w:p>
        </w:tc>
        <w:tc>
          <w:tcPr>
            <w:tcW w:w="0" w:type="auto"/>
            <w:vAlign w:val="center"/>
          </w:tcPr>
          <w:p w:rsidR="00024C0A" w:rsidRDefault="00694C0F">
            <w:pPr>
              <w:pStyle w:val="TableBodyText"/>
            </w:pPr>
            <w:r>
              <w:t>mi-NZ</w:t>
            </w:r>
          </w:p>
        </w:tc>
      </w:tr>
      <w:tr w:rsidR="00024C0A" w:rsidTr="00024C0A">
        <w:tc>
          <w:tcPr>
            <w:tcW w:w="0" w:type="auto"/>
            <w:vAlign w:val="center"/>
          </w:tcPr>
          <w:p w:rsidR="00024C0A" w:rsidRDefault="00694C0F">
            <w:pPr>
              <w:pStyle w:val="TableBodyText"/>
            </w:pPr>
            <w:r>
              <w:t>Mapudungun</w:t>
            </w:r>
          </w:p>
        </w:tc>
        <w:tc>
          <w:tcPr>
            <w:tcW w:w="0" w:type="auto"/>
            <w:vAlign w:val="center"/>
          </w:tcPr>
          <w:p w:rsidR="00024C0A" w:rsidRDefault="00694C0F">
            <w:pPr>
              <w:pStyle w:val="TableBodyText"/>
            </w:pPr>
            <w:r>
              <w:t>Chile</w:t>
            </w:r>
          </w:p>
        </w:tc>
        <w:tc>
          <w:tcPr>
            <w:tcW w:w="0" w:type="auto"/>
            <w:vAlign w:val="center"/>
          </w:tcPr>
          <w:p w:rsidR="00024C0A" w:rsidRDefault="00694C0F">
            <w:pPr>
              <w:pStyle w:val="TableBodyText"/>
            </w:pPr>
            <w:r>
              <w:t>arn-CL</w:t>
            </w:r>
          </w:p>
        </w:tc>
      </w:tr>
      <w:tr w:rsidR="00024C0A" w:rsidTr="00024C0A">
        <w:tc>
          <w:tcPr>
            <w:tcW w:w="0" w:type="auto"/>
            <w:vAlign w:val="center"/>
          </w:tcPr>
          <w:p w:rsidR="00024C0A" w:rsidRDefault="00694C0F">
            <w:pPr>
              <w:pStyle w:val="TableBodyText"/>
            </w:pPr>
            <w:r>
              <w:t>Marathi</w:t>
            </w:r>
          </w:p>
        </w:tc>
        <w:tc>
          <w:tcPr>
            <w:tcW w:w="0" w:type="auto"/>
            <w:vAlign w:val="center"/>
          </w:tcPr>
          <w:p w:rsidR="00024C0A" w:rsidRDefault="00694C0F">
            <w:pPr>
              <w:pStyle w:val="TableBodyText"/>
            </w:pPr>
            <w:r>
              <w:t>India</w:t>
            </w:r>
          </w:p>
        </w:tc>
        <w:tc>
          <w:tcPr>
            <w:tcW w:w="0" w:type="auto"/>
            <w:vAlign w:val="center"/>
          </w:tcPr>
          <w:p w:rsidR="00024C0A" w:rsidRDefault="00694C0F">
            <w:pPr>
              <w:pStyle w:val="TableBodyText"/>
            </w:pPr>
            <w:r>
              <w:t>mr-IN</w:t>
            </w:r>
          </w:p>
        </w:tc>
      </w:tr>
      <w:tr w:rsidR="00024C0A" w:rsidTr="00024C0A">
        <w:tc>
          <w:tcPr>
            <w:tcW w:w="0" w:type="auto"/>
            <w:vAlign w:val="center"/>
          </w:tcPr>
          <w:p w:rsidR="00024C0A" w:rsidRDefault="00694C0F">
            <w:pPr>
              <w:pStyle w:val="TableBodyText"/>
            </w:pPr>
            <w:r>
              <w:t>Mohawk</w:t>
            </w:r>
          </w:p>
        </w:tc>
        <w:tc>
          <w:tcPr>
            <w:tcW w:w="0" w:type="auto"/>
            <w:vAlign w:val="center"/>
          </w:tcPr>
          <w:p w:rsidR="00024C0A" w:rsidRDefault="00694C0F">
            <w:pPr>
              <w:pStyle w:val="TableBodyText"/>
            </w:pPr>
            <w:r>
              <w:t>Mohawk</w:t>
            </w:r>
          </w:p>
        </w:tc>
        <w:tc>
          <w:tcPr>
            <w:tcW w:w="0" w:type="auto"/>
            <w:vAlign w:val="center"/>
          </w:tcPr>
          <w:p w:rsidR="00024C0A" w:rsidRDefault="00694C0F">
            <w:pPr>
              <w:pStyle w:val="TableBodyText"/>
            </w:pPr>
            <w:r>
              <w:t>moh-CA</w:t>
            </w:r>
          </w:p>
        </w:tc>
      </w:tr>
      <w:tr w:rsidR="00024C0A" w:rsidTr="00024C0A">
        <w:tc>
          <w:tcPr>
            <w:tcW w:w="0" w:type="auto"/>
            <w:vAlign w:val="center"/>
          </w:tcPr>
          <w:p w:rsidR="00024C0A" w:rsidRDefault="00694C0F">
            <w:pPr>
              <w:pStyle w:val="TableBodyText"/>
            </w:pPr>
            <w:r>
              <w:t>Mongolian (Cyrillic)</w:t>
            </w:r>
          </w:p>
        </w:tc>
        <w:tc>
          <w:tcPr>
            <w:tcW w:w="0" w:type="auto"/>
            <w:vAlign w:val="center"/>
          </w:tcPr>
          <w:p w:rsidR="00024C0A" w:rsidRDefault="00694C0F">
            <w:pPr>
              <w:pStyle w:val="TableBodyText"/>
            </w:pPr>
            <w:r>
              <w:t>Mongolia</w:t>
            </w:r>
          </w:p>
        </w:tc>
        <w:tc>
          <w:tcPr>
            <w:tcW w:w="0" w:type="auto"/>
            <w:vAlign w:val="center"/>
          </w:tcPr>
          <w:p w:rsidR="00024C0A" w:rsidRDefault="00694C0F">
            <w:pPr>
              <w:pStyle w:val="TableBodyText"/>
            </w:pPr>
            <w:r>
              <w:t>mn-MN</w:t>
            </w:r>
          </w:p>
        </w:tc>
      </w:tr>
      <w:tr w:rsidR="00024C0A" w:rsidTr="00024C0A">
        <w:tc>
          <w:tcPr>
            <w:tcW w:w="0" w:type="auto"/>
            <w:vAlign w:val="center"/>
          </w:tcPr>
          <w:p w:rsidR="00024C0A" w:rsidRDefault="00694C0F">
            <w:pPr>
              <w:pStyle w:val="TableBodyText"/>
            </w:pPr>
            <w:r>
              <w:t>Mongolian (Mongolian)</w:t>
            </w:r>
          </w:p>
        </w:tc>
        <w:tc>
          <w:tcPr>
            <w:tcW w:w="0" w:type="auto"/>
            <w:vAlign w:val="center"/>
          </w:tcPr>
          <w:p w:rsidR="00024C0A" w:rsidRDefault="00694C0F">
            <w:pPr>
              <w:pStyle w:val="TableBodyText"/>
            </w:pPr>
            <w:r>
              <w:t>PRC</w:t>
            </w:r>
          </w:p>
        </w:tc>
        <w:tc>
          <w:tcPr>
            <w:tcW w:w="0" w:type="auto"/>
            <w:vAlign w:val="center"/>
          </w:tcPr>
          <w:p w:rsidR="00024C0A" w:rsidRDefault="00694C0F">
            <w:pPr>
              <w:pStyle w:val="TableBodyText"/>
            </w:pPr>
            <w:r>
              <w:t>mn-CN-Mong</w:t>
            </w:r>
          </w:p>
        </w:tc>
      </w:tr>
      <w:tr w:rsidR="00024C0A" w:rsidTr="00024C0A">
        <w:tc>
          <w:tcPr>
            <w:tcW w:w="0" w:type="auto"/>
            <w:vAlign w:val="center"/>
          </w:tcPr>
          <w:p w:rsidR="00024C0A" w:rsidRDefault="00694C0F">
            <w:pPr>
              <w:pStyle w:val="TableBodyText"/>
            </w:pPr>
            <w:r>
              <w:t>Nepali</w:t>
            </w:r>
          </w:p>
        </w:tc>
        <w:tc>
          <w:tcPr>
            <w:tcW w:w="0" w:type="auto"/>
            <w:vAlign w:val="center"/>
          </w:tcPr>
          <w:p w:rsidR="00024C0A" w:rsidRDefault="00694C0F">
            <w:pPr>
              <w:pStyle w:val="TableBodyText"/>
            </w:pPr>
            <w:r>
              <w:t>Nepal</w:t>
            </w:r>
          </w:p>
        </w:tc>
        <w:tc>
          <w:tcPr>
            <w:tcW w:w="0" w:type="auto"/>
            <w:vAlign w:val="center"/>
          </w:tcPr>
          <w:p w:rsidR="00024C0A" w:rsidRDefault="00694C0F">
            <w:pPr>
              <w:pStyle w:val="TableBodyText"/>
            </w:pPr>
            <w:r>
              <w:t>ne-NP</w:t>
            </w:r>
          </w:p>
        </w:tc>
      </w:tr>
      <w:tr w:rsidR="00024C0A" w:rsidTr="00024C0A">
        <w:tc>
          <w:tcPr>
            <w:tcW w:w="0" w:type="auto"/>
            <w:vAlign w:val="center"/>
          </w:tcPr>
          <w:p w:rsidR="00024C0A" w:rsidRDefault="00694C0F">
            <w:pPr>
              <w:pStyle w:val="TableBodyText"/>
            </w:pPr>
            <w:r>
              <w:t>Northern Sami</w:t>
            </w:r>
          </w:p>
        </w:tc>
        <w:tc>
          <w:tcPr>
            <w:tcW w:w="0" w:type="auto"/>
            <w:vAlign w:val="center"/>
          </w:tcPr>
          <w:p w:rsidR="00024C0A" w:rsidRDefault="00694C0F">
            <w:pPr>
              <w:pStyle w:val="TableBodyText"/>
            </w:pPr>
            <w:r>
              <w:t>Finland</w:t>
            </w:r>
          </w:p>
        </w:tc>
        <w:tc>
          <w:tcPr>
            <w:tcW w:w="0" w:type="auto"/>
            <w:vAlign w:val="center"/>
          </w:tcPr>
          <w:p w:rsidR="00024C0A" w:rsidRDefault="00694C0F">
            <w:pPr>
              <w:pStyle w:val="TableBodyText"/>
            </w:pPr>
            <w:r>
              <w:t>se-FI</w:t>
            </w:r>
          </w:p>
        </w:tc>
      </w:tr>
      <w:tr w:rsidR="00024C0A" w:rsidTr="00024C0A">
        <w:tc>
          <w:tcPr>
            <w:tcW w:w="0" w:type="auto"/>
            <w:vAlign w:val="center"/>
          </w:tcPr>
          <w:p w:rsidR="00024C0A" w:rsidRDefault="00694C0F">
            <w:pPr>
              <w:pStyle w:val="TableBodyText"/>
            </w:pPr>
            <w:r>
              <w:lastRenderedPageBreak/>
              <w:t xml:space="preserve">Northern </w:t>
            </w:r>
            <w:r>
              <w:t>Sami</w:t>
            </w:r>
          </w:p>
        </w:tc>
        <w:tc>
          <w:tcPr>
            <w:tcW w:w="0" w:type="auto"/>
            <w:vAlign w:val="center"/>
          </w:tcPr>
          <w:p w:rsidR="00024C0A" w:rsidRDefault="00694C0F">
            <w:pPr>
              <w:pStyle w:val="TableBodyText"/>
            </w:pPr>
            <w:r>
              <w:t>Norway</w:t>
            </w:r>
          </w:p>
        </w:tc>
        <w:tc>
          <w:tcPr>
            <w:tcW w:w="0" w:type="auto"/>
            <w:vAlign w:val="center"/>
          </w:tcPr>
          <w:p w:rsidR="00024C0A" w:rsidRDefault="00694C0F">
            <w:pPr>
              <w:pStyle w:val="TableBodyText"/>
            </w:pPr>
            <w:r>
              <w:t>se-NO</w:t>
            </w:r>
          </w:p>
        </w:tc>
      </w:tr>
      <w:tr w:rsidR="00024C0A" w:rsidTr="00024C0A">
        <w:tc>
          <w:tcPr>
            <w:tcW w:w="0" w:type="auto"/>
            <w:vAlign w:val="center"/>
          </w:tcPr>
          <w:p w:rsidR="00024C0A" w:rsidRDefault="00694C0F">
            <w:pPr>
              <w:pStyle w:val="TableBodyText"/>
            </w:pPr>
            <w:r>
              <w:t>Northern Sami</w:t>
            </w:r>
          </w:p>
        </w:tc>
        <w:tc>
          <w:tcPr>
            <w:tcW w:w="0" w:type="auto"/>
            <w:vAlign w:val="center"/>
          </w:tcPr>
          <w:p w:rsidR="00024C0A" w:rsidRDefault="00694C0F">
            <w:pPr>
              <w:pStyle w:val="TableBodyText"/>
            </w:pPr>
            <w:r>
              <w:t>Sweden</w:t>
            </w:r>
          </w:p>
        </w:tc>
        <w:tc>
          <w:tcPr>
            <w:tcW w:w="0" w:type="auto"/>
            <w:vAlign w:val="center"/>
          </w:tcPr>
          <w:p w:rsidR="00024C0A" w:rsidRDefault="00694C0F">
            <w:pPr>
              <w:pStyle w:val="TableBodyText"/>
            </w:pPr>
            <w:r>
              <w:t>se-SE</w:t>
            </w:r>
          </w:p>
        </w:tc>
      </w:tr>
      <w:tr w:rsidR="00024C0A" w:rsidTr="00024C0A">
        <w:tc>
          <w:tcPr>
            <w:tcW w:w="0" w:type="auto"/>
            <w:vAlign w:val="center"/>
          </w:tcPr>
          <w:p w:rsidR="00024C0A" w:rsidRDefault="00694C0F">
            <w:pPr>
              <w:pStyle w:val="TableBodyText"/>
            </w:pPr>
            <w:r>
              <w:t>Norwegian (Bokmål)</w:t>
            </w:r>
          </w:p>
        </w:tc>
        <w:tc>
          <w:tcPr>
            <w:tcW w:w="0" w:type="auto"/>
            <w:vAlign w:val="center"/>
          </w:tcPr>
          <w:p w:rsidR="00024C0A" w:rsidRDefault="00694C0F">
            <w:pPr>
              <w:pStyle w:val="TableBodyText"/>
            </w:pPr>
            <w:r>
              <w:t>Norway</w:t>
            </w:r>
          </w:p>
        </w:tc>
        <w:tc>
          <w:tcPr>
            <w:tcW w:w="0" w:type="auto"/>
            <w:vAlign w:val="center"/>
          </w:tcPr>
          <w:p w:rsidR="00024C0A" w:rsidRDefault="00694C0F">
            <w:pPr>
              <w:pStyle w:val="TableBodyText"/>
            </w:pPr>
            <w:r>
              <w:t>nb-NO</w:t>
            </w:r>
          </w:p>
        </w:tc>
      </w:tr>
      <w:tr w:rsidR="00024C0A" w:rsidTr="00024C0A">
        <w:tc>
          <w:tcPr>
            <w:tcW w:w="0" w:type="auto"/>
            <w:vAlign w:val="center"/>
          </w:tcPr>
          <w:p w:rsidR="00024C0A" w:rsidRDefault="00694C0F">
            <w:pPr>
              <w:pStyle w:val="TableBodyText"/>
            </w:pPr>
            <w:r>
              <w:t>Norwegian (Nynorsk)</w:t>
            </w:r>
          </w:p>
        </w:tc>
        <w:tc>
          <w:tcPr>
            <w:tcW w:w="0" w:type="auto"/>
            <w:vAlign w:val="center"/>
          </w:tcPr>
          <w:p w:rsidR="00024C0A" w:rsidRDefault="00694C0F">
            <w:pPr>
              <w:pStyle w:val="TableBodyText"/>
            </w:pPr>
            <w:r>
              <w:t>Norway</w:t>
            </w:r>
          </w:p>
        </w:tc>
        <w:tc>
          <w:tcPr>
            <w:tcW w:w="0" w:type="auto"/>
            <w:vAlign w:val="center"/>
          </w:tcPr>
          <w:p w:rsidR="00024C0A" w:rsidRDefault="00694C0F">
            <w:pPr>
              <w:pStyle w:val="TableBodyText"/>
            </w:pPr>
            <w:r>
              <w:t>nn-NO</w:t>
            </w:r>
          </w:p>
        </w:tc>
      </w:tr>
      <w:tr w:rsidR="00024C0A" w:rsidTr="00024C0A">
        <w:tc>
          <w:tcPr>
            <w:tcW w:w="0" w:type="auto"/>
            <w:vAlign w:val="center"/>
          </w:tcPr>
          <w:p w:rsidR="00024C0A" w:rsidRDefault="00694C0F">
            <w:pPr>
              <w:pStyle w:val="TableBodyText"/>
            </w:pPr>
            <w:r>
              <w:t>Occitan</w:t>
            </w:r>
          </w:p>
        </w:tc>
        <w:tc>
          <w:tcPr>
            <w:tcW w:w="0" w:type="auto"/>
            <w:vAlign w:val="center"/>
          </w:tcPr>
          <w:p w:rsidR="00024C0A" w:rsidRDefault="00694C0F">
            <w:pPr>
              <w:pStyle w:val="TableBodyText"/>
            </w:pPr>
            <w:r>
              <w:t>France</w:t>
            </w:r>
          </w:p>
        </w:tc>
        <w:tc>
          <w:tcPr>
            <w:tcW w:w="0" w:type="auto"/>
            <w:vAlign w:val="center"/>
          </w:tcPr>
          <w:p w:rsidR="00024C0A" w:rsidRDefault="00694C0F">
            <w:pPr>
              <w:pStyle w:val="TableBodyText"/>
            </w:pPr>
            <w:r>
              <w:t>oc-FR</w:t>
            </w:r>
          </w:p>
        </w:tc>
      </w:tr>
      <w:tr w:rsidR="00024C0A" w:rsidTr="00024C0A">
        <w:tc>
          <w:tcPr>
            <w:tcW w:w="0" w:type="auto"/>
            <w:vAlign w:val="center"/>
          </w:tcPr>
          <w:p w:rsidR="00024C0A" w:rsidRDefault="00694C0F">
            <w:pPr>
              <w:pStyle w:val="TableBodyText"/>
            </w:pPr>
            <w:r>
              <w:t>Odia (Odia Script)</w:t>
            </w:r>
          </w:p>
        </w:tc>
        <w:tc>
          <w:tcPr>
            <w:tcW w:w="0" w:type="auto"/>
            <w:vAlign w:val="center"/>
          </w:tcPr>
          <w:p w:rsidR="00024C0A" w:rsidRDefault="00694C0F">
            <w:pPr>
              <w:pStyle w:val="TableBodyText"/>
            </w:pPr>
            <w:r>
              <w:t xml:space="preserve">India </w:t>
            </w:r>
          </w:p>
        </w:tc>
        <w:tc>
          <w:tcPr>
            <w:tcW w:w="0" w:type="auto"/>
            <w:vAlign w:val="center"/>
          </w:tcPr>
          <w:p w:rsidR="00024C0A" w:rsidRDefault="00694C0F">
            <w:pPr>
              <w:pStyle w:val="TableBodyText"/>
            </w:pPr>
            <w:r>
              <w:t>or-IN</w:t>
            </w:r>
          </w:p>
        </w:tc>
      </w:tr>
      <w:tr w:rsidR="00024C0A" w:rsidTr="00024C0A">
        <w:tc>
          <w:tcPr>
            <w:tcW w:w="0" w:type="auto"/>
            <w:vAlign w:val="center"/>
          </w:tcPr>
          <w:p w:rsidR="00024C0A" w:rsidRDefault="00694C0F">
            <w:pPr>
              <w:pStyle w:val="TableBodyText"/>
            </w:pPr>
            <w:r>
              <w:t>Pashto</w:t>
            </w:r>
          </w:p>
        </w:tc>
        <w:tc>
          <w:tcPr>
            <w:tcW w:w="0" w:type="auto"/>
            <w:vAlign w:val="center"/>
          </w:tcPr>
          <w:p w:rsidR="00024C0A" w:rsidRDefault="00694C0F">
            <w:pPr>
              <w:pStyle w:val="TableBodyText"/>
            </w:pPr>
            <w:r>
              <w:t>Afghanistan</w:t>
            </w:r>
          </w:p>
        </w:tc>
        <w:tc>
          <w:tcPr>
            <w:tcW w:w="0" w:type="auto"/>
            <w:vAlign w:val="center"/>
          </w:tcPr>
          <w:p w:rsidR="00024C0A" w:rsidRDefault="00694C0F">
            <w:pPr>
              <w:pStyle w:val="TableBodyText"/>
            </w:pPr>
            <w:r>
              <w:t>ps-AF</w:t>
            </w:r>
          </w:p>
        </w:tc>
      </w:tr>
      <w:tr w:rsidR="00024C0A" w:rsidTr="00024C0A">
        <w:tc>
          <w:tcPr>
            <w:tcW w:w="0" w:type="auto"/>
            <w:vAlign w:val="center"/>
          </w:tcPr>
          <w:p w:rsidR="00024C0A" w:rsidRDefault="00694C0F">
            <w:pPr>
              <w:pStyle w:val="TableBodyText"/>
            </w:pPr>
            <w:r>
              <w:t>Persian</w:t>
            </w:r>
          </w:p>
        </w:tc>
        <w:tc>
          <w:tcPr>
            <w:tcW w:w="0" w:type="auto"/>
            <w:vAlign w:val="center"/>
          </w:tcPr>
          <w:p w:rsidR="00024C0A" w:rsidRDefault="00694C0F">
            <w:pPr>
              <w:pStyle w:val="TableBodyText"/>
            </w:pPr>
            <w:r>
              <w:t>Iran</w:t>
            </w:r>
          </w:p>
        </w:tc>
        <w:tc>
          <w:tcPr>
            <w:tcW w:w="0" w:type="auto"/>
            <w:vAlign w:val="center"/>
          </w:tcPr>
          <w:p w:rsidR="00024C0A" w:rsidRDefault="00694C0F">
            <w:pPr>
              <w:pStyle w:val="TableBodyText"/>
            </w:pPr>
            <w:r>
              <w:t>fa-IR</w:t>
            </w:r>
          </w:p>
        </w:tc>
      </w:tr>
      <w:tr w:rsidR="00024C0A" w:rsidTr="00024C0A">
        <w:tc>
          <w:tcPr>
            <w:tcW w:w="0" w:type="auto"/>
            <w:vAlign w:val="center"/>
          </w:tcPr>
          <w:p w:rsidR="00024C0A" w:rsidRDefault="00694C0F">
            <w:pPr>
              <w:pStyle w:val="TableBodyText"/>
            </w:pPr>
            <w:r>
              <w:t>Polish</w:t>
            </w:r>
          </w:p>
        </w:tc>
        <w:tc>
          <w:tcPr>
            <w:tcW w:w="0" w:type="auto"/>
            <w:vAlign w:val="center"/>
          </w:tcPr>
          <w:p w:rsidR="00024C0A" w:rsidRDefault="00694C0F">
            <w:pPr>
              <w:pStyle w:val="TableBodyText"/>
            </w:pPr>
            <w:r>
              <w:t>Poland</w:t>
            </w:r>
          </w:p>
        </w:tc>
        <w:tc>
          <w:tcPr>
            <w:tcW w:w="0" w:type="auto"/>
            <w:vAlign w:val="center"/>
          </w:tcPr>
          <w:p w:rsidR="00024C0A" w:rsidRDefault="00694C0F">
            <w:pPr>
              <w:pStyle w:val="TableBodyText"/>
            </w:pPr>
            <w:r>
              <w:t>pl-PL</w:t>
            </w:r>
          </w:p>
        </w:tc>
      </w:tr>
      <w:tr w:rsidR="00024C0A" w:rsidTr="00024C0A">
        <w:tc>
          <w:tcPr>
            <w:tcW w:w="0" w:type="auto"/>
            <w:vAlign w:val="center"/>
          </w:tcPr>
          <w:p w:rsidR="00024C0A" w:rsidRDefault="00694C0F">
            <w:pPr>
              <w:pStyle w:val="TableBodyText"/>
            </w:pPr>
            <w:r>
              <w:t>Portuguese</w:t>
            </w:r>
          </w:p>
        </w:tc>
        <w:tc>
          <w:tcPr>
            <w:tcW w:w="0" w:type="auto"/>
            <w:vAlign w:val="center"/>
          </w:tcPr>
          <w:p w:rsidR="00024C0A" w:rsidRDefault="00694C0F">
            <w:pPr>
              <w:pStyle w:val="TableBodyText"/>
            </w:pPr>
            <w:r>
              <w:t>Brazil</w:t>
            </w:r>
          </w:p>
        </w:tc>
        <w:tc>
          <w:tcPr>
            <w:tcW w:w="0" w:type="auto"/>
            <w:vAlign w:val="center"/>
          </w:tcPr>
          <w:p w:rsidR="00024C0A" w:rsidRDefault="00694C0F">
            <w:pPr>
              <w:pStyle w:val="TableBodyText"/>
            </w:pPr>
            <w:r>
              <w:t>pt-BR</w:t>
            </w:r>
          </w:p>
        </w:tc>
      </w:tr>
      <w:tr w:rsidR="00024C0A" w:rsidTr="00024C0A">
        <w:tc>
          <w:tcPr>
            <w:tcW w:w="0" w:type="auto"/>
            <w:vAlign w:val="center"/>
          </w:tcPr>
          <w:p w:rsidR="00024C0A" w:rsidRDefault="00694C0F">
            <w:pPr>
              <w:pStyle w:val="TableBodyText"/>
            </w:pPr>
            <w:r>
              <w:t>Portuguese</w:t>
            </w:r>
          </w:p>
        </w:tc>
        <w:tc>
          <w:tcPr>
            <w:tcW w:w="0" w:type="auto"/>
            <w:vAlign w:val="center"/>
          </w:tcPr>
          <w:p w:rsidR="00024C0A" w:rsidRDefault="00694C0F">
            <w:pPr>
              <w:pStyle w:val="TableBodyText"/>
            </w:pPr>
            <w:r>
              <w:t>Portugal</w:t>
            </w:r>
          </w:p>
        </w:tc>
        <w:tc>
          <w:tcPr>
            <w:tcW w:w="0" w:type="auto"/>
            <w:vAlign w:val="center"/>
          </w:tcPr>
          <w:p w:rsidR="00024C0A" w:rsidRDefault="00694C0F">
            <w:pPr>
              <w:pStyle w:val="TableBodyText"/>
            </w:pPr>
            <w:r>
              <w:t>pt-PT</w:t>
            </w:r>
          </w:p>
        </w:tc>
      </w:tr>
      <w:tr w:rsidR="00024C0A" w:rsidTr="00024C0A">
        <w:tc>
          <w:tcPr>
            <w:tcW w:w="0" w:type="auto"/>
            <w:vAlign w:val="center"/>
          </w:tcPr>
          <w:p w:rsidR="00024C0A" w:rsidRDefault="00694C0F">
            <w:pPr>
              <w:pStyle w:val="TableBodyText"/>
            </w:pPr>
            <w:r>
              <w:t>Punjabi (Gurmukhi Script)</w:t>
            </w:r>
          </w:p>
        </w:tc>
        <w:tc>
          <w:tcPr>
            <w:tcW w:w="0" w:type="auto"/>
            <w:vAlign w:val="center"/>
          </w:tcPr>
          <w:p w:rsidR="00024C0A" w:rsidRDefault="00694C0F">
            <w:pPr>
              <w:pStyle w:val="TableBodyText"/>
            </w:pPr>
            <w:r>
              <w:t>India</w:t>
            </w:r>
          </w:p>
        </w:tc>
        <w:tc>
          <w:tcPr>
            <w:tcW w:w="0" w:type="auto"/>
            <w:vAlign w:val="center"/>
          </w:tcPr>
          <w:p w:rsidR="00024C0A" w:rsidRDefault="00694C0F">
            <w:pPr>
              <w:pStyle w:val="TableBodyText"/>
            </w:pPr>
            <w:r>
              <w:t>pa-IN</w:t>
            </w:r>
          </w:p>
        </w:tc>
      </w:tr>
      <w:tr w:rsidR="00024C0A" w:rsidTr="00024C0A">
        <w:tc>
          <w:tcPr>
            <w:tcW w:w="0" w:type="auto"/>
            <w:vAlign w:val="center"/>
          </w:tcPr>
          <w:p w:rsidR="00024C0A" w:rsidRDefault="00694C0F">
            <w:pPr>
              <w:pStyle w:val="TableBodyText"/>
            </w:pPr>
            <w:r>
              <w:t>Quechua</w:t>
            </w:r>
          </w:p>
        </w:tc>
        <w:tc>
          <w:tcPr>
            <w:tcW w:w="0" w:type="auto"/>
            <w:vAlign w:val="center"/>
          </w:tcPr>
          <w:p w:rsidR="00024C0A" w:rsidRDefault="00694C0F">
            <w:pPr>
              <w:pStyle w:val="TableBodyText"/>
            </w:pPr>
            <w:r>
              <w:t>Bolivia</w:t>
            </w:r>
          </w:p>
        </w:tc>
        <w:tc>
          <w:tcPr>
            <w:tcW w:w="0" w:type="auto"/>
            <w:vAlign w:val="center"/>
          </w:tcPr>
          <w:p w:rsidR="00024C0A" w:rsidRDefault="00694C0F">
            <w:pPr>
              <w:pStyle w:val="TableBodyText"/>
            </w:pPr>
            <w:r>
              <w:t>quz-BO</w:t>
            </w:r>
          </w:p>
        </w:tc>
      </w:tr>
      <w:tr w:rsidR="00024C0A" w:rsidTr="00024C0A">
        <w:tc>
          <w:tcPr>
            <w:tcW w:w="0" w:type="auto"/>
            <w:vAlign w:val="center"/>
          </w:tcPr>
          <w:p w:rsidR="00024C0A" w:rsidRDefault="00694C0F">
            <w:pPr>
              <w:pStyle w:val="TableBodyText"/>
            </w:pPr>
            <w:r>
              <w:t>Quechua</w:t>
            </w:r>
          </w:p>
        </w:tc>
        <w:tc>
          <w:tcPr>
            <w:tcW w:w="0" w:type="auto"/>
            <w:vAlign w:val="center"/>
          </w:tcPr>
          <w:p w:rsidR="00024C0A" w:rsidRDefault="00694C0F">
            <w:pPr>
              <w:pStyle w:val="TableBodyText"/>
            </w:pPr>
            <w:r>
              <w:t>Ecuador</w:t>
            </w:r>
          </w:p>
        </w:tc>
        <w:tc>
          <w:tcPr>
            <w:tcW w:w="0" w:type="auto"/>
            <w:vAlign w:val="center"/>
          </w:tcPr>
          <w:p w:rsidR="00024C0A" w:rsidRDefault="00694C0F">
            <w:pPr>
              <w:pStyle w:val="TableBodyText"/>
            </w:pPr>
            <w:r>
              <w:t>quz-EC</w:t>
            </w:r>
          </w:p>
        </w:tc>
      </w:tr>
      <w:tr w:rsidR="00024C0A" w:rsidTr="00024C0A">
        <w:tc>
          <w:tcPr>
            <w:tcW w:w="0" w:type="auto"/>
            <w:vAlign w:val="center"/>
          </w:tcPr>
          <w:p w:rsidR="00024C0A" w:rsidRDefault="00694C0F">
            <w:pPr>
              <w:pStyle w:val="TableBodyText"/>
            </w:pPr>
            <w:r>
              <w:t>Quechua</w:t>
            </w:r>
          </w:p>
        </w:tc>
        <w:tc>
          <w:tcPr>
            <w:tcW w:w="0" w:type="auto"/>
            <w:vAlign w:val="center"/>
          </w:tcPr>
          <w:p w:rsidR="00024C0A" w:rsidRDefault="00694C0F">
            <w:pPr>
              <w:pStyle w:val="TableBodyText"/>
            </w:pPr>
            <w:r>
              <w:t>Peru</w:t>
            </w:r>
          </w:p>
        </w:tc>
        <w:tc>
          <w:tcPr>
            <w:tcW w:w="0" w:type="auto"/>
            <w:vAlign w:val="center"/>
          </w:tcPr>
          <w:p w:rsidR="00024C0A" w:rsidRDefault="00694C0F">
            <w:pPr>
              <w:pStyle w:val="TableBodyText"/>
            </w:pPr>
            <w:r>
              <w:t>quz-PE</w:t>
            </w:r>
          </w:p>
        </w:tc>
      </w:tr>
      <w:tr w:rsidR="00024C0A" w:rsidTr="00024C0A">
        <w:tc>
          <w:tcPr>
            <w:tcW w:w="0" w:type="auto"/>
            <w:vAlign w:val="center"/>
          </w:tcPr>
          <w:p w:rsidR="00024C0A" w:rsidRDefault="00694C0F">
            <w:pPr>
              <w:pStyle w:val="TableBodyText"/>
            </w:pPr>
            <w:r>
              <w:t>Romanian</w:t>
            </w:r>
          </w:p>
        </w:tc>
        <w:tc>
          <w:tcPr>
            <w:tcW w:w="0" w:type="auto"/>
            <w:vAlign w:val="center"/>
          </w:tcPr>
          <w:p w:rsidR="00024C0A" w:rsidRDefault="00694C0F">
            <w:pPr>
              <w:pStyle w:val="TableBodyText"/>
            </w:pPr>
            <w:r>
              <w:t>Romania</w:t>
            </w:r>
          </w:p>
        </w:tc>
        <w:tc>
          <w:tcPr>
            <w:tcW w:w="0" w:type="auto"/>
            <w:vAlign w:val="center"/>
          </w:tcPr>
          <w:p w:rsidR="00024C0A" w:rsidRDefault="00694C0F">
            <w:pPr>
              <w:pStyle w:val="TableBodyText"/>
            </w:pPr>
            <w:r>
              <w:t>ro-RO</w:t>
            </w:r>
          </w:p>
        </w:tc>
      </w:tr>
      <w:tr w:rsidR="00024C0A" w:rsidTr="00024C0A">
        <w:tc>
          <w:tcPr>
            <w:tcW w:w="0" w:type="auto"/>
            <w:vAlign w:val="center"/>
          </w:tcPr>
          <w:p w:rsidR="00024C0A" w:rsidRDefault="00694C0F">
            <w:pPr>
              <w:pStyle w:val="TableBodyText"/>
            </w:pPr>
            <w:r>
              <w:t>Romansh</w:t>
            </w:r>
          </w:p>
        </w:tc>
        <w:tc>
          <w:tcPr>
            <w:tcW w:w="0" w:type="auto"/>
            <w:vAlign w:val="center"/>
          </w:tcPr>
          <w:p w:rsidR="00024C0A" w:rsidRDefault="00694C0F">
            <w:pPr>
              <w:pStyle w:val="TableBodyText"/>
            </w:pPr>
            <w:r>
              <w:t>Switzerland</w:t>
            </w:r>
          </w:p>
        </w:tc>
        <w:tc>
          <w:tcPr>
            <w:tcW w:w="0" w:type="auto"/>
            <w:vAlign w:val="center"/>
          </w:tcPr>
          <w:p w:rsidR="00024C0A" w:rsidRDefault="00694C0F">
            <w:pPr>
              <w:pStyle w:val="TableBodyText"/>
            </w:pPr>
            <w:r>
              <w:t>rm-CH</w:t>
            </w:r>
          </w:p>
        </w:tc>
      </w:tr>
      <w:tr w:rsidR="00024C0A" w:rsidTr="00024C0A">
        <w:tc>
          <w:tcPr>
            <w:tcW w:w="0" w:type="auto"/>
            <w:vAlign w:val="center"/>
          </w:tcPr>
          <w:p w:rsidR="00024C0A" w:rsidRDefault="00694C0F">
            <w:pPr>
              <w:pStyle w:val="TableBodyText"/>
            </w:pPr>
            <w:r>
              <w:t>Russian</w:t>
            </w:r>
          </w:p>
        </w:tc>
        <w:tc>
          <w:tcPr>
            <w:tcW w:w="0" w:type="auto"/>
            <w:vAlign w:val="center"/>
          </w:tcPr>
          <w:p w:rsidR="00024C0A" w:rsidRDefault="00694C0F">
            <w:pPr>
              <w:pStyle w:val="TableBodyText"/>
            </w:pPr>
            <w:r>
              <w:t>Russia</w:t>
            </w:r>
          </w:p>
        </w:tc>
        <w:tc>
          <w:tcPr>
            <w:tcW w:w="0" w:type="auto"/>
            <w:vAlign w:val="center"/>
          </w:tcPr>
          <w:p w:rsidR="00024C0A" w:rsidRDefault="00694C0F">
            <w:pPr>
              <w:pStyle w:val="TableBodyText"/>
            </w:pPr>
            <w:r>
              <w:t>ru-RU</w:t>
            </w:r>
          </w:p>
        </w:tc>
      </w:tr>
      <w:tr w:rsidR="00024C0A" w:rsidTr="00024C0A">
        <w:tc>
          <w:tcPr>
            <w:tcW w:w="0" w:type="auto"/>
            <w:vAlign w:val="center"/>
          </w:tcPr>
          <w:p w:rsidR="00024C0A" w:rsidRDefault="00694C0F">
            <w:pPr>
              <w:pStyle w:val="TableBodyText"/>
            </w:pPr>
            <w:r>
              <w:t xml:space="preserve">Sakha </w:t>
            </w:r>
          </w:p>
        </w:tc>
        <w:tc>
          <w:tcPr>
            <w:tcW w:w="0" w:type="auto"/>
            <w:vAlign w:val="center"/>
          </w:tcPr>
          <w:p w:rsidR="00024C0A" w:rsidRDefault="00694C0F">
            <w:pPr>
              <w:pStyle w:val="TableBodyText"/>
            </w:pPr>
            <w:r>
              <w:t>Russia</w:t>
            </w:r>
          </w:p>
        </w:tc>
        <w:tc>
          <w:tcPr>
            <w:tcW w:w="0" w:type="auto"/>
            <w:vAlign w:val="center"/>
          </w:tcPr>
          <w:p w:rsidR="00024C0A" w:rsidRDefault="00694C0F">
            <w:pPr>
              <w:pStyle w:val="TableBodyText"/>
            </w:pPr>
            <w:r>
              <w:t>sah-RU</w:t>
            </w:r>
          </w:p>
        </w:tc>
      </w:tr>
      <w:tr w:rsidR="00024C0A" w:rsidTr="00024C0A">
        <w:tc>
          <w:tcPr>
            <w:tcW w:w="0" w:type="auto"/>
            <w:vAlign w:val="center"/>
          </w:tcPr>
          <w:p w:rsidR="00024C0A" w:rsidRDefault="00694C0F">
            <w:pPr>
              <w:pStyle w:val="TableBodyText"/>
            </w:pPr>
            <w:r>
              <w:t>Sanskrit</w:t>
            </w:r>
          </w:p>
        </w:tc>
        <w:tc>
          <w:tcPr>
            <w:tcW w:w="0" w:type="auto"/>
            <w:vAlign w:val="center"/>
          </w:tcPr>
          <w:p w:rsidR="00024C0A" w:rsidRDefault="00694C0F">
            <w:pPr>
              <w:pStyle w:val="TableBodyText"/>
            </w:pPr>
            <w:r>
              <w:t>India</w:t>
            </w:r>
          </w:p>
        </w:tc>
        <w:tc>
          <w:tcPr>
            <w:tcW w:w="0" w:type="auto"/>
            <w:vAlign w:val="center"/>
          </w:tcPr>
          <w:p w:rsidR="00024C0A" w:rsidRDefault="00694C0F">
            <w:pPr>
              <w:pStyle w:val="TableBodyText"/>
            </w:pPr>
            <w:r>
              <w:t>sa-IN</w:t>
            </w:r>
          </w:p>
        </w:tc>
      </w:tr>
      <w:tr w:rsidR="00024C0A" w:rsidTr="00024C0A">
        <w:tc>
          <w:tcPr>
            <w:tcW w:w="0" w:type="auto"/>
            <w:vAlign w:val="center"/>
          </w:tcPr>
          <w:p w:rsidR="00024C0A" w:rsidRDefault="00694C0F">
            <w:pPr>
              <w:pStyle w:val="TableBodyText"/>
            </w:pPr>
            <w:r>
              <w:t>Serbian (Cyrillic)</w:t>
            </w:r>
          </w:p>
        </w:tc>
        <w:tc>
          <w:tcPr>
            <w:tcW w:w="0" w:type="auto"/>
            <w:vAlign w:val="center"/>
          </w:tcPr>
          <w:p w:rsidR="00024C0A" w:rsidRDefault="00694C0F">
            <w:pPr>
              <w:pStyle w:val="TableBodyText"/>
            </w:pPr>
            <w:r>
              <w:t xml:space="preserve">Bosnia and Herzegovina </w:t>
            </w:r>
          </w:p>
        </w:tc>
        <w:tc>
          <w:tcPr>
            <w:tcW w:w="0" w:type="auto"/>
            <w:vAlign w:val="center"/>
          </w:tcPr>
          <w:p w:rsidR="00024C0A" w:rsidRDefault="00694C0F">
            <w:pPr>
              <w:pStyle w:val="TableBodyText"/>
            </w:pPr>
            <w:r>
              <w:t>sr-BA-Cyrl</w:t>
            </w:r>
          </w:p>
        </w:tc>
      </w:tr>
      <w:tr w:rsidR="00024C0A" w:rsidTr="00024C0A">
        <w:tc>
          <w:tcPr>
            <w:tcW w:w="0" w:type="auto"/>
            <w:vAlign w:val="center"/>
          </w:tcPr>
          <w:p w:rsidR="00024C0A" w:rsidRDefault="00694C0F">
            <w:pPr>
              <w:pStyle w:val="TableBodyText"/>
            </w:pPr>
            <w:r>
              <w:t>Serbian (Cyrillic)</w:t>
            </w:r>
          </w:p>
        </w:tc>
        <w:tc>
          <w:tcPr>
            <w:tcW w:w="0" w:type="auto"/>
            <w:vAlign w:val="center"/>
          </w:tcPr>
          <w:p w:rsidR="00024C0A" w:rsidRDefault="00694C0F">
            <w:pPr>
              <w:pStyle w:val="TableBodyText"/>
            </w:pPr>
            <w:r>
              <w:t>Serbia and Montenegro (former)</w:t>
            </w:r>
          </w:p>
        </w:tc>
        <w:tc>
          <w:tcPr>
            <w:tcW w:w="0" w:type="auto"/>
            <w:vAlign w:val="center"/>
          </w:tcPr>
          <w:p w:rsidR="00024C0A" w:rsidRDefault="00694C0F">
            <w:pPr>
              <w:pStyle w:val="TableBodyText"/>
            </w:pPr>
            <w:r>
              <w:t>sr-SP-Cyrl</w:t>
            </w:r>
          </w:p>
        </w:tc>
      </w:tr>
      <w:tr w:rsidR="00024C0A" w:rsidTr="00024C0A">
        <w:tc>
          <w:tcPr>
            <w:tcW w:w="0" w:type="auto"/>
            <w:vAlign w:val="center"/>
          </w:tcPr>
          <w:p w:rsidR="00024C0A" w:rsidRDefault="00694C0F">
            <w:pPr>
              <w:pStyle w:val="TableBodyText"/>
            </w:pPr>
            <w:r>
              <w:t>Serbian (Latin)</w:t>
            </w:r>
          </w:p>
        </w:tc>
        <w:tc>
          <w:tcPr>
            <w:tcW w:w="0" w:type="auto"/>
            <w:vAlign w:val="center"/>
          </w:tcPr>
          <w:p w:rsidR="00024C0A" w:rsidRDefault="00694C0F">
            <w:pPr>
              <w:pStyle w:val="TableBodyText"/>
            </w:pPr>
            <w:r>
              <w:t xml:space="preserve">Bosnia and Herzegovina </w:t>
            </w:r>
          </w:p>
        </w:tc>
        <w:tc>
          <w:tcPr>
            <w:tcW w:w="0" w:type="auto"/>
            <w:vAlign w:val="center"/>
          </w:tcPr>
          <w:p w:rsidR="00024C0A" w:rsidRDefault="00694C0F">
            <w:pPr>
              <w:pStyle w:val="TableBodyText"/>
            </w:pPr>
            <w:r>
              <w:t>sr-BA-Latn</w:t>
            </w:r>
          </w:p>
        </w:tc>
      </w:tr>
      <w:tr w:rsidR="00024C0A" w:rsidTr="00024C0A">
        <w:tc>
          <w:tcPr>
            <w:tcW w:w="0" w:type="auto"/>
            <w:vAlign w:val="center"/>
          </w:tcPr>
          <w:p w:rsidR="00024C0A" w:rsidRDefault="00694C0F">
            <w:pPr>
              <w:pStyle w:val="TableBodyText"/>
            </w:pPr>
            <w:r>
              <w:t>Serbian (Latin)</w:t>
            </w:r>
          </w:p>
        </w:tc>
        <w:tc>
          <w:tcPr>
            <w:tcW w:w="0" w:type="auto"/>
            <w:vAlign w:val="center"/>
          </w:tcPr>
          <w:p w:rsidR="00024C0A" w:rsidRDefault="00694C0F">
            <w:pPr>
              <w:pStyle w:val="TableBodyText"/>
            </w:pPr>
            <w:r>
              <w:t>Serbia and Montenegro (former)</w:t>
            </w:r>
          </w:p>
        </w:tc>
        <w:tc>
          <w:tcPr>
            <w:tcW w:w="0" w:type="auto"/>
            <w:vAlign w:val="center"/>
          </w:tcPr>
          <w:p w:rsidR="00024C0A" w:rsidRDefault="00694C0F">
            <w:pPr>
              <w:pStyle w:val="TableBodyText"/>
            </w:pPr>
            <w:r>
              <w:t>sr-SP-Latn</w:t>
            </w:r>
          </w:p>
        </w:tc>
      </w:tr>
      <w:tr w:rsidR="00024C0A" w:rsidTr="00024C0A">
        <w:tc>
          <w:tcPr>
            <w:tcW w:w="0" w:type="auto"/>
            <w:vAlign w:val="center"/>
          </w:tcPr>
          <w:p w:rsidR="00024C0A" w:rsidRDefault="00694C0F">
            <w:pPr>
              <w:pStyle w:val="TableBodyText"/>
            </w:pPr>
            <w:r>
              <w:t>Sesotho sa Leboa / No</w:t>
            </w:r>
            <w:r>
              <w:t>rthern Sotho</w:t>
            </w:r>
          </w:p>
        </w:tc>
        <w:tc>
          <w:tcPr>
            <w:tcW w:w="0" w:type="auto"/>
            <w:vAlign w:val="center"/>
          </w:tcPr>
          <w:p w:rsidR="00024C0A" w:rsidRDefault="00694C0F">
            <w:pPr>
              <w:pStyle w:val="TableBodyText"/>
            </w:pPr>
            <w:r>
              <w:t>South Africa</w:t>
            </w:r>
          </w:p>
        </w:tc>
        <w:tc>
          <w:tcPr>
            <w:tcW w:w="0" w:type="auto"/>
            <w:vAlign w:val="center"/>
          </w:tcPr>
          <w:p w:rsidR="00024C0A" w:rsidRDefault="00694C0F">
            <w:pPr>
              <w:pStyle w:val="TableBodyText"/>
            </w:pPr>
            <w:r>
              <w:t>ns-ZA</w:t>
            </w:r>
          </w:p>
        </w:tc>
      </w:tr>
      <w:tr w:rsidR="00024C0A" w:rsidTr="00024C0A">
        <w:tc>
          <w:tcPr>
            <w:tcW w:w="0" w:type="auto"/>
            <w:vAlign w:val="center"/>
          </w:tcPr>
          <w:p w:rsidR="00024C0A" w:rsidRDefault="00694C0F">
            <w:pPr>
              <w:pStyle w:val="TableBodyText"/>
            </w:pPr>
            <w:r>
              <w:t>Setswana / Tswana</w:t>
            </w:r>
          </w:p>
        </w:tc>
        <w:tc>
          <w:tcPr>
            <w:tcW w:w="0" w:type="auto"/>
            <w:vAlign w:val="center"/>
          </w:tcPr>
          <w:p w:rsidR="00024C0A" w:rsidRDefault="00694C0F">
            <w:pPr>
              <w:pStyle w:val="TableBodyText"/>
            </w:pPr>
            <w:r>
              <w:t>South Africa</w:t>
            </w:r>
          </w:p>
        </w:tc>
        <w:tc>
          <w:tcPr>
            <w:tcW w:w="0" w:type="auto"/>
            <w:vAlign w:val="center"/>
          </w:tcPr>
          <w:p w:rsidR="00024C0A" w:rsidRDefault="00694C0F">
            <w:pPr>
              <w:pStyle w:val="TableBodyText"/>
            </w:pPr>
            <w:r>
              <w:t>tn-ZA</w:t>
            </w:r>
          </w:p>
        </w:tc>
      </w:tr>
      <w:tr w:rsidR="00024C0A" w:rsidTr="00024C0A">
        <w:tc>
          <w:tcPr>
            <w:tcW w:w="0" w:type="auto"/>
            <w:vAlign w:val="center"/>
          </w:tcPr>
          <w:p w:rsidR="00024C0A" w:rsidRDefault="00694C0F">
            <w:pPr>
              <w:pStyle w:val="TableBodyText"/>
            </w:pPr>
            <w:r>
              <w:t>Sinhala</w:t>
            </w:r>
          </w:p>
        </w:tc>
        <w:tc>
          <w:tcPr>
            <w:tcW w:w="0" w:type="auto"/>
            <w:vAlign w:val="center"/>
          </w:tcPr>
          <w:p w:rsidR="00024C0A" w:rsidRDefault="00694C0F">
            <w:pPr>
              <w:pStyle w:val="TableBodyText"/>
            </w:pPr>
            <w:r>
              <w:t>Sri Lanka</w:t>
            </w:r>
          </w:p>
        </w:tc>
        <w:tc>
          <w:tcPr>
            <w:tcW w:w="0" w:type="auto"/>
            <w:vAlign w:val="center"/>
          </w:tcPr>
          <w:p w:rsidR="00024C0A" w:rsidRDefault="00694C0F">
            <w:pPr>
              <w:pStyle w:val="TableBodyText"/>
            </w:pPr>
            <w:r>
              <w:t>si-LK</w:t>
            </w:r>
          </w:p>
        </w:tc>
      </w:tr>
      <w:tr w:rsidR="00024C0A" w:rsidTr="00024C0A">
        <w:tc>
          <w:tcPr>
            <w:tcW w:w="0" w:type="auto"/>
            <w:vAlign w:val="center"/>
          </w:tcPr>
          <w:p w:rsidR="00024C0A" w:rsidRDefault="00694C0F">
            <w:pPr>
              <w:pStyle w:val="TableBodyText"/>
            </w:pPr>
            <w:r>
              <w:t>Skolt Sami</w:t>
            </w:r>
          </w:p>
        </w:tc>
        <w:tc>
          <w:tcPr>
            <w:tcW w:w="0" w:type="auto"/>
            <w:vAlign w:val="center"/>
          </w:tcPr>
          <w:p w:rsidR="00024C0A" w:rsidRDefault="00694C0F">
            <w:pPr>
              <w:pStyle w:val="TableBodyText"/>
            </w:pPr>
            <w:r>
              <w:t>Finland</w:t>
            </w:r>
          </w:p>
        </w:tc>
        <w:tc>
          <w:tcPr>
            <w:tcW w:w="0" w:type="auto"/>
            <w:vAlign w:val="center"/>
          </w:tcPr>
          <w:p w:rsidR="00024C0A" w:rsidRDefault="00694C0F">
            <w:pPr>
              <w:pStyle w:val="TableBodyText"/>
            </w:pPr>
            <w:r>
              <w:t>sms-FI</w:t>
            </w:r>
          </w:p>
        </w:tc>
      </w:tr>
      <w:tr w:rsidR="00024C0A" w:rsidTr="00024C0A">
        <w:tc>
          <w:tcPr>
            <w:tcW w:w="0" w:type="auto"/>
            <w:vAlign w:val="center"/>
          </w:tcPr>
          <w:p w:rsidR="00024C0A" w:rsidRDefault="00694C0F">
            <w:pPr>
              <w:pStyle w:val="TableBodyText"/>
            </w:pPr>
            <w:r>
              <w:t>Slovak</w:t>
            </w:r>
          </w:p>
        </w:tc>
        <w:tc>
          <w:tcPr>
            <w:tcW w:w="0" w:type="auto"/>
            <w:vAlign w:val="center"/>
          </w:tcPr>
          <w:p w:rsidR="00024C0A" w:rsidRDefault="00694C0F">
            <w:pPr>
              <w:pStyle w:val="TableBodyText"/>
            </w:pPr>
            <w:r>
              <w:t>Slovakia</w:t>
            </w:r>
          </w:p>
        </w:tc>
        <w:tc>
          <w:tcPr>
            <w:tcW w:w="0" w:type="auto"/>
            <w:vAlign w:val="center"/>
          </w:tcPr>
          <w:p w:rsidR="00024C0A" w:rsidRDefault="00694C0F">
            <w:pPr>
              <w:pStyle w:val="TableBodyText"/>
            </w:pPr>
            <w:r>
              <w:t>sk-SK</w:t>
            </w:r>
          </w:p>
        </w:tc>
      </w:tr>
      <w:tr w:rsidR="00024C0A" w:rsidTr="00024C0A">
        <w:tc>
          <w:tcPr>
            <w:tcW w:w="0" w:type="auto"/>
            <w:vAlign w:val="center"/>
          </w:tcPr>
          <w:p w:rsidR="00024C0A" w:rsidRDefault="00694C0F">
            <w:pPr>
              <w:pStyle w:val="TableBodyText"/>
            </w:pPr>
            <w:r>
              <w:t>Slovenian</w:t>
            </w:r>
          </w:p>
        </w:tc>
        <w:tc>
          <w:tcPr>
            <w:tcW w:w="0" w:type="auto"/>
            <w:vAlign w:val="center"/>
          </w:tcPr>
          <w:p w:rsidR="00024C0A" w:rsidRDefault="00694C0F">
            <w:pPr>
              <w:pStyle w:val="TableBodyText"/>
            </w:pPr>
            <w:r>
              <w:t>Slovenia</w:t>
            </w:r>
          </w:p>
        </w:tc>
        <w:tc>
          <w:tcPr>
            <w:tcW w:w="0" w:type="auto"/>
            <w:vAlign w:val="center"/>
          </w:tcPr>
          <w:p w:rsidR="00024C0A" w:rsidRDefault="00694C0F">
            <w:pPr>
              <w:pStyle w:val="TableBodyText"/>
            </w:pPr>
            <w:r>
              <w:t>sl-SI</w:t>
            </w:r>
          </w:p>
        </w:tc>
      </w:tr>
      <w:tr w:rsidR="00024C0A" w:rsidTr="00024C0A">
        <w:tc>
          <w:tcPr>
            <w:tcW w:w="0" w:type="auto"/>
            <w:vAlign w:val="center"/>
          </w:tcPr>
          <w:p w:rsidR="00024C0A" w:rsidRDefault="00694C0F">
            <w:pPr>
              <w:pStyle w:val="TableBodyText"/>
            </w:pPr>
            <w:r>
              <w:t>Southern Sami</w:t>
            </w:r>
          </w:p>
        </w:tc>
        <w:tc>
          <w:tcPr>
            <w:tcW w:w="0" w:type="auto"/>
            <w:vAlign w:val="center"/>
          </w:tcPr>
          <w:p w:rsidR="00024C0A" w:rsidRDefault="00694C0F">
            <w:pPr>
              <w:pStyle w:val="TableBodyText"/>
            </w:pPr>
            <w:r>
              <w:t>Norway</w:t>
            </w:r>
          </w:p>
        </w:tc>
        <w:tc>
          <w:tcPr>
            <w:tcW w:w="0" w:type="auto"/>
            <w:vAlign w:val="center"/>
          </w:tcPr>
          <w:p w:rsidR="00024C0A" w:rsidRDefault="00694C0F">
            <w:pPr>
              <w:pStyle w:val="TableBodyText"/>
            </w:pPr>
            <w:r>
              <w:t>sma-NO</w:t>
            </w:r>
          </w:p>
        </w:tc>
      </w:tr>
      <w:tr w:rsidR="00024C0A" w:rsidTr="00024C0A">
        <w:tc>
          <w:tcPr>
            <w:tcW w:w="0" w:type="auto"/>
            <w:vAlign w:val="center"/>
          </w:tcPr>
          <w:p w:rsidR="00024C0A" w:rsidRDefault="00694C0F">
            <w:pPr>
              <w:pStyle w:val="TableBodyText"/>
            </w:pPr>
            <w:r>
              <w:t>Southern Sami</w:t>
            </w:r>
          </w:p>
        </w:tc>
        <w:tc>
          <w:tcPr>
            <w:tcW w:w="0" w:type="auto"/>
            <w:vAlign w:val="center"/>
          </w:tcPr>
          <w:p w:rsidR="00024C0A" w:rsidRDefault="00694C0F">
            <w:pPr>
              <w:pStyle w:val="TableBodyText"/>
            </w:pPr>
            <w:r>
              <w:t>Sweden</w:t>
            </w:r>
          </w:p>
        </w:tc>
        <w:tc>
          <w:tcPr>
            <w:tcW w:w="0" w:type="auto"/>
            <w:vAlign w:val="center"/>
          </w:tcPr>
          <w:p w:rsidR="00024C0A" w:rsidRDefault="00694C0F">
            <w:pPr>
              <w:pStyle w:val="TableBodyText"/>
            </w:pPr>
            <w:r>
              <w:t>sma-SE</w:t>
            </w:r>
          </w:p>
        </w:tc>
      </w:tr>
      <w:tr w:rsidR="00024C0A" w:rsidTr="00024C0A">
        <w:tc>
          <w:tcPr>
            <w:tcW w:w="0" w:type="auto"/>
            <w:vAlign w:val="center"/>
          </w:tcPr>
          <w:p w:rsidR="00024C0A" w:rsidRDefault="00694C0F">
            <w:pPr>
              <w:pStyle w:val="TableBodyText"/>
            </w:pPr>
            <w:r>
              <w:lastRenderedPageBreak/>
              <w:t>Spanish</w:t>
            </w:r>
          </w:p>
        </w:tc>
        <w:tc>
          <w:tcPr>
            <w:tcW w:w="0" w:type="auto"/>
            <w:vAlign w:val="center"/>
          </w:tcPr>
          <w:p w:rsidR="00024C0A" w:rsidRDefault="00694C0F">
            <w:pPr>
              <w:pStyle w:val="TableBodyText"/>
            </w:pPr>
            <w:r>
              <w:t>Argentina</w:t>
            </w:r>
          </w:p>
        </w:tc>
        <w:tc>
          <w:tcPr>
            <w:tcW w:w="0" w:type="auto"/>
            <w:vAlign w:val="center"/>
          </w:tcPr>
          <w:p w:rsidR="00024C0A" w:rsidRDefault="00694C0F">
            <w:pPr>
              <w:pStyle w:val="TableBodyText"/>
            </w:pPr>
            <w:r>
              <w:t>es-AR</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Bolivia</w:t>
            </w:r>
          </w:p>
        </w:tc>
        <w:tc>
          <w:tcPr>
            <w:tcW w:w="0" w:type="auto"/>
            <w:vAlign w:val="center"/>
          </w:tcPr>
          <w:p w:rsidR="00024C0A" w:rsidRDefault="00694C0F">
            <w:pPr>
              <w:pStyle w:val="TableBodyText"/>
            </w:pPr>
            <w:r>
              <w:t>es-BO</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Chile</w:t>
            </w:r>
          </w:p>
        </w:tc>
        <w:tc>
          <w:tcPr>
            <w:tcW w:w="0" w:type="auto"/>
            <w:vAlign w:val="center"/>
          </w:tcPr>
          <w:p w:rsidR="00024C0A" w:rsidRDefault="00694C0F">
            <w:pPr>
              <w:pStyle w:val="TableBodyText"/>
            </w:pPr>
            <w:r>
              <w:t>es-CL</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Columbia</w:t>
            </w:r>
          </w:p>
        </w:tc>
        <w:tc>
          <w:tcPr>
            <w:tcW w:w="0" w:type="auto"/>
            <w:vAlign w:val="center"/>
          </w:tcPr>
          <w:p w:rsidR="00024C0A" w:rsidRDefault="00694C0F">
            <w:pPr>
              <w:pStyle w:val="TableBodyText"/>
            </w:pPr>
            <w:r>
              <w:t>es-CO</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Costa Rica</w:t>
            </w:r>
          </w:p>
        </w:tc>
        <w:tc>
          <w:tcPr>
            <w:tcW w:w="0" w:type="auto"/>
            <w:vAlign w:val="center"/>
          </w:tcPr>
          <w:p w:rsidR="00024C0A" w:rsidRDefault="00694C0F">
            <w:pPr>
              <w:pStyle w:val="TableBodyText"/>
            </w:pPr>
            <w:r>
              <w:t>es-CR</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Dominican Republic</w:t>
            </w:r>
          </w:p>
        </w:tc>
        <w:tc>
          <w:tcPr>
            <w:tcW w:w="0" w:type="auto"/>
            <w:vAlign w:val="center"/>
          </w:tcPr>
          <w:p w:rsidR="00024C0A" w:rsidRDefault="00694C0F">
            <w:pPr>
              <w:pStyle w:val="TableBodyText"/>
            </w:pPr>
            <w:r>
              <w:t>es-DO</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Ecuador</w:t>
            </w:r>
          </w:p>
        </w:tc>
        <w:tc>
          <w:tcPr>
            <w:tcW w:w="0" w:type="auto"/>
            <w:vAlign w:val="center"/>
          </w:tcPr>
          <w:p w:rsidR="00024C0A" w:rsidRDefault="00694C0F">
            <w:pPr>
              <w:pStyle w:val="TableBodyText"/>
            </w:pPr>
            <w:r>
              <w:t>es-EC</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El Salvador</w:t>
            </w:r>
          </w:p>
        </w:tc>
        <w:tc>
          <w:tcPr>
            <w:tcW w:w="0" w:type="auto"/>
            <w:vAlign w:val="center"/>
          </w:tcPr>
          <w:p w:rsidR="00024C0A" w:rsidRDefault="00694C0F">
            <w:pPr>
              <w:pStyle w:val="TableBodyText"/>
            </w:pPr>
            <w:r>
              <w:t>es-SV</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Guatemala</w:t>
            </w:r>
          </w:p>
        </w:tc>
        <w:tc>
          <w:tcPr>
            <w:tcW w:w="0" w:type="auto"/>
            <w:vAlign w:val="center"/>
          </w:tcPr>
          <w:p w:rsidR="00024C0A" w:rsidRDefault="00694C0F">
            <w:pPr>
              <w:pStyle w:val="TableBodyText"/>
            </w:pPr>
            <w:r>
              <w:t>es-GT</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Honduras</w:t>
            </w:r>
          </w:p>
        </w:tc>
        <w:tc>
          <w:tcPr>
            <w:tcW w:w="0" w:type="auto"/>
            <w:vAlign w:val="center"/>
          </w:tcPr>
          <w:p w:rsidR="00024C0A" w:rsidRDefault="00694C0F">
            <w:pPr>
              <w:pStyle w:val="TableBodyText"/>
            </w:pPr>
            <w:r>
              <w:t>es-HN</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Mexico</w:t>
            </w:r>
          </w:p>
        </w:tc>
        <w:tc>
          <w:tcPr>
            <w:tcW w:w="0" w:type="auto"/>
            <w:vAlign w:val="center"/>
          </w:tcPr>
          <w:p w:rsidR="00024C0A" w:rsidRDefault="00694C0F">
            <w:pPr>
              <w:pStyle w:val="TableBodyText"/>
            </w:pPr>
            <w:r>
              <w:t>es-MX</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Nicaragua</w:t>
            </w:r>
          </w:p>
        </w:tc>
        <w:tc>
          <w:tcPr>
            <w:tcW w:w="0" w:type="auto"/>
            <w:vAlign w:val="center"/>
          </w:tcPr>
          <w:p w:rsidR="00024C0A" w:rsidRDefault="00694C0F">
            <w:pPr>
              <w:pStyle w:val="TableBodyText"/>
            </w:pPr>
            <w:r>
              <w:t>es-NI</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Panama</w:t>
            </w:r>
          </w:p>
        </w:tc>
        <w:tc>
          <w:tcPr>
            <w:tcW w:w="0" w:type="auto"/>
            <w:vAlign w:val="center"/>
          </w:tcPr>
          <w:p w:rsidR="00024C0A" w:rsidRDefault="00694C0F">
            <w:pPr>
              <w:pStyle w:val="TableBodyText"/>
            </w:pPr>
            <w:r>
              <w:t>es-PA</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Paraguay</w:t>
            </w:r>
          </w:p>
        </w:tc>
        <w:tc>
          <w:tcPr>
            <w:tcW w:w="0" w:type="auto"/>
            <w:vAlign w:val="center"/>
          </w:tcPr>
          <w:p w:rsidR="00024C0A" w:rsidRDefault="00694C0F">
            <w:pPr>
              <w:pStyle w:val="TableBodyText"/>
            </w:pPr>
            <w:r>
              <w:t>es-PY</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Peru</w:t>
            </w:r>
          </w:p>
        </w:tc>
        <w:tc>
          <w:tcPr>
            <w:tcW w:w="0" w:type="auto"/>
            <w:vAlign w:val="center"/>
          </w:tcPr>
          <w:p w:rsidR="00024C0A" w:rsidRDefault="00694C0F">
            <w:pPr>
              <w:pStyle w:val="TableBodyText"/>
            </w:pPr>
            <w:r>
              <w:t>es-PE</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Puerto Rico</w:t>
            </w:r>
          </w:p>
        </w:tc>
        <w:tc>
          <w:tcPr>
            <w:tcW w:w="0" w:type="auto"/>
            <w:vAlign w:val="center"/>
          </w:tcPr>
          <w:p w:rsidR="00024C0A" w:rsidRDefault="00694C0F">
            <w:pPr>
              <w:pStyle w:val="TableBodyText"/>
            </w:pPr>
            <w:r>
              <w:t>es-PR</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Spain</w:t>
            </w:r>
          </w:p>
        </w:tc>
        <w:tc>
          <w:tcPr>
            <w:tcW w:w="0" w:type="auto"/>
            <w:vAlign w:val="center"/>
          </w:tcPr>
          <w:p w:rsidR="00024C0A" w:rsidRDefault="00694C0F">
            <w:pPr>
              <w:pStyle w:val="TableBodyText"/>
            </w:pPr>
            <w:r>
              <w:t>es-ES</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United States</w:t>
            </w:r>
          </w:p>
        </w:tc>
        <w:tc>
          <w:tcPr>
            <w:tcW w:w="0" w:type="auto"/>
            <w:vAlign w:val="center"/>
          </w:tcPr>
          <w:p w:rsidR="00024C0A" w:rsidRDefault="00694C0F">
            <w:pPr>
              <w:pStyle w:val="TableBodyText"/>
            </w:pPr>
            <w:r>
              <w:t>es-US</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Uruguay</w:t>
            </w:r>
          </w:p>
        </w:tc>
        <w:tc>
          <w:tcPr>
            <w:tcW w:w="0" w:type="auto"/>
            <w:vAlign w:val="center"/>
          </w:tcPr>
          <w:p w:rsidR="00024C0A" w:rsidRDefault="00694C0F">
            <w:pPr>
              <w:pStyle w:val="TableBodyText"/>
            </w:pPr>
            <w:r>
              <w:t>es-UY</w:t>
            </w:r>
          </w:p>
        </w:tc>
      </w:tr>
      <w:tr w:rsidR="00024C0A" w:rsidTr="00024C0A">
        <w:tc>
          <w:tcPr>
            <w:tcW w:w="0" w:type="auto"/>
            <w:vAlign w:val="center"/>
          </w:tcPr>
          <w:p w:rsidR="00024C0A" w:rsidRDefault="00694C0F">
            <w:pPr>
              <w:pStyle w:val="TableBodyText"/>
            </w:pPr>
            <w:r>
              <w:t>Spanish</w:t>
            </w:r>
          </w:p>
        </w:tc>
        <w:tc>
          <w:tcPr>
            <w:tcW w:w="0" w:type="auto"/>
            <w:vAlign w:val="center"/>
          </w:tcPr>
          <w:p w:rsidR="00024C0A" w:rsidRDefault="00694C0F">
            <w:pPr>
              <w:pStyle w:val="TableBodyText"/>
            </w:pPr>
            <w:r>
              <w:t>Venezuela</w:t>
            </w:r>
          </w:p>
        </w:tc>
        <w:tc>
          <w:tcPr>
            <w:tcW w:w="0" w:type="auto"/>
            <w:vAlign w:val="center"/>
          </w:tcPr>
          <w:p w:rsidR="00024C0A" w:rsidRDefault="00694C0F">
            <w:pPr>
              <w:pStyle w:val="TableBodyText"/>
            </w:pPr>
            <w:r>
              <w:t>es-VE</w:t>
            </w:r>
          </w:p>
        </w:tc>
      </w:tr>
      <w:tr w:rsidR="00024C0A" w:rsidTr="00024C0A">
        <w:tc>
          <w:tcPr>
            <w:tcW w:w="0" w:type="auto"/>
            <w:vAlign w:val="center"/>
          </w:tcPr>
          <w:p w:rsidR="00024C0A" w:rsidRDefault="00694C0F">
            <w:pPr>
              <w:pStyle w:val="TableBodyText"/>
            </w:pPr>
            <w:r>
              <w:t>Swahili</w:t>
            </w:r>
          </w:p>
        </w:tc>
        <w:tc>
          <w:tcPr>
            <w:tcW w:w="0" w:type="auto"/>
            <w:vAlign w:val="center"/>
          </w:tcPr>
          <w:p w:rsidR="00024C0A" w:rsidRDefault="00694C0F">
            <w:pPr>
              <w:pStyle w:val="TableBodyText"/>
            </w:pPr>
            <w:r>
              <w:t>Kenya</w:t>
            </w:r>
          </w:p>
        </w:tc>
        <w:tc>
          <w:tcPr>
            <w:tcW w:w="0" w:type="auto"/>
            <w:vAlign w:val="center"/>
          </w:tcPr>
          <w:p w:rsidR="00024C0A" w:rsidRDefault="00694C0F">
            <w:pPr>
              <w:pStyle w:val="TableBodyText"/>
            </w:pPr>
            <w:r>
              <w:t>sw-KE</w:t>
            </w:r>
          </w:p>
        </w:tc>
      </w:tr>
      <w:tr w:rsidR="00024C0A" w:rsidTr="00024C0A">
        <w:tc>
          <w:tcPr>
            <w:tcW w:w="0" w:type="auto"/>
            <w:vAlign w:val="center"/>
          </w:tcPr>
          <w:p w:rsidR="00024C0A" w:rsidRDefault="00694C0F">
            <w:pPr>
              <w:pStyle w:val="TableBodyText"/>
            </w:pPr>
            <w:r>
              <w:t>Swedish</w:t>
            </w:r>
          </w:p>
        </w:tc>
        <w:tc>
          <w:tcPr>
            <w:tcW w:w="0" w:type="auto"/>
            <w:vAlign w:val="center"/>
          </w:tcPr>
          <w:p w:rsidR="00024C0A" w:rsidRDefault="00694C0F">
            <w:pPr>
              <w:pStyle w:val="TableBodyText"/>
            </w:pPr>
            <w:r>
              <w:t>Finland</w:t>
            </w:r>
          </w:p>
        </w:tc>
        <w:tc>
          <w:tcPr>
            <w:tcW w:w="0" w:type="auto"/>
            <w:vAlign w:val="center"/>
          </w:tcPr>
          <w:p w:rsidR="00024C0A" w:rsidRDefault="00694C0F">
            <w:pPr>
              <w:pStyle w:val="TableBodyText"/>
            </w:pPr>
            <w:r>
              <w:t>sv-FI</w:t>
            </w:r>
          </w:p>
        </w:tc>
      </w:tr>
      <w:tr w:rsidR="00024C0A" w:rsidTr="00024C0A">
        <w:tc>
          <w:tcPr>
            <w:tcW w:w="0" w:type="auto"/>
            <w:vAlign w:val="center"/>
          </w:tcPr>
          <w:p w:rsidR="00024C0A" w:rsidRDefault="00694C0F">
            <w:pPr>
              <w:pStyle w:val="TableBodyText"/>
            </w:pPr>
            <w:r>
              <w:t>Swedish</w:t>
            </w:r>
          </w:p>
        </w:tc>
        <w:tc>
          <w:tcPr>
            <w:tcW w:w="0" w:type="auto"/>
            <w:vAlign w:val="center"/>
          </w:tcPr>
          <w:p w:rsidR="00024C0A" w:rsidRDefault="00694C0F">
            <w:pPr>
              <w:pStyle w:val="TableBodyText"/>
            </w:pPr>
            <w:r>
              <w:t>Sweden</w:t>
            </w:r>
          </w:p>
        </w:tc>
        <w:tc>
          <w:tcPr>
            <w:tcW w:w="0" w:type="auto"/>
            <w:vAlign w:val="center"/>
          </w:tcPr>
          <w:p w:rsidR="00024C0A" w:rsidRDefault="00694C0F">
            <w:pPr>
              <w:pStyle w:val="TableBodyText"/>
            </w:pPr>
            <w:r>
              <w:t>sv-SE</w:t>
            </w:r>
          </w:p>
        </w:tc>
      </w:tr>
      <w:tr w:rsidR="00024C0A" w:rsidTr="00024C0A">
        <w:tc>
          <w:tcPr>
            <w:tcW w:w="0" w:type="auto"/>
            <w:vAlign w:val="center"/>
          </w:tcPr>
          <w:p w:rsidR="00024C0A" w:rsidRDefault="00694C0F">
            <w:pPr>
              <w:pStyle w:val="TableBodyText"/>
            </w:pPr>
            <w:r>
              <w:t>Syriac</w:t>
            </w:r>
          </w:p>
        </w:tc>
        <w:tc>
          <w:tcPr>
            <w:tcW w:w="0" w:type="auto"/>
            <w:vAlign w:val="center"/>
          </w:tcPr>
          <w:p w:rsidR="00024C0A" w:rsidRDefault="00694C0F">
            <w:pPr>
              <w:pStyle w:val="TableBodyText"/>
            </w:pPr>
            <w:r>
              <w:t>Syria</w:t>
            </w:r>
          </w:p>
        </w:tc>
        <w:tc>
          <w:tcPr>
            <w:tcW w:w="0" w:type="auto"/>
            <w:vAlign w:val="center"/>
          </w:tcPr>
          <w:p w:rsidR="00024C0A" w:rsidRDefault="00694C0F">
            <w:pPr>
              <w:pStyle w:val="TableBodyText"/>
            </w:pPr>
            <w:r>
              <w:t>syr-SY</w:t>
            </w:r>
          </w:p>
        </w:tc>
      </w:tr>
      <w:tr w:rsidR="00024C0A" w:rsidTr="00024C0A">
        <w:tc>
          <w:tcPr>
            <w:tcW w:w="0" w:type="auto"/>
            <w:vAlign w:val="center"/>
          </w:tcPr>
          <w:p w:rsidR="00024C0A" w:rsidRDefault="00694C0F">
            <w:pPr>
              <w:pStyle w:val="TableBodyText"/>
            </w:pPr>
            <w:r>
              <w:t>Tajik (Cyrillic)</w:t>
            </w:r>
          </w:p>
        </w:tc>
        <w:tc>
          <w:tcPr>
            <w:tcW w:w="0" w:type="auto"/>
            <w:vAlign w:val="center"/>
          </w:tcPr>
          <w:p w:rsidR="00024C0A" w:rsidRDefault="00694C0F">
            <w:pPr>
              <w:pStyle w:val="TableBodyText"/>
            </w:pPr>
            <w:r>
              <w:t>Tajikistan</w:t>
            </w:r>
          </w:p>
        </w:tc>
        <w:tc>
          <w:tcPr>
            <w:tcW w:w="0" w:type="auto"/>
            <w:vAlign w:val="center"/>
          </w:tcPr>
          <w:p w:rsidR="00024C0A" w:rsidRDefault="00694C0F">
            <w:pPr>
              <w:pStyle w:val="TableBodyText"/>
            </w:pPr>
            <w:r>
              <w:t>tg-TJ-Cyrl</w:t>
            </w:r>
          </w:p>
        </w:tc>
      </w:tr>
      <w:tr w:rsidR="00024C0A" w:rsidTr="00024C0A">
        <w:tc>
          <w:tcPr>
            <w:tcW w:w="0" w:type="auto"/>
            <w:vAlign w:val="center"/>
          </w:tcPr>
          <w:p w:rsidR="00024C0A" w:rsidRDefault="00694C0F">
            <w:pPr>
              <w:pStyle w:val="TableBodyText"/>
            </w:pPr>
            <w:r>
              <w:t>Tamazight (Latin)</w:t>
            </w:r>
          </w:p>
        </w:tc>
        <w:tc>
          <w:tcPr>
            <w:tcW w:w="0" w:type="auto"/>
            <w:vAlign w:val="center"/>
          </w:tcPr>
          <w:p w:rsidR="00024C0A" w:rsidRDefault="00694C0F">
            <w:pPr>
              <w:pStyle w:val="TableBodyText"/>
            </w:pPr>
            <w:r>
              <w:t>Algeria</w:t>
            </w:r>
          </w:p>
        </w:tc>
        <w:tc>
          <w:tcPr>
            <w:tcW w:w="0" w:type="auto"/>
            <w:vAlign w:val="center"/>
          </w:tcPr>
          <w:p w:rsidR="00024C0A" w:rsidRDefault="00694C0F">
            <w:pPr>
              <w:pStyle w:val="TableBodyText"/>
            </w:pPr>
            <w:r>
              <w:t>tmz-DZ-Latn</w:t>
            </w:r>
          </w:p>
        </w:tc>
      </w:tr>
      <w:tr w:rsidR="00024C0A" w:rsidTr="00024C0A">
        <w:tc>
          <w:tcPr>
            <w:tcW w:w="0" w:type="auto"/>
            <w:vAlign w:val="center"/>
          </w:tcPr>
          <w:p w:rsidR="00024C0A" w:rsidRDefault="00694C0F">
            <w:pPr>
              <w:pStyle w:val="TableBodyText"/>
            </w:pPr>
            <w:r>
              <w:t>Tamil</w:t>
            </w:r>
          </w:p>
        </w:tc>
        <w:tc>
          <w:tcPr>
            <w:tcW w:w="0" w:type="auto"/>
            <w:vAlign w:val="center"/>
          </w:tcPr>
          <w:p w:rsidR="00024C0A" w:rsidRDefault="00694C0F">
            <w:pPr>
              <w:pStyle w:val="TableBodyText"/>
            </w:pPr>
            <w:r>
              <w:t>India</w:t>
            </w:r>
          </w:p>
        </w:tc>
        <w:tc>
          <w:tcPr>
            <w:tcW w:w="0" w:type="auto"/>
            <w:vAlign w:val="center"/>
          </w:tcPr>
          <w:p w:rsidR="00024C0A" w:rsidRDefault="00694C0F">
            <w:pPr>
              <w:pStyle w:val="TableBodyText"/>
            </w:pPr>
            <w:r>
              <w:t>ta-IN</w:t>
            </w:r>
          </w:p>
        </w:tc>
      </w:tr>
      <w:tr w:rsidR="00024C0A" w:rsidTr="00024C0A">
        <w:tc>
          <w:tcPr>
            <w:tcW w:w="0" w:type="auto"/>
            <w:vAlign w:val="center"/>
          </w:tcPr>
          <w:p w:rsidR="00024C0A" w:rsidRDefault="00694C0F">
            <w:pPr>
              <w:pStyle w:val="TableBodyText"/>
            </w:pPr>
            <w:r>
              <w:t>Tatar</w:t>
            </w:r>
          </w:p>
        </w:tc>
        <w:tc>
          <w:tcPr>
            <w:tcW w:w="0" w:type="auto"/>
            <w:vAlign w:val="center"/>
          </w:tcPr>
          <w:p w:rsidR="00024C0A" w:rsidRDefault="00694C0F">
            <w:pPr>
              <w:pStyle w:val="TableBodyText"/>
            </w:pPr>
            <w:r>
              <w:t>Russia</w:t>
            </w:r>
          </w:p>
        </w:tc>
        <w:tc>
          <w:tcPr>
            <w:tcW w:w="0" w:type="auto"/>
            <w:vAlign w:val="center"/>
          </w:tcPr>
          <w:p w:rsidR="00024C0A" w:rsidRDefault="00694C0F">
            <w:pPr>
              <w:pStyle w:val="TableBodyText"/>
            </w:pPr>
            <w:r>
              <w:t>tt-RU</w:t>
            </w:r>
          </w:p>
        </w:tc>
      </w:tr>
      <w:tr w:rsidR="00024C0A" w:rsidTr="00024C0A">
        <w:tc>
          <w:tcPr>
            <w:tcW w:w="0" w:type="auto"/>
            <w:vAlign w:val="center"/>
          </w:tcPr>
          <w:p w:rsidR="00024C0A" w:rsidRDefault="00694C0F">
            <w:pPr>
              <w:pStyle w:val="TableBodyText"/>
            </w:pPr>
            <w:r>
              <w:t>Telugu (Telugu Script)</w:t>
            </w:r>
          </w:p>
        </w:tc>
        <w:tc>
          <w:tcPr>
            <w:tcW w:w="0" w:type="auto"/>
            <w:vAlign w:val="center"/>
          </w:tcPr>
          <w:p w:rsidR="00024C0A" w:rsidRDefault="00694C0F">
            <w:pPr>
              <w:pStyle w:val="TableBodyText"/>
            </w:pPr>
            <w:r>
              <w:t>India</w:t>
            </w:r>
          </w:p>
        </w:tc>
        <w:tc>
          <w:tcPr>
            <w:tcW w:w="0" w:type="auto"/>
            <w:vAlign w:val="center"/>
          </w:tcPr>
          <w:p w:rsidR="00024C0A" w:rsidRDefault="00694C0F">
            <w:pPr>
              <w:pStyle w:val="TableBodyText"/>
            </w:pPr>
            <w:r>
              <w:t>te-IN</w:t>
            </w:r>
          </w:p>
        </w:tc>
      </w:tr>
      <w:tr w:rsidR="00024C0A" w:rsidTr="00024C0A">
        <w:tc>
          <w:tcPr>
            <w:tcW w:w="0" w:type="auto"/>
            <w:vAlign w:val="center"/>
          </w:tcPr>
          <w:p w:rsidR="00024C0A" w:rsidRDefault="00694C0F">
            <w:pPr>
              <w:pStyle w:val="TableBodyText"/>
            </w:pPr>
            <w:r>
              <w:t xml:space="preserve">Thai </w:t>
            </w:r>
          </w:p>
        </w:tc>
        <w:tc>
          <w:tcPr>
            <w:tcW w:w="0" w:type="auto"/>
            <w:vAlign w:val="center"/>
          </w:tcPr>
          <w:p w:rsidR="00024C0A" w:rsidRDefault="00694C0F">
            <w:pPr>
              <w:pStyle w:val="TableBodyText"/>
            </w:pPr>
            <w:r>
              <w:t>Thailand</w:t>
            </w:r>
          </w:p>
        </w:tc>
        <w:tc>
          <w:tcPr>
            <w:tcW w:w="0" w:type="auto"/>
            <w:vAlign w:val="center"/>
          </w:tcPr>
          <w:p w:rsidR="00024C0A" w:rsidRDefault="00694C0F">
            <w:pPr>
              <w:pStyle w:val="TableBodyText"/>
            </w:pPr>
            <w:r>
              <w:t>th-TH</w:t>
            </w:r>
          </w:p>
        </w:tc>
      </w:tr>
      <w:tr w:rsidR="00024C0A" w:rsidTr="00024C0A">
        <w:tc>
          <w:tcPr>
            <w:tcW w:w="0" w:type="auto"/>
            <w:vAlign w:val="center"/>
          </w:tcPr>
          <w:p w:rsidR="00024C0A" w:rsidRDefault="00694C0F">
            <w:pPr>
              <w:pStyle w:val="TableBodyText"/>
            </w:pPr>
            <w:r>
              <w:t>Tibetan</w:t>
            </w:r>
          </w:p>
        </w:tc>
        <w:tc>
          <w:tcPr>
            <w:tcW w:w="0" w:type="auto"/>
            <w:vAlign w:val="center"/>
          </w:tcPr>
          <w:p w:rsidR="00024C0A" w:rsidRDefault="00694C0F">
            <w:pPr>
              <w:pStyle w:val="TableBodyText"/>
            </w:pPr>
            <w:r>
              <w:t>Bhutan</w:t>
            </w:r>
          </w:p>
        </w:tc>
        <w:tc>
          <w:tcPr>
            <w:tcW w:w="0" w:type="auto"/>
            <w:vAlign w:val="center"/>
          </w:tcPr>
          <w:p w:rsidR="00024C0A" w:rsidRDefault="00694C0F">
            <w:pPr>
              <w:pStyle w:val="TableBodyText"/>
            </w:pPr>
            <w:r>
              <w:t>bo-BT</w:t>
            </w:r>
          </w:p>
        </w:tc>
      </w:tr>
      <w:tr w:rsidR="00024C0A" w:rsidTr="00024C0A">
        <w:tc>
          <w:tcPr>
            <w:tcW w:w="0" w:type="auto"/>
            <w:vAlign w:val="center"/>
          </w:tcPr>
          <w:p w:rsidR="00024C0A" w:rsidRDefault="00694C0F">
            <w:pPr>
              <w:pStyle w:val="TableBodyText"/>
            </w:pPr>
            <w:r>
              <w:t>Tibetan</w:t>
            </w:r>
          </w:p>
        </w:tc>
        <w:tc>
          <w:tcPr>
            <w:tcW w:w="0" w:type="auto"/>
            <w:vAlign w:val="center"/>
          </w:tcPr>
          <w:p w:rsidR="00024C0A" w:rsidRDefault="00694C0F">
            <w:pPr>
              <w:pStyle w:val="TableBodyText"/>
            </w:pPr>
            <w:r>
              <w:t>PRC</w:t>
            </w:r>
          </w:p>
        </w:tc>
        <w:tc>
          <w:tcPr>
            <w:tcW w:w="0" w:type="auto"/>
            <w:vAlign w:val="center"/>
          </w:tcPr>
          <w:p w:rsidR="00024C0A" w:rsidRDefault="00694C0F">
            <w:pPr>
              <w:pStyle w:val="TableBodyText"/>
            </w:pPr>
            <w:r>
              <w:t>bo-CN</w:t>
            </w:r>
          </w:p>
        </w:tc>
      </w:tr>
      <w:tr w:rsidR="00024C0A" w:rsidTr="00024C0A">
        <w:tc>
          <w:tcPr>
            <w:tcW w:w="0" w:type="auto"/>
            <w:vAlign w:val="center"/>
          </w:tcPr>
          <w:p w:rsidR="00024C0A" w:rsidRDefault="00694C0F">
            <w:pPr>
              <w:pStyle w:val="TableBodyText"/>
            </w:pPr>
            <w:r>
              <w:lastRenderedPageBreak/>
              <w:t>Turkish</w:t>
            </w:r>
          </w:p>
        </w:tc>
        <w:tc>
          <w:tcPr>
            <w:tcW w:w="0" w:type="auto"/>
            <w:vAlign w:val="center"/>
          </w:tcPr>
          <w:p w:rsidR="00024C0A" w:rsidRDefault="00694C0F">
            <w:pPr>
              <w:pStyle w:val="TableBodyText"/>
            </w:pPr>
            <w:r>
              <w:t>Turkey</w:t>
            </w:r>
          </w:p>
        </w:tc>
        <w:tc>
          <w:tcPr>
            <w:tcW w:w="0" w:type="auto"/>
            <w:vAlign w:val="center"/>
          </w:tcPr>
          <w:p w:rsidR="00024C0A" w:rsidRDefault="00694C0F">
            <w:pPr>
              <w:pStyle w:val="TableBodyText"/>
            </w:pPr>
            <w:r>
              <w:t>tr-TR</w:t>
            </w:r>
          </w:p>
        </w:tc>
      </w:tr>
      <w:tr w:rsidR="00024C0A" w:rsidTr="00024C0A">
        <w:tc>
          <w:tcPr>
            <w:tcW w:w="0" w:type="auto"/>
            <w:vAlign w:val="center"/>
          </w:tcPr>
          <w:p w:rsidR="00024C0A" w:rsidRDefault="00694C0F">
            <w:pPr>
              <w:pStyle w:val="TableBodyText"/>
            </w:pPr>
            <w:r>
              <w:t>Turkmen</w:t>
            </w:r>
          </w:p>
        </w:tc>
        <w:tc>
          <w:tcPr>
            <w:tcW w:w="0" w:type="auto"/>
            <w:vAlign w:val="center"/>
          </w:tcPr>
          <w:p w:rsidR="00024C0A" w:rsidRDefault="00694C0F">
            <w:pPr>
              <w:pStyle w:val="TableBodyText"/>
            </w:pPr>
            <w:r>
              <w:t>Turkmenistan</w:t>
            </w:r>
          </w:p>
        </w:tc>
        <w:tc>
          <w:tcPr>
            <w:tcW w:w="0" w:type="auto"/>
            <w:vAlign w:val="center"/>
          </w:tcPr>
          <w:p w:rsidR="00024C0A" w:rsidRDefault="00694C0F">
            <w:pPr>
              <w:pStyle w:val="TableBodyText"/>
            </w:pPr>
            <w:r>
              <w:t>tk-TM</w:t>
            </w:r>
          </w:p>
        </w:tc>
      </w:tr>
      <w:tr w:rsidR="00024C0A" w:rsidTr="00024C0A">
        <w:tc>
          <w:tcPr>
            <w:tcW w:w="0" w:type="auto"/>
            <w:vAlign w:val="center"/>
          </w:tcPr>
          <w:p w:rsidR="00024C0A" w:rsidRDefault="00694C0F">
            <w:pPr>
              <w:pStyle w:val="TableBodyText"/>
            </w:pPr>
            <w:r>
              <w:t xml:space="preserve">Uighur </w:t>
            </w:r>
          </w:p>
        </w:tc>
        <w:tc>
          <w:tcPr>
            <w:tcW w:w="0" w:type="auto"/>
            <w:vAlign w:val="center"/>
          </w:tcPr>
          <w:p w:rsidR="00024C0A" w:rsidRDefault="00694C0F">
            <w:pPr>
              <w:pStyle w:val="TableBodyText"/>
            </w:pPr>
            <w:r>
              <w:t>PRC</w:t>
            </w:r>
          </w:p>
        </w:tc>
        <w:tc>
          <w:tcPr>
            <w:tcW w:w="0" w:type="auto"/>
            <w:vAlign w:val="center"/>
          </w:tcPr>
          <w:p w:rsidR="00024C0A" w:rsidRDefault="00694C0F">
            <w:pPr>
              <w:pStyle w:val="TableBodyText"/>
            </w:pPr>
            <w:r>
              <w:t>ug-CN</w:t>
            </w:r>
          </w:p>
        </w:tc>
      </w:tr>
      <w:tr w:rsidR="00024C0A" w:rsidTr="00024C0A">
        <w:tc>
          <w:tcPr>
            <w:tcW w:w="0" w:type="auto"/>
            <w:vAlign w:val="center"/>
          </w:tcPr>
          <w:p w:rsidR="00024C0A" w:rsidRDefault="00694C0F">
            <w:pPr>
              <w:pStyle w:val="TableBodyText"/>
            </w:pPr>
            <w:r>
              <w:t>Ukrainian</w:t>
            </w:r>
          </w:p>
        </w:tc>
        <w:tc>
          <w:tcPr>
            <w:tcW w:w="0" w:type="auto"/>
            <w:vAlign w:val="center"/>
          </w:tcPr>
          <w:p w:rsidR="00024C0A" w:rsidRDefault="00694C0F">
            <w:pPr>
              <w:pStyle w:val="TableBodyText"/>
            </w:pPr>
            <w:r>
              <w:t>Ukraine</w:t>
            </w:r>
          </w:p>
        </w:tc>
        <w:tc>
          <w:tcPr>
            <w:tcW w:w="0" w:type="auto"/>
            <w:vAlign w:val="center"/>
          </w:tcPr>
          <w:p w:rsidR="00024C0A" w:rsidRDefault="00694C0F">
            <w:pPr>
              <w:pStyle w:val="TableBodyText"/>
            </w:pPr>
            <w:r>
              <w:t>uk-UA</w:t>
            </w:r>
          </w:p>
        </w:tc>
      </w:tr>
      <w:tr w:rsidR="00024C0A" w:rsidTr="00024C0A">
        <w:tc>
          <w:tcPr>
            <w:tcW w:w="0" w:type="auto"/>
            <w:vAlign w:val="center"/>
          </w:tcPr>
          <w:p w:rsidR="00024C0A" w:rsidRDefault="00694C0F">
            <w:pPr>
              <w:pStyle w:val="TableBodyText"/>
            </w:pPr>
            <w:r>
              <w:t>Upper Sorbian</w:t>
            </w:r>
          </w:p>
        </w:tc>
        <w:tc>
          <w:tcPr>
            <w:tcW w:w="0" w:type="auto"/>
            <w:vAlign w:val="center"/>
          </w:tcPr>
          <w:p w:rsidR="00024C0A" w:rsidRDefault="00694C0F">
            <w:pPr>
              <w:pStyle w:val="TableBodyText"/>
            </w:pPr>
            <w:r>
              <w:t>Germany</w:t>
            </w:r>
          </w:p>
        </w:tc>
        <w:tc>
          <w:tcPr>
            <w:tcW w:w="0" w:type="auto"/>
            <w:vAlign w:val="center"/>
          </w:tcPr>
          <w:p w:rsidR="00024C0A" w:rsidRDefault="00694C0F">
            <w:pPr>
              <w:pStyle w:val="TableBodyText"/>
            </w:pPr>
            <w:r>
              <w:t>wen-DE</w:t>
            </w:r>
          </w:p>
        </w:tc>
      </w:tr>
      <w:tr w:rsidR="00024C0A" w:rsidTr="00024C0A">
        <w:tc>
          <w:tcPr>
            <w:tcW w:w="0" w:type="auto"/>
            <w:vAlign w:val="center"/>
          </w:tcPr>
          <w:p w:rsidR="00024C0A" w:rsidRDefault="00694C0F">
            <w:pPr>
              <w:pStyle w:val="TableBodyText"/>
            </w:pPr>
            <w:r>
              <w:t>Urdu</w:t>
            </w:r>
          </w:p>
        </w:tc>
        <w:tc>
          <w:tcPr>
            <w:tcW w:w="0" w:type="auto"/>
            <w:vAlign w:val="center"/>
          </w:tcPr>
          <w:p w:rsidR="00024C0A" w:rsidRDefault="00694C0F">
            <w:pPr>
              <w:pStyle w:val="TableBodyText"/>
            </w:pPr>
            <w:r>
              <w:t>Pakistan</w:t>
            </w:r>
          </w:p>
        </w:tc>
        <w:tc>
          <w:tcPr>
            <w:tcW w:w="0" w:type="auto"/>
            <w:vAlign w:val="center"/>
          </w:tcPr>
          <w:p w:rsidR="00024C0A" w:rsidRDefault="00694C0F">
            <w:pPr>
              <w:pStyle w:val="TableBodyText"/>
            </w:pPr>
            <w:r>
              <w:t>ur-PK</w:t>
            </w:r>
          </w:p>
        </w:tc>
      </w:tr>
      <w:tr w:rsidR="00024C0A" w:rsidTr="00024C0A">
        <w:tc>
          <w:tcPr>
            <w:tcW w:w="0" w:type="auto"/>
            <w:vAlign w:val="center"/>
          </w:tcPr>
          <w:p w:rsidR="00024C0A" w:rsidRDefault="00694C0F">
            <w:pPr>
              <w:pStyle w:val="TableBodyText"/>
            </w:pPr>
            <w:r>
              <w:t>Uzbek (Cyrillic)</w:t>
            </w:r>
          </w:p>
        </w:tc>
        <w:tc>
          <w:tcPr>
            <w:tcW w:w="0" w:type="auto"/>
            <w:vAlign w:val="center"/>
          </w:tcPr>
          <w:p w:rsidR="00024C0A" w:rsidRDefault="00694C0F">
            <w:pPr>
              <w:pStyle w:val="TableBodyText"/>
            </w:pPr>
            <w:r>
              <w:t>Uzbekistan</w:t>
            </w:r>
          </w:p>
        </w:tc>
        <w:tc>
          <w:tcPr>
            <w:tcW w:w="0" w:type="auto"/>
            <w:vAlign w:val="center"/>
          </w:tcPr>
          <w:p w:rsidR="00024C0A" w:rsidRDefault="00694C0F">
            <w:pPr>
              <w:pStyle w:val="TableBodyText"/>
            </w:pPr>
            <w:r>
              <w:t>uz-UZ-Cyrl</w:t>
            </w:r>
          </w:p>
        </w:tc>
      </w:tr>
      <w:tr w:rsidR="00024C0A" w:rsidTr="00024C0A">
        <w:tc>
          <w:tcPr>
            <w:tcW w:w="0" w:type="auto"/>
            <w:vAlign w:val="center"/>
          </w:tcPr>
          <w:p w:rsidR="00024C0A" w:rsidRDefault="00694C0F">
            <w:pPr>
              <w:pStyle w:val="TableBodyText"/>
            </w:pPr>
            <w:r>
              <w:t>Uzbek (Latin)</w:t>
            </w:r>
          </w:p>
        </w:tc>
        <w:tc>
          <w:tcPr>
            <w:tcW w:w="0" w:type="auto"/>
            <w:vAlign w:val="center"/>
          </w:tcPr>
          <w:p w:rsidR="00024C0A" w:rsidRDefault="00694C0F">
            <w:pPr>
              <w:pStyle w:val="TableBodyText"/>
            </w:pPr>
            <w:r>
              <w:t>Uzbekistan</w:t>
            </w:r>
          </w:p>
        </w:tc>
        <w:tc>
          <w:tcPr>
            <w:tcW w:w="0" w:type="auto"/>
            <w:vAlign w:val="center"/>
          </w:tcPr>
          <w:p w:rsidR="00024C0A" w:rsidRDefault="00694C0F">
            <w:pPr>
              <w:pStyle w:val="TableBodyText"/>
            </w:pPr>
            <w:r>
              <w:t>uz-UZ-Latn</w:t>
            </w:r>
          </w:p>
        </w:tc>
      </w:tr>
      <w:tr w:rsidR="00024C0A" w:rsidTr="00024C0A">
        <w:tc>
          <w:tcPr>
            <w:tcW w:w="0" w:type="auto"/>
            <w:vAlign w:val="center"/>
          </w:tcPr>
          <w:p w:rsidR="00024C0A" w:rsidRDefault="00694C0F">
            <w:pPr>
              <w:pStyle w:val="TableBodyText"/>
            </w:pPr>
            <w:r>
              <w:t>Vietnamese</w:t>
            </w:r>
          </w:p>
        </w:tc>
        <w:tc>
          <w:tcPr>
            <w:tcW w:w="0" w:type="auto"/>
            <w:vAlign w:val="center"/>
          </w:tcPr>
          <w:p w:rsidR="00024C0A" w:rsidRDefault="00694C0F">
            <w:pPr>
              <w:pStyle w:val="TableBodyText"/>
            </w:pPr>
            <w:r>
              <w:t>Viet Nam</w:t>
            </w:r>
          </w:p>
        </w:tc>
        <w:tc>
          <w:tcPr>
            <w:tcW w:w="0" w:type="auto"/>
            <w:vAlign w:val="center"/>
          </w:tcPr>
          <w:p w:rsidR="00024C0A" w:rsidRDefault="00694C0F">
            <w:pPr>
              <w:pStyle w:val="TableBodyText"/>
            </w:pPr>
            <w:r>
              <w:t>vi-VN</w:t>
            </w:r>
          </w:p>
        </w:tc>
      </w:tr>
      <w:tr w:rsidR="00024C0A" w:rsidTr="00024C0A">
        <w:tc>
          <w:tcPr>
            <w:tcW w:w="0" w:type="auto"/>
            <w:vAlign w:val="center"/>
          </w:tcPr>
          <w:p w:rsidR="00024C0A" w:rsidRDefault="00694C0F">
            <w:pPr>
              <w:pStyle w:val="TableBodyText"/>
            </w:pPr>
            <w:r>
              <w:t xml:space="preserve">Welsh </w:t>
            </w:r>
          </w:p>
        </w:tc>
        <w:tc>
          <w:tcPr>
            <w:tcW w:w="0" w:type="auto"/>
            <w:vAlign w:val="center"/>
          </w:tcPr>
          <w:p w:rsidR="00024C0A" w:rsidRDefault="00694C0F">
            <w:pPr>
              <w:pStyle w:val="TableBodyText"/>
            </w:pPr>
            <w:r>
              <w:t>United Kingdom</w:t>
            </w:r>
          </w:p>
        </w:tc>
        <w:tc>
          <w:tcPr>
            <w:tcW w:w="0" w:type="auto"/>
            <w:vAlign w:val="center"/>
          </w:tcPr>
          <w:p w:rsidR="00024C0A" w:rsidRDefault="00694C0F">
            <w:pPr>
              <w:pStyle w:val="TableBodyText"/>
            </w:pPr>
            <w:r>
              <w:t>cy-GB</w:t>
            </w:r>
          </w:p>
        </w:tc>
      </w:tr>
      <w:tr w:rsidR="00024C0A" w:rsidTr="00024C0A">
        <w:tc>
          <w:tcPr>
            <w:tcW w:w="0" w:type="auto"/>
            <w:vAlign w:val="center"/>
          </w:tcPr>
          <w:p w:rsidR="00024C0A" w:rsidRDefault="00694C0F">
            <w:pPr>
              <w:pStyle w:val="TableBodyText"/>
            </w:pPr>
            <w:r>
              <w:t xml:space="preserve">Wolof </w:t>
            </w:r>
          </w:p>
        </w:tc>
        <w:tc>
          <w:tcPr>
            <w:tcW w:w="0" w:type="auto"/>
            <w:vAlign w:val="center"/>
          </w:tcPr>
          <w:p w:rsidR="00024C0A" w:rsidRDefault="00694C0F">
            <w:pPr>
              <w:pStyle w:val="TableBodyText"/>
            </w:pPr>
            <w:r>
              <w:t>Senegal</w:t>
            </w:r>
          </w:p>
        </w:tc>
        <w:tc>
          <w:tcPr>
            <w:tcW w:w="0" w:type="auto"/>
            <w:vAlign w:val="center"/>
          </w:tcPr>
          <w:p w:rsidR="00024C0A" w:rsidRDefault="00694C0F">
            <w:pPr>
              <w:pStyle w:val="TableBodyText"/>
            </w:pPr>
            <w:r>
              <w:t>wo-SN</w:t>
            </w:r>
          </w:p>
        </w:tc>
      </w:tr>
      <w:tr w:rsidR="00024C0A" w:rsidTr="00024C0A">
        <w:tc>
          <w:tcPr>
            <w:tcW w:w="0" w:type="auto"/>
            <w:vAlign w:val="center"/>
          </w:tcPr>
          <w:p w:rsidR="00024C0A" w:rsidRDefault="00694C0F">
            <w:pPr>
              <w:pStyle w:val="TableBodyText"/>
            </w:pPr>
            <w:r>
              <w:t>Yi</w:t>
            </w:r>
          </w:p>
        </w:tc>
        <w:tc>
          <w:tcPr>
            <w:tcW w:w="0" w:type="auto"/>
            <w:vAlign w:val="center"/>
          </w:tcPr>
          <w:p w:rsidR="00024C0A" w:rsidRDefault="00694C0F">
            <w:pPr>
              <w:pStyle w:val="TableBodyText"/>
            </w:pPr>
            <w:r>
              <w:t>PRC</w:t>
            </w:r>
          </w:p>
        </w:tc>
        <w:tc>
          <w:tcPr>
            <w:tcW w:w="0" w:type="auto"/>
            <w:vAlign w:val="center"/>
          </w:tcPr>
          <w:p w:rsidR="00024C0A" w:rsidRDefault="00694C0F">
            <w:pPr>
              <w:pStyle w:val="TableBodyText"/>
            </w:pPr>
            <w:r>
              <w:t>ii-CN</w:t>
            </w:r>
          </w:p>
        </w:tc>
      </w:tr>
      <w:tr w:rsidR="00024C0A" w:rsidTr="00024C0A">
        <w:tc>
          <w:tcPr>
            <w:tcW w:w="0" w:type="auto"/>
            <w:vAlign w:val="center"/>
          </w:tcPr>
          <w:p w:rsidR="00024C0A" w:rsidRDefault="00694C0F">
            <w:pPr>
              <w:pStyle w:val="TableBodyText"/>
            </w:pPr>
            <w:r>
              <w:t>Yoruba</w:t>
            </w:r>
          </w:p>
        </w:tc>
        <w:tc>
          <w:tcPr>
            <w:tcW w:w="0" w:type="auto"/>
            <w:vAlign w:val="center"/>
          </w:tcPr>
          <w:p w:rsidR="00024C0A" w:rsidRDefault="00694C0F">
            <w:pPr>
              <w:pStyle w:val="TableBodyText"/>
            </w:pPr>
            <w:r>
              <w:t>Nigeria</w:t>
            </w:r>
          </w:p>
        </w:tc>
        <w:tc>
          <w:tcPr>
            <w:tcW w:w="0" w:type="auto"/>
            <w:vAlign w:val="center"/>
          </w:tcPr>
          <w:p w:rsidR="00024C0A" w:rsidRDefault="00694C0F">
            <w:pPr>
              <w:pStyle w:val="TableBodyText"/>
            </w:pPr>
            <w:r>
              <w:t>yo-NG</w:t>
            </w:r>
          </w:p>
        </w:tc>
      </w:tr>
    </w:tbl>
    <w:p w:rsidR="00024C0A" w:rsidRDefault="00024C0A"/>
    <w:p w:rsidR="00024C0A" w:rsidRDefault="00694C0F">
      <w:pPr>
        <w:pStyle w:val="Heading3"/>
      </w:pPr>
      <w:bookmarkStart w:id="1605" w:name="section_3590372544d74cb08faf96d3d3dc0463"/>
      <w:bookmarkStart w:id="1606" w:name="_Toc12260863"/>
      <w:r>
        <w:t>Part 1 Section 18.10.1.88, set (OLAP Set)</w:t>
      </w:r>
      <w:bookmarkEnd w:id="1605"/>
      <w:bookmarkEnd w:id="1606"/>
      <w:r>
        <w:fldChar w:fldCharType="begin"/>
      </w:r>
      <w:r>
        <w:instrText xml:space="preserve"> XE "set (OLAP Set)" </w:instrText>
      </w:r>
      <w:r>
        <w:fldChar w:fldCharType="end"/>
      </w:r>
    </w:p>
    <w:p w:rsidR="00024C0A" w:rsidRDefault="00694C0F">
      <w:pPr>
        <w:pStyle w:val="Definition-Field"/>
      </w:pPr>
      <w:r>
        <w:t xml:space="preserve">a.   </w:t>
      </w:r>
      <w:r>
        <w:rPr>
          <w:i/>
        </w:rPr>
        <w:t xml:space="preserve">The standard states that the values of the count attribute are defined by the XML Schema </w:t>
      </w:r>
      <w:r>
        <w:rPr>
          <w:i/>
        </w:rPr>
        <w:t>unsignedInt datatype.</w:t>
      </w:r>
    </w:p>
    <w:p w:rsidR="00024C0A" w:rsidRDefault="00694C0F">
      <w:pPr>
        <w:pStyle w:val="Definition-Field2"/>
      </w:pPr>
      <w:r>
        <w:t>Office requires that the count attribute be less than 2147483648 or 4294967295 when number of items in the set is unknown.</w:t>
      </w:r>
    </w:p>
    <w:p w:rsidR="00024C0A" w:rsidRDefault="00694C0F">
      <w:pPr>
        <w:pStyle w:val="Definition-Field"/>
      </w:pPr>
      <w:r>
        <w:t xml:space="preserve">b.   </w:t>
      </w:r>
      <w:r>
        <w:rPr>
          <w:i/>
        </w:rPr>
        <w:t>The standard does not limit the length of the value of the setDefinition attribute.</w:t>
      </w:r>
    </w:p>
    <w:p w:rsidR="00024C0A" w:rsidRDefault="00694C0F">
      <w:pPr>
        <w:pStyle w:val="Definition-Field2"/>
      </w:pPr>
      <w:r>
        <w:t>Excel restricts the va</w:t>
      </w:r>
      <w:r>
        <w:t>lue of this attribute to be at most 65535 characters.</w:t>
      </w:r>
    </w:p>
    <w:p w:rsidR="00024C0A" w:rsidRDefault="00694C0F">
      <w:pPr>
        <w:pStyle w:val="Definition-Field"/>
      </w:pPr>
      <w:r>
        <w:t xml:space="preserve">c.   </w:t>
      </w:r>
      <w:r>
        <w:rPr>
          <w:i/>
        </w:rPr>
        <w:t>The standard states that the values of the maxRank attribute are defined by the XML Schema int datatype.</w:t>
      </w:r>
    </w:p>
    <w:p w:rsidR="00024C0A" w:rsidRDefault="00694C0F">
      <w:pPr>
        <w:pStyle w:val="Definition-Field2"/>
      </w:pPr>
      <w:r>
        <w:t>Excel restricts the value of this attribute to be at least 0 and at most 1048576.</w:t>
      </w:r>
    </w:p>
    <w:p w:rsidR="00024C0A" w:rsidRDefault="00694C0F">
      <w:pPr>
        <w:pStyle w:val="Definition-Field"/>
      </w:pPr>
      <w:r>
        <w:t xml:space="preserve">d.   </w:t>
      </w:r>
      <w:r>
        <w:rPr>
          <w:i/>
        </w:rPr>
        <w:t>The s</w:t>
      </w:r>
      <w:r>
        <w:rPr>
          <w:i/>
        </w:rPr>
        <w:t>tandard does not specify a default value for the count attribute.</w:t>
      </w:r>
    </w:p>
    <w:p w:rsidR="00024C0A" w:rsidRDefault="00694C0F">
      <w:pPr>
        <w:pStyle w:val="Definition-Field2"/>
      </w:pPr>
      <w:r>
        <w:t>Excel uses a default value of 4294967295 for this attribute.</w:t>
      </w:r>
    </w:p>
    <w:p w:rsidR="00024C0A" w:rsidRDefault="00694C0F">
      <w:pPr>
        <w:pStyle w:val="Definition-Field"/>
      </w:pPr>
      <w:r>
        <w:t xml:space="preserve">e.   </w:t>
      </w:r>
      <w:r>
        <w:rPr>
          <w:i/>
        </w:rPr>
        <w:t>The standard says that the count attribute specifies the number of tuples in the set.</w:t>
      </w:r>
    </w:p>
    <w:p w:rsidR="00024C0A" w:rsidRDefault="00694C0F">
      <w:pPr>
        <w:pStyle w:val="Definition-Field2"/>
      </w:pPr>
      <w:r>
        <w:t>Office assumes that this indicates the</w:t>
      </w:r>
      <w:r>
        <w:t xml:space="preserve"> number of tuples in the resulting set rather than the tpls element.</w:t>
      </w:r>
    </w:p>
    <w:p w:rsidR="00024C0A" w:rsidRDefault="00694C0F">
      <w:pPr>
        <w:pStyle w:val="Heading3"/>
      </w:pPr>
      <w:bookmarkStart w:id="1607" w:name="section_e6bf5eddaa4c40b58f43b3da6b664823"/>
      <w:bookmarkStart w:id="1608" w:name="_Toc12260864"/>
      <w:r>
        <w:t>Part 1 Section 18.10.1.90, sharedItems (Shared Items)</w:t>
      </w:r>
      <w:bookmarkEnd w:id="1607"/>
      <w:bookmarkEnd w:id="1608"/>
      <w:r>
        <w:fldChar w:fldCharType="begin"/>
      </w:r>
      <w:r>
        <w:instrText xml:space="preserve"> XE "sharedItems (Shared Items)" </w:instrText>
      </w:r>
      <w:r>
        <w:fldChar w:fldCharType="end"/>
      </w:r>
    </w:p>
    <w:p w:rsidR="00024C0A" w:rsidRDefault="00694C0F">
      <w:pPr>
        <w:pStyle w:val="Definition-Field"/>
      </w:pPr>
      <w:r>
        <w:t xml:space="preserve">a.   </w:t>
      </w:r>
      <w:r>
        <w:rPr>
          <w:i/>
        </w:rPr>
        <w:t>In the standard @maxValue is a double.</w:t>
      </w:r>
    </w:p>
    <w:p w:rsidR="00024C0A" w:rsidRDefault="00694C0F">
      <w:pPr>
        <w:pStyle w:val="Definition-Field2"/>
      </w:pPr>
      <w:r>
        <w:t>Office does not support the use of NaN, INF, or -INF f</w:t>
      </w:r>
      <w:r>
        <w:t>or @maxValue.</w:t>
      </w:r>
    </w:p>
    <w:p w:rsidR="00024C0A" w:rsidRDefault="00694C0F">
      <w:pPr>
        <w:pStyle w:val="Definition-Field"/>
      </w:pPr>
      <w:r>
        <w:lastRenderedPageBreak/>
        <w:t xml:space="preserve">b.   </w:t>
      </w:r>
      <w:r>
        <w:rPr>
          <w:i/>
        </w:rPr>
        <w:t>The standard states that the values of the minValue attribute are defined by the XML Schema double datatype.</w:t>
      </w:r>
    </w:p>
    <w:p w:rsidR="00024C0A" w:rsidRDefault="00694C0F">
      <w:pPr>
        <w:pStyle w:val="Definition-Field2"/>
      </w:pPr>
      <w:r>
        <w:t>Office does not support the use of NaN, INF, or -INF for the minValue attribute.</w:t>
      </w:r>
    </w:p>
    <w:p w:rsidR="00024C0A" w:rsidRDefault="00694C0F">
      <w:pPr>
        <w:pStyle w:val="Definition-Field"/>
      </w:pPr>
      <w:r>
        <w:t xml:space="preserve">c.   </w:t>
      </w:r>
      <w:r>
        <w:rPr>
          <w:i/>
        </w:rPr>
        <w:t xml:space="preserve">In the standard it states that a longText </w:t>
      </w:r>
      <w:r>
        <w:rPr>
          <w:i/>
        </w:rPr>
        <w:t>attribute value of false indicates when text is less than 255 characters.</w:t>
      </w:r>
    </w:p>
    <w:p w:rsidR="00024C0A" w:rsidRDefault="00694C0F">
      <w:pPr>
        <w:pStyle w:val="Definition-Field2"/>
      </w:pPr>
      <w:r>
        <w:t>Office interprets a longText attribute value of false to indicate when text is less than or equal to 255 characters.</w:t>
      </w:r>
    </w:p>
    <w:p w:rsidR="00024C0A" w:rsidRDefault="00694C0F">
      <w:pPr>
        <w:pStyle w:val="Definition-Field"/>
      </w:pPr>
      <w:r>
        <w:t xml:space="preserve">d.   </w:t>
      </w:r>
      <w:r>
        <w:rPr>
          <w:i/>
        </w:rPr>
        <w:t xml:space="preserve">The standard describes when the attributes are not used in </w:t>
      </w:r>
      <w:r>
        <w:rPr>
          <w:i/>
        </w:rPr>
        <w:t>the load process.</w:t>
      </w:r>
    </w:p>
    <w:p w:rsidR="00024C0A" w:rsidRDefault="00694C0F">
      <w:pPr>
        <w:pStyle w:val="Definition-Field2"/>
      </w:pPr>
      <w:r>
        <w:t>Office checks these restrictions for individual attributes, not on the element as a whole. Restrictions are described in detail per attribute.</w:t>
      </w:r>
    </w:p>
    <w:p w:rsidR="00024C0A" w:rsidRDefault="00694C0F">
      <w:pPr>
        <w:pStyle w:val="Definition-Field"/>
      </w:pPr>
      <w:r>
        <w:t xml:space="preserve">e.   </w:t>
      </w:r>
      <w:r>
        <w:rPr>
          <w:i/>
        </w:rPr>
        <w:t>In the standard relationships of @containsNumber with other attributes is not explicit.</w:t>
      </w:r>
    </w:p>
    <w:p w:rsidR="00024C0A" w:rsidRDefault="00694C0F">
      <w:pPr>
        <w:pStyle w:val="Definition-Field2"/>
      </w:pPr>
      <w:r>
        <w:t>In</w:t>
      </w:r>
      <w:r>
        <w:t xml:space="preserve"> Office, @containsNumber shall be 1 or true when @containsInteger is specified. This value shall also be 1 or true when @minValue or @maxValue is specified.</w:t>
      </w:r>
    </w:p>
    <w:p w:rsidR="00024C0A" w:rsidRDefault="00694C0F">
      <w:pPr>
        <w:pStyle w:val="Definition-Field"/>
      </w:pPr>
      <w:r>
        <w:t xml:space="preserve">f.   </w:t>
      </w:r>
      <w:r>
        <w:rPr>
          <w:i/>
        </w:rPr>
        <w:t>In the standard there is not an explicit order between @minValue and @maxValue.</w:t>
      </w:r>
    </w:p>
    <w:p w:rsidR="00024C0A" w:rsidRDefault="00694C0F">
      <w:pPr>
        <w:pStyle w:val="Definition-Field2"/>
      </w:pPr>
      <w:r>
        <w:t xml:space="preserve">In Office the </w:t>
      </w:r>
      <w:r>
        <w:t>value of @minValue shall be less than or equal to the value of @maxValue.</w:t>
      </w:r>
    </w:p>
    <w:p w:rsidR="00024C0A" w:rsidRDefault="00694C0F">
      <w:pPr>
        <w:pStyle w:val="Definition-Field"/>
      </w:pPr>
      <w:r>
        <w:t xml:space="preserve">g.   </w:t>
      </w:r>
      <w:r>
        <w:rPr>
          <w:i/>
        </w:rPr>
        <w:t>The standard does not defined what mixed types are for the containsMixedTypes attribute.</w:t>
      </w:r>
    </w:p>
    <w:p w:rsidR="00024C0A" w:rsidRDefault="00694C0F">
      <w:pPr>
        <w:pStyle w:val="Definition-Field2"/>
      </w:pPr>
      <w:r>
        <w:t>In Office, the containsMixedTypes attribute assumes that boolean and error shall be cons</w:t>
      </w:r>
      <w:r>
        <w:t>idered part of the string type.</w:t>
      </w:r>
    </w:p>
    <w:p w:rsidR="00024C0A" w:rsidRDefault="00694C0F">
      <w:pPr>
        <w:pStyle w:val="Definition-Field"/>
      </w:pPr>
      <w:r>
        <w:t xml:space="preserve">h.   </w:t>
      </w:r>
      <w:r>
        <w:rPr>
          <w:i/>
        </w:rPr>
        <w:t>The standard does not define what other values are for the containsSemiMixedTypes attribute.</w:t>
      </w:r>
    </w:p>
    <w:p w:rsidR="00024C0A" w:rsidRDefault="00694C0F">
      <w:pPr>
        <w:pStyle w:val="Definition-Field2"/>
      </w:pPr>
      <w:r>
        <w:t>Office expects that the containsSemiMixedTypes attribute is true when the field contains text, blank, boolean or error values.</w:t>
      </w:r>
    </w:p>
    <w:p w:rsidR="00024C0A" w:rsidRDefault="00694C0F">
      <w:pPr>
        <w:pStyle w:val="Definition-Field"/>
      </w:pPr>
      <w:r>
        <w:t xml:space="preserve">i.   </w:t>
      </w:r>
      <w:r>
        <w:rPr>
          <w:i/>
        </w:rPr>
        <w:t>The standard states that when the containsString attribute equals 1, this field contains a text value.</w:t>
      </w:r>
    </w:p>
    <w:p w:rsidR="00024C0A" w:rsidRDefault="00694C0F">
      <w:pPr>
        <w:pStyle w:val="Definition-Field2"/>
      </w:pPr>
      <w:r>
        <w:t>In Office, boolean and error are considered strings in the context of the containsString attribute.</w:t>
      </w:r>
    </w:p>
    <w:p w:rsidR="00024C0A" w:rsidRDefault="00694C0F">
      <w:pPr>
        <w:pStyle w:val="Definition-Field"/>
      </w:pPr>
      <w:r>
        <w:t xml:space="preserve">j.   </w:t>
      </w:r>
      <w:r>
        <w:rPr>
          <w:i/>
        </w:rPr>
        <w:t xml:space="preserve">In the standard, a value of 1 or true for </w:t>
      </w:r>
      <w:r>
        <w:rPr>
          <w:i/>
        </w:rPr>
        <w:t>the containsInteger attribute indicates this field contains integer values.</w:t>
      </w:r>
    </w:p>
    <w:p w:rsidR="00024C0A" w:rsidRDefault="00694C0F">
      <w:pPr>
        <w:pStyle w:val="Definition-Field2"/>
      </w:pPr>
      <w:r>
        <w:t>In Office, a value of 1 or true for the containsInteger attribute indicates this field contains only integer values and does not contain non-integer numeric values.</w:t>
      </w:r>
    </w:p>
    <w:p w:rsidR="00024C0A" w:rsidRDefault="00694C0F">
      <w:pPr>
        <w:pStyle w:val="Definition-Field"/>
      </w:pPr>
      <w:r>
        <w:t xml:space="preserve">k.   </w:t>
      </w:r>
      <w:r>
        <w:rPr>
          <w:i/>
        </w:rPr>
        <w:t>The standa</w:t>
      </w:r>
      <w:r>
        <w:rPr>
          <w:i/>
        </w:rPr>
        <w:t>rd does not explicitly specify relationships for the minValue attribute.</w:t>
      </w:r>
    </w:p>
    <w:p w:rsidR="00024C0A" w:rsidRDefault="00694C0F">
      <w:pPr>
        <w:pStyle w:val="Definition-Field2"/>
      </w:pPr>
      <w:r>
        <w:t>In Office, the minValue attribute shall be present when the maxValue attribute is specified. The minValue attribute shall not be specified when the minDate or maxDate attributes are s</w:t>
      </w:r>
      <w:r>
        <w:t>pecified. If present, at least one child must be a n element.</w:t>
      </w:r>
    </w:p>
    <w:p w:rsidR="00024C0A" w:rsidRDefault="00694C0F">
      <w:pPr>
        <w:pStyle w:val="Definition-Field"/>
      </w:pPr>
      <w:r>
        <w:t xml:space="preserve">l.   </w:t>
      </w:r>
      <w:r>
        <w:rPr>
          <w:i/>
        </w:rPr>
        <w:t>The standard does not explicitly specify relationships for @maxValue.</w:t>
      </w:r>
    </w:p>
    <w:p w:rsidR="00024C0A" w:rsidRDefault="00694C0F">
      <w:pPr>
        <w:pStyle w:val="Definition-Field2"/>
      </w:pPr>
      <w:r>
        <w:t>In Office, @maxValue shall be present when @minValue is specified.  @maxValue shall not be specified when @minDate or @</w:t>
      </w:r>
      <w:r>
        <w:t>maxDate are specified. If present, at least one child must be a n element.</w:t>
      </w:r>
    </w:p>
    <w:p w:rsidR="00024C0A" w:rsidRDefault="00694C0F">
      <w:pPr>
        <w:pStyle w:val="Definition-Field"/>
      </w:pPr>
      <w:r>
        <w:t xml:space="preserve">m.   </w:t>
      </w:r>
      <w:r>
        <w:rPr>
          <w:i/>
        </w:rPr>
        <w:t>The standard does not explicitly specify relationships for @minDate.</w:t>
      </w:r>
    </w:p>
    <w:p w:rsidR="00024C0A" w:rsidRDefault="00694C0F">
      <w:pPr>
        <w:pStyle w:val="Definition-Field2"/>
      </w:pPr>
      <w:r>
        <w:t>In Office @minDate shall be present when @maxDate is specified. @minDate shall not be present when @minValu</w:t>
      </w:r>
      <w:r>
        <w:t>e or maxValue are present. If present, at least one child must be a d element.</w:t>
      </w:r>
    </w:p>
    <w:p w:rsidR="00024C0A" w:rsidRDefault="00694C0F">
      <w:pPr>
        <w:pStyle w:val="Definition-Field"/>
      </w:pPr>
      <w:r>
        <w:lastRenderedPageBreak/>
        <w:t xml:space="preserve">n.   </w:t>
      </w:r>
      <w:r>
        <w:rPr>
          <w:i/>
        </w:rPr>
        <w:t>The standard does not explicitly specify relationships for @maxDate.</w:t>
      </w:r>
    </w:p>
    <w:p w:rsidR="00024C0A" w:rsidRDefault="00694C0F">
      <w:pPr>
        <w:pStyle w:val="Definition-Field2"/>
      </w:pPr>
      <w:r>
        <w:t>In Office @maxDate must be present when @minDate is specified. @maxDate shall not be present when @minV</w:t>
      </w:r>
      <w:r>
        <w:t>alue or @maxValue are present. If present, at least one child must be a d element.</w:t>
      </w:r>
    </w:p>
    <w:p w:rsidR="00024C0A" w:rsidRDefault="00694C0F">
      <w:pPr>
        <w:pStyle w:val="Definition-Field"/>
      </w:pPr>
      <w:r>
        <w:t xml:space="preserve">o.   </w:t>
      </w:r>
      <w:r>
        <w:rPr>
          <w:i/>
        </w:rPr>
        <w:t>The standard states that the maxOccurs value for the choice statement including the m, n, b, e, s, and d elements is unbounded.</w:t>
      </w:r>
    </w:p>
    <w:p w:rsidR="00024C0A" w:rsidRDefault="00694C0F">
      <w:pPr>
        <w:pStyle w:val="Definition-Field2"/>
      </w:pPr>
      <w:r>
        <w:t>Excel limits the occurrences of this cho</w:t>
      </w:r>
      <w:r>
        <w:t>ice to 32500 when the createdVersion attribute on the pivotCacheDefinition element is less than 3 and 1048576 otherwise.</w:t>
      </w:r>
    </w:p>
    <w:p w:rsidR="00024C0A" w:rsidRDefault="00694C0F">
      <w:pPr>
        <w:pStyle w:val="Heading3"/>
      </w:pPr>
      <w:bookmarkStart w:id="1609" w:name="section_d6773131ba494bed82b8d8cdb7fe0ea3"/>
      <w:bookmarkStart w:id="1610" w:name="_Toc12260865"/>
      <w:r>
        <w:t>Part 1 Section 18.10.1.91, sortByTuple (Sort By Tuple)</w:t>
      </w:r>
      <w:bookmarkEnd w:id="1609"/>
      <w:bookmarkEnd w:id="1610"/>
      <w:r>
        <w:fldChar w:fldCharType="begin"/>
      </w:r>
      <w:r>
        <w:instrText xml:space="preserve"> XE "sortByTuple (Sort By Tuple)" </w:instrText>
      </w:r>
      <w:r>
        <w:fldChar w:fldCharType="end"/>
      </w:r>
    </w:p>
    <w:p w:rsidR="00024C0A" w:rsidRDefault="00694C0F">
      <w:pPr>
        <w:pStyle w:val="Definition-Field"/>
      </w:pPr>
      <w:r>
        <w:t xml:space="preserve">a.   </w:t>
      </w:r>
      <w:r>
        <w:rPr>
          <w:i/>
        </w:rPr>
        <w:t>The standard does not place any restric</w:t>
      </w:r>
      <w:r>
        <w:rPr>
          <w:i/>
        </w:rPr>
        <w:t>tions the relationship between this element and the parent set.</w:t>
      </w:r>
    </w:p>
    <w:p w:rsidR="00024C0A" w:rsidRDefault="00694C0F">
      <w:pPr>
        <w:pStyle w:val="Definition-Field2"/>
      </w:pPr>
      <w:r>
        <w:t>Excel specifies that any sort done on the parent set will consider this tuple when determining sort values.</w:t>
      </w:r>
    </w:p>
    <w:p w:rsidR="00024C0A" w:rsidRDefault="00694C0F">
      <w:pPr>
        <w:pStyle w:val="Heading3"/>
      </w:pPr>
      <w:bookmarkStart w:id="1611" w:name="section_9af15714a00f4a5290aae4fe8a4be470"/>
      <w:bookmarkStart w:id="1612" w:name="_Toc12260866"/>
      <w:r>
        <w:t>Part 1 Section 18.10.1.92, tpl (Tuple)</w:t>
      </w:r>
      <w:bookmarkEnd w:id="1611"/>
      <w:bookmarkEnd w:id="1612"/>
      <w:r>
        <w:fldChar w:fldCharType="begin"/>
      </w:r>
      <w:r>
        <w:instrText xml:space="preserve"> XE "tpl (Tuple)" </w:instrText>
      </w:r>
      <w:r>
        <w:fldChar w:fldCharType="end"/>
      </w:r>
    </w:p>
    <w:p w:rsidR="00024C0A" w:rsidRDefault="00694C0F">
      <w:pPr>
        <w:pStyle w:val="Definition-Field"/>
      </w:pPr>
      <w:r>
        <w:t xml:space="preserve">a.   </w:t>
      </w:r>
      <w:r>
        <w:rPr>
          <w:i/>
        </w:rPr>
        <w:t>The standard does no</w:t>
      </w:r>
      <w:r>
        <w:rPr>
          <w:i/>
        </w:rPr>
        <w:t>t require that @fld is mutually exclusive with @hier in a SpreadsheetML document.</w:t>
      </w:r>
    </w:p>
    <w:p w:rsidR="00024C0A" w:rsidRDefault="00694C0F">
      <w:pPr>
        <w:pStyle w:val="Definition-Field2"/>
      </w:pPr>
      <w:r>
        <w:t>Office requires that @fld and @heir be mutually exclusive in SpreadsheetML documents.</w:t>
      </w:r>
    </w:p>
    <w:p w:rsidR="00024C0A" w:rsidRDefault="00694C0F">
      <w:pPr>
        <w:pStyle w:val="Definition-Field"/>
      </w:pPr>
      <w:r>
        <w:t xml:space="preserve">b.   </w:t>
      </w:r>
      <w:r>
        <w:rPr>
          <w:i/>
        </w:rPr>
        <w:t>The standard does not state that @fld has restrictions beyond unsignedInt.</w:t>
      </w:r>
    </w:p>
    <w:p w:rsidR="00024C0A" w:rsidRDefault="00694C0F">
      <w:pPr>
        <w:pStyle w:val="Definition-Field2"/>
      </w:pPr>
      <w:r>
        <w:t xml:space="preserve">Office </w:t>
      </w:r>
      <w:r>
        <w:t>expects that @fld is a zero-based index and shall be less than the number of items in the cacheFields collection.</w:t>
      </w:r>
    </w:p>
    <w:p w:rsidR="00024C0A" w:rsidRDefault="00694C0F">
      <w:pPr>
        <w:pStyle w:val="Definition-Field"/>
      </w:pPr>
      <w:r>
        <w:t xml:space="preserve">c.   </w:t>
      </w:r>
      <w:r>
        <w:rPr>
          <w:i/>
        </w:rPr>
        <w:t>The standard does not place any restrictions on the value of the hier attribute.</w:t>
      </w:r>
    </w:p>
    <w:p w:rsidR="00024C0A" w:rsidRDefault="00694C0F">
      <w:pPr>
        <w:pStyle w:val="Definition-Field2"/>
      </w:pPr>
      <w:r>
        <w:t>Office expects that the hier attribute is a zero-based i</w:t>
      </w:r>
      <w:r>
        <w:t>ndex and shall be less than the number of items in the cacheHierarchies collection.</w:t>
      </w:r>
    </w:p>
    <w:p w:rsidR="00024C0A" w:rsidRDefault="00694C0F">
      <w:pPr>
        <w:pStyle w:val="Definition-Field"/>
      </w:pPr>
      <w:r>
        <w:t xml:space="preserve">d.   </w:t>
      </w:r>
      <w:r>
        <w:rPr>
          <w:i/>
        </w:rPr>
        <w:t>The standard does not specify restrictions for the item attribute.</w:t>
      </w:r>
    </w:p>
    <w:p w:rsidR="00024C0A" w:rsidRDefault="00694C0F">
      <w:r>
        <w:t xml:space="preserve">If the value for the fld attribute is specified, then the value for this attribute shall be less </w:t>
      </w:r>
      <w:r>
        <w:t>than the number of items in the sharedItems collection, defined in sharedItems ("</w:t>
      </w:r>
      <w:hyperlink r:id="rId132">
        <w:r>
          <w:rPr>
            <w:rStyle w:val="Hyperlink"/>
          </w:rPr>
          <w:t>[ISO/IEC-29500-1]</w:t>
        </w:r>
      </w:hyperlink>
      <w:r>
        <w:t xml:space="preserve"> §18.10.1.90; sharedItems (Shared Items)").</w:t>
      </w:r>
    </w:p>
    <w:p w:rsidR="00024C0A" w:rsidRDefault="00694C0F">
      <w:r>
        <w:t>If the value for the hier attribute is specified</w:t>
      </w:r>
      <w:r>
        <w:t>, then the value for this attribute shall either be equal to one of the special values 4294967294/4294967295 or it shall be less than number of items in the sets collection defined in sets ("[ISO/IEC-29500-1] §18.10.1.89; sets (Sets)").</w:t>
      </w:r>
    </w:p>
    <w:p w:rsidR="00024C0A" w:rsidRDefault="00694C0F">
      <w:r>
        <w:t>The special value o</w:t>
      </w:r>
      <w:r>
        <w:t>f 4294967294 implies that this is the all member of the hierarchy.</w:t>
      </w:r>
    </w:p>
    <w:p w:rsidR="00024C0A" w:rsidRDefault="00694C0F">
      <w:r>
        <w:t>The special value of 4294967295 implies that this is the default member of the hierarchy.</w:t>
      </w:r>
    </w:p>
    <w:p w:rsidR="00024C0A" w:rsidRDefault="00694C0F">
      <w:pPr>
        <w:pStyle w:val="Heading3"/>
      </w:pPr>
      <w:bookmarkStart w:id="1613" w:name="section_282914a2b1a44811aaaaa0fcd5cd486c"/>
      <w:bookmarkStart w:id="1614" w:name="_Toc12260867"/>
      <w:r>
        <w:t>Part 1 Section 18.10.1.95, worksheetSource (Worksheet PivotCache Source)</w:t>
      </w:r>
      <w:bookmarkEnd w:id="1613"/>
      <w:bookmarkEnd w:id="1614"/>
      <w:r>
        <w:fldChar w:fldCharType="begin"/>
      </w:r>
      <w:r>
        <w:instrText xml:space="preserve"> XE "worksheetSource (Works</w:instrText>
      </w:r>
      <w:r>
        <w:instrText xml:space="preserve">heet PivotCache Source)" </w:instrText>
      </w:r>
      <w:r>
        <w:fldChar w:fldCharType="end"/>
      </w:r>
    </w:p>
    <w:p w:rsidR="00024C0A" w:rsidRDefault="00694C0F">
      <w:pPr>
        <w:pStyle w:val="Definition-Field"/>
      </w:pPr>
      <w:r>
        <w:t xml:space="preserve">a.   </w:t>
      </w:r>
      <w:r>
        <w:rPr>
          <w:i/>
        </w:rPr>
        <w:t>The standard allows both ref and name attributes.</w:t>
      </w:r>
    </w:p>
    <w:p w:rsidR="00024C0A" w:rsidRDefault="00694C0F">
      <w:pPr>
        <w:pStyle w:val="Definition-Field2"/>
      </w:pPr>
      <w:r>
        <w:t>Office requires one and only one of these attributes.</w:t>
      </w:r>
    </w:p>
    <w:p w:rsidR="00024C0A" w:rsidRDefault="00694C0F">
      <w:pPr>
        <w:pStyle w:val="Definition-Field"/>
      </w:pPr>
      <w:r>
        <w:t xml:space="preserve">b.   </w:t>
      </w:r>
      <w:r>
        <w:rPr>
          <w:i/>
        </w:rPr>
        <w:t>The standard states that the id attribute contains a relationship to a sheet part.</w:t>
      </w:r>
    </w:p>
    <w:p w:rsidR="00024C0A" w:rsidRDefault="00694C0F">
      <w:pPr>
        <w:pStyle w:val="Definition-Field2"/>
      </w:pPr>
      <w:r>
        <w:lastRenderedPageBreak/>
        <w:t>Office uses the id attribute to</w:t>
      </w:r>
      <w:r>
        <w:t xml:space="preserve"> specify a relationship to an external workbook.</w:t>
      </w:r>
    </w:p>
    <w:p w:rsidR="00024C0A" w:rsidRDefault="00694C0F">
      <w:pPr>
        <w:pStyle w:val="Definition-Field"/>
      </w:pPr>
      <w:r>
        <w:t xml:space="preserve">c.   </w:t>
      </w:r>
      <w:r>
        <w:rPr>
          <w:i/>
        </w:rPr>
        <w:t>The standard limits @name to any length string.</w:t>
      </w:r>
    </w:p>
    <w:p w:rsidR="00024C0A" w:rsidRDefault="00694C0F">
      <w:pPr>
        <w:pStyle w:val="Definition-Field2"/>
      </w:pPr>
      <w:r>
        <w:t>In Office, @name has a limit of 255 characters, and cannot be empty.</w:t>
      </w:r>
    </w:p>
    <w:p w:rsidR="00024C0A" w:rsidRDefault="00694C0F">
      <w:pPr>
        <w:pStyle w:val="Definition-Field"/>
      </w:pPr>
      <w:r>
        <w:t xml:space="preserve">d.   </w:t>
      </w:r>
      <w:r>
        <w:rPr>
          <w:i/>
        </w:rPr>
        <w:t>The standard limits @sheet to any length string.</w:t>
      </w:r>
    </w:p>
    <w:p w:rsidR="00024C0A" w:rsidRDefault="00694C0F">
      <w:pPr>
        <w:pStyle w:val="Definition-Field2"/>
      </w:pPr>
      <w:r>
        <w:t>In Office, @sheet has a limit o</w:t>
      </w:r>
      <w:r>
        <w:t>f 31 characters.</w:t>
      </w:r>
    </w:p>
    <w:p w:rsidR="00024C0A" w:rsidRDefault="00694C0F">
      <w:pPr>
        <w:pStyle w:val="Heading3"/>
      </w:pPr>
      <w:bookmarkStart w:id="1615" w:name="section_6218162291ef44eea9498c9232d7780b"/>
      <w:bookmarkStart w:id="1616" w:name="_Toc12260868"/>
      <w:r>
        <w:t>Part 1 Section 18.10.1.96, x (Member Property Index)</w:t>
      </w:r>
      <w:bookmarkEnd w:id="1615"/>
      <w:bookmarkEnd w:id="1616"/>
      <w:r>
        <w:fldChar w:fldCharType="begin"/>
      </w:r>
      <w:r>
        <w:instrText xml:space="preserve"> XE "x (Member Property Index)" </w:instrText>
      </w:r>
      <w:r>
        <w:fldChar w:fldCharType="end"/>
      </w:r>
    </w:p>
    <w:p w:rsidR="00024C0A" w:rsidRDefault="00694C0F">
      <w:pPr>
        <w:pStyle w:val="Definition-Field"/>
      </w:pPr>
      <w:r>
        <w:t xml:space="preserve">a.   </w:t>
      </w:r>
      <w:r>
        <w:rPr>
          <w:i/>
        </w:rPr>
        <w:t>The standard states the values for the v attribute are defined by the XML Schema int datatype.</w:t>
      </w:r>
    </w:p>
    <w:p w:rsidR="00024C0A" w:rsidRDefault="00694C0F">
      <w:pPr>
        <w:pStyle w:val="Definition-Field2"/>
      </w:pPr>
      <w:r>
        <w:t>Office requires that the v attribute be greater than</w:t>
      </w:r>
      <w:r>
        <w:t xml:space="preserve"> or equal to -1 and less than the corresponding sharedItems count. A value of -1 specifies that there is no value for this member property.</w:t>
      </w:r>
    </w:p>
    <w:p w:rsidR="00024C0A" w:rsidRDefault="00694C0F">
      <w:pPr>
        <w:pStyle w:val="Definition-Field"/>
      </w:pPr>
      <w:r>
        <w:t xml:space="preserve">b.   </w:t>
      </w:r>
      <w:r>
        <w:rPr>
          <w:i/>
        </w:rPr>
        <w:t>The standard describes x as an array of indexes.</w:t>
      </w:r>
    </w:p>
    <w:p w:rsidR="00024C0A" w:rsidRDefault="00694C0F">
      <w:pPr>
        <w:pStyle w:val="Definition-Field2"/>
      </w:pPr>
      <w:r>
        <w:t>Office expects that x represents an index to the cached member</w:t>
      </w:r>
      <w:r>
        <w:t xml:space="preserve"> property value.</w:t>
      </w:r>
    </w:p>
    <w:p w:rsidR="00024C0A" w:rsidRDefault="00694C0F">
      <w:pPr>
        <w:pStyle w:val="Definition-Field"/>
      </w:pPr>
      <w:r>
        <w:t xml:space="preserve">c.   </w:t>
      </w:r>
      <w:r>
        <w:rPr>
          <w:i/>
        </w:rPr>
        <w:t>The standard does not provide complete information on which cacheField's shared item table is indexed by @v.</w:t>
      </w:r>
    </w:p>
    <w:p w:rsidR="00024C0A" w:rsidRDefault="00694C0F">
      <w:pPr>
        <w:pStyle w:val="Definition-Field2"/>
      </w:pPr>
      <w:r>
        <w:t>Office assumes that @v is the 0-based index into the shared items table of the member property pointed by @mpMap. The Nth @mp</w:t>
      </w:r>
      <w:r>
        <w:t>Map used for Nth x element (the parent of @v).</w:t>
      </w:r>
    </w:p>
    <w:p w:rsidR="00024C0A" w:rsidRDefault="00694C0F">
      <w:pPr>
        <w:pStyle w:val="Definition-Field"/>
      </w:pPr>
      <w:r>
        <w:t xml:space="preserve">d.   </w:t>
      </w:r>
      <w:r>
        <w:rPr>
          <w:i/>
        </w:rPr>
        <w:t>The standard says @v represents an index to shared items table.</w:t>
      </w:r>
    </w:p>
    <w:p w:rsidR="00024C0A" w:rsidRDefault="00694C0F">
      <w:pPr>
        <w:pStyle w:val="Definition-Field2"/>
      </w:pPr>
      <w:r>
        <w:t>Office specifies that if the parent of this element is i, then v shall be specified by the specification for i ("</w:t>
      </w:r>
      <w:hyperlink r:id="rId133">
        <w:r>
          <w:rPr>
            <w:rStyle w:val="Hyperlink"/>
          </w:rPr>
          <w:t>[ISO/IEC-29500-1]</w:t>
        </w:r>
      </w:hyperlink>
      <w:r>
        <w:t xml:space="preserve"> §18.10.1.44; i").</w:t>
      </w:r>
    </w:p>
    <w:p w:rsidR="00024C0A" w:rsidRDefault="00694C0F">
      <w:pPr>
        <w:pStyle w:val="Heading3"/>
      </w:pPr>
      <w:bookmarkStart w:id="1617" w:name="section_a74ed3e7cea5463ba1ca57c2d1428a00"/>
      <w:bookmarkStart w:id="1618" w:name="_Toc12260869"/>
      <w:r>
        <w:t>Part 1 Section 18.10.1.97, x (Shared Items Index)</w:t>
      </w:r>
      <w:bookmarkEnd w:id="1617"/>
      <w:bookmarkEnd w:id="1618"/>
      <w:r>
        <w:fldChar w:fldCharType="begin"/>
      </w:r>
      <w:r>
        <w:instrText xml:space="preserve"> XE "x (Shared Items Index)" </w:instrText>
      </w:r>
      <w:r>
        <w:fldChar w:fldCharType="end"/>
      </w:r>
    </w:p>
    <w:p w:rsidR="00024C0A" w:rsidRDefault="00694C0F">
      <w:pPr>
        <w:pStyle w:val="Definition-Field"/>
      </w:pPr>
      <w:r>
        <w:t xml:space="preserve">a.   </w:t>
      </w:r>
      <w:r>
        <w:rPr>
          <w:i/>
        </w:rPr>
        <w:t>The standard specifies that the x element is an array of indexes.</w:t>
      </w:r>
    </w:p>
    <w:p w:rsidR="00024C0A" w:rsidRDefault="00694C0F">
      <w:pPr>
        <w:pStyle w:val="Definition-Field2"/>
      </w:pPr>
      <w:r>
        <w:t>Office assumes that the value</w:t>
      </w:r>
      <w:r>
        <w:t xml:space="preserve"> of x@v is an index into the shared items collection.</w:t>
      </w:r>
    </w:p>
    <w:p w:rsidR="00024C0A" w:rsidRDefault="00694C0F">
      <w:pPr>
        <w:pStyle w:val="Definition-Field"/>
      </w:pPr>
      <w:r>
        <w:t xml:space="preserve">b.   </w:t>
      </w:r>
      <w:r>
        <w:rPr>
          <w:i/>
        </w:rPr>
        <w:t>The standard does not place a limit on the value of @v.</w:t>
      </w:r>
    </w:p>
    <w:p w:rsidR="00024C0A" w:rsidRDefault="00694C0F">
      <w:pPr>
        <w:pStyle w:val="Definition-Field2"/>
      </w:pPr>
      <w:r>
        <w:t>Office requires that @v shall be less than sharedItems count.</w:t>
      </w:r>
    </w:p>
    <w:p w:rsidR="00024C0A" w:rsidRDefault="00694C0F">
      <w:pPr>
        <w:pStyle w:val="Definition-Field"/>
      </w:pPr>
      <w:r>
        <w:t xml:space="preserve">c.   </w:t>
      </w:r>
      <w:r>
        <w:rPr>
          <w:i/>
        </w:rPr>
        <w:t>The standard does not specify different restrictions for @v based on the p</w:t>
      </w:r>
      <w:r>
        <w:rPr>
          <w:i/>
        </w:rPr>
        <w:t>arent element of x.</w:t>
      </w:r>
    </w:p>
    <w:p w:rsidR="00024C0A" w:rsidRDefault="00694C0F">
      <w:pPr>
        <w:pStyle w:val="Definition-Field2"/>
      </w:pPr>
      <w:r>
        <w:t>In Office if the parent is the reference element, then restrictions of this value are defined by reference@field. If the parent is the tables element, then this value specifies the index into the table tag position in @url.</w:t>
      </w:r>
    </w:p>
    <w:p w:rsidR="00024C0A" w:rsidRDefault="00694C0F">
      <w:pPr>
        <w:pStyle w:val="Heading3"/>
      </w:pPr>
      <w:bookmarkStart w:id="1619" w:name="section_8e92a8162bb449389f1c1a9800714ede"/>
      <w:bookmarkStart w:id="1620" w:name="_Toc12260870"/>
      <w:r>
        <w:t>Part 1 Secti</w:t>
      </w:r>
      <w:r>
        <w:t>on 18.10.2.1, reference (Reference)</w:t>
      </w:r>
      <w:bookmarkEnd w:id="1619"/>
      <w:bookmarkEnd w:id="1620"/>
      <w:r>
        <w:fldChar w:fldCharType="begin"/>
      </w:r>
      <w:r>
        <w:instrText xml:space="preserve"> XE "reference (Reference)" </w:instrText>
      </w:r>
      <w:r>
        <w:fldChar w:fldCharType="end"/>
      </w:r>
    </w:p>
    <w:p w:rsidR="00024C0A" w:rsidRDefault="00694C0F">
      <w:pPr>
        <w:pStyle w:val="Definition-Field"/>
      </w:pPr>
      <w:r>
        <w:t xml:space="preserve">a.   </w:t>
      </w:r>
      <w:r>
        <w:rPr>
          <w:i/>
        </w:rPr>
        <w:t>The standard defines @field (Field Index) values range as unsignedInt and says a value of -2 indicates the data field.</w:t>
      </w:r>
    </w:p>
    <w:p w:rsidR="00024C0A" w:rsidRDefault="00694C0F">
      <w:pPr>
        <w:pStyle w:val="Definition-Field2"/>
      </w:pPr>
      <w:r>
        <w:t xml:space="preserve">Office uses the value 4294967294 (a valid unsignedInt) to specify </w:t>
      </w:r>
      <w:r>
        <w:t>the data field and the @v in the x elements represent indices into the dataFields collection.</w:t>
      </w:r>
    </w:p>
    <w:p w:rsidR="00024C0A" w:rsidRDefault="00694C0F">
      <w:pPr>
        <w:pStyle w:val="Definition-Field"/>
      </w:pPr>
      <w:r>
        <w:t xml:space="preserve">b.   </w:t>
      </w:r>
      <w:r>
        <w:rPr>
          <w:i/>
        </w:rPr>
        <w:t>The standard defines @field values range as unsignedInt.</w:t>
      </w:r>
    </w:p>
    <w:p w:rsidR="00024C0A" w:rsidRDefault="00694C0F">
      <w:pPr>
        <w:pStyle w:val="Definition-Field2"/>
      </w:pPr>
      <w:r>
        <w:lastRenderedPageBreak/>
        <w:t xml:space="preserve">Office requires that if the pivotArea@cacheIndex is 0, then the value shall be a valid index in the </w:t>
      </w:r>
      <w:r>
        <w:t>pivotFields in the pivotTable, and, unless byPosition is 1, @v in the x elements represent indices into items collection of the pivotField.</w:t>
      </w:r>
    </w:p>
    <w:p w:rsidR="00024C0A" w:rsidRDefault="00694C0F">
      <w:pPr>
        <w:pStyle w:val="Definition-Field"/>
      </w:pPr>
      <w:r>
        <w:t xml:space="preserve">c.   </w:t>
      </w:r>
      <w:r>
        <w:rPr>
          <w:i/>
        </w:rPr>
        <w:t>The standard states that the values for the field attribute are defined by the XML Schema unsignedInt datatype.</w:t>
      </w:r>
    </w:p>
    <w:p w:rsidR="00024C0A" w:rsidRDefault="00694C0F">
      <w:pPr>
        <w:pStyle w:val="Definition-Field2"/>
      </w:pPr>
      <w:r>
        <w:t>Office requires that if the pivotArea@chacheIndex is 1 the value shall be a valid index in the cacheFields in the pivot cache and the v attribute in the x elements represent indices into sharedItems collection of the cacheField.</w:t>
      </w:r>
    </w:p>
    <w:p w:rsidR="00024C0A" w:rsidRDefault="00694C0F">
      <w:pPr>
        <w:pStyle w:val="Heading3"/>
      </w:pPr>
      <w:bookmarkStart w:id="1621" w:name="section_854db427e1714e5996a93cdd08117c36"/>
      <w:bookmarkStart w:id="1622" w:name="_Toc12260871"/>
      <w:r>
        <w:t xml:space="preserve">Part 1 Section 18.11.1.1, </w:t>
      </w:r>
      <w:r>
        <w:t>header (Header)</w:t>
      </w:r>
      <w:bookmarkEnd w:id="1621"/>
      <w:bookmarkEnd w:id="1622"/>
      <w:r>
        <w:fldChar w:fldCharType="begin"/>
      </w:r>
      <w:r>
        <w:instrText xml:space="preserve"> XE "header (Header)" </w:instrText>
      </w:r>
      <w:r>
        <w:fldChar w:fldCharType="end"/>
      </w:r>
    </w:p>
    <w:p w:rsidR="00024C0A" w:rsidRDefault="00694C0F">
      <w:pPr>
        <w:pStyle w:val="Definition-Field"/>
      </w:pPr>
      <w:r>
        <w:t xml:space="preserve">a.   </w:t>
      </w:r>
      <w:r>
        <w:rPr>
          <w:i/>
        </w:rPr>
        <w:t>The standard states that the values of the maxSheetId attribute are defined by the XML Schema unsignedInt datatype.</w:t>
      </w:r>
    </w:p>
    <w:p w:rsidR="00024C0A" w:rsidRDefault="00694C0F">
      <w:pPr>
        <w:pStyle w:val="Definition-Field2"/>
      </w:pPr>
      <w:r>
        <w:t>Excel restricts the value of this attribute to be at most 32767.</w:t>
      </w:r>
    </w:p>
    <w:p w:rsidR="00024C0A" w:rsidRDefault="00694C0F">
      <w:pPr>
        <w:pStyle w:val="Definition-Field"/>
      </w:pPr>
      <w:r>
        <w:t xml:space="preserve">b.   </w:t>
      </w:r>
      <w:r>
        <w:rPr>
          <w:i/>
        </w:rPr>
        <w:t>The standard does not lim</w:t>
      </w:r>
      <w:r>
        <w:rPr>
          <w:i/>
        </w:rPr>
        <w:t>it the length of the value of the userName attribute.</w:t>
      </w:r>
    </w:p>
    <w:p w:rsidR="00024C0A" w:rsidRDefault="00694C0F">
      <w:pPr>
        <w:pStyle w:val="Definition-Field2"/>
      </w:pPr>
      <w:r>
        <w:t>Excel restricts the value of this attribute to be at least 1 and at most 54 characters.</w:t>
      </w:r>
    </w:p>
    <w:p w:rsidR="00024C0A" w:rsidRDefault="00694C0F">
      <w:pPr>
        <w:pStyle w:val="Definition-Field"/>
      </w:pPr>
      <w:r>
        <w:t xml:space="preserve">c.   </w:t>
      </w:r>
      <w:r>
        <w:rPr>
          <w:i/>
        </w:rPr>
        <w:t>The standard does not specify a default value for the minRId attribute.</w:t>
      </w:r>
    </w:p>
    <w:p w:rsidR="00024C0A" w:rsidRDefault="00694C0F">
      <w:pPr>
        <w:pStyle w:val="Definition-Field2"/>
      </w:pPr>
      <w:r>
        <w:t>Excel uses a default value of 0 for t</w:t>
      </w:r>
      <w:r>
        <w:t>his attribute.</w:t>
      </w:r>
    </w:p>
    <w:p w:rsidR="00024C0A" w:rsidRDefault="00694C0F">
      <w:pPr>
        <w:pStyle w:val="Definition-Field"/>
      </w:pPr>
      <w:r>
        <w:t xml:space="preserve">d.   </w:t>
      </w:r>
      <w:r>
        <w:rPr>
          <w:i/>
        </w:rPr>
        <w:t>The standard does not specify a default value for the maxRId attribute.</w:t>
      </w:r>
    </w:p>
    <w:p w:rsidR="00024C0A" w:rsidRDefault="00694C0F">
      <w:pPr>
        <w:pStyle w:val="Definition-Field2"/>
      </w:pPr>
      <w:r>
        <w:t>Excel uses the value of the minRId attribute as the default value for this attribute.</w:t>
      </w:r>
    </w:p>
    <w:p w:rsidR="00024C0A" w:rsidRDefault="00694C0F">
      <w:pPr>
        <w:pStyle w:val="Definition-Field"/>
      </w:pPr>
      <w:r>
        <w:t xml:space="preserve">e.   </w:t>
      </w:r>
      <w:r>
        <w:rPr>
          <w:i/>
        </w:rPr>
        <w:t>The standard states that the values of the maxRId attribute are defined b</w:t>
      </w:r>
      <w:r>
        <w:rPr>
          <w:i/>
        </w:rPr>
        <w:t>y the XML Schema unsignedInt datatype.</w:t>
      </w:r>
    </w:p>
    <w:p w:rsidR="00024C0A" w:rsidRDefault="00694C0F">
      <w:pPr>
        <w:pStyle w:val="Definition-Field2"/>
      </w:pPr>
      <w:r>
        <w:t>Excel restricts the value of this attribute to be at least the value of the minRId attribute and at most 2147483647.</w:t>
      </w:r>
    </w:p>
    <w:p w:rsidR="00024C0A" w:rsidRDefault="00694C0F">
      <w:pPr>
        <w:pStyle w:val="Definition-Field"/>
      </w:pPr>
      <w:r>
        <w:t xml:space="preserve">f.   </w:t>
      </w:r>
      <w:r>
        <w:rPr>
          <w:i/>
        </w:rPr>
        <w:t>The standard states that the values of the minRId attribute are defined by the XML Schema unsig</w:t>
      </w:r>
      <w:r>
        <w:rPr>
          <w:i/>
        </w:rPr>
        <w:t>nedInt datatype.</w:t>
      </w:r>
    </w:p>
    <w:p w:rsidR="00024C0A" w:rsidRDefault="00694C0F">
      <w:pPr>
        <w:pStyle w:val="Definition-Field2"/>
      </w:pPr>
      <w:r>
        <w:t>Excel restricts the value of this attribute to be at most 2147483647.</w:t>
      </w:r>
    </w:p>
    <w:p w:rsidR="00024C0A" w:rsidRDefault="00694C0F">
      <w:pPr>
        <w:pStyle w:val="Heading3"/>
      </w:pPr>
      <w:bookmarkStart w:id="1623" w:name="section_dfc65cb606c74ce3922b2d3cecde9852"/>
      <w:bookmarkStart w:id="1624" w:name="_Toc12260872"/>
      <w:r>
        <w:t>Part 1 Section 18.11.1.2, headers (Revision Headers)</w:t>
      </w:r>
      <w:bookmarkEnd w:id="1623"/>
      <w:bookmarkEnd w:id="1624"/>
      <w:r>
        <w:fldChar w:fldCharType="begin"/>
      </w:r>
      <w:r>
        <w:instrText xml:space="preserve"> XE "headers (Revision Headers)" </w:instrText>
      </w:r>
      <w:r>
        <w:fldChar w:fldCharType="end"/>
      </w:r>
    </w:p>
    <w:p w:rsidR="00024C0A" w:rsidRDefault="00694C0F">
      <w:pPr>
        <w:pStyle w:val="Definition-Field"/>
      </w:pPr>
      <w:r>
        <w:t xml:space="preserve">a.   </w:t>
      </w:r>
      <w:r>
        <w:rPr>
          <w:i/>
        </w:rPr>
        <w:t>The standard does not specify a default value for the lastGuid attribute.</w:t>
      </w:r>
    </w:p>
    <w:p w:rsidR="00024C0A" w:rsidRDefault="00694C0F">
      <w:pPr>
        <w:pStyle w:val="Definition-Field2"/>
      </w:pPr>
      <w:r>
        <w:t>Excel uses the value of the guid attribute as the default value of the lastGuid attribute.</w:t>
      </w:r>
    </w:p>
    <w:p w:rsidR="00024C0A" w:rsidRDefault="00694C0F">
      <w:pPr>
        <w:pStyle w:val="Definition-Field"/>
      </w:pPr>
      <w:r>
        <w:t xml:space="preserve">b.   </w:t>
      </w:r>
      <w:r>
        <w:rPr>
          <w:i/>
        </w:rPr>
        <w:t>The standard does not place any restrictions on the value for @preserveHistory.</w:t>
      </w:r>
    </w:p>
    <w:p w:rsidR="00024C0A" w:rsidRDefault="00694C0F">
      <w:pPr>
        <w:pStyle w:val="Definition-Field2"/>
      </w:pPr>
      <w:r>
        <w:t>Office requires that the value of @preserveHistory shall be greater than or equa</w:t>
      </w:r>
      <w:r>
        <w:t>l to 0 and less than or equal to 32K.</w:t>
      </w:r>
    </w:p>
    <w:p w:rsidR="00024C0A" w:rsidRDefault="00694C0F">
      <w:pPr>
        <w:pStyle w:val="Definition-Field"/>
      </w:pPr>
      <w:r>
        <w:t xml:space="preserve">c.   </w:t>
      </w:r>
      <w:r>
        <w:rPr>
          <w:i/>
        </w:rPr>
        <w:t>The standard specifies @protected is false if the tracking should not be removed, true otherwise.</w:t>
      </w:r>
    </w:p>
    <w:p w:rsidR="00024C0A" w:rsidRDefault="00694C0F">
      <w:pPr>
        <w:pStyle w:val="Definition-Field2"/>
      </w:pPr>
      <w:r>
        <w:t>Office specifies @protected is true if the tracking should not be removed, false if it can be removed.</w:t>
      </w:r>
    </w:p>
    <w:p w:rsidR="00024C0A" w:rsidRDefault="00694C0F">
      <w:pPr>
        <w:pStyle w:val="Definition-Field"/>
      </w:pPr>
      <w:r>
        <w:t xml:space="preserve">d.   </w:t>
      </w:r>
      <w:r>
        <w:rPr>
          <w:i/>
        </w:rPr>
        <w:t>The sta</w:t>
      </w:r>
      <w:r>
        <w:rPr>
          <w:i/>
        </w:rPr>
        <w:t>ndard does not place any restrictions on the value for @revisionId.</w:t>
      </w:r>
    </w:p>
    <w:p w:rsidR="00024C0A" w:rsidRDefault="00694C0F">
      <w:pPr>
        <w:pStyle w:val="Definition-Field2"/>
      </w:pPr>
      <w:r>
        <w:t>Office allows a maximum value of 2147483647.</w:t>
      </w:r>
    </w:p>
    <w:p w:rsidR="00024C0A" w:rsidRDefault="00694C0F">
      <w:pPr>
        <w:pStyle w:val="Definition-Field"/>
      </w:pPr>
      <w:r>
        <w:lastRenderedPageBreak/>
        <w:t xml:space="preserve">e.   </w:t>
      </w:r>
      <w:r>
        <w:rPr>
          <w:i/>
        </w:rPr>
        <w:t>The standard does not place any restrictions on the value for the version attribute.</w:t>
      </w:r>
    </w:p>
    <w:p w:rsidR="00024C0A" w:rsidRDefault="00694C0F">
      <w:pPr>
        <w:pStyle w:val="Definition-Field2"/>
      </w:pPr>
      <w:r>
        <w:t>Office requires that the version attribute be between</w:t>
      </w:r>
      <w:r>
        <w:t xml:space="preserve"> 1 and 2147483647 inclusive.</w:t>
      </w:r>
    </w:p>
    <w:p w:rsidR="00024C0A" w:rsidRDefault="00694C0F">
      <w:pPr>
        <w:pStyle w:val="Definition-Field"/>
      </w:pPr>
      <w:r>
        <w:t xml:space="preserve">f.   </w:t>
      </w:r>
      <w:r>
        <w:rPr>
          <w:i/>
        </w:rPr>
        <w:t>The standard specifies @guid to be of type ST_Guid.</w:t>
      </w:r>
    </w:p>
    <w:p w:rsidR="00024C0A" w:rsidRDefault="00694C0F">
      <w:pPr>
        <w:pStyle w:val="Definition-Field2"/>
      </w:pPr>
      <w:r>
        <w:t>Office requires @guid to not be a null Guid ({00000000-0000-0000-0000-000000000000}).</w:t>
      </w:r>
    </w:p>
    <w:p w:rsidR="00024C0A" w:rsidRDefault="00694C0F">
      <w:pPr>
        <w:pStyle w:val="Heading3"/>
      </w:pPr>
      <w:bookmarkStart w:id="1625" w:name="section_c9d4ffcff09b48b4b65e844f2281d2e0"/>
      <w:bookmarkStart w:id="1626" w:name="_Toc12260873"/>
      <w:r>
        <w:t>Part 1 Section 18.11.1.3, nc (New Cell Data)</w:t>
      </w:r>
      <w:bookmarkEnd w:id="1625"/>
      <w:bookmarkEnd w:id="1626"/>
      <w:r>
        <w:fldChar w:fldCharType="begin"/>
      </w:r>
      <w:r>
        <w:instrText xml:space="preserve"> XE "nc (New Cell Data)" </w:instrText>
      </w:r>
      <w:r>
        <w:fldChar w:fldCharType="end"/>
      </w:r>
    </w:p>
    <w:p w:rsidR="00024C0A" w:rsidRDefault="00694C0F">
      <w:pPr>
        <w:pStyle w:val="Definition-Field"/>
      </w:pPr>
      <w:r>
        <w:t xml:space="preserve">a.   </w:t>
      </w:r>
      <w:r>
        <w:rPr>
          <w:i/>
        </w:rPr>
        <w:t>The sta</w:t>
      </w:r>
      <w:r>
        <w:rPr>
          <w:i/>
        </w:rPr>
        <w:t>ndard states that the values of the cm attribute are defined by the XML Schema unsignedInt datatype.</w:t>
      </w:r>
    </w:p>
    <w:p w:rsidR="00024C0A" w:rsidRDefault="00694C0F">
      <w:pPr>
        <w:pStyle w:val="Definition-Field2"/>
      </w:pPr>
      <w:r>
        <w:t>Excel requires the value of this attribute to be 0.</w:t>
      </w:r>
    </w:p>
    <w:p w:rsidR="00024C0A" w:rsidRDefault="00694C0F">
      <w:pPr>
        <w:pStyle w:val="Definition-Field"/>
      </w:pPr>
      <w:r>
        <w:t xml:space="preserve">b.   </w:t>
      </w:r>
      <w:r>
        <w:rPr>
          <w:i/>
        </w:rPr>
        <w:t>The standard states that the values of the s attribute are defined by the XML Schema unsignedInt d</w:t>
      </w:r>
      <w:r>
        <w:rPr>
          <w:i/>
        </w:rPr>
        <w:t>atatype.</w:t>
      </w:r>
    </w:p>
    <w:p w:rsidR="00024C0A" w:rsidRDefault="00694C0F">
      <w:pPr>
        <w:pStyle w:val="Definition-Field2"/>
      </w:pPr>
      <w:r>
        <w:t>Excel requires the value of this attribute to be 0.</w:t>
      </w:r>
    </w:p>
    <w:p w:rsidR="00024C0A" w:rsidRDefault="00694C0F">
      <w:pPr>
        <w:pStyle w:val="Definition-Field"/>
      </w:pPr>
      <w:r>
        <w:t xml:space="preserve">c.   </w:t>
      </w:r>
      <w:r>
        <w:rPr>
          <w:i/>
        </w:rPr>
        <w:t>The standard states that the values of the ph attribute are defined by the XML Schema boolean datatype.</w:t>
      </w:r>
    </w:p>
    <w:p w:rsidR="00024C0A" w:rsidRDefault="00694C0F">
      <w:pPr>
        <w:pStyle w:val="Definition-Field2"/>
      </w:pPr>
      <w:r>
        <w:t>Excel requires the value of this attribute to be 0 or false.</w:t>
      </w:r>
    </w:p>
    <w:p w:rsidR="00024C0A" w:rsidRDefault="00694C0F">
      <w:pPr>
        <w:pStyle w:val="Definition-Field"/>
      </w:pPr>
      <w:r>
        <w:t xml:space="preserve">d.   </w:t>
      </w:r>
      <w:r>
        <w:rPr>
          <w:i/>
        </w:rPr>
        <w:t xml:space="preserve">The standard states </w:t>
      </w:r>
      <w:r>
        <w:rPr>
          <w:i/>
        </w:rPr>
        <w:t>that the values of the vm attribute are defined by the XML Schema unsignedInt datatype.</w:t>
      </w:r>
    </w:p>
    <w:p w:rsidR="00024C0A" w:rsidRDefault="00694C0F">
      <w:pPr>
        <w:pStyle w:val="Definition-Field2"/>
      </w:pPr>
      <w:r>
        <w:t>Excel requires the value of this attribute to be 0.</w:t>
      </w:r>
    </w:p>
    <w:p w:rsidR="00024C0A" w:rsidRDefault="00694C0F">
      <w:pPr>
        <w:pStyle w:val="Definition-Field"/>
      </w:pPr>
      <w:r>
        <w:t xml:space="preserve">e.   </w:t>
      </w:r>
      <w:r>
        <w:rPr>
          <w:i/>
        </w:rPr>
        <w:t>The standard states that the values of the t attribute are defined y the ST_CellType simple type.</w:t>
      </w:r>
    </w:p>
    <w:p w:rsidR="00024C0A" w:rsidRDefault="00694C0F">
      <w:pPr>
        <w:pStyle w:val="Definition-Field2"/>
      </w:pPr>
      <w:r>
        <w:t xml:space="preserve">Excel limits </w:t>
      </w:r>
      <w:r>
        <w:t>the values of this attribute to be b, e, inlineStr, or n.</w:t>
      </w:r>
    </w:p>
    <w:p w:rsidR="00024C0A" w:rsidRDefault="00694C0F">
      <w:pPr>
        <w:pStyle w:val="Definition-Field"/>
      </w:pPr>
      <w:r>
        <w:t xml:space="preserve">f.   </w:t>
      </w:r>
      <w:r>
        <w:rPr>
          <w:i/>
        </w:rPr>
        <w:t>The standard states that the r attribute is optional.</w:t>
      </w:r>
    </w:p>
    <w:p w:rsidR="00024C0A" w:rsidRDefault="00694C0F">
      <w:pPr>
        <w:pStyle w:val="Definition-Field2"/>
      </w:pPr>
      <w:r>
        <w:t>Excel requires this attribute.</w:t>
      </w:r>
    </w:p>
    <w:p w:rsidR="00024C0A" w:rsidRDefault="00694C0F">
      <w:pPr>
        <w:pStyle w:val="Definition-Field"/>
      </w:pPr>
      <w:r>
        <w:t xml:space="preserve">g.   </w:t>
      </w:r>
      <w:r>
        <w:rPr>
          <w:i/>
        </w:rPr>
        <w:t>The standard does not limit the length of the value of the child v element.</w:t>
      </w:r>
    </w:p>
    <w:p w:rsidR="00024C0A" w:rsidRDefault="00694C0F">
      <w:pPr>
        <w:pStyle w:val="Definition-Field2"/>
      </w:pPr>
      <w:r>
        <w:t>Excel restricts the value o</w:t>
      </w:r>
      <w:r>
        <w:t>f this child element to be at most 32767 characters.</w:t>
      </w:r>
    </w:p>
    <w:p w:rsidR="00024C0A" w:rsidRDefault="00694C0F">
      <w:pPr>
        <w:pStyle w:val="Definition-Field"/>
      </w:pPr>
      <w:r>
        <w:t xml:space="preserve">h.   </w:t>
      </w:r>
      <w:r>
        <w:rPr>
          <w:i/>
        </w:rPr>
        <w:t>The standard places no restrictions on the relationship between the values of the r attributes on the oc and nc elements.</w:t>
      </w:r>
    </w:p>
    <w:p w:rsidR="00024C0A" w:rsidRDefault="00694C0F">
      <w:pPr>
        <w:pStyle w:val="Definition-Field2"/>
      </w:pPr>
      <w:r>
        <w:t>Excel requires that the value of the r attribute on the oc element match the</w:t>
      </w:r>
      <w:r>
        <w:t xml:space="preserve"> value of the r attribute on the nc element.</w:t>
      </w:r>
    </w:p>
    <w:p w:rsidR="00024C0A" w:rsidRDefault="00694C0F">
      <w:pPr>
        <w:pStyle w:val="Heading3"/>
      </w:pPr>
      <w:bookmarkStart w:id="1627" w:name="section_e054c87cccdf456191b158928b880f73"/>
      <w:bookmarkStart w:id="1628" w:name="_Toc12260874"/>
      <w:r>
        <w:t>Part 1 Section 18.11.1.5, oc (Old Cell Data)</w:t>
      </w:r>
      <w:bookmarkEnd w:id="1627"/>
      <w:bookmarkEnd w:id="1628"/>
      <w:r>
        <w:fldChar w:fldCharType="begin"/>
      </w:r>
      <w:r>
        <w:instrText xml:space="preserve"> XE "oc (Old Cell Data)"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9d4ffcff09b48b4b65e844f2281d2e0">
        <w:r>
          <w:rPr>
            <w:rStyle w:val="Hyperlink"/>
          </w:rPr>
          <w:t>nc, §18.11.1.3(a-g)</w:t>
        </w:r>
      </w:hyperlink>
      <w:r>
        <w:rPr>
          <w:i/>
        </w:rPr>
        <w:t>.</w:t>
      </w:r>
    </w:p>
    <w:p w:rsidR="00024C0A" w:rsidRDefault="00694C0F">
      <w:pPr>
        <w:pStyle w:val="Heading3"/>
      </w:pPr>
      <w:bookmarkStart w:id="1629" w:name="section_4a386293993e42ffae8f541aed32c43e"/>
      <w:bookmarkStart w:id="1630" w:name="_Toc12260875"/>
      <w:r>
        <w:t>Part 1 Section 18.11.1.7, oldFormula (Old Formula)</w:t>
      </w:r>
      <w:bookmarkEnd w:id="1629"/>
      <w:bookmarkEnd w:id="1630"/>
      <w:r>
        <w:fldChar w:fldCharType="begin"/>
      </w:r>
      <w:r>
        <w:instrText xml:space="preserve"> XE "oldFormula (Old Formula)" </w:instrText>
      </w:r>
      <w:r>
        <w:fldChar w:fldCharType="end"/>
      </w:r>
    </w:p>
    <w:p w:rsidR="00024C0A" w:rsidRDefault="00694C0F">
      <w:pPr>
        <w:pStyle w:val="Definition-Field"/>
      </w:pPr>
      <w:r>
        <w:t xml:space="preserve">a.   </w:t>
      </w:r>
      <w:r>
        <w:rPr>
          <w:i/>
        </w:rPr>
        <w:t>The standard states that the contents of this element are an extension on the ST_Form</w:t>
      </w:r>
      <w:r>
        <w:rPr>
          <w:i/>
        </w:rPr>
        <w:t>ula simple type.</w:t>
      </w:r>
    </w:p>
    <w:p w:rsidR="00024C0A" w:rsidRDefault="00694C0F">
      <w:pPr>
        <w:pStyle w:val="Definition-Field2"/>
      </w:pPr>
      <w:r>
        <w:t>Excel requires the contents of this element to follow the grammar for a name formula, as defined in Name Formulas (</w:t>
      </w:r>
      <w:hyperlink w:anchor="Section_da7f42ad0083451a98cfb475b578d91d">
        <w:r>
          <w:rPr>
            <w:rStyle w:val="Hyperlink"/>
          </w:rPr>
          <w:t>§3.2.3.1.4, Name Formulas</w:t>
        </w:r>
      </w:hyperlink>
      <w:r>
        <w:t>).</w:t>
      </w:r>
    </w:p>
    <w:p w:rsidR="00024C0A" w:rsidRDefault="00694C0F">
      <w:pPr>
        <w:pStyle w:val="Definition-Field"/>
      </w:pPr>
      <w:r>
        <w:lastRenderedPageBreak/>
        <w:t xml:space="preserve">b.   </w:t>
      </w:r>
      <w:r>
        <w:rPr>
          <w:i/>
        </w:rPr>
        <w:t>The standard makes no mentio</w:t>
      </w:r>
      <w:r>
        <w:rPr>
          <w:i/>
        </w:rPr>
        <w:t>n of an xml:space attribute.</w:t>
      </w:r>
    </w:p>
    <w:p w:rsidR="00024C0A" w:rsidRDefault="00694C0F">
      <w:pPr>
        <w:pStyle w:val="Definition-Field2"/>
      </w:pPr>
      <w:r>
        <w:t>Excel uses this attribute to specify, using the W3C space preservation rules, how white space should be handled for the element's contents; its allowed values are defined by the XML 1.0 specification.</w:t>
      </w:r>
    </w:p>
    <w:p w:rsidR="00024C0A" w:rsidRDefault="00694C0F">
      <w:pPr>
        <w:pStyle w:val="Heading3"/>
      </w:pPr>
      <w:bookmarkStart w:id="1631" w:name="section_c204cff307be4db39524f802d03fa17c"/>
      <w:bookmarkStart w:id="1632" w:name="_Toc12260876"/>
      <w:r>
        <w:t xml:space="preserve">Part 1 Section 18.11.1.8, </w:t>
      </w:r>
      <w:r>
        <w:t>raf (Revision AutoFormat)</w:t>
      </w:r>
      <w:bookmarkEnd w:id="1631"/>
      <w:bookmarkEnd w:id="1632"/>
      <w:r>
        <w:fldChar w:fldCharType="begin"/>
      </w:r>
      <w:r>
        <w:instrText xml:space="preserve"> XE "raf (Revision AutoFormat)"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7b6c9fe631584a228a8abbf584ecf45f">
        <w:r>
          <w:rPr>
            <w:rStyle w:val="Hyperlink"/>
          </w:rPr>
          <w:t>pivotTableDefinition, §18.10.1.79(s-y)</w:t>
        </w:r>
      </w:hyperlink>
      <w:r>
        <w:rPr>
          <w:i/>
        </w:rPr>
        <w:t>.</w:t>
      </w:r>
    </w:p>
    <w:p w:rsidR="00024C0A" w:rsidRDefault="00694C0F">
      <w:pPr>
        <w:pStyle w:val="Definition-Field"/>
      </w:pPr>
      <w:r>
        <w:t xml:space="preserve">a. </w:t>
      </w:r>
      <w:r>
        <w:t xml:space="preserve">  </w:t>
      </w:r>
      <w:r>
        <w:rPr>
          <w:i/>
        </w:rPr>
        <w:t>The standard states that the values of the sheetId attribute are defined by the XML Schema unsignedInt datatype.</w:t>
      </w:r>
    </w:p>
    <w:p w:rsidR="00024C0A" w:rsidRDefault="00694C0F">
      <w:pPr>
        <w:pStyle w:val="Definition-Field2"/>
      </w:pPr>
      <w:r>
        <w:t>Excel restricts the value of this attribute to be at most 32767.</w:t>
      </w:r>
    </w:p>
    <w:p w:rsidR="00024C0A" w:rsidRDefault="00694C0F">
      <w:pPr>
        <w:pStyle w:val="Definition-Field"/>
      </w:pPr>
      <w:r>
        <w:t xml:space="preserve">b.   </w:t>
      </w:r>
      <w:r>
        <w:rPr>
          <w:i/>
        </w:rPr>
        <w:t>In the standard, @autoformatid is defined to be of type unsignedInt wit</w:t>
      </w:r>
      <w:r>
        <w:rPr>
          <w:i/>
        </w:rPr>
        <w:t>h no restrictions.</w:t>
      </w:r>
    </w:p>
    <w:p w:rsidR="00024C0A" w:rsidRDefault="00694C0F">
      <w:pPr>
        <w:pStyle w:val="Definition-Field2"/>
      </w:pPr>
      <w:r>
        <w:t>Office specifies that when in the context of raf and queryTable elements, the value shall be less than 21. In the context of the pivotTableDefinition element, the value shall be less than 21 or greater than 4096 and less than or equal to</w:t>
      </w:r>
      <w:r>
        <w:t xml:space="preserve"> 4117.</w:t>
      </w:r>
    </w:p>
    <w:p w:rsidR="00024C0A" w:rsidRDefault="00694C0F">
      <w:pPr>
        <w:pStyle w:val="Heading3"/>
      </w:pPr>
      <w:bookmarkStart w:id="1633" w:name="section_93a010b3df434cd4833aebacc1a80517"/>
      <w:bookmarkStart w:id="1634" w:name="_Toc12260877"/>
      <w:r>
        <w:t>Part 1 Section 18.11.1.9, rcc (Revision Cell Change)</w:t>
      </w:r>
      <w:bookmarkEnd w:id="1633"/>
      <w:bookmarkEnd w:id="1634"/>
      <w:r>
        <w:fldChar w:fldCharType="begin"/>
      </w:r>
      <w:r>
        <w:instrText xml:space="preserve"> XE "rcc (Revision Cell Change)"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3c60e3058f99460abca886e39ebb0e49">
        <w:r>
          <w:rPr>
            <w:rStyle w:val="Hyperlink"/>
          </w:rPr>
          <w:t>rdn, §18</w:t>
        </w:r>
        <w:r>
          <w:rPr>
            <w:rStyle w:val="Hyperlink"/>
          </w:rPr>
          <w:t>.11.1.13(j,n)</w:t>
        </w:r>
      </w:hyperlink>
      <w:r>
        <w:rPr>
          <w:i/>
        </w:rPr>
        <w:t>.</w:t>
      </w:r>
    </w:p>
    <w:p w:rsidR="00024C0A" w:rsidRDefault="00694C0F">
      <w:pPr>
        <w:pStyle w:val="Definition-Field"/>
      </w:pPr>
      <w:r>
        <w:t xml:space="preserve">a.   </w:t>
      </w:r>
      <w:r>
        <w:rPr>
          <w:i/>
        </w:rPr>
        <w:t>The standard states that the values of the sId attribute are defined by the XML Schema unsignedInt datatype.</w:t>
      </w:r>
    </w:p>
    <w:p w:rsidR="00024C0A" w:rsidRDefault="00694C0F">
      <w:pPr>
        <w:pStyle w:val="Definition-Field2"/>
      </w:pPr>
      <w:r>
        <w:t>Excel restricts the value of this attribute to be at most 32767.</w:t>
      </w:r>
    </w:p>
    <w:p w:rsidR="00024C0A" w:rsidRDefault="00694C0F">
      <w:pPr>
        <w:pStyle w:val="Definition-Field"/>
      </w:pPr>
      <w:r>
        <w:t xml:space="preserve">b.   </w:t>
      </w:r>
      <w:r>
        <w:rPr>
          <w:i/>
        </w:rPr>
        <w:t>The standard does not specify a default value for the num</w:t>
      </w:r>
      <w:r>
        <w:rPr>
          <w:i/>
        </w:rPr>
        <w:t>FmtId attribute.</w:t>
      </w:r>
    </w:p>
    <w:p w:rsidR="00024C0A" w:rsidRDefault="00694C0F">
      <w:pPr>
        <w:pStyle w:val="Definition-Field2"/>
      </w:pPr>
      <w:r>
        <w:t>Excel uses a default value of 0 for this attribute.</w:t>
      </w:r>
    </w:p>
    <w:p w:rsidR="00024C0A" w:rsidRDefault="00694C0F">
      <w:pPr>
        <w:pStyle w:val="Definition-Field"/>
      </w:pPr>
      <w:r>
        <w:t xml:space="preserve">c.   </w:t>
      </w:r>
      <w:r>
        <w:rPr>
          <w:i/>
        </w:rPr>
        <w:t>The standard states that the s attribute is only applicable to undo operations.</w:t>
      </w:r>
    </w:p>
    <w:p w:rsidR="00024C0A" w:rsidRDefault="00694C0F">
      <w:pPr>
        <w:pStyle w:val="Definition-Field2"/>
      </w:pPr>
      <w:r>
        <w:t>Excel allows this attribute to be applicable to operations other than undo.</w:t>
      </w:r>
    </w:p>
    <w:p w:rsidR="00024C0A" w:rsidRDefault="00694C0F">
      <w:pPr>
        <w:pStyle w:val="Heading3"/>
      </w:pPr>
      <w:bookmarkStart w:id="1635" w:name="section_b551f264a701421c9a934fd7b5202aaf"/>
      <w:bookmarkStart w:id="1636" w:name="_Toc12260878"/>
      <w:r>
        <w:t>Part 1 Section 18.11.1.10,</w:t>
      </w:r>
      <w:r>
        <w:t xml:space="preserve"> rcft (Revision Merge Conflict)</w:t>
      </w:r>
      <w:bookmarkEnd w:id="1635"/>
      <w:bookmarkEnd w:id="1636"/>
      <w:r>
        <w:fldChar w:fldCharType="begin"/>
      </w:r>
      <w:r>
        <w:instrText xml:space="preserve"> XE "rcft (Revision Merge Conflict)"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024C0A" w:rsidRDefault="00694C0F">
      <w:pPr>
        <w:pStyle w:val="Definition-Field"/>
      </w:pPr>
      <w:r>
        <w:t xml:space="preserve">a.   </w:t>
      </w:r>
      <w:r>
        <w:rPr>
          <w:i/>
        </w:rPr>
        <w:t xml:space="preserve">The </w:t>
      </w:r>
      <w:r>
        <w:rPr>
          <w:i/>
        </w:rPr>
        <w:t>standard defines the @sheetId without including its maximum or minimum values.</w:t>
      </w:r>
    </w:p>
    <w:p w:rsidR="00024C0A" w:rsidRDefault="00694C0F">
      <w:pPr>
        <w:pStyle w:val="Definition-Field2"/>
      </w:pPr>
      <w:r>
        <w:t>Office specifies that @sheetId is in the range from 0 to 32767.</w:t>
      </w:r>
    </w:p>
    <w:p w:rsidR="00024C0A" w:rsidRDefault="00694C0F">
      <w:pPr>
        <w:pStyle w:val="Heading3"/>
      </w:pPr>
      <w:bookmarkStart w:id="1637" w:name="section_71c2defd91e4428192ce402908c9a57d"/>
      <w:bookmarkStart w:id="1638" w:name="_Toc12260879"/>
      <w:r>
        <w:t>Part 1 Section 18.11.1.11, rcmt (Revision Cell Comment)</w:t>
      </w:r>
      <w:bookmarkEnd w:id="1637"/>
      <w:bookmarkEnd w:id="1638"/>
      <w:r>
        <w:fldChar w:fldCharType="begin"/>
      </w:r>
      <w:r>
        <w:instrText xml:space="preserve"> XE "rcmt (Revision Cell Comment)" </w:instrText>
      </w:r>
      <w:r>
        <w:fldChar w:fldCharType="end"/>
      </w:r>
    </w:p>
    <w:p w:rsidR="00024C0A" w:rsidRDefault="00694C0F">
      <w:pPr>
        <w:pStyle w:val="Definition-Field"/>
      </w:pPr>
      <w:r>
        <w:t xml:space="preserve">a.   </w:t>
      </w:r>
      <w:r>
        <w:rPr>
          <w:i/>
        </w:rPr>
        <w:t>The standard sp</w:t>
      </w:r>
      <w:r>
        <w:rPr>
          <w:i/>
        </w:rPr>
        <w:t>ecifies that @author is restricted to be of type ST_Xstring.</w:t>
      </w:r>
    </w:p>
    <w:p w:rsidR="00024C0A" w:rsidRDefault="00694C0F">
      <w:pPr>
        <w:pStyle w:val="Definition-Field2"/>
      </w:pPr>
      <w:r>
        <w:t>Office defines that the length of @author should be between 1 and 52 inclusive.</w:t>
      </w:r>
    </w:p>
    <w:p w:rsidR="00024C0A" w:rsidRDefault="00694C0F">
      <w:pPr>
        <w:pStyle w:val="Definition-Field"/>
      </w:pPr>
      <w:r>
        <w:t xml:space="preserve">b.   </w:t>
      </w:r>
      <w:r>
        <w:rPr>
          <w:i/>
        </w:rPr>
        <w:t>The standard places no restrictions on the relationship between the guid attribute and a revision record.</w:t>
      </w:r>
    </w:p>
    <w:p w:rsidR="00024C0A" w:rsidRDefault="00694C0F">
      <w:pPr>
        <w:pStyle w:val="Definition-Field2"/>
      </w:pPr>
      <w:r>
        <w:t>Offi</w:t>
      </w:r>
      <w:r>
        <w:t>ce uses the guid attribute to associate a revision record with a comment in a worksheet.</w:t>
      </w:r>
    </w:p>
    <w:p w:rsidR="00024C0A" w:rsidRDefault="00694C0F">
      <w:pPr>
        <w:pStyle w:val="Heading3"/>
      </w:pPr>
      <w:bookmarkStart w:id="1639" w:name="section_3c60e3058f99460abca886e39ebb0e49"/>
      <w:bookmarkStart w:id="1640" w:name="_Toc12260880"/>
      <w:r>
        <w:lastRenderedPageBreak/>
        <w:t>Part 1 Section 18.11.1.13, rdn (Revision Defined Name)</w:t>
      </w:r>
      <w:bookmarkEnd w:id="1639"/>
      <w:bookmarkEnd w:id="1640"/>
      <w:r>
        <w:fldChar w:fldCharType="begin"/>
      </w:r>
      <w:r>
        <w:instrText xml:space="preserve"> XE "rdn (Revision Defined Name)" </w:instrText>
      </w:r>
      <w:r>
        <w:fldChar w:fldCharType="end"/>
      </w:r>
    </w:p>
    <w:p w:rsidR="00024C0A" w:rsidRDefault="00694C0F">
      <w:pPr>
        <w:pStyle w:val="Definition-Field"/>
      </w:pPr>
      <w:r>
        <w:t xml:space="preserve">a.   </w:t>
      </w:r>
      <w:r>
        <w:rPr>
          <w:i/>
        </w:rPr>
        <w:t xml:space="preserve">The standard defines the @localSheetId without specifying a maximum </w:t>
      </w:r>
      <w:r>
        <w:rPr>
          <w:i/>
        </w:rPr>
        <w:t>value.</w:t>
      </w:r>
    </w:p>
    <w:p w:rsidR="00024C0A" w:rsidRDefault="00694C0F">
      <w:pPr>
        <w:pStyle w:val="Definition-Field2"/>
      </w:pPr>
      <w:r>
        <w:t>Office specifies the maximum value of @localSheetId to be 32767.</w:t>
      </w:r>
    </w:p>
    <w:p w:rsidR="00024C0A" w:rsidRDefault="00694C0F">
      <w:pPr>
        <w:pStyle w:val="Definition-Field"/>
      </w:pPr>
      <w:r>
        <w:t xml:space="preserve">b.   </w:t>
      </w:r>
      <w:r>
        <w:rPr>
          <w:i/>
        </w:rPr>
        <w:t>The standard does not limit the length of the attribute customMenu.</w:t>
      </w:r>
    </w:p>
    <w:p w:rsidR="00024C0A" w:rsidRDefault="00694C0F">
      <w:pPr>
        <w:pStyle w:val="Definition-Field2"/>
      </w:pPr>
      <w:r>
        <w:t>Office specifies the maximum length of @customMenu shall be 32767.</w:t>
      </w:r>
    </w:p>
    <w:p w:rsidR="00024C0A" w:rsidRDefault="00694C0F">
      <w:pPr>
        <w:pStyle w:val="Definition-Field"/>
      </w:pPr>
      <w:r>
        <w:t xml:space="preserve">c.   </w:t>
      </w:r>
      <w:r>
        <w:rPr>
          <w:i/>
        </w:rPr>
        <w:t xml:space="preserve">The standard does not limit the length </w:t>
      </w:r>
      <w:r>
        <w:rPr>
          <w:i/>
        </w:rPr>
        <w:t>of the oldCustomMenu attribute.</w:t>
      </w:r>
    </w:p>
    <w:p w:rsidR="00024C0A" w:rsidRDefault="00694C0F">
      <w:pPr>
        <w:pStyle w:val="Definition-Field2"/>
      </w:pPr>
      <w:r>
        <w:t>Office specifies the maximum length of @oldCustomMenu shall be 32767.</w:t>
      </w:r>
    </w:p>
    <w:p w:rsidR="00024C0A" w:rsidRDefault="00694C0F">
      <w:pPr>
        <w:pStyle w:val="Definition-Field"/>
      </w:pPr>
      <w:r>
        <w:t xml:space="preserve">d.   </w:t>
      </w:r>
      <w:r>
        <w:rPr>
          <w:i/>
        </w:rPr>
        <w:t>The standard does not limit the length of the attribute description.</w:t>
      </w:r>
    </w:p>
    <w:p w:rsidR="00024C0A" w:rsidRDefault="00694C0F">
      <w:pPr>
        <w:pStyle w:val="Definition-Field2"/>
      </w:pPr>
      <w:r>
        <w:t>Office specifies the maximum length of @description to be 32767.</w:t>
      </w:r>
    </w:p>
    <w:p w:rsidR="00024C0A" w:rsidRDefault="00694C0F">
      <w:pPr>
        <w:pStyle w:val="Definition-Field"/>
      </w:pPr>
      <w:r>
        <w:t xml:space="preserve">e.   </w:t>
      </w:r>
      <w:r>
        <w:rPr>
          <w:i/>
        </w:rPr>
        <w:t>The standa</w:t>
      </w:r>
      <w:r>
        <w:rPr>
          <w:i/>
        </w:rPr>
        <w:t>rd does not limit the length of the @oldDescription.</w:t>
      </w:r>
    </w:p>
    <w:p w:rsidR="00024C0A" w:rsidRDefault="00694C0F">
      <w:pPr>
        <w:pStyle w:val="Definition-Field2"/>
      </w:pPr>
      <w:r>
        <w:t>Office specifies a maximum length for @oldDescription is 32767.</w:t>
      </w:r>
    </w:p>
    <w:p w:rsidR="00024C0A" w:rsidRDefault="00694C0F">
      <w:pPr>
        <w:pStyle w:val="Definition-Field"/>
      </w:pPr>
      <w:r>
        <w:t xml:space="preserve">f.   </w:t>
      </w:r>
      <w:r>
        <w:rPr>
          <w:i/>
        </w:rPr>
        <w:t>The standard does not limit the length of @help.</w:t>
      </w:r>
    </w:p>
    <w:p w:rsidR="00024C0A" w:rsidRDefault="00694C0F">
      <w:pPr>
        <w:pStyle w:val="Definition-Field2"/>
      </w:pPr>
      <w:r>
        <w:t>Office specifies the maximum length of @help shall be 32767.</w:t>
      </w:r>
    </w:p>
    <w:p w:rsidR="00024C0A" w:rsidRDefault="00694C0F">
      <w:pPr>
        <w:pStyle w:val="Definition-Field"/>
      </w:pPr>
      <w:r>
        <w:t xml:space="preserve">g.   </w:t>
      </w:r>
      <w:r>
        <w:rPr>
          <w:i/>
        </w:rPr>
        <w:t>The standard does n</w:t>
      </w:r>
      <w:r>
        <w:rPr>
          <w:i/>
        </w:rPr>
        <w:t>ot limit the length of the oldHelp attribute.</w:t>
      </w:r>
    </w:p>
    <w:p w:rsidR="00024C0A" w:rsidRDefault="00694C0F">
      <w:pPr>
        <w:pStyle w:val="Definition-Field2"/>
      </w:pPr>
      <w:r>
        <w:t>Office specifies the maximum length of @oldHelp to be 32767.</w:t>
      </w:r>
    </w:p>
    <w:p w:rsidR="00024C0A" w:rsidRDefault="00694C0F">
      <w:pPr>
        <w:pStyle w:val="Definition-Field"/>
      </w:pPr>
      <w:r>
        <w:t xml:space="preserve">h.   </w:t>
      </w:r>
      <w:r>
        <w:rPr>
          <w:i/>
        </w:rPr>
        <w:t>The standard does not limit the length of the statusBar attribute.</w:t>
      </w:r>
    </w:p>
    <w:p w:rsidR="00024C0A" w:rsidRDefault="00694C0F">
      <w:pPr>
        <w:pStyle w:val="Definition-Field2"/>
      </w:pPr>
      <w:r>
        <w:t>Office specifies the maximum length of @statusBar to be 32767.</w:t>
      </w:r>
    </w:p>
    <w:p w:rsidR="00024C0A" w:rsidRDefault="00694C0F">
      <w:pPr>
        <w:pStyle w:val="Definition-Field"/>
      </w:pPr>
      <w:r>
        <w:t xml:space="preserve">i.   </w:t>
      </w:r>
      <w:r>
        <w:rPr>
          <w:i/>
        </w:rPr>
        <w:t>The stand</w:t>
      </w:r>
      <w:r>
        <w:rPr>
          <w:i/>
        </w:rPr>
        <w:t>ard does not limit the length of @oldStatusBar.</w:t>
      </w:r>
    </w:p>
    <w:p w:rsidR="00024C0A" w:rsidRDefault="00694C0F">
      <w:pPr>
        <w:pStyle w:val="Definition-Field2"/>
      </w:pPr>
      <w:r>
        <w:t>Office specifies the maximum length of @oldStatusBar to be 32767.</w:t>
      </w:r>
    </w:p>
    <w:p w:rsidR="00024C0A" w:rsidRDefault="00694C0F">
      <w:pPr>
        <w:pStyle w:val="Definition-Field"/>
      </w:pPr>
      <w:r>
        <w:t xml:space="preserve">j.   </w:t>
      </w:r>
      <w:r>
        <w:rPr>
          <w:i/>
        </w:rPr>
        <w:t>The standard does not specify any restrictions on the formula in the formula element.</w:t>
      </w:r>
    </w:p>
    <w:p w:rsidR="00024C0A" w:rsidRDefault="00694C0F">
      <w:pPr>
        <w:pStyle w:val="Definition-Field2"/>
      </w:pPr>
      <w:r>
        <w:t>Excel specifies the formula element to be a Name fo</w:t>
      </w:r>
      <w:r>
        <w:t>rmula, as defined in Formulas ("</w:t>
      </w:r>
      <w:hyperlink r:id="rId134">
        <w:r>
          <w:rPr>
            <w:rStyle w:val="Hyperlink"/>
          </w:rPr>
          <w:t>[ISO/IEC-29500-1]</w:t>
        </w:r>
      </w:hyperlink>
      <w:r>
        <w:t xml:space="preserve"> §18.17").</w:t>
      </w:r>
    </w:p>
    <w:p w:rsidR="00024C0A" w:rsidRDefault="00694C0F">
      <w:pPr>
        <w:pStyle w:val="Definition-Field"/>
      </w:pPr>
      <w:r>
        <w:t xml:space="preserve">k.   </w:t>
      </w:r>
      <w:r>
        <w:rPr>
          <w:i/>
        </w:rPr>
        <w:t>The standard does not limit the length of the value of the comment attribute.</w:t>
      </w:r>
    </w:p>
    <w:p w:rsidR="00024C0A" w:rsidRDefault="00694C0F">
      <w:pPr>
        <w:pStyle w:val="Definition-Field2"/>
      </w:pPr>
      <w:r>
        <w:t xml:space="preserve">Excel restricts the value of this attribute to </w:t>
      </w:r>
      <w:r>
        <w:t>be at most 255 characters.</w:t>
      </w:r>
    </w:p>
    <w:p w:rsidR="00024C0A" w:rsidRDefault="00694C0F">
      <w:pPr>
        <w:pStyle w:val="Definition-Field"/>
      </w:pPr>
      <w:r>
        <w:t xml:space="preserve">l.   </w:t>
      </w:r>
      <w:r>
        <w:rPr>
          <w:i/>
        </w:rPr>
        <w:t>The standard states that the values of the name attribute are defined by the ST_Xstring simple type.</w:t>
      </w:r>
    </w:p>
    <w:p w:rsidR="00024C0A" w:rsidRDefault="00694C0F">
      <w:pPr>
        <w:pStyle w:val="Definition-Field2"/>
      </w:pPr>
      <w:r>
        <w:t>In Office, the value of the name attribute shall be unique within the parent element collection and must match the definiti</w:t>
      </w:r>
      <w:r>
        <w:t>on of Defined Name in Formulas ("[ISO/IEC-29500-1] §18.17").</w:t>
      </w:r>
    </w:p>
    <w:p w:rsidR="00024C0A" w:rsidRDefault="00694C0F">
      <w:pPr>
        <w:pStyle w:val="Definition-Field"/>
      </w:pPr>
      <w:r>
        <w:t xml:space="preserve">m.   </w:t>
      </w:r>
      <w:r>
        <w:rPr>
          <w:i/>
        </w:rPr>
        <w:t>The standard does not limit the length of the value of the oldComment attribute.</w:t>
      </w:r>
    </w:p>
    <w:p w:rsidR="00024C0A" w:rsidRDefault="00694C0F">
      <w:pPr>
        <w:pStyle w:val="Definition-Field2"/>
      </w:pPr>
      <w:r>
        <w:t>Excel restricts the value of this attribute to be at most 255 characters.</w:t>
      </w:r>
    </w:p>
    <w:p w:rsidR="00024C0A" w:rsidRDefault="00694C0F">
      <w:pPr>
        <w:pStyle w:val="Definition-Field"/>
      </w:pPr>
      <w:r>
        <w:t xml:space="preserve">n.   </w:t>
      </w:r>
      <w:r>
        <w:rPr>
          <w:i/>
        </w:rPr>
        <w:t xml:space="preserve">The standard states that the </w:t>
      </w:r>
      <w:r>
        <w:rPr>
          <w:i/>
        </w:rPr>
        <w:t>values of the rId attribute are defined by the XML Schema unsignedInt datatype.</w:t>
      </w:r>
    </w:p>
    <w:p w:rsidR="00024C0A" w:rsidRDefault="00694C0F">
      <w:pPr>
        <w:pStyle w:val="Definition-Field2"/>
      </w:pPr>
      <w:r>
        <w:t>Excel restricts the value of this attribute to be at most 2147483647.</w:t>
      </w:r>
    </w:p>
    <w:p w:rsidR="00024C0A" w:rsidRDefault="00694C0F">
      <w:pPr>
        <w:pStyle w:val="Heading3"/>
      </w:pPr>
      <w:bookmarkStart w:id="1641" w:name="section_91b38086b27c4d3fb6aee7d37845d2cd"/>
      <w:bookmarkStart w:id="1642" w:name="_Toc12260881"/>
      <w:r>
        <w:lastRenderedPageBreak/>
        <w:t>Part 1 Section 18.11.1.14, reviewed (Reviewed)</w:t>
      </w:r>
      <w:bookmarkEnd w:id="1641"/>
      <w:bookmarkEnd w:id="1642"/>
      <w:r>
        <w:fldChar w:fldCharType="begin"/>
      </w:r>
      <w:r>
        <w:instrText xml:space="preserve"> XE "reviewed (Reviewed)" </w:instrText>
      </w:r>
      <w:r>
        <w:fldChar w:fldCharType="end"/>
      </w:r>
    </w:p>
    <w:p w:rsidR="00024C0A" w:rsidRDefault="00694C0F">
      <w:pPr>
        <w:pStyle w:val="Definition-Field"/>
      </w:pPr>
      <w:r>
        <w:t xml:space="preserve">a.   </w:t>
      </w:r>
      <w:r>
        <w:rPr>
          <w:i/>
        </w:rPr>
        <w:t xml:space="preserve">The standard does not </w:t>
      </w:r>
      <w:r>
        <w:rPr>
          <w:i/>
        </w:rPr>
        <w:t>place any restrictions on the value for the rId attribute.</w:t>
      </w:r>
    </w:p>
    <w:p w:rsidR="00024C0A" w:rsidRDefault="00694C0F">
      <w:pPr>
        <w:pStyle w:val="Definition-Field2"/>
      </w:pPr>
      <w:r>
        <w:t>Office allows the rId attribute to have a maximum value of 2147483647. Revision records shall always appear in increasing order of revision record Ids within a shared workbooks part</w:t>
      </w:r>
    </w:p>
    <w:p w:rsidR="00024C0A" w:rsidRDefault="00694C0F">
      <w:pPr>
        <w:pStyle w:val="Heading3"/>
      </w:pPr>
      <w:bookmarkStart w:id="1643" w:name="section_d814f876102941be95e9eb6997794b91"/>
      <w:bookmarkStart w:id="1644" w:name="_Toc12260882"/>
      <w:r>
        <w:t xml:space="preserve">Part 1 Section </w:t>
      </w:r>
      <w:r>
        <w:t>18.11.1.17, rfmt (Revision Format)</w:t>
      </w:r>
      <w:bookmarkEnd w:id="1643"/>
      <w:bookmarkEnd w:id="1644"/>
      <w:r>
        <w:fldChar w:fldCharType="begin"/>
      </w:r>
      <w:r>
        <w:instrText xml:space="preserve"> XE "rfmt (Revision Format)" </w:instrText>
      </w:r>
      <w:r>
        <w:fldChar w:fldCharType="end"/>
      </w:r>
    </w:p>
    <w:p w:rsidR="00024C0A" w:rsidRDefault="00694C0F">
      <w:pPr>
        <w:pStyle w:val="Definition-Field"/>
      </w:pPr>
      <w:r>
        <w:t xml:space="preserve">a.   </w:t>
      </w:r>
      <w:r>
        <w:rPr>
          <w:i/>
        </w:rPr>
        <w:t>The standard defines the length attribute without including its maximum values.</w:t>
      </w:r>
    </w:p>
    <w:p w:rsidR="00024C0A" w:rsidRDefault="00694C0F">
      <w:pPr>
        <w:pStyle w:val="Definition-Field2"/>
      </w:pPr>
      <w:r>
        <w:t>Office requires that the length attribute shall be less than 32767 when a part of string is affected by t</w:t>
      </w:r>
      <w:r>
        <w:t>he change or shall be 2147483647 when all the characters of the string are affected by the change.</w:t>
      </w:r>
    </w:p>
    <w:p w:rsidR="00024C0A" w:rsidRDefault="00694C0F">
      <w:pPr>
        <w:pStyle w:val="Definition-Field"/>
      </w:pPr>
      <w:r>
        <w:t xml:space="preserve">b.   </w:t>
      </w:r>
      <w:r>
        <w:rPr>
          <w:i/>
        </w:rPr>
        <w:t>The standard defines the @sheetId without including its maximum or minimum values.</w:t>
      </w:r>
    </w:p>
    <w:p w:rsidR="00024C0A" w:rsidRDefault="00694C0F">
      <w:pPr>
        <w:pStyle w:val="Definition-Field2"/>
      </w:pPr>
      <w:r>
        <w:t>Office specifies that @sheetId is in the range from 0 to 32767.</w:t>
      </w:r>
    </w:p>
    <w:p w:rsidR="00024C0A" w:rsidRDefault="00694C0F">
      <w:pPr>
        <w:pStyle w:val="Definition-Field"/>
      </w:pPr>
      <w:r>
        <w:t xml:space="preserve">c.   </w:t>
      </w:r>
      <w:r>
        <w:rPr>
          <w:i/>
        </w:rPr>
        <w:t>The standard does not describe the limits and relationships of @start.</w:t>
      </w:r>
    </w:p>
    <w:p w:rsidR="00024C0A" w:rsidRDefault="00694C0F">
      <w:pPr>
        <w:pStyle w:val="Definition-Field2"/>
      </w:pPr>
      <w:r>
        <w:t>Office requires that either @length is 2147483647 and @start is 0 or the sum of @start and @length shall be less than 32767.</w:t>
      </w:r>
    </w:p>
    <w:p w:rsidR="00024C0A" w:rsidRDefault="00694C0F">
      <w:pPr>
        <w:pStyle w:val="Definition-Field"/>
      </w:pPr>
      <w:r>
        <w:t xml:space="preserve">d.   </w:t>
      </w:r>
      <w:r>
        <w:rPr>
          <w:i/>
        </w:rPr>
        <w:t>The standard does not specify when @start shall be omit</w:t>
      </w:r>
      <w:r>
        <w:rPr>
          <w:i/>
        </w:rPr>
        <w:t>ted.</w:t>
      </w:r>
    </w:p>
    <w:p w:rsidR="00024C0A" w:rsidRDefault="00694C0F">
      <w:pPr>
        <w:pStyle w:val="Definition-Field2"/>
      </w:pPr>
      <w:r>
        <w:t>Office specifies @start such that start shall be omitted when a built-in or custom format is applied to the references specified by @sqref.</w:t>
      </w:r>
    </w:p>
    <w:p w:rsidR="00024C0A" w:rsidRDefault="00694C0F">
      <w:pPr>
        <w:pStyle w:val="Definition-Field"/>
      </w:pPr>
      <w:r>
        <w:t xml:space="preserve">e.   </w:t>
      </w:r>
      <w:r>
        <w:rPr>
          <w:i/>
        </w:rPr>
        <w:t>The standard does not specify when @length is omitted.</w:t>
      </w:r>
    </w:p>
    <w:p w:rsidR="00024C0A" w:rsidRDefault="00694C0F">
      <w:pPr>
        <w:pStyle w:val="Definition-Field2"/>
      </w:pPr>
      <w:r>
        <w:t>Office specifies that @length shall be omitted when</w:t>
      </w:r>
      <w:r>
        <w:t xml:space="preserve"> a built-in or custom format is applied to the references specified by @sqref.</w:t>
      </w:r>
    </w:p>
    <w:p w:rsidR="00024C0A" w:rsidRDefault="00694C0F">
      <w:pPr>
        <w:pStyle w:val="Heading3"/>
      </w:pPr>
      <w:bookmarkStart w:id="1645" w:name="section_7b5212ccf081484f85d66b5129ee8d61"/>
      <w:bookmarkStart w:id="1646" w:name="_Toc12260883"/>
      <w:r>
        <w:t>Part 1 Section 18.11.1.18, ris (Revision Insert Sheet)</w:t>
      </w:r>
      <w:bookmarkEnd w:id="1645"/>
      <w:bookmarkEnd w:id="1646"/>
      <w:r>
        <w:fldChar w:fldCharType="begin"/>
      </w:r>
      <w:r>
        <w:instrText xml:space="preserve"> XE "ris (Revision Insert Sheet)" </w:instrText>
      </w:r>
      <w:r>
        <w:fldChar w:fldCharType="end"/>
      </w:r>
    </w:p>
    <w:p w:rsidR="00024C0A" w:rsidRDefault="00694C0F">
      <w:pPr>
        <w:pStyle w:val="Definition-Field2"/>
      </w:pPr>
      <w:r>
        <w:rPr>
          <w:i/>
        </w:rPr>
        <w:t xml:space="preserve">For additional notes that apply to this portion of the standard, please see the notes </w:t>
      </w:r>
      <w:r>
        <w:rPr>
          <w:i/>
        </w:rPr>
        <w:t xml:space="preserve">for </w:t>
      </w:r>
      <w:hyperlink w:anchor="Section_3c60e3058f99460abca886e39ebb0e49">
        <w:r>
          <w:rPr>
            <w:rStyle w:val="Hyperlink"/>
          </w:rPr>
          <w:t>rdn, §18.11.1.13(j,n)</w:t>
        </w:r>
      </w:hyperlink>
      <w:r>
        <w:rPr>
          <w:i/>
        </w:rPr>
        <w:t>.</w:t>
      </w:r>
    </w:p>
    <w:p w:rsidR="00024C0A" w:rsidRDefault="00694C0F">
      <w:pPr>
        <w:pStyle w:val="Definition-Field"/>
      </w:pPr>
      <w:r>
        <w:t xml:space="preserve">a.   </w:t>
      </w:r>
      <w:r>
        <w:rPr>
          <w:i/>
        </w:rPr>
        <w:t>The standard states that the values of the sheetId attribute are defined by the XML Schema unsignedInt datatype.</w:t>
      </w:r>
    </w:p>
    <w:p w:rsidR="00024C0A" w:rsidRDefault="00694C0F">
      <w:pPr>
        <w:pStyle w:val="Definition-Field2"/>
      </w:pPr>
      <w:r>
        <w:t>Excel restricts the value of this attribute to b</w:t>
      </w:r>
      <w:r>
        <w:t>e at most 32767.</w:t>
      </w:r>
    </w:p>
    <w:p w:rsidR="00024C0A" w:rsidRDefault="00694C0F">
      <w:pPr>
        <w:pStyle w:val="Definition-Field"/>
      </w:pPr>
      <w:r>
        <w:t xml:space="preserve">b.   </w:t>
      </w:r>
      <w:r>
        <w:rPr>
          <w:i/>
        </w:rPr>
        <w:t>The standard states that the values of the sheetPosition attribute are defined by the XML Schema unsignedInt datatype.</w:t>
      </w:r>
    </w:p>
    <w:p w:rsidR="00024C0A" w:rsidRDefault="00694C0F">
      <w:pPr>
        <w:pStyle w:val="Definition-Field2"/>
      </w:pPr>
      <w:r>
        <w:t>Excel restricts the value of this attribute to be at most 65533.</w:t>
      </w:r>
    </w:p>
    <w:p w:rsidR="00024C0A" w:rsidRDefault="00694C0F">
      <w:pPr>
        <w:pStyle w:val="Definition-Field"/>
      </w:pPr>
      <w:r>
        <w:t xml:space="preserve">c.   </w:t>
      </w:r>
      <w:r>
        <w:rPr>
          <w:i/>
        </w:rPr>
        <w:t xml:space="preserve">The standard defines the possible values for </w:t>
      </w:r>
      <w:r>
        <w:rPr>
          <w:i/>
        </w:rPr>
        <w:t>the @name without specifying the format of the value.</w:t>
      </w:r>
    </w:p>
    <w:p w:rsidR="00024C0A" w:rsidRDefault="00694C0F">
      <w:pPr>
        <w:pStyle w:val="Definition-Field2"/>
      </w:pPr>
      <w:r>
        <w:t>Office requires that @name follows the form [Book]SheetName, where SheetName follows valid syntax for a sheet name.</w:t>
      </w:r>
    </w:p>
    <w:p w:rsidR="00024C0A" w:rsidRDefault="00694C0F">
      <w:pPr>
        <w:pStyle w:val="Heading3"/>
      </w:pPr>
      <w:bookmarkStart w:id="1647" w:name="section_3759ca9c7212429dbd9f58df2db63036"/>
      <w:bookmarkStart w:id="1648" w:name="_Toc12260884"/>
      <w:r>
        <w:t>Part 1 Section 18.11.1.19, rm (Revision Cell Move)</w:t>
      </w:r>
      <w:bookmarkEnd w:id="1647"/>
      <w:bookmarkEnd w:id="1648"/>
      <w:r>
        <w:fldChar w:fldCharType="begin"/>
      </w:r>
      <w:r>
        <w:instrText xml:space="preserve"> XE "rm (Revision Cell Move)" </w:instrText>
      </w:r>
      <w:r>
        <w:fldChar w:fldCharType="end"/>
      </w:r>
    </w:p>
    <w:p w:rsidR="00024C0A" w:rsidRDefault="00694C0F">
      <w:pPr>
        <w:pStyle w:val="Definition-Field2"/>
      </w:pPr>
      <w:r>
        <w:rPr>
          <w:i/>
        </w:rPr>
        <w:t>For</w:t>
      </w:r>
      <w:r>
        <w:rPr>
          <w:i/>
        </w:rPr>
        <w:t xml:space="preserve"> additional notes that apply to this portion of the standard, please see the notes for </w:t>
      </w:r>
      <w:hyperlink w:anchor="Section_3c60e3058f99460abca886e39ebb0e49">
        <w:r>
          <w:rPr>
            <w:rStyle w:val="Hyperlink"/>
          </w:rPr>
          <w:t>rdn, §18.11.1.13(j,n)</w:t>
        </w:r>
      </w:hyperlink>
      <w:r>
        <w:rPr>
          <w:i/>
        </w:rPr>
        <w:t>.</w:t>
      </w:r>
    </w:p>
    <w:p w:rsidR="00024C0A" w:rsidRDefault="00694C0F">
      <w:pPr>
        <w:pStyle w:val="Definition-Field"/>
      </w:pPr>
      <w:r>
        <w:lastRenderedPageBreak/>
        <w:t xml:space="preserve">a.   </w:t>
      </w:r>
      <w:r>
        <w:rPr>
          <w:i/>
        </w:rPr>
        <w:t>The standard includes the attribute sheetId defined as an unsignedInt.</w:t>
      </w:r>
    </w:p>
    <w:p w:rsidR="00024C0A" w:rsidRDefault="00694C0F">
      <w:pPr>
        <w:pStyle w:val="Definition-Field2"/>
      </w:pPr>
      <w:r>
        <w:t xml:space="preserve">Office </w:t>
      </w:r>
      <w:r>
        <w:t>specifies that the maximum value of the sheetId attribute is 32767.</w:t>
      </w:r>
    </w:p>
    <w:p w:rsidR="00024C0A" w:rsidRDefault="00694C0F">
      <w:pPr>
        <w:pStyle w:val="Definition-Field"/>
      </w:pPr>
      <w:r>
        <w:t xml:space="preserve">b.   </w:t>
      </w:r>
      <w:r>
        <w:rPr>
          <w:i/>
        </w:rPr>
        <w:t>The standard includes the attribute sourceSheetId defined as an unsignedInt.</w:t>
      </w:r>
    </w:p>
    <w:p w:rsidR="00024C0A" w:rsidRDefault="00694C0F">
      <w:pPr>
        <w:pStyle w:val="Definition-Field2"/>
      </w:pPr>
      <w:r>
        <w:t>Office specifies that the maximum value of the sourceSheetId attribute is 32767.</w:t>
      </w:r>
    </w:p>
    <w:p w:rsidR="00024C0A" w:rsidRDefault="00694C0F">
      <w:pPr>
        <w:pStyle w:val="Definition-Field"/>
      </w:pPr>
      <w:r>
        <w:t xml:space="preserve">c.   </w:t>
      </w:r>
      <w:r>
        <w:rPr>
          <w:i/>
        </w:rPr>
        <w:t>The standard does no</w:t>
      </w:r>
      <w:r>
        <w:rPr>
          <w:i/>
        </w:rPr>
        <w:t>t limit the restrictions between the size of the attributes source and destination.</w:t>
      </w:r>
    </w:p>
    <w:p w:rsidR="00024C0A" w:rsidRDefault="00694C0F">
      <w:pPr>
        <w:pStyle w:val="Definition-Field2"/>
      </w:pPr>
      <w:r>
        <w:t>Office requires that @source and @destination should be equal in width and height.</w:t>
      </w:r>
    </w:p>
    <w:p w:rsidR="00024C0A" w:rsidRDefault="00694C0F">
      <w:pPr>
        <w:pStyle w:val="Heading3"/>
      </w:pPr>
      <w:bookmarkStart w:id="1649" w:name="section_47f7f4b3b75e4e2c8a17a5b2508a76f3"/>
      <w:bookmarkStart w:id="1650" w:name="_Toc12260885"/>
      <w:r>
        <w:t>Part 1 Section 18.11.1.20, rqt (Revision Query Table)</w:t>
      </w:r>
      <w:bookmarkEnd w:id="1649"/>
      <w:bookmarkEnd w:id="1650"/>
      <w:r>
        <w:fldChar w:fldCharType="begin"/>
      </w:r>
      <w:r>
        <w:instrText xml:space="preserve"> XE "rqt (Revision Query Table)" </w:instrText>
      </w:r>
      <w:r>
        <w:fldChar w:fldCharType="end"/>
      </w:r>
    </w:p>
    <w:p w:rsidR="00024C0A" w:rsidRDefault="00694C0F">
      <w:pPr>
        <w:pStyle w:val="Definition-Field"/>
      </w:pPr>
      <w:r>
        <w:t xml:space="preserve">a.   </w:t>
      </w:r>
      <w:r>
        <w:rPr>
          <w:i/>
        </w:rPr>
        <w:t>The standard does not place any restrictions on the value for @sheetId.</w:t>
      </w:r>
    </w:p>
    <w:p w:rsidR="00024C0A" w:rsidRDefault="00694C0F">
      <w:pPr>
        <w:pStyle w:val="Definition-Field2"/>
      </w:pPr>
      <w:r>
        <w:t>Office requires that @version be less than or equal to 32767.</w:t>
      </w:r>
    </w:p>
    <w:p w:rsidR="00024C0A" w:rsidRDefault="00694C0F">
      <w:pPr>
        <w:pStyle w:val="Heading3"/>
      </w:pPr>
      <w:bookmarkStart w:id="1651" w:name="section_8aa1a35f152949af865abb4ba51645b5"/>
      <w:bookmarkStart w:id="1652" w:name="_Toc12260886"/>
      <w:r>
        <w:t>Part 1 Section 18.11.1.21, rrc (Revision Row Column Insert Delete)</w:t>
      </w:r>
      <w:bookmarkEnd w:id="1651"/>
      <w:bookmarkEnd w:id="1652"/>
      <w:r>
        <w:fldChar w:fldCharType="begin"/>
      </w:r>
      <w:r>
        <w:instrText xml:space="preserve"> XE "rrc (Revision Row Column Insert Delete)" </w:instrText>
      </w:r>
      <w:r>
        <w:fldChar w:fldCharType="end"/>
      </w:r>
    </w:p>
    <w:p w:rsidR="00024C0A" w:rsidRDefault="00694C0F">
      <w:pPr>
        <w:pStyle w:val="Definition-Field2"/>
      </w:pPr>
      <w:r>
        <w:rPr>
          <w:i/>
        </w:rPr>
        <w:t>Fo</w:t>
      </w:r>
      <w:r>
        <w:rPr>
          <w:i/>
        </w:rPr>
        <w:t xml:space="preserve">r additional notes that apply to this portion of the standard, please see the notes for </w:t>
      </w:r>
      <w:hyperlink w:anchor="Section_3c60e3058f99460abca886e39ebb0e49">
        <w:r>
          <w:rPr>
            <w:rStyle w:val="Hyperlink"/>
          </w:rPr>
          <w:t>rdn, §18.11.1.13(j,n)</w:t>
        </w:r>
      </w:hyperlink>
      <w:r>
        <w:rPr>
          <w:i/>
        </w:rPr>
        <w:t>.</w:t>
      </w:r>
    </w:p>
    <w:p w:rsidR="00024C0A" w:rsidRDefault="00694C0F">
      <w:pPr>
        <w:pStyle w:val="Definition-Field"/>
      </w:pPr>
      <w:r>
        <w:t xml:space="preserve">a.   </w:t>
      </w:r>
      <w:r>
        <w:rPr>
          <w:i/>
        </w:rPr>
        <w:t>The standard includes the @sId defined as an unsignedInt.</w:t>
      </w:r>
    </w:p>
    <w:p w:rsidR="00024C0A" w:rsidRDefault="00694C0F">
      <w:pPr>
        <w:pStyle w:val="Definition-Field2"/>
      </w:pPr>
      <w:r>
        <w:t>Office specifies th</w:t>
      </w:r>
      <w:r>
        <w:t>at the maximum length of @sId is 32767.</w:t>
      </w:r>
    </w:p>
    <w:p w:rsidR="00024C0A" w:rsidRDefault="00694C0F">
      <w:pPr>
        <w:pStyle w:val="Heading3"/>
      </w:pPr>
      <w:bookmarkStart w:id="1653" w:name="section_ca21574c0dfb4e9ba0e39cf9c855e9bb"/>
      <w:bookmarkStart w:id="1654" w:name="_Toc12260887"/>
      <w:r>
        <w:t>Part 1 Section 18.11.1.22, rsnm (Revision Sheet Name)</w:t>
      </w:r>
      <w:bookmarkEnd w:id="1653"/>
      <w:bookmarkEnd w:id="1654"/>
      <w:r>
        <w:fldChar w:fldCharType="begin"/>
      </w:r>
      <w:r>
        <w:instrText xml:space="preserve"> XE "rsnm (Revision Sheet Name)"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024C0A" w:rsidRDefault="00694C0F">
      <w:pPr>
        <w:pStyle w:val="Definition-Field"/>
      </w:pPr>
      <w:r>
        <w:t xml:space="preserve">a.   </w:t>
      </w:r>
      <w:r>
        <w:rPr>
          <w:i/>
        </w:rPr>
        <w:t>The standard defines the sheetId attribute without restrictions on its maximum value.</w:t>
      </w:r>
    </w:p>
    <w:p w:rsidR="00024C0A" w:rsidRDefault="00694C0F">
      <w:pPr>
        <w:pStyle w:val="Definition-Field2"/>
      </w:pPr>
      <w:r>
        <w:t>Office specifies the maximum length of the sheetId attribute to be 32767.</w:t>
      </w:r>
    </w:p>
    <w:p w:rsidR="00024C0A" w:rsidRDefault="00694C0F">
      <w:pPr>
        <w:pStyle w:val="Definition-Field"/>
      </w:pPr>
      <w:r>
        <w:t xml:space="preserve">b.   </w:t>
      </w:r>
      <w:r>
        <w:rPr>
          <w:i/>
        </w:rPr>
        <w:t>The standard defines @newName without</w:t>
      </w:r>
      <w:r>
        <w:rPr>
          <w:i/>
        </w:rPr>
        <w:t xml:space="preserve"> any restrictions on its the form of the value.</w:t>
      </w:r>
    </w:p>
    <w:p w:rsidR="00024C0A" w:rsidRDefault="00694C0F">
      <w:pPr>
        <w:pStyle w:val="Definition-Field2"/>
      </w:pPr>
      <w:r>
        <w:t>Office requires @newName follows the form [Book]SheetName where SheetName follows valid sheet name syntax.</w:t>
      </w:r>
    </w:p>
    <w:p w:rsidR="00024C0A" w:rsidRDefault="00694C0F">
      <w:pPr>
        <w:pStyle w:val="Definition-Field"/>
      </w:pPr>
      <w:r>
        <w:t xml:space="preserve">c.   </w:t>
      </w:r>
      <w:r>
        <w:rPr>
          <w:i/>
        </w:rPr>
        <w:t>The standard defines @oldname without any limitations on the form of the value.</w:t>
      </w:r>
    </w:p>
    <w:p w:rsidR="00024C0A" w:rsidRDefault="00694C0F">
      <w:pPr>
        <w:pStyle w:val="Definition-Field2"/>
      </w:pPr>
      <w:r>
        <w:t xml:space="preserve">Office requires </w:t>
      </w:r>
      <w:r>
        <w:t>that @oldName follow the form [Book]SheetName, where SheetName follows valid sheet name syntax.</w:t>
      </w:r>
    </w:p>
    <w:p w:rsidR="00024C0A" w:rsidRDefault="00694C0F">
      <w:pPr>
        <w:pStyle w:val="Heading3"/>
      </w:pPr>
      <w:bookmarkStart w:id="1655" w:name="section_98e3f568bac74abfbdc04eed2cd91ae8"/>
      <w:bookmarkStart w:id="1656" w:name="_Toc12260888"/>
      <w:r>
        <w:t>Part 1 Section 18.11.1.23, sheetId (Sheet Id)</w:t>
      </w:r>
      <w:bookmarkEnd w:id="1655"/>
      <w:bookmarkEnd w:id="1656"/>
      <w:r>
        <w:fldChar w:fldCharType="begin"/>
      </w:r>
      <w:r>
        <w:instrText xml:space="preserve"> XE "sheetId (Sheet Id)" </w:instrText>
      </w:r>
      <w:r>
        <w:fldChar w:fldCharType="end"/>
      </w:r>
    </w:p>
    <w:p w:rsidR="00024C0A" w:rsidRDefault="00694C0F">
      <w:pPr>
        <w:pStyle w:val="Definition-Field"/>
      </w:pPr>
      <w:r>
        <w:t xml:space="preserve">a.   </w:t>
      </w:r>
      <w:r>
        <w:rPr>
          <w:i/>
        </w:rPr>
        <w:t>The standard defines @val without restrictions on its maximum value.</w:t>
      </w:r>
    </w:p>
    <w:p w:rsidR="00024C0A" w:rsidRDefault="00694C0F">
      <w:pPr>
        <w:pStyle w:val="Definition-Field2"/>
      </w:pPr>
      <w:r>
        <w:t>Office specif</w:t>
      </w:r>
      <w:r>
        <w:t>ies @val has a maximum value of 65535.</w:t>
      </w:r>
    </w:p>
    <w:p w:rsidR="00024C0A" w:rsidRDefault="00694C0F">
      <w:pPr>
        <w:pStyle w:val="Heading3"/>
      </w:pPr>
      <w:bookmarkStart w:id="1657" w:name="section_b76122d4802144cbadad1bb478e483e2"/>
      <w:bookmarkStart w:id="1658" w:name="_Toc12260889"/>
      <w:r>
        <w:t>Part 1 Section 18.11.1.24, sheetIdMap (Sheet Id Map)</w:t>
      </w:r>
      <w:bookmarkEnd w:id="1657"/>
      <w:bookmarkEnd w:id="1658"/>
      <w:r>
        <w:fldChar w:fldCharType="begin"/>
      </w:r>
      <w:r>
        <w:instrText xml:space="preserve"> XE "sheetIdMap (Sheet Id Map)" </w:instrText>
      </w:r>
      <w:r>
        <w:fldChar w:fldCharType="end"/>
      </w:r>
    </w:p>
    <w:p w:rsidR="00024C0A" w:rsidRDefault="00694C0F">
      <w:pPr>
        <w:pStyle w:val="Definition-Field"/>
      </w:pPr>
      <w:r>
        <w:t xml:space="preserve">a.   </w:t>
      </w:r>
      <w:r>
        <w:rPr>
          <w:i/>
        </w:rPr>
        <w:t>The standard states that the maxOccurs value for the sheetId child element is unbounded.</w:t>
      </w:r>
    </w:p>
    <w:p w:rsidR="00024C0A" w:rsidRDefault="00694C0F">
      <w:pPr>
        <w:pStyle w:val="Definition-Field2"/>
      </w:pPr>
      <w:r>
        <w:t>Excel limits the occurrences of this</w:t>
      </w:r>
      <w:r>
        <w:t xml:space="preserve"> element to 65535.</w:t>
      </w:r>
    </w:p>
    <w:p w:rsidR="00024C0A" w:rsidRDefault="00694C0F">
      <w:pPr>
        <w:pStyle w:val="Heading3"/>
      </w:pPr>
      <w:bookmarkStart w:id="1659" w:name="section_69cadf75de6b4dbfac34b8261e44afc3"/>
      <w:bookmarkStart w:id="1660" w:name="_Toc12260890"/>
      <w:r>
        <w:lastRenderedPageBreak/>
        <w:t>Part 1 Section 18.11.1.25, undo (Undo)</w:t>
      </w:r>
      <w:bookmarkEnd w:id="1659"/>
      <w:bookmarkEnd w:id="1660"/>
      <w:r>
        <w:fldChar w:fldCharType="begin"/>
      </w:r>
      <w:r>
        <w:instrText xml:space="preserve"> XE "undo (Undo)" </w:instrText>
      </w:r>
      <w:r>
        <w:fldChar w:fldCharType="end"/>
      </w:r>
    </w:p>
    <w:p w:rsidR="00024C0A" w:rsidRDefault="00694C0F">
      <w:pPr>
        <w:pStyle w:val="Definition-Field"/>
      </w:pPr>
      <w:r>
        <w:t xml:space="preserve">a.   </w:t>
      </w:r>
      <w:r>
        <w:rPr>
          <w:i/>
        </w:rPr>
        <w:t>The standard does not place any restrictions on the value for the sId attribute.</w:t>
      </w:r>
    </w:p>
    <w:p w:rsidR="00024C0A" w:rsidRDefault="00694C0F">
      <w:pPr>
        <w:pStyle w:val="Definition-Field2"/>
      </w:pPr>
      <w:r>
        <w:t>Office only allows a maximum value of 32767 for the sId attribute.</w:t>
      </w:r>
    </w:p>
    <w:p w:rsidR="00024C0A" w:rsidRDefault="00694C0F">
      <w:pPr>
        <w:pStyle w:val="Definition-Field"/>
      </w:pPr>
      <w:r>
        <w:t xml:space="preserve">b.   </w:t>
      </w:r>
      <w:r>
        <w:rPr>
          <w:i/>
        </w:rPr>
        <w:t>The standard does no</w:t>
      </w:r>
      <w:r>
        <w:rPr>
          <w:i/>
        </w:rPr>
        <w:t>t place any restrictions on the existence of the array and v attributes.</w:t>
      </w:r>
    </w:p>
    <w:p w:rsidR="00024C0A" w:rsidRDefault="00694C0F">
      <w:pPr>
        <w:pStyle w:val="Definition-Field2"/>
      </w:pPr>
      <w:r>
        <w:t>In Office, the array attribute and the v attribute are mutually exclusive. Both cannot be true at the same time.</w:t>
      </w:r>
    </w:p>
    <w:p w:rsidR="00024C0A" w:rsidRDefault="00694C0F">
      <w:pPr>
        <w:pStyle w:val="Definition-Field"/>
      </w:pPr>
      <w:r>
        <w:t xml:space="preserve">c.   </w:t>
      </w:r>
      <w:r>
        <w:rPr>
          <w:i/>
        </w:rPr>
        <w:t>The standard defines @exp without specifying the relationships it</w:t>
      </w:r>
      <w:r>
        <w:rPr>
          <w:i/>
        </w:rPr>
        <w:t xml:space="preserve"> has with other attributes.</w:t>
      </w:r>
    </w:p>
    <w:p w:rsidR="00024C0A" w:rsidRDefault="00694C0F">
      <w:pPr>
        <w:pStyle w:val="Definition-Field2"/>
      </w:pPr>
      <w:r>
        <w:t>Office requires that when @exp equals ref or refError, then @dr should define a single cell reference.</w:t>
      </w:r>
    </w:p>
    <w:p w:rsidR="00024C0A" w:rsidRDefault="00694C0F">
      <w:pPr>
        <w:pStyle w:val="Definition-Field"/>
      </w:pPr>
      <w:r>
        <w:t xml:space="preserve">d.   </w:t>
      </w:r>
      <w:r>
        <w:rPr>
          <w:i/>
        </w:rPr>
        <w:t xml:space="preserve">The standard does not define a relationship between the value of the nf attribute and the value of the ref3D and exp </w:t>
      </w:r>
      <w:r>
        <w:rPr>
          <w:i/>
        </w:rPr>
        <w:t>attributes.</w:t>
      </w:r>
    </w:p>
    <w:p w:rsidR="00024C0A" w:rsidRDefault="00694C0F">
      <w:pPr>
        <w:pStyle w:val="Definition-Field2"/>
      </w:pPr>
      <w:r>
        <w:t>In Office, if the nf attribute is true, then the ref3D attribute should be false and the exp attribute should not be refError or areaError.</w:t>
      </w:r>
    </w:p>
    <w:p w:rsidR="00024C0A" w:rsidRDefault="00694C0F">
      <w:pPr>
        <w:pStyle w:val="Definition-Field"/>
      </w:pPr>
      <w:r>
        <w:t xml:space="preserve">e.   </w:t>
      </w:r>
      <w:r>
        <w:rPr>
          <w:i/>
        </w:rPr>
        <w:t xml:space="preserve">The standard does not define a relationship between the value of the ref3D attribute and the value </w:t>
      </w:r>
      <w:r>
        <w:rPr>
          <w:i/>
        </w:rPr>
        <w:t>of the exp attribute.</w:t>
      </w:r>
    </w:p>
    <w:p w:rsidR="00024C0A" w:rsidRDefault="00694C0F">
      <w:pPr>
        <w:pStyle w:val="Definition-Field2"/>
      </w:pPr>
      <w:r>
        <w:t>In Office, if the ref3D attribute is true, then the exp attribute should not be computedArea.</w:t>
      </w:r>
    </w:p>
    <w:p w:rsidR="00024C0A" w:rsidRDefault="00694C0F">
      <w:pPr>
        <w:pStyle w:val="Definition-Field"/>
      </w:pPr>
      <w:r>
        <w:t xml:space="preserve">f.   </w:t>
      </w:r>
      <w:r>
        <w:rPr>
          <w:i/>
        </w:rPr>
        <w:t>The standard states that this element represents undo information for row and column deletion.</w:t>
      </w:r>
    </w:p>
    <w:p w:rsidR="00024C0A" w:rsidRDefault="00694C0F">
      <w:pPr>
        <w:pStyle w:val="Definition-Field2"/>
      </w:pPr>
      <w:r>
        <w:t>Office uses this element to represent un</w:t>
      </w:r>
      <w:r>
        <w:t>do information for row and column deletion and also move operations of rows and columns.</w:t>
      </w:r>
    </w:p>
    <w:p w:rsidR="00024C0A" w:rsidRDefault="00694C0F">
      <w:pPr>
        <w:pStyle w:val="Definition-Field"/>
      </w:pPr>
      <w:r>
        <w:t xml:space="preserve">g.   </w:t>
      </w:r>
      <w:r>
        <w:rPr>
          <w:i/>
        </w:rPr>
        <w:t>The standard states that the dn attribute is mutually exclusive with the r attribute.</w:t>
      </w:r>
    </w:p>
    <w:p w:rsidR="00024C0A" w:rsidRDefault="00694C0F">
      <w:pPr>
        <w:pStyle w:val="Definition-Field2"/>
      </w:pPr>
      <w:r>
        <w:t xml:space="preserve">In Office, the dn attribute is mutually exclusive with the r and sId </w:t>
      </w:r>
      <w:r>
        <w:t>attributes.</w:t>
      </w:r>
    </w:p>
    <w:p w:rsidR="00024C0A" w:rsidRDefault="00694C0F">
      <w:pPr>
        <w:pStyle w:val="Definition-Field"/>
      </w:pPr>
      <w:r>
        <w:t xml:space="preserve">h.   </w:t>
      </w:r>
      <w:r>
        <w:rPr>
          <w:i/>
        </w:rPr>
        <w:t>The standard places no restrictions on the index attribute.</w:t>
      </w:r>
    </w:p>
    <w:p w:rsidR="00024C0A" w:rsidRDefault="00694C0F">
      <w:pPr>
        <w:pStyle w:val="Definition-Field2"/>
      </w:pPr>
      <w:r>
        <w:t>Office requires that the index attribute be less than the total number of expressions in the formula.</w:t>
      </w:r>
    </w:p>
    <w:p w:rsidR="00024C0A" w:rsidRDefault="00694C0F">
      <w:pPr>
        <w:pStyle w:val="Heading3"/>
      </w:pPr>
      <w:bookmarkStart w:id="1661" w:name="section_98a171fb28a2412fb7e945d21335b00c"/>
      <w:bookmarkStart w:id="1662" w:name="_Toc12260891"/>
      <w:r>
        <w:t>Part 1 Section 18.11.2.2, users (User List)</w:t>
      </w:r>
      <w:bookmarkEnd w:id="1661"/>
      <w:bookmarkEnd w:id="1662"/>
      <w:r>
        <w:fldChar w:fldCharType="begin"/>
      </w:r>
      <w:r>
        <w:instrText xml:space="preserve"> XE "users (User List)" </w:instrText>
      </w:r>
      <w:r>
        <w:fldChar w:fldCharType="end"/>
      </w:r>
    </w:p>
    <w:p w:rsidR="00024C0A" w:rsidRDefault="00694C0F">
      <w:pPr>
        <w:pStyle w:val="Definition-Field"/>
      </w:pPr>
      <w:r>
        <w:t xml:space="preserve">a.   </w:t>
      </w:r>
      <w:r>
        <w:rPr>
          <w:i/>
        </w:rPr>
        <w:t>Th</w:t>
      </w:r>
      <w:r>
        <w:rPr>
          <w:i/>
        </w:rPr>
        <w:t>e standard states that the values of the count attribute are defined by the XML Schema unsignedInt datatype.</w:t>
      </w:r>
    </w:p>
    <w:p w:rsidR="00024C0A" w:rsidRDefault="00694C0F">
      <w:pPr>
        <w:pStyle w:val="Definition-Field2"/>
      </w:pPr>
      <w:r>
        <w:t>Excel restricts the value of this attribute to be at most 256.</w:t>
      </w:r>
    </w:p>
    <w:p w:rsidR="00024C0A" w:rsidRDefault="00694C0F">
      <w:pPr>
        <w:pStyle w:val="Heading3"/>
      </w:pPr>
      <w:bookmarkStart w:id="1663" w:name="section_77da14e2b4ea44a8af58622a93fa3abf"/>
      <w:bookmarkStart w:id="1664" w:name="_Toc12260892"/>
      <w:r>
        <w:t>Part 1 Section 18.12.1, deletedField (Deleted Field)</w:t>
      </w:r>
      <w:bookmarkEnd w:id="1663"/>
      <w:bookmarkEnd w:id="1664"/>
      <w:r>
        <w:fldChar w:fldCharType="begin"/>
      </w:r>
      <w:r>
        <w:instrText xml:space="preserve"> XE "deletedField (Deleted Field</w:instrText>
      </w:r>
      <w:r>
        <w:instrText xml:space="preserve">)" </w:instrText>
      </w:r>
      <w:r>
        <w:fldChar w:fldCharType="end"/>
      </w:r>
    </w:p>
    <w:p w:rsidR="00024C0A" w:rsidRDefault="00694C0F">
      <w:pPr>
        <w:pStyle w:val="Definition-Field"/>
      </w:pPr>
      <w:r>
        <w:t xml:space="preserve">a.   </w:t>
      </w:r>
      <w:r>
        <w:rPr>
          <w:i/>
        </w:rPr>
        <w:t>The standard does not limit the length of the value of the name attribute.</w:t>
      </w:r>
    </w:p>
    <w:p w:rsidR="00024C0A" w:rsidRDefault="00694C0F">
      <w:pPr>
        <w:pStyle w:val="Definition-Field2"/>
      </w:pPr>
      <w:r>
        <w:t>Excel restricts the value of this attribute to be at least 1 and at most 255 characters.</w:t>
      </w:r>
    </w:p>
    <w:p w:rsidR="00024C0A" w:rsidRDefault="00694C0F">
      <w:pPr>
        <w:pStyle w:val="Heading3"/>
      </w:pPr>
      <w:bookmarkStart w:id="1665" w:name="section_ad7e94cbf93d40629e7059f03c10f5cb"/>
      <w:bookmarkStart w:id="1666" w:name="_Toc12260893"/>
      <w:r>
        <w:t>Part 1 Section 18.12.2, queryTable (Query Table)</w:t>
      </w:r>
      <w:bookmarkEnd w:id="1665"/>
      <w:bookmarkEnd w:id="1666"/>
      <w:r>
        <w:fldChar w:fldCharType="begin"/>
      </w:r>
      <w:r>
        <w:instrText xml:space="preserve"> XE "queryTable (Query Table)"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7b6c9fe631584a228a8abbf584ecf45f">
        <w:r>
          <w:rPr>
            <w:rStyle w:val="Hyperlink"/>
          </w:rPr>
          <w:t>pivotTableDefinition, §18.10.1.73(s-y)</w:t>
        </w:r>
      </w:hyperlink>
      <w:r>
        <w:rPr>
          <w:i/>
        </w:rPr>
        <w:t xml:space="preserve">; </w:t>
      </w:r>
      <w:hyperlink w:anchor="Section_c204cff307be4db39524f802d03fa17c">
        <w:r>
          <w:rPr>
            <w:rStyle w:val="Hyperlink"/>
          </w:rPr>
          <w:t>raf, §18.11.1.8(b)</w:t>
        </w:r>
      </w:hyperlink>
      <w:r>
        <w:rPr>
          <w:i/>
        </w:rPr>
        <w:t>.</w:t>
      </w:r>
    </w:p>
    <w:p w:rsidR="00024C0A" w:rsidRDefault="00694C0F">
      <w:pPr>
        <w:pStyle w:val="Definition-Field"/>
      </w:pPr>
      <w:r>
        <w:t xml:space="preserve">a.   </w:t>
      </w:r>
      <w:r>
        <w:rPr>
          <w:i/>
        </w:rPr>
        <w:t>The standard does not state any limitations on the value of @firstBackgroundRefresh.</w:t>
      </w:r>
    </w:p>
    <w:p w:rsidR="00024C0A" w:rsidRDefault="00694C0F">
      <w:pPr>
        <w:pStyle w:val="Definition-Field2"/>
      </w:pPr>
      <w:r>
        <w:lastRenderedPageBreak/>
        <w:t>Office requires that if @firstBackgroundRefresh is true, then @backgroundRefresh shall also be true.</w:t>
      </w:r>
    </w:p>
    <w:p w:rsidR="00024C0A" w:rsidRDefault="00694C0F">
      <w:pPr>
        <w:pStyle w:val="Definition-Field"/>
      </w:pPr>
      <w:r>
        <w:t xml:space="preserve">b.   </w:t>
      </w:r>
      <w:r>
        <w:rPr>
          <w:i/>
        </w:rPr>
        <w:t xml:space="preserve">The standard does not state that @name </w:t>
      </w:r>
      <w:r>
        <w:rPr>
          <w:i/>
        </w:rPr>
        <w:t>must be unique.</w:t>
      </w:r>
    </w:p>
    <w:p w:rsidR="00024C0A" w:rsidRDefault="00694C0F">
      <w:pPr>
        <w:pStyle w:val="Definition-Field2"/>
      </w:pPr>
      <w:r>
        <w:t>Office requires that @name be unique.</w:t>
      </w:r>
    </w:p>
    <w:p w:rsidR="00024C0A" w:rsidRDefault="00694C0F">
      <w:pPr>
        <w:pStyle w:val="Definition-Field"/>
      </w:pPr>
      <w:r>
        <w:t xml:space="preserve">c.   </w:t>
      </w:r>
      <w:r>
        <w:rPr>
          <w:i/>
        </w:rPr>
        <w:t>The standard does not state any limitations for @connectionId.</w:t>
      </w:r>
    </w:p>
    <w:p w:rsidR="00024C0A" w:rsidRDefault="00694C0F">
      <w:pPr>
        <w:pStyle w:val="Definition-Field2"/>
      </w:pPr>
      <w:r>
        <w:t>Office requires @connectionId to be greater than 0 and must refer to a valid external data connection.</w:t>
      </w:r>
    </w:p>
    <w:p w:rsidR="00024C0A" w:rsidRDefault="00694C0F">
      <w:pPr>
        <w:pStyle w:val="Definition-Field"/>
      </w:pPr>
      <w:r>
        <w:t xml:space="preserve">d.   </w:t>
      </w:r>
      <w:r>
        <w:rPr>
          <w:i/>
        </w:rPr>
        <w:t>The standard does not defi</w:t>
      </w:r>
      <w:r>
        <w:rPr>
          <w:i/>
        </w:rPr>
        <w:t>ne any relationship between @name and defined names.</w:t>
      </w:r>
    </w:p>
    <w:p w:rsidR="00024C0A" w:rsidRDefault="00694C0F">
      <w:pPr>
        <w:pStyle w:val="Definition-Field2"/>
      </w:pPr>
      <w:r>
        <w:t>In Office, if there is a definedName that matches this value, with any spaces within this name converted to underscores (“_”) for the purposes of this comparison, then that definedName indicates the rang</w:t>
      </w:r>
      <w:r>
        <w:t>e of this query table.</w:t>
      </w:r>
    </w:p>
    <w:p w:rsidR="00024C0A" w:rsidRDefault="00694C0F">
      <w:pPr>
        <w:pStyle w:val="Definition-Field"/>
      </w:pPr>
      <w:r>
        <w:t xml:space="preserve">e.   </w:t>
      </w:r>
      <w:r>
        <w:rPr>
          <w:i/>
        </w:rPr>
        <w:t>The standard does not state any limitations on the value of @removeDataOnSave.</w:t>
      </w:r>
    </w:p>
    <w:p w:rsidR="00024C0A" w:rsidRDefault="00694C0F">
      <w:pPr>
        <w:pStyle w:val="Definition-Field2"/>
      </w:pPr>
      <w:r>
        <w:t>Office ignores @removeDataOnSave if @refreshOnLoad is false.</w:t>
      </w:r>
    </w:p>
    <w:p w:rsidR="00024C0A" w:rsidRDefault="00694C0F">
      <w:pPr>
        <w:pStyle w:val="Definition-Field"/>
      </w:pPr>
      <w:r>
        <w:t xml:space="preserve">f.   </w:t>
      </w:r>
      <w:r>
        <w:rPr>
          <w:i/>
        </w:rPr>
        <w:t>The standard does not place restrictions on the length of @name.</w:t>
      </w:r>
    </w:p>
    <w:p w:rsidR="00024C0A" w:rsidRDefault="00694C0F">
      <w:pPr>
        <w:pStyle w:val="Definition-Field2"/>
      </w:pPr>
      <w:r>
        <w:t xml:space="preserve">Office requires </w:t>
      </w:r>
      <w:r>
        <w:t>that @name be less than 256 characters in length, and non-empty.</w:t>
      </w:r>
    </w:p>
    <w:p w:rsidR="00024C0A" w:rsidRDefault="00694C0F">
      <w:pPr>
        <w:pStyle w:val="Definition-Field"/>
      </w:pPr>
      <w:r>
        <w:t xml:space="preserve">g.   </w:t>
      </w:r>
      <w:r>
        <w:rPr>
          <w:i/>
        </w:rPr>
        <w:t>The standard does not define any relationship between @name and tables.</w:t>
      </w:r>
    </w:p>
    <w:p w:rsidR="00024C0A" w:rsidRDefault="00694C0F">
      <w:pPr>
        <w:pStyle w:val="Definition-Field2"/>
      </w:pPr>
      <w:r>
        <w:t>In Office, if this query table is related to a Table, then a definedName associated with this @name shall exist an</w:t>
      </w:r>
      <w:r>
        <w:t>d shall refer to the same range the Table refers to.</w:t>
      </w:r>
    </w:p>
    <w:p w:rsidR="00024C0A" w:rsidRDefault="00694C0F">
      <w:pPr>
        <w:pStyle w:val="Heading3"/>
      </w:pPr>
      <w:bookmarkStart w:id="1667" w:name="section_fef88e81fa6046b09fd98578a18088b2"/>
      <w:bookmarkStart w:id="1668" w:name="_Toc12260894"/>
      <w:r>
        <w:t>Part 1 Section 18.12.4, queryTableField (QueryTable Field)</w:t>
      </w:r>
      <w:bookmarkEnd w:id="1667"/>
      <w:bookmarkEnd w:id="1668"/>
      <w:r>
        <w:fldChar w:fldCharType="begin"/>
      </w:r>
      <w:r>
        <w:instrText xml:space="preserve"> XE "queryTableField (QueryTable Field)" </w:instrText>
      </w:r>
      <w:r>
        <w:fldChar w:fldCharType="end"/>
      </w:r>
    </w:p>
    <w:p w:rsidR="00024C0A" w:rsidRDefault="00694C0F">
      <w:pPr>
        <w:pStyle w:val="Definition-Field"/>
      </w:pPr>
      <w:r>
        <w:t xml:space="preserve">a.   </w:t>
      </w:r>
      <w:r>
        <w:rPr>
          <w:i/>
        </w:rPr>
        <w:t>The standard states that the tableColumnId attribute specifies the unique identifier for the tab</w:t>
      </w:r>
      <w:r>
        <w:rPr>
          <w:i/>
        </w:rPr>
        <w:t>le column if the query table is attached to a table object rather than just a range in the sheet.</w:t>
      </w:r>
    </w:p>
    <w:p w:rsidR="00024C0A" w:rsidRDefault="00694C0F">
      <w:pPr>
        <w:pStyle w:val="Definition-Field2"/>
      </w:pPr>
      <w:r>
        <w:t>In Office, the tableColumnId attribute shall be 0 if the query table is attached to a range in the sheet.</w:t>
      </w:r>
    </w:p>
    <w:p w:rsidR="00024C0A" w:rsidRDefault="00694C0F">
      <w:pPr>
        <w:pStyle w:val="Definition-Field"/>
      </w:pPr>
      <w:r>
        <w:t xml:space="preserve">b.   </w:t>
      </w:r>
      <w:r>
        <w:rPr>
          <w:i/>
        </w:rPr>
        <w:t>The standard states the possible values for the</w:t>
      </w:r>
      <w:r>
        <w:rPr>
          <w:i/>
        </w:rPr>
        <w:t xml:space="preserve"> name attribute are defined by ST_Xstring simple type.</w:t>
      </w:r>
    </w:p>
    <w:p w:rsidR="00024C0A" w:rsidRDefault="00694C0F">
      <w:pPr>
        <w:pStyle w:val="Definition-Field2"/>
      </w:pPr>
      <w:r>
        <w:t>Office requires that the name attribute is a string 0-255 characters in length.</w:t>
      </w:r>
    </w:p>
    <w:p w:rsidR="00024C0A" w:rsidRDefault="00694C0F">
      <w:pPr>
        <w:pStyle w:val="Definition-Field"/>
      </w:pPr>
      <w:r>
        <w:t xml:space="preserve">c.   </w:t>
      </w:r>
      <w:r>
        <w:rPr>
          <w:i/>
        </w:rPr>
        <w:t>The standard states no restrictions on value of the clipped attribute are stated.</w:t>
      </w:r>
    </w:p>
    <w:p w:rsidR="00024C0A" w:rsidRDefault="00694C0F">
      <w:pPr>
        <w:pStyle w:val="Definition-Field2"/>
      </w:pPr>
      <w:r>
        <w:t>Office requires that if the clippe</w:t>
      </w:r>
      <w:r>
        <w:t>d attribute is true, the dataBound attribute shall also be true.</w:t>
      </w:r>
    </w:p>
    <w:p w:rsidR="00024C0A" w:rsidRDefault="00694C0F">
      <w:pPr>
        <w:pStyle w:val="Definition-Field"/>
      </w:pPr>
      <w:r>
        <w:t xml:space="preserve">d.   </w:t>
      </w:r>
      <w:r>
        <w:rPr>
          <w:i/>
        </w:rPr>
        <w:t>The standard states no limitations on @fillFormulas.</w:t>
      </w:r>
    </w:p>
    <w:p w:rsidR="00024C0A" w:rsidRDefault="00694C0F">
      <w:pPr>
        <w:pStyle w:val="Definition-Field2"/>
      </w:pPr>
      <w:r>
        <w:t>Office requires that is @fillFormulas is true, @dataBound shall also be false.</w:t>
      </w:r>
    </w:p>
    <w:p w:rsidR="00024C0A" w:rsidRDefault="00694C0F">
      <w:pPr>
        <w:pStyle w:val="Definition-Field"/>
      </w:pPr>
      <w:r>
        <w:t xml:space="preserve">e.   </w:t>
      </w:r>
      <w:r>
        <w:rPr>
          <w:i/>
        </w:rPr>
        <w:t xml:space="preserve">The standard states no limitations on </w:t>
      </w:r>
      <w:r>
        <w:rPr>
          <w:i/>
        </w:rPr>
        <w:t>@rowNumbers.</w:t>
      </w:r>
    </w:p>
    <w:p w:rsidR="00024C0A" w:rsidRDefault="00694C0F">
      <w:pPr>
        <w:pStyle w:val="Definition-Field2"/>
      </w:pPr>
      <w:r>
        <w:t>Office requires that if @rowNumbers is true, @dataBound shall also be true.</w:t>
      </w:r>
    </w:p>
    <w:p w:rsidR="00024C0A" w:rsidRDefault="00694C0F">
      <w:pPr>
        <w:pStyle w:val="Heading3"/>
      </w:pPr>
      <w:bookmarkStart w:id="1669" w:name="section_cd1089f6b04b458f8077489b116b61ba"/>
      <w:bookmarkStart w:id="1670" w:name="_Toc12260895"/>
      <w:r>
        <w:t>Part 1 Section 18.12.6, queryTableRefresh (QueryTable Refresh Information)</w:t>
      </w:r>
      <w:bookmarkEnd w:id="1669"/>
      <w:bookmarkEnd w:id="1670"/>
      <w:r>
        <w:fldChar w:fldCharType="begin"/>
      </w:r>
      <w:r>
        <w:instrText xml:space="preserve"> XE "queryTableRefresh (QueryTable Refresh Information)" </w:instrText>
      </w:r>
      <w:r>
        <w:fldChar w:fldCharType="end"/>
      </w:r>
    </w:p>
    <w:p w:rsidR="00024C0A" w:rsidRDefault="00694C0F">
      <w:pPr>
        <w:pStyle w:val="Definition-Field"/>
      </w:pPr>
      <w:r>
        <w:t xml:space="preserve">a.   </w:t>
      </w:r>
      <w:r>
        <w:rPr>
          <w:i/>
        </w:rPr>
        <w:t>The standard does not restri</w:t>
      </w:r>
      <w:r>
        <w:rPr>
          <w:i/>
        </w:rPr>
        <w:t>ct @unboundColumnsLeft.</w:t>
      </w:r>
    </w:p>
    <w:p w:rsidR="00024C0A" w:rsidRDefault="00694C0F">
      <w:pPr>
        <w:pStyle w:val="Definition-Field2"/>
      </w:pPr>
      <w:r>
        <w:lastRenderedPageBreak/>
        <w:t>Office requires that @unboundColumnsLeft shall be less than 16384.</w:t>
      </w:r>
    </w:p>
    <w:p w:rsidR="00024C0A" w:rsidRDefault="00694C0F">
      <w:pPr>
        <w:pStyle w:val="Definition-Field"/>
      </w:pPr>
      <w:r>
        <w:t xml:space="preserve">b.   </w:t>
      </w:r>
      <w:r>
        <w:rPr>
          <w:i/>
        </w:rPr>
        <w:t>The standard does not restrict @unboundColumnsRight.</w:t>
      </w:r>
    </w:p>
    <w:p w:rsidR="00024C0A" w:rsidRDefault="00694C0F">
      <w:pPr>
        <w:pStyle w:val="Definition-Field2"/>
      </w:pPr>
      <w:r>
        <w:t>Office requires that @unboundColumnsRight shall be less than 16384.</w:t>
      </w:r>
    </w:p>
    <w:p w:rsidR="00024C0A" w:rsidRDefault="00694C0F">
      <w:pPr>
        <w:pStyle w:val="Definition-Field"/>
      </w:pPr>
      <w:r>
        <w:t xml:space="preserve">c.   </w:t>
      </w:r>
      <w:r>
        <w:rPr>
          <w:i/>
        </w:rPr>
        <w:t>The standard states that the possi</w:t>
      </w:r>
      <w:r>
        <w:rPr>
          <w:i/>
        </w:rPr>
        <w:t>ble values for @nextId are defined by the XML Schema unsignedInt datatype.</w:t>
      </w:r>
    </w:p>
    <w:p w:rsidR="00024C0A" w:rsidRDefault="00694C0F">
      <w:pPr>
        <w:pStyle w:val="Definition-Field2"/>
      </w:pPr>
      <w:r>
        <w:t>Office has an additional restriction on @nextId requiring that the maximum value cannot be larger than 65535.</w:t>
      </w:r>
    </w:p>
    <w:p w:rsidR="00024C0A" w:rsidRDefault="00694C0F">
      <w:pPr>
        <w:pStyle w:val="Definition-Field"/>
      </w:pPr>
      <w:r>
        <w:t xml:space="preserve">d.   </w:t>
      </w:r>
      <w:r>
        <w:rPr>
          <w:i/>
        </w:rPr>
        <w:t>The standard states that @fieldWrappedId indicates whether @nextId</w:t>
      </w:r>
      <w:r>
        <w:rPr>
          <w:i/>
        </w:rPr>
        <w:t xml:space="preserve"> wrapped around.</w:t>
      </w:r>
    </w:p>
    <w:p w:rsidR="00024C0A" w:rsidRDefault="00694C0F">
      <w:pPr>
        <w:pStyle w:val="Definition-Field2"/>
      </w:pPr>
      <w:r>
        <w:t>Office requires that if @fieldWrappedId is false, then all id values on the queryTableField elements within the queryTableFields collection will be less than @nextId.</w:t>
      </w:r>
    </w:p>
    <w:p w:rsidR="00024C0A" w:rsidRDefault="00694C0F">
      <w:pPr>
        <w:pStyle w:val="Definition-Field"/>
      </w:pPr>
      <w:r>
        <w:t xml:space="preserve">e.   </w:t>
      </w:r>
      <w:r>
        <w:rPr>
          <w:i/>
        </w:rPr>
        <w:t>The standard does not state any restrictions on the value of @minim</w:t>
      </w:r>
      <w:r>
        <w:rPr>
          <w:i/>
        </w:rPr>
        <w:t>umVersion.</w:t>
      </w:r>
    </w:p>
    <w:p w:rsidR="00024C0A" w:rsidRDefault="00694C0F">
      <w:pPr>
        <w:pStyle w:val="Definition-Field2"/>
      </w:pPr>
      <w:r>
        <w:t>Office requires @minimumVersion be 0-31 inclusive.</w:t>
      </w:r>
    </w:p>
    <w:p w:rsidR="00024C0A" w:rsidRDefault="00694C0F">
      <w:pPr>
        <w:pStyle w:val="Heading3"/>
      </w:pPr>
      <w:bookmarkStart w:id="1671" w:name="section_248127ad505d4b14839ca425b8821352"/>
      <w:bookmarkStart w:id="1672" w:name="_Toc12260896"/>
      <w:r>
        <w:t>Part 1 Section 18.13.1, connection (Connection)</w:t>
      </w:r>
      <w:bookmarkEnd w:id="1671"/>
      <w:bookmarkEnd w:id="1672"/>
      <w:r>
        <w:fldChar w:fldCharType="begin"/>
      </w:r>
      <w:r>
        <w:instrText xml:space="preserve"> XE "connection (Connection)" </w:instrText>
      </w:r>
      <w:r>
        <w:fldChar w:fldCharType="end"/>
      </w:r>
    </w:p>
    <w:p w:rsidR="00024C0A" w:rsidRDefault="00694C0F">
      <w:pPr>
        <w:pStyle w:val="Definition-Field"/>
      </w:pPr>
      <w:r>
        <w:t xml:space="preserve">a.   </w:t>
      </w:r>
      <w:r>
        <w:rPr>
          <w:i/>
        </w:rPr>
        <w:t>The standard states that when @interval is not present, the connection is not automatically refreshed.</w:t>
      </w:r>
    </w:p>
    <w:p w:rsidR="00024C0A" w:rsidRDefault="00694C0F">
      <w:pPr>
        <w:pStyle w:val="Definition-Field2"/>
      </w:pPr>
      <w:r>
        <w:t>In Off</w:t>
      </w:r>
      <w:r>
        <w:t>ice, @interval = 0 also indicates the connection is not automatically refreshed.</w:t>
      </w:r>
    </w:p>
    <w:p w:rsidR="00024C0A" w:rsidRDefault="00694C0F">
      <w:pPr>
        <w:pStyle w:val="Definition-Field"/>
      </w:pPr>
      <w:r>
        <w:t xml:space="preserve">b.   </w:t>
      </w:r>
      <w:r>
        <w:rPr>
          <w:i/>
        </w:rPr>
        <w:t>The standard states that the values of the interval attribute are defined by the XML Schema unsignedInt datatype.</w:t>
      </w:r>
    </w:p>
    <w:p w:rsidR="00024C0A" w:rsidRDefault="00694C0F">
      <w:pPr>
        <w:pStyle w:val="Definition-Field2"/>
      </w:pPr>
      <w:r>
        <w:t xml:space="preserve">Excel restricts the value of this attribute to be at </w:t>
      </w:r>
      <w:r>
        <w:t>most 32767.</w:t>
      </w:r>
    </w:p>
    <w:p w:rsidR="00024C0A" w:rsidRDefault="00694C0F">
      <w:pPr>
        <w:pStyle w:val="Definition-Field"/>
      </w:pPr>
      <w:r>
        <w:t xml:space="preserve">c.   </w:t>
      </w:r>
      <w:r>
        <w:rPr>
          <w:i/>
        </w:rPr>
        <w:t>The standard does not limit the length of the value of the name attribute.</w:t>
      </w:r>
    </w:p>
    <w:p w:rsidR="00024C0A" w:rsidRDefault="00694C0F">
      <w:pPr>
        <w:pStyle w:val="Definition-Field2"/>
      </w:pPr>
      <w:r>
        <w:t>Excel restricts the value of this attribute to be at least 1 and at most 255 characters.</w:t>
      </w:r>
    </w:p>
    <w:p w:rsidR="00024C0A" w:rsidRDefault="00694C0F">
      <w:pPr>
        <w:pStyle w:val="Definition-Field"/>
      </w:pPr>
      <w:r>
        <w:t xml:space="preserve">d.   </w:t>
      </w:r>
      <w:r>
        <w:rPr>
          <w:i/>
        </w:rPr>
        <w:t>The standard states that the name attribute is optional.</w:t>
      </w:r>
    </w:p>
    <w:p w:rsidR="00024C0A" w:rsidRDefault="00694C0F">
      <w:pPr>
        <w:pStyle w:val="Definition-Field2"/>
      </w:pPr>
      <w:r>
        <w:t>Excel require</w:t>
      </w:r>
      <w:r>
        <w:t>s this attribute.</w:t>
      </w:r>
    </w:p>
    <w:p w:rsidR="00024C0A" w:rsidRDefault="00694C0F">
      <w:pPr>
        <w:pStyle w:val="Definition-Field"/>
      </w:pPr>
      <w:r>
        <w:t xml:space="preserve">e.   </w:t>
      </w:r>
      <w:r>
        <w:rPr>
          <w:i/>
        </w:rPr>
        <w:t>The standard defines values for @type through 8, with 8 being DSP.</w:t>
      </w:r>
    </w:p>
    <w:p w:rsidR="00024C0A" w:rsidRDefault="00694C0F">
      <w:pPr>
        <w:pStyle w:val="Definition-Field2"/>
      </w:pPr>
      <w:r>
        <w:t>Office assumes that there are 9 possible values, and that values 8 and 9 are unused/reserved.</w:t>
      </w:r>
    </w:p>
    <w:p w:rsidR="00024C0A" w:rsidRDefault="00694C0F">
      <w:pPr>
        <w:pStyle w:val="Definition-Field"/>
      </w:pPr>
      <w:r>
        <w:t xml:space="preserve">f.   </w:t>
      </w:r>
      <w:r>
        <w:rPr>
          <w:i/>
        </w:rPr>
        <w:t>The standard does not limit the length of the value of the descript</w:t>
      </w:r>
      <w:r>
        <w:rPr>
          <w:i/>
        </w:rPr>
        <w:t>ion attribute.</w:t>
      </w:r>
    </w:p>
    <w:p w:rsidR="00024C0A" w:rsidRDefault="00694C0F">
      <w:pPr>
        <w:pStyle w:val="Definition-Field2"/>
      </w:pPr>
      <w:r>
        <w:t>Excel restricts the value of this attribute to be at most 255 characters.</w:t>
      </w:r>
    </w:p>
    <w:p w:rsidR="00024C0A" w:rsidRDefault="00694C0F">
      <w:pPr>
        <w:pStyle w:val="Definition-Field"/>
      </w:pPr>
      <w:r>
        <w:t xml:space="preserve">g.   </w:t>
      </w:r>
      <w:r>
        <w:rPr>
          <w:i/>
        </w:rPr>
        <w:t>The standard does not limit the length of the value of the singleSignOnId attribute.</w:t>
      </w:r>
    </w:p>
    <w:p w:rsidR="00024C0A" w:rsidRDefault="00694C0F">
      <w:pPr>
        <w:pStyle w:val="Definition-Field2"/>
      </w:pPr>
      <w:r>
        <w:t>Excel restricts the value of this attribute to be at most 255 characters.</w:t>
      </w:r>
    </w:p>
    <w:p w:rsidR="00024C0A" w:rsidRDefault="00694C0F">
      <w:pPr>
        <w:pStyle w:val="Definition-Field"/>
      </w:pPr>
      <w:r>
        <w:t xml:space="preserve">h. </w:t>
      </w:r>
      <w:r>
        <w:t xml:space="preserve">  </w:t>
      </w:r>
      <w:r>
        <w:rPr>
          <w:i/>
        </w:rPr>
        <w:t>The standard does not limit the length of the value of the odcFile attribute.</w:t>
      </w:r>
    </w:p>
    <w:p w:rsidR="00024C0A" w:rsidRDefault="00694C0F">
      <w:pPr>
        <w:pStyle w:val="Definition-Field2"/>
      </w:pPr>
      <w:r>
        <w:t>Excel restricts the value of this attribute to be at most 255 characters.</w:t>
      </w:r>
    </w:p>
    <w:p w:rsidR="00024C0A" w:rsidRDefault="00694C0F">
      <w:pPr>
        <w:pStyle w:val="Definition-Field"/>
      </w:pPr>
      <w:r>
        <w:t xml:space="preserve">i.   </w:t>
      </w:r>
      <w:r>
        <w:rPr>
          <w:i/>
        </w:rPr>
        <w:t>The standard does not limit the length of the value of the sourceFile attribute.</w:t>
      </w:r>
    </w:p>
    <w:p w:rsidR="00024C0A" w:rsidRDefault="00694C0F">
      <w:pPr>
        <w:pStyle w:val="Definition-Field2"/>
      </w:pPr>
      <w:r>
        <w:t xml:space="preserve">Excel restricts </w:t>
      </w:r>
      <w:r>
        <w:t>the value of this attribute to be at most 255 characters.</w:t>
      </w:r>
    </w:p>
    <w:p w:rsidR="00024C0A" w:rsidRDefault="00694C0F">
      <w:pPr>
        <w:pStyle w:val="Definition-Field"/>
      </w:pPr>
      <w:r>
        <w:t xml:space="preserve">j.   </w:t>
      </w:r>
      <w:r>
        <w:rPr>
          <w:i/>
        </w:rPr>
        <w:t>The standard states that the type attribute is optional.</w:t>
      </w:r>
    </w:p>
    <w:p w:rsidR="00024C0A" w:rsidRDefault="00694C0F">
      <w:pPr>
        <w:pStyle w:val="Definition-Field2"/>
      </w:pPr>
      <w:r>
        <w:lastRenderedPageBreak/>
        <w:t>Excel requires this attribute.</w:t>
      </w:r>
    </w:p>
    <w:p w:rsidR="00024C0A" w:rsidRDefault="00694C0F">
      <w:pPr>
        <w:pStyle w:val="Definition-Field"/>
      </w:pPr>
      <w:r>
        <w:t xml:space="preserve">k.   </w:t>
      </w:r>
      <w:r>
        <w:rPr>
          <w:i/>
        </w:rPr>
        <w:t>The standard states that @reconnectionMethod specifies what the spreadsheet application should do wh</w:t>
      </w:r>
      <w:r>
        <w:rPr>
          <w:i/>
        </w:rPr>
        <w:t>en a connection fails.</w:t>
      </w:r>
    </w:p>
    <w:p w:rsidR="00024C0A" w:rsidRDefault="00694C0F">
      <w:pPr>
        <w:pStyle w:val="Definition-Field2"/>
      </w:pPr>
      <w:r>
        <w:t>In Office, @reconnectionMethod is ignored if @onlyUseConnectionFile is set to true.</w:t>
      </w:r>
    </w:p>
    <w:p w:rsidR="00024C0A" w:rsidRDefault="00694C0F">
      <w:pPr>
        <w:pStyle w:val="Definition-Field"/>
      </w:pPr>
      <w:r>
        <w:t xml:space="preserve">l.   </w:t>
      </w:r>
      <w:r>
        <w:rPr>
          <w:i/>
        </w:rPr>
        <w:t>The standard states that @refreshedVersion applies to connections that are used by a query table.</w:t>
      </w:r>
    </w:p>
    <w:p w:rsidR="00024C0A" w:rsidRDefault="00694C0F">
      <w:pPr>
        <w:pStyle w:val="Definition-Field2"/>
      </w:pPr>
      <w:r>
        <w:t>In Office, @refreshedVersion is used by both p</w:t>
      </w:r>
      <w:r>
        <w:t>ivot caches and query tables.</w:t>
      </w:r>
    </w:p>
    <w:p w:rsidR="00024C0A" w:rsidRDefault="00694C0F">
      <w:pPr>
        <w:pStyle w:val="Definition-Field"/>
      </w:pPr>
      <w:r>
        <w:t xml:space="preserve">m.   </w:t>
      </w:r>
      <w:r>
        <w:rPr>
          <w:i/>
        </w:rPr>
        <w:t>The standard states that @minRefreshableVersion applies to connections that are used by a QueryTable.</w:t>
      </w:r>
    </w:p>
    <w:p w:rsidR="00024C0A" w:rsidRDefault="00694C0F">
      <w:pPr>
        <w:pStyle w:val="Definition-Field2"/>
      </w:pPr>
      <w:r>
        <w:t>In Office, @minRefreshableVersion applies to both pivot caches and query tables.</w:t>
      </w:r>
    </w:p>
    <w:p w:rsidR="00024C0A" w:rsidRDefault="00694C0F">
      <w:pPr>
        <w:pStyle w:val="Definition-Field"/>
      </w:pPr>
      <w:r>
        <w:t xml:space="preserve">n.   </w:t>
      </w:r>
      <w:r>
        <w:rPr>
          <w:i/>
        </w:rPr>
        <w:t xml:space="preserve">The standard does not place </w:t>
      </w:r>
      <w:r>
        <w:rPr>
          <w:i/>
        </w:rPr>
        <w:t>restrictions on when the saveData attribute is used.</w:t>
      </w:r>
    </w:p>
    <w:p w:rsidR="00024C0A" w:rsidRDefault="00694C0F">
      <w:pPr>
        <w:pStyle w:val="Definition-Field2"/>
      </w:pPr>
      <w:r>
        <w:t>Office only uses the saveData attribute for query tables. It is ignored for PivotTables. When the saveData attribute is false, the refreshFileOnLoad attribute must be true.</w:t>
      </w:r>
    </w:p>
    <w:p w:rsidR="00024C0A" w:rsidRDefault="00694C0F">
      <w:pPr>
        <w:pStyle w:val="Definition-Field"/>
      </w:pPr>
      <w:r>
        <w:t xml:space="preserve">o.   </w:t>
      </w:r>
      <w:r>
        <w:rPr>
          <w:i/>
        </w:rPr>
        <w:t xml:space="preserve">The standard states that </w:t>
      </w:r>
      <w:r>
        <w:rPr>
          <w:i/>
        </w:rPr>
        <w:t>@type=3 denotes a file based database source.</w:t>
      </w:r>
    </w:p>
    <w:p w:rsidR="00024C0A" w:rsidRDefault="00694C0F">
      <w:pPr>
        <w:pStyle w:val="Definition-Field2"/>
      </w:pPr>
      <w:r>
        <w:t>Office does not use the value 3 for @type.</w:t>
      </w:r>
    </w:p>
    <w:p w:rsidR="00024C0A" w:rsidRDefault="00694C0F">
      <w:pPr>
        <w:pStyle w:val="Heading3"/>
      </w:pPr>
      <w:bookmarkStart w:id="1673" w:name="section_200d01b9e9474e61a6551aae98327daa"/>
      <w:bookmarkStart w:id="1674" w:name="_Toc12260897"/>
      <w:r>
        <w:t>Part 1 Section 18.13.3, dbPr (Database Properties)</w:t>
      </w:r>
      <w:bookmarkEnd w:id="1673"/>
      <w:bookmarkEnd w:id="1674"/>
      <w:r>
        <w:fldChar w:fldCharType="begin"/>
      </w:r>
      <w:r>
        <w:instrText xml:space="preserve"> XE "dbPr (Database Properties)" </w:instrText>
      </w:r>
      <w:r>
        <w:fldChar w:fldCharType="end"/>
      </w:r>
    </w:p>
    <w:p w:rsidR="00024C0A" w:rsidRDefault="00694C0F">
      <w:pPr>
        <w:pStyle w:val="Definition-Field"/>
      </w:pPr>
      <w:r>
        <w:t xml:space="preserve">a.   </w:t>
      </w:r>
      <w:r>
        <w:rPr>
          <w:i/>
        </w:rPr>
        <w:t>The standard does not limit the length of the value of the connection attrib</w:t>
      </w:r>
      <w:r>
        <w:rPr>
          <w:i/>
        </w:rPr>
        <w:t>ute.</w:t>
      </w:r>
    </w:p>
    <w:p w:rsidR="00024C0A" w:rsidRDefault="00694C0F">
      <w:pPr>
        <w:pStyle w:val="Definition-Field2"/>
      </w:pPr>
      <w:r>
        <w:t>Excel restricts the value of this attribute to be at most 65535 characters.</w:t>
      </w:r>
    </w:p>
    <w:p w:rsidR="00024C0A" w:rsidRDefault="00694C0F">
      <w:pPr>
        <w:pStyle w:val="Heading3"/>
      </w:pPr>
      <w:bookmarkStart w:id="1675" w:name="section_8ad37bc593b249a6bfdc6dd280f6ace9"/>
      <w:bookmarkStart w:id="1676" w:name="_Toc12260898"/>
      <w:r>
        <w:t>Part 1 Section 18.13.5, olapPr (OLAP Properties)</w:t>
      </w:r>
      <w:bookmarkEnd w:id="1675"/>
      <w:bookmarkEnd w:id="1676"/>
      <w:r>
        <w:fldChar w:fldCharType="begin"/>
      </w:r>
      <w:r>
        <w:instrText xml:space="preserve"> XE "olapPr (OLAP Properties)" </w:instrText>
      </w:r>
      <w:r>
        <w:fldChar w:fldCharType="end"/>
      </w:r>
    </w:p>
    <w:p w:rsidR="00024C0A" w:rsidRDefault="00694C0F">
      <w:pPr>
        <w:pStyle w:val="Definition-Field"/>
      </w:pPr>
      <w:r>
        <w:t xml:space="preserve">a.   </w:t>
      </w:r>
      <w:r>
        <w:rPr>
          <w:i/>
        </w:rPr>
        <w:t xml:space="preserve">The standard states that the localConnection attribute is used when the local attribute </w:t>
      </w:r>
      <w:r>
        <w:rPr>
          <w:i/>
        </w:rPr>
        <w:t>is set to true.</w:t>
      </w:r>
    </w:p>
    <w:p w:rsidR="00024C0A" w:rsidRDefault="00694C0F">
      <w:pPr>
        <w:pStyle w:val="Definition-Field2"/>
      </w:pPr>
      <w:r>
        <w:t>Office requires the localConnection attribute if the local attribute equals true.</w:t>
      </w:r>
    </w:p>
    <w:p w:rsidR="00024C0A" w:rsidRDefault="00694C0F">
      <w:pPr>
        <w:pStyle w:val="Definition-Field"/>
      </w:pPr>
      <w:r>
        <w:t xml:space="preserve">b.   </w:t>
      </w:r>
      <w:r>
        <w:rPr>
          <w:i/>
        </w:rPr>
        <w:t>The standard does not place restrictions on the value of @rowDrillCount.</w:t>
      </w:r>
    </w:p>
    <w:p w:rsidR="00024C0A" w:rsidRDefault="00694C0F">
      <w:pPr>
        <w:pStyle w:val="Definition-Field2"/>
      </w:pPr>
      <w:r>
        <w:t>Office limits the value of @rowDrillCount to 1 through 1048576 inclusive.</w:t>
      </w:r>
    </w:p>
    <w:p w:rsidR="00024C0A" w:rsidRDefault="00694C0F">
      <w:pPr>
        <w:pStyle w:val="Heading3"/>
      </w:pPr>
      <w:bookmarkStart w:id="1677" w:name="section_26f1dd202d7b429fa0694235248a851a"/>
      <w:bookmarkStart w:id="1678" w:name="_Toc12260899"/>
      <w:r>
        <w:t>Part 1</w:t>
      </w:r>
      <w:r>
        <w:t xml:space="preserve"> Section 18.13.6, parameter (Parameter Properties)</w:t>
      </w:r>
      <w:bookmarkEnd w:id="1677"/>
      <w:bookmarkEnd w:id="1678"/>
      <w:r>
        <w:fldChar w:fldCharType="begin"/>
      </w:r>
      <w:r>
        <w:instrText xml:space="preserve"> XE "parameter (Parameter Properties)" </w:instrText>
      </w:r>
      <w:r>
        <w:fldChar w:fldCharType="end"/>
      </w:r>
    </w:p>
    <w:p w:rsidR="00024C0A" w:rsidRDefault="00694C0F">
      <w:pPr>
        <w:pStyle w:val="Definition-Field"/>
      </w:pPr>
      <w:r>
        <w:t xml:space="preserve">a.   </w:t>
      </w:r>
      <w:r>
        <w:rPr>
          <w:i/>
        </w:rPr>
        <w:t>The standard states that @cell is restricted to be of type ST_Xstring.</w:t>
      </w:r>
    </w:p>
    <w:p w:rsidR="00024C0A" w:rsidRDefault="00694C0F">
      <w:pPr>
        <w:pStyle w:val="Definition-Field2"/>
      </w:pPr>
      <w:r>
        <w:t>Office requires that @cell be restricted to be of type ST_Formula and not be empty.</w:t>
      </w:r>
    </w:p>
    <w:p w:rsidR="00024C0A" w:rsidRDefault="00694C0F">
      <w:pPr>
        <w:pStyle w:val="Definition-Field"/>
      </w:pPr>
      <w:r>
        <w:t xml:space="preserve">b.  </w:t>
      </w:r>
      <w:r>
        <w:t xml:space="preserve"> </w:t>
      </w:r>
      <w:r>
        <w:rPr>
          <w:i/>
        </w:rPr>
        <w:t>The standard does not place any restrictions on the length of the value for @name.</w:t>
      </w:r>
    </w:p>
    <w:p w:rsidR="00024C0A" w:rsidRDefault="00694C0F">
      <w:pPr>
        <w:pStyle w:val="Definition-Field2"/>
      </w:pPr>
      <w:r>
        <w:t>Office requires that @name be less or equal to 255 characters in length.</w:t>
      </w:r>
    </w:p>
    <w:p w:rsidR="00024C0A" w:rsidRDefault="00694C0F">
      <w:pPr>
        <w:pStyle w:val="Definition-Field"/>
      </w:pPr>
      <w:r>
        <w:t xml:space="preserve">c.   </w:t>
      </w:r>
      <w:r>
        <w:rPr>
          <w:i/>
        </w:rPr>
        <w:t>The standard does not place any length restrictions on @string.</w:t>
      </w:r>
    </w:p>
    <w:p w:rsidR="00024C0A" w:rsidRDefault="00694C0F">
      <w:pPr>
        <w:pStyle w:val="Definition-Field2"/>
      </w:pPr>
      <w:r>
        <w:t>Office limits @string length t</w:t>
      </w:r>
      <w:r>
        <w:t>o 255 characters.</w:t>
      </w:r>
    </w:p>
    <w:p w:rsidR="00024C0A" w:rsidRDefault="00694C0F">
      <w:pPr>
        <w:pStyle w:val="Definition-Field"/>
      </w:pPr>
      <w:r>
        <w:t xml:space="preserve">d.   </w:t>
      </w:r>
      <w:r>
        <w:rPr>
          <w:i/>
        </w:rPr>
        <w:t>In the standard, there is no relation between the cell attribute and the parameterType attribute .</w:t>
      </w:r>
    </w:p>
    <w:p w:rsidR="00024C0A" w:rsidRDefault="00694C0F">
      <w:pPr>
        <w:pStyle w:val="Definition-Field2"/>
      </w:pPr>
      <w:r>
        <w:t>Office requires that the cell attribute be specified when the parameterType attribute equals cell.</w:t>
      </w:r>
    </w:p>
    <w:p w:rsidR="00024C0A" w:rsidRDefault="00694C0F">
      <w:pPr>
        <w:pStyle w:val="Definition-Field"/>
      </w:pPr>
      <w:r>
        <w:lastRenderedPageBreak/>
        <w:t xml:space="preserve">e.   </w:t>
      </w:r>
      <w:r>
        <w:rPr>
          <w:i/>
        </w:rPr>
        <w:t>The standard does not place an</w:t>
      </w:r>
      <w:r>
        <w:rPr>
          <w:i/>
        </w:rPr>
        <w:t>y restrictions on the length of the value for @prompt.</w:t>
      </w:r>
    </w:p>
    <w:p w:rsidR="00024C0A" w:rsidRDefault="00694C0F">
      <w:pPr>
        <w:pStyle w:val="Definition-Field2"/>
      </w:pPr>
      <w:r>
        <w:t>Office specifies @prompt length limit to be 65535.</w:t>
      </w:r>
    </w:p>
    <w:p w:rsidR="00024C0A" w:rsidRDefault="00694C0F">
      <w:pPr>
        <w:pStyle w:val="Heading3"/>
      </w:pPr>
      <w:bookmarkStart w:id="1679" w:name="section_a88f22503afe4d50bec546158f10b928"/>
      <w:bookmarkStart w:id="1680" w:name="_Toc12260900"/>
      <w:r>
        <w:t>Part 1 Section 18.13.8, s (Character Value)</w:t>
      </w:r>
      <w:bookmarkEnd w:id="1679"/>
      <w:bookmarkEnd w:id="1680"/>
      <w:r>
        <w:fldChar w:fldCharType="begin"/>
      </w:r>
      <w:r>
        <w:instrText xml:space="preserve"> XE "s (Character Value)" </w:instrText>
      </w:r>
      <w:r>
        <w:fldChar w:fldCharType="end"/>
      </w:r>
    </w:p>
    <w:p w:rsidR="00024C0A" w:rsidRDefault="00694C0F">
      <w:pPr>
        <w:pStyle w:val="Definition-Field"/>
      </w:pPr>
      <w:r>
        <w:t xml:space="preserve">a.   </w:t>
      </w:r>
      <w:r>
        <w:rPr>
          <w:i/>
        </w:rPr>
        <w:t>The standard says this element is used to specify an HTML table to import</w:t>
      </w:r>
      <w:r>
        <w:rPr>
          <w:i/>
        </w:rPr>
        <w:t xml:space="preserve"> by name.</w:t>
      </w:r>
    </w:p>
    <w:p w:rsidR="00024C0A" w:rsidRDefault="00694C0F">
      <w:pPr>
        <w:pStyle w:val="Definition-Field2"/>
      </w:pPr>
      <w:r>
        <w:t>In Office, the element is used to specify an HTML table to import when it is a child of tables.</w:t>
      </w:r>
    </w:p>
    <w:p w:rsidR="00024C0A" w:rsidRDefault="00694C0F">
      <w:pPr>
        <w:pStyle w:val="Definition-Field"/>
      </w:pPr>
      <w:r>
        <w:t xml:space="preserve">b.   </w:t>
      </w:r>
      <w:r>
        <w:rPr>
          <w:i/>
        </w:rPr>
        <w:t>The standard says @v is used as the name of the HTML table.</w:t>
      </w:r>
    </w:p>
    <w:p w:rsidR="00024C0A" w:rsidRDefault="00694C0F">
      <w:pPr>
        <w:pStyle w:val="Definition-Field2"/>
      </w:pPr>
      <w:r>
        <w:t xml:space="preserve">In Office, when the element is a child of tables, @v is used as the name of the HTML </w:t>
      </w:r>
      <w:r>
        <w:t>table. When the element is a child of metadataStrings, @v is used to hold an element in the metadata string store.</w:t>
      </w:r>
    </w:p>
    <w:p w:rsidR="00024C0A" w:rsidRDefault="00694C0F">
      <w:pPr>
        <w:pStyle w:val="Definition-Field"/>
      </w:pPr>
      <w:r>
        <w:t xml:space="preserve">c.   </w:t>
      </w:r>
      <w:r>
        <w:rPr>
          <w:i/>
        </w:rPr>
        <w:t>In the standard, @v does not have a size restriction.</w:t>
      </w:r>
    </w:p>
    <w:p w:rsidR="00024C0A" w:rsidRDefault="00694C0F">
      <w:pPr>
        <w:pStyle w:val="Definition-Field2"/>
      </w:pPr>
      <w:r>
        <w:t>In Office, when the element is a child of tables, @v has a maximum length of 255 c</w:t>
      </w:r>
      <w:r>
        <w:t>haracters. When the element is a child of metadataStrings, @v has a maximum length of 65535 characters.</w:t>
      </w:r>
    </w:p>
    <w:p w:rsidR="00024C0A" w:rsidRDefault="00694C0F">
      <w:pPr>
        <w:pStyle w:val="Heading3"/>
      </w:pPr>
      <w:bookmarkStart w:id="1681" w:name="section_6c31d0d2456342268409009fc4f47a84"/>
      <w:bookmarkStart w:id="1682" w:name="_Toc12260901"/>
      <w:r>
        <w:t>Part 1 Section 18.13.10, textField (Text Import Field Settings)</w:t>
      </w:r>
      <w:bookmarkEnd w:id="1681"/>
      <w:bookmarkEnd w:id="1682"/>
      <w:r>
        <w:fldChar w:fldCharType="begin"/>
      </w:r>
      <w:r>
        <w:instrText xml:space="preserve"> XE "textField (Text Import Field Settings)" </w:instrText>
      </w:r>
      <w:r>
        <w:fldChar w:fldCharType="end"/>
      </w:r>
    </w:p>
    <w:p w:rsidR="00024C0A" w:rsidRDefault="00694C0F">
      <w:pPr>
        <w:pStyle w:val="Definition-Field"/>
      </w:pPr>
      <w:r>
        <w:t xml:space="preserve">a.   </w:t>
      </w:r>
      <w:r>
        <w:rPr>
          <w:i/>
        </w:rPr>
        <w:t>The standard does not indicate relat</w:t>
      </w:r>
      <w:r>
        <w:rPr>
          <w:i/>
        </w:rPr>
        <w:t>ionships between the position attributes of textField elements of the collection.</w:t>
      </w:r>
    </w:p>
    <w:p w:rsidR="00024C0A" w:rsidRDefault="00694C0F">
      <w:pPr>
        <w:pStyle w:val="Definition-Field2"/>
      </w:pPr>
      <w:r>
        <w:t>In Office, subsequent textField elements shall have position values greater than or equal to the preceding elements.</w:t>
      </w:r>
    </w:p>
    <w:p w:rsidR="00024C0A" w:rsidRDefault="00694C0F">
      <w:pPr>
        <w:pStyle w:val="Definition-Field"/>
      </w:pPr>
      <w:r>
        <w:t xml:space="preserve">b.   </w:t>
      </w:r>
      <w:r>
        <w:rPr>
          <w:i/>
        </w:rPr>
        <w:t xml:space="preserve">The standard states that the values of the position </w:t>
      </w:r>
      <w:r>
        <w:rPr>
          <w:i/>
        </w:rPr>
        <w:t>attribute are defined by the XML Schema unsignedInt datatype.</w:t>
      </w:r>
    </w:p>
    <w:p w:rsidR="00024C0A" w:rsidRDefault="00694C0F">
      <w:pPr>
        <w:pStyle w:val="Definition-Field2"/>
      </w:pPr>
      <w:r>
        <w:t>In Office, the range for the position attribute is between 0 and 2147483647 inclusive.</w:t>
      </w:r>
    </w:p>
    <w:p w:rsidR="00024C0A" w:rsidRDefault="00694C0F">
      <w:pPr>
        <w:pStyle w:val="Heading3"/>
      </w:pPr>
      <w:bookmarkStart w:id="1683" w:name="section_0606ff4c53254d04ab6f44bad775a1b7"/>
      <w:bookmarkStart w:id="1684" w:name="_Toc12260902"/>
      <w:r>
        <w:t>Part 1 Section 18.13.11, textFields (Fields)</w:t>
      </w:r>
      <w:bookmarkEnd w:id="1683"/>
      <w:bookmarkEnd w:id="1684"/>
      <w:r>
        <w:fldChar w:fldCharType="begin"/>
      </w:r>
      <w:r>
        <w:instrText xml:space="preserve"> XE "textFields (Fields)" </w:instrText>
      </w:r>
      <w:r>
        <w:fldChar w:fldCharType="end"/>
      </w:r>
    </w:p>
    <w:p w:rsidR="00024C0A" w:rsidRDefault="00694C0F">
      <w:pPr>
        <w:pStyle w:val="Definition-Field"/>
      </w:pPr>
      <w:r>
        <w:t xml:space="preserve">a.   </w:t>
      </w:r>
      <w:r>
        <w:rPr>
          <w:i/>
        </w:rPr>
        <w:t xml:space="preserve">The standard states that the </w:t>
      </w:r>
      <w:r>
        <w:rPr>
          <w:i/>
        </w:rPr>
        <w:t>maxOccurs value for the textField child element is unbounded.</w:t>
      </w:r>
    </w:p>
    <w:p w:rsidR="00024C0A" w:rsidRDefault="00694C0F">
      <w:pPr>
        <w:pStyle w:val="Definition-Field2"/>
      </w:pPr>
      <w:r>
        <w:t>Office limits the occurrences of this element to 2001.</w:t>
      </w:r>
    </w:p>
    <w:p w:rsidR="00024C0A" w:rsidRDefault="00694C0F">
      <w:pPr>
        <w:pStyle w:val="Heading3"/>
      </w:pPr>
      <w:bookmarkStart w:id="1685" w:name="section_338ef3303d804c38888dbd770a0659f6"/>
      <w:bookmarkStart w:id="1686" w:name="_Toc12260903"/>
      <w:r>
        <w:t>Part 1 Section 18.13.12, textPr (Text Import Settings)</w:t>
      </w:r>
      <w:bookmarkEnd w:id="1685"/>
      <w:bookmarkEnd w:id="1686"/>
      <w:r>
        <w:fldChar w:fldCharType="begin"/>
      </w:r>
      <w:r>
        <w:instrText xml:space="preserve"> XE "textPr (Text Import Settings)" </w:instrText>
      </w:r>
      <w:r>
        <w:fldChar w:fldCharType="end"/>
      </w:r>
    </w:p>
    <w:p w:rsidR="00024C0A" w:rsidRDefault="00694C0F">
      <w:pPr>
        <w:pStyle w:val="Definition-Field"/>
      </w:pPr>
      <w:r>
        <w:t xml:space="preserve">a.   </w:t>
      </w:r>
      <w:r>
        <w:rPr>
          <w:i/>
        </w:rPr>
        <w:t>The standard places no restrictions on th</w:t>
      </w:r>
      <w:r>
        <w:rPr>
          <w:i/>
        </w:rPr>
        <w:t>e relationship between the delimited attribute and the comma, delimiter, semicolon, space, and tab attributes.</w:t>
      </w:r>
    </w:p>
    <w:p w:rsidR="00024C0A" w:rsidRDefault="00694C0F">
      <w:pPr>
        <w:pStyle w:val="Definition-Field2"/>
      </w:pPr>
      <w:r>
        <w:t>Excel will ignore the comma, delimiter, semicolon, space, and tab attributes when the value of the delimited attribute is false.</w:t>
      </w:r>
    </w:p>
    <w:p w:rsidR="00024C0A" w:rsidRDefault="00694C0F">
      <w:pPr>
        <w:pStyle w:val="Definition-Field"/>
      </w:pPr>
      <w:r>
        <w:t xml:space="preserve">b.   </w:t>
      </w:r>
      <w:r>
        <w:rPr>
          <w:i/>
        </w:rPr>
        <w:t>The standar</w:t>
      </w:r>
      <w:r>
        <w:rPr>
          <w:i/>
        </w:rPr>
        <w:t>d states that the values of the firstRow attribute are defined by the XML Schema unsignedInt datatype.</w:t>
      </w:r>
    </w:p>
    <w:p w:rsidR="00024C0A" w:rsidRDefault="00694C0F">
      <w:pPr>
        <w:pStyle w:val="Definition-Field2"/>
      </w:pPr>
      <w:r>
        <w:t>Excel restricts the value of this attribute to be at most 2147483647.</w:t>
      </w:r>
    </w:p>
    <w:p w:rsidR="00024C0A" w:rsidRDefault="00694C0F">
      <w:pPr>
        <w:pStyle w:val="Definition-Field"/>
      </w:pPr>
      <w:r>
        <w:t xml:space="preserve">c.   </w:t>
      </w:r>
      <w:r>
        <w:rPr>
          <w:i/>
        </w:rPr>
        <w:t>The standard states that string values of the decimal attribute are expected t</w:t>
      </w:r>
      <w:r>
        <w:rPr>
          <w:i/>
        </w:rPr>
        <w:t>o be one character in length.</w:t>
      </w:r>
    </w:p>
    <w:p w:rsidR="00024C0A" w:rsidRDefault="00694C0F">
      <w:pPr>
        <w:pStyle w:val="Definition-Field2"/>
      </w:pPr>
      <w:r>
        <w:t>Office expects string values of the decimal attribute to be one character with an ANSI value up to 255.</w:t>
      </w:r>
    </w:p>
    <w:p w:rsidR="00024C0A" w:rsidRDefault="00694C0F">
      <w:pPr>
        <w:pStyle w:val="Definition-Field"/>
      </w:pPr>
      <w:r>
        <w:lastRenderedPageBreak/>
        <w:t xml:space="preserve">d.   </w:t>
      </w:r>
      <w:r>
        <w:rPr>
          <w:i/>
        </w:rPr>
        <w:t>The standard states that strings values of the thousands attribute are expected to be one character in length.</w:t>
      </w:r>
    </w:p>
    <w:p w:rsidR="00024C0A" w:rsidRDefault="00694C0F">
      <w:pPr>
        <w:pStyle w:val="Definition-Field2"/>
      </w:pPr>
      <w:r>
        <w:t>Office</w:t>
      </w:r>
      <w:r>
        <w:t xml:space="preserve"> expects string values of the thousands attribute to be one character with an ANSI value up to 255.</w:t>
      </w:r>
    </w:p>
    <w:p w:rsidR="00024C0A" w:rsidRDefault="00694C0F">
      <w:pPr>
        <w:pStyle w:val="Definition-Field"/>
      </w:pPr>
      <w:r>
        <w:t xml:space="preserve">e.   </w:t>
      </w:r>
      <w:r>
        <w:rPr>
          <w:i/>
        </w:rPr>
        <w:t>The standard states that the minOccurs value for the textFields child element is 0.</w:t>
      </w:r>
    </w:p>
    <w:p w:rsidR="00024C0A" w:rsidRDefault="00694C0F">
      <w:pPr>
        <w:pStyle w:val="Definition-Field2"/>
      </w:pPr>
      <w:r>
        <w:t>Excel requires an occurrence of this element.</w:t>
      </w:r>
    </w:p>
    <w:p w:rsidR="00024C0A" w:rsidRDefault="00694C0F">
      <w:pPr>
        <w:pStyle w:val="Definition-Field"/>
      </w:pPr>
      <w:r>
        <w:t xml:space="preserve">f.   </w:t>
      </w:r>
      <w:r>
        <w:rPr>
          <w:i/>
        </w:rPr>
        <w:t>The standard doe</w:t>
      </w:r>
      <w:r>
        <w:rPr>
          <w:i/>
        </w:rPr>
        <w:t>s not limit the length of the value of the sourceFile attribute.</w:t>
      </w:r>
    </w:p>
    <w:p w:rsidR="00024C0A" w:rsidRDefault="00694C0F">
      <w:pPr>
        <w:pStyle w:val="Definition-Field2"/>
      </w:pPr>
      <w:r>
        <w:t>Excel restricts the value of this attribute to be at least 1 and at most 218 characters.</w:t>
      </w:r>
    </w:p>
    <w:p w:rsidR="00024C0A" w:rsidRDefault="00694C0F">
      <w:pPr>
        <w:pStyle w:val="Definition-Field"/>
      </w:pPr>
      <w:r>
        <w:t xml:space="preserve">g.   </w:t>
      </w:r>
      <w:r>
        <w:rPr>
          <w:i/>
        </w:rPr>
        <w:t>The standard places no restrictions on the relationship between the prompt attribute and the sour</w:t>
      </w:r>
      <w:r>
        <w:rPr>
          <w:i/>
        </w:rPr>
        <w:t>ceFile attribute.</w:t>
      </w:r>
    </w:p>
    <w:p w:rsidR="00024C0A" w:rsidRDefault="00694C0F">
      <w:pPr>
        <w:pStyle w:val="Definition-Field2"/>
      </w:pPr>
      <w:r>
        <w:t>Excel requires the sourceFile attribute when the value of the prompt attribute is false.</w:t>
      </w:r>
    </w:p>
    <w:p w:rsidR="00024C0A" w:rsidRDefault="00694C0F">
      <w:pPr>
        <w:pStyle w:val="Definition-Field"/>
      </w:pPr>
      <w:r>
        <w:t xml:space="preserve">h.   </w:t>
      </w:r>
      <w:r>
        <w:rPr>
          <w:i/>
        </w:rPr>
        <w:t>The standard states that when both system and text file decimal separator is set to "," and thousands separator to period, 123,123.45 is importe</w:t>
      </w:r>
      <w:r>
        <w:rPr>
          <w:i/>
        </w:rPr>
        <w:t>d as 123,123.45 (numeric).</w:t>
      </w:r>
    </w:p>
    <w:p w:rsidR="00024C0A" w:rsidRDefault="00694C0F">
      <w:pPr>
        <w:pStyle w:val="Definition-Field2"/>
      </w:pPr>
      <w:r>
        <w:t>Office imports the value as text in this case.</w:t>
      </w:r>
    </w:p>
    <w:p w:rsidR="00024C0A" w:rsidRDefault="00694C0F">
      <w:pPr>
        <w:pStyle w:val="Definition-Field"/>
      </w:pPr>
      <w:r>
        <w:t xml:space="preserve">i.   </w:t>
      </w:r>
      <w:r>
        <w:rPr>
          <w:i/>
        </w:rPr>
        <w:t>The standard states that the default value of the sourceFile attribute is the empty string.</w:t>
      </w:r>
    </w:p>
    <w:p w:rsidR="00024C0A" w:rsidRDefault="00694C0F">
      <w:pPr>
        <w:pStyle w:val="Definition-Field2"/>
      </w:pPr>
      <w:r>
        <w:t>Excel does not use a default value for this attribute.</w:t>
      </w:r>
    </w:p>
    <w:p w:rsidR="00024C0A" w:rsidRDefault="00694C0F">
      <w:pPr>
        <w:pStyle w:val="Definition-Field"/>
      </w:pPr>
      <w:r>
        <w:t xml:space="preserve">j.   </w:t>
      </w:r>
      <w:r>
        <w:rPr>
          <w:i/>
        </w:rPr>
        <w:t xml:space="preserve">The standard states that </w:t>
      </w:r>
      <w:r>
        <w:rPr>
          <w:i/>
        </w:rPr>
        <w:t>characterSet is a valid attribute, and that when it is present, codePage should be ignored.</w:t>
      </w:r>
    </w:p>
    <w:p w:rsidR="00024C0A" w:rsidRDefault="00694C0F">
      <w:pPr>
        <w:pStyle w:val="Definition-Field2"/>
      </w:pPr>
      <w:r>
        <w:t>Office ignores the characterSet attribute if it is present, and does not ignore the codePage attribute if characterSet is present.</w:t>
      </w:r>
    </w:p>
    <w:p w:rsidR="00024C0A" w:rsidRDefault="00694C0F">
      <w:pPr>
        <w:pStyle w:val="Definition-Field2"/>
      </w:pPr>
      <w:r>
        <w:t>This note applies to the followin</w:t>
      </w:r>
      <w:r>
        <w:t>g products: Office 2010, Office 2010 Server, Office 2010 SP1.</w:t>
      </w:r>
    </w:p>
    <w:p w:rsidR="00024C0A" w:rsidRDefault="00694C0F">
      <w:pPr>
        <w:pStyle w:val="Heading3"/>
      </w:pPr>
      <w:bookmarkStart w:id="1687" w:name="section_80e7f5389522414bbb21b06f6fa50e8c"/>
      <w:bookmarkStart w:id="1688" w:name="_Toc12260904"/>
      <w:r>
        <w:t>Part 1 Section 18.13.13, webPr (Web Query Properties)</w:t>
      </w:r>
      <w:bookmarkEnd w:id="1687"/>
      <w:bookmarkEnd w:id="1688"/>
      <w:r>
        <w:fldChar w:fldCharType="begin"/>
      </w:r>
      <w:r>
        <w:instrText xml:space="preserve"> XE "webPr (Web Query Properties)" </w:instrText>
      </w:r>
      <w:r>
        <w:fldChar w:fldCharType="end"/>
      </w:r>
    </w:p>
    <w:p w:rsidR="00024C0A" w:rsidRDefault="00694C0F">
      <w:pPr>
        <w:pStyle w:val="Definition-Field"/>
      </w:pPr>
      <w:r>
        <w:t xml:space="preserve">a.   </w:t>
      </w:r>
      <w:r>
        <w:rPr>
          <w:i/>
        </w:rPr>
        <w:t>The standard describes @sourceData as a flag indicating if XML source data should be imported inst</w:t>
      </w:r>
      <w:r>
        <w:rPr>
          <w:i/>
        </w:rPr>
        <w:t>ead of HTML.</w:t>
      </w:r>
    </w:p>
    <w:p w:rsidR="00024C0A" w:rsidRDefault="00694C0F">
      <w:pPr>
        <w:pStyle w:val="Definition-Field2"/>
      </w:pPr>
      <w:r>
        <w:t>Office specifies that the XML source shall be from the URL specified by WebQuerySourceHRef in the HTML.</w:t>
      </w:r>
    </w:p>
    <w:p w:rsidR="00024C0A" w:rsidRDefault="00694C0F">
      <w:pPr>
        <w:pStyle w:val="Definition-Field"/>
      </w:pPr>
      <w:r>
        <w:t xml:space="preserve">b.   </w:t>
      </w:r>
      <w:r>
        <w:rPr>
          <w:i/>
        </w:rPr>
        <w:t>The standard states that @url may be an empty string.</w:t>
      </w:r>
    </w:p>
    <w:p w:rsidR="00024C0A" w:rsidRDefault="00694C0F">
      <w:pPr>
        <w:pStyle w:val="Definition-Field2"/>
      </w:pPr>
      <w:r>
        <w:t xml:space="preserve">In Office @url cannot be an empty string, and must have a length less than or </w:t>
      </w:r>
      <w:r>
        <w:t>equal to 230 characters.</w:t>
      </w:r>
    </w:p>
    <w:p w:rsidR="00024C0A" w:rsidRDefault="00694C0F">
      <w:pPr>
        <w:pStyle w:val="Definition-Field"/>
      </w:pPr>
      <w:r>
        <w:t xml:space="preserve">c.   </w:t>
      </w:r>
      <w:r>
        <w:rPr>
          <w:i/>
        </w:rPr>
        <w:t>The standard does not state the relationship between the url, xml, and connection@deleted elements.</w:t>
      </w:r>
    </w:p>
    <w:p w:rsidR="00024C0A" w:rsidRDefault="00694C0F">
      <w:pPr>
        <w:pStyle w:val="Definition-Field2"/>
      </w:pPr>
      <w:r>
        <w:t>In Office, if @xml= true and the @deleted of the parent connection element is false, a non-empty @url shall be specified. If @</w:t>
      </w:r>
      <w:r>
        <w:t>xml is false, @url shall be specified if the @deleted of the parent connection element is false and not specified otherwise.</w:t>
      </w:r>
    </w:p>
    <w:p w:rsidR="00024C0A" w:rsidRDefault="00694C0F">
      <w:pPr>
        <w:pStyle w:val="Heading3"/>
      </w:pPr>
      <w:bookmarkStart w:id="1689" w:name="section_8c8d962a5d154229a28f2ebf88bdd6fc"/>
      <w:bookmarkStart w:id="1690" w:name="_Toc12260905"/>
      <w:r>
        <w:t>Part 1 Section 18.14.1, cell (External Cell Data)</w:t>
      </w:r>
      <w:bookmarkEnd w:id="1689"/>
      <w:bookmarkEnd w:id="1690"/>
      <w:r>
        <w:fldChar w:fldCharType="begin"/>
      </w:r>
      <w:r>
        <w:instrText xml:space="preserve"> XE "cell (External Cell Data)" </w:instrText>
      </w:r>
      <w:r>
        <w:fldChar w:fldCharType="end"/>
      </w:r>
    </w:p>
    <w:p w:rsidR="00024C0A" w:rsidRDefault="00694C0F">
      <w:pPr>
        <w:pStyle w:val="Definition-Field"/>
      </w:pPr>
      <w:r>
        <w:t xml:space="preserve">a.   </w:t>
      </w:r>
      <w:r>
        <w:rPr>
          <w:i/>
        </w:rPr>
        <w:t>The standard does not restrict @t having v</w:t>
      </w:r>
      <w:r>
        <w:rPr>
          <w:i/>
        </w:rPr>
        <w:t>alue s, which implies v contains a reference to a shared string table.</w:t>
      </w:r>
    </w:p>
    <w:p w:rsidR="00024C0A" w:rsidRDefault="00694C0F">
      <w:pPr>
        <w:pStyle w:val="Definition-Field2"/>
      </w:pPr>
      <w:r>
        <w:lastRenderedPageBreak/>
        <w:t>In Office, @t shall not equal s.</w:t>
      </w:r>
    </w:p>
    <w:p w:rsidR="00024C0A" w:rsidRDefault="00694C0F">
      <w:pPr>
        <w:pStyle w:val="Definition-Field"/>
      </w:pPr>
      <w:r>
        <w:t xml:space="preserve">b.   </w:t>
      </w:r>
      <w:r>
        <w:rPr>
          <w:i/>
        </w:rPr>
        <w:t>The standard does not specify how the index for the vm attribute is used.</w:t>
      </w:r>
    </w:p>
    <w:p w:rsidR="00024C0A" w:rsidRDefault="00694C0F">
      <w:pPr>
        <w:pStyle w:val="Definition-Field2"/>
      </w:pPr>
      <w:r>
        <w:t>In Office, the vm attribute shall be a one-based index into the valueMeta</w:t>
      </w:r>
      <w:r>
        <w:t>data collection in the metadata part that specifies this cell’s value metadata.</w:t>
      </w:r>
    </w:p>
    <w:p w:rsidR="00024C0A" w:rsidRDefault="00694C0F">
      <w:pPr>
        <w:pStyle w:val="Definition-Field"/>
      </w:pPr>
      <w:r>
        <w:t xml:space="preserve">c.   </w:t>
      </w:r>
      <w:r>
        <w:rPr>
          <w:i/>
        </w:rPr>
        <w:t>For @r, the standard does not restrict cell reference to be within the row of the parent row element.</w:t>
      </w:r>
    </w:p>
    <w:p w:rsidR="00024C0A" w:rsidRDefault="00694C0F">
      <w:pPr>
        <w:pStyle w:val="Definition-Field2"/>
      </w:pPr>
      <w:r>
        <w:t xml:space="preserve">For @r, Office requires that cell reference be within the row of the </w:t>
      </w:r>
      <w:r>
        <w:t>parent row element.</w:t>
      </w:r>
    </w:p>
    <w:p w:rsidR="00024C0A" w:rsidRDefault="00694C0F">
      <w:pPr>
        <w:pStyle w:val="Definition-Field"/>
      </w:pPr>
      <w:r>
        <w:t xml:space="preserve">d.   </w:t>
      </w:r>
      <w:r>
        <w:rPr>
          <w:i/>
        </w:rPr>
        <w:t>The standard implies that the r attribute is optional.</w:t>
      </w:r>
    </w:p>
    <w:p w:rsidR="00024C0A" w:rsidRDefault="00694C0F">
      <w:pPr>
        <w:pStyle w:val="Definition-Field2"/>
      </w:pPr>
      <w:r>
        <w:t>Excel requires this attribute.</w:t>
      </w:r>
    </w:p>
    <w:p w:rsidR="00024C0A" w:rsidRDefault="00694C0F">
      <w:pPr>
        <w:pStyle w:val="Heading3"/>
      </w:pPr>
      <w:bookmarkStart w:id="1691" w:name="section_3de0d6c7878a401d996a9620685ac333"/>
      <w:bookmarkStart w:id="1692" w:name="_Toc12260906"/>
      <w:r>
        <w:t>Part 1 Section 18.14.2, ddeItem (DDE Item definition)</w:t>
      </w:r>
      <w:bookmarkEnd w:id="1691"/>
      <w:bookmarkEnd w:id="1692"/>
      <w:r>
        <w:fldChar w:fldCharType="begin"/>
      </w:r>
      <w:r>
        <w:instrText xml:space="preserve"> XE "ddeItem (DDE Item definition)" </w:instrText>
      </w:r>
      <w:r>
        <w:fldChar w:fldCharType="end"/>
      </w:r>
    </w:p>
    <w:p w:rsidR="00024C0A" w:rsidRDefault="00694C0F">
      <w:pPr>
        <w:pStyle w:val="Definition-Field"/>
      </w:pPr>
      <w:r>
        <w:t xml:space="preserve">a.   </w:t>
      </w:r>
      <w:r>
        <w:rPr>
          <w:i/>
        </w:rPr>
        <w:t>The standard does not specify length restriction</w:t>
      </w:r>
      <w:r>
        <w:rPr>
          <w:i/>
        </w:rPr>
        <w:t>s on @name.</w:t>
      </w:r>
    </w:p>
    <w:p w:rsidR="00024C0A" w:rsidRDefault="00694C0F">
      <w:pPr>
        <w:pStyle w:val="Definition-Field2"/>
      </w:pPr>
      <w:r>
        <w:t>Office restricts @name to not be empty and have a length less than or equal to 255 characters.</w:t>
      </w:r>
    </w:p>
    <w:p w:rsidR="00024C0A" w:rsidRDefault="00694C0F">
      <w:pPr>
        <w:pStyle w:val="Definition-Field"/>
      </w:pPr>
      <w:r>
        <w:t xml:space="preserve">b.   </w:t>
      </w:r>
      <w:r>
        <w:rPr>
          <w:i/>
        </w:rPr>
        <w:t>The standard states that the ole attribute indicates that the DDE item uses OLE.</w:t>
      </w:r>
    </w:p>
    <w:p w:rsidR="00024C0A" w:rsidRDefault="00694C0F">
      <w:pPr>
        <w:pStyle w:val="Definition-Field2"/>
      </w:pPr>
      <w:r>
        <w:t>In Office, the ole attribute specifies that DDE Item is used to</w:t>
      </w:r>
      <w:r>
        <w:t xml:space="preserve"> provide the name of the data source topic. If set to true, the value of name should be StdDocumentName.</w:t>
      </w:r>
    </w:p>
    <w:p w:rsidR="00024C0A" w:rsidRDefault="00694C0F">
      <w:pPr>
        <w:pStyle w:val="Heading3"/>
      </w:pPr>
      <w:bookmarkStart w:id="1693" w:name="section_9d35fcee49904fa78953e6a3ea450dd8"/>
      <w:bookmarkStart w:id="1694" w:name="_Toc12260907"/>
      <w:r>
        <w:t>Part 1 Section 18.14.4, ddeLink (DDE Connection)</w:t>
      </w:r>
      <w:bookmarkEnd w:id="1693"/>
      <w:bookmarkEnd w:id="1694"/>
      <w:r>
        <w:fldChar w:fldCharType="begin"/>
      </w:r>
      <w:r>
        <w:instrText xml:space="preserve"> XE "ddeLink (DDE Connection)" </w:instrText>
      </w:r>
      <w:r>
        <w:fldChar w:fldCharType="end"/>
      </w:r>
    </w:p>
    <w:p w:rsidR="00024C0A" w:rsidRDefault="00694C0F">
      <w:pPr>
        <w:pStyle w:val="Definition-Field"/>
      </w:pPr>
      <w:r>
        <w:t xml:space="preserve">a.   </w:t>
      </w:r>
      <w:r>
        <w:rPr>
          <w:i/>
        </w:rPr>
        <w:t>The standard does not specify length limits on @ddeService.</w:t>
      </w:r>
    </w:p>
    <w:p w:rsidR="00024C0A" w:rsidRDefault="00694C0F">
      <w:pPr>
        <w:pStyle w:val="Definition-Field2"/>
      </w:pPr>
      <w:r>
        <w:t>Offi</w:t>
      </w:r>
      <w:r>
        <w:t>ce enforces a minimum of 1 character and a maximum of 255 characters for @ddeService.</w:t>
      </w:r>
    </w:p>
    <w:p w:rsidR="00024C0A" w:rsidRDefault="00694C0F">
      <w:pPr>
        <w:pStyle w:val="Definition-Field"/>
      </w:pPr>
      <w:r>
        <w:t xml:space="preserve">b.   </w:t>
      </w:r>
      <w:r>
        <w:rPr>
          <w:i/>
        </w:rPr>
        <w:t>The standard does not specify length limits on the ddeTopic attribute.</w:t>
      </w:r>
    </w:p>
    <w:p w:rsidR="00024C0A" w:rsidRDefault="00694C0F">
      <w:pPr>
        <w:pStyle w:val="Definition-Field2"/>
      </w:pPr>
      <w:r>
        <w:t>Office restricts the ddeTopic attribute to 255 characters.</w:t>
      </w:r>
    </w:p>
    <w:p w:rsidR="00024C0A" w:rsidRDefault="00694C0F">
      <w:pPr>
        <w:pStyle w:val="Definition-Field"/>
      </w:pPr>
      <w:r>
        <w:t xml:space="preserve">c.   </w:t>
      </w:r>
      <w:r>
        <w:rPr>
          <w:i/>
        </w:rPr>
        <w:t xml:space="preserve">The standard does not place a </w:t>
      </w:r>
      <w:r>
        <w:rPr>
          <w:i/>
        </w:rPr>
        <w:t>restriction on the maximum length of the ddeService attribute concatenated with the ddeTopic attribute.</w:t>
      </w:r>
    </w:p>
    <w:p w:rsidR="00024C0A" w:rsidRDefault="00694C0F">
      <w:pPr>
        <w:pStyle w:val="Definition-Field2"/>
      </w:pPr>
      <w:r>
        <w:t>Office requires that the combined length of the ddeService and ddeTopic attributes be less than 255.</w:t>
      </w:r>
    </w:p>
    <w:p w:rsidR="00024C0A" w:rsidRDefault="00694C0F">
      <w:pPr>
        <w:pStyle w:val="Definition-Field"/>
      </w:pPr>
      <w:r>
        <w:t xml:space="preserve">d.   </w:t>
      </w:r>
      <w:r>
        <w:rPr>
          <w:i/>
        </w:rPr>
        <w:t>The standard does not place restrictions on th</w:t>
      </w:r>
      <w:r>
        <w:rPr>
          <w:i/>
        </w:rPr>
        <w:t>e inclusion of '[' or ']' in the ddeService and ddeTopic attributes.</w:t>
      </w:r>
    </w:p>
    <w:p w:rsidR="00024C0A" w:rsidRDefault="00694C0F">
      <w:pPr>
        <w:pStyle w:val="Definition-Field2"/>
      </w:pPr>
      <w:r>
        <w:t>Office requires that the concatenation of the ddeService attribute followed by the ddeTopic attribute contain at most one pair of square brackets ('[' and ']'), and that the opening brack</w:t>
      </w:r>
      <w:r>
        <w:t>et precede the closing bracket.</w:t>
      </w:r>
    </w:p>
    <w:p w:rsidR="00024C0A" w:rsidRDefault="00694C0F">
      <w:pPr>
        <w:pStyle w:val="Heading3"/>
      </w:pPr>
      <w:bookmarkStart w:id="1695" w:name="section_74770f15dc8b4cc0bf1a4fbcefdee941"/>
      <w:bookmarkStart w:id="1696" w:name="_Toc12260908"/>
      <w:r>
        <w:t>Part 1 Section 18.14.5, definedName (Defined Name)</w:t>
      </w:r>
      <w:bookmarkEnd w:id="1695"/>
      <w:bookmarkEnd w:id="1696"/>
      <w:r>
        <w:fldChar w:fldCharType="begin"/>
      </w:r>
      <w:r>
        <w:instrText xml:space="preserve"> XE "definedName (Defined Name)" </w:instrText>
      </w:r>
      <w:r>
        <w:fldChar w:fldCharType="end"/>
      </w:r>
    </w:p>
    <w:p w:rsidR="00024C0A" w:rsidRDefault="00694C0F">
      <w:pPr>
        <w:pStyle w:val="Definition-Field"/>
      </w:pPr>
      <w:r>
        <w:t xml:space="preserve">a.   </w:t>
      </w:r>
      <w:r>
        <w:rPr>
          <w:i/>
        </w:rPr>
        <w:t>The standard does not specify the maximum length for @name.</w:t>
      </w:r>
    </w:p>
    <w:p w:rsidR="00024C0A" w:rsidRDefault="00694C0F">
      <w:pPr>
        <w:pStyle w:val="Definition-Field2"/>
      </w:pPr>
      <w:r>
        <w:t>Office limits the possible values of @name to be defined names as defined</w:t>
      </w:r>
      <w:r>
        <w:t xml:space="preserve"> in Names ("</w:t>
      </w:r>
      <w:hyperlink r:id="rId135">
        <w:r>
          <w:rPr>
            <w:rStyle w:val="Hyperlink"/>
          </w:rPr>
          <w:t>[ISO/IEC-29500-1]</w:t>
        </w:r>
      </w:hyperlink>
      <w:r>
        <w:t xml:space="preserve"> §18.17.2.5").</w:t>
      </w:r>
    </w:p>
    <w:p w:rsidR="00024C0A" w:rsidRDefault="00694C0F">
      <w:pPr>
        <w:pStyle w:val="Definition-Field"/>
      </w:pPr>
      <w:r>
        <w:t xml:space="preserve">b.   </w:t>
      </w:r>
      <w:r>
        <w:rPr>
          <w:i/>
        </w:rPr>
        <w:t>In the standard the refersTo attribute uses the ST_Xstring type.</w:t>
      </w:r>
    </w:p>
    <w:p w:rsidR="00024C0A" w:rsidRDefault="00694C0F">
      <w:pPr>
        <w:pStyle w:val="Definition-Field2"/>
      </w:pPr>
      <w:r>
        <w:lastRenderedPageBreak/>
        <w:t xml:space="preserve">Office requires @referTo to be a valid formula that is restricted to cell </w:t>
      </w:r>
      <w:r>
        <w:t>references within the same external book.</w:t>
      </w:r>
    </w:p>
    <w:p w:rsidR="00024C0A" w:rsidRDefault="00694C0F">
      <w:pPr>
        <w:pStyle w:val="Definition-Field"/>
      </w:pPr>
      <w:r>
        <w:t xml:space="preserve">c.   </w:t>
      </w:r>
      <w:r>
        <w:rPr>
          <w:i/>
        </w:rPr>
        <w:t>The standard does not specify the range of the sheetId attribute.</w:t>
      </w:r>
    </w:p>
    <w:p w:rsidR="00024C0A" w:rsidRDefault="00694C0F">
      <w:pPr>
        <w:pStyle w:val="Definition-Field2"/>
      </w:pPr>
      <w:r>
        <w:t>Office restricts the sheetID attribute to a minimum value of greater than or equal to 0 and less than or equal to 65533.</w:t>
      </w:r>
    </w:p>
    <w:p w:rsidR="00024C0A" w:rsidRDefault="00694C0F">
      <w:pPr>
        <w:pStyle w:val="Heading3"/>
      </w:pPr>
      <w:bookmarkStart w:id="1697" w:name="section_f529ffb15f1f4b838626d53767553c27"/>
      <w:bookmarkStart w:id="1698" w:name="_Toc12260909"/>
      <w:r>
        <w:t>Part 1 Section 18.14.8</w:t>
      </w:r>
      <w:r>
        <w:t>, externalLink (External Reference)</w:t>
      </w:r>
      <w:bookmarkEnd w:id="1697"/>
      <w:bookmarkEnd w:id="1698"/>
      <w:r>
        <w:fldChar w:fldCharType="begin"/>
      </w:r>
      <w:r>
        <w:instrText xml:space="preserve"> XE "externalLink (External Reference)" </w:instrText>
      </w:r>
      <w:r>
        <w:fldChar w:fldCharType="end"/>
      </w:r>
    </w:p>
    <w:p w:rsidR="00024C0A" w:rsidRDefault="00694C0F">
      <w:pPr>
        <w:pStyle w:val="Definition-Field"/>
      </w:pPr>
      <w:r>
        <w:t xml:space="preserve">a.   </w:t>
      </w:r>
      <w:r>
        <w:rPr>
          <w:i/>
        </w:rPr>
        <w:t>The standard states that the extLst child element is mutually exclusive with the externalBook, ddeLink, and oleLink child elements.</w:t>
      </w:r>
    </w:p>
    <w:p w:rsidR="00024C0A" w:rsidRDefault="00694C0F">
      <w:pPr>
        <w:pStyle w:val="Definition-Field2"/>
      </w:pPr>
      <w:r>
        <w:t>Excel allows an extLst child element to f</w:t>
      </w:r>
      <w:r>
        <w:t>ollow an externalBook, ddeLink, or oleLink child element.</w:t>
      </w:r>
    </w:p>
    <w:p w:rsidR="00024C0A" w:rsidRDefault="00694C0F">
      <w:pPr>
        <w:pStyle w:val="Definition-Field"/>
      </w:pPr>
      <w:r>
        <w:t xml:space="preserve">b.   </w:t>
      </w:r>
      <w:r>
        <w:rPr>
          <w:i/>
        </w:rPr>
        <w:t>The standard states that externalList element can be empty.</w:t>
      </w:r>
    </w:p>
    <w:p w:rsidR="00024C0A" w:rsidRDefault="00694C0F">
      <w:pPr>
        <w:pStyle w:val="Definition-Field2"/>
      </w:pPr>
      <w:r>
        <w:t>Excel requires that an externalList element must contain one of externalBook, ddeLink, or oleLink.</w:t>
      </w:r>
    </w:p>
    <w:p w:rsidR="00024C0A" w:rsidRDefault="00694C0F">
      <w:pPr>
        <w:pStyle w:val="Heading3"/>
      </w:pPr>
      <w:bookmarkStart w:id="1699" w:name="section_e7c6f0e39e194cb3ba0e483ef7d89728"/>
      <w:bookmarkStart w:id="1700" w:name="_Toc12260910"/>
      <w:r>
        <w:t>Part 1 Section 18.14.9, oleItem (O</w:t>
      </w:r>
      <w:r>
        <w:t>bject Link Item)</w:t>
      </w:r>
      <w:bookmarkEnd w:id="1699"/>
      <w:bookmarkEnd w:id="1700"/>
      <w:r>
        <w:fldChar w:fldCharType="begin"/>
      </w:r>
      <w:r>
        <w:instrText xml:space="preserve"> XE "oleItem (Object Link Item)" </w:instrText>
      </w:r>
      <w:r>
        <w:fldChar w:fldCharType="end"/>
      </w:r>
    </w:p>
    <w:p w:rsidR="00024C0A" w:rsidRDefault="00694C0F">
      <w:pPr>
        <w:pStyle w:val="Definition-Field"/>
      </w:pPr>
      <w:r>
        <w:t xml:space="preserve">a.   </w:t>
      </w:r>
      <w:r>
        <w:rPr>
          <w:i/>
        </w:rPr>
        <w:t>The standard does not specify the length limit of the name attribute.</w:t>
      </w:r>
    </w:p>
    <w:p w:rsidR="00024C0A" w:rsidRDefault="00694C0F">
      <w:pPr>
        <w:pStyle w:val="Definition-Field2"/>
      </w:pPr>
      <w:r>
        <w:t>Office limits the name attribute length to between 0 and 255 characters inclusive.</w:t>
      </w:r>
    </w:p>
    <w:p w:rsidR="00024C0A" w:rsidRDefault="00694C0F">
      <w:pPr>
        <w:pStyle w:val="Definition-Field"/>
      </w:pPr>
      <w:r>
        <w:t xml:space="preserve">b.   </w:t>
      </w:r>
      <w:r>
        <w:rPr>
          <w:i/>
        </w:rPr>
        <w:t xml:space="preserve">The standard specifies that the value of </w:t>
      </w:r>
      <w:r>
        <w:rPr>
          <w:i/>
        </w:rPr>
        <w:t>the name attribute is ST_XString.</w:t>
      </w:r>
    </w:p>
    <w:p w:rsidR="00024C0A" w:rsidRDefault="00694C0F">
      <w:pPr>
        <w:pStyle w:val="Definition-Field2"/>
      </w:pPr>
      <w:r>
        <w:t>Office will not open files with the name attribute length equal to zero.</w:t>
      </w:r>
    </w:p>
    <w:p w:rsidR="00024C0A" w:rsidRDefault="00694C0F">
      <w:pPr>
        <w:pStyle w:val="Heading3"/>
      </w:pPr>
      <w:bookmarkStart w:id="1701" w:name="section_83cecf06377145969e2c9b70cdd07db9"/>
      <w:bookmarkStart w:id="1702" w:name="_Toc12260911"/>
      <w:r>
        <w:t>Part 1 Section 18.14.11, oleLink (Generic Object Link Connection)</w:t>
      </w:r>
      <w:bookmarkEnd w:id="1701"/>
      <w:bookmarkEnd w:id="1702"/>
      <w:r>
        <w:fldChar w:fldCharType="begin"/>
      </w:r>
      <w:r>
        <w:instrText xml:space="preserve"> XE "oleLink (Generic Object Link Connection)" </w:instrText>
      </w:r>
      <w:r>
        <w:fldChar w:fldCharType="end"/>
      </w:r>
    </w:p>
    <w:p w:rsidR="00024C0A" w:rsidRDefault="00694C0F">
      <w:pPr>
        <w:pStyle w:val="Definition-Field"/>
      </w:pPr>
      <w:r>
        <w:t xml:space="preserve">a.   </w:t>
      </w:r>
      <w:r>
        <w:rPr>
          <w:i/>
        </w:rPr>
        <w:t>The standard does not specify</w:t>
      </w:r>
      <w:r>
        <w:rPr>
          <w:i/>
        </w:rPr>
        <w:t xml:space="preserve"> a limit for the @progId string.</w:t>
      </w:r>
    </w:p>
    <w:p w:rsidR="00024C0A" w:rsidRDefault="00694C0F">
      <w:pPr>
        <w:pStyle w:val="Definition-Field2"/>
      </w:pPr>
      <w:r>
        <w:t>Office limits the @progId string to a minimum of 1 and a maximum of 255.</w:t>
      </w:r>
    </w:p>
    <w:p w:rsidR="00024C0A" w:rsidRDefault="00694C0F">
      <w:pPr>
        <w:pStyle w:val="Definition-Field"/>
      </w:pPr>
      <w:r>
        <w:t xml:space="preserve">b.   </w:t>
      </w:r>
      <w:r>
        <w:rPr>
          <w:i/>
        </w:rPr>
        <w:t>The standard indicates that @progId has a maximum length of 255 according to ST_Xstring255.</w:t>
      </w:r>
    </w:p>
    <w:p w:rsidR="00024C0A" w:rsidRDefault="00694C0F">
      <w:pPr>
        <w:pStyle w:val="Definition-Field2"/>
      </w:pPr>
      <w:r>
        <w:t>In Office, @progId and the referenced target in the c</w:t>
      </w:r>
      <w:r>
        <w:t>orresponding relationships part have a maximum combined length of 254.</w:t>
      </w:r>
    </w:p>
    <w:p w:rsidR="00024C0A" w:rsidRDefault="00694C0F">
      <w:pPr>
        <w:pStyle w:val="Heading3"/>
      </w:pPr>
      <w:bookmarkStart w:id="1703" w:name="section_29d2ff1c1057491992a959229862218c"/>
      <w:bookmarkStart w:id="1704" w:name="_Toc12260912"/>
      <w:r>
        <w:t>Part 1 Section 18.14.12, row (Row)</w:t>
      </w:r>
      <w:bookmarkEnd w:id="1703"/>
      <w:bookmarkEnd w:id="1704"/>
      <w:r>
        <w:fldChar w:fldCharType="begin"/>
      </w:r>
      <w:r>
        <w:instrText xml:space="preserve"> XE "row (Row)" </w:instrText>
      </w:r>
      <w:r>
        <w:fldChar w:fldCharType="end"/>
      </w:r>
    </w:p>
    <w:p w:rsidR="00024C0A" w:rsidRDefault="00694C0F">
      <w:pPr>
        <w:pStyle w:val="Definition-Field"/>
      </w:pPr>
      <w:r>
        <w:t xml:space="preserve">a.   </w:t>
      </w:r>
      <w:r>
        <w:rPr>
          <w:i/>
        </w:rPr>
        <w:t>The standard does not place any restrictions on the value for @row.</w:t>
      </w:r>
    </w:p>
    <w:p w:rsidR="00024C0A" w:rsidRDefault="00694C0F">
      <w:pPr>
        <w:pStyle w:val="Definition-Field2"/>
      </w:pPr>
      <w:r>
        <w:t>Office requires that the value of @row be less than or equa</w:t>
      </w:r>
      <w:r>
        <w:t>l to 1048576.</w:t>
      </w:r>
    </w:p>
    <w:p w:rsidR="00024C0A" w:rsidRDefault="00694C0F">
      <w:pPr>
        <w:pStyle w:val="Heading3"/>
      </w:pPr>
      <w:bookmarkStart w:id="1705" w:name="section_ea6eca83ef44428c8d91968009edc496"/>
      <w:bookmarkStart w:id="1706" w:name="_Toc12260913"/>
      <w:r>
        <w:t>Part 1 Section 18.14.13, sheetData (External Sheet Data Set)</w:t>
      </w:r>
      <w:bookmarkEnd w:id="1705"/>
      <w:bookmarkEnd w:id="1706"/>
      <w:r>
        <w:fldChar w:fldCharType="begin"/>
      </w:r>
      <w:r>
        <w:instrText xml:space="preserve"> XE "sheetData (External Sheet Data Set)" </w:instrText>
      </w:r>
      <w:r>
        <w:fldChar w:fldCharType="end"/>
      </w:r>
    </w:p>
    <w:p w:rsidR="00024C0A" w:rsidRDefault="00694C0F">
      <w:pPr>
        <w:pStyle w:val="Definition-Field"/>
      </w:pPr>
      <w:r>
        <w:t xml:space="preserve">a.   </w:t>
      </w:r>
      <w:r>
        <w:rPr>
          <w:i/>
        </w:rPr>
        <w:t>The standard states that @sheetId index is an unsigned integer, with no additional restrictions on value, and that it is 1-based.</w:t>
      </w:r>
    </w:p>
    <w:p w:rsidR="00024C0A" w:rsidRDefault="00694C0F">
      <w:pPr>
        <w:pStyle w:val="Definition-Field2"/>
      </w:pPr>
      <w:r>
        <w:t>Of</w:t>
      </w:r>
      <w:r>
        <w:t>fice requires that @sheetId range from 0 through 65533 inclusive.</w:t>
      </w:r>
    </w:p>
    <w:p w:rsidR="00024C0A" w:rsidRDefault="00694C0F">
      <w:pPr>
        <w:pStyle w:val="Definition-Field"/>
      </w:pPr>
      <w:r>
        <w:t xml:space="preserve">b.   </w:t>
      </w:r>
      <w:r>
        <w:rPr>
          <w:i/>
        </w:rPr>
        <w:t>The standard does not define any order requirements for rows.</w:t>
      </w:r>
    </w:p>
    <w:p w:rsidR="00024C0A" w:rsidRDefault="00694C0F">
      <w:pPr>
        <w:pStyle w:val="Definition-Field2"/>
      </w:pPr>
      <w:r>
        <w:t>In Office, rows must appear in ascending order.</w:t>
      </w:r>
    </w:p>
    <w:p w:rsidR="00024C0A" w:rsidRDefault="00694C0F">
      <w:pPr>
        <w:pStyle w:val="Heading3"/>
      </w:pPr>
      <w:bookmarkStart w:id="1707" w:name="section_2f06c253c63240b3b2cc4c7b0fe2bad4"/>
      <w:bookmarkStart w:id="1708" w:name="_Toc12260914"/>
      <w:r>
        <w:lastRenderedPageBreak/>
        <w:t>Part 1 Section 18.14.15, sheetName (Sheet Name)</w:t>
      </w:r>
      <w:bookmarkEnd w:id="1707"/>
      <w:bookmarkEnd w:id="1708"/>
      <w:r>
        <w:fldChar w:fldCharType="begin"/>
      </w:r>
      <w:r>
        <w:instrText xml:space="preserve"> XE "sheetName (Sheet Name)"</w:instrText>
      </w:r>
      <w:r>
        <w:instrText xml:space="preserve"> </w:instrText>
      </w:r>
      <w:r>
        <w:fldChar w:fldCharType="end"/>
      </w:r>
    </w:p>
    <w:p w:rsidR="00024C0A" w:rsidRDefault="00694C0F">
      <w:pPr>
        <w:pStyle w:val="Definition-Field"/>
      </w:pPr>
      <w:r>
        <w:t xml:space="preserve">a.   </w:t>
      </w:r>
      <w:r>
        <w:rPr>
          <w:i/>
        </w:rPr>
        <w:t>The standard indicates that @val is a string of unbounded length.</w:t>
      </w:r>
    </w:p>
    <w:p w:rsidR="00024C0A" w:rsidRDefault="00694C0F">
      <w:pPr>
        <w:pStyle w:val="Definition-Field2"/>
      </w:pPr>
      <w:r>
        <w:t>Office generally expects that @val has a maximum length of 31 characters and enforces this limit on load. On save, in some circumstances, up to 252 characters can be saved for @val.</w:t>
      </w:r>
    </w:p>
    <w:p w:rsidR="00024C0A" w:rsidRDefault="00694C0F">
      <w:pPr>
        <w:pStyle w:val="Heading3"/>
      </w:pPr>
      <w:bookmarkStart w:id="1709" w:name="section_43554bcee58a45b5aa0770029f56dc91"/>
      <w:bookmarkStart w:id="1710" w:name="_Toc12260915"/>
      <w:r>
        <w:t>Part 1 Section 18.14.16, sheetNames (Supporting Workbook Sheet Names)</w:t>
      </w:r>
      <w:bookmarkEnd w:id="1709"/>
      <w:bookmarkEnd w:id="1710"/>
      <w:r>
        <w:fldChar w:fldCharType="begin"/>
      </w:r>
      <w:r>
        <w:instrText xml:space="preserve"> XE "sheetNames (Supporting Workbook Sheet Names)" </w:instrText>
      </w:r>
      <w:r>
        <w:fldChar w:fldCharType="end"/>
      </w:r>
    </w:p>
    <w:p w:rsidR="00024C0A" w:rsidRDefault="00694C0F">
      <w:pPr>
        <w:pStyle w:val="Definition-Field"/>
      </w:pPr>
      <w:r>
        <w:t xml:space="preserve">a.   </w:t>
      </w:r>
      <w:r>
        <w:rPr>
          <w:i/>
        </w:rPr>
        <w:t>The standard states that the maxOccurs value for the sheetName child element is unbounded.</w:t>
      </w:r>
    </w:p>
    <w:p w:rsidR="00024C0A" w:rsidRDefault="00694C0F">
      <w:pPr>
        <w:pStyle w:val="Definition-Field2"/>
      </w:pPr>
      <w:r>
        <w:t>Excel limits the occurrences of this</w:t>
      </w:r>
      <w:r>
        <w:t xml:space="preserve"> element to 65534.</w:t>
      </w:r>
    </w:p>
    <w:p w:rsidR="00024C0A" w:rsidRDefault="00694C0F">
      <w:pPr>
        <w:pStyle w:val="Heading3"/>
      </w:pPr>
      <w:bookmarkStart w:id="1711" w:name="section_9d1e79f6ab69441d8397ec6144a6afee"/>
      <w:bookmarkStart w:id="1712" w:name="_Toc12260916"/>
      <w:r>
        <w:t>Part 1 Section 18.14.17, val (DDE Link Value)</w:t>
      </w:r>
      <w:bookmarkEnd w:id="1711"/>
      <w:bookmarkEnd w:id="1712"/>
      <w:r>
        <w:fldChar w:fldCharType="begin"/>
      </w:r>
      <w:r>
        <w:instrText xml:space="preserve"> XE "val (DDE Link Value)" </w:instrText>
      </w:r>
      <w:r>
        <w:fldChar w:fldCharType="end"/>
      </w:r>
    </w:p>
    <w:p w:rsidR="00024C0A" w:rsidRDefault="00694C0F">
      <w:pPr>
        <w:pStyle w:val="Definition-Field"/>
      </w:pPr>
      <w:r>
        <w:t xml:space="preserve">a.   </w:t>
      </w:r>
      <w:r>
        <w:rPr>
          <w:i/>
        </w:rPr>
        <w:t>The standard does not limit the length of the value of this element.</w:t>
      </w:r>
    </w:p>
    <w:p w:rsidR="00024C0A" w:rsidRDefault="00694C0F">
      <w:pPr>
        <w:pStyle w:val="Definition-Field2"/>
      </w:pPr>
      <w:r>
        <w:t>Excel restricts the value of this element to be at most 32767 characters.</w:t>
      </w:r>
    </w:p>
    <w:p w:rsidR="00024C0A" w:rsidRDefault="00694C0F">
      <w:pPr>
        <w:pStyle w:val="Definition-Field"/>
      </w:pPr>
      <w:r>
        <w:t xml:space="preserve">b.   </w:t>
      </w:r>
      <w:r>
        <w:rPr>
          <w:i/>
        </w:rPr>
        <w:t>The stand</w:t>
      </w:r>
      <w:r>
        <w:rPr>
          <w:i/>
        </w:rPr>
        <w:t>ard makes no mention of an xml:space attribute.</w:t>
      </w:r>
    </w:p>
    <w:p w:rsidR="00024C0A" w:rsidRDefault="00694C0F">
      <w:pPr>
        <w:pStyle w:val="Definition-Field2"/>
      </w:pPr>
      <w:r>
        <w:t>Excel uses this attribute to specify, using the W3C space preservation rules, how white space should be handled for the element's contents; its allowed values are defined by the XML 1.0 specification.</w:t>
      </w:r>
    </w:p>
    <w:p w:rsidR="00024C0A" w:rsidRDefault="00694C0F">
      <w:pPr>
        <w:pStyle w:val="Heading3"/>
      </w:pPr>
      <w:bookmarkStart w:id="1713" w:name="section_1d927b7d707f410ba9a95ee9d5289132"/>
      <w:bookmarkStart w:id="1714" w:name="_Toc12260917"/>
      <w:r>
        <w:t xml:space="preserve">Part 1 </w:t>
      </w:r>
      <w:r>
        <w:t>Section 18.14.18, value (Value)</w:t>
      </w:r>
      <w:bookmarkEnd w:id="1713"/>
      <w:bookmarkEnd w:id="1714"/>
      <w:r>
        <w:fldChar w:fldCharType="begin"/>
      </w:r>
      <w:r>
        <w:instrText xml:space="preserve"> XE "value (Value)" </w:instrText>
      </w:r>
      <w:r>
        <w:fldChar w:fldCharType="end"/>
      </w:r>
    </w:p>
    <w:p w:rsidR="00024C0A" w:rsidRDefault="00694C0F">
      <w:pPr>
        <w:pStyle w:val="Definition-Field"/>
      </w:pPr>
      <w:r>
        <w:t xml:space="preserve">a.   </w:t>
      </w:r>
      <w:r>
        <w:rPr>
          <w:i/>
        </w:rPr>
        <w:t>The standard does not give length restriction for the val element.</w:t>
      </w:r>
    </w:p>
    <w:p w:rsidR="00024C0A" w:rsidRDefault="00694C0F">
      <w:pPr>
        <w:pStyle w:val="Definition-Field2"/>
      </w:pPr>
      <w:r>
        <w:t>In Office, the val element has a maximum length of 32767 characters.</w:t>
      </w:r>
    </w:p>
    <w:p w:rsidR="00024C0A" w:rsidRDefault="00694C0F">
      <w:pPr>
        <w:pStyle w:val="Heading3"/>
      </w:pPr>
      <w:bookmarkStart w:id="1715" w:name="section_4869f11e196c409caeb928d64ae3902e"/>
      <w:bookmarkStart w:id="1716" w:name="_Toc12260918"/>
      <w:r>
        <w:t>Part 1 Section 18.14.19, values (DDE Name Values)</w:t>
      </w:r>
      <w:bookmarkEnd w:id="1715"/>
      <w:bookmarkEnd w:id="1716"/>
      <w:r>
        <w:fldChar w:fldCharType="begin"/>
      </w:r>
      <w:r>
        <w:instrText xml:space="preserve"> XE "values </w:instrText>
      </w:r>
      <w:r>
        <w:instrText xml:space="preserve">(DDE Name Values)" </w:instrText>
      </w:r>
      <w:r>
        <w:fldChar w:fldCharType="end"/>
      </w:r>
    </w:p>
    <w:p w:rsidR="00024C0A" w:rsidRDefault="00694C0F">
      <w:pPr>
        <w:pStyle w:val="Definition-Field"/>
      </w:pPr>
      <w:r>
        <w:t xml:space="preserve">a.   </w:t>
      </w:r>
      <w:r>
        <w:rPr>
          <w:i/>
        </w:rPr>
        <w:t>The standard allows the cols attribute to be unbounded.</w:t>
      </w:r>
    </w:p>
    <w:p w:rsidR="00024C0A" w:rsidRDefault="00694C0F">
      <w:pPr>
        <w:pStyle w:val="Definition-Field2"/>
      </w:pPr>
      <w:r>
        <w:t>Excel limits the value to be in the range 1 to 16384 inclusive.</w:t>
      </w:r>
    </w:p>
    <w:p w:rsidR="00024C0A" w:rsidRDefault="00694C0F">
      <w:pPr>
        <w:pStyle w:val="Definition-Field"/>
      </w:pPr>
      <w:r>
        <w:t xml:space="preserve">b.   </w:t>
      </w:r>
      <w:r>
        <w:rPr>
          <w:i/>
        </w:rPr>
        <w:t>The standard allows the rows attribute to be unbounded.</w:t>
      </w:r>
    </w:p>
    <w:p w:rsidR="00024C0A" w:rsidRDefault="00694C0F">
      <w:pPr>
        <w:pStyle w:val="Definition-Field2"/>
      </w:pPr>
      <w:r>
        <w:t>Excel limits the value to be in the range 1 to 1</w:t>
      </w:r>
      <w:r>
        <w:t>048576, inclusive.</w:t>
      </w:r>
    </w:p>
    <w:p w:rsidR="00024C0A" w:rsidRDefault="00694C0F">
      <w:pPr>
        <w:pStyle w:val="Definition-Field"/>
      </w:pPr>
      <w:r>
        <w:t xml:space="preserve">c.   </w:t>
      </w:r>
      <w:r>
        <w:rPr>
          <w:i/>
        </w:rPr>
        <w:t>The standard does not specify the relationship of the value elements to the cols and rows attributes.</w:t>
      </w:r>
    </w:p>
    <w:p w:rsidR="00024C0A" w:rsidRDefault="00694C0F">
      <w:pPr>
        <w:pStyle w:val="Definition-Field2"/>
      </w:pPr>
      <w:r>
        <w:t>Excel requires that the number of value elements must be equal to rows times cols and that value elements appear in row-major orde</w:t>
      </w:r>
      <w:r>
        <w:t>r.</w:t>
      </w:r>
    </w:p>
    <w:p w:rsidR="00024C0A" w:rsidRDefault="00694C0F">
      <w:pPr>
        <w:pStyle w:val="Heading3"/>
      </w:pPr>
      <w:bookmarkStart w:id="1717" w:name="section_e57228cfd6724d27a0b2305886693f3c"/>
      <w:bookmarkStart w:id="1718" w:name="_Toc12260919"/>
      <w:r>
        <w:t>Part 1 Section 18.15.1, main (Main)</w:t>
      </w:r>
      <w:bookmarkEnd w:id="1717"/>
      <w:bookmarkEnd w:id="1718"/>
      <w:r>
        <w:fldChar w:fldCharType="begin"/>
      </w:r>
      <w:r>
        <w:instrText xml:space="preserve"> XE "main (Main)" </w:instrText>
      </w:r>
      <w:r>
        <w:fldChar w:fldCharType="end"/>
      </w:r>
    </w:p>
    <w:p w:rsidR="00024C0A" w:rsidRDefault="00694C0F">
      <w:pPr>
        <w:pStyle w:val="Definition-Field"/>
      </w:pPr>
      <w:r>
        <w:t xml:space="preserve">a.   </w:t>
      </w:r>
      <w:r>
        <w:rPr>
          <w:i/>
        </w:rPr>
        <w:t>The standard does not limit the length of the value of the first attribute.</w:t>
      </w:r>
    </w:p>
    <w:p w:rsidR="00024C0A" w:rsidRDefault="00694C0F">
      <w:pPr>
        <w:pStyle w:val="Definition-Field2"/>
      </w:pPr>
      <w:r>
        <w:t>Excel restricts the value of this attribute to be at least 1 and at most 255 characters.</w:t>
      </w:r>
    </w:p>
    <w:p w:rsidR="00024C0A" w:rsidRDefault="00694C0F">
      <w:pPr>
        <w:pStyle w:val="Heading3"/>
      </w:pPr>
      <w:bookmarkStart w:id="1719" w:name="section_765c41d0db7e4335ab387f38a71277cc"/>
      <w:bookmarkStart w:id="1720" w:name="_Toc12260920"/>
      <w:r>
        <w:t>Part 1 Section 18.15.2, stp</w:t>
      </w:r>
      <w:r>
        <w:t xml:space="preserve"> (Strings in Subtopic)</w:t>
      </w:r>
      <w:bookmarkEnd w:id="1719"/>
      <w:bookmarkEnd w:id="1720"/>
      <w:r>
        <w:fldChar w:fldCharType="begin"/>
      </w:r>
      <w:r>
        <w:instrText xml:space="preserve"> XE "stp (Strings in Subtopic)" </w:instrText>
      </w:r>
      <w:r>
        <w:fldChar w:fldCharType="end"/>
      </w:r>
    </w:p>
    <w:p w:rsidR="00024C0A" w:rsidRDefault="00694C0F">
      <w:pPr>
        <w:pStyle w:val="Definition-Field"/>
      </w:pPr>
      <w:r>
        <w:t xml:space="preserve">a.   </w:t>
      </w:r>
      <w:r>
        <w:rPr>
          <w:i/>
        </w:rPr>
        <w:t>The standard does not limit the length of the value of this element.</w:t>
      </w:r>
    </w:p>
    <w:p w:rsidR="00024C0A" w:rsidRDefault="00694C0F">
      <w:pPr>
        <w:pStyle w:val="Definition-Field2"/>
      </w:pPr>
      <w:r>
        <w:lastRenderedPageBreak/>
        <w:t>Excel restricts the value of this element to be at most 255 characters.</w:t>
      </w:r>
    </w:p>
    <w:p w:rsidR="00024C0A" w:rsidRDefault="00694C0F">
      <w:pPr>
        <w:pStyle w:val="Definition-Field"/>
      </w:pPr>
      <w:r>
        <w:t xml:space="preserve">b.   </w:t>
      </w:r>
      <w:r>
        <w:rPr>
          <w:i/>
        </w:rPr>
        <w:t xml:space="preserve">The standard describes 1 for stp for cube </w:t>
      </w:r>
      <w:r>
        <w:rPr>
          <w:i/>
        </w:rPr>
        <w:t>functions only.</w:t>
      </w:r>
    </w:p>
    <w:p w:rsidR="00024C0A" w:rsidRDefault="00694C0F">
      <w:pPr>
        <w:pStyle w:val="Definition-Field2"/>
      </w:pPr>
      <w:r>
        <w:t>In Office, a value of 0 for the first stp indicates that not all of the related cells with calling cube functions have been refreshed. For each Cube function, there shall be exactly one stp.</w:t>
      </w:r>
    </w:p>
    <w:p w:rsidR="00024C0A" w:rsidRDefault="00694C0F">
      <w:pPr>
        <w:pStyle w:val="Definition-Field"/>
      </w:pPr>
      <w:r>
        <w:t xml:space="preserve">c.   </w:t>
      </w:r>
      <w:r>
        <w:rPr>
          <w:i/>
        </w:rPr>
        <w:t>The standard makes no mention of an xml:spac</w:t>
      </w:r>
      <w:r>
        <w:rPr>
          <w:i/>
        </w:rPr>
        <w:t>e attribute.</w:t>
      </w:r>
    </w:p>
    <w:p w:rsidR="00024C0A" w:rsidRDefault="00694C0F">
      <w:pPr>
        <w:pStyle w:val="Definition-Field2"/>
      </w:pPr>
      <w:r>
        <w:t>Excel uses this attribute to specify, using the W3C space preservation rules, how white space should be handled for the element's contents; its allowed values are defined by the XML 1.0 specification.</w:t>
      </w:r>
    </w:p>
    <w:p w:rsidR="00024C0A" w:rsidRDefault="00694C0F">
      <w:pPr>
        <w:pStyle w:val="Definition-Field"/>
      </w:pPr>
      <w:r>
        <w:t xml:space="preserve">d.   </w:t>
      </w:r>
      <w:r>
        <w:rPr>
          <w:i/>
        </w:rPr>
        <w:t xml:space="preserve">The standard does not describe how </w:t>
      </w:r>
      <w:r>
        <w:rPr>
          <w:i/>
        </w:rPr>
        <w:t>stp relates to the RTD function.</w:t>
      </w:r>
    </w:p>
    <w:p w:rsidR="00024C0A" w:rsidRDefault="00694C0F">
      <w:pPr>
        <w:pStyle w:val="Definition-Field2"/>
      </w:pPr>
      <w:r>
        <w:t>In Office, for the RTD function, the first stp having a value of "" indicates that the RTP add-in is run on the local machine. Any other value for the stp indicates the server name. All subsequent stps indicate the topics o</w:t>
      </w:r>
      <w:r>
        <w:t>f the RTD function.</w:t>
      </w:r>
    </w:p>
    <w:p w:rsidR="00024C0A" w:rsidRDefault="00694C0F">
      <w:pPr>
        <w:pStyle w:val="Heading3"/>
      </w:pPr>
      <w:bookmarkStart w:id="1721" w:name="section_35eccf3dab5a4f67ae97655fe026c1aa"/>
      <w:bookmarkStart w:id="1722" w:name="_Toc12260921"/>
      <w:r>
        <w:t>Part 1 Section 18.15.3, tp (Topic)</w:t>
      </w:r>
      <w:bookmarkEnd w:id="1721"/>
      <w:bookmarkEnd w:id="1722"/>
      <w:r>
        <w:fldChar w:fldCharType="begin"/>
      </w:r>
      <w:r>
        <w:instrText xml:space="preserve"> XE "tp (Topic)"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b9d01770b85b4fb2a387f5811719a1af">
        <w:r>
          <w:rPr>
            <w:rStyle w:val="Hyperlink"/>
          </w:rPr>
          <w:t>v, §18.3.1.96(c)</w:t>
        </w:r>
      </w:hyperlink>
      <w:r>
        <w:rPr>
          <w:i/>
        </w:rPr>
        <w:t>.</w:t>
      </w:r>
    </w:p>
    <w:p w:rsidR="00024C0A" w:rsidRDefault="00694C0F">
      <w:pPr>
        <w:pStyle w:val="Definition-Field"/>
      </w:pPr>
      <w:r>
        <w:t xml:space="preserve">a.   </w:t>
      </w:r>
      <w:r>
        <w:rPr>
          <w:i/>
        </w:rPr>
        <w:t>The st</w:t>
      </w:r>
      <w:r>
        <w:rPr>
          <w:i/>
        </w:rPr>
        <w:t>andard does not specify a length restriction for the v element.</w:t>
      </w:r>
    </w:p>
    <w:p w:rsidR="00024C0A" w:rsidRDefault="00694C0F">
      <w:pPr>
        <w:pStyle w:val="Definition-Field2"/>
      </w:pPr>
      <w:r>
        <w:t>In Excel, the v element must not be more than 32767 characters long.</w:t>
      </w:r>
    </w:p>
    <w:p w:rsidR="00024C0A" w:rsidRDefault="00694C0F">
      <w:pPr>
        <w:pStyle w:val="Heading3"/>
      </w:pPr>
      <w:bookmarkStart w:id="1723" w:name="section_5253fec85698422f9346288d9f67dbd2"/>
      <w:bookmarkStart w:id="1724" w:name="_Toc12260922"/>
      <w:r>
        <w:t>Part 1 Section 18.15.4, tr (References)</w:t>
      </w:r>
      <w:bookmarkEnd w:id="1723"/>
      <w:bookmarkEnd w:id="1724"/>
      <w:r>
        <w:fldChar w:fldCharType="begin"/>
      </w:r>
      <w:r>
        <w:instrText xml:space="preserve"> XE "tr (References)" </w:instrText>
      </w:r>
      <w:r>
        <w:fldChar w:fldCharType="end"/>
      </w:r>
    </w:p>
    <w:p w:rsidR="00024C0A" w:rsidRDefault="00694C0F">
      <w:pPr>
        <w:pStyle w:val="Definition-Field"/>
      </w:pPr>
      <w:r>
        <w:t xml:space="preserve">a.   </w:t>
      </w:r>
      <w:r>
        <w:rPr>
          <w:i/>
        </w:rPr>
        <w:t>The standard states that the values of the s attribute</w:t>
      </w:r>
      <w:r>
        <w:rPr>
          <w:i/>
        </w:rPr>
        <w:t xml:space="preserve"> are defined by the XML Schema unsignedInt datatype.</w:t>
      </w:r>
    </w:p>
    <w:p w:rsidR="00024C0A" w:rsidRDefault="00694C0F">
      <w:pPr>
        <w:pStyle w:val="Definition-Field2"/>
      </w:pPr>
      <w:r>
        <w:t>Excel restricts the value of this attribute to be at least 1 and at most 65534.</w:t>
      </w:r>
    </w:p>
    <w:p w:rsidR="00024C0A" w:rsidRDefault="00694C0F">
      <w:pPr>
        <w:pStyle w:val="Heading3"/>
      </w:pPr>
      <w:bookmarkStart w:id="1725" w:name="section_e46452807ae048c0b82ef72096eaca48"/>
      <w:bookmarkStart w:id="1726" w:name="_Toc12260923"/>
      <w:r>
        <w:t>Part 1 Section 18.16.1, DataBinding (XML Mapping)</w:t>
      </w:r>
      <w:bookmarkEnd w:id="1725"/>
      <w:bookmarkEnd w:id="1726"/>
      <w:r>
        <w:fldChar w:fldCharType="begin"/>
      </w:r>
      <w:r>
        <w:instrText xml:space="preserve"> XE "DataBinding (XML Mapping)" </w:instrText>
      </w:r>
      <w:r>
        <w:fldChar w:fldCharType="end"/>
      </w:r>
    </w:p>
    <w:p w:rsidR="00024C0A" w:rsidRDefault="00694C0F">
      <w:pPr>
        <w:pStyle w:val="Definition-Field"/>
      </w:pPr>
      <w:r>
        <w:t xml:space="preserve">a.   </w:t>
      </w:r>
      <w:r>
        <w:rPr>
          <w:i/>
        </w:rPr>
        <w:t>The standard does not specify a de</w:t>
      </w:r>
      <w:r>
        <w:rPr>
          <w:i/>
        </w:rPr>
        <w:t>fault value for the FileBinding attribute.</w:t>
      </w:r>
    </w:p>
    <w:p w:rsidR="00024C0A" w:rsidRDefault="00694C0F">
      <w:pPr>
        <w:pStyle w:val="Definition-Field2"/>
      </w:pPr>
      <w:r>
        <w:t>Excel uses a default value of false for this attribute.</w:t>
      </w:r>
    </w:p>
    <w:p w:rsidR="00024C0A" w:rsidRDefault="00694C0F">
      <w:pPr>
        <w:pStyle w:val="Definition-Field"/>
      </w:pPr>
      <w:r>
        <w:t xml:space="preserve">b.   </w:t>
      </w:r>
      <w:r>
        <w:rPr>
          <w:i/>
        </w:rPr>
        <w:t>The standard does not say that @ConnectionID is equal to @id in one of collection elements.</w:t>
      </w:r>
    </w:p>
    <w:p w:rsidR="00024C0A" w:rsidRDefault="00694C0F">
      <w:pPr>
        <w:pStyle w:val="Definition-Field2"/>
      </w:pPr>
      <w:r>
        <w:t>In Office, @ConnectionID must be equal to @id in one of coll</w:t>
      </w:r>
      <w:r>
        <w:t>ection elements.</w:t>
      </w:r>
    </w:p>
    <w:p w:rsidR="00024C0A" w:rsidRDefault="00694C0F">
      <w:pPr>
        <w:pStyle w:val="Definition-Field"/>
      </w:pPr>
      <w:r>
        <w:t xml:space="preserve">c.   </w:t>
      </w:r>
      <w:r>
        <w:rPr>
          <w:i/>
        </w:rPr>
        <w:t>The standard does not indicate any restrictions for the attribute @ConnectionID.</w:t>
      </w:r>
    </w:p>
    <w:p w:rsidR="00024C0A" w:rsidRDefault="00694C0F">
      <w:pPr>
        <w:pStyle w:val="Definition-Field2"/>
      </w:pPr>
      <w:r>
        <w:t>In Office, @ConnectionID shall be specified if @FileBinding is true, it shall not be specified if @FileBinding is false.</w:t>
      </w:r>
    </w:p>
    <w:p w:rsidR="00024C0A" w:rsidRDefault="00694C0F">
      <w:pPr>
        <w:pStyle w:val="Definition-Field"/>
      </w:pPr>
      <w:r>
        <w:t xml:space="preserve">d.   </w:t>
      </w:r>
      <w:r>
        <w:rPr>
          <w:i/>
        </w:rPr>
        <w:t>The standard does not limit</w:t>
      </w:r>
      <w:r>
        <w:rPr>
          <w:i/>
        </w:rPr>
        <w:t xml:space="preserve"> the length of the value of the DataBindingName attribute.</w:t>
      </w:r>
    </w:p>
    <w:p w:rsidR="00024C0A" w:rsidRDefault="00694C0F">
      <w:pPr>
        <w:pStyle w:val="Definition-Field2"/>
      </w:pPr>
      <w:r>
        <w:t>Excel restricts the value of this attribute to be at most 65535 characters.</w:t>
      </w:r>
    </w:p>
    <w:p w:rsidR="00024C0A" w:rsidRDefault="00694C0F">
      <w:pPr>
        <w:pStyle w:val="Definition-Field"/>
      </w:pPr>
      <w:r>
        <w:t xml:space="preserve">e.   </w:t>
      </w:r>
      <w:r>
        <w:rPr>
          <w:i/>
        </w:rPr>
        <w:t>The standard does not limit the length of the value of the FileBindingName attribute.</w:t>
      </w:r>
    </w:p>
    <w:p w:rsidR="00024C0A" w:rsidRDefault="00694C0F">
      <w:pPr>
        <w:pStyle w:val="Definition-Field2"/>
      </w:pPr>
      <w:r>
        <w:t>Excel restricts the value of t</w:t>
      </w:r>
      <w:r>
        <w:t>his attribute to be at most 65535 characters.</w:t>
      </w:r>
    </w:p>
    <w:p w:rsidR="00024C0A" w:rsidRDefault="00694C0F">
      <w:pPr>
        <w:pStyle w:val="Definition-Field"/>
      </w:pPr>
      <w:r>
        <w:t xml:space="preserve">f.   </w:t>
      </w:r>
      <w:r>
        <w:rPr>
          <w:i/>
        </w:rPr>
        <w:t>The standard states that the values of the FileBinding attribute are defined by the XML Schema boolean datatype.</w:t>
      </w:r>
    </w:p>
    <w:p w:rsidR="00024C0A" w:rsidRDefault="00694C0F">
      <w:pPr>
        <w:pStyle w:val="Definition-Field2"/>
      </w:pPr>
      <w:r>
        <w:lastRenderedPageBreak/>
        <w:t>Excel restricts the value of this attribute to be true or false.</w:t>
      </w:r>
    </w:p>
    <w:p w:rsidR="00024C0A" w:rsidRDefault="00694C0F">
      <w:pPr>
        <w:pStyle w:val="Definition-Field"/>
      </w:pPr>
      <w:r>
        <w:t xml:space="preserve">g.   </w:t>
      </w:r>
      <w:r>
        <w:rPr>
          <w:i/>
        </w:rPr>
        <w:t>The standard states th</w:t>
      </w:r>
      <w:r>
        <w:rPr>
          <w:i/>
        </w:rPr>
        <w:t>at the values of the ConnectionID attribute are defined by the XML Schema unsignedInt datatype.</w:t>
      </w:r>
    </w:p>
    <w:p w:rsidR="00024C0A" w:rsidRDefault="00694C0F">
      <w:pPr>
        <w:pStyle w:val="Definition-Field2"/>
      </w:pPr>
      <w:r>
        <w:t>Excel restricts the value of this attribute to be at most 2147483647.</w:t>
      </w:r>
    </w:p>
    <w:p w:rsidR="00024C0A" w:rsidRDefault="00694C0F">
      <w:pPr>
        <w:pStyle w:val="Definition-Field"/>
      </w:pPr>
      <w:r>
        <w:t xml:space="preserve">h.   </w:t>
      </w:r>
      <w:r>
        <w:rPr>
          <w:i/>
        </w:rPr>
        <w:t>The standard does not specify a minOccurs value for the any element.</w:t>
      </w:r>
    </w:p>
    <w:p w:rsidR="00024C0A" w:rsidRDefault="00694C0F">
      <w:pPr>
        <w:pStyle w:val="Definition-Field2"/>
      </w:pPr>
      <w:r>
        <w:t xml:space="preserve">Excel sets this </w:t>
      </w:r>
      <w:r>
        <w:t>value to be 0.</w:t>
      </w:r>
    </w:p>
    <w:p w:rsidR="00024C0A" w:rsidRDefault="00694C0F">
      <w:pPr>
        <w:pStyle w:val="Definition-Field"/>
      </w:pPr>
      <w:r>
        <w:t xml:space="preserve">i.   </w:t>
      </w:r>
      <w:r>
        <w:rPr>
          <w:i/>
        </w:rPr>
        <w:t>The standard places no restrictions on the relationship between the FileBindingName attribute and the FileBinding attribute.</w:t>
      </w:r>
    </w:p>
    <w:p w:rsidR="00024C0A" w:rsidRDefault="00694C0F">
      <w:pPr>
        <w:pStyle w:val="Definition-Field2"/>
      </w:pPr>
      <w:r>
        <w:t>Excel requires that the value of the FileBindingName attribute not be specified if the FileBinding attribute is</w:t>
      </w:r>
      <w:r>
        <w:t xml:space="preserve"> false.</w:t>
      </w:r>
    </w:p>
    <w:p w:rsidR="00024C0A" w:rsidRDefault="00694C0F">
      <w:pPr>
        <w:pStyle w:val="Heading3"/>
      </w:pPr>
      <w:bookmarkStart w:id="1727" w:name="section_b99c81f1268a460a96cc4bbbe2ddf7c5"/>
      <w:bookmarkStart w:id="1728" w:name="_Toc12260924"/>
      <w:r>
        <w:t>Part 1 Section 18.16.2, Map (XML Mapping Properties)</w:t>
      </w:r>
      <w:bookmarkEnd w:id="1727"/>
      <w:bookmarkEnd w:id="1728"/>
      <w:r>
        <w:fldChar w:fldCharType="begin"/>
      </w:r>
      <w:r>
        <w:instrText xml:space="preserve"> XE "Map (XML Mapping Properties)" </w:instrText>
      </w:r>
      <w:r>
        <w:fldChar w:fldCharType="end"/>
      </w:r>
    </w:p>
    <w:p w:rsidR="00024C0A" w:rsidRDefault="00694C0F">
      <w:pPr>
        <w:pStyle w:val="Definition-Field"/>
      </w:pPr>
      <w:r>
        <w:t xml:space="preserve">a.   </w:t>
      </w:r>
      <w:r>
        <w:rPr>
          <w:i/>
        </w:rPr>
        <w:t>The standard indicates that @Append type is xsd:boolean.</w:t>
      </w:r>
    </w:p>
    <w:p w:rsidR="00024C0A" w:rsidRDefault="00694C0F">
      <w:pPr>
        <w:pStyle w:val="Definition-Field2"/>
      </w:pPr>
      <w:r>
        <w:t>Office requires @Append to be true or false (not 1/0).</w:t>
      </w:r>
    </w:p>
    <w:p w:rsidR="00024C0A" w:rsidRDefault="00694C0F">
      <w:pPr>
        <w:pStyle w:val="Definition-Field"/>
      </w:pPr>
      <w:r>
        <w:t xml:space="preserve">b.   </w:t>
      </w:r>
      <w:r>
        <w:rPr>
          <w:i/>
        </w:rPr>
        <w:t xml:space="preserve">The standard indicates that </w:t>
      </w:r>
      <w:r>
        <w:rPr>
          <w:i/>
        </w:rPr>
        <w:t>@ShowImportExportValidationErrors type is xsd:boolean.</w:t>
      </w:r>
    </w:p>
    <w:p w:rsidR="00024C0A" w:rsidRDefault="00694C0F">
      <w:pPr>
        <w:pStyle w:val="Definition-Field2"/>
      </w:pPr>
      <w:r>
        <w:t>Office requires @ShowImportExportValidationErrors to be true or false (not 1/0).</w:t>
      </w:r>
    </w:p>
    <w:p w:rsidR="00024C0A" w:rsidRDefault="00694C0F">
      <w:pPr>
        <w:pStyle w:val="Definition-Field"/>
      </w:pPr>
      <w:r>
        <w:t xml:space="preserve">c.   </w:t>
      </w:r>
      <w:r>
        <w:rPr>
          <w:i/>
        </w:rPr>
        <w:t>The standard states that the values of the AutoFit attribute are defined by the XML Schema boolean datatype.</w:t>
      </w:r>
    </w:p>
    <w:p w:rsidR="00024C0A" w:rsidRDefault="00694C0F">
      <w:pPr>
        <w:pStyle w:val="Definition-Field2"/>
      </w:pPr>
      <w:r>
        <w:t xml:space="preserve">Excel </w:t>
      </w:r>
      <w:r>
        <w:t>restricts the value of this attribute to be true or false.</w:t>
      </w:r>
    </w:p>
    <w:p w:rsidR="00024C0A" w:rsidRDefault="00694C0F">
      <w:pPr>
        <w:pStyle w:val="Definition-Field"/>
      </w:pPr>
      <w:r>
        <w:t xml:space="preserve">d.   </w:t>
      </w:r>
      <w:r>
        <w:rPr>
          <w:i/>
        </w:rPr>
        <w:t>The standard indicates that @PreserveSortAFLayout type is xsd:boolean.</w:t>
      </w:r>
    </w:p>
    <w:p w:rsidR="00024C0A" w:rsidRDefault="00694C0F">
      <w:pPr>
        <w:pStyle w:val="Definition-Field2"/>
      </w:pPr>
      <w:r>
        <w:t>Office requires @PreserveSortAFLayout to be true or false (not 1/0).</w:t>
      </w:r>
    </w:p>
    <w:p w:rsidR="00024C0A" w:rsidRDefault="00694C0F">
      <w:pPr>
        <w:pStyle w:val="Definition-Field"/>
      </w:pPr>
      <w:r>
        <w:t xml:space="preserve">e.   </w:t>
      </w:r>
      <w:r>
        <w:rPr>
          <w:i/>
        </w:rPr>
        <w:t>The standard indicates that @PreserveFormat typ</w:t>
      </w:r>
      <w:r>
        <w:rPr>
          <w:i/>
        </w:rPr>
        <w:t>e is xsd:boolean.</w:t>
      </w:r>
    </w:p>
    <w:p w:rsidR="00024C0A" w:rsidRDefault="00694C0F">
      <w:pPr>
        <w:pStyle w:val="Definition-Field2"/>
      </w:pPr>
      <w:r>
        <w:t>Office requires @PreserveFormat to be true or false (not 1/0).</w:t>
      </w:r>
    </w:p>
    <w:p w:rsidR="00024C0A" w:rsidRDefault="00694C0F">
      <w:pPr>
        <w:pStyle w:val="Definition-Field"/>
      </w:pPr>
      <w:r>
        <w:t xml:space="preserve">f.   </w:t>
      </w:r>
      <w:r>
        <w:rPr>
          <w:i/>
        </w:rPr>
        <w:t>The standard does not specify a maximum length restriction for the name attribute.</w:t>
      </w:r>
    </w:p>
    <w:p w:rsidR="00024C0A" w:rsidRDefault="00694C0F">
      <w:pPr>
        <w:pStyle w:val="Definition-Field2"/>
      </w:pPr>
      <w:r>
        <w:t>Office limits the name attribute length to less than 65536 characters.</w:t>
      </w:r>
    </w:p>
    <w:p w:rsidR="00024C0A" w:rsidRDefault="00694C0F">
      <w:pPr>
        <w:pStyle w:val="Definition-Field"/>
      </w:pPr>
      <w:r>
        <w:t xml:space="preserve">g.   </w:t>
      </w:r>
      <w:r>
        <w:rPr>
          <w:i/>
        </w:rPr>
        <w:t>The standar</w:t>
      </w:r>
      <w:r>
        <w:rPr>
          <w:i/>
        </w:rPr>
        <w:t>d does not specify a maximum length restriction for @RootElement.</w:t>
      </w:r>
    </w:p>
    <w:p w:rsidR="00024C0A" w:rsidRDefault="00694C0F">
      <w:pPr>
        <w:pStyle w:val="Definition-Field2"/>
      </w:pPr>
      <w:r>
        <w:t>Office limits @RootElement to less than 65536 characters.</w:t>
      </w:r>
    </w:p>
    <w:p w:rsidR="00024C0A" w:rsidRDefault="00694C0F">
      <w:pPr>
        <w:pStyle w:val="Definition-Field"/>
      </w:pPr>
      <w:r>
        <w:t xml:space="preserve">h.   </w:t>
      </w:r>
      <w:r>
        <w:rPr>
          <w:i/>
        </w:rPr>
        <w:t>The standard does not specify a maximum for @ID.</w:t>
      </w:r>
    </w:p>
    <w:p w:rsidR="00024C0A" w:rsidRDefault="00694C0F">
      <w:pPr>
        <w:pStyle w:val="Definition-Field2"/>
      </w:pPr>
      <w:r>
        <w:t>Office limits @ID to be less than 2147483648 and greater than 0.</w:t>
      </w:r>
    </w:p>
    <w:p w:rsidR="00024C0A" w:rsidRDefault="00694C0F">
      <w:pPr>
        <w:pStyle w:val="Heading3"/>
      </w:pPr>
      <w:bookmarkStart w:id="1729" w:name="section_472cffc122ad47cdba49f24a14e565fe"/>
      <w:bookmarkStart w:id="1730" w:name="_Toc12260925"/>
      <w:r>
        <w:t>Part 1 Sectio</w:t>
      </w:r>
      <w:r>
        <w:t>n 18.16.4, Schema (XML Schema)</w:t>
      </w:r>
      <w:bookmarkEnd w:id="1729"/>
      <w:bookmarkEnd w:id="1730"/>
      <w:r>
        <w:fldChar w:fldCharType="begin"/>
      </w:r>
      <w:r>
        <w:instrText xml:space="preserve"> XE "Schema (XML Schema)" </w:instrText>
      </w:r>
      <w:r>
        <w:fldChar w:fldCharType="end"/>
      </w:r>
    </w:p>
    <w:p w:rsidR="00024C0A" w:rsidRDefault="00694C0F">
      <w:pPr>
        <w:pStyle w:val="Definition-Field"/>
      </w:pPr>
      <w:r>
        <w:t xml:space="preserve">a.   </w:t>
      </w:r>
      <w:r>
        <w:rPr>
          <w:i/>
        </w:rPr>
        <w:t>The standard does not limit the length of the value of the ID attribute.</w:t>
      </w:r>
    </w:p>
    <w:p w:rsidR="00024C0A" w:rsidRDefault="00694C0F">
      <w:pPr>
        <w:pStyle w:val="Definition-Field2"/>
      </w:pPr>
      <w:r>
        <w:t>Excel restricts the value of this attribute to be at most 65535 characters.</w:t>
      </w:r>
    </w:p>
    <w:p w:rsidR="00024C0A" w:rsidRDefault="00694C0F">
      <w:pPr>
        <w:pStyle w:val="Definition-Field"/>
      </w:pPr>
      <w:r>
        <w:t xml:space="preserve">b.   </w:t>
      </w:r>
      <w:r>
        <w:rPr>
          <w:i/>
        </w:rPr>
        <w:t>The standard does not limit the length</w:t>
      </w:r>
      <w:r>
        <w:rPr>
          <w:i/>
        </w:rPr>
        <w:t xml:space="preserve"> of the value of the SchemaRef attribute.</w:t>
      </w:r>
    </w:p>
    <w:p w:rsidR="00024C0A" w:rsidRDefault="00694C0F">
      <w:pPr>
        <w:pStyle w:val="Definition-Field2"/>
      </w:pPr>
      <w:r>
        <w:t>Excel restricts the value of this attribute to be at most 65535 characters.</w:t>
      </w:r>
    </w:p>
    <w:p w:rsidR="00024C0A" w:rsidRDefault="00694C0F">
      <w:pPr>
        <w:pStyle w:val="Definition-Field"/>
      </w:pPr>
      <w:r>
        <w:lastRenderedPageBreak/>
        <w:t xml:space="preserve">c.   </w:t>
      </w:r>
      <w:r>
        <w:rPr>
          <w:i/>
        </w:rPr>
        <w:t>The standard does not limit the length of the value of the Namespace attribute.</w:t>
      </w:r>
    </w:p>
    <w:p w:rsidR="00024C0A" w:rsidRDefault="00694C0F">
      <w:pPr>
        <w:pStyle w:val="Definition-Field2"/>
      </w:pPr>
      <w:r>
        <w:t xml:space="preserve">Excel restricts the value of this attribute to be at </w:t>
      </w:r>
      <w:r>
        <w:t>most 65535 characters.</w:t>
      </w:r>
    </w:p>
    <w:p w:rsidR="00024C0A" w:rsidRDefault="00694C0F">
      <w:pPr>
        <w:pStyle w:val="Definition-Field"/>
      </w:pPr>
      <w:r>
        <w:t xml:space="preserve">d.   </w:t>
      </w:r>
      <w:r>
        <w:rPr>
          <w:i/>
        </w:rPr>
        <w:t>The standard does not specify a minOccurs value for the any element.</w:t>
      </w:r>
    </w:p>
    <w:p w:rsidR="00024C0A" w:rsidRDefault="00694C0F">
      <w:pPr>
        <w:pStyle w:val="Definition-Field2"/>
      </w:pPr>
      <w:r>
        <w:t>Excel sets this value to be 0.</w:t>
      </w:r>
    </w:p>
    <w:p w:rsidR="00024C0A" w:rsidRDefault="00694C0F">
      <w:pPr>
        <w:pStyle w:val="Definition-Field"/>
      </w:pPr>
      <w:r>
        <w:t xml:space="preserve">e.   </w:t>
      </w:r>
      <w:r>
        <w:rPr>
          <w:i/>
        </w:rPr>
        <w:t>The standard states that the SchemaLanguage attribute is a valid attribute, and that it specifies the media type of the sch</w:t>
      </w:r>
      <w:r>
        <w:rPr>
          <w:i/>
        </w:rPr>
        <w:t>ema language.</w:t>
      </w:r>
    </w:p>
    <w:p w:rsidR="00024C0A" w:rsidRDefault="00694C0F">
      <w:pPr>
        <w:pStyle w:val="Definition-Field2"/>
      </w:pPr>
      <w:r>
        <w:t>Office ignores the SchemaLanguage attribute, and assumes that any Custom XML Mappings (as specified in Section 18.16) use XML Schema (media type application/xml).</w:t>
      </w:r>
    </w:p>
    <w:p w:rsidR="00024C0A" w:rsidRDefault="00694C0F">
      <w:pPr>
        <w:pStyle w:val="Definition-Field"/>
      </w:pPr>
      <w:r>
        <w:t xml:space="preserve">f.   </w:t>
      </w:r>
      <w:r>
        <w:rPr>
          <w:i/>
        </w:rPr>
        <w:t>The standard states that the complex type for the schema element defines i</w:t>
      </w:r>
      <w:r>
        <w:rPr>
          <w:i/>
        </w:rPr>
        <w:t>ts mixed attribute as true.</w:t>
      </w:r>
    </w:p>
    <w:p w:rsidR="00024C0A" w:rsidRDefault="00694C0F">
      <w:pPr>
        <w:pStyle w:val="Definition-Field2"/>
      </w:pPr>
      <w:r>
        <w:t>Excel ignores the mixed attribute on the schema element.</w:t>
      </w:r>
    </w:p>
    <w:p w:rsidR="00024C0A" w:rsidRDefault="00694C0F">
      <w:pPr>
        <w:pStyle w:val="Heading3"/>
      </w:pPr>
      <w:bookmarkStart w:id="1731" w:name="section_8a3a109cd76943aca4498526a2ea40dc"/>
      <w:bookmarkStart w:id="1732" w:name="_Toc12260926"/>
      <w:r>
        <w:t>Part 1 Section 18.17, Formulas</w:t>
      </w:r>
      <w:bookmarkEnd w:id="1731"/>
      <w:bookmarkEnd w:id="1732"/>
      <w:r>
        <w:fldChar w:fldCharType="begin"/>
      </w:r>
      <w:r>
        <w:instrText xml:space="preserve"> XE "Formulas" </w:instrText>
      </w:r>
      <w:r>
        <w:fldChar w:fldCharType="end"/>
      </w:r>
    </w:p>
    <w:p w:rsidR="00024C0A" w:rsidRDefault="00694C0F">
      <w:pPr>
        <w:pStyle w:val="Definition-Field"/>
      </w:pPr>
      <w:r>
        <w:t xml:space="preserve">a.   </w:t>
      </w:r>
      <w:r>
        <w:rPr>
          <w:i/>
        </w:rPr>
        <w:t>The standard does not specify structure references.</w:t>
      </w:r>
    </w:p>
    <w:p w:rsidR="00024C0A" w:rsidRDefault="00694C0F">
      <w:pPr>
        <w:pStyle w:val="Definition-Field2"/>
      </w:pPr>
      <w:r>
        <w:t>Office has special restrictions on structure references as defined</w:t>
      </w:r>
      <w:r>
        <w:t xml:space="preserve"> in Structure References (</w:t>
      </w:r>
      <w:hyperlink w:anchor="Section_089fbdefed494a149509794c95651b17">
        <w:r>
          <w:rPr>
            <w:rStyle w:val="Hyperlink"/>
          </w:rPr>
          <w:t>§3.2.3.1.1, Structure References</w:t>
        </w:r>
      </w:hyperlink>
      <w:r>
        <w:t>).</w:t>
      </w:r>
    </w:p>
    <w:p w:rsidR="00024C0A" w:rsidRDefault="00694C0F">
      <w:pPr>
        <w:pStyle w:val="Definition-Field"/>
      </w:pPr>
      <w:r>
        <w:t xml:space="preserve">b.   </w:t>
      </w:r>
      <w:r>
        <w:rPr>
          <w:i/>
        </w:rPr>
        <w:t>The standard does not specify conditional formatting formulas.</w:t>
      </w:r>
    </w:p>
    <w:p w:rsidR="00024C0A" w:rsidRDefault="00694C0F">
      <w:pPr>
        <w:pStyle w:val="Definition-Field2"/>
      </w:pPr>
      <w:r>
        <w:t>Office has special restrictions on conditional formatting formul</w:t>
      </w:r>
      <w:r>
        <w:t>as as defined in Conditional Formatting Formulas (</w:t>
      </w:r>
      <w:hyperlink w:anchor="Section_ed5fc677a2444bfca1488ac15a6a97db">
        <w:r>
          <w:rPr>
            <w:rStyle w:val="Hyperlink"/>
          </w:rPr>
          <w:t>§3.2.3.1.2, Conditional Formatting Formulas</w:t>
        </w:r>
      </w:hyperlink>
      <w:r>
        <w:t>).</w:t>
      </w:r>
    </w:p>
    <w:p w:rsidR="00024C0A" w:rsidRDefault="00694C0F">
      <w:pPr>
        <w:pStyle w:val="Definition-Field"/>
      </w:pPr>
      <w:r>
        <w:t xml:space="preserve">c.   </w:t>
      </w:r>
      <w:r>
        <w:rPr>
          <w:i/>
        </w:rPr>
        <w:t>The standard does not specify data validation formulas.</w:t>
      </w:r>
    </w:p>
    <w:p w:rsidR="00024C0A" w:rsidRDefault="00694C0F">
      <w:pPr>
        <w:pStyle w:val="Definition-Field2"/>
      </w:pPr>
      <w:r>
        <w:t xml:space="preserve">Office has special restrictions on </w:t>
      </w:r>
      <w:r>
        <w:t>data validation formulas as defined in Data Validation Formulas (</w:t>
      </w:r>
      <w:hyperlink w:anchor="Section_26e0ceb25b9342dc838c9e15c1a8cd8b">
        <w:r>
          <w:rPr>
            <w:rStyle w:val="Hyperlink"/>
          </w:rPr>
          <w:t>§3.2.3.1.3, Data Validation Formulas</w:t>
        </w:r>
      </w:hyperlink>
      <w:r>
        <w:t>).</w:t>
      </w:r>
    </w:p>
    <w:p w:rsidR="00024C0A" w:rsidRDefault="00694C0F">
      <w:pPr>
        <w:pStyle w:val="Definition-Field"/>
      </w:pPr>
      <w:r>
        <w:t xml:space="preserve">d.   </w:t>
      </w:r>
      <w:r>
        <w:rPr>
          <w:i/>
        </w:rPr>
        <w:t>The standard does not specify name formulas.</w:t>
      </w:r>
    </w:p>
    <w:p w:rsidR="00024C0A" w:rsidRDefault="00694C0F">
      <w:pPr>
        <w:pStyle w:val="Definition-Field2"/>
      </w:pPr>
      <w:r>
        <w:t>Office has special restrictions on name</w:t>
      </w:r>
      <w:r>
        <w:t xml:space="preserve"> formulas as defined in Name Formulas (</w:t>
      </w:r>
      <w:hyperlink w:anchor="Section_da7f42ad0083451a98cfb475b578d91d">
        <w:r>
          <w:rPr>
            <w:rStyle w:val="Hyperlink"/>
          </w:rPr>
          <w:t>§3.2.3.1.4, Name Formulas</w:t>
        </w:r>
      </w:hyperlink>
      <w:r>
        <w:t>).</w:t>
      </w:r>
    </w:p>
    <w:p w:rsidR="00024C0A" w:rsidRDefault="00694C0F">
      <w:pPr>
        <w:pStyle w:val="Definition-Field"/>
      </w:pPr>
      <w:r>
        <w:t xml:space="preserve">e.   </w:t>
      </w:r>
      <w:r>
        <w:rPr>
          <w:i/>
        </w:rPr>
        <w:t>The standard does not specify pivot formulas.</w:t>
      </w:r>
    </w:p>
    <w:p w:rsidR="00024C0A" w:rsidRDefault="00694C0F">
      <w:pPr>
        <w:pStyle w:val="Definition-Field2"/>
      </w:pPr>
      <w:r>
        <w:t>Office has special restrictions on pivot formulas as defined in Pivot Formu</w:t>
      </w:r>
      <w:r>
        <w:t>las (</w:t>
      </w:r>
      <w:hyperlink w:anchor="Section_b23ed080d4e143a58259332e1bf85d08">
        <w:r>
          <w:rPr>
            <w:rStyle w:val="Hyperlink"/>
          </w:rPr>
          <w:t>§3.2.3.1.8, Pivot Formulas</w:t>
        </w:r>
      </w:hyperlink>
      <w:r>
        <w:t>).</w:t>
      </w:r>
    </w:p>
    <w:p w:rsidR="00024C0A" w:rsidRDefault="00694C0F">
      <w:pPr>
        <w:pStyle w:val="Definition-Field"/>
      </w:pPr>
      <w:r>
        <w:t xml:space="preserve">f.   </w:t>
      </w:r>
      <w:r>
        <w:rPr>
          <w:i/>
        </w:rPr>
        <w:t>The standard does not specify chart formulas.</w:t>
      </w:r>
    </w:p>
    <w:p w:rsidR="00024C0A" w:rsidRDefault="00694C0F">
      <w:pPr>
        <w:pStyle w:val="Definition-Field2"/>
      </w:pPr>
      <w:r>
        <w:t>Office has special restrictions on chart formulas as defined in Chart Formulas (</w:t>
      </w:r>
      <w:hyperlink w:anchor="Section_a7f5e690608d4293affbcbe334eb4b62">
        <w:r>
          <w:rPr>
            <w:rStyle w:val="Hyperlink"/>
          </w:rPr>
          <w:t>§3.2.3.1.6, Chart formulas</w:t>
        </w:r>
      </w:hyperlink>
      <w:r>
        <w:t>).</w:t>
      </w:r>
    </w:p>
    <w:p w:rsidR="00024C0A" w:rsidRDefault="00694C0F">
      <w:pPr>
        <w:pStyle w:val="Definition-Field"/>
      </w:pPr>
      <w:r>
        <w:t xml:space="preserve">g.   </w:t>
      </w:r>
      <w:r>
        <w:rPr>
          <w:i/>
        </w:rPr>
        <w:t>The standard does not specify R1C1 formulas.</w:t>
      </w:r>
    </w:p>
    <w:p w:rsidR="00024C0A" w:rsidRDefault="00694C0F">
      <w:pPr>
        <w:pStyle w:val="Definition-Field2"/>
      </w:pPr>
      <w:r>
        <w:t>Office has special restrictions on R1C1 formulas as defined in R1C1 Formulas (</w:t>
      </w:r>
      <w:hyperlink w:anchor="Section_85f4d41ff3d649c987c1d570f55b03cb">
        <w:r>
          <w:rPr>
            <w:rStyle w:val="Hyperlink"/>
          </w:rPr>
          <w:t>§</w:t>
        </w:r>
        <w:r>
          <w:rPr>
            <w:rStyle w:val="Hyperlink"/>
          </w:rPr>
          <w:t>3.2.3.1.7, R1C1 formulas</w:t>
        </w:r>
      </w:hyperlink>
      <w:r>
        <w:t>).</w:t>
      </w:r>
    </w:p>
    <w:p w:rsidR="00024C0A" w:rsidRDefault="00694C0F">
      <w:pPr>
        <w:pStyle w:val="Definition-Field"/>
      </w:pPr>
      <w:r>
        <w:t xml:space="preserve">h.   </w:t>
      </w:r>
      <w:r>
        <w:rPr>
          <w:i/>
        </w:rPr>
        <w:t>The standard does not specify external name formulas.</w:t>
      </w:r>
    </w:p>
    <w:p w:rsidR="00024C0A" w:rsidRDefault="00694C0F">
      <w:pPr>
        <w:pStyle w:val="Definition-Field2"/>
      </w:pPr>
      <w:r>
        <w:t>Office has special restrictions on external name formulas as defined in External Name Formulas (</w:t>
      </w:r>
      <w:hyperlink w:anchor="Section_8a1616b2936d416fa5dee155de223008">
        <w:r>
          <w:rPr>
            <w:rStyle w:val="Hyperlink"/>
          </w:rPr>
          <w:t>§3.2.3.1.5,</w:t>
        </w:r>
        <w:r>
          <w:rPr>
            <w:rStyle w:val="Hyperlink"/>
          </w:rPr>
          <w:t xml:space="preserve"> External Name Formulas</w:t>
        </w:r>
      </w:hyperlink>
      <w:r>
        <w:t>).</w:t>
      </w:r>
    </w:p>
    <w:p w:rsidR="00024C0A" w:rsidRDefault="00694C0F">
      <w:pPr>
        <w:pStyle w:val="Definition-Field"/>
      </w:pPr>
      <w:r>
        <w:lastRenderedPageBreak/>
        <w:t xml:space="preserve">i.   </w:t>
      </w:r>
      <w:r>
        <w:rPr>
          <w:i/>
        </w:rPr>
        <w:t>The standard does not specify OLE Link formulas.</w:t>
      </w:r>
    </w:p>
    <w:p w:rsidR="00024C0A" w:rsidRDefault="00694C0F">
      <w:pPr>
        <w:pStyle w:val="Definition-Field2"/>
      </w:pPr>
      <w:r>
        <w:t>Office has special restrictions on OLE Link formulas as defined in OLE Link Formulas (</w:t>
      </w:r>
      <w:hyperlink w:anchor="Section_9892ca2173c94655b488f146c6dd5a94">
        <w:r>
          <w:rPr>
            <w:rStyle w:val="Hyperlink"/>
          </w:rPr>
          <w:t>§3.2.3.1.9, OLE Link Formul</w:t>
        </w:r>
        <w:r>
          <w:rPr>
            <w:rStyle w:val="Hyperlink"/>
          </w:rPr>
          <w:t>as</w:t>
        </w:r>
      </w:hyperlink>
      <w:r>
        <w:t>).</w:t>
      </w:r>
    </w:p>
    <w:p w:rsidR="00024C0A" w:rsidRDefault="00694C0F">
      <w:pPr>
        <w:pStyle w:val="Heading3"/>
      </w:pPr>
      <w:bookmarkStart w:id="1733" w:name="section_c45b0396bc384fd6abf79782b7d6f926"/>
      <w:bookmarkStart w:id="1734" w:name="_Toc12260927"/>
      <w:r>
        <w:t>Part 1 Section 18.17.2, Syntax</w:t>
      </w:r>
      <w:bookmarkEnd w:id="1733"/>
      <w:bookmarkEnd w:id="1734"/>
      <w:r>
        <w:fldChar w:fldCharType="begin"/>
      </w:r>
      <w:r>
        <w:instrText xml:space="preserve"> XE "Syntax" </w:instrText>
      </w:r>
      <w:r>
        <w:fldChar w:fldCharType="end"/>
      </w:r>
    </w:p>
    <w:p w:rsidR="00024C0A" w:rsidRDefault="00694C0F">
      <w:pPr>
        <w:pStyle w:val="Definition-Field"/>
      </w:pPr>
      <w:r>
        <w:t xml:space="preserve">a.   </w:t>
      </w:r>
      <w:r>
        <w:rPr>
          <w:i/>
        </w:rPr>
        <w:t>The standard does not specify the EBNF standard used to describe formula.</w:t>
      </w:r>
    </w:p>
    <w:p w:rsidR="00024C0A" w:rsidRDefault="00694C0F">
      <w:r>
        <w:t>Office defines the syntax rules in this subclause follow the system shown in ISO/IEC 14977: literal text is surrounded by doub</w:t>
      </w:r>
      <w:r>
        <w:t>le-quotes (or by apostrophes); the left-square-bracket and right-square-bracket designate the start and end of an option; the left-curly-bracket and right-curly-bracket designate the start and end of an sequence of zero-or-more items; the vertical-line ind</w:t>
      </w:r>
      <w:r>
        <w:t>icates an alternative; and each rule ends with a semicolon. Whenever hyphen is used as the exception-symbol (as per ISO/IEC 14977), it is surrounded by white space, and further clarified by a comment.</w:t>
      </w:r>
    </w:p>
    <w:p w:rsidR="00024C0A" w:rsidRDefault="00694C0F">
      <w:pPr>
        <w:pStyle w:val="Definition-Field"/>
      </w:pPr>
      <w:r>
        <w:t xml:space="preserve">b.   </w:t>
      </w:r>
      <w:r>
        <w:rPr>
          <w:i/>
        </w:rPr>
        <w:t>The standard does not specify the set of productio</w:t>
      </w:r>
      <w:r>
        <w:rPr>
          <w:i/>
        </w:rPr>
        <w:t>ns for formula using EBNF.</w:t>
      </w:r>
    </w:p>
    <w:p w:rsidR="00024C0A" w:rsidRDefault="00694C0F">
      <w:r>
        <w:t>Office writes the productions for formula using the following EBNF:</w:t>
      </w:r>
    </w:p>
    <w:p w:rsidR="00024C0A" w:rsidRDefault="00694C0F">
      <w:pPr>
        <w:pStyle w:val="Code"/>
      </w:pPr>
      <w:r>
        <w:t>formula=</w:t>
      </w:r>
    </w:p>
    <w:p w:rsidR="00024C0A" w:rsidRDefault="00694C0F">
      <w:pPr>
        <w:pStyle w:val="Code"/>
      </w:pPr>
      <w:r>
        <w:t xml:space="preserve">  expression  ;</w:t>
      </w:r>
    </w:p>
    <w:p w:rsidR="00024C0A" w:rsidRDefault="00694C0F">
      <w:pPr>
        <w:pStyle w:val="Code"/>
      </w:pPr>
      <w:r>
        <w:t>expression= {space}, nospace-expression, {space};</w:t>
      </w:r>
    </w:p>
    <w:p w:rsidR="00024C0A" w:rsidRDefault="00694C0F">
      <w:pPr>
        <w:pStyle w:val="Code"/>
      </w:pPr>
      <w:r>
        <w:t>nospace-expression=</w:t>
      </w:r>
    </w:p>
    <w:p w:rsidR="00024C0A" w:rsidRDefault="00694C0F">
      <w:pPr>
        <w:pStyle w:val="Code"/>
      </w:pPr>
      <w:r>
        <w:t xml:space="preserve">  "(",  expression,  ")"  | </w:t>
      </w:r>
    </w:p>
    <w:p w:rsidR="00024C0A" w:rsidRDefault="00694C0F">
      <w:pPr>
        <w:pStyle w:val="Code"/>
      </w:pPr>
      <w:r>
        <w:t xml:space="preserve">  constant  | </w:t>
      </w:r>
    </w:p>
    <w:p w:rsidR="00024C0A" w:rsidRDefault="00694C0F">
      <w:pPr>
        <w:pStyle w:val="Code"/>
      </w:pPr>
      <w:r>
        <w:t xml:space="preserve">  prefix-operator,  expression  | </w:t>
      </w:r>
    </w:p>
    <w:p w:rsidR="00024C0A" w:rsidRDefault="00694C0F">
      <w:pPr>
        <w:pStyle w:val="Code"/>
      </w:pPr>
      <w:r>
        <w:t xml:space="preserve">  expression,  infix-operator,  expression  | </w:t>
      </w:r>
    </w:p>
    <w:p w:rsidR="00024C0A" w:rsidRDefault="00694C0F">
      <w:pPr>
        <w:pStyle w:val="Code"/>
      </w:pPr>
      <w:r>
        <w:t xml:space="preserve">  expression,  postfix-operator  | </w:t>
      </w:r>
    </w:p>
    <w:p w:rsidR="00024C0A" w:rsidRDefault="00694C0F">
      <w:pPr>
        <w:pStyle w:val="Code"/>
      </w:pPr>
      <w:r>
        <w:t xml:space="preserve">  cell-reference  |</w:t>
      </w:r>
    </w:p>
    <w:p w:rsidR="00024C0A" w:rsidRDefault="00694C0F">
      <w:pPr>
        <w:pStyle w:val="Code"/>
      </w:pPr>
      <w:r>
        <w:t xml:space="preserve">  function-call  | </w:t>
      </w:r>
    </w:p>
    <w:p w:rsidR="00024C0A" w:rsidRDefault="00694C0F">
      <w:pPr>
        <w:pStyle w:val="Code"/>
      </w:pPr>
      <w:r>
        <w:t xml:space="preserve">  name-reference  |</w:t>
      </w:r>
    </w:p>
    <w:p w:rsidR="00024C0A" w:rsidRDefault="00694C0F">
      <w:pPr>
        <w:pStyle w:val="Code"/>
      </w:pPr>
      <w:r>
        <w:t>structure-reference ;</w:t>
      </w:r>
    </w:p>
    <w:p w:rsidR="00024C0A" w:rsidRDefault="00694C0F">
      <w:pPr>
        <w:pStyle w:val="Definition-Field"/>
      </w:pPr>
      <w:r>
        <w:t xml:space="preserve">c.   </w:t>
      </w:r>
      <w:r>
        <w:rPr>
          <w:i/>
        </w:rPr>
        <w:t xml:space="preserve">The standard does not state that structured </w:t>
      </w:r>
      <w:r>
        <w:rPr>
          <w:i/>
        </w:rPr>
        <w:t>referencing in formulas is allowed.</w:t>
      </w:r>
    </w:p>
    <w:p w:rsidR="00024C0A" w:rsidRDefault="00694C0F">
      <w:pPr>
        <w:pStyle w:val="Definition-Field2"/>
      </w:pPr>
      <w:r>
        <w:t>Office allows structured referencing in formulas.</w:t>
      </w:r>
    </w:p>
    <w:p w:rsidR="00024C0A" w:rsidRDefault="00694C0F">
      <w:pPr>
        <w:pStyle w:val="Definition-Field"/>
      </w:pPr>
      <w:r>
        <w:t xml:space="preserve">d.   </w:t>
      </w:r>
      <w:r>
        <w:rPr>
          <w:i/>
        </w:rPr>
        <w:t>The standard provides a rather loose definition of value space for arithmetic terms in an expression.</w:t>
      </w:r>
    </w:p>
    <w:p w:rsidR="00024C0A" w:rsidRDefault="00694C0F">
      <w:pPr>
        <w:pStyle w:val="Definition-Field2"/>
      </w:pPr>
      <w:r>
        <w:t>Excel uses IEC 60559's double precision, excluding denormalized</w:t>
      </w:r>
      <w:r>
        <w:t xml:space="preserve"> numbers.</w:t>
      </w:r>
    </w:p>
    <w:p w:rsidR="00024C0A" w:rsidRDefault="00694C0F">
      <w:pPr>
        <w:pStyle w:val="Definition-Field"/>
      </w:pPr>
      <w:r>
        <w:t xml:space="preserve">e.   </w:t>
      </w:r>
      <w:r>
        <w:rPr>
          <w:i/>
        </w:rPr>
        <w:t>The standard does not define how behavior of range values differ between array formulas and normal formulas.</w:t>
      </w:r>
    </w:p>
    <w:p w:rsidR="00024C0A" w:rsidRDefault="00694C0F">
      <w:r>
        <w:t>In Office, the way in which input ranges are interpreted and output values are understood to relate to cells sharing the formula may</w:t>
      </w:r>
      <w:r>
        <w:t xml:space="preserve"> mean one of two things based on whether the formula was an array formula or not.</w:t>
      </w:r>
    </w:p>
    <w:p w:rsidR="00024C0A" w:rsidRDefault="00694C0F">
      <w:r>
        <w:t>For an array-entered formula: All range arguments are interpreted to be their full range. If the result of the formula is an array, the values of the array are meant to be re</w:t>
      </w:r>
      <w:r>
        <w:t>turned across all of the cells in the sheet sharing the formula. (When the size of the range for an array formula exceeds in either dimension the size of the returned array, the excess cells take on a value of </w:t>
      </w:r>
      <w:r>
        <w:rPr>
          <w:rStyle w:val="InlineCode"/>
        </w:rPr>
        <w:t>#N/A.</w:t>
      </w:r>
      <w:r>
        <w:t>)</w:t>
      </w:r>
    </w:p>
    <w:p w:rsidR="00024C0A" w:rsidRDefault="00694C0F">
      <w:r>
        <w:t>For a normal (non-array) formula:</w:t>
      </w:r>
    </w:p>
    <w:p w:rsidR="00024C0A" w:rsidRDefault="00694C0F">
      <w:pPr>
        <w:pStyle w:val="ListParagraph"/>
        <w:numPr>
          <w:ilvl w:val="0"/>
          <w:numId w:val="70"/>
        </w:numPr>
        <w:contextualSpacing/>
      </w:pPr>
      <w:r>
        <w:t>Impli</w:t>
      </w:r>
      <w:r>
        <w:t>cit intersection is performed on all arguments to functions except for those that allow a range.</w:t>
      </w:r>
    </w:p>
    <w:p w:rsidR="00024C0A" w:rsidRDefault="00694C0F">
      <w:pPr>
        <w:pStyle w:val="ListParagraph"/>
        <w:numPr>
          <w:ilvl w:val="0"/>
          <w:numId w:val="70"/>
        </w:numPr>
        <w:contextualSpacing/>
      </w:pPr>
      <w:r>
        <w:t>If the formula results in an array, only the first value from the array is returned to the cell.</w:t>
      </w:r>
    </w:p>
    <w:p w:rsidR="00024C0A" w:rsidRDefault="00694C0F">
      <w:pPr>
        <w:pStyle w:val="ListParagraph"/>
        <w:numPr>
          <w:ilvl w:val="0"/>
          <w:numId w:val="70"/>
        </w:numPr>
      </w:pPr>
      <w:r>
        <w:lastRenderedPageBreak/>
        <w:t>In Office, if implicit intersection cannot be performed, #VALU</w:t>
      </w:r>
      <w:r>
        <w:t>E! is returned to the cell.</w:t>
      </w:r>
    </w:p>
    <w:p w:rsidR="00024C0A" w:rsidRDefault="00694C0F">
      <w:r>
        <w:t>Implicit intersection is determined as follows: When a range is passed to a function which expects only a single cell, a test is made to discover whether the calling cell intersects that range at any point horizontally or vertic</w:t>
      </w:r>
      <w:r>
        <w:t>ally. If it does, the cell at the point of intersection is passed to the function. [Example: The formula ABS(B1:B3) is entered into A2. Because the ABS function does not expect a range, implicit intersection is performed. A2 intersects B1:B3 horizontally o</w:t>
      </w:r>
      <w:r>
        <w:t>n row 2, and so the value in B2 is passed into the function. end example]</w:t>
      </w:r>
    </w:p>
    <w:p w:rsidR="00024C0A" w:rsidRDefault="00694C0F">
      <w:pPr>
        <w:pStyle w:val="Definition-Field"/>
      </w:pPr>
      <w:r>
        <w:t xml:space="preserve">f.   </w:t>
      </w:r>
      <w:r>
        <w:rPr>
          <w:i/>
        </w:rPr>
        <w:t>The standard does specify which function's arguments can be a range.</w:t>
      </w:r>
    </w:p>
    <w:p w:rsidR="00024C0A" w:rsidRDefault="00694C0F">
      <w:r>
        <w:t>Office defines the list of function arguments that allow a range is as follows:</w:t>
      </w:r>
    </w:p>
    <w:p w:rsidR="00024C0A" w:rsidRDefault="00694C0F">
      <w:pPr>
        <w:pStyle w:val="ListParagraph"/>
        <w:numPr>
          <w:ilvl w:val="0"/>
          <w:numId w:val="71"/>
        </w:numPr>
        <w:contextualSpacing/>
      </w:pPr>
      <w:r>
        <w:t>ACCRINT - all arguments</w:t>
      </w:r>
    </w:p>
    <w:p w:rsidR="00024C0A" w:rsidRDefault="00694C0F">
      <w:pPr>
        <w:pStyle w:val="ListParagraph"/>
        <w:numPr>
          <w:ilvl w:val="0"/>
          <w:numId w:val="71"/>
        </w:numPr>
        <w:contextualSpacing/>
      </w:pPr>
      <w:r>
        <w:t>ACCR</w:t>
      </w:r>
      <w:r>
        <w:t>INTM - all arguments</w:t>
      </w:r>
    </w:p>
    <w:p w:rsidR="00024C0A" w:rsidRDefault="00694C0F">
      <w:pPr>
        <w:pStyle w:val="ListParagraph"/>
        <w:numPr>
          <w:ilvl w:val="0"/>
          <w:numId w:val="71"/>
        </w:numPr>
        <w:contextualSpacing/>
      </w:pPr>
      <w:r>
        <w:t>AMORDEGRC - all arguments</w:t>
      </w:r>
    </w:p>
    <w:p w:rsidR="00024C0A" w:rsidRDefault="00694C0F">
      <w:pPr>
        <w:pStyle w:val="ListParagraph"/>
        <w:numPr>
          <w:ilvl w:val="0"/>
          <w:numId w:val="71"/>
        </w:numPr>
        <w:contextualSpacing/>
      </w:pPr>
      <w:r>
        <w:t>AMORLINC - all arguments</w:t>
      </w:r>
    </w:p>
    <w:p w:rsidR="00024C0A" w:rsidRDefault="00694C0F">
      <w:pPr>
        <w:pStyle w:val="ListParagraph"/>
        <w:numPr>
          <w:ilvl w:val="0"/>
          <w:numId w:val="71"/>
        </w:numPr>
        <w:contextualSpacing/>
      </w:pPr>
      <w:r>
        <w:t>AND - all arguments</w:t>
      </w:r>
    </w:p>
    <w:p w:rsidR="00024C0A" w:rsidRDefault="00694C0F">
      <w:pPr>
        <w:pStyle w:val="ListParagraph"/>
        <w:numPr>
          <w:ilvl w:val="0"/>
          <w:numId w:val="71"/>
        </w:numPr>
        <w:contextualSpacing/>
      </w:pPr>
      <w:r>
        <w:t>AREAS – reference argument</w:t>
      </w:r>
    </w:p>
    <w:p w:rsidR="00024C0A" w:rsidRDefault="00694C0F">
      <w:pPr>
        <w:pStyle w:val="ListParagraph"/>
        <w:numPr>
          <w:ilvl w:val="0"/>
          <w:numId w:val="71"/>
        </w:numPr>
        <w:contextualSpacing/>
      </w:pPr>
      <w:r>
        <w:t>AVEDEV - all arguments</w:t>
      </w:r>
    </w:p>
    <w:p w:rsidR="00024C0A" w:rsidRDefault="00694C0F">
      <w:pPr>
        <w:pStyle w:val="ListParagraph"/>
        <w:numPr>
          <w:ilvl w:val="0"/>
          <w:numId w:val="71"/>
        </w:numPr>
        <w:contextualSpacing/>
      </w:pPr>
      <w:r>
        <w:t>AVERAGE - all arguments</w:t>
      </w:r>
    </w:p>
    <w:p w:rsidR="00024C0A" w:rsidRDefault="00694C0F">
      <w:pPr>
        <w:pStyle w:val="ListParagraph"/>
        <w:numPr>
          <w:ilvl w:val="0"/>
          <w:numId w:val="71"/>
        </w:numPr>
        <w:contextualSpacing/>
      </w:pPr>
      <w:r>
        <w:t>AVERAGEA - all arguments</w:t>
      </w:r>
    </w:p>
    <w:p w:rsidR="00024C0A" w:rsidRDefault="00694C0F">
      <w:pPr>
        <w:pStyle w:val="ListParagraph"/>
        <w:numPr>
          <w:ilvl w:val="0"/>
          <w:numId w:val="71"/>
        </w:numPr>
        <w:contextualSpacing/>
      </w:pPr>
      <w:r>
        <w:t>AVERAGEIF - all arguments except for criteria</w:t>
      </w:r>
    </w:p>
    <w:p w:rsidR="00024C0A" w:rsidRDefault="00694C0F">
      <w:pPr>
        <w:pStyle w:val="ListParagraph"/>
        <w:numPr>
          <w:ilvl w:val="0"/>
          <w:numId w:val="71"/>
        </w:numPr>
        <w:contextualSpacing/>
      </w:pPr>
      <w:r>
        <w:t xml:space="preserve">AVERAGEIFS - all </w:t>
      </w:r>
      <w:r>
        <w:t>arguments except for criteria1, criteria2, and so on.</w:t>
      </w:r>
    </w:p>
    <w:p w:rsidR="00024C0A" w:rsidRDefault="00694C0F">
      <w:pPr>
        <w:pStyle w:val="ListParagraph"/>
        <w:numPr>
          <w:ilvl w:val="0"/>
          <w:numId w:val="71"/>
        </w:numPr>
        <w:contextualSpacing/>
      </w:pPr>
      <w:r>
        <w:t>BESSELI - all arguments</w:t>
      </w:r>
    </w:p>
    <w:p w:rsidR="00024C0A" w:rsidRDefault="00694C0F">
      <w:pPr>
        <w:pStyle w:val="ListParagraph"/>
        <w:numPr>
          <w:ilvl w:val="0"/>
          <w:numId w:val="71"/>
        </w:numPr>
        <w:contextualSpacing/>
      </w:pPr>
      <w:r>
        <w:t>BESSELJ - all arguments</w:t>
      </w:r>
    </w:p>
    <w:p w:rsidR="00024C0A" w:rsidRDefault="00694C0F">
      <w:pPr>
        <w:pStyle w:val="ListParagraph"/>
        <w:numPr>
          <w:ilvl w:val="0"/>
          <w:numId w:val="71"/>
        </w:numPr>
        <w:contextualSpacing/>
      </w:pPr>
      <w:r>
        <w:t>BESSELK - all arguments</w:t>
      </w:r>
    </w:p>
    <w:p w:rsidR="00024C0A" w:rsidRDefault="00694C0F">
      <w:pPr>
        <w:pStyle w:val="ListParagraph"/>
        <w:numPr>
          <w:ilvl w:val="0"/>
          <w:numId w:val="71"/>
        </w:numPr>
        <w:contextualSpacing/>
      </w:pPr>
      <w:r>
        <w:t>BESSELY - all arguments</w:t>
      </w:r>
    </w:p>
    <w:p w:rsidR="00024C0A" w:rsidRDefault="00694C0F">
      <w:pPr>
        <w:pStyle w:val="ListParagraph"/>
        <w:numPr>
          <w:ilvl w:val="0"/>
          <w:numId w:val="71"/>
        </w:numPr>
        <w:contextualSpacing/>
      </w:pPr>
      <w:r>
        <w:t>BIN2DEC - all arguments</w:t>
      </w:r>
    </w:p>
    <w:p w:rsidR="00024C0A" w:rsidRDefault="00694C0F">
      <w:pPr>
        <w:pStyle w:val="ListParagraph"/>
        <w:numPr>
          <w:ilvl w:val="0"/>
          <w:numId w:val="71"/>
        </w:numPr>
        <w:contextualSpacing/>
      </w:pPr>
      <w:r>
        <w:t>BIN2HEX - all arguments</w:t>
      </w:r>
    </w:p>
    <w:p w:rsidR="00024C0A" w:rsidRDefault="00694C0F">
      <w:pPr>
        <w:pStyle w:val="ListParagraph"/>
        <w:numPr>
          <w:ilvl w:val="0"/>
          <w:numId w:val="71"/>
        </w:numPr>
        <w:contextualSpacing/>
      </w:pPr>
      <w:r>
        <w:t>BIN2OCT - all arguments</w:t>
      </w:r>
    </w:p>
    <w:p w:rsidR="00024C0A" w:rsidRDefault="00694C0F">
      <w:pPr>
        <w:pStyle w:val="ListParagraph"/>
        <w:numPr>
          <w:ilvl w:val="0"/>
          <w:numId w:val="71"/>
        </w:numPr>
        <w:contextualSpacing/>
      </w:pPr>
      <w:r>
        <w:t>CHOOSE - all arguments except inde</w:t>
      </w:r>
      <w:r>
        <w:t>x</w:t>
      </w:r>
    </w:p>
    <w:p w:rsidR="00024C0A" w:rsidRDefault="00694C0F">
      <w:pPr>
        <w:pStyle w:val="ListParagraph"/>
        <w:numPr>
          <w:ilvl w:val="0"/>
          <w:numId w:val="71"/>
        </w:numPr>
        <w:contextualSpacing/>
      </w:pPr>
      <w:r>
        <w:t>COLUMN - all arguments</w:t>
      </w:r>
    </w:p>
    <w:p w:rsidR="00024C0A" w:rsidRDefault="00694C0F">
      <w:pPr>
        <w:pStyle w:val="ListParagraph"/>
        <w:numPr>
          <w:ilvl w:val="0"/>
          <w:numId w:val="71"/>
        </w:numPr>
        <w:contextualSpacing/>
      </w:pPr>
      <w:r>
        <w:t>COLUMNS - all arguments</w:t>
      </w:r>
    </w:p>
    <w:p w:rsidR="00024C0A" w:rsidRDefault="00694C0F">
      <w:pPr>
        <w:pStyle w:val="ListParagraph"/>
        <w:numPr>
          <w:ilvl w:val="0"/>
          <w:numId w:val="71"/>
        </w:numPr>
        <w:contextualSpacing/>
      </w:pPr>
      <w:r>
        <w:t>COMPLEX - all arguments</w:t>
      </w:r>
    </w:p>
    <w:p w:rsidR="00024C0A" w:rsidRDefault="00694C0F">
      <w:pPr>
        <w:pStyle w:val="ListParagraph"/>
        <w:numPr>
          <w:ilvl w:val="0"/>
          <w:numId w:val="71"/>
        </w:numPr>
        <w:contextualSpacing/>
      </w:pPr>
      <w:r>
        <w:t>CONVERT - all arguments</w:t>
      </w:r>
    </w:p>
    <w:p w:rsidR="00024C0A" w:rsidRDefault="00694C0F">
      <w:pPr>
        <w:pStyle w:val="ListParagraph"/>
        <w:numPr>
          <w:ilvl w:val="0"/>
          <w:numId w:val="71"/>
        </w:numPr>
        <w:contextualSpacing/>
      </w:pPr>
      <w:r>
        <w:t>COUNT - all arguments</w:t>
      </w:r>
    </w:p>
    <w:p w:rsidR="00024C0A" w:rsidRDefault="00694C0F">
      <w:pPr>
        <w:pStyle w:val="ListParagraph"/>
        <w:numPr>
          <w:ilvl w:val="0"/>
          <w:numId w:val="71"/>
        </w:numPr>
        <w:contextualSpacing/>
      </w:pPr>
      <w:r>
        <w:t>COUNTA - all arguments</w:t>
      </w:r>
    </w:p>
    <w:p w:rsidR="00024C0A" w:rsidRDefault="00694C0F">
      <w:pPr>
        <w:pStyle w:val="ListParagraph"/>
        <w:numPr>
          <w:ilvl w:val="0"/>
          <w:numId w:val="71"/>
        </w:numPr>
        <w:contextualSpacing/>
      </w:pPr>
      <w:r>
        <w:t>COUNTBLANK - all arguments</w:t>
      </w:r>
    </w:p>
    <w:p w:rsidR="00024C0A" w:rsidRDefault="00694C0F">
      <w:pPr>
        <w:pStyle w:val="ListParagraph"/>
        <w:numPr>
          <w:ilvl w:val="0"/>
          <w:numId w:val="71"/>
        </w:numPr>
        <w:contextualSpacing/>
      </w:pPr>
      <w:r>
        <w:t>COUNTIF - all arguments except criteria</w:t>
      </w:r>
    </w:p>
    <w:p w:rsidR="00024C0A" w:rsidRDefault="00694C0F">
      <w:pPr>
        <w:pStyle w:val="ListParagraph"/>
        <w:numPr>
          <w:ilvl w:val="0"/>
          <w:numId w:val="71"/>
        </w:numPr>
        <w:contextualSpacing/>
      </w:pPr>
      <w:r>
        <w:t xml:space="preserve">COUNTIFS - all arguments except for criteria1, </w:t>
      </w:r>
      <w:r>
        <w:t>criteria2, and so on.</w:t>
      </w:r>
    </w:p>
    <w:p w:rsidR="00024C0A" w:rsidRDefault="00694C0F">
      <w:pPr>
        <w:pStyle w:val="ListParagraph"/>
        <w:numPr>
          <w:ilvl w:val="0"/>
          <w:numId w:val="71"/>
        </w:numPr>
        <w:contextualSpacing/>
      </w:pPr>
      <w:r>
        <w:t>COUPDAYBS- all arguments</w:t>
      </w:r>
    </w:p>
    <w:p w:rsidR="00024C0A" w:rsidRDefault="00694C0F">
      <w:pPr>
        <w:pStyle w:val="ListParagraph"/>
        <w:numPr>
          <w:ilvl w:val="0"/>
          <w:numId w:val="71"/>
        </w:numPr>
        <w:contextualSpacing/>
      </w:pPr>
      <w:r>
        <w:t>COUPDAYS - all arguments</w:t>
      </w:r>
    </w:p>
    <w:p w:rsidR="00024C0A" w:rsidRDefault="00694C0F">
      <w:pPr>
        <w:pStyle w:val="ListParagraph"/>
        <w:numPr>
          <w:ilvl w:val="0"/>
          <w:numId w:val="71"/>
        </w:numPr>
        <w:contextualSpacing/>
      </w:pPr>
      <w:r>
        <w:t>COUPDAYSNC - all arguments</w:t>
      </w:r>
    </w:p>
    <w:p w:rsidR="00024C0A" w:rsidRDefault="00694C0F">
      <w:pPr>
        <w:pStyle w:val="ListParagraph"/>
        <w:numPr>
          <w:ilvl w:val="0"/>
          <w:numId w:val="71"/>
        </w:numPr>
        <w:contextualSpacing/>
      </w:pPr>
      <w:r>
        <w:t>COUPNCD - all arguments</w:t>
      </w:r>
    </w:p>
    <w:p w:rsidR="00024C0A" w:rsidRDefault="00694C0F">
      <w:pPr>
        <w:pStyle w:val="ListParagraph"/>
        <w:numPr>
          <w:ilvl w:val="0"/>
          <w:numId w:val="71"/>
        </w:numPr>
        <w:contextualSpacing/>
      </w:pPr>
      <w:r>
        <w:t>COUPNUM - all arguments</w:t>
      </w:r>
    </w:p>
    <w:p w:rsidR="00024C0A" w:rsidRDefault="00694C0F">
      <w:pPr>
        <w:pStyle w:val="ListParagraph"/>
        <w:numPr>
          <w:ilvl w:val="0"/>
          <w:numId w:val="71"/>
        </w:numPr>
        <w:contextualSpacing/>
      </w:pPr>
      <w:r>
        <w:t>COUPPCD - all arguments</w:t>
      </w:r>
    </w:p>
    <w:p w:rsidR="00024C0A" w:rsidRDefault="00694C0F">
      <w:pPr>
        <w:pStyle w:val="ListParagraph"/>
        <w:numPr>
          <w:ilvl w:val="0"/>
          <w:numId w:val="71"/>
        </w:numPr>
        <w:contextualSpacing/>
      </w:pPr>
      <w:r>
        <w:t>CUBEMEMBER - member-expression</w:t>
      </w:r>
    </w:p>
    <w:p w:rsidR="00024C0A" w:rsidRDefault="00694C0F">
      <w:pPr>
        <w:pStyle w:val="ListParagraph"/>
        <w:numPr>
          <w:ilvl w:val="0"/>
          <w:numId w:val="71"/>
        </w:numPr>
        <w:contextualSpacing/>
      </w:pPr>
      <w:r>
        <w:t>CUBESET - set-expression</w:t>
      </w:r>
    </w:p>
    <w:p w:rsidR="00024C0A" w:rsidRDefault="00694C0F">
      <w:pPr>
        <w:pStyle w:val="ListParagraph"/>
        <w:numPr>
          <w:ilvl w:val="0"/>
          <w:numId w:val="71"/>
        </w:numPr>
        <w:contextualSpacing/>
      </w:pPr>
      <w:r>
        <w:t xml:space="preserve">CUBEVALUE - all except </w:t>
      </w:r>
      <w:r>
        <w:t>connection</w:t>
      </w:r>
    </w:p>
    <w:p w:rsidR="00024C0A" w:rsidRDefault="00694C0F">
      <w:pPr>
        <w:pStyle w:val="ListParagraph"/>
        <w:numPr>
          <w:ilvl w:val="0"/>
          <w:numId w:val="71"/>
        </w:numPr>
        <w:contextualSpacing/>
      </w:pPr>
      <w:r>
        <w:t>CUMIPMT - all arguments</w:t>
      </w:r>
    </w:p>
    <w:p w:rsidR="00024C0A" w:rsidRDefault="00694C0F">
      <w:pPr>
        <w:pStyle w:val="ListParagraph"/>
        <w:numPr>
          <w:ilvl w:val="0"/>
          <w:numId w:val="71"/>
        </w:numPr>
        <w:contextualSpacing/>
      </w:pPr>
      <w:r>
        <w:t>CUMPRINC - all arguments</w:t>
      </w:r>
    </w:p>
    <w:p w:rsidR="00024C0A" w:rsidRDefault="00694C0F">
      <w:pPr>
        <w:pStyle w:val="ListParagraph"/>
        <w:numPr>
          <w:ilvl w:val="0"/>
          <w:numId w:val="71"/>
        </w:numPr>
        <w:contextualSpacing/>
      </w:pPr>
      <w:r>
        <w:t>DAVERAGE - all arguments</w:t>
      </w:r>
    </w:p>
    <w:p w:rsidR="00024C0A" w:rsidRDefault="00694C0F">
      <w:pPr>
        <w:pStyle w:val="ListParagraph"/>
        <w:numPr>
          <w:ilvl w:val="0"/>
          <w:numId w:val="71"/>
        </w:numPr>
        <w:contextualSpacing/>
      </w:pPr>
      <w:r>
        <w:t>DCOUNT - all arguments</w:t>
      </w:r>
    </w:p>
    <w:p w:rsidR="00024C0A" w:rsidRDefault="00694C0F">
      <w:pPr>
        <w:pStyle w:val="ListParagraph"/>
        <w:numPr>
          <w:ilvl w:val="0"/>
          <w:numId w:val="71"/>
        </w:numPr>
        <w:contextualSpacing/>
      </w:pPr>
      <w:r>
        <w:t>DCOUNTA - all arguments</w:t>
      </w:r>
    </w:p>
    <w:p w:rsidR="00024C0A" w:rsidRDefault="00694C0F">
      <w:pPr>
        <w:pStyle w:val="ListParagraph"/>
        <w:numPr>
          <w:ilvl w:val="0"/>
          <w:numId w:val="71"/>
        </w:numPr>
        <w:contextualSpacing/>
      </w:pPr>
      <w:r>
        <w:t>DEC2BIN - all arguments</w:t>
      </w:r>
    </w:p>
    <w:p w:rsidR="00024C0A" w:rsidRDefault="00694C0F">
      <w:pPr>
        <w:pStyle w:val="ListParagraph"/>
        <w:numPr>
          <w:ilvl w:val="0"/>
          <w:numId w:val="71"/>
        </w:numPr>
        <w:contextualSpacing/>
      </w:pPr>
      <w:r>
        <w:t>DEC2HEX - all arguments</w:t>
      </w:r>
    </w:p>
    <w:p w:rsidR="00024C0A" w:rsidRDefault="00694C0F">
      <w:pPr>
        <w:pStyle w:val="ListParagraph"/>
        <w:numPr>
          <w:ilvl w:val="0"/>
          <w:numId w:val="71"/>
        </w:numPr>
        <w:contextualSpacing/>
      </w:pPr>
      <w:r>
        <w:t>DEC2OCT - all arguments</w:t>
      </w:r>
    </w:p>
    <w:p w:rsidR="00024C0A" w:rsidRDefault="00694C0F">
      <w:pPr>
        <w:pStyle w:val="ListParagraph"/>
        <w:numPr>
          <w:ilvl w:val="0"/>
          <w:numId w:val="71"/>
        </w:numPr>
        <w:contextualSpacing/>
      </w:pPr>
      <w:r>
        <w:lastRenderedPageBreak/>
        <w:t>DELTA - all arguments</w:t>
      </w:r>
    </w:p>
    <w:p w:rsidR="00024C0A" w:rsidRDefault="00694C0F">
      <w:pPr>
        <w:pStyle w:val="ListParagraph"/>
        <w:numPr>
          <w:ilvl w:val="0"/>
          <w:numId w:val="71"/>
        </w:numPr>
        <w:contextualSpacing/>
      </w:pPr>
      <w:r>
        <w:t>DEVSQ - all arguments</w:t>
      </w:r>
    </w:p>
    <w:p w:rsidR="00024C0A" w:rsidRDefault="00694C0F">
      <w:pPr>
        <w:pStyle w:val="ListParagraph"/>
        <w:numPr>
          <w:ilvl w:val="0"/>
          <w:numId w:val="71"/>
        </w:numPr>
        <w:contextualSpacing/>
      </w:pPr>
      <w:r>
        <w:t>DGET - a</w:t>
      </w:r>
      <w:r>
        <w:t>ll arguments</w:t>
      </w:r>
    </w:p>
    <w:p w:rsidR="00024C0A" w:rsidRDefault="00694C0F">
      <w:pPr>
        <w:pStyle w:val="ListParagraph"/>
        <w:numPr>
          <w:ilvl w:val="0"/>
          <w:numId w:val="71"/>
        </w:numPr>
        <w:contextualSpacing/>
      </w:pPr>
      <w:r>
        <w:t>DISC - all arguments</w:t>
      </w:r>
    </w:p>
    <w:p w:rsidR="00024C0A" w:rsidRDefault="00694C0F">
      <w:pPr>
        <w:pStyle w:val="ListParagraph"/>
        <w:numPr>
          <w:ilvl w:val="0"/>
          <w:numId w:val="71"/>
        </w:numPr>
        <w:contextualSpacing/>
      </w:pPr>
      <w:r>
        <w:t>DMAX - all arguments</w:t>
      </w:r>
    </w:p>
    <w:p w:rsidR="00024C0A" w:rsidRDefault="00694C0F">
      <w:pPr>
        <w:pStyle w:val="ListParagraph"/>
        <w:numPr>
          <w:ilvl w:val="0"/>
          <w:numId w:val="71"/>
        </w:numPr>
        <w:contextualSpacing/>
      </w:pPr>
      <w:r>
        <w:t>DMIN - all arguments</w:t>
      </w:r>
    </w:p>
    <w:p w:rsidR="00024C0A" w:rsidRDefault="00694C0F">
      <w:pPr>
        <w:pStyle w:val="ListParagraph"/>
        <w:numPr>
          <w:ilvl w:val="0"/>
          <w:numId w:val="71"/>
        </w:numPr>
        <w:contextualSpacing/>
      </w:pPr>
      <w:r>
        <w:t>DOLLARDE - all arguments</w:t>
      </w:r>
    </w:p>
    <w:p w:rsidR="00024C0A" w:rsidRDefault="00694C0F">
      <w:pPr>
        <w:pStyle w:val="ListParagraph"/>
        <w:numPr>
          <w:ilvl w:val="0"/>
          <w:numId w:val="71"/>
        </w:numPr>
        <w:contextualSpacing/>
      </w:pPr>
      <w:r>
        <w:t>DOLLARFR - all arguments</w:t>
      </w:r>
    </w:p>
    <w:p w:rsidR="00024C0A" w:rsidRDefault="00694C0F">
      <w:pPr>
        <w:pStyle w:val="ListParagraph"/>
        <w:numPr>
          <w:ilvl w:val="0"/>
          <w:numId w:val="71"/>
        </w:numPr>
        <w:contextualSpacing/>
      </w:pPr>
      <w:r>
        <w:t>DPRODUCT - all arguments</w:t>
      </w:r>
    </w:p>
    <w:p w:rsidR="00024C0A" w:rsidRDefault="00694C0F">
      <w:pPr>
        <w:pStyle w:val="ListParagraph"/>
        <w:numPr>
          <w:ilvl w:val="0"/>
          <w:numId w:val="71"/>
        </w:numPr>
        <w:contextualSpacing/>
      </w:pPr>
      <w:r>
        <w:t>DSTDEV - all arguments</w:t>
      </w:r>
    </w:p>
    <w:p w:rsidR="00024C0A" w:rsidRDefault="00694C0F">
      <w:pPr>
        <w:pStyle w:val="ListParagraph"/>
        <w:numPr>
          <w:ilvl w:val="0"/>
          <w:numId w:val="71"/>
        </w:numPr>
        <w:contextualSpacing/>
      </w:pPr>
      <w:r>
        <w:t>DSTDEVP - all arguments</w:t>
      </w:r>
    </w:p>
    <w:p w:rsidR="00024C0A" w:rsidRDefault="00694C0F">
      <w:pPr>
        <w:pStyle w:val="ListParagraph"/>
        <w:numPr>
          <w:ilvl w:val="0"/>
          <w:numId w:val="71"/>
        </w:numPr>
        <w:contextualSpacing/>
      </w:pPr>
      <w:r>
        <w:t>DSUM - all arguments</w:t>
      </w:r>
    </w:p>
    <w:p w:rsidR="00024C0A" w:rsidRDefault="00694C0F">
      <w:pPr>
        <w:pStyle w:val="ListParagraph"/>
        <w:numPr>
          <w:ilvl w:val="0"/>
          <w:numId w:val="71"/>
        </w:numPr>
        <w:contextualSpacing/>
      </w:pPr>
      <w:r>
        <w:t>DURATION - all arguments</w:t>
      </w:r>
    </w:p>
    <w:p w:rsidR="00024C0A" w:rsidRDefault="00694C0F">
      <w:pPr>
        <w:pStyle w:val="ListParagraph"/>
        <w:numPr>
          <w:ilvl w:val="0"/>
          <w:numId w:val="71"/>
        </w:numPr>
        <w:contextualSpacing/>
      </w:pPr>
      <w:r>
        <w:t>DVAR - all a</w:t>
      </w:r>
      <w:r>
        <w:t>rguments</w:t>
      </w:r>
    </w:p>
    <w:p w:rsidR="00024C0A" w:rsidRDefault="00694C0F">
      <w:pPr>
        <w:pStyle w:val="ListParagraph"/>
        <w:numPr>
          <w:ilvl w:val="0"/>
          <w:numId w:val="71"/>
        </w:numPr>
        <w:contextualSpacing/>
      </w:pPr>
      <w:r>
        <w:t>DVARP - all arguments</w:t>
      </w:r>
    </w:p>
    <w:p w:rsidR="00024C0A" w:rsidRDefault="00694C0F">
      <w:pPr>
        <w:pStyle w:val="ListParagraph"/>
        <w:numPr>
          <w:ilvl w:val="0"/>
          <w:numId w:val="71"/>
        </w:numPr>
        <w:contextualSpacing/>
      </w:pPr>
      <w:r>
        <w:t>EDATE - all arguments</w:t>
      </w:r>
    </w:p>
    <w:p w:rsidR="00024C0A" w:rsidRDefault="00694C0F">
      <w:pPr>
        <w:pStyle w:val="ListParagraph"/>
        <w:numPr>
          <w:ilvl w:val="0"/>
          <w:numId w:val="71"/>
        </w:numPr>
        <w:contextualSpacing/>
      </w:pPr>
      <w:r>
        <w:t>EFFECT - all arguments</w:t>
      </w:r>
    </w:p>
    <w:p w:rsidR="00024C0A" w:rsidRDefault="00694C0F">
      <w:pPr>
        <w:pStyle w:val="ListParagraph"/>
        <w:numPr>
          <w:ilvl w:val="0"/>
          <w:numId w:val="71"/>
        </w:numPr>
        <w:contextualSpacing/>
      </w:pPr>
      <w:r>
        <w:t>EOMONTH - all arguments</w:t>
      </w:r>
    </w:p>
    <w:p w:rsidR="00024C0A" w:rsidRDefault="00694C0F">
      <w:pPr>
        <w:pStyle w:val="ListParagraph"/>
        <w:numPr>
          <w:ilvl w:val="0"/>
          <w:numId w:val="71"/>
        </w:numPr>
        <w:contextualSpacing/>
      </w:pPr>
      <w:r>
        <w:t>ERF - all arguments</w:t>
      </w:r>
    </w:p>
    <w:p w:rsidR="00024C0A" w:rsidRDefault="00694C0F">
      <w:pPr>
        <w:pStyle w:val="ListParagraph"/>
        <w:numPr>
          <w:ilvl w:val="0"/>
          <w:numId w:val="71"/>
        </w:numPr>
        <w:contextualSpacing/>
      </w:pPr>
      <w:r>
        <w:t>ERFC - all arguments</w:t>
      </w:r>
    </w:p>
    <w:p w:rsidR="00024C0A" w:rsidRDefault="00694C0F">
      <w:pPr>
        <w:pStyle w:val="ListParagraph"/>
        <w:numPr>
          <w:ilvl w:val="0"/>
          <w:numId w:val="71"/>
        </w:numPr>
        <w:contextualSpacing/>
      </w:pPr>
      <w:r>
        <w:t>FACTDOUBLE - all arguments</w:t>
      </w:r>
    </w:p>
    <w:p w:rsidR="00024C0A" w:rsidRDefault="00694C0F">
      <w:pPr>
        <w:pStyle w:val="ListParagraph"/>
        <w:numPr>
          <w:ilvl w:val="0"/>
          <w:numId w:val="71"/>
        </w:numPr>
        <w:contextualSpacing/>
      </w:pPr>
      <w:r>
        <w:t>FREQUENCY - all arguments</w:t>
      </w:r>
    </w:p>
    <w:p w:rsidR="00024C0A" w:rsidRDefault="00694C0F">
      <w:pPr>
        <w:pStyle w:val="ListParagraph"/>
        <w:numPr>
          <w:ilvl w:val="0"/>
          <w:numId w:val="71"/>
        </w:numPr>
        <w:contextualSpacing/>
      </w:pPr>
      <w:r>
        <w:t>FVSCHEDULE - schedule argument</w:t>
      </w:r>
    </w:p>
    <w:p w:rsidR="00024C0A" w:rsidRDefault="00694C0F">
      <w:pPr>
        <w:pStyle w:val="ListParagraph"/>
        <w:numPr>
          <w:ilvl w:val="0"/>
          <w:numId w:val="71"/>
        </w:numPr>
        <w:contextualSpacing/>
      </w:pPr>
      <w:r>
        <w:t>GCD - all arguments</w:t>
      </w:r>
    </w:p>
    <w:p w:rsidR="00024C0A" w:rsidRDefault="00694C0F">
      <w:pPr>
        <w:pStyle w:val="ListParagraph"/>
        <w:numPr>
          <w:ilvl w:val="0"/>
          <w:numId w:val="71"/>
        </w:numPr>
        <w:contextualSpacing/>
      </w:pPr>
      <w:r>
        <w:t xml:space="preserve">GEOMEAN - </w:t>
      </w:r>
      <w:r>
        <w:t>all arguments</w:t>
      </w:r>
    </w:p>
    <w:p w:rsidR="00024C0A" w:rsidRDefault="00694C0F">
      <w:pPr>
        <w:pStyle w:val="ListParagraph"/>
        <w:numPr>
          <w:ilvl w:val="0"/>
          <w:numId w:val="71"/>
        </w:numPr>
        <w:contextualSpacing/>
      </w:pPr>
      <w:r>
        <w:t>GESTEP - all arguments</w:t>
      </w:r>
    </w:p>
    <w:p w:rsidR="00024C0A" w:rsidRDefault="00694C0F">
      <w:pPr>
        <w:pStyle w:val="ListParagraph"/>
        <w:numPr>
          <w:ilvl w:val="0"/>
          <w:numId w:val="71"/>
        </w:numPr>
        <w:contextualSpacing/>
      </w:pPr>
      <w:r>
        <w:t>GETPIVOTDATA - data-field, pivot-table, field-1, and item-1 arguments</w:t>
      </w:r>
    </w:p>
    <w:p w:rsidR="00024C0A" w:rsidRDefault="00694C0F">
      <w:pPr>
        <w:pStyle w:val="ListParagraph"/>
        <w:numPr>
          <w:ilvl w:val="0"/>
          <w:numId w:val="71"/>
        </w:numPr>
        <w:contextualSpacing/>
      </w:pPr>
      <w:r>
        <w:t>GROWTH - all arguments</w:t>
      </w:r>
    </w:p>
    <w:p w:rsidR="00024C0A" w:rsidRDefault="00694C0F">
      <w:pPr>
        <w:pStyle w:val="ListParagraph"/>
        <w:numPr>
          <w:ilvl w:val="0"/>
          <w:numId w:val="71"/>
        </w:numPr>
        <w:contextualSpacing/>
      </w:pPr>
      <w:r>
        <w:t>HARMEAN - all arguments</w:t>
      </w:r>
    </w:p>
    <w:p w:rsidR="00024C0A" w:rsidRDefault="00694C0F">
      <w:pPr>
        <w:pStyle w:val="ListParagraph"/>
        <w:numPr>
          <w:ilvl w:val="0"/>
          <w:numId w:val="71"/>
        </w:numPr>
        <w:contextualSpacing/>
      </w:pPr>
      <w:r>
        <w:t>HEX2BIN - all arguments</w:t>
      </w:r>
    </w:p>
    <w:p w:rsidR="00024C0A" w:rsidRDefault="00694C0F">
      <w:pPr>
        <w:pStyle w:val="ListParagraph"/>
        <w:numPr>
          <w:ilvl w:val="0"/>
          <w:numId w:val="71"/>
        </w:numPr>
        <w:contextualSpacing/>
      </w:pPr>
      <w:r>
        <w:t>HEX2DEC - all arguments</w:t>
      </w:r>
    </w:p>
    <w:p w:rsidR="00024C0A" w:rsidRDefault="00694C0F">
      <w:pPr>
        <w:pStyle w:val="ListParagraph"/>
        <w:numPr>
          <w:ilvl w:val="0"/>
          <w:numId w:val="71"/>
        </w:numPr>
        <w:contextualSpacing/>
      </w:pPr>
      <w:r>
        <w:t>HEX2OCT - all arguments</w:t>
      </w:r>
    </w:p>
    <w:p w:rsidR="00024C0A" w:rsidRDefault="00694C0F">
      <w:pPr>
        <w:pStyle w:val="ListParagraph"/>
        <w:numPr>
          <w:ilvl w:val="0"/>
          <w:numId w:val="71"/>
        </w:numPr>
        <w:contextualSpacing/>
      </w:pPr>
      <w:r>
        <w:t>HLOOKUP - all arguments</w:t>
      </w:r>
    </w:p>
    <w:p w:rsidR="00024C0A" w:rsidRDefault="00694C0F">
      <w:pPr>
        <w:pStyle w:val="ListParagraph"/>
        <w:numPr>
          <w:ilvl w:val="0"/>
          <w:numId w:val="71"/>
        </w:numPr>
        <w:contextualSpacing/>
      </w:pPr>
      <w:r>
        <w:t>IFERROR - value-if-error argument</w:t>
      </w:r>
    </w:p>
    <w:p w:rsidR="00024C0A" w:rsidRDefault="00694C0F">
      <w:pPr>
        <w:pStyle w:val="ListParagraph"/>
        <w:numPr>
          <w:ilvl w:val="0"/>
          <w:numId w:val="71"/>
        </w:numPr>
        <w:contextualSpacing/>
      </w:pPr>
      <w:r>
        <w:t>IMABS - all arguments</w:t>
      </w:r>
    </w:p>
    <w:p w:rsidR="00024C0A" w:rsidRDefault="00694C0F">
      <w:pPr>
        <w:pStyle w:val="ListParagraph"/>
        <w:numPr>
          <w:ilvl w:val="0"/>
          <w:numId w:val="71"/>
        </w:numPr>
        <w:contextualSpacing/>
      </w:pPr>
      <w:r>
        <w:t>IMAGINARY - all arguments</w:t>
      </w:r>
    </w:p>
    <w:p w:rsidR="00024C0A" w:rsidRDefault="00694C0F">
      <w:pPr>
        <w:pStyle w:val="ListParagraph"/>
        <w:numPr>
          <w:ilvl w:val="0"/>
          <w:numId w:val="71"/>
        </w:numPr>
        <w:contextualSpacing/>
      </w:pPr>
      <w:r>
        <w:t>IMARGUMENT - all arguments</w:t>
      </w:r>
    </w:p>
    <w:p w:rsidR="00024C0A" w:rsidRDefault="00694C0F">
      <w:pPr>
        <w:pStyle w:val="ListParagraph"/>
        <w:numPr>
          <w:ilvl w:val="0"/>
          <w:numId w:val="71"/>
        </w:numPr>
        <w:contextualSpacing/>
      </w:pPr>
      <w:r>
        <w:t>IMCONJUGATE - all arguments</w:t>
      </w:r>
    </w:p>
    <w:p w:rsidR="00024C0A" w:rsidRDefault="00694C0F">
      <w:pPr>
        <w:pStyle w:val="ListParagraph"/>
        <w:numPr>
          <w:ilvl w:val="0"/>
          <w:numId w:val="71"/>
        </w:numPr>
        <w:contextualSpacing/>
      </w:pPr>
      <w:r>
        <w:t>IMCOS - all arguments</w:t>
      </w:r>
    </w:p>
    <w:p w:rsidR="00024C0A" w:rsidRDefault="00694C0F">
      <w:pPr>
        <w:pStyle w:val="ListParagraph"/>
        <w:numPr>
          <w:ilvl w:val="0"/>
          <w:numId w:val="71"/>
        </w:numPr>
        <w:contextualSpacing/>
      </w:pPr>
      <w:r>
        <w:t>IMDIV - all arguments</w:t>
      </w:r>
    </w:p>
    <w:p w:rsidR="00024C0A" w:rsidRDefault="00694C0F">
      <w:pPr>
        <w:pStyle w:val="ListParagraph"/>
        <w:numPr>
          <w:ilvl w:val="0"/>
          <w:numId w:val="71"/>
        </w:numPr>
        <w:contextualSpacing/>
      </w:pPr>
      <w:r>
        <w:t>IMEXP - all arguments</w:t>
      </w:r>
    </w:p>
    <w:p w:rsidR="00024C0A" w:rsidRDefault="00694C0F">
      <w:pPr>
        <w:pStyle w:val="ListParagraph"/>
        <w:numPr>
          <w:ilvl w:val="0"/>
          <w:numId w:val="71"/>
        </w:numPr>
        <w:contextualSpacing/>
      </w:pPr>
      <w:r>
        <w:t>IMLN - all arguments</w:t>
      </w:r>
    </w:p>
    <w:p w:rsidR="00024C0A" w:rsidRDefault="00694C0F">
      <w:pPr>
        <w:pStyle w:val="ListParagraph"/>
        <w:numPr>
          <w:ilvl w:val="0"/>
          <w:numId w:val="71"/>
        </w:numPr>
        <w:contextualSpacing/>
      </w:pPr>
      <w:r>
        <w:t>IMLOG10 - all arguments</w:t>
      </w:r>
    </w:p>
    <w:p w:rsidR="00024C0A" w:rsidRDefault="00694C0F">
      <w:pPr>
        <w:pStyle w:val="ListParagraph"/>
        <w:numPr>
          <w:ilvl w:val="0"/>
          <w:numId w:val="71"/>
        </w:numPr>
        <w:contextualSpacing/>
      </w:pPr>
      <w:r>
        <w:t>IMLOG2 -</w:t>
      </w:r>
      <w:r>
        <w:t xml:space="preserve"> all arguments</w:t>
      </w:r>
    </w:p>
    <w:p w:rsidR="00024C0A" w:rsidRDefault="00694C0F">
      <w:pPr>
        <w:pStyle w:val="ListParagraph"/>
        <w:numPr>
          <w:ilvl w:val="0"/>
          <w:numId w:val="71"/>
        </w:numPr>
        <w:contextualSpacing/>
      </w:pPr>
      <w:r>
        <w:t>IMPOWER - all arguments</w:t>
      </w:r>
    </w:p>
    <w:p w:rsidR="00024C0A" w:rsidRDefault="00694C0F">
      <w:pPr>
        <w:pStyle w:val="ListParagraph"/>
        <w:numPr>
          <w:ilvl w:val="0"/>
          <w:numId w:val="71"/>
        </w:numPr>
        <w:contextualSpacing/>
      </w:pPr>
      <w:r>
        <w:t>IMPRODUCT - all arguments</w:t>
      </w:r>
    </w:p>
    <w:p w:rsidR="00024C0A" w:rsidRDefault="00694C0F">
      <w:pPr>
        <w:pStyle w:val="ListParagraph"/>
        <w:numPr>
          <w:ilvl w:val="0"/>
          <w:numId w:val="71"/>
        </w:numPr>
        <w:contextualSpacing/>
      </w:pPr>
      <w:r>
        <w:t>IMREAL - all arguments</w:t>
      </w:r>
    </w:p>
    <w:p w:rsidR="00024C0A" w:rsidRDefault="00694C0F">
      <w:pPr>
        <w:pStyle w:val="ListParagraph"/>
        <w:numPr>
          <w:ilvl w:val="0"/>
          <w:numId w:val="71"/>
        </w:numPr>
        <w:contextualSpacing/>
      </w:pPr>
      <w:r>
        <w:t>IMSIN - all arguments</w:t>
      </w:r>
    </w:p>
    <w:p w:rsidR="00024C0A" w:rsidRDefault="00694C0F">
      <w:pPr>
        <w:pStyle w:val="ListParagraph"/>
        <w:numPr>
          <w:ilvl w:val="0"/>
          <w:numId w:val="71"/>
        </w:numPr>
        <w:contextualSpacing/>
      </w:pPr>
      <w:r>
        <w:t>IMSQRT - all arguments</w:t>
      </w:r>
    </w:p>
    <w:p w:rsidR="00024C0A" w:rsidRDefault="00694C0F">
      <w:pPr>
        <w:pStyle w:val="ListParagraph"/>
        <w:numPr>
          <w:ilvl w:val="0"/>
          <w:numId w:val="71"/>
        </w:numPr>
        <w:contextualSpacing/>
      </w:pPr>
      <w:r>
        <w:t>IMSUB - all arguments</w:t>
      </w:r>
    </w:p>
    <w:p w:rsidR="00024C0A" w:rsidRDefault="00694C0F">
      <w:pPr>
        <w:pStyle w:val="ListParagraph"/>
        <w:numPr>
          <w:ilvl w:val="0"/>
          <w:numId w:val="71"/>
        </w:numPr>
        <w:contextualSpacing/>
      </w:pPr>
      <w:r>
        <w:t>IMSUM - all arguments</w:t>
      </w:r>
    </w:p>
    <w:p w:rsidR="00024C0A" w:rsidRDefault="00694C0F">
      <w:pPr>
        <w:pStyle w:val="ListParagraph"/>
        <w:numPr>
          <w:ilvl w:val="0"/>
          <w:numId w:val="71"/>
        </w:numPr>
        <w:contextualSpacing/>
      </w:pPr>
      <w:r>
        <w:t>INDEX - array or reference argument</w:t>
      </w:r>
    </w:p>
    <w:p w:rsidR="00024C0A" w:rsidRDefault="00694C0F">
      <w:pPr>
        <w:pStyle w:val="ListParagraph"/>
        <w:numPr>
          <w:ilvl w:val="0"/>
          <w:numId w:val="71"/>
        </w:numPr>
        <w:contextualSpacing/>
      </w:pPr>
      <w:r>
        <w:t>INTRATE - all arguments</w:t>
      </w:r>
    </w:p>
    <w:p w:rsidR="00024C0A" w:rsidRDefault="00694C0F">
      <w:pPr>
        <w:pStyle w:val="ListParagraph"/>
        <w:numPr>
          <w:ilvl w:val="0"/>
          <w:numId w:val="71"/>
        </w:numPr>
        <w:contextualSpacing/>
      </w:pPr>
      <w:r>
        <w:t>IRR - values argume</w:t>
      </w:r>
      <w:r>
        <w:t>nt</w:t>
      </w:r>
    </w:p>
    <w:p w:rsidR="00024C0A" w:rsidRDefault="00694C0F">
      <w:pPr>
        <w:pStyle w:val="ListParagraph"/>
        <w:numPr>
          <w:ilvl w:val="0"/>
          <w:numId w:val="71"/>
        </w:numPr>
        <w:contextualSpacing/>
      </w:pPr>
      <w:r>
        <w:t>ISEVEN - all arguments</w:t>
      </w:r>
    </w:p>
    <w:p w:rsidR="00024C0A" w:rsidRDefault="00694C0F">
      <w:pPr>
        <w:pStyle w:val="ListParagraph"/>
        <w:numPr>
          <w:ilvl w:val="0"/>
          <w:numId w:val="71"/>
        </w:numPr>
        <w:contextualSpacing/>
      </w:pPr>
      <w:r>
        <w:t>ISODD - all arguments</w:t>
      </w:r>
    </w:p>
    <w:p w:rsidR="00024C0A" w:rsidRDefault="00694C0F">
      <w:pPr>
        <w:pStyle w:val="ListParagraph"/>
        <w:numPr>
          <w:ilvl w:val="0"/>
          <w:numId w:val="71"/>
        </w:numPr>
        <w:contextualSpacing/>
      </w:pPr>
      <w:r>
        <w:t>ISREF - all arguments</w:t>
      </w:r>
    </w:p>
    <w:p w:rsidR="00024C0A" w:rsidRDefault="00694C0F">
      <w:pPr>
        <w:pStyle w:val="ListParagraph"/>
        <w:numPr>
          <w:ilvl w:val="0"/>
          <w:numId w:val="71"/>
        </w:numPr>
        <w:contextualSpacing/>
      </w:pPr>
      <w:r>
        <w:t>KURT - all arguments</w:t>
      </w:r>
    </w:p>
    <w:p w:rsidR="00024C0A" w:rsidRDefault="00694C0F">
      <w:pPr>
        <w:pStyle w:val="ListParagraph"/>
        <w:numPr>
          <w:ilvl w:val="0"/>
          <w:numId w:val="71"/>
        </w:numPr>
        <w:contextualSpacing/>
      </w:pPr>
      <w:r>
        <w:lastRenderedPageBreak/>
        <w:t>LARGE - array argument</w:t>
      </w:r>
    </w:p>
    <w:p w:rsidR="00024C0A" w:rsidRDefault="00694C0F">
      <w:pPr>
        <w:pStyle w:val="ListParagraph"/>
        <w:numPr>
          <w:ilvl w:val="0"/>
          <w:numId w:val="71"/>
        </w:numPr>
        <w:contextualSpacing/>
      </w:pPr>
      <w:r>
        <w:t>LCM - all arguments</w:t>
      </w:r>
    </w:p>
    <w:p w:rsidR="00024C0A" w:rsidRDefault="00694C0F">
      <w:pPr>
        <w:pStyle w:val="ListParagraph"/>
        <w:numPr>
          <w:ilvl w:val="0"/>
          <w:numId w:val="71"/>
        </w:numPr>
        <w:contextualSpacing/>
      </w:pPr>
      <w:r>
        <w:t>LINEST - known-xs and known-ys arguments</w:t>
      </w:r>
    </w:p>
    <w:p w:rsidR="00024C0A" w:rsidRDefault="00694C0F">
      <w:pPr>
        <w:pStyle w:val="ListParagraph"/>
        <w:numPr>
          <w:ilvl w:val="0"/>
          <w:numId w:val="71"/>
        </w:numPr>
        <w:contextualSpacing/>
      </w:pPr>
      <w:r>
        <w:t>LOGEST - known-xs and known-ys arguments</w:t>
      </w:r>
    </w:p>
    <w:p w:rsidR="00024C0A" w:rsidRDefault="00694C0F">
      <w:pPr>
        <w:pStyle w:val="ListParagraph"/>
        <w:numPr>
          <w:ilvl w:val="0"/>
          <w:numId w:val="71"/>
        </w:numPr>
        <w:contextualSpacing/>
      </w:pPr>
      <w:r>
        <w:t>LOOKUP - all arguments except lookup_val</w:t>
      </w:r>
      <w:r>
        <w:t>ue</w:t>
      </w:r>
    </w:p>
    <w:p w:rsidR="00024C0A" w:rsidRDefault="00694C0F">
      <w:pPr>
        <w:pStyle w:val="ListParagraph"/>
        <w:numPr>
          <w:ilvl w:val="0"/>
          <w:numId w:val="71"/>
        </w:numPr>
        <w:contextualSpacing/>
      </w:pPr>
      <w:r>
        <w:t>MATCH - lookup_array argument</w:t>
      </w:r>
    </w:p>
    <w:p w:rsidR="00024C0A" w:rsidRDefault="00694C0F">
      <w:pPr>
        <w:pStyle w:val="ListParagraph"/>
        <w:numPr>
          <w:ilvl w:val="0"/>
          <w:numId w:val="71"/>
        </w:numPr>
        <w:contextualSpacing/>
      </w:pPr>
      <w:r>
        <w:t>MAX - all arguments</w:t>
      </w:r>
    </w:p>
    <w:p w:rsidR="00024C0A" w:rsidRDefault="00694C0F">
      <w:pPr>
        <w:pStyle w:val="ListParagraph"/>
        <w:numPr>
          <w:ilvl w:val="0"/>
          <w:numId w:val="71"/>
        </w:numPr>
        <w:contextualSpacing/>
      </w:pPr>
      <w:r>
        <w:t>MAXA - all arguments</w:t>
      </w:r>
    </w:p>
    <w:p w:rsidR="00024C0A" w:rsidRDefault="00694C0F">
      <w:pPr>
        <w:pStyle w:val="ListParagraph"/>
        <w:numPr>
          <w:ilvl w:val="0"/>
          <w:numId w:val="71"/>
        </w:numPr>
        <w:contextualSpacing/>
      </w:pPr>
      <w:r>
        <w:t>MDURATION - all arguments</w:t>
      </w:r>
    </w:p>
    <w:p w:rsidR="00024C0A" w:rsidRDefault="00694C0F">
      <w:pPr>
        <w:pStyle w:val="ListParagraph"/>
        <w:numPr>
          <w:ilvl w:val="0"/>
          <w:numId w:val="71"/>
        </w:numPr>
        <w:contextualSpacing/>
      </w:pPr>
      <w:r>
        <w:t>MEDIAN - all arguments</w:t>
      </w:r>
    </w:p>
    <w:p w:rsidR="00024C0A" w:rsidRDefault="00694C0F">
      <w:pPr>
        <w:pStyle w:val="ListParagraph"/>
        <w:numPr>
          <w:ilvl w:val="0"/>
          <w:numId w:val="71"/>
        </w:numPr>
        <w:contextualSpacing/>
      </w:pPr>
      <w:r>
        <w:t>MIN - all arguments</w:t>
      </w:r>
    </w:p>
    <w:p w:rsidR="00024C0A" w:rsidRDefault="00694C0F">
      <w:pPr>
        <w:pStyle w:val="ListParagraph"/>
        <w:numPr>
          <w:ilvl w:val="0"/>
          <w:numId w:val="71"/>
        </w:numPr>
        <w:contextualSpacing/>
      </w:pPr>
      <w:r>
        <w:t>MINA - all arguments</w:t>
      </w:r>
    </w:p>
    <w:p w:rsidR="00024C0A" w:rsidRDefault="00694C0F">
      <w:pPr>
        <w:pStyle w:val="ListParagraph"/>
        <w:numPr>
          <w:ilvl w:val="0"/>
          <w:numId w:val="71"/>
        </w:numPr>
        <w:contextualSpacing/>
      </w:pPr>
      <w:r>
        <w:t>MIRR - values argument</w:t>
      </w:r>
    </w:p>
    <w:p w:rsidR="00024C0A" w:rsidRDefault="00694C0F">
      <w:pPr>
        <w:pStyle w:val="ListParagraph"/>
        <w:numPr>
          <w:ilvl w:val="0"/>
          <w:numId w:val="71"/>
        </w:numPr>
        <w:contextualSpacing/>
      </w:pPr>
      <w:r>
        <w:t>MROUND - all arguments</w:t>
      </w:r>
    </w:p>
    <w:p w:rsidR="00024C0A" w:rsidRDefault="00694C0F">
      <w:pPr>
        <w:pStyle w:val="ListParagraph"/>
        <w:numPr>
          <w:ilvl w:val="0"/>
          <w:numId w:val="71"/>
        </w:numPr>
        <w:contextualSpacing/>
      </w:pPr>
      <w:r>
        <w:t>MULTINOMIAL - all arguments</w:t>
      </w:r>
    </w:p>
    <w:p w:rsidR="00024C0A" w:rsidRDefault="00694C0F">
      <w:pPr>
        <w:pStyle w:val="ListParagraph"/>
        <w:numPr>
          <w:ilvl w:val="0"/>
          <w:numId w:val="71"/>
        </w:numPr>
        <w:contextualSpacing/>
      </w:pPr>
      <w:r>
        <w:t>N - all arguments</w:t>
      </w:r>
    </w:p>
    <w:p w:rsidR="00024C0A" w:rsidRDefault="00694C0F">
      <w:pPr>
        <w:pStyle w:val="ListParagraph"/>
        <w:numPr>
          <w:ilvl w:val="0"/>
          <w:numId w:val="71"/>
        </w:numPr>
        <w:contextualSpacing/>
      </w:pPr>
      <w:r>
        <w:t>NETWORKDAYS - holidays argument</w:t>
      </w:r>
    </w:p>
    <w:p w:rsidR="00024C0A" w:rsidRDefault="00694C0F">
      <w:pPr>
        <w:pStyle w:val="ListParagraph"/>
        <w:numPr>
          <w:ilvl w:val="0"/>
          <w:numId w:val="71"/>
        </w:numPr>
        <w:contextualSpacing/>
      </w:pPr>
      <w:r>
        <w:t>NOMINAL - all arguments</w:t>
      </w:r>
    </w:p>
    <w:p w:rsidR="00024C0A" w:rsidRDefault="00694C0F">
      <w:pPr>
        <w:pStyle w:val="ListParagraph"/>
        <w:numPr>
          <w:ilvl w:val="0"/>
          <w:numId w:val="71"/>
        </w:numPr>
        <w:contextualSpacing/>
      </w:pPr>
      <w:r>
        <w:t>NPV - all arguments except rate</w:t>
      </w:r>
    </w:p>
    <w:p w:rsidR="00024C0A" w:rsidRDefault="00694C0F">
      <w:pPr>
        <w:pStyle w:val="ListParagraph"/>
        <w:numPr>
          <w:ilvl w:val="0"/>
          <w:numId w:val="71"/>
        </w:numPr>
        <w:contextualSpacing/>
      </w:pPr>
      <w:r>
        <w:t>OCT2BIN - all arguments</w:t>
      </w:r>
    </w:p>
    <w:p w:rsidR="00024C0A" w:rsidRDefault="00694C0F">
      <w:pPr>
        <w:pStyle w:val="ListParagraph"/>
        <w:numPr>
          <w:ilvl w:val="0"/>
          <w:numId w:val="71"/>
        </w:numPr>
        <w:contextualSpacing/>
      </w:pPr>
      <w:r>
        <w:t>OCT2DEC - all arguments</w:t>
      </w:r>
    </w:p>
    <w:p w:rsidR="00024C0A" w:rsidRDefault="00694C0F">
      <w:pPr>
        <w:pStyle w:val="ListParagraph"/>
        <w:numPr>
          <w:ilvl w:val="0"/>
          <w:numId w:val="71"/>
        </w:numPr>
        <w:contextualSpacing/>
      </w:pPr>
      <w:r>
        <w:t>OCT2HEX - all arguments</w:t>
      </w:r>
    </w:p>
    <w:p w:rsidR="00024C0A" w:rsidRDefault="00694C0F">
      <w:pPr>
        <w:pStyle w:val="ListParagraph"/>
        <w:numPr>
          <w:ilvl w:val="0"/>
          <w:numId w:val="71"/>
        </w:numPr>
        <w:contextualSpacing/>
      </w:pPr>
      <w:r>
        <w:t>ODDFPRICE - all arguments</w:t>
      </w:r>
    </w:p>
    <w:p w:rsidR="00024C0A" w:rsidRDefault="00694C0F">
      <w:pPr>
        <w:pStyle w:val="ListParagraph"/>
        <w:numPr>
          <w:ilvl w:val="0"/>
          <w:numId w:val="71"/>
        </w:numPr>
        <w:contextualSpacing/>
      </w:pPr>
      <w:r>
        <w:t>ODDFYIELD - all arguments</w:t>
      </w:r>
    </w:p>
    <w:p w:rsidR="00024C0A" w:rsidRDefault="00694C0F">
      <w:pPr>
        <w:pStyle w:val="ListParagraph"/>
        <w:numPr>
          <w:ilvl w:val="0"/>
          <w:numId w:val="71"/>
        </w:numPr>
        <w:contextualSpacing/>
      </w:pPr>
      <w:r>
        <w:t>ODDLPRICE - all arguments</w:t>
      </w:r>
    </w:p>
    <w:p w:rsidR="00024C0A" w:rsidRDefault="00694C0F">
      <w:pPr>
        <w:pStyle w:val="ListParagraph"/>
        <w:numPr>
          <w:ilvl w:val="0"/>
          <w:numId w:val="71"/>
        </w:numPr>
        <w:contextualSpacing/>
      </w:pPr>
      <w:r>
        <w:t xml:space="preserve">ODDLYIELD - all </w:t>
      </w:r>
      <w:r>
        <w:t>arguments</w:t>
      </w:r>
    </w:p>
    <w:p w:rsidR="00024C0A" w:rsidRDefault="00694C0F">
      <w:pPr>
        <w:pStyle w:val="ListParagraph"/>
        <w:numPr>
          <w:ilvl w:val="0"/>
          <w:numId w:val="71"/>
        </w:numPr>
        <w:contextualSpacing/>
      </w:pPr>
      <w:r>
        <w:t>OFFSET - reference argument</w:t>
      </w:r>
    </w:p>
    <w:p w:rsidR="00024C0A" w:rsidRDefault="00694C0F">
      <w:pPr>
        <w:pStyle w:val="ListParagraph"/>
        <w:numPr>
          <w:ilvl w:val="0"/>
          <w:numId w:val="71"/>
        </w:numPr>
        <w:contextualSpacing/>
      </w:pPr>
      <w:r>
        <w:t>OR - all arguments</w:t>
      </w:r>
    </w:p>
    <w:p w:rsidR="00024C0A" w:rsidRDefault="00694C0F">
      <w:pPr>
        <w:pStyle w:val="ListParagraph"/>
        <w:numPr>
          <w:ilvl w:val="0"/>
          <w:numId w:val="71"/>
        </w:numPr>
        <w:contextualSpacing/>
      </w:pPr>
      <w:r>
        <w:t>PERCENTILE - array argument</w:t>
      </w:r>
    </w:p>
    <w:p w:rsidR="00024C0A" w:rsidRDefault="00694C0F">
      <w:pPr>
        <w:pStyle w:val="ListParagraph"/>
        <w:numPr>
          <w:ilvl w:val="0"/>
          <w:numId w:val="71"/>
        </w:numPr>
        <w:contextualSpacing/>
      </w:pPr>
      <w:r>
        <w:t>PERCENTRANK - array argument</w:t>
      </w:r>
    </w:p>
    <w:p w:rsidR="00024C0A" w:rsidRDefault="00694C0F">
      <w:pPr>
        <w:pStyle w:val="ListParagraph"/>
        <w:numPr>
          <w:ilvl w:val="0"/>
          <w:numId w:val="71"/>
        </w:numPr>
        <w:contextualSpacing/>
      </w:pPr>
      <w:r>
        <w:t>PHONETIC - all arguments</w:t>
      </w:r>
    </w:p>
    <w:p w:rsidR="00024C0A" w:rsidRDefault="00694C0F">
      <w:pPr>
        <w:pStyle w:val="ListParagraph"/>
        <w:numPr>
          <w:ilvl w:val="0"/>
          <w:numId w:val="71"/>
        </w:numPr>
        <w:contextualSpacing/>
      </w:pPr>
      <w:r>
        <w:t>PRICE - all arguments</w:t>
      </w:r>
    </w:p>
    <w:p w:rsidR="00024C0A" w:rsidRDefault="00694C0F">
      <w:pPr>
        <w:pStyle w:val="ListParagraph"/>
        <w:numPr>
          <w:ilvl w:val="0"/>
          <w:numId w:val="71"/>
        </w:numPr>
        <w:contextualSpacing/>
      </w:pPr>
      <w:r>
        <w:t>PRICEDISC - all arguments</w:t>
      </w:r>
    </w:p>
    <w:p w:rsidR="00024C0A" w:rsidRDefault="00694C0F">
      <w:pPr>
        <w:pStyle w:val="ListParagraph"/>
        <w:numPr>
          <w:ilvl w:val="0"/>
          <w:numId w:val="71"/>
        </w:numPr>
        <w:contextualSpacing/>
      </w:pPr>
      <w:r>
        <w:t>PRICEMAT - all arguments</w:t>
      </w:r>
    </w:p>
    <w:p w:rsidR="00024C0A" w:rsidRDefault="00694C0F">
      <w:pPr>
        <w:pStyle w:val="ListParagraph"/>
        <w:numPr>
          <w:ilvl w:val="0"/>
          <w:numId w:val="71"/>
        </w:numPr>
        <w:contextualSpacing/>
      </w:pPr>
      <w:r>
        <w:t>PRODUCT - all arguments</w:t>
      </w:r>
    </w:p>
    <w:p w:rsidR="00024C0A" w:rsidRDefault="00694C0F">
      <w:pPr>
        <w:pStyle w:val="ListParagraph"/>
        <w:numPr>
          <w:ilvl w:val="0"/>
          <w:numId w:val="71"/>
        </w:numPr>
        <w:contextualSpacing/>
      </w:pPr>
      <w:r>
        <w:t>QUARTILE – array arg</w:t>
      </w:r>
      <w:r>
        <w:t>ument</w:t>
      </w:r>
    </w:p>
    <w:p w:rsidR="00024C0A" w:rsidRDefault="00694C0F">
      <w:pPr>
        <w:pStyle w:val="ListParagraph"/>
        <w:numPr>
          <w:ilvl w:val="0"/>
          <w:numId w:val="71"/>
        </w:numPr>
        <w:contextualSpacing/>
      </w:pPr>
      <w:r>
        <w:t>QUOTIENT - all arguments</w:t>
      </w:r>
    </w:p>
    <w:p w:rsidR="00024C0A" w:rsidRDefault="00694C0F">
      <w:pPr>
        <w:pStyle w:val="ListParagraph"/>
        <w:numPr>
          <w:ilvl w:val="0"/>
          <w:numId w:val="71"/>
        </w:numPr>
        <w:contextualSpacing/>
      </w:pPr>
      <w:r>
        <w:t>RANDBETWEEN - all arguments</w:t>
      </w:r>
    </w:p>
    <w:p w:rsidR="00024C0A" w:rsidRDefault="00694C0F">
      <w:pPr>
        <w:pStyle w:val="ListParagraph"/>
        <w:numPr>
          <w:ilvl w:val="0"/>
          <w:numId w:val="71"/>
        </w:numPr>
        <w:contextualSpacing/>
      </w:pPr>
      <w:r>
        <w:t>RANK - ref argument</w:t>
      </w:r>
    </w:p>
    <w:p w:rsidR="00024C0A" w:rsidRDefault="00694C0F">
      <w:pPr>
        <w:pStyle w:val="ListParagraph"/>
        <w:numPr>
          <w:ilvl w:val="0"/>
          <w:numId w:val="71"/>
        </w:numPr>
        <w:contextualSpacing/>
      </w:pPr>
      <w:r>
        <w:t>RECEIVED - all arguments</w:t>
      </w:r>
    </w:p>
    <w:p w:rsidR="00024C0A" w:rsidRDefault="00694C0F">
      <w:pPr>
        <w:pStyle w:val="ListParagraph"/>
        <w:numPr>
          <w:ilvl w:val="0"/>
          <w:numId w:val="71"/>
        </w:numPr>
        <w:contextualSpacing/>
      </w:pPr>
      <w:r>
        <w:t>ROW – reference argument</w:t>
      </w:r>
    </w:p>
    <w:p w:rsidR="00024C0A" w:rsidRDefault="00694C0F">
      <w:pPr>
        <w:pStyle w:val="ListParagraph"/>
        <w:numPr>
          <w:ilvl w:val="0"/>
          <w:numId w:val="71"/>
        </w:numPr>
        <w:contextualSpacing/>
      </w:pPr>
      <w:r>
        <w:t>ROWS – array argument</w:t>
      </w:r>
    </w:p>
    <w:p w:rsidR="00024C0A" w:rsidRDefault="00694C0F">
      <w:pPr>
        <w:pStyle w:val="ListParagraph"/>
        <w:numPr>
          <w:ilvl w:val="0"/>
          <w:numId w:val="71"/>
        </w:numPr>
        <w:contextualSpacing/>
      </w:pPr>
      <w:r>
        <w:t>SERIESSUM - all arguments</w:t>
      </w:r>
    </w:p>
    <w:p w:rsidR="00024C0A" w:rsidRDefault="00694C0F">
      <w:pPr>
        <w:pStyle w:val="ListParagraph"/>
        <w:numPr>
          <w:ilvl w:val="0"/>
          <w:numId w:val="71"/>
        </w:numPr>
        <w:contextualSpacing/>
      </w:pPr>
      <w:r>
        <w:t>SKEW - all arguments</w:t>
      </w:r>
    </w:p>
    <w:p w:rsidR="00024C0A" w:rsidRDefault="00694C0F">
      <w:pPr>
        <w:pStyle w:val="ListParagraph"/>
        <w:numPr>
          <w:ilvl w:val="0"/>
          <w:numId w:val="71"/>
        </w:numPr>
        <w:contextualSpacing/>
      </w:pPr>
      <w:r>
        <w:t>SMALL - array argument</w:t>
      </w:r>
    </w:p>
    <w:p w:rsidR="00024C0A" w:rsidRDefault="00694C0F">
      <w:pPr>
        <w:pStyle w:val="ListParagraph"/>
        <w:numPr>
          <w:ilvl w:val="0"/>
          <w:numId w:val="71"/>
        </w:numPr>
        <w:contextualSpacing/>
      </w:pPr>
      <w:r>
        <w:t>SQRTPI - all arguments</w:t>
      </w:r>
    </w:p>
    <w:p w:rsidR="00024C0A" w:rsidRDefault="00694C0F">
      <w:pPr>
        <w:pStyle w:val="ListParagraph"/>
        <w:numPr>
          <w:ilvl w:val="0"/>
          <w:numId w:val="71"/>
        </w:numPr>
        <w:contextualSpacing/>
      </w:pPr>
      <w:r>
        <w:t xml:space="preserve">STDEV - all </w:t>
      </w:r>
      <w:r>
        <w:t>arguments</w:t>
      </w:r>
    </w:p>
    <w:p w:rsidR="00024C0A" w:rsidRDefault="00694C0F">
      <w:pPr>
        <w:pStyle w:val="ListParagraph"/>
        <w:numPr>
          <w:ilvl w:val="0"/>
          <w:numId w:val="71"/>
        </w:numPr>
        <w:contextualSpacing/>
      </w:pPr>
      <w:r>
        <w:t>STDEVA - all arguments</w:t>
      </w:r>
    </w:p>
    <w:p w:rsidR="00024C0A" w:rsidRDefault="00694C0F">
      <w:pPr>
        <w:pStyle w:val="ListParagraph"/>
        <w:numPr>
          <w:ilvl w:val="0"/>
          <w:numId w:val="71"/>
        </w:numPr>
        <w:contextualSpacing/>
      </w:pPr>
      <w:r>
        <w:t>STDEVP - all arguments</w:t>
      </w:r>
    </w:p>
    <w:p w:rsidR="00024C0A" w:rsidRDefault="00694C0F">
      <w:pPr>
        <w:pStyle w:val="ListParagraph"/>
        <w:numPr>
          <w:ilvl w:val="0"/>
          <w:numId w:val="71"/>
        </w:numPr>
        <w:contextualSpacing/>
      </w:pPr>
      <w:r>
        <w:t>STDEVPA - all arguments</w:t>
      </w:r>
    </w:p>
    <w:p w:rsidR="00024C0A" w:rsidRDefault="00694C0F">
      <w:pPr>
        <w:pStyle w:val="ListParagraph"/>
        <w:numPr>
          <w:ilvl w:val="0"/>
          <w:numId w:val="71"/>
        </w:numPr>
        <w:contextualSpacing/>
      </w:pPr>
      <w:r>
        <w:t>SUBTOTAL - all arguments except function_num</w:t>
      </w:r>
    </w:p>
    <w:p w:rsidR="00024C0A" w:rsidRDefault="00694C0F">
      <w:pPr>
        <w:pStyle w:val="ListParagraph"/>
        <w:numPr>
          <w:ilvl w:val="0"/>
          <w:numId w:val="71"/>
        </w:numPr>
        <w:contextualSpacing/>
      </w:pPr>
      <w:r>
        <w:t>SUM - all arguments</w:t>
      </w:r>
    </w:p>
    <w:p w:rsidR="00024C0A" w:rsidRDefault="00694C0F">
      <w:pPr>
        <w:pStyle w:val="ListParagraph"/>
        <w:numPr>
          <w:ilvl w:val="0"/>
          <w:numId w:val="71"/>
        </w:numPr>
        <w:contextualSpacing/>
      </w:pPr>
      <w:r>
        <w:t>SUMIF - all arguments except criteria</w:t>
      </w:r>
    </w:p>
    <w:p w:rsidR="00024C0A" w:rsidRDefault="00694C0F">
      <w:pPr>
        <w:pStyle w:val="ListParagraph"/>
        <w:numPr>
          <w:ilvl w:val="0"/>
          <w:numId w:val="71"/>
        </w:numPr>
        <w:contextualSpacing/>
      </w:pPr>
      <w:r>
        <w:t>SUMIFS - all arguments except criteria1, criteria2, and so on.</w:t>
      </w:r>
    </w:p>
    <w:p w:rsidR="00024C0A" w:rsidRDefault="00694C0F">
      <w:pPr>
        <w:pStyle w:val="ListParagraph"/>
        <w:numPr>
          <w:ilvl w:val="0"/>
          <w:numId w:val="71"/>
        </w:numPr>
        <w:contextualSpacing/>
      </w:pPr>
      <w:r>
        <w:t>SUMSQ - al</w:t>
      </w:r>
      <w:r>
        <w:t>l arguments</w:t>
      </w:r>
    </w:p>
    <w:p w:rsidR="00024C0A" w:rsidRDefault="00694C0F">
      <w:pPr>
        <w:pStyle w:val="ListParagraph"/>
        <w:numPr>
          <w:ilvl w:val="0"/>
          <w:numId w:val="71"/>
        </w:numPr>
        <w:contextualSpacing/>
      </w:pPr>
      <w:r>
        <w:t>T - all arguments</w:t>
      </w:r>
    </w:p>
    <w:p w:rsidR="00024C0A" w:rsidRDefault="00694C0F">
      <w:pPr>
        <w:pStyle w:val="ListParagraph"/>
        <w:numPr>
          <w:ilvl w:val="0"/>
          <w:numId w:val="71"/>
        </w:numPr>
        <w:contextualSpacing/>
      </w:pPr>
      <w:r>
        <w:t>TBILLEQ - all arguments</w:t>
      </w:r>
    </w:p>
    <w:p w:rsidR="00024C0A" w:rsidRDefault="00694C0F">
      <w:pPr>
        <w:pStyle w:val="ListParagraph"/>
        <w:numPr>
          <w:ilvl w:val="0"/>
          <w:numId w:val="71"/>
        </w:numPr>
        <w:contextualSpacing/>
      </w:pPr>
      <w:r>
        <w:t>TBILLPRICE - all arguments</w:t>
      </w:r>
    </w:p>
    <w:p w:rsidR="00024C0A" w:rsidRDefault="00694C0F">
      <w:pPr>
        <w:pStyle w:val="ListParagraph"/>
        <w:numPr>
          <w:ilvl w:val="0"/>
          <w:numId w:val="71"/>
        </w:numPr>
        <w:contextualSpacing/>
      </w:pPr>
      <w:r>
        <w:lastRenderedPageBreak/>
        <w:t>TBILLYIELD - all arguments</w:t>
      </w:r>
    </w:p>
    <w:p w:rsidR="00024C0A" w:rsidRDefault="00694C0F">
      <w:pPr>
        <w:pStyle w:val="ListParagraph"/>
        <w:numPr>
          <w:ilvl w:val="0"/>
          <w:numId w:val="71"/>
        </w:numPr>
        <w:contextualSpacing/>
      </w:pPr>
      <w:r>
        <w:t>TREND – all arguments except const-flag</w:t>
      </w:r>
    </w:p>
    <w:p w:rsidR="00024C0A" w:rsidRDefault="00694C0F">
      <w:pPr>
        <w:pStyle w:val="ListParagraph"/>
        <w:numPr>
          <w:ilvl w:val="0"/>
          <w:numId w:val="71"/>
        </w:numPr>
        <w:contextualSpacing/>
      </w:pPr>
      <w:r>
        <w:t>TRIMMEAN – array argument</w:t>
      </w:r>
    </w:p>
    <w:p w:rsidR="00024C0A" w:rsidRDefault="00694C0F">
      <w:pPr>
        <w:pStyle w:val="ListParagraph"/>
        <w:numPr>
          <w:ilvl w:val="0"/>
          <w:numId w:val="71"/>
        </w:numPr>
        <w:contextualSpacing/>
      </w:pPr>
      <w:r>
        <w:t>VAR – all arguments</w:t>
      </w:r>
    </w:p>
    <w:p w:rsidR="00024C0A" w:rsidRDefault="00694C0F">
      <w:pPr>
        <w:pStyle w:val="ListParagraph"/>
        <w:numPr>
          <w:ilvl w:val="0"/>
          <w:numId w:val="71"/>
        </w:numPr>
        <w:contextualSpacing/>
      </w:pPr>
      <w:r>
        <w:t>VARA – all arguments</w:t>
      </w:r>
    </w:p>
    <w:p w:rsidR="00024C0A" w:rsidRDefault="00694C0F">
      <w:pPr>
        <w:pStyle w:val="ListParagraph"/>
        <w:numPr>
          <w:ilvl w:val="0"/>
          <w:numId w:val="71"/>
        </w:numPr>
        <w:contextualSpacing/>
      </w:pPr>
      <w:r>
        <w:t>VARP – all arguments</w:t>
      </w:r>
    </w:p>
    <w:p w:rsidR="00024C0A" w:rsidRDefault="00694C0F">
      <w:pPr>
        <w:pStyle w:val="ListParagraph"/>
        <w:numPr>
          <w:ilvl w:val="0"/>
          <w:numId w:val="71"/>
        </w:numPr>
        <w:contextualSpacing/>
      </w:pPr>
      <w:r>
        <w:t>VARPA – all argument</w:t>
      </w:r>
      <w:r>
        <w:t>s</w:t>
      </w:r>
    </w:p>
    <w:p w:rsidR="00024C0A" w:rsidRDefault="00694C0F">
      <w:pPr>
        <w:pStyle w:val="ListParagraph"/>
        <w:numPr>
          <w:ilvl w:val="0"/>
          <w:numId w:val="71"/>
        </w:numPr>
        <w:contextualSpacing/>
      </w:pPr>
      <w:r>
        <w:t>VLOOKUP – table-array argument</w:t>
      </w:r>
    </w:p>
    <w:p w:rsidR="00024C0A" w:rsidRDefault="00694C0F">
      <w:pPr>
        <w:pStyle w:val="ListParagraph"/>
        <w:numPr>
          <w:ilvl w:val="0"/>
          <w:numId w:val="71"/>
        </w:numPr>
        <w:contextualSpacing/>
      </w:pPr>
      <w:r>
        <w:t>WEEKNUM - all arguments</w:t>
      </w:r>
    </w:p>
    <w:p w:rsidR="00024C0A" w:rsidRDefault="00694C0F">
      <w:pPr>
        <w:pStyle w:val="ListParagraph"/>
        <w:numPr>
          <w:ilvl w:val="0"/>
          <w:numId w:val="71"/>
        </w:numPr>
        <w:contextualSpacing/>
      </w:pPr>
      <w:r>
        <w:t>WORKDAY – holidays argument</w:t>
      </w:r>
    </w:p>
    <w:p w:rsidR="00024C0A" w:rsidRDefault="00694C0F">
      <w:pPr>
        <w:pStyle w:val="ListParagraph"/>
        <w:numPr>
          <w:ilvl w:val="0"/>
          <w:numId w:val="71"/>
        </w:numPr>
        <w:contextualSpacing/>
      </w:pPr>
      <w:r>
        <w:t>XIRR – all arguments except guess</w:t>
      </w:r>
    </w:p>
    <w:p w:rsidR="00024C0A" w:rsidRDefault="00694C0F">
      <w:pPr>
        <w:pStyle w:val="ListParagraph"/>
        <w:numPr>
          <w:ilvl w:val="0"/>
          <w:numId w:val="71"/>
        </w:numPr>
        <w:contextualSpacing/>
      </w:pPr>
      <w:r>
        <w:t>XNPV – all arguments except rate</w:t>
      </w:r>
    </w:p>
    <w:p w:rsidR="00024C0A" w:rsidRDefault="00694C0F">
      <w:pPr>
        <w:pStyle w:val="ListParagraph"/>
        <w:numPr>
          <w:ilvl w:val="0"/>
          <w:numId w:val="71"/>
        </w:numPr>
        <w:contextualSpacing/>
      </w:pPr>
      <w:r>
        <w:t>YEARFRAC - all arguments</w:t>
      </w:r>
    </w:p>
    <w:p w:rsidR="00024C0A" w:rsidRDefault="00694C0F">
      <w:pPr>
        <w:pStyle w:val="ListParagraph"/>
        <w:numPr>
          <w:ilvl w:val="0"/>
          <w:numId w:val="71"/>
        </w:numPr>
        <w:contextualSpacing/>
      </w:pPr>
      <w:r>
        <w:t>YIELD - all arguments</w:t>
      </w:r>
    </w:p>
    <w:p w:rsidR="00024C0A" w:rsidRDefault="00694C0F">
      <w:pPr>
        <w:pStyle w:val="ListParagraph"/>
        <w:numPr>
          <w:ilvl w:val="0"/>
          <w:numId w:val="71"/>
        </w:numPr>
        <w:contextualSpacing/>
      </w:pPr>
      <w:r>
        <w:t>YIELDDISC - all arguments</w:t>
      </w:r>
    </w:p>
    <w:p w:rsidR="00024C0A" w:rsidRDefault="00694C0F">
      <w:pPr>
        <w:pStyle w:val="ListParagraph"/>
        <w:numPr>
          <w:ilvl w:val="0"/>
          <w:numId w:val="71"/>
        </w:numPr>
        <w:contextualSpacing/>
      </w:pPr>
      <w:r>
        <w:t>YIELDMAT - all arguments</w:t>
      </w:r>
    </w:p>
    <w:p w:rsidR="00024C0A" w:rsidRDefault="00694C0F">
      <w:pPr>
        <w:pStyle w:val="ListParagraph"/>
        <w:numPr>
          <w:ilvl w:val="0"/>
          <w:numId w:val="71"/>
        </w:numPr>
      </w:pPr>
      <w:r>
        <w:t xml:space="preserve">ZTEST </w:t>
      </w:r>
      <w:r>
        <w:t>– array argument</w:t>
      </w:r>
    </w:p>
    <w:p w:rsidR="00024C0A" w:rsidRDefault="00694C0F">
      <w:pPr>
        <w:pStyle w:val="Definition-Field"/>
      </w:pPr>
      <w:r>
        <w:t xml:space="preserve">g.   </w:t>
      </w:r>
      <w:r>
        <w:rPr>
          <w:i/>
        </w:rPr>
        <w:t>The standard does not specify what happens when implicit intersection cannot be performed.</w:t>
      </w:r>
    </w:p>
    <w:p w:rsidR="00024C0A" w:rsidRDefault="00694C0F">
      <w:pPr>
        <w:pStyle w:val="Definition-Field2"/>
      </w:pPr>
      <w:r>
        <w:t>Office returns #VALUE! when implicit intersection cannot be performed.</w:t>
      </w:r>
    </w:p>
    <w:p w:rsidR="00024C0A" w:rsidRDefault="00694C0F">
      <w:pPr>
        <w:pStyle w:val="Heading3"/>
      </w:pPr>
      <w:bookmarkStart w:id="1735" w:name="section_e7502ecf232e44a084eb1d391ff386b5"/>
      <w:bookmarkStart w:id="1736" w:name="_Toc12260928"/>
      <w:r>
        <w:t>Part 1 Section 18.17.2.1, Constants</w:t>
      </w:r>
      <w:bookmarkEnd w:id="1735"/>
      <w:bookmarkEnd w:id="1736"/>
      <w:r>
        <w:fldChar w:fldCharType="begin"/>
      </w:r>
      <w:r>
        <w:instrText xml:space="preserve"> XE "Constants" </w:instrText>
      </w:r>
      <w:r>
        <w:fldChar w:fldCharType="end"/>
      </w:r>
    </w:p>
    <w:p w:rsidR="00024C0A" w:rsidRDefault="00694C0F">
      <w:pPr>
        <w:pStyle w:val="Definition-Field"/>
      </w:pPr>
      <w:r>
        <w:t xml:space="preserve">a.   </w:t>
      </w:r>
      <w:r>
        <w:rPr>
          <w:i/>
        </w:rPr>
        <w:t xml:space="preserve">The standard </w:t>
      </w:r>
      <w:r>
        <w:rPr>
          <w:i/>
        </w:rPr>
        <w:t>does not specify the set of productions for constant using EBNF.</w:t>
      </w:r>
    </w:p>
    <w:p w:rsidR="00024C0A" w:rsidRDefault="00694C0F">
      <w:r>
        <w:t>Office writes the productions for constant using the following EBNF:</w:t>
      </w:r>
    </w:p>
    <w:p w:rsidR="00024C0A" w:rsidRDefault="00694C0F">
      <w:pPr>
        <w:pStyle w:val="Code"/>
      </w:pPr>
      <w:r>
        <w:t>constant=</w:t>
      </w:r>
    </w:p>
    <w:p w:rsidR="00024C0A" w:rsidRDefault="00694C0F">
      <w:pPr>
        <w:pStyle w:val="Code"/>
      </w:pPr>
      <w:r>
        <w:t xml:space="preserve">  error-constant  |</w:t>
      </w:r>
    </w:p>
    <w:p w:rsidR="00024C0A" w:rsidRDefault="00694C0F">
      <w:pPr>
        <w:pStyle w:val="Code"/>
      </w:pPr>
      <w:r>
        <w:t xml:space="preserve">  logical-constant  |</w:t>
      </w:r>
    </w:p>
    <w:p w:rsidR="00024C0A" w:rsidRDefault="00694C0F">
      <w:pPr>
        <w:pStyle w:val="Code"/>
      </w:pPr>
      <w:r>
        <w:t xml:space="preserve">  numerical-constant  |</w:t>
      </w:r>
    </w:p>
    <w:p w:rsidR="00024C0A" w:rsidRDefault="00694C0F">
      <w:pPr>
        <w:pStyle w:val="Code"/>
      </w:pPr>
      <w:r>
        <w:t xml:space="preserve">  string-constant  |</w:t>
      </w:r>
    </w:p>
    <w:p w:rsidR="00024C0A" w:rsidRDefault="00694C0F">
      <w:pPr>
        <w:pStyle w:val="Code"/>
      </w:pPr>
      <w:r>
        <w:t xml:space="preserve">  array-constant  ;</w:t>
      </w:r>
    </w:p>
    <w:p w:rsidR="00024C0A" w:rsidRDefault="00694C0F">
      <w:pPr>
        <w:pStyle w:val="Code"/>
      </w:pPr>
      <w:r>
        <w:t>error</w:t>
      </w:r>
      <w:r>
        <w:t>-constant=</w:t>
      </w:r>
    </w:p>
    <w:p w:rsidR="00024C0A" w:rsidRDefault="00694C0F">
      <w:pPr>
        <w:pStyle w:val="Code"/>
      </w:pPr>
      <w:r>
        <w:t xml:space="preserve">  "#DIV/0!"  |  "#N/A"  |  "#NAME?"  |  "#NULL!"  |  </w:t>
      </w:r>
    </w:p>
    <w:p w:rsidR="00024C0A" w:rsidRDefault="00694C0F">
      <w:pPr>
        <w:pStyle w:val="Code"/>
      </w:pPr>
      <w:r>
        <w:t xml:space="preserve">  "#NUM!"  |  "#REF!"  | "#VALUE!" | "#GETTING_DATA"; </w:t>
      </w:r>
    </w:p>
    <w:p w:rsidR="00024C0A" w:rsidRDefault="00694C0F">
      <w:pPr>
        <w:pStyle w:val="Code"/>
      </w:pPr>
      <w:r>
        <w:t>logical-constant=</w:t>
      </w:r>
    </w:p>
    <w:p w:rsidR="00024C0A" w:rsidRDefault="00694C0F">
      <w:pPr>
        <w:pStyle w:val="Code"/>
      </w:pPr>
      <w:r>
        <w:t xml:space="preserve">  "FALSE"  |  "TRUE"  ;</w:t>
      </w:r>
    </w:p>
    <w:p w:rsidR="00024C0A" w:rsidRDefault="00694C0F">
      <w:pPr>
        <w:pStyle w:val="Code"/>
      </w:pPr>
      <w:r>
        <w:t>numerical-constant=</w:t>
      </w:r>
    </w:p>
    <w:p w:rsidR="00024C0A" w:rsidRDefault="00694C0F">
      <w:pPr>
        <w:pStyle w:val="Code"/>
      </w:pPr>
      <w:r>
        <w:t xml:space="preserve">  [neg-sign],  significand-part, [exponent-part] ;</w:t>
      </w:r>
    </w:p>
    <w:p w:rsidR="00024C0A" w:rsidRDefault="00694C0F">
      <w:pPr>
        <w:pStyle w:val="Code"/>
      </w:pPr>
      <w:r>
        <w:t>significand-part=</w:t>
      </w:r>
    </w:p>
    <w:p w:rsidR="00024C0A" w:rsidRDefault="00694C0F">
      <w:pPr>
        <w:pStyle w:val="Code"/>
      </w:pPr>
      <w:r>
        <w:t xml:space="preserve">  who</w:t>
      </w:r>
      <w:r>
        <w:t>le-number-part, [fractional-part] |</w:t>
      </w:r>
    </w:p>
    <w:p w:rsidR="00024C0A" w:rsidRDefault="00694C0F">
      <w:pPr>
        <w:pStyle w:val="Code"/>
      </w:pPr>
      <w:r>
        <w:t xml:space="preserve">  fractional-part ;</w:t>
      </w:r>
    </w:p>
    <w:p w:rsidR="00024C0A" w:rsidRDefault="00694C0F">
      <w:pPr>
        <w:pStyle w:val="Code"/>
      </w:pPr>
      <w:r>
        <w:t>whole-number-part=</w:t>
      </w:r>
    </w:p>
    <w:p w:rsidR="00024C0A" w:rsidRDefault="00694C0F">
      <w:pPr>
        <w:pStyle w:val="Code"/>
      </w:pPr>
      <w:r>
        <w:t xml:space="preserve">  digit-sequence;</w:t>
      </w:r>
    </w:p>
    <w:p w:rsidR="00024C0A" w:rsidRDefault="00694C0F">
      <w:pPr>
        <w:pStyle w:val="Code"/>
      </w:pPr>
      <w:r>
        <w:t>fractional-part=</w:t>
      </w:r>
    </w:p>
    <w:p w:rsidR="00024C0A" w:rsidRDefault="00694C0F">
      <w:pPr>
        <w:pStyle w:val="Code"/>
      </w:pPr>
      <w:r>
        <w:t xml:space="preserve">  full-stop, digit-sequence  ;</w:t>
      </w:r>
    </w:p>
    <w:p w:rsidR="00024C0A" w:rsidRDefault="00694C0F">
      <w:pPr>
        <w:pStyle w:val="Code"/>
      </w:pPr>
      <w:r>
        <w:t>exponent-part=</w:t>
      </w:r>
    </w:p>
    <w:p w:rsidR="00024C0A" w:rsidRDefault="00694C0F">
      <w:pPr>
        <w:pStyle w:val="Code"/>
      </w:pPr>
      <w:r>
        <w:t xml:space="preserve">  exponent-character, [ sign ], digit-sequence  ;</w:t>
      </w:r>
    </w:p>
    <w:p w:rsidR="00024C0A" w:rsidRDefault="00694C0F">
      <w:pPr>
        <w:pStyle w:val="Code"/>
      </w:pPr>
      <w:r>
        <w:t>full-stop=</w:t>
      </w:r>
    </w:p>
    <w:p w:rsidR="00024C0A" w:rsidRDefault="00694C0F">
      <w:pPr>
        <w:pStyle w:val="Code"/>
      </w:pPr>
      <w:r>
        <w:t xml:space="preserve">  "."    ;  (* also known as “period” *)</w:t>
      </w:r>
    </w:p>
    <w:p w:rsidR="00024C0A" w:rsidRDefault="00694C0F">
      <w:pPr>
        <w:pStyle w:val="Code"/>
      </w:pPr>
      <w:r>
        <w:t>sign=</w:t>
      </w:r>
    </w:p>
    <w:p w:rsidR="00024C0A" w:rsidRDefault="00694C0F">
      <w:pPr>
        <w:pStyle w:val="Code"/>
      </w:pPr>
      <w:r>
        <w:t xml:space="preserve">  "+"  |</w:t>
      </w:r>
    </w:p>
    <w:p w:rsidR="00024C0A" w:rsidRDefault="00694C0F">
      <w:pPr>
        <w:pStyle w:val="Code"/>
      </w:pPr>
      <w:r>
        <w:t xml:space="preserve">  neg-sign  ;</w:t>
      </w:r>
    </w:p>
    <w:p w:rsidR="00024C0A" w:rsidRDefault="00694C0F">
      <w:pPr>
        <w:pStyle w:val="Code"/>
      </w:pPr>
      <w:r>
        <w:t>neg-sign=</w:t>
      </w:r>
    </w:p>
    <w:p w:rsidR="00024C0A" w:rsidRDefault="00694C0F">
      <w:pPr>
        <w:pStyle w:val="Code"/>
      </w:pPr>
      <w:r>
        <w:t xml:space="preserve">  "-" ;</w:t>
      </w:r>
    </w:p>
    <w:p w:rsidR="00024C0A" w:rsidRDefault="00694C0F">
      <w:pPr>
        <w:pStyle w:val="Code"/>
      </w:pPr>
      <w:r>
        <w:t>exponent-character=</w:t>
      </w:r>
    </w:p>
    <w:p w:rsidR="00024C0A" w:rsidRDefault="00694C0F">
      <w:pPr>
        <w:pStyle w:val="Code"/>
      </w:pPr>
      <w:r>
        <w:t xml:space="preserve">  "E" | "e" ;</w:t>
      </w:r>
    </w:p>
    <w:p w:rsidR="00024C0A" w:rsidRDefault="00024C0A">
      <w:pPr>
        <w:pStyle w:val="Code"/>
      </w:pPr>
    </w:p>
    <w:p w:rsidR="00024C0A" w:rsidRDefault="00694C0F">
      <w:pPr>
        <w:pStyle w:val="Code"/>
      </w:pPr>
      <w:r>
        <w:t>digit-sequence=</w:t>
      </w:r>
    </w:p>
    <w:p w:rsidR="00024C0A" w:rsidRDefault="00694C0F">
      <w:pPr>
        <w:pStyle w:val="Code"/>
      </w:pPr>
      <w:r>
        <w:t xml:space="preserve">  decimal-digit,  {decimal-digit}  ;</w:t>
      </w:r>
    </w:p>
    <w:p w:rsidR="00024C0A" w:rsidRDefault="00694C0F">
      <w:pPr>
        <w:pStyle w:val="Code"/>
      </w:pPr>
      <w:r>
        <w:t>nonzero-digit-sequence=</w:t>
      </w:r>
    </w:p>
    <w:p w:rsidR="00024C0A" w:rsidRDefault="00694C0F">
      <w:pPr>
        <w:pStyle w:val="Code"/>
      </w:pPr>
      <w:r>
        <w:t>nonzero-decimal-digit,  {decimal-digit}  ;</w:t>
      </w:r>
    </w:p>
    <w:p w:rsidR="00024C0A" w:rsidRDefault="00694C0F">
      <w:pPr>
        <w:pStyle w:val="Code"/>
      </w:pPr>
      <w:r>
        <w:lastRenderedPageBreak/>
        <w:t>decimal-digit</w:t>
      </w:r>
      <w:r>
        <w:t xml:space="preserve">=               </w:t>
      </w:r>
    </w:p>
    <w:p w:rsidR="00024C0A" w:rsidRDefault="00694C0F">
      <w:pPr>
        <w:pStyle w:val="Code"/>
      </w:pPr>
      <w:r>
        <w:t xml:space="preserve">  "0"  |  nonzero-decimal-digit  ;</w:t>
      </w:r>
    </w:p>
    <w:p w:rsidR="00024C0A" w:rsidRDefault="00694C0F">
      <w:pPr>
        <w:pStyle w:val="Code"/>
      </w:pPr>
      <w:r>
        <w:t>nonzero-decimal-digit=</w:t>
      </w:r>
    </w:p>
    <w:p w:rsidR="00024C0A" w:rsidRDefault="00694C0F">
      <w:pPr>
        <w:pStyle w:val="Code"/>
      </w:pPr>
      <w:r>
        <w:t xml:space="preserve">  "1"  |  "2"  |  "3"  |  "4"  |  </w:t>
      </w:r>
    </w:p>
    <w:p w:rsidR="00024C0A" w:rsidRDefault="00694C0F">
      <w:pPr>
        <w:pStyle w:val="Code"/>
      </w:pPr>
      <w:r>
        <w:t xml:space="preserve">  "5"  |  "6"  |  "7"  |  "8"  |  "9"  ;</w:t>
      </w:r>
    </w:p>
    <w:p w:rsidR="00024C0A" w:rsidRDefault="00024C0A">
      <w:pPr>
        <w:pStyle w:val="Code"/>
      </w:pPr>
    </w:p>
    <w:p w:rsidR="00024C0A" w:rsidRDefault="00694C0F">
      <w:pPr>
        <w:pStyle w:val="Code"/>
      </w:pPr>
      <w:r>
        <w:t>string-constant=</w:t>
      </w:r>
    </w:p>
    <w:p w:rsidR="00024C0A" w:rsidRDefault="00694C0F">
      <w:pPr>
        <w:pStyle w:val="Code"/>
      </w:pPr>
      <w:r>
        <w:t xml:space="preserve">  double-quote, [string-chars], double-quote  ;</w:t>
      </w:r>
    </w:p>
    <w:p w:rsidR="00024C0A" w:rsidRDefault="00694C0F">
      <w:pPr>
        <w:pStyle w:val="Code"/>
      </w:pPr>
      <w:r>
        <w:t>string-chars=</w:t>
      </w:r>
    </w:p>
    <w:p w:rsidR="00024C0A" w:rsidRDefault="00694C0F">
      <w:pPr>
        <w:pStyle w:val="Code"/>
      </w:pPr>
      <w:r>
        <w:t xml:space="preserve">  string-char,  {string-char}  ;</w:t>
      </w:r>
    </w:p>
    <w:p w:rsidR="00024C0A" w:rsidRDefault="00694C0F">
      <w:pPr>
        <w:pStyle w:val="Code"/>
      </w:pPr>
      <w:r>
        <w:t>string-char=</w:t>
      </w:r>
    </w:p>
    <w:p w:rsidR="00024C0A" w:rsidRDefault="00694C0F">
      <w:pPr>
        <w:pStyle w:val="Code"/>
      </w:pPr>
      <w:r>
        <w:t xml:space="preserve">  escaped-double-quote  |</w:t>
      </w:r>
    </w:p>
    <w:p w:rsidR="00024C0A" w:rsidRDefault="00694C0F">
      <w:pPr>
        <w:pStyle w:val="Code"/>
      </w:pPr>
      <w:r>
        <w:t xml:space="preserve">  character  -  double-quote  ;   (* any character except double-quote *)</w:t>
      </w:r>
    </w:p>
    <w:p w:rsidR="00024C0A" w:rsidRDefault="00694C0F">
      <w:pPr>
        <w:pStyle w:val="Code"/>
      </w:pPr>
      <w:r>
        <w:t>escaped-double-quote=</w:t>
      </w:r>
    </w:p>
    <w:p w:rsidR="00024C0A" w:rsidRDefault="00694C0F">
      <w:pPr>
        <w:pStyle w:val="Code"/>
      </w:pPr>
      <w:r>
        <w:t xml:space="preserve">  ' "" '  ;   (* consecutive double-quotes, with no space between them *)</w:t>
      </w:r>
    </w:p>
    <w:p w:rsidR="00024C0A" w:rsidRDefault="00694C0F">
      <w:pPr>
        <w:pStyle w:val="Code"/>
      </w:pPr>
      <w:r>
        <w:t>double-quote=</w:t>
      </w:r>
    </w:p>
    <w:p w:rsidR="00024C0A" w:rsidRDefault="00694C0F">
      <w:pPr>
        <w:pStyle w:val="Code"/>
      </w:pPr>
      <w:r>
        <w:t xml:space="preserve">  ' " '  ; (* one double-quote character*)</w:t>
      </w:r>
    </w:p>
    <w:p w:rsidR="00024C0A" w:rsidRDefault="00694C0F">
      <w:pPr>
        <w:pStyle w:val="Code"/>
      </w:pPr>
      <w:r>
        <w:t>character=</w:t>
      </w:r>
    </w:p>
    <w:p w:rsidR="00024C0A" w:rsidRDefault="00694C0F">
      <w:pPr>
        <w:pStyle w:val="Code"/>
      </w:pPr>
      <w:r>
        <w:t xml:space="preserve">  as defined by the production Char in the XML 1.0 specification, §2.2.</w:t>
      </w:r>
    </w:p>
    <w:p w:rsidR="00024C0A" w:rsidRDefault="00694C0F">
      <w:pPr>
        <w:pStyle w:val="Definition-Field"/>
      </w:pPr>
      <w:r>
        <w:t xml:space="preserve">b.   </w:t>
      </w:r>
      <w:r>
        <w:rPr>
          <w:i/>
        </w:rPr>
        <w:t>The standard does not specify the set of productions for array-constant using EBNF.</w:t>
      </w:r>
    </w:p>
    <w:p w:rsidR="00024C0A" w:rsidRDefault="00694C0F">
      <w:r>
        <w:t>Office writes the productions for array-c</w:t>
      </w:r>
      <w:r>
        <w:t>onstant using the following EBNF:</w:t>
      </w:r>
    </w:p>
    <w:p w:rsidR="00024C0A" w:rsidRDefault="00694C0F">
      <w:pPr>
        <w:pStyle w:val="Code"/>
      </w:pPr>
      <w:r>
        <w:t>array-constant=</w:t>
      </w:r>
    </w:p>
    <w:p w:rsidR="00024C0A" w:rsidRDefault="00694C0F">
      <w:pPr>
        <w:pStyle w:val="Code"/>
      </w:pPr>
      <w:r>
        <w:t xml:space="preserve">  "{",  constant-list-rows,  "}"  ;</w:t>
      </w:r>
    </w:p>
    <w:p w:rsidR="00024C0A" w:rsidRDefault="00694C0F">
      <w:pPr>
        <w:pStyle w:val="Code"/>
      </w:pPr>
      <w:r>
        <w:t>constant-list-rows=</w:t>
      </w:r>
    </w:p>
    <w:p w:rsidR="00024C0A" w:rsidRDefault="00694C0F">
      <w:pPr>
        <w:pStyle w:val="Code"/>
      </w:pPr>
      <w:r>
        <w:t xml:space="preserve">  constant-list-row,  {  semicolon,  constant-list-row  }  ;</w:t>
      </w:r>
    </w:p>
    <w:p w:rsidR="00024C0A" w:rsidRDefault="00694C0F">
      <w:pPr>
        <w:pStyle w:val="Code"/>
      </w:pPr>
      <w:r>
        <w:t>semicolon=</w:t>
      </w:r>
    </w:p>
    <w:p w:rsidR="00024C0A" w:rsidRDefault="00694C0F">
      <w:pPr>
        <w:pStyle w:val="Code"/>
      </w:pPr>
      <w:r>
        <w:t xml:space="preserve">  ";"    ;</w:t>
      </w:r>
    </w:p>
    <w:p w:rsidR="00024C0A" w:rsidRDefault="00694C0F">
      <w:pPr>
        <w:pStyle w:val="Code"/>
      </w:pPr>
      <w:r>
        <w:t xml:space="preserve">constant-list-row=                     </w:t>
      </w:r>
    </w:p>
    <w:p w:rsidR="00024C0A" w:rsidRDefault="00694C0F">
      <w:pPr>
        <w:pStyle w:val="Code"/>
      </w:pPr>
      <w:r>
        <w:t xml:space="preserve">  constant,  {  comma,  con</w:t>
      </w:r>
      <w:r>
        <w:t>stant  }  ;</w:t>
      </w:r>
    </w:p>
    <w:p w:rsidR="00024C0A" w:rsidRDefault="00694C0F">
      <w:pPr>
        <w:pStyle w:val="Definition-Field"/>
      </w:pPr>
      <w:r>
        <w:t xml:space="preserve">c.   </w:t>
      </w:r>
      <w:r>
        <w:rPr>
          <w:i/>
        </w:rPr>
        <w:t>The standard does not list #GETTING_DATA as being saved in any formulas.</w:t>
      </w:r>
    </w:p>
    <w:p w:rsidR="00024C0A" w:rsidRDefault="00694C0F">
      <w:pPr>
        <w:pStyle w:val="Definition-Field2"/>
      </w:pPr>
      <w:r>
        <w:t>Office saves #GETTING_DATA in formulas.</w:t>
      </w:r>
    </w:p>
    <w:p w:rsidR="00024C0A" w:rsidRDefault="00694C0F">
      <w:pPr>
        <w:pStyle w:val="Heading3"/>
      </w:pPr>
      <w:bookmarkStart w:id="1737" w:name="section_caae6c6efc424f27ad8f91002f4e56ac"/>
      <w:bookmarkStart w:id="1738" w:name="_Toc12260929"/>
      <w:r>
        <w:t>Part 1 Section 18.17.2.2, Operators</w:t>
      </w:r>
      <w:bookmarkEnd w:id="1737"/>
      <w:bookmarkEnd w:id="1738"/>
      <w:r>
        <w:fldChar w:fldCharType="begin"/>
      </w:r>
      <w:r>
        <w:instrText xml:space="preserve"> XE "Operators" </w:instrText>
      </w:r>
      <w:r>
        <w:fldChar w:fldCharType="end"/>
      </w:r>
    </w:p>
    <w:p w:rsidR="00024C0A" w:rsidRDefault="00694C0F">
      <w:pPr>
        <w:pStyle w:val="Definition-Field"/>
      </w:pPr>
      <w:r>
        <w:t xml:space="preserve">a.   </w:t>
      </w:r>
      <w:r>
        <w:rPr>
          <w:i/>
        </w:rPr>
        <w:t>The standard does not specify the productions for operator using EB</w:t>
      </w:r>
      <w:r>
        <w:rPr>
          <w:i/>
        </w:rPr>
        <w:t>NF.</w:t>
      </w:r>
    </w:p>
    <w:p w:rsidR="00024C0A" w:rsidRDefault="00694C0F">
      <w:r>
        <w:t>Office writes the productions for operator using the following EBNF:</w:t>
      </w:r>
    </w:p>
    <w:p w:rsidR="00024C0A" w:rsidRDefault="00694C0F">
      <w:pPr>
        <w:pStyle w:val="Code"/>
      </w:pPr>
      <w:r>
        <w:t>operator=</w:t>
      </w:r>
    </w:p>
    <w:p w:rsidR="00024C0A" w:rsidRDefault="00694C0F">
      <w:pPr>
        <w:pStyle w:val="Code"/>
      </w:pPr>
      <w:r>
        <w:t xml:space="preserve">  ":"  |  comma  |  space  |  "^"  |  "*"  |  "/"  |  "+"  |  "-"</w:t>
      </w:r>
    </w:p>
    <w:p w:rsidR="00024C0A" w:rsidRDefault="00694C0F">
      <w:pPr>
        <w:pStyle w:val="Code"/>
      </w:pPr>
      <w:r>
        <w:t xml:space="preserve">  |  "&amp;"  |  "="  |  "&lt;&gt;"  |  "&lt;"  |  "&lt;="  |  "&gt;"  |  "&gt;="  |  "%"  ;</w:t>
      </w:r>
    </w:p>
    <w:p w:rsidR="00024C0A" w:rsidRDefault="00694C0F">
      <w:pPr>
        <w:pStyle w:val="Code"/>
      </w:pPr>
      <w:r>
        <w:t>infix-operator=</w:t>
      </w:r>
    </w:p>
    <w:p w:rsidR="00024C0A" w:rsidRDefault="00694C0F">
      <w:pPr>
        <w:pStyle w:val="Code"/>
      </w:pPr>
      <w:r>
        <w:t xml:space="preserve">  ":"  |  comma  |  space  |  "^"  |  "*"  |  "/"  |  "+"  |  "-"  |  "&amp;"</w:t>
      </w:r>
    </w:p>
    <w:p w:rsidR="00024C0A" w:rsidRDefault="00694C0F">
      <w:pPr>
        <w:pStyle w:val="Code"/>
      </w:pPr>
      <w:r>
        <w:t xml:space="preserve">  |  "="  |  "&lt;&gt;"  |  "&lt;"  |  "&lt;="  |  "&gt;"  |  "&gt;="  ;</w:t>
      </w:r>
    </w:p>
    <w:p w:rsidR="00024C0A" w:rsidRDefault="00694C0F">
      <w:pPr>
        <w:pStyle w:val="Code"/>
      </w:pPr>
      <w:r>
        <w:t>postfix-operator=</w:t>
      </w:r>
    </w:p>
    <w:p w:rsidR="00024C0A" w:rsidRDefault="00694C0F">
      <w:pPr>
        <w:pStyle w:val="Code"/>
      </w:pPr>
      <w:r>
        <w:t xml:space="preserve">  "%"  ;</w:t>
      </w:r>
    </w:p>
    <w:p w:rsidR="00024C0A" w:rsidRDefault="00694C0F">
      <w:pPr>
        <w:pStyle w:val="Code"/>
      </w:pPr>
      <w:r>
        <w:t>prefix-operator=</w:t>
      </w:r>
    </w:p>
    <w:p w:rsidR="00024C0A" w:rsidRDefault="00694C0F">
      <w:pPr>
        <w:pStyle w:val="Code"/>
      </w:pPr>
      <w:r>
        <w:t xml:space="preserve">  "+"  |  "-";</w:t>
      </w:r>
    </w:p>
    <w:p w:rsidR="00024C0A" w:rsidRDefault="00694C0F">
      <w:pPr>
        <w:pStyle w:val="Definition-Field"/>
      </w:pPr>
      <w:r>
        <w:t xml:space="preserve">b.   </w:t>
      </w:r>
      <w:r>
        <w:rPr>
          <w:i/>
        </w:rPr>
        <w:t>The standard states that an expression with value 0 tests logic</w:t>
      </w:r>
      <w:r>
        <w:rPr>
          <w:i/>
        </w:rPr>
        <w:t>ally false while one with any nonzero value tests true.</w:t>
      </w:r>
    </w:p>
    <w:p w:rsidR="00024C0A" w:rsidRDefault="00694C0F">
      <w:pPr>
        <w:pStyle w:val="Definition-Field2"/>
      </w:pPr>
      <w:r>
        <w:t>In Office, an expression with value 0 tests logically false while one with any nonzero numeric value tests true.</w:t>
      </w:r>
    </w:p>
    <w:p w:rsidR="00024C0A" w:rsidRDefault="00694C0F">
      <w:pPr>
        <w:pStyle w:val="Heading3"/>
      </w:pPr>
      <w:bookmarkStart w:id="1739" w:name="section_3c420ebb6ef14b0d959d76e88c841c3e"/>
      <w:bookmarkStart w:id="1740" w:name="_Toc12260930"/>
      <w:r>
        <w:lastRenderedPageBreak/>
        <w:t>Part 1 Section 18.17.2.3, Cell References</w:t>
      </w:r>
      <w:bookmarkEnd w:id="1739"/>
      <w:bookmarkEnd w:id="1740"/>
      <w:r>
        <w:fldChar w:fldCharType="begin"/>
      </w:r>
      <w:r>
        <w:instrText xml:space="preserve"> XE "Cell References" </w:instrText>
      </w:r>
      <w:r>
        <w:fldChar w:fldCharType="end"/>
      </w:r>
    </w:p>
    <w:p w:rsidR="00024C0A" w:rsidRDefault="00694C0F">
      <w:pPr>
        <w:pStyle w:val="Definition-Field"/>
      </w:pPr>
      <w:r>
        <w:t xml:space="preserve">a.   </w:t>
      </w:r>
      <w:r>
        <w:rPr>
          <w:i/>
        </w:rPr>
        <w:t>The standard doe</w:t>
      </w:r>
      <w:r>
        <w:rPr>
          <w:i/>
        </w:rPr>
        <w:t>s not specify the productions for cell-reference using EBNF.</w:t>
      </w:r>
    </w:p>
    <w:p w:rsidR="00024C0A" w:rsidRDefault="00694C0F">
      <w:r>
        <w:t>Office writes the productions for cell-reference using the following EBNF:</w:t>
      </w:r>
    </w:p>
    <w:p w:rsidR="00024C0A" w:rsidRDefault="00694C0F">
      <w:pPr>
        <w:pStyle w:val="Code"/>
      </w:pPr>
      <w:r>
        <w:t>cell-reference= external-cell-reference | A1-reference ;</w:t>
      </w:r>
    </w:p>
    <w:p w:rsidR="00024C0A" w:rsidRDefault="00694C0F">
      <w:pPr>
        <w:pStyle w:val="Code"/>
      </w:pPr>
      <w:r>
        <w:t>external-cell-reference= sheets-prefix, A1-reference ;</w:t>
      </w:r>
    </w:p>
    <w:p w:rsidR="00024C0A" w:rsidRDefault="00694C0F">
      <w:pPr>
        <w:pStyle w:val="Code"/>
      </w:pPr>
      <w:r>
        <w:t xml:space="preserve">book-prefix= workbook-index, "!" ; </w:t>
      </w:r>
    </w:p>
    <w:p w:rsidR="00024C0A" w:rsidRDefault="00694C0F">
      <w:pPr>
        <w:pStyle w:val="Code"/>
      </w:pPr>
      <w:r>
        <w:t>sheets-prefix = single-sheet-prefix |</w:t>
      </w:r>
    </w:p>
    <w:p w:rsidR="00024C0A" w:rsidRDefault="00694C0F">
      <w:pPr>
        <w:pStyle w:val="Code"/>
      </w:pPr>
      <w:r>
        <w:t xml:space="preserve">  sheet-range, "!" ; </w:t>
      </w:r>
    </w:p>
    <w:p w:rsidR="00024C0A" w:rsidRDefault="00694C0F">
      <w:pPr>
        <w:pStyle w:val="Code"/>
      </w:pPr>
      <w:r>
        <w:t>single-sheet-prefix = single-sheet, "!" ;</w:t>
      </w:r>
    </w:p>
    <w:p w:rsidR="00024C0A" w:rsidRDefault="00694C0F">
      <w:pPr>
        <w:pStyle w:val="Code"/>
      </w:pPr>
      <w:r>
        <w:t>single-sheet= [workbook-index] sheet-name |</w:t>
      </w:r>
    </w:p>
    <w:p w:rsidR="00024C0A" w:rsidRDefault="00694C0F">
      <w:pPr>
        <w:pStyle w:val="Code"/>
      </w:pPr>
      <w:r>
        <w:t xml:space="preserve">  apostrophe,  [workbook-index] sheet-name-special,  apostrophe ;</w:t>
      </w:r>
    </w:p>
    <w:p w:rsidR="00024C0A" w:rsidRDefault="00694C0F">
      <w:pPr>
        <w:pStyle w:val="Code"/>
      </w:pPr>
      <w:r>
        <w:t>sheet-ra</w:t>
      </w:r>
      <w:r>
        <w:t>nge= [workbook-index], sheet-name, ":", sheet-name |</w:t>
      </w:r>
    </w:p>
    <w:p w:rsidR="00024C0A" w:rsidRDefault="00694C0F">
      <w:pPr>
        <w:pStyle w:val="Code"/>
      </w:pPr>
      <w:r>
        <w:t xml:space="preserve">apostrophe,  [workbook-index] sheet-name-special, ":", sheet-name-special,  apostrophe ; </w:t>
      </w:r>
    </w:p>
    <w:p w:rsidR="00024C0A" w:rsidRDefault="00694C0F">
      <w:pPr>
        <w:pStyle w:val="Code"/>
      </w:pPr>
      <w:r>
        <w:t>workbook-index =</w:t>
      </w:r>
    </w:p>
    <w:p w:rsidR="00024C0A" w:rsidRDefault="00694C0F">
      <w:pPr>
        <w:pStyle w:val="Code"/>
      </w:pPr>
      <w:r>
        <w:t xml:space="preserve">  "[",  whole-number-part,  "]" ;</w:t>
      </w:r>
    </w:p>
    <w:p w:rsidR="00024C0A" w:rsidRDefault="00694C0F">
      <w:pPr>
        <w:pStyle w:val="Code"/>
      </w:pPr>
      <w:r>
        <w:t>sheet-name=</w:t>
      </w:r>
    </w:p>
    <w:p w:rsidR="00024C0A" w:rsidRDefault="00694C0F">
      <w:pPr>
        <w:pStyle w:val="Code"/>
      </w:pPr>
      <w:r>
        <w:t xml:space="preserve">  sheet-name-characters ;</w:t>
      </w:r>
    </w:p>
    <w:p w:rsidR="00024C0A" w:rsidRDefault="00694C0F">
      <w:pPr>
        <w:pStyle w:val="Code"/>
      </w:pPr>
      <w:r>
        <w:t>sheet-name-characters=</w:t>
      </w:r>
    </w:p>
    <w:p w:rsidR="00024C0A" w:rsidRDefault="00694C0F">
      <w:pPr>
        <w:pStyle w:val="Code"/>
      </w:pPr>
      <w:r>
        <w:t xml:space="preserve">  sheet-name-character,  {sheet-name-character} ;</w:t>
      </w:r>
    </w:p>
    <w:p w:rsidR="00024C0A" w:rsidRDefault="00694C0F">
      <w:pPr>
        <w:pStyle w:val="Code"/>
      </w:pPr>
      <w:r>
        <w:t>sheet-name-character=</w:t>
      </w:r>
    </w:p>
    <w:p w:rsidR="00024C0A" w:rsidRDefault="00694C0F">
      <w:pPr>
        <w:pStyle w:val="Code"/>
      </w:pPr>
      <w:r>
        <w:t xml:space="preserve">  character – (operator  |  apostrophe  |  "["  |  "]"  |  "\"  |  "?") ;</w:t>
      </w:r>
    </w:p>
    <w:p w:rsidR="00024C0A" w:rsidRDefault="00694C0F">
      <w:pPr>
        <w:pStyle w:val="Code"/>
      </w:pPr>
      <w:r>
        <w:t xml:space="preserve">             (* any character except operator or ', [, ], \, or ? *)</w:t>
      </w:r>
    </w:p>
    <w:p w:rsidR="00024C0A" w:rsidRDefault="00694C0F">
      <w:pPr>
        <w:pStyle w:val="Code"/>
      </w:pPr>
      <w:r>
        <w:t>apostrophe= "'"   ;</w:t>
      </w:r>
    </w:p>
    <w:p w:rsidR="00024C0A" w:rsidRDefault="00694C0F">
      <w:pPr>
        <w:pStyle w:val="Code"/>
      </w:pPr>
      <w:r>
        <w:t>space = " "   ;</w:t>
      </w:r>
    </w:p>
    <w:p w:rsidR="00024C0A" w:rsidRDefault="00694C0F">
      <w:pPr>
        <w:pStyle w:val="Code"/>
      </w:pPr>
      <w:r>
        <w:t>sheet</w:t>
      </w:r>
      <w:r>
        <w:t>-name-special=</w:t>
      </w:r>
    </w:p>
    <w:p w:rsidR="00024C0A" w:rsidRDefault="00694C0F">
      <w:pPr>
        <w:pStyle w:val="Code"/>
      </w:pPr>
      <w:r>
        <w:t xml:space="preserve">  sheet-name-start-character-special,  </w:t>
      </w:r>
    </w:p>
    <w:p w:rsidR="00024C0A" w:rsidRDefault="00694C0F">
      <w:pPr>
        <w:pStyle w:val="Code"/>
      </w:pPr>
      <w:r>
        <w:t xml:space="preserve">    [ [sheet-name-characters-special], sheet-name-end-character-special] ;</w:t>
      </w:r>
    </w:p>
    <w:p w:rsidR="00024C0A" w:rsidRDefault="00694C0F">
      <w:pPr>
        <w:pStyle w:val="Code"/>
      </w:pPr>
      <w:r>
        <w:t>sheet-name-start-character-special=</w:t>
      </w:r>
    </w:p>
    <w:p w:rsidR="00024C0A" w:rsidRDefault="00694C0F">
      <w:pPr>
        <w:pStyle w:val="Code"/>
      </w:pPr>
      <w:r>
        <w:t xml:space="preserve">  character  –  (apostrophe  |  "*"  |  "["  |  "]"  |  "\"  |  ":"  |  "/"</w:t>
      </w:r>
    </w:p>
    <w:p w:rsidR="00024C0A" w:rsidRDefault="00694C0F">
      <w:pPr>
        <w:pStyle w:val="Code"/>
      </w:pPr>
      <w:r>
        <w:t>|  "?" | ? Uni</w:t>
      </w:r>
      <w:r>
        <w:t>code character END OF TEXT ? )  ;</w:t>
      </w:r>
    </w:p>
    <w:p w:rsidR="00024C0A" w:rsidRDefault="00694C0F">
      <w:pPr>
        <w:pStyle w:val="Code"/>
      </w:pPr>
      <w:r>
        <w:t>(* any character, including operator, except ', *, [, ], \, :, /, ?, or END OF TEXT *)</w:t>
      </w:r>
    </w:p>
    <w:p w:rsidR="00024C0A" w:rsidRDefault="00694C0F">
      <w:pPr>
        <w:pStyle w:val="Code"/>
      </w:pPr>
      <w:r>
        <w:t>sheet-name-end-character-special=</w:t>
      </w:r>
    </w:p>
    <w:p w:rsidR="00024C0A" w:rsidRDefault="00694C0F">
      <w:pPr>
        <w:pStyle w:val="Code"/>
      </w:pPr>
      <w:r>
        <w:t xml:space="preserve">  sheet-name-start-character-special  ;</w:t>
      </w:r>
    </w:p>
    <w:p w:rsidR="00024C0A" w:rsidRDefault="00694C0F">
      <w:pPr>
        <w:pStyle w:val="Code"/>
      </w:pPr>
      <w:r>
        <w:t>sheet-name-characters-special=</w:t>
      </w:r>
    </w:p>
    <w:p w:rsidR="00024C0A" w:rsidRDefault="00694C0F">
      <w:pPr>
        <w:pStyle w:val="Code"/>
      </w:pPr>
      <w:r>
        <w:t xml:space="preserve">  sheet-name-character-special</w:t>
      </w:r>
      <w:r>
        <w:t>,  {sheet-name-character-special}  ;</w:t>
      </w:r>
    </w:p>
    <w:p w:rsidR="00024C0A" w:rsidRDefault="00694C0F">
      <w:pPr>
        <w:pStyle w:val="Code"/>
      </w:pPr>
      <w:r>
        <w:t>sheet-name-character-special=</w:t>
      </w:r>
    </w:p>
    <w:p w:rsidR="00024C0A" w:rsidRDefault="00694C0F">
      <w:pPr>
        <w:pStyle w:val="Code"/>
      </w:pPr>
      <w:r>
        <w:t xml:space="preserve">  apostrophe, apostrophe  |</w:t>
      </w:r>
    </w:p>
    <w:p w:rsidR="00024C0A" w:rsidRDefault="00694C0F">
      <w:pPr>
        <w:pStyle w:val="Code"/>
      </w:pPr>
      <w:r>
        <w:t xml:space="preserve">  character  –  (apostrophe  |  "*"  |  "["  |  "]"  |  "\"  |  ":"  |  "/"</w:t>
      </w:r>
    </w:p>
    <w:p w:rsidR="00024C0A" w:rsidRDefault="00694C0F">
      <w:pPr>
        <w:pStyle w:val="Code"/>
      </w:pPr>
      <w:r>
        <w:t xml:space="preserve">  |  "?" | ? Unicode character END OF TEXT ? )  ;</w:t>
      </w:r>
    </w:p>
    <w:p w:rsidR="00024C0A" w:rsidRDefault="00694C0F">
      <w:pPr>
        <w:pStyle w:val="Code"/>
      </w:pPr>
      <w:r>
        <w:t>(* any character, including operato</w:t>
      </w:r>
      <w:r>
        <w:t>r, except ', *, [, ], \, :, /, ?, or END OF TEXT *)</w:t>
      </w:r>
    </w:p>
    <w:p w:rsidR="00024C0A" w:rsidRDefault="00694C0F">
      <w:pPr>
        <w:pStyle w:val="Definition-Field"/>
      </w:pPr>
      <w:r>
        <w:t xml:space="preserve">b.   </w:t>
      </w:r>
      <w:r>
        <w:rPr>
          <w:i/>
        </w:rPr>
        <w:t>The standard does not specify how external book index can be used to access a cell in external workbook.</w:t>
      </w:r>
    </w:p>
    <w:p w:rsidR="00024C0A" w:rsidRDefault="00694C0F">
      <w:pPr>
        <w:pStyle w:val="Definition-Field2"/>
      </w:pPr>
      <w:r>
        <w:t>In Office, a nonzero index represents a reference to an external book in an external link coll</w:t>
      </w:r>
      <w:r>
        <w:t>ection.</w:t>
      </w:r>
    </w:p>
    <w:p w:rsidR="00024C0A" w:rsidRDefault="00694C0F">
      <w:pPr>
        <w:pStyle w:val="Definition-Field"/>
      </w:pPr>
      <w:r>
        <w:t xml:space="preserve">c.   </w:t>
      </w:r>
      <w:r>
        <w:rPr>
          <w:i/>
        </w:rPr>
        <w:t>The standard refers to absolute cell reference behavior when the position of the cell containing the formula changes.</w:t>
      </w:r>
    </w:p>
    <w:p w:rsidR="00024C0A" w:rsidRDefault="00694C0F">
      <w:pPr>
        <w:pStyle w:val="Definition-Field2"/>
      </w:pPr>
      <w:r>
        <w:t>Excel does not relate the behavior of cells during move operations to relative or absolute references.</w:t>
      </w:r>
    </w:p>
    <w:p w:rsidR="00024C0A" w:rsidRDefault="00694C0F">
      <w:pPr>
        <w:pStyle w:val="Definition-Field"/>
      </w:pPr>
      <w:r>
        <w:t xml:space="preserve">d.   </w:t>
      </w:r>
      <w:r>
        <w:rPr>
          <w:i/>
        </w:rPr>
        <w:t>The standard stat</w:t>
      </w:r>
      <w:r>
        <w:rPr>
          <w:i/>
        </w:rPr>
        <w:t>es that functions which take 3D references are AVERAGE, AVERAGEA, COUNT, COUNTA, MAX, MAXA, MIN, MINA, PRODUCT, STDEV, STDEVA, STDEVP, STDEVPA, SUM, VAR, VARA, VARP, and VARPA.</w:t>
      </w:r>
    </w:p>
    <w:p w:rsidR="00024C0A" w:rsidRDefault="00694C0F">
      <w:pPr>
        <w:pStyle w:val="Definition-Field2"/>
      </w:pPr>
      <w:r>
        <w:t>In Office, the following functions also take 3D references: AND, AVEDEV, DEVSQ,</w:t>
      </w:r>
      <w:r>
        <w:t xml:space="preserve"> GEOMEAN, HARMEAN, KURT, MEDIAN, NPV, OR, SKEW, SUMSQ, TRIMMEAN, and ZTEST.</w:t>
      </w:r>
    </w:p>
    <w:p w:rsidR="00024C0A" w:rsidRDefault="00694C0F">
      <w:pPr>
        <w:pStyle w:val="Definition-Field"/>
      </w:pPr>
      <w:r>
        <w:t xml:space="preserve">e.   </w:t>
      </w:r>
      <w:r>
        <w:rPr>
          <w:i/>
        </w:rPr>
        <w:t>The standard states 3-D references shall not be used in multi-cell formulas.</w:t>
      </w:r>
    </w:p>
    <w:p w:rsidR="00024C0A" w:rsidRDefault="00694C0F">
      <w:pPr>
        <w:pStyle w:val="Definition-Field2"/>
      </w:pPr>
      <w:r>
        <w:lastRenderedPageBreak/>
        <w:t>In Office, 3-D references can be used in array or multi-cell formulas within the same limits as in</w:t>
      </w:r>
      <w:r>
        <w:t xml:space="preserve"> a single-cell formula.</w:t>
      </w:r>
    </w:p>
    <w:p w:rsidR="00024C0A" w:rsidRDefault="00694C0F">
      <w:pPr>
        <w:pStyle w:val="Heading3"/>
      </w:pPr>
      <w:bookmarkStart w:id="1741" w:name="section_3b539277da4f49d094d484d9256afb36"/>
      <w:bookmarkStart w:id="1742" w:name="_Toc12260931"/>
      <w:r>
        <w:t>Part 1 Section 18.17.2.3.1, A1-Style Cell References</w:t>
      </w:r>
      <w:bookmarkEnd w:id="1741"/>
      <w:bookmarkEnd w:id="1742"/>
      <w:r>
        <w:fldChar w:fldCharType="begin"/>
      </w:r>
      <w:r>
        <w:instrText xml:space="preserve"> XE "A1-Style Cell References" </w:instrText>
      </w:r>
      <w:r>
        <w:fldChar w:fldCharType="end"/>
      </w:r>
    </w:p>
    <w:p w:rsidR="00024C0A" w:rsidRDefault="00694C0F">
      <w:pPr>
        <w:pStyle w:val="Definition-Field"/>
      </w:pPr>
      <w:r>
        <w:t xml:space="preserve">a.   </w:t>
      </w:r>
      <w:r>
        <w:rPr>
          <w:i/>
        </w:rPr>
        <w:t>The standard does not specify the productions for A1-reference using EBNF.</w:t>
      </w:r>
    </w:p>
    <w:p w:rsidR="00024C0A" w:rsidRDefault="00694C0F">
      <w:r>
        <w:t>Office writes the productions for A1-reference using the following</w:t>
      </w:r>
      <w:r>
        <w:t xml:space="preserve"> EBNF:</w:t>
      </w:r>
    </w:p>
    <w:p w:rsidR="00024C0A" w:rsidRDefault="00694C0F">
      <w:pPr>
        <w:pStyle w:val="Code"/>
      </w:pPr>
      <w:r>
        <w:t>A1-reference=</w:t>
      </w:r>
    </w:p>
    <w:p w:rsidR="00024C0A" w:rsidRDefault="00694C0F">
      <w:pPr>
        <w:pStyle w:val="Code"/>
      </w:pPr>
      <w:r>
        <w:t xml:space="preserve">  A1-column,  ":",  A1-column    |  </w:t>
      </w:r>
    </w:p>
    <w:p w:rsidR="00024C0A" w:rsidRDefault="00694C0F">
      <w:pPr>
        <w:pStyle w:val="Code"/>
      </w:pPr>
      <w:r>
        <w:t xml:space="preserve">  A1-row,  ":", A1-row    |  </w:t>
      </w:r>
    </w:p>
    <w:p w:rsidR="00024C0A" w:rsidRDefault="00694C0F">
      <w:pPr>
        <w:pStyle w:val="Code"/>
      </w:pPr>
      <w:r>
        <w:t xml:space="preserve">  A1-cell, ":", A1-cell |</w:t>
      </w:r>
    </w:p>
    <w:p w:rsidR="00024C0A" w:rsidRDefault="00694C0F">
      <w:pPr>
        <w:pStyle w:val="Code"/>
      </w:pPr>
      <w:r>
        <w:t xml:space="preserve">  A1-cell ;</w:t>
      </w:r>
    </w:p>
    <w:p w:rsidR="00024C0A" w:rsidRDefault="00694C0F">
      <w:pPr>
        <w:pStyle w:val="Code"/>
      </w:pPr>
      <w:r>
        <w:t>A1-cell=</w:t>
      </w:r>
    </w:p>
    <w:p w:rsidR="00024C0A" w:rsidRDefault="00694C0F">
      <w:pPr>
        <w:pStyle w:val="Code"/>
      </w:pPr>
      <w:r>
        <w:t xml:space="preserve">  A1-column,  A1-row;</w:t>
      </w:r>
    </w:p>
    <w:p w:rsidR="00024C0A" w:rsidRDefault="00694C0F">
      <w:pPr>
        <w:pStyle w:val="Code"/>
      </w:pPr>
      <w:r>
        <w:t>A1-column=</w:t>
      </w:r>
    </w:p>
    <w:p w:rsidR="00024C0A" w:rsidRDefault="00694C0F">
      <w:pPr>
        <w:pStyle w:val="Code"/>
      </w:pPr>
      <w:r>
        <w:t xml:space="preserve">  A1-relative-column  |  </w:t>
      </w:r>
    </w:p>
    <w:p w:rsidR="00024C0A" w:rsidRDefault="00694C0F">
      <w:pPr>
        <w:pStyle w:val="Code"/>
      </w:pPr>
      <w:r>
        <w:t xml:space="preserve">  A1-absolute-column  ;</w:t>
      </w:r>
    </w:p>
    <w:p w:rsidR="00024C0A" w:rsidRDefault="00694C0F">
      <w:pPr>
        <w:pStyle w:val="Code"/>
      </w:pPr>
      <w:r>
        <w:t>A1-relative-column=</w:t>
      </w:r>
    </w:p>
    <w:p w:rsidR="00024C0A" w:rsidRDefault="00694C0F">
      <w:pPr>
        <w:pStyle w:val="Code"/>
      </w:pPr>
      <w:r>
        <w:t xml:space="preserve">  letter, {letter}</w:t>
      </w:r>
      <w:r>
        <w:t xml:space="preserve">  ;  (* see semantic rules for A1-Style Cell References  ("</w:t>
      </w:r>
      <w:hyperlink r:id="rId136">
        <w:r>
          <w:rPr>
            <w:rStyle w:val="Hyperlink"/>
          </w:rPr>
          <w:t>[ISO/IEC-29500-1]</w:t>
        </w:r>
      </w:hyperlink>
      <w:r>
        <w:t xml:space="preserve"> §18.17.2.3.1") *)</w:t>
      </w:r>
    </w:p>
    <w:p w:rsidR="00024C0A" w:rsidRDefault="00694C0F">
      <w:pPr>
        <w:pStyle w:val="Code"/>
      </w:pPr>
      <w:r>
        <w:t>letter=</w:t>
      </w:r>
    </w:p>
    <w:p w:rsidR="00024C0A" w:rsidRDefault="00694C0F">
      <w:pPr>
        <w:pStyle w:val="Code"/>
      </w:pPr>
      <w:r>
        <w:t xml:space="preserve">  "A"|"B"|"C"|"D"|"E"|"F"|"G"|"H"|"I"|"J"|"K"|"L"|"M"|</w:t>
      </w:r>
    </w:p>
    <w:p w:rsidR="00024C0A" w:rsidRDefault="00694C0F">
      <w:pPr>
        <w:pStyle w:val="Code"/>
      </w:pPr>
      <w:r>
        <w:t xml:space="preserve">  "N"|"O"|"P"|"Q"|"R"|"S"|"T"|"U</w:t>
      </w:r>
      <w:r>
        <w:t>"|"V"|"W"|"X"|"Y"|"Z"|</w:t>
      </w:r>
    </w:p>
    <w:p w:rsidR="00024C0A" w:rsidRDefault="00694C0F">
      <w:pPr>
        <w:pStyle w:val="Code"/>
      </w:pPr>
      <w:r>
        <w:t xml:space="preserve">  "a"|"b"|"c"|"d"|"e"|"f"|"g"|"h"|"i"|"j"|"k"|"l"|"m"|</w:t>
      </w:r>
    </w:p>
    <w:p w:rsidR="00024C0A" w:rsidRDefault="00694C0F">
      <w:pPr>
        <w:pStyle w:val="Code"/>
      </w:pPr>
      <w:r>
        <w:t xml:space="preserve">  "n"|"o"|"p"|"q"|"r"|"s"|"t"|"u"|"v"|"w"|"x"|"y"|"z"  ;</w:t>
      </w:r>
    </w:p>
    <w:p w:rsidR="00024C0A" w:rsidRDefault="00694C0F">
      <w:pPr>
        <w:pStyle w:val="Code"/>
      </w:pPr>
      <w:r>
        <w:t>A1-absolute-column=</w:t>
      </w:r>
    </w:p>
    <w:p w:rsidR="00024C0A" w:rsidRDefault="00694C0F">
      <w:pPr>
        <w:pStyle w:val="Code"/>
      </w:pPr>
      <w:r>
        <w:t xml:space="preserve">  "$", A1-relative-column  ; </w:t>
      </w:r>
    </w:p>
    <w:p w:rsidR="00024C0A" w:rsidRDefault="00694C0F">
      <w:pPr>
        <w:pStyle w:val="Code"/>
      </w:pPr>
      <w:r>
        <w:t>A1-row=</w:t>
      </w:r>
    </w:p>
    <w:p w:rsidR="00024C0A" w:rsidRDefault="00694C0F">
      <w:pPr>
        <w:pStyle w:val="Code"/>
      </w:pPr>
      <w:r>
        <w:t xml:space="preserve">  A1-relative-row  |  </w:t>
      </w:r>
    </w:p>
    <w:p w:rsidR="00024C0A" w:rsidRDefault="00694C0F">
      <w:pPr>
        <w:pStyle w:val="Code"/>
      </w:pPr>
      <w:r>
        <w:t xml:space="preserve">  A1-absolute-row  ;</w:t>
      </w:r>
    </w:p>
    <w:p w:rsidR="00024C0A" w:rsidRDefault="00694C0F">
      <w:pPr>
        <w:pStyle w:val="Code"/>
      </w:pPr>
      <w:r>
        <w:t>A1-relative-row=</w:t>
      </w:r>
    </w:p>
    <w:p w:rsidR="00024C0A" w:rsidRDefault="00694C0F">
      <w:pPr>
        <w:pStyle w:val="Code"/>
      </w:pPr>
      <w:r>
        <w:t xml:space="preserve">  </w:t>
      </w:r>
      <w:r>
        <w:t>digit-sequence  ;  (* must be nonzero; see A1-Style Cell References  ("[ISO/IEC-29500-1] §18.17.2.3.1") *)</w:t>
      </w:r>
    </w:p>
    <w:p w:rsidR="00024C0A" w:rsidRDefault="00694C0F">
      <w:pPr>
        <w:pStyle w:val="Code"/>
      </w:pPr>
      <w:r>
        <w:t>A1-absolute-row=</w:t>
      </w:r>
    </w:p>
    <w:p w:rsidR="00024C0A" w:rsidRDefault="00694C0F">
      <w:pPr>
        <w:pStyle w:val="Code"/>
      </w:pPr>
      <w:r>
        <w:t xml:space="preserve">  “$”, A1-relative-row  ; </w:t>
      </w:r>
    </w:p>
    <w:p w:rsidR="00024C0A" w:rsidRDefault="00694C0F">
      <w:pPr>
        <w:pStyle w:val="Heading3"/>
      </w:pPr>
      <w:bookmarkStart w:id="1743" w:name="section_8d68c790057144f68583f837e72635ed"/>
      <w:bookmarkStart w:id="1744" w:name="_Toc12260932"/>
      <w:r>
        <w:t>Part 1 Section 18.17.2.3.2, R1C1-Style Cell Reference</w:t>
      </w:r>
      <w:bookmarkEnd w:id="1743"/>
      <w:bookmarkEnd w:id="1744"/>
      <w:r>
        <w:fldChar w:fldCharType="begin"/>
      </w:r>
      <w:r>
        <w:instrText xml:space="preserve"> XE "R1C1-Style Cell Reference" </w:instrText>
      </w:r>
      <w:r>
        <w:fldChar w:fldCharType="end"/>
      </w:r>
    </w:p>
    <w:p w:rsidR="00024C0A" w:rsidRDefault="00694C0F">
      <w:pPr>
        <w:pStyle w:val="Definition-Field"/>
      </w:pPr>
      <w:r>
        <w:t xml:space="preserve">a.   </w:t>
      </w:r>
      <w:r>
        <w:rPr>
          <w:i/>
        </w:rPr>
        <w:t>The standard</w:t>
      </w:r>
      <w:r>
        <w:rPr>
          <w:i/>
        </w:rPr>
        <w:t xml:space="preserve"> does not use EBNF to specify the productions for R1C1-reference.</w:t>
      </w:r>
    </w:p>
    <w:p w:rsidR="00024C0A" w:rsidRDefault="00694C0F">
      <w:r>
        <w:t>Office writes the productions for R1C1-reference using the following EBNF:</w:t>
      </w:r>
    </w:p>
    <w:p w:rsidR="00024C0A" w:rsidRDefault="00694C0F">
      <w:pPr>
        <w:pStyle w:val="Code"/>
      </w:pPr>
      <w:r>
        <w:t>R1C1-reference=</w:t>
      </w:r>
    </w:p>
    <w:p w:rsidR="00024C0A" w:rsidRDefault="00694C0F">
      <w:pPr>
        <w:pStyle w:val="Code"/>
      </w:pPr>
      <w:r>
        <w:t xml:space="preserve">  R1C1-row-only    |  </w:t>
      </w:r>
    </w:p>
    <w:p w:rsidR="00024C0A" w:rsidRDefault="00694C0F">
      <w:pPr>
        <w:pStyle w:val="Code"/>
      </w:pPr>
      <w:r>
        <w:t xml:space="preserve">  R1C1-column-only    |  </w:t>
      </w:r>
    </w:p>
    <w:p w:rsidR="00024C0A" w:rsidRDefault="00694C0F">
      <w:pPr>
        <w:pStyle w:val="Code"/>
      </w:pPr>
      <w:r>
        <w:t xml:space="preserve">  R1C1-cell, ":", R1C1-cell |</w:t>
      </w:r>
    </w:p>
    <w:p w:rsidR="00024C0A" w:rsidRDefault="00694C0F">
      <w:pPr>
        <w:pStyle w:val="Code"/>
      </w:pPr>
      <w:r>
        <w:t xml:space="preserve">  R1C1-cell ;</w:t>
      </w:r>
    </w:p>
    <w:p w:rsidR="00024C0A" w:rsidRDefault="00694C0F">
      <w:pPr>
        <w:pStyle w:val="Code"/>
      </w:pPr>
      <w:r>
        <w:t>R1C1-c</w:t>
      </w:r>
      <w:r>
        <w:t>ell=</w:t>
      </w:r>
    </w:p>
    <w:p w:rsidR="00024C0A" w:rsidRDefault="00694C0F">
      <w:pPr>
        <w:pStyle w:val="Code"/>
      </w:pPr>
      <w:r>
        <w:t xml:space="preserve">  R1C1-row,  R1C1-column  ;</w:t>
      </w:r>
    </w:p>
    <w:p w:rsidR="00024C0A" w:rsidRDefault="00694C0F">
      <w:pPr>
        <w:pStyle w:val="Code"/>
      </w:pPr>
      <w:r>
        <w:t>R1C1-row-only=</w:t>
      </w:r>
    </w:p>
    <w:p w:rsidR="00024C0A" w:rsidRDefault="00694C0F">
      <w:pPr>
        <w:pStyle w:val="Code"/>
      </w:pPr>
      <w:r>
        <w:t xml:space="preserve">  "R",  R1C1-absolute-number,   |  </w:t>
      </w:r>
    </w:p>
    <w:p w:rsidR="00024C0A" w:rsidRDefault="00694C0F">
      <w:pPr>
        <w:pStyle w:val="Code"/>
      </w:pPr>
      <w:r>
        <w:t xml:space="preserve">  "R[",  R1C1-relative-number, "]"  ;</w:t>
      </w:r>
    </w:p>
    <w:p w:rsidR="00024C0A" w:rsidRDefault="00694C0F">
      <w:pPr>
        <w:pStyle w:val="Code"/>
      </w:pPr>
      <w:r>
        <w:t>R1C1-row=</w:t>
      </w:r>
    </w:p>
    <w:p w:rsidR="00024C0A" w:rsidRDefault="00694C0F">
      <w:pPr>
        <w:pStyle w:val="Code"/>
      </w:pPr>
      <w:r>
        <w:t xml:space="preserve">  R1C1-relative-row  |  </w:t>
      </w:r>
    </w:p>
    <w:p w:rsidR="00024C0A" w:rsidRDefault="00694C0F">
      <w:pPr>
        <w:pStyle w:val="Code"/>
      </w:pPr>
      <w:r>
        <w:t xml:space="preserve">  R1C1-absolute-row  ;</w:t>
      </w:r>
    </w:p>
    <w:p w:rsidR="00024C0A" w:rsidRDefault="00694C0F">
      <w:pPr>
        <w:pStyle w:val="Code"/>
      </w:pPr>
      <w:r>
        <w:t>R1C1-relative-row= "R"    |</w:t>
      </w:r>
    </w:p>
    <w:p w:rsidR="00024C0A" w:rsidRDefault="00694C0F">
      <w:pPr>
        <w:pStyle w:val="Code"/>
      </w:pPr>
      <w:r>
        <w:t xml:space="preserve">  "R[",  R1C1-relative-number, "]"  ;  </w:t>
      </w:r>
    </w:p>
    <w:p w:rsidR="00024C0A" w:rsidRDefault="00694C0F">
      <w:pPr>
        <w:pStyle w:val="Code"/>
      </w:pPr>
      <w:r>
        <w:t>R1C1-absolute-row=</w:t>
      </w:r>
    </w:p>
    <w:p w:rsidR="00024C0A" w:rsidRDefault="00694C0F">
      <w:pPr>
        <w:pStyle w:val="Code"/>
      </w:pPr>
      <w:r>
        <w:t xml:space="preserve">  "R", R1C1-absolute-number  ; </w:t>
      </w:r>
    </w:p>
    <w:p w:rsidR="00024C0A" w:rsidRDefault="00694C0F">
      <w:pPr>
        <w:pStyle w:val="Code"/>
      </w:pPr>
      <w:r>
        <w:t>R1C1-column-only=</w:t>
      </w:r>
    </w:p>
    <w:p w:rsidR="00024C0A" w:rsidRDefault="00694C0F">
      <w:pPr>
        <w:pStyle w:val="Code"/>
      </w:pPr>
      <w:r>
        <w:t xml:space="preserve">  "C",  R1C1-absolute-number  |  </w:t>
      </w:r>
    </w:p>
    <w:p w:rsidR="00024C0A" w:rsidRDefault="00694C0F">
      <w:pPr>
        <w:pStyle w:val="Code"/>
      </w:pPr>
      <w:r>
        <w:t xml:space="preserve">  "C[",  R1C1-relative-number,  "]"  ;</w:t>
      </w:r>
    </w:p>
    <w:p w:rsidR="00024C0A" w:rsidRDefault="00694C0F">
      <w:pPr>
        <w:pStyle w:val="Code"/>
      </w:pPr>
      <w:r>
        <w:lastRenderedPageBreak/>
        <w:t>R1C1-column=</w:t>
      </w:r>
    </w:p>
    <w:p w:rsidR="00024C0A" w:rsidRDefault="00694C0F">
      <w:pPr>
        <w:pStyle w:val="Code"/>
      </w:pPr>
      <w:r>
        <w:t xml:space="preserve">  R1C1-relative-column  |  </w:t>
      </w:r>
    </w:p>
    <w:p w:rsidR="00024C0A" w:rsidRDefault="00694C0F">
      <w:pPr>
        <w:pStyle w:val="Code"/>
      </w:pPr>
      <w:r>
        <w:t xml:space="preserve">  R1C1-absolute-column  ;</w:t>
      </w:r>
    </w:p>
    <w:p w:rsidR="00024C0A" w:rsidRDefault="00694C0F">
      <w:pPr>
        <w:pStyle w:val="Code"/>
      </w:pPr>
      <w:r>
        <w:t>R1C1-relative-column= "C"    |</w:t>
      </w:r>
    </w:p>
    <w:p w:rsidR="00024C0A" w:rsidRDefault="00694C0F">
      <w:pPr>
        <w:pStyle w:val="Code"/>
      </w:pPr>
      <w:r>
        <w:t xml:space="preserve">  "C[",  R1C1-relative-number,  "]"  ;</w:t>
      </w:r>
    </w:p>
    <w:p w:rsidR="00024C0A" w:rsidRDefault="00694C0F">
      <w:pPr>
        <w:pStyle w:val="Code"/>
      </w:pPr>
      <w:r>
        <w:t>R1C1-absolute-column= "C", R1C1-absolute-number  ;</w:t>
      </w:r>
    </w:p>
    <w:p w:rsidR="00024C0A" w:rsidRDefault="00694C0F">
      <w:pPr>
        <w:pStyle w:val="Code"/>
      </w:pPr>
      <w:r>
        <w:t>R1C1-relative-number=</w:t>
      </w:r>
    </w:p>
    <w:p w:rsidR="00024C0A" w:rsidRDefault="00694C0F">
      <w:pPr>
        <w:pStyle w:val="Code"/>
      </w:pPr>
      <w:r>
        <w:t xml:space="preserve">  ["-"], digit-sequence   ;</w:t>
      </w:r>
    </w:p>
    <w:p w:rsidR="00024C0A" w:rsidRDefault="00694C0F">
      <w:pPr>
        <w:pStyle w:val="Code"/>
      </w:pPr>
      <w:r>
        <w:t xml:space="preserve">R1C1-absolute-number=                                  </w:t>
      </w:r>
    </w:p>
    <w:p w:rsidR="00024C0A" w:rsidRDefault="00694C0F">
      <w:pPr>
        <w:pStyle w:val="Code"/>
      </w:pPr>
      <w:r>
        <w:t xml:space="preserve">  digit-sequence  ;  (* must be nonzero; see A1-Style Cell R</w:t>
      </w:r>
      <w:r>
        <w:t>eferences  ("</w:t>
      </w:r>
      <w:hyperlink r:id="rId137">
        <w:r>
          <w:rPr>
            <w:rStyle w:val="Hyperlink"/>
          </w:rPr>
          <w:t>[ISO/IEC-29500-1]</w:t>
        </w:r>
      </w:hyperlink>
      <w:r>
        <w:t xml:space="preserve"> §18.17.2.3.1") *)</w:t>
      </w:r>
    </w:p>
    <w:p w:rsidR="00024C0A" w:rsidRDefault="00694C0F">
      <w:pPr>
        <w:pStyle w:val="Definition-Field"/>
      </w:pPr>
      <w:r>
        <w:t xml:space="preserve">b.   </w:t>
      </w:r>
      <w:r>
        <w:rPr>
          <w:i/>
        </w:rPr>
        <w:t>The standard states that a negative offset indicates a row to the left or a column above, and a positive offset indicates a row to the r</w:t>
      </w:r>
      <w:r>
        <w:rPr>
          <w:i/>
        </w:rPr>
        <w:t>ight or a column below.</w:t>
      </w:r>
    </w:p>
    <w:p w:rsidR="00024C0A" w:rsidRDefault="00694C0F">
      <w:pPr>
        <w:pStyle w:val="Definition-Field2"/>
      </w:pPr>
      <w:r>
        <w:t>In Office, a negative offset indicates a column to the left or a row above, and a positive offset indicates a column to the right or a row below.</w:t>
      </w:r>
    </w:p>
    <w:p w:rsidR="00024C0A" w:rsidRDefault="00694C0F">
      <w:pPr>
        <w:pStyle w:val="Heading3"/>
      </w:pPr>
      <w:bookmarkStart w:id="1745" w:name="section_364a891349b546aa9cd5bc8180948a2a"/>
      <w:bookmarkStart w:id="1746" w:name="_Toc12260933"/>
      <w:r>
        <w:t>Part 1 Section 18.17.2.4, Functions</w:t>
      </w:r>
      <w:bookmarkEnd w:id="1745"/>
      <w:bookmarkEnd w:id="1746"/>
      <w:r>
        <w:fldChar w:fldCharType="begin"/>
      </w:r>
      <w:r>
        <w:instrText xml:space="preserve"> XE "Functions" </w:instrText>
      </w:r>
      <w:r>
        <w:fldChar w:fldCharType="end"/>
      </w:r>
    </w:p>
    <w:p w:rsidR="00024C0A" w:rsidRDefault="00694C0F">
      <w:pPr>
        <w:pStyle w:val="Definition-Field"/>
      </w:pPr>
      <w:r>
        <w:t xml:space="preserve">a.   </w:t>
      </w:r>
      <w:r>
        <w:rPr>
          <w:i/>
        </w:rPr>
        <w:t>The standard does not use E</w:t>
      </w:r>
      <w:r>
        <w:rPr>
          <w:i/>
        </w:rPr>
        <w:t>BNF to write the productions for function-call.</w:t>
      </w:r>
    </w:p>
    <w:p w:rsidR="00024C0A" w:rsidRDefault="00694C0F">
      <w:r>
        <w:t>Office writes the productions for function-call using the following EBNF:</w:t>
      </w:r>
    </w:p>
    <w:p w:rsidR="00024C0A" w:rsidRDefault="00694C0F">
      <w:pPr>
        <w:pStyle w:val="Code"/>
      </w:pPr>
      <w:r>
        <w:t>function-call=</w:t>
      </w:r>
    </w:p>
    <w:p w:rsidR="00024C0A" w:rsidRDefault="00694C0F">
      <w:pPr>
        <w:pStyle w:val="Code"/>
      </w:pPr>
      <w:r>
        <w:t xml:space="preserve">  function-name,  "(",  argument-list,  ")"    ;</w:t>
      </w:r>
    </w:p>
    <w:p w:rsidR="00024C0A" w:rsidRDefault="00694C0F">
      <w:pPr>
        <w:pStyle w:val="Code"/>
      </w:pPr>
      <w:r>
        <w:t>function-name=</w:t>
      </w:r>
    </w:p>
    <w:p w:rsidR="00024C0A" w:rsidRDefault="00694C0F">
      <w:pPr>
        <w:pStyle w:val="Code"/>
      </w:pPr>
      <w:r>
        <w:t xml:space="preserve">  predefined-function-name |</w:t>
      </w:r>
    </w:p>
    <w:p w:rsidR="00024C0A" w:rsidRDefault="00694C0F">
      <w:pPr>
        <w:pStyle w:val="Code"/>
      </w:pPr>
      <w:r>
        <w:t xml:space="preserve">  user-defined-function-na</w:t>
      </w:r>
      <w:r>
        <w:t>me ;</w:t>
      </w:r>
    </w:p>
    <w:p w:rsidR="00024C0A" w:rsidRDefault="00694C0F">
      <w:pPr>
        <w:pStyle w:val="Code"/>
      </w:pPr>
      <w:r>
        <w:t>predefined-function-name=</w:t>
      </w:r>
    </w:p>
    <w:p w:rsidR="00024C0A" w:rsidRDefault="00694C0F">
      <w:pPr>
        <w:pStyle w:val="Code"/>
      </w:pPr>
      <w:r>
        <w:t xml:space="preserve">  "ABS"  |  "ACOS"  |  "ACOSH"</w:t>
      </w:r>
    </w:p>
    <w:p w:rsidR="00024C0A" w:rsidRDefault="00694C0F">
      <w:pPr>
        <w:pStyle w:val="Code"/>
      </w:pPr>
      <w:r>
        <w:t xml:space="preserve">  |  ( any of the other functions defined in Predefined Function Definitions ("</w:t>
      </w:r>
      <w:hyperlink r:id="rId138">
        <w:r>
          <w:rPr>
            <w:rStyle w:val="Hyperlink"/>
          </w:rPr>
          <w:t>[ISO/IEC-29500-1]</w:t>
        </w:r>
      </w:hyperlink>
      <w:r>
        <w:t xml:space="preserve"> §18.17.7"))  ;</w:t>
      </w:r>
    </w:p>
    <w:p w:rsidR="00024C0A" w:rsidRDefault="00694C0F">
      <w:pPr>
        <w:pStyle w:val="Code"/>
      </w:pPr>
      <w:r>
        <w:t>user-defined-fun</w:t>
      </w:r>
      <w:r>
        <w:t>ction-name=</w:t>
      </w:r>
    </w:p>
    <w:p w:rsidR="00024C0A" w:rsidRDefault="00694C0F">
      <w:pPr>
        <w:pStyle w:val="Code"/>
      </w:pPr>
      <w:r>
        <w:t xml:space="preserve">  name-reference ;</w:t>
      </w:r>
    </w:p>
    <w:p w:rsidR="00024C0A" w:rsidRDefault="00694C0F">
      <w:pPr>
        <w:pStyle w:val="Code"/>
      </w:pPr>
      <w:r>
        <w:t>argument-list=</w:t>
      </w:r>
    </w:p>
    <w:p w:rsidR="00024C0A" w:rsidRDefault="00694C0F">
      <w:pPr>
        <w:pStyle w:val="Code"/>
      </w:pPr>
      <w:r>
        <w:t xml:space="preserve">  argument,  {  comma,  argument  }  ;</w:t>
      </w:r>
    </w:p>
    <w:p w:rsidR="00024C0A" w:rsidRDefault="00694C0F">
      <w:pPr>
        <w:pStyle w:val="Code"/>
      </w:pPr>
      <w:r>
        <w:t>comma=</w:t>
      </w:r>
    </w:p>
    <w:p w:rsidR="00024C0A" w:rsidRDefault="00694C0F">
      <w:pPr>
        <w:pStyle w:val="Code"/>
      </w:pPr>
      <w:r>
        <w:t xml:space="preserve">  ","  ;</w:t>
      </w:r>
    </w:p>
    <w:p w:rsidR="00024C0A" w:rsidRDefault="00694C0F">
      <w:pPr>
        <w:pStyle w:val="Code"/>
      </w:pPr>
      <w:r>
        <w:t xml:space="preserve">argument=                   </w:t>
      </w:r>
    </w:p>
    <w:p w:rsidR="00024C0A" w:rsidRDefault="00694C0F">
      <w:pPr>
        <w:pStyle w:val="Code"/>
      </w:pPr>
      <w:r>
        <w:t xml:space="preserve">  [expression]  ;</w:t>
      </w:r>
    </w:p>
    <w:p w:rsidR="00024C0A" w:rsidRDefault="00694C0F">
      <w:pPr>
        <w:pStyle w:val="Definition-Field"/>
      </w:pPr>
      <w:r>
        <w:t xml:space="preserve">b.   </w:t>
      </w:r>
      <w:r>
        <w:rPr>
          <w:i/>
        </w:rPr>
        <w:t xml:space="preserve">The standard states that a function is a named formula that takes zero or more arguments, performs an </w:t>
      </w:r>
      <w:r>
        <w:rPr>
          <w:i/>
        </w:rPr>
        <w:t>operation, and, optionally, returns a result.</w:t>
      </w:r>
    </w:p>
    <w:p w:rsidR="00024C0A" w:rsidRDefault="00694C0F">
      <w:pPr>
        <w:pStyle w:val="Definition-Field2"/>
      </w:pPr>
      <w:r>
        <w:t>In Office, a function always returns a result.</w:t>
      </w:r>
    </w:p>
    <w:p w:rsidR="00024C0A" w:rsidRDefault="00694C0F">
      <w:pPr>
        <w:pStyle w:val="Heading3"/>
      </w:pPr>
      <w:bookmarkStart w:id="1747" w:name="section_1399f3cb927c461196ee666143a8be35"/>
      <w:bookmarkStart w:id="1748" w:name="_Toc12260934"/>
      <w:r>
        <w:t>Part 1 Section 18.17.2.5, Names</w:t>
      </w:r>
      <w:bookmarkEnd w:id="1747"/>
      <w:bookmarkEnd w:id="1748"/>
      <w:r>
        <w:fldChar w:fldCharType="begin"/>
      </w:r>
      <w:r>
        <w:instrText xml:space="preserve"> XE "Names" </w:instrText>
      </w:r>
      <w:r>
        <w:fldChar w:fldCharType="end"/>
      </w:r>
    </w:p>
    <w:p w:rsidR="00024C0A" w:rsidRDefault="00694C0F">
      <w:pPr>
        <w:pStyle w:val="Definition-Field"/>
      </w:pPr>
      <w:r>
        <w:t xml:space="preserve">a.   </w:t>
      </w:r>
      <w:r>
        <w:rPr>
          <w:i/>
        </w:rPr>
        <w:t>The standard does not use EBNF to write the syntax for name.</w:t>
      </w:r>
    </w:p>
    <w:p w:rsidR="00024C0A" w:rsidRDefault="00694C0F">
      <w:r>
        <w:t xml:space="preserve">Office writes the productions for name using the </w:t>
      </w:r>
      <w:r>
        <w:t>following EBNF:</w:t>
      </w:r>
    </w:p>
    <w:p w:rsidR="00024C0A" w:rsidRDefault="00694C0F">
      <w:pPr>
        <w:pStyle w:val="Code"/>
      </w:pPr>
      <w:r>
        <w:t>name-reference= name |</w:t>
      </w:r>
    </w:p>
    <w:p w:rsidR="00024C0A" w:rsidRDefault="00694C0F">
      <w:pPr>
        <w:pStyle w:val="Code"/>
      </w:pPr>
      <w:r>
        <w:t xml:space="preserve">  external-name;</w:t>
      </w:r>
    </w:p>
    <w:p w:rsidR="00024C0A" w:rsidRDefault="00694C0F">
      <w:pPr>
        <w:pStyle w:val="Code"/>
      </w:pPr>
      <w:r>
        <w:t>external-name= single-sheet-prefix, name;</w:t>
      </w:r>
    </w:p>
    <w:p w:rsidR="00024C0A" w:rsidRDefault="00694C0F">
      <w:pPr>
        <w:pStyle w:val="Code"/>
      </w:pPr>
      <w:r>
        <w:t>name=</w:t>
      </w:r>
    </w:p>
    <w:p w:rsidR="00024C0A" w:rsidRDefault="00694C0F">
      <w:pPr>
        <w:pStyle w:val="Code"/>
      </w:pPr>
      <w:r>
        <w:t xml:space="preserve">  name-start-character, [ name-characters ]  ;</w:t>
      </w:r>
    </w:p>
    <w:p w:rsidR="00024C0A" w:rsidRDefault="00694C0F">
      <w:pPr>
        <w:pStyle w:val="Code"/>
      </w:pPr>
      <w:r>
        <w:t>name-start-character=</w:t>
      </w:r>
    </w:p>
    <w:p w:rsidR="00024C0A" w:rsidRDefault="00694C0F">
      <w:pPr>
        <w:pStyle w:val="Code"/>
      </w:pPr>
      <w:r>
        <w:t xml:space="preserve">  underscore  |  backslash  |  ? any code points which are characters as defined by</w:t>
      </w:r>
      <w:r>
        <w:t xml:space="preserve"> the Unicode character properties, chapter four of the Unicode Standard ?;</w:t>
      </w:r>
    </w:p>
    <w:p w:rsidR="00024C0A" w:rsidRDefault="00694C0F">
      <w:pPr>
        <w:pStyle w:val="Code"/>
      </w:pPr>
      <w:r>
        <w:lastRenderedPageBreak/>
        <w:t>underscore=</w:t>
      </w:r>
    </w:p>
    <w:p w:rsidR="00024C0A" w:rsidRDefault="00694C0F">
      <w:pPr>
        <w:pStyle w:val="Code"/>
      </w:pPr>
      <w:r>
        <w:t xml:space="preserve">  "_"  ;</w:t>
      </w:r>
    </w:p>
    <w:p w:rsidR="00024C0A" w:rsidRDefault="00694C0F">
      <w:pPr>
        <w:pStyle w:val="Code"/>
      </w:pPr>
      <w:r>
        <w:t>backslash=</w:t>
      </w:r>
    </w:p>
    <w:p w:rsidR="00024C0A" w:rsidRDefault="00694C0F">
      <w:pPr>
        <w:pStyle w:val="Code"/>
      </w:pPr>
      <w:r>
        <w:t xml:space="preserve">  "\"  ;</w:t>
      </w:r>
    </w:p>
    <w:p w:rsidR="00024C0A" w:rsidRDefault="00694C0F">
      <w:pPr>
        <w:pStyle w:val="Code"/>
      </w:pPr>
      <w:r>
        <w:t>name-characters=</w:t>
      </w:r>
    </w:p>
    <w:p w:rsidR="00024C0A" w:rsidRDefault="00694C0F">
      <w:pPr>
        <w:pStyle w:val="Code"/>
      </w:pPr>
      <w:r>
        <w:t xml:space="preserve">  name-character,  {name-character}  ;</w:t>
      </w:r>
    </w:p>
    <w:p w:rsidR="00024C0A" w:rsidRDefault="00694C0F">
      <w:pPr>
        <w:pStyle w:val="Code"/>
      </w:pPr>
      <w:r>
        <w:t>name-character=</w:t>
      </w:r>
    </w:p>
    <w:p w:rsidR="00024C0A" w:rsidRDefault="00694C0F">
      <w:pPr>
        <w:pStyle w:val="Code"/>
      </w:pPr>
      <w:r>
        <w:t xml:space="preserve">  name-start-character  |  decimal-digit  |  full-stop  |  ? any cod</w:t>
      </w:r>
      <w:r>
        <w:t>e points which are digits as defined by the Unicode character properties, chapter four of the Unicode standard ?;</w:t>
      </w:r>
    </w:p>
    <w:p w:rsidR="00024C0A" w:rsidRDefault="00694C0F">
      <w:pPr>
        <w:pStyle w:val="Definition-Field"/>
      </w:pPr>
      <w:r>
        <w:t xml:space="preserve">b.   </w:t>
      </w:r>
      <w:r>
        <w:rPr>
          <w:i/>
        </w:rPr>
        <w:t>The standard specifies that two names that are the same in different workbooks can be disambiguated by prepending the workbook name.</w:t>
      </w:r>
    </w:p>
    <w:p w:rsidR="00024C0A" w:rsidRDefault="00694C0F">
      <w:pPr>
        <w:pStyle w:val="Definition-Field2"/>
      </w:pPr>
      <w:r>
        <w:t>Offi</w:t>
      </w:r>
      <w:r>
        <w:t>ce prefixes names used in the same context with the index of the relationship ID associated with the workbook name and an exclamation mark. A relationship ID index of 0 indicates the current workbook.</w:t>
      </w:r>
    </w:p>
    <w:p w:rsidR="00024C0A" w:rsidRDefault="00694C0F">
      <w:pPr>
        <w:pStyle w:val="Definition-Field"/>
      </w:pPr>
      <w:r>
        <w:t xml:space="preserve">c.   </w:t>
      </w:r>
      <w:r>
        <w:rPr>
          <w:i/>
        </w:rPr>
        <w:t>The standard does not specify that \name-character</w:t>
      </w:r>
      <w:r>
        <w:rPr>
          <w:i/>
        </w:rPr>
        <w:t xml:space="preserve"> is an invalid name.</w:t>
      </w:r>
    </w:p>
    <w:p w:rsidR="00024C0A" w:rsidRDefault="00694C0F">
      <w:pPr>
        <w:pStyle w:val="Definition-Field2"/>
      </w:pPr>
      <w:r>
        <w:t>Office will not create or load names of the form \name-character.</w:t>
      </w:r>
    </w:p>
    <w:p w:rsidR="00024C0A" w:rsidRDefault="00694C0F">
      <w:pPr>
        <w:pStyle w:val="Heading3"/>
      </w:pPr>
      <w:bookmarkStart w:id="1749" w:name="section_65b46619bfd94e1fb803596ec36fd891"/>
      <w:bookmarkStart w:id="1750" w:name="_Toc12260935"/>
      <w:r>
        <w:t>Part 1 Section 18.17.2.6, Types and Values</w:t>
      </w:r>
      <w:bookmarkEnd w:id="1749"/>
      <w:bookmarkEnd w:id="1750"/>
      <w:r>
        <w:fldChar w:fldCharType="begin"/>
      </w:r>
      <w:r>
        <w:instrText xml:space="preserve"> XE "Types and Values" </w:instrText>
      </w:r>
      <w:r>
        <w:fldChar w:fldCharType="end"/>
      </w:r>
    </w:p>
    <w:p w:rsidR="00024C0A" w:rsidRDefault="00694C0F">
      <w:pPr>
        <w:pStyle w:val="Definition-Field"/>
      </w:pPr>
      <w:r>
        <w:t xml:space="preserve">a.   </w:t>
      </w:r>
      <w:r>
        <w:rPr>
          <w:i/>
        </w:rPr>
        <w:t>The standard does not specify a limit on the expression.</w:t>
      </w:r>
    </w:p>
    <w:p w:rsidR="00024C0A" w:rsidRDefault="00694C0F">
      <w:pPr>
        <w:pStyle w:val="Definition-Field2"/>
      </w:pPr>
      <w:r>
        <w:t>In Office, if the expression is text an</w:t>
      </w:r>
      <w:r>
        <w:t>d is greater than 32767 characters, then a consuming application shall treat this as equivalent to the error value #VALUE!.</w:t>
      </w:r>
    </w:p>
    <w:p w:rsidR="00024C0A" w:rsidRDefault="00694C0F">
      <w:pPr>
        <w:pStyle w:val="Heading3"/>
      </w:pPr>
      <w:bookmarkStart w:id="1751" w:name="section_965edd08dd794418946b83294ec25770"/>
      <w:bookmarkStart w:id="1752" w:name="_Toc12260936"/>
      <w:r>
        <w:t>Part 1 Section 18.17.3, Error values</w:t>
      </w:r>
      <w:bookmarkEnd w:id="1751"/>
      <w:bookmarkEnd w:id="1752"/>
      <w:r>
        <w:fldChar w:fldCharType="begin"/>
      </w:r>
      <w:r>
        <w:instrText xml:space="preserve"> XE "Error values" </w:instrText>
      </w:r>
      <w:r>
        <w:fldChar w:fldCharType="end"/>
      </w:r>
    </w:p>
    <w:p w:rsidR="00024C0A" w:rsidRDefault="00694C0F">
      <w:pPr>
        <w:pStyle w:val="Definition-Field"/>
      </w:pPr>
      <w:r>
        <w:t xml:space="preserve">a.   </w:t>
      </w:r>
      <w:r>
        <w:rPr>
          <w:i/>
        </w:rPr>
        <w:t>The standard does not specify #GETTING_DATA as an error value.</w:t>
      </w:r>
    </w:p>
    <w:p w:rsidR="00024C0A" w:rsidRDefault="00694C0F">
      <w:pPr>
        <w:pStyle w:val="Definition-Field2"/>
      </w:pPr>
      <w:r>
        <w:t>Office</w:t>
      </w:r>
      <w:r>
        <w:t xml:space="preserve"> allows #GETTING_DATA as an error value. Reason for occurrence: Intended to indicate when value is waiting on data from an asynchronous function.</w:t>
      </w:r>
    </w:p>
    <w:p w:rsidR="00024C0A" w:rsidRDefault="00694C0F">
      <w:pPr>
        <w:pStyle w:val="Heading3"/>
      </w:pPr>
      <w:bookmarkStart w:id="1753" w:name="section_286bceb73e02476c8ee91e06dd3f9636"/>
      <w:bookmarkStart w:id="1754" w:name="_Toc12260937"/>
      <w:r>
        <w:t>Part 1 Section 18.17.5.2, Precision</w:t>
      </w:r>
      <w:bookmarkEnd w:id="1753"/>
      <w:bookmarkEnd w:id="1754"/>
      <w:r>
        <w:fldChar w:fldCharType="begin"/>
      </w:r>
      <w:r>
        <w:instrText xml:space="preserve"> XE "Precision" </w:instrText>
      </w:r>
      <w:r>
        <w:fldChar w:fldCharType="end"/>
      </w:r>
    </w:p>
    <w:p w:rsidR="00024C0A" w:rsidRDefault="00694C0F">
      <w:pPr>
        <w:pStyle w:val="Definition-Field"/>
      </w:pPr>
      <w:r>
        <w:t xml:space="preserve">a.   </w:t>
      </w:r>
      <w:r>
        <w:rPr>
          <w:i/>
        </w:rPr>
        <w:t>The standard states that m is an integer whose abso</w:t>
      </w:r>
      <w:r>
        <w:rPr>
          <w:i/>
        </w:rPr>
        <w:t>lute value is less than 2^53, and n is an integer between -1075 and 970, inclusive.</w:t>
      </w:r>
    </w:p>
    <w:p w:rsidR="00024C0A" w:rsidRDefault="00694C0F">
      <w:pPr>
        <w:pStyle w:val="Definition-Field2"/>
      </w:pPr>
      <w:r>
        <w:t>Office treats m as an integer whose absolute value is greater than or equal to 2^52 and less than 2^53, and n is an integer between -1074 and 971, inclusive.</w:t>
      </w:r>
    </w:p>
    <w:p w:rsidR="00024C0A" w:rsidRDefault="00694C0F">
      <w:pPr>
        <w:pStyle w:val="Definition-Field"/>
      </w:pPr>
      <w:r>
        <w:t xml:space="preserve">b.   </w:t>
      </w:r>
      <w:r>
        <w:rPr>
          <w:i/>
        </w:rPr>
        <w:t>The stand</w:t>
      </w:r>
      <w:r>
        <w:rPr>
          <w:i/>
        </w:rPr>
        <w:t>ard states in a note that the default precision is patterned after the IEEE double-precision 64-bit floating-point type.</w:t>
      </w:r>
    </w:p>
    <w:p w:rsidR="00024C0A" w:rsidRDefault="00694C0F">
      <w:pPr>
        <w:pStyle w:val="Definition-Field2"/>
      </w:pPr>
      <w:r>
        <w:t>In Office, the default precision is patterned after the IEEE double-precision 64-bit floating-point type, with denormalized numbers exc</w:t>
      </w:r>
      <w:r>
        <w:t>luded.</w:t>
      </w:r>
    </w:p>
    <w:p w:rsidR="00024C0A" w:rsidRDefault="00694C0F">
      <w:pPr>
        <w:pStyle w:val="Heading3"/>
      </w:pPr>
      <w:bookmarkStart w:id="1755" w:name="section_d5e9192c66724b44892ca05686abc4b0"/>
      <w:bookmarkStart w:id="1756" w:name="_Toc12260938"/>
      <w:r>
        <w:t>Part 1 Section 18.17.5.4, Interpretation</w:t>
      </w:r>
      <w:bookmarkEnd w:id="1755"/>
      <w:bookmarkEnd w:id="1756"/>
      <w:r>
        <w:fldChar w:fldCharType="begin"/>
      </w:r>
      <w:r>
        <w:instrText xml:space="preserve"> XE "Interpretation" </w:instrText>
      </w:r>
      <w:r>
        <w:fldChar w:fldCharType="end"/>
      </w:r>
    </w:p>
    <w:p w:rsidR="00024C0A" w:rsidRDefault="00694C0F">
      <w:pPr>
        <w:pStyle w:val="Definition-Field"/>
      </w:pPr>
      <w:r>
        <w:t xml:space="preserve">a.   </w:t>
      </w:r>
      <w:r>
        <w:rPr>
          <w:i/>
        </w:rPr>
        <w:t>The standard gives maximum value as 2^1023 - 1, minimum as - 2^1023 + 1.</w:t>
      </w:r>
    </w:p>
    <w:p w:rsidR="00024C0A" w:rsidRDefault="00694C0F">
      <w:pPr>
        <w:pStyle w:val="Definition-Field2"/>
      </w:pPr>
      <w:r>
        <w:t>Office uses maximum 2^1024 – 2^971, minimum - 2^1024 + 2^971 and has smallest positive value of 2^-1022.</w:t>
      </w:r>
    </w:p>
    <w:p w:rsidR="00024C0A" w:rsidRDefault="00694C0F">
      <w:pPr>
        <w:pStyle w:val="Definition-Field"/>
      </w:pPr>
      <w:r>
        <w:t>b.</w:t>
      </w:r>
      <w:r>
        <w:t xml:space="preserve">   </w:t>
      </w:r>
      <w:r>
        <w:rPr>
          <w:i/>
        </w:rPr>
        <w:t>The standard does not specify behavior if the absolute value of the raw value is smaller than the smallest positive value in the value space.</w:t>
      </w:r>
    </w:p>
    <w:p w:rsidR="00024C0A" w:rsidRDefault="00694C0F">
      <w:pPr>
        <w:pStyle w:val="Definition-Field2"/>
      </w:pPr>
      <w:r>
        <w:lastRenderedPageBreak/>
        <w:t>In Office, if the absolute value of the raw value is smaller than the smallest positive value in the value spac</w:t>
      </w:r>
      <w:r>
        <w:t>e, then a consuming application shall treat this as equivalent to 0.</w:t>
      </w:r>
    </w:p>
    <w:p w:rsidR="00024C0A" w:rsidRDefault="00694C0F">
      <w:pPr>
        <w:pStyle w:val="Heading3"/>
      </w:pPr>
      <w:bookmarkStart w:id="1757" w:name="section_b2400668ba0d40b38365416d843e5aa4"/>
      <w:bookmarkStart w:id="1758" w:name="_Toc12260939"/>
      <w:r>
        <w:t>Part 1 Section 18.17.6.3, Array Formulas</w:t>
      </w:r>
      <w:bookmarkEnd w:id="1757"/>
      <w:bookmarkEnd w:id="1758"/>
      <w:r>
        <w:fldChar w:fldCharType="begin"/>
      </w:r>
      <w:r>
        <w:instrText xml:space="preserve"> XE "Array Formulas" </w:instrText>
      </w:r>
      <w:r>
        <w:fldChar w:fldCharType="end"/>
      </w:r>
    </w:p>
    <w:p w:rsidR="00024C0A" w:rsidRDefault="00694C0F">
      <w:pPr>
        <w:pStyle w:val="Definition-Field"/>
      </w:pPr>
      <w:r>
        <w:t xml:space="preserve">a.   </w:t>
      </w:r>
      <w:r>
        <w:rPr>
          <w:i/>
        </w:rPr>
        <w:t>The standard refers to the r attribute in multiple places to denote the reference to which the formula applies.</w:t>
      </w:r>
    </w:p>
    <w:p w:rsidR="00024C0A" w:rsidRDefault="00694C0F">
      <w:pPr>
        <w:pStyle w:val="Definition-Field2"/>
      </w:pPr>
      <w:r>
        <w:t>Office</w:t>
      </w:r>
      <w:r>
        <w:t xml:space="preserve"> uses the ref attribute in formulas to denote the reference to which the formula applies.</w:t>
      </w:r>
    </w:p>
    <w:p w:rsidR="00024C0A" w:rsidRDefault="00694C0F">
      <w:pPr>
        <w:pStyle w:val="Heading3"/>
      </w:pPr>
      <w:bookmarkStart w:id="1759" w:name="section_3b91dece249a4d57953d8068dbdaeb62"/>
      <w:bookmarkStart w:id="1760" w:name="_Toc12260940"/>
      <w:r>
        <w:t>Part 1 Section 18.17.6.5, Name Representation</w:t>
      </w:r>
      <w:bookmarkEnd w:id="1759"/>
      <w:bookmarkEnd w:id="1760"/>
      <w:r>
        <w:fldChar w:fldCharType="begin"/>
      </w:r>
      <w:r>
        <w:instrText xml:space="preserve"> XE "Name Representation" </w:instrText>
      </w:r>
      <w:r>
        <w:fldChar w:fldCharType="end"/>
      </w:r>
    </w:p>
    <w:p w:rsidR="00024C0A" w:rsidRDefault="00694C0F">
      <w:pPr>
        <w:pStyle w:val="Definition-Field"/>
      </w:pPr>
      <w:r>
        <w:t xml:space="preserve">a.   </w:t>
      </w:r>
      <w:r>
        <w:rPr>
          <w:i/>
        </w:rPr>
        <w:t xml:space="preserve">The standard states that the names shall be defined in the Worksheet part's XML with </w:t>
      </w:r>
      <w:r>
        <w:rPr>
          <w:i/>
        </w:rPr>
        <w:t>each being the subject of a definedName element, inside a definedNames element.</w:t>
      </w:r>
    </w:p>
    <w:p w:rsidR="00024C0A" w:rsidRDefault="00694C0F">
      <w:pPr>
        <w:pStyle w:val="Definition-Field2"/>
      </w:pPr>
      <w:r>
        <w:t>In Office, these names shall be defined in the Workbook part's XML with each being the subject of a definedName element, inside a definedNames element.</w:t>
      </w:r>
    </w:p>
    <w:p w:rsidR="00024C0A" w:rsidRDefault="00694C0F">
      <w:pPr>
        <w:pStyle w:val="Heading3"/>
      </w:pPr>
      <w:bookmarkStart w:id="1761" w:name="section_e32cd66ea03543389e6ea75929aaa73f"/>
      <w:bookmarkStart w:id="1762" w:name="_Toc12260941"/>
      <w:r>
        <w:t>Part 1 Section 18.17.7.2</w:t>
      </w:r>
      <w:r>
        <w:t>, ACCRINT</w:t>
      </w:r>
      <w:bookmarkEnd w:id="1761"/>
      <w:bookmarkEnd w:id="1762"/>
      <w:r>
        <w:fldChar w:fldCharType="begin"/>
      </w:r>
      <w:r>
        <w:instrText xml:space="preserve"> XE "ACCRINT" </w:instrText>
      </w:r>
      <w:r>
        <w:fldChar w:fldCharType="end"/>
      </w:r>
    </w:p>
    <w:p w:rsidR="00024C0A" w:rsidRDefault="00694C0F">
      <w:pPr>
        <w:pStyle w:val="Definition-Field"/>
      </w:pPr>
      <w:r>
        <w:t xml:space="preserve">a.   </w:t>
      </w:r>
      <w:r>
        <w:rPr>
          <w:i/>
        </w:rPr>
        <w:t>The standard does not specify an optional argument calc-method.</w:t>
      </w:r>
    </w:p>
    <w:p w:rsidR="00024C0A" w:rsidRDefault="00694C0F">
      <w:r>
        <w:t xml:space="preserve">Excel has an optional argument </w:t>
      </w:r>
      <w:r>
        <w:rPr>
          <w:i/>
        </w:rPr>
        <w:t>calc-method</w:t>
      </w:r>
      <w:r>
        <w:t>, which is defined as follows:</w:t>
      </w:r>
    </w:p>
    <w:tbl>
      <w:tblPr>
        <w:tblStyle w:val="Table-ShadedHeader"/>
        <w:tblW w:w="0" w:type="auto"/>
        <w:tblLook w:val="04A0" w:firstRow="1" w:lastRow="0" w:firstColumn="1" w:lastColumn="0" w:noHBand="0" w:noVBand="1"/>
      </w:tblPr>
      <w:tblGrid>
        <w:gridCol w:w="939"/>
        <w:gridCol w:w="738"/>
        <w:gridCol w:w="7798"/>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Name</w:t>
            </w:r>
          </w:p>
        </w:tc>
        <w:tc>
          <w:tcPr>
            <w:tcW w:w="0" w:type="auto"/>
            <w:vAlign w:val="center"/>
          </w:tcPr>
          <w:p w:rsidR="00024C0A" w:rsidRDefault="00694C0F">
            <w:pPr>
              <w:pStyle w:val="TableHeaderText"/>
            </w:pPr>
            <w:r>
              <w:t>Type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t>calc-method</w:t>
            </w:r>
          </w:p>
        </w:tc>
        <w:tc>
          <w:tcPr>
            <w:tcW w:w="0" w:type="auto"/>
            <w:vAlign w:val="center"/>
          </w:tcPr>
          <w:p w:rsidR="00024C0A" w:rsidRDefault="00694C0F">
            <w:pPr>
              <w:pStyle w:val="TableBodyText"/>
            </w:pPr>
            <w:r>
              <w:t>logical</w:t>
            </w:r>
          </w:p>
        </w:tc>
        <w:tc>
          <w:tcPr>
            <w:tcW w:w="0" w:type="auto"/>
            <w:vAlign w:val="center"/>
          </w:tcPr>
          <w:p w:rsidR="00024C0A" w:rsidRDefault="00694C0F">
            <w:pPr>
              <w:pStyle w:val="TableBodyText"/>
            </w:pPr>
            <w:r>
              <w:t xml:space="preserve">Specifies the way to calculate the total </w:t>
            </w:r>
            <w:r>
              <w:t xml:space="preserve">accrued interest when the date of settlement is later than the date of first-interest. A value of TRUE (1) returns the total accrued interest from issue to settlement. A value of FALSE (0) returns the accrued interest from first-interest to settlement. If </w:t>
            </w:r>
            <w:r>
              <w:t>no argument is specified, it defaults to TRUE.</w:t>
            </w:r>
          </w:p>
        </w:tc>
      </w:tr>
    </w:tbl>
    <w:p w:rsidR="00024C0A" w:rsidRDefault="00024C0A"/>
    <w:p w:rsidR="00024C0A" w:rsidRDefault="00694C0F">
      <w:pPr>
        <w:pStyle w:val="Definition-Field"/>
      </w:pPr>
      <w:r>
        <w:t xml:space="preserve">b.   </w:t>
      </w:r>
      <w:r>
        <w:rPr>
          <w:i/>
        </w:rPr>
        <w:t>The standard does not specify day and month adjustments for the basis argument.</w:t>
      </w:r>
    </w:p>
    <w:p w:rsidR="00024C0A" w:rsidRDefault="00694C0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Value</w:t>
            </w:r>
          </w:p>
        </w:tc>
        <w:tc>
          <w:tcPr>
            <w:tcW w:w="0" w:type="auto"/>
            <w:vAlign w:val="center"/>
          </w:tcPr>
          <w:p w:rsidR="00024C0A" w:rsidRDefault="00694C0F">
            <w:pPr>
              <w:pStyle w:val="TableHeaderText"/>
            </w:pPr>
            <w:r>
              <w:t>Day Count B</w:t>
            </w:r>
            <w:r>
              <w:t>asis</w:t>
            </w:r>
          </w:p>
        </w:tc>
      </w:tr>
      <w:tr w:rsidR="00024C0A" w:rsidTr="00024C0A">
        <w:tc>
          <w:tcPr>
            <w:tcW w:w="0" w:type="auto"/>
            <w:vAlign w:val="center"/>
          </w:tcPr>
          <w:p w:rsidR="00024C0A" w:rsidRDefault="00694C0F">
            <w:pPr>
              <w:pStyle w:val="TableBodyText"/>
            </w:pPr>
            <w:r>
              <w:rPr>
                <w:rStyle w:val="InlineCode"/>
              </w:rPr>
              <w:t>0</w:t>
            </w:r>
            <w:r>
              <w:t xml:space="preserve"> or omitted</w:t>
            </w:r>
          </w:p>
        </w:tc>
        <w:tc>
          <w:tcPr>
            <w:tcW w:w="0" w:type="auto"/>
            <w:vAlign w:val="center"/>
          </w:tcPr>
          <w:p w:rsidR="00024C0A" w:rsidRDefault="00694C0F">
            <w:pPr>
              <w:pStyle w:val="TableBodyText"/>
            </w:pPr>
            <w:r>
              <w:t>US (NASD) 30/360. If the dates are equal, the difference of days is 0. Assumes that each month has 30 days and the total number of days in the year is 360 by making the following adjustments:</w:t>
            </w:r>
          </w:p>
          <w:p w:rsidR="00024C0A" w:rsidRDefault="00694C0F">
            <w:pPr>
              <w:pStyle w:val="TableBodyText"/>
            </w:pPr>
            <w:r>
              <w:t xml:space="preserve">If both day-of-months are 31, they are </w:t>
            </w:r>
            <w:r>
              <w:t>changed to 30</w:t>
            </w:r>
          </w:p>
          <w:p w:rsidR="00024C0A" w:rsidRDefault="00694C0F">
            <w:pPr>
              <w:pStyle w:val="TableBodyText"/>
            </w:pPr>
            <w:r>
              <w:t>Otherwise, if date1’s day-of-month is 31, it is changed to 30</w:t>
            </w:r>
          </w:p>
          <w:p w:rsidR="00024C0A" w:rsidRDefault="00694C0F">
            <w:pPr>
              <w:pStyle w:val="TableBodyText"/>
            </w:pPr>
            <w:r>
              <w:t>Otherwise, if date1’s day-of-month is 30 and date2’s day-of-month is 31, date2’s day-of-month is changed to 30 (note that date2’s day-of-month will stay 31 if date1’s day &lt; 30)</w:t>
            </w:r>
          </w:p>
          <w:p w:rsidR="00024C0A" w:rsidRDefault="00694C0F">
            <w:pPr>
              <w:pStyle w:val="TableBodyText"/>
            </w:pPr>
            <w:r>
              <w:t>Oth</w:t>
            </w:r>
            <w:r>
              <w:t>erwise, if both dates are the last day of February in their respective years, both day-of-month is changed to 30</w:t>
            </w:r>
          </w:p>
          <w:p w:rsidR="00024C0A" w:rsidRDefault="00694C0F">
            <w:pPr>
              <w:pStyle w:val="TableBodyText"/>
            </w:pPr>
            <w:r>
              <w:t>Otherwise, if date1 is the last day of February, its day-of-month is changed to 30</w:t>
            </w:r>
          </w:p>
        </w:tc>
      </w:tr>
      <w:tr w:rsidR="00024C0A" w:rsidTr="00024C0A">
        <w:tc>
          <w:tcPr>
            <w:tcW w:w="0" w:type="auto"/>
            <w:vAlign w:val="center"/>
          </w:tcPr>
          <w:p w:rsidR="00024C0A" w:rsidRDefault="00694C0F">
            <w:pPr>
              <w:pStyle w:val="TableBodyText"/>
            </w:pPr>
            <w:r>
              <w:rPr>
                <w:rStyle w:val="InlineCode"/>
              </w:rPr>
              <w:t>1</w:t>
            </w:r>
          </w:p>
        </w:tc>
        <w:tc>
          <w:tcPr>
            <w:tcW w:w="0" w:type="auto"/>
            <w:vAlign w:val="center"/>
          </w:tcPr>
          <w:p w:rsidR="00024C0A" w:rsidRDefault="00694C0F">
            <w:pPr>
              <w:pStyle w:val="TableBodyText"/>
            </w:pPr>
            <w:r>
              <w:t xml:space="preserve">Actual/actual. If the dates are equal, the difference in </w:t>
            </w:r>
            <w:r>
              <w:t xml:space="preserve">days is 0. If date1 and date2 not “less than or equal to a year apart” (as defined below), then the days in the years between the dates is the average number of days in the years between date1 and date2, inclusive. Otherwise, the days in the years between </w:t>
            </w:r>
            <w:r>
              <w:t xml:space="preserve">the dates is 365, except for these cases (where it is 366): the dates are in the same year and it is a leap-year, a February 29 occurs between the two dates, or </w:t>
            </w:r>
            <w:r>
              <w:rPr>
                <w:b/>
              </w:rPr>
              <w:t>date1 or</w:t>
            </w:r>
            <w:r>
              <w:t xml:space="preserve"> date2 is February 29.</w:t>
            </w:r>
          </w:p>
          <w:p w:rsidR="00024C0A" w:rsidRDefault="00024C0A">
            <w:pPr>
              <w:pStyle w:val="TableBodyText"/>
            </w:pPr>
          </w:p>
          <w:p w:rsidR="00024C0A" w:rsidRDefault="00694C0F">
            <w:pPr>
              <w:pStyle w:val="TableBodyText"/>
            </w:pPr>
            <w:r>
              <w:t>To determine if date1 and date2 are “less than or equal to a ye</w:t>
            </w:r>
            <w:r>
              <w:t>ar apart” for purposes of this algorithm, one of these conditions must be true:</w:t>
            </w:r>
          </w:p>
          <w:p w:rsidR="00024C0A" w:rsidRDefault="00694C0F">
            <w:pPr>
              <w:pStyle w:val="ListParagraph"/>
              <w:numPr>
                <w:ilvl w:val="0"/>
                <w:numId w:val="72"/>
              </w:numPr>
            </w:pPr>
            <w:r>
              <w:lastRenderedPageBreak/>
              <w:t>The two dates have the same year</w:t>
            </w:r>
          </w:p>
          <w:p w:rsidR="00024C0A" w:rsidRDefault="00694C0F">
            <w:pPr>
              <w:pStyle w:val="ListParagraph"/>
              <w:numPr>
                <w:ilvl w:val="0"/>
                <w:numId w:val="73"/>
              </w:numPr>
            </w:pPr>
            <w:r>
              <w:t>Date2’s year is exactly one more than date1’s year, and ((date1.month &gt; date2.month) or ((date1.month == date2.month) and (date1.day &gt;= date2.d</w:t>
            </w:r>
            <w:r>
              <w:t>ay)))</w:t>
            </w:r>
          </w:p>
        </w:tc>
      </w:tr>
      <w:tr w:rsidR="00024C0A" w:rsidTr="00024C0A">
        <w:tc>
          <w:tcPr>
            <w:tcW w:w="0" w:type="auto"/>
            <w:vAlign w:val="center"/>
          </w:tcPr>
          <w:p w:rsidR="00024C0A" w:rsidRDefault="00694C0F">
            <w:pPr>
              <w:pStyle w:val="TableBodyText"/>
            </w:pPr>
            <w:r>
              <w:rPr>
                <w:rStyle w:val="InlineCode"/>
              </w:rPr>
              <w:lastRenderedPageBreak/>
              <w:t>2</w:t>
            </w:r>
          </w:p>
        </w:tc>
        <w:tc>
          <w:tcPr>
            <w:tcW w:w="0" w:type="auto"/>
            <w:vAlign w:val="center"/>
          </w:tcPr>
          <w:p w:rsidR="00024C0A" w:rsidRDefault="00694C0F">
            <w:pPr>
              <w:pStyle w:val="TableBodyText"/>
            </w:pPr>
            <w:r>
              <w:t>Actual/360. Computes the actual difference in days, and presumes there are always 360 days per year.</w:t>
            </w:r>
          </w:p>
        </w:tc>
      </w:tr>
      <w:tr w:rsidR="00024C0A" w:rsidTr="00024C0A">
        <w:tc>
          <w:tcPr>
            <w:tcW w:w="0" w:type="auto"/>
            <w:vAlign w:val="center"/>
          </w:tcPr>
          <w:p w:rsidR="00024C0A" w:rsidRDefault="00694C0F">
            <w:pPr>
              <w:pStyle w:val="TableBodyText"/>
            </w:pPr>
            <w:r>
              <w:rPr>
                <w:rStyle w:val="InlineCode"/>
              </w:rPr>
              <w:t>3</w:t>
            </w:r>
          </w:p>
        </w:tc>
        <w:tc>
          <w:tcPr>
            <w:tcW w:w="0" w:type="auto"/>
            <w:vAlign w:val="center"/>
          </w:tcPr>
          <w:p w:rsidR="00024C0A" w:rsidRDefault="00694C0F">
            <w:pPr>
              <w:pStyle w:val="TableBodyText"/>
            </w:pPr>
            <w:r>
              <w:t>Actual/365. Computes the actual difference in days, and presumes there are always 365 days per year.</w:t>
            </w:r>
          </w:p>
        </w:tc>
      </w:tr>
      <w:tr w:rsidR="00024C0A" w:rsidTr="00024C0A">
        <w:tc>
          <w:tcPr>
            <w:tcW w:w="0" w:type="auto"/>
            <w:vAlign w:val="center"/>
          </w:tcPr>
          <w:p w:rsidR="00024C0A" w:rsidRDefault="00694C0F">
            <w:pPr>
              <w:pStyle w:val="TableBodyText"/>
            </w:pPr>
            <w:r>
              <w:rPr>
                <w:rStyle w:val="InlineCode"/>
              </w:rPr>
              <w:t>4</w:t>
            </w:r>
          </w:p>
        </w:tc>
        <w:tc>
          <w:tcPr>
            <w:tcW w:w="0" w:type="auto"/>
            <w:vAlign w:val="center"/>
          </w:tcPr>
          <w:p w:rsidR="00024C0A" w:rsidRDefault="00694C0F">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024C0A" w:rsidRDefault="00024C0A"/>
    <w:p w:rsidR="00024C0A" w:rsidRDefault="00694C0F">
      <w:pPr>
        <w:pStyle w:val="Definition-Field"/>
      </w:pPr>
      <w:r>
        <w:t xml:space="preserve">c.   </w:t>
      </w:r>
      <w:r>
        <w:rPr>
          <w:i/>
        </w:rPr>
        <w:t>The standard states that the par argument has a default value of 1000.</w:t>
      </w:r>
    </w:p>
    <w:p w:rsidR="00024C0A" w:rsidRDefault="00694C0F">
      <w:pPr>
        <w:pStyle w:val="Definition-Field2"/>
      </w:pPr>
      <w:r>
        <w:t>Office uses 0.001 as the default value for the par argument.</w:t>
      </w:r>
    </w:p>
    <w:p w:rsidR="00024C0A" w:rsidRDefault="00694C0F">
      <w:pPr>
        <w:pStyle w:val="Heading3"/>
      </w:pPr>
      <w:bookmarkStart w:id="1763" w:name="section_5c30913f91804772969fed116b8166ce"/>
      <w:bookmarkStart w:id="1764" w:name="_Toc12260942"/>
      <w:r>
        <w:t>Part 1 Section</w:t>
      </w:r>
      <w:r>
        <w:t xml:space="preserve"> 18.17.7.3, ACCRINTM</w:t>
      </w:r>
      <w:bookmarkEnd w:id="1763"/>
      <w:bookmarkEnd w:id="1764"/>
      <w:r>
        <w:fldChar w:fldCharType="begin"/>
      </w:r>
      <w:r>
        <w:instrText xml:space="preserve"> XE "ACCRINTM" </w:instrText>
      </w:r>
      <w:r>
        <w:fldChar w:fldCharType="end"/>
      </w:r>
    </w:p>
    <w:p w:rsidR="00024C0A" w:rsidRDefault="00694C0F">
      <w:pPr>
        <w:pStyle w:val="Definition-Field"/>
      </w:pPr>
      <w:r>
        <w:t xml:space="preserve">a.   </w:t>
      </w:r>
      <w:r>
        <w:rPr>
          <w:i/>
        </w:rPr>
        <w:t>The standard does not specify day and month adjustments for the basis argument.</w:t>
      </w:r>
    </w:p>
    <w:p w:rsidR="00024C0A" w:rsidRDefault="00694C0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Value</w:t>
            </w:r>
          </w:p>
        </w:tc>
        <w:tc>
          <w:tcPr>
            <w:tcW w:w="0" w:type="auto"/>
            <w:vAlign w:val="center"/>
          </w:tcPr>
          <w:p w:rsidR="00024C0A" w:rsidRDefault="00694C0F">
            <w:pPr>
              <w:pStyle w:val="TableHeaderText"/>
            </w:pPr>
            <w:r>
              <w:t>Day Count Basis</w:t>
            </w:r>
          </w:p>
        </w:tc>
      </w:tr>
      <w:tr w:rsidR="00024C0A" w:rsidTr="00024C0A">
        <w:tc>
          <w:tcPr>
            <w:tcW w:w="0" w:type="auto"/>
            <w:vAlign w:val="center"/>
          </w:tcPr>
          <w:p w:rsidR="00024C0A" w:rsidRDefault="00694C0F">
            <w:pPr>
              <w:pStyle w:val="TableBodyText"/>
            </w:pPr>
            <w:r>
              <w:rPr>
                <w:rStyle w:val="InlineCode"/>
              </w:rPr>
              <w:t>0</w:t>
            </w:r>
            <w:r>
              <w:t xml:space="preserve"> or omitted</w:t>
            </w:r>
          </w:p>
        </w:tc>
        <w:tc>
          <w:tcPr>
            <w:tcW w:w="0" w:type="auto"/>
            <w:vAlign w:val="center"/>
          </w:tcPr>
          <w:p w:rsidR="00024C0A" w:rsidRDefault="00694C0F">
            <w:pPr>
              <w:pStyle w:val="TableBodyText"/>
            </w:pPr>
            <w:r>
              <w:t>US (NASD) 30/360. If the dates are equal, the difference of days is 0. Assumes that each month has 30 days and the total number of days in the year is 360 by making the following adjustments:</w:t>
            </w:r>
          </w:p>
          <w:p w:rsidR="00024C0A" w:rsidRDefault="00694C0F">
            <w:pPr>
              <w:pStyle w:val="TableBodyText"/>
            </w:pPr>
            <w:r>
              <w:t>If both day-of-months are 31, they are changed to 30</w:t>
            </w:r>
          </w:p>
          <w:p w:rsidR="00024C0A" w:rsidRDefault="00694C0F">
            <w:pPr>
              <w:pStyle w:val="TableBodyText"/>
            </w:pPr>
            <w:r>
              <w:t>Otherwise, if date1’s day-of-month is 31, it is changed to 30</w:t>
            </w:r>
          </w:p>
          <w:p w:rsidR="00024C0A" w:rsidRDefault="00694C0F">
            <w:pPr>
              <w:pStyle w:val="TableBodyText"/>
            </w:pPr>
            <w:r>
              <w:t>Otherwise, if date1’s day-of-month is 30 and date2’s day-of-month is 31, date2’s day-of-month is changed to 30 (note that date2’s day-of-month will stay 31 if date1’s day &lt; 30)</w:t>
            </w:r>
          </w:p>
          <w:p w:rsidR="00024C0A" w:rsidRDefault="00694C0F">
            <w:pPr>
              <w:pStyle w:val="TableBodyText"/>
            </w:pPr>
            <w:r>
              <w:t xml:space="preserve">Otherwise, if </w:t>
            </w:r>
            <w:r>
              <w:t>both dates are the last day of February in their respective years, both day-of-month is changed to 30</w:t>
            </w:r>
          </w:p>
          <w:p w:rsidR="00024C0A" w:rsidRDefault="00694C0F">
            <w:pPr>
              <w:pStyle w:val="TableBodyText"/>
            </w:pPr>
            <w:r>
              <w:t>Otherwise, if date1 is the last day of February, its day-of-month is changed to 30</w:t>
            </w:r>
          </w:p>
        </w:tc>
      </w:tr>
      <w:tr w:rsidR="00024C0A" w:rsidTr="00024C0A">
        <w:tc>
          <w:tcPr>
            <w:tcW w:w="0" w:type="auto"/>
            <w:vAlign w:val="center"/>
          </w:tcPr>
          <w:p w:rsidR="00024C0A" w:rsidRDefault="00694C0F">
            <w:pPr>
              <w:pStyle w:val="TableBodyText"/>
            </w:pPr>
            <w:r>
              <w:rPr>
                <w:rStyle w:val="InlineCode"/>
              </w:rPr>
              <w:t>1</w:t>
            </w:r>
          </w:p>
        </w:tc>
        <w:tc>
          <w:tcPr>
            <w:tcW w:w="0" w:type="auto"/>
            <w:vAlign w:val="center"/>
          </w:tcPr>
          <w:p w:rsidR="00024C0A" w:rsidRDefault="00694C0F">
            <w:pPr>
              <w:pStyle w:val="TableBodyText"/>
            </w:pPr>
            <w:r>
              <w:t xml:space="preserve">Actual/actual. If the dates are equal, the difference in days is 0. </w:t>
            </w:r>
            <w:r>
              <w:t>If date1 and date2 not “less than or equal to a year apart” (as defined below), then the days in the years between the dates is the average number of days in the years between date1 and date2, inclusive. Otherwise, the days in the years between the dates i</w:t>
            </w:r>
            <w:r>
              <w:t xml:space="preserve">s 365, except for these cases (where it is 366): the dates are in the same year and it is a leap-year, a February 29 occurs between the two dates, or </w:t>
            </w:r>
            <w:r>
              <w:rPr>
                <w:b/>
              </w:rPr>
              <w:t>date1 or</w:t>
            </w:r>
            <w:r>
              <w:t xml:space="preserve"> date2 is February 29.</w:t>
            </w:r>
          </w:p>
          <w:p w:rsidR="00024C0A" w:rsidRDefault="00024C0A">
            <w:pPr>
              <w:pStyle w:val="TableBodyText"/>
            </w:pPr>
          </w:p>
          <w:p w:rsidR="00024C0A" w:rsidRDefault="00694C0F">
            <w:pPr>
              <w:pStyle w:val="TableBodyText"/>
            </w:pPr>
            <w:r>
              <w:t>To determine if date1 and date2 are “less than or equal to a year apart” f</w:t>
            </w:r>
            <w:r>
              <w:t>or purposes of this algorithm, one of these conditions must be true:</w:t>
            </w:r>
          </w:p>
          <w:p w:rsidR="00024C0A" w:rsidRDefault="00694C0F">
            <w:pPr>
              <w:pStyle w:val="ListParagraph"/>
              <w:numPr>
                <w:ilvl w:val="0"/>
                <w:numId w:val="74"/>
              </w:numPr>
            </w:pPr>
            <w:r>
              <w:t>The two dates have the same year</w:t>
            </w:r>
          </w:p>
          <w:p w:rsidR="00024C0A" w:rsidRDefault="00694C0F">
            <w:pPr>
              <w:pStyle w:val="ListParagraph"/>
              <w:numPr>
                <w:ilvl w:val="0"/>
                <w:numId w:val="75"/>
              </w:numPr>
            </w:pPr>
            <w:r>
              <w:t>Date2’s year is exactly one more than date1’s year, and ((date1.month &gt; date2.month) or ((date1.month == date2.month) and (date1.day &gt;= date2.day)))</w:t>
            </w:r>
          </w:p>
        </w:tc>
      </w:tr>
      <w:tr w:rsidR="00024C0A" w:rsidTr="00024C0A">
        <w:tc>
          <w:tcPr>
            <w:tcW w:w="0" w:type="auto"/>
            <w:vAlign w:val="center"/>
          </w:tcPr>
          <w:p w:rsidR="00024C0A" w:rsidRDefault="00694C0F">
            <w:pPr>
              <w:pStyle w:val="TableBodyText"/>
            </w:pPr>
            <w:r>
              <w:rPr>
                <w:rStyle w:val="InlineCode"/>
              </w:rPr>
              <w:t>2</w:t>
            </w:r>
          </w:p>
        </w:tc>
        <w:tc>
          <w:tcPr>
            <w:tcW w:w="0" w:type="auto"/>
            <w:vAlign w:val="center"/>
          </w:tcPr>
          <w:p w:rsidR="00024C0A" w:rsidRDefault="00694C0F">
            <w:pPr>
              <w:pStyle w:val="TableBodyText"/>
            </w:pPr>
            <w:r>
              <w:t>Ac</w:t>
            </w:r>
            <w:r>
              <w:t>tual/360. Computes the actual difference in days, and presumes there are always 360 days per year.</w:t>
            </w:r>
          </w:p>
        </w:tc>
      </w:tr>
      <w:tr w:rsidR="00024C0A" w:rsidTr="00024C0A">
        <w:tc>
          <w:tcPr>
            <w:tcW w:w="0" w:type="auto"/>
            <w:vAlign w:val="center"/>
          </w:tcPr>
          <w:p w:rsidR="00024C0A" w:rsidRDefault="00694C0F">
            <w:pPr>
              <w:pStyle w:val="TableBodyText"/>
            </w:pPr>
            <w:r>
              <w:rPr>
                <w:rStyle w:val="InlineCode"/>
              </w:rPr>
              <w:lastRenderedPageBreak/>
              <w:t>3</w:t>
            </w:r>
          </w:p>
        </w:tc>
        <w:tc>
          <w:tcPr>
            <w:tcW w:w="0" w:type="auto"/>
            <w:vAlign w:val="center"/>
          </w:tcPr>
          <w:p w:rsidR="00024C0A" w:rsidRDefault="00694C0F">
            <w:pPr>
              <w:pStyle w:val="TableBodyText"/>
            </w:pPr>
            <w:r>
              <w:t>Actual/365. Computes the actual difference in days, and presumes there are always 365 days per year.</w:t>
            </w:r>
          </w:p>
        </w:tc>
      </w:tr>
      <w:tr w:rsidR="00024C0A" w:rsidTr="00024C0A">
        <w:tc>
          <w:tcPr>
            <w:tcW w:w="0" w:type="auto"/>
            <w:vAlign w:val="center"/>
          </w:tcPr>
          <w:p w:rsidR="00024C0A" w:rsidRDefault="00694C0F">
            <w:pPr>
              <w:pStyle w:val="TableBodyText"/>
            </w:pPr>
            <w:r>
              <w:rPr>
                <w:rStyle w:val="InlineCode"/>
              </w:rPr>
              <w:t>4</w:t>
            </w:r>
          </w:p>
        </w:tc>
        <w:tc>
          <w:tcPr>
            <w:tcW w:w="0" w:type="auto"/>
            <w:vAlign w:val="center"/>
          </w:tcPr>
          <w:p w:rsidR="00024C0A" w:rsidRDefault="00694C0F">
            <w:pPr>
              <w:pStyle w:val="TableBodyText"/>
            </w:pPr>
            <w:r>
              <w:t>European 30/360. The European method for adjusting</w:t>
            </w:r>
            <w:r>
              <w:t xml:space="preserve"> day counts. If the dates are equal, the difference of days is 0. Assumes that each month has 30 days and the total number of days in the year is 360; any day-of-month (in date1, date2, or both) with a value of 31 is changed to 30. Note that February dates</w:t>
            </w:r>
            <w:r>
              <w:t xml:space="preserve"> are </w:t>
            </w:r>
            <w:r>
              <w:rPr>
                <w:i/>
              </w:rPr>
              <w:t xml:space="preserve">never </w:t>
            </w:r>
            <w:r>
              <w:t>changed, because there is no February 31.</w:t>
            </w:r>
          </w:p>
        </w:tc>
      </w:tr>
    </w:tbl>
    <w:p w:rsidR="00024C0A" w:rsidRDefault="00024C0A"/>
    <w:p w:rsidR="00024C0A" w:rsidRDefault="00694C0F">
      <w:pPr>
        <w:pStyle w:val="Definition-Field"/>
      </w:pPr>
      <w:r>
        <w:t xml:space="preserve">b.   </w:t>
      </w:r>
      <w:r>
        <w:rPr>
          <w:i/>
        </w:rPr>
        <w:t>The standard states that the par argument has a default value of 1000.</w:t>
      </w:r>
    </w:p>
    <w:p w:rsidR="00024C0A" w:rsidRDefault="00694C0F">
      <w:pPr>
        <w:pStyle w:val="Definition-Field2"/>
      </w:pPr>
      <w:r>
        <w:t>Office uses a 0.001 as the default value for the par argument.</w:t>
      </w:r>
    </w:p>
    <w:p w:rsidR="00024C0A" w:rsidRDefault="00694C0F">
      <w:pPr>
        <w:pStyle w:val="Definition-Field"/>
      </w:pPr>
      <w:r>
        <w:t xml:space="preserve">c.   </w:t>
      </w:r>
      <w:r>
        <w:rPr>
          <w:i/>
        </w:rPr>
        <w:t xml:space="preserve">The standard states A is the number of days from the </w:t>
      </w:r>
      <w:r>
        <w:rPr>
          <w:i/>
        </w:rPr>
        <w:t>issue date to the maturity date.</w:t>
      </w:r>
    </w:p>
    <w:p w:rsidR="00024C0A" w:rsidRDefault="00694C0F">
      <w:pPr>
        <w:pStyle w:val="Definition-Field2"/>
      </w:pPr>
      <w:r>
        <w:t>Office treats A as the number of days from the issue date to the settlement date.</w:t>
      </w:r>
    </w:p>
    <w:p w:rsidR="00024C0A" w:rsidRDefault="00694C0F">
      <w:pPr>
        <w:pStyle w:val="Heading3"/>
      </w:pPr>
      <w:bookmarkStart w:id="1765" w:name="section_dc05ff6aa42f42b8b07434cc2c0d28c3"/>
      <w:bookmarkStart w:id="1766" w:name="_Toc12260943"/>
      <w:r>
        <w:t>Part 1 Section 18.17.7.4, ACOS</w:t>
      </w:r>
      <w:bookmarkEnd w:id="1765"/>
      <w:bookmarkEnd w:id="1766"/>
      <w:r>
        <w:fldChar w:fldCharType="begin"/>
      </w:r>
      <w:r>
        <w:instrText xml:space="preserve"> XE "ACOS" </w:instrText>
      </w:r>
      <w:r>
        <w:fldChar w:fldCharType="end"/>
      </w:r>
    </w:p>
    <w:p w:rsidR="00024C0A" w:rsidRDefault="00694C0F">
      <w:pPr>
        <w:pStyle w:val="Definition-Field"/>
      </w:pPr>
      <w:r>
        <w:t xml:space="preserve">a.   </w:t>
      </w:r>
      <w:r>
        <w:rPr>
          <w:i/>
        </w:rPr>
        <w:t>The standard does not specify unit of return value.</w:t>
      </w:r>
    </w:p>
    <w:p w:rsidR="00024C0A" w:rsidRDefault="00694C0F">
      <w:pPr>
        <w:pStyle w:val="Definition-Field2"/>
      </w:pPr>
      <w:r>
        <w:t>Office calculates arc cosine of x, in ra</w:t>
      </w:r>
      <w:r>
        <w:t>dians.</w:t>
      </w:r>
    </w:p>
    <w:p w:rsidR="00024C0A" w:rsidRDefault="00694C0F">
      <w:pPr>
        <w:pStyle w:val="Heading3"/>
      </w:pPr>
      <w:bookmarkStart w:id="1767" w:name="section_c18d21bc2f664b928717db472acd27c7"/>
      <w:bookmarkStart w:id="1768" w:name="_Toc12260944"/>
      <w:r>
        <w:t>Part 1 Section 18.17.7.6, ADDRESS</w:t>
      </w:r>
      <w:bookmarkEnd w:id="1767"/>
      <w:bookmarkEnd w:id="1768"/>
      <w:r>
        <w:fldChar w:fldCharType="begin"/>
      </w:r>
      <w:r>
        <w:instrText xml:space="preserve"> XE "ADDRESS" </w:instrText>
      </w:r>
      <w:r>
        <w:fldChar w:fldCharType="end"/>
      </w:r>
    </w:p>
    <w:p w:rsidR="00024C0A" w:rsidRDefault="00694C0F">
      <w:pPr>
        <w:pStyle w:val="Definition-Field"/>
      </w:pPr>
      <w:r>
        <w:t xml:space="preserve">a.   </w:t>
      </w:r>
      <w:r>
        <w:rPr>
          <w:i/>
        </w:rPr>
        <w:t>The standard states if row-number or col-number &lt; 1, #NUM! is returned and if ref-type is outside the range 1–4, #NUM! is returned.</w:t>
      </w:r>
    </w:p>
    <w:p w:rsidR="00024C0A" w:rsidRDefault="00694C0F">
      <w:pPr>
        <w:pStyle w:val="Definition-Field2"/>
      </w:pPr>
      <w:r>
        <w:t>Office returns #VALUE! in such cases for the function.</w:t>
      </w:r>
    </w:p>
    <w:p w:rsidR="00024C0A" w:rsidRDefault="00694C0F">
      <w:pPr>
        <w:pStyle w:val="Heading3"/>
      </w:pPr>
      <w:bookmarkStart w:id="1769" w:name="section_de52a81e371a46f5a1041dec10fc3df2"/>
      <w:bookmarkStart w:id="1770" w:name="_Toc12260945"/>
      <w:r>
        <w:t xml:space="preserve">Part 1 </w:t>
      </w:r>
      <w:r>
        <w:t>Section 18.17.7.7, AMORDEGRC</w:t>
      </w:r>
      <w:bookmarkEnd w:id="1769"/>
      <w:bookmarkEnd w:id="1770"/>
      <w:r>
        <w:fldChar w:fldCharType="begin"/>
      </w:r>
      <w:r>
        <w:instrText xml:space="preserve"> XE "AMORDEGRC" </w:instrText>
      </w:r>
      <w:r>
        <w:fldChar w:fldCharType="end"/>
      </w:r>
    </w:p>
    <w:p w:rsidR="00024C0A" w:rsidRDefault="00694C0F">
      <w:pPr>
        <w:pStyle w:val="Definition-Field"/>
      </w:pPr>
      <w:r>
        <w:t xml:space="preserve">a.   </w:t>
      </w:r>
      <w:r>
        <w:rPr>
          <w:i/>
        </w:rPr>
        <w:t>The standard does not specify day and month adjustments for the basis argument.</w:t>
      </w:r>
    </w:p>
    <w:p w:rsidR="00024C0A" w:rsidRDefault="00694C0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Value</w:t>
            </w:r>
          </w:p>
        </w:tc>
        <w:tc>
          <w:tcPr>
            <w:tcW w:w="0" w:type="auto"/>
            <w:vAlign w:val="center"/>
          </w:tcPr>
          <w:p w:rsidR="00024C0A" w:rsidRDefault="00694C0F">
            <w:pPr>
              <w:pStyle w:val="TableHeaderText"/>
            </w:pPr>
            <w:r>
              <w:t>Day Count Bas</w:t>
            </w:r>
            <w:r>
              <w:t>is</w:t>
            </w:r>
          </w:p>
        </w:tc>
      </w:tr>
      <w:tr w:rsidR="00024C0A" w:rsidTr="00024C0A">
        <w:tc>
          <w:tcPr>
            <w:tcW w:w="0" w:type="auto"/>
            <w:vAlign w:val="center"/>
          </w:tcPr>
          <w:p w:rsidR="00024C0A" w:rsidRDefault="00694C0F">
            <w:pPr>
              <w:pStyle w:val="TableBodyText"/>
            </w:pPr>
            <w:r>
              <w:rPr>
                <w:rStyle w:val="InlineCode"/>
              </w:rPr>
              <w:t>0</w:t>
            </w:r>
            <w:r>
              <w:t xml:space="preserve"> or omitted</w:t>
            </w:r>
          </w:p>
        </w:tc>
        <w:tc>
          <w:tcPr>
            <w:tcW w:w="0" w:type="auto"/>
            <w:vAlign w:val="center"/>
          </w:tcPr>
          <w:p w:rsidR="00024C0A" w:rsidRDefault="00694C0F">
            <w:pPr>
              <w:pStyle w:val="TableBodyText"/>
            </w:pPr>
            <w:r>
              <w:t>US (NASD) 30/360. If the dates are equal, the difference of days is 0. Assumes that each month has 30 days and the total number of days in the year is 360 by making the following adjustments:</w:t>
            </w:r>
          </w:p>
          <w:p w:rsidR="00024C0A" w:rsidRDefault="00694C0F">
            <w:pPr>
              <w:pStyle w:val="TableBodyText"/>
            </w:pPr>
            <w:r>
              <w:t xml:space="preserve">If both day-of-months are 31, they are changed </w:t>
            </w:r>
            <w:r>
              <w:t>to 30</w:t>
            </w:r>
          </w:p>
          <w:p w:rsidR="00024C0A" w:rsidRDefault="00694C0F">
            <w:pPr>
              <w:pStyle w:val="TableBodyText"/>
            </w:pPr>
            <w:r>
              <w:t>Otherwise, if date1’s day-of-month is 31, it is changed to 30</w:t>
            </w:r>
          </w:p>
          <w:p w:rsidR="00024C0A" w:rsidRDefault="00694C0F">
            <w:pPr>
              <w:pStyle w:val="TableBodyText"/>
            </w:pPr>
            <w:r>
              <w:t>Otherwise, if date1’s day-of-month is 30 and date2’s day-of-month is 31, date2’s day-of-month is changed to 30 (note that date2’s day-of-month will stay 31 if date1’s day &lt; 30)</w:t>
            </w:r>
          </w:p>
          <w:p w:rsidR="00024C0A" w:rsidRDefault="00694C0F">
            <w:pPr>
              <w:pStyle w:val="TableBodyText"/>
            </w:pPr>
            <w:r>
              <w:t xml:space="preserve">Otherwise, </w:t>
            </w:r>
            <w:r>
              <w:t>if both dates are the last day of February in their respective years, both day-of-month is changed to 30</w:t>
            </w:r>
          </w:p>
          <w:p w:rsidR="00024C0A" w:rsidRDefault="00694C0F">
            <w:pPr>
              <w:pStyle w:val="TableBodyText"/>
            </w:pPr>
            <w:r>
              <w:t>Otherwise, if date1 is the last day of February, its day-of-month is changed to 30</w:t>
            </w:r>
          </w:p>
        </w:tc>
      </w:tr>
      <w:tr w:rsidR="00024C0A" w:rsidTr="00024C0A">
        <w:tc>
          <w:tcPr>
            <w:tcW w:w="0" w:type="auto"/>
            <w:vAlign w:val="center"/>
          </w:tcPr>
          <w:p w:rsidR="00024C0A" w:rsidRDefault="00694C0F">
            <w:pPr>
              <w:pStyle w:val="TableBodyText"/>
            </w:pPr>
            <w:r>
              <w:rPr>
                <w:rStyle w:val="InlineCode"/>
              </w:rPr>
              <w:t>1</w:t>
            </w:r>
          </w:p>
        </w:tc>
        <w:tc>
          <w:tcPr>
            <w:tcW w:w="0" w:type="auto"/>
            <w:vAlign w:val="center"/>
          </w:tcPr>
          <w:p w:rsidR="00024C0A" w:rsidRDefault="00694C0F">
            <w:pPr>
              <w:pStyle w:val="TableBodyText"/>
            </w:pPr>
            <w:r>
              <w:t xml:space="preserve">Actual/actual. If the dates are equal, the difference in days is </w:t>
            </w:r>
            <w:r>
              <w:t>0. If date1 and date2 not “less than or equal to a year apart” (as defined below), then the days in the years between the dates is the average number of days in the years between date1 and date2, inclusive. Otherwise, the days in the years between the date</w:t>
            </w:r>
            <w:r>
              <w:t xml:space="preserve">s is 365, except for these cases (where it is 366): the dates are in the same year and it is a leap-year, a February 29 occurs between the two dates, or </w:t>
            </w:r>
            <w:r>
              <w:rPr>
                <w:b/>
              </w:rPr>
              <w:t>date1 or</w:t>
            </w:r>
            <w:r>
              <w:t xml:space="preserve"> date2 is February 29.</w:t>
            </w:r>
          </w:p>
          <w:p w:rsidR="00024C0A" w:rsidRDefault="00024C0A">
            <w:pPr>
              <w:pStyle w:val="TableBodyText"/>
            </w:pPr>
          </w:p>
          <w:p w:rsidR="00024C0A" w:rsidRDefault="00694C0F">
            <w:pPr>
              <w:pStyle w:val="TableBodyText"/>
            </w:pPr>
            <w:r>
              <w:t>To determine if date1 and date2 are “less than or equal to a year apart</w:t>
            </w:r>
            <w:r>
              <w:t xml:space="preserve">” for purposes of this </w:t>
            </w:r>
            <w:r>
              <w:lastRenderedPageBreak/>
              <w:t>algorithm, one of these conditions must be true:</w:t>
            </w:r>
          </w:p>
          <w:p w:rsidR="00024C0A" w:rsidRDefault="00694C0F">
            <w:pPr>
              <w:pStyle w:val="ListParagraph"/>
              <w:numPr>
                <w:ilvl w:val="0"/>
                <w:numId w:val="76"/>
              </w:numPr>
            </w:pPr>
            <w:r>
              <w:t>The two dates have the same year</w:t>
            </w:r>
          </w:p>
          <w:p w:rsidR="00024C0A" w:rsidRDefault="00694C0F">
            <w:pPr>
              <w:pStyle w:val="ListParagraph"/>
              <w:numPr>
                <w:ilvl w:val="0"/>
                <w:numId w:val="77"/>
              </w:numPr>
            </w:pPr>
            <w:r>
              <w:t>Date2’s year is exactly one more than date1’s year, and ((date1.month &gt; date2.month) or ((date1.month == date2.month) and (date1.day &gt;= date2.day)))</w:t>
            </w:r>
          </w:p>
        </w:tc>
      </w:tr>
      <w:tr w:rsidR="00024C0A" w:rsidTr="00024C0A">
        <w:tc>
          <w:tcPr>
            <w:tcW w:w="0" w:type="auto"/>
            <w:vAlign w:val="center"/>
          </w:tcPr>
          <w:p w:rsidR="00024C0A" w:rsidRDefault="00694C0F">
            <w:pPr>
              <w:pStyle w:val="TableBodyText"/>
            </w:pPr>
            <w:r>
              <w:rPr>
                <w:rStyle w:val="InlineCode"/>
              </w:rPr>
              <w:lastRenderedPageBreak/>
              <w:t>2</w:t>
            </w:r>
          </w:p>
        </w:tc>
        <w:tc>
          <w:tcPr>
            <w:tcW w:w="0" w:type="auto"/>
            <w:vAlign w:val="center"/>
          </w:tcPr>
          <w:p w:rsidR="00024C0A" w:rsidRDefault="00694C0F">
            <w:pPr>
              <w:pStyle w:val="TableBodyText"/>
            </w:pPr>
            <w:r>
              <w:t>Actual/360. Computes the actual difference in days, and presumes there are always 360 days per year.</w:t>
            </w:r>
          </w:p>
        </w:tc>
      </w:tr>
      <w:tr w:rsidR="00024C0A" w:rsidTr="00024C0A">
        <w:tc>
          <w:tcPr>
            <w:tcW w:w="0" w:type="auto"/>
            <w:vAlign w:val="center"/>
          </w:tcPr>
          <w:p w:rsidR="00024C0A" w:rsidRDefault="00694C0F">
            <w:pPr>
              <w:pStyle w:val="TableBodyText"/>
            </w:pPr>
            <w:r>
              <w:rPr>
                <w:rStyle w:val="InlineCode"/>
              </w:rPr>
              <w:t>3</w:t>
            </w:r>
          </w:p>
        </w:tc>
        <w:tc>
          <w:tcPr>
            <w:tcW w:w="0" w:type="auto"/>
            <w:vAlign w:val="center"/>
          </w:tcPr>
          <w:p w:rsidR="00024C0A" w:rsidRDefault="00694C0F">
            <w:pPr>
              <w:pStyle w:val="TableBodyText"/>
            </w:pPr>
            <w:r>
              <w:t>Actual/365. Computes the actual difference in days, and presumes there are always 365 days per year.</w:t>
            </w:r>
          </w:p>
        </w:tc>
      </w:tr>
      <w:tr w:rsidR="00024C0A" w:rsidTr="00024C0A">
        <w:tc>
          <w:tcPr>
            <w:tcW w:w="0" w:type="auto"/>
            <w:vAlign w:val="center"/>
          </w:tcPr>
          <w:p w:rsidR="00024C0A" w:rsidRDefault="00694C0F">
            <w:pPr>
              <w:pStyle w:val="TableBodyText"/>
            </w:pPr>
            <w:r>
              <w:rPr>
                <w:rStyle w:val="InlineCode"/>
              </w:rPr>
              <w:t>4</w:t>
            </w:r>
          </w:p>
        </w:tc>
        <w:tc>
          <w:tcPr>
            <w:tcW w:w="0" w:type="auto"/>
            <w:vAlign w:val="center"/>
          </w:tcPr>
          <w:p w:rsidR="00024C0A" w:rsidRDefault="00694C0F">
            <w:pPr>
              <w:pStyle w:val="TableBodyText"/>
            </w:pPr>
            <w:r>
              <w:t>European 30/360. The European method for adjust</w:t>
            </w:r>
            <w:r>
              <w:t>ing day counts. If the dates are equal, the difference of days is 0. Assumes that each month has 30 days and the total number of days in the year is 360; any day-of-month (in date1, date2, or both) with a value of 31 is changed to 30. Note that February da</w:t>
            </w:r>
            <w:r>
              <w:t xml:space="preserve">tes are </w:t>
            </w:r>
            <w:r>
              <w:rPr>
                <w:i/>
              </w:rPr>
              <w:t xml:space="preserve">never </w:t>
            </w:r>
            <w:r>
              <w:t>changed, because there is no February 31.</w:t>
            </w:r>
          </w:p>
        </w:tc>
      </w:tr>
    </w:tbl>
    <w:p w:rsidR="00024C0A" w:rsidRDefault="00024C0A"/>
    <w:p w:rsidR="00024C0A" w:rsidRDefault="00694C0F">
      <w:pPr>
        <w:pStyle w:val="Definition-Field"/>
      </w:pPr>
      <w:r>
        <w:t xml:space="preserve">b.   </w:t>
      </w:r>
      <w:r>
        <w:rPr>
          <w:i/>
        </w:rPr>
        <w:t>The standard describes day basis value of 2 (actual/360).</w:t>
      </w:r>
    </w:p>
    <w:p w:rsidR="00024C0A" w:rsidRDefault="00694C0F">
      <w:pPr>
        <w:pStyle w:val="Definition-Field2"/>
      </w:pPr>
      <w:r>
        <w:t>Office only uses day basis values of 0, 1, 3 or 4.</w:t>
      </w:r>
    </w:p>
    <w:p w:rsidR="00024C0A" w:rsidRDefault="00694C0F">
      <w:pPr>
        <w:pStyle w:val="Heading3"/>
      </w:pPr>
      <w:bookmarkStart w:id="1771" w:name="section_98cfb234d00a4cfc899757d8f282dd28"/>
      <w:bookmarkStart w:id="1772" w:name="_Toc12260946"/>
      <w:r>
        <w:t>Part 1 Section 18.17.7.8, AMORLINC</w:t>
      </w:r>
      <w:bookmarkEnd w:id="1771"/>
      <w:bookmarkEnd w:id="1772"/>
      <w:r>
        <w:fldChar w:fldCharType="begin"/>
      </w:r>
      <w:r>
        <w:instrText xml:space="preserve"> XE "AMORLINC" </w:instrText>
      </w:r>
      <w:r>
        <w:fldChar w:fldCharType="end"/>
      </w:r>
    </w:p>
    <w:p w:rsidR="00024C0A" w:rsidRDefault="00694C0F">
      <w:pPr>
        <w:pStyle w:val="Definition-Field"/>
      </w:pPr>
      <w:r>
        <w:t xml:space="preserve">a.   </w:t>
      </w:r>
      <w:r>
        <w:rPr>
          <w:i/>
        </w:rPr>
        <w:t xml:space="preserve">The standard does not </w:t>
      </w:r>
      <w:r>
        <w:rPr>
          <w:i/>
        </w:rPr>
        <w:t>specify day and month adjustments for the basis argument.</w:t>
      </w:r>
    </w:p>
    <w:p w:rsidR="00024C0A" w:rsidRDefault="00694C0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Value</w:t>
            </w:r>
          </w:p>
        </w:tc>
        <w:tc>
          <w:tcPr>
            <w:tcW w:w="0" w:type="auto"/>
            <w:vAlign w:val="center"/>
          </w:tcPr>
          <w:p w:rsidR="00024C0A" w:rsidRDefault="00694C0F">
            <w:pPr>
              <w:pStyle w:val="TableHeaderText"/>
            </w:pPr>
            <w:r>
              <w:t>Day Count Basis</w:t>
            </w:r>
          </w:p>
        </w:tc>
      </w:tr>
      <w:tr w:rsidR="00024C0A" w:rsidTr="00024C0A">
        <w:tc>
          <w:tcPr>
            <w:tcW w:w="0" w:type="auto"/>
            <w:vAlign w:val="center"/>
          </w:tcPr>
          <w:p w:rsidR="00024C0A" w:rsidRDefault="00694C0F">
            <w:pPr>
              <w:pStyle w:val="TableBodyText"/>
            </w:pPr>
            <w:r>
              <w:rPr>
                <w:rStyle w:val="InlineCode"/>
              </w:rPr>
              <w:t>0</w:t>
            </w:r>
            <w:r>
              <w:t xml:space="preserve"> or omitted</w:t>
            </w:r>
          </w:p>
        </w:tc>
        <w:tc>
          <w:tcPr>
            <w:tcW w:w="0" w:type="auto"/>
            <w:vAlign w:val="center"/>
          </w:tcPr>
          <w:p w:rsidR="00024C0A" w:rsidRDefault="00694C0F">
            <w:pPr>
              <w:pStyle w:val="TableBodyText"/>
            </w:pPr>
            <w:r>
              <w:t xml:space="preserve">US (NASD) 30/360. If the dates are equal, the difference </w:t>
            </w:r>
            <w:r>
              <w:t>of days is 0. Assumes that each month has 30 days and the total number of days in the year is 360 by making the following adjustments:</w:t>
            </w:r>
          </w:p>
          <w:p w:rsidR="00024C0A" w:rsidRDefault="00694C0F">
            <w:pPr>
              <w:pStyle w:val="TableBodyText"/>
            </w:pPr>
            <w:r>
              <w:t>If both day-of-months are 31, they are changed to 30</w:t>
            </w:r>
          </w:p>
          <w:p w:rsidR="00024C0A" w:rsidRDefault="00694C0F">
            <w:pPr>
              <w:pStyle w:val="TableBodyText"/>
            </w:pPr>
            <w:r>
              <w:t>Otherwise, if date1’s day-of-month is 31, it is changed to 30</w:t>
            </w:r>
          </w:p>
          <w:p w:rsidR="00024C0A" w:rsidRDefault="00694C0F">
            <w:pPr>
              <w:pStyle w:val="TableBodyText"/>
            </w:pPr>
            <w:r>
              <w:t>Otherw</w:t>
            </w:r>
            <w:r>
              <w:t>ise, if date1’s day-of-month is 30 and date2’s day-of-month is 31, date2’s day-of-month is changed to 30 (note that date2’s day-of-month will stay 31 if date1’s day &lt; 30)</w:t>
            </w:r>
          </w:p>
          <w:p w:rsidR="00024C0A" w:rsidRDefault="00694C0F">
            <w:pPr>
              <w:pStyle w:val="TableBodyText"/>
            </w:pPr>
            <w:r>
              <w:t>Otherwise, if both dates are the last day of February in their respective years, both</w:t>
            </w:r>
            <w:r>
              <w:t xml:space="preserve"> day-of-month is changed to 30</w:t>
            </w:r>
          </w:p>
          <w:p w:rsidR="00024C0A" w:rsidRDefault="00694C0F">
            <w:pPr>
              <w:pStyle w:val="TableBodyText"/>
            </w:pPr>
            <w:r>
              <w:t>Otherwise, if date1 is the last day of February, its day-of-month is changed to 30</w:t>
            </w:r>
          </w:p>
        </w:tc>
      </w:tr>
      <w:tr w:rsidR="00024C0A" w:rsidTr="00024C0A">
        <w:tc>
          <w:tcPr>
            <w:tcW w:w="0" w:type="auto"/>
            <w:vAlign w:val="center"/>
          </w:tcPr>
          <w:p w:rsidR="00024C0A" w:rsidRDefault="00694C0F">
            <w:pPr>
              <w:pStyle w:val="TableBodyText"/>
            </w:pPr>
            <w:r>
              <w:rPr>
                <w:rStyle w:val="InlineCode"/>
              </w:rPr>
              <w:t>1</w:t>
            </w:r>
          </w:p>
        </w:tc>
        <w:tc>
          <w:tcPr>
            <w:tcW w:w="0" w:type="auto"/>
            <w:vAlign w:val="center"/>
          </w:tcPr>
          <w:p w:rsidR="00024C0A" w:rsidRDefault="00694C0F">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24C0A" w:rsidRDefault="00024C0A">
            <w:pPr>
              <w:pStyle w:val="TableBodyText"/>
            </w:pPr>
          </w:p>
          <w:p w:rsidR="00024C0A" w:rsidRDefault="00694C0F">
            <w:pPr>
              <w:pStyle w:val="TableBodyText"/>
            </w:pPr>
            <w:r>
              <w:t>To det</w:t>
            </w:r>
            <w:r>
              <w:t>ermine if date1 and date2 are “less than or equal to a year apart” for purposes of this algorithm, one of these conditions must be true:</w:t>
            </w:r>
          </w:p>
          <w:p w:rsidR="00024C0A" w:rsidRDefault="00694C0F">
            <w:pPr>
              <w:pStyle w:val="ListParagraph"/>
              <w:numPr>
                <w:ilvl w:val="0"/>
                <w:numId w:val="78"/>
              </w:numPr>
            </w:pPr>
            <w:r>
              <w:t>The two dates have the same year</w:t>
            </w:r>
          </w:p>
          <w:p w:rsidR="00024C0A" w:rsidRDefault="00694C0F">
            <w:pPr>
              <w:pStyle w:val="ListParagraph"/>
              <w:numPr>
                <w:ilvl w:val="0"/>
                <w:numId w:val="79"/>
              </w:numPr>
            </w:pPr>
            <w:r>
              <w:t>Date2’s year is exactly one more than date1’s year, and ((date1.month &gt; date2.month) o</w:t>
            </w:r>
            <w:r>
              <w:t>r ((date1.month == date2.month) and (date1.day &gt;= date2.day)))</w:t>
            </w:r>
          </w:p>
        </w:tc>
      </w:tr>
      <w:tr w:rsidR="00024C0A" w:rsidTr="00024C0A">
        <w:tc>
          <w:tcPr>
            <w:tcW w:w="0" w:type="auto"/>
            <w:vAlign w:val="center"/>
          </w:tcPr>
          <w:p w:rsidR="00024C0A" w:rsidRDefault="00694C0F">
            <w:pPr>
              <w:pStyle w:val="TableBodyText"/>
            </w:pPr>
            <w:r>
              <w:rPr>
                <w:rStyle w:val="InlineCode"/>
              </w:rPr>
              <w:t>2</w:t>
            </w:r>
          </w:p>
        </w:tc>
        <w:tc>
          <w:tcPr>
            <w:tcW w:w="0" w:type="auto"/>
            <w:vAlign w:val="center"/>
          </w:tcPr>
          <w:p w:rsidR="00024C0A" w:rsidRDefault="00694C0F">
            <w:pPr>
              <w:pStyle w:val="TableBodyText"/>
            </w:pPr>
            <w:r>
              <w:t xml:space="preserve">Actual/360. Computes the actual difference in days, and presumes there are always 360 days per </w:t>
            </w:r>
            <w:r>
              <w:lastRenderedPageBreak/>
              <w:t>year.</w:t>
            </w:r>
          </w:p>
        </w:tc>
      </w:tr>
      <w:tr w:rsidR="00024C0A" w:rsidTr="00024C0A">
        <w:tc>
          <w:tcPr>
            <w:tcW w:w="0" w:type="auto"/>
            <w:vAlign w:val="center"/>
          </w:tcPr>
          <w:p w:rsidR="00024C0A" w:rsidRDefault="00694C0F">
            <w:pPr>
              <w:pStyle w:val="TableBodyText"/>
            </w:pPr>
            <w:r>
              <w:rPr>
                <w:rStyle w:val="InlineCode"/>
              </w:rPr>
              <w:lastRenderedPageBreak/>
              <w:t>3</w:t>
            </w:r>
          </w:p>
        </w:tc>
        <w:tc>
          <w:tcPr>
            <w:tcW w:w="0" w:type="auto"/>
            <w:vAlign w:val="center"/>
          </w:tcPr>
          <w:p w:rsidR="00024C0A" w:rsidRDefault="00694C0F">
            <w:pPr>
              <w:pStyle w:val="TableBodyText"/>
            </w:pPr>
            <w:r>
              <w:t xml:space="preserve">Actual/365. Computes the actual difference in days, and presumes there are always 365 </w:t>
            </w:r>
            <w:r>
              <w:t>days per year.</w:t>
            </w:r>
          </w:p>
        </w:tc>
      </w:tr>
      <w:tr w:rsidR="00024C0A" w:rsidTr="00024C0A">
        <w:tc>
          <w:tcPr>
            <w:tcW w:w="0" w:type="auto"/>
            <w:vAlign w:val="center"/>
          </w:tcPr>
          <w:p w:rsidR="00024C0A" w:rsidRDefault="00694C0F">
            <w:pPr>
              <w:pStyle w:val="TableBodyText"/>
            </w:pPr>
            <w:r>
              <w:rPr>
                <w:rStyle w:val="InlineCode"/>
              </w:rPr>
              <w:t>4</w:t>
            </w:r>
          </w:p>
        </w:tc>
        <w:tc>
          <w:tcPr>
            <w:tcW w:w="0" w:type="auto"/>
            <w:vAlign w:val="center"/>
          </w:tcPr>
          <w:p w:rsidR="00024C0A" w:rsidRDefault="00694C0F">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024C0A" w:rsidRDefault="00024C0A"/>
    <w:p w:rsidR="00024C0A" w:rsidRDefault="00694C0F">
      <w:pPr>
        <w:pStyle w:val="Definition-Field"/>
      </w:pPr>
      <w:r>
        <w:t xml:space="preserve">b.   </w:t>
      </w:r>
      <w:r>
        <w:rPr>
          <w:i/>
        </w:rPr>
        <w:t>The standard describes day basis value of 2 (actual/360).</w:t>
      </w:r>
    </w:p>
    <w:p w:rsidR="00024C0A" w:rsidRDefault="00694C0F">
      <w:pPr>
        <w:pStyle w:val="Definition-Field2"/>
      </w:pPr>
      <w:r>
        <w:t>Office only uses day basis values of 0, 1, 3 or 4.</w:t>
      </w:r>
    </w:p>
    <w:p w:rsidR="00024C0A" w:rsidRDefault="00694C0F">
      <w:pPr>
        <w:pStyle w:val="Heading3"/>
      </w:pPr>
      <w:bookmarkStart w:id="1773" w:name="section_336b8f05a2344e46bd4e1f94b673f6f5"/>
      <w:bookmarkStart w:id="1774" w:name="_Toc12260947"/>
      <w:r>
        <w:t>Part 1 Section 18.17.7.10, AREAS</w:t>
      </w:r>
      <w:bookmarkEnd w:id="1773"/>
      <w:bookmarkEnd w:id="1774"/>
      <w:r>
        <w:fldChar w:fldCharType="begin"/>
      </w:r>
      <w:r>
        <w:instrText xml:space="preserve"> XE "</w:instrText>
      </w:r>
      <w:r>
        <w:instrText xml:space="preserve">AREAS" </w:instrText>
      </w:r>
      <w:r>
        <w:fldChar w:fldCharType="end"/>
      </w:r>
    </w:p>
    <w:p w:rsidR="00024C0A" w:rsidRDefault="00694C0F">
      <w:pPr>
        <w:pStyle w:val="Definition-Field"/>
      </w:pPr>
      <w:r>
        <w:t xml:space="preserve">a.   </w:t>
      </w:r>
      <w:r>
        <w:rPr>
          <w:i/>
        </w:rPr>
        <w:t>The standard states if the reference designates no areas, #NUM! is returned.</w:t>
      </w:r>
    </w:p>
    <w:p w:rsidR="00024C0A" w:rsidRDefault="00694C0F">
      <w:pPr>
        <w:pStyle w:val="Definition-Field2"/>
      </w:pPr>
      <w:r>
        <w:t>Office returns #NULL! if the reference designates no areas.</w:t>
      </w:r>
    </w:p>
    <w:p w:rsidR="00024C0A" w:rsidRDefault="00694C0F">
      <w:pPr>
        <w:pStyle w:val="Heading3"/>
      </w:pPr>
      <w:bookmarkStart w:id="1775" w:name="section_55c9ba7b44644f9a99cc7fbeda431238"/>
      <w:bookmarkStart w:id="1776" w:name="_Toc12260948"/>
      <w:r>
        <w:t>Part 1 Section 18.17.7.12, ASIN</w:t>
      </w:r>
      <w:bookmarkEnd w:id="1775"/>
      <w:bookmarkEnd w:id="1776"/>
      <w:r>
        <w:fldChar w:fldCharType="begin"/>
      </w:r>
      <w:r>
        <w:instrText xml:space="preserve"> XE "ASIN" </w:instrText>
      </w:r>
      <w:r>
        <w:fldChar w:fldCharType="end"/>
      </w:r>
    </w:p>
    <w:p w:rsidR="00024C0A" w:rsidRDefault="00694C0F">
      <w:pPr>
        <w:pStyle w:val="Definition-Field"/>
      </w:pPr>
      <w:r>
        <w:t xml:space="preserve">a.   </w:t>
      </w:r>
      <w:r>
        <w:rPr>
          <w:i/>
        </w:rPr>
        <w:t xml:space="preserve">The standard does not specify the unit of the return </w:t>
      </w:r>
      <w:r>
        <w:rPr>
          <w:i/>
        </w:rPr>
        <w:t>value.</w:t>
      </w:r>
    </w:p>
    <w:p w:rsidR="00024C0A" w:rsidRDefault="00694C0F">
      <w:pPr>
        <w:pStyle w:val="Definition-Field2"/>
      </w:pPr>
      <w:r>
        <w:t>Office calculates arc sine of x, in radians.</w:t>
      </w:r>
    </w:p>
    <w:p w:rsidR="00024C0A" w:rsidRDefault="00694C0F">
      <w:pPr>
        <w:pStyle w:val="Heading3"/>
      </w:pPr>
      <w:bookmarkStart w:id="1777" w:name="section_d07bdd52dae64d1c829af210f455c857"/>
      <w:bookmarkStart w:id="1778" w:name="_Toc12260949"/>
      <w:r>
        <w:t>Part 1 Section 18.17.7.13, ASINH</w:t>
      </w:r>
      <w:bookmarkEnd w:id="1777"/>
      <w:bookmarkEnd w:id="1778"/>
      <w:r>
        <w:fldChar w:fldCharType="begin"/>
      </w:r>
      <w:r>
        <w:instrText xml:space="preserve"> XE "ASINH" </w:instrText>
      </w:r>
      <w:r>
        <w:fldChar w:fldCharType="end"/>
      </w:r>
    </w:p>
    <w:p w:rsidR="00024C0A" w:rsidRDefault="00694C0F">
      <w:pPr>
        <w:pStyle w:val="Definition-Field"/>
      </w:pPr>
      <w:r>
        <w:t xml:space="preserve">a.   </w:t>
      </w:r>
      <w:r>
        <w:rPr>
          <w:i/>
        </w:rPr>
        <w:t>The standard states that ASINH computes the inverse hyperbolic cosine of x.</w:t>
      </w:r>
    </w:p>
    <w:p w:rsidR="00024C0A" w:rsidRDefault="00694C0F">
      <w:pPr>
        <w:pStyle w:val="Definition-Field2"/>
      </w:pPr>
      <w:r>
        <w:t>Office computes ASINH as the inverse hyperbolic sine of x.</w:t>
      </w:r>
    </w:p>
    <w:p w:rsidR="00024C0A" w:rsidRDefault="00694C0F">
      <w:pPr>
        <w:pStyle w:val="Heading3"/>
      </w:pPr>
      <w:bookmarkStart w:id="1779" w:name="section_170ad2311e1048408355f52ca577c938"/>
      <w:bookmarkStart w:id="1780" w:name="_Toc12260950"/>
      <w:r>
        <w:t>Part 1 Section 18</w:t>
      </w:r>
      <w:r>
        <w:t>.17.7.14, ATAN</w:t>
      </w:r>
      <w:bookmarkEnd w:id="1779"/>
      <w:bookmarkEnd w:id="1780"/>
      <w:r>
        <w:fldChar w:fldCharType="begin"/>
      </w:r>
      <w:r>
        <w:instrText xml:space="preserve"> XE "ATAN" </w:instrText>
      </w:r>
      <w:r>
        <w:fldChar w:fldCharType="end"/>
      </w:r>
    </w:p>
    <w:p w:rsidR="00024C0A" w:rsidRDefault="00694C0F">
      <w:pPr>
        <w:pStyle w:val="Definition-Field"/>
      </w:pPr>
      <w:r>
        <w:t xml:space="preserve">a.   </w:t>
      </w:r>
      <w:r>
        <w:rPr>
          <w:i/>
        </w:rPr>
        <w:t>The standard does not specify the unit of the return value.</w:t>
      </w:r>
    </w:p>
    <w:p w:rsidR="00024C0A" w:rsidRDefault="00694C0F">
      <w:pPr>
        <w:pStyle w:val="Definition-Field2"/>
      </w:pPr>
      <w:r>
        <w:t>Office calculates arc tangent of x, in radians.</w:t>
      </w:r>
    </w:p>
    <w:p w:rsidR="00024C0A" w:rsidRDefault="00694C0F">
      <w:pPr>
        <w:pStyle w:val="Heading3"/>
      </w:pPr>
      <w:bookmarkStart w:id="1781" w:name="section_ddf1af4005c3432881aa629658ddfbde"/>
      <w:bookmarkStart w:id="1782" w:name="_Toc12260951"/>
      <w:r>
        <w:t>Part 1 Section 18.17.7.15, ATAN2</w:t>
      </w:r>
      <w:bookmarkEnd w:id="1781"/>
      <w:bookmarkEnd w:id="1782"/>
      <w:r>
        <w:fldChar w:fldCharType="begin"/>
      </w:r>
      <w:r>
        <w:instrText xml:space="preserve"> XE "ATAN2" </w:instrText>
      </w:r>
      <w:r>
        <w:fldChar w:fldCharType="end"/>
      </w:r>
    </w:p>
    <w:p w:rsidR="00024C0A" w:rsidRDefault="00694C0F">
      <w:pPr>
        <w:pStyle w:val="Definition-Field"/>
      </w:pPr>
      <w:r>
        <w:t xml:space="preserve">a.   </w:t>
      </w:r>
      <w:r>
        <w:rPr>
          <w:i/>
        </w:rPr>
        <w:t>The standard states that the return value of the function is th</w:t>
      </w:r>
      <w:r>
        <w:rPr>
          <w:i/>
        </w:rPr>
        <w:t>e arc tangent of x.</w:t>
      </w:r>
    </w:p>
    <w:p w:rsidR="00024C0A" w:rsidRDefault="00694C0F">
      <w:r>
        <w:t>In Office, the return value of the function is the arc tangent of two arguments determined by the point (x, y); that is, the angle in the Cartesian plane formed by the positive x-axis and the vector from (0,0) to the point (x, y); the r</w:t>
      </w:r>
      <w:r>
        <w:t>esult is constrained to be in the half-open interval (-π,π].   This function is useful in converting from rectangular coordinates (x, y) to polar coordinates (r,θ), with the angle θ being returned by this function, in radians.</w:t>
      </w:r>
    </w:p>
    <w:p w:rsidR="00024C0A" w:rsidRDefault="00694C0F">
      <w:r>
        <w:t>Mathematical Formula:</w:t>
      </w:r>
    </w:p>
    <w:p w:rsidR="00024C0A" w:rsidRDefault="00694C0F">
      <w:r>
        <w:t>If x&gt; 0</w:t>
      </w:r>
      <w:r>
        <w:t xml:space="preserve"> (in the 1st or 4th quadrant or on the positive x -axis), then ATAN2(x,y) =arctan(y/x);</w:t>
      </w:r>
    </w:p>
    <w:p w:rsidR="00024C0A" w:rsidRDefault="00694C0F">
      <w:r>
        <w:t>If x&lt; 0 and y≥ 0 (in the 2nd quadrant or on the negative x -axis), then ATAN2(x,y) =arctan(y/x) + π;</w:t>
      </w:r>
    </w:p>
    <w:p w:rsidR="00024C0A" w:rsidRDefault="00694C0F">
      <w:r>
        <w:t>If x&lt; 0 and y&lt; 0 (in the 3rd quadrant), then ATAN2(x,y) =arctan(y/x</w:t>
      </w:r>
      <w:r>
        <w:t>) - π;</w:t>
      </w:r>
    </w:p>
    <w:p w:rsidR="00024C0A" w:rsidRDefault="00694C0F">
      <w:r>
        <w:lastRenderedPageBreak/>
        <w:t xml:space="preserve">If x = 0 and y≠ 0 (on the y -axis excluding the origin), then ATAN2(x,y) =(π/2)*sgn(y), </w:t>
      </w:r>
    </w:p>
    <w:p w:rsidR="00024C0A" w:rsidRDefault="00694C0F">
      <w:r>
        <w:t>In the preceding formulas, arctan is the principal value of inverse tangent function, whose range is the interval (-π/2,π/2), and sgn(y) returns one of the valu</w:t>
      </w:r>
      <w:r>
        <w:t>es -1, 0, or +1 according as y is negative, zero, or positive.</w:t>
      </w:r>
    </w:p>
    <w:p w:rsidR="00024C0A" w:rsidRDefault="00694C0F">
      <w:pPr>
        <w:pStyle w:val="Heading3"/>
      </w:pPr>
      <w:bookmarkStart w:id="1783" w:name="section_87e066baf82f46a8b339df874e598d8b"/>
      <w:bookmarkStart w:id="1784" w:name="_Toc12260952"/>
      <w:r>
        <w:t>Part 1 Section 18.17.7.17, AVEDEV</w:t>
      </w:r>
      <w:bookmarkEnd w:id="1783"/>
      <w:bookmarkEnd w:id="1784"/>
      <w:r>
        <w:fldChar w:fldCharType="begin"/>
      </w:r>
      <w:r>
        <w:instrText xml:space="preserve"> XE "AVEDEV" </w:instrText>
      </w:r>
      <w:r>
        <w:fldChar w:fldCharType="end"/>
      </w:r>
    </w:p>
    <w:p w:rsidR="00024C0A" w:rsidRDefault="00694C0F">
      <w:pPr>
        <w:pStyle w:val="Definition-Field"/>
      </w:pPr>
      <w:r>
        <w:t xml:space="preserve">a.   </w:t>
      </w:r>
      <w:r>
        <w:rPr>
          <w:i/>
        </w:rPr>
        <w:t>The standard specifies the mathematical formula for AVEDEV to be C(n,k) = P(k,n)/k!=n!/(k!(n-k)!).</w:t>
      </w:r>
    </w:p>
    <w:p w:rsidR="00024C0A" w:rsidRDefault="00694C0F">
      <w:pPr>
        <w:pStyle w:val="Definition-Field2"/>
      </w:pPr>
      <w:r>
        <w:t>Office uses the mathematical formula: (1</w:t>
      </w:r>
      <w:r>
        <w:t>/n) ∑|x - x-bar| and maps n to the size of the data set, x to a value from the data set, and x-bar as the AVERAGE(argument-list).</w:t>
      </w:r>
    </w:p>
    <w:p w:rsidR="00024C0A" w:rsidRDefault="00694C0F">
      <w:pPr>
        <w:pStyle w:val="Heading3"/>
      </w:pPr>
      <w:bookmarkStart w:id="1785" w:name="section_5a181518d30945439a4ab4b2742e7e3e"/>
      <w:bookmarkStart w:id="1786" w:name="_Toc12260953"/>
      <w:r>
        <w:t>Part 1 Section 18.17.7.19, AVERAGEA</w:t>
      </w:r>
      <w:bookmarkEnd w:id="1785"/>
      <w:bookmarkEnd w:id="1786"/>
      <w:r>
        <w:fldChar w:fldCharType="begin"/>
      </w:r>
      <w:r>
        <w:instrText xml:space="preserve"> XE "AVERAGEA" </w:instrText>
      </w:r>
      <w:r>
        <w:fldChar w:fldCharType="end"/>
      </w:r>
    </w:p>
    <w:p w:rsidR="00024C0A" w:rsidRDefault="00694C0F">
      <w:pPr>
        <w:pStyle w:val="Definition-Field"/>
      </w:pPr>
      <w:r>
        <w:t xml:space="preserve">a.   </w:t>
      </w:r>
      <w:r>
        <w:rPr>
          <w:i/>
        </w:rPr>
        <w:t>The standard states if an argument in argument-list is an array or r</w:t>
      </w:r>
      <w:r>
        <w:rPr>
          <w:i/>
        </w:rPr>
        <w:t>eference, only values in that array or reference are used.</w:t>
      </w:r>
    </w:p>
    <w:p w:rsidR="00024C0A" w:rsidRDefault="00694C0F">
      <w:pPr>
        <w:pStyle w:val="Definition-Field2"/>
      </w:pPr>
      <w:r>
        <w:t>In Office, if an argument in argument-list is an array or reference, numeric values in that array or reference are included, and text values are included but treated as 0.</w:t>
      </w:r>
    </w:p>
    <w:p w:rsidR="00024C0A" w:rsidRDefault="00694C0F">
      <w:pPr>
        <w:pStyle w:val="Heading3"/>
      </w:pPr>
      <w:bookmarkStart w:id="1787" w:name="section_f1017281c95349629dde313dfc64d4c9"/>
      <w:bookmarkStart w:id="1788" w:name="_Toc12260954"/>
      <w:r>
        <w:t>Part 1 Section 18.17.7.20</w:t>
      </w:r>
      <w:r>
        <w:t>, AVERAGEIF</w:t>
      </w:r>
      <w:bookmarkEnd w:id="1787"/>
      <w:bookmarkEnd w:id="1788"/>
      <w:r>
        <w:fldChar w:fldCharType="begin"/>
      </w:r>
      <w:r>
        <w:instrText xml:space="preserve"> XE "AVERAGEIF" </w:instrText>
      </w:r>
      <w:r>
        <w:fldChar w:fldCharType="end"/>
      </w:r>
    </w:p>
    <w:p w:rsidR="00024C0A" w:rsidRDefault="00694C0F">
      <w:pPr>
        <w:pStyle w:val="Definition-Field"/>
      </w:pPr>
      <w:r>
        <w:t xml:space="preserve">a.   </w:t>
      </w:r>
      <w:r>
        <w:rPr>
          <w:i/>
        </w:rPr>
        <w:t>The standard does not describe error case when all the cells being averaged in average-range (or in cell-range if average-range is omitted) are empty or contain non-numeric data.</w:t>
      </w:r>
    </w:p>
    <w:p w:rsidR="00024C0A" w:rsidRDefault="00694C0F">
      <w:pPr>
        <w:pStyle w:val="Definition-Field2"/>
      </w:pPr>
      <w:r>
        <w:t>Office returns #DIV/0! in this case.</w:t>
      </w:r>
    </w:p>
    <w:p w:rsidR="00024C0A" w:rsidRDefault="00694C0F">
      <w:pPr>
        <w:pStyle w:val="Heading3"/>
      </w:pPr>
      <w:bookmarkStart w:id="1789" w:name="section_fa2b6805c3cd4386866483d1635cd18e"/>
      <w:bookmarkStart w:id="1790" w:name="_Toc12260955"/>
      <w:r>
        <w:t>Part 1 Section 18.17.7.21, AVERAGEIFS</w:t>
      </w:r>
      <w:bookmarkEnd w:id="1789"/>
      <w:bookmarkEnd w:id="1790"/>
      <w:r>
        <w:fldChar w:fldCharType="begin"/>
      </w:r>
      <w:r>
        <w:instrText xml:space="preserve"> XE "AVERAGEIFS" </w:instrText>
      </w:r>
      <w:r>
        <w:fldChar w:fldCharType="end"/>
      </w:r>
    </w:p>
    <w:p w:rsidR="00024C0A" w:rsidRDefault="00694C0F">
      <w:pPr>
        <w:pStyle w:val="Definition-Field"/>
      </w:pPr>
      <w:r>
        <w:t xml:space="preserve">a.   </w:t>
      </w:r>
      <w:r>
        <w:rPr>
          <w:i/>
        </w:rPr>
        <w:t>The standard indicates the Average-range need not have the same size and shape as cell-range-1 through cell-range-n.</w:t>
      </w:r>
    </w:p>
    <w:p w:rsidR="00024C0A" w:rsidRDefault="00694C0F">
      <w:pPr>
        <w:pStyle w:val="Definition-Field2"/>
      </w:pPr>
      <w:r>
        <w:t xml:space="preserve">Office requires each cell-range-1 through cell-range-n to have the same size </w:t>
      </w:r>
      <w:r>
        <w:t>and shape as the average-range.</w:t>
      </w:r>
    </w:p>
    <w:p w:rsidR="00024C0A" w:rsidRDefault="00694C0F">
      <w:pPr>
        <w:pStyle w:val="Definition-Field"/>
      </w:pPr>
      <w:r>
        <w:t xml:space="preserve">b.   </w:t>
      </w:r>
      <w:r>
        <w:rPr>
          <w:i/>
        </w:rPr>
        <w:t>The standard states that argument cell-range-n is of type number, expression, reference, or text; while argument selection-criteria-n is of type reference or text.</w:t>
      </w:r>
    </w:p>
    <w:p w:rsidR="00024C0A" w:rsidRDefault="00694C0F">
      <w:pPr>
        <w:pStyle w:val="Definition-Field2"/>
      </w:pPr>
      <w:r>
        <w:t xml:space="preserve">In Office, argument cell-range-n can be of type </w:t>
      </w:r>
      <w:r>
        <w:t>reference and argument selection-criteria-n can be of type number, expression, reference, or text.</w:t>
      </w:r>
    </w:p>
    <w:p w:rsidR="00024C0A" w:rsidRDefault="00694C0F">
      <w:pPr>
        <w:pStyle w:val="Heading3"/>
      </w:pPr>
      <w:bookmarkStart w:id="1791" w:name="section_70f9e4b103cb4ed981b041d3f00b784a"/>
      <w:bookmarkStart w:id="1792" w:name="_Toc12260956"/>
      <w:r>
        <w:t>Part 1 Section 18.17.7.23, BESSELI</w:t>
      </w:r>
      <w:bookmarkEnd w:id="1791"/>
      <w:bookmarkEnd w:id="1792"/>
      <w:r>
        <w:fldChar w:fldCharType="begin"/>
      </w:r>
      <w:r>
        <w:instrText xml:space="preserve"> XE "BESSELI" </w:instrText>
      </w:r>
      <w:r>
        <w:fldChar w:fldCharType="end"/>
      </w:r>
    </w:p>
    <w:p w:rsidR="00024C0A" w:rsidRDefault="00694C0F">
      <w:pPr>
        <w:pStyle w:val="Definition-Field"/>
      </w:pPr>
      <w:r>
        <w:t xml:space="preserve">a.   </w:t>
      </w:r>
      <w:r>
        <w:rPr>
          <w:i/>
        </w:rPr>
        <w:t>The standard does not specify how function arguments map to formula variables.</w:t>
      </w:r>
    </w:p>
    <w:p w:rsidR="00024C0A" w:rsidRDefault="00694C0F">
      <w:pPr>
        <w:pStyle w:val="Definition-Field2"/>
      </w:pPr>
      <w:r>
        <w:t>Office maps x to argum</w:t>
      </w:r>
      <w:r>
        <w:t>ent x and n to argument n.</w:t>
      </w:r>
    </w:p>
    <w:p w:rsidR="00024C0A" w:rsidRDefault="00694C0F">
      <w:pPr>
        <w:pStyle w:val="Heading3"/>
      </w:pPr>
      <w:bookmarkStart w:id="1793" w:name="section_cba98ecda06642cd986df3c9e3fd1065"/>
      <w:bookmarkStart w:id="1794" w:name="_Toc12260957"/>
      <w:r>
        <w:t>Part 1 Section 18.17.7.24, BESSELJ</w:t>
      </w:r>
      <w:bookmarkEnd w:id="1793"/>
      <w:bookmarkEnd w:id="1794"/>
      <w:r>
        <w:fldChar w:fldCharType="begin"/>
      </w:r>
      <w:r>
        <w:instrText xml:space="preserve"> XE "BESSELJ" </w:instrText>
      </w:r>
      <w:r>
        <w:fldChar w:fldCharType="end"/>
      </w:r>
    </w:p>
    <w:p w:rsidR="00024C0A" w:rsidRDefault="00694C0F">
      <w:pPr>
        <w:pStyle w:val="Definition-Field"/>
      </w:pPr>
      <w:r>
        <w:t xml:space="preserve">a.   </w:t>
      </w:r>
      <w:r>
        <w:rPr>
          <w:i/>
        </w:rPr>
        <w:t>The standard does not specify how function arguments map to formula variables.</w:t>
      </w:r>
    </w:p>
    <w:p w:rsidR="00024C0A" w:rsidRDefault="00694C0F">
      <w:pPr>
        <w:pStyle w:val="Definition-Field2"/>
      </w:pPr>
      <w:r>
        <w:t>Office maps x to argument x and n to argument n.</w:t>
      </w:r>
    </w:p>
    <w:p w:rsidR="00024C0A" w:rsidRDefault="00694C0F">
      <w:pPr>
        <w:pStyle w:val="Heading3"/>
      </w:pPr>
      <w:bookmarkStart w:id="1795" w:name="section_509516a4b37541f59aee9361ecba272e"/>
      <w:bookmarkStart w:id="1796" w:name="_Toc12260958"/>
      <w:r>
        <w:lastRenderedPageBreak/>
        <w:t>Part 1 Section 18.17.7.25, BESSELK</w:t>
      </w:r>
      <w:bookmarkEnd w:id="1795"/>
      <w:bookmarkEnd w:id="1796"/>
      <w:r>
        <w:fldChar w:fldCharType="begin"/>
      </w:r>
      <w:r>
        <w:instrText xml:space="preserve"> XE "BESSEL</w:instrText>
      </w:r>
      <w:r>
        <w:instrText xml:space="preserve">K" </w:instrText>
      </w:r>
      <w:r>
        <w:fldChar w:fldCharType="end"/>
      </w:r>
    </w:p>
    <w:p w:rsidR="00024C0A" w:rsidRDefault="00694C0F">
      <w:pPr>
        <w:pStyle w:val="Definition-Field"/>
      </w:pPr>
      <w:r>
        <w:t xml:space="preserve">a.   </w:t>
      </w:r>
      <w:r>
        <w:rPr>
          <w:i/>
        </w:rPr>
        <w:t>The standard uses the mathematical formula: K_n (x)= (p/2) i^(n+1) [ J_n (ix)+iY_n (ix) ], and does not say how function arguments map to formula variables.</w:t>
      </w:r>
    </w:p>
    <w:p w:rsidR="00024C0A" w:rsidRDefault="00694C0F">
      <w:pPr>
        <w:pStyle w:val="Definition-Field2"/>
      </w:pPr>
      <w:r>
        <w:t>Office uses the mathematical formula K_n (x)= (π/2) i^(n+1) [ J_n (ix)+iY_n (ix) ] and m</w:t>
      </w:r>
      <w:r>
        <w:t>aps Jn to the J Bessel function, Yn to the Y Bessel function, n to argument n, and x to argument x.</w:t>
      </w:r>
    </w:p>
    <w:p w:rsidR="00024C0A" w:rsidRDefault="00694C0F">
      <w:pPr>
        <w:pStyle w:val="Heading3"/>
      </w:pPr>
      <w:bookmarkStart w:id="1797" w:name="section_29abcd8bb4a4493eb205654196e8be98"/>
      <w:bookmarkStart w:id="1798" w:name="_Toc12260959"/>
      <w:r>
        <w:t>Part 1 Section 18.17.7.26, BESSELY</w:t>
      </w:r>
      <w:bookmarkEnd w:id="1797"/>
      <w:bookmarkEnd w:id="1798"/>
      <w:r>
        <w:fldChar w:fldCharType="begin"/>
      </w:r>
      <w:r>
        <w:instrText xml:space="preserve"> XE "BESSELY" </w:instrText>
      </w:r>
      <w:r>
        <w:fldChar w:fldCharType="end"/>
      </w:r>
    </w:p>
    <w:p w:rsidR="00024C0A" w:rsidRDefault="00694C0F">
      <w:pPr>
        <w:pStyle w:val="Definition-Field"/>
      </w:pPr>
      <w:r>
        <w:t xml:space="preserve">a.   </w:t>
      </w:r>
      <w:r>
        <w:rPr>
          <w:i/>
        </w:rPr>
        <w:t>The standard does not specify how function arguments map to formula variables.</w:t>
      </w:r>
    </w:p>
    <w:p w:rsidR="00024C0A" w:rsidRDefault="00694C0F">
      <w:pPr>
        <w:pStyle w:val="Definition-Field2"/>
      </w:pPr>
      <w:r>
        <w:t>Office maps n to argu</w:t>
      </w:r>
      <w:r>
        <w:t>ment n and x to argument x.</w:t>
      </w:r>
    </w:p>
    <w:p w:rsidR="00024C0A" w:rsidRDefault="00694C0F">
      <w:pPr>
        <w:pStyle w:val="Heading3"/>
      </w:pPr>
      <w:bookmarkStart w:id="1799" w:name="section_bd7ec0e8c2c84ca7a9d3866ff5d30380"/>
      <w:bookmarkStart w:id="1800" w:name="_Toc12260960"/>
      <w:r>
        <w:t>Part 1 Section 18.17.7.28, BETAINV</w:t>
      </w:r>
      <w:bookmarkEnd w:id="1799"/>
      <w:bookmarkEnd w:id="1800"/>
      <w:r>
        <w:fldChar w:fldCharType="begin"/>
      </w:r>
      <w:r>
        <w:instrText xml:space="preserve"> XE "BETAINV" </w:instrText>
      </w:r>
      <w:r>
        <w:fldChar w:fldCharType="end"/>
      </w:r>
    </w:p>
    <w:p w:rsidR="00024C0A" w:rsidRDefault="00694C0F">
      <w:pPr>
        <w:pStyle w:val="Definition-Field"/>
      </w:pPr>
      <w:r>
        <w:t xml:space="preserve">a.   </w:t>
      </w:r>
      <w:r>
        <w:rPr>
          <w:i/>
        </w:rPr>
        <w:t>The standard states that if probability &lt; 0 or probability &gt; 1, #NUM! is returned.</w:t>
      </w:r>
    </w:p>
    <w:p w:rsidR="00024C0A" w:rsidRDefault="00694C0F">
      <w:pPr>
        <w:pStyle w:val="Definition-Field2"/>
      </w:pPr>
      <w:r>
        <w:t>Office returns #NUM! if probability &lt;= 0 or probability &gt;= 1.</w:t>
      </w:r>
    </w:p>
    <w:p w:rsidR="00024C0A" w:rsidRDefault="00694C0F">
      <w:pPr>
        <w:pStyle w:val="Definition-Field"/>
      </w:pPr>
      <w:r>
        <w:t xml:space="preserve">b.   </w:t>
      </w:r>
      <w:r>
        <w:rPr>
          <w:i/>
        </w:rPr>
        <w:t xml:space="preserve">The standard does not </w:t>
      </w:r>
      <w:r>
        <w:rPr>
          <w:i/>
        </w:rPr>
        <w:t>place a restriction on the relationship between argument A and argument B.</w:t>
      </w:r>
    </w:p>
    <w:p w:rsidR="00024C0A" w:rsidRDefault="00694C0F">
      <w:pPr>
        <w:pStyle w:val="Definition-Field2"/>
      </w:pPr>
      <w:r>
        <w:t>Office returns #NUM! if argument A is greater than or equal to argument B.</w:t>
      </w:r>
    </w:p>
    <w:p w:rsidR="00024C0A" w:rsidRDefault="00694C0F">
      <w:pPr>
        <w:pStyle w:val="Definition-Field"/>
      </w:pPr>
      <w:r>
        <w:t xml:space="preserve">c.   </w:t>
      </w:r>
      <w:r>
        <w:rPr>
          <w:i/>
        </w:rPr>
        <w:t>The standard specifies that BETAINV uses an iterative search technique.</w:t>
      </w:r>
    </w:p>
    <w:p w:rsidR="00024C0A" w:rsidRDefault="00694C0F">
      <w:pPr>
        <w:pStyle w:val="Definition-Field2"/>
      </w:pPr>
      <w:r>
        <w:t>Office does not require an it</w:t>
      </w:r>
      <w:r>
        <w:t>erative search technique to be used.</w:t>
      </w:r>
    </w:p>
    <w:p w:rsidR="00024C0A" w:rsidRDefault="00694C0F">
      <w:pPr>
        <w:pStyle w:val="Heading3"/>
      </w:pPr>
      <w:bookmarkStart w:id="1801" w:name="section_10bf48e80594494d914363d48d91036b"/>
      <w:bookmarkStart w:id="1802" w:name="_Toc12260961"/>
      <w:r>
        <w:t>Part 1 Section 18.17.7.29, BIN2DEC</w:t>
      </w:r>
      <w:bookmarkEnd w:id="1801"/>
      <w:bookmarkEnd w:id="1802"/>
      <w:r>
        <w:fldChar w:fldCharType="begin"/>
      </w:r>
      <w:r>
        <w:instrText xml:space="preserve"> XE "BIN2DEC" </w:instrText>
      </w:r>
      <w:r>
        <w:fldChar w:fldCharType="end"/>
      </w:r>
    </w:p>
    <w:p w:rsidR="00024C0A" w:rsidRDefault="00694C0F">
      <w:pPr>
        <w:pStyle w:val="Definition-Field"/>
      </w:pPr>
      <w:r>
        <w:t xml:space="preserve">a.   </w:t>
      </w:r>
      <w:r>
        <w:rPr>
          <w:i/>
        </w:rPr>
        <w:t>The standard states that the number argument is a 10-digit binary number that is to be converted to a decimal string.</w:t>
      </w:r>
    </w:p>
    <w:p w:rsidR="00024C0A" w:rsidRDefault="00694C0F">
      <w:pPr>
        <w:pStyle w:val="Definition-Field2"/>
      </w:pPr>
      <w:r>
        <w:t>Office treats the number argument as a 10-dig</w:t>
      </w:r>
      <w:r>
        <w:t>it binary number that is to be converted to a decimal number.</w:t>
      </w:r>
    </w:p>
    <w:p w:rsidR="00024C0A" w:rsidRDefault="00694C0F">
      <w:pPr>
        <w:pStyle w:val="Heading3"/>
      </w:pPr>
      <w:bookmarkStart w:id="1803" w:name="section_7e24f68ff81d4fa3852f9c7fe2152ea9"/>
      <w:bookmarkStart w:id="1804" w:name="_Toc12260962"/>
      <w:r>
        <w:t>Part 1 Section 18.17.7.33, CEILING</w:t>
      </w:r>
      <w:bookmarkEnd w:id="1803"/>
      <w:bookmarkEnd w:id="1804"/>
      <w:r>
        <w:fldChar w:fldCharType="begin"/>
      </w:r>
      <w:r>
        <w:instrText xml:space="preserve"> XE "CEILING" </w:instrText>
      </w:r>
      <w:r>
        <w:fldChar w:fldCharType="end"/>
      </w:r>
    </w:p>
    <w:p w:rsidR="00024C0A" w:rsidRDefault="00694C0F">
      <w:pPr>
        <w:pStyle w:val="Definition-Field"/>
      </w:pPr>
      <w:r>
        <w:t xml:space="preserve">a.   </w:t>
      </w:r>
      <w:r>
        <w:rPr>
          <w:i/>
        </w:rPr>
        <w:t>The standard states that If x is negative, and significance is positive, then the value is rounded up toward zero.</w:t>
      </w:r>
    </w:p>
    <w:p w:rsidR="00024C0A" w:rsidRDefault="00694C0F">
      <w:pPr>
        <w:pStyle w:val="Definition-Field2"/>
      </w:pPr>
      <w:r>
        <w:t>Office returns #NUM! if</w:t>
      </w:r>
      <w:r>
        <w:t xml:space="preserve"> x and significance have different signs.</w:t>
      </w:r>
    </w:p>
    <w:p w:rsidR="00024C0A" w:rsidRDefault="00694C0F">
      <w:pPr>
        <w:pStyle w:val="Heading3"/>
      </w:pPr>
      <w:bookmarkStart w:id="1805" w:name="section_286f442f1e6b427da03b5aefc05bd879"/>
      <w:bookmarkStart w:id="1806" w:name="_Toc12260963"/>
      <w:r>
        <w:t>Part 1 Section 18.17.7.34, CELL</w:t>
      </w:r>
      <w:bookmarkEnd w:id="1805"/>
      <w:bookmarkEnd w:id="1806"/>
      <w:r>
        <w:fldChar w:fldCharType="begin"/>
      </w:r>
      <w:r>
        <w:instrText xml:space="preserve"> XE "CELL" </w:instrText>
      </w:r>
      <w:r>
        <w:fldChar w:fldCharType="end"/>
      </w:r>
    </w:p>
    <w:p w:rsidR="00024C0A" w:rsidRDefault="00694C0F">
      <w:pPr>
        <w:pStyle w:val="Definition-Field"/>
      </w:pPr>
      <w:r>
        <w:t xml:space="preserve">a.   </w:t>
      </w:r>
      <w:r>
        <w:rPr>
          <w:i/>
        </w:rPr>
        <w:t>The standard does not specify locale specific strings for argument category.</w:t>
      </w:r>
    </w:p>
    <w:p w:rsidR="00024C0A" w:rsidRDefault="00694C0F">
      <w:r>
        <w:t>In Excel, if the SpreadsheetML is intended to be used in certain non-English locales, t</w:t>
      </w:r>
      <w:r>
        <w:t>he category string can be the English value shown in the standard, or the translation shown in the following tables. Locales not specified in the following tables shall only use the English versions of the category string.</w:t>
      </w:r>
    </w:p>
    <w:p w:rsidR="00024C0A" w:rsidRDefault="00694C0F">
      <w:r>
        <w:t xml:space="preserve">[Note: Using translated versions </w:t>
      </w:r>
      <w:r>
        <w:t>of the category string is strongly discouraged, as spreadsheet applications might not support these translations. end note]</w:t>
      </w:r>
    </w:p>
    <w:tbl>
      <w:tblPr>
        <w:tblStyle w:val="Table-ShadedHeader"/>
        <w:tblW w:w="0" w:type="auto"/>
        <w:tblLook w:val="04A0" w:firstRow="1" w:lastRow="0" w:firstColumn="1" w:lastColumn="0" w:noHBand="0" w:noVBand="1"/>
      </w:tblPr>
      <w:tblGrid>
        <w:gridCol w:w="1040"/>
        <w:gridCol w:w="1055"/>
        <w:gridCol w:w="979"/>
        <w:gridCol w:w="821"/>
        <w:gridCol w:w="1241"/>
        <w:gridCol w:w="1250"/>
        <w:gridCol w:w="1582"/>
        <w:gridCol w:w="89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lastRenderedPageBreak/>
              <w:t>Locale</w:t>
            </w:r>
          </w:p>
        </w:tc>
        <w:tc>
          <w:tcPr>
            <w:tcW w:w="0" w:type="auto"/>
            <w:vAlign w:val="center"/>
          </w:tcPr>
          <w:p w:rsidR="00024C0A" w:rsidRDefault="00694C0F">
            <w:pPr>
              <w:pStyle w:val="TableHeaderText"/>
            </w:pPr>
            <w:r>
              <w:t>address</w:t>
            </w:r>
          </w:p>
        </w:tc>
        <w:tc>
          <w:tcPr>
            <w:tcW w:w="0" w:type="auto"/>
            <w:vAlign w:val="center"/>
          </w:tcPr>
          <w:p w:rsidR="00024C0A" w:rsidRDefault="00694C0F">
            <w:pPr>
              <w:pStyle w:val="TableHeaderText"/>
            </w:pPr>
            <w:r>
              <w:t>col</w:t>
            </w:r>
          </w:p>
        </w:tc>
        <w:tc>
          <w:tcPr>
            <w:tcW w:w="0" w:type="auto"/>
            <w:vAlign w:val="center"/>
          </w:tcPr>
          <w:p w:rsidR="00024C0A" w:rsidRDefault="00694C0F">
            <w:pPr>
              <w:pStyle w:val="TableHeaderText"/>
            </w:pPr>
            <w:r>
              <w:t>color</w:t>
            </w:r>
          </w:p>
        </w:tc>
        <w:tc>
          <w:tcPr>
            <w:tcW w:w="0" w:type="auto"/>
            <w:vAlign w:val="center"/>
          </w:tcPr>
          <w:p w:rsidR="00024C0A" w:rsidRDefault="00694C0F">
            <w:pPr>
              <w:pStyle w:val="TableHeaderText"/>
            </w:pPr>
            <w:r>
              <w:t>contents</w:t>
            </w:r>
          </w:p>
        </w:tc>
        <w:tc>
          <w:tcPr>
            <w:tcW w:w="0" w:type="auto"/>
            <w:vAlign w:val="center"/>
          </w:tcPr>
          <w:p w:rsidR="00024C0A" w:rsidRDefault="00694C0F">
            <w:pPr>
              <w:pStyle w:val="TableHeaderText"/>
            </w:pPr>
            <w:r>
              <w:t>coord</w:t>
            </w:r>
          </w:p>
        </w:tc>
        <w:tc>
          <w:tcPr>
            <w:tcW w:w="0" w:type="auto"/>
            <w:vAlign w:val="center"/>
          </w:tcPr>
          <w:p w:rsidR="00024C0A" w:rsidRDefault="00694C0F">
            <w:pPr>
              <w:pStyle w:val="TableHeaderText"/>
            </w:pPr>
            <w:r>
              <w:t>filename</w:t>
            </w:r>
          </w:p>
        </w:tc>
        <w:tc>
          <w:tcPr>
            <w:tcW w:w="0" w:type="auto"/>
            <w:vAlign w:val="center"/>
          </w:tcPr>
          <w:p w:rsidR="00024C0A" w:rsidRDefault="00694C0F">
            <w:pPr>
              <w:pStyle w:val="TableHeaderText"/>
            </w:pPr>
            <w:r>
              <w:t>format</w:t>
            </w:r>
          </w:p>
        </w:tc>
      </w:tr>
      <w:tr w:rsidR="00024C0A" w:rsidTr="00024C0A">
        <w:tc>
          <w:tcPr>
            <w:tcW w:w="0" w:type="auto"/>
            <w:vAlign w:val="center"/>
          </w:tcPr>
          <w:p w:rsidR="00024C0A" w:rsidRDefault="00694C0F">
            <w:pPr>
              <w:pStyle w:val="TableBodyText"/>
            </w:pPr>
            <w:r>
              <w:t>az-latn-az</w:t>
            </w:r>
          </w:p>
        </w:tc>
        <w:tc>
          <w:tcPr>
            <w:tcW w:w="0" w:type="auto"/>
            <w:vAlign w:val="center"/>
          </w:tcPr>
          <w:p w:rsidR="00024C0A" w:rsidRDefault="00694C0F">
            <w:pPr>
              <w:pStyle w:val="TableBodyText"/>
            </w:pPr>
            <w:r>
              <w:t>ünvan</w:t>
            </w:r>
          </w:p>
        </w:tc>
        <w:tc>
          <w:tcPr>
            <w:tcW w:w="0" w:type="auto"/>
            <w:vAlign w:val="center"/>
          </w:tcPr>
          <w:p w:rsidR="00024C0A" w:rsidRDefault="00694C0F">
            <w:pPr>
              <w:pStyle w:val="TableBodyText"/>
            </w:pPr>
            <w:r>
              <w:t>col</w:t>
            </w:r>
          </w:p>
        </w:tc>
        <w:tc>
          <w:tcPr>
            <w:tcW w:w="0" w:type="auto"/>
            <w:vAlign w:val="center"/>
          </w:tcPr>
          <w:p w:rsidR="00024C0A" w:rsidRDefault="00694C0F">
            <w:pPr>
              <w:pStyle w:val="TableBodyText"/>
            </w:pPr>
            <w:r>
              <w:t>rəng</w:t>
            </w:r>
          </w:p>
        </w:tc>
        <w:tc>
          <w:tcPr>
            <w:tcW w:w="0" w:type="auto"/>
            <w:vAlign w:val="center"/>
          </w:tcPr>
          <w:p w:rsidR="00024C0A" w:rsidRDefault="00694C0F">
            <w:pPr>
              <w:pStyle w:val="TableBodyText"/>
            </w:pPr>
            <w:r>
              <w:t>mündəricat</w:t>
            </w:r>
          </w:p>
        </w:tc>
        <w:tc>
          <w:tcPr>
            <w:tcW w:w="0" w:type="auto"/>
            <w:vAlign w:val="center"/>
          </w:tcPr>
          <w:p w:rsidR="00024C0A" w:rsidRDefault="00694C0F">
            <w:pPr>
              <w:pStyle w:val="TableBodyText"/>
            </w:pPr>
            <w:r>
              <w:t>coord</w:t>
            </w:r>
          </w:p>
        </w:tc>
        <w:tc>
          <w:tcPr>
            <w:tcW w:w="0" w:type="auto"/>
            <w:vAlign w:val="center"/>
          </w:tcPr>
          <w:p w:rsidR="00024C0A" w:rsidRDefault="00694C0F">
            <w:pPr>
              <w:pStyle w:val="TableBodyText"/>
            </w:pPr>
            <w:r>
              <w:t>fayladi</w:t>
            </w:r>
          </w:p>
        </w:tc>
        <w:tc>
          <w:tcPr>
            <w:tcW w:w="0" w:type="auto"/>
            <w:vAlign w:val="center"/>
          </w:tcPr>
          <w:p w:rsidR="00024C0A" w:rsidRDefault="00694C0F">
            <w:pPr>
              <w:pStyle w:val="TableBodyText"/>
            </w:pPr>
            <w:r>
              <w:t>format</w:t>
            </w:r>
          </w:p>
        </w:tc>
      </w:tr>
      <w:tr w:rsidR="00024C0A" w:rsidTr="00024C0A">
        <w:tc>
          <w:tcPr>
            <w:tcW w:w="0" w:type="auto"/>
            <w:vAlign w:val="center"/>
          </w:tcPr>
          <w:p w:rsidR="00024C0A" w:rsidRDefault="00694C0F">
            <w:pPr>
              <w:pStyle w:val="TableBodyText"/>
            </w:pPr>
            <w:r>
              <w:t>ca-es</w:t>
            </w:r>
          </w:p>
        </w:tc>
        <w:tc>
          <w:tcPr>
            <w:tcW w:w="0" w:type="auto"/>
            <w:vAlign w:val="center"/>
          </w:tcPr>
          <w:p w:rsidR="00024C0A" w:rsidRDefault="00694C0F">
            <w:pPr>
              <w:pStyle w:val="TableBodyText"/>
            </w:pPr>
            <w:r>
              <w:t>dirección</w:t>
            </w:r>
          </w:p>
        </w:tc>
        <w:tc>
          <w:tcPr>
            <w:tcW w:w="0" w:type="auto"/>
            <w:vAlign w:val="center"/>
          </w:tcPr>
          <w:p w:rsidR="00024C0A" w:rsidRDefault="00694C0F">
            <w:pPr>
              <w:pStyle w:val="TableBodyText"/>
            </w:pPr>
            <w:r>
              <w:t>columna</w:t>
            </w:r>
          </w:p>
        </w:tc>
        <w:tc>
          <w:tcPr>
            <w:tcW w:w="0" w:type="auto"/>
            <w:vAlign w:val="center"/>
          </w:tcPr>
          <w:p w:rsidR="00024C0A" w:rsidRDefault="00694C0F">
            <w:pPr>
              <w:pStyle w:val="TableBodyText"/>
            </w:pPr>
            <w:r>
              <w:t>color</w:t>
            </w:r>
          </w:p>
        </w:tc>
        <w:tc>
          <w:tcPr>
            <w:tcW w:w="0" w:type="auto"/>
            <w:vAlign w:val="center"/>
          </w:tcPr>
          <w:p w:rsidR="00024C0A" w:rsidRDefault="00694C0F">
            <w:pPr>
              <w:pStyle w:val="TableBodyText"/>
            </w:pPr>
            <w:r>
              <w:t>contenido</w:t>
            </w:r>
          </w:p>
        </w:tc>
        <w:tc>
          <w:tcPr>
            <w:tcW w:w="0" w:type="auto"/>
            <w:vAlign w:val="center"/>
          </w:tcPr>
          <w:p w:rsidR="00024C0A" w:rsidRDefault="00694C0F">
            <w:pPr>
              <w:pStyle w:val="TableBodyText"/>
            </w:pPr>
            <w:r>
              <w:t>coord</w:t>
            </w:r>
          </w:p>
        </w:tc>
        <w:tc>
          <w:tcPr>
            <w:tcW w:w="0" w:type="auto"/>
            <w:vAlign w:val="center"/>
          </w:tcPr>
          <w:p w:rsidR="00024C0A" w:rsidRDefault="00694C0F">
            <w:pPr>
              <w:pStyle w:val="TableBodyText"/>
            </w:pPr>
            <w:r>
              <w:t>nombrearchivo</w:t>
            </w:r>
          </w:p>
        </w:tc>
        <w:tc>
          <w:tcPr>
            <w:tcW w:w="0" w:type="auto"/>
            <w:vAlign w:val="center"/>
          </w:tcPr>
          <w:p w:rsidR="00024C0A" w:rsidRDefault="00694C0F">
            <w:pPr>
              <w:pStyle w:val="TableBodyText"/>
            </w:pPr>
            <w:r>
              <w:t>formato</w:t>
            </w:r>
          </w:p>
        </w:tc>
      </w:tr>
      <w:tr w:rsidR="00024C0A" w:rsidTr="00024C0A">
        <w:tc>
          <w:tcPr>
            <w:tcW w:w="0" w:type="auto"/>
            <w:vAlign w:val="center"/>
          </w:tcPr>
          <w:p w:rsidR="00024C0A" w:rsidRDefault="00694C0F">
            <w:pPr>
              <w:pStyle w:val="TableBodyText"/>
            </w:pPr>
            <w:r>
              <w:t>cs-cz</w:t>
            </w:r>
          </w:p>
        </w:tc>
        <w:tc>
          <w:tcPr>
            <w:tcW w:w="0" w:type="auto"/>
            <w:vAlign w:val="center"/>
          </w:tcPr>
          <w:p w:rsidR="00024C0A" w:rsidRDefault="00694C0F">
            <w:pPr>
              <w:pStyle w:val="TableBodyText"/>
            </w:pPr>
            <w:r>
              <w:t>adresa</w:t>
            </w:r>
          </w:p>
        </w:tc>
        <w:tc>
          <w:tcPr>
            <w:tcW w:w="0" w:type="auto"/>
            <w:vAlign w:val="center"/>
          </w:tcPr>
          <w:p w:rsidR="00024C0A" w:rsidRDefault="00694C0F">
            <w:pPr>
              <w:pStyle w:val="TableBodyText"/>
            </w:pPr>
            <w:r>
              <w:t>sloupec</w:t>
            </w:r>
          </w:p>
        </w:tc>
        <w:tc>
          <w:tcPr>
            <w:tcW w:w="0" w:type="auto"/>
            <w:vAlign w:val="center"/>
          </w:tcPr>
          <w:p w:rsidR="00024C0A" w:rsidRDefault="00694C0F">
            <w:pPr>
              <w:pStyle w:val="TableBodyText"/>
            </w:pPr>
            <w:r>
              <w:t>barva</w:t>
            </w:r>
          </w:p>
        </w:tc>
        <w:tc>
          <w:tcPr>
            <w:tcW w:w="0" w:type="auto"/>
            <w:vAlign w:val="center"/>
          </w:tcPr>
          <w:p w:rsidR="00024C0A" w:rsidRDefault="00694C0F">
            <w:pPr>
              <w:pStyle w:val="TableBodyText"/>
            </w:pPr>
            <w:r>
              <w:t>obsah</w:t>
            </w:r>
          </w:p>
        </w:tc>
        <w:tc>
          <w:tcPr>
            <w:tcW w:w="0" w:type="auto"/>
            <w:vAlign w:val="center"/>
          </w:tcPr>
          <w:p w:rsidR="00024C0A" w:rsidRDefault="00694C0F">
            <w:pPr>
              <w:pStyle w:val="TableBodyText"/>
            </w:pPr>
            <w:r>
              <w:t>souřadnice</w:t>
            </w:r>
          </w:p>
        </w:tc>
        <w:tc>
          <w:tcPr>
            <w:tcW w:w="0" w:type="auto"/>
            <w:vAlign w:val="center"/>
          </w:tcPr>
          <w:p w:rsidR="00024C0A" w:rsidRDefault="00694C0F">
            <w:pPr>
              <w:pStyle w:val="TableBodyText"/>
            </w:pPr>
            <w:r>
              <w:t>názevsouboru</w:t>
            </w:r>
          </w:p>
        </w:tc>
        <w:tc>
          <w:tcPr>
            <w:tcW w:w="0" w:type="auto"/>
            <w:vAlign w:val="center"/>
          </w:tcPr>
          <w:p w:rsidR="00024C0A" w:rsidRDefault="00694C0F">
            <w:pPr>
              <w:pStyle w:val="TableBodyText"/>
            </w:pPr>
            <w:r>
              <w:t>formát</w:t>
            </w:r>
          </w:p>
        </w:tc>
      </w:tr>
      <w:tr w:rsidR="00024C0A" w:rsidTr="00024C0A">
        <w:tc>
          <w:tcPr>
            <w:tcW w:w="0" w:type="auto"/>
            <w:vAlign w:val="center"/>
          </w:tcPr>
          <w:p w:rsidR="00024C0A" w:rsidRDefault="00694C0F">
            <w:pPr>
              <w:pStyle w:val="TableBodyText"/>
            </w:pPr>
            <w:r>
              <w:t>da-dk</w:t>
            </w:r>
          </w:p>
        </w:tc>
        <w:tc>
          <w:tcPr>
            <w:tcW w:w="0" w:type="auto"/>
            <w:vAlign w:val="center"/>
          </w:tcPr>
          <w:p w:rsidR="00024C0A" w:rsidRDefault="00694C0F">
            <w:pPr>
              <w:pStyle w:val="TableBodyText"/>
            </w:pPr>
            <w:r>
              <w:t>adresse</w:t>
            </w:r>
          </w:p>
        </w:tc>
        <w:tc>
          <w:tcPr>
            <w:tcW w:w="0" w:type="auto"/>
            <w:vAlign w:val="center"/>
          </w:tcPr>
          <w:p w:rsidR="00024C0A" w:rsidRDefault="00694C0F">
            <w:pPr>
              <w:pStyle w:val="TableBodyText"/>
            </w:pPr>
            <w:r>
              <w:t>kolonne</w:t>
            </w:r>
          </w:p>
        </w:tc>
        <w:tc>
          <w:tcPr>
            <w:tcW w:w="0" w:type="auto"/>
            <w:vAlign w:val="center"/>
          </w:tcPr>
          <w:p w:rsidR="00024C0A" w:rsidRDefault="00694C0F">
            <w:pPr>
              <w:pStyle w:val="TableBodyText"/>
            </w:pPr>
            <w:r>
              <w:t>farve</w:t>
            </w:r>
          </w:p>
        </w:tc>
        <w:tc>
          <w:tcPr>
            <w:tcW w:w="0" w:type="auto"/>
            <w:vAlign w:val="center"/>
          </w:tcPr>
          <w:p w:rsidR="00024C0A" w:rsidRDefault="00694C0F">
            <w:pPr>
              <w:pStyle w:val="TableBodyText"/>
            </w:pPr>
            <w:r>
              <w:t>indhold</w:t>
            </w:r>
          </w:p>
        </w:tc>
        <w:tc>
          <w:tcPr>
            <w:tcW w:w="0" w:type="auto"/>
            <w:vAlign w:val="center"/>
          </w:tcPr>
          <w:p w:rsidR="00024C0A" w:rsidRDefault="00694C0F">
            <w:pPr>
              <w:pStyle w:val="TableBodyText"/>
            </w:pPr>
            <w:r>
              <w:t>koord</w:t>
            </w:r>
          </w:p>
        </w:tc>
        <w:tc>
          <w:tcPr>
            <w:tcW w:w="0" w:type="auto"/>
            <w:vAlign w:val="center"/>
          </w:tcPr>
          <w:p w:rsidR="00024C0A" w:rsidRDefault="00694C0F">
            <w:pPr>
              <w:pStyle w:val="TableBodyText"/>
            </w:pPr>
            <w:r>
              <w:t>filnavn</w:t>
            </w:r>
          </w:p>
        </w:tc>
        <w:tc>
          <w:tcPr>
            <w:tcW w:w="0" w:type="auto"/>
            <w:vAlign w:val="center"/>
          </w:tcPr>
          <w:p w:rsidR="00024C0A" w:rsidRDefault="00694C0F">
            <w:pPr>
              <w:pStyle w:val="TableBodyText"/>
            </w:pPr>
            <w:r>
              <w:t>format</w:t>
            </w:r>
          </w:p>
        </w:tc>
      </w:tr>
      <w:tr w:rsidR="00024C0A" w:rsidTr="00024C0A">
        <w:tc>
          <w:tcPr>
            <w:tcW w:w="0" w:type="auto"/>
            <w:vAlign w:val="center"/>
          </w:tcPr>
          <w:p w:rsidR="00024C0A" w:rsidRDefault="00694C0F">
            <w:pPr>
              <w:pStyle w:val="TableBodyText"/>
            </w:pPr>
            <w:r>
              <w:t>de-de</w:t>
            </w:r>
          </w:p>
        </w:tc>
        <w:tc>
          <w:tcPr>
            <w:tcW w:w="0" w:type="auto"/>
            <w:vAlign w:val="center"/>
          </w:tcPr>
          <w:p w:rsidR="00024C0A" w:rsidRDefault="00694C0F">
            <w:pPr>
              <w:pStyle w:val="TableBodyText"/>
            </w:pPr>
            <w:r>
              <w:t>adresse</w:t>
            </w:r>
          </w:p>
        </w:tc>
        <w:tc>
          <w:tcPr>
            <w:tcW w:w="0" w:type="auto"/>
            <w:vAlign w:val="center"/>
          </w:tcPr>
          <w:p w:rsidR="00024C0A" w:rsidRDefault="00694C0F">
            <w:pPr>
              <w:pStyle w:val="TableBodyText"/>
            </w:pPr>
            <w:r>
              <w:t>spalte</w:t>
            </w:r>
          </w:p>
        </w:tc>
        <w:tc>
          <w:tcPr>
            <w:tcW w:w="0" w:type="auto"/>
            <w:vAlign w:val="center"/>
          </w:tcPr>
          <w:p w:rsidR="00024C0A" w:rsidRDefault="00694C0F">
            <w:pPr>
              <w:pStyle w:val="TableBodyText"/>
            </w:pPr>
            <w:r>
              <w:t>farbe</w:t>
            </w:r>
          </w:p>
        </w:tc>
        <w:tc>
          <w:tcPr>
            <w:tcW w:w="0" w:type="auto"/>
            <w:vAlign w:val="center"/>
          </w:tcPr>
          <w:p w:rsidR="00024C0A" w:rsidRDefault="00694C0F">
            <w:pPr>
              <w:pStyle w:val="TableBodyText"/>
            </w:pPr>
            <w:r>
              <w:t>inhalt</w:t>
            </w:r>
          </w:p>
        </w:tc>
        <w:tc>
          <w:tcPr>
            <w:tcW w:w="0" w:type="auto"/>
            <w:vAlign w:val="center"/>
          </w:tcPr>
          <w:p w:rsidR="00024C0A" w:rsidRDefault="00694C0F">
            <w:pPr>
              <w:pStyle w:val="TableBodyText"/>
            </w:pPr>
            <w:r>
              <w:t>koord</w:t>
            </w:r>
          </w:p>
        </w:tc>
        <w:tc>
          <w:tcPr>
            <w:tcW w:w="0" w:type="auto"/>
            <w:vAlign w:val="center"/>
          </w:tcPr>
          <w:p w:rsidR="00024C0A" w:rsidRDefault="00694C0F">
            <w:pPr>
              <w:pStyle w:val="TableBodyText"/>
            </w:pPr>
            <w:r>
              <w:t>dateiname</w:t>
            </w:r>
          </w:p>
        </w:tc>
        <w:tc>
          <w:tcPr>
            <w:tcW w:w="0" w:type="auto"/>
            <w:vAlign w:val="center"/>
          </w:tcPr>
          <w:p w:rsidR="00024C0A" w:rsidRDefault="00694C0F">
            <w:pPr>
              <w:pStyle w:val="TableBodyText"/>
            </w:pPr>
            <w:r>
              <w:t>format</w:t>
            </w:r>
          </w:p>
        </w:tc>
      </w:tr>
      <w:tr w:rsidR="00024C0A" w:rsidTr="00024C0A">
        <w:tc>
          <w:tcPr>
            <w:tcW w:w="0" w:type="auto"/>
            <w:vAlign w:val="center"/>
          </w:tcPr>
          <w:p w:rsidR="00024C0A" w:rsidRDefault="00694C0F">
            <w:pPr>
              <w:pStyle w:val="TableBodyText"/>
            </w:pPr>
            <w:r>
              <w:t>es-es</w:t>
            </w:r>
          </w:p>
        </w:tc>
        <w:tc>
          <w:tcPr>
            <w:tcW w:w="0" w:type="auto"/>
            <w:vAlign w:val="center"/>
          </w:tcPr>
          <w:p w:rsidR="00024C0A" w:rsidRDefault="00694C0F">
            <w:pPr>
              <w:pStyle w:val="TableBodyText"/>
            </w:pPr>
            <w:r>
              <w:t>direccion</w:t>
            </w:r>
          </w:p>
        </w:tc>
        <w:tc>
          <w:tcPr>
            <w:tcW w:w="0" w:type="auto"/>
            <w:vAlign w:val="center"/>
          </w:tcPr>
          <w:p w:rsidR="00024C0A" w:rsidRDefault="00694C0F">
            <w:pPr>
              <w:pStyle w:val="TableBodyText"/>
            </w:pPr>
            <w:r>
              <w:t>columna</w:t>
            </w:r>
          </w:p>
        </w:tc>
        <w:tc>
          <w:tcPr>
            <w:tcW w:w="0" w:type="auto"/>
            <w:vAlign w:val="center"/>
          </w:tcPr>
          <w:p w:rsidR="00024C0A" w:rsidRDefault="00694C0F">
            <w:pPr>
              <w:pStyle w:val="TableBodyText"/>
            </w:pPr>
            <w:r>
              <w:t>color</w:t>
            </w:r>
          </w:p>
        </w:tc>
        <w:tc>
          <w:tcPr>
            <w:tcW w:w="0" w:type="auto"/>
            <w:vAlign w:val="center"/>
          </w:tcPr>
          <w:p w:rsidR="00024C0A" w:rsidRDefault="00694C0F">
            <w:pPr>
              <w:pStyle w:val="TableBodyText"/>
            </w:pPr>
            <w:r>
              <w:t>contenido</w:t>
            </w:r>
          </w:p>
        </w:tc>
        <w:tc>
          <w:tcPr>
            <w:tcW w:w="0" w:type="auto"/>
            <w:vAlign w:val="center"/>
          </w:tcPr>
          <w:p w:rsidR="00024C0A" w:rsidRDefault="00694C0F">
            <w:pPr>
              <w:pStyle w:val="TableBodyText"/>
            </w:pPr>
            <w:r>
              <w:t>coord</w:t>
            </w:r>
          </w:p>
        </w:tc>
        <w:tc>
          <w:tcPr>
            <w:tcW w:w="0" w:type="auto"/>
            <w:vAlign w:val="center"/>
          </w:tcPr>
          <w:p w:rsidR="00024C0A" w:rsidRDefault="00694C0F">
            <w:pPr>
              <w:pStyle w:val="TableBodyText"/>
            </w:pPr>
            <w:r>
              <w:t>nombrearchivo</w:t>
            </w:r>
          </w:p>
        </w:tc>
        <w:tc>
          <w:tcPr>
            <w:tcW w:w="0" w:type="auto"/>
            <w:vAlign w:val="center"/>
          </w:tcPr>
          <w:p w:rsidR="00024C0A" w:rsidRDefault="00694C0F">
            <w:pPr>
              <w:pStyle w:val="TableBodyText"/>
            </w:pPr>
            <w:r>
              <w:t>formato</w:t>
            </w:r>
          </w:p>
        </w:tc>
      </w:tr>
      <w:tr w:rsidR="00024C0A" w:rsidTr="00024C0A">
        <w:tc>
          <w:tcPr>
            <w:tcW w:w="0" w:type="auto"/>
            <w:vAlign w:val="center"/>
          </w:tcPr>
          <w:p w:rsidR="00024C0A" w:rsidRDefault="00694C0F">
            <w:pPr>
              <w:pStyle w:val="TableBodyText"/>
            </w:pPr>
            <w:r>
              <w:t>et-ee</w:t>
            </w:r>
          </w:p>
        </w:tc>
        <w:tc>
          <w:tcPr>
            <w:tcW w:w="0" w:type="auto"/>
            <w:vAlign w:val="center"/>
          </w:tcPr>
          <w:p w:rsidR="00024C0A" w:rsidRDefault="00694C0F">
            <w:pPr>
              <w:pStyle w:val="TableBodyText"/>
            </w:pPr>
            <w:r>
              <w:t>aadress</w:t>
            </w:r>
          </w:p>
        </w:tc>
        <w:tc>
          <w:tcPr>
            <w:tcW w:w="0" w:type="auto"/>
            <w:vAlign w:val="center"/>
          </w:tcPr>
          <w:p w:rsidR="00024C0A" w:rsidRDefault="00694C0F">
            <w:pPr>
              <w:pStyle w:val="TableBodyText"/>
            </w:pPr>
            <w:r>
              <w:t>veerg</w:t>
            </w:r>
          </w:p>
        </w:tc>
        <w:tc>
          <w:tcPr>
            <w:tcW w:w="0" w:type="auto"/>
            <w:vAlign w:val="center"/>
          </w:tcPr>
          <w:p w:rsidR="00024C0A" w:rsidRDefault="00694C0F">
            <w:pPr>
              <w:pStyle w:val="TableBodyText"/>
            </w:pPr>
            <w:r>
              <w:t>värv</w:t>
            </w:r>
          </w:p>
        </w:tc>
        <w:tc>
          <w:tcPr>
            <w:tcW w:w="0" w:type="auto"/>
            <w:vAlign w:val="center"/>
          </w:tcPr>
          <w:p w:rsidR="00024C0A" w:rsidRDefault="00694C0F">
            <w:pPr>
              <w:pStyle w:val="TableBodyText"/>
            </w:pPr>
            <w:r>
              <w:t>sisukord</w:t>
            </w:r>
          </w:p>
        </w:tc>
        <w:tc>
          <w:tcPr>
            <w:tcW w:w="0" w:type="auto"/>
            <w:vAlign w:val="center"/>
          </w:tcPr>
          <w:p w:rsidR="00024C0A" w:rsidRDefault="00694C0F">
            <w:pPr>
              <w:pStyle w:val="TableBodyText"/>
            </w:pPr>
            <w:r>
              <w:t>Koordinatt</w:t>
            </w:r>
          </w:p>
        </w:tc>
        <w:tc>
          <w:tcPr>
            <w:tcW w:w="0" w:type="auto"/>
            <w:vAlign w:val="center"/>
          </w:tcPr>
          <w:p w:rsidR="00024C0A" w:rsidRDefault="00694C0F">
            <w:pPr>
              <w:pStyle w:val="TableBodyText"/>
            </w:pPr>
            <w:r>
              <w:t>failinimi</w:t>
            </w:r>
          </w:p>
        </w:tc>
        <w:tc>
          <w:tcPr>
            <w:tcW w:w="0" w:type="auto"/>
            <w:vAlign w:val="center"/>
          </w:tcPr>
          <w:p w:rsidR="00024C0A" w:rsidRDefault="00694C0F">
            <w:pPr>
              <w:pStyle w:val="TableBodyText"/>
            </w:pPr>
            <w:r>
              <w:t>vorming</w:t>
            </w:r>
          </w:p>
        </w:tc>
      </w:tr>
      <w:tr w:rsidR="00024C0A" w:rsidTr="00024C0A">
        <w:tc>
          <w:tcPr>
            <w:tcW w:w="0" w:type="auto"/>
            <w:vAlign w:val="center"/>
          </w:tcPr>
          <w:p w:rsidR="00024C0A" w:rsidRDefault="00694C0F">
            <w:pPr>
              <w:pStyle w:val="TableBodyText"/>
            </w:pPr>
            <w:r>
              <w:t>fi-fi</w:t>
            </w:r>
          </w:p>
        </w:tc>
        <w:tc>
          <w:tcPr>
            <w:tcW w:w="0" w:type="auto"/>
            <w:vAlign w:val="center"/>
          </w:tcPr>
          <w:p w:rsidR="00024C0A" w:rsidRDefault="00694C0F">
            <w:pPr>
              <w:pStyle w:val="TableBodyText"/>
            </w:pPr>
            <w:r>
              <w:t>osoite</w:t>
            </w:r>
          </w:p>
        </w:tc>
        <w:tc>
          <w:tcPr>
            <w:tcW w:w="0" w:type="auto"/>
            <w:vAlign w:val="center"/>
          </w:tcPr>
          <w:p w:rsidR="00024C0A" w:rsidRDefault="00694C0F">
            <w:pPr>
              <w:pStyle w:val="TableBodyText"/>
            </w:pPr>
            <w:r>
              <w:t>sarake</w:t>
            </w:r>
          </w:p>
        </w:tc>
        <w:tc>
          <w:tcPr>
            <w:tcW w:w="0" w:type="auto"/>
            <w:vAlign w:val="center"/>
          </w:tcPr>
          <w:p w:rsidR="00024C0A" w:rsidRDefault="00694C0F">
            <w:pPr>
              <w:pStyle w:val="TableBodyText"/>
            </w:pPr>
            <w:r>
              <w:t>väri</w:t>
            </w:r>
          </w:p>
        </w:tc>
        <w:tc>
          <w:tcPr>
            <w:tcW w:w="0" w:type="auto"/>
            <w:vAlign w:val="center"/>
          </w:tcPr>
          <w:p w:rsidR="00024C0A" w:rsidRDefault="00694C0F">
            <w:pPr>
              <w:pStyle w:val="TableBodyText"/>
            </w:pPr>
            <w:r>
              <w:t>sisältö</w:t>
            </w:r>
          </w:p>
        </w:tc>
        <w:tc>
          <w:tcPr>
            <w:tcW w:w="0" w:type="auto"/>
            <w:vAlign w:val="center"/>
          </w:tcPr>
          <w:p w:rsidR="00024C0A" w:rsidRDefault="00694C0F">
            <w:pPr>
              <w:pStyle w:val="TableBodyText"/>
            </w:pPr>
            <w:r>
              <w:t>koord</w:t>
            </w:r>
          </w:p>
        </w:tc>
        <w:tc>
          <w:tcPr>
            <w:tcW w:w="0" w:type="auto"/>
            <w:vAlign w:val="center"/>
          </w:tcPr>
          <w:p w:rsidR="00024C0A" w:rsidRDefault="00694C0F">
            <w:pPr>
              <w:pStyle w:val="TableBodyText"/>
            </w:pPr>
            <w:r>
              <w:t>tiedostonnimi</w:t>
            </w:r>
          </w:p>
        </w:tc>
        <w:tc>
          <w:tcPr>
            <w:tcW w:w="0" w:type="auto"/>
            <w:vAlign w:val="center"/>
          </w:tcPr>
          <w:p w:rsidR="00024C0A" w:rsidRDefault="00694C0F">
            <w:pPr>
              <w:pStyle w:val="TableBodyText"/>
            </w:pPr>
            <w:r>
              <w:t>muoto</w:t>
            </w:r>
          </w:p>
        </w:tc>
      </w:tr>
      <w:tr w:rsidR="00024C0A" w:rsidTr="00024C0A">
        <w:tc>
          <w:tcPr>
            <w:tcW w:w="0" w:type="auto"/>
            <w:vAlign w:val="center"/>
          </w:tcPr>
          <w:p w:rsidR="00024C0A" w:rsidRDefault="00694C0F">
            <w:pPr>
              <w:pStyle w:val="TableBodyText"/>
            </w:pPr>
            <w:r>
              <w:t>fr-fr</w:t>
            </w:r>
          </w:p>
        </w:tc>
        <w:tc>
          <w:tcPr>
            <w:tcW w:w="0" w:type="auto"/>
            <w:vAlign w:val="center"/>
          </w:tcPr>
          <w:p w:rsidR="00024C0A" w:rsidRDefault="00694C0F">
            <w:pPr>
              <w:pStyle w:val="TableBodyText"/>
            </w:pPr>
            <w:r>
              <w:t>adresse</w:t>
            </w:r>
          </w:p>
        </w:tc>
        <w:tc>
          <w:tcPr>
            <w:tcW w:w="0" w:type="auto"/>
            <w:vAlign w:val="center"/>
          </w:tcPr>
          <w:p w:rsidR="00024C0A" w:rsidRDefault="00694C0F">
            <w:pPr>
              <w:pStyle w:val="TableBodyText"/>
            </w:pPr>
            <w:r>
              <w:t>colonne</w:t>
            </w:r>
          </w:p>
        </w:tc>
        <w:tc>
          <w:tcPr>
            <w:tcW w:w="0" w:type="auto"/>
            <w:vAlign w:val="center"/>
          </w:tcPr>
          <w:p w:rsidR="00024C0A" w:rsidRDefault="00694C0F">
            <w:pPr>
              <w:pStyle w:val="TableBodyText"/>
            </w:pPr>
            <w:r>
              <w:t>couleur</w:t>
            </w:r>
          </w:p>
        </w:tc>
        <w:tc>
          <w:tcPr>
            <w:tcW w:w="0" w:type="auto"/>
            <w:vAlign w:val="center"/>
          </w:tcPr>
          <w:p w:rsidR="00024C0A" w:rsidRDefault="00694C0F">
            <w:pPr>
              <w:pStyle w:val="TableBodyText"/>
            </w:pPr>
            <w:r>
              <w:t>contenu</w:t>
            </w:r>
          </w:p>
        </w:tc>
        <w:tc>
          <w:tcPr>
            <w:tcW w:w="0" w:type="auto"/>
            <w:vAlign w:val="center"/>
          </w:tcPr>
          <w:p w:rsidR="00024C0A" w:rsidRDefault="00694C0F">
            <w:pPr>
              <w:pStyle w:val="TableBodyText"/>
            </w:pPr>
            <w:r>
              <w:t>coordonnees</w:t>
            </w:r>
          </w:p>
        </w:tc>
        <w:tc>
          <w:tcPr>
            <w:tcW w:w="0" w:type="auto"/>
            <w:vAlign w:val="center"/>
          </w:tcPr>
          <w:p w:rsidR="00024C0A" w:rsidRDefault="00694C0F">
            <w:pPr>
              <w:pStyle w:val="TableBodyText"/>
            </w:pPr>
            <w:r>
              <w:t>nomfichier</w:t>
            </w:r>
          </w:p>
        </w:tc>
        <w:tc>
          <w:tcPr>
            <w:tcW w:w="0" w:type="auto"/>
            <w:vAlign w:val="center"/>
          </w:tcPr>
          <w:p w:rsidR="00024C0A" w:rsidRDefault="00694C0F">
            <w:pPr>
              <w:pStyle w:val="TableBodyText"/>
            </w:pPr>
            <w:r>
              <w:t>format</w:t>
            </w:r>
          </w:p>
        </w:tc>
      </w:tr>
      <w:tr w:rsidR="00024C0A" w:rsidTr="00024C0A">
        <w:tc>
          <w:tcPr>
            <w:tcW w:w="0" w:type="auto"/>
            <w:vAlign w:val="center"/>
          </w:tcPr>
          <w:p w:rsidR="00024C0A" w:rsidRDefault="00694C0F">
            <w:pPr>
              <w:pStyle w:val="TableBodyText"/>
            </w:pPr>
            <w:r>
              <w:t>hu-hu</w:t>
            </w:r>
          </w:p>
        </w:tc>
        <w:tc>
          <w:tcPr>
            <w:tcW w:w="0" w:type="auto"/>
            <w:vAlign w:val="center"/>
          </w:tcPr>
          <w:p w:rsidR="00024C0A" w:rsidRDefault="00694C0F">
            <w:pPr>
              <w:pStyle w:val="TableBodyText"/>
            </w:pPr>
            <w:r>
              <w:t>cím</w:t>
            </w:r>
          </w:p>
        </w:tc>
        <w:tc>
          <w:tcPr>
            <w:tcW w:w="0" w:type="auto"/>
            <w:vAlign w:val="center"/>
          </w:tcPr>
          <w:p w:rsidR="00024C0A" w:rsidRDefault="00694C0F">
            <w:pPr>
              <w:pStyle w:val="TableBodyText"/>
            </w:pPr>
            <w:r>
              <w:t>oszlop</w:t>
            </w:r>
          </w:p>
        </w:tc>
        <w:tc>
          <w:tcPr>
            <w:tcW w:w="0" w:type="auto"/>
            <w:vAlign w:val="center"/>
          </w:tcPr>
          <w:p w:rsidR="00024C0A" w:rsidRDefault="00694C0F">
            <w:pPr>
              <w:pStyle w:val="TableBodyText"/>
            </w:pPr>
            <w:r>
              <w:t>szín</w:t>
            </w:r>
          </w:p>
        </w:tc>
        <w:tc>
          <w:tcPr>
            <w:tcW w:w="0" w:type="auto"/>
            <w:vAlign w:val="center"/>
          </w:tcPr>
          <w:p w:rsidR="00024C0A" w:rsidRDefault="00694C0F">
            <w:pPr>
              <w:pStyle w:val="TableBodyText"/>
            </w:pPr>
            <w:r>
              <w:t>tartalom</w:t>
            </w:r>
          </w:p>
        </w:tc>
        <w:tc>
          <w:tcPr>
            <w:tcW w:w="0" w:type="auto"/>
            <w:vAlign w:val="center"/>
          </w:tcPr>
          <w:p w:rsidR="00024C0A" w:rsidRDefault="00694C0F">
            <w:pPr>
              <w:pStyle w:val="TableBodyText"/>
            </w:pPr>
            <w:r>
              <w:t>koord</w:t>
            </w:r>
          </w:p>
        </w:tc>
        <w:tc>
          <w:tcPr>
            <w:tcW w:w="0" w:type="auto"/>
            <w:vAlign w:val="center"/>
          </w:tcPr>
          <w:p w:rsidR="00024C0A" w:rsidRDefault="00694C0F">
            <w:pPr>
              <w:pStyle w:val="TableBodyText"/>
            </w:pPr>
            <w:r>
              <w:t>filenév</w:t>
            </w:r>
          </w:p>
        </w:tc>
        <w:tc>
          <w:tcPr>
            <w:tcW w:w="0" w:type="auto"/>
            <w:vAlign w:val="center"/>
          </w:tcPr>
          <w:p w:rsidR="00024C0A" w:rsidRDefault="00694C0F">
            <w:pPr>
              <w:pStyle w:val="TableBodyText"/>
            </w:pPr>
            <w:r>
              <w:t>forma</w:t>
            </w:r>
          </w:p>
        </w:tc>
      </w:tr>
      <w:tr w:rsidR="00024C0A" w:rsidTr="00024C0A">
        <w:tc>
          <w:tcPr>
            <w:tcW w:w="0" w:type="auto"/>
            <w:vAlign w:val="center"/>
          </w:tcPr>
          <w:p w:rsidR="00024C0A" w:rsidRDefault="00694C0F">
            <w:pPr>
              <w:pStyle w:val="TableBodyText"/>
            </w:pPr>
            <w:r>
              <w:t>it-it</w:t>
            </w:r>
          </w:p>
        </w:tc>
        <w:tc>
          <w:tcPr>
            <w:tcW w:w="0" w:type="auto"/>
            <w:vAlign w:val="center"/>
          </w:tcPr>
          <w:p w:rsidR="00024C0A" w:rsidRDefault="00694C0F">
            <w:pPr>
              <w:pStyle w:val="TableBodyText"/>
            </w:pPr>
            <w:r>
              <w:t>indirizzo</w:t>
            </w:r>
          </w:p>
        </w:tc>
        <w:tc>
          <w:tcPr>
            <w:tcW w:w="0" w:type="auto"/>
            <w:vAlign w:val="center"/>
          </w:tcPr>
          <w:p w:rsidR="00024C0A" w:rsidRDefault="00694C0F">
            <w:pPr>
              <w:pStyle w:val="TableBodyText"/>
            </w:pPr>
            <w:r>
              <w:t>col</w:t>
            </w:r>
          </w:p>
        </w:tc>
        <w:tc>
          <w:tcPr>
            <w:tcW w:w="0" w:type="auto"/>
            <w:vAlign w:val="center"/>
          </w:tcPr>
          <w:p w:rsidR="00024C0A" w:rsidRDefault="00694C0F">
            <w:pPr>
              <w:pStyle w:val="TableBodyText"/>
            </w:pPr>
            <w:r>
              <w:t>colore</w:t>
            </w:r>
          </w:p>
        </w:tc>
        <w:tc>
          <w:tcPr>
            <w:tcW w:w="0" w:type="auto"/>
            <w:vAlign w:val="center"/>
          </w:tcPr>
          <w:p w:rsidR="00024C0A" w:rsidRDefault="00694C0F">
            <w:pPr>
              <w:pStyle w:val="TableBodyText"/>
            </w:pPr>
            <w:r>
              <w:t>contenuto</w:t>
            </w:r>
          </w:p>
        </w:tc>
        <w:tc>
          <w:tcPr>
            <w:tcW w:w="0" w:type="auto"/>
            <w:vAlign w:val="center"/>
          </w:tcPr>
          <w:p w:rsidR="00024C0A" w:rsidRDefault="00694C0F">
            <w:pPr>
              <w:pStyle w:val="TableBodyText"/>
            </w:pPr>
            <w:r>
              <w:t>coordinate</w:t>
            </w:r>
          </w:p>
        </w:tc>
        <w:tc>
          <w:tcPr>
            <w:tcW w:w="0" w:type="auto"/>
            <w:vAlign w:val="center"/>
          </w:tcPr>
          <w:p w:rsidR="00024C0A" w:rsidRDefault="00694C0F">
            <w:pPr>
              <w:pStyle w:val="TableBodyText"/>
            </w:pPr>
            <w:r>
              <w:t>nomefile</w:t>
            </w:r>
          </w:p>
        </w:tc>
        <w:tc>
          <w:tcPr>
            <w:tcW w:w="0" w:type="auto"/>
            <w:vAlign w:val="center"/>
          </w:tcPr>
          <w:p w:rsidR="00024C0A" w:rsidRDefault="00694C0F">
            <w:pPr>
              <w:pStyle w:val="TableBodyText"/>
            </w:pPr>
            <w:r>
              <w:t>formato</w:t>
            </w:r>
          </w:p>
        </w:tc>
      </w:tr>
      <w:tr w:rsidR="00024C0A" w:rsidTr="00024C0A">
        <w:tc>
          <w:tcPr>
            <w:tcW w:w="0" w:type="auto"/>
            <w:vAlign w:val="center"/>
          </w:tcPr>
          <w:p w:rsidR="00024C0A" w:rsidRDefault="00694C0F">
            <w:pPr>
              <w:pStyle w:val="TableBodyText"/>
            </w:pPr>
            <w:r>
              <w:t>kk-kz</w:t>
            </w:r>
          </w:p>
        </w:tc>
        <w:tc>
          <w:tcPr>
            <w:tcW w:w="0" w:type="auto"/>
            <w:vAlign w:val="center"/>
          </w:tcPr>
          <w:p w:rsidR="00024C0A" w:rsidRDefault="00694C0F">
            <w:pPr>
              <w:pStyle w:val="TableBodyText"/>
            </w:pPr>
            <w:r>
              <w:t>мекенжай</w:t>
            </w:r>
          </w:p>
        </w:tc>
        <w:tc>
          <w:tcPr>
            <w:tcW w:w="0" w:type="auto"/>
            <w:vAlign w:val="center"/>
          </w:tcPr>
          <w:p w:rsidR="00024C0A" w:rsidRDefault="00694C0F">
            <w:pPr>
              <w:pStyle w:val="TableBodyText"/>
            </w:pPr>
            <w:r>
              <w:t>баған</w:t>
            </w:r>
          </w:p>
        </w:tc>
        <w:tc>
          <w:tcPr>
            <w:tcW w:w="0" w:type="auto"/>
            <w:vAlign w:val="center"/>
          </w:tcPr>
          <w:p w:rsidR="00024C0A" w:rsidRDefault="00694C0F">
            <w:pPr>
              <w:pStyle w:val="TableBodyText"/>
            </w:pPr>
            <w:r>
              <w:t>түс</w:t>
            </w:r>
          </w:p>
        </w:tc>
        <w:tc>
          <w:tcPr>
            <w:tcW w:w="0" w:type="auto"/>
            <w:vAlign w:val="center"/>
          </w:tcPr>
          <w:p w:rsidR="00024C0A" w:rsidRDefault="00694C0F">
            <w:pPr>
              <w:pStyle w:val="TableBodyText"/>
            </w:pPr>
            <w:r>
              <w:t>мазмұны</w:t>
            </w:r>
          </w:p>
        </w:tc>
        <w:tc>
          <w:tcPr>
            <w:tcW w:w="0" w:type="auto"/>
            <w:vAlign w:val="center"/>
          </w:tcPr>
          <w:p w:rsidR="00024C0A" w:rsidRDefault="00694C0F">
            <w:pPr>
              <w:pStyle w:val="TableBodyText"/>
            </w:pPr>
            <w:r>
              <w:t>ТҰРАҒИАТ</w:t>
            </w:r>
          </w:p>
        </w:tc>
        <w:tc>
          <w:tcPr>
            <w:tcW w:w="0" w:type="auto"/>
            <w:vAlign w:val="center"/>
          </w:tcPr>
          <w:p w:rsidR="00024C0A" w:rsidRDefault="00694C0F">
            <w:pPr>
              <w:pStyle w:val="TableBodyText"/>
            </w:pPr>
            <w:r>
              <w:t>файлатауы</w:t>
            </w:r>
          </w:p>
        </w:tc>
        <w:tc>
          <w:tcPr>
            <w:tcW w:w="0" w:type="auto"/>
            <w:vAlign w:val="center"/>
          </w:tcPr>
          <w:p w:rsidR="00024C0A" w:rsidRDefault="00694C0F">
            <w:pPr>
              <w:pStyle w:val="TableBodyText"/>
            </w:pPr>
            <w:r>
              <w:t>пішім</w:t>
            </w:r>
          </w:p>
        </w:tc>
      </w:tr>
      <w:tr w:rsidR="00024C0A" w:rsidTr="00024C0A">
        <w:tc>
          <w:tcPr>
            <w:tcW w:w="0" w:type="auto"/>
            <w:vAlign w:val="center"/>
          </w:tcPr>
          <w:p w:rsidR="00024C0A" w:rsidRDefault="00694C0F">
            <w:pPr>
              <w:pStyle w:val="TableBodyText"/>
            </w:pPr>
            <w:r>
              <w:t>lv-lv</w:t>
            </w:r>
          </w:p>
        </w:tc>
        <w:tc>
          <w:tcPr>
            <w:tcW w:w="0" w:type="auto"/>
            <w:vAlign w:val="center"/>
          </w:tcPr>
          <w:p w:rsidR="00024C0A" w:rsidRDefault="00694C0F">
            <w:pPr>
              <w:pStyle w:val="TableBodyText"/>
            </w:pPr>
            <w:r>
              <w:t>adrese</w:t>
            </w:r>
          </w:p>
        </w:tc>
        <w:tc>
          <w:tcPr>
            <w:tcW w:w="0" w:type="auto"/>
            <w:vAlign w:val="center"/>
          </w:tcPr>
          <w:p w:rsidR="00024C0A" w:rsidRDefault="00694C0F">
            <w:pPr>
              <w:pStyle w:val="TableBodyText"/>
            </w:pPr>
            <w:r>
              <w:t>kolonna</w:t>
            </w:r>
          </w:p>
        </w:tc>
        <w:tc>
          <w:tcPr>
            <w:tcW w:w="0" w:type="auto"/>
            <w:vAlign w:val="center"/>
          </w:tcPr>
          <w:p w:rsidR="00024C0A" w:rsidRDefault="00694C0F">
            <w:pPr>
              <w:pStyle w:val="TableBodyText"/>
            </w:pPr>
            <w:r>
              <w:t>krāsa</w:t>
            </w:r>
          </w:p>
        </w:tc>
        <w:tc>
          <w:tcPr>
            <w:tcW w:w="0" w:type="auto"/>
            <w:vAlign w:val="center"/>
          </w:tcPr>
          <w:p w:rsidR="00024C0A" w:rsidRDefault="00694C0F">
            <w:pPr>
              <w:pStyle w:val="TableBodyText"/>
            </w:pPr>
            <w:r>
              <w:t>saturs</w:t>
            </w:r>
          </w:p>
        </w:tc>
        <w:tc>
          <w:tcPr>
            <w:tcW w:w="0" w:type="auto"/>
            <w:vAlign w:val="center"/>
          </w:tcPr>
          <w:p w:rsidR="00024C0A" w:rsidRDefault="00694C0F">
            <w:pPr>
              <w:pStyle w:val="TableBodyText"/>
            </w:pPr>
            <w:r>
              <w:t>koordinātas</w:t>
            </w:r>
          </w:p>
        </w:tc>
        <w:tc>
          <w:tcPr>
            <w:tcW w:w="0" w:type="auto"/>
            <w:vAlign w:val="center"/>
          </w:tcPr>
          <w:p w:rsidR="00024C0A" w:rsidRDefault="00694C0F">
            <w:pPr>
              <w:pStyle w:val="TableBodyText"/>
            </w:pPr>
            <w:r>
              <w:t>faila_nosaukums</w:t>
            </w:r>
          </w:p>
        </w:tc>
        <w:tc>
          <w:tcPr>
            <w:tcW w:w="0" w:type="auto"/>
            <w:vAlign w:val="center"/>
          </w:tcPr>
          <w:p w:rsidR="00024C0A" w:rsidRDefault="00694C0F">
            <w:pPr>
              <w:pStyle w:val="TableBodyText"/>
            </w:pPr>
            <w:r>
              <w:t>formāts</w:t>
            </w:r>
          </w:p>
        </w:tc>
      </w:tr>
      <w:tr w:rsidR="00024C0A" w:rsidTr="00024C0A">
        <w:tc>
          <w:tcPr>
            <w:tcW w:w="0" w:type="auto"/>
            <w:vAlign w:val="center"/>
          </w:tcPr>
          <w:p w:rsidR="00024C0A" w:rsidRDefault="00694C0F">
            <w:pPr>
              <w:pStyle w:val="TableBodyText"/>
            </w:pPr>
            <w:r>
              <w:t>nb-no</w:t>
            </w:r>
          </w:p>
        </w:tc>
        <w:tc>
          <w:tcPr>
            <w:tcW w:w="0" w:type="auto"/>
            <w:vAlign w:val="center"/>
          </w:tcPr>
          <w:p w:rsidR="00024C0A" w:rsidRDefault="00694C0F">
            <w:pPr>
              <w:pStyle w:val="TableBodyText"/>
            </w:pPr>
            <w:r>
              <w:t>adresse</w:t>
            </w:r>
          </w:p>
        </w:tc>
        <w:tc>
          <w:tcPr>
            <w:tcW w:w="0" w:type="auto"/>
            <w:vAlign w:val="center"/>
          </w:tcPr>
          <w:p w:rsidR="00024C0A" w:rsidRDefault="00694C0F">
            <w:pPr>
              <w:pStyle w:val="TableBodyText"/>
            </w:pPr>
            <w:r>
              <w:t>kol</w:t>
            </w:r>
          </w:p>
        </w:tc>
        <w:tc>
          <w:tcPr>
            <w:tcW w:w="0" w:type="auto"/>
            <w:vAlign w:val="center"/>
          </w:tcPr>
          <w:p w:rsidR="00024C0A" w:rsidRDefault="00694C0F">
            <w:pPr>
              <w:pStyle w:val="TableBodyText"/>
            </w:pPr>
            <w:r>
              <w:t>farge</w:t>
            </w:r>
          </w:p>
        </w:tc>
        <w:tc>
          <w:tcPr>
            <w:tcW w:w="0" w:type="auto"/>
            <w:vAlign w:val="center"/>
          </w:tcPr>
          <w:p w:rsidR="00024C0A" w:rsidRDefault="00694C0F">
            <w:pPr>
              <w:pStyle w:val="TableBodyText"/>
            </w:pPr>
            <w:r>
              <w:t>innhold</w:t>
            </w:r>
          </w:p>
        </w:tc>
        <w:tc>
          <w:tcPr>
            <w:tcW w:w="0" w:type="auto"/>
            <w:vAlign w:val="center"/>
          </w:tcPr>
          <w:p w:rsidR="00024C0A" w:rsidRDefault="00694C0F">
            <w:pPr>
              <w:pStyle w:val="TableBodyText"/>
            </w:pPr>
            <w:r>
              <w:t>koord</w:t>
            </w:r>
          </w:p>
        </w:tc>
        <w:tc>
          <w:tcPr>
            <w:tcW w:w="0" w:type="auto"/>
            <w:vAlign w:val="center"/>
          </w:tcPr>
          <w:p w:rsidR="00024C0A" w:rsidRDefault="00694C0F">
            <w:pPr>
              <w:pStyle w:val="TableBodyText"/>
            </w:pPr>
            <w:r>
              <w:t>filnavn</w:t>
            </w:r>
          </w:p>
        </w:tc>
        <w:tc>
          <w:tcPr>
            <w:tcW w:w="0" w:type="auto"/>
            <w:vAlign w:val="center"/>
          </w:tcPr>
          <w:p w:rsidR="00024C0A" w:rsidRDefault="00694C0F">
            <w:pPr>
              <w:pStyle w:val="TableBodyText"/>
            </w:pPr>
            <w:r>
              <w:t>format</w:t>
            </w:r>
          </w:p>
        </w:tc>
      </w:tr>
      <w:tr w:rsidR="00024C0A" w:rsidTr="00024C0A">
        <w:tc>
          <w:tcPr>
            <w:tcW w:w="0" w:type="auto"/>
            <w:vAlign w:val="center"/>
          </w:tcPr>
          <w:p w:rsidR="00024C0A" w:rsidRDefault="00694C0F">
            <w:pPr>
              <w:pStyle w:val="TableBodyText"/>
            </w:pPr>
            <w:r>
              <w:t>nl-nl</w:t>
            </w:r>
          </w:p>
        </w:tc>
        <w:tc>
          <w:tcPr>
            <w:tcW w:w="0" w:type="auto"/>
            <w:vAlign w:val="center"/>
          </w:tcPr>
          <w:p w:rsidR="00024C0A" w:rsidRDefault="00694C0F">
            <w:pPr>
              <w:pStyle w:val="TableBodyText"/>
            </w:pPr>
            <w:r>
              <w:t>adres</w:t>
            </w:r>
          </w:p>
        </w:tc>
        <w:tc>
          <w:tcPr>
            <w:tcW w:w="0" w:type="auto"/>
            <w:vAlign w:val="center"/>
          </w:tcPr>
          <w:p w:rsidR="00024C0A" w:rsidRDefault="00694C0F">
            <w:pPr>
              <w:pStyle w:val="TableBodyText"/>
            </w:pPr>
            <w:r>
              <w:t>kolom</w:t>
            </w:r>
          </w:p>
        </w:tc>
        <w:tc>
          <w:tcPr>
            <w:tcW w:w="0" w:type="auto"/>
            <w:vAlign w:val="center"/>
          </w:tcPr>
          <w:p w:rsidR="00024C0A" w:rsidRDefault="00694C0F">
            <w:pPr>
              <w:pStyle w:val="TableBodyText"/>
            </w:pPr>
            <w:r>
              <w:t>kleur</w:t>
            </w:r>
          </w:p>
        </w:tc>
        <w:tc>
          <w:tcPr>
            <w:tcW w:w="0" w:type="auto"/>
            <w:vAlign w:val="center"/>
          </w:tcPr>
          <w:p w:rsidR="00024C0A" w:rsidRDefault="00694C0F">
            <w:pPr>
              <w:pStyle w:val="TableBodyText"/>
            </w:pPr>
            <w:r>
              <w:t>inhoud</w:t>
            </w:r>
          </w:p>
        </w:tc>
        <w:tc>
          <w:tcPr>
            <w:tcW w:w="0" w:type="auto"/>
            <w:vAlign w:val="center"/>
          </w:tcPr>
          <w:p w:rsidR="00024C0A" w:rsidRDefault="00694C0F">
            <w:pPr>
              <w:pStyle w:val="TableBodyText"/>
            </w:pPr>
            <w:r>
              <w:t>coord</w:t>
            </w:r>
          </w:p>
        </w:tc>
        <w:tc>
          <w:tcPr>
            <w:tcW w:w="0" w:type="auto"/>
            <w:vAlign w:val="center"/>
          </w:tcPr>
          <w:p w:rsidR="00024C0A" w:rsidRDefault="00694C0F">
            <w:pPr>
              <w:pStyle w:val="TableBodyText"/>
            </w:pPr>
            <w:r>
              <w:t>bestandsnaam</w:t>
            </w:r>
          </w:p>
        </w:tc>
        <w:tc>
          <w:tcPr>
            <w:tcW w:w="0" w:type="auto"/>
            <w:vAlign w:val="center"/>
          </w:tcPr>
          <w:p w:rsidR="00024C0A" w:rsidRDefault="00694C0F">
            <w:pPr>
              <w:pStyle w:val="TableBodyText"/>
            </w:pPr>
            <w:r>
              <w:t>notatie</w:t>
            </w:r>
          </w:p>
        </w:tc>
      </w:tr>
      <w:tr w:rsidR="00024C0A" w:rsidTr="00024C0A">
        <w:tc>
          <w:tcPr>
            <w:tcW w:w="0" w:type="auto"/>
            <w:vAlign w:val="center"/>
          </w:tcPr>
          <w:p w:rsidR="00024C0A" w:rsidRDefault="00694C0F">
            <w:pPr>
              <w:pStyle w:val="TableBodyText"/>
            </w:pPr>
            <w:r>
              <w:t>pl-pl</w:t>
            </w:r>
          </w:p>
        </w:tc>
        <w:tc>
          <w:tcPr>
            <w:tcW w:w="0" w:type="auto"/>
            <w:vAlign w:val="center"/>
          </w:tcPr>
          <w:p w:rsidR="00024C0A" w:rsidRDefault="00694C0F">
            <w:pPr>
              <w:pStyle w:val="TableBodyText"/>
            </w:pPr>
            <w:r>
              <w:t>adres</w:t>
            </w:r>
          </w:p>
        </w:tc>
        <w:tc>
          <w:tcPr>
            <w:tcW w:w="0" w:type="auto"/>
            <w:vAlign w:val="center"/>
          </w:tcPr>
          <w:p w:rsidR="00024C0A" w:rsidRDefault="00694C0F">
            <w:pPr>
              <w:pStyle w:val="TableBodyText"/>
            </w:pPr>
            <w:r>
              <w:t>kolumna</w:t>
            </w:r>
          </w:p>
        </w:tc>
        <w:tc>
          <w:tcPr>
            <w:tcW w:w="0" w:type="auto"/>
            <w:vAlign w:val="center"/>
          </w:tcPr>
          <w:p w:rsidR="00024C0A" w:rsidRDefault="00694C0F">
            <w:pPr>
              <w:pStyle w:val="TableBodyText"/>
            </w:pPr>
            <w:r>
              <w:t>kolor</w:t>
            </w:r>
          </w:p>
        </w:tc>
        <w:tc>
          <w:tcPr>
            <w:tcW w:w="0" w:type="auto"/>
            <w:vAlign w:val="center"/>
          </w:tcPr>
          <w:p w:rsidR="00024C0A" w:rsidRDefault="00694C0F">
            <w:pPr>
              <w:pStyle w:val="TableBodyText"/>
            </w:pPr>
            <w:r>
              <w:t>zawartość</w:t>
            </w:r>
          </w:p>
        </w:tc>
        <w:tc>
          <w:tcPr>
            <w:tcW w:w="0" w:type="auto"/>
            <w:vAlign w:val="center"/>
          </w:tcPr>
          <w:p w:rsidR="00024C0A" w:rsidRDefault="00694C0F">
            <w:pPr>
              <w:pStyle w:val="TableBodyText"/>
            </w:pPr>
            <w:r>
              <w:t>WSPÓŁRZ</w:t>
            </w:r>
          </w:p>
        </w:tc>
        <w:tc>
          <w:tcPr>
            <w:tcW w:w="0" w:type="auto"/>
            <w:vAlign w:val="center"/>
          </w:tcPr>
          <w:p w:rsidR="00024C0A" w:rsidRDefault="00694C0F">
            <w:pPr>
              <w:pStyle w:val="TableBodyText"/>
            </w:pPr>
            <w:r>
              <w:t>nazwa_pliku</w:t>
            </w:r>
          </w:p>
        </w:tc>
        <w:tc>
          <w:tcPr>
            <w:tcW w:w="0" w:type="auto"/>
            <w:vAlign w:val="center"/>
          </w:tcPr>
          <w:p w:rsidR="00024C0A" w:rsidRDefault="00694C0F">
            <w:pPr>
              <w:pStyle w:val="TableBodyText"/>
            </w:pPr>
            <w:r>
              <w:t>format</w:t>
            </w:r>
          </w:p>
        </w:tc>
      </w:tr>
      <w:tr w:rsidR="00024C0A" w:rsidTr="00024C0A">
        <w:tc>
          <w:tcPr>
            <w:tcW w:w="0" w:type="auto"/>
            <w:vAlign w:val="center"/>
          </w:tcPr>
          <w:p w:rsidR="00024C0A" w:rsidRDefault="00694C0F">
            <w:pPr>
              <w:pStyle w:val="TableBodyText"/>
            </w:pPr>
            <w:r>
              <w:t>pt-br</w:t>
            </w:r>
          </w:p>
        </w:tc>
        <w:tc>
          <w:tcPr>
            <w:tcW w:w="0" w:type="auto"/>
            <w:vAlign w:val="center"/>
          </w:tcPr>
          <w:p w:rsidR="00024C0A" w:rsidRDefault="00694C0F">
            <w:pPr>
              <w:pStyle w:val="TableBodyText"/>
            </w:pPr>
            <w:r>
              <w:t>endereço</w:t>
            </w:r>
          </w:p>
        </w:tc>
        <w:tc>
          <w:tcPr>
            <w:tcW w:w="0" w:type="auto"/>
            <w:vAlign w:val="center"/>
          </w:tcPr>
          <w:p w:rsidR="00024C0A" w:rsidRDefault="00694C0F">
            <w:pPr>
              <w:pStyle w:val="TableBodyText"/>
            </w:pPr>
            <w:r>
              <w:t>col</w:t>
            </w:r>
          </w:p>
        </w:tc>
        <w:tc>
          <w:tcPr>
            <w:tcW w:w="0" w:type="auto"/>
            <w:vAlign w:val="center"/>
          </w:tcPr>
          <w:p w:rsidR="00024C0A" w:rsidRDefault="00694C0F">
            <w:pPr>
              <w:pStyle w:val="TableBodyText"/>
            </w:pPr>
            <w:r>
              <w:t>cor</w:t>
            </w:r>
          </w:p>
        </w:tc>
        <w:tc>
          <w:tcPr>
            <w:tcW w:w="0" w:type="auto"/>
            <w:vAlign w:val="center"/>
          </w:tcPr>
          <w:p w:rsidR="00024C0A" w:rsidRDefault="00694C0F">
            <w:pPr>
              <w:pStyle w:val="TableBodyText"/>
            </w:pPr>
            <w:r>
              <w:t>conteúdo</w:t>
            </w:r>
          </w:p>
        </w:tc>
        <w:tc>
          <w:tcPr>
            <w:tcW w:w="0" w:type="auto"/>
            <w:vAlign w:val="center"/>
          </w:tcPr>
          <w:p w:rsidR="00024C0A" w:rsidRDefault="00694C0F">
            <w:pPr>
              <w:pStyle w:val="TableBodyText"/>
            </w:pPr>
            <w:r>
              <w:t>coord</w:t>
            </w:r>
          </w:p>
        </w:tc>
        <w:tc>
          <w:tcPr>
            <w:tcW w:w="0" w:type="auto"/>
            <w:vAlign w:val="center"/>
          </w:tcPr>
          <w:p w:rsidR="00024C0A" w:rsidRDefault="00694C0F">
            <w:pPr>
              <w:pStyle w:val="TableBodyText"/>
            </w:pPr>
            <w:r>
              <w:t>nome.arquivo</w:t>
            </w:r>
          </w:p>
        </w:tc>
        <w:tc>
          <w:tcPr>
            <w:tcW w:w="0" w:type="auto"/>
            <w:vAlign w:val="center"/>
          </w:tcPr>
          <w:p w:rsidR="00024C0A" w:rsidRDefault="00694C0F">
            <w:pPr>
              <w:pStyle w:val="TableBodyText"/>
            </w:pPr>
            <w:r>
              <w:t>formato</w:t>
            </w:r>
          </w:p>
        </w:tc>
      </w:tr>
      <w:tr w:rsidR="00024C0A" w:rsidTr="00024C0A">
        <w:tc>
          <w:tcPr>
            <w:tcW w:w="0" w:type="auto"/>
            <w:vAlign w:val="center"/>
          </w:tcPr>
          <w:p w:rsidR="00024C0A" w:rsidRDefault="00694C0F">
            <w:pPr>
              <w:pStyle w:val="TableBodyText"/>
            </w:pPr>
            <w:r>
              <w:t>pt-pt</w:t>
            </w:r>
          </w:p>
        </w:tc>
        <w:tc>
          <w:tcPr>
            <w:tcW w:w="0" w:type="auto"/>
            <w:vAlign w:val="center"/>
          </w:tcPr>
          <w:p w:rsidR="00024C0A" w:rsidRDefault="00694C0F">
            <w:pPr>
              <w:pStyle w:val="TableBodyText"/>
            </w:pPr>
            <w:r>
              <w:t>endereço</w:t>
            </w:r>
          </w:p>
        </w:tc>
        <w:tc>
          <w:tcPr>
            <w:tcW w:w="0" w:type="auto"/>
            <w:vAlign w:val="center"/>
          </w:tcPr>
          <w:p w:rsidR="00024C0A" w:rsidRDefault="00694C0F">
            <w:pPr>
              <w:pStyle w:val="TableBodyText"/>
            </w:pPr>
            <w:r>
              <w:t>col</w:t>
            </w:r>
          </w:p>
        </w:tc>
        <w:tc>
          <w:tcPr>
            <w:tcW w:w="0" w:type="auto"/>
            <w:vAlign w:val="center"/>
          </w:tcPr>
          <w:p w:rsidR="00024C0A" w:rsidRDefault="00694C0F">
            <w:pPr>
              <w:pStyle w:val="TableBodyText"/>
            </w:pPr>
            <w:r>
              <w:t>cor</w:t>
            </w:r>
          </w:p>
        </w:tc>
        <w:tc>
          <w:tcPr>
            <w:tcW w:w="0" w:type="auto"/>
            <w:vAlign w:val="center"/>
          </w:tcPr>
          <w:p w:rsidR="00024C0A" w:rsidRDefault="00694C0F">
            <w:pPr>
              <w:pStyle w:val="TableBodyText"/>
            </w:pPr>
            <w:r>
              <w:t>conteúdo</w:t>
            </w:r>
          </w:p>
        </w:tc>
        <w:tc>
          <w:tcPr>
            <w:tcW w:w="0" w:type="auto"/>
            <w:vAlign w:val="center"/>
          </w:tcPr>
          <w:p w:rsidR="00024C0A" w:rsidRDefault="00694C0F">
            <w:pPr>
              <w:pStyle w:val="TableBodyText"/>
            </w:pPr>
            <w:r>
              <w:t>coord</w:t>
            </w:r>
          </w:p>
        </w:tc>
        <w:tc>
          <w:tcPr>
            <w:tcW w:w="0" w:type="auto"/>
            <w:vAlign w:val="center"/>
          </w:tcPr>
          <w:p w:rsidR="00024C0A" w:rsidRDefault="00694C0F">
            <w:pPr>
              <w:pStyle w:val="TableBodyText"/>
            </w:pPr>
            <w:r>
              <w:t>nome.ficheiro</w:t>
            </w:r>
          </w:p>
        </w:tc>
        <w:tc>
          <w:tcPr>
            <w:tcW w:w="0" w:type="auto"/>
            <w:vAlign w:val="center"/>
          </w:tcPr>
          <w:p w:rsidR="00024C0A" w:rsidRDefault="00694C0F">
            <w:pPr>
              <w:pStyle w:val="TableBodyText"/>
            </w:pPr>
            <w:r>
              <w:t>formato</w:t>
            </w:r>
          </w:p>
        </w:tc>
      </w:tr>
      <w:tr w:rsidR="00024C0A" w:rsidTr="00024C0A">
        <w:tc>
          <w:tcPr>
            <w:tcW w:w="0" w:type="auto"/>
            <w:vAlign w:val="center"/>
          </w:tcPr>
          <w:p w:rsidR="00024C0A" w:rsidRDefault="00694C0F">
            <w:pPr>
              <w:pStyle w:val="TableBodyText"/>
            </w:pPr>
            <w:r>
              <w:t>ru-ru</w:t>
            </w:r>
          </w:p>
        </w:tc>
        <w:tc>
          <w:tcPr>
            <w:tcW w:w="0" w:type="auto"/>
            <w:vAlign w:val="center"/>
          </w:tcPr>
          <w:p w:rsidR="00024C0A" w:rsidRDefault="00694C0F">
            <w:pPr>
              <w:pStyle w:val="TableBodyText"/>
            </w:pPr>
            <w:r>
              <w:t>адрес</w:t>
            </w:r>
          </w:p>
        </w:tc>
        <w:tc>
          <w:tcPr>
            <w:tcW w:w="0" w:type="auto"/>
            <w:vAlign w:val="center"/>
          </w:tcPr>
          <w:p w:rsidR="00024C0A" w:rsidRDefault="00694C0F">
            <w:pPr>
              <w:pStyle w:val="TableBodyText"/>
            </w:pPr>
            <w:r>
              <w:t>столбец</w:t>
            </w:r>
          </w:p>
        </w:tc>
        <w:tc>
          <w:tcPr>
            <w:tcW w:w="0" w:type="auto"/>
            <w:vAlign w:val="center"/>
          </w:tcPr>
          <w:p w:rsidR="00024C0A" w:rsidRDefault="00694C0F">
            <w:pPr>
              <w:pStyle w:val="TableBodyText"/>
            </w:pPr>
            <w:r>
              <w:t>цвет</w:t>
            </w:r>
          </w:p>
        </w:tc>
        <w:tc>
          <w:tcPr>
            <w:tcW w:w="0" w:type="auto"/>
            <w:vAlign w:val="center"/>
          </w:tcPr>
          <w:p w:rsidR="00024C0A" w:rsidRDefault="00694C0F">
            <w:pPr>
              <w:pStyle w:val="TableBodyText"/>
            </w:pPr>
            <w:r>
              <w:t>содержимое</w:t>
            </w:r>
          </w:p>
        </w:tc>
        <w:tc>
          <w:tcPr>
            <w:tcW w:w="0" w:type="auto"/>
            <w:vAlign w:val="center"/>
          </w:tcPr>
          <w:p w:rsidR="00024C0A" w:rsidRDefault="00694C0F">
            <w:pPr>
              <w:pStyle w:val="TableBodyText"/>
            </w:pPr>
            <w:r>
              <w:t>КООРД</w:t>
            </w:r>
          </w:p>
        </w:tc>
        <w:tc>
          <w:tcPr>
            <w:tcW w:w="0" w:type="auto"/>
            <w:vAlign w:val="center"/>
          </w:tcPr>
          <w:p w:rsidR="00024C0A" w:rsidRDefault="00694C0F">
            <w:pPr>
              <w:pStyle w:val="TableBodyText"/>
            </w:pPr>
            <w:r>
              <w:t>имяфайла</w:t>
            </w:r>
          </w:p>
        </w:tc>
        <w:tc>
          <w:tcPr>
            <w:tcW w:w="0" w:type="auto"/>
            <w:vAlign w:val="center"/>
          </w:tcPr>
          <w:p w:rsidR="00024C0A" w:rsidRDefault="00694C0F">
            <w:pPr>
              <w:pStyle w:val="TableBodyText"/>
            </w:pPr>
            <w:r>
              <w:t>формат</w:t>
            </w:r>
          </w:p>
        </w:tc>
      </w:tr>
      <w:tr w:rsidR="00024C0A" w:rsidTr="00024C0A">
        <w:tc>
          <w:tcPr>
            <w:tcW w:w="0" w:type="auto"/>
            <w:vAlign w:val="center"/>
          </w:tcPr>
          <w:p w:rsidR="00024C0A" w:rsidRDefault="00694C0F">
            <w:pPr>
              <w:pStyle w:val="TableBodyText"/>
            </w:pPr>
            <w:r>
              <w:t>sk-sk</w:t>
            </w:r>
          </w:p>
        </w:tc>
        <w:tc>
          <w:tcPr>
            <w:tcW w:w="0" w:type="auto"/>
            <w:vAlign w:val="center"/>
          </w:tcPr>
          <w:p w:rsidR="00024C0A" w:rsidRDefault="00694C0F">
            <w:pPr>
              <w:pStyle w:val="TableBodyText"/>
            </w:pPr>
            <w:r>
              <w:t>adresa</w:t>
            </w:r>
          </w:p>
        </w:tc>
        <w:tc>
          <w:tcPr>
            <w:tcW w:w="0" w:type="auto"/>
            <w:vAlign w:val="center"/>
          </w:tcPr>
          <w:p w:rsidR="00024C0A" w:rsidRDefault="00694C0F">
            <w:pPr>
              <w:pStyle w:val="TableBodyText"/>
            </w:pPr>
            <w:r>
              <w:t>stĺpec</w:t>
            </w:r>
          </w:p>
        </w:tc>
        <w:tc>
          <w:tcPr>
            <w:tcW w:w="0" w:type="auto"/>
            <w:vAlign w:val="center"/>
          </w:tcPr>
          <w:p w:rsidR="00024C0A" w:rsidRDefault="00694C0F">
            <w:pPr>
              <w:pStyle w:val="TableBodyText"/>
            </w:pPr>
            <w:r>
              <w:t>farba</w:t>
            </w:r>
          </w:p>
        </w:tc>
        <w:tc>
          <w:tcPr>
            <w:tcW w:w="0" w:type="auto"/>
            <w:vAlign w:val="center"/>
          </w:tcPr>
          <w:p w:rsidR="00024C0A" w:rsidRDefault="00694C0F">
            <w:pPr>
              <w:pStyle w:val="TableBodyText"/>
            </w:pPr>
            <w:r>
              <w:t>obsah</w:t>
            </w:r>
          </w:p>
        </w:tc>
        <w:tc>
          <w:tcPr>
            <w:tcW w:w="0" w:type="auto"/>
            <w:vAlign w:val="center"/>
          </w:tcPr>
          <w:p w:rsidR="00024C0A" w:rsidRDefault="00694C0F">
            <w:pPr>
              <w:pStyle w:val="TableBodyText"/>
            </w:pPr>
            <w:r>
              <w:t>koordinovať</w:t>
            </w:r>
          </w:p>
        </w:tc>
        <w:tc>
          <w:tcPr>
            <w:tcW w:w="0" w:type="auto"/>
            <w:vAlign w:val="center"/>
          </w:tcPr>
          <w:p w:rsidR="00024C0A" w:rsidRDefault="00694C0F">
            <w:pPr>
              <w:pStyle w:val="TableBodyText"/>
            </w:pPr>
            <w:r>
              <w:t>názovsúboru</w:t>
            </w:r>
          </w:p>
        </w:tc>
        <w:tc>
          <w:tcPr>
            <w:tcW w:w="0" w:type="auto"/>
            <w:vAlign w:val="center"/>
          </w:tcPr>
          <w:p w:rsidR="00024C0A" w:rsidRDefault="00694C0F">
            <w:pPr>
              <w:pStyle w:val="TableBodyText"/>
            </w:pPr>
            <w:r>
              <w:t>formát</w:t>
            </w:r>
          </w:p>
        </w:tc>
      </w:tr>
      <w:tr w:rsidR="00024C0A" w:rsidTr="00024C0A">
        <w:tc>
          <w:tcPr>
            <w:tcW w:w="0" w:type="auto"/>
            <w:vAlign w:val="center"/>
          </w:tcPr>
          <w:p w:rsidR="00024C0A" w:rsidRDefault="00694C0F">
            <w:pPr>
              <w:pStyle w:val="TableBodyText"/>
            </w:pPr>
            <w:r>
              <w:t>sl-si</w:t>
            </w:r>
          </w:p>
        </w:tc>
        <w:tc>
          <w:tcPr>
            <w:tcW w:w="0" w:type="auto"/>
            <w:vAlign w:val="center"/>
          </w:tcPr>
          <w:p w:rsidR="00024C0A" w:rsidRDefault="00694C0F">
            <w:pPr>
              <w:pStyle w:val="TableBodyText"/>
            </w:pPr>
            <w:r>
              <w:t>address</w:t>
            </w:r>
          </w:p>
        </w:tc>
        <w:tc>
          <w:tcPr>
            <w:tcW w:w="0" w:type="auto"/>
            <w:vAlign w:val="center"/>
          </w:tcPr>
          <w:p w:rsidR="00024C0A" w:rsidRDefault="00694C0F">
            <w:pPr>
              <w:pStyle w:val="TableBodyText"/>
            </w:pPr>
            <w:r>
              <w:t>sto</w:t>
            </w:r>
          </w:p>
        </w:tc>
        <w:tc>
          <w:tcPr>
            <w:tcW w:w="0" w:type="auto"/>
            <w:vAlign w:val="center"/>
          </w:tcPr>
          <w:p w:rsidR="00024C0A" w:rsidRDefault="00694C0F">
            <w:pPr>
              <w:pStyle w:val="TableBodyText"/>
            </w:pPr>
            <w:r>
              <w:t>color</w:t>
            </w:r>
          </w:p>
        </w:tc>
        <w:tc>
          <w:tcPr>
            <w:tcW w:w="0" w:type="auto"/>
            <w:vAlign w:val="center"/>
          </w:tcPr>
          <w:p w:rsidR="00024C0A" w:rsidRDefault="00694C0F">
            <w:pPr>
              <w:pStyle w:val="TableBodyText"/>
            </w:pPr>
            <w:r>
              <w:t>contents</w:t>
            </w:r>
          </w:p>
        </w:tc>
        <w:tc>
          <w:tcPr>
            <w:tcW w:w="0" w:type="auto"/>
            <w:vAlign w:val="center"/>
          </w:tcPr>
          <w:p w:rsidR="00024C0A" w:rsidRDefault="00694C0F">
            <w:pPr>
              <w:pStyle w:val="TableBodyText"/>
            </w:pPr>
            <w:r>
              <w:t>coord</w:t>
            </w:r>
          </w:p>
        </w:tc>
        <w:tc>
          <w:tcPr>
            <w:tcW w:w="0" w:type="auto"/>
            <w:vAlign w:val="center"/>
          </w:tcPr>
          <w:p w:rsidR="00024C0A" w:rsidRDefault="00694C0F">
            <w:pPr>
              <w:pStyle w:val="TableBodyText"/>
            </w:pPr>
            <w:r>
              <w:t>filename</w:t>
            </w:r>
          </w:p>
        </w:tc>
        <w:tc>
          <w:tcPr>
            <w:tcW w:w="0" w:type="auto"/>
            <w:vAlign w:val="center"/>
          </w:tcPr>
          <w:p w:rsidR="00024C0A" w:rsidRDefault="00694C0F">
            <w:pPr>
              <w:pStyle w:val="TableBodyText"/>
            </w:pPr>
            <w:r>
              <w:t>format</w:t>
            </w:r>
          </w:p>
        </w:tc>
      </w:tr>
      <w:tr w:rsidR="00024C0A" w:rsidTr="00024C0A">
        <w:tc>
          <w:tcPr>
            <w:tcW w:w="0" w:type="auto"/>
            <w:vAlign w:val="center"/>
          </w:tcPr>
          <w:p w:rsidR="00024C0A" w:rsidRDefault="00694C0F">
            <w:pPr>
              <w:pStyle w:val="TableBodyText"/>
            </w:pPr>
            <w:r>
              <w:t>sv-se</w:t>
            </w:r>
          </w:p>
        </w:tc>
        <w:tc>
          <w:tcPr>
            <w:tcW w:w="0" w:type="auto"/>
            <w:vAlign w:val="center"/>
          </w:tcPr>
          <w:p w:rsidR="00024C0A" w:rsidRDefault="00694C0F">
            <w:pPr>
              <w:pStyle w:val="TableBodyText"/>
            </w:pPr>
            <w:r>
              <w:t>adress</w:t>
            </w:r>
          </w:p>
        </w:tc>
        <w:tc>
          <w:tcPr>
            <w:tcW w:w="0" w:type="auto"/>
            <w:vAlign w:val="center"/>
          </w:tcPr>
          <w:p w:rsidR="00024C0A" w:rsidRDefault="00694C0F">
            <w:pPr>
              <w:pStyle w:val="TableBodyText"/>
            </w:pPr>
            <w:r>
              <w:t>kol</w:t>
            </w:r>
          </w:p>
        </w:tc>
        <w:tc>
          <w:tcPr>
            <w:tcW w:w="0" w:type="auto"/>
            <w:vAlign w:val="center"/>
          </w:tcPr>
          <w:p w:rsidR="00024C0A" w:rsidRDefault="00694C0F">
            <w:pPr>
              <w:pStyle w:val="TableBodyText"/>
            </w:pPr>
            <w:r>
              <w:t>färg</w:t>
            </w:r>
          </w:p>
        </w:tc>
        <w:tc>
          <w:tcPr>
            <w:tcW w:w="0" w:type="auto"/>
            <w:vAlign w:val="center"/>
          </w:tcPr>
          <w:p w:rsidR="00024C0A" w:rsidRDefault="00694C0F">
            <w:pPr>
              <w:pStyle w:val="TableBodyText"/>
            </w:pPr>
            <w:r>
              <w:t>innehåll</w:t>
            </w:r>
          </w:p>
        </w:tc>
        <w:tc>
          <w:tcPr>
            <w:tcW w:w="0" w:type="auto"/>
            <w:vAlign w:val="center"/>
          </w:tcPr>
          <w:p w:rsidR="00024C0A" w:rsidRDefault="00694C0F">
            <w:pPr>
              <w:pStyle w:val="TableBodyText"/>
            </w:pPr>
            <w:r>
              <w:t>koord</w:t>
            </w:r>
          </w:p>
        </w:tc>
        <w:tc>
          <w:tcPr>
            <w:tcW w:w="0" w:type="auto"/>
            <w:vAlign w:val="center"/>
          </w:tcPr>
          <w:p w:rsidR="00024C0A" w:rsidRDefault="00694C0F">
            <w:pPr>
              <w:pStyle w:val="TableBodyText"/>
            </w:pPr>
            <w:r>
              <w:t>filnamn</w:t>
            </w:r>
          </w:p>
        </w:tc>
        <w:tc>
          <w:tcPr>
            <w:tcW w:w="0" w:type="auto"/>
            <w:vAlign w:val="center"/>
          </w:tcPr>
          <w:p w:rsidR="00024C0A" w:rsidRDefault="00694C0F">
            <w:pPr>
              <w:pStyle w:val="TableBodyText"/>
            </w:pPr>
            <w:r>
              <w:t>format</w:t>
            </w:r>
          </w:p>
        </w:tc>
      </w:tr>
      <w:tr w:rsidR="00024C0A" w:rsidTr="00024C0A">
        <w:tc>
          <w:tcPr>
            <w:tcW w:w="0" w:type="auto"/>
            <w:vAlign w:val="center"/>
          </w:tcPr>
          <w:p w:rsidR="00024C0A" w:rsidRDefault="00694C0F">
            <w:pPr>
              <w:pStyle w:val="TableBodyText"/>
            </w:pPr>
            <w:r>
              <w:t>tr-tr</w:t>
            </w:r>
          </w:p>
        </w:tc>
        <w:tc>
          <w:tcPr>
            <w:tcW w:w="0" w:type="auto"/>
            <w:vAlign w:val="center"/>
          </w:tcPr>
          <w:p w:rsidR="00024C0A" w:rsidRDefault="00694C0F">
            <w:pPr>
              <w:pStyle w:val="TableBodyText"/>
            </w:pPr>
            <w:r>
              <w:t>adres</w:t>
            </w:r>
          </w:p>
        </w:tc>
        <w:tc>
          <w:tcPr>
            <w:tcW w:w="0" w:type="auto"/>
            <w:vAlign w:val="center"/>
          </w:tcPr>
          <w:p w:rsidR="00024C0A" w:rsidRDefault="00694C0F">
            <w:pPr>
              <w:pStyle w:val="TableBodyText"/>
            </w:pPr>
            <w:r>
              <w:t>süt</w:t>
            </w:r>
          </w:p>
        </w:tc>
        <w:tc>
          <w:tcPr>
            <w:tcW w:w="0" w:type="auto"/>
            <w:vAlign w:val="center"/>
          </w:tcPr>
          <w:p w:rsidR="00024C0A" w:rsidRDefault="00694C0F">
            <w:pPr>
              <w:pStyle w:val="TableBodyText"/>
            </w:pPr>
            <w:r>
              <w:t>renk</w:t>
            </w:r>
          </w:p>
        </w:tc>
        <w:tc>
          <w:tcPr>
            <w:tcW w:w="0" w:type="auto"/>
            <w:vAlign w:val="center"/>
          </w:tcPr>
          <w:p w:rsidR="00024C0A" w:rsidRDefault="00694C0F">
            <w:pPr>
              <w:pStyle w:val="TableBodyText"/>
            </w:pPr>
            <w:r>
              <w:t>içerik</w:t>
            </w:r>
          </w:p>
        </w:tc>
        <w:tc>
          <w:tcPr>
            <w:tcW w:w="0" w:type="auto"/>
            <w:vAlign w:val="center"/>
          </w:tcPr>
          <w:p w:rsidR="00024C0A" w:rsidRDefault="00694C0F">
            <w:pPr>
              <w:pStyle w:val="TableBodyText"/>
            </w:pPr>
            <w:r>
              <w:t>koord</w:t>
            </w:r>
          </w:p>
        </w:tc>
        <w:tc>
          <w:tcPr>
            <w:tcW w:w="0" w:type="auto"/>
            <w:vAlign w:val="center"/>
          </w:tcPr>
          <w:p w:rsidR="00024C0A" w:rsidRDefault="00694C0F">
            <w:pPr>
              <w:pStyle w:val="TableBodyText"/>
            </w:pPr>
            <w:r>
              <w:t>dosyaadi</w:t>
            </w:r>
          </w:p>
        </w:tc>
        <w:tc>
          <w:tcPr>
            <w:tcW w:w="0" w:type="auto"/>
            <w:vAlign w:val="center"/>
          </w:tcPr>
          <w:p w:rsidR="00024C0A" w:rsidRDefault="00694C0F">
            <w:pPr>
              <w:pStyle w:val="TableBodyText"/>
            </w:pPr>
            <w:r>
              <w:t>biçim</w:t>
            </w:r>
          </w:p>
        </w:tc>
      </w:tr>
      <w:tr w:rsidR="00024C0A" w:rsidTr="00024C0A">
        <w:tc>
          <w:tcPr>
            <w:tcW w:w="0" w:type="auto"/>
            <w:vAlign w:val="center"/>
          </w:tcPr>
          <w:p w:rsidR="00024C0A" w:rsidRDefault="00694C0F">
            <w:pPr>
              <w:pStyle w:val="TableBodyText"/>
            </w:pPr>
            <w:r>
              <w:t>uk-ua</w:t>
            </w:r>
          </w:p>
        </w:tc>
        <w:tc>
          <w:tcPr>
            <w:tcW w:w="0" w:type="auto"/>
            <w:vAlign w:val="center"/>
          </w:tcPr>
          <w:p w:rsidR="00024C0A" w:rsidRDefault="00694C0F">
            <w:pPr>
              <w:pStyle w:val="TableBodyText"/>
            </w:pPr>
            <w:r>
              <w:t>адреса</w:t>
            </w:r>
          </w:p>
        </w:tc>
        <w:tc>
          <w:tcPr>
            <w:tcW w:w="0" w:type="auto"/>
            <w:vAlign w:val="center"/>
          </w:tcPr>
          <w:p w:rsidR="00024C0A" w:rsidRDefault="00694C0F">
            <w:pPr>
              <w:pStyle w:val="TableBodyText"/>
            </w:pPr>
            <w:r>
              <w:t>стовпець</w:t>
            </w:r>
          </w:p>
        </w:tc>
        <w:tc>
          <w:tcPr>
            <w:tcW w:w="0" w:type="auto"/>
            <w:vAlign w:val="center"/>
          </w:tcPr>
          <w:p w:rsidR="00024C0A" w:rsidRDefault="00694C0F">
            <w:pPr>
              <w:pStyle w:val="TableBodyText"/>
            </w:pPr>
            <w:r>
              <w:t>колір</w:t>
            </w:r>
          </w:p>
        </w:tc>
        <w:tc>
          <w:tcPr>
            <w:tcW w:w="0" w:type="auto"/>
            <w:vAlign w:val="center"/>
          </w:tcPr>
          <w:p w:rsidR="00024C0A" w:rsidRDefault="00694C0F">
            <w:pPr>
              <w:pStyle w:val="TableBodyText"/>
            </w:pPr>
            <w:r>
              <w:t>вміст</w:t>
            </w:r>
          </w:p>
        </w:tc>
        <w:tc>
          <w:tcPr>
            <w:tcW w:w="0" w:type="auto"/>
            <w:vAlign w:val="center"/>
          </w:tcPr>
          <w:p w:rsidR="00024C0A" w:rsidRDefault="00694C0F">
            <w:pPr>
              <w:pStyle w:val="TableBodyText"/>
            </w:pPr>
            <w:r>
              <w:t>КООРД</w:t>
            </w:r>
          </w:p>
        </w:tc>
        <w:tc>
          <w:tcPr>
            <w:tcW w:w="0" w:type="auto"/>
            <w:vAlign w:val="center"/>
          </w:tcPr>
          <w:p w:rsidR="00024C0A" w:rsidRDefault="00694C0F">
            <w:pPr>
              <w:pStyle w:val="TableBodyText"/>
            </w:pPr>
            <w:r>
              <w:t>ім`я_файлу</w:t>
            </w:r>
          </w:p>
        </w:tc>
        <w:tc>
          <w:tcPr>
            <w:tcW w:w="0" w:type="auto"/>
            <w:vAlign w:val="center"/>
          </w:tcPr>
          <w:p w:rsidR="00024C0A" w:rsidRDefault="00694C0F">
            <w:pPr>
              <w:pStyle w:val="TableBodyText"/>
            </w:pPr>
            <w:r>
              <w:t>формат</w:t>
            </w:r>
          </w:p>
        </w:tc>
      </w:tr>
    </w:tbl>
    <w:p w:rsidR="00024C0A" w:rsidRDefault="00024C0A"/>
    <w:p w:rsidR="00024C0A" w:rsidRDefault="00024C0A"/>
    <w:tbl>
      <w:tblPr>
        <w:tblStyle w:val="Table-ShadedHeader"/>
        <w:tblW w:w="0" w:type="auto"/>
        <w:tblLook w:val="04A0" w:firstRow="1" w:lastRow="0" w:firstColumn="1" w:lastColumn="0" w:noHBand="0" w:noVBand="1"/>
      </w:tblPr>
      <w:tblGrid>
        <w:gridCol w:w="1040"/>
        <w:gridCol w:w="1338"/>
        <w:gridCol w:w="1218"/>
        <w:gridCol w:w="1258"/>
        <w:gridCol w:w="783"/>
        <w:gridCol w:w="1017"/>
        <w:gridCol w:w="1043"/>
        <w:gridCol w:w="1017"/>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Locale</w:t>
            </w:r>
          </w:p>
        </w:tc>
        <w:tc>
          <w:tcPr>
            <w:tcW w:w="0" w:type="auto"/>
            <w:vAlign w:val="center"/>
          </w:tcPr>
          <w:p w:rsidR="00024C0A" w:rsidRDefault="00694C0F">
            <w:pPr>
              <w:pStyle w:val="TableHeaderText"/>
            </w:pPr>
            <w:r>
              <w:t>parentheses</w:t>
            </w:r>
          </w:p>
        </w:tc>
        <w:tc>
          <w:tcPr>
            <w:tcW w:w="0" w:type="auto"/>
            <w:vAlign w:val="center"/>
          </w:tcPr>
          <w:p w:rsidR="00024C0A" w:rsidRDefault="00694C0F">
            <w:pPr>
              <w:pStyle w:val="TableHeaderText"/>
            </w:pPr>
            <w:r>
              <w:t>prefix</w:t>
            </w:r>
          </w:p>
        </w:tc>
        <w:tc>
          <w:tcPr>
            <w:tcW w:w="0" w:type="auto"/>
            <w:vAlign w:val="center"/>
          </w:tcPr>
          <w:p w:rsidR="00024C0A" w:rsidRDefault="00694C0F">
            <w:pPr>
              <w:pStyle w:val="TableHeaderText"/>
            </w:pPr>
            <w:r>
              <w:t>protect</w:t>
            </w:r>
          </w:p>
        </w:tc>
        <w:tc>
          <w:tcPr>
            <w:tcW w:w="0" w:type="auto"/>
            <w:vAlign w:val="center"/>
          </w:tcPr>
          <w:p w:rsidR="00024C0A" w:rsidRDefault="00694C0F">
            <w:pPr>
              <w:pStyle w:val="TableHeaderText"/>
            </w:pPr>
            <w:r>
              <w:t>row</w:t>
            </w:r>
          </w:p>
        </w:tc>
        <w:tc>
          <w:tcPr>
            <w:tcW w:w="0" w:type="auto"/>
            <w:vAlign w:val="center"/>
          </w:tcPr>
          <w:p w:rsidR="00024C0A" w:rsidRDefault="00694C0F">
            <w:pPr>
              <w:pStyle w:val="TableHeaderText"/>
            </w:pPr>
            <w:r>
              <w:t>Sheet</w:t>
            </w:r>
          </w:p>
        </w:tc>
        <w:tc>
          <w:tcPr>
            <w:tcW w:w="0" w:type="auto"/>
            <w:vAlign w:val="center"/>
          </w:tcPr>
          <w:p w:rsidR="00024C0A" w:rsidRDefault="00694C0F">
            <w:pPr>
              <w:pStyle w:val="TableHeaderText"/>
            </w:pPr>
            <w:r>
              <w:t>type</w:t>
            </w:r>
          </w:p>
        </w:tc>
        <w:tc>
          <w:tcPr>
            <w:tcW w:w="0" w:type="auto"/>
            <w:vAlign w:val="center"/>
          </w:tcPr>
          <w:p w:rsidR="00024C0A" w:rsidRDefault="00694C0F">
            <w:pPr>
              <w:pStyle w:val="TableHeaderText"/>
            </w:pPr>
            <w:r>
              <w:t>width</w:t>
            </w:r>
          </w:p>
        </w:tc>
      </w:tr>
      <w:tr w:rsidR="00024C0A" w:rsidTr="00024C0A">
        <w:tc>
          <w:tcPr>
            <w:tcW w:w="0" w:type="auto"/>
            <w:vAlign w:val="center"/>
          </w:tcPr>
          <w:p w:rsidR="00024C0A" w:rsidRDefault="00694C0F">
            <w:pPr>
              <w:pStyle w:val="TableBodyText"/>
            </w:pPr>
            <w:r>
              <w:t>az-latn-az</w:t>
            </w:r>
          </w:p>
        </w:tc>
        <w:tc>
          <w:tcPr>
            <w:tcW w:w="0" w:type="auto"/>
            <w:vAlign w:val="center"/>
          </w:tcPr>
          <w:p w:rsidR="00024C0A" w:rsidRDefault="00694C0F">
            <w:pPr>
              <w:pStyle w:val="TableBodyText"/>
            </w:pPr>
            <w:r>
              <w:t>parentheses</w:t>
            </w:r>
          </w:p>
        </w:tc>
        <w:tc>
          <w:tcPr>
            <w:tcW w:w="0" w:type="auto"/>
            <w:vAlign w:val="center"/>
          </w:tcPr>
          <w:p w:rsidR="00024C0A" w:rsidRDefault="00694C0F">
            <w:pPr>
              <w:pStyle w:val="TableBodyText"/>
            </w:pPr>
            <w:r>
              <w:t>prefix</w:t>
            </w:r>
          </w:p>
        </w:tc>
        <w:tc>
          <w:tcPr>
            <w:tcW w:w="0" w:type="auto"/>
            <w:vAlign w:val="center"/>
          </w:tcPr>
          <w:p w:rsidR="00024C0A" w:rsidRDefault="00694C0F">
            <w:pPr>
              <w:pStyle w:val="TableBodyText"/>
            </w:pPr>
            <w:r>
              <w:t>protect</w:t>
            </w:r>
          </w:p>
        </w:tc>
        <w:tc>
          <w:tcPr>
            <w:tcW w:w="0" w:type="auto"/>
            <w:vAlign w:val="center"/>
          </w:tcPr>
          <w:p w:rsidR="00024C0A" w:rsidRDefault="00694C0F">
            <w:pPr>
              <w:pStyle w:val="TableBodyText"/>
            </w:pPr>
            <w:r>
              <w:t>sətir</w:t>
            </w:r>
          </w:p>
        </w:tc>
        <w:tc>
          <w:tcPr>
            <w:tcW w:w="0" w:type="auto"/>
            <w:vAlign w:val="center"/>
          </w:tcPr>
          <w:p w:rsidR="00024C0A" w:rsidRDefault="00694C0F">
            <w:pPr>
              <w:pStyle w:val="TableBodyText"/>
            </w:pPr>
            <w:r>
              <w:t>Vərəq</w:t>
            </w:r>
          </w:p>
        </w:tc>
        <w:tc>
          <w:tcPr>
            <w:tcW w:w="0" w:type="auto"/>
            <w:vAlign w:val="center"/>
          </w:tcPr>
          <w:p w:rsidR="00024C0A" w:rsidRDefault="00694C0F">
            <w:pPr>
              <w:pStyle w:val="TableBodyText"/>
            </w:pPr>
            <w:r>
              <w:t>tip</w:t>
            </w:r>
          </w:p>
        </w:tc>
        <w:tc>
          <w:tcPr>
            <w:tcW w:w="0" w:type="auto"/>
            <w:vAlign w:val="center"/>
          </w:tcPr>
          <w:p w:rsidR="00024C0A" w:rsidRDefault="00694C0F">
            <w:pPr>
              <w:pStyle w:val="TableBodyText"/>
            </w:pPr>
            <w:r>
              <w:t>en</w:t>
            </w:r>
          </w:p>
        </w:tc>
      </w:tr>
      <w:tr w:rsidR="00024C0A" w:rsidTr="00024C0A">
        <w:tc>
          <w:tcPr>
            <w:tcW w:w="0" w:type="auto"/>
            <w:vAlign w:val="center"/>
          </w:tcPr>
          <w:p w:rsidR="00024C0A" w:rsidRDefault="00694C0F">
            <w:pPr>
              <w:pStyle w:val="TableBodyText"/>
            </w:pPr>
            <w:r>
              <w:t>ca-es</w:t>
            </w:r>
          </w:p>
        </w:tc>
        <w:tc>
          <w:tcPr>
            <w:tcW w:w="0" w:type="auto"/>
            <w:vAlign w:val="center"/>
          </w:tcPr>
          <w:p w:rsidR="00024C0A" w:rsidRDefault="00694C0F">
            <w:pPr>
              <w:pStyle w:val="TableBodyText"/>
            </w:pPr>
            <w:r>
              <w:t>parentesis</w:t>
            </w:r>
          </w:p>
        </w:tc>
        <w:tc>
          <w:tcPr>
            <w:tcW w:w="0" w:type="auto"/>
            <w:vAlign w:val="center"/>
          </w:tcPr>
          <w:p w:rsidR="00024C0A" w:rsidRDefault="00694C0F">
            <w:pPr>
              <w:pStyle w:val="TableBodyText"/>
            </w:pPr>
            <w:r>
              <w:t>prefijo</w:t>
            </w:r>
          </w:p>
        </w:tc>
        <w:tc>
          <w:tcPr>
            <w:tcW w:w="0" w:type="auto"/>
            <w:vAlign w:val="center"/>
          </w:tcPr>
          <w:p w:rsidR="00024C0A" w:rsidRDefault="00694C0F">
            <w:pPr>
              <w:pStyle w:val="TableBodyText"/>
            </w:pPr>
            <w:r>
              <w:t>proteger</w:t>
            </w:r>
          </w:p>
        </w:tc>
        <w:tc>
          <w:tcPr>
            <w:tcW w:w="0" w:type="auto"/>
            <w:vAlign w:val="center"/>
          </w:tcPr>
          <w:p w:rsidR="00024C0A" w:rsidRDefault="00694C0F">
            <w:pPr>
              <w:pStyle w:val="TableBodyText"/>
            </w:pPr>
            <w:r>
              <w:t>fila</w:t>
            </w:r>
          </w:p>
        </w:tc>
        <w:tc>
          <w:tcPr>
            <w:tcW w:w="0" w:type="auto"/>
            <w:vAlign w:val="center"/>
          </w:tcPr>
          <w:p w:rsidR="00024C0A" w:rsidRDefault="00694C0F">
            <w:pPr>
              <w:pStyle w:val="TableBodyText"/>
            </w:pPr>
            <w:r>
              <w:t>hoja</w:t>
            </w:r>
          </w:p>
        </w:tc>
        <w:tc>
          <w:tcPr>
            <w:tcW w:w="0" w:type="auto"/>
            <w:vAlign w:val="center"/>
          </w:tcPr>
          <w:p w:rsidR="00024C0A" w:rsidRDefault="00694C0F">
            <w:pPr>
              <w:pStyle w:val="TableBodyText"/>
            </w:pPr>
            <w:r>
              <w:t>tipo</w:t>
            </w:r>
          </w:p>
        </w:tc>
        <w:tc>
          <w:tcPr>
            <w:tcW w:w="0" w:type="auto"/>
            <w:vAlign w:val="center"/>
          </w:tcPr>
          <w:p w:rsidR="00024C0A" w:rsidRDefault="00694C0F">
            <w:pPr>
              <w:pStyle w:val="TableBodyText"/>
            </w:pPr>
            <w:r>
              <w:t>ancho</w:t>
            </w:r>
          </w:p>
        </w:tc>
      </w:tr>
      <w:tr w:rsidR="00024C0A" w:rsidTr="00024C0A">
        <w:tc>
          <w:tcPr>
            <w:tcW w:w="0" w:type="auto"/>
            <w:vAlign w:val="center"/>
          </w:tcPr>
          <w:p w:rsidR="00024C0A" w:rsidRDefault="00694C0F">
            <w:pPr>
              <w:pStyle w:val="TableBodyText"/>
            </w:pPr>
            <w:r>
              <w:t>cs-cz</w:t>
            </w:r>
          </w:p>
        </w:tc>
        <w:tc>
          <w:tcPr>
            <w:tcW w:w="0" w:type="auto"/>
            <w:vAlign w:val="center"/>
          </w:tcPr>
          <w:p w:rsidR="00024C0A" w:rsidRDefault="00694C0F">
            <w:pPr>
              <w:pStyle w:val="TableBodyText"/>
            </w:pPr>
            <w:r>
              <w:t>závorky</w:t>
            </w:r>
          </w:p>
        </w:tc>
        <w:tc>
          <w:tcPr>
            <w:tcW w:w="0" w:type="auto"/>
            <w:vAlign w:val="center"/>
          </w:tcPr>
          <w:p w:rsidR="00024C0A" w:rsidRDefault="00694C0F">
            <w:pPr>
              <w:pStyle w:val="TableBodyText"/>
            </w:pPr>
            <w:r>
              <w:t>prefix</w:t>
            </w:r>
          </w:p>
        </w:tc>
        <w:tc>
          <w:tcPr>
            <w:tcW w:w="0" w:type="auto"/>
            <w:vAlign w:val="center"/>
          </w:tcPr>
          <w:p w:rsidR="00024C0A" w:rsidRDefault="00694C0F">
            <w:pPr>
              <w:pStyle w:val="TableBodyText"/>
            </w:pPr>
            <w:r>
              <w:t>zámek</w:t>
            </w:r>
          </w:p>
        </w:tc>
        <w:tc>
          <w:tcPr>
            <w:tcW w:w="0" w:type="auto"/>
            <w:vAlign w:val="center"/>
          </w:tcPr>
          <w:p w:rsidR="00024C0A" w:rsidRDefault="00694C0F">
            <w:pPr>
              <w:pStyle w:val="TableBodyText"/>
            </w:pPr>
            <w:r>
              <w:t>řádek</w:t>
            </w:r>
          </w:p>
        </w:tc>
        <w:tc>
          <w:tcPr>
            <w:tcW w:w="0" w:type="auto"/>
            <w:vAlign w:val="center"/>
          </w:tcPr>
          <w:p w:rsidR="00024C0A" w:rsidRDefault="00694C0F">
            <w:pPr>
              <w:pStyle w:val="TableBodyText"/>
            </w:pPr>
            <w:r>
              <w:t>list</w:t>
            </w:r>
          </w:p>
        </w:tc>
        <w:tc>
          <w:tcPr>
            <w:tcW w:w="0" w:type="auto"/>
            <w:vAlign w:val="center"/>
          </w:tcPr>
          <w:p w:rsidR="00024C0A" w:rsidRDefault="00694C0F">
            <w:pPr>
              <w:pStyle w:val="TableBodyText"/>
            </w:pPr>
            <w:r>
              <w:t>typ</w:t>
            </w:r>
          </w:p>
        </w:tc>
        <w:tc>
          <w:tcPr>
            <w:tcW w:w="0" w:type="auto"/>
            <w:vAlign w:val="center"/>
          </w:tcPr>
          <w:p w:rsidR="00024C0A" w:rsidRDefault="00694C0F">
            <w:pPr>
              <w:pStyle w:val="TableBodyText"/>
            </w:pPr>
            <w:r>
              <w:t>šířka</w:t>
            </w:r>
          </w:p>
        </w:tc>
      </w:tr>
      <w:tr w:rsidR="00024C0A" w:rsidTr="00024C0A">
        <w:tc>
          <w:tcPr>
            <w:tcW w:w="0" w:type="auto"/>
            <w:vAlign w:val="center"/>
          </w:tcPr>
          <w:p w:rsidR="00024C0A" w:rsidRDefault="00694C0F">
            <w:pPr>
              <w:pStyle w:val="TableBodyText"/>
            </w:pPr>
            <w:r>
              <w:t>da-dk</w:t>
            </w:r>
          </w:p>
        </w:tc>
        <w:tc>
          <w:tcPr>
            <w:tcW w:w="0" w:type="auto"/>
            <w:vAlign w:val="center"/>
          </w:tcPr>
          <w:p w:rsidR="00024C0A" w:rsidRDefault="00694C0F">
            <w:pPr>
              <w:pStyle w:val="TableBodyText"/>
            </w:pPr>
            <w:r>
              <w:t>parenteser</w:t>
            </w:r>
          </w:p>
        </w:tc>
        <w:tc>
          <w:tcPr>
            <w:tcW w:w="0" w:type="auto"/>
            <w:vAlign w:val="center"/>
          </w:tcPr>
          <w:p w:rsidR="00024C0A" w:rsidRDefault="00694C0F">
            <w:pPr>
              <w:pStyle w:val="TableBodyText"/>
            </w:pPr>
            <w:r>
              <w:t>foranstillet</w:t>
            </w:r>
          </w:p>
        </w:tc>
        <w:tc>
          <w:tcPr>
            <w:tcW w:w="0" w:type="auto"/>
            <w:vAlign w:val="center"/>
          </w:tcPr>
          <w:p w:rsidR="00024C0A" w:rsidRDefault="00694C0F">
            <w:pPr>
              <w:pStyle w:val="TableBodyText"/>
            </w:pPr>
            <w:r>
              <w:t>beskyt</w:t>
            </w:r>
          </w:p>
        </w:tc>
        <w:tc>
          <w:tcPr>
            <w:tcW w:w="0" w:type="auto"/>
            <w:vAlign w:val="center"/>
          </w:tcPr>
          <w:p w:rsidR="00024C0A" w:rsidRDefault="00694C0F">
            <w:pPr>
              <w:pStyle w:val="TableBodyText"/>
            </w:pPr>
            <w:r>
              <w:t>række</w:t>
            </w:r>
          </w:p>
        </w:tc>
        <w:tc>
          <w:tcPr>
            <w:tcW w:w="0" w:type="auto"/>
            <w:vAlign w:val="center"/>
          </w:tcPr>
          <w:p w:rsidR="00024C0A" w:rsidRDefault="00694C0F">
            <w:pPr>
              <w:pStyle w:val="TableBodyText"/>
            </w:pPr>
            <w:r>
              <w:t>ark</w:t>
            </w:r>
          </w:p>
        </w:tc>
        <w:tc>
          <w:tcPr>
            <w:tcW w:w="0" w:type="auto"/>
            <w:vAlign w:val="center"/>
          </w:tcPr>
          <w:p w:rsidR="00024C0A" w:rsidRDefault="00694C0F">
            <w:pPr>
              <w:pStyle w:val="TableBodyText"/>
            </w:pPr>
            <w:r>
              <w:t>værditype</w:t>
            </w:r>
          </w:p>
        </w:tc>
        <w:tc>
          <w:tcPr>
            <w:tcW w:w="0" w:type="auto"/>
            <w:vAlign w:val="center"/>
          </w:tcPr>
          <w:p w:rsidR="00024C0A" w:rsidRDefault="00694C0F">
            <w:pPr>
              <w:pStyle w:val="TableBodyText"/>
            </w:pPr>
            <w:r>
              <w:t>bredde</w:t>
            </w:r>
          </w:p>
        </w:tc>
      </w:tr>
      <w:tr w:rsidR="00024C0A" w:rsidTr="00024C0A">
        <w:tc>
          <w:tcPr>
            <w:tcW w:w="0" w:type="auto"/>
            <w:vAlign w:val="center"/>
          </w:tcPr>
          <w:p w:rsidR="00024C0A" w:rsidRDefault="00694C0F">
            <w:pPr>
              <w:pStyle w:val="TableBodyText"/>
            </w:pPr>
            <w:r>
              <w:lastRenderedPageBreak/>
              <w:t>de-de</w:t>
            </w:r>
          </w:p>
        </w:tc>
        <w:tc>
          <w:tcPr>
            <w:tcW w:w="0" w:type="auto"/>
            <w:vAlign w:val="center"/>
          </w:tcPr>
          <w:p w:rsidR="00024C0A" w:rsidRDefault="00694C0F">
            <w:pPr>
              <w:pStyle w:val="TableBodyText"/>
            </w:pPr>
            <w:r>
              <w:t>klammern</w:t>
            </w:r>
          </w:p>
        </w:tc>
        <w:tc>
          <w:tcPr>
            <w:tcW w:w="0" w:type="auto"/>
            <w:vAlign w:val="center"/>
          </w:tcPr>
          <w:p w:rsidR="00024C0A" w:rsidRDefault="00694C0F">
            <w:pPr>
              <w:pStyle w:val="TableBodyText"/>
            </w:pPr>
            <w:r>
              <w:t>präfix</w:t>
            </w:r>
          </w:p>
        </w:tc>
        <w:tc>
          <w:tcPr>
            <w:tcW w:w="0" w:type="auto"/>
            <w:vAlign w:val="center"/>
          </w:tcPr>
          <w:p w:rsidR="00024C0A" w:rsidRDefault="00694C0F">
            <w:pPr>
              <w:pStyle w:val="TableBodyText"/>
            </w:pPr>
            <w:r>
              <w:t>schutz</w:t>
            </w:r>
          </w:p>
        </w:tc>
        <w:tc>
          <w:tcPr>
            <w:tcW w:w="0" w:type="auto"/>
            <w:vAlign w:val="center"/>
          </w:tcPr>
          <w:p w:rsidR="00024C0A" w:rsidRDefault="00694C0F">
            <w:pPr>
              <w:pStyle w:val="TableBodyText"/>
            </w:pPr>
            <w:r>
              <w:t>zeile</w:t>
            </w:r>
          </w:p>
        </w:tc>
        <w:tc>
          <w:tcPr>
            <w:tcW w:w="0" w:type="auto"/>
            <w:vAlign w:val="center"/>
          </w:tcPr>
          <w:p w:rsidR="00024C0A" w:rsidRDefault="00694C0F">
            <w:pPr>
              <w:pStyle w:val="TableBodyText"/>
            </w:pPr>
            <w:r>
              <w:t>blatt</w:t>
            </w:r>
          </w:p>
        </w:tc>
        <w:tc>
          <w:tcPr>
            <w:tcW w:w="0" w:type="auto"/>
            <w:vAlign w:val="center"/>
          </w:tcPr>
          <w:p w:rsidR="00024C0A" w:rsidRDefault="00694C0F">
            <w:pPr>
              <w:pStyle w:val="TableBodyText"/>
            </w:pPr>
            <w:r>
              <w:t>typ</w:t>
            </w:r>
          </w:p>
        </w:tc>
        <w:tc>
          <w:tcPr>
            <w:tcW w:w="0" w:type="auto"/>
            <w:vAlign w:val="center"/>
          </w:tcPr>
          <w:p w:rsidR="00024C0A" w:rsidRDefault="00694C0F">
            <w:pPr>
              <w:pStyle w:val="TableBodyText"/>
            </w:pPr>
            <w:r>
              <w:t>breite</w:t>
            </w:r>
          </w:p>
        </w:tc>
      </w:tr>
      <w:tr w:rsidR="00024C0A" w:rsidTr="00024C0A">
        <w:tc>
          <w:tcPr>
            <w:tcW w:w="0" w:type="auto"/>
            <w:vAlign w:val="center"/>
          </w:tcPr>
          <w:p w:rsidR="00024C0A" w:rsidRDefault="00694C0F">
            <w:pPr>
              <w:pStyle w:val="TableBodyText"/>
            </w:pPr>
            <w:r>
              <w:t>es-es</w:t>
            </w:r>
          </w:p>
        </w:tc>
        <w:tc>
          <w:tcPr>
            <w:tcW w:w="0" w:type="auto"/>
            <w:vAlign w:val="center"/>
          </w:tcPr>
          <w:p w:rsidR="00024C0A" w:rsidRDefault="00694C0F">
            <w:pPr>
              <w:pStyle w:val="TableBodyText"/>
            </w:pPr>
            <w:r>
              <w:t>parentesis</w:t>
            </w:r>
          </w:p>
        </w:tc>
        <w:tc>
          <w:tcPr>
            <w:tcW w:w="0" w:type="auto"/>
            <w:vAlign w:val="center"/>
          </w:tcPr>
          <w:p w:rsidR="00024C0A" w:rsidRDefault="00694C0F">
            <w:pPr>
              <w:pStyle w:val="TableBodyText"/>
            </w:pPr>
            <w:r>
              <w:t>prefijo</w:t>
            </w:r>
          </w:p>
        </w:tc>
        <w:tc>
          <w:tcPr>
            <w:tcW w:w="0" w:type="auto"/>
            <w:vAlign w:val="center"/>
          </w:tcPr>
          <w:p w:rsidR="00024C0A" w:rsidRDefault="00694C0F">
            <w:pPr>
              <w:pStyle w:val="TableBodyText"/>
            </w:pPr>
            <w:r>
              <w:t>proteger</w:t>
            </w:r>
          </w:p>
        </w:tc>
        <w:tc>
          <w:tcPr>
            <w:tcW w:w="0" w:type="auto"/>
            <w:vAlign w:val="center"/>
          </w:tcPr>
          <w:p w:rsidR="00024C0A" w:rsidRDefault="00694C0F">
            <w:pPr>
              <w:pStyle w:val="TableBodyText"/>
            </w:pPr>
            <w:r>
              <w:t>fila</w:t>
            </w:r>
          </w:p>
        </w:tc>
        <w:tc>
          <w:tcPr>
            <w:tcW w:w="0" w:type="auto"/>
            <w:vAlign w:val="center"/>
          </w:tcPr>
          <w:p w:rsidR="00024C0A" w:rsidRDefault="00694C0F">
            <w:pPr>
              <w:pStyle w:val="TableBodyText"/>
            </w:pPr>
            <w:r>
              <w:t>hoja</w:t>
            </w:r>
          </w:p>
        </w:tc>
        <w:tc>
          <w:tcPr>
            <w:tcW w:w="0" w:type="auto"/>
            <w:vAlign w:val="center"/>
          </w:tcPr>
          <w:p w:rsidR="00024C0A" w:rsidRDefault="00694C0F">
            <w:pPr>
              <w:pStyle w:val="TableBodyText"/>
            </w:pPr>
            <w:r>
              <w:t>tipo</w:t>
            </w:r>
          </w:p>
        </w:tc>
        <w:tc>
          <w:tcPr>
            <w:tcW w:w="0" w:type="auto"/>
            <w:vAlign w:val="center"/>
          </w:tcPr>
          <w:p w:rsidR="00024C0A" w:rsidRDefault="00694C0F">
            <w:pPr>
              <w:pStyle w:val="TableBodyText"/>
            </w:pPr>
            <w:r>
              <w:t>ancho</w:t>
            </w:r>
          </w:p>
        </w:tc>
      </w:tr>
      <w:tr w:rsidR="00024C0A" w:rsidTr="00024C0A">
        <w:tc>
          <w:tcPr>
            <w:tcW w:w="0" w:type="auto"/>
            <w:vAlign w:val="center"/>
          </w:tcPr>
          <w:p w:rsidR="00024C0A" w:rsidRDefault="00694C0F">
            <w:pPr>
              <w:pStyle w:val="TableBodyText"/>
            </w:pPr>
            <w:r>
              <w:t>et-ee</w:t>
            </w:r>
          </w:p>
        </w:tc>
        <w:tc>
          <w:tcPr>
            <w:tcW w:w="0" w:type="auto"/>
            <w:vAlign w:val="center"/>
          </w:tcPr>
          <w:p w:rsidR="00024C0A" w:rsidRDefault="00694C0F">
            <w:pPr>
              <w:pStyle w:val="TableBodyText"/>
            </w:pPr>
            <w:r>
              <w:t>sulud</w:t>
            </w:r>
          </w:p>
        </w:tc>
        <w:tc>
          <w:tcPr>
            <w:tcW w:w="0" w:type="auto"/>
            <w:vAlign w:val="center"/>
          </w:tcPr>
          <w:p w:rsidR="00024C0A" w:rsidRDefault="00694C0F">
            <w:pPr>
              <w:pStyle w:val="TableBodyText"/>
            </w:pPr>
            <w:r>
              <w:t>eesliide</w:t>
            </w:r>
          </w:p>
        </w:tc>
        <w:tc>
          <w:tcPr>
            <w:tcW w:w="0" w:type="auto"/>
            <w:vAlign w:val="center"/>
          </w:tcPr>
          <w:p w:rsidR="00024C0A" w:rsidRDefault="00694C0F">
            <w:pPr>
              <w:pStyle w:val="TableBodyText"/>
            </w:pPr>
            <w:r>
              <w:t>kaitse</w:t>
            </w:r>
          </w:p>
        </w:tc>
        <w:tc>
          <w:tcPr>
            <w:tcW w:w="0" w:type="auto"/>
            <w:vAlign w:val="center"/>
          </w:tcPr>
          <w:p w:rsidR="00024C0A" w:rsidRDefault="00694C0F">
            <w:pPr>
              <w:pStyle w:val="TableBodyText"/>
            </w:pPr>
            <w:r>
              <w:t>rida</w:t>
            </w:r>
          </w:p>
        </w:tc>
        <w:tc>
          <w:tcPr>
            <w:tcW w:w="0" w:type="auto"/>
            <w:vAlign w:val="center"/>
          </w:tcPr>
          <w:p w:rsidR="00024C0A" w:rsidRDefault="00694C0F">
            <w:pPr>
              <w:pStyle w:val="TableBodyText"/>
            </w:pPr>
            <w:r>
              <w:t>leht</w:t>
            </w:r>
          </w:p>
        </w:tc>
        <w:tc>
          <w:tcPr>
            <w:tcW w:w="0" w:type="auto"/>
            <w:vAlign w:val="center"/>
          </w:tcPr>
          <w:p w:rsidR="00024C0A" w:rsidRDefault="00694C0F">
            <w:pPr>
              <w:pStyle w:val="TableBodyText"/>
            </w:pPr>
            <w:r>
              <w:t>tüüp</w:t>
            </w:r>
          </w:p>
        </w:tc>
        <w:tc>
          <w:tcPr>
            <w:tcW w:w="0" w:type="auto"/>
            <w:vAlign w:val="center"/>
          </w:tcPr>
          <w:p w:rsidR="00024C0A" w:rsidRDefault="00694C0F">
            <w:pPr>
              <w:pStyle w:val="TableBodyText"/>
            </w:pPr>
            <w:r>
              <w:t>laius</w:t>
            </w:r>
          </w:p>
        </w:tc>
      </w:tr>
      <w:tr w:rsidR="00024C0A" w:rsidTr="00024C0A">
        <w:tc>
          <w:tcPr>
            <w:tcW w:w="0" w:type="auto"/>
            <w:vAlign w:val="center"/>
          </w:tcPr>
          <w:p w:rsidR="00024C0A" w:rsidRDefault="00694C0F">
            <w:pPr>
              <w:pStyle w:val="TableBodyText"/>
            </w:pPr>
            <w:r>
              <w:t>fi-fi</w:t>
            </w:r>
          </w:p>
        </w:tc>
        <w:tc>
          <w:tcPr>
            <w:tcW w:w="0" w:type="auto"/>
            <w:vAlign w:val="center"/>
          </w:tcPr>
          <w:p w:rsidR="00024C0A" w:rsidRDefault="00694C0F">
            <w:pPr>
              <w:pStyle w:val="TableBodyText"/>
            </w:pPr>
            <w:r>
              <w:t>sulkeet</w:t>
            </w:r>
          </w:p>
        </w:tc>
        <w:tc>
          <w:tcPr>
            <w:tcW w:w="0" w:type="auto"/>
            <w:vAlign w:val="center"/>
          </w:tcPr>
          <w:p w:rsidR="00024C0A" w:rsidRDefault="00694C0F">
            <w:pPr>
              <w:pStyle w:val="TableBodyText"/>
            </w:pPr>
            <w:r>
              <w:t>etuliite</w:t>
            </w:r>
          </w:p>
        </w:tc>
        <w:tc>
          <w:tcPr>
            <w:tcW w:w="0" w:type="auto"/>
            <w:vAlign w:val="center"/>
          </w:tcPr>
          <w:p w:rsidR="00024C0A" w:rsidRDefault="00694C0F">
            <w:pPr>
              <w:pStyle w:val="TableBodyText"/>
            </w:pPr>
            <w:r>
              <w:t>suojaus</w:t>
            </w:r>
          </w:p>
        </w:tc>
        <w:tc>
          <w:tcPr>
            <w:tcW w:w="0" w:type="auto"/>
            <w:vAlign w:val="center"/>
          </w:tcPr>
          <w:p w:rsidR="00024C0A" w:rsidRDefault="00694C0F">
            <w:pPr>
              <w:pStyle w:val="TableBodyText"/>
            </w:pPr>
            <w:r>
              <w:t>rivi</w:t>
            </w:r>
          </w:p>
        </w:tc>
        <w:tc>
          <w:tcPr>
            <w:tcW w:w="0" w:type="auto"/>
            <w:vAlign w:val="center"/>
          </w:tcPr>
          <w:p w:rsidR="00024C0A" w:rsidRDefault="00694C0F">
            <w:pPr>
              <w:pStyle w:val="TableBodyText"/>
            </w:pPr>
            <w:r>
              <w:t>taulukko</w:t>
            </w:r>
          </w:p>
        </w:tc>
        <w:tc>
          <w:tcPr>
            <w:tcW w:w="0" w:type="auto"/>
            <w:vAlign w:val="center"/>
          </w:tcPr>
          <w:p w:rsidR="00024C0A" w:rsidRDefault="00694C0F">
            <w:pPr>
              <w:pStyle w:val="TableBodyText"/>
            </w:pPr>
            <w:r>
              <w:t>tyyppi</w:t>
            </w:r>
          </w:p>
        </w:tc>
        <w:tc>
          <w:tcPr>
            <w:tcW w:w="0" w:type="auto"/>
            <w:vAlign w:val="center"/>
          </w:tcPr>
          <w:p w:rsidR="00024C0A" w:rsidRDefault="00694C0F">
            <w:pPr>
              <w:pStyle w:val="TableBodyText"/>
            </w:pPr>
            <w:r>
              <w:t>leveys</w:t>
            </w:r>
          </w:p>
        </w:tc>
      </w:tr>
      <w:tr w:rsidR="00024C0A" w:rsidTr="00024C0A">
        <w:tc>
          <w:tcPr>
            <w:tcW w:w="0" w:type="auto"/>
            <w:vAlign w:val="center"/>
          </w:tcPr>
          <w:p w:rsidR="00024C0A" w:rsidRDefault="00694C0F">
            <w:pPr>
              <w:pStyle w:val="TableBodyText"/>
            </w:pPr>
            <w:r>
              <w:t>fr-fr</w:t>
            </w:r>
          </w:p>
        </w:tc>
        <w:tc>
          <w:tcPr>
            <w:tcW w:w="0" w:type="auto"/>
            <w:vAlign w:val="center"/>
          </w:tcPr>
          <w:p w:rsidR="00024C0A" w:rsidRDefault="00694C0F">
            <w:pPr>
              <w:pStyle w:val="TableBodyText"/>
            </w:pPr>
            <w:r>
              <w:t>parentheses</w:t>
            </w:r>
          </w:p>
        </w:tc>
        <w:tc>
          <w:tcPr>
            <w:tcW w:w="0" w:type="auto"/>
            <w:vAlign w:val="center"/>
          </w:tcPr>
          <w:p w:rsidR="00024C0A" w:rsidRDefault="00694C0F">
            <w:pPr>
              <w:pStyle w:val="TableBodyText"/>
            </w:pPr>
            <w:r>
              <w:t>prefixe</w:t>
            </w:r>
          </w:p>
        </w:tc>
        <w:tc>
          <w:tcPr>
            <w:tcW w:w="0" w:type="auto"/>
            <w:vAlign w:val="center"/>
          </w:tcPr>
          <w:p w:rsidR="00024C0A" w:rsidRDefault="00694C0F">
            <w:pPr>
              <w:pStyle w:val="TableBodyText"/>
            </w:pPr>
            <w:r>
              <w:t>protege</w:t>
            </w:r>
          </w:p>
        </w:tc>
        <w:tc>
          <w:tcPr>
            <w:tcW w:w="0" w:type="auto"/>
            <w:vAlign w:val="center"/>
          </w:tcPr>
          <w:p w:rsidR="00024C0A" w:rsidRDefault="00694C0F">
            <w:pPr>
              <w:pStyle w:val="TableBodyText"/>
            </w:pPr>
            <w:r>
              <w:t>ligne</w:t>
            </w:r>
          </w:p>
        </w:tc>
        <w:tc>
          <w:tcPr>
            <w:tcW w:w="0" w:type="auto"/>
            <w:vAlign w:val="center"/>
          </w:tcPr>
          <w:p w:rsidR="00024C0A" w:rsidRDefault="00694C0F">
            <w:pPr>
              <w:pStyle w:val="TableBodyText"/>
            </w:pPr>
            <w:r>
              <w:t>feuille</w:t>
            </w:r>
          </w:p>
        </w:tc>
        <w:tc>
          <w:tcPr>
            <w:tcW w:w="0" w:type="auto"/>
            <w:vAlign w:val="center"/>
          </w:tcPr>
          <w:p w:rsidR="00024C0A" w:rsidRDefault="00694C0F">
            <w:pPr>
              <w:pStyle w:val="TableBodyText"/>
            </w:pPr>
            <w:r>
              <w:t>type</w:t>
            </w:r>
          </w:p>
        </w:tc>
        <w:tc>
          <w:tcPr>
            <w:tcW w:w="0" w:type="auto"/>
            <w:vAlign w:val="center"/>
          </w:tcPr>
          <w:p w:rsidR="00024C0A" w:rsidRDefault="00694C0F">
            <w:pPr>
              <w:pStyle w:val="TableBodyText"/>
            </w:pPr>
            <w:r>
              <w:t>largeur</w:t>
            </w:r>
          </w:p>
        </w:tc>
      </w:tr>
      <w:tr w:rsidR="00024C0A" w:rsidTr="00024C0A">
        <w:tc>
          <w:tcPr>
            <w:tcW w:w="0" w:type="auto"/>
            <w:vAlign w:val="center"/>
          </w:tcPr>
          <w:p w:rsidR="00024C0A" w:rsidRDefault="00694C0F">
            <w:pPr>
              <w:pStyle w:val="TableBodyText"/>
            </w:pPr>
            <w:r>
              <w:t>hu-hu</w:t>
            </w:r>
          </w:p>
        </w:tc>
        <w:tc>
          <w:tcPr>
            <w:tcW w:w="0" w:type="auto"/>
            <w:vAlign w:val="center"/>
          </w:tcPr>
          <w:p w:rsidR="00024C0A" w:rsidRDefault="00694C0F">
            <w:pPr>
              <w:pStyle w:val="TableBodyText"/>
            </w:pPr>
            <w:r>
              <w:t>zárójelek</w:t>
            </w:r>
          </w:p>
        </w:tc>
        <w:tc>
          <w:tcPr>
            <w:tcW w:w="0" w:type="auto"/>
            <w:vAlign w:val="center"/>
          </w:tcPr>
          <w:p w:rsidR="00024C0A" w:rsidRDefault="00694C0F">
            <w:pPr>
              <w:pStyle w:val="TableBodyText"/>
            </w:pPr>
            <w:r>
              <w:t>előtag</w:t>
            </w:r>
          </w:p>
        </w:tc>
        <w:tc>
          <w:tcPr>
            <w:tcW w:w="0" w:type="auto"/>
            <w:vAlign w:val="center"/>
          </w:tcPr>
          <w:p w:rsidR="00024C0A" w:rsidRDefault="00694C0F">
            <w:pPr>
              <w:pStyle w:val="TableBodyText"/>
            </w:pPr>
            <w:r>
              <w:t>védett</w:t>
            </w:r>
          </w:p>
        </w:tc>
        <w:tc>
          <w:tcPr>
            <w:tcW w:w="0" w:type="auto"/>
            <w:vAlign w:val="center"/>
          </w:tcPr>
          <w:p w:rsidR="00024C0A" w:rsidRDefault="00694C0F">
            <w:pPr>
              <w:pStyle w:val="TableBodyText"/>
            </w:pPr>
            <w:r>
              <w:t>sor</w:t>
            </w:r>
          </w:p>
        </w:tc>
        <w:tc>
          <w:tcPr>
            <w:tcW w:w="0" w:type="auto"/>
            <w:vAlign w:val="center"/>
          </w:tcPr>
          <w:p w:rsidR="00024C0A" w:rsidRDefault="00694C0F">
            <w:pPr>
              <w:pStyle w:val="TableBodyText"/>
            </w:pPr>
            <w:r>
              <w:t>lap</w:t>
            </w:r>
          </w:p>
        </w:tc>
        <w:tc>
          <w:tcPr>
            <w:tcW w:w="0" w:type="auto"/>
            <w:vAlign w:val="center"/>
          </w:tcPr>
          <w:p w:rsidR="00024C0A" w:rsidRDefault="00694C0F">
            <w:pPr>
              <w:pStyle w:val="TableBodyText"/>
            </w:pPr>
            <w:r>
              <w:t>típus</w:t>
            </w:r>
          </w:p>
        </w:tc>
        <w:tc>
          <w:tcPr>
            <w:tcW w:w="0" w:type="auto"/>
            <w:vAlign w:val="center"/>
          </w:tcPr>
          <w:p w:rsidR="00024C0A" w:rsidRDefault="00694C0F">
            <w:pPr>
              <w:pStyle w:val="TableBodyText"/>
            </w:pPr>
            <w:r>
              <w:t>széles</w:t>
            </w:r>
          </w:p>
        </w:tc>
      </w:tr>
      <w:tr w:rsidR="00024C0A" w:rsidTr="00024C0A">
        <w:tc>
          <w:tcPr>
            <w:tcW w:w="0" w:type="auto"/>
            <w:vAlign w:val="center"/>
          </w:tcPr>
          <w:p w:rsidR="00024C0A" w:rsidRDefault="00694C0F">
            <w:pPr>
              <w:pStyle w:val="TableBodyText"/>
            </w:pPr>
            <w:r>
              <w:t>it-it</w:t>
            </w:r>
          </w:p>
        </w:tc>
        <w:tc>
          <w:tcPr>
            <w:tcW w:w="0" w:type="auto"/>
            <w:vAlign w:val="center"/>
          </w:tcPr>
          <w:p w:rsidR="00024C0A" w:rsidRDefault="00694C0F">
            <w:pPr>
              <w:pStyle w:val="TableBodyText"/>
            </w:pPr>
            <w:r>
              <w:t>parentesi</w:t>
            </w:r>
          </w:p>
        </w:tc>
        <w:tc>
          <w:tcPr>
            <w:tcW w:w="0" w:type="auto"/>
            <w:vAlign w:val="center"/>
          </w:tcPr>
          <w:p w:rsidR="00024C0A" w:rsidRDefault="00694C0F">
            <w:pPr>
              <w:pStyle w:val="TableBodyText"/>
            </w:pPr>
            <w:r>
              <w:t>prefisso</w:t>
            </w:r>
          </w:p>
        </w:tc>
        <w:tc>
          <w:tcPr>
            <w:tcW w:w="0" w:type="auto"/>
            <w:vAlign w:val="center"/>
          </w:tcPr>
          <w:p w:rsidR="00024C0A" w:rsidRDefault="00694C0F">
            <w:pPr>
              <w:pStyle w:val="TableBodyText"/>
            </w:pPr>
            <w:r>
              <w:t>proteggi</w:t>
            </w:r>
          </w:p>
        </w:tc>
        <w:tc>
          <w:tcPr>
            <w:tcW w:w="0" w:type="auto"/>
            <w:vAlign w:val="center"/>
          </w:tcPr>
          <w:p w:rsidR="00024C0A" w:rsidRDefault="00694C0F">
            <w:pPr>
              <w:pStyle w:val="TableBodyText"/>
            </w:pPr>
            <w:r>
              <w:t>riga</w:t>
            </w:r>
          </w:p>
        </w:tc>
        <w:tc>
          <w:tcPr>
            <w:tcW w:w="0" w:type="auto"/>
            <w:vAlign w:val="center"/>
          </w:tcPr>
          <w:p w:rsidR="00024C0A" w:rsidRDefault="00694C0F">
            <w:pPr>
              <w:pStyle w:val="TableBodyText"/>
            </w:pPr>
            <w:r>
              <w:t>foglio</w:t>
            </w:r>
          </w:p>
        </w:tc>
        <w:tc>
          <w:tcPr>
            <w:tcW w:w="0" w:type="auto"/>
            <w:vAlign w:val="center"/>
          </w:tcPr>
          <w:p w:rsidR="00024C0A" w:rsidRDefault="00694C0F">
            <w:pPr>
              <w:pStyle w:val="TableBodyText"/>
            </w:pPr>
            <w:r>
              <w:t>tipo</w:t>
            </w:r>
          </w:p>
        </w:tc>
        <w:tc>
          <w:tcPr>
            <w:tcW w:w="0" w:type="auto"/>
            <w:vAlign w:val="center"/>
          </w:tcPr>
          <w:p w:rsidR="00024C0A" w:rsidRDefault="00694C0F">
            <w:pPr>
              <w:pStyle w:val="TableBodyText"/>
            </w:pPr>
            <w:r>
              <w:t>larghezza</w:t>
            </w:r>
          </w:p>
        </w:tc>
      </w:tr>
      <w:tr w:rsidR="00024C0A" w:rsidTr="00024C0A">
        <w:tc>
          <w:tcPr>
            <w:tcW w:w="0" w:type="auto"/>
            <w:vAlign w:val="center"/>
          </w:tcPr>
          <w:p w:rsidR="00024C0A" w:rsidRDefault="00694C0F">
            <w:pPr>
              <w:pStyle w:val="TableBodyText"/>
            </w:pPr>
            <w:r>
              <w:t>kk-kz</w:t>
            </w:r>
          </w:p>
        </w:tc>
        <w:tc>
          <w:tcPr>
            <w:tcW w:w="0" w:type="auto"/>
            <w:vAlign w:val="center"/>
          </w:tcPr>
          <w:p w:rsidR="00024C0A" w:rsidRDefault="00694C0F">
            <w:pPr>
              <w:pStyle w:val="TableBodyText"/>
            </w:pPr>
            <w:r>
              <w:t>жақшалар</w:t>
            </w:r>
          </w:p>
        </w:tc>
        <w:tc>
          <w:tcPr>
            <w:tcW w:w="0" w:type="auto"/>
            <w:vAlign w:val="center"/>
          </w:tcPr>
          <w:p w:rsidR="00024C0A" w:rsidRDefault="00694C0F">
            <w:pPr>
              <w:pStyle w:val="TableBodyText"/>
            </w:pPr>
            <w:r>
              <w:t>префикс</w:t>
            </w:r>
          </w:p>
        </w:tc>
        <w:tc>
          <w:tcPr>
            <w:tcW w:w="0" w:type="auto"/>
            <w:vAlign w:val="center"/>
          </w:tcPr>
          <w:p w:rsidR="00024C0A" w:rsidRDefault="00694C0F">
            <w:pPr>
              <w:pStyle w:val="TableBodyText"/>
            </w:pPr>
            <w:r>
              <w:t>қорғаныс</w:t>
            </w:r>
          </w:p>
        </w:tc>
        <w:tc>
          <w:tcPr>
            <w:tcW w:w="0" w:type="auto"/>
            <w:vAlign w:val="center"/>
          </w:tcPr>
          <w:p w:rsidR="00024C0A" w:rsidRDefault="00694C0F">
            <w:pPr>
              <w:pStyle w:val="TableBodyText"/>
            </w:pPr>
            <w:r>
              <w:t>жол</w:t>
            </w:r>
          </w:p>
        </w:tc>
        <w:tc>
          <w:tcPr>
            <w:tcW w:w="0" w:type="auto"/>
            <w:vAlign w:val="center"/>
          </w:tcPr>
          <w:p w:rsidR="00024C0A" w:rsidRDefault="00694C0F">
            <w:pPr>
              <w:pStyle w:val="TableBodyText"/>
            </w:pPr>
            <w:r>
              <w:t>ПАРАҚ</w:t>
            </w:r>
          </w:p>
          <w:p w:rsidR="00024C0A" w:rsidRDefault="00024C0A">
            <w:pPr>
              <w:pStyle w:val="TableBodyText"/>
            </w:pPr>
          </w:p>
        </w:tc>
        <w:tc>
          <w:tcPr>
            <w:tcW w:w="0" w:type="auto"/>
            <w:vAlign w:val="center"/>
          </w:tcPr>
          <w:p w:rsidR="00024C0A" w:rsidRDefault="00694C0F">
            <w:pPr>
              <w:pStyle w:val="TableBodyText"/>
            </w:pPr>
            <w:r>
              <w:t>түр</w:t>
            </w:r>
          </w:p>
        </w:tc>
        <w:tc>
          <w:tcPr>
            <w:tcW w:w="0" w:type="auto"/>
            <w:vAlign w:val="center"/>
          </w:tcPr>
          <w:p w:rsidR="00024C0A" w:rsidRDefault="00694C0F">
            <w:pPr>
              <w:pStyle w:val="TableBodyText"/>
            </w:pPr>
            <w:r>
              <w:t>ені</w:t>
            </w:r>
          </w:p>
        </w:tc>
      </w:tr>
      <w:tr w:rsidR="00024C0A" w:rsidTr="00024C0A">
        <w:tc>
          <w:tcPr>
            <w:tcW w:w="0" w:type="auto"/>
            <w:vAlign w:val="center"/>
          </w:tcPr>
          <w:p w:rsidR="00024C0A" w:rsidRDefault="00694C0F">
            <w:pPr>
              <w:pStyle w:val="TableBodyText"/>
            </w:pPr>
            <w:r>
              <w:t>lv-lv</w:t>
            </w:r>
          </w:p>
        </w:tc>
        <w:tc>
          <w:tcPr>
            <w:tcW w:w="0" w:type="auto"/>
            <w:vAlign w:val="center"/>
          </w:tcPr>
          <w:p w:rsidR="00024C0A" w:rsidRDefault="00694C0F">
            <w:pPr>
              <w:pStyle w:val="TableBodyText"/>
            </w:pPr>
            <w:r>
              <w:t>iekavas</w:t>
            </w:r>
          </w:p>
        </w:tc>
        <w:tc>
          <w:tcPr>
            <w:tcW w:w="0" w:type="auto"/>
            <w:vAlign w:val="center"/>
          </w:tcPr>
          <w:p w:rsidR="00024C0A" w:rsidRDefault="00694C0F">
            <w:pPr>
              <w:pStyle w:val="TableBodyText"/>
            </w:pPr>
            <w:r>
              <w:t>prefikss</w:t>
            </w:r>
          </w:p>
        </w:tc>
        <w:tc>
          <w:tcPr>
            <w:tcW w:w="0" w:type="auto"/>
            <w:vAlign w:val="center"/>
          </w:tcPr>
          <w:p w:rsidR="00024C0A" w:rsidRDefault="00694C0F">
            <w:pPr>
              <w:pStyle w:val="TableBodyText"/>
            </w:pPr>
            <w:r>
              <w:t>aizsargāt</w:t>
            </w:r>
          </w:p>
        </w:tc>
        <w:tc>
          <w:tcPr>
            <w:tcW w:w="0" w:type="auto"/>
            <w:vAlign w:val="center"/>
          </w:tcPr>
          <w:p w:rsidR="00024C0A" w:rsidRDefault="00694C0F">
            <w:pPr>
              <w:pStyle w:val="TableBodyText"/>
            </w:pPr>
            <w:r>
              <w:t>rinda</w:t>
            </w:r>
          </w:p>
        </w:tc>
        <w:tc>
          <w:tcPr>
            <w:tcW w:w="0" w:type="auto"/>
            <w:vAlign w:val="center"/>
          </w:tcPr>
          <w:p w:rsidR="00024C0A" w:rsidRDefault="00694C0F">
            <w:pPr>
              <w:pStyle w:val="TableBodyText"/>
            </w:pPr>
            <w:r>
              <w:t>lapa</w:t>
            </w:r>
          </w:p>
        </w:tc>
        <w:tc>
          <w:tcPr>
            <w:tcW w:w="0" w:type="auto"/>
            <w:vAlign w:val="center"/>
          </w:tcPr>
          <w:p w:rsidR="00024C0A" w:rsidRDefault="00694C0F">
            <w:pPr>
              <w:pStyle w:val="TableBodyText"/>
            </w:pPr>
            <w:r>
              <w:t>tips</w:t>
            </w:r>
          </w:p>
        </w:tc>
        <w:tc>
          <w:tcPr>
            <w:tcW w:w="0" w:type="auto"/>
            <w:vAlign w:val="center"/>
          </w:tcPr>
          <w:p w:rsidR="00024C0A" w:rsidRDefault="00694C0F">
            <w:pPr>
              <w:pStyle w:val="TableBodyText"/>
            </w:pPr>
            <w:r>
              <w:t>platums</w:t>
            </w:r>
          </w:p>
        </w:tc>
      </w:tr>
      <w:tr w:rsidR="00024C0A" w:rsidTr="00024C0A">
        <w:tc>
          <w:tcPr>
            <w:tcW w:w="0" w:type="auto"/>
            <w:vAlign w:val="center"/>
          </w:tcPr>
          <w:p w:rsidR="00024C0A" w:rsidRDefault="00694C0F">
            <w:pPr>
              <w:pStyle w:val="TableBodyText"/>
            </w:pPr>
            <w:r>
              <w:t>nb-no</w:t>
            </w:r>
          </w:p>
        </w:tc>
        <w:tc>
          <w:tcPr>
            <w:tcW w:w="0" w:type="auto"/>
            <w:vAlign w:val="center"/>
          </w:tcPr>
          <w:p w:rsidR="00024C0A" w:rsidRDefault="00694C0F">
            <w:pPr>
              <w:pStyle w:val="TableBodyText"/>
            </w:pPr>
            <w:r>
              <w:t>parenteser</w:t>
            </w:r>
          </w:p>
        </w:tc>
        <w:tc>
          <w:tcPr>
            <w:tcW w:w="0" w:type="auto"/>
            <w:vAlign w:val="center"/>
          </w:tcPr>
          <w:p w:rsidR="00024C0A" w:rsidRDefault="00694C0F">
            <w:pPr>
              <w:pStyle w:val="TableBodyText"/>
            </w:pPr>
            <w:r>
              <w:t>prefiks</w:t>
            </w:r>
          </w:p>
        </w:tc>
        <w:tc>
          <w:tcPr>
            <w:tcW w:w="0" w:type="auto"/>
            <w:vAlign w:val="center"/>
          </w:tcPr>
          <w:p w:rsidR="00024C0A" w:rsidRDefault="00694C0F">
            <w:pPr>
              <w:pStyle w:val="TableBodyText"/>
            </w:pPr>
            <w:r>
              <w:t>beskytt</w:t>
            </w:r>
          </w:p>
        </w:tc>
        <w:tc>
          <w:tcPr>
            <w:tcW w:w="0" w:type="auto"/>
            <w:vAlign w:val="center"/>
          </w:tcPr>
          <w:p w:rsidR="00024C0A" w:rsidRDefault="00694C0F">
            <w:pPr>
              <w:pStyle w:val="TableBodyText"/>
            </w:pPr>
            <w:r>
              <w:t>rad</w:t>
            </w:r>
          </w:p>
        </w:tc>
        <w:tc>
          <w:tcPr>
            <w:tcW w:w="0" w:type="auto"/>
            <w:vAlign w:val="center"/>
          </w:tcPr>
          <w:p w:rsidR="00024C0A" w:rsidRDefault="00694C0F">
            <w:pPr>
              <w:pStyle w:val="TableBodyText"/>
            </w:pPr>
            <w:r>
              <w:t>ark</w:t>
            </w:r>
          </w:p>
        </w:tc>
        <w:tc>
          <w:tcPr>
            <w:tcW w:w="0" w:type="auto"/>
            <w:vAlign w:val="center"/>
          </w:tcPr>
          <w:p w:rsidR="00024C0A" w:rsidRDefault="00694C0F">
            <w:pPr>
              <w:pStyle w:val="TableBodyText"/>
            </w:pPr>
            <w:r>
              <w:t>verditype</w:t>
            </w:r>
          </w:p>
        </w:tc>
        <w:tc>
          <w:tcPr>
            <w:tcW w:w="0" w:type="auto"/>
            <w:vAlign w:val="center"/>
          </w:tcPr>
          <w:p w:rsidR="00024C0A" w:rsidRDefault="00694C0F">
            <w:pPr>
              <w:pStyle w:val="TableBodyText"/>
            </w:pPr>
            <w:r>
              <w:t>bredde</w:t>
            </w:r>
          </w:p>
        </w:tc>
      </w:tr>
      <w:tr w:rsidR="00024C0A" w:rsidTr="00024C0A">
        <w:tc>
          <w:tcPr>
            <w:tcW w:w="0" w:type="auto"/>
            <w:vAlign w:val="center"/>
          </w:tcPr>
          <w:p w:rsidR="00024C0A" w:rsidRDefault="00694C0F">
            <w:pPr>
              <w:pStyle w:val="TableBodyText"/>
            </w:pPr>
            <w:r>
              <w:t>nl-nl</w:t>
            </w:r>
          </w:p>
        </w:tc>
        <w:tc>
          <w:tcPr>
            <w:tcW w:w="0" w:type="auto"/>
            <w:vAlign w:val="center"/>
          </w:tcPr>
          <w:p w:rsidR="00024C0A" w:rsidRDefault="00694C0F">
            <w:pPr>
              <w:pStyle w:val="TableBodyText"/>
            </w:pPr>
            <w:r>
              <w:t>haakjes</w:t>
            </w:r>
          </w:p>
        </w:tc>
        <w:tc>
          <w:tcPr>
            <w:tcW w:w="0" w:type="auto"/>
            <w:vAlign w:val="center"/>
          </w:tcPr>
          <w:p w:rsidR="00024C0A" w:rsidRDefault="00694C0F">
            <w:pPr>
              <w:pStyle w:val="TableBodyText"/>
            </w:pPr>
            <w:r>
              <w:t>voorvoegsel</w:t>
            </w:r>
          </w:p>
        </w:tc>
        <w:tc>
          <w:tcPr>
            <w:tcW w:w="0" w:type="auto"/>
            <w:vAlign w:val="center"/>
          </w:tcPr>
          <w:p w:rsidR="00024C0A" w:rsidRDefault="00694C0F">
            <w:pPr>
              <w:pStyle w:val="TableBodyText"/>
            </w:pPr>
            <w:r>
              <w:t>bescherming</w:t>
            </w:r>
          </w:p>
        </w:tc>
        <w:tc>
          <w:tcPr>
            <w:tcW w:w="0" w:type="auto"/>
            <w:vAlign w:val="center"/>
          </w:tcPr>
          <w:p w:rsidR="00024C0A" w:rsidRDefault="00694C0F">
            <w:pPr>
              <w:pStyle w:val="TableBodyText"/>
            </w:pPr>
            <w:r>
              <w:t>rij</w:t>
            </w:r>
          </w:p>
        </w:tc>
        <w:tc>
          <w:tcPr>
            <w:tcW w:w="0" w:type="auto"/>
            <w:vAlign w:val="center"/>
          </w:tcPr>
          <w:p w:rsidR="00024C0A" w:rsidRDefault="00694C0F">
            <w:pPr>
              <w:pStyle w:val="TableBodyText"/>
            </w:pPr>
            <w:r>
              <w:t>blad</w:t>
            </w:r>
          </w:p>
        </w:tc>
        <w:tc>
          <w:tcPr>
            <w:tcW w:w="0" w:type="auto"/>
            <w:vAlign w:val="center"/>
          </w:tcPr>
          <w:p w:rsidR="00024C0A" w:rsidRDefault="00694C0F">
            <w:pPr>
              <w:pStyle w:val="TableBodyText"/>
            </w:pPr>
            <w:r>
              <w:t>type</w:t>
            </w:r>
          </w:p>
        </w:tc>
        <w:tc>
          <w:tcPr>
            <w:tcW w:w="0" w:type="auto"/>
            <w:vAlign w:val="center"/>
          </w:tcPr>
          <w:p w:rsidR="00024C0A" w:rsidRDefault="00694C0F">
            <w:pPr>
              <w:pStyle w:val="TableBodyText"/>
            </w:pPr>
            <w:r>
              <w:t>breedte</w:t>
            </w:r>
          </w:p>
        </w:tc>
      </w:tr>
      <w:tr w:rsidR="00024C0A" w:rsidTr="00024C0A">
        <w:tc>
          <w:tcPr>
            <w:tcW w:w="0" w:type="auto"/>
            <w:vAlign w:val="center"/>
          </w:tcPr>
          <w:p w:rsidR="00024C0A" w:rsidRDefault="00694C0F">
            <w:pPr>
              <w:pStyle w:val="TableBodyText"/>
            </w:pPr>
            <w:r>
              <w:t>pl-pl</w:t>
            </w:r>
          </w:p>
        </w:tc>
        <w:tc>
          <w:tcPr>
            <w:tcW w:w="0" w:type="auto"/>
            <w:vAlign w:val="center"/>
          </w:tcPr>
          <w:p w:rsidR="00024C0A" w:rsidRDefault="00694C0F">
            <w:pPr>
              <w:pStyle w:val="TableBodyText"/>
            </w:pPr>
            <w:r>
              <w:t>nawiasy</w:t>
            </w:r>
          </w:p>
        </w:tc>
        <w:tc>
          <w:tcPr>
            <w:tcW w:w="0" w:type="auto"/>
            <w:vAlign w:val="center"/>
          </w:tcPr>
          <w:p w:rsidR="00024C0A" w:rsidRDefault="00694C0F">
            <w:pPr>
              <w:pStyle w:val="TableBodyText"/>
            </w:pPr>
            <w:r>
              <w:t>prefiks</w:t>
            </w:r>
          </w:p>
        </w:tc>
        <w:tc>
          <w:tcPr>
            <w:tcW w:w="0" w:type="auto"/>
            <w:vAlign w:val="center"/>
          </w:tcPr>
          <w:p w:rsidR="00024C0A" w:rsidRDefault="00694C0F">
            <w:pPr>
              <w:pStyle w:val="TableBodyText"/>
            </w:pPr>
            <w:r>
              <w:t>ochrona</w:t>
            </w:r>
          </w:p>
        </w:tc>
        <w:tc>
          <w:tcPr>
            <w:tcW w:w="0" w:type="auto"/>
            <w:vAlign w:val="center"/>
          </w:tcPr>
          <w:p w:rsidR="00024C0A" w:rsidRDefault="00694C0F">
            <w:pPr>
              <w:pStyle w:val="TableBodyText"/>
            </w:pPr>
            <w:r>
              <w:t>wiersz</w:t>
            </w:r>
          </w:p>
        </w:tc>
        <w:tc>
          <w:tcPr>
            <w:tcW w:w="0" w:type="auto"/>
            <w:vAlign w:val="center"/>
          </w:tcPr>
          <w:p w:rsidR="00024C0A" w:rsidRDefault="00694C0F">
            <w:pPr>
              <w:pStyle w:val="TableBodyText"/>
            </w:pPr>
            <w:r>
              <w:t>arkusz</w:t>
            </w:r>
          </w:p>
        </w:tc>
        <w:tc>
          <w:tcPr>
            <w:tcW w:w="0" w:type="auto"/>
            <w:vAlign w:val="center"/>
          </w:tcPr>
          <w:p w:rsidR="00024C0A" w:rsidRDefault="00694C0F">
            <w:pPr>
              <w:pStyle w:val="TableBodyText"/>
            </w:pPr>
            <w:r>
              <w:t>typ</w:t>
            </w:r>
          </w:p>
        </w:tc>
        <w:tc>
          <w:tcPr>
            <w:tcW w:w="0" w:type="auto"/>
            <w:vAlign w:val="center"/>
          </w:tcPr>
          <w:p w:rsidR="00024C0A" w:rsidRDefault="00694C0F">
            <w:pPr>
              <w:pStyle w:val="TableBodyText"/>
            </w:pPr>
            <w:r>
              <w:t>szerokość</w:t>
            </w:r>
          </w:p>
        </w:tc>
      </w:tr>
      <w:tr w:rsidR="00024C0A" w:rsidTr="00024C0A">
        <w:tc>
          <w:tcPr>
            <w:tcW w:w="0" w:type="auto"/>
            <w:vAlign w:val="center"/>
          </w:tcPr>
          <w:p w:rsidR="00024C0A" w:rsidRDefault="00694C0F">
            <w:pPr>
              <w:pStyle w:val="TableBodyText"/>
            </w:pPr>
            <w:r>
              <w:t>pt-br</w:t>
            </w:r>
          </w:p>
        </w:tc>
        <w:tc>
          <w:tcPr>
            <w:tcW w:w="0" w:type="auto"/>
            <w:vAlign w:val="center"/>
          </w:tcPr>
          <w:p w:rsidR="00024C0A" w:rsidRDefault="00694C0F">
            <w:pPr>
              <w:pStyle w:val="TableBodyText"/>
            </w:pPr>
            <w:r>
              <w:t>parênteses</w:t>
            </w:r>
          </w:p>
        </w:tc>
        <w:tc>
          <w:tcPr>
            <w:tcW w:w="0" w:type="auto"/>
            <w:vAlign w:val="center"/>
          </w:tcPr>
          <w:p w:rsidR="00024C0A" w:rsidRDefault="00694C0F">
            <w:pPr>
              <w:pStyle w:val="TableBodyText"/>
            </w:pPr>
            <w:r>
              <w:t>prefixo</w:t>
            </w:r>
          </w:p>
        </w:tc>
        <w:tc>
          <w:tcPr>
            <w:tcW w:w="0" w:type="auto"/>
            <w:vAlign w:val="center"/>
          </w:tcPr>
          <w:p w:rsidR="00024C0A" w:rsidRDefault="00694C0F">
            <w:pPr>
              <w:pStyle w:val="TableBodyText"/>
            </w:pPr>
            <w:r>
              <w:t>proteger</w:t>
            </w:r>
          </w:p>
        </w:tc>
        <w:tc>
          <w:tcPr>
            <w:tcW w:w="0" w:type="auto"/>
            <w:vAlign w:val="center"/>
          </w:tcPr>
          <w:p w:rsidR="00024C0A" w:rsidRDefault="00694C0F">
            <w:pPr>
              <w:pStyle w:val="TableBodyText"/>
            </w:pPr>
            <w:r>
              <w:t>lin</w:t>
            </w:r>
          </w:p>
        </w:tc>
        <w:tc>
          <w:tcPr>
            <w:tcW w:w="0" w:type="auto"/>
            <w:vAlign w:val="center"/>
          </w:tcPr>
          <w:p w:rsidR="00024C0A" w:rsidRDefault="00694C0F">
            <w:pPr>
              <w:pStyle w:val="TableBodyText"/>
            </w:pPr>
            <w:r>
              <w:t>planilha</w:t>
            </w:r>
          </w:p>
        </w:tc>
        <w:tc>
          <w:tcPr>
            <w:tcW w:w="0" w:type="auto"/>
            <w:vAlign w:val="center"/>
          </w:tcPr>
          <w:p w:rsidR="00024C0A" w:rsidRDefault="00694C0F">
            <w:pPr>
              <w:pStyle w:val="TableBodyText"/>
            </w:pPr>
            <w:r>
              <w:t>tipo</w:t>
            </w:r>
          </w:p>
        </w:tc>
        <w:tc>
          <w:tcPr>
            <w:tcW w:w="0" w:type="auto"/>
            <w:vAlign w:val="center"/>
          </w:tcPr>
          <w:p w:rsidR="00024C0A" w:rsidRDefault="00694C0F">
            <w:pPr>
              <w:pStyle w:val="TableBodyText"/>
            </w:pPr>
            <w:r>
              <w:t>largura</w:t>
            </w:r>
          </w:p>
        </w:tc>
      </w:tr>
      <w:tr w:rsidR="00024C0A" w:rsidTr="00024C0A">
        <w:tc>
          <w:tcPr>
            <w:tcW w:w="0" w:type="auto"/>
            <w:vAlign w:val="center"/>
          </w:tcPr>
          <w:p w:rsidR="00024C0A" w:rsidRDefault="00694C0F">
            <w:pPr>
              <w:pStyle w:val="TableBodyText"/>
            </w:pPr>
            <w:r>
              <w:t>pt-pt</w:t>
            </w:r>
          </w:p>
        </w:tc>
        <w:tc>
          <w:tcPr>
            <w:tcW w:w="0" w:type="auto"/>
            <w:vAlign w:val="center"/>
          </w:tcPr>
          <w:p w:rsidR="00024C0A" w:rsidRDefault="00694C0F">
            <w:pPr>
              <w:pStyle w:val="TableBodyText"/>
            </w:pPr>
            <w:r>
              <w:t>parênteses</w:t>
            </w:r>
          </w:p>
        </w:tc>
        <w:tc>
          <w:tcPr>
            <w:tcW w:w="0" w:type="auto"/>
            <w:vAlign w:val="center"/>
          </w:tcPr>
          <w:p w:rsidR="00024C0A" w:rsidRDefault="00694C0F">
            <w:pPr>
              <w:pStyle w:val="TableBodyText"/>
            </w:pPr>
            <w:r>
              <w:t>prefixo</w:t>
            </w:r>
          </w:p>
        </w:tc>
        <w:tc>
          <w:tcPr>
            <w:tcW w:w="0" w:type="auto"/>
            <w:vAlign w:val="center"/>
          </w:tcPr>
          <w:p w:rsidR="00024C0A" w:rsidRDefault="00694C0F">
            <w:pPr>
              <w:pStyle w:val="TableBodyText"/>
            </w:pPr>
            <w:r>
              <w:t>proteger</w:t>
            </w:r>
          </w:p>
        </w:tc>
        <w:tc>
          <w:tcPr>
            <w:tcW w:w="0" w:type="auto"/>
            <w:vAlign w:val="center"/>
          </w:tcPr>
          <w:p w:rsidR="00024C0A" w:rsidRDefault="00694C0F">
            <w:pPr>
              <w:pStyle w:val="TableBodyText"/>
            </w:pPr>
            <w:r>
              <w:t>lin</w:t>
            </w:r>
          </w:p>
        </w:tc>
        <w:tc>
          <w:tcPr>
            <w:tcW w:w="0" w:type="auto"/>
            <w:vAlign w:val="center"/>
          </w:tcPr>
          <w:p w:rsidR="00024C0A" w:rsidRDefault="00694C0F">
            <w:pPr>
              <w:pStyle w:val="TableBodyText"/>
            </w:pPr>
            <w:r>
              <w:t>folha</w:t>
            </w:r>
          </w:p>
        </w:tc>
        <w:tc>
          <w:tcPr>
            <w:tcW w:w="0" w:type="auto"/>
            <w:vAlign w:val="center"/>
          </w:tcPr>
          <w:p w:rsidR="00024C0A" w:rsidRDefault="00694C0F">
            <w:pPr>
              <w:pStyle w:val="TableBodyText"/>
            </w:pPr>
            <w:r>
              <w:t>tipo</w:t>
            </w:r>
          </w:p>
        </w:tc>
        <w:tc>
          <w:tcPr>
            <w:tcW w:w="0" w:type="auto"/>
            <w:vAlign w:val="center"/>
          </w:tcPr>
          <w:p w:rsidR="00024C0A" w:rsidRDefault="00694C0F">
            <w:pPr>
              <w:pStyle w:val="TableBodyText"/>
            </w:pPr>
            <w:r>
              <w:t>largura</w:t>
            </w:r>
          </w:p>
        </w:tc>
      </w:tr>
      <w:tr w:rsidR="00024C0A" w:rsidTr="00024C0A">
        <w:tc>
          <w:tcPr>
            <w:tcW w:w="0" w:type="auto"/>
            <w:vAlign w:val="center"/>
          </w:tcPr>
          <w:p w:rsidR="00024C0A" w:rsidRDefault="00694C0F">
            <w:pPr>
              <w:pStyle w:val="TableBodyText"/>
            </w:pPr>
            <w:r>
              <w:t>ru-ru</w:t>
            </w:r>
          </w:p>
        </w:tc>
        <w:tc>
          <w:tcPr>
            <w:tcW w:w="0" w:type="auto"/>
            <w:vAlign w:val="center"/>
          </w:tcPr>
          <w:p w:rsidR="00024C0A" w:rsidRDefault="00694C0F">
            <w:pPr>
              <w:pStyle w:val="TableBodyText"/>
            </w:pPr>
            <w:r>
              <w:t>скобки</w:t>
            </w:r>
          </w:p>
        </w:tc>
        <w:tc>
          <w:tcPr>
            <w:tcW w:w="0" w:type="auto"/>
            <w:vAlign w:val="center"/>
          </w:tcPr>
          <w:p w:rsidR="00024C0A" w:rsidRDefault="00694C0F">
            <w:pPr>
              <w:pStyle w:val="TableBodyText"/>
            </w:pPr>
            <w:r>
              <w:t>префикс</w:t>
            </w:r>
          </w:p>
        </w:tc>
        <w:tc>
          <w:tcPr>
            <w:tcW w:w="0" w:type="auto"/>
            <w:vAlign w:val="center"/>
          </w:tcPr>
          <w:p w:rsidR="00024C0A" w:rsidRDefault="00694C0F">
            <w:pPr>
              <w:pStyle w:val="TableBodyText"/>
            </w:pPr>
            <w:r>
              <w:t>защита</w:t>
            </w:r>
          </w:p>
        </w:tc>
        <w:tc>
          <w:tcPr>
            <w:tcW w:w="0" w:type="auto"/>
            <w:vAlign w:val="center"/>
          </w:tcPr>
          <w:p w:rsidR="00024C0A" w:rsidRDefault="00694C0F">
            <w:pPr>
              <w:pStyle w:val="TableBodyText"/>
            </w:pPr>
            <w:r>
              <w:t>строка</w:t>
            </w:r>
          </w:p>
        </w:tc>
        <w:tc>
          <w:tcPr>
            <w:tcW w:w="0" w:type="auto"/>
            <w:vAlign w:val="center"/>
          </w:tcPr>
          <w:p w:rsidR="00024C0A" w:rsidRDefault="00694C0F">
            <w:pPr>
              <w:pStyle w:val="TableBodyText"/>
            </w:pPr>
            <w:r>
              <w:t>ТАБЛИЦА</w:t>
            </w:r>
          </w:p>
          <w:p w:rsidR="00024C0A" w:rsidRDefault="00024C0A">
            <w:pPr>
              <w:pStyle w:val="TableBodyText"/>
            </w:pPr>
          </w:p>
        </w:tc>
        <w:tc>
          <w:tcPr>
            <w:tcW w:w="0" w:type="auto"/>
            <w:vAlign w:val="center"/>
          </w:tcPr>
          <w:p w:rsidR="00024C0A" w:rsidRDefault="00694C0F">
            <w:pPr>
              <w:pStyle w:val="TableBodyText"/>
            </w:pPr>
            <w:r>
              <w:t>тип</w:t>
            </w:r>
          </w:p>
        </w:tc>
        <w:tc>
          <w:tcPr>
            <w:tcW w:w="0" w:type="auto"/>
            <w:vAlign w:val="center"/>
          </w:tcPr>
          <w:p w:rsidR="00024C0A" w:rsidRDefault="00694C0F">
            <w:pPr>
              <w:pStyle w:val="TableBodyText"/>
            </w:pPr>
            <w:r>
              <w:t>ширина</w:t>
            </w:r>
          </w:p>
        </w:tc>
      </w:tr>
      <w:tr w:rsidR="00024C0A" w:rsidTr="00024C0A">
        <w:tc>
          <w:tcPr>
            <w:tcW w:w="0" w:type="auto"/>
            <w:vAlign w:val="center"/>
          </w:tcPr>
          <w:p w:rsidR="00024C0A" w:rsidRDefault="00694C0F">
            <w:pPr>
              <w:pStyle w:val="TableBodyText"/>
            </w:pPr>
            <w:r>
              <w:t>sk-sk</w:t>
            </w:r>
          </w:p>
        </w:tc>
        <w:tc>
          <w:tcPr>
            <w:tcW w:w="0" w:type="auto"/>
            <w:vAlign w:val="center"/>
          </w:tcPr>
          <w:p w:rsidR="00024C0A" w:rsidRDefault="00694C0F">
            <w:pPr>
              <w:pStyle w:val="TableBodyText"/>
            </w:pPr>
            <w:r>
              <w:t>zátvorky</w:t>
            </w:r>
          </w:p>
        </w:tc>
        <w:tc>
          <w:tcPr>
            <w:tcW w:w="0" w:type="auto"/>
            <w:vAlign w:val="center"/>
          </w:tcPr>
          <w:p w:rsidR="00024C0A" w:rsidRDefault="00694C0F">
            <w:pPr>
              <w:pStyle w:val="TableBodyText"/>
            </w:pPr>
            <w:r>
              <w:t>vloženýznak</w:t>
            </w:r>
          </w:p>
        </w:tc>
        <w:tc>
          <w:tcPr>
            <w:tcW w:w="0" w:type="auto"/>
            <w:vAlign w:val="center"/>
          </w:tcPr>
          <w:p w:rsidR="00024C0A" w:rsidRDefault="00694C0F">
            <w:pPr>
              <w:pStyle w:val="TableBodyText"/>
            </w:pPr>
            <w:r>
              <w:t>chrániť</w:t>
            </w:r>
          </w:p>
        </w:tc>
        <w:tc>
          <w:tcPr>
            <w:tcW w:w="0" w:type="auto"/>
            <w:vAlign w:val="center"/>
          </w:tcPr>
          <w:p w:rsidR="00024C0A" w:rsidRDefault="00694C0F">
            <w:pPr>
              <w:pStyle w:val="TableBodyText"/>
            </w:pPr>
            <w:r>
              <w:t>riadok</w:t>
            </w:r>
          </w:p>
        </w:tc>
        <w:tc>
          <w:tcPr>
            <w:tcW w:w="0" w:type="auto"/>
            <w:vAlign w:val="center"/>
          </w:tcPr>
          <w:p w:rsidR="00024C0A" w:rsidRDefault="00694C0F">
            <w:pPr>
              <w:pStyle w:val="TableBodyText"/>
            </w:pPr>
            <w:r>
              <w:t>hárok</w:t>
            </w:r>
          </w:p>
        </w:tc>
        <w:tc>
          <w:tcPr>
            <w:tcW w:w="0" w:type="auto"/>
            <w:vAlign w:val="center"/>
          </w:tcPr>
          <w:p w:rsidR="00024C0A" w:rsidRDefault="00694C0F">
            <w:pPr>
              <w:pStyle w:val="TableBodyText"/>
            </w:pPr>
            <w:r>
              <w:t>typ</w:t>
            </w:r>
          </w:p>
        </w:tc>
        <w:tc>
          <w:tcPr>
            <w:tcW w:w="0" w:type="auto"/>
            <w:vAlign w:val="center"/>
          </w:tcPr>
          <w:p w:rsidR="00024C0A" w:rsidRDefault="00694C0F">
            <w:pPr>
              <w:pStyle w:val="TableBodyText"/>
            </w:pPr>
            <w:r>
              <w:t>šírka</w:t>
            </w:r>
          </w:p>
        </w:tc>
      </w:tr>
      <w:tr w:rsidR="00024C0A" w:rsidTr="00024C0A">
        <w:tc>
          <w:tcPr>
            <w:tcW w:w="0" w:type="auto"/>
            <w:vAlign w:val="center"/>
          </w:tcPr>
          <w:p w:rsidR="00024C0A" w:rsidRDefault="00694C0F">
            <w:pPr>
              <w:pStyle w:val="TableBodyText"/>
            </w:pPr>
            <w:r>
              <w:t>sl-si</w:t>
            </w:r>
          </w:p>
        </w:tc>
        <w:tc>
          <w:tcPr>
            <w:tcW w:w="0" w:type="auto"/>
            <w:vAlign w:val="center"/>
          </w:tcPr>
          <w:p w:rsidR="00024C0A" w:rsidRDefault="00694C0F">
            <w:pPr>
              <w:pStyle w:val="TableBodyText"/>
            </w:pPr>
            <w:r>
              <w:t>parentheses</w:t>
            </w:r>
          </w:p>
        </w:tc>
        <w:tc>
          <w:tcPr>
            <w:tcW w:w="0" w:type="auto"/>
            <w:vAlign w:val="center"/>
          </w:tcPr>
          <w:p w:rsidR="00024C0A" w:rsidRDefault="00694C0F">
            <w:pPr>
              <w:pStyle w:val="TableBodyText"/>
            </w:pPr>
            <w:r>
              <w:t>prefix</w:t>
            </w:r>
          </w:p>
        </w:tc>
        <w:tc>
          <w:tcPr>
            <w:tcW w:w="0" w:type="auto"/>
            <w:vAlign w:val="center"/>
          </w:tcPr>
          <w:p w:rsidR="00024C0A" w:rsidRDefault="00694C0F">
            <w:pPr>
              <w:pStyle w:val="TableBodyText"/>
            </w:pPr>
            <w:r>
              <w:t>protect</w:t>
            </w:r>
          </w:p>
        </w:tc>
        <w:tc>
          <w:tcPr>
            <w:tcW w:w="0" w:type="auto"/>
            <w:vAlign w:val="center"/>
          </w:tcPr>
          <w:p w:rsidR="00024C0A" w:rsidRDefault="00694C0F">
            <w:pPr>
              <w:pStyle w:val="TableBodyText"/>
            </w:pPr>
            <w:r>
              <w:t>vrstica</w:t>
            </w:r>
          </w:p>
        </w:tc>
        <w:tc>
          <w:tcPr>
            <w:tcW w:w="0" w:type="auto"/>
            <w:vAlign w:val="center"/>
          </w:tcPr>
          <w:p w:rsidR="00024C0A" w:rsidRDefault="00694C0F">
            <w:pPr>
              <w:pStyle w:val="TableBodyText"/>
            </w:pPr>
            <w:r>
              <w:t>sheet</w:t>
            </w:r>
          </w:p>
        </w:tc>
        <w:tc>
          <w:tcPr>
            <w:tcW w:w="0" w:type="auto"/>
            <w:vAlign w:val="center"/>
          </w:tcPr>
          <w:p w:rsidR="00024C0A" w:rsidRDefault="00694C0F">
            <w:pPr>
              <w:pStyle w:val="TableBodyText"/>
            </w:pPr>
            <w:r>
              <w:t>type</w:t>
            </w:r>
          </w:p>
        </w:tc>
        <w:tc>
          <w:tcPr>
            <w:tcW w:w="0" w:type="auto"/>
            <w:vAlign w:val="center"/>
          </w:tcPr>
          <w:p w:rsidR="00024C0A" w:rsidRDefault="00694C0F">
            <w:pPr>
              <w:pStyle w:val="TableBodyText"/>
            </w:pPr>
            <w:r>
              <w:t>širina</w:t>
            </w:r>
          </w:p>
        </w:tc>
      </w:tr>
      <w:tr w:rsidR="00024C0A" w:rsidTr="00024C0A">
        <w:tc>
          <w:tcPr>
            <w:tcW w:w="0" w:type="auto"/>
            <w:vAlign w:val="center"/>
          </w:tcPr>
          <w:p w:rsidR="00024C0A" w:rsidRDefault="00694C0F">
            <w:pPr>
              <w:pStyle w:val="TableBodyText"/>
            </w:pPr>
            <w:r>
              <w:t>sv-se</w:t>
            </w:r>
          </w:p>
        </w:tc>
        <w:tc>
          <w:tcPr>
            <w:tcW w:w="0" w:type="auto"/>
            <w:vAlign w:val="center"/>
          </w:tcPr>
          <w:p w:rsidR="00024C0A" w:rsidRDefault="00694C0F">
            <w:pPr>
              <w:pStyle w:val="TableBodyText"/>
            </w:pPr>
            <w:r>
              <w:t>parenteser</w:t>
            </w:r>
          </w:p>
        </w:tc>
        <w:tc>
          <w:tcPr>
            <w:tcW w:w="0" w:type="auto"/>
            <w:vAlign w:val="center"/>
          </w:tcPr>
          <w:p w:rsidR="00024C0A" w:rsidRDefault="00694C0F">
            <w:pPr>
              <w:pStyle w:val="TableBodyText"/>
            </w:pPr>
            <w:r>
              <w:t>prefix</w:t>
            </w:r>
          </w:p>
        </w:tc>
        <w:tc>
          <w:tcPr>
            <w:tcW w:w="0" w:type="auto"/>
            <w:vAlign w:val="center"/>
          </w:tcPr>
          <w:p w:rsidR="00024C0A" w:rsidRDefault="00694C0F">
            <w:pPr>
              <w:pStyle w:val="TableBodyText"/>
            </w:pPr>
            <w:r>
              <w:t>skydd</w:t>
            </w:r>
          </w:p>
        </w:tc>
        <w:tc>
          <w:tcPr>
            <w:tcW w:w="0" w:type="auto"/>
            <w:vAlign w:val="center"/>
          </w:tcPr>
          <w:p w:rsidR="00024C0A" w:rsidRDefault="00694C0F">
            <w:pPr>
              <w:pStyle w:val="TableBodyText"/>
            </w:pPr>
            <w:r>
              <w:t>rad</w:t>
            </w:r>
          </w:p>
        </w:tc>
        <w:tc>
          <w:tcPr>
            <w:tcW w:w="0" w:type="auto"/>
            <w:vAlign w:val="center"/>
          </w:tcPr>
          <w:p w:rsidR="00024C0A" w:rsidRDefault="00694C0F">
            <w:pPr>
              <w:pStyle w:val="TableBodyText"/>
            </w:pPr>
            <w:r>
              <w:t>blad</w:t>
            </w:r>
          </w:p>
        </w:tc>
        <w:tc>
          <w:tcPr>
            <w:tcW w:w="0" w:type="auto"/>
            <w:vAlign w:val="center"/>
          </w:tcPr>
          <w:p w:rsidR="00024C0A" w:rsidRDefault="00694C0F">
            <w:pPr>
              <w:pStyle w:val="TableBodyText"/>
            </w:pPr>
            <w:r>
              <w:t>typ</w:t>
            </w:r>
          </w:p>
        </w:tc>
        <w:tc>
          <w:tcPr>
            <w:tcW w:w="0" w:type="auto"/>
            <w:vAlign w:val="center"/>
          </w:tcPr>
          <w:p w:rsidR="00024C0A" w:rsidRDefault="00694C0F">
            <w:pPr>
              <w:pStyle w:val="TableBodyText"/>
            </w:pPr>
            <w:r>
              <w:t>bredd</w:t>
            </w:r>
          </w:p>
        </w:tc>
      </w:tr>
      <w:tr w:rsidR="00024C0A" w:rsidTr="00024C0A">
        <w:tc>
          <w:tcPr>
            <w:tcW w:w="0" w:type="auto"/>
            <w:vAlign w:val="center"/>
          </w:tcPr>
          <w:p w:rsidR="00024C0A" w:rsidRDefault="00694C0F">
            <w:pPr>
              <w:pStyle w:val="TableBodyText"/>
            </w:pPr>
            <w:r>
              <w:t>tr-tr</w:t>
            </w:r>
          </w:p>
        </w:tc>
        <w:tc>
          <w:tcPr>
            <w:tcW w:w="0" w:type="auto"/>
            <w:vAlign w:val="center"/>
          </w:tcPr>
          <w:p w:rsidR="00024C0A" w:rsidRDefault="00694C0F">
            <w:pPr>
              <w:pStyle w:val="TableBodyText"/>
            </w:pPr>
            <w:r>
              <w:t>ayraç</w:t>
            </w:r>
          </w:p>
        </w:tc>
        <w:tc>
          <w:tcPr>
            <w:tcW w:w="0" w:type="auto"/>
            <w:vAlign w:val="center"/>
          </w:tcPr>
          <w:p w:rsidR="00024C0A" w:rsidRDefault="00694C0F">
            <w:pPr>
              <w:pStyle w:val="TableBodyText"/>
            </w:pPr>
            <w:r>
              <w:t>önek</w:t>
            </w:r>
          </w:p>
        </w:tc>
        <w:tc>
          <w:tcPr>
            <w:tcW w:w="0" w:type="auto"/>
            <w:vAlign w:val="center"/>
          </w:tcPr>
          <w:p w:rsidR="00024C0A" w:rsidRDefault="00694C0F">
            <w:pPr>
              <w:pStyle w:val="TableBodyText"/>
            </w:pPr>
            <w:r>
              <w:t>koruma</w:t>
            </w:r>
          </w:p>
        </w:tc>
        <w:tc>
          <w:tcPr>
            <w:tcW w:w="0" w:type="auto"/>
            <w:vAlign w:val="center"/>
          </w:tcPr>
          <w:p w:rsidR="00024C0A" w:rsidRDefault="00694C0F">
            <w:pPr>
              <w:pStyle w:val="TableBodyText"/>
            </w:pPr>
            <w:r>
              <w:t>sat</w:t>
            </w:r>
          </w:p>
        </w:tc>
        <w:tc>
          <w:tcPr>
            <w:tcW w:w="0" w:type="auto"/>
            <w:vAlign w:val="center"/>
          </w:tcPr>
          <w:p w:rsidR="00024C0A" w:rsidRDefault="00694C0F">
            <w:pPr>
              <w:pStyle w:val="TableBodyText"/>
            </w:pPr>
            <w:r>
              <w:t>tablo</w:t>
            </w:r>
          </w:p>
        </w:tc>
        <w:tc>
          <w:tcPr>
            <w:tcW w:w="0" w:type="auto"/>
            <w:vAlign w:val="center"/>
          </w:tcPr>
          <w:p w:rsidR="00024C0A" w:rsidRDefault="00694C0F">
            <w:pPr>
              <w:pStyle w:val="TableBodyText"/>
            </w:pPr>
            <w:r>
              <w:t>tür</w:t>
            </w:r>
          </w:p>
        </w:tc>
        <w:tc>
          <w:tcPr>
            <w:tcW w:w="0" w:type="auto"/>
            <w:vAlign w:val="center"/>
          </w:tcPr>
          <w:p w:rsidR="00024C0A" w:rsidRDefault="00694C0F">
            <w:pPr>
              <w:pStyle w:val="TableBodyText"/>
            </w:pPr>
            <w:r>
              <w:t>genişlik</w:t>
            </w:r>
          </w:p>
        </w:tc>
      </w:tr>
      <w:tr w:rsidR="00024C0A" w:rsidTr="00024C0A">
        <w:tc>
          <w:tcPr>
            <w:tcW w:w="0" w:type="auto"/>
            <w:vAlign w:val="center"/>
          </w:tcPr>
          <w:p w:rsidR="00024C0A" w:rsidRDefault="00694C0F">
            <w:pPr>
              <w:pStyle w:val="TableBodyText"/>
            </w:pPr>
            <w:r>
              <w:t>uk-ua</w:t>
            </w:r>
          </w:p>
        </w:tc>
        <w:tc>
          <w:tcPr>
            <w:tcW w:w="0" w:type="auto"/>
            <w:vAlign w:val="center"/>
          </w:tcPr>
          <w:p w:rsidR="00024C0A" w:rsidRDefault="00694C0F">
            <w:pPr>
              <w:pStyle w:val="TableBodyText"/>
            </w:pPr>
            <w:r>
              <w:t>дужки</w:t>
            </w:r>
          </w:p>
        </w:tc>
        <w:tc>
          <w:tcPr>
            <w:tcW w:w="0" w:type="auto"/>
            <w:vAlign w:val="center"/>
          </w:tcPr>
          <w:p w:rsidR="00024C0A" w:rsidRDefault="00694C0F">
            <w:pPr>
              <w:pStyle w:val="TableBodyText"/>
            </w:pPr>
            <w:r>
              <w:t>префікс</w:t>
            </w:r>
          </w:p>
        </w:tc>
        <w:tc>
          <w:tcPr>
            <w:tcW w:w="0" w:type="auto"/>
            <w:vAlign w:val="center"/>
          </w:tcPr>
          <w:p w:rsidR="00024C0A" w:rsidRDefault="00694C0F">
            <w:pPr>
              <w:pStyle w:val="TableBodyText"/>
            </w:pPr>
            <w:r>
              <w:t>захист</w:t>
            </w:r>
          </w:p>
        </w:tc>
        <w:tc>
          <w:tcPr>
            <w:tcW w:w="0" w:type="auto"/>
            <w:vAlign w:val="center"/>
          </w:tcPr>
          <w:p w:rsidR="00024C0A" w:rsidRDefault="00694C0F">
            <w:pPr>
              <w:pStyle w:val="TableBodyText"/>
            </w:pPr>
            <w:r>
              <w:t>рядок</w:t>
            </w:r>
          </w:p>
        </w:tc>
        <w:tc>
          <w:tcPr>
            <w:tcW w:w="0" w:type="auto"/>
            <w:vAlign w:val="center"/>
          </w:tcPr>
          <w:p w:rsidR="00024C0A" w:rsidRDefault="00694C0F">
            <w:pPr>
              <w:pStyle w:val="TableBodyText"/>
            </w:pPr>
            <w:r>
              <w:t>АРКУШ</w:t>
            </w:r>
          </w:p>
          <w:p w:rsidR="00024C0A" w:rsidRDefault="00024C0A">
            <w:pPr>
              <w:pStyle w:val="TableBodyText"/>
            </w:pPr>
          </w:p>
        </w:tc>
        <w:tc>
          <w:tcPr>
            <w:tcW w:w="0" w:type="auto"/>
            <w:vAlign w:val="center"/>
          </w:tcPr>
          <w:p w:rsidR="00024C0A" w:rsidRDefault="00694C0F">
            <w:pPr>
              <w:pStyle w:val="TableBodyText"/>
            </w:pPr>
            <w:r>
              <w:t>тип</w:t>
            </w:r>
          </w:p>
        </w:tc>
        <w:tc>
          <w:tcPr>
            <w:tcW w:w="0" w:type="auto"/>
            <w:vAlign w:val="center"/>
          </w:tcPr>
          <w:p w:rsidR="00024C0A" w:rsidRDefault="00694C0F">
            <w:pPr>
              <w:pStyle w:val="TableBodyText"/>
            </w:pPr>
            <w:r>
              <w:t>довжина</w:t>
            </w:r>
          </w:p>
        </w:tc>
      </w:tr>
    </w:tbl>
    <w:p w:rsidR="00024C0A" w:rsidRDefault="00024C0A"/>
    <w:p w:rsidR="00024C0A" w:rsidRDefault="00694C0F">
      <w:pPr>
        <w:pStyle w:val="Definition-Field"/>
      </w:pPr>
      <w:r>
        <w:t xml:space="preserve">b.   </w:t>
      </w:r>
      <w:r>
        <w:rPr>
          <w:i/>
        </w:rPr>
        <w:t>The standard does not fully specify details when argument category is format.</w:t>
      </w:r>
    </w:p>
    <w:p w:rsidR="00024C0A" w:rsidRDefault="00694C0F">
      <w:r>
        <w:t>In Excel, when the category parameter is format then the value returned depends upon the number format of the upper-left cell of reference, and more specifically u</w:t>
      </w:r>
      <w:r>
        <w:t>pon the number format code of the upper-left cell of reference.  Depending upon the number format code of the appropriate cell, the result value of CELL when the category is format is based upon the following rules.</w:t>
      </w:r>
    </w:p>
    <w:p w:rsidR="00024C0A" w:rsidRDefault="00694C0F">
      <w:r>
        <w:t>First, some observations regarding the r</w:t>
      </w:r>
      <w:r>
        <w:t>ules are in order:</w:t>
      </w:r>
    </w:p>
    <w:p w:rsidR="00024C0A" w:rsidRDefault="00694C0F">
      <w:r>
        <w:t>The various sections of the number format code are referred to within the rules. For more information on sections in the number format code, see numFmts ("</w:t>
      </w:r>
      <w:hyperlink r:id="rId139">
        <w:r>
          <w:rPr>
            <w:rStyle w:val="Hyperlink"/>
          </w:rPr>
          <w:t>[ISO/IEC-29500-1</w:t>
        </w:r>
        <w:r>
          <w:rPr>
            <w:rStyle w:val="Hyperlink"/>
          </w:rPr>
          <w:t>]</w:t>
        </w:r>
      </w:hyperlink>
      <w:r>
        <w:t xml:space="preserve"> §18.8.31; numFmts"). There are cases where it is useful to discuss the characters from the number format code which are dependent upon the value in the cell. These characters, instead of representing text or spacing in the cell’s display text, interpret,</w:t>
      </w:r>
      <w:r>
        <w:t xml:space="preserve"> in some fashion, the value to be displayed. In the rules, these characters </w:t>
      </w:r>
      <w:r>
        <w:lastRenderedPageBreak/>
        <w:t>are referred to as interpreted characters of the number format code. The following table shows all the interpreted characters:</w:t>
      </w:r>
    </w:p>
    <w:tbl>
      <w:tblPr>
        <w:tblStyle w:val="Table-ShadedHeader"/>
        <w:tblW w:w="0" w:type="auto"/>
        <w:tblLook w:val="04A0" w:firstRow="1" w:lastRow="0" w:firstColumn="1" w:lastColumn="0" w:noHBand="0" w:noVBand="1"/>
      </w:tblPr>
      <w:tblGrid>
        <w:gridCol w:w="2305"/>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Interpreted Characters</w:t>
            </w:r>
          </w:p>
        </w:tc>
      </w:tr>
      <w:tr w:rsidR="00024C0A" w:rsidTr="00024C0A">
        <w:tc>
          <w:tcPr>
            <w:tcW w:w="0" w:type="auto"/>
            <w:vAlign w:val="center"/>
          </w:tcPr>
          <w:p w:rsidR="00024C0A" w:rsidRDefault="00694C0F">
            <w:pPr>
              <w:pStyle w:val="TableBodyText"/>
            </w:pPr>
            <w:r>
              <w:t>0</w:t>
            </w:r>
          </w:p>
        </w:tc>
      </w:tr>
      <w:tr w:rsidR="00024C0A" w:rsidTr="00024C0A">
        <w:tc>
          <w:tcPr>
            <w:tcW w:w="0" w:type="auto"/>
            <w:vAlign w:val="center"/>
          </w:tcPr>
          <w:p w:rsidR="00024C0A" w:rsidRDefault="00694C0F">
            <w:pPr>
              <w:pStyle w:val="TableBodyText"/>
            </w:pPr>
            <w:r>
              <w:t>#</w:t>
            </w:r>
          </w:p>
        </w:tc>
      </w:tr>
      <w:tr w:rsidR="00024C0A" w:rsidTr="00024C0A">
        <w:tc>
          <w:tcPr>
            <w:tcW w:w="0" w:type="auto"/>
            <w:vAlign w:val="center"/>
          </w:tcPr>
          <w:p w:rsidR="00024C0A" w:rsidRDefault="00694C0F">
            <w:pPr>
              <w:pStyle w:val="TableBodyText"/>
            </w:pPr>
            <w:r>
              <w:t>@</w:t>
            </w:r>
          </w:p>
        </w:tc>
      </w:tr>
      <w:tr w:rsidR="00024C0A" w:rsidTr="00024C0A">
        <w:tc>
          <w:tcPr>
            <w:tcW w:w="0" w:type="auto"/>
            <w:vAlign w:val="center"/>
          </w:tcPr>
          <w:p w:rsidR="00024C0A" w:rsidRDefault="00694C0F">
            <w:pPr>
              <w:pStyle w:val="TableBodyText"/>
            </w:pPr>
            <w:r>
              <w:t>D</w:t>
            </w:r>
          </w:p>
        </w:tc>
      </w:tr>
      <w:tr w:rsidR="00024C0A" w:rsidTr="00024C0A">
        <w:tc>
          <w:tcPr>
            <w:tcW w:w="0" w:type="auto"/>
            <w:vAlign w:val="center"/>
          </w:tcPr>
          <w:p w:rsidR="00024C0A" w:rsidRDefault="00694C0F">
            <w:pPr>
              <w:pStyle w:val="TableBodyText"/>
            </w:pPr>
            <w:r>
              <w:t>M</w:t>
            </w:r>
          </w:p>
        </w:tc>
      </w:tr>
      <w:tr w:rsidR="00024C0A" w:rsidTr="00024C0A">
        <w:tc>
          <w:tcPr>
            <w:tcW w:w="0" w:type="auto"/>
            <w:vAlign w:val="center"/>
          </w:tcPr>
          <w:p w:rsidR="00024C0A" w:rsidRDefault="00694C0F">
            <w:pPr>
              <w:pStyle w:val="TableBodyText"/>
            </w:pPr>
            <w:r>
              <w:t>Y</w:t>
            </w:r>
          </w:p>
        </w:tc>
      </w:tr>
      <w:tr w:rsidR="00024C0A" w:rsidTr="00024C0A">
        <w:tc>
          <w:tcPr>
            <w:tcW w:w="0" w:type="auto"/>
            <w:vAlign w:val="center"/>
          </w:tcPr>
          <w:p w:rsidR="00024C0A" w:rsidRDefault="00694C0F">
            <w:pPr>
              <w:pStyle w:val="TableBodyText"/>
            </w:pPr>
            <w:r>
              <w:t>H</w:t>
            </w:r>
          </w:p>
        </w:tc>
      </w:tr>
      <w:tr w:rsidR="00024C0A" w:rsidTr="00024C0A">
        <w:tc>
          <w:tcPr>
            <w:tcW w:w="0" w:type="auto"/>
            <w:vAlign w:val="center"/>
          </w:tcPr>
          <w:p w:rsidR="00024C0A" w:rsidRDefault="00694C0F">
            <w:pPr>
              <w:pStyle w:val="TableBodyText"/>
            </w:pPr>
            <w:r>
              <w:t>S</w:t>
            </w:r>
          </w:p>
        </w:tc>
      </w:tr>
      <w:tr w:rsidR="00024C0A" w:rsidTr="00024C0A">
        <w:tc>
          <w:tcPr>
            <w:tcW w:w="0" w:type="auto"/>
            <w:vAlign w:val="center"/>
          </w:tcPr>
          <w:p w:rsidR="00024C0A" w:rsidRDefault="00694C0F">
            <w:pPr>
              <w:pStyle w:val="TableBodyText"/>
            </w:pPr>
            <w:r>
              <w:t>?</w:t>
            </w:r>
          </w:p>
        </w:tc>
      </w:tr>
      <w:tr w:rsidR="00024C0A" w:rsidTr="00024C0A">
        <w:tc>
          <w:tcPr>
            <w:tcW w:w="0" w:type="auto"/>
            <w:vAlign w:val="center"/>
          </w:tcPr>
          <w:p w:rsidR="00024C0A" w:rsidRDefault="00694C0F">
            <w:pPr>
              <w:pStyle w:val="TableBodyText"/>
            </w:pPr>
            <w:r>
              <w:t>AM/PM</w:t>
            </w:r>
          </w:p>
        </w:tc>
      </w:tr>
      <w:tr w:rsidR="00024C0A" w:rsidTr="00024C0A">
        <w:tc>
          <w:tcPr>
            <w:tcW w:w="0" w:type="auto"/>
            <w:vAlign w:val="center"/>
          </w:tcPr>
          <w:p w:rsidR="00024C0A" w:rsidRDefault="00694C0F">
            <w:pPr>
              <w:pStyle w:val="TableBodyText"/>
            </w:pPr>
            <w:r>
              <w:t>A/P</w:t>
            </w:r>
          </w:p>
        </w:tc>
      </w:tr>
      <w:tr w:rsidR="00024C0A" w:rsidTr="00024C0A">
        <w:tc>
          <w:tcPr>
            <w:tcW w:w="0" w:type="auto"/>
            <w:vAlign w:val="center"/>
          </w:tcPr>
          <w:p w:rsidR="00024C0A" w:rsidRDefault="00694C0F">
            <w:pPr>
              <w:pStyle w:val="TableBodyText"/>
            </w:pPr>
            <w:r>
              <w:t>G</w:t>
            </w:r>
          </w:p>
        </w:tc>
      </w:tr>
      <w:tr w:rsidR="00024C0A" w:rsidTr="00024C0A">
        <w:tc>
          <w:tcPr>
            <w:tcW w:w="0" w:type="auto"/>
            <w:vAlign w:val="center"/>
          </w:tcPr>
          <w:p w:rsidR="00024C0A" w:rsidRDefault="00694C0F">
            <w:pPr>
              <w:pStyle w:val="TableBodyText"/>
            </w:pPr>
            <w:r>
              <w:t>E</w:t>
            </w:r>
          </w:p>
        </w:tc>
      </w:tr>
      <w:tr w:rsidR="00024C0A" w:rsidTr="00024C0A">
        <w:tc>
          <w:tcPr>
            <w:tcW w:w="0" w:type="auto"/>
            <w:vAlign w:val="center"/>
          </w:tcPr>
          <w:p w:rsidR="00024C0A" w:rsidRDefault="00694C0F">
            <w:pPr>
              <w:pStyle w:val="TableBodyText"/>
            </w:pPr>
            <w:r>
              <w:t>R</w:t>
            </w:r>
          </w:p>
        </w:tc>
      </w:tr>
    </w:tbl>
    <w:p w:rsidR="00024C0A" w:rsidRDefault="00024C0A"/>
    <w:p w:rsidR="00024C0A" w:rsidRDefault="00694C0F">
      <w:r>
        <w:t>There are cases where it is also useful to discuss runs of similar interpreted characters.  [</w:t>
      </w:r>
      <w:r>
        <w:rPr>
          <w:i/>
        </w:rPr>
        <w:t>Example</w:t>
      </w:r>
      <w:r>
        <w:t xml:space="preserve">: Each d, m, and y within the number format code dd/mm/yyyy does not represent a separate interpretation of the day of the date value to be represented, and instead helps to make up a representation of the day of the date that is two digits in length. </w:t>
      </w:r>
      <w:r>
        <w:rPr>
          <w:i/>
        </w:rPr>
        <w:t xml:space="preserve">end </w:t>
      </w:r>
      <w:r>
        <w:rPr>
          <w:i/>
        </w:rPr>
        <w:t>example</w:t>
      </w:r>
      <w:r>
        <w:t>]. These runs of similar characters are referred to as interpreted symbols because multiple characters are used, but the result is a single symbolic representation of at least part of the value.</w:t>
      </w:r>
    </w:p>
    <w:p w:rsidR="00024C0A" w:rsidRDefault="00694C0F">
      <w:r>
        <w:t>Because there are multiple different symbols for days,</w:t>
      </w:r>
      <w:r>
        <w:t xml:space="preserve"> months, years, hours, minutes, seconds, and AM/PM, it is sometimes useful to discuss all of the representations of each of these. When any of Day, Month, Year, Hour, Minute, and so on, is referred to within a rule, what is meant is any of the possible rep</w:t>
      </w:r>
      <w:r>
        <w:t>resentations for that date/time portion.  For example, a Day symbol would be any of d, dd, ddd, or dddd.</w:t>
      </w:r>
    </w:p>
    <w:p w:rsidR="00024C0A" w:rsidRDefault="00694C0F">
      <w:r>
        <w:t>The use of characters such as 0, E, and % as a symbol within a number format code does not include usages of these same characters either escaped (by p</w:t>
      </w:r>
      <w:r>
        <w:t>receding them with a backslash character “\”) or as a part of a quoted string.</w:t>
      </w:r>
    </w:p>
    <w:p w:rsidR="00024C0A" w:rsidRDefault="00694C0F">
      <w:r>
        <w:t>Here are the rules to determine the result value:</w:t>
      </w:r>
    </w:p>
    <w:p w:rsidR="00024C0A" w:rsidRDefault="00694C0F">
      <w:r>
        <w:t>If the first interpreted symbols within the first section are any of the date or time characters (any of y, m, d, h, m, s), the</w:t>
      </w:r>
      <w:r>
        <w:t>n the first one or two characters of the return value are determined by the order of interpreted symbols (including any interpreted symbols, not just date/time symbols) according to the following table ("anything" can mean "no additional symbols". If the t</w:t>
      </w:r>
      <w:r>
        <w:t>ype is "anything except &lt;type&gt;", then the excepted symbol type cannot follow the previously specified symbol):</w:t>
      </w:r>
    </w:p>
    <w:tbl>
      <w:tblPr>
        <w:tblStyle w:val="Table-ShadedHeader"/>
        <w:tblW w:w="0" w:type="auto"/>
        <w:tblLook w:val="04A0" w:firstRow="1" w:lastRow="0" w:firstColumn="1" w:lastColumn="0" w:noHBand="0" w:noVBand="1"/>
      </w:tblPr>
      <w:tblGrid>
        <w:gridCol w:w="4630"/>
        <w:gridCol w:w="4845"/>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lastRenderedPageBreak/>
              <w:t>Interpreted Symbols in Order</w:t>
            </w:r>
          </w:p>
        </w:tc>
        <w:tc>
          <w:tcPr>
            <w:tcW w:w="0" w:type="auto"/>
            <w:vAlign w:val="center"/>
          </w:tcPr>
          <w:p w:rsidR="00024C0A" w:rsidRDefault="00694C0F">
            <w:pPr>
              <w:pStyle w:val="TableHeaderText"/>
            </w:pPr>
            <w:r>
              <w:t>Return Value Characters</w:t>
            </w:r>
          </w:p>
        </w:tc>
      </w:tr>
      <w:tr w:rsidR="00024C0A" w:rsidTr="00024C0A">
        <w:tc>
          <w:tcPr>
            <w:tcW w:w="0" w:type="auto"/>
            <w:vAlign w:val="center"/>
          </w:tcPr>
          <w:p w:rsidR="00024C0A" w:rsidRDefault="00694C0F">
            <w:pPr>
              <w:pStyle w:val="TableBodyText"/>
            </w:pPr>
            <w:r>
              <w:t>Day, month, year, anything</w:t>
            </w:r>
          </w:p>
        </w:tc>
        <w:tc>
          <w:tcPr>
            <w:tcW w:w="0" w:type="auto"/>
            <w:vAlign w:val="center"/>
          </w:tcPr>
          <w:p w:rsidR="00024C0A" w:rsidRDefault="00694C0F">
            <w:pPr>
              <w:pStyle w:val="TableBodyText"/>
            </w:pPr>
            <w:r>
              <w:t>"D1"</w:t>
            </w:r>
          </w:p>
        </w:tc>
      </w:tr>
      <w:tr w:rsidR="00024C0A" w:rsidTr="00024C0A">
        <w:tc>
          <w:tcPr>
            <w:tcW w:w="0" w:type="auto"/>
            <w:vAlign w:val="center"/>
          </w:tcPr>
          <w:p w:rsidR="00024C0A" w:rsidRDefault="00694C0F">
            <w:pPr>
              <w:pStyle w:val="TableBodyText"/>
            </w:pPr>
            <w:r>
              <w:t>Day, month, anything besides year, anything</w:t>
            </w:r>
          </w:p>
        </w:tc>
        <w:tc>
          <w:tcPr>
            <w:tcW w:w="0" w:type="auto"/>
            <w:vAlign w:val="center"/>
          </w:tcPr>
          <w:p w:rsidR="00024C0A" w:rsidRDefault="00694C0F">
            <w:pPr>
              <w:pStyle w:val="TableBodyText"/>
            </w:pPr>
            <w:r>
              <w:t>"D2"</w:t>
            </w:r>
          </w:p>
        </w:tc>
      </w:tr>
      <w:tr w:rsidR="00024C0A" w:rsidTr="00024C0A">
        <w:tc>
          <w:tcPr>
            <w:tcW w:w="0" w:type="auto"/>
            <w:vAlign w:val="center"/>
          </w:tcPr>
          <w:p w:rsidR="00024C0A" w:rsidRDefault="00694C0F">
            <w:pPr>
              <w:pStyle w:val="TableBodyText"/>
            </w:pPr>
            <w:r>
              <w:t xml:space="preserve">Month, </w:t>
            </w:r>
            <w:r>
              <w:t>year, anything</w:t>
            </w:r>
          </w:p>
        </w:tc>
        <w:tc>
          <w:tcPr>
            <w:tcW w:w="0" w:type="auto"/>
            <w:vAlign w:val="center"/>
          </w:tcPr>
          <w:p w:rsidR="00024C0A" w:rsidRDefault="00694C0F">
            <w:pPr>
              <w:pStyle w:val="TableBodyText"/>
            </w:pPr>
            <w:r>
              <w:t>"D3"</w:t>
            </w:r>
          </w:p>
        </w:tc>
      </w:tr>
      <w:tr w:rsidR="00024C0A" w:rsidTr="00024C0A">
        <w:tc>
          <w:tcPr>
            <w:tcW w:w="0" w:type="auto"/>
            <w:vAlign w:val="center"/>
          </w:tcPr>
          <w:p w:rsidR="00024C0A" w:rsidRDefault="00694C0F">
            <w:pPr>
              <w:pStyle w:val="TableBodyText"/>
            </w:pPr>
            <w:r>
              <w:t>Month, day, year, anything</w:t>
            </w:r>
          </w:p>
        </w:tc>
        <w:tc>
          <w:tcPr>
            <w:tcW w:w="0" w:type="auto"/>
            <w:vAlign w:val="center"/>
          </w:tcPr>
          <w:p w:rsidR="00024C0A" w:rsidRDefault="00694C0F">
            <w:pPr>
              <w:pStyle w:val="TableBodyText"/>
            </w:pPr>
            <w:r>
              <w:t>"D4"</w:t>
            </w:r>
          </w:p>
        </w:tc>
      </w:tr>
      <w:tr w:rsidR="00024C0A" w:rsidTr="00024C0A">
        <w:tc>
          <w:tcPr>
            <w:tcW w:w="0" w:type="auto"/>
            <w:vAlign w:val="center"/>
          </w:tcPr>
          <w:p w:rsidR="00024C0A" w:rsidRDefault="00694C0F">
            <w:pPr>
              <w:pStyle w:val="TableBodyText"/>
            </w:pPr>
            <w:r>
              <w:t>Month, day, anything besides year, anything</w:t>
            </w:r>
          </w:p>
        </w:tc>
        <w:tc>
          <w:tcPr>
            <w:tcW w:w="0" w:type="auto"/>
            <w:vAlign w:val="center"/>
          </w:tcPr>
          <w:p w:rsidR="00024C0A" w:rsidRDefault="00694C0F">
            <w:pPr>
              <w:pStyle w:val="TableBodyText"/>
            </w:pPr>
            <w:r>
              <w:t>"D5"</w:t>
            </w:r>
          </w:p>
        </w:tc>
      </w:tr>
      <w:tr w:rsidR="00024C0A" w:rsidTr="00024C0A">
        <w:tc>
          <w:tcPr>
            <w:tcW w:w="0" w:type="auto"/>
            <w:vAlign w:val="center"/>
          </w:tcPr>
          <w:p w:rsidR="00024C0A" w:rsidRDefault="00694C0F">
            <w:pPr>
              <w:pStyle w:val="TableBodyText"/>
            </w:pPr>
            <w:r>
              <w:t>Hours, minutes, seconds, AM/PM, anything</w:t>
            </w:r>
          </w:p>
        </w:tc>
        <w:tc>
          <w:tcPr>
            <w:tcW w:w="0" w:type="auto"/>
            <w:vAlign w:val="center"/>
          </w:tcPr>
          <w:p w:rsidR="00024C0A" w:rsidRDefault="00694C0F">
            <w:pPr>
              <w:pStyle w:val="TableBodyText"/>
            </w:pPr>
            <w:r>
              <w:t>"D6"</w:t>
            </w:r>
          </w:p>
        </w:tc>
      </w:tr>
      <w:tr w:rsidR="00024C0A" w:rsidTr="00024C0A">
        <w:tc>
          <w:tcPr>
            <w:tcW w:w="0" w:type="auto"/>
            <w:vAlign w:val="center"/>
          </w:tcPr>
          <w:p w:rsidR="00024C0A" w:rsidRDefault="00694C0F">
            <w:pPr>
              <w:pStyle w:val="TableBodyText"/>
            </w:pPr>
            <w:r>
              <w:t>Hours, minutes, AM/PM, anything</w:t>
            </w:r>
          </w:p>
        </w:tc>
        <w:tc>
          <w:tcPr>
            <w:tcW w:w="0" w:type="auto"/>
            <w:vAlign w:val="center"/>
          </w:tcPr>
          <w:p w:rsidR="00024C0A" w:rsidRDefault="00694C0F">
            <w:pPr>
              <w:pStyle w:val="TableBodyText"/>
            </w:pPr>
            <w:r>
              <w:t>"D7"</w:t>
            </w:r>
          </w:p>
        </w:tc>
      </w:tr>
      <w:tr w:rsidR="00024C0A" w:rsidTr="00024C0A">
        <w:tc>
          <w:tcPr>
            <w:tcW w:w="0" w:type="auto"/>
            <w:vAlign w:val="center"/>
          </w:tcPr>
          <w:p w:rsidR="00024C0A" w:rsidRDefault="00694C0F">
            <w:pPr>
              <w:pStyle w:val="TableBodyText"/>
            </w:pPr>
            <w:r>
              <w:t>Hours, minutes, seconds, anything besides AM/PM, anything</w:t>
            </w:r>
          </w:p>
        </w:tc>
        <w:tc>
          <w:tcPr>
            <w:tcW w:w="0" w:type="auto"/>
            <w:vAlign w:val="center"/>
          </w:tcPr>
          <w:p w:rsidR="00024C0A" w:rsidRDefault="00694C0F">
            <w:pPr>
              <w:pStyle w:val="TableBodyText"/>
            </w:pPr>
            <w:r>
              <w:t>"D8"</w:t>
            </w:r>
          </w:p>
        </w:tc>
      </w:tr>
      <w:tr w:rsidR="00024C0A" w:rsidTr="00024C0A">
        <w:tc>
          <w:tcPr>
            <w:tcW w:w="0" w:type="auto"/>
            <w:vAlign w:val="center"/>
          </w:tcPr>
          <w:p w:rsidR="00024C0A" w:rsidRDefault="00694C0F">
            <w:pPr>
              <w:pStyle w:val="TableBodyText"/>
            </w:pPr>
            <w:r>
              <w:t>Hours, minutes, anything besides seconds or AM/PM, anything</w:t>
            </w:r>
          </w:p>
        </w:tc>
        <w:tc>
          <w:tcPr>
            <w:tcW w:w="0" w:type="auto"/>
            <w:vAlign w:val="center"/>
          </w:tcPr>
          <w:p w:rsidR="00024C0A" w:rsidRDefault="00694C0F">
            <w:pPr>
              <w:pStyle w:val="TableBodyText"/>
            </w:pPr>
            <w:r>
              <w:t>"D9"</w:t>
            </w:r>
          </w:p>
        </w:tc>
      </w:tr>
      <w:tr w:rsidR="00024C0A" w:rsidTr="00024C0A">
        <w:tc>
          <w:tcPr>
            <w:tcW w:w="0" w:type="auto"/>
            <w:vAlign w:val="center"/>
          </w:tcPr>
          <w:p w:rsidR="00024C0A" w:rsidRDefault="00694C0F">
            <w:pPr>
              <w:pStyle w:val="TableBodyText"/>
            </w:pPr>
            <w:r>
              <w:t>Any other combination of symbols</w:t>
            </w:r>
          </w:p>
        </w:tc>
        <w:tc>
          <w:tcPr>
            <w:tcW w:w="0" w:type="auto"/>
            <w:vAlign w:val="center"/>
          </w:tcPr>
          <w:p w:rsidR="00024C0A" w:rsidRDefault="00694C0F">
            <w:pPr>
              <w:pStyle w:val="TableBodyText"/>
            </w:pPr>
            <w:r>
              <w:t>"G" or "C" depending on whether there is a $ in the first condition</w:t>
            </w:r>
          </w:p>
        </w:tc>
      </w:tr>
    </w:tbl>
    <w:p w:rsidR="00024C0A" w:rsidRDefault="00024C0A"/>
    <w:p w:rsidR="00024C0A" w:rsidRDefault="00694C0F">
      <w:r>
        <w:t>Otherwise, the first character of the return value is determined based upon the referen</w:t>
      </w:r>
      <w:r>
        <w:t>ced cell’s number format code according to the rules in the following table:</w:t>
      </w:r>
    </w:p>
    <w:tbl>
      <w:tblPr>
        <w:tblStyle w:val="Table-ShadedHeader"/>
        <w:tblW w:w="0" w:type="auto"/>
        <w:tblLook w:val="04A0" w:firstRow="1" w:lastRow="0" w:firstColumn="1" w:lastColumn="0" w:noHBand="0" w:noVBand="1"/>
      </w:tblPr>
      <w:tblGrid>
        <w:gridCol w:w="2911"/>
        <w:gridCol w:w="4975"/>
        <w:gridCol w:w="1589"/>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024C0A" w:rsidRDefault="00694C0F">
            <w:pPr>
              <w:pStyle w:val="TableHeaderText"/>
            </w:pPr>
            <w:r>
              <w:t>First Section of the Number Format Code</w:t>
            </w:r>
          </w:p>
        </w:tc>
        <w:tc>
          <w:tcPr>
            <w:tcW w:w="0" w:type="auto"/>
            <w:vAlign w:val="center"/>
          </w:tcPr>
          <w:p w:rsidR="00024C0A" w:rsidRDefault="00694C0F">
            <w:pPr>
              <w:pStyle w:val="TableHeaderText"/>
            </w:pPr>
            <w:r>
              <w:t>First Return Value Character</w:t>
            </w:r>
          </w:p>
        </w:tc>
      </w:tr>
      <w:tr w:rsidR="00024C0A" w:rsidTr="00024C0A">
        <w:tc>
          <w:tcPr>
            <w:tcW w:w="0" w:type="auto"/>
            <w:vAlign w:val="center"/>
          </w:tcPr>
          <w:p w:rsidR="00024C0A" w:rsidRDefault="00694C0F">
            <w:pPr>
              <w:pStyle w:val="TableBodyText"/>
            </w:pPr>
            <w:r>
              <w:t>Absent Characters</w:t>
            </w:r>
          </w:p>
          <w:p w:rsidR="00024C0A" w:rsidRDefault="00694C0F">
            <w:pPr>
              <w:pStyle w:val="TableBodyText"/>
            </w:pPr>
            <w:r>
              <w:t>(as Symbols)</w:t>
            </w:r>
          </w:p>
        </w:tc>
        <w:tc>
          <w:tcPr>
            <w:tcW w:w="0" w:type="auto"/>
            <w:vAlign w:val="center"/>
          </w:tcPr>
          <w:p w:rsidR="00024C0A" w:rsidRDefault="00694C0F">
            <w:pPr>
              <w:pStyle w:val="TableBodyText"/>
            </w:pPr>
            <w:r>
              <w:t>Present Characters</w:t>
            </w:r>
          </w:p>
          <w:p w:rsidR="00024C0A" w:rsidRDefault="00694C0F">
            <w:pPr>
              <w:pStyle w:val="TableBodyText"/>
            </w:pPr>
            <w:r>
              <w:t>(as Symbols)</w:t>
            </w:r>
          </w:p>
        </w:tc>
        <w:tc>
          <w:tcPr>
            <w:tcW w:w="0" w:type="auto"/>
            <w:vAlign w:val="center"/>
          </w:tcPr>
          <w:p w:rsidR="00024C0A" w:rsidRDefault="00024C0A">
            <w:pPr>
              <w:pStyle w:val="TableBodyText"/>
            </w:pPr>
          </w:p>
        </w:tc>
      </w:tr>
      <w:tr w:rsidR="00024C0A" w:rsidTr="00024C0A">
        <w:tc>
          <w:tcPr>
            <w:tcW w:w="0" w:type="auto"/>
            <w:vAlign w:val="center"/>
          </w:tcPr>
          <w:p w:rsidR="00024C0A" w:rsidRDefault="00024C0A">
            <w:pPr>
              <w:pStyle w:val="TableBodyText"/>
            </w:pPr>
          </w:p>
        </w:tc>
        <w:tc>
          <w:tcPr>
            <w:tcW w:w="0" w:type="auto"/>
            <w:vAlign w:val="center"/>
          </w:tcPr>
          <w:p w:rsidR="00024C0A" w:rsidRDefault="00694C0F">
            <w:pPr>
              <w:pStyle w:val="TableBodyText"/>
            </w:pPr>
            <w:r>
              <w:t>@</w:t>
            </w:r>
          </w:p>
        </w:tc>
        <w:tc>
          <w:tcPr>
            <w:tcW w:w="0" w:type="auto"/>
            <w:vAlign w:val="center"/>
          </w:tcPr>
          <w:p w:rsidR="00024C0A" w:rsidRDefault="00694C0F">
            <w:pPr>
              <w:pStyle w:val="TableBodyText"/>
            </w:pPr>
            <w:r>
              <w:t>"G"</w:t>
            </w:r>
          </w:p>
        </w:tc>
      </w:tr>
      <w:tr w:rsidR="00024C0A" w:rsidTr="00024C0A">
        <w:tc>
          <w:tcPr>
            <w:tcW w:w="0" w:type="auto"/>
            <w:vAlign w:val="center"/>
          </w:tcPr>
          <w:p w:rsidR="00024C0A" w:rsidRDefault="00694C0F">
            <w:pPr>
              <w:pStyle w:val="TableBodyText"/>
            </w:pPr>
            <w:r>
              <w:t>@</w:t>
            </w:r>
          </w:p>
        </w:tc>
        <w:tc>
          <w:tcPr>
            <w:tcW w:w="0" w:type="auto"/>
            <w:vAlign w:val="center"/>
          </w:tcPr>
          <w:p w:rsidR="00024C0A" w:rsidRDefault="00694C0F">
            <w:pPr>
              <w:pStyle w:val="TableBodyText"/>
            </w:pPr>
            <w:r>
              <w:t>$</w:t>
            </w:r>
          </w:p>
        </w:tc>
        <w:tc>
          <w:tcPr>
            <w:tcW w:w="0" w:type="auto"/>
            <w:vAlign w:val="center"/>
          </w:tcPr>
          <w:p w:rsidR="00024C0A" w:rsidRDefault="00694C0F">
            <w:pPr>
              <w:pStyle w:val="TableBodyText"/>
            </w:pPr>
            <w:r>
              <w:t>"C"</w:t>
            </w:r>
          </w:p>
        </w:tc>
      </w:tr>
      <w:tr w:rsidR="00024C0A" w:rsidTr="00024C0A">
        <w:tc>
          <w:tcPr>
            <w:tcW w:w="0" w:type="auto"/>
            <w:vAlign w:val="center"/>
          </w:tcPr>
          <w:p w:rsidR="00024C0A" w:rsidRDefault="00694C0F">
            <w:pPr>
              <w:pStyle w:val="TableBodyText"/>
            </w:pPr>
            <w:r>
              <w:t>@, $</w:t>
            </w:r>
          </w:p>
        </w:tc>
        <w:tc>
          <w:tcPr>
            <w:tcW w:w="0" w:type="auto"/>
            <w:vAlign w:val="center"/>
          </w:tcPr>
          <w:p w:rsidR="00024C0A" w:rsidRDefault="00694C0F">
            <w:pPr>
              <w:pStyle w:val="TableBodyText"/>
            </w:pPr>
            <w:r>
              <w:t>%</w:t>
            </w:r>
          </w:p>
        </w:tc>
        <w:tc>
          <w:tcPr>
            <w:tcW w:w="0" w:type="auto"/>
            <w:vAlign w:val="center"/>
          </w:tcPr>
          <w:p w:rsidR="00024C0A" w:rsidRDefault="00694C0F">
            <w:pPr>
              <w:pStyle w:val="TableBodyText"/>
            </w:pPr>
            <w:r>
              <w:t>"P"</w:t>
            </w:r>
          </w:p>
        </w:tc>
      </w:tr>
      <w:tr w:rsidR="00024C0A" w:rsidTr="00024C0A">
        <w:tc>
          <w:tcPr>
            <w:tcW w:w="0" w:type="auto"/>
            <w:vAlign w:val="center"/>
          </w:tcPr>
          <w:p w:rsidR="00024C0A" w:rsidRDefault="00694C0F">
            <w:pPr>
              <w:pStyle w:val="TableBodyText"/>
            </w:pPr>
            <w:r>
              <w:t>@, $, %</w:t>
            </w:r>
          </w:p>
        </w:tc>
        <w:tc>
          <w:tcPr>
            <w:tcW w:w="0" w:type="auto"/>
            <w:vAlign w:val="center"/>
          </w:tcPr>
          <w:p w:rsidR="00024C0A" w:rsidRDefault="00694C0F">
            <w:pPr>
              <w:pStyle w:val="TableBodyText"/>
            </w:pPr>
            <w:r>
              <w:t>E</w:t>
            </w:r>
          </w:p>
        </w:tc>
        <w:tc>
          <w:tcPr>
            <w:tcW w:w="0" w:type="auto"/>
            <w:vAlign w:val="center"/>
          </w:tcPr>
          <w:p w:rsidR="00024C0A" w:rsidRDefault="00694C0F">
            <w:pPr>
              <w:pStyle w:val="TableBodyText"/>
            </w:pPr>
            <w:r>
              <w:t>"S"</w:t>
            </w:r>
          </w:p>
        </w:tc>
      </w:tr>
      <w:tr w:rsidR="00024C0A" w:rsidTr="00024C0A">
        <w:tc>
          <w:tcPr>
            <w:tcW w:w="0" w:type="auto"/>
            <w:vAlign w:val="center"/>
          </w:tcPr>
          <w:p w:rsidR="00024C0A" w:rsidRDefault="00694C0F">
            <w:pPr>
              <w:pStyle w:val="TableBodyText"/>
            </w:pPr>
            <w:r>
              <w:t>@, $, %, E</w:t>
            </w:r>
          </w:p>
        </w:tc>
        <w:tc>
          <w:tcPr>
            <w:tcW w:w="0" w:type="auto"/>
            <w:vAlign w:val="center"/>
          </w:tcPr>
          <w:p w:rsidR="00024C0A" w:rsidRDefault="00694C0F">
            <w:pPr>
              <w:pStyle w:val="TableBodyText"/>
            </w:pPr>
            <w:r>
              <w:t>A run of any combination of one or more "0", "#", and "?" characters, followed by a comma, followed by a run of any combination of one or more "0", "#", and "?" characters.</w:t>
            </w:r>
          </w:p>
          <w:p w:rsidR="00024C0A" w:rsidRDefault="00024C0A">
            <w:pPr>
              <w:pStyle w:val="TableBodyText"/>
            </w:pPr>
          </w:p>
          <w:p w:rsidR="00024C0A" w:rsidRDefault="00694C0F">
            <w:pPr>
              <w:pStyle w:val="TableBodyText"/>
            </w:pPr>
            <w:r>
              <w:t>This run cannot be preceded by a period (".") or by any interpreted cha</w:t>
            </w:r>
            <w:r>
              <w:t>racters.</w:t>
            </w:r>
          </w:p>
        </w:tc>
        <w:tc>
          <w:tcPr>
            <w:tcW w:w="0" w:type="auto"/>
            <w:vAlign w:val="center"/>
          </w:tcPr>
          <w:p w:rsidR="00024C0A" w:rsidRDefault="00694C0F">
            <w:pPr>
              <w:pStyle w:val="TableBodyText"/>
            </w:pPr>
            <w:r>
              <w:t>","</w:t>
            </w:r>
          </w:p>
        </w:tc>
      </w:tr>
      <w:tr w:rsidR="00024C0A" w:rsidTr="00024C0A">
        <w:tc>
          <w:tcPr>
            <w:tcW w:w="0" w:type="auto"/>
            <w:vAlign w:val="center"/>
          </w:tcPr>
          <w:p w:rsidR="00024C0A" w:rsidRDefault="00694C0F">
            <w:pPr>
              <w:pStyle w:val="TableBodyText"/>
            </w:pPr>
            <w:r>
              <w:t xml:space="preserve">@, $, %, E, or a run of characters containing a comma as described in the preceding row </w:t>
            </w:r>
          </w:p>
        </w:tc>
        <w:tc>
          <w:tcPr>
            <w:tcW w:w="0" w:type="auto"/>
            <w:vAlign w:val="center"/>
          </w:tcPr>
          <w:p w:rsidR="00024C0A" w:rsidRDefault="00694C0F">
            <w:pPr>
              <w:pStyle w:val="TableBodyText"/>
            </w:pPr>
            <w:r>
              <w:t>At least one of "0", "?", or "#"</w:t>
            </w:r>
          </w:p>
        </w:tc>
        <w:tc>
          <w:tcPr>
            <w:tcW w:w="0" w:type="auto"/>
            <w:vAlign w:val="center"/>
          </w:tcPr>
          <w:p w:rsidR="00024C0A" w:rsidRDefault="00694C0F">
            <w:pPr>
              <w:pStyle w:val="TableBodyText"/>
            </w:pPr>
            <w:r>
              <w:t>"F"</w:t>
            </w:r>
          </w:p>
        </w:tc>
      </w:tr>
      <w:tr w:rsidR="00024C0A" w:rsidTr="00024C0A">
        <w:tc>
          <w:tcPr>
            <w:tcW w:w="0" w:type="auto"/>
            <w:vAlign w:val="center"/>
          </w:tcPr>
          <w:p w:rsidR="00024C0A" w:rsidRDefault="00694C0F">
            <w:pPr>
              <w:pStyle w:val="TableBodyText"/>
            </w:pPr>
            <w:r>
              <w:t>Any of the conditions described in the preceding rows</w:t>
            </w:r>
          </w:p>
        </w:tc>
        <w:tc>
          <w:tcPr>
            <w:tcW w:w="0" w:type="auto"/>
            <w:vAlign w:val="center"/>
          </w:tcPr>
          <w:p w:rsidR="00024C0A" w:rsidRDefault="00694C0F">
            <w:pPr>
              <w:pStyle w:val="TableBodyText"/>
            </w:pPr>
            <w:r>
              <w:t>Anything</w:t>
            </w:r>
          </w:p>
        </w:tc>
        <w:tc>
          <w:tcPr>
            <w:tcW w:w="0" w:type="auto"/>
            <w:vAlign w:val="center"/>
          </w:tcPr>
          <w:p w:rsidR="00024C0A" w:rsidRDefault="00694C0F">
            <w:pPr>
              <w:pStyle w:val="TableBodyText"/>
            </w:pPr>
            <w:r>
              <w:t>"G"</w:t>
            </w:r>
          </w:p>
        </w:tc>
      </w:tr>
    </w:tbl>
    <w:p w:rsidR="00024C0A" w:rsidRDefault="00024C0A"/>
    <w:p w:rsidR="00024C0A" w:rsidRDefault="00694C0F">
      <w:r>
        <w:lastRenderedPageBreak/>
        <w:t>The final value is determined by appending any</w:t>
      </w:r>
      <w:r>
        <w:t xml:space="preserve"> of the applicable characters from the following table to the return value characters obtained from the previous two tables:</w:t>
      </w:r>
    </w:p>
    <w:tbl>
      <w:tblPr>
        <w:tblStyle w:val="Table-ShadedHeader"/>
        <w:tblW w:w="0" w:type="auto"/>
        <w:tblLook w:val="04A0" w:firstRow="1" w:lastRow="0" w:firstColumn="1" w:lastColumn="0" w:noHBand="0" w:noVBand="1"/>
      </w:tblPr>
      <w:tblGrid>
        <w:gridCol w:w="4922"/>
        <w:gridCol w:w="4553"/>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Case</w:t>
            </w:r>
          </w:p>
        </w:tc>
        <w:tc>
          <w:tcPr>
            <w:tcW w:w="0" w:type="auto"/>
            <w:vAlign w:val="center"/>
          </w:tcPr>
          <w:p w:rsidR="00024C0A" w:rsidRDefault="00694C0F">
            <w:pPr>
              <w:pStyle w:val="TableHeaderText"/>
            </w:pPr>
            <w:r>
              <w:t>Characters to Append</w:t>
            </w:r>
          </w:p>
        </w:tc>
      </w:tr>
      <w:tr w:rsidR="00024C0A" w:rsidTr="00024C0A">
        <w:tc>
          <w:tcPr>
            <w:tcW w:w="0" w:type="auto"/>
            <w:vAlign w:val="center"/>
          </w:tcPr>
          <w:p w:rsidR="00024C0A" w:rsidRDefault="00694C0F">
            <w:pPr>
              <w:pStyle w:val="TableBodyText"/>
            </w:pPr>
            <w:r>
              <w:t>The first character of the return value is C, F, S, P, or "," and the number format code contains any of</w:t>
            </w:r>
            <w:r>
              <w:t xml:space="preserve"> "?", "0", or "#" as a symbol.</w:t>
            </w:r>
          </w:p>
        </w:tc>
        <w:tc>
          <w:tcPr>
            <w:tcW w:w="0" w:type="auto"/>
            <w:vAlign w:val="center"/>
          </w:tcPr>
          <w:p w:rsidR="00024C0A" w:rsidRDefault="00694C0F">
            <w:pPr>
              <w:pStyle w:val="TableBodyText"/>
            </w:pPr>
            <w:r>
              <w:t>The decimal number equal to the total number of "#", "?", and "0" characters to the right of the first "." within the first section.</w:t>
            </w:r>
          </w:p>
        </w:tc>
      </w:tr>
      <w:tr w:rsidR="00024C0A" w:rsidTr="00024C0A">
        <w:tc>
          <w:tcPr>
            <w:tcW w:w="0" w:type="auto"/>
            <w:vAlign w:val="center"/>
          </w:tcPr>
          <w:p w:rsidR="00024C0A" w:rsidRDefault="00694C0F">
            <w:pPr>
              <w:pStyle w:val="TableBodyText"/>
            </w:pPr>
            <w:r>
              <w:t>The first character of the return value was C, and the number format code does not contains</w:t>
            </w:r>
            <w:r>
              <w:t xml:space="preserve"> any of "?", "0", or "#" as a symbol.</w:t>
            </w:r>
          </w:p>
        </w:tc>
        <w:tc>
          <w:tcPr>
            <w:tcW w:w="0" w:type="auto"/>
            <w:vAlign w:val="center"/>
          </w:tcPr>
          <w:p w:rsidR="00024C0A" w:rsidRDefault="00694C0F">
            <w:pPr>
              <w:pStyle w:val="TableBodyText"/>
            </w:pPr>
            <w:r>
              <w:t>15 or the length of the string immediately following the first "$" sign in the number format code that is a symbol.</w:t>
            </w:r>
          </w:p>
        </w:tc>
      </w:tr>
      <w:tr w:rsidR="00024C0A" w:rsidTr="00024C0A">
        <w:tc>
          <w:tcPr>
            <w:tcW w:w="0" w:type="auto"/>
            <w:vAlign w:val="center"/>
          </w:tcPr>
          <w:p w:rsidR="00024C0A" w:rsidRDefault="00694C0F">
            <w:pPr>
              <w:pStyle w:val="TableBodyText"/>
            </w:pPr>
            <w:r>
              <w:t>The first section of the number format code contains an open parenthesis ("(") as a symbol.</w:t>
            </w:r>
          </w:p>
        </w:tc>
        <w:tc>
          <w:tcPr>
            <w:tcW w:w="0" w:type="auto"/>
            <w:vAlign w:val="center"/>
          </w:tcPr>
          <w:p w:rsidR="00024C0A" w:rsidRDefault="00694C0F">
            <w:pPr>
              <w:pStyle w:val="TableBodyText"/>
            </w:pPr>
            <w:r>
              <w:t>"()"</w:t>
            </w:r>
          </w:p>
        </w:tc>
      </w:tr>
      <w:tr w:rsidR="00024C0A" w:rsidTr="00024C0A">
        <w:tc>
          <w:tcPr>
            <w:tcW w:w="0" w:type="auto"/>
            <w:vAlign w:val="center"/>
          </w:tcPr>
          <w:p w:rsidR="00024C0A" w:rsidRDefault="00694C0F">
            <w:pPr>
              <w:pStyle w:val="TableBodyText"/>
            </w:pPr>
            <w:r>
              <w:t>The</w:t>
            </w:r>
            <w:r>
              <w:t xml:space="preserve"> second section of the number format code contains [Red], [Black], [Green], [White], [Blue], [Magenta], [Yellow], or [Cyan] as a symbol.</w:t>
            </w:r>
          </w:p>
        </w:tc>
        <w:tc>
          <w:tcPr>
            <w:tcW w:w="0" w:type="auto"/>
            <w:vAlign w:val="center"/>
          </w:tcPr>
          <w:p w:rsidR="00024C0A" w:rsidRDefault="00694C0F">
            <w:pPr>
              <w:pStyle w:val="TableBodyText"/>
            </w:pPr>
            <w:r>
              <w:t>"-"</w:t>
            </w:r>
          </w:p>
        </w:tc>
      </w:tr>
    </w:tbl>
    <w:p w:rsidR="00024C0A" w:rsidRDefault="00024C0A"/>
    <w:p w:rsidR="00024C0A" w:rsidRDefault="00694C0F">
      <w:pPr>
        <w:pStyle w:val="Definition-Field"/>
      </w:pPr>
      <w:r>
        <w:t xml:space="preserve">c.   </w:t>
      </w:r>
      <w:r>
        <w:rPr>
          <w:i/>
        </w:rPr>
        <w:t>The standard does not specify coord and sheet as values for argument category.</w:t>
      </w:r>
    </w:p>
    <w:p w:rsidR="00024C0A" w:rsidRDefault="00694C0F">
      <w:r>
        <w:t>Excel allows the following ad</w:t>
      </w:r>
      <w:r>
        <w:t xml:space="preserve">ditional values for the </w:t>
      </w:r>
      <w:r>
        <w:rPr>
          <w:i/>
        </w:rPr>
        <w:t>category</w:t>
      </w:r>
      <w:r>
        <w:t xml:space="preserve"> argument: </w:t>
      </w:r>
    </w:p>
    <w:tbl>
      <w:tblPr>
        <w:tblStyle w:val="Table-ShadedHeader"/>
        <w:tblW w:w="0" w:type="auto"/>
        <w:tblLook w:val="04A0" w:firstRow="1" w:lastRow="0" w:firstColumn="1" w:lastColumn="0" w:noHBand="0" w:noVBand="1"/>
      </w:tblPr>
      <w:tblGrid>
        <w:gridCol w:w="1016"/>
        <w:gridCol w:w="7188"/>
        <w:gridCol w:w="127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category</w:t>
            </w:r>
          </w:p>
        </w:tc>
        <w:tc>
          <w:tcPr>
            <w:tcW w:w="0" w:type="auto"/>
            <w:vAlign w:val="center"/>
          </w:tcPr>
          <w:p w:rsidR="00024C0A" w:rsidRDefault="00694C0F">
            <w:pPr>
              <w:pStyle w:val="TableHeaderText"/>
            </w:pPr>
            <w:r>
              <w:t>Meaning</w:t>
            </w:r>
          </w:p>
        </w:tc>
        <w:tc>
          <w:tcPr>
            <w:tcW w:w="0" w:type="auto"/>
            <w:vAlign w:val="center"/>
          </w:tcPr>
          <w:p w:rsidR="00024C0A" w:rsidRDefault="00694C0F">
            <w:pPr>
              <w:pStyle w:val="TableHeaderText"/>
            </w:pPr>
            <w:r>
              <w:t>Result Type</w:t>
            </w:r>
          </w:p>
        </w:tc>
      </w:tr>
      <w:tr w:rsidR="00024C0A" w:rsidTr="00024C0A">
        <w:tc>
          <w:tcPr>
            <w:tcW w:w="0" w:type="auto"/>
            <w:vAlign w:val="center"/>
          </w:tcPr>
          <w:p w:rsidR="00024C0A" w:rsidRDefault="00694C0F">
            <w:pPr>
              <w:pStyle w:val="TableBodyText"/>
            </w:pPr>
            <w:r>
              <w:rPr>
                <w:rStyle w:val="InlineCode"/>
              </w:rPr>
              <w:t>“coord”</w:t>
            </w:r>
          </w:p>
        </w:tc>
        <w:tc>
          <w:tcPr>
            <w:tcW w:w="0" w:type="auto"/>
            <w:vAlign w:val="center"/>
          </w:tcPr>
          <w:p w:rsidR="00024C0A" w:rsidRDefault="00694C0F">
            <w:pPr>
              <w:pStyle w:val="TableBodyText"/>
            </w:pPr>
            <w:r>
              <w:t>Returns the referenced cell in the format $A:$&lt;referenced column&gt;$&lt;referenced row&gt;.</w:t>
            </w:r>
          </w:p>
        </w:tc>
        <w:tc>
          <w:tcPr>
            <w:tcW w:w="0" w:type="auto"/>
            <w:vAlign w:val="center"/>
          </w:tcPr>
          <w:p w:rsidR="00024C0A" w:rsidRDefault="00694C0F">
            <w:pPr>
              <w:pStyle w:val="TableBodyText"/>
            </w:pPr>
            <w:r>
              <w:t>text</w:t>
            </w:r>
          </w:p>
        </w:tc>
      </w:tr>
      <w:tr w:rsidR="00024C0A" w:rsidTr="00024C0A">
        <w:tc>
          <w:tcPr>
            <w:tcW w:w="0" w:type="auto"/>
            <w:vAlign w:val="center"/>
          </w:tcPr>
          <w:p w:rsidR="00024C0A" w:rsidRDefault="00694C0F">
            <w:pPr>
              <w:pStyle w:val="TableBodyText"/>
            </w:pPr>
            <w:r>
              <w:rPr>
                <w:rStyle w:val="InlineCode"/>
              </w:rPr>
              <w:t>“sheet”</w:t>
            </w:r>
          </w:p>
        </w:tc>
        <w:tc>
          <w:tcPr>
            <w:tcW w:w="0" w:type="auto"/>
            <w:vAlign w:val="center"/>
          </w:tcPr>
          <w:p w:rsidR="00024C0A" w:rsidRDefault="00694C0F">
            <w:pPr>
              <w:pStyle w:val="TableBodyText"/>
            </w:pPr>
            <w:r>
              <w:t>Returns 1.</w:t>
            </w:r>
          </w:p>
        </w:tc>
        <w:tc>
          <w:tcPr>
            <w:tcW w:w="0" w:type="auto"/>
            <w:vAlign w:val="center"/>
          </w:tcPr>
          <w:p w:rsidR="00024C0A" w:rsidRDefault="00694C0F">
            <w:pPr>
              <w:pStyle w:val="TableBodyText"/>
            </w:pPr>
            <w:r>
              <w:t>number</w:t>
            </w:r>
          </w:p>
        </w:tc>
      </w:tr>
    </w:tbl>
    <w:p w:rsidR="00024C0A" w:rsidRDefault="00024C0A"/>
    <w:p w:rsidR="00024C0A" w:rsidRDefault="00694C0F">
      <w:pPr>
        <w:pStyle w:val="Heading3"/>
      </w:pPr>
      <w:bookmarkStart w:id="1807" w:name="section_ea535fffeba54b7eb9d5875c916ad0a9"/>
      <w:bookmarkStart w:id="1808" w:name="_Toc12260964"/>
      <w:r>
        <w:t>Part 1 Section 18.17.7.37, CHIINV</w:t>
      </w:r>
      <w:bookmarkEnd w:id="1807"/>
      <w:bookmarkEnd w:id="1808"/>
      <w:r>
        <w:fldChar w:fldCharType="begin"/>
      </w:r>
      <w:r>
        <w:instrText xml:space="preserve"> XE "CHIINV" </w:instrText>
      </w:r>
      <w:r>
        <w:fldChar w:fldCharType="end"/>
      </w:r>
    </w:p>
    <w:p w:rsidR="00024C0A" w:rsidRDefault="00694C0F">
      <w:pPr>
        <w:pStyle w:val="Definition-Field"/>
      </w:pPr>
      <w:r>
        <w:t xml:space="preserve">a.   </w:t>
      </w:r>
      <w:r>
        <w:rPr>
          <w:i/>
        </w:rPr>
        <w:t>The standard specifies that an iterative search technique is used for the implementation of the CHIINV function.</w:t>
      </w:r>
    </w:p>
    <w:p w:rsidR="00024C0A" w:rsidRDefault="00694C0F">
      <w:pPr>
        <w:pStyle w:val="Definition-Field2"/>
      </w:pPr>
      <w:r>
        <w:t>Office does not require an iterative search technique to be used.</w:t>
      </w:r>
    </w:p>
    <w:p w:rsidR="00024C0A" w:rsidRDefault="00694C0F">
      <w:pPr>
        <w:pStyle w:val="Definition-Field"/>
      </w:pPr>
      <w:r>
        <w:t xml:space="preserve">b.   </w:t>
      </w:r>
      <w:r>
        <w:rPr>
          <w:i/>
        </w:rPr>
        <w:t>The standard lists #N/A as the return value in case the search has not c</w:t>
      </w:r>
      <w:r>
        <w:rPr>
          <w:i/>
        </w:rPr>
        <w:t>onverged after some number of iterations.</w:t>
      </w:r>
    </w:p>
    <w:p w:rsidR="00024C0A" w:rsidRDefault="00694C0F">
      <w:pPr>
        <w:pStyle w:val="Definition-Field2"/>
      </w:pPr>
      <w:r>
        <w:t>Office does not require an iterative search technique to be used.</w:t>
      </w:r>
    </w:p>
    <w:p w:rsidR="00024C0A" w:rsidRDefault="00694C0F">
      <w:pPr>
        <w:pStyle w:val="Heading3"/>
      </w:pPr>
      <w:bookmarkStart w:id="1809" w:name="section_6b555c7bc86744e48241299daf41f91f"/>
      <w:bookmarkStart w:id="1810" w:name="_Toc12260965"/>
      <w:r>
        <w:t>Part 1 Section 18.17.7.40, CLEAN</w:t>
      </w:r>
      <w:bookmarkEnd w:id="1809"/>
      <w:bookmarkEnd w:id="1810"/>
      <w:r>
        <w:fldChar w:fldCharType="begin"/>
      </w:r>
      <w:r>
        <w:instrText xml:space="preserve"> XE "CLEAN" </w:instrText>
      </w:r>
      <w:r>
        <w:fldChar w:fldCharType="end"/>
      </w:r>
    </w:p>
    <w:p w:rsidR="00024C0A" w:rsidRDefault="00694C0F">
      <w:pPr>
        <w:pStyle w:val="Definition-Field"/>
      </w:pPr>
      <w:r>
        <w:t xml:space="preserve">a.   </w:t>
      </w:r>
      <w:r>
        <w:rPr>
          <w:i/>
        </w:rPr>
        <w:t>The standard states that the function makes a string that is a copy of string with all so-called</w:t>
      </w:r>
      <w:r>
        <w:rPr>
          <w:i/>
        </w:rPr>
        <w:t xml:space="preserve"> non-printable characters—those with internal values in the range U+0000–001F—removed.</w:t>
      </w:r>
    </w:p>
    <w:p w:rsidR="00024C0A" w:rsidRDefault="00694C0F">
      <w:pPr>
        <w:pStyle w:val="Definition-Field2"/>
      </w:pPr>
      <w:r>
        <w:t xml:space="preserve">In Office, the function makes a string that is a copy of string with all so-called non-printable characters removed; specifically, those characters with internal values </w:t>
      </w:r>
      <w:r>
        <w:t>in the Unicode ranges U+0000 – U+001F and U+0080 – U+009F are removed.</w:t>
      </w:r>
    </w:p>
    <w:p w:rsidR="00024C0A" w:rsidRDefault="00694C0F">
      <w:pPr>
        <w:pStyle w:val="Heading3"/>
      </w:pPr>
      <w:bookmarkStart w:id="1811" w:name="section_fde89d007c2b42478077d9d923e7c804"/>
      <w:bookmarkStart w:id="1812" w:name="_Toc12260966"/>
      <w:r>
        <w:lastRenderedPageBreak/>
        <w:t>Part 1 Section 18.17.7.45, COMPLEX</w:t>
      </w:r>
      <w:bookmarkEnd w:id="1811"/>
      <w:bookmarkEnd w:id="1812"/>
      <w:r>
        <w:fldChar w:fldCharType="begin"/>
      </w:r>
      <w:r>
        <w:instrText xml:space="preserve"> XE "COMPLEX" </w:instrText>
      </w:r>
      <w:r>
        <w:fldChar w:fldCharType="end"/>
      </w:r>
    </w:p>
    <w:p w:rsidR="00024C0A" w:rsidRDefault="00694C0F">
      <w:pPr>
        <w:pStyle w:val="Definition-Field"/>
      </w:pPr>
      <w:r>
        <w:t xml:space="preserve">a.   </w:t>
      </w:r>
      <w:r>
        <w:rPr>
          <w:i/>
        </w:rPr>
        <w:t xml:space="preserve">The standard states that if real-number has the value 0 and imaginary-number has a non-zero value, the resulting string contains </w:t>
      </w:r>
      <w:r>
        <w:rPr>
          <w:i/>
        </w:rPr>
        <w:t>just the real number.</w:t>
      </w:r>
    </w:p>
    <w:p w:rsidR="00024C0A" w:rsidRDefault="00694C0F">
      <w:pPr>
        <w:pStyle w:val="Definition-Field2"/>
      </w:pPr>
      <w:r>
        <w:t>In Office, if real-number has the value 0 and imaginary-number has a non-zero value, the resulting string contains just the imaginary-number and suffix.</w:t>
      </w:r>
    </w:p>
    <w:p w:rsidR="00024C0A" w:rsidRDefault="00694C0F">
      <w:pPr>
        <w:pStyle w:val="Heading3"/>
      </w:pPr>
      <w:bookmarkStart w:id="1813" w:name="section_aa6808c815784fff8c5fd2005b48dbda"/>
      <w:bookmarkStart w:id="1814" w:name="_Toc12260967"/>
      <w:r>
        <w:t>Part 1 Section 18.17.7.47, CONFIDENCE</w:t>
      </w:r>
      <w:bookmarkEnd w:id="1813"/>
      <w:bookmarkEnd w:id="1814"/>
      <w:r>
        <w:fldChar w:fldCharType="begin"/>
      </w:r>
      <w:r>
        <w:instrText xml:space="preserve"> XE "CONFIDENCE" </w:instrText>
      </w:r>
      <w:r>
        <w:fldChar w:fldCharType="end"/>
      </w:r>
    </w:p>
    <w:p w:rsidR="00024C0A" w:rsidRDefault="00694C0F">
      <w:pPr>
        <w:pStyle w:val="Definition-Field"/>
      </w:pPr>
      <w:r>
        <w:t xml:space="preserve">a.   </w:t>
      </w:r>
      <w:r>
        <w:rPr>
          <w:i/>
        </w:rPr>
        <w:t>The standard does n</w:t>
      </w:r>
      <w:r>
        <w:rPr>
          <w:i/>
        </w:rPr>
        <w:t>ot specify on which probability distribution the CONFIDENCE function is based.</w:t>
      </w:r>
    </w:p>
    <w:p w:rsidR="00024C0A" w:rsidRDefault="00694C0F">
      <w:pPr>
        <w:pStyle w:val="Definition-Field2"/>
      </w:pPr>
      <w:r>
        <w:t>In Office, the CONFIDENCE function is based on a normal distribution.</w:t>
      </w:r>
    </w:p>
    <w:p w:rsidR="00024C0A" w:rsidRDefault="00694C0F">
      <w:pPr>
        <w:pStyle w:val="Heading3"/>
      </w:pPr>
      <w:bookmarkStart w:id="1815" w:name="section_fd31bfcbc9464f1a88e258d40cde169e"/>
      <w:bookmarkStart w:id="1816" w:name="_Toc12260968"/>
      <w:r>
        <w:t>Part 1 Section 18.17.7.48, CONVERT</w:t>
      </w:r>
      <w:bookmarkEnd w:id="1815"/>
      <w:bookmarkEnd w:id="1816"/>
      <w:r>
        <w:fldChar w:fldCharType="begin"/>
      </w:r>
      <w:r>
        <w:instrText xml:space="preserve"> XE "CONVERT" </w:instrText>
      </w:r>
      <w:r>
        <w:fldChar w:fldCharType="end"/>
      </w:r>
    </w:p>
    <w:p w:rsidR="00024C0A" w:rsidRDefault="00694C0F">
      <w:pPr>
        <w:pStyle w:val="Definition-Field"/>
      </w:pPr>
      <w:r>
        <w:t xml:space="preserve">a.   </w:t>
      </w:r>
      <w:r>
        <w:rPr>
          <w:i/>
        </w:rPr>
        <w:t xml:space="preserve">The standard specifies P or p as the unit string </w:t>
      </w:r>
      <w:r>
        <w:rPr>
          <w:i/>
        </w:rPr>
        <w:t>for Pascal.</w:t>
      </w:r>
    </w:p>
    <w:p w:rsidR="00024C0A" w:rsidRDefault="00694C0F">
      <w:pPr>
        <w:pStyle w:val="Definition-Field2"/>
      </w:pPr>
      <w:r>
        <w:t>Office requires Pa or p to be the unit string for Pascal.</w:t>
      </w:r>
    </w:p>
    <w:p w:rsidR="00024C0A" w:rsidRDefault="00694C0F">
      <w:pPr>
        <w:pStyle w:val="Definition-Field"/>
      </w:pPr>
      <w:r>
        <w:t xml:space="preserve">b.   </w:t>
      </w:r>
      <w:r>
        <w:rPr>
          <w:i/>
        </w:rPr>
        <w:t>The standard specifies H or hp as the unit string for Horsepower.</w:t>
      </w:r>
    </w:p>
    <w:p w:rsidR="00024C0A" w:rsidRDefault="00694C0F">
      <w:pPr>
        <w:pStyle w:val="Definition-Field2"/>
      </w:pPr>
      <w:r>
        <w:t>Office requires h or HP as the unit string for Horsepower.</w:t>
      </w:r>
    </w:p>
    <w:p w:rsidR="00024C0A" w:rsidRDefault="00694C0F">
      <w:pPr>
        <w:pStyle w:val="Definition-Field"/>
      </w:pPr>
      <w:r>
        <w:t xml:space="preserve">c.   </w:t>
      </w:r>
      <w:r>
        <w:rPr>
          <w:i/>
        </w:rPr>
        <w:t>The standard does not specify the detailed unity ty</w:t>
      </w:r>
      <w:r>
        <w:rPr>
          <w:i/>
        </w:rPr>
        <w:t>pe for cup, oz, tbs, and tsp.</w:t>
      </w:r>
    </w:p>
    <w:p w:rsidR="00024C0A" w:rsidRDefault="00694C0F">
      <w:pPr>
        <w:pStyle w:val="Definition-Field2"/>
      </w:pPr>
      <w:r>
        <w:t>Office treats cup as traditional U.S cup, oz as U.S. fluid ounce, tbs as traditional U.S. tablespoon, and tsp as traditional U.S. teaspoon.</w:t>
      </w:r>
    </w:p>
    <w:p w:rsidR="00024C0A" w:rsidRDefault="00694C0F">
      <w:pPr>
        <w:pStyle w:val="Definition-Field"/>
      </w:pPr>
      <w:r>
        <w:t xml:space="preserve">d.   </w:t>
      </w:r>
      <w:r>
        <w:rPr>
          <w:i/>
        </w:rPr>
        <w:t>The standard specifies ptorus_pt as the unit string for U.S. pint.</w:t>
      </w:r>
    </w:p>
    <w:p w:rsidR="00024C0A" w:rsidRDefault="00694C0F">
      <w:pPr>
        <w:pStyle w:val="Definition-Field2"/>
      </w:pPr>
      <w:r>
        <w:t>Office require</w:t>
      </w:r>
      <w:r>
        <w:t>s pt or us_pt as the unit string for U.S. pint.</w:t>
      </w:r>
    </w:p>
    <w:p w:rsidR="00024C0A" w:rsidRDefault="00694C0F">
      <w:pPr>
        <w:pStyle w:val="Definition-Field"/>
      </w:pPr>
      <w:r>
        <w:t xml:space="preserve">e.   </w:t>
      </w:r>
      <w:r>
        <w:rPr>
          <w:i/>
        </w:rPr>
        <w:t>The standard specifies a list of liquid measure conversions.</w:t>
      </w:r>
    </w:p>
    <w:p w:rsidR="00024C0A" w:rsidRDefault="00694C0F">
      <w:r>
        <w:t>Office does not support the following liquid measure conversions: AU_tbs, CZ_mass, CZ_mug, GB_tbs, CA_tbs, JP_tbs, imperial_gal, AU_gal, CA_ga</w:t>
      </w:r>
      <w:r>
        <w:t>l, GB_gal, imperial_oz, AU_oz, CA_oz, GB_oz, imperial_pt, AU_pt, CA_pt, GB_pt, imperial_qt, AU_qt, CA_qt, GB_qt, JP_cup, metric_cup, AU_cup, CA_cup, NZ_cup, metric_tsp, AU_tsp, CA_tsp, JP_tsp, GB_tsp.</w:t>
      </w:r>
    </w:p>
    <w:p w:rsidR="00024C0A" w:rsidRDefault="00694C0F">
      <w:pPr>
        <w:pStyle w:val="Heading3"/>
      </w:pPr>
      <w:bookmarkStart w:id="1817" w:name="section_7864edd9d4b74cf0bc4f6c50985e22ce"/>
      <w:bookmarkStart w:id="1818" w:name="_Toc12260969"/>
      <w:r>
        <w:t>Part 1 Section 18.17.7.49, CORREL</w:t>
      </w:r>
      <w:bookmarkEnd w:id="1817"/>
      <w:bookmarkEnd w:id="1818"/>
      <w:r>
        <w:fldChar w:fldCharType="begin"/>
      </w:r>
      <w:r>
        <w:instrText xml:space="preserve"> XE "CORREL" </w:instrText>
      </w:r>
      <w:r>
        <w:fldChar w:fldCharType="end"/>
      </w:r>
    </w:p>
    <w:p w:rsidR="00024C0A" w:rsidRDefault="00694C0F">
      <w:pPr>
        <w:pStyle w:val="Definition-Field"/>
      </w:pPr>
      <w:r>
        <w:t xml:space="preserve">a.   </w:t>
      </w:r>
      <w:r>
        <w:rPr>
          <w:i/>
        </w:rPr>
        <w:t>T</w:t>
      </w:r>
      <w:r>
        <w:rPr>
          <w:i/>
        </w:rPr>
        <w:t>he standard does not specify how function arguments map to formula variables.</w:t>
      </w:r>
    </w:p>
    <w:p w:rsidR="00024C0A" w:rsidRDefault="00694C0F">
      <w:pPr>
        <w:pStyle w:val="Definition-Field2"/>
      </w:pPr>
      <w:r>
        <w:t>Office maps x to value from array-1, x-bar to AVERAGE(array-1), y to value from array-2, y-bar to AVERAGE(array-2).</w:t>
      </w:r>
    </w:p>
    <w:p w:rsidR="00024C0A" w:rsidRDefault="00694C0F">
      <w:pPr>
        <w:pStyle w:val="Heading3"/>
      </w:pPr>
      <w:bookmarkStart w:id="1819" w:name="section_fe40154b9eac4223a8660a77432aa3e5"/>
      <w:bookmarkStart w:id="1820" w:name="_Toc12260970"/>
      <w:r>
        <w:t>Part 1 Section 18.17.7.50, COS</w:t>
      </w:r>
      <w:bookmarkEnd w:id="1819"/>
      <w:bookmarkEnd w:id="1820"/>
      <w:r>
        <w:fldChar w:fldCharType="begin"/>
      </w:r>
      <w:r>
        <w:instrText xml:space="preserve"> XE "COS" </w:instrText>
      </w:r>
      <w:r>
        <w:fldChar w:fldCharType="end"/>
      </w:r>
    </w:p>
    <w:p w:rsidR="00024C0A" w:rsidRDefault="00694C0F">
      <w:pPr>
        <w:pStyle w:val="Definition-Field"/>
      </w:pPr>
      <w:r>
        <w:t xml:space="preserve">a.   </w:t>
      </w:r>
      <w:r>
        <w:rPr>
          <w:i/>
        </w:rPr>
        <w:t>The standard d</w:t>
      </w:r>
      <w:r>
        <w:rPr>
          <w:i/>
        </w:rPr>
        <w:t>oes not specify the unit for x.</w:t>
      </w:r>
    </w:p>
    <w:p w:rsidR="00024C0A" w:rsidRDefault="00694C0F">
      <w:pPr>
        <w:pStyle w:val="Definition-Field2"/>
      </w:pPr>
      <w:r>
        <w:t>Office uses x in radians.</w:t>
      </w:r>
    </w:p>
    <w:p w:rsidR="00024C0A" w:rsidRDefault="00694C0F">
      <w:pPr>
        <w:pStyle w:val="Heading3"/>
      </w:pPr>
      <w:bookmarkStart w:id="1821" w:name="section_130b7fae1db946df83cfd6d3174fe06d"/>
      <w:bookmarkStart w:id="1822" w:name="_Toc12260971"/>
      <w:r>
        <w:t>Part 1 Section 18.17.7.52, COUNT</w:t>
      </w:r>
      <w:bookmarkEnd w:id="1821"/>
      <w:bookmarkEnd w:id="1822"/>
      <w:r>
        <w:fldChar w:fldCharType="begin"/>
      </w:r>
      <w:r>
        <w:instrText xml:space="preserve"> XE "COUNT" </w:instrText>
      </w:r>
      <w:r>
        <w:fldChar w:fldCharType="end"/>
      </w:r>
    </w:p>
    <w:p w:rsidR="00024C0A" w:rsidRDefault="00694C0F">
      <w:pPr>
        <w:pStyle w:val="Definition-Field"/>
      </w:pPr>
      <w:r>
        <w:t xml:space="preserve">a.   </w:t>
      </w:r>
      <w:r>
        <w:rPr>
          <w:i/>
        </w:rPr>
        <w:t>The standard states that argument-list is of type text.</w:t>
      </w:r>
    </w:p>
    <w:p w:rsidR="00024C0A" w:rsidRDefault="00694C0F">
      <w:pPr>
        <w:pStyle w:val="Definition-Field2"/>
      </w:pPr>
      <w:r>
        <w:lastRenderedPageBreak/>
        <w:t>Office requires that each argument in argument-list be of type logical, number, name, text</w:t>
      </w:r>
      <w:r>
        <w:t>, array, or reference.</w:t>
      </w:r>
    </w:p>
    <w:p w:rsidR="00024C0A" w:rsidRDefault="00694C0F">
      <w:pPr>
        <w:pStyle w:val="Heading3"/>
      </w:pPr>
      <w:bookmarkStart w:id="1823" w:name="section_3f3a26fbc07a43f1bea6d6c0e00c54d5"/>
      <w:bookmarkStart w:id="1824" w:name="_Toc12260972"/>
      <w:r>
        <w:t>Part 1 Section 18.17.7.53, COUNTA</w:t>
      </w:r>
      <w:bookmarkEnd w:id="1823"/>
      <w:bookmarkEnd w:id="1824"/>
      <w:r>
        <w:fldChar w:fldCharType="begin"/>
      </w:r>
      <w:r>
        <w:instrText xml:space="preserve"> XE "COUNTA" </w:instrText>
      </w:r>
      <w:r>
        <w:fldChar w:fldCharType="end"/>
      </w:r>
    </w:p>
    <w:p w:rsidR="00024C0A" w:rsidRDefault="00694C0F">
      <w:pPr>
        <w:pStyle w:val="Definition-Field"/>
      </w:pPr>
      <w:r>
        <w:t xml:space="preserve">a.   </w:t>
      </w:r>
      <w:r>
        <w:rPr>
          <w:i/>
        </w:rPr>
        <w:t>The standard states that argument-list is of type text.</w:t>
      </w:r>
    </w:p>
    <w:p w:rsidR="00024C0A" w:rsidRDefault="00694C0F">
      <w:pPr>
        <w:pStyle w:val="Definition-Field2"/>
      </w:pPr>
      <w:r>
        <w:t>Office requires argument-list to be of type logical, number, name, text, array, or reference.</w:t>
      </w:r>
    </w:p>
    <w:p w:rsidR="00024C0A" w:rsidRDefault="00694C0F">
      <w:pPr>
        <w:pStyle w:val="Heading3"/>
      </w:pPr>
      <w:bookmarkStart w:id="1825" w:name="section_e5e3e0c53ee54c0da41d171441efc56d"/>
      <w:bookmarkStart w:id="1826" w:name="_Toc12260973"/>
      <w:r>
        <w:t>Part 1 Section 18.17.7.56, CO</w:t>
      </w:r>
      <w:r>
        <w:t>UNTIFS</w:t>
      </w:r>
      <w:bookmarkEnd w:id="1825"/>
      <w:bookmarkEnd w:id="1826"/>
      <w:r>
        <w:fldChar w:fldCharType="begin"/>
      </w:r>
      <w:r>
        <w:instrText xml:space="preserve"> XE "COUNTIFS" </w:instrText>
      </w:r>
      <w:r>
        <w:fldChar w:fldCharType="end"/>
      </w:r>
    </w:p>
    <w:p w:rsidR="00024C0A" w:rsidRDefault="00694C0F">
      <w:pPr>
        <w:pStyle w:val="Definition-Field"/>
      </w:pPr>
      <w:r>
        <w:t xml:space="preserve">a.   </w:t>
      </w:r>
      <w:r>
        <w:rPr>
          <w:i/>
        </w:rPr>
        <w:t>The standard specifies a count-range argument.</w:t>
      </w:r>
    </w:p>
    <w:p w:rsidR="00024C0A" w:rsidRDefault="00694C0F">
      <w:pPr>
        <w:pStyle w:val="Definition-Field2"/>
      </w:pPr>
      <w:r>
        <w:t>Office does not accept a count-range argument.</w:t>
      </w:r>
    </w:p>
    <w:p w:rsidR="00024C0A" w:rsidRDefault="00694C0F">
      <w:pPr>
        <w:pStyle w:val="Definition-Field"/>
      </w:pPr>
      <w:r>
        <w:t xml:space="preserve">b.   </w:t>
      </w:r>
      <w:r>
        <w:rPr>
          <w:i/>
        </w:rPr>
        <w:t>The standard specifies that selection-criteria-1 is the first range of cells to be counted.</w:t>
      </w:r>
    </w:p>
    <w:p w:rsidR="00024C0A" w:rsidRDefault="00694C0F">
      <w:pPr>
        <w:pStyle w:val="Definition-Field2"/>
      </w:pPr>
      <w:r>
        <w:t xml:space="preserve">Office specifies that </w:t>
      </w:r>
      <w:r>
        <w:t>selection-criteria-1 is in the form of a number, expression, cell reference, or text that define which cells will be counted.</w:t>
      </w:r>
    </w:p>
    <w:p w:rsidR="00024C0A" w:rsidRDefault="00694C0F">
      <w:pPr>
        <w:pStyle w:val="Heading3"/>
      </w:pPr>
      <w:bookmarkStart w:id="1827" w:name="section_0dd5776bedf5474082fbf4bd600a803c"/>
      <w:bookmarkStart w:id="1828" w:name="_Toc12260974"/>
      <w:r>
        <w:t>Part 1 Section 18.17.7.57, COUPDAYBS</w:t>
      </w:r>
      <w:bookmarkEnd w:id="1827"/>
      <w:bookmarkEnd w:id="1828"/>
      <w:r>
        <w:fldChar w:fldCharType="begin"/>
      </w:r>
      <w:r>
        <w:instrText xml:space="preserve"> XE "COUPDAYBS" </w:instrText>
      </w:r>
      <w:r>
        <w:fldChar w:fldCharType="end"/>
      </w:r>
    </w:p>
    <w:p w:rsidR="00024C0A" w:rsidRDefault="00694C0F">
      <w:pPr>
        <w:pStyle w:val="Definition-Field"/>
      </w:pPr>
      <w:r>
        <w:t xml:space="preserve">a.   </w:t>
      </w:r>
      <w:r>
        <w:rPr>
          <w:i/>
        </w:rPr>
        <w:t xml:space="preserve">The standard does not specify day and month adjustments for the basis </w:t>
      </w:r>
      <w:r>
        <w:rPr>
          <w:i/>
        </w:rPr>
        <w:t>argument.</w:t>
      </w:r>
    </w:p>
    <w:p w:rsidR="00024C0A" w:rsidRDefault="00694C0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Value</w:t>
            </w:r>
          </w:p>
        </w:tc>
        <w:tc>
          <w:tcPr>
            <w:tcW w:w="0" w:type="auto"/>
            <w:vAlign w:val="center"/>
          </w:tcPr>
          <w:p w:rsidR="00024C0A" w:rsidRDefault="00694C0F">
            <w:pPr>
              <w:pStyle w:val="TableHeaderText"/>
            </w:pPr>
            <w:r>
              <w:t>Day Count Basis</w:t>
            </w:r>
          </w:p>
        </w:tc>
      </w:tr>
      <w:tr w:rsidR="00024C0A" w:rsidTr="00024C0A">
        <w:tc>
          <w:tcPr>
            <w:tcW w:w="0" w:type="auto"/>
            <w:vAlign w:val="center"/>
          </w:tcPr>
          <w:p w:rsidR="00024C0A" w:rsidRDefault="00694C0F">
            <w:pPr>
              <w:pStyle w:val="TableBodyText"/>
            </w:pPr>
            <w:r>
              <w:rPr>
                <w:rStyle w:val="InlineCode"/>
              </w:rPr>
              <w:t>0</w:t>
            </w:r>
            <w:r>
              <w:t xml:space="preserve"> or omitted</w:t>
            </w:r>
          </w:p>
        </w:tc>
        <w:tc>
          <w:tcPr>
            <w:tcW w:w="0" w:type="auto"/>
            <w:vAlign w:val="center"/>
          </w:tcPr>
          <w:p w:rsidR="00024C0A" w:rsidRDefault="00694C0F">
            <w:pPr>
              <w:pStyle w:val="TableBodyText"/>
            </w:pPr>
            <w:r>
              <w:t>US (NASD) 30/360. If the dates are equal, the difference of days is 0. Assumes that each month has 30 day</w:t>
            </w:r>
            <w:r>
              <w:t>s and the total number of days in the year is 360 by making the following adjustments:</w:t>
            </w:r>
          </w:p>
          <w:p w:rsidR="00024C0A" w:rsidRDefault="00694C0F">
            <w:pPr>
              <w:pStyle w:val="TableBodyText"/>
            </w:pPr>
            <w:r>
              <w:t>If both day-of-months are 31, they are changed to 30</w:t>
            </w:r>
          </w:p>
          <w:p w:rsidR="00024C0A" w:rsidRDefault="00694C0F">
            <w:pPr>
              <w:pStyle w:val="TableBodyText"/>
            </w:pPr>
            <w:r>
              <w:t>Otherwise, if date1’s day-of-month is 31, it is changed to 30</w:t>
            </w:r>
          </w:p>
          <w:p w:rsidR="00024C0A" w:rsidRDefault="00694C0F">
            <w:pPr>
              <w:pStyle w:val="TableBodyText"/>
            </w:pPr>
            <w:r>
              <w:t>Otherwise, if date1’s day-of-month is 30 and date2’s d</w:t>
            </w:r>
            <w:r>
              <w:t>ay-of-month is 31, date2’s day-of-month is changed to 30 (note that date2’s day-of-month will stay 31 if date1’s day &lt; 30)</w:t>
            </w:r>
          </w:p>
          <w:p w:rsidR="00024C0A" w:rsidRDefault="00694C0F">
            <w:pPr>
              <w:pStyle w:val="TableBodyText"/>
            </w:pPr>
            <w:r>
              <w:t>Otherwise, if both dates are the last day of February in their respective years, both day-of-month is changed to 30</w:t>
            </w:r>
          </w:p>
          <w:p w:rsidR="00024C0A" w:rsidRDefault="00694C0F">
            <w:pPr>
              <w:pStyle w:val="TableBodyText"/>
            </w:pPr>
            <w:r>
              <w:t>Otherwise, if dat</w:t>
            </w:r>
            <w:r>
              <w:t>e1 is the last day of February, its day-of-month is changed to 30</w:t>
            </w:r>
          </w:p>
        </w:tc>
      </w:tr>
      <w:tr w:rsidR="00024C0A" w:rsidTr="00024C0A">
        <w:tc>
          <w:tcPr>
            <w:tcW w:w="0" w:type="auto"/>
            <w:vAlign w:val="center"/>
          </w:tcPr>
          <w:p w:rsidR="00024C0A" w:rsidRDefault="00694C0F">
            <w:pPr>
              <w:pStyle w:val="TableBodyText"/>
            </w:pPr>
            <w:r>
              <w:rPr>
                <w:rStyle w:val="InlineCode"/>
              </w:rPr>
              <w:t>1</w:t>
            </w:r>
          </w:p>
        </w:tc>
        <w:tc>
          <w:tcPr>
            <w:tcW w:w="0" w:type="auto"/>
            <w:vAlign w:val="center"/>
          </w:tcPr>
          <w:p w:rsidR="00024C0A" w:rsidRDefault="00694C0F">
            <w:pPr>
              <w:pStyle w:val="TableBodyText"/>
            </w:pPr>
            <w:r>
              <w:t xml:space="preserve">Actual/actual. If the dates are equal, the difference in days is 0. If date1 and date2 not “less than or equal to a year apart” (as defined below), then the days in the years between the </w:t>
            </w:r>
            <w:r>
              <w:t>dates is the average number of days in the years between date1 and date2, inclusive. Otherwise, the days in the years between the dates is 365, except for these cases (where it is 366): the dates are in the same year and it is a leap-year, a February 29 oc</w:t>
            </w:r>
            <w:r>
              <w:t xml:space="preserve">curs between the two dates, or </w:t>
            </w:r>
            <w:r>
              <w:rPr>
                <w:b/>
              </w:rPr>
              <w:t>date1 or</w:t>
            </w:r>
            <w:r>
              <w:t xml:space="preserve"> date2 is February 29.</w:t>
            </w:r>
          </w:p>
          <w:p w:rsidR="00024C0A" w:rsidRDefault="00024C0A">
            <w:pPr>
              <w:pStyle w:val="TableBodyText"/>
            </w:pPr>
          </w:p>
          <w:p w:rsidR="00024C0A" w:rsidRDefault="00694C0F">
            <w:pPr>
              <w:pStyle w:val="TableBodyText"/>
            </w:pPr>
            <w:r>
              <w:t>To determine if date1 and date2 are “less than or equal to a year apart” for purposes of this algorithm, one of these conditions must be true:</w:t>
            </w:r>
          </w:p>
          <w:p w:rsidR="00024C0A" w:rsidRDefault="00694C0F">
            <w:pPr>
              <w:pStyle w:val="ListParagraph"/>
              <w:numPr>
                <w:ilvl w:val="0"/>
                <w:numId w:val="80"/>
              </w:numPr>
            </w:pPr>
            <w:r>
              <w:t>The two dates have the same year</w:t>
            </w:r>
          </w:p>
          <w:p w:rsidR="00024C0A" w:rsidRDefault="00694C0F">
            <w:pPr>
              <w:pStyle w:val="ListParagraph"/>
              <w:numPr>
                <w:ilvl w:val="0"/>
                <w:numId w:val="81"/>
              </w:numPr>
            </w:pPr>
            <w:r>
              <w:t xml:space="preserve">Date2’s year is </w:t>
            </w:r>
            <w:r>
              <w:t>exactly one more than date1’s year, and ((date1.month &gt; date2.month) or ((date1.month == date2.month) and (date1.day &gt;= date2.day)))</w:t>
            </w:r>
          </w:p>
        </w:tc>
      </w:tr>
      <w:tr w:rsidR="00024C0A" w:rsidTr="00024C0A">
        <w:tc>
          <w:tcPr>
            <w:tcW w:w="0" w:type="auto"/>
            <w:vAlign w:val="center"/>
          </w:tcPr>
          <w:p w:rsidR="00024C0A" w:rsidRDefault="00694C0F">
            <w:pPr>
              <w:pStyle w:val="TableBodyText"/>
            </w:pPr>
            <w:r>
              <w:rPr>
                <w:rStyle w:val="InlineCode"/>
              </w:rPr>
              <w:t>2</w:t>
            </w:r>
          </w:p>
        </w:tc>
        <w:tc>
          <w:tcPr>
            <w:tcW w:w="0" w:type="auto"/>
            <w:vAlign w:val="center"/>
          </w:tcPr>
          <w:p w:rsidR="00024C0A" w:rsidRDefault="00694C0F">
            <w:pPr>
              <w:pStyle w:val="TableBodyText"/>
            </w:pPr>
            <w:r>
              <w:t>Actual/360. Computes the actual difference in days, and presumes there are always 360 days per year.</w:t>
            </w:r>
          </w:p>
        </w:tc>
      </w:tr>
      <w:tr w:rsidR="00024C0A" w:rsidTr="00024C0A">
        <w:tc>
          <w:tcPr>
            <w:tcW w:w="0" w:type="auto"/>
            <w:vAlign w:val="center"/>
          </w:tcPr>
          <w:p w:rsidR="00024C0A" w:rsidRDefault="00694C0F">
            <w:pPr>
              <w:pStyle w:val="TableBodyText"/>
            </w:pPr>
            <w:r>
              <w:rPr>
                <w:rStyle w:val="InlineCode"/>
              </w:rPr>
              <w:t>3</w:t>
            </w:r>
          </w:p>
        </w:tc>
        <w:tc>
          <w:tcPr>
            <w:tcW w:w="0" w:type="auto"/>
            <w:vAlign w:val="center"/>
          </w:tcPr>
          <w:p w:rsidR="00024C0A" w:rsidRDefault="00694C0F">
            <w:pPr>
              <w:pStyle w:val="TableBodyText"/>
            </w:pPr>
            <w:r>
              <w:t>Actual/365. Comp</w:t>
            </w:r>
            <w:r>
              <w:t>utes the actual difference in days, and presumes there are always 365 days per year.</w:t>
            </w:r>
          </w:p>
        </w:tc>
      </w:tr>
      <w:tr w:rsidR="00024C0A" w:rsidTr="00024C0A">
        <w:tc>
          <w:tcPr>
            <w:tcW w:w="0" w:type="auto"/>
            <w:vAlign w:val="center"/>
          </w:tcPr>
          <w:p w:rsidR="00024C0A" w:rsidRDefault="00694C0F">
            <w:pPr>
              <w:pStyle w:val="TableBodyText"/>
            </w:pPr>
            <w:r>
              <w:rPr>
                <w:rStyle w:val="InlineCode"/>
              </w:rPr>
              <w:lastRenderedPageBreak/>
              <w:t>4</w:t>
            </w:r>
          </w:p>
        </w:tc>
        <w:tc>
          <w:tcPr>
            <w:tcW w:w="0" w:type="auto"/>
            <w:vAlign w:val="center"/>
          </w:tcPr>
          <w:p w:rsidR="00024C0A" w:rsidRDefault="00694C0F">
            <w:pPr>
              <w:pStyle w:val="TableBodyText"/>
            </w:pPr>
            <w:r>
              <w:t>European 30/360. The European method for adjusting day counts. If the dates are equal, the difference of days is 0. Assumes that each month has 30 days and the total nu</w:t>
            </w:r>
            <w:r>
              <w:t xml:space="preserve">mber of days in the year is 360; any day-of-month (in date1, date2, or both) with a value of 31 is changed to 30. Note that February dates are </w:t>
            </w:r>
            <w:r>
              <w:rPr>
                <w:i/>
              </w:rPr>
              <w:t xml:space="preserve">never </w:t>
            </w:r>
            <w:r>
              <w:t>changed, because there is no February 31.</w:t>
            </w:r>
          </w:p>
        </w:tc>
      </w:tr>
    </w:tbl>
    <w:p w:rsidR="00024C0A" w:rsidRDefault="00024C0A"/>
    <w:p w:rsidR="00024C0A" w:rsidRDefault="00694C0F">
      <w:pPr>
        <w:pStyle w:val="Heading3"/>
      </w:pPr>
      <w:bookmarkStart w:id="1829" w:name="section_220caf3eaaf3483f844a454abcf07bd2"/>
      <w:bookmarkStart w:id="1830" w:name="_Toc12260975"/>
      <w:r>
        <w:t>Part 1 Section 18.17.7.58, COUPDAYS</w:t>
      </w:r>
      <w:bookmarkEnd w:id="1829"/>
      <w:bookmarkEnd w:id="1830"/>
      <w:r>
        <w:fldChar w:fldCharType="begin"/>
      </w:r>
      <w:r>
        <w:instrText xml:space="preserve"> XE "COUPDAYS" </w:instrText>
      </w:r>
      <w:r>
        <w:fldChar w:fldCharType="end"/>
      </w:r>
    </w:p>
    <w:p w:rsidR="00024C0A" w:rsidRDefault="00694C0F">
      <w:pPr>
        <w:pStyle w:val="Definition-Field"/>
      </w:pPr>
      <w:r>
        <w:t xml:space="preserve">a.   </w:t>
      </w:r>
      <w:r>
        <w:rPr>
          <w:i/>
        </w:rPr>
        <w:t>The s</w:t>
      </w:r>
      <w:r>
        <w:rPr>
          <w:i/>
        </w:rPr>
        <w:t>tandard does not specify day and month adjustments for the basis argument.</w:t>
      </w:r>
    </w:p>
    <w:p w:rsidR="00024C0A" w:rsidRDefault="00694C0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Value</w:t>
            </w:r>
          </w:p>
        </w:tc>
        <w:tc>
          <w:tcPr>
            <w:tcW w:w="0" w:type="auto"/>
            <w:vAlign w:val="center"/>
          </w:tcPr>
          <w:p w:rsidR="00024C0A" w:rsidRDefault="00694C0F">
            <w:pPr>
              <w:pStyle w:val="TableHeaderText"/>
            </w:pPr>
            <w:r>
              <w:t>Day Count Basis</w:t>
            </w:r>
          </w:p>
        </w:tc>
      </w:tr>
      <w:tr w:rsidR="00024C0A" w:rsidTr="00024C0A">
        <w:tc>
          <w:tcPr>
            <w:tcW w:w="0" w:type="auto"/>
            <w:vAlign w:val="center"/>
          </w:tcPr>
          <w:p w:rsidR="00024C0A" w:rsidRDefault="00694C0F">
            <w:pPr>
              <w:pStyle w:val="TableBodyText"/>
            </w:pPr>
            <w:r>
              <w:rPr>
                <w:rStyle w:val="InlineCode"/>
              </w:rPr>
              <w:t>0</w:t>
            </w:r>
            <w:r>
              <w:t xml:space="preserve"> or omitted</w:t>
            </w:r>
          </w:p>
        </w:tc>
        <w:tc>
          <w:tcPr>
            <w:tcW w:w="0" w:type="auto"/>
            <w:vAlign w:val="center"/>
          </w:tcPr>
          <w:p w:rsidR="00024C0A" w:rsidRDefault="00694C0F">
            <w:pPr>
              <w:pStyle w:val="TableBodyText"/>
            </w:pPr>
            <w:r>
              <w:t xml:space="preserve">US (NASD) 30/360. If the dates are </w:t>
            </w:r>
            <w:r>
              <w:t>equal, the difference of days is 0. Assumes that each month has 30 days and the total number of days in the year is 360 by making the following adjustments:</w:t>
            </w:r>
          </w:p>
          <w:p w:rsidR="00024C0A" w:rsidRDefault="00694C0F">
            <w:pPr>
              <w:pStyle w:val="TableBodyText"/>
            </w:pPr>
            <w:r>
              <w:t>If both day-of-months are 31, they are changed to 30</w:t>
            </w:r>
          </w:p>
          <w:p w:rsidR="00024C0A" w:rsidRDefault="00694C0F">
            <w:pPr>
              <w:pStyle w:val="TableBodyText"/>
            </w:pPr>
            <w:r>
              <w:t>Otherwise, if date1’s day-of-month is 31, it i</w:t>
            </w:r>
            <w:r>
              <w:t>s changed to 30</w:t>
            </w:r>
          </w:p>
          <w:p w:rsidR="00024C0A" w:rsidRDefault="00694C0F">
            <w:pPr>
              <w:pStyle w:val="TableBodyText"/>
            </w:pPr>
            <w:r>
              <w:t>Otherwise, if date1’s day-of-month is 30 and date2’s day-of-month is 31, date2’s day-of-month is changed to 30 (note that date2’s day-of-month will stay 31 if date1’s day &lt; 30)</w:t>
            </w:r>
          </w:p>
          <w:p w:rsidR="00024C0A" w:rsidRDefault="00694C0F">
            <w:pPr>
              <w:pStyle w:val="TableBodyText"/>
            </w:pPr>
            <w:r>
              <w:t xml:space="preserve">Otherwise, if both dates are the last day of February in their </w:t>
            </w:r>
            <w:r>
              <w:t>respective years, both day-of-month is changed to 30</w:t>
            </w:r>
          </w:p>
          <w:p w:rsidR="00024C0A" w:rsidRDefault="00694C0F">
            <w:pPr>
              <w:pStyle w:val="TableBodyText"/>
            </w:pPr>
            <w:r>
              <w:t>Otherwise, if date1 is the last day of February, its day-of-month is changed to 30</w:t>
            </w:r>
          </w:p>
        </w:tc>
      </w:tr>
      <w:tr w:rsidR="00024C0A" w:rsidTr="00024C0A">
        <w:tc>
          <w:tcPr>
            <w:tcW w:w="0" w:type="auto"/>
            <w:vAlign w:val="center"/>
          </w:tcPr>
          <w:p w:rsidR="00024C0A" w:rsidRDefault="00694C0F">
            <w:pPr>
              <w:pStyle w:val="TableBodyText"/>
            </w:pPr>
            <w:r>
              <w:rPr>
                <w:rStyle w:val="InlineCode"/>
              </w:rPr>
              <w:t>1</w:t>
            </w:r>
          </w:p>
        </w:tc>
        <w:tc>
          <w:tcPr>
            <w:tcW w:w="0" w:type="auto"/>
            <w:vAlign w:val="center"/>
          </w:tcPr>
          <w:p w:rsidR="00024C0A" w:rsidRDefault="00694C0F">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24C0A" w:rsidRDefault="00024C0A">
            <w:pPr>
              <w:pStyle w:val="TableBodyText"/>
            </w:pPr>
          </w:p>
          <w:p w:rsidR="00024C0A" w:rsidRDefault="00694C0F">
            <w:pPr>
              <w:pStyle w:val="TableBodyText"/>
            </w:pPr>
            <w:r>
              <w:t>To det</w:t>
            </w:r>
            <w:r>
              <w:t>ermine if date1 and date2 are “less than or equal to a year apart” for purposes of this algorithm, one of these conditions must be true:</w:t>
            </w:r>
          </w:p>
          <w:p w:rsidR="00024C0A" w:rsidRDefault="00694C0F">
            <w:pPr>
              <w:pStyle w:val="ListParagraph"/>
              <w:numPr>
                <w:ilvl w:val="0"/>
                <w:numId w:val="82"/>
              </w:numPr>
            </w:pPr>
            <w:r>
              <w:t>The two dates have the same year</w:t>
            </w:r>
          </w:p>
          <w:p w:rsidR="00024C0A" w:rsidRDefault="00694C0F">
            <w:pPr>
              <w:pStyle w:val="ListParagraph"/>
              <w:numPr>
                <w:ilvl w:val="0"/>
                <w:numId w:val="83"/>
              </w:numPr>
            </w:pPr>
            <w:r>
              <w:t xml:space="preserve">Date2’s year is exactly one more than date1’s year, and ((date1.month &gt; date2.month) </w:t>
            </w:r>
            <w:r>
              <w:t>or ((date1.month == date2.month) and (date1.day &gt;= date2.day)))</w:t>
            </w:r>
          </w:p>
        </w:tc>
      </w:tr>
      <w:tr w:rsidR="00024C0A" w:rsidTr="00024C0A">
        <w:tc>
          <w:tcPr>
            <w:tcW w:w="0" w:type="auto"/>
            <w:vAlign w:val="center"/>
          </w:tcPr>
          <w:p w:rsidR="00024C0A" w:rsidRDefault="00694C0F">
            <w:pPr>
              <w:pStyle w:val="TableBodyText"/>
            </w:pPr>
            <w:r>
              <w:rPr>
                <w:rStyle w:val="InlineCode"/>
              </w:rPr>
              <w:t>2</w:t>
            </w:r>
          </w:p>
        </w:tc>
        <w:tc>
          <w:tcPr>
            <w:tcW w:w="0" w:type="auto"/>
            <w:vAlign w:val="center"/>
          </w:tcPr>
          <w:p w:rsidR="00024C0A" w:rsidRDefault="00694C0F">
            <w:pPr>
              <w:pStyle w:val="TableBodyText"/>
            </w:pPr>
            <w:r>
              <w:t>Actual/360. Computes the actual difference in days, and presumes there are always 360 days per year.</w:t>
            </w:r>
          </w:p>
        </w:tc>
      </w:tr>
      <w:tr w:rsidR="00024C0A" w:rsidTr="00024C0A">
        <w:tc>
          <w:tcPr>
            <w:tcW w:w="0" w:type="auto"/>
            <w:vAlign w:val="center"/>
          </w:tcPr>
          <w:p w:rsidR="00024C0A" w:rsidRDefault="00694C0F">
            <w:pPr>
              <w:pStyle w:val="TableBodyText"/>
            </w:pPr>
            <w:r>
              <w:rPr>
                <w:rStyle w:val="InlineCode"/>
              </w:rPr>
              <w:t>3</w:t>
            </w:r>
          </w:p>
        </w:tc>
        <w:tc>
          <w:tcPr>
            <w:tcW w:w="0" w:type="auto"/>
            <w:vAlign w:val="center"/>
          </w:tcPr>
          <w:p w:rsidR="00024C0A" w:rsidRDefault="00694C0F">
            <w:pPr>
              <w:pStyle w:val="TableBodyText"/>
            </w:pPr>
            <w:r>
              <w:t>Actual/365. Computes the actual difference in days, and presumes there are always 365</w:t>
            </w:r>
            <w:r>
              <w:t xml:space="preserve"> days per year.</w:t>
            </w:r>
          </w:p>
        </w:tc>
      </w:tr>
      <w:tr w:rsidR="00024C0A" w:rsidTr="00024C0A">
        <w:tc>
          <w:tcPr>
            <w:tcW w:w="0" w:type="auto"/>
            <w:vAlign w:val="center"/>
          </w:tcPr>
          <w:p w:rsidR="00024C0A" w:rsidRDefault="00694C0F">
            <w:pPr>
              <w:pStyle w:val="TableBodyText"/>
            </w:pPr>
            <w:r>
              <w:rPr>
                <w:rStyle w:val="InlineCode"/>
              </w:rPr>
              <w:t>4</w:t>
            </w:r>
          </w:p>
        </w:tc>
        <w:tc>
          <w:tcPr>
            <w:tcW w:w="0" w:type="auto"/>
            <w:vAlign w:val="center"/>
          </w:tcPr>
          <w:p w:rsidR="00024C0A" w:rsidRDefault="00694C0F">
            <w:pPr>
              <w:pStyle w:val="TableBodyText"/>
            </w:pPr>
            <w:r>
              <w:t>European 30/360. The European method for adjusting day counts. If the dates are equal, the difference of days is 0. Assumes that each month has 30 days and the total number of days in the year is 360; any day-of-month (in date1, date2, o</w:t>
            </w:r>
            <w:r>
              <w:t xml:space="preserve">r both) with a value of 31 is changed to 30. Note that February dates are </w:t>
            </w:r>
            <w:r>
              <w:rPr>
                <w:i/>
              </w:rPr>
              <w:t xml:space="preserve">never </w:t>
            </w:r>
            <w:r>
              <w:t>changed, because there is no February 31.</w:t>
            </w:r>
          </w:p>
        </w:tc>
      </w:tr>
    </w:tbl>
    <w:p w:rsidR="00024C0A" w:rsidRDefault="00024C0A"/>
    <w:p w:rsidR="00024C0A" w:rsidRDefault="00694C0F">
      <w:pPr>
        <w:pStyle w:val="Heading3"/>
      </w:pPr>
      <w:bookmarkStart w:id="1831" w:name="section_03a8b66dce9d43d8a75117c0b018f0c3"/>
      <w:bookmarkStart w:id="1832" w:name="_Toc12260976"/>
      <w:r>
        <w:t>Part 1 Section 18.17.7.59, COUPDAYSNC</w:t>
      </w:r>
      <w:bookmarkEnd w:id="1831"/>
      <w:bookmarkEnd w:id="1832"/>
      <w:r>
        <w:fldChar w:fldCharType="begin"/>
      </w:r>
      <w:r>
        <w:instrText xml:space="preserve"> XE "COUPDAYSNC" </w:instrText>
      </w:r>
      <w:r>
        <w:fldChar w:fldCharType="end"/>
      </w:r>
    </w:p>
    <w:p w:rsidR="00024C0A" w:rsidRDefault="00694C0F">
      <w:pPr>
        <w:pStyle w:val="Definition-Field"/>
      </w:pPr>
      <w:r>
        <w:t xml:space="preserve">a.   </w:t>
      </w:r>
      <w:r>
        <w:rPr>
          <w:i/>
        </w:rPr>
        <w:t xml:space="preserve">The standard does not specify day and month adjustments for the basis </w:t>
      </w:r>
      <w:r>
        <w:rPr>
          <w:i/>
        </w:rPr>
        <w:t>argument.</w:t>
      </w:r>
    </w:p>
    <w:p w:rsidR="00024C0A" w:rsidRDefault="00694C0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lastRenderedPageBreak/>
              <w:t>Value</w:t>
            </w:r>
          </w:p>
        </w:tc>
        <w:tc>
          <w:tcPr>
            <w:tcW w:w="0" w:type="auto"/>
            <w:vAlign w:val="center"/>
          </w:tcPr>
          <w:p w:rsidR="00024C0A" w:rsidRDefault="00694C0F">
            <w:pPr>
              <w:pStyle w:val="TableHeaderText"/>
            </w:pPr>
            <w:r>
              <w:t>Day Count Basis</w:t>
            </w:r>
          </w:p>
        </w:tc>
      </w:tr>
      <w:tr w:rsidR="00024C0A" w:rsidTr="00024C0A">
        <w:tc>
          <w:tcPr>
            <w:tcW w:w="0" w:type="auto"/>
            <w:vAlign w:val="center"/>
          </w:tcPr>
          <w:p w:rsidR="00024C0A" w:rsidRDefault="00694C0F">
            <w:pPr>
              <w:pStyle w:val="TableBodyText"/>
            </w:pPr>
            <w:r>
              <w:rPr>
                <w:rStyle w:val="InlineCode"/>
              </w:rPr>
              <w:t>0</w:t>
            </w:r>
            <w:r>
              <w:t xml:space="preserve"> or omitted</w:t>
            </w:r>
          </w:p>
        </w:tc>
        <w:tc>
          <w:tcPr>
            <w:tcW w:w="0" w:type="auto"/>
            <w:vAlign w:val="center"/>
          </w:tcPr>
          <w:p w:rsidR="00024C0A" w:rsidRDefault="00694C0F">
            <w:pPr>
              <w:pStyle w:val="TableBodyText"/>
            </w:pPr>
            <w:r>
              <w:t xml:space="preserve">US (NASD) 30/360. If the dates are equal, the difference of days is 0. Assumes that each month has 30 </w:t>
            </w:r>
            <w:r>
              <w:t>days and the total number of days in the year is 360 by making the following adjustments:</w:t>
            </w:r>
          </w:p>
          <w:p w:rsidR="00024C0A" w:rsidRDefault="00694C0F">
            <w:pPr>
              <w:pStyle w:val="TableBodyText"/>
            </w:pPr>
            <w:r>
              <w:t>If both day-of-months are 31, they are changed to 30</w:t>
            </w:r>
          </w:p>
          <w:p w:rsidR="00024C0A" w:rsidRDefault="00694C0F">
            <w:pPr>
              <w:pStyle w:val="TableBodyText"/>
            </w:pPr>
            <w:r>
              <w:t>Otherwise, if date1’s day-of-month is 31, it is changed to 30</w:t>
            </w:r>
          </w:p>
          <w:p w:rsidR="00024C0A" w:rsidRDefault="00694C0F">
            <w:pPr>
              <w:pStyle w:val="TableBodyText"/>
            </w:pPr>
            <w:r>
              <w:t>Otherwise, if date1’s day-of-month is 30 and date2’</w:t>
            </w:r>
            <w:r>
              <w:t>s day-of-month is 31, date2’s day-of-month is changed to 30 (note that date2’s day-of-month will stay 31 if date1’s day &lt; 30)</w:t>
            </w:r>
          </w:p>
          <w:p w:rsidR="00024C0A" w:rsidRDefault="00694C0F">
            <w:pPr>
              <w:pStyle w:val="TableBodyText"/>
            </w:pPr>
            <w:r>
              <w:t>Otherwise, if both dates are the last day of February in their respective years, both day-of-month is changed to 30</w:t>
            </w:r>
          </w:p>
          <w:p w:rsidR="00024C0A" w:rsidRDefault="00694C0F">
            <w:pPr>
              <w:pStyle w:val="TableBodyText"/>
            </w:pPr>
            <w:r>
              <w:t xml:space="preserve">Otherwise, if </w:t>
            </w:r>
            <w:r>
              <w:t>date1 is the last day of February, its day-of-month is changed to 30</w:t>
            </w:r>
          </w:p>
        </w:tc>
      </w:tr>
      <w:tr w:rsidR="00024C0A" w:rsidTr="00024C0A">
        <w:tc>
          <w:tcPr>
            <w:tcW w:w="0" w:type="auto"/>
            <w:vAlign w:val="center"/>
          </w:tcPr>
          <w:p w:rsidR="00024C0A" w:rsidRDefault="00694C0F">
            <w:pPr>
              <w:pStyle w:val="TableBodyText"/>
            </w:pPr>
            <w:r>
              <w:rPr>
                <w:rStyle w:val="InlineCode"/>
              </w:rPr>
              <w:t>1</w:t>
            </w:r>
          </w:p>
        </w:tc>
        <w:tc>
          <w:tcPr>
            <w:tcW w:w="0" w:type="auto"/>
            <w:vAlign w:val="center"/>
          </w:tcPr>
          <w:p w:rsidR="00024C0A" w:rsidRDefault="00694C0F">
            <w:pPr>
              <w:pStyle w:val="TableBodyText"/>
            </w:pPr>
            <w:r>
              <w:t>Actual/actual. If the dates are equal, the difference in days is 0. If date1 and date2 not “less than or equal to a year apart” (as defined below), then the days in the years between t</w:t>
            </w:r>
            <w:r>
              <w:t>he dates is the average number of days in the years between date1 and date2, inclusive. Otherwise, the days in the years between the dates is 365, except for these cases (where it is 366): the dates are in the same year and it is a leap-year, a February 29</w:t>
            </w:r>
            <w:r>
              <w:t xml:space="preserve"> occurs between the two dates, or </w:t>
            </w:r>
            <w:r>
              <w:rPr>
                <w:b/>
              </w:rPr>
              <w:t>date1 or</w:t>
            </w:r>
            <w:r>
              <w:t xml:space="preserve"> date2 is February 29.</w:t>
            </w:r>
          </w:p>
          <w:p w:rsidR="00024C0A" w:rsidRDefault="00024C0A">
            <w:pPr>
              <w:pStyle w:val="TableBodyText"/>
            </w:pPr>
          </w:p>
          <w:p w:rsidR="00024C0A" w:rsidRDefault="00694C0F">
            <w:pPr>
              <w:pStyle w:val="TableBodyText"/>
            </w:pPr>
            <w:r>
              <w:t>To determine if date1 and date2 are “less than or equal to a year apart” for purposes of this algorithm, one of these conditions must be true:</w:t>
            </w:r>
          </w:p>
          <w:p w:rsidR="00024C0A" w:rsidRDefault="00694C0F">
            <w:pPr>
              <w:pStyle w:val="ListParagraph"/>
              <w:numPr>
                <w:ilvl w:val="0"/>
                <w:numId w:val="84"/>
              </w:numPr>
            </w:pPr>
            <w:r>
              <w:t>The two dates have the same year</w:t>
            </w:r>
          </w:p>
          <w:p w:rsidR="00024C0A" w:rsidRDefault="00694C0F">
            <w:pPr>
              <w:pStyle w:val="ListParagraph"/>
              <w:numPr>
                <w:ilvl w:val="0"/>
                <w:numId w:val="85"/>
              </w:numPr>
            </w:pPr>
            <w:r>
              <w:t>Date2’s year i</w:t>
            </w:r>
            <w:r>
              <w:t>s exactly one more than date1’s year, and ((date1.month &gt; date2.month) or ((date1.month == date2.month) and (date1.day &gt;= date2.day)))</w:t>
            </w:r>
          </w:p>
        </w:tc>
      </w:tr>
      <w:tr w:rsidR="00024C0A" w:rsidTr="00024C0A">
        <w:tc>
          <w:tcPr>
            <w:tcW w:w="0" w:type="auto"/>
            <w:vAlign w:val="center"/>
          </w:tcPr>
          <w:p w:rsidR="00024C0A" w:rsidRDefault="00694C0F">
            <w:pPr>
              <w:pStyle w:val="TableBodyText"/>
            </w:pPr>
            <w:r>
              <w:rPr>
                <w:rStyle w:val="InlineCode"/>
              </w:rPr>
              <w:t>2</w:t>
            </w:r>
          </w:p>
        </w:tc>
        <w:tc>
          <w:tcPr>
            <w:tcW w:w="0" w:type="auto"/>
            <w:vAlign w:val="center"/>
          </w:tcPr>
          <w:p w:rsidR="00024C0A" w:rsidRDefault="00694C0F">
            <w:pPr>
              <w:pStyle w:val="TableBodyText"/>
            </w:pPr>
            <w:r>
              <w:t>Actual/360. Computes the actual difference in days, and presumes there are always 360 days per year.</w:t>
            </w:r>
          </w:p>
        </w:tc>
      </w:tr>
      <w:tr w:rsidR="00024C0A" w:rsidTr="00024C0A">
        <w:tc>
          <w:tcPr>
            <w:tcW w:w="0" w:type="auto"/>
            <w:vAlign w:val="center"/>
          </w:tcPr>
          <w:p w:rsidR="00024C0A" w:rsidRDefault="00694C0F">
            <w:pPr>
              <w:pStyle w:val="TableBodyText"/>
            </w:pPr>
            <w:r>
              <w:rPr>
                <w:rStyle w:val="InlineCode"/>
              </w:rPr>
              <w:t>3</w:t>
            </w:r>
          </w:p>
        </w:tc>
        <w:tc>
          <w:tcPr>
            <w:tcW w:w="0" w:type="auto"/>
            <w:vAlign w:val="center"/>
          </w:tcPr>
          <w:p w:rsidR="00024C0A" w:rsidRDefault="00694C0F">
            <w:pPr>
              <w:pStyle w:val="TableBodyText"/>
            </w:pPr>
            <w:r>
              <w:t xml:space="preserve">Actual/365. </w:t>
            </w:r>
            <w:r>
              <w:t>Computes the actual difference in days, and presumes there are always 365 days per year.</w:t>
            </w:r>
          </w:p>
        </w:tc>
      </w:tr>
      <w:tr w:rsidR="00024C0A" w:rsidTr="00024C0A">
        <w:tc>
          <w:tcPr>
            <w:tcW w:w="0" w:type="auto"/>
            <w:vAlign w:val="center"/>
          </w:tcPr>
          <w:p w:rsidR="00024C0A" w:rsidRDefault="00694C0F">
            <w:pPr>
              <w:pStyle w:val="TableBodyText"/>
            </w:pPr>
            <w:r>
              <w:rPr>
                <w:rStyle w:val="InlineCode"/>
              </w:rPr>
              <w:t>4</w:t>
            </w:r>
          </w:p>
        </w:tc>
        <w:tc>
          <w:tcPr>
            <w:tcW w:w="0" w:type="auto"/>
            <w:vAlign w:val="center"/>
          </w:tcPr>
          <w:p w:rsidR="00024C0A" w:rsidRDefault="00694C0F">
            <w:pPr>
              <w:pStyle w:val="TableBodyText"/>
            </w:pPr>
            <w:r>
              <w:t>European 30/360. The European method for adjusting day counts. If the dates are equal, the difference of days is 0. Assumes that each month has 30 days and the tota</w:t>
            </w:r>
            <w:r>
              <w:t xml:space="preserve">l number of days in the year is 360; any day-of-month (in date1, date2, or both) with a value of 31 is changed to 30. Note that February dates are </w:t>
            </w:r>
            <w:r>
              <w:rPr>
                <w:i/>
              </w:rPr>
              <w:t xml:space="preserve">never </w:t>
            </w:r>
            <w:r>
              <w:t>changed, because there is no February 31.</w:t>
            </w:r>
          </w:p>
        </w:tc>
      </w:tr>
    </w:tbl>
    <w:p w:rsidR="00024C0A" w:rsidRDefault="00024C0A"/>
    <w:p w:rsidR="00024C0A" w:rsidRDefault="00694C0F">
      <w:pPr>
        <w:pStyle w:val="Heading3"/>
      </w:pPr>
      <w:bookmarkStart w:id="1833" w:name="section_b48d56a6c03446c2acbb0ea61547b4b8"/>
      <w:bookmarkStart w:id="1834" w:name="_Toc12260977"/>
      <w:r>
        <w:t>Part 1 Section 18.17.7.60, COUPNCD</w:t>
      </w:r>
      <w:bookmarkEnd w:id="1833"/>
      <w:bookmarkEnd w:id="1834"/>
      <w:r>
        <w:fldChar w:fldCharType="begin"/>
      </w:r>
      <w:r>
        <w:instrText xml:space="preserve"> XE "COUPNCD" </w:instrText>
      </w:r>
      <w:r>
        <w:fldChar w:fldCharType="end"/>
      </w:r>
    </w:p>
    <w:p w:rsidR="00024C0A" w:rsidRDefault="00694C0F">
      <w:pPr>
        <w:pStyle w:val="Definition-Field"/>
      </w:pPr>
      <w:r>
        <w:t xml:space="preserve">a.   </w:t>
      </w:r>
      <w:r>
        <w:rPr>
          <w:i/>
        </w:rPr>
        <w:t>The</w:t>
      </w:r>
      <w:r>
        <w:rPr>
          <w:i/>
        </w:rPr>
        <w:t xml:space="preserve"> standard does not specify day and month adjustments for the basis argument.</w:t>
      </w:r>
    </w:p>
    <w:p w:rsidR="00024C0A" w:rsidRDefault="00694C0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Value</w:t>
            </w:r>
          </w:p>
        </w:tc>
        <w:tc>
          <w:tcPr>
            <w:tcW w:w="0" w:type="auto"/>
            <w:vAlign w:val="center"/>
          </w:tcPr>
          <w:p w:rsidR="00024C0A" w:rsidRDefault="00694C0F">
            <w:pPr>
              <w:pStyle w:val="TableHeaderText"/>
            </w:pPr>
            <w:r>
              <w:t>Day Count Basis</w:t>
            </w:r>
          </w:p>
        </w:tc>
      </w:tr>
      <w:tr w:rsidR="00024C0A" w:rsidTr="00024C0A">
        <w:tc>
          <w:tcPr>
            <w:tcW w:w="0" w:type="auto"/>
            <w:vAlign w:val="center"/>
          </w:tcPr>
          <w:p w:rsidR="00024C0A" w:rsidRDefault="00694C0F">
            <w:pPr>
              <w:pStyle w:val="TableBodyText"/>
            </w:pPr>
            <w:r>
              <w:rPr>
                <w:rStyle w:val="InlineCode"/>
              </w:rPr>
              <w:t>0</w:t>
            </w:r>
            <w:r>
              <w:t xml:space="preserve"> or omitted</w:t>
            </w:r>
          </w:p>
        </w:tc>
        <w:tc>
          <w:tcPr>
            <w:tcW w:w="0" w:type="auto"/>
            <w:vAlign w:val="center"/>
          </w:tcPr>
          <w:p w:rsidR="00024C0A" w:rsidRDefault="00694C0F">
            <w:pPr>
              <w:pStyle w:val="TableBodyText"/>
            </w:pPr>
            <w:r>
              <w:t xml:space="preserve">US (NASD) 30/360. If the dates are </w:t>
            </w:r>
            <w:r>
              <w:t>equal, the difference of days is 0. Assumes that each month has 30 days and the total number of days in the year is 360 by making the following adjustments:</w:t>
            </w:r>
          </w:p>
          <w:p w:rsidR="00024C0A" w:rsidRDefault="00694C0F">
            <w:pPr>
              <w:pStyle w:val="TableBodyText"/>
            </w:pPr>
            <w:r>
              <w:t>If both day-of-months are 31, they are changed to 30</w:t>
            </w:r>
          </w:p>
          <w:p w:rsidR="00024C0A" w:rsidRDefault="00694C0F">
            <w:pPr>
              <w:pStyle w:val="TableBodyText"/>
            </w:pPr>
            <w:r>
              <w:t>Otherwise, if date1’s day-of-month is 31, it i</w:t>
            </w:r>
            <w:r>
              <w:t>s changed to 30</w:t>
            </w:r>
          </w:p>
          <w:p w:rsidR="00024C0A" w:rsidRDefault="00694C0F">
            <w:pPr>
              <w:pStyle w:val="TableBodyText"/>
            </w:pPr>
            <w:r>
              <w:t>Otherwise, if date1’s day-of-month is 30 and date2’s day-of-month is 31, date2’s day-of-month is changed to 30 (note that date2’s day-of-month will stay 31 if date1’s day &lt; 30)</w:t>
            </w:r>
          </w:p>
          <w:p w:rsidR="00024C0A" w:rsidRDefault="00694C0F">
            <w:pPr>
              <w:pStyle w:val="TableBodyText"/>
            </w:pPr>
            <w:r>
              <w:t xml:space="preserve">Otherwise, if both dates are the last day of February in their </w:t>
            </w:r>
            <w:r>
              <w:t>respective years, both day-of-month is changed to 30</w:t>
            </w:r>
          </w:p>
          <w:p w:rsidR="00024C0A" w:rsidRDefault="00694C0F">
            <w:pPr>
              <w:pStyle w:val="TableBodyText"/>
            </w:pPr>
            <w:r>
              <w:t>Otherwise, if date1 is the last day of February, its day-of-month is changed to 30</w:t>
            </w:r>
          </w:p>
        </w:tc>
      </w:tr>
      <w:tr w:rsidR="00024C0A" w:rsidTr="00024C0A">
        <w:tc>
          <w:tcPr>
            <w:tcW w:w="0" w:type="auto"/>
            <w:vAlign w:val="center"/>
          </w:tcPr>
          <w:p w:rsidR="00024C0A" w:rsidRDefault="00694C0F">
            <w:pPr>
              <w:pStyle w:val="TableBodyText"/>
            </w:pPr>
            <w:r>
              <w:rPr>
                <w:rStyle w:val="InlineCode"/>
              </w:rPr>
              <w:t>1</w:t>
            </w:r>
          </w:p>
        </w:tc>
        <w:tc>
          <w:tcPr>
            <w:tcW w:w="0" w:type="auto"/>
            <w:vAlign w:val="center"/>
          </w:tcPr>
          <w:p w:rsidR="00024C0A" w:rsidRDefault="00694C0F">
            <w:pPr>
              <w:pStyle w:val="TableBodyText"/>
            </w:pPr>
            <w:r>
              <w:t xml:space="preserve">Actual/actual. If the dates are equal, the difference in days is 0. If date1 and date2 not “less than or </w:t>
            </w:r>
            <w:r>
              <w:lastRenderedPageBreak/>
              <w:t>equal to a y</w:t>
            </w:r>
            <w:r>
              <w:t xml:space="preserve">ear apart” (as defined below), then the days in the years between the dates is the average number of days in the years between date1 and date2, inclusive. Otherwise, the days in the years between the dates is 365, except for these cases (where it is 366): </w:t>
            </w:r>
            <w:r>
              <w:t xml:space="preserve">the dates are in the same year and it is a leap-year, a February 29 occurs between the two dates, or </w:t>
            </w:r>
            <w:r>
              <w:rPr>
                <w:b/>
              </w:rPr>
              <w:t>date1 or</w:t>
            </w:r>
            <w:r>
              <w:t xml:space="preserve"> date2 is February 29.</w:t>
            </w:r>
          </w:p>
          <w:p w:rsidR="00024C0A" w:rsidRDefault="00024C0A">
            <w:pPr>
              <w:pStyle w:val="TableBodyText"/>
            </w:pPr>
          </w:p>
          <w:p w:rsidR="00024C0A" w:rsidRDefault="00694C0F">
            <w:pPr>
              <w:pStyle w:val="TableBodyText"/>
            </w:pPr>
            <w:r>
              <w:t>To determine if date1 and date2 are “less than or equal to a year apart” for purposes of this algorithm, one of these condi</w:t>
            </w:r>
            <w:r>
              <w:t>tions must be true:</w:t>
            </w:r>
          </w:p>
          <w:p w:rsidR="00024C0A" w:rsidRDefault="00694C0F">
            <w:pPr>
              <w:pStyle w:val="ListParagraph"/>
              <w:numPr>
                <w:ilvl w:val="0"/>
                <w:numId w:val="86"/>
              </w:numPr>
            </w:pPr>
            <w:r>
              <w:t>The two dates have the same year</w:t>
            </w:r>
          </w:p>
          <w:p w:rsidR="00024C0A" w:rsidRDefault="00694C0F">
            <w:pPr>
              <w:pStyle w:val="ListParagraph"/>
              <w:numPr>
                <w:ilvl w:val="0"/>
                <w:numId w:val="87"/>
              </w:numPr>
            </w:pPr>
            <w:r>
              <w:t>Date2’s year is exactly one more than date1’s year, and ((date1.month &gt; date2.month) or ((date1.month == date2.month) and (date1.day &gt;= date2.day)))</w:t>
            </w:r>
          </w:p>
        </w:tc>
      </w:tr>
      <w:tr w:rsidR="00024C0A" w:rsidTr="00024C0A">
        <w:tc>
          <w:tcPr>
            <w:tcW w:w="0" w:type="auto"/>
            <w:vAlign w:val="center"/>
          </w:tcPr>
          <w:p w:rsidR="00024C0A" w:rsidRDefault="00694C0F">
            <w:pPr>
              <w:pStyle w:val="TableBodyText"/>
            </w:pPr>
            <w:r>
              <w:rPr>
                <w:rStyle w:val="InlineCode"/>
              </w:rPr>
              <w:lastRenderedPageBreak/>
              <w:t>2</w:t>
            </w:r>
          </w:p>
        </w:tc>
        <w:tc>
          <w:tcPr>
            <w:tcW w:w="0" w:type="auto"/>
            <w:vAlign w:val="center"/>
          </w:tcPr>
          <w:p w:rsidR="00024C0A" w:rsidRDefault="00694C0F">
            <w:pPr>
              <w:pStyle w:val="TableBodyText"/>
            </w:pPr>
            <w:r>
              <w:t>Actual/360. Computes the actual difference in days,</w:t>
            </w:r>
            <w:r>
              <w:t xml:space="preserve"> and presumes there are always 360 days per year.</w:t>
            </w:r>
          </w:p>
        </w:tc>
      </w:tr>
      <w:tr w:rsidR="00024C0A" w:rsidTr="00024C0A">
        <w:tc>
          <w:tcPr>
            <w:tcW w:w="0" w:type="auto"/>
            <w:vAlign w:val="center"/>
          </w:tcPr>
          <w:p w:rsidR="00024C0A" w:rsidRDefault="00694C0F">
            <w:pPr>
              <w:pStyle w:val="TableBodyText"/>
            </w:pPr>
            <w:r>
              <w:rPr>
                <w:rStyle w:val="InlineCode"/>
              </w:rPr>
              <w:t>3</w:t>
            </w:r>
          </w:p>
        </w:tc>
        <w:tc>
          <w:tcPr>
            <w:tcW w:w="0" w:type="auto"/>
            <w:vAlign w:val="center"/>
          </w:tcPr>
          <w:p w:rsidR="00024C0A" w:rsidRDefault="00694C0F">
            <w:pPr>
              <w:pStyle w:val="TableBodyText"/>
            </w:pPr>
            <w:r>
              <w:t>Actual/365. Computes the actual difference in days, and presumes there are always 365 days per year.</w:t>
            </w:r>
          </w:p>
        </w:tc>
      </w:tr>
      <w:tr w:rsidR="00024C0A" w:rsidTr="00024C0A">
        <w:tc>
          <w:tcPr>
            <w:tcW w:w="0" w:type="auto"/>
            <w:vAlign w:val="center"/>
          </w:tcPr>
          <w:p w:rsidR="00024C0A" w:rsidRDefault="00694C0F">
            <w:pPr>
              <w:pStyle w:val="TableBodyText"/>
            </w:pPr>
            <w:r>
              <w:rPr>
                <w:rStyle w:val="InlineCode"/>
              </w:rPr>
              <w:t>4</w:t>
            </w:r>
          </w:p>
        </w:tc>
        <w:tc>
          <w:tcPr>
            <w:tcW w:w="0" w:type="auto"/>
            <w:vAlign w:val="center"/>
          </w:tcPr>
          <w:p w:rsidR="00024C0A" w:rsidRDefault="00694C0F">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024C0A" w:rsidRDefault="00024C0A"/>
    <w:p w:rsidR="00024C0A" w:rsidRDefault="00694C0F">
      <w:pPr>
        <w:pStyle w:val="Heading3"/>
      </w:pPr>
      <w:bookmarkStart w:id="1835" w:name="section_cb1a2b1ece6241f0aa54baf09de7379c"/>
      <w:bookmarkStart w:id="1836" w:name="_Toc12260978"/>
      <w:r>
        <w:t>Part 1 Section 18.17.7.61, COUPNUM</w:t>
      </w:r>
      <w:bookmarkEnd w:id="1835"/>
      <w:bookmarkEnd w:id="1836"/>
      <w:r>
        <w:fldChar w:fldCharType="begin"/>
      </w:r>
      <w:r>
        <w:instrText xml:space="preserve"> XE "COUPNUM" </w:instrText>
      </w:r>
      <w:r>
        <w:fldChar w:fldCharType="end"/>
      </w:r>
    </w:p>
    <w:p w:rsidR="00024C0A" w:rsidRDefault="00694C0F">
      <w:pPr>
        <w:pStyle w:val="Definition-Field"/>
      </w:pPr>
      <w:r>
        <w:t xml:space="preserve">a.   </w:t>
      </w:r>
      <w:r>
        <w:rPr>
          <w:i/>
        </w:rPr>
        <w:t>The standard does not specify day and month adjustments for the basis argument.</w:t>
      </w:r>
    </w:p>
    <w:p w:rsidR="00024C0A" w:rsidRDefault="00694C0F">
      <w:r>
        <w:t xml:space="preserve">In Excel, the </w:t>
      </w:r>
      <w:r>
        <w:rPr>
          <w:i/>
        </w:rPr>
        <w:t>b</w:t>
      </w:r>
      <w:r>
        <w:rPr>
          <w:i/>
        </w:rPr>
        <w:t>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Value</w:t>
            </w:r>
          </w:p>
        </w:tc>
        <w:tc>
          <w:tcPr>
            <w:tcW w:w="0" w:type="auto"/>
            <w:vAlign w:val="center"/>
          </w:tcPr>
          <w:p w:rsidR="00024C0A" w:rsidRDefault="00694C0F">
            <w:pPr>
              <w:pStyle w:val="TableHeaderText"/>
            </w:pPr>
            <w:r>
              <w:t>Day Count Basis</w:t>
            </w:r>
          </w:p>
        </w:tc>
      </w:tr>
      <w:tr w:rsidR="00024C0A" w:rsidTr="00024C0A">
        <w:tc>
          <w:tcPr>
            <w:tcW w:w="0" w:type="auto"/>
            <w:vAlign w:val="center"/>
          </w:tcPr>
          <w:p w:rsidR="00024C0A" w:rsidRDefault="00694C0F">
            <w:pPr>
              <w:pStyle w:val="TableBodyText"/>
            </w:pPr>
            <w:r>
              <w:rPr>
                <w:rStyle w:val="InlineCode"/>
              </w:rPr>
              <w:t>0</w:t>
            </w:r>
            <w:r>
              <w:t xml:space="preserve"> or omitted</w:t>
            </w:r>
          </w:p>
        </w:tc>
        <w:tc>
          <w:tcPr>
            <w:tcW w:w="0" w:type="auto"/>
            <w:vAlign w:val="center"/>
          </w:tcPr>
          <w:p w:rsidR="00024C0A" w:rsidRDefault="00694C0F">
            <w:pPr>
              <w:pStyle w:val="TableBodyText"/>
            </w:pPr>
            <w:r>
              <w:t>US (NASD) 30/360. If the dates are equal, the difference of days is 0. Assumes that each month has 30 days and the total number of</w:t>
            </w:r>
            <w:r>
              <w:t xml:space="preserve"> days in the year is 360 by making the following adjustments:</w:t>
            </w:r>
          </w:p>
          <w:p w:rsidR="00024C0A" w:rsidRDefault="00694C0F">
            <w:pPr>
              <w:pStyle w:val="TableBodyText"/>
            </w:pPr>
            <w:r>
              <w:t>If both day-of-months are 31, they are changed to 30</w:t>
            </w:r>
          </w:p>
          <w:p w:rsidR="00024C0A" w:rsidRDefault="00694C0F">
            <w:pPr>
              <w:pStyle w:val="TableBodyText"/>
            </w:pPr>
            <w:r>
              <w:t>Otherwise, if date1’s day-of-month is 31, it is changed to 30</w:t>
            </w:r>
          </w:p>
          <w:p w:rsidR="00024C0A" w:rsidRDefault="00694C0F">
            <w:pPr>
              <w:pStyle w:val="TableBodyText"/>
            </w:pPr>
            <w:r>
              <w:t>Otherwise, if date1’s day-of-month is 30 and date2’s day-of-month is 31, date2’</w:t>
            </w:r>
            <w:r>
              <w:t>s day-of-month is changed to 30 (note that date2’s day-of-month will stay 31 if date1’s day &lt; 30)</w:t>
            </w:r>
          </w:p>
          <w:p w:rsidR="00024C0A" w:rsidRDefault="00694C0F">
            <w:pPr>
              <w:pStyle w:val="TableBodyText"/>
            </w:pPr>
            <w:r>
              <w:t>Otherwise, if both dates are the last day of February in their respective years, both day-of-month is changed to 30</w:t>
            </w:r>
          </w:p>
          <w:p w:rsidR="00024C0A" w:rsidRDefault="00694C0F">
            <w:pPr>
              <w:pStyle w:val="TableBodyText"/>
            </w:pPr>
            <w:r>
              <w:t>Otherwise, if date1 is the last day of Feb</w:t>
            </w:r>
            <w:r>
              <w:t>ruary, its day-of-month is changed to 30</w:t>
            </w:r>
          </w:p>
        </w:tc>
      </w:tr>
      <w:tr w:rsidR="00024C0A" w:rsidTr="00024C0A">
        <w:tc>
          <w:tcPr>
            <w:tcW w:w="0" w:type="auto"/>
            <w:vAlign w:val="center"/>
          </w:tcPr>
          <w:p w:rsidR="00024C0A" w:rsidRDefault="00694C0F">
            <w:pPr>
              <w:pStyle w:val="TableBodyText"/>
            </w:pPr>
            <w:r>
              <w:rPr>
                <w:rStyle w:val="InlineCode"/>
              </w:rPr>
              <w:t>1</w:t>
            </w:r>
          </w:p>
        </w:tc>
        <w:tc>
          <w:tcPr>
            <w:tcW w:w="0" w:type="auto"/>
            <w:vAlign w:val="center"/>
          </w:tcPr>
          <w:p w:rsidR="00024C0A" w:rsidRDefault="00694C0F">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24C0A" w:rsidRDefault="00024C0A">
            <w:pPr>
              <w:pStyle w:val="TableBodyText"/>
            </w:pPr>
          </w:p>
          <w:p w:rsidR="00024C0A" w:rsidRDefault="00694C0F">
            <w:pPr>
              <w:pStyle w:val="TableBodyText"/>
            </w:pPr>
            <w:r>
              <w:t>To det</w:t>
            </w:r>
            <w:r>
              <w:t>ermine if date1 and date2 are “less than or equal to a year apart” for purposes of this algorithm, one of these conditions must be true:</w:t>
            </w:r>
          </w:p>
          <w:p w:rsidR="00024C0A" w:rsidRDefault="00694C0F">
            <w:pPr>
              <w:pStyle w:val="ListParagraph"/>
              <w:numPr>
                <w:ilvl w:val="0"/>
                <w:numId w:val="88"/>
              </w:numPr>
            </w:pPr>
            <w:r>
              <w:t>The two dates have the same year</w:t>
            </w:r>
          </w:p>
          <w:p w:rsidR="00024C0A" w:rsidRDefault="00694C0F">
            <w:pPr>
              <w:pStyle w:val="ListParagraph"/>
              <w:numPr>
                <w:ilvl w:val="0"/>
                <w:numId w:val="89"/>
              </w:numPr>
            </w:pPr>
            <w:r>
              <w:t>Date2’s year is exactly one more than date1’s year, and ((date1.month &gt; date2.month) o</w:t>
            </w:r>
            <w:r>
              <w:t>r ((date1.month == date2.month) and (date1.day &gt;= date2.day)))</w:t>
            </w:r>
          </w:p>
        </w:tc>
      </w:tr>
      <w:tr w:rsidR="00024C0A" w:rsidTr="00024C0A">
        <w:tc>
          <w:tcPr>
            <w:tcW w:w="0" w:type="auto"/>
            <w:vAlign w:val="center"/>
          </w:tcPr>
          <w:p w:rsidR="00024C0A" w:rsidRDefault="00694C0F">
            <w:pPr>
              <w:pStyle w:val="TableBodyText"/>
            </w:pPr>
            <w:r>
              <w:rPr>
                <w:rStyle w:val="InlineCode"/>
              </w:rPr>
              <w:lastRenderedPageBreak/>
              <w:t>2</w:t>
            </w:r>
          </w:p>
        </w:tc>
        <w:tc>
          <w:tcPr>
            <w:tcW w:w="0" w:type="auto"/>
            <w:vAlign w:val="center"/>
          </w:tcPr>
          <w:p w:rsidR="00024C0A" w:rsidRDefault="00694C0F">
            <w:pPr>
              <w:pStyle w:val="TableBodyText"/>
            </w:pPr>
            <w:r>
              <w:t>Actual/360. Computes the actual difference in days, and presumes there are always 360 days per year.</w:t>
            </w:r>
          </w:p>
        </w:tc>
      </w:tr>
      <w:tr w:rsidR="00024C0A" w:rsidTr="00024C0A">
        <w:tc>
          <w:tcPr>
            <w:tcW w:w="0" w:type="auto"/>
            <w:vAlign w:val="center"/>
          </w:tcPr>
          <w:p w:rsidR="00024C0A" w:rsidRDefault="00694C0F">
            <w:pPr>
              <w:pStyle w:val="TableBodyText"/>
            </w:pPr>
            <w:r>
              <w:rPr>
                <w:rStyle w:val="InlineCode"/>
              </w:rPr>
              <w:t>3</w:t>
            </w:r>
          </w:p>
        </w:tc>
        <w:tc>
          <w:tcPr>
            <w:tcW w:w="0" w:type="auto"/>
            <w:vAlign w:val="center"/>
          </w:tcPr>
          <w:p w:rsidR="00024C0A" w:rsidRDefault="00694C0F">
            <w:pPr>
              <w:pStyle w:val="TableBodyText"/>
            </w:pPr>
            <w:r>
              <w:t xml:space="preserve">Actual/365. Computes the actual difference in days, and presumes there are always 365 </w:t>
            </w:r>
            <w:r>
              <w:t>days per year.</w:t>
            </w:r>
          </w:p>
        </w:tc>
      </w:tr>
      <w:tr w:rsidR="00024C0A" w:rsidTr="00024C0A">
        <w:tc>
          <w:tcPr>
            <w:tcW w:w="0" w:type="auto"/>
            <w:vAlign w:val="center"/>
          </w:tcPr>
          <w:p w:rsidR="00024C0A" w:rsidRDefault="00694C0F">
            <w:pPr>
              <w:pStyle w:val="TableBodyText"/>
            </w:pPr>
            <w:r>
              <w:rPr>
                <w:rStyle w:val="InlineCode"/>
              </w:rPr>
              <w:t>4</w:t>
            </w:r>
          </w:p>
        </w:tc>
        <w:tc>
          <w:tcPr>
            <w:tcW w:w="0" w:type="auto"/>
            <w:vAlign w:val="center"/>
          </w:tcPr>
          <w:p w:rsidR="00024C0A" w:rsidRDefault="00694C0F">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024C0A" w:rsidRDefault="00024C0A"/>
    <w:p w:rsidR="00024C0A" w:rsidRDefault="00694C0F">
      <w:pPr>
        <w:pStyle w:val="Definition-Field"/>
      </w:pPr>
      <w:r>
        <w:t xml:space="preserve">b.   </w:t>
      </w:r>
      <w:r>
        <w:rPr>
          <w:i/>
        </w:rPr>
        <w:t>The standard does not specify that arguments settlement and maturity are truncated to integers.</w:t>
      </w:r>
    </w:p>
    <w:p w:rsidR="00024C0A" w:rsidRDefault="00694C0F">
      <w:pPr>
        <w:pStyle w:val="Definition-Field2"/>
      </w:pPr>
      <w:r>
        <w:t xml:space="preserve">In Office, arguments settlement </w:t>
      </w:r>
      <w:r>
        <w:t>and maturity are truncated to integers.</w:t>
      </w:r>
    </w:p>
    <w:p w:rsidR="00024C0A" w:rsidRDefault="00694C0F">
      <w:pPr>
        <w:pStyle w:val="Definition-Field"/>
      </w:pPr>
      <w:r>
        <w:t xml:space="preserve">c.   </w:t>
      </w:r>
      <w:r>
        <w:rPr>
          <w:i/>
        </w:rPr>
        <w:t>The standard states that the return values is the number of coupons payable between the settlement date and maturity date, rounded up to the nearest whole coupon.</w:t>
      </w:r>
    </w:p>
    <w:p w:rsidR="00024C0A" w:rsidRDefault="00694C0F">
      <w:pPr>
        <w:pStyle w:val="Definition-Field2"/>
      </w:pPr>
      <w:r>
        <w:t>In Office, if the number of months between the s</w:t>
      </w:r>
      <w:r>
        <w:t>ettlement and maturity is not a multiple of the number of months between coupon payments and settlement date is less than one payment period away from serial day 1, #NUM! is returned.</w:t>
      </w:r>
    </w:p>
    <w:p w:rsidR="00024C0A" w:rsidRDefault="00694C0F">
      <w:pPr>
        <w:pStyle w:val="Heading3"/>
      </w:pPr>
      <w:bookmarkStart w:id="1837" w:name="section_c1984310e77840939b4d90e00b44ce89"/>
      <w:bookmarkStart w:id="1838" w:name="_Toc12260979"/>
      <w:r>
        <w:t>Part 1 Section 18.17.7.62, COUPPCD</w:t>
      </w:r>
      <w:bookmarkEnd w:id="1837"/>
      <w:bookmarkEnd w:id="1838"/>
      <w:r>
        <w:fldChar w:fldCharType="begin"/>
      </w:r>
      <w:r>
        <w:instrText xml:space="preserve"> XE "COUPPCD" </w:instrText>
      </w:r>
      <w:r>
        <w:fldChar w:fldCharType="end"/>
      </w:r>
    </w:p>
    <w:p w:rsidR="00024C0A" w:rsidRDefault="00694C0F">
      <w:pPr>
        <w:pStyle w:val="Definition-Field"/>
      </w:pPr>
      <w:r>
        <w:t xml:space="preserve">a.   </w:t>
      </w:r>
      <w:r>
        <w:rPr>
          <w:i/>
        </w:rPr>
        <w:t>The standard doe</w:t>
      </w:r>
      <w:r>
        <w:rPr>
          <w:i/>
        </w:rPr>
        <w:t>s not specify day and month adjustments for the basis argument.</w:t>
      </w:r>
    </w:p>
    <w:p w:rsidR="00024C0A" w:rsidRDefault="00694C0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Value</w:t>
            </w:r>
          </w:p>
        </w:tc>
        <w:tc>
          <w:tcPr>
            <w:tcW w:w="0" w:type="auto"/>
            <w:vAlign w:val="center"/>
          </w:tcPr>
          <w:p w:rsidR="00024C0A" w:rsidRDefault="00694C0F">
            <w:pPr>
              <w:pStyle w:val="TableHeaderText"/>
            </w:pPr>
            <w:r>
              <w:t>Day Count Basis</w:t>
            </w:r>
          </w:p>
        </w:tc>
      </w:tr>
      <w:tr w:rsidR="00024C0A" w:rsidTr="00024C0A">
        <w:tc>
          <w:tcPr>
            <w:tcW w:w="0" w:type="auto"/>
            <w:vAlign w:val="center"/>
          </w:tcPr>
          <w:p w:rsidR="00024C0A" w:rsidRDefault="00694C0F">
            <w:pPr>
              <w:pStyle w:val="TableBodyText"/>
            </w:pPr>
            <w:r>
              <w:rPr>
                <w:rStyle w:val="InlineCode"/>
              </w:rPr>
              <w:t>0</w:t>
            </w:r>
            <w:r>
              <w:t xml:space="preserve"> or omitted</w:t>
            </w:r>
          </w:p>
        </w:tc>
        <w:tc>
          <w:tcPr>
            <w:tcW w:w="0" w:type="auto"/>
            <w:vAlign w:val="center"/>
          </w:tcPr>
          <w:p w:rsidR="00024C0A" w:rsidRDefault="00694C0F">
            <w:pPr>
              <w:pStyle w:val="TableBodyText"/>
            </w:pPr>
            <w:r>
              <w:t>US (NASD) 30/360. If the dates are equal, the diffe</w:t>
            </w:r>
            <w:r>
              <w:t>rence of days is 0. Assumes that each month has 30 days and the total number of days in the year is 360 by making the following adjustments:</w:t>
            </w:r>
          </w:p>
          <w:p w:rsidR="00024C0A" w:rsidRDefault="00694C0F">
            <w:pPr>
              <w:pStyle w:val="TableBodyText"/>
            </w:pPr>
            <w:r>
              <w:t>If both day-of-months are 31, they are changed to 30</w:t>
            </w:r>
          </w:p>
          <w:p w:rsidR="00024C0A" w:rsidRDefault="00694C0F">
            <w:pPr>
              <w:pStyle w:val="TableBodyText"/>
            </w:pPr>
            <w:r>
              <w:t>Otherwise, if date1’s day-of-month is 31, it is changed to 30</w:t>
            </w:r>
          </w:p>
          <w:p w:rsidR="00024C0A" w:rsidRDefault="00694C0F">
            <w:pPr>
              <w:pStyle w:val="TableBodyText"/>
            </w:pPr>
            <w:r>
              <w:t>Otherwise, if date1’s day-of-month is 30 and date2’s day-of-month is 31, date2’s day-of-month is changed to 30 (note that date2’s day-of-month will stay 31 if date1’s day &lt; 30)</w:t>
            </w:r>
          </w:p>
          <w:p w:rsidR="00024C0A" w:rsidRDefault="00694C0F">
            <w:pPr>
              <w:pStyle w:val="TableBodyText"/>
            </w:pPr>
            <w:r>
              <w:t>Otherwise, if both dates are the last day of February in their respective years</w:t>
            </w:r>
            <w:r>
              <w:t>, both day-of-month is changed to 30</w:t>
            </w:r>
          </w:p>
          <w:p w:rsidR="00024C0A" w:rsidRDefault="00694C0F">
            <w:pPr>
              <w:pStyle w:val="TableBodyText"/>
            </w:pPr>
            <w:r>
              <w:t>Otherwise, if date1 is the last day of February, its day-of-month is changed to 30</w:t>
            </w:r>
          </w:p>
        </w:tc>
      </w:tr>
      <w:tr w:rsidR="00024C0A" w:rsidTr="00024C0A">
        <w:tc>
          <w:tcPr>
            <w:tcW w:w="0" w:type="auto"/>
            <w:vAlign w:val="center"/>
          </w:tcPr>
          <w:p w:rsidR="00024C0A" w:rsidRDefault="00694C0F">
            <w:pPr>
              <w:pStyle w:val="TableBodyText"/>
            </w:pPr>
            <w:r>
              <w:rPr>
                <w:rStyle w:val="InlineCode"/>
              </w:rPr>
              <w:t>1</w:t>
            </w:r>
          </w:p>
        </w:tc>
        <w:tc>
          <w:tcPr>
            <w:tcW w:w="0" w:type="auto"/>
            <w:vAlign w:val="center"/>
          </w:tcPr>
          <w:p w:rsidR="00024C0A" w:rsidRDefault="00694C0F">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24C0A" w:rsidRDefault="00024C0A">
            <w:pPr>
              <w:pStyle w:val="TableBodyText"/>
            </w:pPr>
          </w:p>
          <w:p w:rsidR="00024C0A" w:rsidRDefault="00694C0F">
            <w:pPr>
              <w:pStyle w:val="TableBodyText"/>
            </w:pPr>
            <w:r>
              <w:t>To det</w:t>
            </w:r>
            <w:r>
              <w:t>ermine if date1 and date2 are “less than or equal to a year apart” for purposes of this algorithm, one of these conditions must be true:</w:t>
            </w:r>
          </w:p>
          <w:p w:rsidR="00024C0A" w:rsidRDefault="00694C0F">
            <w:pPr>
              <w:pStyle w:val="ListParagraph"/>
              <w:numPr>
                <w:ilvl w:val="0"/>
                <w:numId w:val="90"/>
              </w:numPr>
            </w:pPr>
            <w:r>
              <w:t>The two dates have the same year</w:t>
            </w:r>
          </w:p>
          <w:p w:rsidR="00024C0A" w:rsidRDefault="00694C0F">
            <w:pPr>
              <w:pStyle w:val="ListParagraph"/>
              <w:numPr>
                <w:ilvl w:val="0"/>
                <w:numId w:val="91"/>
              </w:numPr>
            </w:pPr>
            <w:r>
              <w:t>Date2’s year is exactly one more than date1’s year, and ((date1.month &gt; date2.month) o</w:t>
            </w:r>
            <w:r>
              <w:t>r ((date1.month == date2.month) and (date1.day &gt;= date2.day)))</w:t>
            </w:r>
          </w:p>
        </w:tc>
      </w:tr>
      <w:tr w:rsidR="00024C0A" w:rsidTr="00024C0A">
        <w:tc>
          <w:tcPr>
            <w:tcW w:w="0" w:type="auto"/>
            <w:vAlign w:val="center"/>
          </w:tcPr>
          <w:p w:rsidR="00024C0A" w:rsidRDefault="00694C0F">
            <w:pPr>
              <w:pStyle w:val="TableBodyText"/>
            </w:pPr>
            <w:r>
              <w:rPr>
                <w:rStyle w:val="InlineCode"/>
              </w:rPr>
              <w:t>2</w:t>
            </w:r>
          </w:p>
        </w:tc>
        <w:tc>
          <w:tcPr>
            <w:tcW w:w="0" w:type="auto"/>
            <w:vAlign w:val="center"/>
          </w:tcPr>
          <w:p w:rsidR="00024C0A" w:rsidRDefault="00694C0F">
            <w:pPr>
              <w:pStyle w:val="TableBodyText"/>
            </w:pPr>
            <w:r>
              <w:t xml:space="preserve">Actual/360. Computes the actual difference in days, and presumes there are always 360 days per </w:t>
            </w:r>
            <w:r>
              <w:lastRenderedPageBreak/>
              <w:t>year.</w:t>
            </w:r>
          </w:p>
        </w:tc>
      </w:tr>
      <w:tr w:rsidR="00024C0A" w:rsidTr="00024C0A">
        <w:tc>
          <w:tcPr>
            <w:tcW w:w="0" w:type="auto"/>
            <w:vAlign w:val="center"/>
          </w:tcPr>
          <w:p w:rsidR="00024C0A" w:rsidRDefault="00694C0F">
            <w:pPr>
              <w:pStyle w:val="TableBodyText"/>
            </w:pPr>
            <w:r>
              <w:rPr>
                <w:rStyle w:val="InlineCode"/>
              </w:rPr>
              <w:lastRenderedPageBreak/>
              <w:t>3</w:t>
            </w:r>
          </w:p>
        </w:tc>
        <w:tc>
          <w:tcPr>
            <w:tcW w:w="0" w:type="auto"/>
            <w:vAlign w:val="center"/>
          </w:tcPr>
          <w:p w:rsidR="00024C0A" w:rsidRDefault="00694C0F">
            <w:pPr>
              <w:pStyle w:val="TableBodyText"/>
            </w:pPr>
            <w:r>
              <w:t xml:space="preserve">Actual/365. Computes the actual difference in days, and presumes there are always 365 </w:t>
            </w:r>
            <w:r>
              <w:t>days per year.</w:t>
            </w:r>
          </w:p>
        </w:tc>
      </w:tr>
      <w:tr w:rsidR="00024C0A" w:rsidTr="00024C0A">
        <w:tc>
          <w:tcPr>
            <w:tcW w:w="0" w:type="auto"/>
            <w:vAlign w:val="center"/>
          </w:tcPr>
          <w:p w:rsidR="00024C0A" w:rsidRDefault="00694C0F">
            <w:pPr>
              <w:pStyle w:val="TableBodyText"/>
            </w:pPr>
            <w:r>
              <w:rPr>
                <w:rStyle w:val="InlineCode"/>
              </w:rPr>
              <w:t>4</w:t>
            </w:r>
          </w:p>
        </w:tc>
        <w:tc>
          <w:tcPr>
            <w:tcW w:w="0" w:type="auto"/>
            <w:vAlign w:val="center"/>
          </w:tcPr>
          <w:p w:rsidR="00024C0A" w:rsidRDefault="00694C0F">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024C0A" w:rsidRDefault="00024C0A"/>
    <w:p w:rsidR="00024C0A" w:rsidRDefault="00694C0F">
      <w:pPr>
        <w:pStyle w:val="Heading3"/>
      </w:pPr>
      <w:bookmarkStart w:id="1839" w:name="section_253c6fac2aa2405bb389f8b813d20428"/>
      <w:bookmarkStart w:id="1840" w:name="_Toc12260980"/>
      <w:r>
        <w:t>Part 1 Section 18.17.7.64, CRITBINOM</w:t>
      </w:r>
      <w:bookmarkEnd w:id="1839"/>
      <w:bookmarkEnd w:id="1840"/>
      <w:r>
        <w:fldChar w:fldCharType="begin"/>
      </w:r>
      <w:r>
        <w:instrText xml:space="preserve"> XE "CRITBINOM" </w:instrText>
      </w:r>
      <w:r>
        <w:fldChar w:fldCharType="end"/>
      </w:r>
    </w:p>
    <w:p w:rsidR="00024C0A" w:rsidRDefault="00694C0F">
      <w:pPr>
        <w:pStyle w:val="Definition-Field"/>
      </w:pPr>
      <w:r>
        <w:t xml:space="preserve">a.   </w:t>
      </w:r>
      <w:r>
        <w:rPr>
          <w:i/>
        </w:rPr>
        <w:t>The standard specifies the number-trials argument as a number.</w:t>
      </w:r>
    </w:p>
    <w:p w:rsidR="00024C0A" w:rsidRDefault="00694C0F">
      <w:pPr>
        <w:pStyle w:val="Definition-Field2"/>
      </w:pPr>
      <w:r>
        <w:t xml:space="preserve">In Excel, </w:t>
      </w:r>
      <w:r>
        <w:t>the number-trials argument is truncated to an integer.</w:t>
      </w:r>
    </w:p>
    <w:p w:rsidR="00024C0A" w:rsidRDefault="00694C0F">
      <w:pPr>
        <w:pStyle w:val="Heading3"/>
      </w:pPr>
      <w:bookmarkStart w:id="1841" w:name="section_340546969f524105914397bccd1e9366"/>
      <w:bookmarkStart w:id="1842" w:name="_Toc12260981"/>
      <w:r>
        <w:t>Part 1 Section 18.17.7.65, CUBEKPIMEMBER</w:t>
      </w:r>
      <w:bookmarkEnd w:id="1841"/>
      <w:bookmarkEnd w:id="1842"/>
      <w:r>
        <w:fldChar w:fldCharType="begin"/>
      </w:r>
      <w:r>
        <w:instrText xml:space="preserve"> XE "CUBEKPIMEMBER" </w:instrText>
      </w:r>
      <w:r>
        <w:fldChar w:fldCharType="end"/>
      </w:r>
    </w:p>
    <w:p w:rsidR="00024C0A" w:rsidRDefault="00694C0F">
      <w:pPr>
        <w:pStyle w:val="Definition-Field"/>
      </w:pPr>
      <w:r>
        <w:t xml:space="preserve">a.   </w:t>
      </w:r>
      <w:r>
        <w:rPr>
          <w:i/>
        </w:rPr>
        <w:t>The standard does not specify how the relative importance of the KPI can be used on the server when argument kpi-property is 5.</w:t>
      </w:r>
    </w:p>
    <w:p w:rsidR="00024C0A" w:rsidRDefault="00694C0F">
      <w:r>
        <w:t>In Ex</w:t>
      </w:r>
      <w:r>
        <w:t>cel, a kpi-property value of 5 indicates the relative importance assigned to the KPI on the server.  If this KPI is assigned a parent KPI, then this number can be used on the server to proportionally adjust the results of this KPI value when calculating th</w:t>
      </w:r>
      <w:r>
        <w:t>e value of the parent KPI. While this number can be shown in the spreadsheet application, it is assumed that it is used by the server for any calculations affecting the KPI.</w:t>
      </w:r>
    </w:p>
    <w:p w:rsidR="00024C0A" w:rsidRDefault="00694C0F">
      <w:pPr>
        <w:pStyle w:val="Definition-Field"/>
      </w:pPr>
      <w:r>
        <w:t xml:space="preserve">b.   </w:t>
      </w:r>
      <w:r>
        <w:rPr>
          <w:i/>
        </w:rPr>
        <w:t xml:space="preserve">The standard states argument kpi-property equal to 6 returns a temporal </w:t>
      </w:r>
      <w:r>
        <w:rPr>
          <w:i/>
        </w:rPr>
        <w:t>context of the KPI.</w:t>
      </w:r>
    </w:p>
    <w:p w:rsidR="00024C0A" w:rsidRDefault="00694C0F">
      <w:pPr>
        <w:pStyle w:val="Definition-Field2"/>
      </w:pPr>
      <w:r>
        <w:t>Office returns the unique name of the member in the time dimension that defines the timeframe of the KPI if kpi-property equals 6.</w:t>
      </w:r>
    </w:p>
    <w:p w:rsidR="00024C0A" w:rsidRDefault="00694C0F">
      <w:pPr>
        <w:pStyle w:val="Heading3"/>
      </w:pPr>
      <w:bookmarkStart w:id="1843" w:name="section_22a502a9d3384459bd878a18d9037bc3"/>
      <w:bookmarkStart w:id="1844" w:name="_Toc12260982"/>
      <w:r>
        <w:t>Part 1 Section 18.17.7.69, CUBESET</w:t>
      </w:r>
      <w:bookmarkEnd w:id="1843"/>
      <w:bookmarkEnd w:id="1844"/>
      <w:r>
        <w:fldChar w:fldCharType="begin"/>
      </w:r>
      <w:r>
        <w:instrText xml:space="preserve"> XE "CUBESET" </w:instrText>
      </w:r>
      <w:r>
        <w:fldChar w:fldCharType="end"/>
      </w:r>
    </w:p>
    <w:p w:rsidR="00024C0A" w:rsidRDefault="00694C0F">
      <w:pPr>
        <w:pStyle w:val="Definition-Field"/>
      </w:pPr>
      <w:r>
        <w:t xml:space="preserve">a.   </w:t>
      </w:r>
      <w:r>
        <w:rPr>
          <w:i/>
        </w:rPr>
        <w:t>The standard does not define the return value whe</w:t>
      </w:r>
      <w:r>
        <w:rPr>
          <w:i/>
        </w:rPr>
        <w:t>n sort-order requires sort-by but sort-by value is not in the cube.</w:t>
      </w:r>
    </w:p>
    <w:p w:rsidR="00024C0A" w:rsidRDefault="00694C0F">
      <w:pPr>
        <w:pStyle w:val="Definition-Field2"/>
      </w:pPr>
      <w:r>
        <w:t>In Office, #N/A is returned in this case.</w:t>
      </w:r>
    </w:p>
    <w:p w:rsidR="00024C0A" w:rsidRDefault="00694C0F">
      <w:pPr>
        <w:pStyle w:val="Heading3"/>
      </w:pPr>
      <w:bookmarkStart w:id="1845" w:name="section_7b300f59520b4394976ae6e747a90f79"/>
      <w:bookmarkStart w:id="1846" w:name="_Toc12260983"/>
      <w:r>
        <w:t>Part 1 Section 18.17.7.70, CUBESETCOUNT</w:t>
      </w:r>
      <w:bookmarkEnd w:id="1845"/>
      <w:bookmarkEnd w:id="1846"/>
      <w:r>
        <w:fldChar w:fldCharType="begin"/>
      </w:r>
      <w:r>
        <w:instrText xml:space="preserve"> XE "CUBESETCOUNT" </w:instrText>
      </w:r>
      <w:r>
        <w:fldChar w:fldCharType="end"/>
      </w:r>
    </w:p>
    <w:p w:rsidR="00024C0A" w:rsidRDefault="00694C0F">
      <w:pPr>
        <w:pStyle w:val="Definition-Field"/>
      </w:pPr>
      <w:r>
        <w:t xml:space="preserve">a.   </w:t>
      </w:r>
      <w:r>
        <w:rPr>
          <w:i/>
        </w:rPr>
        <w:t xml:space="preserve">The standard does not define the return value if set argument does not evaluate </w:t>
      </w:r>
      <w:r>
        <w:rPr>
          <w:i/>
        </w:rPr>
        <w:t>to a set.</w:t>
      </w:r>
    </w:p>
    <w:p w:rsidR="00024C0A" w:rsidRDefault="00694C0F">
      <w:pPr>
        <w:pStyle w:val="Definition-Field2"/>
      </w:pPr>
      <w:r>
        <w:t>In Office, #N/A is returned in this case.</w:t>
      </w:r>
    </w:p>
    <w:p w:rsidR="00024C0A" w:rsidRDefault="00694C0F">
      <w:pPr>
        <w:pStyle w:val="Heading3"/>
      </w:pPr>
      <w:bookmarkStart w:id="1847" w:name="section_66332a3d99bf4eea80038f4bad1f8752"/>
      <w:bookmarkStart w:id="1848" w:name="_Toc12260984"/>
      <w:r>
        <w:t>Part 1 Section 18.17.7.72, CUMIPMT</w:t>
      </w:r>
      <w:bookmarkEnd w:id="1847"/>
      <w:bookmarkEnd w:id="1848"/>
      <w:r>
        <w:fldChar w:fldCharType="begin"/>
      </w:r>
      <w:r>
        <w:instrText xml:space="preserve"> XE "CUMIPMT" </w:instrText>
      </w:r>
      <w:r>
        <w:fldChar w:fldCharType="end"/>
      </w:r>
    </w:p>
    <w:p w:rsidR="00024C0A" w:rsidRDefault="00694C0F">
      <w:pPr>
        <w:pStyle w:val="Definition-Field"/>
      </w:pPr>
      <w:r>
        <w:t xml:space="preserve">a.   </w:t>
      </w:r>
      <w:r>
        <w:rPr>
          <w:i/>
        </w:rPr>
        <w:t>The standard does not define the return value of the CUMIPMT formula when end_period is greater than nper.</w:t>
      </w:r>
    </w:p>
    <w:p w:rsidR="00024C0A" w:rsidRDefault="00694C0F">
      <w:pPr>
        <w:pStyle w:val="Definition-Field2"/>
      </w:pPr>
      <w:r>
        <w:t>Excel returns a value of #NUM! when end_p</w:t>
      </w:r>
      <w:r>
        <w:t>eriod is greater than nper.</w:t>
      </w:r>
    </w:p>
    <w:p w:rsidR="00024C0A" w:rsidRDefault="00694C0F">
      <w:pPr>
        <w:pStyle w:val="Definition-Field"/>
      </w:pPr>
      <w:r>
        <w:t xml:space="preserve">b.   </w:t>
      </w:r>
      <w:r>
        <w:rPr>
          <w:i/>
        </w:rPr>
        <w:t>The standard states that start-period and end-period are numbers.</w:t>
      </w:r>
    </w:p>
    <w:p w:rsidR="00024C0A" w:rsidRDefault="00694C0F">
      <w:pPr>
        <w:pStyle w:val="Definition-Field2"/>
      </w:pPr>
      <w:r>
        <w:lastRenderedPageBreak/>
        <w:t>Excel truncates start-period and end-period to integers.</w:t>
      </w:r>
    </w:p>
    <w:p w:rsidR="00024C0A" w:rsidRDefault="00694C0F">
      <w:pPr>
        <w:pStyle w:val="Heading3"/>
      </w:pPr>
      <w:bookmarkStart w:id="1849" w:name="section_3449459a0e834a19b4029642a5ea36ff"/>
      <w:bookmarkStart w:id="1850" w:name="_Toc12260985"/>
      <w:r>
        <w:t>Part 1 Section 18.17.7.73, CUMPRINC</w:t>
      </w:r>
      <w:bookmarkEnd w:id="1849"/>
      <w:bookmarkEnd w:id="1850"/>
      <w:r>
        <w:fldChar w:fldCharType="begin"/>
      </w:r>
      <w:r>
        <w:instrText xml:space="preserve"> XE "CUMPRINC" </w:instrText>
      </w:r>
      <w:r>
        <w:fldChar w:fldCharType="end"/>
      </w:r>
    </w:p>
    <w:p w:rsidR="00024C0A" w:rsidRDefault="00694C0F">
      <w:pPr>
        <w:pStyle w:val="Definition-Field"/>
      </w:pPr>
      <w:r>
        <w:t xml:space="preserve">a.   </w:t>
      </w:r>
      <w:r>
        <w:rPr>
          <w:i/>
        </w:rPr>
        <w:t>The standard does not specify the return v</w:t>
      </w:r>
      <w:r>
        <w:rPr>
          <w:i/>
        </w:rPr>
        <w:t>alue if the end_period argument is greater than the nper argument.</w:t>
      </w:r>
    </w:p>
    <w:p w:rsidR="00024C0A" w:rsidRDefault="00694C0F">
      <w:pPr>
        <w:pStyle w:val="Definition-Field2"/>
      </w:pPr>
      <w:r>
        <w:t>Office returns #NUM! if the end_period argument is greater than the nper argument.</w:t>
      </w:r>
    </w:p>
    <w:p w:rsidR="00024C0A" w:rsidRDefault="00694C0F">
      <w:pPr>
        <w:pStyle w:val="Definition-Field"/>
      </w:pPr>
      <w:r>
        <w:t xml:space="preserve">b.   </w:t>
      </w:r>
      <w:r>
        <w:rPr>
          <w:i/>
        </w:rPr>
        <w:t>The standard states that start-period and end-period are numbers.</w:t>
      </w:r>
    </w:p>
    <w:p w:rsidR="00024C0A" w:rsidRDefault="00694C0F">
      <w:pPr>
        <w:pStyle w:val="Definition-Field2"/>
      </w:pPr>
      <w:r>
        <w:t>Excel truncates start-period and en</w:t>
      </w:r>
      <w:r>
        <w:t>d-period to integers.</w:t>
      </w:r>
    </w:p>
    <w:p w:rsidR="00024C0A" w:rsidRDefault="00694C0F">
      <w:pPr>
        <w:pStyle w:val="Heading3"/>
      </w:pPr>
      <w:bookmarkStart w:id="1851" w:name="section_4bbbb410cf9c45ecb96d8aa62d0d8cfa"/>
      <w:bookmarkStart w:id="1852" w:name="_Toc12260986"/>
      <w:r>
        <w:t>Part 1 Section 18.17.7.74, DATE</w:t>
      </w:r>
      <w:bookmarkEnd w:id="1851"/>
      <w:bookmarkEnd w:id="1852"/>
      <w:r>
        <w:fldChar w:fldCharType="begin"/>
      </w:r>
      <w:r>
        <w:instrText xml:space="preserve"> XE "DATE" </w:instrText>
      </w:r>
      <w:r>
        <w:fldChar w:fldCharType="end"/>
      </w:r>
    </w:p>
    <w:p w:rsidR="00024C0A" w:rsidRDefault="00694C0F">
      <w:pPr>
        <w:pStyle w:val="Definition-Field"/>
      </w:pPr>
      <w:r>
        <w:t xml:space="preserve">a.   </w:t>
      </w:r>
      <w:r>
        <w:rPr>
          <w:i/>
        </w:rPr>
        <w:t>The standard does not specify that the year argument must be positive.</w:t>
      </w:r>
    </w:p>
    <w:p w:rsidR="00024C0A" w:rsidRDefault="00694C0F">
      <w:pPr>
        <w:pStyle w:val="Definition-Field2"/>
      </w:pPr>
      <w:r>
        <w:t>Office requires the year argument to be a positive number.</w:t>
      </w:r>
    </w:p>
    <w:p w:rsidR="00024C0A" w:rsidRDefault="00694C0F">
      <w:pPr>
        <w:pStyle w:val="Definition-Field"/>
      </w:pPr>
      <w:r>
        <w:t xml:space="preserve">b.   </w:t>
      </w:r>
      <w:r>
        <w:rPr>
          <w:i/>
        </w:rPr>
        <w:t xml:space="preserve">The standard defines a normalization process for </w:t>
      </w:r>
      <w:r>
        <w:rPr>
          <w:i/>
        </w:rPr>
        <w:t>month and day arguments.</w:t>
      </w:r>
    </w:p>
    <w:p w:rsidR="00024C0A" w:rsidRDefault="00694C0F">
      <w:r>
        <w:t xml:space="preserve">Office applies additional rules to the value of month or day in a year-month-day argument triplet when those values are out of range. </w:t>
      </w:r>
    </w:p>
    <w:p w:rsidR="00024C0A" w:rsidRDefault="00694C0F">
      <w:r>
        <w:t>month is simply an instance of counting a given number of months, minus one, relative to January</w:t>
      </w:r>
      <w:r>
        <w:t xml:space="preserve"> of the year specified, using the Gregorian calendar </w:t>
      </w:r>
      <w:hyperlink r:id="rId140">
        <w:r>
          <w:rPr>
            <w:rStyle w:val="Hyperlink"/>
          </w:rPr>
          <w:t>[ISO-8601]</w:t>
        </w:r>
      </w:hyperlink>
      <w:r>
        <w:t xml:space="preserve">. This calendar defines that there are 12 months in a year, and that when counting forward, the month following December of one </w:t>
      </w:r>
      <w:r>
        <w:t>year is January of the following year, and when counting backward, the month preceding January of one year is December of the previous year. Likewise, day is simply an instance of counting a given number of days, minus one, relative to the first day of the</w:t>
      </w:r>
      <w:r>
        <w:t xml:space="preserve"> adjusted month, using the Gregorian calendar. This calendar defines the number of days in each month, and that when counting forward, the day following the final day of one month is the first day of the following month, and when counting backward, the day</w:t>
      </w:r>
      <w:r>
        <w:t xml:space="preserve"> preceding the first day of one month is the final day of the previous month. </w:t>
      </w:r>
    </w:p>
    <w:p w:rsidR="00024C0A" w:rsidRDefault="00694C0F">
      <w:r>
        <w:t>[</w:t>
      </w:r>
      <w:r>
        <w:rPr>
          <w:i/>
        </w:rPr>
        <w:t>Example</w:t>
      </w:r>
      <w:r>
        <w:t xml:space="preserve">: The year-month-day argument triplets (2007, 12,32), (2007,13,1), and (2008,1,1) all result in the same serial date. </w:t>
      </w:r>
      <w:r>
        <w:rPr>
          <w:i/>
        </w:rPr>
        <w:t>end example</w:t>
      </w:r>
      <w:r>
        <w:t>]</w:t>
      </w:r>
    </w:p>
    <w:p w:rsidR="00024C0A" w:rsidRDefault="00694C0F">
      <w:r>
        <w:t>[</w:t>
      </w:r>
      <w:r>
        <w:rPr>
          <w:i/>
        </w:rPr>
        <w:t>Note</w:t>
      </w:r>
      <w:r>
        <w:t xml:space="preserve">: One way to handle out-of-range values for month or day is as follows:  </w:t>
      </w:r>
    </w:p>
    <w:p w:rsidR="00024C0A" w:rsidRDefault="00694C0F">
      <w:r>
        <w:t>Compute yearAdjust  = INT((month - 1)/12)</w:t>
      </w:r>
    </w:p>
    <w:p w:rsidR="00024C0A" w:rsidRDefault="00694C0F">
      <w:r>
        <w:t>Compute adjustedMonth = month - (yearAdjust * 12)</w:t>
      </w:r>
    </w:p>
    <w:p w:rsidR="00024C0A" w:rsidRDefault="00694C0F">
      <w:r>
        <w:t>Compute adjustedYear = year + yearAdjust.</w:t>
      </w:r>
    </w:p>
    <w:p w:rsidR="00024C0A" w:rsidRDefault="00694C0F">
      <w:r>
        <w:t xml:space="preserve"> A serialDateBase can now be computed for the fi</w:t>
      </w:r>
      <w:r>
        <w:t xml:space="preserve">rst day of the adjustedYear and adjustedMonth. Finally, compute the serial date for the full triplet by adding (day-1) to this serialDateBase. </w:t>
      </w:r>
      <w:r>
        <w:rPr>
          <w:i/>
        </w:rPr>
        <w:t>end note</w:t>
      </w:r>
      <w:r>
        <w:t>]</w:t>
      </w:r>
    </w:p>
    <w:p w:rsidR="00024C0A" w:rsidRDefault="00694C0F">
      <w:pPr>
        <w:pStyle w:val="Definition-Field"/>
      </w:pPr>
      <w:r>
        <w:t xml:space="preserve">c.   </w:t>
      </w:r>
      <w:r>
        <w:rPr>
          <w:i/>
        </w:rPr>
        <w:t>The standard indicates various range of values for the year that cause #NUM! to be returned.</w:t>
      </w:r>
    </w:p>
    <w:p w:rsidR="00024C0A" w:rsidRDefault="00694C0F">
      <w:pPr>
        <w:pStyle w:val="Definition-Field2"/>
      </w:pPr>
      <w:r>
        <w:t>Offic</w:t>
      </w:r>
      <w:r>
        <w:t>e returns #NUM! if the year is outside the acceptable range for the date base currently in use.</w:t>
      </w:r>
    </w:p>
    <w:p w:rsidR="00024C0A" w:rsidRDefault="00694C0F">
      <w:pPr>
        <w:pStyle w:val="Heading3"/>
      </w:pPr>
      <w:bookmarkStart w:id="1853" w:name="section_d7d842ece9424a95933c7f514858422e"/>
      <w:bookmarkStart w:id="1854" w:name="_Toc12260987"/>
      <w:r>
        <w:t>Part 1 Section 18.17.7.76, DATEVALUE</w:t>
      </w:r>
      <w:bookmarkEnd w:id="1853"/>
      <w:bookmarkEnd w:id="1854"/>
      <w:r>
        <w:fldChar w:fldCharType="begin"/>
      </w:r>
      <w:r>
        <w:instrText xml:space="preserve"> XE "DATEVALUE" </w:instrText>
      </w:r>
      <w:r>
        <w:fldChar w:fldCharType="end"/>
      </w:r>
    </w:p>
    <w:p w:rsidR="00024C0A" w:rsidRDefault="00694C0F">
      <w:pPr>
        <w:pStyle w:val="Definition-Field"/>
      </w:pPr>
      <w:r>
        <w:t xml:space="preserve">a.   </w:t>
      </w:r>
      <w:r>
        <w:rPr>
          <w:i/>
        </w:rPr>
        <w:t xml:space="preserve">The standard states the function computes the serial value of the date and/or time represented by </w:t>
      </w:r>
      <w:r>
        <w:rPr>
          <w:i/>
        </w:rPr>
        <w:t>the string date-time-string, taking into account the current date base value.</w:t>
      </w:r>
    </w:p>
    <w:p w:rsidR="00024C0A" w:rsidRDefault="00694C0F">
      <w:pPr>
        <w:pStyle w:val="Definition-Field2"/>
      </w:pPr>
      <w:r>
        <w:t>In Office, the function computes the serial value of the date represented by the string date-time-string, taking into account the current date base value.</w:t>
      </w:r>
    </w:p>
    <w:p w:rsidR="00024C0A" w:rsidRDefault="00694C0F">
      <w:pPr>
        <w:pStyle w:val="Definition-Field"/>
      </w:pPr>
      <w:r>
        <w:lastRenderedPageBreak/>
        <w:t xml:space="preserve">b.   </w:t>
      </w:r>
      <w:r>
        <w:rPr>
          <w:i/>
        </w:rPr>
        <w:t xml:space="preserve">The standard does </w:t>
      </w:r>
      <w:r>
        <w:rPr>
          <w:i/>
        </w:rPr>
        <w:t>not specify what happens when the date-time-string argument contains both a date and time part.</w:t>
      </w:r>
    </w:p>
    <w:p w:rsidR="00024C0A" w:rsidRDefault="00694C0F">
      <w:pPr>
        <w:pStyle w:val="Definition-Field2"/>
      </w:pPr>
      <w:r>
        <w:t>Office truncates the time portion of the date-time-string argument, or returns 0 for time only values of date-time-string argument.</w:t>
      </w:r>
    </w:p>
    <w:p w:rsidR="00024C0A" w:rsidRDefault="00694C0F">
      <w:pPr>
        <w:pStyle w:val="Heading3"/>
      </w:pPr>
      <w:bookmarkStart w:id="1855" w:name="section_772b35329d4d4cc999f47fc8e6f7cbee"/>
      <w:bookmarkStart w:id="1856" w:name="_Toc12260988"/>
      <w:r>
        <w:t>Part 1 Section 18.17.7.77, D</w:t>
      </w:r>
      <w:r>
        <w:t>AVERAGE</w:t>
      </w:r>
      <w:bookmarkEnd w:id="1855"/>
      <w:bookmarkEnd w:id="1856"/>
      <w:r>
        <w:fldChar w:fldCharType="begin"/>
      </w:r>
      <w:r>
        <w:instrText xml:space="preserve"> XE "DAVERAGE" </w:instrText>
      </w:r>
      <w:r>
        <w:fldChar w:fldCharType="end"/>
      </w:r>
    </w:p>
    <w:p w:rsidR="00024C0A" w:rsidRDefault="00694C0F">
      <w:pPr>
        <w:pStyle w:val="Definition-Field"/>
      </w:pPr>
      <w:r>
        <w:t xml:space="preserve">a.   </w:t>
      </w:r>
      <w:r>
        <w:rPr>
          <w:i/>
        </w:rPr>
        <w:t>The standard states that the field argument is the column to which criteria shall be applied.</w:t>
      </w:r>
    </w:p>
    <w:p w:rsidR="00024C0A" w:rsidRDefault="00694C0F">
      <w:pPr>
        <w:pStyle w:val="Definition-Field2"/>
      </w:pPr>
      <w:r>
        <w:t>Office treats the field argument as the column to use to compute the average.</w:t>
      </w:r>
    </w:p>
    <w:p w:rsidR="00024C0A" w:rsidRDefault="00694C0F">
      <w:pPr>
        <w:pStyle w:val="Heading3"/>
      </w:pPr>
      <w:bookmarkStart w:id="1857" w:name="section_0a57025c61144f1fab1e82504edb7859"/>
      <w:bookmarkStart w:id="1858" w:name="_Toc12260989"/>
      <w:r>
        <w:t>Part 1 Section 18.17.7.78, DAY</w:t>
      </w:r>
      <w:bookmarkEnd w:id="1857"/>
      <w:bookmarkEnd w:id="1858"/>
      <w:r>
        <w:fldChar w:fldCharType="begin"/>
      </w:r>
      <w:r>
        <w:instrText xml:space="preserve"> XE "DAY" </w:instrText>
      </w:r>
      <w:r>
        <w:fldChar w:fldCharType="end"/>
      </w:r>
    </w:p>
    <w:p w:rsidR="00024C0A" w:rsidRDefault="00694C0F">
      <w:pPr>
        <w:pStyle w:val="Definition-Field"/>
      </w:pPr>
      <w:r>
        <w:t xml:space="preserve">a.   </w:t>
      </w:r>
      <w:r>
        <w:rPr>
          <w:i/>
        </w:rPr>
        <w:t>The st</w:t>
      </w:r>
      <w:r>
        <w:rPr>
          <w:i/>
        </w:rPr>
        <w:t>andard includes the example “DAY(DATE(2006,0,2)) results in 31”, which is inconsistent with the defined behaviors for the DAY ("</w:t>
      </w:r>
      <w:hyperlink r:id="rId141">
        <w:r>
          <w:rPr>
            <w:rStyle w:val="Hyperlink"/>
          </w:rPr>
          <w:t>[ISO/IEC-29500-1]</w:t>
        </w:r>
      </w:hyperlink>
      <w:r>
        <w:rPr>
          <w:i/>
        </w:rPr>
        <w:t xml:space="preserve"> §18.17.7.78; DAY") and DATE ("</w:t>
      </w:r>
      <w:r>
        <w:t>[ISO/IEC-29500</w:t>
      </w:r>
      <w:r>
        <w:t>-1]</w:t>
      </w:r>
      <w:r>
        <w:rPr>
          <w:i/>
        </w:rPr>
        <w:t xml:space="preserve"> §18.17.7.74; DATE") functions.</w:t>
      </w:r>
    </w:p>
    <w:p w:rsidR="00024C0A" w:rsidRDefault="00694C0F">
      <w:pPr>
        <w:pStyle w:val="Definition-Field2"/>
      </w:pPr>
      <w:r>
        <w:t>Excel implements the standard as written, and returns 2.</w:t>
      </w:r>
    </w:p>
    <w:p w:rsidR="00024C0A" w:rsidRDefault="00694C0F">
      <w:pPr>
        <w:pStyle w:val="Heading3"/>
      </w:pPr>
      <w:bookmarkStart w:id="1859" w:name="section_1eeeff014a644d04909fa65156b0a515"/>
      <w:bookmarkStart w:id="1860" w:name="_Toc12260990"/>
      <w:r>
        <w:t>Part 1 Section 18.17.7.79, DAYS360</w:t>
      </w:r>
      <w:bookmarkEnd w:id="1859"/>
      <w:bookmarkEnd w:id="1860"/>
      <w:r>
        <w:fldChar w:fldCharType="begin"/>
      </w:r>
      <w:r>
        <w:instrText xml:space="preserve"> XE "DAYS360" </w:instrText>
      </w:r>
      <w:r>
        <w:fldChar w:fldCharType="end"/>
      </w:r>
    </w:p>
    <w:p w:rsidR="00024C0A" w:rsidRDefault="00694C0F">
      <w:pPr>
        <w:pStyle w:val="Definition-Field"/>
      </w:pPr>
      <w:r>
        <w:t xml:space="preserve">a.   </w:t>
      </w:r>
      <w:r>
        <w:rPr>
          <w:i/>
        </w:rPr>
        <w:t>The standard does not describe the adjustments made when start-date is the 28th day of the 2nd month (or 29t</w:t>
      </w:r>
      <w:r>
        <w:rPr>
          <w:i/>
        </w:rPr>
        <w:t>h day of the second month for leap-years) for when argument method-flag is FALSE or omitted.</w:t>
      </w:r>
    </w:p>
    <w:p w:rsidR="00024C0A" w:rsidRDefault="00694C0F">
      <w:pPr>
        <w:pStyle w:val="Definition-Field2"/>
      </w:pPr>
      <w:r>
        <w:t>In Office, if the start-date is the 28th day of the 2nd month (29th day of the 2nd month for leap-years) it is also changed to the 30th day of that same month.</w:t>
      </w:r>
    </w:p>
    <w:p w:rsidR="00024C0A" w:rsidRDefault="00694C0F">
      <w:pPr>
        <w:pStyle w:val="Heading3"/>
      </w:pPr>
      <w:bookmarkStart w:id="1861" w:name="section_7600adb286b144e9afc75ff91d70a281"/>
      <w:bookmarkStart w:id="1862" w:name="_Toc12260991"/>
      <w:r>
        <w:t>Par</w:t>
      </w:r>
      <w:r>
        <w:t>t 1 Section 18.17.7.80, DB</w:t>
      </w:r>
      <w:bookmarkEnd w:id="1861"/>
      <w:bookmarkEnd w:id="1862"/>
      <w:r>
        <w:fldChar w:fldCharType="begin"/>
      </w:r>
      <w:r>
        <w:instrText xml:space="preserve"> XE "DB" </w:instrText>
      </w:r>
      <w:r>
        <w:fldChar w:fldCharType="end"/>
      </w:r>
    </w:p>
    <w:p w:rsidR="00024C0A" w:rsidRDefault="00694C0F">
      <w:pPr>
        <w:pStyle w:val="Definition-Field"/>
      </w:pPr>
      <w:r>
        <w:t xml:space="preserve">a.   </w:t>
      </w:r>
      <w:r>
        <w:rPr>
          <w:i/>
        </w:rPr>
        <w:t>The standard does not specify the return value if period &gt; life and month argument is omitted or month is 12, or if period &gt; (life + 1).</w:t>
      </w:r>
    </w:p>
    <w:p w:rsidR="00024C0A" w:rsidRDefault="00694C0F">
      <w:pPr>
        <w:pStyle w:val="Definition-Field2"/>
      </w:pPr>
      <w:r>
        <w:t>Office returns #NUM! in this case.</w:t>
      </w:r>
    </w:p>
    <w:p w:rsidR="00024C0A" w:rsidRDefault="00694C0F">
      <w:pPr>
        <w:pStyle w:val="Definition-Field"/>
      </w:pPr>
      <w:r>
        <w:t xml:space="preserve">b.   </w:t>
      </w:r>
      <w:r>
        <w:rPr>
          <w:i/>
        </w:rPr>
        <w:t xml:space="preserve">The standard states that the syntax </w:t>
      </w:r>
      <w:r>
        <w:rPr>
          <w:i/>
        </w:rPr>
        <w:t>is: DB  (  cost  ,  salvage  ,  life  ,  period  [  , [  month  ] ]  ).</w:t>
      </w:r>
    </w:p>
    <w:p w:rsidR="00024C0A" w:rsidRDefault="00694C0F">
      <w:pPr>
        <w:pStyle w:val="Definition-Field2"/>
      </w:pPr>
      <w:r>
        <w:t>Office uses the following syntax: DB  (  cost  ,  salvage  ,  life  ,  period  [  ,  month   ]  ).</w:t>
      </w:r>
    </w:p>
    <w:p w:rsidR="00024C0A" w:rsidRDefault="00694C0F">
      <w:pPr>
        <w:pStyle w:val="Heading3"/>
      </w:pPr>
      <w:bookmarkStart w:id="1863" w:name="section_49ad2a8386a24125a4b94c7feef6a0ba"/>
      <w:bookmarkStart w:id="1864" w:name="_Toc12260992"/>
      <w:r>
        <w:t>Part 1 Section 18.17.7.81, DCOUNT</w:t>
      </w:r>
      <w:bookmarkEnd w:id="1863"/>
      <w:bookmarkEnd w:id="1864"/>
      <w:r>
        <w:fldChar w:fldCharType="begin"/>
      </w:r>
      <w:r>
        <w:instrText xml:space="preserve"> XE "DCOUNT" </w:instrText>
      </w:r>
      <w:r>
        <w:fldChar w:fldCharType="end"/>
      </w:r>
    </w:p>
    <w:p w:rsidR="00024C0A" w:rsidRDefault="00694C0F">
      <w:pPr>
        <w:pStyle w:val="Definition-Field"/>
      </w:pPr>
      <w:r>
        <w:t xml:space="preserve">a.   </w:t>
      </w:r>
      <w:r>
        <w:rPr>
          <w:i/>
        </w:rPr>
        <w:t xml:space="preserve">The standard states that the </w:t>
      </w:r>
      <w:r>
        <w:rPr>
          <w:i/>
        </w:rPr>
        <w:t>field argument is the column to which criteria shall be applied.</w:t>
      </w:r>
    </w:p>
    <w:p w:rsidR="00024C0A" w:rsidRDefault="00694C0F">
      <w:pPr>
        <w:pStyle w:val="Definition-Field2"/>
      </w:pPr>
      <w:r>
        <w:t>Office treats the field argument as the column with values to count.</w:t>
      </w:r>
    </w:p>
    <w:p w:rsidR="00024C0A" w:rsidRDefault="00694C0F">
      <w:pPr>
        <w:pStyle w:val="Heading3"/>
      </w:pPr>
      <w:bookmarkStart w:id="1865" w:name="section_9d863f40e03744bf958bdc158baf3397"/>
      <w:bookmarkStart w:id="1866" w:name="_Toc12260993"/>
      <w:r>
        <w:t>Part 1 Section 18.17.7.82, DCOUNTA</w:t>
      </w:r>
      <w:bookmarkEnd w:id="1865"/>
      <w:bookmarkEnd w:id="1866"/>
      <w:r>
        <w:fldChar w:fldCharType="begin"/>
      </w:r>
      <w:r>
        <w:instrText xml:space="preserve"> XE "DCOUNTA" </w:instrText>
      </w:r>
      <w:r>
        <w:fldChar w:fldCharType="end"/>
      </w:r>
    </w:p>
    <w:p w:rsidR="00024C0A" w:rsidRDefault="00694C0F">
      <w:pPr>
        <w:pStyle w:val="Definition-Field"/>
      </w:pPr>
      <w:r>
        <w:t xml:space="preserve">a.   </w:t>
      </w:r>
      <w:r>
        <w:rPr>
          <w:i/>
        </w:rPr>
        <w:t>The standard states that the field argument is the column to which</w:t>
      </w:r>
      <w:r>
        <w:rPr>
          <w:i/>
        </w:rPr>
        <w:t xml:space="preserve"> criteria shall be applied.</w:t>
      </w:r>
    </w:p>
    <w:p w:rsidR="00024C0A" w:rsidRDefault="00694C0F">
      <w:pPr>
        <w:pStyle w:val="Definition-Field2"/>
      </w:pPr>
      <w:r>
        <w:t>Office treats the field argument as the column with values to count.</w:t>
      </w:r>
    </w:p>
    <w:p w:rsidR="00024C0A" w:rsidRDefault="00694C0F">
      <w:pPr>
        <w:pStyle w:val="Heading3"/>
      </w:pPr>
      <w:bookmarkStart w:id="1867" w:name="section_23d8e559f4544723822a8e219ab9992e"/>
      <w:bookmarkStart w:id="1868" w:name="_Toc12260994"/>
      <w:r>
        <w:t>Part 1 Section 18.17.7.83, DDB</w:t>
      </w:r>
      <w:bookmarkEnd w:id="1867"/>
      <w:bookmarkEnd w:id="1868"/>
      <w:r>
        <w:fldChar w:fldCharType="begin"/>
      </w:r>
      <w:r>
        <w:instrText xml:space="preserve"> XE "DDB" </w:instrText>
      </w:r>
      <w:r>
        <w:fldChar w:fldCharType="end"/>
      </w:r>
    </w:p>
    <w:p w:rsidR="00024C0A" w:rsidRDefault="00694C0F">
      <w:pPr>
        <w:pStyle w:val="Definition-Field"/>
      </w:pPr>
      <w:r>
        <w:t xml:space="preserve">a.   </w:t>
      </w:r>
      <w:r>
        <w:rPr>
          <w:i/>
        </w:rPr>
        <w:t>The standard states that if the cost life argument is less than or equal to 0, then #NUM! is returned.</w:t>
      </w:r>
    </w:p>
    <w:p w:rsidR="00024C0A" w:rsidRDefault="00694C0F">
      <w:pPr>
        <w:pStyle w:val="Definition-Field2"/>
      </w:pPr>
      <w:r>
        <w:lastRenderedPageBreak/>
        <w:t>Office r</w:t>
      </w:r>
      <w:r>
        <w:t>eturns #NUM! if the cost argument is less than 0.</w:t>
      </w:r>
    </w:p>
    <w:p w:rsidR="00024C0A" w:rsidRDefault="00694C0F">
      <w:pPr>
        <w:pStyle w:val="Definition-Field"/>
      </w:pPr>
      <w:r>
        <w:t xml:space="preserve">b.   </w:t>
      </w:r>
      <w:r>
        <w:rPr>
          <w:i/>
        </w:rPr>
        <w:t>The standard does not specify the return value if period &gt; life.</w:t>
      </w:r>
    </w:p>
    <w:p w:rsidR="00024C0A" w:rsidRDefault="00694C0F">
      <w:pPr>
        <w:pStyle w:val="Definition-Field2"/>
      </w:pPr>
      <w:r>
        <w:t>Office returns #NUM! if period &gt; life.</w:t>
      </w:r>
    </w:p>
    <w:p w:rsidR="00024C0A" w:rsidRDefault="00694C0F">
      <w:pPr>
        <w:pStyle w:val="Definition-Field"/>
      </w:pPr>
      <w:r>
        <w:t xml:space="preserve">c.   </w:t>
      </w:r>
      <w:r>
        <w:rPr>
          <w:i/>
        </w:rPr>
        <w:t xml:space="preserve">The standard states that the syntax is: DDB  (  cost  ,  salvage  ,  life  ,  period  [  ,  </w:t>
      </w:r>
      <w:r>
        <w:rPr>
          <w:i/>
        </w:rPr>
        <w:t>factor  ] ]  ).</w:t>
      </w:r>
    </w:p>
    <w:p w:rsidR="00024C0A" w:rsidRDefault="00694C0F">
      <w:pPr>
        <w:pStyle w:val="Definition-Field2"/>
      </w:pPr>
      <w:r>
        <w:t>Office uses the following syntax: DDB  (  cost  ,  salvage  ,  life  ,  period  [  ,  factor  ]  ).</w:t>
      </w:r>
    </w:p>
    <w:p w:rsidR="00024C0A" w:rsidRDefault="00694C0F">
      <w:pPr>
        <w:pStyle w:val="Heading3"/>
      </w:pPr>
      <w:bookmarkStart w:id="1869" w:name="section_7cfe0e73dd0844b981fdc615f73ce6af"/>
      <w:bookmarkStart w:id="1870" w:name="_Toc12260995"/>
      <w:r>
        <w:t>Part 1 Section 18.17.7.84, DEC2BIN</w:t>
      </w:r>
      <w:bookmarkEnd w:id="1869"/>
      <w:bookmarkEnd w:id="1870"/>
      <w:r>
        <w:fldChar w:fldCharType="begin"/>
      </w:r>
      <w:r>
        <w:instrText xml:space="preserve"> XE "DEC2BIN" </w:instrText>
      </w:r>
      <w:r>
        <w:fldChar w:fldCharType="end"/>
      </w:r>
    </w:p>
    <w:p w:rsidR="00024C0A" w:rsidRDefault="00694C0F">
      <w:pPr>
        <w:pStyle w:val="Definition-Field"/>
      </w:pPr>
      <w:r>
        <w:t xml:space="preserve">a.   </w:t>
      </w:r>
      <w:r>
        <w:rPr>
          <w:i/>
        </w:rPr>
        <w:t>The standard defines the number argument as a decimal number.</w:t>
      </w:r>
    </w:p>
    <w:p w:rsidR="00024C0A" w:rsidRDefault="00694C0F">
      <w:pPr>
        <w:pStyle w:val="Definition-Field2"/>
      </w:pPr>
      <w:r>
        <w:t>Office truncates the n</w:t>
      </w:r>
      <w:r>
        <w:t>umber argument to a decimal integer.</w:t>
      </w:r>
    </w:p>
    <w:p w:rsidR="00024C0A" w:rsidRDefault="00694C0F">
      <w:pPr>
        <w:pStyle w:val="Heading3"/>
      </w:pPr>
      <w:bookmarkStart w:id="1871" w:name="section_bc120263421b490faae7da0c6026ca7a"/>
      <w:bookmarkStart w:id="1872" w:name="_Toc12260996"/>
      <w:r>
        <w:t>Part 1 Section 18.17.7.85, DEC2HEX</w:t>
      </w:r>
      <w:bookmarkEnd w:id="1871"/>
      <w:bookmarkEnd w:id="1872"/>
      <w:r>
        <w:fldChar w:fldCharType="begin"/>
      </w:r>
      <w:r>
        <w:instrText xml:space="preserve"> XE "DEC2HEX" </w:instrText>
      </w:r>
      <w:r>
        <w:fldChar w:fldCharType="end"/>
      </w:r>
    </w:p>
    <w:p w:rsidR="00024C0A" w:rsidRDefault="00694C0F">
      <w:pPr>
        <w:pStyle w:val="Definition-Field"/>
      </w:pPr>
      <w:r>
        <w:t xml:space="preserve">a.   </w:t>
      </w:r>
      <w:r>
        <w:rPr>
          <w:i/>
        </w:rPr>
        <w:t>The standard defines the number argument as a decimal number.</w:t>
      </w:r>
    </w:p>
    <w:p w:rsidR="00024C0A" w:rsidRDefault="00694C0F">
      <w:pPr>
        <w:pStyle w:val="Definition-Field2"/>
      </w:pPr>
      <w:r>
        <w:t>Office truncates the number argument to a decimal integer.</w:t>
      </w:r>
    </w:p>
    <w:p w:rsidR="00024C0A" w:rsidRDefault="00694C0F">
      <w:pPr>
        <w:pStyle w:val="Heading3"/>
      </w:pPr>
      <w:bookmarkStart w:id="1873" w:name="section_7556f95cd5e84ceca3354ace0aa5ef09"/>
      <w:bookmarkStart w:id="1874" w:name="_Toc12260997"/>
      <w:r>
        <w:t>Part 1 Section 18.17.7.86, DEC2OCT</w:t>
      </w:r>
      <w:bookmarkEnd w:id="1873"/>
      <w:bookmarkEnd w:id="1874"/>
      <w:r>
        <w:fldChar w:fldCharType="begin"/>
      </w:r>
      <w:r>
        <w:instrText xml:space="preserve"> XE "DEC2OCT" </w:instrText>
      </w:r>
      <w:r>
        <w:fldChar w:fldCharType="end"/>
      </w:r>
    </w:p>
    <w:p w:rsidR="00024C0A" w:rsidRDefault="00694C0F">
      <w:pPr>
        <w:pStyle w:val="Definition-Field"/>
      </w:pPr>
      <w:r>
        <w:t xml:space="preserve">a.   </w:t>
      </w:r>
      <w:r>
        <w:rPr>
          <w:i/>
        </w:rPr>
        <w:t>The standard defines the number argument as a decimal number.</w:t>
      </w:r>
    </w:p>
    <w:p w:rsidR="00024C0A" w:rsidRDefault="00694C0F">
      <w:pPr>
        <w:pStyle w:val="Definition-Field2"/>
      </w:pPr>
      <w:r>
        <w:t>Office truncates the number argument to a decimal integer.</w:t>
      </w:r>
    </w:p>
    <w:p w:rsidR="00024C0A" w:rsidRDefault="00694C0F">
      <w:pPr>
        <w:pStyle w:val="Heading3"/>
      </w:pPr>
      <w:bookmarkStart w:id="1875" w:name="section_380b2e0778094280a39e0eec38e2e71d"/>
      <w:bookmarkStart w:id="1876" w:name="_Toc12260998"/>
      <w:r>
        <w:t>Part 1 Section 18.17.7.89, DEVSQ</w:t>
      </w:r>
      <w:bookmarkEnd w:id="1875"/>
      <w:bookmarkEnd w:id="1876"/>
      <w:r>
        <w:fldChar w:fldCharType="begin"/>
      </w:r>
      <w:r>
        <w:instrText xml:space="preserve"> XE "DEVSQ" </w:instrText>
      </w:r>
      <w:r>
        <w:fldChar w:fldCharType="end"/>
      </w:r>
    </w:p>
    <w:p w:rsidR="00024C0A" w:rsidRDefault="00694C0F">
      <w:pPr>
        <w:pStyle w:val="Definition-Field"/>
      </w:pPr>
      <w:r>
        <w:t xml:space="preserve">a.   </w:t>
      </w:r>
      <w:r>
        <w:rPr>
          <w:i/>
        </w:rPr>
        <w:t>The standard does not specify the return value when the argum</w:t>
      </w:r>
      <w:r>
        <w:rPr>
          <w:i/>
        </w:rPr>
        <w:t>ent is an array or a reference that contains only text, logical values, or empty cells.</w:t>
      </w:r>
    </w:p>
    <w:p w:rsidR="00024C0A" w:rsidRDefault="00694C0F">
      <w:pPr>
        <w:pStyle w:val="Definition-Field2"/>
      </w:pPr>
      <w:r>
        <w:t>Office returns #NUM! when argument is an array or a reference that contains only text, logical values, or empty cells.</w:t>
      </w:r>
    </w:p>
    <w:p w:rsidR="00024C0A" w:rsidRDefault="00694C0F">
      <w:pPr>
        <w:pStyle w:val="Heading3"/>
      </w:pPr>
      <w:bookmarkStart w:id="1877" w:name="section_53cd50963b4d41f8bb3566dd020960bb"/>
      <w:bookmarkStart w:id="1878" w:name="_Toc12260999"/>
      <w:r>
        <w:t>Part 1 Section 18.17.7.90, DGET</w:t>
      </w:r>
      <w:bookmarkEnd w:id="1877"/>
      <w:bookmarkEnd w:id="1878"/>
      <w:r>
        <w:fldChar w:fldCharType="begin"/>
      </w:r>
      <w:r>
        <w:instrText xml:space="preserve"> XE "DGET" </w:instrText>
      </w:r>
      <w:r>
        <w:fldChar w:fldCharType="end"/>
      </w:r>
    </w:p>
    <w:p w:rsidR="00024C0A" w:rsidRDefault="00694C0F">
      <w:pPr>
        <w:pStyle w:val="Definition-Field"/>
      </w:pPr>
      <w:r>
        <w:t xml:space="preserve">a.  </w:t>
      </w:r>
      <w:r>
        <w:t xml:space="preserve"> </w:t>
      </w:r>
      <w:r>
        <w:rPr>
          <w:i/>
        </w:rPr>
        <w:t>The standard states that argument field is the column to which criteria shall be applied.</w:t>
      </w:r>
    </w:p>
    <w:p w:rsidR="00024C0A" w:rsidRDefault="00694C0F">
      <w:pPr>
        <w:pStyle w:val="Definition-Field2"/>
      </w:pPr>
      <w:r>
        <w:t>Office treats argument field as the column containing the value to get.</w:t>
      </w:r>
    </w:p>
    <w:p w:rsidR="00024C0A" w:rsidRDefault="00694C0F">
      <w:pPr>
        <w:pStyle w:val="Heading3"/>
      </w:pPr>
      <w:bookmarkStart w:id="1879" w:name="section_e0c10da50878451da411270f6f96ef6e"/>
      <w:bookmarkStart w:id="1880" w:name="_Toc12261000"/>
      <w:r>
        <w:t>Part 1 Section 18.17.7.91, DISC</w:t>
      </w:r>
      <w:bookmarkEnd w:id="1879"/>
      <w:bookmarkEnd w:id="1880"/>
      <w:r>
        <w:fldChar w:fldCharType="begin"/>
      </w:r>
      <w:r>
        <w:instrText xml:space="preserve"> XE "DISC" </w:instrText>
      </w:r>
      <w:r>
        <w:fldChar w:fldCharType="end"/>
      </w:r>
    </w:p>
    <w:p w:rsidR="00024C0A" w:rsidRDefault="00694C0F">
      <w:pPr>
        <w:pStyle w:val="Definition-Field"/>
      </w:pPr>
      <w:r>
        <w:t xml:space="preserve">a.   </w:t>
      </w:r>
      <w:r>
        <w:rPr>
          <w:i/>
        </w:rPr>
        <w:t xml:space="preserve">The standard states the pr argument is the </w:t>
      </w:r>
      <w:r>
        <w:rPr>
          <w:i/>
        </w:rPr>
        <w:t>security's price per $100 face value.</w:t>
      </w:r>
    </w:p>
    <w:p w:rsidR="00024C0A" w:rsidRDefault="00694C0F">
      <w:pPr>
        <w:pStyle w:val="Definition-Field2"/>
      </w:pPr>
      <w:r>
        <w:t>Office treats the pr argument as the price per 100 currency units face value.</w:t>
      </w:r>
    </w:p>
    <w:p w:rsidR="00024C0A" w:rsidRDefault="00694C0F">
      <w:pPr>
        <w:pStyle w:val="Definition-Field"/>
      </w:pPr>
      <w:r>
        <w:t xml:space="preserve">b.   </w:t>
      </w:r>
      <w:r>
        <w:rPr>
          <w:i/>
        </w:rPr>
        <w:t>The standard states the redemption argument is the security's redemption value per $100 face value.</w:t>
      </w:r>
    </w:p>
    <w:p w:rsidR="00024C0A" w:rsidRDefault="00694C0F">
      <w:pPr>
        <w:pStyle w:val="Definition-Field2"/>
      </w:pPr>
      <w:r>
        <w:t xml:space="preserve">Office treats the redemption </w:t>
      </w:r>
      <w:r>
        <w:t>argument as the security's redemption value per 100 currency units face value.</w:t>
      </w:r>
    </w:p>
    <w:p w:rsidR="00024C0A" w:rsidRDefault="00694C0F">
      <w:pPr>
        <w:pStyle w:val="Definition-Field"/>
      </w:pPr>
      <w:r>
        <w:t xml:space="preserve">c.   </w:t>
      </w:r>
      <w:r>
        <w:rPr>
          <w:i/>
        </w:rPr>
        <w:t>The standard does not specify day and month adjustments for the basis argument.</w:t>
      </w:r>
    </w:p>
    <w:p w:rsidR="00024C0A" w:rsidRDefault="00694C0F">
      <w:r>
        <w:t xml:space="preserve">In Excel, the </w:t>
      </w:r>
      <w:r>
        <w:rPr>
          <w:i/>
        </w:rPr>
        <w:t>basis</w:t>
      </w:r>
      <w:r>
        <w:rPr>
          <w:b/>
          <w:i/>
        </w:rPr>
        <w:t xml:space="preserve"> </w:t>
      </w:r>
      <w:r>
        <w:t>argument specifies the truncated integer type of day count basis to use,</w:t>
      </w:r>
      <w:r>
        <w:t xml:space="preserve"> as follows:</w:t>
      </w:r>
    </w:p>
    <w:tbl>
      <w:tblPr>
        <w:tblStyle w:val="Table-ShadedHeader"/>
        <w:tblW w:w="0" w:type="auto"/>
        <w:tblLook w:val="04A0" w:firstRow="1" w:lastRow="0" w:firstColumn="1" w:lastColumn="0" w:noHBand="0" w:noVBand="1"/>
      </w:tblPr>
      <w:tblGrid>
        <w:gridCol w:w="939"/>
        <w:gridCol w:w="853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lastRenderedPageBreak/>
              <w:t>Value</w:t>
            </w:r>
          </w:p>
        </w:tc>
        <w:tc>
          <w:tcPr>
            <w:tcW w:w="0" w:type="auto"/>
            <w:vAlign w:val="center"/>
          </w:tcPr>
          <w:p w:rsidR="00024C0A" w:rsidRDefault="00694C0F">
            <w:pPr>
              <w:pStyle w:val="TableHeaderText"/>
            </w:pPr>
            <w:r>
              <w:t>Day Count Basis</w:t>
            </w:r>
          </w:p>
        </w:tc>
      </w:tr>
      <w:tr w:rsidR="00024C0A" w:rsidTr="00024C0A">
        <w:tc>
          <w:tcPr>
            <w:tcW w:w="0" w:type="auto"/>
            <w:vAlign w:val="center"/>
          </w:tcPr>
          <w:p w:rsidR="00024C0A" w:rsidRDefault="00694C0F">
            <w:pPr>
              <w:pStyle w:val="TableBodyText"/>
            </w:pPr>
            <w:r>
              <w:rPr>
                <w:rStyle w:val="InlineCode"/>
              </w:rPr>
              <w:t>0</w:t>
            </w:r>
            <w:r>
              <w:t xml:space="preserve"> or omitted</w:t>
            </w:r>
          </w:p>
        </w:tc>
        <w:tc>
          <w:tcPr>
            <w:tcW w:w="0" w:type="auto"/>
            <w:vAlign w:val="center"/>
          </w:tcPr>
          <w:p w:rsidR="00024C0A" w:rsidRDefault="00694C0F">
            <w:pPr>
              <w:pStyle w:val="TableBodyText"/>
            </w:pPr>
            <w:r>
              <w:t>US (NASD) 30/360. If the dates are equal, the difference of days is 0. Assumes that each month has 30 days and the total number of days in the year is 360 by making the following adjustments:</w:t>
            </w:r>
          </w:p>
          <w:p w:rsidR="00024C0A" w:rsidRDefault="00694C0F">
            <w:pPr>
              <w:pStyle w:val="TableBodyText"/>
            </w:pPr>
            <w:r>
              <w:t>If both day-of-</w:t>
            </w:r>
            <w:r>
              <w:t>months are 31, they are changed to 30</w:t>
            </w:r>
          </w:p>
          <w:p w:rsidR="00024C0A" w:rsidRDefault="00694C0F">
            <w:pPr>
              <w:pStyle w:val="TableBodyText"/>
            </w:pPr>
            <w:r>
              <w:t>Otherwise, if date1’s day-of-month is 31, it is changed to 30</w:t>
            </w:r>
          </w:p>
          <w:p w:rsidR="00024C0A" w:rsidRDefault="00694C0F">
            <w:pPr>
              <w:pStyle w:val="TableBodyText"/>
            </w:pPr>
            <w:r>
              <w:t xml:space="preserve">Otherwise, if date1’s day-of-month is 30 and date2’s day-of-month is 31, date2’s day-of-month is changed to 30 (note that date2’s day-of-month will stay 31 </w:t>
            </w:r>
            <w:r>
              <w:t>if date1’s day &lt; 30)</w:t>
            </w:r>
          </w:p>
          <w:p w:rsidR="00024C0A" w:rsidRDefault="00694C0F">
            <w:pPr>
              <w:pStyle w:val="TableBodyText"/>
            </w:pPr>
            <w:r>
              <w:t>Otherwise, if both dates are the last day of February in their respective years, both day-of-month is changed to 30</w:t>
            </w:r>
          </w:p>
          <w:p w:rsidR="00024C0A" w:rsidRDefault="00694C0F">
            <w:pPr>
              <w:pStyle w:val="TableBodyText"/>
            </w:pPr>
            <w:r>
              <w:t>Otherwise, if date1 is the last day of February, its day-of-month is changed to 30</w:t>
            </w:r>
          </w:p>
        </w:tc>
      </w:tr>
      <w:tr w:rsidR="00024C0A" w:rsidTr="00024C0A">
        <w:tc>
          <w:tcPr>
            <w:tcW w:w="0" w:type="auto"/>
            <w:vAlign w:val="center"/>
          </w:tcPr>
          <w:p w:rsidR="00024C0A" w:rsidRDefault="00694C0F">
            <w:pPr>
              <w:pStyle w:val="TableBodyText"/>
            </w:pPr>
            <w:r>
              <w:rPr>
                <w:rStyle w:val="InlineCode"/>
              </w:rPr>
              <w:t>1</w:t>
            </w:r>
          </w:p>
        </w:tc>
        <w:tc>
          <w:tcPr>
            <w:tcW w:w="0" w:type="auto"/>
            <w:vAlign w:val="center"/>
          </w:tcPr>
          <w:p w:rsidR="00024C0A" w:rsidRDefault="00694C0F">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24C0A" w:rsidRDefault="00024C0A">
            <w:pPr>
              <w:pStyle w:val="TableBodyText"/>
            </w:pPr>
          </w:p>
          <w:p w:rsidR="00024C0A" w:rsidRDefault="00694C0F">
            <w:pPr>
              <w:pStyle w:val="TableBodyText"/>
            </w:pPr>
            <w:r>
              <w:t>To det</w:t>
            </w:r>
            <w:r>
              <w:t>ermine if date1 and date2 are “less than or equal to a year apart” for purposes of this algorithm, one of these conditions must be true:</w:t>
            </w:r>
          </w:p>
          <w:p w:rsidR="00024C0A" w:rsidRDefault="00694C0F">
            <w:pPr>
              <w:pStyle w:val="ListParagraph"/>
              <w:numPr>
                <w:ilvl w:val="0"/>
                <w:numId w:val="92"/>
              </w:numPr>
            </w:pPr>
            <w:r>
              <w:t>The two dates have the same year</w:t>
            </w:r>
          </w:p>
          <w:p w:rsidR="00024C0A" w:rsidRDefault="00694C0F">
            <w:pPr>
              <w:pStyle w:val="ListParagraph"/>
              <w:numPr>
                <w:ilvl w:val="0"/>
                <w:numId w:val="93"/>
              </w:numPr>
            </w:pPr>
            <w:r>
              <w:t>Date2’s year is exactly one more than date1’s year, and ((date1.month &gt; date2.month) o</w:t>
            </w:r>
            <w:r>
              <w:t>r ((date1.month == date2.month) and (date1.day &gt;= date2.day)))</w:t>
            </w:r>
          </w:p>
        </w:tc>
      </w:tr>
      <w:tr w:rsidR="00024C0A" w:rsidTr="00024C0A">
        <w:tc>
          <w:tcPr>
            <w:tcW w:w="0" w:type="auto"/>
            <w:vAlign w:val="center"/>
          </w:tcPr>
          <w:p w:rsidR="00024C0A" w:rsidRDefault="00694C0F">
            <w:pPr>
              <w:pStyle w:val="TableBodyText"/>
            </w:pPr>
            <w:r>
              <w:rPr>
                <w:rStyle w:val="InlineCode"/>
              </w:rPr>
              <w:t>2</w:t>
            </w:r>
          </w:p>
        </w:tc>
        <w:tc>
          <w:tcPr>
            <w:tcW w:w="0" w:type="auto"/>
            <w:vAlign w:val="center"/>
          </w:tcPr>
          <w:p w:rsidR="00024C0A" w:rsidRDefault="00694C0F">
            <w:pPr>
              <w:pStyle w:val="TableBodyText"/>
            </w:pPr>
            <w:r>
              <w:t>Actual/360. Computes the actual difference in days, and presumes there are always 360 days per year.</w:t>
            </w:r>
          </w:p>
        </w:tc>
      </w:tr>
      <w:tr w:rsidR="00024C0A" w:rsidTr="00024C0A">
        <w:tc>
          <w:tcPr>
            <w:tcW w:w="0" w:type="auto"/>
            <w:vAlign w:val="center"/>
          </w:tcPr>
          <w:p w:rsidR="00024C0A" w:rsidRDefault="00694C0F">
            <w:pPr>
              <w:pStyle w:val="TableBodyText"/>
            </w:pPr>
            <w:r>
              <w:rPr>
                <w:rStyle w:val="InlineCode"/>
              </w:rPr>
              <w:t>3</w:t>
            </w:r>
          </w:p>
        </w:tc>
        <w:tc>
          <w:tcPr>
            <w:tcW w:w="0" w:type="auto"/>
            <w:vAlign w:val="center"/>
          </w:tcPr>
          <w:p w:rsidR="00024C0A" w:rsidRDefault="00694C0F">
            <w:pPr>
              <w:pStyle w:val="TableBodyText"/>
            </w:pPr>
            <w:r>
              <w:t xml:space="preserve">Actual/365. Computes the actual difference in days, and presumes there are always 365 </w:t>
            </w:r>
            <w:r>
              <w:t>days per year.</w:t>
            </w:r>
          </w:p>
        </w:tc>
      </w:tr>
      <w:tr w:rsidR="00024C0A" w:rsidTr="00024C0A">
        <w:tc>
          <w:tcPr>
            <w:tcW w:w="0" w:type="auto"/>
            <w:vAlign w:val="center"/>
          </w:tcPr>
          <w:p w:rsidR="00024C0A" w:rsidRDefault="00694C0F">
            <w:pPr>
              <w:pStyle w:val="TableBodyText"/>
            </w:pPr>
            <w:r>
              <w:rPr>
                <w:rStyle w:val="InlineCode"/>
              </w:rPr>
              <w:t>4</w:t>
            </w:r>
          </w:p>
        </w:tc>
        <w:tc>
          <w:tcPr>
            <w:tcW w:w="0" w:type="auto"/>
            <w:vAlign w:val="center"/>
          </w:tcPr>
          <w:p w:rsidR="00024C0A" w:rsidRDefault="00694C0F">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024C0A" w:rsidRDefault="00024C0A"/>
    <w:p w:rsidR="00024C0A" w:rsidRDefault="00694C0F">
      <w:pPr>
        <w:pStyle w:val="Definition-Field"/>
      </w:pPr>
      <w:r>
        <w:t xml:space="preserve">d.   </w:t>
      </w:r>
      <w:r>
        <w:rPr>
          <w:i/>
        </w:rPr>
        <w:t>The standard states that the formula for DISC has par as the denominator.</w:t>
      </w:r>
    </w:p>
    <w:p w:rsidR="00024C0A" w:rsidRDefault="00694C0F">
      <w:pPr>
        <w:pStyle w:val="Definition-Field2"/>
      </w:pPr>
      <w:r>
        <w:t>Office requires the formula to have redemption in the denominator instea</w:t>
      </w:r>
      <w:r>
        <w:t>d of par.</w:t>
      </w:r>
    </w:p>
    <w:p w:rsidR="00024C0A" w:rsidRDefault="00694C0F">
      <w:pPr>
        <w:pStyle w:val="Heading3"/>
      </w:pPr>
      <w:bookmarkStart w:id="1881" w:name="section_aa3e1f3eb51c4330af60fdcf8e8f943c"/>
      <w:bookmarkStart w:id="1882" w:name="_Toc12261001"/>
      <w:r>
        <w:t>Part 1 Section 18.17.7.92, DMAX</w:t>
      </w:r>
      <w:bookmarkEnd w:id="1881"/>
      <w:bookmarkEnd w:id="1882"/>
      <w:r>
        <w:fldChar w:fldCharType="begin"/>
      </w:r>
      <w:r>
        <w:instrText xml:space="preserve"> XE "DMAX" </w:instrText>
      </w:r>
      <w:r>
        <w:fldChar w:fldCharType="end"/>
      </w:r>
    </w:p>
    <w:p w:rsidR="00024C0A" w:rsidRDefault="00694C0F">
      <w:pPr>
        <w:pStyle w:val="Definition-Field"/>
      </w:pPr>
      <w:r>
        <w:t xml:space="preserve">a.   </w:t>
      </w:r>
      <w:r>
        <w:rPr>
          <w:i/>
        </w:rPr>
        <w:t>The standard states that the field argument is the column to which criteria shall be applied.</w:t>
      </w:r>
    </w:p>
    <w:p w:rsidR="00024C0A" w:rsidRDefault="00694C0F">
      <w:pPr>
        <w:pStyle w:val="Definition-Field2"/>
      </w:pPr>
      <w:r>
        <w:t>Office treats the field argument as the column for which to find the maximum.</w:t>
      </w:r>
    </w:p>
    <w:p w:rsidR="00024C0A" w:rsidRDefault="00694C0F">
      <w:pPr>
        <w:pStyle w:val="Heading3"/>
      </w:pPr>
      <w:bookmarkStart w:id="1883" w:name="section_24c5d4171ace4d9fafce3baa0a6bde27"/>
      <w:bookmarkStart w:id="1884" w:name="_Toc12261002"/>
      <w:r>
        <w:t>Part 1 Section 18.17.7.93, DMIN</w:t>
      </w:r>
      <w:bookmarkEnd w:id="1883"/>
      <w:bookmarkEnd w:id="1884"/>
      <w:r>
        <w:fldChar w:fldCharType="begin"/>
      </w:r>
      <w:r>
        <w:instrText xml:space="preserve"> XE "DMIN" </w:instrText>
      </w:r>
      <w:r>
        <w:fldChar w:fldCharType="end"/>
      </w:r>
    </w:p>
    <w:p w:rsidR="00024C0A" w:rsidRDefault="00694C0F">
      <w:pPr>
        <w:pStyle w:val="Definition-Field"/>
      </w:pPr>
      <w:r>
        <w:t xml:space="preserve">a.   </w:t>
      </w:r>
      <w:r>
        <w:rPr>
          <w:i/>
        </w:rPr>
        <w:t>The standard states that the field argument is the column to which criteria shall be applied.</w:t>
      </w:r>
    </w:p>
    <w:p w:rsidR="00024C0A" w:rsidRDefault="00694C0F">
      <w:pPr>
        <w:pStyle w:val="Definition-Field2"/>
      </w:pPr>
      <w:r>
        <w:t>Office treats the field argument as the column for which to find the minimum.</w:t>
      </w:r>
    </w:p>
    <w:p w:rsidR="00024C0A" w:rsidRDefault="00694C0F">
      <w:pPr>
        <w:pStyle w:val="Heading3"/>
      </w:pPr>
      <w:bookmarkStart w:id="1885" w:name="section_8c4980c3abb244b887910b5b00c8546a"/>
      <w:bookmarkStart w:id="1886" w:name="_Toc12261003"/>
      <w:r>
        <w:lastRenderedPageBreak/>
        <w:t>Part 1 Section 18.17.7.94, DOLLAR</w:t>
      </w:r>
      <w:bookmarkEnd w:id="1885"/>
      <w:bookmarkEnd w:id="1886"/>
      <w:r>
        <w:fldChar w:fldCharType="begin"/>
      </w:r>
      <w:r>
        <w:instrText xml:space="preserve"> </w:instrText>
      </w:r>
      <w:r>
        <w:instrText xml:space="preserve">XE "DOLLAR" </w:instrText>
      </w:r>
      <w:r>
        <w:fldChar w:fldCharType="end"/>
      </w:r>
    </w:p>
    <w:p w:rsidR="00024C0A" w:rsidRDefault="00694C0F">
      <w:pPr>
        <w:pStyle w:val="Definition-Field"/>
      </w:pPr>
      <w:r>
        <w:t xml:space="preserve">a.   </w:t>
      </w:r>
      <w:r>
        <w:rPr>
          <w:i/>
        </w:rPr>
        <w:t>The standard states that the thousands separator, radix point, and currency symbol are locale-specific. The format used is $#,##0.00;$(#,##0.00).</w:t>
      </w:r>
    </w:p>
    <w:p w:rsidR="00024C0A" w:rsidRDefault="00694C0F">
      <w:pPr>
        <w:pStyle w:val="Definition-Field2"/>
      </w:pPr>
      <w:r>
        <w:t>Office treats the thousands separator, radix point, and currency symbol to be implementati</w:t>
      </w:r>
      <w:r>
        <w:t>on-specific.</w:t>
      </w:r>
    </w:p>
    <w:p w:rsidR="00024C0A" w:rsidRDefault="00694C0F">
      <w:pPr>
        <w:pStyle w:val="Definition-Field"/>
      </w:pPr>
      <w:r>
        <w:t xml:space="preserve">b.   </w:t>
      </w:r>
      <w:r>
        <w:rPr>
          <w:i/>
        </w:rPr>
        <w:t>The standard does not specify the return value if the num-decimal argument is greater than 127.</w:t>
      </w:r>
    </w:p>
    <w:p w:rsidR="00024C0A" w:rsidRDefault="00694C0F">
      <w:pPr>
        <w:pStyle w:val="Definition-Field2"/>
      </w:pPr>
      <w:r>
        <w:t>Office returns #VALUE! if the num-decimal argument is greater than 127.</w:t>
      </w:r>
    </w:p>
    <w:p w:rsidR="00024C0A" w:rsidRDefault="00694C0F">
      <w:pPr>
        <w:pStyle w:val="Heading3"/>
      </w:pPr>
      <w:bookmarkStart w:id="1887" w:name="section_9db144490d4049699ce7de5c45e6f786"/>
      <w:bookmarkStart w:id="1888" w:name="_Toc12261004"/>
      <w:r>
        <w:t>Part 1 Section 18.17.7.95, DOLLARDE</w:t>
      </w:r>
      <w:bookmarkEnd w:id="1887"/>
      <w:bookmarkEnd w:id="1888"/>
      <w:r>
        <w:fldChar w:fldCharType="begin"/>
      </w:r>
      <w:r>
        <w:instrText xml:space="preserve"> XE "DOLLARDE" </w:instrText>
      </w:r>
      <w:r>
        <w:fldChar w:fldCharType="end"/>
      </w:r>
    </w:p>
    <w:p w:rsidR="00024C0A" w:rsidRDefault="00694C0F">
      <w:pPr>
        <w:pStyle w:val="Definition-Field"/>
      </w:pPr>
      <w:r>
        <w:t xml:space="preserve">a.   </w:t>
      </w:r>
      <w:r>
        <w:rPr>
          <w:i/>
        </w:rPr>
        <w:t>The standard</w:t>
      </w:r>
      <w:r>
        <w:rPr>
          <w:i/>
        </w:rPr>
        <w:t xml:space="preserve"> does not specify how the return value is calculated.</w:t>
      </w:r>
    </w:p>
    <w:p w:rsidR="00024C0A" w:rsidRDefault="00694C0F">
      <w:r>
        <w:t>In Excel, the fractional part of fractional-dollar is scaled to match the magnitude of fraction by moving the decimal place right by the number of digits in fraction.  The fractional-dollarm.n is comput</w:t>
      </w:r>
      <w:r>
        <w:t>ed into a decimal dollar value as m + i, where i is an intermediate result equal to (((0.n)*(10x))/fraction), and x is the base 10 log of fraction, rounded up to the nearest whole number.</w:t>
      </w:r>
    </w:p>
    <w:p w:rsidR="00024C0A" w:rsidRDefault="00694C0F">
      <w:r>
        <w:t>[Example: Given a fractional-dollar value of 1.02 and a fraction val</w:t>
      </w:r>
      <w:r>
        <w:t>ue of 16, the fractional part of fractional-dollar is multiplied by 100, giving a value of 2 to be divided by fraction before being added to the integral part of fractional-dollar, yielding a decimal price of 1.125. end example]</w:t>
      </w:r>
    </w:p>
    <w:p w:rsidR="00024C0A" w:rsidRDefault="00694C0F">
      <w:pPr>
        <w:pStyle w:val="Definition-Field"/>
      </w:pPr>
      <w:r>
        <w:t xml:space="preserve">b.   </w:t>
      </w:r>
      <w:r>
        <w:rPr>
          <w:i/>
        </w:rPr>
        <w:t>The standard states th</w:t>
      </w:r>
      <w:r>
        <w:rPr>
          <w:i/>
        </w:rPr>
        <w:t>at argument fractional-dollar is the number expressed as a fraction.</w:t>
      </w:r>
    </w:p>
    <w:p w:rsidR="00024C0A" w:rsidRDefault="00694C0F">
      <w:pPr>
        <w:pStyle w:val="Definition-Field2"/>
      </w:pPr>
      <w:r>
        <w:t>Office treats argument fractional-dollar as the number to be interpreted as a fractional dollar price.</w:t>
      </w:r>
    </w:p>
    <w:p w:rsidR="00024C0A" w:rsidRDefault="00694C0F">
      <w:pPr>
        <w:pStyle w:val="Heading3"/>
      </w:pPr>
      <w:bookmarkStart w:id="1889" w:name="section_ecddd7b509c9434a845ef520c6384747"/>
      <w:bookmarkStart w:id="1890" w:name="_Toc12261005"/>
      <w:r>
        <w:t>Part 1 Section 18.17.7.96, DOLLARFR</w:t>
      </w:r>
      <w:bookmarkEnd w:id="1889"/>
      <w:bookmarkEnd w:id="1890"/>
      <w:r>
        <w:fldChar w:fldCharType="begin"/>
      </w:r>
      <w:r>
        <w:instrText xml:space="preserve"> XE "DOLLARFR" </w:instrText>
      </w:r>
      <w:r>
        <w:fldChar w:fldCharType="end"/>
      </w:r>
    </w:p>
    <w:p w:rsidR="00024C0A" w:rsidRDefault="00694C0F">
      <w:pPr>
        <w:pStyle w:val="Definition-Field"/>
      </w:pPr>
      <w:r>
        <w:t xml:space="preserve">a.   </w:t>
      </w:r>
      <w:r>
        <w:rPr>
          <w:i/>
        </w:rPr>
        <w:t>The standard does not spec</w:t>
      </w:r>
      <w:r>
        <w:rPr>
          <w:i/>
        </w:rPr>
        <w:t>ify how the return value is calculated.</w:t>
      </w:r>
    </w:p>
    <w:p w:rsidR="00024C0A" w:rsidRDefault="00694C0F">
      <w:r>
        <w:t>In Excel, the fractional part of the return value is scaled to have the same number of digits after the decimal point, as there are digits in fraction. [Example: DOLLARFR(1.125, 16) has a two-digit fraction value and</w:t>
      </w:r>
      <w:r>
        <w:t xml:space="preserve"> so returns the two-digit fractional number 1.02 end example] If an exact numerator cannot be found, the function returns the lowest numerator that could be used with fraction, multiplied by a power of ten. [Example: DOLLARFR(1.5,3) returns 1.15, as there </w:t>
      </w:r>
      <w:r>
        <w:t>is no exact fraction which satisfies n/3 = 0.5, and 15/30 represents the lowest power of ten fraction can be multiplied by to obtain an exact value. end example]</w:t>
      </w:r>
    </w:p>
    <w:p w:rsidR="00024C0A" w:rsidRDefault="00694C0F">
      <w:pPr>
        <w:pStyle w:val="Heading3"/>
      </w:pPr>
      <w:bookmarkStart w:id="1891" w:name="section_10229973494b4cf4bcdbe6e1d4f7dff4"/>
      <w:bookmarkStart w:id="1892" w:name="_Toc12261006"/>
      <w:r>
        <w:t>Part 1 Section 18.17.7.97, DPRODUCT</w:t>
      </w:r>
      <w:bookmarkEnd w:id="1891"/>
      <w:bookmarkEnd w:id="1892"/>
      <w:r>
        <w:fldChar w:fldCharType="begin"/>
      </w:r>
      <w:r>
        <w:instrText xml:space="preserve"> XE "DPRODUCT" </w:instrText>
      </w:r>
      <w:r>
        <w:fldChar w:fldCharType="end"/>
      </w:r>
    </w:p>
    <w:p w:rsidR="00024C0A" w:rsidRDefault="00694C0F">
      <w:pPr>
        <w:pStyle w:val="Definition-Field"/>
      </w:pPr>
      <w:r>
        <w:t xml:space="preserve">a.   </w:t>
      </w:r>
      <w:r>
        <w:rPr>
          <w:i/>
        </w:rPr>
        <w:t>The standard states that the field a</w:t>
      </w:r>
      <w:r>
        <w:rPr>
          <w:i/>
        </w:rPr>
        <w:t>rgument is the column to which criteria shall be applied.</w:t>
      </w:r>
    </w:p>
    <w:p w:rsidR="00024C0A" w:rsidRDefault="00694C0F">
      <w:pPr>
        <w:pStyle w:val="Definition-Field2"/>
      </w:pPr>
      <w:r>
        <w:t>Office treats the field argument as the column containing the values to be multiplied.</w:t>
      </w:r>
    </w:p>
    <w:p w:rsidR="00024C0A" w:rsidRDefault="00694C0F">
      <w:pPr>
        <w:pStyle w:val="Heading3"/>
      </w:pPr>
      <w:bookmarkStart w:id="1893" w:name="section_f4583c0d8f87480793ccf7144bb4901e"/>
      <w:bookmarkStart w:id="1894" w:name="_Toc12261007"/>
      <w:r>
        <w:t>Part 1 Section 18.17.7.98, DSTDEV</w:t>
      </w:r>
      <w:bookmarkEnd w:id="1893"/>
      <w:bookmarkEnd w:id="1894"/>
      <w:r>
        <w:fldChar w:fldCharType="begin"/>
      </w:r>
      <w:r>
        <w:instrText xml:space="preserve"> XE "DSTDEV" </w:instrText>
      </w:r>
      <w:r>
        <w:fldChar w:fldCharType="end"/>
      </w:r>
    </w:p>
    <w:p w:rsidR="00024C0A" w:rsidRDefault="00694C0F">
      <w:pPr>
        <w:pStyle w:val="Definition-Field"/>
      </w:pPr>
      <w:r>
        <w:t xml:space="preserve">a.   </w:t>
      </w:r>
      <w:r>
        <w:rPr>
          <w:i/>
        </w:rPr>
        <w:t>The standard states that the field argument is the column</w:t>
      </w:r>
      <w:r>
        <w:rPr>
          <w:i/>
        </w:rPr>
        <w:t xml:space="preserve"> to which criteria shall be applied.</w:t>
      </w:r>
    </w:p>
    <w:p w:rsidR="00024C0A" w:rsidRDefault="00694C0F">
      <w:pPr>
        <w:pStyle w:val="Definition-Field2"/>
      </w:pPr>
      <w:r>
        <w:t>Office treats the field argument as the column for which the standard deviation is to be computed.</w:t>
      </w:r>
    </w:p>
    <w:p w:rsidR="00024C0A" w:rsidRDefault="00694C0F">
      <w:pPr>
        <w:pStyle w:val="Heading3"/>
      </w:pPr>
      <w:bookmarkStart w:id="1895" w:name="section_c516d215cc2a472f98e9a3e4d454084a"/>
      <w:bookmarkStart w:id="1896" w:name="_Toc12261008"/>
      <w:r>
        <w:t>Part 1 Section 18.17.7.99, DSTDEVP</w:t>
      </w:r>
      <w:bookmarkEnd w:id="1895"/>
      <w:bookmarkEnd w:id="1896"/>
      <w:r>
        <w:fldChar w:fldCharType="begin"/>
      </w:r>
      <w:r>
        <w:instrText xml:space="preserve"> XE "DSTDEVP" </w:instrText>
      </w:r>
      <w:r>
        <w:fldChar w:fldCharType="end"/>
      </w:r>
    </w:p>
    <w:p w:rsidR="00024C0A" w:rsidRDefault="00694C0F">
      <w:pPr>
        <w:pStyle w:val="Definition-Field"/>
      </w:pPr>
      <w:r>
        <w:t xml:space="preserve">a.   </w:t>
      </w:r>
      <w:r>
        <w:rPr>
          <w:i/>
        </w:rPr>
        <w:t>The standard states that the field argument is the column to whi</w:t>
      </w:r>
      <w:r>
        <w:rPr>
          <w:i/>
        </w:rPr>
        <w:t>ch criteria shall be applied.</w:t>
      </w:r>
    </w:p>
    <w:p w:rsidR="00024C0A" w:rsidRDefault="00694C0F">
      <w:pPr>
        <w:pStyle w:val="Definition-Field2"/>
      </w:pPr>
      <w:r>
        <w:lastRenderedPageBreak/>
        <w:t>Office treats the field argument as the column for which the standard deviation is to be computed.</w:t>
      </w:r>
    </w:p>
    <w:p w:rsidR="00024C0A" w:rsidRDefault="00694C0F">
      <w:pPr>
        <w:pStyle w:val="Heading3"/>
      </w:pPr>
      <w:bookmarkStart w:id="1897" w:name="section_b9002f2fcbd749a7b93fef03eb167d0c"/>
      <w:bookmarkStart w:id="1898" w:name="_Toc12261009"/>
      <w:r>
        <w:t>Part 1 Section 18.17.7.100, DSUM</w:t>
      </w:r>
      <w:bookmarkEnd w:id="1897"/>
      <w:bookmarkEnd w:id="1898"/>
      <w:r>
        <w:fldChar w:fldCharType="begin"/>
      </w:r>
      <w:r>
        <w:instrText xml:space="preserve"> XE "DSUM" </w:instrText>
      </w:r>
      <w:r>
        <w:fldChar w:fldCharType="end"/>
      </w:r>
    </w:p>
    <w:p w:rsidR="00024C0A" w:rsidRDefault="00694C0F">
      <w:pPr>
        <w:pStyle w:val="Definition-Field"/>
      </w:pPr>
      <w:r>
        <w:t xml:space="preserve">a.   </w:t>
      </w:r>
      <w:r>
        <w:rPr>
          <w:i/>
        </w:rPr>
        <w:t xml:space="preserve">The standard states that the field argument is the column to which criteria </w:t>
      </w:r>
      <w:r>
        <w:rPr>
          <w:i/>
        </w:rPr>
        <w:t>shall be applied.</w:t>
      </w:r>
    </w:p>
    <w:p w:rsidR="00024C0A" w:rsidRDefault="00694C0F">
      <w:pPr>
        <w:pStyle w:val="Definition-Field2"/>
      </w:pPr>
      <w:r>
        <w:t>Office treats the field argument as the column for which the sum is to be computed.</w:t>
      </w:r>
    </w:p>
    <w:p w:rsidR="00024C0A" w:rsidRDefault="00694C0F">
      <w:pPr>
        <w:pStyle w:val="Heading3"/>
      </w:pPr>
      <w:bookmarkStart w:id="1899" w:name="section_68f1329a6d8f49d6ad141af208658265"/>
      <w:bookmarkStart w:id="1900" w:name="_Toc12261010"/>
      <w:r>
        <w:t>Part 1 Section 18.17.7.101, DURATION</w:t>
      </w:r>
      <w:bookmarkEnd w:id="1899"/>
      <w:bookmarkEnd w:id="1900"/>
      <w:r>
        <w:fldChar w:fldCharType="begin"/>
      </w:r>
      <w:r>
        <w:instrText xml:space="preserve"> XE "DURATION" </w:instrText>
      </w:r>
      <w:r>
        <w:fldChar w:fldCharType="end"/>
      </w:r>
    </w:p>
    <w:p w:rsidR="00024C0A" w:rsidRDefault="00694C0F">
      <w:pPr>
        <w:pStyle w:val="Definition-Field"/>
      </w:pPr>
      <w:r>
        <w:t xml:space="preserve">a.   </w:t>
      </w:r>
      <w:r>
        <w:rPr>
          <w:i/>
        </w:rPr>
        <w:t xml:space="preserve">The standard says that duration is defined as the weighted average of the present value of the </w:t>
      </w:r>
      <w:r>
        <w:rPr>
          <w:i/>
        </w:rPr>
        <w:t>cash flows and is used as a measure of a bond price's response to changes in yield.</w:t>
      </w:r>
    </w:p>
    <w:p w:rsidR="00024C0A" w:rsidRDefault="00694C0F">
      <w:pPr>
        <w:pStyle w:val="Definition-Field2"/>
      </w:pPr>
      <w:r>
        <w:t>Office treats duration as the weighted average term to maturity of the cash flows from a bond. The weight of each cash flow is determined by dividing the present value of t</w:t>
      </w:r>
      <w:r>
        <w:t>he cash flow by the price.</w:t>
      </w:r>
    </w:p>
    <w:p w:rsidR="00024C0A" w:rsidRDefault="00694C0F">
      <w:pPr>
        <w:pStyle w:val="Definition-Field"/>
      </w:pPr>
      <w:r>
        <w:t xml:space="preserve">b.   </w:t>
      </w:r>
      <w:r>
        <w:rPr>
          <w:i/>
        </w:rPr>
        <w:t>The standard indicates that the function is specific to U.S. currency.</w:t>
      </w:r>
    </w:p>
    <w:p w:rsidR="00024C0A" w:rsidRDefault="00694C0F">
      <w:pPr>
        <w:pStyle w:val="Definition-Field2"/>
      </w:pPr>
      <w:r>
        <w:t>Office does not require the function to be specific to any currency.</w:t>
      </w:r>
    </w:p>
    <w:p w:rsidR="00024C0A" w:rsidRDefault="00694C0F">
      <w:pPr>
        <w:pStyle w:val="Definition-Field"/>
      </w:pPr>
      <w:r>
        <w:t xml:space="preserve">c.   </w:t>
      </w:r>
      <w:r>
        <w:rPr>
          <w:i/>
        </w:rPr>
        <w:t>The standard does not specify day and month adjustments for the basis argument.</w:t>
      </w:r>
    </w:p>
    <w:p w:rsidR="00024C0A" w:rsidRDefault="00694C0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Value</w:t>
            </w:r>
          </w:p>
        </w:tc>
        <w:tc>
          <w:tcPr>
            <w:tcW w:w="0" w:type="auto"/>
            <w:vAlign w:val="center"/>
          </w:tcPr>
          <w:p w:rsidR="00024C0A" w:rsidRDefault="00694C0F">
            <w:pPr>
              <w:pStyle w:val="TableHeaderText"/>
            </w:pPr>
            <w:r>
              <w:t>Day Count Basis</w:t>
            </w:r>
          </w:p>
        </w:tc>
      </w:tr>
      <w:tr w:rsidR="00024C0A" w:rsidTr="00024C0A">
        <w:tc>
          <w:tcPr>
            <w:tcW w:w="0" w:type="auto"/>
            <w:vAlign w:val="center"/>
          </w:tcPr>
          <w:p w:rsidR="00024C0A" w:rsidRDefault="00694C0F">
            <w:pPr>
              <w:pStyle w:val="TableBodyText"/>
            </w:pPr>
            <w:r>
              <w:rPr>
                <w:rStyle w:val="InlineCode"/>
              </w:rPr>
              <w:t>0</w:t>
            </w:r>
            <w:r>
              <w:t xml:space="preserve"> or omitted</w:t>
            </w:r>
          </w:p>
        </w:tc>
        <w:tc>
          <w:tcPr>
            <w:tcW w:w="0" w:type="auto"/>
            <w:vAlign w:val="center"/>
          </w:tcPr>
          <w:p w:rsidR="00024C0A" w:rsidRDefault="00694C0F">
            <w:pPr>
              <w:pStyle w:val="TableBodyText"/>
            </w:pPr>
            <w:r>
              <w:t>US (NASD) 30/360. If the dates are equal, the difference of days is 0. Assumes that each month has 30 days and the</w:t>
            </w:r>
            <w:r>
              <w:t xml:space="preserve"> total number of days in the year is 360 by making the following adjustments:</w:t>
            </w:r>
          </w:p>
          <w:p w:rsidR="00024C0A" w:rsidRDefault="00694C0F">
            <w:pPr>
              <w:pStyle w:val="TableBodyText"/>
            </w:pPr>
            <w:r>
              <w:t>If both day-of-months are 31, they are changed to 30</w:t>
            </w:r>
          </w:p>
          <w:p w:rsidR="00024C0A" w:rsidRDefault="00694C0F">
            <w:pPr>
              <w:pStyle w:val="TableBodyText"/>
            </w:pPr>
            <w:r>
              <w:t>Otherwise, if date1’s day-of-month is 31, it is changed to 30</w:t>
            </w:r>
          </w:p>
          <w:p w:rsidR="00024C0A" w:rsidRDefault="00694C0F">
            <w:pPr>
              <w:pStyle w:val="TableBodyText"/>
            </w:pPr>
            <w:r>
              <w:t>Otherwise, if date1’s day-of-month is 30 and date2’s day-of-mon</w:t>
            </w:r>
            <w:r>
              <w:t>th is 31, date2’s day-of-month is changed to 30 (note that date2’s day-of-month will stay 31 if date1’s day &lt; 30)</w:t>
            </w:r>
          </w:p>
          <w:p w:rsidR="00024C0A" w:rsidRDefault="00694C0F">
            <w:pPr>
              <w:pStyle w:val="TableBodyText"/>
            </w:pPr>
            <w:r>
              <w:t>Otherwise, if both dates are the last day of February in their respective years, both day-of-month is changed to 30</w:t>
            </w:r>
          </w:p>
          <w:p w:rsidR="00024C0A" w:rsidRDefault="00694C0F">
            <w:pPr>
              <w:pStyle w:val="TableBodyText"/>
            </w:pPr>
            <w:r>
              <w:t>Otherwise, if date1 is the</w:t>
            </w:r>
            <w:r>
              <w:t xml:space="preserve"> last day of February, its day-of-month is changed to 30</w:t>
            </w:r>
          </w:p>
        </w:tc>
      </w:tr>
      <w:tr w:rsidR="00024C0A" w:rsidTr="00024C0A">
        <w:tc>
          <w:tcPr>
            <w:tcW w:w="0" w:type="auto"/>
            <w:vAlign w:val="center"/>
          </w:tcPr>
          <w:p w:rsidR="00024C0A" w:rsidRDefault="00694C0F">
            <w:pPr>
              <w:pStyle w:val="TableBodyText"/>
            </w:pPr>
            <w:r>
              <w:rPr>
                <w:rStyle w:val="InlineCode"/>
              </w:rPr>
              <w:t>1</w:t>
            </w:r>
          </w:p>
        </w:tc>
        <w:tc>
          <w:tcPr>
            <w:tcW w:w="0" w:type="auto"/>
            <w:vAlign w:val="center"/>
          </w:tcPr>
          <w:p w:rsidR="00024C0A" w:rsidRDefault="00694C0F">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24C0A" w:rsidRDefault="00024C0A">
            <w:pPr>
              <w:pStyle w:val="TableBodyText"/>
            </w:pPr>
          </w:p>
          <w:p w:rsidR="00024C0A" w:rsidRDefault="00694C0F">
            <w:pPr>
              <w:pStyle w:val="TableBodyText"/>
            </w:pPr>
            <w:r>
              <w:t>To det</w:t>
            </w:r>
            <w:r>
              <w:t>ermine if date1 and date2 are “less than or equal to a year apart” for purposes of this algorithm, one of these conditions must be true:</w:t>
            </w:r>
          </w:p>
          <w:p w:rsidR="00024C0A" w:rsidRDefault="00694C0F">
            <w:pPr>
              <w:pStyle w:val="ListParagraph"/>
              <w:numPr>
                <w:ilvl w:val="0"/>
                <w:numId w:val="94"/>
              </w:numPr>
            </w:pPr>
            <w:r>
              <w:t>The two dates have the same year</w:t>
            </w:r>
          </w:p>
          <w:p w:rsidR="00024C0A" w:rsidRDefault="00694C0F">
            <w:pPr>
              <w:pStyle w:val="ListParagraph"/>
              <w:numPr>
                <w:ilvl w:val="0"/>
                <w:numId w:val="95"/>
              </w:numPr>
            </w:pPr>
            <w:r>
              <w:t>Date2’s year is exactly one more than date1’s year, and ((date1.month &gt; date2.month) o</w:t>
            </w:r>
            <w:r>
              <w:t>r ((date1.month == date2.month) and (date1.day &gt;= date2.day)))</w:t>
            </w:r>
          </w:p>
        </w:tc>
      </w:tr>
      <w:tr w:rsidR="00024C0A" w:rsidTr="00024C0A">
        <w:tc>
          <w:tcPr>
            <w:tcW w:w="0" w:type="auto"/>
            <w:vAlign w:val="center"/>
          </w:tcPr>
          <w:p w:rsidR="00024C0A" w:rsidRDefault="00694C0F">
            <w:pPr>
              <w:pStyle w:val="TableBodyText"/>
            </w:pPr>
            <w:r>
              <w:rPr>
                <w:rStyle w:val="InlineCode"/>
              </w:rPr>
              <w:t>2</w:t>
            </w:r>
          </w:p>
        </w:tc>
        <w:tc>
          <w:tcPr>
            <w:tcW w:w="0" w:type="auto"/>
            <w:vAlign w:val="center"/>
          </w:tcPr>
          <w:p w:rsidR="00024C0A" w:rsidRDefault="00694C0F">
            <w:pPr>
              <w:pStyle w:val="TableBodyText"/>
            </w:pPr>
            <w:r>
              <w:t>Actual/360. Computes the actual difference in days, and presumes there are always 360 days per year.</w:t>
            </w:r>
          </w:p>
        </w:tc>
      </w:tr>
      <w:tr w:rsidR="00024C0A" w:rsidTr="00024C0A">
        <w:tc>
          <w:tcPr>
            <w:tcW w:w="0" w:type="auto"/>
            <w:vAlign w:val="center"/>
          </w:tcPr>
          <w:p w:rsidR="00024C0A" w:rsidRDefault="00694C0F">
            <w:pPr>
              <w:pStyle w:val="TableBodyText"/>
            </w:pPr>
            <w:r>
              <w:rPr>
                <w:rStyle w:val="InlineCode"/>
              </w:rPr>
              <w:t>3</w:t>
            </w:r>
          </w:p>
        </w:tc>
        <w:tc>
          <w:tcPr>
            <w:tcW w:w="0" w:type="auto"/>
            <w:vAlign w:val="center"/>
          </w:tcPr>
          <w:p w:rsidR="00024C0A" w:rsidRDefault="00694C0F">
            <w:pPr>
              <w:pStyle w:val="TableBodyText"/>
            </w:pPr>
            <w:r>
              <w:t xml:space="preserve">Actual/365. Computes the actual difference in days, and presumes there are always 365 </w:t>
            </w:r>
            <w:r>
              <w:t>days per year.</w:t>
            </w:r>
          </w:p>
        </w:tc>
      </w:tr>
      <w:tr w:rsidR="00024C0A" w:rsidTr="00024C0A">
        <w:tc>
          <w:tcPr>
            <w:tcW w:w="0" w:type="auto"/>
            <w:vAlign w:val="center"/>
          </w:tcPr>
          <w:p w:rsidR="00024C0A" w:rsidRDefault="00694C0F">
            <w:pPr>
              <w:pStyle w:val="TableBodyText"/>
            </w:pPr>
            <w:r>
              <w:rPr>
                <w:rStyle w:val="InlineCode"/>
              </w:rPr>
              <w:t>4</w:t>
            </w:r>
          </w:p>
        </w:tc>
        <w:tc>
          <w:tcPr>
            <w:tcW w:w="0" w:type="auto"/>
            <w:vAlign w:val="center"/>
          </w:tcPr>
          <w:p w:rsidR="00024C0A" w:rsidRDefault="00694C0F">
            <w:pPr>
              <w:pStyle w:val="TableBodyText"/>
            </w:pPr>
            <w:r>
              <w:t xml:space="preserve">European 30/360. The European method for adjusting day counts. If the dates are equal, the difference of days is 0. Assumes that each month has 30 days and the total number of days in the </w:t>
            </w:r>
            <w:r>
              <w:lastRenderedPageBreak/>
              <w:t>year is 360; any day-of-month (in date1, date2, or</w:t>
            </w:r>
            <w:r>
              <w:t xml:space="preserve"> both) with a value of 31 is changed to 30. Note that February dates are </w:t>
            </w:r>
            <w:r>
              <w:rPr>
                <w:i/>
              </w:rPr>
              <w:t xml:space="preserve">never </w:t>
            </w:r>
            <w:r>
              <w:t>changed, because there is no February 31.</w:t>
            </w:r>
          </w:p>
        </w:tc>
      </w:tr>
    </w:tbl>
    <w:p w:rsidR="00024C0A" w:rsidRDefault="00024C0A"/>
    <w:p w:rsidR="00024C0A" w:rsidRDefault="00694C0F">
      <w:pPr>
        <w:pStyle w:val="Heading3"/>
      </w:pPr>
      <w:bookmarkStart w:id="1901" w:name="section_4c431026aee849dcb59333e886fa11a5"/>
      <w:bookmarkStart w:id="1902" w:name="_Toc12261011"/>
      <w:r>
        <w:t>Part 1 Section 18.17.7.102, DVAR</w:t>
      </w:r>
      <w:bookmarkEnd w:id="1901"/>
      <w:bookmarkEnd w:id="1902"/>
      <w:r>
        <w:fldChar w:fldCharType="begin"/>
      </w:r>
      <w:r>
        <w:instrText xml:space="preserve"> XE "DVAR" </w:instrText>
      </w:r>
      <w:r>
        <w:fldChar w:fldCharType="end"/>
      </w:r>
    </w:p>
    <w:p w:rsidR="00024C0A" w:rsidRDefault="00694C0F">
      <w:pPr>
        <w:pStyle w:val="Definition-Field"/>
      </w:pPr>
      <w:r>
        <w:t xml:space="preserve">a.   </w:t>
      </w:r>
      <w:r>
        <w:rPr>
          <w:i/>
        </w:rPr>
        <w:t xml:space="preserve">The standard states that the field argument is the column to which criteria shall </w:t>
      </w:r>
      <w:r>
        <w:rPr>
          <w:i/>
        </w:rPr>
        <w:t>be applied.</w:t>
      </w:r>
    </w:p>
    <w:p w:rsidR="00024C0A" w:rsidRDefault="00694C0F">
      <w:pPr>
        <w:pStyle w:val="Definition-Field2"/>
      </w:pPr>
      <w:r>
        <w:t>Office treats the field argument as the column for which the variance is to be computed.</w:t>
      </w:r>
    </w:p>
    <w:p w:rsidR="00024C0A" w:rsidRDefault="00694C0F">
      <w:pPr>
        <w:pStyle w:val="Heading3"/>
      </w:pPr>
      <w:bookmarkStart w:id="1903" w:name="section_4ff3283999cf4feab83bf5b2e4a6f0f4"/>
      <w:bookmarkStart w:id="1904" w:name="_Toc12261012"/>
      <w:r>
        <w:t>Part 1 Section 18.17.7.103, DVARP</w:t>
      </w:r>
      <w:bookmarkEnd w:id="1903"/>
      <w:bookmarkEnd w:id="1904"/>
      <w:r>
        <w:fldChar w:fldCharType="begin"/>
      </w:r>
      <w:r>
        <w:instrText xml:space="preserve"> XE "DVARP" </w:instrText>
      </w:r>
      <w:r>
        <w:fldChar w:fldCharType="end"/>
      </w:r>
    </w:p>
    <w:p w:rsidR="00024C0A" w:rsidRDefault="00694C0F">
      <w:pPr>
        <w:pStyle w:val="Definition-Field"/>
      </w:pPr>
      <w:r>
        <w:t xml:space="preserve">a.   </w:t>
      </w:r>
      <w:r>
        <w:rPr>
          <w:i/>
        </w:rPr>
        <w:t>The standard states that the field argument is the column to which criteria shall be applied.</w:t>
      </w:r>
    </w:p>
    <w:p w:rsidR="00024C0A" w:rsidRDefault="00694C0F">
      <w:pPr>
        <w:pStyle w:val="Definition-Field2"/>
      </w:pPr>
      <w:r>
        <w:t>Office t</w:t>
      </w:r>
      <w:r>
        <w:t>reats the field argument as the column for which the variance is to be computed.</w:t>
      </w:r>
    </w:p>
    <w:p w:rsidR="00024C0A" w:rsidRDefault="00694C0F">
      <w:pPr>
        <w:pStyle w:val="Heading3"/>
      </w:pPr>
      <w:bookmarkStart w:id="1905" w:name="section_0e6c5c298bbf496d9494aaed1fcd59d7"/>
      <w:bookmarkStart w:id="1906" w:name="_Toc12261013"/>
      <w:r>
        <w:t>Part 1 Section 18.17.7.105, EDATE</w:t>
      </w:r>
      <w:bookmarkEnd w:id="1905"/>
      <w:bookmarkEnd w:id="1906"/>
      <w:r>
        <w:fldChar w:fldCharType="begin"/>
      </w:r>
      <w:r>
        <w:instrText xml:space="preserve"> XE "EDATE" </w:instrText>
      </w:r>
      <w:r>
        <w:fldChar w:fldCharType="end"/>
      </w:r>
    </w:p>
    <w:p w:rsidR="00024C0A" w:rsidRDefault="00694C0F">
      <w:pPr>
        <w:pStyle w:val="Definition-Field"/>
      </w:pPr>
      <w:r>
        <w:t xml:space="preserve">a.   </w:t>
      </w:r>
      <w:r>
        <w:rPr>
          <w:i/>
        </w:rPr>
        <w:t>The standard does not specify the case where the day of the month in argument start-date is greater than the last day of t</w:t>
      </w:r>
      <w:r>
        <w:rPr>
          <w:i/>
        </w:rPr>
        <w:t>he result month.</w:t>
      </w:r>
    </w:p>
    <w:p w:rsidR="00024C0A" w:rsidRDefault="00694C0F">
      <w:pPr>
        <w:pStyle w:val="Definition-Field2"/>
      </w:pPr>
      <w:r>
        <w:t>In this case, Office will round day to the last day of the result month.</w:t>
      </w:r>
    </w:p>
    <w:p w:rsidR="00024C0A" w:rsidRDefault="00694C0F">
      <w:pPr>
        <w:pStyle w:val="Heading3"/>
      </w:pPr>
      <w:bookmarkStart w:id="1907" w:name="section_31ffd3e4140e44dca59bf5545b511558"/>
      <w:bookmarkStart w:id="1908" w:name="_Toc12261014"/>
      <w:r>
        <w:t>Part 1 Section 18.17.7.108, ERF</w:t>
      </w:r>
      <w:bookmarkEnd w:id="1907"/>
      <w:bookmarkEnd w:id="1908"/>
      <w:r>
        <w:fldChar w:fldCharType="begin"/>
      </w:r>
      <w:r>
        <w:instrText xml:space="preserve"> XE "ERF" </w:instrText>
      </w:r>
      <w:r>
        <w:fldChar w:fldCharType="end"/>
      </w:r>
    </w:p>
    <w:p w:rsidR="00024C0A" w:rsidRDefault="00694C0F">
      <w:pPr>
        <w:pStyle w:val="Definition-Field"/>
      </w:pPr>
      <w:r>
        <w:t xml:space="preserve">a.   </w:t>
      </w:r>
      <w:r>
        <w:rPr>
          <w:i/>
        </w:rPr>
        <w:t>The standard does not specify how function arguments map to formula variables.</w:t>
      </w:r>
    </w:p>
    <w:p w:rsidR="00024C0A" w:rsidRDefault="00694C0F">
      <w:pPr>
        <w:pStyle w:val="Definition-Field2"/>
      </w:pPr>
      <w:r>
        <w:t>Office maps z to lower-bound argument,</w:t>
      </w:r>
      <w:r>
        <w:t xml:space="preserve"> a to lower-bound argument, b to upper-bound argument.</w:t>
      </w:r>
    </w:p>
    <w:p w:rsidR="00024C0A" w:rsidRDefault="00694C0F">
      <w:pPr>
        <w:pStyle w:val="Heading3"/>
      </w:pPr>
      <w:bookmarkStart w:id="1909" w:name="section_b90dd1d8dd354137b8a059312734a7e2"/>
      <w:bookmarkStart w:id="1910" w:name="_Toc12261015"/>
      <w:r>
        <w:t>Part 1 Section 18.17.7.109, ERFC</w:t>
      </w:r>
      <w:bookmarkEnd w:id="1909"/>
      <w:bookmarkEnd w:id="1910"/>
      <w:r>
        <w:fldChar w:fldCharType="begin"/>
      </w:r>
      <w:r>
        <w:instrText xml:space="preserve"> XE "ERFC" </w:instrText>
      </w:r>
      <w:r>
        <w:fldChar w:fldCharType="end"/>
      </w:r>
    </w:p>
    <w:p w:rsidR="00024C0A" w:rsidRDefault="00694C0F">
      <w:pPr>
        <w:pStyle w:val="Definition-Field"/>
      </w:pPr>
      <w:r>
        <w:t xml:space="preserve">a.   </w:t>
      </w:r>
      <w:r>
        <w:rPr>
          <w:i/>
        </w:rPr>
        <w:t>The standard does not specify how function arguments map to formula variables.</w:t>
      </w:r>
    </w:p>
    <w:p w:rsidR="00024C0A" w:rsidRDefault="00694C0F">
      <w:pPr>
        <w:pStyle w:val="Definition-Field2"/>
      </w:pPr>
      <w:r>
        <w:t>Office maps x to lower-bound argument.</w:t>
      </w:r>
    </w:p>
    <w:p w:rsidR="00024C0A" w:rsidRDefault="00694C0F">
      <w:pPr>
        <w:pStyle w:val="Heading3"/>
      </w:pPr>
      <w:bookmarkStart w:id="1911" w:name="section_f3689539eb2b4392b05c936b871c4557"/>
      <w:bookmarkStart w:id="1912" w:name="_Toc12261016"/>
      <w:r>
        <w:t>Part 1 Section 18.17.7.110, ERRO</w:t>
      </w:r>
      <w:r>
        <w:t>R.TYPE</w:t>
      </w:r>
      <w:bookmarkEnd w:id="1911"/>
      <w:bookmarkEnd w:id="1912"/>
      <w:r>
        <w:fldChar w:fldCharType="begin"/>
      </w:r>
      <w:r>
        <w:instrText xml:space="preserve"> XE "ERROR.TYPE" </w:instrText>
      </w:r>
      <w:r>
        <w:fldChar w:fldCharType="end"/>
      </w:r>
    </w:p>
    <w:p w:rsidR="00024C0A" w:rsidRDefault="00694C0F">
      <w:pPr>
        <w:pStyle w:val="Definition-Field"/>
      </w:pPr>
      <w:r>
        <w:t xml:space="preserve">a.   </w:t>
      </w:r>
      <w:r>
        <w:rPr>
          <w:i/>
        </w:rPr>
        <w:t>The standard states that return values are 1-7 or #N/A.</w:t>
      </w:r>
    </w:p>
    <w:p w:rsidR="00024C0A" w:rsidRDefault="00694C0F">
      <w:pPr>
        <w:pStyle w:val="Definition-Field2"/>
      </w:pPr>
      <w:r>
        <w:t>Office can also return a value of 8, corresponding to value #GETTING_DATA.</w:t>
      </w:r>
    </w:p>
    <w:p w:rsidR="00024C0A" w:rsidRDefault="00694C0F">
      <w:pPr>
        <w:pStyle w:val="Heading3"/>
      </w:pPr>
      <w:bookmarkStart w:id="1913" w:name="section_43520b959fff46bb88a6b7b1e177de47"/>
      <w:bookmarkStart w:id="1914" w:name="_Toc12261017"/>
      <w:r>
        <w:t>Part 1 Section 18.17.7.119, FIND</w:t>
      </w:r>
      <w:bookmarkEnd w:id="1913"/>
      <w:bookmarkEnd w:id="1914"/>
      <w:r>
        <w:fldChar w:fldCharType="begin"/>
      </w:r>
      <w:r>
        <w:instrText xml:space="preserve"> XE "FIND" </w:instrText>
      </w:r>
      <w:r>
        <w:fldChar w:fldCharType="end"/>
      </w:r>
    </w:p>
    <w:p w:rsidR="00024C0A" w:rsidRDefault="00694C0F">
      <w:pPr>
        <w:pStyle w:val="Definition-Field"/>
      </w:pPr>
      <w:r>
        <w:t xml:space="preserve">a.   </w:t>
      </w:r>
      <w:r>
        <w:rPr>
          <w:i/>
        </w:rPr>
        <w:t>The standard specifies that the start-pos a</w:t>
      </w:r>
      <w:r>
        <w:rPr>
          <w:i/>
        </w:rPr>
        <w:t>rgument shall be at least 0.</w:t>
      </w:r>
    </w:p>
    <w:p w:rsidR="00024C0A" w:rsidRDefault="00694C0F">
      <w:pPr>
        <w:pStyle w:val="Definition-Field2"/>
      </w:pPr>
      <w:r>
        <w:t>Office requires start-pos argument to be at least 1.</w:t>
      </w:r>
    </w:p>
    <w:p w:rsidR="00024C0A" w:rsidRDefault="00694C0F">
      <w:pPr>
        <w:pStyle w:val="Definition-Field"/>
      </w:pPr>
      <w:r>
        <w:t xml:space="preserve">b.   </w:t>
      </w:r>
      <w:r>
        <w:rPr>
          <w:i/>
        </w:rPr>
        <w:t>The standard states that FIND is intended for use with languages that use the single-byte character set (SBCS), whereas FINDB is intended for use with languages that use</w:t>
      </w:r>
      <w:r>
        <w:rPr>
          <w:i/>
        </w:rPr>
        <w:t xml:space="preserve"> the double-byte character set (DBCS).</w:t>
      </w:r>
    </w:p>
    <w:p w:rsidR="00024C0A" w:rsidRDefault="00694C0F">
      <w:pPr>
        <w:pStyle w:val="Definition-Field2"/>
      </w:pPr>
      <w:r>
        <w:t>In Office, FIND is intended for use with any language, whereas FINDB is intended for use with languages that use the double-byte character set (DBCS).</w:t>
      </w:r>
    </w:p>
    <w:p w:rsidR="00024C0A" w:rsidRDefault="00694C0F">
      <w:pPr>
        <w:pStyle w:val="Heading3"/>
      </w:pPr>
      <w:bookmarkStart w:id="1915" w:name="section_dca5abf4bf0a4de4aaa87057c9962f5f"/>
      <w:bookmarkStart w:id="1916" w:name="_Toc12261018"/>
      <w:r>
        <w:lastRenderedPageBreak/>
        <w:t>Part 1 Section 18.17.7.120, FINDB</w:t>
      </w:r>
      <w:bookmarkEnd w:id="1915"/>
      <w:bookmarkEnd w:id="1916"/>
      <w:r>
        <w:fldChar w:fldCharType="begin"/>
      </w:r>
      <w:r>
        <w:instrText xml:space="preserve"> XE "FINDB" </w:instrText>
      </w:r>
      <w:r>
        <w:fldChar w:fldCharType="end"/>
      </w:r>
    </w:p>
    <w:p w:rsidR="00024C0A" w:rsidRDefault="00694C0F">
      <w:pPr>
        <w:pStyle w:val="Definition-Field"/>
      </w:pPr>
      <w:r>
        <w:t xml:space="preserve">a.   </w:t>
      </w:r>
      <w:r>
        <w:rPr>
          <w:i/>
        </w:rPr>
        <w:t xml:space="preserve">The standard </w:t>
      </w:r>
      <w:r>
        <w:rPr>
          <w:i/>
        </w:rPr>
        <w:t>states argument start-pos shall be at least 0.</w:t>
      </w:r>
    </w:p>
    <w:p w:rsidR="00024C0A" w:rsidRDefault="00694C0F">
      <w:pPr>
        <w:pStyle w:val="Definition-Field2"/>
      </w:pPr>
      <w:r>
        <w:t>Office requires argument stat-pos to be at least 1.</w:t>
      </w:r>
    </w:p>
    <w:p w:rsidR="00024C0A" w:rsidRDefault="00694C0F">
      <w:pPr>
        <w:pStyle w:val="Definition-Field"/>
      </w:pPr>
      <w:r>
        <w:t xml:space="preserve">b.   </w:t>
      </w:r>
      <w:r>
        <w:rPr>
          <w:i/>
        </w:rPr>
        <w:t>The standard does not specify that argument start-pos and the return value are measured in bytes.</w:t>
      </w:r>
    </w:p>
    <w:p w:rsidR="00024C0A" w:rsidRDefault="00694C0F">
      <w:pPr>
        <w:pStyle w:val="Definition-Field2"/>
      </w:pPr>
      <w:r>
        <w:t>In Office, argument start-pos and return value are mea</w:t>
      </w:r>
      <w:r>
        <w:t>sured in bytes.</w:t>
      </w:r>
    </w:p>
    <w:p w:rsidR="00024C0A" w:rsidRDefault="00694C0F">
      <w:pPr>
        <w:pStyle w:val="Definition-Field"/>
      </w:pPr>
      <w:r>
        <w:t xml:space="preserve">c.   </w:t>
      </w:r>
      <w:r>
        <w:rPr>
          <w:i/>
        </w:rPr>
        <w:t>The standard does not specify behavior of FINDB when default language supports DBCS and when it does not support DBCS.</w:t>
      </w:r>
    </w:p>
    <w:p w:rsidR="00024C0A" w:rsidRDefault="00694C0F">
      <w:pPr>
        <w:pStyle w:val="Definition-Field2"/>
      </w:pPr>
      <w:r>
        <w:t>In Office, when the default language supports DBCS, FINDB counts each double-byte character as 2 bytes, and each sin</w:t>
      </w:r>
      <w:r>
        <w:t>gle-byte character as 1. When the default language does not support DBCS, FINDB counts each character as 1 byte.</w:t>
      </w:r>
    </w:p>
    <w:p w:rsidR="00024C0A" w:rsidRDefault="00694C0F">
      <w:pPr>
        <w:pStyle w:val="Definition-Field"/>
      </w:pPr>
      <w:r>
        <w:t xml:space="preserve">d.   </w:t>
      </w:r>
      <w:r>
        <w:rPr>
          <w:i/>
        </w:rPr>
        <w:t>The standard does not specify which languages support DBCS.</w:t>
      </w:r>
    </w:p>
    <w:p w:rsidR="00024C0A" w:rsidRDefault="00694C0F">
      <w:pPr>
        <w:pStyle w:val="Definition-Field2"/>
      </w:pPr>
      <w:r>
        <w:t xml:space="preserve">In Office, the languages that support DBCS include Japanese, Chinese </w:t>
      </w:r>
      <w:r>
        <w:t>(Simplified), Chinese (Traditional), and Korean.</w:t>
      </w:r>
    </w:p>
    <w:p w:rsidR="00024C0A" w:rsidRDefault="00694C0F">
      <w:pPr>
        <w:pStyle w:val="Heading3"/>
      </w:pPr>
      <w:bookmarkStart w:id="1917" w:name="section_19702fccfd174d3dbe7cfb98aab067a1"/>
      <w:bookmarkStart w:id="1918" w:name="_Toc12261019"/>
      <w:r>
        <w:t>Part 1 Section 18.17.7.121, FINV</w:t>
      </w:r>
      <w:bookmarkEnd w:id="1917"/>
      <w:bookmarkEnd w:id="1918"/>
      <w:r>
        <w:fldChar w:fldCharType="begin"/>
      </w:r>
      <w:r>
        <w:instrText xml:space="preserve"> XE "FINV" </w:instrText>
      </w:r>
      <w:r>
        <w:fldChar w:fldCharType="end"/>
      </w:r>
    </w:p>
    <w:p w:rsidR="00024C0A" w:rsidRDefault="00694C0F">
      <w:pPr>
        <w:pStyle w:val="Definition-Field"/>
      </w:pPr>
      <w:r>
        <w:t xml:space="preserve">a.   </w:t>
      </w:r>
      <w:r>
        <w:rPr>
          <w:i/>
        </w:rPr>
        <w:t>The standard specifies that an iterative search technique is used for the implementation of this function.</w:t>
      </w:r>
    </w:p>
    <w:p w:rsidR="00024C0A" w:rsidRDefault="00694C0F">
      <w:pPr>
        <w:pStyle w:val="Definition-Field2"/>
      </w:pPr>
      <w:r>
        <w:t>Office does not require an iterative search techn</w:t>
      </w:r>
      <w:r>
        <w:t>ique to be used.</w:t>
      </w:r>
    </w:p>
    <w:p w:rsidR="00024C0A" w:rsidRDefault="00694C0F">
      <w:pPr>
        <w:pStyle w:val="Heading3"/>
      </w:pPr>
      <w:bookmarkStart w:id="1919" w:name="section_a27a9affa6634ea586c8c21105f12564"/>
      <w:bookmarkStart w:id="1920" w:name="_Toc12261020"/>
      <w:r>
        <w:t>Part 1 Section 18.17.7.124, FIXED</w:t>
      </w:r>
      <w:bookmarkEnd w:id="1919"/>
      <w:bookmarkEnd w:id="1920"/>
      <w:r>
        <w:fldChar w:fldCharType="begin"/>
      </w:r>
      <w:r>
        <w:instrText xml:space="preserve"> XE "FIXED" </w:instrText>
      </w:r>
      <w:r>
        <w:fldChar w:fldCharType="end"/>
      </w:r>
    </w:p>
    <w:p w:rsidR="00024C0A" w:rsidRDefault="00694C0F">
      <w:pPr>
        <w:pStyle w:val="Definition-Field"/>
      </w:pPr>
      <w:r>
        <w:t xml:space="preserve">a.   </w:t>
      </w:r>
      <w:r>
        <w:rPr>
          <w:i/>
        </w:rPr>
        <w:t>The standard states that the number parameter is truncated to integer.</w:t>
      </w:r>
    </w:p>
    <w:p w:rsidR="00024C0A" w:rsidRDefault="00694C0F">
      <w:pPr>
        <w:pStyle w:val="Definition-Field2"/>
      </w:pPr>
      <w:r>
        <w:t>Office does not truncate the number parameter to an integer.</w:t>
      </w:r>
    </w:p>
    <w:p w:rsidR="00024C0A" w:rsidRDefault="00694C0F">
      <w:pPr>
        <w:pStyle w:val="Definition-Field"/>
      </w:pPr>
      <w:r>
        <w:t xml:space="preserve">b.   </w:t>
      </w:r>
      <w:r>
        <w:rPr>
          <w:i/>
        </w:rPr>
        <w:t>The standard does not state that num-decimal is t</w:t>
      </w:r>
      <w:r>
        <w:rPr>
          <w:i/>
        </w:rPr>
        <w:t>runcated to an integer.</w:t>
      </w:r>
    </w:p>
    <w:p w:rsidR="00024C0A" w:rsidRDefault="00694C0F">
      <w:pPr>
        <w:pStyle w:val="Definition-Field2"/>
      </w:pPr>
      <w:r>
        <w:t>Office truncates num-decimal to an integer.</w:t>
      </w:r>
    </w:p>
    <w:p w:rsidR="00024C0A" w:rsidRDefault="00694C0F">
      <w:pPr>
        <w:pStyle w:val="Definition-Field"/>
      </w:pPr>
      <w:r>
        <w:t xml:space="preserve">c.   </w:t>
      </w:r>
      <w:r>
        <w:rPr>
          <w:i/>
        </w:rPr>
        <w:t>For argument suppress-commas-flag, the standard states that if it is TRUE, commas are not included; if FALSE or omitted, commas are included.</w:t>
      </w:r>
    </w:p>
    <w:p w:rsidR="00024C0A" w:rsidRDefault="00694C0F">
      <w:pPr>
        <w:pStyle w:val="Definition-Field2"/>
      </w:pPr>
      <w:r>
        <w:t>In Office, if argument suppress-commas-fl</w:t>
      </w:r>
      <w:r>
        <w:t>ag is TRUE, digit grouping symbols are not included; if FALSE or omitted, they are included.</w:t>
      </w:r>
    </w:p>
    <w:p w:rsidR="00024C0A" w:rsidRDefault="00694C0F">
      <w:pPr>
        <w:pStyle w:val="Heading3"/>
      </w:pPr>
      <w:bookmarkStart w:id="1921" w:name="section_534f018290984b228583bd0f8c2cc5f8"/>
      <w:bookmarkStart w:id="1922" w:name="_Toc12261021"/>
      <w:r>
        <w:t>Part 1 Section 18.17.7.125, FLOOR</w:t>
      </w:r>
      <w:bookmarkEnd w:id="1921"/>
      <w:bookmarkEnd w:id="1922"/>
      <w:r>
        <w:fldChar w:fldCharType="begin"/>
      </w:r>
      <w:r>
        <w:instrText xml:space="preserve"> XE "FLOOR" </w:instrText>
      </w:r>
      <w:r>
        <w:fldChar w:fldCharType="end"/>
      </w:r>
    </w:p>
    <w:p w:rsidR="00024C0A" w:rsidRDefault="00694C0F">
      <w:pPr>
        <w:pStyle w:val="Definition-Field"/>
      </w:pPr>
      <w:r>
        <w:t xml:space="preserve">a.   </w:t>
      </w:r>
      <w:r>
        <w:rPr>
          <w:i/>
        </w:rPr>
        <w:t>The standard states that regardless of the sign of x, a value is rounded down when adjusted toward zero.</w:t>
      </w:r>
    </w:p>
    <w:p w:rsidR="00024C0A" w:rsidRDefault="00694C0F">
      <w:pPr>
        <w:pStyle w:val="Definition-Field2"/>
      </w:pPr>
      <w:r>
        <w:t>In Of</w:t>
      </w:r>
      <w:r>
        <w:t>fice, a value is rounded toward zero when adjusted.</w:t>
      </w:r>
    </w:p>
    <w:p w:rsidR="00024C0A" w:rsidRDefault="00694C0F">
      <w:pPr>
        <w:pStyle w:val="Heading3"/>
      </w:pPr>
      <w:bookmarkStart w:id="1923" w:name="section_b5664c5839084645bb1ad88250c33aa2"/>
      <w:bookmarkStart w:id="1924" w:name="_Toc12261022"/>
      <w:r>
        <w:t>Part 1 Section 18.17.7.126, FORECAST</w:t>
      </w:r>
      <w:bookmarkEnd w:id="1923"/>
      <w:bookmarkEnd w:id="1924"/>
      <w:r>
        <w:fldChar w:fldCharType="begin"/>
      </w:r>
      <w:r>
        <w:instrText xml:space="preserve"> XE "FORECAST" </w:instrText>
      </w:r>
      <w:r>
        <w:fldChar w:fldCharType="end"/>
      </w:r>
    </w:p>
    <w:p w:rsidR="00024C0A" w:rsidRDefault="00694C0F">
      <w:pPr>
        <w:pStyle w:val="Definition-Field"/>
      </w:pPr>
      <w:r>
        <w:t xml:space="preserve">a.   </w:t>
      </w:r>
      <w:r>
        <w:rPr>
          <w:i/>
        </w:rPr>
        <w:t>The standard states that x and y are the sample means.</w:t>
      </w:r>
    </w:p>
    <w:p w:rsidR="00024C0A" w:rsidRDefault="00694C0F">
      <w:pPr>
        <w:pStyle w:val="Definition-Field2"/>
      </w:pPr>
      <w:r>
        <w:t>Office treats x and y as the sample values while x-bar and y-bar as the sample means.</w:t>
      </w:r>
    </w:p>
    <w:p w:rsidR="00024C0A" w:rsidRDefault="00694C0F">
      <w:pPr>
        <w:pStyle w:val="Heading3"/>
      </w:pPr>
      <w:bookmarkStart w:id="1925" w:name="section_7eb63416dfd44087b2076372769e91d0"/>
      <w:bookmarkStart w:id="1926" w:name="_Toc12261023"/>
      <w:r>
        <w:lastRenderedPageBreak/>
        <w:t>Part 1 Section 18.17.7.129, FV</w:t>
      </w:r>
      <w:bookmarkEnd w:id="1925"/>
      <w:bookmarkEnd w:id="1926"/>
      <w:r>
        <w:fldChar w:fldCharType="begin"/>
      </w:r>
      <w:r>
        <w:instrText xml:space="preserve"> XE "FV" </w:instrText>
      </w:r>
      <w:r>
        <w:fldChar w:fldCharType="end"/>
      </w:r>
    </w:p>
    <w:p w:rsidR="00024C0A" w:rsidRDefault="00694C0F">
      <w:pPr>
        <w:pStyle w:val="Definition-Field"/>
      </w:pPr>
      <w:r>
        <w:t xml:space="preserve">a.   </w:t>
      </w:r>
      <w:r>
        <w:rPr>
          <w:i/>
        </w:rPr>
        <w:t>The standard states that the type argument is truncated to an integer.</w:t>
      </w:r>
    </w:p>
    <w:p w:rsidR="00024C0A" w:rsidRDefault="00694C0F">
      <w:pPr>
        <w:pStyle w:val="Definition-Field2"/>
      </w:pPr>
      <w:r>
        <w:t>Office does not truncate the type argument to an integer.</w:t>
      </w:r>
    </w:p>
    <w:p w:rsidR="00024C0A" w:rsidRDefault="00694C0F">
      <w:pPr>
        <w:pStyle w:val="Definition-Field"/>
      </w:pPr>
      <w:r>
        <w:t xml:space="preserve">b.   </w:t>
      </w:r>
      <w:r>
        <w:rPr>
          <w:i/>
        </w:rPr>
        <w:t>The standard states that argument type is either 0 or 1.</w:t>
      </w:r>
    </w:p>
    <w:p w:rsidR="00024C0A" w:rsidRDefault="00694C0F">
      <w:pPr>
        <w:pStyle w:val="Definition-Field2"/>
      </w:pPr>
      <w:r>
        <w:t>In Office, any non</w:t>
      </w:r>
      <w:r>
        <w:t>zero value of argument type is equivalent to 1.</w:t>
      </w:r>
    </w:p>
    <w:p w:rsidR="00024C0A" w:rsidRDefault="00694C0F">
      <w:pPr>
        <w:pStyle w:val="Definition-Field"/>
      </w:pPr>
      <w:r>
        <w:t xml:space="preserve">c.   </w:t>
      </w:r>
      <w:r>
        <w:rPr>
          <w:i/>
        </w:rPr>
        <w:t>The standard states that if type is any number other than 0 or 1, #NUM! is returned.</w:t>
      </w:r>
    </w:p>
    <w:p w:rsidR="00024C0A" w:rsidRDefault="00694C0F">
      <w:pPr>
        <w:pStyle w:val="Definition-Field2"/>
      </w:pPr>
      <w:r>
        <w:t>In Office, any nonzero value of argument type is equivalent to 1.</w:t>
      </w:r>
    </w:p>
    <w:p w:rsidR="00024C0A" w:rsidRDefault="00694C0F">
      <w:pPr>
        <w:pStyle w:val="Definition-Field"/>
      </w:pPr>
      <w:r>
        <w:t xml:space="preserve">d.   </w:t>
      </w:r>
      <w:r>
        <w:rPr>
          <w:i/>
        </w:rPr>
        <w:t>The standard states that argument nper is trunc</w:t>
      </w:r>
      <w:r>
        <w:rPr>
          <w:i/>
        </w:rPr>
        <w:t>ated to integer.</w:t>
      </w:r>
    </w:p>
    <w:p w:rsidR="00024C0A" w:rsidRDefault="00694C0F">
      <w:pPr>
        <w:pStyle w:val="Definition-Field2"/>
      </w:pPr>
      <w:r>
        <w:t>Office does not truncate argument nper to integer.</w:t>
      </w:r>
    </w:p>
    <w:p w:rsidR="00024C0A" w:rsidRDefault="00694C0F">
      <w:pPr>
        <w:pStyle w:val="Definition-Field"/>
      </w:pPr>
      <w:r>
        <w:t xml:space="preserve">e.   </w:t>
      </w:r>
      <w:r>
        <w:rPr>
          <w:i/>
        </w:rPr>
        <w:t>The standard states that either the pmt argument or the pv argument must be supplied.</w:t>
      </w:r>
    </w:p>
    <w:p w:rsidR="00024C0A" w:rsidRDefault="00694C0F">
      <w:pPr>
        <w:pStyle w:val="Definition-Field2"/>
      </w:pPr>
      <w:r>
        <w:t>Office allows both to be omitted (and returns a future value of zero).</w:t>
      </w:r>
    </w:p>
    <w:p w:rsidR="00024C0A" w:rsidRDefault="00694C0F">
      <w:pPr>
        <w:pStyle w:val="Heading3"/>
      </w:pPr>
      <w:bookmarkStart w:id="1927" w:name="section_82dbbad19eb54458b41d462e746c465e"/>
      <w:bookmarkStart w:id="1928" w:name="_Toc12261024"/>
      <w:r>
        <w:t>Part 1 Section 18.17.7.132, GAMMAINV</w:t>
      </w:r>
      <w:bookmarkEnd w:id="1927"/>
      <w:bookmarkEnd w:id="1928"/>
      <w:r>
        <w:fldChar w:fldCharType="begin"/>
      </w:r>
      <w:r>
        <w:instrText xml:space="preserve"> XE "GAMMAINV" </w:instrText>
      </w:r>
      <w:r>
        <w:fldChar w:fldCharType="end"/>
      </w:r>
    </w:p>
    <w:p w:rsidR="00024C0A" w:rsidRDefault="00694C0F">
      <w:pPr>
        <w:pStyle w:val="Definition-Field"/>
      </w:pPr>
      <w:r>
        <w:t xml:space="preserve">a.   </w:t>
      </w:r>
      <w:r>
        <w:rPr>
          <w:i/>
        </w:rPr>
        <w:t>The standard specifies that an iterative search technique is used for the implementation of this function.</w:t>
      </w:r>
    </w:p>
    <w:p w:rsidR="00024C0A" w:rsidRDefault="00694C0F">
      <w:pPr>
        <w:pStyle w:val="Definition-Field2"/>
      </w:pPr>
      <w:r>
        <w:t>Office does not require an iterative search technique to be used.</w:t>
      </w:r>
    </w:p>
    <w:p w:rsidR="00024C0A" w:rsidRDefault="00694C0F">
      <w:pPr>
        <w:pStyle w:val="Heading3"/>
      </w:pPr>
      <w:bookmarkStart w:id="1929" w:name="section_82f90d9017f9441d82eb47b5167e9757"/>
      <w:bookmarkStart w:id="1930" w:name="_Toc12261025"/>
      <w:r>
        <w:t>Part 1 Section 18.17.7.1</w:t>
      </w:r>
      <w:r>
        <w:t>35, GEOMEAN</w:t>
      </w:r>
      <w:bookmarkEnd w:id="1929"/>
      <w:bookmarkEnd w:id="1930"/>
      <w:r>
        <w:fldChar w:fldCharType="begin"/>
      </w:r>
      <w:r>
        <w:instrText xml:space="preserve"> XE "GEOMEAN" </w:instrText>
      </w:r>
      <w:r>
        <w:fldChar w:fldCharType="end"/>
      </w:r>
    </w:p>
    <w:p w:rsidR="00024C0A" w:rsidRDefault="00694C0F">
      <w:pPr>
        <w:pStyle w:val="Definition-Field"/>
      </w:pPr>
      <w:r>
        <w:t xml:space="preserve">a.   </w:t>
      </w:r>
      <w:r>
        <w:rPr>
          <w:i/>
        </w:rPr>
        <w:t>The standard states that cells with a value equal to 0 are included in the calculation.</w:t>
      </w:r>
    </w:p>
    <w:p w:rsidR="00024C0A" w:rsidRDefault="00694C0F">
      <w:pPr>
        <w:pStyle w:val="Definition-Field2"/>
      </w:pPr>
      <w:r>
        <w:t>Office returns #NUM! if the value of any data point is less than or equal to 0.</w:t>
      </w:r>
    </w:p>
    <w:p w:rsidR="00024C0A" w:rsidRDefault="00694C0F">
      <w:pPr>
        <w:pStyle w:val="Heading3"/>
      </w:pPr>
      <w:bookmarkStart w:id="1931" w:name="section_dad1aeafe2be4fbca86419ac8dba4ac9"/>
      <w:bookmarkStart w:id="1932" w:name="_Toc12261026"/>
      <w:r>
        <w:t>Part 1 Section 18.17.7.137, GETPIVOTDATA</w:t>
      </w:r>
      <w:bookmarkEnd w:id="1931"/>
      <w:bookmarkEnd w:id="1932"/>
      <w:r>
        <w:fldChar w:fldCharType="begin"/>
      </w:r>
      <w:r>
        <w:instrText xml:space="preserve"> XE "GETPIVOTDA</w:instrText>
      </w:r>
      <w:r>
        <w:instrText xml:space="preserve">TA" </w:instrText>
      </w:r>
      <w:r>
        <w:fldChar w:fldCharType="end"/>
      </w:r>
    </w:p>
    <w:p w:rsidR="00024C0A" w:rsidRDefault="00694C0F">
      <w:pPr>
        <w:pStyle w:val="Definition-Field"/>
      </w:pPr>
      <w:r>
        <w:t xml:space="preserve">a.   </w:t>
      </w:r>
      <w:r>
        <w:rPr>
          <w:i/>
        </w:rPr>
        <w:t>The standard states that arguments field-1 and item-1 are mandatory arguments.</w:t>
      </w:r>
    </w:p>
    <w:p w:rsidR="00024C0A" w:rsidRDefault="00694C0F">
      <w:pPr>
        <w:pStyle w:val="Definition-Field2"/>
      </w:pPr>
      <w:r>
        <w:t>Office treats arguments field-1 and item-1 as optional arguments.</w:t>
      </w:r>
    </w:p>
    <w:p w:rsidR="00024C0A" w:rsidRDefault="00694C0F">
      <w:pPr>
        <w:pStyle w:val="Heading3"/>
      </w:pPr>
      <w:bookmarkStart w:id="1933" w:name="section_0de78b6e776c4f608c4c92eeb6a8ca56"/>
      <w:bookmarkStart w:id="1934" w:name="_Toc12261027"/>
      <w:r>
        <w:t>Part 1 Section 18.17.7.139, HARMEAN</w:t>
      </w:r>
      <w:bookmarkEnd w:id="1933"/>
      <w:bookmarkEnd w:id="1934"/>
      <w:r>
        <w:fldChar w:fldCharType="begin"/>
      </w:r>
      <w:r>
        <w:instrText xml:space="preserve"> XE "HARMEAN" </w:instrText>
      </w:r>
      <w:r>
        <w:fldChar w:fldCharType="end"/>
      </w:r>
    </w:p>
    <w:p w:rsidR="00024C0A" w:rsidRDefault="00694C0F">
      <w:pPr>
        <w:pStyle w:val="Definition-Field"/>
      </w:pPr>
      <w:r>
        <w:t xml:space="preserve">a.   </w:t>
      </w:r>
      <w:r>
        <w:rPr>
          <w:i/>
        </w:rPr>
        <w:t>The standard states that cells with the va</w:t>
      </w:r>
      <w:r>
        <w:rPr>
          <w:i/>
        </w:rPr>
        <w:t>lue 0 are included in calculations.</w:t>
      </w:r>
    </w:p>
    <w:p w:rsidR="00024C0A" w:rsidRDefault="00694C0F">
      <w:pPr>
        <w:pStyle w:val="Definition-Field2"/>
      </w:pPr>
      <w:r>
        <w:t>Office returns #NUM! if the value of any data point is less than or equal to 0.</w:t>
      </w:r>
    </w:p>
    <w:p w:rsidR="00024C0A" w:rsidRDefault="00694C0F">
      <w:pPr>
        <w:pStyle w:val="Heading3"/>
      </w:pPr>
      <w:bookmarkStart w:id="1935" w:name="section_a29a20868a8c4281ab65217dc7d563a4"/>
      <w:bookmarkStart w:id="1936" w:name="_Toc12261028"/>
      <w:r>
        <w:t>Part 1 Section 18.17.7.143, HLOOKUP</w:t>
      </w:r>
      <w:bookmarkEnd w:id="1935"/>
      <w:bookmarkEnd w:id="1936"/>
      <w:r>
        <w:fldChar w:fldCharType="begin"/>
      </w:r>
      <w:r>
        <w:instrText xml:space="preserve"> XE "HLOOKUP" </w:instrText>
      </w:r>
      <w:r>
        <w:fldChar w:fldCharType="end"/>
      </w:r>
    </w:p>
    <w:p w:rsidR="00024C0A" w:rsidRDefault="00694C0F">
      <w:pPr>
        <w:pStyle w:val="Definition-Field"/>
      </w:pPr>
      <w:r>
        <w:t xml:space="preserve">a.   </w:t>
      </w:r>
      <w:r>
        <w:rPr>
          <w:i/>
        </w:rPr>
        <w:t>The standard states that argument row-index-num is the row number in argument table</w:t>
      </w:r>
      <w:r>
        <w:rPr>
          <w:i/>
        </w:rPr>
        <w:t>-array from which the matching value is to be returned.</w:t>
      </w:r>
    </w:p>
    <w:p w:rsidR="00024C0A" w:rsidRDefault="00694C0F">
      <w:pPr>
        <w:pStyle w:val="Definition-Field2"/>
      </w:pPr>
      <w:r>
        <w:t>In Office, argument row-index-num is the row number, truncated to integer, in argument table-array from which the matching value is to be returned.</w:t>
      </w:r>
    </w:p>
    <w:p w:rsidR="00024C0A" w:rsidRDefault="00694C0F">
      <w:pPr>
        <w:pStyle w:val="Heading3"/>
      </w:pPr>
      <w:bookmarkStart w:id="1937" w:name="section_dec36d7c644e4622821ef9e00c33e4ee"/>
      <w:bookmarkStart w:id="1938" w:name="_Toc12261029"/>
      <w:r>
        <w:t>Part 1 Section 18.17.7.144, HOUR</w:t>
      </w:r>
      <w:bookmarkEnd w:id="1937"/>
      <w:bookmarkEnd w:id="1938"/>
      <w:r>
        <w:fldChar w:fldCharType="begin"/>
      </w:r>
      <w:r>
        <w:instrText xml:space="preserve"> XE "HOUR" </w:instrText>
      </w:r>
      <w:r>
        <w:fldChar w:fldCharType="end"/>
      </w:r>
    </w:p>
    <w:p w:rsidR="00024C0A" w:rsidRDefault="00694C0F">
      <w:pPr>
        <w:pStyle w:val="Definition-Field"/>
      </w:pPr>
      <w:r>
        <w:t xml:space="preserve">a.   </w:t>
      </w:r>
      <w:r>
        <w:rPr>
          <w:i/>
        </w:rPr>
        <w:t>T</w:t>
      </w:r>
      <w:r>
        <w:rPr>
          <w:i/>
        </w:rPr>
        <w:t>he standard states that the returned value shall be in the range 0 - 59.</w:t>
      </w:r>
    </w:p>
    <w:p w:rsidR="00024C0A" w:rsidRDefault="00694C0F">
      <w:pPr>
        <w:pStyle w:val="Definition-Field2"/>
      </w:pPr>
      <w:r>
        <w:lastRenderedPageBreak/>
        <w:t>Office requires that the returned value shall be in the range 0 - 23.</w:t>
      </w:r>
    </w:p>
    <w:p w:rsidR="00024C0A" w:rsidRDefault="00694C0F">
      <w:pPr>
        <w:pStyle w:val="Heading3"/>
      </w:pPr>
      <w:bookmarkStart w:id="1939" w:name="section_10cbd87900d34a2e9f3234b7ecab1d49"/>
      <w:bookmarkStart w:id="1940" w:name="_Toc12261030"/>
      <w:r>
        <w:t>Part 1 Section 18.17.7.147, IF</w:t>
      </w:r>
      <w:bookmarkEnd w:id="1939"/>
      <w:bookmarkEnd w:id="1940"/>
      <w:r>
        <w:fldChar w:fldCharType="begin"/>
      </w:r>
      <w:r>
        <w:instrText xml:space="preserve"> XE "IF" </w:instrText>
      </w:r>
      <w:r>
        <w:fldChar w:fldCharType="end"/>
      </w:r>
    </w:p>
    <w:p w:rsidR="00024C0A" w:rsidRDefault="00694C0F">
      <w:pPr>
        <w:pStyle w:val="Definition-Field"/>
      </w:pPr>
      <w:r>
        <w:t xml:space="preserve">a.   </w:t>
      </w:r>
      <w:r>
        <w:rPr>
          <w:i/>
        </w:rPr>
        <w:t>The standard states that arguments value-if-true and value-if-fals</w:t>
      </w:r>
      <w:r>
        <w:rPr>
          <w:i/>
        </w:rPr>
        <w:t>e can contain up to seven levels of nested IF function calls.</w:t>
      </w:r>
    </w:p>
    <w:p w:rsidR="00024C0A" w:rsidRDefault="00694C0F">
      <w:pPr>
        <w:pStyle w:val="Definition-Field2"/>
      </w:pPr>
      <w:r>
        <w:t>In Office, these arguments can contain as many levels of nesting as the application allows.</w:t>
      </w:r>
    </w:p>
    <w:p w:rsidR="00024C0A" w:rsidRDefault="00694C0F">
      <w:pPr>
        <w:pStyle w:val="Heading3"/>
      </w:pPr>
      <w:bookmarkStart w:id="1941" w:name="section_7311ea9061a4418aa67ac5a29a456273"/>
      <w:bookmarkStart w:id="1942" w:name="_Toc12261031"/>
      <w:r>
        <w:t>Part 1 Section 18.17.7.148, IFERROR</w:t>
      </w:r>
      <w:bookmarkEnd w:id="1941"/>
      <w:bookmarkEnd w:id="1942"/>
      <w:r>
        <w:fldChar w:fldCharType="begin"/>
      </w:r>
      <w:r>
        <w:instrText xml:space="preserve"> XE "IFERROR" </w:instrText>
      </w:r>
      <w:r>
        <w:fldChar w:fldCharType="end"/>
      </w:r>
    </w:p>
    <w:p w:rsidR="00024C0A" w:rsidRDefault="00694C0F">
      <w:pPr>
        <w:pStyle w:val="Definition-Field"/>
      </w:pPr>
      <w:r>
        <w:t xml:space="preserve">a.   </w:t>
      </w:r>
      <w:r>
        <w:rPr>
          <w:i/>
        </w:rPr>
        <w:t>The standard states that the value argument i</w:t>
      </w:r>
      <w:r>
        <w:rPr>
          <w:i/>
        </w:rPr>
        <w:t>s checked for the following error values: #N/A, #VALUE!, #REF!, #DIV/0!, #NUM!, #NAME?, or #NULL!.</w:t>
      </w:r>
    </w:p>
    <w:p w:rsidR="00024C0A" w:rsidRDefault="00694C0F">
      <w:pPr>
        <w:pStyle w:val="Definition-Field2"/>
      </w:pPr>
      <w:r>
        <w:t>In Office, the value argument is checked for the following error values: #N/A, #VALUE!, #REF!, #DIV/0!, #NUM!, #NAME?, #NULL!, or #GETTING_DATA.</w:t>
      </w:r>
    </w:p>
    <w:p w:rsidR="00024C0A" w:rsidRDefault="00694C0F">
      <w:pPr>
        <w:pStyle w:val="Heading3"/>
      </w:pPr>
      <w:bookmarkStart w:id="1943" w:name="section_2367967f202d49569278f2ba1e5afe7f"/>
      <w:bookmarkStart w:id="1944" w:name="_Toc12261032"/>
      <w:r>
        <w:t>Part 1 Secti</w:t>
      </w:r>
      <w:r>
        <w:t>on 18.17.7.151, IMARGUMENT</w:t>
      </w:r>
      <w:bookmarkEnd w:id="1943"/>
      <w:bookmarkEnd w:id="1944"/>
      <w:r>
        <w:fldChar w:fldCharType="begin"/>
      </w:r>
      <w:r>
        <w:instrText xml:space="preserve"> XE "IMARGUMENT" </w:instrText>
      </w:r>
      <w:r>
        <w:fldChar w:fldCharType="end"/>
      </w:r>
    </w:p>
    <w:p w:rsidR="00024C0A" w:rsidRDefault="00694C0F">
      <w:pPr>
        <w:pStyle w:val="Definition-Field"/>
      </w:pPr>
      <w:r>
        <w:t xml:space="preserve">a.   </w:t>
      </w:r>
      <w:r>
        <w:rPr>
          <w:i/>
        </w:rPr>
        <w:t>The standard does not fully specify how the angle θ is calculated.</w:t>
      </w:r>
    </w:p>
    <w:p w:rsidR="00024C0A" w:rsidRDefault="00694C0F">
      <w:pPr>
        <w:pStyle w:val="Definition-Field2"/>
      </w:pPr>
      <w:r>
        <w:t>Office calculates angle θ as ATAN2(x,y).</w:t>
      </w:r>
    </w:p>
    <w:p w:rsidR="00024C0A" w:rsidRDefault="00694C0F">
      <w:pPr>
        <w:pStyle w:val="Definition-Field"/>
      </w:pPr>
      <w:r>
        <w:t xml:space="preserve">b.   </w:t>
      </w:r>
      <w:r>
        <w:rPr>
          <w:i/>
        </w:rPr>
        <w:t>The standard does not specify how function arguments map to formula variables.</w:t>
      </w:r>
    </w:p>
    <w:p w:rsidR="00024C0A" w:rsidRDefault="00694C0F">
      <w:pPr>
        <w:pStyle w:val="Definition-Field2"/>
      </w:pPr>
      <w:r>
        <w:t>Office maps x</w:t>
      </w:r>
      <w:r>
        <w:t xml:space="preserve"> + yi to argument complex number, and theta to ATAN2(x,y).</w:t>
      </w:r>
    </w:p>
    <w:p w:rsidR="00024C0A" w:rsidRDefault="00694C0F">
      <w:pPr>
        <w:pStyle w:val="Definition-Field"/>
      </w:pPr>
      <w:r>
        <w:t xml:space="preserve">c.   </w:t>
      </w:r>
      <w:r>
        <w:rPr>
          <w:i/>
        </w:rPr>
        <w:t>The standard states that the complex number can be in the form x+yi.</w:t>
      </w:r>
    </w:p>
    <w:p w:rsidR="00024C0A" w:rsidRDefault="00694C0F">
      <w:pPr>
        <w:pStyle w:val="Definition-Field2"/>
      </w:pPr>
      <w:r>
        <w:t>Office accepts complex numbers in the form x+yi and x+yj.</w:t>
      </w:r>
    </w:p>
    <w:p w:rsidR="00024C0A" w:rsidRDefault="00694C0F">
      <w:pPr>
        <w:pStyle w:val="Heading3"/>
      </w:pPr>
      <w:bookmarkStart w:id="1945" w:name="section_bd714073b3d34e4da8ab9ae68871d9d6"/>
      <w:bookmarkStart w:id="1946" w:name="_Toc12261033"/>
      <w:r>
        <w:t>Part 1 Section 18.17.7.154, IMDIV</w:t>
      </w:r>
      <w:bookmarkEnd w:id="1945"/>
      <w:bookmarkEnd w:id="1946"/>
      <w:r>
        <w:fldChar w:fldCharType="begin"/>
      </w:r>
      <w:r>
        <w:instrText xml:space="preserve"> XE "IMDIV" </w:instrText>
      </w:r>
      <w:r>
        <w:fldChar w:fldCharType="end"/>
      </w:r>
    </w:p>
    <w:p w:rsidR="00024C0A" w:rsidRDefault="00694C0F">
      <w:pPr>
        <w:pStyle w:val="Definition-Field"/>
      </w:pPr>
      <w:r>
        <w:t xml:space="preserve">a.   </w:t>
      </w:r>
      <w:r>
        <w:rPr>
          <w:i/>
        </w:rPr>
        <w:t>The standard</w:t>
      </w:r>
      <w:r>
        <w:rPr>
          <w:i/>
        </w:rPr>
        <w:t xml:space="preserve"> does not specify what happens in the case of complex division by zero.</w:t>
      </w:r>
    </w:p>
    <w:p w:rsidR="00024C0A" w:rsidRDefault="00694C0F">
      <w:pPr>
        <w:pStyle w:val="Definition-Field2"/>
      </w:pPr>
      <w:r>
        <w:t>Office returns #NUM! if complex-number-2 is zero.</w:t>
      </w:r>
    </w:p>
    <w:p w:rsidR="00024C0A" w:rsidRDefault="00694C0F">
      <w:pPr>
        <w:pStyle w:val="Heading3"/>
      </w:pPr>
      <w:bookmarkStart w:id="1947" w:name="section_b1fb964ee5ea4e10ad72e10986208e92"/>
      <w:bookmarkStart w:id="1948" w:name="_Toc12261034"/>
      <w:r>
        <w:t>Part 1 Section 18.17.7.156, IMLN</w:t>
      </w:r>
      <w:bookmarkEnd w:id="1947"/>
      <w:bookmarkEnd w:id="1948"/>
      <w:r>
        <w:fldChar w:fldCharType="begin"/>
      </w:r>
      <w:r>
        <w:instrText xml:space="preserve"> XE "IMLN" </w:instrText>
      </w:r>
      <w:r>
        <w:fldChar w:fldCharType="end"/>
      </w:r>
    </w:p>
    <w:p w:rsidR="00024C0A" w:rsidRDefault="00694C0F">
      <w:pPr>
        <w:pStyle w:val="Definition-Field"/>
      </w:pPr>
      <w:r>
        <w:t xml:space="preserve">a.   </w:t>
      </w:r>
      <w:r>
        <w:rPr>
          <w:i/>
        </w:rPr>
        <w:t>The standard does not specify what happens if complex-number is zero.</w:t>
      </w:r>
    </w:p>
    <w:p w:rsidR="00024C0A" w:rsidRDefault="00694C0F">
      <w:pPr>
        <w:pStyle w:val="Definition-Field2"/>
      </w:pPr>
      <w:r>
        <w:t>Office return</w:t>
      </w:r>
      <w:r>
        <w:t>s #NUM! if complex-number is zero.</w:t>
      </w:r>
    </w:p>
    <w:p w:rsidR="00024C0A" w:rsidRDefault="00694C0F">
      <w:pPr>
        <w:pStyle w:val="Definition-Field"/>
      </w:pPr>
      <w:r>
        <w:t xml:space="preserve">b.   </w:t>
      </w:r>
      <w:r>
        <w:rPr>
          <w:i/>
        </w:rPr>
        <w:t>The standard does not fully specify how the angle θ is calculated.</w:t>
      </w:r>
    </w:p>
    <w:p w:rsidR="00024C0A" w:rsidRDefault="00694C0F">
      <w:r>
        <w:t>Excel calculates imln using the following mathematical formula:</w:t>
      </w:r>
    </w:p>
    <w:p w:rsidR="00024C0A" w:rsidRDefault="00694C0F">
      <w:r>
        <w:rPr>
          <w:noProof/>
        </w:rPr>
        <w:drawing>
          <wp:inline distT="0" distB="0" distL="0" distR="0">
            <wp:extent cx="1885950" cy="209550"/>
            <wp:effectExtent l="0" t="0" r="0" b="0"/>
            <wp:docPr id="18" name="Picture 1" descr="Formula for imln: natural log open parentheses x + yi closed parentheses = natural log open parentheses square root x squared + y squared closed parentheses plus i theta" title="Formula for im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9-0000-0000-0000-000000000000" descr="Formula for imln: natural log open parentheses x + yi closed parentheses = natural log open parentheses square root x squared + y squared closed parentheses plus i theta" title="Formula for imln"/>
                    <pic:cNvPicPr>
                      <a:picLocks noChangeAspect="1" noChangeArrowheads="1"/>
                    </pic:cNvPicPr>
                  </pic:nvPicPr>
                  <pic:blipFill>
                    <a:blip r:embed="rId142" cstate="print"/>
                    <a:srcRect/>
                    <a:stretch>
                      <a:fillRect/>
                    </a:stretch>
                  </pic:blipFill>
                  <pic:spPr bwMode="auto">
                    <a:xfrm>
                      <a:off x="0" y="0"/>
                      <a:ext cx="1885950" cy="209550"/>
                    </a:xfrm>
                    <a:prstGeom prst="rect">
                      <a:avLst/>
                    </a:prstGeom>
                    <a:noFill/>
                    <a:ln w="9525">
                      <a:noFill/>
                      <a:miter lim="800000"/>
                      <a:headEnd/>
                      <a:tailEnd/>
                    </a:ln>
                  </pic:spPr>
                </pic:pic>
              </a:graphicData>
            </a:graphic>
          </wp:inline>
        </w:drawing>
      </w:r>
    </w:p>
    <w:p w:rsidR="00024C0A" w:rsidRDefault="00694C0F">
      <w:r>
        <w:t>where:</w:t>
      </w:r>
    </w:p>
    <w:p w:rsidR="00024C0A" w:rsidRDefault="00694C0F">
      <w:r>
        <w:t>θ = ATAN2(x,y) calculated according to the formula in ATAN2 ("</w:t>
      </w:r>
      <w:hyperlink r:id="rId143">
        <w:r>
          <w:rPr>
            <w:rStyle w:val="Hyperlink"/>
          </w:rPr>
          <w:t>[ISO/IEC-29500-1]</w:t>
        </w:r>
      </w:hyperlink>
      <w:r>
        <w:t xml:space="preserve"> §18.17.7.15; ATAN2")</w:t>
      </w:r>
      <w:r>
        <w:rPr>
          <w:noProof/>
        </w:rPr>
        <w:drawing>
          <wp:inline distT="0" distB="0" distL="0" distR="0">
            <wp:extent cx="628650" cy="142875"/>
            <wp:effectExtent l="0" t="0" r="0" b="0"/>
            <wp:docPr id="21" name="Picture 1" descr="Formula for ATAN2: theta contains open parentheses minus pie; pie closed bracket" title="Formula for AT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6-0000-0000-0000-000000000000" descr="Formula for ATAN2: theta contains open parentheses minus pie; pie closed bracket" title="Formula for ATAN2"/>
                    <pic:cNvPicPr>
                      <a:picLocks noChangeAspect="1" noChangeArrowheads="1"/>
                    </pic:cNvPicPr>
                  </pic:nvPicPr>
                  <pic:blipFill>
                    <a:blip r:embed="rId144" cstate="print"/>
                    <a:srcRect/>
                    <a:stretch>
                      <a:fillRect/>
                    </a:stretch>
                  </pic:blipFill>
                  <pic:spPr bwMode="auto">
                    <a:xfrm>
                      <a:off x="0" y="0"/>
                      <a:ext cx="628650" cy="142875"/>
                    </a:xfrm>
                    <a:prstGeom prst="rect">
                      <a:avLst/>
                    </a:prstGeom>
                    <a:noFill/>
                    <a:ln w="9525">
                      <a:noFill/>
                      <a:miter lim="800000"/>
                      <a:headEnd/>
                      <a:tailEnd/>
                    </a:ln>
                  </pic:spPr>
                </pic:pic>
              </a:graphicData>
            </a:graphic>
          </wp:inline>
        </w:drawing>
      </w:r>
    </w:p>
    <w:p w:rsidR="00024C0A" w:rsidRDefault="00694C0F">
      <w:pPr>
        <w:pStyle w:val="Heading3"/>
      </w:pPr>
      <w:bookmarkStart w:id="1949" w:name="section_2395740104484810972b2832c8918aaa"/>
      <w:bookmarkStart w:id="1950" w:name="_Toc12261035"/>
      <w:r>
        <w:t>Part 1 Section 18.17.7.157, IMLOG10</w:t>
      </w:r>
      <w:bookmarkEnd w:id="1949"/>
      <w:bookmarkEnd w:id="1950"/>
      <w:r>
        <w:fldChar w:fldCharType="begin"/>
      </w:r>
      <w:r>
        <w:instrText xml:space="preserve"> XE "IMLOG10" </w:instrText>
      </w:r>
      <w:r>
        <w:fldChar w:fldCharType="end"/>
      </w:r>
    </w:p>
    <w:p w:rsidR="00024C0A" w:rsidRDefault="00694C0F">
      <w:pPr>
        <w:pStyle w:val="Definition-Field"/>
      </w:pPr>
      <w:r>
        <w:t xml:space="preserve">a.   </w:t>
      </w:r>
      <w:r>
        <w:rPr>
          <w:i/>
        </w:rPr>
        <w:t>The standard does not specify what happens if complex-number is zero.</w:t>
      </w:r>
    </w:p>
    <w:p w:rsidR="00024C0A" w:rsidRDefault="00694C0F">
      <w:pPr>
        <w:pStyle w:val="Definition-Field2"/>
      </w:pPr>
      <w:r>
        <w:lastRenderedPageBreak/>
        <w:t>Office returns #NUM! if complex-numbe</w:t>
      </w:r>
      <w:r>
        <w:t>r is zero.</w:t>
      </w:r>
    </w:p>
    <w:p w:rsidR="00024C0A" w:rsidRDefault="00694C0F">
      <w:pPr>
        <w:pStyle w:val="Heading3"/>
      </w:pPr>
      <w:bookmarkStart w:id="1951" w:name="section_53a80498b5bf4e9391ce44621001750c"/>
      <w:bookmarkStart w:id="1952" w:name="_Toc12261036"/>
      <w:r>
        <w:t>Part 1 Section 18.17.7.158, IMLOG2</w:t>
      </w:r>
      <w:bookmarkEnd w:id="1951"/>
      <w:bookmarkEnd w:id="1952"/>
      <w:r>
        <w:fldChar w:fldCharType="begin"/>
      </w:r>
      <w:r>
        <w:instrText xml:space="preserve"> XE "IMLOG2" </w:instrText>
      </w:r>
      <w:r>
        <w:fldChar w:fldCharType="end"/>
      </w:r>
    </w:p>
    <w:p w:rsidR="00024C0A" w:rsidRDefault="00694C0F">
      <w:pPr>
        <w:pStyle w:val="Definition-Field"/>
      </w:pPr>
      <w:r>
        <w:t xml:space="preserve">a.   </w:t>
      </w:r>
      <w:r>
        <w:rPr>
          <w:i/>
        </w:rPr>
        <w:t>The standard does not specify what happens if complex-number is zero.</w:t>
      </w:r>
    </w:p>
    <w:p w:rsidR="00024C0A" w:rsidRDefault="00694C0F">
      <w:pPr>
        <w:pStyle w:val="Definition-Field2"/>
      </w:pPr>
      <w:r>
        <w:t>Office returns #NUM! if complex-number is zero.</w:t>
      </w:r>
    </w:p>
    <w:p w:rsidR="00024C0A" w:rsidRDefault="00694C0F">
      <w:pPr>
        <w:pStyle w:val="Heading3"/>
      </w:pPr>
      <w:bookmarkStart w:id="1953" w:name="section_316e6d911f1645cd9ef2b7b817e30f9f"/>
      <w:bookmarkStart w:id="1954" w:name="_Toc12261037"/>
      <w:r>
        <w:t>Part 1 Section 18.17.7.159, IMPOWER</w:t>
      </w:r>
      <w:bookmarkEnd w:id="1953"/>
      <w:bookmarkEnd w:id="1954"/>
      <w:r>
        <w:fldChar w:fldCharType="begin"/>
      </w:r>
      <w:r>
        <w:instrText xml:space="preserve"> XE "IMPOWER" </w:instrText>
      </w:r>
      <w:r>
        <w:fldChar w:fldCharType="end"/>
      </w:r>
    </w:p>
    <w:p w:rsidR="00024C0A" w:rsidRDefault="00694C0F">
      <w:pPr>
        <w:pStyle w:val="Definition-Field"/>
      </w:pPr>
      <w:r>
        <w:t xml:space="preserve">a.   </w:t>
      </w:r>
      <w:r>
        <w:rPr>
          <w:i/>
        </w:rPr>
        <w:t>The standard do</w:t>
      </w:r>
      <w:r>
        <w:rPr>
          <w:i/>
        </w:rPr>
        <w:t>es not mention error case of argument complex-number equal to zero and argument n is not a positive number.</w:t>
      </w:r>
    </w:p>
    <w:p w:rsidR="00024C0A" w:rsidRDefault="00694C0F">
      <w:pPr>
        <w:pStyle w:val="Definition-Field2"/>
      </w:pPr>
      <w:r>
        <w:t>Office returns #NUM! if complex-number is zero, and the exponent n is not a positive number.</w:t>
      </w:r>
    </w:p>
    <w:p w:rsidR="00024C0A" w:rsidRDefault="00694C0F">
      <w:pPr>
        <w:pStyle w:val="Definition-Field"/>
      </w:pPr>
      <w:r>
        <w:t xml:space="preserve">b.   </w:t>
      </w:r>
      <w:r>
        <w:rPr>
          <w:i/>
        </w:rPr>
        <w:t>The standard specifies that y is the exponent to w</w:t>
      </w:r>
      <w:r>
        <w:rPr>
          <w:i/>
        </w:rPr>
        <w:t>hich complex-number is to be raised as well as a coefficient of the argument complex-number.</w:t>
      </w:r>
    </w:p>
    <w:p w:rsidR="00024C0A" w:rsidRDefault="00694C0F">
      <w:pPr>
        <w:pStyle w:val="Definition-Field2"/>
      </w:pPr>
      <w:r>
        <w:t>Office treats n as the exponent to which argument complex-number is to be raised.</w:t>
      </w:r>
    </w:p>
    <w:p w:rsidR="00024C0A" w:rsidRDefault="00694C0F">
      <w:pPr>
        <w:pStyle w:val="Definition-Field"/>
      </w:pPr>
      <w:r>
        <w:t xml:space="preserve">c.   </w:t>
      </w:r>
      <w:r>
        <w:rPr>
          <w:i/>
        </w:rPr>
        <w:t>The standard does not fully specify how the angle θ is calculated.</w:t>
      </w:r>
    </w:p>
    <w:p w:rsidR="00024C0A" w:rsidRDefault="00694C0F">
      <w:pPr>
        <w:pStyle w:val="Definition-Field2"/>
      </w:pPr>
      <w:r>
        <w:t>Office ca</w:t>
      </w:r>
      <w:r>
        <w:t>lculates angle θ as ATAN2(x,y).</w:t>
      </w:r>
    </w:p>
    <w:p w:rsidR="00024C0A" w:rsidRDefault="00694C0F">
      <w:pPr>
        <w:pStyle w:val="Heading3"/>
      </w:pPr>
      <w:bookmarkStart w:id="1955" w:name="section_d62977af731d4533a681028c97121b2b"/>
      <w:bookmarkStart w:id="1956" w:name="_Toc12261038"/>
      <w:r>
        <w:t>Part 1 Section 18.17.7.162, IMSIN</w:t>
      </w:r>
      <w:bookmarkEnd w:id="1955"/>
      <w:bookmarkEnd w:id="1956"/>
      <w:r>
        <w:fldChar w:fldCharType="begin"/>
      </w:r>
      <w:r>
        <w:instrText xml:space="preserve"> XE "IMSIN" </w:instrText>
      </w:r>
      <w:r>
        <w:fldChar w:fldCharType="end"/>
      </w:r>
    </w:p>
    <w:p w:rsidR="00024C0A" w:rsidRDefault="00694C0F">
      <w:pPr>
        <w:pStyle w:val="Definition-Field"/>
      </w:pPr>
      <w:r>
        <w:t xml:space="preserve">a.   </w:t>
      </w:r>
      <w:r>
        <w:rPr>
          <w:i/>
        </w:rPr>
        <w:t>The standard states the mathematical formula is sin(x+yi) = sin(x)cosh(y) - cos(x)sinh(y)i.</w:t>
      </w:r>
    </w:p>
    <w:p w:rsidR="00024C0A" w:rsidRDefault="00694C0F">
      <w:pPr>
        <w:pStyle w:val="Definition-Field2"/>
      </w:pPr>
      <w:r>
        <w:t xml:space="preserve">Office uses the mathematical formula sin(x+yi) = sin(x)cosh(y) + </w:t>
      </w:r>
      <w:r>
        <w:t>cos(x)sinh(y)i.</w:t>
      </w:r>
    </w:p>
    <w:p w:rsidR="00024C0A" w:rsidRDefault="00694C0F">
      <w:pPr>
        <w:pStyle w:val="Heading3"/>
      </w:pPr>
      <w:bookmarkStart w:id="1957" w:name="section_eef4f9053db747d085bdf4e3634e9cee"/>
      <w:bookmarkStart w:id="1958" w:name="_Toc12261039"/>
      <w:r>
        <w:t>Part 1 Section 18.17.7.163, IMSQRT</w:t>
      </w:r>
      <w:bookmarkEnd w:id="1957"/>
      <w:bookmarkEnd w:id="1958"/>
      <w:r>
        <w:fldChar w:fldCharType="begin"/>
      </w:r>
      <w:r>
        <w:instrText xml:space="preserve"> XE "IMSQRT" </w:instrText>
      </w:r>
      <w:r>
        <w:fldChar w:fldCharType="end"/>
      </w:r>
    </w:p>
    <w:p w:rsidR="00024C0A" w:rsidRDefault="00694C0F">
      <w:pPr>
        <w:pStyle w:val="Definition-Field"/>
      </w:pPr>
      <w:r>
        <w:t xml:space="preserve">a.   </w:t>
      </w:r>
      <w:r>
        <w:rPr>
          <w:i/>
        </w:rPr>
        <w:t>The standard does not fully specify how the angle θ is calculated.</w:t>
      </w:r>
    </w:p>
    <w:p w:rsidR="00024C0A" w:rsidRDefault="00694C0F">
      <w:pPr>
        <w:pStyle w:val="Definition-Field2"/>
      </w:pPr>
      <w:r>
        <w:t>Office calculates angle θ as ATAN2(x,y).</w:t>
      </w:r>
    </w:p>
    <w:p w:rsidR="00024C0A" w:rsidRDefault="00694C0F">
      <w:pPr>
        <w:pStyle w:val="Heading3"/>
      </w:pPr>
      <w:bookmarkStart w:id="1959" w:name="section_8a9e8a05d0934fe185658f8f6671995b"/>
      <w:bookmarkStart w:id="1960" w:name="_Toc12261040"/>
      <w:r>
        <w:t>Part 1 Section 18.17.7.166, INDEX</w:t>
      </w:r>
      <w:bookmarkEnd w:id="1959"/>
      <w:bookmarkEnd w:id="1960"/>
      <w:r>
        <w:fldChar w:fldCharType="begin"/>
      </w:r>
      <w:r>
        <w:instrText xml:space="preserve"> XE "INDEX" </w:instrText>
      </w:r>
      <w:r>
        <w:fldChar w:fldCharType="end"/>
      </w:r>
    </w:p>
    <w:p w:rsidR="00024C0A" w:rsidRDefault="00694C0F">
      <w:pPr>
        <w:pStyle w:val="Definition-Field"/>
      </w:pPr>
      <w:r>
        <w:t xml:space="preserve">a.   </w:t>
      </w:r>
      <w:r>
        <w:rPr>
          <w:i/>
        </w:rPr>
        <w:t>The standard states that</w:t>
      </w:r>
      <w:r>
        <w:rPr>
          <w:i/>
        </w:rPr>
        <w:t xml:space="preserve"> the argument row-number and argument column-number refers to the row or column, respectively, in argument array.</w:t>
      </w:r>
    </w:p>
    <w:p w:rsidR="00024C0A" w:rsidRDefault="00694C0F">
      <w:pPr>
        <w:pStyle w:val="Definition-Field2"/>
      </w:pPr>
      <w:r>
        <w:t>Office treats argument row-number as the column number if there is only one row in the array.</w:t>
      </w:r>
    </w:p>
    <w:p w:rsidR="00024C0A" w:rsidRDefault="00694C0F">
      <w:pPr>
        <w:pStyle w:val="Heading3"/>
      </w:pPr>
      <w:bookmarkStart w:id="1961" w:name="section_dcedecc22b68492e8802a5885866703b"/>
      <w:bookmarkStart w:id="1962" w:name="_Toc12261041"/>
      <w:r>
        <w:t>Part 1 Section 18.17.7.167, INDIRECT</w:t>
      </w:r>
      <w:bookmarkEnd w:id="1961"/>
      <w:bookmarkEnd w:id="1962"/>
      <w:r>
        <w:fldChar w:fldCharType="begin"/>
      </w:r>
      <w:r>
        <w:instrText xml:space="preserve"> XE "INDIREC</w:instrText>
      </w:r>
      <w:r>
        <w:instrText xml:space="preserve">T" </w:instrText>
      </w:r>
      <w:r>
        <w:fldChar w:fldCharType="end"/>
      </w:r>
    </w:p>
    <w:p w:rsidR="00024C0A" w:rsidRDefault="00694C0F">
      <w:pPr>
        <w:pStyle w:val="Definition-Field"/>
      </w:pPr>
      <w:r>
        <w:t xml:space="preserve">a.   </w:t>
      </w:r>
      <w:r>
        <w:rPr>
          <w:i/>
        </w:rPr>
        <w:t>The standard does not place any length restrictions on argument ref-text.</w:t>
      </w:r>
    </w:p>
    <w:p w:rsidR="00024C0A" w:rsidRDefault="00694C0F">
      <w:pPr>
        <w:pStyle w:val="Definition-Field2"/>
      </w:pPr>
      <w:r>
        <w:t>Office returns #VALUE! if argument ref-text is more than 255 characters.</w:t>
      </w:r>
    </w:p>
    <w:p w:rsidR="00024C0A" w:rsidRDefault="00694C0F">
      <w:pPr>
        <w:pStyle w:val="Definition-Field"/>
      </w:pPr>
      <w:r>
        <w:t xml:space="preserve">b.   </w:t>
      </w:r>
      <w:r>
        <w:rPr>
          <w:i/>
        </w:rPr>
        <w:t>The standard states the argument ref-text is of type A1-style reference, an R1C1-style refere</w:t>
      </w:r>
      <w:r>
        <w:rPr>
          <w:i/>
        </w:rPr>
        <w:t>nce, a name defined as a reference, or a reference to a cell as a string.</w:t>
      </w:r>
    </w:p>
    <w:p w:rsidR="00024C0A" w:rsidRDefault="00694C0F">
      <w:pPr>
        <w:pStyle w:val="Definition-Field2"/>
      </w:pPr>
      <w:r>
        <w:t>Office allows argument ref-text to be type A1-style reference, an R1C1-style reference, a name defined as a reference, a structure reference, or a reference to a cell as a string.</w:t>
      </w:r>
    </w:p>
    <w:p w:rsidR="00024C0A" w:rsidRDefault="00694C0F">
      <w:pPr>
        <w:pStyle w:val="Heading3"/>
      </w:pPr>
      <w:bookmarkStart w:id="1963" w:name="section_ed33866d5a02492e87a6a1aca55d9d16"/>
      <w:bookmarkStart w:id="1964" w:name="_Toc12261042"/>
      <w:r>
        <w:lastRenderedPageBreak/>
        <w:t>Pa</w:t>
      </w:r>
      <w:r>
        <w:t>rt 1 Section 18.17.7.168, INFO</w:t>
      </w:r>
      <w:bookmarkEnd w:id="1963"/>
      <w:bookmarkEnd w:id="1964"/>
      <w:r>
        <w:fldChar w:fldCharType="begin"/>
      </w:r>
      <w:r>
        <w:instrText xml:space="preserve"> XE "INFO" </w:instrText>
      </w:r>
      <w:r>
        <w:fldChar w:fldCharType="end"/>
      </w:r>
    </w:p>
    <w:p w:rsidR="00024C0A" w:rsidRDefault="00694C0F">
      <w:pPr>
        <w:pStyle w:val="Definition-Field"/>
      </w:pPr>
      <w:r>
        <w:t xml:space="preserve">a.   </w:t>
      </w:r>
      <w:r>
        <w:rPr>
          <w:i/>
        </w:rPr>
        <w:t>The standard lists "memavail" as "Amount of memory available, in bytes."</w:t>
      </w:r>
    </w:p>
    <w:p w:rsidR="00024C0A" w:rsidRDefault="00694C0F">
      <w:pPr>
        <w:pStyle w:val="Definition-Field2"/>
      </w:pPr>
      <w:r>
        <w:t>Office always returns #N/A for "memavail".</w:t>
      </w:r>
    </w:p>
    <w:p w:rsidR="00024C0A" w:rsidRDefault="00694C0F">
      <w:pPr>
        <w:pStyle w:val="Definition-Field"/>
      </w:pPr>
      <w:r>
        <w:t xml:space="preserve">b.   </w:t>
      </w:r>
      <w:r>
        <w:rPr>
          <w:i/>
        </w:rPr>
        <w:t>The standard lists "memused" as "Amount of memory being used for data."</w:t>
      </w:r>
    </w:p>
    <w:p w:rsidR="00024C0A" w:rsidRDefault="00694C0F">
      <w:pPr>
        <w:pStyle w:val="Definition-Field2"/>
      </w:pPr>
      <w:r>
        <w:t xml:space="preserve">Office always </w:t>
      </w:r>
      <w:r>
        <w:t>returns #N/A for "memused".</w:t>
      </w:r>
    </w:p>
    <w:p w:rsidR="00024C0A" w:rsidRDefault="00694C0F">
      <w:pPr>
        <w:pStyle w:val="Definition-Field"/>
      </w:pPr>
      <w:r>
        <w:t xml:space="preserve">c.   </w:t>
      </w:r>
      <w:r>
        <w:rPr>
          <w:i/>
        </w:rPr>
        <w:t>The standard lists "totmem" as "Total memory available, including memory already in use, in bytes."</w:t>
      </w:r>
    </w:p>
    <w:p w:rsidR="00024C0A" w:rsidRDefault="00694C0F">
      <w:pPr>
        <w:pStyle w:val="Definition-Field2"/>
      </w:pPr>
      <w:r>
        <w:t>Office always returns #N/A for "totmem".</w:t>
      </w:r>
    </w:p>
    <w:p w:rsidR="00024C0A" w:rsidRDefault="00694C0F">
      <w:pPr>
        <w:pStyle w:val="Definition-Field"/>
      </w:pPr>
      <w:r>
        <w:t xml:space="preserve">d.   </w:t>
      </w:r>
      <w:r>
        <w:rPr>
          <w:i/>
        </w:rPr>
        <w:t>The standard does not specify mode as a valid value for argument category.</w:t>
      </w:r>
    </w:p>
    <w:p w:rsidR="00024C0A" w:rsidRDefault="00694C0F">
      <w:pPr>
        <w:pStyle w:val="Definition-Field2"/>
      </w:pPr>
      <w:r>
        <w:t>Of</w:t>
      </w:r>
      <w:r>
        <w:t>fice permits mode as a valid value for argument category and it returns 1.</w:t>
      </w:r>
    </w:p>
    <w:p w:rsidR="00024C0A" w:rsidRDefault="00694C0F">
      <w:pPr>
        <w:pStyle w:val="Definition-Field"/>
      </w:pPr>
      <w:r>
        <w:t xml:space="preserve">e.   </w:t>
      </w:r>
      <w:r>
        <w:rPr>
          <w:i/>
        </w:rPr>
        <w:t>The standard does not specify the valid value osreturncode for argument category.</w:t>
      </w:r>
    </w:p>
    <w:p w:rsidR="00024C0A" w:rsidRDefault="00694C0F">
      <w:pPr>
        <w:pStyle w:val="Definition-Field2"/>
      </w:pPr>
      <w:r>
        <w:t>Office permits ostreturncode as a valid value for argument category and it returns 0.</w:t>
      </w:r>
    </w:p>
    <w:p w:rsidR="00024C0A" w:rsidRDefault="00694C0F">
      <w:pPr>
        <w:pStyle w:val="Definition-Field"/>
      </w:pPr>
      <w:r>
        <w:t xml:space="preserve">f.   </w:t>
      </w:r>
      <w:r>
        <w:rPr>
          <w:i/>
        </w:rPr>
        <w:t>The</w:t>
      </w:r>
      <w:r>
        <w:rPr>
          <w:i/>
        </w:rPr>
        <w:t xml:space="preserve"> standard does not specify setlang as a valid value for argument category.</w:t>
      </w:r>
    </w:p>
    <w:p w:rsidR="00024C0A" w:rsidRDefault="00694C0F">
      <w:pPr>
        <w:pStyle w:val="Definition-Field2"/>
      </w:pPr>
      <w:r>
        <w:t>Office permits setlang as a valid value for argument category and it returns locale information.</w:t>
      </w:r>
    </w:p>
    <w:p w:rsidR="00024C0A" w:rsidRDefault="00694C0F">
      <w:pPr>
        <w:pStyle w:val="Definition-Field"/>
      </w:pPr>
      <w:r>
        <w:t xml:space="preserve">g.   </w:t>
      </w:r>
      <w:r>
        <w:rPr>
          <w:i/>
        </w:rPr>
        <w:t>The standard states that the return type is text.</w:t>
      </w:r>
    </w:p>
    <w:p w:rsidR="00024C0A" w:rsidRDefault="00694C0F">
      <w:pPr>
        <w:pStyle w:val="Definition-Field2"/>
      </w:pPr>
      <w:r>
        <w:t>Office allows the return type</w:t>
      </w:r>
      <w:r>
        <w:t xml:space="preserve"> to be text or number.</w:t>
      </w:r>
    </w:p>
    <w:p w:rsidR="00024C0A" w:rsidRDefault="00694C0F">
      <w:pPr>
        <w:pStyle w:val="Heading3"/>
      </w:pPr>
      <w:bookmarkStart w:id="1965" w:name="section_fbe8422bbec94cfa872a1f0b66b534ca"/>
      <w:bookmarkStart w:id="1966" w:name="_Toc12261043"/>
      <w:r>
        <w:t>Part 1 Section 18.17.7.170, INTERCEPT</w:t>
      </w:r>
      <w:bookmarkEnd w:id="1965"/>
      <w:bookmarkEnd w:id="1966"/>
      <w:r>
        <w:fldChar w:fldCharType="begin"/>
      </w:r>
      <w:r>
        <w:instrText xml:space="preserve"> XE "INTERCEPT" </w:instrText>
      </w:r>
      <w:r>
        <w:fldChar w:fldCharType="end"/>
      </w:r>
    </w:p>
    <w:p w:rsidR="00024C0A" w:rsidRDefault="00694C0F">
      <w:pPr>
        <w:pStyle w:val="Definition-Field"/>
      </w:pPr>
      <w:r>
        <w:t xml:space="preserve">a.   </w:t>
      </w:r>
      <w:r>
        <w:rPr>
          <w:i/>
        </w:rPr>
        <w:t>The standard states that x and y are the sample means.</w:t>
      </w:r>
    </w:p>
    <w:p w:rsidR="00024C0A" w:rsidRDefault="00694C0F">
      <w:pPr>
        <w:pStyle w:val="Definition-Field2"/>
      </w:pPr>
      <w:r>
        <w:t>Office treats x and y as the sample values; x-bar and y-bar are the sample means.</w:t>
      </w:r>
    </w:p>
    <w:p w:rsidR="00024C0A" w:rsidRDefault="00694C0F">
      <w:pPr>
        <w:pStyle w:val="Definition-Field"/>
      </w:pPr>
      <w:r>
        <w:t xml:space="preserve">b.   </w:t>
      </w:r>
      <w:r>
        <w:rPr>
          <w:i/>
        </w:rPr>
        <w:t xml:space="preserve">The standard makes no mention </w:t>
      </w:r>
      <w:r>
        <w:rPr>
          <w:i/>
        </w:rPr>
        <w:t>of the case for non-intercepting lines.</w:t>
      </w:r>
    </w:p>
    <w:p w:rsidR="00024C0A" w:rsidRDefault="00694C0F">
      <w:pPr>
        <w:pStyle w:val="Definition-Field2"/>
      </w:pPr>
      <w:r>
        <w:t>Office returns #DIV/0, if the regression line does not intercept the y-axis,.</w:t>
      </w:r>
    </w:p>
    <w:p w:rsidR="00024C0A" w:rsidRDefault="00694C0F">
      <w:pPr>
        <w:pStyle w:val="Heading3"/>
      </w:pPr>
      <w:bookmarkStart w:id="1967" w:name="section_d8b43e5eef264b6582cb73f006020a2e"/>
      <w:bookmarkStart w:id="1968" w:name="_Toc12261044"/>
      <w:r>
        <w:t>Part 1 Section 18.17.7.171, INTRATE</w:t>
      </w:r>
      <w:bookmarkEnd w:id="1967"/>
      <w:bookmarkEnd w:id="1968"/>
      <w:r>
        <w:fldChar w:fldCharType="begin"/>
      </w:r>
      <w:r>
        <w:instrText xml:space="preserve"> XE "INTRATE" </w:instrText>
      </w:r>
      <w:r>
        <w:fldChar w:fldCharType="end"/>
      </w:r>
    </w:p>
    <w:p w:rsidR="00024C0A" w:rsidRDefault="00694C0F">
      <w:pPr>
        <w:pStyle w:val="Definition-Field"/>
      </w:pPr>
      <w:r>
        <w:t xml:space="preserve">a.   </w:t>
      </w:r>
      <w:r>
        <w:rPr>
          <w:i/>
        </w:rPr>
        <w:t>The standard does not specify day and month adjustments for the basis argument.</w:t>
      </w:r>
    </w:p>
    <w:p w:rsidR="00024C0A" w:rsidRDefault="00694C0F">
      <w:r>
        <w:t>I</w:t>
      </w:r>
      <w:r>
        <w:t xml:space="preserve">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Value</w:t>
            </w:r>
          </w:p>
        </w:tc>
        <w:tc>
          <w:tcPr>
            <w:tcW w:w="0" w:type="auto"/>
            <w:vAlign w:val="center"/>
          </w:tcPr>
          <w:p w:rsidR="00024C0A" w:rsidRDefault="00694C0F">
            <w:pPr>
              <w:pStyle w:val="TableHeaderText"/>
            </w:pPr>
            <w:r>
              <w:t>Day Count Basis</w:t>
            </w:r>
          </w:p>
        </w:tc>
      </w:tr>
      <w:tr w:rsidR="00024C0A" w:rsidTr="00024C0A">
        <w:tc>
          <w:tcPr>
            <w:tcW w:w="0" w:type="auto"/>
            <w:vAlign w:val="center"/>
          </w:tcPr>
          <w:p w:rsidR="00024C0A" w:rsidRDefault="00694C0F">
            <w:pPr>
              <w:pStyle w:val="TableBodyText"/>
            </w:pPr>
            <w:r>
              <w:rPr>
                <w:rStyle w:val="InlineCode"/>
              </w:rPr>
              <w:t>0</w:t>
            </w:r>
            <w:r>
              <w:t xml:space="preserve"> or omitted</w:t>
            </w:r>
          </w:p>
        </w:tc>
        <w:tc>
          <w:tcPr>
            <w:tcW w:w="0" w:type="auto"/>
            <w:vAlign w:val="center"/>
          </w:tcPr>
          <w:p w:rsidR="00024C0A" w:rsidRDefault="00694C0F">
            <w:pPr>
              <w:pStyle w:val="TableBodyText"/>
            </w:pPr>
            <w:r>
              <w:t xml:space="preserve">US (NASD) 30/360. If the dates are equal, the difference of days is 0. Assumes that each month has 30 days and the </w:t>
            </w:r>
            <w:r>
              <w:t>total number of days in the year is 360 by making the following adjustments:</w:t>
            </w:r>
          </w:p>
          <w:p w:rsidR="00024C0A" w:rsidRDefault="00694C0F">
            <w:pPr>
              <w:pStyle w:val="TableBodyText"/>
            </w:pPr>
            <w:r>
              <w:t>If both day-of-months are 31, they are changed to 30</w:t>
            </w:r>
          </w:p>
          <w:p w:rsidR="00024C0A" w:rsidRDefault="00694C0F">
            <w:pPr>
              <w:pStyle w:val="TableBodyText"/>
            </w:pPr>
            <w:r>
              <w:t>Otherwise, if date1’s day-of-month is 31, it is changed to 30</w:t>
            </w:r>
          </w:p>
          <w:p w:rsidR="00024C0A" w:rsidRDefault="00694C0F">
            <w:pPr>
              <w:pStyle w:val="TableBodyText"/>
            </w:pPr>
            <w:r>
              <w:t>Otherwise, if date1’s day-of-month is 30 and date2’s day-of-mont</w:t>
            </w:r>
            <w:r>
              <w:t>h is 31, date2’s day-of-month is changed to 30 (note that date2’s day-of-month will stay 31 if date1’s day &lt; 30)</w:t>
            </w:r>
          </w:p>
          <w:p w:rsidR="00024C0A" w:rsidRDefault="00694C0F">
            <w:pPr>
              <w:pStyle w:val="TableBodyText"/>
            </w:pPr>
            <w:r>
              <w:t>Otherwise, if both dates are the last day of February in their respective years, both day-of-month is changed to 30</w:t>
            </w:r>
          </w:p>
          <w:p w:rsidR="00024C0A" w:rsidRDefault="00694C0F">
            <w:pPr>
              <w:pStyle w:val="TableBodyText"/>
            </w:pPr>
            <w:r>
              <w:t xml:space="preserve">Otherwise, if date1 is the </w:t>
            </w:r>
            <w:r>
              <w:t>last day of February, its day-of-month is changed to 30</w:t>
            </w:r>
          </w:p>
        </w:tc>
      </w:tr>
      <w:tr w:rsidR="00024C0A" w:rsidTr="00024C0A">
        <w:tc>
          <w:tcPr>
            <w:tcW w:w="0" w:type="auto"/>
            <w:vAlign w:val="center"/>
          </w:tcPr>
          <w:p w:rsidR="00024C0A" w:rsidRDefault="00694C0F">
            <w:pPr>
              <w:pStyle w:val="TableBodyText"/>
            </w:pPr>
            <w:r>
              <w:rPr>
                <w:rStyle w:val="InlineCode"/>
              </w:rPr>
              <w:lastRenderedPageBreak/>
              <w:t>1</w:t>
            </w:r>
          </w:p>
        </w:tc>
        <w:tc>
          <w:tcPr>
            <w:tcW w:w="0" w:type="auto"/>
            <w:vAlign w:val="center"/>
          </w:tcPr>
          <w:p w:rsidR="00024C0A" w:rsidRDefault="00694C0F">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24C0A" w:rsidRDefault="00024C0A">
            <w:pPr>
              <w:pStyle w:val="TableBodyText"/>
            </w:pPr>
          </w:p>
          <w:p w:rsidR="00024C0A" w:rsidRDefault="00694C0F">
            <w:pPr>
              <w:pStyle w:val="TableBodyText"/>
            </w:pPr>
            <w:r>
              <w:t>To det</w:t>
            </w:r>
            <w:r>
              <w:t>ermine if date1 and date2 are “less than or equal to a year apart” for purposes of this algorithm, one of these conditions must be true:</w:t>
            </w:r>
          </w:p>
          <w:p w:rsidR="00024C0A" w:rsidRDefault="00694C0F">
            <w:pPr>
              <w:pStyle w:val="ListParagraph"/>
              <w:numPr>
                <w:ilvl w:val="0"/>
                <w:numId w:val="96"/>
              </w:numPr>
            </w:pPr>
            <w:r>
              <w:t>The two dates have the same year</w:t>
            </w:r>
          </w:p>
          <w:p w:rsidR="00024C0A" w:rsidRDefault="00694C0F">
            <w:pPr>
              <w:pStyle w:val="ListParagraph"/>
              <w:numPr>
                <w:ilvl w:val="0"/>
                <w:numId w:val="97"/>
              </w:numPr>
            </w:pPr>
            <w:r>
              <w:t>Date2’s year is exactly one more than date1’s year, and ((date1.month &gt; date2.month) o</w:t>
            </w:r>
            <w:r>
              <w:t>r ((date1.month == date2.month) and (date1.day &gt;= date2.day)))</w:t>
            </w:r>
          </w:p>
        </w:tc>
      </w:tr>
      <w:tr w:rsidR="00024C0A" w:rsidTr="00024C0A">
        <w:tc>
          <w:tcPr>
            <w:tcW w:w="0" w:type="auto"/>
            <w:vAlign w:val="center"/>
          </w:tcPr>
          <w:p w:rsidR="00024C0A" w:rsidRDefault="00694C0F">
            <w:pPr>
              <w:pStyle w:val="TableBodyText"/>
            </w:pPr>
            <w:r>
              <w:rPr>
                <w:rStyle w:val="InlineCode"/>
              </w:rPr>
              <w:t>2</w:t>
            </w:r>
          </w:p>
        </w:tc>
        <w:tc>
          <w:tcPr>
            <w:tcW w:w="0" w:type="auto"/>
            <w:vAlign w:val="center"/>
          </w:tcPr>
          <w:p w:rsidR="00024C0A" w:rsidRDefault="00694C0F">
            <w:pPr>
              <w:pStyle w:val="TableBodyText"/>
            </w:pPr>
            <w:r>
              <w:t>Actual/360. Computes the actual difference in days, and presumes there are always 360 days per year.</w:t>
            </w:r>
          </w:p>
        </w:tc>
      </w:tr>
      <w:tr w:rsidR="00024C0A" w:rsidTr="00024C0A">
        <w:tc>
          <w:tcPr>
            <w:tcW w:w="0" w:type="auto"/>
            <w:vAlign w:val="center"/>
          </w:tcPr>
          <w:p w:rsidR="00024C0A" w:rsidRDefault="00694C0F">
            <w:pPr>
              <w:pStyle w:val="TableBodyText"/>
            </w:pPr>
            <w:r>
              <w:rPr>
                <w:rStyle w:val="InlineCode"/>
              </w:rPr>
              <w:t>3</w:t>
            </w:r>
          </w:p>
        </w:tc>
        <w:tc>
          <w:tcPr>
            <w:tcW w:w="0" w:type="auto"/>
            <w:vAlign w:val="center"/>
          </w:tcPr>
          <w:p w:rsidR="00024C0A" w:rsidRDefault="00694C0F">
            <w:pPr>
              <w:pStyle w:val="TableBodyText"/>
            </w:pPr>
            <w:r>
              <w:t xml:space="preserve">Actual/365. Computes the actual difference in days, and presumes there are always 365 </w:t>
            </w:r>
            <w:r>
              <w:t>days per year.</w:t>
            </w:r>
          </w:p>
        </w:tc>
      </w:tr>
      <w:tr w:rsidR="00024C0A" w:rsidTr="00024C0A">
        <w:tc>
          <w:tcPr>
            <w:tcW w:w="0" w:type="auto"/>
            <w:vAlign w:val="center"/>
          </w:tcPr>
          <w:p w:rsidR="00024C0A" w:rsidRDefault="00694C0F">
            <w:pPr>
              <w:pStyle w:val="TableBodyText"/>
            </w:pPr>
            <w:r>
              <w:rPr>
                <w:rStyle w:val="InlineCode"/>
              </w:rPr>
              <w:t>4</w:t>
            </w:r>
          </w:p>
        </w:tc>
        <w:tc>
          <w:tcPr>
            <w:tcW w:w="0" w:type="auto"/>
            <w:vAlign w:val="center"/>
          </w:tcPr>
          <w:p w:rsidR="00024C0A" w:rsidRDefault="00694C0F">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024C0A" w:rsidRDefault="00024C0A"/>
    <w:p w:rsidR="00024C0A" w:rsidRDefault="00694C0F">
      <w:pPr>
        <w:pStyle w:val="Definition-Field"/>
      </w:pPr>
      <w:r>
        <w:t xml:space="preserve">b.   </w:t>
      </w:r>
      <w:r>
        <w:rPr>
          <w:i/>
        </w:rPr>
        <w:t>The standard states argument redemption is the amount to be received at maturity, the security's annual yield.</w:t>
      </w:r>
    </w:p>
    <w:p w:rsidR="00024C0A" w:rsidRDefault="00694C0F">
      <w:pPr>
        <w:pStyle w:val="Definition-Field2"/>
      </w:pPr>
      <w:r>
        <w:t>Office defines th</w:t>
      </w:r>
      <w:r>
        <w:t>e argument redemption as the amount to be received at maturity.</w:t>
      </w:r>
    </w:p>
    <w:p w:rsidR="00024C0A" w:rsidRDefault="00694C0F">
      <w:pPr>
        <w:pStyle w:val="Heading3"/>
      </w:pPr>
      <w:bookmarkStart w:id="1969" w:name="section_5c0583c254594b569657c94fb48dc600"/>
      <w:bookmarkStart w:id="1970" w:name="_Toc12261045"/>
      <w:r>
        <w:t>Part 1 Section 18.17.7.172, IPMT</w:t>
      </w:r>
      <w:bookmarkEnd w:id="1969"/>
      <w:bookmarkEnd w:id="1970"/>
      <w:r>
        <w:fldChar w:fldCharType="begin"/>
      </w:r>
      <w:r>
        <w:instrText xml:space="preserve"> XE "IPMT" </w:instrText>
      </w:r>
      <w:r>
        <w:fldChar w:fldCharType="end"/>
      </w:r>
    </w:p>
    <w:p w:rsidR="00024C0A" w:rsidRDefault="00694C0F">
      <w:pPr>
        <w:pStyle w:val="Definition-Field"/>
      </w:pPr>
      <w:r>
        <w:t xml:space="preserve">a.   </w:t>
      </w:r>
      <w:r>
        <w:rPr>
          <w:i/>
        </w:rPr>
        <w:t>The standard states that payment type is truncated to integer.</w:t>
      </w:r>
    </w:p>
    <w:p w:rsidR="00024C0A" w:rsidRDefault="00694C0F">
      <w:pPr>
        <w:pStyle w:val="Definition-Field2"/>
      </w:pPr>
      <w:r>
        <w:t>Office does not truncate payment type to integer.</w:t>
      </w:r>
    </w:p>
    <w:p w:rsidR="00024C0A" w:rsidRDefault="00694C0F">
      <w:pPr>
        <w:pStyle w:val="Definition-Field"/>
      </w:pPr>
      <w:r>
        <w:t xml:space="preserve">b.   </w:t>
      </w:r>
      <w:r>
        <w:rPr>
          <w:i/>
        </w:rPr>
        <w:t xml:space="preserve">The standard states </w:t>
      </w:r>
      <w:r>
        <w:rPr>
          <w:i/>
        </w:rPr>
        <w:t>that argument type is either 0 or 1.</w:t>
      </w:r>
    </w:p>
    <w:p w:rsidR="00024C0A" w:rsidRDefault="00694C0F">
      <w:pPr>
        <w:pStyle w:val="Definition-Field2"/>
      </w:pPr>
      <w:r>
        <w:t>In Office, any nonzero value of argument type is equivalent to 1.</w:t>
      </w:r>
    </w:p>
    <w:p w:rsidR="00024C0A" w:rsidRDefault="00694C0F">
      <w:pPr>
        <w:pStyle w:val="Definition-Field"/>
      </w:pPr>
      <w:r>
        <w:t xml:space="preserve">c.   </w:t>
      </w:r>
      <w:r>
        <w:rPr>
          <w:i/>
        </w:rPr>
        <w:t>The standard states that if argument type is not 0 or 1, #NUM! is returned.</w:t>
      </w:r>
    </w:p>
    <w:p w:rsidR="00024C0A" w:rsidRDefault="00694C0F">
      <w:pPr>
        <w:pStyle w:val="Definition-Field2"/>
      </w:pPr>
      <w:r>
        <w:t>In Office argument type is a value of any number.</w:t>
      </w:r>
    </w:p>
    <w:p w:rsidR="00024C0A" w:rsidRDefault="00694C0F">
      <w:pPr>
        <w:pStyle w:val="Definition-Field"/>
      </w:pPr>
      <w:r>
        <w:t xml:space="preserve">d.   </w:t>
      </w:r>
      <w:r>
        <w:rPr>
          <w:i/>
        </w:rPr>
        <w:t>The standard stat</w:t>
      </w:r>
      <w:r>
        <w:rPr>
          <w:i/>
        </w:rPr>
        <w:t>es that argument per shall be in the range 1-nper.</w:t>
      </w:r>
    </w:p>
    <w:p w:rsidR="00024C0A" w:rsidRDefault="00694C0F">
      <w:pPr>
        <w:pStyle w:val="Definition-Field2"/>
      </w:pPr>
      <w:r>
        <w:t>In Office argument per shall be in the range 1 ≤ per &lt; nper+1.</w:t>
      </w:r>
    </w:p>
    <w:p w:rsidR="00024C0A" w:rsidRDefault="00694C0F">
      <w:pPr>
        <w:pStyle w:val="Definition-Field"/>
      </w:pPr>
      <w:r>
        <w:t xml:space="preserve">e.   </w:t>
      </w:r>
      <w:r>
        <w:rPr>
          <w:i/>
        </w:rPr>
        <w:t>The standard does not define the error case if argument per is not in the range 1 ≤ per &lt; nper+1.</w:t>
      </w:r>
    </w:p>
    <w:p w:rsidR="00024C0A" w:rsidRDefault="00694C0F">
      <w:pPr>
        <w:pStyle w:val="Definition-Field2"/>
      </w:pPr>
      <w:r>
        <w:t>In Office if argument per is not in the</w:t>
      </w:r>
      <w:r>
        <w:t xml:space="preserve"> range 1 ≤ per &lt; nper+1, then #NUM! is returned.</w:t>
      </w:r>
    </w:p>
    <w:p w:rsidR="00024C0A" w:rsidRDefault="00694C0F">
      <w:pPr>
        <w:pStyle w:val="Definition-Field"/>
      </w:pPr>
      <w:r>
        <w:t xml:space="preserve">f.   </w:t>
      </w:r>
      <w:r>
        <w:rPr>
          <w:i/>
        </w:rPr>
        <w:t>The standard does not specify the value of argument type if omitted.</w:t>
      </w:r>
    </w:p>
    <w:p w:rsidR="00024C0A" w:rsidRDefault="00694C0F">
      <w:pPr>
        <w:pStyle w:val="Definition-Field2"/>
      </w:pPr>
      <w:r>
        <w:t>In Office if the argument type is omitted the argument type has a value of 0.</w:t>
      </w:r>
    </w:p>
    <w:p w:rsidR="00024C0A" w:rsidRDefault="00694C0F">
      <w:pPr>
        <w:pStyle w:val="Heading3"/>
      </w:pPr>
      <w:bookmarkStart w:id="1971" w:name="section_992887335f9f42e68e61ab6cea01a0d3"/>
      <w:bookmarkStart w:id="1972" w:name="_Toc12261046"/>
      <w:r>
        <w:lastRenderedPageBreak/>
        <w:t>Part 1 Section 18.17.7.173, IRR</w:t>
      </w:r>
      <w:bookmarkEnd w:id="1971"/>
      <w:bookmarkEnd w:id="1972"/>
      <w:r>
        <w:fldChar w:fldCharType="begin"/>
      </w:r>
      <w:r>
        <w:instrText xml:space="preserve"> XE "IRR" </w:instrText>
      </w:r>
      <w:r>
        <w:fldChar w:fldCharType="end"/>
      </w:r>
    </w:p>
    <w:p w:rsidR="00024C0A" w:rsidRDefault="00694C0F">
      <w:pPr>
        <w:pStyle w:val="Definition-Field"/>
      </w:pPr>
      <w:r>
        <w:t xml:space="preserve">a.   </w:t>
      </w:r>
      <w:r>
        <w:rPr>
          <w:i/>
        </w:rPr>
        <w:t>The st</w:t>
      </w:r>
      <w:r>
        <w:rPr>
          <w:i/>
        </w:rPr>
        <w:t>andard states that IRR uses an iterative calculation technique.</w:t>
      </w:r>
    </w:p>
    <w:p w:rsidR="00024C0A" w:rsidRDefault="00694C0F">
      <w:pPr>
        <w:pStyle w:val="Definition-Field2"/>
      </w:pPr>
      <w:r>
        <w:t>Office does not require an iterative calculation technique to be used for this function.</w:t>
      </w:r>
    </w:p>
    <w:p w:rsidR="00024C0A" w:rsidRDefault="00694C0F">
      <w:pPr>
        <w:pStyle w:val="Heading3"/>
      </w:pPr>
      <w:bookmarkStart w:id="1973" w:name="section_6edcb9784bd74a0f9e33b455b813dfa7"/>
      <w:bookmarkStart w:id="1974" w:name="_Toc12261047"/>
      <w:r>
        <w:t>Part 1 Section 18.17.7.184, ISPMT</w:t>
      </w:r>
      <w:bookmarkEnd w:id="1973"/>
      <w:bookmarkEnd w:id="1974"/>
      <w:r>
        <w:fldChar w:fldCharType="begin"/>
      </w:r>
      <w:r>
        <w:instrText xml:space="preserve"> XE "ISPMT" </w:instrText>
      </w:r>
      <w:r>
        <w:fldChar w:fldCharType="end"/>
      </w:r>
    </w:p>
    <w:p w:rsidR="00024C0A" w:rsidRDefault="00694C0F">
      <w:pPr>
        <w:pStyle w:val="Definition-Field"/>
      </w:pPr>
      <w:r>
        <w:t xml:space="preserve">a.   </w:t>
      </w:r>
      <w:r>
        <w:rPr>
          <w:i/>
        </w:rPr>
        <w:t>The standard states that the range for argument pe</w:t>
      </w:r>
      <w:r>
        <w:rPr>
          <w:i/>
        </w:rPr>
        <w:t>r is 1 - nper.</w:t>
      </w:r>
    </w:p>
    <w:p w:rsidR="00024C0A" w:rsidRDefault="00694C0F">
      <w:pPr>
        <w:pStyle w:val="Definition-Field2"/>
      </w:pPr>
      <w:r>
        <w:t>In Office the argument per has no range restriction.</w:t>
      </w:r>
    </w:p>
    <w:p w:rsidR="00024C0A" w:rsidRDefault="00694C0F">
      <w:pPr>
        <w:pStyle w:val="Definition-Field"/>
      </w:pPr>
      <w:r>
        <w:t xml:space="preserve">b.   </w:t>
      </w:r>
      <w:r>
        <w:rPr>
          <w:i/>
        </w:rPr>
        <w:t>The standard does not state the returned error case if argument nper is 0.</w:t>
      </w:r>
    </w:p>
    <w:p w:rsidR="00024C0A" w:rsidRDefault="00694C0F">
      <w:pPr>
        <w:pStyle w:val="Definition-Field2"/>
      </w:pPr>
      <w:r>
        <w:t>In Office when the argument nper is 0, #DIV/0! is returned.</w:t>
      </w:r>
    </w:p>
    <w:p w:rsidR="00024C0A" w:rsidRDefault="00694C0F">
      <w:pPr>
        <w:pStyle w:val="Heading3"/>
      </w:pPr>
      <w:bookmarkStart w:id="1975" w:name="section_e695b5596b384df9927a6077fff4f888"/>
      <w:bookmarkStart w:id="1976" w:name="_Toc12261048"/>
      <w:r>
        <w:t>Part 1 Section 18.17.7.191, LEFT</w:t>
      </w:r>
      <w:bookmarkEnd w:id="1975"/>
      <w:bookmarkEnd w:id="1976"/>
      <w:r>
        <w:fldChar w:fldCharType="begin"/>
      </w:r>
      <w:r>
        <w:instrText xml:space="preserve"> XE "LEFT" </w:instrText>
      </w:r>
      <w:r>
        <w:fldChar w:fldCharType="end"/>
      </w:r>
    </w:p>
    <w:p w:rsidR="00024C0A" w:rsidRDefault="00694C0F">
      <w:pPr>
        <w:pStyle w:val="Definition-Field"/>
      </w:pPr>
      <w:r>
        <w:t xml:space="preserve">a.   </w:t>
      </w:r>
      <w:r>
        <w:rPr>
          <w:i/>
        </w:rPr>
        <w:t>The standard states that LEFT is intended for use with languages that use the single-byte character set (SBCS), whereas LEFTB is intended for use with languages that use the double-byte character set (DBCS).</w:t>
      </w:r>
    </w:p>
    <w:p w:rsidR="00024C0A" w:rsidRDefault="00694C0F">
      <w:pPr>
        <w:pStyle w:val="Definition-Field2"/>
      </w:pPr>
      <w:r>
        <w:t>In Office, LEFT is intended for use with an</w:t>
      </w:r>
      <w:r>
        <w:t>y language, whereas LEFTB is intended for use with languages that use the double-byte character set (DBCS).</w:t>
      </w:r>
    </w:p>
    <w:p w:rsidR="00024C0A" w:rsidRDefault="00694C0F">
      <w:pPr>
        <w:pStyle w:val="Heading3"/>
      </w:pPr>
      <w:bookmarkStart w:id="1977" w:name="section_1ff4777a2b164eedaea6bca9ee46e38f"/>
      <w:bookmarkStart w:id="1978" w:name="_Toc12261049"/>
      <w:r>
        <w:t>Part 1 Section 18.17.7.192, LEFTB</w:t>
      </w:r>
      <w:bookmarkEnd w:id="1977"/>
      <w:bookmarkEnd w:id="1978"/>
      <w:r>
        <w:fldChar w:fldCharType="begin"/>
      </w:r>
      <w:r>
        <w:instrText xml:space="preserve"> XE "LEFTB" </w:instrText>
      </w:r>
      <w:r>
        <w:fldChar w:fldCharType="end"/>
      </w:r>
    </w:p>
    <w:p w:rsidR="00024C0A" w:rsidRDefault="00694C0F">
      <w:pPr>
        <w:pStyle w:val="Definition-Field"/>
      </w:pPr>
      <w:r>
        <w:t xml:space="preserve">a.   </w:t>
      </w:r>
      <w:r>
        <w:rPr>
          <w:i/>
        </w:rPr>
        <w:t>The standard states that LEFT is intended for use with languages that use the single-byte chara</w:t>
      </w:r>
      <w:r>
        <w:rPr>
          <w:i/>
        </w:rPr>
        <w:t>cter set (SBCS), whereas LEFTB is intended for use with languages that use the double-byte character set (DBCS).</w:t>
      </w:r>
    </w:p>
    <w:p w:rsidR="00024C0A" w:rsidRDefault="00694C0F">
      <w:pPr>
        <w:pStyle w:val="Definition-Field2"/>
      </w:pPr>
      <w:r>
        <w:t xml:space="preserve">In Office, LEFT is intended for use with any language, whereas LEFTB is intended for use with languages that use the double-byte character set </w:t>
      </w:r>
      <w:r>
        <w:t>(DBCS).</w:t>
      </w:r>
    </w:p>
    <w:p w:rsidR="00024C0A" w:rsidRDefault="00694C0F">
      <w:pPr>
        <w:pStyle w:val="Definition-Field"/>
      </w:pPr>
      <w:r>
        <w:t xml:space="preserve">b.   </w:t>
      </w:r>
      <w:r>
        <w:rPr>
          <w:i/>
        </w:rPr>
        <w:t>The standard does not specify behavior of LEFTB when default language supports DBCS and when it does not support DBCS.</w:t>
      </w:r>
    </w:p>
    <w:p w:rsidR="00024C0A" w:rsidRDefault="00694C0F">
      <w:pPr>
        <w:pStyle w:val="Definition-Field2"/>
      </w:pPr>
      <w:r>
        <w:t>In Office, when the default language supports DBCS, LEFTB counts each double-byte character as 2 bytes, and each single-byte</w:t>
      </w:r>
      <w:r>
        <w:t xml:space="preserve"> character as 1. When the default language does not support DBCS, LEFTB counts each character as 1 byte.</w:t>
      </w:r>
    </w:p>
    <w:p w:rsidR="00024C0A" w:rsidRDefault="00694C0F">
      <w:pPr>
        <w:pStyle w:val="Definition-Field"/>
      </w:pPr>
      <w:r>
        <w:t xml:space="preserve">c.   </w:t>
      </w:r>
      <w:r>
        <w:rPr>
          <w:i/>
        </w:rPr>
        <w:t>The standard does not specify which languages support DBCS.</w:t>
      </w:r>
    </w:p>
    <w:p w:rsidR="00024C0A" w:rsidRDefault="00694C0F">
      <w:pPr>
        <w:pStyle w:val="Definition-Field2"/>
      </w:pPr>
      <w:r>
        <w:t xml:space="preserve">In Office, the languages that support DBCS include Japanese, Chinese (Simplified), </w:t>
      </w:r>
      <w:r>
        <w:t>Chinese (Traditional), and Korean.</w:t>
      </w:r>
    </w:p>
    <w:p w:rsidR="00024C0A" w:rsidRDefault="00694C0F">
      <w:pPr>
        <w:pStyle w:val="Heading3"/>
      </w:pPr>
      <w:bookmarkStart w:id="1979" w:name="section_d6a74eba0eff4bb6bfc68d69fc7c6aac"/>
      <w:bookmarkStart w:id="1980" w:name="_Toc12261050"/>
      <w:r>
        <w:t>Part 1 Section 18.17.7.193, LEN</w:t>
      </w:r>
      <w:bookmarkEnd w:id="1979"/>
      <w:bookmarkEnd w:id="1980"/>
      <w:r>
        <w:fldChar w:fldCharType="begin"/>
      </w:r>
      <w:r>
        <w:instrText xml:space="preserve"> XE "LEN" </w:instrText>
      </w:r>
      <w:r>
        <w:fldChar w:fldCharType="end"/>
      </w:r>
    </w:p>
    <w:p w:rsidR="00024C0A" w:rsidRDefault="00694C0F">
      <w:pPr>
        <w:pStyle w:val="Definition-Field"/>
      </w:pPr>
      <w:r>
        <w:t xml:space="preserve">a.   </w:t>
      </w:r>
      <w:r>
        <w:rPr>
          <w:i/>
        </w:rPr>
        <w:t>The standard specifies that LEN is intended for use with languages that use the single-byte (SBCS), whereas LENB is intended for use with languages that use the double-byte</w:t>
      </w:r>
      <w:r>
        <w:rPr>
          <w:i/>
        </w:rPr>
        <w:t xml:space="preserve"> character set (DBCS).</w:t>
      </w:r>
    </w:p>
    <w:p w:rsidR="00024C0A" w:rsidRDefault="00694C0F">
      <w:pPr>
        <w:pStyle w:val="Definition-Field2"/>
      </w:pPr>
      <w:r>
        <w:t>In Office, LEN is intended for use with any language, whereas LENB is intended for use with languages that use the double-byte character set (DBCS).</w:t>
      </w:r>
    </w:p>
    <w:p w:rsidR="00024C0A" w:rsidRDefault="00694C0F">
      <w:pPr>
        <w:pStyle w:val="Heading3"/>
      </w:pPr>
      <w:bookmarkStart w:id="1981" w:name="section_3603d0a308ca4280ab15d97c69cb47b6"/>
      <w:bookmarkStart w:id="1982" w:name="_Toc12261051"/>
      <w:r>
        <w:lastRenderedPageBreak/>
        <w:t>Part 1 Section 18.17.7.194, LENB</w:t>
      </w:r>
      <w:bookmarkEnd w:id="1981"/>
      <w:bookmarkEnd w:id="1982"/>
      <w:r>
        <w:fldChar w:fldCharType="begin"/>
      </w:r>
      <w:r>
        <w:instrText xml:space="preserve"> XE "LENB" </w:instrText>
      </w:r>
      <w:r>
        <w:fldChar w:fldCharType="end"/>
      </w:r>
    </w:p>
    <w:p w:rsidR="00024C0A" w:rsidRDefault="00694C0F">
      <w:pPr>
        <w:pStyle w:val="Definition-Field"/>
      </w:pPr>
      <w:r>
        <w:t xml:space="preserve">a.   </w:t>
      </w:r>
      <w:r>
        <w:rPr>
          <w:i/>
        </w:rPr>
        <w:t xml:space="preserve">The standard states that LENB is </w:t>
      </w:r>
      <w:r>
        <w:rPr>
          <w:i/>
        </w:rPr>
        <w:t>intended for use with languages that use the double-byte character set (DBCS), whereas LEN is intended for use with languages that use the single-byte character set (SBCS).</w:t>
      </w:r>
    </w:p>
    <w:p w:rsidR="00024C0A" w:rsidRDefault="00694C0F">
      <w:pPr>
        <w:pStyle w:val="Definition-Field2"/>
      </w:pPr>
      <w:r>
        <w:t>In Office, LENB is intended for use with languages that use the double-byte charact</w:t>
      </w:r>
      <w:r>
        <w:t>er set (DBCS), whereas LEN is intended for use with any language.</w:t>
      </w:r>
    </w:p>
    <w:p w:rsidR="00024C0A" w:rsidRDefault="00694C0F">
      <w:pPr>
        <w:pStyle w:val="Definition-Field"/>
      </w:pPr>
      <w:r>
        <w:t xml:space="preserve">b.   </w:t>
      </w:r>
      <w:r>
        <w:rPr>
          <w:i/>
        </w:rPr>
        <w:t>The standard does not specify behavior of LENB when default language supports DBCS and when it does not support DBCS.</w:t>
      </w:r>
    </w:p>
    <w:p w:rsidR="00024C0A" w:rsidRDefault="00694C0F">
      <w:pPr>
        <w:pStyle w:val="Definition-Field2"/>
      </w:pPr>
      <w:r>
        <w:t>In Office, when the default language supports DBCS, LENB counts eac</w:t>
      </w:r>
      <w:r>
        <w:t>h double-byte character as 2 bytes, and each single-byte character as 1. When the default language does not support DBCS, LENB counts each character as 1 byte.</w:t>
      </w:r>
    </w:p>
    <w:p w:rsidR="00024C0A" w:rsidRDefault="00694C0F">
      <w:pPr>
        <w:pStyle w:val="Definition-Field"/>
      </w:pPr>
      <w:r>
        <w:t xml:space="preserve">c.   </w:t>
      </w:r>
      <w:r>
        <w:rPr>
          <w:i/>
        </w:rPr>
        <w:t>The standard does not specify which languages support DBCS.</w:t>
      </w:r>
    </w:p>
    <w:p w:rsidR="00024C0A" w:rsidRDefault="00694C0F">
      <w:pPr>
        <w:pStyle w:val="Definition-Field2"/>
      </w:pPr>
      <w:r>
        <w:t>In Office, the languages that s</w:t>
      </w:r>
      <w:r>
        <w:t>upport DBCS include Japanese, Chinese (Simplified), Chinese (Traditional), and Korean.</w:t>
      </w:r>
    </w:p>
    <w:p w:rsidR="00024C0A" w:rsidRDefault="00694C0F">
      <w:pPr>
        <w:pStyle w:val="Heading3"/>
      </w:pPr>
      <w:bookmarkStart w:id="1983" w:name="section_85a7e2ec196140b4ad596f91de000cf7"/>
      <w:bookmarkStart w:id="1984" w:name="_Toc12261052"/>
      <w:r>
        <w:t>Part 1 Section 18.17.7.195, LINEST</w:t>
      </w:r>
      <w:bookmarkEnd w:id="1983"/>
      <w:bookmarkEnd w:id="1984"/>
      <w:r>
        <w:fldChar w:fldCharType="begin"/>
      </w:r>
      <w:r>
        <w:instrText xml:space="preserve"> XE "LINEST" </w:instrText>
      </w:r>
      <w:r>
        <w:fldChar w:fldCharType="end"/>
      </w:r>
    </w:p>
    <w:p w:rsidR="00024C0A" w:rsidRDefault="00694C0F">
      <w:pPr>
        <w:pStyle w:val="Definition-Field"/>
      </w:pPr>
      <w:r>
        <w:t xml:space="preserve">a.   </w:t>
      </w:r>
      <w:r>
        <w:rPr>
          <w:i/>
        </w:rPr>
        <w:t>The standard states that x and y are sample means.</w:t>
      </w:r>
    </w:p>
    <w:p w:rsidR="00024C0A" w:rsidRDefault="00694C0F">
      <w:pPr>
        <w:pStyle w:val="Definition-Field2"/>
      </w:pPr>
      <w:r>
        <w:t>Office treats x and y as the sample values, and x-bar and y-bar</w:t>
      </w:r>
      <w:r>
        <w:t xml:space="preserve"> as the sample means of known-xs and known-ys, respectively.</w:t>
      </w:r>
    </w:p>
    <w:p w:rsidR="00024C0A" w:rsidRDefault="00694C0F">
      <w:pPr>
        <w:pStyle w:val="Definition-Field"/>
      </w:pPr>
      <w:r>
        <w:t xml:space="preserve">b.   </w:t>
      </w:r>
      <w:r>
        <w:rPr>
          <w:i/>
        </w:rPr>
        <w:t>The standard does not place any restrictions on dimensions of known-ys or known-xs.</w:t>
      </w:r>
    </w:p>
    <w:p w:rsidR="00024C0A" w:rsidRDefault="00694C0F">
      <w:pPr>
        <w:pStyle w:val="Definition-Field2"/>
      </w:pPr>
      <w:r>
        <w:t>In Office, if known-ys and known-xs are both specified but don't match in size (or number of variables for</w:t>
      </w:r>
      <w:r>
        <w:t xml:space="preserve"> the multivariate case), #REF! is returned.</w:t>
      </w:r>
    </w:p>
    <w:p w:rsidR="00024C0A" w:rsidRDefault="00694C0F">
      <w:pPr>
        <w:pStyle w:val="Definition-Field"/>
      </w:pPr>
      <w:r>
        <w:t xml:space="preserve">c.   </w:t>
      </w:r>
      <w:r>
        <w:rPr>
          <w:i/>
        </w:rPr>
        <w:t>The standard describes statistic seb as the standard error value for the constant b.</w:t>
      </w:r>
    </w:p>
    <w:p w:rsidR="00024C0A" w:rsidRDefault="00694C0F">
      <w:pPr>
        <w:pStyle w:val="Definition-Field2"/>
      </w:pPr>
      <w:r>
        <w:t>In Office, if b is forced to be zero (const-flag=FALSE), then it has no standard error and #N/A is returned.</w:t>
      </w:r>
    </w:p>
    <w:p w:rsidR="00024C0A" w:rsidRDefault="00694C0F">
      <w:pPr>
        <w:pStyle w:val="Definition-Field"/>
      </w:pPr>
      <w:r>
        <w:t xml:space="preserve">d.   </w:t>
      </w:r>
      <w:r>
        <w:rPr>
          <w:i/>
        </w:rPr>
        <w:t>The stan</w:t>
      </w:r>
      <w:r>
        <w:rPr>
          <w:i/>
        </w:rPr>
        <w:t>dard does not mention collinearity cases for this function.</w:t>
      </w:r>
    </w:p>
    <w:p w:rsidR="00024C0A" w:rsidRDefault="00694C0F">
      <w:r>
        <w:t>In Excel, vectors in known-xs that are collinear (have no additional predictive value because they can be expressed as sum of multiples of existing vectors) are omitted from the regression calcula</w:t>
      </w:r>
      <w:r>
        <w:t>tions. The vectors are given a coefficient of 0 and a standard error of 0 (m = 0; se=0).  If vectors are omitted, df is affected because df depends on the number of values used for predictive purposes.</w:t>
      </w:r>
    </w:p>
    <w:p w:rsidR="00024C0A" w:rsidRDefault="00694C0F">
      <w:pPr>
        <w:pStyle w:val="Definition-Field"/>
      </w:pPr>
      <w:r>
        <w:t xml:space="preserve">e.   </w:t>
      </w:r>
      <w:r>
        <w:rPr>
          <w:i/>
        </w:rPr>
        <w:t>The standard states the syntax is: LINEST  (  kno</w:t>
      </w:r>
      <w:r>
        <w:rPr>
          <w:i/>
        </w:rPr>
        <w:t>wn-ys  [  ,  [  known-xs  ]  [  ,  [  const-flag  ] [  ,  stats-flag  ] ]  ).</w:t>
      </w:r>
    </w:p>
    <w:p w:rsidR="00024C0A" w:rsidRDefault="00694C0F">
      <w:pPr>
        <w:pStyle w:val="Definition-Field2"/>
      </w:pPr>
      <w:r>
        <w:t>Office uses the following syntax: LINEST  (  known-ys  [  ,  [  known-xs  ] [  ,  [  const-flag  ] [  , [  stats-flag  ] ] ] ] ).</w:t>
      </w:r>
    </w:p>
    <w:p w:rsidR="00024C0A" w:rsidRDefault="00694C0F">
      <w:pPr>
        <w:pStyle w:val="Heading3"/>
      </w:pPr>
      <w:bookmarkStart w:id="1985" w:name="section_9e06359058a34e4c8a15b9cfb1bc1b88"/>
      <w:bookmarkStart w:id="1986" w:name="_Toc12261053"/>
      <w:r>
        <w:t>Part 1 Section 18.17.7.197, LOG</w:t>
      </w:r>
      <w:bookmarkEnd w:id="1985"/>
      <w:bookmarkEnd w:id="1986"/>
      <w:r>
        <w:fldChar w:fldCharType="begin"/>
      </w:r>
      <w:r>
        <w:instrText xml:space="preserve"> XE "LOG" </w:instrText>
      </w:r>
      <w:r>
        <w:fldChar w:fldCharType="end"/>
      </w:r>
    </w:p>
    <w:p w:rsidR="00024C0A" w:rsidRDefault="00694C0F">
      <w:pPr>
        <w:pStyle w:val="Definition-Field"/>
      </w:pPr>
      <w:r>
        <w:t xml:space="preserve">a.  </w:t>
      </w:r>
      <w:r>
        <w:t xml:space="preserve"> </w:t>
      </w:r>
      <w:r>
        <w:rPr>
          <w:i/>
        </w:rPr>
        <w:t>The standard does not specify what happens if base is equal to 1.</w:t>
      </w:r>
    </w:p>
    <w:p w:rsidR="00024C0A" w:rsidRDefault="00694C0F">
      <w:pPr>
        <w:pStyle w:val="Definition-Field2"/>
      </w:pPr>
      <w:r>
        <w:t>Office returns #DIV/0! if base is equal to 1.</w:t>
      </w:r>
    </w:p>
    <w:p w:rsidR="00024C0A" w:rsidRDefault="00694C0F">
      <w:pPr>
        <w:pStyle w:val="Heading3"/>
      </w:pPr>
      <w:bookmarkStart w:id="1987" w:name="section_bd605e24aefa4f038aaefb389ffea52c"/>
      <w:bookmarkStart w:id="1988" w:name="_Toc12261054"/>
      <w:r>
        <w:lastRenderedPageBreak/>
        <w:t>Part 1 Section 18.17.7.199, LOGEST</w:t>
      </w:r>
      <w:bookmarkEnd w:id="1987"/>
      <w:bookmarkEnd w:id="1988"/>
      <w:r>
        <w:fldChar w:fldCharType="begin"/>
      </w:r>
      <w:r>
        <w:instrText xml:space="preserve"> XE "LOGEST" </w:instrText>
      </w:r>
      <w:r>
        <w:fldChar w:fldCharType="end"/>
      </w:r>
    </w:p>
    <w:p w:rsidR="00024C0A" w:rsidRDefault="00694C0F">
      <w:pPr>
        <w:pStyle w:val="Definition-Field"/>
      </w:pPr>
      <w:r>
        <w:t xml:space="preserve">a.   </w:t>
      </w:r>
      <w:r>
        <w:rPr>
          <w:i/>
        </w:rPr>
        <w:t xml:space="preserve">The standard specifies the equation for the curve is y = b * mx or </w:t>
      </w:r>
      <w:r>
        <w:rPr>
          <w:i/>
        </w:rPr>
        <w:t>y=b*(m1*x1)*(m2*x2)*...) if there are multiple values</w:t>
      </w:r>
    </w:p>
    <w:p w:rsidR="00024C0A" w:rsidRDefault="00694C0F">
      <w:pPr>
        <w:pStyle w:val="Definition-Field2"/>
      </w:pPr>
      <w:r>
        <w:t>Office uses the following equation for the curve: y = b * (m^x) or y=b*(m1^x1)*(m2^x2)...(mn^xn) if there are multiple values</w:t>
      </w:r>
    </w:p>
    <w:p w:rsidR="00024C0A" w:rsidRDefault="00694C0F">
      <w:pPr>
        <w:pStyle w:val="Definition-Field"/>
      </w:pPr>
      <w:r>
        <w:t xml:space="preserve">b.   </w:t>
      </w:r>
      <w:r>
        <w:rPr>
          <w:i/>
        </w:rPr>
        <w:t xml:space="preserve">The standard does not place any restrictions on dimensions of known-ys </w:t>
      </w:r>
      <w:r>
        <w:rPr>
          <w:i/>
        </w:rPr>
        <w:t>or known-xs.</w:t>
      </w:r>
    </w:p>
    <w:p w:rsidR="00024C0A" w:rsidRDefault="00694C0F">
      <w:pPr>
        <w:pStyle w:val="Definition-Field2"/>
      </w:pPr>
      <w:r>
        <w:t>In Office, if known-ys and known-xs are not the same size, or known-ys does not contain exactly one value for each row or column of known-xs, #REF! is returned.</w:t>
      </w:r>
    </w:p>
    <w:p w:rsidR="00024C0A" w:rsidRDefault="00694C0F">
      <w:pPr>
        <w:pStyle w:val="Definition-Field"/>
      </w:pPr>
      <w:r>
        <w:t xml:space="preserve">c.   </w:t>
      </w:r>
      <w:r>
        <w:rPr>
          <w:i/>
        </w:rPr>
        <w:t>The standard specifies the following syntax: LOGEST  (  known-ys  [  ,  [  kn</w:t>
      </w:r>
      <w:r>
        <w:rPr>
          <w:i/>
        </w:rPr>
        <w:t>own-xs  ]  [  ,  [  const-flag  ] [  ,  stats-flag  ] ]  ).</w:t>
      </w:r>
    </w:p>
    <w:p w:rsidR="00024C0A" w:rsidRDefault="00694C0F">
      <w:pPr>
        <w:pStyle w:val="Definition-Field2"/>
      </w:pPr>
      <w:r>
        <w:t>Office uses the following syntax: LOGEST  (  known-ys  [  ,  [  known-xs  ]  [  ,  [  const-flag  ] [  ,  [  stats-flag  ] ] ] ]  ).</w:t>
      </w:r>
    </w:p>
    <w:p w:rsidR="00024C0A" w:rsidRDefault="00694C0F">
      <w:pPr>
        <w:pStyle w:val="Heading3"/>
      </w:pPr>
      <w:bookmarkStart w:id="1989" w:name="section_30e516d248dd4052be896aae823b298e"/>
      <w:bookmarkStart w:id="1990" w:name="_Toc12261055"/>
      <w:r>
        <w:t>Part 1 Section 18.17.7.200, LOGINV</w:t>
      </w:r>
      <w:bookmarkEnd w:id="1989"/>
      <w:bookmarkEnd w:id="1990"/>
      <w:r>
        <w:fldChar w:fldCharType="begin"/>
      </w:r>
      <w:r>
        <w:instrText xml:space="preserve"> XE "LOGINV" </w:instrText>
      </w:r>
      <w:r>
        <w:fldChar w:fldCharType="end"/>
      </w:r>
    </w:p>
    <w:p w:rsidR="00024C0A" w:rsidRDefault="00694C0F">
      <w:pPr>
        <w:pStyle w:val="Definition-Field"/>
      </w:pPr>
      <w:r>
        <w:t xml:space="preserve">a.   </w:t>
      </w:r>
      <w:r>
        <w:rPr>
          <w:i/>
        </w:rPr>
        <w:t>The stan</w:t>
      </w:r>
      <w:r>
        <w:rPr>
          <w:i/>
        </w:rPr>
        <w:t>dard states that if probability is less than 0, or if probability is greater than 1, #NUM! is returned.</w:t>
      </w:r>
    </w:p>
    <w:p w:rsidR="00024C0A" w:rsidRDefault="00694C0F">
      <w:pPr>
        <w:pStyle w:val="Definition-Field2"/>
      </w:pPr>
      <w:r>
        <w:t>Office returns #NUM! if probability is less than or equal to 0, or if probability is greater than or equal to 1.</w:t>
      </w:r>
    </w:p>
    <w:p w:rsidR="00024C0A" w:rsidRDefault="00694C0F">
      <w:pPr>
        <w:pStyle w:val="Heading3"/>
      </w:pPr>
      <w:bookmarkStart w:id="1991" w:name="section_572fe441c59643d68a9f2a5baeae54a4"/>
      <w:bookmarkStart w:id="1992" w:name="_Toc12261056"/>
      <w:r>
        <w:t>Part 1 Section 18.17.7.201, LOGNORMDIST</w:t>
      </w:r>
      <w:bookmarkEnd w:id="1991"/>
      <w:bookmarkEnd w:id="1992"/>
      <w:r>
        <w:fldChar w:fldCharType="begin"/>
      </w:r>
      <w:r>
        <w:instrText xml:space="preserve"> XE "LOGNORMDIST" </w:instrText>
      </w:r>
      <w:r>
        <w:fldChar w:fldCharType="end"/>
      </w:r>
    </w:p>
    <w:p w:rsidR="00024C0A" w:rsidRDefault="00694C0F">
      <w:pPr>
        <w:pStyle w:val="Definition-Field"/>
      </w:pPr>
      <w:r>
        <w:t xml:space="preserve">a.   </w:t>
      </w:r>
      <w:r>
        <w:rPr>
          <w:i/>
        </w:rPr>
        <w:t>The standard states that the function returns the inverse of the lognormal cumulative distribution function of x.</w:t>
      </w:r>
    </w:p>
    <w:p w:rsidR="00024C0A" w:rsidRDefault="00694C0F">
      <w:pPr>
        <w:pStyle w:val="Definition-Field2"/>
      </w:pPr>
      <w:r>
        <w:t>In Office, the function returns the lognormal cumulative distribution of x.</w:t>
      </w:r>
    </w:p>
    <w:p w:rsidR="00024C0A" w:rsidRDefault="00694C0F">
      <w:pPr>
        <w:pStyle w:val="Heading3"/>
      </w:pPr>
      <w:bookmarkStart w:id="1993" w:name="section_19f20aeb5ca84a59acd8b01ba6e8ed07"/>
      <w:bookmarkStart w:id="1994" w:name="_Toc12261057"/>
      <w:r>
        <w:t>Part 1 Section 18.17.7.204, MATCH</w:t>
      </w:r>
      <w:bookmarkEnd w:id="1993"/>
      <w:bookmarkEnd w:id="1994"/>
      <w:r>
        <w:fldChar w:fldCharType="begin"/>
      </w:r>
      <w:r>
        <w:instrText xml:space="preserve"> XE "MA</w:instrText>
      </w:r>
      <w:r>
        <w:instrText xml:space="preserve">TCH" </w:instrText>
      </w:r>
      <w:r>
        <w:fldChar w:fldCharType="end"/>
      </w:r>
    </w:p>
    <w:p w:rsidR="00024C0A" w:rsidRDefault="00694C0F">
      <w:pPr>
        <w:pStyle w:val="Definition-Field"/>
      </w:pPr>
      <w:r>
        <w:t xml:space="preserve">a.   </w:t>
      </w:r>
      <w:r>
        <w:rPr>
          <w:i/>
        </w:rPr>
        <w:t>The standard states that if no match is found, #NUM! is returned.</w:t>
      </w:r>
    </w:p>
    <w:p w:rsidR="00024C0A" w:rsidRDefault="00694C0F">
      <w:pPr>
        <w:pStyle w:val="Definition-Field2"/>
      </w:pPr>
      <w:r>
        <w:t>In Office, #N/A is returned if no match is found.</w:t>
      </w:r>
    </w:p>
    <w:p w:rsidR="00024C0A" w:rsidRDefault="00694C0F">
      <w:pPr>
        <w:pStyle w:val="Definition-Field"/>
      </w:pPr>
      <w:r>
        <w:t xml:space="preserve">b.   </w:t>
      </w:r>
      <w:r>
        <w:rPr>
          <w:i/>
        </w:rPr>
        <w:t>The standard does not place any restrictions on the dimensions of argument lookup-array.</w:t>
      </w:r>
    </w:p>
    <w:p w:rsidR="00024C0A" w:rsidRDefault="00694C0F">
      <w:pPr>
        <w:pStyle w:val="Definition-Field2"/>
      </w:pPr>
      <w:r>
        <w:t xml:space="preserve">In Office, argument lookup-array </w:t>
      </w:r>
      <w:r>
        <w:t>must be an array or range with only one row or only one column, else #N/A is returned.</w:t>
      </w:r>
    </w:p>
    <w:p w:rsidR="00024C0A" w:rsidRDefault="00694C0F">
      <w:pPr>
        <w:pStyle w:val="Heading3"/>
      </w:pPr>
      <w:bookmarkStart w:id="1995" w:name="section_785ab22f8b1f4137a3c10f7627cb4be2"/>
      <w:bookmarkStart w:id="1996" w:name="_Toc12261058"/>
      <w:r>
        <w:t>Part 1 Section 18.17.7.208, MDURATION</w:t>
      </w:r>
      <w:bookmarkEnd w:id="1995"/>
      <w:bookmarkEnd w:id="1996"/>
      <w:r>
        <w:fldChar w:fldCharType="begin"/>
      </w:r>
      <w:r>
        <w:instrText xml:space="preserve"> XE "MDURATION" </w:instrText>
      </w:r>
      <w:r>
        <w:fldChar w:fldCharType="end"/>
      </w:r>
    </w:p>
    <w:p w:rsidR="00024C0A" w:rsidRDefault="00694C0F">
      <w:pPr>
        <w:pStyle w:val="Definition-Field"/>
      </w:pPr>
      <w:r>
        <w:t xml:space="preserve">a.   </w:t>
      </w:r>
      <w:r>
        <w:rPr>
          <w:i/>
        </w:rPr>
        <w:t>The standard does not specify day and month adjustments for the basis argument.</w:t>
      </w:r>
    </w:p>
    <w:p w:rsidR="00024C0A" w:rsidRDefault="00694C0F">
      <w:r>
        <w:t xml:space="preserve">In Excel, the </w:t>
      </w:r>
      <w:r>
        <w:rPr>
          <w:i/>
        </w:rPr>
        <w:t>basis</w:t>
      </w:r>
      <w:r>
        <w:rPr>
          <w:b/>
          <w:i/>
        </w:rPr>
        <w:t xml:space="preserve"> </w:t>
      </w:r>
      <w:r>
        <w:t>argument</w:t>
      </w:r>
      <w:r>
        <w:t xml:space="preserve">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Value</w:t>
            </w:r>
          </w:p>
        </w:tc>
        <w:tc>
          <w:tcPr>
            <w:tcW w:w="0" w:type="auto"/>
            <w:vAlign w:val="center"/>
          </w:tcPr>
          <w:p w:rsidR="00024C0A" w:rsidRDefault="00694C0F">
            <w:pPr>
              <w:pStyle w:val="TableHeaderText"/>
            </w:pPr>
            <w:r>
              <w:t>Day Count Basis</w:t>
            </w:r>
          </w:p>
        </w:tc>
      </w:tr>
      <w:tr w:rsidR="00024C0A" w:rsidTr="00024C0A">
        <w:tc>
          <w:tcPr>
            <w:tcW w:w="0" w:type="auto"/>
            <w:vAlign w:val="center"/>
          </w:tcPr>
          <w:p w:rsidR="00024C0A" w:rsidRDefault="00694C0F">
            <w:pPr>
              <w:pStyle w:val="TableBodyText"/>
            </w:pPr>
            <w:r>
              <w:rPr>
                <w:rStyle w:val="InlineCode"/>
              </w:rPr>
              <w:t>0</w:t>
            </w:r>
            <w:r>
              <w:t xml:space="preserve"> or omitted</w:t>
            </w:r>
          </w:p>
        </w:tc>
        <w:tc>
          <w:tcPr>
            <w:tcW w:w="0" w:type="auto"/>
            <w:vAlign w:val="center"/>
          </w:tcPr>
          <w:p w:rsidR="00024C0A" w:rsidRDefault="00694C0F">
            <w:pPr>
              <w:pStyle w:val="TableBodyText"/>
            </w:pPr>
            <w:r>
              <w:t xml:space="preserve">US (NASD) 30/360. If the dates are equal, the difference of days is 0. Assumes that each month has 30 days and the total number of days in the </w:t>
            </w:r>
            <w:r>
              <w:t>year is 360 by making the following adjustments:</w:t>
            </w:r>
          </w:p>
          <w:p w:rsidR="00024C0A" w:rsidRDefault="00694C0F">
            <w:pPr>
              <w:pStyle w:val="TableBodyText"/>
            </w:pPr>
            <w:r>
              <w:t>If both day-of-months are 31, they are changed to 30</w:t>
            </w:r>
          </w:p>
          <w:p w:rsidR="00024C0A" w:rsidRDefault="00694C0F">
            <w:pPr>
              <w:pStyle w:val="TableBodyText"/>
            </w:pPr>
            <w:r>
              <w:t>Otherwise, if date1’s day-of-month is 31, it is changed to 30</w:t>
            </w:r>
          </w:p>
          <w:p w:rsidR="00024C0A" w:rsidRDefault="00694C0F">
            <w:pPr>
              <w:pStyle w:val="TableBodyText"/>
            </w:pPr>
            <w:r>
              <w:t>Otherwise, if date1’s day-of-month is 30 and date2’s day-of-month is 31, date2’s day-of-mont</w:t>
            </w:r>
            <w:r>
              <w:t xml:space="preserve">h is </w:t>
            </w:r>
            <w:r>
              <w:lastRenderedPageBreak/>
              <w:t>changed to 30 (note that date2’s day-of-month will stay 31 if date1’s day &lt; 30)</w:t>
            </w:r>
          </w:p>
          <w:p w:rsidR="00024C0A" w:rsidRDefault="00694C0F">
            <w:pPr>
              <w:pStyle w:val="TableBodyText"/>
            </w:pPr>
            <w:r>
              <w:t>Otherwise, if both dates are the last day of February in their respective years, both day-of-month is changed to 30</w:t>
            </w:r>
          </w:p>
          <w:p w:rsidR="00024C0A" w:rsidRDefault="00694C0F">
            <w:pPr>
              <w:pStyle w:val="TableBodyText"/>
            </w:pPr>
            <w:r>
              <w:t>Otherwise, if date1 is the last day of February, its da</w:t>
            </w:r>
            <w:r>
              <w:t>y-of-month is changed to 30</w:t>
            </w:r>
          </w:p>
        </w:tc>
      </w:tr>
      <w:tr w:rsidR="00024C0A" w:rsidTr="00024C0A">
        <w:tc>
          <w:tcPr>
            <w:tcW w:w="0" w:type="auto"/>
            <w:vAlign w:val="center"/>
          </w:tcPr>
          <w:p w:rsidR="00024C0A" w:rsidRDefault="00694C0F">
            <w:pPr>
              <w:pStyle w:val="TableBodyText"/>
            </w:pPr>
            <w:r>
              <w:rPr>
                <w:rStyle w:val="InlineCode"/>
              </w:rPr>
              <w:lastRenderedPageBreak/>
              <w:t>1</w:t>
            </w:r>
          </w:p>
        </w:tc>
        <w:tc>
          <w:tcPr>
            <w:tcW w:w="0" w:type="auto"/>
            <w:vAlign w:val="center"/>
          </w:tcPr>
          <w:p w:rsidR="00024C0A" w:rsidRDefault="00694C0F">
            <w:pPr>
              <w:pStyle w:val="TableBodyText"/>
            </w:pPr>
            <w:r>
              <w:t>Actual/actual. If the dates are equal, the difference in days is 0. If date1 and date2 not “less than or equal to a year apart” (as defined below), then the days in the years between the dates is the average number of days in</w:t>
            </w:r>
            <w:r>
              <w:t xml:space="preserve"> the years between date1 and date2, inclusive. Otherwise, the days in the years between the dates is 365, except for these cases (where it is 366): the dates are in the same year and it is a leap-year, a February 29 occurs between the two dates, or </w:t>
            </w:r>
            <w:r>
              <w:rPr>
                <w:b/>
              </w:rPr>
              <w:t>date1 o</w:t>
            </w:r>
            <w:r>
              <w:rPr>
                <w:b/>
              </w:rPr>
              <w:t>r</w:t>
            </w:r>
            <w:r>
              <w:t xml:space="preserve"> date2 is February 29.</w:t>
            </w:r>
          </w:p>
          <w:p w:rsidR="00024C0A" w:rsidRDefault="00024C0A">
            <w:pPr>
              <w:pStyle w:val="TableBodyText"/>
            </w:pPr>
          </w:p>
          <w:p w:rsidR="00024C0A" w:rsidRDefault="00694C0F">
            <w:pPr>
              <w:pStyle w:val="TableBodyText"/>
            </w:pPr>
            <w:r>
              <w:t>To determine if date1 and date2 are “less than or equal to a year apart” for purposes of this algorithm, one of these conditions must be true:</w:t>
            </w:r>
          </w:p>
          <w:p w:rsidR="00024C0A" w:rsidRDefault="00694C0F">
            <w:pPr>
              <w:pStyle w:val="ListParagraph"/>
              <w:numPr>
                <w:ilvl w:val="0"/>
                <w:numId w:val="98"/>
              </w:numPr>
            </w:pPr>
            <w:r>
              <w:t>The two dates have the same year</w:t>
            </w:r>
          </w:p>
          <w:p w:rsidR="00024C0A" w:rsidRDefault="00694C0F">
            <w:pPr>
              <w:pStyle w:val="ListParagraph"/>
              <w:numPr>
                <w:ilvl w:val="0"/>
                <w:numId w:val="99"/>
              </w:numPr>
            </w:pPr>
            <w:r>
              <w:t>Date2’s year is exactly one more than date1’s year, and</w:t>
            </w:r>
            <w:r>
              <w:t xml:space="preserve"> ((date1.month &gt; date2.month) or ((date1.month == date2.month) and (date1.day &gt;= date2.day)))</w:t>
            </w:r>
          </w:p>
        </w:tc>
      </w:tr>
      <w:tr w:rsidR="00024C0A" w:rsidTr="00024C0A">
        <w:tc>
          <w:tcPr>
            <w:tcW w:w="0" w:type="auto"/>
            <w:vAlign w:val="center"/>
          </w:tcPr>
          <w:p w:rsidR="00024C0A" w:rsidRDefault="00694C0F">
            <w:pPr>
              <w:pStyle w:val="TableBodyText"/>
            </w:pPr>
            <w:r>
              <w:rPr>
                <w:rStyle w:val="InlineCode"/>
              </w:rPr>
              <w:t>2</w:t>
            </w:r>
          </w:p>
        </w:tc>
        <w:tc>
          <w:tcPr>
            <w:tcW w:w="0" w:type="auto"/>
            <w:vAlign w:val="center"/>
          </w:tcPr>
          <w:p w:rsidR="00024C0A" w:rsidRDefault="00694C0F">
            <w:pPr>
              <w:pStyle w:val="TableBodyText"/>
            </w:pPr>
            <w:r>
              <w:t>Actual/360. Computes the actual difference in days, and presumes there are always 360 days per year.</w:t>
            </w:r>
          </w:p>
        </w:tc>
      </w:tr>
      <w:tr w:rsidR="00024C0A" w:rsidTr="00024C0A">
        <w:tc>
          <w:tcPr>
            <w:tcW w:w="0" w:type="auto"/>
            <w:vAlign w:val="center"/>
          </w:tcPr>
          <w:p w:rsidR="00024C0A" w:rsidRDefault="00694C0F">
            <w:pPr>
              <w:pStyle w:val="TableBodyText"/>
            </w:pPr>
            <w:r>
              <w:rPr>
                <w:rStyle w:val="InlineCode"/>
              </w:rPr>
              <w:t>3</w:t>
            </w:r>
          </w:p>
        </w:tc>
        <w:tc>
          <w:tcPr>
            <w:tcW w:w="0" w:type="auto"/>
            <w:vAlign w:val="center"/>
          </w:tcPr>
          <w:p w:rsidR="00024C0A" w:rsidRDefault="00694C0F">
            <w:pPr>
              <w:pStyle w:val="TableBodyText"/>
            </w:pPr>
            <w:r>
              <w:t>Actual/365. Computes the actual difference in days, and</w:t>
            </w:r>
            <w:r>
              <w:t xml:space="preserve"> presumes there are always 365 days per year.</w:t>
            </w:r>
          </w:p>
        </w:tc>
      </w:tr>
      <w:tr w:rsidR="00024C0A" w:rsidTr="00024C0A">
        <w:tc>
          <w:tcPr>
            <w:tcW w:w="0" w:type="auto"/>
            <w:vAlign w:val="center"/>
          </w:tcPr>
          <w:p w:rsidR="00024C0A" w:rsidRDefault="00694C0F">
            <w:pPr>
              <w:pStyle w:val="TableBodyText"/>
            </w:pPr>
            <w:r>
              <w:rPr>
                <w:rStyle w:val="InlineCode"/>
              </w:rPr>
              <w:t>4</w:t>
            </w:r>
          </w:p>
        </w:tc>
        <w:tc>
          <w:tcPr>
            <w:tcW w:w="0" w:type="auto"/>
            <w:vAlign w:val="center"/>
          </w:tcPr>
          <w:p w:rsidR="00024C0A" w:rsidRDefault="00694C0F">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024C0A" w:rsidRDefault="00024C0A"/>
    <w:p w:rsidR="00024C0A" w:rsidRDefault="00694C0F">
      <w:pPr>
        <w:pStyle w:val="Definition-Field"/>
      </w:pPr>
      <w:r>
        <w:t xml:space="preserve">b.   </w:t>
      </w:r>
      <w:r>
        <w:rPr>
          <w:i/>
        </w:rPr>
        <w:t>The standard does not specify how function arguments map to formula variables.</w:t>
      </w:r>
    </w:p>
    <w:p w:rsidR="00024C0A" w:rsidRDefault="00694C0F">
      <w:pPr>
        <w:pStyle w:val="Definition-Field2"/>
      </w:pPr>
      <w:r>
        <w:t>Office maps coupon payments per year to argument frequency, DURATIO</w:t>
      </w:r>
      <w:r>
        <w:t>N to DURATION(settlement, maturity, coupon, yld, frequency, [basis]), and market yield to argument yld.</w:t>
      </w:r>
    </w:p>
    <w:p w:rsidR="00024C0A" w:rsidRDefault="00694C0F">
      <w:pPr>
        <w:pStyle w:val="Heading3"/>
      </w:pPr>
      <w:bookmarkStart w:id="1997" w:name="section_612ff32d2b6b45d58904f41a2bd7fcd6"/>
      <w:bookmarkStart w:id="1998" w:name="_Toc12261059"/>
      <w:r>
        <w:t>Part 1 Section 18.17.7.210, MID</w:t>
      </w:r>
      <w:bookmarkEnd w:id="1997"/>
      <w:bookmarkEnd w:id="1998"/>
      <w:r>
        <w:fldChar w:fldCharType="begin"/>
      </w:r>
      <w:r>
        <w:instrText xml:space="preserve"> XE "MID" </w:instrText>
      </w:r>
      <w:r>
        <w:fldChar w:fldCharType="end"/>
      </w:r>
    </w:p>
    <w:p w:rsidR="00024C0A" w:rsidRDefault="00694C0F">
      <w:pPr>
        <w:pStyle w:val="Definition-Field"/>
      </w:pPr>
      <w:r>
        <w:t xml:space="preserve">a.   </w:t>
      </w:r>
      <w:r>
        <w:rPr>
          <w:i/>
        </w:rPr>
        <w:t xml:space="preserve">The standard states that MID is intended for use with languages that use the single-byte character set </w:t>
      </w:r>
      <w:r>
        <w:rPr>
          <w:i/>
        </w:rPr>
        <w:t>(SBCS), whereas MIDB is intended for use with languages that use the double-byte character set (DBCS).</w:t>
      </w:r>
    </w:p>
    <w:p w:rsidR="00024C0A" w:rsidRDefault="00694C0F">
      <w:pPr>
        <w:pStyle w:val="Definition-Field2"/>
      </w:pPr>
      <w:r>
        <w:t>In Office, MID is intended for use with any language, whereas MIDB is intended for use with languages that use the double-byte character set (DBCS).</w:t>
      </w:r>
    </w:p>
    <w:p w:rsidR="00024C0A" w:rsidRDefault="00694C0F">
      <w:pPr>
        <w:pStyle w:val="Definition-Field"/>
      </w:pPr>
      <w:r>
        <w:t xml:space="preserve">b.  </w:t>
      </w:r>
      <w:r>
        <w:t xml:space="preserve"> </w:t>
      </w:r>
      <w:r>
        <w:rPr>
          <w:i/>
        </w:rPr>
        <w:t>The standard states if start-pos &lt; 0, #VALUE! is returned.</w:t>
      </w:r>
    </w:p>
    <w:p w:rsidR="00024C0A" w:rsidRDefault="00694C0F">
      <w:pPr>
        <w:pStyle w:val="Definition-Field2"/>
      </w:pPr>
      <w:r>
        <w:t>Office returns #VALUE! if start-pos &lt; 1.</w:t>
      </w:r>
    </w:p>
    <w:p w:rsidR="00024C0A" w:rsidRDefault="00694C0F">
      <w:pPr>
        <w:pStyle w:val="Definition-Field"/>
      </w:pPr>
      <w:r>
        <w:t xml:space="preserve">c.   </w:t>
      </w:r>
      <w:r>
        <w:rPr>
          <w:i/>
        </w:rPr>
        <w:t>The standard states that if the start-pos argument is greater than the length of string, or if start-pos and number- bytes combined exceeds the length</w:t>
      </w:r>
      <w:r>
        <w:rPr>
          <w:i/>
        </w:rPr>
        <w:t xml:space="preserve"> of the string argument, the whole of the string argument shall be extracted.</w:t>
      </w:r>
    </w:p>
    <w:p w:rsidR="00024C0A" w:rsidRDefault="00694C0F">
      <w:pPr>
        <w:pStyle w:val="Definition-Field2"/>
      </w:pPr>
      <w:r>
        <w:t>In Office, if start-pos is greater than the length of string the empty string is returned. If start-pos and number-bytes combined exceeds the length of string, the remainder of s</w:t>
      </w:r>
      <w:r>
        <w:t>tring starting at byte position start-pos is returned.</w:t>
      </w:r>
    </w:p>
    <w:p w:rsidR="00024C0A" w:rsidRDefault="00694C0F">
      <w:pPr>
        <w:pStyle w:val="Heading3"/>
      </w:pPr>
      <w:bookmarkStart w:id="1999" w:name="section_b4f02a916d4b4713aba9c99ba6abdb52"/>
      <w:bookmarkStart w:id="2000" w:name="_Toc12261060"/>
      <w:r>
        <w:lastRenderedPageBreak/>
        <w:t>Part 1 Section 18.17.7.211, MIDB</w:t>
      </w:r>
      <w:bookmarkEnd w:id="1999"/>
      <w:bookmarkEnd w:id="2000"/>
      <w:r>
        <w:fldChar w:fldCharType="begin"/>
      </w:r>
      <w:r>
        <w:instrText xml:space="preserve"> XE "MIDB" </w:instrText>
      </w:r>
      <w:r>
        <w:fldChar w:fldCharType="end"/>
      </w:r>
    </w:p>
    <w:p w:rsidR="00024C0A" w:rsidRDefault="00694C0F">
      <w:pPr>
        <w:pStyle w:val="Definition-Field"/>
      </w:pPr>
      <w:r>
        <w:t xml:space="preserve">a.   </w:t>
      </w:r>
      <w:r>
        <w:rPr>
          <w:i/>
        </w:rPr>
        <w:t>The standard states that MIDB is intended for use with languages that use the double-byte character set (DBCS), whereas MID is intended for use with l</w:t>
      </w:r>
      <w:r>
        <w:rPr>
          <w:i/>
        </w:rPr>
        <w:t>anguages that use the single-byte character set (SBCS).</w:t>
      </w:r>
    </w:p>
    <w:p w:rsidR="00024C0A" w:rsidRDefault="00694C0F">
      <w:pPr>
        <w:pStyle w:val="Definition-Field2"/>
      </w:pPr>
      <w:r>
        <w:t>In Office, MIDB is intended for use with languages that use the double-byte character set (DBCS), whereas MID is intended for use with any language.</w:t>
      </w:r>
    </w:p>
    <w:p w:rsidR="00024C0A" w:rsidRDefault="00694C0F">
      <w:pPr>
        <w:pStyle w:val="Definition-Field"/>
      </w:pPr>
      <w:r>
        <w:t xml:space="preserve">b.   </w:t>
      </w:r>
      <w:r>
        <w:rPr>
          <w:i/>
        </w:rPr>
        <w:t xml:space="preserve">The standard states if start-pos &lt; 0, #VALUE! </w:t>
      </w:r>
      <w:r>
        <w:rPr>
          <w:i/>
        </w:rPr>
        <w:t>is returned.</w:t>
      </w:r>
    </w:p>
    <w:p w:rsidR="00024C0A" w:rsidRDefault="00694C0F">
      <w:pPr>
        <w:pStyle w:val="Definition-Field2"/>
      </w:pPr>
      <w:r>
        <w:t>Office returns #VALUE! if start-pos &lt; 1.</w:t>
      </w:r>
    </w:p>
    <w:p w:rsidR="00024C0A" w:rsidRDefault="00694C0F">
      <w:pPr>
        <w:pStyle w:val="Definition-Field"/>
      </w:pPr>
      <w:r>
        <w:t xml:space="preserve">c.   </w:t>
      </w:r>
      <w:r>
        <w:rPr>
          <w:i/>
        </w:rPr>
        <w:t>The standard states that if the start-pos argument is greater than the length of the string argument, or if the start-pos argument and the number- bytes argument combined exceed the length of the s</w:t>
      </w:r>
      <w:r>
        <w:rPr>
          <w:i/>
        </w:rPr>
        <w:t>tring argument, the whole of string shall be extracted.</w:t>
      </w:r>
    </w:p>
    <w:p w:rsidR="00024C0A" w:rsidRDefault="00694C0F">
      <w:pPr>
        <w:pStyle w:val="Definition-Field2"/>
      </w:pPr>
      <w:r>
        <w:t>In Office, if start-pos is greater than the length of string the empty string is returned. If start-pos and number-bytes combined exceeds the length of string, the remainder of string starting at byte</w:t>
      </w:r>
      <w:r>
        <w:t xml:space="preserve"> position start-pos is returned.</w:t>
      </w:r>
    </w:p>
    <w:p w:rsidR="00024C0A" w:rsidRDefault="00694C0F">
      <w:pPr>
        <w:pStyle w:val="Definition-Field"/>
      </w:pPr>
      <w:r>
        <w:t xml:space="preserve">d.   </w:t>
      </w:r>
      <w:r>
        <w:rPr>
          <w:i/>
        </w:rPr>
        <w:t>The standard specifies the return value as a string containing number-bytes-worth of characters from string, starting at character position start-pos.</w:t>
      </w:r>
    </w:p>
    <w:p w:rsidR="00024C0A" w:rsidRDefault="00694C0F">
      <w:pPr>
        <w:pStyle w:val="Definition-Field2"/>
      </w:pPr>
      <w:r>
        <w:t>Office returns a string containing number-bytes-worth of characters</w:t>
      </w:r>
      <w:r>
        <w:t xml:space="preserve"> from string, starting at byte position start-pos.</w:t>
      </w:r>
    </w:p>
    <w:p w:rsidR="00024C0A" w:rsidRDefault="00694C0F">
      <w:pPr>
        <w:pStyle w:val="Definition-Field"/>
      </w:pPr>
      <w:r>
        <w:t xml:space="preserve">e.   </w:t>
      </w:r>
      <w:r>
        <w:rPr>
          <w:i/>
        </w:rPr>
        <w:t>The standard does not specify behavior of MIDB when default language supports DBCS and when it does not support DBCS.</w:t>
      </w:r>
    </w:p>
    <w:p w:rsidR="00024C0A" w:rsidRDefault="00694C0F">
      <w:pPr>
        <w:pStyle w:val="Definition-Field2"/>
      </w:pPr>
      <w:r>
        <w:t xml:space="preserve">In Office, when the default language supports DBCS, MIDB counts each double-byte </w:t>
      </w:r>
      <w:r>
        <w:t>character as 2 bytes, and each single-byte character as 1. When the default language does not support DBCS, MIDB counts each character as 1 byte.</w:t>
      </w:r>
    </w:p>
    <w:p w:rsidR="00024C0A" w:rsidRDefault="00694C0F">
      <w:pPr>
        <w:pStyle w:val="Definition-Field"/>
      </w:pPr>
      <w:r>
        <w:t xml:space="preserve">f.   </w:t>
      </w:r>
      <w:r>
        <w:rPr>
          <w:i/>
        </w:rPr>
        <w:t>The standard does not specify which languages support DBCS.</w:t>
      </w:r>
    </w:p>
    <w:p w:rsidR="00024C0A" w:rsidRDefault="00694C0F">
      <w:pPr>
        <w:pStyle w:val="Definition-Field2"/>
      </w:pPr>
      <w:r>
        <w:t>In Office, the languages that support DBCS in</w:t>
      </w:r>
      <w:r>
        <w:t>clude Japanese, Chinese (Simplified), Chinese (Traditional), and Korean.</w:t>
      </w:r>
    </w:p>
    <w:p w:rsidR="00024C0A" w:rsidRDefault="00694C0F">
      <w:pPr>
        <w:pStyle w:val="Heading3"/>
      </w:pPr>
      <w:bookmarkStart w:id="2001" w:name="section_04d93d19a68d4a4e82d7d61afbf4dea1"/>
      <w:bookmarkStart w:id="2002" w:name="_Toc12261061"/>
      <w:r>
        <w:t>Part 1 Section 18.17.7.212, MIN</w:t>
      </w:r>
      <w:bookmarkEnd w:id="2001"/>
      <w:bookmarkEnd w:id="2002"/>
      <w:r>
        <w:fldChar w:fldCharType="begin"/>
      </w:r>
      <w:r>
        <w:instrText xml:space="preserve"> XE "MIN" </w:instrText>
      </w:r>
      <w:r>
        <w:fldChar w:fldCharType="end"/>
      </w:r>
    </w:p>
    <w:p w:rsidR="00024C0A" w:rsidRDefault="00694C0F">
      <w:pPr>
        <w:pStyle w:val="Definition-Field"/>
      </w:pPr>
      <w:r>
        <w:t xml:space="preserve">a.   </w:t>
      </w:r>
      <w:r>
        <w:rPr>
          <w:i/>
        </w:rPr>
        <w:t>The standard states that the arguments in argument-list designate the values for which the largest value is to be computed.</w:t>
      </w:r>
    </w:p>
    <w:p w:rsidR="00024C0A" w:rsidRDefault="00694C0F">
      <w:pPr>
        <w:pStyle w:val="Definition-Field2"/>
      </w:pPr>
      <w:r>
        <w:t>Office tre</w:t>
      </w:r>
      <w:r>
        <w:t>ats the arguments in argument-list to be the values for which the smallest value is to be computed.</w:t>
      </w:r>
    </w:p>
    <w:p w:rsidR="00024C0A" w:rsidRDefault="00694C0F">
      <w:pPr>
        <w:pStyle w:val="Heading3"/>
      </w:pPr>
      <w:bookmarkStart w:id="2003" w:name="section_cea49501521c41829539fb0d19c8c732"/>
      <w:bookmarkStart w:id="2004" w:name="_Toc12261062"/>
      <w:r>
        <w:t>Part 1 Section 18.17.7.213, MINA</w:t>
      </w:r>
      <w:bookmarkEnd w:id="2003"/>
      <w:bookmarkEnd w:id="2004"/>
      <w:r>
        <w:fldChar w:fldCharType="begin"/>
      </w:r>
      <w:r>
        <w:instrText xml:space="preserve"> XE "MINA" </w:instrText>
      </w:r>
      <w:r>
        <w:fldChar w:fldCharType="end"/>
      </w:r>
    </w:p>
    <w:p w:rsidR="00024C0A" w:rsidRDefault="00694C0F">
      <w:pPr>
        <w:pStyle w:val="Definition-Field"/>
      </w:pPr>
      <w:r>
        <w:t xml:space="preserve">a.   </w:t>
      </w:r>
      <w:r>
        <w:rPr>
          <w:i/>
        </w:rPr>
        <w:t xml:space="preserve">The standard states that the arguments in argument-list designate the values for which the largest value </w:t>
      </w:r>
      <w:r>
        <w:rPr>
          <w:i/>
        </w:rPr>
        <w:t>is to be computed.</w:t>
      </w:r>
    </w:p>
    <w:p w:rsidR="00024C0A" w:rsidRDefault="00694C0F">
      <w:pPr>
        <w:pStyle w:val="Definition-Field2"/>
      </w:pPr>
      <w:r>
        <w:t>Office treats the arguments in argument-list to be the values for which the smallest value is to be computed.</w:t>
      </w:r>
    </w:p>
    <w:p w:rsidR="00024C0A" w:rsidRDefault="00694C0F">
      <w:pPr>
        <w:pStyle w:val="Heading3"/>
      </w:pPr>
      <w:bookmarkStart w:id="2005" w:name="section_3ce4055731a94b8a8f0f38f73c07c844"/>
      <w:bookmarkStart w:id="2006" w:name="_Toc12261063"/>
      <w:r>
        <w:t>Part 1 Section 18.17.7.215, MINVERSE</w:t>
      </w:r>
      <w:bookmarkEnd w:id="2005"/>
      <w:bookmarkEnd w:id="2006"/>
      <w:r>
        <w:fldChar w:fldCharType="begin"/>
      </w:r>
      <w:r>
        <w:instrText xml:space="preserve"> XE "MINVERSE" </w:instrText>
      </w:r>
      <w:r>
        <w:fldChar w:fldCharType="end"/>
      </w:r>
    </w:p>
    <w:p w:rsidR="00024C0A" w:rsidRDefault="00694C0F">
      <w:pPr>
        <w:pStyle w:val="Definition-Field"/>
      </w:pPr>
      <w:r>
        <w:t xml:space="preserve">a.   </w:t>
      </w:r>
      <w:r>
        <w:rPr>
          <w:i/>
        </w:rPr>
        <w:t>The standard states the inverse matrix is calculated with an accurac</w:t>
      </w:r>
      <w:r>
        <w:rPr>
          <w:i/>
        </w:rPr>
        <w:t>y of at least 15 digits, which can lead to a small numeric error when the cancellation is not complete.</w:t>
      </w:r>
    </w:p>
    <w:p w:rsidR="00024C0A" w:rsidRDefault="00694C0F">
      <w:pPr>
        <w:pStyle w:val="Definition-Field2"/>
      </w:pPr>
      <w:r>
        <w:lastRenderedPageBreak/>
        <w:t>In Office, the inverse matrix is calculated with an accuracy of at least 15 digits, which can lead to a small numeric error.</w:t>
      </w:r>
    </w:p>
    <w:p w:rsidR="00024C0A" w:rsidRDefault="00694C0F">
      <w:pPr>
        <w:pStyle w:val="Heading3"/>
      </w:pPr>
      <w:bookmarkStart w:id="2007" w:name="section_2cd7e0b4d9d1491c92c6c271203af29a"/>
      <w:bookmarkStart w:id="2008" w:name="_Toc12261064"/>
      <w:r>
        <w:t>Part 1 Section 18.17.7.222,</w:t>
      </w:r>
      <w:r>
        <w:t xml:space="preserve"> MULTINOMIAL</w:t>
      </w:r>
      <w:bookmarkEnd w:id="2007"/>
      <w:bookmarkEnd w:id="2008"/>
      <w:r>
        <w:fldChar w:fldCharType="begin"/>
      </w:r>
      <w:r>
        <w:instrText xml:space="preserve"> XE "MULTINOMIAL" </w:instrText>
      </w:r>
      <w:r>
        <w:fldChar w:fldCharType="end"/>
      </w:r>
    </w:p>
    <w:p w:rsidR="00024C0A" w:rsidRDefault="00694C0F">
      <w:pPr>
        <w:pStyle w:val="Definition-Field"/>
      </w:pPr>
      <w:r>
        <w:t xml:space="preserve">a.   </w:t>
      </w:r>
      <w:r>
        <w:rPr>
          <w:i/>
        </w:rPr>
        <w:t>The standard defines MULTINOMIAL as a function of a,b,c.</w:t>
      </w:r>
    </w:p>
    <w:p w:rsidR="00024C0A" w:rsidRDefault="00694C0F">
      <w:pPr>
        <w:pStyle w:val="Definition-Field2"/>
      </w:pPr>
      <w:r>
        <w:t>Office treats MULTINOMIAL as a function of a1, a2,...,an, where a1 maps to arg-1, a2 to arg-2,...,an to arg-n.</w:t>
      </w:r>
    </w:p>
    <w:p w:rsidR="00024C0A" w:rsidRDefault="00694C0F">
      <w:pPr>
        <w:pStyle w:val="Heading3"/>
      </w:pPr>
      <w:bookmarkStart w:id="2009" w:name="section_9fe99a43b15e40eea2cc9318cb945451"/>
      <w:bookmarkStart w:id="2010" w:name="_Toc12261065"/>
      <w:r>
        <w:t>Part 1 Section 18.17.7.223, N</w:t>
      </w:r>
      <w:bookmarkEnd w:id="2009"/>
      <w:bookmarkEnd w:id="2010"/>
      <w:r>
        <w:fldChar w:fldCharType="begin"/>
      </w:r>
      <w:r>
        <w:instrText xml:space="preserve"> XE "N" </w:instrText>
      </w:r>
      <w:r>
        <w:fldChar w:fldCharType="end"/>
      </w:r>
    </w:p>
    <w:p w:rsidR="00024C0A" w:rsidRDefault="00694C0F">
      <w:pPr>
        <w:pStyle w:val="Definition-Field"/>
      </w:pPr>
      <w:r>
        <w:t xml:space="preserve">a.   </w:t>
      </w:r>
      <w:r>
        <w:rPr>
          <w:i/>
        </w:rPr>
        <w:t xml:space="preserve">The </w:t>
      </w:r>
      <w:r>
        <w:rPr>
          <w:i/>
        </w:rPr>
        <w:t>standard states that if argument value is anything else (including array and text), the function will return 0.</w:t>
      </w:r>
    </w:p>
    <w:p w:rsidR="00024C0A" w:rsidRDefault="00694C0F">
      <w:pPr>
        <w:pStyle w:val="Definition-Field2"/>
      </w:pPr>
      <w:r>
        <w:t>Office does not treat array as a special case: the function will return 0 if argument value is anything else (including text).</w:t>
      </w:r>
    </w:p>
    <w:p w:rsidR="00024C0A" w:rsidRDefault="00694C0F">
      <w:pPr>
        <w:pStyle w:val="Heading3"/>
      </w:pPr>
      <w:bookmarkStart w:id="2011" w:name="section_7302498fd72c4dbe9bc66a0bac98cca4"/>
      <w:bookmarkStart w:id="2012" w:name="_Toc12261066"/>
      <w:r>
        <w:t>Part 1 Section 18</w:t>
      </w:r>
      <w:r>
        <w:t>.17.7.225, NEGBINOMDIST</w:t>
      </w:r>
      <w:bookmarkEnd w:id="2011"/>
      <w:bookmarkEnd w:id="2012"/>
      <w:r>
        <w:fldChar w:fldCharType="begin"/>
      </w:r>
      <w:r>
        <w:instrText xml:space="preserve"> XE "NEGBINOMDIST" </w:instrText>
      </w:r>
      <w:r>
        <w:fldChar w:fldCharType="end"/>
      </w:r>
    </w:p>
    <w:p w:rsidR="00024C0A" w:rsidRDefault="00694C0F">
      <w:pPr>
        <w:pStyle w:val="Definition-Field"/>
      </w:pPr>
      <w:r>
        <w:t xml:space="preserve">a.   </w:t>
      </w:r>
      <w:r>
        <w:rPr>
          <w:i/>
        </w:rPr>
        <w:t>The standard states if success-probability is &lt; 0 or &gt; 1, #NUM! is returned.</w:t>
      </w:r>
    </w:p>
    <w:p w:rsidR="00024C0A" w:rsidRDefault="00694C0F">
      <w:pPr>
        <w:pStyle w:val="Definition-Field2"/>
      </w:pPr>
      <w:r>
        <w:t>Office returns #NUM!, if success-probability is &lt;= 0 or &gt;=1.</w:t>
      </w:r>
    </w:p>
    <w:p w:rsidR="00024C0A" w:rsidRDefault="00694C0F">
      <w:pPr>
        <w:pStyle w:val="Heading3"/>
      </w:pPr>
      <w:bookmarkStart w:id="2013" w:name="section_214494b323134c20bbcba4bc9768aaf7"/>
      <w:bookmarkStart w:id="2014" w:name="_Toc12261067"/>
      <w:r>
        <w:t>Part 1 Section 18.17.7.226, NETWORKDAYS</w:t>
      </w:r>
      <w:bookmarkEnd w:id="2013"/>
      <w:bookmarkEnd w:id="2014"/>
      <w:r>
        <w:fldChar w:fldCharType="begin"/>
      </w:r>
      <w:r>
        <w:instrText xml:space="preserve"> XE "NETWORKDAYS" </w:instrText>
      </w:r>
      <w:r>
        <w:fldChar w:fldCharType="end"/>
      </w:r>
    </w:p>
    <w:p w:rsidR="00024C0A" w:rsidRDefault="00694C0F">
      <w:pPr>
        <w:pStyle w:val="Definition-Field"/>
      </w:pPr>
      <w:r>
        <w:t xml:space="preserve">a.   </w:t>
      </w:r>
      <w:r>
        <w:rPr>
          <w:i/>
        </w:rPr>
        <w:t>The</w:t>
      </w:r>
      <w:r>
        <w:rPr>
          <w:i/>
        </w:rPr>
        <w:t xml:space="preserve"> standard states that the function computes the number of whole working days between start-date and end-date.</w:t>
      </w:r>
    </w:p>
    <w:p w:rsidR="00024C0A" w:rsidRDefault="00694C0F">
      <w:pPr>
        <w:pStyle w:val="Definition-Field2"/>
      </w:pPr>
      <w:r>
        <w:t>Office computes the number of whole working days between start-date and end-date, inclusive.</w:t>
      </w:r>
    </w:p>
    <w:p w:rsidR="00024C0A" w:rsidRDefault="00694C0F">
      <w:pPr>
        <w:pStyle w:val="Definition-Field"/>
      </w:pPr>
      <w:r>
        <w:t xml:space="preserve">b.   </w:t>
      </w:r>
      <w:r>
        <w:rPr>
          <w:i/>
        </w:rPr>
        <w:t>The standard states that the function returns th</w:t>
      </w:r>
      <w:r>
        <w:rPr>
          <w:i/>
        </w:rPr>
        <w:t>e number of whole working days between start-date and end-date.</w:t>
      </w:r>
    </w:p>
    <w:p w:rsidR="00024C0A" w:rsidRDefault="00694C0F">
      <w:pPr>
        <w:pStyle w:val="Definition-Field2"/>
      </w:pPr>
      <w:r>
        <w:t>In Office, time information in the date arguments is ignored when computing the number of whole working days between start-date and end-date.</w:t>
      </w:r>
    </w:p>
    <w:p w:rsidR="00024C0A" w:rsidRDefault="00694C0F">
      <w:pPr>
        <w:pStyle w:val="Definition-Field"/>
      </w:pPr>
      <w:r>
        <w:t xml:space="preserve">c.   </w:t>
      </w:r>
      <w:r>
        <w:rPr>
          <w:i/>
        </w:rPr>
        <w:t>The standard states that weekend days are not</w:t>
      </w:r>
      <w:r>
        <w:rPr>
          <w:i/>
        </w:rPr>
        <w:t xml:space="preserve"> considered as working days.</w:t>
      </w:r>
    </w:p>
    <w:p w:rsidR="00024C0A" w:rsidRDefault="00694C0F">
      <w:pPr>
        <w:pStyle w:val="Definition-Field2"/>
      </w:pPr>
      <w:r>
        <w:t>Office treats Saturday and Sunday as weekend days.</w:t>
      </w:r>
    </w:p>
    <w:p w:rsidR="00024C0A" w:rsidRDefault="00694C0F">
      <w:pPr>
        <w:pStyle w:val="Heading3"/>
      </w:pPr>
      <w:bookmarkStart w:id="2015" w:name="section_0b65cfbebb2849b898f831a78913406f"/>
      <w:bookmarkStart w:id="2016" w:name="_Toc12261068"/>
      <w:r>
        <w:t>Part 1 Section 18.17.7.230, NORMINV</w:t>
      </w:r>
      <w:bookmarkEnd w:id="2015"/>
      <w:bookmarkEnd w:id="2016"/>
      <w:r>
        <w:fldChar w:fldCharType="begin"/>
      </w:r>
      <w:r>
        <w:instrText xml:space="preserve"> XE "NORMINV" </w:instrText>
      </w:r>
      <w:r>
        <w:fldChar w:fldCharType="end"/>
      </w:r>
    </w:p>
    <w:p w:rsidR="00024C0A" w:rsidRDefault="00694C0F">
      <w:pPr>
        <w:pStyle w:val="Definition-Field"/>
      </w:pPr>
      <w:r>
        <w:t xml:space="preserve">a.   </w:t>
      </w:r>
      <w:r>
        <w:rPr>
          <w:i/>
        </w:rPr>
        <w:t>The standard states that the function uses an iterative search technique.</w:t>
      </w:r>
    </w:p>
    <w:p w:rsidR="00024C0A" w:rsidRDefault="00694C0F">
      <w:pPr>
        <w:pStyle w:val="Definition-Field2"/>
      </w:pPr>
      <w:r>
        <w:t xml:space="preserve">Office does not require an iterative search </w:t>
      </w:r>
      <w:r>
        <w:t>technique to be used.</w:t>
      </w:r>
    </w:p>
    <w:p w:rsidR="00024C0A" w:rsidRDefault="00694C0F">
      <w:pPr>
        <w:pStyle w:val="Definition-Field"/>
      </w:pPr>
      <w:r>
        <w:t xml:space="preserve">b.   </w:t>
      </w:r>
      <w:r>
        <w:rPr>
          <w:i/>
        </w:rPr>
        <w:t>The standard states if probability &lt; 0 or probability &gt; 1, #NUM! is returned.</w:t>
      </w:r>
    </w:p>
    <w:p w:rsidR="00024C0A" w:rsidRDefault="00694C0F">
      <w:pPr>
        <w:pStyle w:val="Definition-Field2"/>
      </w:pPr>
      <w:r>
        <w:t>Office returns #NUM! if probability is &lt;= 0 or if probability is &gt;= 1.</w:t>
      </w:r>
    </w:p>
    <w:p w:rsidR="00024C0A" w:rsidRDefault="00694C0F">
      <w:pPr>
        <w:pStyle w:val="Heading3"/>
      </w:pPr>
      <w:bookmarkStart w:id="2017" w:name="section_7af45ac4859542ccb71393fe1446217d"/>
      <w:bookmarkStart w:id="2018" w:name="_Toc12261069"/>
      <w:r>
        <w:t>Part 1 Section 18.17.7.231, NORMSDIST</w:t>
      </w:r>
      <w:bookmarkEnd w:id="2017"/>
      <w:bookmarkEnd w:id="2018"/>
      <w:r>
        <w:fldChar w:fldCharType="begin"/>
      </w:r>
      <w:r>
        <w:instrText xml:space="preserve"> XE "NORMSDIST" </w:instrText>
      </w:r>
      <w:r>
        <w:fldChar w:fldCharType="end"/>
      </w:r>
    </w:p>
    <w:p w:rsidR="00024C0A" w:rsidRDefault="00694C0F">
      <w:pPr>
        <w:pStyle w:val="Definition-Field"/>
      </w:pPr>
      <w:r>
        <w:t xml:space="preserve">a.   </w:t>
      </w:r>
      <w:r>
        <w:rPr>
          <w:i/>
        </w:rPr>
        <w:t>The standard states</w:t>
      </w:r>
      <w:r>
        <w:rPr>
          <w:i/>
        </w:rPr>
        <w:t xml:space="preserve"> that the function returns the standard normal distribution for the specified mean and standard deviation.</w:t>
      </w:r>
    </w:p>
    <w:p w:rsidR="00024C0A" w:rsidRDefault="00694C0F">
      <w:pPr>
        <w:pStyle w:val="Definition-Field2"/>
      </w:pPr>
      <w:r>
        <w:t>Office returns the cumulative standard normal distribution for the specified value.</w:t>
      </w:r>
    </w:p>
    <w:p w:rsidR="00024C0A" w:rsidRDefault="00694C0F">
      <w:pPr>
        <w:pStyle w:val="Definition-Field"/>
      </w:pPr>
      <w:r>
        <w:lastRenderedPageBreak/>
        <w:t xml:space="preserve">b.   </w:t>
      </w:r>
      <w:r>
        <w:rPr>
          <w:i/>
        </w:rPr>
        <w:t>The standard states that the mathematical formula for the fu</w:t>
      </w:r>
      <w:r>
        <w:rPr>
          <w:i/>
        </w:rPr>
        <w:t>nction is: f(z)= (1/√2π) e^(-z^2/2).</w:t>
      </w:r>
    </w:p>
    <w:p w:rsidR="00024C0A" w:rsidRDefault="00694C0F">
      <w:r>
        <w:t>In Excel, the NORMSDIST function is described by the following mathematical formula:</w:t>
      </w:r>
    </w:p>
    <w:p w:rsidR="00024C0A" w:rsidRDefault="00694C0F">
      <w:r>
        <w:rPr>
          <w:noProof/>
        </w:rPr>
        <w:drawing>
          <wp:inline distT="0" distB="0" distL="0" distR="0">
            <wp:extent cx="1276350" cy="352425"/>
            <wp:effectExtent l="0" t="0" r="0" b="0"/>
            <wp:docPr id="23" name="Picture 1" descr="Formula describing NORMSDIST function: function of z = the integral from minus infinity to z of 1 over square root of 2 pi times e to the minus x squared over 2 dx. " title="Formula describing NORMSDIS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cd35ca3-0000-0000-0000-000000000000" descr="Formula describing NORMSDIST function: function of z = the integral from minus infinity to z of 1 over square root of 2 pi times e to the minus x squared over 2 dx. " title="Formula describing NORMSDIST function"/>
                    <pic:cNvPicPr>
                      <a:picLocks noChangeAspect="1" noChangeArrowheads="1"/>
                    </pic:cNvPicPr>
                  </pic:nvPicPr>
                  <pic:blipFill>
                    <a:blip r:embed="rId145" cstate="print"/>
                    <a:srcRect/>
                    <a:stretch>
                      <a:fillRect/>
                    </a:stretch>
                  </pic:blipFill>
                  <pic:spPr bwMode="auto">
                    <a:xfrm>
                      <a:off x="0" y="0"/>
                      <a:ext cx="1276350" cy="352425"/>
                    </a:xfrm>
                    <a:prstGeom prst="rect">
                      <a:avLst/>
                    </a:prstGeom>
                    <a:noFill/>
                    <a:ln w="9525">
                      <a:noFill/>
                      <a:miter lim="800000"/>
                      <a:headEnd/>
                      <a:tailEnd/>
                    </a:ln>
                  </pic:spPr>
                </pic:pic>
              </a:graphicData>
            </a:graphic>
          </wp:inline>
        </w:drawing>
      </w:r>
    </w:p>
    <w:p w:rsidR="00024C0A" w:rsidRDefault="00694C0F">
      <w:pPr>
        <w:pStyle w:val="Definition-Field"/>
      </w:pPr>
      <w:r>
        <w:t xml:space="preserve">c.   </w:t>
      </w:r>
      <w:r>
        <w:rPr>
          <w:i/>
        </w:rPr>
        <w:t>The standard states that the return value is the standard normal distribution for the specified mean and standard deviation.</w:t>
      </w:r>
    </w:p>
    <w:p w:rsidR="00024C0A" w:rsidRDefault="00694C0F">
      <w:pPr>
        <w:pStyle w:val="Definition-Field2"/>
      </w:pPr>
      <w:r>
        <w:t>Of</w:t>
      </w:r>
      <w:r>
        <w:t>fice returns the cumulative standard normal distribution.</w:t>
      </w:r>
    </w:p>
    <w:p w:rsidR="00024C0A" w:rsidRDefault="00694C0F">
      <w:pPr>
        <w:pStyle w:val="Heading3"/>
      </w:pPr>
      <w:bookmarkStart w:id="2019" w:name="section_22c8b401b1dc4d3d936df76298dd2c0d"/>
      <w:bookmarkStart w:id="2020" w:name="_Toc12261070"/>
      <w:r>
        <w:t>Part 1 Section 18.17.7.232, NORMSINV</w:t>
      </w:r>
      <w:bookmarkEnd w:id="2019"/>
      <w:bookmarkEnd w:id="2020"/>
      <w:r>
        <w:fldChar w:fldCharType="begin"/>
      </w:r>
      <w:r>
        <w:instrText xml:space="preserve"> XE "NORMSINV" </w:instrText>
      </w:r>
      <w:r>
        <w:fldChar w:fldCharType="end"/>
      </w:r>
    </w:p>
    <w:p w:rsidR="00024C0A" w:rsidRDefault="00694C0F">
      <w:pPr>
        <w:pStyle w:val="Definition-Field"/>
      </w:pPr>
      <w:r>
        <w:t xml:space="preserve">a.   </w:t>
      </w:r>
      <w:r>
        <w:rPr>
          <w:i/>
        </w:rPr>
        <w:t>The standard states that the function uses an iterative search technique.</w:t>
      </w:r>
    </w:p>
    <w:p w:rsidR="00024C0A" w:rsidRDefault="00694C0F">
      <w:pPr>
        <w:pStyle w:val="Definition-Field2"/>
      </w:pPr>
      <w:r>
        <w:t>Office does not require an iterative search technique to be used.</w:t>
      </w:r>
    </w:p>
    <w:p w:rsidR="00024C0A" w:rsidRDefault="00694C0F">
      <w:pPr>
        <w:pStyle w:val="Definition-Field"/>
      </w:pPr>
      <w:r>
        <w:t xml:space="preserve">b.   </w:t>
      </w:r>
      <w:r>
        <w:rPr>
          <w:i/>
        </w:rPr>
        <w:t>The standard states that the function returns the inverse of the standard normal distribution.</w:t>
      </w:r>
    </w:p>
    <w:p w:rsidR="00024C0A" w:rsidRDefault="00694C0F">
      <w:pPr>
        <w:pStyle w:val="Definition-Field2"/>
      </w:pPr>
      <w:r>
        <w:t>In Office, the function returns the inverse of the standard normal cumulative distribution.</w:t>
      </w:r>
    </w:p>
    <w:p w:rsidR="00024C0A" w:rsidRDefault="00694C0F">
      <w:pPr>
        <w:pStyle w:val="Definition-Field"/>
      </w:pPr>
      <w:r>
        <w:t xml:space="preserve">c.   </w:t>
      </w:r>
      <w:r>
        <w:rPr>
          <w:i/>
        </w:rPr>
        <w:t>The standard states that if probability &lt; 0 or if probabil</w:t>
      </w:r>
      <w:r>
        <w:rPr>
          <w:i/>
        </w:rPr>
        <w:t>ity &gt; 1, #NUM! is returned.</w:t>
      </w:r>
    </w:p>
    <w:p w:rsidR="00024C0A" w:rsidRDefault="00694C0F">
      <w:pPr>
        <w:pStyle w:val="Definition-Field2"/>
      </w:pPr>
      <w:r>
        <w:t>Office returns #NUM! if probability ≤ 0 or if probability ≥ 1.</w:t>
      </w:r>
    </w:p>
    <w:p w:rsidR="00024C0A" w:rsidRDefault="00694C0F">
      <w:pPr>
        <w:pStyle w:val="Heading3"/>
      </w:pPr>
      <w:bookmarkStart w:id="2021" w:name="section_822f4b9fbb6749abb48bdf59acf1a21f"/>
      <w:bookmarkStart w:id="2022" w:name="_Toc12261071"/>
      <w:r>
        <w:t>Part 1 Section 18.17.7.235, NPER</w:t>
      </w:r>
      <w:bookmarkEnd w:id="2021"/>
      <w:bookmarkEnd w:id="2022"/>
      <w:r>
        <w:fldChar w:fldCharType="begin"/>
      </w:r>
      <w:r>
        <w:instrText xml:space="preserve"> XE "NPER" </w:instrText>
      </w:r>
      <w:r>
        <w:fldChar w:fldCharType="end"/>
      </w:r>
    </w:p>
    <w:p w:rsidR="00024C0A" w:rsidRDefault="00694C0F">
      <w:pPr>
        <w:pStyle w:val="Definition-Field"/>
      </w:pPr>
      <w:r>
        <w:t xml:space="preserve">a.   </w:t>
      </w:r>
      <w:r>
        <w:rPr>
          <w:i/>
        </w:rPr>
        <w:t>The standard states if type is any number other than 0 or 1, #NUM! is returned.</w:t>
      </w:r>
    </w:p>
    <w:p w:rsidR="00024C0A" w:rsidRDefault="00694C0F">
      <w:pPr>
        <w:pStyle w:val="Definition-Field2"/>
      </w:pPr>
      <w:r>
        <w:t>Office treats nonzero values of ty</w:t>
      </w:r>
      <w:r>
        <w:t>pe to indicate payment is at the beginning of the period.</w:t>
      </w:r>
    </w:p>
    <w:p w:rsidR="00024C0A" w:rsidRDefault="00694C0F">
      <w:pPr>
        <w:pStyle w:val="Definition-Field"/>
      </w:pPr>
      <w:r>
        <w:t xml:space="preserve">b.   </w:t>
      </w:r>
      <w:r>
        <w:rPr>
          <w:i/>
        </w:rPr>
        <w:t>The standard does not specify a default for the optional argument type.</w:t>
      </w:r>
    </w:p>
    <w:p w:rsidR="00024C0A" w:rsidRDefault="00694C0F">
      <w:pPr>
        <w:pStyle w:val="Definition-Field2"/>
      </w:pPr>
      <w:r>
        <w:t>In Office, if the value for type is omitted it defaults to value of 0.</w:t>
      </w:r>
    </w:p>
    <w:p w:rsidR="00024C0A" w:rsidRDefault="00694C0F">
      <w:pPr>
        <w:pStyle w:val="Definition-Field"/>
      </w:pPr>
      <w:r>
        <w:t xml:space="preserve">c.   </w:t>
      </w:r>
      <w:r>
        <w:rPr>
          <w:i/>
        </w:rPr>
        <w:t>The standard states that the argument type is</w:t>
      </w:r>
      <w:r>
        <w:rPr>
          <w:i/>
        </w:rPr>
        <w:t xml:space="preserve"> truncated to an integer.</w:t>
      </w:r>
    </w:p>
    <w:p w:rsidR="00024C0A" w:rsidRDefault="00694C0F">
      <w:pPr>
        <w:pStyle w:val="Definition-Field2"/>
      </w:pPr>
      <w:r>
        <w:t>Office does not truncate the argument type to an integer.</w:t>
      </w:r>
    </w:p>
    <w:p w:rsidR="00024C0A" w:rsidRDefault="00694C0F">
      <w:pPr>
        <w:pStyle w:val="Heading3"/>
      </w:pPr>
      <w:bookmarkStart w:id="2023" w:name="section_989b9d25033d4717b74760218531c618"/>
      <w:bookmarkStart w:id="2024" w:name="_Toc12261072"/>
      <w:r>
        <w:t>Part 1 Section 18.17.7.236, NPV</w:t>
      </w:r>
      <w:bookmarkEnd w:id="2023"/>
      <w:bookmarkEnd w:id="2024"/>
      <w:r>
        <w:fldChar w:fldCharType="begin"/>
      </w:r>
      <w:r>
        <w:instrText xml:space="preserve"> XE "NPV" </w:instrText>
      </w:r>
      <w:r>
        <w:fldChar w:fldCharType="end"/>
      </w:r>
    </w:p>
    <w:p w:rsidR="00024C0A" w:rsidRDefault="00694C0F">
      <w:pPr>
        <w:pStyle w:val="Definition-Field"/>
      </w:pPr>
      <w:r>
        <w:t xml:space="preserve">a.   </w:t>
      </w:r>
      <w:r>
        <w:rPr>
          <w:i/>
        </w:rPr>
        <w:t xml:space="preserve">The standard states that arguments that are numbers, empty cells, logical values, or text representations of numbers are </w:t>
      </w:r>
      <w:r>
        <w:rPr>
          <w:i/>
        </w:rPr>
        <w:t>included; arguments that are error values or text that cannot be translated into numbers are ignored.</w:t>
      </w:r>
    </w:p>
    <w:p w:rsidR="00024C0A" w:rsidRDefault="00694C0F">
      <w:pPr>
        <w:pStyle w:val="Definition-Field2"/>
      </w:pPr>
      <w:r>
        <w:t>In Office, arguments that are numbers or text that can be translated into numbers are included. arguments that are empty cells, logical values, or text th</w:t>
      </w:r>
      <w:r>
        <w:t>at cannot be translated into numbers are ignored.</w:t>
      </w:r>
    </w:p>
    <w:p w:rsidR="00024C0A" w:rsidRDefault="00694C0F">
      <w:pPr>
        <w:pStyle w:val="Heading3"/>
      </w:pPr>
      <w:bookmarkStart w:id="2025" w:name="section_9c8802df529e465d8a0faa139394890e"/>
      <w:bookmarkStart w:id="2026" w:name="_Toc12261073"/>
      <w:r>
        <w:t>Part 1 Section 18.17.7.237, OCT2BIN</w:t>
      </w:r>
      <w:bookmarkEnd w:id="2025"/>
      <w:bookmarkEnd w:id="2026"/>
      <w:r>
        <w:fldChar w:fldCharType="begin"/>
      </w:r>
      <w:r>
        <w:instrText xml:space="preserve"> XE "OCT2BIN" </w:instrText>
      </w:r>
      <w:r>
        <w:fldChar w:fldCharType="end"/>
      </w:r>
    </w:p>
    <w:p w:rsidR="00024C0A" w:rsidRDefault="00694C0F">
      <w:pPr>
        <w:pStyle w:val="Definition-Field"/>
      </w:pPr>
      <w:r>
        <w:t xml:space="preserve">a.   </w:t>
      </w:r>
      <w:r>
        <w:rPr>
          <w:i/>
        </w:rPr>
        <w:t>The standard states that if number is negative, num-bin-digits is ignored and the result has 10 digits.</w:t>
      </w:r>
    </w:p>
    <w:p w:rsidR="00024C0A" w:rsidRDefault="00694C0F">
      <w:pPr>
        <w:pStyle w:val="Definition-Field2"/>
      </w:pPr>
      <w:r>
        <w:t>Office does not ignore num-bin-digits when th</w:t>
      </w:r>
      <w:r>
        <w:t>e number is negative.</w:t>
      </w:r>
    </w:p>
    <w:p w:rsidR="00024C0A" w:rsidRDefault="00694C0F">
      <w:pPr>
        <w:pStyle w:val="Heading3"/>
      </w:pPr>
      <w:bookmarkStart w:id="2027" w:name="section_567697347d764b0fbaf497c735d5d7df"/>
      <w:bookmarkStart w:id="2028" w:name="_Toc12261074"/>
      <w:r>
        <w:lastRenderedPageBreak/>
        <w:t>Part 1 Section 18.17.7.238, OCT2DEC</w:t>
      </w:r>
      <w:bookmarkEnd w:id="2027"/>
      <w:bookmarkEnd w:id="2028"/>
      <w:r>
        <w:fldChar w:fldCharType="begin"/>
      </w:r>
      <w:r>
        <w:instrText xml:space="preserve"> XE "OCT2DEC" </w:instrText>
      </w:r>
      <w:r>
        <w:fldChar w:fldCharType="end"/>
      </w:r>
    </w:p>
    <w:p w:rsidR="00024C0A" w:rsidRDefault="00694C0F">
      <w:pPr>
        <w:pStyle w:val="Definition-Field"/>
      </w:pPr>
      <w:r>
        <w:t xml:space="preserve">a.   </w:t>
      </w:r>
      <w:r>
        <w:rPr>
          <w:i/>
        </w:rPr>
        <w:t>The standard states that argument number is of type number.</w:t>
      </w:r>
    </w:p>
    <w:p w:rsidR="00024C0A" w:rsidRDefault="00694C0F">
      <w:pPr>
        <w:pStyle w:val="Definition-Field2"/>
      </w:pPr>
      <w:r>
        <w:t>Office treats argument number as type text.</w:t>
      </w:r>
    </w:p>
    <w:p w:rsidR="00024C0A" w:rsidRDefault="00694C0F">
      <w:pPr>
        <w:pStyle w:val="Heading3"/>
      </w:pPr>
      <w:bookmarkStart w:id="2029" w:name="section_30c159a8b7a04a6080f800e0bef2d1db"/>
      <w:bookmarkStart w:id="2030" w:name="_Toc12261075"/>
      <w:r>
        <w:t>Part 1 Section 18.17.7.241, ODDFPRICE</w:t>
      </w:r>
      <w:bookmarkEnd w:id="2029"/>
      <w:bookmarkEnd w:id="2030"/>
      <w:r>
        <w:fldChar w:fldCharType="begin"/>
      </w:r>
      <w:r>
        <w:instrText xml:space="preserve"> XE "ODDFPRICE" </w:instrText>
      </w:r>
      <w:r>
        <w:fldChar w:fldCharType="end"/>
      </w:r>
    </w:p>
    <w:p w:rsidR="00024C0A" w:rsidRDefault="00694C0F">
      <w:pPr>
        <w:pStyle w:val="Definition-Field"/>
      </w:pPr>
      <w:r>
        <w:t xml:space="preserve">a.   </w:t>
      </w:r>
      <w:r>
        <w:rPr>
          <w:i/>
        </w:rPr>
        <w:t>The standard</w:t>
      </w:r>
      <w:r>
        <w:rPr>
          <w:i/>
        </w:rPr>
        <w:t xml:space="preserve"> does not specify day and month adjustments for the basis argument.</w:t>
      </w:r>
    </w:p>
    <w:p w:rsidR="00024C0A" w:rsidRDefault="00694C0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Value</w:t>
            </w:r>
          </w:p>
        </w:tc>
        <w:tc>
          <w:tcPr>
            <w:tcW w:w="0" w:type="auto"/>
            <w:vAlign w:val="center"/>
          </w:tcPr>
          <w:p w:rsidR="00024C0A" w:rsidRDefault="00694C0F">
            <w:pPr>
              <w:pStyle w:val="TableHeaderText"/>
            </w:pPr>
            <w:r>
              <w:t>Day Count Basis</w:t>
            </w:r>
          </w:p>
        </w:tc>
      </w:tr>
      <w:tr w:rsidR="00024C0A" w:rsidTr="00024C0A">
        <w:tc>
          <w:tcPr>
            <w:tcW w:w="0" w:type="auto"/>
            <w:vAlign w:val="center"/>
          </w:tcPr>
          <w:p w:rsidR="00024C0A" w:rsidRDefault="00694C0F">
            <w:pPr>
              <w:pStyle w:val="TableBodyText"/>
            </w:pPr>
            <w:r>
              <w:rPr>
                <w:rStyle w:val="InlineCode"/>
              </w:rPr>
              <w:t>0</w:t>
            </w:r>
            <w:r>
              <w:t xml:space="preserve"> or omitted</w:t>
            </w:r>
          </w:p>
        </w:tc>
        <w:tc>
          <w:tcPr>
            <w:tcW w:w="0" w:type="auto"/>
            <w:vAlign w:val="center"/>
          </w:tcPr>
          <w:p w:rsidR="00024C0A" w:rsidRDefault="00694C0F">
            <w:pPr>
              <w:pStyle w:val="TableBodyText"/>
            </w:pPr>
            <w:r>
              <w:t>US (NASD) 30/360. If the dates are equal, the d</w:t>
            </w:r>
            <w:r>
              <w:t>ifference of days is 0. Assumes that each month has 30 days and the total number of days in the year is 360 by making the following adjustments:</w:t>
            </w:r>
          </w:p>
          <w:p w:rsidR="00024C0A" w:rsidRDefault="00694C0F">
            <w:pPr>
              <w:pStyle w:val="TableBodyText"/>
            </w:pPr>
            <w:r>
              <w:t>If both day-of-months are 31, they are changed to 30</w:t>
            </w:r>
          </w:p>
          <w:p w:rsidR="00024C0A" w:rsidRDefault="00694C0F">
            <w:pPr>
              <w:pStyle w:val="TableBodyText"/>
            </w:pPr>
            <w:r>
              <w:t>Otherwise, if date1’s day-of-month is 31, it is changed to</w:t>
            </w:r>
            <w:r>
              <w:t xml:space="preserve"> 30</w:t>
            </w:r>
          </w:p>
          <w:p w:rsidR="00024C0A" w:rsidRDefault="00694C0F">
            <w:pPr>
              <w:pStyle w:val="TableBodyText"/>
            </w:pPr>
            <w:r>
              <w:t>Otherwise, if date1’s day-of-month is 30 and date2’s day-of-month is 31, date2’s day-of-month is changed to 30 (note that date2’s day-of-month will stay 31 if date1’s day &lt; 30)</w:t>
            </w:r>
          </w:p>
          <w:p w:rsidR="00024C0A" w:rsidRDefault="00694C0F">
            <w:pPr>
              <w:pStyle w:val="TableBodyText"/>
            </w:pPr>
            <w:r>
              <w:t>Otherwise, if both dates are the last day of February in their respective y</w:t>
            </w:r>
            <w:r>
              <w:t>ears, both day-of-month is changed to 30</w:t>
            </w:r>
          </w:p>
          <w:p w:rsidR="00024C0A" w:rsidRDefault="00694C0F">
            <w:pPr>
              <w:pStyle w:val="TableBodyText"/>
            </w:pPr>
            <w:r>
              <w:t>Otherwise, if date1 is the last day of February, its day-of-month is changed to 30</w:t>
            </w:r>
          </w:p>
        </w:tc>
      </w:tr>
      <w:tr w:rsidR="00024C0A" w:rsidTr="00024C0A">
        <w:tc>
          <w:tcPr>
            <w:tcW w:w="0" w:type="auto"/>
            <w:vAlign w:val="center"/>
          </w:tcPr>
          <w:p w:rsidR="00024C0A" w:rsidRDefault="00694C0F">
            <w:pPr>
              <w:pStyle w:val="TableBodyText"/>
            </w:pPr>
            <w:r>
              <w:rPr>
                <w:rStyle w:val="InlineCode"/>
              </w:rPr>
              <w:t>1</w:t>
            </w:r>
          </w:p>
        </w:tc>
        <w:tc>
          <w:tcPr>
            <w:tcW w:w="0" w:type="auto"/>
            <w:vAlign w:val="center"/>
          </w:tcPr>
          <w:p w:rsidR="00024C0A" w:rsidRDefault="00694C0F">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24C0A" w:rsidRDefault="00024C0A">
            <w:pPr>
              <w:pStyle w:val="TableBodyText"/>
            </w:pPr>
          </w:p>
          <w:p w:rsidR="00024C0A" w:rsidRDefault="00694C0F">
            <w:pPr>
              <w:pStyle w:val="TableBodyText"/>
            </w:pPr>
            <w:r>
              <w:t>To det</w:t>
            </w:r>
            <w:r>
              <w:t>ermine if date1 and date2 are “less than or equal to a year apart” for purposes of this algorithm, one of these conditions must be true:</w:t>
            </w:r>
          </w:p>
          <w:p w:rsidR="00024C0A" w:rsidRDefault="00694C0F">
            <w:pPr>
              <w:pStyle w:val="ListParagraph"/>
              <w:numPr>
                <w:ilvl w:val="0"/>
                <w:numId w:val="100"/>
              </w:numPr>
            </w:pPr>
            <w:r>
              <w:t>The two dates have the same year</w:t>
            </w:r>
          </w:p>
          <w:p w:rsidR="00024C0A" w:rsidRDefault="00694C0F">
            <w:pPr>
              <w:pStyle w:val="ListParagraph"/>
              <w:numPr>
                <w:ilvl w:val="0"/>
                <w:numId w:val="101"/>
              </w:numPr>
            </w:pPr>
            <w:r>
              <w:t>Date2’s year is exactly one more than date1’s year, and ((date1.month &gt; date2.month) o</w:t>
            </w:r>
            <w:r>
              <w:t>r ((date1.month == date2.month) and (date1.day &gt;= date2.day)))</w:t>
            </w:r>
          </w:p>
        </w:tc>
      </w:tr>
      <w:tr w:rsidR="00024C0A" w:rsidTr="00024C0A">
        <w:tc>
          <w:tcPr>
            <w:tcW w:w="0" w:type="auto"/>
            <w:vAlign w:val="center"/>
          </w:tcPr>
          <w:p w:rsidR="00024C0A" w:rsidRDefault="00694C0F">
            <w:pPr>
              <w:pStyle w:val="TableBodyText"/>
            </w:pPr>
            <w:r>
              <w:rPr>
                <w:rStyle w:val="InlineCode"/>
              </w:rPr>
              <w:t>2</w:t>
            </w:r>
          </w:p>
        </w:tc>
        <w:tc>
          <w:tcPr>
            <w:tcW w:w="0" w:type="auto"/>
            <w:vAlign w:val="center"/>
          </w:tcPr>
          <w:p w:rsidR="00024C0A" w:rsidRDefault="00694C0F">
            <w:pPr>
              <w:pStyle w:val="TableBodyText"/>
            </w:pPr>
            <w:r>
              <w:t>Actual/360. Computes the actual difference in days, and presumes there are always 360 days per year.</w:t>
            </w:r>
          </w:p>
        </w:tc>
      </w:tr>
      <w:tr w:rsidR="00024C0A" w:rsidTr="00024C0A">
        <w:tc>
          <w:tcPr>
            <w:tcW w:w="0" w:type="auto"/>
            <w:vAlign w:val="center"/>
          </w:tcPr>
          <w:p w:rsidR="00024C0A" w:rsidRDefault="00694C0F">
            <w:pPr>
              <w:pStyle w:val="TableBodyText"/>
            </w:pPr>
            <w:r>
              <w:rPr>
                <w:rStyle w:val="InlineCode"/>
              </w:rPr>
              <w:t>3</w:t>
            </w:r>
          </w:p>
        </w:tc>
        <w:tc>
          <w:tcPr>
            <w:tcW w:w="0" w:type="auto"/>
            <w:vAlign w:val="center"/>
          </w:tcPr>
          <w:p w:rsidR="00024C0A" w:rsidRDefault="00694C0F">
            <w:pPr>
              <w:pStyle w:val="TableBodyText"/>
            </w:pPr>
            <w:r>
              <w:t xml:space="preserve">Actual/365. Computes the actual difference in days, and presumes there are always 365 </w:t>
            </w:r>
            <w:r>
              <w:t>days per year.</w:t>
            </w:r>
          </w:p>
        </w:tc>
      </w:tr>
      <w:tr w:rsidR="00024C0A" w:rsidTr="00024C0A">
        <w:tc>
          <w:tcPr>
            <w:tcW w:w="0" w:type="auto"/>
            <w:vAlign w:val="center"/>
          </w:tcPr>
          <w:p w:rsidR="00024C0A" w:rsidRDefault="00694C0F">
            <w:pPr>
              <w:pStyle w:val="TableBodyText"/>
            </w:pPr>
            <w:r>
              <w:rPr>
                <w:rStyle w:val="InlineCode"/>
              </w:rPr>
              <w:t>4</w:t>
            </w:r>
          </w:p>
        </w:tc>
        <w:tc>
          <w:tcPr>
            <w:tcW w:w="0" w:type="auto"/>
            <w:vAlign w:val="center"/>
          </w:tcPr>
          <w:p w:rsidR="00024C0A" w:rsidRDefault="00694C0F">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024C0A" w:rsidRDefault="00024C0A"/>
    <w:p w:rsidR="00024C0A" w:rsidRDefault="00694C0F">
      <w:pPr>
        <w:pStyle w:val="Definition-Field"/>
      </w:pPr>
      <w:r>
        <w:t xml:space="preserve">b.   </w:t>
      </w:r>
      <w:r>
        <w:rPr>
          <w:i/>
        </w:rPr>
        <w:t>The standard states that the function is specific to U.S. currency.</w:t>
      </w:r>
    </w:p>
    <w:p w:rsidR="00024C0A" w:rsidRDefault="00694C0F">
      <w:pPr>
        <w:pStyle w:val="Definition-Field2"/>
      </w:pPr>
      <w:r>
        <w:t xml:space="preserve">Office does not require the function to be specific to any </w:t>
      </w:r>
      <w:r>
        <w:t>currency.</w:t>
      </w:r>
    </w:p>
    <w:p w:rsidR="00024C0A" w:rsidRDefault="00694C0F">
      <w:pPr>
        <w:pStyle w:val="Definition-Field"/>
      </w:pPr>
      <w:r>
        <w:t xml:space="preserve">c.   </w:t>
      </w:r>
      <w:r>
        <w:rPr>
          <w:i/>
        </w:rPr>
        <w:t>The standard indicates no restriction on the argument redemption.</w:t>
      </w:r>
    </w:p>
    <w:p w:rsidR="00024C0A" w:rsidRDefault="00694C0F">
      <w:pPr>
        <w:pStyle w:val="Definition-Field2"/>
      </w:pPr>
      <w:r>
        <w:t>Office returns #NUM! if argument redemption &lt;= 0.</w:t>
      </w:r>
    </w:p>
    <w:p w:rsidR="00024C0A" w:rsidRDefault="00694C0F">
      <w:pPr>
        <w:pStyle w:val="Heading3"/>
      </w:pPr>
      <w:bookmarkStart w:id="2031" w:name="section_61a69b8c4bdc4a5db748206b84c5013b"/>
      <w:bookmarkStart w:id="2032" w:name="_Toc12261076"/>
      <w:r>
        <w:lastRenderedPageBreak/>
        <w:t>Part 1 Section 18.17.7.242, ODDFYIELD</w:t>
      </w:r>
      <w:bookmarkEnd w:id="2031"/>
      <w:bookmarkEnd w:id="2032"/>
      <w:r>
        <w:fldChar w:fldCharType="begin"/>
      </w:r>
      <w:r>
        <w:instrText xml:space="preserve"> XE "ODDFYIELD" </w:instrText>
      </w:r>
      <w:r>
        <w:fldChar w:fldCharType="end"/>
      </w:r>
    </w:p>
    <w:p w:rsidR="00024C0A" w:rsidRDefault="00694C0F">
      <w:pPr>
        <w:pStyle w:val="Definition-Field"/>
      </w:pPr>
      <w:r>
        <w:t xml:space="preserve">a.   </w:t>
      </w:r>
      <w:r>
        <w:rPr>
          <w:i/>
        </w:rPr>
        <w:t xml:space="preserve">The standard does not specify day and month adjustments for the </w:t>
      </w:r>
      <w:r>
        <w:rPr>
          <w:i/>
        </w:rPr>
        <w:t>basis argument.</w:t>
      </w:r>
    </w:p>
    <w:p w:rsidR="00024C0A" w:rsidRDefault="00694C0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Value</w:t>
            </w:r>
          </w:p>
        </w:tc>
        <w:tc>
          <w:tcPr>
            <w:tcW w:w="0" w:type="auto"/>
            <w:vAlign w:val="center"/>
          </w:tcPr>
          <w:p w:rsidR="00024C0A" w:rsidRDefault="00694C0F">
            <w:pPr>
              <w:pStyle w:val="TableHeaderText"/>
            </w:pPr>
            <w:r>
              <w:t>Day Count Basis</w:t>
            </w:r>
          </w:p>
        </w:tc>
      </w:tr>
      <w:tr w:rsidR="00024C0A" w:rsidTr="00024C0A">
        <w:tc>
          <w:tcPr>
            <w:tcW w:w="0" w:type="auto"/>
            <w:vAlign w:val="center"/>
          </w:tcPr>
          <w:p w:rsidR="00024C0A" w:rsidRDefault="00694C0F">
            <w:pPr>
              <w:pStyle w:val="TableBodyText"/>
            </w:pPr>
            <w:r>
              <w:rPr>
                <w:rStyle w:val="InlineCode"/>
              </w:rPr>
              <w:t>0</w:t>
            </w:r>
            <w:r>
              <w:t xml:space="preserve"> or omitted</w:t>
            </w:r>
          </w:p>
        </w:tc>
        <w:tc>
          <w:tcPr>
            <w:tcW w:w="0" w:type="auto"/>
            <w:vAlign w:val="center"/>
          </w:tcPr>
          <w:p w:rsidR="00024C0A" w:rsidRDefault="00694C0F">
            <w:pPr>
              <w:pStyle w:val="TableBodyText"/>
            </w:pPr>
            <w:r>
              <w:t xml:space="preserve">US (NASD) 30/360. If the dates are equal, the difference of days is 0. Assumes that each month has </w:t>
            </w:r>
            <w:r>
              <w:t>30 days and the total number of days in the year is 360 by making the following adjustments:</w:t>
            </w:r>
          </w:p>
          <w:p w:rsidR="00024C0A" w:rsidRDefault="00694C0F">
            <w:pPr>
              <w:pStyle w:val="TableBodyText"/>
            </w:pPr>
            <w:r>
              <w:t>If both day-of-months are 31, they are changed to 30</w:t>
            </w:r>
          </w:p>
          <w:p w:rsidR="00024C0A" w:rsidRDefault="00694C0F">
            <w:pPr>
              <w:pStyle w:val="TableBodyText"/>
            </w:pPr>
            <w:r>
              <w:t>Otherwise, if date1’s day-of-month is 31, it is changed to 30</w:t>
            </w:r>
          </w:p>
          <w:p w:rsidR="00024C0A" w:rsidRDefault="00694C0F">
            <w:pPr>
              <w:pStyle w:val="TableBodyText"/>
            </w:pPr>
            <w:r>
              <w:t>Otherwise, if date1’s day-of-month is 30 and dat</w:t>
            </w:r>
            <w:r>
              <w:t>e2’s day-of-month is 31, date2’s day-of-month is changed to 30 (note that date2’s day-of-month will stay 31 if date1’s day &lt; 30)</w:t>
            </w:r>
          </w:p>
          <w:p w:rsidR="00024C0A" w:rsidRDefault="00694C0F">
            <w:pPr>
              <w:pStyle w:val="TableBodyText"/>
            </w:pPr>
            <w:r>
              <w:t>Otherwise, if both dates are the last day of February in their respective years, both day-of-month is changed to 30</w:t>
            </w:r>
          </w:p>
          <w:p w:rsidR="00024C0A" w:rsidRDefault="00694C0F">
            <w:pPr>
              <w:pStyle w:val="TableBodyText"/>
            </w:pPr>
            <w:r>
              <w:t xml:space="preserve">Otherwise, </w:t>
            </w:r>
            <w:r>
              <w:t>if date1 is the last day of February, its day-of-month is changed to 30</w:t>
            </w:r>
          </w:p>
        </w:tc>
      </w:tr>
      <w:tr w:rsidR="00024C0A" w:rsidTr="00024C0A">
        <w:tc>
          <w:tcPr>
            <w:tcW w:w="0" w:type="auto"/>
            <w:vAlign w:val="center"/>
          </w:tcPr>
          <w:p w:rsidR="00024C0A" w:rsidRDefault="00694C0F">
            <w:pPr>
              <w:pStyle w:val="TableBodyText"/>
            </w:pPr>
            <w:r>
              <w:rPr>
                <w:rStyle w:val="InlineCode"/>
              </w:rPr>
              <w:t>1</w:t>
            </w:r>
          </w:p>
        </w:tc>
        <w:tc>
          <w:tcPr>
            <w:tcW w:w="0" w:type="auto"/>
            <w:vAlign w:val="center"/>
          </w:tcPr>
          <w:p w:rsidR="00024C0A" w:rsidRDefault="00694C0F">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24C0A" w:rsidRDefault="00024C0A">
            <w:pPr>
              <w:pStyle w:val="TableBodyText"/>
            </w:pPr>
          </w:p>
          <w:p w:rsidR="00024C0A" w:rsidRDefault="00694C0F">
            <w:pPr>
              <w:pStyle w:val="TableBodyText"/>
            </w:pPr>
            <w:r>
              <w:t>To det</w:t>
            </w:r>
            <w:r>
              <w:t>ermine if date1 and date2 are “less than or equal to a year apart” for purposes of this algorithm, one of these conditions must be true:</w:t>
            </w:r>
          </w:p>
          <w:p w:rsidR="00024C0A" w:rsidRDefault="00694C0F">
            <w:pPr>
              <w:pStyle w:val="ListParagraph"/>
              <w:numPr>
                <w:ilvl w:val="0"/>
                <w:numId w:val="102"/>
              </w:numPr>
            </w:pPr>
            <w:r>
              <w:t>The two dates have the same year</w:t>
            </w:r>
          </w:p>
          <w:p w:rsidR="00024C0A" w:rsidRDefault="00694C0F">
            <w:pPr>
              <w:pStyle w:val="ListParagraph"/>
              <w:numPr>
                <w:ilvl w:val="0"/>
                <w:numId w:val="103"/>
              </w:numPr>
            </w:pPr>
            <w:r>
              <w:t>Date2’s year is exactly one more than date1’s year, and ((date1.month &gt; date2.month) o</w:t>
            </w:r>
            <w:r>
              <w:t>r ((date1.month == date2.month) and (date1.day &gt;= date2.day)))</w:t>
            </w:r>
          </w:p>
        </w:tc>
      </w:tr>
      <w:tr w:rsidR="00024C0A" w:rsidTr="00024C0A">
        <w:tc>
          <w:tcPr>
            <w:tcW w:w="0" w:type="auto"/>
            <w:vAlign w:val="center"/>
          </w:tcPr>
          <w:p w:rsidR="00024C0A" w:rsidRDefault="00694C0F">
            <w:pPr>
              <w:pStyle w:val="TableBodyText"/>
            </w:pPr>
            <w:r>
              <w:rPr>
                <w:rStyle w:val="InlineCode"/>
              </w:rPr>
              <w:t>2</w:t>
            </w:r>
          </w:p>
        </w:tc>
        <w:tc>
          <w:tcPr>
            <w:tcW w:w="0" w:type="auto"/>
            <w:vAlign w:val="center"/>
          </w:tcPr>
          <w:p w:rsidR="00024C0A" w:rsidRDefault="00694C0F">
            <w:pPr>
              <w:pStyle w:val="TableBodyText"/>
            </w:pPr>
            <w:r>
              <w:t>Actual/360. Computes the actual difference in days, and presumes there are always 360 days per year.</w:t>
            </w:r>
          </w:p>
        </w:tc>
      </w:tr>
      <w:tr w:rsidR="00024C0A" w:rsidTr="00024C0A">
        <w:tc>
          <w:tcPr>
            <w:tcW w:w="0" w:type="auto"/>
            <w:vAlign w:val="center"/>
          </w:tcPr>
          <w:p w:rsidR="00024C0A" w:rsidRDefault="00694C0F">
            <w:pPr>
              <w:pStyle w:val="TableBodyText"/>
            </w:pPr>
            <w:r>
              <w:rPr>
                <w:rStyle w:val="InlineCode"/>
              </w:rPr>
              <w:t>3</w:t>
            </w:r>
          </w:p>
        </w:tc>
        <w:tc>
          <w:tcPr>
            <w:tcW w:w="0" w:type="auto"/>
            <w:vAlign w:val="center"/>
          </w:tcPr>
          <w:p w:rsidR="00024C0A" w:rsidRDefault="00694C0F">
            <w:pPr>
              <w:pStyle w:val="TableBodyText"/>
            </w:pPr>
            <w:r>
              <w:t xml:space="preserve">Actual/365. Computes the actual difference in days, and presumes there are always 365 </w:t>
            </w:r>
            <w:r>
              <w:t>days per year.</w:t>
            </w:r>
          </w:p>
        </w:tc>
      </w:tr>
      <w:tr w:rsidR="00024C0A" w:rsidTr="00024C0A">
        <w:tc>
          <w:tcPr>
            <w:tcW w:w="0" w:type="auto"/>
            <w:vAlign w:val="center"/>
          </w:tcPr>
          <w:p w:rsidR="00024C0A" w:rsidRDefault="00694C0F">
            <w:pPr>
              <w:pStyle w:val="TableBodyText"/>
            </w:pPr>
            <w:r>
              <w:rPr>
                <w:rStyle w:val="InlineCode"/>
              </w:rPr>
              <w:t>4</w:t>
            </w:r>
          </w:p>
        </w:tc>
        <w:tc>
          <w:tcPr>
            <w:tcW w:w="0" w:type="auto"/>
            <w:vAlign w:val="center"/>
          </w:tcPr>
          <w:p w:rsidR="00024C0A" w:rsidRDefault="00694C0F">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024C0A" w:rsidRDefault="00024C0A"/>
    <w:p w:rsidR="00024C0A" w:rsidRDefault="00694C0F">
      <w:pPr>
        <w:pStyle w:val="Definition-Field"/>
      </w:pPr>
      <w:r>
        <w:t xml:space="preserve">b.   </w:t>
      </w:r>
      <w:r>
        <w:rPr>
          <w:i/>
        </w:rPr>
        <w:t>The standard states the function is specific to U.S. currency.</w:t>
      </w:r>
    </w:p>
    <w:p w:rsidR="00024C0A" w:rsidRDefault="00694C0F">
      <w:pPr>
        <w:pStyle w:val="Definition-Field2"/>
      </w:pPr>
      <w:r>
        <w:t>In Excel, the function is not specific to any currency.</w:t>
      </w:r>
    </w:p>
    <w:p w:rsidR="00024C0A" w:rsidRDefault="00694C0F">
      <w:pPr>
        <w:pStyle w:val="Definition-Field"/>
      </w:pPr>
      <w:r>
        <w:t xml:space="preserve">c.   </w:t>
      </w:r>
      <w:r>
        <w:rPr>
          <w:i/>
        </w:rPr>
        <w:t xml:space="preserve">The </w:t>
      </w:r>
      <w:r>
        <w:rPr>
          <w:i/>
        </w:rPr>
        <w:t>standard states that if rate or pr &lt; 0, #NUM! is returned.</w:t>
      </w:r>
    </w:p>
    <w:p w:rsidR="00024C0A" w:rsidRDefault="00694C0F">
      <w:pPr>
        <w:pStyle w:val="Definition-Field2"/>
      </w:pPr>
      <w:r>
        <w:t>Office returns #NUM! if rate &lt; 0 or pr &lt;= 0.</w:t>
      </w:r>
    </w:p>
    <w:p w:rsidR="00024C0A" w:rsidRDefault="00694C0F">
      <w:pPr>
        <w:pStyle w:val="Heading3"/>
      </w:pPr>
      <w:bookmarkStart w:id="2033" w:name="section_d8ac59055dd14c3a8b540cc16b6f8c14"/>
      <w:bookmarkStart w:id="2034" w:name="_Toc12261077"/>
      <w:r>
        <w:t>Part 1 Section 18.17.7.243, ODDLPRICE</w:t>
      </w:r>
      <w:bookmarkEnd w:id="2033"/>
      <w:bookmarkEnd w:id="2034"/>
      <w:r>
        <w:fldChar w:fldCharType="begin"/>
      </w:r>
      <w:r>
        <w:instrText xml:space="preserve"> XE "ODDLPRICE" </w:instrText>
      </w:r>
      <w:r>
        <w:fldChar w:fldCharType="end"/>
      </w:r>
    </w:p>
    <w:p w:rsidR="00024C0A" w:rsidRDefault="00694C0F">
      <w:pPr>
        <w:pStyle w:val="Definition-Field"/>
      </w:pPr>
      <w:r>
        <w:t xml:space="preserve">a.   </w:t>
      </w:r>
      <w:r>
        <w:rPr>
          <w:i/>
        </w:rPr>
        <w:t>The standard does not specify day and month adjustments for the basis argument.</w:t>
      </w:r>
    </w:p>
    <w:p w:rsidR="00024C0A" w:rsidRDefault="00694C0F">
      <w:r>
        <w:t>In Excel, t</w:t>
      </w:r>
      <w:r>
        <w:t xml:space="preserve">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lastRenderedPageBreak/>
              <w:t>Value</w:t>
            </w:r>
          </w:p>
        </w:tc>
        <w:tc>
          <w:tcPr>
            <w:tcW w:w="0" w:type="auto"/>
            <w:vAlign w:val="center"/>
          </w:tcPr>
          <w:p w:rsidR="00024C0A" w:rsidRDefault="00694C0F">
            <w:pPr>
              <w:pStyle w:val="TableHeaderText"/>
            </w:pPr>
            <w:r>
              <w:t>Day Count Basis</w:t>
            </w:r>
          </w:p>
        </w:tc>
      </w:tr>
      <w:tr w:rsidR="00024C0A" w:rsidTr="00024C0A">
        <w:tc>
          <w:tcPr>
            <w:tcW w:w="0" w:type="auto"/>
            <w:vAlign w:val="center"/>
          </w:tcPr>
          <w:p w:rsidR="00024C0A" w:rsidRDefault="00694C0F">
            <w:pPr>
              <w:pStyle w:val="TableBodyText"/>
            </w:pPr>
            <w:r>
              <w:rPr>
                <w:rStyle w:val="InlineCode"/>
              </w:rPr>
              <w:t>0</w:t>
            </w:r>
            <w:r>
              <w:t xml:space="preserve"> or omitted</w:t>
            </w:r>
          </w:p>
        </w:tc>
        <w:tc>
          <w:tcPr>
            <w:tcW w:w="0" w:type="auto"/>
            <w:vAlign w:val="center"/>
          </w:tcPr>
          <w:p w:rsidR="00024C0A" w:rsidRDefault="00694C0F">
            <w:pPr>
              <w:pStyle w:val="TableBodyText"/>
            </w:pPr>
            <w:r>
              <w:t>US (NASD) 30/360. If the dates are equal, the difference of days is 0. Assumes that each month has 30 days and the total numbe</w:t>
            </w:r>
            <w:r>
              <w:t>r of days in the year is 360 by making the following adjustments:</w:t>
            </w:r>
          </w:p>
          <w:p w:rsidR="00024C0A" w:rsidRDefault="00694C0F">
            <w:pPr>
              <w:pStyle w:val="TableBodyText"/>
            </w:pPr>
            <w:r>
              <w:t>If both day-of-months are 31, they are changed to 30</w:t>
            </w:r>
          </w:p>
          <w:p w:rsidR="00024C0A" w:rsidRDefault="00694C0F">
            <w:pPr>
              <w:pStyle w:val="TableBodyText"/>
            </w:pPr>
            <w:r>
              <w:t>Otherwise, if date1’s day-of-month is 31, it is changed to 30</w:t>
            </w:r>
          </w:p>
          <w:p w:rsidR="00024C0A" w:rsidRDefault="00694C0F">
            <w:pPr>
              <w:pStyle w:val="TableBodyText"/>
            </w:pPr>
            <w:r>
              <w:t xml:space="preserve">Otherwise, if date1’s day-of-month is 30 and date2’s day-of-month is 31, </w:t>
            </w:r>
            <w:r>
              <w:t>date2’s day-of-month is changed to 30 (note that date2’s day-of-month will stay 31 if date1’s day &lt; 30)</w:t>
            </w:r>
          </w:p>
          <w:p w:rsidR="00024C0A" w:rsidRDefault="00694C0F">
            <w:pPr>
              <w:pStyle w:val="TableBodyText"/>
            </w:pPr>
            <w:r>
              <w:t>Otherwise, if both dates are the last day of February in their respective years, both day-of-month is changed to 30</w:t>
            </w:r>
          </w:p>
          <w:p w:rsidR="00024C0A" w:rsidRDefault="00694C0F">
            <w:pPr>
              <w:pStyle w:val="TableBodyText"/>
            </w:pPr>
            <w:r>
              <w:t xml:space="preserve">Otherwise, if date1 is the last day </w:t>
            </w:r>
            <w:r>
              <w:t>of February, its day-of-month is changed to 30</w:t>
            </w:r>
          </w:p>
        </w:tc>
      </w:tr>
      <w:tr w:rsidR="00024C0A" w:rsidTr="00024C0A">
        <w:tc>
          <w:tcPr>
            <w:tcW w:w="0" w:type="auto"/>
            <w:vAlign w:val="center"/>
          </w:tcPr>
          <w:p w:rsidR="00024C0A" w:rsidRDefault="00694C0F">
            <w:pPr>
              <w:pStyle w:val="TableBodyText"/>
            </w:pPr>
            <w:r>
              <w:rPr>
                <w:rStyle w:val="InlineCode"/>
              </w:rPr>
              <w:t>1</w:t>
            </w:r>
          </w:p>
        </w:tc>
        <w:tc>
          <w:tcPr>
            <w:tcW w:w="0" w:type="auto"/>
            <w:vAlign w:val="center"/>
          </w:tcPr>
          <w:p w:rsidR="00024C0A" w:rsidRDefault="00694C0F">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24C0A" w:rsidRDefault="00024C0A">
            <w:pPr>
              <w:pStyle w:val="TableBodyText"/>
            </w:pPr>
          </w:p>
          <w:p w:rsidR="00024C0A" w:rsidRDefault="00694C0F">
            <w:pPr>
              <w:pStyle w:val="TableBodyText"/>
            </w:pPr>
            <w:r>
              <w:t>To det</w:t>
            </w:r>
            <w:r>
              <w:t>ermine if date1 and date2 are “less than or equal to a year apart” for purposes of this algorithm, one of these conditions must be true:</w:t>
            </w:r>
          </w:p>
          <w:p w:rsidR="00024C0A" w:rsidRDefault="00694C0F">
            <w:pPr>
              <w:pStyle w:val="ListParagraph"/>
              <w:numPr>
                <w:ilvl w:val="0"/>
                <w:numId w:val="104"/>
              </w:numPr>
            </w:pPr>
            <w:r>
              <w:t>The two dates have the same year</w:t>
            </w:r>
          </w:p>
          <w:p w:rsidR="00024C0A" w:rsidRDefault="00694C0F">
            <w:pPr>
              <w:pStyle w:val="ListParagraph"/>
              <w:numPr>
                <w:ilvl w:val="0"/>
                <w:numId w:val="105"/>
              </w:numPr>
            </w:pPr>
            <w:r>
              <w:t>Date2’s year is exactly one more than date1’s year, and ((date1.month &gt; date2.month) o</w:t>
            </w:r>
            <w:r>
              <w:t>r ((date1.month == date2.month) and (date1.day &gt;= date2.day)))</w:t>
            </w:r>
          </w:p>
        </w:tc>
      </w:tr>
      <w:tr w:rsidR="00024C0A" w:rsidTr="00024C0A">
        <w:tc>
          <w:tcPr>
            <w:tcW w:w="0" w:type="auto"/>
            <w:vAlign w:val="center"/>
          </w:tcPr>
          <w:p w:rsidR="00024C0A" w:rsidRDefault="00694C0F">
            <w:pPr>
              <w:pStyle w:val="TableBodyText"/>
            </w:pPr>
            <w:r>
              <w:rPr>
                <w:rStyle w:val="InlineCode"/>
              </w:rPr>
              <w:t>2</w:t>
            </w:r>
          </w:p>
        </w:tc>
        <w:tc>
          <w:tcPr>
            <w:tcW w:w="0" w:type="auto"/>
            <w:vAlign w:val="center"/>
          </w:tcPr>
          <w:p w:rsidR="00024C0A" w:rsidRDefault="00694C0F">
            <w:pPr>
              <w:pStyle w:val="TableBodyText"/>
            </w:pPr>
            <w:r>
              <w:t>Actual/360. Computes the actual difference in days, and presumes there are always 360 days per year.</w:t>
            </w:r>
          </w:p>
        </w:tc>
      </w:tr>
      <w:tr w:rsidR="00024C0A" w:rsidTr="00024C0A">
        <w:tc>
          <w:tcPr>
            <w:tcW w:w="0" w:type="auto"/>
            <w:vAlign w:val="center"/>
          </w:tcPr>
          <w:p w:rsidR="00024C0A" w:rsidRDefault="00694C0F">
            <w:pPr>
              <w:pStyle w:val="TableBodyText"/>
            </w:pPr>
            <w:r>
              <w:rPr>
                <w:rStyle w:val="InlineCode"/>
              </w:rPr>
              <w:t>3</w:t>
            </w:r>
          </w:p>
        </w:tc>
        <w:tc>
          <w:tcPr>
            <w:tcW w:w="0" w:type="auto"/>
            <w:vAlign w:val="center"/>
          </w:tcPr>
          <w:p w:rsidR="00024C0A" w:rsidRDefault="00694C0F">
            <w:pPr>
              <w:pStyle w:val="TableBodyText"/>
            </w:pPr>
            <w:r>
              <w:t xml:space="preserve">Actual/365. Computes the actual difference in days, and presumes there are always 365 </w:t>
            </w:r>
            <w:r>
              <w:t>days per year.</w:t>
            </w:r>
          </w:p>
        </w:tc>
      </w:tr>
      <w:tr w:rsidR="00024C0A" w:rsidTr="00024C0A">
        <w:tc>
          <w:tcPr>
            <w:tcW w:w="0" w:type="auto"/>
            <w:vAlign w:val="center"/>
          </w:tcPr>
          <w:p w:rsidR="00024C0A" w:rsidRDefault="00694C0F">
            <w:pPr>
              <w:pStyle w:val="TableBodyText"/>
            </w:pPr>
            <w:r>
              <w:rPr>
                <w:rStyle w:val="InlineCode"/>
              </w:rPr>
              <w:t>4</w:t>
            </w:r>
          </w:p>
        </w:tc>
        <w:tc>
          <w:tcPr>
            <w:tcW w:w="0" w:type="auto"/>
            <w:vAlign w:val="center"/>
          </w:tcPr>
          <w:p w:rsidR="00024C0A" w:rsidRDefault="00694C0F">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024C0A" w:rsidRDefault="00024C0A"/>
    <w:p w:rsidR="00024C0A" w:rsidRDefault="00694C0F">
      <w:pPr>
        <w:pStyle w:val="Definition-Field"/>
      </w:pPr>
      <w:r>
        <w:t xml:space="preserve">b.   </w:t>
      </w:r>
      <w:r>
        <w:rPr>
          <w:i/>
        </w:rPr>
        <w:t>The standard indicates that the function is specific to U.S. currency.</w:t>
      </w:r>
    </w:p>
    <w:p w:rsidR="00024C0A" w:rsidRDefault="00694C0F">
      <w:pPr>
        <w:pStyle w:val="Definition-Field2"/>
      </w:pPr>
      <w:r>
        <w:t>Office does not require the function to be specific to an</w:t>
      </w:r>
      <w:r>
        <w:t>y currency.</w:t>
      </w:r>
    </w:p>
    <w:p w:rsidR="00024C0A" w:rsidRDefault="00694C0F">
      <w:pPr>
        <w:pStyle w:val="Definition-Field"/>
      </w:pPr>
      <w:r>
        <w:t xml:space="preserve">c.   </w:t>
      </w:r>
      <w:r>
        <w:rPr>
          <w:i/>
        </w:rPr>
        <w:t>The standard indicates no restriction on the argument redemption.</w:t>
      </w:r>
    </w:p>
    <w:p w:rsidR="00024C0A" w:rsidRDefault="00694C0F">
      <w:pPr>
        <w:pStyle w:val="Definition-Field2"/>
      </w:pPr>
      <w:r>
        <w:t>Office returns #NUM! ff the argument redemption &lt;= 0.</w:t>
      </w:r>
    </w:p>
    <w:p w:rsidR="00024C0A" w:rsidRDefault="00694C0F">
      <w:pPr>
        <w:pStyle w:val="Heading3"/>
      </w:pPr>
      <w:bookmarkStart w:id="2035" w:name="section_3f0b46b39db74c8f9648c98178acff40"/>
      <w:bookmarkStart w:id="2036" w:name="_Toc12261078"/>
      <w:r>
        <w:t>Part 1 Section 18.17.7.244, ODDLYIELD</w:t>
      </w:r>
      <w:bookmarkEnd w:id="2035"/>
      <w:bookmarkEnd w:id="2036"/>
      <w:r>
        <w:fldChar w:fldCharType="begin"/>
      </w:r>
      <w:r>
        <w:instrText xml:space="preserve"> XE "ODDLYIELD" </w:instrText>
      </w:r>
      <w:r>
        <w:fldChar w:fldCharType="end"/>
      </w:r>
    </w:p>
    <w:p w:rsidR="00024C0A" w:rsidRDefault="00694C0F">
      <w:pPr>
        <w:pStyle w:val="Definition-Field"/>
      </w:pPr>
      <w:r>
        <w:t xml:space="preserve">a.   </w:t>
      </w:r>
      <w:r>
        <w:rPr>
          <w:i/>
        </w:rPr>
        <w:t xml:space="preserve">The standard does not specify day and month adjustments </w:t>
      </w:r>
      <w:r>
        <w:rPr>
          <w:i/>
        </w:rPr>
        <w:t>for the basis argument.</w:t>
      </w:r>
    </w:p>
    <w:p w:rsidR="00024C0A" w:rsidRDefault="00694C0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Value</w:t>
            </w:r>
          </w:p>
        </w:tc>
        <w:tc>
          <w:tcPr>
            <w:tcW w:w="0" w:type="auto"/>
            <w:vAlign w:val="center"/>
          </w:tcPr>
          <w:p w:rsidR="00024C0A" w:rsidRDefault="00694C0F">
            <w:pPr>
              <w:pStyle w:val="TableHeaderText"/>
            </w:pPr>
            <w:r>
              <w:t>Day Count Basis</w:t>
            </w:r>
          </w:p>
        </w:tc>
      </w:tr>
      <w:tr w:rsidR="00024C0A" w:rsidTr="00024C0A">
        <w:tc>
          <w:tcPr>
            <w:tcW w:w="0" w:type="auto"/>
            <w:vAlign w:val="center"/>
          </w:tcPr>
          <w:p w:rsidR="00024C0A" w:rsidRDefault="00694C0F">
            <w:pPr>
              <w:pStyle w:val="TableBodyText"/>
            </w:pPr>
            <w:r>
              <w:rPr>
                <w:rStyle w:val="InlineCode"/>
              </w:rPr>
              <w:t>0</w:t>
            </w:r>
            <w:r>
              <w:t xml:space="preserve"> or omitted</w:t>
            </w:r>
          </w:p>
        </w:tc>
        <w:tc>
          <w:tcPr>
            <w:tcW w:w="0" w:type="auto"/>
            <w:vAlign w:val="center"/>
          </w:tcPr>
          <w:p w:rsidR="00024C0A" w:rsidRDefault="00694C0F">
            <w:pPr>
              <w:pStyle w:val="TableBodyText"/>
            </w:pPr>
            <w:r>
              <w:t>US (NASD) 30/360. If the dates are equal, the difference of days is 0. Assumes that each mo</w:t>
            </w:r>
            <w:r>
              <w:t>nth has 30 days and the total number of days in the year is 360 by making the following adjustments:</w:t>
            </w:r>
          </w:p>
          <w:p w:rsidR="00024C0A" w:rsidRDefault="00694C0F">
            <w:pPr>
              <w:pStyle w:val="TableBodyText"/>
            </w:pPr>
            <w:r>
              <w:t>If both day-of-months are 31, they are changed to 30</w:t>
            </w:r>
          </w:p>
          <w:p w:rsidR="00024C0A" w:rsidRDefault="00694C0F">
            <w:pPr>
              <w:pStyle w:val="TableBodyText"/>
            </w:pPr>
            <w:r>
              <w:t>Otherwise, if date1’s day-of-month is 31, it is changed to 30</w:t>
            </w:r>
          </w:p>
          <w:p w:rsidR="00024C0A" w:rsidRDefault="00694C0F">
            <w:pPr>
              <w:pStyle w:val="TableBodyText"/>
            </w:pPr>
            <w:r>
              <w:lastRenderedPageBreak/>
              <w:t>Otherwise, if date1’s day-of-month is 30</w:t>
            </w:r>
            <w:r>
              <w:t xml:space="preserve"> and date2’s day-of-month is 31, date2’s day-of-month is changed to 30 (note that date2’s day-of-month will stay 31 if date1’s day &lt; 30)</w:t>
            </w:r>
          </w:p>
          <w:p w:rsidR="00024C0A" w:rsidRDefault="00694C0F">
            <w:pPr>
              <w:pStyle w:val="TableBodyText"/>
            </w:pPr>
            <w:r>
              <w:t>Otherwise, if both dates are the last day of February in their respective years, both day-of-month is changed to 30</w:t>
            </w:r>
          </w:p>
          <w:p w:rsidR="00024C0A" w:rsidRDefault="00694C0F">
            <w:pPr>
              <w:pStyle w:val="TableBodyText"/>
            </w:pPr>
            <w:r>
              <w:t>Oth</w:t>
            </w:r>
            <w:r>
              <w:t>erwise, if date1 is the last day of February, its day-of-month is changed to 30</w:t>
            </w:r>
          </w:p>
        </w:tc>
      </w:tr>
      <w:tr w:rsidR="00024C0A" w:rsidTr="00024C0A">
        <w:tc>
          <w:tcPr>
            <w:tcW w:w="0" w:type="auto"/>
            <w:vAlign w:val="center"/>
          </w:tcPr>
          <w:p w:rsidR="00024C0A" w:rsidRDefault="00694C0F">
            <w:pPr>
              <w:pStyle w:val="TableBodyText"/>
            </w:pPr>
            <w:r>
              <w:rPr>
                <w:rStyle w:val="InlineCode"/>
              </w:rPr>
              <w:lastRenderedPageBreak/>
              <w:t>1</w:t>
            </w:r>
          </w:p>
        </w:tc>
        <w:tc>
          <w:tcPr>
            <w:tcW w:w="0" w:type="auto"/>
            <w:vAlign w:val="center"/>
          </w:tcPr>
          <w:p w:rsidR="00024C0A" w:rsidRDefault="00694C0F">
            <w:pPr>
              <w:pStyle w:val="TableBodyText"/>
            </w:pPr>
            <w:r>
              <w:t>Actual/actual. If the dates are equal, the difference in days is 0. If date1 and date2 not “less than or equal to a year apart” (as defined below), then the days in the year</w:t>
            </w:r>
            <w:r>
              <w:t xml:space="preserve">s between the dates is the average number of days in the years between date1 and date2, inclusive. Otherwise, the days in the years between the dates is 365, except for these cases (where it is 366): the dates are in the same year and it is a leap-year, a </w:t>
            </w:r>
            <w:r>
              <w:t xml:space="preserve">February 29 occurs between the two dates, or </w:t>
            </w:r>
            <w:r>
              <w:rPr>
                <w:b/>
              </w:rPr>
              <w:t>date1 or</w:t>
            </w:r>
            <w:r>
              <w:t xml:space="preserve"> date2 is February 29.</w:t>
            </w:r>
          </w:p>
          <w:p w:rsidR="00024C0A" w:rsidRDefault="00024C0A">
            <w:pPr>
              <w:pStyle w:val="TableBodyText"/>
            </w:pPr>
          </w:p>
          <w:p w:rsidR="00024C0A" w:rsidRDefault="00694C0F">
            <w:pPr>
              <w:pStyle w:val="TableBodyText"/>
            </w:pPr>
            <w:r>
              <w:t>To determine if date1 and date2 are “less than or equal to a year apart” for purposes of this algorithm, one of these conditions must be true:</w:t>
            </w:r>
          </w:p>
          <w:p w:rsidR="00024C0A" w:rsidRDefault="00694C0F">
            <w:pPr>
              <w:pStyle w:val="ListParagraph"/>
              <w:numPr>
                <w:ilvl w:val="0"/>
                <w:numId w:val="106"/>
              </w:numPr>
            </w:pPr>
            <w:r>
              <w:t>The two dates have the same year</w:t>
            </w:r>
          </w:p>
          <w:p w:rsidR="00024C0A" w:rsidRDefault="00694C0F">
            <w:pPr>
              <w:pStyle w:val="ListParagraph"/>
              <w:numPr>
                <w:ilvl w:val="0"/>
                <w:numId w:val="107"/>
              </w:numPr>
            </w:pPr>
            <w:r>
              <w:t>Date2’s year is exactly one more than date1’s year, and ((date1.month &gt; date2.month) or ((date1.month == date2.month) and (date1.day &gt;= date2.day)))</w:t>
            </w:r>
          </w:p>
        </w:tc>
      </w:tr>
      <w:tr w:rsidR="00024C0A" w:rsidTr="00024C0A">
        <w:tc>
          <w:tcPr>
            <w:tcW w:w="0" w:type="auto"/>
            <w:vAlign w:val="center"/>
          </w:tcPr>
          <w:p w:rsidR="00024C0A" w:rsidRDefault="00694C0F">
            <w:pPr>
              <w:pStyle w:val="TableBodyText"/>
            </w:pPr>
            <w:r>
              <w:rPr>
                <w:rStyle w:val="InlineCode"/>
              </w:rPr>
              <w:t>2</w:t>
            </w:r>
          </w:p>
        </w:tc>
        <w:tc>
          <w:tcPr>
            <w:tcW w:w="0" w:type="auto"/>
            <w:vAlign w:val="center"/>
          </w:tcPr>
          <w:p w:rsidR="00024C0A" w:rsidRDefault="00694C0F">
            <w:pPr>
              <w:pStyle w:val="TableBodyText"/>
            </w:pPr>
            <w:r>
              <w:t>Actual/360. Computes the actual difference in days, and presumes there are always 360 days per year.</w:t>
            </w:r>
          </w:p>
        </w:tc>
      </w:tr>
      <w:tr w:rsidR="00024C0A" w:rsidTr="00024C0A">
        <w:tc>
          <w:tcPr>
            <w:tcW w:w="0" w:type="auto"/>
            <w:vAlign w:val="center"/>
          </w:tcPr>
          <w:p w:rsidR="00024C0A" w:rsidRDefault="00694C0F">
            <w:pPr>
              <w:pStyle w:val="TableBodyText"/>
            </w:pPr>
            <w:r>
              <w:rPr>
                <w:rStyle w:val="InlineCode"/>
              </w:rPr>
              <w:t>3</w:t>
            </w:r>
          </w:p>
        </w:tc>
        <w:tc>
          <w:tcPr>
            <w:tcW w:w="0" w:type="auto"/>
            <w:vAlign w:val="center"/>
          </w:tcPr>
          <w:p w:rsidR="00024C0A" w:rsidRDefault="00694C0F">
            <w:pPr>
              <w:pStyle w:val="TableBodyText"/>
            </w:pPr>
            <w:r>
              <w:t>Actual/365. Computes the actual difference in days, and presumes there are always 365 days per year.</w:t>
            </w:r>
          </w:p>
        </w:tc>
      </w:tr>
      <w:tr w:rsidR="00024C0A" w:rsidTr="00024C0A">
        <w:tc>
          <w:tcPr>
            <w:tcW w:w="0" w:type="auto"/>
            <w:vAlign w:val="center"/>
          </w:tcPr>
          <w:p w:rsidR="00024C0A" w:rsidRDefault="00694C0F">
            <w:pPr>
              <w:pStyle w:val="TableBodyText"/>
            </w:pPr>
            <w:r>
              <w:rPr>
                <w:rStyle w:val="InlineCode"/>
              </w:rPr>
              <w:t>4</w:t>
            </w:r>
          </w:p>
        </w:tc>
        <w:tc>
          <w:tcPr>
            <w:tcW w:w="0" w:type="auto"/>
            <w:vAlign w:val="center"/>
          </w:tcPr>
          <w:p w:rsidR="00024C0A" w:rsidRDefault="00694C0F">
            <w:pPr>
              <w:pStyle w:val="TableBodyText"/>
            </w:pPr>
            <w:r>
              <w:t xml:space="preserve">European 30/360. The European method for adjusting day counts. If the dates are equal, the difference of days is 0. Assumes that each month has 30 days </w:t>
            </w:r>
            <w:r>
              <w:t xml:space="preserve">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024C0A" w:rsidRDefault="00024C0A"/>
    <w:p w:rsidR="00024C0A" w:rsidRDefault="00694C0F">
      <w:pPr>
        <w:pStyle w:val="Definition-Field"/>
      </w:pPr>
      <w:r>
        <w:t xml:space="preserve">b.   </w:t>
      </w:r>
      <w:r>
        <w:rPr>
          <w:i/>
        </w:rPr>
        <w:t>The standard indicates that the function i</w:t>
      </w:r>
      <w:r>
        <w:rPr>
          <w:i/>
        </w:rPr>
        <w:t>s specific to U.S. currency.</w:t>
      </w:r>
    </w:p>
    <w:p w:rsidR="00024C0A" w:rsidRDefault="00694C0F">
      <w:pPr>
        <w:pStyle w:val="Definition-Field2"/>
      </w:pPr>
      <w:r>
        <w:t>Office does not require the function to be specific to any currency.</w:t>
      </w:r>
    </w:p>
    <w:p w:rsidR="00024C0A" w:rsidRDefault="00694C0F">
      <w:pPr>
        <w:pStyle w:val="Definition-Field"/>
      </w:pPr>
      <w:r>
        <w:t xml:space="preserve">c.   </w:t>
      </w:r>
      <w:r>
        <w:rPr>
          <w:i/>
        </w:rPr>
        <w:t>The standard states that if rate or pr &lt; 0, #NUM! is returned.</w:t>
      </w:r>
    </w:p>
    <w:p w:rsidR="00024C0A" w:rsidRDefault="00694C0F">
      <w:pPr>
        <w:pStyle w:val="Definition-Field2"/>
      </w:pPr>
      <w:r>
        <w:t>Office returns #NUM! if rate &lt; 0 or pr &lt;= 0.</w:t>
      </w:r>
    </w:p>
    <w:p w:rsidR="00024C0A" w:rsidRDefault="00694C0F">
      <w:pPr>
        <w:pStyle w:val="Heading3"/>
      </w:pPr>
      <w:bookmarkStart w:id="2037" w:name="section_0ff7e6c2c09e403781452c21b7e55f9b"/>
      <w:bookmarkStart w:id="2038" w:name="_Toc12261079"/>
      <w:r>
        <w:t>Part 1 Section 18.17.7.245, OFFSET</w:t>
      </w:r>
      <w:bookmarkEnd w:id="2037"/>
      <w:bookmarkEnd w:id="2038"/>
      <w:r>
        <w:fldChar w:fldCharType="begin"/>
      </w:r>
      <w:r>
        <w:instrText xml:space="preserve"> XE "OFFSET" </w:instrText>
      </w:r>
      <w:r>
        <w:fldChar w:fldCharType="end"/>
      </w:r>
    </w:p>
    <w:p w:rsidR="00024C0A" w:rsidRDefault="00694C0F">
      <w:pPr>
        <w:pStyle w:val="Definition-Field"/>
      </w:pPr>
      <w:r>
        <w:t xml:space="preserve">a.   </w:t>
      </w:r>
      <w:r>
        <w:rPr>
          <w:i/>
        </w:rPr>
        <w:t>The standard specifies that the height and width arguments shall be positive.</w:t>
      </w:r>
    </w:p>
    <w:p w:rsidR="00024C0A" w:rsidRDefault="00694C0F">
      <w:pPr>
        <w:pStyle w:val="Definition-Field2"/>
      </w:pPr>
      <w:r>
        <w:t>Office allows the height and width arguments to be negative.</w:t>
      </w:r>
    </w:p>
    <w:p w:rsidR="00024C0A" w:rsidRDefault="00694C0F">
      <w:pPr>
        <w:pStyle w:val="Heading3"/>
      </w:pPr>
      <w:bookmarkStart w:id="2039" w:name="section_1bef1e6aca8a4f4c9d452a4d84daf079"/>
      <w:bookmarkStart w:id="2040" w:name="_Toc12261080"/>
      <w:r>
        <w:t>Part 1 Section 18.17.7.247, PEARSON</w:t>
      </w:r>
      <w:bookmarkEnd w:id="2039"/>
      <w:bookmarkEnd w:id="2040"/>
      <w:r>
        <w:fldChar w:fldCharType="begin"/>
      </w:r>
      <w:r>
        <w:instrText xml:space="preserve"> XE "PEARSON" </w:instrText>
      </w:r>
      <w:r>
        <w:fldChar w:fldCharType="end"/>
      </w:r>
    </w:p>
    <w:p w:rsidR="00024C0A" w:rsidRDefault="00694C0F">
      <w:pPr>
        <w:pStyle w:val="Definition-Field"/>
      </w:pPr>
      <w:r>
        <w:t xml:space="preserve">a.   </w:t>
      </w:r>
      <w:r>
        <w:rPr>
          <w:i/>
        </w:rPr>
        <w:t>The standard maps x and y to AVERAGE(ar</w:t>
      </w:r>
      <w:r>
        <w:rPr>
          <w:i/>
        </w:rPr>
        <w:t>ray-1) and AVERAGE(array-2), respectively.</w:t>
      </w:r>
    </w:p>
    <w:p w:rsidR="00024C0A" w:rsidRDefault="00694C0F">
      <w:pPr>
        <w:pStyle w:val="Definition-Field2"/>
      </w:pPr>
      <w:r>
        <w:t>Office maps x to an individual value from array-1, x-bar to AVERAGE(array-1), y to an individual value from array-2, y-bar to AVERAGE(array-2).</w:t>
      </w:r>
    </w:p>
    <w:p w:rsidR="00024C0A" w:rsidRDefault="00694C0F">
      <w:pPr>
        <w:pStyle w:val="Heading3"/>
      </w:pPr>
      <w:bookmarkStart w:id="2041" w:name="section_c7d5519620ea494ebc189f54df3eaca6"/>
      <w:bookmarkStart w:id="2042" w:name="_Toc12261081"/>
      <w:r>
        <w:t>Part 1 Section 18.17.7.248, PERCENTILE</w:t>
      </w:r>
      <w:bookmarkEnd w:id="2041"/>
      <w:bookmarkEnd w:id="2042"/>
      <w:r>
        <w:fldChar w:fldCharType="begin"/>
      </w:r>
      <w:r>
        <w:instrText xml:space="preserve"> XE "PERCENTILE" </w:instrText>
      </w:r>
      <w:r>
        <w:fldChar w:fldCharType="end"/>
      </w:r>
    </w:p>
    <w:p w:rsidR="00024C0A" w:rsidRDefault="00694C0F">
      <w:pPr>
        <w:pStyle w:val="Definition-Field"/>
      </w:pPr>
      <w:r>
        <w:t xml:space="preserve">a.   </w:t>
      </w:r>
      <w:r>
        <w:rPr>
          <w:i/>
        </w:rPr>
        <w:t>The st</w:t>
      </w:r>
      <w:r>
        <w:rPr>
          <w:i/>
        </w:rPr>
        <w:t>andard indicated the return value is undefined if the array is empty.</w:t>
      </w:r>
    </w:p>
    <w:p w:rsidR="00024C0A" w:rsidRDefault="00694C0F">
      <w:pPr>
        <w:pStyle w:val="Definition-Field2"/>
      </w:pPr>
      <w:r>
        <w:lastRenderedPageBreak/>
        <w:t>Office returns 0 if the array is empty.</w:t>
      </w:r>
    </w:p>
    <w:p w:rsidR="00024C0A" w:rsidRDefault="00694C0F">
      <w:pPr>
        <w:pStyle w:val="Heading3"/>
      </w:pPr>
      <w:bookmarkStart w:id="2043" w:name="section_ee517e537e4049ca8431f184ad2cd716"/>
      <w:bookmarkStart w:id="2044" w:name="_Toc12261082"/>
      <w:r>
        <w:t>Part 1 Section 18.17.7.249, PERCENTRANK</w:t>
      </w:r>
      <w:bookmarkEnd w:id="2043"/>
      <w:bookmarkEnd w:id="2044"/>
      <w:r>
        <w:fldChar w:fldCharType="begin"/>
      </w:r>
      <w:r>
        <w:instrText xml:space="preserve"> XE "PERCENTRANK" </w:instrText>
      </w:r>
      <w:r>
        <w:fldChar w:fldCharType="end"/>
      </w:r>
    </w:p>
    <w:p w:rsidR="00024C0A" w:rsidRDefault="00694C0F">
      <w:pPr>
        <w:pStyle w:val="Definition-Field"/>
      </w:pPr>
      <w:r>
        <w:t xml:space="preserve">a.   </w:t>
      </w:r>
      <w:r>
        <w:rPr>
          <w:i/>
        </w:rPr>
        <w:t>The standard defines significance argument as a number.</w:t>
      </w:r>
    </w:p>
    <w:p w:rsidR="00024C0A" w:rsidRDefault="00694C0F">
      <w:pPr>
        <w:pStyle w:val="Definition-Field2"/>
      </w:pPr>
      <w:r>
        <w:t>Office truncates signific</w:t>
      </w:r>
      <w:r>
        <w:t>ance argument to an integer.</w:t>
      </w:r>
    </w:p>
    <w:p w:rsidR="00024C0A" w:rsidRDefault="00694C0F">
      <w:pPr>
        <w:pStyle w:val="Definition-Field"/>
      </w:pPr>
      <w:r>
        <w:t xml:space="preserve">b.   </w:t>
      </w:r>
      <w:r>
        <w:rPr>
          <w:i/>
        </w:rPr>
        <w:t>The standard does not specify an upper limit on significance argument.</w:t>
      </w:r>
    </w:p>
    <w:p w:rsidR="00024C0A" w:rsidRDefault="00694C0F">
      <w:pPr>
        <w:pStyle w:val="Definition-Field2"/>
      </w:pPr>
      <w:r>
        <w:t>Office returns #DIV/0! when the significance argument is greater than 308.</w:t>
      </w:r>
    </w:p>
    <w:p w:rsidR="00024C0A" w:rsidRDefault="00694C0F">
      <w:pPr>
        <w:pStyle w:val="Heading3"/>
      </w:pPr>
      <w:bookmarkStart w:id="2045" w:name="section_77902b0ad44f4b40bf1fd73167a47f39"/>
      <w:bookmarkStart w:id="2046" w:name="_Toc12261083"/>
      <w:r>
        <w:t>Part 1 Section 18.17.7.253, PMT</w:t>
      </w:r>
      <w:bookmarkEnd w:id="2045"/>
      <w:bookmarkEnd w:id="2046"/>
      <w:r>
        <w:fldChar w:fldCharType="begin"/>
      </w:r>
      <w:r>
        <w:instrText xml:space="preserve"> XE "PMT" </w:instrText>
      </w:r>
      <w:r>
        <w:fldChar w:fldCharType="end"/>
      </w:r>
    </w:p>
    <w:p w:rsidR="00024C0A" w:rsidRDefault="00694C0F">
      <w:pPr>
        <w:pStyle w:val="Definition-Field"/>
      </w:pPr>
      <w:r>
        <w:t xml:space="preserve">a.   </w:t>
      </w:r>
      <w:r>
        <w:rPr>
          <w:i/>
        </w:rPr>
        <w:t>The standard places no rest</w:t>
      </w:r>
      <w:r>
        <w:rPr>
          <w:i/>
        </w:rPr>
        <w:t>rictions on nper.</w:t>
      </w:r>
    </w:p>
    <w:p w:rsidR="00024C0A" w:rsidRDefault="00694C0F">
      <w:pPr>
        <w:pStyle w:val="Definition-Field2"/>
      </w:pPr>
      <w:r>
        <w:t>In Excel, if nper is 0, then #DIV/0! is returned.</w:t>
      </w:r>
    </w:p>
    <w:p w:rsidR="00024C0A" w:rsidRDefault="00694C0F">
      <w:pPr>
        <w:pStyle w:val="Definition-Field"/>
      </w:pPr>
      <w:r>
        <w:t xml:space="preserve">b.   </w:t>
      </w:r>
      <w:r>
        <w:rPr>
          <w:i/>
        </w:rPr>
        <w:t>The standard states that the argument type can only be 0 or 1.</w:t>
      </w:r>
    </w:p>
    <w:p w:rsidR="00024C0A" w:rsidRDefault="00694C0F">
      <w:pPr>
        <w:pStyle w:val="Definition-Field2"/>
      </w:pPr>
      <w:r>
        <w:t>Office allows the value for argument type to be omitted or nonzero.</w:t>
      </w:r>
    </w:p>
    <w:p w:rsidR="00024C0A" w:rsidRDefault="00694C0F">
      <w:pPr>
        <w:pStyle w:val="Definition-Field"/>
      </w:pPr>
      <w:r>
        <w:t xml:space="preserve">c.   </w:t>
      </w:r>
      <w:r>
        <w:rPr>
          <w:i/>
        </w:rPr>
        <w:t>The standard states that the argument type is t</w:t>
      </w:r>
      <w:r>
        <w:rPr>
          <w:i/>
        </w:rPr>
        <w:t>runcated to an integer.</w:t>
      </w:r>
    </w:p>
    <w:p w:rsidR="00024C0A" w:rsidRDefault="00694C0F">
      <w:pPr>
        <w:pStyle w:val="Definition-Field2"/>
      </w:pPr>
      <w:r>
        <w:t>Office does not truncate the argument type to an integer.</w:t>
      </w:r>
    </w:p>
    <w:p w:rsidR="00024C0A" w:rsidRDefault="00694C0F">
      <w:pPr>
        <w:pStyle w:val="Definition-Field"/>
      </w:pPr>
      <w:r>
        <w:t xml:space="preserve">d.   </w:t>
      </w:r>
      <w:r>
        <w:rPr>
          <w:i/>
        </w:rPr>
        <w:t>The standard does not specify a default for the optional argument type.</w:t>
      </w:r>
    </w:p>
    <w:p w:rsidR="00024C0A" w:rsidRDefault="00694C0F">
      <w:pPr>
        <w:pStyle w:val="Definition-Field2"/>
      </w:pPr>
      <w:r>
        <w:t>In Office, if the value for type is omitted it defaults to value of 0.</w:t>
      </w:r>
    </w:p>
    <w:p w:rsidR="00024C0A" w:rsidRDefault="00694C0F">
      <w:pPr>
        <w:pStyle w:val="Heading3"/>
      </w:pPr>
      <w:bookmarkStart w:id="2047" w:name="section_0001645b75344016ae4bf913658dd855"/>
      <w:bookmarkStart w:id="2048" w:name="_Toc12261084"/>
      <w:r>
        <w:t>Part 1 Section 18.17.7.254</w:t>
      </w:r>
      <w:r>
        <w:t>, POISSON</w:t>
      </w:r>
      <w:bookmarkEnd w:id="2047"/>
      <w:bookmarkEnd w:id="2048"/>
      <w:r>
        <w:fldChar w:fldCharType="begin"/>
      </w:r>
      <w:r>
        <w:instrText xml:space="preserve"> XE "POISSON" </w:instrText>
      </w:r>
      <w:r>
        <w:fldChar w:fldCharType="end"/>
      </w:r>
    </w:p>
    <w:p w:rsidR="00024C0A" w:rsidRDefault="00694C0F">
      <w:pPr>
        <w:pStyle w:val="Definition-Field"/>
      </w:pPr>
      <w:r>
        <w:t xml:space="preserve">a.   </w:t>
      </w:r>
      <w:r>
        <w:rPr>
          <w:i/>
        </w:rPr>
        <w:t>The standard stated that if argument mean ≤ 0, #NUM! is returned.</w:t>
      </w:r>
    </w:p>
    <w:p w:rsidR="00024C0A" w:rsidRDefault="00694C0F">
      <w:pPr>
        <w:pStyle w:val="Definition-Field2"/>
      </w:pPr>
      <w:r>
        <w:t>Office returns #NUM! if argument mean is &lt; 0.</w:t>
      </w:r>
    </w:p>
    <w:p w:rsidR="00024C0A" w:rsidRDefault="00694C0F">
      <w:pPr>
        <w:pStyle w:val="Definition-Field"/>
      </w:pPr>
      <w:r>
        <w:t xml:space="preserve">b.   </w:t>
      </w:r>
      <w:r>
        <w:rPr>
          <w:i/>
        </w:rPr>
        <w:t>The standard states the formula for CUMPOISSON =  ∑_(k=0)^x((e^(-λ) λ^x)/k!).</w:t>
      </w:r>
    </w:p>
    <w:p w:rsidR="00024C0A" w:rsidRDefault="00694C0F">
      <w:pPr>
        <w:pStyle w:val="Definition-Field2"/>
      </w:pPr>
      <w:r>
        <w:t>Office requires CUMPOISSON = ∑</w:t>
      </w:r>
      <w:r>
        <w:t>_(k=0)^x((e^(-λ) λ^k)/k!).</w:t>
      </w:r>
    </w:p>
    <w:p w:rsidR="00024C0A" w:rsidRDefault="00694C0F">
      <w:pPr>
        <w:pStyle w:val="Heading3"/>
      </w:pPr>
      <w:bookmarkStart w:id="2049" w:name="section_a2ea85f8876e4587958008fc856b67ab"/>
      <w:bookmarkStart w:id="2050" w:name="_Toc12261085"/>
      <w:r>
        <w:t>Part 1 Section 18.17.7.255, POWER</w:t>
      </w:r>
      <w:bookmarkEnd w:id="2049"/>
      <w:bookmarkEnd w:id="2050"/>
      <w:r>
        <w:fldChar w:fldCharType="begin"/>
      </w:r>
      <w:r>
        <w:instrText xml:space="preserve"> XE "POWER" </w:instrText>
      </w:r>
      <w:r>
        <w:fldChar w:fldCharType="end"/>
      </w:r>
    </w:p>
    <w:p w:rsidR="00024C0A" w:rsidRDefault="00694C0F">
      <w:pPr>
        <w:pStyle w:val="Definition-Field"/>
      </w:pPr>
      <w:r>
        <w:t xml:space="preserve">a.   </w:t>
      </w:r>
      <w:r>
        <w:rPr>
          <w:i/>
        </w:rPr>
        <w:t>The standard states that POWER(0,0) will return #DIV/0!.</w:t>
      </w:r>
    </w:p>
    <w:p w:rsidR="00024C0A" w:rsidRDefault="00694C0F">
      <w:pPr>
        <w:pStyle w:val="Definition-Field2"/>
      </w:pPr>
      <w:r>
        <w:t>Office returns #NUM! for POWER(0,0).</w:t>
      </w:r>
    </w:p>
    <w:p w:rsidR="00024C0A" w:rsidRDefault="00694C0F">
      <w:pPr>
        <w:pStyle w:val="Heading3"/>
      </w:pPr>
      <w:bookmarkStart w:id="2051" w:name="section_e6f17fb3cf2542c5817dd67f8c6241e3"/>
      <w:bookmarkStart w:id="2052" w:name="_Toc12261086"/>
      <w:r>
        <w:t>Part 1 Section 18.17.7.256, PPMT</w:t>
      </w:r>
      <w:bookmarkEnd w:id="2051"/>
      <w:bookmarkEnd w:id="2052"/>
      <w:r>
        <w:fldChar w:fldCharType="begin"/>
      </w:r>
      <w:r>
        <w:instrText xml:space="preserve"> XE "PPMT" </w:instrText>
      </w:r>
      <w:r>
        <w:fldChar w:fldCharType="end"/>
      </w:r>
    </w:p>
    <w:p w:rsidR="00024C0A" w:rsidRDefault="00694C0F">
      <w:pPr>
        <w:pStyle w:val="Definition-Field"/>
      </w:pPr>
      <w:r>
        <w:t xml:space="preserve">a.   </w:t>
      </w:r>
      <w:r>
        <w:rPr>
          <w:i/>
        </w:rPr>
        <w:t xml:space="preserve">The standard states that the </w:t>
      </w:r>
      <w:r>
        <w:rPr>
          <w:i/>
        </w:rPr>
        <w:t>type argument is truncated to an integer.</w:t>
      </w:r>
    </w:p>
    <w:p w:rsidR="00024C0A" w:rsidRDefault="00694C0F">
      <w:pPr>
        <w:pStyle w:val="Definition-Field2"/>
      </w:pPr>
      <w:r>
        <w:t>Office does not truncate the type argument to an integer.</w:t>
      </w:r>
    </w:p>
    <w:p w:rsidR="00024C0A" w:rsidRDefault="00694C0F">
      <w:pPr>
        <w:pStyle w:val="Definition-Field"/>
      </w:pPr>
      <w:r>
        <w:t xml:space="preserve">b.   </w:t>
      </w:r>
      <w:r>
        <w:rPr>
          <w:i/>
        </w:rPr>
        <w:t>The standard does not specify a default for the optional argument type.</w:t>
      </w:r>
    </w:p>
    <w:p w:rsidR="00024C0A" w:rsidRDefault="00694C0F">
      <w:pPr>
        <w:pStyle w:val="Definition-Field2"/>
      </w:pPr>
      <w:r>
        <w:t>In Office, if the value for type is omitted it defaults to value of 0.</w:t>
      </w:r>
    </w:p>
    <w:p w:rsidR="00024C0A" w:rsidRDefault="00694C0F">
      <w:pPr>
        <w:pStyle w:val="Definition-Field"/>
      </w:pPr>
      <w:r>
        <w:t xml:space="preserve">c.   </w:t>
      </w:r>
      <w:r>
        <w:rPr>
          <w:i/>
        </w:rPr>
        <w:t>The</w:t>
      </w:r>
      <w:r>
        <w:rPr>
          <w:i/>
        </w:rPr>
        <w:t xml:space="preserve"> standard states that the argument type can only be 0 or 1.</w:t>
      </w:r>
    </w:p>
    <w:p w:rsidR="00024C0A" w:rsidRDefault="00694C0F">
      <w:pPr>
        <w:pStyle w:val="Definition-Field2"/>
      </w:pPr>
      <w:r>
        <w:t>Office allows the value for argument type to be omitted or nonzero.</w:t>
      </w:r>
    </w:p>
    <w:p w:rsidR="00024C0A" w:rsidRDefault="00694C0F">
      <w:pPr>
        <w:pStyle w:val="Definition-Field"/>
      </w:pPr>
      <w:r>
        <w:lastRenderedPageBreak/>
        <w:t xml:space="preserve">d.   </w:t>
      </w:r>
      <w:r>
        <w:rPr>
          <w:i/>
        </w:rPr>
        <w:t>The standard does not place any restrictions on the per argument.</w:t>
      </w:r>
    </w:p>
    <w:p w:rsidR="00024C0A" w:rsidRDefault="00694C0F">
      <w:pPr>
        <w:pStyle w:val="Definition-Field2"/>
      </w:pPr>
      <w:r>
        <w:t>In Excel, if the per argument is less than 1 or greater t</w:t>
      </w:r>
      <w:r>
        <w:t>han the nper argument, #NUM! is returned.</w:t>
      </w:r>
    </w:p>
    <w:p w:rsidR="00024C0A" w:rsidRDefault="00694C0F">
      <w:pPr>
        <w:pStyle w:val="Heading3"/>
      </w:pPr>
      <w:bookmarkStart w:id="2053" w:name="section_43bbf55ba3b7457da526450e4bd8f136"/>
      <w:bookmarkStart w:id="2054" w:name="_Toc12261087"/>
      <w:r>
        <w:t>Part 1 Section 18.17.7.257, PRICE</w:t>
      </w:r>
      <w:bookmarkEnd w:id="2053"/>
      <w:bookmarkEnd w:id="2054"/>
      <w:r>
        <w:fldChar w:fldCharType="begin"/>
      </w:r>
      <w:r>
        <w:instrText xml:space="preserve"> XE "PRICE" </w:instrText>
      </w:r>
      <w:r>
        <w:fldChar w:fldCharType="end"/>
      </w:r>
    </w:p>
    <w:p w:rsidR="00024C0A" w:rsidRDefault="00694C0F">
      <w:pPr>
        <w:pStyle w:val="Definition-Field"/>
      </w:pPr>
      <w:r>
        <w:t xml:space="preserve">a.   </w:t>
      </w:r>
      <w:r>
        <w:rPr>
          <w:i/>
        </w:rPr>
        <w:t>The standard does not specify day and month adjustments for the basis argument.</w:t>
      </w:r>
    </w:p>
    <w:p w:rsidR="00024C0A" w:rsidRDefault="00694C0F">
      <w:r>
        <w:t xml:space="preserve">In Excel, the </w:t>
      </w:r>
      <w:r>
        <w:rPr>
          <w:i/>
        </w:rPr>
        <w:t>basis</w:t>
      </w:r>
      <w:r>
        <w:rPr>
          <w:b/>
          <w:i/>
        </w:rPr>
        <w:t xml:space="preserve"> </w:t>
      </w:r>
      <w:r>
        <w:t>argument specifies the truncated integer type of day count ba</w:t>
      </w:r>
      <w:r>
        <w:t>sis to use, as follows:</w:t>
      </w:r>
    </w:p>
    <w:tbl>
      <w:tblPr>
        <w:tblStyle w:val="Table-ShadedHeader"/>
        <w:tblW w:w="0" w:type="auto"/>
        <w:tblLook w:val="04A0" w:firstRow="1" w:lastRow="0" w:firstColumn="1" w:lastColumn="0" w:noHBand="0" w:noVBand="1"/>
      </w:tblPr>
      <w:tblGrid>
        <w:gridCol w:w="939"/>
        <w:gridCol w:w="853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Value</w:t>
            </w:r>
          </w:p>
        </w:tc>
        <w:tc>
          <w:tcPr>
            <w:tcW w:w="0" w:type="auto"/>
            <w:vAlign w:val="center"/>
          </w:tcPr>
          <w:p w:rsidR="00024C0A" w:rsidRDefault="00694C0F">
            <w:pPr>
              <w:pStyle w:val="TableHeaderText"/>
            </w:pPr>
            <w:r>
              <w:t>Day Count Basis</w:t>
            </w:r>
          </w:p>
        </w:tc>
      </w:tr>
      <w:tr w:rsidR="00024C0A" w:rsidTr="00024C0A">
        <w:tc>
          <w:tcPr>
            <w:tcW w:w="0" w:type="auto"/>
            <w:vAlign w:val="center"/>
          </w:tcPr>
          <w:p w:rsidR="00024C0A" w:rsidRDefault="00694C0F">
            <w:pPr>
              <w:pStyle w:val="TableBodyText"/>
            </w:pPr>
            <w:r>
              <w:rPr>
                <w:rStyle w:val="InlineCode"/>
              </w:rPr>
              <w:t>0</w:t>
            </w:r>
            <w:r>
              <w:t xml:space="preserve"> or omitted</w:t>
            </w:r>
          </w:p>
        </w:tc>
        <w:tc>
          <w:tcPr>
            <w:tcW w:w="0" w:type="auto"/>
            <w:vAlign w:val="center"/>
          </w:tcPr>
          <w:p w:rsidR="00024C0A" w:rsidRDefault="00694C0F">
            <w:pPr>
              <w:pStyle w:val="TableBodyText"/>
            </w:pPr>
            <w:r>
              <w:t>US (NASD) 30/360. If the dates are equal, the difference of days is 0. Assumes that each month has 30 days and the total number of days in the year is 360 by making the following adjustments:</w:t>
            </w:r>
          </w:p>
          <w:p w:rsidR="00024C0A" w:rsidRDefault="00694C0F">
            <w:pPr>
              <w:pStyle w:val="TableBodyText"/>
            </w:pPr>
            <w:r>
              <w:t>If b</w:t>
            </w:r>
            <w:r>
              <w:t>oth day-of-months are 31, they are changed to 30</w:t>
            </w:r>
          </w:p>
          <w:p w:rsidR="00024C0A" w:rsidRDefault="00694C0F">
            <w:pPr>
              <w:pStyle w:val="TableBodyText"/>
            </w:pPr>
            <w:r>
              <w:t>Otherwise, if date1’s day-of-month is 31, it is changed to 30</w:t>
            </w:r>
          </w:p>
          <w:p w:rsidR="00024C0A" w:rsidRDefault="00694C0F">
            <w:pPr>
              <w:pStyle w:val="TableBodyText"/>
            </w:pPr>
            <w:r>
              <w:t xml:space="preserve">Otherwise, if date1’s day-of-month is 30 and date2’s day-of-month is 31, date2’s day-of-month is changed to 30 (note that date2’s day-of-month </w:t>
            </w:r>
            <w:r>
              <w:t>will stay 31 if date1’s day &lt; 30)</w:t>
            </w:r>
          </w:p>
          <w:p w:rsidR="00024C0A" w:rsidRDefault="00694C0F">
            <w:pPr>
              <w:pStyle w:val="TableBodyText"/>
            </w:pPr>
            <w:r>
              <w:t>Otherwise, if both dates are the last day of February in their respective years, both day-of-month is changed to 30</w:t>
            </w:r>
          </w:p>
          <w:p w:rsidR="00024C0A" w:rsidRDefault="00694C0F">
            <w:pPr>
              <w:pStyle w:val="TableBodyText"/>
            </w:pPr>
            <w:r>
              <w:t>Otherwise, if date1 is the last day of February, its day-of-month is changed to 30</w:t>
            </w:r>
          </w:p>
        </w:tc>
      </w:tr>
      <w:tr w:rsidR="00024C0A" w:rsidTr="00024C0A">
        <w:tc>
          <w:tcPr>
            <w:tcW w:w="0" w:type="auto"/>
            <w:vAlign w:val="center"/>
          </w:tcPr>
          <w:p w:rsidR="00024C0A" w:rsidRDefault="00694C0F">
            <w:pPr>
              <w:pStyle w:val="TableBodyText"/>
            </w:pPr>
            <w:r>
              <w:rPr>
                <w:rStyle w:val="InlineCode"/>
              </w:rPr>
              <w:t>1</w:t>
            </w:r>
          </w:p>
        </w:tc>
        <w:tc>
          <w:tcPr>
            <w:tcW w:w="0" w:type="auto"/>
            <w:vAlign w:val="center"/>
          </w:tcPr>
          <w:p w:rsidR="00024C0A" w:rsidRDefault="00694C0F">
            <w:pPr>
              <w:pStyle w:val="TableBodyText"/>
            </w:pPr>
            <w:r>
              <w:t>Actual/actual. If th</w:t>
            </w:r>
            <w:r>
              <w:t>e dates are equal, the difference in days is 0. If date1 and date2 not “less than or equal to a year apart” (as defined below), then the days in the years between the dates is the average number of days in the years between date1 and date2, inclusive. Othe</w:t>
            </w:r>
            <w:r>
              <w:t xml:space="preserv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24C0A" w:rsidRDefault="00024C0A">
            <w:pPr>
              <w:pStyle w:val="TableBodyText"/>
            </w:pPr>
          </w:p>
          <w:p w:rsidR="00024C0A" w:rsidRDefault="00694C0F">
            <w:pPr>
              <w:pStyle w:val="TableBodyText"/>
            </w:pPr>
            <w:r>
              <w:t xml:space="preserve">To determine if date1 and </w:t>
            </w:r>
            <w:r>
              <w:t>date2 are “less than or equal to a year apart” for purposes of this algorithm, one of these conditions must be true:</w:t>
            </w:r>
          </w:p>
          <w:p w:rsidR="00024C0A" w:rsidRDefault="00694C0F">
            <w:pPr>
              <w:pStyle w:val="ListParagraph"/>
              <w:numPr>
                <w:ilvl w:val="0"/>
                <w:numId w:val="108"/>
              </w:numPr>
            </w:pPr>
            <w:r>
              <w:t>The two dates have the same year</w:t>
            </w:r>
          </w:p>
          <w:p w:rsidR="00024C0A" w:rsidRDefault="00694C0F">
            <w:pPr>
              <w:pStyle w:val="ListParagraph"/>
              <w:numPr>
                <w:ilvl w:val="0"/>
                <w:numId w:val="109"/>
              </w:numPr>
            </w:pPr>
            <w:r>
              <w:t>Date2’s year is exactly one more than date1’s year, and ((date1.month &gt; date2.month) or ((date1.month == d</w:t>
            </w:r>
            <w:r>
              <w:t>ate2.month) and (date1.day &gt;= date2.day)))</w:t>
            </w:r>
          </w:p>
        </w:tc>
      </w:tr>
      <w:tr w:rsidR="00024C0A" w:rsidTr="00024C0A">
        <w:tc>
          <w:tcPr>
            <w:tcW w:w="0" w:type="auto"/>
            <w:vAlign w:val="center"/>
          </w:tcPr>
          <w:p w:rsidR="00024C0A" w:rsidRDefault="00694C0F">
            <w:pPr>
              <w:pStyle w:val="TableBodyText"/>
            </w:pPr>
            <w:r>
              <w:rPr>
                <w:rStyle w:val="InlineCode"/>
              </w:rPr>
              <w:t>2</w:t>
            </w:r>
          </w:p>
        </w:tc>
        <w:tc>
          <w:tcPr>
            <w:tcW w:w="0" w:type="auto"/>
            <w:vAlign w:val="center"/>
          </w:tcPr>
          <w:p w:rsidR="00024C0A" w:rsidRDefault="00694C0F">
            <w:pPr>
              <w:pStyle w:val="TableBodyText"/>
            </w:pPr>
            <w:r>
              <w:t>Actual/360. Computes the actual difference in days, and presumes there are always 360 days per year.</w:t>
            </w:r>
          </w:p>
        </w:tc>
      </w:tr>
      <w:tr w:rsidR="00024C0A" w:rsidTr="00024C0A">
        <w:tc>
          <w:tcPr>
            <w:tcW w:w="0" w:type="auto"/>
            <w:vAlign w:val="center"/>
          </w:tcPr>
          <w:p w:rsidR="00024C0A" w:rsidRDefault="00694C0F">
            <w:pPr>
              <w:pStyle w:val="TableBodyText"/>
            </w:pPr>
            <w:r>
              <w:rPr>
                <w:rStyle w:val="InlineCode"/>
              </w:rPr>
              <w:t>3</w:t>
            </w:r>
          </w:p>
        </w:tc>
        <w:tc>
          <w:tcPr>
            <w:tcW w:w="0" w:type="auto"/>
            <w:vAlign w:val="center"/>
          </w:tcPr>
          <w:p w:rsidR="00024C0A" w:rsidRDefault="00694C0F">
            <w:pPr>
              <w:pStyle w:val="TableBodyText"/>
            </w:pPr>
            <w:r>
              <w:t>Actual/365. Computes the actual difference in days, and presumes there are always 365 days per year.</w:t>
            </w:r>
          </w:p>
        </w:tc>
      </w:tr>
      <w:tr w:rsidR="00024C0A" w:rsidTr="00024C0A">
        <w:tc>
          <w:tcPr>
            <w:tcW w:w="0" w:type="auto"/>
            <w:vAlign w:val="center"/>
          </w:tcPr>
          <w:p w:rsidR="00024C0A" w:rsidRDefault="00694C0F">
            <w:pPr>
              <w:pStyle w:val="TableBodyText"/>
            </w:pPr>
            <w:r>
              <w:rPr>
                <w:rStyle w:val="InlineCode"/>
              </w:rPr>
              <w:t>4</w:t>
            </w:r>
          </w:p>
        </w:tc>
        <w:tc>
          <w:tcPr>
            <w:tcW w:w="0" w:type="auto"/>
            <w:vAlign w:val="center"/>
          </w:tcPr>
          <w:p w:rsidR="00024C0A" w:rsidRDefault="00694C0F">
            <w:pPr>
              <w:pStyle w:val="TableBodyText"/>
            </w:pPr>
            <w:r>
              <w:t>Eu</w:t>
            </w:r>
            <w:r>
              <w:t xml:space="preserve">ropean 30/360. The European method for adjusting day counts. If the dates are equal, the difference of days is 0. Assumes that each month has 30 days and the total number of days in the year is 360; any day-of-month (in date1, date2, or both) with a value </w:t>
            </w:r>
            <w:r>
              <w:t xml:space="preserve">of 31 is changed to 30. Note that February dates are </w:t>
            </w:r>
            <w:r>
              <w:rPr>
                <w:i/>
              </w:rPr>
              <w:t xml:space="preserve">never </w:t>
            </w:r>
            <w:r>
              <w:t>changed, because there is no February 31.</w:t>
            </w:r>
          </w:p>
        </w:tc>
      </w:tr>
    </w:tbl>
    <w:p w:rsidR="00024C0A" w:rsidRDefault="00024C0A"/>
    <w:p w:rsidR="00024C0A" w:rsidRDefault="00694C0F">
      <w:pPr>
        <w:pStyle w:val="Definition-Field"/>
      </w:pPr>
      <w:r>
        <w:t xml:space="preserve">b.   </w:t>
      </w:r>
      <w:r>
        <w:rPr>
          <w:i/>
        </w:rPr>
        <w:t>The standard indicates that the function is specific to U.S. currency.</w:t>
      </w:r>
    </w:p>
    <w:p w:rsidR="00024C0A" w:rsidRDefault="00694C0F">
      <w:pPr>
        <w:pStyle w:val="Definition-Field2"/>
      </w:pPr>
      <w:r>
        <w:t>Office does not require the function to be specific to any currency.</w:t>
      </w:r>
    </w:p>
    <w:p w:rsidR="00024C0A" w:rsidRDefault="00694C0F">
      <w:pPr>
        <w:pStyle w:val="Heading3"/>
      </w:pPr>
      <w:bookmarkStart w:id="2055" w:name="section_cef504a96c0343388a35811de77e59b2"/>
      <w:bookmarkStart w:id="2056" w:name="_Toc12261088"/>
      <w:r>
        <w:t>Part 1 Section 18.17.7.258, PRICEDISC</w:t>
      </w:r>
      <w:bookmarkEnd w:id="2055"/>
      <w:bookmarkEnd w:id="2056"/>
      <w:r>
        <w:fldChar w:fldCharType="begin"/>
      </w:r>
      <w:r>
        <w:instrText xml:space="preserve"> XE "PRICEDISC" </w:instrText>
      </w:r>
      <w:r>
        <w:fldChar w:fldCharType="end"/>
      </w:r>
    </w:p>
    <w:p w:rsidR="00024C0A" w:rsidRDefault="00694C0F">
      <w:pPr>
        <w:pStyle w:val="Definition-Field"/>
      </w:pPr>
      <w:r>
        <w:t xml:space="preserve">a.   </w:t>
      </w:r>
      <w:r>
        <w:rPr>
          <w:i/>
        </w:rPr>
        <w:t>The standard does not specify day and month adjustments for the basis argument.</w:t>
      </w:r>
    </w:p>
    <w:p w:rsidR="00024C0A" w:rsidRDefault="00694C0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lastRenderedPageBreak/>
              <w:t>Value</w:t>
            </w:r>
          </w:p>
        </w:tc>
        <w:tc>
          <w:tcPr>
            <w:tcW w:w="0" w:type="auto"/>
            <w:vAlign w:val="center"/>
          </w:tcPr>
          <w:p w:rsidR="00024C0A" w:rsidRDefault="00694C0F">
            <w:pPr>
              <w:pStyle w:val="TableHeaderText"/>
            </w:pPr>
            <w:r>
              <w:t xml:space="preserve">Day </w:t>
            </w:r>
            <w:r>
              <w:t>Count Basis</w:t>
            </w:r>
          </w:p>
        </w:tc>
      </w:tr>
      <w:tr w:rsidR="00024C0A" w:rsidTr="00024C0A">
        <w:tc>
          <w:tcPr>
            <w:tcW w:w="0" w:type="auto"/>
            <w:vAlign w:val="center"/>
          </w:tcPr>
          <w:p w:rsidR="00024C0A" w:rsidRDefault="00694C0F">
            <w:pPr>
              <w:pStyle w:val="TableBodyText"/>
            </w:pPr>
            <w:r>
              <w:rPr>
                <w:rStyle w:val="InlineCode"/>
              </w:rPr>
              <w:t>0</w:t>
            </w:r>
            <w:r>
              <w:t xml:space="preserve"> or omitted</w:t>
            </w:r>
          </w:p>
        </w:tc>
        <w:tc>
          <w:tcPr>
            <w:tcW w:w="0" w:type="auto"/>
            <w:vAlign w:val="center"/>
          </w:tcPr>
          <w:p w:rsidR="00024C0A" w:rsidRDefault="00694C0F">
            <w:pPr>
              <w:pStyle w:val="TableBodyText"/>
            </w:pPr>
            <w:r>
              <w:t>US (NASD) 30/360. If the dates are equal, the difference of days is 0. Assumes that each month has 30 days and the total number of days in the year is 360 by making the following adjustments:</w:t>
            </w:r>
          </w:p>
          <w:p w:rsidR="00024C0A" w:rsidRDefault="00694C0F">
            <w:pPr>
              <w:pStyle w:val="TableBodyText"/>
            </w:pPr>
            <w:r>
              <w:t>If both day-of-months are 31, they are</w:t>
            </w:r>
            <w:r>
              <w:t xml:space="preserve"> changed to 30</w:t>
            </w:r>
          </w:p>
          <w:p w:rsidR="00024C0A" w:rsidRDefault="00694C0F">
            <w:pPr>
              <w:pStyle w:val="TableBodyText"/>
            </w:pPr>
            <w:r>
              <w:t>Otherwise, if date1’s day-of-month is 31, it is changed to 30</w:t>
            </w:r>
          </w:p>
          <w:p w:rsidR="00024C0A" w:rsidRDefault="00694C0F">
            <w:pPr>
              <w:pStyle w:val="TableBodyText"/>
            </w:pPr>
            <w:r>
              <w:t>Otherwise, if date1’s day-of-month is 30 and date2’s day-of-month is 31, date2’s day-of-month is changed to 30 (note that date2’s day-of-month will stay 31 if date1’s day &lt; 30)</w:t>
            </w:r>
          </w:p>
          <w:p w:rsidR="00024C0A" w:rsidRDefault="00694C0F">
            <w:pPr>
              <w:pStyle w:val="TableBodyText"/>
            </w:pPr>
            <w:r>
              <w:t>Ot</w:t>
            </w:r>
            <w:r>
              <w:t>herwise, if both dates are the last day of February in their respective years, both day-of-month is changed to 30</w:t>
            </w:r>
          </w:p>
          <w:p w:rsidR="00024C0A" w:rsidRDefault="00694C0F">
            <w:pPr>
              <w:pStyle w:val="TableBodyText"/>
            </w:pPr>
            <w:r>
              <w:t>Otherwise, if date1 is the last day of February, its day-of-month is changed to 30</w:t>
            </w:r>
          </w:p>
        </w:tc>
      </w:tr>
      <w:tr w:rsidR="00024C0A" w:rsidTr="00024C0A">
        <w:tc>
          <w:tcPr>
            <w:tcW w:w="0" w:type="auto"/>
            <w:vAlign w:val="center"/>
          </w:tcPr>
          <w:p w:rsidR="00024C0A" w:rsidRDefault="00694C0F">
            <w:pPr>
              <w:pStyle w:val="TableBodyText"/>
            </w:pPr>
            <w:r>
              <w:rPr>
                <w:rStyle w:val="InlineCode"/>
              </w:rPr>
              <w:t>1</w:t>
            </w:r>
          </w:p>
        </w:tc>
        <w:tc>
          <w:tcPr>
            <w:tcW w:w="0" w:type="auto"/>
            <w:vAlign w:val="center"/>
          </w:tcPr>
          <w:p w:rsidR="00024C0A" w:rsidRDefault="00694C0F">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24C0A" w:rsidRDefault="00024C0A">
            <w:pPr>
              <w:pStyle w:val="TableBodyText"/>
            </w:pPr>
          </w:p>
          <w:p w:rsidR="00024C0A" w:rsidRDefault="00694C0F">
            <w:pPr>
              <w:pStyle w:val="TableBodyText"/>
            </w:pPr>
            <w:r>
              <w:t>To det</w:t>
            </w:r>
            <w:r>
              <w:t>ermine if date1 and date2 are “less than or equal to a year apart” for purposes of this algorithm, one of these conditions must be true:</w:t>
            </w:r>
          </w:p>
          <w:p w:rsidR="00024C0A" w:rsidRDefault="00694C0F">
            <w:pPr>
              <w:pStyle w:val="ListParagraph"/>
              <w:numPr>
                <w:ilvl w:val="0"/>
                <w:numId w:val="110"/>
              </w:numPr>
            </w:pPr>
            <w:r>
              <w:t>The two dates have the same year</w:t>
            </w:r>
          </w:p>
          <w:p w:rsidR="00024C0A" w:rsidRDefault="00694C0F">
            <w:pPr>
              <w:pStyle w:val="ListParagraph"/>
              <w:numPr>
                <w:ilvl w:val="0"/>
                <w:numId w:val="111"/>
              </w:numPr>
            </w:pPr>
            <w:r>
              <w:t>Date2’s year is exactly one more than date1’s year, and ((date1.month &gt; date2.month) o</w:t>
            </w:r>
            <w:r>
              <w:t>r ((date1.month == date2.month) and (date1.day &gt;= date2.day)))</w:t>
            </w:r>
          </w:p>
        </w:tc>
      </w:tr>
      <w:tr w:rsidR="00024C0A" w:rsidTr="00024C0A">
        <w:tc>
          <w:tcPr>
            <w:tcW w:w="0" w:type="auto"/>
            <w:vAlign w:val="center"/>
          </w:tcPr>
          <w:p w:rsidR="00024C0A" w:rsidRDefault="00694C0F">
            <w:pPr>
              <w:pStyle w:val="TableBodyText"/>
            </w:pPr>
            <w:r>
              <w:rPr>
                <w:rStyle w:val="InlineCode"/>
              </w:rPr>
              <w:t>2</w:t>
            </w:r>
          </w:p>
        </w:tc>
        <w:tc>
          <w:tcPr>
            <w:tcW w:w="0" w:type="auto"/>
            <w:vAlign w:val="center"/>
          </w:tcPr>
          <w:p w:rsidR="00024C0A" w:rsidRDefault="00694C0F">
            <w:pPr>
              <w:pStyle w:val="TableBodyText"/>
            </w:pPr>
            <w:r>
              <w:t>Actual/360. Computes the actual difference in days, and presumes there are always 360 days per year.</w:t>
            </w:r>
          </w:p>
        </w:tc>
      </w:tr>
      <w:tr w:rsidR="00024C0A" w:rsidTr="00024C0A">
        <w:tc>
          <w:tcPr>
            <w:tcW w:w="0" w:type="auto"/>
            <w:vAlign w:val="center"/>
          </w:tcPr>
          <w:p w:rsidR="00024C0A" w:rsidRDefault="00694C0F">
            <w:pPr>
              <w:pStyle w:val="TableBodyText"/>
            </w:pPr>
            <w:r>
              <w:rPr>
                <w:rStyle w:val="InlineCode"/>
              </w:rPr>
              <w:t>3</w:t>
            </w:r>
          </w:p>
        </w:tc>
        <w:tc>
          <w:tcPr>
            <w:tcW w:w="0" w:type="auto"/>
            <w:vAlign w:val="center"/>
          </w:tcPr>
          <w:p w:rsidR="00024C0A" w:rsidRDefault="00694C0F">
            <w:pPr>
              <w:pStyle w:val="TableBodyText"/>
            </w:pPr>
            <w:r>
              <w:t xml:space="preserve">Actual/365. Computes the actual difference in days, and presumes there are always 365 </w:t>
            </w:r>
            <w:r>
              <w:t>days per year.</w:t>
            </w:r>
          </w:p>
        </w:tc>
      </w:tr>
      <w:tr w:rsidR="00024C0A" w:rsidTr="00024C0A">
        <w:tc>
          <w:tcPr>
            <w:tcW w:w="0" w:type="auto"/>
            <w:vAlign w:val="center"/>
          </w:tcPr>
          <w:p w:rsidR="00024C0A" w:rsidRDefault="00694C0F">
            <w:pPr>
              <w:pStyle w:val="TableBodyText"/>
            </w:pPr>
            <w:r>
              <w:rPr>
                <w:rStyle w:val="InlineCode"/>
              </w:rPr>
              <w:t>4</w:t>
            </w:r>
          </w:p>
        </w:tc>
        <w:tc>
          <w:tcPr>
            <w:tcW w:w="0" w:type="auto"/>
            <w:vAlign w:val="center"/>
          </w:tcPr>
          <w:p w:rsidR="00024C0A" w:rsidRDefault="00694C0F">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024C0A" w:rsidRDefault="00024C0A"/>
    <w:p w:rsidR="00024C0A" w:rsidRDefault="00694C0F">
      <w:pPr>
        <w:pStyle w:val="Definition-Field"/>
      </w:pPr>
      <w:r>
        <w:t xml:space="preserve">b.   </w:t>
      </w:r>
      <w:r>
        <w:rPr>
          <w:i/>
        </w:rPr>
        <w:t>The standard indicates that the function is specific to U.S. currency.</w:t>
      </w:r>
    </w:p>
    <w:p w:rsidR="00024C0A" w:rsidRDefault="00694C0F">
      <w:pPr>
        <w:pStyle w:val="Definition-Field2"/>
      </w:pPr>
      <w:r>
        <w:t>Office does not require the function to be specific to an</w:t>
      </w:r>
      <w:r>
        <w:t>y currency.</w:t>
      </w:r>
    </w:p>
    <w:p w:rsidR="00024C0A" w:rsidRDefault="00694C0F">
      <w:pPr>
        <w:pStyle w:val="Heading3"/>
      </w:pPr>
      <w:bookmarkStart w:id="2057" w:name="section_acdfd09dc4814c74a1cd90697c9d987e"/>
      <w:bookmarkStart w:id="2058" w:name="_Toc12261089"/>
      <w:r>
        <w:t>Part 1 Section 18.17.7.259, PRICEMAT</w:t>
      </w:r>
      <w:bookmarkEnd w:id="2057"/>
      <w:bookmarkEnd w:id="2058"/>
      <w:r>
        <w:fldChar w:fldCharType="begin"/>
      </w:r>
      <w:r>
        <w:instrText xml:space="preserve"> XE "PRICEMAT" </w:instrText>
      </w:r>
      <w:r>
        <w:fldChar w:fldCharType="end"/>
      </w:r>
    </w:p>
    <w:p w:rsidR="00024C0A" w:rsidRDefault="00694C0F">
      <w:pPr>
        <w:pStyle w:val="Definition-Field"/>
      </w:pPr>
      <w:r>
        <w:t xml:space="preserve">a.   </w:t>
      </w:r>
      <w:r>
        <w:rPr>
          <w:i/>
        </w:rPr>
        <w:t>The standard does not specify day and month adjustments for the basis argument.</w:t>
      </w:r>
    </w:p>
    <w:p w:rsidR="00024C0A" w:rsidRDefault="00694C0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Value</w:t>
            </w:r>
          </w:p>
        </w:tc>
        <w:tc>
          <w:tcPr>
            <w:tcW w:w="0" w:type="auto"/>
            <w:vAlign w:val="center"/>
          </w:tcPr>
          <w:p w:rsidR="00024C0A" w:rsidRDefault="00694C0F">
            <w:pPr>
              <w:pStyle w:val="TableHeaderText"/>
            </w:pPr>
            <w:r>
              <w:t>Day Count Basis</w:t>
            </w:r>
          </w:p>
        </w:tc>
      </w:tr>
      <w:tr w:rsidR="00024C0A" w:rsidTr="00024C0A">
        <w:tc>
          <w:tcPr>
            <w:tcW w:w="0" w:type="auto"/>
            <w:vAlign w:val="center"/>
          </w:tcPr>
          <w:p w:rsidR="00024C0A" w:rsidRDefault="00694C0F">
            <w:pPr>
              <w:pStyle w:val="TableBodyText"/>
            </w:pPr>
            <w:r>
              <w:rPr>
                <w:rStyle w:val="InlineCode"/>
              </w:rPr>
              <w:t>0</w:t>
            </w:r>
            <w:r>
              <w:t xml:space="preserve"> or omitted</w:t>
            </w:r>
          </w:p>
        </w:tc>
        <w:tc>
          <w:tcPr>
            <w:tcW w:w="0" w:type="auto"/>
            <w:vAlign w:val="center"/>
          </w:tcPr>
          <w:p w:rsidR="00024C0A" w:rsidRDefault="00694C0F">
            <w:pPr>
              <w:pStyle w:val="TableBodyText"/>
            </w:pPr>
            <w:r>
              <w:t>US (NASD) 30/360. If the dates are equal, the difference of days is 0. Assumes that each month has 30 days and the total number of days in the year is 360 by making the following adjustments:</w:t>
            </w:r>
          </w:p>
          <w:p w:rsidR="00024C0A" w:rsidRDefault="00694C0F">
            <w:pPr>
              <w:pStyle w:val="TableBodyText"/>
            </w:pPr>
            <w:r>
              <w:t>If both day-of-months are 31</w:t>
            </w:r>
            <w:r>
              <w:t>, they are changed to 30</w:t>
            </w:r>
          </w:p>
          <w:p w:rsidR="00024C0A" w:rsidRDefault="00694C0F">
            <w:pPr>
              <w:pStyle w:val="TableBodyText"/>
            </w:pPr>
            <w:r>
              <w:t>Otherwise, if date1’s day-of-month is 31, it is changed to 30</w:t>
            </w:r>
          </w:p>
          <w:p w:rsidR="00024C0A" w:rsidRDefault="00694C0F">
            <w:pPr>
              <w:pStyle w:val="TableBodyText"/>
            </w:pPr>
            <w:r>
              <w:t>Otherwise, if date1’s day-of-month is 30 and date2’s day-of-month is 31, date2’s day-of-month is changed to 30 (note that date2’s day-of-month will stay 31 if date1’s da</w:t>
            </w:r>
            <w:r>
              <w:t>y &lt; 30)</w:t>
            </w:r>
          </w:p>
          <w:p w:rsidR="00024C0A" w:rsidRDefault="00694C0F">
            <w:pPr>
              <w:pStyle w:val="TableBodyText"/>
            </w:pPr>
            <w:r>
              <w:t xml:space="preserve">Otherwise, if both dates are the last day of February in their respective years, both day-of-month is </w:t>
            </w:r>
            <w:r>
              <w:lastRenderedPageBreak/>
              <w:t>changed to 30</w:t>
            </w:r>
          </w:p>
          <w:p w:rsidR="00024C0A" w:rsidRDefault="00694C0F">
            <w:pPr>
              <w:pStyle w:val="TableBodyText"/>
            </w:pPr>
            <w:r>
              <w:t>Otherwise, if date1 is the last day of February, its day-of-month is changed to 30</w:t>
            </w:r>
          </w:p>
        </w:tc>
      </w:tr>
      <w:tr w:rsidR="00024C0A" w:rsidTr="00024C0A">
        <w:tc>
          <w:tcPr>
            <w:tcW w:w="0" w:type="auto"/>
            <w:vAlign w:val="center"/>
          </w:tcPr>
          <w:p w:rsidR="00024C0A" w:rsidRDefault="00694C0F">
            <w:pPr>
              <w:pStyle w:val="TableBodyText"/>
            </w:pPr>
            <w:r>
              <w:rPr>
                <w:rStyle w:val="InlineCode"/>
              </w:rPr>
              <w:lastRenderedPageBreak/>
              <w:t>1</w:t>
            </w:r>
          </w:p>
        </w:tc>
        <w:tc>
          <w:tcPr>
            <w:tcW w:w="0" w:type="auto"/>
            <w:vAlign w:val="center"/>
          </w:tcPr>
          <w:p w:rsidR="00024C0A" w:rsidRDefault="00694C0F">
            <w:pPr>
              <w:pStyle w:val="TableBodyText"/>
            </w:pPr>
            <w:r>
              <w:t>Actual/actual. If the dates are equal, the dif</w:t>
            </w:r>
            <w:r>
              <w:t>ference in days is 0. If date1 and date2 not “less than or equal to a year apart” (as defined below), then the days in the years between the dates is the average number of days in the years between date1 and date2, inclusive. Otherwise, the days in the yea</w:t>
            </w:r>
            <w:r>
              <w:t xml:space="preserve">rs between the dates is 365, except for these cases (where it is 366): the dates are in the same year and it is a leap-year, a February 29 occurs between the two dates, or </w:t>
            </w:r>
            <w:r>
              <w:rPr>
                <w:b/>
              </w:rPr>
              <w:t>date1 or</w:t>
            </w:r>
            <w:r>
              <w:t xml:space="preserve"> date2 is February 29.</w:t>
            </w:r>
          </w:p>
          <w:p w:rsidR="00024C0A" w:rsidRDefault="00024C0A">
            <w:pPr>
              <w:pStyle w:val="TableBodyText"/>
            </w:pPr>
          </w:p>
          <w:p w:rsidR="00024C0A" w:rsidRDefault="00694C0F">
            <w:pPr>
              <w:pStyle w:val="TableBodyText"/>
            </w:pPr>
            <w:r>
              <w:t xml:space="preserve">To determine if date1 and date2 are “less than or </w:t>
            </w:r>
            <w:r>
              <w:t>equal to a year apart” for purposes of this algorithm, one of these conditions must be true:</w:t>
            </w:r>
          </w:p>
          <w:p w:rsidR="00024C0A" w:rsidRDefault="00694C0F">
            <w:pPr>
              <w:pStyle w:val="ListParagraph"/>
              <w:numPr>
                <w:ilvl w:val="0"/>
                <w:numId w:val="112"/>
              </w:numPr>
            </w:pPr>
            <w:r>
              <w:t>The two dates have the same year</w:t>
            </w:r>
          </w:p>
          <w:p w:rsidR="00024C0A" w:rsidRDefault="00694C0F">
            <w:pPr>
              <w:pStyle w:val="ListParagraph"/>
              <w:numPr>
                <w:ilvl w:val="0"/>
                <w:numId w:val="113"/>
              </w:numPr>
            </w:pPr>
            <w:r>
              <w:t xml:space="preserve">Date2’s year is exactly one more than date1’s year, and ((date1.month &gt; date2.month) or ((date1.month == date2.month) and </w:t>
            </w:r>
            <w:r>
              <w:t>(date1.day &gt;= date2.day)))</w:t>
            </w:r>
          </w:p>
        </w:tc>
      </w:tr>
      <w:tr w:rsidR="00024C0A" w:rsidTr="00024C0A">
        <w:tc>
          <w:tcPr>
            <w:tcW w:w="0" w:type="auto"/>
            <w:vAlign w:val="center"/>
          </w:tcPr>
          <w:p w:rsidR="00024C0A" w:rsidRDefault="00694C0F">
            <w:pPr>
              <w:pStyle w:val="TableBodyText"/>
            </w:pPr>
            <w:r>
              <w:rPr>
                <w:rStyle w:val="InlineCode"/>
              </w:rPr>
              <w:t>2</w:t>
            </w:r>
          </w:p>
        </w:tc>
        <w:tc>
          <w:tcPr>
            <w:tcW w:w="0" w:type="auto"/>
            <w:vAlign w:val="center"/>
          </w:tcPr>
          <w:p w:rsidR="00024C0A" w:rsidRDefault="00694C0F">
            <w:pPr>
              <w:pStyle w:val="TableBodyText"/>
            </w:pPr>
            <w:r>
              <w:t>Actual/360. Computes the actual difference in days, and presumes there are always 360 days per year.</w:t>
            </w:r>
          </w:p>
        </w:tc>
      </w:tr>
      <w:tr w:rsidR="00024C0A" w:rsidTr="00024C0A">
        <w:tc>
          <w:tcPr>
            <w:tcW w:w="0" w:type="auto"/>
            <w:vAlign w:val="center"/>
          </w:tcPr>
          <w:p w:rsidR="00024C0A" w:rsidRDefault="00694C0F">
            <w:pPr>
              <w:pStyle w:val="TableBodyText"/>
            </w:pPr>
            <w:r>
              <w:rPr>
                <w:rStyle w:val="InlineCode"/>
              </w:rPr>
              <w:t>3</w:t>
            </w:r>
          </w:p>
        </w:tc>
        <w:tc>
          <w:tcPr>
            <w:tcW w:w="0" w:type="auto"/>
            <w:vAlign w:val="center"/>
          </w:tcPr>
          <w:p w:rsidR="00024C0A" w:rsidRDefault="00694C0F">
            <w:pPr>
              <w:pStyle w:val="TableBodyText"/>
            </w:pPr>
            <w:r>
              <w:t>Actual/365. Computes the actual difference in days, and presumes there are always 365 days per year.</w:t>
            </w:r>
          </w:p>
        </w:tc>
      </w:tr>
      <w:tr w:rsidR="00024C0A" w:rsidTr="00024C0A">
        <w:tc>
          <w:tcPr>
            <w:tcW w:w="0" w:type="auto"/>
            <w:vAlign w:val="center"/>
          </w:tcPr>
          <w:p w:rsidR="00024C0A" w:rsidRDefault="00694C0F">
            <w:pPr>
              <w:pStyle w:val="TableBodyText"/>
            </w:pPr>
            <w:r>
              <w:rPr>
                <w:rStyle w:val="InlineCode"/>
              </w:rPr>
              <w:t>4</w:t>
            </w:r>
          </w:p>
        </w:tc>
        <w:tc>
          <w:tcPr>
            <w:tcW w:w="0" w:type="auto"/>
            <w:vAlign w:val="center"/>
          </w:tcPr>
          <w:p w:rsidR="00024C0A" w:rsidRDefault="00694C0F">
            <w:pPr>
              <w:pStyle w:val="TableBodyText"/>
            </w:pPr>
            <w:r>
              <w:t>European 30/360. T</w:t>
            </w:r>
            <w:r>
              <w:t>he European method for adjusting day counts. If the dates are equal, the difference of days is 0. Assumes that each month has 30 days and the total number of days in the year is 360; any day-of-month (in date1, date2, or both) with a value of 31 is changed</w:t>
            </w:r>
            <w:r>
              <w:t xml:space="preserve"> to 30. Note that February dates are </w:t>
            </w:r>
            <w:r>
              <w:rPr>
                <w:i/>
              </w:rPr>
              <w:t xml:space="preserve">never </w:t>
            </w:r>
            <w:r>
              <w:t>changed, because there is no February 31.</w:t>
            </w:r>
          </w:p>
        </w:tc>
      </w:tr>
    </w:tbl>
    <w:p w:rsidR="00024C0A" w:rsidRDefault="00024C0A"/>
    <w:p w:rsidR="00024C0A" w:rsidRDefault="00694C0F">
      <w:pPr>
        <w:pStyle w:val="Definition-Field"/>
      </w:pPr>
      <w:r>
        <w:t xml:space="preserve">b.   </w:t>
      </w:r>
      <w:r>
        <w:rPr>
          <w:i/>
        </w:rPr>
        <w:t>The standard indicates that the function is specific to U.S. currency.</w:t>
      </w:r>
    </w:p>
    <w:p w:rsidR="00024C0A" w:rsidRDefault="00694C0F">
      <w:pPr>
        <w:pStyle w:val="Definition-Field2"/>
      </w:pPr>
      <w:r>
        <w:t>Office does not require the function to be specific to any currency.</w:t>
      </w:r>
    </w:p>
    <w:p w:rsidR="00024C0A" w:rsidRDefault="00694C0F">
      <w:pPr>
        <w:pStyle w:val="Heading3"/>
      </w:pPr>
      <w:bookmarkStart w:id="2059" w:name="section_6ab73e31403a4d83a90a2e0eb900f906"/>
      <w:bookmarkStart w:id="2060" w:name="_Toc12261090"/>
      <w:r>
        <w:t>Part 1 Section 18.17.7.2</w:t>
      </w:r>
      <w:r>
        <w:t>60, PROB</w:t>
      </w:r>
      <w:bookmarkEnd w:id="2059"/>
      <w:bookmarkEnd w:id="2060"/>
      <w:r>
        <w:fldChar w:fldCharType="begin"/>
      </w:r>
      <w:r>
        <w:instrText xml:space="preserve"> XE "PROB" </w:instrText>
      </w:r>
      <w:r>
        <w:fldChar w:fldCharType="end"/>
      </w:r>
    </w:p>
    <w:p w:rsidR="00024C0A" w:rsidRDefault="00694C0F">
      <w:pPr>
        <w:pStyle w:val="Definition-Field"/>
      </w:pPr>
      <w:r>
        <w:t xml:space="preserve">a.   </w:t>
      </w:r>
      <w:r>
        <w:rPr>
          <w:i/>
        </w:rPr>
        <w:t>The standard states that if the sum of the values in probability-range &lt; 1, #NUM! is returned.</w:t>
      </w:r>
    </w:p>
    <w:p w:rsidR="00024C0A" w:rsidRDefault="00694C0F">
      <w:pPr>
        <w:pStyle w:val="Definition-Field2"/>
      </w:pPr>
      <w:r>
        <w:t>Office returns #NUM! if the sum of the values in probability-range is not equal to 1.</w:t>
      </w:r>
    </w:p>
    <w:p w:rsidR="00024C0A" w:rsidRDefault="00694C0F">
      <w:pPr>
        <w:pStyle w:val="Definition-Field"/>
      </w:pPr>
      <w:r>
        <w:t xml:space="preserve">b.   </w:t>
      </w:r>
      <w:r>
        <w:rPr>
          <w:i/>
        </w:rPr>
        <w:t xml:space="preserve">The standard states that if any value in </w:t>
      </w:r>
      <w:r>
        <w:rPr>
          <w:i/>
        </w:rPr>
        <w:t>argument probability-range ≤ 0 or any value in probability-range &gt; 1, #NUM! is returned.</w:t>
      </w:r>
    </w:p>
    <w:p w:rsidR="00024C0A" w:rsidRDefault="00694C0F">
      <w:pPr>
        <w:pStyle w:val="Definition-Field2"/>
      </w:pPr>
      <w:r>
        <w:t>In Office, values in argument probability-range may be ≤ 0 or &gt; 1.</w:t>
      </w:r>
    </w:p>
    <w:p w:rsidR="00024C0A" w:rsidRDefault="00694C0F">
      <w:pPr>
        <w:pStyle w:val="Heading3"/>
      </w:pPr>
      <w:bookmarkStart w:id="2061" w:name="section_2198fc993b4945a2bbb8f68a85adb7fe"/>
      <w:bookmarkStart w:id="2062" w:name="_Toc12261091"/>
      <w:r>
        <w:t>Part 1 Section 18.17.7.261, PRODUCT</w:t>
      </w:r>
      <w:bookmarkEnd w:id="2061"/>
      <w:bookmarkEnd w:id="2062"/>
      <w:r>
        <w:fldChar w:fldCharType="begin"/>
      </w:r>
      <w:r>
        <w:instrText xml:space="preserve"> XE "PRODUCT" </w:instrText>
      </w:r>
      <w:r>
        <w:fldChar w:fldCharType="end"/>
      </w:r>
    </w:p>
    <w:p w:rsidR="00024C0A" w:rsidRDefault="00694C0F">
      <w:pPr>
        <w:pStyle w:val="Definition-Field"/>
      </w:pPr>
      <w:r>
        <w:t xml:space="preserve">a.   </w:t>
      </w:r>
      <w:r>
        <w:rPr>
          <w:i/>
        </w:rPr>
        <w:t>The standard states that valid arguments in</w:t>
      </w:r>
      <w:r>
        <w:rPr>
          <w:i/>
        </w:rPr>
        <w:t xml:space="preserve"> argument-list shall be counted.</w:t>
      </w:r>
    </w:p>
    <w:p w:rsidR="00024C0A" w:rsidRDefault="00694C0F">
      <w:pPr>
        <w:pStyle w:val="Definition-Field2"/>
      </w:pPr>
      <w:r>
        <w:t>In Office, valid arguments in argument-list shall be multiplied.</w:t>
      </w:r>
    </w:p>
    <w:p w:rsidR="00024C0A" w:rsidRDefault="00694C0F">
      <w:pPr>
        <w:pStyle w:val="Heading3"/>
      </w:pPr>
      <w:bookmarkStart w:id="2063" w:name="section_dec0bdefb97a4de69df1c5ed7f74e150"/>
      <w:bookmarkStart w:id="2064" w:name="_Toc12261092"/>
      <w:r>
        <w:t>Part 1 Section 18.17.7.263, PV</w:t>
      </w:r>
      <w:bookmarkEnd w:id="2063"/>
      <w:bookmarkEnd w:id="2064"/>
      <w:r>
        <w:fldChar w:fldCharType="begin"/>
      </w:r>
      <w:r>
        <w:instrText xml:space="preserve"> XE "PV" </w:instrText>
      </w:r>
      <w:r>
        <w:fldChar w:fldCharType="end"/>
      </w:r>
    </w:p>
    <w:p w:rsidR="00024C0A" w:rsidRDefault="00694C0F">
      <w:pPr>
        <w:pStyle w:val="Definition-Field"/>
      </w:pPr>
      <w:r>
        <w:t xml:space="preserve">a.   </w:t>
      </w:r>
      <w:r>
        <w:rPr>
          <w:i/>
        </w:rPr>
        <w:t>The standard does not specify a default for the optional argument type.</w:t>
      </w:r>
    </w:p>
    <w:p w:rsidR="00024C0A" w:rsidRDefault="00694C0F">
      <w:pPr>
        <w:pStyle w:val="Definition-Field2"/>
      </w:pPr>
      <w:r>
        <w:t>In Office, if the value for type is omi</w:t>
      </w:r>
      <w:r>
        <w:t>tted it defaults to value of 0.</w:t>
      </w:r>
    </w:p>
    <w:p w:rsidR="00024C0A" w:rsidRDefault="00694C0F">
      <w:pPr>
        <w:pStyle w:val="Definition-Field"/>
      </w:pPr>
      <w:r>
        <w:t xml:space="preserve">b.   </w:t>
      </w:r>
      <w:r>
        <w:rPr>
          <w:i/>
        </w:rPr>
        <w:t>The standard states that the argument type is truncated to an integer.</w:t>
      </w:r>
    </w:p>
    <w:p w:rsidR="00024C0A" w:rsidRDefault="00694C0F">
      <w:pPr>
        <w:pStyle w:val="Definition-Field2"/>
      </w:pPr>
      <w:r>
        <w:lastRenderedPageBreak/>
        <w:t>Office does not truncate the argument type to an integer.</w:t>
      </w:r>
    </w:p>
    <w:p w:rsidR="00024C0A" w:rsidRDefault="00694C0F">
      <w:pPr>
        <w:pStyle w:val="Definition-Field"/>
      </w:pPr>
      <w:r>
        <w:t xml:space="preserve">c.   </w:t>
      </w:r>
      <w:r>
        <w:rPr>
          <w:i/>
        </w:rPr>
        <w:t xml:space="preserve">The standard states that if the argument type is any number other than 0 or 1, #NUM! </w:t>
      </w:r>
      <w:r>
        <w:rPr>
          <w:i/>
        </w:rPr>
        <w:t>is returned.</w:t>
      </w:r>
    </w:p>
    <w:p w:rsidR="00024C0A" w:rsidRDefault="00694C0F">
      <w:pPr>
        <w:pStyle w:val="Definition-Field2"/>
      </w:pPr>
      <w:r>
        <w:t>Office allows the value for argument type to be omitted or nonzero.</w:t>
      </w:r>
    </w:p>
    <w:p w:rsidR="00024C0A" w:rsidRDefault="00694C0F">
      <w:pPr>
        <w:pStyle w:val="Heading3"/>
      </w:pPr>
      <w:bookmarkStart w:id="2065" w:name="section_cdea6da968434689976deed0f25b764f"/>
      <w:bookmarkStart w:id="2066" w:name="_Toc12261093"/>
      <w:r>
        <w:t>Part 1 Section 18.17.7.269, RANK</w:t>
      </w:r>
      <w:bookmarkEnd w:id="2065"/>
      <w:bookmarkEnd w:id="2066"/>
      <w:r>
        <w:fldChar w:fldCharType="begin"/>
      </w:r>
      <w:r>
        <w:instrText xml:space="preserve"> XE "RANK" </w:instrText>
      </w:r>
      <w:r>
        <w:fldChar w:fldCharType="end"/>
      </w:r>
    </w:p>
    <w:p w:rsidR="00024C0A" w:rsidRDefault="00694C0F">
      <w:pPr>
        <w:pStyle w:val="Definition-Field"/>
      </w:pPr>
      <w:r>
        <w:t xml:space="preserve">a.   </w:t>
      </w:r>
      <w:r>
        <w:rPr>
          <w:i/>
        </w:rPr>
        <w:t>The standard does not indicate restrictions on the value of attribute number.</w:t>
      </w:r>
    </w:p>
    <w:p w:rsidR="00024C0A" w:rsidRDefault="00694C0F">
      <w:pPr>
        <w:pStyle w:val="Definition-Field2"/>
      </w:pPr>
      <w:r>
        <w:t>Office returns #N/A if number does not exist i</w:t>
      </w:r>
      <w:r>
        <w:t>n number-list.</w:t>
      </w:r>
    </w:p>
    <w:p w:rsidR="00024C0A" w:rsidRDefault="00694C0F">
      <w:pPr>
        <w:pStyle w:val="Heading3"/>
      </w:pPr>
      <w:bookmarkStart w:id="2067" w:name="section_6bf7d39525104a2cb31878717aecd437"/>
      <w:bookmarkStart w:id="2068" w:name="_Toc12261094"/>
      <w:r>
        <w:t>Part 1 Section 18.17.7.270, RATE</w:t>
      </w:r>
      <w:bookmarkEnd w:id="2067"/>
      <w:bookmarkEnd w:id="2068"/>
      <w:r>
        <w:fldChar w:fldCharType="begin"/>
      </w:r>
      <w:r>
        <w:instrText xml:space="preserve"> XE "RATE" </w:instrText>
      </w:r>
      <w:r>
        <w:fldChar w:fldCharType="end"/>
      </w:r>
    </w:p>
    <w:p w:rsidR="00024C0A" w:rsidRDefault="00694C0F">
      <w:pPr>
        <w:pStyle w:val="Definition-Field"/>
      </w:pPr>
      <w:r>
        <w:t xml:space="preserve">a.   </w:t>
      </w:r>
      <w:r>
        <w:rPr>
          <w:i/>
        </w:rPr>
        <w:t>The standard does not define a default for the argument type.</w:t>
      </w:r>
    </w:p>
    <w:p w:rsidR="00024C0A" w:rsidRDefault="00694C0F">
      <w:pPr>
        <w:pStyle w:val="Definition-Field2"/>
      </w:pPr>
      <w:r>
        <w:t>Office specifies that the argument type defaults to 0.</w:t>
      </w:r>
    </w:p>
    <w:p w:rsidR="00024C0A" w:rsidRDefault="00694C0F">
      <w:pPr>
        <w:pStyle w:val="Definition-Field"/>
      </w:pPr>
      <w:r>
        <w:t xml:space="preserve">b.   </w:t>
      </w:r>
      <w:r>
        <w:rPr>
          <w:i/>
        </w:rPr>
        <w:t>The standard states that the argument type may only be 0 or 1.</w:t>
      </w:r>
    </w:p>
    <w:p w:rsidR="00024C0A" w:rsidRDefault="00694C0F">
      <w:pPr>
        <w:pStyle w:val="Definition-Field2"/>
      </w:pPr>
      <w:r>
        <w:t>In Of</w:t>
      </w:r>
      <w:r>
        <w:t>fice, if the argument type is nonzero the payment is at the beginning of the period.</w:t>
      </w:r>
    </w:p>
    <w:p w:rsidR="00024C0A" w:rsidRDefault="00694C0F">
      <w:pPr>
        <w:pStyle w:val="Definition-Field"/>
      </w:pPr>
      <w:r>
        <w:t xml:space="preserve">c.   </w:t>
      </w:r>
      <w:r>
        <w:rPr>
          <w:i/>
        </w:rPr>
        <w:t>The standard specifies that an iterative technique is used for the implementation of this function.</w:t>
      </w:r>
    </w:p>
    <w:p w:rsidR="00024C0A" w:rsidRDefault="00694C0F">
      <w:pPr>
        <w:pStyle w:val="Definition-Field2"/>
      </w:pPr>
      <w:r>
        <w:t>Office does not use an iterative technique.</w:t>
      </w:r>
    </w:p>
    <w:p w:rsidR="00024C0A" w:rsidRDefault="00694C0F">
      <w:pPr>
        <w:pStyle w:val="Heading3"/>
      </w:pPr>
      <w:bookmarkStart w:id="2069" w:name="section_f087c56b2adf4e548719047179937cb5"/>
      <w:bookmarkStart w:id="2070" w:name="_Toc12261095"/>
      <w:r>
        <w:t>Part 1 Section 18.17.7</w:t>
      </w:r>
      <w:r>
        <w:t>.271, RECEIVED</w:t>
      </w:r>
      <w:bookmarkEnd w:id="2069"/>
      <w:bookmarkEnd w:id="2070"/>
      <w:r>
        <w:fldChar w:fldCharType="begin"/>
      </w:r>
      <w:r>
        <w:instrText xml:space="preserve"> XE "RECEIVED" </w:instrText>
      </w:r>
      <w:r>
        <w:fldChar w:fldCharType="end"/>
      </w:r>
    </w:p>
    <w:p w:rsidR="00024C0A" w:rsidRDefault="00694C0F">
      <w:pPr>
        <w:pStyle w:val="Definition-Field"/>
      </w:pPr>
      <w:r>
        <w:t xml:space="preserve">a.   </w:t>
      </w:r>
      <w:r>
        <w:rPr>
          <w:i/>
        </w:rPr>
        <w:t>The standard does not specify day and month adjustments for the basis argument.</w:t>
      </w:r>
    </w:p>
    <w:p w:rsidR="00024C0A" w:rsidRDefault="00694C0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Value</w:t>
            </w:r>
          </w:p>
        </w:tc>
        <w:tc>
          <w:tcPr>
            <w:tcW w:w="0" w:type="auto"/>
            <w:vAlign w:val="center"/>
          </w:tcPr>
          <w:p w:rsidR="00024C0A" w:rsidRDefault="00694C0F">
            <w:pPr>
              <w:pStyle w:val="TableHeaderText"/>
            </w:pPr>
            <w:r>
              <w:t>Day Count Basis</w:t>
            </w:r>
          </w:p>
        </w:tc>
      </w:tr>
      <w:tr w:rsidR="00024C0A" w:rsidTr="00024C0A">
        <w:tc>
          <w:tcPr>
            <w:tcW w:w="0" w:type="auto"/>
            <w:vAlign w:val="center"/>
          </w:tcPr>
          <w:p w:rsidR="00024C0A" w:rsidRDefault="00694C0F">
            <w:pPr>
              <w:pStyle w:val="TableBodyText"/>
            </w:pPr>
            <w:r>
              <w:rPr>
                <w:rStyle w:val="InlineCode"/>
              </w:rPr>
              <w:t>0</w:t>
            </w:r>
            <w:r>
              <w:t xml:space="preserve"> or omitted</w:t>
            </w:r>
          </w:p>
        </w:tc>
        <w:tc>
          <w:tcPr>
            <w:tcW w:w="0" w:type="auto"/>
            <w:vAlign w:val="center"/>
          </w:tcPr>
          <w:p w:rsidR="00024C0A" w:rsidRDefault="00694C0F">
            <w:pPr>
              <w:pStyle w:val="TableBodyText"/>
            </w:pPr>
            <w:r>
              <w:t>US (NASD) 30/360. If the dates are equal, the difference of days is 0. Assumes that each month has 30 days and the total number of days in the year is 360 by making the following adjustments:</w:t>
            </w:r>
          </w:p>
          <w:p w:rsidR="00024C0A" w:rsidRDefault="00694C0F">
            <w:pPr>
              <w:pStyle w:val="TableBodyText"/>
            </w:pPr>
            <w:r>
              <w:t>If both day-of-months are 31, they are changed to 30</w:t>
            </w:r>
          </w:p>
          <w:p w:rsidR="00024C0A" w:rsidRDefault="00694C0F">
            <w:pPr>
              <w:pStyle w:val="TableBodyText"/>
            </w:pPr>
            <w:r>
              <w:t>Otherwise, if date1’s day-of-month is 31, it is changed to 30</w:t>
            </w:r>
          </w:p>
          <w:p w:rsidR="00024C0A" w:rsidRDefault="00694C0F">
            <w:pPr>
              <w:pStyle w:val="TableBodyText"/>
            </w:pPr>
            <w:r>
              <w:t>Otherwise, if date1’s day-of-month is 30 and date2’s day-of-month is 31, date2’s day-of-month is changed to 30 (note that date2’s day-of-month will stay 31 if date1’s day &lt; 30)</w:t>
            </w:r>
          </w:p>
          <w:p w:rsidR="00024C0A" w:rsidRDefault="00694C0F">
            <w:pPr>
              <w:pStyle w:val="TableBodyText"/>
            </w:pPr>
            <w:r>
              <w:t>Otherwise, if bo</w:t>
            </w:r>
            <w:r>
              <w:t>th dates are the last day of February in their respective years, both day-of-month is changed to 30</w:t>
            </w:r>
          </w:p>
          <w:p w:rsidR="00024C0A" w:rsidRDefault="00694C0F">
            <w:pPr>
              <w:pStyle w:val="TableBodyText"/>
            </w:pPr>
            <w:r>
              <w:t>Otherwise, if date1 is the last day of February, its day-of-month is changed to 30</w:t>
            </w:r>
          </w:p>
        </w:tc>
      </w:tr>
      <w:tr w:rsidR="00024C0A" w:rsidTr="00024C0A">
        <w:tc>
          <w:tcPr>
            <w:tcW w:w="0" w:type="auto"/>
            <w:vAlign w:val="center"/>
          </w:tcPr>
          <w:p w:rsidR="00024C0A" w:rsidRDefault="00694C0F">
            <w:pPr>
              <w:pStyle w:val="TableBodyText"/>
            </w:pPr>
            <w:r>
              <w:rPr>
                <w:rStyle w:val="InlineCode"/>
              </w:rPr>
              <w:t>1</w:t>
            </w:r>
          </w:p>
        </w:tc>
        <w:tc>
          <w:tcPr>
            <w:tcW w:w="0" w:type="auto"/>
            <w:vAlign w:val="center"/>
          </w:tcPr>
          <w:p w:rsidR="00024C0A" w:rsidRDefault="00694C0F">
            <w:pPr>
              <w:pStyle w:val="TableBodyText"/>
            </w:pPr>
            <w:r>
              <w:t>Actual/actual. If the dates are equal, the difference in days is 0. If</w:t>
            </w:r>
            <w:r>
              <w:t xml:space="preserve"> date1 and date2 not “less than or equal to a year apart” (as defined below), then the days in the years between the dates is the average number of days in the years between date1 and date2, inclusive. Otherwise, the days in the years between the dates is </w:t>
            </w:r>
            <w:r>
              <w:t xml:space="preserve">365, except for these cases (where it is 366): the dates are in the same year and it is a leap-year, a February 29 occurs between the two dates, or </w:t>
            </w:r>
            <w:r>
              <w:rPr>
                <w:b/>
              </w:rPr>
              <w:t>date1 or</w:t>
            </w:r>
            <w:r>
              <w:t xml:space="preserve"> date2 is February 29.</w:t>
            </w:r>
          </w:p>
          <w:p w:rsidR="00024C0A" w:rsidRDefault="00024C0A">
            <w:pPr>
              <w:pStyle w:val="TableBodyText"/>
            </w:pPr>
          </w:p>
          <w:p w:rsidR="00024C0A" w:rsidRDefault="00694C0F">
            <w:pPr>
              <w:pStyle w:val="TableBodyText"/>
            </w:pPr>
            <w:r>
              <w:t>To determine if date1 and date2 are “less than or equal to a year apart” for</w:t>
            </w:r>
            <w:r>
              <w:t xml:space="preserve"> purposes of this algorithm, one of these conditions must be true:</w:t>
            </w:r>
          </w:p>
          <w:p w:rsidR="00024C0A" w:rsidRDefault="00694C0F">
            <w:pPr>
              <w:pStyle w:val="ListParagraph"/>
              <w:numPr>
                <w:ilvl w:val="0"/>
                <w:numId w:val="114"/>
              </w:numPr>
            </w:pPr>
            <w:r>
              <w:t>The two dates have the same year</w:t>
            </w:r>
          </w:p>
          <w:p w:rsidR="00024C0A" w:rsidRDefault="00694C0F">
            <w:pPr>
              <w:pStyle w:val="ListParagraph"/>
              <w:numPr>
                <w:ilvl w:val="0"/>
                <w:numId w:val="115"/>
              </w:numPr>
            </w:pPr>
            <w:r>
              <w:t>Date2’s year is exactly one more than date1’s year, and ((date1.month &gt; date2.month) or ((date1.month == date2.month) and (date1.day &gt;= date2.day)))</w:t>
            </w:r>
          </w:p>
        </w:tc>
      </w:tr>
      <w:tr w:rsidR="00024C0A" w:rsidTr="00024C0A">
        <w:tc>
          <w:tcPr>
            <w:tcW w:w="0" w:type="auto"/>
            <w:vAlign w:val="center"/>
          </w:tcPr>
          <w:p w:rsidR="00024C0A" w:rsidRDefault="00694C0F">
            <w:pPr>
              <w:pStyle w:val="TableBodyText"/>
            </w:pPr>
            <w:r>
              <w:rPr>
                <w:rStyle w:val="InlineCode"/>
              </w:rPr>
              <w:lastRenderedPageBreak/>
              <w:t>2</w:t>
            </w:r>
          </w:p>
        </w:tc>
        <w:tc>
          <w:tcPr>
            <w:tcW w:w="0" w:type="auto"/>
            <w:vAlign w:val="center"/>
          </w:tcPr>
          <w:p w:rsidR="00024C0A" w:rsidRDefault="00694C0F">
            <w:pPr>
              <w:pStyle w:val="TableBodyText"/>
            </w:pPr>
            <w:r>
              <w:t>Actual/360. Computes the actual difference in days, and presumes there are always 360 days per year.</w:t>
            </w:r>
          </w:p>
        </w:tc>
      </w:tr>
      <w:tr w:rsidR="00024C0A" w:rsidTr="00024C0A">
        <w:tc>
          <w:tcPr>
            <w:tcW w:w="0" w:type="auto"/>
            <w:vAlign w:val="center"/>
          </w:tcPr>
          <w:p w:rsidR="00024C0A" w:rsidRDefault="00694C0F">
            <w:pPr>
              <w:pStyle w:val="TableBodyText"/>
            </w:pPr>
            <w:r>
              <w:rPr>
                <w:rStyle w:val="InlineCode"/>
              </w:rPr>
              <w:t>3</w:t>
            </w:r>
          </w:p>
        </w:tc>
        <w:tc>
          <w:tcPr>
            <w:tcW w:w="0" w:type="auto"/>
            <w:vAlign w:val="center"/>
          </w:tcPr>
          <w:p w:rsidR="00024C0A" w:rsidRDefault="00694C0F">
            <w:pPr>
              <w:pStyle w:val="TableBodyText"/>
            </w:pPr>
            <w:r>
              <w:t>Actual/365. Computes the actual difference in days, and presumes there are always 365 days per year.</w:t>
            </w:r>
          </w:p>
        </w:tc>
      </w:tr>
      <w:tr w:rsidR="00024C0A" w:rsidTr="00024C0A">
        <w:tc>
          <w:tcPr>
            <w:tcW w:w="0" w:type="auto"/>
            <w:vAlign w:val="center"/>
          </w:tcPr>
          <w:p w:rsidR="00024C0A" w:rsidRDefault="00694C0F">
            <w:pPr>
              <w:pStyle w:val="TableBodyText"/>
            </w:pPr>
            <w:r>
              <w:rPr>
                <w:rStyle w:val="InlineCode"/>
              </w:rPr>
              <w:t>4</w:t>
            </w:r>
          </w:p>
        </w:tc>
        <w:tc>
          <w:tcPr>
            <w:tcW w:w="0" w:type="auto"/>
            <w:vAlign w:val="center"/>
          </w:tcPr>
          <w:p w:rsidR="00024C0A" w:rsidRDefault="00694C0F">
            <w:pPr>
              <w:pStyle w:val="TableBodyText"/>
            </w:pPr>
            <w:r>
              <w:t>European 30/360. The European method for adjusti</w:t>
            </w:r>
            <w:r>
              <w:t>ng day counts. If the dates are equal, the difference of days is 0. Assumes that each month has 30 days and the total number of days in the year is 360; any day-of-month (in date1, date2, or both) with a value of 31 is changed to 30. Note that February dat</w:t>
            </w:r>
            <w:r>
              <w:t xml:space="preserve">es are </w:t>
            </w:r>
            <w:r>
              <w:rPr>
                <w:i/>
              </w:rPr>
              <w:t xml:space="preserve">never </w:t>
            </w:r>
            <w:r>
              <w:t>changed, because there is no February 31.</w:t>
            </w:r>
          </w:p>
        </w:tc>
      </w:tr>
    </w:tbl>
    <w:p w:rsidR="00024C0A" w:rsidRDefault="00024C0A"/>
    <w:p w:rsidR="00024C0A" w:rsidRDefault="00694C0F">
      <w:pPr>
        <w:pStyle w:val="Heading3"/>
      </w:pPr>
      <w:bookmarkStart w:id="2071" w:name="section_d1d151f6ea8249cea3714df6ff22cd9d"/>
      <w:bookmarkStart w:id="2072" w:name="_Toc12261096"/>
      <w:r>
        <w:t>Part 1 Section 18.17.7.272, REPLACE</w:t>
      </w:r>
      <w:bookmarkEnd w:id="2071"/>
      <w:bookmarkEnd w:id="2072"/>
      <w:r>
        <w:fldChar w:fldCharType="begin"/>
      </w:r>
      <w:r>
        <w:instrText xml:space="preserve"> XE "REPLACE" </w:instrText>
      </w:r>
      <w:r>
        <w:fldChar w:fldCharType="end"/>
      </w:r>
    </w:p>
    <w:p w:rsidR="00024C0A" w:rsidRDefault="00694C0F">
      <w:pPr>
        <w:pStyle w:val="Definition-Field"/>
      </w:pPr>
      <w:r>
        <w:t xml:space="preserve">a.   </w:t>
      </w:r>
      <w:r>
        <w:rPr>
          <w:i/>
        </w:rPr>
        <w:t>The standard states that REPLACE is intended for use with languages that use the single-byte character set (SBCS), whereas REPLACEB is intende</w:t>
      </w:r>
      <w:r>
        <w:rPr>
          <w:i/>
        </w:rPr>
        <w:t>d for use with languages that use the double-byte character set (DBCS).</w:t>
      </w:r>
    </w:p>
    <w:p w:rsidR="00024C0A" w:rsidRDefault="00694C0F">
      <w:pPr>
        <w:pStyle w:val="Definition-Field2"/>
      </w:pPr>
      <w:r>
        <w:t>In Office, REPLACE is intended for use with any language, whereas REPLACEB is intended for use with languages that use the double-byte character set (DBCS).</w:t>
      </w:r>
    </w:p>
    <w:p w:rsidR="00024C0A" w:rsidRDefault="00694C0F">
      <w:pPr>
        <w:pStyle w:val="Definition-Field"/>
      </w:pPr>
      <w:r>
        <w:t xml:space="preserve">b.   </w:t>
      </w:r>
      <w:r>
        <w:rPr>
          <w:i/>
        </w:rPr>
        <w:t>The standard specifies</w:t>
      </w:r>
      <w:r>
        <w:rPr>
          <w:i/>
        </w:rPr>
        <w:t xml:space="preserve"> start-pos shall be greater than or equal to 0.</w:t>
      </w:r>
    </w:p>
    <w:p w:rsidR="00024C0A" w:rsidRDefault="00694C0F">
      <w:pPr>
        <w:pStyle w:val="Definition-Field2"/>
      </w:pPr>
      <w:r>
        <w:t>In Office, start-pos shall be greater than or equal to 1.</w:t>
      </w:r>
    </w:p>
    <w:p w:rsidR="00024C0A" w:rsidRDefault="00694C0F">
      <w:pPr>
        <w:pStyle w:val="Heading3"/>
      </w:pPr>
      <w:bookmarkStart w:id="2073" w:name="section_96ce77b13cab4619a54e1d57cea2592f"/>
      <w:bookmarkStart w:id="2074" w:name="_Toc12261097"/>
      <w:r>
        <w:t>Part 1 Section 18.17.7.273, REPLACEB</w:t>
      </w:r>
      <w:bookmarkEnd w:id="2073"/>
      <w:bookmarkEnd w:id="2074"/>
      <w:r>
        <w:fldChar w:fldCharType="begin"/>
      </w:r>
      <w:r>
        <w:instrText xml:space="preserve"> XE "REPLACEB" </w:instrText>
      </w:r>
      <w:r>
        <w:fldChar w:fldCharType="end"/>
      </w:r>
    </w:p>
    <w:p w:rsidR="00024C0A" w:rsidRDefault="00694C0F">
      <w:pPr>
        <w:pStyle w:val="Definition-Field"/>
      </w:pPr>
      <w:r>
        <w:t xml:space="preserve">a.   </w:t>
      </w:r>
      <w:r>
        <w:rPr>
          <w:i/>
        </w:rPr>
        <w:t>The standard does not specify that argument start-pos and number-bytes are measured in byte</w:t>
      </w:r>
      <w:r>
        <w:rPr>
          <w:i/>
        </w:rPr>
        <w:t>s.</w:t>
      </w:r>
    </w:p>
    <w:p w:rsidR="00024C0A" w:rsidRDefault="00694C0F">
      <w:pPr>
        <w:pStyle w:val="Definition-Field2"/>
      </w:pPr>
      <w:r>
        <w:t>Office measures argument start-pos and number-bytes in bytes.</w:t>
      </w:r>
    </w:p>
    <w:p w:rsidR="00024C0A" w:rsidRDefault="00694C0F">
      <w:pPr>
        <w:pStyle w:val="Definition-Field"/>
      </w:pPr>
      <w:r>
        <w:t xml:space="preserve">b.   </w:t>
      </w:r>
      <w:r>
        <w:rPr>
          <w:i/>
        </w:rPr>
        <w:t>The standard states that REPLACEB is intended for use with languages that use the double-byte character set (DBCS) and REPLACE is intended for use with languages that use the single-byte</w:t>
      </w:r>
      <w:r>
        <w:rPr>
          <w:i/>
        </w:rPr>
        <w:t xml:space="preserve"> character set (SBCS).</w:t>
      </w:r>
    </w:p>
    <w:p w:rsidR="00024C0A" w:rsidRDefault="00694C0F">
      <w:pPr>
        <w:pStyle w:val="Definition-Field2"/>
      </w:pPr>
      <w:r>
        <w:t>In Office, REPLACEB is intended for use with languages that use the double-byte character set (DBCS) and REPLACE is intended for use with any language.</w:t>
      </w:r>
    </w:p>
    <w:p w:rsidR="00024C0A" w:rsidRDefault="00694C0F">
      <w:pPr>
        <w:pStyle w:val="Definition-Field"/>
      </w:pPr>
      <w:r>
        <w:t xml:space="preserve">c.   </w:t>
      </w:r>
      <w:r>
        <w:rPr>
          <w:i/>
        </w:rPr>
        <w:t>The standard specifies that start-pos shall be greater than or equal to 0.</w:t>
      </w:r>
    </w:p>
    <w:p w:rsidR="00024C0A" w:rsidRDefault="00694C0F">
      <w:pPr>
        <w:pStyle w:val="Definition-Field2"/>
      </w:pPr>
      <w:r>
        <w:t>I</w:t>
      </w:r>
      <w:r>
        <w:t>n Office, start-pos shall be greater than or equal to1.</w:t>
      </w:r>
    </w:p>
    <w:p w:rsidR="00024C0A" w:rsidRDefault="00694C0F">
      <w:pPr>
        <w:pStyle w:val="Definition-Field"/>
      </w:pPr>
      <w:r>
        <w:t xml:space="preserve">d.   </w:t>
      </w:r>
      <w:r>
        <w:rPr>
          <w:i/>
        </w:rPr>
        <w:t>The standard does not specify which languages support DBCS.</w:t>
      </w:r>
    </w:p>
    <w:p w:rsidR="00024C0A" w:rsidRDefault="00694C0F">
      <w:pPr>
        <w:pStyle w:val="Definition-Field2"/>
      </w:pPr>
      <w:r>
        <w:t>In Office, the languages that support DBCS include Japanese, Chinese (Simplified), Chinese (Traditional), and Korean.</w:t>
      </w:r>
    </w:p>
    <w:p w:rsidR="00024C0A" w:rsidRDefault="00694C0F">
      <w:pPr>
        <w:pStyle w:val="Definition-Field"/>
      </w:pPr>
      <w:r>
        <w:t xml:space="preserve">e.   </w:t>
      </w:r>
      <w:r>
        <w:rPr>
          <w:i/>
        </w:rPr>
        <w:t>The standard</w:t>
      </w:r>
      <w:r>
        <w:rPr>
          <w:i/>
        </w:rPr>
        <w:t xml:space="preserve"> does not specify behavior of REPLACEB when default language supports DBCS and when it does not support DBCS.</w:t>
      </w:r>
    </w:p>
    <w:p w:rsidR="00024C0A" w:rsidRDefault="00694C0F">
      <w:pPr>
        <w:pStyle w:val="Definition-Field2"/>
      </w:pPr>
      <w:r>
        <w:t>In Office, when the default language supports DBCS, REPLACEB counts each double-byte character as 2 bytes, and each single-byte character as 1. Wh</w:t>
      </w:r>
      <w:r>
        <w:t>en the default language does not support DBCS, REPLACEB counts each character as 1 byte.</w:t>
      </w:r>
    </w:p>
    <w:p w:rsidR="00024C0A" w:rsidRDefault="00694C0F">
      <w:pPr>
        <w:pStyle w:val="Heading3"/>
      </w:pPr>
      <w:bookmarkStart w:id="2075" w:name="section_a6a6184fcd8d481facbd8d3c4accd982"/>
      <w:bookmarkStart w:id="2076" w:name="_Toc12261098"/>
      <w:r>
        <w:lastRenderedPageBreak/>
        <w:t>Part 1 Section 18.17.7.275, RIGHT</w:t>
      </w:r>
      <w:bookmarkEnd w:id="2075"/>
      <w:bookmarkEnd w:id="2076"/>
      <w:r>
        <w:fldChar w:fldCharType="begin"/>
      </w:r>
      <w:r>
        <w:instrText xml:space="preserve"> XE "RIGHT" </w:instrText>
      </w:r>
      <w:r>
        <w:fldChar w:fldCharType="end"/>
      </w:r>
    </w:p>
    <w:p w:rsidR="00024C0A" w:rsidRDefault="00694C0F">
      <w:pPr>
        <w:pStyle w:val="Definition-Field"/>
      </w:pPr>
      <w:r>
        <w:t xml:space="preserve">a.   </w:t>
      </w:r>
      <w:r>
        <w:rPr>
          <w:i/>
        </w:rPr>
        <w:t xml:space="preserve">The standard specifies that RIGHT is intended for use with languages that use the single-byte character set </w:t>
      </w:r>
      <w:r>
        <w:rPr>
          <w:i/>
        </w:rPr>
        <w:t>(SBCS), whereas RIGHTB is intended for use with languages that use the double-byte character set (DBCS).</w:t>
      </w:r>
    </w:p>
    <w:p w:rsidR="00024C0A" w:rsidRDefault="00694C0F">
      <w:pPr>
        <w:pStyle w:val="Definition-Field2"/>
      </w:pPr>
      <w:r>
        <w:t>In Office, RIGHT is intended for use with any language, whereas RIGHTB is intended for use with languages that use the double-byte character set (DBCS)</w:t>
      </w:r>
      <w:r>
        <w:t>.</w:t>
      </w:r>
    </w:p>
    <w:p w:rsidR="00024C0A" w:rsidRDefault="00694C0F">
      <w:pPr>
        <w:pStyle w:val="Heading3"/>
      </w:pPr>
      <w:bookmarkStart w:id="2077" w:name="section_eb12d10c702b4d9d938d34d55b9099a4"/>
      <w:bookmarkStart w:id="2078" w:name="_Toc12261099"/>
      <w:r>
        <w:t>Part 1 Section 18.17.7.276, RIGHTB</w:t>
      </w:r>
      <w:bookmarkEnd w:id="2077"/>
      <w:bookmarkEnd w:id="2078"/>
      <w:r>
        <w:fldChar w:fldCharType="begin"/>
      </w:r>
      <w:r>
        <w:instrText xml:space="preserve"> XE "RIGHTB" </w:instrText>
      </w:r>
      <w:r>
        <w:fldChar w:fldCharType="end"/>
      </w:r>
    </w:p>
    <w:p w:rsidR="00024C0A" w:rsidRDefault="00694C0F">
      <w:pPr>
        <w:pStyle w:val="Definition-Field"/>
      </w:pPr>
      <w:r>
        <w:t xml:space="preserve">a.   </w:t>
      </w:r>
      <w:r>
        <w:rPr>
          <w:i/>
        </w:rPr>
        <w:t>The standard does not specify which languages support DBCS.</w:t>
      </w:r>
    </w:p>
    <w:p w:rsidR="00024C0A" w:rsidRDefault="00694C0F">
      <w:pPr>
        <w:pStyle w:val="Definition-Field2"/>
      </w:pPr>
      <w:r>
        <w:t>In Office, the languages that support DBCS include Japanese, Chinese (Simplified), Chinese (Traditional), and Korean.</w:t>
      </w:r>
    </w:p>
    <w:p w:rsidR="00024C0A" w:rsidRDefault="00694C0F">
      <w:pPr>
        <w:pStyle w:val="Definition-Field"/>
      </w:pPr>
      <w:r>
        <w:t xml:space="preserve">b.   </w:t>
      </w:r>
      <w:r>
        <w:rPr>
          <w:i/>
        </w:rPr>
        <w:t>The standard doe</w:t>
      </w:r>
      <w:r>
        <w:rPr>
          <w:i/>
        </w:rPr>
        <w:t>s not specify behavior of RIGHTB when default language supports DBCS and when it does not support DBCS.</w:t>
      </w:r>
    </w:p>
    <w:p w:rsidR="00024C0A" w:rsidRDefault="00694C0F">
      <w:pPr>
        <w:pStyle w:val="Definition-Field2"/>
      </w:pPr>
      <w:r>
        <w:t>In Office, when the default language supports DBCS, RIGHTB counts each double-byte character as 2 bytes, and each single-byte character as 1. When the d</w:t>
      </w:r>
      <w:r>
        <w:t>efault language does not support DBCS, RIGHTB counts each character as 1 byte.</w:t>
      </w:r>
    </w:p>
    <w:p w:rsidR="00024C0A" w:rsidRDefault="00694C0F">
      <w:pPr>
        <w:pStyle w:val="Heading3"/>
      </w:pPr>
      <w:bookmarkStart w:id="2079" w:name="section_58cc2461256744ea87c39358c542b0c8"/>
      <w:bookmarkStart w:id="2080" w:name="_Toc12261100"/>
      <w:r>
        <w:t>Part 1 Section 18.17.7.277, ROMAN</w:t>
      </w:r>
      <w:bookmarkEnd w:id="2079"/>
      <w:bookmarkEnd w:id="2080"/>
      <w:r>
        <w:fldChar w:fldCharType="begin"/>
      </w:r>
      <w:r>
        <w:instrText xml:space="preserve"> XE "ROMAN" </w:instrText>
      </w:r>
      <w:r>
        <w:fldChar w:fldCharType="end"/>
      </w:r>
    </w:p>
    <w:p w:rsidR="00024C0A" w:rsidRDefault="00694C0F">
      <w:pPr>
        <w:pStyle w:val="Definition-Field"/>
      </w:pPr>
      <w:r>
        <w:t xml:space="preserve">a.   </w:t>
      </w:r>
      <w:r>
        <w:rPr>
          <w:i/>
        </w:rPr>
        <w:t>The standard does not specify what happens if number argument is equal to 0.</w:t>
      </w:r>
    </w:p>
    <w:p w:rsidR="00024C0A" w:rsidRDefault="00694C0F">
      <w:pPr>
        <w:pStyle w:val="Definition-Field2"/>
      </w:pPr>
      <w:r>
        <w:t>Office returns the empty string if number argum</w:t>
      </w:r>
      <w:r>
        <w:t>ent is equal to 0.</w:t>
      </w:r>
    </w:p>
    <w:p w:rsidR="00024C0A" w:rsidRDefault="00694C0F">
      <w:pPr>
        <w:pStyle w:val="Heading3"/>
      </w:pPr>
      <w:bookmarkStart w:id="2081" w:name="section_e702ec419f9f41fcb62c24c38274e331"/>
      <w:bookmarkStart w:id="2082" w:name="_Toc12261101"/>
      <w:r>
        <w:t>Part 1 Section 18.17.7.278, ROUND</w:t>
      </w:r>
      <w:bookmarkEnd w:id="2081"/>
      <w:bookmarkEnd w:id="2082"/>
      <w:r>
        <w:fldChar w:fldCharType="begin"/>
      </w:r>
      <w:r>
        <w:instrText xml:space="preserve"> XE "ROUND" </w:instrText>
      </w:r>
      <w:r>
        <w:fldChar w:fldCharType="end"/>
      </w:r>
    </w:p>
    <w:p w:rsidR="00024C0A" w:rsidRDefault="00694C0F">
      <w:pPr>
        <w:pStyle w:val="Definition-Field"/>
      </w:pPr>
      <w:r>
        <w:t xml:space="preserve">a.   </w:t>
      </w:r>
      <w:r>
        <w:rPr>
          <w:i/>
        </w:rPr>
        <w:t>The standard states that a return value is the rounded down value of x.</w:t>
      </w:r>
    </w:p>
    <w:p w:rsidR="00024C0A" w:rsidRDefault="00694C0F">
      <w:pPr>
        <w:pStyle w:val="Definition-Field2"/>
      </w:pPr>
      <w:r>
        <w:t>Office treats x as the rounded value of x.</w:t>
      </w:r>
    </w:p>
    <w:p w:rsidR="00024C0A" w:rsidRDefault="00694C0F">
      <w:pPr>
        <w:pStyle w:val="Heading3"/>
      </w:pPr>
      <w:bookmarkStart w:id="2083" w:name="section_3cd2aea4797d42fc80de1a4ed0e01932"/>
      <w:bookmarkStart w:id="2084" w:name="_Toc12261102"/>
      <w:r>
        <w:t>Part 1 Section 18.17.7.282, ROWS</w:t>
      </w:r>
      <w:bookmarkEnd w:id="2083"/>
      <w:bookmarkEnd w:id="2084"/>
      <w:r>
        <w:fldChar w:fldCharType="begin"/>
      </w:r>
      <w:r>
        <w:instrText xml:space="preserve"> XE "ROWS" </w:instrText>
      </w:r>
      <w:r>
        <w:fldChar w:fldCharType="end"/>
      </w:r>
    </w:p>
    <w:p w:rsidR="00024C0A" w:rsidRDefault="00694C0F">
      <w:pPr>
        <w:pStyle w:val="Definition-Field"/>
      </w:pPr>
      <w:r>
        <w:t xml:space="preserve">a.   </w:t>
      </w:r>
      <w:r>
        <w:rPr>
          <w:i/>
        </w:rPr>
        <w:t>The standard state</w:t>
      </w:r>
      <w:r>
        <w:rPr>
          <w:i/>
        </w:rPr>
        <w:t>s that if the range of cells referred to by array is not contiguous, #NULL! is returned.</w:t>
      </w:r>
    </w:p>
    <w:p w:rsidR="00024C0A" w:rsidRDefault="00694C0F">
      <w:pPr>
        <w:pStyle w:val="Definition-Field2"/>
      </w:pPr>
      <w:r>
        <w:t>Office returns #REF!, if array refers to the union of discontiguous ranges.</w:t>
      </w:r>
    </w:p>
    <w:p w:rsidR="00024C0A" w:rsidRDefault="00694C0F">
      <w:pPr>
        <w:pStyle w:val="Heading3"/>
      </w:pPr>
      <w:bookmarkStart w:id="2085" w:name="section_70a4382f51c64640851dd8612b038217"/>
      <w:bookmarkStart w:id="2086" w:name="_Toc12261103"/>
      <w:r>
        <w:t>Part 1 Section 18.17.7.284, RTD</w:t>
      </w:r>
      <w:bookmarkEnd w:id="2085"/>
      <w:bookmarkEnd w:id="2086"/>
      <w:r>
        <w:fldChar w:fldCharType="begin"/>
      </w:r>
      <w:r>
        <w:instrText xml:space="preserve"> XE "RTD" </w:instrText>
      </w:r>
      <w:r>
        <w:fldChar w:fldCharType="end"/>
      </w:r>
    </w:p>
    <w:p w:rsidR="00024C0A" w:rsidRDefault="00694C0F">
      <w:pPr>
        <w:pStyle w:val="Definition-Field"/>
      </w:pPr>
      <w:r>
        <w:t xml:space="preserve">a.   </w:t>
      </w:r>
      <w:r>
        <w:rPr>
          <w:i/>
        </w:rPr>
        <w:t>The standard does not describe restriction</w:t>
      </w:r>
      <w:r>
        <w:rPr>
          <w:i/>
        </w:rPr>
        <w:t>s on progID.</w:t>
      </w:r>
    </w:p>
    <w:p w:rsidR="00024C0A" w:rsidRDefault="00694C0F">
      <w:pPr>
        <w:pStyle w:val="Definition-Field2"/>
      </w:pPr>
      <w:r>
        <w:t>In Office, if progID does not reference an application that is registered and that implements IRTDServer, then #N/A is returned.</w:t>
      </w:r>
    </w:p>
    <w:p w:rsidR="00024C0A" w:rsidRDefault="00694C0F">
      <w:pPr>
        <w:pStyle w:val="Definition-Field"/>
      </w:pPr>
      <w:r>
        <w:t xml:space="preserve">b.   </w:t>
      </w:r>
      <w:r>
        <w:rPr>
          <w:i/>
        </w:rPr>
        <w:t>The standard does not describe how the application communicates with Excel.</w:t>
      </w:r>
    </w:p>
    <w:p w:rsidR="00024C0A" w:rsidRDefault="00694C0F">
      <w:pPr>
        <w:pStyle w:val="Definition-Field2"/>
      </w:pPr>
      <w:r>
        <w:t>In Office, the application must i</w:t>
      </w:r>
      <w:r>
        <w:t>mplement the IRTDServer interface.</w:t>
      </w:r>
    </w:p>
    <w:p w:rsidR="00024C0A" w:rsidRDefault="00694C0F">
      <w:pPr>
        <w:pStyle w:val="Definition-Field"/>
      </w:pPr>
      <w:r>
        <w:t xml:space="preserve">c.   </w:t>
      </w:r>
      <w:r>
        <w:rPr>
          <w:i/>
        </w:rPr>
        <w:t>The standard does not specify that argument-list may be left blank.</w:t>
      </w:r>
    </w:p>
    <w:p w:rsidR="00024C0A" w:rsidRDefault="00694C0F">
      <w:pPr>
        <w:pStyle w:val="Definition-Field2"/>
      </w:pPr>
      <w:r>
        <w:t>In Office, argument-list is required, but may be left blank.</w:t>
      </w:r>
    </w:p>
    <w:p w:rsidR="00024C0A" w:rsidRDefault="00694C0F">
      <w:pPr>
        <w:pStyle w:val="Definition-Field"/>
      </w:pPr>
      <w:r>
        <w:t xml:space="preserve">d.   </w:t>
      </w:r>
      <w:r>
        <w:rPr>
          <w:i/>
        </w:rPr>
        <w:t>The standard uses the following syntax: RTD(progID, [rtd-server], argument-list).</w:t>
      </w:r>
    </w:p>
    <w:p w:rsidR="00024C0A" w:rsidRDefault="00694C0F">
      <w:pPr>
        <w:pStyle w:val="Definition-Field2"/>
      </w:pPr>
      <w:r>
        <w:lastRenderedPageBreak/>
        <w:t>Office uses the following syntax: RTD(progID, rtd-server, argument-list).</w:t>
      </w:r>
    </w:p>
    <w:p w:rsidR="00024C0A" w:rsidRDefault="00694C0F">
      <w:pPr>
        <w:pStyle w:val="Definition-Field"/>
      </w:pPr>
      <w:r>
        <w:t xml:space="preserve">e.   </w:t>
      </w:r>
      <w:r>
        <w:rPr>
          <w:i/>
        </w:rPr>
        <w:t>In the standard, argument-list does not specify the maximum number of arguments.</w:t>
      </w:r>
    </w:p>
    <w:p w:rsidR="00024C0A" w:rsidRDefault="00694C0F">
      <w:pPr>
        <w:pStyle w:val="Definition-Field2"/>
      </w:pPr>
      <w:r>
        <w:t>In Office, argument-list may contain at most 253 arguments.</w:t>
      </w:r>
    </w:p>
    <w:p w:rsidR="00024C0A" w:rsidRDefault="00694C0F">
      <w:pPr>
        <w:pStyle w:val="Definition-Field"/>
      </w:pPr>
      <w:r>
        <w:t xml:space="preserve">f.   </w:t>
      </w:r>
      <w:r>
        <w:rPr>
          <w:i/>
        </w:rPr>
        <w:t xml:space="preserve">The standard describes the </w:t>
      </w:r>
      <w:r>
        <w:rPr>
          <w:i/>
        </w:rPr>
        <w:t>rtd-server argument as a string that is specific to the application with which RTD is communicating.</w:t>
      </w:r>
    </w:p>
    <w:p w:rsidR="00024C0A" w:rsidRDefault="00694C0F">
      <w:pPr>
        <w:pStyle w:val="Definition-Field2"/>
      </w:pPr>
      <w:r>
        <w:t xml:space="preserve">In Office, the rtd-server argument is used to perform a DCOM call to a remote RTD server. It is not specific to the RTD server.  If there is no server and </w:t>
      </w:r>
      <w:r>
        <w:t>the application is run locally, the argument is left blank.</w:t>
      </w:r>
    </w:p>
    <w:p w:rsidR="00024C0A" w:rsidRDefault="00694C0F">
      <w:pPr>
        <w:pStyle w:val="Heading3"/>
      </w:pPr>
      <w:bookmarkStart w:id="2087" w:name="section_18d08c10e8554b85bcdd66dc1cd44673"/>
      <w:bookmarkStart w:id="2088" w:name="_Toc12261104"/>
      <w:r>
        <w:t>Part 1 Section 18.17.7.285, SEARCH</w:t>
      </w:r>
      <w:bookmarkEnd w:id="2087"/>
      <w:bookmarkEnd w:id="2088"/>
      <w:r>
        <w:fldChar w:fldCharType="begin"/>
      </w:r>
      <w:r>
        <w:instrText xml:space="preserve"> XE "SEARCH" </w:instrText>
      </w:r>
      <w:r>
        <w:fldChar w:fldCharType="end"/>
      </w:r>
    </w:p>
    <w:p w:rsidR="00024C0A" w:rsidRDefault="00694C0F">
      <w:pPr>
        <w:pStyle w:val="Definition-Field"/>
      </w:pPr>
      <w:r>
        <w:t xml:space="preserve">a.   </w:t>
      </w:r>
      <w:r>
        <w:rPr>
          <w:i/>
        </w:rPr>
        <w:t>The standard states that start-pos shall be at least 0.</w:t>
      </w:r>
    </w:p>
    <w:p w:rsidR="00024C0A" w:rsidRDefault="00694C0F">
      <w:pPr>
        <w:pStyle w:val="Definition-Field2"/>
      </w:pPr>
      <w:r>
        <w:t>In Office, start-pos shall be at least 1.</w:t>
      </w:r>
    </w:p>
    <w:p w:rsidR="00024C0A" w:rsidRDefault="00694C0F">
      <w:pPr>
        <w:pStyle w:val="Definition-Field"/>
      </w:pPr>
      <w:r>
        <w:t xml:space="preserve">b.   </w:t>
      </w:r>
      <w:r>
        <w:rPr>
          <w:i/>
        </w:rPr>
        <w:t>The standard states that SEARCH is int</w:t>
      </w:r>
      <w:r>
        <w:rPr>
          <w:i/>
        </w:rPr>
        <w:t>ended for use with languages that use the single-byte character set (SBCS), whereas SEARCHB is intended for use with languages that use the double-byte character set (DBCS).</w:t>
      </w:r>
    </w:p>
    <w:p w:rsidR="00024C0A" w:rsidRDefault="00694C0F">
      <w:pPr>
        <w:pStyle w:val="Definition-Field2"/>
      </w:pPr>
      <w:r>
        <w:t>In Office, SEARCH is intended for use with any language, whereas SEARCHB is intend</w:t>
      </w:r>
      <w:r>
        <w:t>ed for use with languages that use the double-byte character set (DBCS).</w:t>
      </w:r>
    </w:p>
    <w:p w:rsidR="00024C0A" w:rsidRDefault="00694C0F">
      <w:pPr>
        <w:pStyle w:val="Heading3"/>
      </w:pPr>
      <w:bookmarkStart w:id="2089" w:name="section_62b11e5620d741298c09837a45147585"/>
      <w:bookmarkStart w:id="2090" w:name="_Toc12261105"/>
      <w:r>
        <w:t>Part 1 Section 18.17.7.286, SEARCHB</w:t>
      </w:r>
      <w:bookmarkEnd w:id="2089"/>
      <w:bookmarkEnd w:id="2090"/>
      <w:r>
        <w:fldChar w:fldCharType="begin"/>
      </w:r>
      <w:r>
        <w:instrText xml:space="preserve"> XE "SEARCHB" </w:instrText>
      </w:r>
      <w:r>
        <w:fldChar w:fldCharType="end"/>
      </w:r>
    </w:p>
    <w:p w:rsidR="00024C0A" w:rsidRDefault="00694C0F">
      <w:pPr>
        <w:pStyle w:val="Definition-Field"/>
      </w:pPr>
      <w:r>
        <w:t xml:space="preserve">a.   </w:t>
      </w:r>
      <w:r>
        <w:rPr>
          <w:i/>
        </w:rPr>
        <w:t>The standard states that in the description of argument start-pos, start-pos shall be at least 0.</w:t>
      </w:r>
    </w:p>
    <w:p w:rsidR="00024C0A" w:rsidRDefault="00694C0F">
      <w:pPr>
        <w:pStyle w:val="Definition-Field2"/>
      </w:pPr>
      <w:r>
        <w:t>In Office, start-pos shall b</w:t>
      </w:r>
      <w:r>
        <w:t>e at least 1, measured in bytes.</w:t>
      </w:r>
    </w:p>
    <w:p w:rsidR="00024C0A" w:rsidRDefault="00694C0F">
      <w:pPr>
        <w:pStyle w:val="Definition-Field"/>
      </w:pPr>
      <w:r>
        <w:t xml:space="preserve">b.   </w:t>
      </w:r>
      <w:r>
        <w:rPr>
          <w:i/>
        </w:rPr>
        <w:t>The standard does not specify that the start position is measured in bytes.</w:t>
      </w:r>
    </w:p>
    <w:p w:rsidR="00024C0A" w:rsidRDefault="00694C0F">
      <w:pPr>
        <w:pStyle w:val="Definition-Field2"/>
      </w:pPr>
      <w:r>
        <w:t>Office measures the start position in bytes.</w:t>
      </w:r>
    </w:p>
    <w:p w:rsidR="00024C0A" w:rsidRDefault="00694C0F">
      <w:pPr>
        <w:pStyle w:val="Definition-Field"/>
      </w:pPr>
      <w:r>
        <w:t xml:space="preserve">c.   </w:t>
      </w:r>
      <w:r>
        <w:rPr>
          <w:i/>
        </w:rPr>
        <w:t xml:space="preserve">The standard does not specify behavior of SEARCHB when default language supports DBCS and </w:t>
      </w:r>
      <w:r>
        <w:rPr>
          <w:i/>
        </w:rPr>
        <w:t>when it does not support DBCS.</w:t>
      </w:r>
    </w:p>
    <w:p w:rsidR="00024C0A" w:rsidRDefault="00694C0F">
      <w:pPr>
        <w:pStyle w:val="Definition-Field2"/>
      </w:pPr>
      <w:r>
        <w:t xml:space="preserve">In Office, when the default language supports DBCS, SEARCHB counts each double-byte character as 2 bytes, and each single-byte character as 1. When the default language does not support DBCS, SEARCHB counts each character as </w:t>
      </w:r>
      <w:r>
        <w:t>1 byte.</w:t>
      </w:r>
    </w:p>
    <w:p w:rsidR="00024C0A" w:rsidRDefault="00694C0F">
      <w:pPr>
        <w:pStyle w:val="Definition-Field"/>
      </w:pPr>
      <w:r>
        <w:t xml:space="preserve">d.   </w:t>
      </w:r>
      <w:r>
        <w:rPr>
          <w:i/>
        </w:rPr>
        <w:t>The standard does not specify which languages support DBCS.</w:t>
      </w:r>
    </w:p>
    <w:p w:rsidR="00024C0A" w:rsidRDefault="00694C0F">
      <w:pPr>
        <w:pStyle w:val="Definition-Field2"/>
      </w:pPr>
      <w:r>
        <w:t>In Office, the languages that support DBCS include Japanese, Chinese (Simplified), Chinese (Traditional), and Korean.</w:t>
      </w:r>
    </w:p>
    <w:p w:rsidR="00024C0A" w:rsidRDefault="00694C0F">
      <w:pPr>
        <w:pStyle w:val="Heading3"/>
      </w:pPr>
      <w:bookmarkStart w:id="2091" w:name="section_990788fe5bd443d6813b1bf3c7644848"/>
      <w:bookmarkStart w:id="2092" w:name="_Toc12261106"/>
      <w:r>
        <w:t>Part 1 Section 18.17.7.288, SERIESSUM</w:t>
      </w:r>
      <w:bookmarkEnd w:id="2091"/>
      <w:bookmarkEnd w:id="2092"/>
      <w:r>
        <w:fldChar w:fldCharType="begin"/>
      </w:r>
      <w:r>
        <w:instrText xml:space="preserve"> XE "SERIESSUM" </w:instrText>
      </w:r>
      <w:r>
        <w:fldChar w:fldCharType="end"/>
      </w:r>
    </w:p>
    <w:p w:rsidR="00024C0A" w:rsidRDefault="00694C0F">
      <w:pPr>
        <w:pStyle w:val="Definition-Field"/>
      </w:pPr>
      <w:r>
        <w:t xml:space="preserve">a.   </w:t>
      </w:r>
      <w:r>
        <w:rPr>
          <w:i/>
        </w:rPr>
        <w:t xml:space="preserve">The </w:t>
      </w:r>
      <w:r>
        <w:rPr>
          <w:i/>
        </w:rPr>
        <w:t>standard states that the argument coefficients must be of type reference.</w:t>
      </w:r>
    </w:p>
    <w:p w:rsidR="00024C0A" w:rsidRDefault="00694C0F">
      <w:pPr>
        <w:pStyle w:val="Definition-Field2"/>
      </w:pPr>
      <w:r>
        <w:t>Office allows the coefficients argument to be of types array or reference.</w:t>
      </w:r>
    </w:p>
    <w:p w:rsidR="00024C0A" w:rsidRDefault="00694C0F">
      <w:pPr>
        <w:pStyle w:val="Heading3"/>
      </w:pPr>
      <w:bookmarkStart w:id="2093" w:name="section_75fa1301c60a407b953d83f5eb3abbb9"/>
      <w:bookmarkStart w:id="2094" w:name="_Toc12261107"/>
      <w:r>
        <w:t>Part 1 Section 18.17.7.290, SIN</w:t>
      </w:r>
      <w:bookmarkEnd w:id="2093"/>
      <w:bookmarkEnd w:id="2094"/>
      <w:r>
        <w:fldChar w:fldCharType="begin"/>
      </w:r>
      <w:r>
        <w:instrText xml:space="preserve"> XE "SIN" </w:instrText>
      </w:r>
      <w:r>
        <w:fldChar w:fldCharType="end"/>
      </w:r>
    </w:p>
    <w:p w:rsidR="00024C0A" w:rsidRDefault="00694C0F">
      <w:pPr>
        <w:pStyle w:val="Definition-Field"/>
      </w:pPr>
      <w:r>
        <w:t xml:space="preserve">a.   </w:t>
      </w:r>
      <w:r>
        <w:rPr>
          <w:i/>
        </w:rPr>
        <w:t>The standard does not specify the unit for x.</w:t>
      </w:r>
    </w:p>
    <w:p w:rsidR="00024C0A" w:rsidRDefault="00694C0F">
      <w:pPr>
        <w:pStyle w:val="Definition-Field2"/>
      </w:pPr>
      <w:r>
        <w:t xml:space="preserve">Office uses </w:t>
      </w:r>
      <w:r>
        <w:t>x in radians.</w:t>
      </w:r>
    </w:p>
    <w:p w:rsidR="00024C0A" w:rsidRDefault="00694C0F">
      <w:pPr>
        <w:pStyle w:val="Heading3"/>
      </w:pPr>
      <w:bookmarkStart w:id="2095" w:name="section_fe5372708bd24348885bc6d159cfccc1"/>
      <w:bookmarkStart w:id="2096" w:name="_Toc12261108"/>
      <w:r>
        <w:lastRenderedPageBreak/>
        <w:t>Part 1 Section 18.17.7.294, SLOPE</w:t>
      </w:r>
      <w:bookmarkEnd w:id="2095"/>
      <w:bookmarkEnd w:id="2096"/>
      <w:r>
        <w:fldChar w:fldCharType="begin"/>
      </w:r>
      <w:r>
        <w:instrText xml:space="preserve"> XE "SLOPE" </w:instrText>
      </w:r>
      <w:r>
        <w:fldChar w:fldCharType="end"/>
      </w:r>
    </w:p>
    <w:p w:rsidR="00024C0A" w:rsidRDefault="00694C0F">
      <w:pPr>
        <w:pStyle w:val="Definition-Field"/>
      </w:pPr>
      <w:r>
        <w:t xml:space="preserve">a.   </w:t>
      </w:r>
      <w:r>
        <w:rPr>
          <w:i/>
        </w:rPr>
        <w:t>The standard does not specify how function arguments map to formula variables.</w:t>
      </w:r>
    </w:p>
    <w:p w:rsidR="00024C0A" w:rsidRDefault="00694C0F">
      <w:pPr>
        <w:pStyle w:val="Definition-Field2"/>
      </w:pPr>
      <w:r>
        <w:t>Office maps x-bar  to the sample mean AVERAGE (known-xs) argument and y-bar to the sample mean AVERAGE (known-</w:t>
      </w:r>
      <w:r>
        <w:t>ys) argument.</w:t>
      </w:r>
    </w:p>
    <w:p w:rsidR="00024C0A" w:rsidRDefault="00694C0F">
      <w:pPr>
        <w:pStyle w:val="Heading3"/>
      </w:pPr>
      <w:bookmarkStart w:id="2097" w:name="section_1df6af0af8044a189683ef5e9dcf9624"/>
      <w:bookmarkStart w:id="2098" w:name="_Toc12261109"/>
      <w:r>
        <w:t>Part 1 Section 18.17.7.299, STDEV</w:t>
      </w:r>
      <w:bookmarkEnd w:id="2097"/>
      <w:bookmarkEnd w:id="2098"/>
      <w:r>
        <w:fldChar w:fldCharType="begin"/>
      </w:r>
      <w:r>
        <w:instrText xml:space="preserve"> XE "STDEV" </w:instrText>
      </w:r>
      <w:r>
        <w:fldChar w:fldCharType="end"/>
      </w:r>
    </w:p>
    <w:p w:rsidR="00024C0A" w:rsidRDefault="00694C0F">
      <w:pPr>
        <w:pStyle w:val="Definition-Field"/>
      </w:pPr>
      <w:r>
        <w:t xml:space="preserve">a.   </w:t>
      </w:r>
      <w:r>
        <w:rPr>
          <w:i/>
        </w:rPr>
        <w:t>The standard maps x to the sample mean and n to the sample size.</w:t>
      </w:r>
    </w:p>
    <w:p w:rsidR="00024C0A" w:rsidRDefault="00694C0F">
      <w:pPr>
        <w:pStyle w:val="Definition-Field2"/>
      </w:pPr>
      <w:r>
        <w:t>Office maps x-bar to the sample mean, n to the sample size and x to a sample value.</w:t>
      </w:r>
    </w:p>
    <w:p w:rsidR="00024C0A" w:rsidRDefault="00694C0F">
      <w:pPr>
        <w:pStyle w:val="Definition-Field"/>
      </w:pPr>
      <w:r>
        <w:t xml:space="preserve">b.   </w:t>
      </w:r>
      <w:r>
        <w:rPr>
          <w:i/>
        </w:rPr>
        <w:t xml:space="preserve">The standard does not specify what </w:t>
      </w:r>
      <w:r>
        <w:rPr>
          <w:i/>
        </w:rPr>
        <w:t>happens if sample size is less than or equal to 1.</w:t>
      </w:r>
    </w:p>
    <w:p w:rsidR="00024C0A" w:rsidRDefault="00694C0F">
      <w:pPr>
        <w:pStyle w:val="Definition-Field2"/>
      </w:pPr>
      <w:r>
        <w:t>Office returns #DIV/0! if sample size is less than or equal to 1.</w:t>
      </w:r>
    </w:p>
    <w:p w:rsidR="00024C0A" w:rsidRDefault="00694C0F">
      <w:pPr>
        <w:pStyle w:val="Heading3"/>
      </w:pPr>
      <w:bookmarkStart w:id="2099" w:name="section_7cd80ce62f494e28a7fc75bab7b14571"/>
      <w:bookmarkStart w:id="2100" w:name="_Toc12261110"/>
      <w:r>
        <w:t>Part 1 Section 18.17.7.300, STDEVA</w:t>
      </w:r>
      <w:bookmarkEnd w:id="2099"/>
      <w:bookmarkEnd w:id="2100"/>
      <w:r>
        <w:fldChar w:fldCharType="begin"/>
      </w:r>
      <w:r>
        <w:instrText xml:space="preserve"> XE "STDEVA" </w:instrText>
      </w:r>
      <w:r>
        <w:fldChar w:fldCharType="end"/>
      </w:r>
    </w:p>
    <w:p w:rsidR="00024C0A" w:rsidRDefault="00694C0F">
      <w:pPr>
        <w:pStyle w:val="Definition-Field"/>
      </w:pPr>
      <w:r>
        <w:t xml:space="preserve">a.   </w:t>
      </w:r>
      <w:r>
        <w:rPr>
          <w:i/>
        </w:rPr>
        <w:t>The standard maps x to the sample mean and n to the sample size.</w:t>
      </w:r>
    </w:p>
    <w:p w:rsidR="00024C0A" w:rsidRDefault="00694C0F">
      <w:pPr>
        <w:pStyle w:val="Definition-Field2"/>
      </w:pPr>
      <w:r>
        <w:t>Office maps x-bar t</w:t>
      </w:r>
      <w:r>
        <w:t>o the sample mean, n to the sample size and x to a sample value.</w:t>
      </w:r>
    </w:p>
    <w:p w:rsidR="00024C0A" w:rsidRDefault="00694C0F">
      <w:pPr>
        <w:pStyle w:val="Definition-Field"/>
      </w:pPr>
      <w:r>
        <w:t xml:space="preserve">b.   </w:t>
      </w:r>
      <w:r>
        <w:rPr>
          <w:i/>
        </w:rPr>
        <w:t>The standard does not specify what happens if size is less than or equal to one.</w:t>
      </w:r>
    </w:p>
    <w:p w:rsidR="00024C0A" w:rsidRDefault="00694C0F">
      <w:pPr>
        <w:pStyle w:val="Definition-Field2"/>
      </w:pPr>
      <w:r>
        <w:t>Office returns #DIV/0! if sample size is less than or equal to one.</w:t>
      </w:r>
    </w:p>
    <w:p w:rsidR="00024C0A" w:rsidRDefault="00694C0F">
      <w:pPr>
        <w:pStyle w:val="Heading3"/>
      </w:pPr>
      <w:bookmarkStart w:id="2101" w:name="section_a17fe1342b274cc7a117baf9dc444b52"/>
      <w:bookmarkStart w:id="2102" w:name="_Toc12261111"/>
      <w:r>
        <w:t>Part 1 Section 18.17.7.301, STDEVP</w:t>
      </w:r>
      <w:bookmarkEnd w:id="2101"/>
      <w:bookmarkEnd w:id="2102"/>
      <w:r>
        <w:fldChar w:fldCharType="begin"/>
      </w:r>
      <w:r>
        <w:instrText xml:space="preserve"> XE</w:instrText>
      </w:r>
      <w:r>
        <w:instrText xml:space="preserve"> "STDEVP" </w:instrText>
      </w:r>
      <w:r>
        <w:fldChar w:fldCharType="end"/>
      </w:r>
    </w:p>
    <w:p w:rsidR="00024C0A" w:rsidRDefault="00694C0F">
      <w:pPr>
        <w:pStyle w:val="Definition-Field"/>
      </w:pPr>
      <w:r>
        <w:t xml:space="preserve">a.   </w:t>
      </w:r>
      <w:r>
        <w:rPr>
          <w:i/>
        </w:rPr>
        <w:t>The standard maps x to sample value, x-bar to sample mean, and n to the sample size.</w:t>
      </w:r>
    </w:p>
    <w:p w:rsidR="00024C0A" w:rsidRDefault="00694C0F">
      <w:pPr>
        <w:pStyle w:val="Definition-Field2"/>
      </w:pPr>
      <w:r>
        <w:t>Office maps x to a population value, x-bar to the population mean, and n to the population size.</w:t>
      </w:r>
    </w:p>
    <w:p w:rsidR="00024C0A" w:rsidRDefault="00694C0F">
      <w:pPr>
        <w:pStyle w:val="Definition-Field"/>
      </w:pPr>
      <w:r>
        <w:t xml:space="preserve">b.   </w:t>
      </w:r>
      <w:r>
        <w:rPr>
          <w:i/>
        </w:rPr>
        <w:t>The standard states that if data represents a popul</w:t>
      </w:r>
      <w:r>
        <w:rPr>
          <w:i/>
        </w:rPr>
        <w:t>ation sample only, STDEVA should be used.</w:t>
      </w:r>
    </w:p>
    <w:p w:rsidR="00024C0A" w:rsidRDefault="00694C0F">
      <w:pPr>
        <w:pStyle w:val="Definition-Field2"/>
      </w:pPr>
      <w:r>
        <w:t>In Office, STDEV should be used in this case.</w:t>
      </w:r>
    </w:p>
    <w:p w:rsidR="00024C0A" w:rsidRDefault="00694C0F">
      <w:pPr>
        <w:pStyle w:val="Definition-Field"/>
      </w:pPr>
      <w:r>
        <w:t xml:space="preserve">c.   </w:t>
      </w:r>
      <w:r>
        <w:rPr>
          <w:i/>
        </w:rPr>
        <w:t>The standard does not specify what happens if population size is 0.</w:t>
      </w:r>
    </w:p>
    <w:p w:rsidR="00024C0A" w:rsidRDefault="00694C0F">
      <w:pPr>
        <w:pStyle w:val="Definition-Field2"/>
      </w:pPr>
      <w:r>
        <w:t>Office returns #DIV/0! if population size is 0.</w:t>
      </w:r>
    </w:p>
    <w:p w:rsidR="00024C0A" w:rsidRDefault="00694C0F">
      <w:pPr>
        <w:pStyle w:val="Heading3"/>
      </w:pPr>
      <w:bookmarkStart w:id="2103" w:name="section_f3fa4168d6cb4974b749023650d7066e"/>
      <w:bookmarkStart w:id="2104" w:name="_Toc12261112"/>
      <w:r>
        <w:t>Part 1 Section 18.17.7.302, STDEVPA</w:t>
      </w:r>
      <w:bookmarkEnd w:id="2103"/>
      <w:bookmarkEnd w:id="2104"/>
      <w:r>
        <w:fldChar w:fldCharType="begin"/>
      </w:r>
      <w:r>
        <w:instrText xml:space="preserve"> XE "STDEVPA</w:instrText>
      </w:r>
      <w:r>
        <w:instrText xml:space="preserve">" </w:instrText>
      </w:r>
      <w:r>
        <w:fldChar w:fldCharType="end"/>
      </w:r>
    </w:p>
    <w:p w:rsidR="00024C0A" w:rsidRDefault="00694C0F">
      <w:pPr>
        <w:pStyle w:val="Definition-Field"/>
      </w:pPr>
      <w:r>
        <w:t xml:space="preserve">a.   </w:t>
      </w:r>
      <w:r>
        <w:rPr>
          <w:i/>
        </w:rPr>
        <w:t>The standard maps x to sample value, x-bar to sample mean, and n to the sample size.</w:t>
      </w:r>
    </w:p>
    <w:p w:rsidR="00024C0A" w:rsidRDefault="00694C0F">
      <w:pPr>
        <w:pStyle w:val="Definition-Field2"/>
      </w:pPr>
      <w:r>
        <w:t>Office maps x to a population value, x-bar to the population mean, and n to the population size.</w:t>
      </w:r>
    </w:p>
    <w:p w:rsidR="00024C0A" w:rsidRDefault="00694C0F">
      <w:pPr>
        <w:pStyle w:val="Definition-Field"/>
      </w:pPr>
      <w:r>
        <w:t xml:space="preserve">b.   </w:t>
      </w:r>
      <w:r>
        <w:rPr>
          <w:i/>
        </w:rPr>
        <w:t>The standard does not specify what happens if population si</w:t>
      </w:r>
      <w:r>
        <w:rPr>
          <w:i/>
        </w:rPr>
        <w:t>ze is 0.</w:t>
      </w:r>
    </w:p>
    <w:p w:rsidR="00024C0A" w:rsidRDefault="00694C0F">
      <w:pPr>
        <w:pStyle w:val="Definition-Field2"/>
      </w:pPr>
      <w:r>
        <w:t>Office returns #DIV/0! if population size is 0.</w:t>
      </w:r>
    </w:p>
    <w:p w:rsidR="00024C0A" w:rsidRDefault="00694C0F">
      <w:pPr>
        <w:pStyle w:val="Heading3"/>
      </w:pPr>
      <w:bookmarkStart w:id="2105" w:name="section_f469d851d5c043e99f7fded5c6d64a6f"/>
      <w:bookmarkStart w:id="2106" w:name="_Toc12261113"/>
      <w:r>
        <w:t>Part 1 Section 18.17.7.304, SUBSTITUTE</w:t>
      </w:r>
      <w:bookmarkEnd w:id="2105"/>
      <w:bookmarkEnd w:id="2106"/>
      <w:r>
        <w:fldChar w:fldCharType="begin"/>
      </w:r>
      <w:r>
        <w:instrText xml:space="preserve"> XE "SUBSTITUTE" </w:instrText>
      </w:r>
      <w:r>
        <w:fldChar w:fldCharType="end"/>
      </w:r>
    </w:p>
    <w:p w:rsidR="00024C0A" w:rsidRDefault="00694C0F">
      <w:pPr>
        <w:pStyle w:val="Definition-Field"/>
      </w:pPr>
      <w:r>
        <w:t xml:space="preserve">a.   </w:t>
      </w:r>
      <w:r>
        <w:rPr>
          <w:i/>
        </w:rPr>
        <w:t>The standard states if occurence is less than 0, #VALUE! is returned.</w:t>
      </w:r>
    </w:p>
    <w:p w:rsidR="00024C0A" w:rsidRDefault="00694C0F">
      <w:pPr>
        <w:pStyle w:val="Definition-Field2"/>
      </w:pPr>
      <w:r>
        <w:t>Office returns #VALUE! if occurence is less than or equal to 0.</w:t>
      </w:r>
    </w:p>
    <w:p w:rsidR="00024C0A" w:rsidRDefault="00694C0F">
      <w:pPr>
        <w:pStyle w:val="Heading3"/>
      </w:pPr>
      <w:bookmarkStart w:id="2107" w:name="section_7ae08e5fee2843e8bdf3e9e358a7c4fe"/>
      <w:bookmarkStart w:id="2108" w:name="_Toc12261114"/>
      <w:r>
        <w:lastRenderedPageBreak/>
        <w:t>Part 1 Section 18.17.7.306, SUM</w:t>
      </w:r>
      <w:bookmarkEnd w:id="2107"/>
      <w:bookmarkEnd w:id="2108"/>
      <w:r>
        <w:fldChar w:fldCharType="begin"/>
      </w:r>
      <w:r>
        <w:instrText xml:space="preserve"> XE "SUM" </w:instrText>
      </w:r>
      <w:r>
        <w:fldChar w:fldCharType="end"/>
      </w:r>
    </w:p>
    <w:p w:rsidR="00024C0A" w:rsidRDefault="00694C0F">
      <w:pPr>
        <w:pStyle w:val="Definition-Field"/>
      </w:pPr>
      <w:r>
        <w:t xml:space="preserve">a.   </w:t>
      </w:r>
      <w:r>
        <w:rPr>
          <w:i/>
        </w:rPr>
        <w:t>The standard states that valid arguments in argument-list shall be counted.</w:t>
      </w:r>
    </w:p>
    <w:p w:rsidR="00024C0A" w:rsidRDefault="00694C0F">
      <w:pPr>
        <w:pStyle w:val="Definition-Field2"/>
      </w:pPr>
      <w:r>
        <w:t>In Office, valid arguments in argument-list shall be added.</w:t>
      </w:r>
    </w:p>
    <w:p w:rsidR="00024C0A" w:rsidRDefault="00694C0F">
      <w:pPr>
        <w:pStyle w:val="Heading3"/>
      </w:pPr>
      <w:bookmarkStart w:id="2109" w:name="section_d669f66b65ed441e8c198845b572cd13"/>
      <w:bookmarkStart w:id="2110" w:name="_Toc12261115"/>
      <w:r>
        <w:t>Part 1 Section 18.17.7.308, SUMIFS</w:t>
      </w:r>
      <w:bookmarkEnd w:id="2109"/>
      <w:bookmarkEnd w:id="2110"/>
      <w:r>
        <w:fldChar w:fldCharType="begin"/>
      </w:r>
      <w:r>
        <w:instrText xml:space="preserve"> XE "SUMIFS" </w:instrText>
      </w:r>
      <w:r>
        <w:fldChar w:fldCharType="end"/>
      </w:r>
    </w:p>
    <w:p w:rsidR="00024C0A" w:rsidRDefault="00694C0F">
      <w:pPr>
        <w:pStyle w:val="Definition-Field"/>
      </w:pPr>
      <w:r>
        <w:t xml:space="preserve">a.   </w:t>
      </w:r>
      <w:r>
        <w:rPr>
          <w:i/>
        </w:rPr>
        <w:t>The standard sta</w:t>
      </w:r>
      <w:r>
        <w:rPr>
          <w:i/>
        </w:rPr>
        <w:t>tes that sum-range need not have the same size and shape as cell-range-1 through cell-range-n.</w:t>
      </w:r>
    </w:p>
    <w:p w:rsidR="00024C0A" w:rsidRDefault="00694C0F">
      <w:pPr>
        <w:pStyle w:val="Definition-Field2"/>
      </w:pPr>
      <w:r>
        <w:t>In Office, each cell-range-1...cell-range-n shall have the same size and shape as sum-range.</w:t>
      </w:r>
    </w:p>
    <w:p w:rsidR="00024C0A" w:rsidRDefault="00694C0F">
      <w:pPr>
        <w:pStyle w:val="Definition-Field"/>
      </w:pPr>
      <w:r>
        <w:t xml:space="preserve">b.   </w:t>
      </w:r>
      <w:r>
        <w:rPr>
          <w:i/>
        </w:rPr>
        <w:t xml:space="preserve">The standard states that cells in sum-range that contain TRUE </w:t>
      </w:r>
      <w:r>
        <w:rPr>
          <w:i/>
        </w:rPr>
        <w:t>evaluate to 1; cells in sum-range that contain FALSE evaluate to 0.</w:t>
      </w:r>
    </w:p>
    <w:p w:rsidR="00024C0A" w:rsidRDefault="00694C0F">
      <w:pPr>
        <w:pStyle w:val="Definition-Field2"/>
      </w:pPr>
      <w:r>
        <w:t>In Office, cells in sum-range that do not contain numeric values evaluate to 0.</w:t>
      </w:r>
    </w:p>
    <w:p w:rsidR="00024C0A" w:rsidRDefault="00694C0F">
      <w:pPr>
        <w:pStyle w:val="Heading3"/>
      </w:pPr>
      <w:bookmarkStart w:id="2111" w:name="section_d5d00d6f26194707a91cbd48fb7109d8"/>
      <w:bookmarkStart w:id="2112" w:name="_Toc12261116"/>
      <w:r>
        <w:t>Part 1 Section 18.17.7.309, SUMPRODUCT</w:t>
      </w:r>
      <w:bookmarkEnd w:id="2111"/>
      <w:bookmarkEnd w:id="2112"/>
      <w:r>
        <w:fldChar w:fldCharType="begin"/>
      </w:r>
      <w:r>
        <w:instrText xml:space="preserve"> XE "SUMPRODUCT" </w:instrText>
      </w:r>
      <w:r>
        <w:fldChar w:fldCharType="end"/>
      </w:r>
    </w:p>
    <w:p w:rsidR="00024C0A" w:rsidRDefault="00694C0F">
      <w:pPr>
        <w:pStyle w:val="Definition-Field"/>
      </w:pPr>
      <w:r>
        <w:t xml:space="preserve">a.   </w:t>
      </w:r>
      <w:r>
        <w:rPr>
          <w:i/>
        </w:rPr>
        <w:t>The standard states if the array arguments do</w:t>
      </w:r>
      <w:r>
        <w:rPr>
          <w:i/>
        </w:rPr>
        <w:t xml:space="preserve"> not have the same dimensions, #NUM! is returned.</w:t>
      </w:r>
    </w:p>
    <w:p w:rsidR="00024C0A" w:rsidRDefault="00694C0F">
      <w:pPr>
        <w:pStyle w:val="Definition-Field2"/>
      </w:pPr>
      <w:r>
        <w:t>In Office, if the array arguments do not have the same dimensions, #VALUE! is returned.</w:t>
      </w:r>
    </w:p>
    <w:p w:rsidR="00024C0A" w:rsidRDefault="00694C0F">
      <w:pPr>
        <w:pStyle w:val="Heading3"/>
      </w:pPr>
      <w:bookmarkStart w:id="2113" w:name="section_4353b2ada7bb412bbad44c1749f76897"/>
      <w:bookmarkStart w:id="2114" w:name="_Toc12261117"/>
      <w:r>
        <w:t>Part 1 Section 18.17.7.310, SUMSQ</w:t>
      </w:r>
      <w:bookmarkEnd w:id="2113"/>
      <w:bookmarkEnd w:id="2114"/>
      <w:r>
        <w:fldChar w:fldCharType="begin"/>
      </w:r>
      <w:r>
        <w:instrText xml:space="preserve"> XE "SUMSQ" </w:instrText>
      </w:r>
      <w:r>
        <w:fldChar w:fldCharType="end"/>
      </w:r>
    </w:p>
    <w:p w:rsidR="00024C0A" w:rsidRDefault="00694C0F">
      <w:pPr>
        <w:pStyle w:val="Definition-Field"/>
      </w:pPr>
      <w:r>
        <w:t xml:space="preserve">a.   </w:t>
      </w:r>
      <w:r>
        <w:rPr>
          <w:i/>
        </w:rPr>
        <w:t>The standard states that valid arguments in argument-list shall b</w:t>
      </w:r>
      <w:r>
        <w:rPr>
          <w:i/>
        </w:rPr>
        <w:t>e counted.</w:t>
      </w:r>
    </w:p>
    <w:p w:rsidR="00024C0A" w:rsidRDefault="00694C0F">
      <w:pPr>
        <w:pStyle w:val="Definition-Field2"/>
      </w:pPr>
      <w:r>
        <w:t>In Office, valid arguments in argument-list shall have their squares summed.</w:t>
      </w:r>
    </w:p>
    <w:p w:rsidR="00024C0A" w:rsidRDefault="00694C0F">
      <w:pPr>
        <w:pStyle w:val="Heading3"/>
      </w:pPr>
      <w:bookmarkStart w:id="2115" w:name="section_b24fde3123534d2bac61724078e1213f"/>
      <w:bookmarkStart w:id="2116" w:name="_Toc12261118"/>
      <w:r>
        <w:t>Part 1 Section 18.17.7.316, TAN</w:t>
      </w:r>
      <w:bookmarkEnd w:id="2115"/>
      <w:bookmarkEnd w:id="2116"/>
      <w:r>
        <w:fldChar w:fldCharType="begin"/>
      </w:r>
      <w:r>
        <w:instrText xml:space="preserve"> XE "TAN" </w:instrText>
      </w:r>
      <w:r>
        <w:fldChar w:fldCharType="end"/>
      </w:r>
    </w:p>
    <w:p w:rsidR="00024C0A" w:rsidRDefault="00694C0F">
      <w:pPr>
        <w:pStyle w:val="Definition-Field"/>
      </w:pPr>
      <w:r>
        <w:t xml:space="preserve">a.   </w:t>
      </w:r>
      <w:r>
        <w:rPr>
          <w:i/>
        </w:rPr>
        <w:t>The standard does not specify the unit for x.</w:t>
      </w:r>
    </w:p>
    <w:p w:rsidR="00024C0A" w:rsidRDefault="00694C0F">
      <w:pPr>
        <w:pStyle w:val="Definition-Field2"/>
      </w:pPr>
      <w:r>
        <w:t>Office uses x in radians.</w:t>
      </w:r>
    </w:p>
    <w:p w:rsidR="00024C0A" w:rsidRDefault="00694C0F">
      <w:pPr>
        <w:pStyle w:val="Heading3"/>
      </w:pPr>
      <w:bookmarkStart w:id="2117" w:name="section_314e45ecb2d842379103a0ed722130a8"/>
      <w:bookmarkStart w:id="2118" w:name="_Toc12261119"/>
      <w:r>
        <w:t>Part 1 Section 18.17.7.319, TBILLPRICE</w:t>
      </w:r>
      <w:bookmarkEnd w:id="2117"/>
      <w:bookmarkEnd w:id="2118"/>
      <w:r>
        <w:fldChar w:fldCharType="begin"/>
      </w:r>
      <w:r>
        <w:instrText xml:space="preserve"> XE "TBIL</w:instrText>
      </w:r>
      <w:r>
        <w:instrText xml:space="preserve">LPRICE" </w:instrText>
      </w:r>
      <w:r>
        <w:fldChar w:fldCharType="end"/>
      </w:r>
    </w:p>
    <w:p w:rsidR="00024C0A" w:rsidRDefault="00694C0F">
      <w:pPr>
        <w:pStyle w:val="Definition-Field"/>
      </w:pPr>
      <w:r>
        <w:t xml:space="preserve">a.   </w:t>
      </w:r>
      <w:r>
        <w:rPr>
          <w:i/>
        </w:rPr>
        <w:t>The standard states that the function computes the price per $100 face value for a U.S. Treasury bill.</w:t>
      </w:r>
    </w:p>
    <w:p w:rsidR="00024C0A" w:rsidRDefault="00694C0F">
      <w:pPr>
        <w:pStyle w:val="Definition-Field2"/>
      </w:pPr>
      <w:r>
        <w:t>In Office, the function is not specific to any currency or treasury bill.</w:t>
      </w:r>
    </w:p>
    <w:p w:rsidR="00024C0A" w:rsidRDefault="00694C0F">
      <w:pPr>
        <w:pStyle w:val="Definition-Field"/>
      </w:pPr>
      <w:r>
        <w:t xml:space="preserve">b.   </w:t>
      </w:r>
      <w:r>
        <w:rPr>
          <w:i/>
        </w:rPr>
        <w:t>The standard states that if the settlement arguent is grea</w:t>
      </w:r>
      <w:r>
        <w:rPr>
          <w:i/>
        </w:rPr>
        <w:t>ter than the maturity argument, then #NUM! is returned.</w:t>
      </w:r>
    </w:p>
    <w:p w:rsidR="00024C0A" w:rsidRDefault="00694C0F">
      <w:pPr>
        <w:pStyle w:val="Definition-Field2"/>
      </w:pPr>
      <w:r>
        <w:t>Office returns #NUM! if the settlement argument is greater than or equal to the maturity argument.</w:t>
      </w:r>
    </w:p>
    <w:p w:rsidR="00024C0A" w:rsidRDefault="00694C0F">
      <w:pPr>
        <w:pStyle w:val="Heading3"/>
      </w:pPr>
      <w:bookmarkStart w:id="2119" w:name="section_ae3240448a1a4e0daea87546318811b7"/>
      <w:bookmarkStart w:id="2120" w:name="_Toc12261120"/>
      <w:r>
        <w:t>Part 1 Section 18.17.7.320, TBILLYIELD</w:t>
      </w:r>
      <w:bookmarkEnd w:id="2119"/>
      <w:bookmarkEnd w:id="2120"/>
      <w:r>
        <w:fldChar w:fldCharType="begin"/>
      </w:r>
      <w:r>
        <w:instrText xml:space="preserve"> XE "TBILLYIELD" </w:instrText>
      </w:r>
      <w:r>
        <w:fldChar w:fldCharType="end"/>
      </w:r>
    </w:p>
    <w:p w:rsidR="00024C0A" w:rsidRDefault="00694C0F">
      <w:pPr>
        <w:pStyle w:val="Definition-Field"/>
      </w:pPr>
      <w:r>
        <w:t xml:space="preserve">a.   </w:t>
      </w:r>
      <w:r>
        <w:rPr>
          <w:i/>
        </w:rPr>
        <w:t xml:space="preserve">The standard states that the argument </w:t>
      </w:r>
      <w:r>
        <w:rPr>
          <w:i/>
        </w:rPr>
        <w:t>pr is the Treasury bill's price per $100 face value.</w:t>
      </w:r>
    </w:p>
    <w:p w:rsidR="00024C0A" w:rsidRDefault="00694C0F">
      <w:pPr>
        <w:pStyle w:val="Definition-Field2"/>
      </w:pPr>
      <w:r>
        <w:t>In Office, the argument pr is not specific to any currency or Treasury bill.</w:t>
      </w:r>
    </w:p>
    <w:p w:rsidR="00024C0A" w:rsidRDefault="00694C0F">
      <w:pPr>
        <w:pStyle w:val="Definition-Field"/>
      </w:pPr>
      <w:r>
        <w:t xml:space="preserve">b.   </w:t>
      </w:r>
      <w:r>
        <w:rPr>
          <w:i/>
        </w:rPr>
        <w:t>The standard states that If settlement &gt; maturity, #NUM! is returned.</w:t>
      </w:r>
    </w:p>
    <w:p w:rsidR="00024C0A" w:rsidRDefault="00694C0F">
      <w:pPr>
        <w:pStyle w:val="Definition-Field2"/>
      </w:pPr>
      <w:r>
        <w:t>Office returns #NUM! if settlement ≥ maturity.</w:t>
      </w:r>
    </w:p>
    <w:p w:rsidR="00024C0A" w:rsidRDefault="00694C0F">
      <w:pPr>
        <w:pStyle w:val="Heading3"/>
      </w:pPr>
      <w:bookmarkStart w:id="2121" w:name="section_8c6629cf956745578c6223d7467173a8"/>
      <w:bookmarkStart w:id="2122" w:name="_Toc12261121"/>
      <w:r>
        <w:lastRenderedPageBreak/>
        <w:t>Part</w:t>
      </w:r>
      <w:r>
        <w:t xml:space="preserve"> 1 Section 18.17.7.323, TIME</w:t>
      </w:r>
      <w:bookmarkEnd w:id="2121"/>
      <w:bookmarkEnd w:id="2122"/>
      <w:r>
        <w:fldChar w:fldCharType="begin"/>
      </w:r>
      <w:r>
        <w:instrText xml:space="preserve"> XE "TIME" </w:instrText>
      </w:r>
      <w:r>
        <w:fldChar w:fldCharType="end"/>
      </w:r>
    </w:p>
    <w:p w:rsidR="00024C0A" w:rsidRDefault="00694C0F">
      <w:pPr>
        <w:pStyle w:val="Definition-Field"/>
      </w:pPr>
      <w:r>
        <w:t xml:space="preserve">a.   </w:t>
      </w:r>
      <w:r>
        <w:rPr>
          <w:i/>
        </w:rPr>
        <w:t>The standard specifies that the serial value for the given time, as a value greater than or equal to 0 and less than or equal to 1.</w:t>
      </w:r>
    </w:p>
    <w:p w:rsidR="00024C0A" w:rsidRDefault="00694C0F">
      <w:pPr>
        <w:pStyle w:val="Definition-Field2"/>
      </w:pPr>
      <w:r>
        <w:t>Office treats the serial value for the given time, as a value greater than or</w:t>
      </w:r>
      <w:r>
        <w:t xml:space="preserve"> equal to 0 and less than 1.</w:t>
      </w:r>
    </w:p>
    <w:p w:rsidR="00024C0A" w:rsidRDefault="00694C0F">
      <w:pPr>
        <w:pStyle w:val="Heading3"/>
      </w:pPr>
      <w:bookmarkStart w:id="2123" w:name="section_cf0b5eb22dd54c109d0c4a3810cc90fd"/>
      <w:bookmarkStart w:id="2124" w:name="_Toc12261122"/>
      <w:r>
        <w:t>Part 1 Section 18.17.7.324, TIMEVALUE</w:t>
      </w:r>
      <w:bookmarkEnd w:id="2123"/>
      <w:bookmarkEnd w:id="2124"/>
      <w:r>
        <w:fldChar w:fldCharType="begin"/>
      </w:r>
      <w:r>
        <w:instrText xml:space="preserve"> XE "TIMEVALUE" </w:instrText>
      </w:r>
      <w:r>
        <w:fldChar w:fldCharType="end"/>
      </w:r>
    </w:p>
    <w:p w:rsidR="00024C0A" w:rsidRDefault="00694C0F">
      <w:pPr>
        <w:pStyle w:val="Definition-Field"/>
      </w:pPr>
      <w:r>
        <w:t xml:space="preserve">a.   </w:t>
      </w:r>
      <w:r>
        <w:rPr>
          <w:i/>
        </w:rPr>
        <w:t>The standard does not state the range for the result of the function.</w:t>
      </w:r>
    </w:p>
    <w:p w:rsidR="00024C0A" w:rsidRDefault="00694C0F">
      <w:pPr>
        <w:pStyle w:val="Definition-Field2"/>
      </w:pPr>
      <w:r>
        <w:t>Office returns a value greater than or equal to zero and less than 1.</w:t>
      </w:r>
    </w:p>
    <w:p w:rsidR="00024C0A" w:rsidRDefault="00694C0F">
      <w:pPr>
        <w:pStyle w:val="Heading3"/>
      </w:pPr>
      <w:bookmarkStart w:id="2125" w:name="section_2cbdb9beb9b2410daf3b3b09d6872ad6"/>
      <w:bookmarkStart w:id="2126" w:name="_Toc12261123"/>
      <w:r>
        <w:t>Part 1 Section 18.17.7.330</w:t>
      </w:r>
      <w:r>
        <w:t>, TRIMMEAN</w:t>
      </w:r>
      <w:bookmarkEnd w:id="2125"/>
      <w:bookmarkEnd w:id="2126"/>
      <w:r>
        <w:fldChar w:fldCharType="begin"/>
      </w:r>
      <w:r>
        <w:instrText xml:space="preserve"> XE "TRIMMEAN" </w:instrText>
      </w:r>
      <w:r>
        <w:fldChar w:fldCharType="end"/>
      </w:r>
    </w:p>
    <w:p w:rsidR="00024C0A" w:rsidRDefault="00694C0F">
      <w:pPr>
        <w:pStyle w:val="Definition-Field"/>
      </w:pPr>
      <w:r>
        <w:t xml:space="preserve">a.   </w:t>
      </w:r>
      <w:r>
        <w:rPr>
          <w:i/>
        </w:rPr>
        <w:t>The standard states that #NUM! is returned if the percent argument is less than zero or greater than 1.</w:t>
      </w:r>
    </w:p>
    <w:p w:rsidR="00024C0A" w:rsidRDefault="00694C0F">
      <w:pPr>
        <w:pStyle w:val="Definition-Field2"/>
      </w:pPr>
      <w:r>
        <w:t>In Office, #NUM! is returned if the percent argument is less than zero or greater than or equal to 1.</w:t>
      </w:r>
    </w:p>
    <w:p w:rsidR="00024C0A" w:rsidRDefault="00694C0F">
      <w:pPr>
        <w:pStyle w:val="Heading3"/>
      </w:pPr>
      <w:bookmarkStart w:id="2127" w:name="section_5987610d70aa4818afcbd2769417c6fa"/>
      <w:bookmarkStart w:id="2128" w:name="_Toc12261124"/>
      <w:r>
        <w:t>Part 1 Section 18.17.7.332, TRUNC</w:t>
      </w:r>
      <w:bookmarkEnd w:id="2127"/>
      <w:bookmarkEnd w:id="2128"/>
      <w:r>
        <w:fldChar w:fldCharType="begin"/>
      </w:r>
      <w:r>
        <w:instrText xml:space="preserve"> XE "TRUNC" </w:instrText>
      </w:r>
      <w:r>
        <w:fldChar w:fldCharType="end"/>
      </w:r>
    </w:p>
    <w:p w:rsidR="00024C0A" w:rsidRDefault="00694C0F">
      <w:pPr>
        <w:pStyle w:val="Definition-Field"/>
      </w:pPr>
      <w:r>
        <w:t xml:space="preserve">a.   </w:t>
      </w:r>
      <w:r>
        <w:rPr>
          <w:i/>
        </w:rPr>
        <w:t>The standard states that the argument x is of type array or reference.</w:t>
      </w:r>
    </w:p>
    <w:p w:rsidR="00024C0A" w:rsidRDefault="00694C0F">
      <w:pPr>
        <w:pStyle w:val="Definition-Field2"/>
      </w:pPr>
      <w:r>
        <w:t>Office requires argument x to be of type number.</w:t>
      </w:r>
    </w:p>
    <w:p w:rsidR="00024C0A" w:rsidRDefault="00694C0F">
      <w:pPr>
        <w:pStyle w:val="Heading3"/>
      </w:pPr>
      <w:bookmarkStart w:id="2129" w:name="section_2cdcacbb510645f0bf6a22a240164164"/>
      <w:bookmarkStart w:id="2130" w:name="_Toc12261125"/>
      <w:r>
        <w:t>Part 1 Section 18.17.7.333, TTEST</w:t>
      </w:r>
      <w:bookmarkEnd w:id="2129"/>
      <w:bookmarkEnd w:id="2130"/>
      <w:r>
        <w:fldChar w:fldCharType="begin"/>
      </w:r>
      <w:r>
        <w:instrText xml:space="preserve"> XE "TTEST" </w:instrText>
      </w:r>
      <w:r>
        <w:fldChar w:fldCharType="end"/>
      </w:r>
    </w:p>
    <w:p w:rsidR="00024C0A" w:rsidRDefault="00694C0F">
      <w:pPr>
        <w:pStyle w:val="Definition-Field"/>
      </w:pPr>
      <w:r>
        <w:t xml:space="preserve">a.   </w:t>
      </w:r>
      <w:r>
        <w:rPr>
          <w:i/>
        </w:rPr>
        <w:t xml:space="preserve">The standard does not specify </w:t>
      </w:r>
      <w:r>
        <w:rPr>
          <w:i/>
        </w:rPr>
        <w:t>any restriction on argument test-type.</w:t>
      </w:r>
    </w:p>
    <w:p w:rsidR="00024C0A" w:rsidRDefault="00694C0F">
      <w:pPr>
        <w:pStyle w:val="Definition-Field2"/>
      </w:pPr>
      <w:r>
        <w:t>In Office, #NUM! is returned if argument test-type is any value other than 1, 2, or 3.</w:t>
      </w:r>
    </w:p>
    <w:p w:rsidR="00024C0A" w:rsidRDefault="00694C0F">
      <w:pPr>
        <w:pStyle w:val="Heading3"/>
      </w:pPr>
      <w:bookmarkStart w:id="2131" w:name="section_ab045545aaa841f5945ead37902440a0"/>
      <w:bookmarkStart w:id="2132" w:name="_Toc12261126"/>
      <w:r>
        <w:t>Part 1 Section 18.17.7.334, TYPE</w:t>
      </w:r>
      <w:bookmarkEnd w:id="2131"/>
      <w:bookmarkEnd w:id="2132"/>
      <w:r>
        <w:fldChar w:fldCharType="begin"/>
      </w:r>
      <w:r>
        <w:instrText xml:space="preserve"> XE "TYPE" </w:instrText>
      </w:r>
      <w:r>
        <w:fldChar w:fldCharType="end"/>
      </w:r>
    </w:p>
    <w:p w:rsidR="00024C0A" w:rsidRDefault="00694C0F">
      <w:pPr>
        <w:pStyle w:val="Definition-Field"/>
      </w:pPr>
      <w:r>
        <w:t xml:space="preserve">a.   </w:t>
      </w:r>
      <w:r>
        <w:rPr>
          <w:i/>
        </w:rPr>
        <w:t>The standard states that the argument can be of any type.</w:t>
      </w:r>
    </w:p>
    <w:p w:rsidR="00024C0A" w:rsidRDefault="00694C0F">
      <w:pPr>
        <w:pStyle w:val="Definition-Field2"/>
      </w:pPr>
      <w:r>
        <w:t>Office allows the arg</w:t>
      </w:r>
      <w:r>
        <w:t>ument value to be of any type except for reference.</w:t>
      </w:r>
    </w:p>
    <w:p w:rsidR="00024C0A" w:rsidRDefault="00694C0F">
      <w:pPr>
        <w:pStyle w:val="Heading3"/>
      </w:pPr>
      <w:bookmarkStart w:id="2133" w:name="section_dc6ad719d7db4b06a8f17375c2d61522"/>
      <w:bookmarkStart w:id="2134" w:name="_Toc12261127"/>
      <w:r>
        <w:t>Part 1 Section 18.17.7.336, USDOLLAR</w:t>
      </w:r>
      <w:bookmarkEnd w:id="2133"/>
      <w:bookmarkEnd w:id="2134"/>
      <w:r>
        <w:fldChar w:fldCharType="begin"/>
      </w:r>
      <w:r>
        <w:instrText xml:space="preserve"> XE "USDOLLAR" </w:instrText>
      </w:r>
      <w:r>
        <w:fldChar w:fldCharType="end"/>
      </w:r>
    </w:p>
    <w:p w:rsidR="00024C0A" w:rsidRDefault="00694C0F">
      <w:pPr>
        <w:pStyle w:val="Definition-Field"/>
      </w:pPr>
      <w:r>
        <w:t xml:space="preserve">a.   </w:t>
      </w:r>
      <w:r>
        <w:rPr>
          <w:i/>
        </w:rPr>
        <w:t>The standard does not specify any restriction on argument num-decimal.</w:t>
      </w:r>
    </w:p>
    <w:p w:rsidR="00024C0A" w:rsidRDefault="00694C0F">
      <w:pPr>
        <w:pStyle w:val="Definition-Field2"/>
      </w:pPr>
      <w:r>
        <w:t>Office returns #VALUE! if argument num-decimal is greater than 127.</w:t>
      </w:r>
    </w:p>
    <w:p w:rsidR="00024C0A" w:rsidRDefault="00694C0F">
      <w:pPr>
        <w:pStyle w:val="Definition-Field"/>
      </w:pPr>
      <w:r>
        <w:t xml:space="preserve">b.   </w:t>
      </w:r>
      <w:r>
        <w:rPr>
          <w:i/>
        </w:rPr>
        <w:t>T</w:t>
      </w:r>
      <w:r>
        <w:rPr>
          <w:i/>
        </w:rPr>
        <w:t>he standard states that the thousands separator is the comma, the radix point is the period, and the currency symbol is $ and the format used is $#,##0.00;($#,##0.00).</w:t>
      </w:r>
    </w:p>
    <w:p w:rsidR="00024C0A" w:rsidRDefault="00694C0F">
      <w:pPr>
        <w:pStyle w:val="Definition-Field2"/>
      </w:pPr>
      <w:r>
        <w:t>In Office, the formatting applied to the string for the thousands separator, radix point</w:t>
      </w:r>
      <w:r>
        <w:t>, and currency symbol are implementation-specific.</w:t>
      </w:r>
    </w:p>
    <w:p w:rsidR="00024C0A" w:rsidRDefault="00694C0F">
      <w:pPr>
        <w:pStyle w:val="Heading3"/>
      </w:pPr>
      <w:bookmarkStart w:id="2135" w:name="section_4d0498fcd6fd48449c3e82fb61cff764"/>
      <w:bookmarkStart w:id="2136" w:name="_Toc12261128"/>
      <w:r>
        <w:t>Part 1 Section 18.17.7.337, VALUE</w:t>
      </w:r>
      <w:bookmarkEnd w:id="2135"/>
      <w:bookmarkEnd w:id="2136"/>
      <w:r>
        <w:fldChar w:fldCharType="begin"/>
      </w:r>
      <w:r>
        <w:instrText xml:space="preserve"> XE "VALUE" </w:instrText>
      </w:r>
      <w:r>
        <w:fldChar w:fldCharType="end"/>
      </w:r>
    </w:p>
    <w:p w:rsidR="00024C0A" w:rsidRDefault="00694C0F">
      <w:pPr>
        <w:pStyle w:val="Definition-Field"/>
      </w:pPr>
      <w:r>
        <w:t xml:space="preserve">a.   </w:t>
      </w:r>
      <w:r>
        <w:rPr>
          <w:i/>
        </w:rPr>
        <w:t>The standard does not specify what happens if string argument is not formatted as number, currency, date or time.</w:t>
      </w:r>
    </w:p>
    <w:p w:rsidR="00024C0A" w:rsidRDefault="00694C0F">
      <w:pPr>
        <w:pStyle w:val="Definition-Field2"/>
      </w:pPr>
      <w:r>
        <w:lastRenderedPageBreak/>
        <w:t xml:space="preserve">In Office, if string is not formatted </w:t>
      </w:r>
      <w:r>
        <w:t>using a number, currency, date, or time format, #VALUE! Is returned.</w:t>
      </w:r>
    </w:p>
    <w:p w:rsidR="00024C0A" w:rsidRDefault="00694C0F">
      <w:pPr>
        <w:pStyle w:val="Heading3"/>
      </w:pPr>
      <w:bookmarkStart w:id="2137" w:name="section_17cbd3caed7e49d781c4937496be200e"/>
      <w:bookmarkStart w:id="2138" w:name="_Toc12261129"/>
      <w:r>
        <w:t>Part 1 Section 18.17.7.338, VAR</w:t>
      </w:r>
      <w:bookmarkEnd w:id="2137"/>
      <w:bookmarkEnd w:id="2138"/>
      <w:r>
        <w:fldChar w:fldCharType="begin"/>
      </w:r>
      <w:r>
        <w:instrText xml:space="preserve"> XE "VAR" </w:instrText>
      </w:r>
      <w:r>
        <w:fldChar w:fldCharType="end"/>
      </w:r>
    </w:p>
    <w:p w:rsidR="00024C0A" w:rsidRDefault="00694C0F">
      <w:pPr>
        <w:pStyle w:val="Definition-Field"/>
      </w:pPr>
      <w:r>
        <w:t xml:space="preserve">a.   </w:t>
      </w:r>
      <w:r>
        <w:rPr>
          <w:i/>
        </w:rPr>
        <w:t>The standard does not specify what happens if sample size is less than or equal to 1.</w:t>
      </w:r>
    </w:p>
    <w:p w:rsidR="00024C0A" w:rsidRDefault="00694C0F">
      <w:pPr>
        <w:pStyle w:val="Definition-Field2"/>
      </w:pPr>
      <w:r>
        <w:t>Office returns #DIV/0! if sample size less than or e</w:t>
      </w:r>
      <w:r>
        <w:t>qual to 1.</w:t>
      </w:r>
    </w:p>
    <w:p w:rsidR="00024C0A" w:rsidRDefault="00694C0F">
      <w:pPr>
        <w:pStyle w:val="Definition-Field"/>
      </w:pPr>
      <w:r>
        <w:t xml:space="preserve">b.   </w:t>
      </w:r>
      <w:r>
        <w:rPr>
          <w:i/>
        </w:rPr>
        <w:t>The standard does not specify how function arguments map to formula variables.</w:t>
      </w:r>
    </w:p>
    <w:p w:rsidR="00024C0A" w:rsidRDefault="00694C0F">
      <w:pPr>
        <w:pStyle w:val="Definition-Field2"/>
      </w:pPr>
      <w:r>
        <w:t>Office maps x to a sample value, x-bar to AVERAGE(argument-1, argument-2,...,argument-n) and n to sample size.</w:t>
      </w:r>
    </w:p>
    <w:p w:rsidR="00024C0A" w:rsidRDefault="00694C0F">
      <w:pPr>
        <w:pStyle w:val="Heading3"/>
      </w:pPr>
      <w:bookmarkStart w:id="2139" w:name="section_679b42b683744f1d98b2948061f3b26a"/>
      <w:bookmarkStart w:id="2140" w:name="_Toc12261130"/>
      <w:r>
        <w:t>Part 1 Section 18.17.7.339, VARA</w:t>
      </w:r>
      <w:bookmarkEnd w:id="2139"/>
      <w:bookmarkEnd w:id="2140"/>
      <w:r>
        <w:fldChar w:fldCharType="begin"/>
      </w:r>
      <w:r>
        <w:instrText xml:space="preserve"> XE "VARA" </w:instrText>
      </w:r>
      <w:r>
        <w:fldChar w:fldCharType="end"/>
      </w:r>
    </w:p>
    <w:p w:rsidR="00024C0A" w:rsidRDefault="00694C0F">
      <w:pPr>
        <w:pStyle w:val="Definition-Field"/>
      </w:pPr>
      <w:r>
        <w:t xml:space="preserve">a.  </w:t>
      </w:r>
      <w:r>
        <w:t xml:space="preserve"> </w:t>
      </w:r>
      <w:r>
        <w:rPr>
          <w:i/>
        </w:rPr>
        <w:t>The standard does not specify what happens if sample size is less than or equal to 1.</w:t>
      </w:r>
    </w:p>
    <w:p w:rsidR="00024C0A" w:rsidRDefault="00694C0F">
      <w:pPr>
        <w:pStyle w:val="Definition-Field2"/>
      </w:pPr>
      <w:r>
        <w:t>Office returns #DIV/0! if sample size is less than or equal to 1.</w:t>
      </w:r>
    </w:p>
    <w:p w:rsidR="00024C0A" w:rsidRDefault="00694C0F">
      <w:pPr>
        <w:pStyle w:val="Definition-Field"/>
      </w:pPr>
      <w:r>
        <w:t xml:space="preserve">b.   </w:t>
      </w:r>
      <w:r>
        <w:rPr>
          <w:i/>
        </w:rPr>
        <w:t>The standard does not specify how function arguments map to formula variables.</w:t>
      </w:r>
    </w:p>
    <w:p w:rsidR="00024C0A" w:rsidRDefault="00694C0F">
      <w:pPr>
        <w:pStyle w:val="Definition-Field2"/>
      </w:pPr>
      <w:r>
        <w:t xml:space="preserve">Office maps x to a </w:t>
      </w:r>
      <w:r>
        <w:t>sample value, x-bar to AVERAGE(argument-1, argument-2,...,argument-n) and n to sample size.</w:t>
      </w:r>
    </w:p>
    <w:p w:rsidR="00024C0A" w:rsidRDefault="00694C0F">
      <w:pPr>
        <w:pStyle w:val="Heading3"/>
      </w:pPr>
      <w:bookmarkStart w:id="2141" w:name="section_cbed238b9f4444d6941aeec4f9e4dd4d"/>
      <w:bookmarkStart w:id="2142" w:name="_Toc12261131"/>
      <w:r>
        <w:t>Part 1 Section 18.17.7.340, VARP</w:t>
      </w:r>
      <w:bookmarkEnd w:id="2141"/>
      <w:bookmarkEnd w:id="2142"/>
      <w:r>
        <w:fldChar w:fldCharType="begin"/>
      </w:r>
      <w:r>
        <w:instrText xml:space="preserve"> XE "VARP" </w:instrText>
      </w:r>
      <w:r>
        <w:fldChar w:fldCharType="end"/>
      </w:r>
    </w:p>
    <w:p w:rsidR="00024C0A" w:rsidRDefault="00694C0F">
      <w:pPr>
        <w:pStyle w:val="Definition-Field"/>
      </w:pPr>
      <w:r>
        <w:t xml:space="preserve">a.   </w:t>
      </w:r>
      <w:r>
        <w:rPr>
          <w:i/>
        </w:rPr>
        <w:t>The standard does not specify what happens if population size is 0.</w:t>
      </w:r>
    </w:p>
    <w:p w:rsidR="00024C0A" w:rsidRDefault="00694C0F">
      <w:pPr>
        <w:pStyle w:val="Definition-Field2"/>
      </w:pPr>
      <w:r>
        <w:t xml:space="preserve">Office returns #DIV/0! if population size is </w:t>
      </w:r>
      <w:r>
        <w:t>0.</w:t>
      </w:r>
    </w:p>
    <w:p w:rsidR="00024C0A" w:rsidRDefault="00694C0F">
      <w:pPr>
        <w:pStyle w:val="Definition-Field"/>
      </w:pPr>
      <w:r>
        <w:t xml:space="preserve">b.   </w:t>
      </w:r>
      <w:r>
        <w:rPr>
          <w:i/>
        </w:rPr>
        <w:t>The standard does not specify how function arguments map to formula variables.</w:t>
      </w:r>
    </w:p>
    <w:p w:rsidR="00024C0A" w:rsidRDefault="00694C0F">
      <w:pPr>
        <w:pStyle w:val="Definition-Field2"/>
      </w:pPr>
      <w:r>
        <w:t>Office maps x to a population value, x-bar to AVERAGE(argument-1, argument-2,...,argument-n) and n to population size.</w:t>
      </w:r>
    </w:p>
    <w:p w:rsidR="00024C0A" w:rsidRDefault="00694C0F">
      <w:pPr>
        <w:pStyle w:val="Heading3"/>
      </w:pPr>
      <w:bookmarkStart w:id="2143" w:name="section_9fcbeb9f84674d9381ab8ce9c5270da0"/>
      <w:bookmarkStart w:id="2144" w:name="_Toc12261132"/>
      <w:r>
        <w:t>Part 1 Section 18.17.7.341, VARPA</w:t>
      </w:r>
      <w:bookmarkEnd w:id="2143"/>
      <w:bookmarkEnd w:id="2144"/>
      <w:r>
        <w:fldChar w:fldCharType="begin"/>
      </w:r>
      <w:r>
        <w:instrText xml:space="preserve"> XE "VARPA" </w:instrText>
      </w:r>
      <w:r>
        <w:fldChar w:fldCharType="end"/>
      </w:r>
    </w:p>
    <w:p w:rsidR="00024C0A" w:rsidRDefault="00694C0F">
      <w:pPr>
        <w:pStyle w:val="Definition-Field"/>
      </w:pPr>
      <w:r>
        <w:t>a.</w:t>
      </w:r>
      <w:r>
        <w:t xml:space="preserve">   </w:t>
      </w:r>
      <w:r>
        <w:rPr>
          <w:i/>
        </w:rPr>
        <w:t>The standard does not specify what happens if population size is 0.</w:t>
      </w:r>
    </w:p>
    <w:p w:rsidR="00024C0A" w:rsidRDefault="00694C0F">
      <w:pPr>
        <w:pStyle w:val="Definition-Field2"/>
      </w:pPr>
      <w:r>
        <w:t>Office returns #DIV/0! if population size is 0.</w:t>
      </w:r>
    </w:p>
    <w:p w:rsidR="00024C0A" w:rsidRDefault="00694C0F">
      <w:pPr>
        <w:pStyle w:val="Definition-Field"/>
      </w:pPr>
      <w:r>
        <w:t xml:space="preserve">b.   </w:t>
      </w:r>
      <w:r>
        <w:rPr>
          <w:i/>
        </w:rPr>
        <w:t>The standard does not specify how function arguments map to formula variables.</w:t>
      </w:r>
    </w:p>
    <w:p w:rsidR="00024C0A" w:rsidRDefault="00694C0F">
      <w:pPr>
        <w:pStyle w:val="Definition-Field2"/>
      </w:pPr>
      <w:r>
        <w:t xml:space="preserve">Office maps x to a population value, x-bar to </w:t>
      </w:r>
      <w:r>
        <w:t>AVERAGE(argument-1, argument-2,...,argument-n) and n to population size.</w:t>
      </w:r>
    </w:p>
    <w:p w:rsidR="00024C0A" w:rsidRDefault="00694C0F">
      <w:pPr>
        <w:pStyle w:val="Heading3"/>
      </w:pPr>
      <w:bookmarkStart w:id="2145" w:name="section_ffd66ea9f4964af2a3bb9bb2bbfde505"/>
      <w:bookmarkStart w:id="2146" w:name="_Toc12261133"/>
      <w:r>
        <w:t>Part 1 Section 18.17.7.342, VDB</w:t>
      </w:r>
      <w:bookmarkEnd w:id="2145"/>
      <w:bookmarkEnd w:id="2146"/>
      <w:r>
        <w:fldChar w:fldCharType="begin"/>
      </w:r>
      <w:r>
        <w:instrText xml:space="preserve"> XE "VDB" </w:instrText>
      </w:r>
      <w:r>
        <w:fldChar w:fldCharType="end"/>
      </w:r>
    </w:p>
    <w:p w:rsidR="00024C0A" w:rsidRDefault="00694C0F">
      <w:pPr>
        <w:pStyle w:val="Definition-Field"/>
      </w:pPr>
      <w:r>
        <w:t xml:space="preserve">a.   </w:t>
      </w:r>
      <w:r>
        <w:rPr>
          <w:i/>
        </w:rPr>
        <w:t>The standard does not define any restriction on the relationship between the arguments start-period and end-period.</w:t>
      </w:r>
    </w:p>
    <w:p w:rsidR="00024C0A" w:rsidRDefault="00694C0F">
      <w:pPr>
        <w:pStyle w:val="Definition-Field2"/>
      </w:pPr>
      <w:r>
        <w:t>In Office, if argu</w:t>
      </w:r>
      <w:r>
        <w:t>ment start-period &gt; argument end-period, #NUM! is returned.</w:t>
      </w:r>
    </w:p>
    <w:p w:rsidR="00024C0A" w:rsidRDefault="00694C0F">
      <w:pPr>
        <w:pStyle w:val="Definition-Field"/>
      </w:pPr>
      <w:r>
        <w:t xml:space="preserve">b.   </w:t>
      </w:r>
      <w:r>
        <w:rPr>
          <w:i/>
        </w:rPr>
        <w:t>The standard does not define any restriction on the relationship between the arguments end-period and life.</w:t>
      </w:r>
    </w:p>
    <w:p w:rsidR="00024C0A" w:rsidRDefault="00694C0F">
      <w:pPr>
        <w:pStyle w:val="Definition-Field2"/>
      </w:pPr>
      <w:r>
        <w:t>In Office, if argument end-period &gt; argument life, then #NUM! is returned.</w:t>
      </w:r>
    </w:p>
    <w:p w:rsidR="00024C0A" w:rsidRDefault="00694C0F">
      <w:pPr>
        <w:pStyle w:val="Definition-Field"/>
      </w:pPr>
      <w:r>
        <w:lastRenderedPageBreak/>
        <w:t xml:space="preserve">c.   </w:t>
      </w:r>
      <w:r>
        <w:rPr>
          <w:i/>
        </w:rPr>
        <w:t>The</w:t>
      </w:r>
      <w:r>
        <w:rPr>
          <w:i/>
        </w:rPr>
        <w:t xml:space="preserve"> standard does not define any restriction on the relationship between the arguments cost and salvage.</w:t>
      </w:r>
    </w:p>
    <w:p w:rsidR="00024C0A" w:rsidRDefault="00694C0F">
      <w:pPr>
        <w:pStyle w:val="Definition-Field2"/>
      </w:pPr>
      <w:r>
        <w:t>In Office, if argument cost is less than argument salvage, then 0 is returned.</w:t>
      </w:r>
    </w:p>
    <w:p w:rsidR="00024C0A" w:rsidRDefault="00694C0F">
      <w:pPr>
        <w:pStyle w:val="Heading3"/>
      </w:pPr>
      <w:bookmarkStart w:id="2147" w:name="section_f4941e4bd1ca43978593cf9367743447"/>
      <w:bookmarkStart w:id="2148" w:name="_Toc12261134"/>
      <w:r>
        <w:t>Part 1 Section 18.17.7.343, VLOOKUP</w:t>
      </w:r>
      <w:bookmarkEnd w:id="2147"/>
      <w:bookmarkEnd w:id="2148"/>
      <w:r>
        <w:fldChar w:fldCharType="begin"/>
      </w:r>
      <w:r>
        <w:instrText xml:space="preserve"> XE "VLOOKUP" </w:instrText>
      </w:r>
      <w:r>
        <w:fldChar w:fldCharType="end"/>
      </w:r>
    </w:p>
    <w:p w:rsidR="00024C0A" w:rsidRDefault="00694C0F">
      <w:pPr>
        <w:pStyle w:val="Definition-Field"/>
      </w:pPr>
      <w:r>
        <w:t xml:space="preserve">a.   </w:t>
      </w:r>
      <w:r>
        <w:rPr>
          <w:i/>
        </w:rPr>
        <w:t>The standard state</w:t>
      </w:r>
      <w:r>
        <w:rPr>
          <w:i/>
        </w:rPr>
        <w:t>s the values in the left-most column of table-array shall be placed in ascending order.</w:t>
      </w:r>
    </w:p>
    <w:p w:rsidR="00024C0A" w:rsidRDefault="00694C0F">
      <w:pPr>
        <w:pStyle w:val="Definition-Field2"/>
      </w:pPr>
      <w:r>
        <w:t>In Office, if range-lookup-flag is TRUE or omitted the values in the left-most column of table-array shall be placed in ascending order.</w:t>
      </w:r>
    </w:p>
    <w:p w:rsidR="00024C0A" w:rsidRDefault="00694C0F">
      <w:pPr>
        <w:pStyle w:val="Heading3"/>
      </w:pPr>
      <w:bookmarkStart w:id="2149" w:name="section_1ee2ed46bf004ca099e61c1af79d871d"/>
      <w:bookmarkStart w:id="2150" w:name="_Toc12261135"/>
      <w:r>
        <w:t>Part 1 Section 18.17.7.346, WEI</w:t>
      </w:r>
      <w:r>
        <w:t>BULL</w:t>
      </w:r>
      <w:bookmarkEnd w:id="2149"/>
      <w:bookmarkEnd w:id="2150"/>
      <w:r>
        <w:fldChar w:fldCharType="begin"/>
      </w:r>
      <w:r>
        <w:instrText xml:space="preserve"> XE "WEIBULL" </w:instrText>
      </w:r>
      <w:r>
        <w:fldChar w:fldCharType="end"/>
      </w:r>
    </w:p>
    <w:p w:rsidR="00024C0A" w:rsidRDefault="00694C0F">
      <w:pPr>
        <w:pStyle w:val="Definition-Field"/>
      </w:pPr>
      <w:r>
        <w:t xml:space="preserve">a.   </w:t>
      </w:r>
      <w:r>
        <w:rPr>
          <w:i/>
        </w:rPr>
        <w:t>The standard states that if argument cumulative-flag is TRUE, GAMMADIST returns the cumulative distribution function; if FALSE, it returns the probability density function.</w:t>
      </w:r>
    </w:p>
    <w:p w:rsidR="00024C0A" w:rsidRDefault="00694C0F">
      <w:pPr>
        <w:pStyle w:val="Definition-Field2"/>
      </w:pPr>
      <w:r>
        <w:t>In Office, if argument cumulative-flag is TRUE, WEIBULL r</w:t>
      </w:r>
      <w:r>
        <w:t>eturns the cumulative distribution function; if FALSE, it returns the probability density function.</w:t>
      </w:r>
    </w:p>
    <w:p w:rsidR="00024C0A" w:rsidRDefault="00694C0F">
      <w:pPr>
        <w:pStyle w:val="Heading3"/>
      </w:pPr>
      <w:bookmarkStart w:id="2151" w:name="section_98b8f687fb534181bca576f0d5fb0980"/>
      <w:bookmarkStart w:id="2152" w:name="_Toc12261136"/>
      <w:r>
        <w:t>Part 1 Section 18.17.7.347, WORKDAY</w:t>
      </w:r>
      <w:bookmarkEnd w:id="2151"/>
      <w:bookmarkEnd w:id="2152"/>
      <w:r>
        <w:fldChar w:fldCharType="begin"/>
      </w:r>
      <w:r>
        <w:instrText xml:space="preserve"> XE "WORKDAY" </w:instrText>
      </w:r>
      <w:r>
        <w:fldChar w:fldCharType="end"/>
      </w:r>
    </w:p>
    <w:p w:rsidR="00024C0A" w:rsidRDefault="00694C0F">
      <w:pPr>
        <w:pStyle w:val="Definition-Field"/>
      </w:pPr>
      <w:r>
        <w:t xml:space="preserve">a.   </w:t>
      </w:r>
      <w:r>
        <w:rPr>
          <w:i/>
        </w:rPr>
        <w:t>The standard states that #NUM! is returned if any date in argument holidays is out of range for the</w:t>
      </w:r>
      <w:r>
        <w:rPr>
          <w:i/>
        </w:rPr>
        <w:t xml:space="preserve"> current date base value.</w:t>
      </w:r>
    </w:p>
    <w:p w:rsidR="00024C0A" w:rsidRDefault="00694C0F">
      <w:pPr>
        <w:pStyle w:val="Definition-Field2"/>
      </w:pPr>
      <w:r>
        <w:t>Office returns #VALUE! if any date in argument holidays is out of range for the current date base value.</w:t>
      </w:r>
    </w:p>
    <w:p w:rsidR="00024C0A" w:rsidRDefault="00694C0F">
      <w:pPr>
        <w:pStyle w:val="Definition-Field"/>
      </w:pPr>
      <w:r>
        <w:t xml:space="preserve">b.   </w:t>
      </w:r>
      <w:r>
        <w:rPr>
          <w:i/>
        </w:rPr>
        <w:t>The standard does not declare which days are weekend days.</w:t>
      </w:r>
    </w:p>
    <w:p w:rsidR="00024C0A" w:rsidRDefault="00694C0F">
      <w:pPr>
        <w:pStyle w:val="Definition-Field2"/>
      </w:pPr>
      <w:r>
        <w:t>In Office the function considers Saturday and Sunday to be th</w:t>
      </w:r>
      <w:r>
        <w:t>e weekend days.</w:t>
      </w:r>
    </w:p>
    <w:p w:rsidR="00024C0A" w:rsidRDefault="00694C0F">
      <w:pPr>
        <w:pStyle w:val="Heading3"/>
      </w:pPr>
      <w:bookmarkStart w:id="2153" w:name="section_a003023ad1664c12821a703ac0870f7d"/>
      <w:bookmarkStart w:id="2154" w:name="_Toc12261137"/>
      <w:r>
        <w:t>Part 1 Section 18.17.7.349, XIRR</w:t>
      </w:r>
      <w:bookmarkEnd w:id="2153"/>
      <w:bookmarkEnd w:id="2154"/>
      <w:r>
        <w:fldChar w:fldCharType="begin"/>
      </w:r>
      <w:r>
        <w:instrText xml:space="preserve"> XE "XIRR" </w:instrText>
      </w:r>
      <w:r>
        <w:fldChar w:fldCharType="end"/>
      </w:r>
    </w:p>
    <w:p w:rsidR="00024C0A" w:rsidRDefault="00694C0F">
      <w:pPr>
        <w:pStyle w:val="Definition-Field"/>
      </w:pPr>
      <w:r>
        <w:t xml:space="preserve">a.   </w:t>
      </w:r>
      <w:r>
        <w:rPr>
          <w:i/>
        </w:rPr>
        <w:t>The standard specifies that an iterative technique is used for the implementation of this function.</w:t>
      </w:r>
    </w:p>
    <w:p w:rsidR="00024C0A" w:rsidRDefault="00694C0F">
      <w:pPr>
        <w:pStyle w:val="Definition-Field2"/>
      </w:pPr>
      <w:r>
        <w:t>Office does not require an iterative technique to be used.</w:t>
      </w:r>
    </w:p>
    <w:p w:rsidR="00024C0A" w:rsidRDefault="00694C0F">
      <w:pPr>
        <w:pStyle w:val="Definition-Field"/>
      </w:pPr>
      <w:r>
        <w:t xml:space="preserve">b.   </w:t>
      </w:r>
      <w:r>
        <w:rPr>
          <w:i/>
        </w:rPr>
        <w:t xml:space="preserve">The standard states that </w:t>
      </w:r>
      <w:r>
        <w:rPr>
          <w:i/>
        </w:rPr>
        <w:t>if any date in argument dates is out of range for the current date base value, #NUM! is returned.</w:t>
      </w:r>
    </w:p>
    <w:p w:rsidR="00024C0A" w:rsidRDefault="00694C0F">
      <w:pPr>
        <w:pStyle w:val="Definition-Field2"/>
      </w:pPr>
      <w:r>
        <w:t>In Office, if any date in argument dates is out of range for the current date base value, #VALUE! is returned.</w:t>
      </w:r>
    </w:p>
    <w:p w:rsidR="00024C0A" w:rsidRDefault="00694C0F">
      <w:pPr>
        <w:pStyle w:val="Definition-Field"/>
      </w:pPr>
      <w:r>
        <w:t xml:space="preserve">c.   </w:t>
      </w:r>
      <w:r>
        <w:rPr>
          <w:i/>
        </w:rPr>
        <w:t>The standard does not define any restricti</w:t>
      </w:r>
      <w:r>
        <w:rPr>
          <w:i/>
        </w:rPr>
        <w:t>on that argument values must contain one positive and one negative value.</w:t>
      </w:r>
    </w:p>
    <w:p w:rsidR="00024C0A" w:rsidRDefault="00694C0F">
      <w:pPr>
        <w:pStyle w:val="Definition-Field2"/>
      </w:pPr>
      <w:r>
        <w:t>In Office, if argument values do not contain at least one positive and one negative value, #NUM! is returned.</w:t>
      </w:r>
    </w:p>
    <w:p w:rsidR="00024C0A" w:rsidRDefault="00694C0F">
      <w:pPr>
        <w:pStyle w:val="Definition-Field"/>
      </w:pPr>
      <w:r>
        <w:t xml:space="preserve">d.   </w:t>
      </w:r>
      <w:r>
        <w:rPr>
          <w:i/>
        </w:rPr>
        <w:t>The standard states that if any date in argument dates precedes the</w:t>
      </w:r>
      <w:r>
        <w:rPr>
          <w:i/>
        </w:rPr>
        <w:t xml:space="preserve"> start date, #NUM! is returned.</w:t>
      </w:r>
    </w:p>
    <w:p w:rsidR="00024C0A" w:rsidRDefault="00694C0F">
      <w:pPr>
        <w:pStyle w:val="Definition-Field2"/>
      </w:pPr>
      <w:r>
        <w:t>In Office, dates in the argument dates can precede the start date.</w:t>
      </w:r>
    </w:p>
    <w:p w:rsidR="00024C0A" w:rsidRDefault="00694C0F">
      <w:pPr>
        <w:pStyle w:val="Heading3"/>
      </w:pPr>
      <w:bookmarkStart w:id="2155" w:name="section_9878cf828dc64790998a3f7e7763f58f"/>
      <w:bookmarkStart w:id="2156" w:name="_Toc12261138"/>
      <w:r>
        <w:lastRenderedPageBreak/>
        <w:t>Part 1 Section 18.17.7.350, XNPV</w:t>
      </w:r>
      <w:bookmarkEnd w:id="2155"/>
      <w:bookmarkEnd w:id="2156"/>
      <w:r>
        <w:fldChar w:fldCharType="begin"/>
      </w:r>
      <w:r>
        <w:instrText xml:space="preserve"> XE "XNPV" </w:instrText>
      </w:r>
      <w:r>
        <w:fldChar w:fldCharType="end"/>
      </w:r>
    </w:p>
    <w:p w:rsidR="00024C0A" w:rsidRDefault="00694C0F">
      <w:pPr>
        <w:pStyle w:val="Definition-Field"/>
      </w:pPr>
      <w:r>
        <w:t xml:space="preserve">a.   </w:t>
      </w:r>
      <w:r>
        <w:rPr>
          <w:i/>
        </w:rPr>
        <w:t>The standard does not define any restriction on the argument rate.</w:t>
      </w:r>
    </w:p>
    <w:p w:rsidR="00024C0A" w:rsidRDefault="00694C0F">
      <w:pPr>
        <w:pStyle w:val="Definition-Field2"/>
      </w:pPr>
      <w:r>
        <w:t>In Office, if rate ≤ 0, #NUM! is return</w:t>
      </w:r>
      <w:r>
        <w:t>ed.</w:t>
      </w:r>
    </w:p>
    <w:p w:rsidR="00024C0A" w:rsidRDefault="00694C0F">
      <w:pPr>
        <w:pStyle w:val="Heading3"/>
      </w:pPr>
      <w:bookmarkStart w:id="2157" w:name="section_603d48e1ab4648c395e0f9ce750d9623"/>
      <w:bookmarkStart w:id="2158" w:name="_Toc12261139"/>
      <w:r>
        <w:t>Part 1 Section 18.17.7.352, YEARFRAC</w:t>
      </w:r>
      <w:bookmarkEnd w:id="2157"/>
      <w:bookmarkEnd w:id="2158"/>
      <w:r>
        <w:fldChar w:fldCharType="begin"/>
      </w:r>
      <w:r>
        <w:instrText xml:space="preserve"> XE "YEARFRAC" </w:instrText>
      </w:r>
      <w:r>
        <w:fldChar w:fldCharType="end"/>
      </w:r>
    </w:p>
    <w:p w:rsidR="00024C0A" w:rsidRDefault="00694C0F">
      <w:pPr>
        <w:pStyle w:val="Definition-Field"/>
      </w:pPr>
      <w:r>
        <w:t xml:space="preserve">a.   </w:t>
      </w:r>
      <w:r>
        <w:rPr>
          <w:i/>
        </w:rPr>
        <w:t>The standard does not describe day and month adjustments for the argument basis.</w:t>
      </w:r>
    </w:p>
    <w:p w:rsidR="00024C0A" w:rsidRDefault="00694C0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Value</w:t>
            </w:r>
          </w:p>
        </w:tc>
        <w:tc>
          <w:tcPr>
            <w:tcW w:w="0" w:type="auto"/>
            <w:vAlign w:val="center"/>
          </w:tcPr>
          <w:p w:rsidR="00024C0A" w:rsidRDefault="00694C0F">
            <w:pPr>
              <w:pStyle w:val="TableHeaderText"/>
            </w:pPr>
            <w:r>
              <w:t>Day Count Basis</w:t>
            </w:r>
          </w:p>
        </w:tc>
      </w:tr>
      <w:tr w:rsidR="00024C0A" w:rsidTr="00024C0A">
        <w:tc>
          <w:tcPr>
            <w:tcW w:w="0" w:type="auto"/>
            <w:vAlign w:val="center"/>
          </w:tcPr>
          <w:p w:rsidR="00024C0A" w:rsidRDefault="00694C0F">
            <w:pPr>
              <w:pStyle w:val="TableBodyText"/>
            </w:pPr>
            <w:r>
              <w:rPr>
                <w:rStyle w:val="InlineCode"/>
              </w:rPr>
              <w:t>0</w:t>
            </w:r>
            <w:r>
              <w:t xml:space="preserve"> or omitted</w:t>
            </w:r>
          </w:p>
        </w:tc>
        <w:tc>
          <w:tcPr>
            <w:tcW w:w="0" w:type="auto"/>
            <w:vAlign w:val="center"/>
          </w:tcPr>
          <w:p w:rsidR="00024C0A" w:rsidRDefault="00694C0F">
            <w:pPr>
              <w:pStyle w:val="TableBodyText"/>
            </w:pPr>
            <w:r>
              <w:t>US (NASD) 30/360.Assumes that each month has 30 days and the total number of days in the year is 360 by making the following adjustments:</w:t>
            </w:r>
          </w:p>
          <w:p w:rsidR="00024C0A" w:rsidRDefault="00694C0F">
            <w:pPr>
              <w:pStyle w:val="ListParagraph"/>
              <w:numPr>
                <w:ilvl w:val="0"/>
                <w:numId w:val="116"/>
              </w:numPr>
            </w:pPr>
            <w:r>
              <w:t>If the date is 28 or 29 February, it is adjusted to 30 February.</w:t>
            </w:r>
          </w:p>
          <w:p w:rsidR="00024C0A" w:rsidRDefault="00694C0F">
            <w:pPr>
              <w:pStyle w:val="ListParagraph"/>
              <w:numPr>
                <w:ilvl w:val="0"/>
                <w:numId w:val="117"/>
              </w:numPr>
            </w:pPr>
            <w:r>
              <w:t xml:space="preserve">For months with </w:t>
            </w:r>
            <w:r>
              <w:t>31 days, all dates with a day value of 31 are changed to day 30, including situations where the first date is 28 or 29 February.</w:t>
            </w:r>
          </w:p>
        </w:tc>
      </w:tr>
      <w:tr w:rsidR="00024C0A" w:rsidTr="00024C0A">
        <w:tc>
          <w:tcPr>
            <w:tcW w:w="0" w:type="auto"/>
            <w:vAlign w:val="center"/>
          </w:tcPr>
          <w:p w:rsidR="00024C0A" w:rsidRDefault="00694C0F">
            <w:pPr>
              <w:pStyle w:val="TableBodyText"/>
            </w:pPr>
            <w:r>
              <w:rPr>
                <w:rStyle w:val="InlineCode"/>
              </w:rPr>
              <w:t>1</w:t>
            </w:r>
          </w:p>
        </w:tc>
        <w:tc>
          <w:tcPr>
            <w:tcW w:w="0" w:type="auto"/>
            <w:vAlign w:val="center"/>
          </w:tcPr>
          <w:p w:rsidR="00024C0A" w:rsidRDefault="00694C0F">
            <w:pPr>
              <w:pStyle w:val="TableBodyText"/>
            </w:pPr>
            <w:r>
              <w:t>Actual/actual. The actual number of days between the two dates are counted. If the date range includes the date 29 February,</w:t>
            </w:r>
            <w:r>
              <w:t xml:space="preserve"> the year is 366 days; otherwise it is 365 days.</w:t>
            </w:r>
          </w:p>
        </w:tc>
      </w:tr>
      <w:tr w:rsidR="00024C0A" w:rsidTr="00024C0A">
        <w:tc>
          <w:tcPr>
            <w:tcW w:w="0" w:type="auto"/>
            <w:vAlign w:val="center"/>
          </w:tcPr>
          <w:p w:rsidR="00024C0A" w:rsidRDefault="00694C0F">
            <w:pPr>
              <w:pStyle w:val="TableBodyText"/>
            </w:pPr>
            <w:r>
              <w:rPr>
                <w:rStyle w:val="InlineCode"/>
              </w:rPr>
              <w:t>2</w:t>
            </w:r>
          </w:p>
        </w:tc>
        <w:tc>
          <w:tcPr>
            <w:tcW w:w="0" w:type="auto"/>
            <w:vAlign w:val="center"/>
          </w:tcPr>
          <w:p w:rsidR="00024C0A" w:rsidRDefault="00694C0F">
            <w:pPr>
              <w:pStyle w:val="TableBodyText"/>
            </w:pPr>
            <w:r>
              <w:t>Actual/360. Similar to Basis 1, but only has 360 days per year.</w:t>
            </w:r>
          </w:p>
        </w:tc>
      </w:tr>
      <w:tr w:rsidR="00024C0A" w:rsidTr="00024C0A">
        <w:tc>
          <w:tcPr>
            <w:tcW w:w="0" w:type="auto"/>
            <w:vAlign w:val="center"/>
          </w:tcPr>
          <w:p w:rsidR="00024C0A" w:rsidRDefault="00694C0F">
            <w:pPr>
              <w:pStyle w:val="TableBodyText"/>
            </w:pPr>
            <w:r>
              <w:rPr>
                <w:rStyle w:val="InlineCode"/>
              </w:rPr>
              <w:t>3</w:t>
            </w:r>
          </w:p>
        </w:tc>
        <w:tc>
          <w:tcPr>
            <w:tcW w:w="0" w:type="auto"/>
            <w:vAlign w:val="center"/>
          </w:tcPr>
          <w:p w:rsidR="00024C0A" w:rsidRDefault="00694C0F">
            <w:pPr>
              <w:pStyle w:val="TableBodyText"/>
            </w:pPr>
            <w:r>
              <w:t>Actual/365. Similar to Basis 1, but always has 365 days per year.</w:t>
            </w:r>
          </w:p>
        </w:tc>
      </w:tr>
      <w:tr w:rsidR="00024C0A" w:rsidTr="00024C0A">
        <w:tc>
          <w:tcPr>
            <w:tcW w:w="0" w:type="auto"/>
            <w:vAlign w:val="center"/>
          </w:tcPr>
          <w:p w:rsidR="00024C0A" w:rsidRDefault="00694C0F">
            <w:pPr>
              <w:pStyle w:val="TableBodyText"/>
            </w:pPr>
            <w:r>
              <w:rPr>
                <w:rStyle w:val="InlineCode"/>
              </w:rPr>
              <w:t>4</w:t>
            </w:r>
          </w:p>
        </w:tc>
        <w:tc>
          <w:tcPr>
            <w:tcW w:w="0" w:type="auto"/>
            <w:vAlign w:val="center"/>
          </w:tcPr>
          <w:p w:rsidR="00024C0A" w:rsidRDefault="00694C0F">
            <w:pPr>
              <w:pStyle w:val="TableBodyText"/>
            </w:pPr>
            <w:r>
              <w:t>European 30/360. The European method for adjusting day counts. Assum</w:t>
            </w:r>
            <w:r>
              <w:t>es that each month has 30 days and the total number of days in the year is 360 by making the following adjustments:</w:t>
            </w:r>
          </w:p>
          <w:p w:rsidR="00024C0A" w:rsidRDefault="00694C0F">
            <w:pPr>
              <w:pStyle w:val="TableBodyText"/>
            </w:pPr>
            <w:r>
              <w:t>If the date is 28 or 29 February, it is adjusted to 30 February.</w:t>
            </w:r>
          </w:p>
          <w:p w:rsidR="00024C0A" w:rsidRDefault="00694C0F">
            <w:pPr>
              <w:pStyle w:val="TableBodyText"/>
            </w:pPr>
            <w:r>
              <w:t>For months with 31 days, all dates with a day value of 31 are changed to da</w:t>
            </w:r>
            <w:r>
              <w:t>y 30, including situations where the first date is 28 or 29 February.</w:t>
            </w:r>
          </w:p>
        </w:tc>
      </w:tr>
    </w:tbl>
    <w:p w:rsidR="00024C0A" w:rsidRDefault="00024C0A"/>
    <w:p w:rsidR="00024C0A" w:rsidRDefault="00694C0F">
      <w:pPr>
        <w:pStyle w:val="Definition-Field"/>
      </w:pPr>
      <w:r>
        <w:t xml:space="preserve">b.   </w:t>
      </w:r>
      <w:r>
        <w:rPr>
          <w:i/>
        </w:rPr>
        <w:t>The standard lists day-count-basis as one of the function's arguments.</w:t>
      </w:r>
    </w:p>
    <w:p w:rsidR="00024C0A" w:rsidRDefault="00694C0F">
      <w:pPr>
        <w:pStyle w:val="Definition-Field2"/>
      </w:pPr>
      <w:r>
        <w:t>In Excel, the function does not take a day-count-basis argument.</w:t>
      </w:r>
    </w:p>
    <w:p w:rsidR="00024C0A" w:rsidRDefault="00694C0F">
      <w:pPr>
        <w:pStyle w:val="Definition-Field"/>
      </w:pPr>
      <w:r>
        <w:t xml:space="preserve">c.   </w:t>
      </w:r>
      <w:r>
        <w:rPr>
          <w:i/>
        </w:rPr>
        <w:t>The standard does not specify any rest</w:t>
      </w:r>
      <w:r>
        <w:rPr>
          <w:i/>
        </w:rPr>
        <w:t>rictions on arguments start-date or end-date.</w:t>
      </w:r>
    </w:p>
    <w:p w:rsidR="00024C0A" w:rsidRDefault="00694C0F">
      <w:pPr>
        <w:pStyle w:val="Definition-Field2"/>
      </w:pPr>
      <w:r>
        <w:t>Office returns #NUM! if arguments start-date or end-date is out of range for the current date base value.</w:t>
      </w:r>
    </w:p>
    <w:p w:rsidR="00024C0A" w:rsidRDefault="00694C0F">
      <w:pPr>
        <w:pStyle w:val="Definition-Field"/>
      </w:pPr>
      <w:r>
        <w:t xml:space="preserve">d.   </w:t>
      </w:r>
      <w:r>
        <w:rPr>
          <w:i/>
        </w:rPr>
        <w:t>The standard does not describe year length adjustments when argument basis is Actual/actual.</w:t>
      </w:r>
    </w:p>
    <w:p w:rsidR="00024C0A" w:rsidRDefault="00694C0F">
      <w:pPr>
        <w:pStyle w:val="Definition-Field2"/>
      </w:pPr>
      <w:r>
        <w:t xml:space="preserve">In </w:t>
      </w:r>
      <w:r>
        <w:t>Office, if the argument basis is Actual/actual, the year length used is the average length of the years that the range crosses, regardless of where arguments start-date and end-date fall in their respective years.</w:t>
      </w:r>
    </w:p>
    <w:p w:rsidR="00024C0A" w:rsidRDefault="00694C0F">
      <w:pPr>
        <w:pStyle w:val="Heading3"/>
      </w:pPr>
      <w:bookmarkStart w:id="2159" w:name="section_1f5b7d6fe6514fc1b89a6fc80241afa5"/>
      <w:bookmarkStart w:id="2160" w:name="_Toc12261140"/>
      <w:r>
        <w:t>Part 1 Section 18.17.7.353, YIELD</w:t>
      </w:r>
      <w:bookmarkEnd w:id="2159"/>
      <w:bookmarkEnd w:id="2160"/>
      <w:r>
        <w:fldChar w:fldCharType="begin"/>
      </w:r>
      <w:r>
        <w:instrText xml:space="preserve"> XE "YIEL</w:instrText>
      </w:r>
      <w:r>
        <w:instrText xml:space="preserve">D" </w:instrText>
      </w:r>
      <w:r>
        <w:fldChar w:fldCharType="end"/>
      </w:r>
    </w:p>
    <w:p w:rsidR="00024C0A" w:rsidRDefault="00694C0F">
      <w:pPr>
        <w:pStyle w:val="Definition-Field"/>
      </w:pPr>
      <w:r>
        <w:t xml:space="preserve">a.   </w:t>
      </w:r>
      <w:r>
        <w:rPr>
          <w:i/>
        </w:rPr>
        <w:t>The standard does not describe day and month adjustments.</w:t>
      </w:r>
    </w:p>
    <w:p w:rsidR="00024C0A" w:rsidRDefault="00694C0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lastRenderedPageBreak/>
              <w:t>Value</w:t>
            </w:r>
          </w:p>
        </w:tc>
        <w:tc>
          <w:tcPr>
            <w:tcW w:w="0" w:type="auto"/>
            <w:vAlign w:val="center"/>
          </w:tcPr>
          <w:p w:rsidR="00024C0A" w:rsidRDefault="00694C0F">
            <w:pPr>
              <w:pStyle w:val="TableHeaderText"/>
            </w:pPr>
            <w:r>
              <w:t>Day Count Basis</w:t>
            </w:r>
          </w:p>
        </w:tc>
      </w:tr>
      <w:tr w:rsidR="00024C0A" w:rsidTr="00024C0A">
        <w:tc>
          <w:tcPr>
            <w:tcW w:w="0" w:type="auto"/>
            <w:vAlign w:val="center"/>
          </w:tcPr>
          <w:p w:rsidR="00024C0A" w:rsidRDefault="00694C0F">
            <w:pPr>
              <w:pStyle w:val="TableBodyText"/>
            </w:pPr>
            <w:r>
              <w:rPr>
                <w:rStyle w:val="InlineCode"/>
              </w:rPr>
              <w:t>0</w:t>
            </w:r>
            <w:r>
              <w:t xml:space="preserve"> or omitted</w:t>
            </w:r>
          </w:p>
        </w:tc>
        <w:tc>
          <w:tcPr>
            <w:tcW w:w="0" w:type="auto"/>
            <w:vAlign w:val="center"/>
          </w:tcPr>
          <w:p w:rsidR="00024C0A" w:rsidRDefault="00694C0F">
            <w:pPr>
              <w:pStyle w:val="TableBodyText"/>
            </w:pPr>
            <w:r>
              <w:t>US (NASD) 30/360.Assumes that each month has 3</w:t>
            </w:r>
            <w:r>
              <w:t>0 days and the total number of days in the year is 360 by making the following adjustments:</w:t>
            </w:r>
          </w:p>
          <w:p w:rsidR="00024C0A" w:rsidRDefault="00694C0F">
            <w:pPr>
              <w:pStyle w:val="ListParagraph"/>
              <w:numPr>
                <w:ilvl w:val="0"/>
                <w:numId w:val="118"/>
              </w:numPr>
            </w:pPr>
            <w:r>
              <w:t>If the date is 28 or 29 February, it is adjusted to 30 February.</w:t>
            </w:r>
          </w:p>
          <w:p w:rsidR="00024C0A" w:rsidRDefault="00694C0F">
            <w:pPr>
              <w:pStyle w:val="ListParagraph"/>
              <w:numPr>
                <w:ilvl w:val="0"/>
                <w:numId w:val="119"/>
              </w:numPr>
            </w:pPr>
            <w:r>
              <w:t>For months with 31 days, all dates with a day value of 31 are changed to day 30, including situatio</w:t>
            </w:r>
            <w:r>
              <w:t>ns where the first date is 28 or 29 February.</w:t>
            </w:r>
          </w:p>
        </w:tc>
      </w:tr>
      <w:tr w:rsidR="00024C0A" w:rsidTr="00024C0A">
        <w:tc>
          <w:tcPr>
            <w:tcW w:w="0" w:type="auto"/>
            <w:vAlign w:val="center"/>
          </w:tcPr>
          <w:p w:rsidR="00024C0A" w:rsidRDefault="00694C0F">
            <w:pPr>
              <w:pStyle w:val="TableBodyText"/>
            </w:pPr>
            <w:r>
              <w:rPr>
                <w:rStyle w:val="InlineCode"/>
              </w:rPr>
              <w:t>1</w:t>
            </w:r>
          </w:p>
        </w:tc>
        <w:tc>
          <w:tcPr>
            <w:tcW w:w="0" w:type="auto"/>
            <w:vAlign w:val="center"/>
          </w:tcPr>
          <w:p w:rsidR="00024C0A" w:rsidRDefault="00694C0F">
            <w:pPr>
              <w:pStyle w:val="TableBodyText"/>
            </w:pPr>
            <w:r>
              <w:t>Actual/actual. The actual number of days between the two dates are counted. If the date range includes the date 29 February, the year is 366 days; otherwise it is 365 days.</w:t>
            </w:r>
          </w:p>
        </w:tc>
      </w:tr>
      <w:tr w:rsidR="00024C0A" w:rsidTr="00024C0A">
        <w:tc>
          <w:tcPr>
            <w:tcW w:w="0" w:type="auto"/>
            <w:vAlign w:val="center"/>
          </w:tcPr>
          <w:p w:rsidR="00024C0A" w:rsidRDefault="00694C0F">
            <w:pPr>
              <w:pStyle w:val="TableBodyText"/>
            </w:pPr>
            <w:r>
              <w:rPr>
                <w:rStyle w:val="InlineCode"/>
              </w:rPr>
              <w:t>2</w:t>
            </w:r>
          </w:p>
        </w:tc>
        <w:tc>
          <w:tcPr>
            <w:tcW w:w="0" w:type="auto"/>
            <w:vAlign w:val="center"/>
          </w:tcPr>
          <w:p w:rsidR="00024C0A" w:rsidRDefault="00694C0F">
            <w:pPr>
              <w:pStyle w:val="TableBodyText"/>
            </w:pPr>
            <w:r>
              <w:t>Actual/360. Similar to Basis 1,</w:t>
            </w:r>
            <w:r>
              <w:t xml:space="preserve"> but only has 360 days per year.</w:t>
            </w:r>
          </w:p>
        </w:tc>
      </w:tr>
      <w:tr w:rsidR="00024C0A" w:rsidTr="00024C0A">
        <w:tc>
          <w:tcPr>
            <w:tcW w:w="0" w:type="auto"/>
            <w:vAlign w:val="center"/>
          </w:tcPr>
          <w:p w:rsidR="00024C0A" w:rsidRDefault="00694C0F">
            <w:pPr>
              <w:pStyle w:val="TableBodyText"/>
            </w:pPr>
            <w:r>
              <w:rPr>
                <w:rStyle w:val="InlineCode"/>
              </w:rPr>
              <w:t>3</w:t>
            </w:r>
          </w:p>
        </w:tc>
        <w:tc>
          <w:tcPr>
            <w:tcW w:w="0" w:type="auto"/>
            <w:vAlign w:val="center"/>
          </w:tcPr>
          <w:p w:rsidR="00024C0A" w:rsidRDefault="00694C0F">
            <w:pPr>
              <w:pStyle w:val="TableBodyText"/>
            </w:pPr>
            <w:r>
              <w:t>Actual/365. Similar to Basis 1, but always has 365 days per year.</w:t>
            </w:r>
          </w:p>
        </w:tc>
      </w:tr>
      <w:tr w:rsidR="00024C0A" w:rsidTr="00024C0A">
        <w:tc>
          <w:tcPr>
            <w:tcW w:w="0" w:type="auto"/>
            <w:vAlign w:val="center"/>
          </w:tcPr>
          <w:p w:rsidR="00024C0A" w:rsidRDefault="00694C0F">
            <w:pPr>
              <w:pStyle w:val="TableBodyText"/>
            </w:pPr>
            <w:r>
              <w:rPr>
                <w:rStyle w:val="InlineCode"/>
              </w:rPr>
              <w:t>4</w:t>
            </w:r>
          </w:p>
        </w:tc>
        <w:tc>
          <w:tcPr>
            <w:tcW w:w="0" w:type="auto"/>
            <w:vAlign w:val="center"/>
          </w:tcPr>
          <w:p w:rsidR="00024C0A" w:rsidRDefault="00694C0F">
            <w:pPr>
              <w:pStyle w:val="TableBodyText"/>
            </w:pPr>
            <w:r>
              <w:t>European 30/360. The European method for adjusting day counts. Assumes that each month has 30 days and the total number of days in the year is 360 by m</w:t>
            </w:r>
            <w:r>
              <w:t>aking the following adjustments:</w:t>
            </w:r>
          </w:p>
          <w:p w:rsidR="00024C0A" w:rsidRDefault="00694C0F">
            <w:pPr>
              <w:pStyle w:val="TableBodyText"/>
            </w:pPr>
            <w:r>
              <w:t>If the date is 28 or 29 February, it is adjusted to 30 February.</w:t>
            </w:r>
          </w:p>
          <w:p w:rsidR="00024C0A" w:rsidRDefault="00694C0F">
            <w:pPr>
              <w:pStyle w:val="TableBodyText"/>
            </w:pPr>
            <w:r>
              <w:t>For months with 31 days, all dates with a day value of 31 are changed to day 30, including situations where the first date is 28 or 29 February.</w:t>
            </w:r>
          </w:p>
        </w:tc>
      </w:tr>
    </w:tbl>
    <w:p w:rsidR="00024C0A" w:rsidRDefault="00024C0A"/>
    <w:p w:rsidR="00024C0A" w:rsidRDefault="00694C0F">
      <w:pPr>
        <w:pStyle w:val="Definition-Field"/>
      </w:pPr>
      <w:r>
        <w:t xml:space="preserve">b.   </w:t>
      </w:r>
      <w:r>
        <w:rPr>
          <w:i/>
        </w:rPr>
        <w:t xml:space="preserve">The </w:t>
      </w:r>
      <w:r>
        <w:rPr>
          <w:i/>
        </w:rPr>
        <w:t>standard states that the redemption argument is the security's redemption value per $100 face value.</w:t>
      </w:r>
    </w:p>
    <w:p w:rsidR="00024C0A" w:rsidRDefault="00694C0F">
      <w:pPr>
        <w:pStyle w:val="Definition-Field2"/>
      </w:pPr>
      <w:r>
        <w:t>In Office the redemption argument is the security's redemption value per 100 currency units face value.</w:t>
      </w:r>
    </w:p>
    <w:p w:rsidR="00024C0A" w:rsidRDefault="00694C0F">
      <w:pPr>
        <w:pStyle w:val="Definition-Field"/>
      </w:pPr>
      <w:r>
        <w:t xml:space="preserve">c.   </w:t>
      </w:r>
      <w:r>
        <w:rPr>
          <w:i/>
        </w:rPr>
        <w:t xml:space="preserve">The standard describes the argument pr as the </w:t>
      </w:r>
      <w:r>
        <w:rPr>
          <w:i/>
        </w:rPr>
        <w:t>security's price.</w:t>
      </w:r>
    </w:p>
    <w:p w:rsidR="00024C0A" w:rsidRDefault="00694C0F">
      <w:pPr>
        <w:pStyle w:val="Definition-Field2"/>
      </w:pPr>
      <w:r>
        <w:t>In Office, the argument pr is the security's price per 100 currency units face value.</w:t>
      </w:r>
    </w:p>
    <w:p w:rsidR="00024C0A" w:rsidRDefault="00694C0F">
      <w:pPr>
        <w:pStyle w:val="Definition-Field"/>
      </w:pPr>
      <w:r>
        <w:t xml:space="preserve">d.   </w:t>
      </w:r>
      <w:r>
        <w:rPr>
          <w:i/>
        </w:rPr>
        <w:t>The standard describes the argument rate as the security's interest rate.</w:t>
      </w:r>
    </w:p>
    <w:p w:rsidR="00024C0A" w:rsidRDefault="00694C0F">
      <w:pPr>
        <w:pStyle w:val="Definition-Field2"/>
      </w:pPr>
      <w:r>
        <w:t>In Office, the argument rate is the security's annual coupon rate.</w:t>
      </w:r>
    </w:p>
    <w:p w:rsidR="00024C0A" w:rsidRDefault="00694C0F">
      <w:pPr>
        <w:pStyle w:val="Heading3"/>
      </w:pPr>
      <w:bookmarkStart w:id="2161" w:name="section_652fb537a84b47869554d8624ce0d4a5"/>
      <w:bookmarkStart w:id="2162" w:name="_Toc12261141"/>
      <w:r>
        <w:t>Part 1</w:t>
      </w:r>
      <w:r>
        <w:t xml:space="preserve"> Section 18.17.7.354, YIELDDISC</w:t>
      </w:r>
      <w:bookmarkEnd w:id="2161"/>
      <w:bookmarkEnd w:id="2162"/>
      <w:r>
        <w:fldChar w:fldCharType="begin"/>
      </w:r>
      <w:r>
        <w:instrText xml:space="preserve"> XE "YIELDDISC" </w:instrText>
      </w:r>
      <w:r>
        <w:fldChar w:fldCharType="end"/>
      </w:r>
    </w:p>
    <w:p w:rsidR="00024C0A" w:rsidRDefault="00694C0F">
      <w:pPr>
        <w:pStyle w:val="Definition-Field"/>
      </w:pPr>
      <w:r>
        <w:t xml:space="preserve">a.   </w:t>
      </w:r>
      <w:r>
        <w:rPr>
          <w:i/>
        </w:rPr>
        <w:t>The standard does not describe day and month adjustments.</w:t>
      </w:r>
    </w:p>
    <w:p w:rsidR="00024C0A" w:rsidRDefault="00694C0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Value</w:t>
            </w:r>
          </w:p>
        </w:tc>
        <w:tc>
          <w:tcPr>
            <w:tcW w:w="0" w:type="auto"/>
            <w:vAlign w:val="center"/>
          </w:tcPr>
          <w:p w:rsidR="00024C0A" w:rsidRDefault="00694C0F">
            <w:pPr>
              <w:pStyle w:val="TableHeaderText"/>
            </w:pPr>
            <w:r>
              <w:t>Day Count Basis</w:t>
            </w:r>
          </w:p>
        </w:tc>
      </w:tr>
      <w:tr w:rsidR="00024C0A" w:rsidTr="00024C0A">
        <w:tc>
          <w:tcPr>
            <w:tcW w:w="0" w:type="auto"/>
            <w:vAlign w:val="center"/>
          </w:tcPr>
          <w:p w:rsidR="00024C0A" w:rsidRDefault="00694C0F">
            <w:pPr>
              <w:pStyle w:val="TableBodyText"/>
            </w:pPr>
            <w:r>
              <w:rPr>
                <w:rStyle w:val="InlineCode"/>
              </w:rPr>
              <w:t>0</w:t>
            </w:r>
            <w:r>
              <w:t xml:space="preserve"> or omitted</w:t>
            </w:r>
          </w:p>
        </w:tc>
        <w:tc>
          <w:tcPr>
            <w:tcW w:w="0" w:type="auto"/>
            <w:vAlign w:val="center"/>
          </w:tcPr>
          <w:p w:rsidR="00024C0A" w:rsidRDefault="00694C0F">
            <w:pPr>
              <w:pStyle w:val="TableBodyText"/>
            </w:pPr>
            <w:r>
              <w:t>US</w:t>
            </w:r>
            <w:r>
              <w:t xml:space="preserve"> (NASD) 30/360.Assumes that each month has 30 days and the total number of days in the year is 360 by making the following adjustments:</w:t>
            </w:r>
          </w:p>
          <w:p w:rsidR="00024C0A" w:rsidRDefault="00694C0F">
            <w:pPr>
              <w:pStyle w:val="ListParagraph"/>
              <w:numPr>
                <w:ilvl w:val="0"/>
                <w:numId w:val="120"/>
              </w:numPr>
            </w:pPr>
            <w:r>
              <w:t>If the date is 28 or 29 February, it is adjusted to 30 February.</w:t>
            </w:r>
          </w:p>
          <w:p w:rsidR="00024C0A" w:rsidRDefault="00694C0F">
            <w:pPr>
              <w:pStyle w:val="ListParagraph"/>
              <w:numPr>
                <w:ilvl w:val="0"/>
                <w:numId w:val="121"/>
              </w:numPr>
            </w:pPr>
            <w:r>
              <w:t>For months with 31 days, all dates with a day value of </w:t>
            </w:r>
            <w:r>
              <w:t>31 are changed to day 30, including situations where the first date is 28 or 29 February.</w:t>
            </w:r>
          </w:p>
        </w:tc>
      </w:tr>
      <w:tr w:rsidR="00024C0A" w:rsidTr="00024C0A">
        <w:tc>
          <w:tcPr>
            <w:tcW w:w="0" w:type="auto"/>
            <w:vAlign w:val="center"/>
          </w:tcPr>
          <w:p w:rsidR="00024C0A" w:rsidRDefault="00694C0F">
            <w:pPr>
              <w:pStyle w:val="TableBodyText"/>
            </w:pPr>
            <w:r>
              <w:rPr>
                <w:rStyle w:val="InlineCode"/>
              </w:rPr>
              <w:t>1</w:t>
            </w:r>
          </w:p>
        </w:tc>
        <w:tc>
          <w:tcPr>
            <w:tcW w:w="0" w:type="auto"/>
            <w:vAlign w:val="center"/>
          </w:tcPr>
          <w:p w:rsidR="00024C0A" w:rsidRDefault="00694C0F">
            <w:pPr>
              <w:pStyle w:val="TableBodyText"/>
            </w:pPr>
            <w:r>
              <w:t xml:space="preserve">Actual/actual. The actual number of days between the two dates are counted. If the date range includes the date 29 February, the year is 366 days; otherwise it is </w:t>
            </w:r>
            <w:r>
              <w:t>365 days.</w:t>
            </w:r>
          </w:p>
        </w:tc>
      </w:tr>
      <w:tr w:rsidR="00024C0A" w:rsidTr="00024C0A">
        <w:tc>
          <w:tcPr>
            <w:tcW w:w="0" w:type="auto"/>
            <w:vAlign w:val="center"/>
          </w:tcPr>
          <w:p w:rsidR="00024C0A" w:rsidRDefault="00694C0F">
            <w:pPr>
              <w:pStyle w:val="TableBodyText"/>
            </w:pPr>
            <w:r>
              <w:rPr>
                <w:rStyle w:val="InlineCode"/>
              </w:rPr>
              <w:t>2</w:t>
            </w:r>
          </w:p>
        </w:tc>
        <w:tc>
          <w:tcPr>
            <w:tcW w:w="0" w:type="auto"/>
            <w:vAlign w:val="center"/>
          </w:tcPr>
          <w:p w:rsidR="00024C0A" w:rsidRDefault="00694C0F">
            <w:pPr>
              <w:pStyle w:val="TableBodyText"/>
            </w:pPr>
            <w:r>
              <w:t>Actual/360. Similar to Basis 1, but only has 360 days per year.</w:t>
            </w:r>
          </w:p>
        </w:tc>
      </w:tr>
      <w:tr w:rsidR="00024C0A" w:rsidTr="00024C0A">
        <w:tc>
          <w:tcPr>
            <w:tcW w:w="0" w:type="auto"/>
            <w:vAlign w:val="center"/>
          </w:tcPr>
          <w:p w:rsidR="00024C0A" w:rsidRDefault="00694C0F">
            <w:pPr>
              <w:pStyle w:val="TableBodyText"/>
            </w:pPr>
            <w:r>
              <w:rPr>
                <w:rStyle w:val="InlineCode"/>
              </w:rPr>
              <w:lastRenderedPageBreak/>
              <w:t>3</w:t>
            </w:r>
          </w:p>
        </w:tc>
        <w:tc>
          <w:tcPr>
            <w:tcW w:w="0" w:type="auto"/>
            <w:vAlign w:val="center"/>
          </w:tcPr>
          <w:p w:rsidR="00024C0A" w:rsidRDefault="00694C0F">
            <w:pPr>
              <w:pStyle w:val="TableBodyText"/>
            </w:pPr>
            <w:r>
              <w:t>Actual/365. Similar to Basis 1, but always has 365 days per year.</w:t>
            </w:r>
          </w:p>
        </w:tc>
      </w:tr>
      <w:tr w:rsidR="00024C0A" w:rsidTr="00024C0A">
        <w:tc>
          <w:tcPr>
            <w:tcW w:w="0" w:type="auto"/>
            <w:vAlign w:val="center"/>
          </w:tcPr>
          <w:p w:rsidR="00024C0A" w:rsidRDefault="00694C0F">
            <w:pPr>
              <w:pStyle w:val="TableBodyText"/>
            </w:pPr>
            <w:r>
              <w:rPr>
                <w:rStyle w:val="InlineCode"/>
              </w:rPr>
              <w:t>4</w:t>
            </w:r>
          </w:p>
        </w:tc>
        <w:tc>
          <w:tcPr>
            <w:tcW w:w="0" w:type="auto"/>
            <w:vAlign w:val="center"/>
          </w:tcPr>
          <w:p w:rsidR="00024C0A" w:rsidRDefault="00694C0F">
            <w:pPr>
              <w:pStyle w:val="TableBodyText"/>
            </w:pPr>
            <w:r>
              <w:t xml:space="preserve">European 30/360. The European method for adjusting day counts. Assumes that each month has 30 days and the </w:t>
            </w:r>
            <w:r>
              <w:t>total number of days in the year is 360 by making the following adjustments:</w:t>
            </w:r>
          </w:p>
          <w:p w:rsidR="00024C0A" w:rsidRDefault="00694C0F">
            <w:pPr>
              <w:pStyle w:val="TableBodyText"/>
            </w:pPr>
            <w:r>
              <w:t>If the date is 28 or 29 February, it is adjusted to 30 February.</w:t>
            </w:r>
          </w:p>
          <w:p w:rsidR="00024C0A" w:rsidRDefault="00694C0F">
            <w:pPr>
              <w:pStyle w:val="TableBodyText"/>
            </w:pPr>
            <w:r>
              <w:t>For months with 31 days, all dates with a day value of 31 are changed to day 30, including situations where the fi</w:t>
            </w:r>
            <w:r>
              <w:t>rst date is 28 or 29 February.</w:t>
            </w:r>
          </w:p>
        </w:tc>
      </w:tr>
    </w:tbl>
    <w:p w:rsidR="00024C0A" w:rsidRDefault="00024C0A"/>
    <w:p w:rsidR="00024C0A" w:rsidRDefault="00694C0F">
      <w:pPr>
        <w:pStyle w:val="Definition-Field"/>
      </w:pPr>
      <w:r>
        <w:t xml:space="preserve">b.   </w:t>
      </w:r>
      <w:r>
        <w:rPr>
          <w:i/>
        </w:rPr>
        <w:t>The standard states that the redemption argument is the security's redemption value per $100 face value.</w:t>
      </w:r>
    </w:p>
    <w:p w:rsidR="00024C0A" w:rsidRDefault="00694C0F">
      <w:pPr>
        <w:pStyle w:val="Definition-Field2"/>
      </w:pPr>
      <w:r>
        <w:t>In Office, the redemption argument is the security's redemption value per 100 currency units face value.</w:t>
      </w:r>
    </w:p>
    <w:p w:rsidR="00024C0A" w:rsidRDefault="00694C0F">
      <w:pPr>
        <w:pStyle w:val="Definition-Field"/>
      </w:pPr>
      <w:r>
        <w:t xml:space="preserve">c.   </w:t>
      </w:r>
      <w:r>
        <w:rPr>
          <w:i/>
        </w:rPr>
        <w:t>The</w:t>
      </w:r>
      <w:r>
        <w:rPr>
          <w:i/>
        </w:rPr>
        <w:t xml:space="preserve"> standard describes the argument pr as the security's price.</w:t>
      </w:r>
    </w:p>
    <w:p w:rsidR="00024C0A" w:rsidRDefault="00694C0F">
      <w:pPr>
        <w:pStyle w:val="Definition-Field2"/>
      </w:pPr>
      <w:r>
        <w:t>In Office, the argument pr is the security's price per 100 currency units face value.</w:t>
      </w:r>
    </w:p>
    <w:p w:rsidR="00024C0A" w:rsidRDefault="00694C0F">
      <w:pPr>
        <w:pStyle w:val="Heading3"/>
      </w:pPr>
      <w:bookmarkStart w:id="2163" w:name="section_eba3b8ce07c64244a95524ab4b61a0fb"/>
      <w:bookmarkStart w:id="2164" w:name="_Toc12261142"/>
      <w:r>
        <w:t>Part 1 Section 18.17.7.355, YIELDMAT</w:t>
      </w:r>
      <w:bookmarkEnd w:id="2163"/>
      <w:bookmarkEnd w:id="2164"/>
      <w:r>
        <w:fldChar w:fldCharType="begin"/>
      </w:r>
      <w:r>
        <w:instrText xml:space="preserve"> XE "YIELDMAT" </w:instrText>
      </w:r>
      <w:r>
        <w:fldChar w:fldCharType="end"/>
      </w:r>
    </w:p>
    <w:p w:rsidR="00024C0A" w:rsidRDefault="00694C0F">
      <w:pPr>
        <w:pStyle w:val="Definition-Field"/>
      </w:pPr>
      <w:r>
        <w:t xml:space="preserve">a.   </w:t>
      </w:r>
      <w:r>
        <w:rPr>
          <w:i/>
        </w:rPr>
        <w:t>The standard does not specify day and month adjust</w:t>
      </w:r>
      <w:r>
        <w:rPr>
          <w:i/>
        </w:rPr>
        <w:t>ments for the basis argument.</w:t>
      </w:r>
    </w:p>
    <w:p w:rsidR="00024C0A" w:rsidRDefault="00694C0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Value</w:t>
            </w:r>
          </w:p>
        </w:tc>
        <w:tc>
          <w:tcPr>
            <w:tcW w:w="0" w:type="auto"/>
            <w:vAlign w:val="center"/>
          </w:tcPr>
          <w:p w:rsidR="00024C0A" w:rsidRDefault="00694C0F">
            <w:pPr>
              <w:pStyle w:val="TableHeaderText"/>
            </w:pPr>
            <w:r>
              <w:t>Day Count Basis</w:t>
            </w:r>
          </w:p>
        </w:tc>
      </w:tr>
      <w:tr w:rsidR="00024C0A" w:rsidTr="00024C0A">
        <w:tc>
          <w:tcPr>
            <w:tcW w:w="0" w:type="auto"/>
            <w:vAlign w:val="center"/>
          </w:tcPr>
          <w:p w:rsidR="00024C0A" w:rsidRDefault="00694C0F">
            <w:pPr>
              <w:pStyle w:val="TableBodyText"/>
            </w:pPr>
            <w:r>
              <w:rPr>
                <w:rStyle w:val="InlineCode"/>
              </w:rPr>
              <w:t>0</w:t>
            </w:r>
            <w:r>
              <w:t xml:space="preserve"> or omitted</w:t>
            </w:r>
          </w:p>
        </w:tc>
        <w:tc>
          <w:tcPr>
            <w:tcW w:w="0" w:type="auto"/>
            <w:vAlign w:val="center"/>
          </w:tcPr>
          <w:p w:rsidR="00024C0A" w:rsidRDefault="00694C0F">
            <w:pPr>
              <w:pStyle w:val="TableBodyText"/>
            </w:pPr>
            <w:r>
              <w:t xml:space="preserve">US (NASD) 30/360. If the dates are equal, the difference of days is 0. Assumes that </w:t>
            </w:r>
            <w:r>
              <w:t>each month has 30 days and the total number of days in the year is 360 by making the following adjustments:</w:t>
            </w:r>
          </w:p>
          <w:p w:rsidR="00024C0A" w:rsidRDefault="00694C0F">
            <w:pPr>
              <w:pStyle w:val="TableBodyText"/>
            </w:pPr>
            <w:r>
              <w:t>If both day-of-months are 31, they are changed to 30</w:t>
            </w:r>
          </w:p>
          <w:p w:rsidR="00024C0A" w:rsidRDefault="00694C0F">
            <w:pPr>
              <w:pStyle w:val="TableBodyText"/>
            </w:pPr>
            <w:r>
              <w:t>Otherwise, if date1’s day-of-month is 31, it is changed to 30</w:t>
            </w:r>
          </w:p>
          <w:p w:rsidR="00024C0A" w:rsidRDefault="00694C0F">
            <w:pPr>
              <w:pStyle w:val="TableBodyText"/>
            </w:pPr>
            <w:r>
              <w:t>Otherwise, if date1’s day-of-mont</w:t>
            </w:r>
            <w:r>
              <w:t>h is 30 and date2’s day-of-month is 31, date2’s day-of-month is changed to 30 (note that date2’s day-of-month will stay 31 if date1’s day &lt; 30)</w:t>
            </w:r>
          </w:p>
          <w:p w:rsidR="00024C0A" w:rsidRDefault="00694C0F">
            <w:pPr>
              <w:pStyle w:val="TableBodyText"/>
            </w:pPr>
            <w:r>
              <w:t>Otherwise, if both dates are the last day of February in their respective years, both day-of-month is changed to</w:t>
            </w:r>
            <w:r>
              <w:t xml:space="preserve"> 30</w:t>
            </w:r>
          </w:p>
          <w:p w:rsidR="00024C0A" w:rsidRDefault="00694C0F">
            <w:pPr>
              <w:pStyle w:val="TableBodyText"/>
            </w:pPr>
            <w:r>
              <w:t>Otherwise, if date1 is the last day of February, its day-of-month is changed to 30</w:t>
            </w:r>
          </w:p>
        </w:tc>
      </w:tr>
      <w:tr w:rsidR="00024C0A" w:rsidTr="00024C0A">
        <w:tc>
          <w:tcPr>
            <w:tcW w:w="0" w:type="auto"/>
            <w:vAlign w:val="center"/>
          </w:tcPr>
          <w:p w:rsidR="00024C0A" w:rsidRDefault="00694C0F">
            <w:pPr>
              <w:pStyle w:val="TableBodyText"/>
            </w:pPr>
            <w:r>
              <w:rPr>
                <w:rStyle w:val="InlineCode"/>
              </w:rPr>
              <w:t>1</w:t>
            </w:r>
          </w:p>
        </w:tc>
        <w:tc>
          <w:tcPr>
            <w:tcW w:w="0" w:type="auto"/>
            <w:vAlign w:val="center"/>
          </w:tcPr>
          <w:p w:rsidR="00024C0A" w:rsidRDefault="00694C0F">
            <w:pPr>
              <w:pStyle w:val="TableBodyText"/>
            </w:pPr>
            <w:r>
              <w:t>Actual/actual. If the dates are equal, the difference in days is 0. If date1 and date2 not “less than or equal to a year apart” (as defined below), then the days in t</w:t>
            </w:r>
            <w:r>
              <w:t>he years between the dates is the average number of days in the years between date1 and date2, inclusive. Otherwise, the days in the years between the dates is 365, except for these cases (where it is 366): the dates are in the same year and it is a leap-y</w:t>
            </w:r>
            <w:r>
              <w:t xml:space="preserve">ear, a February 29 occurs between the two dates, or </w:t>
            </w:r>
            <w:r>
              <w:rPr>
                <w:b/>
              </w:rPr>
              <w:t>date1 or</w:t>
            </w:r>
            <w:r>
              <w:t xml:space="preserve"> date2 is February 29.</w:t>
            </w:r>
          </w:p>
          <w:p w:rsidR="00024C0A" w:rsidRDefault="00024C0A">
            <w:pPr>
              <w:pStyle w:val="TableBodyText"/>
            </w:pPr>
          </w:p>
          <w:p w:rsidR="00024C0A" w:rsidRDefault="00694C0F">
            <w:pPr>
              <w:pStyle w:val="TableBodyText"/>
            </w:pPr>
            <w:r>
              <w:t>To determine if date1 and date2 are “less than or equal to a year apart” for purposes of this algorithm, one of these conditions must be true:</w:t>
            </w:r>
          </w:p>
          <w:p w:rsidR="00024C0A" w:rsidRDefault="00694C0F">
            <w:pPr>
              <w:pStyle w:val="ListParagraph"/>
              <w:numPr>
                <w:ilvl w:val="0"/>
                <w:numId w:val="122"/>
              </w:numPr>
            </w:pPr>
            <w:r>
              <w:t>The two dates have the same y</w:t>
            </w:r>
            <w:r>
              <w:t>ear</w:t>
            </w:r>
          </w:p>
          <w:p w:rsidR="00024C0A" w:rsidRDefault="00694C0F">
            <w:pPr>
              <w:pStyle w:val="ListParagraph"/>
              <w:numPr>
                <w:ilvl w:val="0"/>
                <w:numId w:val="123"/>
              </w:numPr>
            </w:pPr>
            <w:r>
              <w:t>Date2’s year is exactly one more than date1’s year, and ((date1.month &gt; date2.month) or ((date1.month == date2.month) and (date1.day &gt;= date2.day)))</w:t>
            </w:r>
          </w:p>
        </w:tc>
      </w:tr>
      <w:tr w:rsidR="00024C0A" w:rsidTr="00024C0A">
        <w:tc>
          <w:tcPr>
            <w:tcW w:w="0" w:type="auto"/>
            <w:vAlign w:val="center"/>
          </w:tcPr>
          <w:p w:rsidR="00024C0A" w:rsidRDefault="00694C0F">
            <w:pPr>
              <w:pStyle w:val="TableBodyText"/>
            </w:pPr>
            <w:r>
              <w:rPr>
                <w:rStyle w:val="InlineCode"/>
              </w:rPr>
              <w:t>2</w:t>
            </w:r>
          </w:p>
        </w:tc>
        <w:tc>
          <w:tcPr>
            <w:tcW w:w="0" w:type="auto"/>
            <w:vAlign w:val="center"/>
          </w:tcPr>
          <w:p w:rsidR="00024C0A" w:rsidRDefault="00694C0F">
            <w:pPr>
              <w:pStyle w:val="TableBodyText"/>
            </w:pPr>
            <w:r>
              <w:t>Actual/360. Computes the actual difference in days, and presumes there are always 360 days per year.</w:t>
            </w:r>
          </w:p>
        </w:tc>
      </w:tr>
      <w:tr w:rsidR="00024C0A" w:rsidTr="00024C0A">
        <w:tc>
          <w:tcPr>
            <w:tcW w:w="0" w:type="auto"/>
            <w:vAlign w:val="center"/>
          </w:tcPr>
          <w:p w:rsidR="00024C0A" w:rsidRDefault="00694C0F">
            <w:pPr>
              <w:pStyle w:val="TableBodyText"/>
            </w:pPr>
            <w:r>
              <w:rPr>
                <w:rStyle w:val="InlineCode"/>
              </w:rPr>
              <w:t>3</w:t>
            </w:r>
          </w:p>
        </w:tc>
        <w:tc>
          <w:tcPr>
            <w:tcW w:w="0" w:type="auto"/>
            <w:vAlign w:val="center"/>
          </w:tcPr>
          <w:p w:rsidR="00024C0A" w:rsidRDefault="00694C0F">
            <w:pPr>
              <w:pStyle w:val="TableBodyText"/>
            </w:pPr>
            <w:r>
              <w:t xml:space="preserve">Actual/365. Computes the actual difference in days, and presumes there are always 365 days per </w:t>
            </w:r>
            <w:r>
              <w:lastRenderedPageBreak/>
              <w:t>year.</w:t>
            </w:r>
          </w:p>
        </w:tc>
      </w:tr>
      <w:tr w:rsidR="00024C0A" w:rsidTr="00024C0A">
        <w:tc>
          <w:tcPr>
            <w:tcW w:w="0" w:type="auto"/>
            <w:vAlign w:val="center"/>
          </w:tcPr>
          <w:p w:rsidR="00024C0A" w:rsidRDefault="00694C0F">
            <w:pPr>
              <w:pStyle w:val="TableBodyText"/>
            </w:pPr>
            <w:r>
              <w:rPr>
                <w:rStyle w:val="InlineCode"/>
              </w:rPr>
              <w:lastRenderedPageBreak/>
              <w:t>4</w:t>
            </w:r>
          </w:p>
        </w:tc>
        <w:tc>
          <w:tcPr>
            <w:tcW w:w="0" w:type="auto"/>
            <w:vAlign w:val="center"/>
          </w:tcPr>
          <w:p w:rsidR="00024C0A" w:rsidRDefault="00694C0F">
            <w:pPr>
              <w:pStyle w:val="TableBodyText"/>
            </w:pPr>
            <w:r>
              <w:t>European 30/360. The European method for adjusting day counts. If the dates are equal, the difference of days is 0. Assumes that each month has 30 d</w:t>
            </w:r>
            <w:r>
              <w:t xml:space="preserve">ays 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024C0A" w:rsidRDefault="00024C0A"/>
    <w:p w:rsidR="00024C0A" w:rsidRDefault="00694C0F">
      <w:pPr>
        <w:pStyle w:val="Definition-Field"/>
      </w:pPr>
      <w:r>
        <w:t xml:space="preserve">b.   </w:t>
      </w:r>
      <w:r>
        <w:rPr>
          <w:i/>
        </w:rPr>
        <w:t xml:space="preserve">The standard specifies pr argument as </w:t>
      </w:r>
      <w:r>
        <w:rPr>
          <w:i/>
        </w:rPr>
        <w:t>the security's price.</w:t>
      </w:r>
    </w:p>
    <w:p w:rsidR="00024C0A" w:rsidRDefault="00694C0F">
      <w:pPr>
        <w:pStyle w:val="Definition-Field2"/>
      </w:pPr>
      <w:r>
        <w:t>Office treats pr argument as the security's price per 100 currency units face value.</w:t>
      </w:r>
    </w:p>
    <w:p w:rsidR="00024C0A" w:rsidRDefault="00694C0F">
      <w:pPr>
        <w:pStyle w:val="Definition-Field"/>
      </w:pPr>
      <w:r>
        <w:t xml:space="preserve">c.   </w:t>
      </w:r>
      <w:r>
        <w:rPr>
          <w:i/>
        </w:rPr>
        <w:t>The standard states if rate or pr ≤ 0, #NUM! is returned.</w:t>
      </w:r>
    </w:p>
    <w:p w:rsidR="00024C0A" w:rsidRDefault="00694C0F">
      <w:pPr>
        <w:pStyle w:val="Definition-Field2"/>
      </w:pPr>
      <w:r>
        <w:t>Office returns #NUM! if pr is less than or equal to 0, or if rate is less than 0.</w:t>
      </w:r>
    </w:p>
    <w:p w:rsidR="00024C0A" w:rsidRDefault="00694C0F">
      <w:pPr>
        <w:pStyle w:val="Definition-Field"/>
      </w:pPr>
      <w:r>
        <w:t xml:space="preserve">d.  </w:t>
      </w:r>
      <w:r>
        <w:t xml:space="preserve"> </w:t>
      </w:r>
      <w:r>
        <w:rPr>
          <w:i/>
        </w:rPr>
        <w:t>The standard does not describe a restriction on the relative values of issue and settlement.</w:t>
      </w:r>
    </w:p>
    <w:p w:rsidR="00024C0A" w:rsidRDefault="00694C0F">
      <w:pPr>
        <w:pStyle w:val="Definition-Field2"/>
      </w:pPr>
      <w:r>
        <w:t>Office returns #NUM! if issue ≥ settlement.</w:t>
      </w:r>
    </w:p>
    <w:p w:rsidR="00024C0A" w:rsidRDefault="00694C0F">
      <w:pPr>
        <w:pStyle w:val="Heading3"/>
      </w:pPr>
      <w:bookmarkStart w:id="2165" w:name="section_c494196a44ad4042b21bb60c3f93c792"/>
      <w:bookmarkStart w:id="2166" w:name="_Toc12261143"/>
      <w:r>
        <w:t>Part 1 Section 18.17.7.356, ZTEST</w:t>
      </w:r>
      <w:bookmarkEnd w:id="2165"/>
      <w:bookmarkEnd w:id="2166"/>
      <w:r>
        <w:fldChar w:fldCharType="begin"/>
      </w:r>
      <w:r>
        <w:instrText xml:space="preserve"> XE "ZTEST" </w:instrText>
      </w:r>
      <w:r>
        <w:fldChar w:fldCharType="end"/>
      </w:r>
    </w:p>
    <w:p w:rsidR="00024C0A" w:rsidRDefault="00694C0F">
      <w:pPr>
        <w:pStyle w:val="Definition-Field"/>
      </w:pPr>
      <w:r>
        <w:t xml:space="preserve">a.   </w:t>
      </w:r>
      <w:r>
        <w:rPr>
          <w:i/>
        </w:rPr>
        <w:t>The standard does not specify how function arguments map to formu</w:t>
      </w:r>
      <w:r>
        <w:rPr>
          <w:i/>
        </w:rPr>
        <w:t>la variables.</w:t>
      </w:r>
    </w:p>
    <w:p w:rsidR="00024C0A" w:rsidRDefault="00694C0F">
      <w:pPr>
        <w:pStyle w:val="Definition-Field2"/>
      </w:pPr>
      <w:r>
        <w:t>Office maps x-bar to sample mean and µ_0 to argument test-value.</w:t>
      </w:r>
    </w:p>
    <w:p w:rsidR="00024C0A" w:rsidRDefault="00694C0F">
      <w:pPr>
        <w:pStyle w:val="Definition-Field"/>
      </w:pPr>
      <w:r>
        <w:t xml:space="preserve">b.   </w:t>
      </w:r>
      <w:r>
        <w:rPr>
          <w:i/>
        </w:rPr>
        <w:t>In the standard, there is no restriction on the value of sigma.</w:t>
      </w:r>
    </w:p>
    <w:p w:rsidR="00024C0A" w:rsidRDefault="00694C0F">
      <w:pPr>
        <w:pStyle w:val="Definition-Field2"/>
      </w:pPr>
      <w:r>
        <w:t>In Office, if sigma is less than or equal to 0, then #NUM! is returned.</w:t>
      </w:r>
    </w:p>
    <w:p w:rsidR="00024C0A" w:rsidRDefault="00694C0F">
      <w:pPr>
        <w:pStyle w:val="Heading3"/>
      </w:pPr>
      <w:bookmarkStart w:id="2167" w:name="section_53249af3c6b1442193665720617c9e53"/>
      <w:bookmarkStart w:id="2168" w:name="_Toc12261144"/>
      <w:r>
        <w:t xml:space="preserve">Part 1 Section 18.18.2, ST_BorderId </w:t>
      </w:r>
      <w:r>
        <w:t>(Border Id)</w:t>
      </w:r>
      <w:bookmarkEnd w:id="2167"/>
      <w:bookmarkEnd w:id="2168"/>
      <w:r>
        <w:fldChar w:fldCharType="begin"/>
      </w:r>
      <w:r>
        <w:instrText xml:space="preserve"> XE "ST_BorderId (Border Id)" </w:instrText>
      </w:r>
      <w:r>
        <w:fldChar w:fldCharType="end"/>
      </w:r>
    </w:p>
    <w:p w:rsidR="00024C0A" w:rsidRDefault="00694C0F">
      <w:pPr>
        <w:pStyle w:val="Definition-Field"/>
      </w:pPr>
      <w:r>
        <w:t xml:space="preserve">a.   </w:t>
      </w:r>
      <w:r>
        <w:rPr>
          <w:i/>
        </w:rPr>
        <w:t>The standard allows this type to be any unsignedInt.</w:t>
      </w:r>
    </w:p>
    <w:p w:rsidR="00024C0A" w:rsidRDefault="00694C0F">
      <w:pPr>
        <w:pStyle w:val="Definition-Field2"/>
      </w:pPr>
      <w:r>
        <w:t>In Office, the valid values for attributes that use this type are restricted by the count of border elements in the borders collection.</w:t>
      </w:r>
    </w:p>
    <w:p w:rsidR="00024C0A" w:rsidRDefault="00694C0F">
      <w:pPr>
        <w:pStyle w:val="Heading3"/>
      </w:pPr>
      <w:bookmarkStart w:id="2169" w:name="section_0adc381aa21a457c8a5a88dc96fa2688"/>
      <w:bookmarkStart w:id="2170" w:name="_Toc12261145"/>
      <w:r>
        <w:t>Part 1 Section 18.18.6, ST_CellFormulaType (Formula Type)</w:t>
      </w:r>
      <w:bookmarkEnd w:id="2169"/>
      <w:bookmarkEnd w:id="2170"/>
      <w:r>
        <w:fldChar w:fldCharType="begin"/>
      </w:r>
      <w:r>
        <w:instrText xml:space="preserve"> XE "ST_CellFormulaType (Formula Type)" </w:instrText>
      </w:r>
      <w:r>
        <w:fldChar w:fldCharType="end"/>
      </w:r>
    </w:p>
    <w:p w:rsidR="00024C0A" w:rsidRDefault="00694C0F">
      <w:pPr>
        <w:pStyle w:val="Definition-Field"/>
      </w:pPr>
      <w:r>
        <w:t xml:space="preserve">a.   </w:t>
      </w:r>
      <w:r>
        <w:rPr>
          <w:i/>
        </w:rPr>
        <w:t>The standard is missing attributes referencing this type.</w:t>
      </w:r>
    </w:p>
    <w:p w:rsidR="00024C0A" w:rsidRDefault="00694C0F">
      <w:pPr>
        <w:pStyle w:val="Definition-Field2"/>
      </w:pPr>
      <w:r>
        <w:t>Office allows f@t to reference this type.</w:t>
      </w:r>
    </w:p>
    <w:p w:rsidR="00024C0A" w:rsidRDefault="00694C0F">
      <w:pPr>
        <w:pStyle w:val="Heading3"/>
      </w:pPr>
      <w:bookmarkStart w:id="2171" w:name="section_044c2ba4098b4b15b9603f7f972665df"/>
      <w:bookmarkStart w:id="2172" w:name="_Toc12261146"/>
      <w:r>
        <w:t>Part 1 Section 18.18.7, ST_CellRef (Cell Reference)</w:t>
      </w:r>
      <w:bookmarkEnd w:id="2171"/>
      <w:bookmarkEnd w:id="2172"/>
      <w:r>
        <w:fldChar w:fldCharType="begin"/>
      </w:r>
      <w:r>
        <w:instrText xml:space="preserve"> XE "ST_CellRef (Cell Reference)" </w:instrText>
      </w:r>
      <w:r>
        <w:fldChar w:fldCharType="end"/>
      </w:r>
    </w:p>
    <w:p w:rsidR="00024C0A" w:rsidRDefault="00694C0F">
      <w:pPr>
        <w:pStyle w:val="Definition-Field"/>
      </w:pPr>
      <w:r>
        <w:t xml:space="preserve">a.   </w:t>
      </w:r>
      <w:r>
        <w:rPr>
          <w:i/>
        </w:rPr>
        <w:t>The standard defines a cell reference to be any string.</w:t>
      </w:r>
    </w:p>
    <w:p w:rsidR="00024C0A" w:rsidRDefault="00694C0F">
      <w:r>
        <w:t>A single cell reference consists of a column name immediately followed by a row number. The column name is encoded using one, two, or three capital letters in</w:t>
      </w:r>
      <w:r>
        <w:t xml:space="preserve"> US English locale:</w:t>
      </w:r>
    </w:p>
    <w:p w:rsidR="00024C0A" w:rsidRDefault="00694C0F">
      <w:r>
        <w:t>&lt;letter&gt; ::= “A” | “B” | “C” | “D” | “E” | “F” | “G” | “H” | “I” | “J” | “K” | “L” | “M” | “N” | “O” | “P” | “Q” | “R” | “S” | “T” | “U” | “V” | “W” | “X” | “Y” | “Z”</w:t>
      </w:r>
    </w:p>
    <w:p w:rsidR="00024C0A" w:rsidRDefault="00694C0F">
      <w:r>
        <w:t>&lt;column name&gt; ::= &lt;letter&gt; | &lt;letter&gt; &lt;letter&gt; | &lt;letter&gt; &lt;letter&gt; &lt;l</w:t>
      </w:r>
      <w:r>
        <w:t>etter&gt;</w:t>
      </w:r>
    </w:p>
    <w:p w:rsidR="00024C0A" w:rsidRDefault="00694C0F">
      <w:r>
        <w:t>&lt;cell reference&gt; ::= &lt;column name&gt; &lt;row number&gt;</w:t>
      </w:r>
    </w:p>
    <w:p w:rsidR="00024C0A" w:rsidRDefault="00694C0F">
      <w:r>
        <w:lastRenderedPageBreak/>
        <w:t>The row number is an integer in the range from 1 to 1048576.</w:t>
      </w:r>
    </w:p>
    <w:p w:rsidR="00024C0A" w:rsidRDefault="00694C0F">
      <w:r>
        <w:t>Assume that the letter “A” corresponds to the numeric value 1, the letter “B” – to the numeric value 2, and so on, and the letter “Z” corres</w:t>
      </w:r>
      <w:r>
        <w:t>ponding to the numeric value 26. Further assume that &lt;letter N&gt; designates the letter in position N of the column name, counting from the right, with a missing letter corresponding to the numeric value 0. The column number then can be expressed as follows:</w:t>
      </w:r>
    </w:p>
    <w:p w:rsidR="00024C0A" w:rsidRDefault="00694C0F">
      <w:r>
        <w:t>&lt;column number&gt; = 676*&lt;letter 3&gt; + 26*&lt;letter 2&gt; + &lt;letter 1&gt;</w:t>
      </w:r>
    </w:p>
    <w:p w:rsidR="00024C0A" w:rsidRDefault="00694C0F">
      <w:r>
        <w:t>[Example:</w:t>
      </w:r>
    </w:p>
    <w:p w:rsidR="00024C0A" w:rsidRDefault="00694C0F">
      <w:r>
        <w:t>Column name “A” corresponds to the column number 1: 676*0 + 26*0 + 1 = 1.</w:t>
      </w:r>
    </w:p>
    <w:p w:rsidR="00024C0A" w:rsidRDefault="00694C0F">
      <w:r>
        <w:t>Column name “AD” corresponds to the column number 30: 676*0 + 26*1 + 4 = 30.</w:t>
      </w:r>
    </w:p>
    <w:p w:rsidR="00024C0A" w:rsidRDefault="00694C0F">
      <w:r>
        <w:t>Column name “XFD” corresponds to</w:t>
      </w:r>
      <w:r>
        <w:t xml:space="preserve"> the column number 16384: 676*24 + 26*6 + 4 = 16384.</w:t>
      </w:r>
    </w:p>
    <w:p w:rsidR="00024C0A" w:rsidRDefault="00694C0F">
      <w:r>
        <w:t>end example]</w:t>
      </w:r>
    </w:p>
    <w:p w:rsidR="00024C0A" w:rsidRDefault="00694C0F">
      <w:r>
        <w:t>The first column in a sheet is number 1 and it has the name “A”. The last column in the sheet is number 16384 and it has the name “XFD”.</w:t>
      </w:r>
    </w:p>
    <w:p w:rsidR="00024C0A" w:rsidRDefault="00694C0F">
      <w:r>
        <w:t>[Example:</w:t>
      </w:r>
    </w:p>
    <w:p w:rsidR="00024C0A" w:rsidRDefault="00694C0F">
      <w:r>
        <w:t>A1 – a reference to the cell at column 1, r</w:t>
      </w:r>
      <w:r>
        <w:t>ow 1.</w:t>
      </w:r>
    </w:p>
    <w:p w:rsidR="00024C0A" w:rsidRDefault="00694C0F">
      <w:r>
        <w:t>XFD1048576 – a reference to the cell in the bottom right corner of the sheet, that is, at column 16384, row 1048576.</w:t>
      </w:r>
    </w:p>
    <w:p w:rsidR="00024C0A" w:rsidRDefault="00694C0F">
      <w:r>
        <w:t>end example]</w:t>
      </w:r>
    </w:p>
    <w:p w:rsidR="00024C0A" w:rsidRDefault="00694C0F">
      <w:pPr>
        <w:pStyle w:val="Heading3"/>
      </w:pPr>
      <w:bookmarkStart w:id="2173" w:name="section_dbd6f7062cb8443d992c603bddbcc95c"/>
      <w:bookmarkStart w:id="2174" w:name="_Toc12261147"/>
      <w:r>
        <w:t>Part 1 Section 18.18.8, ST_CellSpan (Cell Span Type)</w:t>
      </w:r>
      <w:bookmarkEnd w:id="2173"/>
      <w:bookmarkEnd w:id="2174"/>
      <w:r>
        <w:fldChar w:fldCharType="begin"/>
      </w:r>
      <w:r>
        <w:instrText xml:space="preserve"> XE "ST_CellSpan (Cell Span Type)" </w:instrText>
      </w:r>
      <w:r>
        <w:fldChar w:fldCharType="end"/>
      </w:r>
    </w:p>
    <w:p w:rsidR="00024C0A" w:rsidRDefault="00694C0F">
      <w:pPr>
        <w:pStyle w:val="Definition-Field"/>
      </w:pPr>
      <w:r>
        <w:t xml:space="preserve">a.   </w:t>
      </w:r>
      <w:r>
        <w:rPr>
          <w:i/>
        </w:rPr>
        <w:t xml:space="preserve">The standard states that </w:t>
      </w:r>
      <w:r>
        <w:rPr>
          <w:i/>
        </w:rPr>
        <w:t>the ST_CellSpan simple type is referenced by the ST_CellSpan simple type.</w:t>
      </w:r>
    </w:p>
    <w:p w:rsidR="00024C0A" w:rsidRDefault="00694C0F">
      <w:pPr>
        <w:pStyle w:val="Definition-Field2"/>
      </w:pPr>
      <w:r>
        <w:t>Office defines this simple type to be referenced by the ST_CellSpans simple type.</w:t>
      </w:r>
    </w:p>
    <w:p w:rsidR="00024C0A" w:rsidRDefault="00694C0F">
      <w:pPr>
        <w:pStyle w:val="Definition-Field"/>
      </w:pPr>
      <w:r>
        <w:t xml:space="preserve">b.   </w:t>
      </w:r>
      <w:r>
        <w:rPr>
          <w:i/>
        </w:rPr>
        <w:t>The standard allows any string to be a valid CellSpan.</w:t>
      </w:r>
    </w:p>
    <w:p w:rsidR="00024C0A" w:rsidRDefault="00694C0F">
      <w:r>
        <w:t>In Office, the numerical values separate</w:t>
      </w:r>
      <w:r>
        <w:t>d by the colon specify the first and last columns of the span using one-based column indices. The values shall be positive and never exceed the maximum number of columns within the spreadsheet document. The value to the left of the colon shall be less than</w:t>
      </w:r>
      <w:r>
        <w:t xml:space="preserve"> or equal to the value to the right of the colon.  </w:t>
      </w:r>
    </w:p>
    <w:p w:rsidR="00024C0A" w:rsidRDefault="00694C0F">
      <w:r>
        <w:t xml:space="preserve">This restriction matches the following regular expression pattern: \d+:\d+. </w:t>
      </w:r>
    </w:p>
    <w:p w:rsidR="00024C0A" w:rsidRDefault="00694C0F">
      <w:pPr>
        <w:pStyle w:val="Heading3"/>
      </w:pPr>
      <w:bookmarkStart w:id="2175" w:name="section_8f64b974a9a944129ccb91382135586b"/>
      <w:bookmarkStart w:id="2176" w:name="_Toc12261148"/>
      <w:r>
        <w:t>Part 1 Section 18.18.16, ST_CredMethod (Credentials Method)</w:t>
      </w:r>
      <w:bookmarkEnd w:id="2175"/>
      <w:bookmarkEnd w:id="2176"/>
      <w:r>
        <w:fldChar w:fldCharType="begin"/>
      </w:r>
      <w:r>
        <w:instrText xml:space="preserve"> XE "ST_CredMethod (Credentials Method)" </w:instrText>
      </w:r>
      <w:r>
        <w:fldChar w:fldCharType="end"/>
      </w:r>
    </w:p>
    <w:p w:rsidR="00024C0A" w:rsidRDefault="00694C0F">
      <w:pPr>
        <w:pStyle w:val="Definition-Field"/>
      </w:pPr>
      <w:r>
        <w:t xml:space="preserve">a.   </w:t>
      </w:r>
      <w:r>
        <w:rPr>
          <w:i/>
        </w:rPr>
        <w:t>The standard states</w:t>
      </w:r>
      <w:r>
        <w:rPr>
          <w:i/>
        </w:rPr>
        <w:t xml:space="preserve"> that prompt is a valid value of the ST_CredMethod simple type.</w:t>
      </w:r>
    </w:p>
    <w:p w:rsidR="00024C0A" w:rsidRDefault="00694C0F">
      <w:pPr>
        <w:pStyle w:val="Definition-Field2"/>
      </w:pPr>
      <w:r>
        <w:t>Excel does not allow this value on this simple type.</w:t>
      </w:r>
    </w:p>
    <w:p w:rsidR="00024C0A" w:rsidRDefault="00694C0F">
      <w:pPr>
        <w:pStyle w:val="Heading3"/>
      </w:pPr>
      <w:bookmarkStart w:id="2177" w:name="section_cf92e21e16414d069a73f5ecb57e368f"/>
      <w:bookmarkStart w:id="2178" w:name="_Toc12261149"/>
      <w:r>
        <w:t>Part 1 Section 18.18.25, ST_DxfId (Format Id)</w:t>
      </w:r>
      <w:bookmarkEnd w:id="2177"/>
      <w:bookmarkEnd w:id="2178"/>
      <w:r>
        <w:fldChar w:fldCharType="begin"/>
      </w:r>
      <w:r>
        <w:instrText xml:space="preserve"> XE "ST_DxfId (Format Id)" </w:instrText>
      </w:r>
      <w:r>
        <w:fldChar w:fldCharType="end"/>
      </w:r>
    </w:p>
    <w:p w:rsidR="00024C0A" w:rsidRDefault="00694C0F">
      <w:pPr>
        <w:pStyle w:val="Definition-Field"/>
      </w:pPr>
      <w:r>
        <w:t xml:space="preserve">a.   </w:t>
      </w:r>
      <w:r>
        <w:rPr>
          <w:i/>
        </w:rPr>
        <w:t>The standard specifies that the values for the ST_Dxfld sim</w:t>
      </w:r>
      <w:r>
        <w:rPr>
          <w:i/>
        </w:rPr>
        <w:t>ple type are defined by the XML Schema unsignedInt datatype.</w:t>
      </w:r>
    </w:p>
    <w:p w:rsidR="00024C0A" w:rsidRDefault="00694C0F">
      <w:pPr>
        <w:pStyle w:val="Definition-Field2"/>
      </w:pPr>
      <w:r>
        <w:t>In Office, the valid values for attributes that use this simple type must be less than or equal to 4294967294.</w:t>
      </w:r>
    </w:p>
    <w:p w:rsidR="00024C0A" w:rsidRDefault="00694C0F">
      <w:pPr>
        <w:pStyle w:val="Heading3"/>
      </w:pPr>
      <w:bookmarkStart w:id="2179" w:name="section_6ba27075db5b4f3dab0ae7347a2d56c5"/>
      <w:bookmarkStart w:id="2180" w:name="_Toc12261150"/>
      <w:r>
        <w:lastRenderedPageBreak/>
        <w:t>Part 1 Section 18.18.29, ST_FileType (File Type)</w:t>
      </w:r>
      <w:bookmarkEnd w:id="2179"/>
      <w:bookmarkEnd w:id="2180"/>
      <w:r>
        <w:fldChar w:fldCharType="begin"/>
      </w:r>
      <w:r>
        <w:instrText xml:space="preserve"> XE "ST_FileType (File Type)" </w:instrText>
      </w:r>
      <w:r>
        <w:fldChar w:fldCharType="end"/>
      </w:r>
    </w:p>
    <w:p w:rsidR="00024C0A" w:rsidRDefault="00694C0F">
      <w:pPr>
        <w:pStyle w:val="Definition-Field"/>
      </w:pPr>
      <w:r>
        <w:t xml:space="preserve">a. </w:t>
      </w:r>
      <w:r>
        <w:t xml:space="preserve">  </w:t>
      </w:r>
      <w:r>
        <w:rPr>
          <w:i/>
        </w:rPr>
        <w:t>The standard does not state that this setting can be overridden.</w:t>
      </w:r>
    </w:p>
    <w:p w:rsidR="00024C0A" w:rsidRDefault="00694C0F">
      <w:pPr>
        <w:pStyle w:val="Definition-Field2"/>
      </w:pPr>
      <w:r>
        <w:t>In Office, this simple type is used in the absence of the byte-order mark (BOM), whose value shall override this setting.</w:t>
      </w:r>
    </w:p>
    <w:p w:rsidR="00024C0A" w:rsidRDefault="00694C0F">
      <w:pPr>
        <w:pStyle w:val="Definition-Field"/>
      </w:pPr>
      <w:r>
        <w:t xml:space="preserve">b.   </w:t>
      </w:r>
      <w:r>
        <w:rPr>
          <w:i/>
        </w:rPr>
        <w:t>The standard states that "lin" and "other" are valid values fo</w:t>
      </w:r>
      <w:r>
        <w:rPr>
          <w:i/>
        </w:rPr>
        <w:t>r ST_FileType.</w:t>
      </w:r>
    </w:p>
    <w:p w:rsidR="00024C0A" w:rsidRDefault="00694C0F">
      <w:pPr>
        <w:pStyle w:val="Definition-Field2"/>
      </w:pPr>
      <w:r>
        <w:t>Office does not support the values "lin" and "other", and instead uses the value "win".</w:t>
      </w:r>
    </w:p>
    <w:p w:rsidR="00024C0A" w:rsidRDefault="00694C0F">
      <w:pPr>
        <w:pStyle w:val="Heading3"/>
      </w:pPr>
      <w:bookmarkStart w:id="2181" w:name="section_1053b25753e44ce5a8cbd5525d9a6100"/>
      <w:bookmarkStart w:id="2182" w:name="_Toc12261151"/>
      <w:r>
        <w:t>Part 1 Section 18.18.30, ST_FillId (Fill Id)</w:t>
      </w:r>
      <w:bookmarkEnd w:id="2181"/>
      <w:bookmarkEnd w:id="2182"/>
      <w:r>
        <w:fldChar w:fldCharType="begin"/>
      </w:r>
      <w:r>
        <w:instrText xml:space="preserve"> XE "ST_FillId (Fill Id)" </w:instrText>
      </w:r>
      <w:r>
        <w:fldChar w:fldCharType="end"/>
      </w:r>
    </w:p>
    <w:p w:rsidR="00024C0A" w:rsidRDefault="00694C0F">
      <w:pPr>
        <w:pStyle w:val="Definition-Field"/>
      </w:pPr>
      <w:r>
        <w:t xml:space="preserve">a.   </w:t>
      </w:r>
      <w:r>
        <w:rPr>
          <w:i/>
        </w:rPr>
        <w:t>The standard allows this type to be any unsignedInt.</w:t>
      </w:r>
    </w:p>
    <w:p w:rsidR="00024C0A" w:rsidRDefault="00694C0F">
      <w:r>
        <w:t>In Office, the valid v</w:t>
      </w:r>
      <w:r>
        <w:t>alues for attributes that use this type are restricted by the count of fill elements in the fills collection ("</w:t>
      </w:r>
      <w:hyperlink r:id="rId146">
        <w:r>
          <w:rPr>
            <w:rStyle w:val="Hyperlink"/>
          </w:rPr>
          <w:t>[ISO/IEC-29500-1]</w:t>
        </w:r>
      </w:hyperlink>
      <w:r>
        <w:t xml:space="preserve"> §18.8.21; fills").</w:t>
      </w:r>
    </w:p>
    <w:p w:rsidR="00024C0A" w:rsidRDefault="00694C0F">
      <w:r>
        <w:t>Excel reserves FIllId index values 0 and 1</w:t>
      </w:r>
      <w:r>
        <w:t xml:space="preserve"> for internal use. If these are overwritten in the styles.xml file, Excel will ignore the fill definitions and use its internally defined styles instead.</w:t>
      </w:r>
    </w:p>
    <w:p w:rsidR="00024C0A" w:rsidRDefault="00694C0F">
      <w:pPr>
        <w:pStyle w:val="Heading3"/>
      </w:pPr>
      <w:bookmarkStart w:id="2183" w:name="section_8ebf82e44fa443a69ecdd2d793a6f4bf"/>
      <w:bookmarkStart w:id="2184" w:name="_Toc12261152"/>
      <w:r>
        <w:t>Part 1 Section 18.18.35, ST_Formula (Formula)</w:t>
      </w:r>
      <w:bookmarkEnd w:id="2183"/>
      <w:bookmarkEnd w:id="2184"/>
      <w:r>
        <w:fldChar w:fldCharType="begin"/>
      </w:r>
      <w:r>
        <w:instrText xml:space="preserve"> XE "ST_Formula (Formula)" </w:instrText>
      </w:r>
      <w:r>
        <w:fldChar w:fldCharType="end"/>
      </w:r>
    </w:p>
    <w:p w:rsidR="00024C0A" w:rsidRDefault="00694C0F">
      <w:pPr>
        <w:pStyle w:val="Definition-Field"/>
      </w:pPr>
      <w:r>
        <w:t xml:space="preserve">a.   </w:t>
      </w:r>
      <w:r>
        <w:rPr>
          <w:i/>
        </w:rPr>
        <w:t xml:space="preserve">The standard does not </w:t>
      </w:r>
      <w:r>
        <w:rPr>
          <w:i/>
        </w:rPr>
        <w:t>limit the length of the contents of the ST_Formula simple type.</w:t>
      </w:r>
    </w:p>
    <w:p w:rsidR="00024C0A" w:rsidRDefault="00694C0F">
      <w:pPr>
        <w:pStyle w:val="Definition-Field2"/>
      </w:pPr>
      <w:r>
        <w:t>Excel restricts the contents of this simple type to be at most 8192 characters.</w:t>
      </w:r>
    </w:p>
    <w:p w:rsidR="00024C0A" w:rsidRDefault="00694C0F">
      <w:pPr>
        <w:pStyle w:val="Definition-Field"/>
      </w:pPr>
      <w:r>
        <w:t xml:space="preserve">b.   </w:t>
      </w:r>
      <w:r>
        <w:rPr>
          <w:i/>
        </w:rPr>
        <w:t>The standard is missing reference to general formulas syntax and prose.</w:t>
      </w:r>
    </w:p>
    <w:p w:rsidR="00024C0A" w:rsidRDefault="00694C0F">
      <w:pPr>
        <w:pStyle w:val="Definition-Field2"/>
      </w:pPr>
      <w:r>
        <w:t>In Excel, the ST_Formula simple typ</w:t>
      </w:r>
      <w:r>
        <w:t>e should have a reference to general formulas syntax and prose as defined in Formulas ("</w:t>
      </w:r>
      <w:hyperlink r:id="rId147">
        <w:r>
          <w:rPr>
            <w:rStyle w:val="Hyperlink"/>
          </w:rPr>
          <w:t>[ISO/IEC-29500-1]</w:t>
        </w:r>
      </w:hyperlink>
      <w:r>
        <w:t xml:space="preserve"> §18.17").</w:t>
      </w:r>
    </w:p>
    <w:p w:rsidR="00024C0A" w:rsidRDefault="00694C0F">
      <w:pPr>
        <w:pStyle w:val="Heading3"/>
      </w:pPr>
      <w:bookmarkStart w:id="2185" w:name="section_c4cfb1aae45d4ae0bc786ec437e9c444"/>
      <w:bookmarkStart w:id="2186" w:name="_Toc12261153"/>
      <w:r>
        <w:t>Part 1 Section 18.18.42, ST_IconSetType (Icon Set Type)</w:t>
      </w:r>
      <w:bookmarkEnd w:id="2185"/>
      <w:bookmarkEnd w:id="2186"/>
      <w:r>
        <w:fldChar w:fldCharType="begin"/>
      </w:r>
      <w:r>
        <w:instrText xml:space="preserve"> XE "ST_IconSetType (Icon Set Type)" </w:instrText>
      </w:r>
      <w:r>
        <w:fldChar w:fldCharType="end"/>
      </w:r>
    </w:p>
    <w:p w:rsidR="00024C0A" w:rsidRDefault="00694C0F">
      <w:pPr>
        <w:pStyle w:val="Definition-Field"/>
      </w:pPr>
      <w:r>
        <w:t xml:space="preserve">a.   </w:t>
      </w:r>
      <w:r>
        <w:rPr>
          <w:i/>
        </w:rPr>
        <w:t>The standard states that the 5Rating set contains smiley-face icons for conditional formatting.</w:t>
      </w:r>
    </w:p>
    <w:p w:rsidR="00024C0A" w:rsidRDefault="00694C0F">
      <w:pPr>
        <w:pStyle w:val="Definition-Field2"/>
      </w:pPr>
      <w:r>
        <w:t>Office implements the 5Rating icon set is a set of 5 cell phone-like bars (see icons for '4 ratings icon set').</w:t>
      </w:r>
    </w:p>
    <w:p w:rsidR="00024C0A" w:rsidRDefault="00694C0F">
      <w:pPr>
        <w:pStyle w:val="Heading3"/>
      </w:pPr>
      <w:bookmarkStart w:id="2187" w:name="section_693a4c2462a847d187514405629f6f50"/>
      <w:bookmarkStart w:id="2188" w:name="_Toc12261154"/>
      <w:r>
        <w:t>Par</w:t>
      </w:r>
      <w:r>
        <w:t>t 1 Section 18.18.47, ST_NumFmtId (Number Format Id)</w:t>
      </w:r>
      <w:bookmarkEnd w:id="2187"/>
      <w:bookmarkEnd w:id="2188"/>
      <w:r>
        <w:fldChar w:fldCharType="begin"/>
      </w:r>
      <w:r>
        <w:instrText xml:space="preserve"> XE "ST_NumFmtId (Number Format Id)" </w:instrText>
      </w:r>
      <w:r>
        <w:fldChar w:fldCharType="end"/>
      </w:r>
    </w:p>
    <w:p w:rsidR="00024C0A" w:rsidRDefault="00694C0F">
      <w:pPr>
        <w:pStyle w:val="Definition-Field"/>
      </w:pPr>
      <w:r>
        <w:t xml:space="preserve">a.   </w:t>
      </w:r>
      <w:r>
        <w:rPr>
          <w:i/>
        </w:rPr>
        <w:t>The standard states that the values of the ST_NumFmtId simple type are defined by the XML Schema unsignedInt datatype.</w:t>
      </w:r>
    </w:p>
    <w:p w:rsidR="00024C0A" w:rsidRDefault="00694C0F">
      <w:pPr>
        <w:pStyle w:val="Definition-Field2"/>
      </w:pPr>
      <w:r>
        <w:t>Office restricts the values of this attr</w:t>
      </w:r>
      <w:r>
        <w:t>ibute to be at most 65535.</w:t>
      </w:r>
    </w:p>
    <w:p w:rsidR="00024C0A" w:rsidRDefault="00694C0F">
      <w:pPr>
        <w:pStyle w:val="Definition-Field"/>
      </w:pPr>
      <w:r>
        <w:t xml:space="preserve">b.   </w:t>
      </w:r>
      <w:r>
        <w:rPr>
          <w:i/>
        </w:rPr>
        <w:t>The standard does not restrict the values of instances of the ST_NumFmtId simple type.</w:t>
      </w:r>
    </w:p>
    <w:p w:rsidR="00024C0A" w:rsidRDefault="00694C0F">
      <w:pPr>
        <w:pStyle w:val="Definition-Field2"/>
      </w:pPr>
      <w:r>
        <w:t>Office requires the first instance of this type in any sequence to be equal to zero. This instance specifies the default style.</w:t>
      </w:r>
    </w:p>
    <w:p w:rsidR="00024C0A" w:rsidRDefault="00694C0F">
      <w:pPr>
        <w:pStyle w:val="Heading3"/>
      </w:pPr>
      <w:bookmarkStart w:id="2189" w:name="section_f7289bd3806145098c2cb5fc2252c195"/>
      <w:bookmarkStart w:id="2190" w:name="_Toc12261155"/>
      <w:r>
        <w:t>Part 1 Section 18.18.57, ST_PhoneticType (Phonetic Type)</w:t>
      </w:r>
      <w:bookmarkEnd w:id="2189"/>
      <w:bookmarkEnd w:id="2190"/>
      <w:r>
        <w:fldChar w:fldCharType="begin"/>
      </w:r>
      <w:r>
        <w:instrText xml:space="preserve"> XE "ST_PhoneticType (Phonetic Type)" </w:instrText>
      </w:r>
      <w:r>
        <w:fldChar w:fldCharType="end"/>
      </w:r>
    </w:p>
    <w:p w:rsidR="00024C0A" w:rsidRDefault="00694C0F">
      <w:pPr>
        <w:pStyle w:val="Definition-Field"/>
      </w:pPr>
      <w:r>
        <w:t xml:space="preserve">a.   </w:t>
      </w:r>
      <w:r>
        <w:rPr>
          <w:i/>
        </w:rPr>
        <w:t>The standard defines the character set that will be defined for displaying phonetic hints.</w:t>
      </w:r>
    </w:p>
    <w:p w:rsidR="00024C0A" w:rsidRDefault="00694C0F">
      <w:pPr>
        <w:pStyle w:val="Definition-Field2"/>
      </w:pPr>
      <w:r>
        <w:t>Office uses the value as a hint as to what character set is pre</w:t>
      </w:r>
      <w:r>
        <w:t>ferred for editing phonetic hints.</w:t>
      </w:r>
    </w:p>
    <w:p w:rsidR="00024C0A" w:rsidRDefault="00694C0F">
      <w:pPr>
        <w:pStyle w:val="Heading3"/>
      </w:pPr>
      <w:bookmarkStart w:id="2191" w:name="section_e3e3238f97ce40c0ae596b71a8f69a96"/>
      <w:bookmarkStart w:id="2192" w:name="_Toc12261156"/>
      <w:r>
        <w:lastRenderedPageBreak/>
        <w:t>Part 1 Section 18.18.59, ST_PivotFilterType (Pivot Filter Types)</w:t>
      </w:r>
      <w:bookmarkEnd w:id="2191"/>
      <w:bookmarkEnd w:id="2192"/>
      <w:r>
        <w:fldChar w:fldCharType="begin"/>
      </w:r>
      <w:r>
        <w:instrText xml:space="preserve"> XE "ST_PivotFilterType (Pivot Filter Types)" </w:instrText>
      </w:r>
      <w:r>
        <w:fldChar w:fldCharType="end"/>
      </w:r>
    </w:p>
    <w:p w:rsidR="00024C0A" w:rsidRDefault="00694C0F">
      <w:pPr>
        <w:pStyle w:val="Definition-Field"/>
      </w:pPr>
      <w:r>
        <w:t xml:space="preserve">a.   </w:t>
      </w:r>
      <w:r>
        <w:rPr>
          <w:i/>
        </w:rPr>
        <w:t>The standard has descriptions for caption enumeration values stating they apply to field captions.</w:t>
      </w:r>
    </w:p>
    <w:p w:rsidR="00024C0A" w:rsidRDefault="00694C0F">
      <w:pPr>
        <w:pStyle w:val="Definition-Field2"/>
      </w:pPr>
      <w:r>
        <w:t>In O</w:t>
      </w:r>
      <w:r>
        <w:t>ffice, these enumeration values apply to item captions.</w:t>
      </w:r>
    </w:p>
    <w:p w:rsidR="00024C0A" w:rsidRDefault="00694C0F">
      <w:pPr>
        <w:pStyle w:val="Heading3"/>
      </w:pPr>
      <w:bookmarkStart w:id="2193" w:name="section_fe7f7a7d5ec741f886313ac7884f0883"/>
      <w:bookmarkStart w:id="2194" w:name="_Toc12261157"/>
      <w:r>
        <w:t>Part 1 Section 18.18.62, ST_Ref (Cell References)</w:t>
      </w:r>
      <w:bookmarkEnd w:id="2193"/>
      <w:bookmarkEnd w:id="2194"/>
      <w:r>
        <w:fldChar w:fldCharType="begin"/>
      </w:r>
      <w:r>
        <w:instrText xml:space="preserve"> XE "ST_Ref (Cell References)" </w:instrText>
      </w:r>
      <w:r>
        <w:fldChar w:fldCharType="end"/>
      </w:r>
    </w:p>
    <w:p w:rsidR="00024C0A" w:rsidRDefault="00694C0F">
      <w:pPr>
        <w:pStyle w:val="Definition-Field"/>
      </w:pPr>
      <w:r>
        <w:t xml:space="preserve">a.   </w:t>
      </w:r>
      <w:r>
        <w:rPr>
          <w:i/>
        </w:rPr>
        <w:t>The standard does not clearly define what constitutes a valid a cell range reference.</w:t>
      </w:r>
    </w:p>
    <w:p w:rsidR="00024C0A" w:rsidRDefault="00694C0F">
      <w:r>
        <w:t>In Office, a cell range re</w:t>
      </w:r>
      <w:r>
        <w:t>ference consists of two single cell references separated by “:” character. The first single cell reference corresponds to the cell with the smallest row and column numbers, and the second single cell reference corresponds to the cell with the largest row a</w:t>
      </w:r>
      <w:r>
        <w:t>nd column numbers within the range. If both references correspond to the same cell, only the first reference might be recorded, and both “:” and the second reference might be omitted:</w:t>
      </w:r>
    </w:p>
    <w:p w:rsidR="00024C0A" w:rsidRDefault="00694C0F">
      <w:r>
        <w:t>&lt;cell range reference&gt; ::= &lt;cell reference&gt; “:” &lt;cell reference&gt; | &lt;cell</w:t>
      </w:r>
      <w:r>
        <w:t xml:space="preserve"> reference&gt;</w:t>
      </w:r>
    </w:p>
    <w:p w:rsidR="00024C0A" w:rsidRDefault="00694C0F">
      <w:r>
        <w:t>The cell reference, the encoding of column names and their mapping to column numbers are described in ST_CellRef simple type ("</w:t>
      </w:r>
      <w:hyperlink r:id="rId148">
        <w:r>
          <w:rPr>
            <w:rStyle w:val="Hyperlink"/>
          </w:rPr>
          <w:t>[ISO/IEC-29500-1]</w:t>
        </w:r>
      </w:hyperlink>
      <w:r>
        <w:t xml:space="preserve"> §18.18.8; ST_CellSpan").</w:t>
      </w:r>
    </w:p>
    <w:p w:rsidR="00024C0A" w:rsidRDefault="00694C0F">
      <w:r>
        <w:t>The widt</w:t>
      </w:r>
      <w:r>
        <w:t>h of the cell range reference is equal to the difference between the largest column number and the smallest column number of the cell range reference, plus 1.</w:t>
      </w:r>
    </w:p>
    <w:p w:rsidR="00024C0A" w:rsidRDefault="00694C0F">
      <w:r>
        <w:t xml:space="preserve">The height of the cell range reference is equal to the difference between the largest row number </w:t>
      </w:r>
      <w:r>
        <w:t>and the smallest row number of the cell range reference, plus 1.</w:t>
      </w:r>
    </w:p>
    <w:p w:rsidR="00024C0A" w:rsidRDefault="00694C0F">
      <w:r>
        <w:t>[Examples</w:t>
      </w:r>
    </w:p>
    <w:p w:rsidR="00024C0A" w:rsidRDefault="00694C0F">
      <w:r>
        <w:t>A1:AD5 – a reference to the cell range of 150 cells, with top left corner in the cell at column , row 1, and the bottom right corner in the cell at column 30, row 5. The width of th</w:t>
      </w:r>
      <w:r>
        <w:t>is range is 30 columns, and the height of this range is 5 rows.</w:t>
      </w:r>
    </w:p>
    <w:p w:rsidR="00024C0A" w:rsidRDefault="00694C0F">
      <w:r>
        <w:t>XFD1048576 – a reference to the cell in the bottom right corner of the sheet.</w:t>
      </w:r>
    </w:p>
    <w:p w:rsidR="00024C0A" w:rsidRDefault="00694C0F">
      <w:r>
        <w:t>end examples]</w:t>
      </w:r>
    </w:p>
    <w:p w:rsidR="00024C0A" w:rsidRDefault="00694C0F">
      <w:pPr>
        <w:pStyle w:val="Heading3"/>
      </w:pPr>
      <w:bookmarkStart w:id="2195" w:name="section_bfae8b6f1af14788b99a0a544efa2a81"/>
      <w:bookmarkStart w:id="2196" w:name="_Toc12261158"/>
      <w:r>
        <w:t>Part 1 Section 18.18.63, ST_RefA (Single Cell Reference)</w:t>
      </w:r>
      <w:bookmarkEnd w:id="2195"/>
      <w:bookmarkEnd w:id="2196"/>
      <w:r>
        <w:fldChar w:fldCharType="begin"/>
      </w:r>
      <w:r>
        <w:instrText xml:space="preserve"> XE "ST_RefA (Single Cell Reference)" </w:instrText>
      </w:r>
      <w:r>
        <w:fldChar w:fldCharType="end"/>
      </w:r>
    </w:p>
    <w:p w:rsidR="00024C0A" w:rsidRDefault="00694C0F">
      <w:pPr>
        <w:pStyle w:val="Definition-Field"/>
      </w:pPr>
      <w:r>
        <w:t xml:space="preserve">a. </w:t>
      </w:r>
      <w:r>
        <w:t xml:space="preserve">  </w:t>
      </w:r>
      <w:r>
        <w:rPr>
          <w:i/>
        </w:rPr>
        <w:t>The standard defines this subclause to be a reference to single cell.</w:t>
      </w:r>
    </w:p>
    <w:p w:rsidR="00024C0A" w:rsidRDefault="00694C0F">
      <w:pPr>
        <w:pStyle w:val="Definition-Field2"/>
      </w:pPr>
      <w:r>
        <w:t>Office allows elements or attributes of this type to be either a single cell reference or an area reference.</w:t>
      </w:r>
    </w:p>
    <w:p w:rsidR="00024C0A" w:rsidRDefault="00694C0F">
      <w:pPr>
        <w:pStyle w:val="Definition-Field"/>
      </w:pPr>
      <w:r>
        <w:t xml:space="preserve">b.   </w:t>
      </w:r>
      <w:r>
        <w:rPr>
          <w:i/>
        </w:rPr>
        <w:t>The standard does not describe the type of cell references that are al</w:t>
      </w:r>
      <w:r>
        <w:rPr>
          <w:i/>
        </w:rPr>
        <w:t>lowed.</w:t>
      </w:r>
    </w:p>
    <w:p w:rsidR="00024C0A" w:rsidRDefault="00694C0F">
      <w:pPr>
        <w:pStyle w:val="Definition-Field2"/>
      </w:pPr>
      <w:r>
        <w:t>Office specifies the appropriate format of the cell references and the parsing format to be the same as ST_Ref.</w:t>
      </w:r>
    </w:p>
    <w:p w:rsidR="00024C0A" w:rsidRDefault="00694C0F">
      <w:pPr>
        <w:pStyle w:val="Heading3"/>
      </w:pPr>
      <w:bookmarkStart w:id="2197" w:name="section_124de93f54d64d61ad5ae8548f7680b2"/>
      <w:bookmarkStart w:id="2198" w:name="_Toc12261159"/>
      <w:r>
        <w:t>Part 1 Section 18.18.76, ST_Sqref (Reference Sequence)</w:t>
      </w:r>
      <w:bookmarkEnd w:id="2197"/>
      <w:bookmarkEnd w:id="2198"/>
      <w:r>
        <w:fldChar w:fldCharType="begin"/>
      </w:r>
      <w:r>
        <w:instrText xml:space="preserve"> XE "ST_Sqref (Reference Sequence)" </w:instrText>
      </w:r>
      <w:r>
        <w:fldChar w:fldCharType="end"/>
      </w:r>
    </w:p>
    <w:p w:rsidR="00024C0A" w:rsidRDefault="00694C0F">
      <w:pPr>
        <w:pStyle w:val="Definition-Field"/>
      </w:pPr>
      <w:r>
        <w:t xml:space="preserve">a.   </w:t>
      </w:r>
      <w:r>
        <w:rPr>
          <w:i/>
        </w:rPr>
        <w:t xml:space="preserve">The standard states that the number of </w:t>
      </w:r>
      <w:r>
        <w:rPr>
          <w:i/>
        </w:rPr>
        <w:t>ST_Refs in the list is not limited.</w:t>
      </w:r>
    </w:p>
    <w:p w:rsidR="00024C0A" w:rsidRDefault="00694C0F">
      <w:pPr>
        <w:pStyle w:val="Definition-Field2"/>
      </w:pPr>
      <w:r>
        <w:t>Office limits the number of refs in the list to 8192, unless explicitly noted in the respective usage text.</w:t>
      </w:r>
    </w:p>
    <w:p w:rsidR="00024C0A" w:rsidRDefault="00694C0F">
      <w:pPr>
        <w:pStyle w:val="Heading3"/>
      </w:pPr>
      <w:bookmarkStart w:id="2199" w:name="section_af86bfea020b45aa8faa4ad272fe6617"/>
      <w:bookmarkStart w:id="2200" w:name="_Toc12261160"/>
      <w:r>
        <w:lastRenderedPageBreak/>
        <w:t>Part 1 Section 18.18.77, ST_TableStyleType (Table Style Type)</w:t>
      </w:r>
      <w:bookmarkEnd w:id="2199"/>
      <w:bookmarkEnd w:id="2200"/>
      <w:r>
        <w:fldChar w:fldCharType="begin"/>
      </w:r>
      <w:r>
        <w:instrText xml:space="preserve"> XE "ST_TableStyleType (Table Style Type)" </w:instrText>
      </w:r>
      <w:r>
        <w:fldChar w:fldCharType="end"/>
      </w:r>
    </w:p>
    <w:p w:rsidR="00024C0A" w:rsidRDefault="00694C0F">
      <w:pPr>
        <w:pStyle w:val="Definition-Field"/>
      </w:pPr>
      <w:r>
        <w:t xml:space="preserve">a.   </w:t>
      </w:r>
      <w:r>
        <w:rPr>
          <w:i/>
        </w:rPr>
        <w:t>The standard specifies enumeration values using the generic term "table", so that each value can be applied to either ordinary tables or PivotTables.</w:t>
      </w:r>
    </w:p>
    <w:p w:rsidR="00024C0A" w:rsidRDefault="00694C0F">
      <w:pPr>
        <w:pStyle w:val="Definition-Field2"/>
      </w:pPr>
      <w:r>
        <w:t xml:space="preserve">Office the following enumeration values also apply to PivotTables: firstColumn, firstColumnStripe, </w:t>
      </w:r>
      <w:r>
        <w:t>firstHeaderCell, firstRowStripe, headerRow, lastColumn, secondColumnStripe, secondRowStripe, totalRow, and wholeTable.</w:t>
      </w:r>
    </w:p>
    <w:p w:rsidR="00024C0A" w:rsidRDefault="00694C0F">
      <w:pPr>
        <w:pStyle w:val="Heading3"/>
      </w:pPr>
      <w:bookmarkStart w:id="2201" w:name="section_99e8f4cc2f6c46638cf5b044dddc7e1c"/>
      <w:bookmarkStart w:id="2202" w:name="_Toc12261161"/>
      <w:r>
        <w:t>Part 1 Section 18.18.83, ST_TotalsRowFunction (Totals Row Function Types)</w:t>
      </w:r>
      <w:bookmarkEnd w:id="2201"/>
      <w:bookmarkEnd w:id="2202"/>
      <w:r>
        <w:fldChar w:fldCharType="begin"/>
      </w:r>
      <w:r>
        <w:instrText xml:space="preserve"> XE "ST_TotalsRowFunction (Totals Row Function Types)" </w:instrText>
      </w:r>
      <w:r>
        <w:fldChar w:fldCharType="end"/>
      </w:r>
    </w:p>
    <w:p w:rsidR="00024C0A" w:rsidRDefault="00694C0F">
      <w:pPr>
        <w:pStyle w:val="Definition-Field"/>
      </w:pPr>
      <w:r>
        <w:t xml:space="preserve">a.   </w:t>
      </w:r>
      <w:r>
        <w:rPr>
          <w:i/>
        </w:rPr>
        <w:t>The standard does not specify the formula specified by the enumeration value.</w:t>
      </w:r>
    </w:p>
    <w:p w:rsidR="00024C0A" w:rsidRDefault="00694C0F">
      <w:r>
        <w:t xml:space="preserve">The values </w:t>
      </w:r>
      <w:r>
        <w:rPr>
          <w:i/>
        </w:rPr>
        <w:t>average</w:t>
      </w:r>
      <w:r>
        <w:t xml:space="preserve">, </w:t>
      </w:r>
      <w:r>
        <w:rPr>
          <w:i/>
        </w:rPr>
        <w:t>count</w:t>
      </w:r>
      <w:r>
        <w:t xml:space="preserve">, </w:t>
      </w:r>
      <w:r>
        <w:rPr>
          <w:i/>
        </w:rPr>
        <w:t>countNums</w:t>
      </w:r>
      <w:r>
        <w:t xml:space="preserve">, </w:t>
      </w:r>
      <w:r>
        <w:rPr>
          <w:i/>
        </w:rPr>
        <w:t>max</w:t>
      </w:r>
      <w:r>
        <w:t xml:space="preserve">, </w:t>
      </w:r>
      <w:r>
        <w:rPr>
          <w:i/>
        </w:rPr>
        <w:t>min</w:t>
      </w:r>
      <w:r>
        <w:t xml:space="preserve">, </w:t>
      </w:r>
      <w:r>
        <w:rPr>
          <w:i/>
        </w:rPr>
        <w:t>stdDev</w:t>
      </w:r>
      <w:r>
        <w:t xml:space="preserve">, </w:t>
      </w:r>
      <w:r>
        <w:rPr>
          <w:i/>
        </w:rPr>
        <w:t>sum</w:t>
      </w:r>
      <w:r>
        <w:t xml:space="preserve">, and </w:t>
      </w:r>
      <w:r>
        <w:rPr>
          <w:i/>
        </w:rPr>
        <w:t>var</w:t>
      </w:r>
      <w:r>
        <w:t xml:space="preserve"> specify the SUBTOTAL formula ("</w:t>
      </w:r>
      <w:hyperlink r:id="rId149">
        <w:r>
          <w:rPr>
            <w:rStyle w:val="Hyperlink"/>
          </w:rPr>
          <w:t>[ISO/IEC-295</w:t>
        </w:r>
        <w:r>
          <w:rPr>
            <w:rStyle w:val="Hyperlink"/>
          </w:rPr>
          <w:t>00-1]</w:t>
        </w:r>
      </w:hyperlink>
      <w:r>
        <w:t xml:space="preserve"> §18.17.7.305; SUBTOTAL"); where the </w:t>
      </w:r>
      <w:r>
        <w:rPr>
          <w:i/>
        </w:rPr>
        <w:t>function-number</w:t>
      </w:r>
      <w:r>
        <w:t xml:space="preserve"> is specified in the following value table and the </w:t>
      </w:r>
      <w:r>
        <w:rPr>
          <w:i/>
        </w:rPr>
        <w:t>argument-list</w:t>
      </w:r>
      <w:r>
        <w:t xml:space="preserve"> is a cell reference ("[ISO/IEC-29500-1] §18.17.2.3") or structure reference ("[ISO/IEC-29500-1] §18.17.2.3") that designates the cells</w:t>
      </w:r>
      <w:r>
        <w:t xml:space="preserve"> of the table column’s data region.</w:t>
      </w:r>
    </w:p>
    <w:p w:rsidR="00024C0A" w:rsidRDefault="00694C0F">
      <w:r>
        <w:t>The following are possible enumeration values for this type:</w:t>
      </w:r>
    </w:p>
    <w:tbl>
      <w:tblPr>
        <w:tblStyle w:val="Table-ShadedHeader"/>
        <w:tblW w:w="0" w:type="auto"/>
        <w:tblLook w:val="04A0" w:firstRow="1" w:lastRow="0" w:firstColumn="1" w:lastColumn="0" w:noHBand="0" w:noVBand="1"/>
      </w:tblPr>
      <w:tblGrid>
        <w:gridCol w:w="2513"/>
        <w:gridCol w:w="6962"/>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Enumeration Value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average</w:t>
            </w:r>
            <w:r>
              <w:t xml:space="preserve"> (Average)</w:t>
            </w:r>
          </w:p>
        </w:tc>
        <w:tc>
          <w:tcPr>
            <w:tcW w:w="0" w:type="auto"/>
            <w:vAlign w:val="center"/>
          </w:tcPr>
          <w:p w:rsidR="00024C0A" w:rsidRDefault="00694C0F">
            <w:pPr>
              <w:pStyle w:val="TableBodyText"/>
            </w:pPr>
            <w:r>
              <w:t xml:space="preserve">Represents the arithmetic mean. The SUBTOTAL </w:t>
            </w:r>
            <w:r>
              <w:rPr>
                <w:i/>
              </w:rPr>
              <w:t>function-number</w:t>
            </w:r>
            <w:r>
              <w:t xml:space="preserve"> is 101.</w:t>
            </w:r>
          </w:p>
        </w:tc>
      </w:tr>
      <w:tr w:rsidR="00024C0A" w:rsidTr="00024C0A">
        <w:tc>
          <w:tcPr>
            <w:tcW w:w="0" w:type="auto"/>
            <w:vAlign w:val="center"/>
          </w:tcPr>
          <w:p w:rsidR="00024C0A" w:rsidRDefault="00694C0F">
            <w:pPr>
              <w:pStyle w:val="TableBodyText"/>
            </w:pPr>
            <w:r>
              <w:rPr>
                <w:b/>
              </w:rPr>
              <w:t>count</w:t>
            </w:r>
            <w:r>
              <w:t xml:space="preserve"> (Non Empty Cell Count)</w:t>
            </w:r>
          </w:p>
        </w:tc>
        <w:tc>
          <w:tcPr>
            <w:tcW w:w="0" w:type="auto"/>
            <w:vAlign w:val="center"/>
          </w:tcPr>
          <w:p w:rsidR="00024C0A" w:rsidRDefault="00694C0F">
            <w:pPr>
              <w:pStyle w:val="TableBodyText"/>
            </w:pPr>
            <w:r>
              <w:t xml:space="preserve">Represents </w:t>
            </w:r>
            <w:r>
              <w:t xml:space="preserve">a count of the number of non-empty cells. The SUBTOTAL </w:t>
            </w:r>
            <w:r>
              <w:rPr>
                <w:i/>
              </w:rPr>
              <w:t>function-number</w:t>
            </w:r>
            <w:r>
              <w:t xml:space="preserve"> is 103.</w:t>
            </w:r>
          </w:p>
        </w:tc>
      </w:tr>
      <w:tr w:rsidR="00024C0A" w:rsidTr="00024C0A">
        <w:tc>
          <w:tcPr>
            <w:tcW w:w="0" w:type="auto"/>
            <w:vAlign w:val="center"/>
          </w:tcPr>
          <w:p w:rsidR="00024C0A" w:rsidRDefault="00694C0F">
            <w:pPr>
              <w:pStyle w:val="TableBodyText"/>
            </w:pPr>
            <w:r>
              <w:rPr>
                <w:b/>
              </w:rPr>
              <w:t>countNums</w:t>
            </w:r>
            <w:r>
              <w:t xml:space="preserve"> (Count Numbers)</w:t>
            </w:r>
          </w:p>
        </w:tc>
        <w:tc>
          <w:tcPr>
            <w:tcW w:w="0" w:type="auto"/>
            <w:vAlign w:val="center"/>
          </w:tcPr>
          <w:p w:rsidR="00024C0A" w:rsidRDefault="00694C0F">
            <w:pPr>
              <w:pStyle w:val="TableBodyText"/>
            </w:pPr>
            <w:r>
              <w:t xml:space="preserve">Represents the number of cells that contain numbers. The SUBTOTAL </w:t>
            </w:r>
            <w:r>
              <w:rPr>
                <w:i/>
              </w:rPr>
              <w:t>function-number</w:t>
            </w:r>
            <w:r>
              <w:t xml:space="preserve"> is 102.</w:t>
            </w:r>
          </w:p>
        </w:tc>
      </w:tr>
      <w:tr w:rsidR="00024C0A" w:rsidTr="00024C0A">
        <w:tc>
          <w:tcPr>
            <w:tcW w:w="0" w:type="auto"/>
            <w:vAlign w:val="center"/>
          </w:tcPr>
          <w:p w:rsidR="00024C0A" w:rsidRDefault="00694C0F">
            <w:pPr>
              <w:pStyle w:val="TableBodyText"/>
            </w:pPr>
            <w:r>
              <w:rPr>
                <w:b/>
              </w:rPr>
              <w:t>custom</w:t>
            </w:r>
            <w:r>
              <w:t xml:space="preserve"> (Custom Formula)</w:t>
            </w:r>
          </w:p>
        </w:tc>
        <w:tc>
          <w:tcPr>
            <w:tcW w:w="0" w:type="auto"/>
            <w:vAlign w:val="center"/>
          </w:tcPr>
          <w:p w:rsidR="00024C0A" w:rsidRDefault="00694C0F">
            <w:pPr>
              <w:pStyle w:val="TableBodyText"/>
            </w:pPr>
            <w:r>
              <w:t xml:space="preserve">Represents the formula provided in </w:t>
            </w:r>
            <w:r>
              <w:rPr>
                <w:i/>
              </w:rPr>
              <w:t>totalsRowFormula.</w:t>
            </w:r>
          </w:p>
        </w:tc>
      </w:tr>
      <w:tr w:rsidR="00024C0A" w:rsidTr="00024C0A">
        <w:tc>
          <w:tcPr>
            <w:tcW w:w="0" w:type="auto"/>
            <w:vAlign w:val="center"/>
          </w:tcPr>
          <w:p w:rsidR="00024C0A" w:rsidRDefault="00694C0F">
            <w:pPr>
              <w:pStyle w:val="TableBodyText"/>
            </w:pPr>
            <w:r>
              <w:rPr>
                <w:b/>
              </w:rPr>
              <w:t>max</w:t>
            </w:r>
            <w:r>
              <w:t xml:space="preserve"> (Maximum)</w:t>
            </w:r>
          </w:p>
        </w:tc>
        <w:tc>
          <w:tcPr>
            <w:tcW w:w="0" w:type="auto"/>
            <w:vAlign w:val="center"/>
          </w:tcPr>
          <w:p w:rsidR="00024C0A" w:rsidRDefault="00694C0F">
            <w:pPr>
              <w:pStyle w:val="TableBodyText"/>
            </w:pPr>
            <w:r>
              <w:t xml:space="preserve">Represents the largest value. The SUBTOTAL </w:t>
            </w:r>
            <w:r>
              <w:rPr>
                <w:i/>
              </w:rPr>
              <w:t>function-number</w:t>
            </w:r>
            <w:r>
              <w:t xml:space="preserve"> is 104.</w:t>
            </w:r>
          </w:p>
        </w:tc>
      </w:tr>
      <w:tr w:rsidR="00024C0A" w:rsidTr="00024C0A">
        <w:tc>
          <w:tcPr>
            <w:tcW w:w="0" w:type="auto"/>
            <w:vAlign w:val="center"/>
          </w:tcPr>
          <w:p w:rsidR="00024C0A" w:rsidRDefault="00694C0F">
            <w:pPr>
              <w:pStyle w:val="TableBodyText"/>
            </w:pPr>
            <w:r>
              <w:rPr>
                <w:b/>
              </w:rPr>
              <w:t>min</w:t>
            </w:r>
            <w:r>
              <w:t xml:space="preserve"> (Minimum)</w:t>
            </w:r>
          </w:p>
        </w:tc>
        <w:tc>
          <w:tcPr>
            <w:tcW w:w="0" w:type="auto"/>
            <w:vAlign w:val="center"/>
          </w:tcPr>
          <w:p w:rsidR="00024C0A" w:rsidRDefault="00694C0F">
            <w:pPr>
              <w:pStyle w:val="TableBodyText"/>
            </w:pPr>
            <w:r>
              <w:t xml:space="preserve">Represents the smallest value. The SUBTOTAL </w:t>
            </w:r>
            <w:r>
              <w:rPr>
                <w:i/>
              </w:rPr>
              <w:t>function-number</w:t>
            </w:r>
            <w:r>
              <w:t xml:space="preserve"> is 105.</w:t>
            </w:r>
          </w:p>
        </w:tc>
      </w:tr>
      <w:tr w:rsidR="00024C0A" w:rsidTr="00024C0A">
        <w:tc>
          <w:tcPr>
            <w:tcW w:w="0" w:type="auto"/>
            <w:vAlign w:val="center"/>
          </w:tcPr>
          <w:p w:rsidR="00024C0A" w:rsidRDefault="00694C0F">
            <w:pPr>
              <w:pStyle w:val="TableBodyText"/>
            </w:pPr>
            <w:r>
              <w:rPr>
                <w:b/>
              </w:rPr>
              <w:t>none</w:t>
            </w:r>
            <w:r>
              <w:t xml:space="preserve"> (None)</w:t>
            </w:r>
          </w:p>
        </w:tc>
        <w:tc>
          <w:tcPr>
            <w:tcW w:w="0" w:type="auto"/>
            <w:vAlign w:val="center"/>
          </w:tcPr>
          <w:p w:rsidR="00024C0A" w:rsidRDefault="00694C0F">
            <w:pPr>
              <w:pStyle w:val="TableBodyText"/>
            </w:pPr>
            <w:r>
              <w:t>No total row.</w:t>
            </w:r>
          </w:p>
        </w:tc>
      </w:tr>
      <w:tr w:rsidR="00024C0A" w:rsidTr="00024C0A">
        <w:tc>
          <w:tcPr>
            <w:tcW w:w="0" w:type="auto"/>
            <w:vAlign w:val="center"/>
          </w:tcPr>
          <w:p w:rsidR="00024C0A" w:rsidRDefault="00694C0F">
            <w:pPr>
              <w:pStyle w:val="TableBodyText"/>
            </w:pPr>
            <w:r>
              <w:rPr>
                <w:b/>
              </w:rPr>
              <w:t>stdDev</w:t>
            </w:r>
            <w:r>
              <w:t xml:space="preserve"> (StdDev)</w:t>
            </w:r>
          </w:p>
        </w:tc>
        <w:tc>
          <w:tcPr>
            <w:tcW w:w="0" w:type="auto"/>
            <w:vAlign w:val="center"/>
          </w:tcPr>
          <w:p w:rsidR="00024C0A" w:rsidRDefault="00694C0F">
            <w:pPr>
              <w:pStyle w:val="TableBodyText"/>
            </w:pPr>
            <w:r>
              <w:t>Represents the estimated stan</w:t>
            </w:r>
            <w:r>
              <w:t xml:space="preserve">dard deviation. The SUBTOTAL </w:t>
            </w:r>
            <w:r>
              <w:rPr>
                <w:i/>
              </w:rPr>
              <w:t>function-number</w:t>
            </w:r>
            <w:r>
              <w:t xml:space="preserve"> is 107.</w:t>
            </w:r>
          </w:p>
        </w:tc>
      </w:tr>
      <w:tr w:rsidR="00024C0A" w:rsidTr="00024C0A">
        <w:tc>
          <w:tcPr>
            <w:tcW w:w="0" w:type="auto"/>
            <w:vAlign w:val="center"/>
          </w:tcPr>
          <w:p w:rsidR="00024C0A" w:rsidRDefault="00694C0F">
            <w:pPr>
              <w:pStyle w:val="TableBodyText"/>
            </w:pPr>
            <w:r>
              <w:rPr>
                <w:b/>
              </w:rPr>
              <w:t>sum</w:t>
            </w:r>
            <w:r>
              <w:t xml:space="preserve"> (Sum)</w:t>
            </w:r>
          </w:p>
        </w:tc>
        <w:tc>
          <w:tcPr>
            <w:tcW w:w="0" w:type="auto"/>
            <w:vAlign w:val="center"/>
          </w:tcPr>
          <w:p w:rsidR="00024C0A" w:rsidRDefault="00694C0F">
            <w:pPr>
              <w:pStyle w:val="TableBodyText"/>
            </w:pPr>
            <w:r>
              <w:t xml:space="preserve">Represents the arithmetic sum. The SUBTOTAL </w:t>
            </w:r>
            <w:r>
              <w:rPr>
                <w:i/>
              </w:rPr>
              <w:t>function-number</w:t>
            </w:r>
            <w:r>
              <w:t xml:space="preserve"> is 109.</w:t>
            </w:r>
          </w:p>
        </w:tc>
      </w:tr>
      <w:tr w:rsidR="00024C0A" w:rsidTr="00024C0A">
        <w:tc>
          <w:tcPr>
            <w:tcW w:w="0" w:type="auto"/>
            <w:vAlign w:val="center"/>
          </w:tcPr>
          <w:p w:rsidR="00024C0A" w:rsidRDefault="00694C0F">
            <w:pPr>
              <w:pStyle w:val="TableBodyText"/>
            </w:pPr>
            <w:r>
              <w:rPr>
                <w:b/>
              </w:rPr>
              <w:t>var</w:t>
            </w:r>
            <w:r>
              <w:t xml:space="preserve"> (Var)</w:t>
            </w:r>
          </w:p>
        </w:tc>
        <w:tc>
          <w:tcPr>
            <w:tcW w:w="0" w:type="auto"/>
            <w:vAlign w:val="center"/>
          </w:tcPr>
          <w:p w:rsidR="00024C0A" w:rsidRDefault="00694C0F">
            <w:pPr>
              <w:pStyle w:val="TableBodyText"/>
            </w:pPr>
            <w:r>
              <w:t xml:space="preserve">Represents the estimated variance. The SUBTOTAL </w:t>
            </w:r>
            <w:r>
              <w:rPr>
                <w:i/>
              </w:rPr>
              <w:t>function-number</w:t>
            </w:r>
            <w:r>
              <w:t xml:space="preserve"> is 110.</w:t>
            </w:r>
          </w:p>
        </w:tc>
      </w:tr>
    </w:tbl>
    <w:p w:rsidR="00024C0A" w:rsidRDefault="00024C0A"/>
    <w:p w:rsidR="00024C0A" w:rsidRDefault="00694C0F">
      <w:pPr>
        <w:pStyle w:val="Heading3"/>
      </w:pPr>
      <w:bookmarkStart w:id="2203" w:name="section_49537dee2826428a984e70e8d44af015"/>
      <w:bookmarkStart w:id="2204" w:name="_Toc12261162"/>
      <w:r>
        <w:t>Part 1 Section 18.18.87, ST_UpdateLinks (Update Links Behavior Types)</w:t>
      </w:r>
      <w:bookmarkEnd w:id="2203"/>
      <w:bookmarkEnd w:id="2204"/>
      <w:r>
        <w:fldChar w:fldCharType="begin"/>
      </w:r>
      <w:r>
        <w:instrText xml:space="preserve"> XE "ST_UpdateLinks (Update Links Behavior Types)" </w:instrText>
      </w:r>
      <w:r>
        <w:fldChar w:fldCharType="end"/>
      </w:r>
    </w:p>
    <w:p w:rsidR="00024C0A" w:rsidRDefault="00694C0F">
      <w:pPr>
        <w:pStyle w:val="Definition-Field"/>
      </w:pPr>
      <w:r>
        <w:t xml:space="preserve">a.   </w:t>
      </w:r>
      <w:r>
        <w:rPr>
          <w:i/>
        </w:rPr>
        <w:t>The standard requires that for the value of always the links are always updated without displaying an alert.</w:t>
      </w:r>
    </w:p>
    <w:p w:rsidR="00024C0A" w:rsidRDefault="00694C0F">
      <w:pPr>
        <w:pStyle w:val="Definition-Field2"/>
      </w:pPr>
      <w:r>
        <w:t xml:space="preserve">Excel always </w:t>
      </w:r>
      <w:r>
        <w:t>displays an alert before updating the links.</w:t>
      </w:r>
    </w:p>
    <w:p w:rsidR="00024C0A" w:rsidRDefault="00694C0F">
      <w:pPr>
        <w:pStyle w:val="Heading3"/>
      </w:pPr>
      <w:bookmarkStart w:id="2205" w:name="section_049a4e676f4c4025a8696fe7dec8f7e5"/>
      <w:bookmarkStart w:id="2206" w:name="_Toc12261163"/>
      <w:r>
        <w:t>Part 1 Section 18.18.89, ST_Visibility (Visibility Types)</w:t>
      </w:r>
      <w:bookmarkEnd w:id="2205"/>
      <w:bookmarkEnd w:id="2206"/>
      <w:r>
        <w:fldChar w:fldCharType="begin"/>
      </w:r>
      <w:r>
        <w:instrText xml:space="preserve"> XE "ST_Visibility (Visibility Types)" </w:instrText>
      </w:r>
      <w:r>
        <w:fldChar w:fldCharType="end"/>
      </w:r>
    </w:p>
    <w:p w:rsidR="00024C0A" w:rsidRDefault="00694C0F">
      <w:pPr>
        <w:pStyle w:val="Definition-Field"/>
      </w:pPr>
      <w:r>
        <w:t xml:space="preserve">a.   </w:t>
      </w:r>
      <w:r>
        <w:rPr>
          <w:i/>
        </w:rPr>
        <w:t>The standard states this is about sheet visibility.</w:t>
      </w:r>
    </w:p>
    <w:p w:rsidR="00024C0A" w:rsidRDefault="00694C0F">
      <w:pPr>
        <w:pStyle w:val="Definition-Field2"/>
      </w:pPr>
      <w:r>
        <w:lastRenderedPageBreak/>
        <w:t>Office uses this for workbook window visibility.</w:t>
      </w:r>
    </w:p>
    <w:p w:rsidR="00024C0A" w:rsidRDefault="00694C0F">
      <w:pPr>
        <w:pStyle w:val="Heading3"/>
      </w:pPr>
      <w:bookmarkStart w:id="2207" w:name="section_a0b95db945994a7dae014cff87aa21f9"/>
      <w:bookmarkStart w:id="2208" w:name="_Toc12261164"/>
      <w:r>
        <w:t>Part 1</w:t>
      </w:r>
      <w:r>
        <w:t xml:space="preserve"> Section 18.18.92, ST_WebSourceType (Web Source Type)</w:t>
      </w:r>
      <w:bookmarkEnd w:id="2207"/>
      <w:bookmarkEnd w:id="2208"/>
      <w:r>
        <w:fldChar w:fldCharType="begin"/>
      </w:r>
      <w:r>
        <w:instrText xml:space="preserve"> XE "ST_WebSourceType (Web Source Type)" </w:instrText>
      </w:r>
      <w:r>
        <w:fldChar w:fldCharType="end"/>
      </w:r>
    </w:p>
    <w:p w:rsidR="00024C0A" w:rsidRDefault="00694C0F">
      <w:pPr>
        <w:pStyle w:val="Definition-Field"/>
      </w:pPr>
      <w:r>
        <w:t xml:space="preserve">a.   </w:t>
      </w:r>
      <w:r>
        <w:rPr>
          <w:i/>
        </w:rPr>
        <w:t>The standard states that the label value defines a label.</w:t>
      </w:r>
    </w:p>
    <w:p w:rsidR="00024C0A" w:rsidRDefault="00694C0F">
      <w:pPr>
        <w:pStyle w:val="Definition-Field2"/>
      </w:pPr>
      <w:r>
        <w:t>Excel uses this value to define a named range of cells.</w:t>
      </w:r>
    </w:p>
    <w:p w:rsidR="00024C0A" w:rsidRDefault="00694C0F">
      <w:pPr>
        <w:pStyle w:val="Definition-Field"/>
      </w:pPr>
      <w:r>
        <w:t xml:space="preserve">b.   </w:t>
      </w:r>
      <w:r>
        <w:rPr>
          <w:i/>
        </w:rPr>
        <w:t>The standard states that charts can</w:t>
      </w:r>
      <w:r>
        <w:rPr>
          <w:i/>
        </w:rPr>
        <w:t xml:space="preserve"> be published.</w:t>
      </w:r>
    </w:p>
    <w:p w:rsidR="00024C0A" w:rsidRDefault="00694C0F">
      <w:pPr>
        <w:pStyle w:val="Definition-Field2"/>
      </w:pPr>
      <w:r>
        <w:t>Office does not allow charts to be published.</w:t>
      </w:r>
    </w:p>
    <w:p w:rsidR="00024C0A" w:rsidRDefault="00694C0F">
      <w:pPr>
        <w:pStyle w:val="Heading3"/>
      </w:pPr>
      <w:bookmarkStart w:id="2209" w:name="section_054574864bf84e099d276f74fcf68562"/>
      <w:bookmarkStart w:id="2210" w:name="_Toc12261165"/>
      <w:r>
        <w:t>Part 1 Section 19.2.1.5, custShow (Custom Show)</w:t>
      </w:r>
      <w:bookmarkEnd w:id="2209"/>
      <w:bookmarkEnd w:id="2210"/>
      <w:r>
        <w:fldChar w:fldCharType="begin"/>
      </w:r>
      <w:r>
        <w:instrText xml:space="preserve"> XE "custShow (Custom Show)" </w:instrText>
      </w:r>
      <w:r>
        <w:fldChar w:fldCharType="end"/>
      </w:r>
    </w:p>
    <w:p w:rsidR="00024C0A" w:rsidRDefault="00694C0F">
      <w:pPr>
        <w:pStyle w:val="Definition-Field"/>
      </w:pPr>
      <w:r>
        <w:t xml:space="preserve">a.   </w:t>
      </w:r>
      <w:r>
        <w:rPr>
          <w:i/>
        </w:rPr>
        <w:t>The standard states that the id attribute is a number that should be unique within the presentation.</w:t>
      </w:r>
    </w:p>
    <w:p w:rsidR="00024C0A" w:rsidRDefault="00694C0F">
      <w:pPr>
        <w:pStyle w:val="Definition-Field2"/>
      </w:pPr>
      <w:r>
        <w:t>PowerPoint</w:t>
      </w:r>
      <w:r>
        <w:t xml:space="preserve"> requires that the id attribute shall be linked to one of the custom shows defined in the presentation's custShowLst element.</w:t>
      </w:r>
    </w:p>
    <w:p w:rsidR="00024C0A" w:rsidRDefault="00694C0F">
      <w:pPr>
        <w:pStyle w:val="Heading3"/>
      </w:pPr>
      <w:bookmarkStart w:id="2211" w:name="section_41eb94ad9a8e4f7fb17eed9cc54b5fd7"/>
      <w:bookmarkStart w:id="2212" w:name="_Toc12261166"/>
      <w:r>
        <w:t>Part 1 Section 19.2.1.6, custShow (Custom Show)</w:t>
      </w:r>
      <w:bookmarkEnd w:id="2211"/>
      <w:bookmarkEnd w:id="2212"/>
      <w:r>
        <w:fldChar w:fldCharType="begin"/>
      </w:r>
      <w:r>
        <w:instrText xml:space="preserve"> XE "custShow (Custom Show)" </w:instrText>
      </w:r>
      <w:r>
        <w:fldChar w:fldCharType="end"/>
      </w:r>
    </w:p>
    <w:p w:rsidR="00024C0A" w:rsidRDefault="00694C0F">
      <w:pPr>
        <w:pStyle w:val="Definition-Field"/>
      </w:pPr>
      <w:r>
        <w:t xml:space="preserve">a.   </w:t>
      </w:r>
      <w:r>
        <w:rPr>
          <w:i/>
        </w:rPr>
        <w:t>The standard states that the id attribute shou</w:t>
      </w:r>
      <w:r>
        <w:rPr>
          <w:i/>
        </w:rPr>
        <w:t>ld be unique among all the custom shows within the corresponding presentation.</w:t>
      </w:r>
    </w:p>
    <w:p w:rsidR="00024C0A" w:rsidRDefault="00694C0F">
      <w:pPr>
        <w:pStyle w:val="Definition-Field2"/>
      </w:pPr>
      <w:r>
        <w:t>PowerPoint further uses consecutive values when writing out the id values.</w:t>
      </w:r>
    </w:p>
    <w:p w:rsidR="00024C0A" w:rsidRDefault="00694C0F">
      <w:pPr>
        <w:pStyle w:val="Heading3"/>
      </w:pPr>
      <w:bookmarkStart w:id="2213" w:name="section_fb2ecab117a14552bac38df949321ba8"/>
      <w:bookmarkStart w:id="2214" w:name="_Toc12261167"/>
      <w:r>
        <w:t>Part 1 Section 19.2.1.10, embeddedFontLst (Embedded Font List)</w:t>
      </w:r>
      <w:bookmarkEnd w:id="2213"/>
      <w:bookmarkEnd w:id="2214"/>
      <w:r>
        <w:fldChar w:fldCharType="begin"/>
      </w:r>
      <w:r>
        <w:instrText xml:space="preserve"> XE "embeddedFontLst (Embedded Font List</w:instrText>
      </w:r>
      <w:r>
        <w:instrText xml:space="preserve">)" </w:instrText>
      </w:r>
      <w:r>
        <w:fldChar w:fldCharType="end"/>
      </w:r>
    </w:p>
    <w:p w:rsidR="00024C0A" w:rsidRDefault="00694C0F">
      <w:pPr>
        <w:pStyle w:val="Definition-Field"/>
      </w:pPr>
      <w:r>
        <w:t xml:space="preserve">a.   </w:t>
      </w:r>
      <w:r>
        <w:rPr>
          <w:i/>
        </w:rPr>
        <w:t>The standard states that the font data is referenced within the embeddedFont element.</w:t>
      </w:r>
    </w:p>
    <w:p w:rsidR="00024C0A" w:rsidRDefault="00694C0F">
      <w:pPr>
        <w:pStyle w:val="Definition-Field2"/>
      </w:pPr>
      <w:r>
        <w:t>PowerPoint further requires that the typeface of each embeddedFont element shall be unique.</w:t>
      </w:r>
    </w:p>
    <w:p w:rsidR="00024C0A" w:rsidRDefault="00694C0F">
      <w:pPr>
        <w:pStyle w:val="Definition-Field"/>
      </w:pPr>
      <w:r>
        <w:t xml:space="preserve">b.   </w:t>
      </w:r>
      <w:r>
        <w:rPr>
          <w:i/>
        </w:rPr>
        <w:t>The standard states that the embeddedFontLst element specifies</w:t>
      </w:r>
      <w:r>
        <w:rPr>
          <w:i/>
        </w:rPr>
        <w:t xml:space="preserve"> a list of fonts that are embedded within the corresponding presentation.</w:t>
      </w:r>
    </w:p>
    <w:p w:rsidR="00024C0A" w:rsidRDefault="00694C0F">
      <w:pPr>
        <w:pStyle w:val="Definition-Field2"/>
      </w:pPr>
      <w:r>
        <w:t>PowerPoint further requires that all of the fonts specified in this list shall be used in this presentation.</w:t>
      </w:r>
    </w:p>
    <w:p w:rsidR="00024C0A" w:rsidRDefault="00694C0F">
      <w:pPr>
        <w:pStyle w:val="Heading3"/>
      </w:pPr>
      <w:bookmarkStart w:id="2215" w:name="section_5d37fa53ccfe40c2b255c6aecc584a0f"/>
      <w:bookmarkStart w:id="2216" w:name="_Toc12261168"/>
      <w:r>
        <w:t>Part 1 Section 19.2.1.11, ext (Extension)</w:t>
      </w:r>
      <w:bookmarkEnd w:id="2215"/>
      <w:bookmarkEnd w:id="2216"/>
      <w:r>
        <w:fldChar w:fldCharType="begin"/>
      </w:r>
      <w:r>
        <w:instrText xml:space="preserve"> XE "ext (Extension)" </w:instrText>
      </w:r>
      <w:r>
        <w:fldChar w:fldCharType="end"/>
      </w:r>
    </w:p>
    <w:p w:rsidR="00024C0A" w:rsidRDefault="00694C0F">
      <w:pPr>
        <w:pStyle w:val="Definition-Field"/>
      </w:pPr>
      <w:r>
        <w:t xml:space="preserve">a.   </w:t>
      </w:r>
      <w:r>
        <w:rPr>
          <w:i/>
        </w:rPr>
        <w:t>Th</w:t>
      </w:r>
      <w:r>
        <w:rPr>
          <w:i/>
        </w:rPr>
        <w:t>e standard implies that the uri attribute is optional.</w:t>
      </w:r>
    </w:p>
    <w:p w:rsidR="00024C0A" w:rsidRDefault="00694C0F">
      <w:pPr>
        <w:pStyle w:val="Definition-Field2"/>
      </w:pPr>
      <w:r>
        <w:t>PowerPoint requires the uri attribute.</w:t>
      </w:r>
    </w:p>
    <w:p w:rsidR="00024C0A" w:rsidRDefault="00694C0F">
      <w:pPr>
        <w:pStyle w:val="Heading3"/>
      </w:pPr>
      <w:bookmarkStart w:id="2217" w:name="section_2799f9b3d0b84e5f949480ecda8934e7"/>
      <w:bookmarkStart w:id="2218" w:name="_Toc12261169"/>
      <w:r>
        <w:t>Part 1 Section 19.2.1.13, font (Embedded Font Name)</w:t>
      </w:r>
      <w:bookmarkEnd w:id="2217"/>
      <w:bookmarkEnd w:id="2218"/>
      <w:r>
        <w:fldChar w:fldCharType="begin"/>
      </w:r>
      <w:r>
        <w:instrText xml:space="preserve"> XE "font (Embedded Font Name)" </w:instrText>
      </w:r>
      <w:r>
        <w:fldChar w:fldCharType="end"/>
      </w:r>
    </w:p>
    <w:p w:rsidR="00024C0A" w:rsidRDefault="00694C0F">
      <w:pPr>
        <w:pStyle w:val="Definition-Field2"/>
      </w:pPr>
      <w:r>
        <w:rPr>
          <w:i/>
        </w:rPr>
        <w:t xml:space="preserve">For additional notes that apply to this portion of the standard, please see </w:t>
      </w:r>
      <w:r>
        <w:rPr>
          <w:i/>
        </w:rPr>
        <w:t xml:space="preserve">the notes for </w:t>
      </w:r>
      <w:hyperlink w:anchor="Section_e6784cb715474ee5addc730cac8b4d00">
        <w:r>
          <w:rPr>
            <w:rStyle w:val="Hyperlink"/>
          </w:rPr>
          <w:t>latin, §21.1.2.3.7(a-d)</w:t>
        </w:r>
      </w:hyperlink>
      <w:r>
        <w:rPr>
          <w:i/>
        </w:rPr>
        <w:t>.</w:t>
      </w:r>
    </w:p>
    <w:p w:rsidR="00024C0A" w:rsidRDefault="00694C0F">
      <w:pPr>
        <w:pStyle w:val="Heading3"/>
      </w:pPr>
      <w:bookmarkStart w:id="2219" w:name="section_c02a5399b3584f4e8e42ad4fbb0e5261"/>
      <w:bookmarkStart w:id="2220" w:name="_Toc12261170"/>
      <w:r>
        <w:t>Part 1 Section 19.2.1.17, kinsoku (Kinsoku Settings)</w:t>
      </w:r>
      <w:bookmarkEnd w:id="2219"/>
      <w:bookmarkEnd w:id="2220"/>
      <w:r>
        <w:fldChar w:fldCharType="begin"/>
      </w:r>
      <w:r>
        <w:instrText xml:space="preserve"> XE "kinsoku (Kinsoku Settings)" </w:instrText>
      </w:r>
      <w:r>
        <w:fldChar w:fldCharType="end"/>
      </w:r>
    </w:p>
    <w:p w:rsidR="00024C0A" w:rsidRDefault="00694C0F">
      <w:pPr>
        <w:pStyle w:val="Definition-Field"/>
      </w:pPr>
      <w:r>
        <w:t xml:space="preserve">a.   </w:t>
      </w:r>
      <w:r>
        <w:rPr>
          <w:i/>
        </w:rPr>
        <w:t>The standard does not specify which values of the lang attrib</w:t>
      </w:r>
      <w:r>
        <w:rPr>
          <w:i/>
        </w:rPr>
        <w:t>ute represent valid East Asian languages.</w:t>
      </w:r>
    </w:p>
    <w:p w:rsidR="00024C0A" w:rsidRDefault="00694C0F">
      <w:r>
        <w:t>In PowerPoint, the value for the lang attribute must be one of the following:</w:t>
      </w:r>
    </w:p>
    <w:tbl>
      <w:tblPr>
        <w:tblStyle w:val="Table-ShadedHeader"/>
        <w:tblW w:w="0" w:type="auto"/>
        <w:tblLook w:val="04A0" w:firstRow="1" w:lastRow="0" w:firstColumn="1" w:lastColumn="0" w:noHBand="0" w:noVBand="1"/>
      </w:tblPr>
      <w:tblGrid>
        <w:gridCol w:w="734"/>
        <w:gridCol w:w="874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lastRenderedPageBreak/>
              <w:t>Value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t>ja-jp</w:t>
            </w:r>
          </w:p>
        </w:tc>
        <w:tc>
          <w:tcPr>
            <w:tcW w:w="0" w:type="auto"/>
            <w:vAlign w:val="center"/>
          </w:tcPr>
          <w:p w:rsidR="00024C0A" w:rsidRDefault="00694C0F">
            <w:pPr>
              <w:pStyle w:val="TableBodyText"/>
            </w:pPr>
            <w:r>
              <w:t xml:space="preserve">Japanese.  Specifies that the settings apply to runs of text with the </w:t>
            </w:r>
            <w:r>
              <w:rPr>
                <w:b/>
              </w:rPr>
              <w:t>langId</w:t>
            </w:r>
            <w:r>
              <w:t xml:space="preserve"> attribute of the </w:t>
            </w:r>
            <w:r>
              <w:rPr>
                <w:b/>
              </w:rPr>
              <w:t>rPr</w:t>
            </w:r>
            <w:r>
              <w:t xml:space="preserve"> element ("</w:t>
            </w:r>
            <w:hyperlink r:id="rId150">
              <w:r>
                <w:rPr>
                  <w:rStyle w:val="Hyperlink"/>
                </w:rPr>
                <w:t>[ISO/IEC-29500-1]</w:t>
              </w:r>
            </w:hyperlink>
            <w:r>
              <w:t xml:space="preserve"> §21.1.2.3.9; rPr") equal to ja-jp (Japanese).</w:t>
            </w:r>
          </w:p>
        </w:tc>
      </w:tr>
      <w:tr w:rsidR="00024C0A" w:rsidTr="00024C0A">
        <w:tc>
          <w:tcPr>
            <w:tcW w:w="0" w:type="auto"/>
            <w:vAlign w:val="center"/>
          </w:tcPr>
          <w:p w:rsidR="00024C0A" w:rsidRDefault="00694C0F">
            <w:pPr>
              <w:pStyle w:val="TableBodyText"/>
            </w:pPr>
            <w:r>
              <w:t>ko-kr</w:t>
            </w:r>
          </w:p>
        </w:tc>
        <w:tc>
          <w:tcPr>
            <w:tcW w:w="0" w:type="auto"/>
            <w:vAlign w:val="center"/>
          </w:tcPr>
          <w:p w:rsidR="00024C0A" w:rsidRDefault="00694C0F">
            <w:pPr>
              <w:pStyle w:val="TableBodyText"/>
            </w:pPr>
            <w:r>
              <w:t xml:space="preserve">Korean.  Specifies that the settings apply to runs of text with the </w:t>
            </w:r>
            <w:r>
              <w:rPr>
                <w:b/>
              </w:rPr>
              <w:t>langId</w:t>
            </w:r>
            <w:r>
              <w:t xml:space="preserve"> attribute of the </w:t>
            </w:r>
            <w:r>
              <w:rPr>
                <w:b/>
              </w:rPr>
              <w:t>rPr</w:t>
            </w:r>
            <w:r>
              <w:t xml:space="preserve"> element ("[ISO/IEC-29500-</w:t>
            </w:r>
            <w:r>
              <w:t>1] §21.1.2.3.9; rPr") equal to ko-kr (Korean).</w:t>
            </w:r>
          </w:p>
        </w:tc>
      </w:tr>
      <w:tr w:rsidR="00024C0A" w:rsidTr="00024C0A">
        <w:tc>
          <w:tcPr>
            <w:tcW w:w="0" w:type="auto"/>
            <w:vAlign w:val="center"/>
          </w:tcPr>
          <w:p w:rsidR="00024C0A" w:rsidRDefault="00694C0F">
            <w:pPr>
              <w:pStyle w:val="TableBodyText"/>
            </w:pPr>
            <w:r>
              <w:t>zh-cn</w:t>
            </w:r>
          </w:p>
        </w:tc>
        <w:tc>
          <w:tcPr>
            <w:tcW w:w="0" w:type="auto"/>
            <w:vAlign w:val="center"/>
          </w:tcPr>
          <w:p w:rsidR="00024C0A" w:rsidRDefault="00694C0F">
            <w:pPr>
              <w:pStyle w:val="TableBodyText"/>
            </w:pPr>
            <w:r>
              <w:t xml:space="preserve">Chinese (Simplified).  Specifies that the settings apply to runs of text with the </w:t>
            </w:r>
            <w:r>
              <w:rPr>
                <w:b/>
              </w:rPr>
              <w:t>langId</w:t>
            </w:r>
            <w:r>
              <w:t xml:space="preserve"> attribute of the </w:t>
            </w:r>
            <w:r>
              <w:rPr>
                <w:b/>
              </w:rPr>
              <w:t>rPr</w:t>
            </w:r>
            <w:r>
              <w:t xml:space="preserve"> element ("[ISO/IEC-29500-1] §21.1.2.3.9; rPr") equal to one of the following:</w:t>
            </w:r>
          </w:p>
          <w:p w:rsidR="00024C0A" w:rsidRDefault="00694C0F">
            <w:pPr>
              <w:pStyle w:val="TableBodyText"/>
            </w:pPr>
            <w:r>
              <w:t>zh-cn (Chinese</w:t>
            </w:r>
            <w:r>
              <w:t xml:space="preserve"> - People's Republic of China)</w:t>
            </w:r>
          </w:p>
          <w:p w:rsidR="00024C0A" w:rsidRDefault="00694C0F">
            <w:pPr>
              <w:pStyle w:val="TableBodyText"/>
            </w:pPr>
            <w:r>
              <w:t>zh-sg (Chinese - Singapore)</w:t>
            </w:r>
          </w:p>
          <w:p w:rsidR="00024C0A" w:rsidRDefault="00694C0F">
            <w:pPr>
              <w:pStyle w:val="TableBodyText"/>
            </w:pPr>
            <w:r>
              <w:t>ii-cn (Yi)</w:t>
            </w:r>
          </w:p>
        </w:tc>
      </w:tr>
      <w:tr w:rsidR="00024C0A" w:rsidTr="00024C0A">
        <w:tc>
          <w:tcPr>
            <w:tcW w:w="0" w:type="auto"/>
            <w:vAlign w:val="center"/>
          </w:tcPr>
          <w:p w:rsidR="00024C0A" w:rsidRDefault="00694C0F">
            <w:pPr>
              <w:pStyle w:val="TableBodyText"/>
            </w:pPr>
            <w:r>
              <w:t>zh-tw</w:t>
            </w:r>
          </w:p>
        </w:tc>
        <w:tc>
          <w:tcPr>
            <w:tcW w:w="0" w:type="auto"/>
            <w:vAlign w:val="center"/>
          </w:tcPr>
          <w:p w:rsidR="00024C0A" w:rsidRDefault="00694C0F">
            <w:pPr>
              <w:pStyle w:val="TableBodyText"/>
            </w:pPr>
            <w:r>
              <w:t xml:space="preserve">Chinese (Traditional).  Specifies that the settings apply to runs of text with the </w:t>
            </w:r>
            <w:r>
              <w:rPr>
                <w:b/>
              </w:rPr>
              <w:t>langId</w:t>
            </w:r>
            <w:r>
              <w:t xml:space="preserve"> attribute of the </w:t>
            </w:r>
            <w:r>
              <w:rPr>
                <w:b/>
              </w:rPr>
              <w:t>rPr</w:t>
            </w:r>
            <w:r>
              <w:t xml:space="preserve"> element ("[ISO/IEC-29500-1] §21.1.2.3.9; rPr") equal to one of the f</w:t>
            </w:r>
            <w:r>
              <w:t>ollowing:</w:t>
            </w:r>
          </w:p>
          <w:p w:rsidR="00024C0A" w:rsidRDefault="00694C0F">
            <w:pPr>
              <w:pStyle w:val="TableBodyText"/>
            </w:pPr>
            <w:r>
              <w:t>zh-tw (Chinese - Taiwan)</w:t>
            </w:r>
          </w:p>
          <w:p w:rsidR="00024C0A" w:rsidRDefault="00694C0F">
            <w:pPr>
              <w:pStyle w:val="TableBodyText"/>
            </w:pPr>
            <w:r>
              <w:t>zh-hk (Chinese - Hong Kong SAR)</w:t>
            </w:r>
          </w:p>
          <w:p w:rsidR="00024C0A" w:rsidRDefault="00694C0F">
            <w:pPr>
              <w:pStyle w:val="TableBodyText"/>
            </w:pPr>
            <w:r>
              <w:t>zh-mo (Chinese - Macao SAR)</w:t>
            </w:r>
          </w:p>
        </w:tc>
      </w:tr>
    </w:tbl>
    <w:p w:rsidR="00024C0A" w:rsidRDefault="00024C0A"/>
    <w:p w:rsidR="00024C0A" w:rsidRDefault="00694C0F">
      <w:r>
        <w:t>The value is case insensitive.</w:t>
      </w:r>
    </w:p>
    <w:p w:rsidR="00024C0A" w:rsidRDefault="00694C0F">
      <w:pPr>
        <w:pStyle w:val="Heading3"/>
      </w:pPr>
      <w:bookmarkStart w:id="2221" w:name="section_236b7423470948f98b928617074bb197"/>
      <w:bookmarkStart w:id="2222" w:name="_Toc12261171"/>
      <w:r>
        <w:t>Part 1 Section 19.2.1.19, modifyVerifier (Modification Verifier)</w:t>
      </w:r>
      <w:bookmarkEnd w:id="2221"/>
      <w:bookmarkEnd w:id="2222"/>
      <w:r>
        <w:fldChar w:fldCharType="begin"/>
      </w:r>
      <w:r>
        <w:instrText xml:space="preserve"> XE "modifyVerifier (Modification Verifier)" </w:instrText>
      </w:r>
      <w:r>
        <w:fldChar w:fldCharType="end"/>
      </w:r>
    </w:p>
    <w:p w:rsidR="00024C0A" w:rsidRDefault="00694C0F">
      <w:pPr>
        <w:pStyle w:val="Definition-Field"/>
      </w:pPr>
      <w:r>
        <w:t xml:space="preserve">a.   </w:t>
      </w:r>
      <w:r>
        <w:rPr>
          <w:i/>
        </w:rPr>
        <w:t xml:space="preserve">The </w:t>
      </w:r>
      <w:r>
        <w:rPr>
          <w:i/>
        </w:rPr>
        <w:t>standard states that the algIdExt attribute specifies that a cryptographic algorithm not defined in the standard has been used to generate the hash value stored with the document.</w:t>
      </w:r>
    </w:p>
    <w:p w:rsidR="00024C0A" w:rsidRDefault="00694C0F">
      <w:pPr>
        <w:pStyle w:val="Definition-Field2"/>
      </w:pPr>
      <w:r>
        <w:t xml:space="preserve">PowerPoint further requires that the algIdExt attribute specifies a hashing </w:t>
      </w:r>
      <w:r>
        <w:t>algorithm which is implemented by a CryptoAPI provider, and if the algIdExt attribute is used, the cryptProviderTypeExt attribute shall specify the provider.</w:t>
      </w:r>
    </w:p>
    <w:p w:rsidR="00024C0A" w:rsidRDefault="00694C0F">
      <w:pPr>
        <w:pStyle w:val="Definition-Field"/>
      </w:pPr>
      <w:r>
        <w:t xml:space="preserve">b.   </w:t>
      </w:r>
      <w:r>
        <w:rPr>
          <w:i/>
        </w:rPr>
        <w:t>The standard describes the hashData attribute as the hash value for the password stored withi</w:t>
      </w:r>
      <w:r>
        <w:rPr>
          <w:i/>
        </w:rPr>
        <w:t>n the document.</w:t>
      </w:r>
    </w:p>
    <w:p w:rsidR="00024C0A" w:rsidRDefault="00694C0F">
      <w:r>
        <w:t>In Office, the hashData value is the Base64 encoded representation of the binary hashing algorithm output, which is calculated as follows:</w:t>
      </w:r>
    </w:p>
    <w:p w:rsidR="00024C0A" w:rsidRDefault="00694C0F">
      <w:r>
        <w:t>H[init] = H(password, salt)</w:t>
      </w:r>
    </w:p>
    <w:p w:rsidR="00024C0A" w:rsidRDefault="00694C0F">
      <w:r>
        <w:t>Followed by spinCount cycles where:</w:t>
      </w:r>
    </w:p>
    <w:p w:rsidR="00024C0A" w:rsidRDefault="00694C0F">
      <w:r>
        <w:t>H[n] = H(H[n-1], count)</w:t>
      </w:r>
    </w:p>
    <w:p w:rsidR="00024C0A" w:rsidRDefault="00694C0F">
      <w:r>
        <w:t>Count shall b</w:t>
      </w:r>
      <w:r>
        <w:t>egin with 0x0 and is expressed as a little-endian 32-bit integer. The initial hashing operation shall not be included in count.</w:t>
      </w:r>
    </w:p>
    <w:p w:rsidR="00024C0A" w:rsidRDefault="00694C0F">
      <w:pPr>
        <w:pStyle w:val="Definition-Field"/>
      </w:pPr>
      <w:r>
        <w:t xml:space="preserve">c.   </w:t>
      </w:r>
      <w:r>
        <w:rPr>
          <w:i/>
        </w:rPr>
        <w:t>The standard states that the saltData attribute is a random string.</w:t>
      </w:r>
    </w:p>
    <w:p w:rsidR="00024C0A" w:rsidRDefault="00694C0F">
      <w:pPr>
        <w:pStyle w:val="Definition-Field2"/>
      </w:pPr>
      <w:r>
        <w:t>PowerPoint defines the saltData attribute as random bas</w:t>
      </w:r>
      <w:r>
        <w:t>e 64-encoded data (typically 16 bytes), and the binary form of this attribute (not the base 64-encoded version) is used by the hashing algorithm.</w:t>
      </w:r>
    </w:p>
    <w:p w:rsidR="00024C0A" w:rsidRDefault="00694C0F">
      <w:pPr>
        <w:pStyle w:val="Definition-Field"/>
      </w:pPr>
      <w:r>
        <w:t xml:space="preserve">d.   </w:t>
      </w:r>
      <w:r>
        <w:rPr>
          <w:i/>
        </w:rPr>
        <w:t>The standard specifies that the spinCount attribute specifies the number of times the hashing function sh</w:t>
      </w:r>
      <w:r>
        <w:rPr>
          <w:i/>
        </w:rPr>
        <w:t>all be iteratively run when attempting to compare a user-supplied password with the value stored in the hashData attribute.</w:t>
      </w:r>
    </w:p>
    <w:p w:rsidR="00024C0A" w:rsidRDefault="00694C0F">
      <w:pPr>
        <w:pStyle w:val="Definition-Field2"/>
      </w:pPr>
      <w:r>
        <w:t>PowerPoint does not include the initial hash of the password with the salt in this count.</w:t>
      </w:r>
    </w:p>
    <w:p w:rsidR="00024C0A" w:rsidRDefault="00694C0F">
      <w:pPr>
        <w:pStyle w:val="Definition-Field"/>
      </w:pPr>
      <w:r>
        <w:lastRenderedPageBreak/>
        <w:t xml:space="preserve">e.   </w:t>
      </w:r>
      <w:r>
        <w:rPr>
          <w:i/>
        </w:rPr>
        <w:t>The standard lists several possible v</w:t>
      </w:r>
      <w:r>
        <w:rPr>
          <w:i/>
        </w:rPr>
        <w:t>alues for the cryptAlgorithmSid attribute.</w:t>
      </w:r>
    </w:p>
    <w:p w:rsidR="00024C0A" w:rsidRDefault="00694C0F">
      <w:pPr>
        <w:pStyle w:val="Definition-Field2"/>
      </w:pPr>
      <w:r>
        <w:t>PowerPoint only uses values 1, 2, 3, 4, 12, 13, and 14.</w:t>
      </w:r>
    </w:p>
    <w:p w:rsidR="00024C0A" w:rsidRDefault="00694C0F">
      <w:pPr>
        <w:pStyle w:val="Definition-Field"/>
      </w:pPr>
      <w:r>
        <w:t xml:space="preserve">f.   </w:t>
      </w:r>
      <w:r>
        <w:rPr>
          <w:i/>
        </w:rPr>
        <w:t>The standard states that this setting uses a specific set of attributes to store the password hash.</w:t>
      </w:r>
    </w:p>
    <w:p w:rsidR="00024C0A" w:rsidRDefault="00694C0F">
      <w:r>
        <w:t>In Office, when the HKCU/Software/Microsoft/Office/&lt;</w:t>
      </w:r>
      <w:r>
        <w: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Name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algorithm Name</w:t>
            </w:r>
          </w:p>
        </w:tc>
        <w:tc>
          <w:tcPr>
            <w:tcW w:w="0" w:type="auto"/>
            <w:vAlign w:val="center"/>
          </w:tcPr>
          <w:p w:rsidR="00024C0A" w:rsidRDefault="00694C0F">
            <w:pPr>
              <w:pStyle w:val="TableBodyText"/>
            </w:pPr>
            <w:r>
              <w:t>The name of the cryptographic hashing algorithm used</w:t>
            </w:r>
            <w:r>
              <w:t xml:space="preserve"> to generate the hash value. Only those algorithms that are installed in the operating system’s cryptographic subsystem can be utilized by Office.</w:t>
            </w:r>
          </w:p>
          <w:p w:rsidR="00024C0A" w:rsidRDefault="00024C0A">
            <w:pPr>
              <w:pStyle w:val="TableBodyText"/>
            </w:pPr>
          </w:p>
          <w:p w:rsidR="00024C0A" w:rsidRDefault="00694C0F">
            <w:pPr>
              <w:pStyle w:val="TableBodyText"/>
            </w:pPr>
            <w:r>
              <w:t>The following hash algorithm names are reserved:</w:t>
            </w:r>
          </w:p>
          <w:p w:rsidR="00024C0A" w:rsidRDefault="00024C0A">
            <w:pPr>
              <w:pStyle w:val="TableBodyText"/>
            </w:pPr>
          </w:p>
          <w:p w:rsidR="00024C0A" w:rsidRDefault="00694C0F">
            <w:pPr>
              <w:pStyle w:val="TableBodyText"/>
            </w:pPr>
            <w:r>
              <w:rPr>
                <w:b/>
                <w:i/>
              </w:rPr>
              <w:t>MD2</w:t>
            </w:r>
          </w:p>
          <w:p w:rsidR="00024C0A" w:rsidRDefault="00694C0F">
            <w:pPr>
              <w:pStyle w:val="TableBodyText"/>
            </w:pPr>
            <w:r>
              <w:rPr>
                <w:i/>
              </w:rPr>
              <w:t>Specifies that the MD2 algorithm, as defined by RFC 13</w:t>
            </w:r>
            <w:r>
              <w:rPr>
                <w:i/>
              </w:rPr>
              <w:t>19, shall be used.</w:t>
            </w:r>
          </w:p>
          <w:p w:rsidR="00024C0A" w:rsidRDefault="00024C0A">
            <w:pPr>
              <w:pStyle w:val="TableBodyText"/>
            </w:pPr>
          </w:p>
          <w:p w:rsidR="00024C0A" w:rsidRDefault="00694C0F">
            <w:pPr>
              <w:pStyle w:val="TableBodyText"/>
            </w:pPr>
            <w:r>
              <w:rPr>
                <w:i/>
              </w:rPr>
              <w:t>[Note: It is recommended that applications should avoid using this algorithm to store new hash values, because of publicly known breaks. end note]</w:t>
            </w:r>
          </w:p>
          <w:p w:rsidR="00024C0A" w:rsidRDefault="00694C0F">
            <w:pPr>
              <w:pStyle w:val="TableBodyText"/>
            </w:pPr>
            <w:r>
              <w:rPr>
                <w:b/>
                <w:i/>
              </w:rPr>
              <w:t xml:space="preserve">MD4 </w:t>
            </w:r>
          </w:p>
          <w:p w:rsidR="00024C0A" w:rsidRDefault="00694C0F">
            <w:pPr>
              <w:pStyle w:val="TableBodyText"/>
            </w:pPr>
            <w:r>
              <w:rPr>
                <w:i/>
              </w:rPr>
              <w:t>Specifies that the MD4 algorithm, as defined by RFC 1320, shall be used.</w:t>
            </w:r>
          </w:p>
          <w:p w:rsidR="00024C0A" w:rsidRDefault="00024C0A">
            <w:pPr>
              <w:pStyle w:val="TableBodyText"/>
            </w:pPr>
          </w:p>
          <w:p w:rsidR="00024C0A" w:rsidRDefault="00694C0F">
            <w:pPr>
              <w:pStyle w:val="TableBodyText"/>
            </w:pPr>
            <w:r>
              <w:rPr>
                <w:i/>
              </w:rPr>
              <w:t xml:space="preserve">[Note: It </w:t>
            </w:r>
            <w:r>
              <w:rPr>
                <w:i/>
              </w:rPr>
              <w:t>is recommended that applications should avoid using this algorithm to store new hash values, because of publicly known breaks. end note]</w:t>
            </w:r>
          </w:p>
          <w:p w:rsidR="00024C0A" w:rsidRDefault="00694C0F">
            <w:pPr>
              <w:pStyle w:val="TableBodyText"/>
            </w:pPr>
            <w:r>
              <w:rPr>
                <w:b/>
                <w:i/>
              </w:rPr>
              <w:t>MD5</w:t>
            </w:r>
          </w:p>
          <w:p w:rsidR="00024C0A" w:rsidRDefault="00694C0F">
            <w:pPr>
              <w:pStyle w:val="TableBodyText"/>
            </w:pPr>
            <w:r>
              <w:rPr>
                <w:i/>
              </w:rPr>
              <w:t>Specifies that the MD5 algorithm, as defined by RFC 1321, shall be used.</w:t>
            </w:r>
          </w:p>
          <w:p w:rsidR="00024C0A" w:rsidRDefault="00024C0A">
            <w:pPr>
              <w:pStyle w:val="TableBodyText"/>
            </w:pPr>
          </w:p>
          <w:p w:rsidR="00024C0A" w:rsidRDefault="00694C0F">
            <w:pPr>
              <w:pStyle w:val="TableBodyText"/>
            </w:pPr>
            <w:r>
              <w:rPr>
                <w:i/>
              </w:rPr>
              <w:t>[Note: It is recommended that application</w:t>
            </w:r>
            <w:r>
              <w:rPr>
                <w:i/>
              </w:rPr>
              <w:t>s should avoid using this algorithm to store new hash values, because of publicly known breaks. end note]</w:t>
            </w:r>
          </w:p>
          <w:p w:rsidR="00024C0A" w:rsidRDefault="00694C0F">
            <w:pPr>
              <w:pStyle w:val="TableBodyText"/>
            </w:pPr>
            <w:r>
              <w:rPr>
                <w:b/>
                <w:i/>
              </w:rPr>
              <w:t>RIPEMD-128</w:t>
            </w:r>
          </w:p>
          <w:p w:rsidR="00024C0A" w:rsidRDefault="00694C0F">
            <w:pPr>
              <w:pStyle w:val="TableBodyText"/>
            </w:pPr>
            <w:r>
              <w:rPr>
                <w:i/>
              </w:rPr>
              <w:t>Specifies that the RIPEMD-128 algorithm, as defined by ISO/IEC 10118-3:2004 shall be used.</w:t>
            </w:r>
          </w:p>
          <w:p w:rsidR="00024C0A" w:rsidRDefault="00024C0A">
            <w:pPr>
              <w:pStyle w:val="TableBodyText"/>
            </w:pPr>
          </w:p>
          <w:p w:rsidR="00024C0A" w:rsidRDefault="00694C0F">
            <w:pPr>
              <w:pStyle w:val="TableBodyText"/>
            </w:pPr>
            <w:r>
              <w:rPr>
                <w:i/>
              </w:rPr>
              <w:t xml:space="preserve">[Note: It is recommended that applications </w:t>
            </w:r>
            <w:r>
              <w:rPr>
                <w:i/>
              </w:rPr>
              <w:t>should avoid using this algorithm to store new hash values, because of publicly known breaks. end note]</w:t>
            </w:r>
          </w:p>
          <w:p w:rsidR="00024C0A" w:rsidRDefault="00694C0F">
            <w:pPr>
              <w:pStyle w:val="TableBodyText"/>
            </w:pPr>
            <w:r>
              <w:rPr>
                <w:b/>
                <w:i/>
              </w:rPr>
              <w:t>RIPEMD-160</w:t>
            </w:r>
          </w:p>
          <w:p w:rsidR="00024C0A" w:rsidRDefault="00694C0F">
            <w:pPr>
              <w:pStyle w:val="TableBodyText"/>
            </w:pPr>
            <w:r>
              <w:rPr>
                <w:i/>
              </w:rPr>
              <w:t>Specifies that the RIPEMD-160 algorithm, as defined by ISO/IEC 10118-3:2004, shall be used.</w:t>
            </w:r>
          </w:p>
          <w:p w:rsidR="00024C0A" w:rsidRDefault="00694C0F">
            <w:pPr>
              <w:pStyle w:val="TableBodyText"/>
            </w:pPr>
            <w:r>
              <w:rPr>
                <w:b/>
                <w:i/>
              </w:rPr>
              <w:t>SHA-1</w:t>
            </w:r>
          </w:p>
          <w:p w:rsidR="00024C0A" w:rsidRDefault="00694C0F">
            <w:pPr>
              <w:pStyle w:val="TableBodyText"/>
            </w:pPr>
            <w:r>
              <w:rPr>
                <w:i/>
              </w:rPr>
              <w:t>Specifies that the SHA-1 algorithm, as defi</w:t>
            </w:r>
            <w:r>
              <w:rPr>
                <w:i/>
              </w:rPr>
              <w:t>ned by ISO/IEC 10118-3:2004, shall be used.</w:t>
            </w:r>
          </w:p>
          <w:p w:rsidR="00024C0A" w:rsidRDefault="00694C0F">
            <w:pPr>
              <w:pStyle w:val="TableBodyText"/>
            </w:pPr>
            <w:r>
              <w:rPr>
                <w:b/>
                <w:i/>
              </w:rPr>
              <w:t>SHA-256</w:t>
            </w:r>
          </w:p>
          <w:p w:rsidR="00024C0A" w:rsidRDefault="00694C0F">
            <w:pPr>
              <w:pStyle w:val="TableBodyText"/>
            </w:pPr>
            <w:r>
              <w:rPr>
                <w:i/>
              </w:rPr>
              <w:t>Specifies that the SHA-256 algorithm, as defined by ISO/IEC 10118-3:2004, shall be used.</w:t>
            </w:r>
          </w:p>
          <w:p w:rsidR="00024C0A" w:rsidRDefault="00694C0F">
            <w:pPr>
              <w:pStyle w:val="TableBodyText"/>
            </w:pPr>
            <w:r>
              <w:rPr>
                <w:b/>
                <w:i/>
              </w:rPr>
              <w:t>SHA-384</w:t>
            </w:r>
          </w:p>
          <w:p w:rsidR="00024C0A" w:rsidRDefault="00694C0F">
            <w:pPr>
              <w:pStyle w:val="TableBodyText"/>
            </w:pPr>
            <w:r>
              <w:rPr>
                <w:i/>
              </w:rPr>
              <w:t>Specifies that the SHA-384 algorithm, as defined by ISO/IEC 10118-3:2004, shall be used.</w:t>
            </w:r>
          </w:p>
          <w:p w:rsidR="00024C0A" w:rsidRDefault="00694C0F">
            <w:pPr>
              <w:pStyle w:val="TableBodyText"/>
            </w:pPr>
            <w:r>
              <w:rPr>
                <w:b/>
                <w:i/>
              </w:rPr>
              <w:t>SHA-512</w:t>
            </w:r>
          </w:p>
          <w:p w:rsidR="00024C0A" w:rsidRDefault="00694C0F">
            <w:pPr>
              <w:pStyle w:val="TableBodyText"/>
            </w:pPr>
            <w:r>
              <w:rPr>
                <w:i/>
              </w:rPr>
              <w:t xml:space="preserve">Specifies </w:t>
            </w:r>
            <w:r>
              <w:rPr>
                <w:i/>
              </w:rPr>
              <w:t>that the SHA-512 algorithm, as defined by ISO/IEC 10118-3:2004, shall be used.</w:t>
            </w:r>
          </w:p>
          <w:p w:rsidR="00024C0A" w:rsidRDefault="00694C0F">
            <w:pPr>
              <w:pStyle w:val="TableBodyText"/>
            </w:pPr>
            <w:r>
              <w:rPr>
                <w:b/>
                <w:i/>
              </w:rPr>
              <w:t>WHIRLPOOL</w:t>
            </w:r>
          </w:p>
          <w:p w:rsidR="00024C0A" w:rsidRDefault="00694C0F">
            <w:pPr>
              <w:pStyle w:val="TableBodyText"/>
            </w:pPr>
            <w:r>
              <w:rPr>
                <w:i/>
              </w:rPr>
              <w:t>Specifies that the WHIRLPOOL algorithm, as defined by ISO/IEC 10118-3:2004, shall be used.</w:t>
            </w:r>
          </w:p>
          <w:p w:rsidR="00024C0A" w:rsidRDefault="00024C0A">
            <w:pPr>
              <w:pStyle w:val="TableBodyText"/>
            </w:pPr>
          </w:p>
          <w:p w:rsidR="00024C0A" w:rsidRDefault="00024C0A">
            <w:pPr>
              <w:pStyle w:val="TableBodyText"/>
            </w:pPr>
          </w:p>
        </w:tc>
      </w:tr>
      <w:tr w:rsidR="00024C0A" w:rsidTr="00024C0A">
        <w:tc>
          <w:tcPr>
            <w:tcW w:w="0" w:type="auto"/>
            <w:vAlign w:val="center"/>
          </w:tcPr>
          <w:p w:rsidR="00024C0A" w:rsidRDefault="00694C0F">
            <w:pPr>
              <w:pStyle w:val="TableBodyText"/>
            </w:pPr>
            <w:r>
              <w:rPr>
                <w:b/>
              </w:rPr>
              <w:lastRenderedPageBreak/>
              <w:t>hash Value</w:t>
            </w:r>
          </w:p>
        </w:tc>
        <w:tc>
          <w:tcPr>
            <w:tcW w:w="0" w:type="auto"/>
            <w:vAlign w:val="center"/>
          </w:tcPr>
          <w:p w:rsidR="00024C0A" w:rsidRDefault="00694C0F">
            <w:pPr>
              <w:pStyle w:val="TableBodyText"/>
            </w:pPr>
            <w:r>
              <w:t>Specifies the hash value for the password required to edit thi</w:t>
            </w:r>
            <w:r>
              <w:t>s presentation. This value shall be compared with the resulting hash value after hashing the user-supplied password using the algorithm specified by the preceding attributes and parent XML element. If the two values match, the protection shall no longer be</w:t>
            </w:r>
            <w:r>
              <w:t xml:space="preserve"> enforced.</w:t>
            </w:r>
          </w:p>
          <w:p w:rsidR="00024C0A" w:rsidRDefault="00024C0A">
            <w:pPr>
              <w:pStyle w:val="TableBodyText"/>
            </w:pPr>
          </w:p>
          <w:p w:rsidR="00024C0A" w:rsidRDefault="00694C0F">
            <w:pPr>
              <w:pStyle w:val="TableBodyText"/>
            </w:pPr>
            <w:r>
              <w:t>[</w:t>
            </w:r>
            <w:r>
              <w:rPr>
                <w:i/>
              </w:rPr>
              <w:t>Example</w:t>
            </w:r>
            <w:r>
              <w:t>: Consider an Office Open XML document with the following information stored in one of its protection elements:</w:t>
            </w:r>
          </w:p>
          <w:p w:rsidR="00024C0A" w:rsidRDefault="00024C0A">
            <w:pPr>
              <w:pStyle w:val="TableBodyText"/>
            </w:pPr>
          </w:p>
          <w:p w:rsidR="00024C0A" w:rsidRDefault="00694C0F">
            <w:pPr>
              <w:pStyle w:val="TableBodyText"/>
            </w:pPr>
            <w:r>
              <w:t>&lt;… algorithmName="SHA-1" hashValue="9oN7nWkCAyEZib1RomSJTjmPpCY=" /&gt;</w:t>
            </w:r>
          </w:p>
          <w:p w:rsidR="00024C0A" w:rsidRDefault="00024C0A">
            <w:pPr>
              <w:pStyle w:val="TableBodyText"/>
            </w:pPr>
          </w:p>
          <w:p w:rsidR="00024C0A" w:rsidRDefault="00694C0F">
            <w:pPr>
              <w:pStyle w:val="TableBodyText"/>
            </w:pPr>
            <w:r>
              <w:t>The hashValue attribute value of 9oN7nWkCAyEZib1RomSJ</w:t>
            </w:r>
            <w:r>
              <w:t xml:space="preserve">TjmPpCY= specifies that the user-supplied password must be hashed using the pre-processing defined by the parent element (if any) followed by the hashing algorithm (specified via the algorithmName attribute value) and that the resulting hash value must be </w:t>
            </w:r>
            <w:r>
              <w:t xml:space="preserve">match for the protection to be disabled. </w:t>
            </w:r>
          </w:p>
          <w:p w:rsidR="00024C0A" w:rsidRDefault="00694C0F">
            <w:pPr>
              <w:pStyle w:val="TableBodyText"/>
            </w:pPr>
            <w:r>
              <w:rPr>
                <w:i/>
              </w:rPr>
              <w:t>end example</w:t>
            </w:r>
            <w:r>
              <w:t>]</w:t>
            </w:r>
          </w:p>
          <w:p w:rsidR="00024C0A" w:rsidRDefault="00024C0A">
            <w:pPr>
              <w:pStyle w:val="TableBodyText"/>
            </w:pPr>
          </w:p>
          <w:p w:rsidR="00024C0A" w:rsidRDefault="00694C0F">
            <w:pPr>
              <w:pStyle w:val="TableBodyText"/>
            </w:pPr>
            <w:r>
              <w:t>The possible values for this attribute are defined by the W3C XML Schema base64Binary datatype.</w:t>
            </w:r>
          </w:p>
        </w:tc>
      </w:tr>
      <w:tr w:rsidR="00024C0A" w:rsidTr="00024C0A">
        <w:tc>
          <w:tcPr>
            <w:tcW w:w="0" w:type="auto"/>
            <w:vAlign w:val="center"/>
          </w:tcPr>
          <w:p w:rsidR="00024C0A" w:rsidRDefault="00694C0F">
            <w:pPr>
              <w:pStyle w:val="TableBodyText"/>
            </w:pPr>
            <w:r>
              <w:rPr>
                <w:b/>
              </w:rPr>
              <w:t>saltValue</w:t>
            </w:r>
          </w:p>
        </w:tc>
        <w:tc>
          <w:tcPr>
            <w:tcW w:w="0" w:type="auto"/>
            <w:vAlign w:val="center"/>
          </w:tcPr>
          <w:p w:rsidR="00024C0A" w:rsidRDefault="00694C0F">
            <w:pPr>
              <w:pStyle w:val="TableBodyText"/>
            </w:pPr>
            <w:r>
              <w:t xml:space="preserve">Specifies the random bytes that are pre-pended to the user-supplied password before it was </w:t>
            </w:r>
            <w:r>
              <w:t>hashed by the hashing algorithm.</w:t>
            </w:r>
          </w:p>
        </w:tc>
      </w:tr>
      <w:tr w:rsidR="00024C0A" w:rsidTr="00024C0A">
        <w:tc>
          <w:tcPr>
            <w:tcW w:w="0" w:type="auto"/>
            <w:vAlign w:val="center"/>
          </w:tcPr>
          <w:p w:rsidR="00024C0A" w:rsidRDefault="00694C0F">
            <w:pPr>
              <w:pStyle w:val="TableBodyText"/>
            </w:pPr>
            <w:r>
              <w:rPr>
                <w:b/>
              </w:rPr>
              <w:t>spinCount</w:t>
            </w:r>
          </w:p>
        </w:tc>
        <w:tc>
          <w:tcPr>
            <w:tcW w:w="0" w:type="auto"/>
            <w:vAlign w:val="center"/>
          </w:tcPr>
          <w:p w:rsidR="00024C0A" w:rsidRDefault="00694C0F">
            <w:pPr>
              <w:pStyle w:val="TableBodyText"/>
            </w:pPr>
            <w:r>
              <w:t>Specifies the number of times the hashing function shall be iteratively run (using each iteration's result as the input for the next iteration).</w:t>
            </w:r>
          </w:p>
        </w:tc>
      </w:tr>
    </w:tbl>
    <w:p w:rsidR="00024C0A" w:rsidRDefault="00024C0A"/>
    <w:p w:rsidR="00024C0A" w:rsidRDefault="00694C0F">
      <w:r>
        <w:t>[</w:t>
      </w:r>
      <w:r>
        <w:rPr>
          <w:i/>
        </w:rPr>
        <w:t>Example</w:t>
      </w:r>
      <w:r>
        <w:t xml:space="preserve">: </w:t>
      </w:r>
    </w:p>
    <w:p w:rsidR="00024C0A" w:rsidRDefault="00694C0F">
      <w:r>
        <w:t>Consider an Office Open XML document with the followin</w:t>
      </w:r>
      <w:r>
        <w:t>g information stored in one of its protection elements:</w:t>
      </w:r>
    </w:p>
    <w:p w:rsidR="00024C0A" w:rsidRDefault="00694C0F">
      <w:r>
        <w:t>&lt; … algorithmName="SHA-1" hashValue="9oN7nWkCAyEZib1RomSJTjmPpCY=" /&gt;</w:t>
      </w:r>
    </w:p>
    <w:p w:rsidR="00024C0A" w:rsidRDefault="00694C0F">
      <w:r>
        <w:t>The algorithmName attribute value of SHA-1 specifies that the SHA-1 hashing algorithm must be used to generate a hash from the use</w:t>
      </w:r>
      <w:r>
        <w:t>r-defined password.</w:t>
      </w:r>
    </w:p>
    <w:p w:rsidR="00024C0A" w:rsidRDefault="00694C0F">
      <w:r>
        <w:rPr>
          <w:i/>
        </w:rPr>
        <w:t>end example</w:t>
      </w:r>
      <w:r>
        <w:t>]</w:t>
      </w:r>
    </w:p>
    <w:p w:rsidR="00024C0A" w:rsidRDefault="00694C0F">
      <w:pPr>
        <w:pStyle w:val="Heading3"/>
      </w:pPr>
      <w:bookmarkStart w:id="2223" w:name="section_9fa0cdca54df40ccb4b49952bca09eb5"/>
      <w:bookmarkStart w:id="2224" w:name="_Toc12261172"/>
      <w:r>
        <w:t>Part 1 Section 19.2.1.22, notesSz (Notes Slide Size)</w:t>
      </w:r>
      <w:bookmarkEnd w:id="2223"/>
      <w:bookmarkEnd w:id="2224"/>
      <w:r>
        <w:fldChar w:fldCharType="begin"/>
      </w:r>
      <w:r>
        <w:instrText xml:space="preserve"> XE "notesSz (Notes Slide Size)" </w:instrText>
      </w:r>
      <w:r>
        <w:fldChar w:fldCharType="end"/>
      </w:r>
    </w:p>
    <w:p w:rsidR="00024C0A" w:rsidRDefault="00694C0F">
      <w:pPr>
        <w:pStyle w:val="Definition-Field"/>
      </w:pPr>
      <w:r>
        <w:t xml:space="preserve">a.   </w:t>
      </w:r>
      <w:r>
        <w:rPr>
          <w:i/>
        </w:rPr>
        <w:t>The standard states that the values of the cx attribute are defined by the ST_PositiveCoordinate simple type.</w:t>
      </w:r>
    </w:p>
    <w:p w:rsidR="00024C0A" w:rsidRDefault="00694C0F">
      <w:pPr>
        <w:pStyle w:val="Definition-Field2"/>
      </w:pPr>
      <w:r>
        <w:t xml:space="preserve">PowerPoint defines </w:t>
      </w:r>
      <w:r>
        <w:t>the values of the cx attribute with the ST_SlideSizeCoordinate simple type.</w:t>
      </w:r>
    </w:p>
    <w:p w:rsidR="00024C0A" w:rsidRDefault="00694C0F">
      <w:pPr>
        <w:pStyle w:val="Definition-Field"/>
      </w:pPr>
      <w:r>
        <w:t xml:space="preserve">b.   </w:t>
      </w:r>
      <w:r>
        <w:rPr>
          <w:i/>
        </w:rPr>
        <w:t>The standard states that the values of the cy attribute are defined by the ST_PositiveCoordinate simple type.</w:t>
      </w:r>
    </w:p>
    <w:p w:rsidR="00024C0A" w:rsidRDefault="00694C0F">
      <w:pPr>
        <w:pStyle w:val="Definition-Field2"/>
      </w:pPr>
      <w:r>
        <w:t>PowerPoint defines the values of the cy attribute with the ST_Sli</w:t>
      </w:r>
      <w:r>
        <w:t>deSizeCoordinate simple type.</w:t>
      </w:r>
    </w:p>
    <w:p w:rsidR="00024C0A" w:rsidRDefault="00694C0F">
      <w:pPr>
        <w:pStyle w:val="Definition-Field"/>
      </w:pPr>
      <w:r>
        <w:t xml:space="preserve">c.   </w:t>
      </w:r>
      <w:r>
        <w:rPr>
          <w:i/>
        </w:rPr>
        <w:t>The standard states that the cx attribute specifies the length of the extents rectangle in EMUs.</w:t>
      </w:r>
    </w:p>
    <w:p w:rsidR="00024C0A" w:rsidRDefault="00694C0F">
      <w:pPr>
        <w:pStyle w:val="Definition-Field2"/>
      </w:pPr>
      <w:r>
        <w:t>PowerPoint uses the cx attribute to specify the width of the rectangle.</w:t>
      </w:r>
    </w:p>
    <w:p w:rsidR="00024C0A" w:rsidRDefault="00694C0F">
      <w:pPr>
        <w:pStyle w:val="Definition-Field"/>
      </w:pPr>
      <w:r>
        <w:t xml:space="preserve">d.   </w:t>
      </w:r>
      <w:r>
        <w:rPr>
          <w:i/>
        </w:rPr>
        <w:t xml:space="preserve">The standard states that the cy attribute </w:t>
      </w:r>
      <w:r>
        <w:rPr>
          <w:i/>
        </w:rPr>
        <w:t>specifies the width of the extents rectangle in EMUs.</w:t>
      </w:r>
    </w:p>
    <w:p w:rsidR="00024C0A" w:rsidRDefault="00694C0F">
      <w:pPr>
        <w:pStyle w:val="Definition-Field2"/>
      </w:pPr>
      <w:r>
        <w:t>PowerPoint uses the cy attribute to specify the height of the rectangle.</w:t>
      </w:r>
    </w:p>
    <w:p w:rsidR="00024C0A" w:rsidRDefault="00694C0F">
      <w:pPr>
        <w:pStyle w:val="Heading3"/>
      </w:pPr>
      <w:bookmarkStart w:id="2225" w:name="section_e80b4fafba5943169c8e0bb6dddcf9f9"/>
      <w:bookmarkStart w:id="2226" w:name="_Toc12261173"/>
      <w:r>
        <w:lastRenderedPageBreak/>
        <w:t>Part 1 Section 19.2.1.24, photoAlbum (Photo Album Information)</w:t>
      </w:r>
      <w:bookmarkEnd w:id="2225"/>
      <w:bookmarkEnd w:id="2226"/>
      <w:r>
        <w:fldChar w:fldCharType="begin"/>
      </w:r>
      <w:r>
        <w:instrText xml:space="preserve"> XE "photoAlbum (Photo Album Information)" </w:instrText>
      </w:r>
      <w:r>
        <w:fldChar w:fldCharType="end"/>
      </w:r>
    </w:p>
    <w:p w:rsidR="00024C0A" w:rsidRDefault="00694C0F">
      <w:pPr>
        <w:pStyle w:val="Definition-Field"/>
      </w:pPr>
      <w:r>
        <w:t xml:space="preserve">a.   </w:t>
      </w:r>
      <w:r>
        <w:rPr>
          <w:i/>
        </w:rPr>
        <w:t>The standard sta</w:t>
      </w:r>
      <w:r>
        <w:rPr>
          <w:i/>
        </w:rPr>
        <w:t>tes that images that are part of the photo album are identified by the presence of the isPhoto element in the definition of the picture.</w:t>
      </w:r>
    </w:p>
    <w:p w:rsidR="00024C0A" w:rsidRDefault="00694C0F">
      <w:pPr>
        <w:pStyle w:val="Definition-Field2"/>
      </w:pPr>
      <w:r>
        <w:t>PowerPoint identifies photo album images as those with the isPhoto attribute of the nvPr element set to a value of true</w:t>
      </w:r>
      <w:r>
        <w:t>.</w:t>
      </w:r>
    </w:p>
    <w:p w:rsidR="00024C0A" w:rsidRDefault="00694C0F">
      <w:pPr>
        <w:pStyle w:val="Definition-Field"/>
      </w:pPr>
      <w:r>
        <w:t xml:space="preserve">b.   </w:t>
      </w:r>
      <w:r>
        <w:rPr>
          <w:i/>
        </w:rPr>
        <w:t>The standard states that the bw attribute specifies whether all pictures in the photo album are to be displayed as black and white.</w:t>
      </w:r>
    </w:p>
    <w:p w:rsidR="00024C0A" w:rsidRDefault="00694C0F">
      <w:pPr>
        <w:pStyle w:val="Definition-Field2"/>
      </w:pPr>
      <w:r>
        <w:t>PowerPoint uses the bw attribute to specify the last state of a user interface setting that indicates whether all pic</w:t>
      </w:r>
      <w:r>
        <w:t>tures in the photo album are to be displayed as black and white.</w:t>
      </w:r>
    </w:p>
    <w:p w:rsidR="00024C0A" w:rsidRDefault="00694C0F">
      <w:pPr>
        <w:pStyle w:val="Definition-Field"/>
      </w:pPr>
      <w:r>
        <w:t xml:space="preserve">c.   </w:t>
      </w:r>
      <w:r>
        <w:rPr>
          <w:i/>
        </w:rPr>
        <w:t>The standard states that the frame attribute specifies the frame type that is to be used on all the pictures in the photo album.</w:t>
      </w:r>
    </w:p>
    <w:p w:rsidR="00024C0A" w:rsidRDefault="00694C0F">
      <w:pPr>
        <w:pStyle w:val="Definition-Field2"/>
      </w:pPr>
      <w:r>
        <w:t>PowerPoint uses the frame attribute to specify the last s</w:t>
      </w:r>
      <w:r>
        <w:t>tate of a user interface setting for the frame type that is to be used on all the pictures in the photo album.</w:t>
      </w:r>
    </w:p>
    <w:p w:rsidR="00024C0A" w:rsidRDefault="00694C0F">
      <w:pPr>
        <w:pStyle w:val="Definition-Field"/>
      </w:pPr>
      <w:r>
        <w:t xml:space="preserve">d.   </w:t>
      </w:r>
      <w:r>
        <w:rPr>
          <w:i/>
        </w:rPr>
        <w:t>The standard states that the layout attribute specifies the layout that is to be used to arrange the pictures in the photo album on individu</w:t>
      </w:r>
      <w:r>
        <w:rPr>
          <w:i/>
        </w:rPr>
        <w:t>al slides.</w:t>
      </w:r>
    </w:p>
    <w:p w:rsidR="00024C0A" w:rsidRDefault="00694C0F">
      <w:pPr>
        <w:pStyle w:val="Definition-Field2"/>
      </w:pPr>
      <w:r>
        <w:t>PowerPoint uses the layout attribute to specify the last state of a user interface setting for the layout that is to be used to arrange the pictures in the photo album on individual slides.</w:t>
      </w:r>
    </w:p>
    <w:p w:rsidR="00024C0A" w:rsidRDefault="00694C0F">
      <w:pPr>
        <w:pStyle w:val="Definition-Field"/>
      </w:pPr>
      <w:r>
        <w:t xml:space="preserve">e.   </w:t>
      </w:r>
      <w:r>
        <w:rPr>
          <w:i/>
        </w:rPr>
        <w:t>The standard states that the showCaptions attribut</w:t>
      </w:r>
      <w:r>
        <w:rPr>
          <w:i/>
        </w:rPr>
        <w:t>e specifies whether to show captions for pictures in the photo album.</w:t>
      </w:r>
    </w:p>
    <w:p w:rsidR="00024C0A" w:rsidRDefault="00694C0F">
      <w:pPr>
        <w:pStyle w:val="Definition-Field2"/>
      </w:pPr>
      <w:r>
        <w:t>PowerPoint uses the showCaptions attribute to specify the last state of a user interface setting that indicates whether to show captions for pictures in the photo album.</w:t>
      </w:r>
    </w:p>
    <w:p w:rsidR="00024C0A" w:rsidRDefault="00694C0F">
      <w:pPr>
        <w:pStyle w:val="Heading3"/>
      </w:pPr>
      <w:bookmarkStart w:id="2227" w:name="section_cce7a3040e914fa490bdf3a0f4f58f95"/>
      <w:bookmarkStart w:id="2228" w:name="_Toc12261174"/>
      <w:r>
        <w:t>Part 1 Section 1</w:t>
      </w:r>
      <w:r>
        <w:t>9.2.1.25, present (Presenter Slide Show Mode)</w:t>
      </w:r>
      <w:bookmarkEnd w:id="2227"/>
      <w:bookmarkEnd w:id="2228"/>
      <w:r>
        <w:fldChar w:fldCharType="begin"/>
      </w:r>
      <w:r>
        <w:instrText xml:space="preserve"> XE "present (Presenter Slide Show Mode)" </w:instrText>
      </w:r>
      <w:r>
        <w:fldChar w:fldCharType="end"/>
      </w:r>
    </w:p>
    <w:p w:rsidR="00024C0A" w:rsidRDefault="00694C0F">
      <w:pPr>
        <w:pStyle w:val="Definition-Field"/>
      </w:pPr>
      <w:r>
        <w:t xml:space="preserve">a.   </w:t>
      </w:r>
      <w:r>
        <w:rPr>
          <w:i/>
        </w:rPr>
        <w:t>The standard states that when in full-screen presenter mode, the presentation is displayed on one monitor while a different monitor displays notes and provides n</w:t>
      </w:r>
      <w:r>
        <w:rPr>
          <w:i/>
        </w:rPr>
        <w:t>avigation controls.</w:t>
      </w:r>
    </w:p>
    <w:p w:rsidR="00024C0A" w:rsidRDefault="00694C0F">
      <w:pPr>
        <w:pStyle w:val="Definition-Field2"/>
      </w:pPr>
      <w:r>
        <w:t>PowerPoint does not display the presentation and the notes and navigation controls on separate monitors in this mode.</w:t>
      </w:r>
    </w:p>
    <w:p w:rsidR="00024C0A" w:rsidRDefault="00694C0F">
      <w:pPr>
        <w:pStyle w:val="Heading3"/>
      </w:pPr>
      <w:bookmarkStart w:id="2229" w:name="section_5cc61456aa4e4c48a1153efed3e57d95"/>
      <w:bookmarkStart w:id="2230" w:name="_Toc12261175"/>
      <w:r>
        <w:t>Part 1 Section 19.2.1.26, presentation (Presentation)</w:t>
      </w:r>
      <w:bookmarkEnd w:id="2229"/>
      <w:bookmarkEnd w:id="2230"/>
      <w:r>
        <w:fldChar w:fldCharType="begin"/>
      </w:r>
      <w:r>
        <w:instrText xml:space="preserve"> XE "presentation (Presentation)" </w:instrText>
      </w:r>
      <w:r>
        <w:fldChar w:fldCharType="end"/>
      </w:r>
    </w:p>
    <w:p w:rsidR="00024C0A" w:rsidRDefault="00694C0F">
      <w:pPr>
        <w:pStyle w:val="Definition-Field"/>
      </w:pPr>
      <w:r>
        <w:t xml:space="preserve">a.   </w:t>
      </w:r>
      <w:r>
        <w:rPr>
          <w:i/>
        </w:rPr>
        <w:t>The standard states tha</w:t>
      </w:r>
      <w:r>
        <w:rPr>
          <w:i/>
        </w:rPr>
        <w:t>t possible values for the firstSlideNum attribute are defined by the XML Schema int datatype.</w:t>
      </w:r>
    </w:p>
    <w:p w:rsidR="00024C0A" w:rsidRDefault="00694C0F">
      <w:pPr>
        <w:pStyle w:val="Definition-Field2"/>
      </w:pPr>
      <w:r>
        <w:t>PowerPoint restricts the value of the firstSlideNum attribute to be greater than or equal to 0 and less than or equal to 9999.</w:t>
      </w:r>
    </w:p>
    <w:p w:rsidR="00024C0A" w:rsidRDefault="00694C0F">
      <w:pPr>
        <w:pStyle w:val="Definition-Field"/>
      </w:pPr>
      <w:r>
        <w:t xml:space="preserve">b.   </w:t>
      </w:r>
      <w:r>
        <w:rPr>
          <w:i/>
        </w:rPr>
        <w:t>The standard states that the v</w:t>
      </w:r>
      <w:r>
        <w:rPr>
          <w:i/>
        </w:rPr>
        <w:t>alues of the serverZoom attribute are defined by the ST_Percentage simple type.</w:t>
      </w:r>
    </w:p>
    <w:p w:rsidR="00024C0A" w:rsidRDefault="00694C0F">
      <w:pPr>
        <w:pStyle w:val="Definition-Field2"/>
      </w:pPr>
      <w:r>
        <w:t>PowerPoint defines the values of the serverZoom attribute with the ST_PositivePercentage simple type.</w:t>
      </w:r>
    </w:p>
    <w:p w:rsidR="00024C0A" w:rsidRDefault="00694C0F">
      <w:pPr>
        <w:pStyle w:val="Definition-Field"/>
      </w:pPr>
      <w:r>
        <w:t xml:space="preserve">c.   </w:t>
      </w:r>
      <w:r>
        <w:rPr>
          <w:i/>
        </w:rPr>
        <w:t>The standard states that the showSpecialPlsOnTitleSld attribute speci</w:t>
      </w:r>
      <w:r>
        <w:rPr>
          <w:i/>
        </w:rPr>
        <w:t>fies whether to show the header and footer placeholders on the title slides.</w:t>
      </w:r>
    </w:p>
    <w:p w:rsidR="00024C0A" w:rsidRDefault="00694C0F">
      <w:pPr>
        <w:pStyle w:val="Definition-Field2"/>
      </w:pPr>
      <w:r>
        <w:t>PowerPoint uses the showSpecialPlsOnTitleSld attribute to specify the last state of the user interface setting which indicates whether to show the header and footer placeholders o</w:t>
      </w:r>
      <w:r>
        <w:t>n the title slides.</w:t>
      </w:r>
    </w:p>
    <w:p w:rsidR="00024C0A" w:rsidRDefault="00694C0F">
      <w:pPr>
        <w:pStyle w:val="Definition-Field"/>
      </w:pPr>
      <w:r>
        <w:lastRenderedPageBreak/>
        <w:t xml:space="preserve">d.   </w:t>
      </w:r>
      <w:r>
        <w:rPr>
          <w:i/>
        </w:rPr>
        <w:t>The standard states that the strictFirstAndLastChars attribute specifies whether to use strict characters for starting and ending lines of Japanese text.</w:t>
      </w:r>
    </w:p>
    <w:p w:rsidR="00024C0A" w:rsidRDefault="00694C0F">
      <w:pPr>
        <w:pStyle w:val="Definition-Field2"/>
      </w:pPr>
      <w:r>
        <w:t>PowerPoint ignores the strictFirstAndLastChars attribute when the lang attrib</w:t>
      </w:r>
      <w:r>
        <w:t>ute on the kinsoku element has a value of ja-jp.</w:t>
      </w:r>
    </w:p>
    <w:p w:rsidR="00024C0A" w:rsidRDefault="00694C0F">
      <w:pPr>
        <w:pStyle w:val="Definition-Field"/>
      </w:pPr>
      <w:r>
        <w:t xml:space="preserve">e.   </w:t>
      </w:r>
      <w:r>
        <w:rPr>
          <w:i/>
        </w:rPr>
        <w:t>The standard states that the conformance attribute specifies the schema to use to validate the document.</w:t>
      </w:r>
    </w:p>
    <w:p w:rsidR="00024C0A" w:rsidRDefault="00694C0F">
      <w:pPr>
        <w:pStyle w:val="Definition-Field2"/>
      </w:pPr>
      <w:r>
        <w:t>PowerPoint ignores the conformance attribute.</w:t>
      </w:r>
    </w:p>
    <w:p w:rsidR="00024C0A" w:rsidRDefault="00694C0F">
      <w:pPr>
        <w:pStyle w:val="Heading3"/>
      </w:pPr>
      <w:bookmarkStart w:id="2231" w:name="section_e1331a7584dc46d29e5551afd9f38af8"/>
      <w:bookmarkStart w:id="2232" w:name="_Toc12261176"/>
      <w:r>
        <w:t>Part 1 Section 19.2.1.38, sldRg (Slide Range)</w:t>
      </w:r>
      <w:bookmarkEnd w:id="2231"/>
      <w:bookmarkEnd w:id="2232"/>
      <w:r>
        <w:fldChar w:fldCharType="begin"/>
      </w:r>
      <w:r>
        <w:instrText xml:space="preserve"> XE "s</w:instrText>
      </w:r>
      <w:r>
        <w:instrText xml:space="preserve">ldRg (Slide Range)"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05f6a62df7db400e9ae497a6d422ac5b">
        <w:r>
          <w:rPr>
            <w:rStyle w:val="Hyperlink"/>
          </w:rPr>
          <w:t>pRg, §19.5.56(b)</w:t>
        </w:r>
      </w:hyperlink>
      <w:r>
        <w:rPr>
          <w:i/>
        </w:rPr>
        <w:t>.</w:t>
      </w:r>
    </w:p>
    <w:p w:rsidR="00024C0A" w:rsidRDefault="00694C0F">
      <w:pPr>
        <w:pStyle w:val="Heading3"/>
      </w:pPr>
      <w:bookmarkStart w:id="2233" w:name="section_de4053e1e1ca4cc2a810aa2da4cc43a0"/>
      <w:bookmarkStart w:id="2234" w:name="_Toc12261177"/>
      <w:r>
        <w:t>Part 1 Section 19.2.1.39, sldSz (Presentation Slide Size)</w:t>
      </w:r>
      <w:bookmarkEnd w:id="2233"/>
      <w:bookmarkEnd w:id="2234"/>
      <w:r>
        <w:fldChar w:fldCharType="begin"/>
      </w:r>
      <w:r>
        <w:instrText xml:space="preserve"> XE "sldSz (Presentation Slide Size)" </w:instrText>
      </w:r>
      <w:r>
        <w:fldChar w:fldCharType="end"/>
      </w:r>
    </w:p>
    <w:p w:rsidR="00024C0A" w:rsidRDefault="00694C0F">
      <w:pPr>
        <w:pStyle w:val="Definition-Field"/>
      </w:pPr>
      <w:r>
        <w:t xml:space="preserve">a.   </w:t>
      </w:r>
      <w:r>
        <w:rPr>
          <w:i/>
        </w:rPr>
        <w:t>The standard states that the type attribute specifies the type of slide size that should be used.</w:t>
      </w:r>
    </w:p>
    <w:p w:rsidR="00024C0A" w:rsidRDefault="00694C0F">
      <w:pPr>
        <w:pStyle w:val="Definition-Field2"/>
      </w:pPr>
      <w:r>
        <w:t>PowerPoint only uses the type attribute when the cx attribute and the cy attribute map to more than one type.</w:t>
      </w:r>
    </w:p>
    <w:p w:rsidR="00024C0A" w:rsidRDefault="00694C0F">
      <w:pPr>
        <w:pStyle w:val="Definition-Field"/>
      </w:pPr>
      <w:r>
        <w:t>b.</w:t>
      </w:r>
      <w:r>
        <w:t xml:space="preserve">   </w:t>
      </w:r>
      <w:r>
        <w:rPr>
          <w:i/>
        </w:rPr>
        <w:t>The standard states that the cy attribute specifies the width of the extents rectangle in EMUs.</w:t>
      </w:r>
    </w:p>
    <w:p w:rsidR="00024C0A" w:rsidRDefault="00694C0F">
      <w:pPr>
        <w:pStyle w:val="Definition-Field2"/>
      </w:pPr>
      <w:r>
        <w:t>PowerPoint uses the cy attribute to specify the height of the rectangle.</w:t>
      </w:r>
    </w:p>
    <w:p w:rsidR="00024C0A" w:rsidRDefault="00694C0F">
      <w:pPr>
        <w:pStyle w:val="Definition-Field"/>
      </w:pPr>
      <w:r>
        <w:t xml:space="preserve">c.   </w:t>
      </w:r>
      <w:r>
        <w:rPr>
          <w:i/>
        </w:rPr>
        <w:t>The standard states that the cx attribute specifies the length of the extents r</w:t>
      </w:r>
      <w:r>
        <w:rPr>
          <w:i/>
        </w:rPr>
        <w:t>ectangle in EMUs.</w:t>
      </w:r>
    </w:p>
    <w:p w:rsidR="00024C0A" w:rsidRDefault="00694C0F">
      <w:pPr>
        <w:pStyle w:val="Definition-Field2"/>
      </w:pPr>
      <w:r>
        <w:t>PowerPoint uses the cx attribute to specify the width of the rectangle.</w:t>
      </w:r>
    </w:p>
    <w:p w:rsidR="00024C0A" w:rsidRDefault="00694C0F">
      <w:pPr>
        <w:pStyle w:val="Definition-Field"/>
      </w:pPr>
      <w:r>
        <w:t xml:space="preserve">d.   </w:t>
      </w:r>
      <w:r>
        <w:rPr>
          <w:i/>
        </w:rPr>
        <w:t>The standard states that the sldSz element specifies the size of the presentation slide surface.</w:t>
      </w:r>
    </w:p>
    <w:p w:rsidR="00024C0A" w:rsidRDefault="00694C0F">
      <w:pPr>
        <w:pStyle w:val="Definition-Field2"/>
      </w:pPr>
      <w:r>
        <w:t>PowerPoint assumes a default of &lt;p:sldSz cx=”9144000” cy=”685800</w:t>
      </w:r>
      <w:r>
        <w:t>0” /&gt; if the sldSz element is not present.</w:t>
      </w:r>
    </w:p>
    <w:p w:rsidR="00024C0A" w:rsidRDefault="00694C0F">
      <w:pPr>
        <w:pStyle w:val="Heading3"/>
      </w:pPr>
      <w:bookmarkStart w:id="2235" w:name="section_5d1dbc83b5204c20b60b219211294901"/>
      <w:bookmarkStart w:id="2236" w:name="_Toc12261178"/>
      <w:r>
        <w:t>Part 1 Section 19.2.1.40, smartTags (Smart Tags)</w:t>
      </w:r>
      <w:bookmarkEnd w:id="2235"/>
      <w:bookmarkEnd w:id="2236"/>
      <w:r>
        <w:fldChar w:fldCharType="begin"/>
      </w:r>
      <w:r>
        <w:instrText xml:space="preserve"> XE "smartTags (Smart Tags)" </w:instrText>
      </w:r>
      <w:r>
        <w:fldChar w:fldCharType="end"/>
      </w:r>
    </w:p>
    <w:p w:rsidR="00024C0A" w:rsidRDefault="00694C0F">
      <w:pPr>
        <w:pStyle w:val="Definition-Field"/>
      </w:pPr>
      <w:r>
        <w:t xml:space="preserve">a.   </w:t>
      </w:r>
      <w:r>
        <w:rPr>
          <w:i/>
        </w:rPr>
        <w:t>The standard states that the id attribute specifies the relationship identifier that is used in conjunction with a corresponding</w:t>
      </w:r>
      <w:r>
        <w:rPr>
          <w:i/>
        </w:rPr>
        <w:t xml:space="preserve"> relationship file to resolve the location of the smart tag.</w:t>
      </w:r>
    </w:p>
    <w:p w:rsidR="00024C0A" w:rsidRDefault="00694C0F">
      <w:r>
        <w:t>The id attribute of the smartTags element defines a relationship to a part within the presentation package whose contents are defined by the PowerPoint 97-2003 Binary File Format (.ppt) Structure</w:t>
      </w:r>
      <w:r>
        <w:t xml:space="preserve"> Specification (“</w:t>
      </w:r>
      <w:hyperlink r:id="rId151" w:anchor="Section_6be79dde33c14c1b8ccc4b2301c08662">
        <w:r>
          <w:rPr>
            <w:rStyle w:val="Hyperlink"/>
          </w:rPr>
          <w:t>[MS-PPT]</w:t>
        </w:r>
      </w:hyperlink>
      <w:r>
        <w:t xml:space="preserve"> section 2.11.28; SmartTagStore11Container”). This binary part contains no RecordHeader structure.</w:t>
      </w:r>
    </w:p>
    <w:p w:rsidR="00024C0A" w:rsidRDefault="00694C0F">
      <w:pPr>
        <w:pStyle w:val="Heading3"/>
      </w:pPr>
      <w:bookmarkStart w:id="2237" w:name="section_dfb28ce5885d4193957c8ae93866b92e"/>
      <w:bookmarkStart w:id="2238" w:name="_Toc12261179"/>
      <w:r>
        <w:t>Part 1 Section 19.2.2.4, guide (A Guide)</w:t>
      </w:r>
      <w:bookmarkEnd w:id="2237"/>
      <w:bookmarkEnd w:id="2238"/>
      <w:r>
        <w:fldChar w:fldCharType="begin"/>
      </w:r>
      <w:r>
        <w:instrText xml:space="preserve"> XE "guide (A </w:instrText>
      </w:r>
      <w:r>
        <w:instrText xml:space="preserve">Guide)" </w:instrText>
      </w:r>
      <w:r>
        <w:fldChar w:fldCharType="end"/>
      </w:r>
    </w:p>
    <w:p w:rsidR="00024C0A" w:rsidRDefault="00694C0F">
      <w:pPr>
        <w:pStyle w:val="Definition-Field"/>
      </w:pPr>
      <w:r>
        <w:t xml:space="preserve">a.   </w:t>
      </w:r>
      <w:r>
        <w:rPr>
          <w:i/>
        </w:rPr>
        <w:t>The standard does not state how to interpret the position information of the pos attribute.</w:t>
      </w:r>
    </w:p>
    <w:p w:rsidR="00024C0A" w:rsidRDefault="00694C0F">
      <w:pPr>
        <w:pStyle w:val="Definition-Field2"/>
      </w:pPr>
      <w:r>
        <w:t>PowerPoint interprets the position information to be relative to the top, left corner of the slide.</w:t>
      </w:r>
    </w:p>
    <w:p w:rsidR="00024C0A" w:rsidRDefault="00694C0F">
      <w:pPr>
        <w:pStyle w:val="Heading3"/>
      </w:pPr>
      <w:bookmarkStart w:id="2239" w:name="section_9163cc39baea4093980bafc28546324d"/>
      <w:bookmarkStart w:id="2240" w:name="_Toc12261180"/>
      <w:r>
        <w:t>Part 1 Section 19.2.2.6, normalViewPr (Normal Vi</w:t>
      </w:r>
      <w:r>
        <w:t>ew Properties)</w:t>
      </w:r>
      <w:bookmarkEnd w:id="2239"/>
      <w:bookmarkEnd w:id="2240"/>
      <w:r>
        <w:fldChar w:fldCharType="begin"/>
      </w:r>
      <w:r>
        <w:instrText xml:space="preserve"> XE "normalViewPr (Normal View Properties)" </w:instrText>
      </w:r>
      <w:r>
        <w:fldChar w:fldCharType="end"/>
      </w:r>
    </w:p>
    <w:p w:rsidR="00024C0A" w:rsidRDefault="00694C0F">
      <w:pPr>
        <w:pStyle w:val="Definition-Field"/>
      </w:pPr>
      <w:r>
        <w:t xml:space="preserve">a.   </w:t>
      </w:r>
      <w:r>
        <w:rPr>
          <w:i/>
        </w:rPr>
        <w:t>The standard states that the vertBarState attribute affects the state of the slide region.</w:t>
      </w:r>
    </w:p>
    <w:p w:rsidR="00024C0A" w:rsidRDefault="00694C0F">
      <w:pPr>
        <w:pStyle w:val="Definition-Field2"/>
      </w:pPr>
      <w:r>
        <w:t>PowerPoint uses the vertBarState attribute to affect the state of the side content region.</w:t>
      </w:r>
    </w:p>
    <w:p w:rsidR="00024C0A" w:rsidRDefault="00694C0F">
      <w:pPr>
        <w:pStyle w:val="Definition-Field"/>
      </w:pPr>
      <w:r>
        <w:lastRenderedPageBreak/>
        <w:t xml:space="preserve">b.   </w:t>
      </w:r>
      <w:r>
        <w:rPr>
          <w:i/>
        </w:rPr>
        <w:t>The</w:t>
      </w:r>
      <w:r>
        <w:rPr>
          <w:i/>
        </w:rPr>
        <w:t xml:space="preserve"> standard states that the horzBarState attribute affects the state of the side content region.</w:t>
      </w:r>
    </w:p>
    <w:p w:rsidR="00024C0A" w:rsidRDefault="00694C0F">
      <w:pPr>
        <w:pStyle w:val="Definition-Field2"/>
      </w:pPr>
      <w:r>
        <w:t>PowerPoint uses the horzBarState attribute to affect the state of the slide region.</w:t>
      </w:r>
    </w:p>
    <w:p w:rsidR="00024C0A" w:rsidRDefault="00694C0F">
      <w:pPr>
        <w:pStyle w:val="Definition-Field"/>
      </w:pPr>
      <w:r>
        <w:t xml:space="preserve">c.   </w:t>
      </w:r>
      <w:r>
        <w:rPr>
          <w:i/>
        </w:rPr>
        <w:t>The standard places no restrictions on the relationship between the horz</w:t>
      </w:r>
      <w:r>
        <w:rPr>
          <w:i/>
        </w:rPr>
        <w:t>BarState attribute and the restoredTop child element.</w:t>
      </w:r>
    </w:p>
    <w:p w:rsidR="00024C0A" w:rsidRDefault="00694C0F">
      <w:pPr>
        <w:pStyle w:val="Definition-Field2"/>
      </w:pPr>
      <w:r>
        <w:t>PowerPoint ignores the restoredTop child element when the value of the horzBarState attribute is minimized or maximized.</w:t>
      </w:r>
    </w:p>
    <w:p w:rsidR="00024C0A" w:rsidRDefault="00694C0F">
      <w:pPr>
        <w:pStyle w:val="Definition-Field"/>
      </w:pPr>
      <w:r>
        <w:t xml:space="preserve">d.   </w:t>
      </w:r>
      <w:r>
        <w:rPr>
          <w:i/>
        </w:rPr>
        <w:t>The standard places no restrictions on the relationship between the vertBarS</w:t>
      </w:r>
      <w:r>
        <w:rPr>
          <w:i/>
        </w:rPr>
        <w:t>tate attribute and the restoredLeft child element.</w:t>
      </w:r>
    </w:p>
    <w:p w:rsidR="00024C0A" w:rsidRDefault="00694C0F">
      <w:pPr>
        <w:pStyle w:val="Definition-Field2"/>
      </w:pPr>
      <w:r>
        <w:t>PowerPoint ignores the restoredLeft child element when the value of the vertBarState attribute is minimized or maximized.</w:t>
      </w:r>
    </w:p>
    <w:p w:rsidR="00024C0A" w:rsidRDefault="00694C0F">
      <w:pPr>
        <w:pStyle w:val="Heading3"/>
      </w:pPr>
      <w:bookmarkStart w:id="2241" w:name="section_b0d10d875aa74b37b2caea9cc2705984"/>
      <w:bookmarkStart w:id="2242" w:name="_Toc12261181"/>
      <w:r>
        <w:t>Part 1 Section 19.2.2.9, origin (View Origin)</w:t>
      </w:r>
      <w:bookmarkEnd w:id="2241"/>
      <w:bookmarkEnd w:id="2242"/>
      <w:r>
        <w:fldChar w:fldCharType="begin"/>
      </w:r>
      <w:r>
        <w:instrText xml:space="preserve"> XE "origin (View Origin)" </w:instrText>
      </w:r>
      <w:r>
        <w:fldChar w:fldCharType="end"/>
      </w:r>
    </w:p>
    <w:p w:rsidR="00024C0A" w:rsidRDefault="00694C0F">
      <w:pPr>
        <w:pStyle w:val="Definition-Field2"/>
      </w:pPr>
      <w:r>
        <w:rPr>
          <w:i/>
        </w:rPr>
        <w:t>For addi</w:t>
      </w:r>
      <w:r>
        <w:rPr>
          <w:i/>
        </w:rPr>
        <w:t xml:space="preserve">tional notes that apply to this portion of the standard, please see the notes for </w:t>
      </w:r>
      <w:hyperlink w:anchor="Section_bb0ea49131314a6aadc803f173655076">
        <w:r>
          <w:rPr>
            <w:rStyle w:val="Hyperlink"/>
          </w:rPr>
          <w:t>chOff, §20.1.7.2(b)</w:t>
        </w:r>
      </w:hyperlink>
      <w:r>
        <w:rPr>
          <w:i/>
        </w:rPr>
        <w:t>.</w:t>
      </w:r>
    </w:p>
    <w:p w:rsidR="00024C0A" w:rsidRDefault="00694C0F">
      <w:pPr>
        <w:pStyle w:val="Heading3"/>
      </w:pPr>
      <w:bookmarkStart w:id="2243" w:name="section_6551673052ab49638c4ccfb2127809ab"/>
      <w:bookmarkStart w:id="2244" w:name="_Toc12261182"/>
      <w:r>
        <w:t>Part 1 Section 19.2.2.11, restoredLeft (Normal View Restored Left Properties)</w:t>
      </w:r>
      <w:bookmarkEnd w:id="2243"/>
      <w:bookmarkEnd w:id="2244"/>
      <w:r>
        <w:fldChar w:fldCharType="begin"/>
      </w:r>
      <w:r>
        <w:instrText xml:space="preserve"> XE "restored</w:instrText>
      </w:r>
      <w:r>
        <w:instrText xml:space="preserve">Left (Normal View Restored Left Properties)"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53ceb85bfb0c40f4af1d9feecfb64502">
        <w:r>
          <w:rPr>
            <w:rStyle w:val="Hyperlink"/>
          </w:rPr>
          <w:t>restoredTop, §19.2.2.12(a)</w:t>
        </w:r>
      </w:hyperlink>
      <w:r>
        <w:rPr>
          <w:i/>
        </w:rPr>
        <w:t>.</w:t>
      </w:r>
    </w:p>
    <w:p w:rsidR="00024C0A" w:rsidRDefault="00694C0F">
      <w:pPr>
        <w:pStyle w:val="Definition-Field"/>
      </w:pPr>
      <w:r>
        <w:t xml:space="preserve">a.   </w:t>
      </w:r>
      <w:r>
        <w:rPr>
          <w:i/>
        </w:rPr>
        <w:t xml:space="preserve">The standard states </w:t>
      </w:r>
      <w:r>
        <w:rPr>
          <w:i/>
        </w:rPr>
        <w:t>that the sz attribute specifies the size of the slide region.</w:t>
      </w:r>
    </w:p>
    <w:p w:rsidR="00024C0A" w:rsidRDefault="00694C0F">
      <w:pPr>
        <w:pStyle w:val="Definition-Field2"/>
      </w:pPr>
      <w:r>
        <w:t>PowerPoint uses the sz attribute to specify the height of the slide region when the sz attribute is a child of the restoredTop element and width of the slide region when @sz is a child of the re</w:t>
      </w:r>
      <w:r>
        <w:t>storedLeft element.</w:t>
      </w:r>
    </w:p>
    <w:p w:rsidR="00024C0A" w:rsidRDefault="00694C0F">
      <w:pPr>
        <w:pStyle w:val="Heading3"/>
      </w:pPr>
      <w:bookmarkStart w:id="2245" w:name="section_53ceb85bfb0c40f4af1d9feecfb64502"/>
      <w:bookmarkStart w:id="2246" w:name="_Toc12261183"/>
      <w:r>
        <w:t>Part 1 Section 19.2.2.12, restoredTop (Normal View Restored Top Properties)</w:t>
      </w:r>
      <w:bookmarkEnd w:id="2245"/>
      <w:bookmarkEnd w:id="2246"/>
      <w:r>
        <w:fldChar w:fldCharType="begin"/>
      </w:r>
      <w:r>
        <w:instrText xml:space="preserve"> XE "restoredTop (Normal View Restored Top Properties)"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6551673052ab49638c4ccfb2127809ab">
        <w:r>
          <w:rPr>
            <w:rStyle w:val="Hyperlink"/>
          </w:rPr>
          <w:t>restoredLeft, §19.2.2.11(a)</w:t>
        </w:r>
      </w:hyperlink>
      <w:r>
        <w:rPr>
          <w:i/>
        </w:rPr>
        <w:t>.</w:t>
      </w:r>
    </w:p>
    <w:p w:rsidR="00024C0A" w:rsidRDefault="00694C0F">
      <w:pPr>
        <w:pStyle w:val="Definition-Field"/>
      </w:pPr>
      <w:r>
        <w:t xml:space="preserve">a.   </w:t>
      </w:r>
      <w:r>
        <w:rPr>
          <w:i/>
        </w:rPr>
        <w:t>The standard states that the autoAdjust attribute specifies the size of the side content region.</w:t>
      </w:r>
    </w:p>
    <w:p w:rsidR="00024C0A" w:rsidRDefault="00694C0F">
      <w:pPr>
        <w:pStyle w:val="Definition-Field2"/>
      </w:pPr>
      <w:r>
        <w:t>PowerPoint interprets the autoAdjust attribute to specify the si</w:t>
      </w:r>
      <w:r>
        <w:t>ze of the slide region, not the side content region.</w:t>
      </w:r>
    </w:p>
    <w:p w:rsidR="00024C0A" w:rsidRDefault="00694C0F">
      <w:pPr>
        <w:pStyle w:val="Heading3"/>
      </w:pPr>
      <w:bookmarkStart w:id="2247" w:name="section_467128baa9144fe8a022184922a47c21"/>
      <w:bookmarkStart w:id="2248" w:name="_Toc12261184"/>
      <w:r>
        <w:t>Part 1 Section 19.2.2.13, scale (View Scale)</w:t>
      </w:r>
      <w:bookmarkEnd w:id="2247"/>
      <w:bookmarkEnd w:id="2248"/>
      <w:r>
        <w:fldChar w:fldCharType="begin"/>
      </w:r>
      <w:r>
        <w:instrText xml:space="preserve"> XE "scale (View Scale)" </w:instrText>
      </w:r>
      <w:r>
        <w:fldChar w:fldCharType="end"/>
      </w:r>
    </w:p>
    <w:p w:rsidR="00024C0A" w:rsidRDefault="00694C0F">
      <w:pPr>
        <w:pStyle w:val="Definition-Field"/>
      </w:pPr>
      <w:r>
        <w:t xml:space="preserve">a.   </w:t>
      </w:r>
      <w:r>
        <w:rPr>
          <w:i/>
        </w:rPr>
        <w:t>The standard states that the scale element specifies the view scaling factors that the presentation was last viewed with.</w:t>
      </w:r>
    </w:p>
    <w:p w:rsidR="00024C0A" w:rsidRDefault="00694C0F">
      <w:pPr>
        <w:pStyle w:val="Definition-Field2"/>
      </w:pPr>
      <w:r>
        <w:t>Powe</w:t>
      </w:r>
      <w:r>
        <w:t>rPoint requires that the ratio value of child element sx and child element sy shall not be less than 0.03 or greater than 5.</w:t>
      </w:r>
    </w:p>
    <w:p w:rsidR="00024C0A" w:rsidRDefault="00694C0F">
      <w:pPr>
        <w:pStyle w:val="Definition-Field"/>
      </w:pPr>
      <w:r>
        <w:t xml:space="preserve">b.   </w:t>
      </w:r>
      <w:r>
        <w:rPr>
          <w:i/>
        </w:rPr>
        <w:t>The standard states that the values of the n attribute on the sx and sy child elements are defined by the XML Schema long data</w:t>
      </w:r>
      <w:r>
        <w:rPr>
          <w:i/>
        </w:rPr>
        <w:t>type.</w:t>
      </w:r>
    </w:p>
    <w:p w:rsidR="00024C0A" w:rsidRDefault="00694C0F">
      <w:pPr>
        <w:pStyle w:val="Definition-Field2"/>
      </w:pPr>
      <w:r>
        <w:t>PowerPoint defines the values of the n attribute with the XML Schema int datatype.</w:t>
      </w:r>
    </w:p>
    <w:p w:rsidR="00024C0A" w:rsidRDefault="00694C0F">
      <w:pPr>
        <w:pStyle w:val="Definition-Field"/>
      </w:pPr>
      <w:r>
        <w:lastRenderedPageBreak/>
        <w:t xml:space="preserve">c.   </w:t>
      </w:r>
      <w:r>
        <w:rPr>
          <w:i/>
        </w:rPr>
        <w:t>The standard states that the values of the d attribute on the sx and sy child elements are defined by the XML Schema long datatype.</w:t>
      </w:r>
    </w:p>
    <w:p w:rsidR="00024C0A" w:rsidRDefault="00694C0F">
      <w:pPr>
        <w:pStyle w:val="Definition-Field2"/>
      </w:pPr>
      <w:r>
        <w:t xml:space="preserve">PowerPoint defines the values </w:t>
      </w:r>
      <w:r>
        <w:t>of the d attribute with the XML Schema int datatype.</w:t>
      </w:r>
    </w:p>
    <w:p w:rsidR="00024C0A" w:rsidRDefault="00694C0F">
      <w:pPr>
        <w:pStyle w:val="Heading3"/>
      </w:pPr>
      <w:bookmarkStart w:id="2249" w:name="section_71e8b4e0e70d416aa249c870d41e6d5e"/>
      <w:bookmarkStart w:id="2250" w:name="_Toc12261185"/>
      <w:r>
        <w:t>Part 1 Section 19.3.1.1, bg (Slide Background)</w:t>
      </w:r>
      <w:bookmarkEnd w:id="2249"/>
      <w:bookmarkEnd w:id="2250"/>
      <w:r>
        <w:fldChar w:fldCharType="begin"/>
      </w:r>
      <w:r>
        <w:instrText xml:space="preserve"> XE "bg (Slide Background)" </w:instrText>
      </w:r>
      <w:r>
        <w:fldChar w:fldCharType="end"/>
      </w:r>
    </w:p>
    <w:p w:rsidR="00024C0A" w:rsidRDefault="00694C0F">
      <w:pPr>
        <w:pStyle w:val="Definition-Field"/>
      </w:pPr>
      <w:r>
        <w:t xml:space="preserve">a.   </w:t>
      </w:r>
      <w:r>
        <w:rPr>
          <w:i/>
        </w:rPr>
        <w:t>The standard states that the bwMode attribute specifies that the background should be rendered using only black and white</w:t>
      </w:r>
      <w:r>
        <w:rPr>
          <w:i/>
        </w:rPr>
        <w:t xml:space="preserve"> coloring.</w:t>
      </w:r>
    </w:p>
    <w:p w:rsidR="00024C0A" w:rsidRDefault="00694C0F">
      <w:pPr>
        <w:pStyle w:val="Definition-Field2"/>
      </w:pPr>
      <w:r>
        <w:t>PowerPoint uses the bwMode attribute to specify how the background should be rendered when in black and white mode.</w:t>
      </w:r>
    </w:p>
    <w:p w:rsidR="00024C0A" w:rsidRDefault="00694C0F">
      <w:pPr>
        <w:pStyle w:val="Heading3"/>
      </w:pPr>
      <w:bookmarkStart w:id="2251" w:name="section_c1fadbc6d06348b9b57ea043969cf6c5"/>
      <w:bookmarkStart w:id="2252" w:name="_Toc12261186"/>
      <w:r>
        <w:t>Part 1 Section 19.3.1.2, bgPr (Background Properties)</w:t>
      </w:r>
      <w:bookmarkEnd w:id="2251"/>
      <w:bookmarkEnd w:id="2252"/>
      <w:r>
        <w:fldChar w:fldCharType="begin"/>
      </w:r>
      <w:r>
        <w:instrText xml:space="preserve"> XE "bgPr (Background Properties)" </w:instrText>
      </w:r>
      <w:r>
        <w:fldChar w:fldCharType="end"/>
      </w:r>
    </w:p>
    <w:p w:rsidR="00024C0A" w:rsidRDefault="00694C0F">
      <w:pPr>
        <w:pStyle w:val="Definition-Field"/>
      </w:pPr>
      <w:r>
        <w:t xml:space="preserve">a.   </w:t>
      </w:r>
      <w:r>
        <w:rPr>
          <w:i/>
        </w:rPr>
        <w:t>The standard states the grpFill e</w:t>
      </w:r>
      <w:r>
        <w:rPr>
          <w:i/>
        </w:rPr>
        <w:t>lement is a valid child of the bgPr element.</w:t>
      </w:r>
    </w:p>
    <w:p w:rsidR="00024C0A" w:rsidRDefault="00694C0F">
      <w:pPr>
        <w:pStyle w:val="Definition-Field2"/>
      </w:pPr>
      <w:r>
        <w:t>PowerPoint does not allow the grpFill element to be a child of the bgPr element.</w:t>
      </w:r>
    </w:p>
    <w:p w:rsidR="00024C0A" w:rsidRDefault="00694C0F">
      <w:pPr>
        <w:pStyle w:val="Heading3"/>
      </w:pPr>
      <w:bookmarkStart w:id="2253" w:name="section_17c4667a47c248f69f112565d029009c"/>
      <w:bookmarkStart w:id="2254" w:name="_Toc12261187"/>
      <w:r>
        <w:t>Part 1 Section 19.3.1.4, blipFill (Picture Fill)</w:t>
      </w:r>
      <w:bookmarkEnd w:id="2253"/>
      <w:bookmarkEnd w:id="2254"/>
      <w:r>
        <w:fldChar w:fldCharType="begin"/>
      </w:r>
      <w:r>
        <w:instrText xml:space="preserve"> XE "blipFill (Picture Fill)" </w:instrText>
      </w:r>
      <w:r>
        <w:fldChar w:fldCharType="end"/>
      </w:r>
    </w:p>
    <w:p w:rsidR="00024C0A" w:rsidRDefault="00694C0F">
      <w:pPr>
        <w:pStyle w:val="Definition-Field2"/>
      </w:pPr>
      <w:r>
        <w:rPr>
          <w:i/>
        </w:rPr>
        <w:t>For additional notes that apply to this portion o</w:t>
      </w:r>
      <w:r>
        <w:rPr>
          <w:i/>
        </w:rPr>
        <w:t xml:space="preserve">f the standard, please see the notes for </w:t>
      </w:r>
      <w:hyperlink w:anchor="Section_0329492820b44cdd9ecdac4d63dc4674">
        <w:r>
          <w:rPr>
            <w:rStyle w:val="Hyperlink"/>
          </w:rPr>
          <w:t>blipFill, §21.3.2.2(a)</w:t>
        </w:r>
      </w:hyperlink>
      <w:r>
        <w:rPr>
          <w:i/>
        </w:rPr>
        <w:t>.</w:t>
      </w:r>
    </w:p>
    <w:p w:rsidR="00024C0A" w:rsidRDefault="00694C0F">
      <w:pPr>
        <w:pStyle w:val="Heading3"/>
      </w:pPr>
      <w:bookmarkStart w:id="2255" w:name="section_27570db3ce3e4a0693da4c8f1b7552ed"/>
      <w:bookmarkStart w:id="2256" w:name="_Toc12261188"/>
      <w:r>
        <w:t>Part 1 Section 19.3.1.16, cSld (Common Slide Data)</w:t>
      </w:r>
      <w:bookmarkEnd w:id="2255"/>
      <w:bookmarkEnd w:id="2256"/>
      <w:r>
        <w:fldChar w:fldCharType="begin"/>
      </w:r>
      <w:r>
        <w:instrText xml:space="preserve"> XE "cSld (Common Slide Data)" </w:instrText>
      </w:r>
      <w:r>
        <w:fldChar w:fldCharType="end"/>
      </w:r>
    </w:p>
    <w:p w:rsidR="00024C0A" w:rsidRDefault="00694C0F">
      <w:pPr>
        <w:pStyle w:val="Definition-Field"/>
      </w:pPr>
      <w:r>
        <w:t xml:space="preserve">a.   </w:t>
      </w:r>
      <w:r>
        <w:rPr>
          <w:i/>
        </w:rPr>
        <w:t>The standard states that the controls e</w:t>
      </w:r>
      <w:r>
        <w:rPr>
          <w:i/>
        </w:rPr>
        <w:t>lement is a valid child of the cSld element.</w:t>
      </w:r>
    </w:p>
    <w:p w:rsidR="00024C0A" w:rsidRDefault="00694C0F">
      <w:pPr>
        <w:pStyle w:val="Definition-Field2"/>
      </w:pPr>
      <w:r>
        <w:t>PowerPoint does not allow the controls element to be a child of the cSld element when the cSld's parent element is the handoutMaster element, the notes element, or the notesMaster element.</w:t>
      </w:r>
    </w:p>
    <w:p w:rsidR="00024C0A" w:rsidRDefault="00694C0F">
      <w:pPr>
        <w:pStyle w:val="Heading3"/>
      </w:pPr>
      <w:bookmarkStart w:id="2257" w:name="section_ded574023d5740a88662fa25bfffe329"/>
      <w:bookmarkStart w:id="2258" w:name="_Toc12261189"/>
      <w:r>
        <w:t>Part 1 Section 19.3.1.</w:t>
      </w:r>
      <w:r>
        <w:t>17, custData (Customer Data)</w:t>
      </w:r>
      <w:bookmarkEnd w:id="2257"/>
      <w:bookmarkEnd w:id="2258"/>
      <w:r>
        <w:fldChar w:fldCharType="begin"/>
      </w:r>
      <w:r>
        <w:instrText xml:space="preserve"> XE "custData (Customer Data)" </w:instrText>
      </w:r>
      <w:r>
        <w:fldChar w:fldCharType="end"/>
      </w:r>
    </w:p>
    <w:p w:rsidR="00024C0A" w:rsidRDefault="00694C0F">
      <w:pPr>
        <w:pStyle w:val="Definition-Field"/>
      </w:pPr>
      <w:r>
        <w:t xml:space="preserve">a.   </w:t>
      </w:r>
      <w:r>
        <w:rPr>
          <w:i/>
        </w:rPr>
        <w:t>The standard does not specify what type of resource the id attribute should refer to.</w:t>
      </w:r>
    </w:p>
    <w:p w:rsidR="00024C0A" w:rsidRDefault="00694C0F">
      <w:pPr>
        <w:pStyle w:val="Definition-Field2"/>
      </w:pPr>
      <w:r>
        <w:t>PowerPoint requires that the id attribute specify a valid data store item.</w:t>
      </w:r>
    </w:p>
    <w:p w:rsidR="00024C0A" w:rsidRDefault="00694C0F">
      <w:pPr>
        <w:pStyle w:val="Heading3"/>
      </w:pPr>
      <w:bookmarkStart w:id="2259" w:name="section_9ddba7fd39a643d3b232fb6d0de0047b"/>
      <w:bookmarkStart w:id="2260" w:name="_Toc12261190"/>
      <w:r>
        <w:t>Part 1 Section 19.3.1.23, gr</w:t>
      </w:r>
      <w:r>
        <w:t>pSpPr (Group Shape Properties)</w:t>
      </w:r>
      <w:bookmarkEnd w:id="2259"/>
      <w:bookmarkEnd w:id="2260"/>
      <w:r>
        <w:fldChar w:fldCharType="begin"/>
      </w:r>
      <w:r>
        <w:instrText xml:space="preserve"> XE "grpSpPr (Group Shape Properties)"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024C0A" w:rsidRDefault="00694C0F">
      <w:pPr>
        <w:pStyle w:val="Heading3"/>
      </w:pPr>
      <w:bookmarkStart w:id="2261" w:name="section_8951fadae9e043209013222984368104"/>
      <w:bookmarkStart w:id="2262" w:name="_Toc12261191"/>
      <w:r>
        <w:t>Part 1 Section 19.3.1.27, notesMaster (Notes Master)</w:t>
      </w:r>
      <w:bookmarkEnd w:id="2261"/>
      <w:bookmarkEnd w:id="2262"/>
      <w:r>
        <w:fldChar w:fldCharType="begin"/>
      </w:r>
      <w:r>
        <w:instrText xml:space="preserve"> XE "notesMaster (Notes Master)" </w:instrText>
      </w:r>
      <w:r>
        <w:fldChar w:fldCharType="end"/>
      </w:r>
    </w:p>
    <w:p w:rsidR="00024C0A" w:rsidRDefault="00694C0F">
      <w:pPr>
        <w:pStyle w:val="Definition-Field"/>
      </w:pPr>
      <w:r>
        <w:t xml:space="preserve">a.   </w:t>
      </w:r>
      <w:r>
        <w:rPr>
          <w:i/>
        </w:rPr>
        <w:t>The standard states that the notesMaster element specifies an instance of a handout master slide.</w:t>
      </w:r>
    </w:p>
    <w:p w:rsidR="00024C0A" w:rsidRDefault="00694C0F">
      <w:pPr>
        <w:pStyle w:val="Definition-Field2"/>
      </w:pPr>
      <w:r>
        <w:t>PowerPoint uses the notesMaster element to specify an instance of</w:t>
      </w:r>
      <w:r>
        <w:t xml:space="preserve"> a notes master slide.</w:t>
      </w:r>
    </w:p>
    <w:p w:rsidR="00024C0A" w:rsidRDefault="00694C0F">
      <w:pPr>
        <w:pStyle w:val="Definition-Field"/>
      </w:pPr>
      <w:r>
        <w:t xml:space="preserve">b.   </w:t>
      </w:r>
      <w:r>
        <w:rPr>
          <w:i/>
        </w:rPr>
        <w:t>The standard does not specify the z-order of shapes in a notes master slide.</w:t>
      </w:r>
    </w:p>
    <w:p w:rsidR="00024C0A" w:rsidRDefault="00694C0F">
      <w:pPr>
        <w:pStyle w:val="Definition-Field2"/>
      </w:pPr>
      <w:r>
        <w:t>PowerPoint renders the shape elements contained in a notesMaster element in the order they are written.  The note text is always rendered in the foregr</w:t>
      </w:r>
      <w:r>
        <w:t>ound.</w:t>
      </w:r>
    </w:p>
    <w:p w:rsidR="00024C0A" w:rsidRDefault="00694C0F">
      <w:pPr>
        <w:pStyle w:val="Heading3"/>
      </w:pPr>
      <w:bookmarkStart w:id="2263" w:name="section_714b0f8f82e346b0a46d91c29471c19e"/>
      <w:bookmarkStart w:id="2264" w:name="_Toc12261192"/>
      <w:r>
        <w:lastRenderedPageBreak/>
        <w:t>Part 1 Section 19.3.1.28, notesStyle (Notes Text Style)</w:t>
      </w:r>
      <w:bookmarkEnd w:id="2263"/>
      <w:bookmarkEnd w:id="2264"/>
      <w:r>
        <w:fldChar w:fldCharType="begin"/>
      </w:r>
      <w:r>
        <w:instrText xml:space="preserve"> XE "notesStyle (Notes Text Style)" </w:instrText>
      </w:r>
      <w:r>
        <w:fldChar w:fldCharType="end"/>
      </w:r>
    </w:p>
    <w:p w:rsidR="00024C0A" w:rsidRDefault="00694C0F">
      <w:pPr>
        <w:pStyle w:val="Definition-Field"/>
      </w:pPr>
      <w:r>
        <w:t xml:space="preserve">a.   </w:t>
      </w:r>
      <w:r>
        <w:rPr>
          <w:i/>
        </w:rPr>
        <w:t>The standard states that the notesStyle element specifies the text formatting style for all text within a notes slide.</w:t>
      </w:r>
    </w:p>
    <w:p w:rsidR="00024C0A" w:rsidRDefault="00694C0F">
      <w:pPr>
        <w:pStyle w:val="Definition-Field2"/>
      </w:pPr>
      <w:r>
        <w:t xml:space="preserve">PowerPoint uses the notesStyle </w:t>
      </w:r>
      <w:r>
        <w:t>element to specify the text in the notes section of the notes page view and the notes master view.</w:t>
      </w:r>
    </w:p>
    <w:p w:rsidR="00024C0A" w:rsidRDefault="00694C0F">
      <w:pPr>
        <w:pStyle w:val="Heading3"/>
      </w:pPr>
      <w:bookmarkStart w:id="2265" w:name="section_df435a6d5e4b4d95b0e273276d70cc5b"/>
      <w:bookmarkStart w:id="2266" w:name="_Toc12261193"/>
      <w:r>
        <w:t>Part 1 Section 19.3.1.33, nvPr (Non-Visual Properties)</w:t>
      </w:r>
      <w:bookmarkEnd w:id="2265"/>
      <w:bookmarkEnd w:id="2266"/>
      <w:r>
        <w:fldChar w:fldCharType="begin"/>
      </w:r>
      <w:r>
        <w:instrText xml:space="preserve"> XE "nvPr (Non-Visual Properties)" </w:instrText>
      </w:r>
      <w:r>
        <w:fldChar w:fldCharType="end"/>
      </w:r>
    </w:p>
    <w:p w:rsidR="00024C0A" w:rsidRDefault="00694C0F">
      <w:pPr>
        <w:pStyle w:val="Definition-Field"/>
      </w:pPr>
      <w:r>
        <w:t xml:space="preserve">a.   </w:t>
      </w:r>
      <w:r>
        <w:rPr>
          <w:i/>
        </w:rPr>
        <w:t>The standard states that the isPhoto attribute specifies whe</w:t>
      </w:r>
      <w:r>
        <w:rPr>
          <w:i/>
        </w:rPr>
        <w:t>ther the picture belongs to a photo album.</w:t>
      </w:r>
    </w:p>
    <w:p w:rsidR="00024C0A" w:rsidRDefault="00694C0F">
      <w:pPr>
        <w:pStyle w:val="Definition-Field2"/>
      </w:pPr>
      <w:r>
        <w:t>PowerPoint does not support the isPhoto attribute when nvPr's parent element is the nvGrpSpPr element.</w:t>
      </w:r>
    </w:p>
    <w:p w:rsidR="00024C0A" w:rsidRDefault="00694C0F">
      <w:pPr>
        <w:pStyle w:val="Definition-Field"/>
      </w:pPr>
      <w:r>
        <w:t xml:space="preserve">b.   </w:t>
      </w:r>
      <w:r>
        <w:rPr>
          <w:i/>
        </w:rPr>
        <w:t>The standard states that the ph element is a valid child of the nvPr element.</w:t>
      </w:r>
    </w:p>
    <w:p w:rsidR="00024C0A" w:rsidRDefault="00694C0F">
      <w:pPr>
        <w:pStyle w:val="Definition-Field2"/>
      </w:pPr>
      <w:r>
        <w:t>PowerPoint does not allow t</w:t>
      </w:r>
      <w:r>
        <w:t>he ph element to be a child of the nvPr element when the nvPr's parent element is the nvCxnSpPr element or the nvGrpSpPr element.</w:t>
      </w:r>
    </w:p>
    <w:p w:rsidR="00024C0A" w:rsidRDefault="00694C0F">
      <w:pPr>
        <w:pStyle w:val="Heading3"/>
      </w:pPr>
      <w:bookmarkStart w:id="2267" w:name="section_3ec954b237a641da897304a592c91fb2"/>
      <w:bookmarkStart w:id="2268" w:name="_Toc12261194"/>
      <w:r>
        <w:t>Part 1 Section 19.3.1.36, ph (Placeholder Shape)</w:t>
      </w:r>
      <w:bookmarkEnd w:id="2267"/>
      <w:bookmarkEnd w:id="2268"/>
      <w:r>
        <w:fldChar w:fldCharType="begin"/>
      </w:r>
      <w:r>
        <w:instrText xml:space="preserve"> XE "ph (Placeholder Shape)" </w:instrText>
      </w:r>
      <w:r>
        <w:fldChar w:fldCharType="end"/>
      </w:r>
    </w:p>
    <w:p w:rsidR="00024C0A" w:rsidRDefault="00694C0F">
      <w:pPr>
        <w:pStyle w:val="Definition-Field"/>
      </w:pPr>
      <w:r>
        <w:t xml:space="preserve">a.   </w:t>
      </w:r>
      <w:r>
        <w:rPr>
          <w:i/>
        </w:rPr>
        <w:t xml:space="preserve">The standard states that the placeholder </w:t>
      </w:r>
      <w:r>
        <w:rPr>
          <w:i/>
        </w:rPr>
        <w:t>idx attribute specifies the placeholder index.</w:t>
      </w:r>
    </w:p>
    <w:p w:rsidR="00024C0A" w:rsidRDefault="00694C0F">
      <w:r>
        <w:t>The following additional restrictions apply to values on the idx attribute:</w:t>
      </w:r>
    </w:p>
    <w:p w:rsidR="00024C0A" w:rsidRDefault="00694C0F">
      <w:pPr>
        <w:pStyle w:val="ListParagraph"/>
        <w:numPr>
          <w:ilvl w:val="0"/>
          <w:numId w:val="124"/>
        </w:numPr>
        <w:contextualSpacing/>
      </w:pPr>
      <w:r>
        <w:t>For a placeholder on a Master, Notes Master, Handout Master, Slide Layout or Notes Slide the value shall not be equal to 0xffffffff.</w:t>
      </w:r>
    </w:p>
    <w:p w:rsidR="00024C0A" w:rsidRDefault="00694C0F">
      <w:pPr>
        <w:pStyle w:val="ListParagraph"/>
        <w:numPr>
          <w:ilvl w:val="0"/>
          <w:numId w:val="124"/>
        </w:numPr>
        <w:contextualSpacing/>
      </w:pPr>
      <w:r>
        <w:t>For any two placeholders on a Master, Notes Master, Handout Master, Slide Layout or Notes Slide the values must not be the same.</w:t>
      </w:r>
    </w:p>
    <w:p w:rsidR="00024C0A" w:rsidRDefault="00694C0F">
      <w:pPr>
        <w:pStyle w:val="ListParagraph"/>
        <w:numPr>
          <w:ilvl w:val="0"/>
          <w:numId w:val="124"/>
        </w:numPr>
        <w:contextualSpacing/>
      </w:pPr>
      <w:r>
        <w:t>For any two placeholders on a Slide with values not equal to 0xffffffff the values shall not be the same.</w:t>
      </w:r>
    </w:p>
    <w:p w:rsidR="00024C0A" w:rsidRDefault="00694C0F">
      <w:pPr>
        <w:pStyle w:val="ListParagraph"/>
        <w:numPr>
          <w:ilvl w:val="0"/>
          <w:numId w:val="124"/>
        </w:numPr>
      </w:pPr>
      <w:r>
        <w:t xml:space="preserve">For a placeholder on </w:t>
      </w:r>
      <w:r>
        <w:t>a Slide with a value not equal to 0xffffffff there shall be a placeholder on the Slide Layout with the same attribute values.</w:t>
      </w:r>
    </w:p>
    <w:p w:rsidR="00024C0A" w:rsidRDefault="00694C0F">
      <w:pPr>
        <w:pStyle w:val="Definition-Field"/>
      </w:pPr>
      <w:r>
        <w:t xml:space="preserve">b.   </w:t>
      </w:r>
      <w:r>
        <w:rPr>
          <w:i/>
        </w:rPr>
        <w:t>The standard does not specify the inheritance model of a placeholder shape.</w:t>
      </w:r>
    </w:p>
    <w:p w:rsidR="00024C0A" w:rsidRDefault="00694C0F">
      <w:pPr>
        <w:pStyle w:val="Definition-Field2"/>
      </w:pPr>
      <w:r>
        <w:t>PowerPoint defines a placeholder shape on a slide</w:t>
      </w:r>
      <w:r>
        <w:t xml:space="preserve"> to inherit from the slide layout placeholder with the same idx value, and a placeholder shape on a notes slide to inherit from the notes master placeholder with the same type value.</w:t>
      </w:r>
    </w:p>
    <w:p w:rsidR="00024C0A" w:rsidRDefault="00694C0F">
      <w:pPr>
        <w:pStyle w:val="Heading3"/>
      </w:pPr>
      <w:bookmarkStart w:id="2269" w:name="section_ba458354c051419ea68e0027cbac03bc"/>
      <w:bookmarkStart w:id="2270" w:name="_Toc12261195"/>
      <w:r>
        <w:t>Part 1 Section 19.3.1.38, sld (Presentation Slide)</w:t>
      </w:r>
      <w:bookmarkEnd w:id="2269"/>
      <w:bookmarkEnd w:id="2270"/>
      <w:r>
        <w:fldChar w:fldCharType="begin"/>
      </w:r>
      <w:r>
        <w:instrText xml:space="preserve"> XE "sld (Presentation </w:instrText>
      </w:r>
      <w:r>
        <w:instrText xml:space="preserve">Slide)" </w:instrText>
      </w:r>
      <w:r>
        <w:fldChar w:fldCharType="end"/>
      </w:r>
    </w:p>
    <w:p w:rsidR="00024C0A" w:rsidRDefault="00694C0F">
      <w:pPr>
        <w:pStyle w:val="Definition-Field"/>
      </w:pPr>
      <w:r>
        <w:t xml:space="preserve">a.   </w:t>
      </w:r>
      <w:r>
        <w:rPr>
          <w:i/>
        </w:rPr>
        <w:t>The standard states that the sld element specifies a slide within a slide list, where the slide list is used to specify an ordering of slides.</w:t>
      </w:r>
    </w:p>
    <w:p w:rsidR="00024C0A" w:rsidRDefault="00694C0F">
      <w:pPr>
        <w:pStyle w:val="Definition-Field2"/>
      </w:pPr>
      <w:r>
        <w:t>PowerPoint uses this element to specify the root element of a slide part.</w:t>
      </w:r>
    </w:p>
    <w:p w:rsidR="00024C0A" w:rsidRDefault="00694C0F">
      <w:pPr>
        <w:pStyle w:val="Heading3"/>
      </w:pPr>
      <w:bookmarkStart w:id="2271" w:name="section_72be4c606c0f4d7f9876c9aef5af30a5"/>
      <w:bookmarkStart w:id="2272" w:name="_Toc12261196"/>
      <w:r>
        <w:t>Part 1 Section 19.3.1.4</w:t>
      </w:r>
      <w:r>
        <w:t>4, spPr (Shape Properties)</w:t>
      </w:r>
      <w:bookmarkEnd w:id="2271"/>
      <w:bookmarkEnd w:id="2272"/>
      <w:r>
        <w:fldChar w:fldCharType="begin"/>
      </w:r>
      <w:r>
        <w:instrText xml:space="preserve"> XE "spPr (Shape Properties)"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024C0A" w:rsidRDefault="00694C0F">
      <w:pPr>
        <w:pStyle w:val="Heading3"/>
      </w:pPr>
      <w:bookmarkStart w:id="2273" w:name="section_48a966ea81ee44d28ed033607dc865e5"/>
      <w:bookmarkStart w:id="2274" w:name="_Toc12261197"/>
      <w:r>
        <w:lastRenderedPageBreak/>
        <w:t>Part 1 Section 19.3.1.53, xfrm (2D Transform for Graphic Frame)</w:t>
      </w:r>
      <w:bookmarkEnd w:id="2273"/>
      <w:bookmarkEnd w:id="2274"/>
      <w:r>
        <w:fldChar w:fldCharType="begin"/>
      </w:r>
      <w:r>
        <w:instrText xml:space="preserve"> XE "xfrm (2D Transform for Graphic Frame)"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024C0A" w:rsidRDefault="00694C0F">
      <w:pPr>
        <w:pStyle w:val="Heading3"/>
      </w:pPr>
      <w:bookmarkStart w:id="2275" w:name="section_4a7566a1d53e40df8b001876715deeec"/>
      <w:bookmarkStart w:id="2276" w:name="_Toc12261198"/>
      <w:r>
        <w:t>Part 1 Section 19.3.2.1, control (Embedded Control)</w:t>
      </w:r>
      <w:bookmarkEnd w:id="2275"/>
      <w:bookmarkEnd w:id="2276"/>
      <w:r>
        <w:fldChar w:fldCharType="begin"/>
      </w:r>
      <w:r>
        <w:instrText xml:space="preserve"> XE "control (Embedded Control)"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3301d159111e4ccf9211af5d1f4a0a03">
        <w:r>
          <w:rPr>
            <w:rStyle w:val="Hyperlink"/>
          </w:rPr>
          <w:t>oleObj, §19.3.2.4(b, c)</w:t>
        </w:r>
      </w:hyperlink>
      <w:r>
        <w:rPr>
          <w:i/>
        </w:rPr>
        <w:t>.</w:t>
      </w:r>
    </w:p>
    <w:p w:rsidR="00024C0A" w:rsidRDefault="00694C0F">
      <w:pPr>
        <w:pStyle w:val="Definition-Field"/>
      </w:pPr>
      <w:r>
        <w:t xml:space="preserve">a.   </w:t>
      </w:r>
      <w:r>
        <w:rPr>
          <w:i/>
        </w:rPr>
        <w:t>The standard states that the showAsIcon attribute specifies whether the Embedded object will be shown as an icon or using its native representation.</w:t>
      </w:r>
    </w:p>
    <w:p w:rsidR="00024C0A" w:rsidRDefault="00694C0F">
      <w:pPr>
        <w:pStyle w:val="Definition-Field2"/>
      </w:pPr>
      <w:r>
        <w:t>PowerPoint uses the showAsIcon attribute to specify the user prefe</w:t>
      </w:r>
      <w:r>
        <w:t>rence to show the Embedded object as an icon rather than using its native representation.</w:t>
      </w:r>
    </w:p>
    <w:p w:rsidR="00024C0A" w:rsidRDefault="00694C0F">
      <w:pPr>
        <w:pStyle w:val="Definition-Field"/>
      </w:pPr>
      <w:r>
        <w:t xml:space="preserve">b.   </w:t>
      </w:r>
      <w:r>
        <w:rPr>
          <w:i/>
        </w:rPr>
        <w:t>The standard states that the imgW attribute specifies the width of the embedded control.</w:t>
      </w:r>
    </w:p>
    <w:p w:rsidR="00024C0A" w:rsidRDefault="00694C0F">
      <w:pPr>
        <w:pStyle w:val="Definition-Field2"/>
      </w:pPr>
      <w:r>
        <w:t>PowerPoint uses the imgW attribute to specify the width of the thumbnail</w:t>
      </w:r>
      <w:r>
        <w:t xml:space="preserve"> image.</w:t>
      </w:r>
    </w:p>
    <w:p w:rsidR="00024C0A" w:rsidRDefault="00694C0F">
      <w:pPr>
        <w:pStyle w:val="Definition-Field"/>
      </w:pPr>
      <w:r>
        <w:t xml:space="preserve">c.   </w:t>
      </w:r>
      <w:r>
        <w:rPr>
          <w:i/>
        </w:rPr>
        <w:t>The standard states that the imgH attribute specifies the height of the embedded control.</w:t>
      </w:r>
    </w:p>
    <w:p w:rsidR="00024C0A" w:rsidRDefault="00694C0F">
      <w:pPr>
        <w:pStyle w:val="Definition-Field2"/>
      </w:pPr>
      <w:r>
        <w:t>PowerPoint uses the imgH attribute to specify the height of the thumbnail image.</w:t>
      </w:r>
    </w:p>
    <w:p w:rsidR="00024C0A" w:rsidRDefault="00694C0F">
      <w:pPr>
        <w:pStyle w:val="Heading3"/>
      </w:pPr>
      <w:bookmarkStart w:id="2277" w:name="section_31c096fd0b5c4a08baf1480296df51b3"/>
      <w:bookmarkStart w:id="2278" w:name="_Toc12261199"/>
      <w:r>
        <w:t>Part 1 Section 19.3.2.2, embed (Embedded Object or Control)</w:t>
      </w:r>
      <w:bookmarkEnd w:id="2277"/>
      <w:bookmarkEnd w:id="2278"/>
      <w:r>
        <w:fldChar w:fldCharType="begin"/>
      </w:r>
      <w:r>
        <w:instrText xml:space="preserve"> XE "embed (Embedded Object or Control)" </w:instrText>
      </w:r>
      <w:r>
        <w:fldChar w:fldCharType="end"/>
      </w:r>
    </w:p>
    <w:p w:rsidR="00024C0A" w:rsidRDefault="00694C0F">
      <w:pPr>
        <w:pStyle w:val="Definition-Field"/>
      </w:pPr>
      <w:r>
        <w:t xml:space="preserve">a.   </w:t>
      </w:r>
      <w:r>
        <w:rPr>
          <w:i/>
        </w:rPr>
        <w:t>The standard states that the embed element specifies an Embedded object or Control that is embedded within the presentation.</w:t>
      </w:r>
    </w:p>
    <w:p w:rsidR="00024C0A" w:rsidRDefault="00694C0F">
      <w:pPr>
        <w:pStyle w:val="Definition-Field2"/>
      </w:pPr>
      <w:r>
        <w:t>PowerPoint uses the embed element to specify an OLE object that is embedded within</w:t>
      </w:r>
      <w:r>
        <w:t xml:space="preserve"> the presentation.</w:t>
      </w:r>
    </w:p>
    <w:p w:rsidR="00024C0A" w:rsidRDefault="00694C0F">
      <w:pPr>
        <w:pStyle w:val="Heading3"/>
      </w:pPr>
      <w:bookmarkStart w:id="2279" w:name="section_7abe11b8b25046bc877dd4490aa3d1ff"/>
      <w:bookmarkStart w:id="2280" w:name="_Toc12261200"/>
      <w:r>
        <w:t>Part 1 Section 19.3.2.3, link (Linked Object or Control)</w:t>
      </w:r>
      <w:bookmarkEnd w:id="2279"/>
      <w:bookmarkEnd w:id="2280"/>
      <w:r>
        <w:fldChar w:fldCharType="begin"/>
      </w:r>
      <w:r>
        <w:instrText xml:space="preserve"> XE "link (Linked Object or Control)" </w:instrText>
      </w:r>
      <w:r>
        <w:fldChar w:fldCharType="end"/>
      </w:r>
    </w:p>
    <w:p w:rsidR="00024C0A" w:rsidRDefault="00694C0F">
      <w:pPr>
        <w:pStyle w:val="Definition-Field"/>
      </w:pPr>
      <w:r>
        <w:t xml:space="preserve">a.   </w:t>
      </w:r>
      <w:r>
        <w:rPr>
          <w:i/>
        </w:rPr>
        <w:t>The standard states that the link element specifies a link to an external Embedded object or Control.</w:t>
      </w:r>
    </w:p>
    <w:p w:rsidR="00024C0A" w:rsidRDefault="00694C0F">
      <w:pPr>
        <w:pStyle w:val="Definition-Field2"/>
      </w:pPr>
      <w:r>
        <w:t xml:space="preserve">PowerPoint the link this element </w:t>
      </w:r>
      <w:r>
        <w:t>to specify a link to an external OLE object.</w:t>
      </w:r>
    </w:p>
    <w:p w:rsidR="00024C0A" w:rsidRDefault="00694C0F">
      <w:pPr>
        <w:pStyle w:val="Heading3"/>
      </w:pPr>
      <w:bookmarkStart w:id="2281" w:name="section_3301d159111e4ccf9211af5d1f4a0a03"/>
      <w:bookmarkStart w:id="2282" w:name="_Toc12261201"/>
      <w:r>
        <w:t>Part 1 Section 19.3.2.4, oleObj (Global Element for Embedded objects and Controls)</w:t>
      </w:r>
      <w:bookmarkEnd w:id="2281"/>
      <w:bookmarkEnd w:id="2282"/>
      <w:r>
        <w:fldChar w:fldCharType="begin"/>
      </w:r>
      <w:r>
        <w:instrText xml:space="preserve"> XE "oleObj (Global Element for Embedded objects and Controls)" </w:instrText>
      </w:r>
      <w:r>
        <w:fldChar w:fldCharType="end"/>
      </w:r>
    </w:p>
    <w:p w:rsidR="00024C0A" w:rsidRDefault="00694C0F">
      <w:pPr>
        <w:pStyle w:val="Definition-Field2"/>
      </w:pPr>
      <w:r>
        <w:rPr>
          <w:i/>
        </w:rPr>
        <w:t>For additional notes that apply to this portion of the standar</w:t>
      </w:r>
      <w:r>
        <w:rPr>
          <w:i/>
        </w:rPr>
        <w:t xml:space="preserve">d, please see the notes for </w:t>
      </w:r>
      <w:hyperlink w:anchor="Section_4a7566a1d53e40df8b001876715deeec">
        <w:r>
          <w:rPr>
            <w:rStyle w:val="Hyperlink"/>
          </w:rPr>
          <w:t>control, §19.3.2.1(a-c)</w:t>
        </w:r>
      </w:hyperlink>
      <w:r>
        <w:rPr>
          <w:i/>
        </w:rPr>
        <w:t>.</w:t>
      </w:r>
    </w:p>
    <w:p w:rsidR="00024C0A" w:rsidRDefault="00694C0F">
      <w:pPr>
        <w:pStyle w:val="Definition-Field"/>
      </w:pPr>
      <w:r>
        <w:t xml:space="preserve">a.   </w:t>
      </w:r>
      <w:r>
        <w:rPr>
          <w:i/>
        </w:rPr>
        <w:t>The standard states that the oleObj element specifies a global element to be used for an Embedded object and Control.</w:t>
      </w:r>
    </w:p>
    <w:p w:rsidR="00024C0A" w:rsidRDefault="00694C0F">
      <w:pPr>
        <w:pStyle w:val="Definition-Field2"/>
      </w:pPr>
      <w:r>
        <w:t>PowerPoint uses t</w:t>
      </w:r>
      <w:r>
        <w:t>he oleObj element to specify a global element to be used for an OLE object.</w:t>
      </w:r>
    </w:p>
    <w:p w:rsidR="00024C0A" w:rsidRDefault="00694C0F">
      <w:pPr>
        <w:pStyle w:val="Definition-Field"/>
      </w:pPr>
      <w:r>
        <w:t xml:space="preserve">b.   </w:t>
      </w:r>
      <w:r>
        <w:rPr>
          <w:i/>
        </w:rPr>
        <w:t>The standard states that the imgW attribute specifies the width of the embedded control.</w:t>
      </w:r>
    </w:p>
    <w:p w:rsidR="00024C0A" w:rsidRDefault="00694C0F">
      <w:pPr>
        <w:pStyle w:val="Definition-Field2"/>
      </w:pPr>
      <w:r>
        <w:t>PowerPoint uses the imgW attribute to specify the width of the thumbnail image.</w:t>
      </w:r>
    </w:p>
    <w:p w:rsidR="00024C0A" w:rsidRDefault="00694C0F">
      <w:pPr>
        <w:pStyle w:val="Definition-Field"/>
      </w:pPr>
      <w:r>
        <w:t xml:space="preserve">c.   </w:t>
      </w:r>
      <w:r>
        <w:rPr>
          <w:i/>
        </w:rPr>
        <w:t>T</w:t>
      </w:r>
      <w:r>
        <w:rPr>
          <w:i/>
        </w:rPr>
        <w:t>he standard states that the imgH attribute specifies the height of the embedded control.</w:t>
      </w:r>
    </w:p>
    <w:p w:rsidR="00024C0A" w:rsidRDefault="00694C0F">
      <w:pPr>
        <w:pStyle w:val="Definition-Field2"/>
      </w:pPr>
      <w:r>
        <w:t>PowerPoint uses the imgH attribute to specify the height of the thumbnail image.</w:t>
      </w:r>
    </w:p>
    <w:p w:rsidR="00024C0A" w:rsidRDefault="00694C0F">
      <w:pPr>
        <w:pStyle w:val="Definition-Field"/>
      </w:pPr>
      <w:r>
        <w:lastRenderedPageBreak/>
        <w:t xml:space="preserve">d.   </w:t>
      </w:r>
      <w:r>
        <w:rPr>
          <w:i/>
        </w:rPr>
        <w:t xml:space="preserve">The standard states that the showAsIcon attribute specifies whether the Embedded </w:t>
      </w:r>
      <w:r>
        <w:rPr>
          <w:i/>
        </w:rPr>
        <w:t>object will be shown as an icon or using its native representation.</w:t>
      </w:r>
    </w:p>
    <w:p w:rsidR="00024C0A" w:rsidRDefault="00694C0F">
      <w:pPr>
        <w:pStyle w:val="Definition-Field2"/>
      </w:pPr>
      <w:r>
        <w:t>PowerPoint uses the showAsIcon attribute to specify the user preference to show the Embedded object as an icon rather than using its native representation.</w:t>
      </w:r>
    </w:p>
    <w:p w:rsidR="00024C0A" w:rsidRDefault="00694C0F">
      <w:pPr>
        <w:pStyle w:val="Heading3"/>
      </w:pPr>
      <w:bookmarkStart w:id="2283" w:name="section_b46caa4c8bed427cb3fe54b98941ab76"/>
      <w:bookmarkStart w:id="2284" w:name="_Toc12261202"/>
      <w:r>
        <w:t>Part 1 Section 19.3.3.1, tag (Pr</w:t>
      </w:r>
      <w:r>
        <w:t>ogrammable Extensibility Tag)</w:t>
      </w:r>
      <w:bookmarkEnd w:id="2283"/>
      <w:bookmarkEnd w:id="2284"/>
      <w:r>
        <w:fldChar w:fldCharType="begin"/>
      </w:r>
      <w:r>
        <w:instrText xml:space="preserve"> XE "tag (Programmable Extensibility Tag)" </w:instrText>
      </w:r>
      <w:r>
        <w:fldChar w:fldCharType="end"/>
      </w:r>
    </w:p>
    <w:p w:rsidR="00024C0A" w:rsidRDefault="00694C0F">
      <w:pPr>
        <w:pStyle w:val="Definition-Field"/>
      </w:pPr>
      <w:r>
        <w:t xml:space="preserve">a.   </w:t>
      </w:r>
      <w:r>
        <w:rPr>
          <w:i/>
        </w:rPr>
        <w:t>The standard implies that the name attribute is optional.</w:t>
      </w:r>
    </w:p>
    <w:p w:rsidR="00024C0A" w:rsidRDefault="00694C0F">
      <w:pPr>
        <w:pStyle w:val="Definition-Field2"/>
      </w:pPr>
      <w:r>
        <w:t>PowerPoint requires the name attribute.</w:t>
      </w:r>
    </w:p>
    <w:p w:rsidR="00024C0A" w:rsidRDefault="00694C0F">
      <w:pPr>
        <w:pStyle w:val="Definition-Field"/>
      </w:pPr>
      <w:r>
        <w:t xml:space="preserve">b.   </w:t>
      </w:r>
      <w:r>
        <w:rPr>
          <w:i/>
        </w:rPr>
        <w:t>The standard implies that the val attribute is optional.</w:t>
      </w:r>
    </w:p>
    <w:p w:rsidR="00024C0A" w:rsidRDefault="00694C0F">
      <w:pPr>
        <w:pStyle w:val="Definition-Field2"/>
      </w:pPr>
      <w:r>
        <w:t xml:space="preserve">PowerPoint </w:t>
      </w:r>
      <w:r>
        <w:t>requires the val attribute.</w:t>
      </w:r>
    </w:p>
    <w:p w:rsidR="00024C0A" w:rsidRDefault="00694C0F">
      <w:pPr>
        <w:pStyle w:val="Definition-Field"/>
      </w:pPr>
      <w:r>
        <w:t xml:space="preserve">c.   </w:t>
      </w:r>
      <w:r>
        <w:rPr>
          <w:i/>
        </w:rPr>
        <w:t>The standard places no restrictions on the string value of the name attribute.</w:t>
      </w:r>
    </w:p>
    <w:p w:rsidR="00024C0A" w:rsidRDefault="00694C0F">
      <w:pPr>
        <w:pStyle w:val="Definition-Field2"/>
      </w:pPr>
      <w:r>
        <w:t>PowerPoint requires that, within the scope of the tagLst parent element, the value for the name attribute must be case-insensitively unique.</w:t>
      </w:r>
    </w:p>
    <w:p w:rsidR="00024C0A" w:rsidRDefault="00694C0F">
      <w:pPr>
        <w:pStyle w:val="Definition-Field"/>
      </w:pPr>
      <w:r>
        <w:t xml:space="preserve">d. </w:t>
      </w:r>
      <w:r>
        <w:t xml:space="preserve">  </w:t>
      </w:r>
      <w:r>
        <w:rPr>
          <w:i/>
        </w:rPr>
        <w:t>The standard does not specify where recorded slide animation timings are stored.</w:t>
      </w:r>
    </w:p>
    <w:p w:rsidR="00024C0A" w:rsidRDefault="00694C0F">
      <w:r>
        <w:t>PowerPoint uses a special tag to store slide auto advance timings for the presentation slide that contains this tag. The name attribute has a value of "TIMING", and the valu</w:t>
      </w:r>
      <w:r>
        <w:t>e attribute has a value that is a valid Time_string, as specified in the following grammar:</w:t>
      </w:r>
    </w:p>
    <w:p w:rsidR="00024C0A" w:rsidRDefault="00694C0F">
      <w:r>
        <w:t>Time_string  =  *Time_element          ; time string can have zero or more elements</w:t>
      </w:r>
    </w:p>
    <w:p w:rsidR="00024C0A" w:rsidRDefault="00694C0F">
      <w:r>
        <w:t>Time_element = "|" Time_value          ; each element is preceded by character "</w:t>
      </w:r>
      <w:r>
        <w:t>|"</w:t>
      </w:r>
    </w:p>
    <w:p w:rsidR="00024C0A" w:rsidRDefault="00694C0F">
      <w:r>
        <w:t>Time_value   = 1*DIGIT "." 1*1 DIGIT   ; seconds with rounding to 1/10th of a second</w:t>
      </w:r>
    </w:p>
    <w:p w:rsidR="00024C0A" w:rsidRDefault="00694C0F">
      <w:r>
        <w:t>Each time value specifies the animation build advance time of the slide. Time zero is the time that this slide displays during a slide show. The time unit is in seconds</w:t>
      </w:r>
      <w:r>
        <w:t xml:space="preserve">, rounded to 1/10th of a second. If there is no animation on a presentation slide, the value attribute contains an empty string. </w:t>
      </w:r>
    </w:p>
    <w:p w:rsidR="00024C0A" w:rsidRDefault="00694C0F">
      <w:r>
        <w:t xml:space="preserve"> [</w:t>
      </w:r>
      <w:r>
        <w:rPr>
          <w:i/>
        </w:rPr>
        <w:t>Example:</w:t>
      </w:r>
    </w:p>
    <w:p w:rsidR="00024C0A" w:rsidRDefault="00694C0F">
      <w:r>
        <w:t>&lt;p:tag name="TIMING" val="|2.9|3.5|4.6"/&gt;</w:t>
      </w:r>
    </w:p>
    <w:p w:rsidR="00024C0A" w:rsidRDefault="00694C0F">
      <w:r>
        <w:rPr>
          <w:i/>
        </w:rPr>
        <w:t>end example</w:t>
      </w:r>
      <w:r>
        <w:t>]</w:t>
      </w:r>
    </w:p>
    <w:p w:rsidR="00024C0A" w:rsidRDefault="00694C0F">
      <w:pPr>
        <w:pStyle w:val="Heading3"/>
      </w:pPr>
      <w:bookmarkStart w:id="2285" w:name="section_c171db8d5e194fbbb38d379bca4fa451"/>
      <w:bookmarkStart w:id="2286" w:name="_Toc12261203"/>
      <w:r>
        <w:t>Part 1 Section 19.4.1, cm (Comment)</w:t>
      </w:r>
      <w:bookmarkEnd w:id="2285"/>
      <w:bookmarkEnd w:id="2286"/>
      <w:r>
        <w:fldChar w:fldCharType="begin"/>
      </w:r>
      <w:r>
        <w:instrText xml:space="preserve"> XE "cm (Comment)" </w:instrText>
      </w:r>
      <w:r>
        <w:fldChar w:fldCharType="end"/>
      </w:r>
    </w:p>
    <w:p w:rsidR="00024C0A" w:rsidRDefault="00694C0F">
      <w:pPr>
        <w:pStyle w:val="Definition-Field"/>
      </w:pPr>
      <w:r>
        <w:t xml:space="preserve">a. </w:t>
      </w:r>
      <w:r>
        <w:t xml:space="preserve">  </w:t>
      </w:r>
      <w:r>
        <w:rPr>
          <w:i/>
        </w:rPr>
        <w:t>The standard does not state how to interpret the position information of the pos child element.</w:t>
      </w:r>
    </w:p>
    <w:p w:rsidR="00024C0A" w:rsidRDefault="00694C0F">
      <w:pPr>
        <w:pStyle w:val="Definition-Field2"/>
      </w:pPr>
      <w:r>
        <w:t>PowerPoint interprets the position information to be relative to the top, left corner of the slide.</w:t>
      </w:r>
    </w:p>
    <w:p w:rsidR="00024C0A" w:rsidRDefault="00694C0F">
      <w:pPr>
        <w:pStyle w:val="Heading3"/>
      </w:pPr>
      <w:bookmarkStart w:id="2287" w:name="section_34ada90e9cb84efbb20e027eed8c75e3"/>
      <w:bookmarkStart w:id="2288" w:name="_Toc12261204"/>
      <w:r>
        <w:t>Part 1 Section 19.4.5, pos (Comment Position)</w:t>
      </w:r>
      <w:bookmarkEnd w:id="2287"/>
      <w:bookmarkEnd w:id="2288"/>
      <w:r>
        <w:fldChar w:fldCharType="begin"/>
      </w:r>
      <w:r>
        <w:instrText xml:space="preserve"> XE "pos (Com</w:instrText>
      </w:r>
      <w:r>
        <w:instrText xml:space="preserve">ment Position)"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024C0A" w:rsidRDefault="00694C0F">
      <w:pPr>
        <w:pStyle w:val="Definition-Field"/>
      </w:pPr>
      <w:r>
        <w:t xml:space="preserve">a.   </w:t>
      </w:r>
      <w:r>
        <w:rPr>
          <w:i/>
        </w:rPr>
        <w:t xml:space="preserve">The standard states that the y attribute specifies a </w:t>
      </w:r>
      <w:r>
        <w:rPr>
          <w:i/>
        </w:rPr>
        <w:t>coordinate on the x-axis.</w:t>
      </w:r>
    </w:p>
    <w:p w:rsidR="00024C0A" w:rsidRDefault="00694C0F">
      <w:pPr>
        <w:pStyle w:val="Definition-Field2"/>
      </w:pPr>
      <w:r>
        <w:t>PowerPoint uses this attribute to specify a coordinate on the y-axis.</w:t>
      </w:r>
    </w:p>
    <w:p w:rsidR="00024C0A" w:rsidRDefault="00694C0F">
      <w:pPr>
        <w:pStyle w:val="Definition-Field"/>
      </w:pPr>
      <w:r>
        <w:t xml:space="preserve">b.   </w:t>
      </w:r>
      <w:r>
        <w:rPr>
          <w:i/>
        </w:rPr>
        <w:t>The standard states that the possible values of the x and y attributes are defined by the ST_Coordinate simple type ("</w:t>
      </w:r>
      <w:hyperlink r:id="rId152">
        <w:r>
          <w:rPr>
            <w:rStyle w:val="Hyperlink"/>
          </w:rPr>
          <w:t>[ISO/IEC-29500-1]</w:t>
        </w:r>
      </w:hyperlink>
      <w:r>
        <w:rPr>
          <w:i/>
        </w:rPr>
        <w:t xml:space="preserve"> §20.1.10.16; ST_Coordinate (Coordinate)").</w:t>
      </w:r>
    </w:p>
    <w:p w:rsidR="00024C0A" w:rsidRDefault="00694C0F">
      <w:pPr>
        <w:pStyle w:val="Definition-Field2"/>
      </w:pPr>
      <w:r>
        <w:lastRenderedPageBreak/>
        <w:t>PowerPoint treats the possible values of the x and y attributes as they were defined by the ST_ EighthPointMeasure simple type ("[ISO/IEC-29500-1] §17.18.23; ST_Eight</w:t>
      </w:r>
      <w:r>
        <w:t>hPointMeasure").</w:t>
      </w:r>
    </w:p>
    <w:p w:rsidR="00024C0A" w:rsidRDefault="00694C0F">
      <w:pPr>
        <w:pStyle w:val="Heading3"/>
      </w:pPr>
      <w:bookmarkStart w:id="2289" w:name="section_e9355b9351844ffe842863a08858da2f"/>
      <w:bookmarkStart w:id="2290" w:name="_Toc12261205"/>
      <w:r>
        <w:t>Part 1 Section 19.5.1, anim (Animate)</w:t>
      </w:r>
      <w:bookmarkEnd w:id="2289"/>
      <w:bookmarkEnd w:id="2290"/>
      <w:r>
        <w:fldChar w:fldCharType="begin"/>
      </w:r>
      <w:r>
        <w:instrText xml:space="preserve"> XE "anim (Animate)"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024C0A" w:rsidRDefault="00694C0F">
      <w:pPr>
        <w:pStyle w:val="Definition-Field"/>
      </w:pPr>
      <w:r>
        <w:t xml:space="preserve">a.   </w:t>
      </w:r>
      <w:r>
        <w:rPr>
          <w:i/>
        </w:rPr>
        <w:t>The standard states that the to attribute specifies the ending value for the animation as a percentage.</w:t>
      </w:r>
    </w:p>
    <w:p w:rsidR="00024C0A" w:rsidRDefault="00694C0F">
      <w:pPr>
        <w:pStyle w:val="Definition-Field2"/>
      </w:pPr>
      <w:r>
        <w:t>PowerPoint does not specify the ending value as a percentage.</w:t>
      </w:r>
    </w:p>
    <w:p w:rsidR="00024C0A" w:rsidRDefault="00694C0F">
      <w:pPr>
        <w:pStyle w:val="Definition-Field"/>
      </w:pPr>
      <w:r>
        <w:t xml:space="preserve">b.   </w:t>
      </w:r>
      <w:r>
        <w:rPr>
          <w:i/>
        </w:rPr>
        <w:t>The standard does not state a default value for the calcmode attribute.</w:t>
      </w:r>
    </w:p>
    <w:p w:rsidR="00024C0A" w:rsidRDefault="00694C0F">
      <w:pPr>
        <w:pStyle w:val="Definition-Field2"/>
      </w:pPr>
      <w:r>
        <w:t>PowerPoint us</w:t>
      </w:r>
      <w:r>
        <w:t>es a default value of lin for the calcmode attribute.</w:t>
      </w:r>
    </w:p>
    <w:p w:rsidR="00024C0A" w:rsidRDefault="00694C0F">
      <w:pPr>
        <w:pStyle w:val="Definition-Field"/>
      </w:pPr>
      <w:r>
        <w:t xml:space="preserve">c.   </w:t>
      </w:r>
      <w:r>
        <w:rPr>
          <w:i/>
        </w:rPr>
        <w:t>The standard does not state a default value for the valueType attribute.</w:t>
      </w:r>
    </w:p>
    <w:p w:rsidR="00024C0A" w:rsidRDefault="00694C0F">
      <w:pPr>
        <w:pStyle w:val="Definition-Field2"/>
      </w:pPr>
      <w:r>
        <w:t>PowerPoint uses a default value of num for the valueType attribute.</w:t>
      </w:r>
    </w:p>
    <w:p w:rsidR="00024C0A" w:rsidRDefault="00694C0F">
      <w:pPr>
        <w:pStyle w:val="Definition-Field"/>
      </w:pPr>
      <w:r>
        <w:t xml:space="preserve">d.   </w:t>
      </w:r>
      <w:r>
        <w:rPr>
          <w:i/>
        </w:rPr>
        <w:t xml:space="preserve">The standard states that the values of the from </w:t>
      </w:r>
      <w:r>
        <w:rPr>
          <w:i/>
        </w:rPr>
        <w:t>attribute are defined by the XML Schema string datatype.</w:t>
      </w:r>
    </w:p>
    <w:p w:rsidR="00024C0A" w:rsidRDefault="00694C0F">
      <w:pPr>
        <w:pStyle w:val="Definition-Field2"/>
      </w:pPr>
      <w:r>
        <w:t>PowerPoint requires that the value of the from attribute be specified as a preset string value, as specified in the to element; as a string that represents a color value and a real number, as specifi</w:t>
      </w:r>
      <w:r>
        <w:t>ed in the to element; or as an arbitrary string.</w:t>
      </w:r>
    </w:p>
    <w:p w:rsidR="00024C0A" w:rsidRDefault="00694C0F">
      <w:pPr>
        <w:pStyle w:val="Definition-Field"/>
      </w:pPr>
      <w:r>
        <w:t xml:space="preserve">e.   </w:t>
      </w:r>
      <w:r>
        <w:rPr>
          <w:i/>
        </w:rPr>
        <w:t>The standard states that the values of the by attribute are defined by the XML Schema string datatype.</w:t>
      </w:r>
    </w:p>
    <w:p w:rsidR="00024C0A" w:rsidRDefault="00694C0F">
      <w:pPr>
        <w:pStyle w:val="Definition-Field2"/>
      </w:pPr>
      <w:r>
        <w:t>PowerPoint requires that the value of the by attribute be specified as a preset string value, as sp</w:t>
      </w:r>
      <w:r>
        <w:t>ecified in the to element; as a string that represents a color value and a real number, as specified in the to element; or as an arbitrary string.</w:t>
      </w:r>
    </w:p>
    <w:p w:rsidR="00024C0A" w:rsidRDefault="00694C0F">
      <w:pPr>
        <w:pStyle w:val="Definition-Field"/>
      </w:pPr>
      <w:r>
        <w:t xml:space="preserve">f.   </w:t>
      </w:r>
      <w:r>
        <w:rPr>
          <w:i/>
        </w:rPr>
        <w:t>The standard states that the values of the to attribute are defined by the XML Schema string datatype.</w:t>
      </w:r>
    </w:p>
    <w:p w:rsidR="00024C0A" w:rsidRDefault="00694C0F">
      <w:pPr>
        <w:pStyle w:val="Definition-Field2"/>
      </w:pPr>
      <w:r>
        <w:t>P</w:t>
      </w:r>
      <w:r>
        <w:t>owerPoint requires that the value of the to attribute be specified as a preset string value, as specified in the to element; as a string that represents a color value and a real number, as specified in the to element; or as an arbitrary string.</w:t>
      </w:r>
    </w:p>
    <w:p w:rsidR="00024C0A" w:rsidRDefault="00694C0F">
      <w:pPr>
        <w:pStyle w:val="Definition-Field"/>
      </w:pPr>
      <w:r>
        <w:t xml:space="preserve">g.   </w:t>
      </w:r>
      <w:r>
        <w:rPr>
          <w:i/>
        </w:rPr>
        <w:t>The st</w:t>
      </w:r>
      <w:r>
        <w:rPr>
          <w:i/>
        </w:rPr>
        <w:t>andard places no restrictions on the number of attrName child elements parented by the attrNameLst element when inside the anim element.</w:t>
      </w:r>
    </w:p>
    <w:p w:rsidR="00024C0A" w:rsidRDefault="00694C0F">
      <w:pPr>
        <w:pStyle w:val="Definition-Field2"/>
      </w:pPr>
      <w:r>
        <w:t>PowerPoint requires that there be at least one attrName child element of the attrNameLst element when inside an anim el</w:t>
      </w:r>
      <w:r>
        <w:t>ement; if more than one attrName child element exists, only the first will be used.</w:t>
      </w:r>
    </w:p>
    <w:p w:rsidR="00024C0A" w:rsidRDefault="00694C0F">
      <w:pPr>
        <w:pStyle w:val="Definition-Field"/>
      </w:pPr>
      <w:r>
        <w:t xml:space="preserve">h.   </w:t>
      </w:r>
      <w:r>
        <w:rPr>
          <w:i/>
        </w:rPr>
        <w:t>The standard places no restrictions on the relationship between the by, from, and to attributes.</w:t>
      </w:r>
    </w:p>
    <w:p w:rsidR="00024C0A" w:rsidRDefault="00694C0F">
      <w:r>
        <w:t>The attributes from, to, and by must be used in one of the following c</w:t>
      </w:r>
      <w:r>
        <w:t>ombinations:</w:t>
      </w:r>
    </w:p>
    <w:p w:rsidR="00024C0A" w:rsidRDefault="00694C0F">
      <w:pPr>
        <w:pStyle w:val="ListParagraph"/>
        <w:numPr>
          <w:ilvl w:val="0"/>
          <w:numId w:val="125"/>
        </w:numPr>
        <w:contextualSpacing/>
      </w:pPr>
      <w:r>
        <w:t>from_to: when the from and to attributes have values of the same type;</w:t>
      </w:r>
    </w:p>
    <w:p w:rsidR="00024C0A" w:rsidRDefault="00694C0F">
      <w:pPr>
        <w:pStyle w:val="ListParagraph"/>
        <w:numPr>
          <w:ilvl w:val="0"/>
          <w:numId w:val="125"/>
        </w:numPr>
        <w:contextualSpacing/>
      </w:pPr>
      <w:r>
        <w:t>from_by: when the from and by attributes have values of the same type but the to attribute is undefined;</w:t>
      </w:r>
    </w:p>
    <w:p w:rsidR="00024C0A" w:rsidRDefault="00694C0F">
      <w:pPr>
        <w:pStyle w:val="ListParagraph"/>
        <w:numPr>
          <w:ilvl w:val="0"/>
          <w:numId w:val="125"/>
        </w:numPr>
        <w:contextualSpacing/>
      </w:pPr>
      <w:r>
        <w:t>to_only: when the to attribute is defined but the from attribute is</w:t>
      </w:r>
      <w:r>
        <w:t xml:space="preserve"> undefined;</w:t>
      </w:r>
    </w:p>
    <w:p w:rsidR="00024C0A" w:rsidRDefault="00694C0F">
      <w:pPr>
        <w:pStyle w:val="ListParagraph"/>
        <w:numPr>
          <w:ilvl w:val="0"/>
          <w:numId w:val="125"/>
        </w:numPr>
      </w:pPr>
      <w:r>
        <w:t>by_only: when the by attribute is defined but the from and to attributes are undefined.</w:t>
      </w:r>
    </w:p>
    <w:p w:rsidR="00024C0A" w:rsidRDefault="00694C0F">
      <w:r>
        <w:t>All other combinations are invalid.</w:t>
      </w:r>
    </w:p>
    <w:p w:rsidR="00024C0A" w:rsidRDefault="00694C0F">
      <w:r>
        <w:lastRenderedPageBreak/>
        <w:t>When the attributes are used with a to_only combination or a by-only combination, the following criteria determine the s</w:t>
      </w:r>
      <w:r>
        <w:t>tarting value of the animation:</w:t>
      </w:r>
    </w:p>
    <w:p w:rsidR="00024C0A" w:rsidRDefault="00694C0F">
      <w:pPr>
        <w:pStyle w:val="ListParagraph"/>
        <w:numPr>
          <w:ilvl w:val="0"/>
          <w:numId w:val="126"/>
        </w:numPr>
        <w:contextualSpacing/>
      </w:pPr>
      <w:r>
        <w:t>when the attribute valueType is num, the starting value is 0.0;</w:t>
      </w:r>
    </w:p>
    <w:p w:rsidR="00024C0A" w:rsidRDefault="00694C0F">
      <w:pPr>
        <w:pStyle w:val="ListParagraph"/>
        <w:numPr>
          <w:ilvl w:val="0"/>
          <w:numId w:val="126"/>
        </w:numPr>
        <w:contextualSpacing/>
      </w:pPr>
      <w:r>
        <w:t>when the attribute valueType is clr, the starting value is an HSL color in which all spectrum is 0;</w:t>
      </w:r>
    </w:p>
    <w:p w:rsidR="00024C0A" w:rsidRDefault="00694C0F">
      <w:pPr>
        <w:pStyle w:val="ListParagraph"/>
        <w:numPr>
          <w:ilvl w:val="0"/>
          <w:numId w:val="126"/>
        </w:numPr>
      </w:pPr>
      <w:r>
        <w:t>when the attribute valueType is str, the starting value is a</w:t>
      </w:r>
      <w:r>
        <w:t xml:space="preserve">n empty string. </w:t>
      </w:r>
    </w:p>
    <w:p w:rsidR="00024C0A" w:rsidRDefault="00694C0F">
      <w:r>
        <w:t>The attribute by is not used in from_to and to_only combinations.</w:t>
      </w:r>
    </w:p>
    <w:p w:rsidR="00024C0A" w:rsidRDefault="00694C0F">
      <w:pPr>
        <w:pStyle w:val="Definition-Field"/>
      </w:pPr>
      <w:r>
        <w:t xml:space="preserve">i.   </w:t>
      </w:r>
      <w:r>
        <w:rPr>
          <w:i/>
        </w:rPr>
        <w:t>The standard places no restrictions on what the grpId attribute refers to.</w:t>
      </w:r>
    </w:p>
    <w:p w:rsidR="00024C0A" w:rsidRDefault="00694C0F">
      <w:pPr>
        <w:pStyle w:val="Definition-Field2"/>
      </w:pPr>
      <w:r>
        <w:t xml:space="preserve">PowerPoint requires that the grpId attribute reference a group that is present in the timing </w:t>
      </w:r>
      <w:r>
        <w:t>tree.</w:t>
      </w:r>
    </w:p>
    <w:p w:rsidR="00024C0A" w:rsidRDefault="00694C0F">
      <w:pPr>
        <w:pStyle w:val="Heading3"/>
      </w:pPr>
      <w:bookmarkStart w:id="2291" w:name="section_9636f7f358e3408d9880d0799fb26b0f"/>
      <w:bookmarkStart w:id="2292" w:name="_Toc12261206"/>
      <w:r>
        <w:t>Part 1 Section 19.5.2, animClr (Animate Color Behavior)</w:t>
      </w:r>
      <w:bookmarkEnd w:id="2291"/>
      <w:bookmarkEnd w:id="2292"/>
      <w:r>
        <w:fldChar w:fldCharType="begin"/>
      </w:r>
      <w:r>
        <w:instrText xml:space="preserve"> XE "animClr (Animate Color Behavior)"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024C0A" w:rsidRDefault="00694C0F">
      <w:pPr>
        <w:pStyle w:val="Definition-Field"/>
      </w:pPr>
      <w:r>
        <w:t xml:space="preserve">a.   </w:t>
      </w:r>
      <w:r>
        <w:rPr>
          <w:i/>
        </w:rPr>
        <w:t>The standard does not state a default value for the clrSpc attribute.</w:t>
      </w:r>
    </w:p>
    <w:p w:rsidR="00024C0A" w:rsidRDefault="00694C0F">
      <w:pPr>
        <w:pStyle w:val="Definition-Field2"/>
      </w:pPr>
      <w:r>
        <w:t>PowerPoint uses a default value of rgb for the clrSpc attribute.</w:t>
      </w:r>
    </w:p>
    <w:p w:rsidR="00024C0A" w:rsidRDefault="00694C0F">
      <w:pPr>
        <w:pStyle w:val="Definition-Field"/>
      </w:pPr>
      <w:r>
        <w:t xml:space="preserve">b.   </w:t>
      </w:r>
      <w:r>
        <w:rPr>
          <w:i/>
        </w:rPr>
        <w:t>The standard places no restrictions on the value of the attrNameLst element when inside the</w:t>
      </w:r>
      <w:r>
        <w:rPr>
          <w:i/>
        </w:rPr>
        <w:t xml:space="preserve"> animClr element.</w:t>
      </w:r>
    </w:p>
    <w:p w:rsidR="00024C0A" w:rsidRDefault="00694C0F">
      <w:pPr>
        <w:pStyle w:val="Definition-Field2"/>
      </w:pPr>
      <w:r>
        <w:t>PowerPoint requires that the valid values of the attrNameLst element are: style.color, fillcolor, and stroke.color. The attrNameLst element must have at least one of these values and only the first one is effective (additional are ignored</w:t>
      </w:r>
      <w:r>
        <w:t>).</w:t>
      </w:r>
    </w:p>
    <w:p w:rsidR="00024C0A" w:rsidRDefault="00694C0F">
      <w:pPr>
        <w:pStyle w:val="Definition-Field"/>
      </w:pPr>
      <w:r>
        <w:t xml:space="preserve">c.   </w:t>
      </w:r>
      <w:r>
        <w:rPr>
          <w:i/>
        </w:rPr>
        <w:t>The standard does not specify how to interpret the from child element, the to child element, or the by child element of the animClr element.</w:t>
      </w:r>
    </w:p>
    <w:p w:rsidR="00024C0A" w:rsidRDefault="00694C0F">
      <w:r>
        <w:t>In Office, the child element from defines the animation starting color, child element to defines the animat</w:t>
      </w:r>
      <w:r>
        <w:t>ion ending color, and child element by defines a color value that shall be added to the starting color to reach the ending color.</w:t>
      </w:r>
    </w:p>
    <w:p w:rsidR="00024C0A" w:rsidRDefault="00694C0F">
      <w:r>
        <w:t>If the child element from is not specified, color black is used as the starting color. Either the child element by or the chil</w:t>
      </w:r>
      <w:r>
        <w:t>d element to shall be specified. If both the by and the to elements are specified, the by element is ignored.</w:t>
      </w:r>
    </w:p>
    <w:p w:rsidR="00024C0A" w:rsidRDefault="00694C0F">
      <w:pPr>
        <w:pStyle w:val="Heading3"/>
      </w:pPr>
      <w:bookmarkStart w:id="2293" w:name="section_33e6ed593ef1404fb137ad2c503f16ac"/>
      <w:bookmarkStart w:id="2294" w:name="_Toc12261207"/>
      <w:r>
        <w:t>Part 1 Section 19.5.3, animEffect (Animate Effect)</w:t>
      </w:r>
      <w:bookmarkEnd w:id="2293"/>
      <w:bookmarkEnd w:id="2294"/>
      <w:r>
        <w:fldChar w:fldCharType="begin"/>
      </w:r>
      <w:r>
        <w:instrText xml:space="preserve"> XE "animEffect (Animate Effect)" </w:instrText>
      </w:r>
      <w:r>
        <w:fldChar w:fldCharType="end"/>
      </w:r>
    </w:p>
    <w:p w:rsidR="00024C0A" w:rsidRDefault="00694C0F">
      <w:pPr>
        <w:pStyle w:val="Definition-Field2"/>
      </w:pPr>
      <w:r>
        <w:rPr>
          <w:i/>
        </w:rPr>
        <w:t>For additional notes that apply to this portion of the stan</w:t>
      </w:r>
      <w:r>
        <w:rPr>
          <w:i/>
        </w:rPr>
        <w:t xml:space="preserve">dard, please see the notes for </w:t>
      </w:r>
      <w:hyperlink w:anchor="Section_5516734500ff4d39b4a86ca61d86227a">
        <w:r>
          <w:rPr>
            <w:rStyle w:val="Hyperlink"/>
          </w:rPr>
          <w:t>tnLst, §19.5.87(b)</w:t>
        </w:r>
      </w:hyperlink>
      <w:r>
        <w:rPr>
          <w:i/>
        </w:rPr>
        <w:t>.</w:t>
      </w:r>
    </w:p>
    <w:p w:rsidR="00024C0A" w:rsidRDefault="00694C0F">
      <w:pPr>
        <w:pStyle w:val="Heading3"/>
      </w:pPr>
      <w:bookmarkStart w:id="2295" w:name="section_498c3cfa652c49b3a82c33fd94468af8"/>
      <w:bookmarkStart w:id="2296" w:name="_Toc12261208"/>
      <w:r>
        <w:t>Part 1 Section 19.5.4, animMotion (Animate Motion)</w:t>
      </w:r>
      <w:bookmarkEnd w:id="2295"/>
      <w:bookmarkEnd w:id="2296"/>
      <w:r>
        <w:fldChar w:fldCharType="begin"/>
      </w:r>
      <w:r>
        <w:instrText xml:space="preserve"> XE "animMotion (Animate Motion)" </w:instrText>
      </w:r>
      <w:r>
        <w:fldChar w:fldCharType="end"/>
      </w:r>
    </w:p>
    <w:p w:rsidR="00024C0A" w:rsidRDefault="00694C0F">
      <w:pPr>
        <w:pStyle w:val="Definition-Field2"/>
      </w:pPr>
      <w:r>
        <w:rPr>
          <w:i/>
        </w:rPr>
        <w:t xml:space="preserve">For additional notes that apply to this portion of the </w:t>
      </w:r>
      <w:r>
        <w:rPr>
          <w:i/>
        </w:rPr>
        <w:t xml:space="preserve">standard, please see the notes for </w:t>
      </w:r>
      <w:hyperlink w:anchor="Section_5516734500ff4d39b4a86ca61d86227a">
        <w:r>
          <w:rPr>
            <w:rStyle w:val="Hyperlink"/>
          </w:rPr>
          <w:t>tnLst, §19.5.87(b)</w:t>
        </w:r>
      </w:hyperlink>
      <w:r>
        <w:rPr>
          <w:i/>
        </w:rPr>
        <w:t>.</w:t>
      </w:r>
    </w:p>
    <w:p w:rsidR="00024C0A" w:rsidRDefault="00694C0F">
      <w:pPr>
        <w:pStyle w:val="Definition-Field"/>
      </w:pPr>
      <w:r>
        <w:t xml:space="preserve">a.   </w:t>
      </w:r>
      <w:r>
        <w:rPr>
          <w:i/>
        </w:rPr>
        <w:t>The standard does not state a default value for the origin attribute.</w:t>
      </w:r>
    </w:p>
    <w:p w:rsidR="00024C0A" w:rsidRDefault="00694C0F">
      <w:pPr>
        <w:pStyle w:val="Definition-Field2"/>
      </w:pPr>
      <w:r>
        <w:t>PowerPoint uses a default value of parent for the origin attrib</w:t>
      </w:r>
      <w:r>
        <w:t>ute.</w:t>
      </w:r>
    </w:p>
    <w:p w:rsidR="00024C0A" w:rsidRDefault="00694C0F">
      <w:pPr>
        <w:pStyle w:val="Definition-Field"/>
      </w:pPr>
      <w:r>
        <w:t xml:space="preserve">b.   </w:t>
      </w:r>
      <w:r>
        <w:rPr>
          <w:i/>
        </w:rPr>
        <w:t>The standard states that the path attribute of the animMotion element specifies a path primitive for the animation motion.</w:t>
      </w:r>
    </w:p>
    <w:p w:rsidR="00024C0A" w:rsidRDefault="00694C0F">
      <w:r>
        <w:t>In Office, the path is specified by defining an action, and typically some coordinates that go along with the action.</w:t>
      </w:r>
    </w:p>
    <w:p w:rsidR="00024C0A" w:rsidRDefault="00694C0F">
      <w:r>
        <w:lastRenderedPageBreak/>
        <w:t>The a</w:t>
      </w:r>
      <w:r>
        <w:t>llowed action types that are understood within a path are listed in the following table. If the action is expressed in UPPERCASE, the following point(s) are to be interpreted as absolute coordinates, or a point on the slide. If in lowercase, the point(s) a</w:t>
      </w:r>
      <w:r>
        <w:t xml:space="preserve">re to be interpreted as relative coordinates, or an offset from the current position. </w:t>
      </w:r>
    </w:p>
    <w:tbl>
      <w:tblPr>
        <w:tblStyle w:val="Table-ShadedHeader"/>
        <w:tblW w:w="0" w:type="auto"/>
        <w:tblLook w:val="04A0" w:firstRow="1" w:lastRow="0" w:firstColumn="1" w:lastColumn="0" w:noHBand="0" w:noVBand="1"/>
      </w:tblPr>
      <w:tblGrid>
        <w:gridCol w:w="1032"/>
        <w:gridCol w:w="8443"/>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024C0A" w:rsidRDefault="00694C0F">
            <w:pPr>
              <w:pStyle w:val="TableHeaderText"/>
            </w:pPr>
            <w:r>
              <w:t>Action Types</w:t>
            </w:r>
          </w:p>
        </w:tc>
      </w:tr>
      <w:tr w:rsidR="00024C0A" w:rsidTr="00024C0A">
        <w:tc>
          <w:tcPr>
            <w:tcW w:w="0" w:type="auto"/>
            <w:vAlign w:val="center"/>
          </w:tcPr>
          <w:p w:rsidR="00024C0A" w:rsidRDefault="00694C0F">
            <w:pPr>
              <w:pStyle w:val="TableBodyText"/>
            </w:pPr>
            <w:r>
              <w:rPr>
                <w:b/>
              </w:rPr>
              <w:t>M</w:t>
            </w:r>
            <w:r>
              <w:t xml:space="preserve"> = move to </w:t>
            </w:r>
          </w:p>
        </w:tc>
        <w:tc>
          <w:tcPr>
            <w:tcW w:w="0" w:type="auto"/>
            <w:vAlign w:val="center"/>
          </w:tcPr>
          <w:p w:rsidR="00024C0A" w:rsidRDefault="00694C0F">
            <w:pPr>
              <w:pStyle w:val="TableBodyText"/>
            </w:pPr>
            <w:r>
              <w:t>This action requires a point (two coordinates).</w:t>
            </w:r>
          </w:p>
          <w:p w:rsidR="00024C0A" w:rsidRDefault="00694C0F">
            <w:pPr>
              <w:pStyle w:val="TableBodyText"/>
            </w:pPr>
            <w:r>
              <w:t>Move to will move the object to the specified point. It does not animate the object to that po</w:t>
            </w:r>
            <w:r>
              <w:t>int; rather, the object will snap to the given point.</w:t>
            </w:r>
          </w:p>
        </w:tc>
      </w:tr>
      <w:tr w:rsidR="00024C0A" w:rsidTr="00024C0A">
        <w:tc>
          <w:tcPr>
            <w:tcW w:w="0" w:type="auto"/>
            <w:vAlign w:val="center"/>
          </w:tcPr>
          <w:p w:rsidR="00024C0A" w:rsidRDefault="00694C0F">
            <w:pPr>
              <w:pStyle w:val="TableBodyText"/>
            </w:pPr>
            <w:r>
              <w:rPr>
                <w:b/>
              </w:rPr>
              <w:t>L</w:t>
            </w:r>
            <w:r>
              <w:t xml:space="preserve"> = line to</w:t>
            </w:r>
          </w:p>
        </w:tc>
        <w:tc>
          <w:tcPr>
            <w:tcW w:w="0" w:type="auto"/>
            <w:vAlign w:val="center"/>
          </w:tcPr>
          <w:p w:rsidR="00024C0A" w:rsidRDefault="00694C0F">
            <w:pPr>
              <w:pStyle w:val="TableBodyText"/>
            </w:pPr>
            <w:r>
              <w:t>This action requires a point (two coordinates).</w:t>
            </w:r>
          </w:p>
          <w:p w:rsidR="00024C0A" w:rsidRDefault="00694C0F">
            <w:pPr>
              <w:pStyle w:val="TableBodyText"/>
            </w:pPr>
            <w:r>
              <w:t>Line to will move the object to the specified point along the shortest line between the current point and the specified point.</w:t>
            </w:r>
          </w:p>
        </w:tc>
      </w:tr>
      <w:tr w:rsidR="00024C0A" w:rsidTr="00024C0A">
        <w:tc>
          <w:tcPr>
            <w:tcW w:w="0" w:type="auto"/>
            <w:vAlign w:val="center"/>
          </w:tcPr>
          <w:p w:rsidR="00024C0A" w:rsidRDefault="00694C0F">
            <w:pPr>
              <w:pStyle w:val="TableBodyText"/>
            </w:pPr>
            <w:r>
              <w:rPr>
                <w:b/>
              </w:rPr>
              <w:t>C</w:t>
            </w:r>
            <w:r>
              <w:t xml:space="preserve"> = curve to</w:t>
            </w:r>
          </w:p>
        </w:tc>
        <w:tc>
          <w:tcPr>
            <w:tcW w:w="0" w:type="auto"/>
            <w:vAlign w:val="center"/>
          </w:tcPr>
          <w:p w:rsidR="00024C0A" w:rsidRDefault="00694C0F">
            <w:pPr>
              <w:pStyle w:val="TableBodyText"/>
            </w:pPr>
            <w:r>
              <w:t>This action requires three points (six coordinates).</w:t>
            </w:r>
          </w:p>
          <w:p w:rsidR="00024C0A" w:rsidRDefault="00694C0F">
            <w:pPr>
              <w:pStyle w:val="TableBodyText"/>
            </w:pPr>
            <w:r>
              <w:t>Curve to will move the object along a cubic Bezier curve specified by the current point and the three provided points.</w:t>
            </w:r>
          </w:p>
        </w:tc>
      </w:tr>
      <w:tr w:rsidR="00024C0A" w:rsidTr="00024C0A">
        <w:tc>
          <w:tcPr>
            <w:tcW w:w="0" w:type="auto"/>
            <w:vAlign w:val="center"/>
          </w:tcPr>
          <w:p w:rsidR="00024C0A" w:rsidRDefault="00694C0F">
            <w:pPr>
              <w:pStyle w:val="TableBodyText"/>
            </w:pPr>
            <w:r>
              <w:rPr>
                <w:b/>
              </w:rPr>
              <w:t>Z</w:t>
            </w:r>
            <w:r>
              <w:t>=close loop</w:t>
            </w:r>
          </w:p>
        </w:tc>
        <w:tc>
          <w:tcPr>
            <w:tcW w:w="0" w:type="auto"/>
            <w:vAlign w:val="center"/>
          </w:tcPr>
          <w:p w:rsidR="00024C0A" w:rsidRDefault="00694C0F">
            <w:pPr>
              <w:pStyle w:val="TableBodyText"/>
            </w:pPr>
            <w:r>
              <w:t>This action requires no points.</w:t>
            </w:r>
          </w:p>
          <w:p w:rsidR="00024C0A" w:rsidRDefault="00694C0F">
            <w:pPr>
              <w:pStyle w:val="TableBodyText"/>
            </w:pPr>
            <w:r>
              <w:t>Close loop will move the object back t</w:t>
            </w:r>
            <w:r>
              <w:t>o where it was before the path began along the shortest line between the current point and the starting point.</w:t>
            </w:r>
          </w:p>
          <w:p w:rsidR="00024C0A" w:rsidRDefault="00694C0F">
            <w:pPr>
              <w:pStyle w:val="TableBodyText"/>
            </w:pPr>
            <w:r>
              <w:t>The relative (lowercase) and absolute (uppercase) versions of this action are identical.</w:t>
            </w:r>
          </w:p>
        </w:tc>
      </w:tr>
      <w:tr w:rsidR="00024C0A" w:rsidTr="00024C0A">
        <w:tc>
          <w:tcPr>
            <w:tcW w:w="0" w:type="auto"/>
            <w:vAlign w:val="center"/>
          </w:tcPr>
          <w:p w:rsidR="00024C0A" w:rsidRDefault="00694C0F">
            <w:pPr>
              <w:pStyle w:val="TableBodyText"/>
            </w:pPr>
            <w:r>
              <w:rPr>
                <w:b/>
              </w:rPr>
              <w:t>E</w:t>
            </w:r>
            <w:r>
              <w:t>=end</w:t>
            </w:r>
          </w:p>
        </w:tc>
        <w:tc>
          <w:tcPr>
            <w:tcW w:w="0" w:type="auto"/>
            <w:vAlign w:val="center"/>
          </w:tcPr>
          <w:p w:rsidR="00024C0A" w:rsidRDefault="00694C0F">
            <w:pPr>
              <w:pStyle w:val="TableBodyText"/>
            </w:pPr>
            <w:r>
              <w:t>This action requires no points.</w:t>
            </w:r>
          </w:p>
          <w:p w:rsidR="00024C0A" w:rsidRDefault="00694C0F">
            <w:pPr>
              <w:pStyle w:val="TableBodyText"/>
            </w:pPr>
            <w:r>
              <w:t xml:space="preserve">End will </w:t>
            </w:r>
            <w:r>
              <w:t>terminate the motion path. Any action specified in the string after the End action is ignored. The specification of this action is not required. If this action is not present at the end of a string and the string ends, this action will be implied.</w:t>
            </w:r>
          </w:p>
          <w:p w:rsidR="00024C0A" w:rsidRDefault="00694C0F">
            <w:pPr>
              <w:pStyle w:val="TableBodyText"/>
            </w:pPr>
            <w:r>
              <w:t>The rela</w:t>
            </w:r>
            <w:r>
              <w:t>tive and absolute versions of this action are identical.</w:t>
            </w:r>
          </w:p>
        </w:tc>
      </w:tr>
    </w:tbl>
    <w:p w:rsidR="00024C0A" w:rsidRDefault="00024C0A"/>
    <w:p w:rsidR="00024C0A" w:rsidRDefault="00694C0F">
      <w:r>
        <w:t>Points are expressed as percentages of the slide size; 1,1 means the lower-right corner of the slide in absolute coordinates, or the slide width &amp; height in relative coordinates. Expressing a coord</w:t>
      </w:r>
      <w:r>
        <w:t>inate less than 1 but greater than 0 must be prefixed with 0 before the decimal point. If the leading zero is left off, the decimal is thrown away and the coordinate is read without it.</w:t>
      </w:r>
    </w:p>
    <w:p w:rsidR="00024C0A" w:rsidRDefault="00694C0F">
      <w:r>
        <w:t>Formulas can also be used here. To use a formula, the entire formula m</w:t>
      </w:r>
      <w:r>
        <w:t>ust be inside parentheses. Parentheses can be used inside the formula, but no greater than a depth of 255. Formula syntax is further detailed in the entry for tav (Time Animate Value) ("</w:t>
      </w:r>
      <w:hyperlink r:id="rId153">
        <w:r>
          <w:rPr>
            <w:rStyle w:val="Hyperlink"/>
          </w:rPr>
          <w:t>[ISO</w:t>
        </w:r>
        <w:r>
          <w:rPr>
            <w:rStyle w:val="Hyperlink"/>
          </w:rPr>
          <w:t>/IEC-29500-1]</w:t>
        </w:r>
      </w:hyperlink>
      <w:r>
        <w:t xml:space="preserve"> §19.5.79; tav").</w:t>
      </w:r>
    </w:p>
    <w:p w:rsidR="00024C0A" w:rsidRDefault="00694C0F">
      <w:r>
        <w:t>If the requirements for an action are not met (that is, too many or too few points are specified,) the entire path shall be thrown away.</w:t>
      </w:r>
    </w:p>
    <w:p w:rsidR="00024C0A" w:rsidRDefault="00694C0F">
      <w:r>
        <w:t>If the path string is left empty or not specified, the animation will do nothing, but sh</w:t>
      </w:r>
      <w:r>
        <w:t>all take up the required amount of time as specified by the behavior.</w:t>
      </w:r>
    </w:p>
    <w:p w:rsidR="00024C0A" w:rsidRDefault="00694C0F">
      <w:pPr>
        <w:pStyle w:val="Definition-Field"/>
      </w:pPr>
      <w:r>
        <w:t xml:space="preserve">c.   </w:t>
      </w:r>
      <w:r>
        <w:rPr>
          <w:i/>
        </w:rPr>
        <w:t>The standard does not state a default value for the pathEditMode attribute.</w:t>
      </w:r>
    </w:p>
    <w:p w:rsidR="00024C0A" w:rsidRDefault="00694C0F">
      <w:pPr>
        <w:pStyle w:val="Definition-Field2"/>
      </w:pPr>
      <w:r>
        <w:t>PowerPoint uses a default value of relative for the pathEditMode attribute.</w:t>
      </w:r>
    </w:p>
    <w:p w:rsidR="00024C0A" w:rsidRDefault="00694C0F">
      <w:pPr>
        <w:pStyle w:val="Definition-Field"/>
      </w:pPr>
      <w:r>
        <w:t xml:space="preserve">d.   </w:t>
      </w:r>
      <w:r>
        <w:rPr>
          <w:i/>
        </w:rPr>
        <w:t>The standard states that</w:t>
      </w:r>
      <w:r>
        <w:rPr>
          <w:i/>
        </w:rPr>
        <w:t xml:space="preserve"> the ptsTypes attribute specifies the types of points in the path attribute.</w:t>
      </w:r>
    </w:p>
    <w:p w:rsidR="00024C0A" w:rsidRDefault="00694C0F">
      <w:r>
        <w:t>In Office, the ptsTypes attribute additionally describes what the motion path should look like around the current point. This attribute has no effect on the playing of the animati</w:t>
      </w:r>
      <w:r>
        <w:t>on. It is only used when the motion path is edited in Office.</w:t>
      </w:r>
    </w:p>
    <w:p w:rsidR="00024C0A" w:rsidRDefault="00694C0F">
      <w:r>
        <w:t>Each character in this string sequentially maps to a point defined in the path string.  If there are more entries than points, the extra entries are ignored.  If there are fewer entries than poi</w:t>
      </w:r>
      <w:r>
        <w:t xml:space="preserve">nts, the extra </w:t>
      </w:r>
      <w:r>
        <w:lastRenderedPageBreak/>
        <w:t xml:space="preserve">points are to be treated as follows: If the action </w:t>
      </w:r>
      <w:r>
        <w:rPr>
          <w:i/>
        </w:rPr>
        <w:t>after</w:t>
      </w:r>
      <w:r>
        <w:t xml:space="preserve"> the point is a Line To, then the point is treated as an ‘F’ (corner line). Otherwise, the point will be treated as an ‘f’ (corner curve).</w:t>
      </w:r>
    </w:p>
    <w:p w:rsidR="00024C0A" w:rsidRDefault="00694C0F">
      <w:pPr>
        <w:pStyle w:val="Definition-Field"/>
      </w:pPr>
      <w:r>
        <w:t xml:space="preserve">e.   </w:t>
      </w:r>
      <w:r>
        <w:rPr>
          <w:i/>
        </w:rPr>
        <w:t>The standard does not state a default val</w:t>
      </w:r>
      <w:r>
        <w:rPr>
          <w:i/>
        </w:rPr>
        <w:t>ue for the rAng attribute.</w:t>
      </w:r>
    </w:p>
    <w:p w:rsidR="00024C0A" w:rsidRDefault="00694C0F">
      <w:pPr>
        <w:pStyle w:val="Definition-Field2"/>
      </w:pPr>
      <w:r>
        <w:t>PowerPoint uses a default value of 0 for the rAng attribute.</w:t>
      </w:r>
    </w:p>
    <w:p w:rsidR="00024C0A" w:rsidRDefault="00694C0F">
      <w:pPr>
        <w:pStyle w:val="Definition-Field"/>
      </w:pPr>
      <w:r>
        <w:t xml:space="preserve">f.   </w:t>
      </w:r>
      <w:r>
        <w:rPr>
          <w:i/>
        </w:rPr>
        <w:t>The standard states that the animMotion element provides an abstract way to move positioned elements via a set of attributes and child elements.</w:t>
      </w:r>
    </w:p>
    <w:p w:rsidR="00024C0A" w:rsidRDefault="00694C0F">
      <w:r>
        <w:t>The attrNameLst el</w:t>
      </w:r>
      <w:r>
        <w:t>ement in the cBhvr child is permitted to contain up to two attributes to be animated. If the first attribute is not specified, the ppt_x attribute will be used. If the second attribute is not specified, the ppt_y attribute will be used. If more than two at</w:t>
      </w:r>
      <w:r>
        <w:t>tributes are specified, only the first two shall be used.  The attributes used must be one of the following: ppt_x, ppt_y, ppt_w, ppt_h, ppt_r, style.fontSize, xskew, yskew, xshear, yshear, scaleX, or scaleY.</w:t>
      </w:r>
    </w:p>
    <w:p w:rsidR="00024C0A" w:rsidRDefault="00694C0F">
      <w:pPr>
        <w:pStyle w:val="Heading3"/>
      </w:pPr>
      <w:bookmarkStart w:id="2297" w:name="section_39903f1afcb44aee81e266f4fc7493fd"/>
      <w:bookmarkStart w:id="2298" w:name="_Toc12261209"/>
      <w:r>
        <w:t>Part 1 Section 19.5.5, animRot (Animate Rotatio</w:t>
      </w:r>
      <w:r>
        <w:t>n)</w:t>
      </w:r>
      <w:bookmarkEnd w:id="2297"/>
      <w:bookmarkEnd w:id="2298"/>
      <w:r>
        <w:fldChar w:fldCharType="begin"/>
      </w:r>
      <w:r>
        <w:instrText xml:space="preserve"> XE "animRot (Animate Rotation)"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024C0A" w:rsidRDefault="00694C0F">
      <w:pPr>
        <w:pStyle w:val="Definition-Field"/>
      </w:pPr>
      <w:r>
        <w:t xml:space="preserve">a.   </w:t>
      </w:r>
      <w:r>
        <w:rPr>
          <w:i/>
        </w:rPr>
        <w:t>The standard places no restrictions on t</w:t>
      </w:r>
      <w:r>
        <w:rPr>
          <w:i/>
        </w:rPr>
        <w:t>he value of the attrName element when inside the animRot element.</w:t>
      </w:r>
    </w:p>
    <w:p w:rsidR="00024C0A" w:rsidRDefault="00694C0F">
      <w:pPr>
        <w:pStyle w:val="Definition-Field2"/>
      </w:pPr>
      <w:r>
        <w:t>PowerPoint requires that the value of the attrName element be ppt_r, r, or style.rotation when inside an animRot element.</w:t>
      </w:r>
    </w:p>
    <w:p w:rsidR="00024C0A" w:rsidRDefault="00694C0F">
      <w:pPr>
        <w:pStyle w:val="Definition-Field"/>
      </w:pPr>
      <w:r>
        <w:t xml:space="preserve">b.   </w:t>
      </w:r>
      <w:r>
        <w:rPr>
          <w:i/>
        </w:rPr>
        <w:t>The standard states that the animRot element specifies the rota</w:t>
      </w:r>
      <w:r>
        <w:rPr>
          <w:i/>
        </w:rPr>
        <w:t>tion animation on an element with a combination of from, to and by attributes.</w:t>
      </w:r>
    </w:p>
    <w:p w:rsidR="00024C0A" w:rsidRDefault="00694C0F">
      <w:r>
        <w:t>In Office, the three attributes, from(From), to(To), and by(By), shall be used in one of the following combinations:</w:t>
      </w:r>
    </w:p>
    <w:p w:rsidR="00024C0A" w:rsidRDefault="00694C0F">
      <w:r>
        <w:t>from_to: when from(From) and to(To) are defined;</w:t>
      </w:r>
    </w:p>
    <w:p w:rsidR="00024C0A" w:rsidRDefault="00694C0F">
      <w:r>
        <w:t>from_by: wh</w:t>
      </w:r>
      <w:r>
        <w:t>en from(From) and by(By) are defined but to(To) is undefined;</w:t>
      </w:r>
    </w:p>
    <w:p w:rsidR="00024C0A" w:rsidRDefault="00694C0F">
      <w:r>
        <w:t>to_only: when to(To) is defined but from(From) is undefined;</w:t>
      </w:r>
    </w:p>
    <w:p w:rsidR="00024C0A" w:rsidRDefault="00694C0F">
      <w:r>
        <w:t>by_only: when by(By) is defined but from(From) and to(To) are undefined.</w:t>
      </w:r>
    </w:p>
    <w:p w:rsidR="00024C0A" w:rsidRDefault="00694C0F">
      <w:r>
        <w:t>All other combinations are invalid.</w:t>
      </w:r>
    </w:p>
    <w:p w:rsidR="00024C0A" w:rsidRDefault="00694C0F">
      <w:r>
        <w:t xml:space="preserve">For to_only and by_only </w:t>
      </w:r>
      <w:r>
        <w:t>combinations, the starting value of the animation shall be 0. The attribute by(By) is not used in from_to and to_only combinations.</w:t>
      </w:r>
    </w:p>
    <w:p w:rsidR="00024C0A" w:rsidRDefault="00694C0F">
      <w:pPr>
        <w:pStyle w:val="Definition-Field"/>
      </w:pPr>
      <w:r>
        <w:t xml:space="preserve">c.   </w:t>
      </w:r>
      <w:r>
        <w:rPr>
          <w:i/>
        </w:rPr>
        <w:t>The standard places no restrictions on the number of attrName child elements parented by the attrNameLst element when i</w:t>
      </w:r>
      <w:r>
        <w:rPr>
          <w:i/>
        </w:rPr>
        <w:t>nside the animRot element.</w:t>
      </w:r>
    </w:p>
    <w:p w:rsidR="00024C0A" w:rsidRDefault="00694C0F">
      <w:pPr>
        <w:pStyle w:val="Definition-Field2"/>
      </w:pPr>
      <w:r>
        <w:t>PowerPoint requires that there be at least one attrName child element of the attrNameLst element when inside an animRot element; if more than one attrName child element exists, only the first will be used.</w:t>
      </w:r>
    </w:p>
    <w:p w:rsidR="00024C0A" w:rsidRDefault="00694C0F">
      <w:pPr>
        <w:pStyle w:val="Heading3"/>
      </w:pPr>
      <w:bookmarkStart w:id="2299" w:name="section_358c6de32cd7459b8eb9b90f3721fd12"/>
      <w:bookmarkStart w:id="2300" w:name="_Toc12261210"/>
      <w:r>
        <w:t xml:space="preserve">Part 1 Section 19.5.6, </w:t>
      </w:r>
      <w:r>
        <w:t>animScale (Animate Scale)</w:t>
      </w:r>
      <w:bookmarkEnd w:id="2299"/>
      <w:bookmarkEnd w:id="2300"/>
      <w:r>
        <w:fldChar w:fldCharType="begin"/>
      </w:r>
      <w:r>
        <w:instrText xml:space="preserve"> XE "animScale (Animate Scale)"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024C0A" w:rsidRDefault="00694C0F">
      <w:pPr>
        <w:pStyle w:val="Definition-Field"/>
      </w:pPr>
      <w:r>
        <w:lastRenderedPageBreak/>
        <w:t xml:space="preserve">a.   </w:t>
      </w:r>
      <w:r>
        <w:rPr>
          <w:i/>
        </w:rPr>
        <w:t>The standard place</w:t>
      </w:r>
      <w:r>
        <w:rPr>
          <w:i/>
        </w:rPr>
        <w:t>s no restrictions on the number of attrName child elements parented by the attrNameLst element when inside the animScale element, nor what the values of those attrName elements should be.</w:t>
      </w:r>
    </w:p>
    <w:p w:rsidR="00024C0A" w:rsidRDefault="00694C0F">
      <w:pPr>
        <w:pStyle w:val="Definition-Field2"/>
      </w:pPr>
      <w:r>
        <w:t>PowerPoint requires that there be at least two attrName child elemen</w:t>
      </w:r>
      <w:r>
        <w:t>ts of the attrNameLst element when inside an animScale element; their values should be ScaleX and ScaleY.</w:t>
      </w:r>
    </w:p>
    <w:p w:rsidR="00024C0A" w:rsidRDefault="00694C0F">
      <w:pPr>
        <w:pStyle w:val="Definition-Field"/>
      </w:pPr>
      <w:r>
        <w:t xml:space="preserve">b.   </w:t>
      </w:r>
      <w:r>
        <w:rPr>
          <w:i/>
        </w:rPr>
        <w:t>The standard states that the zoomContents attribute specifies whether to zoom the contents of an object when doing a scaling animation.</w:t>
      </w:r>
    </w:p>
    <w:p w:rsidR="00024C0A" w:rsidRDefault="00694C0F">
      <w:pPr>
        <w:pStyle w:val="Definition-Field2"/>
      </w:pPr>
      <w:r>
        <w:t>PowerPoint does not support the zoomContents attribute.</w:t>
      </w:r>
    </w:p>
    <w:p w:rsidR="00024C0A" w:rsidRDefault="00694C0F">
      <w:pPr>
        <w:pStyle w:val="Definition-Field"/>
      </w:pPr>
      <w:r>
        <w:t xml:space="preserve">c.   </w:t>
      </w:r>
      <w:r>
        <w:rPr>
          <w:i/>
        </w:rPr>
        <w:t>The standard states that the animScale element specifies the scale animation of an object.</w:t>
      </w:r>
    </w:p>
    <w:p w:rsidR="00024C0A" w:rsidRDefault="00694C0F">
      <w:r>
        <w:t>In Office, the three attributes from(From), to(To), and by(By) must be used in one of the following comb</w:t>
      </w:r>
      <w:r>
        <w:t>inations:</w:t>
      </w:r>
    </w:p>
    <w:p w:rsidR="00024C0A" w:rsidRDefault="00694C0F">
      <w:r>
        <w:t>from_to: when from(From) and to(To) are defined;</w:t>
      </w:r>
    </w:p>
    <w:p w:rsidR="00024C0A" w:rsidRDefault="00694C0F">
      <w:r>
        <w:t>from_by: when from(From) and by(By) are defined but to(To) is undefined;</w:t>
      </w:r>
    </w:p>
    <w:p w:rsidR="00024C0A" w:rsidRDefault="00694C0F">
      <w:r>
        <w:t>to_only: when to(To) is defined but from(From) is undefined;</w:t>
      </w:r>
    </w:p>
    <w:p w:rsidR="00024C0A" w:rsidRDefault="00694C0F">
      <w:r>
        <w:t>by_only: when by(By) is defined but from(From) and to(To) are u</w:t>
      </w:r>
      <w:r>
        <w:t>ndefined.</w:t>
      </w:r>
    </w:p>
    <w:p w:rsidR="00024C0A" w:rsidRDefault="00694C0F">
      <w:r>
        <w:t>All other combinations are invalid.</w:t>
      </w:r>
    </w:p>
    <w:p w:rsidR="00024C0A" w:rsidRDefault="00694C0F">
      <w:r>
        <w:t>For to_only, the starting value of animation is (0, 0) for “ScaleX” and “ScaleY”. For by_only, the starting value of animation is (1, 1) for “ScaleX” and “ScaleY”. The attribute by(By) is ignored in from_to and</w:t>
      </w:r>
      <w:r>
        <w:t xml:space="preserve"> to_only combinations.</w:t>
      </w:r>
    </w:p>
    <w:p w:rsidR="00024C0A" w:rsidRDefault="00694C0F">
      <w:pPr>
        <w:pStyle w:val="Heading3"/>
      </w:pPr>
      <w:bookmarkStart w:id="2301" w:name="section_05a36e72bcdd46a6874e2eb1fa7573b4"/>
      <w:bookmarkStart w:id="2302" w:name="_Toc12261211"/>
      <w:r>
        <w:t>Part 1 Section 19.5.7, attrName (Attribute Name)</w:t>
      </w:r>
      <w:bookmarkEnd w:id="2301"/>
      <w:bookmarkEnd w:id="2302"/>
      <w:r>
        <w:fldChar w:fldCharType="begin"/>
      </w:r>
      <w:r>
        <w:instrText xml:space="preserve"> XE "attrName (Attribute Name)" </w:instrText>
      </w:r>
      <w:r>
        <w:fldChar w:fldCharType="end"/>
      </w:r>
    </w:p>
    <w:p w:rsidR="00024C0A" w:rsidRDefault="00694C0F">
      <w:pPr>
        <w:pStyle w:val="Definition-Field"/>
      </w:pPr>
      <w:r>
        <w:t xml:space="preserve">a.   </w:t>
      </w:r>
      <w:r>
        <w:rPr>
          <w:i/>
        </w:rPr>
        <w:t>The standard specifies a list of allowed property values for the attrName element.</w:t>
      </w:r>
    </w:p>
    <w:p w:rsidR="00024C0A" w:rsidRDefault="00694C0F">
      <w:pPr>
        <w:pStyle w:val="Definition-Field2"/>
      </w:pPr>
      <w:r>
        <w:t>PowerPoint also allows the following values for this element.</w:t>
      </w:r>
    </w:p>
    <w:p w:rsidR="00024C0A" w:rsidRDefault="00694C0F">
      <w:pPr>
        <w:pStyle w:val="Definition-Field2"/>
        <w:numPr>
          <w:ilvl w:val="0"/>
          <w:numId w:val="127"/>
        </w:numPr>
      </w:pPr>
      <w:r>
        <w:t>ppt_x</w:t>
      </w:r>
    </w:p>
    <w:p w:rsidR="00024C0A" w:rsidRDefault="00694C0F">
      <w:pPr>
        <w:pStyle w:val="Definition-Field2"/>
        <w:numPr>
          <w:ilvl w:val="0"/>
          <w:numId w:val="127"/>
        </w:numPr>
      </w:pPr>
      <w:r>
        <w:t>ppt_y</w:t>
      </w:r>
    </w:p>
    <w:p w:rsidR="00024C0A" w:rsidRDefault="00694C0F">
      <w:pPr>
        <w:pStyle w:val="Definition-Field2"/>
        <w:numPr>
          <w:ilvl w:val="0"/>
          <w:numId w:val="127"/>
        </w:numPr>
      </w:pPr>
      <w:r>
        <w:t>ppt_w</w:t>
      </w:r>
    </w:p>
    <w:p w:rsidR="00024C0A" w:rsidRDefault="00694C0F">
      <w:pPr>
        <w:pStyle w:val="Definition-Field2"/>
        <w:numPr>
          <w:ilvl w:val="0"/>
          <w:numId w:val="127"/>
        </w:numPr>
      </w:pPr>
      <w:r>
        <w:t>ppt_h</w:t>
      </w:r>
    </w:p>
    <w:p w:rsidR="00024C0A" w:rsidRDefault="00694C0F">
      <w:pPr>
        <w:pStyle w:val="Definition-Field2"/>
        <w:numPr>
          <w:ilvl w:val="0"/>
          <w:numId w:val="127"/>
        </w:numPr>
      </w:pPr>
      <w:r>
        <w:t xml:space="preserve">ppt_c </w:t>
      </w:r>
    </w:p>
    <w:p w:rsidR="00024C0A" w:rsidRDefault="00694C0F">
      <w:pPr>
        <w:pStyle w:val="Definition-Field2"/>
        <w:numPr>
          <w:ilvl w:val="0"/>
          <w:numId w:val="127"/>
        </w:numPr>
      </w:pPr>
      <w:r>
        <w:t>ppt_r</w:t>
      </w:r>
    </w:p>
    <w:p w:rsidR="00024C0A" w:rsidRDefault="00694C0F">
      <w:pPr>
        <w:pStyle w:val="Definition-Field2"/>
        <w:numPr>
          <w:ilvl w:val="0"/>
          <w:numId w:val="127"/>
        </w:numPr>
      </w:pPr>
      <w:r>
        <w:t>xshear</w:t>
      </w:r>
    </w:p>
    <w:p w:rsidR="00024C0A" w:rsidRDefault="00694C0F">
      <w:pPr>
        <w:pStyle w:val="Definition-Field2"/>
        <w:numPr>
          <w:ilvl w:val="0"/>
          <w:numId w:val="127"/>
        </w:numPr>
      </w:pPr>
      <w:r>
        <w:t>yshear</w:t>
      </w:r>
    </w:p>
    <w:p w:rsidR="00024C0A" w:rsidRDefault="00694C0F">
      <w:pPr>
        <w:pStyle w:val="Definition-Field2"/>
        <w:numPr>
          <w:ilvl w:val="0"/>
          <w:numId w:val="127"/>
        </w:numPr>
      </w:pPr>
      <w:r>
        <w:t>image</w:t>
      </w:r>
    </w:p>
    <w:p w:rsidR="00024C0A" w:rsidRDefault="00694C0F">
      <w:pPr>
        <w:pStyle w:val="Definition-Field2"/>
        <w:numPr>
          <w:ilvl w:val="0"/>
          <w:numId w:val="127"/>
        </w:numPr>
      </w:pPr>
      <w:r>
        <w:t>ScaleX</w:t>
      </w:r>
    </w:p>
    <w:p w:rsidR="00024C0A" w:rsidRDefault="00694C0F">
      <w:pPr>
        <w:pStyle w:val="Definition-Field2"/>
        <w:numPr>
          <w:ilvl w:val="0"/>
          <w:numId w:val="127"/>
        </w:numPr>
      </w:pPr>
      <w:r>
        <w:t>ScaleY</w:t>
      </w:r>
    </w:p>
    <w:p w:rsidR="00024C0A" w:rsidRDefault="00694C0F">
      <w:pPr>
        <w:pStyle w:val="Definition-Field2"/>
        <w:numPr>
          <w:ilvl w:val="0"/>
          <w:numId w:val="127"/>
        </w:numPr>
      </w:pPr>
      <w:r>
        <w:t>r</w:t>
      </w:r>
    </w:p>
    <w:p w:rsidR="00024C0A" w:rsidRDefault="00694C0F">
      <w:pPr>
        <w:pStyle w:val="Definition-Field2"/>
        <w:numPr>
          <w:ilvl w:val="0"/>
          <w:numId w:val="127"/>
        </w:numPr>
      </w:pPr>
      <w:r>
        <w:t>fillcolor</w:t>
      </w:r>
    </w:p>
    <w:p w:rsidR="00024C0A" w:rsidRDefault="00694C0F">
      <w:pPr>
        <w:pStyle w:val="Definition-Field2"/>
        <w:numPr>
          <w:ilvl w:val="0"/>
          <w:numId w:val="127"/>
        </w:numPr>
      </w:pPr>
      <w:r>
        <w:lastRenderedPageBreak/>
        <w:t>3d.object.rotation.x</w:t>
      </w:r>
    </w:p>
    <w:p w:rsidR="00024C0A" w:rsidRDefault="00694C0F">
      <w:pPr>
        <w:pStyle w:val="Definition-Field2"/>
        <w:numPr>
          <w:ilvl w:val="0"/>
          <w:numId w:val="127"/>
        </w:numPr>
      </w:pPr>
      <w:r>
        <w:t>3d.object.rotation.y</w:t>
      </w:r>
    </w:p>
    <w:p w:rsidR="00024C0A" w:rsidRDefault="00694C0F">
      <w:pPr>
        <w:pStyle w:val="Definition-Field2"/>
        <w:numPr>
          <w:ilvl w:val="0"/>
          <w:numId w:val="127"/>
        </w:numPr>
      </w:pPr>
      <w:r>
        <w:t>3d.object.rotation.z</w:t>
      </w:r>
    </w:p>
    <w:p w:rsidR="00024C0A" w:rsidRDefault="00694C0F">
      <w:pPr>
        <w:pStyle w:val="Definition-Field2"/>
        <w:numPr>
          <w:ilvl w:val="0"/>
          <w:numId w:val="127"/>
        </w:numPr>
      </w:pPr>
      <w:r>
        <w:t>3d.view.rotation.x</w:t>
      </w:r>
    </w:p>
    <w:p w:rsidR="00024C0A" w:rsidRDefault="00694C0F">
      <w:pPr>
        <w:pStyle w:val="Definition-Field2"/>
        <w:numPr>
          <w:ilvl w:val="0"/>
          <w:numId w:val="127"/>
        </w:numPr>
      </w:pPr>
      <w:r>
        <w:t>3d.view.rotation.y</w:t>
      </w:r>
    </w:p>
    <w:p w:rsidR="00024C0A" w:rsidRDefault="00694C0F">
      <w:pPr>
        <w:pStyle w:val="Definition-Field2"/>
        <w:numPr>
          <w:ilvl w:val="0"/>
          <w:numId w:val="127"/>
        </w:numPr>
      </w:pPr>
      <w:r>
        <w:t>3d.view.rotation.z</w:t>
      </w:r>
    </w:p>
    <w:p w:rsidR="00024C0A" w:rsidRDefault="00694C0F">
      <w:pPr>
        <w:pStyle w:val="Definition-Field2"/>
        <w:numPr>
          <w:ilvl w:val="0"/>
          <w:numId w:val="127"/>
        </w:numPr>
      </w:pPr>
      <w:r>
        <w:t>3d.object.scale.x</w:t>
      </w:r>
    </w:p>
    <w:p w:rsidR="00024C0A" w:rsidRDefault="00694C0F">
      <w:pPr>
        <w:pStyle w:val="Definition-Field2"/>
        <w:numPr>
          <w:ilvl w:val="0"/>
          <w:numId w:val="127"/>
        </w:numPr>
      </w:pPr>
      <w:r>
        <w:t>3d.object.scale.y</w:t>
      </w:r>
    </w:p>
    <w:p w:rsidR="00024C0A" w:rsidRDefault="00694C0F">
      <w:pPr>
        <w:pStyle w:val="Definition-Field2"/>
        <w:numPr>
          <w:ilvl w:val="0"/>
          <w:numId w:val="127"/>
        </w:numPr>
      </w:pPr>
      <w:r>
        <w:t>3d.object.scale.z</w:t>
      </w:r>
    </w:p>
    <w:p w:rsidR="00024C0A" w:rsidRDefault="00694C0F">
      <w:pPr>
        <w:pStyle w:val="Definition-Field2"/>
        <w:numPr>
          <w:ilvl w:val="0"/>
          <w:numId w:val="127"/>
        </w:numPr>
      </w:pPr>
      <w:r>
        <w:t>3d.view.scale.x</w:t>
      </w:r>
    </w:p>
    <w:p w:rsidR="00024C0A" w:rsidRDefault="00694C0F">
      <w:pPr>
        <w:pStyle w:val="Definition-Field2"/>
        <w:numPr>
          <w:ilvl w:val="0"/>
          <w:numId w:val="127"/>
        </w:numPr>
      </w:pPr>
      <w:r>
        <w:t>3d.view.scale.y</w:t>
      </w:r>
    </w:p>
    <w:p w:rsidR="00024C0A" w:rsidRDefault="00694C0F">
      <w:pPr>
        <w:pStyle w:val="Definition-Field2"/>
        <w:numPr>
          <w:ilvl w:val="0"/>
          <w:numId w:val="127"/>
        </w:numPr>
      </w:pPr>
      <w:r>
        <w:t>3d.view.scale.z</w:t>
      </w:r>
    </w:p>
    <w:p w:rsidR="00024C0A" w:rsidRDefault="00694C0F">
      <w:pPr>
        <w:pStyle w:val="Definition-Field2"/>
        <w:numPr>
          <w:ilvl w:val="0"/>
          <w:numId w:val="127"/>
        </w:numPr>
      </w:pPr>
      <w:r>
        <w:t>3d.object.translation.x</w:t>
      </w:r>
    </w:p>
    <w:p w:rsidR="00024C0A" w:rsidRDefault="00694C0F">
      <w:pPr>
        <w:pStyle w:val="Definition-Field2"/>
        <w:numPr>
          <w:ilvl w:val="0"/>
          <w:numId w:val="127"/>
        </w:numPr>
      </w:pPr>
      <w:r>
        <w:t>3d.object.translation.y</w:t>
      </w:r>
    </w:p>
    <w:p w:rsidR="00024C0A" w:rsidRDefault="00694C0F">
      <w:pPr>
        <w:pStyle w:val="Definition-Field2"/>
        <w:numPr>
          <w:ilvl w:val="0"/>
          <w:numId w:val="127"/>
        </w:numPr>
      </w:pPr>
      <w:r>
        <w:t>3d.object.translation.z</w:t>
      </w:r>
    </w:p>
    <w:p w:rsidR="00024C0A" w:rsidRDefault="00694C0F">
      <w:pPr>
        <w:pStyle w:val="Definition-Field2"/>
        <w:numPr>
          <w:ilvl w:val="0"/>
          <w:numId w:val="127"/>
        </w:numPr>
      </w:pPr>
      <w:r>
        <w:t>3d.view.translation.x</w:t>
      </w:r>
    </w:p>
    <w:p w:rsidR="00024C0A" w:rsidRDefault="00694C0F">
      <w:pPr>
        <w:pStyle w:val="Definition-Field2"/>
        <w:numPr>
          <w:ilvl w:val="0"/>
          <w:numId w:val="127"/>
        </w:numPr>
      </w:pPr>
      <w:r>
        <w:t>3d.view.translation.y</w:t>
      </w:r>
    </w:p>
    <w:p w:rsidR="00024C0A" w:rsidRDefault="00694C0F">
      <w:pPr>
        <w:pStyle w:val="Definition-Field2"/>
        <w:numPr>
          <w:ilvl w:val="0"/>
          <w:numId w:val="127"/>
        </w:numPr>
      </w:pPr>
      <w:r>
        <w:t>3d.view.translation.z</w:t>
      </w:r>
    </w:p>
    <w:p w:rsidR="00024C0A" w:rsidRDefault="00694C0F">
      <w:pPr>
        <w:pStyle w:val="Definition-Field2"/>
        <w:numPr>
          <w:ilvl w:val="0"/>
          <w:numId w:val="127"/>
        </w:numPr>
      </w:pPr>
      <w:r>
        <w:t>drawProgress</w:t>
      </w:r>
    </w:p>
    <w:p w:rsidR="00024C0A" w:rsidRDefault="00694C0F">
      <w:pPr>
        <w:pStyle w:val="Definition-Field2"/>
        <w:numPr>
          <w:ilvl w:val="0"/>
          <w:numId w:val="127"/>
        </w:numPr>
      </w:pPr>
      <w:r>
        <w:t>drawProgressAllAtOnce</w:t>
      </w:r>
    </w:p>
    <w:p w:rsidR="00024C0A" w:rsidRDefault="00694C0F">
      <w:pPr>
        <w:pStyle w:val="Definition-Field"/>
      </w:pPr>
      <w:r>
        <w:t xml:space="preserve">b.   </w:t>
      </w:r>
      <w:r>
        <w:rPr>
          <w:i/>
        </w:rPr>
        <w:t>The standard does not specify</w:t>
      </w:r>
      <w:r>
        <w:rPr>
          <w:i/>
        </w:rPr>
        <w:t xml:space="preserve"> whether the attrName values are case-sensitive.</w:t>
      </w:r>
    </w:p>
    <w:p w:rsidR="00024C0A" w:rsidRDefault="00694C0F">
      <w:pPr>
        <w:pStyle w:val="Definition-Field2"/>
      </w:pPr>
      <w:r>
        <w:t>PowerPoint treats these values as case-insensitive.</w:t>
      </w:r>
    </w:p>
    <w:p w:rsidR="00024C0A" w:rsidRDefault="00694C0F">
      <w:pPr>
        <w:pStyle w:val="Heading3"/>
      </w:pPr>
      <w:bookmarkStart w:id="2303" w:name="section_4a1209e295d54d5ba857218466d24576"/>
      <w:bookmarkStart w:id="2304" w:name="_Toc12261212"/>
      <w:r>
        <w:t>Part 1 Section 19.5.9, audio (Audio)</w:t>
      </w:r>
      <w:bookmarkEnd w:id="2303"/>
      <w:bookmarkEnd w:id="2304"/>
      <w:r>
        <w:fldChar w:fldCharType="begin"/>
      </w:r>
      <w:r>
        <w:instrText xml:space="preserve"> XE "audio (Audio)"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024C0A" w:rsidRDefault="00694C0F">
      <w:pPr>
        <w:pStyle w:val="Definition-Field"/>
      </w:pPr>
      <w:r>
        <w:t xml:space="preserve">a.   </w:t>
      </w:r>
      <w:r>
        <w:rPr>
          <w:i/>
        </w:rPr>
        <w:t>The standard allows the isNarration attribute to be set to true on any audio element.</w:t>
      </w:r>
    </w:p>
    <w:p w:rsidR="00024C0A" w:rsidRDefault="00694C0F">
      <w:r>
        <w:t xml:space="preserve">The isNarration attribute can only be true if the </w:t>
      </w:r>
      <w:r>
        <w:rPr>
          <w:b/>
        </w:rPr>
        <w:t>&lt;audio&gt;</w:t>
      </w:r>
      <w:r>
        <w:t xml:space="preserve"> element contains a child </w:t>
      </w:r>
      <w:r>
        <w:rPr>
          <w:b/>
        </w:rPr>
        <w:t>&lt;cMed</w:t>
      </w:r>
      <w:r>
        <w:rPr>
          <w:b/>
        </w:rPr>
        <w:t>iaNode&gt;</w:t>
      </w:r>
      <w:r>
        <w:t xml:space="preserve"> ("</w:t>
      </w:r>
      <w:hyperlink r:id="rId154">
        <w:r>
          <w:rPr>
            <w:rStyle w:val="Hyperlink"/>
          </w:rPr>
          <w:t>[ISO/IEC-29500-1]</w:t>
        </w:r>
      </w:hyperlink>
      <w:r>
        <w:t xml:space="preserve"> §19.5.29; cMediaNode") with a child </w:t>
      </w:r>
      <w:r>
        <w:rPr>
          <w:b/>
        </w:rPr>
        <w:t>&lt;tgtEl&gt;</w:t>
      </w:r>
      <w:r>
        <w:t xml:space="preserve"> ("[ISO/IEC-29500-1] §19.5.81; tgtEl") that contains a </w:t>
      </w:r>
      <w:r>
        <w:rPr>
          <w:b/>
        </w:rPr>
        <w:t>&lt;spTgt&gt;</w:t>
      </w:r>
      <w:r>
        <w:t xml:space="preserve"> element ("[ISO/IEC-29500-1] §19.5.72; spTgt") that point</w:t>
      </w:r>
      <w:r>
        <w:t xml:space="preserve">s to a valid sound shape. A valid sound shape is a shape that includes as a child of the </w:t>
      </w:r>
      <w:r>
        <w:rPr>
          <w:b/>
        </w:rPr>
        <w:t>&lt;nvPr&gt;</w:t>
      </w:r>
      <w:r>
        <w:t xml:space="preserve"> element ("[ISO/IEC-29500-1] §19.3.1.33; nvPr") one of the following elements: </w:t>
      </w:r>
      <w:r>
        <w:rPr>
          <w:b/>
        </w:rPr>
        <w:t>&lt;wavAudioFile&gt;</w:t>
      </w:r>
      <w:r>
        <w:t xml:space="preserve"> ("[ISO/IEC-29500-1] §20.1.3.7; wavAudioFile") or </w:t>
      </w:r>
      <w:r>
        <w:rPr>
          <w:b/>
        </w:rPr>
        <w:t xml:space="preserve">&lt;audioFile&gt; </w:t>
      </w:r>
      <w:r>
        <w:t>("[ISO</w:t>
      </w:r>
      <w:r>
        <w:t>/IEC-29500-1] §20.1.3.2; audioFile").</w:t>
      </w:r>
    </w:p>
    <w:p w:rsidR="00024C0A" w:rsidRDefault="00694C0F">
      <w:pPr>
        <w:pStyle w:val="Heading3"/>
      </w:pPr>
      <w:bookmarkStart w:id="2305" w:name="section_da3302a59997444fbb688ed15c696eba"/>
      <w:bookmarkStart w:id="2306" w:name="_Toc12261213"/>
      <w:r>
        <w:lastRenderedPageBreak/>
        <w:t>Part 1 Section 19.5.12, bldDgm (Build Diagram)</w:t>
      </w:r>
      <w:bookmarkEnd w:id="2305"/>
      <w:bookmarkEnd w:id="2306"/>
      <w:r>
        <w:fldChar w:fldCharType="begin"/>
      </w:r>
      <w:r>
        <w:instrText xml:space="preserve"> XE "bldDgm (Build Diagram)" </w:instrText>
      </w:r>
      <w:r>
        <w:fldChar w:fldCharType="end"/>
      </w:r>
    </w:p>
    <w:p w:rsidR="00024C0A" w:rsidRDefault="00694C0F">
      <w:pPr>
        <w:pStyle w:val="Definition-Field"/>
      </w:pPr>
      <w:r>
        <w:t xml:space="preserve">a.   </w:t>
      </w:r>
      <w:r>
        <w:rPr>
          <w:i/>
        </w:rPr>
        <w:t>The standard implies that the bldDgm element specifies how to build animation for any diagram.</w:t>
      </w:r>
    </w:p>
    <w:p w:rsidR="00024C0A" w:rsidRDefault="00694C0F">
      <w:pPr>
        <w:pStyle w:val="Definition-Field2"/>
      </w:pPr>
      <w:r>
        <w:t>PowerPoint only uses this element for OL</w:t>
      </w:r>
      <w:r>
        <w:t>E diagrams.</w:t>
      </w:r>
    </w:p>
    <w:p w:rsidR="00024C0A" w:rsidRDefault="00694C0F">
      <w:pPr>
        <w:pStyle w:val="Definition-Field"/>
      </w:pPr>
      <w:r>
        <w:t xml:space="preserve">b.   </w:t>
      </w:r>
      <w:r>
        <w:rPr>
          <w:i/>
        </w:rPr>
        <w:t>The standard places no restrictions on what the spid attribute refers to.</w:t>
      </w:r>
    </w:p>
    <w:p w:rsidR="00024C0A" w:rsidRDefault="00694C0F">
      <w:pPr>
        <w:pStyle w:val="Definition-Field2"/>
      </w:pPr>
      <w:r>
        <w:t>PowerPoint requires that the spid attribute reference a valid OLE diagram that is present on the slide.</w:t>
      </w:r>
    </w:p>
    <w:p w:rsidR="00024C0A" w:rsidRDefault="00694C0F">
      <w:pPr>
        <w:pStyle w:val="Definition-Field"/>
      </w:pPr>
      <w:r>
        <w:t xml:space="preserve">c.   </w:t>
      </w:r>
      <w:r>
        <w:rPr>
          <w:i/>
        </w:rPr>
        <w:t xml:space="preserve">The standard places no restrictions on the relationship </w:t>
      </w:r>
      <w:r>
        <w:rPr>
          <w:i/>
        </w:rPr>
        <w:t>between the spid attribute, the grpId attribute, and the parent bldLst element.</w:t>
      </w:r>
    </w:p>
    <w:p w:rsidR="00024C0A" w:rsidRDefault="00694C0F">
      <w:pPr>
        <w:pStyle w:val="Definition-Field2"/>
      </w:pPr>
      <w:r>
        <w:t>PowerPoint requires that the combination of the spid attribute and the grpId attribute on a given bldDgm element form a unique pair within the parent bldLst element.</w:t>
      </w:r>
    </w:p>
    <w:p w:rsidR="00024C0A" w:rsidRDefault="00694C0F">
      <w:pPr>
        <w:pStyle w:val="Definition-Field"/>
      </w:pPr>
      <w:r>
        <w:t xml:space="preserve">d.   </w:t>
      </w:r>
      <w:r>
        <w:rPr>
          <w:i/>
        </w:rPr>
        <w:t>The s</w:t>
      </w:r>
      <w:r>
        <w:rPr>
          <w:i/>
        </w:rPr>
        <w:t>tandard places no restrictions on what the grpId attribute refers to.</w:t>
      </w:r>
    </w:p>
    <w:p w:rsidR="00024C0A" w:rsidRDefault="00694C0F">
      <w:pPr>
        <w:pStyle w:val="Definition-Field2"/>
      </w:pPr>
      <w:r>
        <w:t>PowerPoint requires that the grpId attribute reference a group that is present in the timing tree.</w:t>
      </w:r>
    </w:p>
    <w:p w:rsidR="00024C0A" w:rsidRDefault="00694C0F">
      <w:pPr>
        <w:pStyle w:val="Heading3"/>
      </w:pPr>
      <w:bookmarkStart w:id="2307" w:name="section_ec82ed17db494761afc3d8e7d2930646"/>
      <w:bookmarkStart w:id="2308" w:name="_Toc12261214"/>
      <w:r>
        <w:t>Part 1 Section 19.5.13, bldGraphic (Build Graphics)</w:t>
      </w:r>
      <w:bookmarkEnd w:id="2307"/>
      <w:bookmarkEnd w:id="2308"/>
      <w:r>
        <w:fldChar w:fldCharType="begin"/>
      </w:r>
      <w:r>
        <w:instrText xml:space="preserve"> XE "bldGraphic (Build Graphics)" </w:instrText>
      </w:r>
      <w:r>
        <w:fldChar w:fldCharType="end"/>
      </w:r>
    </w:p>
    <w:p w:rsidR="00024C0A" w:rsidRDefault="00694C0F">
      <w:pPr>
        <w:pStyle w:val="Definition-Field"/>
      </w:pPr>
      <w:r>
        <w:t xml:space="preserve">a.   </w:t>
      </w:r>
      <w:r>
        <w:rPr>
          <w:i/>
        </w:rPr>
        <w:t>The standard places no restrictions on what the spid attribute refers to.</w:t>
      </w:r>
    </w:p>
    <w:p w:rsidR="00024C0A" w:rsidRDefault="00694C0F">
      <w:pPr>
        <w:pStyle w:val="Definition-Field2"/>
      </w:pPr>
      <w:r>
        <w:t>PowerPoint requires that the spid attribute reference a chart or diagram that is present on the slide.</w:t>
      </w:r>
    </w:p>
    <w:p w:rsidR="00024C0A" w:rsidRDefault="00694C0F">
      <w:pPr>
        <w:pStyle w:val="Definition-Field"/>
      </w:pPr>
      <w:r>
        <w:t xml:space="preserve">b.   </w:t>
      </w:r>
      <w:r>
        <w:rPr>
          <w:i/>
        </w:rPr>
        <w:t>The standard places no restrictions on what the grpId attribute refe</w:t>
      </w:r>
      <w:r>
        <w:rPr>
          <w:i/>
        </w:rPr>
        <w:t>rs to.</w:t>
      </w:r>
    </w:p>
    <w:p w:rsidR="00024C0A" w:rsidRDefault="00694C0F">
      <w:pPr>
        <w:pStyle w:val="Definition-Field2"/>
      </w:pPr>
      <w:r>
        <w:t>PowerPoint requires that the grpID attribute reference a group that is present in the timing tree.</w:t>
      </w:r>
    </w:p>
    <w:p w:rsidR="00024C0A" w:rsidRDefault="00694C0F">
      <w:pPr>
        <w:pStyle w:val="Definition-Field"/>
      </w:pPr>
      <w:r>
        <w:t xml:space="preserve">c.   </w:t>
      </w:r>
      <w:r>
        <w:rPr>
          <w:i/>
        </w:rPr>
        <w:t>The standard places no restrictions on the relationship between the spid attribute, the grpId attribute, and the parent bldLst element.</w:t>
      </w:r>
    </w:p>
    <w:p w:rsidR="00024C0A" w:rsidRDefault="00694C0F">
      <w:pPr>
        <w:pStyle w:val="Definition-Field2"/>
      </w:pPr>
      <w:r>
        <w:t>PowerPoin</w:t>
      </w:r>
      <w:r>
        <w:t>t requires that the combination of the spid attribute and the grpId attribute on a given bldGraphic element form a unique pair within the parent bldLst element.</w:t>
      </w:r>
    </w:p>
    <w:p w:rsidR="00024C0A" w:rsidRDefault="00694C0F">
      <w:pPr>
        <w:pStyle w:val="Heading3"/>
      </w:pPr>
      <w:bookmarkStart w:id="2309" w:name="section_5c0177b6c316482abf5923cb56a51534"/>
      <w:bookmarkStart w:id="2310" w:name="_Toc12261215"/>
      <w:r>
        <w:t>Part 1 Section 19.5.15, bldOleChart (Build Embedded Chart)</w:t>
      </w:r>
      <w:bookmarkEnd w:id="2309"/>
      <w:bookmarkEnd w:id="2310"/>
      <w:r>
        <w:fldChar w:fldCharType="begin"/>
      </w:r>
      <w:r>
        <w:instrText xml:space="preserve"> XE "bldOleChart (Build Embedded Char</w:instrText>
      </w:r>
      <w:r>
        <w:instrText xml:space="preserve">t)" </w:instrText>
      </w:r>
      <w:r>
        <w:fldChar w:fldCharType="end"/>
      </w:r>
    </w:p>
    <w:p w:rsidR="00024C0A" w:rsidRDefault="00694C0F">
      <w:pPr>
        <w:pStyle w:val="Definition-Field"/>
      </w:pPr>
      <w:r>
        <w:t xml:space="preserve">a.   </w:t>
      </w:r>
      <w:r>
        <w:rPr>
          <w:i/>
        </w:rPr>
        <w:t>The standard places no restrictions on what the spid attribute refers to.</w:t>
      </w:r>
    </w:p>
    <w:p w:rsidR="00024C0A" w:rsidRDefault="00694C0F">
      <w:pPr>
        <w:pStyle w:val="Definition-Field2"/>
      </w:pPr>
      <w:r>
        <w:t>PowerPoint requires that the spid attribute reference a shape that is present on the slide.</w:t>
      </w:r>
    </w:p>
    <w:p w:rsidR="00024C0A" w:rsidRDefault="00694C0F">
      <w:pPr>
        <w:pStyle w:val="Definition-Field"/>
      </w:pPr>
      <w:r>
        <w:t xml:space="preserve">b.   </w:t>
      </w:r>
      <w:r>
        <w:rPr>
          <w:i/>
        </w:rPr>
        <w:t xml:space="preserve">The standard places no restrictions on the relationship between the spid </w:t>
      </w:r>
      <w:r>
        <w:rPr>
          <w:i/>
        </w:rPr>
        <w:t>attribute, the grpId attribute, and the parent bldLst element.</w:t>
      </w:r>
    </w:p>
    <w:p w:rsidR="00024C0A" w:rsidRDefault="00694C0F">
      <w:pPr>
        <w:pStyle w:val="Definition-Field2"/>
      </w:pPr>
      <w:r>
        <w:t>PowerPoint requires that the combination of the spid attribute and the grpId attribute on a given bldOleChart element form a unique pair within the parent bldLst element.</w:t>
      </w:r>
    </w:p>
    <w:p w:rsidR="00024C0A" w:rsidRDefault="00694C0F">
      <w:pPr>
        <w:pStyle w:val="Definition-Field"/>
      </w:pPr>
      <w:r>
        <w:t xml:space="preserve">c.   </w:t>
      </w:r>
      <w:r>
        <w:rPr>
          <w:i/>
        </w:rPr>
        <w:t>The standard plac</w:t>
      </w:r>
      <w:r>
        <w:rPr>
          <w:i/>
        </w:rPr>
        <w:t>es no restrictions on what the grpId attribute refers to.</w:t>
      </w:r>
    </w:p>
    <w:p w:rsidR="00024C0A" w:rsidRDefault="00694C0F">
      <w:pPr>
        <w:pStyle w:val="Definition-Field2"/>
      </w:pPr>
      <w:r>
        <w:t>PowerPoint requires that the grpId attribute reference a group that is present in the timing tree.</w:t>
      </w:r>
    </w:p>
    <w:p w:rsidR="00024C0A" w:rsidRDefault="00694C0F">
      <w:pPr>
        <w:pStyle w:val="Heading3"/>
      </w:pPr>
      <w:bookmarkStart w:id="2311" w:name="section_2936b07f699e42a7a89870122183e0a2"/>
      <w:bookmarkStart w:id="2312" w:name="_Toc12261216"/>
      <w:r>
        <w:t>Part 1 Section 19.5.16, bldP (Build Paragraph)</w:t>
      </w:r>
      <w:bookmarkEnd w:id="2311"/>
      <w:bookmarkEnd w:id="2312"/>
      <w:r>
        <w:fldChar w:fldCharType="begin"/>
      </w:r>
      <w:r>
        <w:instrText xml:space="preserve"> XE "bldP (Build Paragraph)" </w:instrText>
      </w:r>
      <w:r>
        <w:fldChar w:fldCharType="end"/>
      </w:r>
    </w:p>
    <w:p w:rsidR="00024C0A" w:rsidRDefault="00694C0F">
      <w:pPr>
        <w:pStyle w:val="Definition-Field"/>
      </w:pPr>
      <w:r>
        <w:t xml:space="preserve">a.   </w:t>
      </w:r>
      <w:r>
        <w:rPr>
          <w:i/>
        </w:rPr>
        <w:t xml:space="preserve">The standard </w:t>
      </w:r>
      <w:r>
        <w:rPr>
          <w:i/>
        </w:rPr>
        <w:t>places no restrictions on what the spid attribute refers to.</w:t>
      </w:r>
    </w:p>
    <w:p w:rsidR="00024C0A" w:rsidRDefault="00694C0F">
      <w:pPr>
        <w:pStyle w:val="Definition-Field2"/>
      </w:pPr>
      <w:r>
        <w:t>PowerPoint requires that the spid attribute reference a shape that is present on the slide.</w:t>
      </w:r>
    </w:p>
    <w:p w:rsidR="00024C0A" w:rsidRDefault="00694C0F">
      <w:pPr>
        <w:pStyle w:val="Definition-Field"/>
      </w:pPr>
      <w:r>
        <w:lastRenderedPageBreak/>
        <w:t xml:space="preserve">b.   </w:t>
      </w:r>
      <w:r>
        <w:rPr>
          <w:i/>
        </w:rPr>
        <w:t>The standard places no restrictions on the relationship between the spid attribute, the grpId attr</w:t>
      </w:r>
      <w:r>
        <w:rPr>
          <w:i/>
        </w:rPr>
        <w:t>ibute, and the parent bldLst element.</w:t>
      </w:r>
    </w:p>
    <w:p w:rsidR="00024C0A" w:rsidRDefault="00694C0F">
      <w:pPr>
        <w:pStyle w:val="Definition-Field2"/>
      </w:pPr>
      <w:r>
        <w:t>PowerPoint requires that the combination of the spid attribute and the grpId attribute on a given bldP element form a unique pair within the parent bldLst element.</w:t>
      </w:r>
    </w:p>
    <w:p w:rsidR="00024C0A" w:rsidRDefault="00694C0F">
      <w:pPr>
        <w:pStyle w:val="Definition-Field"/>
      </w:pPr>
      <w:r>
        <w:t xml:space="preserve">c.   </w:t>
      </w:r>
      <w:r>
        <w:rPr>
          <w:i/>
        </w:rPr>
        <w:t xml:space="preserve">The standard places no restrictions on the shape </w:t>
      </w:r>
      <w:r>
        <w:rPr>
          <w:i/>
        </w:rPr>
        <w:t>to which the spid attribute refers.</w:t>
      </w:r>
    </w:p>
    <w:p w:rsidR="00024C0A" w:rsidRDefault="00694C0F">
      <w:pPr>
        <w:pStyle w:val="Definition-Field2"/>
      </w:pPr>
      <w:r>
        <w:t>PowerPoint requires that the spid attribute refer to an sp element that contains a t element with valid textual data.</w:t>
      </w:r>
    </w:p>
    <w:p w:rsidR="00024C0A" w:rsidRDefault="00694C0F">
      <w:pPr>
        <w:pStyle w:val="Definition-Field"/>
      </w:pPr>
      <w:r>
        <w:t xml:space="preserve">d.   </w:t>
      </w:r>
      <w:r>
        <w:rPr>
          <w:i/>
        </w:rPr>
        <w:t>The standard does not specify how to interpret an advAuto attribute value of indefinite.</w:t>
      </w:r>
    </w:p>
    <w:p w:rsidR="00024C0A" w:rsidRDefault="00694C0F">
      <w:pPr>
        <w:pStyle w:val="Definition-Field2"/>
      </w:pPr>
      <w:r>
        <w:t>PowerPoi</w:t>
      </w:r>
      <w:r>
        <w:t>nt interprets a value of indefinite on the advAuto attribute as being equal to 0.</w:t>
      </w:r>
    </w:p>
    <w:p w:rsidR="00024C0A" w:rsidRDefault="00694C0F">
      <w:pPr>
        <w:pStyle w:val="Definition-Field"/>
      </w:pPr>
      <w:r>
        <w:t xml:space="preserve">e.   </w:t>
      </w:r>
      <w:r>
        <w:rPr>
          <w:i/>
        </w:rPr>
        <w:t>The standard states that the autoUpdateAnimBg attribute indicates whether to automatically update the animateBg setting to true when the shape associated with the text h</w:t>
      </w:r>
      <w:r>
        <w:rPr>
          <w:i/>
        </w:rPr>
        <w:t>as a fill or line.</w:t>
      </w:r>
    </w:p>
    <w:p w:rsidR="00024C0A" w:rsidRDefault="00694C0F">
      <w:pPr>
        <w:pStyle w:val="Definition-Field2"/>
      </w:pPr>
      <w:r>
        <w:t>PowerPoint does not support the autoUpdateAnimBg attribute.</w:t>
      </w:r>
    </w:p>
    <w:p w:rsidR="00024C0A" w:rsidRDefault="00694C0F">
      <w:pPr>
        <w:pStyle w:val="Definition-Field"/>
      </w:pPr>
      <w:r>
        <w:t xml:space="preserve">f.   </w:t>
      </w:r>
      <w:r>
        <w:rPr>
          <w:i/>
        </w:rPr>
        <w:t>The standard places no restrictions on the tgtEl target element when the value of the animBg attribute is false.</w:t>
      </w:r>
    </w:p>
    <w:p w:rsidR="00024C0A" w:rsidRDefault="00694C0F">
      <w:pPr>
        <w:pStyle w:val="Definition-Field2"/>
      </w:pPr>
      <w:r>
        <w:t xml:space="preserve">PowerPoint requires that the charRg child element inside </w:t>
      </w:r>
      <w:r>
        <w:t>the tgtEl target element be zero-length if the animBg attribute is set to false.</w:t>
      </w:r>
    </w:p>
    <w:p w:rsidR="00024C0A" w:rsidRDefault="00694C0F">
      <w:pPr>
        <w:pStyle w:val="Definition-Field"/>
      </w:pPr>
      <w:r>
        <w:t xml:space="preserve">g.   </w:t>
      </w:r>
      <w:r>
        <w:rPr>
          <w:i/>
        </w:rPr>
        <w:t>The standard states that the bldLvl attribute is only supported when the build attribute is set to byParagraph.</w:t>
      </w:r>
    </w:p>
    <w:p w:rsidR="00024C0A" w:rsidRDefault="00694C0F">
      <w:pPr>
        <w:pStyle w:val="Definition-Field2"/>
      </w:pPr>
      <w:r>
        <w:t>PowerPoint only supports the bldLvl attribute when the bui</w:t>
      </w:r>
      <w:r>
        <w:t>ld attribute is set to p.</w:t>
      </w:r>
    </w:p>
    <w:p w:rsidR="00024C0A" w:rsidRDefault="00694C0F">
      <w:pPr>
        <w:pStyle w:val="Heading3"/>
      </w:pPr>
      <w:bookmarkStart w:id="2313" w:name="section_cfa661aede3a4d16b06d06e35e721b89"/>
      <w:bookmarkStart w:id="2314" w:name="_Toc12261217"/>
      <w:r>
        <w:t>Part 1 Section 19.5.17, bldSub (Build Sub Elements)</w:t>
      </w:r>
      <w:bookmarkEnd w:id="2313"/>
      <w:bookmarkEnd w:id="2314"/>
      <w:r>
        <w:fldChar w:fldCharType="begin"/>
      </w:r>
      <w:r>
        <w:instrText xml:space="preserve"> XE "bldSub (Build Sub Elements)" </w:instrText>
      </w:r>
      <w:r>
        <w:fldChar w:fldCharType="end"/>
      </w:r>
    </w:p>
    <w:p w:rsidR="00024C0A" w:rsidRDefault="00694C0F">
      <w:pPr>
        <w:pStyle w:val="Definition-Field"/>
      </w:pPr>
      <w:r>
        <w:t xml:space="preserve">a.   </w:t>
      </w:r>
      <w:r>
        <w:rPr>
          <w:i/>
        </w:rPr>
        <w:t>The standard places no restrictions on the relationship between the bldSub's parent and child elements.</w:t>
      </w:r>
    </w:p>
    <w:p w:rsidR="00024C0A" w:rsidRDefault="00694C0F">
      <w:pPr>
        <w:pStyle w:val="Definition-Field2"/>
      </w:pPr>
      <w:r>
        <w:t>PowerPoint requires that the spid</w:t>
      </w:r>
      <w:r>
        <w:t xml:space="preserve"> attribute of the bldGraphic parent element must match the type of the bldSub child element.</w:t>
      </w:r>
    </w:p>
    <w:p w:rsidR="00024C0A" w:rsidRDefault="00694C0F">
      <w:pPr>
        <w:pStyle w:val="Heading3"/>
      </w:pPr>
      <w:bookmarkStart w:id="2315" w:name="section_f8515cce689b42c6aaa1816d25c1fd7b"/>
      <w:bookmarkStart w:id="2316" w:name="_Toc12261218"/>
      <w:r>
        <w:t>Part 1 Section 19.5.21, by (By)</w:t>
      </w:r>
      <w:bookmarkEnd w:id="2315"/>
      <w:bookmarkEnd w:id="2316"/>
      <w:r>
        <w:fldChar w:fldCharType="begin"/>
      </w:r>
      <w:r>
        <w:instrText xml:space="preserve"> XE "by (By)"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376276c2d99a446084d99a1a45b2bd14">
        <w:r>
          <w:rPr>
            <w:rStyle w:val="Hyperlink"/>
          </w:rPr>
          <w:t>rCtr, §19.5.62(a)</w:t>
        </w:r>
      </w:hyperlink>
      <w:r>
        <w:rPr>
          <w:i/>
        </w:rPr>
        <w:t>.</w:t>
      </w:r>
    </w:p>
    <w:p w:rsidR="00024C0A" w:rsidRDefault="00694C0F">
      <w:pPr>
        <w:pStyle w:val="Definition-Field"/>
      </w:pPr>
      <w:r>
        <w:t xml:space="preserve">a.   </w:t>
      </w:r>
      <w:r>
        <w:rPr>
          <w:i/>
        </w:rPr>
        <w:t>The standard states that the x attribute describes the X coordinate.</w:t>
      </w:r>
    </w:p>
    <w:p w:rsidR="00024C0A" w:rsidRDefault="00694C0F">
      <w:pPr>
        <w:pStyle w:val="Definition-Field2"/>
      </w:pPr>
      <w:r>
        <w:t>PowerPoint uses the x attribute to specify the slide width percentage change when the by element is parented by the animMotio</w:t>
      </w:r>
      <w:r>
        <w:t>n element, and the animated object width percentage change when the by element is parented by the animScale element.</w:t>
      </w:r>
    </w:p>
    <w:p w:rsidR="00024C0A" w:rsidRDefault="00694C0F">
      <w:pPr>
        <w:pStyle w:val="Definition-Field"/>
      </w:pPr>
      <w:r>
        <w:t xml:space="preserve">b.   </w:t>
      </w:r>
      <w:r>
        <w:rPr>
          <w:i/>
        </w:rPr>
        <w:t>The standard states that the y attribute describes the Y coordinate.</w:t>
      </w:r>
    </w:p>
    <w:p w:rsidR="00024C0A" w:rsidRDefault="00694C0F">
      <w:pPr>
        <w:pStyle w:val="Definition-Field2"/>
      </w:pPr>
      <w:r>
        <w:t>PowerPoint uses the y attribute to specify the slide height perce</w:t>
      </w:r>
      <w:r>
        <w:t>ntage change when the by element is parented by the animMotion element, and the animated object height percentage change when the by element is parented by the animScale element.</w:t>
      </w:r>
    </w:p>
    <w:p w:rsidR="00024C0A" w:rsidRDefault="00694C0F">
      <w:pPr>
        <w:pStyle w:val="Heading3"/>
      </w:pPr>
      <w:bookmarkStart w:id="2317" w:name="section_b9a20a7864014a8b8ca9b31ead409132"/>
      <w:bookmarkStart w:id="2318" w:name="_Toc12261219"/>
      <w:r>
        <w:t>Part 1 Section 19.5.22, cBhvr (Common Behavior)</w:t>
      </w:r>
      <w:bookmarkEnd w:id="2317"/>
      <w:bookmarkEnd w:id="2318"/>
      <w:r>
        <w:fldChar w:fldCharType="begin"/>
      </w:r>
      <w:r>
        <w:instrText xml:space="preserve"> XE "cBhvr (Common Behavior)" </w:instrText>
      </w:r>
      <w:r>
        <w:fldChar w:fldCharType="end"/>
      </w:r>
    </w:p>
    <w:p w:rsidR="00024C0A" w:rsidRDefault="00694C0F">
      <w:pPr>
        <w:pStyle w:val="Definition-Field"/>
      </w:pPr>
      <w:r>
        <w:t xml:space="preserve">a.   </w:t>
      </w:r>
      <w:r>
        <w:rPr>
          <w:i/>
        </w:rPr>
        <w:t>The standard states that the by attribute specifies a relative offset value for the animation.</w:t>
      </w:r>
    </w:p>
    <w:p w:rsidR="00024C0A" w:rsidRDefault="00694C0F">
      <w:r>
        <w:lastRenderedPageBreak/>
        <w:t>The string value represents a 2D point, for example "0.5 0.5" or "(#ppt_x-0.1, #ppt_w)". The two elements can be real numbers, or formula. They are separ</w:t>
      </w:r>
      <w:r>
        <w:t>ated either by space or by comma. When using a formula, it must be enclosed in parentheses. The format is specified as follows:</w:t>
      </w:r>
    </w:p>
    <w:p w:rsidR="00024C0A" w:rsidRDefault="00694C0F">
      <w:r>
        <w:t>2d_point = 2d_point_number | 2d_point_formula ;</w:t>
      </w:r>
    </w:p>
    <w:p w:rsidR="00024C0A" w:rsidRDefault="00694C0F">
      <w:r>
        <w:t>2d_point_number = real_number , ( ‘ ‘ | ’,’ ) , real_number ;</w:t>
      </w:r>
    </w:p>
    <w:p w:rsidR="00024C0A" w:rsidRDefault="00694C0F">
      <w:r>
        <w:t>2d_point_formula =</w:t>
      </w:r>
      <w:r>
        <w:t xml:space="preserve"> ‘(‘ , formula , ( ‘ ‘ | ‘,‘ ) , formula , ‘)’ ;</w:t>
      </w:r>
    </w:p>
    <w:p w:rsidR="00024C0A" w:rsidRDefault="00694C0F">
      <w:r>
        <w:t>real_number is further specified in "</w:t>
      </w:r>
      <w:hyperlink r:id="rId155">
        <w:r>
          <w:rPr>
            <w:rStyle w:val="Hyperlink"/>
          </w:rPr>
          <w:t>[ISO/IEC-29500-1]</w:t>
        </w:r>
      </w:hyperlink>
      <w:r>
        <w:t xml:space="preserve"> §19.5.89; to"</w:t>
      </w:r>
    </w:p>
    <w:p w:rsidR="00024C0A" w:rsidRDefault="00694C0F">
      <w:r>
        <w:t>formula is further specified in "[ISO/IEC-29500-1] §19.5.79; tav"</w:t>
      </w:r>
    </w:p>
    <w:p w:rsidR="00024C0A" w:rsidRDefault="00694C0F">
      <w:pPr>
        <w:pStyle w:val="Definition-Field"/>
      </w:pPr>
      <w:r>
        <w:t xml:space="preserve">b.   </w:t>
      </w:r>
      <w:r>
        <w:rPr>
          <w:i/>
        </w:rPr>
        <w:t>T</w:t>
      </w:r>
      <w:r>
        <w:rPr>
          <w:i/>
        </w:rPr>
        <w:t>he standard states that the from attribute specifies a relative offset value for the animation.</w:t>
      </w:r>
    </w:p>
    <w:p w:rsidR="00024C0A" w:rsidRDefault="00694C0F">
      <w:r>
        <w:t xml:space="preserve">The string value represents a 2D point, for example "0.5 0.5" or "(#ppt_x-0.1, #ppt_w)". The two elements can be real numbers, or formula. They are separated </w:t>
      </w:r>
      <w:r>
        <w:t>either by space or by comma. When using a formula, it must be enclosed within parentheses. The format is specified as follows:</w:t>
      </w:r>
    </w:p>
    <w:p w:rsidR="00024C0A" w:rsidRDefault="00694C0F">
      <w:r>
        <w:t>2d_point = 2d_point_number | 2d_point_formula ;</w:t>
      </w:r>
    </w:p>
    <w:p w:rsidR="00024C0A" w:rsidRDefault="00694C0F">
      <w:r>
        <w:t>2d_point_number = real_number , ( ‘ ‘ | ’,’ ) , real_number ;</w:t>
      </w:r>
    </w:p>
    <w:p w:rsidR="00024C0A" w:rsidRDefault="00694C0F">
      <w:r>
        <w:t xml:space="preserve">2d_point_formula = </w:t>
      </w:r>
      <w:r>
        <w:t>‘(‘ , formula , ( ‘ ‘ | ‘,‘ ) , formula , ‘)’ ;</w:t>
      </w:r>
    </w:p>
    <w:p w:rsidR="00024C0A" w:rsidRDefault="00694C0F">
      <w:r>
        <w:t>real_number is further specified in "[ISO/IEC-29500-1] §19.5.89; to"</w:t>
      </w:r>
    </w:p>
    <w:p w:rsidR="00024C0A" w:rsidRDefault="00694C0F">
      <w:r>
        <w:t>formula is further specified in "[ISO/IEC-29500-1] §19.5.79; tav"</w:t>
      </w:r>
    </w:p>
    <w:p w:rsidR="00024C0A" w:rsidRDefault="00694C0F">
      <w:pPr>
        <w:pStyle w:val="Definition-Field"/>
      </w:pPr>
      <w:r>
        <w:t xml:space="preserve">c.   </w:t>
      </w:r>
      <w:r>
        <w:rPr>
          <w:i/>
        </w:rPr>
        <w:t xml:space="preserve">The standard states that the to attribute specifies a relative </w:t>
      </w:r>
      <w:r>
        <w:rPr>
          <w:i/>
        </w:rPr>
        <w:t>offset value for the animation.</w:t>
      </w:r>
    </w:p>
    <w:p w:rsidR="00024C0A" w:rsidRDefault="00694C0F">
      <w:r>
        <w:t>The string value represents a 2D point, for example "0.5 0.5" or "(#ppt_x-0.1, #ppt_w)". The two elements can be real numbers, or formula. They are separated either by space or by comma. When a using formula, it must be encl</w:t>
      </w:r>
      <w:r>
        <w:t>osed within parentheses. The format is specified as follows:</w:t>
      </w:r>
    </w:p>
    <w:p w:rsidR="00024C0A" w:rsidRDefault="00694C0F">
      <w:r>
        <w:t>2d_point = 2d_point_number | 2d_point_formula ;</w:t>
      </w:r>
    </w:p>
    <w:p w:rsidR="00024C0A" w:rsidRDefault="00694C0F">
      <w:r>
        <w:t>2d_point_number = real_number , ( ‘ ‘ | ’,’ ) , real_number ;</w:t>
      </w:r>
    </w:p>
    <w:p w:rsidR="00024C0A" w:rsidRDefault="00694C0F">
      <w:r>
        <w:t>2d_point_formula = ‘(‘ , formula , ( ‘ ‘ | ‘,‘ ) , formula , ‘)’ ;</w:t>
      </w:r>
    </w:p>
    <w:p w:rsidR="00024C0A" w:rsidRDefault="00694C0F">
      <w:r>
        <w:t>real_number is fur</w:t>
      </w:r>
      <w:r>
        <w:t>ther specified in "[ISO/IEC-29500-1] §19.5.89; to"</w:t>
      </w:r>
    </w:p>
    <w:p w:rsidR="00024C0A" w:rsidRDefault="00694C0F">
      <w:r>
        <w:t>formula is further specified in "[ISO/IEC-29500-1] §19.5.79; tav"</w:t>
      </w:r>
    </w:p>
    <w:p w:rsidR="00024C0A" w:rsidRDefault="00694C0F">
      <w:pPr>
        <w:pStyle w:val="Definition-Field"/>
      </w:pPr>
      <w:r>
        <w:t xml:space="preserve">d.   </w:t>
      </w:r>
      <w:r>
        <w:rPr>
          <w:i/>
        </w:rPr>
        <w:t>The standard does not state a default value for the additive attribute.</w:t>
      </w:r>
    </w:p>
    <w:p w:rsidR="00024C0A" w:rsidRDefault="00694C0F">
      <w:pPr>
        <w:pStyle w:val="Definition-Field2"/>
      </w:pPr>
      <w:r>
        <w:t>PowerPoint uses a default value of base for the additive attri</w:t>
      </w:r>
      <w:r>
        <w:t>bute.</w:t>
      </w:r>
    </w:p>
    <w:p w:rsidR="00024C0A" w:rsidRDefault="00694C0F">
      <w:pPr>
        <w:pStyle w:val="Definition-Field"/>
      </w:pPr>
      <w:r>
        <w:t xml:space="preserve">e.   </w:t>
      </w:r>
      <w:r>
        <w:rPr>
          <w:i/>
        </w:rPr>
        <w:t>The standard does not state a default value for the accumulate attribute.</w:t>
      </w:r>
    </w:p>
    <w:p w:rsidR="00024C0A" w:rsidRDefault="00694C0F">
      <w:pPr>
        <w:pStyle w:val="Definition-Field2"/>
      </w:pPr>
      <w:r>
        <w:t>PowerPoint uses a default value of none for the accumulate attribute.</w:t>
      </w:r>
    </w:p>
    <w:p w:rsidR="00024C0A" w:rsidRDefault="00694C0F">
      <w:pPr>
        <w:pStyle w:val="Definition-Field"/>
      </w:pPr>
      <w:r>
        <w:t xml:space="preserve">f.   </w:t>
      </w:r>
      <w:r>
        <w:rPr>
          <w:i/>
        </w:rPr>
        <w:t>The standard does not state a default value for the xfrmType attribute.</w:t>
      </w:r>
    </w:p>
    <w:p w:rsidR="00024C0A" w:rsidRDefault="00694C0F">
      <w:pPr>
        <w:pStyle w:val="Definition-Field2"/>
      </w:pPr>
      <w:r>
        <w:t>PowerPoint uses a defaul</w:t>
      </w:r>
      <w:r>
        <w:t>t value of pt for the xfrmType attribute.</w:t>
      </w:r>
    </w:p>
    <w:p w:rsidR="00024C0A" w:rsidRDefault="00694C0F">
      <w:pPr>
        <w:pStyle w:val="Definition-Field"/>
      </w:pPr>
      <w:r>
        <w:t xml:space="preserve">g.   </w:t>
      </w:r>
      <w:r>
        <w:rPr>
          <w:i/>
        </w:rPr>
        <w:t>The standard states that the rctx attribute describes the runtime context of the animation and that the understood values are PPT and IE.</w:t>
      </w:r>
    </w:p>
    <w:p w:rsidR="00024C0A" w:rsidRDefault="00694C0F">
      <w:r>
        <w:t>Office places additional restrictions on the format for the value of th</w:t>
      </w:r>
      <w:r>
        <w:t>e rctx attribute as follows:</w:t>
      </w:r>
    </w:p>
    <w:p w:rsidR="00024C0A" w:rsidRDefault="00694C0F">
      <w:r>
        <w:lastRenderedPageBreak/>
        <w:t>runtime_context = context_atom, { ‘;’, context_atom } [ ‘;’ ];</w:t>
      </w:r>
    </w:p>
    <w:p w:rsidR="00024C0A" w:rsidRDefault="00694C0F">
      <w:r>
        <w:t>context_atom = [ relation_operator, Space ],  app_abbrev, [ Space , version ];</w:t>
      </w:r>
    </w:p>
    <w:p w:rsidR="00024C0A" w:rsidRDefault="00694C0F">
      <w:r>
        <w:t>relation_operator = gte | gt | lte | lt | not;</w:t>
      </w:r>
    </w:p>
    <w:p w:rsidR="00024C0A" w:rsidRDefault="00694C0F">
      <w:r>
        <w:t>app_abbrev = PPT_abbrev | IE_abbrev;</w:t>
      </w:r>
    </w:p>
    <w:p w:rsidR="00024C0A" w:rsidRDefault="00694C0F">
      <w:r>
        <w:t>P</w:t>
      </w:r>
      <w:r>
        <w:t>PT_abbrev =  ( ‘p’ | ‘P’ ), ( ‘p’ | ‘P’ ), ( ‘t’ | ‘T’ );</w:t>
      </w:r>
    </w:p>
    <w:p w:rsidR="00024C0A" w:rsidRDefault="00694C0F">
      <w:r>
        <w:t>IE_abbrev = ( ‘i’ | ‘I’ ), ( ‘e’ | ‘E’ );</w:t>
      </w:r>
    </w:p>
    <w:p w:rsidR="00024C0A" w:rsidRDefault="00694C0F">
      <w:r>
        <w:t>version = dec_number, [ ‘.’ ], [ dec_number ];</w:t>
      </w:r>
    </w:p>
    <w:p w:rsidR="00024C0A" w:rsidRDefault="00694C0F">
      <w:r>
        <w:t>dec_number = Digit, { Digit };</w:t>
      </w:r>
    </w:p>
    <w:p w:rsidR="00024C0A" w:rsidRDefault="00694C0F">
      <w:r>
        <w:t>gte = ‘g’, ‘t’, ‘e’;</w:t>
      </w:r>
    </w:p>
    <w:p w:rsidR="00024C0A" w:rsidRDefault="00694C0F">
      <w:r>
        <w:t>gt = ‘g’, ‘t’;</w:t>
      </w:r>
    </w:p>
    <w:p w:rsidR="00024C0A" w:rsidRDefault="00694C0F">
      <w:r>
        <w:t>lte = ‘l’, ‘t’, ‘e’;</w:t>
      </w:r>
    </w:p>
    <w:p w:rsidR="00024C0A" w:rsidRDefault="00694C0F">
      <w:r>
        <w:t>lt = ‘l’, ‘t’;</w:t>
      </w:r>
    </w:p>
    <w:p w:rsidR="00024C0A" w:rsidRDefault="00694C0F">
      <w:r>
        <w:t xml:space="preserve">not = </w:t>
      </w:r>
      <w:r>
        <w:t>‘!’;</w:t>
      </w:r>
    </w:p>
    <w:p w:rsidR="00024C0A" w:rsidRDefault="00694C0F">
      <w:r>
        <w:t>Space = ‘ ‘, { ‘ ‘ };</w:t>
      </w:r>
    </w:p>
    <w:p w:rsidR="00024C0A" w:rsidRDefault="00694C0F">
      <w:r>
        <w:t>Digit = ‘0’ | ‘1’ | ‘2’ | ‘3’ | ‘4’ | ‘5’ | ‘6’ | ‘7’ | ‘8’ | ‘9’;</w:t>
      </w:r>
    </w:p>
    <w:p w:rsidR="00024C0A" w:rsidRDefault="00694C0F">
      <w:pPr>
        <w:pStyle w:val="Heading3"/>
      </w:pPr>
      <w:bookmarkStart w:id="2319" w:name="section_d0b4598cf4e147ff91b08fb5abb708f3"/>
      <w:bookmarkStart w:id="2320" w:name="_Toc12261220"/>
      <w:r>
        <w:t>Part 1 Section 19.5.23, charRg (Character Range)</w:t>
      </w:r>
      <w:bookmarkEnd w:id="2319"/>
      <w:bookmarkEnd w:id="2320"/>
      <w:r>
        <w:fldChar w:fldCharType="begin"/>
      </w:r>
      <w:r>
        <w:instrText xml:space="preserve"> XE "charRg (Character Range)"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05f6a62df7db400e9ae497a6d422ac5b">
        <w:r>
          <w:rPr>
            <w:rStyle w:val="Hyperlink"/>
          </w:rPr>
          <w:t>pRg, §19.5.56(b)</w:t>
        </w:r>
      </w:hyperlink>
      <w:r>
        <w:rPr>
          <w:i/>
        </w:rPr>
        <w:t>.</w:t>
      </w:r>
    </w:p>
    <w:p w:rsidR="00024C0A" w:rsidRDefault="00694C0F">
      <w:pPr>
        <w:pStyle w:val="Definition-Field"/>
      </w:pPr>
      <w:r>
        <w:t xml:space="preserve">a.   </w:t>
      </w:r>
      <w:r>
        <w:rPr>
          <w:i/>
        </w:rPr>
        <w:t>The standard places no restrictions on the values of the st and end attributes.</w:t>
      </w:r>
    </w:p>
    <w:p w:rsidR="00024C0A" w:rsidRDefault="00694C0F">
      <w:pPr>
        <w:pStyle w:val="Definition-Field2"/>
      </w:pPr>
      <w:r>
        <w:t>PowerPoint requires the end attribute to be greater than the value of the st attribute and less than or equal to the length of the animated text.</w:t>
      </w:r>
    </w:p>
    <w:p w:rsidR="00024C0A" w:rsidRDefault="00694C0F">
      <w:pPr>
        <w:pStyle w:val="Heading3"/>
      </w:pPr>
      <w:bookmarkStart w:id="2321" w:name="section_df47e7534a9149aab3417f3c92cb9878"/>
      <w:bookmarkStart w:id="2322" w:name="_Toc12261221"/>
      <w:r>
        <w:t>Part 1 Section 19.5.28, cmd (Command)</w:t>
      </w:r>
      <w:bookmarkEnd w:id="2321"/>
      <w:bookmarkEnd w:id="2322"/>
      <w:r>
        <w:fldChar w:fldCharType="begin"/>
      </w:r>
      <w:r>
        <w:instrText xml:space="preserve"> XE "cmd (Command)" </w:instrText>
      </w:r>
      <w:r>
        <w:fldChar w:fldCharType="end"/>
      </w:r>
    </w:p>
    <w:p w:rsidR="00024C0A" w:rsidRDefault="00694C0F">
      <w:pPr>
        <w:pStyle w:val="Definition-Field2"/>
      </w:pPr>
      <w:r>
        <w:rPr>
          <w:i/>
        </w:rPr>
        <w:t>For additional notes that apply to this portion of</w:t>
      </w:r>
      <w:r>
        <w:rPr>
          <w:i/>
        </w:rPr>
        <w:t xml:space="preserve"> the standard, please see the notes for </w:t>
      </w:r>
      <w:hyperlink w:anchor="Section_5516734500ff4d39b4a86ca61d86227a">
        <w:r>
          <w:rPr>
            <w:rStyle w:val="Hyperlink"/>
          </w:rPr>
          <w:t>tnLst, §19.5.87(b)</w:t>
        </w:r>
      </w:hyperlink>
      <w:r>
        <w:rPr>
          <w:i/>
        </w:rPr>
        <w:t>.</w:t>
      </w:r>
    </w:p>
    <w:p w:rsidR="00024C0A" w:rsidRDefault="00694C0F">
      <w:pPr>
        <w:pStyle w:val="Definition-Field"/>
      </w:pPr>
      <w:r>
        <w:t xml:space="preserve">a.   </w:t>
      </w:r>
      <w:r>
        <w:rPr>
          <w:i/>
        </w:rPr>
        <w:t>The standard does not state a default value for the type attribute.</w:t>
      </w:r>
    </w:p>
    <w:p w:rsidR="00024C0A" w:rsidRDefault="00694C0F">
      <w:pPr>
        <w:pStyle w:val="Definition-Field2"/>
      </w:pPr>
      <w:r>
        <w:t xml:space="preserve">PowerPoint uses a default value of call for the type </w:t>
      </w:r>
      <w:r>
        <w:t>attribute.</w:t>
      </w:r>
    </w:p>
    <w:p w:rsidR="00024C0A" w:rsidRDefault="00694C0F">
      <w:pPr>
        <w:pStyle w:val="Heading3"/>
      </w:pPr>
      <w:bookmarkStart w:id="2323" w:name="section_9fb1b81dd5a14aae911fd0be67f559f3"/>
      <w:bookmarkStart w:id="2324" w:name="_Toc12261222"/>
      <w:r>
        <w:t>Part 1 Section 19.5.29, cMediaNode (Common Media Node Properties)</w:t>
      </w:r>
      <w:bookmarkEnd w:id="2323"/>
      <w:bookmarkEnd w:id="2324"/>
      <w:r>
        <w:fldChar w:fldCharType="begin"/>
      </w:r>
      <w:r>
        <w:instrText xml:space="preserve"> XE "cMediaNode (Common Media Node Properties)" </w:instrText>
      </w:r>
      <w:r>
        <w:fldChar w:fldCharType="end"/>
      </w:r>
    </w:p>
    <w:p w:rsidR="00024C0A" w:rsidRDefault="00694C0F">
      <w:pPr>
        <w:pStyle w:val="Definition-Field"/>
      </w:pPr>
      <w:r>
        <w:t xml:space="preserve">a.   </w:t>
      </w:r>
      <w:r>
        <w:rPr>
          <w:i/>
        </w:rPr>
        <w:t>The standard states that the cMediaNode describes the behavior of media elements within an animation.</w:t>
      </w:r>
    </w:p>
    <w:p w:rsidR="00024C0A" w:rsidRDefault="00694C0F">
      <w:r>
        <w:t xml:space="preserve">The child </w:t>
      </w:r>
      <w:r>
        <w:rPr>
          <w:b/>
        </w:rPr>
        <w:t>tgtEl</w:t>
      </w:r>
      <w:r>
        <w:t xml:space="preserve"> elemen</w:t>
      </w:r>
      <w:r>
        <w:t>t ("</w:t>
      </w:r>
      <w:hyperlink r:id="rId156">
        <w:r>
          <w:rPr>
            <w:rStyle w:val="Hyperlink"/>
          </w:rPr>
          <w:t>[ISO/IEC-29500-1]</w:t>
        </w:r>
      </w:hyperlink>
      <w:r>
        <w:t xml:space="preserve"> §19.5.81; tgtEl") shall contain either a </w:t>
      </w:r>
      <w:r>
        <w:rPr>
          <w:b/>
        </w:rPr>
        <w:t>spTgt</w:t>
      </w:r>
      <w:r>
        <w:t xml:space="preserve"> element ("[ISO/IEC-29500-1] §19.5.72; spTgt") that points to a valid media shape or a </w:t>
      </w:r>
      <w:r>
        <w:rPr>
          <w:b/>
        </w:rPr>
        <w:t xml:space="preserve">sndTgt element </w:t>
      </w:r>
      <w:r>
        <w:t xml:space="preserve">("[ISO/IEC-29500-1] </w:t>
      </w:r>
      <w:r>
        <w:t xml:space="preserve">§19.5.70; sndTgt").  A valid media shape is a shape that includes as a child of the </w:t>
      </w:r>
      <w:r>
        <w:rPr>
          <w:b/>
        </w:rPr>
        <w:t>nvPr</w:t>
      </w:r>
      <w:r>
        <w:t xml:space="preserve"> element ("[ISO/IEC-29500-1] §19.3.1.33; nvPr") one of the following elements:</w:t>
      </w:r>
    </w:p>
    <w:p w:rsidR="00024C0A" w:rsidRDefault="00694C0F">
      <w:pPr>
        <w:pStyle w:val="ListParagraph"/>
        <w:numPr>
          <w:ilvl w:val="0"/>
          <w:numId w:val="128"/>
        </w:numPr>
        <w:contextualSpacing/>
      </w:pPr>
      <w:r>
        <w:rPr>
          <w:b/>
        </w:rPr>
        <w:t>videoFile</w:t>
      </w:r>
      <w:r>
        <w:t xml:space="preserve"> ("[ISO/IEC-29500-1] §20.1.3.6; videoFile")</w:t>
      </w:r>
    </w:p>
    <w:p w:rsidR="00024C0A" w:rsidRDefault="00694C0F">
      <w:pPr>
        <w:pStyle w:val="ListParagraph"/>
        <w:numPr>
          <w:ilvl w:val="0"/>
          <w:numId w:val="128"/>
        </w:numPr>
        <w:contextualSpacing/>
      </w:pPr>
      <w:r>
        <w:rPr>
          <w:b/>
        </w:rPr>
        <w:lastRenderedPageBreak/>
        <w:t xml:space="preserve">wavAudioFile </w:t>
      </w:r>
      <w:r>
        <w:t>("[ISO/IEC-29500-1] §20</w:t>
      </w:r>
      <w:r>
        <w:t xml:space="preserve">.1.3.7; wavAudioFile") </w:t>
      </w:r>
    </w:p>
    <w:p w:rsidR="00024C0A" w:rsidRDefault="00694C0F">
      <w:pPr>
        <w:pStyle w:val="ListParagraph"/>
        <w:numPr>
          <w:ilvl w:val="0"/>
          <w:numId w:val="128"/>
        </w:numPr>
        <w:contextualSpacing/>
      </w:pPr>
      <w:r>
        <w:rPr>
          <w:b/>
        </w:rPr>
        <w:t xml:space="preserve">audioFile </w:t>
      </w:r>
      <w:r>
        <w:t xml:space="preserve">("[ISO/IEC-29500-1] §20.1.3.2; audioFile") </w:t>
      </w:r>
    </w:p>
    <w:p w:rsidR="00024C0A" w:rsidRDefault="00694C0F">
      <w:pPr>
        <w:pStyle w:val="ListParagraph"/>
        <w:numPr>
          <w:ilvl w:val="0"/>
          <w:numId w:val="128"/>
        </w:numPr>
        <w:contextualSpacing/>
      </w:pPr>
      <w:r>
        <w:rPr>
          <w:b/>
        </w:rPr>
        <w:t xml:space="preserve">audioCd </w:t>
      </w:r>
      <w:r>
        <w:t>("[ISO/IEC-29500-1] §20.1.3.1; audioCd")</w:t>
      </w:r>
    </w:p>
    <w:p w:rsidR="00024C0A" w:rsidRDefault="00694C0F">
      <w:pPr>
        <w:pStyle w:val="ListParagraph"/>
        <w:numPr>
          <w:ilvl w:val="0"/>
          <w:numId w:val="128"/>
        </w:numPr>
      </w:pPr>
      <w:r>
        <w:rPr>
          <w:b/>
        </w:rPr>
        <w:t xml:space="preserve">quickTimeFile </w:t>
      </w:r>
      <w:r>
        <w:t xml:space="preserve">("[ISO/IEC-29500-1] §20.1.3.4; quickTimeFile") </w:t>
      </w:r>
    </w:p>
    <w:p w:rsidR="00024C0A" w:rsidRDefault="00694C0F">
      <w:pPr>
        <w:pStyle w:val="Heading3"/>
      </w:pPr>
      <w:bookmarkStart w:id="2325" w:name="section_4e694ff4c1d6437e9c0f99bdd419c427"/>
      <w:bookmarkStart w:id="2326" w:name="_Toc12261223"/>
      <w:r>
        <w:t>Part 1 Section 19.5.31, cond (Condition)</w:t>
      </w:r>
      <w:bookmarkEnd w:id="2325"/>
      <w:bookmarkEnd w:id="2326"/>
      <w:r>
        <w:fldChar w:fldCharType="begin"/>
      </w:r>
      <w:r>
        <w:instrText xml:space="preserve"> XE "cond (Condition)" </w:instrText>
      </w:r>
      <w:r>
        <w:fldChar w:fldCharType="end"/>
      </w:r>
    </w:p>
    <w:p w:rsidR="00024C0A" w:rsidRDefault="00694C0F">
      <w:pPr>
        <w:pStyle w:val="Definition-Field"/>
      </w:pPr>
      <w:r>
        <w:t>a</w:t>
      </w:r>
      <w:r>
        <w:t xml:space="preserve">.   </w:t>
      </w:r>
      <w:r>
        <w:rPr>
          <w:i/>
        </w:rPr>
        <w:t>The standard does not state a default value for the delay attribute.</w:t>
      </w:r>
    </w:p>
    <w:p w:rsidR="00024C0A" w:rsidRDefault="00694C0F">
      <w:pPr>
        <w:pStyle w:val="Definition-Field2"/>
      </w:pPr>
      <w:r>
        <w:t>PowerPoint uses a default value of 0 for the delay attribute.</w:t>
      </w:r>
    </w:p>
    <w:p w:rsidR="00024C0A" w:rsidRDefault="00694C0F">
      <w:pPr>
        <w:pStyle w:val="Definition-Field"/>
      </w:pPr>
      <w:r>
        <w:t xml:space="preserve">b.   </w:t>
      </w:r>
      <w:r>
        <w:rPr>
          <w:i/>
        </w:rPr>
        <w:t>The standard places no restrictions on the relationship between the value of the evt attribute and the child element</w:t>
      </w:r>
      <w:r>
        <w:rPr>
          <w:i/>
        </w:rPr>
        <w:t>s of the cond element.</w:t>
      </w:r>
    </w:p>
    <w:p w:rsidR="00024C0A" w:rsidRDefault="00694C0F">
      <w:pPr>
        <w:pStyle w:val="Definition-Field2"/>
      </w:pPr>
      <w:r>
        <w:t>PowerPoint does not support the rtn, tgtEl, or tn child elements when the value of the evt attribute is none; if the evt attribute has any other value, the child element specifies the target of the event.</w:t>
      </w:r>
    </w:p>
    <w:p w:rsidR="00024C0A" w:rsidRDefault="00694C0F">
      <w:pPr>
        <w:pStyle w:val="Heading3"/>
      </w:pPr>
      <w:bookmarkStart w:id="2327" w:name="section_02b2312e970042e08a19b2af1ba83a20"/>
      <w:bookmarkStart w:id="2328" w:name="_Toc12261224"/>
      <w:r>
        <w:t xml:space="preserve">Part 1 Section 19.5.33, cTn </w:t>
      </w:r>
      <w:r>
        <w:t>(Common Time Node Properties)</w:t>
      </w:r>
      <w:bookmarkEnd w:id="2327"/>
      <w:bookmarkEnd w:id="2328"/>
      <w:r>
        <w:fldChar w:fldCharType="begin"/>
      </w:r>
      <w:r>
        <w:instrText xml:space="preserve"> XE "cTn (Common Time Node Properties)" </w:instrText>
      </w:r>
      <w:r>
        <w:fldChar w:fldCharType="end"/>
      </w:r>
    </w:p>
    <w:p w:rsidR="00024C0A" w:rsidRDefault="00694C0F">
      <w:pPr>
        <w:pStyle w:val="Definition-Field"/>
      </w:pPr>
      <w:r>
        <w:t xml:space="preserve">a.   </w:t>
      </w:r>
      <w:r>
        <w:rPr>
          <w:i/>
        </w:rPr>
        <w:t>The standard does not specify how to interpret a presetID attribute value of 0.</w:t>
      </w:r>
    </w:p>
    <w:p w:rsidR="00024C0A" w:rsidRDefault="00694C0F">
      <w:pPr>
        <w:pStyle w:val="Definition-Field2"/>
      </w:pPr>
      <w:r>
        <w:t>PowerPoint interprets the value of 0 on the presetID attribute as being equivalent to the custom se</w:t>
      </w:r>
      <w:r>
        <w:t>tting.</w:t>
      </w:r>
    </w:p>
    <w:p w:rsidR="00024C0A" w:rsidRDefault="00694C0F">
      <w:pPr>
        <w:pStyle w:val="Definition-Field"/>
      </w:pPr>
      <w:r>
        <w:t xml:space="preserve">b.   </w:t>
      </w:r>
      <w:r>
        <w:rPr>
          <w:i/>
        </w:rPr>
        <w:t>The standard does not state a default value for the dur attribute.</w:t>
      </w:r>
    </w:p>
    <w:p w:rsidR="00024C0A" w:rsidRDefault="00694C0F">
      <w:pPr>
        <w:pStyle w:val="Definition-Field2"/>
      </w:pPr>
      <w:r>
        <w:t>PowerPoint uses a default value of 0 for the dur attribute.</w:t>
      </w:r>
    </w:p>
    <w:p w:rsidR="00024C0A" w:rsidRDefault="00694C0F">
      <w:pPr>
        <w:pStyle w:val="Definition-Field"/>
      </w:pPr>
      <w:r>
        <w:t xml:space="preserve">c.   </w:t>
      </w:r>
      <w:r>
        <w:rPr>
          <w:i/>
        </w:rPr>
        <w:t>The standard states that the values of the repeatCount attribute are defined by the ST_TLTime simple type.</w:t>
      </w:r>
    </w:p>
    <w:p w:rsidR="00024C0A" w:rsidRDefault="00694C0F">
      <w:pPr>
        <w:pStyle w:val="Definition-Field2"/>
      </w:pPr>
      <w:r>
        <w:t>PowerPoint will not run the time node to completion if the value of the repeatCount attribute is less than 1000.</w:t>
      </w:r>
    </w:p>
    <w:p w:rsidR="00024C0A" w:rsidRDefault="00694C0F">
      <w:pPr>
        <w:pStyle w:val="Definition-Field"/>
      </w:pPr>
      <w:r>
        <w:t xml:space="preserve">d.   </w:t>
      </w:r>
      <w:r>
        <w:rPr>
          <w:i/>
        </w:rPr>
        <w:t>The standard does not state a default value for the restart attribute.</w:t>
      </w:r>
    </w:p>
    <w:p w:rsidR="00024C0A" w:rsidRDefault="00694C0F">
      <w:pPr>
        <w:pStyle w:val="Definition-Field2"/>
      </w:pPr>
      <w:r>
        <w:t>PowerPoint uses a default value of always for the restart attribute</w:t>
      </w:r>
      <w:r>
        <w:t>.</w:t>
      </w:r>
    </w:p>
    <w:p w:rsidR="00024C0A" w:rsidRDefault="00694C0F">
      <w:pPr>
        <w:pStyle w:val="Definition-Field"/>
      </w:pPr>
      <w:r>
        <w:t xml:space="preserve">e.   </w:t>
      </w:r>
      <w:r>
        <w:rPr>
          <w:i/>
        </w:rPr>
        <w:t>The standard states that the restart attribute specifies if a node is to restart when it completes its action.</w:t>
      </w:r>
    </w:p>
    <w:p w:rsidR="00024C0A" w:rsidRDefault="00694C0F">
      <w:pPr>
        <w:pStyle w:val="Definition-Field2"/>
      </w:pPr>
      <w:r>
        <w:t>PowerPoint uses the restart attribute to specify whether a node is able to restart when it completes its action.</w:t>
      </w:r>
    </w:p>
    <w:p w:rsidR="00024C0A" w:rsidRDefault="00694C0F">
      <w:pPr>
        <w:pStyle w:val="Definition-Field"/>
      </w:pPr>
      <w:r>
        <w:t xml:space="preserve">f.   </w:t>
      </w:r>
      <w:r>
        <w:rPr>
          <w:i/>
        </w:rPr>
        <w:t>The standard does no</w:t>
      </w:r>
      <w:r>
        <w:rPr>
          <w:i/>
        </w:rPr>
        <w:t>t state a default value for the display attribute.</w:t>
      </w:r>
    </w:p>
    <w:p w:rsidR="00024C0A" w:rsidRDefault="00694C0F">
      <w:pPr>
        <w:pStyle w:val="Definition-Field2"/>
      </w:pPr>
      <w:r>
        <w:t>PowerPoint uses a default value of true for the display attribute.</w:t>
      </w:r>
    </w:p>
    <w:p w:rsidR="00024C0A" w:rsidRDefault="00694C0F">
      <w:pPr>
        <w:pStyle w:val="Definition-Field"/>
      </w:pPr>
      <w:r>
        <w:t xml:space="preserve">g.   </w:t>
      </w:r>
      <w:r>
        <w:rPr>
          <w:i/>
        </w:rPr>
        <w:t>The standard states that the display attribute describes whether the state of the time node is visible or hidden.</w:t>
      </w:r>
    </w:p>
    <w:p w:rsidR="00024C0A" w:rsidRDefault="00694C0F">
      <w:pPr>
        <w:pStyle w:val="Definition-Field2"/>
      </w:pPr>
      <w:r>
        <w:t>PowerPoint uses the</w:t>
      </w:r>
      <w:r>
        <w:t xml:space="preserve"> display attribute to specify whether the time node is visible in the user interface.</w:t>
      </w:r>
    </w:p>
    <w:p w:rsidR="00024C0A" w:rsidRDefault="00694C0F">
      <w:pPr>
        <w:pStyle w:val="Definition-Field"/>
      </w:pPr>
      <w:r>
        <w:t xml:space="preserve">h.   </w:t>
      </w:r>
      <w:r>
        <w:rPr>
          <w:i/>
        </w:rPr>
        <w:t>The standard places no restrictions on the value of the grpId attribute.</w:t>
      </w:r>
    </w:p>
    <w:p w:rsidR="00024C0A" w:rsidRDefault="00694C0F">
      <w:pPr>
        <w:pStyle w:val="Definition-Field2"/>
      </w:pPr>
      <w:r>
        <w:t>PowerPoint requires that value of the grpId attribute match the grpId attribute of a child e</w:t>
      </w:r>
      <w:r>
        <w:t>lement contained within the bldLst element.</w:t>
      </w:r>
    </w:p>
    <w:p w:rsidR="00024C0A" w:rsidRDefault="00694C0F">
      <w:pPr>
        <w:pStyle w:val="Definition-Field"/>
      </w:pPr>
      <w:r>
        <w:lastRenderedPageBreak/>
        <w:t xml:space="preserve">i.   </w:t>
      </w:r>
      <w:r>
        <w:rPr>
          <w:i/>
        </w:rPr>
        <w:t>The standard does not state a default value for the afterEffect attribute.</w:t>
      </w:r>
    </w:p>
    <w:p w:rsidR="00024C0A" w:rsidRDefault="00694C0F">
      <w:pPr>
        <w:pStyle w:val="Definition-Field2"/>
      </w:pPr>
      <w:r>
        <w:t>PowerPoint uses a default value of false for the afterEffect attribute.</w:t>
      </w:r>
    </w:p>
    <w:p w:rsidR="00024C0A" w:rsidRDefault="00694C0F">
      <w:pPr>
        <w:pStyle w:val="Definition-Field"/>
      </w:pPr>
      <w:r>
        <w:t xml:space="preserve">j.   </w:t>
      </w:r>
      <w:r>
        <w:rPr>
          <w:i/>
        </w:rPr>
        <w:t>The standard states that the afterEffect attribute spec</w:t>
      </w:r>
      <w:r>
        <w:rPr>
          <w:i/>
        </w:rPr>
        <w:t>ifies whether there is an after effect applied to the time node.</w:t>
      </w:r>
    </w:p>
    <w:p w:rsidR="00024C0A" w:rsidRDefault="00694C0F">
      <w:pPr>
        <w:pStyle w:val="Definition-Field2"/>
      </w:pPr>
      <w:r>
        <w:t>PowerPoint uses the afterEffect attribute to specify whether this time node is an after-effect.</w:t>
      </w:r>
    </w:p>
    <w:p w:rsidR="00024C0A" w:rsidRDefault="00694C0F">
      <w:pPr>
        <w:pStyle w:val="Definition-Field"/>
      </w:pPr>
      <w:r>
        <w:t xml:space="preserve">k.   </w:t>
      </w:r>
      <w:r>
        <w:rPr>
          <w:i/>
        </w:rPr>
        <w:t>The standard does not state a default value for the nodePh attribute.</w:t>
      </w:r>
    </w:p>
    <w:p w:rsidR="00024C0A" w:rsidRDefault="00694C0F">
      <w:pPr>
        <w:pStyle w:val="Definition-Field2"/>
      </w:pPr>
      <w:r>
        <w:t>PowerPoint uses a de</w:t>
      </w:r>
      <w:r>
        <w:t>fault value of false for the nodePh attribute.</w:t>
      </w:r>
    </w:p>
    <w:p w:rsidR="00024C0A" w:rsidRDefault="00694C0F">
      <w:pPr>
        <w:pStyle w:val="Definition-Field"/>
      </w:pPr>
      <w:r>
        <w:t xml:space="preserve">l.   </w:t>
      </w:r>
      <w:r>
        <w:rPr>
          <w:i/>
        </w:rPr>
        <w:t>The standard states that the tmFilter attribute can be of type string.</w:t>
      </w:r>
    </w:p>
    <w:p w:rsidR="00024C0A" w:rsidRDefault="00694C0F">
      <w:r>
        <w:t>In PowerPoint, the string value is expected to be a list of semicolon separated time value pairs, such as “t1, t1’;t2,t2’;…”.  In thi</w:t>
      </w:r>
      <w:r>
        <w:t>s example, each t is the normalized local time for the element (values range from 0.0 – 1.0), and t’ is the warped time to be used for the element’s local time.</w:t>
      </w:r>
    </w:p>
    <w:p w:rsidR="00024C0A" w:rsidRDefault="00694C0F">
      <w:pPr>
        <w:pStyle w:val="Definition-Field"/>
      </w:pPr>
      <w:r>
        <w:t xml:space="preserve">m.   </w:t>
      </w:r>
      <w:r>
        <w:rPr>
          <w:i/>
        </w:rPr>
        <w:t>The standard places no restrictions on the value of the evtFilter attribute.</w:t>
      </w:r>
    </w:p>
    <w:p w:rsidR="00024C0A" w:rsidRDefault="00694C0F">
      <w:pPr>
        <w:pStyle w:val="Definition-Field2"/>
      </w:pPr>
      <w:r>
        <w:t>PowerPoint re</w:t>
      </w:r>
      <w:r>
        <w:t>quires that the value of the evtFilter attribute be cancelBubble for triggered sequences.</w:t>
      </w:r>
    </w:p>
    <w:p w:rsidR="00024C0A" w:rsidRDefault="00694C0F">
      <w:pPr>
        <w:pStyle w:val="Definition-Field"/>
      </w:pPr>
      <w:r>
        <w:t xml:space="preserve">n.   </w:t>
      </w:r>
      <w:r>
        <w:rPr>
          <w:i/>
        </w:rPr>
        <w:t>The standard states that the syncBehavior attribute specifies how the time node synchronizes to its group.</w:t>
      </w:r>
    </w:p>
    <w:p w:rsidR="00024C0A" w:rsidRDefault="00694C0F">
      <w:pPr>
        <w:pStyle w:val="Definition-Field2"/>
      </w:pPr>
      <w:r>
        <w:t>PowerPoint does not support the syncBehavior attribute</w:t>
      </w:r>
      <w:r>
        <w:t>.</w:t>
      </w:r>
    </w:p>
    <w:p w:rsidR="00024C0A" w:rsidRDefault="00694C0F">
      <w:pPr>
        <w:pStyle w:val="Heading3"/>
      </w:pPr>
      <w:bookmarkStart w:id="2329" w:name="section_7f6da715ef45439db125c955433cf354"/>
      <w:bookmarkStart w:id="2330" w:name="_Toc12261225"/>
      <w:r>
        <w:t>Part 1 Section 19.5.39, endSync (EndSync)</w:t>
      </w:r>
      <w:bookmarkEnd w:id="2329"/>
      <w:bookmarkEnd w:id="2330"/>
      <w:r>
        <w:fldChar w:fldCharType="begin"/>
      </w:r>
      <w:r>
        <w:instrText xml:space="preserve"> XE "endSync (EndSync)"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4e694ff4c1d6437e9c0f99bdd419c427">
        <w:r>
          <w:rPr>
            <w:rStyle w:val="Hyperlink"/>
          </w:rPr>
          <w:t>cond, §19.5.31(a, b)</w:t>
        </w:r>
      </w:hyperlink>
      <w:r>
        <w:rPr>
          <w:i/>
        </w:rPr>
        <w:t>.</w:t>
      </w:r>
    </w:p>
    <w:p w:rsidR="00024C0A" w:rsidRDefault="00694C0F">
      <w:pPr>
        <w:pStyle w:val="Heading3"/>
      </w:pPr>
      <w:bookmarkStart w:id="2331" w:name="section_f9503e589cfb47889dccc494550faea9"/>
      <w:bookmarkStart w:id="2332" w:name="_Toc12261226"/>
      <w:r>
        <w:t>Part 1 Sect</w:t>
      </w:r>
      <w:r>
        <w:t>ion 19.5.40, excl (Exclusive)</w:t>
      </w:r>
      <w:bookmarkEnd w:id="2331"/>
      <w:bookmarkEnd w:id="2332"/>
      <w:r>
        <w:fldChar w:fldCharType="begin"/>
      </w:r>
      <w:r>
        <w:instrText xml:space="preserve"> XE "excl (Exclusive)"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024C0A" w:rsidRDefault="00694C0F">
      <w:pPr>
        <w:pStyle w:val="Heading3"/>
      </w:pPr>
      <w:bookmarkStart w:id="2333" w:name="section_9223eaea7e2540e7ba8af68d1796d48e"/>
      <w:bookmarkStart w:id="2334" w:name="_Toc12261227"/>
      <w:r>
        <w:t>Part 1 Section 19.5.43, from (From)</w:t>
      </w:r>
      <w:bookmarkEnd w:id="2333"/>
      <w:bookmarkEnd w:id="2334"/>
      <w:r>
        <w:fldChar w:fldCharType="begin"/>
      </w:r>
      <w:r>
        <w:instrText xml:space="preserve"> XE "from (From)" </w:instrText>
      </w:r>
      <w:r>
        <w:fldChar w:fldCharType="end"/>
      </w:r>
    </w:p>
    <w:p w:rsidR="00024C0A" w:rsidRDefault="00694C0F">
      <w:pPr>
        <w:pStyle w:val="Definition-Field"/>
      </w:pPr>
      <w:r>
        <w:t xml:space="preserve">a.   </w:t>
      </w:r>
      <w:r>
        <w:rPr>
          <w:i/>
        </w:rPr>
        <w:t>The standard does not place any restrictions on the color values used when the schemeClr element is a child of the from element.</w:t>
      </w:r>
    </w:p>
    <w:p w:rsidR="00024C0A" w:rsidRDefault="00694C0F">
      <w:pPr>
        <w:pStyle w:val="Definition-Field2"/>
      </w:pPr>
      <w:r>
        <w:t>PowerPoint requires that the color values dk1, lt1, dk2, lt2, acce</w:t>
      </w:r>
      <w:r>
        <w:t>nt3, accent4, accent5, accent6 and phClr not be used when the schemeClr element is a child of the from element.</w:t>
      </w:r>
    </w:p>
    <w:p w:rsidR="00024C0A" w:rsidRDefault="00694C0F">
      <w:pPr>
        <w:pStyle w:val="Heading3"/>
      </w:pPr>
      <w:bookmarkStart w:id="2335" w:name="section_0ce2da92a86343f5be088a600f8ba222"/>
      <w:bookmarkStart w:id="2336" w:name="_Toc12261228"/>
      <w:r>
        <w:t>Part 1 Section 19.5.44, from (From)</w:t>
      </w:r>
      <w:bookmarkEnd w:id="2335"/>
      <w:bookmarkEnd w:id="2336"/>
      <w:r>
        <w:fldChar w:fldCharType="begin"/>
      </w:r>
      <w:r>
        <w:instrText xml:space="preserve"> XE "from (From)" </w:instrText>
      </w:r>
      <w:r>
        <w:fldChar w:fldCharType="end"/>
      </w:r>
    </w:p>
    <w:p w:rsidR="00024C0A" w:rsidRDefault="00694C0F">
      <w:pPr>
        <w:pStyle w:val="Definition-Field2"/>
      </w:pPr>
      <w:r>
        <w:rPr>
          <w:i/>
        </w:rPr>
        <w:t>For additional notes that apply to this portion of the standard, please see the notes fo</w:t>
      </w:r>
      <w:r>
        <w:rPr>
          <w:i/>
        </w:rPr>
        <w:t xml:space="preserve">r </w:t>
      </w:r>
      <w:hyperlink w:anchor="Section_376276c2d99a446084d99a1a45b2bd14">
        <w:r>
          <w:rPr>
            <w:rStyle w:val="Hyperlink"/>
          </w:rPr>
          <w:t>rCtr, §19.5.62(a)</w:t>
        </w:r>
      </w:hyperlink>
      <w:r>
        <w:rPr>
          <w:i/>
        </w:rPr>
        <w:t>.</w:t>
      </w:r>
    </w:p>
    <w:p w:rsidR="00024C0A" w:rsidRDefault="00694C0F">
      <w:pPr>
        <w:pStyle w:val="Definition-Field"/>
      </w:pPr>
      <w:r>
        <w:t xml:space="preserve">a.   </w:t>
      </w:r>
      <w:r>
        <w:rPr>
          <w:i/>
        </w:rPr>
        <w:t>The standard states that the x attribute describes the X coordinate.</w:t>
      </w:r>
    </w:p>
    <w:p w:rsidR="00024C0A" w:rsidRDefault="00694C0F">
      <w:pPr>
        <w:pStyle w:val="Definition-Field2"/>
      </w:pPr>
      <w:r>
        <w:t>PowerPoint uses the x attribute to specify the slide width percentage change when the from element</w:t>
      </w:r>
      <w:r>
        <w:t xml:space="preserve"> is parented by the animMotion element, and the animated object width percentage change when the from element is parented by the animScale element.</w:t>
      </w:r>
    </w:p>
    <w:p w:rsidR="00024C0A" w:rsidRDefault="00694C0F">
      <w:pPr>
        <w:pStyle w:val="Definition-Field"/>
      </w:pPr>
      <w:r>
        <w:t xml:space="preserve">b.   </w:t>
      </w:r>
      <w:r>
        <w:rPr>
          <w:i/>
        </w:rPr>
        <w:t>The standard states that the y attribute describes the Y coordinate.</w:t>
      </w:r>
    </w:p>
    <w:p w:rsidR="00024C0A" w:rsidRDefault="00694C0F">
      <w:pPr>
        <w:pStyle w:val="Definition-Field2"/>
      </w:pPr>
      <w:r>
        <w:lastRenderedPageBreak/>
        <w:t>PowerPoint uses the y attribute to</w:t>
      </w:r>
      <w:r>
        <w:t xml:space="preserve"> specify the slide height percentage change when the from element is parented by the animMotion element, and the animated object height percentage change when the from element is parented by the animScale element.</w:t>
      </w:r>
    </w:p>
    <w:p w:rsidR="00024C0A" w:rsidRDefault="00694C0F">
      <w:pPr>
        <w:pStyle w:val="Definition-Field"/>
      </w:pPr>
      <w:r>
        <w:t xml:space="preserve">c.   </w:t>
      </w:r>
      <w:r>
        <w:rPr>
          <w:i/>
        </w:rPr>
        <w:t>The standard states that the from ele</w:t>
      </w:r>
      <w:r>
        <w:rPr>
          <w:i/>
        </w:rPr>
        <w:t>ment specifies an x/y co-ordinate to start the animation from.</w:t>
      </w:r>
    </w:p>
    <w:p w:rsidR="00024C0A" w:rsidRDefault="00694C0F">
      <w:r>
        <w:t>When this element is contained within animMotion ("</w:t>
      </w:r>
      <w:hyperlink r:id="rId157">
        <w:r>
          <w:rPr>
            <w:rStyle w:val="Hyperlink"/>
          </w:rPr>
          <w:t>[ISO/IEC-29500-1]</w:t>
        </w:r>
      </w:hyperlink>
      <w:r>
        <w:t xml:space="preserve"> §19.5.4; animMotion"), the attributes x and y are interpreted as slide percentage and shall be greater than or equal to -2147483625 and less than or equal to 2147483625. When this element is contained within animScale ("[ISO/IEC-29500-1] §19.5.6; animScal</w:t>
      </w:r>
      <w:r>
        <w:t>e"), the attributes x and y are interpreted as size percentage and shall be greater than or equal to 0 and less than or equal to 2147483625.</w:t>
      </w:r>
    </w:p>
    <w:p w:rsidR="00024C0A" w:rsidRDefault="00694C0F">
      <w:r>
        <w:t>If the value of either the x or y attribute is greater than 16384000 or less than -16384000 there will be loss of p</w:t>
      </w:r>
      <w:r>
        <w:t>recision due to internal calculations.</w:t>
      </w:r>
    </w:p>
    <w:p w:rsidR="00024C0A" w:rsidRDefault="00694C0F">
      <w:pPr>
        <w:pStyle w:val="Heading3"/>
      </w:pPr>
      <w:bookmarkStart w:id="2337" w:name="section_34777b76de124a3381f75a9e2605d34f"/>
      <w:bookmarkStart w:id="2338" w:name="_Toc12261229"/>
      <w:r>
        <w:t>Part 1 Section 19.5.45, graphicEl (Graphic Element)</w:t>
      </w:r>
      <w:bookmarkEnd w:id="2337"/>
      <w:bookmarkEnd w:id="2338"/>
      <w:r>
        <w:fldChar w:fldCharType="begin"/>
      </w:r>
      <w:r>
        <w:instrText xml:space="preserve"> XE "graphicEl (Graphic Element)" </w:instrText>
      </w:r>
      <w:r>
        <w:fldChar w:fldCharType="end"/>
      </w:r>
    </w:p>
    <w:p w:rsidR="00024C0A" w:rsidRDefault="00694C0F">
      <w:pPr>
        <w:pStyle w:val="Definition-Field"/>
      </w:pPr>
      <w:r>
        <w:t xml:space="preserve">a.   </w:t>
      </w:r>
      <w:r>
        <w:rPr>
          <w:i/>
        </w:rPr>
        <w:t>The standard places no restrictions on the element referred to by the graphicEl element.</w:t>
      </w:r>
    </w:p>
    <w:p w:rsidR="00024C0A" w:rsidRDefault="00694C0F">
      <w:pPr>
        <w:pStyle w:val="Definition-Field2"/>
      </w:pPr>
      <w:r>
        <w:t>PowerPoint requires that the referr</w:t>
      </w:r>
      <w:r>
        <w:t>ed element be on the same slide and of the same type (chart vs. dgm) as the graphicEl's child element.</w:t>
      </w:r>
    </w:p>
    <w:p w:rsidR="00024C0A" w:rsidRDefault="00694C0F">
      <w:pPr>
        <w:pStyle w:val="Heading3"/>
      </w:pPr>
      <w:bookmarkStart w:id="2339" w:name="section_83fd63d248604f1dbaa1a56f47841220"/>
      <w:bookmarkStart w:id="2340" w:name="_Toc12261230"/>
      <w:r>
        <w:t>Part 1 Section 19.5.46, hsl (HSL)</w:t>
      </w:r>
      <w:bookmarkEnd w:id="2339"/>
      <w:bookmarkEnd w:id="2340"/>
      <w:r>
        <w:fldChar w:fldCharType="begin"/>
      </w:r>
      <w:r>
        <w:instrText xml:space="preserve"> XE "hsl (HSL)" </w:instrText>
      </w:r>
      <w:r>
        <w:fldChar w:fldCharType="end"/>
      </w:r>
    </w:p>
    <w:p w:rsidR="00024C0A" w:rsidRDefault="00694C0F">
      <w:pPr>
        <w:pStyle w:val="Definition-Field"/>
      </w:pPr>
      <w:r>
        <w:t xml:space="preserve">a.   </w:t>
      </w:r>
      <w:r>
        <w:rPr>
          <w:i/>
        </w:rPr>
        <w:t>The standard does not state how to interpret a negative s attribute value.</w:t>
      </w:r>
    </w:p>
    <w:p w:rsidR="00024C0A" w:rsidRDefault="00694C0F">
      <w:pPr>
        <w:pStyle w:val="Definition-Field2"/>
      </w:pPr>
      <w:r>
        <w:t>PowerPoint reverses t</w:t>
      </w:r>
      <w:r>
        <w:t>he direction of the color interpolation when the s attribute's value is negative.</w:t>
      </w:r>
    </w:p>
    <w:p w:rsidR="00024C0A" w:rsidRDefault="00694C0F">
      <w:pPr>
        <w:pStyle w:val="Definition-Field"/>
      </w:pPr>
      <w:r>
        <w:t xml:space="preserve">b.   </w:t>
      </w:r>
      <w:r>
        <w:rPr>
          <w:i/>
        </w:rPr>
        <w:t>The standard does not state how to interpret a negative l attribute value.</w:t>
      </w:r>
    </w:p>
    <w:p w:rsidR="00024C0A" w:rsidRDefault="00694C0F">
      <w:pPr>
        <w:pStyle w:val="Definition-Field2"/>
      </w:pPr>
      <w:r>
        <w:t>PowerPoint reverses the direction of the color interpolation when the l attribute's value is n</w:t>
      </w:r>
      <w:r>
        <w:t>egative.</w:t>
      </w:r>
    </w:p>
    <w:p w:rsidR="00024C0A" w:rsidRDefault="00694C0F">
      <w:pPr>
        <w:pStyle w:val="Heading3"/>
      </w:pPr>
      <w:bookmarkStart w:id="2341" w:name="section_06a5cea1078b41cd8c26ef1db3ed3733"/>
      <w:bookmarkStart w:id="2342" w:name="_Toc12261231"/>
      <w:r>
        <w:t>Part 1 Section 19.5.47, inkTgt (Ink Target)</w:t>
      </w:r>
      <w:bookmarkEnd w:id="2341"/>
      <w:bookmarkEnd w:id="2342"/>
      <w:r>
        <w:fldChar w:fldCharType="begin"/>
      </w:r>
      <w:r>
        <w:instrText xml:space="preserve"> XE "inkTgt (Ink Target)" </w:instrText>
      </w:r>
      <w:r>
        <w:fldChar w:fldCharType="end"/>
      </w:r>
    </w:p>
    <w:p w:rsidR="00024C0A" w:rsidRDefault="00694C0F">
      <w:pPr>
        <w:pStyle w:val="Definition-Field"/>
      </w:pPr>
      <w:r>
        <w:t xml:space="preserve">a.   </w:t>
      </w:r>
      <w:r>
        <w:rPr>
          <w:i/>
        </w:rPr>
        <w:t>The standard places no restrictions on what type of shape the spid attribute references.</w:t>
      </w:r>
    </w:p>
    <w:p w:rsidR="00024C0A" w:rsidRDefault="00694C0F">
      <w:pPr>
        <w:pStyle w:val="Definition-Field2"/>
      </w:pPr>
      <w:r>
        <w:t>PowerPoint requires the spid attribute to reference a valid ink shape.  PowerPoin</w:t>
      </w:r>
      <w:r>
        <w:t>t will read inkTgt elements, but on read the ink shape will be converted to a contentPart and its corresponding inkTgt will be written out as a spTgt.</w:t>
      </w:r>
    </w:p>
    <w:p w:rsidR="00024C0A" w:rsidRDefault="00694C0F">
      <w:pPr>
        <w:pStyle w:val="Heading3"/>
      </w:pPr>
      <w:bookmarkStart w:id="2343" w:name="section_b0d3dac175dd42128c7daf9f432b5c24"/>
      <w:bookmarkStart w:id="2344" w:name="_Toc12261232"/>
      <w:r>
        <w:t>Part 1 Section 19.5.49, iterate (Iterate)</w:t>
      </w:r>
      <w:bookmarkEnd w:id="2343"/>
      <w:bookmarkEnd w:id="2344"/>
      <w:r>
        <w:fldChar w:fldCharType="begin"/>
      </w:r>
      <w:r>
        <w:instrText xml:space="preserve"> XE "iterate (Iterate)" </w:instrText>
      </w:r>
      <w:r>
        <w:fldChar w:fldCharType="end"/>
      </w:r>
    </w:p>
    <w:p w:rsidR="00024C0A" w:rsidRDefault="00694C0F">
      <w:pPr>
        <w:pStyle w:val="Definition-Field"/>
      </w:pPr>
      <w:r>
        <w:t xml:space="preserve">a.   </w:t>
      </w:r>
      <w:r>
        <w:rPr>
          <w:i/>
        </w:rPr>
        <w:t>The standard states that the bac</w:t>
      </w:r>
      <w:r>
        <w:rPr>
          <w:i/>
        </w:rPr>
        <w:t>kwards attribute specifies whether to go backwards in the timeline to the previous node.</w:t>
      </w:r>
    </w:p>
    <w:p w:rsidR="00024C0A" w:rsidRDefault="00694C0F">
      <w:pPr>
        <w:pStyle w:val="Definition-Field2"/>
      </w:pPr>
      <w:r>
        <w:t>PowerPoint uses the backwards attribute to specify whether to iterate from the beginning or the end of the target element.</w:t>
      </w:r>
    </w:p>
    <w:p w:rsidR="00024C0A" w:rsidRDefault="00694C0F">
      <w:pPr>
        <w:pStyle w:val="Heading3"/>
      </w:pPr>
      <w:bookmarkStart w:id="2345" w:name="section_a5b47f269eb64d45acd6e7183453307a"/>
      <w:bookmarkStart w:id="2346" w:name="_Toc12261233"/>
      <w:r>
        <w:t>Part 1 Section 19.5.51, nextCondLst (Next Co</w:t>
      </w:r>
      <w:r>
        <w:t>nditions List)</w:t>
      </w:r>
      <w:bookmarkEnd w:id="2345"/>
      <w:bookmarkEnd w:id="2346"/>
      <w:r>
        <w:fldChar w:fldCharType="begin"/>
      </w:r>
      <w:r>
        <w:instrText xml:space="preserve"> XE "nextCondLst (Next Conditions List)" </w:instrText>
      </w:r>
      <w:r>
        <w:fldChar w:fldCharType="end"/>
      </w:r>
    </w:p>
    <w:p w:rsidR="00024C0A" w:rsidRDefault="00694C0F">
      <w:pPr>
        <w:pStyle w:val="Definition-Field"/>
      </w:pPr>
      <w:r>
        <w:t xml:space="preserve">a.   </w:t>
      </w:r>
      <w:r>
        <w:rPr>
          <w:i/>
        </w:rPr>
        <w:t>The standard states that the nextCondLst element describes a list of conditions that must be met to advance to the next animation sequence.</w:t>
      </w:r>
    </w:p>
    <w:p w:rsidR="00024C0A" w:rsidRDefault="00694C0F">
      <w:pPr>
        <w:pStyle w:val="Definition-Field2"/>
      </w:pPr>
      <w:r>
        <w:t xml:space="preserve">PowerPoint will advance to the next animation </w:t>
      </w:r>
      <w:r>
        <w:t>sequence if any of the conditions in the list are met.</w:t>
      </w:r>
    </w:p>
    <w:p w:rsidR="00024C0A" w:rsidRDefault="00694C0F">
      <w:pPr>
        <w:pStyle w:val="Heading3"/>
      </w:pPr>
      <w:bookmarkStart w:id="2347" w:name="section_7bb53b9eb4f54c85b5aed814279ecbc3"/>
      <w:bookmarkStart w:id="2348" w:name="_Toc12261234"/>
      <w:r>
        <w:lastRenderedPageBreak/>
        <w:t>Part 1 Section 19.5.52, oleChartEl (Embedded Chart Element)</w:t>
      </w:r>
      <w:bookmarkEnd w:id="2347"/>
      <w:bookmarkEnd w:id="2348"/>
      <w:r>
        <w:fldChar w:fldCharType="begin"/>
      </w:r>
      <w:r>
        <w:instrText xml:space="preserve"> XE "oleChartEl (Embedded Chart Element)" </w:instrText>
      </w:r>
      <w:r>
        <w:fldChar w:fldCharType="end"/>
      </w:r>
    </w:p>
    <w:p w:rsidR="00024C0A" w:rsidRDefault="00694C0F">
      <w:pPr>
        <w:pStyle w:val="Definition-Field"/>
      </w:pPr>
      <w:r>
        <w:t xml:space="preserve">a.   </w:t>
      </w:r>
      <w:r>
        <w:rPr>
          <w:i/>
        </w:rPr>
        <w:t>The standard places no restrictions on the relationship between the lvl attribute and the ty</w:t>
      </w:r>
      <w:r>
        <w:rPr>
          <w:i/>
        </w:rPr>
        <w:t>pe attribute.</w:t>
      </w:r>
    </w:p>
    <w:p w:rsidR="00024C0A" w:rsidRDefault="00694C0F">
      <w:pPr>
        <w:pStyle w:val="Definition-Field2"/>
      </w:pPr>
      <w:r>
        <w:t>PowerPoint requires the lvl attribute be 0 if the type attribute is gridLegend.</w:t>
      </w:r>
    </w:p>
    <w:p w:rsidR="00024C0A" w:rsidRDefault="00694C0F">
      <w:pPr>
        <w:pStyle w:val="Definition-Field"/>
      </w:pPr>
      <w:r>
        <w:t xml:space="preserve">b.   </w:t>
      </w:r>
      <w:r>
        <w:rPr>
          <w:i/>
        </w:rPr>
        <w:t>The standard places no restrictions on the ordering and relationship of oleChartEl elements with respect to one another.</w:t>
      </w:r>
    </w:p>
    <w:p w:rsidR="00024C0A" w:rsidRDefault="00694C0F">
      <w:pPr>
        <w:pStyle w:val="Definition-Field2"/>
      </w:pPr>
      <w:r>
        <w:t>PowerPoint requires that all oleChar</w:t>
      </w:r>
      <w:r>
        <w:t>tEl elements be stored in incremental ascending order (with no omissions) under one common par element for the animation to play properly.</w:t>
      </w:r>
    </w:p>
    <w:p w:rsidR="00024C0A" w:rsidRDefault="00694C0F">
      <w:pPr>
        <w:pStyle w:val="Heading3"/>
      </w:pPr>
      <w:bookmarkStart w:id="2349" w:name="section_31d28bcdcca242ea95afeb32b797e869"/>
      <w:bookmarkStart w:id="2350" w:name="_Toc12261235"/>
      <w:r>
        <w:t>Part 1 Section 19.5.55, prevCondLst (Previous Conditions List)</w:t>
      </w:r>
      <w:bookmarkEnd w:id="2349"/>
      <w:bookmarkEnd w:id="2350"/>
      <w:r>
        <w:fldChar w:fldCharType="begin"/>
      </w:r>
      <w:r>
        <w:instrText xml:space="preserve"> XE "prevCondLst (Previous Conditions List)" </w:instrText>
      </w:r>
      <w:r>
        <w:fldChar w:fldCharType="end"/>
      </w:r>
    </w:p>
    <w:p w:rsidR="00024C0A" w:rsidRDefault="00694C0F">
      <w:pPr>
        <w:pStyle w:val="Definition-Field"/>
      </w:pPr>
      <w:r>
        <w:t xml:space="preserve">a.   </w:t>
      </w:r>
      <w:r>
        <w:rPr>
          <w:i/>
        </w:rPr>
        <w:t>Th</w:t>
      </w:r>
      <w:r>
        <w:rPr>
          <w:i/>
        </w:rPr>
        <w:t>e standard states that the prevCondLst element describes a list of conditions that must be met in order to go backwards in an animation sequence.</w:t>
      </w:r>
    </w:p>
    <w:p w:rsidR="00024C0A" w:rsidRDefault="00694C0F">
      <w:pPr>
        <w:pStyle w:val="Definition-Field2"/>
      </w:pPr>
      <w:r>
        <w:t>PowerPoint will advance to the previous animation sequence if any of the conditions in the list are met.</w:t>
      </w:r>
    </w:p>
    <w:p w:rsidR="00024C0A" w:rsidRDefault="00694C0F">
      <w:pPr>
        <w:pStyle w:val="Heading3"/>
      </w:pPr>
      <w:bookmarkStart w:id="2351" w:name="section_05f6a62df7db400e9ae497a6d422ac5b"/>
      <w:bookmarkStart w:id="2352" w:name="_Toc12261236"/>
      <w:r>
        <w:t xml:space="preserve">Part </w:t>
      </w:r>
      <w:r>
        <w:t>1 Section 19.5.56, pRg (Paragraph Text Range)</w:t>
      </w:r>
      <w:bookmarkEnd w:id="2351"/>
      <w:bookmarkEnd w:id="2352"/>
      <w:r>
        <w:fldChar w:fldCharType="begin"/>
      </w:r>
      <w:r>
        <w:instrText xml:space="preserve"> XE "pRg (Paragraph Text Range)" </w:instrText>
      </w:r>
      <w:r>
        <w:fldChar w:fldCharType="end"/>
      </w:r>
    </w:p>
    <w:p w:rsidR="00024C0A" w:rsidRDefault="00694C0F">
      <w:pPr>
        <w:pStyle w:val="Definition-Field"/>
      </w:pPr>
      <w:r>
        <w:t xml:space="preserve">a.   </w:t>
      </w:r>
      <w:r>
        <w:rPr>
          <w:i/>
        </w:rPr>
        <w:t>The standard places no restrictions on the values of the st attribute and the end attribute with relation to one another.</w:t>
      </w:r>
    </w:p>
    <w:p w:rsidR="00024C0A" w:rsidRDefault="00694C0F">
      <w:pPr>
        <w:pStyle w:val="Definition-Field2"/>
      </w:pPr>
      <w:r>
        <w:t>PowerPoint requires the values of the st attribu</w:t>
      </w:r>
      <w:r>
        <w:t>te and the end attribute be equal to each other.</w:t>
      </w:r>
    </w:p>
    <w:p w:rsidR="00024C0A" w:rsidRDefault="00694C0F">
      <w:pPr>
        <w:pStyle w:val="Definition-Field"/>
      </w:pPr>
      <w:r>
        <w:t xml:space="preserve">b.   </w:t>
      </w:r>
      <w:r>
        <w:rPr>
          <w:i/>
        </w:rPr>
        <w:t>The standard places no restrictions on the values of the st attribute and the end attribute with relation to the paragraphs.</w:t>
      </w:r>
    </w:p>
    <w:p w:rsidR="00024C0A" w:rsidRDefault="00694C0F">
      <w:pPr>
        <w:pStyle w:val="Definition-Field2"/>
      </w:pPr>
      <w:r>
        <w:t xml:space="preserve">PowerPoint requires that the st attribute and the end attribute be less than </w:t>
      </w:r>
      <w:r>
        <w:t>the number of paragraphs.</w:t>
      </w:r>
    </w:p>
    <w:p w:rsidR="00024C0A" w:rsidRDefault="00694C0F">
      <w:pPr>
        <w:pStyle w:val="Heading3"/>
      </w:pPr>
      <w:bookmarkStart w:id="2353" w:name="section_c6c5c46f909640e595f4cf70e7265ad9"/>
      <w:bookmarkStart w:id="2354" w:name="_Toc12261237"/>
      <w:r>
        <w:t>Part 1 Section 19.5.57, progress (Progress)</w:t>
      </w:r>
      <w:bookmarkEnd w:id="2353"/>
      <w:bookmarkEnd w:id="2354"/>
      <w:r>
        <w:fldChar w:fldCharType="begin"/>
      </w:r>
      <w:r>
        <w:instrText xml:space="preserve"> XE "progress (Progress)" </w:instrText>
      </w:r>
      <w:r>
        <w:fldChar w:fldCharType="end"/>
      </w:r>
    </w:p>
    <w:p w:rsidR="00024C0A" w:rsidRDefault="00694C0F">
      <w:pPr>
        <w:pStyle w:val="Definition-Field"/>
      </w:pPr>
      <w:r>
        <w:t xml:space="preserve">a.   </w:t>
      </w:r>
      <w:r>
        <w:rPr>
          <w:i/>
        </w:rPr>
        <w:t>The standard states that the boolVal, clrVal, intVal, and strVal elements are all valid child elements of the progress element.</w:t>
      </w:r>
    </w:p>
    <w:p w:rsidR="00024C0A" w:rsidRDefault="00694C0F">
      <w:pPr>
        <w:pStyle w:val="Definition-Field2"/>
      </w:pPr>
      <w:r>
        <w:t>PowerPoint does not allow</w:t>
      </w:r>
      <w:r>
        <w:t xml:space="preserve"> these elements as child elements of the progress element.</w:t>
      </w:r>
    </w:p>
    <w:p w:rsidR="00024C0A" w:rsidRDefault="00694C0F">
      <w:pPr>
        <w:pStyle w:val="Definition-Field"/>
      </w:pPr>
      <w:r>
        <w:t xml:space="preserve">b.   </w:t>
      </w:r>
      <w:r>
        <w:rPr>
          <w:i/>
        </w:rPr>
        <w:t>The standard places no restrictions on the val attribute of the fltVal element when parented by the progress element.</w:t>
      </w:r>
    </w:p>
    <w:p w:rsidR="00024C0A" w:rsidRDefault="00694C0F">
      <w:pPr>
        <w:pStyle w:val="Definition-Field2"/>
      </w:pPr>
      <w:r>
        <w:t>PowerPoint requires that the val attribute of the fltVal element be greate</w:t>
      </w:r>
      <w:r>
        <w:t>r than or equal to 0 and less than or equal to 1 when parented by the progress element.</w:t>
      </w:r>
    </w:p>
    <w:p w:rsidR="00024C0A" w:rsidRDefault="00694C0F">
      <w:pPr>
        <w:pStyle w:val="Heading3"/>
      </w:pPr>
      <w:bookmarkStart w:id="2355" w:name="section_376276c2d99a446084d99a1a45b2bd14"/>
      <w:bookmarkStart w:id="2356" w:name="_Toc12261238"/>
      <w:r>
        <w:t>Part 1 Section 19.5.62, rCtr (Rotation Center)</w:t>
      </w:r>
      <w:bookmarkEnd w:id="2355"/>
      <w:bookmarkEnd w:id="2356"/>
      <w:r>
        <w:fldChar w:fldCharType="begin"/>
      </w:r>
      <w:r>
        <w:instrText xml:space="preserve"> XE "rCtr (Rotation Center)" </w:instrText>
      </w:r>
      <w:r>
        <w:fldChar w:fldCharType="end"/>
      </w:r>
    </w:p>
    <w:p w:rsidR="00024C0A" w:rsidRDefault="00694C0F">
      <w:pPr>
        <w:pStyle w:val="Definition-Field"/>
      </w:pPr>
      <w:r>
        <w:t xml:space="preserve">a.   </w:t>
      </w:r>
      <w:r>
        <w:rPr>
          <w:i/>
        </w:rPr>
        <w:t>The standard states that the x attribute and the y attribute describe coordinates.</w:t>
      </w:r>
    </w:p>
    <w:p w:rsidR="00024C0A" w:rsidRDefault="00694C0F">
      <w:pPr>
        <w:pStyle w:val="Definition-Field2"/>
      </w:pPr>
      <w:r>
        <w:t>PowerPoint uses these attributes to specify slide percentages.</w:t>
      </w:r>
    </w:p>
    <w:p w:rsidR="00024C0A" w:rsidRDefault="00694C0F">
      <w:pPr>
        <w:pStyle w:val="Heading3"/>
      </w:pPr>
      <w:bookmarkStart w:id="2357" w:name="section_1ab29481720e44548836b5dc27669415"/>
      <w:bookmarkStart w:id="2358" w:name="_Toc12261239"/>
      <w:r>
        <w:t>Part 1 Section 19.5.63, rgb (RGB)</w:t>
      </w:r>
      <w:bookmarkEnd w:id="2357"/>
      <w:bookmarkEnd w:id="2358"/>
      <w:r>
        <w:fldChar w:fldCharType="begin"/>
      </w:r>
      <w:r>
        <w:instrText xml:space="preserve"> XE "rgb (RGB)" </w:instrText>
      </w:r>
      <w:r>
        <w:fldChar w:fldCharType="end"/>
      </w:r>
    </w:p>
    <w:p w:rsidR="00024C0A" w:rsidRDefault="00694C0F">
      <w:pPr>
        <w:pStyle w:val="Definition-Field"/>
      </w:pPr>
      <w:r>
        <w:t xml:space="preserve">a.   </w:t>
      </w:r>
      <w:r>
        <w:rPr>
          <w:i/>
        </w:rPr>
        <w:t>The standard does not state how to interpret a negative r attribute value.</w:t>
      </w:r>
    </w:p>
    <w:p w:rsidR="00024C0A" w:rsidRDefault="00694C0F">
      <w:pPr>
        <w:pStyle w:val="Definition-Field2"/>
      </w:pPr>
      <w:r>
        <w:t>PowerPoint decreases the red color value when the r attribute</w:t>
      </w:r>
      <w:r>
        <w:t>'s value is negative.</w:t>
      </w:r>
    </w:p>
    <w:p w:rsidR="00024C0A" w:rsidRDefault="00694C0F">
      <w:pPr>
        <w:pStyle w:val="Definition-Field"/>
      </w:pPr>
      <w:r>
        <w:lastRenderedPageBreak/>
        <w:t xml:space="preserve">b.   </w:t>
      </w:r>
      <w:r>
        <w:rPr>
          <w:i/>
        </w:rPr>
        <w:t>The standard does not state how to interpret a negative g attribute value.</w:t>
      </w:r>
    </w:p>
    <w:p w:rsidR="00024C0A" w:rsidRDefault="00694C0F">
      <w:pPr>
        <w:pStyle w:val="Definition-Field2"/>
      </w:pPr>
      <w:r>
        <w:t>PowerPoint decreases the green color value when the g attribute's value is negative.</w:t>
      </w:r>
    </w:p>
    <w:p w:rsidR="00024C0A" w:rsidRDefault="00694C0F">
      <w:pPr>
        <w:pStyle w:val="Definition-Field"/>
      </w:pPr>
      <w:r>
        <w:t xml:space="preserve">c.   </w:t>
      </w:r>
      <w:r>
        <w:rPr>
          <w:i/>
        </w:rPr>
        <w:t>The standard does not state how to interpret a negative b attrib</w:t>
      </w:r>
      <w:r>
        <w:rPr>
          <w:i/>
        </w:rPr>
        <w:t>ute value.</w:t>
      </w:r>
    </w:p>
    <w:p w:rsidR="00024C0A" w:rsidRDefault="00694C0F">
      <w:pPr>
        <w:pStyle w:val="Definition-Field2"/>
      </w:pPr>
      <w:r>
        <w:t>PowerPoint decreases the blue color value when the b attribute's value is negative.</w:t>
      </w:r>
    </w:p>
    <w:p w:rsidR="00024C0A" w:rsidRDefault="00694C0F">
      <w:pPr>
        <w:pStyle w:val="Heading3"/>
      </w:pPr>
      <w:bookmarkStart w:id="2359" w:name="section_3247e7a595254e6b9ec29b598a8b2f4a"/>
      <w:bookmarkStart w:id="2360" w:name="_Toc12261240"/>
      <w:r>
        <w:t>Part 1 Section 19.5.65, seq (Sequence Time Node)</w:t>
      </w:r>
      <w:bookmarkEnd w:id="2359"/>
      <w:bookmarkEnd w:id="2360"/>
      <w:r>
        <w:fldChar w:fldCharType="begin"/>
      </w:r>
      <w:r>
        <w:instrText xml:space="preserve"> XE "seq (Sequence Time Node)"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024C0A" w:rsidRDefault="00694C0F">
      <w:pPr>
        <w:pStyle w:val="Heading3"/>
      </w:pPr>
      <w:bookmarkStart w:id="2361" w:name="section_10aa6fad89594041bd8c5e4fd918008f"/>
      <w:bookmarkStart w:id="2362" w:name="_Toc12261241"/>
      <w:r>
        <w:t>Part 1 Section 19.5.66, set (Set Time Node Behavior)</w:t>
      </w:r>
      <w:bookmarkEnd w:id="2361"/>
      <w:bookmarkEnd w:id="2362"/>
      <w:r>
        <w:fldChar w:fldCharType="begin"/>
      </w:r>
      <w:r>
        <w:instrText xml:space="preserve"> XE "set (Set Time Node Behavio</w:instrText>
      </w:r>
      <w:r>
        <w:instrText xml:space="preserve">r)"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024C0A" w:rsidRDefault="00694C0F">
      <w:pPr>
        <w:pStyle w:val="Definition-Field"/>
      </w:pPr>
      <w:r>
        <w:t xml:space="preserve">a.   </w:t>
      </w:r>
      <w:r>
        <w:rPr>
          <w:i/>
        </w:rPr>
        <w:t>The standard places no restrictions on the number of attrName child ele</w:t>
      </w:r>
      <w:r>
        <w:rPr>
          <w:i/>
        </w:rPr>
        <w:t>ments parented by the attrNameLst element when inside the set element.</w:t>
      </w:r>
    </w:p>
    <w:p w:rsidR="00024C0A" w:rsidRDefault="00694C0F">
      <w:pPr>
        <w:pStyle w:val="Definition-Field2"/>
      </w:pPr>
      <w:r>
        <w:t>PowerPoint requires that there be at least one attrName child element of the attrNameLst element when inside a set element; if more than one attrName child element exists, only the firs</w:t>
      </w:r>
      <w:r>
        <w:t>t will be used.</w:t>
      </w:r>
    </w:p>
    <w:p w:rsidR="00024C0A" w:rsidRDefault="00694C0F">
      <w:pPr>
        <w:pStyle w:val="Heading3"/>
      </w:pPr>
      <w:bookmarkStart w:id="2363" w:name="section_97031c34d08441cabd6bd861582b1ba4"/>
      <w:bookmarkStart w:id="2364" w:name="_Toc12261242"/>
      <w:r>
        <w:t>Part 1 Section 19.5.67, sldTgt (Slide Target)</w:t>
      </w:r>
      <w:bookmarkEnd w:id="2363"/>
      <w:bookmarkEnd w:id="2364"/>
      <w:r>
        <w:fldChar w:fldCharType="begin"/>
      </w:r>
      <w:r>
        <w:instrText xml:space="preserve"> XE "sldTgt (Slide Target)" </w:instrText>
      </w:r>
      <w:r>
        <w:fldChar w:fldCharType="end"/>
      </w:r>
    </w:p>
    <w:p w:rsidR="00024C0A" w:rsidRDefault="00694C0F">
      <w:pPr>
        <w:pStyle w:val="Definition-Field"/>
      </w:pPr>
      <w:r>
        <w:t xml:space="preserve">a.   </w:t>
      </w:r>
      <w:r>
        <w:rPr>
          <w:i/>
        </w:rPr>
        <w:t>The standard places no restrictions on when the sldTgt element is to be used.</w:t>
      </w:r>
    </w:p>
    <w:p w:rsidR="00024C0A" w:rsidRDefault="00694C0F">
      <w:pPr>
        <w:pStyle w:val="Definition-Field2"/>
      </w:pPr>
      <w:r>
        <w:t xml:space="preserve">PowerPoint will only use this element when it is grandparented by a cond element </w:t>
      </w:r>
      <w:r>
        <w:t>with its evt attribute set to onPrev, onNext, or onStopAudio.</w:t>
      </w:r>
    </w:p>
    <w:p w:rsidR="00024C0A" w:rsidRDefault="00694C0F">
      <w:pPr>
        <w:pStyle w:val="Heading3"/>
      </w:pPr>
      <w:bookmarkStart w:id="2365" w:name="section_894705b6965549e3a6c654600f99f7f4"/>
      <w:bookmarkStart w:id="2366" w:name="_Toc12261243"/>
      <w:r>
        <w:t>Part 1 Section 19.5.72, spTgt (Shape Target)</w:t>
      </w:r>
      <w:bookmarkEnd w:id="2365"/>
      <w:bookmarkEnd w:id="2366"/>
      <w:r>
        <w:fldChar w:fldCharType="begin"/>
      </w:r>
      <w:r>
        <w:instrText xml:space="preserve"> XE "spTgt (Shape Target)" </w:instrText>
      </w:r>
      <w:r>
        <w:fldChar w:fldCharType="end"/>
      </w:r>
    </w:p>
    <w:p w:rsidR="00024C0A" w:rsidRDefault="00694C0F">
      <w:pPr>
        <w:pStyle w:val="Definition-Field"/>
      </w:pPr>
      <w:r>
        <w:t xml:space="preserve">a.   </w:t>
      </w:r>
      <w:r>
        <w:rPr>
          <w:i/>
        </w:rPr>
        <w:t>The standard places no restrictions on what the spid attribute refers to.</w:t>
      </w:r>
    </w:p>
    <w:p w:rsidR="00024C0A" w:rsidRDefault="00694C0F">
      <w:pPr>
        <w:pStyle w:val="Definition-Field2"/>
      </w:pPr>
      <w:r>
        <w:t>PowerPoint requires that the spid attribu</w:t>
      </w:r>
      <w:r>
        <w:t>te refer to a cxnSp element, a graphicFrame element, a grpSp element, a pic element, or an sp element on the current slide.</w:t>
      </w:r>
    </w:p>
    <w:p w:rsidR="00024C0A" w:rsidRDefault="00694C0F">
      <w:pPr>
        <w:pStyle w:val="Definition-Field"/>
      </w:pPr>
      <w:r>
        <w:t xml:space="preserve">b.   </w:t>
      </w:r>
      <w:r>
        <w:rPr>
          <w:i/>
        </w:rPr>
        <w:t>The standard does not specify how the graphicEl, oleChartEl, subSp, and txtEl child elements are to be used.</w:t>
      </w:r>
    </w:p>
    <w:p w:rsidR="00024C0A" w:rsidRDefault="00694C0F">
      <w:pPr>
        <w:pStyle w:val="Definition-Field2"/>
      </w:pPr>
      <w:r>
        <w:t>PowerPoint uses th</w:t>
      </w:r>
      <w:r>
        <w:t>e graphicEl, oleChartEl, and subSp child elements to specify graphical elements to animate within a graphicFrame element; it uses the txtEl child element to specify the text elements to animate within an sp element.</w:t>
      </w:r>
    </w:p>
    <w:p w:rsidR="00024C0A" w:rsidRDefault="00694C0F">
      <w:pPr>
        <w:pStyle w:val="Heading3"/>
      </w:pPr>
      <w:bookmarkStart w:id="2367" w:name="section_d83ab468be034be6a1063de1614ea5df"/>
      <w:bookmarkStart w:id="2368" w:name="_Toc12261244"/>
      <w:r>
        <w:t>Part 1 Section 19.5.77, subSp (Subshape)</w:t>
      </w:r>
      <w:bookmarkEnd w:id="2367"/>
      <w:bookmarkEnd w:id="2368"/>
      <w:r>
        <w:fldChar w:fldCharType="begin"/>
      </w:r>
      <w:r>
        <w:instrText xml:space="preserve"> XE "subSp (Subshape)"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06a5cea1078b41cd8c26ef1db3ed3733">
        <w:r>
          <w:rPr>
            <w:rStyle w:val="Hyperlink"/>
          </w:rPr>
          <w:t>inkTgt, §19.5.47(a)</w:t>
        </w:r>
      </w:hyperlink>
      <w:r>
        <w:rPr>
          <w:i/>
        </w:rPr>
        <w:t>.</w:t>
      </w:r>
    </w:p>
    <w:p w:rsidR="00024C0A" w:rsidRDefault="00694C0F">
      <w:pPr>
        <w:pStyle w:val="Definition-Field"/>
      </w:pPr>
      <w:r>
        <w:t xml:space="preserve">a.   </w:t>
      </w:r>
      <w:r>
        <w:rPr>
          <w:i/>
        </w:rPr>
        <w:t>The standard places no restrictions on what the spi</w:t>
      </w:r>
      <w:r>
        <w:rPr>
          <w:i/>
        </w:rPr>
        <w:t>d attribute refers to.</w:t>
      </w:r>
    </w:p>
    <w:p w:rsidR="00024C0A" w:rsidRDefault="00694C0F">
      <w:pPr>
        <w:pStyle w:val="Definition-Field2"/>
      </w:pPr>
      <w:r>
        <w:t>PowerPoint requires that the spid attribute reference a valid shape that is present both on the current slide and on the diagram referred to by the spid attribute of the parent spTgt element.</w:t>
      </w:r>
    </w:p>
    <w:p w:rsidR="00024C0A" w:rsidRDefault="00694C0F">
      <w:pPr>
        <w:pStyle w:val="Definition-Field"/>
      </w:pPr>
      <w:r>
        <w:t xml:space="preserve">b.   </w:t>
      </w:r>
      <w:r>
        <w:rPr>
          <w:i/>
        </w:rPr>
        <w:t xml:space="preserve">The standard places no restrictions </w:t>
      </w:r>
      <w:r>
        <w:rPr>
          <w:i/>
        </w:rPr>
        <w:t>on the parent spTgt element of the subSp element.</w:t>
      </w:r>
    </w:p>
    <w:p w:rsidR="00024C0A" w:rsidRDefault="00694C0F">
      <w:pPr>
        <w:pStyle w:val="Definition-Field2"/>
      </w:pPr>
      <w:r>
        <w:lastRenderedPageBreak/>
        <w:t>PowerPoint requires that the parent element target a legacy diagram.</w:t>
      </w:r>
    </w:p>
    <w:p w:rsidR="00024C0A" w:rsidRDefault="00694C0F">
      <w:pPr>
        <w:pStyle w:val="Heading3"/>
      </w:pPr>
      <w:bookmarkStart w:id="2369" w:name="section_f11e90f5055843bd895071da5f115bb5"/>
      <w:bookmarkStart w:id="2370" w:name="_Toc12261245"/>
      <w:r>
        <w:t>Part 1 Section 19.5.78, subTnLst (Sub-TimeNodes List)</w:t>
      </w:r>
      <w:bookmarkEnd w:id="2369"/>
      <w:bookmarkEnd w:id="2370"/>
      <w:r>
        <w:fldChar w:fldCharType="begin"/>
      </w:r>
      <w:r>
        <w:instrText xml:space="preserve"> XE "subTnLst (Sub-TimeNodes List)" </w:instrText>
      </w:r>
      <w:r>
        <w:fldChar w:fldCharType="end"/>
      </w:r>
    </w:p>
    <w:p w:rsidR="00024C0A" w:rsidRDefault="00694C0F">
      <w:pPr>
        <w:pStyle w:val="Definition-Field"/>
      </w:pPr>
      <w:r>
        <w:t xml:space="preserve">a.   </w:t>
      </w:r>
      <w:r>
        <w:rPr>
          <w:i/>
        </w:rPr>
        <w:t xml:space="preserve">The standard states that the subTnLst </w:t>
      </w:r>
      <w:r>
        <w:rPr>
          <w:i/>
        </w:rPr>
        <w:t>element describes time nodes that have a start time which is not based on the containing timenode.</w:t>
      </w:r>
    </w:p>
    <w:p w:rsidR="00024C0A" w:rsidRDefault="00694C0F">
      <w:r>
        <w:t>In PowerPoint, this element is only used when applied to nodes of depth 5 within the Slide Timing tree ("</w:t>
      </w:r>
      <w:hyperlink r:id="rId158">
        <w:r>
          <w:rPr>
            <w:rStyle w:val="Hyperlink"/>
          </w:rPr>
          <w:t>[ISO/IEC-29500-1]</w:t>
        </w:r>
      </w:hyperlink>
      <w:r>
        <w:t xml:space="preserve"> §19.3.1.48; timing").  The root element within the Time Node List ("[ISO/IEC-29500-1] §19.5.87; tnLst") shall be a par element and this subTnLst element shall only be used when contained within seq child element of this root</w:t>
      </w:r>
      <w:r>
        <w:t xml:space="preserve"> element.  </w:t>
      </w:r>
    </w:p>
    <w:p w:rsidR="00024C0A" w:rsidRDefault="00694C0F">
      <w:r>
        <w:t>The Target Element ("[ISO/IEC-29500-1] §19.5.81; tgtEl") contained within any anim, animClr, animEffect, animMotion, animRot, animScale, or set child element of subTnLst shall have either a Sound Target ("[ISO/IEC-29500-1] §19.5.70; sndTgt") or</w:t>
      </w:r>
      <w:r>
        <w:t xml:space="preserve"> a Shape Target ("[ISO/IEC-29500-1] §19.5.72; spTgt") child element.</w:t>
      </w:r>
    </w:p>
    <w:p w:rsidR="00024C0A" w:rsidRDefault="00694C0F">
      <w:r>
        <w:t>The Target Element ("[ISO/IEC-29500-1] §19.5.81; tgtEl") contained within an audio or video child element shall have either a Shape Target ("[ISO/IEC-29500-1] §19.5.72; spTgt") child elem</w:t>
      </w:r>
      <w:r>
        <w:t>ent that references a valid media shape or a Sound Target ("[ISO/IEC-29500-1] §19.5.70; sndTgt") that references a valid sound target.</w:t>
      </w:r>
    </w:p>
    <w:p w:rsidR="00024C0A" w:rsidRDefault="00694C0F">
      <w:r>
        <w:t>Any excl, par or seq child element shall have at least one cmd, anim, animClr, animEffect, animMotion, animRot, animScale</w:t>
      </w:r>
      <w:r>
        <w:t>, set, audio, or video child element. The first of these child elements shall have either a Sound Target ("[ISO/IEC-29500-1] §19.5.70; sndTgt") or a Shape Target ("[ISO/IEC-29500-1] §19.5.72; spTgt") child element.</w:t>
      </w:r>
    </w:p>
    <w:p w:rsidR="00024C0A" w:rsidRDefault="00694C0F">
      <w:pPr>
        <w:pStyle w:val="Heading3"/>
      </w:pPr>
      <w:bookmarkStart w:id="2371" w:name="section_255410110cf2436b8e417dfd8fba6faf"/>
      <w:bookmarkStart w:id="2372" w:name="_Toc12261246"/>
      <w:r>
        <w:t>Part 1 Section 19.5.84, tmpl (Template Ef</w:t>
      </w:r>
      <w:r>
        <w:t>fects)</w:t>
      </w:r>
      <w:bookmarkEnd w:id="2371"/>
      <w:bookmarkEnd w:id="2372"/>
      <w:r>
        <w:fldChar w:fldCharType="begin"/>
      </w:r>
      <w:r>
        <w:instrText xml:space="preserve"> XE "tmpl (Template Effects)" </w:instrText>
      </w:r>
      <w:r>
        <w:fldChar w:fldCharType="end"/>
      </w:r>
    </w:p>
    <w:p w:rsidR="00024C0A" w:rsidRDefault="00694C0F">
      <w:pPr>
        <w:pStyle w:val="Definition-Field"/>
      </w:pPr>
      <w:r>
        <w:t xml:space="preserve">a.   </w:t>
      </w:r>
      <w:r>
        <w:rPr>
          <w:i/>
        </w:rPr>
        <w:t>The standard places no restrictions on the relationship between tmpl elements parented by the same tmplLst element.</w:t>
      </w:r>
    </w:p>
    <w:p w:rsidR="00024C0A" w:rsidRDefault="00694C0F">
      <w:pPr>
        <w:pStyle w:val="Definition-Field2"/>
      </w:pPr>
      <w:r>
        <w:t xml:space="preserve">PowerPoint requires that each tmpl element within the same parent tmplLst element have a unique </w:t>
      </w:r>
      <w:r>
        <w:t>lvl attribute value.</w:t>
      </w:r>
    </w:p>
    <w:p w:rsidR="00024C0A" w:rsidRDefault="00694C0F">
      <w:pPr>
        <w:pStyle w:val="Heading3"/>
      </w:pPr>
      <w:bookmarkStart w:id="2373" w:name="section_3da02aff9dc64878be81118938641c43"/>
      <w:bookmarkStart w:id="2374" w:name="_Toc12261247"/>
      <w:r>
        <w:t>Part 1 Section 19.5.85, tmplLst (Template effects)</w:t>
      </w:r>
      <w:bookmarkEnd w:id="2373"/>
      <w:bookmarkEnd w:id="2374"/>
      <w:r>
        <w:fldChar w:fldCharType="begin"/>
      </w:r>
      <w:r>
        <w:instrText xml:space="preserve"> XE "tmplLst (Template effects)" </w:instrText>
      </w:r>
      <w:r>
        <w:fldChar w:fldCharType="end"/>
      </w:r>
    </w:p>
    <w:p w:rsidR="00024C0A" w:rsidRDefault="00694C0F">
      <w:pPr>
        <w:pStyle w:val="Definition-Field"/>
      </w:pPr>
      <w:r>
        <w:t xml:space="preserve">a.   </w:t>
      </w:r>
      <w:r>
        <w:rPr>
          <w:i/>
        </w:rPr>
        <w:t>The standard places no restrictions on when the tmpLst element is to be used.</w:t>
      </w:r>
    </w:p>
    <w:p w:rsidR="00024C0A" w:rsidRDefault="00694C0F">
      <w:pPr>
        <w:pStyle w:val="Definition-Field2"/>
      </w:pPr>
      <w:r>
        <w:t>PowerPoint will only use this element when it refers to a ph eleme</w:t>
      </w:r>
      <w:r>
        <w:t>nt inside a sldLayout element or a sldMaster element.</w:t>
      </w:r>
    </w:p>
    <w:p w:rsidR="00024C0A" w:rsidRDefault="00694C0F">
      <w:pPr>
        <w:pStyle w:val="Heading3"/>
      </w:pPr>
      <w:bookmarkStart w:id="2375" w:name="section_5516734500ff4d39b4a86ca61d86227a"/>
      <w:bookmarkStart w:id="2376" w:name="_Toc12261248"/>
      <w:r>
        <w:t>Part 1 Section 19.5.87, tnLst (Time Node List)</w:t>
      </w:r>
      <w:bookmarkEnd w:id="2375"/>
      <w:bookmarkEnd w:id="2376"/>
      <w:r>
        <w:fldChar w:fldCharType="begin"/>
      </w:r>
      <w:r>
        <w:instrText xml:space="preserve"> XE "tnLst (Time Node List)" </w:instrText>
      </w:r>
      <w:r>
        <w:fldChar w:fldCharType="end"/>
      </w:r>
    </w:p>
    <w:p w:rsidR="00024C0A" w:rsidRDefault="00694C0F">
      <w:pPr>
        <w:pStyle w:val="Definition-Field"/>
      </w:pPr>
      <w:r>
        <w:t xml:space="preserve">a.   </w:t>
      </w:r>
      <w:r>
        <w:rPr>
          <w:i/>
        </w:rPr>
        <w:t>The standard states that the child list of the tnLst element is unbounded.</w:t>
      </w:r>
    </w:p>
    <w:p w:rsidR="00024C0A" w:rsidRDefault="00694C0F">
      <w:pPr>
        <w:pStyle w:val="Definition-Field2"/>
      </w:pPr>
      <w:r>
        <w:t>PowerPoint does not support more than one ch</w:t>
      </w:r>
      <w:r>
        <w:t>ild element in the tnLst.</w:t>
      </w:r>
    </w:p>
    <w:p w:rsidR="00024C0A" w:rsidRDefault="00694C0F">
      <w:pPr>
        <w:pStyle w:val="Definition-Field"/>
      </w:pPr>
      <w:r>
        <w:t xml:space="preserve">b.   </w:t>
      </w:r>
      <w:r>
        <w:rPr>
          <w:i/>
        </w:rPr>
        <w:t>The standard states that the anim, animClr, animEffect, animMotion, animRot, animScale, audio, cmd, excl, seq, set, and video elements are valid child elements of the tnLst element.</w:t>
      </w:r>
    </w:p>
    <w:p w:rsidR="00024C0A" w:rsidRDefault="00694C0F">
      <w:pPr>
        <w:pStyle w:val="Definition-Field2"/>
      </w:pPr>
      <w:r>
        <w:t>PowerPoint does not allow these elements to</w:t>
      </w:r>
      <w:r>
        <w:t xml:space="preserve"> be child elements of the tnLst element.</w:t>
      </w:r>
    </w:p>
    <w:p w:rsidR="00024C0A" w:rsidRDefault="00694C0F">
      <w:pPr>
        <w:pStyle w:val="Definition-Field"/>
      </w:pPr>
      <w:r>
        <w:t xml:space="preserve">c.   </w:t>
      </w:r>
      <w:r>
        <w:rPr>
          <w:i/>
        </w:rPr>
        <w:t>The standard places no restrictions on the time nodes at a depth of five in the timing tree defined by the child element of the tnLst element.</w:t>
      </w:r>
    </w:p>
    <w:p w:rsidR="00024C0A" w:rsidRDefault="00694C0F">
      <w:r>
        <w:t>The child of this element is the root time node in the timing tree.</w:t>
      </w:r>
      <w:r>
        <w:t xml:space="preserve">  A node at depth 5 in the timing tree shall meet at least one of the following criteria:</w:t>
      </w:r>
    </w:p>
    <w:p w:rsidR="00024C0A" w:rsidRDefault="00694C0F">
      <w:pPr>
        <w:pStyle w:val="ListParagraph"/>
        <w:numPr>
          <w:ilvl w:val="0"/>
          <w:numId w:val="129"/>
        </w:numPr>
        <w:contextualSpacing/>
      </w:pPr>
      <w:r>
        <w:lastRenderedPageBreak/>
        <w:t>Be a behavior node (a node with cBhvr ("</w:t>
      </w:r>
      <w:hyperlink r:id="rId159">
        <w:r>
          <w:rPr>
            <w:rStyle w:val="Hyperlink"/>
          </w:rPr>
          <w:t>[ISO/IEC-29500-1]</w:t>
        </w:r>
      </w:hyperlink>
      <w:r>
        <w:t xml:space="preserve"> §19.5.22; cBhvr")  as a child element) and</w:t>
      </w:r>
      <w:r>
        <w:t xml:space="preserve"> contain a valid reference to a &lt;tgtEl&gt;.</w:t>
      </w:r>
    </w:p>
    <w:p w:rsidR="00024C0A" w:rsidRDefault="00694C0F">
      <w:pPr>
        <w:pStyle w:val="ListParagraph"/>
        <w:numPr>
          <w:ilvl w:val="0"/>
          <w:numId w:val="129"/>
        </w:numPr>
      </w:pPr>
      <w:r>
        <w:t>Have at least one child element that is a behavior node, the first of which shall contain a valid reference to a &lt;tgtEl&gt;.</w:t>
      </w:r>
    </w:p>
    <w:p w:rsidR="00024C0A" w:rsidRDefault="00694C0F">
      <w:pPr>
        <w:pStyle w:val="Heading3"/>
      </w:pPr>
      <w:bookmarkStart w:id="2377" w:name="section_9d0fa0e7b3734de0be8e85b0922d7204"/>
      <w:bookmarkStart w:id="2378" w:name="_Toc12261249"/>
      <w:r>
        <w:t>Part 1 Section 19.5.88, to (To)</w:t>
      </w:r>
      <w:bookmarkEnd w:id="2377"/>
      <w:bookmarkEnd w:id="2378"/>
      <w:r>
        <w:fldChar w:fldCharType="begin"/>
      </w:r>
      <w:r>
        <w:instrText xml:space="preserve"> XE "to (To)" </w:instrText>
      </w:r>
      <w:r>
        <w:fldChar w:fldCharType="end"/>
      </w:r>
    </w:p>
    <w:p w:rsidR="00024C0A" w:rsidRDefault="00694C0F">
      <w:pPr>
        <w:pStyle w:val="Definition-Field2"/>
      </w:pPr>
      <w:r>
        <w:rPr>
          <w:i/>
        </w:rPr>
        <w:t>For additional notes that apply to this porti</w:t>
      </w:r>
      <w:r>
        <w:rPr>
          <w:i/>
        </w:rPr>
        <w:t xml:space="preserve">on of the standard, please see the notes for </w:t>
      </w:r>
      <w:hyperlink w:anchor="Section_376276c2d99a446084d99a1a45b2bd14">
        <w:r>
          <w:rPr>
            <w:rStyle w:val="Hyperlink"/>
          </w:rPr>
          <w:t>rCtr, §19.5.62(a)</w:t>
        </w:r>
      </w:hyperlink>
      <w:r>
        <w:rPr>
          <w:i/>
        </w:rPr>
        <w:t>.</w:t>
      </w:r>
    </w:p>
    <w:p w:rsidR="00024C0A" w:rsidRDefault="00694C0F">
      <w:pPr>
        <w:pStyle w:val="Definition-Field"/>
      </w:pPr>
      <w:r>
        <w:t xml:space="preserve">a.   </w:t>
      </w:r>
      <w:r>
        <w:rPr>
          <w:i/>
        </w:rPr>
        <w:t>The standard states that the x attribute and the y attribute describe coordinates.</w:t>
      </w:r>
    </w:p>
    <w:p w:rsidR="00024C0A" w:rsidRDefault="00694C0F">
      <w:pPr>
        <w:pStyle w:val="Definition-Field2"/>
      </w:pPr>
      <w:r>
        <w:t>PowerPoint uses these attributes to speci</w:t>
      </w:r>
      <w:r>
        <w:t>fy the slide size percentage change when the to element is parented by the animMotion element, and the animated object size percentage change when the to element is parented by the animScale element.</w:t>
      </w:r>
    </w:p>
    <w:p w:rsidR="00024C0A" w:rsidRDefault="00694C0F">
      <w:pPr>
        <w:pStyle w:val="Definition-Field"/>
      </w:pPr>
      <w:r>
        <w:t xml:space="preserve">b.   </w:t>
      </w:r>
      <w:r>
        <w:rPr>
          <w:i/>
        </w:rPr>
        <w:t>The standard states that the x and y attribute valu</w:t>
      </w:r>
      <w:r>
        <w:rPr>
          <w:i/>
        </w:rPr>
        <w:t>es are defined as simple type ST_Percentage.</w:t>
      </w:r>
    </w:p>
    <w:p w:rsidR="00024C0A" w:rsidRDefault="00694C0F">
      <w:r>
        <w:t>When used in animMotion, the attributes, x and y, are values of slide percentage and the valid range is between -2147483625 and 2147483625. When used in animScale, the attributes, x and y, are values of size per</w:t>
      </w:r>
      <w:r>
        <w:t>centage and the valid range is between 0 and 2147483625.</w:t>
      </w:r>
    </w:p>
    <w:p w:rsidR="00024C0A" w:rsidRDefault="00694C0F">
      <w:r>
        <w:t>If the x or y values are less than -16384000 or greater than 16384000 there will be some loss of precision due to internal calculations.</w:t>
      </w:r>
    </w:p>
    <w:p w:rsidR="00024C0A" w:rsidRDefault="00694C0F">
      <w:pPr>
        <w:pStyle w:val="Heading3"/>
      </w:pPr>
      <w:bookmarkStart w:id="2379" w:name="section_0b35ab0b202941808a768d784dac1d2b"/>
      <w:bookmarkStart w:id="2380" w:name="_Toc12261250"/>
      <w:r>
        <w:t>Part 1 Section 19.5.89, to (To)</w:t>
      </w:r>
      <w:bookmarkEnd w:id="2379"/>
      <w:bookmarkEnd w:id="2380"/>
      <w:r>
        <w:fldChar w:fldCharType="begin"/>
      </w:r>
      <w:r>
        <w:instrText xml:space="preserve"> XE "to (To)" </w:instrText>
      </w:r>
      <w:r>
        <w:fldChar w:fldCharType="end"/>
      </w:r>
    </w:p>
    <w:p w:rsidR="00024C0A" w:rsidRDefault="00694C0F">
      <w:pPr>
        <w:pStyle w:val="Definition-Field"/>
      </w:pPr>
      <w:r>
        <w:t xml:space="preserve">a.   </w:t>
      </w:r>
      <w:r>
        <w:rPr>
          <w:i/>
        </w:rPr>
        <w:t>The stand</w:t>
      </w:r>
      <w:r>
        <w:rPr>
          <w:i/>
        </w:rPr>
        <w:t>ard states that the to element specifies the attribute of the time node after the animation.</w:t>
      </w:r>
    </w:p>
    <w:p w:rsidR="00024C0A" w:rsidRDefault="00694C0F">
      <w:r>
        <w:t>For PowerPoint, the following table specifies the strVal value presets that must be used when the corresponding attribute names are used. The supported attribute n</w:t>
      </w:r>
      <w:r>
        <w:t>ames are listed in the attrName element ("</w:t>
      </w:r>
      <w:hyperlink r:id="rId160">
        <w:r>
          <w:rPr>
            <w:rStyle w:val="Hyperlink"/>
          </w:rPr>
          <w:t>[ISO/IEC-29500-1]</w:t>
        </w:r>
      </w:hyperlink>
      <w:r>
        <w:t xml:space="preserve"> §19.5.7; attrName").</w:t>
      </w:r>
    </w:p>
    <w:tbl>
      <w:tblPr>
        <w:tblStyle w:val="Table-ShadedHeader"/>
        <w:tblW w:w="0" w:type="auto"/>
        <w:tblLook w:val="04A0" w:firstRow="1" w:lastRow="0" w:firstColumn="1" w:lastColumn="0" w:noHBand="0" w:noVBand="1"/>
      </w:tblPr>
      <w:tblGrid>
        <w:gridCol w:w="2851"/>
        <w:gridCol w:w="6624"/>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attrName(Attribute Name)</w:t>
            </w:r>
          </w:p>
        </w:tc>
        <w:tc>
          <w:tcPr>
            <w:tcW w:w="0" w:type="auto"/>
            <w:vAlign w:val="center"/>
          </w:tcPr>
          <w:p w:rsidR="00024C0A" w:rsidRDefault="00694C0F">
            <w:pPr>
              <w:pStyle w:val="TableHeaderText"/>
            </w:pPr>
            <w:r>
              <w:t>strVal Value Preset</w:t>
            </w:r>
          </w:p>
        </w:tc>
      </w:tr>
      <w:tr w:rsidR="00024C0A" w:rsidTr="00024C0A">
        <w:tc>
          <w:tcPr>
            <w:tcW w:w="0" w:type="auto"/>
            <w:vAlign w:val="center"/>
          </w:tcPr>
          <w:p w:rsidR="00024C0A" w:rsidRDefault="00694C0F">
            <w:pPr>
              <w:pStyle w:val="TableBodyText"/>
            </w:pPr>
            <w:r>
              <w:t>style.visibility</w:t>
            </w:r>
          </w:p>
        </w:tc>
        <w:tc>
          <w:tcPr>
            <w:tcW w:w="0" w:type="auto"/>
            <w:vAlign w:val="center"/>
          </w:tcPr>
          <w:p w:rsidR="00024C0A" w:rsidRDefault="00694C0F">
            <w:pPr>
              <w:pStyle w:val="TableBodyText"/>
            </w:pPr>
            <w:r>
              <w:t>“hidden”, “visible”</w:t>
            </w:r>
          </w:p>
        </w:tc>
      </w:tr>
      <w:tr w:rsidR="00024C0A" w:rsidTr="00024C0A">
        <w:tc>
          <w:tcPr>
            <w:tcW w:w="0" w:type="auto"/>
            <w:vAlign w:val="center"/>
          </w:tcPr>
          <w:p w:rsidR="00024C0A" w:rsidRDefault="00694C0F">
            <w:pPr>
              <w:pStyle w:val="TableBodyText"/>
            </w:pPr>
            <w:r>
              <w:t>style.fontWeight</w:t>
            </w:r>
          </w:p>
        </w:tc>
        <w:tc>
          <w:tcPr>
            <w:tcW w:w="0" w:type="auto"/>
            <w:vAlign w:val="center"/>
          </w:tcPr>
          <w:p w:rsidR="00024C0A" w:rsidRDefault="00694C0F">
            <w:pPr>
              <w:pStyle w:val="TableBodyText"/>
            </w:pPr>
            <w:r>
              <w:t xml:space="preserve">“none”, </w:t>
            </w:r>
            <w:r>
              <w:t>“normal”, “bold”</w:t>
            </w:r>
          </w:p>
        </w:tc>
      </w:tr>
      <w:tr w:rsidR="00024C0A" w:rsidTr="00024C0A">
        <w:tc>
          <w:tcPr>
            <w:tcW w:w="0" w:type="auto"/>
            <w:vAlign w:val="center"/>
          </w:tcPr>
          <w:p w:rsidR="00024C0A" w:rsidRDefault="00694C0F">
            <w:pPr>
              <w:pStyle w:val="TableBodyText"/>
            </w:pPr>
            <w:r>
              <w:t>style.fontStyle</w:t>
            </w:r>
          </w:p>
        </w:tc>
        <w:tc>
          <w:tcPr>
            <w:tcW w:w="0" w:type="auto"/>
            <w:vAlign w:val="center"/>
          </w:tcPr>
          <w:p w:rsidR="00024C0A" w:rsidRDefault="00694C0F">
            <w:pPr>
              <w:pStyle w:val="TableBodyText"/>
            </w:pPr>
            <w:r>
              <w:t>“none”, “normal”, “italic”</w:t>
            </w:r>
          </w:p>
        </w:tc>
      </w:tr>
      <w:tr w:rsidR="00024C0A" w:rsidTr="00024C0A">
        <w:tc>
          <w:tcPr>
            <w:tcW w:w="0" w:type="auto"/>
            <w:vAlign w:val="center"/>
          </w:tcPr>
          <w:p w:rsidR="00024C0A" w:rsidRDefault="00694C0F">
            <w:pPr>
              <w:pStyle w:val="TableBodyText"/>
            </w:pPr>
            <w:r>
              <w:t>style.textEffectEmboss</w:t>
            </w:r>
          </w:p>
        </w:tc>
        <w:tc>
          <w:tcPr>
            <w:tcW w:w="0" w:type="auto"/>
            <w:vAlign w:val="center"/>
          </w:tcPr>
          <w:p w:rsidR="00024C0A" w:rsidRDefault="00694C0F">
            <w:pPr>
              <w:pStyle w:val="TableBodyText"/>
            </w:pPr>
            <w:r>
              <w:t>“none”, “normal”, “emboss”</w:t>
            </w:r>
          </w:p>
        </w:tc>
      </w:tr>
      <w:tr w:rsidR="00024C0A" w:rsidTr="00024C0A">
        <w:tc>
          <w:tcPr>
            <w:tcW w:w="0" w:type="auto"/>
            <w:vAlign w:val="center"/>
          </w:tcPr>
          <w:p w:rsidR="00024C0A" w:rsidRDefault="00694C0F">
            <w:pPr>
              <w:pStyle w:val="TableBodyText"/>
            </w:pPr>
            <w:r>
              <w:t>style.textShadow</w:t>
            </w:r>
          </w:p>
        </w:tc>
        <w:tc>
          <w:tcPr>
            <w:tcW w:w="0" w:type="auto"/>
            <w:vAlign w:val="center"/>
          </w:tcPr>
          <w:p w:rsidR="00024C0A" w:rsidRDefault="00694C0F">
            <w:pPr>
              <w:pStyle w:val="TableBodyText"/>
            </w:pPr>
            <w:r>
              <w:t>“none”, “normal”, “auto”</w:t>
            </w:r>
          </w:p>
        </w:tc>
      </w:tr>
      <w:tr w:rsidR="00024C0A" w:rsidTr="00024C0A">
        <w:tc>
          <w:tcPr>
            <w:tcW w:w="0" w:type="auto"/>
            <w:vAlign w:val="center"/>
          </w:tcPr>
          <w:p w:rsidR="00024C0A" w:rsidRDefault="00694C0F">
            <w:pPr>
              <w:pStyle w:val="TableBodyText"/>
            </w:pPr>
            <w:r>
              <w:t>style.textTransform</w:t>
            </w:r>
          </w:p>
        </w:tc>
        <w:tc>
          <w:tcPr>
            <w:tcW w:w="0" w:type="auto"/>
            <w:vAlign w:val="center"/>
          </w:tcPr>
          <w:p w:rsidR="00024C0A" w:rsidRDefault="00694C0F">
            <w:pPr>
              <w:pStyle w:val="TableBodyText"/>
            </w:pPr>
            <w:r>
              <w:t>“none”, “normal”, “sub”, “super”</w:t>
            </w:r>
          </w:p>
        </w:tc>
      </w:tr>
      <w:tr w:rsidR="00024C0A" w:rsidTr="00024C0A">
        <w:tc>
          <w:tcPr>
            <w:tcW w:w="0" w:type="auto"/>
            <w:vAlign w:val="center"/>
          </w:tcPr>
          <w:p w:rsidR="00024C0A" w:rsidRDefault="00694C0F">
            <w:pPr>
              <w:pStyle w:val="TableBodyText"/>
            </w:pPr>
            <w:r>
              <w:t>style.textDecorationUnderline</w:t>
            </w:r>
          </w:p>
        </w:tc>
        <w:tc>
          <w:tcPr>
            <w:tcW w:w="0" w:type="auto"/>
            <w:vAlign w:val="center"/>
          </w:tcPr>
          <w:p w:rsidR="00024C0A" w:rsidRDefault="00694C0F">
            <w:pPr>
              <w:pStyle w:val="TableBodyText"/>
            </w:pPr>
            <w:r>
              <w:t>“false”, “true”</w:t>
            </w:r>
          </w:p>
        </w:tc>
      </w:tr>
      <w:tr w:rsidR="00024C0A" w:rsidTr="00024C0A">
        <w:tc>
          <w:tcPr>
            <w:tcW w:w="0" w:type="auto"/>
            <w:vAlign w:val="center"/>
          </w:tcPr>
          <w:p w:rsidR="00024C0A" w:rsidRDefault="00694C0F">
            <w:pPr>
              <w:pStyle w:val="TableBodyText"/>
            </w:pPr>
            <w:r>
              <w:t>style.textEffectOutline</w:t>
            </w:r>
          </w:p>
        </w:tc>
        <w:tc>
          <w:tcPr>
            <w:tcW w:w="0" w:type="auto"/>
            <w:vAlign w:val="center"/>
          </w:tcPr>
          <w:p w:rsidR="00024C0A" w:rsidRDefault="00694C0F">
            <w:pPr>
              <w:pStyle w:val="TableBodyText"/>
            </w:pPr>
            <w:r>
              <w:t>“false”, “true”</w:t>
            </w:r>
          </w:p>
        </w:tc>
      </w:tr>
      <w:tr w:rsidR="00024C0A" w:rsidTr="00024C0A">
        <w:tc>
          <w:tcPr>
            <w:tcW w:w="0" w:type="auto"/>
            <w:vAlign w:val="center"/>
          </w:tcPr>
          <w:p w:rsidR="00024C0A" w:rsidRDefault="00694C0F">
            <w:pPr>
              <w:pStyle w:val="TableBodyText"/>
            </w:pPr>
            <w:r>
              <w:t>style.textDecorationLineThrough</w:t>
            </w:r>
          </w:p>
        </w:tc>
        <w:tc>
          <w:tcPr>
            <w:tcW w:w="0" w:type="auto"/>
            <w:vAlign w:val="center"/>
          </w:tcPr>
          <w:p w:rsidR="00024C0A" w:rsidRDefault="00694C0F">
            <w:pPr>
              <w:pStyle w:val="TableBodyText"/>
            </w:pPr>
            <w:r>
              <w:t>“false”, “true”</w:t>
            </w:r>
          </w:p>
        </w:tc>
      </w:tr>
      <w:tr w:rsidR="00024C0A" w:rsidTr="00024C0A">
        <w:tc>
          <w:tcPr>
            <w:tcW w:w="0" w:type="auto"/>
            <w:vAlign w:val="center"/>
          </w:tcPr>
          <w:p w:rsidR="00024C0A" w:rsidRDefault="00694C0F">
            <w:pPr>
              <w:pStyle w:val="TableBodyText"/>
            </w:pPr>
            <w:r>
              <w:t>imageData.grayscale</w:t>
            </w:r>
          </w:p>
        </w:tc>
        <w:tc>
          <w:tcPr>
            <w:tcW w:w="0" w:type="auto"/>
            <w:vAlign w:val="center"/>
          </w:tcPr>
          <w:p w:rsidR="00024C0A" w:rsidRDefault="00694C0F">
            <w:pPr>
              <w:pStyle w:val="TableBodyText"/>
            </w:pPr>
            <w:r>
              <w:t>“false”, “true”</w:t>
            </w:r>
          </w:p>
        </w:tc>
      </w:tr>
      <w:tr w:rsidR="00024C0A" w:rsidTr="00024C0A">
        <w:tc>
          <w:tcPr>
            <w:tcW w:w="0" w:type="auto"/>
            <w:vAlign w:val="center"/>
          </w:tcPr>
          <w:p w:rsidR="00024C0A" w:rsidRDefault="00694C0F">
            <w:pPr>
              <w:pStyle w:val="TableBodyText"/>
            </w:pPr>
            <w:r>
              <w:t>fill.on</w:t>
            </w:r>
          </w:p>
        </w:tc>
        <w:tc>
          <w:tcPr>
            <w:tcW w:w="0" w:type="auto"/>
            <w:vAlign w:val="center"/>
          </w:tcPr>
          <w:p w:rsidR="00024C0A" w:rsidRDefault="00694C0F">
            <w:pPr>
              <w:pStyle w:val="TableBodyText"/>
            </w:pPr>
            <w:r>
              <w:t>“false”, “f”, “t”, “true”</w:t>
            </w:r>
          </w:p>
        </w:tc>
      </w:tr>
      <w:tr w:rsidR="00024C0A" w:rsidTr="00024C0A">
        <w:tc>
          <w:tcPr>
            <w:tcW w:w="0" w:type="auto"/>
            <w:vAlign w:val="center"/>
          </w:tcPr>
          <w:p w:rsidR="00024C0A" w:rsidRDefault="00694C0F">
            <w:pPr>
              <w:pStyle w:val="TableBodyText"/>
            </w:pPr>
            <w:r>
              <w:t>fill.type</w:t>
            </w:r>
          </w:p>
        </w:tc>
        <w:tc>
          <w:tcPr>
            <w:tcW w:w="0" w:type="auto"/>
            <w:vAlign w:val="center"/>
          </w:tcPr>
          <w:p w:rsidR="00024C0A" w:rsidRDefault="00694C0F">
            <w:pPr>
              <w:pStyle w:val="TableBodyText"/>
            </w:pPr>
            <w:r>
              <w:t>“solid”, “pattern”, “tile”, “frame”, “gradientUnscaled”, “gradient”, “gradientCente</w:t>
            </w:r>
            <w:r>
              <w:t>r”, “gradientRadial”, “gradientTile”, “background”</w:t>
            </w:r>
          </w:p>
        </w:tc>
      </w:tr>
      <w:tr w:rsidR="00024C0A" w:rsidTr="00024C0A">
        <w:tc>
          <w:tcPr>
            <w:tcW w:w="0" w:type="auto"/>
            <w:vAlign w:val="center"/>
          </w:tcPr>
          <w:p w:rsidR="00024C0A" w:rsidRDefault="00694C0F">
            <w:pPr>
              <w:pStyle w:val="TableBodyText"/>
            </w:pPr>
            <w:r>
              <w:lastRenderedPageBreak/>
              <w:t>fill.method</w:t>
            </w:r>
          </w:p>
        </w:tc>
        <w:tc>
          <w:tcPr>
            <w:tcW w:w="0" w:type="auto"/>
            <w:vAlign w:val="center"/>
          </w:tcPr>
          <w:p w:rsidR="00024C0A" w:rsidRDefault="00694C0F">
            <w:pPr>
              <w:pStyle w:val="TableBodyText"/>
            </w:pPr>
            <w:r>
              <w:t>“none”, “linear”, “sigma”, “any”</w:t>
            </w:r>
          </w:p>
        </w:tc>
      </w:tr>
      <w:tr w:rsidR="00024C0A" w:rsidTr="00024C0A">
        <w:tc>
          <w:tcPr>
            <w:tcW w:w="0" w:type="auto"/>
            <w:vAlign w:val="center"/>
          </w:tcPr>
          <w:p w:rsidR="00024C0A" w:rsidRDefault="00694C0F">
            <w:pPr>
              <w:pStyle w:val="TableBodyText"/>
            </w:pPr>
            <w:r>
              <w:t>stroke.on</w:t>
            </w:r>
          </w:p>
        </w:tc>
        <w:tc>
          <w:tcPr>
            <w:tcW w:w="0" w:type="auto"/>
            <w:vAlign w:val="center"/>
          </w:tcPr>
          <w:p w:rsidR="00024C0A" w:rsidRDefault="00694C0F">
            <w:pPr>
              <w:pStyle w:val="TableBodyText"/>
            </w:pPr>
            <w:r>
              <w:t>“false”, “f”, “t”, “true”</w:t>
            </w:r>
          </w:p>
        </w:tc>
      </w:tr>
      <w:tr w:rsidR="00024C0A" w:rsidTr="00024C0A">
        <w:tc>
          <w:tcPr>
            <w:tcW w:w="0" w:type="auto"/>
            <w:vAlign w:val="center"/>
          </w:tcPr>
          <w:p w:rsidR="00024C0A" w:rsidRDefault="00694C0F">
            <w:pPr>
              <w:pStyle w:val="TableBodyText"/>
            </w:pPr>
            <w:r>
              <w:t>stroke.linestyle</w:t>
            </w:r>
          </w:p>
        </w:tc>
        <w:tc>
          <w:tcPr>
            <w:tcW w:w="0" w:type="auto"/>
            <w:vAlign w:val="center"/>
          </w:tcPr>
          <w:p w:rsidR="00024C0A" w:rsidRDefault="00694C0F">
            <w:pPr>
              <w:pStyle w:val="TableBodyText"/>
            </w:pPr>
            <w:r>
              <w:t>“single”, “thinThin”, “thinThick”, “thickThin”, “thickBetweenThin”</w:t>
            </w:r>
          </w:p>
        </w:tc>
      </w:tr>
      <w:tr w:rsidR="00024C0A" w:rsidTr="00024C0A">
        <w:tc>
          <w:tcPr>
            <w:tcW w:w="0" w:type="auto"/>
            <w:vAlign w:val="center"/>
          </w:tcPr>
          <w:p w:rsidR="00024C0A" w:rsidRDefault="00694C0F">
            <w:pPr>
              <w:pStyle w:val="TableBodyText"/>
            </w:pPr>
            <w:r>
              <w:t>stroke.dashstyle</w:t>
            </w:r>
          </w:p>
        </w:tc>
        <w:tc>
          <w:tcPr>
            <w:tcW w:w="0" w:type="auto"/>
            <w:vAlign w:val="center"/>
          </w:tcPr>
          <w:p w:rsidR="00024C0A" w:rsidRDefault="00694C0F">
            <w:pPr>
              <w:pStyle w:val="TableBodyText"/>
            </w:pPr>
            <w:r>
              <w:t xml:space="preserve">“solid”, “dot”, </w:t>
            </w:r>
            <w:r>
              <w:t>“dash”, “dashDot”, “longDash”, “longDashDot”, “longDashDotDot”</w:t>
            </w:r>
          </w:p>
        </w:tc>
      </w:tr>
      <w:tr w:rsidR="00024C0A" w:rsidTr="00024C0A">
        <w:tc>
          <w:tcPr>
            <w:tcW w:w="0" w:type="auto"/>
            <w:vAlign w:val="center"/>
          </w:tcPr>
          <w:p w:rsidR="00024C0A" w:rsidRDefault="00694C0F">
            <w:pPr>
              <w:pStyle w:val="TableBodyText"/>
            </w:pPr>
            <w:r>
              <w:t>stroke.filltype</w:t>
            </w:r>
          </w:p>
        </w:tc>
        <w:tc>
          <w:tcPr>
            <w:tcW w:w="0" w:type="auto"/>
            <w:vAlign w:val="center"/>
          </w:tcPr>
          <w:p w:rsidR="00024C0A" w:rsidRDefault="00694C0F">
            <w:pPr>
              <w:pStyle w:val="TableBodyText"/>
            </w:pPr>
            <w:r>
              <w:t>“solid”, “tile”, “pattern”, “frame”</w:t>
            </w:r>
          </w:p>
        </w:tc>
      </w:tr>
      <w:tr w:rsidR="00024C0A" w:rsidTr="00024C0A">
        <w:tc>
          <w:tcPr>
            <w:tcW w:w="0" w:type="auto"/>
            <w:vAlign w:val="center"/>
          </w:tcPr>
          <w:p w:rsidR="00024C0A" w:rsidRDefault="00694C0F">
            <w:pPr>
              <w:pStyle w:val="TableBodyText"/>
            </w:pPr>
            <w:r>
              <w:t>stroke.startArrow</w:t>
            </w:r>
          </w:p>
        </w:tc>
        <w:tc>
          <w:tcPr>
            <w:tcW w:w="0" w:type="auto"/>
            <w:vAlign w:val="center"/>
          </w:tcPr>
          <w:p w:rsidR="00024C0A" w:rsidRDefault="00694C0F">
            <w:pPr>
              <w:pStyle w:val="TableBodyText"/>
            </w:pPr>
            <w:r>
              <w:t>“none”, “block”, “classic”, “diamond”, “oval”, “open”, “chevron”, “doublechevron”</w:t>
            </w:r>
          </w:p>
        </w:tc>
      </w:tr>
      <w:tr w:rsidR="00024C0A" w:rsidTr="00024C0A">
        <w:tc>
          <w:tcPr>
            <w:tcW w:w="0" w:type="auto"/>
            <w:vAlign w:val="center"/>
          </w:tcPr>
          <w:p w:rsidR="00024C0A" w:rsidRDefault="00694C0F">
            <w:pPr>
              <w:pStyle w:val="TableBodyText"/>
            </w:pPr>
            <w:r>
              <w:t>stroke.endArrow</w:t>
            </w:r>
          </w:p>
        </w:tc>
        <w:tc>
          <w:tcPr>
            <w:tcW w:w="0" w:type="auto"/>
            <w:vAlign w:val="center"/>
          </w:tcPr>
          <w:p w:rsidR="00024C0A" w:rsidRDefault="00694C0F">
            <w:pPr>
              <w:pStyle w:val="TableBodyText"/>
            </w:pPr>
            <w:r>
              <w:t>“none”, “block”, “clas</w:t>
            </w:r>
            <w:r>
              <w:t>sic”, “diamond”, “oval”, “open”, “chevron”, “doublechevron”</w:t>
            </w:r>
          </w:p>
        </w:tc>
      </w:tr>
      <w:tr w:rsidR="00024C0A" w:rsidTr="00024C0A">
        <w:tc>
          <w:tcPr>
            <w:tcW w:w="0" w:type="auto"/>
            <w:vAlign w:val="center"/>
          </w:tcPr>
          <w:p w:rsidR="00024C0A" w:rsidRDefault="00694C0F">
            <w:pPr>
              <w:pStyle w:val="TableBodyText"/>
            </w:pPr>
            <w:r>
              <w:t>stroke.startArrowWidth</w:t>
            </w:r>
          </w:p>
        </w:tc>
        <w:tc>
          <w:tcPr>
            <w:tcW w:w="0" w:type="auto"/>
            <w:vAlign w:val="center"/>
          </w:tcPr>
          <w:p w:rsidR="00024C0A" w:rsidRDefault="00694C0F">
            <w:pPr>
              <w:pStyle w:val="TableBodyText"/>
            </w:pPr>
            <w:r>
              <w:t>“narrow”, “medium”, “wide”</w:t>
            </w:r>
          </w:p>
        </w:tc>
      </w:tr>
      <w:tr w:rsidR="00024C0A" w:rsidTr="00024C0A">
        <w:tc>
          <w:tcPr>
            <w:tcW w:w="0" w:type="auto"/>
            <w:vAlign w:val="center"/>
          </w:tcPr>
          <w:p w:rsidR="00024C0A" w:rsidRDefault="00694C0F">
            <w:pPr>
              <w:pStyle w:val="TableBodyText"/>
            </w:pPr>
            <w:r>
              <w:t>stroke.startArrowLength</w:t>
            </w:r>
          </w:p>
        </w:tc>
        <w:tc>
          <w:tcPr>
            <w:tcW w:w="0" w:type="auto"/>
            <w:vAlign w:val="center"/>
          </w:tcPr>
          <w:p w:rsidR="00024C0A" w:rsidRDefault="00694C0F">
            <w:pPr>
              <w:pStyle w:val="TableBodyText"/>
            </w:pPr>
            <w:r>
              <w:t>“short”, “medium”, “long”</w:t>
            </w:r>
          </w:p>
        </w:tc>
      </w:tr>
      <w:tr w:rsidR="00024C0A" w:rsidTr="00024C0A">
        <w:tc>
          <w:tcPr>
            <w:tcW w:w="0" w:type="auto"/>
            <w:vAlign w:val="center"/>
          </w:tcPr>
          <w:p w:rsidR="00024C0A" w:rsidRDefault="00694C0F">
            <w:pPr>
              <w:pStyle w:val="TableBodyText"/>
            </w:pPr>
            <w:r>
              <w:t>stroke.endArrowWidth</w:t>
            </w:r>
          </w:p>
        </w:tc>
        <w:tc>
          <w:tcPr>
            <w:tcW w:w="0" w:type="auto"/>
            <w:vAlign w:val="center"/>
          </w:tcPr>
          <w:p w:rsidR="00024C0A" w:rsidRDefault="00694C0F">
            <w:pPr>
              <w:pStyle w:val="TableBodyText"/>
            </w:pPr>
            <w:r>
              <w:t>“narrow”, “medium”, “wide”</w:t>
            </w:r>
          </w:p>
        </w:tc>
      </w:tr>
      <w:tr w:rsidR="00024C0A" w:rsidTr="00024C0A">
        <w:tc>
          <w:tcPr>
            <w:tcW w:w="0" w:type="auto"/>
            <w:vAlign w:val="center"/>
          </w:tcPr>
          <w:p w:rsidR="00024C0A" w:rsidRDefault="00694C0F">
            <w:pPr>
              <w:pStyle w:val="TableBodyText"/>
            </w:pPr>
            <w:r>
              <w:t>stroke.endArrowLength</w:t>
            </w:r>
          </w:p>
        </w:tc>
        <w:tc>
          <w:tcPr>
            <w:tcW w:w="0" w:type="auto"/>
            <w:vAlign w:val="center"/>
          </w:tcPr>
          <w:p w:rsidR="00024C0A" w:rsidRDefault="00694C0F">
            <w:pPr>
              <w:pStyle w:val="TableBodyText"/>
            </w:pPr>
            <w:r>
              <w:t xml:space="preserve">“short”, “medium”, </w:t>
            </w:r>
            <w:r>
              <w:t>“long”</w:t>
            </w:r>
          </w:p>
        </w:tc>
      </w:tr>
      <w:tr w:rsidR="00024C0A" w:rsidTr="00024C0A">
        <w:tc>
          <w:tcPr>
            <w:tcW w:w="0" w:type="auto"/>
            <w:vAlign w:val="center"/>
          </w:tcPr>
          <w:p w:rsidR="00024C0A" w:rsidRDefault="00694C0F">
            <w:pPr>
              <w:pStyle w:val="TableBodyText"/>
            </w:pPr>
            <w:r>
              <w:t>shadow.on</w:t>
            </w:r>
          </w:p>
        </w:tc>
        <w:tc>
          <w:tcPr>
            <w:tcW w:w="0" w:type="auto"/>
            <w:vAlign w:val="center"/>
          </w:tcPr>
          <w:p w:rsidR="00024C0A" w:rsidRDefault="00694C0F">
            <w:pPr>
              <w:pStyle w:val="TableBodyText"/>
            </w:pPr>
            <w:r>
              <w:t>“false”, “f”, “t”, “true”</w:t>
            </w:r>
          </w:p>
        </w:tc>
      </w:tr>
      <w:tr w:rsidR="00024C0A" w:rsidTr="00024C0A">
        <w:tc>
          <w:tcPr>
            <w:tcW w:w="0" w:type="auto"/>
            <w:vAlign w:val="center"/>
          </w:tcPr>
          <w:p w:rsidR="00024C0A" w:rsidRDefault="00694C0F">
            <w:pPr>
              <w:pStyle w:val="TableBodyText"/>
            </w:pPr>
            <w:r>
              <w:t>shadow.type</w:t>
            </w:r>
          </w:p>
        </w:tc>
        <w:tc>
          <w:tcPr>
            <w:tcW w:w="0" w:type="auto"/>
            <w:vAlign w:val="center"/>
          </w:tcPr>
          <w:p w:rsidR="00024C0A" w:rsidRDefault="00694C0F">
            <w:pPr>
              <w:pStyle w:val="TableBodyText"/>
            </w:pPr>
            <w:r>
              <w:t>“single”, “double”, “emboss”, “perspective”</w:t>
            </w:r>
          </w:p>
        </w:tc>
      </w:tr>
      <w:tr w:rsidR="00024C0A" w:rsidTr="00024C0A">
        <w:tc>
          <w:tcPr>
            <w:tcW w:w="0" w:type="auto"/>
            <w:vAlign w:val="center"/>
          </w:tcPr>
          <w:p w:rsidR="00024C0A" w:rsidRDefault="00694C0F">
            <w:pPr>
              <w:pStyle w:val="TableBodyText"/>
            </w:pPr>
            <w:r>
              <w:t>skew.on</w:t>
            </w:r>
          </w:p>
        </w:tc>
        <w:tc>
          <w:tcPr>
            <w:tcW w:w="0" w:type="auto"/>
            <w:vAlign w:val="center"/>
          </w:tcPr>
          <w:p w:rsidR="00024C0A" w:rsidRDefault="00694C0F">
            <w:pPr>
              <w:pStyle w:val="TableBodyText"/>
            </w:pPr>
            <w:r>
              <w:t>“false”, “f”, “t”, “true”</w:t>
            </w:r>
          </w:p>
        </w:tc>
      </w:tr>
      <w:tr w:rsidR="00024C0A" w:rsidTr="00024C0A">
        <w:tc>
          <w:tcPr>
            <w:tcW w:w="0" w:type="auto"/>
            <w:vAlign w:val="center"/>
          </w:tcPr>
          <w:p w:rsidR="00024C0A" w:rsidRDefault="00694C0F">
            <w:pPr>
              <w:pStyle w:val="TableBodyText"/>
            </w:pPr>
            <w:r>
              <w:t>extrusion.on</w:t>
            </w:r>
          </w:p>
        </w:tc>
        <w:tc>
          <w:tcPr>
            <w:tcW w:w="0" w:type="auto"/>
            <w:vAlign w:val="center"/>
          </w:tcPr>
          <w:p w:rsidR="00024C0A" w:rsidRDefault="00694C0F">
            <w:pPr>
              <w:pStyle w:val="TableBodyText"/>
            </w:pPr>
            <w:r>
              <w:t>“false”, “f”, “t”, “true”</w:t>
            </w:r>
          </w:p>
        </w:tc>
      </w:tr>
      <w:tr w:rsidR="00024C0A" w:rsidTr="00024C0A">
        <w:tc>
          <w:tcPr>
            <w:tcW w:w="0" w:type="auto"/>
            <w:vAlign w:val="center"/>
          </w:tcPr>
          <w:p w:rsidR="00024C0A" w:rsidRDefault="00694C0F">
            <w:pPr>
              <w:pStyle w:val="TableBodyText"/>
            </w:pPr>
            <w:r>
              <w:t>extrusion.type</w:t>
            </w:r>
          </w:p>
        </w:tc>
        <w:tc>
          <w:tcPr>
            <w:tcW w:w="0" w:type="auto"/>
            <w:vAlign w:val="center"/>
          </w:tcPr>
          <w:p w:rsidR="00024C0A" w:rsidRDefault="00694C0F">
            <w:pPr>
              <w:pStyle w:val="TableBodyText"/>
            </w:pPr>
            <w:r>
              <w:t>“parallel”, “perspective”</w:t>
            </w:r>
          </w:p>
        </w:tc>
      </w:tr>
      <w:tr w:rsidR="00024C0A" w:rsidTr="00024C0A">
        <w:tc>
          <w:tcPr>
            <w:tcW w:w="0" w:type="auto"/>
            <w:vAlign w:val="center"/>
          </w:tcPr>
          <w:p w:rsidR="00024C0A" w:rsidRDefault="00694C0F">
            <w:pPr>
              <w:pStyle w:val="TableBodyText"/>
            </w:pPr>
            <w:r>
              <w:t>extrusion.render</w:t>
            </w:r>
          </w:p>
        </w:tc>
        <w:tc>
          <w:tcPr>
            <w:tcW w:w="0" w:type="auto"/>
            <w:vAlign w:val="center"/>
          </w:tcPr>
          <w:p w:rsidR="00024C0A" w:rsidRDefault="00694C0F">
            <w:pPr>
              <w:pStyle w:val="TableBodyText"/>
            </w:pPr>
            <w:r>
              <w:t xml:space="preserve">“solid”, </w:t>
            </w:r>
            <w:r>
              <w:t>“wireframe”, “boundingcube”</w:t>
            </w:r>
          </w:p>
        </w:tc>
      </w:tr>
      <w:tr w:rsidR="00024C0A" w:rsidTr="00024C0A">
        <w:tc>
          <w:tcPr>
            <w:tcW w:w="0" w:type="auto"/>
            <w:vAlign w:val="center"/>
          </w:tcPr>
          <w:p w:rsidR="00024C0A" w:rsidRDefault="00694C0F">
            <w:pPr>
              <w:pStyle w:val="TableBodyText"/>
            </w:pPr>
            <w:r>
              <w:t>extrusion.plane</w:t>
            </w:r>
          </w:p>
        </w:tc>
        <w:tc>
          <w:tcPr>
            <w:tcW w:w="0" w:type="auto"/>
            <w:vAlign w:val="center"/>
          </w:tcPr>
          <w:p w:rsidR="00024C0A" w:rsidRDefault="00694C0F">
            <w:pPr>
              <w:pStyle w:val="TableBodyText"/>
            </w:pPr>
            <w:r>
              <w:t>“xy”, “zx”, “yz”</w:t>
            </w:r>
          </w:p>
        </w:tc>
      </w:tr>
      <w:tr w:rsidR="00024C0A" w:rsidTr="00024C0A">
        <w:tc>
          <w:tcPr>
            <w:tcW w:w="0" w:type="auto"/>
            <w:vAlign w:val="center"/>
          </w:tcPr>
          <w:p w:rsidR="00024C0A" w:rsidRDefault="00694C0F">
            <w:pPr>
              <w:pStyle w:val="TableBodyText"/>
            </w:pPr>
            <w:r>
              <w:t>extrusion.lockrotationcenter</w:t>
            </w:r>
          </w:p>
        </w:tc>
        <w:tc>
          <w:tcPr>
            <w:tcW w:w="0" w:type="auto"/>
            <w:vAlign w:val="center"/>
          </w:tcPr>
          <w:p w:rsidR="00024C0A" w:rsidRDefault="00694C0F">
            <w:pPr>
              <w:pStyle w:val="TableBodyText"/>
            </w:pPr>
            <w:r>
              <w:t>“false”, “true”</w:t>
            </w:r>
          </w:p>
        </w:tc>
      </w:tr>
      <w:tr w:rsidR="00024C0A" w:rsidTr="00024C0A">
        <w:tc>
          <w:tcPr>
            <w:tcW w:w="0" w:type="auto"/>
            <w:vAlign w:val="center"/>
          </w:tcPr>
          <w:p w:rsidR="00024C0A" w:rsidRDefault="00694C0F">
            <w:pPr>
              <w:pStyle w:val="TableBodyText"/>
            </w:pPr>
            <w:r>
              <w:t>extrusion.autorotationcenter</w:t>
            </w:r>
          </w:p>
        </w:tc>
        <w:tc>
          <w:tcPr>
            <w:tcW w:w="0" w:type="auto"/>
            <w:vAlign w:val="center"/>
          </w:tcPr>
          <w:p w:rsidR="00024C0A" w:rsidRDefault="00694C0F">
            <w:pPr>
              <w:pStyle w:val="TableBodyText"/>
            </w:pPr>
            <w:r>
              <w:t>“false”, “true”</w:t>
            </w:r>
          </w:p>
        </w:tc>
      </w:tr>
      <w:tr w:rsidR="00024C0A" w:rsidTr="00024C0A">
        <w:tc>
          <w:tcPr>
            <w:tcW w:w="0" w:type="auto"/>
            <w:vAlign w:val="center"/>
          </w:tcPr>
          <w:p w:rsidR="00024C0A" w:rsidRDefault="00694C0F">
            <w:pPr>
              <w:pStyle w:val="TableBodyText"/>
            </w:pPr>
            <w:r>
              <w:t>extrusion.colormode</w:t>
            </w:r>
          </w:p>
        </w:tc>
        <w:tc>
          <w:tcPr>
            <w:tcW w:w="0" w:type="auto"/>
            <w:vAlign w:val="center"/>
          </w:tcPr>
          <w:p w:rsidR="00024C0A" w:rsidRDefault="00694C0F">
            <w:pPr>
              <w:pStyle w:val="TableBodyText"/>
            </w:pPr>
            <w:r>
              <w:t>“false”, “true”</w:t>
            </w:r>
          </w:p>
        </w:tc>
      </w:tr>
    </w:tbl>
    <w:p w:rsidR="00024C0A" w:rsidRDefault="00024C0A"/>
    <w:p w:rsidR="00024C0A" w:rsidRDefault="00694C0F">
      <w:pPr>
        <w:pStyle w:val="Definition-Field"/>
      </w:pPr>
      <w:r>
        <w:t xml:space="preserve">b.   </w:t>
      </w:r>
      <w:r>
        <w:rPr>
          <w:i/>
        </w:rPr>
        <w:t xml:space="preserve">The standard states that the to element specifies the </w:t>
      </w:r>
      <w:r>
        <w:rPr>
          <w:i/>
        </w:rPr>
        <w:t>attribute of the time node after the animation.</w:t>
      </w:r>
    </w:p>
    <w:p w:rsidR="00024C0A" w:rsidRDefault="00694C0F">
      <w:r>
        <w:t>In PowerPoint, the child element strVal can be used as a string that represents a parenthesized formula whose format is described in the fmla attribute specified in the tav element ("[ISO/IEC-29500-1] §19.5.7</w:t>
      </w:r>
      <w:r>
        <w:t>9; tav"). The format is specified as:</w:t>
      </w:r>
    </w:p>
    <w:p w:rsidR="00024C0A" w:rsidRDefault="00694C0F">
      <w:r>
        <w:t>strFormula = '(' , formula , ')' ;</w:t>
      </w:r>
    </w:p>
    <w:p w:rsidR="00024C0A" w:rsidRDefault="00694C0F">
      <w:r>
        <w:t>Where formula is a string formula specified as described within tav ("[ISO/IEC-29500-1] §19.5.79; tav").</w:t>
      </w:r>
    </w:p>
    <w:p w:rsidR="00024C0A" w:rsidRDefault="00694C0F">
      <w:pPr>
        <w:pStyle w:val="Definition-Field"/>
      </w:pPr>
      <w:r>
        <w:t xml:space="preserve">c.   </w:t>
      </w:r>
      <w:r>
        <w:rPr>
          <w:i/>
        </w:rPr>
        <w:t>The standard states that the strVal child of the to element is used to sp</w:t>
      </w:r>
      <w:r>
        <w:rPr>
          <w:i/>
        </w:rPr>
        <w:t>ecify an attribute that the animation applies to.</w:t>
      </w:r>
    </w:p>
    <w:p w:rsidR="00024C0A" w:rsidRDefault="00694C0F">
      <w:r>
        <w:lastRenderedPageBreak/>
        <w:t>In PowerPoint, the child element strVal can be used to represent a real number. The number shall be either a decimal number (for example 2.0, -3.4e-5), a hexadecimal number (for example 0x4A.F, -0X5FE5), an</w:t>
      </w:r>
      <w:r>
        <w:t xml:space="preserve"> octal number (for example 0o56.4e5, -0O.56), or a binary number (for example 10.01, -11.01e110). This real number format is also used to define color values, in which the percentage is a real number with a postfix ‘%’. The required format is specified as </w:t>
      </w:r>
      <w:r>
        <w:t>follows:</w:t>
      </w:r>
    </w:p>
    <w:p w:rsidR="00024C0A" w:rsidRDefault="00694C0F">
      <w:r>
        <w:t>real_number = value;</w:t>
      </w:r>
    </w:p>
    <w:p w:rsidR="00024C0A" w:rsidRDefault="00694C0F">
      <w:r>
        <w:t>percentage = value , ‘%’ ;</w:t>
      </w:r>
    </w:p>
    <w:p w:rsidR="00024C0A" w:rsidRDefault="00694C0F">
      <w:r>
        <w:t>value = dec_value | oct_value | hex_value | bin_value ;</w:t>
      </w:r>
    </w:p>
    <w:p w:rsidR="00024C0A" w:rsidRDefault="00694C0F">
      <w:r>
        <w:t>dec_value = dec_regular_value | dec_pure_floating ;</w:t>
      </w:r>
    </w:p>
    <w:p w:rsidR="00024C0A" w:rsidRDefault="00694C0F">
      <w:r>
        <w:t>dec_regular_value = [ ‘-’ ] , dec_number , [  '.' ] , [ dec_number ] , [ dec_exponent ] ;</w:t>
      </w:r>
    </w:p>
    <w:p w:rsidR="00024C0A" w:rsidRDefault="00694C0F">
      <w:r>
        <w:t>d</w:t>
      </w:r>
      <w:r>
        <w:t>ec_pure_float = [ ‘-‘ ] , ‘.’ , dec_number , [ dec_exponent ] ;</w:t>
      </w:r>
    </w:p>
    <w:p w:rsidR="00024C0A" w:rsidRDefault="00694C0F">
      <w:r>
        <w:t>oct_value = oct_regular_value | oct_pure_floating ;</w:t>
      </w:r>
    </w:p>
    <w:p w:rsidR="00024C0A" w:rsidRDefault="00694C0F">
      <w:r>
        <w:t>oct_regular_value = [ ‘-’ ] , oct_number , [ ‘.’ ] , [ oct_number ] , [ oct_exponent ] ;</w:t>
      </w:r>
    </w:p>
    <w:p w:rsidR="00024C0A" w:rsidRDefault="00694C0F">
      <w:r>
        <w:t xml:space="preserve">oct_pure_floating = [ ‘-‘ ] , ‘.’ , oct_number , [ </w:t>
      </w:r>
      <w:r>
        <w:t>oct_exponent ] ;</w:t>
      </w:r>
    </w:p>
    <w:p w:rsidR="00024C0A" w:rsidRDefault="00694C0F">
      <w:r>
        <w:t>hex_value = hex_regular_value | hex_pure_floating ;</w:t>
      </w:r>
    </w:p>
    <w:p w:rsidR="00024C0A" w:rsidRDefault="00694C0F">
      <w:r>
        <w:t xml:space="preserve">hex_regular_value = [ ‘-’ ] , hex_number , [ ‘.’ ] , [ hex_number ] </w:t>
      </w:r>
    </w:p>
    <w:p w:rsidR="00024C0A" w:rsidRDefault="00694C0F">
      <w:r>
        <w:t>hex_pure_floating = [ ‘-‘ ] , ‘.’ , hex_number;</w:t>
      </w:r>
    </w:p>
    <w:p w:rsidR="00024C0A" w:rsidRDefault="00694C0F">
      <w:r>
        <w:t>bin_value = bin_regular_value | bin_pure_floating ;</w:t>
      </w:r>
    </w:p>
    <w:p w:rsidR="00024C0A" w:rsidRDefault="00694C0F">
      <w:r>
        <w:t xml:space="preserve">bin_regular_value </w:t>
      </w:r>
      <w:r>
        <w:t>= [ ‘-’ ] , bin_number , [ ‘.’ ] , [ bin_number ] , [ bin_exponent ] ;</w:t>
      </w:r>
    </w:p>
    <w:p w:rsidR="00024C0A" w:rsidRDefault="00694C0F">
      <w:r>
        <w:t>bin_pure_floating = [ ‘-‘ ] , ‘.’ , bin_number , [ bin_exponent ] ;</w:t>
      </w:r>
    </w:p>
    <w:p w:rsidR="00024C0A" w:rsidRDefault="00694C0F">
      <w:r>
        <w:t>DecDigit    = '0' | '1' | ‘2’ | ‘3’ | ‘4’ | ‘5’ | ‘6’ | ‘7’ | ‘8’ | '9' ;</w:t>
      </w:r>
    </w:p>
    <w:p w:rsidR="00024C0A" w:rsidRDefault="00694C0F">
      <w:r>
        <w:t>OctDigit    = '0' | '1' | ‘2’ | ‘3’ | ‘4’ |</w:t>
      </w:r>
      <w:r>
        <w:t xml:space="preserve"> ‘5’ | ‘6’ | ‘7’;</w:t>
      </w:r>
    </w:p>
    <w:p w:rsidR="00024C0A" w:rsidRDefault="00694C0F">
      <w:r>
        <w:t>HexDigit    = '0' | '1' | ‘2’ | ‘3’ | ‘4’ | ‘5’ | ‘6’ | ‘7’ | ‘8’ | '9' | ‘A’ | ‘a’ | ‘B’ | ‘b’ | ‘C’ | ‘c’ | ‘D’ | ‘d’ | ‘E’ | ‘e’ | ‘F’ | ‘f’ ;</w:t>
      </w:r>
    </w:p>
    <w:p w:rsidR="00024C0A" w:rsidRDefault="00694C0F">
      <w:r>
        <w:t>BinDigit = ‘0’ | ‘1’ ;</w:t>
      </w:r>
    </w:p>
    <w:p w:rsidR="00024C0A" w:rsidRDefault="00694C0F">
      <w:r>
        <w:t>dec_number   = Digit , { Digit } ;</w:t>
      </w:r>
    </w:p>
    <w:p w:rsidR="00024C0A" w:rsidRDefault="00694C0F">
      <w:r>
        <w:t>oct_number = ‘0’ , ( ‘o’ | ‘O’ ) ,</w:t>
      </w:r>
      <w:r>
        <w:t xml:space="preserve"> OctDigit , { OctDigit } ;</w:t>
      </w:r>
    </w:p>
    <w:p w:rsidR="00024C0A" w:rsidRDefault="00694C0F">
      <w:r>
        <w:t>hex_number = ‘0’ , (‘x’ | ‘X’ ), HexDigit , { HexDigit } ;</w:t>
      </w:r>
    </w:p>
    <w:p w:rsidR="00024C0A" w:rsidRDefault="00694C0F">
      <w:r>
        <w:t>bin_number = ‘0’ , (‘b’ | ‘B’ ) , BinDigit , { BinDigit } ;</w:t>
      </w:r>
    </w:p>
    <w:p w:rsidR="00024C0A" w:rsidRDefault="00694C0F">
      <w:r>
        <w:t>dec_exponent = [ '-' ] , ( 'e' | 'E' ) , dec_number ;</w:t>
      </w:r>
    </w:p>
    <w:p w:rsidR="00024C0A" w:rsidRDefault="00694C0F">
      <w:r>
        <w:t>oct_exponent = [ '-' ] , ( 'e' | 'E' ) , oct_number ;</w:t>
      </w:r>
    </w:p>
    <w:p w:rsidR="00024C0A" w:rsidRDefault="00694C0F">
      <w:r>
        <w:t>bi</w:t>
      </w:r>
      <w:r>
        <w:t>n_exponent = [ '-' ] , ( 'e' | 'E' ) , bin_number ;</w:t>
      </w:r>
    </w:p>
    <w:p w:rsidR="00024C0A" w:rsidRDefault="00694C0F">
      <w:pPr>
        <w:pStyle w:val="Definition-Field"/>
      </w:pPr>
      <w:r>
        <w:t xml:space="preserve">d.   </w:t>
      </w:r>
      <w:r>
        <w:rPr>
          <w:i/>
        </w:rPr>
        <w:t>The standard states that the strVal child of the to element is used to specify an attribute that the animation applies to.</w:t>
      </w:r>
    </w:p>
    <w:p w:rsidR="00024C0A" w:rsidRDefault="00694C0F">
      <w:r>
        <w:t xml:space="preserve">In PowerPoint, the child element strVal can be used to represent a color as </w:t>
      </w:r>
      <w:r>
        <w:t>follows:</w:t>
      </w:r>
    </w:p>
    <w:p w:rsidR="00024C0A" w:rsidRDefault="00694C0F">
      <w:pPr>
        <w:pStyle w:val="ListParagraph"/>
        <w:numPr>
          <w:ilvl w:val="0"/>
          <w:numId w:val="130"/>
        </w:numPr>
        <w:contextualSpacing/>
      </w:pPr>
      <w:r>
        <w:lastRenderedPageBreak/>
        <w:t>rgb(</w:t>
      </w:r>
      <w:r>
        <w:rPr>
          <w:i/>
        </w:rPr>
        <w:t>r_value</w:t>
      </w:r>
      <w:r>
        <w:t xml:space="preserve">, </w:t>
      </w:r>
      <w:r>
        <w:rPr>
          <w:i/>
        </w:rPr>
        <w:t>g_value</w:t>
      </w:r>
      <w:r>
        <w:t xml:space="preserve">, </w:t>
      </w:r>
      <w:r>
        <w:rPr>
          <w:i/>
        </w:rPr>
        <w:t>b_value</w:t>
      </w:r>
      <w:r>
        <w:t xml:space="preserve">). </w:t>
      </w:r>
      <w:r>
        <w:rPr>
          <w:i/>
        </w:rPr>
        <w:t>r_value</w:t>
      </w:r>
      <w:r>
        <w:t xml:space="preserve">, </w:t>
      </w:r>
      <w:r>
        <w:rPr>
          <w:i/>
        </w:rPr>
        <w:t>g_value</w:t>
      </w:r>
      <w:r>
        <w:t xml:space="preserve">, and </w:t>
      </w:r>
      <w:r>
        <w:rPr>
          <w:i/>
        </w:rPr>
        <w:t>b_value</w:t>
      </w:r>
      <w:r>
        <w:t xml:space="preserve"> are values for red, green, and blue spectrum, respectively. The values are either real numbers or percentages. For example, “rgb(255, 0, 0)” and “rgb(100%, 0, 0)” both defines a red col</w:t>
      </w:r>
      <w:r>
        <w:t>or.</w:t>
      </w:r>
    </w:p>
    <w:p w:rsidR="00024C0A" w:rsidRDefault="00694C0F">
      <w:pPr>
        <w:pStyle w:val="ListParagraph"/>
        <w:numPr>
          <w:ilvl w:val="0"/>
          <w:numId w:val="130"/>
        </w:numPr>
        <w:contextualSpacing/>
      </w:pPr>
      <w:r>
        <w:t>rgb</w:t>
      </w:r>
      <w:r>
        <w:rPr>
          <w:i/>
        </w:rPr>
        <w:t>(r_value</w:t>
      </w:r>
      <w:r>
        <w:t>,</w:t>
      </w:r>
      <w:r>
        <w:rPr>
          <w:i/>
        </w:rPr>
        <w:t xml:space="preserve"> g_value</w:t>
      </w:r>
      <w:r>
        <w:t>,</w:t>
      </w:r>
      <w:r>
        <w:rPr>
          <w:i/>
        </w:rPr>
        <w:t xml:space="preserve"> b_value</w:t>
      </w:r>
      <w:r>
        <w:t>,</w:t>
      </w:r>
      <w:r>
        <w:rPr>
          <w:i/>
        </w:rPr>
        <w:t xml:space="preserve"> a_value</w:t>
      </w:r>
      <w:r>
        <w:t>).</w:t>
      </w:r>
      <w:r>
        <w:rPr>
          <w:i/>
        </w:rPr>
        <w:t xml:space="preserve"> r_value</w:t>
      </w:r>
      <w:r>
        <w:t>,</w:t>
      </w:r>
      <w:r>
        <w:rPr>
          <w:i/>
        </w:rPr>
        <w:t xml:space="preserve"> g_value</w:t>
      </w:r>
      <w:r>
        <w:t>,</w:t>
      </w:r>
      <w:r>
        <w:rPr>
          <w:i/>
        </w:rPr>
        <w:t xml:space="preserve"> b_value</w:t>
      </w:r>
      <w:r>
        <w:t>, and</w:t>
      </w:r>
      <w:r>
        <w:rPr>
          <w:i/>
        </w:rPr>
        <w:t xml:space="preserve"> a_value</w:t>
      </w:r>
      <w:r>
        <w:t xml:space="preserve"> are values for red, green, blue, and alpha spectrum, respectively. The values are either real numbers or percentages. For example, “rgb(255, 0, 0, 255)” and “rgb(100%, 0, 0</w:t>
      </w:r>
      <w:r>
        <w:t>, 100%)” are red with a full opacity.</w:t>
      </w:r>
    </w:p>
    <w:p w:rsidR="00024C0A" w:rsidRDefault="00694C0F">
      <w:pPr>
        <w:pStyle w:val="ListParagraph"/>
        <w:numPr>
          <w:ilvl w:val="0"/>
          <w:numId w:val="130"/>
        </w:numPr>
        <w:contextualSpacing/>
      </w:pPr>
      <w:r>
        <w:t>hsl(</w:t>
      </w:r>
      <w:r>
        <w:rPr>
          <w:i/>
        </w:rPr>
        <w:t>h_value</w:t>
      </w:r>
      <w:r>
        <w:t xml:space="preserve">, </w:t>
      </w:r>
      <w:r>
        <w:rPr>
          <w:i/>
        </w:rPr>
        <w:t>s_value</w:t>
      </w:r>
      <w:r>
        <w:t xml:space="preserve">, </w:t>
      </w:r>
      <w:r>
        <w:rPr>
          <w:i/>
        </w:rPr>
        <w:t>l_value</w:t>
      </w:r>
      <w:r>
        <w:t xml:space="preserve">). </w:t>
      </w:r>
      <w:r>
        <w:rPr>
          <w:i/>
        </w:rPr>
        <w:t>h_value</w:t>
      </w:r>
      <w:r>
        <w:t xml:space="preserve">, </w:t>
      </w:r>
      <w:r>
        <w:rPr>
          <w:i/>
        </w:rPr>
        <w:t>s_value</w:t>
      </w:r>
      <w:r>
        <w:t xml:space="preserve">, and </w:t>
      </w:r>
      <w:r>
        <w:rPr>
          <w:i/>
        </w:rPr>
        <w:t>l_value</w:t>
      </w:r>
      <w:r>
        <w:t xml:space="preserve"> are values for hue, saturation, and lightness, respectively. The values are either real numbers or percentages. For example, “hsl(0, 255, 127.5)” and “hsl(0</w:t>
      </w:r>
      <w:r>
        <w:t xml:space="preserve">,100%, 50%)” are red, equivalent to “rgb(255, 0, 0)”. </w:t>
      </w:r>
    </w:p>
    <w:p w:rsidR="00024C0A" w:rsidRDefault="00694C0F">
      <w:pPr>
        <w:pStyle w:val="ListParagraph"/>
        <w:numPr>
          <w:ilvl w:val="0"/>
          <w:numId w:val="130"/>
        </w:numPr>
        <w:contextualSpacing/>
      </w:pPr>
      <w:r>
        <w:t>hsl(</w:t>
      </w:r>
      <w:r>
        <w:rPr>
          <w:i/>
        </w:rPr>
        <w:t>h_value</w:t>
      </w:r>
      <w:r>
        <w:t xml:space="preserve">, </w:t>
      </w:r>
      <w:r>
        <w:rPr>
          <w:i/>
        </w:rPr>
        <w:t>s_value</w:t>
      </w:r>
      <w:r>
        <w:t xml:space="preserve">, </w:t>
      </w:r>
      <w:r>
        <w:rPr>
          <w:i/>
        </w:rPr>
        <w:t>l_value, a_value</w:t>
      </w:r>
      <w:r>
        <w:t xml:space="preserve">). </w:t>
      </w:r>
      <w:r>
        <w:rPr>
          <w:i/>
        </w:rPr>
        <w:t>h_value</w:t>
      </w:r>
      <w:r>
        <w:t xml:space="preserve">, </w:t>
      </w:r>
      <w:r>
        <w:rPr>
          <w:i/>
        </w:rPr>
        <w:t>s_value</w:t>
      </w:r>
      <w:r>
        <w:t xml:space="preserve">, </w:t>
      </w:r>
      <w:r>
        <w:rPr>
          <w:i/>
        </w:rPr>
        <w:t xml:space="preserve">l_value, and a_value </w:t>
      </w:r>
      <w:r>
        <w:t>are values for hue, saturation, lightness, and alpha, respectively. The values are either real numbers or percentages. Fo</w:t>
      </w:r>
      <w:r>
        <w:t>r example, “hsl(0, 255, 127.5, 255)” and “hsl(0,100%, 50%, 100%)” are red with a full opacity, equivalent to “rgb(255, 0, 0, 255)”.</w:t>
      </w:r>
    </w:p>
    <w:p w:rsidR="00024C0A" w:rsidRDefault="00694C0F">
      <w:pPr>
        <w:pStyle w:val="ListParagraph"/>
        <w:numPr>
          <w:ilvl w:val="0"/>
          <w:numId w:val="130"/>
        </w:numPr>
        <w:contextualSpacing/>
      </w:pPr>
      <w:r>
        <w:t>#</w:t>
      </w:r>
      <w:r>
        <w:rPr>
          <w:i/>
        </w:rPr>
        <w:t>rrggbb. rr</w:t>
      </w:r>
      <w:r>
        <w:t xml:space="preserve">, </w:t>
      </w:r>
      <w:r>
        <w:rPr>
          <w:i/>
        </w:rPr>
        <w:t>gg</w:t>
      </w:r>
      <w:r>
        <w:t xml:space="preserve">, and </w:t>
      </w:r>
      <w:r>
        <w:rPr>
          <w:i/>
        </w:rPr>
        <w:t xml:space="preserve">bb </w:t>
      </w:r>
      <w:r>
        <w:t>are hexadecimal values for red, green, and blue spectrum, respectively. For example, “#FF0000” is re</w:t>
      </w:r>
      <w:r>
        <w:t>d, equivalent to “rgb(255, 0, 0)”.</w:t>
      </w:r>
    </w:p>
    <w:p w:rsidR="00024C0A" w:rsidRDefault="00694C0F">
      <w:pPr>
        <w:pStyle w:val="ListParagraph"/>
        <w:numPr>
          <w:ilvl w:val="0"/>
          <w:numId w:val="130"/>
        </w:numPr>
        <w:contextualSpacing/>
      </w:pPr>
      <w:r>
        <w:t>#</w:t>
      </w:r>
      <w:r>
        <w:rPr>
          <w:i/>
        </w:rPr>
        <w:t>aarrggbb.aa, rr</w:t>
      </w:r>
      <w:r>
        <w:t xml:space="preserve">, </w:t>
      </w:r>
      <w:r>
        <w:rPr>
          <w:i/>
        </w:rPr>
        <w:t>gg</w:t>
      </w:r>
      <w:r>
        <w:t xml:space="preserve">, and </w:t>
      </w:r>
      <w:r>
        <w:rPr>
          <w:i/>
        </w:rPr>
        <w:t xml:space="preserve">bb </w:t>
      </w:r>
      <w:r>
        <w:t>are hexadecimal values for alpha, red, green, and blue spectrum, respectively. For example, “#FFFF0000” is red with a full opacity, equivalent to “rgb(255, 0, 0, 255)”.</w:t>
      </w:r>
    </w:p>
    <w:p w:rsidR="00024C0A" w:rsidRDefault="00694C0F">
      <w:pPr>
        <w:pStyle w:val="ListParagraph"/>
        <w:numPr>
          <w:ilvl w:val="0"/>
          <w:numId w:val="130"/>
        </w:numPr>
        <w:contextualSpacing/>
      </w:pPr>
      <w:r>
        <w:t>#</w:t>
      </w:r>
      <w:r>
        <w:rPr>
          <w:i/>
        </w:rPr>
        <w:t>rgb. r</w:t>
      </w:r>
      <w:r>
        <w:t xml:space="preserve">, </w:t>
      </w:r>
      <w:r>
        <w:rPr>
          <w:i/>
        </w:rPr>
        <w:t>g</w:t>
      </w:r>
      <w:r>
        <w:t xml:space="preserve">, and </w:t>
      </w:r>
      <w:r>
        <w:rPr>
          <w:i/>
        </w:rPr>
        <w:t xml:space="preserve">b </w:t>
      </w:r>
      <w:r>
        <w:t>are h</w:t>
      </w:r>
      <w:r>
        <w:t>exadecimal values for red, green, and blue spectrum, respectively. It is equivalent to #</w:t>
      </w:r>
      <w:r>
        <w:rPr>
          <w:i/>
        </w:rPr>
        <w:t>r</w:t>
      </w:r>
      <w:r>
        <w:t>0</w:t>
      </w:r>
      <w:r>
        <w:rPr>
          <w:i/>
        </w:rPr>
        <w:t>g</w:t>
      </w:r>
      <w:r>
        <w:t>0</w:t>
      </w:r>
      <w:r>
        <w:rPr>
          <w:i/>
        </w:rPr>
        <w:t>b</w:t>
      </w:r>
      <w:r>
        <w:t>0. For example, “#F00” is equal to “#F00000”.</w:t>
      </w:r>
    </w:p>
    <w:p w:rsidR="00024C0A" w:rsidRDefault="00694C0F">
      <w:pPr>
        <w:pStyle w:val="ListParagraph"/>
        <w:numPr>
          <w:ilvl w:val="0"/>
          <w:numId w:val="130"/>
        </w:numPr>
      </w:pPr>
      <w:r>
        <w:t>#</w:t>
      </w:r>
      <w:r>
        <w:rPr>
          <w:i/>
        </w:rPr>
        <w:t>argb.a, r</w:t>
      </w:r>
      <w:r>
        <w:t xml:space="preserve">, </w:t>
      </w:r>
      <w:r>
        <w:rPr>
          <w:i/>
        </w:rPr>
        <w:t>g</w:t>
      </w:r>
      <w:r>
        <w:t xml:space="preserve">, and </w:t>
      </w:r>
      <w:r>
        <w:rPr>
          <w:i/>
        </w:rPr>
        <w:t xml:space="preserve">b </w:t>
      </w:r>
      <w:r>
        <w:t xml:space="preserve">are hexadecimal values for alpha, red, green, and blue spectrum, respectively. It is equivalent </w:t>
      </w:r>
      <w:r>
        <w:t>to #</w:t>
      </w:r>
      <w:r>
        <w:rPr>
          <w:i/>
        </w:rPr>
        <w:t xml:space="preserve"> a</w:t>
      </w:r>
      <w:r>
        <w:t>0</w:t>
      </w:r>
      <w:r>
        <w:rPr>
          <w:i/>
        </w:rPr>
        <w:t>r</w:t>
      </w:r>
      <w:r>
        <w:t>0</w:t>
      </w:r>
      <w:r>
        <w:rPr>
          <w:i/>
        </w:rPr>
        <w:t>g</w:t>
      </w:r>
      <w:r>
        <w:t>0</w:t>
      </w:r>
      <w:r>
        <w:rPr>
          <w:i/>
        </w:rPr>
        <w:t>b</w:t>
      </w:r>
      <w:r>
        <w:t>0</w:t>
      </w:r>
      <w:r>
        <w:rPr>
          <w:i/>
        </w:rPr>
        <w:t>.</w:t>
      </w:r>
      <w:r>
        <w:t xml:space="preserve"> For example, “#F00F” is equal to “#F00000F0”.</w:t>
      </w:r>
    </w:p>
    <w:p w:rsidR="00024C0A" w:rsidRDefault="00694C0F">
      <w:pPr>
        <w:pStyle w:val="Heading3"/>
      </w:pPr>
      <w:bookmarkStart w:id="2381" w:name="section_337d872bb42b499797c5d4dc16ad8be1"/>
      <w:bookmarkStart w:id="2382" w:name="_Toc12261251"/>
      <w:r>
        <w:t>Part 1 Section 19.5.90, to (To)</w:t>
      </w:r>
      <w:bookmarkEnd w:id="2381"/>
      <w:bookmarkEnd w:id="2382"/>
      <w:r>
        <w:fldChar w:fldCharType="begin"/>
      </w:r>
      <w:r>
        <w:instrText xml:space="preserve"> XE "to (To)" </w:instrText>
      </w:r>
      <w:r>
        <w:fldChar w:fldCharType="end"/>
      </w:r>
    </w:p>
    <w:p w:rsidR="00024C0A" w:rsidRDefault="00694C0F">
      <w:pPr>
        <w:pStyle w:val="Definition-Field"/>
      </w:pPr>
      <w:r>
        <w:t xml:space="preserve">a.   </w:t>
      </w:r>
      <w:r>
        <w:rPr>
          <w:i/>
        </w:rPr>
        <w:t>The standard does not place any restrictions on the color values used when the schemeClr element is a child of the to element.</w:t>
      </w:r>
    </w:p>
    <w:p w:rsidR="00024C0A" w:rsidRDefault="00694C0F">
      <w:pPr>
        <w:pStyle w:val="Definition-Field2"/>
      </w:pPr>
      <w:r>
        <w:t xml:space="preserve">PowerPoint </w:t>
      </w:r>
      <w:r>
        <w:t>requires that the color values dk1, lt1, dk2, lt2, accent3, accent4, accent5, accent6 and phClr not be used when the schemeClr element is a child of the to element.</w:t>
      </w:r>
    </w:p>
    <w:p w:rsidR="00024C0A" w:rsidRDefault="00694C0F">
      <w:pPr>
        <w:pStyle w:val="Heading3"/>
      </w:pPr>
      <w:bookmarkStart w:id="2383" w:name="section_110dbdf46d964994b9fa225ee0508cc3"/>
      <w:bookmarkStart w:id="2384" w:name="_Toc12261252"/>
      <w:r>
        <w:t>Part 1 Section 19.5.93, video (Video)</w:t>
      </w:r>
      <w:bookmarkEnd w:id="2383"/>
      <w:bookmarkEnd w:id="2384"/>
      <w:r>
        <w:fldChar w:fldCharType="begin"/>
      </w:r>
      <w:r>
        <w:instrText xml:space="preserve"> XE "video (Video)" </w:instrText>
      </w:r>
      <w:r>
        <w:fldChar w:fldCharType="end"/>
      </w:r>
    </w:p>
    <w:p w:rsidR="00024C0A" w:rsidRDefault="00694C0F">
      <w:pPr>
        <w:pStyle w:val="Definition-Field2"/>
      </w:pPr>
      <w:r>
        <w:rPr>
          <w:i/>
        </w:rPr>
        <w:t>For additional notes that apply</w:t>
      </w:r>
      <w:r>
        <w:rPr>
          <w:i/>
        </w:rPr>
        <w:t xml:space="preserve"> to this portion of the standard, please see the notes for </w:t>
      </w:r>
      <w:hyperlink w:anchor="Section_5516734500ff4d39b4a86ca61d86227a">
        <w:r>
          <w:rPr>
            <w:rStyle w:val="Hyperlink"/>
          </w:rPr>
          <w:t>tnLst, §19.5.87(b)</w:t>
        </w:r>
      </w:hyperlink>
      <w:r>
        <w:rPr>
          <w:i/>
        </w:rPr>
        <w:t>.</w:t>
      </w:r>
    </w:p>
    <w:p w:rsidR="00024C0A" w:rsidRDefault="00694C0F">
      <w:pPr>
        <w:pStyle w:val="Heading3"/>
      </w:pPr>
      <w:bookmarkStart w:id="2385" w:name="section_dba18dddef3f4ab38018e39a39c92f45"/>
      <w:bookmarkStart w:id="2386" w:name="_Toc12261253"/>
      <w:r>
        <w:t>Part 1 Section 19.5.95, wheel (Wheel Slide Transition)</w:t>
      </w:r>
      <w:bookmarkEnd w:id="2385"/>
      <w:bookmarkEnd w:id="2386"/>
      <w:r>
        <w:fldChar w:fldCharType="begin"/>
      </w:r>
      <w:r>
        <w:instrText xml:space="preserve"> XE "wheel (Wheel Slide Transition)" </w:instrText>
      </w:r>
      <w:r>
        <w:fldChar w:fldCharType="end"/>
      </w:r>
    </w:p>
    <w:p w:rsidR="00024C0A" w:rsidRDefault="00694C0F">
      <w:pPr>
        <w:pStyle w:val="Definition-Field"/>
      </w:pPr>
      <w:r>
        <w:t xml:space="preserve">a.   </w:t>
      </w:r>
      <w:r>
        <w:rPr>
          <w:i/>
        </w:rPr>
        <w:t>The standard st</w:t>
      </w:r>
      <w:r>
        <w:rPr>
          <w:i/>
        </w:rPr>
        <w:t>ates that the values of the spokes attribute are defined by the XML Schema unsignedInt datatype.</w:t>
      </w:r>
    </w:p>
    <w:p w:rsidR="00024C0A" w:rsidRDefault="00694C0F">
      <w:pPr>
        <w:pStyle w:val="Definition-Field2"/>
      </w:pPr>
      <w:r>
        <w:t>PowerPoint maps values other than 1, 2, 3, 4, and 8 to the nearest supported value.</w:t>
      </w:r>
    </w:p>
    <w:p w:rsidR="00024C0A" w:rsidRDefault="00694C0F">
      <w:pPr>
        <w:pStyle w:val="Heading3"/>
      </w:pPr>
      <w:bookmarkStart w:id="2387" w:name="section_a6e7bb555213462cbced2b1225810888"/>
      <w:bookmarkStart w:id="2388" w:name="_Toc12261254"/>
      <w:r>
        <w:t>Part 1 Section 19.7.7, ST_PhotoAlbumFrameShape (Photo Album Shape for Photo</w:t>
      </w:r>
      <w:r>
        <w:t xml:space="preserve"> Mask)</w:t>
      </w:r>
      <w:bookmarkEnd w:id="2387"/>
      <w:bookmarkEnd w:id="2388"/>
      <w:r>
        <w:fldChar w:fldCharType="begin"/>
      </w:r>
      <w:r>
        <w:instrText xml:space="preserve"> XE "ST_PhotoAlbumFrameShape (Photo Album Shape for Photo Mask)" </w:instrText>
      </w:r>
      <w:r>
        <w:fldChar w:fldCharType="end"/>
      </w:r>
    </w:p>
    <w:p w:rsidR="00024C0A" w:rsidRDefault="00694C0F">
      <w:pPr>
        <w:pStyle w:val="Definition-Field"/>
      </w:pPr>
      <w:r>
        <w:t xml:space="preserve">a.   </w:t>
      </w:r>
      <w:r>
        <w:rPr>
          <w:i/>
        </w:rPr>
        <w:t>The standard only documents one description per enumeration value.</w:t>
      </w:r>
    </w:p>
    <w:p w:rsidR="00024C0A" w:rsidRDefault="00694C0F">
      <w:r>
        <w:t>Each enumeration value has two possible meanings which will be referred to as “Legacy” and “Standard” in the d</w:t>
      </w:r>
      <w:r>
        <w:t>escription section.</w:t>
      </w:r>
    </w:p>
    <w:p w:rsidR="00024C0A" w:rsidRDefault="00694C0F">
      <w:r>
        <w:t>Legacy: If the application detects one or more shapes with a blipfill and isPhoto set to true within the non-visual properties for that shape, then the legacy meanings of each enumeration shall be implied.</w:t>
      </w:r>
    </w:p>
    <w:p w:rsidR="00024C0A" w:rsidRDefault="00694C0F">
      <w:r>
        <w:t>Standard: For all other cases,</w:t>
      </w:r>
      <w:r>
        <w:t xml:space="preserve"> the standard meaning shall be implied.</w:t>
      </w:r>
    </w:p>
    <w:p w:rsidR="00024C0A" w:rsidRDefault="00694C0F">
      <w:r>
        <w:lastRenderedPageBreak/>
        <w:t>[</w:t>
      </w:r>
      <w:r>
        <w:rPr>
          <w:i/>
        </w:rPr>
        <w:t>Example:</w:t>
      </w:r>
      <w:r>
        <w:t xml:space="preserve"> Consider the shape that has a blip fill applied to it and isPhoto set to true.</w:t>
      </w:r>
    </w:p>
    <w:p w:rsidR="00024C0A" w:rsidRDefault="00694C0F">
      <w:pPr>
        <w:pStyle w:val="Code"/>
      </w:pPr>
      <w:r>
        <w:t>&lt;p:sp&gt;</w:t>
      </w:r>
    </w:p>
    <w:p w:rsidR="00024C0A" w:rsidRDefault="00694C0F">
      <w:pPr>
        <w:pStyle w:val="Code"/>
      </w:pPr>
      <w:r>
        <w:t>&lt;p:nvSpPr&gt;</w:t>
      </w:r>
    </w:p>
    <w:p w:rsidR="00024C0A" w:rsidRDefault="00694C0F">
      <w:pPr>
        <w:pStyle w:val="Code"/>
      </w:pPr>
      <w:r>
        <w:t>..</w:t>
      </w:r>
    </w:p>
    <w:p w:rsidR="00024C0A" w:rsidRDefault="00694C0F">
      <w:pPr>
        <w:pStyle w:val="Code"/>
      </w:pPr>
      <w:r>
        <w:t>&lt;p:nvPr isPhoto="1"/&gt;</w:t>
      </w:r>
    </w:p>
    <w:p w:rsidR="00024C0A" w:rsidRDefault="00694C0F">
      <w:pPr>
        <w:pStyle w:val="Code"/>
      </w:pPr>
      <w:r>
        <w:t>&lt;/p:nvSpPr&gt;</w:t>
      </w:r>
    </w:p>
    <w:p w:rsidR="00024C0A" w:rsidRDefault="00694C0F">
      <w:pPr>
        <w:pStyle w:val="Code"/>
      </w:pPr>
      <w:r>
        <w:t>&lt;p:spPr bwMode="auto"&gt;</w:t>
      </w:r>
    </w:p>
    <w:p w:rsidR="00024C0A" w:rsidRDefault="00694C0F">
      <w:pPr>
        <w:pStyle w:val="Code"/>
      </w:pPr>
      <w:r>
        <w:t>&lt;a:blipFill dpi="0" rotWithShape="1"&gt;</w:t>
      </w:r>
    </w:p>
    <w:p w:rsidR="00024C0A" w:rsidRDefault="00694C0F">
      <w:pPr>
        <w:pStyle w:val="Code"/>
      </w:pPr>
      <w:r>
        <w:t xml:space="preserve">      ..</w:t>
      </w:r>
    </w:p>
    <w:p w:rsidR="00024C0A" w:rsidRDefault="00694C0F">
      <w:pPr>
        <w:pStyle w:val="Code"/>
      </w:pPr>
      <w:r>
        <w:t>&lt;/</w:t>
      </w:r>
      <w:r>
        <w:t>a:blipFill&gt;</w:t>
      </w:r>
    </w:p>
    <w:p w:rsidR="00024C0A" w:rsidRDefault="00694C0F">
      <w:pPr>
        <w:pStyle w:val="Code"/>
      </w:pPr>
      <w:r>
        <w:t>&lt;/p:spPr&gt;</w:t>
      </w:r>
    </w:p>
    <w:p w:rsidR="00024C0A" w:rsidRDefault="00694C0F">
      <w:pPr>
        <w:pStyle w:val="Code"/>
      </w:pPr>
      <w:r>
        <w:t>&lt;/p:sp&gt;</w:t>
      </w:r>
    </w:p>
    <w:p w:rsidR="00024C0A" w:rsidRDefault="00694C0F">
      <w:r>
        <w:rPr>
          <w:i/>
        </w:rPr>
        <w:t>end example</w:t>
      </w:r>
      <w:r>
        <w:t>]</w:t>
      </w:r>
    </w:p>
    <w:p w:rsidR="00024C0A" w:rsidRDefault="00694C0F">
      <w:r>
        <w:t>The following are possible enumeration values for this type:</w:t>
      </w:r>
    </w:p>
    <w:tbl>
      <w:tblPr>
        <w:tblStyle w:val="Table-ShadedHeader"/>
        <w:tblW w:w="0" w:type="auto"/>
        <w:tblLook w:val="04A0" w:firstRow="1" w:lastRow="0" w:firstColumn="1" w:lastColumn="0" w:noHBand="0" w:noVBand="1"/>
      </w:tblPr>
      <w:tblGrid>
        <w:gridCol w:w="4153"/>
        <w:gridCol w:w="2343"/>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Enumeration Value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frameStyle1</w:t>
            </w:r>
            <w:r>
              <w:t xml:space="preserve"> (Rectangle Photo Frame)</w:t>
            </w:r>
          </w:p>
        </w:tc>
        <w:tc>
          <w:tcPr>
            <w:tcW w:w="0" w:type="auto"/>
            <w:vAlign w:val="center"/>
          </w:tcPr>
          <w:p w:rsidR="00024C0A" w:rsidRDefault="00694C0F">
            <w:pPr>
              <w:pStyle w:val="TableBodyText"/>
            </w:pPr>
            <w:r>
              <w:t xml:space="preserve">Standard: </w:t>
            </w:r>
            <w:r>
              <w:rPr>
                <w:noProof/>
              </w:rPr>
              <w:drawing>
                <wp:inline distT="0" distB="0" distL="0" distR="0">
                  <wp:extent cx="781050" cy="628650"/>
                  <wp:effectExtent l="0" t="0" r="0" b="0"/>
                  <wp:docPr id="24" name="Picture 1" descr="Rectangular photo" title="Rectangula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7-0000-0000-0000-000000000000" descr="Rectangular photo" title="Rectangular photo"/>
                          <pic:cNvPicPr>
                            <a:picLocks noChangeAspect="1" noChangeArrowheads="1"/>
                          </pic:cNvPicPr>
                        </pic:nvPicPr>
                        <pic:blipFill>
                          <a:blip r:embed="rId161"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024C0A" w:rsidRDefault="00694C0F">
            <w:pPr>
              <w:pStyle w:val="TableBodyText"/>
            </w:pPr>
            <w:r>
              <w:t xml:space="preserve">Legacy:     </w:t>
            </w:r>
            <w:r>
              <w:rPr>
                <w:noProof/>
              </w:rPr>
              <w:drawing>
                <wp:inline distT="0" distB="0" distL="0" distR="0">
                  <wp:extent cx="762000" cy="609600"/>
                  <wp:effectExtent l="0" t="0" r="0" b="0"/>
                  <wp:docPr id="25" name="Picture 1" descr="Rectangular photo with drop shadow on bottom right" title="Rectangular photo with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8-0000-0000-0000-000000000000" descr="Rectangular photo with drop shadow on bottom right" title="Rectangular photo with drop shadow on bottom right"/>
                          <pic:cNvPicPr>
                            <a:picLocks noChangeAspect="1" noChangeArrowheads="1"/>
                          </pic:cNvPicPr>
                        </pic:nvPicPr>
                        <pic:blipFill>
                          <a:blip r:embed="rId162"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024C0A" w:rsidTr="00024C0A">
        <w:tc>
          <w:tcPr>
            <w:tcW w:w="0" w:type="auto"/>
            <w:vAlign w:val="center"/>
          </w:tcPr>
          <w:p w:rsidR="00024C0A" w:rsidRDefault="00694C0F">
            <w:pPr>
              <w:pStyle w:val="TableBodyText"/>
            </w:pPr>
            <w:r>
              <w:rPr>
                <w:b/>
              </w:rPr>
              <w:t>frameStyle2</w:t>
            </w:r>
            <w:r>
              <w:t xml:space="preserve"> (Rounded Rectangle Photo Frame)</w:t>
            </w:r>
          </w:p>
        </w:tc>
        <w:tc>
          <w:tcPr>
            <w:tcW w:w="0" w:type="auto"/>
            <w:vAlign w:val="center"/>
          </w:tcPr>
          <w:p w:rsidR="00024C0A" w:rsidRDefault="00694C0F">
            <w:pPr>
              <w:pStyle w:val="TableBodyText"/>
            </w:pPr>
            <w:r>
              <w:t xml:space="preserve">Standard: </w:t>
            </w:r>
            <w:r>
              <w:rPr>
                <w:noProof/>
              </w:rPr>
              <w:drawing>
                <wp:inline distT="0" distB="0" distL="0" distR="0">
                  <wp:extent cx="781050" cy="628650"/>
                  <wp:effectExtent l="0" t="0" r="0" b="0"/>
                  <wp:docPr id="26" name="Picture 1" descr="Rectangular photo with rounded edges" title="Rectangular photo with rounded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9-0000-0000-0000-000000000000" descr="Rectangular photo with rounded edges" title="Rectangular photo with rounded edge"/>
                          <pic:cNvPicPr>
                            <a:picLocks noChangeAspect="1" noChangeArrowheads="1"/>
                          </pic:cNvPicPr>
                        </pic:nvPicPr>
                        <pic:blipFill>
                          <a:blip r:embed="rId163"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024C0A" w:rsidRDefault="00694C0F">
            <w:pPr>
              <w:pStyle w:val="TableBodyText"/>
            </w:pPr>
            <w:r>
              <w:t xml:space="preserve">Legacy:     </w:t>
            </w:r>
            <w:r>
              <w:rPr>
                <w:noProof/>
              </w:rPr>
              <w:drawing>
                <wp:inline distT="0" distB="0" distL="0" distR="0">
                  <wp:extent cx="762000" cy="609600"/>
                  <wp:effectExtent l="0" t="0" r="0" b="0"/>
                  <wp:docPr id="27" name="Picture 1" descr="White rectangle with rounded edges and drop shadow on bottom right" title="White rectangle with rounded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2-0000-0000-0000-000000000000" descr="White rectangle with rounded edges and drop shadow on bottom right" title="White rectangle with rounded edges and drop shadow on bottom right"/>
                          <pic:cNvPicPr>
                            <a:picLocks noChangeAspect="1" noChangeArrowheads="1"/>
                          </pic:cNvPicPr>
                        </pic:nvPicPr>
                        <pic:blipFill>
                          <a:blip r:embed="rId164"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024C0A" w:rsidTr="00024C0A">
        <w:tc>
          <w:tcPr>
            <w:tcW w:w="0" w:type="auto"/>
            <w:vAlign w:val="center"/>
          </w:tcPr>
          <w:p w:rsidR="00024C0A" w:rsidRDefault="00694C0F">
            <w:pPr>
              <w:pStyle w:val="TableBodyText"/>
            </w:pPr>
            <w:r>
              <w:rPr>
                <w:b/>
              </w:rPr>
              <w:t>frameStyle3</w:t>
            </w:r>
            <w:r>
              <w:t xml:space="preserve"> (Simple White Photo Frame)</w:t>
            </w:r>
          </w:p>
        </w:tc>
        <w:tc>
          <w:tcPr>
            <w:tcW w:w="0" w:type="auto"/>
            <w:vAlign w:val="center"/>
          </w:tcPr>
          <w:p w:rsidR="00024C0A" w:rsidRDefault="00694C0F">
            <w:pPr>
              <w:pStyle w:val="TableBodyText"/>
            </w:pPr>
            <w:r>
              <w:t xml:space="preserve">Standard: </w:t>
            </w:r>
            <w:r>
              <w:rPr>
                <w:noProof/>
              </w:rPr>
              <w:drawing>
                <wp:inline distT="0" distB="0" distL="0" distR="0">
                  <wp:extent cx="781050" cy="628650"/>
                  <wp:effectExtent l="0" t="0" r="0" b="0"/>
                  <wp:docPr id="28" name="Picture 1" descr="Rectangular photo with white border and light shadow around all edges" title="Rectangular photo with white border and light shadow around all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3-0000-0000-0000-000000000000" descr="Rectangular photo with white border and light shadow around all edges" title="Rectangular photo with white border and light shadow around all edges"/>
                          <pic:cNvPicPr>
                            <a:picLocks noChangeAspect="1" noChangeArrowheads="1"/>
                          </pic:cNvPicPr>
                        </pic:nvPicPr>
                        <pic:blipFill>
                          <a:blip r:embed="rId165"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024C0A" w:rsidRDefault="00694C0F">
            <w:pPr>
              <w:pStyle w:val="TableBodyText"/>
            </w:pPr>
            <w:r>
              <w:t xml:space="preserve">Legacy:     </w:t>
            </w:r>
            <w:r>
              <w:rPr>
                <w:noProof/>
              </w:rPr>
              <w:drawing>
                <wp:inline distT="0" distB="0" distL="0" distR="0">
                  <wp:extent cx="762000" cy="609600"/>
                  <wp:effectExtent l="0" t="0" r="0" b="0"/>
                  <wp:docPr id="29" name="Picture 1" descr="White rectangle with drop shadow on top left" title="White rectangle with drop shadow on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4-0000-0000-0000-000000000000" descr="White rectangle with drop shadow on top left" title="White rectangle with drop shadow on top left"/>
                          <pic:cNvPicPr>
                            <a:picLocks noChangeAspect="1" noChangeArrowheads="1"/>
                          </pic:cNvPicPr>
                        </pic:nvPicPr>
                        <pic:blipFill>
                          <a:blip r:embed="rId166"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024C0A" w:rsidTr="00024C0A">
        <w:tc>
          <w:tcPr>
            <w:tcW w:w="0" w:type="auto"/>
            <w:vAlign w:val="center"/>
          </w:tcPr>
          <w:p w:rsidR="00024C0A" w:rsidRDefault="00694C0F">
            <w:pPr>
              <w:pStyle w:val="TableBodyText"/>
            </w:pPr>
            <w:r>
              <w:rPr>
                <w:b/>
              </w:rPr>
              <w:t>frameStyle4</w:t>
            </w:r>
            <w:r>
              <w:t xml:space="preserve"> (Simple Black Photo Frame)</w:t>
            </w:r>
          </w:p>
        </w:tc>
        <w:tc>
          <w:tcPr>
            <w:tcW w:w="0" w:type="auto"/>
            <w:vAlign w:val="center"/>
          </w:tcPr>
          <w:p w:rsidR="00024C0A" w:rsidRDefault="00694C0F">
            <w:pPr>
              <w:pStyle w:val="TableBodyText"/>
            </w:pPr>
            <w:r>
              <w:t xml:space="preserve">Standard: </w:t>
            </w:r>
            <w:r>
              <w:rPr>
                <w:noProof/>
              </w:rPr>
              <w:drawing>
                <wp:inline distT="0" distB="0" distL="0" distR="0">
                  <wp:extent cx="781050" cy="628650"/>
                  <wp:effectExtent l="0" t="0" r="0" b="0"/>
                  <wp:docPr id="30" name="Picture 1" descr="Rectangular photo with black border" title="Rectangular photo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5-0000-0000-0000-000000000000" descr="Rectangular photo with black border" title="Rectangular photo with black border"/>
                          <pic:cNvPicPr>
                            <a:picLocks noChangeAspect="1" noChangeArrowheads="1"/>
                          </pic:cNvPicPr>
                        </pic:nvPicPr>
                        <pic:blipFill>
                          <a:blip r:embed="rId167"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024C0A" w:rsidRDefault="00694C0F">
            <w:pPr>
              <w:pStyle w:val="TableBodyText"/>
            </w:pPr>
            <w:r>
              <w:lastRenderedPageBreak/>
              <w:t xml:space="preserve">Legacy:     </w:t>
            </w:r>
            <w:r>
              <w:rPr>
                <w:noProof/>
              </w:rPr>
              <w:drawing>
                <wp:inline distT="0" distB="0" distL="0" distR="0">
                  <wp:extent cx="762000" cy="609600"/>
                  <wp:effectExtent l="0" t="0" r="0" b="0"/>
                  <wp:docPr id="31" name="Picture 1" descr="White egg shaped elipse with black border" title="White egg shaped elips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e-0000-0000-0000-000000000000" descr="White egg shaped elipse with black border" title="White egg shaped elipse with black border"/>
                          <pic:cNvPicPr>
                            <a:picLocks noChangeAspect="1" noChangeArrowheads="1"/>
                          </pic:cNvPicPr>
                        </pic:nvPicPr>
                        <pic:blipFill>
                          <a:blip r:embed="rId168"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024C0A" w:rsidTr="00024C0A">
        <w:tc>
          <w:tcPr>
            <w:tcW w:w="0" w:type="auto"/>
            <w:vAlign w:val="center"/>
          </w:tcPr>
          <w:p w:rsidR="00024C0A" w:rsidRDefault="00694C0F">
            <w:pPr>
              <w:pStyle w:val="TableBodyText"/>
            </w:pPr>
            <w:r>
              <w:rPr>
                <w:b/>
              </w:rPr>
              <w:lastRenderedPageBreak/>
              <w:t>frameStyle5</w:t>
            </w:r>
            <w:r>
              <w:t xml:space="preserve"> (Compound Black Photo Frame)</w:t>
            </w:r>
          </w:p>
        </w:tc>
        <w:tc>
          <w:tcPr>
            <w:tcW w:w="0" w:type="auto"/>
            <w:vAlign w:val="center"/>
          </w:tcPr>
          <w:p w:rsidR="00024C0A" w:rsidRDefault="00694C0F">
            <w:pPr>
              <w:pStyle w:val="TableBodyText"/>
            </w:pPr>
            <w:r>
              <w:t xml:space="preserve">Standard: </w:t>
            </w:r>
            <w:r>
              <w:rPr>
                <w:noProof/>
              </w:rPr>
              <w:drawing>
                <wp:inline distT="0" distB="0" distL="0" distR="0">
                  <wp:extent cx="781050" cy="628650"/>
                  <wp:effectExtent l="0" t="0" r="0" b="0"/>
                  <wp:docPr id="342015680" name="Picture 1" descr="Rectangular photo with white border inside a black border" title="Rectangular photo with white border inside a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f-0000-0000-0000-000000000000" descr="Rectangular photo with white border inside a black border" title="Rectangular photo with white border inside a black border"/>
                          <pic:cNvPicPr>
                            <a:picLocks noChangeAspect="1" noChangeArrowheads="1"/>
                          </pic:cNvPicPr>
                        </pic:nvPicPr>
                        <pic:blipFill>
                          <a:blip r:embed="rId169"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024C0A" w:rsidRDefault="00694C0F">
            <w:pPr>
              <w:pStyle w:val="TableBodyText"/>
            </w:pPr>
            <w:r>
              <w:t xml:space="preserve">Legacy:     </w:t>
            </w:r>
            <w:r>
              <w:rPr>
                <w:noProof/>
              </w:rPr>
              <w:drawing>
                <wp:inline distT="0" distB="0" distL="0" distR="0">
                  <wp:extent cx="762000" cy="609600"/>
                  <wp:effectExtent l="0" t="0" r="0" b="0"/>
                  <wp:docPr id="342015681" name="Picture 1" descr="White rectangle with black frame corners" title="White rectangle with black frame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65d27-0000-0000-0000-000000000000" descr="White rectangle with black frame corners" title="White rectangle with black frame corners"/>
                          <pic:cNvPicPr>
                            <a:picLocks noChangeAspect="1" noChangeArrowheads="1"/>
                          </pic:cNvPicPr>
                        </pic:nvPicPr>
                        <pic:blipFill>
                          <a:blip r:embed="rId170"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024C0A" w:rsidTr="00024C0A">
        <w:tc>
          <w:tcPr>
            <w:tcW w:w="0" w:type="auto"/>
            <w:vAlign w:val="center"/>
          </w:tcPr>
          <w:p w:rsidR="00024C0A" w:rsidRDefault="00694C0F">
            <w:pPr>
              <w:pStyle w:val="TableBodyText"/>
            </w:pPr>
            <w:r>
              <w:rPr>
                <w:b/>
              </w:rPr>
              <w:t>frameStyle6</w:t>
            </w:r>
            <w:r>
              <w:t xml:space="preserve"> (Center Shadow Photo Frame)</w:t>
            </w:r>
          </w:p>
        </w:tc>
        <w:tc>
          <w:tcPr>
            <w:tcW w:w="0" w:type="auto"/>
            <w:vAlign w:val="center"/>
          </w:tcPr>
          <w:p w:rsidR="00024C0A" w:rsidRDefault="00694C0F">
            <w:pPr>
              <w:pStyle w:val="TableBodyText"/>
            </w:pPr>
            <w:r>
              <w:t xml:space="preserve">Standard: </w:t>
            </w:r>
            <w:r>
              <w:rPr>
                <w:noProof/>
              </w:rPr>
              <w:drawing>
                <wp:inline distT="0" distB="0" distL="0" distR="0">
                  <wp:extent cx="781050" cy="628650"/>
                  <wp:effectExtent l="0" t="0" r="0" b="0"/>
                  <wp:docPr id="342015682" name="Picture 1" descr="Rectangular photo with light shadow around edges" title="Rectangular photo with light shadow aroun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75d27-0000-0000-0000-000000000000" descr="Rectangular photo with light shadow around edges" title="Rectangular photo with light shadow around edges"/>
                          <pic:cNvPicPr>
                            <a:picLocks noChangeAspect="1" noChangeArrowheads="1"/>
                          </pic:cNvPicPr>
                        </pic:nvPicPr>
                        <pic:blipFill>
                          <a:blip r:embed="rId171"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024C0A" w:rsidRDefault="00694C0F">
            <w:pPr>
              <w:pStyle w:val="TableBodyText"/>
            </w:pPr>
            <w:r>
              <w:t xml:space="preserve">Legacy:     </w:t>
            </w:r>
            <w:r>
              <w:rPr>
                <w:noProof/>
              </w:rPr>
              <w:drawing>
                <wp:inline distT="0" distB="0" distL="0" distR="0">
                  <wp:extent cx="762000" cy="609600"/>
                  <wp:effectExtent l="0" t="0" r="0" b="0"/>
                  <wp:docPr id="342015683" name="Picture 1" descr="White rectangle with dark corners and drop shadow on bottom right" title="White rectangle with dark corner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45d27-0000-0000-0000-000000000000" descr="White rectangle with dark corners and drop shadow on bottom right" title="White rectangle with dark corners and drop shadow on bottom right"/>
                          <pic:cNvPicPr>
                            <a:picLocks noChangeAspect="1" noChangeArrowheads="1"/>
                          </pic:cNvPicPr>
                        </pic:nvPicPr>
                        <pic:blipFill>
                          <a:blip r:embed="rId172"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024C0A" w:rsidTr="00024C0A">
        <w:tc>
          <w:tcPr>
            <w:tcW w:w="0" w:type="auto"/>
            <w:vAlign w:val="center"/>
          </w:tcPr>
          <w:p w:rsidR="00024C0A" w:rsidRDefault="00694C0F">
            <w:pPr>
              <w:pStyle w:val="TableBodyText"/>
            </w:pPr>
            <w:r>
              <w:rPr>
                <w:b/>
              </w:rPr>
              <w:t>frameStyle7</w:t>
            </w:r>
            <w:r>
              <w:t xml:space="preserve"> (Soft Edge Photo Frame)</w:t>
            </w:r>
          </w:p>
        </w:tc>
        <w:tc>
          <w:tcPr>
            <w:tcW w:w="0" w:type="auto"/>
            <w:vAlign w:val="center"/>
          </w:tcPr>
          <w:p w:rsidR="00024C0A" w:rsidRDefault="00694C0F">
            <w:pPr>
              <w:pStyle w:val="TableBodyText"/>
            </w:pPr>
            <w:r>
              <w:t xml:space="preserve">Standard: </w:t>
            </w:r>
            <w:r>
              <w:rPr>
                <w:noProof/>
              </w:rPr>
              <w:drawing>
                <wp:inline distT="0" distB="0" distL="0" distR="0">
                  <wp:extent cx="781050" cy="628650"/>
                  <wp:effectExtent l="0" t="0" r="0" b="0"/>
                  <wp:docPr id="342015684" name="Picture 1" descr="Rectangular photo with soft edges all around" title="Rectangular photo with soft edges all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55d27-0000-0000-0000-000000000000" descr="Rectangular photo with soft edges all around" title="Rectangular photo with soft edges all around"/>
                          <pic:cNvPicPr>
                            <a:picLocks noChangeAspect="1" noChangeArrowheads="1"/>
                          </pic:cNvPicPr>
                        </pic:nvPicPr>
                        <pic:blipFill>
                          <a:blip r:embed="rId173"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024C0A" w:rsidRDefault="00694C0F">
            <w:pPr>
              <w:pStyle w:val="TableBodyText"/>
            </w:pPr>
            <w:r>
              <w:t xml:space="preserve">Legacy:     </w:t>
            </w:r>
            <w:r>
              <w:rPr>
                <w:noProof/>
              </w:rPr>
              <w:drawing>
                <wp:inline distT="0" distB="0" distL="0" distR="0">
                  <wp:extent cx="762000" cy="609600"/>
                  <wp:effectExtent l="0" t="0" r="0" b="0"/>
                  <wp:docPr id="342015685" name="Picture 1" descr="White rectangle with dark edges and drop shadow on bottom right" title="White rectangle with dark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25d27-0000-0000-0000-000000000000" descr="White rectangle with dark edges and drop shadow on bottom right" title="White rectangle with dark edges and drop shadow on bottom right"/>
                          <pic:cNvPicPr>
                            <a:picLocks noChangeAspect="1" noChangeArrowheads="1"/>
                          </pic:cNvPicPr>
                        </pic:nvPicPr>
                        <pic:blipFill>
                          <a:blip r:embed="rId174"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bl>
    <w:p w:rsidR="00024C0A" w:rsidRDefault="00024C0A"/>
    <w:p w:rsidR="00024C0A" w:rsidRDefault="00694C0F">
      <w:pPr>
        <w:pStyle w:val="Heading3"/>
      </w:pPr>
      <w:bookmarkStart w:id="2389" w:name="section_4f007c9d15164dd0848087f21fc54ee3"/>
      <w:bookmarkStart w:id="2390" w:name="_Toc12261255"/>
      <w:r>
        <w:t>Part 1 Section 19.7.24, ST_TLAnimateEffectTransition (Time List Animate Effect Transition)</w:t>
      </w:r>
      <w:bookmarkEnd w:id="2389"/>
      <w:bookmarkEnd w:id="2390"/>
      <w:r>
        <w:fldChar w:fldCharType="begin"/>
      </w:r>
      <w:r>
        <w:instrText xml:space="preserve"> XE "ST_TLAnimateEffectTransition (Time List Animate Effect Transition)" </w:instrText>
      </w:r>
      <w:r>
        <w:fldChar w:fldCharType="end"/>
      </w:r>
    </w:p>
    <w:p w:rsidR="00024C0A" w:rsidRDefault="00694C0F">
      <w:pPr>
        <w:pStyle w:val="Definition-Field"/>
      </w:pPr>
      <w:r>
        <w:t xml:space="preserve">a.   </w:t>
      </w:r>
      <w:r>
        <w:rPr>
          <w:i/>
        </w:rPr>
        <w:t>The standard does not specify how to interpret a transition value of none.</w:t>
      </w:r>
    </w:p>
    <w:p w:rsidR="00024C0A" w:rsidRDefault="00694C0F">
      <w:pPr>
        <w:pStyle w:val="Definition-Field2"/>
      </w:pPr>
      <w:r>
        <w:t>PowerPoint interprets a value of none as being equal to in.</w:t>
      </w:r>
    </w:p>
    <w:p w:rsidR="00024C0A" w:rsidRDefault="00694C0F">
      <w:pPr>
        <w:pStyle w:val="Heading3"/>
      </w:pPr>
      <w:bookmarkStart w:id="2391" w:name="section_e1478454837249af8963620f9f11ceb7"/>
      <w:bookmarkStart w:id="2392" w:name="_Toc12261256"/>
      <w:r>
        <w:t>Part 1 Section 19.7.25, ST_TLAnimateMotionBehaviorOrigin (Time List Animate Motion Behavior Origin)</w:t>
      </w:r>
      <w:bookmarkEnd w:id="2391"/>
      <w:bookmarkEnd w:id="2392"/>
      <w:r>
        <w:fldChar w:fldCharType="begin"/>
      </w:r>
      <w:r>
        <w:instrText xml:space="preserve"> XE "ST_TLAnimat</w:instrText>
      </w:r>
      <w:r>
        <w:instrText xml:space="preserve">eMotionBehaviorOrigin (Time List Animate Motion Behavior Origin)" </w:instrText>
      </w:r>
      <w:r>
        <w:fldChar w:fldCharType="end"/>
      </w:r>
    </w:p>
    <w:p w:rsidR="00024C0A" w:rsidRDefault="00694C0F">
      <w:pPr>
        <w:pStyle w:val="Definition-Field"/>
      </w:pPr>
      <w:r>
        <w:t xml:space="preserve">a.   </w:t>
      </w:r>
      <w:r>
        <w:rPr>
          <w:i/>
        </w:rPr>
        <w:t>The standard does not specify how to interpret the origin values.</w:t>
      </w:r>
    </w:p>
    <w:p w:rsidR="00024C0A" w:rsidRDefault="00694C0F">
      <w:pPr>
        <w:pStyle w:val="Definition-Field2"/>
      </w:pPr>
      <w:r>
        <w:t>PowerPoint interprets the layout origin as being the center of the object and the parent origin as being the upper l</w:t>
      </w:r>
      <w:r>
        <w:t>eft corner of the slide.</w:t>
      </w:r>
    </w:p>
    <w:p w:rsidR="00024C0A" w:rsidRDefault="00694C0F">
      <w:pPr>
        <w:pStyle w:val="Heading3"/>
      </w:pPr>
      <w:bookmarkStart w:id="2393" w:name="section_16c12ef48608468c8ff133b4ba0ac056"/>
      <w:bookmarkStart w:id="2394" w:name="_Toc12261257"/>
      <w:r>
        <w:lastRenderedPageBreak/>
        <w:t>Part 1 Section 19.7.28, ST_TLBehaviorAdditiveType (Behavior Additive Type)</w:t>
      </w:r>
      <w:bookmarkEnd w:id="2393"/>
      <w:bookmarkEnd w:id="2394"/>
      <w:r>
        <w:fldChar w:fldCharType="begin"/>
      </w:r>
      <w:r>
        <w:instrText xml:space="preserve"> XE "ST_TLBehaviorAdditiveType (Behavior Additive Type)" </w:instrText>
      </w:r>
      <w:r>
        <w:fldChar w:fldCharType="end"/>
      </w:r>
    </w:p>
    <w:p w:rsidR="00024C0A" w:rsidRDefault="00694C0F">
      <w:pPr>
        <w:pStyle w:val="Definition-Field"/>
      </w:pPr>
      <w:r>
        <w:t xml:space="preserve">a.   </w:t>
      </w:r>
      <w:r>
        <w:rPr>
          <w:i/>
        </w:rPr>
        <w:t>The standard states that base, mult, and none are valid behavior additive type values.</w:t>
      </w:r>
    </w:p>
    <w:p w:rsidR="00024C0A" w:rsidRDefault="00694C0F">
      <w:pPr>
        <w:pStyle w:val="Definition-Field2"/>
      </w:pPr>
      <w:r>
        <w:t>Power</w:t>
      </w:r>
      <w:r>
        <w:t>Point does not support these values.</w:t>
      </w:r>
    </w:p>
    <w:p w:rsidR="00024C0A" w:rsidRDefault="00694C0F">
      <w:pPr>
        <w:pStyle w:val="Heading3"/>
      </w:pPr>
      <w:bookmarkStart w:id="2395" w:name="section_7128b0c014ef4b5f8d9f257dd209846d"/>
      <w:bookmarkStart w:id="2396" w:name="_Toc12261258"/>
      <w:r>
        <w:t>Part 1 Section 19.7.30, ST_TLBehaviorTransformType (Behavior Transform Type)</w:t>
      </w:r>
      <w:bookmarkEnd w:id="2395"/>
      <w:bookmarkEnd w:id="2396"/>
      <w:r>
        <w:fldChar w:fldCharType="begin"/>
      </w:r>
      <w:r>
        <w:instrText xml:space="preserve"> XE "ST_TLBehaviorTransformType (Behavior Transform Type)" </w:instrText>
      </w:r>
      <w:r>
        <w:fldChar w:fldCharType="end"/>
      </w:r>
    </w:p>
    <w:p w:rsidR="00024C0A" w:rsidRDefault="00694C0F">
      <w:pPr>
        <w:pStyle w:val="Definition-Field"/>
      </w:pPr>
      <w:r>
        <w:t xml:space="preserve">a.   </w:t>
      </w:r>
      <w:r>
        <w:rPr>
          <w:i/>
        </w:rPr>
        <w:t xml:space="preserve">The standard states that a behavior transform type with a value of pt </w:t>
      </w:r>
      <w:r>
        <w:rPr>
          <w:i/>
        </w:rPr>
        <w:t>specifies a point transform.</w:t>
      </w:r>
    </w:p>
    <w:p w:rsidR="00024C0A" w:rsidRDefault="00694C0F">
      <w:pPr>
        <w:pStyle w:val="Definition-Field2"/>
      </w:pPr>
      <w:r>
        <w:t>PowerPoint uses this value to specify a property transform.</w:t>
      </w:r>
    </w:p>
    <w:p w:rsidR="00024C0A" w:rsidRDefault="00694C0F">
      <w:pPr>
        <w:pStyle w:val="Heading3"/>
      </w:pPr>
      <w:bookmarkStart w:id="2397" w:name="section_a9dc8c5b9ef849729200113eddc54e18"/>
      <w:bookmarkStart w:id="2398" w:name="_Toc12261259"/>
      <w:r>
        <w:t>Part 1 Section 19.7.38, ST_TLTime (Time)</w:t>
      </w:r>
      <w:bookmarkEnd w:id="2397"/>
      <w:bookmarkEnd w:id="2398"/>
      <w:r>
        <w:fldChar w:fldCharType="begin"/>
      </w:r>
      <w:r>
        <w:instrText xml:space="preserve"> XE "ST_TLTime (Time)" </w:instrText>
      </w:r>
      <w:r>
        <w:fldChar w:fldCharType="end"/>
      </w:r>
    </w:p>
    <w:p w:rsidR="00024C0A" w:rsidRDefault="00694C0F">
      <w:pPr>
        <w:pStyle w:val="Definition-Field"/>
      </w:pPr>
      <w:r>
        <w:t xml:space="preserve">a.   </w:t>
      </w:r>
      <w:r>
        <w:rPr>
          <w:i/>
        </w:rPr>
        <w:t xml:space="preserve">The standard states that the ST_TLTime simple type specifies the time after which to </w:t>
      </w:r>
      <w:r>
        <w:rPr>
          <w:i/>
        </w:rPr>
        <w:t>automatically advance the build to the next step.</w:t>
      </w:r>
    </w:p>
    <w:p w:rsidR="00024C0A" w:rsidRDefault="00694C0F">
      <w:pPr>
        <w:pStyle w:val="Definition-Field2"/>
      </w:pPr>
      <w:r>
        <w:t>PowerPoint lets the parent define how to use this simple type.</w:t>
      </w:r>
    </w:p>
    <w:p w:rsidR="00024C0A" w:rsidRDefault="00694C0F">
      <w:pPr>
        <w:pStyle w:val="Heading3"/>
      </w:pPr>
      <w:bookmarkStart w:id="2399" w:name="section_95561e91e1c047d59ec4006d89646dea"/>
      <w:bookmarkStart w:id="2400" w:name="_Toc12261260"/>
      <w:r>
        <w:t>Part 1 Section 19.7.41, ST_TLTimeNodeFillType (Time Node Fill Type)</w:t>
      </w:r>
      <w:bookmarkEnd w:id="2399"/>
      <w:bookmarkEnd w:id="2400"/>
      <w:r>
        <w:fldChar w:fldCharType="begin"/>
      </w:r>
      <w:r>
        <w:instrText xml:space="preserve"> XE "ST_TLTimeNodeFillType (Time Node Fill Type)" </w:instrText>
      </w:r>
      <w:r>
        <w:fldChar w:fldCharType="end"/>
      </w:r>
    </w:p>
    <w:p w:rsidR="00024C0A" w:rsidRDefault="00694C0F">
      <w:pPr>
        <w:pStyle w:val="Definition-Field"/>
      </w:pPr>
      <w:r>
        <w:t xml:space="preserve">a.   </w:t>
      </w:r>
      <w:r>
        <w:rPr>
          <w:i/>
        </w:rPr>
        <w:t xml:space="preserve">The standard does </w:t>
      </w:r>
      <w:r>
        <w:rPr>
          <w:i/>
        </w:rPr>
        <w:t>not specify how to interpret the transition fill type.</w:t>
      </w:r>
    </w:p>
    <w:p w:rsidR="00024C0A" w:rsidRDefault="00694C0F">
      <w:pPr>
        <w:pStyle w:val="Definition-Field2"/>
      </w:pPr>
      <w:r>
        <w:t>PowerPoint uses this value to signify that an element's properties reset to their original values after the element becomes inactive.</w:t>
      </w:r>
    </w:p>
    <w:p w:rsidR="00024C0A" w:rsidRDefault="00694C0F">
      <w:pPr>
        <w:pStyle w:val="Definition-Field"/>
      </w:pPr>
      <w:r>
        <w:t xml:space="preserve">b.   </w:t>
      </w:r>
      <w:r>
        <w:rPr>
          <w:i/>
        </w:rPr>
        <w:t>The standard does not specify how to interpret the freeze fill</w:t>
      </w:r>
      <w:r>
        <w:rPr>
          <w:i/>
        </w:rPr>
        <w:t xml:space="preserve"> type.</w:t>
      </w:r>
    </w:p>
    <w:p w:rsidR="00024C0A" w:rsidRDefault="00694C0F">
      <w:pPr>
        <w:pStyle w:val="Definition-Field2"/>
      </w:pPr>
      <w:r>
        <w:t>PowerPoint uses this value to signify that an element's properties should remain at their ending values while their parent is still running or holding, or until another sibling element is started under a seq element or an excl element.</w:t>
      </w:r>
    </w:p>
    <w:p w:rsidR="00024C0A" w:rsidRDefault="00694C0F">
      <w:pPr>
        <w:pStyle w:val="Definition-Field"/>
      </w:pPr>
      <w:r>
        <w:t xml:space="preserve">c.   </w:t>
      </w:r>
      <w:r>
        <w:rPr>
          <w:i/>
        </w:rPr>
        <w:t>The stan</w:t>
      </w:r>
      <w:r>
        <w:rPr>
          <w:i/>
        </w:rPr>
        <w:t>dard does not specify how to interpret the hold fill type.</w:t>
      </w:r>
    </w:p>
    <w:p w:rsidR="00024C0A" w:rsidRDefault="00694C0F">
      <w:pPr>
        <w:pStyle w:val="Definition-Field2"/>
      </w:pPr>
      <w:r>
        <w:t>PowerPoint uses this value to signify that an element's properties remain at their ending values while their parent is still running or holding.</w:t>
      </w:r>
    </w:p>
    <w:p w:rsidR="00024C0A" w:rsidRDefault="00694C0F">
      <w:pPr>
        <w:pStyle w:val="Definition-Field"/>
      </w:pPr>
      <w:r>
        <w:t xml:space="preserve">d.   </w:t>
      </w:r>
      <w:r>
        <w:rPr>
          <w:i/>
        </w:rPr>
        <w:t xml:space="preserve">The standard does not specify how to interpret </w:t>
      </w:r>
      <w:r>
        <w:rPr>
          <w:i/>
        </w:rPr>
        <w:t>the remove fill type.</w:t>
      </w:r>
    </w:p>
    <w:p w:rsidR="00024C0A" w:rsidRDefault="00694C0F">
      <w:pPr>
        <w:pStyle w:val="Definition-Field2"/>
      </w:pPr>
      <w:r>
        <w:t>PowerPoint uses this value to signify that an element's properties reset to their original values after the element becomes inactive.</w:t>
      </w:r>
    </w:p>
    <w:p w:rsidR="00024C0A" w:rsidRDefault="00694C0F">
      <w:pPr>
        <w:pStyle w:val="Heading3"/>
      </w:pPr>
      <w:bookmarkStart w:id="2401" w:name="section_751571dcbd2f411eb38c7575bc939071"/>
      <w:bookmarkStart w:id="2402" w:name="_Toc12261261"/>
      <w:r>
        <w:t>Part 1 Section 19.7.43, ST_TLTimeNodeMasterRelation (Time Node Master Relation)</w:t>
      </w:r>
      <w:bookmarkEnd w:id="2401"/>
      <w:bookmarkEnd w:id="2402"/>
      <w:r>
        <w:fldChar w:fldCharType="begin"/>
      </w:r>
      <w:r>
        <w:instrText xml:space="preserve"> XE "ST_TLTimeNodeMas</w:instrText>
      </w:r>
      <w:r>
        <w:instrText xml:space="preserve">terRelation (Time Node Master Relation)" </w:instrText>
      </w:r>
      <w:r>
        <w:fldChar w:fldCharType="end"/>
      </w:r>
    </w:p>
    <w:p w:rsidR="00024C0A" w:rsidRDefault="00694C0F">
      <w:pPr>
        <w:pStyle w:val="Definition-Field"/>
      </w:pPr>
      <w:r>
        <w:t xml:space="preserve">a.   </w:t>
      </w:r>
      <w:r>
        <w:rPr>
          <w:i/>
        </w:rPr>
        <w:t>The standard states that lastClick is a valid master relation value.</w:t>
      </w:r>
    </w:p>
    <w:p w:rsidR="00024C0A" w:rsidRDefault="00694C0F">
      <w:pPr>
        <w:pStyle w:val="Definition-Field2"/>
      </w:pPr>
      <w:r>
        <w:t>PowerPoint does not support this value.</w:t>
      </w:r>
    </w:p>
    <w:p w:rsidR="00024C0A" w:rsidRDefault="00694C0F">
      <w:pPr>
        <w:pStyle w:val="Definition-Field"/>
      </w:pPr>
      <w:r>
        <w:t xml:space="preserve">b.   </w:t>
      </w:r>
      <w:r>
        <w:rPr>
          <w:i/>
        </w:rPr>
        <w:t>The standard places no restrictions on when the playback behavior applies.</w:t>
      </w:r>
    </w:p>
    <w:p w:rsidR="00024C0A" w:rsidRDefault="00694C0F">
      <w:pPr>
        <w:pStyle w:val="Definition-Field2"/>
      </w:pPr>
      <w:r>
        <w:t>PowerPoint only ap</w:t>
      </w:r>
      <w:r>
        <w:t>plies the playback behavior when the time node is contained within a subTnLst element.</w:t>
      </w:r>
    </w:p>
    <w:p w:rsidR="00024C0A" w:rsidRDefault="00694C0F">
      <w:pPr>
        <w:pStyle w:val="Definition-Field"/>
      </w:pPr>
      <w:r>
        <w:t xml:space="preserve">c.   </w:t>
      </w:r>
      <w:r>
        <w:rPr>
          <w:i/>
        </w:rPr>
        <w:t>The standard does not specify how to interpret the sameClick master relation.</w:t>
      </w:r>
    </w:p>
    <w:p w:rsidR="00024C0A" w:rsidRDefault="00694C0F">
      <w:pPr>
        <w:pStyle w:val="Definition-Field2"/>
      </w:pPr>
      <w:r>
        <w:lastRenderedPageBreak/>
        <w:t>PowerPoint uses this value to signify that the time node will start at the same time a</w:t>
      </w:r>
      <w:r>
        <w:t>s its master time node.</w:t>
      </w:r>
    </w:p>
    <w:p w:rsidR="00024C0A" w:rsidRDefault="00694C0F">
      <w:pPr>
        <w:pStyle w:val="Definition-Field"/>
      </w:pPr>
      <w:r>
        <w:t xml:space="preserve">d.   </w:t>
      </w:r>
      <w:r>
        <w:rPr>
          <w:i/>
        </w:rPr>
        <w:t>The standard does not specify how to interpret the nextClick master relation.</w:t>
      </w:r>
    </w:p>
    <w:p w:rsidR="00024C0A" w:rsidRDefault="00694C0F">
      <w:pPr>
        <w:pStyle w:val="Definition-Field2"/>
      </w:pPr>
      <w:r>
        <w:t>PowerPoint uses this value to signify that the time node will start when the next time node group starts.</w:t>
      </w:r>
    </w:p>
    <w:p w:rsidR="00024C0A" w:rsidRDefault="00694C0F">
      <w:pPr>
        <w:pStyle w:val="Heading3"/>
      </w:pPr>
      <w:bookmarkStart w:id="2403" w:name="section_278466dec56a4eaaa0b1723c7aef9b99"/>
      <w:bookmarkStart w:id="2404" w:name="_Toc12261262"/>
      <w:r>
        <w:t>Part 1 Section 19.7.45, ST_TLTimeNodeRestar</w:t>
      </w:r>
      <w:r>
        <w:t>tType (Time Node Restart Type)</w:t>
      </w:r>
      <w:bookmarkEnd w:id="2403"/>
      <w:bookmarkEnd w:id="2404"/>
      <w:r>
        <w:fldChar w:fldCharType="begin"/>
      </w:r>
      <w:r>
        <w:instrText xml:space="preserve"> XE "ST_TLTimeNodeRestartType (Time Node Restart Type)" </w:instrText>
      </w:r>
      <w:r>
        <w:fldChar w:fldCharType="end"/>
      </w:r>
    </w:p>
    <w:p w:rsidR="00024C0A" w:rsidRDefault="00694C0F">
      <w:pPr>
        <w:pStyle w:val="Definition-Field"/>
      </w:pPr>
      <w:r>
        <w:t xml:space="preserve">a.   </w:t>
      </w:r>
      <w:r>
        <w:rPr>
          <w:i/>
        </w:rPr>
        <w:t>The standard states that the ST_TLTimeNodeRestartType simple type determines whether an effect can play more than once.</w:t>
      </w:r>
    </w:p>
    <w:p w:rsidR="00024C0A" w:rsidRDefault="00694C0F">
      <w:pPr>
        <w:pStyle w:val="Definition-Field2"/>
      </w:pPr>
      <w:r>
        <w:t>PowerPoint uses this simple type to signif</w:t>
      </w:r>
      <w:r>
        <w:t>y when a time node can restart.</w:t>
      </w:r>
    </w:p>
    <w:p w:rsidR="00024C0A" w:rsidRDefault="00694C0F">
      <w:pPr>
        <w:pStyle w:val="Heading3"/>
      </w:pPr>
      <w:bookmarkStart w:id="2405" w:name="section_6acf6d2c64234f5e8a166533a20fbd41"/>
      <w:bookmarkStart w:id="2406" w:name="_Toc12261263"/>
      <w:r>
        <w:t>Part 1 Section 19.7.48, ST_TLTriggerEvent (Trigger Event)</w:t>
      </w:r>
      <w:bookmarkEnd w:id="2405"/>
      <w:bookmarkEnd w:id="2406"/>
      <w:r>
        <w:fldChar w:fldCharType="begin"/>
      </w:r>
      <w:r>
        <w:instrText xml:space="preserve"> XE "ST_TLTriggerEvent (Trigger Event)" </w:instrText>
      </w:r>
      <w:r>
        <w:fldChar w:fldCharType="end"/>
      </w:r>
    </w:p>
    <w:p w:rsidR="00024C0A" w:rsidRDefault="00694C0F">
      <w:pPr>
        <w:pStyle w:val="Definition-Field"/>
      </w:pPr>
      <w:r>
        <w:t xml:space="preserve">a.   </w:t>
      </w:r>
      <w:r>
        <w:rPr>
          <w:i/>
        </w:rPr>
        <w:t>The standard implies that the begin value and the onBegin value are equivalent.</w:t>
      </w:r>
    </w:p>
    <w:p w:rsidR="00024C0A" w:rsidRDefault="00694C0F">
      <w:pPr>
        <w:pStyle w:val="Definition-Field2"/>
      </w:pPr>
      <w:r>
        <w:t xml:space="preserve">PowerPoint interprets the begin value </w:t>
      </w:r>
      <w:r>
        <w:t>to specify that a trigger should be fired when the specified time node begins, and the onBegin value to specify that a trigger should be fired when the onBegin event occurs on the specified target.</w:t>
      </w:r>
    </w:p>
    <w:p w:rsidR="00024C0A" w:rsidRDefault="00694C0F">
      <w:pPr>
        <w:pStyle w:val="Definition-Field"/>
      </w:pPr>
      <w:r>
        <w:t xml:space="preserve">b.   </w:t>
      </w:r>
      <w:r>
        <w:rPr>
          <w:i/>
        </w:rPr>
        <w:t>The standard implies that the end value and the onEnd</w:t>
      </w:r>
      <w:r>
        <w:rPr>
          <w:i/>
        </w:rPr>
        <w:t xml:space="preserve"> value are equivalent.</w:t>
      </w:r>
    </w:p>
    <w:p w:rsidR="00024C0A" w:rsidRDefault="00694C0F">
      <w:pPr>
        <w:pStyle w:val="Definition-Field2"/>
      </w:pPr>
      <w:r>
        <w:t>PowerPoint interprets the end value to specify that a trigger should be fired when the specified time node ends, and the onEnd value to specify that a trigger should be fired when the onEnd event occurs on the specified target.</w:t>
      </w:r>
    </w:p>
    <w:p w:rsidR="00024C0A" w:rsidRDefault="00694C0F">
      <w:pPr>
        <w:pStyle w:val="Definition-Field"/>
      </w:pPr>
      <w:r>
        <w:t xml:space="preserve">c.   </w:t>
      </w:r>
      <w:r>
        <w:rPr>
          <w:i/>
        </w:rPr>
        <w:t>The standard states that the onNext value specifies that a trigger should be fired on the next node.</w:t>
      </w:r>
    </w:p>
    <w:p w:rsidR="00024C0A" w:rsidRDefault="00694C0F">
      <w:pPr>
        <w:pStyle w:val="Definition-Field2"/>
      </w:pPr>
      <w:r>
        <w:t>PowerPoint uses this value to specify that a trigger should be fired when the onNext event occurs on the specified target.</w:t>
      </w:r>
    </w:p>
    <w:p w:rsidR="00024C0A" w:rsidRDefault="00694C0F">
      <w:pPr>
        <w:pStyle w:val="Definition-Field"/>
      </w:pPr>
      <w:r>
        <w:t xml:space="preserve">d.   </w:t>
      </w:r>
      <w:r>
        <w:rPr>
          <w:i/>
        </w:rPr>
        <w:t>The standard states that th</w:t>
      </w:r>
      <w:r>
        <w:rPr>
          <w:i/>
        </w:rPr>
        <w:t>e onPrev value specifies that a trigger should be fired on the previous node.</w:t>
      </w:r>
    </w:p>
    <w:p w:rsidR="00024C0A" w:rsidRDefault="00694C0F">
      <w:pPr>
        <w:pStyle w:val="Definition-Field2"/>
      </w:pPr>
      <w:r>
        <w:t>PowerPoint uses this value to specify that a trigger should be fired when the onPrevious event occurs on the specified target.</w:t>
      </w:r>
    </w:p>
    <w:p w:rsidR="00024C0A" w:rsidRDefault="00694C0F">
      <w:pPr>
        <w:pStyle w:val="Definition-Field"/>
      </w:pPr>
      <w:r>
        <w:t xml:space="preserve">e.   </w:t>
      </w:r>
      <w:r>
        <w:rPr>
          <w:i/>
        </w:rPr>
        <w:t>The standard states that the onStopAudio value</w:t>
      </w:r>
      <w:r>
        <w:rPr>
          <w:i/>
        </w:rPr>
        <w:t xml:space="preserve"> specifies that a trigger should be fired on stop audio.</w:t>
      </w:r>
    </w:p>
    <w:p w:rsidR="00024C0A" w:rsidRDefault="00694C0F">
      <w:pPr>
        <w:pStyle w:val="Definition-Field2"/>
      </w:pPr>
      <w:r>
        <w:t>PowerPoint uses this value to specify that a trigger should be fired when the onstopaudio command is fired from a cmd time node.</w:t>
      </w:r>
    </w:p>
    <w:p w:rsidR="00024C0A" w:rsidRDefault="00694C0F">
      <w:pPr>
        <w:pStyle w:val="Heading3"/>
      </w:pPr>
      <w:bookmarkStart w:id="2407" w:name="section_3f5152a76417405bbadc827205e1f4f0"/>
      <w:bookmarkStart w:id="2408" w:name="_Toc12261264"/>
      <w:r>
        <w:t>Part 1 Section 19.7.55, ST_ViewType (List of View Types)</w:t>
      </w:r>
      <w:bookmarkEnd w:id="2407"/>
      <w:bookmarkEnd w:id="2408"/>
      <w:r>
        <w:fldChar w:fldCharType="begin"/>
      </w:r>
      <w:r>
        <w:instrText xml:space="preserve"> XE "ST_ViewTy</w:instrText>
      </w:r>
      <w:r>
        <w:instrText xml:space="preserve">pe (List of View Types)" </w:instrText>
      </w:r>
      <w:r>
        <w:fldChar w:fldCharType="end"/>
      </w:r>
    </w:p>
    <w:p w:rsidR="00024C0A" w:rsidRDefault="00694C0F">
      <w:pPr>
        <w:pStyle w:val="Definition-Field"/>
      </w:pPr>
      <w:r>
        <w:t xml:space="preserve">a.   </w:t>
      </w:r>
      <w:r>
        <w:rPr>
          <w:i/>
        </w:rPr>
        <w:t>The standard states that the outlineView value specifies that outline view mode should be used.</w:t>
      </w:r>
    </w:p>
    <w:p w:rsidR="00024C0A" w:rsidRDefault="00694C0F">
      <w:pPr>
        <w:pStyle w:val="Definition-Field2"/>
      </w:pPr>
      <w:r>
        <w:t>PowerPoint uses this value to specify that normal slide view mode should be used.</w:t>
      </w:r>
    </w:p>
    <w:p w:rsidR="00024C0A" w:rsidRDefault="00694C0F">
      <w:pPr>
        <w:pStyle w:val="Heading3"/>
      </w:pPr>
      <w:bookmarkStart w:id="2409" w:name="section_24e1116b01e942b49a606ec7c266790d"/>
      <w:bookmarkStart w:id="2410" w:name="_Toc12261265"/>
      <w:r>
        <w:t>Part 1 Section 20.1.2.2.1, bldChart (Build Chart)</w:t>
      </w:r>
      <w:bookmarkEnd w:id="2409"/>
      <w:bookmarkEnd w:id="2410"/>
      <w:r>
        <w:fldChar w:fldCharType="begin"/>
      </w:r>
      <w:r>
        <w:instrText xml:space="preserve"> XE "bldChart (Build Chart)" </w:instrText>
      </w:r>
      <w:r>
        <w:fldChar w:fldCharType="end"/>
      </w:r>
    </w:p>
    <w:p w:rsidR="00024C0A" w:rsidRDefault="00694C0F">
      <w:pPr>
        <w:pStyle w:val="Definition-Field"/>
      </w:pPr>
      <w:r>
        <w:t xml:space="preserve">a.   </w:t>
      </w:r>
      <w:r>
        <w:rPr>
          <w:i/>
        </w:rPr>
        <w:t>The standard does not clearly describe whether the bld attribute is a controller or an indicator of behavior.</w:t>
      </w:r>
    </w:p>
    <w:p w:rsidR="00024C0A" w:rsidRDefault="00694C0F">
      <w:pPr>
        <w:pStyle w:val="Definition-Field2"/>
      </w:pPr>
      <w:r>
        <w:lastRenderedPageBreak/>
        <w:t>In Office, the bld attribute is an indicator rather than a c</w:t>
      </w:r>
      <w:r>
        <w:t>ontroller of behavior.</w:t>
      </w:r>
    </w:p>
    <w:p w:rsidR="00024C0A" w:rsidRDefault="00694C0F">
      <w:pPr>
        <w:pStyle w:val="Heading3"/>
      </w:pPr>
      <w:bookmarkStart w:id="2411" w:name="section_b2f238f84a034f4bb63bfe1f3eac7f47"/>
      <w:bookmarkStart w:id="2412" w:name="_Toc12261266"/>
      <w:r>
        <w:t>Part 1 Section 20.1.2.2.2, bldDgm (Build Diagram)</w:t>
      </w:r>
      <w:bookmarkEnd w:id="2411"/>
      <w:bookmarkEnd w:id="2412"/>
      <w:r>
        <w:fldChar w:fldCharType="begin"/>
      </w:r>
      <w:r>
        <w:instrText xml:space="preserve"> XE "bldDgm (Build Diagram)" </w:instrText>
      </w:r>
      <w:r>
        <w:fldChar w:fldCharType="end"/>
      </w:r>
    </w:p>
    <w:p w:rsidR="00024C0A" w:rsidRDefault="00694C0F">
      <w:pPr>
        <w:pStyle w:val="Definition-Field"/>
      </w:pPr>
      <w:r>
        <w:t xml:space="preserve">a.   </w:t>
      </w:r>
      <w:r>
        <w:rPr>
          <w:i/>
        </w:rPr>
        <w:t>The standard does not clearly describe whether attributes are controllers or indicators of a behavior.</w:t>
      </w:r>
    </w:p>
    <w:p w:rsidR="00024C0A" w:rsidRDefault="00694C0F">
      <w:pPr>
        <w:pStyle w:val="Definition-Field2"/>
      </w:pPr>
      <w:r>
        <w:t xml:space="preserve">In Office, attributes are indicators rather </w:t>
      </w:r>
      <w:r>
        <w:t>than controllers of a behavior.</w:t>
      </w:r>
    </w:p>
    <w:p w:rsidR="00024C0A" w:rsidRDefault="00694C0F">
      <w:pPr>
        <w:pStyle w:val="Heading3"/>
      </w:pPr>
      <w:bookmarkStart w:id="2413" w:name="section_b27c7603f2c646ed85f31ca87fc85510"/>
      <w:bookmarkStart w:id="2414" w:name="_Toc12261267"/>
      <w:r>
        <w:t>Part 1 Section 20.1.2.2.4, cNvCxnSpPr (Non-Visual Connector Shape Drawing Properties)</w:t>
      </w:r>
      <w:bookmarkEnd w:id="2413"/>
      <w:bookmarkEnd w:id="2414"/>
      <w:r>
        <w:fldChar w:fldCharType="begin"/>
      </w:r>
      <w:r>
        <w:instrText xml:space="preserve"> XE "cNvCxnSpPr (Non-Visual Connector Shape Drawing Properties)" </w:instrText>
      </w:r>
      <w:r>
        <w:fldChar w:fldCharType="end"/>
      </w:r>
    </w:p>
    <w:p w:rsidR="00024C0A" w:rsidRDefault="00694C0F">
      <w:pPr>
        <w:pStyle w:val="Definition-Field"/>
      </w:pPr>
      <w:r>
        <w:t xml:space="preserve">a.   </w:t>
      </w:r>
      <w:r>
        <w:rPr>
          <w:i/>
        </w:rPr>
        <w:t xml:space="preserve">The standard implies that the cNvCxnSpPr element can only be used </w:t>
      </w:r>
      <w:r>
        <w:rPr>
          <w:i/>
        </w:rPr>
        <w:t>when rendering a slide.</w:t>
      </w:r>
    </w:p>
    <w:p w:rsidR="00024C0A" w:rsidRDefault="00694C0F">
      <w:pPr>
        <w:pStyle w:val="Definition-Field2"/>
      </w:pPr>
      <w:r>
        <w:t>In Office, the cNvCxnSpPr element is used in rendering presentations, spreadsheets and documents.</w:t>
      </w:r>
    </w:p>
    <w:p w:rsidR="00024C0A" w:rsidRDefault="00694C0F">
      <w:pPr>
        <w:pStyle w:val="Heading3"/>
      </w:pPr>
      <w:bookmarkStart w:id="2415" w:name="section_bc12d6f013324416aecd30dfeb62091b"/>
      <w:bookmarkStart w:id="2416" w:name="_Toc12261268"/>
      <w:r>
        <w:t>Part 1 Section 20.1.2.2.5, cNvGraphicFramePr (Non-Visual Graphic Frame Drawing Properties)</w:t>
      </w:r>
      <w:bookmarkEnd w:id="2415"/>
      <w:bookmarkEnd w:id="2416"/>
      <w:r>
        <w:fldChar w:fldCharType="begin"/>
      </w:r>
      <w:r>
        <w:instrText xml:space="preserve"> XE "cNvGraphicFramePr (Non-Visual Graphic F</w:instrText>
      </w:r>
      <w:r>
        <w:instrText xml:space="preserve">rame Drawing Properties)" </w:instrText>
      </w:r>
      <w:r>
        <w:fldChar w:fldCharType="end"/>
      </w:r>
    </w:p>
    <w:p w:rsidR="00024C0A" w:rsidRDefault="00694C0F">
      <w:pPr>
        <w:pStyle w:val="Definition-Field"/>
      </w:pPr>
      <w:r>
        <w:t xml:space="preserve">a.   </w:t>
      </w:r>
      <w:r>
        <w:rPr>
          <w:i/>
        </w:rPr>
        <w:t>The standard implies that the cNvGraphicsFramePr element can only be used when rendering a slide.</w:t>
      </w:r>
    </w:p>
    <w:p w:rsidR="00024C0A" w:rsidRDefault="00694C0F">
      <w:pPr>
        <w:pStyle w:val="Definition-Field2"/>
      </w:pPr>
      <w:r>
        <w:t>In Office, the cNvGraphicsFramePr element is used in rendering presentations, spreadsheets and documents.</w:t>
      </w:r>
    </w:p>
    <w:p w:rsidR="00024C0A" w:rsidRDefault="00694C0F">
      <w:pPr>
        <w:pStyle w:val="Heading3"/>
      </w:pPr>
      <w:bookmarkStart w:id="2417" w:name="section_58cd5b4217c74759959b4c5a2f6bf763"/>
      <w:bookmarkStart w:id="2418" w:name="_Toc12261269"/>
      <w:r>
        <w:t>Part 1 Section 20.</w:t>
      </w:r>
      <w:r>
        <w:t>1.2.2.6, cNvGrpSpPr (Non-Visual Group Shape Drawing Properties)</w:t>
      </w:r>
      <w:bookmarkEnd w:id="2417"/>
      <w:bookmarkEnd w:id="2418"/>
      <w:r>
        <w:fldChar w:fldCharType="begin"/>
      </w:r>
      <w:r>
        <w:instrText xml:space="preserve"> XE "cNvGrpSpPr (Non-Visual Group Shape Drawing Properties)" </w:instrText>
      </w:r>
      <w:r>
        <w:fldChar w:fldCharType="end"/>
      </w:r>
    </w:p>
    <w:p w:rsidR="00024C0A" w:rsidRDefault="00694C0F">
      <w:pPr>
        <w:pStyle w:val="Definition-Field"/>
      </w:pPr>
      <w:r>
        <w:t xml:space="preserve">a.   </w:t>
      </w:r>
      <w:r>
        <w:rPr>
          <w:i/>
        </w:rPr>
        <w:t>The standard implies that the cNvGrpSpPr element can only be used when rendering a slide.</w:t>
      </w:r>
    </w:p>
    <w:p w:rsidR="00024C0A" w:rsidRDefault="00694C0F">
      <w:pPr>
        <w:pStyle w:val="Definition-Field2"/>
      </w:pPr>
      <w:r>
        <w:t xml:space="preserve">In Office, the cNvGrpSpPr element </w:t>
      </w:r>
      <w:r>
        <w:t>is used in rendering presentations, spreadsheets and documents.</w:t>
      </w:r>
    </w:p>
    <w:p w:rsidR="00024C0A" w:rsidRDefault="00694C0F">
      <w:pPr>
        <w:pStyle w:val="Heading3"/>
      </w:pPr>
      <w:bookmarkStart w:id="2419" w:name="section_f34157f3cc864c16b62cc636d8a9e361"/>
      <w:bookmarkStart w:id="2420" w:name="_Toc12261270"/>
      <w:r>
        <w:t>Part 1 Section 20.1.2.2.11, cxnSpLocks (Connection Shape Locks)</w:t>
      </w:r>
      <w:bookmarkEnd w:id="2419"/>
      <w:bookmarkEnd w:id="2420"/>
      <w:r>
        <w:fldChar w:fldCharType="begin"/>
      </w:r>
      <w:r>
        <w:instrText xml:space="preserve"> XE "cxnSpLocks (Connection Shape Locks)" </w:instrText>
      </w:r>
      <w:r>
        <w:fldChar w:fldCharType="end"/>
      </w:r>
    </w:p>
    <w:p w:rsidR="00024C0A" w:rsidRDefault="00694C0F">
      <w:pPr>
        <w:pStyle w:val="Definition-Field2"/>
      </w:pPr>
      <w:r>
        <w:rPr>
          <w:i/>
        </w:rPr>
        <w:t>For additional notes that apply to this portion of the standard, please see the note</w:t>
      </w:r>
      <w:r>
        <w:rPr>
          <w:i/>
        </w:rPr>
        <w:t xml:space="preserve">s for </w:t>
      </w:r>
      <w:hyperlink w:anchor="Section_57e0125f979847efbc6e53ffae4f6c28">
        <w:r>
          <w:rPr>
            <w:rStyle w:val="Hyperlink"/>
          </w:rPr>
          <w:t>picLocks, §20.1.2.2.31(a)</w:t>
        </w:r>
      </w:hyperlink>
      <w:r>
        <w:rPr>
          <w:i/>
        </w:rPr>
        <w:t>.</w:t>
      </w:r>
    </w:p>
    <w:p w:rsidR="00024C0A" w:rsidRDefault="00694C0F">
      <w:pPr>
        <w:pStyle w:val="Definition-Field"/>
      </w:pPr>
      <w:r>
        <w:t xml:space="preserve">a.   </w:t>
      </w:r>
      <w:r>
        <w:rPr>
          <w:i/>
        </w:rPr>
        <w:t>The standard uses a shared attribute group for the locking attributes of shapes, pictures and other graphic objects.</w:t>
      </w:r>
    </w:p>
    <w:p w:rsidR="00024C0A" w:rsidRDefault="00694C0F">
      <w:pPr>
        <w:pStyle w:val="Definition-Field2"/>
      </w:pPr>
      <w:r>
        <w:t xml:space="preserve">Office ignores attributes </w:t>
      </w:r>
      <w:r>
        <w:t>noChangeShapeType, noEditPoints and noRot when applied to a connection shape.</w:t>
      </w:r>
    </w:p>
    <w:p w:rsidR="00024C0A" w:rsidRDefault="00694C0F">
      <w:pPr>
        <w:pStyle w:val="Heading3"/>
      </w:pPr>
      <w:bookmarkStart w:id="2421" w:name="section_c3622cf30c724b1bbaa875630639082d"/>
      <w:bookmarkStart w:id="2422" w:name="_Toc12261271"/>
      <w:r>
        <w:t>Part 1 Section 20.1.2.2.12, dgm (Diagram to Animate)</w:t>
      </w:r>
      <w:bookmarkEnd w:id="2421"/>
      <w:bookmarkEnd w:id="2422"/>
      <w:r>
        <w:fldChar w:fldCharType="begin"/>
      </w:r>
      <w:r>
        <w:instrText xml:space="preserve"> XE "dgm (Diagram to Animate)" </w:instrText>
      </w:r>
      <w:r>
        <w:fldChar w:fldCharType="end"/>
      </w:r>
    </w:p>
    <w:p w:rsidR="00024C0A" w:rsidRDefault="00694C0F">
      <w:pPr>
        <w:pStyle w:val="Definition-Field"/>
      </w:pPr>
      <w:r>
        <w:t xml:space="preserve">a.   </w:t>
      </w:r>
      <w:r>
        <w:rPr>
          <w:i/>
        </w:rPr>
        <w:t xml:space="preserve">The standard states that attribute bldStep allows the entire diagram to be animated as </w:t>
      </w:r>
      <w:r>
        <w:rPr>
          <w:i/>
        </w:rPr>
        <w:t>one object.</w:t>
      </w:r>
    </w:p>
    <w:p w:rsidR="00024C0A" w:rsidRDefault="00694C0F">
      <w:pPr>
        <w:pStyle w:val="Definition-Field2"/>
      </w:pPr>
      <w:r>
        <w:t>PowerPoint supports only build steps that animate diagram shapes.</w:t>
      </w:r>
    </w:p>
    <w:p w:rsidR="00024C0A" w:rsidRDefault="00694C0F">
      <w:pPr>
        <w:pStyle w:val="Heading3"/>
      </w:pPr>
      <w:bookmarkStart w:id="2423" w:name="section_5e8ab39f0beb40b1bfb11aea60ce7e2b"/>
      <w:bookmarkStart w:id="2424" w:name="_Toc12261272"/>
      <w:r>
        <w:t>Part 1 Section 20.1.2.2.13, endCxn (Connection End)</w:t>
      </w:r>
      <w:bookmarkEnd w:id="2423"/>
      <w:bookmarkEnd w:id="2424"/>
      <w:r>
        <w:fldChar w:fldCharType="begin"/>
      </w:r>
      <w:r>
        <w:instrText xml:space="preserve"> XE "endCxn (Connection End)" </w:instrText>
      </w:r>
      <w:r>
        <w:fldChar w:fldCharType="end"/>
      </w:r>
    </w:p>
    <w:p w:rsidR="00024C0A" w:rsidRDefault="00694C0F">
      <w:pPr>
        <w:pStyle w:val="Definition-Field"/>
      </w:pPr>
      <w:r>
        <w:t xml:space="preserve">a.   </w:t>
      </w:r>
      <w:r>
        <w:rPr>
          <w:i/>
        </w:rPr>
        <w:t>The standard states that attributes id and idx only apply to the final connection.</w:t>
      </w:r>
    </w:p>
    <w:p w:rsidR="00024C0A" w:rsidRDefault="00694C0F">
      <w:pPr>
        <w:pStyle w:val="Definition-Field2"/>
      </w:pPr>
      <w:r>
        <w:t>In Off</w:t>
      </w:r>
      <w:r>
        <w:t>ice, the id and idx attributes apply to all connections, not just the final connections.</w:t>
      </w:r>
    </w:p>
    <w:p w:rsidR="00024C0A" w:rsidRDefault="00694C0F">
      <w:pPr>
        <w:pStyle w:val="Heading3"/>
      </w:pPr>
      <w:bookmarkStart w:id="2425" w:name="section_eb76ce70bb7c4714b266be157ebbf2a3"/>
      <w:bookmarkStart w:id="2426" w:name="_Toc12261273"/>
      <w:r>
        <w:lastRenderedPageBreak/>
        <w:t>Part 1 Section 20.1.2.2.14, ext (Extension)</w:t>
      </w:r>
      <w:bookmarkEnd w:id="2425"/>
      <w:bookmarkEnd w:id="2426"/>
      <w:r>
        <w:fldChar w:fldCharType="begin"/>
      </w:r>
      <w:r>
        <w:instrText xml:space="preserve"> XE "ext (Extension)" </w:instrText>
      </w:r>
      <w:r>
        <w:fldChar w:fldCharType="end"/>
      </w:r>
    </w:p>
    <w:p w:rsidR="00024C0A" w:rsidRDefault="00694C0F">
      <w:pPr>
        <w:pStyle w:val="Definition-Field"/>
      </w:pPr>
      <w:r>
        <w:t xml:space="preserve">a.   </w:t>
      </w:r>
      <w:r>
        <w:rPr>
          <w:i/>
        </w:rPr>
        <w:t>The standard implies that the uri attribute is optional.</w:t>
      </w:r>
    </w:p>
    <w:p w:rsidR="00024C0A" w:rsidRDefault="00694C0F">
      <w:pPr>
        <w:pStyle w:val="Definition-Field2"/>
      </w:pPr>
      <w:r>
        <w:t>Office requires the uri attribute.</w:t>
      </w:r>
    </w:p>
    <w:p w:rsidR="00024C0A" w:rsidRDefault="00694C0F">
      <w:pPr>
        <w:pStyle w:val="Heading3"/>
      </w:pPr>
      <w:bookmarkStart w:id="2427" w:name="section_05d4382cb474457198bc227f8c917033"/>
      <w:bookmarkStart w:id="2428" w:name="_Toc12261274"/>
      <w:r>
        <w:t>Pa</w:t>
      </w:r>
      <w:r>
        <w:t>rt 1 Section 20.1.2.2.17, graphicData (Graphic Object Data)</w:t>
      </w:r>
      <w:bookmarkEnd w:id="2427"/>
      <w:bookmarkEnd w:id="2428"/>
      <w:r>
        <w:fldChar w:fldCharType="begin"/>
      </w:r>
      <w:r>
        <w:instrText xml:space="preserve"> XE "graphicData (Graphic Object Data)" </w:instrText>
      </w:r>
      <w:r>
        <w:fldChar w:fldCharType="end"/>
      </w:r>
    </w:p>
    <w:p w:rsidR="00024C0A" w:rsidRDefault="00694C0F">
      <w:pPr>
        <w:pStyle w:val="Definition-Field"/>
      </w:pPr>
      <w:r>
        <w:t xml:space="preserve">a.   </w:t>
      </w:r>
      <w:r>
        <w:rPr>
          <w:i/>
        </w:rPr>
        <w:t>The standard implies that the uri attribute is optional.</w:t>
      </w:r>
    </w:p>
    <w:p w:rsidR="00024C0A" w:rsidRDefault="00694C0F">
      <w:pPr>
        <w:pStyle w:val="Definition-Field2"/>
      </w:pPr>
      <w:r>
        <w:t>Office requires the uri attribute.</w:t>
      </w:r>
    </w:p>
    <w:p w:rsidR="00024C0A" w:rsidRDefault="00694C0F">
      <w:pPr>
        <w:pStyle w:val="Definition-Field"/>
      </w:pPr>
      <w:r>
        <w:t xml:space="preserve">b.   </w:t>
      </w:r>
      <w:r>
        <w:rPr>
          <w:i/>
        </w:rPr>
        <w:t>The standard does not enumerate any known servers fo</w:t>
      </w:r>
      <w:r>
        <w:rPr>
          <w:i/>
        </w:rPr>
        <w:t>r processing the contents of the graphicData element.</w:t>
      </w:r>
    </w:p>
    <w:p w:rsidR="00024C0A" w:rsidRDefault="00694C0F">
      <w:r>
        <w:t xml:space="preserve">Office implements a finite set of servers for processing the contents of the graphicData element. Office uses the uri attribute to determine the contents of the graphicData element, as described in the </w:t>
      </w:r>
      <w:r>
        <w:t>following table:</w:t>
      </w:r>
    </w:p>
    <w:tbl>
      <w:tblPr>
        <w:tblStyle w:val="Table-ShadedHeader"/>
        <w:tblW w:w="0" w:type="auto"/>
        <w:tblLook w:val="04A0" w:firstRow="1" w:lastRow="0" w:firstColumn="1" w:lastColumn="0" w:noHBand="0" w:noVBand="1"/>
      </w:tblPr>
      <w:tblGrid>
        <w:gridCol w:w="5724"/>
        <w:gridCol w:w="1413"/>
        <w:gridCol w:w="2338"/>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URI</w:t>
            </w:r>
          </w:p>
        </w:tc>
        <w:tc>
          <w:tcPr>
            <w:tcW w:w="0" w:type="auto"/>
            <w:vAlign w:val="center"/>
          </w:tcPr>
          <w:p w:rsidR="00024C0A" w:rsidRDefault="00694C0F">
            <w:pPr>
              <w:pStyle w:val="TableHeaderText"/>
            </w:pPr>
            <w:r>
              <w:t>Root Element</w:t>
            </w:r>
          </w:p>
        </w:tc>
        <w:tc>
          <w:tcPr>
            <w:tcW w:w="0" w:type="auto"/>
            <w:vAlign w:val="center"/>
          </w:tcPr>
          <w:p w:rsidR="00024C0A" w:rsidRDefault="00694C0F">
            <w:pPr>
              <w:pStyle w:val="TableHeaderText"/>
            </w:pPr>
            <w:r>
              <w:t>Ref</w:t>
            </w:r>
          </w:p>
        </w:tc>
      </w:tr>
      <w:tr w:rsidR="00024C0A" w:rsidTr="00024C0A">
        <w:tc>
          <w:tcPr>
            <w:tcW w:w="0" w:type="auto"/>
            <w:vAlign w:val="center"/>
          </w:tcPr>
          <w:p w:rsidR="00024C0A" w:rsidRDefault="00694C0F">
            <w:pPr>
              <w:pStyle w:val="TableBodyText"/>
            </w:pPr>
            <w:r>
              <w:t>http://schemas.openxmlformats.org/drawingml/2006/table</w:t>
            </w:r>
          </w:p>
        </w:tc>
        <w:tc>
          <w:tcPr>
            <w:tcW w:w="0" w:type="auto"/>
            <w:vAlign w:val="center"/>
          </w:tcPr>
          <w:p w:rsidR="00024C0A" w:rsidRDefault="00694C0F">
            <w:pPr>
              <w:pStyle w:val="TableBodyText"/>
            </w:pPr>
            <w:r>
              <w:t>tbl</w:t>
            </w:r>
          </w:p>
        </w:tc>
        <w:tc>
          <w:tcPr>
            <w:tcW w:w="0" w:type="auto"/>
            <w:vAlign w:val="center"/>
          </w:tcPr>
          <w:p w:rsidR="00024C0A" w:rsidRDefault="00694C0F">
            <w:pPr>
              <w:pStyle w:val="TableBodyText"/>
            </w:pPr>
            <w:r>
              <w:t>"</w:t>
            </w:r>
            <w:hyperlink r:id="rId175">
              <w:r>
                <w:rPr>
                  <w:rStyle w:val="Hyperlink"/>
                </w:rPr>
                <w:t>[ISO/IEC-29500-1]</w:t>
              </w:r>
            </w:hyperlink>
            <w:r>
              <w:t xml:space="preserve"> §21.1.3.13; tbl"</w:t>
            </w:r>
          </w:p>
        </w:tc>
      </w:tr>
      <w:tr w:rsidR="00024C0A" w:rsidTr="00024C0A">
        <w:tc>
          <w:tcPr>
            <w:tcW w:w="0" w:type="auto"/>
            <w:vAlign w:val="center"/>
          </w:tcPr>
          <w:p w:rsidR="00024C0A" w:rsidRDefault="00694C0F">
            <w:pPr>
              <w:pStyle w:val="TableBodyText"/>
            </w:pPr>
            <w:r>
              <w:t>http://schemas.openxmlformats.org/drawingml/2006/diagram</w:t>
            </w:r>
          </w:p>
        </w:tc>
        <w:tc>
          <w:tcPr>
            <w:tcW w:w="0" w:type="auto"/>
            <w:vAlign w:val="center"/>
          </w:tcPr>
          <w:p w:rsidR="00024C0A" w:rsidRDefault="00694C0F">
            <w:pPr>
              <w:pStyle w:val="TableBodyText"/>
            </w:pPr>
            <w:r>
              <w:t>relIds</w:t>
            </w:r>
          </w:p>
        </w:tc>
        <w:tc>
          <w:tcPr>
            <w:tcW w:w="0" w:type="auto"/>
            <w:vAlign w:val="center"/>
          </w:tcPr>
          <w:p w:rsidR="00024C0A" w:rsidRDefault="00694C0F">
            <w:pPr>
              <w:pStyle w:val="TableBodyText"/>
            </w:pPr>
            <w:r>
              <w:t>"[ISO/IEC-29500-1] §21.4.2.22; relIds"</w:t>
            </w:r>
          </w:p>
        </w:tc>
      </w:tr>
      <w:tr w:rsidR="00024C0A" w:rsidTr="00024C0A">
        <w:tc>
          <w:tcPr>
            <w:tcW w:w="0" w:type="auto"/>
            <w:vAlign w:val="center"/>
          </w:tcPr>
          <w:p w:rsidR="00024C0A" w:rsidRDefault="00694C0F">
            <w:pPr>
              <w:pStyle w:val="TableBodyText"/>
            </w:pPr>
            <w:r>
              <w:t>http://schemas.openxmlformats.org/drawingml/2006/chart</w:t>
            </w:r>
          </w:p>
        </w:tc>
        <w:tc>
          <w:tcPr>
            <w:tcW w:w="0" w:type="auto"/>
            <w:vAlign w:val="center"/>
          </w:tcPr>
          <w:p w:rsidR="00024C0A" w:rsidRDefault="00694C0F">
            <w:pPr>
              <w:pStyle w:val="TableBodyText"/>
            </w:pPr>
            <w:r>
              <w:t>chart</w:t>
            </w:r>
          </w:p>
        </w:tc>
        <w:tc>
          <w:tcPr>
            <w:tcW w:w="0" w:type="auto"/>
            <w:vAlign w:val="center"/>
          </w:tcPr>
          <w:p w:rsidR="00024C0A" w:rsidRDefault="00694C0F">
            <w:pPr>
              <w:pStyle w:val="TableBodyText"/>
            </w:pPr>
            <w:r>
              <w:t>"[ISO/IEC-29500-1] §21.2.2.26; chart"</w:t>
            </w:r>
          </w:p>
        </w:tc>
      </w:tr>
      <w:tr w:rsidR="00024C0A" w:rsidTr="00024C0A">
        <w:tc>
          <w:tcPr>
            <w:tcW w:w="0" w:type="auto"/>
            <w:vAlign w:val="center"/>
          </w:tcPr>
          <w:p w:rsidR="00024C0A" w:rsidRDefault="00694C0F">
            <w:pPr>
              <w:pStyle w:val="TableBodyText"/>
            </w:pPr>
            <w:r>
              <w:t>http://schemas.openxmlformats.org/drawingml/2006/pic</w:t>
            </w:r>
            <w:r>
              <w:t>ture</w:t>
            </w:r>
          </w:p>
        </w:tc>
        <w:tc>
          <w:tcPr>
            <w:tcW w:w="0" w:type="auto"/>
            <w:vAlign w:val="center"/>
          </w:tcPr>
          <w:p w:rsidR="00024C0A" w:rsidRDefault="00694C0F">
            <w:pPr>
              <w:pStyle w:val="TableBodyText"/>
            </w:pPr>
            <w:r>
              <w:t>pic</w:t>
            </w:r>
          </w:p>
        </w:tc>
        <w:tc>
          <w:tcPr>
            <w:tcW w:w="0" w:type="auto"/>
            <w:vAlign w:val="center"/>
          </w:tcPr>
          <w:p w:rsidR="00024C0A" w:rsidRDefault="00694C0F">
            <w:pPr>
              <w:pStyle w:val="TableBodyText"/>
            </w:pPr>
            <w:r>
              <w:t>"[ISO/IEC-29500-1] §20.2.2.5; pic"</w:t>
            </w:r>
          </w:p>
        </w:tc>
      </w:tr>
      <w:tr w:rsidR="00024C0A" w:rsidTr="00024C0A">
        <w:tc>
          <w:tcPr>
            <w:tcW w:w="0" w:type="auto"/>
            <w:vAlign w:val="center"/>
          </w:tcPr>
          <w:p w:rsidR="00024C0A" w:rsidRDefault="00694C0F">
            <w:pPr>
              <w:pStyle w:val="TableBodyText"/>
            </w:pPr>
            <w:r>
              <w:t>http://schemas.openxmlformats.org/drawingml/2006/compatibility</w:t>
            </w:r>
          </w:p>
        </w:tc>
        <w:tc>
          <w:tcPr>
            <w:tcW w:w="0" w:type="auto"/>
            <w:vAlign w:val="center"/>
          </w:tcPr>
          <w:p w:rsidR="00024C0A" w:rsidRDefault="00694C0F">
            <w:pPr>
              <w:pStyle w:val="TableBodyText"/>
            </w:pPr>
            <w:r>
              <w:t>legacyDrawing</w:t>
            </w:r>
          </w:p>
        </w:tc>
        <w:tc>
          <w:tcPr>
            <w:tcW w:w="0" w:type="auto"/>
            <w:vAlign w:val="center"/>
          </w:tcPr>
          <w:p w:rsidR="00024C0A" w:rsidRDefault="00694C0F">
            <w:pPr>
              <w:pStyle w:val="TableBodyText"/>
            </w:pPr>
            <w:r>
              <w:t>"</w:t>
            </w:r>
            <w:hyperlink r:id="rId176">
              <w:r>
                <w:rPr>
                  <w:rStyle w:val="Hyperlink"/>
                </w:rPr>
                <w:t>[ISO/IEC-29500-4]</w:t>
              </w:r>
            </w:hyperlink>
            <w:r>
              <w:t xml:space="preserve"> §17.2.2.1; legacyDrawing (Legacy Drawing Object)"</w:t>
            </w:r>
          </w:p>
        </w:tc>
      </w:tr>
      <w:tr w:rsidR="00024C0A" w:rsidTr="00024C0A">
        <w:tc>
          <w:tcPr>
            <w:tcW w:w="0" w:type="auto"/>
            <w:vAlign w:val="center"/>
          </w:tcPr>
          <w:p w:rsidR="00024C0A" w:rsidRDefault="00694C0F">
            <w:pPr>
              <w:pStyle w:val="TableBodyText"/>
            </w:pPr>
            <w:r>
              <w:t>http://schemas.openxmlformats.org/drawingml/2006/lockedCanvas</w:t>
            </w:r>
          </w:p>
        </w:tc>
        <w:tc>
          <w:tcPr>
            <w:tcW w:w="0" w:type="auto"/>
            <w:vAlign w:val="center"/>
          </w:tcPr>
          <w:p w:rsidR="00024C0A" w:rsidRDefault="00694C0F">
            <w:pPr>
              <w:pStyle w:val="TableBodyText"/>
            </w:pPr>
            <w:r>
              <w:t>lockedCanvas</w:t>
            </w:r>
          </w:p>
        </w:tc>
        <w:tc>
          <w:tcPr>
            <w:tcW w:w="0" w:type="auto"/>
            <w:vAlign w:val="center"/>
          </w:tcPr>
          <w:p w:rsidR="00024C0A" w:rsidRDefault="00694C0F">
            <w:pPr>
              <w:pStyle w:val="TableBodyText"/>
            </w:pPr>
            <w:r>
              <w:t>"[ISO/IEC-29500-1] §20.3.2.1; lockedCanvas"</w:t>
            </w:r>
          </w:p>
        </w:tc>
      </w:tr>
      <w:tr w:rsidR="00024C0A" w:rsidTr="00024C0A">
        <w:tc>
          <w:tcPr>
            <w:tcW w:w="0" w:type="auto"/>
            <w:vAlign w:val="center"/>
          </w:tcPr>
          <w:p w:rsidR="00024C0A" w:rsidRDefault="00694C0F">
            <w:pPr>
              <w:pStyle w:val="TableBodyText"/>
            </w:pPr>
            <w:r>
              <w:t>http://schemas.openxmlformats.org/presentationml/2006/ole</w:t>
            </w:r>
          </w:p>
        </w:tc>
        <w:tc>
          <w:tcPr>
            <w:tcW w:w="0" w:type="auto"/>
            <w:vAlign w:val="center"/>
          </w:tcPr>
          <w:p w:rsidR="00024C0A" w:rsidRDefault="00694C0F">
            <w:pPr>
              <w:pStyle w:val="TableBodyText"/>
            </w:pPr>
            <w:r>
              <w:t>oleObj</w:t>
            </w:r>
          </w:p>
        </w:tc>
        <w:tc>
          <w:tcPr>
            <w:tcW w:w="0" w:type="auto"/>
            <w:vAlign w:val="center"/>
          </w:tcPr>
          <w:p w:rsidR="00024C0A" w:rsidRDefault="00694C0F">
            <w:pPr>
              <w:pStyle w:val="TableBodyText"/>
            </w:pPr>
            <w:r>
              <w:t>"[ISO/IEC-29500-1] §19.3.2.4; oleObj"</w:t>
            </w:r>
          </w:p>
        </w:tc>
      </w:tr>
    </w:tbl>
    <w:p w:rsidR="00024C0A" w:rsidRDefault="00024C0A"/>
    <w:p w:rsidR="00024C0A" w:rsidRDefault="00694C0F">
      <w:pPr>
        <w:pStyle w:val="Heading3"/>
      </w:pPr>
      <w:bookmarkStart w:id="2429" w:name="section_68cd339693e94244b7286ac467d7f626"/>
      <w:bookmarkStart w:id="2430" w:name="_Toc12261275"/>
      <w:r>
        <w:t>Part 1 Section 20.1.2.2.19, graphicFrameLocks (Graphic Frame Locks)</w:t>
      </w:r>
      <w:bookmarkEnd w:id="2429"/>
      <w:bookmarkEnd w:id="2430"/>
      <w:r>
        <w:fldChar w:fldCharType="begin"/>
      </w:r>
      <w:r>
        <w:instrText xml:space="preserve"> XE "graphicFrameLocks (Graphic Frame Locks)" </w:instrText>
      </w:r>
      <w:r>
        <w:fldChar w:fldCharType="end"/>
      </w:r>
    </w:p>
    <w:p w:rsidR="00024C0A" w:rsidRDefault="00694C0F">
      <w:pPr>
        <w:pStyle w:val="Definition-Field"/>
      </w:pPr>
      <w:r>
        <w:t xml:space="preserve">a.   </w:t>
      </w:r>
      <w:r>
        <w:rPr>
          <w:i/>
        </w:rPr>
        <w:t>The standard specifies that an implementing application should lock the aspect ratio of the graphic frame if the value of the noChangeA</w:t>
      </w:r>
      <w:r>
        <w:rPr>
          <w:i/>
        </w:rPr>
        <w:t>spect attribute is true.</w:t>
      </w:r>
    </w:p>
    <w:p w:rsidR="00024C0A" w:rsidRDefault="00694C0F">
      <w:pPr>
        <w:pStyle w:val="Definition-Field2"/>
      </w:pPr>
      <w:r>
        <w:t>When a user resizes a graphicFrame by direct manipulation (by dragging with the mouse, for example), Office ignores the noChangeAspect attribute. When a user resizes the frame by entering the desired dimensions, this attribute is t</w:t>
      </w:r>
      <w:r>
        <w:t>aken into account.</w:t>
      </w:r>
    </w:p>
    <w:p w:rsidR="00024C0A" w:rsidRDefault="00694C0F">
      <w:pPr>
        <w:pStyle w:val="Definition-Field"/>
      </w:pPr>
      <w:r>
        <w:t xml:space="preserve">b.   </w:t>
      </w:r>
      <w:r>
        <w:rPr>
          <w:i/>
        </w:rPr>
        <w:t>The standard includes noMove and noResize as attributes of the element graphicFrame.</w:t>
      </w:r>
    </w:p>
    <w:p w:rsidR="00024C0A" w:rsidRDefault="00694C0F">
      <w:pPr>
        <w:pStyle w:val="Definition-Field2"/>
      </w:pPr>
      <w:r>
        <w:t>Office does not implement and will ignore the attributes noMove and noResize for graphicFrame elements.</w:t>
      </w:r>
    </w:p>
    <w:p w:rsidR="00024C0A" w:rsidRDefault="00694C0F">
      <w:pPr>
        <w:pStyle w:val="Definition-Field"/>
      </w:pPr>
      <w:r>
        <w:lastRenderedPageBreak/>
        <w:t xml:space="preserve">c.   </w:t>
      </w:r>
      <w:r>
        <w:rPr>
          <w:i/>
        </w:rPr>
        <w:t xml:space="preserve">The standard states that the noSelect </w:t>
      </w:r>
      <w:r>
        <w:rPr>
          <w:i/>
        </w:rPr>
        <w:t>attribute of element graphicFrameLocks disallows the selection of the corresponding picture.</w:t>
      </w:r>
    </w:p>
    <w:p w:rsidR="00024C0A" w:rsidRDefault="00694C0F">
      <w:pPr>
        <w:pStyle w:val="Definition-Field2"/>
      </w:pPr>
      <w:r>
        <w:t>In Office, the noSelect attribute of element graphicFrameLocks disallows the selection of the corresponding graphic frame.</w:t>
      </w:r>
    </w:p>
    <w:p w:rsidR="00024C0A" w:rsidRDefault="00694C0F">
      <w:pPr>
        <w:pStyle w:val="Heading3"/>
      </w:pPr>
      <w:bookmarkStart w:id="2431" w:name="section_aeb0946131ca4e03b47b279d8705c69c"/>
      <w:bookmarkStart w:id="2432" w:name="_Toc12261276"/>
      <w:r>
        <w:t>Part 1 Section 20.1.2.2.21, grpSpLocks (</w:t>
      </w:r>
      <w:r>
        <w:t>Group Shape Locks)</w:t>
      </w:r>
      <w:bookmarkEnd w:id="2431"/>
      <w:bookmarkEnd w:id="2432"/>
      <w:r>
        <w:fldChar w:fldCharType="begin"/>
      </w:r>
      <w:r>
        <w:instrText xml:space="preserve"> XE "grpSpLocks (Group Shape Locks)" </w:instrText>
      </w:r>
      <w:r>
        <w:fldChar w:fldCharType="end"/>
      </w:r>
    </w:p>
    <w:p w:rsidR="00024C0A" w:rsidRDefault="00694C0F">
      <w:pPr>
        <w:pStyle w:val="Definition-Field"/>
      </w:pPr>
      <w:r>
        <w:t xml:space="preserve">a.   </w:t>
      </w:r>
      <w:r>
        <w:rPr>
          <w:i/>
        </w:rPr>
        <w:t>The standard states that grpSpLocks specifies the locking properties for a connection shape.</w:t>
      </w:r>
    </w:p>
    <w:p w:rsidR="00024C0A" w:rsidRDefault="00694C0F">
      <w:pPr>
        <w:pStyle w:val="Definition-Field2"/>
      </w:pPr>
      <w:r>
        <w:t>In Office, grpSpLocks specifies the locking properties for a group shape.</w:t>
      </w:r>
    </w:p>
    <w:p w:rsidR="00024C0A" w:rsidRDefault="00694C0F">
      <w:pPr>
        <w:pStyle w:val="Heading3"/>
      </w:pPr>
      <w:bookmarkStart w:id="2433" w:name="section_414983b3f7b64cd7aec65edc6328026e"/>
      <w:bookmarkStart w:id="2434" w:name="_Toc12261277"/>
      <w:r>
        <w:t>Part 1 Section 20.1.2.2.22</w:t>
      </w:r>
      <w:r>
        <w:t>, grpSpPr (Visual Group Shape Properties)</w:t>
      </w:r>
      <w:bookmarkEnd w:id="2433"/>
      <w:bookmarkEnd w:id="2434"/>
      <w:r>
        <w:fldChar w:fldCharType="begin"/>
      </w:r>
      <w:r>
        <w:instrText xml:space="preserve"> XE "grpSpPr (Visual Group Shape Properties)"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0b7e3dab028b4c2285e631bc3dc52e04">
        <w:r>
          <w:rPr>
            <w:rStyle w:val="Hyperlink"/>
          </w:rPr>
          <w:t>grpSpPr, §20.</w:t>
        </w:r>
        <w:r>
          <w:rPr>
            <w:rStyle w:val="Hyperlink"/>
          </w:rPr>
          <w:t>5.2.18(a-c)</w:t>
        </w:r>
      </w:hyperlink>
      <w:r>
        <w:rPr>
          <w:i/>
        </w:rPr>
        <w:t>.</w:t>
      </w:r>
    </w:p>
    <w:p w:rsidR="00024C0A" w:rsidRDefault="00694C0F">
      <w:pPr>
        <w:pStyle w:val="Heading3"/>
      </w:pPr>
      <w:bookmarkStart w:id="2435" w:name="section_9ed01f1809cb47df94f37968e6f48bbf"/>
      <w:bookmarkStart w:id="2436" w:name="_Toc12261278"/>
      <w:r>
        <w:t>Part 1 Section 20.1.2.2.23, hlinkHover (Hyperlink for Hover)</w:t>
      </w:r>
      <w:bookmarkEnd w:id="2435"/>
      <w:bookmarkEnd w:id="2436"/>
      <w:r>
        <w:fldChar w:fldCharType="begin"/>
      </w:r>
      <w:r>
        <w:instrText xml:space="preserve"> XE "hlinkHover (Hyperlink for Hover)"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65b76db6abc49898cd1baa9a3500f6f">
        <w:r>
          <w:rPr>
            <w:rStyle w:val="Hyperlink"/>
          </w:rPr>
          <w:t>hlinkClick, §21.1.2.3.5(a)</w:t>
        </w:r>
      </w:hyperlink>
      <w:r>
        <w:rPr>
          <w:i/>
        </w:rPr>
        <w:t>.</w:t>
      </w:r>
    </w:p>
    <w:p w:rsidR="00024C0A" w:rsidRDefault="00694C0F">
      <w:pPr>
        <w:pStyle w:val="Heading3"/>
      </w:pPr>
      <w:bookmarkStart w:id="2437" w:name="section_5564035f88ff4ab8bbfbd2998a83324d"/>
      <w:bookmarkStart w:id="2438" w:name="_Toc12261279"/>
      <w:r>
        <w:t>Part 1 Section 20.1.2.2.24, ln (Outline)</w:t>
      </w:r>
      <w:bookmarkEnd w:id="2437"/>
      <w:bookmarkEnd w:id="2438"/>
      <w:r>
        <w:fldChar w:fldCharType="begin"/>
      </w:r>
      <w:r>
        <w:instrText xml:space="preserve"> XE "ln (Outline)" </w:instrText>
      </w:r>
      <w:r>
        <w:fldChar w:fldCharType="end"/>
      </w:r>
    </w:p>
    <w:p w:rsidR="00024C0A" w:rsidRDefault="00694C0F">
      <w:pPr>
        <w:pStyle w:val="Definition-Field"/>
      </w:pPr>
      <w:r>
        <w:t xml:space="preserve">a.   </w:t>
      </w:r>
      <w:r>
        <w:rPr>
          <w:i/>
        </w:rPr>
        <w:t>The standard does not specify a default value for the algn attribute.</w:t>
      </w:r>
    </w:p>
    <w:p w:rsidR="00024C0A" w:rsidRDefault="00694C0F">
      <w:pPr>
        <w:pStyle w:val="Definition-Field2"/>
      </w:pPr>
      <w:r>
        <w:t>Office uses a default value of ctr for the algn attribute.</w:t>
      </w:r>
    </w:p>
    <w:p w:rsidR="00024C0A" w:rsidRDefault="00694C0F">
      <w:pPr>
        <w:pStyle w:val="Definition-Field"/>
      </w:pPr>
      <w:r>
        <w:t xml:space="preserve">b.   </w:t>
      </w:r>
      <w:r>
        <w:rPr>
          <w:i/>
        </w:rPr>
        <w:t xml:space="preserve">The standard </w:t>
      </w:r>
      <w:r>
        <w:rPr>
          <w:i/>
        </w:rPr>
        <w:t>states that sq is the default value for the cap attribute.</w:t>
      </w:r>
    </w:p>
    <w:p w:rsidR="00024C0A" w:rsidRDefault="00694C0F">
      <w:pPr>
        <w:pStyle w:val="Definition-Field2"/>
      </w:pPr>
      <w:r>
        <w:t>Office uses flat as the default value for cap.</w:t>
      </w:r>
    </w:p>
    <w:p w:rsidR="00024C0A" w:rsidRDefault="00694C0F">
      <w:pPr>
        <w:pStyle w:val="Definition-Field"/>
      </w:pPr>
      <w:r>
        <w:t xml:space="preserve">c.   </w:t>
      </w:r>
      <w:r>
        <w:rPr>
          <w:i/>
        </w:rPr>
        <w:t>The standard allows for the specifying of the tailEnd child element, headEnd child element and cap attribute within the ln element.</w:t>
      </w:r>
    </w:p>
    <w:p w:rsidR="00024C0A" w:rsidRDefault="00694C0F">
      <w:pPr>
        <w:pStyle w:val="Definition-Field2"/>
      </w:pPr>
      <w:r>
        <w:t xml:space="preserve">Office does </w:t>
      </w:r>
      <w:r>
        <w:t>not use the tailEnd child element, headEnd child element and cap attribute when the parent element is the rPr element.</w:t>
      </w:r>
    </w:p>
    <w:p w:rsidR="00024C0A" w:rsidRDefault="00694C0F">
      <w:pPr>
        <w:pStyle w:val="Definition-Field"/>
      </w:pPr>
      <w:r>
        <w:t>d.   In Office, when this element is omitted from the spPr element nested inside a dataPoint element (Part 1 Section 2.8.3.1), and when t</w:t>
      </w:r>
      <w:r>
        <w:t>he dataPoint CT_StyleEntry is formatting a CT_Series (Part 1 Section 2.24.3.70) with at least one complex formatting property (such as pattern fill, gradient fill, glow, shadow, 3D effect, or line dashing), the ln element under the spPr element in dataPoin</w:t>
      </w:r>
      <w:r>
        <w:t>tLine might be used in place of this element.</w:t>
      </w:r>
    </w:p>
    <w:p w:rsidR="00024C0A" w:rsidRDefault="00694C0F">
      <w:pPr>
        <w:pStyle w:val="Heading3"/>
      </w:pPr>
      <w:bookmarkStart w:id="2439" w:name="section_57e0125f979847efbc6e53ffae4f6c28"/>
      <w:bookmarkStart w:id="2440" w:name="_Toc12261280"/>
      <w:r>
        <w:t>Part 1 Section 20.1.2.2.31, picLocks (Picture Locks)</w:t>
      </w:r>
      <w:bookmarkEnd w:id="2439"/>
      <w:bookmarkEnd w:id="2440"/>
      <w:r>
        <w:fldChar w:fldCharType="begin"/>
      </w:r>
      <w:r>
        <w:instrText xml:space="preserve"> XE "picLocks (Picture Locks)" </w:instrText>
      </w:r>
      <w:r>
        <w:fldChar w:fldCharType="end"/>
      </w:r>
    </w:p>
    <w:p w:rsidR="00024C0A" w:rsidRDefault="00694C0F">
      <w:pPr>
        <w:pStyle w:val="Definition-Field"/>
      </w:pPr>
      <w:r>
        <w:t xml:space="preserve">a.   </w:t>
      </w:r>
      <w:r>
        <w:rPr>
          <w:i/>
        </w:rPr>
        <w:t>The standard references only connection shapes as a part of the picLocks element attribute descriptions for the AG_Lock</w:t>
      </w:r>
      <w:r>
        <w:rPr>
          <w:i/>
        </w:rPr>
        <w:t>ing attribute group.</w:t>
      </w:r>
    </w:p>
    <w:p w:rsidR="00024C0A" w:rsidRDefault="00694C0F">
      <w:pPr>
        <w:pStyle w:val="Definition-Field2"/>
      </w:pPr>
      <w:r>
        <w:t>In Office, AG_Locking attribute group attributes also applies to shapes and pictures.</w:t>
      </w:r>
    </w:p>
    <w:p w:rsidR="00024C0A" w:rsidRDefault="00694C0F">
      <w:pPr>
        <w:pStyle w:val="Definition-Field"/>
      </w:pPr>
      <w:r>
        <w:t xml:space="preserve">b.   </w:t>
      </w:r>
      <w:r>
        <w:rPr>
          <w:i/>
        </w:rPr>
        <w:t>The standard uses a shared attribute group for the locking attributes of shapes, pictures and other graphic objects.</w:t>
      </w:r>
    </w:p>
    <w:p w:rsidR="00024C0A" w:rsidRDefault="00694C0F">
      <w:pPr>
        <w:pStyle w:val="Definition-Field2"/>
      </w:pPr>
      <w:r>
        <w:t>Office ignores attributes n</w:t>
      </w:r>
      <w:r>
        <w:t>oChangeArrowheads, noChageShapeType, noEditPoints and noRot when applied to a picture object. Additionally, PowerPoint ignores noAdjustHandles and Word ignores noMove and noResize when applied to a picture object.</w:t>
      </w:r>
    </w:p>
    <w:p w:rsidR="00024C0A" w:rsidRDefault="00694C0F">
      <w:pPr>
        <w:pStyle w:val="Heading3"/>
      </w:pPr>
      <w:bookmarkStart w:id="2441" w:name="section_26a003a89aa34f9794059a41ececf014"/>
      <w:bookmarkStart w:id="2442" w:name="_Toc12261281"/>
      <w:r>
        <w:lastRenderedPageBreak/>
        <w:t>Part 1 Section 20.1.2.2.34, spLocks (Shape</w:t>
      </w:r>
      <w:r>
        <w:t xml:space="preserve"> Locks)</w:t>
      </w:r>
      <w:bookmarkEnd w:id="2441"/>
      <w:bookmarkEnd w:id="2442"/>
      <w:r>
        <w:fldChar w:fldCharType="begin"/>
      </w:r>
      <w:r>
        <w:instrText xml:space="preserve"> XE "spLocks (Shape Locks)"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57e0125f979847efbc6e53ffae4f6c28">
        <w:r>
          <w:rPr>
            <w:rStyle w:val="Hyperlink"/>
          </w:rPr>
          <w:t>picLocks, §20.1.2.2.31(a)</w:t>
        </w:r>
      </w:hyperlink>
      <w:r>
        <w:rPr>
          <w:i/>
        </w:rPr>
        <w:t>.</w:t>
      </w:r>
    </w:p>
    <w:p w:rsidR="00024C0A" w:rsidRDefault="00694C0F">
      <w:pPr>
        <w:pStyle w:val="Definition-Field"/>
      </w:pPr>
      <w:r>
        <w:t xml:space="preserve">a.   </w:t>
      </w:r>
      <w:r>
        <w:rPr>
          <w:i/>
        </w:rPr>
        <w:t>The standard uses a shared attrib</w:t>
      </w:r>
      <w:r>
        <w:rPr>
          <w:i/>
        </w:rPr>
        <w:t>ute group for the locking attributes of shapes, pictures and other graphic objects.</w:t>
      </w:r>
    </w:p>
    <w:p w:rsidR="00024C0A" w:rsidRDefault="00694C0F">
      <w:pPr>
        <w:pStyle w:val="Definition-Field2"/>
      </w:pPr>
      <w:r>
        <w:t>Office ignores attributes noChangeArrowheads and noRot when applied to a shape. PowerPoint additionally ignores the attribute noAdjustHandles when applied to a shape and no</w:t>
      </w:r>
      <w:r>
        <w:t>ChangeShapeType when the converting the shape to a freeform.</w:t>
      </w:r>
    </w:p>
    <w:p w:rsidR="00024C0A" w:rsidRDefault="00694C0F">
      <w:pPr>
        <w:pStyle w:val="Heading3"/>
      </w:pPr>
      <w:bookmarkStart w:id="2443" w:name="section_d91dc0a3157d4a179945f4226b94b9e8"/>
      <w:bookmarkStart w:id="2444" w:name="_Toc12261282"/>
      <w:r>
        <w:t>Part 1 Section 20.1.2.2.35, spPr (Shape Properties)</w:t>
      </w:r>
      <w:bookmarkEnd w:id="2443"/>
      <w:bookmarkEnd w:id="2444"/>
      <w:r>
        <w:fldChar w:fldCharType="begin"/>
      </w:r>
      <w:r>
        <w:instrText xml:space="preserve"> XE "spPr (Shape Properties)"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024C0A" w:rsidRDefault="00694C0F">
      <w:pPr>
        <w:pStyle w:val="Heading3"/>
      </w:pPr>
      <w:bookmarkStart w:id="2445" w:name="section_52010234952f45889bdb6d2e5e6e7868"/>
      <w:bookmarkStart w:id="2446" w:name="_Toc12261283"/>
      <w:r>
        <w:t>Part 1 Section 20.1.2.2.36, stCxn (Connection Start)</w:t>
      </w:r>
      <w:bookmarkEnd w:id="2445"/>
      <w:bookmarkEnd w:id="2446"/>
      <w:r>
        <w:fldChar w:fldCharType="begin"/>
      </w:r>
      <w:r>
        <w:instrText xml:space="preserve"> XE "stCxn (Connection Start)"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5e8ab39f0beb40b1bfb11aea60ce7e2b">
        <w:r>
          <w:rPr>
            <w:rStyle w:val="Hyperlink"/>
          </w:rPr>
          <w:t>endCxn, §20.1.2.2.13(a)</w:t>
        </w:r>
      </w:hyperlink>
      <w:r>
        <w:rPr>
          <w:i/>
        </w:rPr>
        <w:t>.</w:t>
      </w:r>
    </w:p>
    <w:p w:rsidR="00024C0A" w:rsidRDefault="00694C0F">
      <w:pPr>
        <w:pStyle w:val="Heading3"/>
      </w:pPr>
      <w:bookmarkStart w:id="2447" w:name="section_71e8a4dd1654485ca87d0bf4bcdf01c0"/>
      <w:bookmarkStart w:id="2448" w:name="_Toc12261284"/>
      <w:r>
        <w:t>Part 1 Section 20.1.2.2.37, style (Shape Style)</w:t>
      </w:r>
      <w:bookmarkEnd w:id="2447"/>
      <w:bookmarkEnd w:id="2448"/>
      <w:r>
        <w:fldChar w:fldCharType="begin"/>
      </w:r>
      <w:r>
        <w:instrText xml:space="preserve"> XE "style (Shape Style)" </w:instrText>
      </w:r>
      <w:r>
        <w:fldChar w:fldCharType="end"/>
      </w:r>
    </w:p>
    <w:p w:rsidR="00024C0A" w:rsidRDefault="00694C0F">
      <w:pPr>
        <w:pStyle w:val="Definition-Field"/>
      </w:pPr>
      <w:r>
        <w:t xml:space="preserve">a.   </w:t>
      </w:r>
      <w:r>
        <w:rPr>
          <w:i/>
        </w:rPr>
        <w:t>The standard states that the fontRef attribute applies to parent elements pic, cxnSp and sp.</w:t>
      </w:r>
    </w:p>
    <w:p w:rsidR="00024C0A" w:rsidRDefault="00694C0F">
      <w:pPr>
        <w:pStyle w:val="Definition-Field2"/>
      </w:pPr>
      <w:r>
        <w:t>In Office</w:t>
      </w:r>
      <w:r>
        <w:t>, the fontRef attribute is not used for parent elements pic and cxnSp.</w:t>
      </w:r>
    </w:p>
    <w:p w:rsidR="00024C0A" w:rsidRDefault="00694C0F">
      <w:pPr>
        <w:pStyle w:val="Definition-Field"/>
      </w:pPr>
      <w:r>
        <w:t xml:space="preserve">b.   </w:t>
      </w:r>
      <w:r>
        <w:rPr>
          <w:i/>
        </w:rPr>
        <w:t>The standard allows a sp, pic or cxnSp element to have similar formatting options defined in both the style and spPr elements.</w:t>
      </w:r>
    </w:p>
    <w:p w:rsidR="00024C0A" w:rsidRDefault="00694C0F">
      <w:pPr>
        <w:pStyle w:val="Definition-Field2"/>
      </w:pPr>
      <w:r>
        <w:t>In Office, shape properties (spPr) defined on the par</w:t>
      </w:r>
      <w:r>
        <w:t>ent element will override similar style components (lnRef, effectRef, fillRef, fontRef) defined for this element.</w:t>
      </w:r>
    </w:p>
    <w:p w:rsidR="00024C0A" w:rsidRDefault="00694C0F">
      <w:pPr>
        <w:pStyle w:val="Definition-Field"/>
      </w:pPr>
      <w:r>
        <w:t xml:space="preserve">c.   </w:t>
      </w:r>
      <w:r>
        <w:rPr>
          <w:i/>
        </w:rPr>
        <w:t>The standard allows similar text formatting properties to be defined for parent element sp by style or txBody.</w:t>
      </w:r>
    </w:p>
    <w:p w:rsidR="00024C0A" w:rsidRDefault="00694C0F">
      <w:pPr>
        <w:pStyle w:val="Definition-Field2"/>
      </w:pPr>
      <w:r>
        <w:t xml:space="preserve">In Office, child elements </w:t>
      </w:r>
      <w:r>
        <w:t>from txBody for parent element sp will override similar style properties defined in the fontRef child element in this element.</w:t>
      </w:r>
    </w:p>
    <w:p w:rsidR="00024C0A" w:rsidRDefault="00694C0F">
      <w:pPr>
        <w:pStyle w:val="Heading3"/>
      </w:pPr>
      <w:bookmarkStart w:id="2449" w:name="section_8d11d27322a648b8a2122b60910659bd"/>
      <w:bookmarkStart w:id="2450" w:name="_Toc12261285"/>
      <w:r>
        <w:t>Part 1 Section 20.1.2.3.1, alpha (Alpha)</w:t>
      </w:r>
      <w:bookmarkEnd w:id="2449"/>
      <w:bookmarkEnd w:id="2450"/>
      <w:r>
        <w:fldChar w:fldCharType="begin"/>
      </w:r>
      <w:r>
        <w:instrText xml:space="preserve"> XE "alpha (Alpha)" </w:instrText>
      </w:r>
      <w:r>
        <w:fldChar w:fldCharType="end"/>
      </w:r>
    </w:p>
    <w:p w:rsidR="00024C0A" w:rsidRDefault="00694C0F">
      <w:pPr>
        <w:pStyle w:val="Definition-Field"/>
      </w:pPr>
      <w:r>
        <w:t xml:space="preserve">a.   </w:t>
      </w:r>
      <w:r>
        <w:rPr>
          <w:i/>
        </w:rPr>
        <w:t>The standard states that the val attribute specifies the opac</w:t>
      </w:r>
      <w:r>
        <w:rPr>
          <w:i/>
        </w:rPr>
        <w:t>ity as expressed by a percentage value.</w:t>
      </w:r>
    </w:p>
    <w:p w:rsidR="00024C0A" w:rsidRDefault="00694C0F">
      <w:pPr>
        <w:pStyle w:val="Definition-Field2"/>
      </w:pPr>
      <w:r>
        <w:t>Office uses the val attribute to specify a percentage value for several elements.</w:t>
      </w:r>
    </w:p>
    <w:p w:rsidR="00024C0A" w:rsidRDefault="00694C0F">
      <w:pPr>
        <w:pStyle w:val="Definition-Field"/>
      </w:pPr>
      <w:r>
        <w:t xml:space="preserve">b.   </w:t>
      </w:r>
      <w:r>
        <w:rPr>
          <w:i/>
        </w:rPr>
        <w:t>The standard states that ST_PositiveFixedPercentage is read and written as a floating point value with a trailing percent sign.</w:t>
      </w:r>
    </w:p>
    <w:p w:rsidR="00024C0A" w:rsidRDefault="00694C0F">
      <w:pPr>
        <w:pStyle w:val="Definition-Field2"/>
      </w:pPr>
      <w:r>
        <w:t>Office will read in percentages formatted as floating point value with a trailing percent sign or as an integer 1000th of a percent without trailing percent sign, but only write out percentages as the latter.</w:t>
      </w:r>
    </w:p>
    <w:p w:rsidR="00024C0A" w:rsidRDefault="00694C0F">
      <w:pPr>
        <w:pStyle w:val="Heading3"/>
      </w:pPr>
      <w:bookmarkStart w:id="2451" w:name="section_82fa840c591d48d5b9300146192f4142"/>
      <w:bookmarkStart w:id="2452" w:name="_Toc12261286"/>
      <w:r>
        <w:t>Part 1 Section 20.1.2.3.2, alphaMod (Alpha Modu</w:t>
      </w:r>
      <w:r>
        <w:t>lation)</w:t>
      </w:r>
      <w:bookmarkEnd w:id="2451"/>
      <w:bookmarkEnd w:id="2452"/>
      <w:r>
        <w:fldChar w:fldCharType="begin"/>
      </w:r>
      <w:r>
        <w:instrText xml:space="preserve"> XE "alphaMod (Alpha Modulation)" </w:instrText>
      </w:r>
      <w:r>
        <w:fldChar w:fldCharType="end"/>
      </w:r>
    </w:p>
    <w:p w:rsidR="00024C0A" w:rsidRDefault="00694C0F">
      <w:pPr>
        <w:pStyle w:val="Definition-Field"/>
      </w:pPr>
      <w:r>
        <w:t xml:space="preserve">a.   </w:t>
      </w:r>
      <w:r>
        <w:rPr>
          <w:i/>
        </w:rPr>
        <w:t>The standard states that ST_PositiveFixedPercentage is read and written as a percent with a trailing percent sign.</w:t>
      </w:r>
    </w:p>
    <w:p w:rsidR="00024C0A" w:rsidRDefault="00694C0F">
      <w:pPr>
        <w:pStyle w:val="Definition-Field2"/>
      </w:pPr>
      <w:r>
        <w:lastRenderedPageBreak/>
        <w:t xml:space="preserve">Office will read in percentages formatted with a trailing percent sign or as 1000th of a </w:t>
      </w:r>
      <w:r>
        <w:t>percent without trailing percent sign, but only write out percentages as 1000th's of a percent without trailing percent sign.</w:t>
      </w:r>
    </w:p>
    <w:p w:rsidR="00024C0A" w:rsidRDefault="00694C0F">
      <w:pPr>
        <w:pStyle w:val="Heading3"/>
      </w:pPr>
      <w:bookmarkStart w:id="2453" w:name="section_7ed8e6ffd6914d92ad9b73ec0a519eef"/>
      <w:bookmarkStart w:id="2454" w:name="_Toc12261287"/>
      <w:r>
        <w:t>Part 1 Section 20.1.2.3.3, alphaOff (Alpha Offset)</w:t>
      </w:r>
      <w:bookmarkEnd w:id="2453"/>
      <w:bookmarkEnd w:id="2454"/>
      <w:r>
        <w:fldChar w:fldCharType="begin"/>
      </w:r>
      <w:r>
        <w:instrText xml:space="preserve"> XE "alphaOff (Alpha Offset)" </w:instrText>
      </w:r>
      <w:r>
        <w:fldChar w:fldCharType="end"/>
      </w:r>
    </w:p>
    <w:p w:rsidR="00024C0A" w:rsidRDefault="00694C0F">
      <w:pPr>
        <w:pStyle w:val="Definition-Field"/>
      </w:pPr>
      <w:r>
        <w:t xml:space="preserve">a.   </w:t>
      </w:r>
      <w:r>
        <w:rPr>
          <w:i/>
        </w:rPr>
        <w:t>The standard states that ST_PositiveFixedP</w:t>
      </w:r>
      <w:r>
        <w:rPr>
          <w:i/>
        </w:rPr>
        <w:t>ercentage is read and written as a percent with a trailing percent sign.</w:t>
      </w:r>
    </w:p>
    <w:p w:rsidR="00024C0A" w:rsidRDefault="00694C0F">
      <w:pPr>
        <w:pStyle w:val="Definition-Field2"/>
      </w:pPr>
      <w:r>
        <w:t>Office will read in percentages formatted with a trailing percent sign or as 1000th of a percent without trailing percent sign, but only write out percentages as 1000th's of a percent</w:t>
      </w:r>
      <w:r>
        <w:t xml:space="preserve"> without trailing percent sign.</w:t>
      </w:r>
    </w:p>
    <w:p w:rsidR="00024C0A" w:rsidRDefault="00694C0F">
      <w:pPr>
        <w:pStyle w:val="Heading3"/>
      </w:pPr>
      <w:bookmarkStart w:id="2455" w:name="section_609636d541304679b9b8eebaa8424ae7"/>
      <w:bookmarkStart w:id="2456" w:name="_Toc12261288"/>
      <w:r>
        <w:t>Part 1 Section 20.1.2.3.4, blue (Blue)</w:t>
      </w:r>
      <w:bookmarkEnd w:id="2455"/>
      <w:bookmarkEnd w:id="2456"/>
      <w:r>
        <w:fldChar w:fldCharType="begin"/>
      </w:r>
      <w:r>
        <w:instrText xml:space="preserve"> XE "blue (Blue)" </w:instrText>
      </w:r>
      <w:r>
        <w:fldChar w:fldCharType="end"/>
      </w:r>
    </w:p>
    <w:p w:rsidR="00024C0A" w:rsidRDefault="00694C0F">
      <w:pPr>
        <w:pStyle w:val="Definition-Field"/>
      </w:pPr>
      <w:r>
        <w:t xml:space="preserve">a.   </w:t>
      </w:r>
      <w:r>
        <w:rPr>
          <w:i/>
        </w:rPr>
        <w:t>The standard states that the val attribute specifies the blue component as expressed by a percentage value.</w:t>
      </w:r>
    </w:p>
    <w:p w:rsidR="00024C0A" w:rsidRDefault="00694C0F">
      <w:pPr>
        <w:pStyle w:val="Definition-Field2"/>
      </w:pPr>
      <w:r>
        <w:t>Office uses the val attribute to specify a percentag</w:t>
      </w:r>
      <w:r>
        <w:t>e value for several elements.</w:t>
      </w:r>
    </w:p>
    <w:p w:rsidR="00024C0A" w:rsidRDefault="00694C0F">
      <w:pPr>
        <w:pStyle w:val="Definition-Field"/>
      </w:pPr>
      <w:r>
        <w:t xml:space="preserve">b.   </w:t>
      </w:r>
      <w:r>
        <w:rPr>
          <w:i/>
        </w:rPr>
        <w:t>The standard states that ST_PositiveFixedPercentage is read and written as a percent with a trailing percent sign.</w:t>
      </w:r>
    </w:p>
    <w:p w:rsidR="00024C0A" w:rsidRDefault="00694C0F">
      <w:pPr>
        <w:pStyle w:val="Definition-Field2"/>
      </w:pPr>
      <w:r>
        <w:t>Office will read in percentages formatted with a trailing percent sign or as 1000th of a percent without t</w:t>
      </w:r>
      <w:r>
        <w:t>railing percent sign, but only write out percentages as 1000th's of a percent without trailing percent sign.</w:t>
      </w:r>
    </w:p>
    <w:p w:rsidR="00024C0A" w:rsidRDefault="00694C0F">
      <w:pPr>
        <w:pStyle w:val="Heading3"/>
      </w:pPr>
      <w:bookmarkStart w:id="2457" w:name="section_fd5b54b2e28a4e6091986cffa60a0e77"/>
      <w:bookmarkStart w:id="2458" w:name="_Toc12261289"/>
      <w:r>
        <w:t>Part 1 Section 20.1.2.3.5, blueMod (Blue Modification)</w:t>
      </w:r>
      <w:bookmarkEnd w:id="2457"/>
      <w:bookmarkEnd w:id="2458"/>
      <w:r>
        <w:fldChar w:fldCharType="begin"/>
      </w:r>
      <w:r>
        <w:instrText xml:space="preserve"> XE "blueMod (Blue Modification)" </w:instrText>
      </w:r>
      <w:r>
        <w:fldChar w:fldCharType="end"/>
      </w:r>
    </w:p>
    <w:p w:rsidR="00024C0A" w:rsidRDefault="00694C0F">
      <w:pPr>
        <w:pStyle w:val="Definition-Field2"/>
      </w:pPr>
      <w:r>
        <w:rPr>
          <w:i/>
        </w:rPr>
        <w:t>For additional notes that apply to this portion of the s</w:t>
      </w:r>
      <w:r>
        <w:rPr>
          <w:i/>
        </w:rPr>
        <w:t xml:space="preserve">tandard, please see the notes for </w:t>
      </w:r>
      <w:hyperlink w:anchor="Section_609636d541304679b9b8eebaa8424ae7">
        <w:r>
          <w:rPr>
            <w:rStyle w:val="Hyperlink"/>
          </w:rPr>
          <w:t>blue, §20.1.2.3.4(a)</w:t>
        </w:r>
      </w:hyperlink>
      <w:r>
        <w:rPr>
          <w:i/>
        </w:rPr>
        <w:t>.</w:t>
      </w:r>
    </w:p>
    <w:p w:rsidR="00024C0A" w:rsidRDefault="00694C0F">
      <w:pPr>
        <w:pStyle w:val="Definition-Field"/>
      </w:pPr>
      <w:r>
        <w:t xml:space="preserve">a.   </w:t>
      </w:r>
      <w:r>
        <w:rPr>
          <w:i/>
        </w:rPr>
        <w:t>The standard states that ST_PositiveFixedPercentage is read and written as a percent with a trailing percent sign.</w:t>
      </w:r>
    </w:p>
    <w:p w:rsidR="00024C0A" w:rsidRDefault="00694C0F">
      <w:pPr>
        <w:pStyle w:val="Definition-Field2"/>
      </w:pPr>
      <w:r>
        <w:t xml:space="preserve">Office will read </w:t>
      </w:r>
      <w:r>
        <w:t>in percentages formatted with a trailing percent sign or as 1000th of a percent without trailing percent sign, but only write out percentages as 1000th's of a percent without trailing percent sign.</w:t>
      </w:r>
    </w:p>
    <w:p w:rsidR="00024C0A" w:rsidRDefault="00694C0F">
      <w:pPr>
        <w:pStyle w:val="Heading3"/>
      </w:pPr>
      <w:bookmarkStart w:id="2459" w:name="section_c5764e71705243ca8d5cd69caac0e480"/>
      <w:bookmarkStart w:id="2460" w:name="_Toc12261290"/>
      <w:r>
        <w:t>Part 1 Section 20.1.2.3.6, blueOff (Blue Offset)</w:t>
      </w:r>
      <w:bookmarkEnd w:id="2459"/>
      <w:bookmarkEnd w:id="2460"/>
      <w:r>
        <w:fldChar w:fldCharType="begin"/>
      </w:r>
      <w:r>
        <w:instrText xml:space="preserve"> XE "blueO</w:instrText>
      </w:r>
      <w:r>
        <w:instrText xml:space="preserve">ff (Blue Offset)"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024C0A" w:rsidRDefault="00694C0F">
      <w:pPr>
        <w:pStyle w:val="Definition-Field"/>
      </w:pPr>
      <w:r>
        <w:t xml:space="preserve">a.   </w:t>
      </w:r>
      <w:r>
        <w:rPr>
          <w:i/>
        </w:rPr>
        <w:t xml:space="preserve">The standard states that ST_PositiveFixedPercentage is </w:t>
      </w:r>
      <w:r>
        <w:rPr>
          <w:i/>
        </w:rPr>
        <w:t>read and written as a percent with a trailing percent sign.</w:t>
      </w:r>
    </w:p>
    <w:p w:rsidR="00024C0A" w:rsidRDefault="00694C0F">
      <w:pPr>
        <w:pStyle w:val="Definition-Field2"/>
      </w:pPr>
      <w:r>
        <w:t>Office will read in percentages formatted with a trailing percent sign or as 1000th of a percent without trailing percent sign, but only write out percentages as 1000th's of a percent without trai</w:t>
      </w:r>
      <w:r>
        <w:t>ling percent sign.</w:t>
      </w:r>
    </w:p>
    <w:p w:rsidR="00024C0A" w:rsidRDefault="00694C0F">
      <w:pPr>
        <w:pStyle w:val="Heading3"/>
      </w:pPr>
      <w:bookmarkStart w:id="2461" w:name="section_918cbe28c0504ca2ab4a9fdf9e656a6f"/>
      <w:bookmarkStart w:id="2462" w:name="_Toc12261291"/>
      <w:r>
        <w:t>Part 1 Section 20.1.2.3.10, green (Green)</w:t>
      </w:r>
      <w:bookmarkEnd w:id="2461"/>
      <w:bookmarkEnd w:id="2462"/>
      <w:r>
        <w:fldChar w:fldCharType="begin"/>
      </w:r>
      <w:r>
        <w:instrText xml:space="preserve"> XE "green (Green)"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024C0A" w:rsidRDefault="00694C0F">
      <w:pPr>
        <w:pStyle w:val="Definition-Field"/>
      </w:pPr>
      <w:r>
        <w:lastRenderedPageBreak/>
        <w:t xml:space="preserve">a.   </w:t>
      </w:r>
      <w:r>
        <w:rPr>
          <w:i/>
        </w:rPr>
        <w:t>The standard states that the ST_PositiveFixedPercentage is read and written as a percent with a trailing percent sign.</w:t>
      </w:r>
    </w:p>
    <w:p w:rsidR="00024C0A" w:rsidRDefault="00694C0F">
      <w:pPr>
        <w:pStyle w:val="Definition-Field2"/>
      </w:pPr>
      <w:r>
        <w:t>Office will read in percentages formatted with a trailing percent sign or as 1000th of a percent without trailing percent sign, bu</w:t>
      </w:r>
      <w:r>
        <w:t>t only write out percentages as 1000th's of a percent without trailing percent sign.</w:t>
      </w:r>
    </w:p>
    <w:p w:rsidR="00024C0A" w:rsidRDefault="00694C0F">
      <w:pPr>
        <w:pStyle w:val="Heading3"/>
      </w:pPr>
      <w:bookmarkStart w:id="2463" w:name="section_e372eb222ed34f6bbdc455f4c3379d83"/>
      <w:bookmarkStart w:id="2464" w:name="_Toc12261292"/>
      <w:r>
        <w:t>Part 1 Section 20.1.2.3.11, greenMod (Green Modification)</w:t>
      </w:r>
      <w:bookmarkEnd w:id="2463"/>
      <w:bookmarkEnd w:id="2464"/>
      <w:r>
        <w:fldChar w:fldCharType="begin"/>
      </w:r>
      <w:r>
        <w:instrText xml:space="preserve"> XE "greenMod (Green Modification)" </w:instrText>
      </w:r>
      <w:r>
        <w:fldChar w:fldCharType="end"/>
      </w:r>
    </w:p>
    <w:p w:rsidR="00024C0A" w:rsidRDefault="00694C0F">
      <w:pPr>
        <w:pStyle w:val="Definition-Field2"/>
      </w:pPr>
      <w:r>
        <w:rPr>
          <w:i/>
        </w:rPr>
        <w:t>For additional notes that apply to this portion of the standard, please see</w:t>
      </w:r>
      <w:r>
        <w:rPr>
          <w:i/>
        </w:rPr>
        <w:t xml:space="preserve"> the notes for </w:t>
      </w:r>
      <w:hyperlink w:anchor="Section_609636d541304679b9b8eebaa8424ae7">
        <w:r>
          <w:rPr>
            <w:rStyle w:val="Hyperlink"/>
          </w:rPr>
          <w:t>blue, §20.1.2.3.4(a)</w:t>
        </w:r>
      </w:hyperlink>
      <w:r>
        <w:rPr>
          <w:i/>
        </w:rPr>
        <w:t>.</w:t>
      </w:r>
    </w:p>
    <w:p w:rsidR="00024C0A" w:rsidRDefault="00694C0F">
      <w:pPr>
        <w:pStyle w:val="Definition-Field"/>
      </w:pPr>
      <w:r>
        <w:t xml:space="preserve">a.   </w:t>
      </w:r>
      <w:r>
        <w:rPr>
          <w:i/>
        </w:rPr>
        <w:t>The standard states that ST_PositiveFixedPercentage is read and written as a percent with a trailing percent sign.</w:t>
      </w:r>
    </w:p>
    <w:p w:rsidR="00024C0A" w:rsidRDefault="00694C0F">
      <w:pPr>
        <w:pStyle w:val="Definition-Field2"/>
      </w:pPr>
      <w:r>
        <w:t xml:space="preserve">Office will read in percentages </w:t>
      </w:r>
      <w:r>
        <w:t>formatted with a trailing percent sign or as 1000th of a percent without trailing percent sign, but only write out percentages as 1000th's of a percent without trailing percent sign.</w:t>
      </w:r>
    </w:p>
    <w:p w:rsidR="00024C0A" w:rsidRDefault="00694C0F">
      <w:pPr>
        <w:pStyle w:val="Heading3"/>
      </w:pPr>
      <w:bookmarkStart w:id="2465" w:name="section_6608a2d4e5c74de28aa64977e614c1c5"/>
      <w:bookmarkStart w:id="2466" w:name="_Toc12261293"/>
      <w:r>
        <w:t>Part 1 Section 20.1.2.3.12, greenOff (Green Offset)</w:t>
      </w:r>
      <w:bookmarkEnd w:id="2465"/>
      <w:bookmarkEnd w:id="2466"/>
      <w:r>
        <w:fldChar w:fldCharType="begin"/>
      </w:r>
      <w:r>
        <w:instrText xml:space="preserve"> XE "greenOff (Green O</w:instrText>
      </w:r>
      <w:r>
        <w:instrText xml:space="preserve">ffset)"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024C0A" w:rsidRDefault="00694C0F">
      <w:pPr>
        <w:pStyle w:val="Definition-Field"/>
      </w:pPr>
      <w:r>
        <w:t xml:space="preserve">a.   </w:t>
      </w:r>
      <w:r>
        <w:rPr>
          <w:i/>
        </w:rPr>
        <w:t>The standard states that ST_PositiveFixedPercentage is read and w</w:t>
      </w:r>
      <w:r>
        <w:rPr>
          <w:i/>
        </w:rPr>
        <w:t>ritten as a percent with a trailing percent sign.</w:t>
      </w:r>
    </w:p>
    <w:p w:rsidR="00024C0A" w:rsidRDefault="00694C0F">
      <w:pPr>
        <w:pStyle w:val="Definition-Field2"/>
      </w:pPr>
      <w:r>
        <w:t>Office will read in percentages formatted with a trailing percent sign or as 1000th of a percent without trailing percent sign, but only write out percentages as 1000th's of a percent without trailing perce</w:t>
      </w:r>
      <w:r>
        <w:t>nt sign.</w:t>
      </w:r>
    </w:p>
    <w:p w:rsidR="00024C0A" w:rsidRDefault="00694C0F">
      <w:pPr>
        <w:pStyle w:val="Heading3"/>
      </w:pPr>
      <w:bookmarkStart w:id="2467" w:name="section_3b541eefc2ea41349e73932962cedf9f"/>
      <w:bookmarkStart w:id="2468" w:name="_Toc12261294"/>
      <w:r>
        <w:t>Part 1 Section 20.1.2.3.13, hslClr (Hue, Saturation, Luminance Color Model)</w:t>
      </w:r>
      <w:bookmarkEnd w:id="2467"/>
      <w:bookmarkEnd w:id="2468"/>
      <w:r>
        <w:fldChar w:fldCharType="begin"/>
      </w:r>
      <w:r>
        <w:instrText xml:space="preserve"> XE "hslClr (Hue - Saturation - Luminance Color Model)" </w:instrText>
      </w:r>
      <w:r>
        <w:fldChar w:fldCharType="end"/>
      </w:r>
    </w:p>
    <w:p w:rsidR="00024C0A" w:rsidRDefault="00694C0F">
      <w:pPr>
        <w:pStyle w:val="Definition-Field"/>
      </w:pPr>
      <w:r>
        <w:t xml:space="preserve">a.   </w:t>
      </w:r>
      <w:r>
        <w:rPr>
          <w:i/>
        </w:rPr>
        <w:t>The standard states that ST_PositiveFixedPercentage is read and written as a percent with a trailing percent</w:t>
      </w:r>
      <w:r>
        <w:rPr>
          <w:i/>
        </w:rPr>
        <w:t xml:space="preserve"> sign.</w:t>
      </w:r>
    </w:p>
    <w:p w:rsidR="00024C0A" w:rsidRDefault="00694C0F">
      <w:pPr>
        <w:pStyle w:val="Definition-Field2"/>
      </w:pPr>
      <w:r>
        <w:t>Office will read in percentages formatted with a trailing percent sign or as 1000th of a percent without trailing percent sign, but only write out percentages as 1000th's of a percent without trailing percent sign.</w:t>
      </w:r>
    </w:p>
    <w:p w:rsidR="00024C0A" w:rsidRDefault="00694C0F">
      <w:pPr>
        <w:pStyle w:val="Heading3"/>
      </w:pPr>
      <w:bookmarkStart w:id="2469" w:name="section_6b2abb5b132d435c88e84f9c0294885f"/>
      <w:bookmarkStart w:id="2470" w:name="_Toc12261295"/>
      <w:r>
        <w:t>Part 1 Section 20.1.2.3.14, hue (H</w:t>
      </w:r>
      <w:r>
        <w:t>ue)</w:t>
      </w:r>
      <w:bookmarkEnd w:id="2469"/>
      <w:bookmarkEnd w:id="2470"/>
      <w:r>
        <w:fldChar w:fldCharType="begin"/>
      </w:r>
      <w:r>
        <w:instrText xml:space="preserve"> XE "hue (Hue)" </w:instrText>
      </w:r>
      <w:r>
        <w:fldChar w:fldCharType="end"/>
      </w:r>
    </w:p>
    <w:p w:rsidR="00024C0A" w:rsidRDefault="00694C0F">
      <w:pPr>
        <w:pStyle w:val="Definition-Field"/>
      </w:pPr>
      <w:r>
        <w:t xml:space="preserve">a.   </w:t>
      </w:r>
      <w:r>
        <w:rPr>
          <w:i/>
        </w:rPr>
        <w:t>The standard states that ST_PositiveFixedPercentage is read and written as a percent with a trailing percent sign.</w:t>
      </w:r>
    </w:p>
    <w:p w:rsidR="00024C0A" w:rsidRDefault="00694C0F">
      <w:pPr>
        <w:pStyle w:val="Definition-Field2"/>
      </w:pPr>
      <w:r>
        <w:t xml:space="preserve">Office will read in percentages formatted with a trailing percent sign or as 1000th of a percent without trailing </w:t>
      </w:r>
      <w:r>
        <w:t>percent sign, but only write out percentages as 1000th's of a percent without trailing percent sign.</w:t>
      </w:r>
    </w:p>
    <w:p w:rsidR="00024C0A" w:rsidRDefault="00694C0F">
      <w:pPr>
        <w:pStyle w:val="Heading3"/>
      </w:pPr>
      <w:bookmarkStart w:id="2471" w:name="section_bb6242e7b6c5458c97a46e01f8544fbc"/>
      <w:bookmarkStart w:id="2472" w:name="_Toc12261296"/>
      <w:r>
        <w:t>Part 1 Section 20.1.2.3.15, hueMod (Hue Modulate)</w:t>
      </w:r>
      <w:bookmarkEnd w:id="2471"/>
      <w:bookmarkEnd w:id="2472"/>
      <w:r>
        <w:fldChar w:fldCharType="begin"/>
      </w:r>
      <w:r>
        <w:instrText xml:space="preserve"> XE "hueMod (Hue Modulate)" </w:instrText>
      </w:r>
      <w:r>
        <w:fldChar w:fldCharType="end"/>
      </w:r>
    </w:p>
    <w:p w:rsidR="00024C0A" w:rsidRDefault="00694C0F">
      <w:pPr>
        <w:pStyle w:val="Definition-Field"/>
      </w:pPr>
      <w:r>
        <w:t xml:space="preserve">a.   </w:t>
      </w:r>
      <w:r>
        <w:rPr>
          <w:i/>
        </w:rPr>
        <w:t>The standard states that ST_PositiveFixedPercentage is read and writte</w:t>
      </w:r>
      <w:r>
        <w:rPr>
          <w:i/>
        </w:rPr>
        <w:t>n as a percent with a trailing percent sign.</w:t>
      </w:r>
    </w:p>
    <w:p w:rsidR="00024C0A" w:rsidRDefault="00694C0F">
      <w:pPr>
        <w:pStyle w:val="Definition-Field2"/>
      </w:pPr>
      <w:r>
        <w:lastRenderedPageBreak/>
        <w:t>Office will read in percentages formatted with a trailing percent sign or as 1000th of a percent without trailing percent sign, but only write out percentages as 1000th's of a percent without trailing percent si</w:t>
      </w:r>
      <w:r>
        <w:t>gn.</w:t>
      </w:r>
    </w:p>
    <w:p w:rsidR="00024C0A" w:rsidRDefault="00694C0F">
      <w:pPr>
        <w:pStyle w:val="Heading3"/>
      </w:pPr>
      <w:bookmarkStart w:id="2473" w:name="section_2c21486a21e446728ef2c1a741771549"/>
      <w:bookmarkStart w:id="2474" w:name="_Toc12261297"/>
      <w:r>
        <w:t>Part 1 Section 20.1.2.3.16, hueOff (Hue Offset)</w:t>
      </w:r>
      <w:bookmarkEnd w:id="2473"/>
      <w:bookmarkEnd w:id="2474"/>
      <w:r>
        <w:fldChar w:fldCharType="begin"/>
      </w:r>
      <w:r>
        <w:instrText xml:space="preserve"> XE "hueOff (Hue Offset)" </w:instrText>
      </w:r>
      <w:r>
        <w:fldChar w:fldCharType="end"/>
      </w:r>
    </w:p>
    <w:p w:rsidR="00024C0A" w:rsidRDefault="00694C0F">
      <w:pPr>
        <w:pStyle w:val="Definition-Field"/>
      </w:pPr>
      <w:r>
        <w:t xml:space="preserve">a.   </w:t>
      </w:r>
      <w:r>
        <w:rPr>
          <w:i/>
        </w:rPr>
        <w:t>The standard states that ST_PositiveFixedPercentage is read and written as a percent with a trailing percent sign.</w:t>
      </w:r>
    </w:p>
    <w:p w:rsidR="00024C0A" w:rsidRDefault="00694C0F">
      <w:pPr>
        <w:pStyle w:val="Definition-Field2"/>
      </w:pPr>
      <w:r>
        <w:t>Office will read in percentages formatted with a trailin</w:t>
      </w:r>
      <w:r>
        <w:t>g percent sign or as 1000th of a percent without trailing percent sign, but only write out percentages as 1000th's of a percent without trailing percent sign.</w:t>
      </w:r>
    </w:p>
    <w:p w:rsidR="00024C0A" w:rsidRDefault="00694C0F">
      <w:pPr>
        <w:pStyle w:val="Heading3"/>
      </w:pPr>
      <w:bookmarkStart w:id="2475" w:name="section_a71c29ec88db4dcc8e5ac4d216d68ea3"/>
      <w:bookmarkStart w:id="2476" w:name="_Toc12261298"/>
      <w:r>
        <w:t>Part 1 Section 20.1.2.3.19, lum (Luminance)</w:t>
      </w:r>
      <w:bookmarkEnd w:id="2475"/>
      <w:bookmarkEnd w:id="2476"/>
      <w:r>
        <w:fldChar w:fldCharType="begin"/>
      </w:r>
      <w:r>
        <w:instrText xml:space="preserve"> XE "lum (Luminance)" </w:instrText>
      </w:r>
      <w:r>
        <w:fldChar w:fldCharType="end"/>
      </w:r>
    </w:p>
    <w:p w:rsidR="00024C0A" w:rsidRDefault="00694C0F">
      <w:pPr>
        <w:pStyle w:val="Definition-Field2"/>
      </w:pPr>
      <w:r>
        <w:rPr>
          <w:i/>
        </w:rPr>
        <w:t>For additional notes that app</w:t>
      </w:r>
      <w:r>
        <w:rPr>
          <w:i/>
        </w:rPr>
        <w:t xml:space="preserve">ly to this portion of the standard, please see the notes for </w:t>
      </w:r>
      <w:hyperlink w:anchor="Section_609636d541304679b9b8eebaa8424ae7">
        <w:r>
          <w:rPr>
            <w:rStyle w:val="Hyperlink"/>
          </w:rPr>
          <w:t>blue, §20.1.2.3.4(a)</w:t>
        </w:r>
      </w:hyperlink>
      <w:r>
        <w:rPr>
          <w:i/>
        </w:rPr>
        <w:t>.</w:t>
      </w:r>
    </w:p>
    <w:p w:rsidR="00024C0A" w:rsidRDefault="00694C0F">
      <w:pPr>
        <w:pStyle w:val="Definition-Field"/>
      </w:pPr>
      <w:r>
        <w:t xml:space="preserve">a.   </w:t>
      </w:r>
      <w:r>
        <w:rPr>
          <w:i/>
        </w:rPr>
        <w:t>The standard allows luminance to be specified either as an attribute of a parent element or as a child el</w:t>
      </w:r>
      <w:r>
        <w:rPr>
          <w:i/>
        </w:rPr>
        <w:t>ement.</w:t>
      </w:r>
    </w:p>
    <w:p w:rsidR="00024C0A" w:rsidRDefault="00694C0F">
      <w:pPr>
        <w:pStyle w:val="Definition-Field2"/>
      </w:pPr>
      <w:r>
        <w:t>In Office, using child element lum will override the corresponding value specified in a parent element and may produce unexpected color.</w:t>
      </w:r>
    </w:p>
    <w:p w:rsidR="00024C0A" w:rsidRDefault="00694C0F">
      <w:pPr>
        <w:pStyle w:val="Definition-Field"/>
      </w:pPr>
      <w:r>
        <w:t xml:space="preserve">b.   </w:t>
      </w:r>
      <w:r>
        <w:rPr>
          <w:i/>
        </w:rPr>
        <w:t>The standard states that ST_PositiveFixedPercentage is read and written as a percent with a trailing percen</w:t>
      </w:r>
      <w:r>
        <w:rPr>
          <w:i/>
        </w:rPr>
        <w:t>t sign.</w:t>
      </w:r>
    </w:p>
    <w:p w:rsidR="00024C0A" w:rsidRDefault="00694C0F">
      <w:pPr>
        <w:pStyle w:val="Definition-Field2"/>
      </w:pPr>
      <w:r>
        <w:t>Office will read in percentages formatted with a trailing percent sign or as 1000th of a percent without trailing percent sign, but only write out percentages as 1000th's of a percent without trailing percent sign.</w:t>
      </w:r>
    </w:p>
    <w:p w:rsidR="00024C0A" w:rsidRDefault="00694C0F">
      <w:pPr>
        <w:pStyle w:val="Heading3"/>
      </w:pPr>
      <w:bookmarkStart w:id="2477" w:name="section_bbae891601d748acae07ff5d30130967"/>
      <w:bookmarkStart w:id="2478" w:name="_Toc12261299"/>
      <w:r>
        <w:t>Part 1 Section 20.1.2.3.20, lumMo</w:t>
      </w:r>
      <w:r>
        <w:t>d (Luminance Modulation)</w:t>
      </w:r>
      <w:bookmarkEnd w:id="2477"/>
      <w:bookmarkEnd w:id="2478"/>
      <w:r>
        <w:fldChar w:fldCharType="begin"/>
      </w:r>
      <w:r>
        <w:instrText xml:space="preserve"> XE "lumMod (Luminance Modulation)"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024C0A" w:rsidRDefault="00694C0F">
      <w:pPr>
        <w:pStyle w:val="Definition-Field"/>
      </w:pPr>
      <w:r>
        <w:t xml:space="preserve">a.   </w:t>
      </w:r>
      <w:r>
        <w:rPr>
          <w:i/>
        </w:rPr>
        <w:t xml:space="preserve">The standard </w:t>
      </w:r>
      <w:r>
        <w:rPr>
          <w:i/>
        </w:rPr>
        <w:t>states that ST_PositiveFixedPercentage is read and written as a percent with a trailing percent sign.</w:t>
      </w:r>
    </w:p>
    <w:p w:rsidR="00024C0A" w:rsidRDefault="00694C0F">
      <w:pPr>
        <w:pStyle w:val="Definition-Field2"/>
      </w:pPr>
      <w:r>
        <w:t>Office will read in percentages formatted with a trailing percent sign or as 1000th of a percent without trailing percent sign, but only write out percent</w:t>
      </w:r>
      <w:r>
        <w:t>ages as 1000th's of a percent without trailing percent sign.</w:t>
      </w:r>
    </w:p>
    <w:p w:rsidR="00024C0A" w:rsidRDefault="00694C0F">
      <w:pPr>
        <w:pStyle w:val="Heading3"/>
      </w:pPr>
      <w:bookmarkStart w:id="2479" w:name="section_fa8c6409ddd046bdb9950b00342d9aeb"/>
      <w:bookmarkStart w:id="2480" w:name="_Toc12261300"/>
      <w:r>
        <w:t>Part 1 Section 20.1.2.3.21, lumOff (Luminance Offset)</w:t>
      </w:r>
      <w:bookmarkEnd w:id="2479"/>
      <w:bookmarkEnd w:id="2480"/>
      <w:r>
        <w:fldChar w:fldCharType="begin"/>
      </w:r>
      <w:r>
        <w:instrText xml:space="preserve"> XE "lumOff (Luminance Offset)"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024C0A" w:rsidRDefault="00694C0F">
      <w:pPr>
        <w:pStyle w:val="Definition-Field"/>
      </w:pPr>
      <w:r>
        <w:t xml:space="preserve">a.   </w:t>
      </w:r>
      <w:r>
        <w:rPr>
          <w:i/>
        </w:rPr>
        <w:t>The standard states that element lumOff shifts the input color's luminance while leaving hue and saturation unchanged.</w:t>
      </w:r>
    </w:p>
    <w:p w:rsidR="00024C0A" w:rsidRDefault="00694C0F">
      <w:pPr>
        <w:pStyle w:val="Definition-Field2"/>
      </w:pPr>
      <w:r>
        <w:t xml:space="preserve">This element is not supported by Office and may produce </w:t>
      </w:r>
      <w:r>
        <w:t>unexpected color.</w:t>
      </w:r>
    </w:p>
    <w:p w:rsidR="00024C0A" w:rsidRDefault="00694C0F">
      <w:pPr>
        <w:pStyle w:val="Definition-Field"/>
      </w:pPr>
      <w:r>
        <w:t xml:space="preserve">b.   </w:t>
      </w:r>
      <w:r>
        <w:rPr>
          <w:i/>
        </w:rPr>
        <w:t>The standard states that ST_PositiveFixedPercentage is read and written as a percent with a trailing percent sign.</w:t>
      </w:r>
    </w:p>
    <w:p w:rsidR="00024C0A" w:rsidRDefault="00694C0F">
      <w:pPr>
        <w:pStyle w:val="Definition-Field2"/>
      </w:pPr>
      <w:r>
        <w:lastRenderedPageBreak/>
        <w:t>Office will read in percentages formatted with a trailing percent sign or as 1000th of a percent without trailing perc</w:t>
      </w:r>
      <w:r>
        <w:t>ent sign, but only write out percentages as 1000th's of a percent without trailing percent sign.</w:t>
      </w:r>
    </w:p>
    <w:p w:rsidR="00024C0A" w:rsidRDefault="00694C0F">
      <w:pPr>
        <w:pStyle w:val="Heading3"/>
      </w:pPr>
      <w:bookmarkStart w:id="2481" w:name="section_848c9693a3484120b597e50b34988b5a"/>
      <w:bookmarkStart w:id="2482" w:name="_Toc12261301"/>
      <w:r>
        <w:t>Part 1 Section 20.1.2.3.22, prstClr (Preset Color)</w:t>
      </w:r>
      <w:bookmarkEnd w:id="2481"/>
      <w:bookmarkEnd w:id="2482"/>
      <w:r>
        <w:fldChar w:fldCharType="begin"/>
      </w:r>
      <w:r>
        <w:instrText xml:space="preserve"> XE "prstClr (Preset Color)" </w:instrText>
      </w:r>
      <w:r>
        <w:fldChar w:fldCharType="end"/>
      </w:r>
    </w:p>
    <w:p w:rsidR="00024C0A" w:rsidRDefault="00694C0F">
      <w:pPr>
        <w:pStyle w:val="Definition-Field"/>
      </w:pPr>
      <w:r>
        <w:t xml:space="preserve">a.   </w:t>
      </w:r>
      <w:r>
        <w:rPr>
          <w:i/>
        </w:rPr>
        <w:t>The standard implies that the val attribute is optional.</w:t>
      </w:r>
    </w:p>
    <w:p w:rsidR="00024C0A" w:rsidRDefault="00694C0F">
      <w:pPr>
        <w:pStyle w:val="Definition-Field2"/>
      </w:pPr>
      <w:r>
        <w:t>Office requires</w:t>
      </w:r>
      <w:r>
        <w:t xml:space="preserve"> the val attribute.</w:t>
      </w:r>
    </w:p>
    <w:p w:rsidR="00024C0A" w:rsidRDefault="00694C0F">
      <w:pPr>
        <w:pStyle w:val="Heading3"/>
      </w:pPr>
      <w:bookmarkStart w:id="2483" w:name="section_b7378f270ccb4534905a6b72f3629e84"/>
      <w:bookmarkStart w:id="2484" w:name="_Toc12261302"/>
      <w:r>
        <w:t>Part 1 Section 20.1.2.3.23, red (Red)</w:t>
      </w:r>
      <w:bookmarkEnd w:id="2483"/>
      <w:bookmarkEnd w:id="2484"/>
      <w:r>
        <w:fldChar w:fldCharType="begin"/>
      </w:r>
      <w:r>
        <w:instrText xml:space="preserve"> XE "red (Red)"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024C0A" w:rsidRDefault="00694C0F">
      <w:pPr>
        <w:pStyle w:val="Definition-Field"/>
      </w:pPr>
      <w:r>
        <w:t xml:space="preserve">a.   </w:t>
      </w:r>
      <w:r>
        <w:rPr>
          <w:i/>
        </w:rPr>
        <w:t>The standard states that ST_PositiveFixedPercentage is read and written as a percent with a trailing percent sign.</w:t>
      </w:r>
    </w:p>
    <w:p w:rsidR="00024C0A" w:rsidRDefault="00694C0F">
      <w:pPr>
        <w:pStyle w:val="Definition-Field2"/>
      </w:pPr>
      <w:r>
        <w:t>Office will read in percentages formatted with a trailing percent sign or as 1000th of a percent without trailing percent sign, but only writ</w:t>
      </w:r>
      <w:r>
        <w:t>e out percentages as 1000th's of a percent without trailing percent sign.</w:t>
      </w:r>
    </w:p>
    <w:p w:rsidR="00024C0A" w:rsidRDefault="00694C0F">
      <w:pPr>
        <w:pStyle w:val="Heading3"/>
      </w:pPr>
      <w:bookmarkStart w:id="2485" w:name="section_3bbe53b4cdef4500a740b6d7db05ff8d"/>
      <w:bookmarkStart w:id="2486" w:name="_Toc12261303"/>
      <w:r>
        <w:t>Part 1 Section 20.1.2.3.24, redMod (Red Modulation)</w:t>
      </w:r>
      <w:bookmarkEnd w:id="2485"/>
      <w:bookmarkEnd w:id="2486"/>
      <w:r>
        <w:fldChar w:fldCharType="begin"/>
      </w:r>
      <w:r>
        <w:instrText xml:space="preserve"> XE "redMod (Red Modulation)"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024C0A" w:rsidRDefault="00694C0F">
      <w:pPr>
        <w:pStyle w:val="Definition-Field"/>
      </w:pPr>
      <w:r>
        <w:t xml:space="preserve">a.   </w:t>
      </w:r>
      <w:r>
        <w:rPr>
          <w:i/>
        </w:rPr>
        <w:t>The standard states that ST_PositiveFixedPercentage is read and written as a percent with a trailing percent sign.</w:t>
      </w:r>
    </w:p>
    <w:p w:rsidR="00024C0A" w:rsidRDefault="00694C0F">
      <w:pPr>
        <w:pStyle w:val="Definition-Field2"/>
      </w:pPr>
      <w:r>
        <w:t>Office will read in percentages formatted with a trailing p</w:t>
      </w:r>
      <w:r>
        <w:t>ercent sign or as 1000th of a percent without trailing percent sign, but only write out percentages as 1000th's of a percent without trailing percent sign.</w:t>
      </w:r>
    </w:p>
    <w:p w:rsidR="00024C0A" w:rsidRDefault="00694C0F">
      <w:pPr>
        <w:pStyle w:val="Heading3"/>
      </w:pPr>
      <w:bookmarkStart w:id="2487" w:name="section_7324b5d8d9cb4b22b0a1bb247e1b9244"/>
      <w:bookmarkStart w:id="2488" w:name="_Toc12261304"/>
      <w:r>
        <w:t>Part 1 Section 20.1.2.3.25, redOff (Red Offset)</w:t>
      </w:r>
      <w:bookmarkEnd w:id="2487"/>
      <w:bookmarkEnd w:id="2488"/>
      <w:r>
        <w:fldChar w:fldCharType="begin"/>
      </w:r>
      <w:r>
        <w:instrText xml:space="preserve"> XE "redOff (Red Offset)" </w:instrText>
      </w:r>
      <w:r>
        <w:fldChar w:fldCharType="end"/>
      </w:r>
    </w:p>
    <w:p w:rsidR="00024C0A" w:rsidRDefault="00694C0F">
      <w:pPr>
        <w:pStyle w:val="Definition-Field2"/>
      </w:pPr>
      <w:r>
        <w:rPr>
          <w:i/>
        </w:rPr>
        <w:t>For additional notes tha</w:t>
      </w:r>
      <w:r>
        <w:rPr>
          <w:i/>
        </w:rPr>
        <w:t xml:space="preserve">t apply to this portion of the standard, please see the notes for </w:t>
      </w:r>
      <w:hyperlink w:anchor="Section_609636d541304679b9b8eebaa8424ae7">
        <w:r>
          <w:rPr>
            <w:rStyle w:val="Hyperlink"/>
          </w:rPr>
          <w:t>blue, §20.1.2.3.4(a)</w:t>
        </w:r>
      </w:hyperlink>
      <w:r>
        <w:rPr>
          <w:i/>
        </w:rPr>
        <w:t>.</w:t>
      </w:r>
    </w:p>
    <w:p w:rsidR="00024C0A" w:rsidRDefault="00694C0F">
      <w:pPr>
        <w:pStyle w:val="Definition-Field"/>
      </w:pPr>
      <w:r>
        <w:t xml:space="preserve">a.   </w:t>
      </w:r>
      <w:r>
        <w:rPr>
          <w:i/>
        </w:rPr>
        <w:t>The standard states that ST_PositiveFixedPercentage is read and written as a percent with a trailing</w:t>
      </w:r>
      <w:r>
        <w:rPr>
          <w:i/>
        </w:rPr>
        <w:t xml:space="preserve"> percent sign.</w:t>
      </w:r>
    </w:p>
    <w:p w:rsidR="00024C0A" w:rsidRDefault="00694C0F">
      <w:pPr>
        <w:pStyle w:val="Definition-Field2"/>
      </w:pPr>
      <w:r>
        <w:t>Office will read in percentages formatted with a trailing percent sign or as 1000th of a percent without trailing percent sign, but only write out percentages as 1000th's of a percent without trailing percent sign.</w:t>
      </w:r>
    </w:p>
    <w:p w:rsidR="00024C0A" w:rsidRDefault="00694C0F">
      <w:pPr>
        <w:pStyle w:val="Heading3"/>
      </w:pPr>
      <w:bookmarkStart w:id="2489" w:name="section_6e285ca361b94a4093beaf70277dcd71"/>
      <w:bookmarkStart w:id="2490" w:name="_Toc12261305"/>
      <w:r>
        <w:t>Part 1 Section 20.1.2.3.26</w:t>
      </w:r>
      <w:r>
        <w:t>, sat (Saturation)</w:t>
      </w:r>
      <w:bookmarkEnd w:id="2489"/>
      <w:bookmarkEnd w:id="2490"/>
      <w:r>
        <w:fldChar w:fldCharType="begin"/>
      </w:r>
      <w:r>
        <w:instrText xml:space="preserve"> XE "sat (Saturation)"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024C0A" w:rsidRDefault="00694C0F">
      <w:pPr>
        <w:pStyle w:val="Definition-Field"/>
      </w:pPr>
      <w:r>
        <w:t xml:space="preserve">a.   </w:t>
      </w:r>
      <w:r>
        <w:rPr>
          <w:i/>
        </w:rPr>
        <w:t>The standard allows saturation t</w:t>
      </w:r>
      <w:r>
        <w:rPr>
          <w:i/>
        </w:rPr>
        <w:t>o be specified either as an attribute of a parent element or as a child element.</w:t>
      </w:r>
    </w:p>
    <w:p w:rsidR="00024C0A" w:rsidRDefault="00694C0F">
      <w:pPr>
        <w:pStyle w:val="Definition-Field2"/>
      </w:pPr>
      <w:r>
        <w:t>In Office, using child element sat will override the corresponding value specified in a parent element and may produce unexpected color.</w:t>
      </w:r>
    </w:p>
    <w:p w:rsidR="00024C0A" w:rsidRDefault="00694C0F">
      <w:pPr>
        <w:pStyle w:val="Definition-Field"/>
      </w:pPr>
      <w:r>
        <w:lastRenderedPageBreak/>
        <w:t xml:space="preserve">b.   </w:t>
      </w:r>
      <w:r>
        <w:rPr>
          <w:i/>
        </w:rPr>
        <w:t>The standard states that ST_Perce</w:t>
      </w:r>
      <w:r>
        <w:rPr>
          <w:i/>
        </w:rPr>
        <w:t>ntage is read and written as a percent with a trailing percent sign.</w:t>
      </w:r>
    </w:p>
    <w:p w:rsidR="00024C0A" w:rsidRDefault="00694C0F">
      <w:pPr>
        <w:pStyle w:val="Definition-Field2"/>
      </w:pPr>
      <w:r>
        <w:t>Office will read in percentages formatted with a trailing percent sign or as 1000th of a percent without trailing percent sign, but only write out percentages as 1000th's of a percent wit</w:t>
      </w:r>
      <w:r>
        <w:t>hout trailing percent sign.</w:t>
      </w:r>
    </w:p>
    <w:p w:rsidR="00024C0A" w:rsidRDefault="00694C0F">
      <w:pPr>
        <w:pStyle w:val="Heading3"/>
      </w:pPr>
      <w:bookmarkStart w:id="2491" w:name="section_157e57919c514251ae907dd58ae69778"/>
      <w:bookmarkStart w:id="2492" w:name="_Toc12261306"/>
      <w:r>
        <w:t>Part 1 Section 20.1.2.3.27, satMod (Saturation Modulation)</w:t>
      </w:r>
      <w:bookmarkEnd w:id="2491"/>
      <w:bookmarkEnd w:id="2492"/>
      <w:r>
        <w:fldChar w:fldCharType="begin"/>
      </w:r>
      <w:r>
        <w:instrText xml:space="preserve"> XE "satMod (Saturation Modulation)"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024C0A" w:rsidRDefault="00694C0F">
      <w:pPr>
        <w:pStyle w:val="Definition-Field"/>
      </w:pPr>
      <w:r>
        <w:t xml:space="preserve">a.   </w:t>
      </w:r>
      <w:r>
        <w:rPr>
          <w:i/>
        </w:rPr>
        <w:t>The standard states that ST_Percentage is read and written as a percent with a trailing percent sign.</w:t>
      </w:r>
    </w:p>
    <w:p w:rsidR="00024C0A" w:rsidRDefault="00694C0F">
      <w:pPr>
        <w:pStyle w:val="Definition-Field2"/>
      </w:pPr>
      <w:r>
        <w:t>Office will read in percentages formatted with a trailing percent sign or as 1000th of a percent without</w:t>
      </w:r>
      <w:r>
        <w:t xml:space="preserve"> trailing percent sign, but only write out percentages as 1000th's of a percent without trailing percent sign.</w:t>
      </w:r>
    </w:p>
    <w:p w:rsidR="00024C0A" w:rsidRDefault="00694C0F">
      <w:pPr>
        <w:pStyle w:val="Heading3"/>
      </w:pPr>
      <w:bookmarkStart w:id="2493" w:name="section_4739545ec381406d9f092fcbe7d8e3af"/>
      <w:bookmarkStart w:id="2494" w:name="_Toc12261307"/>
      <w:r>
        <w:t>Part 1 Section 20.1.2.3.28, satOff (Saturation Offset)</w:t>
      </w:r>
      <w:bookmarkEnd w:id="2493"/>
      <w:bookmarkEnd w:id="2494"/>
      <w:r>
        <w:fldChar w:fldCharType="begin"/>
      </w:r>
      <w:r>
        <w:instrText xml:space="preserve"> XE "satOff (Saturation Offset)"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024C0A" w:rsidRDefault="00694C0F">
      <w:pPr>
        <w:pStyle w:val="Definition-Field"/>
      </w:pPr>
      <w:r>
        <w:t xml:space="preserve">a.   </w:t>
      </w:r>
      <w:r>
        <w:rPr>
          <w:i/>
        </w:rPr>
        <w:t xml:space="preserve">The standard states that element satOff shifts the input color's saturation </w:t>
      </w:r>
      <w:r>
        <w:rPr>
          <w:i/>
        </w:rPr>
        <w:t>while leaving hue and luminance unchanged.</w:t>
      </w:r>
    </w:p>
    <w:p w:rsidR="00024C0A" w:rsidRDefault="00694C0F">
      <w:pPr>
        <w:pStyle w:val="Definition-Field2"/>
      </w:pPr>
      <w:r>
        <w:t>This element is not supported by Office and may produce unexpected color.</w:t>
      </w:r>
    </w:p>
    <w:p w:rsidR="00024C0A" w:rsidRDefault="00694C0F">
      <w:pPr>
        <w:pStyle w:val="Definition-Field"/>
      </w:pPr>
      <w:r>
        <w:t xml:space="preserve">b.   </w:t>
      </w:r>
      <w:r>
        <w:rPr>
          <w:i/>
        </w:rPr>
        <w:t>The standard states that ST_Percentage is read and written as a percent with a trailing percent sign.</w:t>
      </w:r>
    </w:p>
    <w:p w:rsidR="00024C0A" w:rsidRDefault="00694C0F">
      <w:pPr>
        <w:pStyle w:val="Definition-Field2"/>
      </w:pPr>
      <w:r>
        <w:t xml:space="preserve">Office will read in percentages </w:t>
      </w:r>
      <w:r>
        <w:t>formatted with a trailing percent sign or as 1000th of a percent without trailing percent sign, but only write out percentages as 1000th's of a percent without trailing percent sign.</w:t>
      </w:r>
    </w:p>
    <w:p w:rsidR="00024C0A" w:rsidRDefault="00694C0F">
      <w:pPr>
        <w:pStyle w:val="Heading3"/>
      </w:pPr>
      <w:bookmarkStart w:id="2495" w:name="section_948409b090f74b6a85ee2e3eefa3d0fd"/>
      <w:bookmarkStart w:id="2496" w:name="_Toc12261308"/>
      <w:r>
        <w:t>Part 1 Section 20.1.2.3.31, shade (Shade)</w:t>
      </w:r>
      <w:bookmarkEnd w:id="2495"/>
      <w:bookmarkEnd w:id="2496"/>
      <w:r>
        <w:fldChar w:fldCharType="begin"/>
      </w:r>
      <w:r>
        <w:instrText xml:space="preserve"> XE "shade (Shade)" </w:instrText>
      </w:r>
      <w:r>
        <w:fldChar w:fldCharType="end"/>
      </w:r>
    </w:p>
    <w:p w:rsidR="00024C0A" w:rsidRDefault="00694C0F">
      <w:pPr>
        <w:pStyle w:val="Definition-Field2"/>
      </w:pPr>
      <w:r>
        <w:rPr>
          <w:i/>
        </w:rPr>
        <w:t>For addit</w:t>
      </w:r>
      <w:r>
        <w:rPr>
          <w:i/>
        </w:rPr>
        <w:t xml:space="preserve">ional notes that apply to this portion of the standard, please see the notes for </w:t>
      </w:r>
      <w:hyperlink w:anchor="Section_8d11d27322a648b8a2122b60910659bd">
        <w:r>
          <w:rPr>
            <w:rStyle w:val="Hyperlink"/>
          </w:rPr>
          <w:t>alpha, §20.1.2.3.1(a)</w:t>
        </w:r>
      </w:hyperlink>
      <w:r>
        <w:rPr>
          <w:i/>
        </w:rPr>
        <w:t>.</w:t>
      </w:r>
    </w:p>
    <w:p w:rsidR="00024C0A" w:rsidRDefault="00694C0F">
      <w:pPr>
        <w:pStyle w:val="Definition-Field"/>
      </w:pPr>
      <w:r>
        <w:t xml:space="preserve">a.   </w:t>
      </w:r>
      <w:r>
        <w:rPr>
          <w:i/>
        </w:rPr>
        <w:t>The standard states that ST_PositiveFixedPercentage is read and written as a percent</w:t>
      </w:r>
      <w:r>
        <w:rPr>
          <w:i/>
        </w:rPr>
        <w:t xml:space="preserve"> with a trailing percent sign.</w:t>
      </w:r>
    </w:p>
    <w:p w:rsidR="00024C0A" w:rsidRDefault="00694C0F">
      <w:pPr>
        <w:pStyle w:val="Definition-Field2"/>
      </w:pPr>
      <w:r>
        <w:t>Office will read in percentages formatted with a trailing percent sign or as 1000th of a percent without trailing percent sign, but only write out percentages as 1000th's of a percent without trailing percent sign.</w:t>
      </w:r>
    </w:p>
    <w:p w:rsidR="00024C0A" w:rsidRDefault="00694C0F">
      <w:pPr>
        <w:pStyle w:val="Heading3"/>
      </w:pPr>
      <w:bookmarkStart w:id="2497" w:name="section_cfb7a112dc1944ab9defbe5e19198aca"/>
      <w:bookmarkStart w:id="2498" w:name="_Toc12261309"/>
      <w:r>
        <w:t>Part 1 Sec</w:t>
      </w:r>
      <w:r>
        <w:t>tion 20.1.2.3.33, sysClr (System Color)</w:t>
      </w:r>
      <w:bookmarkEnd w:id="2497"/>
      <w:bookmarkEnd w:id="2498"/>
      <w:r>
        <w:fldChar w:fldCharType="begin"/>
      </w:r>
      <w:r>
        <w:instrText xml:space="preserve"> XE "sysClr (System Color)" </w:instrText>
      </w:r>
      <w:r>
        <w:fldChar w:fldCharType="end"/>
      </w:r>
    </w:p>
    <w:p w:rsidR="00024C0A" w:rsidRDefault="00694C0F">
      <w:pPr>
        <w:pStyle w:val="Definition-Field"/>
      </w:pPr>
      <w:r>
        <w:t xml:space="preserve">a.   </w:t>
      </w:r>
      <w:r>
        <w:rPr>
          <w:i/>
        </w:rPr>
        <w:t>The standard does not fully describe the lastClr attribute.</w:t>
      </w:r>
    </w:p>
    <w:p w:rsidR="00024C0A" w:rsidRDefault="00694C0F">
      <w:pPr>
        <w:pStyle w:val="Definition-Field2"/>
      </w:pPr>
      <w:r>
        <w:t>In Office, lastClr is an optional attribute that stores the RGB value of the last sysClr used.</w:t>
      </w:r>
    </w:p>
    <w:p w:rsidR="00024C0A" w:rsidRDefault="00694C0F">
      <w:pPr>
        <w:pStyle w:val="Heading3"/>
      </w:pPr>
      <w:bookmarkStart w:id="2499" w:name="section_376a958553ee4ab69a86b58cafd200ba"/>
      <w:bookmarkStart w:id="2500" w:name="_Toc12261310"/>
      <w:r>
        <w:t>Part 1 Section 20.1.2.3.34</w:t>
      </w:r>
      <w:r>
        <w:t>, tint (Tint)</w:t>
      </w:r>
      <w:bookmarkEnd w:id="2499"/>
      <w:bookmarkEnd w:id="2500"/>
      <w:r>
        <w:fldChar w:fldCharType="begin"/>
      </w:r>
      <w:r>
        <w:instrText xml:space="preserve"> XE "tint (Tint)"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8d11d27322a648b8a2122b60910659bd">
        <w:r>
          <w:rPr>
            <w:rStyle w:val="Hyperlink"/>
          </w:rPr>
          <w:t>alpha, §20.1.2.3.1(a)</w:t>
        </w:r>
      </w:hyperlink>
      <w:r>
        <w:rPr>
          <w:i/>
        </w:rPr>
        <w:t>.</w:t>
      </w:r>
    </w:p>
    <w:p w:rsidR="00024C0A" w:rsidRDefault="00694C0F">
      <w:pPr>
        <w:pStyle w:val="Definition-Field"/>
      </w:pPr>
      <w:r>
        <w:lastRenderedPageBreak/>
        <w:t xml:space="preserve">a.   </w:t>
      </w:r>
      <w:r>
        <w:rPr>
          <w:i/>
        </w:rPr>
        <w:t>The standard states that ST_PositiveFixed</w:t>
      </w:r>
      <w:r>
        <w:rPr>
          <w:i/>
        </w:rPr>
        <w:t>Percentage is read and written as a percent with a trailing percent sign.</w:t>
      </w:r>
    </w:p>
    <w:p w:rsidR="00024C0A" w:rsidRDefault="00694C0F">
      <w:pPr>
        <w:pStyle w:val="Definition-Field2"/>
      </w:pPr>
      <w:r>
        <w:t>Office will read in percentages formatted with a trailing percent sign or as 1000th of a percent without trailing percent sign, but only write out percentages as 1000th's of a percen</w:t>
      </w:r>
      <w:r>
        <w:t>t without trailing percent sign.</w:t>
      </w:r>
    </w:p>
    <w:p w:rsidR="00024C0A" w:rsidRDefault="00694C0F">
      <w:pPr>
        <w:pStyle w:val="Heading3"/>
      </w:pPr>
      <w:bookmarkStart w:id="2501" w:name="section_04a1b8020388451d8a1adc77e7b6e7fb"/>
      <w:bookmarkStart w:id="2502" w:name="_Toc12261311"/>
      <w:r>
        <w:t>Part 1 Section 20.1.3.2, audioFile (Audio from File)</w:t>
      </w:r>
      <w:bookmarkEnd w:id="2501"/>
      <w:bookmarkEnd w:id="2502"/>
      <w:r>
        <w:fldChar w:fldCharType="begin"/>
      </w:r>
      <w:r>
        <w:instrText xml:space="preserve"> XE "audioFile (Audio from File)" </w:instrText>
      </w:r>
      <w:r>
        <w:fldChar w:fldCharType="end"/>
      </w:r>
    </w:p>
    <w:p w:rsidR="00024C0A" w:rsidRDefault="00694C0F">
      <w:pPr>
        <w:pStyle w:val="Definition-Field"/>
      </w:pPr>
      <w:r>
        <w:t xml:space="preserve">a.   </w:t>
      </w:r>
      <w:r>
        <w:rPr>
          <w:i/>
        </w:rPr>
        <w:t>The standard specifies the optional contentType attribute for videoFile element.</w:t>
      </w:r>
    </w:p>
    <w:p w:rsidR="00024C0A" w:rsidRDefault="00694C0F">
      <w:pPr>
        <w:pStyle w:val="Definition-Field2"/>
      </w:pPr>
      <w:r>
        <w:t>Office ignores the optional contentType attribut</w:t>
      </w:r>
      <w:r>
        <w:t>e and does not round trip the attribute on saving a file that contains the attribute at load time.</w:t>
      </w:r>
    </w:p>
    <w:p w:rsidR="00024C0A" w:rsidRDefault="00694C0F">
      <w:pPr>
        <w:pStyle w:val="Heading3"/>
      </w:pPr>
      <w:bookmarkStart w:id="2503" w:name="section_2c068059663f4dd795aa2cbc325caff6"/>
      <w:bookmarkStart w:id="2504" w:name="_Toc12261312"/>
      <w:r>
        <w:t>Part 1 Section 20.1.3.3, end (Audio End Time)</w:t>
      </w:r>
      <w:bookmarkEnd w:id="2503"/>
      <w:bookmarkEnd w:id="2504"/>
      <w:r>
        <w:fldChar w:fldCharType="begin"/>
      </w:r>
      <w:r>
        <w:instrText xml:space="preserve"> XE "end (Audio End Time)" </w:instrText>
      </w:r>
      <w:r>
        <w:fldChar w:fldCharType="end"/>
      </w:r>
    </w:p>
    <w:p w:rsidR="00024C0A" w:rsidRDefault="00694C0F">
      <w:pPr>
        <w:pStyle w:val="Definition-Field"/>
      </w:pPr>
      <w:r>
        <w:t xml:space="preserve">a.   </w:t>
      </w:r>
      <w:r>
        <w:rPr>
          <w:i/>
        </w:rPr>
        <w:t>The standard uses common attribute descriptions for 'time' and 'track' that a</w:t>
      </w:r>
      <w:r>
        <w:rPr>
          <w:i/>
        </w:rPr>
        <w:t>re shared by both 'st' and 'end' elements.</w:t>
      </w:r>
    </w:p>
    <w:p w:rsidR="00024C0A" w:rsidRDefault="00694C0F">
      <w:pPr>
        <w:pStyle w:val="Definition-Field2"/>
      </w:pPr>
      <w:r>
        <w:t>In Office, the time attribute specifies the time in seconds that the CD audio should be started on at or stopped at while the track attribute specifies the track of the CD the audio will begin on or stop at.</w:t>
      </w:r>
    </w:p>
    <w:p w:rsidR="00024C0A" w:rsidRDefault="00694C0F">
      <w:pPr>
        <w:pStyle w:val="Heading3"/>
      </w:pPr>
      <w:bookmarkStart w:id="2505" w:name="section_05bb8be40b9c4be78eab1335e1d2d61c"/>
      <w:bookmarkStart w:id="2506" w:name="_Toc12261313"/>
      <w:r>
        <w:t xml:space="preserve">Part </w:t>
      </w:r>
      <w:r>
        <w:t>1 Section 20.1.3.5, st (Audio Start Time)</w:t>
      </w:r>
      <w:bookmarkEnd w:id="2505"/>
      <w:bookmarkEnd w:id="2506"/>
      <w:r>
        <w:fldChar w:fldCharType="begin"/>
      </w:r>
      <w:r>
        <w:instrText xml:space="preserve"> XE "st (Audio Start Time)"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2c068059663f4dd795aa2cbc325caff6">
        <w:r>
          <w:rPr>
            <w:rStyle w:val="Hyperlink"/>
          </w:rPr>
          <w:t>end, §20.1.3.3(a)</w:t>
        </w:r>
      </w:hyperlink>
      <w:r>
        <w:rPr>
          <w:i/>
        </w:rPr>
        <w:t>.</w:t>
      </w:r>
    </w:p>
    <w:p w:rsidR="00024C0A" w:rsidRDefault="00694C0F">
      <w:pPr>
        <w:pStyle w:val="Heading3"/>
      </w:pPr>
      <w:bookmarkStart w:id="2507" w:name="section_1d9021fb7aa149c48f2d691a1c6684ad"/>
      <w:bookmarkStart w:id="2508" w:name="_Toc12261314"/>
      <w:r>
        <w:t>Part 1 Secti</w:t>
      </w:r>
      <w:r>
        <w:t>on 20.1.3.6, videoFile (Video from File)</w:t>
      </w:r>
      <w:bookmarkEnd w:id="2507"/>
      <w:bookmarkEnd w:id="2508"/>
      <w:r>
        <w:fldChar w:fldCharType="begin"/>
      </w:r>
      <w:r>
        <w:instrText xml:space="preserve"> XE "videoFile (Video from File)" </w:instrText>
      </w:r>
      <w:r>
        <w:fldChar w:fldCharType="end"/>
      </w:r>
    </w:p>
    <w:p w:rsidR="00024C0A" w:rsidRDefault="00694C0F">
      <w:pPr>
        <w:pStyle w:val="Definition-Field"/>
      </w:pPr>
      <w:r>
        <w:t xml:space="preserve">a.   </w:t>
      </w:r>
      <w:r>
        <w:rPr>
          <w:i/>
        </w:rPr>
        <w:t>The standard specifies the optional contentType attribute for videoFile element.</w:t>
      </w:r>
    </w:p>
    <w:p w:rsidR="00024C0A" w:rsidRDefault="00694C0F">
      <w:pPr>
        <w:pStyle w:val="Definition-Field2"/>
      </w:pPr>
      <w:r>
        <w:t>Office ignores the optional contentType attribute and does not round trip the attribute on sa</w:t>
      </w:r>
      <w:r>
        <w:t>ving a file that contains the attribute at load time.</w:t>
      </w:r>
    </w:p>
    <w:p w:rsidR="00024C0A" w:rsidRDefault="00694C0F">
      <w:pPr>
        <w:pStyle w:val="Heading3"/>
      </w:pPr>
      <w:bookmarkStart w:id="2509" w:name="section_200a8e888d524d2a82f76383fea2caea"/>
      <w:bookmarkStart w:id="2510" w:name="_Toc12261315"/>
      <w:r>
        <w:t>Part 1 Section 20.1.4.1.1, accent1 (Accent 1)</w:t>
      </w:r>
      <w:bookmarkEnd w:id="2509"/>
      <w:bookmarkEnd w:id="2510"/>
      <w:r>
        <w:fldChar w:fldCharType="begin"/>
      </w:r>
      <w:r>
        <w:instrText xml:space="preserve"> XE "accent1 (Accent 1)" </w:instrText>
      </w:r>
      <w:r>
        <w:fldChar w:fldCharType="end"/>
      </w:r>
    </w:p>
    <w:p w:rsidR="00024C0A" w:rsidRDefault="00694C0F">
      <w:pPr>
        <w:pStyle w:val="Definition-Field"/>
      </w:pPr>
      <w:r>
        <w:t xml:space="preserve">a.   </w:t>
      </w:r>
      <w:r>
        <w:rPr>
          <w:i/>
        </w:rPr>
        <w:t>The standard allows the element schemeClr as a child of the parent element clrScheme.</w:t>
      </w:r>
    </w:p>
    <w:p w:rsidR="00024C0A" w:rsidRDefault="00694C0F">
      <w:pPr>
        <w:pStyle w:val="Definition-Field2"/>
      </w:pPr>
      <w:r>
        <w:t xml:space="preserve">Office does not allow schemeClr as a </w:t>
      </w:r>
      <w:r>
        <w:t>child of the parent element clrScheme.</w:t>
      </w:r>
    </w:p>
    <w:p w:rsidR="00024C0A" w:rsidRDefault="00694C0F">
      <w:pPr>
        <w:pStyle w:val="Heading3"/>
      </w:pPr>
      <w:bookmarkStart w:id="2511" w:name="section_ec6649f3feb54cbe86ad01f9e1778091"/>
      <w:bookmarkStart w:id="2512" w:name="_Toc12261316"/>
      <w:r>
        <w:t>Part 1 Section 20.1.4.1.2, accent2 (Accent 2)</w:t>
      </w:r>
      <w:bookmarkEnd w:id="2511"/>
      <w:bookmarkEnd w:id="2512"/>
      <w:r>
        <w:fldChar w:fldCharType="begin"/>
      </w:r>
      <w:r>
        <w:instrText xml:space="preserve"> XE "accent2 (Accent 2)" </w:instrText>
      </w:r>
      <w:r>
        <w:fldChar w:fldCharType="end"/>
      </w:r>
    </w:p>
    <w:p w:rsidR="00024C0A" w:rsidRDefault="00694C0F">
      <w:pPr>
        <w:pStyle w:val="Definition-Field"/>
      </w:pPr>
      <w:r>
        <w:t xml:space="preserve">a.   </w:t>
      </w:r>
      <w:r>
        <w:rPr>
          <w:i/>
        </w:rPr>
        <w:t>The standard allows the element schemeClr as a child of the parent element clrScheme.</w:t>
      </w:r>
    </w:p>
    <w:p w:rsidR="00024C0A" w:rsidRDefault="00694C0F">
      <w:pPr>
        <w:pStyle w:val="Definition-Field2"/>
      </w:pPr>
      <w:r>
        <w:t>Office does not allow schemeClr as a child of the par</w:t>
      </w:r>
      <w:r>
        <w:t>ent element clrScheme.</w:t>
      </w:r>
    </w:p>
    <w:p w:rsidR="00024C0A" w:rsidRDefault="00694C0F">
      <w:pPr>
        <w:pStyle w:val="Heading3"/>
      </w:pPr>
      <w:bookmarkStart w:id="2513" w:name="section_10b90b6cd8764335961999f0786d0eab"/>
      <w:bookmarkStart w:id="2514" w:name="_Toc12261317"/>
      <w:r>
        <w:t>Part 1 Section 20.1.4.1.3, accent3 (Accent 3)</w:t>
      </w:r>
      <w:bookmarkEnd w:id="2513"/>
      <w:bookmarkEnd w:id="2514"/>
      <w:r>
        <w:fldChar w:fldCharType="begin"/>
      </w:r>
      <w:r>
        <w:instrText xml:space="preserve"> XE "accent3 (Accent 3)" </w:instrText>
      </w:r>
      <w:r>
        <w:fldChar w:fldCharType="end"/>
      </w:r>
    </w:p>
    <w:p w:rsidR="00024C0A" w:rsidRDefault="00694C0F">
      <w:pPr>
        <w:pStyle w:val="Definition-Field"/>
      </w:pPr>
      <w:r>
        <w:t xml:space="preserve">a.   </w:t>
      </w:r>
      <w:r>
        <w:rPr>
          <w:i/>
        </w:rPr>
        <w:t>The standard allows the element schemeClr as a child of the parent element clrScheme.</w:t>
      </w:r>
    </w:p>
    <w:p w:rsidR="00024C0A" w:rsidRDefault="00694C0F">
      <w:pPr>
        <w:pStyle w:val="Definition-Field2"/>
      </w:pPr>
      <w:r>
        <w:t xml:space="preserve">Office does not allow schemeClr as a child of the parent element </w:t>
      </w:r>
      <w:r>
        <w:t>clrScheme.</w:t>
      </w:r>
    </w:p>
    <w:p w:rsidR="00024C0A" w:rsidRDefault="00694C0F">
      <w:pPr>
        <w:pStyle w:val="Heading3"/>
      </w:pPr>
      <w:bookmarkStart w:id="2515" w:name="section_637470bc3bf64eb087c9f25e1a35cef4"/>
      <w:bookmarkStart w:id="2516" w:name="_Toc12261318"/>
      <w:r>
        <w:t>Part 1 Section 20.1.4.1.4, accent4 (Accent 4)</w:t>
      </w:r>
      <w:bookmarkEnd w:id="2515"/>
      <w:bookmarkEnd w:id="2516"/>
      <w:r>
        <w:fldChar w:fldCharType="begin"/>
      </w:r>
      <w:r>
        <w:instrText xml:space="preserve"> XE "accent4 (Accent 4)" </w:instrText>
      </w:r>
      <w:r>
        <w:fldChar w:fldCharType="end"/>
      </w:r>
    </w:p>
    <w:p w:rsidR="00024C0A" w:rsidRDefault="00694C0F">
      <w:pPr>
        <w:pStyle w:val="Definition-Field"/>
      </w:pPr>
      <w:r>
        <w:t xml:space="preserve">a.   </w:t>
      </w:r>
      <w:r>
        <w:rPr>
          <w:i/>
        </w:rPr>
        <w:t>The standard allows the element schemeClr as a child of the parent element clrScheme.</w:t>
      </w:r>
    </w:p>
    <w:p w:rsidR="00024C0A" w:rsidRDefault="00694C0F">
      <w:pPr>
        <w:pStyle w:val="Definition-Field2"/>
      </w:pPr>
      <w:r>
        <w:lastRenderedPageBreak/>
        <w:t>Office does not allow schemeClr as a child of the parent element clrScheme.</w:t>
      </w:r>
    </w:p>
    <w:p w:rsidR="00024C0A" w:rsidRDefault="00694C0F">
      <w:pPr>
        <w:pStyle w:val="Heading3"/>
      </w:pPr>
      <w:bookmarkStart w:id="2517" w:name="section_1687400204664c2ba60db62f9d42590a"/>
      <w:bookmarkStart w:id="2518" w:name="_Toc12261319"/>
      <w:r>
        <w:t xml:space="preserve">Part </w:t>
      </w:r>
      <w:r>
        <w:t>1 Section 20.1.4.1.5, accent5 (Accent 5)</w:t>
      </w:r>
      <w:bookmarkEnd w:id="2517"/>
      <w:bookmarkEnd w:id="2518"/>
      <w:r>
        <w:fldChar w:fldCharType="begin"/>
      </w:r>
      <w:r>
        <w:instrText xml:space="preserve"> XE "accent5 (Accent 5)" </w:instrText>
      </w:r>
      <w:r>
        <w:fldChar w:fldCharType="end"/>
      </w:r>
    </w:p>
    <w:p w:rsidR="00024C0A" w:rsidRDefault="00694C0F">
      <w:pPr>
        <w:pStyle w:val="Definition-Field"/>
      </w:pPr>
      <w:r>
        <w:t xml:space="preserve">a.   </w:t>
      </w:r>
      <w:r>
        <w:rPr>
          <w:i/>
        </w:rPr>
        <w:t>The standard allows the element schemeClr as a child of the parent element clrScheme.</w:t>
      </w:r>
    </w:p>
    <w:p w:rsidR="00024C0A" w:rsidRDefault="00694C0F">
      <w:pPr>
        <w:pStyle w:val="Definition-Field2"/>
      </w:pPr>
      <w:r>
        <w:t>Office does not allow schemeClr as a child of the parent element clrScheme.</w:t>
      </w:r>
    </w:p>
    <w:p w:rsidR="00024C0A" w:rsidRDefault="00694C0F">
      <w:pPr>
        <w:pStyle w:val="Heading3"/>
      </w:pPr>
      <w:bookmarkStart w:id="2519" w:name="section_c92f3b2e902f44ef9760d39d261e1d5b"/>
      <w:bookmarkStart w:id="2520" w:name="_Toc12261320"/>
      <w:r>
        <w:t>Part 1 Section 20.1.4</w:t>
      </w:r>
      <w:r>
        <w:t>.1.6, accent6 (Accent 6)</w:t>
      </w:r>
      <w:bookmarkEnd w:id="2519"/>
      <w:bookmarkEnd w:id="2520"/>
      <w:r>
        <w:fldChar w:fldCharType="begin"/>
      </w:r>
      <w:r>
        <w:instrText xml:space="preserve"> XE "accent6 (Accent 6)" </w:instrText>
      </w:r>
      <w:r>
        <w:fldChar w:fldCharType="end"/>
      </w:r>
    </w:p>
    <w:p w:rsidR="00024C0A" w:rsidRDefault="00694C0F">
      <w:pPr>
        <w:pStyle w:val="Definition-Field"/>
      </w:pPr>
      <w:r>
        <w:t xml:space="preserve">a.   </w:t>
      </w:r>
      <w:r>
        <w:rPr>
          <w:i/>
        </w:rPr>
        <w:t>The standard allows the element schemeClr as a child of the parent element clrScheme.</w:t>
      </w:r>
    </w:p>
    <w:p w:rsidR="00024C0A" w:rsidRDefault="00694C0F">
      <w:pPr>
        <w:pStyle w:val="Definition-Field2"/>
      </w:pPr>
      <w:r>
        <w:t>Office does not allow schemeClr as a child of the parent element clrScheme.</w:t>
      </w:r>
    </w:p>
    <w:p w:rsidR="00024C0A" w:rsidRDefault="00694C0F">
      <w:pPr>
        <w:pStyle w:val="Heading3"/>
      </w:pPr>
      <w:bookmarkStart w:id="2521" w:name="section_0efe93f6a9914b0285c5bba4619e7d25"/>
      <w:bookmarkStart w:id="2522" w:name="_Toc12261321"/>
      <w:r>
        <w:t xml:space="preserve">Part 1 Section 20.1.4.1.9, dk1 (Dark </w:t>
      </w:r>
      <w:r>
        <w:t>1)</w:t>
      </w:r>
      <w:bookmarkEnd w:id="2521"/>
      <w:bookmarkEnd w:id="2522"/>
      <w:r>
        <w:fldChar w:fldCharType="begin"/>
      </w:r>
      <w:r>
        <w:instrText xml:space="preserve"> XE "dk1 (Dark 1)" </w:instrText>
      </w:r>
      <w:r>
        <w:fldChar w:fldCharType="end"/>
      </w:r>
    </w:p>
    <w:p w:rsidR="00024C0A" w:rsidRDefault="00694C0F">
      <w:pPr>
        <w:pStyle w:val="Definition-Field"/>
      </w:pPr>
      <w:r>
        <w:t xml:space="preserve">a.   </w:t>
      </w:r>
      <w:r>
        <w:rPr>
          <w:i/>
        </w:rPr>
        <w:t>The standard allows the element schemeClr as a child of the parent element clrScheme.</w:t>
      </w:r>
    </w:p>
    <w:p w:rsidR="00024C0A" w:rsidRDefault="00694C0F">
      <w:pPr>
        <w:pStyle w:val="Definition-Field2"/>
      </w:pPr>
      <w:r>
        <w:t>Office does not allow schemeClr as a child of the parent element clrScheme.</w:t>
      </w:r>
    </w:p>
    <w:p w:rsidR="00024C0A" w:rsidRDefault="00694C0F">
      <w:pPr>
        <w:pStyle w:val="Heading3"/>
      </w:pPr>
      <w:bookmarkStart w:id="2523" w:name="section_46c7a3ca42274b368bef211aa750ef6e"/>
      <w:bookmarkStart w:id="2524" w:name="_Toc12261322"/>
      <w:r>
        <w:t>Part 1 Section 20.1.4.1.10, dk2 (Dark 2)</w:t>
      </w:r>
      <w:bookmarkEnd w:id="2523"/>
      <w:bookmarkEnd w:id="2524"/>
      <w:r>
        <w:fldChar w:fldCharType="begin"/>
      </w:r>
      <w:r>
        <w:instrText xml:space="preserve"> XE "dk2 (Dark 2)" </w:instrText>
      </w:r>
      <w:r>
        <w:fldChar w:fldCharType="end"/>
      </w:r>
    </w:p>
    <w:p w:rsidR="00024C0A" w:rsidRDefault="00694C0F">
      <w:pPr>
        <w:pStyle w:val="Definition-Field"/>
      </w:pPr>
      <w:r>
        <w:t xml:space="preserve">a. </w:t>
      </w:r>
      <w:r>
        <w:t xml:space="preserve">  </w:t>
      </w:r>
      <w:r>
        <w:rPr>
          <w:i/>
        </w:rPr>
        <w:t>The standard allows the element schemeClr as a child of the parent element clrScheme.</w:t>
      </w:r>
    </w:p>
    <w:p w:rsidR="00024C0A" w:rsidRDefault="00694C0F">
      <w:pPr>
        <w:pStyle w:val="Definition-Field2"/>
      </w:pPr>
      <w:r>
        <w:t>Office does not allow schemeClr as a child of the parent element clrScheme.</w:t>
      </w:r>
    </w:p>
    <w:p w:rsidR="00024C0A" w:rsidRDefault="00694C0F">
      <w:pPr>
        <w:pStyle w:val="Heading3"/>
      </w:pPr>
      <w:bookmarkStart w:id="2525" w:name="section_af9c792be9254afcbef47f031163f0f7"/>
      <w:bookmarkStart w:id="2526" w:name="_Toc12261323"/>
      <w:r>
        <w:t>Part 1 Section 20.1.4.1.15, folHlink (Followed Hyperlink)</w:t>
      </w:r>
      <w:bookmarkEnd w:id="2525"/>
      <w:bookmarkEnd w:id="2526"/>
      <w:r>
        <w:fldChar w:fldCharType="begin"/>
      </w:r>
      <w:r>
        <w:instrText xml:space="preserve"> XE "folHlink (Followed Hyperlink)"</w:instrText>
      </w:r>
      <w:r>
        <w:instrText xml:space="preserve"> </w:instrText>
      </w:r>
      <w:r>
        <w:fldChar w:fldCharType="end"/>
      </w:r>
    </w:p>
    <w:p w:rsidR="00024C0A" w:rsidRDefault="00694C0F">
      <w:pPr>
        <w:pStyle w:val="Definition-Field"/>
      </w:pPr>
      <w:r>
        <w:t xml:space="preserve">a.   </w:t>
      </w:r>
      <w:r>
        <w:rPr>
          <w:i/>
        </w:rPr>
        <w:t>The standard allows the element schemeClr as a child of the parent element clrScheme.</w:t>
      </w:r>
    </w:p>
    <w:p w:rsidR="00024C0A" w:rsidRDefault="00694C0F">
      <w:pPr>
        <w:pStyle w:val="Definition-Field2"/>
      </w:pPr>
      <w:r>
        <w:t>Office does not allow schemeClr as a child of the parent element clrScheme.</w:t>
      </w:r>
    </w:p>
    <w:p w:rsidR="00024C0A" w:rsidRDefault="00694C0F">
      <w:pPr>
        <w:pStyle w:val="Heading3"/>
      </w:pPr>
      <w:bookmarkStart w:id="2527" w:name="section_dda195888971454cb18f0282065f95a3"/>
      <w:bookmarkStart w:id="2528" w:name="_Toc12261324"/>
      <w:r>
        <w:t>Part 1 Section 20.1.4.1.17, fontRef (Font Reference)</w:t>
      </w:r>
      <w:bookmarkEnd w:id="2527"/>
      <w:bookmarkEnd w:id="2528"/>
      <w:r>
        <w:fldChar w:fldCharType="begin"/>
      </w:r>
      <w:r>
        <w:instrText xml:space="preserve"> XE "fontRef (Font Reference)" </w:instrText>
      </w:r>
      <w:r>
        <w:fldChar w:fldCharType="end"/>
      </w:r>
    </w:p>
    <w:p w:rsidR="00024C0A" w:rsidRDefault="00694C0F">
      <w:pPr>
        <w:pStyle w:val="Definition-Field"/>
      </w:pPr>
      <w:r>
        <w:t xml:space="preserve">a.   </w:t>
      </w:r>
      <w:r>
        <w:rPr>
          <w:i/>
        </w:rPr>
        <w:t>The standard does not state how to handle an undefined theme.</w:t>
      </w:r>
    </w:p>
    <w:p w:rsidR="00024C0A" w:rsidRDefault="00694C0F">
      <w:pPr>
        <w:pStyle w:val="Definition-Field2"/>
      </w:pPr>
      <w:r>
        <w:t>Excel uses a default value of minor for the idx attribute on this element and a default value of tx1 for the val attribute on the schemeClr element when a theme is not provided.</w:t>
      </w:r>
    </w:p>
    <w:p w:rsidR="00024C0A" w:rsidRDefault="00694C0F">
      <w:pPr>
        <w:pStyle w:val="Heading3"/>
      </w:pPr>
      <w:bookmarkStart w:id="2529" w:name="section_b3ef6d7b692d497c8c88e6cff3558e47"/>
      <w:bookmarkStart w:id="2530" w:name="_Toc12261325"/>
      <w:r>
        <w:t>Part 1 Sec</w:t>
      </w:r>
      <w:r>
        <w:t>tion 20.1.4.1.19, hlink (Hyperlink)</w:t>
      </w:r>
      <w:bookmarkEnd w:id="2529"/>
      <w:bookmarkEnd w:id="2530"/>
      <w:r>
        <w:fldChar w:fldCharType="begin"/>
      </w:r>
      <w:r>
        <w:instrText xml:space="preserve"> XE "hlink (Hyperlink)" </w:instrText>
      </w:r>
      <w:r>
        <w:fldChar w:fldCharType="end"/>
      </w:r>
    </w:p>
    <w:p w:rsidR="00024C0A" w:rsidRDefault="00694C0F">
      <w:pPr>
        <w:pStyle w:val="Definition-Field"/>
      </w:pPr>
      <w:r>
        <w:t xml:space="preserve">a.   </w:t>
      </w:r>
      <w:r>
        <w:rPr>
          <w:i/>
        </w:rPr>
        <w:t>The standard allows the element schemeClr as a child of the parent element clrScheme.</w:t>
      </w:r>
    </w:p>
    <w:p w:rsidR="00024C0A" w:rsidRDefault="00694C0F">
      <w:pPr>
        <w:pStyle w:val="Definition-Field2"/>
      </w:pPr>
      <w:r>
        <w:t>Office does not allow schemeClr as a child of the parent element clrScheme.</w:t>
      </w:r>
    </w:p>
    <w:p w:rsidR="00024C0A" w:rsidRDefault="00694C0F">
      <w:pPr>
        <w:pStyle w:val="Heading3"/>
      </w:pPr>
      <w:bookmarkStart w:id="2531" w:name="section_95b65bea5318441eb941f8b8b47c6ff8"/>
      <w:bookmarkStart w:id="2532" w:name="_Toc12261326"/>
      <w:r>
        <w:t>Part 1 Section 20.1.4.1.22,</w:t>
      </w:r>
      <w:r>
        <w:t xml:space="preserve"> lt1 (Light 1)</w:t>
      </w:r>
      <w:bookmarkEnd w:id="2531"/>
      <w:bookmarkEnd w:id="2532"/>
      <w:r>
        <w:fldChar w:fldCharType="begin"/>
      </w:r>
      <w:r>
        <w:instrText xml:space="preserve"> XE "lt1 (Light 1)" </w:instrText>
      </w:r>
      <w:r>
        <w:fldChar w:fldCharType="end"/>
      </w:r>
    </w:p>
    <w:p w:rsidR="00024C0A" w:rsidRDefault="00694C0F">
      <w:pPr>
        <w:pStyle w:val="Definition-Field"/>
      </w:pPr>
      <w:r>
        <w:t xml:space="preserve">a.   </w:t>
      </w:r>
      <w:r>
        <w:rPr>
          <w:i/>
        </w:rPr>
        <w:t>The standard allows the element schemeClr as a child of the parent element clrScheme.</w:t>
      </w:r>
    </w:p>
    <w:p w:rsidR="00024C0A" w:rsidRDefault="00694C0F">
      <w:pPr>
        <w:pStyle w:val="Definition-Field2"/>
      </w:pPr>
      <w:r>
        <w:t>Office does not allow schemeClr as a child of the parent element clrScheme.</w:t>
      </w:r>
    </w:p>
    <w:p w:rsidR="00024C0A" w:rsidRDefault="00694C0F">
      <w:pPr>
        <w:pStyle w:val="Heading3"/>
      </w:pPr>
      <w:bookmarkStart w:id="2533" w:name="section_06a16974a53649de992d0576550cfa06"/>
      <w:bookmarkStart w:id="2534" w:name="_Toc12261327"/>
      <w:r>
        <w:t>Part 1 Section 20.1.4.1.23, lt2 (Light 2)</w:t>
      </w:r>
      <w:bookmarkEnd w:id="2533"/>
      <w:bookmarkEnd w:id="2534"/>
      <w:r>
        <w:fldChar w:fldCharType="begin"/>
      </w:r>
      <w:r>
        <w:instrText xml:space="preserve"> XE "lt2 (Light 2)" </w:instrText>
      </w:r>
      <w:r>
        <w:fldChar w:fldCharType="end"/>
      </w:r>
    </w:p>
    <w:p w:rsidR="00024C0A" w:rsidRDefault="00694C0F">
      <w:pPr>
        <w:pStyle w:val="Definition-Field"/>
      </w:pPr>
      <w:r>
        <w:t xml:space="preserve">a.   </w:t>
      </w:r>
      <w:r>
        <w:rPr>
          <w:i/>
        </w:rPr>
        <w:t>The standard allows the element schemeClr as a child of the parent element clrScheme.</w:t>
      </w:r>
    </w:p>
    <w:p w:rsidR="00024C0A" w:rsidRDefault="00694C0F">
      <w:pPr>
        <w:pStyle w:val="Definition-Field2"/>
      </w:pPr>
      <w:r>
        <w:t>Office does not allow schemeClr as a child of the parent element clrScheme.</w:t>
      </w:r>
    </w:p>
    <w:p w:rsidR="00024C0A" w:rsidRDefault="00694C0F">
      <w:pPr>
        <w:pStyle w:val="Heading3"/>
      </w:pPr>
      <w:bookmarkStart w:id="2535" w:name="section_0d2ec861539b4f569674d3fe690db170"/>
      <w:bookmarkStart w:id="2536" w:name="_Toc12261328"/>
      <w:r>
        <w:lastRenderedPageBreak/>
        <w:t>Part 1 Section 20.1.4.2.2, band1V (Band 1 Vertical)</w:t>
      </w:r>
      <w:bookmarkEnd w:id="2535"/>
      <w:bookmarkEnd w:id="2536"/>
      <w:r>
        <w:fldChar w:fldCharType="begin"/>
      </w:r>
      <w:r>
        <w:instrText xml:space="preserve"> XE "band1V (Band 1 Vertical)" </w:instrText>
      </w:r>
      <w:r>
        <w:fldChar w:fldCharType="end"/>
      </w:r>
    </w:p>
    <w:p w:rsidR="00024C0A" w:rsidRDefault="00694C0F">
      <w:pPr>
        <w:pStyle w:val="Definition-Field"/>
      </w:pPr>
      <w:r>
        <w:t xml:space="preserve">a.   </w:t>
      </w:r>
      <w:r>
        <w:rPr>
          <w:i/>
        </w:rPr>
        <w:t>The standard states that the band1V element applies to rows.</w:t>
      </w:r>
    </w:p>
    <w:p w:rsidR="00024C0A" w:rsidRDefault="00694C0F">
      <w:pPr>
        <w:pStyle w:val="Definition-Field2"/>
      </w:pPr>
      <w:r>
        <w:t>Office applies this element to columns.</w:t>
      </w:r>
    </w:p>
    <w:p w:rsidR="00024C0A" w:rsidRDefault="00694C0F">
      <w:pPr>
        <w:pStyle w:val="Heading3"/>
      </w:pPr>
      <w:bookmarkStart w:id="2537" w:name="section_4e29decef19447f18182fe86ecd01c53"/>
      <w:bookmarkStart w:id="2538" w:name="_Toc12261329"/>
      <w:r>
        <w:t>Part 1 Section 20.1.4.2.4, band2V (Band 2 Vertical)</w:t>
      </w:r>
      <w:bookmarkEnd w:id="2537"/>
      <w:bookmarkEnd w:id="2538"/>
      <w:r>
        <w:fldChar w:fldCharType="begin"/>
      </w:r>
      <w:r>
        <w:instrText xml:space="preserve"> XE "band2V (Band 2 Vertical)" </w:instrText>
      </w:r>
      <w:r>
        <w:fldChar w:fldCharType="end"/>
      </w:r>
    </w:p>
    <w:p w:rsidR="00024C0A" w:rsidRDefault="00694C0F">
      <w:pPr>
        <w:pStyle w:val="Definition-Field"/>
      </w:pPr>
      <w:r>
        <w:t xml:space="preserve">a.   </w:t>
      </w:r>
      <w:r>
        <w:rPr>
          <w:i/>
        </w:rPr>
        <w:t>The standard states that t</w:t>
      </w:r>
      <w:r>
        <w:rPr>
          <w:i/>
        </w:rPr>
        <w:t>he band2V element applies to rows.</w:t>
      </w:r>
    </w:p>
    <w:p w:rsidR="00024C0A" w:rsidRDefault="00694C0F">
      <w:pPr>
        <w:pStyle w:val="Definition-Field2"/>
      </w:pPr>
      <w:r>
        <w:t>Office applies this element to columns.</w:t>
      </w:r>
    </w:p>
    <w:p w:rsidR="00024C0A" w:rsidRDefault="00694C0F">
      <w:pPr>
        <w:pStyle w:val="Heading3"/>
      </w:pPr>
      <w:bookmarkStart w:id="2539" w:name="section_ffba6058673243de986fea4e686a2f86"/>
      <w:bookmarkStart w:id="2540" w:name="_Toc12261330"/>
      <w:r>
        <w:t>Part 1 Section 20.1.4.2.9, fill (Fill)</w:t>
      </w:r>
      <w:bookmarkEnd w:id="2539"/>
      <w:bookmarkEnd w:id="2540"/>
      <w:r>
        <w:fldChar w:fldCharType="begin"/>
      </w:r>
      <w:r>
        <w:instrText xml:space="preserve"> XE "fill (Fill)" </w:instrText>
      </w:r>
      <w:r>
        <w:fldChar w:fldCharType="end"/>
      </w:r>
    </w:p>
    <w:p w:rsidR="00024C0A" w:rsidRDefault="00694C0F">
      <w:pPr>
        <w:pStyle w:val="Definition-Field"/>
      </w:pPr>
      <w:r>
        <w:t xml:space="preserve">a.   </w:t>
      </w:r>
      <w:r>
        <w:rPr>
          <w:i/>
        </w:rPr>
        <w:t>The standard states that the fill element defines the fill that is applied to the table as a whole.</w:t>
      </w:r>
    </w:p>
    <w:p w:rsidR="00024C0A" w:rsidRDefault="00694C0F">
      <w:pPr>
        <w:pStyle w:val="Definition-Field2"/>
      </w:pPr>
      <w:r>
        <w:t xml:space="preserve">Office uses this </w:t>
      </w:r>
      <w:r>
        <w:t>element to affect the table as a whole only if parented by tblBg.</w:t>
      </w:r>
    </w:p>
    <w:p w:rsidR="00024C0A" w:rsidRDefault="00694C0F">
      <w:pPr>
        <w:pStyle w:val="Definition-Field"/>
      </w:pPr>
      <w:r>
        <w:t xml:space="preserve">b.   </w:t>
      </w:r>
      <w:r>
        <w:rPr>
          <w:i/>
        </w:rPr>
        <w:t>The standard allows group fills to be applied to a table.</w:t>
      </w:r>
    </w:p>
    <w:p w:rsidR="00024C0A" w:rsidRDefault="00694C0F">
      <w:pPr>
        <w:pStyle w:val="Definition-Field2"/>
      </w:pPr>
      <w:r>
        <w:t>Office does not apply group fills to tables but instead uses a white background.</w:t>
      </w:r>
    </w:p>
    <w:p w:rsidR="00024C0A" w:rsidRDefault="00694C0F">
      <w:pPr>
        <w:pStyle w:val="Heading3"/>
      </w:pPr>
      <w:bookmarkStart w:id="2541" w:name="section_8d5ec0aa8760486991f461466ba43e52"/>
      <w:bookmarkStart w:id="2542" w:name="_Toc12261331"/>
      <w:r>
        <w:t>Part 1 Section 20.1.4.2.19, lnRef (Line Refere</w:t>
      </w:r>
      <w:r>
        <w:t>nce)</w:t>
      </w:r>
      <w:bookmarkEnd w:id="2541"/>
      <w:bookmarkEnd w:id="2542"/>
      <w:r>
        <w:fldChar w:fldCharType="begin"/>
      </w:r>
      <w:r>
        <w:instrText xml:space="preserve"> XE "lnRef (Line Reference)" </w:instrText>
      </w:r>
      <w:r>
        <w:fldChar w:fldCharType="end"/>
      </w:r>
    </w:p>
    <w:p w:rsidR="00024C0A" w:rsidRDefault="00694C0F">
      <w:pPr>
        <w:pStyle w:val="Definition-Field"/>
      </w:pPr>
      <w:r>
        <w:t xml:space="preserve">a.   </w:t>
      </w:r>
      <w:r>
        <w:rPr>
          <w:i/>
        </w:rPr>
        <w:t>The standard states that the idx attribute of the lnRef element references the index of a line style within the fillStyleLst element.</w:t>
      </w:r>
    </w:p>
    <w:p w:rsidR="00024C0A" w:rsidRDefault="00694C0F">
      <w:pPr>
        <w:pStyle w:val="Definition-Field2"/>
      </w:pPr>
      <w:r>
        <w:t>In Office, the idx attribute of this element references the index of a line style</w:t>
      </w:r>
      <w:r>
        <w:t xml:space="preserve"> within the lnStyleList element.</w:t>
      </w:r>
    </w:p>
    <w:p w:rsidR="00024C0A" w:rsidRDefault="00694C0F">
      <w:pPr>
        <w:pStyle w:val="Heading3"/>
      </w:pPr>
      <w:bookmarkStart w:id="2543" w:name="section_90de40855fbf47a7bc37d59509481d0a"/>
      <w:bookmarkStart w:id="2544" w:name="_Toc12261332"/>
      <w:r>
        <w:t>Part 1 Section 20.1.4.2.26, tblStyle (Table Style)</w:t>
      </w:r>
      <w:bookmarkEnd w:id="2543"/>
      <w:bookmarkEnd w:id="2544"/>
      <w:r>
        <w:fldChar w:fldCharType="begin"/>
      </w:r>
      <w:r>
        <w:instrText xml:space="preserve"> XE "tblStyle (Table Style)" </w:instrText>
      </w:r>
      <w:r>
        <w:fldChar w:fldCharType="end"/>
      </w:r>
    </w:p>
    <w:p w:rsidR="00024C0A" w:rsidRDefault="00694C0F">
      <w:pPr>
        <w:pStyle w:val="Definition-Field"/>
      </w:pPr>
      <w:r>
        <w:t xml:space="preserve">a.   </w:t>
      </w:r>
      <w:r>
        <w:rPr>
          <w:i/>
        </w:rPr>
        <w:t>The standard states that the tblStyle element specifies the formatting for the table.</w:t>
      </w:r>
    </w:p>
    <w:p w:rsidR="00024C0A" w:rsidRDefault="00694C0F">
      <w:r>
        <w:t>There is a well defined order to the table part st</w:t>
      </w:r>
      <w:r>
        <w:t xml:space="preserve">yles that are applied because a cell can belong to many cell part styles (for example, the top left cell is part of the first column as well as the first row). Table part styles are applied in the following order: </w:t>
      </w:r>
    </w:p>
    <w:p w:rsidR="00024C0A" w:rsidRDefault="00694C0F">
      <w:pPr>
        <w:pStyle w:val="ListParagraph"/>
        <w:numPr>
          <w:ilvl w:val="0"/>
          <w:numId w:val="131"/>
        </w:numPr>
        <w:contextualSpacing/>
      </w:pPr>
      <w:r>
        <w:t>Apply whole table part</w:t>
      </w:r>
    </w:p>
    <w:p w:rsidR="00024C0A" w:rsidRDefault="00694C0F">
      <w:pPr>
        <w:pStyle w:val="ListParagraph"/>
        <w:numPr>
          <w:ilvl w:val="0"/>
          <w:numId w:val="131"/>
        </w:numPr>
        <w:contextualSpacing/>
      </w:pPr>
      <w:r>
        <w:t>Apply odd banded r</w:t>
      </w:r>
      <w:r>
        <w:t>ow cells</w:t>
      </w:r>
    </w:p>
    <w:p w:rsidR="00024C0A" w:rsidRDefault="00694C0F">
      <w:pPr>
        <w:pStyle w:val="ListParagraph"/>
        <w:numPr>
          <w:ilvl w:val="0"/>
          <w:numId w:val="131"/>
        </w:numPr>
        <w:contextualSpacing/>
      </w:pPr>
      <w:r>
        <w:t>Apply even banded row cells</w:t>
      </w:r>
    </w:p>
    <w:p w:rsidR="00024C0A" w:rsidRDefault="00694C0F">
      <w:pPr>
        <w:pStyle w:val="ListParagraph"/>
        <w:numPr>
          <w:ilvl w:val="0"/>
          <w:numId w:val="131"/>
        </w:numPr>
        <w:contextualSpacing/>
      </w:pPr>
      <w:r>
        <w:t>Apply odd banded column cells</w:t>
      </w:r>
    </w:p>
    <w:p w:rsidR="00024C0A" w:rsidRDefault="00694C0F">
      <w:pPr>
        <w:pStyle w:val="ListParagraph"/>
        <w:numPr>
          <w:ilvl w:val="0"/>
          <w:numId w:val="131"/>
        </w:numPr>
        <w:contextualSpacing/>
      </w:pPr>
      <w:r>
        <w:t>Apply even banded column cells</w:t>
      </w:r>
    </w:p>
    <w:p w:rsidR="00024C0A" w:rsidRDefault="00694C0F">
      <w:pPr>
        <w:pStyle w:val="ListParagraph"/>
        <w:numPr>
          <w:ilvl w:val="0"/>
          <w:numId w:val="131"/>
        </w:numPr>
        <w:contextualSpacing/>
      </w:pPr>
      <w:r>
        <w:t>Apply right column cells</w:t>
      </w:r>
    </w:p>
    <w:p w:rsidR="00024C0A" w:rsidRDefault="00694C0F">
      <w:pPr>
        <w:pStyle w:val="ListParagraph"/>
        <w:numPr>
          <w:ilvl w:val="0"/>
          <w:numId w:val="131"/>
        </w:numPr>
        <w:contextualSpacing/>
      </w:pPr>
      <w:r>
        <w:t>Apply left column cells</w:t>
      </w:r>
    </w:p>
    <w:p w:rsidR="00024C0A" w:rsidRDefault="00694C0F">
      <w:pPr>
        <w:pStyle w:val="ListParagraph"/>
        <w:numPr>
          <w:ilvl w:val="0"/>
          <w:numId w:val="131"/>
        </w:numPr>
        <w:contextualSpacing/>
      </w:pPr>
      <w:r>
        <w:t>Apply bottom row cells</w:t>
      </w:r>
    </w:p>
    <w:p w:rsidR="00024C0A" w:rsidRDefault="00694C0F">
      <w:pPr>
        <w:pStyle w:val="ListParagraph"/>
        <w:numPr>
          <w:ilvl w:val="0"/>
          <w:numId w:val="131"/>
        </w:numPr>
        <w:contextualSpacing/>
      </w:pPr>
      <w:r>
        <w:t>Apply bottom right cell</w:t>
      </w:r>
    </w:p>
    <w:p w:rsidR="00024C0A" w:rsidRDefault="00694C0F">
      <w:pPr>
        <w:pStyle w:val="ListParagraph"/>
        <w:numPr>
          <w:ilvl w:val="0"/>
          <w:numId w:val="131"/>
        </w:numPr>
        <w:contextualSpacing/>
      </w:pPr>
      <w:r>
        <w:t>Apply bottom left cell</w:t>
      </w:r>
    </w:p>
    <w:p w:rsidR="00024C0A" w:rsidRDefault="00694C0F">
      <w:pPr>
        <w:pStyle w:val="ListParagraph"/>
        <w:numPr>
          <w:ilvl w:val="0"/>
          <w:numId w:val="131"/>
        </w:numPr>
        <w:contextualSpacing/>
      </w:pPr>
      <w:r>
        <w:t>Apply top row cells</w:t>
      </w:r>
    </w:p>
    <w:p w:rsidR="00024C0A" w:rsidRDefault="00694C0F">
      <w:pPr>
        <w:pStyle w:val="ListParagraph"/>
        <w:numPr>
          <w:ilvl w:val="0"/>
          <w:numId w:val="131"/>
        </w:numPr>
        <w:contextualSpacing/>
      </w:pPr>
      <w:r>
        <w:t xml:space="preserve">Apply top right </w:t>
      </w:r>
      <w:r>
        <w:t>cell</w:t>
      </w:r>
    </w:p>
    <w:p w:rsidR="00024C0A" w:rsidRDefault="00694C0F">
      <w:pPr>
        <w:pStyle w:val="ListParagraph"/>
        <w:numPr>
          <w:ilvl w:val="0"/>
          <w:numId w:val="131"/>
        </w:numPr>
      </w:pPr>
      <w:r>
        <w:t>Apply top left cell</w:t>
      </w:r>
    </w:p>
    <w:p w:rsidR="00024C0A" w:rsidRDefault="00694C0F">
      <w:pPr>
        <w:pStyle w:val="Heading3"/>
      </w:pPr>
      <w:bookmarkStart w:id="2545" w:name="section_c5e5dc5ad9924b18b4a2b4772bf3c102"/>
      <w:bookmarkStart w:id="2546" w:name="_Toc12261333"/>
      <w:r>
        <w:t>Part 1 Section 20.1.5.1, anchor (Anchor Point)</w:t>
      </w:r>
      <w:bookmarkEnd w:id="2545"/>
      <w:bookmarkEnd w:id="2546"/>
      <w:r>
        <w:fldChar w:fldCharType="begin"/>
      </w:r>
      <w:r>
        <w:instrText xml:space="preserve"> XE "anchor (Anchor Point)" </w:instrText>
      </w:r>
      <w:r>
        <w:fldChar w:fldCharType="end"/>
      </w:r>
    </w:p>
    <w:p w:rsidR="00024C0A" w:rsidRDefault="00694C0F">
      <w:pPr>
        <w:pStyle w:val="Definition-Field"/>
      </w:pPr>
      <w:r>
        <w:t xml:space="preserve">a.   </w:t>
      </w:r>
      <w:r>
        <w:rPr>
          <w:i/>
        </w:rPr>
        <w:t>The standard implies that the anchor element anchors the backdrop plane.</w:t>
      </w:r>
    </w:p>
    <w:p w:rsidR="00024C0A" w:rsidRDefault="00694C0F">
      <w:r>
        <w:lastRenderedPageBreak/>
        <w:t xml:space="preserve">This element specifies a point in 3D space that is the offset to the origin </w:t>
      </w:r>
      <w:r>
        <w:t>of the backdrop plane.  By moving this anchor point, the image of shadows, glows, and reflections can be moved and can be rotated from its default position on a plane parallel to the x-y plane to any location and orientation in 3D space, providing it remai</w:t>
      </w:r>
      <w:r>
        <w:t>ns viewable in the viewing frustum of the scene camera.</w:t>
      </w:r>
    </w:p>
    <w:p w:rsidR="00024C0A" w:rsidRDefault="00694C0F">
      <w:pPr>
        <w:pStyle w:val="Heading3"/>
      </w:pPr>
      <w:bookmarkStart w:id="2547" w:name="section_b46805cae0154353ae88e595d03e6249"/>
      <w:bookmarkStart w:id="2548" w:name="_Toc12261334"/>
      <w:r>
        <w:t>Part 1 Section 20.1.5.2, backdrop (Backdrop Plane)</w:t>
      </w:r>
      <w:bookmarkEnd w:id="2547"/>
      <w:bookmarkEnd w:id="2548"/>
      <w:r>
        <w:fldChar w:fldCharType="begin"/>
      </w:r>
      <w:r>
        <w:instrText xml:space="preserve"> XE "backdrop (Backdrop Plane)" </w:instrText>
      </w:r>
      <w:r>
        <w:fldChar w:fldCharType="end"/>
      </w:r>
    </w:p>
    <w:p w:rsidR="00024C0A" w:rsidRDefault="00694C0F">
      <w:pPr>
        <w:pStyle w:val="Definition-Field"/>
      </w:pPr>
      <w:r>
        <w:t xml:space="preserve">a.   </w:t>
      </w:r>
      <w:r>
        <w:rPr>
          <w:i/>
        </w:rPr>
        <w:t>The standard allows the up and normal vectors to be collinear.</w:t>
      </w:r>
    </w:p>
    <w:p w:rsidR="00024C0A" w:rsidRDefault="00694C0F">
      <w:pPr>
        <w:pStyle w:val="Definition-Field2"/>
      </w:pPr>
      <w:r>
        <w:t xml:space="preserve">Office requires that the up and normal vectors </w:t>
      </w:r>
      <w:r>
        <w:t>not be collinear.</w:t>
      </w:r>
    </w:p>
    <w:p w:rsidR="00024C0A" w:rsidRDefault="00694C0F">
      <w:pPr>
        <w:pStyle w:val="Heading3"/>
      </w:pPr>
      <w:bookmarkStart w:id="2549" w:name="section_906e0084f87a40fbac4d2202269203a5"/>
      <w:bookmarkStart w:id="2550" w:name="_Toc12261335"/>
      <w:r>
        <w:t>Part 1 Section 20.1.5.3, bevelB (Bottom Bevel)</w:t>
      </w:r>
      <w:bookmarkEnd w:id="2549"/>
      <w:bookmarkEnd w:id="2550"/>
      <w:r>
        <w:fldChar w:fldCharType="begin"/>
      </w:r>
      <w:r>
        <w:instrText xml:space="preserve"> XE "bevelB (Bottom Bevel)" </w:instrText>
      </w:r>
      <w:r>
        <w:fldChar w:fldCharType="end"/>
      </w:r>
    </w:p>
    <w:p w:rsidR="00024C0A" w:rsidRDefault="00694C0F">
      <w:pPr>
        <w:pStyle w:val="Definition-Field"/>
      </w:pPr>
      <w:r>
        <w:t xml:space="preserve">a.   </w:t>
      </w:r>
      <w:r>
        <w:rPr>
          <w:i/>
        </w:rPr>
        <w:t>The standard does not specify a reference plane for height measurement.</w:t>
      </w:r>
    </w:p>
    <w:p w:rsidR="00024C0A" w:rsidRDefault="00694C0F">
      <w:pPr>
        <w:pStyle w:val="Definition-Field2"/>
      </w:pPr>
      <w:r>
        <w:t xml:space="preserve">Office measures the height from the bottom face of the shape; if the shape has an </w:t>
      </w:r>
      <w:r>
        <w:t>extrusion height, the bevel height is measured from the base of the extrusion.</w:t>
      </w:r>
    </w:p>
    <w:p w:rsidR="00024C0A" w:rsidRDefault="00694C0F">
      <w:pPr>
        <w:pStyle w:val="Heading3"/>
      </w:pPr>
      <w:bookmarkStart w:id="2551" w:name="section_2dfb75cddd064bbe8baa2ac80ebd13b3"/>
      <w:bookmarkStart w:id="2552" w:name="_Toc12261336"/>
      <w:r>
        <w:t>Part 1 Section 20.1.5.4, bevelT (Top Bevel)</w:t>
      </w:r>
      <w:bookmarkEnd w:id="2551"/>
      <w:bookmarkEnd w:id="2552"/>
      <w:r>
        <w:fldChar w:fldCharType="begin"/>
      </w:r>
      <w:r>
        <w:instrText xml:space="preserve"> XE "bevelT (Top Bevel)" </w:instrText>
      </w:r>
      <w:r>
        <w:fldChar w:fldCharType="end"/>
      </w:r>
    </w:p>
    <w:p w:rsidR="00024C0A" w:rsidRDefault="00694C0F">
      <w:pPr>
        <w:pStyle w:val="Definition-Field"/>
      </w:pPr>
      <w:r>
        <w:t xml:space="preserve">a.   </w:t>
      </w:r>
      <w:r>
        <w:rPr>
          <w:i/>
        </w:rPr>
        <w:t>The standard does not specify a reference plane for height measurement.</w:t>
      </w:r>
    </w:p>
    <w:p w:rsidR="00024C0A" w:rsidRDefault="00694C0F">
      <w:pPr>
        <w:pStyle w:val="Definition-Field2"/>
      </w:pPr>
      <w:r>
        <w:t>Office measures the height fr</w:t>
      </w:r>
      <w:r>
        <w:t>om the top face of the shape; if the shape has an extrusion height, the bevel height is measured from the top of the extrusion.</w:t>
      </w:r>
    </w:p>
    <w:p w:rsidR="00024C0A" w:rsidRDefault="00694C0F">
      <w:pPr>
        <w:pStyle w:val="Heading3"/>
      </w:pPr>
      <w:bookmarkStart w:id="2553" w:name="section_6c1de672ac3d4387a01d6788aa7f34fa"/>
      <w:bookmarkStart w:id="2554" w:name="_Toc12261337"/>
      <w:r>
        <w:t>Part 1 Section 20.1.5.5, camera (Camera)</w:t>
      </w:r>
      <w:bookmarkEnd w:id="2553"/>
      <w:bookmarkEnd w:id="2554"/>
      <w:r>
        <w:fldChar w:fldCharType="begin"/>
      </w:r>
      <w:r>
        <w:instrText xml:space="preserve"> XE "camera (Camera)" </w:instrText>
      </w:r>
      <w:r>
        <w:fldChar w:fldCharType="end"/>
      </w:r>
    </w:p>
    <w:p w:rsidR="00024C0A" w:rsidRDefault="00694C0F">
      <w:pPr>
        <w:pStyle w:val="Definition-Field"/>
      </w:pPr>
      <w:r>
        <w:t xml:space="preserve">a.   </w:t>
      </w:r>
      <w:r>
        <w:rPr>
          <w:i/>
        </w:rPr>
        <w:t xml:space="preserve">The standard allows the fov attribute to be used with all </w:t>
      </w:r>
      <w:r>
        <w:rPr>
          <w:i/>
        </w:rPr>
        <w:t>camera types.</w:t>
      </w:r>
    </w:p>
    <w:p w:rsidR="00024C0A" w:rsidRDefault="00694C0F">
      <w:pPr>
        <w:pStyle w:val="Definition-Field2"/>
      </w:pPr>
      <w:r>
        <w:t>In Office, the fov attribute is ignored for non-perspective camera types.</w:t>
      </w:r>
    </w:p>
    <w:p w:rsidR="00024C0A" w:rsidRDefault="00694C0F">
      <w:pPr>
        <w:pStyle w:val="Heading3"/>
      </w:pPr>
      <w:bookmarkStart w:id="2555" w:name="section_b3abb6555c644f3aae3d26cf0dbc9081"/>
      <w:bookmarkStart w:id="2556" w:name="_Toc12261338"/>
      <w:r>
        <w:t>Part 1 Section 20.1.5.6, contourClr (Contour Color)</w:t>
      </w:r>
      <w:bookmarkEnd w:id="2555"/>
      <w:bookmarkEnd w:id="2556"/>
      <w:r>
        <w:fldChar w:fldCharType="begin"/>
      </w:r>
      <w:r>
        <w:instrText xml:space="preserve"> XE "contourClr (Contour Color)" </w:instrText>
      </w:r>
      <w:r>
        <w:fldChar w:fldCharType="end"/>
      </w:r>
    </w:p>
    <w:p w:rsidR="00024C0A" w:rsidRDefault="00694C0F">
      <w:pPr>
        <w:pStyle w:val="Definition-Field"/>
      </w:pPr>
      <w:r>
        <w:t xml:space="preserve">a.   </w:t>
      </w:r>
      <w:r>
        <w:rPr>
          <w:i/>
        </w:rPr>
        <w:t>The standard allows contour width to be zero.</w:t>
      </w:r>
    </w:p>
    <w:p w:rsidR="00024C0A" w:rsidRDefault="00694C0F">
      <w:pPr>
        <w:pStyle w:val="Definition-Field2"/>
      </w:pPr>
      <w:r>
        <w:t>In Office, if the contour widt</w:t>
      </w:r>
      <w:r>
        <w:t>h is zero, the color specified by this element is ignored.</w:t>
      </w:r>
    </w:p>
    <w:p w:rsidR="00024C0A" w:rsidRDefault="00694C0F">
      <w:pPr>
        <w:pStyle w:val="Definition-Field"/>
      </w:pPr>
      <w:r>
        <w:t xml:space="preserve">b.   </w:t>
      </w:r>
      <w:r>
        <w:rPr>
          <w:i/>
        </w:rPr>
        <w:t>The standard does not describe the interaction between contours and extrusions.</w:t>
      </w:r>
    </w:p>
    <w:p w:rsidR="00024C0A" w:rsidRDefault="00694C0F">
      <w:pPr>
        <w:pStyle w:val="Definition-Field2"/>
      </w:pPr>
      <w:r>
        <w:t>In Office, the contour of a shape is a solid filled line which surrounds the outer edges of the shape, and the o</w:t>
      </w:r>
      <w:r>
        <w:t>utline edges of the extrusion.</w:t>
      </w:r>
    </w:p>
    <w:p w:rsidR="00024C0A" w:rsidRDefault="00694C0F">
      <w:pPr>
        <w:pStyle w:val="Heading3"/>
      </w:pPr>
      <w:bookmarkStart w:id="2557" w:name="section_eafb568b9dd04f2ea337b163dc1080df"/>
      <w:bookmarkStart w:id="2558" w:name="_Toc12261339"/>
      <w:r>
        <w:t>Part 1 Section 20.1.5.7, extrusionClr (Extrusion Color)</w:t>
      </w:r>
      <w:bookmarkEnd w:id="2557"/>
      <w:bookmarkEnd w:id="2558"/>
      <w:r>
        <w:fldChar w:fldCharType="begin"/>
      </w:r>
      <w:r>
        <w:instrText xml:space="preserve"> XE "extrusionClr (Extrusion Color)" </w:instrText>
      </w:r>
      <w:r>
        <w:fldChar w:fldCharType="end"/>
      </w:r>
    </w:p>
    <w:p w:rsidR="00024C0A" w:rsidRDefault="00694C0F">
      <w:pPr>
        <w:pStyle w:val="Definition-Field"/>
      </w:pPr>
      <w:r>
        <w:t xml:space="preserve">a.   </w:t>
      </w:r>
      <w:r>
        <w:rPr>
          <w:i/>
        </w:rPr>
        <w:t>The standard does not clarify default behavior for the extrusionClr element.</w:t>
      </w:r>
    </w:p>
    <w:p w:rsidR="00024C0A" w:rsidRDefault="00694C0F">
      <w:pPr>
        <w:pStyle w:val="Definition-Field2"/>
      </w:pPr>
      <w:r>
        <w:t xml:space="preserve">In Office, if extrusion color is not specified, </w:t>
      </w:r>
      <w:r>
        <w:t>the front face color will be used as the extrusion color. If the extrusion height is zero, this element is ignored.</w:t>
      </w:r>
    </w:p>
    <w:p w:rsidR="00024C0A" w:rsidRDefault="00694C0F">
      <w:pPr>
        <w:pStyle w:val="Heading3"/>
      </w:pPr>
      <w:bookmarkStart w:id="2559" w:name="section_4869d0aa50814fa19fb797cb9123eb45"/>
      <w:bookmarkStart w:id="2560" w:name="_Toc12261340"/>
      <w:r>
        <w:t>Part 1 Section 20.1.5.8, flatTx (No text in 3D scene)</w:t>
      </w:r>
      <w:bookmarkEnd w:id="2559"/>
      <w:bookmarkEnd w:id="2560"/>
      <w:r>
        <w:fldChar w:fldCharType="begin"/>
      </w:r>
      <w:r>
        <w:instrText xml:space="preserve"> XE "flatTx (No text in 3D scene)" </w:instrText>
      </w:r>
      <w:r>
        <w:fldChar w:fldCharType="end"/>
      </w:r>
    </w:p>
    <w:p w:rsidR="00024C0A" w:rsidRDefault="00694C0F">
      <w:pPr>
        <w:pStyle w:val="Definition-Field"/>
      </w:pPr>
      <w:r>
        <w:t xml:space="preserve">a.   </w:t>
      </w:r>
      <w:r>
        <w:rPr>
          <w:i/>
        </w:rPr>
        <w:t xml:space="preserve">The standard states that the flatTx element </w:t>
      </w:r>
      <w:r>
        <w:rPr>
          <w:i/>
        </w:rPr>
        <w:t>specifies the Z coordinate to be used in positioning the flat text within the 3D scene.</w:t>
      </w:r>
    </w:p>
    <w:p w:rsidR="00024C0A" w:rsidRDefault="00694C0F">
      <w:pPr>
        <w:pStyle w:val="Definition-Field2"/>
      </w:pPr>
      <w:r>
        <w:t>In Office, this element is used only when the text or shape is part of a 3D rotated group.</w:t>
      </w:r>
    </w:p>
    <w:p w:rsidR="00024C0A" w:rsidRDefault="00694C0F">
      <w:pPr>
        <w:pStyle w:val="Definition-Field"/>
      </w:pPr>
      <w:r>
        <w:t xml:space="preserve">b.   </w:t>
      </w:r>
      <w:r>
        <w:rPr>
          <w:i/>
        </w:rPr>
        <w:t xml:space="preserve">The standard states that the flatTx element is used to keep text out of </w:t>
      </w:r>
      <w:r>
        <w:rPr>
          <w:i/>
        </w:rPr>
        <w:t>a 3D scene.</w:t>
      </w:r>
    </w:p>
    <w:p w:rsidR="00024C0A" w:rsidRDefault="00694C0F">
      <w:pPr>
        <w:pStyle w:val="Definition-Field2"/>
      </w:pPr>
      <w:r>
        <w:lastRenderedPageBreak/>
        <w:t>In Office, the text will not be subjected to the 3D camera rotation, but will instead remain in a plane orthogonal to the viewing direction.</w:t>
      </w:r>
    </w:p>
    <w:p w:rsidR="00024C0A" w:rsidRDefault="00694C0F">
      <w:pPr>
        <w:pStyle w:val="Heading3"/>
      </w:pPr>
      <w:bookmarkStart w:id="2561" w:name="section_592fc3bd3e7d4045b36b62910679ae09"/>
      <w:bookmarkStart w:id="2562" w:name="_Toc12261341"/>
      <w:r>
        <w:t>Part 1 Section 20.1.5.9, lightRig (Light Rig)</w:t>
      </w:r>
      <w:bookmarkEnd w:id="2561"/>
      <w:bookmarkEnd w:id="2562"/>
      <w:r>
        <w:fldChar w:fldCharType="begin"/>
      </w:r>
      <w:r>
        <w:instrText xml:space="preserve"> XE "lightRig (Light Rig)" </w:instrText>
      </w:r>
      <w:r>
        <w:fldChar w:fldCharType="end"/>
      </w:r>
    </w:p>
    <w:p w:rsidR="00024C0A" w:rsidRDefault="00694C0F">
      <w:pPr>
        <w:pStyle w:val="Definition-Field"/>
      </w:pPr>
      <w:r>
        <w:t xml:space="preserve">a.   </w:t>
      </w:r>
      <w:r>
        <w:rPr>
          <w:i/>
        </w:rPr>
        <w:t>The standard states tha</w:t>
      </w:r>
      <w:r>
        <w:rPr>
          <w:i/>
        </w:rPr>
        <w:t>t the lightRig element defines the light rig associated with a table.</w:t>
      </w:r>
    </w:p>
    <w:p w:rsidR="00024C0A" w:rsidRDefault="00694C0F">
      <w:pPr>
        <w:pStyle w:val="Definition-Field2"/>
      </w:pPr>
      <w:r>
        <w:t>In Office and the schema, the lightRig element is used to specify the lighting for any 3D scene.</w:t>
      </w:r>
    </w:p>
    <w:p w:rsidR="00024C0A" w:rsidRDefault="00694C0F">
      <w:pPr>
        <w:pStyle w:val="Definition-Field"/>
      </w:pPr>
      <w:r>
        <w:t xml:space="preserve">b.   </w:t>
      </w:r>
      <w:r>
        <w:rPr>
          <w:i/>
        </w:rPr>
        <w:t>The standard does not describe any interplay between attribute dir and child element</w:t>
      </w:r>
      <w:r>
        <w:rPr>
          <w:i/>
        </w:rPr>
        <w:t xml:space="preserve"> rot.</w:t>
      </w:r>
    </w:p>
    <w:p w:rsidR="00024C0A" w:rsidRDefault="00694C0F">
      <w:pPr>
        <w:pStyle w:val="Definition-Field2"/>
      </w:pPr>
      <w:r>
        <w:t>In Office, if the child element rot is specified, it will override the dir attribute of this element.</w:t>
      </w:r>
    </w:p>
    <w:p w:rsidR="00024C0A" w:rsidRDefault="00694C0F">
      <w:pPr>
        <w:pStyle w:val="Heading3"/>
      </w:pPr>
      <w:bookmarkStart w:id="2563" w:name="section_32748302650a42e1ac582c72704f2a51"/>
      <w:bookmarkStart w:id="2564" w:name="_Toc12261342"/>
      <w:r>
        <w:t>Part 1 Section 20.1.5.10, norm (Normal)</w:t>
      </w:r>
      <w:bookmarkEnd w:id="2563"/>
      <w:bookmarkEnd w:id="2564"/>
      <w:r>
        <w:fldChar w:fldCharType="begin"/>
      </w:r>
      <w:r>
        <w:instrText xml:space="preserve"> XE "norm (Normal)" </w:instrText>
      </w:r>
      <w:r>
        <w:fldChar w:fldCharType="end"/>
      </w:r>
    </w:p>
    <w:p w:rsidR="00024C0A" w:rsidRDefault="00694C0F">
      <w:pPr>
        <w:pStyle w:val="Definition-Field"/>
      </w:pPr>
      <w:r>
        <w:t xml:space="preserve">a.   </w:t>
      </w:r>
      <w:r>
        <w:rPr>
          <w:i/>
        </w:rPr>
        <w:t>The standard accepts any vector for the backdrop plane normal vector.</w:t>
      </w:r>
    </w:p>
    <w:p w:rsidR="00024C0A" w:rsidRDefault="00694C0F">
      <w:pPr>
        <w:pStyle w:val="Definition-Field2"/>
      </w:pPr>
      <w:r>
        <w:t>Office requ</w:t>
      </w:r>
      <w:r>
        <w:t>ires that the normal vector be nonzero in length.</w:t>
      </w:r>
    </w:p>
    <w:p w:rsidR="00024C0A" w:rsidRDefault="00694C0F">
      <w:pPr>
        <w:pStyle w:val="Heading3"/>
      </w:pPr>
      <w:bookmarkStart w:id="2565" w:name="section_d44e6f9209a94d8bb8c75220c6c85203"/>
      <w:bookmarkStart w:id="2566" w:name="_Toc12261343"/>
      <w:r>
        <w:t>Part 1 Section 20.1.5.12, sp3d (Apply 3D shape properties)</w:t>
      </w:r>
      <w:bookmarkEnd w:id="2565"/>
      <w:bookmarkEnd w:id="2566"/>
      <w:r>
        <w:fldChar w:fldCharType="begin"/>
      </w:r>
      <w:r>
        <w:instrText xml:space="preserve"> XE "sp3d (Apply 3D shape properties)" </w:instrText>
      </w:r>
      <w:r>
        <w:fldChar w:fldCharType="end"/>
      </w:r>
    </w:p>
    <w:p w:rsidR="00024C0A" w:rsidRDefault="00694C0F">
      <w:pPr>
        <w:pStyle w:val="Definition-Field"/>
      </w:pPr>
      <w:r>
        <w:t xml:space="preserve">a.   </w:t>
      </w:r>
      <w:r>
        <w:rPr>
          <w:i/>
        </w:rPr>
        <w:t>The standard does not describe default behavior when contourClr and extrusionClr child elements are u</w:t>
      </w:r>
      <w:r>
        <w:rPr>
          <w:i/>
        </w:rPr>
        <w:t>nspecified.</w:t>
      </w:r>
    </w:p>
    <w:p w:rsidR="00024C0A" w:rsidRDefault="00694C0F">
      <w:pPr>
        <w:pStyle w:val="Definition-Field2"/>
      </w:pPr>
      <w:r>
        <w:t>In Office, child element contourClr defaults to black and child element extrusionClr defaults to the front face color.</w:t>
      </w:r>
    </w:p>
    <w:p w:rsidR="00024C0A" w:rsidRDefault="00694C0F">
      <w:pPr>
        <w:pStyle w:val="Definition-Field"/>
      </w:pPr>
      <w:r>
        <w:t xml:space="preserve">b.   </w:t>
      </w:r>
      <w:r>
        <w:rPr>
          <w:i/>
        </w:rPr>
        <w:t>The standard does not describe default behavior when contour width is zero.</w:t>
      </w:r>
    </w:p>
    <w:p w:rsidR="00024C0A" w:rsidRDefault="00694C0F">
      <w:pPr>
        <w:pStyle w:val="Definition-Field2"/>
      </w:pPr>
      <w:r>
        <w:t>In Office, if the contour width is zero, the</w:t>
      </w:r>
      <w:r>
        <w:t>n no contour is presumed and contour color is ignored.</w:t>
      </w:r>
    </w:p>
    <w:p w:rsidR="00024C0A" w:rsidRDefault="00694C0F">
      <w:pPr>
        <w:pStyle w:val="Heading3"/>
      </w:pPr>
      <w:bookmarkStart w:id="2567" w:name="section_586892cc568a469e9a6682293405b66e"/>
      <w:bookmarkStart w:id="2568" w:name="_Toc12261344"/>
      <w:r>
        <w:t>Part 1 Section 20.1.5.13, up (Up Vector)</w:t>
      </w:r>
      <w:bookmarkEnd w:id="2567"/>
      <w:bookmarkEnd w:id="2568"/>
      <w:r>
        <w:fldChar w:fldCharType="begin"/>
      </w:r>
      <w:r>
        <w:instrText xml:space="preserve"> XE "up (Up Vector)" </w:instrText>
      </w:r>
      <w:r>
        <w:fldChar w:fldCharType="end"/>
      </w:r>
    </w:p>
    <w:p w:rsidR="00024C0A" w:rsidRDefault="00694C0F">
      <w:pPr>
        <w:pStyle w:val="Definition-Field"/>
      </w:pPr>
      <w:r>
        <w:t xml:space="preserve">a.   </w:t>
      </w:r>
      <w:r>
        <w:rPr>
          <w:i/>
        </w:rPr>
        <w:t>The standard accepts any vector for backdrop plane up vector.</w:t>
      </w:r>
    </w:p>
    <w:p w:rsidR="00024C0A" w:rsidRDefault="00694C0F">
      <w:pPr>
        <w:pStyle w:val="Definition-Field2"/>
      </w:pPr>
      <w:r>
        <w:t>Office requires that the up vector be nonzero in length.</w:t>
      </w:r>
    </w:p>
    <w:p w:rsidR="00024C0A" w:rsidRDefault="00694C0F">
      <w:pPr>
        <w:pStyle w:val="Heading3"/>
      </w:pPr>
      <w:bookmarkStart w:id="2569" w:name="section_f8503f451cbd45bdb570375c5a029720"/>
      <w:bookmarkStart w:id="2570" w:name="_Toc12261345"/>
      <w:r>
        <w:t>Part 1 Sectio</w:t>
      </w:r>
      <w:r>
        <w:t>n 20.1.7.1, chExt (Child Extents)</w:t>
      </w:r>
      <w:bookmarkEnd w:id="2569"/>
      <w:bookmarkEnd w:id="2570"/>
      <w:r>
        <w:fldChar w:fldCharType="begin"/>
      </w:r>
      <w:r>
        <w:instrText xml:space="preserve"> XE "chExt (Child Extents)"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024C0A" w:rsidRDefault="00694C0F">
      <w:pPr>
        <w:pStyle w:val="Definition-Field"/>
      </w:pPr>
      <w:r>
        <w:t xml:space="preserve">a.   </w:t>
      </w:r>
      <w:r>
        <w:rPr>
          <w:i/>
        </w:rPr>
        <w:t xml:space="preserve">The standard </w:t>
      </w:r>
      <w:r>
        <w:rPr>
          <w:i/>
        </w:rPr>
        <w:t>states that the child extents defined by the chExt element are used for calculations of grouping, scaling and rotating.</w:t>
      </w:r>
    </w:p>
    <w:p w:rsidR="00024C0A" w:rsidRDefault="00694C0F">
      <w:pPr>
        <w:pStyle w:val="Definition-Field2"/>
      </w:pPr>
      <w:r>
        <w:t>In Office, this element additionally defines the group scaling factor which is the ratio of the extents to child extents when the size o</w:t>
      </w:r>
      <w:r>
        <w:t>f the child extents is nonzero. If the size of the child extents is zero or omitted, there is no group scaling.</w:t>
      </w:r>
    </w:p>
    <w:p w:rsidR="00024C0A" w:rsidRDefault="00694C0F">
      <w:pPr>
        <w:pStyle w:val="Heading3"/>
      </w:pPr>
      <w:bookmarkStart w:id="2571" w:name="section_bb0ea49131314a6aadc803f173655076"/>
      <w:bookmarkStart w:id="2572" w:name="_Toc12261346"/>
      <w:r>
        <w:t>Part 1 Section 20.1.7.2, chOff (Child Offset)</w:t>
      </w:r>
      <w:bookmarkEnd w:id="2571"/>
      <w:bookmarkEnd w:id="2572"/>
      <w:r>
        <w:fldChar w:fldCharType="begin"/>
      </w:r>
      <w:r>
        <w:instrText xml:space="preserve"> XE "chOff (Child Offset)" </w:instrText>
      </w:r>
      <w:r>
        <w:fldChar w:fldCharType="end"/>
      </w:r>
    </w:p>
    <w:p w:rsidR="00024C0A" w:rsidRDefault="00694C0F">
      <w:pPr>
        <w:pStyle w:val="Definition-Field"/>
      </w:pPr>
      <w:r>
        <w:t xml:space="preserve">a.   </w:t>
      </w:r>
      <w:r>
        <w:rPr>
          <w:i/>
        </w:rPr>
        <w:t>The standard states that the child offset defined by the chOff e</w:t>
      </w:r>
      <w:r>
        <w:rPr>
          <w:i/>
        </w:rPr>
        <w:t>lement specifies the location of the child extents rectangle, which is used for calculations of grouping, scaling and rotating.</w:t>
      </w:r>
    </w:p>
    <w:p w:rsidR="00024C0A" w:rsidRDefault="00694C0F">
      <w:pPr>
        <w:pStyle w:val="Definition-Field2"/>
      </w:pPr>
      <w:r>
        <w:t>In Office, the child extents and offset are used to determine the center for scaling, rotation and flipping.</w:t>
      </w:r>
    </w:p>
    <w:p w:rsidR="00024C0A" w:rsidRDefault="00694C0F">
      <w:pPr>
        <w:pStyle w:val="Definition-Field"/>
      </w:pPr>
      <w:r>
        <w:t xml:space="preserve">b.   </w:t>
      </w:r>
      <w:r>
        <w:rPr>
          <w:i/>
        </w:rPr>
        <w:t xml:space="preserve">The standard </w:t>
      </w:r>
      <w:r>
        <w:rPr>
          <w:i/>
        </w:rPr>
        <w:t>states that the y attribute specifies a coordinate on the x-axis.</w:t>
      </w:r>
    </w:p>
    <w:p w:rsidR="00024C0A" w:rsidRDefault="00694C0F">
      <w:pPr>
        <w:pStyle w:val="Definition-Field2"/>
      </w:pPr>
      <w:r>
        <w:lastRenderedPageBreak/>
        <w:t>In Office, the y attribute specifies a coordinate on the y-axis.</w:t>
      </w:r>
    </w:p>
    <w:p w:rsidR="00024C0A" w:rsidRDefault="00694C0F">
      <w:pPr>
        <w:pStyle w:val="Heading3"/>
      </w:pPr>
      <w:bookmarkStart w:id="2573" w:name="section_9e4a12191d6848e683413379366befad"/>
      <w:bookmarkStart w:id="2574" w:name="_Toc12261347"/>
      <w:r>
        <w:t>Part 1 Section 20.1.7.3, ext (Extents)</w:t>
      </w:r>
      <w:bookmarkEnd w:id="2573"/>
      <w:bookmarkEnd w:id="2574"/>
      <w:r>
        <w:fldChar w:fldCharType="begin"/>
      </w:r>
      <w:r>
        <w:instrText xml:space="preserve"> XE "ext (Extents)" </w:instrText>
      </w:r>
      <w:r>
        <w:fldChar w:fldCharType="end"/>
      </w:r>
    </w:p>
    <w:p w:rsidR="00024C0A" w:rsidRDefault="00694C0F">
      <w:pPr>
        <w:pStyle w:val="Definition-Field2"/>
      </w:pPr>
      <w:r>
        <w:rPr>
          <w:i/>
        </w:rPr>
        <w:t>For additional notes that apply to this portion of the standard,</w:t>
      </w:r>
      <w:r>
        <w:rPr>
          <w:i/>
        </w:rPr>
        <w:t xml:space="preserve"> please see the notes for </w:t>
      </w:r>
      <w:hyperlink w:anchor="Section_0e03e978d5d44dc1b3ada77bbb361cfe">
        <w:r>
          <w:rPr>
            <w:rStyle w:val="Hyperlink"/>
          </w:rPr>
          <w:t>ext, §21.3.2.10(a)</w:t>
        </w:r>
      </w:hyperlink>
      <w:r>
        <w:rPr>
          <w:i/>
        </w:rPr>
        <w:t>.</w:t>
      </w:r>
    </w:p>
    <w:p w:rsidR="00024C0A" w:rsidRDefault="00694C0F">
      <w:pPr>
        <w:pStyle w:val="Definition-Field"/>
      </w:pPr>
      <w:r>
        <w:t xml:space="preserve">a.   </w:t>
      </w:r>
      <w:r>
        <w:rPr>
          <w:i/>
        </w:rPr>
        <w:t>The standard states that the ext element specifies the size of the bounding box enclosing the referenced object.</w:t>
      </w:r>
    </w:p>
    <w:p w:rsidR="00024C0A" w:rsidRDefault="00694C0F">
      <w:pPr>
        <w:pStyle w:val="Definition-Field2"/>
      </w:pPr>
      <w:r>
        <w:t>In Office, the extents also d</w:t>
      </w:r>
      <w:r>
        <w:t>etermine the size and center of the object for most geometry definitions. If the geometry data is independent of these extents, they are only used to determine the center for rotation and flipping.</w:t>
      </w:r>
    </w:p>
    <w:p w:rsidR="00024C0A" w:rsidRDefault="00694C0F">
      <w:pPr>
        <w:pStyle w:val="Heading3"/>
      </w:pPr>
      <w:bookmarkStart w:id="2575" w:name="section_55f6dcf88ab84a2999bfe36ee955647f"/>
      <w:bookmarkStart w:id="2576" w:name="_Toc12261348"/>
      <w:r>
        <w:t>Part 1 Section 20.1.7.4, off (Offset)</w:t>
      </w:r>
      <w:bookmarkEnd w:id="2575"/>
      <w:bookmarkEnd w:id="2576"/>
      <w:r>
        <w:fldChar w:fldCharType="begin"/>
      </w:r>
      <w:r>
        <w:instrText xml:space="preserve"> XE "off (Offset)"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024C0A" w:rsidRDefault="00694C0F">
      <w:pPr>
        <w:pStyle w:val="Definition-Field"/>
      </w:pPr>
      <w:r>
        <w:t xml:space="preserve">a.   </w:t>
      </w:r>
      <w:r>
        <w:rPr>
          <w:i/>
        </w:rPr>
        <w:t>The standard states that the offset element specifies the location of the bo</w:t>
      </w:r>
      <w:r>
        <w:rPr>
          <w:i/>
        </w:rPr>
        <w:t>unding box of an object.</w:t>
      </w:r>
    </w:p>
    <w:p w:rsidR="00024C0A" w:rsidRDefault="00694C0F">
      <w:pPr>
        <w:pStyle w:val="Definition-Field2"/>
      </w:pPr>
      <w:r>
        <w:t>In Office, the offset element specifies the location of a bounding box of an object as defined by the ext element.</w:t>
      </w:r>
    </w:p>
    <w:p w:rsidR="00024C0A" w:rsidRDefault="00694C0F">
      <w:pPr>
        <w:pStyle w:val="Heading3"/>
      </w:pPr>
      <w:bookmarkStart w:id="2577" w:name="section_98567b7e097a4450a82af83e25539aaf"/>
      <w:bookmarkStart w:id="2578" w:name="_Toc12261349"/>
      <w:r>
        <w:t>Part 1 Section 20.1.7.5, xfrm (2D Transform for Grouped Objects)</w:t>
      </w:r>
      <w:bookmarkEnd w:id="2577"/>
      <w:bookmarkEnd w:id="2578"/>
      <w:r>
        <w:fldChar w:fldCharType="begin"/>
      </w:r>
      <w:r>
        <w:instrText xml:space="preserve"> XE "xfrm (2D Transform for Grouped Objects)" </w:instrText>
      </w:r>
      <w:r>
        <w:fldChar w:fldCharType="end"/>
      </w:r>
    </w:p>
    <w:p w:rsidR="00024C0A" w:rsidRDefault="00694C0F">
      <w:pPr>
        <w:pStyle w:val="Definition-Field"/>
      </w:pPr>
      <w:r>
        <w:t xml:space="preserve">a. </w:t>
      </w:r>
      <w:r>
        <w:t xml:space="preserve">  </w:t>
      </w:r>
      <w:r>
        <w:rPr>
          <w:i/>
        </w:rPr>
        <w:t>The standard states that the rot attribute specifies the clockwise rotation in 1/64000ths of a degree.</w:t>
      </w:r>
    </w:p>
    <w:p w:rsidR="00024C0A" w:rsidRDefault="00694C0F">
      <w:pPr>
        <w:pStyle w:val="Definition-Field2"/>
      </w:pPr>
      <w:r>
        <w:t>In Office and the schema, the rot attribute specifies the clockwise rotation in 1/60000ths of a degree.</w:t>
      </w:r>
    </w:p>
    <w:p w:rsidR="00024C0A" w:rsidRDefault="00694C0F">
      <w:pPr>
        <w:pStyle w:val="Definition-Field"/>
      </w:pPr>
      <w:r>
        <w:t xml:space="preserve">b.   </w:t>
      </w:r>
      <w:r>
        <w:rPr>
          <w:i/>
        </w:rPr>
        <w:t>The standard does not describe role of the</w:t>
      </w:r>
      <w:r>
        <w:rPr>
          <w:i/>
        </w:rPr>
        <w:t xml:space="preserve"> child bounding box as defined by elements chExt and chOff.</w:t>
      </w:r>
    </w:p>
    <w:p w:rsidR="00024C0A" w:rsidRDefault="00694C0F">
      <w:pPr>
        <w:pStyle w:val="Definition-Field2"/>
      </w:pPr>
      <w:r>
        <w:t>In Office, the child bounding box is the center for scaling, rotating and flipping. Additionally, if the child extents are nonzero, then a group scaling is applied equal to the ratio of the extent</w:t>
      </w:r>
      <w:r>
        <w:t>s to the child extents.</w:t>
      </w:r>
    </w:p>
    <w:p w:rsidR="00024C0A" w:rsidRDefault="00694C0F">
      <w:pPr>
        <w:pStyle w:val="Heading3"/>
      </w:pPr>
      <w:bookmarkStart w:id="2579" w:name="section_c7555d2c472a4d15b23041046bc41819"/>
      <w:bookmarkStart w:id="2580" w:name="_Toc12261350"/>
      <w:r>
        <w:t>Part 1 Section 20.1.7.6, xfrm (2D Transform for Individual Objects)</w:t>
      </w:r>
      <w:bookmarkEnd w:id="2579"/>
      <w:bookmarkEnd w:id="2580"/>
      <w:r>
        <w:fldChar w:fldCharType="begin"/>
      </w:r>
      <w:r>
        <w:instrText xml:space="preserve"> XE "xfrm (2D Transform for Individual Objects)" </w:instrText>
      </w:r>
      <w:r>
        <w:fldChar w:fldCharType="end"/>
      </w:r>
    </w:p>
    <w:p w:rsidR="00024C0A" w:rsidRDefault="00694C0F">
      <w:pPr>
        <w:pStyle w:val="Definition-Field"/>
      </w:pPr>
      <w:r>
        <w:t xml:space="preserve">a.   </w:t>
      </w:r>
      <w:r>
        <w:rPr>
          <w:i/>
        </w:rPr>
        <w:t>The standard states that the rot attribute specifies the rotation of a graphic frame.</w:t>
      </w:r>
    </w:p>
    <w:p w:rsidR="00024C0A" w:rsidRDefault="00694C0F">
      <w:pPr>
        <w:pStyle w:val="Definition-Field2"/>
      </w:pPr>
      <w:r>
        <w:t>In Office, rot specifi</w:t>
      </w:r>
      <w:r>
        <w:t>es the clockwise rotation of a shape.</w:t>
      </w:r>
    </w:p>
    <w:p w:rsidR="00024C0A" w:rsidRDefault="00694C0F">
      <w:pPr>
        <w:pStyle w:val="Definition-Field"/>
      </w:pPr>
      <w:r>
        <w:t xml:space="preserve">b.   </w:t>
      </w:r>
      <w:r>
        <w:rPr>
          <w:i/>
        </w:rPr>
        <w:t>The standard allows attributes flipH, flipV and rot to be applied to a graphicFrame.</w:t>
      </w:r>
    </w:p>
    <w:p w:rsidR="00024C0A" w:rsidRDefault="00694C0F">
      <w:pPr>
        <w:pStyle w:val="Definition-Field2"/>
      </w:pPr>
      <w:r>
        <w:t>In Office, attributes FlipH, flipV and rot are ignored when applied to a graphicFrame.</w:t>
      </w:r>
    </w:p>
    <w:p w:rsidR="00024C0A" w:rsidRDefault="00694C0F">
      <w:pPr>
        <w:pStyle w:val="Heading3"/>
      </w:pPr>
      <w:bookmarkStart w:id="2581" w:name="section_c0c046eca61d405d88fe74d8487a37d7"/>
      <w:bookmarkStart w:id="2582" w:name="_Toc12261351"/>
      <w:r>
        <w:t>Part 1 Section 20.1.8, Shape, Fills, Effe</w:t>
      </w:r>
      <w:r>
        <w:t>cts and Line Properties</w:t>
      </w:r>
      <w:bookmarkEnd w:id="2581"/>
      <w:bookmarkEnd w:id="2582"/>
      <w:r>
        <w:fldChar w:fldCharType="begin"/>
      </w:r>
      <w:r>
        <w:instrText xml:space="preserve"> XE "Shape - Fills - Effects and Line Properties" </w:instrText>
      </w:r>
      <w:r>
        <w:fldChar w:fldCharType="end"/>
      </w:r>
    </w:p>
    <w:p w:rsidR="00024C0A" w:rsidRDefault="00694C0F">
      <w:pPr>
        <w:pStyle w:val="Definition-Field"/>
      </w:pPr>
      <w:r>
        <w:t xml:space="preserve">a.   </w:t>
      </w:r>
      <w:r>
        <w:rPr>
          <w:i/>
        </w:rPr>
        <w:t>The standard supplies no default values for the optional attributes.</w:t>
      </w:r>
    </w:p>
    <w:p w:rsidR="00024C0A" w:rsidRDefault="00694C0F">
      <w:r>
        <w:t>Within this portion of the DrawingML framework, you will note that most attributes are denoted as optional</w:t>
      </w:r>
      <w:r>
        <w:t xml:space="preserve">, yet have no default explicitly called out in the XML schema fragment. The reason no default is specified for these attributes is that the default can come from any of three sources. </w:t>
      </w:r>
    </w:p>
    <w:p w:rsidR="00024C0A" w:rsidRDefault="00694C0F">
      <w:r>
        <w:lastRenderedPageBreak/>
        <w:t>In general, when an optional attribute is not specified, it will incorp</w:t>
      </w:r>
      <w:r>
        <w:t xml:space="preserve">orate the corresponding attribute value from one of the following sources if available. Not all of these levels will be used in every scenario. </w:t>
      </w:r>
    </w:p>
    <w:p w:rsidR="00024C0A" w:rsidRDefault="00694C0F">
      <w:r>
        <w:t>Style link</w:t>
      </w:r>
    </w:p>
    <w:p w:rsidR="00024C0A" w:rsidRDefault="00694C0F">
      <w:r>
        <w:t>Master shape (PresentationML only)</w:t>
      </w:r>
    </w:p>
    <w:p w:rsidR="00024C0A" w:rsidRDefault="00694C0F">
      <w:r>
        <w:t>DrawingML hard coded default</w:t>
      </w:r>
    </w:p>
    <w:p w:rsidR="00024C0A" w:rsidRDefault="00694C0F">
      <w:r>
        <w:t xml:space="preserve">This inheritance is done in multiple passes. Each level will fill in gaps not specified by previous levels. </w:t>
      </w:r>
    </w:p>
    <w:p w:rsidR="00024C0A" w:rsidRDefault="00694C0F">
      <w:r>
        <w:t>The following elements are subjected to resolution. Unless otherwise noted, at any level, the absence of an element type in the target indicates th</w:t>
      </w:r>
      <w:r>
        <w:t xml:space="preserve">e element is to come from the inheritance chain. For example, if the target property set has no fill element, it will inherit al l the fill properties in the next level of inheritance that has fill properties. When the elements are merged, all unspecified </w:t>
      </w:r>
      <w:r>
        <w:t xml:space="preserve">attributes and children of the element, will come from the first inheritance source with one specified. </w:t>
      </w:r>
    </w:p>
    <w:p w:rsidR="00024C0A" w:rsidRDefault="00694C0F">
      <w:r>
        <w:t>Where attributes and elements are merged, the values in parentheses are used as the base defaults, with any applicable footnote number in angle bracket</w:t>
      </w:r>
      <w:r>
        <w:t>s:</w:t>
      </w:r>
    </w:p>
    <w:p w:rsidR="00024C0A" w:rsidRDefault="00694C0F">
      <w:r>
        <w:t xml:space="preserve">Fill (noFill) &lt;1&gt; </w:t>
      </w:r>
    </w:p>
    <w:p w:rsidR="00024C0A" w:rsidRDefault="00694C0F">
      <w:r>
        <w:t>noFill</w:t>
      </w:r>
    </w:p>
    <w:p w:rsidR="00024C0A" w:rsidRDefault="00694C0F">
      <w:r>
        <w:t>solidFill (color = schemeColor (bg1))</w:t>
      </w:r>
    </w:p>
    <w:p w:rsidR="00024C0A" w:rsidRDefault="00694C0F">
      <w:r>
        <w:t>gradFill (gsList(black, white), shade(lin), flip = none, rotWithShape = true )</w:t>
      </w:r>
    </w:p>
    <w:p w:rsidR="00024C0A" w:rsidRDefault="00694C0F">
      <w:r>
        <w:t xml:space="preserve">gsList &lt;2&gt; </w:t>
      </w:r>
    </w:p>
    <w:p w:rsidR="00024C0A" w:rsidRDefault="00694C0F">
      <w:r>
        <w:t>tileRect &lt;3&gt;</w:t>
      </w:r>
    </w:p>
    <w:p w:rsidR="00024C0A" w:rsidRDefault="00694C0F">
      <w:r>
        <w:t>Shade (lin) &lt;1&gt;</w:t>
      </w:r>
    </w:p>
    <w:p w:rsidR="00024C0A" w:rsidRDefault="00694C0F">
      <w:r>
        <w:t>lin (ang=0, scaled=false )</w:t>
      </w:r>
    </w:p>
    <w:p w:rsidR="00024C0A" w:rsidRDefault="00694C0F">
      <w:r>
        <w:t>path (path=shape)</w:t>
      </w:r>
    </w:p>
    <w:p w:rsidR="00024C0A" w:rsidRDefault="00694C0F">
      <w:r>
        <w:t xml:space="preserve">fillToRect (l,r,t,b=50% </w:t>
      </w:r>
      <w:r>
        <w:t>)</w:t>
      </w:r>
    </w:p>
    <w:p w:rsidR="00024C0A" w:rsidRDefault="00694C0F">
      <w:r>
        <w:t>blipFill (dpi=0, rotWithShape=true)</w:t>
      </w:r>
    </w:p>
    <w:p w:rsidR="00024C0A" w:rsidRDefault="00694C0F">
      <w:r>
        <w:t>blip (compression=none)</w:t>
      </w:r>
    </w:p>
    <w:p w:rsidR="00024C0A" w:rsidRDefault="00694C0F">
      <w:r>
        <w:t>srcRect &lt;1&gt;</w:t>
      </w:r>
    </w:p>
    <w:p w:rsidR="00024C0A" w:rsidRDefault="00694C0F">
      <w:r>
        <w:t>fillMode (tile) &lt;1&gt;</w:t>
      </w:r>
    </w:p>
    <w:p w:rsidR="00024C0A" w:rsidRDefault="00694C0F">
      <w:r>
        <w:t>tile (algn=tl, flip=none, sx=100%, sy=100%, tx=0, ty=0)</w:t>
      </w:r>
    </w:p>
    <w:p w:rsidR="00024C0A" w:rsidRDefault="00694C0F">
      <w:r>
        <w:t>stretch</w:t>
      </w:r>
    </w:p>
    <w:p w:rsidR="00024C0A" w:rsidRDefault="00694C0F">
      <w:r>
        <w:t>fillRect &lt;3&gt;</w:t>
      </w:r>
    </w:p>
    <w:p w:rsidR="00024C0A" w:rsidRDefault="00694C0F">
      <w:r>
        <w:t>pattFill (prst=pct5)</w:t>
      </w:r>
    </w:p>
    <w:p w:rsidR="00024C0A" w:rsidRDefault="00694C0F">
      <w:r>
        <w:t>bgClr(white)</w:t>
      </w:r>
    </w:p>
    <w:p w:rsidR="00024C0A" w:rsidRDefault="00694C0F">
      <w:r>
        <w:t>fgClr(black)</w:t>
      </w:r>
    </w:p>
    <w:p w:rsidR="00024C0A" w:rsidRDefault="00694C0F">
      <w:r>
        <w:t>ln (w=.75pt, cap=flat, cmpd=sng, algn=</w:t>
      </w:r>
      <w:r>
        <w:t>ctr)</w:t>
      </w:r>
    </w:p>
    <w:p w:rsidR="00024C0A" w:rsidRDefault="00694C0F">
      <w:r>
        <w:lastRenderedPageBreak/>
        <w:t>fill(same as 1 ) &lt;1&gt;</w:t>
      </w:r>
    </w:p>
    <w:p w:rsidR="00024C0A" w:rsidRDefault="00694C0F">
      <w:r>
        <w:t>dash (prstDash(solid))</w:t>
      </w:r>
    </w:p>
    <w:p w:rsidR="00024C0A" w:rsidRDefault="00694C0F">
      <w:r>
        <w:t>custDash &lt;2&gt;</w:t>
      </w:r>
    </w:p>
    <w:p w:rsidR="00024C0A" w:rsidRDefault="00694C0F">
      <w:r>
        <w:t>join (round)</w:t>
      </w:r>
    </w:p>
    <w:p w:rsidR="00024C0A" w:rsidRDefault="00694C0F">
      <w:r>
        <w:t>miter(lim=800%)</w:t>
      </w:r>
    </w:p>
    <w:p w:rsidR="00024C0A" w:rsidRDefault="00694C0F">
      <w:r>
        <w:t>headEnd (type=none, w=med, len=med)</w:t>
      </w:r>
    </w:p>
    <w:p w:rsidR="00024C0A" w:rsidRDefault="00694C0F">
      <w:r>
        <w:t>tailEnd (type=none, w=med, len=med)</w:t>
      </w:r>
    </w:p>
    <w:p w:rsidR="00024C0A" w:rsidRDefault="00694C0F">
      <w:r>
        <w:t>effect &lt;2&gt;</w:t>
      </w:r>
    </w:p>
    <w:p w:rsidR="00024C0A" w:rsidRDefault="00694C0F">
      <w:r>
        <w:t>shape3D &lt;2&gt;</w:t>
      </w:r>
    </w:p>
    <w:p w:rsidR="00024C0A" w:rsidRDefault="00694C0F">
      <w:r>
        <w:t xml:space="preserve">scene3D &lt;2&gt; </w:t>
      </w:r>
    </w:p>
    <w:p w:rsidR="00024C0A" w:rsidRDefault="00694C0F">
      <w:r>
        <w:t>&lt;1&gt; Merging only occurs if elements are of the same type,</w:t>
      </w:r>
      <w:r>
        <w:t xml:space="preserve"> or if element does not exist in the target property set.</w:t>
      </w:r>
    </w:p>
    <w:p w:rsidR="00024C0A" w:rsidRDefault="00694C0F">
      <w:r>
        <w:t xml:space="preserve">&lt;2&gt; Merging only occurs as a whole. If the element does not exist, the secondary default is used in its entirety. Even a valid empty element will block the inheritance. For example, an empty effect </w:t>
      </w:r>
      <w:r>
        <w:t>list will not be merged with an inherited effect list.</w:t>
      </w:r>
    </w:p>
    <w:p w:rsidR="00024C0A" w:rsidRDefault="00694C0F">
      <w:r>
        <w:t>&lt;3&gt; Simple type has schema defaults.</w:t>
      </w:r>
    </w:p>
    <w:p w:rsidR="00024C0A" w:rsidRDefault="00694C0F">
      <w:pPr>
        <w:pStyle w:val="Heading3"/>
      </w:pPr>
      <w:bookmarkStart w:id="2583" w:name="section_88c6f94c01654e828f963694069f6361"/>
      <w:bookmarkStart w:id="2584" w:name="_Toc12261352"/>
      <w:r>
        <w:t>Part 1 Section 20.1.8.4, alphaInv (Alpha Inverse Effect)</w:t>
      </w:r>
      <w:bookmarkEnd w:id="2583"/>
      <w:bookmarkEnd w:id="2584"/>
      <w:r>
        <w:fldChar w:fldCharType="begin"/>
      </w:r>
      <w:r>
        <w:instrText xml:space="preserve"> XE "alphaInv (Alpha Inverse Effect)" </w:instrText>
      </w:r>
      <w:r>
        <w:fldChar w:fldCharType="end"/>
      </w:r>
    </w:p>
    <w:p w:rsidR="00024C0A" w:rsidRDefault="00694C0F">
      <w:pPr>
        <w:pStyle w:val="Definition-Field"/>
      </w:pPr>
      <w:r>
        <w:t xml:space="preserve">a.   </w:t>
      </w:r>
      <w:r>
        <w:rPr>
          <w:i/>
        </w:rPr>
        <w:t>The standard does not include information on the optional colo</w:t>
      </w:r>
      <w:r>
        <w:rPr>
          <w:i/>
        </w:rPr>
        <w:t>r element.</w:t>
      </w:r>
    </w:p>
    <w:p w:rsidR="00024C0A" w:rsidRDefault="00694C0F">
      <w:r>
        <w:t>In Office, other color channels are modified only if a color is specified.  If a color is specified, all effect colors are replaced by the constant color value and the alpha values are inverted. If no color is specified, only the alpha values ar</w:t>
      </w:r>
      <w:r>
        <w:t>e modified and the other color channels are unchanged.</w:t>
      </w:r>
    </w:p>
    <w:p w:rsidR="00024C0A" w:rsidRDefault="00694C0F">
      <w:pPr>
        <w:pStyle w:val="Heading3"/>
      </w:pPr>
      <w:bookmarkStart w:id="2585" w:name="section_afb64210f4af4f608f94b2c51fd1bda7"/>
      <w:bookmarkStart w:id="2586" w:name="_Toc12261353"/>
      <w:r>
        <w:t>Part 1 Section 20.1.8.5, alphaMod (Alpha Modulate Effect)</w:t>
      </w:r>
      <w:bookmarkEnd w:id="2585"/>
      <w:bookmarkEnd w:id="2586"/>
      <w:r>
        <w:fldChar w:fldCharType="begin"/>
      </w:r>
      <w:r>
        <w:instrText xml:space="preserve"> XE "alphaMod (Alpha Modulate Effect)" </w:instrText>
      </w:r>
      <w:r>
        <w:fldChar w:fldCharType="end"/>
      </w:r>
    </w:p>
    <w:p w:rsidR="00024C0A" w:rsidRDefault="00694C0F">
      <w:pPr>
        <w:pStyle w:val="Definition-Field"/>
      </w:pPr>
      <w:r>
        <w:t xml:space="preserve">a.   </w:t>
      </w:r>
      <w:r>
        <w:rPr>
          <w:i/>
        </w:rPr>
        <w:t>The standard states that alpha is multiplied by a fixed percent.</w:t>
      </w:r>
    </w:p>
    <w:p w:rsidR="00024C0A" w:rsidRDefault="00694C0F">
      <w:pPr>
        <w:pStyle w:val="Definition-Field2"/>
      </w:pPr>
      <w:r>
        <w:t>In Office, alpha is multiplied b</w:t>
      </w:r>
      <w:r>
        <w:t>y the alpha of another effect.</w:t>
      </w:r>
    </w:p>
    <w:p w:rsidR="00024C0A" w:rsidRDefault="00694C0F">
      <w:pPr>
        <w:pStyle w:val="Heading3"/>
      </w:pPr>
      <w:bookmarkStart w:id="2587" w:name="section_1c2204d50c7240caa3c489b803883e90"/>
      <w:bookmarkStart w:id="2588" w:name="_Toc12261354"/>
      <w:r>
        <w:t>Part 1 Section 20.1.8.6, alphaModFix (Alpha Modulate Fixed Effect)</w:t>
      </w:r>
      <w:bookmarkEnd w:id="2587"/>
      <w:bookmarkEnd w:id="2588"/>
      <w:r>
        <w:fldChar w:fldCharType="begin"/>
      </w:r>
      <w:r>
        <w:instrText xml:space="preserve"> XE "alphaModFix (Alpha Modulate Fixed Effect)" </w:instrText>
      </w:r>
      <w:r>
        <w:fldChar w:fldCharType="end"/>
      </w:r>
    </w:p>
    <w:p w:rsidR="00024C0A" w:rsidRDefault="00694C0F">
      <w:pPr>
        <w:pStyle w:val="Definition-Field"/>
      </w:pPr>
      <w:r>
        <w:t xml:space="preserve">a.   </w:t>
      </w:r>
      <w:r>
        <w:rPr>
          <w:i/>
        </w:rPr>
        <w:t xml:space="preserve">The standard specifies that the alphaModFix value is clamped, so any value greater than 100 percent is </w:t>
      </w:r>
      <w:r>
        <w:rPr>
          <w:i/>
        </w:rPr>
        <w:t>interpreted as 100 percent, and any value less than 0 percent is interpreted as 0 percent.</w:t>
      </w:r>
    </w:p>
    <w:p w:rsidR="00024C0A" w:rsidRDefault="00694C0F">
      <w:pPr>
        <w:pStyle w:val="Definition-Field2"/>
      </w:pPr>
      <w:r>
        <w:t>Office modulates the alphaModFix value, so the value is interpreted as value modulo 100.</w:t>
      </w:r>
    </w:p>
    <w:p w:rsidR="00024C0A" w:rsidRDefault="00694C0F">
      <w:pPr>
        <w:pStyle w:val="Heading3"/>
      </w:pPr>
      <w:bookmarkStart w:id="2589" w:name="section_1cc844f4520f48d58ceb74e15342ab24"/>
      <w:bookmarkStart w:id="2590" w:name="_Toc12261355"/>
      <w:r>
        <w:t>Part 1 Section 20.1.8.14, blipFill (Picture Fill)</w:t>
      </w:r>
      <w:bookmarkEnd w:id="2589"/>
      <w:bookmarkEnd w:id="2590"/>
      <w:r>
        <w:fldChar w:fldCharType="begin"/>
      </w:r>
      <w:r>
        <w:instrText xml:space="preserve"> XE "blipFill (Picture Fill</w:instrText>
      </w:r>
      <w:r>
        <w:instrText xml:space="preserv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024C0A" w:rsidRDefault="00694C0F">
      <w:pPr>
        <w:pStyle w:val="Definition-Field"/>
      </w:pPr>
      <w:r>
        <w:t xml:space="preserve">a.   </w:t>
      </w:r>
      <w:r>
        <w:rPr>
          <w:i/>
        </w:rPr>
        <w:t>The standard states that the attribute blipFill specifies the pictur</w:t>
      </w:r>
      <w:r>
        <w:rPr>
          <w:i/>
        </w:rPr>
        <w:t>e fill for pic object.</w:t>
      </w:r>
    </w:p>
    <w:p w:rsidR="00024C0A" w:rsidRDefault="00694C0F">
      <w:pPr>
        <w:pStyle w:val="Definition-Field2"/>
      </w:pPr>
      <w:r>
        <w:t>In Office, the attribute blipFill specifies the image fill for an object.</w:t>
      </w:r>
    </w:p>
    <w:p w:rsidR="00024C0A" w:rsidRDefault="00694C0F">
      <w:pPr>
        <w:pStyle w:val="Heading3"/>
      </w:pPr>
      <w:bookmarkStart w:id="2591" w:name="section_9847db85c8ee40f08c7ecdca7563544b"/>
      <w:bookmarkStart w:id="2592" w:name="_Toc12261356"/>
      <w:r>
        <w:lastRenderedPageBreak/>
        <w:t>Part 1 Section 20.1.8.15, blur (Blur Effect)</w:t>
      </w:r>
      <w:bookmarkEnd w:id="2591"/>
      <w:bookmarkEnd w:id="2592"/>
      <w:r>
        <w:fldChar w:fldCharType="begin"/>
      </w:r>
      <w:r>
        <w:instrText xml:space="preserve"> XE "blur (Blur Effect)" </w:instrText>
      </w:r>
      <w:r>
        <w:fldChar w:fldCharType="end"/>
      </w:r>
    </w:p>
    <w:p w:rsidR="00024C0A" w:rsidRDefault="00694C0F">
      <w:pPr>
        <w:pStyle w:val="Definition-Field"/>
      </w:pPr>
      <w:r>
        <w:t xml:space="preserve">a.   </w:t>
      </w:r>
      <w:r>
        <w:rPr>
          <w:i/>
        </w:rPr>
        <w:t xml:space="preserve">The standard states that if attribute grow is true, blur may extend beyond object </w:t>
      </w:r>
      <w:r>
        <w:rPr>
          <w:i/>
        </w:rPr>
        <w:t>bounds.</w:t>
      </w:r>
    </w:p>
    <w:p w:rsidR="00024C0A" w:rsidRDefault="00694C0F">
      <w:pPr>
        <w:pStyle w:val="Definition-Field2"/>
      </w:pPr>
      <w:r>
        <w:t>In Office, if blur is applied to blip in a blipFill, fill constraints will keep the blur from extending beyond object bounds.</w:t>
      </w:r>
    </w:p>
    <w:p w:rsidR="00024C0A" w:rsidRDefault="00694C0F">
      <w:pPr>
        <w:pStyle w:val="Definition-Field"/>
      </w:pPr>
      <w:r>
        <w:t xml:space="preserve">b.   </w:t>
      </w:r>
      <w:r>
        <w:rPr>
          <w:i/>
        </w:rPr>
        <w:t>The standard states that attribute rad will specify radius of blur.</w:t>
      </w:r>
    </w:p>
    <w:p w:rsidR="00024C0A" w:rsidRDefault="00694C0F">
      <w:pPr>
        <w:pStyle w:val="Definition-Field2"/>
      </w:pPr>
      <w:r>
        <w:t>Office interprets the radius of blur as destinati</w:t>
      </w:r>
      <w:r>
        <w:t>on pixels, rather than source pixels. For other effect contexts, it is device independent.</w:t>
      </w:r>
    </w:p>
    <w:p w:rsidR="00024C0A" w:rsidRDefault="00694C0F">
      <w:pPr>
        <w:pStyle w:val="Heading3"/>
      </w:pPr>
      <w:bookmarkStart w:id="2593" w:name="section_5860f81613d34a839e63bcd1e0808404"/>
      <w:bookmarkStart w:id="2594" w:name="_Toc12261357"/>
      <w:r>
        <w:t>Part 1 Section 20.1.8.16, clrChange (Color Change Effect)</w:t>
      </w:r>
      <w:bookmarkEnd w:id="2593"/>
      <w:bookmarkEnd w:id="2594"/>
      <w:r>
        <w:fldChar w:fldCharType="begin"/>
      </w:r>
      <w:r>
        <w:instrText xml:space="preserve"> XE "clrChange (Color Change Effect)" </w:instrText>
      </w:r>
      <w:r>
        <w:fldChar w:fldCharType="end"/>
      </w:r>
    </w:p>
    <w:p w:rsidR="00024C0A" w:rsidRDefault="00694C0F">
      <w:pPr>
        <w:pStyle w:val="Definition-Field"/>
      </w:pPr>
      <w:r>
        <w:t xml:space="preserve">a.   </w:t>
      </w:r>
      <w:r>
        <w:rPr>
          <w:i/>
        </w:rPr>
        <w:t>The standard states that attribute useA specifies whether alph</w:t>
      </w:r>
      <w:r>
        <w:rPr>
          <w:i/>
        </w:rPr>
        <w:t>a values are considered for the effect.</w:t>
      </w:r>
    </w:p>
    <w:p w:rsidR="00024C0A" w:rsidRDefault="00694C0F">
      <w:pPr>
        <w:pStyle w:val="Definition-Field2"/>
      </w:pPr>
      <w:r>
        <w:t>In Office, if the value of useA is true, alpha is considered for finding a match for clrFrom, and the alpha is replaced with the alpha value in clrTo. If useA is false, no alpha values are changed.</w:t>
      </w:r>
    </w:p>
    <w:p w:rsidR="00024C0A" w:rsidRDefault="00694C0F">
      <w:pPr>
        <w:pStyle w:val="Heading3"/>
      </w:pPr>
      <w:bookmarkStart w:id="2595" w:name="section_b319fbdd87f44a23833d175e9b2b6539"/>
      <w:bookmarkStart w:id="2596" w:name="_Toc12261358"/>
      <w:r>
        <w:t>Part 1 Section 20.1.8.20, cont (Effect Container)</w:t>
      </w:r>
      <w:bookmarkEnd w:id="2595"/>
      <w:bookmarkEnd w:id="2596"/>
      <w:r>
        <w:fldChar w:fldCharType="begin"/>
      </w:r>
      <w:r>
        <w:instrText xml:space="preserve"> XE "cont (Effect Container)" </w:instrText>
      </w:r>
      <w:r>
        <w:fldChar w:fldCharType="end"/>
      </w:r>
    </w:p>
    <w:p w:rsidR="00024C0A" w:rsidRDefault="00694C0F">
      <w:pPr>
        <w:pStyle w:val="Definition-Field"/>
      </w:pPr>
      <w:r>
        <w:t xml:space="preserve">a.   </w:t>
      </w:r>
      <w:r>
        <w:rPr>
          <w:i/>
        </w:rPr>
        <w:t>The standard states that the name attribute specifies an optional name for this list of effects.</w:t>
      </w:r>
    </w:p>
    <w:p w:rsidR="00024C0A" w:rsidRDefault="00694C0F">
      <w:pPr>
        <w:pStyle w:val="Definition-Field2"/>
      </w:pPr>
      <w:r>
        <w:t>In Office, the name attribute specifies an optional name for the contain</w:t>
      </w:r>
      <w:r>
        <w:t>er. This name can be used by an effect ("</w:t>
      </w:r>
      <w:hyperlink r:id="rId177">
        <w:r>
          <w:rPr>
            <w:rStyle w:val="Hyperlink"/>
          </w:rPr>
          <w:t>[ISO/IEC-29500-1]</w:t>
        </w:r>
      </w:hyperlink>
      <w:r>
        <w:t xml:space="preserve"> §20.1.8.24; effect") within the same top level container. The name must be unique throughout the top level effect container.</w:t>
      </w:r>
    </w:p>
    <w:p w:rsidR="00024C0A" w:rsidRDefault="00694C0F">
      <w:pPr>
        <w:pStyle w:val="Heading3"/>
      </w:pPr>
      <w:bookmarkStart w:id="2597" w:name="section_90e88cb8509b42fa9de0733a7fe14161"/>
      <w:bookmarkStart w:id="2598" w:name="_Toc12261359"/>
      <w:r>
        <w:t>Part 1</w:t>
      </w:r>
      <w:r>
        <w:t xml:space="preserve"> Section 20.1.8.22, ds (Dash Stop)</w:t>
      </w:r>
      <w:bookmarkEnd w:id="2597"/>
      <w:bookmarkEnd w:id="2598"/>
      <w:r>
        <w:fldChar w:fldCharType="begin"/>
      </w:r>
      <w:r>
        <w:instrText xml:space="preserve"> XE "ds (Dash Stop)" </w:instrText>
      </w:r>
      <w:r>
        <w:fldChar w:fldCharType="end"/>
      </w:r>
    </w:p>
    <w:p w:rsidR="00024C0A" w:rsidRDefault="00694C0F">
      <w:pPr>
        <w:pStyle w:val="Definition-Field"/>
      </w:pPr>
      <w:r>
        <w:t xml:space="preserve">a.   </w:t>
      </w:r>
      <w:r>
        <w:rPr>
          <w:i/>
        </w:rPr>
        <w:t>The standard makes no restriction regarding the value of the dash length percentage.</w:t>
      </w:r>
    </w:p>
    <w:p w:rsidR="00024C0A" w:rsidRDefault="00694C0F">
      <w:pPr>
        <w:pStyle w:val="Definition-Field2"/>
      </w:pPr>
      <w:r>
        <w:t>In Office, the dash length must be greater than zero.</w:t>
      </w:r>
    </w:p>
    <w:p w:rsidR="00024C0A" w:rsidRDefault="00694C0F">
      <w:pPr>
        <w:pStyle w:val="Definition-Field"/>
      </w:pPr>
      <w:r>
        <w:t xml:space="preserve">b.   </w:t>
      </w:r>
      <w:r>
        <w:rPr>
          <w:i/>
        </w:rPr>
        <w:t>The standard makes no restriction regarding the v</w:t>
      </w:r>
      <w:r>
        <w:rPr>
          <w:i/>
        </w:rPr>
        <w:t>alue of the space length percentage.</w:t>
      </w:r>
    </w:p>
    <w:p w:rsidR="00024C0A" w:rsidRDefault="00694C0F">
      <w:pPr>
        <w:pStyle w:val="Definition-Field2"/>
      </w:pPr>
      <w:r>
        <w:t>In Office, the space length percentage must be greater than zero.</w:t>
      </w:r>
    </w:p>
    <w:p w:rsidR="00024C0A" w:rsidRDefault="00694C0F">
      <w:pPr>
        <w:pStyle w:val="Heading3"/>
      </w:pPr>
      <w:bookmarkStart w:id="2599" w:name="section_c4fb5e6e431f415291d23b48831d77af"/>
      <w:bookmarkStart w:id="2600" w:name="_Toc12261360"/>
      <w:r>
        <w:t>Part 1 Section 20.1.8.23, duotone (Duotone Effect)</w:t>
      </w:r>
      <w:bookmarkEnd w:id="2599"/>
      <w:bookmarkEnd w:id="2600"/>
      <w:r>
        <w:fldChar w:fldCharType="begin"/>
      </w:r>
      <w:r>
        <w:instrText xml:space="preserve"> XE "duotone (Duotone Effect)" </w:instrText>
      </w:r>
      <w:r>
        <w:fldChar w:fldCharType="end"/>
      </w:r>
    </w:p>
    <w:p w:rsidR="00024C0A" w:rsidRDefault="00694C0F">
      <w:pPr>
        <w:pStyle w:val="Definition-Field"/>
      </w:pPr>
      <w:r>
        <w:t xml:space="preserve">a.   </w:t>
      </w:r>
      <w:r>
        <w:rPr>
          <w:i/>
        </w:rPr>
        <w:t>The standard states that colors are combined through linear inte</w:t>
      </w:r>
      <w:r>
        <w:rPr>
          <w:i/>
        </w:rPr>
        <w:t>rpolation.</w:t>
      </w:r>
    </w:p>
    <w:p w:rsidR="00024C0A" w:rsidRDefault="00694C0F">
      <w:pPr>
        <w:pStyle w:val="Definition-Field2"/>
      </w:pPr>
      <w:r>
        <w:t>In Office, the interpolation is based on the luminance of the pixel.</w:t>
      </w:r>
    </w:p>
    <w:p w:rsidR="00024C0A" w:rsidRDefault="00694C0F">
      <w:pPr>
        <w:pStyle w:val="Heading3"/>
      </w:pPr>
      <w:bookmarkStart w:id="2601" w:name="section_ebe8f712db08467bb271aa447682cb84"/>
      <w:bookmarkStart w:id="2602" w:name="_Toc12261361"/>
      <w:r>
        <w:t>Part 1 Section 20.1.8.24, effect (Effect)</w:t>
      </w:r>
      <w:bookmarkEnd w:id="2601"/>
      <w:bookmarkEnd w:id="2602"/>
      <w:r>
        <w:fldChar w:fldCharType="begin"/>
      </w:r>
      <w:r>
        <w:instrText xml:space="preserve"> XE "effect (Effect)" </w:instrText>
      </w:r>
      <w:r>
        <w:fldChar w:fldCharType="end"/>
      </w:r>
    </w:p>
    <w:p w:rsidR="00024C0A" w:rsidRDefault="00694C0F">
      <w:pPr>
        <w:pStyle w:val="Definition-Field"/>
      </w:pPr>
      <w:r>
        <w:t xml:space="preserve">a.   </w:t>
      </w:r>
      <w:r>
        <w:rPr>
          <w:i/>
        </w:rPr>
        <w:t>The standard states that the value of the ref attribute may be the name of an effect container, or one of</w:t>
      </w:r>
      <w:r>
        <w:rPr>
          <w:i/>
        </w:rPr>
        <w:t xml:space="preserve"> four special references.</w:t>
      </w:r>
    </w:p>
    <w:p w:rsidR="00024C0A" w:rsidRDefault="00694C0F">
      <w:pPr>
        <w:pStyle w:val="Definition-Field2"/>
      </w:pPr>
      <w:r>
        <w:t>Office requires this to be the case.</w:t>
      </w:r>
    </w:p>
    <w:p w:rsidR="00024C0A" w:rsidRDefault="00694C0F">
      <w:pPr>
        <w:pStyle w:val="Heading3"/>
      </w:pPr>
      <w:bookmarkStart w:id="2603" w:name="section_3e0414ed4af14d09bdd7cf791c064cea"/>
      <w:bookmarkStart w:id="2604" w:name="_Toc12261362"/>
      <w:r>
        <w:t>Part 1 Section 20.1.8.25, effectDag (Effect Container)</w:t>
      </w:r>
      <w:bookmarkEnd w:id="2603"/>
      <w:bookmarkEnd w:id="2604"/>
      <w:r>
        <w:fldChar w:fldCharType="begin"/>
      </w:r>
      <w:r>
        <w:instrText xml:space="preserve"> XE "effectDag (Effect Container)"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b319fbdd87f44a23833d175e9b2b6539">
        <w:r>
          <w:rPr>
            <w:rStyle w:val="Hyperlink"/>
          </w:rPr>
          <w:t>cont, §20.1.8.20(a)</w:t>
        </w:r>
      </w:hyperlink>
      <w:r>
        <w:rPr>
          <w:i/>
        </w:rPr>
        <w:t>.</w:t>
      </w:r>
    </w:p>
    <w:p w:rsidR="00024C0A" w:rsidRDefault="00694C0F">
      <w:pPr>
        <w:pStyle w:val="Definition-Field"/>
      </w:pPr>
      <w:r>
        <w:lastRenderedPageBreak/>
        <w:t xml:space="preserve">a.   </w:t>
      </w:r>
      <w:r>
        <w:rPr>
          <w:i/>
        </w:rPr>
        <w:t>The standard allows the user to create contradictory shape properties by using similar tags under effectDag and spPr at the same time.</w:t>
      </w:r>
    </w:p>
    <w:p w:rsidR="00024C0A" w:rsidRDefault="00694C0F">
      <w:pPr>
        <w:pStyle w:val="Definition-Field2"/>
      </w:pPr>
      <w:r>
        <w:t xml:space="preserve">In Office, the behavior is unspecified if </w:t>
      </w:r>
      <w:r>
        <w:t>effectDag is used in conjunction with the following sibling elements: blipFill, gradFill, grpFill, noFill, pattFill, solidFill, effectLst.</w:t>
      </w:r>
    </w:p>
    <w:p w:rsidR="00024C0A" w:rsidRDefault="00694C0F">
      <w:pPr>
        <w:pStyle w:val="Heading3"/>
      </w:pPr>
      <w:bookmarkStart w:id="2605" w:name="section_64e56679ddda4bd9a96ae5a17dd569e8"/>
      <w:bookmarkStart w:id="2606" w:name="_Toc12261363"/>
      <w:r>
        <w:t>Part 1 Section 20.1.8.31, fillToRect (Fill To Rectangle)</w:t>
      </w:r>
      <w:bookmarkEnd w:id="2605"/>
      <w:bookmarkEnd w:id="2606"/>
      <w:r>
        <w:fldChar w:fldCharType="begin"/>
      </w:r>
      <w:r>
        <w:instrText xml:space="preserve"> XE "fillToRect (Fill To Rectangle)" </w:instrText>
      </w:r>
      <w:r>
        <w:fldChar w:fldCharType="end"/>
      </w:r>
    </w:p>
    <w:p w:rsidR="00024C0A" w:rsidRDefault="00694C0F">
      <w:pPr>
        <w:pStyle w:val="Definition-Field"/>
      </w:pPr>
      <w:r>
        <w:t xml:space="preserve">a.   </w:t>
      </w:r>
      <w:r>
        <w:rPr>
          <w:i/>
        </w:rPr>
        <w:t>The standard sta</w:t>
      </w:r>
      <w:r>
        <w:rPr>
          <w:i/>
        </w:rPr>
        <w:t>tes that the center shade fills the entire tile except the margins specified by each attribute.</w:t>
      </w:r>
    </w:p>
    <w:p w:rsidR="00024C0A" w:rsidRDefault="00694C0F">
      <w:pPr>
        <w:pStyle w:val="Definition-Field2"/>
      </w:pPr>
      <w:r>
        <w:t>In Office the center shade fills the entire gradient path inscribed in this rectangle.</w:t>
      </w:r>
    </w:p>
    <w:p w:rsidR="00024C0A" w:rsidRDefault="00694C0F">
      <w:pPr>
        <w:pStyle w:val="Definition-Field"/>
      </w:pPr>
      <w:r>
        <w:t xml:space="preserve">b.   </w:t>
      </w:r>
      <w:r>
        <w:rPr>
          <w:i/>
        </w:rPr>
        <w:t>The standard states that the Rectangle is defined relative to the ti</w:t>
      </w:r>
      <w:r>
        <w:rPr>
          <w:i/>
        </w:rPr>
        <w:t>le rect.</w:t>
      </w:r>
    </w:p>
    <w:p w:rsidR="00024C0A" w:rsidRDefault="00694C0F">
      <w:pPr>
        <w:pStyle w:val="Definition-Field2"/>
      </w:pPr>
      <w:r>
        <w:t>In Office the rectangle is defined relative to shape bounding box.</w:t>
      </w:r>
    </w:p>
    <w:p w:rsidR="00024C0A" w:rsidRDefault="00694C0F">
      <w:pPr>
        <w:pStyle w:val="Heading3"/>
      </w:pPr>
      <w:bookmarkStart w:id="2607" w:name="section_f43f30dfc82941f3ba6f52e9ac3b4e20"/>
      <w:bookmarkStart w:id="2608" w:name="_Toc12261364"/>
      <w:r>
        <w:t>Part 1 Section 20.1.8.33, gradFill (Gradient Fill)</w:t>
      </w:r>
      <w:bookmarkEnd w:id="2607"/>
      <w:bookmarkEnd w:id="2608"/>
      <w:r>
        <w:fldChar w:fldCharType="begin"/>
      </w:r>
      <w:r>
        <w:instrText xml:space="preserve"> XE "gradFill (Gradient Fill)" </w:instrText>
      </w:r>
      <w:r>
        <w:fldChar w:fldCharType="end"/>
      </w:r>
    </w:p>
    <w:p w:rsidR="00024C0A" w:rsidRDefault="00694C0F">
      <w:pPr>
        <w:pStyle w:val="Definition-Field"/>
      </w:pPr>
      <w:r>
        <w:t xml:space="preserve">a.   </w:t>
      </w:r>
      <w:r>
        <w:rPr>
          <w:i/>
        </w:rPr>
        <w:t>The standard states that the flip (Tile flip) attribute specifies the direction(s) in which</w:t>
      </w:r>
      <w:r>
        <w:rPr>
          <w:i/>
        </w:rPr>
        <w:t xml:space="preserve"> to flip the gradient while tiling.</w:t>
      </w:r>
    </w:p>
    <w:p w:rsidR="00024C0A" w:rsidRDefault="00694C0F">
      <w:pPr>
        <w:pStyle w:val="Definition-Field2"/>
      </w:pPr>
      <w:r>
        <w:t>In Office the flip (Tile flip) attribute is ignored and flip mode xy is used.</w:t>
      </w:r>
    </w:p>
    <w:p w:rsidR="00024C0A" w:rsidRDefault="00694C0F">
      <w:pPr>
        <w:pStyle w:val="Definition-Field"/>
      </w:pPr>
      <w:r>
        <w:t xml:space="preserve">b.   </w:t>
      </w:r>
      <w:r>
        <w:rPr>
          <w:i/>
        </w:rPr>
        <w:t>The standard states that a gradient fill encompasses the entire bounding box of the shape that contains the fill.</w:t>
      </w:r>
    </w:p>
    <w:p w:rsidR="00024C0A" w:rsidRDefault="00694C0F">
      <w:pPr>
        <w:pStyle w:val="Definition-Field2"/>
      </w:pPr>
      <w:r>
        <w:t>In Office, a gradient f</w:t>
      </w:r>
      <w:r>
        <w:t>ill encompasses a region larger than the bounding box of a shape when the shape contains arrowheads.</w:t>
      </w:r>
    </w:p>
    <w:p w:rsidR="00024C0A" w:rsidRDefault="00694C0F">
      <w:pPr>
        <w:pStyle w:val="Heading3"/>
      </w:pPr>
      <w:bookmarkStart w:id="2609" w:name="section_a3122f27c66143ce90b49d9ab7459565"/>
      <w:bookmarkStart w:id="2610" w:name="_Toc12261365"/>
      <w:r>
        <w:t>Part 1 Section 20.1.8.35, grpFill (Group Fill)</w:t>
      </w:r>
      <w:bookmarkEnd w:id="2609"/>
      <w:bookmarkEnd w:id="2610"/>
      <w:r>
        <w:fldChar w:fldCharType="begin"/>
      </w:r>
      <w:r>
        <w:instrText xml:space="preserve"> XE "grpFill (Group Fill)" </w:instrText>
      </w:r>
      <w:r>
        <w:fldChar w:fldCharType="end"/>
      </w:r>
    </w:p>
    <w:p w:rsidR="00024C0A" w:rsidRDefault="00694C0F">
      <w:pPr>
        <w:pStyle w:val="Definition-Field"/>
      </w:pPr>
      <w:r>
        <w:t xml:space="preserve">a.   </w:t>
      </w:r>
      <w:r>
        <w:rPr>
          <w:i/>
        </w:rPr>
        <w:t>The standard states the grpFill works in all context.</w:t>
      </w:r>
    </w:p>
    <w:p w:rsidR="00024C0A" w:rsidRDefault="00694C0F">
      <w:pPr>
        <w:pStyle w:val="Definition-Field2"/>
      </w:pPr>
      <w:r>
        <w:t xml:space="preserve">Office treats the </w:t>
      </w:r>
      <w:r>
        <w:t>grpFill element as noFill ("</w:t>
      </w:r>
      <w:hyperlink r:id="rId178">
        <w:r>
          <w:rPr>
            <w:rStyle w:val="Hyperlink"/>
          </w:rPr>
          <w:t>[ISO/IEC-29500-1]</w:t>
        </w:r>
      </w:hyperlink>
      <w:r>
        <w:t xml:space="preserve"> §20.1.8.44; noFill") when grpFill appears in a text context (that is as a descendant of defRPr ("[ISO/IEC-29500-1] §21.1.2.3.2; defRPr"), endPar</w:t>
      </w:r>
      <w:r>
        <w:t>aRPr ("[ISO/IEC-29500-1] §21.1.2.2.3; endParaRPr"), or rPr ("[ISO/IEC-29500-1] §21.1.2.3.9; rPr").</w:t>
      </w:r>
    </w:p>
    <w:p w:rsidR="00024C0A" w:rsidRDefault="00694C0F">
      <w:pPr>
        <w:pStyle w:val="Heading3"/>
      </w:pPr>
      <w:bookmarkStart w:id="2611" w:name="section_d5976d9d9727403c8c483560f8a6f016"/>
      <w:bookmarkStart w:id="2612" w:name="_Toc12261366"/>
      <w:r>
        <w:t>Part 1 Section 20.1.8.39, hsl (Hue Saturation Luminance Effect)</w:t>
      </w:r>
      <w:bookmarkEnd w:id="2611"/>
      <w:bookmarkEnd w:id="2612"/>
      <w:r>
        <w:fldChar w:fldCharType="begin"/>
      </w:r>
      <w:r>
        <w:instrText xml:space="preserve"> XE "hsl (Hue Saturation Luminance Effect)" </w:instrText>
      </w:r>
      <w:r>
        <w:fldChar w:fldCharType="end"/>
      </w:r>
    </w:p>
    <w:p w:rsidR="00024C0A" w:rsidRDefault="00694C0F">
      <w:pPr>
        <w:pStyle w:val="Definition-Field"/>
      </w:pPr>
      <w:r>
        <w:t xml:space="preserve">a.   </w:t>
      </w:r>
      <w:r>
        <w:rPr>
          <w:i/>
        </w:rPr>
        <w:t>The standard states that the hue, saturati</w:t>
      </w:r>
      <w:r>
        <w:rPr>
          <w:i/>
        </w:rPr>
        <w:t>on, and luminance may be adjusted relative to its current value.</w:t>
      </w:r>
    </w:p>
    <w:p w:rsidR="00024C0A" w:rsidRDefault="00694C0F">
      <w:pPr>
        <w:pStyle w:val="Definition-Field2"/>
      </w:pPr>
      <w:r>
        <w:t>In Office the hsl element adjusts the value of the hue, saturation, and luminance attributes by specified amounts.</w:t>
      </w:r>
    </w:p>
    <w:p w:rsidR="00024C0A" w:rsidRDefault="00694C0F">
      <w:pPr>
        <w:pStyle w:val="Definition-Field"/>
      </w:pPr>
      <w:r>
        <w:t xml:space="preserve">b.   </w:t>
      </w:r>
      <w:r>
        <w:rPr>
          <w:i/>
        </w:rPr>
        <w:t>The standard states that hue, lum and sat are adjusted by the given per</w:t>
      </w:r>
      <w:r>
        <w:rPr>
          <w:i/>
        </w:rPr>
        <w:t>centage.</w:t>
      </w:r>
    </w:p>
    <w:p w:rsidR="00024C0A" w:rsidRDefault="00694C0F">
      <w:pPr>
        <w:pStyle w:val="Definition-Field2"/>
      </w:pPr>
      <w:r>
        <w:t>Office modulates hue, lum and sat by the given percentage.</w:t>
      </w:r>
    </w:p>
    <w:p w:rsidR="00024C0A" w:rsidRDefault="00694C0F">
      <w:pPr>
        <w:pStyle w:val="Heading3"/>
      </w:pPr>
      <w:bookmarkStart w:id="2613" w:name="section_40e26c9bb6f64409b138d7f40b112d15"/>
      <w:bookmarkStart w:id="2614" w:name="_Toc12261367"/>
      <w:r>
        <w:t>Part 1 Section 20.1.8.40, innerShdw (Inner Shadow Effect)</w:t>
      </w:r>
      <w:bookmarkEnd w:id="2613"/>
      <w:bookmarkEnd w:id="2614"/>
      <w:r>
        <w:fldChar w:fldCharType="begin"/>
      </w:r>
      <w:r>
        <w:instrText xml:space="preserve"> XE "innerShdw (Inner Shadow Effect)" </w:instrText>
      </w:r>
      <w:r>
        <w:fldChar w:fldCharType="end"/>
      </w:r>
    </w:p>
    <w:p w:rsidR="00024C0A" w:rsidRDefault="00694C0F">
      <w:pPr>
        <w:pStyle w:val="Definition-Field"/>
      </w:pPr>
      <w:r>
        <w:t xml:space="preserve">a.   </w:t>
      </w:r>
      <w:r>
        <w:rPr>
          <w:i/>
        </w:rPr>
        <w:t xml:space="preserve">The standard does not specify the frame of reference for the offset angle defined in </w:t>
      </w:r>
      <w:r>
        <w:rPr>
          <w:i/>
        </w:rPr>
        <w:t>the dir attribute.</w:t>
      </w:r>
    </w:p>
    <w:p w:rsidR="00024C0A" w:rsidRDefault="00694C0F">
      <w:pPr>
        <w:pStyle w:val="Definition-Field2"/>
      </w:pPr>
      <w:r>
        <w:t>In Office, the angle defined in the dir attribute is measured clockwise from the left.</w:t>
      </w:r>
    </w:p>
    <w:p w:rsidR="00024C0A" w:rsidRDefault="00694C0F">
      <w:pPr>
        <w:pStyle w:val="Heading3"/>
      </w:pPr>
      <w:bookmarkStart w:id="2615" w:name="section_52c3867f20ad47b1b0c988082bf94676"/>
      <w:bookmarkStart w:id="2616" w:name="_Toc12261368"/>
      <w:r>
        <w:lastRenderedPageBreak/>
        <w:t>Part 1 Section 20.1.8.42, lum (Luminance Effect)</w:t>
      </w:r>
      <w:bookmarkEnd w:id="2615"/>
      <w:bookmarkEnd w:id="2616"/>
      <w:r>
        <w:fldChar w:fldCharType="begin"/>
      </w:r>
      <w:r>
        <w:instrText xml:space="preserve"> XE "lum (Luminance Effect)" </w:instrText>
      </w:r>
      <w:r>
        <w:fldChar w:fldCharType="end"/>
      </w:r>
    </w:p>
    <w:p w:rsidR="00024C0A" w:rsidRDefault="00694C0F">
      <w:pPr>
        <w:pStyle w:val="Definition-Field"/>
      </w:pPr>
      <w:r>
        <w:t xml:space="preserve">a.   </w:t>
      </w:r>
      <w:r>
        <w:rPr>
          <w:i/>
        </w:rPr>
        <w:t>The standard states that brightness linearly shifts all colors cl</w:t>
      </w:r>
      <w:r>
        <w:rPr>
          <w:i/>
        </w:rPr>
        <w:t>oser to white or black and contrast scales all colors to be either closer or further apart.</w:t>
      </w:r>
    </w:p>
    <w:p w:rsidR="00024C0A" w:rsidRDefault="00694C0F">
      <w:pPr>
        <w:pStyle w:val="Definition-Field2"/>
      </w:pPr>
      <w:r>
        <w:t xml:space="preserve">In Office, brightness linearly shifts all colors closer to white (positive brightness), or black (negative brightness) and contrast scales all colors to be further </w:t>
      </w:r>
      <w:r>
        <w:t>apart (positive contrast), or closer together (negative contrast).</w:t>
      </w:r>
    </w:p>
    <w:p w:rsidR="00024C0A" w:rsidRDefault="00694C0F">
      <w:pPr>
        <w:pStyle w:val="Heading3"/>
      </w:pPr>
      <w:bookmarkStart w:id="2617" w:name="section_7bd817fb79cf4789b7334a29f032f5b7"/>
      <w:bookmarkStart w:id="2618" w:name="_Toc12261369"/>
      <w:r>
        <w:t>Part 1 Section 20.1.8.43, miter (Miter Line Join)</w:t>
      </w:r>
      <w:bookmarkEnd w:id="2617"/>
      <w:bookmarkEnd w:id="2618"/>
      <w:r>
        <w:fldChar w:fldCharType="begin"/>
      </w:r>
      <w:r>
        <w:instrText xml:space="preserve"> XE "miter (Miter Line Join)" </w:instrText>
      </w:r>
      <w:r>
        <w:fldChar w:fldCharType="end"/>
      </w:r>
    </w:p>
    <w:p w:rsidR="00024C0A" w:rsidRDefault="00694C0F">
      <w:pPr>
        <w:pStyle w:val="Definition-Field"/>
      </w:pPr>
      <w:r>
        <w:t xml:space="preserve">a.   </w:t>
      </w:r>
      <w:r>
        <w:rPr>
          <w:i/>
        </w:rPr>
        <w:t>The standard suggests that without the lim attribute, line join can extend infinitely.</w:t>
      </w:r>
    </w:p>
    <w:p w:rsidR="00024C0A" w:rsidRDefault="00694C0F">
      <w:pPr>
        <w:pStyle w:val="Definition-Field2"/>
      </w:pPr>
      <w:r>
        <w:t xml:space="preserve">In Office, the </w:t>
      </w:r>
      <w:r>
        <w:t>limit that lines will extend to form a miter join is the maximum distance between the inner and outer corners expressed as a percentage of line width.</w:t>
      </w:r>
    </w:p>
    <w:p w:rsidR="00024C0A" w:rsidRDefault="00694C0F">
      <w:pPr>
        <w:pStyle w:val="Heading3"/>
      </w:pPr>
      <w:bookmarkStart w:id="2619" w:name="section_a3d8cb72c704433b8d5adefc6f0700be"/>
      <w:bookmarkStart w:id="2620" w:name="_Toc12261370"/>
      <w:r>
        <w:t>Part 1 Section 20.1.8.45, outerShdw (Outer Shadow Effect)</w:t>
      </w:r>
      <w:bookmarkEnd w:id="2619"/>
      <w:bookmarkEnd w:id="2620"/>
      <w:r>
        <w:fldChar w:fldCharType="begin"/>
      </w:r>
      <w:r>
        <w:instrText xml:space="preserve"> XE "outerShdw (Outer Shadow Effect)" </w:instrText>
      </w:r>
      <w:r>
        <w:fldChar w:fldCharType="end"/>
      </w:r>
    </w:p>
    <w:p w:rsidR="00024C0A" w:rsidRDefault="00694C0F">
      <w:pPr>
        <w:pStyle w:val="Definition-Field"/>
      </w:pPr>
      <w:r>
        <w:t xml:space="preserve">a.   </w:t>
      </w:r>
      <w:r>
        <w:rPr>
          <w:i/>
        </w:rPr>
        <w:t>Th</w:t>
      </w:r>
      <w:r>
        <w:rPr>
          <w:i/>
        </w:rPr>
        <w:t>e standard does not state that the behavior of the sx and sy attributes depends on the parent container of the effectLst element that contains the outerShdw element.</w:t>
      </w:r>
    </w:p>
    <w:p w:rsidR="00024C0A" w:rsidRDefault="00694C0F">
      <w:pPr>
        <w:pStyle w:val="Definition-Field2"/>
      </w:pPr>
      <w:r>
        <w:t>If the parent element of the effectLst element that contains the outerShdw is an spPr elem</w:t>
      </w:r>
      <w:r>
        <w:t>ent, the shadow will only be rendered if the sx and sy attribute values are 100%. To use any other value, the effectLst must be contained within a grpSpPr element.</w:t>
      </w:r>
    </w:p>
    <w:p w:rsidR="00024C0A" w:rsidRDefault="00694C0F">
      <w:pPr>
        <w:pStyle w:val="Heading3"/>
      </w:pPr>
      <w:bookmarkStart w:id="2621" w:name="section_aa27ed208fbb4d95b9c53427cabd38e0"/>
      <w:bookmarkStart w:id="2622" w:name="_Toc12261371"/>
      <w:r>
        <w:t>Part 1 Section 20.1.8.50, reflection (Reflection Effect)</w:t>
      </w:r>
      <w:bookmarkEnd w:id="2621"/>
      <w:bookmarkEnd w:id="2622"/>
      <w:r>
        <w:fldChar w:fldCharType="begin"/>
      </w:r>
      <w:r>
        <w:instrText xml:space="preserve"> XE "reflection (Reflection Effect)"</w:instrText>
      </w:r>
      <w:r>
        <w:instrText xml:space="preserve"> </w:instrText>
      </w:r>
      <w:r>
        <w:fldChar w:fldCharType="end"/>
      </w:r>
    </w:p>
    <w:p w:rsidR="00024C0A" w:rsidRDefault="00694C0F">
      <w:pPr>
        <w:pStyle w:val="Definition-Field"/>
      </w:pPr>
      <w:r>
        <w:t xml:space="preserve">a.   </w:t>
      </w:r>
      <w:r>
        <w:rPr>
          <w:i/>
        </w:rPr>
        <w:t>The standard states that the algn and dist attributes describe shadow properties.</w:t>
      </w:r>
    </w:p>
    <w:p w:rsidR="00024C0A" w:rsidRDefault="00694C0F">
      <w:pPr>
        <w:pStyle w:val="Definition-Field2"/>
      </w:pPr>
      <w:r>
        <w:t>In Office, the algn and dist attributes describe reflection properties.</w:t>
      </w:r>
    </w:p>
    <w:p w:rsidR="00024C0A" w:rsidRDefault="00694C0F">
      <w:pPr>
        <w:pStyle w:val="Definition-Field"/>
      </w:pPr>
      <w:r>
        <w:t xml:space="preserve">b.   </w:t>
      </w:r>
      <w:r>
        <w:rPr>
          <w:i/>
        </w:rPr>
        <w:t>In the standard the attribute dir specifies the direction of the alpha gradient ramp rel</w:t>
      </w:r>
      <w:r>
        <w:rPr>
          <w:i/>
        </w:rPr>
        <w:t>ative to the shape itself, and the attribute fadeDir specifies the direction to offset the reflection.</w:t>
      </w:r>
    </w:p>
    <w:p w:rsidR="00024C0A" w:rsidRDefault="00694C0F">
      <w:pPr>
        <w:pStyle w:val="Definition-Field2"/>
      </w:pPr>
      <w:r>
        <w:t xml:space="preserve">In Office, the attribute fadeDir specifies the direction of the alpha gradient ramp relative to the shape itself, and attribute dir specifies the </w:t>
      </w:r>
      <w:r>
        <w:t>direction to offset the reflection.</w:t>
      </w:r>
    </w:p>
    <w:p w:rsidR="00024C0A" w:rsidRDefault="00694C0F">
      <w:pPr>
        <w:pStyle w:val="Heading3"/>
      </w:pPr>
      <w:bookmarkStart w:id="2623" w:name="section_562a55eece0a42b9a8ef9df10db1a07e"/>
      <w:bookmarkStart w:id="2624" w:name="_Toc12261372"/>
      <w:r>
        <w:t>Part 1 Section 20.1.8.52, round (Round Line Join)</w:t>
      </w:r>
      <w:bookmarkEnd w:id="2623"/>
      <w:bookmarkEnd w:id="2624"/>
      <w:r>
        <w:fldChar w:fldCharType="begin"/>
      </w:r>
      <w:r>
        <w:instrText xml:space="preserve"> XE "round (Round Line Join)" </w:instrText>
      </w:r>
      <w:r>
        <w:fldChar w:fldCharType="end"/>
      </w:r>
    </w:p>
    <w:p w:rsidR="00024C0A" w:rsidRDefault="00694C0F">
      <w:pPr>
        <w:pStyle w:val="Definition-Field"/>
      </w:pPr>
      <w:r>
        <w:t xml:space="preserve">a.   </w:t>
      </w:r>
      <w:r>
        <w:rPr>
          <w:i/>
        </w:rPr>
        <w:t>The standard states that line joins will be round.</w:t>
      </w:r>
    </w:p>
    <w:p w:rsidR="00024C0A" w:rsidRDefault="00694C0F">
      <w:r>
        <w:t>In Office, the following preset shapes ("</w:t>
      </w:r>
      <w:hyperlink r:id="rId179">
        <w:r>
          <w:rPr>
            <w:rStyle w:val="Hyperlink"/>
          </w:rPr>
          <w:t>[ISO/IEC-29500-1]</w:t>
        </w:r>
      </w:hyperlink>
      <w:r>
        <w:t xml:space="preserve"> §20.1.10.55; ST_ShapeType (Preset Shape Types)") will use a mitered line join ("[ISO/IEC-29500-1] §20.1.8.43; miter (Miter Line Join)") even if round is specified: </w:t>
      </w:r>
    </w:p>
    <w:p w:rsidR="00024C0A" w:rsidRDefault="00694C0F">
      <w:r>
        <w:rPr>
          <w:b/>
        </w:rPr>
        <w:t xml:space="preserve">cube, moon, chevron, ellipseRibbon, </w:t>
      </w:r>
      <w:r>
        <w:rPr>
          <w:b/>
        </w:rPr>
        <w:t>ellipseRibbon2, plus, rightArrow, stripedRightArrow, notchedRightArrow, leftArrowCallout, leftRightArrowCallout, upDownArrowCallout, quadArrowCallout, star4, star5, star8, star10, star12, star16, star24, star32, upArrow, downArrow, upDownArrow, leftUpArrow</w:t>
      </w:r>
      <w:r>
        <w:rPr>
          <w:b/>
        </w:rPr>
        <w:t>, bentUpArrow, mathPlus, mathMinus, mathMultiply, mathEqual, mathNotEqual</w:t>
      </w:r>
    </w:p>
    <w:p w:rsidR="00024C0A" w:rsidRDefault="00694C0F">
      <w:pPr>
        <w:pStyle w:val="Heading3"/>
      </w:pPr>
      <w:bookmarkStart w:id="2625" w:name="section_354bd69568784b22a0779ca05a74e0f0"/>
      <w:bookmarkStart w:id="2626" w:name="_Toc12261373"/>
      <w:r>
        <w:t>Part 1 Section 20.1.8.53, softEdge (Soft Edge Effect)</w:t>
      </w:r>
      <w:bookmarkEnd w:id="2625"/>
      <w:bookmarkEnd w:id="2626"/>
      <w:r>
        <w:fldChar w:fldCharType="begin"/>
      </w:r>
      <w:r>
        <w:instrText xml:space="preserve"> XE "softEdge (Soft Edge Effect)" </w:instrText>
      </w:r>
      <w:r>
        <w:fldChar w:fldCharType="end"/>
      </w:r>
    </w:p>
    <w:p w:rsidR="00024C0A" w:rsidRDefault="00694C0F">
      <w:pPr>
        <w:pStyle w:val="Definition-Field"/>
      </w:pPr>
      <w:r>
        <w:t xml:space="preserve">a.   </w:t>
      </w:r>
      <w:r>
        <w:rPr>
          <w:i/>
        </w:rPr>
        <w:t>The standard states that the softEdge element specifies a soft edge effect where the ed</w:t>
      </w:r>
      <w:r>
        <w:rPr>
          <w:i/>
        </w:rPr>
        <w:t>ges of the shape are blurred while the fill is not affected.</w:t>
      </w:r>
    </w:p>
    <w:p w:rsidR="00024C0A" w:rsidRDefault="00694C0F">
      <w:pPr>
        <w:pStyle w:val="Definition-Field2"/>
      </w:pPr>
      <w:r>
        <w:lastRenderedPageBreak/>
        <w:t>In Office, this element specifies an inset radius for blur.  Only the area between the shape boundary and the inset specified by the rad attribute is affected.</w:t>
      </w:r>
    </w:p>
    <w:p w:rsidR="00024C0A" w:rsidRDefault="00694C0F">
      <w:pPr>
        <w:pStyle w:val="Heading3"/>
      </w:pPr>
      <w:bookmarkStart w:id="2627" w:name="section_842903c3c1f045718bcf1b28677dea13"/>
      <w:bookmarkStart w:id="2628" w:name="_Toc12261374"/>
      <w:r>
        <w:t>Part 1 Section 20.1.8.55, srcRect (</w:t>
      </w:r>
      <w:r>
        <w:t>Source Rectangle)</w:t>
      </w:r>
      <w:bookmarkEnd w:id="2627"/>
      <w:bookmarkEnd w:id="2628"/>
      <w:r>
        <w:fldChar w:fldCharType="begin"/>
      </w:r>
      <w:r>
        <w:instrText xml:space="preserve"> XE "srcRect (Source Rectangle)" </w:instrText>
      </w:r>
      <w:r>
        <w:fldChar w:fldCharType="end"/>
      </w:r>
    </w:p>
    <w:p w:rsidR="00024C0A" w:rsidRDefault="00694C0F">
      <w:pPr>
        <w:pStyle w:val="Definition-Field"/>
      </w:pPr>
      <w:r>
        <w:t xml:space="preserve">a.   </w:t>
      </w:r>
      <w:r>
        <w:rPr>
          <w:i/>
        </w:rPr>
        <w:t>The standard states that a negative percentage specifies an outset.</w:t>
      </w:r>
    </w:p>
    <w:p w:rsidR="00024C0A" w:rsidRDefault="00694C0F">
      <w:pPr>
        <w:pStyle w:val="Definition-Field2"/>
      </w:pPr>
      <w:r>
        <w:t>In Office, a negative offset specifies an outset only if the blip is not tiled.</w:t>
      </w:r>
    </w:p>
    <w:p w:rsidR="00024C0A" w:rsidRDefault="00694C0F">
      <w:pPr>
        <w:pStyle w:val="Heading3"/>
      </w:pPr>
      <w:bookmarkStart w:id="2629" w:name="section_3a5d54a8863b4beb9f0c9fc72fdd0d05"/>
      <w:bookmarkStart w:id="2630" w:name="_Toc12261375"/>
      <w:r>
        <w:t>Part 1 Section 20.1.8.59, tileRect (Tile Rectangle</w:t>
      </w:r>
      <w:r>
        <w:t>)</w:t>
      </w:r>
      <w:bookmarkEnd w:id="2629"/>
      <w:bookmarkEnd w:id="2630"/>
      <w:r>
        <w:fldChar w:fldCharType="begin"/>
      </w:r>
      <w:r>
        <w:instrText xml:space="preserve"> XE "tileRect (Tile Rectangle)" </w:instrText>
      </w:r>
      <w:r>
        <w:fldChar w:fldCharType="end"/>
      </w:r>
    </w:p>
    <w:p w:rsidR="00024C0A" w:rsidRDefault="00694C0F">
      <w:pPr>
        <w:pStyle w:val="Definition-Field"/>
      </w:pPr>
      <w:r>
        <w:t xml:space="preserve">a.   </w:t>
      </w:r>
      <w:r>
        <w:rPr>
          <w:i/>
        </w:rPr>
        <w:t>The standard states that the tileRect element applies to all gradient fills.</w:t>
      </w:r>
    </w:p>
    <w:p w:rsidR="00024C0A" w:rsidRDefault="00694C0F">
      <w:pPr>
        <w:pStyle w:val="Definition-Field2"/>
      </w:pPr>
      <w:r>
        <w:t>In Office, if the gradient is used as a group fill, the tiling rectangle specified by this element is ignored.</w:t>
      </w:r>
    </w:p>
    <w:p w:rsidR="00024C0A" w:rsidRDefault="00694C0F">
      <w:pPr>
        <w:pStyle w:val="Heading3"/>
      </w:pPr>
      <w:bookmarkStart w:id="2631" w:name="section_851cc3e8ab224f5e86d123b0b06d5edd"/>
      <w:bookmarkStart w:id="2632" w:name="_Toc12261376"/>
      <w:r>
        <w:t>Part 1 Section 20.1.9.11, g</w:t>
      </w:r>
      <w:r>
        <w:t>d (Shape Guide)</w:t>
      </w:r>
      <w:bookmarkEnd w:id="2631"/>
      <w:bookmarkEnd w:id="2632"/>
      <w:r>
        <w:fldChar w:fldCharType="begin"/>
      </w:r>
      <w:r>
        <w:instrText xml:space="preserve"> XE "gd (Shape Guide)" </w:instrText>
      </w:r>
      <w:r>
        <w:fldChar w:fldCharType="end"/>
      </w:r>
    </w:p>
    <w:p w:rsidR="00024C0A" w:rsidRDefault="00694C0F">
      <w:pPr>
        <w:pStyle w:val="Definition-Field"/>
      </w:pPr>
      <w:r>
        <w:t xml:space="preserve">a.   </w:t>
      </w:r>
      <w:r>
        <w:rPr>
          <w:i/>
        </w:rPr>
        <w:t>The standard uses incorrect terms and symbols to describe shape guide formula mod in the fmla attribute.</w:t>
      </w:r>
    </w:p>
    <w:p w:rsidR="00024C0A" w:rsidRDefault="00694C0F">
      <w:pPr>
        <w:pStyle w:val="Definition-Field2"/>
      </w:pPr>
      <w:r>
        <w:t>In Office, mod x y z equals sqrt(x^2 + y^2 + z^2).</w:t>
      </w:r>
    </w:p>
    <w:p w:rsidR="00024C0A" w:rsidRDefault="00694C0F">
      <w:pPr>
        <w:pStyle w:val="Definition-Field"/>
      </w:pPr>
      <w:r>
        <w:t xml:space="preserve">b.   </w:t>
      </w:r>
      <w:r>
        <w:rPr>
          <w:i/>
        </w:rPr>
        <w:t>The standard defines sqrt x = sqrt(x) in the fmla</w:t>
      </w:r>
      <w:r>
        <w:rPr>
          <w:i/>
        </w:rPr>
        <w:t xml:space="preserve"> attribute.</w:t>
      </w:r>
    </w:p>
    <w:p w:rsidR="00024C0A" w:rsidRDefault="00694C0F">
      <w:pPr>
        <w:pStyle w:val="Definition-Field2"/>
      </w:pPr>
      <w:r>
        <w:t>In Office, sqrt x = sqrt(abs(x)).</w:t>
      </w:r>
    </w:p>
    <w:p w:rsidR="00024C0A" w:rsidRDefault="00694C0F">
      <w:pPr>
        <w:pStyle w:val="Definition-Field"/>
      </w:pPr>
      <w:r>
        <w:t xml:space="preserve">c.   </w:t>
      </w:r>
      <w:r>
        <w:rPr>
          <w:i/>
        </w:rPr>
        <w:t>The standard does not specify the unit of measurement implied when a trigonometric formula is used in the fmla attribute.</w:t>
      </w:r>
    </w:p>
    <w:p w:rsidR="00024C0A" w:rsidRDefault="00694C0F">
      <w:pPr>
        <w:pStyle w:val="Definition-Field2"/>
      </w:pPr>
      <w:r>
        <w:t xml:space="preserve">In PowerPoint when a trigonometric formula is specified in the fmla attribute, the </w:t>
      </w:r>
      <w:r>
        <w:t>angle is measured in 60000ths of a degree.</w:t>
      </w:r>
    </w:p>
    <w:p w:rsidR="00024C0A" w:rsidRDefault="00694C0F">
      <w:pPr>
        <w:pStyle w:val="Definition-Field"/>
      </w:pPr>
      <w:r>
        <w:t xml:space="preserve">d.   </w:t>
      </w:r>
      <w:r>
        <w:rPr>
          <w:i/>
        </w:rPr>
        <w:t>The standard defines at2 x y = arctan(y/x) in the fmla attribute.</w:t>
      </w:r>
    </w:p>
    <w:p w:rsidR="00024C0A" w:rsidRDefault="00694C0F">
      <w:pPr>
        <w:pStyle w:val="Definition-Field2"/>
      </w:pPr>
      <w:r>
        <w:t>In PowerPoint at2 x y is treated as atan2(y,x) in the fmla attribute.  When y == 0 and x == 0, Powerpoint returns 0.</w:t>
      </w:r>
    </w:p>
    <w:p w:rsidR="00024C0A" w:rsidRDefault="00694C0F">
      <w:pPr>
        <w:pStyle w:val="Heading3"/>
      </w:pPr>
      <w:bookmarkStart w:id="2633" w:name="section_767f312ee0f5471cbbd8dc5181a9bda4"/>
      <w:bookmarkStart w:id="2634" w:name="_Toc12261377"/>
      <w:r>
        <w:t>Part 1 Section 20.1.9.15,</w:t>
      </w:r>
      <w:r>
        <w:t xml:space="preserve"> path (Shape Path)</w:t>
      </w:r>
      <w:bookmarkEnd w:id="2633"/>
      <w:bookmarkEnd w:id="2634"/>
      <w:r>
        <w:fldChar w:fldCharType="begin"/>
      </w:r>
      <w:r>
        <w:instrText xml:space="preserve"> XE "path (Shape Path)" </w:instrText>
      </w:r>
      <w:r>
        <w:fldChar w:fldCharType="end"/>
      </w:r>
    </w:p>
    <w:p w:rsidR="00024C0A" w:rsidRDefault="00694C0F">
      <w:pPr>
        <w:pStyle w:val="Definition-Field"/>
      </w:pPr>
      <w:r>
        <w:t xml:space="preserve">a.   </w:t>
      </w:r>
      <w:r>
        <w:rPr>
          <w:i/>
        </w:rPr>
        <w:t>The standard states that if the extrusionOk attribute is omitted then a value of 0, or false, is assumed.</w:t>
      </w:r>
    </w:p>
    <w:p w:rsidR="00024C0A" w:rsidRDefault="00694C0F">
      <w:pPr>
        <w:pStyle w:val="Definition-Field2"/>
      </w:pPr>
      <w:r>
        <w:t>In Office and the schema, if the extrusionOk attribute is omitted then a value of true is assumed.</w:t>
      </w:r>
    </w:p>
    <w:p w:rsidR="00024C0A" w:rsidRDefault="00694C0F">
      <w:pPr>
        <w:pStyle w:val="Heading3"/>
      </w:pPr>
      <w:bookmarkStart w:id="2635" w:name="section_779d2a7535884516aa765d3aed61ed27"/>
      <w:bookmarkStart w:id="2636" w:name="_Toc12261378"/>
      <w:r>
        <w:t>P</w:t>
      </w:r>
      <w:r>
        <w:t>art 1 Section 20.1.9.17, pos (Shape Position Coordinate)</w:t>
      </w:r>
      <w:bookmarkEnd w:id="2635"/>
      <w:bookmarkEnd w:id="2636"/>
      <w:r>
        <w:fldChar w:fldCharType="begin"/>
      </w:r>
      <w:r>
        <w:instrText xml:space="preserve"> XE "pos (Shape Position Coordinate)" </w:instrText>
      </w:r>
      <w:r>
        <w:fldChar w:fldCharType="end"/>
      </w:r>
    </w:p>
    <w:p w:rsidR="00024C0A" w:rsidRDefault="00694C0F">
      <w:pPr>
        <w:pStyle w:val="Definition-Field"/>
      </w:pPr>
      <w:r>
        <w:t xml:space="preserve">a.   </w:t>
      </w:r>
      <w:r>
        <w:rPr>
          <w:i/>
        </w:rPr>
        <w:t>The standard defines x and y coordinates as path relative coordinates.</w:t>
      </w:r>
    </w:p>
    <w:p w:rsidR="00024C0A" w:rsidRDefault="00694C0F">
      <w:pPr>
        <w:pStyle w:val="Definition-Field2"/>
      </w:pPr>
      <w:r>
        <w:t>Office defines x and y coordinates as absolute EMU coordinates.</w:t>
      </w:r>
    </w:p>
    <w:p w:rsidR="00024C0A" w:rsidRDefault="00694C0F">
      <w:pPr>
        <w:pStyle w:val="Heading3"/>
      </w:pPr>
      <w:bookmarkStart w:id="2637" w:name="section_10ef747bd3a848b8873e665640b6415c"/>
      <w:bookmarkStart w:id="2638" w:name="_Toc12261379"/>
      <w:r>
        <w:t>Part 1 Section 20.1</w:t>
      </w:r>
      <w:r>
        <w:t>.9.20, pt (Shape Path Point)</w:t>
      </w:r>
      <w:bookmarkEnd w:id="2637"/>
      <w:bookmarkEnd w:id="2638"/>
      <w:r>
        <w:fldChar w:fldCharType="begin"/>
      </w:r>
      <w:r>
        <w:instrText xml:space="preserve"> XE "pt (Shape Path Point)"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779d2a7535884516aa765d3aed61ed27">
        <w:r>
          <w:rPr>
            <w:rStyle w:val="Hyperlink"/>
          </w:rPr>
          <w:t>pos, §20.1.9.17(a)</w:t>
        </w:r>
      </w:hyperlink>
      <w:r>
        <w:rPr>
          <w:i/>
        </w:rPr>
        <w:t>.</w:t>
      </w:r>
    </w:p>
    <w:p w:rsidR="00024C0A" w:rsidRDefault="00694C0F">
      <w:pPr>
        <w:pStyle w:val="Heading3"/>
      </w:pPr>
      <w:bookmarkStart w:id="2639" w:name="section_f0051832d96a4fb7a4b7b721e72abfe5"/>
      <w:bookmarkStart w:id="2640" w:name="_Toc12261380"/>
      <w:r>
        <w:lastRenderedPageBreak/>
        <w:t>Part 1 Section 20.1.10.1</w:t>
      </w:r>
      <w:r>
        <w:t>2, ST_BlipCompression (Blip Compression Type)</w:t>
      </w:r>
      <w:bookmarkEnd w:id="2639"/>
      <w:bookmarkEnd w:id="2640"/>
      <w:r>
        <w:fldChar w:fldCharType="begin"/>
      </w:r>
      <w:r>
        <w:instrText xml:space="preserve"> XE "ST_BlipCompression (Blip Compression Type)" </w:instrText>
      </w:r>
      <w:r>
        <w:fldChar w:fldCharType="end"/>
      </w:r>
    </w:p>
    <w:p w:rsidR="00024C0A" w:rsidRDefault="00694C0F">
      <w:pPr>
        <w:pStyle w:val="Definition-Field"/>
      </w:pPr>
      <w:r>
        <w:t xml:space="preserve">a.   </w:t>
      </w:r>
      <w:r>
        <w:rPr>
          <w:i/>
        </w:rPr>
        <w:t>The standard states that ST_BlipCompression includes a high quality printing compression type (hqprint).</w:t>
      </w:r>
    </w:p>
    <w:p w:rsidR="00024C0A" w:rsidRDefault="00694C0F">
      <w:pPr>
        <w:pStyle w:val="Definition-Field2"/>
      </w:pPr>
      <w:r>
        <w:t xml:space="preserve">Office does not implement High Quality Printing </w:t>
      </w:r>
      <w:r>
        <w:t>Compression mode (hqprint).</w:t>
      </w:r>
    </w:p>
    <w:p w:rsidR="00024C0A" w:rsidRDefault="00694C0F">
      <w:pPr>
        <w:pStyle w:val="Heading3"/>
      </w:pPr>
      <w:bookmarkStart w:id="2641" w:name="section_c88ee44d80a447869e0cf0a57bfbe3b2"/>
      <w:bookmarkStart w:id="2642" w:name="_Toc12261381"/>
      <w:r>
        <w:t>Part 1 Section 20.1.10.15, ST_CompoundLine (Compound Line Type)</w:t>
      </w:r>
      <w:bookmarkEnd w:id="2641"/>
      <w:bookmarkEnd w:id="2642"/>
      <w:r>
        <w:fldChar w:fldCharType="begin"/>
      </w:r>
      <w:r>
        <w:instrText xml:space="preserve"> XE "ST_CompoundLine (Compound Line Type)" </w:instrText>
      </w:r>
      <w:r>
        <w:fldChar w:fldCharType="end"/>
      </w:r>
    </w:p>
    <w:p w:rsidR="00024C0A" w:rsidRDefault="00694C0F">
      <w:pPr>
        <w:pStyle w:val="Definition-Field"/>
      </w:pPr>
      <w:r>
        <w:t xml:space="preserve">a.   </w:t>
      </w:r>
      <w:r>
        <w:rPr>
          <w:i/>
        </w:rPr>
        <w:t>The standard implies that the ST_CompoundLine simple type is only applicable to text with lines.</w:t>
      </w:r>
    </w:p>
    <w:p w:rsidR="00024C0A" w:rsidRDefault="00694C0F">
      <w:pPr>
        <w:pStyle w:val="Definition-Field2"/>
      </w:pPr>
      <w:r>
        <w:t xml:space="preserve">Office also uses </w:t>
      </w:r>
      <w:r>
        <w:t>this simple type for text outlines, text underlines and shape outlines.</w:t>
      </w:r>
    </w:p>
    <w:p w:rsidR="00024C0A" w:rsidRDefault="00694C0F">
      <w:pPr>
        <w:pStyle w:val="Heading3"/>
      </w:pPr>
      <w:bookmarkStart w:id="2643" w:name="section_c35b446126a24788a41b0c99a6c691d8"/>
      <w:bookmarkStart w:id="2644" w:name="_Toc12261382"/>
      <w:r>
        <w:t>Part 1 Section 20.1.10.16, ST_Coordinate (Coordinate)</w:t>
      </w:r>
      <w:bookmarkEnd w:id="2643"/>
      <w:bookmarkEnd w:id="2644"/>
      <w:r>
        <w:fldChar w:fldCharType="begin"/>
      </w:r>
      <w:r>
        <w:instrText xml:space="preserve"> XE "ST_Coordinate (Coordinate)" </w:instrText>
      </w:r>
      <w:r>
        <w:fldChar w:fldCharType="end"/>
      </w:r>
    </w:p>
    <w:p w:rsidR="00024C0A" w:rsidRDefault="00694C0F">
      <w:pPr>
        <w:pStyle w:val="Definition-Field"/>
      </w:pPr>
      <w:r>
        <w:t xml:space="preserve">a.   </w:t>
      </w:r>
      <w:r>
        <w:rPr>
          <w:i/>
        </w:rPr>
        <w:t>The standard states that the contents of the ST_Coordinate simple type can be at least -27</w:t>
      </w:r>
      <w:r>
        <w:rPr>
          <w:i/>
        </w:rPr>
        <w:t>273042329600 and at most 27273042316900.</w:t>
      </w:r>
    </w:p>
    <w:p w:rsidR="00024C0A" w:rsidRDefault="00694C0F">
      <w:pPr>
        <w:pStyle w:val="Definition-Field2"/>
      </w:pPr>
      <w:r>
        <w:t>Word and PowerPoint restrict the contents of this simple type to be at least -2147483648 and at most 2147483647.</w:t>
      </w:r>
    </w:p>
    <w:p w:rsidR="00024C0A" w:rsidRDefault="00694C0F">
      <w:pPr>
        <w:pStyle w:val="Definition-Field"/>
      </w:pPr>
      <w:r>
        <w:t xml:space="preserve">b.   </w:t>
      </w:r>
      <w:r>
        <w:rPr>
          <w:i/>
        </w:rPr>
        <w:t>The standard states that ST_Coordinate is read and written as either a length followed by a unit,</w:t>
      </w:r>
      <w:r>
        <w:rPr>
          <w:i/>
        </w:rPr>
        <w:t xml:space="preserve"> or EMUs with no unit present.</w:t>
      </w:r>
    </w:p>
    <w:p w:rsidR="00024C0A" w:rsidRDefault="00694C0F">
      <w:pPr>
        <w:pStyle w:val="Definition-Field2"/>
      </w:pPr>
      <w:r>
        <w:t>Office will read either a length followed by a unit or EMUs with no unit present, but will write only EMUs when no units are present.</w:t>
      </w:r>
    </w:p>
    <w:p w:rsidR="00024C0A" w:rsidRDefault="00694C0F">
      <w:pPr>
        <w:pStyle w:val="Heading3"/>
      </w:pPr>
      <w:bookmarkStart w:id="2645" w:name="section_d79b2e5047154cb09e8cbfe7d87d113d"/>
      <w:bookmarkStart w:id="2646" w:name="_Toc12261383"/>
      <w:r>
        <w:t>Part 1 Section 20.1.10.17, ST_Coordinate32 (Coordinate Point)</w:t>
      </w:r>
      <w:bookmarkEnd w:id="2645"/>
      <w:bookmarkEnd w:id="2646"/>
      <w:r>
        <w:fldChar w:fldCharType="begin"/>
      </w:r>
      <w:r>
        <w:instrText xml:space="preserve"> XE "ST_Coordinate32 (Coordina</w:instrText>
      </w:r>
      <w:r>
        <w:instrText xml:space="preserve">te Point)" </w:instrText>
      </w:r>
      <w:r>
        <w:fldChar w:fldCharType="end"/>
      </w:r>
    </w:p>
    <w:p w:rsidR="00024C0A" w:rsidRDefault="00694C0F">
      <w:pPr>
        <w:pStyle w:val="Definition-Field"/>
      </w:pPr>
      <w:r>
        <w:t xml:space="preserve">a.   </w:t>
      </w:r>
      <w:r>
        <w:rPr>
          <w:i/>
        </w:rPr>
        <w:t>The standard states that ST_Coordinate32 is read and written as either a length followed by a unit, or EMUs with no unit present.</w:t>
      </w:r>
    </w:p>
    <w:p w:rsidR="00024C0A" w:rsidRDefault="00694C0F">
      <w:pPr>
        <w:pStyle w:val="Definition-Field2"/>
      </w:pPr>
      <w:r>
        <w:t xml:space="preserve">Office will read either a length followed by a unit or EMUs with no unit present, but will write only EMUs </w:t>
      </w:r>
      <w:r>
        <w:t>when no units are present.</w:t>
      </w:r>
    </w:p>
    <w:p w:rsidR="00024C0A" w:rsidRDefault="00694C0F">
      <w:pPr>
        <w:pStyle w:val="Heading3"/>
      </w:pPr>
      <w:bookmarkStart w:id="2647" w:name="section_9746bb873dd04c7dae43e3547589def1"/>
      <w:bookmarkStart w:id="2648" w:name="_Toc12261384"/>
      <w:r>
        <w:t>Part 1 Section 20.1.10.21, ST_DrawingElementId (Drawing Element ID)</w:t>
      </w:r>
      <w:bookmarkEnd w:id="2647"/>
      <w:bookmarkEnd w:id="2648"/>
      <w:r>
        <w:fldChar w:fldCharType="begin"/>
      </w:r>
      <w:r>
        <w:instrText xml:space="preserve"> XE "ST_DrawingElementId (Drawing Element ID)" </w:instrText>
      </w:r>
      <w:r>
        <w:fldChar w:fldCharType="end"/>
      </w:r>
    </w:p>
    <w:p w:rsidR="00024C0A" w:rsidRDefault="00694C0F">
      <w:pPr>
        <w:pStyle w:val="Definition-Field"/>
      </w:pPr>
      <w:r>
        <w:t xml:space="preserve">a.   </w:t>
      </w:r>
      <w:r>
        <w:rPr>
          <w:i/>
        </w:rPr>
        <w:t>The standard specifies that the ST_DrawingElementId type is an unsigned 32-bit integer.</w:t>
      </w:r>
    </w:p>
    <w:p w:rsidR="00024C0A" w:rsidRDefault="00694C0F">
      <w:pPr>
        <w:pStyle w:val="Definition-Field2"/>
      </w:pPr>
      <w:r>
        <w:t>Office treats the S</w:t>
      </w:r>
      <w:r>
        <w:t>T_DrawingElementId type as a signed 32-bit integer.</w:t>
      </w:r>
    </w:p>
    <w:p w:rsidR="00024C0A" w:rsidRDefault="00694C0F">
      <w:pPr>
        <w:pStyle w:val="Heading3"/>
      </w:pPr>
      <w:bookmarkStart w:id="2649" w:name="section_caf86f6814a24da395878b7c9b671ba7"/>
      <w:bookmarkStart w:id="2650" w:name="_Toc12261385"/>
      <w:r>
        <w:t>Part 1 Section 20.1.10.24, ST_FixedPercentage (Fixed Percentage)</w:t>
      </w:r>
      <w:bookmarkEnd w:id="2649"/>
      <w:bookmarkEnd w:id="2650"/>
      <w:r>
        <w:fldChar w:fldCharType="begin"/>
      </w:r>
      <w:r>
        <w:instrText xml:space="preserve"> XE "ST_FixedPercentage (Fixed Percentage)" </w:instrText>
      </w:r>
      <w:r>
        <w:fldChar w:fldCharType="end"/>
      </w:r>
    </w:p>
    <w:p w:rsidR="00024C0A" w:rsidRDefault="00694C0F">
      <w:pPr>
        <w:pStyle w:val="Definition-Field"/>
      </w:pPr>
      <w:r>
        <w:t xml:space="preserve">a.   </w:t>
      </w:r>
      <w:r>
        <w:rPr>
          <w:i/>
        </w:rPr>
        <w:t>The standard states that ST_FixedPercentage is read and written as a percent with a trai</w:t>
      </w:r>
      <w:r>
        <w:rPr>
          <w:i/>
        </w:rPr>
        <w:t>ling percent sign.</w:t>
      </w:r>
    </w:p>
    <w:p w:rsidR="00024C0A" w:rsidRDefault="00694C0F">
      <w:pPr>
        <w:pStyle w:val="Definition-Field2"/>
      </w:pPr>
      <w:r>
        <w:t>Office will read percentages formatted with a trailing percent sign or formatted as 1000th of a percent without a trailing percent sign, but only write percentages as 1000th's of a percent without a trailing percent sign.</w:t>
      </w:r>
    </w:p>
    <w:p w:rsidR="00024C0A" w:rsidRDefault="00694C0F">
      <w:pPr>
        <w:pStyle w:val="Heading3"/>
      </w:pPr>
      <w:bookmarkStart w:id="2651" w:name="section_3184709832934157b36a7d48f3d9e56c"/>
      <w:bookmarkStart w:id="2652" w:name="_Toc12261386"/>
      <w:r>
        <w:t xml:space="preserve">Part 1 Section </w:t>
      </w:r>
      <w:r>
        <w:t>20.1.10.29, ST_LightRigDirection (Light Rig Direction)</w:t>
      </w:r>
      <w:bookmarkEnd w:id="2651"/>
      <w:bookmarkEnd w:id="2652"/>
      <w:r>
        <w:fldChar w:fldCharType="begin"/>
      </w:r>
      <w:r>
        <w:instrText xml:space="preserve"> XE "ST_LightRigDirection (Light Rig Direction)" </w:instrText>
      </w:r>
      <w:r>
        <w:fldChar w:fldCharType="end"/>
      </w:r>
    </w:p>
    <w:p w:rsidR="00024C0A" w:rsidRDefault="00694C0F">
      <w:pPr>
        <w:pStyle w:val="Definition-Field"/>
      </w:pPr>
      <w:r>
        <w:t xml:space="preserve">a.   </w:t>
      </w:r>
      <w:r>
        <w:rPr>
          <w:i/>
        </w:rPr>
        <w:t>The standard states that the informative images in this enumeration use a Three Point light rig type with an orthographicFront camera preset.</w:t>
      </w:r>
    </w:p>
    <w:p w:rsidR="00024C0A" w:rsidRDefault="00694C0F">
      <w:pPr>
        <w:pStyle w:val="Definition-Field2"/>
      </w:pPr>
      <w:r>
        <w:t xml:space="preserve">In </w:t>
      </w:r>
      <w:r>
        <w:t>Office, the informative images in this enumeration use a flood light rig type with a perspectiveContrastingRightFacing camera preset.</w:t>
      </w:r>
    </w:p>
    <w:p w:rsidR="00024C0A" w:rsidRDefault="00694C0F">
      <w:pPr>
        <w:pStyle w:val="Heading3"/>
      </w:pPr>
      <w:bookmarkStart w:id="2653" w:name="section_d1735889ad9d47ffa697563a1668319f"/>
      <w:bookmarkStart w:id="2654" w:name="_Toc12261387"/>
      <w:r>
        <w:lastRenderedPageBreak/>
        <w:t>Part 1 Section 20.1.10.30, ST_LightRigType (Light Rig Type)</w:t>
      </w:r>
      <w:bookmarkEnd w:id="2653"/>
      <w:bookmarkEnd w:id="2654"/>
      <w:r>
        <w:fldChar w:fldCharType="begin"/>
      </w:r>
      <w:r>
        <w:instrText xml:space="preserve"> XE "ST_LightRigType (Light Rig Type)" </w:instrText>
      </w:r>
      <w:r>
        <w:fldChar w:fldCharType="end"/>
      </w:r>
    </w:p>
    <w:p w:rsidR="00024C0A" w:rsidRDefault="00694C0F">
      <w:pPr>
        <w:pStyle w:val="Definition-Field"/>
      </w:pPr>
      <w:r>
        <w:t xml:space="preserve">a.   </w:t>
      </w:r>
      <w:r>
        <w:rPr>
          <w:i/>
        </w:rPr>
        <w:t>The standard doe</w:t>
      </w:r>
      <w:r>
        <w:rPr>
          <w:i/>
        </w:rPr>
        <w:t>s not contain an informative example for the balanced value.</w:t>
      </w:r>
    </w:p>
    <w:p w:rsidR="00024C0A" w:rsidRDefault="00694C0F">
      <w:r>
        <w:t>In Office, the balanced enumeration value produces the following result:</w:t>
      </w:r>
    </w:p>
    <w:p w:rsidR="00024C0A" w:rsidRDefault="00694C0F">
      <w:r>
        <w:t xml:space="preserve">[Example:  Consider the following example of the </w:t>
      </w:r>
      <w:r>
        <w:rPr>
          <w:rStyle w:val="InlineCode"/>
        </w:rPr>
        <w:t>balanced</w:t>
      </w:r>
      <w:r>
        <w:t xml:space="preserve"> light rig applied to a basic shape:</w:t>
      </w:r>
    </w:p>
    <w:p w:rsidR="00024C0A" w:rsidRDefault="00694C0F">
      <w:r>
        <w:rPr>
          <w:noProof/>
        </w:rPr>
        <w:drawing>
          <wp:inline distT="0" distB="0" distL="0" distR="0">
            <wp:extent cx="1314450" cy="1609725"/>
            <wp:effectExtent l="0" t="0" r="0" b="0"/>
            <wp:docPr id="22" name="Picture 1" descr="3D rectangular object is lit evenly across its face, with highlights blending into dark shadow along the edges" title="Rectangular object lit by balanced light 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acd01bd-0000-0000-0000-000000000000" descr="3D rectangular object is lit evenly across its face, with highlights blending into dark shadow along the edges" title="Rectangular object lit by balanced light rig"/>
                    <pic:cNvPicPr>
                      <a:picLocks noChangeAspect="1" noChangeArrowheads="1"/>
                    </pic:cNvPicPr>
                  </pic:nvPicPr>
                  <pic:blipFill>
                    <a:blip r:embed="rId180" cstate="print"/>
                    <a:srcRect/>
                    <a:stretch>
                      <a:fillRect/>
                    </a:stretch>
                  </pic:blipFill>
                  <pic:spPr bwMode="auto">
                    <a:xfrm>
                      <a:off x="0" y="0"/>
                      <a:ext cx="1314450" cy="1609725"/>
                    </a:xfrm>
                    <a:prstGeom prst="rect">
                      <a:avLst/>
                    </a:prstGeom>
                    <a:noFill/>
                    <a:ln w="9525">
                      <a:noFill/>
                      <a:miter lim="800000"/>
                      <a:headEnd/>
                      <a:tailEnd/>
                    </a:ln>
                  </pic:spPr>
                </pic:pic>
              </a:graphicData>
            </a:graphic>
          </wp:inline>
        </w:drawing>
      </w:r>
    </w:p>
    <w:p w:rsidR="00024C0A" w:rsidRDefault="00694C0F">
      <w:r>
        <w:t>end example]</w:t>
      </w:r>
    </w:p>
    <w:p w:rsidR="00024C0A" w:rsidRDefault="00694C0F">
      <w:pPr>
        <w:pStyle w:val="Heading3"/>
      </w:pPr>
      <w:bookmarkStart w:id="2655" w:name="section_2c49c5bfec714f76a22b92291c03a33c"/>
      <w:bookmarkStart w:id="2656" w:name="_Toc12261388"/>
      <w:r>
        <w:t>Part 1 Section 20.1.10.32, ST_LineEndLength (Line End Length)</w:t>
      </w:r>
      <w:bookmarkEnd w:id="2655"/>
      <w:bookmarkEnd w:id="2656"/>
      <w:r>
        <w:fldChar w:fldCharType="begin"/>
      </w:r>
      <w:r>
        <w:instrText xml:space="preserve"> XE "ST_LineEndLength (Line End Length)" </w:instrText>
      </w:r>
      <w:r>
        <w:fldChar w:fldCharType="end"/>
      </w:r>
    </w:p>
    <w:p w:rsidR="00024C0A" w:rsidRDefault="00694C0F">
      <w:pPr>
        <w:pStyle w:val="Definition-Field"/>
      </w:pPr>
      <w:r>
        <w:t xml:space="preserve">a.   </w:t>
      </w:r>
      <w:r>
        <w:rPr>
          <w:i/>
        </w:rPr>
        <w:t>The standard provides identical pictures for the images associated with the med and sm enumeration values.</w:t>
      </w:r>
    </w:p>
    <w:p w:rsidR="00024C0A" w:rsidRDefault="00694C0F">
      <w:r>
        <w:t>In Office, the enumeration values produ</w:t>
      </w:r>
      <w:r>
        <w:t>ce the following results for the line end decoration:</w:t>
      </w:r>
    </w:p>
    <w:tbl>
      <w:tblPr>
        <w:tblStyle w:val="Table-ShadedHeader"/>
        <w:tblW w:w="0" w:type="auto"/>
        <w:tblLook w:val="04A0" w:firstRow="1" w:lastRow="0" w:firstColumn="1" w:lastColumn="0" w:noHBand="0" w:noVBand="1"/>
      </w:tblPr>
      <w:tblGrid>
        <w:gridCol w:w="1940"/>
        <w:gridCol w:w="167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Enumeration Value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lg</w:t>
            </w:r>
            <w:r>
              <w:t xml:space="preserve"> (Large)</w:t>
            </w:r>
          </w:p>
        </w:tc>
        <w:tc>
          <w:tcPr>
            <w:tcW w:w="0" w:type="auto"/>
            <w:vAlign w:val="center"/>
          </w:tcPr>
          <w:p w:rsidR="00024C0A" w:rsidRDefault="00694C0F">
            <w:pPr>
              <w:pStyle w:val="TableBodyText"/>
            </w:pPr>
            <w:r>
              <w:rPr>
                <w:noProof/>
              </w:rPr>
              <w:drawing>
                <wp:inline distT="0" distB="0" distL="0" distR="0">
                  <wp:extent cx="581025" cy="542925"/>
                  <wp:effectExtent l="0" t="0" r="0" b="0"/>
                  <wp:docPr id="342015687" name="Picture 1" descr="Large sized arrow head line end" title="Large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b-0000-0000-0000-000000000000" descr="Large sized arrow head line end" title="Large arrow line end"/>
                          <pic:cNvPicPr>
                            <a:picLocks noChangeAspect="1" noChangeArrowheads="1"/>
                          </pic:cNvPicPr>
                        </pic:nvPicPr>
                        <pic:blipFill>
                          <a:blip r:embed="rId181" cstate="print"/>
                          <a:srcRect/>
                          <a:stretch>
                            <a:fillRect/>
                          </a:stretch>
                        </pic:blipFill>
                        <pic:spPr bwMode="auto">
                          <a:xfrm>
                            <a:off x="0" y="0"/>
                            <a:ext cx="581025" cy="542925"/>
                          </a:xfrm>
                          <a:prstGeom prst="rect">
                            <a:avLst/>
                          </a:prstGeom>
                          <a:noFill/>
                          <a:ln w="9525">
                            <a:noFill/>
                            <a:miter lim="800000"/>
                            <a:headEnd/>
                            <a:tailEnd/>
                          </a:ln>
                        </pic:spPr>
                      </pic:pic>
                    </a:graphicData>
                  </a:graphic>
                </wp:inline>
              </w:drawing>
            </w:r>
            <w:r>
              <w:t>Large</w:t>
            </w:r>
          </w:p>
        </w:tc>
      </w:tr>
      <w:tr w:rsidR="00024C0A" w:rsidTr="00024C0A">
        <w:tc>
          <w:tcPr>
            <w:tcW w:w="0" w:type="auto"/>
            <w:vAlign w:val="center"/>
          </w:tcPr>
          <w:p w:rsidR="00024C0A" w:rsidRDefault="00694C0F">
            <w:pPr>
              <w:pStyle w:val="TableBodyText"/>
            </w:pPr>
            <w:r>
              <w:rPr>
                <w:b/>
              </w:rPr>
              <w:t>med</w:t>
            </w:r>
            <w:r>
              <w:t xml:space="preserve"> (Medium)</w:t>
            </w:r>
          </w:p>
        </w:tc>
        <w:tc>
          <w:tcPr>
            <w:tcW w:w="0" w:type="auto"/>
            <w:vAlign w:val="center"/>
          </w:tcPr>
          <w:p w:rsidR="00024C0A" w:rsidRDefault="00694C0F">
            <w:pPr>
              <w:pStyle w:val="TableBodyText"/>
            </w:pPr>
            <w:r>
              <w:rPr>
                <w:noProof/>
              </w:rPr>
              <w:drawing>
                <wp:inline distT="0" distB="0" distL="0" distR="0">
                  <wp:extent cx="514350" cy="390525"/>
                  <wp:effectExtent l="0" t="0" r="0" b="0"/>
                  <wp:docPr id="342015688" name="Picture 1" descr="Medium sized arrow head line end" title="Medium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8-0000-0000-0000-000000000000" descr="Medium sized arrow head line end" title="Medium arrow line end"/>
                          <pic:cNvPicPr>
                            <a:picLocks noChangeAspect="1" noChangeArrowheads="1"/>
                          </pic:cNvPicPr>
                        </pic:nvPicPr>
                        <pic:blipFill>
                          <a:blip r:embed="rId182" cstate="print"/>
                          <a:srcRect/>
                          <a:stretch>
                            <a:fillRect/>
                          </a:stretch>
                        </pic:blipFill>
                        <pic:spPr bwMode="auto">
                          <a:xfrm>
                            <a:off x="0" y="0"/>
                            <a:ext cx="514350" cy="390525"/>
                          </a:xfrm>
                          <a:prstGeom prst="rect">
                            <a:avLst/>
                          </a:prstGeom>
                          <a:noFill/>
                          <a:ln w="9525">
                            <a:noFill/>
                            <a:miter lim="800000"/>
                            <a:headEnd/>
                            <a:tailEnd/>
                          </a:ln>
                        </pic:spPr>
                      </pic:pic>
                    </a:graphicData>
                  </a:graphic>
                </wp:inline>
              </w:drawing>
            </w:r>
            <w:r>
              <w:t>Medium</w:t>
            </w:r>
          </w:p>
        </w:tc>
      </w:tr>
      <w:tr w:rsidR="00024C0A" w:rsidTr="00024C0A">
        <w:tc>
          <w:tcPr>
            <w:tcW w:w="0" w:type="auto"/>
            <w:vAlign w:val="center"/>
          </w:tcPr>
          <w:p w:rsidR="00024C0A" w:rsidRDefault="00694C0F">
            <w:pPr>
              <w:pStyle w:val="TableBodyText"/>
            </w:pPr>
            <w:r>
              <w:rPr>
                <w:b/>
              </w:rPr>
              <w:t>sm</w:t>
            </w:r>
            <w:r>
              <w:t xml:space="preserve"> (Small)</w:t>
            </w:r>
          </w:p>
        </w:tc>
        <w:tc>
          <w:tcPr>
            <w:tcW w:w="0" w:type="auto"/>
            <w:vAlign w:val="center"/>
          </w:tcPr>
          <w:p w:rsidR="00024C0A" w:rsidRDefault="00694C0F">
            <w:pPr>
              <w:pStyle w:val="TableBodyText"/>
            </w:pPr>
            <w:r>
              <w:rPr>
                <w:noProof/>
              </w:rPr>
              <w:drawing>
                <wp:inline distT="0" distB="0" distL="0" distR="0">
                  <wp:extent cx="466724" cy="295275"/>
                  <wp:effectExtent l="0" t="0" r="0" b="0"/>
                  <wp:docPr id="342015689" name="Picture 1" descr="Small sized arrow head line end" title="Small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9-0000-0000-0000-000000000000" descr="Small sized arrow head line end" title="Small arrow line end"/>
                          <pic:cNvPicPr>
                            <a:picLocks noChangeAspect="1" noChangeArrowheads="1"/>
                          </pic:cNvPicPr>
                        </pic:nvPicPr>
                        <pic:blipFill>
                          <a:blip r:embed="rId183" cstate="print"/>
                          <a:srcRect/>
                          <a:stretch>
                            <a:fillRect/>
                          </a:stretch>
                        </pic:blipFill>
                        <pic:spPr bwMode="auto">
                          <a:xfrm>
                            <a:off x="0" y="0"/>
                            <a:ext cx="466724" cy="295275"/>
                          </a:xfrm>
                          <a:prstGeom prst="rect">
                            <a:avLst/>
                          </a:prstGeom>
                          <a:noFill/>
                          <a:ln w="9525">
                            <a:noFill/>
                            <a:miter lim="800000"/>
                            <a:headEnd/>
                            <a:tailEnd/>
                          </a:ln>
                        </pic:spPr>
                      </pic:pic>
                    </a:graphicData>
                  </a:graphic>
                </wp:inline>
              </w:drawing>
            </w:r>
            <w:r>
              <w:t>Small</w:t>
            </w:r>
          </w:p>
        </w:tc>
      </w:tr>
    </w:tbl>
    <w:p w:rsidR="00024C0A" w:rsidRDefault="00024C0A"/>
    <w:p w:rsidR="00024C0A" w:rsidRDefault="00694C0F">
      <w:pPr>
        <w:pStyle w:val="Heading3"/>
      </w:pPr>
      <w:bookmarkStart w:id="2657" w:name="section_5550378cb28d4a11ab1e6c6a64630186"/>
      <w:bookmarkStart w:id="2658" w:name="_Toc12261389"/>
      <w:r>
        <w:t>Part 1 Section 20.1.10.35, ST_LineWidth (Line Width)</w:t>
      </w:r>
      <w:bookmarkEnd w:id="2657"/>
      <w:bookmarkEnd w:id="2658"/>
      <w:r>
        <w:fldChar w:fldCharType="begin"/>
      </w:r>
      <w:r>
        <w:instrText xml:space="preserve"> XE "ST_LineWidth (Line Width)" </w:instrText>
      </w:r>
      <w:r>
        <w:fldChar w:fldCharType="end"/>
      </w:r>
    </w:p>
    <w:p w:rsidR="00024C0A" w:rsidRDefault="00694C0F">
      <w:pPr>
        <w:pStyle w:val="Definition-Field"/>
      </w:pPr>
      <w:r>
        <w:t xml:space="preserve">a.   </w:t>
      </w:r>
      <w:r>
        <w:rPr>
          <w:i/>
        </w:rPr>
        <w:t xml:space="preserve">The standard does </w:t>
      </w:r>
      <w:r>
        <w:rPr>
          <w:i/>
        </w:rPr>
        <w:t>not explain how a zero-width line will be rendered.</w:t>
      </w:r>
    </w:p>
    <w:p w:rsidR="00024C0A" w:rsidRDefault="00694C0F">
      <w:pPr>
        <w:pStyle w:val="Definition-Field2"/>
      </w:pPr>
      <w:r>
        <w:t>In Office, a zero width line is interpreted as the minimum width line that can be rendered on the target device.</w:t>
      </w:r>
    </w:p>
    <w:p w:rsidR="00024C0A" w:rsidRDefault="00694C0F">
      <w:pPr>
        <w:pStyle w:val="Heading3"/>
      </w:pPr>
      <w:bookmarkStart w:id="2659" w:name="section_bada29963fd44b83988292e14d6f9c7d"/>
      <w:bookmarkStart w:id="2660" w:name="_Toc12261390"/>
      <w:r>
        <w:t>Part 1 Section 20.1.10.37, ST_PathFillMode (Path Fill Mode)</w:t>
      </w:r>
      <w:bookmarkEnd w:id="2659"/>
      <w:bookmarkEnd w:id="2660"/>
      <w:r>
        <w:fldChar w:fldCharType="begin"/>
      </w:r>
      <w:r>
        <w:instrText xml:space="preserve"> XE "ST_PathFillMode (Path Fill </w:instrText>
      </w:r>
      <w:r>
        <w:instrText xml:space="preserve">Mode)" </w:instrText>
      </w:r>
      <w:r>
        <w:fldChar w:fldCharType="end"/>
      </w:r>
    </w:p>
    <w:p w:rsidR="00024C0A" w:rsidRDefault="00694C0F">
      <w:pPr>
        <w:pStyle w:val="Definition-Field"/>
      </w:pPr>
      <w:r>
        <w:t xml:space="preserve">a.   </w:t>
      </w:r>
      <w:r>
        <w:rPr>
          <w:i/>
        </w:rPr>
        <w:t>The standard does not describe how the darken, darkenLess, lighten and lightenLess enumerations are calculated.</w:t>
      </w:r>
    </w:p>
    <w:p w:rsidR="00024C0A" w:rsidRDefault="00694C0F">
      <w:r>
        <w:lastRenderedPageBreak/>
        <w:t>Office implements a specific set of calculations for the darken, darkenLess, lighten and lightenLess enumeration values, as descr</w:t>
      </w:r>
      <w:r>
        <w:t>ibed in the following table:</w:t>
      </w:r>
    </w:p>
    <w:tbl>
      <w:tblPr>
        <w:tblStyle w:val="Table-ShadedHeader"/>
        <w:tblW w:w="0" w:type="auto"/>
        <w:tblLook w:val="04A0" w:firstRow="1" w:lastRow="0" w:firstColumn="1" w:lastColumn="0" w:noHBand="0" w:noVBand="1"/>
      </w:tblPr>
      <w:tblGrid>
        <w:gridCol w:w="2950"/>
        <w:gridCol w:w="6525"/>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Enumeration Value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darken</w:t>
            </w:r>
            <w:r>
              <w:t xml:space="preserve"> (Darken Path Fill)</w:t>
            </w:r>
          </w:p>
        </w:tc>
        <w:tc>
          <w:tcPr>
            <w:tcW w:w="0" w:type="auto"/>
            <w:vAlign w:val="center"/>
          </w:tcPr>
          <w:p w:rsidR="00024C0A" w:rsidRDefault="00694C0F">
            <w:pPr>
              <w:pStyle w:val="TableBodyText"/>
            </w:pPr>
            <w:r>
              <w:t>This specifies that the corresponding path should have its fill blended with 40% black.</w:t>
            </w:r>
          </w:p>
        </w:tc>
      </w:tr>
      <w:tr w:rsidR="00024C0A" w:rsidTr="00024C0A">
        <w:tc>
          <w:tcPr>
            <w:tcW w:w="0" w:type="auto"/>
            <w:vAlign w:val="center"/>
          </w:tcPr>
          <w:p w:rsidR="00024C0A" w:rsidRDefault="00694C0F">
            <w:pPr>
              <w:pStyle w:val="TableBodyText"/>
            </w:pPr>
            <w:r>
              <w:rPr>
                <w:b/>
              </w:rPr>
              <w:t>darkenLess</w:t>
            </w:r>
            <w:r>
              <w:t xml:space="preserve"> (Darken Path Fill Less)</w:t>
            </w:r>
          </w:p>
        </w:tc>
        <w:tc>
          <w:tcPr>
            <w:tcW w:w="0" w:type="auto"/>
            <w:vAlign w:val="center"/>
          </w:tcPr>
          <w:p w:rsidR="00024C0A" w:rsidRDefault="00694C0F">
            <w:pPr>
              <w:pStyle w:val="TableBodyText"/>
            </w:pPr>
            <w:r>
              <w:t>This specifies that the corresponding path sho</w:t>
            </w:r>
            <w:r>
              <w:t>uld have its fill blended with 20% black.</w:t>
            </w:r>
          </w:p>
        </w:tc>
      </w:tr>
      <w:tr w:rsidR="00024C0A" w:rsidTr="00024C0A">
        <w:tc>
          <w:tcPr>
            <w:tcW w:w="0" w:type="auto"/>
            <w:vAlign w:val="center"/>
          </w:tcPr>
          <w:p w:rsidR="00024C0A" w:rsidRDefault="00694C0F">
            <w:pPr>
              <w:pStyle w:val="TableBodyText"/>
            </w:pPr>
            <w:r>
              <w:rPr>
                <w:b/>
              </w:rPr>
              <w:t>lighten</w:t>
            </w:r>
            <w:r>
              <w:t xml:space="preserve"> (Lighten Path Fill)</w:t>
            </w:r>
          </w:p>
        </w:tc>
        <w:tc>
          <w:tcPr>
            <w:tcW w:w="0" w:type="auto"/>
            <w:vAlign w:val="center"/>
          </w:tcPr>
          <w:p w:rsidR="00024C0A" w:rsidRDefault="00694C0F">
            <w:pPr>
              <w:pStyle w:val="TableBodyText"/>
            </w:pPr>
            <w:r>
              <w:t>This specifies that the corresponding path should have its fill blended with 40% white.</w:t>
            </w:r>
          </w:p>
        </w:tc>
      </w:tr>
      <w:tr w:rsidR="00024C0A" w:rsidTr="00024C0A">
        <w:tc>
          <w:tcPr>
            <w:tcW w:w="0" w:type="auto"/>
            <w:vAlign w:val="center"/>
          </w:tcPr>
          <w:p w:rsidR="00024C0A" w:rsidRDefault="00694C0F">
            <w:pPr>
              <w:pStyle w:val="TableBodyText"/>
            </w:pPr>
            <w:r>
              <w:rPr>
                <w:b/>
              </w:rPr>
              <w:t>lightenLess</w:t>
            </w:r>
            <w:r>
              <w:t xml:space="preserve"> (Lighten Path Fill Less)</w:t>
            </w:r>
          </w:p>
        </w:tc>
        <w:tc>
          <w:tcPr>
            <w:tcW w:w="0" w:type="auto"/>
            <w:vAlign w:val="center"/>
          </w:tcPr>
          <w:p w:rsidR="00024C0A" w:rsidRDefault="00694C0F">
            <w:pPr>
              <w:pStyle w:val="TableBodyText"/>
            </w:pPr>
            <w:r>
              <w:t xml:space="preserve">This specifies that the corresponding path should have its </w:t>
            </w:r>
            <w:r>
              <w:t>fill blended with 20% white.</w:t>
            </w:r>
          </w:p>
        </w:tc>
      </w:tr>
    </w:tbl>
    <w:p w:rsidR="00024C0A" w:rsidRDefault="00024C0A"/>
    <w:p w:rsidR="00024C0A" w:rsidRDefault="00694C0F">
      <w:pPr>
        <w:pStyle w:val="Heading3"/>
      </w:pPr>
      <w:bookmarkStart w:id="2661" w:name="section_b3bbaebcf2ca4a799efdec0d1d3c6d9c"/>
      <w:bookmarkStart w:id="2662" w:name="_Toc12261391"/>
      <w:r>
        <w:t>Part 1 Section 20.1.10.39, ST_PenAlignment (Alignment Type)</w:t>
      </w:r>
      <w:bookmarkEnd w:id="2661"/>
      <w:bookmarkEnd w:id="2662"/>
      <w:r>
        <w:fldChar w:fldCharType="begin"/>
      </w:r>
      <w:r>
        <w:instrText xml:space="preserve"> XE "ST_PenAlignment (Alignment Type)" </w:instrText>
      </w:r>
      <w:r>
        <w:fldChar w:fldCharType="end"/>
      </w:r>
    </w:p>
    <w:p w:rsidR="00024C0A" w:rsidRDefault="00694C0F">
      <w:pPr>
        <w:pStyle w:val="Definition-Field"/>
      </w:pPr>
      <w:r>
        <w:t xml:space="preserve">a.   </w:t>
      </w:r>
      <w:r>
        <w:rPr>
          <w:i/>
        </w:rPr>
        <w:t>The standard implies that the ST_PenAlignment simple type is only used within a text body.</w:t>
      </w:r>
    </w:p>
    <w:p w:rsidR="00024C0A" w:rsidRDefault="00694C0F">
      <w:pPr>
        <w:pStyle w:val="Definition-Field2"/>
      </w:pPr>
      <w:r>
        <w:t>Office uses this simple type</w:t>
      </w:r>
      <w:r>
        <w:t xml:space="preserve"> for lines on text, shapes, and other graphical objects.</w:t>
      </w:r>
    </w:p>
    <w:p w:rsidR="00024C0A" w:rsidRDefault="00694C0F">
      <w:pPr>
        <w:pStyle w:val="Heading3"/>
      </w:pPr>
      <w:bookmarkStart w:id="2663" w:name="section_ff18a37e9bd743389c371e285b5a5dd2"/>
      <w:bookmarkStart w:id="2664" w:name="_Toc12261392"/>
      <w:r>
        <w:t>Part 1 Section 20.1.10.40, ST_Percentage (Percentage)</w:t>
      </w:r>
      <w:bookmarkEnd w:id="2663"/>
      <w:bookmarkEnd w:id="2664"/>
      <w:r>
        <w:fldChar w:fldCharType="begin"/>
      </w:r>
      <w:r>
        <w:instrText xml:space="preserve"> XE "ST_Percentage (Percentage)" </w:instrText>
      </w:r>
      <w:r>
        <w:fldChar w:fldCharType="end"/>
      </w:r>
    </w:p>
    <w:p w:rsidR="00024C0A" w:rsidRDefault="00694C0F">
      <w:pPr>
        <w:pStyle w:val="Definition-Field"/>
      </w:pPr>
      <w:r>
        <w:t xml:space="preserve">a.   </w:t>
      </w:r>
      <w:r>
        <w:rPr>
          <w:i/>
        </w:rPr>
        <w:t>The standard states that ST_Percentage is read and written as a percent with a trailing percent sign.</w:t>
      </w:r>
    </w:p>
    <w:p w:rsidR="00024C0A" w:rsidRDefault="00694C0F">
      <w:pPr>
        <w:pStyle w:val="Definition-Field2"/>
      </w:pPr>
      <w:r>
        <w:t>Off</w:t>
      </w:r>
      <w:r>
        <w:t>ice will read percentages formatted with a trailing percent sign or formatted as 1000th of a percent without a trailing percent sign, but only write percentages as 1000th's of a percent without a trailing percent sign.</w:t>
      </w:r>
    </w:p>
    <w:p w:rsidR="00024C0A" w:rsidRDefault="00694C0F">
      <w:pPr>
        <w:pStyle w:val="Heading3"/>
      </w:pPr>
      <w:bookmarkStart w:id="2665" w:name="section_518012ebe873450781192c51bf1081ed"/>
      <w:bookmarkStart w:id="2666" w:name="_Toc12261393"/>
      <w:r>
        <w:t>Part 1 Section 20.1.10.41, ST_Positiv</w:t>
      </w:r>
      <w:r>
        <w:t>eCoordinate (Positive Coordinate)</w:t>
      </w:r>
      <w:bookmarkEnd w:id="2665"/>
      <w:bookmarkEnd w:id="2666"/>
      <w:r>
        <w:fldChar w:fldCharType="begin"/>
      </w:r>
      <w:r>
        <w:instrText xml:space="preserve"> XE "ST_PositiveCoordinate (Positive Coordinate)" </w:instrText>
      </w:r>
      <w:r>
        <w:fldChar w:fldCharType="end"/>
      </w:r>
    </w:p>
    <w:p w:rsidR="00024C0A" w:rsidRDefault="00694C0F">
      <w:pPr>
        <w:pStyle w:val="Definition-Field"/>
      </w:pPr>
      <w:r>
        <w:t xml:space="preserve">a.   </w:t>
      </w:r>
      <w:r>
        <w:rPr>
          <w:i/>
        </w:rPr>
        <w:t>The standard states that the contents of the ST_PositiveCoordinate simple type can be at most 27273042316900.</w:t>
      </w:r>
    </w:p>
    <w:p w:rsidR="00024C0A" w:rsidRDefault="00694C0F">
      <w:pPr>
        <w:pStyle w:val="Definition-Field2"/>
      </w:pPr>
      <w:r>
        <w:t>Word and PowerPoint restrict the contents of this simpl</w:t>
      </w:r>
      <w:r>
        <w:t>e type to be at most 2147483647.</w:t>
      </w:r>
    </w:p>
    <w:p w:rsidR="00024C0A" w:rsidRDefault="00694C0F">
      <w:pPr>
        <w:pStyle w:val="Heading3"/>
      </w:pPr>
      <w:bookmarkStart w:id="2667" w:name="section_1c25f0efb87947f0af0cb1b0d40f7d05"/>
      <w:bookmarkStart w:id="2668" w:name="_Toc12261394"/>
      <w:r>
        <w:t>Part 1 Section 20.1.10.44, ST_PositiveFixedPercentage (Positive Fixed Percentage)</w:t>
      </w:r>
      <w:bookmarkEnd w:id="2667"/>
      <w:bookmarkEnd w:id="2668"/>
      <w:r>
        <w:fldChar w:fldCharType="begin"/>
      </w:r>
      <w:r>
        <w:instrText xml:space="preserve"> XE "ST_PositiveFixedPercentage (Positive Fixed Percentage)" </w:instrText>
      </w:r>
      <w:r>
        <w:fldChar w:fldCharType="end"/>
      </w:r>
    </w:p>
    <w:p w:rsidR="00024C0A" w:rsidRDefault="00694C0F">
      <w:pPr>
        <w:pStyle w:val="Definition-Field"/>
      </w:pPr>
      <w:r>
        <w:t xml:space="preserve">a.   </w:t>
      </w:r>
      <w:r>
        <w:rPr>
          <w:i/>
        </w:rPr>
        <w:t>The standard states that ST_PositiveFixedPercentage is read and written a</w:t>
      </w:r>
      <w:r>
        <w:rPr>
          <w:i/>
        </w:rPr>
        <w:t>s a percent with a trailing percent sign.</w:t>
      </w:r>
    </w:p>
    <w:p w:rsidR="00024C0A" w:rsidRDefault="00694C0F">
      <w:pPr>
        <w:pStyle w:val="Definition-Field2"/>
      </w:pPr>
      <w:r>
        <w:t>Office will read percentages formatted with a trailing percent sign or formatted as 1000th of a percent without a trailing percent sign, but only write percentages as 1000th's of a percent without a trailing percen</w:t>
      </w:r>
      <w:r>
        <w:t>t sign.</w:t>
      </w:r>
    </w:p>
    <w:p w:rsidR="00024C0A" w:rsidRDefault="00694C0F">
      <w:pPr>
        <w:pStyle w:val="Heading3"/>
      </w:pPr>
      <w:bookmarkStart w:id="2669" w:name="section_c1f1feace34c48d5b2e2f67bb67113e7"/>
      <w:bookmarkStart w:id="2670" w:name="_Toc12261395"/>
      <w:r>
        <w:t>Part 1 Section 20.1.10.45, ST_PositivePercentage (Positive Percentage)</w:t>
      </w:r>
      <w:bookmarkEnd w:id="2669"/>
      <w:bookmarkEnd w:id="2670"/>
      <w:r>
        <w:fldChar w:fldCharType="begin"/>
      </w:r>
      <w:r>
        <w:instrText xml:space="preserve"> XE "ST_PositivePercentage (Positive Percentage)" </w:instrText>
      </w:r>
      <w:r>
        <w:fldChar w:fldCharType="end"/>
      </w:r>
    </w:p>
    <w:p w:rsidR="00024C0A" w:rsidRDefault="00694C0F">
      <w:pPr>
        <w:pStyle w:val="Definition-Field"/>
      </w:pPr>
      <w:r>
        <w:t xml:space="preserve">a.   </w:t>
      </w:r>
      <w:r>
        <w:rPr>
          <w:i/>
        </w:rPr>
        <w:t>The standard states that ST_PositivePercentage is read and written as a percent with a trailing percent sign.</w:t>
      </w:r>
    </w:p>
    <w:p w:rsidR="00024C0A" w:rsidRDefault="00694C0F">
      <w:pPr>
        <w:pStyle w:val="Definition-Field2"/>
      </w:pPr>
      <w:r>
        <w:lastRenderedPageBreak/>
        <w:t xml:space="preserve">Office </w:t>
      </w:r>
      <w:r>
        <w:t>will read percentages formatted with a trailing percent sign or formatted as 1000th of a percent without a trailing percent sign, but only write percentages as 1000th's of a percent without a trailing percent sign.</w:t>
      </w:r>
    </w:p>
    <w:p w:rsidR="00024C0A" w:rsidRDefault="00694C0F">
      <w:pPr>
        <w:pStyle w:val="Heading3"/>
      </w:pPr>
      <w:bookmarkStart w:id="2671" w:name="section_cc8be648028648f88f8e66b878d23432"/>
      <w:bookmarkStart w:id="2672" w:name="_Toc12261396"/>
      <w:r>
        <w:t>Part 1 Section 20.1.10.47, ST_PresetColor</w:t>
      </w:r>
      <w:r>
        <w:t>Val (Preset Color Value)</w:t>
      </w:r>
      <w:bookmarkEnd w:id="2671"/>
      <w:bookmarkEnd w:id="2672"/>
      <w:r>
        <w:fldChar w:fldCharType="begin"/>
      </w:r>
      <w:r>
        <w:instrText xml:space="preserve"> XE "ST_PresetColorVal (Preset Color Value)" </w:instrText>
      </w:r>
      <w:r>
        <w:fldChar w:fldCharType="end"/>
      </w:r>
    </w:p>
    <w:p w:rsidR="00024C0A" w:rsidRDefault="00694C0F">
      <w:pPr>
        <w:pStyle w:val="Definition-Field"/>
      </w:pPr>
      <w:r>
        <w:t xml:space="preserve">a.   </w:t>
      </w:r>
      <w:r>
        <w:rPr>
          <w:i/>
        </w:rPr>
        <w:t>The standard specifies RGB values for each value in the enum.</w:t>
      </w:r>
    </w:p>
    <w:p w:rsidR="00024C0A" w:rsidRDefault="00694C0F">
      <w:pPr>
        <w:pStyle w:val="Definition-Field2"/>
      </w:pPr>
      <w:r>
        <w:t>Office also supports a value of "transparent" interpreted as RGB value (255,255,255). The value "transparent" will be</w:t>
      </w:r>
      <w:r>
        <w:t xml:space="preserve"> persisted by Office if it appears in a file.</w:t>
      </w:r>
    </w:p>
    <w:p w:rsidR="00024C0A" w:rsidRDefault="00694C0F">
      <w:pPr>
        <w:pStyle w:val="Heading3"/>
      </w:pPr>
      <w:bookmarkStart w:id="2673" w:name="section_8582a1426af4433fbcd977be5aacefaf"/>
      <w:bookmarkStart w:id="2674" w:name="_Toc12261397"/>
      <w:r>
        <w:t>Part 1 Section 20.1.10.49, ST_PresetMaterialType (Preset Material Type)</w:t>
      </w:r>
      <w:bookmarkEnd w:id="2673"/>
      <w:bookmarkEnd w:id="2674"/>
      <w:r>
        <w:fldChar w:fldCharType="begin"/>
      </w:r>
      <w:r>
        <w:instrText xml:space="preserve"> XE "ST_PresetMaterialType (Preset Material Type)" </w:instrText>
      </w:r>
      <w:r>
        <w:fldChar w:fldCharType="end"/>
      </w:r>
    </w:p>
    <w:p w:rsidR="00024C0A" w:rsidRDefault="00694C0F">
      <w:pPr>
        <w:pStyle w:val="Definition-Field"/>
      </w:pPr>
      <w:r>
        <w:t xml:space="preserve">a.   </w:t>
      </w:r>
      <w:r>
        <w:rPr>
          <w:i/>
        </w:rPr>
        <w:t>The standard indicates the legacyMatte enumeration value has a Diffuse Fresnel v</w:t>
      </w:r>
      <w:r>
        <w:rPr>
          <w:i/>
        </w:rPr>
        <w:t>alue of -4.</w:t>
      </w:r>
    </w:p>
    <w:p w:rsidR="00024C0A" w:rsidRDefault="00694C0F">
      <w:pPr>
        <w:pStyle w:val="Definition-Field2"/>
      </w:pPr>
      <w:r>
        <w:t>In Office, the legacyMatte enumeration value has a Diffuse Fresnel value of 0.</w:t>
      </w:r>
    </w:p>
    <w:p w:rsidR="00024C0A" w:rsidRDefault="00694C0F">
      <w:pPr>
        <w:pStyle w:val="Heading3"/>
      </w:pPr>
      <w:bookmarkStart w:id="2675" w:name="section_38b259783d144fb390b7712215ed7ad1"/>
      <w:bookmarkStart w:id="2676" w:name="_Toc12261398"/>
      <w:r>
        <w:t>Part 1 Section 20.1.10.54, ST_ShapeID (Shape ID)</w:t>
      </w:r>
      <w:bookmarkEnd w:id="2675"/>
      <w:bookmarkEnd w:id="2676"/>
      <w:r>
        <w:fldChar w:fldCharType="begin"/>
      </w:r>
      <w:r>
        <w:instrText xml:space="preserve"> XE "ST_ShapeID (Shape ID)" </w:instrText>
      </w:r>
      <w:r>
        <w:fldChar w:fldCharType="end"/>
      </w:r>
    </w:p>
    <w:p w:rsidR="00024C0A" w:rsidRDefault="00694C0F">
      <w:pPr>
        <w:pStyle w:val="Definition-Field"/>
      </w:pPr>
      <w:r>
        <w:t xml:space="preserve">a.   </w:t>
      </w:r>
      <w:r>
        <w:rPr>
          <w:i/>
        </w:rPr>
        <w:t xml:space="preserve">The standard does not limit the length of the value of the ST_ShapeID simple </w:t>
      </w:r>
      <w:r>
        <w:rPr>
          <w:i/>
        </w:rPr>
        <w:t>type.</w:t>
      </w:r>
    </w:p>
    <w:p w:rsidR="00024C0A" w:rsidRDefault="00694C0F">
      <w:pPr>
        <w:pStyle w:val="Definition-Field2"/>
      </w:pPr>
      <w:r>
        <w:t>Office restricts the value of this simple type to be at most 255 characters.</w:t>
      </w:r>
    </w:p>
    <w:p w:rsidR="00024C0A" w:rsidRDefault="00694C0F">
      <w:pPr>
        <w:pStyle w:val="Definition-Field"/>
      </w:pPr>
      <w:r>
        <w:t xml:space="preserve">b.   </w:t>
      </w:r>
      <w:r>
        <w:rPr>
          <w:i/>
        </w:rPr>
        <w:t>The standard states that the ST_ShapeID contents are a restriction of the XML Schema token datatype.</w:t>
      </w:r>
    </w:p>
    <w:p w:rsidR="00024C0A" w:rsidRDefault="00694C0F">
      <w:r>
        <w:t>In Office, the ST_ShapeID simple type represents an object ID numbe</w:t>
      </w:r>
      <w:r>
        <w:t>r.  An ID number has the following format characteristics:</w:t>
      </w:r>
    </w:p>
    <w:p w:rsidR="00024C0A" w:rsidRDefault="00694C0F">
      <w:r>
        <w:t>Each ID number has a preface of “</w:t>
      </w:r>
      <w:r>
        <w:rPr>
          <w:rStyle w:val="InlineCode"/>
        </w:rPr>
        <w:t>_x0000_</w:t>
      </w:r>
      <w:r>
        <w:t>” followed by 1 character and a number, in the general form _x0000_[c]&lt;num&gt;</w:t>
      </w:r>
    </w:p>
    <w:p w:rsidR="00024C0A" w:rsidRDefault="00694C0F">
      <w:r>
        <w:t>The character [c] is:</w:t>
      </w:r>
    </w:p>
    <w:p w:rsidR="00024C0A" w:rsidRDefault="00694C0F">
      <w:pPr>
        <w:pStyle w:val="ListParagraph"/>
        <w:numPr>
          <w:ilvl w:val="0"/>
          <w:numId w:val="132"/>
        </w:numPr>
        <w:contextualSpacing/>
      </w:pPr>
      <w:r>
        <w:t>‘</w:t>
      </w:r>
      <w:r>
        <w:rPr>
          <w:rStyle w:val="InlineCode"/>
        </w:rPr>
        <w:t>t</w:t>
      </w:r>
      <w:r>
        <w:t>’ or ‘</w:t>
      </w:r>
      <w:r>
        <w:rPr>
          <w:rStyle w:val="InlineCode"/>
        </w:rPr>
        <w:t>m</w:t>
      </w:r>
      <w:r>
        <w:t xml:space="preserve">’ when used for a </w:t>
      </w:r>
      <w:r>
        <w:rPr>
          <w:b/>
        </w:rPr>
        <w:t>shapetype</w:t>
      </w:r>
      <w:r>
        <w:t xml:space="preserve"> element ("</w:t>
      </w:r>
      <w:hyperlink r:id="rId184">
        <w:r>
          <w:rPr>
            <w:rStyle w:val="Hyperlink"/>
          </w:rPr>
          <w:t>[ISO/IEC-29500-4]</w:t>
        </w:r>
      </w:hyperlink>
      <w:r>
        <w:t xml:space="preserve"> §19.1.2.20; shapetype (Shape Template)").</w:t>
      </w:r>
    </w:p>
    <w:p w:rsidR="00024C0A" w:rsidRDefault="00694C0F">
      <w:pPr>
        <w:pStyle w:val="ListParagraph"/>
        <w:numPr>
          <w:ilvl w:val="0"/>
          <w:numId w:val="132"/>
        </w:numPr>
        <w:contextualSpacing/>
      </w:pPr>
      <w:r>
        <w:t>‘</w:t>
      </w:r>
      <w:r>
        <w:rPr>
          <w:rStyle w:val="InlineCode"/>
        </w:rPr>
        <w:t>s</w:t>
      </w:r>
      <w:r>
        <w:t>’ when used for a shape.</w:t>
      </w:r>
    </w:p>
    <w:p w:rsidR="00024C0A" w:rsidRDefault="00694C0F">
      <w:pPr>
        <w:pStyle w:val="ListParagraph"/>
        <w:numPr>
          <w:ilvl w:val="0"/>
          <w:numId w:val="132"/>
        </w:numPr>
        <w:contextualSpacing/>
      </w:pPr>
      <w:r>
        <w:t>Shape IDs always start at 1025.</w:t>
      </w:r>
    </w:p>
    <w:p w:rsidR="00024C0A" w:rsidRDefault="00694C0F">
      <w:pPr>
        <w:pStyle w:val="ListParagraph"/>
        <w:numPr>
          <w:ilvl w:val="0"/>
          <w:numId w:val="132"/>
        </w:numPr>
        <w:contextualSpacing/>
      </w:pPr>
      <w:r>
        <w:t>Shape IDs are clustered together, and each cluster has 1024 values. The first clust</w:t>
      </w:r>
      <w:r>
        <w:t>er ranges from 1025 to 2048.</w:t>
      </w:r>
    </w:p>
    <w:p w:rsidR="00024C0A" w:rsidRDefault="00694C0F">
      <w:pPr>
        <w:pStyle w:val="ListParagraph"/>
        <w:numPr>
          <w:ilvl w:val="0"/>
          <w:numId w:val="132"/>
        </w:numPr>
        <w:contextualSpacing/>
      </w:pPr>
      <w:r>
        <w:t>Shape IDs within the same cluster may only exist in:</w:t>
      </w:r>
    </w:p>
    <w:p w:rsidR="00024C0A" w:rsidRDefault="00694C0F">
      <w:pPr>
        <w:pStyle w:val="ListParagraph"/>
        <w:numPr>
          <w:ilvl w:val="0"/>
          <w:numId w:val="132"/>
        </w:numPr>
        <w:contextualSpacing/>
      </w:pPr>
      <w:r>
        <w:t>one worksheet, for Excel.</w:t>
      </w:r>
    </w:p>
    <w:p w:rsidR="00024C0A" w:rsidRDefault="00694C0F">
      <w:pPr>
        <w:pStyle w:val="ListParagraph"/>
        <w:numPr>
          <w:ilvl w:val="0"/>
          <w:numId w:val="132"/>
        </w:numPr>
        <w:contextualSpacing/>
      </w:pPr>
      <w:r>
        <w:t>one slide, for PowerPoint.</w:t>
      </w:r>
    </w:p>
    <w:p w:rsidR="00024C0A" w:rsidRDefault="00694C0F">
      <w:pPr>
        <w:pStyle w:val="ListParagraph"/>
        <w:numPr>
          <w:ilvl w:val="0"/>
          <w:numId w:val="132"/>
        </w:numPr>
        <w:contextualSpacing/>
      </w:pPr>
      <w:r>
        <w:t>one document, for Word.</w:t>
      </w:r>
    </w:p>
    <w:p w:rsidR="00024C0A" w:rsidRDefault="00694C0F">
      <w:pPr>
        <w:pStyle w:val="ListParagraph"/>
        <w:numPr>
          <w:ilvl w:val="0"/>
          <w:numId w:val="132"/>
        </w:numPr>
        <w:contextualSpacing/>
      </w:pPr>
      <w:r>
        <w:t>the header, for Word.</w:t>
      </w:r>
    </w:p>
    <w:p w:rsidR="00024C0A" w:rsidRDefault="00694C0F">
      <w:pPr>
        <w:pStyle w:val="ListParagraph"/>
        <w:numPr>
          <w:ilvl w:val="0"/>
          <w:numId w:val="132"/>
        </w:numPr>
      </w:pPr>
      <w:r>
        <w:t>‘</w:t>
      </w:r>
      <w:r>
        <w:rPr>
          <w:rStyle w:val="InlineCode"/>
        </w:rPr>
        <w:t>s</w:t>
      </w:r>
      <w:r>
        <w:t>’ or ‘</w:t>
      </w:r>
      <w:r>
        <w:rPr>
          <w:rStyle w:val="InlineCode"/>
        </w:rPr>
        <w:t>i</w:t>
      </w:r>
      <w:r>
        <w:t>’ for shapes that are inline (not floating) in Word.</w:t>
      </w:r>
    </w:p>
    <w:p w:rsidR="00024C0A" w:rsidRDefault="00694C0F">
      <w:r>
        <w:t xml:space="preserve">__&lt;num&gt; must </w:t>
      </w:r>
      <w:r>
        <w:t xml:space="preserve">be between </w:t>
      </w:r>
      <w:r>
        <w:rPr>
          <w:rStyle w:val="InlineCode"/>
        </w:rPr>
        <w:t>1</w:t>
      </w:r>
      <w:r>
        <w:t xml:space="preserve"> and </w:t>
      </w:r>
      <w:r>
        <w:rPr>
          <w:rStyle w:val="InlineCode"/>
        </w:rPr>
        <w:t>268435456</w:t>
      </w:r>
      <w:r>
        <w:t>.</w:t>
      </w:r>
    </w:p>
    <w:p w:rsidR="00024C0A" w:rsidRDefault="00694C0F">
      <w:r>
        <w:t>An ID number should not contain any Numeric Character Reference (NCR) markup characters.</w:t>
      </w:r>
    </w:p>
    <w:p w:rsidR="00024C0A" w:rsidRDefault="00694C0F">
      <w:r>
        <w:t>Office does not guarantee that the same Object ID number that is loaded is round tripped on file save.</w:t>
      </w:r>
    </w:p>
    <w:p w:rsidR="00024C0A" w:rsidRDefault="00694C0F">
      <w:pPr>
        <w:pStyle w:val="Heading3"/>
      </w:pPr>
      <w:bookmarkStart w:id="2677" w:name="section_cbffdb4854864e6ba7fde43fc3fd5f63"/>
      <w:bookmarkStart w:id="2678" w:name="_Toc12261399"/>
      <w:r>
        <w:t>Part 1 Section 20.1.10.55, ST_ShapeT</w:t>
      </w:r>
      <w:r>
        <w:t>ype (Preset Shape Types)</w:t>
      </w:r>
      <w:bookmarkEnd w:id="2677"/>
      <w:bookmarkEnd w:id="2678"/>
      <w:r>
        <w:fldChar w:fldCharType="begin"/>
      </w:r>
      <w:r>
        <w:instrText xml:space="preserve"> XE "ST_ShapeType (Preset Shape Types)" </w:instrText>
      </w:r>
      <w:r>
        <w:fldChar w:fldCharType="end"/>
      </w:r>
    </w:p>
    <w:p w:rsidR="00024C0A" w:rsidRDefault="00694C0F">
      <w:pPr>
        <w:pStyle w:val="Definition-Field"/>
      </w:pPr>
      <w:r>
        <w:t xml:space="preserve">a.   </w:t>
      </w:r>
      <w:r>
        <w:rPr>
          <w:i/>
        </w:rPr>
        <w:t>The standard does not define the calculate values for the wd3 and hd3 preset guides.</w:t>
      </w:r>
    </w:p>
    <w:p w:rsidR="00024C0A" w:rsidRDefault="00694C0F">
      <w:pPr>
        <w:pStyle w:val="Definition-Field2"/>
      </w:pPr>
      <w:r>
        <w:lastRenderedPageBreak/>
        <w:t>The wd3 preset guide represents 1/3 of the shape's width. The hd3 preset guide represents 1/3 of th</w:t>
      </w:r>
      <w:r>
        <w:t>e shape's height.</w:t>
      </w:r>
    </w:p>
    <w:p w:rsidR="00024C0A" w:rsidRDefault="00694C0F">
      <w:pPr>
        <w:pStyle w:val="Heading3"/>
      </w:pPr>
      <w:bookmarkStart w:id="2679" w:name="section_86ec6af2eea646a09d1eb2c640d0b129"/>
      <w:bookmarkStart w:id="2680" w:name="_Toc12261400"/>
      <w:r>
        <w:t>Part 1 Section 20.1.10.59, ST_TextAnchoringType (Text Anchoring Types)</w:t>
      </w:r>
      <w:bookmarkEnd w:id="2679"/>
      <w:bookmarkEnd w:id="2680"/>
      <w:r>
        <w:fldChar w:fldCharType="begin"/>
      </w:r>
      <w:r>
        <w:instrText xml:space="preserve"> XE "ST_TextAnchoringType (Text Anchoring Types)" </w:instrText>
      </w:r>
      <w:r>
        <w:fldChar w:fldCharType="end"/>
      </w:r>
    </w:p>
    <w:p w:rsidR="00024C0A" w:rsidRDefault="00694C0F">
      <w:pPr>
        <w:pStyle w:val="Definition-Field"/>
      </w:pPr>
      <w:r>
        <w:t xml:space="preserve">a.   </w:t>
      </w:r>
      <w:r>
        <w:rPr>
          <w:i/>
        </w:rPr>
        <w:t>The standard states that dist is a valid value of the ST_TextAnchoringType simple type.</w:t>
      </w:r>
    </w:p>
    <w:p w:rsidR="00024C0A" w:rsidRDefault="00694C0F">
      <w:pPr>
        <w:pStyle w:val="Definition-Field2"/>
      </w:pPr>
      <w:r>
        <w:t xml:space="preserve">Office does not allow </w:t>
      </w:r>
      <w:r>
        <w:t>this value on this simple type.</w:t>
      </w:r>
    </w:p>
    <w:p w:rsidR="00024C0A" w:rsidRDefault="00694C0F">
      <w:pPr>
        <w:pStyle w:val="Definition-Field"/>
      </w:pPr>
      <w:r>
        <w:t xml:space="preserve">b.   </w:t>
      </w:r>
      <w:r>
        <w:rPr>
          <w:i/>
        </w:rPr>
        <w:t>The standard states that just is a valid value of the ST_TextAnchoringType simple type.</w:t>
      </w:r>
    </w:p>
    <w:p w:rsidR="00024C0A" w:rsidRDefault="00694C0F">
      <w:pPr>
        <w:pStyle w:val="Definition-Field2"/>
      </w:pPr>
      <w:r>
        <w:t>Office does not allow this value on this simple type.</w:t>
      </w:r>
    </w:p>
    <w:p w:rsidR="00024C0A" w:rsidRDefault="00694C0F">
      <w:pPr>
        <w:pStyle w:val="Heading3"/>
      </w:pPr>
      <w:bookmarkStart w:id="2681" w:name="section_4a566abf3bba434ebadc0ce4e9f21799"/>
      <w:bookmarkStart w:id="2682" w:name="_Toc12261401"/>
      <w:r>
        <w:t>Part 1 Section 20.1.10.61, ST_TextAutonumberScheme (Text Auto-number Schemes)</w:t>
      </w:r>
      <w:bookmarkEnd w:id="2681"/>
      <w:bookmarkEnd w:id="2682"/>
      <w:r>
        <w:fldChar w:fldCharType="begin"/>
      </w:r>
      <w:r>
        <w:instrText xml:space="preserve"> XE "ST_TextAutonumberScheme (Text Auto-number Schemes)" </w:instrText>
      </w:r>
      <w:r>
        <w:fldChar w:fldCharType="end"/>
      </w:r>
    </w:p>
    <w:p w:rsidR="00024C0A" w:rsidRDefault="00694C0F">
      <w:pPr>
        <w:pStyle w:val="Definition-Field"/>
        <w:numPr>
          <w:ilvl w:val="0"/>
          <w:numId w:val="133"/>
        </w:numPr>
      </w:pPr>
      <w:r>
        <w:rPr>
          <w:i/>
        </w:rPr>
        <w:t>The standard does not clearly define TypeA and TypeC for the ea1ChsPlain and the ea1ChtPlain values of the ST_TextAutonumberScheme simple type.</w:t>
      </w:r>
    </w:p>
    <w:p w:rsidR="00024C0A" w:rsidRDefault="00694C0F">
      <w:pPr>
        <w:pStyle w:val="Definition-Field2"/>
      </w:pPr>
      <w:r>
        <w:t xml:space="preserve">In Office, TypeA: The Chinese character “十” is used </w:t>
      </w:r>
      <w:r>
        <w:t xml:space="preserve">to represent 10. For example, 20 is represented as 二十 and 99 is represented as 九十九. </w:t>
      </w:r>
    </w:p>
    <w:p w:rsidR="00024C0A" w:rsidRDefault="00694C0F">
      <w:pPr>
        <w:pStyle w:val="Definition-Field2"/>
      </w:pPr>
      <w:r>
        <w:t>TypeC: each digit is written out separately and zero is represented by the ideographic Chinese character "〇". For example, 20 is represented as 二〇, 99 is represented as 九九</w:t>
      </w:r>
      <w:r>
        <w:t xml:space="preserve"> and 102 is represented as 一〇二.</w:t>
      </w:r>
    </w:p>
    <w:p w:rsidR="00024C0A" w:rsidRDefault="00694C0F">
      <w:pPr>
        <w:pStyle w:val="Heading3"/>
      </w:pPr>
      <w:bookmarkStart w:id="2683" w:name="section_9f732f2ba5514c679f81139fca7f5633"/>
      <w:bookmarkStart w:id="2684" w:name="_Toc12261402"/>
      <w:r>
        <w:t>Part 1 Section 20.1.10.63, ST_TextCapsType (Text Cap Types)</w:t>
      </w:r>
      <w:bookmarkEnd w:id="2683"/>
      <w:bookmarkEnd w:id="2684"/>
      <w:r>
        <w:fldChar w:fldCharType="begin"/>
      </w:r>
      <w:r>
        <w:instrText xml:space="preserve"> XE "ST_TextCapsType (Text Cap Types)" </w:instrText>
      </w:r>
      <w:r>
        <w:fldChar w:fldCharType="end"/>
      </w:r>
    </w:p>
    <w:p w:rsidR="00024C0A" w:rsidRDefault="00694C0F">
      <w:pPr>
        <w:pStyle w:val="Definition-Field"/>
      </w:pPr>
      <w:r>
        <w:t xml:space="preserve">a.   </w:t>
      </w:r>
      <w:r>
        <w:rPr>
          <w:i/>
        </w:rPr>
        <w:t>The standard states that the small value converts all letters to lower case.</w:t>
      </w:r>
    </w:p>
    <w:p w:rsidR="00024C0A" w:rsidRDefault="00694C0F">
      <w:pPr>
        <w:pStyle w:val="Definition-Field2"/>
      </w:pPr>
      <w:r>
        <w:t>In Office, the small value converts all l</w:t>
      </w:r>
      <w:r>
        <w:t>ower-case letters into upper-case letters of a smaller font size. The actual point size in the backing store is not affected.</w:t>
      </w:r>
    </w:p>
    <w:p w:rsidR="00024C0A" w:rsidRDefault="00694C0F">
      <w:pPr>
        <w:pStyle w:val="Definition-Field"/>
      </w:pPr>
      <w:r>
        <w:t xml:space="preserve">b.   </w:t>
      </w:r>
      <w:r>
        <w:rPr>
          <w:i/>
        </w:rPr>
        <w:t>The standard does not clearly define the none value of the ST_TextCapsType simple type.</w:t>
      </w:r>
    </w:p>
    <w:p w:rsidR="00024C0A" w:rsidRDefault="00694C0F">
      <w:pPr>
        <w:pStyle w:val="Definition-Field2"/>
      </w:pPr>
      <w:r>
        <w:t>Office uses this value to specify tha</w:t>
      </w:r>
      <w:r>
        <w:t>t no capitalization effects should be applied during text display and to override capitalization effects specified in styles.</w:t>
      </w:r>
    </w:p>
    <w:p w:rsidR="00024C0A" w:rsidRDefault="00694C0F">
      <w:pPr>
        <w:pStyle w:val="Definition-Field"/>
      </w:pPr>
      <w:r>
        <w:t xml:space="preserve">c.   </w:t>
      </w:r>
      <w:r>
        <w:rPr>
          <w:i/>
        </w:rPr>
        <w:t>The standard states that the all value converts all letters to upper case.</w:t>
      </w:r>
    </w:p>
    <w:p w:rsidR="00024C0A" w:rsidRDefault="00694C0F">
      <w:pPr>
        <w:pStyle w:val="Definition-Field2"/>
      </w:pPr>
      <w:r>
        <w:t>In Office, the all value causes text to be display</w:t>
      </w:r>
      <w:r>
        <w:t>ed as upper case and the original text remains unchanged in the file.</w:t>
      </w:r>
    </w:p>
    <w:p w:rsidR="00024C0A" w:rsidRDefault="00694C0F">
      <w:pPr>
        <w:pStyle w:val="Heading3"/>
      </w:pPr>
      <w:bookmarkStart w:id="2685" w:name="section_aafaec4651ce4ded843c29edc8b74740"/>
      <w:bookmarkStart w:id="2686" w:name="_Toc12261403"/>
      <w:r>
        <w:t>Part 1 Section 20.1.10.66, ST_TextFontScalePercentOrPercentString (Text Font Scale Percentage)</w:t>
      </w:r>
      <w:bookmarkEnd w:id="2685"/>
      <w:bookmarkEnd w:id="2686"/>
      <w:r>
        <w:fldChar w:fldCharType="begin"/>
      </w:r>
      <w:r>
        <w:instrText xml:space="preserve"> XE "ST_TextFontScalePercentOrPercentString (Text Font Scale Percentage)" </w:instrText>
      </w:r>
      <w:r>
        <w:fldChar w:fldCharType="end"/>
      </w:r>
    </w:p>
    <w:p w:rsidR="00024C0A" w:rsidRDefault="00694C0F">
      <w:pPr>
        <w:pStyle w:val="Definition-Field"/>
      </w:pPr>
      <w:r>
        <w:t xml:space="preserve">a.   </w:t>
      </w:r>
      <w:r>
        <w:rPr>
          <w:i/>
        </w:rPr>
        <w:t>The standa</w:t>
      </w:r>
      <w:r>
        <w:rPr>
          <w:i/>
        </w:rPr>
        <w:t>rd states that ST_TextFontScalePercentOrPercentString is read and written as a percent with a trailing percent sign.</w:t>
      </w:r>
    </w:p>
    <w:p w:rsidR="00024C0A" w:rsidRDefault="00694C0F">
      <w:pPr>
        <w:pStyle w:val="Definition-Field2"/>
      </w:pPr>
      <w:r>
        <w:t>Office will read percentages formatted with a trailing percent sign or formatted as 1000th of a percent without a trailing percent sign, bu</w:t>
      </w:r>
      <w:r>
        <w:t>t only write percentages as 1000th's of a percent without a trailing percent sign.</w:t>
      </w:r>
    </w:p>
    <w:p w:rsidR="00024C0A" w:rsidRDefault="00694C0F">
      <w:pPr>
        <w:pStyle w:val="Heading3"/>
      </w:pPr>
      <w:bookmarkStart w:id="2687" w:name="section_7669315451cf49229cff21cafdebf357"/>
      <w:bookmarkStart w:id="2688" w:name="_Toc12261404"/>
      <w:r>
        <w:lastRenderedPageBreak/>
        <w:t>Part 1 Section 20.1.10.72, ST_TextNonNegativePoint (Text Non-Negative Point)</w:t>
      </w:r>
      <w:bookmarkEnd w:id="2687"/>
      <w:bookmarkEnd w:id="2688"/>
      <w:r>
        <w:fldChar w:fldCharType="begin"/>
      </w:r>
      <w:r>
        <w:instrText xml:space="preserve"> XE "ST_TextNonNegativePoint (Text Non-Negative Point)" </w:instrText>
      </w:r>
      <w:r>
        <w:fldChar w:fldCharType="end"/>
      </w:r>
    </w:p>
    <w:p w:rsidR="00024C0A" w:rsidRDefault="00694C0F">
      <w:pPr>
        <w:pStyle w:val="Definition-Field"/>
      </w:pPr>
      <w:r>
        <w:t xml:space="preserve">a.   </w:t>
      </w:r>
      <w:r>
        <w:rPr>
          <w:i/>
        </w:rPr>
        <w:t>The standard states that the ST_T</w:t>
      </w:r>
      <w:r>
        <w:rPr>
          <w:i/>
        </w:rPr>
        <w:t>extNonNegativePoint simple type specifies a non-negative font size in hundredths of a point.</w:t>
      </w:r>
    </w:p>
    <w:p w:rsidR="00024C0A" w:rsidRDefault="00694C0F">
      <w:pPr>
        <w:pStyle w:val="Definition-Field2"/>
      </w:pPr>
      <w:r>
        <w:t>Office uses this type to store a non-negative size in hundredths of a point.</w:t>
      </w:r>
    </w:p>
    <w:p w:rsidR="00024C0A" w:rsidRDefault="00694C0F">
      <w:pPr>
        <w:pStyle w:val="Heading3"/>
      </w:pPr>
      <w:bookmarkStart w:id="2689" w:name="section_0db6349e9b1d4218af884d44d4a78572"/>
      <w:bookmarkStart w:id="2690" w:name="_Toc12261405"/>
      <w:r>
        <w:t>Part 1 Section 20.1.10.73, ST_TextPoint (Text Point)</w:t>
      </w:r>
      <w:bookmarkEnd w:id="2689"/>
      <w:bookmarkEnd w:id="2690"/>
      <w:r>
        <w:fldChar w:fldCharType="begin"/>
      </w:r>
      <w:r>
        <w:instrText xml:space="preserve"> XE "ST_TextPoint (Text Point)" </w:instrText>
      </w:r>
      <w:r>
        <w:fldChar w:fldCharType="end"/>
      </w:r>
    </w:p>
    <w:p w:rsidR="00024C0A" w:rsidRDefault="00694C0F">
      <w:pPr>
        <w:pStyle w:val="Definition-Field"/>
      </w:pPr>
      <w:r>
        <w:t xml:space="preserve">a.   </w:t>
      </w:r>
      <w:r>
        <w:rPr>
          <w:i/>
        </w:rPr>
        <w:t>The standard states that the ST_TextPoint simple type specifies a font size in hundredths of a point.</w:t>
      </w:r>
    </w:p>
    <w:p w:rsidR="00024C0A" w:rsidRDefault="00694C0F">
      <w:pPr>
        <w:pStyle w:val="Definition-Field2"/>
      </w:pPr>
      <w:r>
        <w:t>Office uses this simple type to store a size in hundredths of a point.</w:t>
      </w:r>
    </w:p>
    <w:p w:rsidR="00024C0A" w:rsidRDefault="00694C0F">
      <w:pPr>
        <w:pStyle w:val="Definition-Field"/>
      </w:pPr>
      <w:r>
        <w:t xml:space="preserve">b.   </w:t>
      </w:r>
      <w:r>
        <w:rPr>
          <w:i/>
        </w:rPr>
        <w:t>The standard states that ST_TextPoint is read and written as a length fo</w:t>
      </w:r>
      <w:r>
        <w:rPr>
          <w:i/>
        </w:rPr>
        <w:t>llowed by a unit, or as hundredths of a point with no unit present.</w:t>
      </w:r>
    </w:p>
    <w:p w:rsidR="00024C0A" w:rsidRDefault="00694C0F">
      <w:pPr>
        <w:pStyle w:val="Definition-Field2"/>
      </w:pPr>
      <w:r>
        <w:t>Office will read either a length followed by a unit or hundredths of a point with no unit present, but will write only as hundredths of a point when no units are present.</w:t>
      </w:r>
    </w:p>
    <w:p w:rsidR="00024C0A" w:rsidRDefault="00694C0F">
      <w:pPr>
        <w:pStyle w:val="Heading3"/>
      </w:pPr>
      <w:bookmarkStart w:id="2691" w:name="section_1649147df3934898989d2ec846845f18"/>
      <w:bookmarkStart w:id="2692" w:name="_Toc12261406"/>
      <w:r>
        <w:t>Part 1 Section 20</w:t>
      </w:r>
      <w:r>
        <w:t>.1.10.75, ST_TextShapeType (Preset Text Shape Types)</w:t>
      </w:r>
      <w:bookmarkEnd w:id="2691"/>
      <w:bookmarkEnd w:id="2692"/>
      <w:r>
        <w:fldChar w:fldCharType="begin"/>
      </w:r>
      <w:r>
        <w:instrText xml:space="preserve"> XE "ST_TextShapeType (Preset Text Shape Types)" </w:instrText>
      </w:r>
      <w:r>
        <w:fldChar w:fldCharType="end"/>
      </w:r>
    </w:p>
    <w:p w:rsidR="00024C0A" w:rsidRDefault="00694C0F">
      <w:pPr>
        <w:pStyle w:val="Definition-Field"/>
      </w:pPr>
      <w:r>
        <w:t xml:space="preserve">a.   </w:t>
      </w:r>
      <w:r>
        <w:rPr>
          <w:i/>
        </w:rPr>
        <w:t>The standard does not provide corresponding illustrations for preset text shape types textCircle and textDeflateTop.</w:t>
      </w:r>
    </w:p>
    <w:p w:rsidR="00024C0A" w:rsidRDefault="00694C0F">
      <w:r>
        <w:t xml:space="preserve">In Office, the textCircle and </w:t>
      </w:r>
      <w:r>
        <w:t>textDeflateTop enumeration values use the following descriptions and illustrations:</w:t>
      </w:r>
    </w:p>
    <w:tbl>
      <w:tblPr>
        <w:tblStyle w:val="Table-ShadedHeader"/>
        <w:tblW w:w="0" w:type="auto"/>
        <w:tblLook w:val="04A0" w:firstRow="1" w:lastRow="0" w:firstColumn="1" w:lastColumn="0" w:noHBand="0" w:noVBand="1"/>
      </w:tblPr>
      <w:tblGrid>
        <w:gridCol w:w="3536"/>
        <w:gridCol w:w="5939"/>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Enumeration Value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textCircle</w:t>
            </w:r>
            <w:r>
              <w:t xml:space="preserve"> (Circle Text Shape)</w:t>
            </w:r>
          </w:p>
        </w:tc>
        <w:tc>
          <w:tcPr>
            <w:tcW w:w="0" w:type="auto"/>
            <w:vAlign w:val="center"/>
          </w:tcPr>
          <w:p w:rsidR="00024C0A" w:rsidRDefault="00694C0F">
            <w:pPr>
              <w:pStyle w:val="TableBodyText"/>
            </w:pPr>
            <w:r>
              <w:rPr>
                <w:noProof/>
              </w:rPr>
              <w:drawing>
                <wp:inline distT="0" distB="0" distL="0" distR="0">
                  <wp:extent cx="1333500" cy="1143000"/>
                  <wp:effectExtent l="0" t="0" r="0" b="0"/>
                  <wp:docPr id="342015690" name="Picture 1" descr="Text shaped in a circle" title="circle tex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de-0000-0000-0000-000000000000" descr="Text shaped in a circle" title="circle text shape"/>
                          <pic:cNvPicPr>
                            <a:picLocks noChangeAspect="1" noChangeArrowheads="1"/>
                          </pic:cNvPicPr>
                        </pic:nvPicPr>
                        <pic:blipFill>
                          <a:blip r:embed="rId185" cstate="print"/>
                          <a:srcRect/>
                          <a:stretch>
                            <a:fillRect/>
                          </a:stretch>
                        </pic:blipFill>
                        <pic:spPr bwMode="auto">
                          <a:xfrm>
                            <a:off x="0" y="0"/>
                            <a:ext cx="1333500" cy="1143000"/>
                          </a:xfrm>
                          <a:prstGeom prst="rect">
                            <a:avLst/>
                          </a:prstGeom>
                          <a:noFill/>
                          <a:ln w="9525">
                            <a:noFill/>
                            <a:miter lim="800000"/>
                            <a:headEnd/>
                            <a:tailEnd/>
                          </a:ln>
                        </pic:spPr>
                      </pic:pic>
                    </a:graphicData>
                  </a:graphic>
                </wp:inline>
              </w:drawing>
            </w:r>
          </w:p>
          <w:p w:rsidR="00024C0A" w:rsidRDefault="00694C0F">
            <w:pPr>
              <w:pStyle w:val="TableBodyText"/>
            </w:pPr>
            <w:r>
              <w:t>Specifies a text shape that shall match the normative shape shown here.</w:t>
            </w:r>
          </w:p>
        </w:tc>
      </w:tr>
      <w:tr w:rsidR="00024C0A" w:rsidTr="00024C0A">
        <w:tc>
          <w:tcPr>
            <w:tcW w:w="0" w:type="auto"/>
            <w:vAlign w:val="center"/>
          </w:tcPr>
          <w:p w:rsidR="00024C0A" w:rsidRDefault="00694C0F">
            <w:pPr>
              <w:pStyle w:val="TableBodyText"/>
            </w:pPr>
            <w:r>
              <w:rPr>
                <w:b/>
              </w:rPr>
              <w:t>textDeflateTop</w:t>
            </w:r>
            <w:r>
              <w:t xml:space="preserve"> (Top Deflate Text Shape)</w:t>
            </w:r>
          </w:p>
        </w:tc>
        <w:tc>
          <w:tcPr>
            <w:tcW w:w="0" w:type="auto"/>
            <w:vAlign w:val="center"/>
          </w:tcPr>
          <w:p w:rsidR="00024C0A" w:rsidRDefault="00694C0F">
            <w:pPr>
              <w:pStyle w:val="TableBodyText"/>
            </w:pPr>
            <w:r>
              <w:rPr>
                <w:noProof/>
              </w:rPr>
              <w:drawing>
                <wp:inline distT="0" distB="0" distL="0" distR="0">
                  <wp:extent cx="1781175" cy="533400"/>
                  <wp:effectExtent l="0" t="0" r="0" b="0"/>
                  <wp:docPr id="342015691" name="Picture 1" descr="Text that is smaller in the middle than it is on the ends" title="text deflat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e1-0000-0000-0000-000000000000" descr="Text that is smaller in the middle than it is on the ends" title="text deflate top"/>
                          <pic:cNvPicPr>
                            <a:picLocks noChangeAspect="1" noChangeArrowheads="1"/>
                          </pic:cNvPicPr>
                        </pic:nvPicPr>
                        <pic:blipFill>
                          <a:blip r:embed="rId186" cstate="print"/>
                          <a:srcRect/>
                          <a:stretch>
                            <a:fillRect/>
                          </a:stretch>
                        </pic:blipFill>
                        <pic:spPr bwMode="auto">
                          <a:xfrm>
                            <a:off x="0" y="0"/>
                            <a:ext cx="1781175" cy="533400"/>
                          </a:xfrm>
                          <a:prstGeom prst="rect">
                            <a:avLst/>
                          </a:prstGeom>
                          <a:noFill/>
                          <a:ln w="9525">
                            <a:noFill/>
                            <a:miter lim="800000"/>
                            <a:headEnd/>
                            <a:tailEnd/>
                          </a:ln>
                        </pic:spPr>
                      </pic:pic>
                    </a:graphicData>
                  </a:graphic>
                </wp:inline>
              </w:drawing>
            </w:r>
          </w:p>
          <w:p w:rsidR="00024C0A" w:rsidRDefault="00694C0F">
            <w:pPr>
              <w:pStyle w:val="TableBodyText"/>
            </w:pPr>
            <w:r>
              <w:t>Specifies a text shape that shall match the normative shape shown here.</w:t>
            </w:r>
          </w:p>
        </w:tc>
      </w:tr>
    </w:tbl>
    <w:p w:rsidR="00024C0A" w:rsidRDefault="00024C0A"/>
    <w:p w:rsidR="00024C0A" w:rsidRDefault="00694C0F">
      <w:pPr>
        <w:pStyle w:val="Definition-Field"/>
      </w:pPr>
      <w:r>
        <w:t xml:space="preserve">b.   </w:t>
      </w:r>
      <w:r>
        <w:rPr>
          <w:i/>
        </w:rPr>
        <w:t>The standard does not define the calculate values for the wd3 and hd3 preset guides.</w:t>
      </w:r>
    </w:p>
    <w:p w:rsidR="00024C0A" w:rsidRDefault="00694C0F">
      <w:pPr>
        <w:pStyle w:val="Definition-Field2"/>
      </w:pPr>
      <w:r>
        <w:t xml:space="preserve">The wd3 preset guide represents 1/3 of the shape's width. The </w:t>
      </w:r>
      <w:r>
        <w:t>hd3 preset guide represents 1/3 of the shape's height.</w:t>
      </w:r>
    </w:p>
    <w:p w:rsidR="00024C0A" w:rsidRDefault="00694C0F">
      <w:pPr>
        <w:pStyle w:val="Heading3"/>
      </w:pPr>
      <w:bookmarkStart w:id="2693" w:name="section_c4a93e8e6a084e53b18375282751b959"/>
      <w:bookmarkStart w:id="2694" w:name="_Toc12261407"/>
      <w:r>
        <w:lastRenderedPageBreak/>
        <w:t>Part 1 Section 20.1.10.76, ST_TextSpacingPercentOrPercentString (Text Spacing Percent)</w:t>
      </w:r>
      <w:bookmarkEnd w:id="2693"/>
      <w:bookmarkEnd w:id="2694"/>
      <w:r>
        <w:fldChar w:fldCharType="begin"/>
      </w:r>
      <w:r>
        <w:instrText xml:space="preserve"> XE "ST_TextSpacingPercentOrPercentString (Text Spacing Percent)" </w:instrText>
      </w:r>
      <w:r>
        <w:fldChar w:fldCharType="end"/>
      </w:r>
    </w:p>
    <w:p w:rsidR="00024C0A" w:rsidRDefault="00694C0F">
      <w:pPr>
        <w:pStyle w:val="Definition-Field"/>
      </w:pPr>
      <w:r>
        <w:t xml:space="preserve">a.   </w:t>
      </w:r>
      <w:r>
        <w:rPr>
          <w:i/>
        </w:rPr>
        <w:t>The standard states that ST_TextSpacingPe</w:t>
      </w:r>
      <w:r>
        <w:rPr>
          <w:i/>
        </w:rPr>
        <w:t>rcentOrPercentString is read and written as a percent with a trailing percent sign.</w:t>
      </w:r>
    </w:p>
    <w:p w:rsidR="00024C0A" w:rsidRDefault="00694C0F">
      <w:pPr>
        <w:pStyle w:val="Definition-Field2"/>
      </w:pPr>
      <w:r>
        <w:t>Office will read percentages formatted with a trailing percent sign or formatted as 1000th of a percent without a trailing percent sign, but only write percentages as 1000t</w:t>
      </w:r>
      <w:r>
        <w:t>h's of a percent without a trailing percent sign.</w:t>
      </w:r>
    </w:p>
    <w:p w:rsidR="00024C0A" w:rsidRDefault="00694C0F">
      <w:pPr>
        <w:pStyle w:val="Heading3"/>
      </w:pPr>
      <w:bookmarkStart w:id="2695" w:name="section_b6aeb5af90ac41dc8964f7ba99ed5181"/>
      <w:bookmarkStart w:id="2696" w:name="_Toc12261408"/>
      <w:r>
        <w:t>Part 1 Section 20.1.10.77, ST_TextSpacingPoint (Text Spacing Point)</w:t>
      </w:r>
      <w:bookmarkEnd w:id="2695"/>
      <w:bookmarkEnd w:id="2696"/>
      <w:r>
        <w:fldChar w:fldCharType="begin"/>
      </w:r>
      <w:r>
        <w:instrText xml:space="preserve"> XE "ST_TextSpacingPoint (Text Spacing Point)" </w:instrText>
      </w:r>
      <w:r>
        <w:fldChar w:fldCharType="end"/>
      </w:r>
    </w:p>
    <w:p w:rsidR="00024C0A" w:rsidRDefault="00694C0F">
      <w:pPr>
        <w:pStyle w:val="Definition-Field"/>
      </w:pPr>
      <w:r>
        <w:t xml:space="preserve">a.   </w:t>
      </w:r>
      <w:r>
        <w:rPr>
          <w:i/>
        </w:rPr>
        <w:t xml:space="preserve">The standard states that the ST_TextSpacingPoint simple type specifies the text </w:t>
      </w:r>
      <w:r>
        <w:rPr>
          <w:i/>
        </w:rPr>
        <w:t>spacing that will be used in terms of font point size.</w:t>
      </w:r>
    </w:p>
    <w:p w:rsidR="00024C0A" w:rsidRDefault="00694C0F">
      <w:pPr>
        <w:pStyle w:val="Definition-Field2"/>
      </w:pPr>
      <w:r>
        <w:t>Office uses this simple type to specify the size, in hundredths of a point, to be used for text spacing.</w:t>
      </w:r>
    </w:p>
    <w:p w:rsidR="00024C0A" w:rsidRDefault="00694C0F">
      <w:pPr>
        <w:pStyle w:val="Heading3"/>
      </w:pPr>
      <w:bookmarkStart w:id="2697" w:name="section_94ad7a5d0d0a4e7c926e3dca76cde068"/>
      <w:bookmarkStart w:id="2698" w:name="_Toc12261409"/>
      <w:r>
        <w:t>Part 1 Section 20.1.10.81, ST_TextUnderlineType (Text Underline Types)</w:t>
      </w:r>
      <w:bookmarkEnd w:id="2697"/>
      <w:bookmarkEnd w:id="2698"/>
      <w:r>
        <w:fldChar w:fldCharType="begin"/>
      </w:r>
      <w:r>
        <w:instrText xml:space="preserve"> XE "ST_TextUnderlineType </w:instrText>
      </w:r>
      <w:r>
        <w:instrText xml:space="preserve">(Text Underline Types)" </w:instrText>
      </w:r>
      <w:r>
        <w:fldChar w:fldCharType="end"/>
      </w:r>
    </w:p>
    <w:p w:rsidR="00024C0A" w:rsidRDefault="00694C0F">
      <w:pPr>
        <w:pStyle w:val="Definition-Field"/>
      </w:pPr>
      <w:r>
        <w:t xml:space="preserve">a.   </w:t>
      </w:r>
      <w:r>
        <w:rPr>
          <w:i/>
        </w:rPr>
        <w:t>The standard states that the words underline type will underline only the words and not the spaces in a text run.</w:t>
      </w:r>
    </w:p>
    <w:p w:rsidR="00024C0A" w:rsidRDefault="00694C0F">
      <w:pPr>
        <w:pStyle w:val="Definition-Field2"/>
      </w:pPr>
      <w:r>
        <w:t>Office does not support the words underline type. When loaded, Office displays this as a single underline.</w:t>
      </w:r>
    </w:p>
    <w:p w:rsidR="00024C0A" w:rsidRDefault="00694C0F">
      <w:pPr>
        <w:pStyle w:val="Heading3"/>
      </w:pPr>
      <w:bookmarkStart w:id="2699" w:name="section_7a3dbb2768c744d2bf351eb7a2490a01"/>
      <w:bookmarkStart w:id="2700" w:name="_Toc12261410"/>
      <w:r>
        <w:t>Par</w:t>
      </w:r>
      <w:r>
        <w:t>t 1 Section 20.2.2.1, blipFill (Picture Fill)</w:t>
      </w:r>
      <w:bookmarkEnd w:id="2699"/>
      <w:bookmarkEnd w:id="2700"/>
      <w:r>
        <w:fldChar w:fldCharType="begin"/>
      </w:r>
      <w:r>
        <w:instrText xml:space="preserve"> XE "blipFill (Picture Fill)"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024C0A" w:rsidRDefault="00694C0F">
      <w:pPr>
        <w:pStyle w:val="Heading3"/>
      </w:pPr>
      <w:bookmarkStart w:id="2701" w:name="section_45cb497a7eb64efcb9e97b4aa967b7ea"/>
      <w:bookmarkStart w:id="2702" w:name="_Toc12261411"/>
      <w:r>
        <w:t>P</w:t>
      </w:r>
      <w:r>
        <w:t>art 1 Section 20.2.2.6, spPr (Shape Properties)</w:t>
      </w:r>
      <w:bookmarkEnd w:id="2701"/>
      <w:bookmarkEnd w:id="2702"/>
      <w:r>
        <w:fldChar w:fldCharType="begin"/>
      </w:r>
      <w:r>
        <w:instrText xml:space="preserve"> XE "spPr (Shape Properties)"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024C0A" w:rsidRDefault="00694C0F">
      <w:pPr>
        <w:pStyle w:val="Heading3"/>
      </w:pPr>
      <w:bookmarkStart w:id="2703" w:name="section_21286105b705441b9cc5d423121ec06a"/>
      <w:bookmarkStart w:id="2704" w:name="_Toc12261412"/>
      <w:r>
        <w:t>Part 1 Section 20.4.2.3, anchor (Anchor for Floating DrawingML Object)</w:t>
      </w:r>
      <w:bookmarkEnd w:id="2703"/>
      <w:bookmarkEnd w:id="2704"/>
      <w:r>
        <w:fldChar w:fldCharType="begin"/>
      </w:r>
      <w:r>
        <w:instrText xml:space="preserve"> XE "anchor (Anchor for Floating DrawingML Object)" </w:instrText>
      </w:r>
      <w:r>
        <w:fldChar w:fldCharType="end"/>
      </w:r>
    </w:p>
    <w:p w:rsidR="00024C0A" w:rsidRDefault="00694C0F">
      <w:pPr>
        <w:pStyle w:val="Definition-Field"/>
      </w:pPr>
      <w:r>
        <w:t xml:space="preserve">a.   </w:t>
      </w:r>
      <w:r>
        <w:rPr>
          <w:i/>
        </w:rPr>
        <w:t>The standard states that when the hidden attribute is true the object is not displayed.</w:t>
      </w:r>
    </w:p>
    <w:p w:rsidR="00024C0A" w:rsidRDefault="00694C0F">
      <w:pPr>
        <w:pStyle w:val="Definition-Field2"/>
      </w:pPr>
      <w:r>
        <w:t>Word does not support this attribute a</w:t>
      </w:r>
      <w:r>
        <w:t>nd its value is not retained on save.</w:t>
      </w:r>
    </w:p>
    <w:p w:rsidR="00024C0A" w:rsidRDefault="00694C0F">
      <w:pPr>
        <w:pStyle w:val="Heading3"/>
      </w:pPr>
      <w:bookmarkStart w:id="2705" w:name="section_e7d7aeab16eb4963933839953b8fee37"/>
      <w:bookmarkStart w:id="2706" w:name="_Toc12261413"/>
      <w:r>
        <w:t>Part 1 Section 20.4.2.5, docPr (Drawing Object Non-Visual Properties)</w:t>
      </w:r>
      <w:bookmarkEnd w:id="2705"/>
      <w:bookmarkEnd w:id="2706"/>
      <w:r>
        <w:fldChar w:fldCharType="begin"/>
      </w:r>
      <w:r>
        <w:instrText xml:space="preserve"> XE "docPr (Drawing Object Non-Visual Properties)" </w:instrText>
      </w:r>
      <w:r>
        <w:fldChar w:fldCharType="end"/>
      </w:r>
    </w:p>
    <w:p w:rsidR="00024C0A" w:rsidRDefault="00694C0F">
      <w:pPr>
        <w:pStyle w:val="Definition-Field"/>
      </w:pPr>
      <w:r>
        <w:t xml:space="preserve">a.   </w:t>
      </w:r>
      <w:r>
        <w:rPr>
          <w:i/>
        </w:rPr>
        <w:t>The standard states that 0 is a valid value for the id attribute.</w:t>
      </w:r>
    </w:p>
    <w:p w:rsidR="00024C0A" w:rsidRDefault="00694C0F">
      <w:pPr>
        <w:pStyle w:val="Definition-Field2"/>
      </w:pPr>
      <w:r>
        <w:t>Word will fail to load a</w:t>
      </w:r>
      <w:r>
        <w:t xml:space="preserve"> file if the id attribute is a value of 0.</w:t>
      </w:r>
    </w:p>
    <w:p w:rsidR="00024C0A" w:rsidRDefault="00694C0F">
      <w:pPr>
        <w:pStyle w:val="Definition-Field"/>
      </w:pPr>
      <w:r>
        <w:t xml:space="preserve">b.   </w:t>
      </w:r>
      <w:r>
        <w:rPr>
          <w:i/>
        </w:rPr>
        <w:t>The standard states that the id attribute is an unsigned integer.</w:t>
      </w:r>
    </w:p>
    <w:p w:rsidR="00024C0A" w:rsidRDefault="00694C0F">
      <w:pPr>
        <w:pStyle w:val="Definition-Field2"/>
      </w:pPr>
      <w:r>
        <w:t>Word will fail to load a file if the id attribute is a value is greater than 2147483646 (the largest 32-bit signed integer minus one).</w:t>
      </w:r>
    </w:p>
    <w:p w:rsidR="00024C0A" w:rsidRDefault="00694C0F">
      <w:pPr>
        <w:pStyle w:val="Heading3"/>
      </w:pPr>
      <w:bookmarkStart w:id="2707" w:name="section_f1c2e75590484bdb96b5a6bf36caafcf"/>
      <w:bookmarkStart w:id="2708" w:name="_Toc12261414"/>
      <w:r>
        <w:lastRenderedPageBreak/>
        <w:t xml:space="preserve">Part 1 </w:t>
      </w:r>
      <w:r>
        <w:t>Section 20.4.2.6, effectExtent (Object Extents Including Effects)</w:t>
      </w:r>
      <w:bookmarkEnd w:id="2707"/>
      <w:bookmarkEnd w:id="2708"/>
      <w:r>
        <w:fldChar w:fldCharType="begin"/>
      </w:r>
      <w:r>
        <w:instrText xml:space="preserve"> XE "effectExtent (Object Extents Including Effects)" </w:instrText>
      </w:r>
      <w:r>
        <w:fldChar w:fldCharType="end"/>
      </w:r>
    </w:p>
    <w:p w:rsidR="00024C0A" w:rsidRDefault="00694C0F">
      <w:pPr>
        <w:pStyle w:val="Definition-Field"/>
      </w:pPr>
      <w:r>
        <w:t xml:space="preserve">a.   </w:t>
      </w:r>
      <w:r>
        <w:rPr>
          <w:i/>
        </w:rPr>
        <w:t>The standard states that the l, r, and t attributes specify the additional length that shall be added to the bottom edge of the D</w:t>
      </w:r>
      <w:r>
        <w:rPr>
          <w:i/>
        </w:rPr>
        <w:t>rawingML object to determine its actual bottom edge.</w:t>
      </w:r>
    </w:p>
    <w:p w:rsidR="00024C0A" w:rsidRDefault="00694C0F">
      <w:pPr>
        <w:pStyle w:val="Definition-Field2"/>
      </w:pPr>
      <w:r>
        <w:t>Office uses these attributes to specify the additional length that shall be added to the left, right, and top edges, respectively, of the DrawingML object to determine its actual left, right, and top edg</w:t>
      </w:r>
      <w:r>
        <w:t>es, respectively.</w:t>
      </w:r>
    </w:p>
    <w:p w:rsidR="00024C0A" w:rsidRDefault="00694C0F">
      <w:pPr>
        <w:pStyle w:val="Heading3"/>
      </w:pPr>
      <w:bookmarkStart w:id="2709" w:name="section_bb6c413fe6294c9c8fdc22b1138be12e"/>
      <w:bookmarkStart w:id="2710" w:name="_Toc12261415"/>
      <w:r>
        <w:t>Part 1 Section 20.4.2.7, extent (Drawing Object Size)</w:t>
      </w:r>
      <w:bookmarkEnd w:id="2709"/>
      <w:bookmarkEnd w:id="2710"/>
      <w:r>
        <w:fldChar w:fldCharType="begin"/>
      </w:r>
      <w:r>
        <w:instrText xml:space="preserve"> XE "extent (Drawing Object Size)"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024C0A" w:rsidRDefault="00694C0F">
      <w:pPr>
        <w:pStyle w:val="Heading3"/>
      </w:pPr>
      <w:bookmarkStart w:id="2711" w:name="section_351591f1308643f6ae05df9d004e653c"/>
      <w:bookmarkStart w:id="2712" w:name="_Toc12261416"/>
      <w:r>
        <w:t>Part 1 Section 20.4.2.9, lineTo (Wrapping Polygon Line End Position)</w:t>
      </w:r>
      <w:bookmarkEnd w:id="2711"/>
      <w:bookmarkEnd w:id="2712"/>
      <w:r>
        <w:fldChar w:fldCharType="begin"/>
      </w:r>
      <w:r>
        <w:instrText xml:space="preserve"> XE "lineTo (Wrapping Polygon Line End Position)"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024C0A" w:rsidRDefault="00694C0F">
      <w:pPr>
        <w:pStyle w:val="Definition-Field"/>
      </w:pPr>
      <w:r>
        <w:t xml:space="preserve">a.   </w:t>
      </w:r>
      <w:r>
        <w:rPr>
          <w:i/>
        </w:rPr>
        <w:t>The standard states that the x and y attributes are represented in EMUs.</w:t>
      </w:r>
    </w:p>
    <w:p w:rsidR="00024C0A" w:rsidRDefault="00694C0F">
      <w:pPr>
        <w:pStyle w:val="Definition-Field2"/>
      </w:pPr>
      <w:r>
        <w:t>Office interprets the x and y attributes in a fixed coordinate space of 21600x21600.</w:t>
      </w:r>
    </w:p>
    <w:p w:rsidR="00024C0A" w:rsidRDefault="00694C0F">
      <w:pPr>
        <w:pStyle w:val="Heading3"/>
      </w:pPr>
      <w:bookmarkStart w:id="2713" w:name="section_8aee936cdf55410c88707cb257d71f26"/>
      <w:bookmarkStart w:id="2714" w:name="_Toc12261417"/>
      <w:r>
        <w:t>Part 1 Section 20.4.2.11, positionV (Vertical Positioning)</w:t>
      </w:r>
      <w:bookmarkEnd w:id="2713"/>
      <w:bookmarkEnd w:id="2714"/>
      <w:r>
        <w:fldChar w:fldCharType="begin"/>
      </w:r>
      <w:r>
        <w:instrText xml:space="preserve"> XE "positionV (Vertical Positioning)" </w:instrText>
      </w:r>
      <w:r>
        <w:fldChar w:fldCharType="end"/>
      </w:r>
    </w:p>
    <w:p w:rsidR="00024C0A" w:rsidRDefault="00694C0F">
      <w:pPr>
        <w:pStyle w:val="Definition-Field"/>
      </w:pPr>
      <w:r>
        <w:t xml:space="preserve">a.   </w:t>
      </w:r>
      <w:r>
        <w:rPr>
          <w:i/>
        </w:rPr>
        <w:t>The standard states that paragraph is a valid value of the relativeFrom attribute.</w:t>
      </w:r>
    </w:p>
    <w:p w:rsidR="00024C0A" w:rsidRDefault="00694C0F">
      <w:pPr>
        <w:pStyle w:val="Definition-Field2"/>
      </w:pPr>
      <w:r>
        <w:t>Word does not allow this value on this attribute.</w:t>
      </w:r>
    </w:p>
    <w:p w:rsidR="00024C0A" w:rsidRDefault="00694C0F">
      <w:pPr>
        <w:pStyle w:val="Heading3"/>
      </w:pPr>
      <w:bookmarkStart w:id="2715" w:name="section_2897355e41e04be5a27ea94fe8c6de66"/>
      <w:bookmarkStart w:id="2716" w:name="_Toc12261418"/>
      <w:r>
        <w:t>Part 1 Section 20.4.2.13, simplePos (Simple Positioning Coordinates)</w:t>
      </w:r>
      <w:bookmarkEnd w:id="2715"/>
      <w:bookmarkEnd w:id="2716"/>
      <w:r>
        <w:fldChar w:fldCharType="begin"/>
      </w:r>
      <w:r>
        <w:instrText xml:space="preserve"> XE "simplePos (Simple Positioning Coordinates)"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024C0A" w:rsidRDefault="00694C0F">
      <w:pPr>
        <w:pStyle w:val="Heading3"/>
      </w:pPr>
      <w:bookmarkStart w:id="2717" w:name="section_66c78b0f4a004202973efe6762037678"/>
      <w:bookmarkStart w:id="2718" w:name="_Toc12261419"/>
      <w:r>
        <w:t>Part 1 Section 20.4.2.14, start (Wrapping Polygon Start)</w:t>
      </w:r>
      <w:bookmarkEnd w:id="2717"/>
      <w:bookmarkEnd w:id="2718"/>
      <w:r>
        <w:fldChar w:fldCharType="begin"/>
      </w:r>
      <w:r>
        <w:instrText xml:space="preserve"> XE "start (Wrapping Polygon Start)"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024C0A" w:rsidRDefault="00694C0F">
      <w:pPr>
        <w:pStyle w:val="Definition-Field"/>
      </w:pPr>
      <w:r>
        <w:t xml:space="preserve">a.   </w:t>
      </w:r>
      <w:r>
        <w:rPr>
          <w:i/>
        </w:rPr>
        <w:t>The standard states that the x and y attributes are represented in EMUs.</w:t>
      </w:r>
    </w:p>
    <w:p w:rsidR="00024C0A" w:rsidRDefault="00694C0F">
      <w:pPr>
        <w:pStyle w:val="Definition-Field2"/>
      </w:pPr>
      <w:r>
        <w:t>Office interprets the x and y attributes in a fixed coordinate space of 21600x21600.</w:t>
      </w:r>
    </w:p>
    <w:p w:rsidR="00024C0A" w:rsidRDefault="00694C0F">
      <w:pPr>
        <w:pStyle w:val="Heading3"/>
      </w:pPr>
      <w:bookmarkStart w:id="2719" w:name="section_402ec9e26e424ba9a866742937152087"/>
      <w:bookmarkStart w:id="2720" w:name="_Toc12261420"/>
      <w:r>
        <w:t>Part 1 Section 20.5.2.2, blipFill (Pictur</w:t>
      </w:r>
      <w:r>
        <w:t>e Fill)</w:t>
      </w:r>
      <w:bookmarkEnd w:id="2719"/>
      <w:bookmarkEnd w:id="2720"/>
      <w:r>
        <w:fldChar w:fldCharType="begin"/>
      </w:r>
      <w:r>
        <w:instrText xml:space="preserve"> XE "blipFill (Picture Fill)"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024C0A" w:rsidRDefault="00694C0F">
      <w:pPr>
        <w:pStyle w:val="Heading3"/>
      </w:pPr>
      <w:bookmarkStart w:id="2721" w:name="section_3d4d8b5b07bd48f588194c8adae68ad3"/>
      <w:bookmarkStart w:id="2722" w:name="_Toc12261421"/>
      <w:r>
        <w:t>Part 1 Section 20.5.2.8, cNvPr (Non-Vis</w:t>
      </w:r>
      <w:r>
        <w:t>ual Drawing Properties)</w:t>
      </w:r>
      <w:bookmarkEnd w:id="2721"/>
      <w:bookmarkEnd w:id="2722"/>
      <w:r>
        <w:fldChar w:fldCharType="begin"/>
      </w:r>
      <w:r>
        <w:instrText xml:space="preserve"> XE "cNvPr (Non-Visual Drawing Properties)" </w:instrText>
      </w:r>
      <w:r>
        <w:fldChar w:fldCharType="end"/>
      </w:r>
    </w:p>
    <w:p w:rsidR="00024C0A" w:rsidRDefault="00694C0F">
      <w:pPr>
        <w:pStyle w:val="Definition-Field"/>
      </w:pPr>
      <w:r>
        <w:t xml:space="preserve">a.   </w:t>
      </w:r>
      <w:r>
        <w:rPr>
          <w:i/>
        </w:rPr>
        <w:t>The standard includes hlinkHover as a child of cNvPr.</w:t>
      </w:r>
    </w:p>
    <w:p w:rsidR="00024C0A" w:rsidRDefault="00694C0F">
      <w:pPr>
        <w:pStyle w:val="Definition-Field2"/>
      </w:pPr>
      <w:r>
        <w:t>Excel does not support child element hlinkHover.</w:t>
      </w:r>
    </w:p>
    <w:p w:rsidR="00024C0A" w:rsidRDefault="00694C0F">
      <w:pPr>
        <w:pStyle w:val="Heading3"/>
      </w:pPr>
      <w:bookmarkStart w:id="2723" w:name="section_bbed63eb85914393833e85b7e01a40df"/>
      <w:bookmarkStart w:id="2724" w:name="_Toc12261422"/>
      <w:r>
        <w:lastRenderedPageBreak/>
        <w:t>Part 1 Section 20.5.2.9, cNvSpPr (Connection Non-Visual Shape Properties)</w:t>
      </w:r>
      <w:bookmarkEnd w:id="2723"/>
      <w:bookmarkEnd w:id="2724"/>
      <w:r>
        <w:fldChar w:fldCharType="begin"/>
      </w:r>
      <w:r>
        <w:instrText xml:space="preserve"> XE "</w:instrText>
      </w:r>
      <w:r>
        <w:instrText xml:space="preserve">cNvSpPr (Connection Non-Visual Shape Properties)" </w:instrText>
      </w:r>
      <w:r>
        <w:fldChar w:fldCharType="end"/>
      </w:r>
    </w:p>
    <w:p w:rsidR="00024C0A" w:rsidRDefault="00694C0F">
      <w:pPr>
        <w:pStyle w:val="Definition-Field"/>
      </w:pPr>
      <w:r>
        <w:t xml:space="preserve">a.   </w:t>
      </w:r>
      <w:r>
        <w:rPr>
          <w:i/>
        </w:rPr>
        <w:t>The standard implies that the cNvSpPr element describes the non-visual properties for a connection shape.</w:t>
      </w:r>
    </w:p>
    <w:p w:rsidR="00024C0A" w:rsidRDefault="00694C0F">
      <w:pPr>
        <w:pStyle w:val="Definition-Field2"/>
      </w:pPr>
      <w:r>
        <w:t>In Office and the schema, this element describes the non-visual properties for a shape.</w:t>
      </w:r>
    </w:p>
    <w:p w:rsidR="00024C0A" w:rsidRDefault="00694C0F">
      <w:pPr>
        <w:pStyle w:val="Heading3"/>
      </w:pPr>
      <w:bookmarkStart w:id="2725" w:name="section_dd4af5b20e014bc08c6bce9ac6611646"/>
      <w:bookmarkStart w:id="2726" w:name="_Toc12261423"/>
      <w:r>
        <w:t>Part</w:t>
      </w:r>
      <w:r>
        <w:t xml:space="preserve"> 1 Section 20.5.2.10, col (Column))</w:t>
      </w:r>
      <w:bookmarkEnd w:id="2725"/>
      <w:bookmarkEnd w:id="2726"/>
      <w:r>
        <w:fldChar w:fldCharType="begin"/>
      </w:r>
      <w:r>
        <w:instrText xml:space="preserve"> XE "col (Column))" </w:instrText>
      </w:r>
      <w:r>
        <w:fldChar w:fldCharType="end"/>
      </w:r>
    </w:p>
    <w:p w:rsidR="00024C0A" w:rsidRDefault="00694C0F">
      <w:pPr>
        <w:pStyle w:val="Definition-Field"/>
      </w:pPr>
      <w:r>
        <w:t xml:space="preserve">a.   </w:t>
      </w:r>
      <w:r>
        <w:rPr>
          <w:i/>
        </w:rPr>
        <w:t>The standard specifies the maximum number of columns as unbounded.</w:t>
      </w:r>
    </w:p>
    <w:p w:rsidR="00024C0A" w:rsidRDefault="00694C0F">
      <w:pPr>
        <w:pStyle w:val="Definition-Field2"/>
      </w:pPr>
      <w:r>
        <w:t>In Excel, the maximum number of columns is 16383.</w:t>
      </w:r>
    </w:p>
    <w:p w:rsidR="00024C0A" w:rsidRDefault="00694C0F">
      <w:pPr>
        <w:pStyle w:val="Heading3"/>
      </w:pPr>
      <w:bookmarkStart w:id="2727" w:name="section_f7105a1c34964b13952237af2be9823d"/>
      <w:bookmarkStart w:id="2728" w:name="_Toc12261424"/>
      <w:r>
        <w:t>Part 1 Section 20.5.2.11, colOff (Column Offset)</w:t>
      </w:r>
      <w:bookmarkEnd w:id="2727"/>
      <w:bookmarkEnd w:id="2728"/>
      <w:r>
        <w:fldChar w:fldCharType="begin"/>
      </w:r>
      <w:r>
        <w:instrText xml:space="preserve"> XE "colOff (Column Offset)"</w:instrText>
      </w:r>
      <w:r>
        <w:instrText xml:space="preserve"> </w:instrText>
      </w:r>
      <w:r>
        <w:fldChar w:fldCharType="end"/>
      </w:r>
    </w:p>
    <w:p w:rsidR="00024C0A" w:rsidRDefault="00694C0F">
      <w:pPr>
        <w:pStyle w:val="Definition-Field"/>
      </w:pPr>
      <w:r>
        <w:t xml:space="preserve">a.   </w:t>
      </w:r>
      <w:r>
        <w:rPr>
          <w:i/>
        </w:rPr>
        <w:t>The standard states that the colOff element accepts any value up to 27273042316900.</w:t>
      </w:r>
    </w:p>
    <w:p w:rsidR="00024C0A" w:rsidRDefault="00694C0F">
      <w:pPr>
        <w:pStyle w:val="Definition-Field2"/>
      </w:pPr>
      <w:r>
        <w:t>Office does not draw the shape if colOff has a value over 20454781742437.</w:t>
      </w:r>
    </w:p>
    <w:p w:rsidR="00024C0A" w:rsidRDefault="00694C0F">
      <w:pPr>
        <w:pStyle w:val="Heading3"/>
      </w:pPr>
      <w:bookmarkStart w:id="2729" w:name="section_c39b2737700f49d68c31f480ac51f5c6"/>
      <w:bookmarkStart w:id="2730" w:name="_Toc12261425"/>
      <w:r>
        <w:t>Part 1 Section 20.5.2.13, cxnSp (Connection Shape)</w:t>
      </w:r>
      <w:bookmarkEnd w:id="2729"/>
      <w:bookmarkEnd w:id="2730"/>
      <w:r>
        <w:fldChar w:fldCharType="begin"/>
      </w:r>
      <w:r>
        <w:instrText xml:space="preserve"> XE "cxnSp (Connection Shape)" </w:instrText>
      </w:r>
      <w:r>
        <w:fldChar w:fldCharType="end"/>
      </w:r>
    </w:p>
    <w:p w:rsidR="00024C0A" w:rsidRDefault="00694C0F">
      <w:pPr>
        <w:pStyle w:val="Definition-Field"/>
      </w:pPr>
      <w:r>
        <w:t xml:space="preserve">a.   </w:t>
      </w:r>
      <w:r>
        <w:rPr>
          <w:i/>
        </w:rPr>
        <w:t>The standard states that the values of the macro attribute are defined by the XML Schema string datatype.</w:t>
      </w:r>
    </w:p>
    <w:p w:rsidR="00024C0A" w:rsidRDefault="00694C0F">
      <w:pPr>
        <w:pStyle w:val="Definition-Field2"/>
      </w:pPr>
      <w:r>
        <w:t>Office requires that the macro attribute value follow the same grammar as name-references ("</w:t>
      </w:r>
      <w:hyperlink r:id="rId187">
        <w:r>
          <w:rPr>
            <w:rStyle w:val="Hyperlink"/>
          </w:rPr>
          <w:t>[ISO/IEC-29500-1]</w:t>
        </w:r>
      </w:hyperlink>
      <w:r>
        <w:t xml:space="preserve"> §18.17.2.5") with a minimum length of 0 characters and a maximum length of 256 characters.</w:t>
      </w:r>
    </w:p>
    <w:p w:rsidR="00024C0A" w:rsidRDefault="00694C0F">
      <w:pPr>
        <w:pStyle w:val="Heading3"/>
      </w:pPr>
      <w:bookmarkStart w:id="2731" w:name="section_d0cb27de1bb348c392d04ce443c8073a"/>
      <w:bookmarkStart w:id="2732" w:name="_Toc12261426"/>
      <w:r>
        <w:t>Part 1 Section 20.5.2.14, ext (Shape Extent)</w:t>
      </w:r>
      <w:bookmarkEnd w:id="2731"/>
      <w:bookmarkEnd w:id="2732"/>
      <w:r>
        <w:fldChar w:fldCharType="begin"/>
      </w:r>
      <w:r>
        <w:instrText xml:space="preserve"> XE "ext (Shape Extent)"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024C0A" w:rsidRDefault="00694C0F">
      <w:pPr>
        <w:pStyle w:val="Heading3"/>
      </w:pPr>
      <w:bookmarkStart w:id="2733" w:name="section_e1dfdbace29c4c9e94769f52adaacd00"/>
      <w:bookmarkStart w:id="2734" w:name="_Toc12261427"/>
      <w:r>
        <w:t>Part 1 Section 20.5.2.15, from (Starting Anchor Point)</w:t>
      </w:r>
      <w:bookmarkEnd w:id="2733"/>
      <w:bookmarkEnd w:id="2734"/>
      <w:r>
        <w:fldChar w:fldCharType="begin"/>
      </w:r>
      <w:r>
        <w:instrText xml:space="preserve"> XE "from (Starting Anchor Po</w:instrText>
      </w:r>
      <w:r>
        <w:instrText xml:space="preserve">int)" </w:instrText>
      </w:r>
      <w:r>
        <w:fldChar w:fldCharType="end"/>
      </w:r>
    </w:p>
    <w:p w:rsidR="00024C0A" w:rsidRDefault="00694C0F">
      <w:pPr>
        <w:pStyle w:val="Definition-Field"/>
      </w:pPr>
      <w:r>
        <w:t xml:space="preserve">a.   </w:t>
      </w:r>
      <w:r>
        <w:rPr>
          <w:i/>
        </w:rPr>
        <w:t>The standard does not define any relationship between top/left and bottom/right, respectively.</w:t>
      </w:r>
    </w:p>
    <w:p w:rsidR="00024C0A" w:rsidRDefault="00694C0F">
      <w:pPr>
        <w:pStyle w:val="Definition-Field2"/>
      </w:pPr>
      <w:r>
        <w:t>In Excel, top/left should be smaller than or equal to bottom/right. If these conditions are not met, the shape is not rendered.</w:t>
      </w:r>
    </w:p>
    <w:p w:rsidR="00024C0A" w:rsidRDefault="00694C0F">
      <w:pPr>
        <w:pStyle w:val="Heading3"/>
      </w:pPr>
      <w:bookmarkStart w:id="2735" w:name="section_a64e434cd5194cec945b0cc428546308"/>
      <w:bookmarkStart w:id="2736" w:name="_Toc12261428"/>
      <w:r>
        <w:t>Part 1 Section 20.5.2.16, graphicFrame (Graphic Frame)</w:t>
      </w:r>
      <w:bookmarkEnd w:id="2735"/>
      <w:bookmarkEnd w:id="2736"/>
      <w:r>
        <w:fldChar w:fldCharType="begin"/>
      </w:r>
      <w:r>
        <w:instrText xml:space="preserve"> XE "graphicFrame (Graphic Frame)" </w:instrText>
      </w:r>
      <w:r>
        <w:fldChar w:fldCharType="end"/>
      </w:r>
    </w:p>
    <w:p w:rsidR="00024C0A" w:rsidRDefault="00694C0F">
      <w:pPr>
        <w:pStyle w:val="Definition-Field"/>
      </w:pPr>
      <w:r>
        <w:t xml:space="preserve">a.   </w:t>
      </w:r>
      <w:r>
        <w:rPr>
          <w:i/>
        </w:rPr>
        <w:t>The standard states that the values of the macro attribute are defined by the XML Schema string datatype.</w:t>
      </w:r>
    </w:p>
    <w:p w:rsidR="00024C0A" w:rsidRDefault="00694C0F">
      <w:pPr>
        <w:pStyle w:val="Definition-Field2"/>
      </w:pPr>
      <w:r>
        <w:t>Office requires that the macro attribute value follow</w:t>
      </w:r>
      <w:r>
        <w:t xml:space="preserve"> the same grammar as name-references ("</w:t>
      </w:r>
      <w:hyperlink r:id="rId188">
        <w:r>
          <w:rPr>
            <w:rStyle w:val="Hyperlink"/>
          </w:rPr>
          <w:t>[ISO/IEC-29500-1]</w:t>
        </w:r>
      </w:hyperlink>
      <w:r>
        <w:t xml:space="preserve"> §18.17.2.5") with a minimum length of 0 characters and a maximum length of 256 characters.</w:t>
      </w:r>
    </w:p>
    <w:p w:rsidR="00024C0A" w:rsidRDefault="00694C0F">
      <w:pPr>
        <w:pStyle w:val="Heading3"/>
      </w:pPr>
      <w:bookmarkStart w:id="2737" w:name="section_0b7e3dab028b4c2285e631bc3dc52e04"/>
      <w:bookmarkStart w:id="2738" w:name="_Toc12261429"/>
      <w:r>
        <w:t>Part 1 Section 20.5.2.18, grpSpPr (Group S</w:t>
      </w:r>
      <w:r>
        <w:t>hape Properties)</w:t>
      </w:r>
      <w:bookmarkEnd w:id="2737"/>
      <w:bookmarkEnd w:id="2738"/>
      <w:r>
        <w:fldChar w:fldCharType="begin"/>
      </w:r>
      <w:r>
        <w:instrText xml:space="preserve"> XE "grpSpPr (Group Shape Properties)" </w:instrText>
      </w:r>
      <w:r>
        <w:fldChar w:fldCharType="end"/>
      </w:r>
    </w:p>
    <w:p w:rsidR="00024C0A" w:rsidRDefault="00694C0F">
      <w:pPr>
        <w:pStyle w:val="Definition-Field"/>
      </w:pPr>
      <w:r>
        <w:t xml:space="preserve">a.   </w:t>
      </w:r>
      <w:r>
        <w:rPr>
          <w:i/>
        </w:rPr>
        <w:t>The standard states that bwMode is a valid attribute on the grpSpPr element.</w:t>
      </w:r>
    </w:p>
    <w:p w:rsidR="00024C0A" w:rsidRDefault="00694C0F">
      <w:pPr>
        <w:pStyle w:val="Definition-Field2"/>
      </w:pPr>
      <w:r>
        <w:t>Excel and Word do not support the bwMode attribute on this element.</w:t>
      </w:r>
    </w:p>
    <w:p w:rsidR="00024C0A" w:rsidRDefault="00694C0F">
      <w:pPr>
        <w:pStyle w:val="Definition-Field"/>
      </w:pPr>
      <w:r>
        <w:lastRenderedPageBreak/>
        <w:t xml:space="preserve">b.   </w:t>
      </w:r>
      <w:r>
        <w:rPr>
          <w:i/>
        </w:rPr>
        <w:t>The standard does not describe the relation</w:t>
      </w:r>
      <w:r>
        <w:rPr>
          <w:i/>
        </w:rPr>
        <w:t>ship between group shapes and their child shapes with respect to bwMode.</w:t>
      </w:r>
    </w:p>
    <w:p w:rsidR="00024C0A" w:rsidRDefault="00694C0F">
      <w:pPr>
        <w:pStyle w:val="Definition-Field2"/>
      </w:pPr>
      <w:r>
        <w:t>In Office, bwMode set at the group level should set bwMode for child shapes.</w:t>
      </w:r>
    </w:p>
    <w:p w:rsidR="00024C0A" w:rsidRDefault="00694C0F">
      <w:pPr>
        <w:pStyle w:val="Definition-Field"/>
      </w:pPr>
      <w:r>
        <w:t xml:space="preserve">c.   </w:t>
      </w:r>
      <w:r>
        <w:rPr>
          <w:i/>
        </w:rPr>
        <w:t>The standard states that the bwMode attribute specifies that the group shape should be rendered using</w:t>
      </w:r>
      <w:r>
        <w:rPr>
          <w:i/>
        </w:rPr>
        <w:t xml:space="preserve"> only black and white coloring.</w:t>
      </w:r>
    </w:p>
    <w:p w:rsidR="00024C0A" w:rsidRDefault="00694C0F">
      <w:pPr>
        <w:pStyle w:val="Definition-Field2"/>
      </w:pPr>
      <w:r>
        <w:t>Office uses this attribute to specify how the group shape should be rendered when in black and white mode.</w:t>
      </w:r>
    </w:p>
    <w:p w:rsidR="00024C0A" w:rsidRDefault="00694C0F">
      <w:pPr>
        <w:pStyle w:val="Heading3"/>
      </w:pPr>
      <w:bookmarkStart w:id="2739" w:name="section_40e963da7d5241599f8632ae4a5576e4"/>
      <w:bookmarkStart w:id="2740" w:name="_Toc12261430"/>
      <w:r>
        <w:t>Part 1 Section 20.5.2.25, pic (Picture)</w:t>
      </w:r>
      <w:bookmarkEnd w:id="2739"/>
      <w:bookmarkEnd w:id="2740"/>
      <w:r>
        <w:fldChar w:fldCharType="begin"/>
      </w:r>
      <w:r>
        <w:instrText xml:space="preserve"> XE "pic (Picture)" </w:instrText>
      </w:r>
      <w:r>
        <w:fldChar w:fldCharType="end"/>
      </w:r>
    </w:p>
    <w:p w:rsidR="00024C0A" w:rsidRDefault="00694C0F">
      <w:pPr>
        <w:pStyle w:val="Definition-Field"/>
      </w:pPr>
      <w:r>
        <w:t xml:space="preserve">a.   </w:t>
      </w:r>
      <w:r>
        <w:rPr>
          <w:i/>
        </w:rPr>
        <w:t>The standard states that the values of the macro a</w:t>
      </w:r>
      <w:r>
        <w:rPr>
          <w:i/>
        </w:rPr>
        <w:t>ttribute are defined by the XML Schema string datatype.</w:t>
      </w:r>
    </w:p>
    <w:p w:rsidR="00024C0A" w:rsidRDefault="00694C0F">
      <w:pPr>
        <w:pStyle w:val="Definition-Field2"/>
      </w:pPr>
      <w:r>
        <w:t>Office requires that the macro attribute value follow the same grammar as name-references ("</w:t>
      </w:r>
      <w:hyperlink r:id="rId189">
        <w:r>
          <w:rPr>
            <w:rStyle w:val="Hyperlink"/>
          </w:rPr>
          <w:t>[ISO/IEC-29500-1]</w:t>
        </w:r>
      </w:hyperlink>
      <w:r>
        <w:t xml:space="preserve"> §18.17.2.5") with a mini</w:t>
      </w:r>
      <w:r>
        <w:t>mum length of 0 characters and a maximum length of 256 characters.</w:t>
      </w:r>
    </w:p>
    <w:p w:rsidR="00024C0A" w:rsidRDefault="00694C0F">
      <w:pPr>
        <w:pStyle w:val="Heading3"/>
      </w:pPr>
      <w:bookmarkStart w:id="2741" w:name="section_44d97ef766e5453ea58681cf80c0c3a0"/>
      <w:bookmarkStart w:id="2742" w:name="_Toc12261431"/>
      <w:r>
        <w:t>Part 1 Section 20.5.2.26, pos (Position)</w:t>
      </w:r>
      <w:bookmarkEnd w:id="2741"/>
      <w:bookmarkEnd w:id="2742"/>
      <w:r>
        <w:fldChar w:fldCharType="begin"/>
      </w:r>
      <w:r>
        <w:instrText xml:space="preserve"> XE "pos (Position)"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024C0A" w:rsidRDefault="00694C0F">
      <w:pPr>
        <w:pStyle w:val="Heading3"/>
      </w:pPr>
      <w:bookmarkStart w:id="2743" w:name="section_049c8b2ba9994b97ace28d521d73d00c"/>
      <w:bookmarkStart w:id="2744" w:name="_Toc12261432"/>
      <w:r>
        <w:t>Part 1 Section 20.5.2.27, row (Row)</w:t>
      </w:r>
      <w:bookmarkEnd w:id="2743"/>
      <w:bookmarkEnd w:id="2744"/>
      <w:r>
        <w:fldChar w:fldCharType="begin"/>
      </w:r>
      <w:r>
        <w:instrText xml:space="preserve"> XE "row (Row)" </w:instrText>
      </w:r>
      <w:r>
        <w:fldChar w:fldCharType="end"/>
      </w:r>
    </w:p>
    <w:p w:rsidR="00024C0A" w:rsidRDefault="00694C0F">
      <w:pPr>
        <w:pStyle w:val="Definition-Field"/>
      </w:pPr>
      <w:r>
        <w:t xml:space="preserve">a.   </w:t>
      </w:r>
      <w:r>
        <w:rPr>
          <w:i/>
        </w:rPr>
        <w:t>The standard allows the number of rows to be unbounded.</w:t>
      </w:r>
    </w:p>
    <w:p w:rsidR="00024C0A" w:rsidRDefault="00694C0F">
      <w:pPr>
        <w:pStyle w:val="Definition-Field2"/>
      </w:pPr>
      <w:r>
        <w:t>The maximum number of rows allowed by Office is 1048575.</w:t>
      </w:r>
    </w:p>
    <w:p w:rsidR="00024C0A" w:rsidRDefault="00694C0F">
      <w:pPr>
        <w:pStyle w:val="Heading3"/>
      </w:pPr>
      <w:bookmarkStart w:id="2745" w:name="section_2022337ea5034115b0da146bdcfa7a76"/>
      <w:bookmarkStart w:id="2746" w:name="_Toc12261433"/>
      <w:r>
        <w:t>Part 1 Section 20.5.2.28, rowOff (R</w:t>
      </w:r>
      <w:r>
        <w:t>ow Offset)</w:t>
      </w:r>
      <w:bookmarkEnd w:id="2745"/>
      <w:bookmarkEnd w:id="2746"/>
      <w:r>
        <w:fldChar w:fldCharType="begin"/>
      </w:r>
      <w:r>
        <w:instrText xml:space="preserve"> XE "rowOff (Row Offset)" </w:instrText>
      </w:r>
      <w:r>
        <w:fldChar w:fldCharType="end"/>
      </w:r>
    </w:p>
    <w:p w:rsidR="00024C0A" w:rsidRDefault="00694C0F">
      <w:pPr>
        <w:pStyle w:val="Definition-Field"/>
      </w:pPr>
      <w:r>
        <w:t xml:space="preserve">a.   </w:t>
      </w:r>
      <w:r>
        <w:rPr>
          <w:i/>
        </w:rPr>
        <w:t>The standard states that the rowOff element accepts any value up to 27273042316900.</w:t>
      </w:r>
    </w:p>
    <w:p w:rsidR="00024C0A" w:rsidRDefault="00694C0F">
      <w:pPr>
        <w:pStyle w:val="Definition-Field2"/>
      </w:pPr>
      <w:r>
        <w:t>Office does not draw the shape if rowOff has a value over 20454781742437.</w:t>
      </w:r>
    </w:p>
    <w:p w:rsidR="00024C0A" w:rsidRDefault="00694C0F">
      <w:pPr>
        <w:pStyle w:val="Heading3"/>
      </w:pPr>
      <w:bookmarkStart w:id="2747" w:name="section_50d51c6ff4084539a65649f1968204a3"/>
      <w:bookmarkStart w:id="2748" w:name="_Toc12261434"/>
      <w:r>
        <w:t>Part 1 Section 20.5.2.29, sp (Shape)</w:t>
      </w:r>
      <w:bookmarkEnd w:id="2747"/>
      <w:bookmarkEnd w:id="2748"/>
      <w:r>
        <w:fldChar w:fldCharType="begin"/>
      </w:r>
      <w:r>
        <w:instrText xml:space="preserve"> XE "sp (Shape)" </w:instrText>
      </w:r>
      <w:r>
        <w:fldChar w:fldCharType="end"/>
      </w:r>
    </w:p>
    <w:p w:rsidR="00024C0A" w:rsidRDefault="00694C0F">
      <w:pPr>
        <w:pStyle w:val="Definition-Field"/>
      </w:pPr>
      <w:r>
        <w:t xml:space="preserve">a.   </w:t>
      </w:r>
      <w:r>
        <w:rPr>
          <w:i/>
        </w:rPr>
        <w:t>The standard states that textlink is a formula linking to spreadsheet cell data.</w:t>
      </w:r>
    </w:p>
    <w:p w:rsidR="00024C0A" w:rsidRDefault="00694C0F">
      <w:pPr>
        <w:pStyle w:val="Definition-Field2"/>
      </w:pPr>
      <w:r>
        <w:t xml:space="preserve">Excel requires that the value of the textlink attribute be a string referencing a cell or a cell range. It should reference a unique cell, as only the first cell in a </w:t>
      </w:r>
      <w:r>
        <w:t>cell range will be considered.</w:t>
      </w:r>
    </w:p>
    <w:p w:rsidR="00024C0A" w:rsidRDefault="00694C0F">
      <w:pPr>
        <w:pStyle w:val="Definition-Field"/>
      </w:pPr>
      <w:r>
        <w:t xml:space="preserve">b.   </w:t>
      </w:r>
      <w:r>
        <w:rPr>
          <w:i/>
        </w:rPr>
        <w:t>In the standard, child element txBody has minOccurs equal to zero.</w:t>
      </w:r>
    </w:p>
    <w:p w:rsidR="00024C0A" w:rsidRDefault="00694C0F">
      <w:pPr>
        <w:pStyle w:val="Definition-Field2"/>
      </w:pPr>
      <w:r>
        <w:t>In Excel, if optional attribute textlink is specified, child element txBody is required.</w:t>
      </w:r>
    </w:p>
    <w:p w:rsidR="00024C0A" w:rsidRDefault="00694C0F">
      <w:pPr>
        <w:pStyle w:val="Definition-Field"/>
      </w:pPr>
      <w:r>
        <w:t xml:space="preserve">c.   </w:t>
      </w:r>
      <w:r>
        <w:rPr>
          <w:i/>
        </w:rPr>
        <w:t xml:space="preserve">The standard states that the values of the macro attribute </w:t>
      </w:r>
      <w:r>
        <w:rPr>
          <w:i/>
        </w:rPr>
        <w:t>are defined by the XML Schema string datatype.</w:t>
      </w:r>
    </w:p>
    <w:p w:rsidR="00024C0A" w:rsidRDefault="00694C0F">
      <w:pPr>
        <w:pStyle w:val="Definition-Field2"/>
      </w:pPr>
      <w:r>
        <w:t>Office requires that the macro attribute value follow the same grammar as name-references ("</w:t>
      </w:r>
      <w:hyperlink r:id="rId190">
        <w:r>
          <w:rPr>
            <w:rStyle w:val="Hyperlink"/>
          </w:rPr>
          <w:t>[ISO/IEC-29500-1]</w:t>
        </w:r>
      </w:hyperlink>
      <w:r>
        <w:t xml:space="preserve"> §18.17.2.5") with a minimum lengt</w:t>
      </w:r>
      <w:r>
        <w:t>h of 0 characters and a maximum length of 256 characters.</w:t>
      </w:r>
    </w:p>
    <w:p w:rsidR="00024C0A" w:rsidRDefault="00694C0F">
      <w:pPr>
        <w:pStyle w:val="Heading3"/>
      </w:pPr>
      <w:bookmarkStart w:id="2749" w:name="section_a10c455e7a6e44c5bf8cfb7c2b3e2eac"/>
      <w:bookmarkStart w:id="2750" w:name="_Toc12261435"/>
      <w:r>
        <w:lastRenderedPageBreak/>
        <w:t>Part 1 Section 20.5.2.30, spPr (Shape Properties)</w:t>
      </w:r>
      <w:bookmarkEnd w:id="2749"/>
      <w:bookmarkEnd w:id="2750"/>
      <w:r>
        <w:fldChar w:fldCharType="begin"/>
      </w:r>
      <w:r>
        <w:instrText xml:space="preserve"> XE "spPr (Shape Properties)" </w:instrText>
      </w:r>
      <w:r>
        <w:fldChar w:fldCharType="end"/>
      </w:r>
    </w:p>
    <w:p w:rsidR="00024C0A" w:rsidRDefault="00694C0F">
      <w:pPr>
        <w:pStyle w:val="Definition-Field"/>
      </w:pPr>
      <w:r>
        <w:t xml:space="preserve">a.   </w:t>
      </w:r>
      <w:r>
        <w:rPr>
          <w:i/>
        </w:rPr>
        <w:t>The standard states that bwMode is a valid attribute on the spPr element.</w:t>
      </w:r>
    </w:p>
    <w:p w:rsidR="00024C0A" w:rsidRDefault="00694C0F">
      <w:pPr>
        <w:pStyle w:val="Definition-Field2"/>
      </w:pPr>
      <w:r>
        <w:t xml:space="preserve">Excel and Word do not support this </w:t>
      </w:r>
      <w:r>
        <w:t>attribute on this element.</w:t>
      </w:r>
    </w:p>
    <w:p w:rsidR="00024C0A" w:rsidRDefault="00694C0F">
      <w:pPr>
        <w:pStyle w:val="Definition-Field"/>
      </w:pPr>
      <w:r>
        <w:t xml:space="preserve">b.   </w:t>
      </w:r>
      <w:r>
        <w:rPr>
          <w:i/>
        </w:rPr>
        <w:t>The standard states that the spPr element specifies the visual shape properties that can be applied to a special shape such as a connector shape or picture.</w:t>
      </w:r>
    </w:p>
    <w:p w:rsidR="00024C0A" w:rsidRDefault="00694C0F">
      <w:pPr>
        <w:pStyle w:val="Definition-Field2"/>
      </w:pPr>
      <w:r>
        <w:t>Office uses this element to specify the visual shape properties tha</w:t>
      </w:r>
      <w:r>
        <w:t>t can be applied to shapes, connector shapes, or pictures.</w:t>
      </w:r>
    </w:p>
    <w:p w:rsidR="00024C0A" w:rsidRDefault="00694C0F">
      <w:pPr>
        <w:pStyle w:val="Definition-Field"/>
      </w:pPr>
      <w:r>
        <w:t xml:space="preserve">c.   </w:t>
      </w:r>
      <w:r>
        <w:rPr>
          <w:i/>
        </w:rPr>
        <w:t>The standard states that the bwMode attribute specifies that the group shape should be rendered using only black and white coloring.</w:t>
      </w:r>
    </w:p>
    <w:p w:rsidR="00024C0A" w:rsidRDefault="00694C0F">
      <w:pPr>
        <w:pStyle w:val="Definition-Field2"/>
      </w:pPr>
      <w:r>
        <w:t>Office uses this attribute to specify how the group shape s</w:t>
      </w:r>
      <w:r>
        <w:t>hould be rendered when in black and white mode.</w:t>
      </w:r>
    </w:p>
    <w:p w:rsidR="00024C0A" w:rsidRDefault="00694C0F">
      <w:pPr>
        <w:pStyle w:val="Heading3"/>
      </w:pPr>
      <w:bookmarkStart w:id="2751" w:name="section_b4ca93ee062340bc95b3e67d306216ba"/>
      <w:bookmarkStart w:id="2752" w:name="_Toc12261436"/>
      <w:r>
        <w:t>Part 1 Section 20.5.2.31, style (Shape Style)</w:t>
      </w:r>
      <w:bookmarkEnd w:id="2751"/>
      <w:bookmarkEnd w:id="2752"/>
      <w:r>
        <w:fldChar w:fldCharType="begin"/>
      </w:r>
      <w:r>
        <w:instrText xml:space="preserve"> XE "style (Shape Style)" </w:instrText>
      </w:r>
      <w:r>
        <w:fldChar w:fldCharType="end"/>
      </w:r>
    </w:p>
    <w:p w:rsidR="00024C0A" w:rsidRDefault="00694C0F">
      <w:pPr>
        <w:pStyle w:val="Definition-Field"/>
      </w:pPr>
      <w:r>
        <w:t xml:space="preserve">a.   </w:t>
      </w:r>
      <w:r>
        <w:rPr>
          <w:i/>
        </w:rPr>
        <w:t>The standard allows a sp, pic or cxnSp to have similar formatting options defined in both the style and spPr elements.</w:t>
      </w:r>
    </w:p>
    <w:p w:rsidR="00024C0A" w:rsidRDefault="00694C0F">
      <w:pPr>
        <w:pStyle w:val="Definition-Field2"/>
      </w:pPr>
      <w:r>
        <w:t>In Office,</w:t>
      </w:r>
      <w:r>
        <w:t xml:space="preserve"> shape properties defined on the parent element will override similar style components (lnRef, effectRef, fillRef, fontRef) defined in this element.</w:t>
      </w:r>
    </w:p>
    <w:p w:rsidR="00024C0A" w:rsidRDefault="00694C0F">
      <w:pPr>
        <w:pStyle w:val="Definition-Field"/>
      </w:pPr>
      <w:r>
        <w:t xml:space="preserve">b.   </w:t>
      </w:r>
      <w:r>
        <w:rPr>
          <w:i/>
        </w:rPr>
        <w:t>The standard allows similar text formatting properties to be defined for parent element sp by style or</w:t>
      </w:r>
      <w:r>
        <w:rPr>
          <w:i/>
        </w:rPr>
        <w:t xml:space="preserve"> txBody.</w:t>
      </w:r>
    </w:p>
    <w:p w:rsidR="00024C0A" w:rsidRDefault="00694C0F">
      <w:pPr>
        <w:pStyle w:val="Definition-Field2"/>
      </w:pPr>
      <w:r>
        <w:t>In Office, child elements in txBody will override similar style properties defined by attribute fontRef.</w:t>
      </w:r>
    </w:p>
    <w:p w:rsidR="00024C0A" w:rsidRDefault="00694C0F">
      <w:pPr>
        <w:pStyle w:val="Definition-Field"/>
      </w:pPr>
      <w:r>
        <w:t xml:space="preserve">c.   </w:t>
      </w:r>
      <w:r>
        <w:rPr>
          <w:i/>
        </w:rPr>
        <w:t>The standard states that child element fontRef applies to parent elements pic, cxnSp and sp.</w:t>
      </w:r>
    </w:p>
    <w:p w:rsidR="00024C0A" w:rsidRDefault="00694C0F">
      <w:pPr>
        <w:pStyle w:val="Definition-Field2"/>
      </w:pPr>
      <w:r>
        <w:t>In Office, child element fontRef is not used</w:t>
      </w:r>
      <w:r>
        <w:t xml:space="preserve"> for parent elements pic and cxnSp.</w:t>
      </w:r>
    </w:p>
    <w:p w:rsidR="00024C0A" w:rsidRDefault="00694C0F">
      <w:pPr>
        <w:pStyle w:val="Heading3"/>
      </w:pPr>
      <w:bookmarkStart w:id="2753" w:name="section_6ae4c17e8727447183c9a32482e72ffe"/>
      <w:bookmarkStart w:id="2754" w:name="_Toc12261437"/>
      <w:r>
        <w:t>Part 1 Section 20.5.2.32, to (Ending Anchor Point)</w:t>
      </w:r>
      <w:bookmarkEnd w:id="2753"/>
      <w:bookmarkEnd w:id="2754"/>
      <w:r>
        <w:fldChar w:fldCharType="begin"/>
      </w:r>
      <w:r>
        <w:instrText xml:space="preserve"> XE "to (Ending Anchor Point)" </w:instrText>
      </w:r>
      <w:r>
        <w:fldChar w:fldCharType="end"/>
      </w:r>
    </w:p>
    <w:p w:rsidR="00024C0A" w:rsidRDefault="00694C0F">
      <w:pPr>
        <w:pStyle w:val="Definition-Field"/>
      </w:pPr>
      <w:r>
        <w:t xml:space="preserve">a.   </w:t>
      </w:r>
      <w:r>
        <w:rPr>
          <w:i/>
        </w:rPr>
        <w:t>The standard allows shapes to be defined where the right edge is to the left of the left edge or where the bottom edge is above the</w:t>
      </w:r>
      <w:r>
        <w:rPr>
          <w:i/>
        </w:rPr>
        <w:t xml:space="preserve"> top edge.</w:t>
      </w:r>
    </w:p>
    <w:p w:rsidR="00024C0A" w:rsidRDefault="00694C0F">
      <w:pPr>
        <w:pStyle w:val="Definition-Field2"/>
      </w:pPr>
      <w:r>
        <w:t>Excel does not support shapes where the right edge is to the left of the left edge or where the bottom edge is above the top edge.</w:t>
      </w:r>
    </w:p>
    <w:p w:rsidR="00024C0A" w:rsidRDefault="00694C0F">
      <w:pPr>
        <w:pStyle w:val="Heading3"/>
      </w:pPr>
      <w:bookmarkStart w:id="2755" w:name="section_438b915f007e4b90839dd80034a94f66"/>
      <w:bookmarkStart w:id="2756" w:name="_Toc12261438"/>
      <w:r>
        <w:t>Part 1 Section 20.5.2.34, txBody (Shape Text Body)</w:t>
      </w:r>
      <w:bookmarkEnd w:id="2755"/>
      <w:bookmarkEnd w:id="2756"/>
      <w:r>
        <w:fldChar w:fldCharType="begin"/>
      </w:r>
      <w:r>
        <w:instrText xml:space="preserve"> XE "txBody (Shape Text Body)" </w:instrText>
      </w:r>
      <w:r>
        <w:fldChar w:fldCharType="end"/>
      </w:r>
    </w:p>
    <w:p w:rsidR="00024C0A" w:rsidRDefault="00694C0F">
      <w:pPr>
        <w:pStyle w:val="Definition-Field"/>
      </w:pPr>
      <w:r>
        <w:t xml:space="preserve">a.   </w:t>
      </w:r>
      <w:r>
        <w:rPr>
          <w:i/>
        </w:rPr>
        <w:t>The standard does not des</w:t>
      </w:r>
      <w:r>
        <w:rPr>
          <w:i/>
        </w:rPr>
        <w:t>cribe the relationship between similar properties in child elements p (text paragraphs) and lstStyle (text list styles).</w:t>
      </w:r>
    </w:p>
    <w:p w:rsidR="00024C0A" w:rsidRDefault="00694C0F">
      <w:pPr>
        <w:pStyle w:val="Definition-Field2"/>
      </w:pPr>
      <w:r>
        <w:t>In Office, if no text list styles are defined in a paragraph, styles from lstStyle are used. If no list styles are defined and there is</w:t>
      </w:r>
      <w:r>
        <w:t xml:space="preserve"> no lstStyle defined, the text in the list defaults to the current text style.</w:t>
      </w:r>
    </w:p>
    <w:p w:rsidR="00024C0A" w:rsidRDefault="00694C0F">
      <w:pPr>
        <w:pStyle w:val="Heading3"/>
      </w:pPr>
      <w:bookmarkStart w:id="2757" w:name="section_2401c007314f4d8eba6b767f54e8c97f"/>
      <w:bookmarkStart w:id="2758" w:name="_Toc12261439"/>
      <w:r>
        <w:t>Part 1 Section 20.5.2.36, xfrm (2D Transform for Graphic Frames)</w:t>
      </w:r>
      <w:bookmarkEnd w:id="2757"/>
      <w:bookmarkEnd w:id="2758"/>
      <w:r>
        <w:fldChar w:fldCharType="begin"/>
      </w:r>
      <w:r>
        <w:instrText xml:space="preserve"> XE "xfrm (2D Transform for Graphic Frames)" </w:instrText>
      </w:r>
      <w:r>
        <w:fldChar w:fldCharType="end"/>
      </w:r>
    </w:p>
    <w:p w:rsidR="00024C0A" w:rsidRDefault="00694C0F">
      <w:pPr>
        <w:pStyle w:val="Definition-Field2"/>
      </w:pPr>
      <w:r>
        <w:rPr>
          <w:i/>
        </w:rPr>
        <w:t xml:space="preserve">For additional notes that apply to this portion of the standard, </w:t>
      </w:r>
      <w:r>
        <w:rPr>
          <w:i/>
        </w:rPr>
        <w:t xml:space="preserve">please see the notes for </w:t>
      </w:r>
      <w:hyperlink w:anchor="Section_c7555d2c472a4d15b23041046bc41819">
        <w:r>
          <w:rPr>
            <w:rStyle w:val="Hyperlink"/>
          </w:rPr>
          <w:t>xfrm, §20.1.7.6(a)</w:t>
        </w:r>
      </w:hyperlink>
      <w:r>
        <w:rPr>
          <w:i/>
        </w:rPr>
        <w:t>.</w:t>
      </w:r>
    </w:p>
    <w:p w:rsidR="00024C0A" w:rsidRDefault="00694C0F">
      <w:pPr>
        <w:pStyle w:val="Definition-Field"/>
      </w:pPr>
      <w:r>
        <w:t xml:space="preserve">a.   </w:t>
      </w:r>
      <w:r>
        <w:rPr>
          <w:i/>
        </w:rPr>
        <w:t>The standard includes attributes flipH, flipV and rot for the xfrm element.</w:t>
      </w:r>
    </w:p>
    <w:p w:rsidR="00024C0A" w:rsidRDefault="00694C0F">
      <w:pPr>
        <w:pStyle w:val="Definition-Field2"/>
      </w:pPr>
      <w:r>
        <w:lastRenderedPageBreak/>
        <w:t>Excel does not support these attributes for graphic frames. Any val</w:t>
      </w:r>
      <w:r>
        <w:t>ue loaded for these attributes will not be written to the file when saved.</w:t>
      </w:r>
    </w:p>
    <w:p w:rsidR="00024C0A" w:rsidRDefault="00694C0F">
      <w:pPr>
        <w:pStyle w:val="Definition-Field"/>
      </w:pPr>
      <w:r>
        <w:t xml:space="preserve">b.   </w:t>
      </w:r>
      <w:r>
        <w:rPr>
          <w:i/>
        </w:rPr>
        <w:t>The standard includes ext and off as child elements of xfrm.</w:t>
      </w:r>
    </w:p>
    <w:p w:rsidR="00024C0A" w:rsidRDefault="00694C0F">
      <w:pPr>
        <w:pStyle w:val="Definition-Field2"/>
      </w:pPr>
      <w:r>
        <w:t xml:space="preserve">The ext and off elements are used by Excel only if the graphic frame is inside of a group. If the graphic frame is </w:t>
      </w:r>
      <w:r>
        <w:t>not inside of a group, Excel will always output 0 for the attribute values of both elements.</w:t>
      </w:r>
    </w:p>
    <w:p w:rsidR="00024C0A" w:rsidRDefault="00694C0F">
      <w:pPr>
        <w:pStyle w:val="Heading3"/>
      </w:pPr>
      <w:bookmarkStart w:id="2759" w:name="section_72855a96a6b84efb89ed82550c7768c7"/>
      <w:bookmarkStart w:id="2760" w:name="_Toc12261440"/>
      <w:r>
        <w:t>Part 1 Section 21.1.2.1, Body Formatting</w:t>
      </w:r>
      <w:bookmarkEnd w:id="2759"/>
      <w:bookmarkEnd w:id="2760"/>
      <w:r>
        <w:fldChar w:fldCharType="begin"/>
      </w:r>
      <w:r>
        <w:instrText xml:space="preserve"> XE "Body Formatting" </w:instrText>
      </w:r>
      <w:r>
        <w:fldChar w:fldCharType="end"/>
      </w:r>
    </w:p>
    <w:p w:rsidR="00024C0A" w:rsidRDefault="00694C0F">
      <w:pPr>
        <w:pStyle w:val="Definition-Field"/>
      </w:pPr>
      <w:r>
        <w:t xml:space="preserve">a.   </w:t>
      </w:r>
      <w:r>
        <w:rPr>
          <w:i/>
        </w:rPr>
        <w:t>The standard states that ST_TextFontScalePercent is read and written as a percent with a trai</w:t>
      </w:r>
      <w:r>
        <w:rPr>
          <w:i/>
        </w:rPr>
        <w:t>ling percent sign.</w:t>
      </w:r>
    </w:p>
    <w:p w:rsidR="00024C0A" w:rsidRDefault="00694C0F">
      <w:pPr>
        <w:pStyle w:val="Definition-Field2"/>
      </w:pPr>
      <w:r>
        <w:t>Office will read in percentages formatted with a trailing percent sign or as 1000th of a percent without trailing percent sign, but only write out percentages as 1000th's of a percent without trailing percent sign.</w:t>
      </w:r>
    </w:p>
    <w:p w:rsidR="00024C0A" w:rsidRDefault="00694C0F">
      <w:pPr>
        <w:pStyle w:val="Heading3"/>
      </w:pPr>
      <w:bookmarkStart w:id="2761" w:name="section_b3da041fd56f464ba9b32e3274de9caf"/>
      <w:bookmarkStart w:id="2762" w:name="_Toc12261441"/>
      <w:r>
        <w:t>Part 1 Section 21.1.2.1.1, bodyPr (Body Properties)</w:t>
      </w:r>
      <w:bookmarkEnd w:id="2761"/>
      <w:bookmarkEnd w:id="2762"/>
      <w:r>
        <w:fldChar w:fldCharType="begin"/>
      </w:r>
      <w:r>
        <w:instrText xml:space="preserve"> XE "bodyPr (Body Properties)" </w:instrText>
      </w:r>
      <w:r>
        <w:fldChar w:fldCharType="end"/>
      </w:r>
    </w:p>
    <w:p w:rsidR="00024C0A" w:rsidRDefault="00694C0F">
      <w:pPr>
        <w:pStyle w:val="Definition-Field"/>
      </w:pPr>
      <w:r>
        <w:t xml:space="preserve">a.   </w:t>
      </w:r>
      <w:r>
        <w:rPr>
          <w:i/>
        </w:rPr>
        <w:t>The standard specifies that the attributes anchorCtr, forceAA, fromWordArt, and rtlCol have an implied value of off.</w:t>
      </w:r>
    </w:p>
    <w:p w:rsidR="00024C0A" w:rsidRDefault="00694C0F">
      <w:pPr>
        <w:pStyle w:val="Definition-Field2"/>
      </w:pPr>
      <w:r>
        <w:t xml:space="preserve">Office interprets the attributes anchorCtr, </w:t>
      </w:r>
      <w:r>
        <w:t>forceAA, fromWordArt, and rtlCol as having an implied value of false.</w:t>
      </w:r>
    </w:p>
    <w:p w:rsidR="00024C0A" w:rsidRDefault="00694C0F">
      <w:pPr>
        <w:pStyle w:val="Definition-Field"/>
      </w:pPr>
      <w:r>
        <w:t xml:space="preserve">b.   </w:t>
      </w:r>
      <w:r>
        <w:rPr>
          <w:i/>
        </w:rPr>
        <w:t>The standard does not fully describe the process for resolving missing attribute values.</w:t>
      </w:r>
    </w:p>
    <w:p w:rsidR="00024C0A" w:rsidRDefault="00694C0F">
      <w:r>
        <w:t>In Office, attributes not specified explicitly within the bodyPr element shall have their va</w:t>
      </w:r>
      <w:r>
        <w:t>lues determined by inheritance. Attribute values will be resolved using an applicable ancestor element of the same type as the bodyPr element. The inheritance order in which applicable attribute value shall be applied is as follows:</w:t>
      </w:r>
    </w:p>
    <w:p w:rsidR="00024C0A" w:rsidRDefault="00694C0F">
      <w:r>
        <w:t>A corresponding ancesto</w:t>
      </w:r>
      <w:r>
        <w:t>r element which is a child element of the txDef element ("</w:t>
      </w:r>
      <w:hyperlink r:id="rId191">
        <w:r>
          <w:rPr>
            <w:rStyle w:val="Hyperlink"/>
          </w:rPr>
          <w:t>[ISO/IEC-29500-1]</w:t>
        </w:r>
      </w:hyperlink>
      <w:r>
        <w:t xml:space="preserve"> §20.1.4.1.28; txDef") of the theme part.</w:t>
      </w:r>
    </w:p>
    <w:p w:rsidR="00024C0A" w:rsidRDefault="00694C0F">
      <w:r>
        <w:t>A corresponding ancestor element which is a child element of the lnDef el</w:t>
      </w:r>
      <w:r>
        <w:t>ement ("[ISO/IEC-29500-1] §20.1.4.1.20; lnDef") of the theme part.</w:t>
      </w:r>
    </w:p>
    <w:p w:rsidR="00024C0A" w:rsidRDefault="00694C0F">
      <w:r>
        <w:t>A corresponding ancestor element which is a child element of the spDef element ("[ISO/IEC-29500-1] §20.1.4.1.27; spDef") of the theme part.</w:t>
      </w:r>
    </w:p>
    <w:p w:rsidR="00024C0A" w:rsidRDefault="00694C0F">
      <w:r>
        <w:t>If the value of an attribute is not determined vi</w:t>
      </w:r>
      <w:r>
        <w:t>a this process, the default value specified within the bodyPr element shall be used.</w:t>
      </w:r>
    </w:p>
    <w:p w:rsidR="00024C0A" w:rsidRDefault="00694C0F">
      <w:r>
        <w:t xml:space="preserve">PowerPoint uses a corresponding child element which is contained within the corresponding sldMaster element ("[ISO/IEC-29500-1] §19.3.1.42; sldMaster") if the value of an </w:t>
      </w:r>
      <w:r>
        <w:t>attribute is not determined by this inheritance order. If the corresponding sldMaster element ("[ISO/IEC-29500-1] §19.3.1.42; sldMaster") does not specify the value of the attribute and the value was not determined from the inheritance order, then the defa</w:t>
      </w:r>
      <w:r>
        <w:t>ult value specified within the bodyPr element shall be used.</w:t>
      </w:r>
    </w:p>
    <w:p w:rsidR="00024C0A" w:rsidRDefault="00694C0F">
      <w:pPr>
        <w:pStyle w:val="Heading3"/>
      </w:pPr>
      <w:bookmarkStart w:id="2763" w:name="section_56ab6d152c9a4d77bc6b3d8a7d98ebf3"/>
      <w:bookmarkStart w:id="2764" w:name="_Toc12261442"/>
      <w:r>
        <w:t>Part 1 Section 21.1.2.1.2, noAutofit (No AutoFit)</w:t>
      </w:r>
      <w:bookmarkEnd w:id="2763"/>
      <w:bookmarkEnd w:id="2764"/>
      <w:r>
        <w:fldChar w:fldCharType="begin"/>
      </w:r>
      <w:r>
        <w:instrText xml:space="preserve"> XE "noAutofit (No AutoFit)" </w:instrText>
      </w:r>
      <w:r>
        <w:fldChar w:fldCharType="end"/>
      </w:r>
    </w:p>
    <w:p w:rsidR="00024C0A" w:rsidRDefault="00694C0F">
      <w:pPr>
        <w:pStyle w:val="Definition-Field"/>
      </w:pPr>
      <w:r>
        <w:t xml:space="preserve">a.   </w:t>
      </w:r>
      <w:r>
        <w:rPr>
          <w:i/>
        </w:rPr>
        <w:t>The standard states if the noAutofit element is omitted, no autofit or autofit off is implied.</w:t>
      </w:r>
    </w:p>
    <w:p w:rsidR="00024C0A" w:rsidRDefault="00694C0F">
      <w:pPr>
        <w:pStyle w:val="Definition-Field2"/>
      </w:pPr>
      <w:r>
        <w:t xml:space="preserve">Office uses a </w:t>
      </w:r>
      <w:r>
        <w:t>hierarchy of text styles to determine if the text should be autofit or not.</w:t>
      </w:r>
    </w:p>
    <w:p w:rsidR="00024C0A" w:rsidRDefault="00694C0F">
      <w:pPr>
        <w:pStyle w:val="Heading3"/>
      </w:pPr>
      <w:bookmarkStart w:id="2765" w:name="section_d39a452875c3454288aadb874e68085c"/>
      <w:bookmarkStart w:id="2766" w:name="_Toc12261443"/>
      <w:r>
        <w:lastRenderedPageBreak/>
        <w:t>Part 1 Section 21.1.2.1.3, normAutofit (Normal AutoFit)</w:t>
      </w:r>
      <w:bookmarkEnd w:id="2765"/>
      <w:bookmarkEnd w:id="2766"/>
      <w:r>
        <w:fldChar w:fldCharType="begin"/>
      </w:r>
      <w:r>
        <w:instrText xml:space="preserve"> XE "normAutofit (Normal AutoFit)" </w:instrText>
      </w:r>
      <w:r>
        <w:fldChar w:fldCharType="end"/>
      </w:r>
    </w:p>
    <w:p w:rsidR="00024C0A" w:rsidRDefault="00694C0F">
      <w:pPr>
        <w:pStyle w:val="Definition-Field"/>
        <w:numPr>
          <w:ilvl w:val="0"/>
          <w:numId w:val="134"/>
        </w:numPr>
        <w:rPr>
          <w:i/>
        </w:rPr>
      </w:pPr>
      <w:r>
        <w:rPr>
          <w:i/>
        </w:rPr>
        <w:t>The standard states that if the normAutofit element is omitted then no autofit or autof</w:t>
      </w:r>
      <w:r>
        <w:rPr>
          <w:i/>
        </w:rPr>
        <w:t>it off is implied.</w:t>
      </w:r>
    </w:p>
    <w:p w:rsidR="00024C0A" w:rsidRDefault="00694C0F">
      <w:pPr>
        <w:pStyle w:val="Definition-Field2"/>
      </w:pPr>
      <w:r>
        <w:t xml:space="preserve">PowerPoint follows </w:t>
      </w:r>
      <w:r>
        <w:rPr>
          <w:i/>
        </w:rPr>
        <w:t>normAutofit</w:t>
      </w:r>
      <w:r>
        <w:t xml:space="preserve"> as described above, however other Office apps like Word or Excel do not follow this and instead use a hierarchy of text styles to determine if the text should be autofit or not.</w:t>
      </w:r>
    </w:p>
    <w:p w:rsidR="00024C0A" w:rsidRDefault="00694C0F">
      <w:pPr>
        <w:pStyle w:val="Heading3"/>
      </w:pPr>
      <w:bookmarkStart w:id="2767" w:name="section_ed53fa9e9351449da926f994efb77a57"/>
      <w:bookmarkStart w:id="2768" w:name="_Toc12261444"/>
      <w:r>
        <w:t>Part 1 Section 21.1.2.1.4, s</w:t>
      </w:r>
      <w:r>
        <w:t>pAutoFit (Shape AutoFit)</w:t>
      </w:r>
      <w:bookmarkEnd w:id="2767"/>
      <w:bookmarkEnd w:id="2768"/>
      <w:r>
        <w:fldChar w:fldCharType="begin"/>
      </w:r>
      <w:r>
        <w:instrText xml:space="preserve"> XE "spAutoFit (Shape AutoFit)" </w:instrText>
      </w:r>
      <w:r>
        <w:fldChar w:fldCharType="end"/>
      </w:r>
    </w:p>
    <w:p w:rsidR="00024C0A" w:rsidRDefault="00694C0F">
      <w:pPr>
        <w:pStyle w:val="Definition-Field"/>
      </w:pPr>
      <w:r>
        <w:t xml:space="preserve">a.   </w:t>
      </w:r>
      <w:r>
        <w:rPr>
          <w:i/>
        </w:rPr>
        <w:t>The standard states that if the spAutoFit element is omitted then noAutofit or auto-fit off is implied.</w:t>
      </w:r>
    </w:p>
    <w:p w:rsidR="00024C0A" w:rsidRDefault="00694C0F">
      <w:pPr>
        <w:pStyle w:val="Definition-Field2"/>
      </w:pPr>
      <w:r>
        <w:t xml:space="preserve">Office does not follow this and instead uses a hierarchy of text styles to determine if </w:t>
      </w:r>
      <w:r>
        <w:t>the text should be autofit or not.</w:t>
      </w:r>
    </w:p>
    <w:p w:rsidR="00024C0A" w:rsidRDefault="00694C0F">
      <w:pPr>
        <w:pStyle w:val="Definition-Field"/>
      </w:pPr>
      <w:r>
        <w:t xml:space="preserve">b.   </w:t>
      </w:r>
      <w:r>
        <w:rPr>
          <w:i/>
        </w:rPr>
        <w:t>The standard states that the spAutofit element specifies that text within a shape is scaled in order to contain all the text inside the bounds of the shape.</w:t>
      </w:r>
    </w:p>
    <w:p w:rsidR="00024C0A" w:rsidRDefault="00694C0F">
      <w:pPr>
        <w:pStyle w:val="Definition-Field2"/>
      </w:pPr>
      <w:r>
        <w:t>Office uses the spAutoFit element to specify that the conta</w:t>
      </w:r>
      <w:r>
        <w:t>ining shape should be resized to contain text.</w:t>
      </w:r>
    </w:p>
    <w:p w:rsidR="00024C0A" w:rsidRDefault="00694C0F">
      <w:pPr>
        <w:pStyle w:val="Heading3"/>
      </w:pPr>
      <w:bookmarkStart w:id="2769" w:name="section_182923767677479284228024b97ec52f"/>
      <w:bookmarkStart w:id="2770" w:name="_Toc12261445"/>
      <w:r>
        <w:t>Part 1 Section 21.1.2.2.2, defPPr (Default Paragraph Style)</w:t>
      </w:r>
      <w:bookmarkEnd w:id="2769"/>
      <w:bookmarkEnd w:id="2770"/>
      <w:r>
        <w:fldChar w:fldCharType="begin"/>
      </w:r>
      <w:r>
        <w:instrText xml:space="preserve"> XE "defPPr (Default Paragraph Style)"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024C0A" w:rsidRDefault="00694C0F">
      <w:pPr>
        <w:pStyle w:val="Definition-Field"/>
      </w:pPr>
      <w:r>
        <w:t xml:space="preserve">a.   </w:t>
      </w:r>
      <w:r>
        <w:rPr>
          <w:i/>
        </w:rPr>
        <w:t>The standard describes the defPPr element as specifying paragraph properties.</w:t>
      </w:r>
    </w:p>
    <w:p w:rsidR="00024C0A" w:rsidRDefault="00694C0F">
      <w:pPr>
        <w:pStyle w:val="Definition-Field2"/>
      </w:pPr>
      <w:r>
        <w:t>Office ignores this element and does not use it to determine paragraph properties.</w:t>
      </w:r>
    </w:p>
    <w:p w:rsidR="00024C0A" w:rsidRDefault="00694C0F">
      <w:pPr>
        <w:pStyle w:val="Heading3"/>
      </w:pPr>
      <w:bookmarkStart w:id="2771" w:name="section_1df959fe2871407da864f6cb7dc4b748"/>
      <w:bookmarkStart w:id="2772" w:name="_Toc12261446"/>
      <w:r>
        <w:t>Part 1 Section 21</w:t>
      </w:r>
      <w:r>
        <w:t>.1.2.2.3, endParaRPr (End Paragraph Run Properties)</w:t>
      </w:r>
      <w:bookmarkEnd w:id="2771"/>
      <w:bookmarkEnd w:id="2772"/>
      <w:r>
        <w:fldChar w:fldCharType="begin"/>
      </w:r>
      <w:r>
        <w:instrText xml:space="preserve"> XE "endParaRPr (End Paragraph Run Properties)"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953e072cf2344373b0173f1f71eac93b">
        <w:r>
          <w:rPr>
            <w:rStyle w:val="Hyperlink"/>
          </w:rPr>
          <w:t>r</w:t>
        </w:r>
        <w:r>
          <w:rPr>
            <w:rStyle w:val="Hyperlink"/>
          </w:rPr>
          <w:t>Pr, §21.1.2.3.9(a, b,d-g)</w:t>
        </w:r>
      </w:hyperlink>
      <w:r>
        <w:rPr>
          <w:i/>
        </w:rPr>
        <w:t>.</w:t>
      </w:r>
    </w:p>
    <w:p w:rsidR="00024C0A" w:rsidRDefault="00694C0F">
      <w:pPr>
        <w:pStyle w:val="Heading3"/>
      </w:pPr>
      <w:bookmarkStart w:id="2773" w:name="section_209a8afb4ce64ad9ad6bf18da263502e"/>
      <w:bookmarkStart w:id="2774" w:name="_Toc12261447"/>
      <w:r>
        <w:t>Part 1 Section 21.1.2.2.4, fld (Text Field)</w:t>
      </w:r>
      <w:bookmarkEnd w:id="2773"/>
      <w:bookmarkEnd w:id="2774"/>
      <w:r>
        <w:fldChar w:fldCharType="begin"/>
      </w:r>
      <w:r>
        <w:instrText xml:space="preserve"> XE "fld (Text Field)" </w:instrText>
      </w:r>
      <w:r>
        <w:fldChar w:fldCharType="end"/>
      </w:r>
    </w:p>
    <w:p w:rsidR="00024C0A" w:rsidRDefault="00694C0F">
      <w:pPr>
        <w:pStyle w:val="Definition-Field"/>
      </w:pPr>
      <w:r>
        <w:t xml:space="preserve">a.   </w:t>
      </w:r>
      <w:r>
        <w:rPr>
          <w:i/>
        </w:rPr>
        <w:t>The standard states that the type attribute of the fld element specifies the type of update text that should be used within the text field.</w:t>
      </w:r>
    </w:p>
    <w:p w:rsidR="00024C0A" w:rsidRDefault="00694C0F">
      <w:r>
        <w:t xml:space="preserve">In Office, the </w:t>
      </w:r>
      <w:r>
        <w:t>type attribute specifies the type of text that should be used to update this text field. This is used to inform Office what text it should use to update this text field. There are no specific syntax restrictions placed on this attribute. The generating app</w:t>
      </w:r>
      <w:r>
        <w:t>lication may use it to represent any text that should be updated before rendering the presentation.</w:t>
      </w:r>
    </w:p>
    <w:p w:rsidR="00024C0A" w:rsidRDefault="00694C0F">
      <w:r>
        <w:t>Reserved Values:</w:t>
      </w:r>
    </w:p>
    <w:tbl>
      <w:tblPr>
        <w:tblStyle w:val="Table-ShadedHeader"/>
        <w:tblW w:w="0" w:type="auto"/>
        <w:tblLook w:val="04A0" w:firstRow="1" w:lastRow="0" w:firstColumn="1" w:lastColumn="0" w:noHBand="0" w:noVBand="1"/>
      </w:tblPr>
      <w:tblGrid>
        <w:gridCol w:w="1733"/>
        <w:gridCol w:w="7742"/>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Value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i/>
              </w:rPr>
              <w:t>slidenum</w:t>
            </w:r>
          </w:p>
        </w:tc>
        <w:tc>
          <w:tcPr>
            <w:tcW w:w="0" w:type="auto"/>
            <w:vAlign w:val="center"/>
          </w:tcPr>
          <w:p w:rsidR="00024C0A" w:rsidRDefault="00694C0F">
            <w:pPr>
              <w:pStyle w:val="TableBodyText"/>
            </w:pPr>
            <w:r>
              <w:t>presentation slide number</w:t>
            </w:r>
          </w:p>
        </w:tc>
      </w:tr>
      <w:tr w:rsidR="00024C0A" w:rsidTr="00024C0A">
        <w:tc>
          <w:tcPr>
            <w:tcW w:w="0" w:type="auto"/>
            <w:vAlign w:val="center"/>
          </w:tcPr>
          <w:p w:rsidR="00024C0A" w:rsidRDefault="00694C0F">
            <w:pPr>
              <w:pStyle w:val="TableBodyText"/>
            </w:pPr>
            <w:r>
              <w:rPr>
                <w:i/>
              </w:rPr>
              <w:t>datetime</w:t>
            </w:r>
          </w:p>
        </w:tc>
        <w:tc>
          <w:tcPr>
            <w:tcW w:w="0" w:type="auto"/>
            <w:vAlign w:val="center"/>
          </w:tcPr>
          <w:p w:rsidR="00024C0A" w:rsidRDefault="00694C0F">
            <w:pPr>
              <w:pStyle w:val="TableBodyText"/>
            </w:pPr>
            <w:r>
              <w:t>default date time format for the rendering application</w:t>
            </w:r>
          </w:p>
        </w:tc>
      </w:tr>
      <w:tr w:rsidR="00024C0A" w:rsidTr="00024C0A">
        <w:tc>
          <w:tcPr>
            <w:tcW w:w="0" w:type="auto"/>
            <w:vAlign w:val="center"/>
          </w:tcPr>
          <w:p w:rsidR="00024C0A" w:rsidRDefault="00694C0F">
            <w:pPr>
              <w:pStyle w:val="TableBodyText"/>
            </w:pPr>
            <w:r>
              <w:rPr>
                <w:i/>
              </w:rPr>
              <w:t>datetimeFigureOut</w:t>
            </w:r>
          </w:p>
        </w:tc>
        <w:tc>
          <w:tcPr>
            <w:tcW w:w="0" w:type="auto"/>
            <w:vAlign w:val="center"/>
          </w:tcPr>
          <w:p w:rsidR="00024C0A" w:rsidRDefault="00694C0F">
            <w:pPr>
              <w:pStyle w:val="TableBodyText"/>
            </w:pPr>
            <w:r>
              <w:t xml:space="preserve">equivalent to </w:t>
            </w:r>
            <w:r>
              <w:rPr>
                <w:i/>
              </w:rPr>
              <w:t>datetime1</w:t>
            </w:r>
          </w:p>
        </w:tc>
      </w:tr>
      <w:tr w:rsidR="00024C0A" w:rsidTr="00024C0A">
        <w:tc>
          <w:tcPr>
            <w:tcW w:w="0" w:type="auto"/>
            <w:vAlign w:val="center"/>
          </w:tcPr>
          <w:p w:rsidR="00024C0A" w:rsidRDefault="00694C0F">
            <w:pPr>
              <w:pStyle w:val="TableBodyText"/>
            </w:pPr>
            <w:r>
              <w:rPr>
                <w:i/>
              </w:rPr>
              <w:t>datetime1</w:t>
            </w:r>
          </w:p>
        </w:tc>
        <w:tc>
          <w:tcPr>
            <w:tcW w:w="0" w:type="auto"/>
            <w:vAlign w:val="center"/>
          </w:tcPr>
          <w:p w:rsidR="00024C0A" w:rsidRDefault="00694C0F">
            <w:pPr>
              <w:pStyle w:val="TableBodyText"/>
            </w:pPr>
            <w:r>
              <w:t>MM/DD/YYYY date time format [Example: 10/12/2007 end example]</w:t>
            </w:r>
          </w:p>
        </w:tc>
      </w:tr>
      <w:tr w:rsidR="00024C0A" w:rsidTr="00024C0A">
        <w:tc>
          <w:tcPr>
            <w:tcW w:w="0" w:type="auto"/>
            <w:vAlign w:val="center"/>
          </w:tcPr>
          <w:p w:rsidR="00024C0A" w:rsidRDefault="00694C0F">
            <w:pPr>
              <w:pStyle w:val="TableBodyText"/>
            </w:pPr>
            <w:r>
              <w:rPr>
                <w:i/>
              </w:rPr>
              <w:lastRenderedPageBreak/>
              <w:t>datetime2</w:t>
            </w:r>
          </w:p>
        </w:tc>
        <w:tc>
          <w:tcPr>
            <w:tcW w:w="0" w:type="auto"/>
            <w:vAlign w:val="center"/>
          </w:tcPr>
          <w:p w:rsidR="00024C0A" w:rsidRDefault="00694C0F">
            <w:pPr>
              <w:pStyle w:val="TableBodyText"/>
            </w:pPr>
            <w:r>
              <w:t>Day, Month DD, YYYY date time format [Example: Friday, October 12, 2007 end example]</w:t>
            </w:r>
          </w:p>
        </w:tc>
      </w:tr>
      <w:tr w:rsidR="00024C0A" w:rsidTr="00024C0A">
        <w:tc>
          <w:tcPr>
            <w:tcW w:w="0" w:type="auto"/>
            <w:vAlign w:val="center"/>
          </w:tcPr>
          <w:p w:rsidR="00024C0A" w:rsidRDefault="00694C0F">
            <w:pPr>
              <w:pStyle w:val="TableBodyText"/>
            </w:pPr>
            <w:r>
              <w:rPr>
                <w:i/>
              </w:rPr>
              <w:t>datetime3</w:t>
            </w:r>
          </w:p>
        </w:tc>
        <w:tc>
          <w:tcPr>
            <w:tcW w:w="0" w:type="auto"/>
            <w:vAlign w:val="center"/>
          </w:tcPr>
          <w:p w:rsidR="00024C0A" w:rsidRDefault="00694C0F">
            <w:pPr>
              <w:pStyle w:val="TableBodyText"/>
            </w:pPr>
            <w:r>
              <w:t xml:space="preserve">DD Month YYYY date time format [Example: 12 October </w:t>
            </w:r>
            <w:r>
              <w:t>2007 end example]</w:t>
            </w:r>
          </w:p>
        </w:tc>
      </w:tr>
      <w:tr w:rsidR="00024C0A" w:rsidTr="00024C0A">
        <w:tc>
          <w:tcPr>
            <w:tcW w:w="0" w:type="auto"/>
            <w:vAlign w:val="center"/>
          </w:tcPr>
          <w:p w:rsidR="00024C0A" w:rsidRDefault="00694C0F">
            <w:pPr>
              <w:pStyle w:val="TableBodyText"/>
            </w:pPr>
            <w:r>
              <w:rPr>
                <w:i/>
              </w:rPr>
              <w:t>datetime4</w:t>
            </w:r>
          </w:p>
        </w:tc>
        <w:tc>
          <w:tcPr>
            <w:tcW w:w="0" w:type="auto"/>
            <w:vAlign w:val="center"/>
          </w:tcPr>
          <w:p w:rsidR="00024C0A" w:rsidRDefault="00694C0F">
            <w:pPr>
              <w:pStyle w:val="TableBodyText"/>
            </w:pPr>
            <w:r>
              <w:t>Month DD, YYYY date time format [Example: October 12, 2007 end example]</w:t>
            </w:r>
          </w:p>
        </w:tc>
      </w:tr>
      <w:tr w:rsidR="00024C0A" w:rsidTr="00024C0A">
        <w:tc>
          <w:tcPr>
            <w:tcW w:w="0" w:type="auto"/>
            <w:vAlign w:val="center"/>
          </w:tcPr>
          <w:p w:rsidR="00024C0A" w:rsidRDefault="00694C0F">
            <w:pPr>
              <w:pStyle w:val="TableBodyText"/>
            </w:pPr>
            <w:r>
              <w:rPr>
                <w:i/>
              </w:rPr>
              <w:t>datetime5</w:t>
            </w:r>
          </w:p>
        </w:tc>
        <w:tc>
          <w:tcPr>
            <w:tcW w:w="0" w:type="auto"/>
            <w:vAlign w:val="center"/>
          </w:tcPr>
          <w:p w:rsidR="00024C0A" w:rsidRDefault="00694C0F">
            <w:pPr>
              <w:pStyle w:val="TableBodyText"/>
            </w:pPr>
            <w:r>
              <w:t>DD-Mon-YY date time format [Example: 12-Oct-07 end example]</w:t>
            </w:r>
          </w:p>
        </w:tc>
      </w:tr>
      <w:tr w:rsidR="00024C0A" w:rsidTr="00024C0A">
        <w:tc>
          <w:tcPr>
            <w:tcW w:w="0" w:type="auto"/>
            <w:vAlign w:val="center"/>
          </w:tcPr>
          <w:p w:rsidR="00024C0A" w:rsidRDefault="00694C0F">
            <w:pPr>
              <w:pStyle w:val="TableBodyText"/>
            </w:pPr>
            <w:r>
              <w:rPr>
                <w:i/>
              </w:rPr>
              <w:t>datetime6</w:t>
            </w:r>
          </w:p>
        </w:tc>
        <w:tc>
          <w:tcPr>
            <w:tcW w:w="0" w:type="auto"/>
            <w:vAlign w:val="center"/>
          </w:tcPr>
          <w:p w:rsidR="00024C0A" w:rsidRDefault="00694C0F">
            <w:pPr>
              <w:pStyle w:val="TableBodyText"/>
            </w:pPr>
            <w:r>
              <w:t>Month YY date time format [Example: October 07 end example]</w:t>
            </w:r>
          </w:p>
        </w:tc>
      </w:tr>
      <w:tr w:rsidR="00024C0A" w:rsidTr="00024C0A">
        <w:tc>
          <w:tcPr>
            <w:tcW w:w="0" w:type="auto"/>
            <w:vAlign w:val="center"/>
          </w:tcPr>
          <w:p w:rsidR="00024C0A" w:rsidRDefault="00694C0F">
            <w:pPr>
              <w:pStyle w:val="TableBodyText"/>
            </w:pPr>
            <w:r>
              <w:rPr>
                <w:i/>
              </w:rPr>
              <w:t>datetime7</w:t>
            </w:r>
          </w:p>
        </w:tc>
        <w:tc>
          <w:tcPr>
            <w:tcW w:w="0" w:type="auto"/>
            <w:vAlign w:val="center"/>
          </w:tcPr>
          <w:p w:rsidR="00024C0A" w:rsidRDefault="00694C0F">
            <w:pPr>
              <w:pStyle w:val="TableBodyText"/>
            </w:pPr>
            <w:r>
              <w:t>Mo</w:t>
            </w:r>
            <w:r>
              <w:t>n-YY date time format [Example: Oct-07 end example]</w:t>
            </w:r>
          </w:p>
        </w:tc>
      </w:tr>
      <w:tr w:rsidR="00024C0A" w:rsidTr="00024C0A">
        <w:tc>
          <w:tcPr>
            <w:tcW w:w="0" w:type="auto"/>
            <w:vAlign w:val="center"/>
          </w:tcPr>
          <w:p w:rsidR="00024C0A" w:rsidRDefault="00694C0F">
            <w:pPr>
              <w:pStyle w:val="TableBodyText"/>
            </w:pPr>
            <w:r>
              <w:rPr>
                <w:i/>
              </w:rPr>
              <w:t>datetime8</w:t>
            </w:r>
          </w:p>
        </w:tc>
        <w:tc>
          <w:tcPr>
            <w:tcW w:w="0" w:type="auto"/>
            <w:vAlign w:val="center"/>
          </w:tcPr>
          <w:p w:rsidR="00024C0A" w:rsidRDefault="00694C0F">
            <w:pPr>
              <w:pStyle w:val="TableBodyText"/>
            </w:pPr>
            <w:r>
              <w:t>MM/DD/YYYY hh:mm AM/PM date time format [Example: 10/12/2007 4:28 PM end example]</w:t>
            </w:r>
          </w:p>
        </w:tc>
      </w:tr>
      <w:tr w:rsidR="00024C0A" w:rsidTr="00024C0A">
        <w:tc>
          <w:tcPr>
            <w:tcW w:w="0" w:type="auto"/>
            <w:vAlign w:val="center"/>
          </w:tcPr>
          <w:p w:rsidR="00024C0A" w:rsidRDefault="00694C0F">
            <w:pPr>
              <w:pStyle w:val="TableBodyText"/>
            </w:pPr>
            <w:r>
              <w:rPr>
                <w:i/>
              </w:rPr>
              <w:t>datetime9</w:t>
            </w:r>
          </w:p>
        </w:tc>
        <w:tc>
          <w:tcPr>
            <w:tcW w:w="0" w:type="auto"/>
            <w:vAlign w:val="center"/>
          </w:tcPr>
          <w:p w:rsidR="00024C0A" w:rsidRDefault="00694C0F">
            <w:pPr>
              <w:pStyle w:val="TableBodyText"/>
            </w:pPr>
            <w:r>
              <w:t>MM/DD/YYYY hh:mm:ss AM/PM date time format [Example: 10/12/2007 4:28:34 PM end example]</w:t>
            </w:r>
          </w:p>
        </w:tc>
      </w:tr>
      <w:tr w:rsidR="00024C0A" w:rsidTr="00024C0A">
        <w:tc>
          <w:tcPr>
            <w:tcW w:w="0" w:type="auto"/>
            <w:vAlign w:val="center"/>
          </w:tcPr>
          <w:p w:rsidR="00024C0A" w:rsidRDefault="00694C0F">
            <w:pPr>
              <w:pStyle w:val="TableBodyText"/>
            </w:pPr>
            <w:r>
              <w:rPr>
                <w:i/>
              </w:rPr>
              <w:t>datetime10</w:t>
            </w:r>
          </w:p>
        </w:tc>
        <w:tc>
          <w:tcPr>
            <w:tcW w:w="0" w:type="auto"/>
            <w:vAlign w:val="center"/>
          </w:tcPr>
          <w:p w:rsidR="00024C0A" w:rsidRDefault="00694C0F">
            <w:pPr>
              <w:pStyle w:val="TableBodyText"/>
            </w:pPr>
            <w:r>
              <w:t>hh:mm date time format [Example: 16:28 end example]</w:t>
            </w:r>
          </w:p>
        </w:tc>
      </w:tr>
      <w:tr w:rsidR="00024C0A" w:rsidTr="00024C0A">
        <w:tc>
          <w:tcPr>
            <w:tcW w:w="0" w:type="auto"/>
            <w:vAlign w:val="center"/>
          </w:tcPr>
          <w:p w:rsidR="00024C0A" w:rsidRDefault="00694C0F">
            <w:pPr>
              <w:pStyle w:val="TableBodyText"/>
            </w:pPr>
            <w:r>
              <w:rPr>
                <w:i/>
              </w:rPr>
              <w:t>datetime11</w:t>
            </w:r>
          </w:p>
        </w:tc>
        <w:tc>
          <w:tcPr>
            <w:tcW w:w="0" w:type="auto"/>
            <w:vAlign w:val="center"/>
          </w:tcPr>
          <w:p w:rsidR="00024C0A" w:rsidRDefault="00694C0F">
            <w:pPr>
              <w:pStyle w:val="TableBodyText"/>
            </w:pPr>
            <w:r>
              <w:t>hh:mm:ss date time format [Example: 16:28:34 end example]</w:t>
            </w:r>
          </w:p>
        </w:tc>
      </w:tr>
      <w:tr w:rsidR="00024C0A" w:rsidTr="00024C0A">
        <w:tc>
          <w:tcPr>
            <w:tcW w:w="0" w:type="auto"/>
            <w:vAlign w:val="center"/>
          </w:tcPr>
          <w:p w:rsidR="00024C0A" w:rsidRDefault="00694C0F">
            <w:pPr>
              <w:pStyle w:val="TableBodyText"/>
            </w:pPr>
            <w:r>
              <w:rPr>
                <w:i/>
              </w:rPr>
              <w:t>datetime12</w:t>
            </w:r>
          </w:p>
        </w:tc>
        <w:tc>
          <w:tcPr>
            <w:tcW w:w="0" w:type="auto"/>
            <w:vAlign w:val="center"/>
          </w:tcPr>
          <w:p w:rsidR="00024C0A" w:rsidRDefault="00694C0F">
            <w:pPr>
              <w:pStyle w:val="TableBodyText"/>
            </w:pPr>
            <w:r>
              <w:t>hh:mm AM/PM date time format [Example: 4:28 PM end example]</w:t>
            </w:r>
          </w:p>
        </w:tc>
      </w:tr>
      <w:tr w:rsidR="00024C0A" w:rsidTr="00024C0A">
        <w:tc>
          <w:tcPr>
            <w:tcW w:w="0" w:type="auto"/>
            <w:vAlign w:val="center"/>
          </w:tcPr>
          <w:p w:rsidR="00024C0A" w:rsidRDefault="00694C0F">
            <w:pPr>
              <w:pStyle w:val="TableBodyText"/>
            </w:pPr>
            <w:r>
              <w:rPr>
                <w:i/>
              </w:rPr>
              <w:t>datetime13</w:t>
            </w:r>
          </w:p>
        </w:tc>
        <w:tc>
          <w:tcPr>
            <w:tcW w:w="0" w:type="auto"/>
            <w:vAlign w:val="center"/>
          </w:tcPr>
          <w:p w:rsidR="00024C0A" w:rsidRDefault="00694C0F">
            <w:pPr>
              <w:pStyle w:val="TableBodyText"/>
            </w:pPr>
            <w:r>
              <w:t>hh:mm:ss: AM/PM date time format [Example: 4:28:34</w:t>
            </w:r>
            <w:r>
              <w:t xml:space="preserve"> PM end example]</w:t>
            </w:r>
          </w:p>
        </w:tc>
      </w:tr>
    </w:tbl>
    <w:p w:rsidR="00024C0A" w:rsidRDefault="00024C0A"/>
    <w:p w:rsidR="00024C0A" w:rsidRDefault="00694C0F">
      <w:pPr>
        <w:pStyle w:val="Definition-Field2"/>
      </w:pPr>
      <w:r>
        <w:t>This note applies to the following products: Office 2010, Office 2010 Server, Office 2010 SP1.</w:t>
      </w:r>
    </w:p>
    <w:p w:rsidR="00024C0A" w:rsidRDefault="00694C0F">
      <w:pPr>
        <w:pStyle w:val="Definition-Field"/>
      </w:pPr>
      <w:r>
        <w:t xml:space="preserve">b.   </w:t>
      </w:r>
      <w:r>
        <w:rPr>
          <w:i/>
        </w:rPr>
        <w:t>The standard states that the type attribute of the fld element specifies the type of update text that should be used within the text fiel</w:t>
      </w:r>
      <w:r>
        <w:rPr>
          <w:i/>
        </w:rPr>
        <w:t>d.</w:t>
      </w:r>
    </w:p>
    <w:p w:rsidR="00024C0A" w:rsidRDefault="00694C0F">
      <w:r>
        <w:t xml:space="preserve">In Office, the type attribute specifies the type of text that should be used to update this text field. This is used to inform Office what text it should use to update this text field. There are no specific syntax restrictions placed on this attribute. </w:t>
      </w:r>
      <w:r>
        <w:t>The generating application may use it to represent any text that should be updated before rendering the presentation.</w:t>
      </w:r>
    </w:p>
    <w:p w:rsidR="00024C0A" w:rsidRDefault="00694C0F">
      <w:r>
        <w:t>Reserved Values:</w:t>
      </w:r>
    </w:p>
    <w:tbl>
      <w:tblPr>
        <w:tblStyle w:val="Table-ShadedHeader"/>
        <w:tblW w:w="0" w:type="auto"/>
        <w:tblLook w:val="04A0" w:firstRow="1" w:lastRow="0" w:firstColumn="1" w:lastColumn="0" w:noHBand="0" w:noVBand="1"/>
      </w:tblPr>
      <w:tblGrid>
        <w:gridCol w:w="1341"/>
        <w:gridCol w:w="8134"/>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Value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i/>
              </w:rPr>
              <w:t>slidenum</w:t>
            </w:r>
          </w:p>
        </w:tc>
        <w:tc>
          <w:tcPr>
            <w:tcW w:w="0" w:type="auto"/>
            <w:vAlign w:val="center"/>
          </w:tcPr>
          <w:p w:rsidR="00024C0A" w:rsidRDefault="00694C0F">
            <w:pPr>
              <w:pStyle w:val="TableBodyText"/>
            </w:pPr>
            <w:r>
              <w:t>presentation slide number</w:t>
            </w:r>
          </w:p>
        </w:tc>
      </w:tr>
      <w:tr w:rsidR="00024C0A" w:rsidTr="00024C0A">
        <w:tc>
          <w:tcPr>
            <w:tcW w:w="0" w:type="auto"/>
            <w:vAlign w:val="center"/>
          </w:tcPr>
          <w:p w:rsidR="00024C0A" w:rsidRDefault="00694C0F">
            <w:pPr>
              <w:pStyle w:val="TableBodyText"/>
            </w:pPr>
            <w:r>
              <w:rPr>
                <w:i/>
              </w:rPr>
              <w:t>datetime</w:t>
            </w:r>
          </w:p>
        </w:tc>
        <w:tc>
          <w:tcPr>
            <w:tcW w:w="0" w:type="auto"/>
            <w:vAlign w:val="center"/>
          </w:tcPr>
          <w:p w:rsidR="00024C0A" w:rsidRDefault="00694C0F">
            <w:pPr>
              <w:pStyle w:val="TableBodyText"/>
            </w:pPr>
            <w:r>
              <w:t>default date time format for the rendering application</w:t>
            </w:r>
          </w:p>
        </w:tc>
      </w:tr>
      <w:tr w:rsidR="00024C0A" w:rsidTr="00024C0A">
        <w:tc>
          <w:tcPr>
            <w:tcW w:w="0" w:type="auto"/>
            <w:vAlign w:val="center"/>
          </w:tcPr>
          <w:p w:rsidR="00024C0A" w:rsidRDefault="00694C0F">
            <w:pPr>
              <w:pStyle w:val="TableBodyText"/>
            </w:pPr>
            <w:r>
              <w:rPr>
                <w:i/>
              </w:rPr>
              <w:t>datetime1</w:t>
            </w:r>
          </w:p>
        </w:tc>
        <w:tc>
          <w:tcPr>
            <w:tcW w:w="0" w:type="auto"/>
            <w:vAlign w:val="center"/>
          </w:tcPr>
          <w:p w:rsidR="00024C0A" w:rsidRDefault="00694C0F">
            <w:pPr>
              <w:pStyle w:val="TableBodyText"/>
            </w:pPr>
            <w:r>
              <w:t>MM/DD/YYYY date time format [Example: 10/12/2007 end example]</w:t>
            </w:r>
          </w:p>
        </w:tc>
      </w:tr>
      <w:tr w:rsidR="00024C0A" w:rsidTr="00024C0A">
        <w:tc>
          <w:tcPr>
            <w:tcW w:w="0" w:type="auto"/>
            <w:vAlign w:val="center"/>
          </w:tcPr>
          <w:p w:rsidR="00024C0A" w:rsidRDefault="00694C0F">
            <w:pPr>
              <w:pStyle w:val="TableBodyText"/>
            </w:pPr>
            <w:r>
              <w:rPr>
                <w:i/>
              </w:rPr>
              <w:t>datetime2</w:t>
            </w:r>
          </w:p>
        </w:tc>
        <w:tc>
          <w:tcPr>
            <w:tcW w:w="0" w:type="auto"/>
            <w:vAlign w:val="center"/>
          </w:tcPr>
          <w:p w:rsidR="00024C0A" w:rsidRDefault="00694C0F">
            <w:pPr>
              <w:pStyle w:val="TableBodyText"/>
            </w:pPr>
            <w:r>
              <w:t>Day, Month DD, YYYY date time format [Example: Friday, October 12, 2007 end example]</w:t>
            </w:r>
          </w:p>
        </w:tc>
      </w:tr>
      <w:tr w:rsidR="00024C0A" w:rsidTr="00024C0A">
        <w:tc>
          <w:tcPr>
            <w:tcW w:w="0" w:type="auto"/>
            <w:vAlign w:val="center"/>
          </w:tcPr>
          <w:p w:rsidR="00024C0A" w:rsidRDefault="00694C0F">
            <w:pPr>
              <w:pStyle w:val="TableBodyText"/>
            </w:pPr>
            <w:r>
              <w:rPr>
                <w:i/>
              </w:rPr>
              <w:t>datetime3</w:t>
            </w:r>
          </w:p>
        </w:tc>
        <w:tc>
          <w:tcPr>
            <w:tcW w:w="0" w:type="auto"/>
            <w:vAlign w:val="center"/>
          </w:tcPr>
          <w:p w:rsidR="00024C0A" w:rsidRDefault="00694C0F">
            <w:pPr>
              <w:pStyle w:val="TableBodyText"/>
            </w:pPr>
            <w:r>
              <w:t>DD Month YYYY date time format [Example: 12 October 2007 end example]</w:t>
            </w:r>
          </w:p>
        </w:tc>
      </w:tr>
      <w:tr w:rsidR="00024C0A" w:rsidTr="00024C0A">
        <w:tc>
          <w:tcPr>
            <w:tcW w:w="0" w:type="auto"/>
            <w:vAlign w:val="center"/>
          </w:tcPr>
          <w:p w:rsidR="00024C0A" w:rsidRDefault="00694C0F">
            <w:pPr>
              <w:pStyle w:val="TableBodyText"/>
            </w:pPr>
            <w:r>
              <w:rPr>
                <w:i/>
              </w:rPr>
              <w:t>datetime4</w:t>
            </w:r>
          </w:p>
        </w:tc>
        <w:tc>
          <w:tcPr>
            <w:tcW w:w="0" w:type="auto"/>
            <w:vAlign w:val="center"/>
          </w:tcPr>
          <w:p w:rsidR="00024C0A" w:rsidRDefault="00694C0F">
            <w:pPr>
              <w:pStyle w:val="TableBodyText"/>
            </w:pPr>
            <w:r>
              <w:t>Month DD, YYYY date time format [Example: October 12, 2007 end example]</w:t>
            </w:r>
          </w:p>
        </w:tc>
      </w:tr>
      <w:tr w:rsidR="00024C0A" w:rsidTr="00024C0A">
        <w:tc>
          <w:tcPr>
            <w:tcW w:w="0" w:type="auto"/>
            <w:vAlign w:val="center"/>
          </w:tcPr>
          <w:p w:rsidR="00024C0A" w:rsidRDefault="00694C0F">
            <w:pPr>
              <w:pStyle w:val="TableBodyText"/>
            </w:pPr>
            <w:r>
              <w:rPr>
                <w:i/>
              </w:rPr>
              <w:t>datetime5</w:t>
            </w:r>
          </w:p>
        </w:tc>
        <w:tc>
          <w:tcPr>
            <w:tcW w:w="0" w:type="auto"/>
            <w:vAlign w:val="center"/>
          </w:tcPr>
          <w:p w:rsidR="00024C0A" w:rsidRDefault="00694C0F">
            <w:pPr>
              <w:pStyle w:val="TableBodyText"/>
            </w:pPr>
            <w:r>
              <w:t>DD-Mon-YY date time format [Example: 12-Oct-07 end example]</w:t>
            </w:r>
          </w:p>
        </w:tc>
      </w:tr>
      <w:tr w:rsidR="00024C0A" w:rsidTr="00024C0A">
        <w:tc>
          <w:tcPr>
            <w:tcW w:w="0" w:type="auto"/>
            <w:vAlign w:val="center"/>
          </w:tcPr>
          <w:p w:rsidR="00024C0A" w:rsidRDefault="00694C0F">
            <w:pPr>
              <w:pStyle w:val="TableBodyText"/>
            </w:pPr>
            <w:r>
              <w:rPr>
                <w:i/>
              </w:rPr>
              <w:t>datetime6</w:t>
            </w:r>
          </w:p>
        </w:tc>
        <w:tc>
          <w:tcPr>
            <w:tcW w:w="0" w:type="auto"/>
            <w:vAlign w:val="center"/>
          </w:tcPr>
          <w:p w:rsidR="00024C0A" w:rsidRDefault="00694C0F">
            <w:pPr>
              <w:pStyle w:val="TableBodyText"/>
            </w:pPr>
            <w:r>
              <w:t>Month YY date time format [Example: October 07 end example]</w:t>
            </w:r>
          </w:p>
        </w:tc>
      </w:tr>
      <w:tr w:rsidR="00024C0A" w:rsidTr="00024C0A">
        <w:tc>
          <w:tcPr>
            <w:tcW w:w="0" w:type="auto"/>
            <w:vAlign w:val="center"/>
          </w:tcPr>
          <w:p w:rsidR="00024C0A" w:rsidRDefault="00694C0F">
            <w:pPr>
              <w:pStyle w:val="TableBodyText"/>
            </w:pPr>
            <w:r>
              <w:rPr>
                <w:i/>
              </w:rPr>
              <w:t>datetime7</w:t>
            </w:r>
          </w:p>
        </w:tc>
        <w:tc>
          <w:tcPr>
            <w:tcW w:w="0" w:type="auto"/>
            <w:vAlign w:val="center"/>
          </w:tcPr>
          <w:p w:rsidR="00024C0A" w:rsidRDefault="00694C0F">
            <w:pPr>
              <w:pStyle w:val="TableBodyText"/>
            </w:pPr>
            <w:r>
              <w:t xml:space="preserve">Mon-YY date time </w:t>
            </w:r>
            <w:r>
              <w:t>format [Example: Oct-07 end example]</w:t>
            </w:r>
          </w:p>
        </w:tc>
      </w:tr>
      <w:tr w:rsidR="00024C0A" w:rsidTr="00024C0A">
        <w:tc>
          <w:tcPr>
            <w:tcW w:w="0" w:type="auto"/>
            <w:vAlign w:val="center"/>
          </w:tcPr>
          <w:p w:rsidR="00024C0A" w:rsidRDefault="00694C0F">
            <w:pPr>
              <w:pStyle w:val="TableBodyText"/>
            </w:pPr>
            <w:r>
              <w:rPr>
                <w:i/>
              </w:rPr>
              <w:t>datetime8</w:t>
            </w:r>
          </w:p>
        </w:tc>
        <w:tc>
          <w:tcPr>
            <w:tcW w:w="0" w:type="auto"/>
            <w:vAlign w:val="center"/>
          </w:tcPr>
          <w:p w:rsidR="00024C0A" w:rsidRDefault="00694C0F">
            <w:pPr>
              <w:pStyle w:val="TableBodyText"/>
            </w:pPr>
            <w:r>
              <w:t>MM/DD/YYYY hh:mm AM/PM date time format [Example: 10/12/2007 4:28 PM end example]</w:t>
            </w:r>
          </w:p>
        </w:tc>
      </w:tr>
      <w:tr w:rsidR="00024C0A" w:rsidTr="00024C0A">
        <w:tc>
          <w:tcPr>
            <w:tcW w:w="0" w:type="auto"/>
            <w:vAlign w:val="center"/>
          </w:tcPr>
          <w:p w:rsidR="00024C0A" w:rsidRDefault="00694C0F">
            <w:pPr>
              <w:pStyle w:val="TableBodyText"/>
            </w:pPr>
            <w:r>
              <w:rPr>
                <w:i/>
              </w:rPr>
              <w:lastRenderedPageBreak/>
              <w:t>datetime9</w:t>
            </w:r>
          </w:p>
        </w:tc>
        <w:tc>
          <w:tcPr>
            <w:tcW w:w="0" w:type="auto"/>
            <w:vAlign w:val="center"/>
          </w:tcPr>
          <w:p w:rsidR="00024C0A" w:rsidRDefault="00694C0F">
            <w:pPr>
              <w:pStyle w:val="TableBodyText"/>
            </w:pPr>
            <w:r>
              <w:t>MM/DD/YYYY hh:mm:ss AM/PM date time format [Example: 10/12/2007 4:28:34 PM end example]</w:t>
            </w:r>
          </w:p>
        </w:tc>
      </w:tr>
      <w:tr w:rsidR="00024C0A" w:rsidTr="00024C0A">
        <w:tc>
          <w:tcPr>
            <w:tcW w:w="0" w:type="auto"/>
            <w:vAlign w:val="center"/>
          </w:tcPr>
          <w:p w:rsidR="00024C0A" w:rsidRDefault="00694C0F">
            <w:pPr>
              <w:pStyle w:val="TableBodyText"/>
            </w:pPr>
            <w:r>
              <w:rPr>
                <w:i/>
              </w:rPr>
              <w:t>datetime10</w:t>
            </w:r>
          </w:p>
        </w:tc>
        <w:tc>
          <w:tcPr>
            <w:tcW w:w="0" w:type="auto"/>
            <w:vAlign w:val="center"/>
          </w:tcPr>
          <w:p w:rsidR="00024C0A" w:rsidRDefault="00694C0F">
            <w:pPr>
              <w:pStyle w:val="TableBodyText"/>
            </w:pPr>
            <w:r>
              <w:t>hh:mm date time</w:t>
            </w:r>
            <w:r>
              <w:t xml:space="preserve"> format [Example: 16:28 end example]</w:t>
            </w:r>
          </w:p>
        </w:tc>
      </w:tr>
      <w:tr w:rsidR="00024C0A" w:rsidTr="00024C0A">
        <w:tc>
          <w:tcPr>
            <w:tcW w:w="0" w:type="auto"/>
            <w:vAlign w:val="center"/>
          </w:tcPr>
          <w:p w:rsidR="00024C0A" w:rsidRDefault="00694C0F">
            <w:pPr>
              <w:pStyle w:val="TableBodyText"/>
            </w:pPr>
            <w:r>
              <w:rPr>
                <w:i/>
              </w:rPr>
              <w:t>datetime11</w:t>
            </w:r>
          </w:p>
        </w:tc>
        <w:tc>
          <w:tcPr>
            <w:tcW w:w="0" w:type="auto"/>
            <w:vAlign w:val="center"/>
          </w:tcPr>
          <w:p w:rsidR="00024C0A" w:rsidRDefault="00694C0F">
            <w:pPr>
              <w:pStyle w:val="TableBodyText"/>
            </w:pPr>
            <w:r>
              <w:t>hh:mm:ss date time format [Example: 16:28:34 end example]</w:t>
            </w:r>
          </w:p>
        </w:tc>
      </w:tr>
      <w:tr w:rsidR="00024C0A" w:rsidTr="00024C0A">
        <w:tc>
          <w:tcPr>
            <w:tcW w:w="0" w:type="auto"/>
            <w:vAlign w:val="center"/>
          </w:tcPr>
          <w:p w:rsidR="00024C0A" w:rsidRDefault="00694C0F">
            <w:pPr>
              <w:pStyle w:val="TableBodyText"/>
            </w:pPr>
            <w:r>
              <w:rPr>
                <w:i/>
              </w:rPr>
              <w:t>datetime12</w:t>
            </w:r>
          </w:p>
        </w:tc>
        <w:tc>
          <w:tcPr>
            <w:tcW w:w="0" w:type="auto"/>
            <w:vAlign w:val="center"/>
          </w:tcPr>
          <w:p w:rsidR="00024C0A" w:rsidRDefault="00694C0F">
            <w:pPr>
              <w:pStyle w:val="TableBodyText"/>
            </w:pPr>
            <w:r>
              <w:t>hh:mm AM/PM date time format [Example: 4:28 PM end example]</w:t>
            </w:r>
          </w:p>
        </w:tc>
      </w:tr>
      <w:tr w:rsidR="00024C0A" w:rsidTr="00024C0A">
        <w:tc>
          <w:tcPr>
            <w:tcW w:w="0" w:type="auto"/>
            <w:vAlign w:val="center"/>
          </w:tcPr>
          <w:p w:rsidR="00024C0A" w:rsidRDefault="00694C0F">
            <w:pPr>
              <w:pStyle w:val="TableBodyText"/>
            </w:pPr>
            <w:r>
              <w:rPr>
                <w:i/>
              </w:rPr>
              <w:t>datetime13</w:t>
            </w:r>
          </w:p>
        </w:tc>
        <w:tc>
          <w:tcPr>
            <w:tcW w:w="0" w:type="auto"/>
            <w:vAlign w:val="center"/>
          </w:tcPr>
          <w:p w:rsidR="00024C0A" w:rsidRDefault="00694C0F">
            <w:pPr>
              <w:pStyle w:val="TableBodyText"/>
            </w:pPr>
            <w:r>
              <w:t xml:space="preserve">hh:mm:ss: AM/PM date time format [Example: 4:28:34 PM </w:t>
            </w:r>
            <w:r>
              <w:t>end example]</w:t>
            </w:r>
          </w:p>
        </w:tc>
      </w:tr>
      <w:tr w:rsidR="00024C0A" w:rsidTr="00024C0A">
        <w:tc>
          <w:tcPr>
            <w:tcW w:w="0" w:type="auto"/>
            <w:vAlign w:val="center"/>
          </w:tcPr>
          <w:p w:rsidR="00024C0A" w:rsidRDefault="00694C0F">
            <w:pPr>
              <w:pStyle w:val="TableBodyText"/>
            </w:pPr>
            <w:r>
              <w:rPr>
                <w:i/>
              </w:rPr>
              <w:t>uaqdatetime1</w:t>
            </w:r>
          </w:p>
        </w:tc>
        <w:tc>
          <w:tcPr>
            <w:tcW w:w="0" w:type="auto"/>
            <w:vAlign w:val="center"/>
          </w:tcPr>
          <w:p w:rsidR="00024C0A" w:rsidRDefault="00694C0F">
            <w:pPr>
              <w:pStyle w:val="TableBodyText"/>
            </w:pPr>
            <w:r>
              <w:t>DD/MM/YYYY date time format using the Umm al-Qura calendar [</w:t>
            </w:r>
            <w:r>
              <w:rPr>
                <w:i/>
              </w:rPr>
              <w:t>Example:</w:t>
            </w:r>
          </w:p>
          <w:p w:rsidR="00024C0A" w:rsidRDefault="00694C0F">
            <w:pPr>
              <w:pStyle w:val="TableBodyText"/>
            </w:pPr>
            <w:r>
              <w:rPr>
                <w:noProof/>
              </w:rPr>
              <w:drawing>
                <wp:inline distT="0" distB="0" distL="0" distR="0">
                  <wp:extent cx="790575" cy="200025"/>
                  <wp:effectExtent l="0" t="0" r="0" b="0"/>
                  <wp:docPr id="342015686" name="Picture 1" descr="Date in left to right format. 10/12/1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92f01-0000-0000-0000-000000000000" descr="Date in left to right format. 10/12/1432" title="Date in left to right format"/>
                          <pic:cNvPicPr>
                            <a:picLocks noChangeAspect="1" noChangeArrowheads="1"/>
                          </pic:cNvPicPr>
                        </pic:nvPicPr>
                        <pic:blipFill>
                          <a:blip r:embed="rId192" cstate="print"/>
                          <a:srcRect/>
                          <a:stretch>
                            <a:fillRect/>
                          </a:stretch>
                        </pic:blipFill>
                        <pic:spPr bwMode="auto">
                          <a:xfrm>
                            <a:off x="0" y="0"/>
                            <a:ext cx="790575" cy="200025"/>
                          </a:xfrm>
                          <a:prstGeom prst="rect">
                            <a:avLst/>
                          </a:prstGeom>
                          <a:noFill/>
                          <a:ln w="9525">
                            <a:noFill/>
                            <a:miter lim="800000"/>
                            <a:headEnd/>
                            <a:tailEnd/>
                          </a:ln>
                        </pic:spPr>
                      </pic:pic>
                    </a:graphicData>
                  </a:graphic>
                </wp:inline>
              </w:drawing>
            </w:r>
          </w:p>
          <w:p w:rsidR="00024C0A" w:rsidRDefault="00694C0F">
            <w:pPr>
              <w:pStyle w:val="TableBodyText"/>
            </w:pPr>
            <w:r>
              <w:rPr>
                <w:i/>
              </w:rPr>
              <w:t>end example</w:t>
            </w:r>
            <w:r>
              <w:t>]</w:t>
            </w:r>
          </w:p>
        </w:tc>
      </w:tr>
      <w:tr w:rsidR="00024C0A" w:rsidTr="00024C0A">
        <w:tc>
          <w:tcPr>
            <w:tcW w:w="0" w:type="auto"/>
            <w:vAlign w:val="center"/>
          </w:tcPr>
          <w:p w:rsidR="00024C0A" w:rsidRDefault="00694C0F">
            <w:pPr>
              <w:pStyle w:val="TableBodyText"/>
            </w:pPr>
            <w:r>
              <w:rPr>
                <w:i/>
              </w:rPr>
              <w:t>uaqdatetime2</w:t>
            </w:r>
          </w:p>
        </w:tc>
        <w:tc>
          <w:tcPr>
            <w:tcW w:w="0" w:type="auto"/>
            <w:vAlign w:val="center"/>
          </w:tcPr>
          <w:p w:rsidR="00024C0A" w:rsidRDefault="00694C0F">
            <w:pPr>
              <w:pStyle w:val="TableBodyText"/>
            </w:pPr>
            <w:r>
              <w:t>Day, DD Month, YYYY date time format using the Umm al-Qura calendar [</w:t>
            </w:r>
            <w:r>
              <w:rPr>
                <w:i/>
              </w:rPr>
              <w:t>Example:</w:t>
            </w:r>
          </w:p>
          <w:p w:rsidR="00024C0A" w:rsidRDefault="00694C0F">
            <w:pPr>
              <w:pStyle w:val="TableBodyText"/>
            </w:pPr>
            <w:r>
              <w:rPr>
                <w:noProof/>
              </w:rPr>
              <w:drawing>
                <wp:inline distT="0" distB="0" distL="0" distR="0">
                  <wp:extent cx="1485900" cy="238125"/>
                  <wp:effectExtent l="0" t="0" r="0" b="0"/>
                  <wp:docPr id="342015692"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a2f01-0000-0000-0000-000000000000" descr="Date in right to left format" title="Date in right to left format"/>
                          <pic:cNvPicPr>
                            <a:picLocks noChangeAspect="1" noChangeArrowheads="1"/>
                          </pic:cNvPicPr>
                        </pic:nvPicPr>
                        <pic:blipFill>
                          <a:blip r:embed="rId193" cstate="print"/>
                          <a:srcRect/>
                          <a:stretch>
                            <a:fillRect/>
                          </a:stretch>
                        </pic:blipFill>
                        <pic:spPr bwMode="auto">
                          <a:xfrm>
                            <a:off x="0" y="0"/>
                            <a:ext cx="1485900" cy="238125"/>
                          </a:xfrm>
                          <a:prstGeom prst="rect">
                            <a:avLst/>
                          </a:prstGeom>
                          <a:noFill/>
                          <a:ln w="9525">
                            <a:noFill/>
                            <a:miter lim="800000"/>
                            <a:headEnd/>
                            <a:tailEnd/>
                          </a:ln>
                        </pic:spPr>
                      </pic:pic>
                    </a:graphicData>
                  </a:graphic>
                </wp:inline>
              </w:drawing>
            </w:r>
          </w:p>
          <w:p w:rsidR="00024C0A" w:rsidRDefault="00694C0F">
            <w:pPr>
              <w:pStyle w:val="TableBodyText"/>
            </w:pPr>
            <w:r>
              <w:rPr>
                <w:i/>
              </w:rPr>
              <w:t>end example</w:t>
            </w:r>
            <w:r>
              <w:t>]</w:t>
            </w:r>
          </w:p>
        </w:tc>
      </w:tr>
      <w:tr w:rsidR="00024C0A" w:rsidTr="00024C0A">
        <w:tc>
          <w:tcPr>
            <w:tcW w:w="0" w:type="auto"/>
            <w:vAlign w:val="center"/>
          </w:tcPr>
          <w:p w:rsidR="00024C0A" w:rsidRDefault="00694C0F">
            <w:pPr>
              <w:pStyle w:val="TableBodyText"/>
            </w:pPr>
            <w:r>
              <w:rPr>
                <w:i/>
              </w:rPr>
              <w:t>uaqdatetime3</w:t>
            </w:r>
          </w:p>
        </w:tc>
        <w:tc>
          <w:tcPr>
            <w:tcW w:w="0" w:type="auto"/>
            <w:vAlign w:val="center"/>
          </w:tcPr>
          <w:p w:rsidR="00024C0A" w:rsidRDefault="00694C0F">
            <w:pPr>
              <w:pStyle w:val="TableBodyText"/>
            </w:pPr>
            <w:r>
              <w:t>DD Month, YYYY date time</w:t>
            </w:r>
            <w:r>
              <w:t xml:space="preserve"> format using the Umm al-Qura calendar [</w:t>
            </w:r>
            <w:r>
              <w:rPr>
                <w:i/>
              </w:rPr>
              <w:t>Example:</w:t>
            </w:r>
          </w:p>
          <w:p w:rsidR="00024C0A" w:rsidRDefault="00694C0F">
            <w:pPr>
              <w:pStyle w:val="TableBodyText"/>
            </w:pPr>
            <w:r>
              <w:rPr>
                <w:noProof/>
              </w:rPr>
              <w:drawing>
                <wp:inline distT="0" distB="0" distL="0" distR="0">
                  <wp:extent cx="1114425" cy="219075"/>
                  <wp:effectExtent l="0" t="0" r="0" b="0"/>
                  <wp:docPr id="342015693"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b2f01-0000-0000-0000-000000000000" descr="Date in right to left format" title="Date in right to left format"/>
                          <pic:cNvPicPr>
                            <a:picLocks noChangeAspect="1" noChangeArrowheads="1"/>
                          </pic:cNvPicPr>
                        </pic:nvPicPr>
                        <pic:blipFill>
                          <a:blip r:embed="rId194" cstate="print"/>
                          <a:srcRect/>
                          <a:stretch>
                            <a:fillRect/>
                          </a:stretch>
                        </pic:blipFill>
                        <pic:spPr bwMode="auto">
                          <a:xfrm>
                            <a:off x="0" y="0"/>
                            <a:ext cx="1114425" cy="219075"/>
                          </a:xfrm>
                          <a:prstGeom prst="rect">
                            <a:avLst/>
                          </a:prstGeom>
                          <a:noFill/>
                          <a:ln w="9525">
                            <a:noFill/>
                            <a:miter lim="800000"/>
                            <a:headEnd/>
                            <a:tailEnd/>
                          </a:ln>
                        </pic:spPr>
                      </pic:pic>
                    </a:graphicData>
                  </a:graphic>
                </wp:inline>
              </w:drawing>
            </w:r>
          </w:p>
          <w:p w:rsidR="00024C0A" w:rsidRDefault="00694C0F">
            <w:pPr>
              <w:pStyle w:val="TableBodyText"/>
            </w:pPr>
            <w:r>
              <w:rPr>
                <w:i/>
              </w:rPr>
              <w:t>end example</w:t>
            </w:r>
            <w:r>
              <w:t>]</w:t>
            </w:r>
          </w:p>
        </w:tc>
      </w:tr>
      <w:tr w:rsidR="00024C0A" w:rsidTr="00024C0A">
        <w:tc>
          <w:tcPr>
            <w:tcW w:w="0" w:type="auto"/>
            <w:vAlign w:val="center"/>
          </w:tcPr>
          <w:p w:rsidR="00024C0A" w:rsidRDefault="00694C0F">
            <w:pPr>
              <w:pStyle w:val="TableBodyText"/>
            </w:pPr>
            <w:r>
              <w:rPr>
                <w:i/>
              </w:rPr>
              <w:t>uaqdatetime4</w:t>
            </w:r>
          </w:p>
        </w:tc>
        <w:tc>
          <w:tcPr>
            <w:tcW w:w="0" w:type="auto"/>
            <w:vAlign w:val="center"/>
          </w:tcPr>
          <w:p w:rsidR="00024C0A" w:rsidRDefault="00694C0F">
            <w:pPr>
              <w:pStyle w:val="TableBodyText"/>
            </w:pPr>
            <w:r>
              <w:t>DD/MM/YY date time format using the Umm al-Qura calendar [</w:t>
            </w:r>
            <w:r>
              <w:rPr>
                <w:i/>
              </w:rPr>
              <w:t>Example:</w:t>
            </w:r>
          </w:p>
          <w:p w:rsidR="00024C0A" w:rsidRDefault="00694C0F">
            <w:pPr>
              <w:pStyle w:val="TableBodyText"/>
            </w:pPr>
            <w:r>
              <w:rPr>
                <w:noProof/>
              </w:rPr>
              <w:drawing>
                <wp:inline distT="0" distB="0" distL="0" distR="0">
                  <wp:extent cx="609600" cy="219075"/>
                  <wp:effectExtent l="0" t="0" r="0" b="0"/>
                  <wp:docPr id="342015694" name="Picture 1" descr="Date in left to right format: 10/0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c2f01-0000-0000-0000-000000000000" descr="Date in left to right format: 10/04/32" title="Date in left to right format"/>
                          <pic:cNvPicPr>
                            <a:picLocks noChangeAspect="1" noChangeArrowheads="1"/>
                          </pic:cNvPicPr>
                        </pic:nvPicPr>
                        <pic:blipFill>
                          <a:blip r:embed="rId195" cstate="print"/>
                          <a:srcRect/>
                          <a:stretch>
                            <a:fillRect/>
                          </a:stretch>
                        </pic:blipFill>
                        <pic:spPr bwMode="auto">
                          <a:xfrm>
                            <a:off x="0" y="0"/>
                            <a:ext cx="609600" cy="219075"/>
                          </a:xfrm>
                          <a:prstGeom prst="rect">
                            <a:avLst/>
                          </a:prstGeom>
                          <a:noFill/>
                          <a:ln w="9525">
                            <a:noFill/>
                            <a:miter lim="800000"/>
                            <a:headEnd/>
                            <a:tailEnd/>
                          </a:ln>
                        </pic:spPr>
                      </pic:pic>
                    </a:graphicData>
                  </a:graphic>
                </wp:inline>
              </w:drawing>
            </w:r>
          </w:p>
          <w:p w:rsidR="00024C0A" w:rsidRDefault="00694C0F">
            <w:pPr>
              <w:pStyle w:val="TableBodyText"/>
            </w:pPr>
            <w:r>
              <w:rPr>
                <w:i/>
              </w:rPr>
              <w:t>end example</w:t>
            </w:r>
            <w:r>
              <w:t>]</w:t>
            </w:r>
          </w:p>
        </w:tc>
      </w:tr>
      <w:tr w:rsidR="00024C0A" w:rsidTr="00024C0A">
        <w:tc>
          <w:tcPr>
            <w:tcW w:w="0" w:type="auto"/>
            <w:vAlign w:val="center"/>
          </w:tcPr>
          <w:p w:rsidR="00024C0A" w:rsidRDefault="00694C0F">
            <w:pPr>
              <w:pStyle w:val="TableBodyText"/>
            </w:pPr>
            <w:r>
              <w:rPr>
                <w:i/>
              </w:rPr>
              <w:t>uaqdatetime5</w:t>
            </w:r>
          </w:p>
        </w:tc>
        <w:tc>
          <w:tcPr>
            <w:tcW w:w="0" w:type="auto"/>
            <w:vAlign w:val="center"/>
          </w:tcPr>
          <w:p w:rsidR="00024C0A" w:rsidRDefault="00694C0F">
            <w:pPr>
              <w:pStyle w:val="TableBodyText"/>
            </w:pPr>
            <w:r>
              <w:t>YYYY-DD-MM date time format using the Umm al-Qura calendar [</w:t>
            </w:r>
            <w:r>
              <w:rPr>
                <w:i/>
              </w:rPr>
              <w:t>Example:</w:t>
            </w:r>
          </w:p>
          <w:p w:rsidR="00024C0A" w:rsidRDefault="00694C0F">
            <w:pPr>
              <w:pStyle w:val="TableBodyText"/>
            </w:pPr>
            <w:r>
              <w:rPr>
                <w:noProof/>
              </w:rPr>
              <w:drawing>
                <wp:inline distT="0" distB="0" distL="0" distR="0">
                  <wp:extent cx="704850" cy="209550"/>
                  <wp:effectExtent l="0" t="0" r="0" b="0"/>
                  <wp:docPr id="342015695" name="Picture 1" descr="Date in left to right format: 1432  hyphen 04  hyphen 10"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d2f01-0000-0000-0000-000000000000" descr="Date in left to right format: 1432  hyphen 04  hyphen 10" title="Date in left to right format"/>
                          <pic:cNvPicPr>
                            <a:picLocks noChangeAspect="1" noChangeArrowheads="1"/>
                          </pic:cNvPicPr>
                        </pic:nvPicPr>
                        <pic:blipFill>
                          <a:blip r:embed="rId196"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
          <w:p w:rsidR="00024C0A" w:rsidRDefault="00694C0F">
            <w:pPr>
              <w:pStyle w:val="TableBodyText"/>
            </w:pPr>
            <w:r>
              <w:rPr>
                <w:i/>
              </w:rPr>
              <w:t>end example</w:t>
            </w:r>
            <w:r>
              <w:t>]</w:t>
            </w:r>
          </w:p>
        </w:tc>
      </w:tr>
      <w:tr w:rsidR="00024C0A" w:rsidTr="00024C0A">
        <w:tc>
          <w:tcPr>
            <w:tcW w:w="0" w:type="auto"/>
            <w:vAlign w:val="center"/>
          </w:tcPr>
          <w:p w:rsidR="00024C0A" w:rsidRDefault="00694C0F">
            <w:pPr>
              <w:pStyle w:val="TableBodyText"/>
            </w:pPr>
            <w:r>
              <w:rPr>
                <w:i/>
              </w:rPr>
              <w:t>uaqdatetime6</w:t>
            </w:r>
          </w:p>
        </w:tc>
        <w:tc>
          <w:tcPr>
            <w:tcW w:w="0" w:type="auto"/>
            <w:vAlign w:val="center"/>
          </w:tcPr>
          <w:p w:rsidR="00024C0A" w:rsidRDefault="00694C0F">
            <w:pPr>
              <w:pStyle w:val="TableBodyText"/>
            </w:pPr>
            <w:r>
              <w:t>DD-Month-YY date time format using the Umm al-Qura calendar [</w:t>
            </w:r>
            <w:r>
              <w:rPr>
                <w:i/>
              </w:rPr>
              <w:t>Example:</w:t>
            </w:r>
          </w:p>
          <w:p w:rsidR="00024C0A" w:rsidRDefault="00694C0F">
            <w:pPr>
              <w:pStyle w:val="TableBodyText"/>
            </w:pPr>
            <w:r>
              <w:rPr>
                <w:noProof/>
              </w:rPr>
              <w:drawing>
                <wp:inline distT="0" distB="0" distL="0" distR="0">
                  <wp:extent cx="981075" cy="219075"/>
                  <wp:effectExtent l="0" t="0" r="0" b="0"/>
                  <wp:docPr id="342015696"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e2f01-0000-0000-0000-000000000000" descr="Date in right to left format" title="Date in right to left format"/>
                          <pic:cNvPicPr>
                            <a:picLocks noChangeAspect="1" noChangeArrowheads="1"/>
                          </pic:cNvPicPr>
                        </pic:nvPicPr>
                        <pic:blipFill>
                          <a:blip r:embed="rId197" cstate="print"/>
                          <a:srcRect/>
                          <a:stretch>
                            <a:fillRect/>
                          </a:stretch>
                        </pic:blipFill>
                        <pic:spPr bwMode="auto">
                          <a:xfrm>
                            <a:off x="0" y="0"/>
                            <a:ext cx="981075" cy="219075"/>
                          </a:xfrm>
                          <a:prstGeom prst="rect">
                            <a:avLst/>
                          </a:prstGeom>
                          <a:noFill/>
                          <a:ln w="9525">
                            <a:noFill/>
                            <a:miter lim="800000"/>
                            <a:headEnd/>
                            <a:tailEnd/>
                          </a:ln>
                        </pic:spPr>
                      </pic:pic>
                    </a:graphicData>
                  </a:graphic>
                </wp:inline>
              </w:drawing>
            </w:r>
          </w:p>
          <w:p w:rsidR="00024C0A" w:rsidRDefault="00694C0F">
            <w:pPr>
              <w:pStyle w:val="TableBodyText"/>
            </w:pPr>
            <w:r>
              <w:rPr>
                <w:i/>
              </w:rPr>
              <w:t>end example</w:t>
            </w:r>
            <w:r>
              <w:t>]</w:t>
            </w:r>
          </w:p>
        </w:tc>
      </w:tr>
      <w:tr w:rsidR="00024C0A" w:rsidTr="00024C0A">
        <w:tc>
          <w:tcPr>
            <w:tcW w:w="0" w:type="auto"/>
            <w:vAlign w:val="center"/>
          </w:tcPr>
          <w:p w:rsidR="00024C0A" w:rsidRDefault="00694C0F">
            <w:pPr>
              <w:pStyle w:val="TableBodyText"/>
            </w:pPr>
            <w:r>
              <w:rPr>
                <w:i/>
              </w:rPr>
              <w:t>uaqdatetime7</w:t>
            </w:r>
          </w:p>
        </w:tc>
        <w:tc>
          <w:tcPr>
            <w:tcW w:w="0" w:type="auto"/>
            <w:vAlign w:val="center"/>
          </w:tcPr>
          <w:p w:rsidR="00024C0A" w:rsidRDefault="00694C0F">
            <w:pPr>
              <w:pStyle w:val="TableBodyText"/>
            </w:pPr>
            <w:r>
              <w:t>DD Month YYYY date time format using the Umm al-Qura calendar [</w:t>
            </w:r>
            <w:r>
              <w:rPr>
                <w:i/>
              </w:rPr>
              <w:t>Example:</w:t>
            </w:r>
          </w:p>
          <w:p w:rsidR="00024C0A" w:rsidRDefault="00694C0F">
            <w:pPr>
              <w:pStyle w:val="TableBodyText"/>
            </w:pPr>
            <w:r>
              <w:rPr>
                <w:noProof/>
              </w:rPr>
              <w:drawing>
                <wp:inline distT="0" distB="0" distL="0" distR="0">
                  <wp:extent cx="1047749" cy="228600"/>
                  <wp:effectExtent l="0" t="0" r="0" b="0"/>
                  <wp:docPr id="342015697"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f2f01-0000-0000-0000-000000000000" descr="Date in right to left format" title="Date in right to left format"/>
                          <pic:cNvPicPr>
                            <a:picLocks noChangeAspect="1" noChangeArrowheads="1"/>
                          </pic:cNvPicPr>
                        </pic:nvPicPr>
                        <pic:blipFill>
                          <a:blip r:embed="rId198" cstate="print"/>
                          <a:srcRect/>
                          <a:stretch>
                            <a:fillRect/>
                          </a:stretch>
                        </pic:blipFill>
                        <pic:spPr bwMode="auto">
                          <a:xfrm>
                            <a:off x="0" y="0"/>
                            <a:ext cx="1047749" cy="228600"/>
                          </a:xfrm>
                          <a:prstGeom prst="rect">
                            <a:avLst/>
                          </a:prstGeom>
                          <a:noFill/>
                          <a:ln w="9525">
                            <a:noFill/>
                            <a:miter lim="800000"/>
                            <a:headEnd/>
                            <a:tailEnd/>
                          </a:ln>
                        </pic:spPr>
                      </pic:pic>
                    </a:graphicData>
                  </a:graphic>
                </wp:inline>
              </w:drawing>
            </w:r>
          </w:p>
          <w:p w:rsidR="00024C0A" w:rsidRDefault="00694C0F">
            <w:pPr>
              <w:pStyle w:val="TableBodyText"/>
            </w:pPr>
            <w:r>
              <w:rPr>
                <w:i/>
              </w:rPr>
              <w:t>end example</w:t>
            </w:r>
            <w:r>
              <w:t>]</w:t>
            </w:r>
          </w:p>
        </w:tc>
      </w:tr>
    </w:tbl>
    <w:p w:rsidR="00024C0A" w:rsidRDefault="00024C0A"/>
    <w:p w:rsidR="00024C0A" w:rsidRDefault="00694C0F">
      <w:pPr>
        <w:pStyle w:val="Definition-Field2"/>
      </w:pPr>
      <w:r>
        <w:t xml:space="preserve">This note applies to the following products: Office </w:t>
      </w:r>
      <w:r>
        <w:t>2013 Client (Strict), Office 2013 Server (Strict), Office 2013 Client (Transitional), Office 2013 Server (Transitional).</w:t>
      </w:r>
    </w:p>
    <w:p w:rsidR="00024C0A" w:rsidRDefault="00694C0F">
      <w:pPr>
        <w:pStyle w:val="Heading3"/>
      </w:pPr>
      <w:bookmarkStart w:id="2775" w:name="section_4e0431052ae44b85baa84324ca7a6367"/>
      <w:bookmarkStart w:id="2776" w:name="_Toc12261448"/>
      <w:r>
        <w:t>Part 1 Section 21.1.2.2.5, lnSpc (Line Spacing)</w:t>
      </w:r>
      <w:bookmarkEnd w:id="2775"/>
      <w:bookmarkEnd w:id="2776"/>
      <w:r>
        <w:fldChar w:fldCharType="begin"/>
      </w:r>
      <w:r>
        <w:instrText xml:space="preserve"> XE "lnSpc (Line Spacing)" </w:instrText>
      </w:r>
      <w:r>
        <w:fldChar w:fldCharType="end"/>
      </w:r>
    </w:p>
    <w:p w:rsidR="00024C0A" w:rsidRDefault="00694C0F">
      <w:pPr>
        <w:pStyle w:val="Definition-Field"/>
      </w:pPr>
      <w:r>
        <w:t xml:space="preserve">a.   </w:t>
      </w:r>
      <w:r>
        <w:rPr>
          <w:i/>
        </w:rPr>
        <w:t xml:space="preserve">The standard states that the lnSpc element describes </w:t>
      </w:r>
      <w:r>
        <w:rPr>
          <w:i/>
        </w:rPr>
        <w:t>the vertical line spacing that is to be used within a paragraph.</w:t>
      </w:r>
    </w:p>
    <w:p w:rsidR="00024C0A" w:rsidRDefault="00694C0F">
      <w:pPr>
        <w:pStyle w:val="Definition-Field2"/>
      </w:pPr>
      <w:r>
        <w:t>In Office, the lnSpc element describes the vertical line spacing for horizontal text and horizontal line spacing for vertical text that is to be used within a paragraph.</w:t>
      </w:r>
    </w:p>
    <w:p w:rsidR="00024C0A" w:rsidRDefault="00694C0F">
      <w:pPr>
        <w:pStyle w:val="Definition-Field"/>
      </w:pPr>
      <w:r>
        <w:lastRenderedPageBreak/>
        <w:t xml:space="preserve">b.   </w:t>
      </w:r>
      <w:r>
        <w:rPr>
          <w:i/>
        </w:rPr>
        <w:t>The standard sta</w:t>
      </w:r>
      <w:r>
        <w:rPr>
          <w:i/>
        </w:rPr>
        <w:t>tes that ST_TextSpacingPercent is read and written as a percent with a trailing percent sign.</w:t>
      </w:r>
    </w:p>
    <w:p w:rsidR="00024C0A" w:rsidRDefault="00694C0F">
      <w:pPr>
        <w:pStyle w:val="Definition-Field2"/>
      </w:pPr>
      <w:r>
        <w:t xml:space="preserve">Office will read in percentages formatted with a trailing percent sign or as 1000th of a percent without trailing percent sign, but only write out percentages as </w:t>
      </w:r>
      <w:r>
        <w:t>1000th's of a percent without trailing percent sign.</w:t>
      </w:r>
    </w:p>
    <w:p w:rsidR="00024C0A" w:rsidRDefault="00694C0F">
      <w:pPr>
        <w:pStyle w:val="Heading3"/>
      </w:pPr>
      <w:bookmarkStart w:id="2777" w:name="section_de16a8a159de48a5b3c08d155229b609"/>
      <w:bookmarkStart w:id="2778" w:name="_Toc12261449"/>
      <w:r>
        <w:t>Part 1 Section 21.1.2.2.6, p (Text Paragraphs)</w:t>
      </w:r>
      <w:bookmarkEnd w:id="2777"/>
      <w:bookmarkEnd w:id="2778"/>
      <w:r>
        <w:fldChar w:fldCharType="begin"/>
      </w:r>
      <w:r>
        <w:instrText xml:space="preserve"> XE "p (Text Paragraphs)" </w:instrText>
      </w:r>
      <w:r>
        <w:fldChar w:fldCharType="end"/>
      </w:r>
    </w:p>
    <w:p w:rsidR="00024C0A" w:rsidRDefault="00694C0F">
      <w:pPr>
        <w:pStyle w:val="Definition-Field"/>
      </w:pPr>
      <w:r>
        <w:t xml:space="preserve">a.   </w:t>
      </w:r>
      <w:r>
        <w:rPr>
          <w:i/>
        </w:rPr>
        <w:t>The standard states that if no text paragraph properties are listed, then the properties specified in the defPPr element ar</w:t>
      </w:r>
      <w:r>
        <w:rPr>
          <w:i/>
        </w:rPr>
        <w:t>e used.</w:t>
      </w:r>
    </w:p>
    <w:p w:rsidR="00024C0A" w:rsidRDefault="00694C0F">
      <w:pPr>
        <w:pStyle w:val="Definition-Field2"/>
      </w:pPr>
      <w:r>
        <w:t>Office ignores the defPPr element. If no paragraph properties are listed, then properties specified in the appropriate child element of the lstStyle element are used as described in child element pPr.</w:t>
      </w:r>
    </w:p>
    <w:p w:rsidR="00024C0A" w:rsidRDefault="00694C0F">
      <w:pPr>
        <w:pStyle w:val="Heading3"/>
      </w:pPr>
      <w:bookmarkStart w:id="2779" w:name="section_3bf4b4b9d1cd4610be569427e22c5fb4"/>
      <w:bookmarkStart w:id="2780" w:name="_Toc12261450"/>
      <w:r>
        <w:t>Part 1 Section 21.1.2.2.7, pPr (Text Paragraph Properties)</w:t>
      </w:r>
      <w:bookmarkEnd w:id="2779"/>
      <w:bookmarkEnd w:id="2780"/>
      <w:r>
        <w:fldChar w:fldCharType="begin"/>
      </w:r>
      <w:r>
        <w:instrText xml:space="preserve"> XE "pPr (Text Paragraph Properties)"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9b34280e538e48118af9761d34f88f20">
        <w:r>
          <w:rPr>
            <w:rStyle w:val="Hyperlink"/>
          </w:rPr>
          <w:t>lvl1</w:t>
        </w:r>
        <w:r>
          <w:rPr>
            <w:rStyle w:val="Hyperlink"/>
          </w:rPr>
          <w:t>pPr, §21.1.2.4.13(a-g)</w:t>
        </w:r>
      </w:hyperlink>
      <w:r>
        <w:rPr>
          <w:i/>
        </w:rPr>
        <w:t>.</w:t>
      </w:r>
    </w:p>
    <w:p w:rsidR="00024C0A" w:rsidRDefault="00694C0F">
      <w:pPr>
        <w:pStyle w:val="Definition-Field"/>
      </w:pPr>
      <w:r>
        <w:t xml:space="preserve">a.   </w:t>
      </w:r>
      <w:r>
        <w:rPr>
          <w:i/>
        </w:rPr>
        <w:t>The standard does not fully describe the process for resolving missing attribute values.</w:t>
      </w:r>
    </w:p>
    <w:p w:rsidR="00024C0A" w:rsidRDefault="00694C0F">
      <w:r>
        <w:t>In Office, attributes not specified explicitly within this element shall have their values determined by inheritance. Attribute values wil</w:t>
      </w:r>
      <w:r>
        <w:t>l be resolved using an applicable ancestor element of the same type as this element. The inheritance order in which applicable attribute value shall be applied is as follows:</w:t>
      </w:r>
    </w:p>
    <w:p w:rsidR="00024C0A" w:rsidRDefault="00694C0F">
      <w:r>
        <w:t>A corresponding ancestor element which is a child element of the lstStyle element</w:t>
      </w:r>
      <w:r>
        <w:t xml:space="preserve"> ("</w:t>
      </w:r>
      <w:hyperlink r:id="rId199">
        <w:r>
          <w:rPr>
            <w:rStyle w:val="Hyperlink"/>
          </w:rPr>
          <w:t>[ISO/IEC-29500-1]</w:t>
        </w:r>
      </w:hyperlink>
      <w:r>
        <w:t xml:space="preserve"> §21.1.2.4.12; lstStyle (Text List Styles)") and has a matching paragraph level and is contained within the same package part as the text to which the attribute values sh</w:t>
      </w:r>
      <w:r>
        <w:t>all apply.</w:t>
      </w:r>
    </w:p>
    <w:p w:rsidR="00024C0A" w:rsidRDefault="00694C0F">
      <w:r>
        <w:t>A corresponding child element of the element ("[ISO/IEC-29500-1] §21.1.2.4.12; lstStyle (Text List Styles)") and contained within the theme element ("[ISO/IEC-29500-1] §20.1.6.9; theme (Theme)").</w:t>
      </w:r>
    </w:p>
    <w:p w:rsidR="00024C0A" w:rsidRDefault="00694C0F">
      <w:r>
        <w:t>If the value of an attribute is not determined vi</w:t>
      </w:r>
      <w:r>
        <w:t>a this process, the default value specified within this element shall be used.</w:t>
      </w:r>
    </w:p>
    <w:p w:rsidR="00024C0A" w:rsidRDefault="00694C0F">
      <w:r>
        <w:t>PowerPoint uses a corresponding child element which is contained within the corresponding sldMaster element ("[ISO/IEC-29500-1] §19.3.1.42; sldMaster (Slide Master)") if the val</w:t>
      </w:r>
      <w:r>
        <w:t>ue of an attribute is not determined by this inheritance order. If the corresponding sldMaster element ("[ISO/IEC-29500-1] §19.3.1.42; sldMaster (Slide Master)") does not specify the value of the attribute and the value was not determined from the inherita</w:t>
      </w:r>
      <w:r>
        <w:t>nce order, then the default value specified within this element shall be used.</w:t>
      </w:r>
    </w:p>
    <w:p w:rsidR="00024C0A" w:rsidRDefault="00694C0F">
      <w:pPr>
        <w:pStyle w:val="Heading3"/>
      </w:pPr>
      <w:bookmarkStart w:id="2781" w:name="section_3b7a30185a6447d6b61afac31f921cd5"/>
      <w:bookmarkStart w:id="2782" w:name="_Toc12261451"/>
      <w:r>
        <w:t>Part 1 Section 21.1.2.2.9, spcAft (Space After)</w:t>
      </w:r>
      <w:bookmarkEnd w:id="2781"/>
      <w:bookmarkEnd w:id="2782"/>
      <w:r>
        <w:fldChar w:fldCharType="begin"/>
      </w:r>
      <w:r>
        <w:instrText xml:space="preserve"> XE "spcAft (Space After)" </w:instrText>
      </w:r>
      <w:r>
        <w:fldChar w:fldCharType="end"/>
      </w:r>
    </w:p>
    <w:p w:rsidR="00024C0A" w:rsidRDefault="00694C0F">
      <w:pPr>
        <w:pStyle w:val="Definition-Field"/>
      </w:pPr>
      <w:r>
        <w:t xml:space="preserve">a.   </w:t>
      </w:r>
      <w:r>
        <w:rPr>
          <w:i/>
        </w:rPr>
        <w:t>The standard states that the spcAft element specifies the amount of vertical white space that w</w:t>
      </w:r>
      <w:r>
        <w:rPr>
          <w:i/>
        </w:rPr>
        <w:t>ill be present after a paragraph.</w:t>
      </w:r>
    </w:p>
    <w:p w:rsidR="00024C0A" w:rsidRDefault="00694C0F">
      <w:pPr>
        <w:pStyle w:val="Definition-Field2"/>
      </w:pPr>
      <w:r>
        <w:t>Office uses the spcAft element to determine the amount of white space that will be present after a paragraph.</w:t>
      </w:r>
    </w:p>
    <w:p w:rsidR="00024C0A" w:rsidRDefault="00694C0F">
      <w:pPr>
        <w:pStyle w:val="Heading3"/>
      </w:pPr>
      <w:bookmarkStart w:id="2783" w:name="section_8f2f2352b15c4cea8df4df014e163284"/>
      <w:bookmarkStart w:id="2784" w:name="_Toc12261452"/>
      <w:r>
        <w:t>Part 1 Section 21.1.2.2.10, spcBef (Space Before)</w:t>
      </w:r>
      <w:bookmarkEnd w:id="2783"/>
      <w:bookmarkEnd w:id="2784"/>
      <w:r>
        <w:fldChar w:fldCharType="begin"/>
      </w:r>
      <w:r>
        <w:instrText xml:space="preserve"> XE "spcBef (Space Before)" </w:instrText>
      </w:r>
      <w:r>
        <w:fldChar w:fldCharType="end"/>
      </w:r>
    </w:p>
    <w:p w:rsidR="00024C0A" w:rsidRDefault="00694C0F">
      <w:pPr>
        <w:pStyle w:val="Definition-Field"/>
      </w:pPr>
      <w:r>
        <w:t xml:space="preserve">a.   </w:t>
      </w:r>
      <w:r>
        <w:rPr>
          <w:i/>
        </w:rPr>
        <w:t>The standard states that th</w:t>
      </w:r>
      <w:r>
        <w:rPr>
          <w:i/>
        </w:rPr>
        <w:t>e spcBef element specifies the amount of vertical white space that will be present before a paragraph.</w:t>
      </w:r>
    </w:p>
    <w:p w:rsidR="00024C0A" w:rsidRDefault="00694C0F">
      <w:pPr>
        <w:pStyle w:val="Definition-Field2"/>
      </w:pPr>
      <w:r>
        <w:t>Office uses the spcBef element to determine the amount of white space that will be present before a paragraph.</w:t>
      </w:r>
    </w:p>
    <w:p w:rsidR="00024C0A" w:rsidRDefault="00694C0F">
      <w:pPr>
        <w:pStyle w:val="Heading3"/>
      </w:pPr>
      <w:bookmarkStart w:id="2785" w:name="section_615c948905fc4c5bb961b56461c8ce69"/>
      <w:bookmarkStart w:id="2786" w:name="_Toc12261453"/>
      <w:r>
        <w:lastRenderedPageBreak/>
        <w:t>Part 1 Section 21.1.2.2.11, spcPct (Spacin</w:t>
      </w:r>
      <w:r>
        <w:t>g Percent)</w:t>
      </w:r>
      <w:bookmarkEnd w:id="2785"/>
      <w:bookmarkEnd w:id="2786"/>
      <w:r>
        <w:fldChar w:fldCharType="begin"/>
      </w:r>
      <w:r>
        <w:instrText xml:space="preserve"> XE "spcPct (Spacing Percent)" </w:instrText>
      </w:r>
      <w:r>
        <w:fldChar w:fldCharType="end"/>
      </w:r>
    </w:p>
    <w:p w:rsidR="00024C0A" w:rsidRDefault="00694C0F">
      <w:pPr>
        <w:pStyle w:val="Definition-Field"/>
      </w:pPr>
      <w:r>
        <w:t xml:space="preserve">a.   </w:t>
      </w:r>
      <w:r>
        <w:rPr>
          <w:i/>
        </w:rPr>
        <w:t>The standard states that ST_TextSpacingPercent is read and written as a percent with a trailing percent sign.</w:t>
      </w:r>
    </w:p>
    <w:p w:rsidR="00024C0A" w:rsidRDefault="00694C0F">
      <w:pPr>
        <w:pStyle w:val="Definition-Field2"/>
      </w:pPr>
      <w:r>
        <w:t xml:space="preserve">Office will read in percentages formatted with a trailing percent sign or as 1000th of a percent </w:t>
      </w:r>
      <w:r>
        <w:t>without trailing percent sign, but only write out percentages as 1000th's of a percent without trailing percent sign.</w:t>
      </w:r>
    </w:p>
    <w:p w:rsidR="00024C0A" w:rsidRDefault="00694C0F">
      <w:pPr>
        <w:pStyle w:val="Heading3"/>
      </w:pPr>
      <w:bookmarkStart w:id="2787" w:name="section_ea47d4567ab64103a0e600afc4917ce3"/>
      <w:bookmarkStart w:id="2788" w:name="_Toc12261454"/>
      <w:r>
        <w:t>Part 1 Section 21.1.2.3.1, cs (Complex Script Font)</w:t>
      </w:r>
      <w:bookmarkEnd w:id="2787"/>
      <w:bookmarkEnd w:id="2788"/>
      <w:r>
        <w:fldChar w:fldCharType="begin"/>
      </w:r>
      <w:r>
        <w:instrText xml:space="preserve"> XE "cs (Complex Script Font)" </w:instrText>
      </w:r>
      <w:r>
        <w:fldChar w:fldCharType="end"/>
      </w:r>
    </w:p>
    <w:p w:rsidR="00024C0A" w:rsidRDefault="00694C0F">
      <w:pPr>
        <w:pStyle w:val="Definition-Field2"/>
      </w:pPr>
      <w:r>
        <w:rPr>
          <w:i/>
        </w:rPr>
        <w:t>For additional notes that apply to this portion of th</w:t>
      </w:r>
      <w:r>
        <w:rPr>
          <w:i/>
        </w:rPr>
        <w:t xml:space="preserve">e standard, please see the notes for </w:t>
      </w:r>
      <w:hyperlink w:anchor="Section_e6784cb715474ee5addc730cac8b4d00">
        <w:r>
          <w:rPr>
            <w:rStyle w:val="Hyperlink"/>
          </w:rPr>
          <w:t>latin, §21.1.2.3.7(a-d)</w:t>
        </w:r>
      </w:hyperlink>
      <w:r>
        <w:rPr>
          <w:i/>
        </w:rPr>
        <w:t>.</w:t>
      </w:r>
    </w:p>
    <w:p w:rsidR="00024C0A" w:rsidRDefault="00694C0F">
      <w:pPr>
        <w:pStyle w:val="Heading3"/>
      </w:pPr>
      <w:bookmarkStart w:id="2789" w:name="section_0bce0eae61a547dfa1c3c10b2f446fb5"/>
      <w:bookmarkStart w:id="2790" w:name="_Toc12261455"/>
      <w:r>
        <w:t>Part 1 Section 21.1.2.3.2, defRPr (Default Text Run Properties)</w:t>
      </w:r>
      <w:bookmarkEnd w:id="2789"/>
      <w:bookmarkEnd w:id="2790"/>
      <w:r>
        <w:fldChar w:fldCharType="begin"/>
      </w:r>
      <w:r>
        <w:instrText xml:space="preserve"> XE "defRPr (Default Text Run Properties)" </w:instrText>
      </w:r>
      <w:r>
        <w:fldChar w:fldCharType="end"/>
      </w:r>
    </w:p>
    <w:p w:rsidR="00024C0A" w:rsidRDefault="00694C0F">
      <w:pPr>
        <w:pStyle w:val="Definition-Field2"/>
      </w:pPr>
      <w:r>
        <w:rPr>
          <w:i/>
        </w:rPr>
        <w:t>For additional notes t</w:t>
      </w:r>
      <w:r>
        <w:rPr>
          <w:i/>
        </w:rPr>
        <w:t xml:space="preserve">hat apply to this portion of the standard, please see the notes for </w:t>
      </w:r>
      <w:hyperlink w:anchor="Section_953e072cf2344373b0173f1f71eac93b">
        <w:r>
          <w:rPr>
            <w:rStyle w:val="Hyperlink"/>
          </w:rPr>
          <w:t>rPr, §21.1.2.3.9(a, b,d-g)</w:t>
        </w:r>
      </w:hyperlink>
      <w:r>
        <w:rPr>
          <w:i/>
        </w:rPr>
        <w:t>.</w:t>
      </w:r>
    </w:p>
    <w:p w:rsidR="00024C0A" w:rsidRDefault="00694C0F">
      <w:pPr>
        <w:pStyle w:val="Heading3"/>
      </w:pPr>
      <w:bookmarkStart w:id="2791" w:name="section_0805d87ac1c945c0905e342f9b3a4473"/>
      <w:bookmarkStart w:id="2792" w:name="_Toc12261456"/>
      <w:r>
        <w:t>Part 1 Section 21.1.2.3.3, ea (East Asian Font)</w:t>
      </w:r>
      <w:bookmarkEnd w:id="2791"/>
      <w:bookmarkEnd w:id="2792"/>
      <w:r>
        <w:fldChar w:fldCharType="begin"/>
      </w:r>
      <w:r>
        <w:instrText xml:space="preserve"> XE "ea (East Asian Font)" </w:instrText>
      </w:r>
      <w:r>
        <w:fldChar w:fldCharType="end"/>
      </w:r>
    </w:p>
    <w:p w:rsidR="00024C0A" w:rsidRDefault="00694C0F">
      <w:pPr>
        <w:pStyle w:val="Definition-Field2"/>
      </w:pPr>
      <w:r>
        <w:rPr>
          <w:i/>
        </w:rPr>
        <w:t>For additional notes</w:t>
      </w:r>
      <w:r>
        <w:rPr>
          <w:i/>
        </w:rPr>
        <w:t xml:space="preserve"> that apply to this portion of the standard, please see the notes for </w:t>
      </w:r>
      <w:hyperlink w:anchor="Section_e6784cb715474ee5addc730cac8b4d00">
        <w:r>
          <w:rPr>
            <w:rStyle w:val="Hyperlink"/>
          </w:rPr>
          <w:t>latin, §21.1.2.3.7(a-d)</w:t>
        </w:r>
      </w:hyperlink>
      <w:r>
        <w:rPr>
          <w:i/>
        </w:rPr>
        <w:t>.</w:t>
      </w:r>
    </w:p>
    <w:p w:rsidR="00024C0A" w:rsidRDefault="00694C0F">
      <w:pPr>
        <w:pStyle w:val="Heading3"/>
      </w:pPr>
      <w:bookmarkStart w:id="2793" w:name="section_a65b76db6abc49898cd1baa9a3500f6f"/>
      <w:bookmarkStart w:id="2794" w:name="_Toc12261457"/>
      <w:r>
        <w:t>Part 1 Section 21.1.2.3.5, hlinkClick (Click Hyperlink)</w:t>
      </w:r>
      <w:bookmarkEnd w:id="2793"/>
      <w:bookmarkEnd w:id="2794"/>
      <w:r>
        <w:fldChar w:fldCharType="begin"/>
      </w:r>
      <w:r>
        <w:instrText xml:space="preserve"> XE "hlinkClick (Click Hyperlink)" </w:instrText>
      </w:r>
      <w:r>
        <w:fldChar w:fldCharType="end"/>
      </w:r>
    </w:p>
    <w:p w:rsidR="00024C0A" w:rsidRDefault="00694C0F">
      <w:pPr>
        <w:pStyle w:val="Definition-Field"/>
      </w:pPr>
      <w:r>
        <w:t xml:space="preserve">a.   </w:t>
      </w:r>
      <w:r>
        <w:rPr>
          <w:i/>
        </w:rPr>
        <w:t>The standard states that the action attribute of the hlinkClick, hlinkHover and hlinkMouseOver elements may use an unrestricted string.</w:t>
      </w:r>
    </w:p>
    <w:p w:rsidR="00024C0A" w:rsidRDefault="00694C0F">
      <w:r>
        <w:t>PowerPoint reserves the following values for the action attribute:</w:t>
      </w:r>
    </w:p>
    <w:tbl>
      <w:tblPr>
        <w:tblStyle w:val="Table-ShadedHeader"/>
        <w:tblW w:w="0" w:type="auto"/>
        <w:tblLook w:val="04A0" w:firstRow="1" w:lastRow="0" w:firstColumn="1" w:lastColumn="0" w:noHBand="0" w:noVBand="1"/>
      </w:tblPr>
      <w:tblGrid>
        <w:gridCol w:w="4369"/>
        <w:gridCol w:w="510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Value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t>ppaction://customshow?id=SHOW_ID</w:t>
            </w:r>
          </w:p>
        </w:tc>
        <w:tc>
          <w:tcPr>
            <w:tcW w:w="0" w:type="auto"/>
            <w:vAlign w:val="center"/>
          </w:tcPr>
          <w:p w:rsidR="00024C0A" w:rsidRDefault="00694C0F">
            <w:pPr>
              <w:pStyle w:val="TableBodyText"/>
            </w:pPr>
            <w:r>
              <w:t>Specifies that the link shall launch a custom show from the custShowLst element ("</w:t>
            </w:r>
            <w:hyperlink r:id="rId200">
              <w:r>
                <w:rPr>
                  <w:rStyle w:val="Hyperlink"/>
                </w:rPr>
                <w:t>[ISO/IEC-29500-1]</w:t>
              </w:r>
            </w:hyperlink>
            <w:r>
              <w:t xml:space="preserve"> §19.2.1.7; custShowLst (List of Custom Shows)"). The SHOW_ID variable shall be replaced wi</w:t>
            </w:r>
            <w:r>
              <w:t>th the custom show id as specified in the custShow element ("[ISO/IEC-29500-1] §19.2.1.6; custShow (Custom Show)").</w:t>
            </w:r>
          </w:p>
        </w:tc>
      </w:tr>
      <w:tr w:rsidR="00024C0A" w:rsidTr="00024C0A">
        <w:tc>
          <w:tcPr>
            <w:tcW w:w="0" w:type="auto"/>
            <w:vAlign w:val="center"/>
          </w:tcPr>
          <w:p w:rsidR="00024C0A" w:rsidRDefault="00694C0F">
            <w:pPr>
              <w:pStyle w:val="TableBodyText"/>
            </w:pPr>
            <w:r>
              <w:t>ppaction://customshow?id=SHOW_ID&amp;return=true</w:t>
            </w:r>
          </w:p>
        </w:tc>
        <w:tc>
          <w:tcPr>
            <w:tcW w:w="0" w:type="auto"/>
            <w:vAlign w:val="center"/>
          </w:tcPr>
          <w:p w:rsidR="00024C0A" w:rsidRDefault="00694C0F">
            <w:pPr>
              <w:pStyle w:val="TableBodyText"/>
            </w:pPr>
            <w:r>
              <w:t>Specifies that the link shall launch a custom show from the custShowLst element ("[ISO/IEC-295</w:t>
            </w:r>
            <w:r>
              <w:t>00-1] §19.2.1.7; custShowLst (List of Custom Shows)"). After the end of the custom show, viewing of this presentation package shall resume. The SHOW_ID variable shall be replaced with the custom show id as specified in the custShow element ("[ISO/IEC-29500</w:t>
            </w:r>
            <w:r>
              <w:t>-1] §19.2.1.6; custShow (Custom Show)").</w:t>
            </w:r>
          </w:p>
        </w:tc>
      </w:tr>
      <w:tr w:rsidR="00024C0A" w:rsidTr="00024C0A">
        <w:tc>
          <w:tcPr>
            <w:tcW w:w="0" w:type="auto"/>
            <w:vAlign w:val="center"/>
          </w:tcPr>
          <w:p w:rsidR="00024C0A" w:rsidRDefault="00694C0F">
            <w:pPr>
              <w:pStyle w:val="TableBodyText"/>
            </w:pPr>
            <w:r>
              <w:t>ppaction://hlinkfile</w:t>
            </w:r>
          </w:p>
        </w:tc>
        <w:tc>
          <w:tcPr>
            <w:tcW w:w="0" w:type="auto"/>
            <w:vAlign w:val="center"/>
          </w:tcPr>
          <w:p w:rsidR="00024C0A" w:rsidRDefault="00694C0F">
            <w:pPr>
              <w:pStyle w:val="TableBodyText"/>
            </w:pPr>
            <w:r>
              <w:t>Specifies that the link shall open a file external to this presentation package. The r:id attribute for this element specifies the corresponding relationship containing the reference to the ext</w:t>
            </w:r>
            <w:r>
              <w:t>ernal file.</w:t>
            </w:r>
          </w:p>
        </w:tc>
      </w:tr>
      <w:tr w:rsidR="00024C0A" w:rsidTr="00024C0A">
        <w:tc>
          <w:tcPr>
            <w:tcW w:w="0" w:type="auto"/>
            <w:vAlign w:val="center"/>
          </w:tcPr>
          <w:p w:rsidR="00024C0A" w:rsidRDefault="00694C0F">
            <w:pPr>
              <w:pStyle w:val="TableBodyText"/>
            </w:pPr>
            <w:r>
              <w:t>ppaction://hlinkpres?slideindex=SLIDE_NUM</w:t>
            </w:r>
          </w:p>
        </w:tc>
        <w:tc>
          <w:tcPr>
            <w:tcW w:w="0" w:type="auto"/>
            <w:vAlign w:val="center"/>
          </w:tcPr>
          <w:p w:rsidR="00024C0A" w:rsidRDefault="00694C0F">
            <w:pPr>
              <w:pStyle w:val="TableBodyText"/>
            </w:pPr>
            <w:r>
              <w:t>Specifies that the link shall launch a presentation external to this presentation package. The r:id attribute for this element specifies the corresponding relationship containing the reference to the e</w:t>
            </w:r>
            <w:r>
              <w:t xml:space="preserve">xternal file. The SLIDE_NUM variable shall be replaced with a slide number in the external </w:t>
            </w:r>
            <w:r>
              <w:lastRenderedPageBreak/>
              <w:t>presentation that the viewing shall be started on.</w:t>
            </w:r>
          </w:p>
        </w:tc>
      </w:tr>
      <w:tr w:rsidR="00024C0A" w:rsidTr="00024C0A">
        <w:tc>
          <w:tcPr>
            <w:tcW w:w="0" w:type="auto"/>
            <w:vAlign w:val="center"/>
          </w:tcPr>
          <w:p w:rsidR="00024C0A" w:rsidRDefault="00694C0F">
            <w:pPr>
              <w:pStyle w:val="TableBodyText"/>
            </w:pPr>
            <w:r>
              <w:lastRenderedPageBreak/>
              <w:t>ppaction://hlinkshowjump?jump=endshow</w:t>
            </w:r>
          </w:p>
        </w:tc>
        <w:tc>
          <w:tcPr>
            <w:tcW w:w="0" w:type="auto"/>
            <w:vAlign w:val="center"/>
          </w:tcPr>
          <w:p w:rsidR="00024C0A" w:rsidRDefault="00694C0F">
            <w:pPr>
              <w:pStyle w:val="TableBodyText"/>
            </w:pPr>
            <w:r>
              <w:t>Specifies that the link shall end the presentation.</w:t>
            </w:r>
          </w:p>
        </w:tc>
      </w:tr>
      <w:tr w:rsidR="00024C0A" w:rsidTr="00024C0A">
        <w:tc>
          <w:tcPr>
            <w:tcW w:w="0" w:type="auto"/>
            <w:vAlign w:val="center"/>
          </w:tcPr>
          <w:p w:rsidR="00024C0A" w:rsidRDefault="00694C0F">
            <w:pPr>
              <w:pStyle w:val="TableBodyText"/>
            </w:pPr>
            <w:r>
              <w:t>ppaction://hlinkshowju</w:t>
            </w:r>
            <w:r>
              <w:t>mp?jump=firstslide</w:t>
            </w:r>
          </w:p>
        </w:tc>
        <w:tc>
          <w:tcPr>
            <w:tcW w:w="0" w:type="auto"/>
            <w:vAlign w:val="center"/>
          </w:tcPr>
          <w:p w:rsidR="00024C0A" w:rsidRDefault="00694C0F">
            <w:pPr>
              <w:pStyle w:val="TableBodyText"/>
            </w:pPr>
            <w:r>
              <w:t>Specifies that the link shall target the viewing of the first slide within this presentation package.</w:t>
            </w:r>
          </w:p>
        </w:tc>
      </w:tr>
      <w:tr w:rsidR="00024C0A" w:rsidTr="00024C0A">
        <w:tc>
          <w:tcPr>
            <w:tcW w:w="0" w:type="auto"/>
            <w:vAlign w:val="center"/>
          </w:tcPr>
          <w:p w:rsidR="00024C0A" w:rsidRDefault="00694C0F">
            <w:pPr>
              <w:pStyle w:val="TableBodyText"/>
            </w:pPr>
            <w:r>
              <w:t>ppaction://hlinkshowjump?jump=lastslide</w:t>
            </w:r>
          </w:p>
        </w:tc>
        <w:tc>
          <w:tcPr>
            <w:tcW w:w="0" w:type="auto"/>
            <w:vAlign w:val="center"/>
          </w:tcPr>
          <w:p w:rsidR="00024C0A" w:rsidRDefault="00694C0F">
            <w:pPr>
              <w:pStyle w:val="TableBodyText"/>
            </w:pPr>
            <w:r>
              <w:t xml:space="preserve">Specifies that the link shall target the viewing of the last slide within this presentation </w:t>
            </w:r>
            <w:r>
              <w:t>package.</w:t>
            </w:r>
          </w:p>
        </w:tc>
      </w:tr>
      <w:tr w:rsidR="00024C0A" w:rsidTr="00024C0A">
        <w:tc>
          <w:tcPr>
            <w:tcW w:w="0" w:type="auto"/>
            <w:vAlign w:val="center"/>
          </w:tcPr>
          <w:p w:rsidR="00024C0A" w:rsidRDefault="00694C0F">
            <w:pPr>
              <w:pStyle w:val="TableBodyText"/>
            </w:pPr>
            <w:r>
              <w:t>ppaction://hlinkshowjump?jump=lastslideviewed</w:t>
            </w:r>
          </w:p>
        </w:tc>
        <w:tc>
          <w:tcPr>
            <w:tcW w:w="0" w:type="auto"/>
            <w:vAlign w:val="center"/>
          </w:tcPr>
          <w:p w:rsidR="00024C0A" w:rsidRDefault="00694C0F">
            <w:pPr>
              <w:pStyle w:val="TableBodyText"/>
            </w:pPr>
            <w:r>
              <w:t>Specifies that the link shall target the viewing of the slide previously visited within this presentation package.</w:t>
            </w:r>
          </w:p>
        </w:tc>
      </w:tr>
      <w:tr w:rsidR="00024C0A" w:rsidTr="00024C0A">
        <w:tc>
          <w:tcPr>
            <w:tcW w:w="0" w:type="auto"/>
            <w:vAlign w:val="center"/>
          </w:tcPr>
          <w:p w:rsidR="00024C0A" w:rsidRDefault="00694C0F">
            <w:pPr>
              <w:pStyle w:val="TableBodyText"/>
            </w:pPr>
            <w:r>
              <w:t>ppaction://hlinkshowjump?jump=nextslide</w:t>
            </w:r>
          </w:p>
        </w:tc>
        <w:tc>
          <w:tcPr>
            <w:tcW w:w="0" w:type="auto"/>
            <w:vAlign w:val="center"/>
          </w:tcPr>
          <w:p w:rsidR="00024C0A" w:rsidRDefault="00694C0F">
            <w:pPr>
              <w:pStyle w:val="TableBodyText"/>
            </w:pPr>
            <w:r>
              <w:t>Specifies that the link shall target the vie</w:t>
            </w:r>
            <w:r>
              <w:t>wing of the next slide within this presentation package.</w:t>
            </w:r>
          </w:p>
        </w:tc>
      </w:tr>
      <w:tr w:rsidR="00024C0A" w:rsidTr="00024C0A">
        <w:tc>
          <w:tcPr>
            <w:tcW w:w="0" w:type="auto"/>
            <w:vAlign w:val="center"/>
          </w:tcPr>
          <w:p w:rsidR="00024C0A" w:rsidRDefault="00694C0F">
            <w:pPr>
              <w:pStyle w:val="TableBodyText"/>
            </w:pPr>
            <w:r>
              <w:t>ppaction://hlinkshowjump?jump=previousslide</w:t>
            </w:r>
          </w:p>
        </w:tc>
        <w:tc>
          <w:tcPr>
            <w:tcW w:w="0" w:type="auto"/>
            <w:vAlign w:val="center"/>
          </w:tcPr>
          <w:p w:rsidR="00024C0A" w:rsidRDefault="00694C0F">
            <w:pPr>
              <w:pStyle w:val="TableBodyText"/>
            </w:pPr>
            <w:r>
              <w:t>Specifies that the link shall target the viewing of the previous slide within this presentation package.</w:t>
            </w:r>
          </w:p>
        </w:tc>
      </w:tr>
      <w:tr w:rsidR="00024C0A" w:rsidTr="00024C0A">
        <w:tc>
          <w:tcPr>
            <w:tcW w:w="0" w:type="auto"/>
            <w:vAlign w:val="center"/>
          </w:tcPr>
          <w:p w:rsidR="00024C0A" w:rsidRDefault="00694C0F">
            <w:pPr>
              <w:pStyle w:val="TableBodyText"/>
            </w:pPr>
            <w:r>
              <w:t>ppaction://hlinkshowjump?jump=SLIDE_NUM</w:t>
            </w:r>
          </w:p>
        </w:tc>
        <w:tc>
          <w:tcPr>
            <w:tcW w:w="0" w:type="auto"/>
            <w:vAlign w:val="center"/>
          </w:tcPr>
          <w:p w:rsidR="00024C0A" w:rsidRDefault="00694C0F">
            <w:pPr>
              <w:pStyle w:val="TableBodyText"/>
            </w:pPr>
            <w:r>
              <w:t>Specifie</w:t>
            </w:r>
            <w:r>
              <w:t>s that the link shall target the viewing of the slide in within this presentation package specified by SLIDE_NUM. The SLIDE_NUM variable shall be replaced with a slide number in this presentation package that will be targeted.</w:t>
            </w:r>
          </w:p>
        </w:tc>
      </w:tr>
      <w:tr w:rsidR="00024C0A" w:rsidTr="00024C0A">
        <w:tc>
          <w:tcPr>
            <w:tcW w:w="0" w:type="auto"/>
            <w:vAlign w:val="center"/>
          </w:tcPr>
          <w:p w:rsidR="00024C0A" w:rsidRDefault="00694C0F">
            <w:pPr>
              <w:pStyle w:val="TableBodyText"/>
            </w:pPr>
            <w:r>
              <w:t>ppaction://hlinksldjump</w:t>
            </w:r>
          </w:p>
        </w:tc>
        <w:tc>
          <w:tcPr>
            <w:tcW w:w="0" w:type="auto"/>
            <w:vAlign w:val="center"/>
          </w:tcPr>
          <w:p w:rsidR="00024C0A" w:rsidRDefault="00694C0F">
            <w:pPr>
              <w:pStyle w:val="TableBodyText"/>
            </w:pPr>
            <w:r>
              <w:t>Specifies that the link shall target the viewing of a specific slide within this presentation package. The r:id attribute for this element specifies the corresponding relationship containing the reference to the slide part which shall be viewed.</w:t>
            </w:r>
          </w:p>
        </w:tc>
      </w:tr>
      <w:tr w:rsidR="00024C0A" w:rsidTr="00024C0A">
        <w:tc>
          <w:tcPr>
            <w:tcW w:w="0" w:type="auto"/>
            <w:vAlign w:val="center"/>
          </w:tcPr>
          <w:p w:rsidR="00024C0A" w:rsidRDefault="00694C0F">
            <w:pPr>
              <w:pStyle w:val="TableBodyText"/>
            </w:pPr>
            <w:r>
              <w:t>ppaction:</w:t>
            </w:r>
            <w:r>
              <w:t>//macro?name=MACRO_NAME</w:t>
            </w:r>
          </w:p>
        </w:tc>
        <w:tc>
          <w:tcPr>
            <w:tcW w:w="0" w:type="auto"/>
            <w:vAlign w:val="center"/>
          </w:tcPr>
          <w:p w:rsidR="00024C0A" w:rsidRDefault="00694C0F">
            <w:pPr>
              <w:pStyle w:val="TableBodyText"/>
            </w:pPr>
            <w:r>
              <w:t>Specifies that the link shall run a macro contained within this presentation. The MACRO_NAME variable shall be replaced with the name of the macro module.</w:t>
            </w:r>
          </w:p>
        </w:tc>
      </w:tr>
      <w:tr w:rsidR="00024C0A" w:rsidTr="00024C0A">
        <w:tc>
          <w:tcPr>
            <w:tcW w:w="0" w:type="auto"/>
            <w:vAlign w:val="center"/>
          </w:tcPr>
          <w:p w:rsidR="00024C0A" w:rsidRDefault="00694C0F">
            <w:pPr>
              <w:pStyle w:val="TableBodyText"/>
            </w:pPr>
            <w:r>
              <w:t>ppaction://program</w:t>
            </w:r>
          </w:p>
        </w:tc>
        <w:tc>
          <w:tcPr>
            <w:tcW w:w="0" w:type="auto"/>
            <w:vAlign w:val="center"/>
          </w:tcPr>
          <w:p w:rsidR="00024C0A" w:rsidRDefault="00694C0F">
            <w:pPr>
              <w:pStyle w:val="TableBodyText"/>
            </w:pPr>
            <w:r>
              <w:t>Specifies that the link shall run an application external</w:t>
            </w:r>
            <w:r>
              <w:t xml:space="preserve"> to this presentation package. The r:id attribute for this element specifies the corresponding relationship containing the reference to the application.</w:t>
            </w:r>
          </w:p>
        </w:tc>
      </w:tr>
      <w:tr w:rsidR="00024C0A" w:rsidTr="00024C0A">
        <w:tc>
          <w:tcPr>
            <w:tcW w:w="0" w:type="auto"/>
            <w:vAlign w:val="center"/>
          </w:tcPr>
          <w:p w:rsidR="00024C0A" w:rsidRDefault="00694C0F">
            <w:pPr>
              <w:pStyle w:val="TableBodyText"/>
            </w:pPr>
            <w:r>
              <w:t>ppaction://noaction</w:t>
            </w:r>
          </w:p>
        </w:tc>
        <w:tc>
          <w:tcPr>
            <w:tcW w:w="0" w:type="auto"/>
            <w:vAlign w:val="center"/>
          </w:tcPr>
          <w:p w:rsidR="00024C0A" w:rsidRDefault="00694C0F">
            <w:pPr>
              <w:pStyle w:val="TableBodyText"/>
            </w:pPr>
            <w:r>
              <w:t>This value of the action attribute does not specify any action performed by the li</w:t>
            </w:r>
            <w:r>
              <w:t>nk. The link will continue to respect highlight attribute and snd element if present.</w:t>
            </w:r>
          </w:p>
        </w:tc>
      </w:tr>
      <w:tr w:rsidR="00024C0A" w:rsidTr="00024C0A">
        <w:tc>
          <w:tcPr>
            <w:tcW w:w="0" w:type="auto"/>
            <w:vAlign w:val="center"/>
          </w:tcPr>
          <w:p w:rsidR="00024C0A" w:rsidRDefault="00694C0F">
            <w:pPr>
              <w:pStyle w:val="TableBodyText"/>
            </w:pPr>
            <w:r>
              <w:t>ppaction://media</w:t>
            </w:r>
          </w:p>
        </w:tc>
        <w:tc>
          <w:tcPr>
            <w:tcW w:w="0" w:type="auto"/>
            <w:vAlign w:val="center"/>
          </w:tcPr>
          <w:p w:rsidR="00024C0A" w:rsidRDefault="00694C0F">
            <w:pPr>
              <w:pStyle w:val="TableBodyText"/>
            </w:pPr>
            <w:r>
              <w:t xml:space="preserve">Specifies that the link shall initiate playback of the media object specified by the parent element. </w:t>
            </w:r>
          </w:p>
        </w:tc>
      </w:tr>
      <w:tr w:rsidR="00024C0A" w:rsidTr="00024C0A">
        <w:tc>
          <w:tcPr>
            <w:tcW w:w="0" w:type="auto"/>
            <w:vAlign w:val="center"/>
          </w:tcPr>
          <w:p w:rsidR="00024C0A" w:rsidRDefault="00694C0F">
            <w:pPr>
              <w:pStyle w:val="TableBodyText"/>
            </w:pPr>
            <w:r>
              <w:t>ppaction://ole?verb=OLE_VERB_INDEX</w:t>
            </w:r>
          </w:p>
        </w:tc>
        <w:tc>
          <w:tcPr>
            <w:tcW w:w="0" w:type="auto"/>
            <w:vAlign w:val="center"/>
          </w:tcPr>
          <w:p w:rsidR="00024C0A" w:rsidRDefault="00694C0F">
            <w:pPr>
              <w:pStyle w:val="TableBodyText"/>
            </w:pPr>
            <w:r>
              <w:t>Specifies that</w:t>
            </w:r>
            <w:r>
              <w:t xml:space="preserve"> the link shall execute the verb on an OLE object specified by OLE_VERB_INDEX. The OLE_VERB_INDEX variable shall be replaced with the verb number of the verb registered by the OLE object that shall be executed.</w:t>
            </w:r>
          </w:p>
        </w:tc>
      </w:tr>
    </w:tbl>
    <w:p w:rsidR="00024C0A" w:rsidRDefault="00024C0A"/>
    <w:p w:rsidR="00024C0A" w:rsidRDefault="00694C0F">
      <w:pPr>
        <w:pStyle w:val="Heading3"/>
      </w:pPr>
      <w:bookmarkStart w:id="2795" w:name="section_98300ab2307b45f49a00b98df349c87b"/>
      <w:bookmarkStart w:id="2796" w:name="_Toc12261458"/>
      <w:r>
        <w:t>Part 1 Section 21.1.2.3.6, hlinkMouseOver (</w:t>
      </w:r>
      <w:r>
        <w:t>Mouse-Over Hyperlink)</w:t>
      </w:r>
      <w:bookmarkEnd w:id="2795"/>
      <w:bookmarkEnd w:id="2796"/>
      <w:r>
        <w:fldChar w:fldCharType="begin"/>
      </w:r>
      <w:r>
        <w:instrText xml:space="preserve"> XE "hlinkMouseOver (Mouse-Over Hyperlink)"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65b76db6abc49898cd1baa9a3500f6f">
        <w:r>
          <w:rPr>
            <w:rStyle w:val="Hyperlink"/>
          </w:rPr>
          <w:t>hlinkClick, §21.1.2.3.5(a)</w:t>
        </w:r>
      </w:hyperlink>
      <w:r>
        <w:rPr>
          <w:i/>
        </w:rPr>
        <w:t>.</w:t>
      </w:r>
    </w:p>
    <w:p w:rsidR="00024C0A" w:rsidRDefault="00694C0F">
      <w:pPr>
        <w:pStyle w:val="Heading3"/>
      </w:pPr>
      <w:bookmarkStart w:id="2797" w:name="section_e6784cb715474ee5addc730cac8b4d00"/>
      <w:bookmarkStart w:id="2798" w:name="_Toc12261459"/>
      <w:r>
        <w:lastRenderedPageBreak/>
        <w:t xml:space="preserve">Part 1 </w:t>
      </w:r>
      <w:r>
        <w:t>Section 21.1.2.3.7, latin (Latin Font)</w:t>
      </w:r>
      <w:bookmarkEnd w:id="2797"/>
      <w:bookmarkEnd w:id="2798"/>
      <w:r>
        <w:fldChar w:fldCharType="begin"/>
      </w:r>
      <w:r>
        <w:instrText xml:space="preserve"> XE "latin (Latin Font)" </w:instrText>
      </w:r>
      <w:r>
        <w:fldChar w:fldCharType="end"/>
      </w:r>
    </w:p>
    <w:p w:rsidR="00024C0A" w:rsidRDefault="00694C0F">
      <w:pPr>
        <w:pStyle w:val="Definition-Field"/>
      </w:pPr>
      <w:r>
        <w:t xml:space="preserve">a.   </w:t>
      </w:r>
      <w:r>
        <w:rPr>
          <w:i/>
        </w:rPr>
        <w:t>The standard includes panose as an optional attribute of this element.</w:t>
      </w:r>
    </w:p>
    <w:p w:rsidR="00024C0A" w:rsidRDefault="00694C0F">
      <w:pPr>
        <w:pStyle w:val="Definition-Field2"/>
      </w:pPr>
      <w:r>
        <w:t>Office does not implement the panose attribute.</w:t>
      </w:r>
    </w:p>
    <w:p w:rsidR="00024C0A" w:rsidRDefault="00694C0F">
      <w:pPr>
        <w:pStyle w:val="Definition-Field"/>
      </w:pPr>
      <w:r>
        <w:t xml:space="preserve">b.   </w:t>
      </w:r>
      <w:r>
        <w:rPr>
          <w:i/>
        </w:rPr>
        <w:t>The standard states that the charset attribute of the buFont,</w:t>
      </w:r>
      <w:r>
        <w:rPr>
          <w:i/>
        </w:rPr>
        <w:t xml:space="preserve"> cs, ea, font, latin and sym elements specifies the most similar character set.</w:t>
      </w:r>
    </w:p>
    <w:p w:rsidR="00024C0A" w:rsidRDefault="00694C0F">
      <w:r>
        <w:t>Office uses this attribute to specify the character set that is supported by the parent font. This information may be used in font substitution logic to locate an appropriate s</w:t>
      </w:r>
      <w:r>
        <w:t>ubstitute font when this font is not available. This information is determined by querying the font when present and shall not be modified when the font is not available.</w:t>
      </w:r>
    </w:p>
    <w:p w:rsidR="00024C0A" w:rsidRDefault="00694C0F">
      <w:r>
        <w:t>The value of this attribute shall be interpreted as follows:</w:t>
      </w:r>
    </w:p>
    <w:tbl>
      <w:tblPr>
        <w:tblStyle w:val="Table-ShadedHeader"/>
        <w:tblW w:w="0" w:type="auto"/>
        <w:tblLook w:val="04A0" w:firstRow="1" w:lastRow="0" w:firstColumn="1" w:lastColumn="0" w:noHBand="0" w:noVBand="1"/>
      </w:tblPr>
      <w:tblGrid>
        <w:gridCol w:w="1078"/>
        <w:gridCol w:w="8397"/>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Value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rStyle w:val="InlineCode"/>
              </w:rPr>
              <w:t>0x00</w:t>
            </w:r>
          </w:p>
        </w:tc>
        <w:tc>
          <w:tcPr>
            <w:tcW w:w="0" w:type="auto"/>
            <w:vAlign w:val="center"/>
          </w:tcPr>
          <w:p w:rsidR="00024C0A" w:rsidRDefault="00694C0F">
            <w:pPr>
              <w:pStyle w:val="TableBodyText"/>
            </w:pPr>
            <w:r>
              <w:t xml:space="preserve">Specifies the ANSI character set. (IANA name </w:t>
            </w:r>
            <w:r>
              <w:rPr>
                <w:rStyle w:val="InlineCode"/>
              </w:rPr>
              <w:t>iso-8859-1</w:t>
            </w:r>
            <w:r>
              <w:t>)</w:t>
            </w:r>
          </w:p>
        </w:tc>
      </w:tr>
      <w:tr w:rsidR="00024C0A" w:rsidTr="00024C0A">
        <w:tc>
          <w:tcPr>
            <w:tcW w:w="0" w:type="auto"/>
            <w:vAlign w:val="center"/>
          </w:tcPr>
          <w:p w:rsidR="00024C0A" w:rsidRDefault="00694C0F">
            <w:pPr>
              <w:pStyle w:val="TableBodyText"/>
            </w:pPr>
            <w:r>
              <w:rPr>
                <w:rStyle w:val="InlineCode"/>
              </w:rPr>
              <w:t>0x01</w:t>
            </w:r>
          </w:p>
        </w:tc>
        <w:tc>
          <w:tcPr>
            <w:tcW w:w="0" w:type="auto"/>
            <w:vAlign w:val="center"/>
          </w:tcPr>
          <w:p w:rsidR="00024C0A" w:rsidRDefault="00694C0F">
            <w:pPr>
              <w:pStyle w:val="TableBodyText"/>
            </w:pPr>
            <w:r>
              <w:t>Specifies the default character set.</w:t>
            </w:r>
          </w:p>
        </w:tc>
      </w:tr>
      <w:tr w:rsidR="00024C0A" w:rsidTr="00024C0A">
        <w:tc>
          <w:tcPr>
            <w:tcW w:w="0" w:type="auto"/>
            <w:vAlign w:val="center"/>
          </w:tcPr>
          <w:p w:rsidR="00024C0A" w:rsidRDefault="00694C0F">
            <w:pPr>
              <w:pStyle w:val="TableBodyText"/>
            </w:pPr>
            <w:r>
              <w:rPr>
                <w:rStyle w:val="InlineCode"/>
              </w:rPr>
              <w:t>0x02</w:t>
            </w:r>
          </w:p>
        </w:tc>
        <w:tc>
          <w:tcPr>
            <w:tcW w:w="0" w:type="auto"/>
            <w:vAlign w:val="center"/>
          </w:tcPr>
          <w:p w:rsidR="00024C0A" w:rsidRDefault="00694C0F">
            <w:pPr>
              <w:pStyle w:val="TableBodyText"/>
            </w:pPr>
            <w:r>
              <w:t xml:space="preserve">Specifies the Symbol character set. This value specifies that the characters in the Unicode private use area (U+FF00 to U+FFFF) of the font should be </w:t>
            </w:r>
            <w:r>
              <w:t>used to display characters in the range U+0000 to U+00FF.</w:t>
            </w:r>
          </w:p>
        </w:tc>
      </w:tr>
      <w:tr w:rsidR="00024C0A" w:rsidTr="00024C0A">
        <w:tc>
          <w:tcPr>
            <w:tcW w:w="0" w:type="auto"/>
            <w:vAlign w:val="center"/>
          </w:tcPr>
          <w:p w:rsidR="00024C0A" w:rsidRDefault="00694C0F">
            <w:pPr>
              <w:pStyle w:val="TableBodyText"/>
            </w:pPr>
            <w:r>
              <w:rPr>
                <w:rStyle w:val="InlineCode"/>
              </w:rPr>
              <w:t>0x4D</w:t>
            </w:r>
          </w:p>
        </w:tc>
        <w:tc>
          <w:tcPr>
            <w:tcW w:w="0" w:type="auto"/>
            <w:vAlign w:val="center"/>
          </w:tcPr>
          <w:p w:rsidR="00024C0A" w:rsidRDefault="00694C0F">
            <w:pPr>
              <w:pStyle w:val="TableBodyText"/>
            </w:pPr>
            <w:r>
              <w:t xml:space="preserve">Specifies a Macintosh (Standard Roman) character set. (IANA name </w:t>
            </w:r>
            <w:r>
              <w:rPr>
                <w:rStyle w:val="InlineCode"/>
              </w:rPr>
              <w:t>macintosh)</w:t>
            </w:r>
          </w:p>
        </w:tc>
      </w:tr>
      <w:tr w:rsidR="00024C0A" w:rsidTr="00024C0A">
        <w:tc>
          <w:tcPr>
            <w:tcW w:w="0" w:type="auto"/>
            <w:vAlign w:val="center"/>
          </w:tcPr>
          <w:p w:rsidR="00024C0A" w:rsidRDefault="00694C0F">
            <w:pPr>
              <w:pStyle w:val="TableBodyText"/>
            </w:pPr>
            <w:r>
              <w:rPr>
                <w:rStyle w:val="InlineCode"/>
              </w:rPr>
              <w:t>0x80</w:t>
            </w:r>
          </w:p>
        </w:tc>
        <w:tc>
          <w:tcPr>
            <w:tcW w:w="0" w:type="auto"/>
            <w:vAlign w:val="center"/>
          </w:tcPr>
          <w:p w:rsidR="00024C0A" w:rsidRDefault="00694C0F">
            <w:pPr>
              <w:pStyle w:val="TableBodyText"/>
            </w:pPr>
            <w:r>
              <w:t xml:space="preserve">Specifies the JIS character set. (IANA name </w:t>
            </w:r>
            <w:r>
              <w:rPr>
                <w:rStyle w:val="InlineCode"/>
              </w:rPr>
              <w:t>shift_jis</w:t>
            </w:r>
            <w:r>
              <w:t>)</w:t>
            </w:r>
          </w:p>
        </w:tc>
      </w:tr>
      <w:tr w:rsidR="00024C0A" w:rsidTr="00024C0A">
        <w:tc>
          <w:tcPr>
            <w:tcW w:w="0" w:type="auto"/>
            <w:vAlign w:val="center"/>
          </w:tcPr>
          <w:p w:rsidR="00024C0A" w:rsidRDefault="00694C0F">
            <w:pPr>
              <w:pStyle w:val="TableBodyText"/>
            </w:pPr>
            <w:r>
              <w:rPr>
                <w:rStyle w:val="InlineCode"/>
              </w:rPr>
              <w:t>0x81</w:t>
            </w:r>
          </w:p>
        </w:tc>
        <w:tc>
          <w:tcPr>
            <w:tcW w:w="0" w:type="auto"/>
            <w:vAlign w:val="center"/>
          </w:tcPr>
          <w:p w:rsidR="00024C0A" w:rsidRDefault="00694C0F">
            <w:pPr>
              <w:pStyle w:val="TableBodyText"/>
            </w:pPr>
            <w:r>
              <w:t xml:space="preserve">Specifies the Hangul character set. (IANA name </w:t>
            </w:r>
            <w:r>
              <w:rPr>
                <w:rStyle w:val="InlineCode"/>
              </w:rPr>
              <w:t>ks</w:t>
            </w:r>
            <w:r>
              <w:rPr>
                <w:rStyle w:val="InlineCode"/>
              </w:rPr>
              <w:t>_c_5601-1987</w:t>
            </w:r>
            <w:r>
              <w:t>)</w:t>
            </w:r>
          </w:p>
        </w:tc>
      </w:tr>
      <w:tr w:rsidR="00024C0A" w:rsidTr="00024C0A">
        <w:tc>
          <w:tcPr>
            <w:tcW w:w="0" w:type="auto"/>
            <w:vAlign w:val="center"/>
          </w:tcPr>
          <w:p w:rsidR="00024C0A" w:rsidRDefault="00694C0F">
            <w:pPr>
              <w:pStyle w:val="TableBodyText"/>
            </w:pPr>
            <w:r>
              <w:rPr>
                <w:rStyle w:val="InlineCode"/>
              </w:rPr>
              <w:t>0x82</w:t>
            </w:r>
          </w:p>
        </w:tc>
        <w:tc>
          <w:tcPr>
            <w:tcW w:w="0" w:type="auto"/>
            <w:vAlign w:val="center"/>
          </w:tcPr>
          <w:p w:rsidR="00024C0A" w:rsidRDefault="00694C0F">
            <w:pPr>
              <w:pStyle w:val="TableBodyText"/>
            </w:pPr>
            <w:r>
              <w:t xml:space="preserve">Specifies a Johab character set. (IANA name </w:t>
            </w:r>
            <w:r>
              <w:rPr>
                <w:rStyle w:val="InlineCode"/>
              </w:rPr>
              <w:t>KS C-5601-1992</w:t>
            </w:r>
            <w:r>
              <w:t>)</w:t>
            </w:r>
          </w:p>
        </w:tc>
      </w:tr>
      <w:tr w:rsidR="00024C0A" w:rsidTr="00024C0A">
        <w:tc>
          <w:tcPr>
            <w:tcW w:w="0" w:type="auto"/>
            <w:vAlign w:val="center"/>
          </w:tcPr>
          <w:p w:rsidR="00024C0A" w:rsidRDefault="00694C0F">
            <w:pPr>
              <w:pStyle w:val="TableBodyText"/>
            </w:pPr>
            <w:r>
              <w:rPr>
                <w:rStyle w:val="InlineCode"/>
              </w:rPr>
              <w:t>0x86</w:t>
            </w:r>
          </w:p>
        </w:tc>
        <w:tc>
          <w:tcPr>
            <w:tcW w:w="0" w:type="auto"/>
            <w:vAlign w:val="center"/>
          </w:tcPr>
          <w:p w:rsidR="00024C0A" w:rsidRDefault="00694C0F">
            <w:pPr>
              <w:pStyle w:val="TableBodyText"/>
            </w:pPr>
            <w:r>
              <w:t xml:space="preserve">Specifies the GB-2312 character set. (IANA name </w:t>
            </w:r>
            <w:r>
              <w:rPr>
                <w:rStyle w:val="InlineCode"/>
              </w:rPr>
              <w:t>GBK</w:t>
            </w:r>
            <w:r>
              <w:t>)</w:t>
            </w:r>
          </w:p>
        </w:tc>
      </w:tr>
      <w:tr w:rsidR="00024C0A" w:rsidTr="00024C0A">
        <w:tc>
          <w:tcPr>
            <w:tcW w:w="0" w:type="auto"/>
            <w:vAlign w:val="center"/>
          </w:tcPr>
          <w:p w:rsidR="00024C0A" w:rsidRDefault="00694C0F">
            <w:pPr>
              <w:pStyle w:val="TableBodyText"/>
            </w:pPr>
            <w:r>
              <w:rPr>
                <w:rStyle w:val="InlineCode"/>
              </w:rPr>
              <w:t>0x88</w:t>
            </w:r>
          </w:p>
        </w:tc>
        <w:tc>
          <w:tcPr>
            <w:tcW w:w="0" w:type="auto"/>
            <w:vAlign w:val="center"/>
          </w:tcPr>
          <w:p w:rsidR="00024C0A" w:rsidRDefault="00694C0F">
            <w:pPr>
              <w:pStyle w:val="TableBodyText"/>
            </w:pPr>
            <w:r>
              <w:t xml:space="preserve">Specifies the Chinese Big Five character set. (IANA name </w:t>
            </w:r>
            <w:r>
              <w:rPr>
                <w:rStyle w:val="InlineCode"/>
              </w:rPr>
              <w:t>Big5</w:t>
            </w:r>
            <w:r>
              <w:t>)</w:t>
            </w:r>
          </w:p>
        </w:tc>
      </w:tr>
      <w:tr w:rsidR="00024C0A" w:rsidTr="00024C0A">
        <w:tc>
          <w:tcPr>
            <w:tcW w:w="0" w:type="auto"/>
            <w:vAlign w:val="center"/>
          </w:tcPr>
          <w:p w:rsidR="00024C0A" w:rsidRDefault="00694C0F">
            <w:pPr>
              <w:pStyle w:val="TableBodyText"/>
            </w:pPr>
            <w:r>
              <w:rPr>
                <w:rStyle w:val="InlineCode"/>
              </w:rPr>
              <w:t>0xA1</w:t>
            </w:r>
          </w:p>
        </w:tc>
        <w:tc>
          <w:tcPr>
            <w:tcW w:w="0" w:type="auto"/>
            <w:vAlign w:val="center"/>
          </w:tcPr>
          <w:p w:rsidR="00024C0A" w:rsidRDefault="00694C0F">
            <w:pPr>
              <w:pStyle w:val="TableBodyText"/>
            </w:pPr>
            <w:r>
              <w:t xml:space="preserve">Specifies a Greek character set. (IANA name </w:t>
            </w:r>
            <w:r>
              <w:rPr>
                <w:rStyle w:val="InlineCode"/>
              </w:rPr>
              <w:t>windows-1253</w:t>
            </w:r>
            <w:r>
              <w:t>)</w:t>
            </w:r>
          </w:p>
        </w:tc>
      </w:tr>
      <w:tr w:rsidR="00024C0A" w:rsidTr="00024C0A">
        <w:tc>
          <w:tcPr>
            <w:tcW w:w="0" w:type="auto"/>
            <w:vAlign w:val="center"/>
          </w:tcPr>
          <w:p w:rsidR="00024C0A" w:rsidRDefault="00694C0F">
            <w:pPr>
              <w:pStyle w:val="TableBodyText"/>
            </w:pPr>
            <w:r>
              <w:rPr>
                <w:rStyle w:val="InlineCode"/>
              </w:rPr>
              <w:t>0xA2</w:t>
            </w:r>
          </w:p>
        </w:tc>
        <w:tc>
          <w:tcPr>
            <w:tcW w:w="0" w:type="auto"/>
            <w:vAlign w:val="center"/>
          </w:tcPr>
          <w:p w:rsidR="00024C0A" w:rsidRDefault="00694C0F">
            <w:pPr>
              <w:pStyle w:val="TableBodyText"/>
            </w:pPr>
            <w:r>
              <w:t xml:space="preserve">Specifies a Turkish character set. (IANA name </w:t>
            </w:r>
            <w:r>
              <w:rPr>
                <w:rStyle w:val="InlineCode"/>
              </w:rPr>
              <w:t>iso-8859-9</w:t>
            </w:r>
            <w:r>
              <w:t>)</w:t>
            </w:r>
          </w:p>
        </w:tc>
      </w:tr>
      <w:tr w:rsidR="00024C0A" w:rsidTr="00024C0A">
        <w:tc>
          <w:tcPr>
            <w:tcW w:w="0" w:type="auto"/>
            <w:vAlign w:val="center"/>
          </w:tcPr>
          <w:p w:rsidR="00024C0A" w:rsidRDefault="00694C0F">
            <w:pPr>
              <w:pStyle w:val="TableBodyText"/>
            </w:pPr>
            <w:r>
              <w:rPr>
                <w:rStyle w:val="InlineCode"/>
              </w:rPr>
              <w:t>0xA3</w:t>
            </w:r>
          </w:p>
        </w:tc>
        <w:tc>
          <w:tcPr>
            <w:tcW w:w="0" w:type="auto"/>
            <w:vAlign w:val="center"/>
          </w:tcPr>
          <w:p w:rsidR="00024C0A" w:rsidRDefault="00694C0F">
            <w:pPr>
              <w:pStyle w:val="TableBodyText"/>
            </w:pPr>
            <w:r>
              <w:t xml:space="preserve">Specifies a Vietnamese character set. (IANA name </w:t>
            </w:r>
            <w:r>
              <w:rPr>
                <w:rStyle w:val="InlineCode"/>
              </w:rPr>
              <w:t>windows-1258</w:t>
            </w:r>
            <w:r>
              <w:t>)</w:t>
            </w:r>
          </w:p>
        </w:tc>
      </w:tr>
      <w:tr w:rsidR="00024C0A" w:rsidTr="00024C0A">
        <w:tc>
          <w:tcPr>
            <w:tcW w:w="0" w:type="auto"/>
            <w:vAlign w:val="center"/>
          </w:tcPr>
          <w:p w:rsidR="00024C0A" w:rsidRDefault="00694C0F">
            <w:pPr>
              <w:pStyle w:val="TableBodyText"/>
            </w:pPr>
            <w:r>
              <w:rPr>
                <w:rStyle w:val="InlineCode"/>
              </w:rPr>
              <w:t>0xB1</w:t>
            </w:r>
          </w:p>
        </w:tc>
        <w:tc>
          <w:tcPr>
            <w:tcW w:w="0" w:type="auto"/>
            <w:vAlign w:val="center"/>
          </w:tcPr>
          <w:p w:rsidR="00024C0A" w:rsidRDefault="00694C0F">
            <w:pPr>
              <w:pStyle w:val="TableBodyText"/>
            </w:pPr>
            <w:r>
              <w:t xml:space="preserve">Specifies a Hebrew character set. (IANA name </w:t>
            </w:r>
            <w:r>
              <w:rPr>
                <w:rStyle w:val="InlineCode"/>
              </w:rPr>
              <w:t>windows-1255</w:t>
            </w:r>
            <w:r>
              <w:t>)</w:t>
            </w:r>
          </w:p>
        </w:tc>
      </w:tr>
      <w:tr w:rsidR="00024C0A" w:rsidTr="00024C0A">
        <w:tc>
          <w:tcPr>
            <w:tcW w:w="0" w:type="auto"/>
            <w:vAlign w:val="center"/>
          </w:tcPr>
          <w:p w:rsidR="00024C0A" w:rsidRDefault="00694C0F">
            <w:pPr>
              <w:pStyle w:val="TableBodyText"/>
            </w:pPr>
            <w:r>
              <w:rPr>
                <w:rStyle w:val="InlineCode"/>
              </w:rPr>
              <w:t>0xB2</w:t>
            </w:r>
          </w:p>
        </w:tc>
        <w:tc>
          <w:tcPr>
            <w:tcW w:w="0" w:type="auto"/>
            <w:vAlign w:val="center"/>
          </w:tcPr>
          <w:p w:rsidR="00024C0A" w:rsidRDefault="00694C0F">
            <w:pPr>
              <w:pStyle w:val="TableBodyText"/>
            </w:pPr>
            <w:r>
              <w:t xml:space="preserve">Specifies an Arabic character set. (IANA name </w:t>
            </w:r>
            <w:r>
              <w:rPr>
                <w:rStyle w:val="InlineCode"/>
              </w:rPr>
              <w:t>windows-1256</w:t>
            </w:r>
            <w:r>
              <w:t>)</w:t>
            </w:r>
          </w:p>
        </w:tc>
      </w:tr>
      <w:tr w:rsidR="00024C0A" w:rsidTr="00024C0A">
        <w:tc>
          <w:tcPr>
            <w:tcW w:w="0" w:type="auto"/>
            <w:vAlign w:val="center"/>
          </w:tcPr>
          <w:p w:rsidR="00024C0A" w:rsidRDefault="00694C0F">
            <w:pPr>
              <w:pStyle w:val="TableBodyText"/>
            </w:pPr>
            <w:r>
              <w:rPr>
                <w:rStyle w:val="InlineCode"/>
              </w:rPr>
              <w:t>0xBA</w:t>
            </w:r>
          </w:p>
        </w:tc>
        <w:tc>
          <w:tcPr>
            <w:tcW w:w="0" w:type="auto"/>
            <w:vAlign w:val="center"/>
          </w:tcPr>
          <w:p w:rsidR="00024C0A" w:rsidRDefault="00694C0F">
            <w:pPr>
              <w:pStyle w:val="TableBodyText"/>
            </w:pPr>
            <w:r>
              <w:t xml:space="preserve">Specifies a Baltic character set. (IANA name </w:t>
            </w:r>
            <w:r>
              <w:rPr>
                <w:rStyle w:val="InlineCode"/>
              </w:rPr>
              <w:t>windows-1257</w:t>
            </w:r>
            <w:r>
              <w:t>)</w:t>
            </w:r>
          </w:p>
        </w:tc>
      </w:tr>
      <w:tr w:rsidR="00024C0A" w:rsidTr="00024C0A">
        <w:tc>
          <w:tcPr>
            <w:tcW w:w="0" w:type="auto"/>
            <w:vAlign w:val="center"/>
          </w:tcPr>
          <w:p w:rsidR="00024C0A" w:rsidRDefault="00694C0F">
            <w:pPr>
              <w:pStyle w:val="TableBodyText"/>
            </w:pPr>
            <w:r>
              <w:rPr>
                <w:rStyle w:val="InlineCode"/>
              </w:rPr>
              <w:t>0xCC</w:t>
            </w:r>
          </w:p>
        </w:tc>
        <w:tc>
          <w:tcPr>
            <w:tcW w:w="0" w:type="auto"/>
            <w:vAlign w:val="center"/>
          </w:tcPr>
          <w:p w:rsidR="00024C0A" w:rsidRDefault="00694C0F">
            <w:pPr>
              <w:pStyle w:val="TableBodyText"/>
            </w:pPr>
            <w:r>
              <w:t xml:space="preserve">Specifies a Russian character set. (IANA name </w:t>
            </w:r>
            <w:r>
              <w:rPr>
                <w:rStyle w:val="InlineCode"/>
              </w:rPr>
              <w:t>windows-1251</w:t>
            </w:r>
            <w:r>
              <w:t>)</w:t>
            </w:r>
          </w:p>
        </w:tc>
      </w:tr>
      <w:tr w:rsidR="00024C0A" w:rsidTr="00024C0A">
        <w:tc>
          <w:tcPr>
            <w:tcW w:w="0" w:type="auto"/>
            <w:vAlign w:val="center"/>
          </w:tcPr>
          <w:p w:rsidR="00024C0A" w:rsidRDefault="00694C0F">
            <w:pPr>
              <w:pStyle w:val="TableBodyText"/>
            </w:pPr>
            <w:r>
              <w:rPr>
                <w:rStyle w:val="InlineCode"/>
              </w:rPr>
              <w:t>0xDE</w:t>
            </w:r>
          </w:p>
        </w:tc>
        <w:tc>
          <w:tcPr>
            <w:tcW w:w="0" w:type="auto"/>
            <w:vAlign w:val="center"/>
          </w:tcPr>
          <w:p w:rsidR="00024C0A" w:rsidRDefault="00694C0F">
            <w:pPr>
              <w:pStyle w:val="TableBodyText"/>
            </w:pPr>
            <w:r>
              <w:t xml:space="preserve">Specifies a Thai character set. (IANA name </w:t>
            </w:r>
            <w:r>
              <w:rPr>
                <w:rStyle w:val="InlineCode"/>
              </w:rPr>
              <w:t>windows-874</w:t>
            </w:r>
            <w:r>
              <w:t>)</w:t>
            </w:r>
          </w:p>
        </w:tc>
      </w:tr>
      <w:tr w:rsidR="00024C0A" w:rsidTr="00024C0A">
        <w:tc>
          <w:tcPr>
            <w:tcW w:w="0" w:type="auto"/>
            <w:vAlign w:val="center"/>
          </w:tcPr>
          <w:p w:rsidR="00024C0A" w:rsidRDefault="00694C0F">
            <w:pPr>
              <w:pStyle w:val="TableBodyText"/>
            </w:pPr>
            <w:r>
              <w:rPr>
                <w:rStyle w:val="InlineCode"/>
              </w:rPr>
              <w:t>0xEE</w:t>
            </w:r>
          </w:p>
        </w:tc>
        <w:tc>
          <w:tcPr>
            <w:tcW w:w="0" w:type="auto"/>
            <w:vAlign w:val="center"/>
          </w:tcPr>
          <w:p w:rsidR="00024C0A" w:rsidRDefault="00694C0F">
            <w:pPr>
              <w:pStyle w:val="TableBodyText"/>
            </w:pPr>
            <w:r>
              <w:t xml:space="preserve">Specifies an Eastern European character set. (IANA name </w:t>
            </w:r>
            <w:r>
              <w:rPr>
                <w:rStyle w:val="InlineCode"/>
              </w:rPr>
              <w:t>windows-1250</w:t>
            </w:r>
            <w:r>
              <w:t>)</w:t>
            </w:r>
          </w:p>
        </w:tc>
      </w:tr>
      <w:tr w:rsidR="00024C0A" w:rsidTr="00024C0A">
        <w:tc>
          <w:tcPr>
            <w:tcW w:w="0" w:type="auto"/>
            <w:vAlign w:val="center"/>
          </w:tcPr>
          <w:p w:rsidR="00024C0A" w:rsidRDefault="00694C0F">
            <w:pPr>
              <w:pStyle w:val="TableBodyText"/>
            </w:pPr>
            <w:r>
              <w:rPr>
                <w:rStyle w:val="InlineCode"/>
              </w:rPr>
              <w:t>0xFF</w:t>
            </w:r>
          </w:p>
        </w:tc>
        <w:tc>
          <w:tcPr>
            <w:tcW w:w="0" w:type="auto"/>
            <w:vAlign w:val="center"/>
          </w:tcPr>
          <w:p w:rsidR="00024C0A" w:rsidRDefault="00694C0F">
            <w:pPr>
              <w:pStyle w:val="TableBodyText"/>
            </w:pPr>
            <w:r>
              <w:t>Specifies an OEM character set not defined by the standard.</w:t>
            </w:r>
          </w:p>
        </w:tc>
      </w:tr>
      <w:tr w:rsidR="00024C0A" w:rsidTr="00024C0A">
        <w:tc>
          <w:tcPr>
            <w:tcW w:w="0" w:type="auto"/>
            <w:vAlign w:val="center"/>
          </w:tcPr>
          <w:p w:rsidR="00024C0A" w:rsidRDefault="00694C0F">
            <w:pPr>
              <w:pStyle w:val="TableBodyText"/>
            </w:pPr>
            <w:r>
              <w:t>Any other value</w:t>
            </w:r>
          </w:p>
        </w:tc>
        <w:tc>
          <w:tcPr>
            <w:tcW w:w="0" w:type="auto"/>
            <w:vAlign w:val="center"/>
          </w:tcPr>
          <w:p w:rsidR="00024C0A" w:rsidRDefault="00694C0F">
            <w:pPr>
              <w:pStyle w:val="TableBodyText"/>
            </w:pPr>
            <w:r>
              <w:t>Application-defined, may be ignored.</w:t>
            </w:r>
          </w:p>
        </w:tc>
      </w:tr>
    </w:tbl>
    <w:p w:rsidR="00024C0A" w:rsidRDefault="00024C0A"/>
    <w:p w:rsidR="00024C0A" w:rsidRDefault="00694C0F">
      <w:pPr>
        <w:pStyle w:val="Definition-Field"/>
      </w:pPr>
      <w:r>
        <w:lastRenderedPageBreak/>
        <w:t xml:space="preserve">c.   </w:t>
      </w:r>
      <w:r>
        <w:rPr>
          <w:i/>
        </w:rPr>
        <w:t>The standard states that the pitchFamily</w:t>
      </w:r>
      <w:r>
        <w:rPr>
          <w:i/>
        </w:rPr>
        <w:t xml:space="preserve"> attribute of the buFont, cs, ea, font, latin and sym elements specifies the most similar font family.</w:t>
      </w:r>
    </w:p>
    <w:p w:rsidR="00024C0A" w:rsidRDefault="00694C0F">
      <w:r>
        <w:t xml:space="preserve">In Office, the pitchFamily attribute specifies the font pitch as well as the font family for the corresponding font. Because the value of this attribute </w:t>
      </w:r>
      <w:r>
        <w:t>is determined by a byte variable this value shall be interpreted as follows:</w:t>
      </w:r>
    </w:p>
    <w:tbl>
      <w:tblPr>
        <w:tblStyle w:val="Table-ShadedHeader"/>
        <w:tblW w:w="0" w:type="auto"/>
        <w:tblLook w:val="04A0" w:firstRow="1" w:lastRow="0" w:firstColumn="1" w:lastColumn="0" w:noHBand="0" w:noVBand="1"/>
      </w:tblPr>
      <w:tblGrid>
        <w:gridCol w:w="734"/>
        <w:gridCol w:w="4030"/>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Value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t>0x00</w:t>
            </w:r>
          </w:p>
        </w:tc>
        <w:tc>
          <w:tcPr>
            <w:tcW w:w="0" w:type="auto"/>
            <w:vAlign w:val="center"/>
          </w:tcPr>
          <w:p w:rsidR="00024C0A" w:rsidRDefault="00694C0F">
            <w:pPr>
              <w:pStyle w:val="TableBodyText"/>
            </w:pPr>
            <w:r>
              <w:t>DEFAULT PITCH + UNKNOWN FONT FAMILY</w:t>
            </w:r>
          </w:p>
        </w:tc>
      </w:tr>
      <w:tr w:rsidR="00024C0A" w:rsidTr="00024C0A">
        <w:tc>
          <w:tcPr>
            <w:tcW w:w="0" w:type="auto"/>
            <w:vAlign w:val="center"/>
          </w:tcPr>
          <w:p w:rsidR="00024C0A" w:rsidRDefault="00694C0F">
            <w:pPr>
              <w:pStyle w:val="TableBodyText"/>
            </w:pPr>
            <w:r>
              <w:t>0x01</w:t>
            </w:r>
          </w:p>
        </w:tc>
        <w:tc>
          <w:tcPr>
            <w:tcW w:w="0" w:type="auto"/>
            <w:vAlign w:val="center"/>
          </w:tcPr>
          <w:p w:rsidR="00024C0A" w:rsidRDefault="00694C0F">
            <w:pPr>
              <w:pStyle w:val="TableBodyText"/>
            </w:pPr>
            <w:r>
              <w:t>FIXED PITCH + UNKNOWN FONT FAMILY</w:t>
            </w:r>
          </w:p>
        </w:tc>
      </w:tr>
      <w:tr w:rsidR="00024C0A" w:rsidTr="00024C0A">
        <w:tc>
          <w:tcPr>
            <w:tcW w:w="0" w:type="auto"/>
            <w:vAlign w:val="center"/>
          </w:tcPr>
          <w:p w:rsidR="00024C0A" w:rsidRDefault="00694C0F">
            <w:pPr>
              <w:pStyle w:val="TableBodyText"/>
            </w:pPr>
            <w:r>
              <w:t>0x02</w:t>
            </w:r>
          </w:p>
        </w:tc>
        <w:tc>
          <w:tcPr>
            <w:tcW w:w="0" w:type="auto"/>
            <w:vAlign w:val="center"/>
          </w:tcPr>
          <w:p w:rsidR="00024C0A" w:rsidRDefault="00694C0F">
            <w:pPr>
              <w:pStyle w:val="TableBodyText"/>
            </w:pPr>
            <w:r>
              <w:t>VARIABLE PITCH + UNKNOWN FONT FAMILY</w:t>
            </w:r>
          </w:p>
        </w:tc>
      </w:tr>
      <w:tr w:rsidR="00024C0A" w:rsidTr="00024C0A">
        <w:tc>
          <w:tcPr>
            <w:tcW w:w="0" w:type="auto"/>
            <w:vAlign w:val="center"/>
          </w:tcPr>
          <w:p w:rsidR="00024C0A" w:rsidRDefault="00694C0F">
            <w:pPr>
              <w:pStyle w:val="TableBodyText"/>
            </w:pPr>
            <w:r>
              <w:t>0x10</w:t>
            </w:r>
          </w:p>
        </w:tc>
        <w:tc>
          <w:tcPr>
            <w:tcW w:w="0" w:type="auto"/>
            <w:vAlign w:val="center"/>
          </w:tcPr>
          <w:p w:rsidR="00024C0A" w:rsidRDefault="00694C0F">
            <w:pPr>
              <w:pStyle w:val="TableBodyText"/>
            </w:pPr>
            <w:r>
              <w:t xml:space="preserve">DEFAULT PITCH + ROMAN FONT </w:t>
            </w:r>
            <w:r>
              <w:t>FAMILY</w:t>
            </w:r>
          </w:p>
        </w:tc>
      </w:tr>
      <w:tr w:rsidR="00024C0A" w:rsidTr="00024C0A">
        <w:tc>
          <w:tcPr>
            <w:tcW w:w="0" w:type="auto"/>
            <w:vAlign w:val="center"/>
          </w:tcPr>
          <w:p w:rsidR="00024C0A" w:rsidRDefault="00694C0F">
            <w:pPr>
              <w:pStyle w:val="TableBodyText"/>
            </w:pPr>
            <w:r>
              <w:t>0x11</w:t>
            </w:r>
          </w:p>
        </w:tc>
        <w:tc>
          <w:tcPr>
            <w:tcW w:w="0" w:type="auto"/>
            <w:vAlign w:val="center"/>
          </w:tcPr>
          <w:p w:rsidR="00024C0A" w:rsidRDefault="00694C0F">
            <w:pPr>
              <w:pStyle w:val="TableBodyText"/>
            </w:pPr>
            <w:r>
              <w:t>FIXED PITCH + ROMAN FONT FAMILY</w:t>
            </w:r>
          </w:p>
        </w:tc>
      </w:tr>
      <w:tr w:rsidR="00024C0A" w:rsidTr="00024C0A">
        <w:tc>
          <w:tcPr>
            <w:tcW w:w="0" w:type="auto"/>
            <w:vAlign w:val="center"/>
          </w:tcPr>
          <w:p w:rsidR="00024C0A" w:rsidRDefault="00694C0F">
            <w:pPr>
              <w:pStyle w:val="TableBodyText"/>
            </w:pPr>
            <w:r>
              <w:t>0x12</w:t>
            </w:r>
          </w:p>
        </w:tc>
        <w:tc>
          <w:tcPr>
            <w:tcW w:w="0" w:type="auto"/>
            <w:vAlign w:val="center"/>
          </w:tcPr>
          <w:p w:rsidR="00024C0A" w:rsidRDefault="00694C0F">
            <w:pPr>
              <w:pStyle w:val="TableBodyText"/>
            </w:pPr>
            <w:r>
              <w:t>VARIABLE PITCH + ROMAN FONT FAMILY</w:t>
            </w:r>
          </w:p>
        </w:tc>
      </w:tr>
      <w:tr w:rsidR="00024C0A" w:rsidTr="00024C0A">
        <w:tc>
          <w:tcPr>
            <w:tcW w:w="0" w:type="auto"/>
            <w:vAlign w:val="center"/>
          </w:tcPr>
          <w:p w:rsidR="00024C0A" w:rsidRDefault="00694C0F">
            <w:pPr>
              <w:pStyle w:val="TableBodyText"/>
            </w:pPr>
            <w:r>
              <w:t>0x20</w:t>
            </w:r>
          </w:p>
        </w:tc>
        <w:tc>
          <w:tcPr>
            <w:tcW w:w="0" w:type="auto"/>
            <w:vAlign w:val="center"/>
          </w:tcPr>
          <w:p w:rsidR="00024C0A" w:rsidRDefault="00694C0F">
            <w:pPr>
              <w:pStyle w:val="TableBodyText"/>
            </w:pPr>
            <w:r>
              <w:t>DEFAULT PITCH + SWISS FONT FAMILY</w:t>
            </w:r>
          </w:p>
        </w:tc>
      </w:tr>
      <w:tr w:rsidR="00024C0A" w:rsidTr="00024C0A">
        <w:tc>
          <w:tcPr>
            <w:tcW w:w="0" w:type="auto"/>
            <w:vAlign w:val="center"/>
          </w:tcPr>
          <w:p w:rsidR="00024C0A" w:rsidRDefault="00694C0F">
            <w:pPr>
              <w:pStyle w:val="TableBodyText"/>
            </w:pPr>
            <w:r>
              <w:t>0x21</w:t>
            </w:r>
          </w:p>
        </w:tc>
        <w:tc>
          <w:tcPr>
            <w:tcW w:w="0" w:type="auto"/>
            <w:vAlign w:val="center"/>
          </w:tcPr>
          <w:p w:rsidR="00024C0A" w:rsidRDefault="00694C0F">
            <w:pPr>
              <w:pStyle w:val="TableBodyText"/>
            </w:pPr>
            <w:r>
              <w:t>FIXED PITCH + SWISS FONT FAMILY</w:t>
            </w:r>
          </w:p>
        </w:tc>
      </w:tr>
      <w:tr w:rsidR="00024C0A" w:rsidTr="00024C0A">
        <w:tc>
          <w:tcPr>
            <w:tcW w:w="0" w:type="auto"/>
            <w:vAlign w:val="center"/>
          </w:tcPr>
          <w:p w:rsidR="00024C0A" w:rsidRDefault="00694C0F">
            <w:pPr>
              <w:pStyle w:val="TableBodyText"/>
            </w:pPr>
            <w:r>
              <w:t>0x22</w:t>
            </w:r>
          </w:p>
        </w:tc>
        <w:tc>
          <w:tcPr>
            <w:tcW w:w="0" w:type="auto"/>
            <w:vAlign w:val="center"/>
          </w:tcPr>
          <w:p w:rsidR="00024C0A" w:rsidRDefault="00694C0F">
            <w:pPr>
              <w:pStyle w:val="TableBodyText"/>
            </w:pPr>
            <w:r>
              <w:t>VARIABLE PITCH + SWISS FONT FAMILY</w:t>
            </w:r>
          </w:p>
        </w:tc>
      </w:tr>
      <w:tr w:rsidR="00024C0A" w:rsidTr="00024C0A">
        <w:tc>
          <w:tcPr>
            <w:tcW w:w="0" w:type="auto"/>
            <w:vAlign w:val="center"/>
          </w:tcPr>
          <w:p w:rsidR="00024C0A" w:rsidRDefault="00694C0F">
            <w:pPr>
              <w:pStyle w:val="TableBodyText"/>
            </w:pPr>
            <w:r>
              <w:t>0x30</w:t>
            </w:r>
          </w:p>
        </w:tc>
        <w:tc>
          <w:tcPr>
            <w:tcW w:w="0" w:type="auto"/>
            <w:vAlign w:val="center"/>
          </w:tcPr>
          <w:p w:rsidR="00024C0A" w:rsidRDefault="00694C0F">
            <w:pPr>
              <w:pStyle w:val="TableBodyText"/>
            </w:pPr>
            <w:r>
              <w:t>DEFAULT PITCH + MODERN FONT FAMILY</w:t>
            </w:r>
          </w:p>
        </w:tc>
      </w:tr>
      <w:tr w:rsidR="00024C0A" w:rsidTr="00024C0A">
        <w:tc>
          <w:tcPr>
            <w:tcW w:w="0" w:type="auto"/>
            <w:vAlign w:val="center"/>
          </w:tcPr>
          <w:p w:rsidR="00024C0A" w:rsidRDefault="00694C0F">
            <w:pPr>
              <w:pStyle w:val="TableBodyText"/>
            </w:pPr>
            <w:r>
              <w:t>0x31</w:t>
            </w:r>
          </w:p>
        </w:tc>
        <w:tc>
          <w:tcPr>
            <w:tcW w:w="0" w:type="auto"/>
            <w:vAlign w:val="center"/>
          </w:tcPr>
          <w:p w:rsidR="00024C0A" w:rsidRDefault="00694C0F">
            <w:pPr>
              <w:pStyle w:val="TableBodyText"/>
            </w:pPr>
            <w:r>
              <w:t>FIXED PITCH + MODERN FONT FAMILY</w:t>
            </w:r>
          </w:p>
        </w:tc>
      </w:tr>
      <w:tr w:rsidR="00024C0A" w:rsidTr="00024C0A">
        <w:tc>
          <w:tcPr>
            <w:tcW w:w="0" w:type="auto"/>
            <w:vAlign w:val="center"/>
          </w:tcPr>
          <w:p w:rsidR="00024C0A" w:rsidRDefault="00694C0F">
            <w:pPr>
              <w:pStyle w:val="TableBodyText"/>
            </w:pPr>
            <w:r>
              <w:t>0x32</w:t>
            </w:r>
          </w:p>
        </w:tc>
        <w:tc>
          <w:tcPr>
            <w:tcW w:w="0" w:type="auto"/>
            <w:vAlign w:val="center"/>
          </w:tcPr>
          <w:p w:rsidR="00024C0A" w:rsidRDefault="00694C0F">
            <w:pPr>
              <w:pStyle w:val="TableBodyText"/>
            </w:pPr>
            <w:r>
              <w:t>VARIABLE PITCH + MODERN FONT FAMILY</w:t>
            </w:r>
          </w:p>
        </w:tc>
      </w:tr>
      <w:tr w:rsidR="00024C0A" w:rsidTr="00024C0A">
        <w:tc>
          <w:tcPr>
            <w:tcW w:w="0" w:type="auto"/>
            <w:vAlign w:val="center"/>
          </w:tcPr>
          <w:p w:rsidR="00024C0A" w:rsidRDefault="00694C0F">
            <w:pPr>
              <w:pStyle w:val="TableBodyText"/>
            </w:pPr>
            <w:r>
              <w:t>0x40</w:t>
            </w:r>
          </w:p>
        </w:tc>
        <w:tc>
          <w:tcPr>
            <w:tcW w:w="0" w:type="auto"/>
            <w:vAlign w:val="center"/>
          </w:tcPr>
          <w:p w:rsidR="00024C0A" w:rsidRDefault="00694C0F">
            <w:pPr>
              <w:pStyle w:val="TableBodyText"/>
            </w:pPr>
            <w:r>
              <w:t>DEFAULT PITCH + SCRIPT FONT FAMILY</w:t>
            </w:r>
          </w:p>
        </w:tc>
      </w:tr>
      <w:tr w:rsidR="00024C0A" w:rsidTr="00024C0A">
        <w:tc>
          <w:tcPr>
            <w:tcW w:w="0" w:type="auto"/>
            <w:vAlign w:val="center"/>
          </w:tcPr>
          <w:p w:rsidR="00024C0A" w:rsidRDefault="00694C0F">
            <w:pPr>
              <w:pStyle w:val="TableBodyText"/>
            </w:pPr>
            <w:r>
              <w:t>0x41</w:t>
            </w:r>
          </w:p>
        </w:tc>
        <w:tc>
          <w:tcPr>
            <w:tcW w:w="0" w:type="auto"/>
            <w:vAlign w:val="center"/>
          </w:tcPr>
          <w:p w:rsidR="00024C0A" w:rsidRDefault="00694C0F">
            <w:pPr>
              <w:pStyle w:val="TableBodyText"/>
            </w:pPr>
            <w:r>
              <w:t>FIXED PITCH + SCRIPT FONT FAMILY</w:t>
            </w:r>
          </w:p>
        </w:tc>
      </w:tr>
      <w:tr w:rsidR="00024C0A" w:rsidTr="00024C0A">
        <w:tc>
          <w:tcPr>
            <w:tcW w:w="0" w:type="auto"/>
            <w:vAlign w:val="center"/>
          </w:tcPr>
          <w:p w:rsidR="00024C0A" w:rsidRDefault="00694C0F">
            <w:pPr>
              <w:pStyle w:val="TableBodyText"/>
            </w:pPr>
            <w:r>
              <w:t>0x42</w:t>
            </w:r>
          </w:p>
        </w:tc>
        <w:tc>
          <w:tcPr>
            <w:tcW w:w="0" w:type="auto"/>
            <w:vAlign w:val="center"/>
          </w:tcPr>
          <w:p w:rsidR="00024C0A" w:rsidRDefault="00694C0F">
            <w:pPr>
              <w:pStyle w:val="TableBodyText"/>
            </w:pPr>
            <w:r>
              <w:t>VARIABLE PITCH + SCRIPT FONT FAMILY</w:t>
            </w:r>
          </w:p>
        </w:tc>
      </w:tr>
      <w:tr w:rsidR="00024C0A" w:rsidTr="00024C0A">
        <w:tc>
          <w:tcPr>
            <w:tcW w:w="0" w:type="auto"/>
            <w:vAlign w:val="center"/>
          </w:tcPr>
          <w:p w:rsidR="00024C0A" w:rsidRDefault="00694C0F">
            <w:pPr>
              <w:pStyle w:val="TableBodyText"/>
            </w:pPr>
            <w:r>
              <w:t>0x50</w:t>
            </w:r>
          </w:p>
        </w:tc>
        <w:tc>
          <w:tcPr>
            <w:tcW w:w="0" w:type="auto"/>
            <w:vAlign w:val="center"/>
          </w:tcPr>
          <w:p w:rsidR="00024C0A" w:rsidRDefault="00694C0F">
            <w:pPr>
              <w:pStyle w:val="TableBodyText"/>
            </w:pPr>
            <w:r>
              <w:t>DEFAULT PITCH + DECORATIVE FONT FAMILY</w:t>
            </w:r>
          </w:p>
        </w:tc>
      </w:tr>
      <w:tr w:rsidR="00024C0A" w:rsidTr="00024C0A">
        <w:tc>
          <w:tcPr>
            <w:tcW w:w="0" w:type="auto"/>
            <w:vAlign w:val="center"/>
          </w:tcPr>
          <w:p w:rsidR="00024C0A" w:rsidRDefault="00694C0F">
            <w:pPr>
              <w:pStyle w:val="TableBodyText"/>
            </w:pPr>
            <w:r>
              <w:t>0x51</w:t>
            </w:r>
          </w:p>
        </w:tc>
        <w:tc>
          <w:tcPr>
            <w:tcW w:w="0" w:type="auto"/>
            <w:vAlign w:val="center"/>
          </w:tcPr>
          <w:p w:rsidR="00024C0A" w:rsidRDefault="00694C0F">
            <w:pPr>
              <w:pStyle w:val="TableBodyText"/>
            </w:pPr>
            <w:r>
              <w:t xml:space="preserve">FIXED </w:t>
            </w:r>
            <w:r>
              <w:t>PITCH + DECORATIVE FONT FAMILY</w:t>
            </w:r>
          </w:p>
        </w:tc>
      </w:tr>
      <w:tr w:rsidR="00024C0A" w:rsidTr="00024C0A">
        <w:tc>
          <w:tcPr>
            <w:tcW w:w="0" w:type="auto"/>
            <w:vAlign w:val="center"/>
          </w:tcPr>
          <w:p w:rsidR="00024C0A" w:rsidRDefault="00694C0F">
            <w:pPr>
              <w:pStyle w:val="TableBodyText"/>
            </w:pPr>
            <w:r>
              <w:t>0x52</w:t>
            </w:r>
          </w:p>
        </w:tc>
        <w:tc>
          <w:tcPr>
            <w:tcW w:w="0" w:type="auto"/>
            <w:vAlign w:val="center"/>
          </w:tcPr>
          <w:p w:rsidR="00024C0A" w:rsidRDefault="00694C0F">
            <w:pPr>
              <w:pStyle w:val="TableBodyText"/>
            </w:pPr>
            <w:r>
              <w:t>VARIABLE PITCH + DECORATIVE FONT FAMILY</w:t>
            </w:r>
          </w:p>
        </w:tc>
      </w:tr>
    </w:tbl>
    <w:p w:rsidR="00024C0A" w:rsidRDefault="00024C0A"/>
    <w:p w:rsidR="00024C0A" w:rsidRDefault="00694C0F">
      <w:r>
        <w:t>This information is determined by querying the font when present and shall not be modified when the font is not available. This information may be used in font substitution logi</w:t>
      </w:r>
      <w:r>
        <w:t>c to locate an appropriate substitute font when this font is not available.</w:t>
      </w:r>
    </w:p>
    <w:p w:rsidR="00024C0A" w:rsidRDefault="00694C0F">
      <w:pPr>
        <w:pStyle w:val="Definition-Field"/>
      </w:pPr>
      <w:r>
        <w:t xml:space="preserve">d.   </w:t>
      </w:r>
      <w:r>
        <w:rPr>
          <w:i/>
        </w:rPr>
        <w:t>The standard states that the typeface attribute of the buFont, cs, ea, font, latin and sym elements specifies the typeface of the font to be used for a bullet.</w:t>
      </w:r>
    </w:p>
    <w:p w:rsidR="00024C0A" w:rsidRDefault="00694C0F">
      <w:pPr>
        <w:pStyle w:val="Definition-Field2"/>
      </w:pPr>
      <w:r>
        <w:t>Office uses thi</w:t>
      </w:r>
      <w:r>
        <w:t>s typeface attribute for all text when a typeface is available, and uses font substitution logic when the typeface is not available.</w:t>
      </w:r>
    </w:p>
    <w:p w:rsidR="00024C0A" w:rsidRDefault="00694C0F">
      <w:pPr>
        <w:pStyle w:val="Heading3"/>
      </w:pPr>
      <w:bookmarkStart w:id="2799" w:name="section_a58bef0cc9b542ca9bb3ebd6657a1a94"/>
      <w:bookmarkStart w:id="2800" w:name="_Toc12261460"/>
      <w:r>
        <w:t>Part 1 Section 21.1.2.3.8, r (Text Run)</w:t>
      </w:r>
      <w:bookmarkEnd w:id="2799"/>
      <w:bookmarkEnd w:id="2800"/>
      <w:r>
        <w:fldChar w:fldCharType="begin"/>
      </w:r>
      <w:r>
        <w:instrText xml:space="preserve"> XE "r (Text Run)" </w:instrText>
      </w:r>
      <w:r>
        <w:fldChar w:fldCharType="end"/>
      </w:r>
    </w:p>
    <w:p w:rsidR="00024C0A" w:rsidRDefault="00694C0F">
      <w:pPr>
        <w:pStyle w:val="Definition-Field"/>
      </w:pPr>
      <w:r>
        <w:t xml:space="preserve">a.   </w:t>
      </w:r>
      <w:r>
        <w:rPr>
          <w:i/>
        </w:rPr>
        <w:t>The standard states that if no text run properties are sp</w:t>
      </w:r>
      <w:r>
        <w:rPr>
          <w:i/>
        </w:rPr>
        <w:t>ecified, then properties in the defRPr element are used.</w:t>
      </w:r>
    </w:p>
    <w:p w:rsidR="00024C0A" w:rsidRDefault="00694C0F">
      <w:pPr>
        <w:pStyle w:val="Definition-Field2"/>
      </w:pPr>
      <w:r>
        <w:lastRenderedPageBreak/>
        <w:t>In Office, if no text run properties are specified, then properties will be assigned values as described in child element rPr (Text Run Properties).</w:t>
      </w:r>
    </w:p>
    <w:p w:rsidR="00024C0A" w:rsidRDefault="00694C0F">
      <w:pPr>
        <w:pStyle w:val="Heading3"/>
      </w:pPr>
      <w:bookmarkStart w:id="2801" w:name="section_953e072cf2344373b0173f1f71eac93b"/>
      <w:bookmarkStart w:id="2802" w:name="_Toc12261461"/>
      <w:r>
        <w:t>Part 1 Section 21.1.2.3.9, rPr (Text Run Propertie</w:t>
      </w:r>
      <w:r>
        <w:t>s)</w:t>
      </w:r>
      <w:bookmarkEnd w:id="2801"/>
      <w:bookmarkEnd w:id="2802"/>
      <w:r>
        <w:fldChar w:fldCharType="begin"/>
      </w:r>
      <w:r>
        <w:instrText xml:space="preserve"> XE "rPr (Text Run Properties)" </w:instrText>
      </w:r>
      <w:r>
        <w:fldChar w:fldCharType="end"/>
      </w:r>
    </w:p>
    <w:p w:rsidR="00024C0A" w:rsidRDefault="00694C0F">
      <w:pPr>
        <w:pStyle w:val="Definition-Field"/>
      </w:pPr>
      <w:r>
        <w:t xml:space="preserve">a.   </w:t>
      </w:r>
      <w:r>
        <w:rPr>
          <w:i/>
        </w:rPr>
        <w:t>The standard specifies a default kerning for fonts down to a 0 point for the kern attribute of the rPr, defRpr and endParaRPr elements.</w:t>
      </w:r>
    </w:p>
    <w:p w:rsidR="00024C0A" w:rsidRDefault="00694C0F">
      <w:pPr>
        <w:pStyle w:val="Definition-Field2"/>
      </w:pPr>
      <w:r>
        <w:t>Office uses a default value of no kerning if the kern attribute is not specifi</w:t>
      </w:r>
      <w:r>
        <w:t>ed.</w:t>
      </w:r>
    </w:p>
    <w:p w:rsidR="00024C0A" w:rsidRDefault="00694C0F">
      <w:pPr>
        <w:pStyle w:val="Definition-Field"/>
      </w:pPr>
      <w:r>
        <w:t xml:space="preserve">b.   </w:t>
      </w:r>
      <w:r>
        <w:rPr>
          <w:i/>
        </w:rPr>
        <w:t>The standard states that the smtClean attribute of the rPr, defRpr and endParaRPr elements has a default value of 0 or false.</w:t>
      </w:r>
    </w:p>
    <w:p w:rsidR="00024C0A" w:rsidRDefault="00694C0F">
      <w:pPr>
        <w:pStyle w:val="Definition-Field2"/>
      </w:pPr>
      <w:r>
        <w:t>In Office, the smtClean attribute of the rPr, defRpr and endParaRPr elements has a default value of true.</w:t>
      </w:r>
    </w:p>
    <w:p w:rsidR="00024C0A" w:rsidRDefault="00694C0F">
      <w:pPr>
        <w:pStyle w:val="Definition-Field"/>
      </w:pPr>
      <w:r>
        <w:t xml:space="preserve">c.   </w:t>
      </w:r>
      <w:r>
        <w:rPr>
          <w:i/>
        </w:rPr>
        <w:t xml:space="preserve">The </w:t>
      </w:r>
      <w:r>
        <w:rPr>
          <w:i/>
        </w:rPr>
        <w:t>standard does not fully describe the process for resolving missing attribute values.</w:t>
      </w:r>
    </w:p>
    <w:p w:rsidR="00024C0A" w:rsidRDefault="00694C0F">
      <w:r>
        <w:t>In Office, attributes not specified explicitly within this element shall have their values determined by inheritance. Attribute values will be resolved using an applicable</w:t>
      </w:r>
      <w:r>
        <w:t xml:space="preserve"> ancestor element of the same type as this element. The inheritance order in which another applicable attribute value shall be applied is as follows:</w:t>
      </w:r>
    </w:p>
    <w:p w:rsidR="00024C0A" w:rsidRDefault="00694C0F">
      <w:r>
        <w:t>A corresponding ancestor element which is a child element of the lstStyle element ("</w:t>
      </w:r>
      <w:hyperlink r:id="rId201">
        <w:r>
          <w:rPr>
            <w:rStyle w:val="Hyperlink"/>
          </w:rPr>
          <w:t>[ISO/IEC-29500-1]</w:t>
        </w:r>
      </w:hyperlink>
      <w:r>
        <w:t xml:space="preserve"> §21.1.2.4.12; lstStyle") contained within the same package part as the text to which it applies that also has a matching paragraph level value.</w:t>
      </w:r>
    </w:p>
    <w:p w:rsidR="00024C0A" w:rsidRDefault="00694C0F">
      <w:r>
        <w:t xml:space="preserve">A corresponding ancestor element which is a child </w:t>
      </w:r>
      <w:r>
        <w:t>element of the lstStyle element ("[ISO/IEC-29500-1] §21.1.2.4.12; lstStyle") contained within the theme element ("[ISO/IEC-29500-1] §20.1.6.9; theme").</w:t>
      </w:r>
    </w:p>
    <w:p w:rsidR="00024C0A" w:rsidRDefault="00694C0F">
      <w:r>
        <w:t>If the value of an attribute is not determined via this process, the default value specified within this</w:t>
      </w:r>
      <w:r>
        <w:t xml:space="preserve"> element shall be used.</w:t>
      </w:r>
    </w:p>
    <w:p w:rsidR="00024C0A" w:rsidRDefault="00694C0F">
      <w:r>
        <w:t>PowerPoint uses a corresponding child element which is contained within the corresponding sldMaster element ("[ISO/IEC-29500-1]</w:t>
      </w:r>
      <w:r>
        <w:t xml:space="preserve"> §19.3.1.42; sldMaster") if the value of an attribute is not determined by this inheritance order. If the corresponding sldMaster element ("[ISO/IEC-29500-1] §19.3.1.42; sldMaster") does not specify the value of the attribute and the value was not determin</w:t>
      </w:r>
      <w:r>
        <w:t>ed from the inheritance order, then the default value specified within this element shall be used.</w:t>
      </w:r>
    </w:p>
    <w:p w:rsidR="00024C0A" w:rsidRDefault="00694C0F">
      <w:pPr>
        <w:pStyle w:val="Definition-Field"/>
      </w:pPr>
      <w:r>
        <w:t xml:space="preserve">d.   </w:t>
      </w:r>
      <w:r>
        <w:rPr>
          <w:i/>
        </w:rPr>
        <w:t>The standard does not specify usage with negative versus positive values or a default value for the baseline attribute of the rPr, defRPr and endParaRpr</w:t>
      </w:r>
      <w:r>
        <w:rPr>
          <w:i/>
        </w:rPr>
        <w:t xml:space="preserve"> elements.</w:t>
      </w:r>
    </w:p>
    <w:p w:rsidR="00024C0A" w:rsidRDefault="00694C0F">
      <w:pPr>
        <w:pStyle w:val="Definition-Field2"/>
      </w:pPr>
      <w:r>
        <w:t>Office uses negative attribute values for subscript text, positive values for superscript text and a default value of 0.</w:t>
      </w:r>
    </w:p>
    <w:p w:rsidR="00024C0A" w:rsidRDefault="00694C0F">
      <w:pPr>
        <w:pStyle w:val="Definition-Field"/>
      </w:pPr>
      <w:r>
        <w:t xml:space="preserve">e.   </w:t>
      </w:r>
      <w:r>
        <w:rPr>
          <w:i/>
        </w:rPr>
        <w:t>The standard states that the sz attribute of the rPr, defRpr and endParaRPr elements retrieve its default value from th</w:t>
      </w:r>
      <w:r>
        <w:rPr>
          <w:i/>
        </w:rPr>
        <w:t>e defRpr element.</w:t>
      </w:r>
    </w:p>
    <w:p w:rsidR="00024C0A" w:rsidRDefault="00694C0F">
      <w:pPr>
        <w:pStyle w:val="Definition-Field2"/>
      </w:pPr>
      <w:r>
        <w:t>Office uses a default value of 1800 for this attribute.</w:t>
      </w:r>
    </w:p>
    <w:p w:rsidR="00024C0A" w:rsidRDefault="00694C0F">
      <w:pPr>
        <w:pStyle w:val="Definition-Field"/>
      </w:pPr>
      <w:r>
        <w:t xml:space="preserve">f.   </w:t>
      </w:r>
      <w:r>
        <w:rPr>
          <w:i/>
        </w:rPr>
        <w:t>The standard does not specify a default value for the noProof attribute of the rPr, defRpr and endParaRPr elements.</w:t>
      </w:r>
    </w:p>
    <w:p w:rsidR="00024C0A" w:rsidRDefault="00694C0F">
      <w:pPr>
        <w:pStyle w:val="Definition-Field2"/>
      </w:pPr>
      <w:r>
        <w:t>Office uses a default value of 0, or false, for this attribut</w:t>
      </w:r>
      <w:r>
        <w:t>e.</w:t>
      </w:r>
    </w:p>
    <w:p w:rsidR="00024C0A" w:rsidRDefault="00694C0F">
      <w:pPr>
        <w:pStyle w:val="Definition-Field"/>
      </w:pPr>
      <w:r>
        <w:t xml:space="preserve">g.   </w:t>
      </w:r>
      <w:r>
        <w:rPr>
          <w:i/>
        </w:rPr>
        <w:t>The standard does not specify a default value for the cap attribute of the rPr, defRpr and endParaRPr elements.</w:t>
      </w:r>
    </w:p>
    <w:p w:rsidR="00024C0A" w:rsidRDefault="00694C0F">
      <w:pPr>
        <w:pStyle w:val="Definition-Field2"/>
      </w:pPr>
      <w:r>
        <w:t>Office uses a default value of none for this attribute.</w:t>
      </w:r>
    </w:p>
    <w:p w:rsidR="00024C0A" w:rsidRDefault="00694C0F">
      <w:pPr>
        <w:pStyle w:val="Heading3"/>
      </w:pPr>
      <w:bookmarkStart w:id="2803" w:name="section_2fc70eb8232c4820944943baa12fe65f"/>
      <w:bookmarkStart w:id="2804" w:name="_Toc12261462"/>
      <w:r>
        <w:lastRenderedPageBreak/>
        <w:t>Part 1 Section 21.1.2.3.10, sym (Symbol Font)</w:t>
      </w:r>
      <w:bookmarkEnd w:id="2803"/>
      <w:bookmarkEnd w:id="2804"/>
      <w:r>
        <w:fldChar w:fldCharType="begin"/>
      </w:r>
      <w:r>
        <w:instrText xml:space="preserve"> XE "sym (Symbol Font)" </w:instrText>
      </w:r>
      <w:r>
        <w:fldChar w:fldCharType="end"/>
      </w:r>
    </w:p>
    <w:p w:rsidR="00024C0A" w:rsidRDefault="00694C0F">
      <w:pPr>
        <w:pStyle w:val="Definition-Field2"/>
      </w:pPr>
      <w:r>
        <w:rPr>
          <w:i/>
        </w:rPr>
        <w:t>For addi</w:t>
      </w:r>
      <w:r>
        <w:rPr>
          <w:i/>
        </w:rPr>
        <w:t xml:space="preserve">tional notes that apply to this portion of the standard, please see the notes for </w:t>
      </w:r>
      <w:hyperlink w:anchor="Section_e6784cb715474ee5addc730cac8b4d00">
        <w:r>
          <w:rPr>
            <w:rStyle w:val="Hyperlink"/>
          </w:rPr>
          <w:t>latin, §21.1.2.3.7(a-d)</w:t>
        </w:r>
      </w:hyperlink>
      <w:r>
        <w:rPr>
          <w:i/>
        </w:rPr>
        <w:t>.</w:t>
      </w:r>
    </w:p>
    <w:p w:rsidR="00024C0A" w:rsidRDefault="00694C0F">
      <w:pPr>
        <w:pStyle w:val="Heading3"/>
      </w:pPr>
      <w:bookmarkStart w:id="2805" w:name="section_57a29393712e406eaeaab5e186027a2d"/>
      <w:bookmarkStart w:id="2806" w:name="_Toc12261463"/>
      <w:r>
        <w:t>Part 1 Section 21.1.2.3.13, uFillTx (Underline Fill Properties Follow Text)</w:t>
      </w:r>
      <w:bookmarkEnd w:id="2805"/>
      <w:bookmarkEnd w:id="2806"/>
      <w:r>
        <w:fldChar w:fldCharType="begin"/>
      </w:r>
      <w:r>
        <w:instrText xml:space="preserve"> XE "uFillT</w:instrText>
      </w:r>
      <w:r>
        <w:instrText xml:space="preserve">x (Underline Fill Properties Follow Text)" </w:instrText>
      </w:r>
      <w:r>
        <w:fldChar w:fldCharType="end"/>
      </w:r>
    </w:p>
    <w:p w:rsidR="00024C0A" w:rsidRDefault="00694C0F">
      <w:pPr>
        <w:pStyle w:val="Definition-Field"/>
      </w:pPr>
      <w:r>
        <w:t xml:space="preserve">a.   </w:t>
      </w:r>
      <w:r>
        <w:rPr>
          <w:i/>
        </w:rPr>
        <w:t>The standard states that the uFillTx element specifies the fill color of an underline and should be the same color as the run of text within which it is contained.</w:t>
      </w:r>
    </w:p>
    <w:p w:rsidR="00024C0A" w:rsidRDefault="00694C0F">
      <w:pPr>
        <w:pStyle w:val="Definition-Field2"/>
      </w:pPr>
      <w:r>
        <w:t xml:space="preserve">In Office, the uFillTx element specifies </w:t>
      </w:r>
      <w:r>
        <w:t>that the fill color and all other fill properties of an underline are the same as the run of text within which it is contained.</w:t>
      </w:r>
    </w:p>
    <w:p w:rsidR="00024C0A" w:rsidRDefault="00694C0F">
      <w:pPr>
        <w:pStyle w:val="Heading3"/>
      </w:pPr>
      <w:bookmarkStart w:id="2807" w:name="section_595d4ae635b74782bb498ffce58e85cf"/>
      <w:bookmarkStart w:id="2808" w:name="_Toc12261464"/>
      <w:r>
        <w:t>Part 1 Section 21.1.2.3.14, uLn (Underline Stroke)</w:t>
      </w:r>
      <w:bookmarkEnd w:id="2807"/>
      <w:bookmarkEnd w:id="2808"/>
      <w:r>
        <w:fldChar w:fldCharType="begin"/>
      </w:r>
      <w:r>
        <w:instrText xml:space="preserve"> XE "uLn (Underline Stroke)" </w:instrText>
      </w:r>
      <w:r>
        <w:fldChar w:fldCharType="end"/>
      </w:r>
    </w:p>
    <w:p w:rsidR="00024C0A" w:rsidRDefault="00694C0F">
      <w:pPr>
        <w:pStyle w:val="Definition-Field2"/>
      </w:pPr>
      <w:r>
        <w:rPr>
          <w:i/>
        </w:rPr>
        <w:t>For additional notes that apply to this portio</w:t>
      </w:r>
      <w:r>
        <w:rPr>
          <w:i/>
        </w:rPr>
        <w:t xml:space="preserve">n of the standard, please see the notes for </w:t>
      </w:r>
      <w:hyperlink w:anchor="Section_5564035f88ff4ab8bbfbd2998a83324d">
        <w:r>
          <w:rPr>
            <w:rStyle w:val="Hyperlink"/>
          </w:rPr>
          <w:t>ln, §20.1.2.2.24(a, b)</w:t>
        </w:r>
      </w:hyperlink>
      <w:r>
        <w:rPr>
          <w:i/>
        </w:rPr>
        <w:t>.</w:t>
      </w:r>
    </w:p>
    <w:p w:rsidR="00024C0A" w:rsidRDefault="00694C0F">
      <w:pPr>
        <w:pStyle w:val="Definition-Field"/>
      </w:pPr>
      <w:r>
        <w:t xml:space="preserve">a.   </w:t>
      </w:r>
      <w:r>
        <w:rPr>
          <w:i/>
        </w:rPr>
        <w:t xml:space="preserve">The standard allows for the specifying of the tailEnd child element, headEnd child element and cap attribute within the </w:t>
      </w:r>
      <w:r>
        <w:rPr>
          <w:i/>
        </w:rPr>
        <w:t>uLn element.</w:t>
      </w:r>
    </w:p>
    <w:p w:rsidR="00024C0A" w:rsidRDefault="00694C0F">
      <w:pPr>
        <w:pStyle w:val="Definition-Field2"/>
      </w:pPr>
      <w:r>
        <w:t>Office does not use the tailEnd child element, headEnd child element and cap attribute when the parent element is the rPr element.</w:t>
      </w:r>
    </w:p>
    <w:p w:rsidR="00024C0A" w:rsidRDefault="00694C0F">
      <w:pPr>
        <w:pStyle w:val="Heading3"/>
      </w:pPr>
      <w:bookmarkStart w:id="2809" w:name="section_123e703d328a48d08dfa6f364e02e166"/>
      <w:bookmarkStart w:id="2810" w:name="_Toc12261465"/>
      <w:r>
        <w:t>Part 1 Section 21.1.2.4.6, buFont (Specified)</w:t>
      </w:r>
      <w:bookmarkEnd w:id="2809"/>
      <w:bookmarkEnd w:id="2810"/>
      <w:r>
        <w:fldChar w:fldCharType="begin"/>
      </w:r>
      <w:r>
        <w:instrText xml:space="preserve"> XE "buFont (Specified)" </w:instrText>
      </w:r>
      <w:r>
        <w:fldChar w:fldCharType="end"/>
      </w:r>
    </w:p>
    <w:p w:rsidR="00024C0A" w:rsidRDefault="00694C0F">
      <w:pPr>
        <w:pStyle w:val="Definition-Field2"/>
      </w:pPr>
      <w:r>
        <w:rPr>
          <w:i/>
        </w:rPr>
        <w:t>For additional notes that apply to this</w:t>
      </w:r>
      <w:r>
        <w:rPr>
          <w:i/>
        </w:rPr>
        <w:t xml:space="preserve"> portion of the standard, please see the notes for </w:t>
      </w:r>
      <w:hyperlink w:anchor="Section_e6784cb715474ee5addc730cac8b4d00">
        <w:r>
          <w:rPr>
            <w:rStyle w:val="Hyperlink"/>
          </w:rPr>
          <w:t>latin, §21.1.2.3.7(a-d)</w:t>
        </w:r>
      </w:hyperlink>
      <w:r>
        <w:rPr>
          <w:i/>
        </w:rPr>
        <w:t>.</w:t>
      </w:r>
    </w:p>
    <w:p w:rsidR="00024C0A" w:rsidRDefault="00694C0F">
      <w:pPr>
        <w:pStyle w:val="Heading3"/>
      </w:pPr>
      <w:bookmarkStart w:id="2811" w:name="section_7d31ebc1a52e4e29975b99e32babe803"/>
      <w:bookmarkStart w:id="2812" w:name="_Toc12261466"/>
      <w:r>
        <w:t>Part 1 Section 21.1.2.4.9, buSzPct (Bullet Size Percentage)</w:t>
      </w:r>
      <w:bookmarkEnd w:id="2811"/>
      <w:bookmarkEnd w:id="2812"/>
      <w:r>
        <w:fldChar w:fldCharType="begin"/>
      </w:r>
      <w:r>
        <w:instrText xml:space="preserve"> XE "buSzPct (Bullet Size Percentage)" </w:instrText>
      </w:r>
      <w:r>
        <w:fldChar w:fldCharType="end"/>
      </w:r>
    </w:p>
    <w:p w:rsidR="00024C0A" w:rsidRDefault="00694C0F">
      <w:pPr>
        <w:pStyle w:val="Definition-Field"/>
      </w:pPr>
      <w:r>
        <w:t xml:space="preserve">a.   </w:t>
      </w:r>
      <w:r>
        <w:rPr>
          <w:i/>
        </w:rPr>
        <w:t>The standar</w:t>
      </w:r>
      <w:r>
        <w:rPr>
          <w:i/>
        </w:rPr>
        <w:t>d implies that the val attribute is optional.</w:t>
      </w:r>
    </w:p>
    <w:p w:rsidR="00024C0A" w:rsidRDefault="00694C0F">
      <w:pPr>
        <w:pStyle w:val="Definition-Field2"/>
      </w:pPr>
      <w:r>
        <w:t>Office requires this attribute.</w:t>
      </w:r>
    </w:p>
    <w:p w:rsidR="00024C0A" w:rsidRDefault="00694C0F">
      <w:pPr>
        <w:pStyle w:val="Heading3"/>
      </w:pPr>
      <w:bookmarkStart w:id="2813" w:name="section_1da3efd797b349a096ea8377e149177f"/>
      <w:bookmarkStart w:id="2814" w:name="_Toc12261467"/>
      <w:r>
        <w:t>Part 1 Section 21.1.2.4.10, buSzPts (Bullet Size Points)</w:t>
      </w:r>
      <w:bookmarkEnd w:id="2813"/>
      <w:bookmarkEnd w:id="2814"/>
      <w:r>
        <w:fldChar w:fldCharType="begin"/>
      </w:r>
      <w:r>
        <w:instrText xml:space="preserve"> XE "buSzPts (Bullet Size Points)" </w:instrText>
      </w:r>
      <w:r>
        <w:fldChar w:fldCharType="end"/>
      </w:r>
    </w:p>
    <w:p w:rsidR="00024C0A" w:rsidRDefault="00694C0F">
      <w:pPr>
        <w:pStyle w:val="Definition-Field"/>
      </w:pPr>
      <w:r>
        <w:t xml:space="preserve">a.   </w:t>
      </w:r>
      <w:r>
        <w:rPr>
          <w:i/>
        </w:rPr>
        <w:t>The standard implies that the val attribute is optional.</w:t>
      </w:r>
    </w:p>
    <w:p w:rsidR="00024C0A" w:rsidRDefault="00694C0F">
      <w:pPr>
        <w:pStyle w:val="Definition-Field2"/>
      </w:pPr>
      <w:r>
        <w:t xml:space="preserve">Office requires this </w:t>
      </w:r>
      <w:r>
        <w:t>attribute.</w:t>
      </w:r>
    </w:p>
    <w:p w:rsidR="00024C0A" w:rsidRDefault="00694C0F">
      <w:pPr>
        <w:pStyle w:val="Heading3"/>
      </w:pPr>
      <w:bookmarkStart w:id="2815" w:name="section_9b34280e538e48118af9761d34f88f20"/>
      <w:bookmarkStart w:id="2816" w:name="_Toc12261468"/>
      <w:r>
        <w:t>Part 1 Section 21.1.2.4.13, lvl1pPr (List Level 1 Text Style)</w:t>
      </w:r>
      <w:bookmarkEnd w:id="2815"/>
      <w:bookmarkEnd w:id="2816"/>
      <w:r>
        <w:fldChar w:fldCharType="begin"/>
      </w:r>
      <w:r>
        <w:instrText xml:space="preserve"> XE "lvl1pPr (List Level 1 Text Style)" </w:instrText>
      </w:r>
      <w:r>
        <w:fldChar w:fldCharType="end"/>
      </w:r>
    </w:p>
    <w:p w:rsidR="00024C0A" w:rsidRDefault="00694C0F">
      <w:pPr>
        <w:pStyle w:val="Definition-Field"/>
      </w:pPr>
      <w:r>
        <w:t xml:space="preserve">a.   </w:t>
      </w:r>
      <w:r>
        <w:rPr>
          <w:i/>
        </w:rPr>
        <w:t xml:space="preserve">The standard implies a default value of 347663 for the marL attribute of the pPr, lvl1pPr, lvl2pPr, lvl3pPr, lvl4pPr, lvl5pPr, lvl6pPr, </w:t>
      </w:r>
      <w:r>
        <w:rPr>
          <w:i/>
        </w:rPr>
        <w:t>lvl7pPr, lvl8pPr, lvl9pPr and defpPr elements.</w:t>
      </w:r>
    </w:p>
    <w:p w:rsidR="00024C0A" w:rsidRDefault="00694C0F">
      <w:pPr>
        <w:pStyle w:val="Definition-Field2"/>
      </w:pPr>
      <w:r>
        <w:t>Office uses a default value of 0 for the marL attribute.</w:t>
      </w:r>
    </w:p>
    <w:p w:rsidR="00024C0A" w:rsidRDefault="00694C0F">
      <w:pPr>
        <w:pStyle w:val="Definition-Field"/>
      </w:pPr>
      <w:r>
        <w:t xml:space="preserve">b.   </w:t>
      </w:r>
      <w:r>
        <w:rPr>
          <w:i/>
        </w:rPr>
        <w:t>The standard states that the lvl attribute of the pPr, lvl1pPr, lvl2pPr, lvl3pPr, lvl4pPr, lvl5pPr, lvl6pPr, lvl7pPr, lvl8pPr, lvl9pPr and defpPr e</w:t>
      </w:r>
      <w:r>
        <w:rPr>
          <w:i/>
        </w:rPr>
        <w:t>lements specifies the text property level that the corresponding paragraph will follow.</w:t>
      </w:r>
    </w:p>
    <w:p w:rsidR="00024C0A" w:rsidRDefault="00694C0F">
      <w:pPr>
        <w:pStyle w:val="Definition-Field2"/>
      </w:pPr>
      <w:r>
        <w:t>Office does not use the lvl attribute if it is specified within the lvl1pPr, lvl2pPr, lvl3pPr, lvl4pPr, lvl5pPr, lvl6pPr, lvl7pPr, lvl8pPr, or lvl9pPr elements.</w:t>
      </w:r>
    </w:p>
    <w:p w:rsidR="00024C0A" w:rsidRDefault="00694C0F">
      <w:pPr>
        <w:pStyle w:val="Definition-Field"/>
      </w:pPr>
      <w:r>
        <w:lastRenderedPageBreak/>
        <w:t xml:space="preserve">c.   </w:t>
      </w:r>
      <w:r>
        <w:rPr>
          <w:i/>
        </w:rPr>
        <w:t>Th</w:t>
      </w:r>
      <w:r>
        <w:rPr>
          <w:i/>
        </w:rPr>
        <w:t>e standard describes the use of a hyphen when a word is broken across multiple lines for the eaLnBrk attribute of the pPr, lvl1pPr, lvl2pPr, lvl3pPr, lvl4pPr, lvl5pPr, lvl6pPr, lvl7pPr, lvl8pPr, lvl9pPr and defpPr elements.</w:t>
      </w:r>
    </w:p>
    <w:p w:rsidR="00024C0A" w:rsidRDefault="00694C0F">
      <w:r>
        <w:t xml:space="preserve">In Office, the eaLnBrk attribute specifies whether East Asian typography and line-breaking rules shall be applied to text in a paragraph to determine which characters may begin and end each line when lines get too long.  To determine whether an East Asian </w:t>
      </w:r>
      <w:r>
        <w:t xml:space="preserve">word can be broken, the presentation application would use the kinsoku settings. If this attribute is omitted, then a value of </w:t>
      </w:r>
      <w:r>
        <w:rPr>
          <w:b/>
        </w:rPr>
        <w:t>1</w:t>
      </w:r>
      <w:r>
        <w:t>, or true, is implied.</w:t>
      </w:r>
    </w:p>
    <w:p w:rsidR="00024C0A" w:rsidRDefault="00694C0F">
      <w:pPr>
        <w:pStyle w:val="Definition-Field"/>
      </w:pPr>
      <w:r>
        <w:t xml:space="preserve">d.   </w:t>
      </w:r>
      <w:r>
        <w:rPr>
          <w:i/>
        </w:rPr>
        <w:t>The standard implies a default value of 0 or false for the hangingPunct attribute of the pPr, lvl1pP</w:t>
      </w:r>
      <w:r>
        <w:rPr>
          <w:i/>
        </w:rPr>
        <w:t>r, lvl2pPr, lvl3pPr, lvl4pPr, lvl5pPr, lvl6pPr, lvl7pPr, lvl8pPr, lvl9pPr and defpPr elements.</w:t>
      </w:r>
    </w:p>
    <w:p w:rsidR="00024C0A" w:rsidRDefault="00694C0F">
      <w:pPr>
        <w:pStyle w:val="Definition-Field2"/>
      </w:pPr>
      <w:r>
        <w:t>Office uses a default value of 1, or true, for the hangingPunct attribute.</w:t>
      </w:r>
    </w:p>
    <w:p w:rsidR="00024C0A" w:rsidRDefault="00694C0F">
      <w:pPr>
        <w:pStyle w:val="Definition-Field"/>
      </w:pPr>
      <w:r>
        <w:t xml:space="preserve">e.   </w:t>
      </w:r>
      <w:r>
        <w:rPr>
          <w:i/>
        </w:rPr>
        <w:t>The standard specifies no default value for the defTabSz attribute of the pPr, lv</w:t>
      </w:r>
      <w:r>
        <w:rPr>
          <w:i/>
        </w:rPr>
        <w:t>l1pPr, lvl2pPr, lvl3pPr, lvl4pPr, lvl5pPr, lv61pPr, lvl7pPr, lvl8pPr, lvl9pPr and defpPr elements.</w:t>
      </w:r>
    </w:p>
    <w:p w:rsidR="00024C0A" w:rsidRDefault="00694C0F">
      <w:pPr>
        <w:pStyle w:val="Definition-Field2"/>
      </w:pPr>
      <w:r>
        <w:t>Office uses a default value of 914400 EMUs.</w:t>
      </w:r>
    </w:p>
    <w:p w:rsidR="00024C0A" w:rsidRDefault="00694C0F">
      <w:pPr>
        <w:pStyle w:val="Definition-Field"/>
      </w:pPr>
      <w:r>
        <w:t xml:space="preserve">f.   </w:t>
      </w:r>
      <w:r>
        <w:rPr>
          <w:i/>
        </w:rPr>
        <w:t>The standard implies a default value of -342900 for the indent attribute of the pPr, lvl1pPr, lvl2pPr, lvl3p</w:t>
      </w:r>
      <w:r>
        <w:rPr>
          <w:i/>
        </w:rPr>
        <w:t>Pr, lvl4pPr, lvl5pPr, lvl6pPr, lvl7pPr, lvl8pPr, lvl9pPr and defpPr elements.</w:t>
      </w:r>
    </w:p>
    <w:p w:rsidR="00024C0A" w:rsidRDefault="00694C0F">
      <w:pPr>
        <w:pStyle w:val="Definition-Field2"/>
      </w:pPr>
      <w:r>
        <w:t>Office uses a default value of 0 for the indent attribute.</w:t>
      </w:r>
    </w:p>
    <w:p w:rsidR="00024C0A" w:rsidRDefault="00694C0F">
      <w:pPr>
        <w:pStyle w:val="Definition-Field"/>
      </w:pPr>
      <w:r>
        <w:t xml:space="preserve">g.   </w:t>
      </w:r>
      <w:r>
        <w:rPr>
          <w:i/>
        </w:rPr>
        <w:t>The standard implies a default value of 1 or true for the latinLnBrk attribute of the pPr, lvl1pPr, lvl2pPr, lvl3p</w:t>
      </w:r>
      <w:r>
        <w:rPr>
          <w:i/>
        </w:rPr>
        <w:t>Pr, lvl4pPr, lvl5pPr, lvl6pPr, lvl7pPr, lvl8pPr, lvl9pPr and defpPr elements.</w:t>
      </w:r>
    </w:p>
    <w:p w:rsidR="00024C0A" w:rsidRDefault="00694C0F">
      <w:pPr>
        <w:pStyle w:val="Definition-Field2"/>
      </w:pPr>
      <w:r>
        <w:t>Office uses a default value of 0, or false, for the latinLnBrk attribute.</w:t>
      </w:r>
    </w:p>
    <w:p w:rsidR="00024C0A" w:rsidRDefault="00694C0F">
      <w:pPr>
        <w:pStyle w:val="Heading3"/>
      </w:pPr>
      <w:bookmarkStart w:id="2817" w:name="section_b38501622477401f850f1df6753a0f6a"/>
      <w:bookmarkStart w:id="2818" w:name="_Toc12261469"/>
      <w:r>
        <w:t>Part 1 Section 21.1.2.4.14, lvl2pPr (List Level 2 Text Style)</w:t>
      </w:r>
      <w:bookmarkEnd w:id="2817"/>
      <w:bookmarkEnd w:id="2818"/>
      <w:r>
        <w:fldChar w:fldCharType="begin"/>
      </w:r>
      <w:r>
        <w:instrText xml:space="preserve"> XE "lvl2pPr (List Level 2 Text Style)"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024C0A" w:rsidRDefault="00694C0F">
      <w:pPr>
        <w:pStyle w:val="Heading3"/>
      </w:pPr>
      <w:bookmarkStart w:id="2819" w:name="section_d4a8333066814a558325a854e9678e28"/>
      <w:bookmarkStart w:id="2820" w:name="_Toc12261470"/>
      <w:r>
        <w:t>Part 1 Section 21.1.2.4.15, lvl3pPr (List Level 3 Text Style)</w:t>
      </w:r>
      <w:bookmarkEnd w:id="2819"/>
      <w:bookmarkEnd w:id="2820"/>
      <w:r>
        <w:fldChar w:fldCharType="begin"/>
      </w:r>
      <w:r>
        <w:instrText xml:space="preserve"> XE "lvl3pPr (</w:instrText>
      </w:r>
      <w:r>
        <w:instrText xml:space="preserve">List Level 3 Text Style)"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024C0A" w:rsidRDefault="00694C0F">
      <w:pPr>
        <w:pStyle w:val="Heading3"/>
      </w:pPr>
      <w:bookmarkStart w:id="2821" w:name="section_142246b5277945a4b8a49a03defc916a"/>
      <w:bookmarkStart w:id="2822" w:name="_Toc12261471"/>
      <w:r>
        <w:t>Part 1 Section 21.1.2.4.16, lvl4pPr (List Leve</w:t>
      </w:r>
      <w:r>
        <w:t>l 4 Text Style)</w:t>
      </w:r>
      <w:bookmarkEnd w:id="2821"/>
      <w:bookmarkEnd w:id="2822"/>
      <w:r>
        <w:fldChar w:fldCharType="begin"/>
      </w:r>
      <w:r>
        <w:instrText xml:space="preserve"> XE "lvl4pPr (List Level 4 Text Style)"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024C0A" w:rsidRDefault="00694C0F">
      <w:pPr>
        <w:pStyle w:val="Heading3"/>
      </w:pPr>
      <w:bookmarkStart w:id="2823" w:name="section_e5ca15241c834a9689ad5c13442ac84e"/>
      <w:bookmarkStart w:id="2824" w:name="_Toc12261472"/>
      <w:r>
        <w:t>Part 1 Section 21</w:t>
      </w:r>
      <w:r>
        <w:t>.1.2.4.17, lvl5pPr (List Level 5 Text Style)</w:t>
      </w:r>
      <w:bookmarkEnd w:id="2823"/>
      <w:bookmarkEnd w:id="2824"/>
      <w:r>
        <w:fldChar w:fldCharType="begin"/>
      </w:r>
      <w:r>
        <w:instrText xml:space="preserve"> XE "lvl5pPr (List Level 5 Text Style)"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9b34280e538e48118af9761d34f88f20">
        <w:r>
          <w:rPr>
            <w:rStyle w:val="Hyperlink"/>
          </w:rPr>
          <w:t>lvl1pPr, §21.1.2</w:t>
        </w:r>
        <w:r>
          <w:rPr>
            <w:rStyle w:val="Hyperlink"/>
          </w:rPr>
          <w:t>.4.13(a-g)</w:t>
        </w:r>
      </w:hyperlink>
      <w:r>
        <w:rPr>
          <w:i/>
        </w:rPr>
        <w:t>.</w:t>
      </w:r>
    </w:p>
    <w:p w:rsidR="00024C0A" w:rsidRDefault="00694C0F">
      <w:pPr>
        <w:pStyle w:val="Heading3"/>
      </w:pPr>
      <w:bookmarkStart w:id="2825" w:name="section_228bd71e50624343972ec687ef5c6c49"/>
      <w:bookmarkStart w:id="2826" w:name="_Toc12261473"/>
      <w:r>
        <w:t>Part 1 Section 21.1.2.4.18, lvl6pPr (List Level 6 Text Style)</w:t>
      </w:r>
      <w:bookmarkEnd w:id="2825"/>
      <w:bookmarkEnd w:id="2826"/>
      <w:r>
        <w:fldChar w:fldCharType="begin"/>
      </w:r>
      <w:r>
        <w:instrText xml:space="preserve"> XE "lvl6pPr (List Level 6 Text Style)"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024C0A" w:rsidRDefault="00694C0F">
      <w:pPr>
        <w:pStyle w:val="Heading3"/>
      </w:pPr>
      <w:bookmarkStart w:id="2827" w:name="section_c33ec6fdf6bf4c52bfcbf79c46f75940"/>
      <w:bookmarkStart w:id="2828" w:name="_Toc12261474"/>
      <w:r>
        <w:lastRenderedPageBreak/>
        <w:t>Part 1 Section 21.1.2.4.19, lvl7pPr (List Level 7 Text Style)</w:t>
      </w:r>
      <w:bookmarkEnd w:id="2827"/>
      <w:bookmarkEnd w:id="2828"/>
      <w:r>
        <w:fldChar w:fldCharType="begin"/>
      </w:r>
      <w:r>
        <w:instrText xml:space="preserve"> XE "lvl7pPr (List Level 7 Text Style)"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024C0A" w:rsidRDefault="00694C0F">
      <w:pPr>
        <w:pStyle w:val="Heading3"/>
      </w:pPr>
      <w:bookmarkStart w:id="2829" w:name="section_fad8b55fc4384af283ae8d18980a3409"/>
      <w:bookmarkStart w:id="2830" w:name="_Toc12261475"/>
      <w:r>
        <w:t>Part 1 Section 21.1.2.4.20, lvl8pPr (List Level 8 Text Style)</w:t>
      </w:r>
      <w:bookmarkEnd w:id="2829"/>
      <w:bookmarkEnd w:id="2830"/>
      <w:r>
        <w:fldChar w:fldCharType="begin"/>
      </w:r>
      <w:r>
        <w:instrText xml:space="preserve"> XE "lvl8pPr (List Level 8 Text Style)" </w:instrText>
      </w:r>
      <w:r>
        <w:fldChar w:fldCharType="end"/>
      </w:r>
    </w:p>
    <w:p w:rsidR="00024C0A" w:rsidRDefault="00694C0F">
      <w:pPr>
        <w:pStyle w:val="Definition-Field2"/>
      </w:pPr>
      <w:r>
        <w:rPr>
          <w:i/>
        </w:rPr>
        <w:t>For additional notes that apply to this portion of the standard</w:t>
      </w:r>
      <w:r>
        <w:rPr>
          <w:i/>
        </w:rPr>
        <w:t xml:space="preserve">, please see the notes for </w:t>
      </w:r>
      <w:hyperlink w:anchor="Section_9b34280e538e48118af9761d34f88f20">
        <w:r>
          <w:rPr>
            <w:rStyle w:val="Hyperlink"/>
          </w:rPr>
          <w:t>lvl1pPr, §21.1.2.4.13(a-g)</w:t>
        </w:r>
      </w:hyperlink>
      <w:r>
        <w:rPr>
          <w:i/>
        </w:rPr>
        <w:t>.</w:t>
      </w:r>
    </w:p>
    <w:p w:rsidR="00024C0A" w:rsidRDefault="00694C0F">
      <w:pPr>
        <w:pStyle w:val="Heading3"/>
      </w:pPr>
      <w:bookmarkStart w:id="2831" w:name="section_07edd2dd19594af5b4464964a45d4168"/>
      <w:bookmarkStart w:id="2832" w:name="_Toc12261476"/>
      <w:r>
        <w:t>Part 1 Section 21.1.2.4.21, lvl9pPr (List Level 9 Text Style)</w:t>
      </w:r>
      <w:bookmarkEnd w:id="2831"/>
      <w:bookmarkEnd w:id="2832"/>
      <w:r>
        <w:fldChar w:fldCharType="begin"/>
      </w:r>
      <w:r>
        <w:instrText xml:space="preserve"> XE "lvl9pPr (List Level 9 Text Style)"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024C0A" w:rsidRDefault="00694C0F">
      <w:pPr>
        <w:pStyle w:val="Heading3"/>
      </w:pPr>
      <w:bookmarkStart w:id="2833" w:name="section_04b8093a565e4c3c93f6496fd8601311"/>
      <w:bookmarkStart w:id="2834" w:name="_Toc12261477"/>
      <w:r>
        <w:t>Part 1 Section 21.1.3.1, cell3D (Cell 3-D)</w:t>
      </w:r>
      <w:bookmarkEnd w:id="2833"/>
      <w:bookmarkEnd w:id="2834"/>
      <w:r>
        <w:fldChar w:fldCharType="begin"/>
      </w:r>
      <w:r>
        <w:instrText xml:space="preserve"> XE "cell3D (Cell 3-D)" </w:instrText>
      </w:r>
      <w:r>
        <w:fldChar w:fldCharType="end"/>
      </w:r>
    </w:p>
    <w:p w:rsidR="00024C0A" w:rsidRDefault="00694C0F">
      <w:pPr>
        <w:pStyle w:val="Definition-Field"/>
      </w:pPr>
      <w:r>
        <w:t xml:space="preserve">a.   </w:t>
      </w:r>
      <w:r>
        <w:rPr>
          <w:i/>
        </w:rPr>
        <w:t>T</w:t>
      </w:r>
      <w:r>
        <w:rPr>
          <w:i/>
        </w:rPr>
        <w:t>he standard states that the default value of the prstMaterial attribute is plastic.</w:t>
      </w:r>
    </w:p>
    <w:p w:rsidR="00024C0A" w:rsidRDefault="00694C0F">
      <w:pPr>
        <w:pStyle w:val="Definition-Field2"/>
      </w:pPr>
      <w:r>
        <w:t>Office uses a default value of dkEdge for this attribute.</w:t>
      </w:r>
    </w:p>
    <w:p w:rsidR="00024C0A" w:rsidRDefault="00694C0F">
      <w:pPr>
        <w:pStyle w:val="Definition-Field"/>
      </w:pPr>
      <w:r>
        <w:t xml:space="preserve">b.   </w:t>
      </w:r>
      <w:r>
        <w:rPr>
          <w:i/>
        </w:rPr>
        <w:t>The standard does not specify the default value for the rig attribute if no lightRig element is specified.</w:t>
      </w:r>
    </w:p>
    <w:p w:rsidR="00024C0A" w:rsidRDefault="00694C0F">
      <w:pPr>
        <w:pStyle w:val="Definition-Field2"/>
      </w:pPr>
      <w:r>
        <w:t>Of</w:t>
      </w:r>
      <w:r>
        <w:t>fice uses "flood" for the rig attribute of lightRig in cell3D if no lightRig is specified.</w:t>
      </w:r>
    </w:p>
    <w:p w:rsidR="00024C0A" w:rsidRDefault="00694C0F">
      <w:pPr>
        <w:pStyle w:val="Heading3"/>
      </w:pPr>
      <w:bookmarkStart w:id="2835" w:name="section_8de3b402ef354ebaac7fcae720425b2a"/>
      <w:bookmarkStart w:id="2836" w:name="_Toc12261478"/>
      <w:r>
        <w:t>Part 1 Section 21.1.3.2, gridCol (Table Grid Column)</w:t>
      </w:r>
      <w:bookmarkEnd w:id="2835"/>
      <w:bookmarkEnd w:id="2836"/>
      <w:r>
        <w:fldChar w:fldCharType="begin"/>
      </w:r>
      <w:r>
        <w:instrText xml:space="preserve"> XE "gridCol (Table Grid Column)" </w:instrText>
      </w:r>
      <w:r>
        <w:fldChar w:fldCharType="end"/>
      </w:r>
    </w:p>
    <w:p w:rsidR="00024C0A" w:rsidRDefault="00694C0F">
      <w:pPr>
        <w:pStyle w:val="Definition-Field"/>
      </w:pPr>
      <w:r>
        <w:t xml:space="preserve">a.   </w:t>
      </w:r>
      <w:r>
        <w:rPr>
          <w:i/>
        </w:rPr>
        <w:t>The standard specifies that the w attribute defines the width of the co</w:t>
      </w:r>
      <w:r>
        <w:rPr>
          <w:i/>
        </w:rPr>
        <w:t>lumn in EMUs.</w:t>
      </w:r>
    </w:p>
    <w:p w:rsidR="00024C0A" w:rsidRDefault="00694C0F">
      <w:pPr>
        <w:pStyle w:val="Definition-Field2"/>
      </w:pPr>
      <w:r>
        <w:t>In Office, the width of the column is equal to or greater than the sum of the marL and marR attributes of the tcPr element plus two points for each cell in the column. One point is equal to 12700 EMUs.</w:t>
      </w:r>
    </w:p>
    <w:p w:rsidR="00024C0A" w:rsidRDefault="00694C0F">
      <w:pPr>
        <w:pStyle w:val="Heading3"/>
      </w:pPr>
      <w:bookmarkStart w:id="2837" w:name="section_083e148ba921420fa6d2d6d19f38e4bb"/>
      <w:bookmarkStart w:id="2838" w:name="_Toc12261479"/>
      <w:r>
        <w:t>Part 1 Section 21.1.3.5, lnB (Bottom Bor</w:t>
      </w:r>
      <w:r>
        <w:t>der Line Properties)</w:t>
      </w:r>
      <w:bookmarkEnd w:id="2837"/>
      <w:bookmarkEnd w:id="2838"/>
      <w:r>
        <w:fldChar w:fldCharType="begin"/>
      </w:r>
      <w:r>
        <w:instrText xml:space="preserve"> XE "lnB (Bottom Border Line Properties)"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024C0A" w:rsidRDefault="00694C0F">
      <w:pPr>
        <w:pStyle w:val="Heading3"/>
      </w:pPr>
      <w:bookmarkStart w:id="2839" w:name="section_82c8360cfceb4649bc5d06b6bd03628e"/>
      <w:bookmarkStart w:id="2840" w:name="_Toc12261480"/>
      <w:r>
        <w:t>Part 1 Section</w:t>
      </w:r>
      <w:r>
        <w:t xml:space="preserve"> 21.1.3.6, lnBlToTr (Bottom-Left to Top-Right Border Line Properties)</w:t>
      </w:r>
      <w:bookmarkEnd w:id="2839"/>
      <w:bookmarkEnd w:id="2840"/>
      <w:r>
        <w:fldChar w:fldCharType="begin"/>
      </w:r>
      <w:r>
        <w:instrText xml:space="preserve"> XE "lnBlToTr (Bottom-Left to Top-Right Border Line Properties)"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024C0A" w:rsidRDefault="00694C0F">
      <w:pPr>
        <w:pStyle w:val="Heading3"/>
      </w:pPr>
      <w:bookmarkStart w:id="2841" w:name="section_80b6e2e172d245cbba1619312feb1a61"/>
      <w:bookmarkStart w:id="2842" w:name="_Toc12261481"/>
      <w:r>
        <w:t>Part 1 Section 21.1.3.7, lnL (Left Border Line Properties)</w:t>
      </w:r>
      <w:bookmarkEnd w:id="2841"/>
      <w:bookmarkEnd w:id="2842"/>
      <w:r>
        <w:fldChar w:fldCharType="begin"/>
      </w:r>
      <w:r>
        <w:instrText xml:space="preserve"> XE "lnL (Left Border Line Properties)"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024C0A" w:rsidRDefault="00694C0F">
      <w:pPr>
        <w:pStyle w:val="Heading3"/>
      </w:pPr>
      <w:bookmarkStart w:id="2843" w:name="section_fce0907fd2fe4f4caad2511fbf56d166"/>
      <w:bookmarkStart w:id="2844" w:name="_Toc12261482"/>
      <w:r>
        <w:t>Part 1 Section 21.1.3.8, lnR (Right Border Line Properties)</w:t>
      </w:r>
      <w:bookmarkEnd w:id="2843"/>
      <w:bookmarkEnd w:id="2844"/>
      <w:r>
        <w:fldChar w:fldCharType="begin"/>
      </w:r>
      <w:r>
        <w:instrText xml:space="preserve"> XE "lnR (Right Border Line Properties)" </w:instrText>
      </w:r>
      <w:r>
        <w:fldChar w:fldCharType="end"/>
      </w:r>
    </w:p>
    <w:p w:rsidR="00024C0A" w:rsidRDefault="00694C0F">
      <w:pPr>
        <w:pStyle w:val="Definition-Field2"/>
      </w:pPr>
      <w:r>
        <w:rPr>
          <w:i/>
        </w:rPr>
        <w:t>For additional notes that apply to this portion of the standard, please s</w:t>
      </w:r>
      <w:r>
        <w:rPr>
          <w:i/>
        </w:rPr>
        <w:t xml:space="preserve">ee the notes for </w:t>
      </w:r>
      <w:hyperlink w:anchor="Section_5564035f88ff4ab8bbfbd2998a83324d">
        <w:r>
          <w:rPr>
            <w:rStyle w:val="Hyperlink"/>
          </w:rPr>
          <w:t>ln, §20.1.2.2.24(a, b)</w:t>
        </w:r>
      </w:hyperlink>
      <w:r>
        <w:rPr>
          <w:i/>
        </w:rPr>
        <w:t>.</w:t>
      </w:r>
    </w:p>
    <w:p w:rsidR="00024C0A" w:rsidRDefault="00694C0F">
      <w:pPr>
        <w:pStyle w:val="Heading3"/>
      </w:pPr>
      <w:bookmarkStart w:id="2845" w:name="section_90f6fa1482574c82ad53be75e8dcbb8f"/>
      <w:bookmarkStart w:id="2846" w:name="_Toc12261483"/>
      <w:r>
        <w:lastRenderedPageBreak/>
        <w:t>Part 1 Section 21.1.3.9, lnT (Top Border Line Properties)</w:t>
      </w:r>
      <w:bookmarkEnd w:id="2845"/>
      <w:bookmarkEnd w:id="2846"/>
      <w:r>
        <w:fldChar w:fldCharType="begin"/>
      </w:r>
      <w:r>
        <w:instrText xml:space="preserve"> XE "lnT (Top Border Line Properties)" </w:instrText>
      </w:r>
      <w:r>
        <w:fldChar w:fldCharType="end"/>
      </w:r>
    </w:p>
    <w:p w:rsidR="00024C0A" w:rsidRDefault="00694C0F">
      <w:pPr>
        <w:pStyle w:val="Definition-Field2"/>
      </w:pPr>
      <w:r>
        <w:rPr>
          <w:i/>
        </w:rPr>
        <w:t>For additional notes that apply to this portion of th</w:t>
      </w:r>
      <w:r>
        <w:rPr>
          <w:i/>
        </w:rPr>
        <w:t xml:space="preserve">e standard, please see the notes for </w:t>
      </w:r>
      <w:hyperlink w:anchor="Section_5564035f88ff4ab8bbfbd2998a83324d">
        <w:r>
          <w:rPr>
            <w:rStyle w:val="Hyperlink"/>
          </w:rPr>
          <w:t>ln, §20.1.2.2.24(a, b)</w:t>
        </w:r>
      </w:hyperlink>
      <w:r>
        <w:rPr>
          <w:i/>
        </w:rPr>
        <w:t>.</w:t>
      </w:r>
    </w:p>
    <w:p w:rsidR="00024C0A" w:rsidRDefault="00694C0F">
      <w:pPr>
        <w:pStyle w:val="Heading3"/>
      </w:pPr>
      <w:bookmarkStart w:id="2847" w:name="section_7dd0124fcd92478a95c79c2307151088"/>
      <w:bookmarkStart w:id="2848" w:name="_Toc12261484"/>
      <w:r>
        <w:t>Part 1 Section 21.1.3.10, lnTlToBr (Top-Left to Bottom-Right Border Line Properties)</w:t>
      </w:r>
      <w:bookmarkEnd w:id="2847"/>
      <w:bookmarkEnd w:id="2848"/>
      <w:r>
        <w:fldChar w:fldCharType="begin"/>
      </w:r>
      <w:r>
        <w:instrText xml:space="preserve"> XE "lnTlToBr (Top-Left to Bottom-Right Border L</w:instrText>
      </w:r>
      <w:r>
        <w:instrText xml:space="preserve">ine Properties)"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024C0A" w:rsidRDefault="00694C0F">
      <w:pPr>
        <w:pStyle w:val="Heading3"/>
      </w:pPr>
      <w:bookmarkStart w:id="2849" w:name="section_e12a68d77ac847dead30f6ee7a5d1c8e"/>
      <w:bookmarkStart w:id="2850" w:name="_Toc12261485"/>
      <w:r>
        <w:t>Part 1 Section 21.1.3.12, tableStyleId (Table Style ID)</w:t>
      </w:r>
      <w:bookmarkEnd w:id="2849"/>
      <w:bookmarkEnd w:id="2850"/>
      <w:r>
        <w:fldChar w:fldCharType="begin"/>
      </w:r>
      <w:r>
        <w:instrText xml:space="preserve"> XE </w:instrText>
      </w:r>
      <w:r>
        <w:instrText xml:space="preserve">"tableStyleId (Table Style ID)" </w:instrText>
      </w:r>
      <w:r>
        <w:fldChar w:fldCharType="end"/>
      </w:r>
    </w:p>
    <w:p w:rsidR="00024C0A" w:rsidRDefault="00694C0F">
      <w:pPr>
        <w:pStyle w:val="Definition-Field"/>
      </w:pPr>
      <w:r>
        <w:t xml:space="preserve">a.   </w:t>
      </w:r>
      <w:r>
        <w:rPr>
          <w:i/>
        </w:rPr>
        <w:t>The standard does not state how to interpret an invalid table style defined by the tableStyleId element.</w:t>
      </w:r>
    </w:p>
    <w:p w:rsidR="00024C0A" w:rsidRDefault="00694C0F">
      <w:pPr>
        <w:pStyle w:val="Definition-Field2"/>
      </w:pPr>
      <w:r>
        <w:t>Office does not apply a style to the table if this element does not point to a valid built-in or user-specified</w:t>
      </w:r>
      <w:r>
        <w:t xml:space="preserve"> table style.</w:t>
      </w:r>
    </w:p>
    <w:p w:rsidR="00024C0A" w:rsidRDefault="00694C0F">
      <w:pPr>
        <w:pStyle w:val="Heading3"/>
      </w:pPr>
      <w:bookmarkStart w:id="2851" w:name="section_87e635df37bf42ef87b6fdd8abac88e1"/>
      <w:bookmarkStart w:id="2852" w:name="_Toc12261486"/>
      <w:r>
        <w:t>Part 1 Section 21.1.3.13, tbl (Table)</w:t>
      </w:r>
      <w:bookmarkEnd w:id="2851"/>
      <w:bookmarkEnd w:id="2852"/>
      <w:r>
        <w:fldChar w:fldCharType="begin"/>
      </w:r>
      <w:r>
        <w:instrText xml:space="preserve"> XE "tbl (Table)" </w:instrText>
      </w:r>
      <w:r>
        <w:fldChar w:fldCharType="end"/>
      </w:r>
    </w:p>
    <w:p w:rsidR="00024C0A" w:rsidRDefault="00694C0F">
      <w:pPr>
        <w:pStyle w:val="Definition-Field"/>
      </w:pPr>
      <w:r>
        <w:t xml:space="preserve">a.   </w:t>
      </w:r>
      <w:r>
        <w:rPr>
          <w:i/>
        </w:rPr>
        <w:t>The standard specifies that the number of rows is between 0 and unbounded.</w:t>
      </w:r>
    </w:p>
    <w:p w:rsidR="00024C0A" w:rsidRDefault="00694C0F">
      <w:pPr>
        <w:pStyle w:val="Definition-Field2"/>
      </w:pPr>
      <w:r>
        <w:t>In Office, the number of rows is greater than 0 and less than or equal to 1000.</w:t>
      </w:r>
    </w:p>
    <w:p w:rsidR="00024C0A" w:rsidRDefault="00694C0F">
      <w:pPr>
        <w:pStyle w:val="Definition-Field"/>
      </w:pPr>
      <w:r>
        <w:t xml:space="preserve">b.   </w:t>
      </w:r>
      <w:r>
        <w:rPr>
          <w:i/>
        </w:rPr>
        <w:t xml:space="preserve">The standard </w:t>
      </w:r>
      <w:r>
        <w:rPr>
          <w:i/>
        </w:rPr>
        <w:t>specifies that the number of columns, as defined in child element tblGrid, is between 0 and unbounded.</w:t>
      </w:r>
    </w:p>
    <w:p w:rsidR="00024C0A" w:rsidRDefault="00694C0F">
      <w:pPr>
        <w:pStyle w:val="Definition-Field2"/>
      </w:pPr>
      <w:r>
        <w:t>In Office, the number of columns is greater than 0 and less than or equal to 1000.</w:t>
      </w:r>
    </w:p>
    <w:p w:rsidR="00024C0A" w:rsidRDefault="00694C0F">
      <w:pPr>
        <w:pStyle w:val="Definition-Field"/>
      </w:pPr>
      <w:r>
        <w:t xml:space="preserve">c.   </w:t>
      </w:r>
      <w:r>
        <w:rPr>
          <w:i/>
        </w:rPr>
        <w:t>The standard does not indicate that the number of cells in each r</w:t>
      </w:r>
      <w:r>
        <w:rPr>
          <w:i/>
        </w:rPr>
        <w:t>ow is dependent on the number of columns.</w:t>
      </w:r>
    </w:p>
    <w:p w:rsidR="00024C0A" w:rsidRDefault="00694C0F">
      <w:pPr>
        <w:pStyle w:val="Definition-Field2"/>
      </w:pPr>
      <w:r>
        <w:t>In Office, the number of cells in each table row is equal to the number of columns defined in child element tblGrid.</w:t>
      </w:r>
    </w:p>
    <w:p w:rsidR="00024C0A" w:rsidRDefault="00694C0F">
      <w:pPr>
        <w:pStyle w:val="Definition-Field"/>
      </w:pPr>
      <w:r>
        <w:t xml:space="preserve">d.   </w:t>
      </w:r>
      <w:r>
        <w:rPr>
          <w:i/>
        </w:rPr>
        <w:t>The standard does not describe how the tbl element merges cells horizontally and vertically.</w:t>
      </w:r>
    </w:p>
    <w:p w:rsidR="00024C0A" w:rsidRDefault="00694C0F">
      <w:r>
        <w:t>A Table merge describes the merging relationships between conjoint cells in a table. The gridSpan and rowSpan attributes of the tc elements ("</w:t>
      </w:r>
      <w:hyperlink r:id="rId202">
        <w:r>
          <w:rPr>
            <w:rStyle w:val="Hyperlink"/>
          </w:rPr>
          <w:t>[ISO/IEC-29500-1]</w:t>
        </w:r>
      </w:hyperlink>
      <w:r>
        <w:t xml:space="preserve"> §21.1.3.16; tc (Table Cell)")</w:t>
      </w:r>
      <w:r>
        <w:t xml:space="preserve"> are used to define a table merge. The gridSpan and rowSpan of the top-left cell of a table merge decide the width and height of the table merge. For example, if the following cell is the top-left cell of a table merge, its merge size is width = 3 columns,</w:t>
      </w:r>
      <w:r>
        <w:t xml:space="preserve"> and height = 5 rows; or when written out, &lt;a:tc gridSpan="3" rowSpan="5"&gt;.</w:t>
      </w:r>
    </w:p>
    <w:p w:rsidR="00024C0A" w:rsidRDefault="00694C0F">
      <w:r>
        <w:t xml:space="preserve">1). All cells in the first row in this table merge must have the same rowSpan as the first one (5 in the preceding example). And their corresponding gridSpan, except the first one </w:t>
      </w:r>
      <w:r>
        <w:t>must be 1.</w:t>
      </w:r>
    </w:p>
    <w:p w:rsidR="00024C0A" w:rsidRDefault="00694C0F">
      <w:r>
        <w:t>2). All cells in the first column in this table merge must have the same gridSpan as the first one (3 in the preceding example). And their corresponding rowSpan, except the first one must be equal to 1.</w:t>
      </w:r>
    </w:p>
    <w:p w:rsidR="00024C0A" w:rsidRDefault="00694C0F">
      <w:r>
        <w:t>3). All other cells in this table merge mu</w:t>
      </w:r>
      <w:r>
        <w:t>st have their rowSpan and gridSpan being equal to 1.</w:t>
      </w:r>
    </w:p>
    <w:p w:rsidR="00024C0A" w:rsidRDefault="00694C0F">
      <w:r>
        <w:t>4). Two merges shall not overlap.</w:t>
      </w:r>
    </w:p>
    <w:p w:rsidR="00024C0A" w:rsidRDefault="00694C0F">
      <w:pPr>
        <w:pStyle w:val="Definition-Field"/>
      </w:pPr>
      <w:r>
        <w:t xml:space="preserve">e.   </w:t>
      </w:r>
      <w:r>
        <w:rPr>
          <w:i/>
        </w:rPr>
        <w:t>The standard allows the neighboring interior borders of two neighboring table merges to have different line properties.</w:t>
      </w:r>
    </w:p>
    <w:p w:rsidR="00024C0A" w:rsidRDefault="00694C0F">
      <w:pPr>
        <w:pStyle w:val="Definition-Field2"/>
      </w:pPr>
      <w:r>
        <w:lastRenderedPageBreak/>
        <w:t>Office requires the neighboring interior bor</w:t>
      </w:r>
      <w:r>
        <w:t>ders of two neighboring table merges to have matching border line properties as defined by the lnL, lnR, lnT and lnB elements.</w:t>
      </w:r>
    </w:p>
    <w:p w:rsidR="00024C0A" w:rsidRDefault="00694C0F">
      <w:pPr>
        <w:pStyle w:val="Definition-Field"/>
      </w:pPr>
      <w:r>
        <w:t xml:space="preserve">f.   </w:t>
      </w:r>
      <w:r>
        <w:rPr>
          <w:i/>
        </w:rPr>
        <w:t>The standard does not put any restriction on the usage of the lnL, lnR, lnT and lnB elements.</w:t>
      </w:r>
    </w:p>
    <w:p w:rsidR="00024C0A" w:rsidRDefault="00694C0F">
      <w:pPr>
        <w:pStyle w:val="Definition-Field2"/>
      </w:pPr>
      <w:r>
        <w:t>Office ignores the lnL and lnT</w:t>
      </w:r>
      <w:r>
        <w:t xml:space="preserve"> elements for interior borders.</w:t>
      </w:r>
    </w:p>
    <w:p w:rsidR="00024C0A" w:rsidRDefault="00694C0F">
      <w:pPr>
        <w:pStyle w:val="Heading3"/>
      </w:pPr>
      <w:bookmarkStart w:id="2853" w:name="section_460020a0e12d47ab834a20f6779387b5"/>
      <w:bookmarkStart w:id="2854" w:name="_Toc12261487"/>
      <w:r>
        <w:t>Part 1 Section 21.1.3.14, tblGrid (Table Grid)</w:t>
      </w:r>
      <w:bookmarkEnd w:id="2853"/>
      <w:bookmarkEnd w:id="2854"/>
      <w:r>
        <w:fldChar w:fldCharType="begin"/>
      </w:r>
      <w:r>
        <w:instrText xml:space="preserve"> XE "tblGrid (Table Grid)" </w:instrText>
      </w:r>
      <w:r>
        <w:fldChar w:fldCharType="end"/>
      </w:r>
    </w:p>
    <w:p w:rsidR="00024C0A" w:rsidRDefault="00694C0F">
      <w:pPr>
        <w:pStyle w:val="Definition-Field"/>
      </w:pPr>
      <w:r>
        <w:t xml:space="preserve">a.   </w:t>
      </w:r>
      <w:r>
        <w:rPr>
          <w:i/>
        </w:rPr>
        <w:t>The standard states that the tblGrid element defines the columns that are within the table.</w:t>
      </w:r>
    </w:p>
    <w:p w:rsidR="00024C0A" w:rsidRDefault="00694C0F">
      <w:pPr>
        <w:pStyle w:val="Definition-Field2"/>
      </w:pPr>
      <w:r>
        <w:t>Office requires there be at least 1 and at most 100</w:t>
      </w:r>
      <w:r>
        <w:t>0 gridCol child elements to tblGrid.</w:t>
      </w:r>
    </w:p>
    <w:p w:rsidR="00024C0A" w:rsidRDefault="00694C0F">
      <w:pPr>
        <w:pStyle w:val="Heading3"/>
      </w:pPr>
      <w:bookmarkStart w:id="2855" w:name="section_f9366bfc1f6c4e97a2f540f83aebb61c"/>
      <w:bookmarkStart w:id="2856" w:name="_Toc12261488"/>
      <w:r>
        <w:t>Part 1 Section 21.1.3.16, tc (Table Cell)</w:t>
      </w:r>
      <w:bookmarkEnd w:id="2855"/>
      <w:bookmarkEnd w:id="2856"/>
      <w:r>
        <w:fldChar w:fldCharType="begin"/>
      </w:r>
      <w:r>
        <w:instrText xml:space="preserve"> XE "tc (Table Cell)" </w:instrText>
      </w:r>
      <w:r>
        <w:fldChar w:fldCharType="end"/>
      </w:r>
    </w:p>
    <w:p w:rsidR="00024C0A" w:rsidRDefault="00694C0F">
      <w:pPr>
        <w:pStyle w:val="Definition-Field"/>
      </w:pPr>
      <w:r>
        <w:t xml:space="preserve">a.   </w:t>
      </w:r>
      <w:r>
        <w:rPr>
          <w:i/>
        </w:rPr>
        <w:t>The standard allows the value of the rowSpan attribute to be any 32-bit integer.</w:t>
      </w:r>
    </w:p>
    <w:p w:rsidR="00024C0A" w:rsidRDefault="00694C0F">
      <w:pPr>
        <w:pStyle w:val="Definition-Field2"/>
      </w:pPr>
      <w:r>
        <w:t>In Office, the value of rowSpan shall be equal to or greater than 1</w:t>
      </w:r>
      <w:r>
        <w:t>. For a table with R rows, the value of rowSpan for cells in the first row shall be at most R; the value of rowSpan for cells in the second row can be at most R – 1; and so on.</w:t>
      </w:r>
    </w:p>
    <w:p w:rsidR="00024C0A" w:rsidRDefault="00694C0F">
      <w:pPr>
        <w:pStyle w:val="Definition-Field"/>
      </w:pPr>
      <w:r>
        <w:t xml:space="preserve">b.   </w:t>
      </w:r>
      <w:r>
        <w:rPr>
          <w:i/>
        </w:rPr>
        <w:t>The standard states that the gridSpan attribute is allowed to be any 32-bi</w:t>
      </w:r>
      <w:r>
        <w:rPr>
          <w:i/>
        </w:rPr>
        <w:t>t integer.</w:t>
      </w:r>
    </w:p>
    <w:p w:rsidR="00024C0A" w:rsidRDefault="00694C0F">
      <w:r>
        <w:t>In Office, the value of gridSpan shall be equal to or greater than 1. For a table with C columns, the value of gridSpan for cells in the first column can be at most C; the value of gridSpan for cells in the second column can be at most C – 1; an</w:t>
      </w:r>
      <w:r>
        <w:t>d so on.</w:t>
      </w:r>
    </w:p>
    <w:p w:rsidR="00024C0A" w:rsidRDefault="00694C0F">
      <w:pPr>
        <w:pStyle w:val="Definition-Field"/>
      </w:pPr>
      <w:r>
        <w:t xml:space="preserve">c.   </w:t>
      </w:r>
      <w:r>
        <w:rPr>
          <w:i/>
        </w:rPr>
        <w:t>The standard does not describe how the hMerge or vMerge attributes work.</w:t>
      </w:r>
    </w:p>
    <w:p w:rsidR="00024C0A" w:rsidRDefault="00694C0F">
      <w:r>
        <w:t>Information about Table Merge is contained within the tbl element ("</w:t>
      </w:r>
      <w:hyperlink r:id="rId203">
        <w:r>
          <w:rPr>
            <w:rStyle w:val="Hyperlink"/>
          </w:rPr>
          <w:t>[ISO/IEC-29500-1]</w:t>
        </w:r>
      </w:hyperlink>
      <w:r>
        <w:t xml:space="preserve"> §21.1.3.13; tbl")</w:t>
      </w:r>
      <w:r>
        <w:t>.</w:t>
      </w:r>
    </w:p>
    <w:p w:rsidR="00024C0A" w:rsidRDefault="00694C0F">
      <w:r>
        <w:t>All cells in the first column of a table merge shall have hMerge equal to 0 or false. All other cells of a table merge shall have hMerge equal to 1 or true.</w:t>
      </w:r>
    </w:p>
    <w:p w:rsidR="00024C0A" w:rsidRDefault="00694C0F">
      <w:r>
        <w:t xml:space="preserve">All cells in the first row of a table merge shall have vMerge equal to 0 or false.  All other </w:t>
      </w:r>
      <w:r>
        <w:t>cells of a table merge shall have vMerge equal to 1 or true.</w:t>
      </w:r>
    </w:p>
    <w:p w:rsidR="00024C0A" w:rsidRDefault="00694C0F">
      <w:pPr>
        <w:pStyle w:val="Heading3"/>
      </w:pPr>
      <w:bookmarkStart w:id="2857" w:name="section_312c4c2ed5b34407932a1122ed816de0"/>
      <w:bookmarkStart w:id="2858" w:name="_Toc12261489"/>
      <w:r>
        <w:t>Part 1 Section 21.1.3.18, tr (Table Row)</w:t>
      </w:r>
      <w:bookmarkEnd w:id="2857"/>
      <w:bookmarkEnd w:id="2858"/>
      <w:r>
        <w:fldChar w:fldCharType="begin"/>
      </w:r>
      <w:r>
        <w:instrText xml:space="preserve"> XE "tr (Table Row)" </w:instrText>
      </w:r>
      <w:r>
        <w:fldChar w:fldCharType="end"/>
      </w:r>
    </w:p>
    <w:p w:rsidR="00024C0A" w:rsidRDefault="00694C0F">
      <w:pPr>
        <w:pStyle w:val="Definition-Field"/>
      </w:pPr>
      <w:r>
        <w:t xml:space="preserve">a.   </w:t>
      </w:r>
      <w:r>
        <w:rPr>
          <w:i/>
        </w:rPr>
        <w:t>The standard states that the height attribute specifies the row height.</w:t>
      </w:r>
    </w:p>
    <w:p w:rsidR="00024C0A" w:rsidRDefault="00694C0F">
      <w:r>
        <w:t>In Office, the height of the row in the table is speci</w:t>
      </w:r>
      <w:r>
        <w:t>fied in EMUs.  Additionally:</w:t>
      </w:r>
    </w:p>
    <w:p w:rsidR="00024C0A" w:rsidRDefault="00694C0F">
      <w:r>
        <w:t>The height shall not be negative.</w:t>
      </w:r>
    </w:p>
    <w:p w:rsidR="00024C0A" w:rsidRDefault="00694C0F">
      <w:r>
        <w:t xml:space="preserve">The height shall be either 0, or greater than the minimal row height. </w:t>
      </w:r>
    </w:p>
    <w:p w:rsidR="00024C0A" w:rsidRDefault="00694C0F">
      <w:r>
        <w:t>The height shall be equal to or less than 0x3FFFFFFF.</w:t>
      </w:r>
    </w:p>
    <w:p w:rsidR="00024C0A" w:rsidRDefault="00694C0F">
      <w:r>
        <w:t xml:space="preserve">The minimal row height of a row is defined as: the sum of the </w:t>
      </w:r>
      <w:r>
        <w:t>minimal heights which can hold the top margin and the bottom margin plus 2 extra points for each cell in the row.</w:t>
      </w:r>
    </w:p>
    <w:p w:rsidR="00024C0A" w:rsidRDefault="00694C0F">
      <w:pPr>
        <w:pStyle w:val="Definition-Field"/>
      </w:pPr>
      <w:r>
        <w:t xml:space="preserve">b.   </w:t>
      </w:r>
      <w:r>
        <w:rPr>
          <w:i/>
        </w:rPr>
        <w:t>The standard states that the tr element specifies a row in a table.</w:t>
      </w:r>
    </w:p>
    <w:p w:rsidR="00024C0A" w:rsidRDefault="00694C0F">
      <w:pPr>
        <w:pStyle w:val="Definition-Field2"/>
      </w:pPr>
      <w:r>
        <w:t>In Office, the number of table cells in a table row is greater than 1</w:t>
      </w:r>
      <w:r>
        <w:t xml:space="preserve"> and less than or equal to 1000. Additionally, the number of table cells in a table row is equal to the number of columns in the table.</w:t>
      </w:r>
    </w:p>
    <w:p w:rsidR="00024C0A" w:rsidRDefault="00694C0F">
      <w:pPr>
        <w:pStyle w:val="Heading3"/>
      </w:pPr>
      <w:bookmarkStart w:id="2859" w:name="section_1b1344e7a00944f5aa3a4cbb4f752c80"/>
      <w:bookmarkStart w:id="2860" w:name="_Toc12261490"/>
      <w:r>
        <w:lastRenderedPageBreak/>
        <w:t>Part 1 Section 21.2.2.2, applyToFront (Apply To Front)</w:t>
      </w:r>
      <w:bookmarkEnd w:id="2859"/>
      <w:bookmarkEnd w:id="2860"/>
      <w:r>
        <w:fldChar w:fldCharType="begin"/>
      </w:r>
      <w:r>
        <w:instrText xml:space="preserve"> XE "applyToFront (Apply To Front)" </w:instrText>
      </w:r>
      <w:r>
        <w:fldChar w:fldCharType="end"/>
      </w:r>
    </w:p>
    <w:p w:rsidR="00024C0A" w:rsidRDefault="00694C0F">
      <w:pPr>
        <w:pStyle w:val="Definition-Field"/>
      </w:pPr>
      <w:r>
        <w:t xml:space="preserve">a.   </w:t>
      </w:r>
      <w:r>
        <w:rPr>
          <w:i/>
        </w:rPr>
        <w:t>The standard states th</w:t>
      </w:r>
      <w:r>
        <w:rPr>
          <w:i/>
        </w:rPr>
        <w:t>at the applyToFront element specifies that the picture shall be applied to the front of the point or series.</w:t>
      </w:r>
    </w:p>
    <w:p w:rsidR="00024C0A" w:rsidRDefault="00694C0F">
      <w:pPr>
        <w:pStyle w:val="Definition-Field2"/>
      </w:pPr>
      <w:r>
        <w:t>In Office, this element also specifies that the picture should be applied to the backWall and Office ignores this element on the floor and sideWall</w:t>
      </w:r>
      <w:r>
        <w:t xml:space="preserve"> elements.</w:t>
      </w:r>
    </w:p>
    <w:p w:rsidR="00024C0A" w:rsidRDefault="00694C0F">
      <w:pPr>
        <w:pStyle w:val="Heading3"/>
      </w:pPr>
      <w:bookmarkStart w:id="2861" w:name="section_82ee2e510df44d6a86c46529093bae80"/>
      <w:bookmarkStart w:id="2862" w:name="_Toc12261491"/>
      <w:r>
        <w:t>Part 1 Section 21.2.2.3, applyToSides (Apply To Sides)</w:t>
      </w:r>
      <w:bookmarkEnd w:id="2861"/>
      <w:bookmarkEnd w:id="2862"/>
      <w:r>
        <w:fldChar w:fldCharType="begin"/>
      </w:r>
      <w:r>
        <w:instrText xml:space="preserve"> XE "applyToSides (Apply To Sides)" </w:instrText>
      </w:r>
      <w:r>
        <w:fldChar w:fldCharType="end"/>
      </w:r>
    </w:p>
    <w:p w:rsidR="00024C0A" w:rsidRDefault="00694C0F">
      <w:pPr>
        <w:pStyle w:val="Definition-Field"/>
      </w:pPr>
      <w:r>
        <w:t xml:space="preserve">a.   </w:t>
      </w:r>
      <w:r>
        <w:rPr>
          <w:i/>
        </w:rPr>
        <w:t>The standard states that the applyToSides element specifies that the picture shall be applied to the sides of the point or series.</w:t>
      </w:r>
    </w:p>
    <w:p w:rsidR="00024C0A" w:rsidRDefault="00694C0F">
      <w:pPr>
        <w:pStyle w:val="Definition-Field2"/>
      </w:pPr>
      <w:r>
        <w:t>In Office this e</w:t>
      </w:r>
      <w:r>
        <w:t>lement also specifies that the picture shall be applied to the floor or the side wall but is ignored on the back wall of a 3D chart.</w:t>
      </w:r>
    </w:p>
    <w:p w:rsidR="00024C0A" w:rsidRDefault="00694C0F">
      <w:pPr>
        <w:pStyle w:val="Heading3"/>
      </w:pPr>
      <w:bookmarkStart w:id="2863" w:name="section_29ab25d35428484cb2a3ec691a0bf49f"/>
      <w:bookmarkStart w:id="2864" w:name="_Toc12261492"/>
      <w:r>
        <w:t>Part 1 Section 21.2.2.5, areaChart (Area Charts)</w:t>
      </w:r>
      <w:bookmarkEnd w:id="2863"/>
      <w:bookmarkEnd w:id="2864"/>
      <w:r>
        <w:fldChar w:fldCharType="begin"/>
      </w:r>
      <w:r>
        <w:instrText xml:space="preserve"> XE "areaChart (Area Charts)" </w:instrText>
      </w:r>
      <w:r>
        <w:fldChar w:fldCharType="end"/>
      </w:r>
    </w:p>
    <w:p w:rsidR="00024C0A" w:rsidRDefault="00694C0F">
      <w:pPr>
        <w:pStyle w:val="Definition-Field"/>
      </w:pPr>
      <w:r>
        <w:t xml:space="preserve">a.   </w:t>
      </w:r>
      <w:r>
        <w:rPr>
          <w:i/>
        </w:rPr>
        <w:t>The standard states that the maxOccur</w:t>
      </w:r>
      <w:r>
        <w:rPr>
          <w:i/>
        </w:rPr>
        <w:t>s value for the ser child element is unbounded.</w:t>
      </w:r>
    </w:p>
    <w:p w:rsidR="00024C0A" w:rsidRDefault="00694C0F">
      <w:pPr>
        <w:pStyle w:val="Definition-Field2"/>
      </w:pPr>
      <w:r>
        <w:t>Office limits the occurrences of this element to 255.</w:t>
      </w:r>
    </w:p>
    <w:p w:rsidR="00024C0A" w:rsidRDefault="00694C0F">
      <w:pPr>
        <w:pStyle w:val="Heading3"/>
      </w:pPr>
      <w:bookmarkStart w:id="2865" w:name="section_94796dcb15124541b4d09514d4070913"/>
      <w:bookmarkStart w:id="2866" w:name="_Toc12261493"/>
      <w:r>
        <w:t>Part 1 Section 21.2.2.7, autoTitleDeleted (Auto Title Is Deleted)</w:t>
      </w:r>
      <w:bookmarkEnd w:id="2865"/>
      <w:bookmarkEnd w:id="2866"/>
      <w:r>
        <w:fldChar w:fldCharType="begin"/>
      </w:r>
      <w:r>
        <w:instrText xml:space="preserve"> XE "autoTitleDeleted (Auto Title Is Deleted)" </w:instrText>
      </w:r>
      <w:r>
        <w:fldChar w:fldCharType="end"/>
      </w:r>
    </w:p>
    <w:p w:rsidR="00024C0A" w:rsidRDefault="00694C0F">
      <w:pPr>
        <w:pStyle w:val="Definition-Field"/>
      </w:pPr>
      <w:r>
        <w:t xml:space="preserve">a.   </w:t>
      </w:r>
      <w:r>
        <w:rPr>
          <w:i/>
        </w:rPr>
        <w:t>The standard does not state any ex</w:t>
      </w:r>
      <w:r>
        <w:rPr>
          <w:i/>
        </w:rPr>
        <w:t>ceptions that cause the autoTitleDeleted element to be ignored.</w:t>
      </w:r>
    </w:p>
    <w:p w:rsidR="00024C0A" w:rsidRDefault="00694C0F">
      <w:pPr>
        <w:pStyle w:val="Definition-Field2"/>
      </w:pPr>
      <w:r>
        <w:t>In Office, this element only applies if a title element ("</w:t>
      </w:r>
      <w:hyperlink r:id="rId204">
        <w:r>
          <w:rPr>
            <w:rStyle w:val="Hyperlink"/>
          </w:rPr>
          <w:t>[ISO/IEC-29500-1]</w:t>
        </w:r>
      </w:hyperlink>
      <w:r>
        <w:t xml:space="preserve"> §21.2.2.210; title") is not present on the parent </w:t>
      </w:r>
      <w:r>
        <w:t>chart element ("[ISO/IEC-29500-1] §21.2.2.27; chart").</w:t>
      </w:r>
    </w:p>
    <w:p w:rsidR="00024C0A" w:rsidRDefault="00694C0F">
      <w:pPr>
        <w:pStyle w:val="Heading3"/>
      </w:pPr>
      <w:bookmarkStart w:id="2867" w:name="section_089f849ffcd64fa0a28135aa6a432a16"/>
      <w:bookmarkStart w:id="2868" w:name="_Toc12261494"/>
      <w:r>
        <w:t>Part 1 Section 21.2.2.9, axId (Axis ID)</w:t>
      </w:r>
      <w:bookmarkEnd w:id="2867"/>
      <w:bookmarkEnd w:id="2868"/>
      <w:r>
        <w:fldChar w:fldCharType="begin"/>
      </w:r>
      <w:r>
        <w:instrText xml:space="preserve"> XE "axId (Axis ID)" </w:instrText>
      </w:r>
      <w:r>
        <w:fldChar w:fldCharType="end"/>
      </w:r>
    </w:p>
    <w:p w:rsidR="00024C0A" w:rsidRDefault="00694C0F">
      <w:pPr>
        <w:pStyle w:val="Definition-Field"/>
      </w:pPr>
      <w:r>
        <w:t xml:space="preserve">a.   </w:t>
      </w:r>
      <w:r>
        <w:rPr>
          <w:i/>
        </w:rPr>
        <w:t>The standard states that values of the val attribute are defined by the XML Schema unsignedInt datatype.</w:t>
      </w:r>
    </w:p>
    <w:p w:rsidR="00024C0A" w:rsidRDefault="00694C0F">
      <w:pPr>
        <w:pStyle w:val="Definition-Field2"/>
      </w:pPr>
      <w:r>
        <w:t>Office restricts the value o</w:t>
      </w:r>
      <w:r>
        <w:t>f this attribute to be at most 2147483647.</w:t>
      </w:r>
    </w:p>
    <w:p w:rsidR="00024C0A" w:rsidRDefault="00694C0F">
      <w:pPr>
        <w:pStyle w:val="Definition-Field"/>
      </w:pPr>
      <w:r>
        <w:t xml:space="preserve">b.   </w:t>
      </w:r>
      <w:r>
        <w:rPr>
          <w:i/>
        </w:rPr>
        <w:t>The standard does not place any restrictions on the val attribute of the axId element.</w:t>
      </w:r>
    </w:p>
    <w:p w:rsidR="00024C0A" w:rsidRDefault="00694C0F">
      <w:pPr>
        <w:pStyle w:val="Definition-Field2"/>
      </w:pPr>
      <w:r>
        <w:t>Office requires that the val attribute of this element matches the val attribute of an axId element on a catAx, dateAx, s</w:t>
      </w:r>
      <w:r>
        <w:t>erAx, or valAx element on the chart.</w:t>
      </w:r>
    </w:p>
    <w:p w:rsidR="00024C0A" w:rsidRDefault="00694C0F">
      <w:pPr>
        <w:pStyle w:val="Heading3"/>
      </w:pPr>
      <w:bookmarkStart w:id="2869" w:name="section_5989881ed2de44f387928dbded2e2b00"/>
      <w:bookmarkStart w:id="2870" w:name="_Toc12261495"/>
      <w:r>
        <w:t>Part 1 Section 21.2.2.10, axPos (Axis Position)</w:t>
      </w:r>
      <w:bookmarkEnd w:id="2869"/>
      <w:bookmarkEnd w:id="2870"/>
      <w:r>
        <w:fldChar w:fldCharType="begin"/>
      </w:r>
      <w:r>
        <w:instrText xml:space="preserve"> XE "axPos (Axis Position)" </w:instrText>
      </w:r>
      <w:r>
        <w:fldChar w:fldCharType="end"/>
      </w:r>
    </w:p>
    <w:p w:rsidR="00024C0A" w:rsidRDefault="00694C0F">
      <w:pPr>
        <w:pStyle w:val="Definition-Field"/>
      </w:pPr>
      <w:r>
        <w:t xml:space="preserve">a.   </w:t>
      </w:r>
      <w:r>
        <w:rPr>
          <w:i/>
        </w:rPr>
        <w:t>The standard states that the axpos element specifies the position of the axis on the chart.</w:t>
      </w:r>
    </w:p>
    <w:p w:rsidR="00024C0A" w:rsidRDefault="00694C0F">
      <w:pPr>
        <w:pStyle w:val="Definition-Field2"/>
      </w:pPr>
      <w:r>
        <w:t xml:space="preserve">Office ignores this element, always using </w:t>
      </w:r>
      <w:r>
        <w:t>the crosses element on a valAx, the crossesAt element on a catAx or dateAx, and the orientation element of the scaling element on the perpendicular axis to specify the axis position.</w:t>
      </w:r>
    </w:p>
    <w:p w:rsidR="00024C0A" w:rsidRDefault="00694C0F">
      <w:pPr>
        <w:pStyle w:val="Heading3"/>
      </w:pPr>
      <w:bookmarkStart w:id="2871" w:name="section_51f8d9b9d15b478a91c5e8b09907af84"/>
      <w:bookmarkStart w:id="2872" w:name="_Toc12261496"/>
      <w:r>
        <w:t>Part 1 Section 21.2.2.11, backWall (Back Wall)</w:t>
      </w:r>
      <w:bookmarkEnd w:id="2871"/>
      <w:bookmarkEnd w:id="2872"/>
      <w:r>
        <w:fldChar w:fldCharType="begin"/>
      </w:r>
      <w:r>
        <w:instrText xml:space="preserve"> XE "backWall (Back Wall)" </w:instrText>
      </w:r>
      <w:r>
        <w:fldChar w:fldCharType="end"/>
      </w:r>
    </w:p>
    <w:p w:rsidR="00024C0A" w:rsidRDefault="00694C0F">
      <w:pPr>
        <w:pStyle w:val="Definition-Field"/>
      </w:pPr>
      <w:r>
        <w:t xml:space="preserve">a.   </w:t>
      </w:r>
      <w:r>
        <w:rPr>
          <w:i/>
        </w:rPr>
        <w:t>The standard states that the backWall element is valid for any chart type.</w:t>
      </w:r>
    </w:p>
    <w:p w:rsidR="00024C0A" w:rsidRDefault="00694C0F">
      <w:pPr>
        <w:pStyle w:val="Definition-Field2"/>
      </w:pPr>
      <w:r>
        <w:t>Office only allows this element for 3D charts (bar3dChart, line3dChart, area3dChart, surface3dChart, pie3Dchart).</w:t>
      </w:r>
    </w:p>
    <w:p w:rsidR="00024C0A" w:rsidRDefault="00694C0F">
      <w:pPr>
        <w:pStyle w:val="Heading3"/>
      </w:pPr>
      <w:bookmarkStart w:id="2873" w:name="section_69fafe694f3e42d888d53955a6e9be2e"/>
      <w:bookmarkStart w:id="2874" w:name="_Toc12261497"/>
      <w:r>
        <w:lastRenderedPageBreak/>
        <w:t>Part 1 Section 21.2.2.12, backward (Backward)</w:t>
      </w:r>
      <w:bookmarkEnd w:id="2873"/>
      <w:bookmarkEnd w:id="2874"/>
      <w:r>
        <w:fldChar w:fldCharType="begin"/>
      </w:r>
      <w:r>
        <w:instrText xml:space="preserve"> XE "backward </w:instrText>
      </w:r>
      <w:r>
        <w:instrText xml:space="preserve">(Backward)" </w:instrText>
      </w:r>
      <w:r>
        <w:fldChar w:fldCharType="end"/>
      </w:r>
    </w:p>
    <w:p w:rsidR="00024C0A" w:rsidRDefault="00694C0F">
      <w:pPr>
        <w:pStyle w:val="Definition-Field"/>
      </w:pPr>
      <w:r>
        <w:t xml:space="preserve">a.   </w:t>
      </w:r>
      <w:r>
        <w:rPr>
          <w:i/>
        </w:rPr>
        <w:t>The standard states that the value of the val attribute on non-scatter charts must be 0 or 0.5.</w:t>
      </w:r>
    </w:p>
    <w:p w:rsidR="00024C0A" w:rsidRDefault="00694C0F">
      <w:pPr>
        <w:pStyle w:val="Definition-Field2"/>
      </w:pPr>
      <w:r>
        <w:t>Office allows the data range to include any non-negative number.</w:t>
      </w:r>
    </w:p>
    <w:p w:rsidR="00024C0A" w:rsidRDefault="00694C0F">
      <w:pPr>
        <w:pStyle w:val="Definition-Field"/>
      </w:pPr>
      <w:r>
        <w:t xml:space="preserve">b.   </w:t>
      </w:r>
      <w:r>
        <w:rPr>
          <w:i/>
        </w:rPr>
        <w:t>The standard states that the values of the val attribute are defined b</w:t>
      </w:r>
      <w:r>
        <w:rPr>
          <w:i/>
        </w:rPr>
        <w:t>y the XML Schema double datatype.</w:t>
      </w:r>
    </w:p>
    <w:p w:rsidR="00024C0A" w:rsidRDefault="00694C0F">
      <w:pPr>
        <w:pStyle w:val="Definition-Field2"/>
      </w:pPr>
      <w:r>
        <w:t>Office restricts the values of this attribute to be greater than 0 and not equal to INF, -INF, or Nan.</w:t>
      </w:r>
    </w:p>
    <w:p w:rsidR="00024C0A" w:rsidRDefault="00694C0F">
      <w:pPr>
        <w:pStyle w:val="Heading3"/>
      </w:pPr>
      <w:bookmarkStart w:id="2875" w:name="section_7bcd4b6150c64a1a88cf5a29bdeb03cc"/>
      <w:bookmarkStart w:id="2876" w:name="_Toc12261498"/>
      <w:r>
        <w:t>Part 1 Section 21.2.2.14, bandFmts (Band Formats)</w:t>
      </w:r>
      <w:bookmarkEnd w:id="2875"/>
      <w:bookmarkEnd w:id="2876"/>
      <w:r>
        <w:fldChar w:fldCharType="begin"/>
      </w:r>
      <w:r>
        <w:instrText xml:space="preserve"> XE "bandFmts (Band Formats)" </w:instrText>
      </w:r>
      <w:r>
        <w:fldChar w:fldCharType="end"/>
      </w:r>
    </w:p>
    <w:p w:rsidR="00024C0A" w:rsidRDefault="00694C0F">
      <w:pPr>
        <w:pStyle w:val="Definition-Field"/>
      </w:pPr>
      <w:r>
        <w:t xml:space="preserve">a.   </w:t>
      </w:r>
      <w:r>
        <w:rPr>
          <w:i/>
        </w:rPr>
        <w:t>The standard states that bands a</w:t>
      </w:r>
      <w:r>
        <w:rPr>
          <w:i/>
        </w:rPr>
        <w:t>re indexed from low to high.</w:t>
      </w:r>
    </w:p>
    <w:p w:rsidR="00024C0A" w:rsidRDefault="00694C0F">
      <w:r>
        <w:t xml:space="preserve">The bands within this collection are indexed with increasing index values that correspond to increasing values in the chart.  The lowest index value for a band is 0, regardless of whether it is present in the collection of </w:t>
      </w:r>
      <w:r>
        <w:t>formatting bands. Bands with no explicit formatting may be omitted from the collection.</w:t>
      </w:r>
    </w:p>
    <w:p w:rsidR="00024C0A" w:rsidRDefault="00694C0F">
      <w:pPr>
        <w:pStyle w:val="Heading3"/>
      </w:pPr>
      <w:bookmarkStart w:id="2877" w:name="section_46a9db165bfa4d0f86ad196bf11c9230"/>
      <w:bookmarkStart w:id="2878" w:name="_Toc12261499"/>
      <w:r>
        <w:t>Part 1 Section 21.2.2.15, bar3DChart (3D Bar Charts)</w:t>
      </w:r>
      <w:bookmarkEnd w:id="2877"/>
      <w:bookmarkEnd w:id="2878"/>
      <w:r>
        <w:fldChar w:fldCharType="begin"/>
      </w:r>
      <w:r>
        <w:instrText xml:space="preserve"> XE "bar3DChart (3D Bar Charts)" </w:instrText>
      </w:r>
      <w:r>
        <w:fldChar w:fldCharType="end"/>
      </w:r>
    </w:p>
    <w:p w:rsidR="00024C0A" w:rsidRDefault="00694C0F">
      <w:pPr>
        <w:pStyle w:val="Definition-Field"/>
      </w:pPr>
      <w:r>
        <w:t xml:space="preserve">a.   </w:t>
      </w:r>
      <w:r>
        <w:rPr>
          <w:i/>
        </w:rPr>
        <w:t>The standard states that the maxOccurs value for the ser child element is u</w:t>
      </w:r>
      <w:r>
        <w:rPr>
          <w:i/>
        </w:rPr>
        <w:t>nbounded.</w:t>
      </w:r>
    </w:p>
    <w:p w:rsidR="00024C0A" w:rsidRDefault="00694C0F">
      <w:pPr>
        <w:pStyle w:val="Definition-Field2"/>
      </w:pPr>
      <w:r>
        <w:t>Office limits the occurrences of this element to 255.</w:t>
      </w:r>
    </w:p>
    <w:p w:rsidR="00024C0A" w:rsidRDefault="00694C0F">
      <w:pPr>
        <w:pStyle w:val="Heading3"/>
      </w:pPr>
      <w:bookmarkStart w:id="2879" w:name="section_4f86580b39ca45558ef844b2f35f3648"/>
      <w:bookmarkStart w:id="2880" w:name="_Toc12261500"/>
      <w:r>
        <w:t>Part 1 Section 21.2.2.16, barChart (Bar Charts)</w:t>
      </w:r>
      <w:bookmarkEnd w:id="2879"/>
      <w:bookmarkEnd w:id="2880"/>
      <w:r>
        <w:fldChar w:fldCharType="begin"/>
      </w:r>
      <w:r>
        <w:instrText xml:space="preserve"> XE "barChart (Bar Charts)"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089f849ffcd64fa0a28135aa6a432a16">
        <w:r>
          <w:rPr>
            <w:rStyle w:val="Hyperlink"/>
          </w:rPr>
          <w:t>axId, §21.2.2.9(a)</w:t>
        </w:r>
      </w:hyperlink>
      <w:r>
        <w:rPr>
          <w:i/>
        </w:rPr>
        <w:t>.</w:t>
      </w:r>
    </w:p>
    <w:p w:rsidR="00024C0A" w:rsidRDefault="00694C0F">
      <w:pPr>
        <w:pStyle w:val="Definition-Field"/>
      </w:pPr>
      <w:r>
        <w:t xml:space="preserve">a.   </w:t>
      </w:r>
      <w:r>
        <w:rPr>
          <w:i/>
        </w:rPr>
        <w:t>The standard states that the maxOccurs value for the serLines child element is unbounded.</w:t>
      </w:r>
    </w:p>
    <w:p w:rsidR="00024C0A" w:rsidRDefault="00694C0F">
      <w:pPr>
        <w:pStyle w:val="Definition-Field2"/>
      </w:pPr>
      <w:r>
        <w:t>Office limits the occurrences of this element to 1.</w:t>
      </w:r>
    </w:p>
    <w:p w:rsidR="00024C0A" w:rsidRDefault="00694C0F">
      <w:pPr>
        <w:pStyle w:val="Heading3"/>
      </w:pPr>
      <w:bookmarkStart w:id="2881" w:name="section_e99b822aa75c4a268b420136b3acee5b"/>
      <w:bookmarkStart w:id="2882" w:name="_Toc12261501"/>
      <w:r>
        <w:t>Part 1 Section 21.2.2.17, barDir (Bar Direction)</w:t>
      </w:r>
      <w:bookmarkEnd w:id="2881"/>
      <w:bookmarkEnd w:id="2882"/>
      <w:r>
        <w:fldChar w:fldCharType="begin"/>
      </w:r>
      <w:r>
        <w:instrText xml:space="preserve"> X</w:instrText>
      </w:r>
      <w:r>
        <w:instrText xml:space="preserve">E "barDir (Bar Direction)" </w:instrText>
      </w:r>
      <w:r>
        <w:fldChar w:fldCharType="end"/>
      </w:r>
    </w:p>
    <w:p w:rsidR="00024C0A" w:rsidRDefault="00694C0F">
      <w:pPr>
        <w:pStyle w:val="Definition-Field"/>
      </w:pPr>
      <w:r>
        <w:t xml:space="preserve">a.   </w:t>
      </w:r>
      <w:r>
        <w:rPr>
          <w:i/>
        </w:rPr>
        <w:t>The standard implies that the val attribute is optional.</w:t>
      </w:r>
    </w:p>
    <w:p w:rsidR="00024C0A" w:rsidRDefault="00694C0F">
      <w:pPr>
        <w:pStyle w:val="Definition-Field2"/>
      </w:pPr>
      <w:r>
        <w:t>Office requires this attribute.</w:t>
      </w:r>
    </w:p>
    <w:p w:rsidR="00024C0A" w:rsidRDefault="00694C0F">
      <w:pPr>
        <w:pStyle w:val="Heading3"/>
      </w:pPr>
      <w:bookmarkStart w:id="2883" w:name="section_b8441f8d1013434e8d86ba06b64e4d92"/>
      <w:bookmarkStart w:id="2884" w:name="_Toc12261502"/>
      <w:r>
        <w:t>Part 1 Section 21.2.2.19, bubble3D (3D Bubble)</w:t>
      </w:r>
      <w:bookmarkEnd w:id="2883"/>
      <w:bookmarkEnd w:id="2884"/>
      <w:r>
        <w:fldChar w:fldCharType="begin"/>
      </w:r>
      <w:r>
        <w:instrText xml:space="preserve"> XE "bubble3D (3D Bubble)" </w:instrText>
      </w:r>
      <w:r>
        <w:fldChar w:fldCharType="end"/>
      </w:r>
    </w:p>
    <w:p w:rsidR="00024C0A" w:rsidRDefault="00694C0F">
      <w:pPr>
        <w:pStyle w:val="Definition-Field2"/>
      </w:pPr>
      <w:r>
        <w:rPr>
          <w:i/>
        </w:rPr>
        <w:t>For additional notes that apply to this portion of the s</w:t>
      </w:r>
      <w:r>
        <w:rPr>
          <w:i/>
        </w:rPr>
        <w:t xml:space="preserve">tandard, please see the notes for </w:t>
      </w:r>
      <w:hyperlink w:anchor="Section_c99aee60a26e465486070e0411ea81eb">
        <w:r>
          <w:rPr>
            <w:rStyle w:val="Hyperlink"/>
          </w:rPr>
          <w:t>bubbleChart, §21.2.2.20(b)</w:t>
        </w:r>
      </w:hyperlink>
      <w:r>
        <w:rPr>
          <w:i/>
        </w:rPr>
        <w:t>.</w:t>
      </w:r>
    </w:p>
    <w:p w:rsidR="00024C0A" w:rsidRDefault="00694C0F">
      <w:pPr>
        <w:pStyle w:val="Heading3"/>
      </w:pPr>
      <w:bookmarkStart w:id="2885" w:name="section_c99aee60a26e465486070e0411ea81eb"/>
      <w:bookmarkStart w:id="2886" w:name="_Toc12261503"/>
      <w:r>
        <w:t>Part 1 Section 21.2.2.20, bubbleChart (Bubble Charts)</w:t>
      </w:r>
      <w:bookmarkEnd w:id="2885"/>
      <w:bookmarkEnd w:id="2886"/>
      <w:r>
        <w:fldChar w:fldCharType="begin"/>
      </w:r>
      <w:r>
        <w:instrText xml:space="preserve"> XE "bubbleChart (Bubble Charts)" </w:instrText>
      </w:r>
      <w:r>
        <w:fldChar w:fldCharType="end"/>
      </w:r>
    </w:p>
    <w:p w:rsidR="00024C0A" w:rsidRDefault="00694C0F">
      <w:pPr>
        <w:pStyle w:val="Definition-Field2"/>
      </w:pPr>
      <w:r>
        <w:rPr>
          <w:i/>
        </w:rPr>
        <w:t>For additional notes that apply to this p</w:t>
      </w:r>
      <w:r>
        <w:rPr>
          <w:i/>
        </w:rPr>
        <w:t xml:space="preserve">ortion of the standard, please see the notes for </w:t>
      </w:r>
      <w:hyperlink w:anchor="Section_089f849ffcd64fa0a28135aa6a432a16">
        <w:r>
          <w:rPr>
            <w:rStyle w:val="Hyperlink"/>
          </w:rPr>
          <w:t>axId, §21.2.2.9(a)</w:t>
        </w:r>
      </w:hyperlink>
      <w:r>
        <w:rPr>
          <w:i/>
        </w:rPr>
        <w:t>.</w:t>
      </w:r>
    </w:p>
    <w:p w:rsidR="00024C0A" w:rsidRDefault="00694C0F">
      <w:pPr>
        <w:pStyle w:val="Definition-Field"/>
      </w:pPr>
      <w:r>
        <w:t xml:space="preserve">a.   </w:t>
      </w:r>
      <w:r>
        <w:rPr>
          <w:i/>
        </w:rPr>
        <w:t>The standard states that the maxOccurs value for the ser child element is unbounded.</w:t>
      </w:r>
    </w:p>
    <w:p w:rsidR="00024C0A" w:rsidRDefault="00694C0F">
      <w:pPr>
        <w:pStyle w:val="Definition-Field2"/>
      </w:pPr>
      <w:r>
        <w:t xml:space="preserve">Office limits the occurrences of </w:t>
      </w:r>
      <w:r>
        <w:t>this element to 255.</w:t>
      </w:r>
    </w:p>
    <w:p w:rsidR="00024C0A" w:rsidRDefault="00694C0F">
      <w:pPr>
        <w:pStyle w:val="Definition-Field"/>
      </w:pPr>
      <w:r>
        <w:t xml:space="preserve">b.   </w:t>
      </w:r>
      <w:r>
        <w:rPr>
          <w:i/>
        </w:rPr>
        <w:t>The standard states that the bubble3D element is a valid child of the bubbleChart element.</w:t>
      </w:r>
    </w:p>
    <w:p w:rsidR="00024C0A" w:rsidRDefault="00694C0F">
      <w:pPr>
        <w:pStyle w:val="Definition-Field2"/>
      </w:pPr>
      <w:r>
        <w:t>Office does not allow the bubble3D element to be a child of the bubbleChart element.</w:t>
      </w:r>
    </w:p>
    <w:p w:rsidR="00024C0A" w:rsidRDefault="00694C0F">
      <w:pPr>
        <w:pStyle w:val="Heading3"/>
      </w:pPr>
      <w:bookmarkStart w:id="2887" w:name="section_cce3b3b3a43d4e95b9771428b377e670"/>
      <w:bookmarkStart w:id="2888" w:name="_Toc12261504"/>
      <w:r>
        <w:lastRenderedPageBreak/>
        <w:t>Part 1 Section 21.2.2.23, builtInUnit (Built in Displa</w:t>
      </w:r>
      <w:r>
        <w:t>y Unit Value)</w:t>
      </w:r>
      <w:bookmarkEnd w:id="2887"/>
      <w:bookmarkEnd w:id="2888"/>
      <w:r>
        <w:fldChar w:fldCharType="begin"/>
      </w:r>
      <w:r>
        <w:instrText xml:space="preserve"> XE "builtInUnit (Built in Display Unit Value)" </w:instrText>
      </w:r>
      <w:r>
        <w:fldChar w:fldCharType="end"/>
      </w:r>
    </w:p>
    <w:p w:rsidR="00024C0A" w:rsidRDefault="00694C0F">
      <w:pPr>
        <w:pStyle w:val="Definition-Field"/>
      </w:pPr>
      <w:r>
        <w:t xml:space="preserve">a.   </w:t>
      </w:r>
      <w:r>
        <w:rPr>
          <w:i/>
        </w:rPr>
        <w:t>The standard states that the builtInUnit element specifies that the display unit is one of the built in values.</w:t>
      </w:r>
    </w:p>
    <w:p w:rsidR="00024C0A" w:rsidRDefault="00694C0F">
      <w:pPr>
        <w:pStyle w:val="Definition-Field2"/>
      </w:pPr>
      <w:r>
        <w:t>In Office, this element specifies the display unit for the axis and also th</w:t>
      </w:r>
      <w:r>
        <w:t>e text shown by sibling element dispUnitsLbl when the dispUnitLbl does not contain a tx child element.</w:t>
      </w:r>
    </w:p>
    <w:p w:rsidR="00024C0A" w:rsidRDefault="00694C0F">
      <w:pPr>
        <w:pStyle w:val="Heading3"/>
      </w:pPr>
      <w:bookmarkStart w:id="2889" w:name="section_ea16141cf0bc469ca1a0214e200eda61"/>
      <w:bookmarkStart w:id="2890" w:name="_Toc12261505"/>
      <w:r>
        <w:t>Part 1 Section 21.2.2.24, cat (Category Axis Data)</w:t>
      </w:r>
      <w:bookmarkEnd w:id="2889"/>
      <w:bookmarkEnd w:id="2890"/>
      <w:r>
        <w:fldChar w:fldCharType="begin"/>
      </w:r>
      <w:r>
        <w:instrText xml:space="preserve"> XE "cat (Category Axis Data)" </w:instrText>
      </w:r>
      <w:r>
        <w:fldChar w:fldCharType="end"/>
      </w:r>
    </w:p>
    <w:p w:rsidR="00024C0A" w:rsidRDefault="00694C0F">
      <w:pPr>
        <w:pStyle w:val="Definition-Field"/>
      </w:pPr>
      <w:r>
        <w:t xml:space="preserve">a.   </w:t>
      </w:r>
      <w:r>
        <w:rPr>
          <w:i/>
        </w:rPr>
        <w:t>The standard does not define the behavior when the cat element i</w:t>
      </w:r>
      <w:r>
        <w:rPr>
          <w:i/>
        </w:rPr>
        <w:t>s omitted.</w:t>
      </w:r>
    </w:p>
    <w:p w:rsidR="00024C0A" w:rsidRDefault="00694C0F">
      <w:pPr>
        <w:pStyle w:val="Definition-Field2"/>
      </w:pPr>
      <w:r>
        <w:t>Office uses the one-based index value of the corresponding data point as the default category axis data when this element is omitted on a series.</w:t>
      </w:r>
    </w:p>
    <w:p w:rsidR="00024C0A" w:rsidRDefault="00694C0F">
      <w:pPr>
        <w:pStyle w:val="Heading3"/>
      </w:pPr>
      <w:bookmarkStart w:id="2891" w:name="section_c6aec8b1cbe34239ba00b837970abc14"/>
      <w:bookmarkStart w:id="2892" w:name="_Toc12261506"/>
      <w:r>
        <w:t>Part 1 Section 21.2.2.25, catAx (Category Axis Data)</w:t>
      </w:r>
      <w:bookmarkEnd w:id="2891"/>
      <w:bookmarkEnd w:id="2892"/>
      <w:r>
        <w:fldChar w:fldCharType="begin"/>
      </w:r>
      <w:r>
        <w:instrText xml:space="preserve"> XE "catAx (Category Axis Data)" </w:instrText>
      </w:r>
      <w:r>
        <w:fldChar w:fldCharType="end"/>
      </w:r>
    </w:p>
    <w:p w:rsidR="00024C0A" w:rsidRDefault="00694C0F">
      <w:pPr>
        <w:pStyle w:val="Definition-Field"/>
      </w:pPr>
      <w:r>
        <w:t xml:space="preserve">a.   </w:t>
      </w:r>
      <w:r>
        <w:rPr>
          <w:i/>
        </w:rPr>
        <w:t>The st</w:t>
      </w:r>
      <w:r>
        <w:rPr>
          <w:i/>
        </w:rPr>
        <w:t>andard does place any restrictions on the val attribute of the axId element.</w:t>
      </w:r>
    </w:p>
    <w:p w:rsidR="00024C0A" w:rsidRDefault="00694C0F">
      <w:pPr>
        <w:pStyle w:val="Definition-Field2"/>
      </w:pPr>
      <w:r>
        <w:t>Office requires that the val attribute of the axId element matches the val attribute of an axId element in the parent chart.</w:t>
      </w:r>
    </w:p>
    <w:p w:rsidR="00024C0A" w:rsidRDefault="00694C0F">
      <w:pPr>
        <w:pStyle w:val="Definition-Field"/>
      </w:pPr>
      <w:r>
        <w:t xml:space="preserve">b.   </w:t>
      </w:r>
      <w:r>
        <w:rPr>
          <w:i/>
        </w:rPr>
        <w:t>The standard does place any restrictions on the v</w:t>
      </w:r>
      <w:r>
        <w:rPr>
          <w:i/>
        </w:rPr>
        <w:t>al attribute of the crossAx element.</w:t>
      </w:r>
    </w:p>
    <w:p w:rsidR="00024C0A" w:rsidRDefault="00694C0F">
      <w:pPr>
        <w:pStyle w:val="Definition-Field2"/>
      </w:pPr>
      <w:r>
        <w:t>Office requires that the val attribute of the crossAx element matches the val attribute of an axId element in the parent chart.</w:t>
      </w:r>
    </w:p>
    <w:p w:rsidR="00024C0A" w:rsidRDefault="00694C0F">
      <w:pPr>
        <w:pStyle w:val="Heading3"/>
      </w:pPr>
      <w:bookmarkStart w:id="2893" w:name="section_f0443747f6a14f2bb35a3b4159cf25f9"/>
      <w:bookmarkStart w:id="2894" w:name="_Toc12261507"/>
      <w:r>
        <w:t>Part 1 Section 21.2.2.28, chartObject (Chart Object)</w:t>
      </w:r>
      <w:bookmarkEnd w:id="2893"/>
      <w:bookmarkEnd w:id="2894"/>
      <w:r>
        <w:fldChar w:fldCharType="begin"/>
      </w:r>
      <w:r>
        <w:instrText xml:space="preserve"> XE "chartObject (Chart Object)" </w:instrText>
      </w:r>
      <w:r>
        <w:fldChar w:fldCharType="end"/>
      </w:r>
    </w:p>
    <w:p w:rsidR="00024C0A" w:rsidRDefault="00694C0F">
      <w:pPr>
        <w:pStyle w:val="Definition-Field"/>
      </w:pPr>
      <w:r>
        <w:t xml:space="preserve">a. </w:t>
      </w:r>
      <w:r>
        <w:t xml:space="preserve">  </w:t>
      </w:r>
      <w:r>
        <w:rPr>
          <w:i/>
        </w:rPr>
        <w:t>The standard states that the chartObject element specifies that the chart cannot be edited by the user.</w:t>
      </w:r>
    </w:p>
    <w:p w:rsidR="00024C0A" w:rsidRDefault="00694C0F">
      <w:pPr>
        <w:pStyle w:val="Definition-Field2"/>
      </w:pPr>
      <w:r>
        <w:t>Office does not respect this element and allows editing regardless of the value.</w:t>
      </w:r>
    </w:p>
    <w:p w:rsidR="00024C0A" w:rsidRDefault="00694C0F">
      <w:pPr>
        <w:pStyle w:val="Heading3"/>
      </w:pPr>
      <w:bookmarkStart w:id="2895" w:name="section_195a0d2d3977477a86ded88b14745e13"/>
      <w:bookmarkStart w:id="2896" w:name="_Toc12261508"/>
      <w:r>
        <w:t>Part 1 Section 21.2.2.31, crossAx (Crossing Axis ID)</w:t>
      </w:r>
      <w:bookmarkEnd w:id="2895"/>
      <w:bookmarkEnd w:id="2896"/>
      <w:r>
        <w:fldChar w:fldCharType="begin"/>
      </w:r>
      <w:r>
        <w:instrText xml:space="preserve"> XE "crossAx (Crossing Axis ID)" </w:instrText>
      </w:r>
      <w:r>
        <w:fldChar w:fldCharType="end"/>
      </w:r>
    </w:p>
    <w:p w:rsidR="00024C0A" w:rsidRDefault="00694C0F">
      <w:pPr>
        <w:pStyle w:val="Definition-Field"/>
      </w:pPr>
      <w:r>
        <w:t xml:space="preserve">a.   </w:t>
      </w:r>
      <w:r>
        <w:rPr>
          <w:i/>
        </w:rPr>
        <w:t>The standard states that the values of the val attribute are defined by the XML Schema unsignedInt datatype.</w:t>
      </w:r>
    </w:p>
    <w:p w:rsidR="00024C0A" w:rsidRDefault="00694C0F">
      <w:pPr>
        <w:pStyle w:val="Definition-Field2"/>
      </w:pPr>
      <w:r>
        <w:t>Office restricts the value of this attribute to be at most 2147483647.</w:t>
      </w:r>
    </w:p>
    <w:p w:rsidR="00024C0A" w:rsidRDefault="00694C0F">
      <w:pPr>
        <w:pStyle w:val="Definition-Field"/>
      </w:pPr>
      <w:r>
        <w:t xml:space="preserve">b.   </w:t>
      </w:r>
      <w:r>
        <w:rPr>
          <w:i/>
        </w:rPr>
        <w:t>The standard does not place an</w:t>
      </w:r>
      <w:r>
        <w:rPr>
          <w:i/>
        </w:rPr>
        <w:t>y restrictions on the val attribute of the crossAx element.</w:t>
      </w:r>
    </w:p>
    <w:p w:rsidR="00024C0A" w:rsidRDefault="00694C0F">
      <w:pPr>
        <w:pStyle w:val="Definition-Field2"/>
      </w:pPr>
      <w:r>
        <w:t>Office requires that the val attribute of the crossAx element matches the val attribute of an axId element in the parent chart.</w:t>
      </w:r>
    </w:p>
    <w:p w:rsidR="00024C0A" w:rsidRDefault="00694C0F">
      <w:pPr>
        <w:pStyle w:val="Heading3"/>
      </w:pPr>
      <w:bookmarkStart w:id="2897" w:name="section_c5ba9569da3445309743b040df140552"/>
      <w:bookmarkStart w:id="2898" w:name="_Toc12261509"/>
      <w:r>
        <w:t>Part 1 Section 21.2.2.34, crossesAt (Crossing Value)</w:t>
      </w:r>
      <w:bookmarkEnd w:id="2897"/>
      <w:bookmarkEnd w:id="2898"/>
      <w:r>
        <w:fldChar w:fldCharType="begin"/>
      </w:r>
      <w:r>
        <w:instrText xml:space="preserve"> XE "crossesAt (</w:instrText>
      </w:r>
      <w:r>
        <w:instrText xml:space="preserve">Crossing Value)"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024C0A" w:rsidRDefault="00694C0F">
      <w:pPr>
        <w:pStyle w:val="Definition-Field"/>
      </w:pPr>
      <w:r>
        <w:t xml:space="preserve">a.   </w:t>
      </w:r>
      <w:r>
        <w:rPr>
          <w:i/>
        </w:rPr>
        <w:t>The standard states the value's data type is determined by the parent element.</w:t>
      </w:r>
    </w:p>
    <w:p w:rsidR="00024C0A" w:rsidRDefault="00694C0F">
      <w:r>
        <w:t>In Office, the value data type is inferred from the type of axis being crossed, as follows:</w:t>
      </w:r>
    </w:p>
    <w:p w:rsidR="00024C0A" w:rsidRDefault="00694C0F">
      <w:r>
        <w:t xml:space="preserve">When the axis to cross is specified by a </w:t>
      </w:r>
      <w:r>
        <w:rPr>
          <w:b/>
        </w:rPr>
        <w:t>valAx</w:t>
      </w:r>
      <w:r>
        <w:t xml:space="preserve"> el</w:t>
      </w:r>
      <w:r>
        <w:t xml:space="preserve">ement, the value is a decimal number on the value axis. </w:t>
      </w:r>
    </w:p>
    <w:p w:rsidR="00024C0A" w:rsidRDefault="00694C0F">
      <w:r>
        <w:lastRenderedPageBreak/>
        <w:t xml:space="preserve">When the axis to cross is specified by a </w:t>
      </w:r>
      <w:r>
        <w:rPr>
          <w:b/>
        </w:rPr>
        <w:t>dateAx element</w:t>
      </w:r>
      <w:r>
        <w:t xml:space="preserve">, the date is defined as an integer number on the date axis. </w:t>
      </w:r>
    </w:p>
    <w:p w:rsidR="00024C0A" w:rsidRDefault="00694C0F">
      <w:r>
        <w:t xml:space="preserve">When the axis to cross is specified by a </w:t>
      </w:r>
      <w:r>
        <w:rPr>
          <w:b/>
        </w:rPr>
        <w:t>catAx</w:t>
      </w:r>
      <w:r>
        <w:t xml:space="preserve"> element, the value is an integer category number, starting with 1 as the first category.</w:t>
      </w:r>
    </w:p>
    <w:p w:rsidR="00024C0A" w:rsidRDefault="00694C0F">
      <w:pPr>
        <w:pStyle w:val="Definition-Field"/>
      </w:pPr>
      <w:r>
        <w:t xml:space="preserve">b.   </w:t>
      </w:r>
      <w:r>
        <w:rPr>
          <w:i/>
        </w:rPr>
        <w:t>The standard states that the possible values for the val attribute are defined by the XML Schema double datatype.</w:t>
      </w:r>
    </w:p>
    <w:p w:rsidR="00024C0A" w:rsidRDefault="00694C0F">
      <w:pPr>
        <w:pStyle w:val="Definition-Field2"/>
      </w:pPr>
      <w:r>
        <w:t>In Office, INF, -INF, and NaN are not supported</w:t>
      </w:r>
      <w:r>
        <w:t xml:space="preserve"> values.</w:t>
      </w:r>
    </w:p>
    <w:p w:rsidR="00024C0A" w:rsidRDefault="00694C0F">
      <w:pPr>
        <w:pStyle w:val="Heading3"/>
      </w:pPr>
      <w:bookmarkStart w:id="2899" w:name="section_c9de0cf2f9d5416aabe6f1b160b4e823"/>
      <w:bookmarkStart w:id="2900" w:name="_Toc12261510"/>
      <w:r>
        <w:t>Part 1 Section 21.2.2.36, custUnit (Custom Display Unit)</w:t>
      </w:r>
      <w:bookmarkEnd w:id="2899"/>
      <w:bookmarkEnd w:id="2900"/>
      <w:r>
        <w:fldChar w:fldCharType="begin"/>
      </w:r>
      <w:r>
        <w:instrText xml:space="preserve"> XE "custUnit (Custom Display Unit)"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002a323721c5425f83521a108d5bc7bb">
        <w:r>
          <w:rPr>
            <w:rStyle w:val="Hyperlink"/>
          </w:rPr>
          <w:t>splitPos, §21.2.2.195(c)</w:t>
        </w:r>
      </w:hyperlink>
      <w:r>
        <w:rPr>
          <w:i/>
        </w:rPr>
        <w:t>.</w:t>
      </w:r>
    </w:p>
    <w:p w:rsidR="00024C0A" w:rsidRDefault="00694C0F">
      <w:pPr>
        <w:pStyle w:val="Definition-Field"/>
      </w:pPr>
      <w:r>
        <w:t xml:space="preserve">a.   </w:t>
      </w:r>
      <w:r>
        <w:rPr>
          <w:i/>
        </w:rPr>
        <w:t>The standard states that the possible values for the val attribute are defined by the XML Schema double datatype.</w:t>
      </w:r>
    </w:p>
    <w:p w:rsidR="00024C0A" w:rsidRDefault="00694C0F">
      <w:pPr>
        <w:pStyle w:val="Definition-Field2"/>
      </w:pPr>
      <w:r>
        <w:t>In Office, INF, -INF</w:t>
      </w:r>
      <w:r>
        <w:t>, and NaN are not supported values.</w:t>
      </w:r>
    </w:p>
    <w:p w:rsidR="00024C0A" w:rsidRDefault="00694C0F">
      <w:pPr>
        <w:pStyle w:val="Definition-Field"/>
      </w:pPr>
      <w:r>
        <w:t xml:space="preserve">b.   </w:t>
      </w:r>
      <w:r>
        <w:rPr>
          <w:i/>
        </w:rPr>
        <w:t>The standard states that the custUnit element specifies a custom value for the display unit.</w:t>
      </w:r>
    </w:p>
    <w:p w:rsidR="00024C0A" w:rsidRDefault="00694C0F">
      <w:pPr>
        <w:pStyle w:val="Definition-Field2"/>
      </w:pPr>
      <w:r>
        <w:t xml:space="preserve">In Office, this element specifies a custom value for the display unit for the axis. This element specifies the text shown </w:t>
      </w:r>
      <w:r>
        <w:t>by sibling element dispUnitsLbl when the dispUnitLbl does not contain a tx child element.</w:t>
      </w:r>
    </w:p>
    <w:p w:rsidR="00024C0A" w:rsidRDefault="00694C0F">
      <w:pPr>
        <w:pStyle w:val="Heading3"/>
      </w:pPr>
      <w:bookmarkStart w:id="2901" w:name="section_1ddb29af9f9949ddb02407491c8d02ef"/>
      <w:bookmarkStart w:id="2902" w:name="_Toc12261511"/>
      <w:r>
        <w:t>Part 1 Section 21.2.2.37, data (Data Cannot Be Changed)</w:t>
      </w:r>
      <w:bookmarkEnd w:id="2901"/>
      <w:bookmarkEnd w:id="2902"/>
      <w:r>
        <w:fldChar w:fldCharType="begin"/>
      </w:r>
      <w:r>
        <w:instrText xml:space="preserve"> XE "data (Data Cannot Be Changed)" </w:instrText>
      </w:r>
      <w:r>
        <w:fldChar w:fldCharType="end"/>
      </w:r>
    </w:p>
    <w:p w:rsidR="00024C0A" w:rsidRDefault="00694C0F">
      <w:pPr>
        <w:pStyle w:val="Definition-Field"/>
      </w:pPr>
      <w:r>
        <w:t xml:space="preserve">a.   </w:t>
      </w:r>
      <w:r>
        <w:rPr>
          <w:i/>
        </w:rPr>
        <w:t>The standard states that the data element prevents the user from ch</w:t>
      </w:r>
      <w:r>
        <w:rPr>
          <w:i/>
        </w:rPr>
        <w:t>anging the choice of data used for the chart".</w:t>
      </w:r>
    </w:p>
    <w:p w:rsidR="00024C0A" w:rsidRDefault="00694C0F">
      <w:pPr>
        <w:pStyle w:val="Definition-Field2"/>
      </w:pPr>
      <w:r>
        <w:t>Office does not respect this element and allows the user to change the choice of data.</w:t>
      </w:r>
    </w:p>
    <w:p w:rsidR="00024C0A" w:rsidRDefault="00694C0F">
      <w:pPr>
        <w:pStyle w:val="Heading3"/>
      </w:pPr>
      <w:bookmarkStart w:id="2903" w:name="section_6ef956354ff54794a80e60decf3acac7"/>
      <w:bookmarkStart w:id="2904" w:name="_Toc12261512"/>
      <w:r>
        <w:t>Part 1 Section 21.2.2.39, dateAx (Date Axis)</w:t>
      </w:r>
      <w:bookmarkEnd w:id="2903"/>
      <w:bookmarkEnd w:id="2904"/>
      <w:r>
        <w:fldChar w:fldCharType="begin"/>
      </w:r>
      <w:r>
        <w:instrText xml:space="preserve"> XE "dateAx (Date Axis)" </w:instrText>
      </w:r>
      <w:r>
        <w:fldChar w:fldCharType="end"/>
      </w:r>
    </w:p>
    <w:p w:rsidR="00024C0A" w:rsidRDefault="00694C0F">
      <w:pPr>
        <w:pStyle w:val="Definition-Field"/>
      </w:pPr>
      <w:r>
        <w:t xml:space="preserve">a.   </w:t>
      </w:r>
      <w:r>
        <w:rPr>
          <w:i/>
        </w:rPr>
        <w:t xml:space="preserve">The standard does not place any restrictions </w:t>
      </w:r>
      <w:r>
        <w:rPr>
          <w:i/>
        </w:rPr>
        <w:t>on the val attribute of the axId element.</w:t>
      </w:r>
    </w:p>
    <w:p w:rsidR="00024C0A" w:rsidRDefault="00694C0F">
      <w:pPr>
        <w:pStyle w:val="Definition-Field2"/>
      </w:pPr>
      <w:r>
        <w:t>Office requires that the val attribute of the axId element matches the val attribute of an axId element in the parent chart.</w:t>
      </w:r>
    </w:p>
    <w:p w:rsidR="00024C0A" w:rsidRDefault="00694C0F">
      <w:pPr>
        <w:pStyle w:val="Definition-Field"/>
      </w:pPr>
      <w:r>
        <w:t xml:space="preserve">b.   </w:t>
      </w:r>
      <w:r>
        <w:rPr>
          <w:i/>
        </w:rPr>
        <w:t xml:space="preserve">The standard does not place any restrictions on the val attribute of the crossAx </w:t>
      </w:r>
      <w:r>
        <w:rPr>
          <w:i/>
        </w:rPr>
        <w:t>element.</w:t>
      </w:r>
    </w:p>
    <w:p w:rsidR="00024C0A" w:rsidRDefault="00694C0F">
      <w:pPr>
        <w:pStyle w:val="Definition-Field2"/>
      </w:pPr>
      <w:r>
        <w:t>Office requires that the val attribute of the crossAx element matches the val attribute of an axId element in the parent chart.</w:t>
      </w:r>
    </w:p>
    <w:p w:rsidR="00024C0A" w:rsidRDefault="00694C0F">
      <w:pPr>
        <w:pStyle w:val="Heading3"/>
      </w:pPr>
      <w:bookmarkStart w:id="2905" w:name="section_2643b6345b714371b8d9b25715fe3ebb"/>
      <w:bookmarkStart w:id="2906" w:name="_Toc12261513"/>
      <w:r>
        <w:t>Part 1 Section 21.2.2.41, depthPercent (Depth Percent)</w:t>
      </w:r>
      <w:bookmarkEnd w:id="2905"/>
      <w:bookmarkEnd w:id="2906"/>
      <w:r>
        <w:fldChar w:fldCharType="begin"/>
      </w:r>
      <w:r>
        <w:instrText xml:space="preserve"> XE "depthPercent (Depth Percent)" </w:instrText>
      </w:r>
      <w:r>
        <w:fldChar w:fldCharType="end"/>
      </w:r>
    </w:p>
    <w:p w:rsidR="00024C0A" w:rsidRDefault="00694C0F">
      <w:pPr>
        <w:pStyle w:val="Definition-Field"/>
      </w:pPr>
      <w:r>
        <w:t xml:space="preserve">a.   </w:t>
      </w:r>
      <w:r>
        <w:rPr>
          <w:i/>
        </w:rPr>
        <w:t>The standard states th</w:t>
      </w:r>
      <w:r>
        <w:rPr>
          <w:i/>
        </w:rPr>
        <w:t>at the depthpercent element specifies the depth of a 3-D chart as a percentage of the chart width.</w:t>
      </w:r>
    </w:p>
    <w:p w:rsidR="00024C0A" w:rsidRDefault="00694C0F">
      <w:pPr>
        <w:pStyle w:val="Definition-Field2"/>
      </w:pPr>
      <w:r>
        <w:t>In Office, this element specifies the depth of a 3-D chart as a percentage of the 3-D plot area width.</w:t>
      </w:r>
    </w:p>
    <w:p w:rsidR="00024C0A" w:rsidRDefault="00694C0F">
      <w:pPr>
        <w:pStyle w:val="Heading3"/>
      </w:pPr>
      <w:bookmarkStart w:id="2907" w:name="section_1942c0283c4e4dd9a379b12a9b7914df"/>
      <w:bookmarkStart w:id="2908" w:name="_Toc12261514"/>
      <w:r>
        <w:t>Part 1 Section 21.2.2.42, dispBlanksAs (Display Blanks</w:t>
      </w:r>
      <w:r>
        <w:t xml:space="preserve"> As)</w:t>
      </w:r>
      <w:bookmarkEnd w:id="2907"/>
      <w:bookmarkEnd w:id="2908"/>
      <w:r>
        <w:fldChar w:fldCharType="begin"/>
      </w:r>
      <w:r>
        <w:instrText xml:space="preserve"> XE "dispBlanksAs (Display Blanks As)" </w:instrText>
      </w:r>
      <w:r>
        <w:fldChar w:fldCharType="end"/>
      </w:r>
    </w:p>
    <w:p w:rsidR="00024C0A" w:rsidRDefault="00694C0F">
      <w:pPr>
        <w:pStyle w:val="Definition-Field"/>
      </w:pPr>
      <w:r>
        <w:t xml:space="preserve">a.   </w:t>
      </w:r>
      <w:r>
        <w:rPr>
          <w:i/>
        </w:rPr>
        <w:t>The standard places no restriction on @val beyond ST_DisplayBlanksAs.</w:t>
      </w:r>
    </w:p>
    <w:p w:rsidR="00024C0A" w:rsidRDefault="00694C0F">
      <w:r>
        <w:lastRenderedPageBreak/>
        <w:t>The following table shows which chart types support which methods of displaying blank cells.  The supported methods often depend on the</w:t>
      </w:r>
      <w:r>
        <w:t xml:space="preserve"> chart’s grouping ("</w:t>
      </w:r>
      <w:hyperlink r:id="rId205">
        <w:r>
          <w:rPr>
            <w:rStyle w:val="Hyperlink"/>
          </w:rPr>
          <w:t>[ISO/IEC-29500-1]</w:t>
        </w:r>
      </w:hyperlink>
      <w:r>
        <w:t xml:space="preserve"> §21.2.2.76; grouping")</w:t>
      </w:r>
      <w:r>
        <w:rPr>
          <w:b/>
        </w:rPr>
        <w:t xml:space="preserve"> type.</w:t>
      </w:r>
    </w:p>
    <w:tbl>
      <w:tblPr>
        <w:tblStyle w:val="Table-ShadedHeader"/>
        <w:tblW w:w="0" w:type="auto"/>
        <w:tblLook w:val="04A0" w:firstRow="1" w:lastRow="0" w:firstColumn="1" w:lastColumn="0" w:noHBand="0" w:noVBand="1"/>
      </w:tblPr>
      <w:tblGrid>
        <w:gridCol w:w="6555"/>
        <w:gridCol w:w="678"/>
        <w:gridCol w:w="678"/>
        <w:gridCol w:w="678"/>
        <w:gridCol w:w="88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Chart Type</w:t>
            </w:r>
          </w:p>
        </w:tc>
        <w:tc>
          <w:tcPr>
            <w:tcW w:w="0" w:type="auto"/>
            <w:vAlign w:val="center"/>
          </w:tcPr>
          <w:p w:rsidR="00024C0A" w:rsidRDefault="00694C0F">
            <w:pPr>
              <w:pStyle w:val="TableHeaderText"/>
            </w:pPr>
            <w:r>
              <w:t>Gap</w:t>
            </w:r>
          </w:p>
        </w:tc>
        <w:tc>
          <w:tcPr>
            <w:tcW w:w="0" w:type="auto"/>
            <w:vAlign w:val="center"/>
          </w:tcPr>
          <w:p w:rsidR="00024C0A" w:rsidRDefault="00694C0F">
            <w:pPr>
              <w:pStyle w:val="TableHeaderText"/>
            </w:pPr>
            <w:r>
              <w:t>Span</w:t>
            </w:r>
          </w:p>
        </w:tc>
        <w:tc>
          <w:tcPr>
            <w:tcW w:w="0" w:type="auto"/>
            <w:vAlign w:val="center"/>
          </w:tcPr>
          <w:p w:rsidR="00024C0A" w:rsidRDefault="00694C0F">
            <w:pPr>
              <w:pStyle w:val="TableHeaderText"/>
            </w:pPr>
            <w:r>
              <w:t>Zero</w:t>
            </w:r>
          </w:p>
        </w:tc>
        <w:tc>
          <w:tcPr>
            <w:tcW w:w="0" w:type="auto"/>
            <w:vAlign w:val="center"/>
          </w:tcPr>
          <w:p w:rsidR="00024C0A" w:rsidRDefault="00694C0F">
            <w:pPr>
              <w:pStyle w:val="TableHeaderText"/>
            </w:pPr>
            <w:r>
              <w:t>Default</w:t>
            </w:r>
          </w:p>
        </w:tc>
      </w:tr>
      <w:tr w:rsidR="00024C0A" w:rsidTr="00024C0A">
        <w:tc>
          <w:tcPr>
            <w:tcW w:w="0" w:type="auto"/>
            <w:vAlign w:val="center"/>
          </w:tcPr>
          <w:p w:rsidR="00024C0A" w:rsidRDefault="00694C0F">
            <w:pPr>
              <w:pStyle w:val="TableBodyText"/>
            </w:pPr>
            <w:r>
              <w:t>("[ISO/IEC-29500-1] §21.2.2.16; barChart (Bar Charts)")</w:t>
            </w:r>
            <w:r>
              <w:rPr>
                <w:b/>
              </w:rPr>
              <w:t xml:space="preserve"> </w:t>
            </w:r>
          </w:p>
        </w:tc>
        <w:tc>
          <w:tcPr>
            <w:tcW w:w="0" w:type="auto"/>
            <w:vAlign w:val="center"/>
          </w:tcPr>
          <w:p w:rsidR="00024C0A" w:rsidRDefault="00694C0F">
            <w:pPr>
              <w:pStyle w:val="ListParagraph"/>
              <w:numPr>
                <w:ilvl w:val="0"/>
                <w:numId w:val="135"/>
              </w:numPr>
            </w:pPr>
            <w:r>
              <w:t>•</w:t>
            </w:r>
          </w:p>
        </w:tc>
        <w:tc>
          <w:tcPr>
            <w:tcW w:w="0" w:type="auto"/>
            <w:vAlign w:val="center"/>
          </w:tcPr>
          <w:p w:rsidR="00024C0A" w:rsidRDefault="00024C0A">
            <w:pPr>
              <w:pStyle w:val="TableBodyText"/>
            </w:pPr>
          </w:p>
        </w:tc>
        <w:tc>
          <w:tcPr>
            <w:tcW w:w="0" w:type="auto"/>
            <w:vAlign w:val="center"/>
          </w:tcPr>
          <w:p w:rsidR="00024C0A" w:rsidRDefault="00694C0F">
            <w:pPr>
              <w:pStyle w:val="ListParagraph"/>
              <w:numPr>
                <w:ilvl w:val="0"/>
                <w:numId w:val="136"/>
              </w:numPr>
            </w:pPr>
            <w:r>
              <w:t>•</w:t>
            </w:r>
          </w:p>
        </w:tc>
        <w:tc>
          <w:tcPr>
            <w:tcW w:w="0" w:type="auto"/>
            <w:vAlign w:val="center"/>
          </w:tcPr>
          <w:p w:rsidR="00024C0A" w:rsidRDefault="00694C0F">
            <w:pPr>
              <w:pStyle w:val="TableBodyText"/>
            </w:pPr>
            <w:r>
              <w:rPr>
                <w:i/>
              </w:rPr>
              <w:t>gap</w:t>
            </w:r>
          </w:p>
        </w:tc>
      </w:tr>
      <w:tr w:rsidR="00024C0A" w:rsidTr="00024C0A">
        <w:tc>
          <w:tcPr>
            <w:tcW w:w="0" w:type="auto"/>
            <w:vAlign w:val="center"/>
          </w:tcPr>
          <w:p w:rsidR="00024C0A" w:rsidRDefault="00694C0F">
            <w:pPr>
              <w:pStyle w:val="TableBodyText"/>
            </w:pPr>
            <w:r>
              <w:t>("[ISO/IEC-29500-1]</w:t>
            </w:r>
            <w:r>
              <w:t xml:space="preserve"> §21.2.2.15; bar3DChart (3D Bar Charts)")</w:t>
            </w:r>
            <w:r>
              <w:rPr>
                <w:b/>
              </w:rPr>
              <w:t xml:space="preserve"> </w:t>
            </w:r>
          </w:p>
        </w:tc>
        <w:tc>
          <w:tcPr>
            <w:tcW w:w="0" w:type="auto"/>
            <w:vAlign w:val="center"/>
          </w:tcPr>
          <w:p w:rsidR="00024C0A" w:rsidRDefault="00694C0F">
            <w:pPr>
              <w:pStyle w:val="ListParagraph"/>
              <w:numPr>
                <w:ilvl w:val="0"/>
                <w:numId w:val="137"/>
              </w:numPr>
            </w:pPr>
            <w:r>
              <w:t>•</w:t>
            </w:r>
          </w:p>
        </w:tc>
        <w:tc>
          <w:tcPr>
            <w:tcW w:w="0" w:type="auto"/>
            <w:vAlign w:val="center"/>
          </w:tcPr>
          <w:p w:rsidR="00024C0A" w:rsidRDefault="00024C0A">
            <w:pPr>
              <w:pStyle w:val="TableBodyText"/>
            </w:pPr>
          </w:p>
        </w:tc>
        <w:tc>
          <w:tcPr>
            <w:tcW w:w="0" w:type="auto"/>
            <w:vAlign w:val="center"/>
          </w:tcPr>
          <w:p w:rsidR="00024C0A" w:rsidRDefault="00694C0F">
            <w:pPr>
              <w:pStyle w:val="ListParagraph"/>
              <w:numPr>
                <w:ilvl w:val="0"/>
                <w:numId w:val="138"/>
              </w:numPr>
            </w:pPr>
            <w:r>
              <w:t>•</w:t>
            </w:r>
          </w:p>
        </w:tc>
        <w:tc>
          <w:tcPr>
            <w:tcW w:w="0" w:type="auto"/>
            <w:vAlign w:val="center"/>
          </w:tcPr>
          <w:p w:rsidR="00024C0A" w:rsidRDefault="00694C0F">
            <w:pPr>
              <w:pStyle w:val="TableBodyText"/>
            </w:pPr>
            <w:r>
              <w:rPr>
                <w:i/>
              </w:rPr>
              <w:t>gap</w:t>
            </w:r>
          </w:p>
        </w:tc>
      </w:tr>
      <w:tr w:rsidR="00024C0A" w:rsidTr="00024C0A">
        <w:tc>
          <w:tcPr>
            <w:tcW w:w="0" w:type="auto"/>
            <w:vAlign w:val="center"/>
          </w:tcPr>
          <w:p w:rsidR="00024C0A" w:rsidRDefault="00694C0F">
            <w:pPr>
              <w:pStyle w:val="TableBodyText"/>
            </w:pPr>
            <w:r>
              <w:t>("[ISO/IEC-29500-1] §21.2.2.5; areaChart (Area Charts)")</w:t>
            </w:r>
            <w:r>
              <w:rPr>
                <w:b/>
              </w:rPr>
              <w:t xml:space="preserve"> </w:t>
            </w:r>
            <w:r>
              <w:t xml:space="preserve">where </w:t>
            </w:r>
            <w:r>
              <w:rPr>
                <w:b/>
              </w:rPr>
              <w:t>grouping</w:t>
            </w:r>
            <w:r>
              <w:t xml:space="preserve"> is </w:t>
            </w:r>
            <w:r>
              <w:rPr>
                <w:i/>
              </w:rPr>
              <w:t>standard</w:t>
            </w:r>
          </w:p>
        </w:tc>
        <w:tc>
          <w:tcPr>
            <w:tcW w:w="0" w:type="auto"/>
            <w:vAlign w:val="center"/>
          </w:tcPr>
          <w:p w:rsidR="00024C0A" w:rsidRDefault="00694C0F">
            <w:pPr>
              <w:pStyle w:val="ListParagraph"/>
              <w:numPr>
                <w:ilvl w:val="0"/>
                <w:numId w:val="139"/>
              </w:numPr>
            </w:pPr>
            <w:r>
              <w:t>•</w:t>
            </w:r>
          </w:p>
        </w:tc>
        <w:tc>
          <w:tcPr>
            <w:tcW w:w="0" w:type="auto"/>
            <w:vAlign w:val="center"/>
          </w:tcPr>
          <w:p w:rsidR="00024C0A" w:rsidRDefault="00024C0A">
            <w:pPr>
              <w:pStyle w:val="TableBodyText"/>
            </w:pPr>
          </w:p>
        </w:tc>
        <w:tc>
          <w:tcPr>
            <w:tcW w:w="0" w:type="auto"/>
            <w:vAlign w:val="center"/>
          </w:tcPr>
          <w:p w:rsidR="00024C0A" w:rsidRDefault="00694C0F">
            <w:pPr>
              <w:pStyle w:val="ListParagraph"/>
              <w:numPr>
                <w:ilvl w:val="0"/>
                <w:numId w:val="140"/>
              </w:numPr>
            </w:pPr>
            <w:r>
              <w:t>•</w:t>
            </w:r>
          </w:p>
        </w:tc>
        <w:tc>
          <w:tcPr>
            <w:tcW w:w="0" w:type="auto"/>
            <w:vAlign w:val="center"/>
          </w:tcPr>
          <w:p w:rsidR="00024C0A" w:rsidRDefault="00694C0F">
            <w:pPr>
              <w:pStyle w:val="TableBodyText"/>
            </w:pPr>
            <w:r>
              <w:rPr>
                <w:i/>
              </w:rPr>
              <w:t>gap</w:t>
            </w:r>
          </w:p>
        </w:tc>
      </w:tr>
      <w:tr w:rsidR="00024C0A" w:rsidTr="00024C0A">
        <w:tc>
          <w:tcPr>
            <w:tcW w:w="0" w:type="auto"/>
            <w:vAlign w:val="center"/>
          </w:tcPr>
          <w:p w:rsidR="00024C0A" w:rsidRDefault="00694C0F">
            <w:pPr>
              <w:pStyle w:val="TableBodyText"/>
            </w:pPr>
            <w:r>
              <w:t>("[ISO/IEC-29500-1] §21.2.2.5; areaChart (Area Charts)")</w:t>
            </w:r>
            <w:r>
              <w:rPr>
                <w:b/>
              </w:rPr>
              <w:t xml:space="preserve"> </w:t>
            </w:r>
            <w:r>
              <w:t xml:space="preserve">where </w:t>
            </w:r>
            <w:r>
              <w:rPr>
                <w:b/>
              </w:rPr>
              <w:t>grouping</w:t>
            </w:r>
            <w:r>
              <w:t xml:space="preserve"> is not </w:t>
            </w:r>
            <w:r>
              <w:rPr>
                <w:i/>
              </w:rPr>
              <w:t>standard</w:t>
            </w:r>
          </w:p>
        </w:tc>
        <w:tc>
          <w:tcPr>
            <w:tcW w:w="0" w:type="auto"/>
            <w:vAlign w:val="center"/>
          </w:tcPr>
          <w:p w:rsidR="00024C0A" w:rsidRDefault="00024C0A">
            <w:pPr>
              <w:pStyle w:val="TableBodyText"/>
            </w:pPr>
          </w:p>
        </w:tc>
        <w:tc>
          <w:tcPr>
            <w:tcW w:w="0" w:type="auto"/>
            <w:vAlign w:val="center"/>
          </w:tcPr>
          <w:p w:rsidR="00024C0A" w:rsidRDefault="00024C0A">
            <w:pPr>
              <w:pStyle w:val="TableBodyText"/>
            </w:pPr>
          </w:p>
        </w:tc>
        <w:tc>
          <w:tcPr>
            <w:tcW w:w="0" w:type="auto"/>
            <w:vAlign w:val="center"/>
          </w:tcPr>
          <w:p w:rsidR="00024C0A" w:rsidRDefault="00694C0F">
            <w:pPr>
              <w:pStyle w:val="ListParagraph"/>
              <w:numPr>
                <w:ilvl w:val="0"/>
                <w:numId w:val="141"/>
              </w:numPr>
            </w:pPr>
            <w:r>
              <w:t>•</w:t>
            </w:r>
          </w:p>
        </w:tc>
        <w:tc>
          <w:tcPr>
            <w:tcW w:w="0" w:type="auto"/>
            <w:vAlign w:val="center"/>
          </w:tcPr>
          <w:p w:rsidR="00024C0A" w:rsidRDefault="00694C0F">
            <w:pPr>
              <w:pStyle w:val="TableBodyText"/>
            </w:pPr>
            <w:r>
              <w:rPr>
                <w:i/>
              </w:rPr>
              <w:t>zero</w:t>
            </w:r>
          </w:p>
        </w:tc>
      </w:tr>
      <w:tr w:rsidR="00024C0A" w:rsidTr="00024C0A">
        <w:tc>
          <w:tcPr>
            <w:tcW w:w="0" w:type="auto"/>
            <w:vAlign w:val="center"/>
          </w:tcPr>
          <w:p w:rsidR="00024C0A" w:rsidRDefault="00694C0F">
            <w:pPr>
              <w:pStyle w:val="TableBodyText"/>
            </w:pPr>
            <w:r>
              <w:t>("</w:t>
            </w:r>
            <w:r>
              <w:t>[ISO/IEC-29500-1] §21.2.2.4; area3DChart (3D Area Charts)")</w:t>
            </w:r>
          </w:p>
        </w:tc>
        <w:tc>
          <w:tcPr>
            <w:tcW w:w="0" w:type="auto"/>
            <w:vAlign w:val="center"/>
          </w:tcPr>
          <w:p w:rsidR="00024C0A" w:rsidRDefault="00024C0A">
            <w:pPr>
              <w:pStyle w:val="TableBodyText"/>
            </w:pPr>
          </w:p>
        </w:tc>
        <w:tc>
          <w:tcPr>
            <w:tcW w:w="0" w:type="auto"/>
            <w:vAlign w:val="center"/>
          </w:tcPr>
          <w:p w:rsidR="00024C0A" w:rsidRDefault="00024C0A">
            <w:pPr>
              <w:pStyle w:val="TableBodyText"/>
            </w:pPr>
          </w:p>
        </w:tc>
        <w:tc>
          <w:tcPr>
            <w:tcW w:w="0" w:type="auto"/>
            <w:vAlign w:val="center"/>
          </w:tcPr>
          <w:p w:rsidR="00024C0A" w:rsidRDefault="00694C0F">
            <w:pPr>
              <w:pStyle w:val="ListParagraph"/>
              <w:numPr>
                <w:ilvl w:val="0"/>
                <w:numId w:val="142"/>
              </w:numPr>
            </w:pPr>
            <w:r>
              <w:t>•</w:t>
            </w:r>
          </w:p>
        </w:tc>
        <w:tc>
          <w:tcPr>
            <w:tcW w:w="0" w:type="auto"/>
            <w:vAlign w:val="center"/>
          </w:tcPr>
          <w:p w:rsidR="00024C0A" w:rsidRDefault="00694C0F">
            <w:pPr>
              <w:pStyle w:val="TableBodyText"/>
            </w:pPr>
            <w:r>
              <w:rPr>
                <w:i/>
              </w:rPr>
              <w:t>zero</w:t>
            </w:r>
          </w:p>
        </w:tc>
      </w:tr>
      <w:tr w:rsidR="00024C0A" w:rsidTr="00024C0A">
        <w:tc>
          <w:tcPr>
            <w:tcW w:w="0" w:type="auto"/>
            <w:vAlign w:val="center"/>
          </w:tcPr>
          <w:p w:rsidR="00024C0A" w:rsidRDefault="00694C0F">
            <w:pPr>
              <w:pStyle w:val="TableBodyText"/>
            </w:pPr>
            <w:r>
              <w:t>("[ISO/IEC-29500-1] §21.2.2.97; lineChart (Line Charts)")</w:t>
            </w:r>
            <w:r>
              <w:rPr>
                <w:b/>
              </w:rPr>
              <w:t xml:space="preserve"> </w:t>
            </w:r>
            <w:r>
              <w:t xml:space="preserve">where </w:t>
            </w:r>
            <w:r>
              <w:rPr>
                <w:b/>
              </w:rPr>
              <w:t>grouping</w:t>
            </w:r>
            <w:r>
              <w:t xml:space="preserve"> is </w:t>
            </w:r>
            <w:r>
              <w:rPr>
                <w:i/>
              </w:rPr>
              <w:t>standard</w:t>
            </w:r>
          </w:p>
        </w:tc>
        <w:tc>
          <w:tcPr>
            <w:tcW w:w="0" w:type="auto"/>
            <w:vAlign w:val="center"/>
          </w:tcPr>
          <w:p w:rsidR="00024C0A" w:rsidRDefault="00694C0F">
            <w:pPr>
              <w:pStyle w:val="ListParagraph"/>
              <w:numPr>
                <w:ilvl w:val="0"/>
                <w:numId w:val="143"/>
              </w:numPr>
            </w:pPr>
            <w:r>
              <w:t>•</w:t>
            </w:r>
          </w:p>
        </w:tc>
        <w:tc>
          <w:tcPr>
            <w:tcW w:w="0" w:type="auto"/>
            <w:vAlign w:val="center"/>
          </w:tcPr>
          <w:p w:rsidR="00024C0A" w:rsidRDefault="00694C0F">
            <w:pPr>
              <w:pStyle w:val="ListParagraph"/>
              <w:numPr>
                <w:ilvl w:val="0"/>
                <w:numId w:val="144"/>
              </w:numPr>
            </w:pPr>
            <w:r>
              <w:t>•</w:t>
            </w:r>
          </w:p>
        </w:tc>
        <w:tc>
          <w:tcPr>
            <w:tcW w:w="0" w:type="auto"/>
            <w:vAlign w:val="center"/>
          </w:tcPr>
          <w:p w:rsidR="00024C0A" w:rsidRDefault="00694C0F">
            <w:pPr>
              <w:pStyle w:val="ListParagraph"/>
              <w:numPr>
                <w:ilvl w:val="0"/>
                <w:numId w:val="145"/>
              </w:numPr>
            </w:pPr>
            <w:r>
              <w:t>•</w:t>
            </w:r>
          </w:p>
        </w:tc>
        <w:tc>
          <w:tcPr>
            <w:tcW w:w="0" w:type="auto"/>
            <w:vAlign w:val="center"/>
          </w:tcPr>
          <w:p w:rsidR="00024C0A" w:rsidRDefault="00694C0F">
            <w:pPr>
              <w:pStyle w:val="TableBodyText"/>
            </w:pPr>
            <w:r>
              <w:rPr>
                <w:i/>
              </w:rPr>
              <w:t>gap</w:t>
            </w:r>
          </w:p>
        </w:tc>
      </w:tr>
      <w:tr w:rsidR="00024C0A" w:rsidTr="00024C0A">
        <w:tc>
          <w:tcPr>
            <w:tcW w:w="0" w:type="auto"/>
            <w:vAlign w:val="center"/>
          </w:tcPr>
          <w:p w:rsidR="00024C0A" w:rsidRDefault="00694C0F">
            <w:pPr>
              <w:pStyle w:val="TableBodyText"/>
            </w:pPr>
            <w:r>
              <w:t>("[ISO/IEC-29500-1] §21.2.2.97; lineChart (Line Charts)")</w:t>
            </w:r>
            <w:r>
              <w:rPr>
                <w:b/>
              </w:rPr>
              <w:t xml:space="preserve"> </w:t>
            </w:r>
            <w:r>
              <w:t xml:space="preserve">where </w:t>
            </w:r>
            <w:r>
              <w:rPr>
                <w:b/>
              </w:rPr>
              <w:t>grouping</w:t>
            </w:r>
            <w:r>
              <w:t xml:space="preserve"> is not </w:t>
            </w:r>
            <w:r>
              <w:rPr>
                <w:i/>
              </w:rPr>
              <w:t>standard</w:t>
            </w:r>
          </w:p>
        </w:tc>
        <w:tc>
          <w:tcPr>
            <w:tcW w:w="0" w:type="auto"/>
            <w:vAlign w:val="center"/>
          </w:tcPr>
          <w:p w:rsidR="00024C0A" w:rsidRDefault="00024C0A">
            <w:pPr>
              <w:pStyle w:val="TableBodyText"/>
            </w:pPr>
          </w:p>
        </w:tc>
        <w:tc>
          <w:tcPr>
            <w:tcW w:w="0" w:type="auto"/>
            <w:vAlign w:val="center"/>
          </w:tcPr>
          <w:p w:rsidR="00024C0A" w:rsidRDefault="00024C0A">
            <w:pPr>
              <w:pStyle w:val="TableBodyText"/>
            </w:pPr>
          </w:p>
        </w:tc>
        <w:tc>
          <w:tcPr>
            <w:tcW w:w="0" w:type="auto"/>
            <w:vAlign w:val="center"/>
          </w:tcPr>
          <w:p w:rsidR="00024C0A" w:rsidRDefault="00694C0F">
            <w:pPr>
              <w:pStyle w:val="ListParagraph"/>
              <w:numPr>
                <w:ilvl w:val="0"/>
                <w:numId w:val="146"/>
              </w:numPr>
            </w:pPr>
            <w:r>
              <w:t>•</w:t>
            </w:r>
          </w:p>
        </w:tc>
        <w:tc>
          <w:tcPr>
            <w:tcW w:w="0" w:type="auto"/>
            <w:vAlign w:val="center"/>
          </w:tcPr>
          <w:p w:rsidR="00024C0A" w:rsidRDefault="00694C0F">
            <w:pPr>
              <w:pStyle w:val="TableBodyText"/>
            </w:pPr>
            <w:r>
              <w:rPr>
                <w:i/>
              </w:rPr>
              <w:t>zero</w:t>
            </w:r>
          </w:p>
        </w:tc>
      </w:tr>
      <w:tr w:rsidR="00024C0A" w:rsidTr="00024C0A">
        <w:tc>
          <w:tcPr>
            <w:tcW w:w="0" w:type="auto"/>
            <w:vAlign w:val="center"/>
          </w:tcPr>
          <w:p w:rsidR="00024C0A" w:rsidRDefault="00694C0F">
            <w:pPr>
              <w:pStyle w:val="TableBodyText"/>
            </w:pPr>
            <w:r>
              <w:t>("[ISO/IEC-29500-1] §21.2.2.96; line3DChart (3D Line Charts)")</w:t>
            </w:r>
          </w:p>
        </w:tc>
        <w:tc>
          <w:tcPr>
            <w:tcW w:w="0" w:type="auto"/>
            <w:vAlign w:val="center"/>
          </w:tcPr>
          <w:p w:rsidR="00024C0A" w:rsidRDefault="00694C0F">
            <w:pPr>
              <w:pStyle w:val="ListParagraph"/>
              <w:numPr>
                <w:ilvl w:val="0"/>
                <w:numId w:val="147"/>
              </w:numPr>
            </w:pPr>
            <w:r>
              <w:t>•</w:t>
            </w:r>
          </w:p>
        </w:tc>
        <w:tc>
          <w:tcPr>
            <w:tcW w:w="0" w:type="auto"/>
            <w:vAlign w:val="center"/>
          </w:tcPr>
          <w:p w:rsidR="00024C0A" w:rsidRDefault="00024C0A">
            <w:pPr>
              <w:pStyle w:val="TableBodyText"/>
            </w:pPr>
          </w:p>
        </w:tc>
        <w:tc>
          <w:tcPr>
            <w:tcW w:w="0" w:type="auto"/>
            <w:vAlign w:val="center"/>
          </w:tcPr>
          <w:p w:rsidR="00024C0A" w:rsidRDefault="00694C0F">
            <w:pPr>
              <w:pStyle w:val="ListParagraph"/>
              <w:numPr>
                <w:ilvl w:val="0"/>
                <w:numId w:val="148"/>
              </w:numPr>
            </w:pPr>
            <w:r>
              <w:t>•</w:t>
            </w:r>
          </w:p>
        </w:tc>
        <w:tc>
          <w:tcPr>
            <w:tcW w:w="0" w:type="auto"/>
            <w:vAlign w:val="center"/>
          </w:tcPr>
          <w:p w:rsidR="00024C0A" w:rsidRDefault="00694C0F">
            <w:pPr>
              <w:pStyle w:val="TableBodyText"/>
            </w:pPr>
            <w:r>
              <w:rPr>
                <w:i/>
              </w:rPr>
              <w:t>gap</w:t>
            </w:r>
          </w:p>
        </w:tc>
      </w:tr>
      <w:tr w:rsidR="00024C0A" w:rsidTr="00024C0A">
        <w:tc>
          <w:tcPr>
            <w:tcW w:w="0" w:type="auto"/>
            <w:vAlign w:val="center"/>
          </w:tcPr>
          <w:p w:rsidR="00024C0A" w:rsidRDefault="00694C0F">
            <w:pPr>
              <w:pStyle w:val="TableBodyText"/>
            </w:pPr>
            <w:r>
              <w:t>("[ISO/IEC-29500-1] §21.2.2.141; pieChart (Pie Charts)")</w:t>
            </w:r>
          </w:p>
        </w:tc>
        <w:tc>
          <w:tcPr>
            <w:tcW w:w="0" w:type="auto"/>
            <w:vAlign w:val="center"/>
          </w:tcPr>
          <w:p w:rsidR="00024C0A" w:rsidRDefault="00694C0F">
            <w:pPr>
              <w:pStyle w:val="ListParagraph"/>
              <w:numPr>
                <w:ilvl w:val="0"/>
                <w:numId w:val="149"/>
              </w:numPr>
            </w:pPr>
            <w:r>
              <w:t>•</w:t>
            </w:r>
          </w:p>
        </w:tc>
        <w:tc>
          <w:tcPr>
            <w:tcW w:w="0" w:type="auto"/>
            <w:vAlign w:val="center"/>
          </w:tcPr>
          <w:p w:rsidR="00024C0A" w:rsidRDefault="00024C0A">
            <w:pPr>
              <w:pStyle w:val="TableBodyText"/>
            </w:pPr>
          </w:p>
        </w:tc>
        <w:tc>
          <w:tcPr>
            <w:tcW w:w="0" w:type="auto"/>
            <w:vAlign w:val="center"/>
          </w:tcPr>
          <w:p w:rsidR="00024C0A" w:rsidRDefault="00694C0F">
            <w:pPr>
              <w:pStyle w:val="ListParagraph"/>
              <w:numPr>
                <w:ilvl w:val="0"/>
                <w:numId w:val="150"/>
              </w:numPr>
            </w:pPr>
            <w:r>
              <w:t>•</w:t>
            </w:r>
          </w:p>
        </w:tc>
        <w:tc>
          <w:tcPr>
            <w:tcW w:w="0" w:type="auto"/>
            <w:vAlign w:val="center"/>
          </w:tcPr>
          <w:p w:rsidR="00024C0A" w:rsidRDefault="00694C0F">
            <w:pPr>
              <w:pStyle w:val="TableBodyText"/>
            </w:pPr>
            <w:r>
              <w:rPr>
                <w:i/>
              </w:rPr>
              <w:t>gap</w:t>
            </w:r>
          </w:p>
        </w:tc>
      </w:tr>
      <w:tr w:rsidR="00024C0A" w:rsidTr="00024C0A">
        <w:tc>
          <w:tcPr>
            <w:tcW w:w="0" w:type="auto"/>
            <w:vAlign w:val="center"/>
          </w:tcPr>
          <w:p w:rsidR="00024C0A" w:rsidRDefault="00694C0F">
            <w:pPr>
              <w:pStyle w:val="TableBodyText"/>
            </w:pPr>
            <w:r>
              <w:t>("[ISO/IEC-29500-1] §21.2.2.140; pie3DChart (3D Pie Charts)")</w:t>
            </w:r>
          </w:p>
        </w:tc>
        <w:tc>
          <w:tcPr>
            <w:tcW w:w="0" w:type="auto"/>
            <w:vAlign w:val="center"/>
          </w:tcPr>
          <w:p w:rsidR="00024C0A" w:rsidRDefault="00694C0F">
            <w:pPr>
              <w:pStyle w:val="ListParagraph"/>
              <w:numPr>
                <w:ilvl w:val="0"/>
                <w:numId w:val="151"/>
              </w:numPr>
            </w:pPr>
            <w:r>
              <w:t>•</w:t>
            </w:r>
          </w:p>
        </w:tc>
        <w:tc>
          <w:tcPr>
            <w:tcW w:w="0" w:type="auto"/>
            <w:vAlign w:val="center"/>
          </w:tcPr>
          <w:p w:rsidR="00024C0A" w:rsidRDefault="00024C0A">
            <w:pPr>
              <w:pStyle w:val="TableBodyText"/>
            </w:pPr>
          </w:p>
        </w:tc>
        <w:tc>
          <w:tcPr>
            <w:tcW w:w="0" w:type="auto"/>
            <w:vAlign w:val="center"/>
          </w:tcPr>
          <w:p w:rsidR="00024C0A" w:rsidRDefault="00694C0F">
            <w:pPr>
              <w:pStyle w:val="ListParagraph"/>
              <w:numPr>
                <w:ilvl w:val="0"/>
                <w:numId w:val="152"/>
              </w:numPr>
            </w:pPr>
            <w:r>
              <w:t>•</w:t>
            </w:r>
          </w:p>
        </w:tc>
        <w:tc>
          <w:tcPr>
            <w:tcW w:w="0" w:type="auto"/>
            <w:vAlign w:val="center"/>
          </w:tcPr>
          <w:p w:rsidR="00024C0A" w:rsidRDefault="00694C0F">
            <w:pPr>
              <w:pStyle w:val="TableBodyText"/>
            </w:pPr>
            <w:r>
              <w:rPr>
                <w:i/>
              </w:rPr>
              <w:t>gap</w:t>
            </w:r>
          </w:p>
        </w:tc>
      </w:tr>
      <w:tr w:rsidR="00024C0A" w:rsidTr="00024C0A">
        <w:tc>
          <w:tcPr>
            <w:tcW w:w="0" w:type="auto"/>
            <w:vAlign w:val="center"/>
          </w:tcPr>
          <w:p w:rsidR="00024C0A" w:rsidRDefault="00694C0F">
            <w:pPr>
              <w:pStyle w:val="TableBodyText"/>
            </w:pPr>
            <w:r>
              <w:t>("[ISO/IEC-29500-1]</w:t>
            </w:r>
            <w:r>
              <w:t xml:space="preserve"> §21.2.2.50; doughnutChart (Doughnut Charts)")</w:t>
            </w:r>
          </w:p>
        </w:tc>
        <w:tc>
          <w:tcPr>
            <w:tcW w:w="0" w:type="auto"/>
            <w:vAlign w:val="center"/>
          </w:tcPr>
          <w:p w:rsidR="00024C0A" w:rsidRDefault="00694C0F">
            <w:pPr>
              <w:pStyle w:val="ListParagraph"/>
              <w:numPr>
                <w:ilvl w:val="0"/>
                <w:numId w:val="153"/>
              </w:numPr>
            </w:pPr>
            <w:r>
              <w:t>•</w:t>
            </w:r>
          </w:p>
        </w:tc>
        <w:tc>
          <w:tcPr>
            <w:tcW w:w="0" w:type="auto"/>
            <w:vAlign w:val="center"/>
          </w:tcPr>
          <w:p w:rsidR="00024C0A" w:rsidRDefault="00024C0A">
            <w:pPr>
              <w:pStyle w:val="TableBodyText"/>
            </w:pPr>
          </w:p>
        </w:tc>
        <w:tc>
          <w:tcPr>
            <w:tcW w:w="0" w:type="auto"/>
            <w:vAlign w:val="center"/>
          </w:tcPr>
          <w:p w:rsidR="00024C0A" w:rsidRDefault="00694C0F">
            <w:pPr>
              <w:pStyle w:val="ListParagraph"/>
              <w:numPr>
                <w:ilvl w:val="0"/>
                <w:numId w:val="154"/>
              </w:numPr>
            </w:pPr>
            <w:r>
              <w:t>•</w:t>
            </w:r>
          </w:p>
        </w:tc>
        <w:tc>
          <w:tcPr>
            <w:tcW w:w="0" w:type="auto"/>
            <w:vAlign w:val="center"/>
          </w:tcPr>
          <w:p w:rsidR="00024C0A" w:rsidRDefault="00694C0F">
            <w:pPr>
              <w:pStyle w:val="TableBodyText"/>
            </w:pPr>
            <w:r>
              <w:rPr>
                <w:i/>
              </w:rPr>
              <w:t>gap</w:t>
            </w:r>
          </w:p>
        </w:tc>
      </w:tr>
      <w:tr w:rsidR="00024C0A" w:rsidTr="00024C0A">
        <w:tc>
          <w:tcPr>
            <w:tcW w:w="0" w:type="auto"/>
            <w:vAlign w:val="center"/>
          </w:tcPr>
          <w:p w:rsidR="00024C0A" w:rsidRDefault="00694C0F">
            <w:pPr>
              <w:pStyle w:val="TableBodyText"/>
            </w:pPr>
            <w:r>
              <w:t>("[ISO/IEC-29500-1] §21.2.2.20; bubbleChart (Bubble Charts)")</w:t>
            </w:r>
          </w:p>
        </w:tc>
        <w:tc>
          <w:tcPr>
            <w:tcW w:w="0" w:type="auto"/>
            <w:vAlign w:val="center"/>
          </w:tcPr>
          <w:p w:rsidR="00024C0A" w:rsidRDefault="00694C0F">
            <w:pPr>
              <w:pStyle w:val="ListParagraph"/>
              <w:numPr>
                <w:ilvl w:val="0"/>
                <w:numId w:val="155"/>
              </w:numPr>
            </w:pPr>
            <w:r>
              <w:t>•</w:t>
            </w:r>
          </w:p>
        </w:tc>
        <w:tc>
          <w:tcPr>
            <w:tcW w:w="0" w:type="auto"/>
            <w:vAlign w:val="center"/>
          </w:tcPr>
          <w:p w:rsidR="00024C0A" w:rsidRDefault="00694C0F">
            <w:pPr>
              <w:pStyle w:val="ListParagraph"/>
              <w:numPr>
                <w:ilvl w:val="0"/>
                <w:numId w:val="156"/>
              </w:numPr>
            </w:pPr>
            <w:r>
              <w:t>•</w:t>
            </w:r>
          </w:p>
        </w:tc>
        <w:tc>
          <w:tcPr>
            <w:tcW w:w="0" w:type="auto"/>
            <w:vAlign w:val="center"/>
          </w:tcPr>
          <w:p w:rsidR="00024C0A" w:rsidRDefault="00694C0F">
            <w:pPr>
              <w:pStyle w:val="ListParagraph"/>
              <w:numPr>
                <w:ilvl w:val="0"/>
                <w:numId w:val="157"/>
              </w:numPr>
            </w:pPr>
            <w:r>
              <w:t>•</w:t>
            </w:r>
          </w:p>
        </w:tc>
        <w:tc>
          <w:tcPr>
            <w:tcW w:w="0" w:type="auto"/>
            <w:vAlign w:val="center"/>
          </w:tcPr>
          <w:p w:rsidR="00024C0A" w:rsidRDefault="00694C0F">
            <w:pPr>
              <w:pStyle w:val="TableBodyText"/>
            </w:pPr>
            <w:r>
              <w:rPr>
                <w:i/>
              </w:rPr>
              <w:t>gap</w:t>
            </w:r>
          </w:p>
        </w:tc>
      </w:tr>
      <w:tr w:rsidR="00024C0A" w:rsidTr="00024C0A">
        <w:tc>
          <w:tcPr>
            <w:tcW w:w="0" w:type="auto"/>
            <w:vAlign w:val="center"/>
          </w:tcPr>
          <w:p w:rsidR="00024C0A" w:rsidRDefault="00694C0F">
            <w:pPr>
              <w:pStyle w:val="TableBodyText"/>
            </w:pPr>
            <w:r>
              <w:t>("[ISO/IEC-29500-1] §21.2.2.161; scatterChart (Scatter Charts)")</w:t>
            </w:r>
          </w:p>
        </w:tc>
        <w:tc>
          <w:tcPr>
            <w:tcW w:w="0" w:type="auto"/>
            <w:vAlign w:val="center"/>
          </w:tcPr>
          <w:p w:rsidR="00024C0A" w:rsidRDefault="00694C0F">
            <w:pPr>
              <w:pStyle w:val="ListParagraph"/>
              <w:numPr>
                <w:ilvl w:val="0"/>
                <w:numId w:val="158"/>
              </w:numPr>
            </w:pPr>
            <w:r>
              <w:t>•</w:t>
            </w:r>
          </w:p>
        </w:tc>
        <w:tc>
          <w:tcPr>
            <w:tcW w:w="0" w:type="auto"/>
            <w:vAlign w:val="center"/>
          </w:tcPr>
          <w:p w:rsidR="00024C0A" w:rsidRDefault="00694C0F">
            <w:pPr>
              <w:pStyle w:val="ListParagraph"/>
              <w:numPr>
                <w:ilvl w:val="0"/>
                <w:numId w:val="159"/>
              </w:numPr>
            </w:pPr>
            <w:r>
              <w:t>•</w:t>
            </w:r>
          </w:p>
        </w:tc>
        <w:tc>
          <w:tcPr>
            <w:tcW w:w="0" w:type="auto"/>
            <w:vAlign w:val="center"/>
          </w:tcPr>
          <w:p w:rsidR="00024C0A" w:rsidRDefault="00694C0F">
            <w:pPr>
              <w:pStyle w:val="ListParagraph"/>
              <w:numPr>
                <w:ilvl w:val="0"/>
                <w:numId w:val="160"/>
              </w:numPr>
            </w:pPr>
            <w:r>
              <w:t>•</w:t>
            </w:r>
          </w:p>
        </w:tc>
        <w:tc>
          <w:tcPr>
            <w:tcW w:w="0" w:type="auto"/>
            <w:vAlign w:val="center"/>
          </w:tcPr>
          <w:p w:rsidR="00024C0A" w:rsidRDefault="00694C0F">
            <w:pPr>
              <w:pStyle w:val="TableBodyText"/>
            </w:pPr>
            <w:r>
              <w:rPr>
                <w:i/>
              </w:rPr>
              <w:t>gap</w:t>
            </w:r>
          </w:p>
        </w:tc>
      </w:tr>
      <w:tr w:rsidR="00024C0A" w:rsidTr="00024C0A">
        <w:tc>
          <w:tcPr>
            <w:tcW w:w="0" w:type="auto"/>
            <w:vAlign w:val="center"/>
          </w:tcPr>
          <w:p w:rsidR="00024C0A" w:rsidRDefault="00694C0F">
            <w:pPr>
              <w:pStyle w:val="TableBodyText"/>
            </w:pPr>
            <w:r>
              <w:t>("[ISO/IEC-29500-1]</w:t>
            </w:r>
            <w:r>
              <w:t xml:space="preserve"> §21.2.2.153; radarChart (Radar Charts)")</w:t>
            </w:r>
          </w:p>
        </w:tc>
        <w:tc>
          <w:tcPr>
            <w:tcW w:w="0" w:type="auto"/>
            <w:vAlign w:val="center"/>
          </w:tcPr>
          <w:p w:rsidR="00024C0A" w:rsidRDefault="00694C0F">
            <w:pPr>
              <w:pStyle w:val="ListParagraph"/>
              <w:numPr>
                <w:ilvl w:val="0"/>
                <w:numId w:val="161"/>
              </w:numPr>
            </w:pPr>
            <w:r>
              <w:t>•</w:t>
            </w:r>
          </w:p>
        </w:tc>
        <w:tc>
          <w:tcPr>
            <w:tcW w:w="0" w:type="auto"/>
            <w:vAlign w:val="center"/>
          </w:tcPr>
          <w:p w:rsidR="00024C0A" w:rsidRDefault="00694C0F">
            <w:pPr>
              <w:pStyle w:val="ListParagraph"/>
              <w:numPr>
                <w:ilvl w:val="0"/>
                <w:numId w:val="162"/>
              </w:numPr>
            </w:pPr>
            <w:r>
              <w:t>•</w:t>
            </w:r>
          </w:p>
        </w:tc>
        <w:tc>
          <w:tcPr>
            <w:tcW w:w="0" w:type="auto"/>
            <w:vAlign w:val="center"/>
          </w:tcPr>
          <w:p w:rsidR="00024C0A" w:rsidRDefault="00694C0F">
            <w:pPr>
              <w:pStyle w:val="ListParagraph"/>
              <w:numPr>
                <w:ilvl w:val="0"/>
                <w:numId w:val="163"/>
              </w:numPr>
            </w:pPr>
            <w:r>
              <w:t>•</w:t>
            </w:r>
          </w:p>
        </w:tc>
        <w:tc>
          <w:tcPr>
            <w:tcW w:w="0" w:type="auto"/>
            <w:vAlign w:val="center"/>
          </w:tcPr>
          <w:p w:rsidR="00024C0A" w:rsidRDefault="00694C0F">
            <w:pPr>
              <w:pStyle w:val="TableBodyText"/>
            </w:pPr>
            <w:r>
              <w:rPr>
                <w:i/>
              </w:rPr>
              <w:t>gap</w:t>
            </w:r>
          </w:p>
        </w:tc>
      </w:tr>
    </w:tbl>
    <w:p w:rsidR="00024C0A" w:rsidRDefault="00024C0A"/>
    <w:p w:rsidR="00024C0A" w:rsidRDefault="00694C0F">
      <w:r>
        <w:t>If a method of displaying blank cells not supported by the chart type is specified, the chart uses its default method of displaying blank cells.</w:t>
      </w:r>
    </w:p>
    <w:p w:rsidR="00024C0A" w:rsidRDefault="00694C0F">
      <w:pPr>
        <w:pStyle w:val="Heading3"/>
      </w:pPr>
      <w:bookmarkStart w:id="2909" w:name="section_a025f35c26614dd18afdcc79c9784163"/>
      <w:bookmarkStart w:id="2910" w:name="_Toc12261515"/>
      <w:r>
        <w:t>Part 1 Section 21.2.2.43, dispEq (Display Equation)</w:t>
      </w:r>
      <w:bookmarkEnd w:id="2909"/>
      <w:bookmarkEnd w:id="2910"/>
      <w:r>
        <w:fldChar w:fldCharType="begin"/>
      </w:r>
      <w:r>
        <w:instrText xml:space="preserve"> XE "dispEq (Display Equation)" </w:instrText>
      </w:r>
      <w:r>
        <w:fldChar w:fldCharType="end"/>
      </w:r>
    </w:p>
    <w:p w:rsidR="00024C0A" w:rsidRDefault="00694C0F">
      <w:pPr>
        <w:pStyle w:val="Definition-Field"/>
      </w:pPr>
      <w:r>
        <w:t xml:space="preserve">a.   </w:t>
      </w:r>
      <w:r>
        <w:rPr>
          <w:i/>
        </w:rPr>
        <w:t>The standard does not state any exceptions that cause the dispEq element to be ignored.</w:t>
      </w:r>
    </w:p>
    <w:p w:rsidR="00024C0A" w:rsidRDefault="00694C0F">
      <w:pPr>
        <w:pStyle w:val="Definition-Field2"/>
      </w:pPr>
      <w:r>
        <w:t>Office ignores this element if the trendlineLbl sibling element contains a tx element or if the value attribute of trendlineType</w:t>
      </w:r>
      <w:r>
        <w:t xml:space="preserve"> sibling element is equal to movingAvg.</w:t>
      </w:r>
    </w:p>
    <w:p w:rsidR="00024C0A" w:rsidRDefault="00694C0F">
      <w:pPr>
        <w:pStyle w:val="Heading3"/>
      </w:pPr>
      <w:bookmarkStart w:id="2911" w:name="section_e70f0d892989462194257749106adbe1"/>
      <w:bookmarkStart w:id="2912" w:name="_Toc12261516"/>
      <w:r>
        <w:lastRenderedPageBreak/>
        <w:t>Part 1 Section 21.2.2.44, dispRSqr (Display R Squared Value)</w:t>
      </w:r>
      <w:bookmarkEnd w:id="2911"/>
      <w:bookmarkEnd w:id="2912"/>
      <w:r>
        <w:fldChar w:fldCharType="begin"/>
      </w:r>
      <w:r>
        <w:instrText xml:space="preserve"> XE "dispRSqr (Display R Squared Value)" </w:instrText>
      </w:r>
      <w:r>
        <w:fldChar w:fldCharType="end"/>
      </w:r>
    </w:p>
    <w:p w:rsidR="00024C0A" w:rsidRDefault="00694C0F">
      <w:pPr>
        <w:pStyle w:val="Definition-Field"/>
      </w:pPr>
      <w:r>
        <w:t xml:space="preserve">a.   </w:t>
      </w:r>
      <w:r>
        <w:rPr>
          <w:i/>
        </w:rPr>
        <w:t>The standard does not state any exceptions that cause the dispRSqr element to be ignored.</w:t>
      </w:r>
    </w:p>
    <w:p w:rsidR="00024C0A" w:rsidRDefault="00694C0F">
      <w:pPr>
        <w:pStyle w:val="Definition-Field2"/>
      </w:pPr>
      <w:r>
        <w:t>Office ignores th</w:t>
      </w:r>
      <w:r>
        <w:t>is element if the trendlineLbl sibling element contains a tx element or if the val attribute of trendlineType sibling element is equal to movingAvg.</w:t>
      </w:r>
    </w:p>
    <w:p w:rsidR="00024C0A" w:rsidRDefault="00694C0F">
      <w:pPr>
        <w:pStyle w:val="Heading3"/>
      </w:pPr>
      <w:bookmarkStart w:id="2913" w:name="section_f4264e4b7a40405da32ce804b2fcaac3"/>
      <w:bookmarkStart w:id="2914" w:name="_Toc12261517"/>
      <w:r>
        <w:t>Part 1 Section 21.2.2.47, dLbl (Data Label)</w:t>
      </w:r>
      <w:bookmarkEnd w:id="2913"/>
      <w:bookmarkEnd w:id="2914"/>
      <w:r>
        <w:fldChar w:fldCharType="begin"/>
      </w:r>
      <w:r>
        <w:instrText xml:space="preserve"> XE "dLbl (Data Label)" </w:instrText>
      </w:r>
      <w:r>
        <w:fldChar w:fldCharType="end"/>
      </w:r>
    </w:p>
    <w:p w:rsidR="00024C0A" w:rsidRDefault="00694C0F">
      <w:pPr>
        <w:pStyle w:val="Definition-Field"/>
      </w:pPr>
      <w:r>
        <w:t xml:space="preserve">a.   </w:t>
      </w:r>
      <w:r>
        <w:rPr>
          <w:i/>
        </w:rPr>
        <w:t xml:space="preserve">The standard states that the </w:t>
      </w:r>
      <w:r>
        <w:rPr>
          <w:i/>
        </w:rPr>
        <w:t>dLbl element can be a child of any pivotFmt or dLbls element.</w:t>
      </w:r>
    </w:p>
    <w:p w:rsidR="00024C0A" w:rsidRDefault="00694C0F">
      <w:pPr>
        <w:pStyle w:val="Definition-Field2"/>
      </w:pPr>
      <w:r>
        <w:t>In Office, this element is only specified if the parent element is a pivotFmt or if the parent element is a dLbls with a series parent element.</w:t>
      </w:r>
    </w:p>
    <w:p w:rsidR="00024C0A" w:rsidRDefault="00694C0F">
      <w:pPr>
        <w:pStyle w:val="Definition-Field"/>
      </w:pPr>
      <w:r>
        <w:t xml:space="preserve">b.   </w:t>
      </w:r>
      <w:r>
        <w:rPr>
          <w:i/>
        </w:rPr>
        <w:t>The standard does not state any exceptions th</w:t>
      </w:r>
      <w:r>
        <w:rPr>
          <w:i/>
        </w:rPr>
        <w:t>at cause child elements of the dLbl element to be ignored.</w:t>
      </w:r>
    </w:p>
    <w:p w:rsidR="00024C0A" w:rsidRDefault="00694C0F">
      <w:pPr>
        <w:pStyle w:val="Definition-Field2"/>
      </w:pPr>
      <w:r>
        <w:t>Office ignores the numFmt, separator, showBubbleSize, showCatName, showPercent, showSerName, and showVal child elements if this element contains a tx child element.</w:t>
      </w:r>
    </w:p>
    <w:p w:rsidR="00024C0A" w:rsidRDefault="00694C0F">
      <w:pPr>
        <w:pStyle w:val="Heading3"/>
      </w:pPr>
      <w:bookmarkStart w:id="2915" w:name="section_e2b1697c7adc463d90813daef72f656f"/>
      <w:bookmarkStart w:id="2916" w:name="_Toc12261518"/>
      <w:r>
        <w:t>Part 1 Section 21.2.2.48, dLblPo</w:t>
      </w:r>
      <w:r>
        <w:t>s (Data Label Position)</w:t>
      </w:r>
      <w:bookmarkEnd w:id="2915"/>
      <w:bookmarkEnd w:id="2916"/>
      <w:r>
        <w:fldChar w:fldCharType="begin"/>
      </w:r>
      <w:r>
        <w:instrText xml:space="preserve"> XE "dLblPos (Data Label Position)" </w:instrText>
      </w:r>
      <w:r>
        <w:fldChar w:fldCharType="end"/>
      </w:r>
    </w:p>
    <w:p w:rsidR="00024C0A" w:rsidRDefault="00694C0F">
      <w:pPr>
        <w:pStyle w:val="Definition-Field"/>
      </w:pPr>
      <w:r>
        <w:t xml:space="preserve">a.   </w:t>
      </w:r>
      <w:r>
        <w:rPr>
          <w:i/>
        </w:rPr>
        <w:t>The standard places no restriction on @val beyond ST_DLblPos.</w:t>
      </w:r>
    </w:p>
    <w:p w:rsidR="00024C0A" w:rsidRDefault="00694C0F">
      <w:r>
        <w:t xml:space="preserve">In Office, if the ancestor does not include a </w:t>
      </w:r>
      <w:r>
        <w:rPr>
          <w:b/>
        </w:rPr>
        <w:t>ser</w:t>
      </w:r>
      <w:r>
        <w:t xml:space="preserve"> element any position value is allowed. However, if a </w:t>
      </w:r>
      <w:r>
        <w:rPr>
          <w:b/>
        </w:rPr>
        <w:t>ser</w:t>
      </w:r>
      <w:r>
        <w:t xml:space="preserve"> element is an ancest</w:t>
      </w:r>
      <w:r>
        <w:t>or the following rules apply based on the chart group ancestor:</w:t>
      </w:r>
    </w:p>
    <w:p w:rsidR="00024C0A" w:rsidRDefault="00694C0F">
      <w:pPr>
        <w:pStyle w:val="ListParagraph"/>
        <w:numPr>
          <w:ilvl w:val="0"/>
          <w:numId w:val="164"/>
        </w:numPr>
        <w:contextualSpacing/>
      </w:pPr>
      <w:r>
        <w:t xml:space="preserve">For chart groups </w:t>
      </w:r>
      <w:r>
        <w:rPr>
          <w:b/>
        </w:rPr>
        <w:t xml:space="preserve">ofPieChart </w:t>
      </w:r>
      <w:r>
        <w:t>("</w:t>
      </w:r>
      <w:hyperlink r:id="rId206">
        <w:r>
          <w:rPr>
            <w:rStyle w:val="Hyperlink"/>
          </w:rPr>
          <w:t>[ISO/IEC-29500-1]</w:t>
        </w:r>
      </w:hyperlink>
      <w:r>
        <w:t xml:space="preserve"> §21.2.2.126; ofPieChart (Pie of Pie or Bar of Pie Charts)"), </w:t>
      </w:r>
      <w:r>
        <w:rPr>
          <w:b/>
        </w:rPr>
        <w:t xml:space="preserve">pie3DChart </w:t>
      </w:r>
      <w:r>
        <w:t>("[ISO</w:t>
      </w:r>
      <w:r>
        <w:t xml:space="preserve">/IEC-29500-1] §21.2.2.140; pie3DChart (3D Pie Charts)"), and </w:t>
      </w:r>
      <w:r>
        <w:rPr>
          <w:b/>
        </w:rPr>
        <w:t>pieChart</w:t>
      </w:r>
      <w:r>
        <w:t xml:space="preserve"> ("[ISO/IEC-29500-1] §21.2.2.141; pieChart (Pie Charts)")</w:t>
      </w:r>
      <w:r>
        <w:rPr>
          <w:b/>
        </w:rPr>
        <w:t xml:space="preserve"> </w:t>
      </w:r>
      <w:r>
        <w:t xml:space="preserve">the valid positions are </w:t>
      </w:r>
      <w:r>
        <w:rPr>
          <w:i/>
        </w:rPr>
        <w:t>BestFit</w:t>
      </w:r>
      <w:r>
        <w:t xml:space="preserve">, </w:t>
      </w:r>
      <w:r>
        <w:rPr>
          <w:i/>
        </w:rPr>
        <w:t>OutsideEnd</w:t>
      </w:r>
      <w:r>
        <w:t xml:space="preserve">, </w:t>
      </w:r>
      <w:r>
        <w:rPr>
          <w:i/>
        </w:rPr>
        <w:t>InsideEnd</w:t>
      </w:r>
      <w:r>
        <w:t xml:space="preserve">, </w:t>
      </w:r>
      <w:r>
        <w:rPr>
          <w:i/>
        </w:rPr>
        <w:t>Center</w:t>
      </w:r>
      <w:r>
        <w:t>.</w:t>
      </w:r>
    </w:p>
    <w:p w:rsidR="00024C0A" w:rsidRDefault="00694C0F">
      <w:pPr>
        <w:pStyle w:val="ListParagraph"/>
        <w:numPr>
          <w:ilvl w:val="0"/>
          <w:numId w:val="164"/>
        </w:numPr>
        <w:contextualSpacing/>
      </w:pPr>
      <w:r>
        <w:t xml:space="preserve">For the chart groups </w:t>
      </w:r>
      <w:r>
        <w:rPr>
          <w:b/>
        </w:rPr>
        <w:t>barChart</w:t>
      </w:r>
      <w:r>
        <w:t xml:space="preserve"> ("[ISO/IEC-29500-1] §21.2.2.16; bar</w:t>
      </w:r>
      <w:r>
        <w:t>Chart (Bar Charts)")</w:t>
      </w:r>
      <w:r>
        <w:rPr>
          <w:b/>
        </w:rPr>
        <w:t xml:space="preserve"> </w:t>
      </w:r>
      <w:r>
        <w:t xml:space="preserve">where </w:t>
      </w:r>
      <w:r>
        <w:rPr>
          <w:b/>
        </w:rPr>
        <w:t>grouping</w:t>
      </w:r>
      <w:r>
        <w:t xml:space="preserve"> is </w:t>
      </w:r>
      <w:r>
        <w:rPr>
          <w:i/>
        </w:rPr>
        <w:t>clustered</w:t>
      </w:r>
      <w:r>
        <w:t xml:space="preserve"> the valid positions are </w:t>
      </w:r>
      <w:r>
        <w:rPr>
          <w:i/>
        </w:rPr>
        <w:t>InsideBase</w:t>
      </w:r>
      <w:r>
        <w:t xml:space="preserve">, </w:t>
      </w:r>
      <w:r>
        <w:rPr>
          <w:i/>
        </w:rPr>
        <w:t>InsideEnd</w:t>
      </w:r>
      <w:r>
        <w:t xml:space="preserve">, </w:t>
      </w:r>
      <w:r>
        <w:rPr>
          <w:i/>
        </w:rPr>
        <w:t>OutsideEnd</w:t>
      </w:r>
      <w:r>
        <w:t xml:space="preserve">, </w:t>
      </w:r>
      <w:r>
        <w:rPr>
          <w:i/>
        </w:rPr>
        <w:t>Center</w:t>
      </w:r>
      <w:r>
        <w:t>.</w:t>
      </w:r>
    </w:p>
    <w:p w:rsidR="00024C0A" w:rsidRDefault="00694C0F">
      <w:pPr>
        <w:pStyle w:val="ListParagraph"/>
        <w:numPr>
          <w:ilvl w:val="0"/>
          <w:numId w:val="164"/>
        </w:numPr>
        <w:contextualSpacing/>
      </w:pPr>
      <w:r>
        <w:t xml:space="preserve">For the chart groups </w:t>
      </w:r>
      <w:r>
        <w:rPr>
          <w:b/>
        </w:rPr>
        <w:t>barChart</w:t>
      </w:r>
      <w:r>
        <w:t xml:space="preserve"> ("[ISO/IEC-29500-1] §21.2.2.16; barChart (Bar Charts)")</w:t>
      </w:r>
      <w:r>
        <w:rPr>
          <w:b/>
        </w:rPr>
        <w:t xml:space="preserve"> </w:t>
      </w:r>
      <w:r>
        <w:t xml:space="preserve">where </w:t>
      </w:r>
      <w:r>
        <w:rPr>
          <w:b/>
        </w:rPr>
        <w:t>grouping</w:t>
      </w:r>
      <w:r>
        <w:t xml:space="preserve"> is </w:t>
      </w:r>
      <w:r>
        <w:rPr>
          <w:i/>
        </w:rPr>
        <w:t>stacked</w:t>
      </w:r>
      <w:r>
        <w:t xml:space="preserve"> or </w:t>
      </w:r>
      <w:r>
        <w:rPr>
          <w:i/>
        </w:rPr>
        <w:t>percentStacked</w:t>
      </w:r>
      <w:r>
        <w:t xml:space="preserve"> the valid </w:t>
      </w:r>
      <w:r>
        <w:t xml:space="preserve">positions are </w:t>
      </w:r>
      <w:r>
        <w:rPr>
          <w:i/>
        </w:rPr>
        <w:t>InsideBase</w:t>
      </w:r>
      <w:r>
        <w:t xml:space="preserve">, </w:t>
      </w:r>
      <w:r>
        <w:rPr>
          <w:i/>
        </w:rPr>
        <w:t>InsideEnd</w:t>
      </w:r>
      <w:r>
        <w:t xml:space="preserve">, </w:t>
      </w:r>
      <w:r>
        <w:rPr>
          <w:i/>
        </w:rPr>
        <w:t>Center</w:t>
      </w:r>
      <w:r>
        <w:t>.</w:t>
      </w:r>
    </w:p>
    <w:p w:rsidR="00024C0A" w:rsidRDefault="00694C0F">
      <w:pPr>
        <w:pStyle w:val="ListParagraph"/>
        <w:numPr>
          <w:ilvl w:val="0"/>
          <w:numId w:val="164"/>
        </w:numPr>
      </w:pPr>
      <w:r>
        <w:t xml:space="preserve">For chart groups </w:t>
      </w:r>
      <w:r>
        <w:rPr>
          <w:b/>
        </w:rPr>
        <w:t xml:space="preserve">bubbleChart </w:t>
      </w:r>
      <w:r>
        <w:t xml:space="preserve">("[ISO/IEC-29500-1] §21.2.2.20; bubbleChart (Bubble Charts)"), </w:t>
      </w:r>
      <w:r>
        <w:rPr>
          <w:b/>
        </w:rPr>
        <w:t xml:space="preserve">lineChart </w:t>
      </w:r>
      <w:r>
        <w:t xml:space="preserve">("[ISO/IEC-29500-1] §21.2.2.97; lineChart (Line Charts)"), </w:t>
      </w:r>
      <w:r>
        <w:rPr>
          <w:b/>
        </w:rPr>
        <w:t xml:space="preserve">scatterChart </w:t>
      </w:r>
      <w:r>
        <w:t>("[ISO/IEC-29500-1] §21.2.2.161; scat</w:t>
      </w:r>
      <w:r>
        <w:t xml:space="preserve">terChart (Scatter Charts)"), and </w:t>
      </w:r>
      <w:r>
        <w:rPr>
          <w:b/>
        </w:rPr>
        <w:t xml:space="preserve">stockChart </w:t>
      </w:r>
      <w:r>
        <w:t xml:space="preserve">("[ISO/IEC-29500-1] §21.2.2.161; scatterChart (Scatter Charts)") the valid positions are </w:t>
      </w:r>
      <w:r>
        <w:rPr>
          <w:i/>
        </w:rPr>
        <w:t>left</w:t>
      </w:r>
      <w:r>
        <w:t xml:space="preserve">, </w:t>
      </w:r>
      <w:r>
        <w:rPr>
          <w:i/>
        </w:rPr>
        <w:t>right</w:t>
      </w:r>
      <w:r>
        <w:t xml:space="preserve">, </w:t>
      </w:r>
      <w:r>
        <w:rPr>
          <w:i/>
        </w:rPr>
        <w:t>bottom</w:t>
      </w:r>
      <w:r>
        <w:t xml:space="preserve">, </w:t>
      </w:r>
      <w:r>
        <w:rPr>
          <w:i/>
        </w:rPr>
        <w:t>top</w:t>
      </w:r>
      <w:r>
        <w:t xml:space="preserve">, </w:t>
      </w:r>
      <w:r>
        <w:rPr>
          <w:i/>
        </w:rPr>
        <w:t>center</w:t>
      </w:r>
      <w:r>
        <w:t>.</w:t>
      </w:r>
    </w:p>
    <w:p w:rsidR="00024C0A" w:rsidRDefault="00694C0F">
      <w:r>
        <w:t xml:space="preserve">For chart groups areaChart "[ISO/IEC-29500-1] §21.2.2.5; areaChart (Area Charts)"), </w:t>
      </w:r>
      <w:r>
        <w:rPr>
          <w:b/>
        </w:rPr>
        <w:t xml:space="preserve">area3DChart </w:t>
      </w:r>
      <w:r>
        <w:t xml:space="preserve">("[ISO/IEC-29500-1] §21.2.2.4; area3DChart (3D Area Charts)"), </w:t>
      </w:r>
      <w:r>
        <w:rPr>
          <w:b/>
        </w:rPr>
        <w:t xml:space="preserve">bar3DChart </w:t>
      </w:r>
      <w:r>
        <w:t xml:space="preserve">("[ISO/IEC-29500-1] §21.2.2.15; bar3DChart (3D Bar Charts)"), </w:t>
      </w:r>
      <w:r>
        <w:rPr>
          <w:b/>
        </w:rPr>
        <w:t xml:space="preserve">doughnutChart </w:t>
      </w:r>
      <w:r>
        <w:t xml:space="preserve">("[ISO/IEC-29500-1] §21.2.2.50; doughnutChart (Doughnut Charts)"), </w:t>
      </w:r>
      <w:r>
        <w:rPr>
          <w:b/>
        </w:rPr>
        <w:t xml:space="preserve">line3DChart </w:t>
      </w:r>
      <w:r>
        <w:t>("[ISO/IEC-2950</w:t>
      </w:r>
      <w:r>
        <w:t xml:space="preserve">0-1] §21.2.2.96; line3DChart (3D Line Charts)"), </w:t>
      </w:r>
      <w:r>
        <w:rPr>
          <w:b/>
        </w:rPr>
        <w:t>radarChart</w:t>
      </w:r>
      <w:r>
        <w:t xml:space="preserve"> ("[ISO/IEC-29500-1] §21.2.2.153; radarChart (Radar Charts)") this element shall not be specified.</w:t>
      </w:r>
    </w:p>
    <w:p w:rsidR="00024C0A" w:rsidRDefault="00694C0F">
      <w:pPr>
        <w:pStyle w:val="Definition-Field"/>
      </w:pPr>
      <w:r>
        <w:t xml:space="preserve">b.   </w:t>
      </w:r>
      <w:r>
        <w:rPr>
          <w:i/>
        </w:rPr>
        <w:t>The standard does not define the behavior when the dLblPos element is omitted.</w:t>
      </w:r>
    </w:p>
    <w:p w:rsidR="00024C0A" w:rsidRDefault="00694C0F">
      <w:r>
        <w:t xml:space="preserve">For Office, </w:t>
      </w:r>
      <w:r>
        <w:t>the following lists the chart types and their default position based on the chart group ancestor:</w:t>
      </w:r>
    </w:p>
    <w:p w:rsidR="00024C0A" w:rsidRDefault="00694C0F">
      <w:pPr>
        <w:pStyle w:val="ListParagraph"/>
        <w:numPr>
          <w:ilvl w:val="0"/>
          <w:numId w:val="165"/>
        </w:numPr>
        <w:contextualSpacing/>
      </w:pPr>
      <w:r>
        <w:t xml:space="preserve">For chart groups </w:t>
      </w:r>
      <w:r>
        <w:rPr>
          <w:b/>
        </w:rPr>
        <w:t xml:space="preserve">ofPieChart </w:t>
      </w:r>
      <w:r>
        <w:t xml:space="preserve">("[ISO/IEC-29500-1] §21.2.2.126; ofPieChart (Pie of Pie or Bar of Pie Charts)"), </w:t>
      </w:r>
      <w:r>
        <w:rPr>
          <w:b/>
        </w:rPr>
        <w:t xml:space="preserve">pie3DChart </w:t>
      </w:r>
      <w:r>
        <w:t>("[ISO/IEC-29500-1] §21.2.2.140; pie3D</w:t>
      </w:r>
      <w:r>
        <w:t xml:space="preserve">Chart (3D Pie Charts)"), and </w:t>
      </w:r>
      <w:r>
        <w:rPr>
          <w:b/>
        </w:rPr>
        <w:t xml:space="preserve">pieChart </w:t>
      </w:r>
      <w:r>
        <w:t>("[ISO/IEC-29500-1] §21.2.2.141; pieChart (Pie Charts)")</w:t>
      </w:r>
      <w:r>
        <w:rPr>
          <w:b/>
        </w:rPr>
        <w:t xml:space="preserve"> </w:t>
      </w:r>
      <w:r>
        <w:t xml:space="preserve">the automatic position is </w:t>
      </w:r>
      <w:r>
        <w:rPr>
          <w:i/>
        </w:rPr>
        <w:t>BestFit</w:t>
      </w:r>
      <w:r>
        <w:t>.</w:t>
      </w:r>
    </w:p>
    <w:p w:rsidR="00024C0A" w:rsidRDefault="00694C0F">
      <w:pPr>
        <w:pStyle w:val="ListParagraph"/>
        <w:numPr>
          <w:ilvl w:val="0"/>
          <w:numId w:val="165"/>
        </w:numPr>
        <w:contextualSpacing/>
      </w:pPr>
      <w:r>
        <w:t xml:space="preserve">For chart groups </w:t>
      </w:r>
      <w:r>
        <w:rPr>
          <w:b/>
        </w:rPr>
        <w:t xml:space="preserve">areaChart </w:t>
      </w:r>
      <w:r>
        <w:t xml:space="preserve">"[ISO/IEC-29500-1] §21.2.2.5; areaChart (Area Charts)"), </w:t>
      </w:r>
      <w:r>
        <w:rPr>
          <w:b/>
        </w:rPr>
        <w:t xml:space="preserve">area3DChart </w:t>
      </w:r>
      <w:r>
        <w:t>("[ISO/IEC-29500-1] §21.2.2.4;</w:t>
      </w:r>
      <w:r>
        <w:t xml:space="preserve"> area3DChart (3D Area Charts)"), and </w:t>
      </w:r>
      <w:r>
        <w:rPr>
          <w:b/>
        </w:rPr>
        <w:lastRenderedPageBreak/>
        <w:t xml:space="preserve">doughnutChart </w:t>
      </w:r>
      <w:r>
        <w:t>("[ISO/IEC-29500-1] §21.2.2.50; doughnutChart (Doughnut Charts)")</w:t>
      </w:r>
      <w:r>
        <w:rPr>
          <w:b/>
        </w:rPr>
        <w:t xml:space="preserve"> </w:t>
      </w:r>
      <w:r>
        <w:t xml:space="preserve">the automatic position is </w:t>
      </w:r>
      <w:r>
        <w:rPr>
          <w:i/>
        </w:rPr>
        <w:t>Center</w:t>
      </w:r>
      <w:r>
        <w:t>.</w:t>
      </w:r>
    </w:p>
    <w:p w:rsidR="00024C0A" w:rsidRDefault="00694C0F">
      <w:pPr>
        <w:pStyle w:val="ListParagraph"/>
        <w:numPr>
          <w:ilvl w:val="0"/>
          <w:numId w:val="165"/>
        </w:numPr>
        <w:contextualSpacing/>
      </w:pPr>
      <w:r>
        <w:t xml:space="preserve">For chart groups </w:t>
      </w:r>
      <w:r>
        <w:rPr>
          <w:b/>
        </w:rPr>
        <w:t xml:space="preserve">barChart </w:t>
      </w:r>
      <w:r>
        <w:t>("[ISO/IEC-29500-1] §21.2.2.16; barChart (Bar Charts)")</w:t>
      </w:r>
      <w:r>
        <w:rPr>
          <w:b/>
        </w:rPr>
        <w:t xml:space="preserve"> </w:t>
      </w:r>
      <w:r>
        <w:t xml:space="preserve">and </w:t>
      </w:r>
      <w:r>
        <w:rPr>
          <w:b/>
        </w:rPr>
        <w:t xml:space="preserve">bar3DChart </w:t>
      </w:r>
      <w:r>
        <w:t>("[ISO/I</w:t>
      </w:r>
      <w:r>
        <w:t>EC-29500-1] §21.2.2.15; bar3DChart (3D Bar Charts)")</w:t>
      </w:r>
      <w:r>
        <w:rPr>
          <w:b/>
        </w:rPr>
        <w:t xml:space="preserve"> </w:t>
      </w:r>
      <w:r>
        <w:t xml:space="preserve">where </w:t>
      </w:r>
      <w:r>
        <w:rPr>
          <w:b/>
        </w:rPr>
        <w:t xml:space="preserve">grouping </w:t>
      </w:r>
      <w:r>
        <w:t>("[ISO/IEC-29500-1] §21.2.2.77; grouping")</w:t>
      </w:r>
      <w:r>
        <w:rPr>
          <w:b/>
        </w:rPr>
        <w:t xml:space="preserve"> </w:t>
      </w:r>
      <w:r>
        <w:t xml:space="preserve">is </w:t>
      </w:r>
      <w:r>
        <w:rPr>
          <w:i/>
        </w:rPr>
        <w:t>stacked</w:t>
      </w:r>
      <w:r>
        <w:t xml:space="preserve"> or </w:t>
      </w:r>
      <w:r>
        <w:rPr>
          <w:i/>
        </w:rPr>
        <w:t>percentStacked</w:t>
      </w:r>
      <w:r>
        <w:t xml:space="preserve">; the automatic position is </w:t>
      </w:r>
      <w:r>
        <w:rPr>
          <w:i/>
        </w:rPr>
        <w:t>Center</w:t>
      </w:r>
      <w:r>
        <w:t>.</w:t>
      </w:r>
    </w:p>
    <w:p w:rsidR="00024C0A" w:rsidRDefault="00694C0F">
      <w:pPr>
        <w:pStyle w:val="ListParagraph"/>
        <w:numPr>
          <w:ilvl w:val="0"/>
          <w:numId w:val="165"/>
        </w:numPr>
        <w:contextualSpacing/>
      </w:pPr>
      <w:r>
        <w:t xml:space="preserve">For chart groups </w:t>
      </w:r>
      <w:r>
        <w:rPr>
          <w:b/>
        </w:rPr>
        <w:t>barChart</w:t>
      </w:r>
      <w:r>
        <w:t xml:space="preserve">, and </w:t>
      </w:r>
      <w:r>
        <w:rPr>
          <w:b/>
        </w:rPr>
        <w:t>bar3Dchart</w:t>
      </w:r>
      <w:r>
        <w:t xml:space="preserve"> where </w:t>
      </w:r>
      <w:r>
        <w:rPr>
          <w:b/>
        </w:rPr>
        <w:t>grouping</w:t>
      </w:r>
      <w:r>
        <w:t xml:space="preserve"> is </w:t>
      </w:r>
      <w:r>
        <w:rPr>
          <w:i/>
        </w:rPr>
        <w:t>clustered</w:t>
      </w:r>
      <w:r>
        <w:t xml:space="preserve">, and </w:t>
      </w:r>
      <w:r>
        <w:rPr>
          <w:b/>
        </w:rPr>
        <w:t>radarC</w:t>
      </w:r>
      <w:r>
        <w:rPr>
          <w:b/>
        </w:rPr>
        <w:t xml:space="preserve">hart </w:t>
      </w:r>
      <w:r>
        <w:t xml:space="preserve">("[ISO/IEC-29500-1] §21.2.2.153; radarChart (Radar Charts)") the automatic position is </w:t>
      </w:r>
      <w:r>
        <w:rPr>
          <w:i/>
        </w:rPr>
        <w:t>OutsideEnd</w:t>
      </w:r>
      <w:r>
        <w:t>.</w:t>
      </w:r>
    </w:p>
    <w:p w:rsidR="00024C0A" w:rsidRDefault="00694C0F">
      <w:pPr>
        <w:pStyle w:val="ListParagraph"/>
        <w:numPr>
          <w:ilvl w:val="0"/>
          <w:numId w:val="165"/>
        </w:numPr>
      </w:pPr>
      <w:r>
        <w:t xml:space="preserve">For chart groups </w:t>
      </w:r>
      <w:r>
        <w:rPr>
          <w:b/>
        </w:rPr>
        <w:t xml:space="preserve">bubbleChart </w:t>
      </w:r>
      <w:r>
        <w:t xml:space="preserve">("[ISO/IEC-29500-1] §21.2.2.20; bubbleChart (Bubble Charts)"), </w:t>
      </w:r>
      <w:r>
        <w:rPr>
          <w:b/>
        </w:rPr>
        <w:t xml:space="preserve">scatterChart </w:t>
      </w:r>
      <w:r>
        <w:t>("[ISO/IEC-29500-1] §21.2.2.161; scatterChart (</w:t>
      </w:r>
      <w:r>
        <w:t xml:space="preserve">Scatter Charts)"), </w:t>
      </w:r>
      <w:r>
        <w:rPr>
          <w:b/>
        </w:rPr>
        <w:t xml:space="preserve">stockChart </w:t>
      </w:r>
      <w:r>
        <w:t xml:space="preserve">("[ISO/IEC-29500-1] §21.2.2.161; scatterChart (Scatter Charts)"), </w:t>
      </w:r>
      <w:r>
        <w:rPr>
          <w:b/>
        </w:rPr>
        <w:t xml:space="preserve">lineChart </w:t>
      </w:r>
      <w:r>
        <w:t xml:space="preserve">("[ISO/IEC-29500-1] §21.2.2.97; lineChart (Line Charts)"), and </w:t>
      </w:r>
      <w:r>
        <w:rPr>
          <w:b/>
        </w:rPr>
        <w:t xml:space="preserve">line3DChart </w:t>
      </w:r>
      <w:r>
        <w:t>("[ISO/IEC-29500-1] §21.2.2.96; line3DChart (3D Line Charts)")</w:t>
      </w:r>
      <w:r>
        <w:rPr>
          <w:b/>
        </w:rPr>
        <w:t xml:space="preserve"> </w:t>
      </w:r>
      <w:r>
        <w:t>the automati</w:t>
      </w:r>
      <w:r>
        <w:t xml:space="preserve">c position is </w:t>
      </w:r>
      <w:r>
        <w:rPr>
          <w:i/>
        </w:rPr>
        <w:t>Right</w:t>
      </w:r>
      <w:r>
        <w:t>.</w:t>
      </w:r>
    </w:p>
    <w:p w:rsidR="00024C0A" w:rsidRDefault="00694C0F">
      <w:pPr>
        <w:pStyle w:val="Heading3"/>
      </w:pPr>
      <w:bookmarkStart w:id="2917" w:name="section_953e587980084d14a8bcfbe39d848e0a"/>
      <w:bookmarkStart w:id="2918" w:name="_Toc12261519"/>
      <w:r>
        <w:t>Part 1 Section 21.2.2.49, dLbls (Data Labels)</w:t>
      </w:r>
      <w:bookmarkEnd w:id="2917"/>
      <w:bookmarkEnd w:id="2918"/>
      <w:r>
        <w:fldChar w:fldCharType="begin"/>
      </w:r>
      <w:r>
        <w:instrText xml:space="preserve"> XE "dLbls (Data Labels)" </w:instrText>
      </w:r>
      <w:r>
        <w:fldChar w:fldCharType="end"/>
      </w:r>
    </w:p>
    <w:p w:rsidR="00024C0A" w:rsidRDefault="00694C0F">
      <w:pPr>
        <w:pStyle w:val="Definition-Field"/>
      </w:pPr>
      <w:r>
        <w:t xml:space="preserve">a.   </w:t>
      </w:r>
      <w:r>
        <w:rPr>
          <w:i/>
        </w:rPr>
        <w:t>The standard does not place any restrictions on when the child elements of the dLbls element can be specified.</w:t>
      </w:r>
    </w:p>
    <w:p w:rsidR="00024C0A" w:rsidRDefault="00694C0F">
      <w:pPr>
        <w:pStyle w:val="Definition-Field2"/>
      </w:pPr>
      <w:r>
        <w:t xml:space="preserve">Office does not allow delete, dLbl, </w:t>
      </w:r>
      <w:r>
        <w:t>leaderLines, numFmt, showLeaderLines, spPr or txPr child elements when the parent is not ser.</w:t>
      </w:r>
    </w:p>
    <w:p w:rsidR="00024C0A" w:rsidRDefault="00694C0F">
      <w:pPr>
        <w:pStyle w:val="Definition-Field"/>
      </w:pPr>
      <w:r>
        <w:t xml:space="preserve">b.   </w:t>
      </w:r>
      <w:r>
        <w:rPr>
          <w:i/>
        </w:rPr>
        <w:t>The standard does not specify an override behavior for data labels.</w:t>
      </w:r>
    </w:p>
    <w:p w:rsidR="00024C0A" w:rsidRDefault="00694C0F">
      <w:pPr>
        <w:pStyle w:val="Definition-Field2"/>
      </w:pPr>
      <w:r>
        <w:t>Office interprets data labels to have a hierarchical order of overrides.  A dLbls child e</w:t>
      </w:r>
      <w:r>
        <w:t>lement of a series overrides the dLbls element of the ancestor chart group.  A dLbl element overrides the dLbls element of the ancestor series or chart group.</w:t>
      </w:r>
    </w:p>
    <w:p w:rsidR="00024C0A" w:rsidRDefault="00694C0F">
      <w:pPr>
        <w:pStyle w:val="Heading3"/>
      </w:pPr>
      <w:bookmarkStart w:id="2919" w:name="section_715e20be5789467db9ec5a39ae8a307b"/>
      <w:bookmarkStart w:id="2920" w:name="_Toc12261520"/>
      <w:r>
        <w:t>Part 1 Section 21.2.2.50, doughnutChart (Doughnut Charts)</w:t>
      </w:r>
      <w:bookmarkEnd w:id="2919"/>
      <w:bookmarkEnd w:id="2920"/>
      <w:r>
        <w:fldChar w:fldCharType="begin"/>
      </w:r>
      <w:r>
        <w:instrText xml:space="preserve"> XE "doughnutChart (Doughnut Charts)" </w:instrText>
      </w:r>
      <w:r>
        <w:fldChar w:fldCharType="end"/>
      </w:r>
    </w:p>
    <w:p w:rsidR="00024C0A" w:rsidRDefault="00694C0F">
      <w:pPr>
        <w:pStyle w:val="Definition-Field"/>
      </w:pPr>
      <w:r>
        <w:t xml:space="preserve">a.   </w:t>
      </w:r>
      <w:r>
        <w:rPr>
          <w:i/>
        </w:rPr>
        <w:t>The standard states that the minOccurs value for the holeSize child element is 0.</w:t>
      </w:r>
    </w:p>
    <w:p w:rsidR="00024C0A" w:rsidRDefault="00694C0F">
      <w:pPr>
        <w:pStyle w:val="Definition-Field2"/>
      </w:pPr>
      <w:r>
        <w:t>Office requires an occurrence of this element.</w:t>
      </w:r>
    </w:p>
    <w:p w:rsidR="00024C0A" w:rsidRDefault="00694C0F">
      <w:pPr>
        <w:pStyle w:val="Heading3"/>
      </w:pPr>
      <w:bookmarkStart w:id="2921" w:name="section_31439ccabd5c45fa9c75a12b55c1d15f"/>
      <w:bookmarkStart w:id="2922" w:name="_Toc12261521"/>
      <w:r>
        <w:t>Part 1 Section 21.2.2.55, errBars (Error Bars)</w:t>
      </w:r>
      <w:bookmarkEnd w:id="2921"/>
      <w:bookmarkEnd w:id="2922"/>
      <w:r>
        <w:fldChar w:fldCharType="begin"/>
      </w:r>
      <w:r>
        <w:instrText xml:space="preserve"> XE "errBars (Error Bars)" </w:instrText>
      </w:r>
      <w:r>
        <w:fldChar w:fldCharType="end"/>
      </w:r>
    </w:p>
    <w:p w:rsidR="00024C0A" w:rsidRDefault="00694C0F">
      <w:pPr>
        <w:pStyle w:val="Definition-Field"/>
      </w:pPr>
      <w:r>
        <w:t xml:space="preserve">a.   </w:t>
      </w:r>
      <w:r>
        <w:rPr>
          <w:i/>
        </w:rPr>
        <w:t>The standard does not state any exceptio</w:t>
      </w:r>
      <w:r>
        <w:rPr>
          <w:i/>
        </w:rPr>
        <w:t>ns that cause the errBars element to be ignored.</w:t>
      </w:r>
    </w:p>
    <w:p w:rsidR="00024C0A" w:rsidRDefault="00694C0F">
      <w:pPr>
        <w:pStyle w:val="Definition-Field2"/>
      </w:pPr>
      <w:r>
        <w:t>Office ignores this element if the chart is a 3D style chart.</w:t>
      </w:r>
    </w:p>
    <w:p w:rsidR="00024C0A" w:rsidRDefault="00694C0F">
      <w:pPr>
        <w:pStyle w:val="Heading3"/>
      </w:pPr>
      <w:bookmarkStart w:id="2923" w:name="section_761c5fad51b2473984b9087b034ff117"/>
      <w:bookmarkStart w:id="2924" w:name="_Toc12261522"/>
      <w:r>
        <w:t>Part 1 Section 21.2.2.56, errBarType (Error Bar Type)</w:t>
      </w:r>
      <w:bookmarkEnd w:id="2923"/>
      <w:bookmarkEnd w:id="2924"/>
      <w:r>
        <w:fldChar w:fldCharType="begin"/>
      </w:r>
      <w:r>
        <w:instrText xml:space="preserve"> XE "errBarType (Error Bar Type)" </w:instrText>
      </w:r>
      <w:r>
        <w:fldChar w:fldCharType="end"/>
      </w:r>
    </w:p>
    <w:p w:rsidR="00024C0A" w:rsidRDefault="00694C0F">
      <w:pPr>
        <w:pStyle w:val="Definition-Field"/>
      </w:pPr>
      <w:r>
        <w:t xml:space="preserve">a.   </w:t>
      </w:r>
      <w:r>
        <w:rPr>
          <w:i/>
        </w:rPr>
        <w:t>The standard implies that the val attribute is opt</w:t>
      </w:r>
      <w:r>
        <w:rPr>
          <w:i/>
        </w:rPr>
        <w:t>ional.</w:t>
      </w:r>
    </w:p>
    <w:p w:rsidR="00024C0A" w:rsidRDefault="00694C0F">
      <w:pPr>
        <w:pStyle w:val="Definition-Field2"/>
      </w:pPr>
      <w:r>
        <w:t>Office requires this attribute.</w:t>
      </w:r>
    </w:p>
    <w:p w:rsidR="00024C0A" w:rsidRDefault="00694C0F">
      <w:pPr>
        <w:pStyle w:val="Heading3"/>
      </w:pPr>
      <w:bookmarkStart w:id="2925" w:name="section_d68b40e07ab7477d986d84201e67a2d0"/>
      <w:bookmarkStart w:id="2926" w:name="_Toc12261523"/>
      <w:r>
        <w:t>Part 1 Section 21.2.2.57, errDir (Error Bar Direction)</w:t>
      </w:r>
      <w:bookmarkEnd w:id="2925"/>
      <w:bookmarkEnd w:id="2926"/>
      <w:r>
        <w:fldChar w:fldCharType="begin"/>
      </w:r>
      <w:r>
        <w:instrText xml:space="preserve"> XE "errDir (Error Bar Direction)" </w:instrText>
      </w:r>
      <w:r>
        <w:fldChar w:fldCharType="end"/>
      </w:r>
    </w:p>
    <w:p w:rsidR="00024C0A" w:rsidRDefault="00694C0F">
      <w:pPr>
        <w:pStyle w:val="Definition-Field"/>
      </w:pPr>
      <w:r>
        <w:t xml:space="preserve">a.   </w:t>
      </w:r>
      <w:r>
        <w:rPr>
          <w:i/>
        </w:rPr>
        <w:t>The standard does not define the behavior when the errDir element is omitted.</w:t>
      </w:r>
    </w:p>
    <w:p w:rsidR="00024C0A" w:rsidRDefault="00694C0F">
      <w:pPr>
        <w:pStyle w:val="Definition-Field2"/>
      </w:pPr>
      <w:r>
        <w:t xml:space="preserve">In Office, if this element is not defined </w:t>
      </w:r>
      <w:r>
        <w:t>the default behavior is x for horizontal bar charts. For all other chart types, the default behavior is y.</w:t>
      </w:r>
    </w:p>
    <w:p w:rsidR="00024C0A" w:rsidRDefault="00694C0F">
      <w:pPr>
        <w:pStyle w:val="Definition-Field"/>
      </w:pPr>
      <w:r>
        <w:t xml:space="preserve">b.   </w:t>
      </w:r>
      <w:r>
        <w:rPr>
          <w:i/>
        </w:rPr>
        <w:t>The standard states errDir can be a child of any errBars element.</w:t>
      </w:r>
    </w:p>
    <w:p w:rsidR="00024C0A" w:rsidRDefault="00694C0F">
      <w:pPr>
        <w:pStyle w:val="Definition-Field2"/>
      </w:pPr>
      <w:r>
        <w:lastRenderedPageBreak/>
        <w:t>Office loads and respects this element on any errBars parent element; however,</w:t>
      </w:r>
      <w:r>
        <w:t xml:space="preserve"> this element is only saved back out on line or scatter series.</w:t>
      </w:r>
    </w:p>
    <w:p w:rsidR="00024C0A" w:rsidRDefault="00694C0F">
      <w:pPr>
        <w:pStyle w:val="Heading3"/>
      </w:pPr>
      <w:bookmarkStart w:id="2927" w:name="section_a8d73708564d4e71ba083b7b1f405ea8"/>
      <w:bookmarkStart w:id="2928" w:name="_Toc12261524"/>
      <w:r>
        <w:t>Part 1 Section 21.2.2.58, errValType (Error Bar Value Type)</w:t>
      </w:r>
      <w:bookmarkEnd w:id="2927"/>
      <w:bookmarkEnd w:id="2928"/>
      <w:r>
        <w:fldChar w:fldCharType="begin"/>
      </w:r>
      <w:r>
        <w:instrText xml:space="preserve"> XE "errValType (Error Bar Value Type)" </w:instrText>
      </w:r>
      <w:r>
        <w:fldChar w:fldCharType="end"/>
      </w:r>
    </w:p>
    <w:p w:rsidR="00024C0A" w:rsidRDefault="00694C0F">
      <w:pPr>
        <w:pStyle w:val="Definition-Field"/>
      </w:pPr>
      <w:r>
        <w:t xml:space="preserve">a.   </w:t>
      </w:r>
      <w:r>
        <w:rPr>
          <w:i/>
        </w:rPr>
        <w:t>The standard implies that the val attribute is optional.</w:t>
      </w:r>
    </w:p>
    <w:p w:rsidR="00024C0A" w:rsidRDefault="00694C0F">
      <w:pPr>
        <w:pStyle w:val="Definition-Field2"/>
      </w:pPr>
      <w:r>
        <w:t xml:space="preserve">Office requires this </w:t>
      </w:r>
      <w:r>
        <w:t>attribute.</w:t>
      </w:r>
    </w:p>
    <w:p w:rsidR="00024C0A" w:rsidRDefault="00694C0F">
      <w:pPr>
        <w:pStyle w:val="Heading3"/>
      </w:pPr>
      <w:bookmarkStart w:id="2929" w:name="section_0564e12cacce44e9bbda4dd76edd2f07"/>
      <w:bookmarkStart w:id="2930" w:name="_Toc12261525"/>
      <w:r>
        <w:t>Part 1 Section 21.2.2.59, evenFooter (Even Footer)</w:t>
      </w:r>
      <w:bookmarkEnd w:id="2929"/>
      <w:bookmarkEnd w:id="2930"/>
      <w:r>
        <w:fldChar w:fldCharType="begin"/>
      </w:r>
      <w:r>
        <w:instrText xml:space="preserve"> XE "evenFooter (Even Footer)" </w:instrText>
      </w:r>
      <w:r>
        <w:fldChar w:fldCharType="end"/>
      </w:r>
    </w:p>
    <w:p w:rsidR="00024C0A" w:rsidRDefault="00694C0F">
      <w:pPr>
        <w:pStyle w:val="Definition-Field"/>
      </w:pPr>
      <w:r>
        <w:t xml:space="preserve">a.   </w:t>
      </w:r>
      <w:r>
        <w:rPr>
          <w:i/>
        </w:rPr>
        <w:t>The standard does not state any exceptions that cause the evenFooter element to be ignored.</w:t>
      </w:r>
    </w:p>
    <w:p w:rsidR="00024C0A" w:rsidRDefault="00694C0F">
      <w:pPr>
        <w:pStyle w:val="Definition-Field2"/>
      </w:pPr>
      <w:r>
        <w:t>Office ignores this element if the val attribute of the differen</w:t>
      </w:r>
      <w:r>
        <w:t>tOddEven sibling element is not set to true.</w:t>
      </w:r>
    </w:p>
    <w:p w:rsidR="00024C0A" w:rsidRDefault="00694C0F">
      <w:pPr>
        <w:pStyle w:val="Definition-Field"/>
      </w:pPr>
      <w:r>
        <w:t xml:space="preserve">b.   </w:t>
      </w:r>
      <w:r>
        <w:rPr>
          <w:i/>
        </w:rPr>
        <w:t>The standard states that the evenFooter element is of type ST_XString.</w:t>
      </w:r>
    </w:p>
    <w:p w:rsidR="00024C0A" w:rsidRDefault="00694C0F">
      <w:pPr>
        <w:pStyle w:val="Definition-Field2"/>
      </w:pPr>
      <w:r>
        <w:t>Office does not attempt to decode the character escape sequences defined in ST_XString.</w:t>
      </w:r>
    </w:p>
    <w:p w:rsidR="00024C0A" w:rsidRDefault="00694C0F">
      <w:pPr>
        <w:pStyle w:val="Heading3"/>
      </w:pPr>
      <w:bookmarkStart w:id="2931" w:name="section_0b142db5aa0143b6b2282cd3f8ac3c1a"/>
      <w:bookmarkStart w:id="2932" w:name="_Toc12261526"/>
      <w:r>
        <w:t>Part 1 Section 21.2.2.60, evenHeader (Even Head</w:t>
      </w:r>
      <w:r>
        <w:t>er)</w:t>
      </w:r>
      <w:bookmarkEnd w:id="2931"/>
      <w:bookmarkEnd w:id="2932"/>
      <w:r>
        <w:fldChar w:fldCharType="begin"/>
      </w:r>
      <w:r>
        <w:instrText xml:space="preserve"> XE "evenHeader (Even Header)" </w:instrText>
      </w:r>
      <w:r>
        <w:fldChar w:fldCharType="end"/>
      </w:r>
    </w:p>
    <w:p w:rsidR="00024C0A" w:rsidRDefault="00694C0F">
      <w:pPr>
        <w:pStyle w:val="Definition-Field"/>
      </w:pPr>
      <w:r>
        <w:t xml:space="preserve">a.   </w:t>
      </w:r>
      <w:r>
        <w:rPr>
          <w:i/>
        </w:rPr>
        <w:t>The standard does not state any exceptions that cause the evenHeader element to be ignored.</w:t>
      </w:r>
    </w:p>
    <w:p w:rsidR="00024C0A" w:rsidRDefault="00694C0F">
      <w:pPr>
        <w:pStyle w:val="Definition-Field2"/>
      </w:pPr>
      <w:r>
        <w:t>Office ignores this element if the val attribute of the differentOddEven sibling element is not set to true.</w:t>
      </w:r>
    </w:p>
    <w:p w:rsidR="00024C0A" w:rsidRDefault="00694C0F">
      <w:pPr>
        <w:pStyle w:val="Definition-Field"/>
      </w:pPr>
      <w:r>
        <w:t xml:space="preserve">b.   </w:t>
      </w:r>
      <w:r>
        <w:rPr>
          <w:i/>
        </w:rPr>
        <w:t>The stan</w:t>
      </w:r>
      <w:r>
        <w:rPr>
          <w:i/>
        </w:rPr>
        <w:t>dard states that the evenHeader element is of type ST_XString.</w:t>
      </w:r>
    </w:p>
    <w:p w:rsidR="00024C0A" w:rsidRDefault="00694C0F">
      <w:pPr>
        <w:pStyle w:val="Definition-Field2"/>
      </w:pPr>
      <w:r>
        <w:t>Office does not attempt to decode the character escape sequences defined in ST_XString.</w:t>
      </w:r>
    </w:p>
    <w:p w:rsidR="00024C0A" w:rsidRDefault="00694C0F">
      <w:pPr>
        <w:pStyle w:val="Heading3"/>
      </w:pPr>
      <w:bookmarkStart w:id="2933" w:name="section_cd1772e1ff694c5881e1793baa9fe54c"/>
      <w:bookmarkStart w:id="2934" w:name="_Toc12261527"/>
      <w:r>
        <w:t>Part 1 Section 21.2.2.61, explosion (Explosion)</w:t>
      </w:r>
      <w:bookmarkEnd w:id="2933"/>
      <w:bookmarkEnd w:id="2934"/>
      <w:r>
        <w:fldChar w:fldCharType="begin"/>
      </w:r>
      <w:r>
        <w:instrText xml:space="preserve"> XE "explosion (Explosion)" </w:instrText>
      </w:r>
      <w:r>
        <w:fldChar w:fldCharType="end"/>
      </w:r>
    </w:p>
    <w:p w:rsidR="00024C0A" w:rsidRDefault="00694C0F">
      <w:pPr>
        <w:pStyle w:val="Definition-Field"/>
      </w:pPr>
      <w:r>
        <w:t xml:space="preserve">a.   </w:t>
      </w:r>
      <w:r>
        <w:rPr>
          <w:i/>
        </w:rPr>
        <w:t>The standard states th</w:t>
      </w:r>
      <w:r>
        <w:rPr>
          <w:i/>
        </w:rPr>
        <w:t>at the values of the val attribute are defined by the XML Schema unsignedInt datatype.</w:t>
      </w:r>
    </w:p>
    <w:p w:rsidR="00024C0A" w:rsidRDefault="00694C0F">
      <w:pPr>
        <w:pStyle w:val="Definition-Field2"/>
      </w:pPr>
      <w:r>
        <w:t>Office restricts the value of this attribute to be at most 2147483647.</w:t>
      </w:r>
    </w:p>
    <w:p w:rsidR="00024C0A" w:rsidRDefault="00694C0F">
      <w:pPr>
        <w:pStyle w:val="Heading3"/>
      </w:pPr>
      <w:bookmarkStart w:id="2935" w:name="section_3749a6907ce74cf0897acb98f767dd91"/>
      <w:bookmarkStart w:id="2936" w:name="_Toc12261528"/>
      <w:r>
        <w:t>Part 1 Section 21.2.2.63, externalData (External Data Relationship)</w:t>
      </w:r>
      <w:bookmarkEnd w:id="2935"/>
      <w:bookmarkEnd w:id="2936"/>
      <w:r>
        <w:fldChar w:fldCharType="begin"/>
      </w:r>
      <w:r>
        <w:instrText xml:space="preserve"> XE "externalData (External Dat</w:instrText>
      </w:r>
      <w:r>
        <w:instrText xml:space="preserve">a Relationship)" </w:instrText>
      </w:r>
      <w:r>
        <w:fldChar w:fldCharType="end"/>
      </w:r>
    </w:p>
    <w:p w:rsidR="00024C0A" w:rsidRDefault="00694C0F">
      <w:pPr>
        <w:pStyle w:val="Definition-Field"/>
      </w:pPr>
      <w:r>
        <w:t xml:space="preserve">a.   </w:t>
      </w:r>
      <w:r>
        <w:rPr>
          <w:i/>
        </w:rPr>
        <w:t>The standard states the relationship explicitly targeted by the id attribute shall be of type http://schemas.openxmlformats.org/officeDocument/2006/relationships/package.</w:t>
      </w:r>
    </w:p>
    <w:p w:rsidR="00024C0A" w:rsidRDefault="00694C0F">
      <w:pPr>
        <w:pStyle w:val="Definition-Field2"/>
      </w:pPr>
      <w:r>
        <w:t xml:space="preserve">In Office, the relationship specified by the id attribute </w:t>
      </w:r>
      <w:r>
        <w:t>shall be present in the set of relationships associated with the chart’s part in the package.</w:t>
      </w:r>
    </w:p>
    <w:p w:rsidR="00024C0A" w:rsidRDefault="00694C0F">
      <w:pPr>
        <w:pStyle w:val="Heading3"/>
      </w:pPr>
      <w:bookmarkStart w:id="2937" w:name="section_49f95e2f04914f4cb552091b1fb6d822"/>
      <w:bookmarkStart w:id="2938" w:name="_Toc12261529"/>
      <w:r>
        <w:t>Part 1 Section 21.2.2.65, f (Formula)</w:t>
      </w:r>
      <w:bookmarkEnd w:id="2937"/>
      <w:bookmarkEnd w:id="2938"/>
      <w:r>
        <w:fldChar w:fldCharType="begin"/>
      </w:r>
      <w:r>
        <w:instrText xml:space="preserve"> XE "f (Formula)" </w:instrText>
      </w:r>
      <w:r>
        <w:fldChar w:fldCharType="end"/>
      </w:r>
    </w:p>
    <w:p w:rsidR="00024C0A" w:rsidRDefault="00694C0F">
      <w:pPr>
        <w:pStyle w:val="Definition-Field"/>
      </w:pPr>
      <w:r>
        <w:t xml:space="preserve">a.   </w:t>
      </w:r>
      <w:r>
        <w:rPr>
          <w:i/>
        </w:rPr>
        <w:t>The standard states that the values of the f element are defined by the XML Schema string datatype.</w:t>
      </w:r>
    </w:p>
    <w:p w:rsidR="00024C0A" w:rsidRDefault="00694C0F">
      <w:pPr>
        <w:pStyle w:val="Definition-Field2"/>
      </w:pPr>
      <w:r>
        <w:t>Office requires the f element be a formula as defined in Formulas ("</w:t>
      </w:r>
      <w:hyperlink r:id="rId207">
        <w:r>
          <w:rPr>
            <w:rStyle w:val="Hyperlink"/>
          </w:rPr>
          <w:t>[ISO/IEC-29500-1]</w:t>
        </w:r>
      </w:hyperlink>
      <w:r>
        <w:t xml:space="preserve"> §18.17"). The maximum length of the decoded string shall not exceed 8192 characters.</w:t>
      </w:r>
    </w:p>
    <w:p w:rsidR="00024C0A" w:rsidRDefault="00694C0F">
      <w:pPr>
        <w:pStyle w:val="Heading3"/>
      </w:pPr>
      <w:bookmarkStart w:id="2939" w:name="section_ffa6e78afedd422e8521050dd540543f"/>
      <w:bookmarkStart w:id="2940" w:name="_Toc12261530"/>
      <w:r>
        <w:t>Part 1 Section 21.</w:t>
      </w:r>
      <w:r>
        <w:t>2.2.66, firstFooter (First Footer)</w:t>
      </w:r>
      <w:bookmarkEnd w:id="2939"/>
      <w:bookmarkEnd w:id="2940"/>
      <w:r>
        <w:fldChar w:fldCharType="begin"/>
      </w:r>
      <w:r>
        <w:instrText xml:space="preserve"> XE "firstFooter (First Footer)" </w:instrText>
      </w:r>
      <w:r>
        <w:fldChar w:fldCharType="end"/>
      </w:r>
    </w:p>
    <w:p w:rsidR="00024C0A" w:rsidRDefault="00694C0F">
      <w:pPr>
        <w:pStyle w:val="Definition-Field"/>
      </w:pPr>
      <w:r>
        <w:t xml:space="preserve">a.   </w:t>
      </w:r>
      <w:r>
        <w:rPr>
          <w:i/>
        </w:rPr>
        <w:t>The standard does not state any exceptions that cause the firstFooter element to be ignored.</w:t>
      </w:r>
    </w:p>
    <w:p w:rsidR="00024C0A" w:rsidRDefault="00694C0F">
      <w:pPr>
        <w:pStyle w:val="Definition-Field2"/>
      </w:pPr>
      <w:r>
        <w:lastRenderedPageBreak/>
        <w:t>Office ignores this element if the differentOddEven attribute of the parent headerFooter</w:t>
      </w:r>
      <w:r>
        <w:t xml:space="preserve"> element is not set to true.</w:t>
      </w:r>
    </w:p>
    <w:p w:rsidR="00024C0A" w:rsidRDefault="00694C0F">
      <w:pPr>
        <w:pStyle w:val="Definition-Field"/>
      </w:pPr>
      <w:r>
        <w:t xml:space="preserve">b.   </w:t>
      </w:r>
      <w:r>
        <w:rPr>
          <w:i/>
        </w:rPr>
        <w:t>The standard states that the firstFooter element is of type ST_Xstring.</w:t>
      </w:r>
    </w:p>
    <w:p w:rsidR="00024C0A" w:rsidRDefault="00694C0F">
      <w:pPr>
        <w:pStyle w:val="Definition-Field2"/>
      </w:pPr>
      <w:r>
        <w:t>Office does not attempt to decode the character escape sequences defined in ST_XString.</w:t>
      </w:r>
    </w:p>
    <w:p w:rsidR="00024C0A" w:rsidRDefault="00694C0F">
      <w:pPr>
        <w:pStyle w:val="Heading3"/>
      </w:pPr>
      <w:bookmarkStart w:id="2941" w:name="section_040fa40f5c914e65be97a7b64d744fcf"/>
      <w:bookmarkStart w:id="2942" w:name="_Toc12261531"/>
      <w:r>
        <w:t>Part 1 Section 21.2.2.67, firstHeader (First Header)</w:t>
      </w:r>
      <w:bookmarkEnd w:id="2941"/>
      <w:bookmarkEnd w:id="2942"/>
      <w:r>
        <w:fldChar w:fldCharType="begin"/>
      </w:r>
      <w:r>
        <w:instrText xml:space="preserve"> XE "first</w:instrText>
      </w:r>
      <w:r>
        <w:instrText xml:space="preserve">Header (First Header)" </w:instrText>
      </w:r>
      <w:r>
        <w:fldChar w:fldCharType="end"/>
      </w:r>
    </w:p>
    <w:p w:rsidR="00024C0A" w:rsidRDefault="00694C0F">
      <w:pPr>
        <w:pStyle w:val="Definition-Field"/>
      </w:pPr>
      <w:r>
        <w:t xml:space="preserve">a.   </w:t>
      </w:r>
      <w:r>
        <w:rPr>
          <w:i/>
        </w:rPr>
        <w:t>The standard does not state any exceptions that cause the firstHeader element to be ignored.</w:t>
      </w:r>
    </w:p>
    <w:p w:rsidR="00024C0A" w:rsidRDefault="00694C0F">
      <w:pPr>
        <w:pStyle w:val="Definition-Field2"/>
      </w:pPr>
      <w:r>
        <w:t>Office ignores this element if the differentOddEven attribute of the parent headerFooter element is not set to true.</w:t>
      </w:r>
    </w:p>
    <w:p w:rsidR="00024C0A" w:rsidRDefault="00694C0F">
      <w:pPr>
        <w:pStyle w:val="Definition-Field"/>
      </w:pPr>
      <w:r>
        <w:t xml:space="preserve">b.   </w:t>
      </w:r>
      <w:r>
        <w:rPr>
          <w:i/>
        </w:rPr>
        <w:t>The standa</w:t>
      </w:r>
      <w:r>
        <w:rPr>
          <w:i/>
        </w:rPr>
        <w:t>rd states that the firstHeader element is of type ST_Xstring.</w:t>
      </w:r>
    </w:p>
    <w:p w:rsidR="00024C0A" w:rsidRDefault="00694C0F">
      <w:pPr>
        <w:pStyle w:val="Definition-Field2"/>
      </w:pPr>
      <w:r>
        <w:t>Office does not attempt to decode the character escape sequences defined in ST_XString.</w:t>
      </w:r>
    </w:p>
    <w:p w:rsidR="00024C0A" w:rsidRDefault="00694C0F">
      <w:pPr>
        <w:pStyle w:val="Heading3"/>
      </w:pPr>
      <w:bookmarkStart w:id="2943" w:name="section_14a18d6f56794a50bd05b4dfbc77d851"/>
      <w:bookmarkStart w:id="2944" w:name="_Toc12261532"/>
      <w:r>
        <w:t>Part 1 Section 21.2.2.69, floor (Floor)</w:t>
      </w:r>
      <w:bookmarkEnd w:id="2943"/>
      <w:bookmarkEnd w:id="2944"/>
      <w:r>
        <w:fldChar w:fldCharType="begin"/>
      </w:r>
      <w:r>
        <w:instrText xml:space="preserve"> XE "floor (Floor)" </w:instrText>
      </w:r>
      <w:r>
        <w:fldChar w:fldCharType="end"/>
      </w:r>
    </w:p>
    <w:p w:rsidR="00024C0A" w:rsidRDefault="00694C0F">
      <w:pPr>
        <w:pStyle w:val="Definition-Field"/>
      </w:pPr>
      <w:r>
        <w:t xml:space="preserve">a.   </w:t>
      </w:r>
      <w:r>
        <w:rPr>
          <w:i/>
        </w:rPr>
        <w:t xml:space="preserve">The standard states that the floor </w:t>
      </w:r>
      <w:r>
        <w:rPr>
          <w:i/>
        </w:rPr>
        <w:t>element can be a child of any chart element.</w:t>
      </w:r>
    </w:p>
    <w:p w:rsidR="00024C0A" w:rsidRDefault="00694C0F">
      <w:pPr>
        <w:pStyle w:val="Definition-Field2"/>
      </w:pPr>
      <w:r>
        <w:t>Office requires that the chart contain a 3D chart group (bar3DChart, line3DChart, area3DChart, surface3DChart, or pie3DChart) when this element is specified.</w:t>
      </w:r>
    </w:p>
    <w:p w:rsidR="00024C0A" w:rsidRDefault="00694C0F">
      <w:pPr>
        <w:pStyle w:val="Heading3"/>
      </w:pPr>
      <w:bookmarkStart w:id="2945" w:name="section_b1f80d650055495797e699d84ef6398a"/>
      <w:bookmarkStart w:id="2946" w:name="_Toc12261533"/>
      <w:r>
        <w:t>Part 1 Section 21.2.2.70, fmtId (Format ID)</w:t>
      </w:r>
      <w:bookmarkEnd w:id="2945"/>
      <w:bookmarkEnd w:id="2946"/>
      <w:r>
        <w:fldChar w:fldCharType="begin"/>
      </w:r>
      <w:r>
        <w:instrText xml:space="preserve"> XE "fmtId</w:instrText>
      </w:r>
      <w:r>
        <w:instrText xml:space="preserve"> (Format ID)" </w:instrText>
      </w:r>
      <w:r>
        <w:fldChar w:fldCharType="end"/>
      </w:r>
    </w:p>
    <w:p w:rsidR="00024C0A" w:rsidRDefault="00694C0F">
      <w:pPr>
        <w:pStyle w:val="Definition-Field"/>
      </w:pPr>
      <w:r>
        <w:t xml:space="preserve">a.   </w:t>
      </w:r>
      <w:r>
        <w:rPr>
          <w:i/>
        </w:rPr>
        <w:t>The standard states that values of the val attribute are defined by the XML Schema unsignedInt datatype.</w:t>
      </w:r>
    </w:p>
    <w:p w:rsidR="00024C0A" w:rsidRDefault="00694C0F">
      <w:pPr>
        <w:pStyle w:val="Definition-Field2"/>
      </w:pPr>
      <w:r>
        <w:t>Office restricts the value of this attribute to be at most 2147483647.</w:t>
      </w:r>
    </w:p>
    <w:p w:rsidR="00024C0A" w:rsidRDefault="00694C0F">
      <w:pPr>
        <w:pStyle w:val="Heading3"/>
      </w:pPr>
      <w:bookmarkStart w:id="2947" w:name="section_1a0d07f9ff1b4373ae2afdc4610c6c36"/>
      <w:bookmarkStart w:id="2948" w:name="_Toc12261534"/>
      <w:r>
        <w:t>Part 1 Section 21.2.2.72, formatting (Formatting)</w:t>
      </w:r>
      <w:bookmarkEnd w:id="2947"/>
      <w:bookmarkEnd w:id="2948"/>
      <w:r>
        <w:fldChar w:fldCharType="begin"/>
      </w:r>
      <w:r>
        <w:instrText xml:space="preserve"> XE "form</w:instrText>
      </w:r>
      <w:r>
        <w:instrText xml:space="preserve">atting (Formatting)" </w:instrText>
      </w:r>
      <w:r>
        <w:fldChar w:fldCharType="end"/>
      </w:r>
    </w:p>
    <w:p w:rsidR="00024C0A" w:rsidRDefault="00694C0F">
      <w:pPr>
        <w:pStyle w:val="Definition-Field"/>
      </w:pPr>
      <w:r>
        <w:t xml:space="preserve">a.   </w:t>
      </w:r>
      <w:r>
        <w:rPr>
          <w:i/>
        </w:rPr>
        <w:t>The standard states that the formatting element prevents a user from changing formatting on chart elements.</w:t>
      </w:r>
    </w:p>
    <w:p w:rsidR="00024C0A" w:rsidRDefault="00694C0F">
      <w:pPr>
        <w:pStyle w:val="Definition-Field2"/>
      </w:pPr>
      <w:r>
        <w:t>Office does not fully respect this element and does not protect the chart from formatting changes in all scenarios.</w:t>
      </w:r>
    </w:p>
    <w:p w:rsidR="00024C0A" w:rsidRDefault="00694C0F">
      <w:pPr>
        <w:pStyle w:val="Heading3"/>
      </w:pPr>
      <w:bookmarkStart w:id="2949" w:name="section_bd4e4652e4ee46e59d88b730b2233e20"/>
      <w:bookmarkStart w:id="2950" w:name="_Toc12261535"/>
      <w:r>
        <w:t>Par</w:t>
      </w:r>
      <w:r>
        <w:t>t 1 Section 21.2.2.73, forward (Forward)</w:t>
      </w:r>
      <w:bookmarkEnd w:id="2949"/>
      <w:bookmarkEnd w:id="2950"/>
      <w:r>
        <w:fldChar w:fldCharType="begin"/>
      </w:r>
      <w:r>
        <w:instrText xml:space="preserve"> XE "forward (Forward)" </w:instrText>
      </w:r>
      <w:r>
        <w:fldChar w:fldCharType="end"/>
      </w:r>
    </w:p>
    <w:p w:rsidR="00024C0A" w:rsidRDefault="00694C0F">
      <w:pPr>
        <w:pStyle w:val="Definition-Field"/>
      </w:pPr>
      <w:r>
        <w:t xml:space="preserve">a.   </w:t>
      </w:r>
      <w:r>
        <w:rPr>
          <w:i/>
        </w:rPr>
        <w:t>The standard states that the value of the val attribute on non-scatter charts must be a multiple of 0.5.</w:t>
      </w:r>
    </w:p>
    <w:p w:rsidR="00024C0A" w:rsidRDefault="00694C0F">
      <w:pPr>
        <w:pStyle w:val="Definition-Field2"/>
      </w:pPr>
      <w:r>
        <w:t>Office allows the data range to include any non-negative number.</w:t>
      </w:r>
    </w:p>
    <w:p w:rsidR="00024C0A" w:rsidRDefault="00694C0F">
      <w:pPr>
        <w:pStyle w:val="Definition-Field"/>
      </w:pPr>
      <w:r>
        <w:t xml:space="preserve">b.   </w:t>
      </w:r>
      <w:r>
        <w:rPr>
          <w:i/>
        </w:rPr>
        <w:t>The stand</w:t>
      </w:r>
      <w:r>
        <w:rPr>
          <w:i/>
        </w:rPr>
        <w:t>ard states that attribute val is of type xsd:double.</w:t>
      </w:r>
    </w:p>
    <w:p w:rsidR="00024C0A" w:rsidRDefault="00694C0F">
      <w:pPr>
        <w:pStyle w:val="Definition-Field2"/>
      </w:pPr>
      <w:r>
        <w:t>Office does not allow INF, -INF, and NaN as supported values.  For scatterChart and bubbleChart, the value is in units, otherwise the value is in number of categories. The value of this attribute has a m</w:t>
      </w:r>
      <w:r>
        <w:t>inimum value greater than 0.</w:t>
      </w:r>
    </w:p>
    <w:p w:rsidR="00024C0A" w:rsidRDefault="00694C0F">
      <w:pPr>
        <w:pStyle w:val="Heading3"/>
      </w:pPr>
      <w:bookmarkStart w:id="2951" w:name="section_012f5622abbb48448368833b087789e4"/>
      <w:bookmarkStart w:id="2952" w:name="_Toc12261536"/>
      <w:r>
        <w:t>Part 1 Section 21.2.2.74, gapDepth (Gap Depth)</w:t>
      </w:r>
      <w:bookmarkEnd w:id="2951"/>
      <w:bookmarkEnd w:id="2952"/>
      <w:r>
        <w:fldChar w:fldCharType="begin"/>
      </w:r>
      <w:r>
        <w:instrText xml:space="preserve"> XE "gapDepth (Gap Depth)" </w:instrText>
      </w:r>
      <w:r>
        <w:fldChar w:fldCharType="end"/>
      </w:r>
    </w:p>
    <w:p w:rsidR="00024C0A" w:rsidRDefault="00694C0F">
      <w:pPr>
        <w:pStyle w:val="Definition-Field"/>
      </w:pPr>
      <w:r>
        <w:t xml:space="preserve">a.   </w:t>
      </w:r>
      <w:r>
        <w:rPr>
          <w:i/>
        </w:rPr>
        <w:t>The standard states that the gapDepth element specifies the space between bar or column clusters, as a percentage of the bar or column width.</w:t>
      </w:r>
    </w:p>
    <w:p w:rsidR="00024C0A" w:rsidRDefault="00694C0F">
      <w:pPr>
        <w:pStyle w:val="Definition-Field2"/>
      </w:pPr>
      <w:r>
        <w:lastRenderedPageBreak/>
        <w:t>In O</w:t>
      </w:r>
      <w:r>
        <w:t>ffice, this element specifies the space between adjacent categories in the depth axis direction, as a percentage of the bar, column, line, or base depth.</w:t>
      </w:r>
    </w:p>
    <w:p w:rsidR="00024C0A" w:rsidRDefault="00694C0F">
      <w:pPr>
        <w:pStyle w:val="Heading3"/>
      </w:pPr>
      <w:bookmarkStart w:id="2953" w:name="section_2f482e396b114a3ba3c43c46edfb3fc9"/>
      <w:bookmarkStart w:id="2954" w:name="_Toc12261537"/>
      <w:r>
        <w:t>Part 1 Section 21.2.2.75, gapWidth (Gap Width)</w:t>
      </w:r>
      <w:bookmarkEnd w:id="2953"/>
      <w:bookmarkEnd w:id="2954"/>
      <w:r>
        <w:fldChar w:fldCharType="begin"/>
      </w:r>
      <w:r>
        <w:instrText xml:space="preserve"> XE "gapWidth (Gap Width)" </w:instrText>
      </w:r>
      <w:r>
        <w:fldChar w:fldCharType="end"/>
      </w:r>
    </w:p>
    <w:p w:rsidR="00024C0A" w:rsidRDefault="00694C0F">
      <w:pPr>
        <w:pStyle w:val="Definition-Field"/>
      </w:pPr>
      <w:r>
        <w:t xml:space="preserve">a.   </w:t>
      </w:r>
      <w:r>
        <w:rPr>
          <w:i/>
        </w:rPr>
        <w:t>The standard does not</w:t>
      </w:r>
      <w:r>
        <w:rPr>
          <w:i/>
        </w:rPr>
        <w:t xml:space="preserve"> state how to interpret a gapWidth element on an ofPieChart element.</w:t>
      </w:r>
    </w:p>
    <w:p w:rsidR="00024C0A" w:rsidRDefault="00694C0F">
      <w:pPr>
        <w:pStyle w:val="Definition-Field2"/>
      </w:pPr>
      <w:r>
        <w:t>In Office, the gapWidth element on an ofPieChart element specifies the radius of the primary pie for an ofPieChart.</w:t>
      </w:r>
    </w:p>
    <w:p w:rsidR="00024C0A" w:rsidRDefault="00694C0F">
      <w:pPr>
        <w:pStyle w:val="Definition-Field"/>
      </w:pPr>
      <w:r>
        <w:t xml:space="preserve">b.   </w:t>
      </w:r>
      <w:r>
        <w:rPr>
          <w:i/>
        </w:rPr>
        <w:t xml:space="preserve">The standard states that the gapWidth element specifies the space </w:t>
      </w:r>
      <w:r>
        <w:rPr>
          <w:i/>
        </w:rPr>
        <w:t>between bar or column clusters, as a percentage of the bar or column width.</w:t>
      </w:r>
    </w:p>
    <w:p w:rsidR="00024C0A" w:rsidRDefault="00694C0F">
      <w:pPr>
        <w:pStyle w:val="Definition-Field2"/>
      </w:pPr>
      <w:r>
        <w:t>In Office, this element specifies the space between adjacent series clusters in the category axis direction, as a percentage of the bar or column width for bar3DChart, barChart, an</w:t>
      </w:r>
      <w:r>
        <w:t>d upDownBars.</w:t>
      </w:r>
    </w:p>
    <w:p w:rsidR="00024C0A" w:rsidRDefault="00694C0F">
      <w:pPr>
        <w:pStyle w:val="Heading3"/>
      </w:pPr>
      <w:bookmarkStart w:id="2955" w:name="section_8fd06fa97194482caa15286409552ac5"/>
      <w:bookmarkStart w:id="2956" w:name="_Toc12261538"/>
      <w:r>
        <w:t>Part 1 Section 21.2.2.76, grouping (Grouping)</w:t>
      </w:r>
      <w:bookmarkEnd w:id="2955"/>
      <w:bookmarkEnd w:id="2956"/>
      <w:r>
        <w:fldChar w:fldCharType="begin"/>
      </w:r>
      <w:r>
        <w:instrText xml:space="preserve"> XE "grouping (Grouping)" </w:instrText>
      </w:r>
      <w:r>
        <w:fldChar w:fldCharType="end"/>
      </w:r>
    </w:p>
    <w:p w:rsidR="00024C0A" w:rsidRDefault="00694C0F">
      <w:pPr>
        <w:pStyle w:val="Definition-Field"/>
      </w:pPr>
      <w:r>
        <w:t xml:space="preserve">a.   </w:t>
      </w:r>
      <w:r>
        <w:rPr>
          <w:i/>
        </w:rPr>
        <w:t>The standard states that the grouping element specifies the type of grouping for a column, line, or area chart.</w:t>
      </w:r>
    </w:p>
    <w:p w:rsidR="00024C0A" w:rsidRDefault="00694C0F">
      <w:pPr>
        <w:pStyle w:val="Definition-Field2"/>
      </w:pPr>
      <w:r>
        <w:t>In Office, this element specifies the type of group</w:t>
      </w:r>
      <w:r>
        <w:t>ing for a line or area chart.</w:t>
      </w:r>
    </w:p>
    <w:p w:rsidR="00024C0A" w:rsidRDefault="00694C0F">
      <w:pPr>
        <w:pStyle w:val="Heading3"/>
      </w:pPr>
      <w:bookmarkStart w:id="2957" w:name="section_2492a099586a4b7599a539bb273e5c0a"/>
      <w:bookmarkStart w:id="2958" w:name="_Toc12261539"/>
      <w:r>
        <w:t>Part 1 Section 21.2.2.78, h (Height)</w:t>
      </w:r>
      <w:bookmarkEnd w:id="2957"/>
      <w:bookmarkEnd w:id="2958"/>
      <w:r>
        <w:fldChar w:fldCharType="begin"/>
      </w:r>
      <w:r>
        <w:instrText xml:space="preserve"> XE "h (Height)"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5ba9569da3445309743b040df140552">
        <w:r>
          <w:rPr>
            <w:rStyle w:val="Hyperlink"/>
          </w:rPr>
          <w:t>crossesAt, §21.2.</w:t>
        </w:r>
        <w:r>
          <w:rPr>
            <w:rStyle w:val="Hyperlink"/>
          </w:rPr>
          <w:t>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024C0A" w:rsidRDefault="00694C0F">
      <w:pPr>
        <w:pStyle w:val="Definition-Field"/>
      </w:pPr>
      <w:r>
        <w:t xml:space="preserve">a.   </w:t>
      </w:r>
      <w:r>
        <w:rPr>
          <w:i/>
        </w:rPr>
        <w:t>The standard does not state any exceptions that cause the h eleme</w:t>
      </w:r>
      <w:r>
        <w:rPr>
          <w:i/>
        </w:rPr>
        <w:t>nt to be ignored.</w:t>
      </w:r>
    </w:p>
    <w:p w:rsidR="00024C0A" w:rsidRDefault="00694C0F">
      <w:pPr>
        <w:pStyle w:val="Definition-Field2"/>
      </w:pPr>
      <w:r>
        <w:t>Office ignores this element when a descendant of dispUnitsLbl, dLbl, title, or trendline and instead fits the element to the size of the text.</w:t>
      </w:r>
    </w:p>
    <w:p w:rsidR="00024C0A" w:rsidRDefault="00694C0F">
      <w:pPr>
        <w:pStyle w:val="Definition-Field"/>
      </w:pPr>
      <w:r>
        <w:t xml:space="preserve">b.   </w:t>
      </w:r>
      <w:r>
        <w:rPr>
          <w:i/>
        </w:rPr>
        <w:t xml:space="preserve">The standard does not state any exceptions that cause the h element to be ignored or </w:t>
      </w:r>
      <w:r>
        <w:rPr>
          <w:i/>
        </w:rPr>
        <w:t>interpreted differently.</w:t>
      </w:r>
    </w:p>
    <w:p w:rsidR="00024C0A" w:rsidRDefault="00694C0F">
      <w:pPr>
        <w:pStyle w:val="Definition-Field2"/>
      </w:pPr>
      <w:r>
        <w:t>In Office, if the value of the val attribute is greater than 1 or less than 0, this element and the parent element manualLayout are ignored. Instead, the parent of manualLayout shall use its default size and position.</w:t>
      </w:r>
    </w:p>
    <w:p w:rsidR="00024C0A" w:rsidRDefault="00694C0F">
      <w:pPr>
        <w:pStyle w:val="Heading3"/>
      </w:pPr>
      <w:bookmarkStart w:id="2959" w:name="section_0c9d02eca22c49aeb335f2a4f1d2dd8e"/>
      <w:bookmarkStart w:id="2960" w:name="_Toc12261540"/>
      <w:r>
        <w:t>Part 1 Sectio</w:t>
      </w:r>
      <w:r>
        <w:t>n 21.2.2.79, headerFooter (Header and Footer)</w:t>
      </w:r>
      <w:bookmarkEnd w:id="2959"/>
      <w:bookmarkEnd w:id="2960"/>
      <w:r>
        <w:fldChar w:fldCharType="begin"/>
      </w:r>
      <w:r>
        <w:instrText xml:space="preserve"> XE "headerFooter (Header and Footer)" </w:instrText>
      </w:r>
      <w:r>
        <w:fldChar w:fldCharType="end"/>
      </w:r>
    </w:p>
    <w:p w:rsidR="00024C0A" w:rsidRDefault="00694C0F">
      <w:pPr>
        <w:pStyle w:val="Definition-Field"/>
      </w:pPr>
      <w:r>
        <w:t xml:space="preserve">a.   </w:t>
      </w:r>
      <w:r>
        <w:rPr>
          <w:i/>
        </w:rPr>
        <w:t>The standard states that the alignWithMargins attribute specifies that the header and footer should align with the left and right margins of the chart.</w:t>
      </w:r>
    </w:p>
    <w:p w:rsidR="00024C0A" w:rsidRDefault="00694C0F">
      <w:pPr>
        <w:pStyle w:val="Definition-Field2"/>
      </w:pPr>
      <w:r>
        <w:t>In Office, a</w:t>
      </w:r>
      <w:r>
        <w:t xml:space="preserve"> value of true for this attribute specifies that the left and right edges of the header and footer align with the left and right margins of chart. A value of false specifies the application will determine the alignment.</w:t>
      </w:r>
    </w:p>
    <w:p w:rsidR="00024C0A" w:rsidRDefault="00694C0F">
      <w:pPr>
        <w:pStyle w:val="Heading3"/>
      </w:pPr>
      <w:bookmarkStart w:id="2961" w:name="section_4d59213a27af49019006ff11f30589b4"/>
      <w:bookmarkStart w:id="2962" w:name="_Toc12261541"/>
      <w:r>
        <w:t>Part 1 Section 21.2.2.81, hMode (Hei</w:t>
      </w:r>
      <w:r>
        <w:t>ght Mode)</w:t>
      </w:r>
      <w:bookmarkEnd w:id="2961"/>
      <w:bookmarkEnd w:id="2962"/>
      <w:r>
        <w:fldChar w:fldCharType="begin"/>
      </w:r>
      <w:r>
        <w:instrText xml:space="preserve"> XE "hMode (Height Mode)"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rsidR="00024C0A" w:rsidRDefault="00694C0F">
      <w:pPr>
        <w:pStyle w:val="Definition-Field"/>
      </w:pPr>
      <w:r>
        <w:t xml:space="preserve">a.   </w:t>
      </w:r>
      <w:r>
        <w:rPr>
          <w:i/>
        </w:rPr>
        <w:t>The standard states that edge is a va</w:t>
      </w:r>
      <w:r>
        <w:rPr>
          <w:i/>
        </w:rPr>
        <w:t>lid value for the val attribute of hMode.</w:t>
      </w:r>
    </w:p>
    <w:p w:rsidR="00024C0A" w:rsidRDefault="00694C0F">
      <w:pPr>
        <w:pStyle w:val="Definition-Field2"/>
      </w:pPr>
      <w:r>
        <w:lastRenderedPageBreak/>
        <w:t>Office only saves a value of factor for the val attribute.  Files opened with val equal to edge will be changed to factor on save and the val of sibling element h will be updated to reflect this mode change and cor</w:t>
      </w:r>
      <w:r>
        <w:t>rectly preserve the manual size.</w:t>
      </w:r>
    </w:p>
    <w:p w:rsidR="00024C0A" w:rsidRDefault="00694C0F">
      <w:pPr>
        <w:pStyle w:val="Heading3"/>
      </w:pPr>
      <w:bookmarkStart w:id="2963" w:name="section_21355c07074d42ba8c5e37e6f33692ac"/>
      <w:bookmarkStart w:id="2964" w:name="_Toc12261542"/>
      <w:r>
        <w:t>Part 1 Section 21.2.2.82, holeSize (Hole Size)</w:t>
      </w:r>
      <w:bookmarkEnd w:id="2963"/>
      <w:bookmarkEnd w:id="2964"/>
      <w:r>
        <w:fldChar w:fldCharType="begin"/>
      </w:r>
      <w:r>
        <w:instrText xml:space="preserve"> XE "holeSize (Hole Size)" </w:instrText>
      </w:r>
      <w:r>
        <w:fldChar w:fldCharType="end"/>
      </w:r>
    </w:p>
    <w:p w:rsidR="00024C0A" w:rsidRDefault="00694C0F">
      <w:pPr>
        <w:pStyle w:val="Definition-Field"/>
      </w:pPr>
      <w:r>
        <w:t xml:space="preserve">a.   </w:t>
      </w:r>
      <w:r>
        <w:rPr>
          <w:i/>
        </w:rPr>
        <w:t>The standard states that the val attribute specifies that the contents of this attribute will contain a hole size between 10 and 90.</w:t>
      </w:r>
    </w:p>
    <w:p w:rsidR="00024C0A" w:rsidRDefault="00694C0F">
      <w:pPr>
        <w:pStyle w:val="Definition-Field2"/>
      </w:pPr>
      <w:r>
        <w:t>In Office</w:t>
      </w:r>
      <w:r>
        <w:t>, the val attribute specifies that the contents of this attribute will contain a hole size as defined by the ST_HoleSize simple type.</w:t>
      </w:r>
    </w:p>
    <w:p w:rsidR="00024C0A" w:rsidRDefault="00694C0F">
      <w:pPr>
        <w:pStyle w:val="Definition-Field"/>
      </w:pPr>
      <w:r>
        <w:t xml:space="preserve">b.   </w:t>
      </w:r>
      <w:r>
        <w:rPr>
          <w:i/>
        </w:rPr>
        <w:t>The standard implies that the val attribute is optional.</w:t>
      </w:r>
    </w:p>
    <w:p w:rsidR="00024C0A" w:rsidRDefault="00694C0F">
      <w:pPr>
        <w:pStyle w:val="Definition-Field2"/>
      </w:pPr>
      <w:r>
        <w:t>Office requires this attribute.</w:t>
      </w:r>
    </w:p>
    <w:p w:rsidR="00024C0A" w:rsidRDefault="00694C0F">
      <w:pPr>
        <w:pStyle w:val="Heading3"/>
      </w:pPr>
      <w:bookmarkStart w:id="2965" w:name="section_efdfd9b1197c426ba356d35c55a14eae"/>
      <w:bookmarkStart w:id="2966" w:name="_Toc12261543"/>
      <w:r>
        <w:t>Part 1 Section 21.2.2.83, hP</w:t>
      </w:r>
      <w:r>
        <w:t>ercent (Height Percent)</w:t>
      </w:r>
      <w:bookmarkEnd w:id="2965"/>
      <w:bookmarkEnd w:id="2966"/>
      <w:r>
        <w:fldChar w:fldCharType="begin"/>
      </w:r>
      <w:r>
        <w:instrText xml:space="preserve"> XE "hPercent (Height Percent)" </w:instrText>
      </w:r>
      <w:r>
        <w:fldChar w:fldCharType="end"/>
      </w:r>
    </w:p>
    <w:p w:rsidR="00024C0A" w:rsidRDefault="00694C0F">
      <w:pPr>
        <w:pStyle w:val="Definition-Field"/>
      </w:pPr>
      <w:r>
        <w:t xml:space="preserve">a.   </w:t>
      </w:r>
      <w:r>
        <w:rPr>
          <w:i/>
        </w:rPr>
        <w:t>The standard does not define the behavior when the hPercent element is omitted.</w:t>
      </w:r>
    </w:p>
    <w:p w:rsidR="00024C0A" w:rsidRDefault="00694C0F">
      <w:pPr>
        <w:pStyle w:val="Definition-Field2"/>
      </w:pPr>
      <w:r>
        <w:t>If this element is omitted, Office uses automatic scaling.  If automatic scaling is enabled, the height of the 3-</w:t>
      </w:r>
      <w:r>
        <w:t>D chart expressed as a percentage of the chart width shall be the ratio of plot area height to plot area width.</w:t>
      </w:r>
    </w:p>
    <w:p w:rsidR="00024C0A" w:rsidRDefault="00694C0F">
      <w:pPr>
        <w:pStyle w:val="Definition-Field"/>
      </w:pPr>
      <w:r>
        <w:t xml:space="preserve">b.   </w:t>
      </w:r>
      <w:r>
        <w:rPr>
          <w:i/>
        </w:rPr>
        <w:t>The standard does not specify how to interpret the hPercent element on a pie3Dchart.</w:t>
      </w:r>
    </w:p>
    <w:p w:rsidR="00024C0A" w:rsidRDefault="00694C0F">
      <w:pPr>
        <w:pStyle w:val="Definition-Field2"/>
      </w:pPr>
      <w:r>
        <w:t>In Office, this element on a pie3DChart specifies that</w:t>
      </w:r>
      <w:r>
        <w:t xml:space="preserve"> the thickness of the 3-D pie chart shall be the default thickness (defined by the SpreadsheetML application) multiplied by the height percent.</w:t>
      </w:r>
    </w:p>
    <w:p w:rsidR="00024C0A" w:rsidRDefault="00694C0F">
      <w:pPr>
        <w:pStyle w:val="Definition-Field"/>
      </w:pPr>
      <w:r>
        <w:t xml:space="preserve">c.   </w:t>
      </w:r>
      <w:r>
        <w:rPr>
          <w:i/>
        </w:rPr>
        <w:t xml:space="preserve">The standard states that the hPercent element specifies the height of a 3-D chart as a percentage of the </w:t>
      </w:r>
      <w:r>
        <w:rPr>
          <w:i/>
        </w:rPr>
        <w:t>chart width.</w:t>
      </w:r>
    </w:p>
    <w:p w:rsidR="00024C0A" w:rsidRDefault="00694C0F">
      <w:pPr>
        <w:pStyle w:val="Definition-Field2"/>
      </w:pPr>
      <w:r>
        <w:t>In Office, this element specifies the height of a 3-D chart as a percentage of the 3-D plot area width, and disables automatic scaling for the chart height.</w:t>
      </w:r>
    </w:p>
    <w:p w:rsidR="00024C0A" w:rsidRDefault="00694C0F">
      <w:pPr>
        <w:pStyle w:val="Heading3"/>
      </w:pPr>
      <w:bookmarkStart w:id="2967" w:name="section_6ceb7cd840d84c6695fa130240a4a22a"/>
      <w:bookmarkStart w:id="2968" w:name="_Toc12261544"/>
      <w:r>
        <w:t>Part 1 Section 21.2.2.84, idx (Index)</w:t>
      </w:r>
      <w:bookmarkEnd w:id="2967"/>
      <w:bookmarkEnd w:id="2968"/>
      <w:r>
        <w:fldChar w:fldCharType="begin"/>
      </w:r>
      <w:r>
        <w:instrText xml:space="preserve"> XE "idx (Index)" </w:instrText>
      </w:r>
      <w:r>
        <w:fldChar w:fldCharType="end"/>
      </w:r>
    </w:p>
    <w:p w:rsidR="00024C0A" w:rsidRDefault="00694C0F">
      <w:pPr>
        <w:pStyle w:val="Definition-Field"/>
      </w:pPr>
      <w:r>
        <w:t xml:space="preserve">a.   </w:t>
      </w:r>
      <w:r>
        <w:rPr>
          <w:i/>
        </w:rPr>
        <w:t xml:space="preserve">The standard places no </w:t>
      </w:r>
      <w:r>
        <w:rPr>
          <w:i/>
        </w:rPr>
        <w:t>restrictions on the val attribute beyond type information.</w:t>
      </w:r>
    </w:p>
    <w:p w:rsidR="00024C0A" w:rsidRDefault="00694C0F">
      <w:pPr>
        <w:pStyle w:val="Definition-Field2"/>
      </w:pPr>
      <w:r>
        <w:t>Office requires that the value of the val attribute be unique amongst idx elements within the same collection.</w:t>
      </w:r>
    </w:p>
    <w:p w:rsidR="00024C0A" w:rsidRDefault="00694C0F">
      <w:pPr>
        <w:pStyle w:val="Definition-Field"/>
      </w:pPr>
      <w:r>
        <w:t xml:space="preserve">b.   </w:t>
      </w:r>
      <w:r>
        <w:rPr>
          <w:i/>
        </w:rPr>
        <w:t>The standard states that the values of the val attribute are defined by the XML S</w:t>
      </w:r>
      <w:r>
        <w:rPr>
          <w:i/>
        </w:rPr>
        <w:t>chema unsignedInt datatype.</w:t>
      </w:r>
    </w:p>
    <w:p w:rsidR="00024C0A" w:rsidRDefault="00694C0F">
      <w:pPr>
        <w:pStyle w:val="Definition-Field2"/>
      </w:pPr>
      <w:r>
        <w:t>Office restricts the value of this attribute to be at most 2147483647.</w:t>
      </w:r>
    </w:p>
    <w:p w:rsidR="00024C0A" w:rsidRDefault="00694C0F">
      <w:pPr>
        <w:pStyle w:val="Heading3"/>
      </w:pPr>
      <w:bookmarkStart w:id="2969" w:name="section_ecb7cd155c46458b9f7c016272458527"/>
      <w:bookmarkStart w:id="2970" w:name="_Toc12261545"/>
      <w:r>
        <w:t>Part 1 Section 21.2.2.85, intercept (Intercept)</w:t>
      </w:r>
      <w:bookmarkEnd w:id="2969"/>
      <w:bookmarkEnd w:id="2970"/>
      <w:r>
        <w:fldChar w:fldCharType="begin"/>
      </w:r>
      <w:r>
        <w:instrText xml:space="preserve"> XE "intercept (Intercept)" </w:instrText>
      </w:r>
      <w:r>
        <w:fldChar w:fldCharType="end"/>
      </w:r>
    </w:p>
    <w:p w:rsidR="00024C0A" w:rsidRDefault="00694C0F">
      <w:pPr>
        <w:pStyle w:val="Definition-Field2"/>
      </w:pPr>
      <w:r>
        <w:rPr>
          <w:i/>
        </w:rPr>
        <w:t>For additional notes that apply to this portion of the standard, please see the</w:t>
      </w:r>
      <w:r>
        <w:rPr>
          <w:i/>
        </w:rPr>
        <w:t xml:space="preserv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w:t>
        </w:r>
        <w:r>
          <w:rPr>
            <w:rStyle w:val="Hyperlink"/>
          </w:rPr>
          <w:t>Pos, §21.2.2.195(c)</w:t>
        </w:r>
      </w:hyperlink>
      <w:r>
        <w:rPr>
          <w:i/>
        </w:rPr>
        <w:t>.</w:t>
      </w:r>
    </w:p>
    <w:p w:rsidR="00024C0A" w:rsidRDefault="00694C0F">
      <w:pPr>
        <w:pStyle w:val="Heading3"/>
      </w:pPr>
      <w:bookmarkStart w:id="2971" w:name="section_c26d486fa3ba4b87bcc18e10062f4c2f"/>
      <w:bookmarkStart w:id="2972" w:name="_Toc12261546"/>
      <w:r>
        <w:t>Part 1 Section 21.2.2.86, invertIfNegative (Invert if Negative)</w:t>
      </w:r>
      <w:bookmarkEnd w:id="2971"/>
      <w:bookmarkEnd w:id="2972"/>
      <w:r>
        <w:fldChar w:fldCharType="begin"/>
      </w:r>
      <w:r>
        <w:instrText xml:space="preserve"> XE "invertIfNegative (Invert if Negative)" </w:instrText>
      </w:r>
      <w:r>
        <w:fldChar w:fldCharType="end"/>
      </w:r>
    </w:p>
    <w:p w:rsidR="00024C0A" w:rsidRDefault="00694C0F">
      <w:pPr>
        <w:pStyle w:val="Definition-Field"/>
      </w:pPr>
      <w:r>
        <w:t xml:space="preserve">a.   </w:t>
      </w:r>
      <w:r>
        <w:rPr>
          <w:i/>
        </w:rPr>
        <w:t>The standard does not state any exceptions that cause this element to be ignored.</w:t>
      </w:r>
    </w:p>
    <w:p w:rsidR="00024C0A" w:rsidRDefault="00694C0F">
      <w:pPr>
        <w:pStyle w:val="Definition-Field2"/>
      </w:pPr>
      <w:r>
        <w:t>Office ignores this element and always</w:t>
      </w:r>
      <w:r>
        <w:t xml:space="preserve"> inverts the negative values if the ancestors include bubbleChart.</w:t>
      </w:r>
    </w:p>
    <w:p w:rsidR="00024C0A" w:rsidRDefault="00694C0F">
      <w:pPr>
        <w:pStyle w:val="Heading3"/>
      </w:pPr>
      <w:bookmarkStart w:id="2973" w:name="section_103a45d564c44e46b972658f87b24c63"/>
      <w:bookmarkStart w:id="2974" w:name="_Toc12261547"/>
      <w:r>
        <w:lastRenderedPageBreak/>
        <w:t>Part 1 Section 21.2.2.88, layout (Layout)</w:t>
      </w:r>
      <w:bookmarkEnd w:id="2973"/>
      <w:bookmarkEnd w:id="2974"/>
      <w:r>
        <w:fldChar w:fldCharType="begin"/>
      </w:r>
      <w:r>
        <w:instrText xml:space="preserve"> XE "layout (Layout)" </w:instrText>
      </w:r>
      <w:r>
        <w:fldChar w:fldCharType="end"/>
      </w:r>
    </w:p>
    <w:p w:rsidR="00024C0A" w:rsidRDefault="00694C0F">
      <w:pPr>
        <w:pStyle w:val="Definition-Field"/>
      </w:pPr>
      <w:r>
        <w:t xml:space="preserve">a.   </w:t>
      </w:r>
      <w:r>
        <w:rPr>
          <w:i/>
        </w:rPr>
        <w:t>The standard states that the manualLayout and extLst child elements both have a minOccurs=0.</w:t>
      </w:r>
    </w:p>
    <w:p w:rsidR="00024C0A" w:rsidRDefault="00694C0F">
      <w:pPr>
        <w:pStyle w:val="Definition-Field2"/>
      </w:pPr>
      <w:r>
        <w:t>Office will not save this</w:t>
      </w:r>
      <w:r>
        <w:t xml:space="preserve"> element if the manualLayout child element is not present when the parent element is dLbl or trendlineLbl, even if this element has an extLst child element.</w:t>
      </w:r>
    </w:p>
    <w:p w:rsidR="00024C0A" w:rsidRDefault="00694C0F">
      <w:pPr>
        <w:pStyle w:val="Heading3"/>
      </w:pPr>
      <w:bookmarkStart w:id="2975" w:name="section_63d53b16d3cf4361b04875462a9a40e7"/>
      <w:bookmarkStart w:id="2976" w:name="_Toc12261548"/>
      <w:r>
        <w:t>Part 1 Section 21.2.2.89, layoutTarget (Layout Target)</w:t>
      </w:r>
      <w:bookmarkEnd w:id="2975"/>
      <w:bookmarkEnd w:id="2976"/>
      <w:r>
        <w:fldChar w:fldCharType="begin"/>
      </w:r>
      <w:r>
        <w:instrText xml:space="preserve"> XE "layoutTarget (Layout Target)" </w:instrText>
      </w:r>
      <w:r>
        <w:fldChar w:fldCharType="end"/>
      </w:r>
    </w:p>
    <w:p w:rsidR="00024C0A" w:rsidRDefault="00694C0F">
      <w:pPr>
        <w:pStyle w:val="Definition-Field"/>
      </w:pPr>
      <w:r>
        <w:t xml:space="preserve">a.   </w:t>
      </w:r>
      <w:r>
        <w:rPr>
          <w:i/>
        </w:rPr>
        <w:t>Th</w:t>
      </w:r>
      <w:r>
        <w:rPr>
          <w:i/>
        </w:rPr>
        <w:t>e standard states that this element can be a child of any manualLayout element.</w:t>
      </w:r>
    </w:p>
    <w:p w:rsidR="00024C0A" w:rsidRDefault="00694C0F">
      <w:pPr>
        <w:pStyle w:val="Definition-Field2"/>
      </w:pPr>
      <w:r>
        <w:t>Office requires that the ancestors not include dispUnitsLbl, dLbl, legend, title, and trendlineLbl when this element is specified.</w:t>
      </w:r>
    </w:p>
    <w:p w:rsidR="00024C0A" w:rsidRDefault="00694C0F">
      <w:pPr>
        <w:pStyle w:val="Heading3"/>
      </w:pPr>
      <w:bookmarkStart w:id="2977" w:name="section_3536abf10a574a15a1976b56b3f4616f"/>
      <w:bookmarkStart w:id="2978" w:name="_Toc12261549"/>
      <w:r>
        <w:t>Part 1 Section 21.2.2.92, leaderLines (Leader</w:t>
      </w:r>
      <w:r>
        <w:t xml:space="preserve"> Lines)</w:t>
      </w:r>
      <w:bookmarkEnd w:id="2977"/>
      <w:bookmarkEnd w:id="2978"/>
      <w:r>
        <w:fldChar w:fldCharType="begin"/>
      </w:r>
      <w:r>
        <w:instrText xml:space="preserve"> XE "leaderLines (Leader Lines)" </w:instrText>
      </w:r>
      <w:r>
        <w:fldChar w:fldCharType="end"/>
      </w:r>
    </w:p>
    <w:p w:rsidR="00024C0A" w:rsidRDefault="00694C0F">
      <w:pPr>
        <w:pStyle w:val="Definition-Field"/>
      </w:pPr>
      <w:r>
        <w:t xml:space="preserve">a.   </w:t>
      </w:r>
      <w:r>
        <w:rPr>
          <w:i/>
        </w:rPr>
        <w:t>The standard states that this element can be a child of any dLbls element.</w:t>
      </w:r>
    </w:p>
    <w:p w:rsidR="00024C0A" w:rsidRDefault="00694C0F">
      <w:pPr>
        <w:pStyle w:val="Definition-Field2"/>
      </w:pPr>
      <w:r>
        <w:t>Office requires that the value of the val attribute of sibling element showLeaderLines is true when this element is specified.</w:t>
      </w:r>
    </w:p>
    <w:p w:rsidR="00024C0A" w:rsidRDefault="00694C0F">
      <w:pPr>
        <w:pStyle w:val="Definition-Field"/>
      </w:pPr>
      <w:r>
        <w:t xml:space="preserve">b.   </w:t>
      </w:r>
      <w:r>
        <w:rPr>
          <w:i/>
        </w:rPr>
        <w:t>T</w:t>
      </w:r>
      <w:r>
        <w:rPr>
          <w:i/>
        </w:rPr>
        <w:t>he standard states that this element can be a child of any dLbls element.</w:t>
      </w:r>
    </w:p>
    <w:p w:rsidR="00024C0A" w:rsidRDefault="00694C0F">
      <w:pPr>
        <w:pStyle w:val="Definition-Field2"/>
      </w:pPr>
      <w:r>
        <w:t>Office requires that the ancestor include doughnutChart, ofPieChart, pie3DChart, or pieChart when this element is specified.</w:t>
      </w:r>
    </w:p>
    <w:p w:rsidR="00024C0A" w:rsidRDefault="00694C0F">
      <w:pPr>
        <w:pStyle w:val="Heading3"/>
      </w:pPr>
      <w:bookmarkStart w:id="2979" w:name="section_8314e929129a4991a7f99f37010521e5"/>
      <w:bookmarkStart w:id="2980" w:name="_Toc12261550"/>
      <w:r>
        <w:t>Part 1 Section 21.2.2.95, legendPos (Legend Position)</w:t>
      </w:r>
      <w:bookmarkEnd w:id="2979"/>
      <w:bookmarkEnd w:id="2980"/>
      <w:r>
        <w:fldChar w:fldCharType="begin"/>
      </w:r>
      <w:r>
        <w:instrText xml:space="preserve"> XE </w:instrText>
      </w:r>
      <w:r>
        <w:instrText xml:space="preserve">"legendPos (Legend Position)" </w:instrText>
      </w:r>
      <w:r>
        <w:fldChar w:fldCharType="end"/>
      </w:r>
    </w:p>
    <w:p w:rsidR="00024C0A" w:rsidRDefault="00694C0F">
      <w:pPr>
        <w:pStyle w:val="Definition-Field"/>
      </w:pPr>
      <w:r>
        <w:t xml:space="preserve">a.   </w:t>
      </w:r>
      <w:r>
        <w:rPr>
          <w:i/>
        </w:rPr>
        <w:t>The standard does not state any exceptions that cause this element to be ignored.</w:t>
      </w:r>
    </w:p>
    <w:p w:rsidR="00024C0A" w:rsidRDefault="00694C0F">
      <w:pPr>
        <w:pStyle w:val="Definition-Field2"/>
      </w:pPr>
      <w:r>
        <w:t xml:space="preserve">In Office, when this element is specified along with the manualLayout child element of the layout sibling element the exact position of </w:t>
      </w:r>
      <w:r>
        <w:t>the legend is overridden by the manual layout.</w:t>
      </w:r>
    </w:p>
    <w:p w:rsidR="00024C0A" w:rsidRDefault="00694C0F">
      <w:pPr>
        <w:pStyle w:val="Heading3"/>
      </w:pPr>
      <w:bookmarkStart w:id="2981" w:name="section_7bcdf1d23b754a548fb87af678555e39"/>
      <w:bookmarkStart w:id="2982" w:name="_Toc12261551"/>
      <w:r>
        <w:t>Part 1 Section 21.2.2.96, line3DChart (3D Line Charts)</w:t>
      </w:r>
      <w:bookmarkEnd w:id="2981"/>
      <w:bookmarkEnd w:id="2982"/>
      <w:r>
        <w:fldChar w:fldCharType="begin"/>
      </w:r>
      <w:r>
        <w:instrText xml:space="preserve"> XE "line3DChart (3D Line Charts)" </w:instrText>
      </w:r>
      <w:r>
        <w:fldChar w:fldCharType="end"/>
      </w:r>
    </w:p>
    <w:p w:rsidR="00024C0A" w:rsidRDefault="00694C0F">
      <w:pPr>
        <w:pStyle w:val="Definition-Field"/>
      </w:pPr>
      <w:r>
        <w:t xml:space="preserve">a.   </w:t>
      </w:r>
      <w:r>
        <w:rPr>
          <w:i/>
        </w:rPr>
        <w:t>The standard states that the values of the child element axId are defined by the XML Schem unsignedInt datatype.</w:t>
      </w:r>
    </w:p>
    <w:p w:rsidR="00024C0A" w:rsidRDefault="00694C0F">
      <w:pPr>
        <w:pStyle w:val="Definition-Field2"/>
      </w:pPr>
      <w:r>
        <w:t>In Office, child element axId has a maximum value of 2147483647.</w:t>
      </w:r>
    </w:p>
    <w:p w:rsidR="00024C0A" w:rsidRDefault="00694C0F">
      <w:pPr>
        <w:pStyle w:val="Definition-Field"/>
      </w:pPr>
      <w:r>
        <w:t xml:space="preserve">b.   </w:t>
      </w:r>
      <w:r>
        <w:rPr>
          <w:i/>
        </w:rPr>
        <w:t>The standard states that the maxOccurs value for the ser child element is unbounded.</w:t>
      </w:r>
    </w:p>
    <w:p w:rsidR="00024C0A" w:rsidRDefault="00694C0F">
      <w:pPr>
        <w:pStyle w:val="Definition-Field2"/>
      </w:pPr>
      <w:r>
        <w:t>Office limits the occurrences of this element to 255.</w:t>
      </w:r>
    </w:p>
    <w:p w:rsidR="00024C0A" w:rsidRDefault="00694C0F">
      <w:pPr>
        <w:pStyle w:val="Heading3"/>
      </w:pPr>
      <w:bookmarkStart w:id="2983" w:name="section_28cc58e871c2454c9c4eef78fa758552"/>
      <w:bookmarkStart w:id="2984" w:name="_Toc12261552"/>
      <w:r>
        <w:t>Part 1 Section 21.2.2.97, lineChart (Line Charts)</w:t>
      </w:r>
      <w:bookmarkEnd w:id="2983"/>
      <w:bookmarkEnd w:id="2984"/>
      <w:r>
        <w:fldChar w:fldCharType="begin"/>
      </w:r>
      <w:r>
        <w:instrText xml:space="preserve"> XE "lineChart (Line Charts)"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7bcdf1d23b754a548fb87af678555e39">
        <w:r>
          <w:rPr>
            <w:rStyle w:val="Hyperlink"/>
          </w:rPr>
          <w:t>line3DChart, §21.2.2.</w:t>
        </w:r>
        <w:r>
          <w:rPr>
            <w:rStyle w:val="Hyperlink"/>
          </w:rPr>
          <w:t>96(b)</w:t>
        </w:r>
      </w:hyperlink>
      <w:r>
        <w:rPr>
          <w:i/>
        </w:rPr>
        <w:t>.</w:t>
      </w:r>
    </w:p>
    <w:p w:rsidR="00024C0A" w:rsidRDefault="00694C0F">
      <w:pPr>
        <w:pStyle w:val="Heading3"/>
      </w:pPr>
      <w:bookmarkStart w:id="2985" w:name="section_f6d3a915d0354a95b1668a66c55ff8a4"/>
      <w:bookmarkStart w:id="2986" w:name="_Toc12261553"/>
      <w:r>
        <w:t>Part 1 Section 21.2.2.99, lvl (Level)</w:t>
      </w:r>
      <w:bookmarkEnd w:id="2985"/>
      <w:bookmarkEnd w:id="2986"/>
      <w:r>
        <w:fldChar w:fldCharType="begin"/>
      </w:r>
      <w:r>
        <w:instrText xml:space="preserve"> XE "lvl (Level)" </w:instrText>
      </w:r>
      <w:r>
        <w:fldChar w:fldCharType="end"/>
      </w:r>
    </w:p>
    <w:p w:rsidR="00024C0A" w:rsidRDefault="00694C0F">
      <w:pPr>
        <w:pStyle w:val="Definition-Field"/>
      </w:pPr>
      <w:r>
        <w:t xml:space="preserve">a.   </w:t>
      </w:r>
      <w:r>
        <w:rPr>
          <w:i/>
        </w:rPr>
        <w:t>The standard states that the maxOccurs value for the pt child element is unbounded.</w:t>
      </w:r>
    </w:p>
    <w:p w:rsidR="00024C0A" w:rsidRDefault="00694C0F">
      <w:pPr>
        <w:pStyle w:val="Definition-Field2"/>
      </w:pPr>
      <w:r>
        <w:t xml:space="preserve">Office limits the occurrences of this element to 2147483647; occurrences greater than 1048576 will be </w:t>
      </w:r>
      <w:r>
        <w:t>ignored on load and discarded on save.</w:t>
      </w:r>
    </w:p>
    <w:p w:rsidR="00024C0A" w:rsidRDefault="00694C0F">
      <w:pPr>
        <w:pStyle w:val="Heading3"/>
      </w:pPr>
      <w:bookmarkStart w:id="2987" w:name="section_c1126f5e88c844d3b6cd3bcfc7368bea"/>
      <w:bookmarkStart w:id="2988" w:name="_Toc12261554"/>
      <w:r>
        <w:lastRenderedPageBreak/>
        <w:t>Part 1 Section 21.2.2.101, majorTickMark (Major Tick Mark)</w:t>
      </w:r>
      <w:bookmarkEnd w:id="2987"/>
      <w:bookmarkEnd w:id="2988"/>
      <w:r>
        <w:fldChar w:fldCharType="begin"/>
      </w:r>
      <w:r>
        <w:instrText xml:space="preserve"> XE "majorTickMark (Major Tick Mark)" </w:instrText>
      </w:r>
      <w:r>
        <w:fldChar w:fldCharType="end"/>
      </w:r>
    </w:p>
    <w:p w:rsidR="00024C0A" w:rsidRDefault="00694C0F">
      <w:pPr>
        <w:pStyle w:val="Definition-Field"/>
      </w:pPr>
      <w:r>
        <w:t xml:space="preserve">a.   </w:t>
      </w:r>
      <w:r>
        <w:rPr>
          <w:i/>
        </w:rPr>
        <w:t>The standard states that the val attribute of this element specifies the minor tick mark position.</w:t>
      </w:r>
    </w:p>
    <w:p w:rsidR="00024C0A" w:rsidRDefault="00694C0F">
      <w:pPr>
        <w:pStyle w:val="Definition-Field2"/>
      </w:pPr>
      <w:r>
        <w:t>In Office, the</w:t>
      </w:r>
      <w:r>
        <w:t xml:space="preserve"> val attribute of this element specifies the major tick mark position.</w:t>
      </w:r>
    </w:p>
    <w:p w:rsidR="00024C0A" w:rsidRDefault="00694C0F">
      <w:pPr>
        <w:pStyle w:val="Heading3"/>
      </w:pPr>
      <w:bookmarkStart w:id="2989" w:name="section_8268861e15c944fa9982632c6f2d6987"/>
      <w:bookmarkStart w:id="2990" w:name="_Toc12261555"/>
      <w:r>
        <w:t>Part 1 Section 21.2.2.103, majorUnit (Major Unit)</w:t>
      </w:r>
      <w:bookmarkEnd w:id="2989"/>
      <w:bookmarkEnd w:id="2990"/>
      <w:r>
        <w:fldChar w:fldCharType="begin"/>
      </w:r>
      <w:r>
        <w:instrText xml:space="preserve"> XE "majorUnit (Major Unit)" </w:instrText>
      </w:r>
      <w:r>
        <w:fldChar w:fldCharType="end"/>
      </w:r>
    </w:p>
    <w:p w:rsidR="00024C0A" w:rsidRDefault="00694C0F">
      <w:pPr>
        <w:pStyle w:val="Definition-Field"/>
      </w:pPr>
      <w:r>
        <w:t xml:space="preserve">a.   </w:t>
      </w:r>
      <w:r>
        <w:rPr>
          <w:i/>
        </w:rPr>
        <w:t>The standard states that the minimum value of the val attribute is equal to 0.</w:t>
      </w:r>
    </w:p>
    <w:p w:rsidR="00024C0A" w:rsidRDefault="00694C0F">
      <w:pPr>
        <w:pStyle w:val="Definition-Field2"/>
      </w:pPr>
      <w:r>
        <w:t>Office requires that</w:t>
      </w:r>
      <w:r>
        <w:t xml:space="preserve"> the value of the val attribute be greater than or equal to 1 when the parent element is dateAx.</w:t>
      </w:r>
    </w:p>
    <w:p w:rsidR="00024C0A" w:rsidRDefault="00694C0F">
      <w:pPr>
        <w:pStyle w:val="Heading3"/>
      </w:pPr>
      <w:bookmarkStart w:id="2991" w:name="section_8ef048666150457e9997509ec5a80cf5"/>
      <w:bookmarkStart w:id="2992" w:name="_Toc12261556"/>
      <w:r>
        <w:t>Part 1 Section 21.2.2.104, manualLayout (Manual Layout)</w:t>
      </w:r>
      <w:bookmarkEnd w:id="2991"/>
      <w:bookmarkEnd w:id="2992"/>
      <w:r>
        <w:fldChar w:fldCharType="begin"/>
      </w:r>
      <w:r>
        <w:instrText xml:space="preserve"> XE "manualLayout (Manual Layout)" </w:instrText>
      </w:r>
      <w:r>
        <w:fldChar w:fldCharType="end"/>
      </w:r>
    </w:p>
    <w:p w:rsidR="00024C0A" w:rsidRDefault="00694C0F">
      <w:pPr>
        <w:pStyle w:val="Definition-Field"/>
      </w:pPr>
      <w:r>
        <w:t xml:space="preserve">a.   </w:t>
      </w:r>
      <w:r>
        <w:rPr>
          <w:i/>
        </w:rPr>
        <w:t>The standard does not place any restrictions on when the attr</w:t>
      </w:r>
      <w:r>
        <w:rPr>
          <w:i/>
        </w:rPr>
        <w:t>ibutes can be specified.</w:t>
      </w:r>
    </w:p>
    <w:p w:rsidR="00024C0A" w:rsidRDefault="00694C0F">
      <w:pPr>
        <w:pStyle w:val="Definition-Field2"/>
      </w:pPr>
      <w:r>
        <w:t>Office requires that attributes h, w, x, and y all be specified if one is specified and the ancestors include legend or plotArea.  If x or y are specified and the ancestors include dispUnitsLbl, dLbl, title, or trendlineLbl, both s</w:t>
      </w:r>
      <w:r>
        <w:t>hall be specified.</w:t>
      </w:r>
    </w:p>
    <w:p w:rsidR="00024C0A" w:rsidRDefault="00694C0F">
      <w:pPr>
        <w:pStyle w:val="Heading3"/>
      </w:pPr>
      <w:bookmarkStart w:id="2993" w:name="section_72be69072aa4474da8e29b5fb073bd8a"/>
      <w:bookmarkStart w:id="2994" w:name="_Toc12261557"/>
      <w:r>
        <w:t>Part 1 Section 21.2.2.105, marker (Show Marker)</w:t>
      </w:r>
      <w:bookmarkEnd w:id="2993"/>
      <w:bookmarkEnd w:id="2994"/>
      <w:r>
        <w:fldChar w:fldCharType="begin"/>
      </w:r>
      <w:r>
        <w:instrText xml:space="preserve"> XE "marker (Show Marker)" </w:instrText>
      </w:r>
      <w:r>
        <w:fldChar w:fldCharType="end"/>
      </w:r>
    </w:p>
    <w:p w:rsidR="00024C0A" w:rsidRDefault="00694C0F">
      <w:pPr>
        <w:pStyle w:val="Definition-Field"/>
      </w:pPr>
      <w:r>
        <w:t xml:space="preserve">a.   </w:t>
      </w:r>
      <w:r>
        <w:rPr>
          <w:i/>
        </w:rPr>
        <w:t>The standard states this element is a boolean that, when true, specifies that the marker shall be shown.</w:t>
      </w:r>
    </w:p>
    <w:p w:rsidR="00024C0A" w:rsidRDefault="00694C0F">
      <w:pPr>
        <w:pStyle w:val="Definition-Field2"/>
      </w:pPr>
      <w:r>
        <w:t>Office always ignores and does not use this elemen</w:t>
      </w:r>
      <w:r>
        <w:t>t to define if markers shall be shown.</w:t>
      </w:r>
    </w:p>
    <w:p w:rsidR="00024C0A" w:rsidRDefault="00694C0F">
      <w:pPr>
        <w:pStyle w:val="Heading3"/>
      </w:pPr>
      <w:bookmarkStart w:id="2995" w:name="section_c42ddf7df72d4cb69f3513e6e30d7d25"/>
      <w:bookmarkStart w:id="2996" w:name="_Toc12261558"/>
      <w:r>
        <w:t>Part 1 Section 21.2.2.106, marker (Marker)</w:t>
      </w:r>
      <w:bookmarkEnd w:id="2995"/>
      <w:bookmarkEnd w:id="2996"/>
      <w:r>
        <w:fldChar w:fldCharType="begin"/>
      </w:r>
      <w:r>
        <w:instrText xml:space="preserve"> XE "marker (Marker)" </w:instrText>
      </w:r>
      <w:r>
        <w:fldChar w:fldCharType="end"/>
      </w:r>
    </w:p>
    <w:p w:rsidR="00024C0A" w:rsidRDefault="00694C0F">
      <w:pPr>
        <w:pStyle w:val="Definition-Field"/>
      </w:pPr>
      <w:r>
        <w:t xml:space="preserve">a.   </w:t>
      </w:r>
      <w:r>
        <w:rPr>
          <w:i/>
        </w:rPr>
        <w:t>The standard states this element can be a child of any ser (Line Chart Series) element.</w:t>
      </w:r>
    </w:p>
    <w:p w:rsidR="00024C0A" w:rsidRDefault="00694C0F">
      <w:pPr>
        <w:pStyle w:val="Definition-Field2"/>
      </w:pPr>
      <w:r>
        <w:t>Office requires that the ancestors not include line3DChar</w:t>
      </w:r>
      <w:r>
        <w:t>t when this element is specified.</w:t>
      </w:r>
    </w:p>
    <w:p w:rsidR="00024C0A" w:rsidRDefault="00694C0F">
      <w:pPr>
        <w:pStyle w:val="Heading3"/>
      </w:pPr>
      <w:bookmarkStart w:id="2997" w:name="section_652d488b12c641ba9cca59a8e954102b"/>
      <w:bookmarkStart w:id="2998" w:name="_Toc12261559"/>
      <w:r>
        <w:t>Part 1 Section 21.2.2.107, max (Maximum)</w:t>
      </w:r>
      <w:bookmarkEnd w:id="2997"/>
      <w:bookmarkEnd w:id="2998"/>
      <w:r>
        <w:fldChar w:fldCharType="begin"/>
      </w:r>
      <w:r>
        <w:instrText xml:space="preserve"> XE "max (Maximum)"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5ba9569da3445309743b040df140552">
        <w:r>
          <w:rPr>
            <w:rStyle w:val="Hyperlink"/>
          </w:rPr>
          <w:t>crosse</w:t>
        </w:r>
        <w:r>
          <w:rPr>
            <w:rStyle w:val="Hyperlink"/>
          </w:rPr>
          <w:t>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024C0A" w:rsidRDefault="00694C0F">
      <w:pPr>
        <w:pStyle w:val="Heading3"/>
      </w:pPr>
      <w:bookmarkStart w:id="2999" w:name="section_8066396fad5d4ee18d3fbc72fe7b589d"/>
      <w:bookmarkStart w:id="3000" w:name="_Toc12261560"/>
      <w:r>
        <w:t>Part 1 Section 21.2.2.108, min (Minimum)</w:t>
      </w:r>
      <w:bookmarkEnd w:id="2999"/>
      <w:bookmarkEnd w:id="3000"/>
      <w:r>
        <w:fldChar w:fldCharType="begin"/>
      </w:r>
      <w:r>
        <w:instrText xml:space="preserve"> XE "min (Minimum)"</w:instrText>
      </w:r>
      <w:r>
        <w:instrText xml:space="preserv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 xml:space="preserve">custUnit, </w:t>
        </w:r>
        <w:r>
          <w:rPr>
            <w:rStyle w:val="Hyperlink"/>
          </w:rPr>
          <w:t>§21.2.2.36(a)</w:t>
        </w:r>
      </w:hyperlink>
      <w:r>
        <w:rPr>
          <w:i/>
        </w:rPr>
        <w:t xml:space="preserve">; </w:t>
      </w:r>
      <w:hyperlink w:anchor="Section_002a323721c5425f83521a108d5bc7bb">
        <w:r>
          <w:rPr>
            <w:rStyle w:val="Hyperlink"/>
          </w:rPr>
          <w:t>splitPos, §21.2.2.195(c)</w:t>
        </w:r>
      </w:hyperlink>
      <w:r>
        <w:rPr>
          <w:i/>
        </w:rPr>
        <w:t>.</w:t>
      </w:r>
    </w:p>
    <w:p w:rsidR="00024C0A" w:rsidRDefault="00694C0F">
      <w:pPr>
        <w:pStyle w:val="Heading3"/>
      </w:pPr>
      <w:bookmarkStart w:id="3001" w:name="section_8c28df63f35244b9bdf634dcd4faaa84"/>
      <w:bookmarkStart w:id="3002" w:name="_Toc12261561"/>
      <w:r>
        <w:t>Part 1 Section 21.2.2.112, minorUnit (Minor Unit)</w:t>
      </w:r>
      <w:bookmarkEnd w:id="3001"/>
      <w:bookmarkEnd w:id="3002"/>
      <w:r>
        <w:fldChar w:fldCharType="begin"/>
      </w:r>
      <w:r>
        <w:instrText xml:space="preserve"> XE "minorUnit (Minor Unit)" </w:instrText>
      </w:r>
      <w:r>
        <w:fldChar w:fldCharType="end"/>
      </w:r>
    </w:p>
    <w:p w:rsidR="00024C0A" w:rsidRDefault="00694C0F">
      <w:pPr>
        <w:pStyle w:val="Definition-Field"/>
      </w:pPr>
      <w:r>
        <w:t xml:space="preserve">a.   </w:t>
      </w:r>
      <w:r>
        <w:rPr>
          <w:i/>
        </w:rPr>
        <w:t>The standard states that the minimum value of the val attribute is</w:t>
      </w:r>
      <w:r>
        <w:rPr>
          <w:i/>
        </w:rPr>
        <w:t xml:space="preserve"> equal to 0.</w:t>
      </w:r>
    </w:p>
    <w:p w:rsidR="00024C0A" w:rsidRDefault="00694C0F">
      <w:pPr>
        <w:pStyle w:val="Definition-Field2"/>
      </w:pPr>
      <w:r>
        <w:t>Office requires that the value of the val attribute be greater than or equal to 1 when the parent element is dateAx.</w:t>
      </w:r>
    </w:p>
    <w:p w:rsidR="00024C0A" w:rsidRDefault="00694C0F">
      <w:pPr>
        <w:pStyle w:val="Heading3"/>
      </w:pPr>
      <w:bookmarkStart w:id="3003" w:name="section_f9019fcff51d4d9589c4e9267f846bdb"/>
      <w:bookmarkStart w:id="3004" w:name="_Toc12261562"/>
      <w:r>
        <w:t>Part 1 Section 21.2.2.113, minus (Minus)</w:t>
      </w:r>
      <w:bookmarkEnd w:id="3003"/>
      <w:bookmarkEnd w:id="3004"/>
      <w:r>
        <w:fldChar w:fldCharType="begin"/>
      </w:r>
      <w:r>
        <w:instrText xml:space="preserve"> XE "minus (Minus)" </w:instrText>
      </w:r>
      <w:r>
        <w:fldChar w:fldCharType="end"/>
      </w:r>
    </w:p>
    <w:p w:rsidR="00024C0A" w:rsidRDefault="00694C0F">
      <w:pPr>
        <w:pStyle w:val="Definition-Field"/>
      </w:pPr>
      <w:r>
        <w:t xml:space="preserve">a.   </w:t>
      </w:r>
      <w:r>
        <w:rPr>
          <w:i/>
        </w:rPr>
        <w:t>The standard states that this element shall be used only w</w:t>
      </w:r>
      <w:r>
        <w:rPr>
          <w:i/>
        </w:rPr>
        <w:t>hen the errValType is cust.</w:t>
      </w:r>
    </w:p>
    <w:p w:rsidR="00024C0A" w:rsidRDefault="00694C0F">
      <w:pPr>
        <w:pStyle w:val="Definition-Field2"/>
      </w:pPr>
      <w:r>
        <w:lastRenderedPageBreak/>
        <w:t>Office also saves out this element if the errValType is stdErr and the error bar value had been custom type during the current workbook session.</w:t>
      </w:r>
    </w:p>
    <w:p w:rsidR="00024C0A" w:rsidRDefault="00694C0F">
      <w:pPr>
        <w:pStyle w:val="Heading3"/>
      </w:pPr>
      <w:bookmarkStart w:id="3005" w:name="section_c18a957f2c2c4f6cb25a6b7e733cc52e"/>
      <w:bookmarkStart w:id="3006" w:name="_Toc12261563"/>
      <w:r>
        <w:t>Part 1 Section 21.2.2.114, multiLvlStrCache (Multi Level String Cache)</w:t>
      </w:r>
      <w:bookmarkEnd w:id="3005"/>
      <w:bookmarkEnd w:id="3006"/>
      <w:r>
        <w:fldChar w:fldCharType="begin"/>
      </w:r>
      <w:r>
        <w:instrText xml:space="preserve"> XE "multiLvl</w:instrText>
      </w:r>
      <w:r>
        <w:instrText xml:space="preserve">StrCache (Multi Level String Cache)" </w:instrText>
      </w:r>
      <w:r>
        <w:fldChar w:fldCharType="end"/>
      </w:r>
    </w:p>
    <w:p w:rsidR="00024C0A" w:rsidRDefault="00694C0F">
      <w:pPr>
        <w:pStyle w:val="Definition-Field"/>
      </w:pPr>
      <w:r>
        <w:t xml:space="preserve">a.   </w:t>
      </w:r>
      <w:r>
        <w:rPr>
          <w:i/>
        </w:rPr>
        <w:t>The standard states that this element specifies the last data shown on the chart for a category axis.</w:t>
      </w:r>
    </w:p>
    <w:p w:rsidR="00024C0A" w:rsidRDefault="00694C0F">
      <w:pPr>
        <w:pStyle w:val="Definition-Field2"/>
      </w:pPr>
      <w:r>
        <w:t xml:space="preserve">In Office, this element specifies a cache of the labels on the category axis, or the x-values in a bubble or </w:t>
      </w:r>
      <w:r>
        <w:t>scatter chart.</w:t>
      </w:r>
    </w:p>
    <w:p w:rsidR="00024C0A" w:rsidRDefault="00694C0F">
      <w:pPr>
        <w:pStyle w:val="Heading3"/>
      </w:pPr>
      <w:bookmarkStart w:id="3007" w:name="section_5a37b2e1a0914137b7fabf136bc9b3c5"/>
      <w:bookmarkStart w:id="3008" w:name="_Toc12261564"/>
      <w:r>
        <w:t>Part 1 Section 21.2.2.115, multiLvlStrRef (Multi Level String Reference)</w:t>
      </w:r>
      <w:bookmarkEnd w:id="3007"/>
      <w:bookmarkEnd w:id="3008"/>
      <w:r>
        <w:fldChar w:fldCharType="begin"/>
      </w:r>
      <w:r>
        <w:instrText xml:space="preserve"> XE "multiLvlStrRef (Multi Level String Reference)" </w:instrText>
      </w:r>
      <w:r>
        <w:fldChar w:fldCharType="end"/>
      </w:r>
    </w:p>
    <w:p w:rsidR="00024C0A" w:rsidRDefault="00694C0F">
      <w:pPr>
        <w:pStyle w:val="Definition-Field"/>
      </w:pPr>
      <w:r>
        <w:t xml:space="preserve">a.   </w:t>
      </w:r>
      <w:r>
        <w:rPr>
          <w:i/>
        </w:rPr>
        <w:t>The standard states that this element specifies a reference to data for the category axis with a cache of the</w:t>
      </w:r>
      <w:r>
        <w:rPr>
          <w:i/>
        </w:rPr>
        <w:t xml:space="preserve"> last values used.</w:t>
      </w:r>
    </w:p>
    <w:p w:rsidR="00024C0A" w:rsidRDefault="00694C0F">
      <w:pPr>
        <w:pStyle w:val="Definition-Field2"/>
      </w:pPr>
      <w:r>
        <w:t>In Office, this element specifies a reference to data for the category axis (or for the x-values in a bubble or scatter chart), along with a cache of the last values used.</w:t>
      </w:r>
    </w:p>
    <w:p w:rsidR="00024C0A" w:rsidRDefault="00694C0F">
      <w:pPr>
        <w:pStyle w:val="Heading3"/>
      </w:pPr>
      <w:bookmarkStart w:id="3009" w:name="section_3a82b89e726440c1a09fd569374fe6a9"/>
      <w:bookmarkStart w:id="3010" w:name="_Toc12261565"/>
      <w:r>
        <w:t>Part 1 Section 21.2.2.117, name (Pivot Name)</w:t>
      </w:r>
      <w:bookmarkEnd w:id="3009"/>
      <w:bookmarkEnd w:id="3010"/>
      <w:r>
        <w:fldChar w:fldCharType="begin"/>
      </w:r>
      <w:r>
        <w:instrText xml:space="preserve"> XE "name (Pivot Name)" </w:instrText>
      </w:r>
      <w:r>
        <w:fldChar w:fldCharType="end"/>
      </w:r>
    </w:p>
    <w:p w:rsidR="00024C0A" w:rsidRDefault="00694C0F">
      <w:pPr>
        <w:pStyle w:val="Definition-Field"/>
      </w:pPr>
      <w:r>
        <w:t xml:space="preserve">a.   </w:t>
      </w:r>
      <w:r>
        <w:rPr>
          <w:i/>
        </w:rPr>
        <w:t>The standard states that this element specifies the name of the PivotTable to get the data for the chart from.</w:t>
      </w:r>
    </w:p>
    <w:p w:rsidR="00024C0A" w:rsidRDefault="00694C0F">
      <w:r>
        <w:t>In Office, the name of the PivotTable is defined using the following format:</w:t>
      </w:r>
    </w:p>
    <w:p w:rsidR="00024C0A" w:rsidRDefault="00694C0F">
      <w:r>
        <w:t>[</w:t>
      </w:r>
      <w:r>
        <w:rPr>
          <w:i/>
        </w:rPr>
        <w:t>filename</w:t>
      </w:r>
      <w:r>
        <w:t>]</w:t>
      </w:r>
      <w:r>
        <w:rPr>
          <w:i/>
        </w:rPr>
        <w:t>sheet</w:t>
      </w:r>
      <w:r>
        <w:t>!</w:t>
      </w:r>
      <w:r>
        <w:rPr>
          <w:i/>
        </w:rPr>
        <w:t>pivottable</w:t>
      </w:r>
    </w:p>
    <w:p w:rsidR="00024C0A" w:rsidRDefault="00694C0F">
      <w:r>
        <w:rPr>
          <w:i/>
        </w:rPr>
        <w:t xml:space="preserve">filename </w:t>
      </w:r>
      <w:r>
        <w:t xml:space="preserve">is the name of the SpreadsheetML file containing the PivotTable, </w:t>
      </w:r>
      <w:r>
        <w:rPr>
          <w:i/>
        </w:rPr>
        <w:t>sheet</w:t>
      </w:r>
      <w:r>
        <w:t xml:space="preserve"> is the name of the worksheet containing the PivotTable, and </w:t>
      </w:r>
      <w:r>
        <w:rPr>
          <w:i/>
        </w:rPr>
        <w:t xml:space="preserve">pivottable </w:t>
      </w:r>
      <w:r>
        <w:t xml:space="preserve">is the name of the PivotTable itself.  The name of the PivotTable matches the </w:t>
      </w:r>
      <w:r>
        <w:rPr>
          <w:b/>
        </w:rPr>
        <w:t>name</w:t>
      </w:r>
      <w:r>
        <w:t xml:space="preserve"> attribute of the pivotTableDefi</w:t>
      </w:r>
      <w:r>
        <w:t>nition element ("</w:t>
      </w:r>
      <w:hyperlink r:id="rId208">
        <w:r>
          <w:rPr>
            <w:rStyle w:val="Hyperlink"/>
          </w:rPr>
          <w:t>[ISO/IEC-29500-1]</w:t>
        </w:r>
      </w:hyperlink>
      <w:r>
        <w:t xml:space="preserve"> §18.10.1.73; pivotTableDefinition (PivotTable Definition)") of the associated PivotTable.</w:t>
      </w:r>
    </w:p>
    <w:p w:rsidR="00024C0A" w:rsidRDefault="00694C0F">
      <w:r>
        <w:t>If the name is not specified in the correct format or refers to a</w:t>
      </w:r>
      <w:r>
        <w:t>n object that does not exist, no association between the chart and the PivotTable is made.</w:t>
      </w:r>
    </w:p>
    <w:p w:rsidR="00024C0A" w:rsidRDefault="00694C0F">
      <w:pPr>
        <w:pStyle w:val="Heading3"/>
      </w:pPr>
      <w:bookmarkStart w:id="3011" w:name="section_0539ffcc9bd2430daea017400f7f532f"/>
      <w:bookmarkStart w:id="3012" w:name="_Toc12261566"/>
      <w:r>
        <w:t>Part 1 Section 21.2.2.121, numFmt (Number Format)</w:t>
      </w:r>
      <w:bookmarkEnd w:id="3011"/>
      <w:bookmarkEnd w:id="3012"/>
      <w:r>
        <w:fldChar w:fldCharType="begin"/>
      </w:r>
      <w:r>
        <w:instrText xml:space="preserve"> XE "numFmt (Number Format)" </w:instrText>
      </w:r>
      <w:r>
        <w:fldChar w:fldCharType="end"/>
      </w:r>
    </w:p>
    <w:p w:rsidR="00024C0A" w:rsidRDefault="00694C0F">
      <w:pPr>
        <w:pStyle w:val="Definition-Field"/>
      </w:pPr>
      <w:r>
        <w:t xml:space="preserve">a.   </w:t>
      </w:r>
      <w:r>
        <w:rPr>
          <w:i/>
        </w:rPr>
        <w:t>The standard states that the sourceLinked attribute should be respected when th</w:t>
      </w:r>
      <w:r>
        <w:rPr>
          <w:i/>
        </w:rPr>
        <w:t>e parent is TrendlineLbl.</w:t>
      </w:r>
    </w:p>
    <w:p w:rsidR="00024C0A" w:rsidRDefault="00694C0F">
      <w:pPr>
        <w:pStyle w:val="Definition-Field2"/>
      </w:pPr>
      <w:r>
        <w:t>In Office, if this element is parented by a TrendlineLbl element, the sourceLinked attribute is not used.</w:t>
      </w:r>
    </w:p>
    <w:p w:rsidR="00024C0A" w:rsidRDefault="00694C0F">
      <w:pPr>
        <w:pStyle w:val="Heading3"/>
      </w:pPr>
      <w:bookmarkStart w:id="3013" w:name="section_756b76a3434e4616b00ea5ee62ca85ba"/>
      <w:bookmarkStart w:id="3014" w:name="_Toc12261567"/>
      <w:r>
        <w:t>Part 1 Section 21.2.2.124, oddFooter (Odd Footer)</w:t>
      </w:r>
      <w:bookmarkEnd w:id="3013"/>
      <w:bookmarkEnd w:id="3014"/>
      <w:r>
        <w:fldChar w:fldCharType="begin"/>
      </w:r>
      <w:r>
        <w:instrText xml:space="preserve"> XE "oddFooter (Odd Footer)" </w:instrText>
      </w:r>
      <w:r>
        <w:fldChar w:fldCharType="end"/>
      </w:r>
    </w:p>
    <w:p w:rsidR="00024C0A" w:rsidRDefault="00694C0F">
      <w:pPr>
        <w:pStyle w:val="Definition-Field"/>
      </w:pPr>
      <w:r>
        <w:t xml:space="preserve">a.   </w:t>
      </w:r>
      <w:r>
        <w:rPr>
          <w:i/>
        </w:rPr>
        <w:t xml:space="preserve">The standard states that this element </w:t>
      </w:r>
      <w:r>
        <w:rPr>
          <w:i/>
        </w:rPr>
        <w:t>defines the footer to use on odd numbered pages.</w:t>
      </w:r>
    </w:p>
    <w:p w:rsidR="00024C0A" w:rsidRDefault="00694C0F">
      <w:pPr>
        <w:pStyle w:val="Definition-Field2"/>
      </w:pPr>
      <w:r>
        <w:t>Office applies this footer to all pages if the differentOddEven attribute of the parent element equals false.  Office does not apply this footer to the first page if the differentFirst attribute of the paren</w:t>
      </w:r>
      <w:r>
        <w:t>t element equals true.</w:t>
      </w:r>
    </w:p>
    <w:p w:rsidR="00024C0A" w:rsidRDefault="00694C0F">
      <w:pPr>
        <w:pStyle w:val="Definition-Field"/>
      </w:pPr>
      <w:r>
        <w:t xml:space="preserve">b.   </w:t>
      </w:r>
      <w:r>
        <w:rPr>
          <w:i/>
        </w:rPr>
        <w:t>The standard states that this element is of type ST_XString.</w:t>
      </w:r>
    </w:p>
    <w:p w:rsidR="00024C0A" w:rsidRDefault="00694C0F">
      <w:pPr>
        <w:pStyle w:val="Definition-Field2"/>
      </w:pPr>
      <w:r>
        <w:t>Office does not attempt to decode the character escape sequences defined in ST_XString.</w:t>
      </w:r>
    </w:p>
    <w:p w:rsidR="00024C0A" w:rsidRDefault="00694C0F">
      <w:pPr>
        <w:pStyle w:val="Heading3"/>
      </w:pPr>
      <w:bookmarkStart w:id="3015" w:name="section_80313181681845dcacc66357c2366ddc"/>
      <w:bookmarkStart w:id="3016" w:name="_Toc12261568"/>
      <w:r>
        <w:lastRenderedPageBreak/>
        <w:t>Part 1 Section 21.2.2.125, oddHeader (Odd Header)</w:t>
      </w:r>
      <w:bookmarkEnd w:id="3015"/>
      <w:bookmarkEnd w:id="3016"/>
      <w:r>
        <w:fldChar w:fldCharType="begin"/>
      </w:r>
      <w:r>
        <w:instrText xml:space="preserve"> XE "oddHeader (Odd Header)" </w:instrText>
      </w:r>
      <w:r>
        <w:fldChar w:fldCharType="end"/>
      </w:r>
    </w:p>
    <w:p w:rsidR="00024C0A" w:rsidRDefault="00694C0F">
      <w:pPr>
        <w:pStyle w:val="Definition-Field"/>
      </w:pPr>
      <w:r>
        <w:t xml:space="preserve">a.   </w:t>
      </w:r>
      <w:r>
        <w:rPr>
          <w:i/>
        </w:rPr>
        <w:t>The standard states that this element defines the header to use on odd numbered pages.</w:t>
      </w:r>
    </w:p>
    <w:p w:rsidR="00024C0A" w:rsidRDefault="00694C0F">
      <w:pPr>
        <w:pStyle w:val="Definition-Field2"/>
      </w:pPr>
      <w:r>
        <w:t>Office applies this header to all pages if the differentOddEven attribute of the parent element equals false.  Office does not apply this header to the first page</w:t>
      </w:r>
      <w:r>
        <w:t xml:space="preserve"> if the differentFirst attribute of the parent element equals true.</w:t>
      </w:r>
    </w:p>
    <w:p w:rsidR="00024C0A" w:rsidRDefault="00694C0F">
      <w:pPr>
        <w:pStyle w:val="Definition-Field"/>
      </w:pPr>
      <w:r>
        <w:t xml:space="preserve">b.   </w:t>
      </w:r>
      <w:r>
        <w:rPr>
          <w:i/>
        </w:rPr>
        <w:t>The standard states that this element is of type ST_XString.</w:t>
      </w:r>
    </w:p>
    <w:p w:rsidR="00024C0A" w:rsidRDefault="00694C0F">
      <w:pPr>
        <w:pStyle w:val="Definition-Field2"/>
      </w:pPr>
      <w:r>
        <w:t>Office does not attempt to decode the character escape sequences defined in ST_XString.</w:t>
      </w:r>
    </w:p>
    <w:p w:rsidR="00024C0A" w:rsidRDefault="00694C0F">
      <w:pPr>
        <w:pStyle w:val="Heading3"/>
      </w:pPr>
      <w:bookmarkStart w:id="3017" w:name="section_8bff8328f5ee483c84214df869d8f741"/>
      <w:bookmarkStart w:id="3018" w:name="_Toc12261569"/>
      <w:r>
        <w:t>Part 1 Section 21.2.2.126, ofPieChart (Pie of Pie or Bar of Pie Charts)</w:t>
      </w:r>
      <w:bookmarkEnd w:id="3017"/>
      <w:bookmarkEnd w:id="3018"/>
      <w:r>
        <w:fldChar w:fldCharType="begin"/>
      </w:r>
      <w:r>
        <w:instrText xml:space="preserve"> XE "ofPieChart (Pie of Pie or Bar of Pie Charts)"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06c618921ab34e35a09dee70b3a3c704">
        <w:r>
          <w:rPr>
            <w:rStyle w:val="Hyperlink"/>
          </w:rPr>
          <w:t>pie3DChart, §21.2.2.140(b)</w:t>
        </w:r>
      </w:hyperlink>
      <w:r>
        <w:rPr>
          <w:i/>
        </w:rPr>
        <w:t>.</w:t>
      </w:r>
    </w:p>
    <w:p w:rsidR="00024C0A" w:rsidRDefault="00694C0F">
      <w:pPr>
        <w:pStyle w:val="Definition-Field"/>
      </w:pPr>
      <w:r>
        <w:t xml:space="preserve">a.   </w:t>
      </w:r>
      <w:r>
        <w:rPr>
          <w:i/>
        </w:rPr>
        <w:t>The standard states that this element contains the pie of pie or bar of pie series on this chart.</w:t>
      </w:r>
    </w:p>
    <w:p w:rsidR="00024C0A" w:rsidRDefault="00694C0F">
      <w:pPr>
        <w:pStyle w:val="Definition-Field2"/>
      </w:pPr>
      <w:r>
        <w:t>In Office, this element specifies an ofPieChart that has a primary pie chart and a secondary bar (Bar o</w:t>
      </w:r>
      <w:r>
        <w:t>f Pie) or pie (Pie of Pie) chart. The data in the secondary chart are aggregated into an additional “Other” slice in the primary chart.</w:t>
      </w:r>
    </w:p>
    <w:p w:rsidR="00024C0A" w:rsidRDefault="00694C0F">
      <w:pPr>
        <w:pStyle w:val="Heading3"/>
      </w:pPr>
      <w:bookmarkStart w:id="3019" w:name="section_c444df6ef827424b88b38411bcb3e799"/>
      <w:bookmarkStart w:id="3020" w:name="_Toc12261570"/>
      <w:r>
        <w:t>Part 1 Section 21.2.2.127, ofPieType (Pie of Pie or Bar of Pie Type)</w:t>
      </w:r>
      <w:bookmarkEnd w:id="3019"/>
      <w:bookmarkEnd w:id="3020"/>
      <w:r>
        <w:fldChar w:fldCharType="begin"/>
      </w:r>
      <w:r>
        <w:instrText xml:space="preserve"> XE "ofPieType (Pie of Pie or Bar of Pie Type)" </w:instrText>
      </w:r>
      <w:r>
        <w:fldChar w:fldCharType="end"/>
      </w:r>
    </w:p>
    <w:p w:rsidR="00024C0A" w:rsidRDefault="00694C0F">
      <w:pPr>
        <w:pStyle w:val="Definition-Field"/>
      </w:pPr>
      <w:r>
        <w:t>a</w:t>
      </w:r>
      <w:r>
        <w:t xml:space="preserve">.   </w:t>
      </w:r>
      <w:r>
        <w:rPr>
          <w:i/>
        </w:rPr>
        <w:t>The standard implies that the val attribute is optional.</w:t>
      </w:r>
    </w:p>
    <w:p w:rsidR="00024C0A" w:rsidRDefault="00694C0F">
      <w:pPr>
        <w:pStyle w:val="Definition-Field2"/>
      </w:pPr>
      <w:r>
        <w:t>Office requires this attribute.</w:t>
      </w:r>
    </w:p>
    <w:p w:rsidR="00024C0A" w:rsidRDefault="00694C0F">
      <w:pPr>
        <w:pStyle w:val="Heading3"/>
      </w:pPr>
      <w:bookmarkStart w:id="3021" w:name="section_3bb9ee04625a48d98462c6b25dc8a319"/>
      <w:bookmarkStart w:id="3022" w:name="_Toc12261571"/>
      <w:r>
        <w:t>Part 1 Section 21.2.2.128, order (Order)</w:t>
      </w:r>
      <w:bookmarkEnd w:id="3021"/>
      <w:bookmarkEnd w:id="3022"/>
      <w:r>
        <w:fldChar w:fldCharType="begin"/>
      </w:r>
      <w:r>
        <w:instrText xml:space="preserve"> XE "order (Order)" </w:instrText>
      </w:r>
      <w:r>
        <w:fldChar w:fldCharType="end"/>
      </w:r>
    </w:p>
    <w:p w:rsidR="00024C0A" w:rsidRDefault="00694C0F">
      <w:pPr>
        <w:pStyle w:val="Definition-Field"/>
      </w:pPr>
      <w:r>
        <w:t xml:space="preserve">a.   </w:t>
      </w:r>
      <w:r>
        <w:rPr>
          <w:i/>
        </w:rPr>
        <w:t>The standard states that the values of the val attribute are defined by the XML Schema unsigned</w:t>
      </w:r>
      <w:r>
        <w:rPr>
          <w:i/>
        </w:rPr>
        <w:t>Int datatype.</w:t>
      </w:r>
    </w:p>
    <w:p w:rsidR="00024C0A" w:rsidRDefault="00694C0F">
      <w:pPr>
        <w:pStyle w:val="Definition-Field2"/>
      </w:pPr>
      <w:r>
        <w:t>Office restricts the value of this attribute to be at most 2147483647.</w:t>
      </w:r>
    </w:p>
    <w:p w:rsidR="00024C0A" w:rsidRDefault="00694C0F">
      <w:pPr>
        <w:pStyle w:val="Definition-Field"/>
      </w:pPr>
      <w:r>
        <w:t xml:space="preserve">b.   </w:t>
      </w:r>
      <w:r>
        <w:rPr>
          <w:i/>
        </w:rPr>
        <w:t>The standard does not have any uniqueness restrictions on the order element.</w:t>
      </w:r>
    </w:p>
    <w:p w:rsidR="00024C0A" w:rsidRDefault="00694C0F">
      <w:pPr>
        <w:pStyle w:val="Definition-Field2"/>
      </w:pPr>
      <w:r>
        <w:t xml:space="preserve">Office requires the value of this element to be unique amongst any other order elements </w:t>
      </w:r>
      <w:r>
        <w:t>of the same collection containing the parent series element.</w:t>
      </w:r>
    </w:p>
    <w:p w:rsidR="00024C0A" w:rsidRDefault="00694C0F">
      <w:pPr>
        <w:pStyle w:val="Heading3"/>
      </w:pPr>
      <w:bookmarkStart w:id="3023" w:name="section_4370285e4d97454ca63a23336f48f90c"/>
      <w:bookmarkStart w:id="3024" w:name="_Toc12261572"/>
      <w:r>
        <w:t>Part 1 Section 21.2.2.129, order (Polynomial Trendline Order)</w:t>
      </w:r>
      <w:bookmarkEnd w:id="3023"/>
      <w:bookmarkEnd w:id="3024"/>
      <w:r>
        <w:fldChar w:fldCharType="begin"/>
      </w:r>
      <w:r>
        <w:instrText xml:space="preserve"> XE "order (Polynomial Trendline Order)" </w:instrText>
      </w:r>
      <w:r>
        <w:fldChar w:fldCharType="end"/>
      </w:r>
    </w:p>
    <w:p w:rsidR="00024C0A" w:rsidRDefault="00694C0F">
      <w:pPr>
        <w:pStyle w:val="Definition-Field"/>
      </w:pPr>
      <w:r>
        <w:t xml:space="preserve">a.   </w:t>
      </w:r>
      <w:r>
        <w:rPr>
          <w:i/>
        </w:rPr>
        <w:t>The standard implies that the val attribute is optional.</w:t>
      </w:r>
    </w:p>
    <w:p w:rsidR="00024C0A" w:rsidRDefault="00694C0F">
      <w:pPr>
        <w:pStyle w:val="Definition-Field2"/>
      </w:pPr>
      <w:r>
        <w:t>Office requires this attribu</w:t>
      </w:r>
      <w:r>
        <w:t>te.</w:t>
      </w:r>
    </w:p>
    <w:p w:rsidR="00024C0A" w:rsidRDefault="00694C0F">
      <w:pPr>
        <w:pStyle w:val="Definition-Field"/>
      </w:pPr>
      <w:r>
        <w:t xml:space="preserve">b.   </w:t>
      </w:r>
      <w:r>
        <w:rPr>
          <w:i/>
        </w:rPr>
        <w:t>The standard states that this element is ignored for non-polynomial trendlines.</w:t>
      </w:r>
    </w:p>
    <w:p w:rsidR="00024C0A" w:rsidRDefault="00694C0F">
      <w:pPr>
        <w:pStyle w:val="Definition-Field2"/>
      </w:pPr>
      <w:r>
        <w:t>Office requires this element to be specified when the val attribute of trendlineType sibling element is equal to poly.</w:t>
      </w:r>
    </w:p>
    <w:p w:rsidR="00024C0A" w:rsidRDefault="00694C0F">
      <w:pPr>
        <w:pStyle w:val="Heading3"/>
      </w:pPr>
      <w:bookmarkStart w:id="3025" w:name="section_85891d6c7ab54abb8e369a770c5ed9f7"/>
      <w:bookmarkStart w:id="3026" w:name="_Toc12261573"/>
      <w:r>
        <w:t>Part 1 Section 21.2.2.130, orientation (Axis Ori</w:t>
      </w:r>
      <w:r>
        <w:t>entation)</w:t>
      </w:r>
      <w:bookmarkEnd w:id="3025"/>
      <w:bookmarkEnd w:id="3026"/>
      <w:r>
        <w:fldChar w:fldCharType="begin"/>
      </w:r>
      <w:r>
        <w:instrText xml:space="preserve"> XE "orientation (Axis Orientation)" </w:instrText>
      </w:r>
      <w:r>
        <w:fldChar w:fldCharType="end"/>
      </w:r>
    </w:p>
    <w:p w:rsidR="00024C0A" w:rsidRDefault="00694C0F">
      <w:pPr>
        <w:pStyle w:val="Definition-Field"/>
      </w:pPr>
      <w:r>
        <w:t xml:space="preserve">a.   </w:t>
      </w:r>
      <w:r>
        <w:rPr>
          <w:i/>
        </w:rPr>
        <w:t>The standard states that this element specifies the stretching and stacking of the picture on the data point, series, wall, or floor.</w:t>
      </w:r>
    </w:p>
    <w:p w:rsidR="00024C0A" w:rsidRDefault="00694C0F">
      <w:pPr>
        <w:pStyle w:val="Definition-Field2"/>
      </w:pPr>
      <w:r>
        <w:t xml:space="preserve">In Office, this element specifies whether the values on an axis are </w:t>
      </w:r>
      <w:r>
        <w:t>increasing or decreasing.</w:t>
      </w:r>
    </w:p>
    <w:p w:rsidR="00024C0A" w:rsidRDefault="00694C0F">
      <w:pPr>
        <w:pStyle w:val="Heading3"/>
      </w:pPr>
      <w:bookmarkStart w:id="3027" w:name="section_4abcc4474ee3422cb12f0eb93ab89779"/>
      <w:bookmarkStart w:id="3028" w:name="_Toc12261574"/>
      <w:r>
        <w:lastRenderedPageBreak/>
        <w:t>Part 1 Section 21.2.2.131, overlap (Overlap)</w:t>
      </w:r>
      <w:bookmarkEnd w:id="3027"/>
      <w:bookmarkEnd w:id="3028"/>
      <w:r>
        <w:fldChar w:fldCharType="begin"/>
      </w:r>
      <w:r>
        <w:instrText xml:space="preserve"> XE "overlap (Overlap)" </w:instrText>
      </w:r>
      <w:r>
        <w:fldChar w:fldCharType="end"/>
      </w:r>
    </w:p>
    <w:p w:rsidR="00024C0A" w:rsidRDefault="00694C0F">
      <w:pPr>
        <w:pStyle w:val="Definition-Field"/>
      </w:pPr>
      <w:r>
        <w:t xml:space="preserve">a.   </w:t>
      </w:r>
      <w:r>
        <w:rPr>
          <w:i/>
        </w:rPr>
        <w:t>The standard does not specify how bars and columns overlap.</w:t>
      </w:r>
    </w:p>
    <w:p w:rsidR="00024C0A" w:rsidRDefault="00694C0F">
      <w:pPr>
        <w:pStyle w:val="Definition-Field2"/>
      </w:pPr>
      <w:r>
        <w:t xml:space="preserve">In Office, this element specifies how much the bars and columns of adjacent series within the </w:t>
      </w:r>
      <w:r>
        <w:t>same category shall overlap each other.</w:t>
      </w:r>
    </w:p>
    <w:p w:rsidR="00024C0A" w:rsidRDefault="00694C0F">
      <w:pPr>
        <w:pStyle w:val="Heading3"/>
      </w:pPr>
      <w:bookmarkStart w:id="3029" w:name="section_b030ac610cab41f3a9396a5c193f33f3"/>
      <w:bookmarkStart w:id="3030" w:name="_Toc12261575"/>
      <w:r>
        <w:t>Part 1 Section 21.2.2.133, pageMargins (Page Margins)</w:t>
      </w:r>
      <w:bookmarkEnd w:id="3029"/>
      <w:bookmarkEnd w:id="3030"/>
      <w:r>
        <w:fldChar w:fldCharType="begin"/>
      </w:r>
      <w:r>
        <w:instrText xml:space="preserve"> XE "pageMargins (Page Margins)" </w:instrText>
      </w:r>
      <w:r>
        <w:fldChar w:fldCharType="end"/>
      </w:r>
    </w:p>
    <w:p w:rsidR="00024C0A" w:rsidRDefault="00694C0F">
      <w:pPr>
        <w:pStyle w:val="Definition-Field"/>
      </w:pPr>
      <w:r>
        <w:t xml:space="preserve">a.   </w:t>
      </w:r>
      <w:r>
        <w:rPr>
          <w:i/>
        </w:rPr>
        <w:t>The standard states that the possible values for the b attribute are defined by the XML Schema double datatype.</w:t>
      </w:r>
    </w:p>
    <w:p w:rsidR="00024C0A" w:rsidRDefault="00694C0F">
      <w:pPr>
        <w:pStyle w:val="Definition-Field2"/>
      </w:pPr>
      <w:r>
        <w:t>Office req</w:t>
      </w:r>
      <w:r>
        <w:t>uires the value of the b attribute to be greater than or equal to 0 and less than 49.</w:t>
      </w:r>
    </w:p>
    <w:p w:rsidR="00024C0A" w:rsidRDefault="00694C0F">
      <w:pPr>
        <w:pStyle w:val="Definition-Field"/>
      </w:pPr>
      <w:r>
        <w:t xml:space="preserve">b.   </w:t>
      </w:r>
      <w:r>
        <w:rPr>
          <w:i/>
        </w:rPr>
        <w:t>The standard states that the possible values for the t attribute are defined by the XML Schema double datatype.</w:t>
      </w:r>
    </w:p>
    <w:p w:rsidR="00024C0A" w:rsidRDefault="00694C0F">
      <w:pPr>
        <w:pStyle w:val="Definition-Field2"/>
      </w:pPr>
      <w:r>
        <w:t>Office requires the value of the t attribute to be gr</w:t>
      </w:r>
      <w:r>
        <w:t>eater than or equal to 0 and less than 49.</w:t>
      </w:r>
    </w:p>
    <w:p w:rsidR="00024C0A" w:rsidRDefault="00694C0F">
      <w:pPr>
        <w:pStyle w:val="Definition-Field"/>
      </w:pPr>
      <w:r>
        <w:t xml:space="preserve">c.   </w:t>
      </w:r>
      <w:r>
        <w:rPr>
          <w:i/>
        </w:rPr>
        <w:t>The standard states that the possible values for the l attribute are defined by the XML Schema double datatype.</w:t>
      </w:r>
    </w:p>
    <w:p w:rsidR="00024C0A" w:rsidRDefault="00694C0F">
      <w:pPr>
        <w:pStyle w:val="Definition-Field2"/>
      </w:pPr>
      <w:r>
        <w:t>Office requires the value of the l attribute to be greater than or equal to 0 and less than 49.</w:t>
      </w:r>
    </w:p>
    <w:p w:rsidR="00024C0A" w:rsidRDefault="00694C0F">
      <w:pPr>
        <w:pStyle w:val="Definition-Field"/>
      </w:pPr>
      <w:r>
        <w:t xml:space="preserve">d.   </w:t>
      </w:r>
      <w:r>
        <w:rPr>
          <w:i/>
        </w:rPr>
        <w:t>The standard states that the possible values for the r attribute are defined by the XML Schema double datatype.</w:t>
      </w:r>
    </w:p>
    <w:p w:rsidR="00024C0A" w:rsidRDefault="00694C0F">
      <w:pPr>
        <w:pStyle w:val="Definition-Field2"/>
      </w:pPr>
      <w:r>
        <w:t>Office requires the value of the r attribute to be greater than or equal to 0 and less than 49.</w:t>
      </w:r>
    </w:p>
    <w:p w:rsidR="00024C0A" w:rsidRDefault="00694C0F">
      <w:pPr>
        <w:pStyle w:val="Definition-Field"/>
      </w:pPr>
      <w:r>
        <w:t xml:space="preserve">e.   </w:t>
      </w:r>
      <w:r>
        <w:rPr>
          <w:i/>
        </w:rPr>
        <w:t xml:space="preserve">The standard states that the possible </w:t>
      </w:r>
      <w:r>
        <w:rPr>
          <w:i/>
        </w:rPr>
        <w:t>values for the header attribute are defined by the XML Schema double datatype.</w:t>
      </w:r>
    </w:p>
    <w:p w:rsidR="00024C0A" w:rsidRDefault="00694C0F">
      <w:pPr>
        <w:pStyle w:val="Definition-Field2"/>
      </w:pPr>
      <w:r>
        <w:t>Office requires the value of the header attribute to be greater than or equal to 0 and less than 49.</w:t>
      </w:r>
    </w:p>
    <w:p w:rsidR="00024C0A" w:rsidRDefault="00694C0F">
      <w:pPr>
        <w:pStyle w:val="Definition-Field"/>
      </w:pPr>
      <w:r>
        <w:t xml:space="preserve">f.   </w:t>
      </w:r>
      <w:r>
        <w:rPr>
          <w:i/>
        </w:rPr>
        <w:t xml:space="preserve">The standard states that the possible values for the footer attribute </w:t>
      </w:r>
      <w:r>
        <w:rPr>
          <w:i/>
        </w:rPr>
        <w:t>are defined by the XML Schema double datatype.</w:t>
      </w:r>
    </w:p>
    <w:p w:rsidR="00024C0A" w:rsidRDefault="00694C0F">
      <w:pPr>
        <w:pStyle w:val="Definition-Field2"/>
      </w:pPr>
      <w:r>
        <w:t>Office requires the value of the footer attribute to be greater than or equal to 0 and less than 49.</w:t>
      </w:r>
    </w:p>
    <w:p w:rsidR="00024C0A" w:rsidRDefault="00694C0F">
      <w:pPr>
        <w:pStyle w:val="Definition-Field"/>
      </w:pPr>
      <w:r>
        <w:t xml:space="preserve">g.   </w:t>
      </w:r>
      <w:r>
        <w:rPr>
          <w:i/>
        </w:rPr>
        <w:t>The standard states that the header attribute specifies the header margin and the footer attribute spec</w:t>
      </w:r>
      <w:r>
        <w:rPr>
          <w:i/>
        </w:rPr>
        <w:t>ifies the footer margin.</w:t>
      </w:r>
    </w:p>
    <w:p w:rsidR="00024C0A" w:rsidRDefault="00694C0F">
      <w:pPr>
        <w:pStyle w:val="Definition-Field2"/>
      </w:pPr>
      <w:r>
        <w:t>Office switches the header and footer attribute values on save, writing out the chart object's header margin to the footer attribute and vice versa.</w:t>
      </w:r>
    </w:p>
    <w:p w:rsidR="00024C0A" w:rsidRDefault="00694C0F">
      <w:pPr>
        <w:pStyle w:val="Heading3"/>
      </w:pPr>
      <w:bookmarkStart w:id="3031" w:name="section_8ffbeaeb0d294ab783603f7b61509929"/>
      <w:bookmarkStart w:id="3032" w:name="_Toc12261576"/>
      <w:r>
        <w:t>Part 1 Section 21.2.2.134, pageSetup (Page Setup)</w:t>
      </w:r>
      <w:bookmarkEnd w:id="3031"/>
      <w:bookmarkEnd w:id="3032"/>
      <w:r>
        <w:fldChar w:fldCharType="begin"/>
      </w:r>
      <w:r>
        <w:instrText xml:space="preserve"> XE "pageSetup (Page Setup)" </w:instrText>
      </w:r>
      <w:r>
        <w:fldChar w:fldCharType="end"/>
      </w:r>
    </w:p>
    <w:p w:rsidR="00024C0A" w:rsidRDefault="00694C0F">
      <w:pPr>
        <w:pStyle w:val="Definition-Field"/>
      </w:pPr>
      <w:r>
        <w:t xml:space="preserve">a.   </w:t>
      </w:r>
      <w:r>
        <w:rPr>
          <w:i/>
        </w:rPr>
        <w:t>The standard states that the possible values for the firstPageNumber attribute are defined by the XML Schema unisgnedInt datatype.</w:t>
      </w:r>
    </w:p>
    <w:p w:rsidR="00024C0A" w:rsidRDefault="00694C0F">
      <w:pPr>
        <w:pStyle w:val="Definition-Field2"/>
      </w:pPr>
      <w:r>
        <w:t>In Office, the possible values for the firstPageNumber attribute are defined by the XML Schema datatype int.</w:t>
      </w:r>
    </w:p>
    <w:p w:rsidR="00024C0A" w:rsidRDefault="00694C0F">
      <w:pPr>
        <w:pStyle w:val="Definition-Field"/>
      </w:pPr>
      <w:r>
        <w:t xml:space="preserve">b.   </w:t>
      </w:r>
      <w:r>
        <w:rPr>
          <w:i/>
        </w:rPr>
        <w:t>The st</w:t>
      </w:r>
      <w:r>
        <w:rPr>
          <w:i/>
        </w:rPr>
        <w:t>andard states that the values of the paperSize attribute are defined by the XML Schema unsignedInt datatype.</w:t>
      </w:r>
    </w:p>
    <w:p w:rsidR="00024C0A" w:rsidRDefault="00694C0F">
      <w:pPr>
        <w:pStyle w:val="Definition-Field2"/>
      </w:pPr>
      <w:r>
        <w:t>Excel restricts the value of this attribute to be at most 2147483647.</w:t>
      </w:r>
    </w:p>
    <w:p w:rsidR="00024C0A" w:rsidRDefault="00694C0F">
      <w:pPr>
        <w:pStyle w:val="Definition-Field"/>
      </w:pPr>
      <w:r>
        <w:t xml:space="preserve">c.   </w:t>
      </w:r>
      <w:r>
        <w:rPr>
          <w:i/>
        </w:rPr>
        <w:t>The standard states that the possible values for the copies attribute ar</w:t>
      </w:r>
      <w:r>
        <w:rPr>
          <w:i/>
        </w:rPr>
        <w:t>e defined by the XML Schema unisgnedInt datatype.</w:t>
      </w:r>
    </w:p>
    <w:p w:rsidR="00024C0A" w:rsidRDefault="00694C0F">
      <w:pPr>
        <w:pStyle w:val="Definition-Field2"/>
      </w:pPr>
      <w:r>
        <w:lastRenderedPageBreak/>
        <w:t>In Office, the copies attribute has a maximum value of 2147483647.</w:t>
      </w:r>
    </w:p>
    <w:p w:rsidR="00024C0A" w:rsidRDefault="00694C0F">
      <w:pPr>
        <w:pStyle w:val="Definition-Field"/>
      </w:pPr>
      <w:r>
        <w:t xml:space="preserve">d.   </w:t>
      </w:r>
      <w:r>
        <w:rPr>
          <w:i/>
        </w:rPr>
        <w:t>The standard states a table of values allowed for @paperSize.</w:t>
      </w:r>
    </w:p>
    <w:p w:rsidR="00024C0A" w:rsidRDefault="00694C0F">
      <w:r>
        <w:t>Office specifies the paper size according to the following table.  Value</w:t>
      </w:r>
      <w:r>
        <w:t>s larger than or equal to 256 specify custom printer paper sizes.</w:t>
      </w:r>
    </w:p>
    <w:tbl>
      <w:tblPr>
        <w:tblStyle w:val="Table-ShadedHeader"/>
        <w:tblW w:w="0" w:type="auto"/>
        <w:tblLook w:val="04A0" w:firstRow="1" w:lastRow="0" w:firstColumn="1" w:lastColumn="0" w:noHBand="0" w:noVBand="1"/>
      </w:tblPr>
      <w:tblGrid>
        <w:gridCol w:w="734"/>
        <w:gridCol w:w="4254"/>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Value</w:t>
            </w:r>
          </w:p>
        </w:tc>
        <w:tc>
          <w:tcPr>
            <w:tcW w:w="0" w:type="auto"/>
            <w:vAlign w:val="center"/>
          </w:tcPr>
          <w:p w:rsidR="00024C0A" w:rsidRDefault="00694C0F">
            <w:pPr>
              <w:pStyle w:val="TableHeaderText"/>
            </w:pPr>
            <w:r>
              <w:t>Meaning</w:t>
            </w:r>
          </w:p>
        </w:tc>
      </w:tr>
      <w:tr w:rsidR="00024C0A" w:rsidTr="00024C0A">
        <w:tc>
          <w:tcPr>
            <w:tcW w:w="0" w:type="auto"/>
            <w:vAlign w:val="center"/>
          </w:tcPr>
          <w:p w:rsidR="00024C0A" w:rsidRDefault="00694C0F">
            <w:pPr>
              <w:pStyle w:val="TableBodyText"/>
            </w:pPr>
            <w:r>
              <w:t>1</w:t>
            </w:r>
          </w:p>
        </w:tc>
        <w:tc>
          <w:tcPr>
            <w:tcW w:w="0" w:type="auto"/>
            <w:vAlign w:val="center"/>
          </w:tcPr>
          <w:p w:rsidR="00024C0A" w:rsidRDefault="00694C0F">
            <w:pPr>
              <w:pStyle w:val="TableBodyText"/>
            </w:pPr>
            <w:r>
              <w:t>US Letter 8 1/2 x 11 in</w:t>
            </w:r>
          </w:p>
        </w:tc>
      </w:tr>
      <w:tr w:rsidR="00024C0A" w:rsidTr="00024C0A">
        <w:tc>
          <w:tcPr>
            <w:tcW w:w="0" w:type="auto"/>
            <w:vAlign w:val="center"/>
          </w:tcPr>
          <w:p w:rsidR="00024C0A" w:rsidRDefault="00694C0F">
            <w:pPr>
              <w:pStyle w:val="TableBodyText"/>
            </w:pPr>
            <w:r>
              <w:t>2</w:t>
            </w:r>
          </w:p>
        </w:tc>
        <w:tc>
          <w:tcPr>
            <w:tcW w:w="0" w:type="auto"/>
            <w:vAlign w:val="center"/>
          </w:tcPr>
          <w:p w:rsidR="00024C0A" w:rsidRDefault="00694C0F">
            <w:pPr>
              <w:pStyle w:val="TableBodyText"/>
            </w:pPr>
            <w:r>
              <w:t>US Letter Small 8 1/2 x 11 in</w:t>
            </w:r>
          </w:p>
        </w:tc>
      </w:tr>
      <w:tr w:rsidR="00024C0A" w:rsidTr="00024C0A">
        <w:tc>
          <w:tcPr>
            <w:tcW w:w="0" w:type="auto"/>
            <w:vAlign w:val="center"/>
          </w:tcPr>
          <w:p w:rsidR="00024C0A" w:rsidRDefault="00694C0F">
            <w:pPr>
              <w:pStyle w:val="TableBodyText"/>
            </w:pPr>
            <w:r>
              <w:t>3</w:t>
            </w:r>
          </w:p>
        </w:tc>
        <w:tc>
          <w:tcPr>
            <w:tcW w:w="0" w:type="auto"/>
            <w:vAlign w:val="center"/>
          </w:tcPr>
          <w:p w:rsidR="00024C0A" w:rsidRDefault="00694C0F">
            <w:pPr>
              <w:pStyle w:val="TableBodyText"/>
            </w:pPr>
            <w:r>
              <w:t>US Tabloid 11 x 17 in</w:t>
            </w:r>
          </w:p>
        </w:tc>
      </w:tr>
      <w:tr w:rsidR="00024C0A" w:rsidTr="00024C0A">
        <w:tc>
          <w:tcPr>
            <w:tcW w:w="0" w:type="auto"/>
            <w:vAlign w:val="center"/>
          </w:tcPr>
          <w:p w:rsidR="00024C0A" w:rsidRDefault="00694C0F">
            <w:pPr>
              <w:pStyle w:val="TableBodyText"/>
            </w:pPr>
            <w:r>
              <w:t>4</w:t>
            </w:r>
          </w:p>
        </w:tc>
        <w:tc>
          <w:tcPr>
            <w:tcW w:w="0" w:type="auto"/>
            <w:vAlign w:val="center"/>
          </w:tcPr>
          <w:p w:rsidR="00024C0A" w:rsidRDefault="00694C0F">
            <w:pPr>
              <w:pStyle w:val="TableBodyText"/>
            </w:pPr>
            <w:r>
              <w:t xml:space="preserve">US Ledger 17 x 11 in </w:t>
            </w:r>
          </w:p>
        </w:tc>
      </w:tr>
      <w:tr w:rsidR="00024C0A" w:rsidTr="00024C0A">
        <w:tc>
          <w:tcPr>
            <w:tcW w:w="0" w:type="auto"/>
            <w:vAlign w:val="center"/>
          </w:tcPr>
          <w:p w:rsidR="00024C0A" w:rsidRDefault="00694C0F">
            <w:pPr>
              <w:pStyle w:val="TableBodyText"/>
            </w:pPr>
            <w:r>
              <w:t>5</w:t>
            </w:r>
          </w:p>
        </w:tc>
        <w:tc>
          <w:tcPr>
            <w:tcW w:w="0" w:type="auto"/>
            <w:vAlign w:val="center"/>
          </w:tcPr>
          <w:p w:rsidR="00024C0A" w:rsidRDefault="00694C0F">
            <w:pPr>
              <w:pStyle w:val="TableBodyText"/>
            </w:pPr>
            <w:r>
              <w:t>US Legal 8 1/2 x 14 in</w:t>
            </w:r>
          </w:p>
        </w:tc>
      </w:tr>
      <w:tr w:rsidR="00024C0A" w:rsidTr="00024C0A">
        <w:tc>
          <w:tcPr>
            <w:tcW w:w="0" w:type="auto"/>
            <w:vAlign w:val="center"/>
          </w:tcPr>
          <w:p w:rsidR="00024C0A" w:rsidRDefault="00694C0F">
            <w:pPr>
              <w:pStyle w:val="TableBodyText"/>
            </w:pPr>
            <w:r>
              <w:t>6</w:t>
            </w:r>
          </w:p>
        </w:tc>
        <w:tc>
          <w:tcPr>
            <w:tcW w:w="0" w:type="auto"/>
            <w:vAlign w:val="center"/>
          </w:tcPr>
          <w:p w:rsidR="00024C0A" w:rsidRDefault="00694C0F">
            <w:pPr>
              <w:pStyle w:val="TableBodyText"/>
            </w:pPr>
            <w:r>
              <w:t>US Statement 5 1/2 x 8 1/2 in</w:t>
            </w:r>
          </w:p>
        </w:tc>
      </w:tr>
      <w:tr w:rsidR="00024C0A" w:rsidTr="00024C0A">
        <w:tc>
          <w:tcPr>
            <w:tcW w:w="0" w:type="auto"/>
            <w:vAlign w:val="center"/>
          </w:tcPr>
          <w:p w:rsidR="00024C0A" w:rsidRDefault="00694C0F">
            <w:pPr>
              <w:pStyle w:val="TableBodyText"/>
            </w:pPr>
            <w:r>
              <w:t>7</w:t>
            </w:r>
          </w:p>
        </w:tc>
        <w:tc>
          <w:tcPr>
            <w:tcW w:w="0" w:type="auto"/>
            <w:vAlign w:val="center"/>
          </w:tcPr>
          <w:p w:rsidR="00024C0A" w:rsidRDefault="00694C0F">
            <w:pPr>
              <w:pStyle w:val="TableBodyText"/>
            </w:pPr>
            <w:r>
              <w:t xml:space="preserve">US </w:t>
            </w:r>
            <w:r>
              <w:t>Executive 7 1/4 x 10 1/2 in</w:t>
            </w:r>
          </w:p>
        </w:tc>
      </w:tr>
      <w:tr w:rsidR="00024C0A" w:rsidTr="00024C0A">
        <w:tc>
          <w:tcPr>
            <w:tcW w:w="0" w:type="auto"/>
            <w:vAlign w:val="center"/>
          </w:tcPr>
          <w:p w:rsidR="00024C0A" w:rsidRDefault="00694C0F">
            <w:pPr>
              <w:pStyle w:val="TableBodyText"/>
            </w:pPr>
            <w:r>
              <w:t>8</w:t>
            </w:r>
          </w:p>
        </w:tc>
        <w:tc>
          <w:tcPr>
            <w:tcW w:w="0" w:type="auto"/>
            <w:vAlign w:val="center"/>
          </w:tcPr>
          <w:p w:rsidR="00024C0A" w:rsidRDefault="00694C0F">
            <w:pPr>
              <w:pStyle w:val="TableBodyText"/>
            </w:pPr>
            <w:r>
              <w:t>A3 297 x 420 mm</w:t>
            </w:r>
          </w:p>
        </w:tc>
      </w:tr>
      <w:tr w:rsidR="00024C0A" w:rsidTr="00024C0A">
        <w:tc>
          <w:tcPr>
            <w:tcW w:w="0" w:type="auto"/>
            <w:vAlign w:val="center"/>
          </w:tcPr>
          <w:p w:rsidR="00024C0A" w:rsidRDefault="00694C0F">
            <w:pPr>
              <w:pStyle w:val="TableBodyText"/>
            </w:pPr>
            <w:r>
              <w:t>9</w:t>
            </w:r>
          </w:p>
        </w:tc>
        <w:tc>
          <w:tcPr>
            <w:tcW w:w="0" w:type="auto"/>
            <w:vAlign w:val="center"/>
          </w:tcPr>
          <w:p w:rsidR="00024C0A" w:rsidRDefault="00694C0F">
            <w:pPr>
              <w:pStyle w:val="TableBodyText"/>
            </w:pPr>
            <w:r>
              <w:t>A4 210 x 297 mm</w:t>
            </w:r>
          </w:p>
        </w:tc>
      </w:tr>
      <w:tr w:rsidR="00024C0A" w:rsidTr="00024C0A">
        <w:tc>
          <w:tcPr>
            <w:tcW w:w="0" w:type="auto"/>
            <w:vAlign w:val="center"/>
          </w:tcPr>
          <w:p w:rsidR="00024C0A" w:rsidRDefault="00694C0F">
            <w:pPr>
              <w:pStyle w:val="TableBodyText"/>
            </w:pPr>
            <w:r>
              <w:t>10</w:t>
            </w:r>
          </w:p>
        </w:tc>
        <w:tc>
          <w:tcPr>
            <w:tcW w:w="0" w:type="auto"/>
            <w:vAlign w:val="center"/>
          </w:tcPr>
          <w:p w:rsidR="00024C0A" w:rsidRDefault="00694C0F">
            <w:pPr>
              <w:pStyle w:val="TableBodyText"/>
            </w:pPr>
            <w:r>
              <w:t>A4 Small 210 x 297 mm</w:t>
            </w:r>
          </w:p>
        </w:tc>
      </w:tr>
      <w:tr w:rsidR="00024C0A" w:rsidTr="00024C0A">
        <w:tc>
          <w:tcPr>
            <w:tcW w:w="0" w:type="auto"/>
            <w:vAlign w:val="center"/>
          </w:tcPr>
          <w:p w:rsidR="00024C0A" w:rsidRDefault="00694C0F">
            <w:pPr>
              <w:pStyle w:val="TableBodyText"/>
            </w:pPr>
            <w:r>
              <w:t>11</w:t>
            </w:r>
          </w:p>
        </w:tc>
        <w:tc>
          <w:tcPr>
            <w:tcW w:w="0" w:type="auto"/>
            <w:vAlign w:val="center"/>
          </w:tcPr>
          <w:p w:rsidR="00024C0A" w:rsidRDefault="00694C0F">
            <w:pPr>
              <w:pStyle w:val="TableBodyText"/>
            </w:pPr>
            <w:r>
              <w:t>A5 148 x 210 mm</w:t>
            </w:r>
          </w:p>
        </w:tc>
      </w:tr>
      <w:tr w:rsidR="00024C0A" w:rsidTr="00024C0A">
        <w:tc>
          <w:tcPr>
            <w:tcW w:w="0" w:type="auto"/>
            <w:vAlign w:val="center"/>
          </w:tcPr>
          <w:p w:rsidR="00024C0A" w:rsidRDefault="00694C0F">
            <w:pPr>
              <w:pStyle w:val="TableBodyText"/>
            </w:pPr>
            <w:r>
              <w:t>12</w:t>
            </w:r>
          </w:p>
        </w:tc>
        <w:tc>
          <w:tcPr>
            <w:tcW w:w="0" w:type="auto"/>
            <w:vAlign w:val="center"/>
          </w:tcPr>
          <w:p w:rsidR="00024C0A" w:rsidRDefault="00694C0F">
            <w:pPr>
              <w:pStyle w:val="TableBodyText"/>
            </w:pPr>
            <w:r>
              <w:t>B4 (JIS) 250 x 354</w:t>
            </w:r>
          </w:p>
        </w:tc>
      </w:tr>
      <w:tr w:rsidR="00024C0A" w:rsidTr="00024C0A">
        <w:tc>
          <w:tcPr>
            <w:tcW w:w="0" w:type="auto"/>
            <w:vAlign w:val="center"/>
          </w:tcPr>
          <w:p w:rsidR="00024C0A" w:rsidRDefault="00694C0F">
            <w:pPr>
              <w:pStyle w:val="TableBodyText"/>
            </w:pPr>
            <w:r>
              <w:t>13</w:t>
            </w:r>
          </w:p>
        </w:tc>
        <w:tc>
          <w:tcPr>
            <w:tcW w:w="0" w:type="auto"/>
            <w:vAlign w:val="center"/>
          </w:tcPr>
          <w:p w:rsidR="00024C0A" w:rsidRDefault="00694C0F">
            <w:pPr>
              <w:pStyle w:val="TableBodyText"/>
            </w:pPr>
            <w:r>
              <w:t>B5 (JIS) 182 x 257 mm</w:t>
            </w:r>
          </w:p>
        </w:tc>
      </w:tr>
      <w:tr w:rsidR="00024C0A" w:rsidTr="00024C0A">
        <w:tc>
          <w:tcPr>
            <w:tcW w:w="0" w:type="auto"/>
            <w:vAlign w:val="center"/>
          </w:tcPr>
          <w:p w:rsidR="00024C0A" w:rsidRDefault="00694C0F">
            <w:pPr>
              <w:pStyle w:val="TableBodyText"/>
            </w:pPr>
            <w:r>
              <w:t>14</w:t>
            </w:r>
          </w:p>
        </w:tc>
        <w:tc>
          <w:tcPr>
            <w:tcW w:w="0" w:type="auto"/>
            <w:vAlign w:val="center"/>
          </w:tcPr>
          <w:p w:rsidR="00024C0A" w:rsidRDefault="00694C0F">
            <w:pPr>
              <w:pStyle w:val="TableBodyText"/>
            </w:pPr>
            <w:r>
              <w:t>Folio 8 1/2 x 13 in</w:t>
            </w:r>
          </w:p>
        </w:tc>
      </w:tr>
      <w:tr w:rsidR="00024C0A" w:rsidTr="00024C0A">
        <w:tc>
          <w:tcPr>
            <w:tcW w:w="0" w:type="auto"/>
            <w:vAlign w:val="center"/>
          </w:tcPr>
          <w:p w:rsidR="00024C0A" w:rsidRDefault="00694C0F">
            <w:pPr>
              <w:pStyle w:val="TableBodyText"/>
            </w:pPr>
            <w:r>
              <w:t>15</w:t>
            </w:r>
          </w:p>
        </w:tc>
        <w:tc>
          <w:tcPr>
            <w:tcW w:w="0" w:type="auto"/>
            <w:vAlign w:val="center"/>
          </w:tcPr>
          <w:p w:rsidR="00024C0A" w:rsidRDefault="00694C0F">
            <w:pPr>
              <w:pStyle w:val="TableBodyText"/>
            </w:pPr>
            <w:r>
              <w:t>Quarto 215 x 275 mm</w:t>
            </w:r>
          </w:p>
        </w:tc>
      </w:tr>
      <w:tr w:rsidR="00024C0A" w:rsidTr="00024C0A">
        <w:tc>
          <w:tcPr>
            <w:tcW w:w="0" w:type="auto"/>
            <w:vAlign w:val="center"/>
          </w:tcPr>
          <w:p w:rsidR="00024C0A" w:rsidRDefault="00694C0F">
            <w:pPr>
              <w:pStyle w:val="TableBodyText"/>
            </w:pPr>
            <w:r>
              <w:t>16</w:t>
            </w:r>
          </w:p>
        </w:tc>
        <w:tc>
          <w:tcPr>
            <w:tcW w:w="0" w:type="auto"/>
            <w:vAlign w:val="center"/>
          </w:tcPr>
          <w:p w:rsidR="00024C0A" w:rsidRDefault="00694C0F">
            <w:pPr>
              <w:pStyle w:val="TableBodyText"/>
            </w:pPr>
            <w:r>
              <w:t>10 x 14 in</w:t>
            </w:r>
          </w:p>
        </w:tc>
      </w:tr>
      <w:tr w:rsidR="00024C0A" w:rsidTr="00024C0A">
        <w:tc>
          <w:tcPr>
            <w:tcW w:w="0" w:type="auto"/>
            <w:vAlign w:val="center"/>
          </w:tcPr>
          <w:p w:rsidR="00024C0A" w:rsidRDefault="00694C0F">
            <w:pPr>
              <w:pStyle w:val="TableBodyText"/>
            </w:pPr>
            <w:r>
              <w:t>17</w:t>
            </w:r>
          </w:p>
        </w:tc>
        <w:tc>
          <w:tcPr>
            <w:tcW w:w="0" w:type="auto"/>
            <w:vAlign w:val="center"/>
          </w:tcPr>
          <w:p w:rsidR="00024C0A" w:rsidRDefault="00694C0F">
            <w:pPr>
              <w:pStyle w:val="TableBodyText"/>
            </w:pPr>
            <w:r>
              <w:t>11 x 17 in</w:t>
            </w:r>
          </w:p>
        </w:tc>
      </w:tr>
      <w:tr w:rsidR="00024C0A" w:rsidTr="00024C0A">
        <w:tc>
          <w:tcPr>
            <w:tcW w:w="0" w:type="auto"/>
            <w:vAlign w:val="center"/>
          </w:tcPr>
          <w:p w:rsidR="00024C0A" w:rsidRDefault="00694C0F">
            <w:pPr>
              <w:pStyle w:val="TableBodyText"/>
            </w:pPr>
            <w:r>
              <w:t>18</w:t>
            </w:r>
          </w:p>
        </w:tc>
        <w:tc>
          <w:tcPr>
            <w:tcW w:w="0" w:type="auto"/>
            <w:vAlign w:val="center"/>
          </w:tcPr>
          <w:p w:rsidR="00024C0A" w:rsidRDefault="00694C0F">
            <w:pPr>
              <w:pStyle w:val="TableBodyText"/>
            </w:pPr>
            <w:r>
              <w:t>US Note 8 1/2</w:t>
            </w:r>
            <w:r>
              <w:t xml:space="preserve"> x 11 in</w:t>
            </w:r>
          </w:p>
        </w:tc>
      </w:tr>
      <w:tr w:rsidR="00024C0A" w:rsidTr="00024C0A">
        <w:tc>
          <w:tcPr>
            <w:tcW w:w="0" w:type="auto"/>
            <w:vAlign w:val="center"/>
          </w:tcPr>
          <w:p w:rsidR="00024C0A" w:rsidRDefault="00694C0F">
            <w:pPr>
              <w:pStyle w:val="TableBodyText"/>
            </w:pPr>
            <w:r>
              <w:t>19</w:t>
            </w:r>
          </w:p>
        </w:tc>
        <w:tc>
          <w:tcPr>
            <w:tcW w:w="0" w:type="auto"/>
            <w:vAlign w:val="center"/>
          </w:tcPr>
          <w:p w:rsidR="00024C0A" w:rsidRDefault="00694C0F">
            <w:pPr>
              <w:pStyle w:val="TableBodyText"/>
            </w:pPr>
            <w:r>
              <w:t>US Envelope #9 3 7/8 x 8 7/8</w:t>
            </w:r>
          </w:p>
        </w:tc>
      </w:tr>
      <w:tr w:rsidR="00024C0A" w:rsidTr="00024C0A">
        <w:tc>
          <w:tcPr>
            <w:tcW w:w="0" w:type="auto"/>
            <w:vAlign w:val="center"/>
          </w:tcPr>
          <w:p w:rsidR="00024C0A" w:rsidRDefault="00694C0F">
            <w:pPr>
              <w:pStyle w:val="TableBodyText"/>
            </w:pPr>
            <w:r>
              <w:t>20</w:t>
            </w:r>
          </w:p>
        </w:tc>
        <w:tc>
          <w:tcPr>
            <w:tcW w:w="0" w:type="auto"/>
            <w:vAlign w:val="center"/>
          </w:tcPr>
          <w:p w:rsidR="00024C0A" w:rsidRDefault="00694C0F">
            <w:pPr>
              <w:pStyle w:val="TableBodyText"/>
            </w:pPr>
            <w:r>
              <w:t>US Envelope #10 4 1/8 x 9 1/2</w:t>
            </w:r>
          </w:p>
        </w:tc>
      </w:tr>
      <w:tr w:rsidR="00024C0A" w:rsidTr="00024C0A">
        <w:tc>
          <w:tcPr>
            <w:tcW w:w="0" w:type="auto"/>
            <w:vAlign w:val="center"/>
          </w:tcPr>
          <w:p w:rsidR="00024C0A" w:rsidRDefault="00694C0F">
            <w:pPr>
              <w:pStyle w:val="TableBodyText"/>
            </w:pPr>
            <w:r>
              <w:t>21</w:t>
            </w:r>
          </w:p>
        </w:tc>
        <w:tc>
          <w:tcPr>
            <w:tcW w:w="0" w:type="auto"/>
            <w:vAlign w:val="center"/>
          </w:tcPr>
          <w:p w:rsidR="00024C0A" w:rsidRDefault="00694C0F">
            <w:pPr>
              <w:pStyle w:val="TableBodyText"/>
            </w:pPr>
            <w:r>
              <w:t>US Envelope #11 4 1/2 x 10 3/8</w:t>
            </w:r>
          </w:p>
        </w:tc>
      </w:tr>
      <w:tr w:rsidR="00024C0A" w:rsidTr="00024C0A">
        <w:tc>
          <w:tcPr>
            <w:tcW w:w="0" w:type="auto"/>
            <w:vAlign w:val="center"/>
          </w:tcPr>
          <w:p w:rsidR="00024C0A" w:rsidRDefault="00694C0F">
            <w:pPr>
              <w:pStyle w:val="TableBodyText"/>
            </w:pPr>
            <w:r>
              <w:t>22</w:t>
            </w:r>
          </w:p>
        </w:tc>
        <w:tc>
          <w:tcPr>
            <w:tcW w:w="0" w:type="auto"/>
            <w:vAlign w:val="center"/>
          </w:tcPr>
          <w:p w:rsidR="00024C0A" w:rsidRDefault="00694C0F">
            <w:pPr>
              <w:pStyle w:val="TableBodyText"/>
            </w:pPr>
            <w:r>
              <w:t>US Envelope #12 4 \276 x 11</w:t>
            </w:r>
          </w:p>
        </w:tc>
      </w:tr>
      <w:tr w:rsidR="00024C0A" w:rsidTr="00024C0A">
        <w:tc>
          <w:tcPr>
            <w:tcW w:w="0" w:type="auto"/>
            <w:vAlign w:val="center"/>
          </w:tcPr>
          <w:p w:rsidR="00024C0A" w:rsidRDefault="00694C0F">
            <w:pPr>
              <w:pStyle w:val="TableBodyText"/>
            </w:pPr>
            <w:r>
              <w:t>23</w:t>
            </w:r>
          </w:p>
        </w:tc>
        <w:tc>
          <w:tcPr>
            <w:tcW w:w="0" w:type="auto"/>
            <w:vAlign w:val="center"/>
          </w:tcPr>
          <w:p w:rsidR="00024C0A" w:rsidRDefault="00694C0F">
            <w:pPr>
              <w:pStyle w:val="TableBodyText"/>
            </w:pPr>
            <w:r>
              <w:t>US Envelope #14 5 x 11 1/2</w:t>
            </w:r>
          </w:p>
        </w:tc>
      </w:tr>
      <w:tr w:rsidR="00024C0A" w:rsidTr="00024C0A">
        <w:tc>
          <w:tcPr>
            <w:tcW w:w="0" w:type="auto"/>
            <w:vAlign w:val="center"/>
          </w:tcPr>
          <w:p w:rsidR="00024C0A" w:rsidRDefault="00694C0F">
            <w:pPr>
              <w:pStyle w:val="TableBodyText"/>
            </w:pPr>
            <w:r>
              <w:t>24</w:t>
            </w:r>
          </w:p>
        </w:tc>
        <w:tc>
          <w:tcPr>
            <w:tcW w:w="0" w:type="auto"/>
            <w:vAlign w:val="center"/>
          </w:tcPr>
          <w:p w:rsidR="00024C0A" w:rsidRDefault="00694C0F">
            <w:pPr>
              <w:pStyle w:val="TableBodyText"/>
            </w:pPr>
            <w:r>
              <w:t>C size sheet</w:t>
            </w:r>
          </w:p>
        </w:tc>
      </w:tr>
      <w:tr w:rsidR="00024C0A" w:rsidTr="00024C0A">
        <w:tc>
          <w:tcPr>
            <w:tcW w:w="0" w:type="auto"/>
            <w:vAlign w:val="center"/>
          </w:tcPr>
          <w:p w:rsidR="00024C0A" w:rsidRDefault="00694C0F">
            <w:pPr>
              <w:pStyle w:val="TableBodyText"/>
            </w:pPr>
            <w:r>
              <w:t>25</w:t>
            </w:r>
          </w:p>
        </w:tc>
        <w:tc>
          <w:tcPr>
            <w:tcW w:w="0" w:type="auto"/>
            <w:vAlign w:val="center"/>
          </w:tcPr>
          <w:p w:rsidR="00024C0A" w:rsidRDefault="00694C0F">
            <w:pPr>
              <w:pStyle w:val="TableBodyText"/>
            </w:pPr>
            <w:r>
              <w:t>D size sheet</w:t>
            </w:r>
          </w:p>
        </w:tc>
      </w:tr>
      <w:tr w:rsidR="00024C0A" w:rsidTr="00024C0A">
        <w:tc>
          <w:tcPr>
            <w:tcW w:w="0" w:type="auto"/>
            <w:vAlign w:val="center"/>
          </w:tcPr>
          <w:p w:rsidR="00024C0A" w:rsidRDefault="00694C0F">
            <w:pPr>
              <w:pStyle w:val="TableBodyText"/>
            </w:pPr>
            <w:r>
              <w:t>26</w:t>
            </w:r>
          </w:p>
        </w:tc>
        <w:tc>
          <w:tcPr>
            <w:tcW w:w="0" w:type="auto"/>
            <w:vAlign w:val="center"/>
          </w:tcPr>
          <w:p w:rsidR="00024C0A" w:rsidRDefault="00694C0F">
            <w:pPr>
              <w:pStyle w:val="TableBodyText"/>
            </w:pPr>
            <w:r>
              <w:t>E size sheet</w:t>
            </w:r>
          </w:p>
        </w:tc>
      </w:tr>
      <w:tr w:rsidR="00024C0A" w:rsidTr="00024C0A">
        <w:tc>
          <w:tcPr>
            <w:tcW w:w="0" w:type="auto"/>
            <w:vAlign w:val="center"/>
          </w:tcPr>
          <w:p w:rsidR="00024C0A" w:rsidRDefault="00694C0F">
            <w:pPr>
              <w:pStyle w:val="TableBodyText"/>
            </w:pPr>
            <w:r>
              <w:t>27</w:t>
            </w:r>
          </w:p>
        </w:tc>
        <w:tc>
          <w:tcPr>
            <w:tcW w:w="0" w:type="auto"/>
            <w:vAlign w:val="center"/>
          </w:tcPr>
          <w:p w:rsidR="00024C0A" w:rsidRDefault="00694C0F">
            <w:pPr>
              <w:pStyle w:val="TableBodyText"/>
            </w:pPr>
            <w:r>
              <w:t>Envelope DL 110 x 220mm</w:t>
            </w:r>
          </w:p>
        </w:tc>
      </w:tr>
      <w:tr w:rsidR="00024C0A" w:rsidTr="00024C0A">
        <w:tc>
          <w:tcPr>
            <w:tcW w:w="0" w:type="auto"/>
            <w:vAlign w:val="center"/>
          </w:tcPr>
          <w:p w:rsidR="00024C0A" w:rsidRDefault="00694C0F">
            <w:pPr>
              <w:pStyle w:val="TableBodyText"/>
            </w:pPr>
            <w:r>
              <w:t>28</w:t>
            </w:r>
          </w:p>
        </w:tc>
        <w:tc>
          <w:tcPr>
            <w:tcW w:w="0" w:type="auto"/>
            <w:vAlign w:val="center"/>
          </w:tcPr>
          <w:p w:rsidR="00024C0A" w:rsidRDefault="00694C0F">
            <w:pPr>
              <w:pStyle w:val="TableBodyText"/>
            </w:pPr>
            <w:r>
              <w:t>Envelope C5 162 x 229 mm</w:t>
            </w:r>
          </w:p>
        </w:tc>
      </w:tr>
      <w:tr w:rsidR="00024C0A" w:rsidTr="00024C0A">
        <w:tc>
          <w:tcPr>
            <w:tcW w:w="0" w:type="auto"/>
            <w:vAlign w:val="center"/>
          </w:tcPr>
          <w:p w:rsidR="00024C0A" w:rsidRDefault="00694C0F">
            <w:pPr>
              <w:pStyle w:val="TableBodyText"/>
            </w:pPr>
            <w:r>
              <w:lastRenderedPageBreak/>
              <w:t>29</w:t>
            </w:r>
          </w:p>
        </w:tc>
        <w:tc>
          <w:tcPr>
            <w:tcW w:w="0" w:type="auto"/>
            <w:vAlign w:val="center"/>
          </w:tcPr>
          <w:p w:rsidR="00024C0A" w:rsidRDefault="00694C0F">
            <w:pPr>
              <w:pStyle w:val="TableBodyText"/>
            </w:pPr>
            <w:r>
              <w:t>Envelope C3 324 x 458 mm</w:t>
            </w:r>
          </w:p>
        </w:tc>
      </w:tr>
      <w:tr w:rsidR="00024C0A" w:rsidTr="00024C0A">
        <w:tc>
          <w:tcPr>
            <w:tcW w:w="0" w:type="auto"/>
            <w:vAlign w:val="center"/>
          </w:tcPr>
          <w:p w:rsidR="00024C0A" w:rsidRDefault="00694C0F">
            <w:pPr>
              <w:pStyle w:val="TableBodyText"/>
            </w:pPr>
            <w:r>
              <w:t>30</w:t>
            </w:r>
          </w:p>
        </w:tc>
        <w:tc>
          <w:tcPr>
            <w:tcW w:w="0" w:type="auto"/>
            <w:vAlign w:val="center"/>
          </w:tcPr>
          <w:p w:rsidR="00024C0A" w:rsidRDefault="00694C0F">
            <w:pPr>
              <w:pStyle w:val="TableBodyText"/>
            </w:pPr>
            <w:r>
              <w:t>Envelope C4 229 x 324 mm</w:t>
            </w:r>
          </w:p>
        </w:tc>
      </w:tr>
      <w:tr w:rsidR="00024C0A" w:rsidTr="00024C0A">
        <w:tc>
          <w:tcPr>
            <w:tcW w:w="0" w:type="auto"/>
            <w:vAlign w:val="center"/>
          </w:tcPr>
          <w:p w:rsidR="00024C0A" w:rsidRDefault="00694C0F">
            <w:pPr>
              <w:pStyle w:val="TableBodyText"/>
            </w:pPr>
            <w:r>
              <w:t>31</w:t>
            </w:r>
          </w:p>
        </w:tc>
        <w:tc>
          <w:tcPr>
            <w:tcW w:w="0" w:type="auto"/>
            <w:vAlign w:val="center"/>
          </w:tcPr>
          <w:p w:rsidR="00024C0A" w:rsidRDefault="00694C0F">
            <w:pPr>
              <w:pStyle w:val="TableBodyText"/>
            </w:pPr>
            <w:r>
              <w:t>Envelope C6 114 x 162 mm</w:t>
            </w:r>
          </w:p>
        </w:tc>
      </w:tr>
      <w:tr w:rsidR="00024C0A" w:rsidTr="00024C0A">
        <w:tc>
          <w:tcPr>
            <w:tcW w:w="0" w:type="auto"/>
            <w:vAlign w:val="center"/>
          </w:tcPr>
          <w:p w:rsidR="00024C0A" w:rsidRDefault="00694C0F">
            <w:pPr>
              <w:pStyle w:val="TableBodyText"/>
            </w:pPr>
            <w:r>
              <w:t>32</w:t>
            </w:r>
          </w:p>
        </w:tc>
        <w:tc>
          <w:tcPr>
            <w:tcW w:w="0" w:type="auto"/>
            <w:vAlign w:val="center"/>
          </w:tcPr>
          <w:p w:rsidR="00024C0A" w:rsidRDefault="00694C0F">
            <w:pPr>
              <w:pStyle w:val="TableBodyText"/>
            </w:pPr>
            <w:r>
              <w:t>Envelope C65 114 x 229 mm</w:t>
            </w:r>
          </w:p>
        </w:tc>
      </w:tr>
      <w:tr w:rsidR="00024C0A" w:rsidTr="00024C0A">
        <w:tc>
          <w:tcPr>
            <w:tcW w:w="0" w:type="auto"/>
            <w:vAlign w:val="center"/>
          </w:tcPr>
          <w:p w:rsidR="00024C0A" w:rsidRDefault="00694C0F">
            <w:pPr>
              <w:pStyle w:val="TableBodyText"/>
            </w:pPr>
            <w:r>
              <w:t>33</w:t>
            </w:r>
          </w:p>
        </w:tc>
        <w:tc>
          <w:tcPr>
            <w:tcW w:w="0" w:type="auto"/>
            <w:vAlign w:val="center"/>
          </w:tcPr>
          <w:p w:rsidR="00024C0A" w:rsidRDefault="00694C0F">
            <w:pPr>
              <w:pStyle w:val="TableBodyText"/>
            </w:pPr>
            <w:r>
              <w:t>Envelope B4 250 x 353 mm</w:t>
            </w:r>
          </w:p>
        </w:tc>
      </w:tr>
      <w:tr w:rsidR="00024C0A" w:rsidTr="00024C0A">
        <w:tc>
          <w:tcPr>
            <w:tcW w:w="0" w:type="auto"/>
            <w:vAlign w:val="center"/>
          </w:tcPr>
          <w:p w:rsidR="00024C0A" w:rsidRDefault="00694C0F">
            <w:pPr>
              <w:pStyle w:val="TableBodyText"/>
            </w:pPr>
            <w:r>
              <w:t>34</w:t>
            </w:r>
          </w:p>
        </w:tc>
        <w:tc>
          <w:tcPr>
            <w:tcW w:w="0" w:type="auto"/>
            <w:vAlign w:val="center"/>
          </w:tcPr>
          <w:p w:rsidR="00024C0A" w:rsidRDefault="00694C0F">
            <w:pPr>
              <w:pStyle w:val="TableBodyText"/>
            </w:pPr>
            <w:r>
              <w:t>Envelope B5 176 x 250 mm</w:t>
            </w:r>
          </w:p>
        </w:tc>
      </w:tr>
      <w:tr w:rsidR="00024C0A" w:rsidTr="00024C0A">
        <w:tc>
          <w:tcPr>
            <w:tcW w:w="0" w:type="auto"/>
            <w:vAlign w:val="center"/>
          </w:tcPr>
          <w:p w:rsidR="00024C0A" w:rsidRDefault="00694C0F">
            <w:pPr>
              <w:pStyle w:val="TableBodyText"/>
            </w:pPr>
            <w:r>
              <w:t>35</w:t>
            </w:r>
          </w:p>
        </w:tc>
        <w:tc>
          <w:tcPr>
            <w:tcW w:w="0" w:type="auto"/>
            <w:vAlign w:val="center"/>
          </w:tcPr>
          <w:p w:rsidR="00024C0A" w:rsidRDefault="00694C0F">
            <w:pPr>
              <w:pStyle w:val="TableBodyText"/>
            </w:pPr>
            <w:r>
              <w:t>Envelope B6 176 x 125 mm</w:t>
            </w:r>
          </w:p>
        </w:tc>
      </w:tr>
      <w:tr w:rsidR="00024C0A" w:rsidTr="00024C0A">
        <w:tc>
          <w:tcPr>
            <w:tcW w:w="0" w:type="auto"/>
            <w:vAlign w:val="center"/>
          </w:tcPr>
          <w:p w:rsidR="00024C0A" w:rsidRDefault="00694C0F">
            <w:pPr>
              <w:pStyle w:val="TableBodyText"/>
            </w:pPr>
            <w:r>
              <w:t>36</w:t>
            </w:r>
          </w:p>
        </w:tc>
        <w:tc>
          <w:tcPr>
            <w:tcW w:w="0" w:type="auto"/>
            <w:vAlign w:val="center"/>
          </w:tcPr>
          <w:p w:rsidR="00024C0A" w:rsidRDefault="00694C0F">
            <w:pPr>
              <w:pStyle w:val="TableBodyText"/>
            </w:pPr>
            <w:r>
              <w:t>Envelope 110 x 230 mm</w:t>
            </w:r>
          </w:p>
        </w:tc>
      </w:tr>
      <w:tr w:rsidR="00024C0A" w:rsidTr="00024C0A">
        <w:tc>
          <w:tcPr>
            <w:tcW w:w="0" w:type="auto"/>
            <w:vAlign w:val="center"/>
          </w:tcPr>
          <w:p w:rsidR="00024C0A" w:rsidRDefault="00694C0F">
            <w:pPr>
              <w:pStyle w:val="TableBodyText"/>
            </w:pPr>
            <w:r>
              <w:t>37</w:t>
            </w:r>
          </w:p>
        </w:tc>
        <w:tc>
          <w:tcPr>
            <w:tcW w:w="0" w:type="auto"/>
            <w:vAlign w:val="center"/>
          </w:tcPr>
          <w:p w:rsidR="00024C0A" w:rsidRDefault="00694C0F">
            <w:pPr>
              <w:pStyle w:val="TableBodyText"/>
            </w:pPr>
            <w:r>
              <w:t>US Envelope Monarch 3.875 x 7.5 in</w:t>
            </w:r>
          </w:p>
        </w:tc>
      </w:tr>
      <w:tr w:rsidR="00024C0A" w:rsidTr="00024C0A">
        <w:tc>
          <w:tcPr>
            <w:tcW w:w="0" w:type="auto"/>
            <w:vAlign w:val="center"/>
          </w:tcPr>
          <w:p w:rsidR="00024C0A" w:rsidRDefault="00694C0F">
            <w:pPr>
              <w:pStyle w:val="TableBodyText"/>
            </w:pPr>
            <w:r>
              <w:t>38</w:t>
            </w:r>
          </w:p>
        </w:tc>
        <w:tc>
          <w:tcPr>
            <w:tcW w:w="0" w:type="auto"/>
            <w:vAlign w:val="center"/>
          </w:tcPr>
          <w:p w:rsidR="00024C0A" w:rsidRDefault="00694C0F">
            <w:pPr>
              <w:pStyle w:val="TableBodyText"/>
            </w:pPr>
            <w:r>
              <w:t>6 3/4 US Envelope 3 5/8 x 6 1/2 in</w:t>
            </w:r>
          </w:p>
        </w:tc>
      </w:tr>
      <w:tr w:rsidR="00024C0A" w:rsidTr="00024C0A">
        <w:tc>
          <w:tcPr>
            <w:tcW w:w="0" w:type="auto"/>
            <w:vAlign w:val="center"/>
          </w:tcPr>
          <w:p w:rsidR="00024C0A" w:rsidRDefault="00694C0F">
            <w:pPr>
              <w:pStyle w:val="TableBodyText"/>
            </w:pPr>
            <w:r>
              <w:t>39</w:t>
            </w:r>
          </w:p>
        </w:tc>
        <w:tc>
          <w:tcPr>
            <w:tcW w:w="0" w:type="auto"/>
            <w:vAlign w:val="center"/>
          </w:tcPr>
          <w:p w:rsidR="00024C0A" w:rsidRDefault="00694C0F">
            <w:pPr>
              <w:pStyle w:val="TableBodyText"/>
            </w:pPr>
            <w:r>
              <w:t>US Std Fanfold 14 7/8 x 11 in</w:t>
            </w:r>
          </w:p>
        </w:tc>
      </w:tr>
      <w:tr w:rsidR="00024C0A" w:rsidTr="00024C0A">
        <w:tc>
          <w:tcPr>
            <w:tcW w:w="0" w:type="auto"/>
            <w:vAlign w:val="center"/>
          </w:tcPr>
          <w:p w:rsidR="00024C0A" w:rsidRDefault="00694C0F">
            <w:pPr>
              <w:pStyle w:val="TableBodyText"/>
            </w:pPr>
            <w:r>
              <w:t>40</w:t>
            </w:r>
          </w:p>
        </w:tc>
        <w:tc>
          <w:tcPr>
            <w:tcW w:w="0" w:type="auto"/>
            <w:vAlign w:val="center"/>
          </w:tcPr>
          <w:p w:rsidR="00024C0A" w:rsidRDefault="00694C0F">
            <w:pPr>
              <w:pStyle w:val="TableBodyText"/>
            </w:pPr>
            <w:r>
              <w:t>German Std Fanfold 8 1/2 x 12 in</w:t>
            </w:r>
          </w:p>
        </w:tc>
      </w:tr>
      <w:tr w:rsidR="00024C0A" w:rsidTr="00024C0A">
        <w:tc>
          <w:tcPr>
            <w:tcW w:w="0" w:type="auto"/>
            <w:vAlign w:val="center"/>
          </w:tcPr>
          <w:p w:rsidR="00024C0A" w:rsidRDefault="00694C0F">
            <w:pPr>
              <w:pStyle w:val="TableBodyText"/>
            </w:pPr>
            <w:r>
              <w:t>41</w:t>
            </w:r>
          </w:p>
        </w:tc>
        <w:tc>
          <w:tcPr>
            <w:tcW w:w="0" w:type="auto"/>
            <w:vAlign w:val="center"/>
          </w:tcPr>
          <w:p w:rsidR="00024C0A" w:rsidRDefault="00694C0F">
            <w:pPr>
              <w:pStyle w:val="TableBodyText"/>
            </w:pPr>
            <w:r>
              <w:t>German Legal Fanfold 8 1/2 x 13 in</w:t>
            </w:r>
          </w:p>
        </w:tc>
      </w:tr>
      <w:tr w:rsidR="00024C0A" w:rsidTr="00024C0A">
        <w:tc>
          <w:tcPr>
            <w:tcW w:w="0" w:type="auto"/>
            <w:vAlign w:val="center"/>
          </w:tcPr>
          <w:p w:rsidR="00024C0A" w:rsidRDefault="00694C0F">
            <w:pPr>
              <w:pStyle w:val="TableBodyText"/>
            </w:pPr>
            <w:r>
              <w:t>42</w:t>
            </w:r>
          </w:p>
        </w:tc>
        <w:tc>
          <w:tcPr>
            <w:tcW w:w="0" w:type="auto"/>
            <w:vAlign w:val="center"/>
          </w:tcPr>
          <w:p w:rsidR="00024C0A" w:rsidRDefault="00694C0F">
            <w:pPr>
              <w:pStyle w:val="TableBodyText"/>
            </w:pPr>
            <w:r>
              <w:t>B4 (ISO) 250 x 353 mm</w:t>
            </w:r>
          </w:p>
        </w:tc>
      </w:tr>
      <w:tr w:rsidR="00024C0A" w:rsidTr="00024C0A">
        <w:tc>
          <w:tcPr>
            <w:tcW w:w="0" w:type="auto"/>
            <w:vAlign w:val="center"/>
          </w:tcPr>
          <w:p w:rsidR="00024C0A" w:rsidRDefault="00694C0F">
            <w:pPr>
              <w:pStyle w:val="TableBodyText"/>
            </w:pPr>
            <w:r>
              <w:t>43</w:t>
            </w:r>
          </w:p>
        </w:tc>
        <w:tc>
          <w:tcPr>
            <w:tcW w:w="0" w:type="auto"/>
            <w:vAlign w:val="center"/>
          </w:tcPr>
          <w:p w:rsidR="00024C0A" w:rsidRDefault="00694C0F">
            <w:pPr>
              <w:pStyle w:val="TableBodyText"/>
            </w:pPr>
            <w:r>
              <w:t>Japanese Postcard 100 x 148 mm</w:t>
            </w:r>
          </w:p>
        </w:tc>
      </w:tr>
      <w:tr w:rsidR="00024C0A" w:rsidTr="00024C0A">
        <w:tc>
          <w:tcPr>
            <w:tcW w:w="0" w:type="auto"/>
            <w:vAlign w:val="center"/>
          </w:tcPr>
          <w:p w:rsidR="00024C0A" w:rsidRDefault="00694C0F">
            <w:pPr>
              <w:pStyle w:val="TableBodyText"/>
            </w:pPr>
            <w:r>
              <w:t>44</w:t>
            </w:r>
          </w:p>
        </w:tc>
        <w:tc>
          <w:tcPr>
            <w:tcW w:w="0" w:type="auto"/>
            <w:vAlign w:val="center"/>
          </w:tcPr>
          <w:p w:rsidR="00024C0A" w:rsidRDefault="00694C0F">
            <w:pPr>
              <w:pStyle w:val="TableBodyText"/>
            </w:pPr>
            <w:r>
              <w:t>9 x</w:t>
            </w:r>
            <w:r>
              <w:t xml:space="preserve"> 11 in</w:t>
            </w:r>
          </w:p>
        </w:tc>
      </w:tr>
      <w:tr w:rsidR="00024C0A" w:rsidTr="00024C0A">
        <w:tc>
          <w:tcPr>
            <w:tcW w:w="0" w:type="auto"/>
            <w:vAlign w:val="center"/>
          </w:tcPr>
          <w:p w:rsidR="00024C0A" w:rsidRDefault="00694C0F">
            <w:pPr>
              <w:pStyle w:val="TableBodyText"/>
            </w:pPr>
            <w:r>
              <w:t>45</w:t>
            </w:r>
          </w:p>
        </w:tc>
        <w:tc>
          <w:tcPr>
            <w:tcW w:w="0" w:type="auto"/>
            <w:vAlign w:val="center"/>
          </w:tcPr>
          <w:p w:rsidR="00024C0A" w:rsidRDefault="00694C0F">
            <w:pPr>
              <w:pStyle w:val="TableBodyText"/>
            </w:pPr>
            <w:r>
              <w:t>10 x 11 in</w:t>
            </w:r>
          </w:p>
        </w:tc>
      </w:tr>
      <w:tr w:rsidR="00024C0A" w:rsidTr="00024C0A">
        <w:tc>
          <w:tcPr>
            <w:tcW w:w="0" w:type="auto"/>
            <w:vAlign w:val="center"/>
          </w:tcPr>
          <w:p w:rsidR="00024C0A" w:rsidRDefault="00694C0F">
            <w:pPr>
              <w:pStyle w:val="TableBodyText"/>
            </w:pPr>
            <w:r>
              <w:t>46</w:t>
            </w:r>
          </w:p>
        </w:tc>
        <w:tc>
          <w:tcPr>
            <w:tcW w:w="0" w:type="auto"/>
            <w:vAlign w:val="center"/>
          </w:tcPr>
          <w:p w:rsidR="00024C0A" w:rsidRDefault="00694C0F">
            <w:pPr>
              <w:pStyle w:val="TableBodyText"/>
            </w:pPr>
            <w:r>
              <w:t>15 x 11 in</w:t>
            </w:r>
          </w:p>
        </w:tc>
      </w:tr>
      <w:tr w:rsidR="00024C0A" w:rsidTr="00024C0A">
        <w:tc>
          <w:tcPr>
            <w:tcW w:w="0" w:type="auto"/>
            <w:vAlign w:val="center"/>
          </w:tcPr>
          <w:p w:rsidR="00024C0A" w:rsidRDefault="00694C0F">
            <w:pPr>
              <w:pStyle w:val="TableBodyText"/>
            </w:pPr>
            <w:r>
              <w:t>47</w:t>
            </w:r>
          </w:p>
        </w:tc>
        <w:tc>
          <w:tcPr>
            <w:tcW w:w="0" w:type="auto"/>
            <w:vAlign w:val="center"/>
          </w:tcPr>
          <w:p w:rsidR="00024C0A" w:rsidRDefault="00694C0F">
            <w:pPr>
              <w:pStyle w:val="TableBodyText"/>
            </w:pPr>
            <w:r>
              <w:t>Envelope Invite 220 x 220 mm</w:t>
            </w:r>
          </w:p>
        </w:tc>
      </w:tr>
      <w:tr w:rsidR="00024C0A" w:rsidTr="00024C0A">
        <w:tc>
          <w:tcPr>
            <w:tcW w:w="0" w:type="auto"/>
            <w:vAlign w:val="center"/>
          </w:tcPr>
          <w:p w:rsidR="00024C0A" w:rsidRDefault="00694C0F">
            <w:pPr>
              <w:pStyle w:val="TableBodyText"/>
            </w:pPr>
            <w:r>
              <w:t>48</w:t>
            </w:r>
          </w:p>
        </w:tc>
        <w:tc>
          <w:tcPr>
            <w:tcW w:w="0" w:type="auto"/>
            <w:vAlign w:val="center"/>
          </w:tcPr>
          <w:p w:rsidR="00024C0A" w:rsidRDefault="00694C0F">
            <w:pPr>
              <w:pStyle w:val="TableBodyText"/>
            </w:pPr>
            <w:r>
              <w:t>RESERVED--DO NOT USE</w:t>
            </w:r>
          </w:p>
        </w:tc>
      </w:tr>
      <w:tr w:rsidR="00024C0A" w:rsidTr="00024C0A">
        <w:tc>
          <w:tcPr>
            <w:tcW w:w="0" w:type="auto"/>
            <w:vAlign w:val="center"/>
          </w:tcPr>
          <w:p w:rsidR="00024C0A" w:rsidRDefault="00694C0F">
            <w:pPr>
              <w:pStyle w:val="TableBodyText"/>
            </w:pPr>
            <w:r>
              <w:t>49</w:t>
            </w:r>
          </w:p>
        </w:tc>
        <w:tc>
          <w:tcPr>
            <w:tcW w:w="0" w:type="auto"/>
            <w:vAlign w:val="center"/>
          </w:tcPr>
          <w:p w:rsidR="00024C0A" w:rsidRDefault="00694C0F">
            <w:pPr>
              <w:pStyle w:val="TableBodyText"/>
            </w:pPr>
            <w:r>
              <w:t>RESERVED--DO NOT USE</w:t>
            </w:r>
          </w:p>
        </w:tc>
      </w:tr>
      <w:tr w:rsidR="00024C0A" w:rsidTr="00024C0A">
        <w:tc>
          <w:tcPr>
            <w:tcW w:w="0" w:type="auto"/>
            <w:vAlign w:val="center"/>
          </w:tcPr>
          <w:p w:rsidR="00024C0A" w:rsidRDefault="00694C0F">
            <w:pPr>
              <w:pStyle w:val="TableBodyText"/>
            </w:pPr>
            <w:r>
              <w:t>50</w:t>
            </w:r>
          </w:p>
        </w:tc>
        <w:tc>
          <w:tcPr>
            <w:tcW w:w="0" w:type="auto"/>
            <w:vAlign w:val="center"/>
          </w:tcPr>
          <w:p w:rsidR="00024C0A" w:rsidRDefault="00694C0F">
            <w:pPr>
              <w:pStyle w:val="TableBodyText"/>
            </w:pPr>
            <w:r>
              <w:t>US Letter Extra 9 \275 x 12 in</w:t>
            </w:r>
          </w:p>
        </w:tc>
      </w:tr>
      <w:tr w:rsidR="00024C0A" w:rsidTr="00024C0A">
        <w:tc>
          <w:tcPr>
            <w:tcW w:w="0" w:type="auto"/>
            <w:vAlign w:val="center"/>
          </w:tcPr>
          <w:p w:rsidR="00024C0A" w:rsidRDefault="00694C0F">
            <w:pPr>
              <w:pStyle w:val="TableBodyText"/>
            </w:pPr>
            <w:r>
              <w:t>51</w:t>
            </w:r>
          </w:p>
        </w:tc>
        <w:tc>
          <w:tcPr>
            <w:tcW w:w="0" w:type="auto"/>
            <w:vAlign w:val="center"/>
          </w:tcPr>
          <w:p w:rsidR="00024C0A" w:rsidRDefault="00694C0F">
            <w:pPr>
              <w:pStyle w:val="TableBodyText"/>
            </w:pPr>
            <w:r>
              <w:t>US Legal Extra 9 \275 x 15 in</w:t>
            </w:r>
          </w:p>
        </w:tc>
      </w:tr>
      <w:tr w:rsidR="00024C0A" w:rsidTr="00024C0A">
        <w:tc>
          <w:tcPr>
            <w:tcW w:w="0" w:type="auto"/>
            <w:vAlign w:val="center"/>
          </w:tcPr>
          <w:p w:rsidR="00024C0A" w:rsidRDefault="00694C0F">
            <w:pPr>
              <w:pStyle w:val="TableBodyText"/>
            </w:pPr>
            <w:r>
              <w:t>52</w:t>
            </w:r>
          </w:p>
        </w:tc>
        <w:tc>
          <w:tcPr>
            <w:tcW w:w="0" w:type="auto"/>
            <w:vAlign w:val="center"/>
          </w:tcPr>
          <w:p w:rsidR="00024C0A" w:rsidRDefault="00694C0F">
            <w:pPr>
              <w:pStyle w:val="TableBodyText"/>
            </w:pPr>
            <w:r>
              <w:t>US Tabloid Extra 11.69 x 18 in</w:t>
            </w:r>
          </w:p>
        </w:tc>
      </w:tr>
      <w:tr w:rsidR="00024C0A" w:rsidTr="00024C0A">
        <w:tc>
          <w:tcPr>
            <w:tcW w:w="0" w:type="auto"/>
            <w:vAlign w:val="center"/>
          </w:tcPr>
          <w:p w:rsidR="00024C0A" w:rsidRDefault="00694C0F">
            <w:pPr>
              <w:pStyle w:val="TableBodyText"/>
            </w:pPr>
            <w:r>
              <w:t>53</w:t>
            </w:r>
          </w:p>
        </w:tc>
        <w:tc>
          <w:tcPr>
            <w:tcW w:w="0" w:type="auto"/>
            <w:vAlign w:val="center"/>
          </w:tcPr>
          <w:p w:rsidR="00024C0A" w:rsidRDefault="00694C0F">
            <w:pPr>
              <w:pStyle w:val="TableBodyText"/>
            </w:pPr>
            <w:r>
              <w:t>A4 Extra 9.27 x 12.69 in</w:t>
            </w:r>
          </w:p>
        </w:tc>
      </w:tr>
      <w:tr w:rsidR="00024C0A" w:rsidTr="00024C0A">
        <w:tc>
          <w:tcPr>
            <w:tcW w:w="0" w:type="auto"/>
            <w:vAlign w:val="center"/>
          </w:tcPr>
          <w:p w:rsidR="00024C0A" w:rsidRDefault="00694C0F">
            <w:pPr>
              <w:pStyle w:val="TableBodyText"/>
            </w:pPr>
            <w:r>
              <w:t>54</w:t>
            </w:r>
          </w:p>
        </w:tc>
        <w:tc>
          <w:tcPr>
            <w:tcW w:w="0" w:type="auto"/>
            <w:vAlign w:val="center"/>
          </w:tcPr>
          <w:p w:rsidR="00024C0A" w:rsidRDefault="00694C0F">
            <w:pPr>
              <w:pStyle w:val="TableBodyText"/>
            </w:pPr>
            <w:r>
              <w:t xml:space="preserve">Letter Transverse 8 \275 x 11 in </w:t>
            </w:r>
          </w:p>
        </w:tc>
      </w:tr>
      <w:tr w:rsidR="00024C0A" w:rsidTr="00024C0A">
        <w:tc>
          <w:tcPr>
            <w:tcW w:w="0" w:type="auto"/>
            <w:vAlign w:val="center"/>
          </w:tcPr>
          <w:p w:rsidR="00024C0A" w:rsidRDefault="00694C0F">
            <w:pPr>
              <w:pStyle w:val="TableBodyText"/>
            </w:pPr>
            <w:r>
              <w:t>55</w:t>
            </w:r>
          </w:p>
        </w:tc>
        <w:tc>
          <w:tcPr>
            <w:tcW w:w="0" w:type="auto"/>
            <w:vAlign w:val="center"/>
          </w:tcPr>
          <w:p w:rsidR="00024C0A" w:rsidRDefault="00694C0F">
            <w:pPr>
              <w:pStyle w:val="TableBodyText"/>
            </w:pPr>
            <w:r>
              <w:t>A4 Transverse 210 x 297 mm</w:t>
            </w:r>
          </w:p>
        </w:tc>
      </w:tr>
      <w:tr w:rsidR="00024C0A" w:rsidTr="00024C0A">
        <w:tc>
          <w:tcPr>
            <w:tcW w:w="0" w:type="auto"/>
            <w:vAlign w:val="center"/>
          </w:tcPr>
          <w:p w:rsidR="00024C0A" w:rsidRDefault="00694C0F">
            <w:pPr>
              <w:pStyle w:val="TableBodyText"/>
            </w:pPr>
            <w:r>
              <w:t>56</w:t>
            </w:r>
          </w:p>
        </w:tc>
        <w:tc>
          <w:tcPr>
            <w:tcW w:w="0" w:type="auto"/>
            <w:vAlign w:val="center"/>
          </w:tcPr>
          <w:p w:rsidR="00024C0A" w:rsidRDefault="00694C0F">
            <w:pPr>
              <w:pStyle w:val="TableBodyText"/>
            </w:pPr>
            <w:r>
              <w:t>Letter Extra Transverse 9\275 x 12 in</w:t>
            </w:r>
          </w:p>
        </w:tc>
      </w:tr>
      <w:tr w:rsidR="00024C0A" w:rsidTr="00024C0A">
        <w:tc>
          <w:tcPr>
            <w:tcW w:w="0" w:type="auto"/>
            <w:vAlign w:val="center"/>
          </w:tcPr>
          <w:p w:rsidR="00024C0A" w:rsidRDefault="00694C0F">
            <w:pPr>
              <w:pStyle w:val="TableBodyText"/>
            </w:pPr>
            <w:r>
              <w:t>57</w:t>
            </w:r>
          </w:p>
        </w:tc>
        <w:tc>
          <w:tcPr>
            <w:tcW w:w="0" w:type="auto"/>
            <w:vAlign w:val="center"/>
          </w:tcPr>
          <w:p w:rsidR="00024C0A" w:rsidRDefault="00694C0F">
            <w:pPr>
              <w:pStyle w:val="TableBodyText"/>
            </w:pPr>
            <w:r>
              <w:t>SuperA/SuperA/A4 227 x 356 mm</w:t>
            </w:r>
          </w:p>
        </w:tc>
      </w:tr>
      <w:tr w:rsidR="00024C0A" w:rsidTr="00024C0A">
        <w:tc>
          <w:tcPr>
            <w:tcW w:w="0" w:type="auto"/>
            <w:vAlign w:val="center"/>
          </w:tcPr>
          <w:p w:rsidR="00024C0A" w:rsidRDefault="00694C0F">
            <w:pPr>
              <w:pStyle w:val="TableBodyText"/>
            </w:pPr>
            <w:r>
              <w:t>58</w:t>
            </w:r>
          </w:p>
        </w:tc>
        <w:tc>
          <w:tcPr>
            <w:tcW w:w="0" w:type="auto"/>
            <w:vAlign w:val="center"/>
          </w:tcPr>
          <w:p w:rsidR="00024C0A" w:rsidRDefault="00694C0F">
            <w:pPr>
              <w:pStyle w:val="TableBodyText"/>
            </w:pPr>
            <w:r>
              <w:t>SuperB/SuperB/A3 305 x 487 mm</w:t>
            </w:r>
          </w:p>
        </w:tc>
      </w:tr>
      <w:tr w:rsidR="00024C0A" w:rsidTr="00024C0A">
        <w:tc>
          <w:tcPr>
            <w:tcW w:w="0" w:type="auto"/>
            <w:vAlign w:val="center"/>
          </w:tcPr>
          <w:p w:rsidR="00024C0A" w:rsidRDefault="00694C0F">
            <w:pPr>
              <w:pStyle w:val="TableBodyText"/>
            </w:pPr>
            <w:r>
              <w:t>59</w:t>
            </w:r>
          </w:p>
        </w:tc>
        <w:tc>
          <w:tcPr>
            <w:tcW w:w="0" w:type="auto"/>
            <w:vAlign w:val="center"/>
          </w:tcPr>
          <w:p w:rsidR="00024C0A" w:rsidRDefault="00694C0F">
            <w:pPr>
              <w:pStyle w:val="TableBodyText"/>
            </w:pPr>
            <w:r>
              <w:t>US Letter Plus 8.5 x 12.69 in</w:t>
            </w:r>
          </w:p>
        </w:tc>
      </w:tr>
      <w:tr w:rsidR="00024C0A" w:rsidTr="00024C0A">
        <w:tc>
          <w:tcPr>
            <w:tcW w:w="0" w:type="auto"/>
            <w:vAlign w:val="center"/>
          </w:tcPr>
          <w:p w:rsidR="00024C0A" w:rsidRDefault="00694C0F">
            <w:pPr>
              <w:pStyle w:val="TableBodyText"/>
            </w:pPr>
            <w:r>
              <w:t>60</w:t>
            </w:r>
          </w:p>
        </w:tc>
        <w:tc>
          <w:tcPr>
            <w:tcW w:w="0" w:type="auto"/>
            <w:vAlign w:val="center"/>
          </w:tcPr>
          <w:p w:rsidR="00024C0A" w:rsidRDefault="00694C0F">
            <w:pPr>
              <w:pStyle w:val="TableBodyText"/>
            </w:pPr>
            <w:r>
              <w:t>A4 Plus 210 x 330 mm</w:t>
            </w:r>
          </w:p>
        </w:tc>
      </w:tr>
      <w:tr w:rsidR="00024C0A" w:rsidTr="00024C0A">
        <w:tc>
          <w:tcPr>
            <w:tcW w:w="0" w:type="auto"/>
            <w:vAlign w:val="center"/>
          </w:tcPr>
          <w:p w:rsidR="00024C0A" w:rsidRDefault="00694C0F">
            <w:pPr>
              <w:pStyle w:val="TableBodyText"/>
            </w:pPr>
            <w:r>
              <w:lastRenderedPageBreak/>
              <w:t>61</w:t>
            </w:r>
          </w:p>
        </w:tc>
        <w:tc>
          <w:tcPr>
            <w:tcW w:w="0" w:type="auto"/>
            <w:vAlign w:val="center"/>
          </w:tcPr>
          <w:p w:rsidR="00024C0A" w:rsidRDefault="00694C0F">
            <w:pPr>
              <w:pStyle w:val="TableBodyText"/>
            </w:pPr>
            <w:r>
              <w:t>A5 Transverse 148</w:t>
            </w:r>
            <w:r>
              <w:t xml:space="preserve"> x 210 mm</w:t>
            </w:r>
          </w:p>
        </w:tc>
      </w:tr>
      <w:tr w:rsidR="00024C0A" w:rsidTr="00024C0A">
        <w:tc>
          <w:tcPr>
            <w:tcW w:w="0" w:type="auto"/>
            <w:vAlign w:val="center"/>
          </w:tcPr>
          <w:p w:rsidR="00024C0A" w:rsidRDefault="00694C0F">
            <w:pPr>
              <w:pStyle w:val="TableBodyText"/>
            </w:pPr>
            <w:r>
              <w:t>62</w:t>
            </w:r>
          </w:p>
        </w:tc>
        <w:tc>
          <w:tcPr>
            <w:tcW w:w="0" w:type="auto"/>
            <w:vAlign w:val="center"/>
          </w:tcPr>
          <w:p w:rsidR="00024C0A" w:rsidRDefault="00694C0F">
            <w:pPr>
              <w:pStyle w:val="TableBodyText"/>
            </w:pPr>
            <w:r>
              <w:t>B5 (JIS) Transverse 182 x 257 mm</w:t>
            </w:r>
          </w:p>
        </w:tc>
      </w:tr>
      <w:tr w:rsidR="00024C0A" w:rsidTr="00024C0A">
        <w:tc>
          <w:tcPr>
            <w:tcW w:w="0" w:type="auto"/>
            <w:vAlign w:val="center"/>
          </w:tcPr>
          <w:p w:rsidR="00024C0A" w:rsidRDefault="00694C0F">
            <w:pPr>
              <w:pStyle w:val="TableBodyText"/>
            </w:pPr>
            <w:r>
              <w:t>63</w:t>
            </w:r>
          </w:p>
        </w:tc>
        <w:tc>
          <w:tcPr>
            <w:tcW w:w="0" w:type="auto"/>
            <w:vAlign w:val="center"/>
          </w:tcPr>
          <w:p w:rsidR="00024C0A" w:rsidRDefault="00694C0F">
            <w:pPr>
              <w:pStyle w:val="TableBodyText"/>
            </w:pPr>
            <w:r>
              <w:t>A3 Extra 322 x 445 mm</w:t>
            </w:r>
          </w:p>
        </w:tc>
      </w:tr>
      <w:tr w:rsidR="00024C0A" w:rsidTr="00024C0A">
        <w:tc>
          <w:tcPr>
            <w:tcW w:w="0" w:type="auto"/>
            <w:vAlign w:val="center"/>
          </w:tcPr>
          <w:p w:rsidR="00024C0A" w:rsidRDefault="00694C0F">
            <w:pPr>
              <w:pStyle w:val="TableBodyText"/>
            </w:pPr>
            <w:r>
              <w:t>64</w:t>
            </w:r>
          </w:p>
        </w:tc>
        <w:tc>
          <w:tcPr>
            <w:tcW w:w="0" w:type="auto"/>
            <w:vAlign w:val="center"/>
          </w:tcPr>
          <w:p w:rsidR="00024C0A" w:rsidRDefault="00694C0F">
            <w:pPr>
              <w:pStyle w:val="TableBodyText"/>
            </w:pPr>
            <w:r>
              <w:t>A5 Extra 174 x 235 mm</w:t>
            </w:r>
          </w:p>
        </w:tc>
      </w:tr>
      <w:tr w:rsidR="00024C0A" w:rsidTr="00024C0A">
        <w:tc>
          <w:tcPr>
            <w:tcW w:w="0" w:type="auto"/>
            <w:vAlign w:val="center"/>
          </w:tcPr>
          <w:p w:rsidR="00024C0A" w:rsidRDefault="00694C0F">
            <w:pPr>
              <w:pStyle w:val="TableBodyText"/>
            </w:pPr>
            <w:r>
              <w:t>65</w:t>
            </w:r>
          </w:p>
        </w:tc>
        <w:tc>
          <w:tcPr>
            <w:tcW w:w="0" w:type="auto"/>
            <w:vAlign w:val="center"/>
          </w:tcPr>
          <w:p w:rsidR="00024C0A" w:rsidRDefault="00694C0F">
            <w:pPr>
              <w:pStyle w:val="TableBodyText"/>
            </w:pPr>
            <w:r>
              <w:t>B5 (ISO) Extra 201 x 276 mm</w:t>
            </w:r>
          </w:p>
        </w:tc>
      </w:tr>
      <w:tr w:rsidR="00024C0A" w:rsidTr="00024C0A">
        <w:tc>
          <w:tcPr>
            <w:tcW w:w="0" w:type="auto"/>
            <w:vAlign w:val="center"/>
          </w:tcPr>
          <w:p w:rsidR="00024C0A" w:rsidRDefault="00694C0F">
            <w:pPr>
              <w:pStyle w:val="TableBodyText"/>
            </w:pPr>
            <w:r>
              <w:t>66</w:t>
            </w:r>
          </w:p>
        </w:tc>
        <w:tc>
          <w:tcPr>
            <w:tcW w:w="0" w:type="auto"/>
            <w:vAlign w:val="center"/>
          </w:tcPr>
          <w:p w:rsidR="00024C0A" w:rsidRDefault="00694C0F">
            <w:pPr>
              <w:pStyle w:val="TableBodyText"/>
            </w:pPr>
            <w:r>
              <w:t>A2 420 x 594 mm</w:t>
            </w:r>
          </w:p>
        </w:tc>
      </w:tr>
      <w:tr w:rsidR="00024C0A" w:rsidTr="00024C0A">
        <w:tc>
          <w:tcPr>
            <w:tcW w:w="0" w:type="auto"/>
            <w:vAlign w:val="center"/>
          </w:tcPr>
          <w:p w:rsidR="00024C0A" w:rsidRDefault="00694C0F">
            <w:pPr>
              <w:pStyle w:val="TableBodyText"/>
            </w:pPr>
            <w:r>
              <w:t>67</w:t>
            </w:r>
          </w:p>
        </w:tc>
        <w:tc>
          <w:tcPr>
            <w:tcW w:w="0" w:type="auto"/>
            <w:vAlign w:val="center"/>
          </w:tcPr>
          <w:p w:rsidR="00024C0A" w:rsidRDefault="00694C0F">
            <w:pPr>
              <w:pStyle w:val="TableBodyText"/>
            </w:pPr>
            <w:r>
              <w:t>A3 Transverse 297 x 420 mm</w:t>
            </w:r>
          </w:p>
        </w:tc>
      </w:tr>
      <w:tr w:rsidR="00024C0A" w:rsidTr="00024C0A">
        <w:tc>
          <w:tcPr>
            <w:tcW w:w="0" w:type="auto"/>
            <w:vAlign w:val="center"/>
          </w:tcPr>
          <w:p w:rsidR="00024C0A" w:rsidRDefault="00694C0F">
            <w:pPr>
              <w:pStyle w:val="TableBodyText"/>
            </w:pPr>
            <w:r>
              <w:t>68</w:t>
            </w:r>
          </w:p>
        </w:tc>
        <w:tc>
          <w:tcPr>
            <w:tcW w:w="0" w:type="auto"/>
            <w:vAlign w:val="center"/>
          </w:tcPr>
          <w:p w:rsidR="00024C0A" w:rsidRDefault="00694C0F">
            <w:pPr>
              <w:pStyle w:val="TableBodyText"/>
            </w:pPr>
            <w:r>
              <w:t xml:space="preserve">A3 Extra Transverse 322 x 445 mm </w:t>
            </w:r>
          </w:p>
        </w:tc>
      </w:tr>
      <w:tr w:rsidR="00024C0A" w:rsidTr="00024C0A">
        <w:tc>
          <w:tcPr>
            <w:tcW w:w="0" w:type="auto"/>
            <w:vAlign w:val="center"/>
          </w:tcPr>
          <w:p w:rsidR="00024C0A" w:rsidRDefault="00694C0F">
            <w:pPr>
              <w:pStyle w:val="TableBodyText"/>
            </w:pPr>
            <w:r>
              <w:t>69</w:t>
            </w:r>
          </w:p>
        </w:tc>
        <w:tc>
          <w:tcPr>
            <w:tcW w:w="0" w:type="auto"/>
            <w:vAlign w:val="center"/>
          </w:tcPr>
          <w:p w:rsidR="00024C0A" w:rsidRDefault="00694C0F">
            <w:pPr>
              <w:pStyle w:val="TableBodyText"/>
            </w:pPr>
            <w:r>
              <w:t xml:space="preserve">Japanese Double Postcard 200 x </w:t>
            </w:r>
            <w:r>
              <w:t>148 mm</w:t>
            </w:r>
          </w:p>
        </w:tc>
      </w:tr>
      <w:tr w:rsidR="00024C0A" w:rsidTr="00024C0A">
        <w:tc>
          <w:tcPr>
            <w:tcW w:w="0" w:type="auto"/>
            <w:vAlign w:val="center"/>
          </w:tcPr>
          <w:p w:rsidR="00024C0A" w:rsidRDefault="00694C0F">
            <w:pPr>
              <w:pStyle w:val="TableBodyText"/>
            </w:pPr>
            <w:r>
              <w:t>70</w:t>
            </w:r>
          </w:p>
        </w:tc>
        <w:tc>
          <w:tcPr>
            <w:tcW w:w="0" w:type="auto"/>
            <w:vAlign w:val="center"/>
          </w:tcPr>
          <w:p w:rsidR="00024C0A" w:rsidRDefault="00694C0F">
            <w:pPr>
              <w:pStyle w:val="TableBodyText"/>
            </w:pPr>
            <w:r>
              <w:t>A6 105 x 148 mm</w:t>
            </w:r>
          </w:p>
        </w:tc>
      </w:tr>
      <w:tr w:rsidR="00024C0A" w:rsidTr="00024C0A">
        <w:tc>
          <w:tcPr>
            <w:tcW w:w="0" w:type="auto"/>
            <w:vAlign w:val="center"/>
          </w:tcPr>
          <w:p w:rsidR="00024C0A" w:rsidRDefault="00694C0F">
            <w:pPr>
              <w:pStyle w:val="TableBodyText"/>
            </w:pPr>
            <w:r>
              <w:t>71</w:t>
            </w:r>
          </w:p>
        </w:tc>
        <w:tc>
          <w:tcPr>
            <w:tcW w:w="0" w:type="auto"/>
            <w:vAlign w:val="center"/>
          </w:tcPr>
          <w:p w:rsidR="00024C0A" w:rsidRDefault="00694C0F">
            <w:pPr>
              <w:pStyle w:val="TableBodyText"/>
            </w:pPr>
            <w:r>
              <w:t>Japanese Envelope Kaku #2</w:t>
            </w:r>
          </w:p>
        </w:tc>
      </w:tr>
      <w:tr w:rsidR="00024C0A" w:rsidTr="00024C0A">
        <w:tc>
          <w:tcPr>
            <w:tcW w:w="0" w:type="auto"/>
            <w:vAlign w:val="center"/>
          </w:tcPr>
          <w:p w:rsidR="00024C0A" w:rsidRDefault="00694C0F">
            <w:pPr>
              <w:pStyle w:val="TableBodyText"/>
            </w:pPr>
            <w:r>
              <w:t xml:space="preserve">72 </w:t>
            </w:r>
          </w:p>
        </w:tc>
        <w:tc>
          <w:tcPr>
            <w:tcW w:w="0" w:type="auto"/>
            <w:vAlign w:val="center"/>
          </w:tcPr>
          <w:p w:rsidR="00024C0A" w:rsidRDefault="00694C0F">
            <w:pPr>
              <w:pStyle w:val="TableBodyText"/>
            </w:pPr>
            <w:r>
              <w:t>Japanese Envelope Kaku #3</w:t>
            </w:r>
          </w:p>
        </w:tc>
      </w:tr>
      <w:tr w:rsidR="00024C0A" w:rsidTr="00024C0A">
        <w:tc>
          <w:tcPr>
            <w:tcW w:w="0" w:type="auto"/>
            <w:vAlign w:val="center"/>
          </w:tcPr>
          <w:p w:rsidR="00024C0A" w:rsidRDefault="00694C0F">
            <w:pPr>
              <w:pStyle w:val="TableBodyText"/>
            </w:pPr>
            <w:r>
              <w:t>73</w:t>
            </w:r>
          </w:p>
        </w:tc>
        <w:tc>
          <w:tcPr>
            <w:tcW w:w="0" w:type="auto"/>
            <w:vAlign w:val="center"/>
          </w:tcPr>
          <w:p w:rsidR="00024C0A" w:rsidRDefault="00694C0F">
            <w:pPr>
              <w:pStyle w:val="TableBodyText"/>
            </w:pPr>
            <w:r>
              <w:t>Japanese Envelope Chou #3</w:t>
            </w:r>
          </w:p>
        </w:tc>
      </w:tr>
      <w:tr w:rsidR="00024C0A" w:rsidTr="00024C0A">
        <w:tc>
          <w:tcPr>
            <w:tcW w:w="0" w:type="auto"/>
            <w:vAlign w:val="center"/>
          </w:tcPr>
          <w:p w:rsidR="00024C0A" w:rsidRDefault="00694C0F">
            <w:pPr>
              <w:pStyle w:val="TableBodyText"/>
            </w:pPr>
            <w:r>
              <w:t>74</w:t>
            </w:r>
          </w:p>
        </w:tc>
        <w:tc>
          <w:tcPr>
            <w:tcW w:w="0" w:type="auto"/>
            <w:vAlign w:val="center"/>
          </w:tcPr>
          <w:p w:rsidR="00024C0A" w:rsidRDefault="00694C0F">
            <w:pPr>
              <w:pStyle w:val="TableBodyText"/>
            </w:pPr>
            <w:r>
              <w:t>Japanese Envelope Chou #4</w:t>
            </w:r>
          </w:p>
        </w:tc>
      </w:tr>
      <w:tr w:rsidR="00024C0A" w:rsidTr="00024C0A">
        <w:tc>
          <w:tcPr>
            <w:tcW w:w="0" w:type="auto"/>
            <w:vAlign w:val="center"/>
          </w:tcPr>
          <w:p w:rsidR="00024C0A" w:rsidRDefault="00694C0F">
            <w:pPr>
              <w:pStyle w:val="TableBodyText"/>
            </w:pPr>
            <w:r>
              <w:t>75</w:t>
            </w:r>
          </w:p>
        </w:tc>
        <w:tc>
          <w:tcPr>
            <w:tcW w:w="0" w:type="auto"/>
            <w:vAlign w:val="center"/>
          </w:tcPr>
          <w:p w:rsidR="00024C0A" w:rsidRDefault="00694C0F">
            <w:pPr>
              <w:pStyle w:val="TableBodyText"/>
            </w:pPr>
            <w:r>
              <w:t>Letter Rotated 11 x 8 1/2 11 in</w:t>
            </w:r>
          </w:p>
        </w:tc>
      </w:tr>
      <w:tr w:rsidR="00024C0A" w:rsidTr="00024C0A">
        <w:tc>
          <w:tcPr>
            <w:tcW w:w="0" w:type="auto"/>
            <w:vAlign w:val="center"/>
          </w:tcPr>
          <w:p w:rsidR="00024C0A" w:rsidRDefault="00694C0F">
            <w:pPr>
              <w:pStyle w:val="TableBodyText"/>
            </w:pPr>
            <w:r>
              <w:t>76</w:t>
            </w:r>
          </w:p>
        </w:tc>
        <w:tc>
          <w:tcPr>
            <w:tcW w:w="0" w:type="auto"/>
            <w:vAlign w:val="center"/>
          </w:tcPr>
          <w:p w:rsidR="00024C0A" w:rsidRDefault="00694C0F">
            <w:pPr>
              <w:pStyle w:val="TableBodyText"/>
            </w:pPr>
            <w:r>
              <w:t>A3 Rotated 420 x 297 mm</w:t>
            </w:r>
          </w:p>
        </w:tc>
      </w:tr>
      <w:tr w:rsidR="00024C0A" w:rsidTr="00024C0A">
        <w:tc>
          <w:tcPr>
            <w:tcW w:w="0" w:type="auto"/>
            <w:vAlign w:val="center"/>
          </w:tcPr>
          <w:p w:rsidR="00024C0A" w:rsidRDefault="00694C0F">
            <w:pPr>
              <w:pStyle w:val="TableBodyText"/>
            </w:pPr>
            <w:r>
              <w:t>77</w:t>
            </w:r>
          </w:p>
        </w:tc>
        <w:tc>
          <w:tcPr>
            <w:tcW w:w="0" w:type="auto"/>
            <w:vAlign w:val="center"/>
          </w:tcPr>
          <w:p w:rsidR="00024C0A" w:rsidRDefault="00694C0F">
            <w:pPr>
              <w:pStyle w:val="TableBodyText"/>
            </w:pPr>
            <w:r>
              <w:t>A4 Rotated 297 x 210 mm</w:t>
            </w:r>
          </w:p>
        </w:tc>
      </w:tr>
      <w:tr w:rsidR="00024C0A" w:rsidTr="00024C0A">
        <w:tc>
          <w:tcPr>
            <w:tcW w:w="0" w:type="auto"/>
            <w:vAlign w:val="center"/>
          </w:tcPr>
          <w:p w:rsidR="00024C0A" w:rsidRDefault="00694C0F">
            <w:pPr>
              <w:pStyle w:val="TableBodyText"/>
            </w:pPr>
            <w:r>
              <w:t>78</w:t>
            </w:r>
          </w:p>
        </w:tc>
        <w:tc>
          <w:tcPr>
            <w:tcW w:w="0" w:type="auto"/>
            <w:vAlign w:val="center"/>
          </w:tcPr>
          <w:p w:rsidR="00024C0A" w:rsidRDefault="00694C0F">
            <w:pPr>
              <w:pStyle w:val="TableBodyText"/>
            </w:pPr>
            <w:r>
              <w:t xml:space="preserve">A5 Rotated </w:t>
            </w:r>
            <w:r>
              <w:t>210 x 148 mm</w:t>
            </w:r>
          </w:p>
        </w:tc>
      </w:tr>
      <w:tr w:rsidR="00024C0A" w:rsidTr="00024C0A">
        <w:tc>
          <w:tcPr>
            <w:tcW w:w="0" w:type="auto"/>
            <w:vAlign w:val="center"/>
          </w:tcPr>
          <w:p w:rsidR="00024C0A" w:rsidRDefault="00694C0F">
            <w:pPr>
              <w:pStyle w:val="TableBodyText"/>
            </w:pPr>
            <w:r>
              <w:t>79</w:t>
            </w:r>
          </w:p>
        </w:tc>
        <w:tc>
          <w:tcPr>
            <w:tcW w:w="0" w:type="auto"/>
            <w:vAlign w:val="center"/>
          </w:tcPr>
          <w:p w:rsidR="00024C0A" w:rsidRDefault="00694C0F">
            <w:pPr>
              <w:pStyle w:val="TableBodyText"/>
            </w:pPr>
            <w:r>
              <w:t>B4 (JIS) Rotated 364 x 257 mm</w:t>
            </w:r>
          </w:p>
        </w:tc>
      </w:tr>
      <w:tr w:rsidR="00024C0A" w:rsidTr="00024C0A">
        <w:tc>
          <w:tcPr>
            <w:tcW w:w="0" w:type="auto"/>
            <w:vAlign w:val="center"/>
          </w:tcPr>
          <w:p w:rsidR="00024C0A" w:rsidRDefault="00694C0F">
            <w:pPr>
              <w:pStyle w:val="TableBodyText"/>
            </w:pPr>
            <w:r>
              <w:t>80</w:t>
            </w:r>
          </w:p>
        </w:tc>
        <w:tc>
          <w:tcPr>
            <w:tcW w:w="0" w:type="auto"/>
            <w:vAlign w:val="center"/>
          </w:tcPr>
          <w:p w:rsidR="00024C0A" w:rsidRDefault="00694C0F">
            <w:pPr>
              <w:pStyle w:val="TableBodyText"/>
            </w:pPr>
            <w:r>
              <w:t>B5 (JIS) Rotated 257 x 182 mm</w:t>
            </w:r>
          </w:p>
        </w:tc>
      </w:tr>
      <w:tr w:rsidR="00024C0A" w:rsidTr="00024C0A">
        <w:tc>
          <w:tcPr>
            <w:tcW w:w="0" w:type="auto"/>
            <w:vAlign w:val="center"/>
          </w:tcPr>
          <w:p w:rsidR="00024C0A" w:rsidRDefault="00694C0F">
            <w:pPr>
              <w:pStyle w:val="TableBodyText"/>
            </w:pPr>
            <w:r>
              <w:t>81</w:t>
            </w:r>
          </w:p>
        </w:tc>
        <w:tc>
          <w:tcPr>
            <w:tcW w:w="0" w:type="auto"/>
            <w:vAlign w:val="center"/>
          </w:tcPr>
          <w:p w:rsidR="00024C0A" w:rsidRDefault="00694C0F">
            <w:pPr>
              <w:pStyle w:val="TableBodyText"/>
            </w:pPr>
            <w:r>
              <w:t>Japanese Postcard Rotated 148 x 100 mm</w:t>
            </w:r>
          </w:p>
        </w:tc>
      </w:tr>
      <w:tr w:rsidR="00024C0A" w:rsidTr="00024C0A">
        <w:tc>
          <w:tcPr>
            <w:tcW w:w="0" w:type="auto"/>
            <w:vAlign w:val="center"/>
          </w:tcPr>
          <w:p w:rsidR="00024C0A" w:rsidRDefault="00694C0F">
            <w:pPr>
              <w:pStyle w:val="TableBodyText"/>
            </w:pPr>
            <w:r>
              <w:t>82</w:t>
            </w:r>
          </w:p>
        </w:tc>
        <w:tc>
          <w:tcPr>
            <w:tcW w:w="0" w:type="auto"/>
            <w:vAlign w:val="center"/>
          </w:tcPr>
          <w:p w:rsidR="00024C0A" w:rsidRDefault="00694C0F">
            <w:pPr>
              <w:pStyle w:val="TableBodyText"/>
            </w:pPr>
            <w:r>
              <w:t>Double Japanese Postcard Rotated 148 x 200 mm</w:t>
            </w:r>
          </w:p>
        </w:tc>
      </w:tr>
      <w:tr w:rsidR="00024C0A" w:rsidTr="00024C0A">
        <w:tc>
          <w:tcPr>
            <w:tcW w:w="0" w:type="auto"/>
            <w:vAlign w:val="center"/>
          </w:tcPr>
          <w:p w:rsidR="00024C0A" w:rsidRDefault="00694C0F">
            <w:pPr>
              <w:pStyle w:val="TableBodyText"/>
            </w:pPr>
            <w:r>
              <w:t>83</w:t>
            </w:r>
          </w:p>
        </w:tc>
        <w:tc>
          <w:tcPr>
            <w:tcW w:w="0" w:type="auto"/>
            <w:vAlign w:val="center"/>
          </w:tcPr>
          <w:p w:rsidR="00024C0A" w:rsidRDefault="00694C0F">
            <w:pPr>
              <w:pStyle w:val="TableBodyText"/>
            </w:pPr>
            <w:r>
              <w:t>A6 Rotated 148 x 105 mm</w:t>
            </w:r>
          </w:p>
        </w:tc>
      </w:tr>
      <w:tr w:rsidR="00024C0A" w:rsidTr="00024C0A">
        <w:tc>
          <w:tcPr>
            <w:tcW w:w="0" w:type="auto"/>
            <w:vAlign w:val="center"/>
          </w:tcPr>
          <w:p w:rsidR="00024C0A" w:rsidRDefault="00694C0F">
            <w:pPr>
              <w:pStyle w:val="TableBodyText"/>
            </w:pPr>
            <w:r>
              <w:t>84</w:t>
            </w:r>
          </w:p>
        </w:tc>
        <w:tc>
          <w:tcPr>
            <w:tcW w:w="0" w:type="auto"/>
            <w:vAlign w:val="center"/>
          </w:tcPr>
          <w:p w:rsidR="00024C0A" w:rsidRDefault="00694C0F">
            <w:pPr>
              <w:pStyle w:val="TableBodyText"/>
            </w:pPr>
            <w:r>
              <w:t>Japanese Envelope Kaku #2 Rotated</w:t>
            </w:r>
          </w:p>
        </w:tc>
      </w:tr>
      <w:tr w:rsidR="00024C0A" w:rsidTr="00024C0A">
        <w:tc>
          <w:tcPr>
            <w:tcW w:w="0" w:type="auto"/>
            <w:vAlign w:val="center"/>
          </w:tcPr>
          <w:p w:rsidR="00024C0A" w:rsidRDefault="00694C0F">
            <w:pPr>
              <w:pStyle w:val="TableBodyText"/>
            </w:pPr>
            <w:r>
              <w:t>85</w:t>
            </w:r>
          </w:p>
        </w:tc>
        <w:tc>
          <w:tcPr>
            <w:tcW w:w="0" w:type="auto"/>
            <w:vAlign w:val="center"/>
          </w:tcPr>
          <w:p w:rsidR="00024C0A" w:rsidRDefault="00694C0F">
            <w:pPr>
              <w:pStyle w:val="TableBodyText"/>
            </w:pPr>
            <w:r>
              <w:t xml:space="preserve">Japanese </w:t>
            </w:r>
            <w:r>
              <w:t>Envelope Kaku #3 Rotated</w:t>
            </w:r>
          </w:p>
        </w:tc>
      </w:tr>
      <w:tr w:rsidR="00024C0A" w:rsidTr="00024C0A">
        <w:tc>
          <w:tcPr>
            <w:tcW w:w="0" w:type="auto"/>
            <w:vAlign w:val="center"/>
          </w:tcPr>
          <w:p w:rsidR="00024C0A" w:rsidRDefault="00694C0F">
            <w:pPr>
              <w:pStyle w:val="TableBodyText"/>
            </w:pPr>
            <w:r>
              <w:t>86</w:t>
            </w:r>
          </w:p>
        </w:tc>
        <w:tc>
          <w:tcPr>
            <w:tcW w:w="0" w:type="auto"/>
            <w:vAlign w:val="center"/>
          </w:tcPr>
          <w:p w:rsidR="00024C0A" w:rsidRDefault="00694C0F">
            <w:pPr>
              <w:pStyle w:val="TableBodyText"/>
            </w:pPr>
            <w:r>
              <w:t>Japanese Envelope Chou #3 Rotated</w:t>
            </w:r>
          </w:p>
        </w:tc>
      </w:tr>
      <w:tr w:rsidR="00024C0A" w:rsidTr="00024C0A">
        <w:tc>
          <w:tcPr>
            <w:tcW w:w="0" w:type="auto"/>
            <w:vAlign w:val="center"/>
          </w:tcPr>
          <w:p w:rsidR="00024C0A" w:rsidRDefault="00694C0F">
            <w:pPr>
              <w:pStyle w:val="TableBodyText"/>
            </w:pPr>
            <w:r>
              <w:t>87</w:t>
            </w:r>
          </w:p>
        </w:tc>
        <w:tc>
          <w:tcPr>
            <w:tcW w:w="0" w:type="auto"/>
            <w:vAlign w:val="center"/>
          </w:tcPr>
          <w:p w:rsidR="00024C0A" w:rsidRDefault="00694C0F">
            <w:pPr>
              <w:pStyle w:val="TableBodyText"/>
            </w:pPr>
            <w:r>
              <w:t>Japanese Envelope Chou #4 Rotated</w:t>
            </w:r>
          </w:p>
        </w:tc>
      </w:tr>
      <w:tr w:rsidR="00024C0A" w:rsidTr="00024C0A">
        <w:tc>
          <w:tcPr>
            <w:tcW w:w="0" w:type="auto"/>
            <w:vAlign w:val="center"/>
          </w:tcPr>
          <w:p w:rsidR="00024C0A" w:rsidRDefault="00694C0F">
            <w:pPr>
              <w:pStyle w:val="TableBodyText"/>
            </w:pPr>
            <w:r>
              <w:t>88</w:t>
            </w:r>
          </w:p>
        </w:tc>
        <w:tc>
          <w:tcPr>
            <w:tcW w:w="0" w:type="auto"/>
            <w:vAlign w:val="center"/>
          </w:tcPr>
          <w:p w:rsidR="00024C0A" w:rsidRDefault="00694C0F">
            <w:pPr>
              <w:pStyle w:val="TableBodyText"/>
            </w:pPr>
            <w:r>
              <w:t>B6 (JIS) 128 x 182 mm</w:t>
            </w:r>
          </w:p>
        </w:tc>
      </w:tr>
      <w:tr w:rsidR="00024C0A" w:rsidTr="00024C0A">
        <w:tc>
          <w:tcPr>
            <w:tcW w:w="0" w:type="auto"/>
            <w:vAlign w:val="center"/>
          </w:tcPr>
          <w:p w:rsidR="00024C0A" w:rsidRDefault="00694C0F">
            <w:pPr>
              <w:pStyle w:val="TableBodyText"/>
            </w:pPr>
            <w:r>
              <w:t>89</w:t>
            </w:r>
          </w:p>
        </w:tc>
        <w:tc>
          <w:tcPr>
            <w:tcW w:w="0" w:type="auto"/>
            <w:vAlign w:val="center"/>
          </w:tcPr>
          <w:p w:rsidR="00024C0A" w:rsidRDefault="00694C0F">
            <w:pPr>
              <w:pStyle w:val="TableBodyText"/>
            </w:pPr>
            <w:r>
              <w:t>B6 (JIS) Rotated 182 x 128 mm</w:t>
            </w:r>
          </w:p>
        </w:tc>
      </w:tr>
      <w:tr w:rsidR="00024C0A" w:rsidTr="00024C0A">
        <w:tc>
          <w:tcPr>
            <w:tcW w:w="0" w:type="auto"/>
            <w:vAlign w:val="center"/>
          </w:tcPr>
          <w:p w:rsidR="00024C0A" w:rsidRDefault="00694C0F">
            <w:pPr>
              <w:pStyle w:val="TableBodyText"/>
            </w:pPr>
            <w:r>
              <w:t>90</w:t>
            </w:r>
          </w:p>
        </w:tc>
        <w:tc>
          <w:tcPr>
            <w:tcW w:w="0" w:type="auto"/>
            <w:vAlign w:val="center"/>
          </w:tcPr>
          <w:p w:rsidR="00024C0A" w:rsidRDefault="00694C0F">
            <w:pPr>
              <w:pStyle w:val="TableBodyText"/>
            </w:pPr>
            <w:r>
              <w:t>12 x 11 in</w:t>
            </w:r>
          </w:p>
        </w:tc>
      </w:tr>
      <w:tr w:rsidR="00024C0A" w:rsidTr="00024C0A">
        <w:tc>
          <w:tcPr>
            <w:tcW w:w="0" w:type="auto"/>
            <w:vAlign w:val="center"/>
          </w:tcPr>
          <w:p w:rsidR="00024C0A" w:rsidRDefault="00694C0F">
            <w:pPr>
              <w:pStyle w:val="TableBodyText"/>
            </w:pPr>
            <w:r>
              <w:t>91</w:t>
            </w:r>
          </w:p>
        </w:tc>
        <w:tc>
          <w:tcPr>
            <w:tcW w:w="0" w:type="auto"/>
            <w:vAlign w:val="center"/>
          </w:tcPr>
          <w:p w:rsidR="00024C0A" w:rsidRDefault="00694C0F">
            <w:pPr>
              <w:pStyle w:val="TableBodyText"/>
            </w:pPr>
            <w:r>
              <w:t>Japanese Envelope You #4</w:t>
            </w:r>
          </w:p>
        </w:tc>
      </w:tr>
      <w:tr w:rsidR="00024C0A" w:rsidTr="00024C0A">
        <w:tc>
          <w:tcPr>
            <w:tcW w:w="0" w:type="auto"/>
            <w:vAlign w:val="center"/>
          </w:tcPr>
          <w:p w:rsidR="00024C0A" w:rsidRDefault="00694C0F">
            <w:pPr>
              <w:pStyle w:val="TableBodyText"/>
            </w:pPr>
            <w:r>
              <w:t>92</w:t>
            </w:r>
          </w:p>
        </w:tc>
        <w:tc>
          <w:tcPr>
            <w:tcW w:w="0" w:type="auto"/>
            <w:vAlign w:val="center"/>
          </w:tcPr>
          <w:p w:rsidR="00024C0A" w:rsidRDefault="00694C0F">
            <w:pPr>
              <w:pStyle w:val="TableBodyText"/>
            </w:pPr>
            <w:r>
              <w:t>Japanese Envelope You #4 Rotated</w:t>
            </w:r>
          </w:p>
        </w:tc>
      </w:tr>
      <w:tr w:rsidR="00024C0A" w:rsidTr="00024C0A">
        <w:tc>
          <w:tcPr>
            <w:tcW w:w="0" w:type="auto"/>
            <w:vAlign w:val="center"/>
          </w:tcPr>
          <w:p w:rsidR="00024C0A" w:rsidRDefault="00694C0F">
            <w:pPr>
              <w:pStyle w:val="TableBodyText"/>
            </w:pPr>
            <w:r>
              <w:lastRenderedPageBreak/>
              <w:t>93</w:t>
            </w:r>
          </w:p>
        </w:tc>
        <w:tc>
          <w:tcPr>
            <w:tcW w:w="0" w:type="auto"/>
            <w:vAlign w:val="center"/>
          </w:tcPr>
          <w:p w:rsidR="00024C0A" w:rsidRDefault="00694C0F">
            <w:pPr>
              <w:pStyle w:val="TableBodyText"/>
            </w:pPr>
            <w:r>
              <w:t xml:space="preserve">PRC 16K </w:t>
            </w:r>
            <w:r>
              <w:t>146 x 215 mm</w:t>
            </w:r>
          </w:p>
        </w:tc>
      </w:tr>
      <w:tr w:rsidR="00024C0A" w:rsidTr="00024C0A">
        <w:tc>
          <w:tcPr>
            <w:tcW w:w="0" w:type="auto"/>
            <w:vAlign w:val="center"/>
          </w:tcPr>
          <w:p w:rsidR="00024C0A" w:rsidRDefault="00694C0F">
            <w:pPr>
              <w:pStyle w:val="TableBodyText"/>
            </w:pPr>
            <w:r>
              <w:t>94</w:t>
            </w:r>
          </w:p>
        </w:tc>
        <w:tc>
          <w:tcPr>
            <w:tcW w:w="0" w:type="auto"/>
            <w:vAlign w:val="center"/>
          </w:tcPr>
          <w:p w:rsidR="00024C0A" w:rsidRDefault="00694C0F">
            <w:pPr>
              <w:pStyle w:val="TableBodyText"/>
            </w:pPr>
            <w:r>
              <w:t>PRC 32K 97 x 151 mm</w:t>
            </w:r>
          </w:p>
        </w:tc>
      </w:tr>
      <w:tr w:rsidR="00024C0A" w:rsidTr="00024C0A">
        <w:tc>
          <w:tcPr>
            <w:tcW w:w="0" w:type="auto"/>
            <w:vAlign w:val="center"/>
          </w:tcPr>
          <w:p w:rsidR="00024C0A" w:rsidRDefault="00694C0F">
            <w:pPr>
              <w:pStyle w:val="TableBodyText"/>
            </w:pPr>
            <w:r>
              <w:t>95</w:t>
            </w:r>
          </w:p>
        </w:tc>
        <w:tc>
          <w:tcPr>
            <w:tcW w:w="0" w:type="auto"/>
            <w:vAlign w:val="center"/>
          </w:tcPr>
          <w:p w:rsidR="00024C0A" w:rsidRDefault="00694C0F">
            <w:pPr>
              <w:pStyle w:val="TableBodyText"/>
            </w:pPr>
            <w:r>
              <w:t>PRC 32K(Big) 97 x 151 mm</w:t>
            </w:r>
          </w:p>
        </w:tc>
      </w:tr>
      <w:tr w:rsidR="00024C0A" w:rsidTr="00024C0A">
        <w:tc>
          <w:tcPr>
            <w:tcW w:w="0" w:type="auto"/>
            <w:vAlign w:val="center"/>
          </w:tcPr>
          <w:p w:rsidR="00024C0A" w:rsidRDefault="00694C0F">
            <w:pPr>
              <w:pStyle w:val="TableBodyText"/>
            </w:pPr>
            <w:r>
              <w:t>96</w:t>
            </w:r>
          </w:p>
        </w:tc>
        <w:tc>
          <w:tcPr>
            <w:tcW w:w="0" w:type="auto"/>
            <w:vAlign w:val="center"/>
          </w:tcPr>
          <w:p w:rsidR="00024C0A" w:rsidRDefault="00694C0F">
            <w:pPr>
              <w:pStyle w:val="TableBodyText"/>
            </w:pPr>
            <w:r>
              <w:t>PRC Envelope #1 102 x 165 mm</w:t>
            </w:r>
          </w:p>
        </w:tc>
      </w:tr>
      <w:tr w:rsidR="00024C0A" w:rsidTr="00024C0A">
        <w:tc>
          <w:tcPr>
            <w:tcW w:w="0" w:type="auto"/>
            <w:vAlign w:val="center"/>
          </w:tcPr>
          <w:p w:rsidR="00024C0A" w:rsidRDefault="00694C0F">
            <w:pPr>
              <w:pStyle w:val="TableBodyText"/>
            </w:pPr>
            <w:r>
              <w:t>97</w:t>
            </w:r>
          </w:p>
        </w:tc>
        <w:tc>
          <w:tcPr>
            <w:tcW w:w="0" w:type="auto"/>
            <w:vAlign w:val="center"/>
          </w:tcPr>
          <w:p w:rsidR="00024C0A" w:rsidRDefault="00694C0F">
            <w:pPr>
              <w:pStyle w:val="TableBodyText"/>
            </w:pPr>
            <w:r>
              <w:t>PRC Envelope #2 102 x 176 mm</w:t>
            </w:r>
          </w:p>
        </w:tc>
      </w:tr>
      <w:tr w:rsidR="00024C0A" w:rsidTr="00024C0A">
        <w:tc>
          <w:tcPr>
            <w:tcW w:w="0" w:type="auto"/>
            <w:vAlign w:val="center"/>
          </w:tcPr>
          <w:p w:rsidR="00024C0A" w:rsidRDefault="00694C0F">
            <w:pPr>
              <w:pStyle w:val="TableBodyText"/>
            </w:pPr>
            <w:r>
              <w:t>98</w:t>
            </w:r>
          </w:p>
        </w:tc>
        <w:tc>
          <w:tcPr>
            <w:tcW w:w="0" w:type="auto"/>
            <w:vAlign w:val="center"/>
          </w:tcPr>
          <w:p w:rsidR="00024C0A" w:rsidRDefault="00694C0F">
            <w:pPr>
              <w:pStyle w:val="TableBodyText"/>
            </w:pPr>
            <w:r>
              <w:t>PRC Envelope #3 125 x 176 mm</w:t>
            </w:r>
          </w:p>
        </w:tc>
      </w:tr>
      <w:tr w:rsidR="00024C0A" w:rsidTr="00024C0A">
        <w:tc>
          <w:tcPr>
            <w:tcW w:w="0" w:type="auto"/>
            <w:vAlign w:val="center"/>
          </w:tcPr>
          <w:p w:rsidR="00024C0A" w:rsidRDefault="00694C0F">
            <w:pPr>
              <w:pStyle w:val="TableBodyText"/>
            </w:pPr>
            <w:r>
              <w:t>99</w:t>
            </w:r>
          </w:p>
        </w:tc>
        <w:tc>
          <w:tcPr>
            <w:tcW w:w="0" w:type="auto"/>
            <w:vAlign w:val="center"/>
          </w:tcPr>
          <w:p w:rsidR="00024C0A" w:rsidRDefault="00694C0F">
            <w:pPr>
              <w:pStyle w:val="TableBodyText"/>
            </w:pPr>
            <w:r>
              <w:t>PRC Envelope #4 110 x 208 mm</w:t>
            </w:r>
          </w:p>
        </w:tc>
      </w:tr>
      <w:tr w:rsidR="00024C0A" w:rsidTr="00024C0A">
        <w:tc>
          <w:tcPr>
            <w:tcW w:w="0" w:type="auto"/>
            <w:vAlign w:val="center"/>
          </w:tcPr>
          <w:p w:rsidR="00024C0A" w:rsidRDefault="00694C0F">
            <w:pPr>
              <w:pStyle w:val="TableBodyText"/>
            </w:pPr>
            <w:r>
              <w:t>100</w:t>
            </w:r>
          </w:p>
        </w:tc>
        <w:tc>
          <w:tcPr>
            <w:tcW w:w="0" w:type="auto"/>
            <w:vAlign w:val="center"/>
          </w:tcPr>
          <w:p w:rsidR="00024C0A" w:rsidRDefault="00694C0F">
            <w:pPr>
              <w:pStyle w:val="TableBodyText"/>
            </w:pPr>
            <w:r>
              <w:t>PRC Envelope #5 110 x 220 mm</w:t>
            </w:r>
          </w:p>
        </w:tc>
      </w:tr>
      <w:tr w:rsidR="00024C0A" w:rsidTr="00024C0A">
        <w:tc>
          <w:tcPr>
            <w:tcW w:w="0" w:type="auto"/>
            <w:vAlign w:val="center"/>
          </w:tcPr>
          <w:p w:rsidR="00024C0A" w:rsidRDefault="00694C0F">
            <w:pPr>
              <w:pStyle w:val="TableBodyText"/>
            </w:pPr>
            <w:r>
              <w:t>101</w:t>
            </w:r>
          </w:p>
        </w:tc>
        <w:tc>
          <w:tcPr>
            <w:tcW w:w="0" w:type="auto"/>
            <w:vAlign w:val="center"/>
          </w:tcPr>
          <w:p w:rsidR="00024C0A" w:rsidRDefault="00694C0F">
            <w:pPr>
              <w:pStyle w:val="TableBodyText"/>
            </w:pPr>
            <w:r>
              <w:t>PRC Envelope #6 120</w:t>
            </w:r>
            <w:r>
              <w:t xml:space="preserve"> x 230 mm</w:t>
            </w:r>
          </w:p>
        </w:tc>
      </w:tr>
      <w:tr w:rsidR="00024C0A" w:rsidTr="00024C0A">
        <w:tc>
          <w:tcPr>
            <w:tcW w:w="0" w:type="auto"/>
            <w:vAlign w:val="center"/>
          </w:tcPr>
          <w:p w:rsidR="00024C0A" w:rsidRDefault="00694C0F">
            <w:pPr>
              <w:pStyle w:val="TableBodyText"/>
            </w:pPr>
            <w:r>
              <w:t>102</w:t>
            </w:r>
          </w:p>
        </w:tc>
        <w:tc>
          <w:tcPr>
            <w:tcW w:w="0" w:type="auto"/>
            <w:vAlign w:val="center"/>
          </w:tcPr>
          <w:p w:rsidR="00024C0A" w:rsidRDefault="00694C0F">
            <w:pPr>
              <w:pStyle w:val="TableBodyText"/>
            </w:pPr>
            <w:r>
              <w:t>PRC Envelope #7 160 x 230 mm</w:t>
            </w:r>
          </w:p>
        </w:tc>
      </w:tr>
      <w:tr w:rsidR="00024C0A" w:rsidTr="00024C0A">
        <w:tc>
          <w:tcPr>
            <w:tcW w:w="0" w:type="auto"/>
            <w:vAlign w:val="center"/>
          </w:tcPr>
          <w:p w:rsidR="00024C0A" w:rsidRDefault="00694C0F">
            <w:pPr>
              <w:pStyle w:val="TableBodyText"/>
            </w:pPr>
            <w:r>
              <w:t>103</w:t>
            </w:r>
          </w:p>
        </w:tc>
        <w:tc>
          <w:tcPr>
            <w:tcW w:w="0" w:type="auto"/>
            <w:vAlign w:val="center"/>
          </w:tcPr>
          <w:p w:rsidR="00024C0A" w:rsidRDefault="00694C0F">
            <w:pPr>
              <w:pStyle w:val="TableBodyText"/>
            </w:pPr>
            <w:r>
              <w:t>PRC Envelope #8 120 x 309 mm</w:t>
            </w:r>
          </w:p>
        </w:tc>
      </w:tr>
      <w:tr w:rsidR="00024C0A" w:rsidTr="00024C0A">
        <w:tc>
          <w:tcPr>
            <w:tcW w:w="0" w:type="auto"/>
            <w:vAlign w:val="center"/>
          </w:tcPr>
          <w:p w:rsidR="00024C0A" w:rsidRDefault="00694C0F">
            <w:pPr>
              <w:pStyle w:val="TableBodyText"/>
            </w:pPr>
            <w:r>
              <w:t>104</w:t>
            </w:r>
          </w:p>
        </w:tc>
        <w:tc>
          <w:tcPr>
            <w:tcW w:w="0" w:type="auto"/>
            <w:vAlign w:val="center"/>
          </w:tcPr>
          <w:p w:rsidR="00024C0A" w:rsidRDefault="00694C0F">
            <w:pPr>
              <w:pStyle w:val="TableBodyText"/>
            </w:pPr>
            <w:r>
              <w:t>PRC Envelope #9 229 x 324 mm</w:t>
            </w:r>
          </w:p>
        </w:tc>
      </w:tr>
      <w:tr w:rsidR="00024C0A" w:rsidTr="00024C0A">
        <w:tc>
          <w:tcPr>
            <w:tcW w:w="0" w:type="auto"/>
            <w:vAlign w:val="center"/>
          </w:tcPr>
          <w:p w:rsidR="00024C0A" w:rsidRDefault="00694C0F">
            <w:pPr>
              <w:pStyle w:val="TableBodyText"/>
            </w:pPr>
            <w:r>
              <w:t>105</w:t>
            </w:r>
          </w:p>
        </w:tc>
        <w:tc>
          <w:tcPr>
            <w:tcW w:w="0" w:type="auto"/>
            <w:vAlign w:val="center"/>
          </w:tcPr>
          <w:p w:rsidR="00024C0A" w:rsidRDefault="00694C0F">
            <w:pPr>
              <w:pStyle w:val="TableBodyText"/>
            </w:pPr>
            <w:r>
              <w:t>PRC Envelope #10 324 x 458 mm</w:t>
            </w:r>
          </w:p>
        </w:tc>
      </w:tr>
      <w:tr w:rsidR="00024C0A" w:rsidTr="00024C0A">
        <w:tc>
          <w:tcPr>
            <w:tcW w:w="0" w:type="auto"/>
            <w:vAlign w:val="center"/>
          </w:tcPr>
          <w:p w:rsidR="00024C0A" w:rsidRDefault="00694C0F">
            <w:pPr>
              <w:pStyle w:val="TableBodyText"/>
            </w:pPr>
            <w:r>
              <w:t>106</w:t>
            </w:r>
          </w:p>
        </w:tc>
        <w:tc>
          <w:tcPr>
            <w:tcW w:w="0" w:type="auto"/>
            <w:vAlign w:val="center"/>
          </w:tcPr>
          <w:p w:rsidR="00024C0A" w:rsidRDefault="00694C0F">
            <w:pPr>
              <w:pStyle w:val="TableBodyText"/>
            </w:pPr>
            <w:r>
              <w:t>PRC 16K Rotated</w:t>
            </w:r>
          </w:p>
        </w:tc>
      </w:tr>
      <w:tr w:rsidR="00024C0A" w:rsidTr="00024C0A">
        <w:tc>
          <w:tcPr>
            <w:tcW w:w="0" w:type="auto"/>
            <w:vAlign w:val="center"/>
          </w:tcPr>
          <w:p w:rsidR="00024C0A" w:rsidRDefault="00694C0F">
            <w:pPr>
              <w:pStyle w:val="TableBodyText"/>
            </w:pPr>
            <w:r>
              <w:t>107</w:t>
            </w:r>
          </w:p>
        </w:tc>
        <w:tc>
          <w:tcPr>
            <w:tcW w:w="0" w:type="auto"/>
            <w:vAlign w:val="center"/>
          </w:tcPr>
          <w:p w:rsidR="00024C0A" w:rsidRDefault="00694C0F">
            <w:pPr>
              <w:pStyle w:val="TableBodyText"/>
            </w:pPr>
            <w:r>
              <w:t>PRC 32K Rotated</w:t>
            </w:r>
          </w:p>
        </w:tc>
      </w:tr>
      <w:tr w:rsidR="00024C0A" w:rsidTr="00024C0A">
        <w:tc>
          <w:tcPr>
            <w:tcW w:w="0" w:type="auto"/>
            <w:vAlign w:val="center"/>
          </w:tcPr>
          <w:p w:rsidR="00024C0A" w:rsidRDefault="00694C0F">
            <w:pPr>
              <w:pStyle w:val="TableBodyText"/>
            </w:pPr>
            <w:r>
              <w:t>108</w:t>
            </w:r>
          </w:p>
        </w:tc>
        <w:tc>
          <w:tcPr>
            <w:tcW w:w="0" w:type="auto"/>
            <w:vAlign w:val="center"/>
          </w:tcPr>
          <w:p w:rsidR="00024C0A" w:rsidRDefault="00694C0F">
            <w:pPr>
              <w:pStyle w:val="TableBodyText"/>
            </w:pPr>
            <w:r>
              <w:t>PRC 32K(Big) Rotated</w:t>
            </w:r>
          </w:p>
        </w:tc>
      </w:tr>
      <w:tr w:rsidR="00024C0A" w:rsidTr="00024C0A">
        <w:tc>
          <w:tcPr>
            <w:tcW w:w="0" w:type="auto"/>
            <w:vAlign w:val="center"/>
          </w:tcPr>
          <w:p w:rsidR="00024C0A" w:rsidRDefault="00694C0F">
            <w:pPr>
              <w:pStyle w:val="TableBodyText"/>
            </w:pPr>
            <w:r>
              <w:t>109</w:t>
            </w:r>
          </w:p>
        </w:tc>
        <w:tc>
          <w:tcPr>
            <w:tcW w:w="0" w:type="auto"/>
            <w:vAlign w:val="center"/>
          </w:tcPr>
          <w:p w:rsidR="00024C0A" w:rsidRDefault="00694C0F">
            <w:pPr>
              <w:pStyle w:val="TableBodyText"/>
            </w:pPr>
            <w:r>
              <w:t>PRC Envelope #1 Rotated 165 x 102 mm</w:t>
            </w:r>
          </w:p>
        </w:tc>
      </w:tr>
      <w:tr w:rsidR="00024C0A" w:rsidTr="00024C0A">
        <w:tc>
          <w:tcPr>
            <w:tcW w:w="0" w:type="auto"/>
            <w:vAlign w:val="center"/>
          </w:tcPr>
          <w:p w:rsidR="00024C0A" w:rsidRDefault="00694C0F">
            <w:pPr>
              <w:pStyle w:val="TableBodyText"/>
            </w:pPr>
            <w:r>
              <w:t>110</w:t>
            </w:r>
          </w:p>
        </w:tc>
        <w:tc>
          <w:tcPr>
            <w:tcW w:w="0" w:type="auto"/>
            <w:vAlign w:val="center"/>
          </w:tcPr>
          <w:p w:rsidR="00024C0A" w:rsidRDefault="00694C0F">
            <w:pPr>
              <w:pStyle w:val="TableBodyText"/>
            </w:pPr>
            <w:r>
              <w:t>PRC Envelope #2 Rotated 176 x 102 mm</w:t>
            </w:r>
          </w:p>
        </w:tc>
      </w:tr>
      <w:tr w:rsidR="00024C0A" w:rsidTr="00024C0A">
        <w:tc>
          <w:tcPr>
            <w:tcW w:w="0" w:type="auto"/>
            <w:vAlign w:val="center"/>
          </w:tcPr>
          <w:p w:rsidR="00024C0A" w:rsidRDefault="00694C0F">
            <w:pPr>
              <w:pStyle w:val="TableBodyText"/>
            </w:pPr>
            <w:r>
              <w:t>111</w:t>
            </w:r>
          </w:p>
        </w:tc>
        <w:tc>
          <w:tcPr>
            <w:tcW w:w="0" w:type="auto"/>
            <w:vAlign w:val="center"/>
          </w:tcPr>
          <w:p w:rsidR="00024C0A" w:rsidRDefault="00694C0F">
            <w:pPr>
              <w:pStyle w:val="TableBodyText"/>
            </w:pPr>
            <w:r>
              <w:t>PRC Envelope #3 Rotated 176 x 125 mm</w:t>
            </w:r>
          </w:p>
        </w:tc>
      </w:tr>
      <w:tr w:rsidR="00024C0A" w:rsidTr="00024C0A">
        <w:tc>
          <w:tcPr>
            <w:tcW w:w="0" w:type="auto"/>
            <w:vAlign w:val="center"/>
          </w:tcPr>
          <w:p w:rsidR="00024C0A" w:rsidRDefault="00694C0F">
            <w:pPr>
              <w:pStyle w:val="TableBodyText"/>
            </w:pPr>
            <w:r>
              <w:t>112</w:t>
            </w:r>
          </w:p>
        </w:tc>
        <w:tc>
          <w:tcPr>
            <w:tcW w:w="0" w:type="auto"/>
            <w:vAlign w:val="center"/>
          </w:tcPr>
          <w:p w:rsidR="00024C0A" w:rsidRDefault="00694C0F">
            <w:pPr>
              <w:pStyle w:val="TableBodyText"/>
            </w:pPr>
            <w:r>
              <w:t>PRC Envelope #4 Rotated 208 x 110 mm</w:t>
            </w:r>
          </w:p>
        </w:tc>
      </w:tr>
      <w:tr w:rsidR="00024C0A" w:rsidTr="00024C0A">
        <w:tc>
          <w:tcPr>
            <w:tcW w:w="0" w:type="auto"/>
            <w:vAlign w:val="center"/>
          </w:tcPr>
          <w:p w:rsidR="00024C0A" w:rsidRDefault="00694C0F">
            <w:pPr>
              <w:pStyle w:val="TableBodyText"/>
            </w:pPr>
            <w:r>
              <w:t>113</w:t>
            </w:r>
          </w:p>
        </w:tc>
        <w:tc>
          <w:tcPr>
            <w:tcW w:w="0" w:type="auto"/>
            <w:vAlign w:val="center"/>
          </w:tcPr>
          <w:p w:rsidR="00024C0A" w:rsidRDefault="00694C0F">
            <w:pPr>
              <w:pStyle w:val="TableBodyText"/>
            </w:pPr>
            <w:r>
              <w:t>PRC Envelope #5 Rotated 220 x 110 mm</w:t>
            </w:r>
          </w:p>
        </w:tc>
      </w:tr>
      <w:tr w:rsidR="00024C0A" w:rsidTr="00024C0A">
        <w:tc>
          <w:tcPr>
            <w:tcW w:w="0" w:type="auto"/>
            <w:vAlign w:val="center"/>
          </w:tcPr>
          <w:p w:rsidR="00024C0A" w:rsidRDefault="00694C0F">
            <w:pPr>
              <w:pStyle w:val="TableBodyText"/>
            </w:pPr>
            <w:r>
              <w:t>114</w:t>
            </w:r>
          </w:p>
        </w:tc>
        <w:tc>
          <w:tcPr>
            <w:tcW w:w="0" w:type="auto"/>
            <w:vAlign w:val="center"/>
          </w:tcPr>
          <w:p w:rsidR="00024C0A" w:rsidRDefault="00694C0F">
            <w:pPr>
              <w:pStyle w:val="TableBodyText"/>
            </w:pPr>
            <w:r>
              <w:t>PRC Envelope #6 Rotated 230 x 120 mm</w:t>
            </w:r>
          </w:p>
        </w:tc>
      </w:tr>
      <w:tr w:rsidR="00024C0A" w:rsidTr="00024C0A">
        <w:tc>
          <w:tcPr>
            <w:tcW w:w="0" w:type="auto"/>
            <w:vAlign w:val="center"/>
          </w:tcPr>
          <w:p w:rsidR="00024C0A" w:rsidRDefault="00694C0F">
            <w:pPr>
              <w:pStyle w:val="TableBodyText"/>
            </w:pPr>
            <w:r>
              <w:t>115</w:t>
            </w:r>
          </w:p>
        </w:tc>
        <w:tc>
          <w:tcPr>
            <w:tcW w:w="0" w:type="auto"/>
            <w:vAlign w:val="center"/>
          </w:tcPr>
          <w:p w:rsidR="00024C0A" w:rsidRDefault="00694C0F">
            <w:pPr>
              <w:pStyle w:val="TableBodyText"/>
            </w:pPr>
            <w:r>
              <w:t>PRC Envelope #7 Rotated 230 x 160 mm</w:t>
            </w:r>
          </w:p>
        </w:tc>
      </w:tr>
      <w:tr w:rsidR="00024C0A" w:rsidTr="00024C0A">
        <w:tc>
          <w:tcPr>
            <w:tcW w:w="0" w:type="auto"/>
            <w:vAlign w:val="center"/>
          </w:tcPr>
          <w:p w:rsidR="00024C0A" w:rsidRDefault="00694C0F">
            <w:pPr>
              <w:pStyle w:val="TableBodyText"/>
            </w:pPr>
            <w:r>
              <w:t>116</w:t>
            </w:r>
          </w:p>
        </w:tc>
        <w:tc>
          <w:tcPr>
            <w:tcW w:w="0" w:type="auto"/>
            <w:vAlign w:val="center"/>
          </w:tcPr>
          <w:p w:rsidR="00024C0A" w:rsidRDefault="00694C0F">
            <w:pPr>
              <w:pStyle w:val="TableBodyText"/>
            </w:pPr>
            <w:r>
              <w:t>PRC Envelope #8 Rotated 309 x 120 mm</w:t>
            </w:r>
          </w:p>
        </w:tc>
      </w:tr>
      <w:tr w:rsidR="00024C0A" w:rsidTr="00024C0A">
        <w:tc>
          <w:tcPr>
            <w:tcW w:w="0" w:type="auto"/>
            <w:vAlign w:val="center"/>
          </w:tcPr>
          <w:p w:rsidR="00024C0A" w:rsidRDefault="00694C0F">
            <w:pPr>
              <w:pStyle w:val="TableBodyText"/>
            </w:pPr>
            <w:r>
              <w:t>117</w:t>
            </w:r>
          </w:p>
        </w:tc>
        <w:tc>
          <w:tcPr>
            <w:tcW w:w="0" w:type="auto"/>
            <w:vAlign w:val="center"/>
          </w:tcPr>
          <w:p w:rsidR="00024C0A" w:rsidRDefault="00694C0F">
            <w:pPr>
              <w:pStyle w:val="TableBodyText"/>
            </w:pPr>
            <w:r>
              <w:t>PRC Envelope #9 Rotated 324 x 229 mm</w:t>
            </w:r>
          </w:p>
        </w:tc>
      </w:tr>
      <w:tr w:rsidR="00024C0A" w:rsidTr="00024C0A">
        <w:tc>
          <w:tcPr>
            <w:tcW w:w="0" w:type="auto"/>
            <w:vAlign w:val="center"/>
          </w:tcPr>
          <w:p w:rsidR="00024C0A" w:rsidRDefault="00694C0F">
            <w:pPr>
              <w:pStyle w:val="TableBodyText"/>
            </w:pPr>
            <w:r>
              <w:t>118</w:t>
            </w:r>
          </w:p>
        </w:tc>
        <w:tc>
          <w:tcPr>
            <w:tcW w:w="0" w:type="auto"/>
            <w:vAlign w:val="center"/>
          </w:tcPr>
          <w:p w:rsidR="00024C0A" w:rsidRDefault="00694C0F">
            <w:pPr>
              <w:pStyle w:val="TableBodyText"/>
            </w:pPr>
            <w:r>
              <w:t>PRC Envelope #10 Rotated 458 x 324 mm</w:t>
            </w:r>
          </w:p>
        </w:tc>
      </w:tr>
    </w:tbl>
    <w:p w:rsidR="00024C0A" w:rsidRDefault="00024C0A"/>
    <w:p w:rsidR="00024C0A" w:rsidRDefault="00694C0F">
      <w:pPr>
        <w:pStyle w:val="Definition-Field"/>
      </w:pPr>
      <w:r>
        <w:t xml:space="preserve">e.   </w:t>
      </w:r>
      <w:r>
        <w:rPr>
          <w:i/>
        </w:rPr>
        <w:t>The standard states that the useFirstPageNumber attribute specifies to use the first page number instead of automatically g</w:t>
      </w:r>
      <w:r>
        <w:rPr>
          <w:i/>
        </w:rPr>
        <w:t>enerating a page number.</w:t>
      </w:r>
    </w:p>
    <w:p w:rsidR="00024C0A" w:rsidRDefault="00694C0F">
      <w:pPr>
        <w:pStyle w:val="Definition-Field2"/>
      </w:pPr>
      <w:r>
        <w:t>Office ignores this attribute and does not use the value of the firstPageNumber attribute when useFirstPageNumber is true.</w:t>
      </w:r>
    </w:p>
    <w:p w:rsidR="00024C0A" w:rsidRDefault="00694C0F">
      <w:pPr>
        <w:pStyle w:val="Heading3"/>
      </w:pPr>
      <w:bookmarkStart w:id="3033" w:name="section_1a9be881a8fa4b3f95461bef22ea3b41"/>
      <w:bookmarkStart w:id="3034" w:name="_Toc12261577"/>
      <w:r>
        <w:lastRenderedPageBreak/>
        <w:t>Part 1 Section 21.2.2.135, period (Period)</w:t>
      </w:r>
      <w:bookmarkEnd w:id="3033"/>
      <w:bookmarkEnd w:id="3034"/>
      <w:r>
        <w:fldChar w:fldCharType="begin"/>
      </w:r>
      <w:r>
        <w:instrText xml:space="preserve"> XE "period (Period)" </w:instrText>
      </w:r>
      <w:r>
        <w:fldChar w:fldCharType="end"/>
      </w:r>
    </w:p>
    <w:p w:rsidR="00024C0A" w:rsidRDefault="00694C0F">
      <w:pPr>
        <w:pStyle w:val="Definition-Field"/>
      </w:pPr>
      <w:r>
        <w:t xml:space="preserve">a.   </w:t>
      </w:r>
      <w:r>
        <w:rPr>
          <w:i/>
        </w:rPr>
        <w:t>The standard implies that the val at</w:t>
      </w:r>
      <w:r>
        <w:rPr>
          <w:i/>
        </w:rPr>
        <w:t>tribute is optional.</w:t>
      </w:r>
    </w:p>
    <w:p w:rsidR="00024C0A" w:rsidRDefault="00694C0F">
      <w:pPr>
        <w:pStyle w:val="Definition-Field2"/>
      </w:pPr>
      <w:r>
        <w:t>Office requires this attribute.</w:t>
      </w:r>
    </w:p>
    <w:p w:rsidR="00024C0A" w:rsidRDefault="00694C0F">
      <w:pPr>
        <w:pStyle w:val="Definition-Field"/>
      </w:pPr>
      <w:r>
        <w:t xml:space="preserve">b.   </w:t>
      </w:r>
      <w:r>
        <w:rPr>
          <w:i/>
        </w:rPr>
        <w:t>The standard states that this element is ignored for non-moving average trendlines.</w:t>
      </w:r>
    </w:p>
    <w:p w:rsidR="00024C0A" w:rsidRDefault="00694C0F">
      <w:pPr>
        <w:pStyle w:val="Definition-Field2"/>
      </w:pPr>
      <w:r>
        <w:t>Office requires this element to be included when the val attribute of trendlineType equals movingAvg and not other</w:t>
      </w:r>
      <w:r>
        <w:t>wise.</w:t>
      </w:r>
    </w:p>
    <w:p w:rsidR="00024C0A" w:rsidRDefault="00694C0F">
      <w:pPr>
        <w:pStyle w:val="Definition-Field"/>
      </w:pPr>
      <w:r>
        <w:t xml:space="preserve">c.   </w:t>
      </w:r>
      <w:r>
        <w:rPr>
          <w:i/>
        </w:rPr>
        <w:t>The standard states that the val attribute has a maximum value of less than or equal to 255.</w:t>
      </w:r>
    </w:p>
    <w:p w:rsidR="00024C0A" w:rsidRDefault="00694C0F">
      <w:pPr>
        <w:pStyle w:val="Definition-Field2"/>
      </w:pPr>
      <w:r>
        <w:t>Office requires that the upper bound of @val is the number of categories on the series minus 1. If the @val is greater than the number of categories min</w:t>
      </w:r>
      <w:r>
        <w:t>us 1 but less than 256 the file loads and saves correctly but the trendline will not be displayed</w:t>
      </w:r>
    </w:p>
    <w:p w:rsidR="00024C0A" w:rsidRDefault="00694C0F">
      <w:pPr>
        <w:pStyle w:val="Heading3"/>
      </w:pPr>
      <w:bookmarkStart w:id="3035" w:name="section_6aa1047e4bc04a228292385d1f45a437"/>
      <w:bookmarkStart w:id="3036" w:name="_Toc12261578"/>
      <w:r>
        <w:t>Part 1 Section 21.2.2.136, perspective (Perspective)</w:t>
      </w:r>
      <w:bookmarkEnd w:id="3035"/>
      <w:bookmarkEnd w:id="3036"/>
      <w:r>
        <w:fldChar w:fldCharType="begin"/>
      </w:r>
      <w:r>
        <w:instrText xml:space="preserve"> XE "perspective (Perspective)" </w:instrText>
      </w:r>
      <w:r>
        <w:fldChar w:fldCharType="end"/>
      </w:r>
    </w:p>
    <w:p w:rsidR="00024C0A" w:rsidRDefault="00694C0F">
      <w:pPr>
        <w:pStyle w:val="Definition-Field"/>
      </w:pPr>
      <w:r>
        <w:t xml:space="preserve">a.   </w:t>
      </w:r>
      <w:r>
        <w:rPr>
          <w:i/>
        </w:rPr>
        <w:t xml:space="preserve">The standard states that this element specifies the field of view </w:t>
      </w:r>
      <w:r>
        <w:rPr>
          <w:i/>
        </w:rPr>
        <w:t>angle for the 3-D chart.</w:t>
      </w:r>
    </w:p>
    <w:p w:rsidR="00024C0A" w:rsidRDefault="00694C0F">
      <w:pPr>
        <w:pStyle w:val="Definition-Field2"/>
      </w:pPr>
      <w:r>
        <w:t>In Office, this element specifies the field of view angle multiplied by a factor of 2 for the 3-D chart. When the val attribute is zero, the field of view angle is 0.1 degrees.</w:t>
      </w:r>
    </w:p>
    <w:p w:rsidR="00024C0A" w:rsidRDefault="00694C0F">
      <w:pPr>
        <w:pStyle w:val="Definition-Field"/>
      </w:pPr>
      <w:r>
        <w:t xml:space="preserve">b.   </w:t>
      </w:r>
      <w:r>
        <w:rPr>
          <w:i/>
        </w:rPr>
        <w:t xml:space="preserve">The standard states that this element is ignored </w:t>
      </w:r>
      <w:r>
        <w:rPr>
          <w:i/>
        </w:rPr>
        <w:t>if Right Angle Axes is true.</w:t>
      </w:r>
    </w:p>
    <w:p w:rsidR="00024C0A" w:rsidRDefault="00694C0F">
      <w:pPr>
        <w:pStyle w:val="Definition-Field2"/>
      </w:pPr>
      <w:r>
        <w:t>Office gives sibling element rAngAx precedence over this element when the field of view is rendered.</w:t>
      </w:r>
    </w:p>
    <w:p w:rsidR="00024C0A" w:rsidRDefault="00694C0F">
      <w:pPr>
        <w:pStyle w:val="Heading3"/>
      </w:pPr>
      <w:bookmarkStart w:id="3037" w:name="section_49556f620f364dc08a71075a46b62142"/>
      <w:bookmarkStart w:id="3038" w:name="_Toc12261579"/>
      <w:r>
        <w:t>Part 1 Section 21.2.2.138, pictureOptions (Picture Options)</w:t>
      </w:r>
      <w:bookmarkEnd w:id="3037"/>
      <w:bookmarkEnd w:id="3038"/>
      <w:r>
        <w:fldChar w:fldCharType="begin"/>
      </w:r>
      <w:r>
        <w:instrText xml:space="preserve"> XE "pictureOptions (Picture Options)" </w:instrText>
      </w:r>
      <w:r>
        <w:fldChar w:fldCharType="end"/>
      </w:r>
    </w:p>
    <w:p w:rsidR="00024C0A" w:rsidRDefault="00694C0F">
      <w:pPr>
        <w:pStyle w:val="Definition-Field"/>
      </w:pPr>
      <w:r>
        <w:t xml:space="preserve">a.   </w:t>
      </w:r>
      <w:r>
        <w:rPr>
          <w:i/>
        </w:rPr>
        <w:t>The standard does no</w:t>
      </w:r>
      <w:r>
        <w:rPr>
          <w:i/>
        </w:rPr>
        <w:t>t specify a relationship between the pictureFormat and pictureStackUnit child elements.</w:t>
      </w:r>
    </w:p>
    <w:p w:rsidR="00024C0A" w:rsidRDefault="00694C0F">
      <w:pPr>
        <w:pStyle w:val="Definition-Field2"/>
      </w:pPr>
      <w:r>
        <w:t>Office requires pictureStackUnit only be specified if pictureFormat is present with the val attribute equal to "stackScale", otherwise the chart will fail to load.</w:t>
      </w:r>
    </w:p>
    <w:p w:rsidR="00024C0A" w:rsidRDefault="00694C0F">
      <w:pPr>
        <w:pStyle w:val="Definition-Field"/>
      </w:pPr>
      <w:r>
        <w:t xml:space="preserve">b.  </w:t>
      </w:r>
      <w:r>
        <w:t xml:space="preserve"> </w:t>
      </w:r>
      <w:r>
        <w:rPr>
          <w:i/>
        </w:rPr>
        <w:t>The standard does not specify a relationship between this element and blipFill.</w:t>
      </w:r>
    </w:p>
    <w:p w:rsidR="00024C0A" w:rsidRDefault="00694C0F">
      <w:pPr>
        <w:pStyle w:val="Definition-Field2"/>
      </w:pPr>
      <w:r>
        <w:t>Office ignores this element when a blipFill child element is not specified on the sibling spPr element.</w:t>
      </w:r>
    </w:p>
    <w:p w:rsidR="00024C0A" w:rsidRDefault="00694C0F">
      <w:pPr>
        <w:pStyle w:val="Definition-Field"/>
      </w:pPr>
      <w:r>
        <w:t xml:space="preserve">c.   </w:t>
      </w:r>
      <w:r>
        <w:rPr>
          <w:i/>
        </w:rPr>
        <w:t>The standard does not specify special behavior for individual pare</w:t>
      </w:r>
      <w:r>
        <w:rPr>
          <w:i/>
        </w:rPr>
        <w:t>nts.</w:t>
      </w:r>
    </w:p>
    <w:p w:rsidR="00024C0A" w:rsidRDefault="00694C0F">
      <w:pPr>
        <w:pStyle w:val="Definition-Field2"/>
      </w:pPr>
      <w:r>
        <w:t>Office ignores the pictureStackUnit child element when the parent of pictureOptions is the floor element.</w:t>
      </w:r>
    </w:p>
    <w:p w:rsidR="00024C0A" w:rsidRDefault="00694C0F">
      <w:pPr>
        <w:pStyle w:val="Heading3"/>
      </w:pPr>
      <w:bookmarkStart w:id="3039" w:name="section_06c618921ab34e35a09dee70b3a3c704"/>
      <w:bookmarkStart w:id="3040" w:name="_Toc12261580"/>
      <w:r>
        <w:t>Part 1 Section 21.2.2.140, pie3DChart (3D Pie Charts)</w:t>
      </w:r>
      <w:bookmarkEnd w:id="3039"/>
      <w:bookmarkEnd w:id="3040"/>
      <w:r>
        <w:fldChar w:fldCharType="begin"/>
      </w:r>
      <w:r>
        <w:instrText xml:space="preserve"> XE "pie3DChart (3D Pie Charts)" </w:instrText>
      </w:r>
      <w:r>
        <w:fldChar w:fldCharType="end"/>
      </w:r>
    </w:p>
    <w:p w:rsidR="00024C0A" w:rsidRDefault="00694C0F">
      <w:pPr>
        <w:pStyle w:val="Definition-Field"/>
      </w:pPr>
      <w:r>
        <w:t xml:space="preserve">a.   </w:t>
      </w:r>
      <w:r>
        <w:rPr>
          <w:i/>
        </w:rPr>
        <w:t xml:space="preserve">The standard states that multiple ser elements may </w:t>
      </w:r>
      <w:r>
        <w:rPr>
          <w:i/>
        </w:rPr>
        <w:t>be specified on this element.</w:t>
      </w:r>
    </w:p>
    <w:p w:rsidR="00024C0A" w:rsidRDefault="00694C0F">
      <w:pPr>
        <w:pStyle w:val="Definition-Field2"/>
      </w:pPr>
      <w:r>
        <w:t>Office only displays the first series if there are multiple ser child elements.</w:t>
      </w:r>
    </w:p>
    <w:p w:rsidR="00024C0A" w:rsidRDefault="00694C0F">
      <w:pPr>
        <w:pStyle w:val="Definition-Field"/>
      </w:pPr>
      <w:r>
        <w:t xml:space="preserve">b.   </w:t>
      </w:r>
      <w:r>
        <w:rPr>
          <w:i/>
        </w:rPr>
        <w:t>The standard states that the maxOccurs value for the ser child element is unbounded.</w:t>
      </w:r>
    </w:p>
    <w:p w:rsidR="00024C0A" w:rsidRDefault="00694C0F">
      <w:pPr>
        <w:pStyle w:val="Definition-Field2"/>
      </w:pPr>
      <w:r>
        <w:t>Office limits the occurrences of this element to 255.</w:t>
      </w:r>
    </w:p>
    <w:p w:rsidR="00024C0A" w:rsidRDefault="00694C0F">
      <w:pPr>
        <w:pStyle w:val="Heading3"/>
      </w:pPr>
      <w:bookmarkStart w:id="3041" w:name="section_f2797eb13b5e4a40be3e344faa60f3dc"/>
      <w:bookmarkStart w:id="3042" w:name="_Toc12261581"/>
      <w:r>
        <w:lastRenderedPageBreak/>
        <w:t>Pa</w:t>
      </w:r>
      <w:r>
        <w:t>rt 1 Section 21.2.2.141, pieChart (Pie Charts)</w:t>
      </w:r>
      <w:bookmarkEnd w:id="3041"/>
      <w:bookmarkEnd w:id="3042"/>
      <w:r>
        <w:fldChar w:fldCharType="begin"/>
      </w:r>
      <w:r>
        <w:instrText xml:space="preserve"> XE "pieChart (Pie Charts)"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06c618921ab34e35a09dee70b3a3c704">
        <w:r>
          <w:rPr>
            <w:rStyle w:val="Hyperlink"/>
          </w:rPr>
          <w:t>pie3DChart, §21.2.2.140(b)</w:t>
        </w:r>
      </w:hyperlink>
      <w:r>
        <w:rPr>
          <w:i/>
        </w:rPr>
        <w:t>.</w:t>
      </w:r>
    </w:p>
    <w:p w:rsidR="00024C0A" w:rsidRDefault="00694C0F">
      <w:pPr>
        <w:pStyle w:val="Definition-Field"/>
      </w:pPr>
      <w:r>
        <w:t xml:space="preserve">a.   </w:t>
      </w:r>
      <w:r>
        <w:rPr>
          <w:i/>
        </w:rPr>
        <w:t>The standard states that multiple ser elements may be specified on this element.</w:t>
      </w:r>
    </w:p>
    <w:p w:rsidR="00024C0A" w:rsidRDefault="00694C0F">
      <w:pPr>
        <w:pStyle w:val="Definition-Field2"/>
      </w:pPr>
      <w:r>
        <w:t>Office only displays the first series if there are multiple ser child elements.</w:t>
      </w:r>
    </w:p>
    <w:p w:rsidR="00024C0A" w:rsidRDefault="00694C0F">
      <w:pPr>
        <w:pStyle w:val="Heading3"/>
      </w:pPr>
      <w:bookmarkStart w:id="3043" w:name="section_c670152e08494bcf962e35ea83fc42de"/>
      <w:bookmarkStart w:id="3044" w:name="_Toc12261582"/>
      <w:r>
        <w:t>Part 1 Section 21.2.2.142, pivotFmt (Pivot Format)</w:t>
      </w:r>
      <w:bookmarkEnd w:id="3043"/>
      <w:bookmarkEnd w:id="3044"/>
      <w:r>
        <w:fldChar w:fldCharType="begin"/>
      </w:r>
      <w:r>
        <w:instrText xml:space="preserve"> XE "pivotFmt (Pivot Format)" </w:instrText>
      </w:r>
      <w:r>
        <w:fldChar w:fldCharType="end"/>
      </w:r>
    </w:p>
    <w:p w:rsidR="00024C0A" w:rsidRDefault="00694C0F">
      <w:pPr>
        <w:pStyle w:val="Definition-Field"/>
      </w:pPr>
      <w:r>
        <w:t xml:space="preserve">a.   </w:t>
      </w:r>
      <w:r>
        <w:rPr>
          <w:i/>
        </w:rPr>
        <w:t>The standard states that the txPr element is a valid child of the pivotFmt element.</w:t>
      </w:r>
    </w:p>
    <w:p w:rsidR="00024C0A" w:rsidRDefault="00694C0F">
      <w:pPr>
        <w:pStyle w:val="Definition-Field2"/>
      </w:pPr>
      <w:r>
        <w:t>Office does not allow the txPr element to be a child of the pivotFmt element.</w:t>
      </w:r>
    </w:p>
    <w:p w:rsidR="00024C0A" w:rsidRDefault="00694C0F">
      <w:pPr>
        <w:pStyle w:val="Heading3"/>
      </w:pPr>
      <w:bookmarkStart w:id="3045" w:name="section_07298e0eed82488f9575e43bc37b2fd3"/>
      <w:bookmarkStart w:id="3046" w:name="_Toc12261583"/>
      <w:r>
        <w:t>Part 1 Section 21.2.2.143, pivotFmts (Pivot Formats)</w:t>
      </w:r>
      <w:bookmarkEnd w:id="3045"/>
      <w:bookmarkEnd w:id="3046"/>
      <w:r>
        <w:fldChar w:fldCharType="begin"/>
      </w:r>
      <w:r>
        <w:instrText xml:space="preserve"> XE "pivotFmts (Pivot Formats)" </w:instrText>
      </w:r>
      <w:r>
        <w:fldChar w:fldCharType="end"/>
      </w:r>
    </w:p>
    <w:p w:rsidR="00024C0A" w:rsidRDefault="00694C0F">
      <w:pPr>
        <w:pStyle w:val="Definition-Field"/>
      </w:pPr>
      <w:r>
        <w:t xml:space="preserve">a.   </w:t>
      </w:r>
      <w:r>
        <w:rPr>
          <w:i/>
        </w:rPr>
        <w:t>Th</w:t>
      </w:r>
      <w:r>
        <w:rPr>
          <w:i/>
        </w:rPr>
        <w:t>e standard states that this element contains a collection of formatting bands for a surface chart indexed from low to high.</w:t>
      </w:r>
    </w:p>
    <w:p w:rsidR="00024C0A" w:rsidRDefault="00694C0F">
      <w:pPr>
        <w:pStyle w:val="Definition-Field2"/>
      </w:pPr>
      <w:r>
        <w:t>In Office, this element is used to contain a collection of formats to be applied to a chart that is based on a PivotTable.</w:t>
      </w:r>
    </w:p>
    <w:p w:rsidR="00024C0A" w:rsidRDefault="00694C0F">
      <w:pPr>
        <w:pStyle w:val="Heading3"/>
      </w:pPr>
      <w:bookmarkStart w:id="3047" w:name="section_e2f9906d924645d1817b796d5cc91dac"/>
      <w:bookmarkStart w:id="3048" w:name="_Toc12261584"/>
      <w:r>
        <w:t>Part 1 Se</w:t>
      </w:r>
      <w:r>
        <w:t>ction 21.2.2.144, pivotSource (Pivot Source)</w:t>
      </w:r>
      <w:bookmarkEnd w:id="3047"/>
      <w:bookmarkEnd w:id="3048"/>
      <w:r>
        <w:fldChar w:fldCharType="begin"/>
      </w:r>
      <w:r>
        <w:instrText xml:space="preserve"> XE "pivotSource (Pivot Source)" </w:instrText>
      </w:r>
      <w:r>
        <w:fldChar w:fldCharType="end"/>
      </w:r>
    </w:p>
    <w:p w:rsidR="00024C0A" w:rsidRDefault="00694C0F">
      <w:pPr>
        <w:pStyle w:val="Definition-Field"/>
      </w:pPr>
      <w:r>
        <w:t xml:space="preserve">a.   </w:t>
      </w:r>
      <w:r>
        <w:rPr>
          <w:i/>
        </w:rPr>
        <w:t>The standard states that the maxOccurs value for the extLst child element is unbounded.</w:t>
      </w:r>
    </w:p>
    <w:p w:rsidR="00024C0A" w:rsidRDefault="00694C0F">
      <w:pPr>
        <w:pStyle w:val="Definition-Field2"/>
      </w:pPr>
      <w:r>
        <w:t>Office limits the occurrences of this element to 1.</w:t>
      </w:r>
    </w:p>
    <w:p w:rsidR="00024C0A" w:rsidRDefault="00694C0F">
      <w:pPr>
        <w:pStyle w:val="Definition-Field"/>
      </w:pPr>
      <w:r>
        <w:t xml:space="preserve">b.   </w:t>
      </w:r>
      <w:r>
        <w:rPr>
          <w:i/>
        </w:rPr>
        <w:t xml:space="preserve">The standard states that </w:t>
      </w:r>
      <w:r>
        <w:rPr>
          <w:i/>
        </w:rPr>
        <w:t>possible values for child element fmtId are defined by type xsd:unsignedInt.</w:t>
      </w:r>
    </w:p>
    <w:p w:rsidR="00024C0A" w:rsidRDefault="00694C0F">
      <w:pPr>
        <w:pStyle w:val="Definition-Field2"/>
      </w:pPr>
      <w:r>
        <w:t>In Office, child element fmtId has a maximum value of 2147483647.</w:t>
      </w:r>
    </w:p>
    <w:p w:rsidR="00024C0A" w:rsidRDefault="00694C0F">
      <w:pPr>
        <w:pStyle w:val="Heading3"/>
      </w:pPr>
      <w:bookmarkStart w:id="3049" w:name="section_83596c29eda74a40a24d721aa7b23b3f"/>
      <w:bookmarkStart w:id="3050" w:name="_Toc12261585"/>
      <w:r>
        <w:t>Part 1 Section 21.2.2.145, plotArea (Plot Area)</w:t>
      </w:r>
      <w:bookmarkEnd w:id="3049"/>
      <w:bookmarkEnd w:id="3050"/>
      <w:r>
        <w:fldChar w:fldCharType="begin"/>
      </w:r>
      <w:r>
        <w:instrText xml:space="preserve"> XE "plotArea (Plot Area)" </w:instrText>
      </w:r>
      <w:r>
        <w:fldChar w:fldCharType="end"/>
      </w:r>
    </w:p>
    <w:p w:rsidR="00024C0A" w:rsidRDefault="00694C0F">
      <w:pPr>
        <w:pStyle w:val="Definition-Field"/>
      </w:pPr>
      <w:r>
        <w:t xml:space="preserve">a.   </w:t>
      </w:r>
      <w:r>
        <w:rPr>
          <w:i/>
        </w:rPr>
        <w:t>The standard states that the ma</w:t>
      </w:r>
      <w:r>
        <w:rPr>
          <w:i/>
        </w:rPr>
        <w:t>xOccurs value for the choice statement including the valAx, catAx, dateAx, and serAx elements is unbounded.</w:t>
      </w:r>
    </w:p>
    <w:p w:rsidR="00024C0A" w:rsidRDefault="00694C0F">
      <w:pPr>
        <w:pStyle w:val="Definition-Field2"/>
      </w:pPr>
      <w:r>
        <w:t>Office limits the occurrences of this choice to 4.</w:t>
      </w:r>
    </w:p>
    <w:p w:rsidR="00024C0A" w:rsidRDefault="00694C0F">
      <w:pPr>
        <w:pStyle w:val="Heading3"/>
      </w:pPr>
      <w:bookmarkStart w:id="3051" w:name="section_ddc60b4262be4617bf284372f3fa3422"/>
      <w:bookmarkStart w:id="3052" w:name="_Toc12261586"/>
      <w:r>
        <w:t>Part 1 Section 21.2.2.147, plus (Plus)</w:t>
      </w:r>
      <w:bookmarkEnd w:id="3051"/>
      <w:bookmarkEnd w:id="3052"/>
      <w:r>
        <w:fldChar w:fldCharType="begin"/>
      </w:r>
      <w:r>
        <w:instrText xml:space="preserve"> XE "plus (Plus)" </w:instrText>
      </w:r>
      <w:r>
        <w:fldChar w:fldCharType="end"/>
      </w:r>
    </w:p>
    <w:p w:rsidR="00024C0A" w:rsidRDefault="00694C0F">
      <w:pPr>
        <w:pStyle w:val="Definition-Field"/>
      </w:pPr>
      <w:r>
        <w:t xml:space="preserve">a.   </w:t>
      </w:r>
      <w:r>
        <w:rPr>
          <w:i/>
        </w:rPr>
        <w:t>The standard states that this ele</w:t>
      </w:r>
      <w:r>
        <w:rPr>
          <w:i/>
        </w:rPr>
        <w:t>ment shall be used only when the errValType is cust.</w:t>
      </w:r>
    </w:p>
    <w:p w:rsidR="00024C0A" w:rsidRDefault="00694C0F">
      <w:pPr>
        <w:pStyle w:val="Definition-Field2"/>
      </w:pPr>
      <w:r>
        <w:t>Office also saves out this element if the errValType is stdErr and the error bar value had been custom type during the current workbook session.</w:t>
      </w:r>
    </w:p>
    <w:p w:rsidR="00024C0A" w:rsidRDefault="00694C0F">
      <w:pPr>
        <w:pStyle w:val="Heading3"/>
      </w:pPr>
      <w:bookmarkStart w:id="3053" w:name="section_ed56b005235b41308db9602e08a13b96"/>
      <w:bookmarkStart w:id="3054" w:name="_Toc12261587"/>
      <w:r>
        <w:t>Part 1 Section 21.2.2.148, printSettings (Print Settings)</w:t>
      </w:r>
      <w:bookmarkEnd w:id="3053"/>
      <w:bookmarkEnd w:id="3054"/>
      <w:r>
        <w:fldChar w:fldCharType="begin"/>
      </w:r>
      <w:r>
        <w:instrText xml:space="preserve"> </w:instrText>
      </w:r>
      <w:r>
        <w:instrText xml:space="preserve">XE "printSettings (Print Settings)" </w:instrText>
      </w:r>
      <w:r>
        <w:fldChar w:fldCharType="end"/>
      </w:r>
    </w:p>
    <w:p w:rsidR="00024C0A" w:rsidRDefault="00694C0F">
      <w:pPr>
        <w:pStyle w:val="Definition-Field"/>
      </w:pPr>
      <w:r>
        <w:t xml:space="preserve">a.   </w:t>
      </w:r>
      <w:r>
        <w:rPr>
          <w:i/>
        </w:rPr>
        <w:t>The standard states that the pageMargins child element is optional.</w:t>
      </w:r>
    </w:p>
    <w:p w:rsidR="00024C0A" w:rsidRDefault="00694C0F">
      <w:pPr>
        <w:pStyle w:val="Definition-Field2"/>
      </w:pPr>
      <w:r>
        <w:t>In Office, if no child pageMargins element is defined, a pageMargins element is created with application defined values.</w:t>
      </w:r>
    </w:p>
    <w:p w:rsidR="00024C0A" w:rsidRDefault="00694C0F">
      <w:pPr>
        <w:pStyle w:val="Heading3"/>
      </w:pPr>
      <w:bookmarkStart w:id="3055" w:name="section_8c074063cd93473991fdec17d2bfa679"/>
      <w:bookmarkStart w:id="3056" w:name="_Toc12261588"/>
      <w:r>
        <w:lastRenderedPageBreak/>
        <w:t>Part 1 Section 21.2.2.1</w:t>
      </w:r>
      <w:r>
        <w:t>49, protection (Protection)</w:t>
      </w:r>
      <w:bookmarkEnd w:id="3055"/>
      <w:bookmarkEnd w:id="3056"/>
      <w:r>
        <w:fldChar w:fldCharType="begin"/>
      </w:r>
      <w:r>
        <w:instrText xml:space="preserve"> XE "protection (Protection)" </w:instrText>
      </w:r>
      <w:r>
        <w:fldChar w:fldCharType="end"/>
      </w:r>
    </w:p>
    <w:p w:rsidR="00024C0A" w:rsidRDefault="00694C0F">
      <w:pPr>
        <w:pStyle w:val="Definition-Field"/>
      </w:pPr>
      <w:r>
        <w:t xml:space="preserve">a.   </w:t>
      </w:r>
      <w:r>
        <w:rPr>
          <w:i/>
        </w:rPr>
        <w:t>The standard states that if the chart is on a protected worksheet or chart sheet, then these settings shall control how a user is able to interact with the chart.</w:t>
      </w:r>
    </w:p>
    <w:p w:rsidR="00024C0A" w:rsidRDefault="00694C0F">
      <w:pPr>
        <w:pStyle w:val="Definition-Field2"/>
      </w:pPr>
      <w:r>
        <w:t>In Office, this element to c</w:t>
      </w:r>
      <w:r>
        <w:t>ontrols how a user is permitted to interact with the chart regardless of whether the chart is on a protected worksheet or chart sheet.</w:t>
      </w:r>
    </w:p>
    <w:p w:rsidR="00024C0A" w:rsidRDefault="00694C0F">
      <w:pPr>
        <w:pStyle w:val="Definition-Field"/>
      </w:pPr>
      <w:r>
        <w:t xml:space="preserve">b.   </w:t>
      </w:r>
      <w:r>
        <w:rPr>
          <w:i/>
        </w:rPr>
        <w:t>The standard states the protection element supports the child elements specified.</w:t>
      </w:r>
    </w:p>
    <w:p w:rsidR="00024C0A" w:rsidRDefault="00694C0F">
      <w:pPr>
        <w:pStyle w:val="Definition-Field2"/>
      </w:pPr>
      <w:r>
        <w:t>Office only successfully writes ou</w:t>
      </w:r>
      <w:r>
        <w:t>t the selection child element.  The other child elements have not been implemented.</w:t>
      </w:r>
    </w:p>
    <w:p w:rsidR="00024C0A" w:rsidRDefault="00694C0F">
      <w:pPr>
        <w:pStyle w:val="Heading3"/>
      </w:pPr>
      <w:bookmarkStart w:id="3057" w:name="section_21771f8836944e2b9df27e0165525383"/>
      <w:bookmarkStart w:id="3058" w:name="_Toc12261589"/>
      <w:r>
        <w:t>Part 1 Section 21.2.2.150, pt (Numeric Point)</w:t>
      </w:r>
      <w:bookmarkEnd w:id="3057"/>
      <w:bookmarkEnd w:id="3058"/>
      <w:r>
        <w:fldChar w:fldCharType="begin"/>
      </w:r>
      <w:r>
        <w:instrText xml:space="preserve"> XE "pt (Numeric Point)" </w:instrText>
      </w:r>
      <w:r>
        <w:fldChar w:fldCharType="end"/>
      </w:r>
    </w:p>
    <w:p w:rsidR="00024C0A" w:rsidRDefault="00694C0F">
      <w:pPr>
        <w:pStyle w:val="Definition-Field"/>
      </w:pPr>
      <w:r>
        <w:t xml:space="preserve">a.   </w:t>
      </w:r>
      <w:r>
        <w:rPr>
          <w:i/>
        </w:rPr>
        <w:t>The standard does not state uniqueness or maximum value restrictions for the idx attribute.</w:t>
      </w:r>
    </w:p>
    <w:p w:rsidR="00024C0A" w:rsidRDefault="00694C0F">
      <w:pPr>
        <w:pStyle w:val="Definition-Field2"/>
      </w:pPr>
      <w:r>
        <w:t>Of</w:t>
      </w:r>
      <w:r>
        <w:t>fice requires that the idx attribute be unique amongst siblings and be between 0 and the total points in the parent element minus one.</w:t>
      </w:r>
    </w:p>
    <w:p w:rsidR="00024C0A" w:rsidRDefault="00694C0F">
      <w:pPr>
        <w:pStyle w:val="Definition-Field"/>
      </w:pPr>
      <w:r>
        <w:t xml:space="preserve">b.   </w:t>
      </w:r>
      <w:r>
        <w:rPr>
          <w:i/>
        </w:rPr>
        <w:t>The standard states that the values of the idx attribute are defined by the XML Schema unsignedInt datatype.</w:t>
      </w:r>
    </w:p>
    <w:p w:rsidR="00024C0A" w:rsidRDefault="00694C0F">
      <w:pPr>
        <w:pStyle w:val="Definition-Field2"/>
      </w:pPr>
      <w:r>
        <w:t xml:space="preserve">Office </w:t>
      </w:r>
      <w:r>
        <w:t>restricts the value of this attribute to be at most 2147483647.</w:t>
      </w:r>
    </w:p>
    <w:p w:rsidR="00024C0A" w:rsidRDefault="00694C0F">
      <w:pPr>
        <w:pStyle w:val="Definition-Field"/>
      </w:pPr>
      <w:r>
        <w:t xml:space="preserve">c.   </w:t>
      </w:r>
      <w:r>
        <w:rPr>
          <w:i/>
        </w:rPr>
        <w:t>The standard states that the idx attribute is the index of the series in the collection.</w:t>
      </w:r>
    </w:p>
    <w:p w:rsidR="00024C0A" w:rsidRDefault="00694C0F">
      <w:pPr>
        <w:pStyle w:val="Definition-Field2"/>
      </w:pPr>
      <w:r>
        <w:t>In Office, the idx attribute is the index of the points in the collection.</w:t>
      </w:r>
    </w:p>
    <w:p w:rsidR="00024C0A" w:rsidRDefault="00694C0F">
      <w:pPr>
        <w:pStyle w:val="Heading3"/>
      </w:pPr>
      <w:bookmarkStart w:id="3059" w:name="section_a73d668fe5e64f209740a419ea6e4ea3"/>
      <w:bookmarkStart w:id="3060" w:name="_Toc12261590"/>
      <w:r>
        <w:t>Part 1 Section 21.2.2.1</w:t>
      </w:r>
      <w:r>
        <w:t>51, pt (String Point)</w:t>
      </w:r>
      <w:bookmarkEnd w:id="3059"/>
      <w:bookmarkEnd w:id="3060"/>
      <w:r>
        <w:fldChar w:fldCharType="begin"/>
      </w:r>
      <w:r>
        <w:instrText xml:space="preserve"> XE "pt (String Point)" </w:instrText>
      </w:r>
      <w:r>
        <w:fldChar w:fldCharType="end"/>
      </w:r>
    </w:p>
    <w:p w:rsidR="00024C0A" w:rsidRDefault="00694C0F">
      <w:pPr>
        <w:pStyle w:val="Definition-Field"/>
      </w:pPr>
      <w:r>
        <w:t xml:space="preserve">a.   </w:t>
      </w:r>
      <w:r>
        <w:rPr>
          <w:i/>
        </w:rPr>
        <w:t>The standard states that the values of the idx attribute are defined by the XML Schema unsignedInt datatype.</w:t>
      </w:r>
    </w:p>
    <w:p w:rsidR="00024C0A" w:rsidRDefault="00694C0F">
      <w:pPr>
        <w:pStyle w:val="Definition-Field2"/>
      </w:pPr>
      <w:r>
        <w:t>Office restricts the value of this attribute to be at most 2147483647.</w:t>
      </w:r>
    </w:p>
    <w:p w:rsidR="00024C0A" w:rsidRDefault="00694C0F">
      <w:pPr>
        <w:pStyle w:val="Definition-Field"/>
      </w:pPr>
      <w:r>
        <w:t xml:space="preserve">b.   </w:t>
      </w:r>
      <w:r>
        <w:rPr>
          <w:i/>
        </w:rPr>
        <w:t xml:space="preserve">The standard does </w:t>
      </w:r>
      <w:r>
        <w:rPr>
          <w:i/>
        </w:rPr>
        <w:t>not state uniqueness or maximum value restrictions for the idx attribute.</w:t>
      </w:r>
    </w:p>
    <w:p w:rsidR="00024C0A" w:rsidRDefault="00694C0F">
      <w:pPr>
        <w:pStyle w:val="Definition-Field2"/>
      </w:pPr>
      <w:r>
        <w:t>Office requires that the idx attribute be unique amongst siblings and be between 0 and the total points in the parent element minus one.</w:t>
      </w:r>
    </w:p>
    <w:p w:rsidR="00024C0A" w:rsidRDefault="00694C0F">
      <w:pPr>
        <w:pStyle w:val="Heading3"/>
      </w:pPr>
      <w:bookmarkStart w:id="3061" w:name="section_cc0514b40c864b5493dbb549ef487ce6"/>
      <w:bookmarkStart w:id="3062" w:name="_Toc12261591"/>
      <w:r>
        <w:t>Part 1 Section 21.2.2.152, ptCount (Point Count)</w:t>
      </w:r>
      <w:bookmarkEnd w:id="3061"/>
      <w:bookmarkEnd w:id="3062"/>
      <w:r>
        <w:fldChar w:fldCharType="begin"/>
      </w:r>
      <w:r>
        <w:instrText xml:space="preserve"> XE "ptCount (Point Count)" </w:instrText>
      </w:r>
      <w:r>
        <w:fldChar w:fldCharType="end"/>
      </w:r>
    </w:p>
    <w:p w:rsidR="00024C0A" w:rsidRDefault="00694C0F">
      <w:pPr>
        <w:pStyle w:val="Definition-Field"/>
      </w:pPr>
      <w:r>
        <w:t xml:space="preserve">a.   </w:t>
      </w:r>
      <w:r>
        <w:rPr>
          <w:i/>
        </w:rPr>
        <w:t>The standard states that the values of the val attribute are defined by the XML Schema unsignedInt datatype.</w:t>
      </w:r>
    </w:p>
    <w:p w:rsidR="00024C0A" w:rsidRDefault="00694C0F">
      <w:pPr>
        <w:pStyle w:val="Definition-Field2"/>
      </w:pPr>
      <w:r>
        <w:t xml:space="preserve">Office restricts the value of this attribute to be at most </w:t>
      </w:r>
      <w:r>
        <w:t>2147483647.</w:t>
      </w:r>
    </w:p>
    <w:p w:rsidR="00024C0A" w:rsidRDefault="00694C0F">
      <w:pPr>
        <w:pStyle w:val="Heading3"/>
      </w:pPr>
      <w:bookmarkStart w:id="3063" w:name="section_0cd74246587c4969aa8c705f633ff3d9"/>
      <w:bookmarkStart w:id="3064" w:name="_Toc12261592"/>
      <w:r>
        <w:t>Part 1 Section 21.2.2.153, radarChart (Radar Charts)</w:t>
      </w:r>
      <w:bookmarkEnd w:id="3063"/>
      <w:bookmarkEnd w:id="3064"/>
      <w:r>
        <w:fldChar w:fldCharType="begin"/>
      </w:r>
      <w:r>
        <w:instrText xml:space="preserve"> XE "radarChart (Radar Charts)" </w:instrText>
      </w:r>
      <w:r>
        <w:fldChar w:fldCharType="end"/>
      </w:r>
    </w:p>
    <w:p w:rsidR="00024C0A" w:rsidRDefault="00694C0F">
      <w:pPr>
        <w:pStyle w:val="Definition-Field"/>
      </w:pPr>
      <w:r>
        <w:t xml:space="preserve">a.   </w:t>
      </w:r>
      <w:r>
        <w:rPr>
          <w:i/>
        </w:rPr>
        <w:t>The standard states that the maxOccurs value for the ser child element is unbounded.</w:t>
      </w:r>
    </w:p>
    <w:p w:rsidR="00024C0A" w:rsidRDefault="00694C0F">
      <w:pPr>
        <w:pStyle w:val="Definition-Field2"/>
      </w:pPr>
      <w:r>
        <w:t>Office limits the occurrences of this element to 255.</w:t>
      </w:r>
    </w:p>
    <w:p w:rsidR="00024C0A" w:rsidRDefault="00694C0F">
      <w:pPr>
        <w:pStyle w:val="Heading3"/>
      </w:pPr>
      <w:bookmarkStart w:id="3065" w:name="section_b303418c8a0746d5b1dee6905c3b589c"/>
      <w:bookmarkStart w:id="3066" w:name="_Toc12261593"/>
      <w:r>
        <w:t>Part 1 Sectio</w:t>
      </w:r>
      <w:r>
        <w:t>n 21.2.2.154, radarStyle (Radar Style)</w:t>
      </w:r>
      <w:bookmarkEnd w:id="3065"/>
      <w:bookmarkEnd w:id="3066"/>
      <w:r>
        <w:fldChar w:fldCharType="begin"/>
      </w:r>
      <w:r>
        <w:instrText xml:space="preserve"> XE "radarStyle (Radar Style)" </w:instrText>
      </w:r>
      <w:r>
        <w:fldChar w:fldCharType="end"/>
      </w:r>
    </w:p>
    <w:p w:rsidR="00024C0A" w:rsidRDefault="00694C0F">
      <w:pPr>
        <w:pStyle w:val="Definition-Field"/>
      </w:pPr>
      <w:r>
        <w:t xml:space="preserve">a.   </w:t>
      </w:r>
      <w:r>
        <w:rPr>
          <w:i/>
        </w:rPr>
        <w:t>The standard implies that the val attribute is optional.</w:t>
      </w:r>
    </w:p>
    <w:p w:rsidR="00024C0A" w:rsidRDefault="00694C0F">
      <w:pPr>
        <w:pStyle w:val="Definition-Field2"/>
      </w:pPr>
      <w:r>
        <w:lastRenderedPageBreak/>
        <w:t>Office requires this attribute.</w:t>
      </w:r>
    </w:p>
    <w:p w:rsidR="00024C0A" w:rsidRDefault="00694C0F">
      <w:pPr>
        <w:pStyle w:val="Heading3"/>
      </w:pPr>
      <w:bookmarkStart w:id="3067" w:name="section_c7d20cb511c9401ab29a03574828cd25"/>
      <w:bookmarkStart w:id="3068" w:name="_Toc12261594"/>
      <w:r>
        <w:t>Part 1 Section 21.2.2.155, rAngAx (Right Angle Axes)</w:t>
      </w:r>
      <w:bookmarkEnd w:id="3067"/>
      <w:bookmarkEnd w:id="3068"/>
      <w:r>
        <w:fldChar w:fldCharType="begin"/>
      </w:r>
      <w:r>
        <w:instrText xml:space="preserve"> XE "rAngAx (Right Angle Axes)" </w:instrText>
      </w:r>
      <w:r>
        <w:fldChar w:fldCharType="end"/>
      </w:r>
    </w:p>
    <w:p w:rsidR="00024C0A" w:rsidRDefault="00694C0F">
      <w:pPr>
        <w:pStyle w:val="Definition-Field"/>
      </w:pPr>
      <w:r>
        <w:t xml:space="preserve">a. </w:t>
      </w:r>
      <w:r>
        <w:t xml:space="preserve">  </w:t>
      </w:r>
      <w:r>
        <w:rPr>
          <w:i/>
        </w:rPr>
        <w:t>The standard does not describe any interplay between this element and the rotX, rotY elements.</w:t>
      </w:r>
    </w:p>
    <w:p w:rsidR="00024C0A" w:rsidRDefault="00694C0F">
      <w:pPr>
        <w:pStyle w:val="Definition-Field2"/>
      </w:pPr>
      <w:r>
        <w:t>Office only calculates the default extrude angles with the rotX and rotY values when the rAngAx element is specified.</w:t>
      </w:r>
    </w:p>
    <w:p w:rsidR="00024C0A" w:rsidRDefault="00694C0F">
      <w:pPr>
        <w:pStyle w:val="Heading3"/>
      </w:pPr>
      <w:bookmarkStart w:id="3069" w:name="section_6f6e05f38a224170a467b859506d76c7"/>
      <w:bookmarkStart w:id="3070" w:name="_Toc12261595"/>
      <w:r>
        <w:t>Part 1 Section 21.2.2.156, rich (Rich Tex</w:t>
      </w:r>
      <w:r>
        <w:t>t)</w:t>
      </w:r>
      <w:bookmarkEnd w:id="3069"/>
      <w:bookmarkEnd w:id="3070"/>
      <w:r>
        <w:fldChar w:fldCharType="begin"/>
      </w:r>
      <w:r>
        <w:instrText xml:space="preserve"> XE "rich (Rich Text)" </w:instrText>
      </w:r>
      <w:r>
        <w:fldChar w:fldCharType="end"/>
      </w:r>
    </w:p>
    <w:p w:rsidR="00024C0A" w:rsidRDefault="00694C0F">
      <w:pPr>
        <w:pStyle w:val="Definition-Field"/>
      </w:pPr>
      <w:r>
        <w:t xml:space="preserve">a.   </w:t>
      </w:r>
      <w:r>
        <w:rPr>
          <w:i/>
        </w:rPr>
        <w:t>The standard states that the maxOccurs value for the child element p is unbounded.</w:t>
      </w:r>
    </w:p>
    <w:p w:rsidR="00024C0A" w:rsidRDefault="00694C0F">
      <w:pPr>
        <w:pStyle w:val="Definition-Field2"/>
      </w:pPr>
      <w:r>
        <w:t>Office limits the number of p child elements to the total character count of all p elements under rich, which can be a maximum of 255.</w:t>
      </w:r>
    </w:p>
    <w:p w:rsidR="00024C0A" w:rsidRDefault="00694C0F">
      <w:pPr>
        <w:pStyle w:val="Heading3"/>
      </w:pPr>
      <w:bookmarkStart w:id="3071" w:name="section_3a25f022e56d4b758361c2d5beab1060"/>
      <w:bookmarkStart w:id="3072" w:name="_Toc12261596"/>
      <w:r>
        <w:t xml:space="preserve">Part </w:t>
      </w:r>
      <w:r>
        <w:t>1 Section 21.2.2.161, scatterChart (Scatter Charts)</w:t>
      </w:r>
      <w:bookmarkEnd w:id="3071"/>
      <w:bookmarkEnd w:id="3072"/>
      <w:r>
        <w:fldChar w:fldCharType="begin"/>
      </w:r>
      <w:r>
        <w:instrText xml:space="preserve"> XE "scatterChart (Scatter Charts)" </w:instrText>
      </w:r>
      <w:r>
        <w:fldChar w:fldCharType="end"/>
      </w:r>
    </w:p>
    <w:p w:rsidR="00024C0A" w:rsidRDefault="00694C0F">
      <w:pPr>
        <w:pStyle w:val="Definition-Field"/>
      </w:pPr>
      <w:r>
        <w:t xml:space="preserve">a.   </w:t>
      </w:r>
      <w:r>
        <w:rPr>
          <w:i/>
        </w:rPr>
        <w:t>The standard states that the maxOccurs value for the ser child element is unbounded.</w:t>
      </w:r>
    </w:p>
    <w:p w:rsidR="00024C0A" w:rsidRDefault="00694C0F">
      <w:pPr>
        <w:pStyle w:val="Definition-Field2"/>
      </w:pPr>
      <w:r>
        <w:t>Office limits the occurrences of this element to 255.</w:t>
      </w:r>
    </w:p>
    <w:p w:rsidR="00024C0A" w:rsidRDefault="00694C0F">
      <w:pPr>
        <w:pStyle w:val="Heading3"/>
      </w:pPr>
      <w:bookmarkStart w:id="3073" w:name="section_ada73b7e3161426f89b3ecbcc68eace0"/>
      <w:bookmarkStart w:id="3074" w:name="_Toc12261597"/>
      <w:r>
        <w:t>Part 1 Section 21.2.2.</w:t>
      </w:r>
      <w:r>
        <w:t>163, secondPiePt (Second Pie Point)</w:t>
      </w:r>
      <w:bookmarkEnd w:id="3073"/>
      <w:bookmarkEnd w:id="3074"/>
      <w:r>
        <w:fldChar w:fldCharType="begin"/>
      </w:r>
      <w:r>
        <w:instrText xml:space="preserve"> XE "secondPiePt (Second Pie Point)" </w:instrText>
      </w:r>
      <w:r>
        <w:fldChar w:fldCharType="end"/>
      </w:r>
    </w:p>
    <w:p w:rsidR="00024C0A" w:rsidRDefault="00694C0F">
      <w:pPr>
        <w:pStyle w:val="Definition-Field"/>
      </w:pPr>
      <w:r>
        <w:t xml:space="preserve">a.   </w:t>
      </w:r>
      <w:r>
        <w:rPr>
          <w:i/>
        </w:rPr>
        <w:t>The standard states that the contents of the val attribute are interpreted based on the context of the parent element.</w:t>
      </w:r>
    </w:p>
    <w:p w:rsidR="00024C0A" w:rsidRDefault="00694C0F">
      <w:pPr>
        <w:pStyle w:val="Definition-Field2"/>
      </w:pPr>
      <w:r>
        <w:t>In Office, the val attribute is a zero-based index into t</w:t>
      </w:r>
      <w:r>
        <w:t>he chart's data series that must be unique amongst secondPiePt elements within the same collection.</w:t>
      </w:r>
    </w:p>
    <w:p w:rsidR="00024C0A" w:rsidRDefault="00694C0F">
      <w:pPr>
        <w:pStyle w:val="Definition-Field"/>
      </w:pPr>
      <w:r>
        <w:t xml:space="preserve">b.   </w:t>
      </w:r>
      <w:r>
        <w:rPr>
          <w:i/>
        </w:rPr>
        <w:t>The standard states that the values of the val attribute are defined by the XML Schema unsignedInt datatype.</w:t>
      </w:r>
    </w:p>
    <w:p w:rsidR="00024C0A" w:rsidRDefault="00694C0F">
      <w:pPr>
        <w:pStyle w:val="Definition-Field2"/>
      </w:pPr>
      <w:r>
        <w:t>Office restricts the value of this attribu</w:t>
      </w:r>
      <w:r>
        <w:t>te to be at most 2147483647.</w:t>
      </w:r>
    </w:p>
    <w:p w:rsidR="00024C0A" w:rsidRDefault="00694C0F">
      <w:pPr>
        <w:pStyle w:val="Heading3"/>
      </w:pPr>
      <w:bookmarkStart w:id="3075" w:name="section_172cb24b16a94bc48a94aa447afb2486"/>
      <w:bookmarkStart w:id="3076" w:name="_Toc12261598"/>
      <w:r>
        <w:t>Part 1 Section 21.2.2.166, separator (Separator)</w:t>
      </w:r>
      <w:bookmarkEnd w:id="3075"/>
      <w:bookmarkEnd w:id="3076"/>
      <w:r>
        <w:fldChar w:fldCharType="begin"/>
      </w:r>
      <w:r>
        <w:instrText xml:space="preserve"> XE "separator (Separator)" </w:instrText>
      </w:r>
      <w:r>
        <w:fldChar w:fldCharType="end"/>
      </w:r>
    </w:p>
    <w:p w:rsidR="00024C0A" w:rsidRDefault="00694C0F">
      <w:pPr>
        <w:pStyle w:val="Definition-Field"/>
      </w:pPr>
      <w:r>
        <w:t xml:space="preserve">a.   </w:t>
      </w:r>
      <w:r>
        <w:rPr>
          <w:i/>
        </w:rPr>
        <w:t>The standard states that the default separator is a comma.</w:t>
      </w:r>
    </w:p>
    <w:p w:rsidR="00024C0A" w:rsidRDefault="00694C0F">
      <w:pPr>
        <w:pStyle w:val="Definition-Field2"/>
      </w:pPr>
      <w:r>
        <w:t>In Office, the default separator is region/language specific.</w:t>
      </w:r>
    </w:p>
    <w:p w:rsidR="00024C0A" w:rsidRDefault="00694C0F">
      <w:pPr>
        <w:pStyle w:val="Heading3"/>
      </w:pPr>
      <w:bookmarkStart w:id="3077" w:name="section_8d3e50cd20d74a88b682fa2e521d61b3"/>
      <w:bookmarkStart w:id="3078" w:name="_Toc12261599"/>
      <w:r>
        <w:t>Part 1 Section 21.2.2.</w:t>
      </w:r>
      <w:r>
        <w:t>167, ser (Scatter Chart Series)</w:t>
      </w:r>
      <w:bookmarkEnd w:id="3077"/>
      <w:bookmarkEnd w:id="3078"/>
      <w:r>
        <w:fldChar w:fldCharType="begin"/>
      </w:r>
      <w:r>
        <w:instrText xml:space="preserve"> XE "ser (Scatter Chart Series)"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f1c2a0708b434ac8a91fc7fcfada5506">
        <w:r>
          <w:rPr>
            <w:rStyle w:val="Hyperlink"/>
          </w:rPr>
          <w:t>ser, §21.2.2.174(b)</w:t>
        </w:r>
      </w:hyperlink>
      <w:r>
        <w:rPr>
          <w:i/>
        </w:rPr>
        <w:t>.</w:t>
      </w:r>
    </w:p>
    <w:p w:rsidR="00024C0A" w:rsidRDefault="00694C0F">
      <w:pPr>
        <w:pStyle w:val="Definition-Field"/>
      </w:pPr>
      <w:r>
        <w:t xml:space="preserve">a.   </w:t>
      </w:r>
      <w:r>
        <w:rPr>
          <w:i/>
        </w:rPr>
        <w:t>The standa</w:t>
      </w:r>
      <w:r>
        <w:rPr>
          <w:i/>
        </w:rPr>
        <w:t>rd states that the maxOccurs value for the trendline child element is unbounded.</w:t>
      </w:r>
    </w:p>
    <w:p w:rsidR="00024C0A" w:rsidRDefault="00694C0F">
      <w:pPr>
        <w:pStyle w:val="Definition-Field2"/>
      </w:pPr>
      <w:r>
        <w:t>Office limits the occurrences of this element to 254.</w:t>
      </w:r>
    </w:p>
    <w:p w:rsidR="00024C0A" w:rsidRDefault="00694C0F">
      <w:pPr>
        <w:pStyle w:val="Definition-Field"/>
      </w:pPr>
      <w:r>
        <w:t xml:space="preserve">b.   </w:t>
      </w:r>
      <w:r>
        <w:rPr>
          <w:i/>
        </w:rPr>
        <w:t>The standard states that the maxOccurs value for the dPt child element is unbounded.</w:t>
      </w:r>
    </w:p>
    <w:p w:rsidR="00024C0A" w:rsidRDefault="00694C0F">
      <w:pPr>
        <w:pStyle w:val="Definition-Field2"/>
      </w:pPr>
      <w:r>
        <w:t xml:space="preserve">Office limits the occurrences </w:t>
      </w:r>
      <w:r>
        <w:t>of this element to 32000.</w:t>
      </w:r>
    </w:p>
    <w:p w:rsidR="00024C0A" w:rsidRDefault="00694C0F">
      <w:pPr>
        <w:pStyle w:val="Heading3"/>
      </w:pPr>
      <w:bookmarkStart w:id="3079" w:name="section_3eecdd275cd04745bf738025f834a3bd"/>
      <w:bookmarkStart w:id="3080" w:name="_Toc12261600"/>
      <w:r>
        <w:t>Part 1 Section 21.2.2.168, ser (Area Chart Series)</w:t>
      </w:r>
      <w:bookmarkEnd w:id="3079"/>
      <w:bookmarkEnd w:id="3080"/>
      <w:r>
        <w:fldChar w:fldCharType="begin"/>
      </w:r>
      <w:r>
        <w:instrText xml:space="preserve"> XE "ser (Area Chart Series)" </w:instrText>
      </w:r>
      <w:r>
        <w:fldChar w:fldCharType="end"/>
      </w:r>
    </w:p>
    <w:p w:rsidR="00024C0A" w:rsidRDefault="00694C0F">
      <w:pPr>
        <w:pStyle w:val="Definition-Field"/>
      </w:pPr>
      <w:r>
        <w:t xml:space="preserve">a.   </w:t>
      </w:r>
      <w:r>
        <w:rPr>
          <w:i/>
        </w:rPr>
        <w:t>The standard states that the maxOccurs value for the trendline child element is unbounded.</w:t>
      </w:r>
    </w:p>
    <w:p w:rsidR="00024C0A" w:rsidRDefault="00694C0F">
      <w:pPr>
        <w:pStyle w:val="Definition-Field2"/>
      </w:pPr>
      <w:r>
        <w:lastRenderedPageBreak/>
        <w:t xml:space="preserve">Office limits the occurrences of this element to </w:t>
      </w:r>
      <w:r>
        <w:t>254.</w:t>
      </w:r>
    </w:p>
    <w:p w:rsidR="00024C0A" w:rsidRDefault="00694C0F">
      <w:pPr>
        <w:pStyle w:val="Definition-Field"/>
      </w:pPr>
      <w:r>
        <w:t xml:space="preserve">b.   </w:t>
      </w:r>
      <w:r>
        <w:rPr>
          <w:i/>
        </w:rPr>
        <w:t>The standard states that the minOccurs value for the val child element is 0.</w:t>
      </w:r>
    </w:p>
    <w:p w:rsidR="00024C0A" w:rsidRDefault="00694C0F">
      <w:pPr>
        <w:pStyle w:val="Definition-Field2"/>
      </w:pPr>
      <w:r>
        <w:t>Office requires an occurrence of this element.</w:t>
      </w:r>
    </w:p>
    <w:p w:rsidR="00024C0A" w:rsidRDefault="00694C0F">
      <w:pPr>
        <w:pStyle w:val="Definition-Field"/>
      </w:pPr>
      <w:r>
        <w:t xml:space="preserve">c.   </w:t>
      </w:r>
      <w:r>
        <w:rPr>
          <w:i/>
        </w:rPr>
        <w:t>The standard states that the maxOccurs value for the dPt child element is unbounded.</w:t>
      </w:r>
    </w:p>
    <w:p w:rsidR="00024C0A" w:rsidRDefault="00694C0F">
      <w:pPr>
        <w:pStyle w:val="Definition-Field2"/>
      </w:pPr>
      <w:r>
        <w:t>Office limits the occurrences of</w:t>
      </w:r>
      <w:r>
        <w:t xml:space="preserve"> this element to 4000 when inside an area3DChart and 32000 otherwise.</w:t>
      </w:r>
    </w:p>
    <w:p w:rsidR="00024C0A" w:rsidRDefault="00694C0F">
      <w:pPr>
        <w:pStyle w:val="Heading3"/>
      </w:pPr>
      <w:bookmarkStart w:id="3081" w:name="section_5dd6d57728244f22939485f6c5e4ab13"/>
      <w:bookmarkStart w:id="3082" w:name="_Toc12261601"/>
      <w:r>
        <w:t>Part 1 Section 21.2.2.169, ser (Radar Chart Series)</w:t>
      </w:r>
      <w:bookmarkEnd w:id="3081"/>
      <w:bookmarkEnd w:id="3082"/>
      <w:r>
        <w:fldChar w:fldCharType="begin"/>
      </w:r>
      <w:r>
        <w:instrText xml:space="preserve"> XE "ser (Radar Chart Series)" </w:instrText>
      </w:r>
      <w:r>
        <w:fldChar w:fldCharType="end"/>
      </w:r>
    </w:p>
    <w:p w:rsidR="00024C0A" w:rsidRDefault="00694C0F">
      <w:pPr>
        <w:pStyle w:val="Definition-Field"/>
      </w:pPr>
      <w:r>
        <w:t xml:space="preserve">a.   </w:t>
      </w:r>
      <w:r>
        <w:rPr>
          <w:i/>
        </w:rPr>
        <w:t>The standard states that the maxOccurs value for the dPt child element is unbounded.</w:t>
      </w:r>
    </w:p>
    <w:p w:rsidR="00024C0A" w:rsidRDefault="00694C0F">
      <w:pPr>
        <w:pStyle w:val="Definition-Field2"/>
      </w:pPr>
      <w:r>
        <w:t>Office limi</w:t>
      </w:r>
      <w:r>
        <w:t>ts the occurrences of this element to 32000.</w:t>
      </w:r>
    </w:p>
    <w:p w:rsidR="00024C0A" w:rsidRDefault="00694C0F">
      <w:pPr>
        <w:pStyle w:val="Heading3"/>
      </w:pPr>
      <w:bookmarkStart w:id="3083" w:name="section_22c33bf427ac4854bedac6bd361820d7"/>
      <w:bookmarkStart w:id="3084" w:name="_Toc12261602"/>
      <w:r>
        <w:t>Part 1 Section 21.2.2.170, ser (Bar Chart Series)</w:t>
      </w:r>
      <w:bookmarkEnd w:id="3083"/>
      <w:bookmarkEnd w:id="3084"/>
      <w:r>
        <w:fldChar w:fldCharType="begin"/>
      </w:r>
      <w:r>
        <w:instrText xml:space="preserve"> XE "ser (Bar Chart Series)" </w:instrText>
      </w:r>
      <w:r>
        <w:fldChar w:fldCharType="end"/>
      </w:r>
    </w:p>
    <w:p w:rsidR="00024C0A" w:rsidRDefault="00694C0F">
      <w:pPr>
        <w:pStyle w:val="Definition-Field"/>
      </w:pPr>
      <w:r>
        <w:t xml:space="preserve">a.   </w:t>
      </w:r>
      <w:r>
        <w:rPr>
          <w:i/>
        </w:rPr>
        <w:t>The standard states that the maxOccurs value for the trendline child element is unbounded.</w:t>
      </w:r>
    </w:p>
    <w:p w:rsidR="00024C0A" w:rsidRDefault="00694C0F">
      <w:pPr>
        <w:pStyle w:val="Definition-Field2"/>
      </w:pPr>
      <w:r>
        <w:t>Office limits the occurrences of t</w:t>
      </w:r>
      <w:r>
        <w:t>his element to 254.</w:t>
      </w:r>
    </w:p>
    <w:p w:rsidR="00024C0A" w:rsidRDefault="00694C0F">
      <w:pPr>
        <w:pStyle w:val="Definition-Field"/>
      </w:pPr>
      <w:r>
        <w:t xml:space="preserve">b.   </w:t>
      </w:r>
      <w:r>
        <w:rPr>
          <w:i/>
        </w:rPr>
        <w:t>The standard states that the maxOccurs value for the dPt child element is unbounded.</w:t>
      </w:r>
    </w:p>
    <w:p w:rsidR="00024C0A" w:rsidRDefault="00694C0F">
      <w:pPr>
        <w:pStyle w:val="Definition-Field2"/>
      </w:pPr>
      <w:r>
        <w:t>Office limits the occurrences of this element to 4000 when inside a bar3DChart and 32000 otherwise.</w:t>
      </w:r>
    </w:p>
    <w:p w:rsidR="00024C0A" w:rsidRDefault="00694C0F">
      <w:pPr>
        <w:pStyle w:val="Heading3"/>
      </w:pPr>
      <w:bookmarkStart w:id="3085" w:name="section_578d597b6a684e39a980bc2897aa728e"/>
      <w:bookmarkStart w:id="3086" w:name="_Toc12261603"/>
      <w:r>
        <w:t>Part 1 Section 21.2.2.171, ser (Line Chart Ser</w:t>
      </w:r>
      <w:r>
        <w:t>ies)</w:t>
      </w:r>
      <w:bookmarkEnd w:id="3085"/>
      <w:bookmarkEnd w:id="3086"/>
      <w:r>
        <w:fldChar w:fldCharType="begin"/>
      </w:r>
      <w:r>
        <w:instrText xml:space="preserve"> XE "ser (Line Chart Series)" </w:instrText>
      </w:r>
      <w:r>
        <w:fldChar w:fldCharType="end"/>
      </w:r>
    </w:p>
    <w:p w:rsidR="00024C0A" w:rsidRDefault="00694C0F">
      <w:pPr>
        <w:pStyle w:val="Definition-Field"/>
      </w:pPr>
      <w:r>
        <w:t xml:space="preserve">a.   </w:t>
      </w:r>
      <w:r>
        <w:rPr>
          <w:i/>
        </w:rPr>
        <w:t>The standard states that the maxOccurs value for the trendline child element is unbounded.</w:t>
      </w:r>
    </w:p>
    <w:p w:rsidR="00024C0A" w:rsidRDefault="00694C0F">
      <w:pPr>
        <w:pStyle w:val="Definition-Field2"/>
      </w:pPr>
      <w:r>
        <w:t>Office limits the occurrences of this element to 254.</w:t>
      </w:r>
    </w:p>
    <w:p w:rsidR="00024C0A" w:rsidRDefault="00694C0F">
      <w:pPr>
        <w:pStyle w:val="Definition-Field"/>
      </w:pPr>
      <w:r>
        <w:t xml:space="preserve">b.   </w:t>
      </w:r>
      <w:r>
        <w:rPr>
          <w:i/>
        </w:rPr>
        <w:t>The standard states that the maxOccurs value for the dPt child e</w:t>
      </w:r>
      <w:r>
        <w:rPr>
          <w:i/>
        </w:rPr>
        <w:t>lement is unbounded.</w:t>
      </w:r>
    </w:p>
    <w:p w:rsidR="00024C0A" w:rsidRDefault="00694C0F">
      <w:pPr>
        <w:pStyle w:val="Definition-Field2"/>
      </w:pPr>
      <w:r>
        <w:t>Office limits the occurrences of this element to 4000 when inside a line3DChart and 32000 otherwise.</w:t>
      </w:r>
    </w:p>
    <w:p w:rsidR="00024C0A" w:rsidRDefault="00694C0F">
      <w:pPr>
        <w:pStyle w:val="Heading3"/>
      </w:pPr>
      <w:bookmarkStart w:id="3087" w:name="section_b585b8c605e644d9998ff52943ad40ef"/>
      <w:bookmarkStart w:id="3088" w:name="_Toc12261604"/>
      <w:r>
        <w:t>Part 1 Section 21.2.2.172, ser (Pie Chart Series)</w:t>
      </w:r>
      <w:bookmarkEnd w:id="3087"/>
      <w:bookmarkEnd w:id="3088"/>
      <w:r>
        <w:fldChar w:fldCharType="begin"/>
      </w:r>
      <w:r>
        <w:instrText xml:space="preserve"> XE "ser (Pie Chart Series)" </w:instrText>
      </w:r>
      <w:r>
        <w:fldChar w:fldCharType="end"/>
      </w:r>
    </w:p>
    <w:p w:rsidR="00024C0A" w:rsidRDefault="00694C0F">
      <w:pPr>
        <w:pStyle w:val="Definition-Field"/>
      </w:pPr>
      <w:r>
        <w:t xml:space="preserve">a.   </w:t>
      </w:r>
      <w:r>
        <w:rPr>
          <w:i/>
        </w:rPr>
        <w:t>The standard states that the maxOccurs value for</w:t>
      </w:r>
      <w:r>
        <w:rPr>
          <w:i/>
        </w:rPr>
        <w:t xml:space="preserve"> the dPt child element is unbounded.</w:t>
      </w:r>
    </w:p>
    <w:p w:rsidR="00024C0A" w:rsidRDefault="00694C0F">
      <w:pPr>
        <w:pStyle w:val="Definition-Field2"/>
      </w:pPr>
      <w:r>
        <w:t>Office limits the occurrences of this element to 4000 when inside a pie3DChart element and 32000 otherwise.</w:t>
      </w:r>
    </w:p>
    <w:p w:rsidR="00024C0A" w:rsidRDefault="00694C0F">
      <w:pPr>
        <w:pStyle w:val="Heading3"/>
      </w:pPr>
      <w:bookmarkStart w:id="3089" w:name="section_f1c2a0708b434ac8a91fc7fcfada5506"/>
      <w:bookmarkStart w:id="3090" w:name="_Toc12261605"/>
      <w:r>
        <w:t>Part 1 Section 21.2.2.174, ser (Bubble Chart Series)</w:t>
      </w:r>
      <w:bookmarkEnd w:id="3089"/>
      <w:bookmarkEnd w:id="3090"/>
      <w:r>
        <w:fldChar w:fldCharType="begin"/>
      </w:r>
      <w:r>
        <w:instrText xml:space="preserve"> XE "ser (Bubble Chart Series)" </w:instrText>
      </w:r>
      <w:r>
        <w:fldChar w:fldCharType="end"/>
      </w:r>
    </w:p>
    <w:p w:rsidR="00024C0A" w:rsidRDefault="00694C0F">
      <w:pPr>
        <w:pStyle w:val="Definition-Field"/>
      </w:pPr>
      <w:r>
        <w:t xml:space="preserve">a.   </w:t>
      </w:r>
      <w:r>
        <w:rPr>
          <w:i/>
        </w:rPr>
        <w:t>The standard states</w:t>
      </w:r>
      <w:r>
        <w:rPr>
          <w:i/>
        </w:rPr>
        <w:t xml:space="preserve"> that the maxOccurs value for the trendline child element is unbounded.</w:t>
      </w:r>
    </w:p>
    <w:p w:rsidR="00024C0A" w:rsidRDefault="00694C0F">
      <w:pPr>
        <w:pStyle w:val="Definition-Field2"/>
      </w:pPr>
      <w:r>
        <w:t>Office limits the occurrences of this element to 254.</w:t>
      </w:r>
    </w:p>
    <w:p w:rsidR="00024C0A" w:rsidRDefault="00694C0F">
      <w:pPr>
        <w:pStyle w:val="Definition-Field"/>
      </w:pPr>
      <w:r>
        <w:t xml:space="preserve">b.   </w:t>
      </w:r>
      <w:r>
        <w:rPr>
          <w:i/>
        </w:rPr>
        <w:t>The standard states that the minOccurs value for the yVal child element is 0.</w:t>
      </w:r>
    </w:p>
    <w:p w:rsidR="00024C0A" w:rsidRDefault="00694C0F">
      <w:pPr>
        <w:pStyle w:val="Definition-Field2"/>
      </w:pPr>
      <w:r>
        <w:t>Office requires an occurrence of this element.</w:t>
      </w:r>
    </w:p>
    <w:p w:rsidR="00024C0A" w:rsidRDefault="00694C0F">
      <w:pPr>
        <w:pStyle w:val="Definition-Field"/>
      </w:pPr>
      <w:r>
        <w:t xml:space="preserve">c.   </w:t>
      </w:r>
      <w:r>
        <w:rPr>
          <w:i/>
        </w:rPr>
        <w:t>The standard states that the maxOccurs value for the dPt child element is unbounded.</w:t>
      </w:r>
    </w:p>
    <w:p w:rsidR="00024C0A" w:rsidRDefault="00694C0F">
      <w:pPr>
        <w:pStyle w:val="Definition-Field2"/>
      </w:pPr>
      <w:r>
        <w:t>Office limits the occurrences of this element to 32000.</w:t>
      </w:r>
    </w:p>
    <w:p w:rsidR="00024C0A" w:rsidRDefault="00694C0F">
      <w:pPr>
        <w:pStyle w:val="Heading3"/>
      </w:pPr>
      <w:bookmarkStart w:id="3091" w:name="section_148a97b98f4e4289bbf9e01ca98276fd"/>
      <w:bookmarkStart w:id="3092" w:name="_Toc12261606"/>
      <w:r>
        <w:lastRenderedPageBreak/>
        <w:t>Part 1 Section 21.2.2.175, serAx (Series Axis)</w:t>
      </w:r>
      <w:bookmarkEnd w:id="3091"/>
      <w:bookmarkEnd w:id="3092"/>
      <w:r>
        <w:fldChar w:fldCharType="begin"/>
      </w:r>
      <w:r>
        <w:instrText xml:space="preserve"> XE "serAx (Series Axis)" </w:instrText>
      </w:r>
      <w:r>
        <w:fldChar w:fldCharType="end"/>
      </w:r>
    </w:p>
    <w:p w:rsidR="00024C0A" w:rsidRDefault="00694C0F">
      <w:pPr>
        <w:pStyle w:val="Definition-Field"/>
      </w:pPr>
      <w:r>
        <w:t xml:space="preserve">a.   </w:t>
      </w:r>
      <w:r>
        <w:rPr>
          <w:i/>
        </w:rPr>
        <w:t>The standard does not place an</w:t>
      </w:r>
      <w:r>
        <w:rPr>
          <w:i/>
        </w:rPr>
        <w:t>y restrictions on the val attribute of the axId element.</w:t>
      </w:r>
    </w:p>
    <w:p w:rsidR="00024C0A" w:rsidRDefault="00694C0F">
      <w:pPr>
        <w:pStyle w:val="Definition-Field2"/>
      </w:pPr>
      <w:r>
        <w:t>Office requires that the val attribute of the axId element match the val attribute of an axId element in the parent chart.</w:t>
      </w:r>
    </w:p>
    <w:p w:rsidR="00024C0A" w:rsidRDefault="00694C0F">
      <w:pPr>
        <w:pStyle w:val="Definition-Field"/>
      </w:pPr>
      <w:r>
        <w:t xml:space="preserve">b.   </w:t>
      </w:r>
      <w:r>
        <w:rPr>
          <w:i/>
        </w:rPr>
        <w:t xml:space="preserve">The standard does not state any exceptions that cause the numFmt child </w:t>
      </w:r>
      <w:r>
        <w:rPr>
          <w:i/>
        </w:rPr>
        <w:t>element to be ignored.</w:t>
      </w:r>
    </w:p>
    <w:p w:rsidR="00024C0A" w:rsidRDefault="00694C0F">
      <w:pPr>
        <w:pStyle w:val="Definition-Field2"/>
      </w:pPr>
      <w:r>
        <w:t>Office ignores the numFmt child element but will load and save the element.</w:t>
      </w:r>
    </w:p>
    <w:p w:rsidR="00024C0A" w:rsidRDefault="00694C0F">
      <w:pPr>
        <w:pStyle w:val="Heading3"/>
      </w:pPr>
      <w:bookmarkStart w:id="3093" w:name="section_446ec2e628874179aa9c4c4e8ff79873"/>
      <w:bookmarkStart w:id="3094" w:name="_Toc12261607"/>
      <w:r>
        <w:t>Part 1 Section 21.2.2.176, serLines (Series Lines)</w:t>
      </w:r>
      <w:bookmarkEnd w:id="3093"/>
      <w:bookmarkEnd w:id="3094"/>
      <w:r>
        <w:fldChar w:fldCharType="begin"/>
      </w:r>
      <w:r>
        <w:instrText xml:space="preserve"> XE "serLines (Series Lines)" </w:instrText>
      </w:r>
      <w:r>
        <w:fldChar w:fldCharType="end"/>
      </w:r>
    </w:p>
    <w:p w:rsidR="00024C0A" w:rsidRDefault="00694C0F">
      <w:pPr>
        <w:pStyle w:val="Definition-Field"/>
      </w:pPr>
      <w:r>
        <w:t xml:space="preserve">a.   </w:t>
      </w:r>
      <w:r>
        <w:rPr>
          <w:i/>
        </w:rPr>
        <w:t xml:space="preserve">The standard states that this element specifies series lines for the </w:t>
      </w:r>
      <w:r>
        <w:rPr>
          <w:i/>
        </w:rPr>
        <w:t>chart.</w:t>
      </w:r>
    </w:p>
    <w:p w:rsidR="00024C0A" w:rsidRDefault="00694C0F">
      <w:pPr>
        <w:pStyle w:val="Definition-Field2"/>
      </w:pPr>
      <w:r>
        <w:t>In Office, if the parent is barChart, the series lines connect the top of adjacent data points within the same series; if the parent is ofPieChart, the series lines connect the secondary pie or column to the other slice.</w:t>
      </w:r>
    </w:p>
    <w:p w:rsidR="00024C0A" w:rsidRDefault="00694C0F">
      <w:pPr>
        <w:pStyle w:val="Definition-Field"/>
      </w:pPr>
      <w:r>
        <w:t xml:space="preserve">b.   </w:t>
      </w:r>
      <w:r>
        <w:rPr>
          <w:i/>
        </w:rPr>
        <w:t>The standard states tha</w:t>
      </w:r>
      <w:r>
        <w:rPr>
          <w:i/>
        </w:rPr>
        <w:t>t this element can be a child of any barChart element.</w:t>
      </w:r>
    </w:p>
    <w:p w:rsidR="00024C0A" w:rsidRDefault="00694C0F">
      <w:pPr>
        <w:pStyle w:val="Definition-Field2"/>
      </w:pPr>
      <w:r>
        <w:t>Office requires that the val attribute of sibling element grouping equal percentStacked or stacked when this element is specified.</w:t>
      </w:r>
    </w:p>
    <w:p w:rsidR="00024C0A" w:rsidRDefault="00694C0F">
      <w:pPr>
        <w:pStyle w:val="Heading3"/>
      </w:pPr>
      <w:bookmarkStart w:id="3095" w:name="section_064f48d37de64d57ac6b6deec7c01b6c"/>
      <w:bookmarkStart w:id="3096" w:name="_Toc12261608"/>
      <w:r>
        <w:t>Part 1 Section 21.2.2.177, shape (Shape)</w:t>
      </w:r>
      <w:bookmarkEnd w:id="3095"/>
      <w:bookmarkEnd w:id="3096"/>
      <w:r>
        <w:fldChar w:fldCharType="begin"/>
      </w:r>
      <w:r>
        <w:instrText xml:space="preserve"> XE "shape (Shape)" </w:instrText>
      </w:r>
      <w:r>
        <w:fldChar w:fldCharType="end"/>
      </w:r>
    </w:p>
    <w:p w:rsidR="00024C0A" w:rsidRDefault="00694C0F">
      <w:pPr>
        <w:pStyle w:val="Definition-Field"/>
      </w:pPr>
      <w:r>
        <w:t xml:space="preserve">a.   </w:t>
      </w:r>
      <w:r>
        <w:rPr>
          <w:i/>
        </w:rPr>
        <w:t>The standard states that this element specifies the shape of a series or a 3-D bar chart.</w:t>
      </w:r>
    </w:p>
    <w:p w:rsidR="00024C0A" w:rsidRDefault="00694C0F">
      <w:pPr>
        <w:pStyle w:val="Definition-Field2"/>
      </w:pPr>
      <w:r>
        <w:t>In Office, this element specifies the default series shape when this element is a child of bar3DChart.</w:t>
      </w:r>
    </w:p>
    <w:p w:rsidR="00024C0A" w:rsidRDefault="00694C0F">
      <w:pPr>
        <w:pStyle w:val="Definition-Field"/>
      </w:pPr>
      <w:r>
        <w:t xml:space="preserve">b.   </w:t>
      </w:r>
      <w:r>
        <w:rPr>
          <w:i/>
        </w:rPr>
        <w:t xml:space="preserve">The standard does not place any restrictions on when this </w:t>
      </w:r>
      <w:r>
        <w:rPr>
          <w:i/>
        </w:rPr>
        <w:t>element can be a child of ser.</w:t>
      </w:r>
    </w:p>
    <w:p w:rsidR="00024C0A" w:rsidRDefault="00694C0F">
      <w:pPr>
        <w:pStyle w:val="Definition-Field2"/>
      </w:pPr>
      <w:r>
        <w:t>Office requires that the ancestor include bar3DChart when this element is a child of ser.</w:t>
      </w:r>
    </w:p>
    <w:p w:rsidR="00024C0A" w:rsidRDefault="00694C0F">
      <w:pPr>
        <w:pStyle w:val="Heading3"/>
      </w:pPr>
      <w:bookmarkStart w:id="3097" w:name="section_8d4ce2eacc594f7691712ea85c07e463"/>
      <w:bookmarkStart w:id="3098" w:name="_Toc12261609"/>
      <w:r>
        <w:t>Part 1 Section 21.2.2.178, showBubbleSize (Show Bubble Size)</w:t>
      </w:r>
      <w:bookmarkEnd w:id="3097"/>
      <w:bookmarkEnd w:id="3098"/>
      <w:r>
        <w:fldChar w:fldCharType="begin"/>
      </w:r>
      <w:r>
        <w:instrText xml:space="preserve"> XE "showBubbleSize (Show Bubble Size)" </w:instrText>
      </w:r>
      <w:r>
        <w:fldChar w:fldCharType="end"/>
      </w:r>
    </w:p>
    <w:p w:rsidR="00024C0A" w:rsidRDefault="00694C0F">
      <w:pPr>
        <w:pStyle w:val="Definition-Field"/>
      </w:pPr>
      <w:r>
        <w:t xml:space="preserve">a.   </w:t>
      </w:r>
      <w:r>
        <w:rPr>
          <w:i/>
        </w:rPr>
        <w:t>The standard states that th</w:t>
      </w:r>
      <w:r>
        <w:rPr>
          <w:i/>
        </w:rPr>
        <w:t>is element can be a child of any dLbl or dLbls element.</w:t>
      </w:r>
    </w:p>
    <w:p w:rsidR="00024C0A" w:rsidRDefault="00694C0F">
      <w:pPr>
        <w:pStyle w:val="Definition-Field2"/>
      </w:pPr>
      <w:r>
        <w:t>Office requires that the ancestor include bubbleChart when this element is specified.</w:t>
      </w:r>
    </w:p>
    <w:p w:rsidR="00024C0A" w:rsidRDefault="00694C0F">
      <w:pPr>
        <w:pStyle w:val="Heading3"/>
      </w:pPr>
      <w:bookmarkStart w:id="3099" w:name="section_2285918b950e4befa710d7b9588c59c0"/>
      <w:bookmarkStart w:id="3100" w:name="_Toc12261610"/>
      <w:r>
        <w:t>Part 1 Section 21.2.2.180, showDLblsOverMax (Show Data Labels over Maximum)</w:t>
      </w:r>
      <w:bookmarkEnd w:id="3099"/>
      <w:bookmarkEnd w:id="3100"/>
      <w:r>
        <w:fldChar w:fldCharType="begin"/>
      </w:r>
      <w:r>
        <w:instrText xml:space="preserve"> XE "showDLblsOverMax (Show Data Labels</w:instrText>
      </w:r>
      <w:r>
        <w:instrText xml:space="preserve"> over Maximum)" </w:instrText>
      </w:r>
      <w:r>
        <w:fldChar w:fldCharType="end"/>
      </w:r>
    </w:p>
    <w:p w:rsidR="00024C0A" w:rsidRDefault="00694C0F">
      <w:pPr>
        <w:pStyle w:val="Definition-Field"/>
      </w:pPr>
      <w:r>
        <w:t xml:space="preserve">a.   </w:t>
      </w:r>
      <w:r>
        <w:rPr>
          <w:i/>
        </w:rPr>
        <w:t>The standard states that this element specifies that data labels over the maximum of the chart shall be shown.</w:t>
      </w:r>
    </w:p>
    <w:p w:rsidR="00024C0A" w:rsidRDefault="00694C0F">
      <w:pPr>
        <w:pStyle w:val="Definition-Field2"/>
      </w:pPr>
      <w:r>
        <w:t>In Office, this element specifies that data labels with data whose value is over the axis maximum  or under the axis mini</w:t>
      </w:r>
      <w:r>
        <w:t>mum shall be shown.</w:t>
      </w:r>
    </w:p>
    <w:p w:rsidR="00024C0A" w:rsidRDefault="00694C0F">
      <w:pPr>
        <w:pStyle w:val="Heading3"/>
      </w:pPr>
      <w:bookmarkStart w:id="3101" w:name="section_52830fc380684e699e0e9fdb4d45e7ee"/>
      <w:bookmarkStart w:id="3102" w:name="_Toc12261611"/>
      <w:r>
        <w:t>Part 1 Section 21.2.2.183, showLeaderLines (Show Leader Lines)</w:t>
      </w:r>
      <w:bookmarkEnd w:id="3101"/>
      <w:bookmarkEnd w:id="3102"/>
      <w:r>
        <w:fldChar w:fldCharType="begin"/>
      </w:r>
      <w:r>
        <w:instrText xml:space="preserve"> XE "showLeaderLines (Show Leader Lines)" </w:instrText>
      </w:r>
      <w:r>
        <w:fldChar w:fldCharType="end"/>
      </w:r>
    </w:p>
    <w:p w:rsidR="00024C0A" w:rsidRDefault="00694C0F">
      <w:pPr>
        <w:pStyle w:val="Definition-Field"/>
      </w:pPr>
      <w:r>
        <w:t xml:space="preserve">a.   </w:t>
      </w:r>
      <w:r>
        <w:rPr>
          <w:i/>
        </w:rPr>
        <w:t>The standard states that this element can be a child of any dLbls element.</w:t>
      </w:r>
    </w:p>
    <w:p w:rsidR="00024C0A" w:rsidRDefault="00694C0F">
      <w:pPr>
        <w:pStyle w:val="Definition-Field2"/>
      </w:pPr>
      <w:r>
        <w:t>Office requires that the ancestor include doughnu</w:t>
      </w:r>
      <w:r>
        <w:t>tChart, ofPieChart, pie3DChart, or pieChart when this element is specified.</w:t>
      </w:r>
    </w:p>
    <w:p w:rsidR="00024C0A" w:rsidRDefault="00694C0F">
      <w:pPr>
        <w:pStyle w:val="Definition-Field"/>
      </w:pPr>
      <w:r>
        <w:t xml:space="preserve">b.   </w:t>
      </w:r>
      <w:r>
        <w:rPr>
          <w:i/>
        </w:rPr>
        <w:t>The standard states that this element can be a child of any dLbls element.</w:t>
      </w:r>
    </w:p>
    <w:p w:rsidR="00024C0A" w:rsidRDefault="00694C0F">
      <w:pPr>
        <w:pStyle w:val="Definition-Field2"/>
      </w:pPr>
      <w:r>
        <w:lastRenderedPageBreak/>
        <w:t>Office requires that the val attribute equals true on one or more of the showCatName, showSerName, s</w:t>
      </w:r>
      <w:r>
        <w:t>howVal, or showPercent sibling elements when this element is specified.</w:t>
      </w:r>
    </w:p>
    <w:p w:rsidR="00024C0A" w:rsidRDefault="00694C0F">
      <w:pPr>
        <w:pStyle w:val="Heading3"/>
      </w:pPr>
      <w:bookmarkStart w:id="3103" w:name="section_b0d0713fac9844b4b4ee2a490237c3ac"/>
      <w:bookmarkStart w:id="3104" w:name="_Toc12261612"/>
      <w:r>
        <w:t>Part 1 Section 21.2.2.184, showLegendKey (Show Legend Key)</w:t>
      </w:r>
      <w:bookmarkEnd w:id="3103"/>
      <w:bookmarkEnd w:id="3104"/>
      <w:r>
        <w:fldChar w:fldCharType="begin"/>
      </w:r>
      <w:r>
        <w:instrText xml:space="preserve"> XE "showLegendKey (Show Legend Key)" </w:instrText>
      </w:r>
      <w:r>
        <w:fldChar w:fldCharType="end"/>
      </w:r>
    </w:p>
    <w:p w:rsidR="00024C0A" w:rsidRDefault="00694C0F">
      <w:pPr>
        <w:pStyle w:val="Definition-Field"/>
      </w:pPr>
      <w:r>
        <w:t xml:space="preserve">a.   </w:t>
      </w:r>
      <w:r>
        <w:rPr>
          <w:i/>
        </w:rPr>
        <w:t>The standard does not specify what occurs when legend keys are shown in the data</w:t>
      </w:r>
      <w:r>
        <w:rPr>
          <w:i/>
        </w:rPr>
        <w:t xml:space="preserve"> label.</w:t>
      </w:r>
    </w:p>
    <w:p w:rsidR="00024C0A" w:rsidRDefault="00694C0F">
      <w:pPr>
        <w:pStyle w:val="Definition-Field2"/>
      </w:pPr>
      <w:r>
        <w:t>In Office, this element specifies if legend keys shall be shown in the data label(s) indicated by the parent element. The data label legend key has the same formatting as that of the corresponding data's legend key in the chart legend.</w:t>
      </w:r>
    </w:p>
    <w:p w:rsidR="00024C0A" w:rsidRDefault="00694C0F">
      <w:pPr>
        <w:pStyle w:val="Definition-Field"/>
      </w:pPr>
      <w:r>
        <w:t xml:space="preserve">b.   </w:t>
      </w:r>
      <w:r>
        <w:rPr>
          <w:i/>
        </w:rPr>
        <w:t>The sta</w:t>
      </w:r>
      <w:r>
        <w:rPr>
          <w:i/>
        </w:rPr>
        <w:t>ndard does not specify a relationship between sibling elements.</w:t>
      </w:r>
    </w:p>
    <w:p w:rsidR="00024C0A" w:rsidRDefault="00694C0F">
      <w:pPr>
        <w:pStyle w:val="Definition-Field2"/>
      </w:pPr>
      <w:r>
        <w:t>Office only displays the legend key when that val attribute equals true on one or more of the showBubbleSize, showCatName, showSerName, showVal, or showPercent sibling elements or dLbl contain</w:t>
      </w:r>
      <w:r>
        <w:t>s a sibling tx element.</w:t>
      </w:r>
    </w:p>
    <w:p w:rsidR="00024C0A" w:rsidRDefault="00694C0F">
      <w:pPr>
        <w:pStyle w:val="Heading3"/>
      </w:pPr>
      <w:bookmarkStart w:id="3105" w:name="section_5ab67be775d9474c8104d1167f77b169"/>
      <w:bookmarkStart w:id="3106" w:name="_Toc12261613"/>
      <w:r>
        <w:t>Part 1 Section 21.2.2.187, showPercent (Show Percent)</w:t>
      </w:r>
      <w:bookmarkEnd w:id="3105"/>
      <w:bookmarkEnd w:id="3106"/>
      <w:r>
        <w:fldChar w:fldCharType="begin"/>
      </w:r>
      <w:r>
        <w:instrText xml:space="preserve"> XE "showPercent (Show Percent)" </w:instrText>
      </w:r>
      <w:r>
        <w:fldChar w:fldCharType="end"/>
      </w:r>
    </w:p>
    <w:p w:rsidR="00024C0A" w:rsidRDefault="00694C0F">
      <w:pPr>
        <w:pStyle w:val="Definition-Field"/>
      </w:pPr>
      <w:r>
        <w:t xml:space="preserve">a.   </w:t>
      </w:r>
      <w:r>
        <w:rPr>
          <w:i/>
        </w:rPr>
        <w:t>The standard states that this element can be a child of any dLbl or dLbls element.</w:t>
      </w:r>
    </w:p>
    <w:p w:rsidR="00024C0A" w:rsidRDefault="00694C0F">
      <w:pPr>
        <w:pStyle w:val="Definition-Field2"/>
      </w:pPr>
      <w:r>
        <w:t>Office requires that the ancestor include doughnutChart</w:t>
      </w:r>
      <w:r>
        <w:t>, ofPieChart, pie3DChart, or pieChart when this element is specified.</w:t>
      </w:r>
    </w:p>
    <w:p w:rsidR="00024C0A" w:rsidRDefault="00694C0F">
      <w:pPr>
        <w:pStyle w:val="Heading3"/>
      </w:pPr>
      <w:bookmarkStart w:id="3107" w:name="section_a0cfce2cbcc6459ab1af121b9b2453bf"/>
      <w:bookmarkStart w:id="3108" w:name="_Toc12261614"/>
      <w:r>
        <w:t>Part 1 Section 21.2.2.191, sideWall (Side Wall)</w:t>
      </w:r>
      <w:bookmarkEnd w:id="3107"/>
      <w:bookmarkEnd w:id="3108"/>
      <w:r>
        <w:fldChar w:fldCharType="begin"/>
      </w:r>
      <w:r>
        <w:instrText xml:space="preserve"> XE "sideWall (Side Wall)" </w:instrText>
      </w:r>
      <w:r>
        <w:fldChar w:fldCharType="end"/>
      </w:r>
    </w:p>
    <w:p w:rsidR="00024C0A" w:rsidRDefault="00694C0F">
      <w:pPr>
        <w:pStyle w:val="Definition-Field"/>
      </w:pPr>
      <w:r>
        <w:t xml:space="preserve">a.   </w:t>
      </w:r>
      <w:r>
        <w:rPr>
          <w:i/>
        </w:rPr>
        <w:t>The standard states that this element can be a child of any chart element.</w:t>
      </w:r>
    </w:p>
    <w:p w:rsidR="00024C0A" w:rsidRDefault="00694C0F">
      <w:pPr>
        <w:pStyle w:val="Definition-Field2"/>
      </w:pPr>
      <w:r>
        <w:t>Office requires that the char</w:t>
      </w:r>
      <w:r>
        <w:t>t contain a 3D chart group (bar3DChart, line3DChart, area3DChart, surface3DChart, or pie3DChart) when this element is specified.</w:t>
      </w:r>
    </w:p>
    <w:p w:rsidR="00024C0A" w:rsidRDefault="00694C0F">
      <w:pPr>
        <w:pStyle w:val="Heading3"/>
      </w:pPr>
      <w:bookmarkStart w:id="3109" w:name="section_002a323721c5425f83521a108d5bc7bb"/>
      <w:bookmarkStart w:id="3110" w:name="_Toc12261615"/>
      <w:r>
        <w:t>Part 1 Section 21.2.2.195, splitPos (Split Position)</w:t>
      </w:r>
      <w:bookmarkEnd w:id="3109"/>
      <w:bookmarkEnd w:id="3110"/>
      <w:r>
        <w:fldChar w:fldCharType="begin"/>
      </w:r>
      <w:r>
        <w:instrText xml:space="preserve"> XE "splitPos (Split Position)" </w:instrText>
      </w:r>
      <w:r>
        <w:fldChar w:fldCharType="end"/>
      </w:r>
    </w:p>
    <w:p w:rsidR="00024C0A" w:rsidRDefault="00694C0F">
      <w:pPr>
        <w:pStyle w:val="Definition-Field2"/>
      </w:pPr>
      <w:r>
        <w:rPr>
          <w:i/>
        </w:rPr>
        <w:t xml:space="preserve">For additional notes that apply to this </w:t>
      </w:r>
      <w:r>
        <w:rPr>
          <w:i/>
        </w:rPr>
        <w:t xml:space="preserve">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w:t>
      </w:r>
    </w:p>
    <w:p w:rsidR="00024C0A" w:rsidRDefault="00694C0F">
      <w:pPr>
        <w:pStyle w:val="Definition-Field"/>
      </w:pPr>
      <w:r>
        <w:t xml:space="preserve">a.   </w:t>
      </w:r>
      <w:r>
        <w:rPr>
          <w:i/>
        </w:rPr>
        <w:t>The standard does not st</w:t>
      </w:r>
      <w:r>
        <w:rPr>
          <w:i/>
        </w:rPr>
        <w:t>ate any interplay between sibling element splitType and the val attribute.</w:t>
      </w:r>
    </w:p>
    <w:p w:rsidR="00024C0A" w:rsidRDefault="00694C0F">
      <w:pPr>
        <w:pStyle w:val="Definition-Field2"/>
      </w:pPr>
      <w:r>
        <w:t xml:space="preserve">In Office, if splitType is equal to pos, the value of the val attribute shall be an integer in the range of 0 to 32000, inclusive. If splitType is equal to percent, the value shall </w:t>
      </w:r>
      <w:r>
        <w:t>be in the range of 0.0 to 100.0, inclusive.</w:t>
      </w:r>
    </w:p>
    <w:p w:rsidR="00024C0A" w:rsidRDefault="00694C0F">
      <w:pPr>
        <w:pStyle w:val="Definition-Field"/>
      </w:pPr>
      <w:r>
        <w:t xml:space="preserve">b.   </w:t>
      </w:r>
      <w:r>
        <w:rPr>
          <w:i/>
        </w:rPr>
        <w:t>The standard states that this element can be a child of any ofPieChart element.</w:t>
      </w:r>
    </w:p>
    <w:p w:rsidR="00024C0A" w:rsidRDefault="00694C0F">
      <w:pPr>
        <w:pStyle w:val="Definition-Field2"/>
      </w:pPr>
      <w:r>
        <w:t xml:space="preserve">Office requires that the ofPieChart parent contain a splitType element with a val attribute equal to percent, pos, or val when </w:t>
      </w:r>
      <w:r>
        <w:t>this element is specified.</w:t>
      </w:r>
    </w:p>
    <w:p w:rsidR="00024C0A" w:rsidRDefault="00694C0F">
      <w:pPr>
        <w:pStyle w:val="Definition-Field"/>
      </w:pPr>
      <w:r>
        <w:t xml:space="preserve">c.   </w:t>
      </w:r>
      <w:r>
        <w:rPr>
          <w:i/>
        </w:rPr>
        <w:t>The standard states that attribute val is of type xsd:double.</w:t>
      </w:r>
    </w:p>
    <w:p w:rsidR="00024C0A" w:rsidRDefault="00694C0F">
      <w:pPr>
        <w:pStyle w:val="Definition-Field2"/>
      </w:pPr>
      <w:r>
        <w:t>Office does not allow INF, -INF, and NaN as supported values.</w:t>
      </w:r>
    </w:p>
    <w:p w:rsidR="00024C0A" w:rsidRDefault="00694C0F">
      <w:pPr>
        <w:pStyle w:val="Heading3"/>
      </w:pPr>
      <w:bookmarkStart w:id="3111" w:name="section_48975c4658444ebf8217dcf06ae04755"/>
      <w:bookmarkStart w:id="3112" w:name="_Toc12261616"/>
      <w:r>
        <w:t>Part 1 Section 21.2.2.196, splitType (Split Type)</w:t>
      </w:r>
      <w:bookmarkEnd w:id="3111"/>
      <w:bookmarkEnd w:id="3112"/>
      <w:r>
        <w:fldChar w:fldCharType="begin"/>
      </w:r>
      <w:r>
        <w:instrText xml:space="preserve"> XE "splitType (Split Type)" </w:instrText>
      </w:r>
      <w:r>
        <w:fldChar w:fldCharType="end"/>
      </w:r>
    </w:p>
    <w:p w:rsidR="00024C0A" w:rsidRDefault="00694C0F">
      <w:pPr>
        <w:pStyle w:val="Definition-Field"/>
      </w:pPr>
      <w:r>
        <w:t xml:space="preserve">a.   </w:t>
      </w:r>
      <w:r>
        <w:rPr>
          <w:i/>
        </w:rPr>
        <w:t>The standard i</w:t>
      </w:r>
      <w:r>
        <w:rPr>
          <w:i/>
        </w:rPr>
        <w:t>mplies that the val attribute is optional.</w:t>
      </w:r>
    </w:p>
    <w:p w:rsidR="00024C0A" w:rsidRDefault="00694C0F">
      <w:pPr>
        <w:pStyle w:val="Definition-Field2"/>
      </w:pPr>
      <w:r>
        <w:t>Office requires this attribute.</w:t>
      </w:r>
    </w:p>
    <w:p w:rsidR="00024C0A" w:rsidRDefault="00694C0F">
      <w:pPr>
        <w:pStyle w:val="Definition-Field"/>
      </w:pPr>
      <w:r>
        <w:t xml:space="preserve">b.   </w:t>
      </w:r>
      <w:r>
        <w:rPr>
          <w:i/>
        </w:rPr>
        <w:t>The standard does not define the behavior when this element is omitted.</w:t>
      </w:r>
    </w:p>
    <w:p w:rsidR="00024C0A" w:rsidRDefault="00694C0F">
      <w:pPr>
        <w:pStyle w:val="Definition-Field2"/>
      </w:pPr>
      <w:r>
        <w:lastRenderedPageBreak/>
        <w:t>In Office, if this element is not specified the default behavior is to split by position with a split po</w:t>
      </w:r>
      <w:r>
        <w:t>sition value equal to the number of data points in the series divided by 3, rounded up.</w:t>
      </w:r>
    </w:p>
    <w:p w:rsidR="00024C0A" w:rsidRDefault="00694C0F">
      <w:pPr>
        <w:pStyle w:val="Heading3"/>
      </w:pPr>
      <w:bookmarkStart w:id="3113" w:name="section_efeb511d32754e5da51804bd555d9540"/>
      <w:bookmarkStart w:id="3114" w:name="_Toc12261617"/>
      <w:r>
        <w:t>Part 1 Section 21.2.2.197, spPr (Shape Properties)</w:t>
      </w:r>
      <w:bookmarkEnd w:id="3113"/>
      <w:bookmarkEnd w:id="3114"/>
      <w:r>
        <w:fldChar w:fldCharType="begin"/>
      </w:r>
      <w:r>
        <w:instrText xml:space="preserve"> XE "spPr (Shape Properties)" </w:instrText>
      </w:r>
      <w:r>
        <w:fldChar w:fldCharType="end"/>
      </w:r>
    </w:p>
    <w:p w:rsidR="00024C0A" w:rsidRDefault="00694C0F">
      <w:pPr>
        <w:pStyle w:val="Definition-Field2"/>
      </w:pPr>
      <w:r>
        <w:rPr>
          <w:i/>
        </w:rPr>
        <w:t>For additional notes that apply to this portion of the standard, please see the notes</w:t>
      </w:r>
      <w:r>
        <w:rPr>
          <w:i/>
        </w:rPr>
        <w:t xml:space="preserve"> for </w:t>
      </w:r>
      <w:hyperlink w:anchor="Section_a10c455e7a6e44c5bf8cfb7c2b3e2eac">
        <w:r>
          <w:rPr>
            <w:rStyle w:val="Hyperlink"/>
          </w:rPr>
          <w:t>spPr, §20.5.2.30(a-c)</w:t>
        </w:r>
      </w:hyperlink>
      <w:r>
        <w:rPr>
          <w:i/>
        </w:rPr>
        <w:t>.</w:t>
      </w:r>
    </w:p>
    <w:p w:rsidR="00024C0A" w:rsidRDefault="00694C0F">
      <w:pPr>
        <w:pStyle w:val="Definition-Field"/>
      </w:pPr>
      <w:r>
        <w:t xml:space="preserve">a.   </w:t>
      </w:r>
      <w:r>
        <w:rPr>
          <w:i/>
        </w:rPr>
        <w:t>The standard states grpFill can be a child of the spPr element.</w:t>
      </w:r>
    </w:p>
    <w:p w:rsidR="00024C0A" w:rsidRDefault="00694C0F">
      <w:pPr>
        <w:pStyle w:val="Definition-Field2"/>
      </w:pPr>
      <w:r>
        <w:t>Office does not allow grpFill to be a child of spPr.</w:t>
      </w:r>
    </w:p>
    <w:p w:rsidR="00024C0A" w:rsidRDefault="00694C0F">
      <w:pPr>
        <w:pStyle w:val="Definition-Field"/>
      </w:pPr>
      <w:r>
        <w:t xml:space="preserve">b.   </w:t>
      </w:r>
      <w:r>
        <w:rPr>
          <w:i/>
        </w:rPr>
        <w:t>The standard states blipFill, gradFill</w:t>
      </w:r>
      <w:r>
        <w:rPr>
          <w:i/>
        </w:rPr>
        <w:t>, grpFill, noFill, patFill, and solidFill can be a child of any spPr element.</w:t>
      </w:r>
    </w:p>
    <w:p w:rsidR="00024C0A" w:rsidRDefault="00694C0F">
      <w:pPr>
        <w:pStyle w:val="Definition-Field2"/>
      </w:pPr>
      <w:r>
        <w:t xml:space="preserve">Office does not persist the *Fill child elements if the parent element is dropLines, hiLowLines, leaderLines, majorGridlines, minorGridlines, ser (line, scatter, or radar with </w:t>
      </w:r>
      <w:r>
        <w:t>radarStyle not equal to filled), or trendline.</w:t>
      </w:r>
    </w:p>
    <w:p w:rsidR="00024C0A" w:rsidRDefault="00694C0F">
      <w:pPr>
        <w:pStyle w:val="Definition-Field"/>
      </w:pPr>
      <w:r>
        <w:t xml:space="preserve">c.   </w:t>
      </w:r>
      <w:r>
        <w:rPr>
          <w:i/>
        </w:rPr>
        <w:t>The standard states effectDag and effectLst can be a child of any spPr element.</w:t>
      </w:r>
    </w:p>
    <w:p w:rsidR="00024C0A" w:rsidRDefault="00694C0F">
      <w:pPr>
        <w:pStyle w:val="Definition-Field2"/>
      </w:pPr>
      <w:r>
        <w:t>Office does not persist the effectDag and effectLst child elements if the parent element is leaderLines.</w:t>
      </w:r>
    </w:p>
    <w:p w:rsidR="00024C0A" w:rsidRDefault="00694C0F">
      <w:pPr>
        <w:pStyle w:val="Definition-Field"/>
      </w:pPr>
      <w:r>
        <w:t xml:space="preserve">d.   </w:t>
      </w:r>
      <w:r>
        <w:rPr>
          <w:i/>
        </w:rPr>
        <w:t>The standard d</w:t>
      </w:r>
      <w:r>
        <w:rPr>
          <w:i/>
        </w:rPr>
        <w:t>oes not specify parent elements of spPr that do not persist the scene3d child element.</w:t>
      </w:r>
    </w:p>
    <w:p w:rsidR="00024C0A" w:rsidRDefault="00694C0F">
      <w:pPr>
        <w:pStyle w:val="Definition-Field2"/>
      </w:pPr>
      <w:r>
        <w:t>Office does not persist the scene3d child element if the parent element is *Ax, dropLines, dTable, hiLowLines, leaderLines, majorGridLines, minorGridlines, ser (line, sc</w:t>
      </w:r>
      <w:r>
        <w:t>atter, or radar with radarStyle not equal to filled), seriesLines, or trendline.</w:t>
      </w:r>
    </w:p>
    <w:p w:rsidR="00024C0A" w:rsidRDefault="00694C0F">
      <w:pPr>
        <w:pStyle w:val="Definition-Field"/>
      </w:pPr>
      <w:r>
        <w:t xml:space="preserve">e.   </w:t>
      </w:r>
      <w:r>
        <w:rPr>
          <w:i/>
        </w:rPr>
        <w:t>The standard states sp3d can be a child of any spPr element.</w:t>
      </w:r>
    </w:p>
    <w:p w:rsidR="00024C0A" w:rsidRDefault="00694C0F">
      <w:pPr>
        <w:pStyle w:val="Definition-Field2"/>
      </w:pPr>
      <w:r>
        <w:t>Office does not persist the sp3d child element if the parent element is *Ax, dropLines, dTable, hiLowLines, l</w:t>
      </w:r>
      <w:r>
        <w:t>eaderLines, majorGridLines, minorGridlines, ser (line, scatter, or radar with radarStyle not equal to filled), seriesLines, or trendline.</w:t>
      </w:r>
    </w:p>
    <w:p w:rsidR="00024C0A" w:rsidRDefault="00694C0F">
      <w:pPr>
        <w:pStyle w:val="Heading3"/>
      </w:pPr>
      <w:bookmarkStart w:id="3115" w:name="section_9732db6e4647475fa4193f53903a7d46"/>
      <w:bookmarkStart w:id="3116" w:name="_Toc12261618"/>
      <w:r>
        <w:t>Part 1 Section 21.2.2.203, surface3DChart (3D Surface Charts)</w:t>
      </w:r>
      <w:bookmarkEnd w:id="3115"/>
      <w:bookmarkEnd w:id="3116"/>
      <w:r>
        <w:fldChar w:fldCharType="begin"/>
      </w:r>
      <w:r>
        <w:instrText xml:space="preserve"> XE "surface3DChart (3D Surface Charts)" </w:instrText>
      </w:r>
      <w:r>
        <w:fldChar w:fldCharType="end"/>
      </w:r>
    </w:p>
    <w:p w:rsidR="00024C0A" w:rsidRDefault="00694C0F">
      <w:pPr>
        <w:pStyle w:val="Definition-Field"/>
      </w:pPr>
      <w:r>
        <w:t xml:space="preserve">a.   </w:t>
      </w:r>
      <w:r>
        <w:rPr>
          <w:i/>
        </w:rPr>
        <w:t>The stan</w:t>
      </w:r>
      <w:r>
        <w:rPr>
          <w:i/>
        </w:rPr>
        <w:t>dard states that the maxOccurs value for the ser child element is unbounded.</w:t>
      </w:r>
    </w:p>
    <w:p w:rsidR="00024C0A" w:rsidRDefault="00694C0F">
      <w:pPr>
        <w:pStyle w:val="Definition-Field2"/>
      </w:pPr>
      <w:r>
        <w:t>Office limits the occurrences of this element to 255.</w:t>
      </w:r>
    </w:p>
    <w:p w:rsidR="00024C0A" w:rsidRDefault="00694C0F">
      <w:pPr>
        <w:pStyle w:val="Heading3"/>
      </w:pPr>
      <w:bookmarkStart w:id="3117" w:name="section_b275eedba86d48a3ae21c44ac20c7dcc"/>
      <w:bookmarkStart w:id="3118" w:name="_Toc12261619"/>
      <w:r>
        <w:t>Part 1 Section 21.2.2.204, surfaceChart (Surface Charts)</w:t>
      </w:r>
      <w:bookmarkEnd w:id="3117"/>
      <w:bookmarkEnd w:id="3118"/>
      <w:r>
        <w:fldChar w:fldCharType="begin"/>
      </w:r>
      <w:r>
        <w:instrText xml:space="preserve"> XE "surfaceChart (Surface Charts)" </w:instrText>
      </w:r>
      <w:r>
        <w:fldChar w:fldCharType="end"/>
      </w:r>
    </w:p>
    <w:p w:rsidR="00024C0A" w:rsidRDefault="00694C0F">
      <w:pPr>
        <w:pStyle w:val="Definition-Field2"/>
      </w:pPr>
      <w:r>
        <w:rPr>
          <w:i/>
        </w:rPr>
        <w:t>For additional notes that appl</w:t>
      </w:r>
      <w:r>
        <w:rPr>
          <w:i/>
        </w:rPr>
        <w:t xml:space="preserve">y to this portion of the standard, please see the notes for </w:t>
      </w:r>
      <w:hyperlink w:anchor="Section_9732db6e4647475fa4193f53903a7d46">
        <w:r>
          <w:rPr>
            <w:rStyle w:val="Hyperlink"/>
          </w:rPr>
          <w:t>surface3DChart, §21.2.2.203(a)</w:t>
        </w:r>
      </w:hyperlink>
      <w:r>
        <w:rPr>
          <w:i/>
        </w:rPr>
        <w:t>.</w:t>
      </w:r>
    </w:p>
    <w:p w:rsidR="00024C0A" w:rsidRDefault="00694C0F">
      <w:pPr>
        <w:pStyle w:val="Heading3"/>
      </w:pPr>
      <w:bookmarkStart w:id="3119" w:name="section_95f7cec9fd774e74a31328e846491e4e"/>
      <w:bookmarkStart w:id="3120" w:name="_Toc12261620"/>
      <w:r>
        <w:t>Part 1 Section 21.2.2.206, thickness (Thickness)</w:t>
      </w:r>
      <w:bookmarkEnd w:id="3119"/>
      <w:bookmarkEnd w:id="3120"/>
      <w:r>
        <w:fldChar w:fldCharType="begin"/>
      </w:r>
      <w:r>
        <w:instrText xml:space="preserve"> XE "thickness (Thickness)" </w:instrText>
      </w:r>
      <w:r>
        <w:fldChar w:fldCharType="end"/>
      </w:r>
    </w:p>
    <w:p w:rsidR="00024C0A" w:rsidRDefault="00694C0F">
      <w:pPr>
        <w:pStyle w:val="Definition-Field"/>
      </w:pPr>
      <w:r>
        <w:t xml:space="preserve">a.   </w:t>
      </w:r>
      <w:r>
        <w:rPr>
          <w:i/>
        </w:rPr>
        <w:t>The standard stat</w:t>
      </w:r>
      <w:r>
        <w:rPr>
          <w:i/>
        </w:rPr>
        <w:t>es that the values of the val attribute are defined by the XML Schema unsignedInt datatype.</w:t>
      </w:r>
    </w:p>
    <w:p w:rsidR="00024C0A" w:rsidRDefault="00694C0F">
      <w:pPr>
        <w:pStyle w:val="Definition-Field2"/>
      </w:pPr>
      <w:r>
        <w:t>Office restricts the value of this attribute to be at most 100.</w:t>
      </w:r>
    </w:p>
    <w:p w:rsidR="00024C0A" w:rsidRDefault="00694C0F">
      <w:pPr>
        <w:pStyle w:val="Definition-Field"/>
      </w:pPr>
      <w:r>
        <w:t xml:space="preserve">b.   </w:t>
      </w:r>
      <w:r>
        <w:rPr>
          <w:i/>
        </w:rPr>
        <w:t>The standard states that thickness is a percentage of the largest dimension of the plot volume.</w:t>
      </w:r>
    </w:p>
    <w:p w:rsidR="00024C0A" w:rsidRDefault="00694C0F">
      <w:pPr>
        <w:pStyle w:val="Definition-Field2"/>
      </w:pPr>
      <w:r>
        <w:t>In Office, thickness is a percentage of the smaller of the height and width of the 3D chart. The height of the 3D chart relative to the width is specified by hPercent.</w:t>
      </w:r>
    </w:p>
    <w:p w:rsidR="00024C0A" w:rsidRDefault="00694C0F">
      <w:pPr>
        <w:pStyle w:val="Heading3"/>
      </w:pPr>
      <w:bookmarkStart w:id="3121" w:name="section_bd2dcc2de1e24b3bba3a08817be49e05"/>
      <w:bookmarkStart w:id="3122" w:name="_Toc12261621"/>
      <w:r>
        <w:lastRenderedPageBreak/>
        <w:t>Part 1 Section 21.2.2.208, tickLblSkip (Tick Label Skip)</w:t>
      </w:r>
      <w:bookmarkEnd w:id="3121"/>
      <w:bookmarkEnd w:id="3122"/>
      <w:r>
        <w:fldChar w:fldCharType="begin"/>
      </w:r>
      <w:r>
        <w:instrText xml:space="preserve"> XE "tickLblSkip (Tick Label Sk</w:instrText>
      </w:r>
      <w:r>
        <w:instrText xml:space="preserve">ip)" </w:instrText>
      </w:r>
      <w:r>
        <w:fldChar w:fldCharType="end"/>
      </w:r>
    </w:p>
    <w:p w:rsidR="00024C0A" w:rsidRDefault="00694C0F">
      <w:pPr>
        <w:pStyle w:val="Definition-Field"/>
      </w:pPr>
      <w:r>
        <w:t xml:space="preserve">a.   </w:t>
      </w:r>
      <w:r>
        <w:rPr>
          <w:i/>
        </w:rPr>
        <w:t>The standard states that this element specifies how many tick labels to skip between label that is drawn.</w:t>
      </w:r>
    </w:p>
    <w:p w:rsidR="00024C0A" w:rsidRDefault="00694C0F">
      <w:pPr>
        <w:pStyle w:val="Definition-Field2"/>
      </w:pPr>
      <w:r>
        <w:t>In Office, this element specifies the interval at which tick labels are drawn.</w:t>
      </w:r>
    </w:p>
    <w:p w:rsidR="00024C0A" w:rsidRDefault="00694C0F">
      <w:pPr>
        <w:pStyle w:val="Heading3"/>
      </w:pPr>
      <w:bookmarkStart w:id="3123" w:name="section_ee2e8e04bcc44e869167ea14e1bd91a9"/>
      <w:bookmarkStart w:id="3124" w:name="_Toc12261622"/>
      <w:r>
        <w:t>Part 1 Section 21.2.2.209, tickMarkSkip (Tick Mark Skip)</w:t>
      </w:r>
      <w:bookmarkEnd w:id="3123"/>
      <w:bookmarkEnd w:id="3124"/>
      <w:r>
        <w:fldChar w:fldCharType="begin"/>
      </w:r>
      <w:r>
        <w:instrText xml:space="preserve"> XE "tickMarkSkip (Tick Mark Skip)" </w:instrText>
      </w:r>
      <w:r>
        <w:fldChar w:fldCharType="end"/>
      </w:r>
    </w:p>
    <w:p w:rsidR="00024C0A" w:rsidRDefault="00694C0F">
      <w:pPr>
        <w:pStyle w:val="Definition-Field"/>
      </w:pPr>
      <w:r>
        <w:t xml:space="preserve">a.   </w:t>
      </w:r>
      <w:r>
        <w:rPr>
          <w:i/>
        </w:rPr>
        <w:t>The standard states that this element specifies how many tick marks shall be skipped before the next one shall be drawn.</w:t>
      </w:r>
    </w:p>
    <w:p w:rsidR="00024C0A" w:rsidRDefault="00694C0F">
      <w:pPr>
        <w:pStyle w:val="Definition-Field2"/>
      </w:pPr>
      <w:r>
        <w:t>In Office, this element specifies the interval at which tick marks are drawn.</w:t>
      </w:r>
    </w:p>
    <w:p w:rsidR="00024C0A" w:rsidRDefault="00694C0F">
      <w:pPr>
        <w:pStyle w:val="Heading3"/>
      </w:pPr>
      <w:bookmarkStart w:id="3125" w:name="section_a87b8094484e49fdbdf7ae3ed95e9572"/>
      <w:bookmarkStart w:id="3126" w:name="_Toc12261623"/>
      <w:r>
        <w:t>Part 1 Sectio</w:t>
      </w:r>
      <w:r>
        <w:t>n 21.2.2.210, title (Title)</w:t>
      </w:r>
      <w:bookmarkEnd w:id="3125"/>
      <w:bookmarkEnd w:id="3126"/>
      <w:r>
        <w:fldChar w:fldCharType="begin"/>
      </w:r>
      <w:r>
        <w:instrText xml:space="preserve"> XE "title (Title)" </w:instrText>
      </w:r>
      <w:r>
        <w:fldChar w:fldCharType="end"/>
      </w:r>
    </w:p>
    <w:p w:rsidR="00024C0A" w:rsidRDefault="00694C0F">
      <w:pPr>
        <w:pStyle w:val="Definition-Field"/>
      </w:pPr>
      <w:r>
        <w:t xml:space="preserve">a.   </w:t>
      </w:r>
      <w:r>
        <w:rPr>
          <w:i/>
        </w:rPr>
        <w:t>The standard describes the tx child element as optional but does not state default value.</w:t>
      </w:r>
    </w:p>
    <w:p w:rsidR="00024C0A" w:rsidRDefault="00694C0F">
      <w:pPr>
        <w:pStyle w:val="Definition-Field2"/>
      </w:pPr>
      <w:r>
        <w:t>In Office, the default text in the title is a localized string specific to the parent element type, except when</w:t>
      </w:r>
      <w:r>
        <w:t xml:space="preserve"> this element is the child of a chart that has a single series with a name, in which case the text shall be that series' name.</w:t>
      </w:r>
    </w:p>
    <w:p w:rsidR="00024C0A" w:rsidRDefault="00694C0F">
      <w:pPr>
        <w:pStyle w:val="Definition-Field"/>
        <w:rPr>
          <w:i/>
        </w:rPr>
      </w:pPr>
      <w:r>
        <w:t xml:space="preserve">b.   </w:t>
      </w:r>
      <w:r>
        <w:rPr>
          <w:i/>
        </w:rPr>
        <w:t>The standard describes the tx child element but does not state a requirement for a default character property.</w:t>
      </w:r>
    </w:p>
    <w:p w:rsidR="00024C0A" w:rsidRDefault="00694C0F">
      <w:pPr>
        <w:pStyle w:val="Definition-Field2"/>
      </w:pPr>
      <w:r>
        <w:t>In Office, th</w:t>
      </w:r>
      <w:r>
        <w:t>e title element requires default character properties or direct formatting character properties. See rPr ("</w:t>
      </w:r>
      <w:hyperlink r:id="rId209">
        <w:r>
          <w:rPr>
            <w:rStyle w:val="Hyperlink"/>
          </w:rPr>
          <w:t>[ISO/IEC-29500-1]</w:t>
        </w:r>
      </w:hyperlink>
      <w:r>
        <w:t xml:space="preserve"> §21.1.2.3.9; rPr") and defRPr ("[ISO/IEC-29500-1] §21.1.2.3.2; de</w:t>
      </w:r>
      <w:r>
        <w:t>fRPr") elements.</w:t>
      </w:r>
    </w:p>
    <w:p w:rsidR="00024C0A" w:rsidRDefault="00694C0F">
      <w:pPr>
        <w:pStyle w:val="Heading3"/>
      </w:pPr>
      <w:bookmarkStart w:id="3127" w:name="section_a627a81e2d014a7f8f7c40e2aec4f792"/>
      <w:bookmarkStart w:id="3128" w:name="_Toc12261624"/>
      <w:r>
        <w:t>Part 1 Section 21.2.2.211, trendline (Trendlines)</w:t>
      </w:r>
      <w:bookmarkEnd w:id="3127"/>
      <w:bookmarkEnd w:id="3128"/>
      <w:r>
        <w:fldChar w:fldCharType="begin"/>
      </w:r>
      <w:r>
        <w:instrText xml:space="preserve"> XE "trendline (Trendlines)" </w:instrText>
      </w:r>
      <w:r>
        <w:fldChar w:fldCharType="end"/>
      </w:r>
    </w:p>
    <w:p w:rsidR="00024C0A" w:rsidRDefault="00694C0F">
      <w:pPr>
        <w:pStyle w:val="Definition-Field"/>
      </w:pPr>
      <w:r>
        <w:t xml:space="preserve">a.   </w:t>
      </w:r>
      <w:r>
        <w:rPr>
          <w:i/>
        </w:rPr>
        <w:t>The standard states that this element can be a child of ser elements.</w:t>
      </w:r>
    </w:p>
    <w:p w:rsidR="00024C0A" w:rsidRDefault="00694C0F">
      <w:pPr>
        <w:pStyle w:val="Definition-Field2"/>
      </w:pPr>
      <w:r>
        <w:t xml:space="preserve">Office requires that when this element is specified, the ancestor include an </w:t>
      </w:r>
      <w:r>
        <w:t>areaChart or lineChart with the grouping element equal to standard, a barChart with grouping element equal to clustered, or a bubbleChart, scatterChart or stockChart.</w:t>
      </w:r>
    </w:p>
    <w:p w:rsidR="00024C0A" w:rsidRDefault="00694C0F">
      <w:pPr>
        <w:pStyle w:val="Heading3"/>
      </w:pPr>
      <w:bookmarkStart w:id="3129" w:name="section_fe147abc7915492ea048c353ef9ebb28"/>
      <w:bookmarkStart w:id="3130" w:name="_Toc12261625"/>
      <w:r>
        <w:t>Part 1 Section 21.2.2.212, trendlineLbl (Trendline Label)</w:t>
      </w:r>
      <w:bookmarkEnd w:id="3129"/>
      <w:bookmarkEnd w:id="3130"/>
      <w:r>
        <w:fldChar w:fldCharType="begin"/>
      </w:r>
      <w:r>
        <w:instrText xml:space="preserve"> XE "trendlineLbl (Trendline Lab</w:instrText>
      </w:r>
      <w:r>
        <w:instrText xml:space="preserve">el)" </w:instrText>
      </w:r>
      <w:r>
        <w:fldChar w:fldCharType="end"/>
      </w:r>
    </w:p>
    <w:p w:rsidR="00024C0A" w:rsidRDefault="00694C0F">
      <w:pPr>
        <w:pStyle w:val="Definition-Field"/>
      </w:pPr>
      <w:r>
        <w:t xml:space="preserve">a.   </w:t>
      </w:r>
      <w:r>
        <w:rPr>
          <w:i/>
        </w:rPr>
        <w:t>The standard does not fully specify the trendlineLbl element.</w:t>
      </w:r>
    </w:p>
    <w:p w:rsidR="00024C0A" w:rsidRDefault="00694C0F">
      <w:pPr>
        <w:pStyle w:val="Definition-Field2"/>
      </w:pPr>
      <w:r>
        <w:t>Office interprets this element to specify the formatting of the trendline label which annotates the parent trendline. The default text is determined by the dispEq and dispRSqr sibli</w:t>
      </w:r>
      <w:r>
        <w:t>ng elements.</w:t>
      </w:r>
    </w:p>
    <w:p w:rsidR="00024C0A" w:rsidRDefault="00694C0F">
      <w:pPr>
        <w:pStyle w:val="Definition-Field"/>
      </w:pPr>
      <w:r>
        <w:t xml:space="preserve">b.   </w:t>
      </w:r>
      <w:r>
        <w:rPr>
          <w:i/>
        </w:rPr>
        <w:t>The standard does not state additional restrictions on when a trendline label is displayed.</w:t>
      </w:r>
    </w:p>
    <w:p w:rsidR="00024C0A" w:rsidRDefault="00694C0F">
      <w:pPr>
        <w:pStyle w:val="Definition-Field2"/>
      </w:pPr>
      <w:r>
        <w:t>Office does not display the trendline label if the val attribute of sibling element trendlineType is equal to movingAvg.</w:t>
      </w:r>
    </w:p>
    <w:p w:rsidR="00024C0A" w:rsidRDefault="00694C0F">
      <w:pPr>
        <w:pStyle w:val="Definition-Field"/>
      </w:pPr>
      <w:r>
        <w:t xml:space="preserve">c.   </w:t>
      </w:r>
      <w:r>
        <w:rPr>
          <w:i/>
        </w:rPr>
        <w:t>The standard does no</w:t>
      </w:r>
      <w:r>
        <w:rPr>
          <w:i/>
        </w:rPr>
        <w:t>t define the trendline label contents.</w:t>
      </w:r>
    </w:p>
    <w:p w:rsidR="00024C0A" w:rsidRDefault="00694C0F">
      <w:pPr>
        <w:pStyle w:val="Definition-Field2"/>
      </w:pPr>
      <w:r>
        <w:t>Office displays the text specified by the tx child element when tx element exists on the trendlineLbl, replacing the text generated by the dispEq and dispRSqr sibling elements.</w:t>
      </w:r>
    </w:p>
    <w:p w:rsidR="00024C0A" w:rsidRDefault="00694C0F">
      <w:pPr>
        <w:pStyle w:val="Definition-Field"/>
      </w:pPr>
      <w:r>
        <w:t xml:space="preserve">d.   </w:t>
      </w:r>
      <w:r>
        <w:rPr>
          <w:i/>
        </w:rPr>
        <w:t>The standard states that this eleme</w:t>
      </w:r>
      <w:r>
        <w:rPr>
          <w:i/>
        </w:rPr>
        <w:t>nt can be a child of any trendline element.</w:t>
      </w:r>
    </w:p>
    <w:p w:rsidR="00024C0A" w:rsidRDefault="00694C0F">
      <w:pPr>
        <w:pStyle w:val="Definition-Field2"/>
      </w:pPr>
      <w:r>
        <w:t>In Office, this element shall only be specified if sibling element dispEq or dispRSqr is true.</w:t>
      </w:r>
    </w:p>
    <w:p w:rsidR="00024C0A" w:rsidRDefault="00694C0F">
      <w:pPr>
        <w:pStyle w:val="Heading3"/>
      </w:pPr>
      <w:bookmarkStart w:id="3131" w:name="section_3a6020381d924913ad3e43556bf8b51f"/>
      <w:bookmarkStart w:id="3132" w:name="_Toc12261626"/>
      <w:r>
        <w:lastRenderedPageBreak/>
        <w:t>Part 1 Section 21.2.2.213, trendlineType (Trendline Type)</w:t>
      </w:r>
      <w:bookmarkEnd w:id="3131"/>
      <w:bookmarkEnd w:id="3132"/>
      <w:r>
        <w:fldChar w:fldCharType="begin"/>
      </w:r>
      <w:r>
        <w:instrText xml:space="preserve"> XE "trendlineType (Trendline Type)" </w:instrText>
      </w:r>
      <w:r>
        <w:fldChar w:fldCharType="end"/>
      </w:r>
    </w:p>
    <w:p w:rsidR="00024C0A" w:rsidRDefault="00694C0F">
      <w:pPr>
        <w:pStyle w:val="Definition-Field"/>
      </w:pPr>
      <w:r>
        <w:t xml:space="preserve">a.   </w:t>
      </w:r>
      <w:r>
        <w:rPr>
          <w:i/>
        </w:rPr>
        <w:t>The standard im</w:t>
      </w:r>
      <w:r>
        <w:rPr>
          <w:i/>
        </w:rPr>
        <w:t>plies that the val attribute is optional.</w:t>
      </w:r>
    </w:p>
    <w:p w:rsidR="00024C0A" w:rsidRDefault="00694C0F">
      <w:pPr>
        <w:pStyle w:val="Definition-Field2"/>
      </w:pPr>
      <w:r>
        <w:t>Office requires this attribute.</w:t>
      </w:r>
    </w:p>
    <w:p w:rsidR="00024C0A" w:rsidRDefault="00694C0F">
      <w:pPr>
        <w:pStyle w:val="Heading3"/>
      </w:pPr>
      <w:bookmarkStart w:id="3133" w:name="section_663bc5a19c244a29a84da6f9c6e60acd"/>
      <w:bookmarkStart w:id="3134" w:name="_Toc12261627"/>
      <w:r>
        <w:t>Part 1 Section 21.2.2.215, tx (Series Text)</w:t>
      </w:r>
      <w:bookmarkEnd w:id="3133"/>
      <w:bookmarkEnd w:id="3134"/>
      <w:r>
        <w:fldChar w:fldCharType="begin"/>
      </w:r>
      <w:r>
        <w:instrText xml:space="preserve"> XE "tx (Series Text)" </w:instrText>
      </w:r>
      <w:r>
        <w:fldChar w:fldCharType="end"/>
      </w:r>
    </w:p>
    <w:p w:rsidR="00024C0A" w:rsidRDefault="00694C0F">
      <w:pPr>
        <w:pStyle w:val="Definition-Field"/>
      </w:pPr>
      <w:r>
        <w:t xml:space="preserve">a.   </w:t>
      </w:r>
      <w:r>
        <w:rPr>
          <w:i/>
        </w:rPr>
        <w:t>The standard does not define the behavior when the tx element is omitted.</w:t>
      </w:r>
    </w:p>
    <w:p w:rsidR="00024C0A" w:rsidRDefault="00694C0F">
      <w:pPr>
        <w:pStyle w:val="Definition-Field2"/>
      </w:pPr>
      <w:r>
        <w:t>If the tx element is omitted, Offi</w:t>
      </w:r>
      <w:r>
        <w:t>ce uses a default text of the localized version of string "Series#", where # is the value of the idx for the corresponding series + 1.</w:t>
      </w:r>
    </w:p>
    <w:p w:rsidR="00024C0A" w:rsidRDefault="00694C0F">
      <w:pPr>
        <w:pStyle w:val="Heading3"/>
      </w:pPr>
      <w:bookmarkStart w:id="3135" w:name="section_7567be8d0d5e4265a80b52a3006799b3"/>
      <w:bookmarkStart w:id="3136" w:name="_Toc12261628"/>
      <w:r>
        <w:t>Part 1 Section 21.2.2.216, txPr (Text Properties)</w:t>
      </w:r>
      <w:bookmarkEnd w:id="3135"/>
      <w:bookmarkEnd w:id="3136"/>
      <w:r>
        <w:fldChar w:fldCharType="begin"/>
      </w:r>
      <w:r>
        <w:instrText xml:space="preserve"> XE "txPr (Text Properties)" </w:instrText>
      </w:r>
      <w:r>
        <w:fldChar w:fldCharType="end"/>
      </w:r>
    </w:p>
    <w:p w:rsidR="00024C0A" w:rsidRDefault="00694C0F">
      <w:pPr>
        <w:pStyle w:val="Definition-Field2"/>
      </w:pPr>
      <w:r>
        <w:rPr>
          <w:i/>
        </w:rPr>
        <w:t xml:space="preserve">For additional notes that apply to this </w:t>
      </w:r>
      <w:r>
        <w:rPr>
          <w:i/>
        </w:rPr>
        <w:t xml:space="preserve">portion of the standard, please see the notes for </w:t>
      </w:r>
      <w:hyperlink w:anchor="Section_c670152e08494bcf962e35ea83fc42de">
        <w:r>
          <w:rPr>
            <w:rStyle w:val="Hyperlink"/>
          </w:rPr>
          <w:t>pivotFmt, §21.2.2.142(a)</w:t>
        </w:r>
      </w:hyperlink>
      <w:r>
        <w:rPr>
          <w:i/>
        </w:rPr>
        <w:t>.</w:t>
      </w:r>
    </w:p>
    <w:p w:rsidR="00024C0A" w:rsidRDefault="00694C0F">
      <w:pPr>
        <w:pStyle w:val="Definition-Field"/>
      </w:pPr>
      <w:r>
        <w:t xml:space="preserve">a.   </w:t>
      </w:r>
      <w:r>
        <w:rPr>
          <w:i/>
        </w:rPr>
        <w:t>The standard does not state any exceptions that cause this element to be ignored.</w:t>
      </w:r>
    </w:p>
    <w:p w:rsidR="00024C0A" w:rsidRDefault="00694C0F">
      <w:pPr>
        <w:pStyle w:val="Definition-Field2"/>
      </w:pPr>
      <w:r>
        <w:t>Office ignores this element on</w:t>
      </w:r>
      <w:r>
        <w:t xml:space="preserve"> load and removes this element on save if the tx sibling element contains a rich child element.</w:t>
      </w:r>
    </w:p>
    <w:p w:rsidR="00024C0A" w:rsidRDefault="00694C0F">
      <w:pPr>
        <w:pStyle w:val="Definition-Field"/>
      </w:pPr>
      <w:r>
        <w:t xml:space="preserve">b.   </w:t>
      </w:r>
      <w:r>
        <w:rPr>
          <w:i/>
        </w:rPr>
        <w:t>The standard states that the maxOccurs for child element p is unbounded.</w:t>
      </w:r>
    </w:p>
    <w:p w:rsidR="00024C0A" w:rsidRDefault="00694C0F">
      <w:pPr>
        <w:pStyle w:val="Definition-Field2"/>
      </w:pPr>
      <w:r>
        <w:t>Office ignores all but the first p child elements on load and only saves the first</w:t>
      </w:r>
      <w:r>
        <w:t xml:space="preserve"> p child element.</w:t>
      </w:r>
    </w:p>
    <w:p w:rsidR="00024C0A" w:rsidRDefault="00694C0F">
      <w:pPr>
        <w:pStyle w:val="Heading3"/>
      </w:pPr>
      <w:bookmarkStart w:id="3137" w:name="section_2e9f2f68de8a476981ecc433df93c50c"/>
      <w:bookmarkStart w:id="3138" w:name="_Toc12261629"/>
      <w:r>
        <w:t>Part 1 Section 21.2.2.219, userInterface (User Interface)</w:t>
      </w:r>
      <w:bookmarkEnd w:id="3137"/>
      <w:bookmarkEnd w:id="3138"/>
      <w:r>
        <w:fldChar w:fldCharType="begin"/>
      </w:r>
      <w:r>
        <w:instrText xml:space="preserve"> XE "userInterface (User Interface)" </w:instrText>
      </w:r>
      <w:r>
        <w:fldChar w:fldCharType="end"/>
      </w:r>
    </w:p>
    <w:p w:rsidR="00024C0A" w:rsidRDefault="00694C0F">
      <w:pPr>
        <w:pStyle w:val="Definition-Field"/>
      </w:pPr>
      <w:r>
        <w:t xml:space="preserve">a.   </w:t>
      </w:r>
      <w:r>
        <w:rPr>
          <w:i/>
        </w:rPr>
        <w:t>The standard states that when this element is true, protection applies to the user interface only.</w:t>
      </w:r>
    </w:p>
    <w:p w:rsidR="00024C0A" w:rsidRDefault="00694C0F">
      <w:pPr>
        <w:pStyle w:val="Definition-Field2"/>
      </w:pPr>
      <w:r>
        <w:t xml:space="preserve">Office always applies protection to </w:t>
      </w:r>
      <w:r>
        <w:t>the user interface when this element is present, regardless of the value the val attribute.</w:t>
      </w:r>
    </w:p>
    <w:p w:rsidR="00024C0A" w:rsidRDefault="00694C0F">
      <w:pPr>
        <w:pStyle w:val="Definition-Field"/>
      </w:pPr>
      <w:r>
        <w:t xml:space="preserve">b.   </w:t>
      </w:r>
      <w:r>
        <w:rPr>
          <w:i/>
        </w:rPr>
        <w:t>The standard states that this element specifies that the protection applies to the user interface only, and not to changes made through the object model.</w:t>
      </w:r>
    </w:p>
    <w:p w:rsidR="00024C0A" w:rsidRDefault="00694C0F">
      <w:pPr>
        <w:pStyle w:val="Definition-Field2"/>
      </w:pPr>
      <w:r>
        <w:t>Offic</w:t>
      </w:r>
      <w:r>
        <w:t>e does not provide a way to set this property or save a file with this element.  On load this element is treated as specifying standard protection.</w:t>
      </w:r>
    </w:p>
    <w:p w:rsidR="00024C0A" w:rsidRDefault="00694C0F">
      <w:pPr>
        <w:pStyle w:val="Heading3"/>
      </w:pPr>
      <w:bookmarkStart w:id="3139" w:name="section_f1fef0f3755d403ba81f9730ffb5681c"/>
      <w:bookmarkStart w:id="3140" w:name="_Toc12261630"/>
      <w:r>
        <w:t>Part 1 Section 21.2.2.222, v (Numeric Value)</w:t>
      </w:r>
      <w:bookmarkEnd w:id="3139"/>
      <w:bookmarkEnd w:id="3140"/>
      <w:r>
        <w:fldChar w:fldCharType="begin"/>
      </w:r>
      <w:r>
        <w:instrText xml:space="preserve"> XE "v (Numeric Value)" </w:instrText>
      </w:r>
      <w:r>
        <w:fldChar w:fldCharType="end"/>
      </w:r>
    </w:p>
    <w:p w:rsidR="00024C0A" w:rsidRDefault="00694C0F">
      <w:pPr>
        <w:pStyle w:val="Definition-Field"/>
      </w:pPr>
      <w:r>
        <w:t xml:space="preserve">a.   </w:t>
      </w:r>
      <w:r>
        <w:rPr>
          <w:i/>
        </w:rPr>
        <w:t xml:space="preserve">The standard states that the </w:t>
      </w:r>
      <w:r>
        <w:rPr>
          <w:i/>
        </w:rPr>
        <w:t>values of the val attribute are defined by the ST_Xstring simple type.</w:t>
      </w:r>
    </w:p>
    <w:p w:rsidR="00024C0A" w:rsidRDefault="00694C0F">
      <w:pPr>
        <w:pStyle w:val="Definition-Field2"/>
      </w:pPr>
      <w:r>
        <w:t>Office restricts the string values of this attribute to be a double, an integer, or the value #N/A.</w:t>
      </w:r>
    </w:p>
    <w:p w:rsidR="00024C0A" w:rsidRDefault="00694C0F">
      <w:pPr>
        <w:pStyle w:val="Heading3"/>
      </w:pPr>
      <w:bookmarkStart w:id="3141" w:name="section_4536b8c015fd4156a3e1b4a93b280d6f"/>
      <w:bookmarkStart w:id="3142" w:name="_Toc12261631"/>
      <w:r>
        <w:t>Part 1 Section 21.2.2.225, val (Error Bar Value)</w:t>
      </w:r>
      <w:bookmarkEnd w:id="3141"/>
      <w:bookmarkEnd w:id="3142"/>
      <w:r>
        <w:fldChar w:fldCharType="begin"/>
      </w:r>
      <w:r>
        <w:instrText xml:space="preserve"> XE "val (Error Bar Value)" </w:instrText>
      </w:r>
      <w:r>
        <w:fldChar w:fldCharType="end"/>
      </w:r>
    </w:p>
    <w:p w:rsidR="00024C0A" w:rsidRDefault="00694C0F">
      <w:pPr>
        <w:pStyle w:val="Definition-Field2"/>
      </w:pPr>
      <w:r>
        <w:rPr>
          <w:i/>
        </w:rPr>
        <w:t>For ad</w:t>
      </w:r>
      <w:r>
        <w:rPr>
          <w:i/>
        </w:rPr>
        <w:t xml:space="preserve">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w:t>
        </w:r>
        <w:r>
          <w:rPr>
            <w:rStyle w:val="Hyperlink"/>
          </w:rPr>
          <w:t>(a)</w:t>
        </w:r>
      </w:hyperlink>
      <w:r>
        <w:rPr>
          <w:i/>
        </w:rPr>
        <w:t xml:space="preserve">; </w:t>
      </w:r>
      <w:hyperlink w:anchor="Section_002a323721c5425f83521a108d5bc7bb">
        <w:r>
          <w:rPr>
            <w:rStyle w:val="Hyperlink"/>
          </w:rPr>
          <w:t>splitPos, §21.2.2.195(c)</w:t>
        </w:r>
      </w:hyperlink>
      <w:r>
        <w:rPr>
          <w:i/>
        </w:rPr>
        <w:t>.</w:t>
      </w:r>
    </w:p>
    <w:p w:rsidR="00024C0A" w:rsidRDefault="00694C0F">
      <w:pPr>
        <w:pStyle w:val="Definition-Field"/>
      </w:pPr>
      <w:r>
        <w:t xml:space="preserve">a.   </w:t>
      </w:r>
      <w:r>
        <w:rPr>
          <w:i/>
        </w:rPr>
        <w:t>The standard does not state any exceptions that cause this element to be ignored.</w:t>
      </w:r>
    </w:p>
    <w:p w:rsidR="00024C0A" w:rsidRDefault="00694C0F">
      <w:pPr>
        <w:pStyle w:val="Definition-Field2"/>
      </w:pPr>
      <w:r>
        <w:t>Office ignores this element if the val attribute of sibling element errBarT</w:t>
      </w:r>
      <w:r>
        <w:t>ype is equal to stdErr.</w:t>
      </w:r>
    </w:p>
    <w:p w:rsidR="00024C0A" w:rsidRDefault="00694C0F">
      <w:pPr>
        <w:pStyle w:val="Heading3"/>
      </w:pPr>
      <w:bookmarkStart w:id="3143" w:name="section_a00fdd024b9f424a9f7e6bc5239c298e"/>
      <w:bookmarkStart w:id="3144" w:name="_Toc12261632"/>
      <w:r>
        <w:t>Part 1 Section 21.2.2.226, valAx (Value Axis)</w:t>
      </w:r>
      <w:bookmarkEnd w:id="3143"/>
      <w:bookmarkEnd w:id="3144"/>
      <w:r>
        <w:fldChar w:fldCharType="begin"/>
      </w:r>
      <w:r>
        <w:instrText xml:space="preserve"> XE "valAx (Value Axis)" </w:instrText>
      </w:r>
      <w:r>
        <w:fldChar w:fldCharType="end"/>
      </w:r>
    </w:p>
    <w:p w:rsidR="00024C0A" w:rsidRDefault="00694C0F">
      <w:pPr>
        <w:pStyle w:val="Definition-Field"/>
      </w:pPr>
      <w:r>
        <w:t xml:space="preserve">a.   </w:t>
      </w:r>
      <w:r>
        <w:rPr>
          <w:i/>
        </w:rPr>
        <w:t>The standard does place any restrictions on the val attribute of the axId child element.</w:t>
      </w:r>
    </w:p>
    <w:p w:rsidR="00024C0A" w:rsidRDefault="00694C0F">
      <w:pPr>
        <w:pStyle w:val="Definition-Field2"/>
      </w:pPr>
      <w:r>
        <w:lastRenderedPageBreak/>
        <w:t xml:space="preserve">Office requires that the val attribute of the axId child element </w:t>
      </w:r>
      <w:r>
        <w:t>match the val attribute of an axId element in the parent chart.</w:t>
      </w:r>
    </w:p>
    <w:p w:rsidR="00024C0A" w:rsidRDefault="00694C0F">
      <w:pPr>
        <w:pStyle w:val="Definition-Field"/>
      </w:pPr>
      <w:r>
        <w:t xml:space="preserve">b.   </w:t>
      </w:r>
      <w:r>
        <w:rPr>
          <w:i/>
        </w:rPr>
        <w:t>The standard does place any restrictions on the val attribute of the crossAx child element.</w:t>
      </w:r>
    </w:p>
    <w:p w:rsidR="00024C0A" w:rsidRDefault="00694C0F">
      <w:pPr>
        <w:pStyle w:val="Definition-Field2"/>
      </w:pPr>
      <w:r>
        <w:t>Office requires that the val attribute of the crossAx child element matches the val attribute o</w:t>
      </w:r>
      <w:r>
        <w:t>f an axId element in the parent chart.</w:t>
      </w:r>
    </w:p>
    <w:p w:rsidR="00024C0A" w:rsidRDefault="00694C0F">
      <w:pPr>
        <w:pStyle w:val="Heading3"/>
      </w:pPr>
      <w:bookmarkStart w:id="3145" w:name="section_c929a5beb7e4401ba9b5699079e2705c"/>
      <w:bookmarkStart w:id="3146" w:name="_Toc12261633"/>
      <w:r>
        <w:t>Part 1 Section 21.2.2.227, varyColors (Vary Colors by Point)</w:t>
      </w:r>
      <w:bookmarkEnd w:id="3145"/>
      <w:bookmarkEnd w:id="3146"/>
      <w:r>
        <w:fldChar w:fldCharType="begin"/>
      </w:r>
      <w:r>
        <w:instrText xml:space="preserve"> XE "varyColors (Vary Colors by Point)" </w:instrText>
      </w:r>
      <w:r>
        <w:fldChar w:fldCharType="end"/>
      </w:r>
    </w:p>
    <w:p w:rsidR="00024C0A" w:rsidRDefault="00694C0F">
      <w:pPr>
        <w:pStyle w:val="Definition-Field"/>
      </w:pPr>
      <w:r>
        <w:t xml:space="preserve">a.   </w:t>
      </w:r>
      <w:r>
        <w:rPr>
          <w:i/>
        </w:rPr>
        <w:t>The standard states that each point shall have a different color.</w:t>
      </w:r>
    </w:p>
    <w:p w:rsidR="00024C0A" w:rsidRDefault="00694C0F">
      <w:pPr>
        <w:pStyle w:val="Definition-Field2"/>
      </w:pPr>
      <w:r>
        <w:t>In Office, this element also specifies that</w:t>
      </w:r>
      <w:r>
        <w:t xml:space="preserve"> marker types shall vary by point.</w:t>
      </w:r>
    </w:p>
    <w:p w:rsidR="00024C0A" w:rsidRDefault="00694C0F">
      <w:pPr>
        <w:pStyle w:val="Definition-Field"/>
      </w:pPr>
      <w:r>
        <w:t xml:space="preserve">b.   </w:t>
      </w:r>
      <w:r>
        <w:rPr>
          <w:i/>
        </w:rPr>
        <w:t>The standard states that each data marker in the series shall have a different color.</w:t>
      </w:r>
    </w:p>
    <w:p w:rsidR="00024C0A" w:rsidRDefault="00694C0F">
      <w:pPr>
        <w:pStyle w:val="Definition-Field2"/>
      </w:pPr>
      <w:r>
        <w:t>In Office, this element specifies that each data point, marker, and slice in the series shall vary by color.</w:t>
      </w:r>
    </w:p>
    <w:p w:rsidR="00024C0A" w:rsidRDefault="00694C0F">
      <w:pPr>
        <w:pStyle w:val="Definition-Field"/>
      </w:pPr>
      <w:r>
        <w:t xml:space="preserve">c.   </w:t>
      </w:r>
      <w:r>
        <w:rPr>
          <w:i/>
        </w:rPr>
        <w:t>The standard sta</w:t>
      </w:r>
      <w:r>
        <w:rPr>
          <w:i/>
        </w:rPr>
        <w:t>tes that parent elements include area3DChart, areaChart, stockChart, and radarChart.</w:t>
      </w:r>
    </w:p>
    <w:p w:rsidR="00024C0A" w:rsidRDefault="00694C0F">
      <w:pPr>
        <w:pStyle w:val="Definition-Field2"/>
      </w:pPr>
      <w:r>
        <w:t>Office ignores this element and does not vary colors by point when the parent is area3DChart, areaChart, or stockChart or when the parent is radarChart with the val attrib</w:t>
      </w:r>
      <w:r>
        <w:t>ute of sibling element radarStyle set to filled.</w:t>
      </w:r>
    </w:p>
    <w:p w:rsidR="00024C0A" w:rsidRDefault="00694C0F">
      <w:pPr>
        <w:pStyle w:val="Definition-Field"/>
      </w:pPr>
      <w:r>
        <w:t xml:space="preserve">d.   </w:t>
      </w:r>
      <w:r>
        <w:rPr>
          <w:i/>
        </w:rPr>
        <w:t>The standard does not state any exceptions as to when the vary colors by point is applied.</w:t>
      </w:r>
    </w:p>
    <w:p w:rsidR="00024C0A" w:rsidRDefault="00694C0F">
      <w:pPr>
        <w:pStyle w:val="Definition-Field2"/>
      </w:pPr>
      <w:r>
        <w:t>Office ignores this element and does not vary colors by point when multiple series are specified on the chart.</w:t>
      </w:r>
    </w:p>
    <w:p w:rsidR="00024C0A" w:rsidRDefault="00694C0F">
      <w:pPr>
        <w:pStyle w:val="Heading3"/>
      </w:pPr>
      <w:bookmarkStart w:id="3147" w:name="section_4e6a14839d2e45e3bb39dfb21f5e7c92"/>
      <w:bookmarkStart w:id="3148" w:name="_Toc12261634"/>
      <w:r>
        <w:t>Part 1 Section 21.2.2.228, view3D (View In 3D)</w:t>
      </w:r>
      <w:bookmarkEnd w:id="3147"/>
      <w:bookmarkEnd w:id="3148"/>
      <w:r>
        <w:fldChar w:fldCharType="begin"/>
      </w:r>
      <w:r>
        <w:instrText xml:space="preserve"> XE "view3D (View In 3D)" </w:instrText>
      </w:r>
      <w:r>
        <w:fldChar w:fldCharType="end"/>
      </w:r>
    </w:p>
    <w:p w:rsidR="00024C0A" w:rsidRDefault="00694C0F">
      <w:pPr>
        <w:pStyle w:val="Definition-Field"/>
      </w:pPr>
      <w:r>
        <w:t xml:space="preserve">a.   </w:t>
      </w:r>
      <w:r>
        <w:rPr>
          <w:i/>
        </w:rPr>
        <w:t>The standard states view3D is a child of any chart element.</w:t>
      </w:r>
    </w:p>
    <w:p w:rsidR="00024C0A" w:rsidRDefault="00694C0F">
      <w:pPr>
        <w:pStyle w:val="Definition-Field2"/>
      </w:pPr>
      <w:r>
        <w:t>In Office, view3D applies when the descendants of the parent chart include area3DChart, bar3DChart, line3DChart, pie</w:t>
      </w:r>
      <w:r>
        <w:t>3DChart, surface3DChart, or surfaceChart.</w:t>
      </w:r>
    </w:p>
    <w:p w:rsidR="00024C0A" w:rsidRDefault="00694C0F">
      <w:pPr>
        <w:pStyle w:val="Heading3"/>
      </w:pPr>
      <w:bookmarkStart w:id="3149" w:name="section_251f0661860c455ebc94a20c41df76c7"/>
      <w:bookmarkStart w:id="3150" w:name="_Toc12261635"/>
      <w:r>
        <w:t>Part 1 Section 21.2.2.229, w (Width)</w:t>
      </w:r>
      <w:bookmarkEnd w:id="3149"/>
      <w:bookmarkEnd w:id="3150"/>
      <w:r>
        <w:fldChar w:fldCharType="begin"/>
      </w:r>
      <w:r>
        <w:instrText xml:space="preserve"> XE "w (Width)"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024C0A" w:rsidRDefault="00694C0F">
      <w:pPr>
        <w:pStyle w:val="Definition-Field"/>
      </w:pPr>
      <w:r>
        <w:t xml:space="preserve">a.   </w:t>
      </w:r>
      <w:r>
        <w:rPr>
          <w:i/>
        </w:rPr>
        <w:t xml:space="preserve">The standard does not state any exceptions that </w:t>
      </w:r>
      <w:r>
        <w:rPr>
          <w:i/>
        </w:rPr>
        <w:t>cause this element to be ignored.</w:t>
      </w:r>
    </w:p>
    <w:p w:rsidR="00024C0A" w:rsidRDefault="00694C0F">
      <w:pPr>
        <w:pStyle w:val="Definition-Field2"/>
      </w:pPr>
      <w:r>
        <w:t>Office ignores this element when a descendant of dispUnitsLbl, dLbl, title, or trendline and instead fits the element to the size of the text.</w:t>
      </w:r>
    </w:p>
    <w:p w:rsidR="00024C0A" w:rsidRDefault="00694C0F">
      <w:pPr>
        <w:pStyle w:val="Definition-Field"/>
      </w:pPr>
      <w:r>
        <w:t xml:space="preserve">b.   </w:t>
      </w:r>
      <w:r>
        <w:rPr>
          <w:i/>
        </w:rPr>
        <w:t>The standard does not state any exceptions that cause this element to be i</w:t>
      </w:r>
      <w:r>
        <w:rPr>
          <w:i/>
        </w:rPr>
        <w:t>gnored or interpreted differently.</w:t>
      </w:r>
    </w:p>
    <w:p w:rsidR="00024C0A" w:rsidRDefault="00694C0F">
      <w:pPr>
        <w:pStyle w:val="Definition-Field2"/>
      </w:pPr>
      <w:r>
        <w:t>Office ignores this element and the parent element manualLayout if the val attribute is greater than 1 or less than 0. Instead, the parent of manualLayout shall use its default size and position.</w:t>
      </w:r>
    </w:p>
    <w:p w:rsidR="00024C0A" w:rsidRDefault="00694C0F">
      <w:pPr>
        <w:pStyle w:val="Heading3"/>
      </w:pPr>
      <w:bookmarkStart w:id="3151" w:name="section_67d2127f692243a29ffee4d67615136d"/>
      <w:bookmarkStart w:id="3152" w:name="_Toc12261636"/>
      <w:r>
        <w:t>Part 1 Section 21.2.2.231, wMode (Width Mode)</w:t>
      </w:r>
      <w:bookmarkEnd w:id="3151"/>
      <w:bookmarkEnd w:id="3152"/>
      <w:r>
        <w:fldChar w:fldCharType="begin"/>
      </w:r>
      <w:r>
        <w:instrText xml:space="preserve"> XE "wMode (Width Mode)" </w:instrText>
      </w:r>
      <w:r>
        <w:fldChar w:fldCharType="end"/>
      </w:r>
    </w:p>
    <w:p w:rsidR="00024C0A" w:rsidRDefault="00694C0F">
      <w:pPr>
        <w:pStyle w:val="Definition-Field"/>
      </w:pPr>
      <w:r>
        <w:t xml:space="preserve">a.   </w:t>
      </w:r>
      <w:r>
        <w:rPr>
          <w:i/>
        </w:rPr>
        <w:t>The standard states the val attribute specifies the layout mode for the width.</w:t>
      </w:r>
    </w:p>
    <w:p w:rsidR="00024C0A" w:rsidRDefault="00694C0F">
      <w:pPr>
        <w:pStyle w:val="Definition-Field2"/>
      </w:pPr>
      <w:r>
        <w:t>In Office, the val attribute specifies the layout mode for the parent element.</w:t>
      </w:r>
    </w:p>
    <w:p w:rsidR="00024C0A" w:rsidRDefault="00694C0F">
      <w:pPr>
        <w:pStyle w:val="Definition-Field"/>
      </w:pPr>
      <w:r>
        <w:lastRenderedPageBreak/>
        <w:t xml:space="preserve">b.   </w:t>
      </w:r>
      <w:r>
        <w:rPr>
          <w:i/>
        </w:rPr>
        <w:t>The standard st</w:t>
      </w:r>
      <w:r>
        <w:rPr>
          <w:i/>
        </w:rPr>
        <w:t>ates that edge is a valid value of the val attribute for wMode.</w:t>
      </w:r>
    </w:p>
    <w:p w:rsidR="00024C0A" w:rsidRDefault="00694C0F">
      <w:pPr>
        <w:pStyle w:val="Definition-Field2"/>
      </w:pPr>
      <w:r>
        <w:t>Office only saves a val of factor.  Files opened with val equal to edge will be changed to factor on save and the val of sibling element w will be updated to reflect this mode change and corre</w:t>
      </w:r>
      <w:r>
        <w:t>ctly preserve the manual size.</w:t>
      </w:r>
    </w:p>
    <w:p w:rsidR="00024C0A" w:rsidRDefault="00694C0F">
      <w:pPr>
        <w:pStyle w:val="Heading3"/>
      </w:pPr>
      <w:bookmarkStart w:id="3153" w:name="section_39d7c73319c2444287d997c0efce4cda"/>
      <w:bookmarkStart w:id="3154" w:name="_Toc12261637"/>
      <w:r>
        <w:t>Part 1 Section 21.2.2.232, x (Left)</w:t>
      </w:r>
      <w:bookmarkEnd w:id="3153"/>
      <w:bookmarkEnd w:id="3154"/>
      <w:r>
        <w:fldChar w:fldCharType="begin"/>
      </w:r>
      <w:r>
        <w:instrText xml:space="preserve"> XE "x (Left)"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w:t>
        </w:r>
        <w:r>
          <w:rPr>
            <w:rStyle w:val="Hyperlink"/>
          </w:rPr>
          <w:t>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024C0A" w:rsidRDefault="00694C0F">
      <w:pPr>
        <w:pStyle w:val="Definition-Field"/>
      </w:pPr>
      <w:r>
        <w:t xml:space="preserve">a.   </w:t>
      </w:r>
      <w:r>
        <w:rPr>
          <w:i/>
        </w:rPr>
        <w:t xml:space="preserve">The standard does not state any exceptions that cause this element </w:t>
      </w:r>
      <w:r>
        <w:rPr>
          <w:i/>
        </w:rPr>
        <w:t>to be ignored or interpreted differently.</w:t>
      </w:r>
    </w:p>
    <w:p w:rsidR="00024C0A" w:rsidRDefault="00694C0F">
      <w:pPr>
        <w:pStyle w:val="Definition-Field2"/>
      </w:pPr>
      <w:r>
        <w:t>Office ignores this element and parent manualLayout if val is greater than 1, less than 0 when the val of sibling xMode equals edge, or less than -1 when the val of sibling xMode equals factor, Instead, default siz</w:t>
      </w:r>
      <w:r>
        <w:t>e and position are used.</w:t>
      </w:r>
    </w:p>
    <w:p w:rsidR="00024C0A" w:rsidRDefault="00694C0F">
      <w:pPr>
        <w:pStyle w:val="Definition-Field"/>
      </w:pPr>
      <w:r>
        <w:t xml:space="preserve">b.   </w:t>
      </w:r>
      <w:r>
        <w:rPr>
          <w:i/>
        </w:rPr>
        <w:t>The standard does not state any exceptions that cause this element to be ignored or interpreted differently.</w:t>
      </w:r>
    </w:p>
    <w:p w:rsidR="00024C0A" w:rsidRDefault="00694C0F">
      <w:pPr>
        <w:pStyle w:val="Definition-Field2"/>
      </w:pPr>
      <w:r>
        <w:t>Office places the element inside the chart at the point closest to the location specified while still retaining the s</w:t>
      </w:r>
      <w:r>
        <w:t>pecified width if val is in the allowed range but the specified width and location would place the element outside the chart.</w:t>
      </w:r>
    </w:p>
    <w:p w:rsidR="00024C0A" w:rsidRDefault="00694C0F">
      <w:pPr>
        <w:pStyle w:val="Heading3"/>
      </w:pPr>
      <w:bookmarkStart w:id="3155" w:name="section_033c001fa29a4817a32a75394f971109"/>
      <w:bookmarkStart w:id="3156" w:name="_Toc12261638"/>
      <w:r>
        <w:t>Part 1 Section 21.2.2.233, xMode (Left Mode)</w:t>
      </w:r>
      <w:bookmarkEnd w:id="3155"/>
      <w:bookmarkEnd w:id="3156"/>
      <w:r>
        <w:fldChar w:fldCharType="begin"/>
      </w:r>
      <w:r>
        <w:instrText xml:space="preserve"> XE "xMode (Left Mode)" </w:instrText>
      </w:r>
      <w:r>
        <w:fldChar w:fldCharType="end"/>
      </w:r>
    </w:p>
    <w:p w:rsidR="00024C0A" w:rsidRDefault="00694C0F">
      <w:pPr>
        <w:pStyle w:val="Definition-Field2"/>
      </w:pPr>
      <w:r>
        <w:rPr>
          <w:i/>
        </w:rPr>
        <w:t>For additional notes that apply to this portion of the stan</w:t>
      </w:r>
      <w:r>
        <w:rPr>
          <w:i/>
        </w:rPr>
        <w:t xml:space="preserve">dard, please see the notes for </w:t>
      </w:r>
      <w:hyperlink w:anchor="Section_67d2127f692243a29ffee4d67615136d">
        <w:r>
          <w:rPr>
            <w:rStyle w:val="Hyperlink"/>
          </w:rPr>
          <w:t>wMode, §21.2.2.231(a)</w:t>
        </w:r>
      </w:hyperlink>
      <w:r>
        <w:rPr>
          <w:i/>
        </w:rPr>
        <w:t>.</w:t>
      </w:r>
    </w:p>
    <w:p w:rsidR="00024C0A" w:rsidRDefault="00694C0F">
      <w:pPr>
        <w:pStyle w:val="Definition-Field"/>
      </w:pPr>
      <w:r>
        <w:t xml:space="preserve">a.   </w:t>
      </w:r>
      <w:r>
        <w:rPr>
          <w:i/>
        </w:rPr>
        <w:t>The standard states that factor is a valid value of the val attribute for xMode.</w:t>
      </w:r>
    </w:p>
    <w:p w:rsidR="00024C0A" w:rsidRDefault="00694C0F">
      <w:pPr>
        <w:pStyle w:val="Definition-Field2"/>
      </w:pPr>
      <w:r>
        <w:t xml:space="preserve">Office only saves a val of edge, changing files with </w:t>
      </w:r>
      <w:r>
        <w:t>factor on save and updating x to reflect this change and preserve the position. This may result in the manualLayout being ignored on subsequent loads if val of x is &gt;1 or &lt;0 after conversion.</w:t>
      </w:r>
    </w:p>
    <w:p w:rsidR="00024C0A" w:rsidRDefault="00694C0F">
      <w:pPr>
        <w:pStyle w:val="Heading3"/>
      </w:pPr>
      <w:bookmarkStart w:id="3157" w:name="section_8c46e53bc5254bb6892759d133a60a06"/>
      <w:bookmarkStart w:id="3158" w:name="_Toc12261639"/>
      <w:r>
        <w:t>Part 1 Section 21.2.2.235, y (Top)</w:t>
      </w:r>
      <w:bookmarkEnd w:id="3157"/>
      <w:bookmarkEnd w:id="3158"/>
      <w:r>
        <w:fldChar w:fldCharType="begin"/>
      </w:r>
      <w:r>
        <w:instrText xml:space="preserve"> XE "y (Top)" </w:instrText>
      </w:r>
      <w:r>
        <w:fldChar w:fldCharType="end"/>
      </w:r>
    </w:p>
    <w:p w:rsidR="00024C0A" w:rsidRDefault="00694C0F">
      <w:pPr>
        <w:pStyle w:val="Definition-Field2"/>
      </w:pPr>
      <w:r>
        <w:rPr>
          <w:i/>
        </w:rPr>
        <w:t>For additiona</w:t>
      </w:r>
      <w:r>
        <w:rPr>
          <w:i/>
        </w:rPr>
        <w:t xml:space="preserve">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024C0A" w:rsidRDefault="00694C0F">
      <w:pPr>
        <w:pStyle w:val="Definition-Field"/>
      </w:pPr>
      <w:r>
        <w:t xml:space="preserve">a.   </w:t>
      </w:r>
      <w:r>
        <w:rPr>
          <w:i/>
        </w:rPr>
        <w:t>The standard does not state any exceptions that cause this element to be ignored or interpreted differently.</w:t>
      </w:r>
    </w:p>
    <w:p w:rsidR="00024C0A" w:rsidRDefault="00694C0F">
      <w:pPr>
        <w:pStyle w:val="Definition-Field2"/>
      </w:pPr>
      <w:r>
        <w:t>Office places the element inside the chart at the point</w:t>
      </w:r>
      <w:r>
        <w:t xml:space="preserve"> closest to the location specified while still retaining the specified height if val is in the allowed range but the specified height and location would place the element outside the chart.</w:t>
      </w:r>
    </w:p>
    <w:p w:rsidR="00024C0A" w:rsidRDefault="00694C0F">
      <w:pPr>
        <w:pStyle w:val="Definition-Field"/>
      </w:pPr>
      <w:r>
        <w:t xml:space="preserve">b.   </w:t>
      </w:r>
      <w:r>
        <w:rPr>
          <w:i/>
        </w:rPr>
        <w:t>The standard does not state any exceptions that cause this el</w:t>
      </w:r>
      <w:r>
        <w:rPr>
          <w:i/>
        </w:rPr>
        <w:t>ement to be ignored or interpreted differently.</w:t>
      </w:r>
    </w:p>
    <w:p w:rsidR="00024C0A" w:rsidRDefault="00694C0F">
      <w:pPr>
        <w:pStyle w:val="Definition-Field2"/>
      </w:pPr>
      <w:r>
        <w:t>Office ignores this element and parent manualLayout if val is greater than 1, less than 0 when the val of sibling yMode equals edge, or less than -1 when the val of sibling yMode equals factor, Instead, defau</w:t>
      </w:r>
      <w:r>
        <w:t>lt size and position are used.</w:t>
      </w:r>
    </w:p>
    <w:p w:rsidR="00024C0A" w:rsidRDefault="00694C0F">
      <w:pPr>
        <w:pStyle w:val="Heading3"/>
      </w:pPr>
      <w:bookmarkStart w:id="3159" w:name="section_3e552fb6fb1740bdaa1c6628425e5b8a"/>
      <w:bookmarkStart w:id="3160" w:name="_Toc12261640"/>
      <w:r>
        <w:lastRenderedPageBreak/>
        <w:t>Part 1 Section 21.2.2.236, yMode (Top Mode)</w:t>
      </w:r>
      <w:bookmarkEnd w:id="3159"/>
      <w:bookmarkEnd w:id="3160"/>
      <w:r>
        <w:fldChar w:fldCharType="begin"/>
      </w:r>
      <w:r>
        <w:instrText xml:space="preserve"> XE "yMode (Top Mode)"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67d2127f692243a29ffee4d67615136d">
        <w:r>
          <w:rPr>
            <w:rStyle w:val="Hyperlink"/>
          </w:rPr>
          <w:t>wMo</w:t>
        </w:r>
        <w:r>
          <w:rPr>
            <w:rStyle w:val="Hyperlink"/>
          </w:rPr>
          <w:t>de, §21.2.2.231(a)</w:t>
        </w:r>
      </w:hyperlink>
      <w:r>
        <w:rPr>
          <w:i/>
        </w:rPr>
        <w:t>.</w:t>
      </w:r>
    </w:p>
    <w:p w:rsidR="00024C0A" w:rsidRDefault="00694C0F">
      <w:pPr>
        <w:pStyle w:val="Definition-Field"/>
      </w:pPr>
      <w:r>
        <w:t xml:space="preserve">a.   </w:t>
      </w:r>
      <w:r>
        <w:rPr>
          <w:i/>
        </w:rPr>
        <w:t>The standard states that factor is a valid value of the val attribute for yMode.</w:t>
      </w:r>
    </w:p>
    <w:p w:rsidR="00024C0A" w:rsidRDefault="00694C0F">
      <w:pPr>
        <w:pStyle w:val="Definition-Field2"/>
      </w:pPr>
      <w:r>
        <w:t>Office only saves a val of edge, changing files with factor on save and updating y to reflect this change and preserve the position. This may result i</w:t>
      </w:r>
      <w:r>
        <w:t>n the manualLayout being ignored on subsequent loads if val of y is &gt; 1 or &lt; 0 after conversion.</w:t>
      </w:r>
    </w:p>
    <w:p w:rsidR="00024C0A" w:rsidRDefault="00694C0F">
      <w:pPr>
        <w:pStyle w:val="Heading3"/>
      </w:pPr>
      <w:bookmarkStart w:id="3161" w:name="section_b7da8e6662134305a1400604cf2886aa"/>
      <w:bookmarkStart w:id="3162" w:name="_Toc12261641"/>
      <w:r>
        <w:t>Part 1 Section 21.2.3.1, ST_AxisUnit (Axis Unit)</w:t>
      </w:r>
      <w:bookmarkEnd w:id="3161"/>
      <w:bookmarkEnd w:id="3162"/>
      <w:r>
        <w:fldChar w:fldCharType="begin"/>
      </w:r>
      <w:r>
        <w:instrText xml:space="preserve"> XE "ST_AxisUnit (Axis Unit)" </w:instrText>
      </w:r>
      <w:r>
        <w:fldChar w:fldCharType="end"/>
      </w:r>
    </w:p>
    <w:p w:rsidR="00024C0A" w:rsidRDefault="00694C0F">
      <w:pPr>
        <w:pStyle w:val="Definition-Field"/>
      </w:pPr>
      <w:r>
        <w:t xml:space="preserve">a.   </w:t>
      </w:r>
      <w:r>
        <w:rPr>
          <w:i/>
        </w:rPr>
        <w:t xml:space="preserve">The standard states that the contents of the ST_AxisUnit simple type are </w:t>
      </w:r>
      <w:r>
        <w:rPr>
          <w:i/>
        </w:rPr>
        <w:t>a restriction on the XML Schema double datatype, with a minimum value of greater than 0.</w:t>
      </w:r>
    </w:p>
    <w:p w:rsidR="00024C0A" w:rsidRDefault="00694C0F">
      <w:pPr>
        <w:pStyle w:val="Definition-Field2"/>
      </w:pPr>
      <w:r>
        <w:t>Office does not allow the values of INF, -INF, or NaN.</w:t>
      </w:r>
    </w:p>
    <w:p w:rsidR="00024C0A" w:rsidRDefault="00694C0F">
      <w:pPr>
        <w:pStyle w:val="Heading3"/>
      </w:pPr>
      <w:bookmarkStart w:id="3163" w:name="section_2ebc850c2ebe4101aecc74500c1c8c1f"/>
      <w:bookmarkStart w:id="3164" w:name="_Toc12261642"/>
      <w:r>
        <w:t>Part 1 Section 21.2.3.3, ST_BarDir (Bar Direction)</w:t>
      </w:r>
      <w:bookmarkEnd w:id="3163"/>
      <w:bookmarkEnd w:id="3164"/>
      <w:r>
        <w:fldChar w:fldCharType="begin"/>
      </w:r>
      <w:r>
        <w:instrText xml:space="preserve"> XE "ST_BarDir (Bar Direction)" </w:instrText>
      </w:r>
      <w:r>
        <w:fldChar w:fldCharType="end"/>
      </w:r>
    </w:p>
    <w:p w:rsidR="00024C0A" w:rsidRDefault="00694C0F">
      <w:pPr>
        <w:pStyle w:val="Definition-Field"/>
      </w:pPr>
      <w:r>
        <w:t xml:space="preserve">a.   </w:t>
      </w:r>
      <w:r>
        <w:rPr>
          <w:i/>
        </w:rPr>
        <w:t xml:space="preserve">The standard states </w:t>
      </w:r>
      <w:r>
        <w:rPr>
          <w:i/>
        </w:rPr>
        <w:t>that each enumeration specifies that if the chart is a bar or column chart, the data markers are horizontal or vertical rectangles, respectively.</w:t>
      </w:r>
    </w:p>
    <w:p w:rsidR="00024C0A" w:rsidRDefault="00694C0F">
      <w:pPr>
        <w:pStyle w:val="Definition-Field2"/>
      </w:pPr>
      <w:r>
        <w:t>Office interprets each enumeration to specify that if the chart is a bar or column chart, the data markers are</w:t>
      </w:r>
      <w:r>
        <w:t xml:space="preserve"> horizontally or vertically oriented.  For 2D charts these are rectangles.  For 3D charts, the shape is specified by the shape element.</w:t>
      </w:r>
    </w:p>
    <w:p w:rsidR="00024C0A" w:rsidRDefault="00694C0F">
      <w:pPr>
        <w:pStyle w:val="Heading3"/>
      </w:pPr>
      <w:bookmarkStart w:id="3165" w:name="section_294bc3bcb346432694c394b19a9a985c"/>
      <w:bookmarkStart w:id="3166" w:name="_Toc12261643"/>
      <w:r>
        <w:t>Part 1 Section 21.2.3.4, ST_BarGrouping (Bar Grouping)</w:t>
      </w:r>
      <w:bookmarkEnd w:id="3165"/>
      <w:bookmarkEnd w:id="3166"/>
      <w:r>
        <w:fldChar w:fldCharType="begin"/>
      </w:r>
      <w:r>
        <w:instrText xml:space="preserve"> XE "ST_BarGrouping (Bar Grouping)" </w:instrText>
      </w:r>
      <w:r>
        <w:fldChar w:fldCharType="end"/>
      </w:r>
    </w:p>
    <w:p w:rsidR="00024C0A" w:rsidRDefault="00694C0F">
      <w:pPr>
        <w:pStyle w:val="Definition-Field"/>
      </w:pPr>
      <w:r>
        <w:t xml:space="preserve">a.   </w:t>
      </w:r>
      <w:r>
        <w:rPr>
          <w:i/>
        </w:rPr>
        <w:t>The standard states th</w:t>
      </w:r>
      <w:r>
        <w:rPr>
          <w:i/>
        </w:rPr>
        <w:t>at the enumeration value standard specifies that the chart series are drawn next to each other on the depth axis.</w:t>
      </w:r>
    </w:p>
    <w:p w:rsidR="00024C0A" w:rsidRDefault="00694C0F">
      <w:pPr>
        <w:pStyle w:val="Definition-Field2"/>
      </w:pPr>
      <w:r>
        <w:t>In Office, the data markers for each category are drawn in clusters containing one marker from each series. The markers in each cluster are li</w:t>
      </w:r>
      <w:r>
        <w:t>ned up on the depth axis in a 3D chart. On 2d charts, standard grouping behaves like clustered grouping.</w:t>
      </w:r>
    </w:p>
    <w:p w:rsidR="00024C0A" w:rsidRDefault="00694C0F">
      <w:pPr>
        <w:pStyle w:val="Heading3"/>
      </w:pPr>
      <w:bookmarkStart w:id="3167" w:name="section_6f412fc993b949d684467b5e4b5e6f4d"/>
      <w:bookmarkStart w:id="3168" w:name="_Toc12261644"/>
      <w:r>
        <w:t>Part 1 Section 21.2.3.6, ST_BuiltInUnit (Built-In Unit)</w:t>
      </w:r>
      <w:bookmarkEnd w:id="3167"/>
      <w:bookmarkEnd w:id="3168"/>
      <w:r>
        <w:fldChar w:fldCharType="begin"/>
      </w:r>
      <w:r>
        <w:instrText xml:space="preserve"> XE "ST_BuiltInUnit (Built-In Unit)" </w:instrText>
      </w:r>
      <w:r>
        <w:fldChar w:fldCharType="end"/>
      </w:r>
    </w:p>
    <w:p w:rsidR="00024C0A" w:rsidRDefault="00694C0F">
      <w:pPr>
        <w:pStyle w:val="Definition-Field"/>
      </w:pPr>
      <w:r>
        <w:t xml:space="preserve">a.   </w:t>
      </w:r>
      <w:r>
        <w:rPr>
          <w:i/>
        </w:rPr>
        <w:t xml:space="preserve">The standard states that the trillions enumeration </w:t>
      </w:r>
      <w:r>
        <w:rPr>
          <w:i/>
        </w:rPr>
        <w:t>value specifies that the values on the chart shall be divided by 1,000,000,000.</w:t>
      </w:r>
    </w:p>
    <w:p w:rsidR="00024C0A" w:rsidRDefault="00694C0F">
      <w:pPr>
        <w:pStyle w:val="Definition-Field2"/>
      </w:pPr>
      <w:r>
        <w:t>In Office, the trillions enumeration value specifies that the values on the chart shall be divided by 1,000,000,000,000.</w:t>
      </w:r>
    </w:p>
    <w:p w:rsidR="00024C0A" w:rsidRDefault="00694C0F">
      <w:pPr>
        <w:pStyle w:val="Heading3"/>
      </w:pPr>
      <w:bookmarkStart w:id="3169" w:name="section_e79c50d2400c490f9b7bf65492782142"/>
      <w:bookmarkStart w:id="3170" w:name="_Toc12261645"/>
      <w:r>
        <w:t>Part 1 Section 21.2.3.8, ST_Crosses (Crosses)</w:t>
      </w:r>
      <w:bookmarkEnd w:id="3169"/>
      <w:bookmarkEnd w:id="3170"/>
      <w:r>
        <w:fldChar w:fldCharType="begin"/>
      </w:r>
      <w:r>
        <w:instrText xml:space="preserve"> XE "ST_Cr</w:instrText>
      </w:r>
      <w:r>
        <w:instrText xml:space="preserve">osses (Crosses)" </w:instrText>
      </w:r>
      <w:r>
        <w:fldChar w:fldCharType="end"/>
      </w:r>
    </w:p>
    <w:p w:rsidR="00024C0A" w:rsidRDefault="00694C0F">
      <w:pPr>
        <w:pStyle w:val="Definition-Field"/>
      </w:pPr>
      <w:r>
        <w:t xml:space="preserve">a.   </w:t>
      </w:r>
      <w:r>
        <w:rPr>
          <w:i/>
        </w:rPr>
        <w:t>The standard states that the autoZero value specifies that the category axis crosses at the zero point of the value axis (if possible), or the minimum value (if the minimum is greater than zero) or the maximum (if the maximum is le</w:t>
      </w:r>
      <w:r>
        <w:rPr>
          <w:i/>
        </w:rPr>
        <w:t>ss than zero).</w:t>
      </w:r>
    </w:p>
    <w:p w:rsidR="00024C0A" w:rsidRDefault="00694C0F">
      <w:pPr>
        <w:pStyle w:val="Definition-Field2"/>
      </w:pPr>
      <w:r>
        <w:t>Office uses this value to specify that one axis crosses the other at the zero point, if a zero point exists; at the minimum value, if the minimum is greater than 0 or the axis is not numerical; or at the maximum value, if the maximum is less</w:t>
      </w:r>
      <w:r>
        <w:t xml:space="preserve"> than 0.</w:t>
      </w:r>
    </w:p>
    <w:p w:rsidR="00024C0A" w:rsidRDefault="00694C0F">
      <w:pPr>
        <w:pStyle w:val="Heading3"/>
      </w:pPr>
      <w:bookmarkStart w:id="3171" w:name="section_ba45301ab7004913a05271e61c1b5023"/>
      <w:bookmarkStart w:id="3172" w:name="_Toc12261646"/>
      <w:r>
        <w:lastRenderedPageBreak/>
        <w:t>Part 1 Section 21.2.3.14, ST_ErrValType (Error Value Type)</w:t>
      </w:r>
      <w:bookmarkEnd w:id="3171"/>
      <w:bookmarkEnd w:id="3172"/>
      <w:r>
        <w:fldChar w:fldCharType="begin"/>
      </w:r>
      <w:r>
        <w:instrText xml:space="preserve"> XE "ST_ErrValType (Error Value Type)" </w:instrText>
      </w:r>
      <w:r>
        <w:fldChar w:fldCharType="end"/>
      </w:r>
    </w:p>
    <w:p w:rsidR="00024C0A" w:rsidRDefault="00694C0F">
      <w:pPr>
        <w:pStyle w:val="Definition-Field"/>
      </w:pPr>
      <w:r>
        <w:t xml:space="preserve">a.   </w:t>
      </w:r>
      <w:r>
        <w:rPr>
          <w:i/>
        </w:rPr>
        <w:t>The standard states that the enumeration value stdDev specifies that the length of the error bars shall be Error Bar Value standard deviations</w:t>
      </w:r>
      <w:r>
        <w:rPr>
          <w:i/>
        </w:rPr>
        <w:t xml:space="preserve"> of the data.</w:t>
      </w:r>
    </w:p>
    <w:p w:rsidR="00024C0A" w:rsidRDefault="00694C0F">
      <w:pPr>
        <w:pStyle w:val="Definition-Field2"/>
      </w:pPr>
      <w:r>
        <w:t>In Office, the enumeration valuestdDev specifies that the length of the error bars shall be the standard deviation for each data point and then multiplied by the val (Error Bar Value).</w:t>
      </w:r>
    </w:p>
    <w:p w:rsidR="00024C0A" w:rsidRDefault="00694C0F">
      <w:pPr>
        <w:pStyle w:val="Heading3"/>
      </w:pPr>
      <w:bookmarkStart w:id="3173" w:name="section_9e882b63252440088fd885e34d6585c3"/>
      <w:bookmarkStart w:id="3174" w:name="_Toc12261647"/>
      <w:r>
        <w:t>Part 1 Section 21.2.3.17, ST_Grouping (Grouping)</w:t>
      </w:r>
      <w:bookmarkEnd w:id="3173"/>
      <w:bookmarkEnd w:id="3174"/>
      <w:r>
        <w:fldChar w:fldCharType="begin"/>
      </w:r>
      <w:r>
        <w:instrText xml:space="preserve"> XE "ST_G</w:instrText>
      </w:r>
      <w:r>
        <w:instrText xml:space="preserve">rouping (Grouping)" </w:instrText>
      </w:r>
      <w:r>
        <w:fldChar w:fldCharType="end"/>
      </w:r>
    </w:p>
    <w:p w:rsidR="00024C0A" w:rsidRDefault="00694C0F">
      <w:pPr>
        <w:pStyle w:val="Definition-Field"/>
      </w:pPr>
      <w:r>
        <w:t xml:space="preserve">a.   </w:t>
      </w:r>
      <w:r>
        <w:rPr>
          <w:i/>
        </w:rPr>
        <w:t>The standard states that the ST_Grouping simple type specifies the possible groupings for a bar chart.</w:t>
      </w:r>
    </w:p>
    <w:p w:rsidR="00024C0A" w:rsidRDefault="00694C0F">
      <w:pPr>
        <w:pStyle w:val="Definition-Field2"/>
      </w:pPr>
      <w:r>
        <w:t>Office uses this simple type to specify the possible methods for grouping the data series on a chart.</w:t>
      </w:r>
    </w:p>
    <w:p w:rsidR="00024C0A" w:rsidRDefault="00694C0F">
      <w:pPr>
        <w:pStyle w:val="Heading3"/>
      </w:pPr>
      <w:bookmarkStart w:id="3175" w:name="section_56d2baaf961d4e81bc6f09d90ef42a68"/>
      <w:bookmarkStart w:id="3176" w:name="_Toc12261648"/>
      <w:r>
        <w:t>Part 1 Section 21.2.3.1</w:t>
      </w:r>
      <w:r>
        <w:t>8, ST_HoleSize (Hole Size)</w:t>
      </w:r>
      <w:bookmarkEnd w:id="3175"/>
      <w:bookmarkEnd w:id="3176"/>
      <w:r>
        <w:fldChar w:fldCharType="begin"/>
      </w:r>
      <w:r>
        <w:instrText xml:space="preserve"> XE "ST_HoleSize (Hole Size)" </w:instrText>
      </w:r>
      <w:r>
        <w:fldChar w:fldCharType="end"/>
      </w:r>
    </w:p>
    <w:p w:rsidR="00024C0A" w:rsidRDefault="00694C0F">
      <w:pPr>
        <w:pStyle w:val="Definition-Field"/>
      </w:pPr>
      <w:r>
        <w:t xml:space="preserve">a.   </w:t>
      </w:r>
      <w:r>
        <w:rPr>
          <w:i/>
        </w:rPr>
        <w:t>The standard states that the ST_HoleSize simple type has a minimum value of greater than or equal to 10.</w:t>
      </w:r>
    </w:p>
    <w:p w:rsidR="00024C0A" w:rsidRDefault="00694C0F">
      <w:pPr>
        <w:pStyle w:val="Definition-Field2"/>
      </w:pPr>
      <w:r>
        <w:t>Office defines this simple type to have a minimum value of greater than or equal to 1.</w:t>
      </w:r>
    </w:p>
    <w:p w:rsidR="00024C0A" w:rsidRDefault="00694C0F">
      <w:pPr>
        <w:pStyle w:val="Heading3"/>
      </w:pPr>
      <w:bookmarkStart w:id="3177" w:name="section_bb8565e7dfea453f868bae680ab8a823"/>
      <w:bookmarkStart w:id="3178" w:name="_Toc12261649"/>
      <w:r>
        <w:t>Part 1 Section 21.2.3.20, ST_LayoutMode (Layout Mode)</w:t>
      </w:r>
      <w:bookmarkEnd w:id="3177"/>
      <w:bookmarkEnd w:id="3178"/>
      <w:r>
        <w:fldChar w:fldCharType="begin"/>
      </w:r>
      <w:r>
        <w:instrText xml:space="preserve"> XE "ST_LayoutMode (Layout Mode)" </w:instrText>
      </w:r>
      <w:r>
        <w:fldChar w:fldCharType="end"/>
      </w:r>
    </w:p>
    <w:p w:rsidR="00024C0A" w:rsidRDefault="00694C0F">
      <w:pPr>
        <w:pStyle w:val="Definition-Field"/>
      </w:pPr>
      <w:r>
        <w:t xml:space="preserve">a.   </w:t>
      </w:r>
      <w:r>
        <w:rPr>
          <w:i/>
        </w:rPr>
        <w:t>The standard defines edge as "Specifies that the Width or Height shall be interpreted as the Right or Bottom of the chart element".</w:t>
      </w:r>
    </w:p>
    <w:p w:rsidR="00024C0A" w:rsidRDefault="00694C0F">
      <w:r>
        <w:t>Office additionally specifies</w:t>
      </w:r>
      <w:r>
        <w:t xml:space="preserve"> the following behaviors for the edge attribute:</w:t>
      </w:r>
    </w:p>
    <w:p w:rsidR="00024C0A" w:rsidRDefault="00694C0F">
      <w:r>
        <w:t xml:space="preserve">For </w:t>
      </w:r>
      <w:r>
        <w:rPr>
          <w:b/>
        </w:rPr>
        <w:t>hMode</w:t>
      </w:r>
      <w:r>
        <w:t>/</w:t>
      </w:r>
      <w:r>
        <w:rPr>
          <w:b/>
        </w:rPr>
        <w:t xml:space="preserve">wMode </w:t>
      </w:r>
      <w:r>
        <w:t xml:space="preserve">element, the </w:t>
      </w:r>
      <w:r>
        <w:rPr>
          <w:b/>
        </w:rPr>
        <w:t>edge</w:t>
      </w:r>
      <w:r>
        <w:t xml:space="preserve"> attribute specifies that the value of sibling element </w:t>
      </w:r>
      <w:r>
        <w:rPr>
          <w:b/>
        </w:rPr>
        <w:t xml:space="preserve">h </w:t>
      </w:r>
      <w:r>
        <w:t>("</w:t>
      </w:r>
      <w:hyperlink r:id="rId210">
        <w:r>
          <w:rPr>
            <w:rStyle w:val="Hyperlink"/>
          </w:rPr>
          <w:t>[ISO/IEC-29500-1]</w:t>
        </w:r>
      </w:hyperlink>
      <w:r>
        <w:t xml:space="preserve"> §21.2.2.78; h (Height)") /</w:t>
      </w:r>
      <w:r>
        <w:rPr>
          <w:b/>
        </w:rPr>
        <w:t xml:space="preserve">w </w:t>
      </w:r>
      <w:r>
        <w:t>("[</w:t>
      </w:r>
      <w:r>
        <w:t>ISO/IEC-29500-1] §21.2.2.229; w (Width)") is interpreted as the distance to the bottom/right edge of the chart element from the top/left edge of the chart as a percentage of the chart height/width.</w:t>
      </w:r>
    </w:p>
    <w:p w:rsidR="00024C0A" w:rsidRDefault="00694C0F">
      <w:r>
        <w:t xml:space="preserve">For </w:t>
      </w:r>
      <w:r>
        <w:rPr>
          <w:b/>
        </w:rPr>
        <w:t>xMode</w:t>
      </w:r>
      <w:r>
        <w:t>/</w:t>
      </w:r>
      <w:r>
        <w:rPr>
          <w:b/>
        </w:rPr>
        <w:t xml:space="preserve">yMode </w:t>
      </w:r>
      <w:r>
        <w:t xml:space="preserve">element, the </w:t>
      </w:r>
      <w:r>
        <w:rPr>
          <w:b/>
        </w:rPr>
        <w:t>edge</w:t>
      </w:r>
      <w:r>
        <w:t xml:space="preserve"> attribute specifies that</w:t>
      </w:r>
      <w:r>
        <w:t xml:space="preserve"> the value of sibling element </w:t>
      </w:r>
      <w:r>
        <w:rPr>
          <w:b/>
        </w:rPr>
        <w:t xml:space="preserve">x </w:t>
      </w:r>
      <w:r>
        <w:t xml:space="preserve">("[ISO/IEC-29500-1] §21.2.2.232; x (Left)") / </w:t>
      </w:r>
      <w:r>
        <w:rPr>
          <w:b/>
        </w:rPr>
        <w:t xml:space="preserve">y </w:t>
      </w:r>
      <w:r>
        <w:t>("[ISO/IEC-29500-1] §21.2.2.235; y (Top)") is interpreted as the distance to the left/top edge of the chart element from the left/top edge of the chart as a percentage of the c</w:t>
      </w:r>
      <w:r>
        <w:t>hart width/height.</w:t>
      </w:r>
    </w:p>
    <w:p w:rsidR="00024C0A" w:rsidRDefault="00694C0F">
      <w:pPr>
        <w:pStyle w:val="Definition-Field"/>
      </w:pPr>
      <w:r>
        <w:t xml:space="preserve">b.   </w:t>
      </w:r>
      <w:r>
        <w:rPr>
          <w:i/>
        </w:rPr>
        <w:t>The standard defines factor as "Specifies that the Width or Height shall be interpreted as the Width or Height of the chart element".</w:t>
      </w:r>
    </w:p>
    <w:p w:rsidR="00024C0A" w:rsidRDefault="00694C0F">
      <w:r>
        <w:t>Office additionally specifies the following behaviors for the factor attribute:</w:t>
      </w:r>
    </w:p>
    <w:p w:rsidR="00024C0A" w:rsidRDefault="00694C0F">
      <w:r>
        <w:t xml:space="preserve">For </w:t>
      </w:r>
      <w:r>
        <w:rPr>
          <w:b/>
        </w:rPr>
        <w:t>hMode</w:t>
      </w:r>
      <w:r>
        <w:t>/</w:t>
      </w:r>
      <w:r>
        <w:rPr>
          <w:b/>
        </w:rPr>
        <w:t xml:space="preserve">wMode </w:t>
      </w:r>
      <w:r>
        <w:t>el</w:t>
      </w:r>
      <w:r>
        <w:t xml:space="preserve">ement, the </w:t>
      </w:r>
      <w:r>
        <w:rPr>
          <w:b/>
        </w:rPr>
        <w:t>factor</w:t>
      </w:r>
      <w:r>
        <w:t xml:space="preserve"> attribute specifies that the value of sibling element </w:t>
      </w:r>
      <w:r>
        <w:rPr>
          <w:b/>
        </w:rPr>
        <w:t xml:space="preserve">h </w:t>
      </w:r>
      <w:r>
        <w:t>("[ISO/IEC-29500-1] §21.2.2.78; h (Height)") /</w:t>
      </w:r>
      <w:r>
        <w:rPr>
          <w:b/>
        </w:rPr>
        <w:t xml:space="preserve">w </w:t>
      </w:r>
      <w:r>
        <w:t>("[ISO/IEC-29500-1] §21.2.2.229; w (Width)") is interpreted as the height/width of the chart element as a percentage of the chart heig</w:t>
      </w:r>
      <w:r>
        <w:t>ht/width.</w:t>
      </w:r>
    </w:p>
    <w:p w:rsidR="00024C0A" w:rsidRDefault="00694C0F">
      <w:r>
        <w:t xml:space="preserve">For </w:t>
      </w:r>
      <w:r>
        <w:rPr>
          <w:b/>
        </w:rPr>
        <w:t>xMode</w:t>
      </w:r>
      <w:r>
        <w:t>/</w:t>
      </w:r>
      <w:r>
        <w:rPr>
          <w:b/>
        </w:rPr>
        <w:t xml:space="preserve">yMode </w:t>
      </w:r>
      <w:r>
        <w:t xml:space="preserve">element, the </w:t>
      </w:r>
      <w:r>
        <w:rPr>
          <w:b/>
        </w:rPr>
        <w:t>factor</w:t>
      </w:r>
      <w:r>
        <w:t xml:space="preserve"> attribute specifies that the value of sibling element </w:t>
      </w:r>
      <w:r>
        <w:rPr>
          <w:b/>
        </w:rPr>
        <w:t>x</w:t>
      </w:r>
      <w:r>
        <w:t xml:space="preserve"> ("[ISO/IEC-29500-1] §21.2.2.232; x (Left)") / </w:t>
      </w:r>
      <w:r>
        <w:rPr>
          <w:b/>
        </w:rPr>
        <w:t xml:space="preserve">y </w:t>
      </w:r>
      <w:r>
        <w:t>("[ISO/IEC-29500-1]</w:t>
      </w:r>
      <w:r>
        <w:t xml:space="preserve"> §21.2.2.235; y (Top)") is interpreted as the distance to the left/top edge of the chart element from the left/top edge of default position of the chart element as a percentage of the chart width/height.</w:t>
      </w:r>
    </w:p>
    <w:p w:rsidR="00024C0A" w:rsidRDefault="00694C0F">
      <w:pPr>
        <w:pStyle w:val="Heading3"/>
      </w:pPr>
      <w:bookmarkStart w:id="3179" w:name="section_54d012c4b9dc4e50b14e0b151096b96b"/>
      <w:bookmarkStart w:id="3180" w:name="_Toc12261650"/>
      <w:r>
        <w:t>Part 1 Section 21.2.3.27, ST_MarkerStyle (Marker Sty</w:t>
      </w:r>
      <w:r>
        <w:t>le)</w:t>
      </w:r>
      <w:bookmarkEnd w:id="3179"/>
      <w:bookmarkEnd w:id="3180"/>
      <w:r>
        <w:fldChar w:fldCharType="begin"/>
      </w:r>
      <w:r>
        <w:instrText xml:space="preserve"> XE "ST_MarkerStyle (Marker Style)" </w:instrText>
      </w:r>
      <w:r>
        <w:fldChar w:fldCharType="end"/>
      </w:r>
    </w:p>
    <w:p w:rsidR="00024C0A" w:rsidRDefault="00694C0F">
      <w:pPr>
        <w:pStyle w:val="Definition-Field"/>
      </w:pPr>
      <w:r>
        <w:t xml:space="preserve">a.   </w:t>
      </w:r>
      <w:r>
        <w:rPr>
          <w:i/>
        </w:rPr>
        <w:t>The standard does not specify auto as a valid enumeration value.</w:t>
      </w:r>
    </w:p>
    <w:p w:rsidR="00024C0A" w:rsidRDefault="00694C0F">
      <w:pPr>
        <w:pStyle w:val="Definition-Field2"/>
      </w:pPr>
      <w:r>
        <w:lastRenderedPageBreak/>
        <w:t>Office allows auto as an enumeration value that specifies that the marker style shall be determined by the application.</w:t>
      </w:r>
    </w:p>
    <w:p w:rsidR="00024C0A" w:rsidRDefault="00694C0F">
      <w:pPr>
        <w:pStyle w:val="Heading3"/>
      </w:pPr>
      <w:bookmarkStart w:id="3181" w:name="section_89794847d1b741ce9e2ac789afe390d2"/>
      <w:bookmarkStart w:id="3182" w:name="_Toc12261651"/>
      <w:r>
        <w:t>Part 1 Section 21.2.3.30</w:t>
      </w:r>
      <w:r>
        <w:t>, ST_Orientation (Orientation)</w:t>
      </w:r>
      <w:bookmarkEnd w:id="3181"/>
      <w:bookmarkEnd w:id="3182"/>
      <w:r>
        <w:fldChar w:fldCharType="begin"/>
      </w:r>
      <w:r>
        <w:instrText xml:space="preserve"> XE "ST_Orientation (Orientation)" </w:instrText>
      </w:r>
      <w:r>
        <w:fldChar w:fldCharType="end"/>
      </w:r>
    </w:p>
    <w:p w:rsidR="00024C0A" w:rsidRDefault="00694C0F">
      <w:pPr>
        <w:pStyle w:val="Definition-Field"/>
      </w:pPr>
      <w:r>
        <w:t xml:space="preserve">a.   </w:t>
      </w:r>
      <w:r>
        <w:rPr>
          <w:i/>
        </w:rPr>
        <w:t>The standard states that the ST_Orientation simple type specifies the possible ways to place a picture on a data point, series, wall, or floor.</w:t>
      </w:r>
    </w:p>
    <w:p w:rsidR="00024C0A" w:rsidRDefault="00694C0F">
      <w:pPr>
        <w:pStyle w:val="Definition-Field2"/>
      </w:pPr>
      <w:r>
        <w:t>Office uses this simple type to specify</w:t>
      </w:r>
      <w:r>
        <w:t xml:space="preserve"> whether the values on an axis are increasing or decreasing.</w:t>
      </w:r>
    </w:p>
    <w:p w:rsidR="00024C0A" w:rsidRDefault="00694C0F">
      <w:pPr>
        <w:pStyle w:val="Heading3"/>
      </w:pPr>
      <w:bookmarkStart w:id="3183" w:name="section_26be8f3ae9c24f589fa872bab178b598"/>
      <w:bookmarkStart w:id="3184" w:name="_Toc12261652"/>
      <w:r>
        <w:t>Part 1 Section 21.2.3.33, ST_Period (Period)</w:t>
      </w:r>
      <w:bookmarkEnd w:id="3183"/>
      <w:bookmarkEnd w:id="3184"/>
      <w:r>
        <w:fldChar w:fldCharType="begin"/>
      </w:r>
      <w:r>
        <w:instrText xml:space="preserve"> XE "ST_Period (Period)" </w:instrText>
      </w:r>
      <w:r>
        <w:fldChar w:fldCharType="end"/>
      </w:r>
    </w:p>
    <w:p w:rsidR="00024C0A" w:rsidRDefault="00694C0F">
      <w:pPr>
        <w:pStyle w:val="Definition-Field"/>
      </w:pPr>
      <w:r>
        <w:t xml:space="preserve">a.   </w:t>
      </w:r>
      <w:r>
        <w:rPr>
          <w:i/>
        </w:rPr>
        <w:t>The standard states that the contents of the ST_Period simple type are a restriction on the XML Schema unsignedByte da</w:t>
      </w:r>
      <w:r>
        <w:rPr>
          <w:i/>
        </w:rPr>
        <w:t>tatype, ranging from 2 to 255.</w:t>
      </w:r>
    </w:p>
    <w:p w:rsidR="00024C0A" w:rsidRDefault="00694C0F">
      <w:pPr>
        <w:pStyle w:val="Definition-Field2"/>
      </w:pPr>
      <w:r>
        <w:t>Excel defines this simple type as being a restriction on the XML Schema unsignedInt datatype, with a minimum value of 2 and an unbounded maximum value.</w:t>
      </w:r>
    </w:p>
    <w:p w:rsidR="00024C0A" w:rsidRDefault="00694C0F">
      <w:pPr>
        <w:pStyle w:val="Heading3"/>
      </w:pPr>
      <w:bookmarkStart w:id="3185" w:name="section_0215ce81e51b4bf7a61b27f8f76121ea"/>
      <w:bookmarkStart w:id="3186" w:name="_Toc12261653"/>
      <w:r>
        <w:t>Part 1 Section 21.2.3.34, ST_Perspective (Perspective)</w:t>
      </w:r>
      <w:bookmarkEnd w:id="3185"/>
      <w:bookmarkEnd w:id="3186"/>
      <w:r>
        <w:fldChar w:fldCharType="begin"/>
      </w:r>
      <w:r>
        <w:instrText xml:space="preserve"> XE "ST_Perspective</w:instrText>
      </w:r>
      <w:r>
        <w:instrText xml:space="preserve"> (Perspective)" </w:instrText>
      </w:r>
      <w:r>
        <w:fldChar w:fldCharType="end"/>
      </w:r>
    </w:p>
    <w:p w:rsidR="00024C0A" w:rsidRDefault="00694C0F">
      <w:pPr>
        <w:pStyle w:val="Definition-Field"/>
      </w:pPr>
      <w:r>
        <w:t xml:space="preserve">a.   </w:t>
      </w:r>
      <w:r>
        <w:rPr>
          <w:i/>
        </w:rPr>
        <w:t>The standard states that the ST_Perspective simple type specifies an integer between 0 and 100 whose contents are a percentage.</w:t>
      </w:r>
    </w:p>
    <w:p w:rsidR="00024C0A" w:rsidRDefault="00694C0F">
      <w:pPr>
        <w:pStyle w:val="Definition-Field2"/>
      </w:pPr>
      <w:r>
        <w:t xml:space="preserve">Office uses this simple type to specify an integer between 0 and 240, inclusive, whose contents are a </w:t>
      </w:r>
      <w:r>
        <w:t>measurement in degrees.</w:t>
      </w:r>
    </w:p>
    <w:p w:rsidR="00024C0A" w:rsidRDefault="00694C0F">
      <w:pPr>
        <w:pStyle w:val="Heading3"/>
      </w:pPr>
      <w:bookmarkStart w:id="3187" w:name="section_559db49f5917417e894b34c17cd12e33"/>
      <w:bookmarkStart w:id="3188" w:name="_Toc12261654"/>
      <w:r>
        <w:t>Part 1 Section 21.2.3.35, ST_PictureFormat (Picture Format)</w:t>
      </w:r>
      <w:bookmarkEnd w:id="3187"/>
      <w:bookmarkEnd w:id="3188"/>
      <w:r>
        <w:fldChar w:fldCharType="begin"/>
      </w:r>
      <w:r>
        <w:instrText xml:space="preserve"> XE "ST_PictureFormat (Picture Format)" </w:instrText>
      </w:r>
      <w:r>
        <w:fldChar w:fldCharType="end"/>
      </w:r>
    </w:p>
    <w:p w:rsidR="00024C0A" w:rsidRDefault="00694C0F">
      <w:pPr>
        <w:pStyle w:val="Definition-Field"/>
      </w:pPr>
      <w:r>
        <w:t xml:space="preserve">a.   </w:t>
      </w:r>
      <w:r>
        <w:rPr>
          <w:i/>
        </w:rPr>
        <w:t xml:space="preserve">The standard states that the stretch enumeration value specifies that the picture shall be anisotropic stretched to fill the </w:t>
      </w:r>
      <w:r>
        <w:rPr>
          <w:i/>
        </w:rPr>
        <w:t>data point, series, wall or floor.</w:t>
      </w:r>
    </w:p>
    <w:p w:rsidR="00024C0A" w:rsidRDefault="00694C0F">
      <w:pPr>
        <w:pStyle w:val="Definition-Field2"/>
      </w:pPr>
      <w:r>
        <w:t>Office does not use anisotropic stretch when stretching the picture fill.</w:t>
      </w:r>
    </w:p>
    <w:p w:rsidR="00024C0A" w:rsidRDefault="00694C0F">
      <w:pPr>
        <w:pStyle w:val="Heading3"/>
      </w:pPr>
      <w:bookmarkStart w:id="3189" w:name="section_d82e893585824ef59b33bb5fe1dd8fe0"/>
      <w:bookmarkStart w:id="3190" w:name="_Toc12261655"/>
      <w:r>
        <w:t>Part 1 Section 21.2.3.37, ST_RadarStyle (Radar Style)</w:t>
      </w:r>
      <w:bookmarkEnd w:id="3189"/>
      <w:bookmarkEnd w:id="3190"/>
      <w:r>
        <w:fldChar w:fldCharType="begin"/>
      </w:r>
      <w:r>
        <w:instrText xml:space="preserve"> XE "ST_RadarStyle (Radar Style)" </w:instrText>
      </w:r>
      <w:r>
        <w:fldChar w:fldCharType="end"/>
      </w:r>
    </w:p>
    <w:p w:rsidR="00024C0A" w:rsidRDefault="00694C0F">
      <w:pPr>
        <w:pStyle w:val="Definition-Field"/>
      </w:pPr>
      <w:r>
        <w:t xml:space="preserve">a.   </w:t>
      </w:r>
      <w:r>
        <w:rPr>
          <w:i/>
        </w:rPr>
        <w:t>The standard does not state that the styles specifie</w:t>
      </w:r>
      <w:r>
        <w:rPr>
          <w:i/>
        </w:rPr>
        <w:t>d by the ST_RadarStyle simple type can be overridden.</w:t>
      </w:r>
    </w:p>
    <w:p w:rsidR="00024C0A" w:rsidRDefault="00694C0F">
      <w:pPr>
        <w:pStyle w:val="Definition-Field2"/>
      </w:pPr>
      <w:r>
        <w:t>Office allows theses styles to be overridden by the line and marker settings on the individual data series in the chart.</w:t>
      </w:r>
    </w:p>
    <w:p w:rsidR="00024C0A" w:rsidRDefault="00694C0F">
      <w:pPr>
        <w:pStyle w:val="Heading3"/>
      </w:pPr>
      <w:bookmarkStart w:id="3191" w:name="section_790a49d0682946268e0f4f6681a9586b"/>
      <w:bookmarkStart w:id="3192" w:name="_Toc12261656"/>
      <w:r>
        <w:t>Part 1 Section 21.2.3.40, ST_ScatterStyle (Scatter Style)</w:t>
      </w:r>
      <w:bookmarkEnd w:id="3191"/>
      <w:bookmarkEnd w:id="3192"/>
      <w:r>
        <w:fldChar w:fldCharType="begin"/>
      </w:r>
      <w:r>
        <w:instrText xml:space="preserve"> XE "ST_ScatterStyle (Sc</w:instrText>
      </w:r>
      <w:r>
        <w:instrText xml:space="preserve">atter Style)" </w:instrText>
      </w:r>
      <w:r>
        <w:fldChar w:fldCharType="end"/>
      </w:r>
    </w:p>
    <w:p w:rsidR="00024C0A" w:rsidRDefault="00694C0F">
      <w:pPr>
        <w:pStyle w:val="Definition-Field"/>
      </w:pPr>
      <w:r>
        <w:t xml:space="preserve">a.   </w:t>
      </w:r>
      <w:r>
        <w:rPr>
          <w:i/>
        </w:rPr>
        <w:t>The standard states that none is a valid enumeration value.</w:t>
      </w:r>
    </w:p>
    <w:p w:rsidR="00024C0A" w:rsidRDefault="00694C0F">
      <w:pPr>
        <w:pStyle w:val="Definition-Field2"/>
      </w:pPr>
      <w:r>
        <w:t>Office does not allow this enumeration value. If this enumeration value is present the file will fail to load.</w:t>
      </w:r>
    </w:p>
    <w:p w:rsidR="00024C0A" w:rsidRDefault="00694C0F">
      <w:pPr>
        <w:pStyle w:val="Definition-Field"/>
      </w:pPr>
      <w:r>
        <w:t xml:space="preserve">b.   </w:t>
      </w:r>
      <w:r>
        <w:rPr>
          <w:i/>
        </w:rPr>
        <w:t>The standard states that the smooth enumeration value spec</w:t>
      </w:r>
      <w:r>
        <w:rPr>
          <w:i/>
        </w:rPr>
        <w:t>ifies that the points on the scatter chart shall be connected with smoothed lines and markers shall not be drawn.</w:t>
      </w:r>
    </w:p>
    <w:p w:rsidR="00024C0A" w:rsidRDefault="00694C0F">
      <w:pPr>
        <w:pStyle w:val="Definition-Field2"/>
      </w:pPr>
      <w:r>
        <w:t>Office treats this enumeration as if it were smoothMarker on load.  Office will never save out this enumeration, instead using smoothMarker an</w:t>
      </w:r>
      <w:r>
        <w:t>d specifying that no markers are to be drawn.</w:t>
      </w:r>
    </w:p>
    <w:p w:rsidR="00024C0A" w:rsidRDefault="00694C0F">
      <w:pPr>
        <w:pStyle w:val="Definition-Field"/>
      </w:pPr>
      <w:r>
        <w:t xml:space="preserve">c.   </w:t>
      </w:r>
      <w:r>
        <w:rPr>
          <w:i/>
        </w:rPr>
        <w:t>The standard states that the line enumeration value specifies the points on the scatter chart shall be connected with straight lines but markers shall not be drawn.</w:t>
      </w:r>
    </w:p>
    <w:p w:rsidR="00024C0A" w:rsidRDefault="00694C0F">
      <w:pPr>
        <w:pStyle w:val="Definition-Field2"/>
      </w:pPr>
      <w:r>
        <w:lastRenderedPageBreak/>
        <w:t xml:space="preserve">Office treats this enumeration as if it </w:t>
      </w:r>
      <w:r>
        <w:t>were lineMarker on load.  Office will never save out this enumeration, instead using lineMarker and specifying that no markers are to be drawn.</w:t>
      </w:r>
    </w:p>
    <w:p w:rsidR="00024C0A" w:rsidRDefault="00694C0F">
      <w:pPr>
        <w:pStyle w:val="Definition-Field"/>
      </w:pPr>
      <w:r>
        <w:t xml:space="preserve">d.   </w:t>
      </w:r>
      <w:r>
        <w:rPr>
          <w:i/>
        </w:rPr>
        <w:t>The standard states that the marker enumeration value specifies the points on the scatter chart shall not b</w:t>
      </w:r>
      <w:r>
        <w:rPr>
          <w:i/>
        </w:rPr>
        <w:t>e connected with lines and markers shall be drawn.</w:t>
      </w:r>
    </w:p>
    <w:p w:rsidR="00024C0A" w:rsidRDefault="00694C0F">
      <w:pPr>
        <w:pStyle w:val="Definition-Field2"/>
      </w:pPr>
      <w:r>
        <w:t>Office treats this enumeration as if it were lineMarker on load.  Office will never save out this enumeration, instead using lineMarker and specifying that no lines are to be drawn.</w:t>
      </w:r>
    </w:p>
    <w:p w:rsidR="00024C0A" w:rsidRDefault="00694C0F">
      <w:pPr>
        <w:pStyle w:val="Definition-Field"/>
      </w:pPr>
      <w:r>
        <w:t xml:space="preserve">e.   </w:t>
      </w:r>
      <w:r>
        <w:rPr>
          <w:i/>
        </w:rPr>
        <w:t xml:space="preserve">The standard does </w:t>
      </w:r>
      <w:r>
        <w:rPr>
          <w:i/>
        </w:rPr>
        <w:t>not state any exceptions that cause the ST_ScatterStyle to be overridden.</w:t>
      </w:r>
    </w:p>
    <w:p w:rsidR="00024C0A" w:rsidRDefault="00694C0F">
      <w:pPr>
        <w:pStyle w:val="Definition-Field2"/>
      </w:pPr>
      <w:r>
        <w:t>In Office, scatter chart styles can be overridden by line and marker settings on the individual data series in the chart.</w:t>
      </w:r>
    </w:p>
    <w:p w:rsidR="00024C0A" w:rsidRDefault="00694C0F">
      <w:pPr>
        <w:pStyle w:val="Heading3"/>
      </w:pPr>
      <w:bookmarkStart w:id="3193" w:name="section_0680b9ba68334f3194a8add5e312db29"/>
      <w:bookmarkStart w:id="3194" w:name="_Toc12261657"/>
      <w:r>
        <w:t>Part 1 Section 21.2.3.42, ST_Shape (Shape)</w:t>
      </w:r>
      <w:bookmarkEnd w:id="3193"/>
      <w:bookmarkEnd w:id="3194"/>
      <w:r>
        <w:fldChar w:fldCharType="begin"/>
      </w:r>
      <w:r>
        <w:instrText xml:space="preserve"> XE "ST_Shape (Sha</w:instrText>
      </w:r>
      <w:r>
        <w:instrText xml:space="preserve">pe)" </w:instrText>
      </w:r>
      <w:r>
        <w:fldChar w:fldCharType="end"/>
      </w:r>
    </w:p>
    <w:p w:rsidR="00024C0A" w:rsidRDefault="00694C0F">
      <w:pPr>
        <w:pStyle w:val="Definition-Field"/>
      </w:pPr>
      <w:r>
        <w:t xml:space="preserve">a.   </w:t>
      </w:r>
      <w:r>
        <w:rPr>
          <w:i/>
        </w:rPr>
        <w:t>The standard states that the pyramidToMax enumeration value specifies the chart shall be drawn with truncated cones such that the point of the cone would be the maximum data value.</w:t>
      </w:r>
    </w:p>
    <w:p w:rsidR="00024C0A" w:rsidRDefault="00694C0F">
      <w:pPr>
        <w:pStyle w:val="Definition-Field2"/>
      </w:pPr>
      <w:r>
        <w:t>In Office, pyramidToMax specifies that the chart shall be draw</w:t>
      </w:r>
      <w:r>
        <w:t>n as truncated rectangular pyramids such that the point of the pyramid would be at the highest value in the chart. The pyramid is truncated at the data marker’s value.</w:t>
      </w:r>
    </w:p>
    <w:p w:rsidR="00024C0A" w:rsidRDefault="00694C0F">
      <w:pPr>
        <w:pStyle w:val="Definition-Field"/>
      </w:pPr>
      <w:r>
        <w:t xml:space="preserve">b.   </w:t>
      </w:r>
      <w:r>
        <w:rPr>
          <w:i/>
        </w:rPr>
        <w:t>The standard states that coneToMax enumeration value specifies that the chart shall</w:t>
      </w:r>
      <w:r>
        <w:rPr>
          <w:i/>
        </w:rPr>
        <w:t xml:space="preserve"> be drawn with truncated cones such that the point of the cone would be the maximum data value.</w:t>
      </w:r>
    </w:p>
    <w:p w:rsidR="00024C0A" w:rsidRDefault="00694C0F">
      <w:pPr>
        <w:pStyle w:val="Definition-Field2"/>
      </w:pPr>
      <w:r>
        <w:t xml:space="preserve">In Office, coneToMax to specifies that the chart shall be drawn as truncated cones, such that the point of the cone would be at the highest value in the chart. </w:t>
      </w:r>
      <w:r>
        <w:t>The cone is truncated at the data marker’s value.</w:t>
      </w:r>
    </w:p>
    <w:p w:rsidR="00024C0A" w:rsidRDefault="00694C0F">
      <w:pPr>
        <w:pStyle w:val="Heading3"/>
      </w:pPr>
      <w:bookmarkStart w:id="3195" w:name="section_be0b8235f8534143a208dd2e3e11d0f1"/>
      <w:bookmarkStart w:id="3196" w:name="_Toc12261658"/>
      <w:r>
        <w:t>Part 1 Section 21.2.3.44, ST_Skip (Skip)</w:t>
      </w:r>
      <w:bookmarkEnd w:id="3195"/>
      <w:bookmarkEnd w:id="3196"/>
      <w:r>
        <w:fldChar w:fldCharType="begin"/>
      </w:r>
      <w:r>
        <w:instrText xml:space="preserve"> XE "ST_Skip (Skip)" </w:instrText>
      </w:r>
      <w:r>
        <w:fldChar w:fldCharType="end"/>
      </w:r>
    </w:p>
    <w:p w:rsidR="00024C0A" w:rsidRDefault="00694C0F">
      <w:pPr>
        <w:pStyle w:val="Definition-Field"/>
      </w:pPr>
      <w:r>
        <w:t xml:space="preserve">a.   </w:t>
      </w:r>
      <w:r>
        <w:rPr>
          <w:i/>
        </w:rPr>
        <w:t>The standard states that the contents of the ST_Skip simple type are a restriction of the XML Schema unsignedShort datatype.</w:t>
      </w:r>
    </w:p>
    <w:p w:rsidR="00024C0A" w:rsidRDefault="00694C0F">
      <w:pPr>
        <w:pStyle w:val="Definition-Field2"/>
      </w:pPr>
      <w:r>
        <w:t>Office defin</w:t>
      </w:r>
      <w:r>
        <w:t>es this simple type as being a restriction on the XML Schema int datatype.</w:t>
      </w:r>
    </w:p>
    <w:p w:rsidR="00024C0A" w:rsidRDefault="00694C0F">
      <w:pPr>
        <w:pStyle w:val="Heading3"/>
      </w:pPr>
      <w:bookmarkStart w:id="3197" w:name="section_53d3723d2ebe4ff8b8bacfc8338c5edb"/>
      <w:bookmarkStart w:id="3198" w:name="_Toc12261659"/>
      <w:r>
        <w:t>Part 1 Section 21.2.3.45, ST_SplitType (Split Type)</w:t>
      </w:r>
      <w:bookmarkEnd w:id="3197"/>
      <w:bookmarkEnd w:id="3198"/>
      <w:r>
        <w:fldChar w:fldCharType="begin"/>
      </w:r>
      <w:r>
        <w:instrText xml:space="preserve"> XE "ST_SplitType (Split Type)" </w:instrText>
      </w:r>
      <w:r>
        <w:fldChar w:fldCharType="end"/>
      </w:r>
    </w:p>
    <w:p w:rsidR="00024C0A" w:rsidRDefault="00694C0F">
      <w:pPr>
        <w:pStyle w:val="Definition-Field"/>
      </w:pPr>
      <w:r>
        <w:t xml:space="preserve">a.   </w:t>
      </w:r>
      <w:r>
        <w:rPr>
          <w:i/>
        </w:rPr>
        <w:t>The standard states that auto is a valid enumeration value.</w:t>
      </w:r>
    </w:p>
    <w:p w:rsidR="00024C0A" w:rsidRDefault="00694C0F">
      <w:pPr>
        <w:pStyle w:val="Definition-Field2"/>
      </w:pPr>
      <w:r>
        <w:t>Office does not allow the auto</w:t>
      </w:r>
      <w:r>
        <w:t xml:space="preserve"> enumeration value.</w:t>
      </w:r>
    </w:p>
    <w:p w:rsidR="00024C0A" w:rsidRDefault="00694C0F">
      <w:pPr>
        <w:pStyle w:val="Heading3"/>
      </w:pPr>
      <w:bookmarkStart w:id="3199" w:name="section_48c6336adac043d4b9a0e29a1b3aa23c"/>
      <w:bookmarkStart w:id="3200" w:name="_Toc12261660"/>
      <w:r>
        <w:t>Part 1 Section 21.2.3.46, ST_Style (Style)</w:t>
      </w:r>
      <w:bookmarkEnd w:id="3199"/>
      <w:bookmarkEnd w:id="3200"/>
      <w:r>
        <w:fldChar w:fldCharType="begin"/>
      </w:r>
      <w:r>
        <w:instrText xml:space="preserve"> XE "ST_Style (Style)" </w:instrText>
      </w:r>
      <w:r>
        <w:fldChar w:fldCharType="end"/>
      </w:r>
    </w:p>
    <w:p w:rsidR="00024C0A" w:rsidRDefault="00694C0F">
      <w:pPr>
        <w:pStyle w:val="Definition-Field"/>
      </w:pPr>
      <w:r>
        <w:t xml:space="preserve">a.   </w:t>
      </w:r>
      <w:r>
        <w:rPr>
          <w:i/>
        </w:rPr>
        <w:t>The standard makes an unclear reference to accent1-6 in Table 3.</w:t>
      </w:r>
    </w:p>
    <w:p w:rsidR="00024C0A" w:rsidRDefault="00694C0F">
      <w:pPr>
        <w:pStyle w:val="Definition-Field2"/>
      </w:pPr>
      <w:r>
        <w:t>In Office, the color listed as accent1-6 means that the first style uses accent1, the next uses ac</w:t>
      </w:r>
      <w:r>
        <w:t>cent2, up to the sixth, which uses accent6.</w:t>
      </w:r>
    </w:p>
    <w:p w:rsidR="00024C0A" w:rsidRDefault="00694C0F">
      <w:pPr>
        <w:pStyle w:val="Definition-Field"/>
      </w:pPr>
      <w:r>
        <w:t xml:space="preserve">b.   </w:t>
      </w:r>
      <w:r>
        <w:rPr>
          <w:i/>
        </w:rPr>
        <w:t>The standard does not specify the color of the effect in Tables 4 and 5.</w:t>
      </w:r>
    </w:p>
    <w:p w:rsidR="00024C0A" w:rsidRDefault="00694C0F">
      <w:pPr>
        <w:pStyle w:val="Definition-Field2"/>
      </w:pPr>
      <w:r>
        <w:t>In Office, if the style has an effect applied, the color of the effect is dk1.</w:t>
      </w:r>
    </w:p>
    <w:p w:rsidR="00024C0A" w:rsidRDefault="00694C0F">
      <w:pPr>
        <w:pStyle w:val="Heading3"/>
      </w:pPr>
      <w:bookmarkStart w:id="3201" w:name="section_b4f2d82cf8ae4592847f4360fbd8fdad"/>
      <w:bookmarkStart w:id="3202" w:name="_Toc12261661"/>
      <w:r>
        <w:t>Part 1 Section 21.2.3.50, ST_TrendlineType (Trendline T</w:t>
      </w:r>
      <w:r>
        <w:t>ype)</w:t>
      </w:r>
      <w:bookmarkEnd w:id="3201"/>
      <w:bookmarkEnd w:id="3202"/>
      <w:r>
        <w:fldChar w:fldCharType="begin"/>
      </w:r>
      <w:r>
        <w:instrText xml:space="preserve"> XE "ST_TrendlineType (Trendline Type)" </w:instrText>
      </w:r>
      <w:r>
        <w:fldChar w:fldCharType="end"/>
      </w:r>
    </w:p>
    <w:p w:rsidR="00024C0A" w:rsidRDefault="00694C0F">
      <w:pPr>
        <w:pStyle w:val="Definition-Field"/>
      </w:pPr>
      <w:r>
        <w:t xml:space="preserve">a.   </w:t>
      </w:r>
      <w:r>
        <w:rPr>
          <w:i/>
        </w:rPr>
        <w:t>The standard states that the exp enumeration value specifies the trendline shall be an exponential curve in the form y=ab^x.</w:t>
      </w:r>
    </w:p>
    <w:p w:rsidR="00024C0A" w:rsidRDefault="00694C0F">
      <w:pPr>
        <w:pStyle w:val="Definition-Field2"/>
      </w:pPr>
      <w:r>
        <w:lastRenderedPageBreak/>
        <w:t>In Office, this enumeration value specifies that the trendline shall be an expo</w:t>
      </w:r>
      <w:r>
        <w:t>nential curve in the form y=ae^(bx).</w:t>
      </w:r>
    </w:p>
    <w:p w:rsidR="00024C0A" w:rsidRDefault="00694C0F">
      <w:pPr>
        <w:pStyle w:val="Heading3"/>
      </w:pPr>
      <w:bookmarkStart w:id="3203" w:name="section_903cbc0e390846ebb260471913fcab40"/>
      <w:bookmarkStart w:id="3204" w:name="_Toc12261662"/>
      <w:r>
        <w:t>Part 1 Section 21.3.2.1, absSizeAnchor (Absolute Anchor Shape Size)</w:t>
      </w:r>
      <w:bookmarkEnd w:id="3203"/>
      <w:bookmarkEnd w:id="3204"/>
      <w:r>
        <w:fldChar w:fldCharType="begin"/>
      </w:r>
      <w:r>
        <w:instrText xml:space="preserve"> XE "absSizeAnchor (Absolute Anchor Shape Size)" </w:instrText>
      </w:r>
      <w:r>
        <w:fldChar w:fldCharType="end"/>
      </w:r>
    </w:p>
    <w:p w:rsidR="00024C0A" w:rsidRDefault="00694C0F">
      <w:pPr>
        <w:pStyle w:val="Definition-Field"/>
      </w:pPr>
      <w:r>
        <w:t xml:space="preserve">a.   </w:t>
      </w:r>
      <w:r>
        <w:rPr>
          <w:i/>
        </w:rPr>
        <w:t xml:space="preserve">The standard states that the from element specifies the top left corner of the shape bounding </w:t>
      </w:r>
      <w:r>
        <w:rPr>
          <w:i/>
        </w:rPr>
        <w:t>box in a RTL (right to left) implementation. The ext element specifies the bottom right corner of the shape bounding box in a RTL implementation.</w:t>
      </w:r>
    </w:p>
    <w:p w:rsidR="00024C0A" w:rsidRDefault="00694C0F">
      <w:pPr>
        <w:pStyle w:val="Definition-Field2"/>
      </w:pPr>
      <w:r>
        <w:t xml:space="preserve">In Office, the from element specifies the top left corner relative to the chart and the ext element specifies </w:t>
      </w:r>
      <w:r>
        <w:t>the size of the shape in EMUs.</w:t>
      </w:r>
    </w:p>
    <w:p w:rsidR="00024C0A" w:rsidRDefault="00694C0F">
      <w:pPr>
        <w:pStyle w:val="Heading3"/>
      </w:pPr>
      <w:bookmarkStart w:id="3205" w:name="section_0329492820b44cdd9ecdac4d63dc4674"/>
      <w:bookmarkStart w:id="3206" w:name="_Toc12261663"/>
      <w:r>
        <w:t>Part 1 Section 21.3.2.2, blipFill (Picture Fill)</w:t>
      </w:r>
      <w:bookmarkEnd w:id="3205"/>
      <w:bookmarkEnd w:id="3206"/>
      <w:r>
        <w:fldChar w:fldCharType="begin"/>
      </w:r>
      <w:r>
        <w:instrText xml:space="preserve"> XE "blipFill (Picture Fill)" </w:instrText>
      </w:r>
      <w:r>
        <w:fldChar w:fldCharType="end"/>
      </w:r>
    </w:p>
    <w:p w:rsidR="00024C0A" w:rsidRDefault="00694C0F">
      <w:pPr>
        <w:pStyle w:val="Definition-Field"/>
      </w:pPr>
      <w:r>
        <w:t xml:space="preserve">a.   </w:t>
      </w:r>
      <w:r>
        <w:rPr>
          <w:i/>
        </w:rPr>
        <w:t>The standard allows the dpi attribute to be used with this element.</w:t>
      </w:r>
    </w:p>
    <w:p w:rsidR="00024C0A" w:rsidRDefault="00694C0F">
      <w:pPr>
        <w:pStyle w:val="Definition-Field2"/>
      </w:pPr>
      <w:r>
        <w:t>The dpi attribute is not supported by Office.</w:t>
      </w:r>
    </w:p>
    <w:p w:rsidR="00024C0A" w:rsidRDefault="00694C0F">
      <w:pPr>
        <w:pStyle w:val="Heading3"/>
      </w:pPr>
      <w:bookmarkStart w:id="3207" w:name="section_dd2a08189ba74ba58a8c85431cac913f"/>
      <w:bookmarkStart w:id="3208" w:name="_Toc12261664"/>
      <w:r>
        <w:t xml:space="preserve">Part 1 Section 21.3.2.7, </w:t>
      </w:r>
      <w:r>
        <w:t>cNvPr (Non-Visual Drawing Properties)</w:t>
      </w:r>
      <w:bookmarkEnd w:id="3207"/>
      <w:bookmarkEnd w:id="3208"/>
      <w:r>
        <w:fldChar w:fldCharType="begin"/>
      </w:r>
      <w:r>
        <w:instrText xml:space="preserve"> XE "cNvPr (Non-Visual Drawing Properties)" </w:instrText>
      </w:r>
      <w:r>
        <w:fldChar w:fldCharType="end"/>
      </w:r>
    </w:p>
    <w:p w:rsidR="00024C0A" w:rsidRDefault="00694C0F">
      <w:pPr>
        <w:pStyle w:val="Definition-Field"/>
      </w:pPr>
      <w:r>
        <w:t xml:space="preserve">a.   </w:t>
      </w:r>
      <w:r>
        <w:rPr>
          <w:i/>
        </w:rPr>
        <w:t>The standard implies that hyperlinks can be used on objects inside of charts.</w:t>
      </w:r>
    </w:p>
    <w:p w:rsidR="00024C0A" w:rsidRDefault="00694C0F">
      <w:pPr>
        <w:pStyle w:val="Definition-Field2"/>
      </w:pPr>
      <w:r>
        <w:t>PowerPoint does not support hyperlinks in objects inside charts.</w:t>
      </w:r>
    </w:p>
    <w:p w:rsidR="00024C0A" w:rsidRDefault="00694C0F">
      <w:pPr>
        <w:pStyle w:val="Heading3"/>
      </w:pPr>
      <w:bookmarkStart w:id="3209" w:name="section_1bfa7d2ded0848e8a2f023c93755d1da"/>
      <w:bookmarkStart w:id="3210" w:name="_Toc12261665"/>
      <w:r>
        <w:t>Part 1 Section 21.3.2.9, cxnSp (Connection Shape)</w:t>
      </w:r>
      <w:bookmarkEnd w:id="3209"/>
      <w:bookmarkEnd w:id="3210"/>
      <w:r>
        <w:fldChar w:fldCharType="begin"/>
      </w:r>
      <w:r>
        <w:instrText xml:space="preserve"> XE "cxnSp (Connection Shape)" </w:instrText>
      </w:r>
      <w:r>
        <w:fldChar w:fldCharType="end"/>
      </w:r>
    </w:p>
    <w:p w:rsidR="00024C0A" w:rsidRDefault="00694C0F">
      <w:pPr>
        <w:pStyle w:val="Definition-Field"/>
      </w:pPr>
      <w:r>
        <w:t xml:space="preserve">a.   </w:t>
      </w:r>
      <w:r>
        <w:rPr>
          <w:i/>
        </w:rPr>
        <w:t>The standard states that cxnSp connects two sp elements.</w:t>
      </w:r>
    </w:p>
    <w:p w:rsidR="00024C0A" w:rsidRDefault="00694C0F">
      <w:pPr>
        <w:pStyle w:val="Definition-Field2"/>
      </w:pPr>
      <w:r>
        <w:t>In Office, cxnSp connects two sp or pic elements.</w:t>
      </w:r>
    </w:p>
    <w:p w:rsidR="00024C0A" w:rsidRDefault="00694C0F">
      <w:pPr>
        <w:pStyle w:val="Definition-Field"/>
      </w:pPr>
      <w:r>
        <w:t xml:space="preserve">b.   </w:t>
      </w:r>
      <w:r>
        <w:rPr>
          <w:i/>
        </w:rPr>
        <w:t>The standard states that the values of the macro attribu</w:t>
      </w:r>
      <w:r>
        <w:rPr>
          <w:i/>
        </w:rPr>
        <w:t>te are defined by the XML Schema string datatype.</w:t>
      </w:r>
    </w:p>
    <w:p w:rsidR="00024C0A" w:rsidRDefault="00694C0F">
      <w:pPr>
        <w:pStyle w:val="Definition-Field2"/>
      </w:pPr>
      <w:r>
        <w:t>Office requires that the macro attribute value follow the same grammar as name-references ("</w:t>
      </w:r>
      <w:hyperlink r:id="rId211">
        <w:r>
          <w:rPr>
            <w:rStyle w:val="Hyperlink"/>
          </w:rPr>
          <w:t>[ISO/IEC-29500-1]</w:t>
        </w:r>
      </w:hyperlink>
      <w:r>
        <w:t xml:space="preserve"> §18.17.2.5") with a minimum le</w:t>
      </w:r>
      <w:r>
        <w:t>ngth of 0 characters and a maximum length of 256 characters.</w:t>
      </w:r>
    </w:p>
    <w:p w:rsidR="00024C0A" w:rsidRDefault="00694C0F">
      <w:pPr>
        <w:pStyle w:val="Definition-Field"/>
      </w:pPr>
      <w:r>
        <w:t xml:space="preserve">c.   </w:t>
      </w:r>
      <w:r>
        <w:rPr>
          <w:i/>
        </w:rPr>
        <w:t>The standard states that cxnSp can be any geometry element.</w:t>
      </w:r>
    </w:p>
    <w:p w:rsidR="00024C0A" w:rsidRDefault="00694C0F">
      <w:pPr>
        <w:pStyle w:val="Definition-Field2"/>
      </w:pPr>
      <w:r>
        <w:t>In Office, a connection shape can only be a preset geometry element; a custom geometry element is not allowed.</w:t>
      </w:r>
    </w:p>
    <w:p w:rsidR="00024C0A" w:rsidRDefault="00694C0F">
      <w:pPr>
        <w:pStyle w:val="Heading3"/>
      </w:pPr>
      <w:bookmarkStart w:id="3211" w:name="section_0e03e978d5d44dc1b3ada77bbb361cfe"/>
      <w:bookmarkStart w:id="3212" w:name="_Toc12261666"/>
      <w:r>
        <w:t>Part 1 Section 21.3</w:t>
      </w:r>
      <w:r>
        <w:t>.2.10, ext (Shape Extent)</w:t>
      </w:r>
      <w:bookmarkEnd w:id="3211"/>
      <w:bookmarkEnd w:id="3212"/>
      <w:r>
        <w:fldChar w:fldCharType="begin"/>
      </w:r>
      <w:r>
        <w:instrText xml:space="preserve"> XE "ext (Shape Extent)" </w:instrText>
      </w:r>
      <w:r>
        <w:fldChar w:fldCharType="end"/>
      </w:r>
    </w:p>
    <w:p w:rsidR="00024C0A" w:rsidRDefault="00694C0F">
      <w:pPr>
        <w:pStyle w:val="Definition-Field"/>
      </w:pPr>
      <w:r>
        <w:t xml:space="preserve">a.   </w:t>
      </w:r>
      <w:r>
        <w:rPr>
          <w:i/>
        </w:rPr>
        <w:t>The standard inverts the terms width and height when describing attributes cx and cy.</w:t>
      </w:r>
    </w:p>
    <w:p w:rsidR="00024C0A" w:rsidRDefault="00694C0F">
      <w:pPr>
        <w:pStyle w:val="Definition-Field2"/>
      </w:pPr>
      <w:r>
        <w:t>In Office, the cx attribute represents the extent width (horizontal size) and the cy attribute represents the ex</w:t>
      </w:r>
      <w:r>
        <w:t>tents height (vertical size).</w:t>
      </w:r>
    </w:p>
    <w:p w:rsidR="00024C0A" w:rsidRDefault="00694C0F">
      <w:pPr>
        <w:pStyle w:val="Definition-Field"/>
      </w:pPr>
      <w:r>
        <w:t xml:space="preserve">b.   </w:t>
      </w:r>
      <w:r>
        <w:rPr>
          <w:i/>
        </w:rPr>
        <w:t>The standard allows the value of attributes cx and cy to be zero.</w:t>
      </w:r>
    </w:p>
    <w:p w:rsidR="00024C0A" w:rsidRDefault="00694C0F">
      <w:pPr>
        <w:pStyle w:val="Definition-Field2"/>
      </w:pPr>
      <w:r>
        <w:t xml:space="preserve">If the value of either the cx or cy attribute is zero, Office will ignore it and use the object transform (xfrm). If the object transform is also invalid, </w:t>
      </w:r>
      <w:r>
        <w:t>the object will not be shown</w:t>
      </w:r>
    </w:p>
    <w:p w:rsidR="00024C0A" w:rsidRDefault="00694C0F">
      <w:pPr>
        <w:pStyle w:val="Heading3"/>
      </w:pPr>
      <w:bookmarkStart w:id="3213" w:name="section_0cebfe7e9b5a4b468ee5cbaa422259da"/>
      <w:bookmarkStart w:id="3214" w:name="_Toc12261667"/>
      <w:r>
        <w:t>Part 1 Section 21.3.2.12, graphicFrame (Graphic Frame)</w:t>
      </w:r>
      <w:bookmarkEnd w:id="3213"/>
      <w:bookmarkEnd w:id="3214"/>
      <w:r>
        <w:fldChar w:fldCharType="begin"/>
      </w:r>
      <w:r>
        <w:instrText xml:space="preserve"> XE "graphicFrame (Graphic Frame)" </w:instrText>
      </w:r>
      <w:r>
        <w:fldChar w:fldCharType="end"/>
      </w:r>
    </w:p>
    <w:p w:rsidR="00024C0A" w:rsidRDefault="00694C0F">
      <w:pPr>
        <w:pStyle w:val="Definition-Field"/>
      </w:pPr>
      <w:r>
        <w:t xml:space="preserve">a.   </w:t>
      </w:r>
      <w:r>
        <w:rPr>
          <w:i/>
        </w:rPr>
        <w:t>The standard allows a graphicFrame to be specified within a Chart Drawing.</w:t>
      </w:r>
    </w:p>
    <w:p w:rsidR="00024C0A" w:rsidRDefault="00694C0F">
      <w:pPr>
        <w:pStyle w:val="Definition-Field2"/>
      </w:pPr>
      <w:r>
        <w:lastRenderedPageBreak/>
        <w:t>Office does not support the display of graphic frames i</w:t>
      </w:r>
      <w:r>
        <w:t>nside charts.</w:t>
      </w:r>
    </w:p>
    <w:p w:rsidR="00024C0A" w:rsidRDefault="00694C0F">
      <w:pPr>
        <w:pStyle w:val="Definition-Field"/>
      </w:pPr>
      <w:r>
        <w:t xml:space="preserve">b.   </w:t>
      </w:r>
      <w:r>
        <w:rPr>
          <w:i/>
        </w:rPr>
        <w:t>The standard states that the values of the macro attribute are defined by the XML Schema string datatype.</w:t>
      </w:r>
    </w:p>
    <w:p w:rsidR="00024C0A" w:rsidRDefault="00694C0F">
      <w:pPr>
        <w:pStyle w:val="Definition-Field2"/>
      </w:pPr>
      <w:r>
        <w:t>Office requires that the macro attribute value follow the same grammar as name-references ("</w:t>
      </w:r>
      <w:hyperlink r:id="rId212">
        <w:r>
          <w:rPr>
            <w:rStyle w:val="Hyperlink"/>
          </w:rPr>
          <w:t>[ISO/IEC-29500-1]</w:t>
        </w:r>
      </w:hyperlink>
      <w:r>
        <w:t xml:space="preserve"> §18.17.2.5") with a minimum length of 0 characters and a maximum length of 256 characters.</w:t>
      </w:r>
    </w:p>
    <w:p w:rsidR="00024C0A" w:rsidRDefault="00694C0F">
      <w:pPr>
        <w:pStyle w:val="Heading3"/>
      </w:pPr>
      <w:bookmarkStart w:id="3215" w:name="section_1c32c2fb9e614f02ad31b56fcf112462"/>
      <w:bookmarkStart w:id="3216" w:name="_Toc12261668"/>
      <w:r>
        <w:t>Part 1 Section 21.3.2.14, grpSpPr (Group Shape Properties)</w:t>
      </w:r>
      <w:bookmarkEnd w:id="3215"/>
      <w:bookmarkEnd w:id="3216"/>
      <w:r>
        <w:fldChar w:fldCharType="begin"/>
      </w:r>
      <w:r>
        <w:instrText xml:space="preserve"> XE "grpSpPr (Group Shape Properties)" </w:instrText>
      </w:r>
      <w:r>
        <w:fldChar w:fldCharType="end"/>
      </w:r>
    </w:p>
    <w:p w:rsidR="00024C0A" w:rsidRDefault="00694C0F">
      <w:pPr>
        <w:pStyle w:val="Definition-Field2"/>
      </w:pPr>
      <w:r>
        <w:rPr>
          <w:i/>
        </w:rPr>
        <w:t>For additional notes</w:t>
      </w:r>
      <w:r>
        <w:rPr>
          <w:i/>
        </w:rPr>
        <w:t xml:space="preserve"> that apply to this portion of the standard, please see the notes for </w:t>
      </w:r>
      <w:hyperlink w:anchor="Section_0b7e3dab028b4c2285e631bc3dc52e04">
        <w:r>
          <w:rPr>
            <w:rStyle w:val="Hyperlink"/>
          </w:rPr>
          <w:t>grpSpPr, §20.5.2.18(a-c)</w:t>
        </w:r>
      </w:hyperlink>
      <w:r>
        <w:rPr>
          <w:i/>
        </w:rPr>
        <w:t>.</w:t>
      </w:r>
    </w:p>
    <w:p w:rsidR="00024C0A" w:rsidRDefault="00694C0F">
      <w:pPr>
        <w:pStyle w:val="Heading3"/>
      </w:pPr>
      <w:bookmarkStart w:id="3217" w:name="section_7b4add6c9a8b4db2ad3c60b251768118"/>
      <w:bookmarkStart w:id="3218" w:name="_Toc12261669"/>
      <w:r>
        <w:t>Part 1 Section 21.3.2.20, pic (Picture)</w:t>
      </w:r>
      <w:bookmarkEnd w:id="3217"/>
      <w:bookmarkEnd w:id="3218"/>
      <w:r>
        <w:fldChar w:fldCharType="begin"/>
      </w:r>
      <w:r>
        <w:instrText xml:space="preserve"> XE "pic (Picture)" </w:instrText>
      </w:r>
      <w:r>
        <w:fldChar w:fldCharType="end"/>
      </w:r>
    </w:p>
    <w:p w:rsidR="00024C0A" w:rsidRDefault="00694C0F">
      <w:pPr>
        <w:pStyle w:val="Definition-Field"/>
      </w:pPr>
      <w:r>
        <w:t xml:space="preserve">a.   </w:t>
      </w:r>
      <w:r>
        <w:rPr>
          <w:i/>
        </w:rPr>
        <w:t>The standard states that the v</w:t>
      </w:r>
      <w:r>
        <w:rPr>
          <w:i/>
        </w:rPr>
        <w:t>alues of the macro attribute are defined by the XML Schema string datatype.</w:t>
      </w:r>
    </w:p>
    <w:p w:rsidR="00024C0A" w:rsidRDefault="00694C0F">
      <w:pPr>
        <w:pStyle w:val="Definition-Field2"/>
      </w:pPr>
      <w:r>
        <w:t>Office requires that the macro attribute value follow the same grammar as name-references ("</w:t>
      </w:r>
      <w:hyperlink r:id="rId213">
        <w:r>
          <w:rPr>
            <w:rStyle w:val="Hyperlink"/>
          </w:rPr>
          <w:t>[ISO/IEC-29500-1]</w:t>
        </w:r>
      </w:hyperlink>
      <w:r>
        <w:t xml:space="preserve"> §18.17.2.5") with a minimum length of 0 characters and a maximum length of 256 characters.</w:t>
      </w:r>
    </w:p>
    <w:p w:rsidR="00024C0A" w:rsidRDefault="00694C0F">
      <w:pPr>
        <w:pStyle w:val="Heading3"/>
      </w:pPr>
      <w:bookmarkStart w:id="3219" w:name="section_d5b937831c53410d860c57119b5ebcad"/>
      <w:bookmarkStart w:id="3220" w:name="_Toc12261670"/>
      <w:r>
        <w:t>Part 1 Section 21.3.2.21, relSizeAnchor (Relative Anchor Shape Size)</w:t>
      </w:r>
      <w:bookmarkEnd w:id="3219"/>
      <w:bookmarkEnd w:id="3220"/>
      <w:r>
        <w:fldChar w:fldCharType="begin"/>
      </w:r>
      <w:r>
        <w:instrText xml:space="preserve"> XE "relSizeAnchor (Relative Anchor Shape Size)" </w:instrText>
      </w:r>
      <w:r>
        <w:fldChar w:fldCharType="end"/>
      </w:r>
    </w:p>
    <w:p w:rsidR="00024C0A" w:rsidRDefault="00694C0F">
      <w:pPr>
        <w:pStyle w:val="Definition-Field"/>
      </w:pPr>
      <w:r>
        <w:t xml:space="preserve">a.   </w:t>
      </w:r>
      <w:r>
        <w:rPr>
          <w:i/>
        </w:rPr>
        <w:t>The standard allows shapes to be define</w:t>
      </w:r>
      <w:r>
        <w:rPr>
          <w:i/>
        </w:rPr>
        <w:t>d where the right edge is to the left of the left edge or where the bottom edge is above the top edge.</w:t>
      </w:r>
    </w:p>
    <w:p w:rsidR="00024C0A" w:rsidRDefault="00694C0F">
      <w:r>
        <w:t>Office places additional restrictions on the relative size of 'from x' and 'from y’ as follows:</w:t>
      </w:r>
    </w:p>
    <w:p w:rsidR="00024C0A" w:rsidRDefault="00694C0F">
      <w:r>
        <w:t>The left side (</w:t>
      </w:r>
      <w:r>
        <w:rPr>
          <w:b/>
        </w:rPr>
        <w:t>from</w:t>
      </w:r>
      <w:r>
        <w:t xml:space="preserve"> x) should be less than or equal to th</w:t>
      </w:r>
      <w:r>
        <w:t>e right side (</w:t>
      </w:r>
      <w:r>
        <w:rPr>
          <w:b/>
        </w:rPr>
        <w:t>to</w:t>
      </w:r>
      <w:r>
        <w:t xml:space="preserve"> x).</w:t>
      </w:r>
    </w:p>
    <w:p w:rsidR="00024C0A" w:rsidRDefault="00694C0F">
      <w:r>
        <w:t>The top side (</w:t>
      </w:r>
      <w:r>
        <w:rPr>
          <w:b/>
        </w:rPr>
        <w:t>from</w:t>
      </w:r>
      <w:r>
        <w:t xml:space="preserve"> y) should be less than or equal to the bottom side (</w:t>
      </w:r>
      <w:r>
        <w:rPr>
          <w:b/>
        </w:rPr>
        <w:t>to</w:t>
      </w:r>
      <w:r>
        <w:t xml:space="preserve"> y).</w:t>
      </w:r>
    </w:p>
    <w:p w:rsidR="00024C0A" w:rsidRDefault="00694C0F">
      <w:r>
        <w:t>If these restrictions are not met, Office uses the values described in the 2D transform (</w:t>
      </w:r>
      <w:r>
        <w:rPr>
          <w:b/>
        </w:rPr>
        <w:t>xfrm</w:t>
      </w:r>
      <w:r>
        <w:t>), if they are valid. If these values are not valid, Office does</w:t>
      </w:r>
      <w:r>
        <w:t xml:space="preserve"> not render the shape.</w:t>
      </w:r>
    </w:p>
    <w:p w:rsidR="00024C0A" w:rsidRDefault="00694C0F">
      <w:pPr>
        <w:pStyle w:val="Definition-Field"/>
      </w:pPr>
      <w:r>
        <w:t xml:space="preserve">b.   </w:t>
      </w:r>
      <w:r>
        <w:rPr>
          <w:i/>
        </w:rPr>
        <w:t>The standard states that the from element specifies the top left corner of the shape bounding box in a RTL (right to left) implementation and the to element specifies the bottom right corner of the shape bounding box in a RTL im</w:t>
      </w:r>
      <w:r>
        <w:rPr>
          <w:i/>
        </w:rPr>
        <w:t>plementation.</w:t>
      </w:r>
    </w:p>
    <w:p w:rsidR="00024C0A" w:rsidRDefault="00694C0F">
      <w:pPr>
        <w:pStyle w:val="Definition-Field2"/>
      </w:pPr>
      <w:r>
        <w:t>In Office, the from element specifies the top left corner of the shape bounding box relative to the chart and the to element specifies the bottom right corner of the shape bounding box relative to the chart.</w:t>
      </w:r>
    </w:p>
    <w:p w:rsidR="00024C0A" w:rsidRDefault="00694C0F">
      <w:pPr>
        <w:pStyle w:val="Heading3"/>
      </w:pPr>
      <w:bookmarkStart w:id="3221" w:name="section_4ec82f3297324a2abad00c477260a627"/>
      <w:bookmarkStart w:id="3222" w:name="_Toc12261671"/>
      <w:r>
        <w:t>Part 1 Section 21.3.2.22, sp (Shap</w:t>
      </w:r>
      <w:r>
        <w:t>e)</w:t>
      </w:r>
      <w:bookmarkEnd w:id="3221"/>
      <w:bookmarkEnd w:id="3222"/>
      <w:r>
        <w:fldChar w:fldCharType="begin"/>
      </w:r>
      <w:r>
        <w:instrText xml:space="preserve"> XE "sp (Shape)" </w:instrText>
      </w:r>
      <w:r>
        <w:fldChar w:fldCharType="end"/>
      </w:r>
    </w:p>
    <w:p w:rsidR="00024C0A" w:rsidRDefault="00694C0F">
      <w:pPr>
        <w:pStyle w:val="Definition-Field"/>
      </w:pPr>
      <w:r>
        <w:t xml:space="preserve">a.   </w:t>
      </w:r>
      <w:r>
        <w:rPr>
          <w:i/>
        </w:rPr>
        <w:t>The standard states that textlink is a formula linking to spreadsheet cell data.</w:t>
      </w:r>
    </w:p>
    <w:p w:rsidR="00024C0A" w:rsidRDefault="00694C0F">
      <w:pPr>
        <w:pStyle w:val="Definition-Field2"/>
      </w:pPr>
      <w:r>
        <w:t>Excel requires that the value of the textlink attribute be a string referencing a cell or a cell range. This reference should be to a unique cell. E</w:t>
      </w:r>
      <w:r>
        <w:t>xcel accepts a cell range but only considers the first cell in the range.</w:t>
      </w:r>
    </w:p>
    <w:p w:rsidR="00024C0A" w:rsidRDefault="00694C0F">
      <w:pPr>
        <w:pStyle w:val="Definition-Field"/>
      </w:pPr>
      <w:r>
        <w:t xml:space="preserve">b.   </w:t>
      </w:r>
      <w:r>
        <w:rPr>
          <w:i/>
        </w:rPr>
        <w:t>The standard states that that the minOccurs of child element txBody is 0.</w:t>
      </w:r>
    </w:p>
    <w:p w:rsidR="00024C0A" w:rsidRDefault="00694C0F">
      <w:pPr>
        <w:pStyle w:val="Definition-Field2"/>
      </w:pPr>
      <w:r>
        <w:t>Office requires txBody if textlink is specified. Chart drawing content will not load if txBody is not p</w:t>
      </w:r>
      <w:r>
        <w:t>rovided and textlink is valid.</w:t>
      </w:r>
    </w:p>
    <w:p w:rsidR="00024C0A" w:rsidRDefault="00694C0F">
      <w:pPr>
        <w:pStyle w:val="Definition-Field"/>
      </w:pPr>
      <w:r>
        <w:lastRenderedPageBreak/>
        <w:t xml:space="preserve">c.   </w:t>
      </w:r>
      <w:r>
        <w:rPr>
          <w:i/>
        </w:rPr>
        <w:t>The standard allows attribute fLocksText on a shape in a chart drawing.</w:t>
      </w:r>
    </w:p>
    <w:p w:rsidR="00024C0A" w:rsidRDefault="00694C0F">
      <w:pPr>
        <w:pStyle w:val="Definition-Field2"/>
      </w:pPr>
      <w:r>
        <w:t>Office does not support attribute fLocksText on a shape within a chart drawing.</w:t>
      </w:r>
    </w:p>
    <w:p w:rsidR="00024C0A" w:rsidRDefault="00694C0F">
      <w:pPr>
        <w:pStyle w:val="Definition-Field"/>
      </w:pPr>
      <w:r>
        <w:t xml:space="preserve">d.   </w:t>
      </w:r>
      <w:r>
        <w:rPr>
          <w:i/>
        </w:rPr>
        <w:t xml:space="preserve">The standard states that the values of the macro attribute are </w:t>
      </w:r>
      <w:r>
        <w:rPr>
          <w:i/>
        </w:rPr>
        <w:t>defined by the XML Schema string datatype.</w:t>
      </w:r>
    </w:p>
    <w:p w:rsidR="00024C0A" w:rsidRDefault="00694C0F">
      <w:pPr>
        <w:pStyle w:val="Definition-Field2"/>
      </w:pPr>
      <w:r>
        <w:t>Office requires that the macro attribute value follow the same grammar as name-references ("</w:t>
      </w:r>
      <w:hyperlink r:id="rId214">
        <w:r>
          <w:rPr>
            <w:rStyle w:val="Hyperlink"/>
          </w:rPr>
          <w:t>[ISO/IEC-29500-1]</w:t>
        </w:r>
      </w:hyperlink>
      <w:r>
        <w:t xml:space="preserve"> §18.17.2.5") with a minimum length of</w:t>
      </w:r>
      <w:r>
        <w:t xml:space="preserve"> 0 characters and a maximum length of 256 characters.</w:t>
      </w:r>
    </w:p>
    <w:p w:rsidR="00024C0A" w:rsidRDefault="00694C0F">
      <w:pPr>
        <w:pStyle w:val="Heading3"/>
      </w:pPr>
      <w:bookmarkStart w:id="3223" w:name="section_c14c0a475e6f425d83789cf35dda1e2c"/>
      <w:bookmarkStart w:id="3224" w:name="_Toc12261672"/>
      <w:r>
        <w:t>Part 1 Section 21.3.2.23, spPr (Shape Properties)</w:t>
      </w:r>
      <w:bookmarkEnd w:id="3223"/>
      <w:bookmarkEnd w:id="3224"/>
      <w:r>
        <w:fldChar w:fldCharType="begin"/>
      </w:r>
      <w:r>
        <w:instrText xml:space="preserve"> XE "spPr (Shape Properties)"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024C0A" w:rsidRDefault="00694C0F">
      <w:pPr>
        <w:pStyle w:val="Heading3"/>
      </w:pPr>
      <w:bookmarkStart w:id="3225" w:name="section_fc0a85cab9764ffd9cd1c80bc90dcf34"/>
      <w:bookmarkStart w:id="3226" w:name="_Toc12261673"/>
      <w:r>
        <w:t>Part 1 Section 21.3.2.24, style (Shape Style)</w:t>
      </w:r>
      <w:bookmarkEnd w:id="3225"/>
      <w:bookmarkEnd w:id="3226"/>
      <w:r>
        <w:fldChar w:fldCharType="begin"/>
      </w:r>
      <w:r>
        <w:instrText xml:space="preserve"> XE "style (Shape Style)" </w:instrText>
      </w:r>
      <w:r>
        <w:fldChar w:fldCharType="end"/>
      </w:r>
    </w:p>
    <w:p w:rsidR="00024C0A" w:rsidRDefault="00694C0F">
      <w:pPr>
        <w:pStyle w:val="Definition-Field"/>
      </w:pPr>
      <w:r>
        <w:t xml:space="preserve">a.   </w:t>
      </w:r>
      <w:r>
        <w:rPr>
          <w:i/>
        </w:rPr>
        <w:t>The standard states that child element fontRef applies to parent elements pic, cxnSp and sp.</w:t>
      </w:r>
    </w:p>
    <w:p w:rsidR="00024C0A" w:rsidRDefault="00694C0F">
      <w:pPr>
        <w:pStyle w:val="Definition-Field2"/>
      </w:pPr>
      <w:r>
        <w:t>In Office, the fontRef child</w:t>
      </w:r>
      <w:r>
        <w:t xml:space="preserve"> element is not used for parent elements pic and cxnSp.</w:t>
      </w:r>
    </w:p>
    <w:p w:rsidR="00024C0A" w:rsidRDefault="00694C0F">
      <w:pPr>
        <w:pStyle w:val="Definition-Field"/>
      </w:pPr>
      <w:r>
        <w:t xml:space="preserve">b.   </w:t>
      </w:r>
      <w:r>
        <w:rPr>
          <w:i/>
        </w:rPr>
        <w:t>The standard allows a sp, pic or cxnSp element to have similar formatting options defined in both the style and spPr elements.</w:t>
      </w:r>
    </w:p>
    <w:p w:rsidR="00024C0A" w:rsidRDefault="00694C0F">
      <w:pPr>
        <w:pStyle w:val="Definition-Field2"/>
      </w:pPr>
      <w:r>
        <w:t>In Office, shape properties defined on the parent element will overr</w:t>
      </w:r>
      <w:r>
        <w:t>ide similar style components (lnRef, effectRef, fillRef, fontRef) defined in this element.</w:t>
      </w:r>
    </w:p>
    <w:p w:rsidR="00024C0A" w:rsidRDefault="00694C0F">
      <w:pPr>
        <w:pStyle w:val="Definition-Field"/>
      </w:pPr>
      <w:r>
        <w:t xml:space="preserve">c.   </w:t>
      </w:r>
      <w:r>
        <w:rPr>
          <w:i/>
        </w:rPr>
        <w:t>The standard allows similar text formatting properties to be defined for parent element sp by the style or txBody element.</w:t>
      </w:r>
    </w:p>
    <w:p w:rsidR="00024C0A" w:rsidRDefault="00694C0F">
      <w:pPr>
        <w:pStyle w:val="Definition-Field2"/>
      </w:pPr>
      <w:r>
        <w:t>In Office, child elements in the txBo</w:t>
      </w:r>
      <w:r>
        <w:t>dy element will override similar style properties defined by child element fontRef.</w:t>
      </w:r>
    </w:p>
    <w:p w:rsidR="00024C0A" w:rsidRDefault="00694C0F">
      <w:pPr>
        <w:pStyle w:val="Heading3"/>
      </w:pPr>
      <w:bookmarkStart w:id="3227" w:name="section_2cfcb2b25a5b4d8caf20267762478810"/>
      <w:bookmarkStart w:id="3228" w:name="_Toc12261674"/>
      <w:r>
        <w:t>Part 1 Section 21.3.2.25, to (Ending Anchor Point)</w:t>
      </w:r>
      <w:bookmarkEnd w:id="3227"/>
      <w:bookmarkEnd w:id="3228"/>
      <w:r>
        <w:fldChar w:fldCharType="begin"/>
      </w:r>
      <w:r>
        <w:instrText xml:space="preserve"> XE "to (Ending Anchor Point)" </w:instrText>
      </w:r>
      <w:r>
        <w:fldChar w:fldCharType="end"/>
      </w:r>
    </w:p>
    <w:p w:rsidR="00024C0A" w:rsidRDefault="00694C0F">
      <w:pPr>
        <w:pStyle w:val="Definition-Field"/>
      </w:pPr>
      <w:r>
        <w:t xml:space="preserve">a.   </w:t>
      </w:r>
      <w:r>
        <w:rPr>
          <w:i/>
        </w:rPr>
        <w:t xml:space="preserve">The standard does not include restrictions regarding the relative size of 'from x' </w:t>
      </w:r>
      <w:r>
        <w:rPr>
          <w:i/>
        </w:rPr>
        <w:t>and 'from y' with respect to 'to x' and 'to y'.</w:t>
      </w:r>
    </w:p>
    <w:p w:rsidR="00024C0A" w:rsidRDefault="00694C0F">
      <w:r>
        <w:t>Office places additional restrictions on the relative size of 'from x' and 'from y’ as follows:</w:t>
      </w:r>
    </w:p>
    <w:p w:rsidR="00024C0A" w:rsidRDefault="00694C0F">
      <w:r>
        <w:t>The left side (from x) should be less than or equal to the right side (to x).</w:t>
      </w:r>
    </w:p>
    <w:p w:rsidR="00024C0A" w:rsidRDefault="00694C0F">
      <w:r>
        <w:t>The top side (from y) should be le</w:t>
      </w:r>
      <w:r>
        <w:t>ss than or equal to the bottom side (to y).</w:t>
      </w:r>
    </w:p>
    <w:p w:rsidR="00024C0A" w:rsidRDefault="00694C0F">
      <w:r>
        <w:t>If these restrictions are not met, Office uses the values described in the 2D transform (xfrm), if they are valid. If these values are not valid, Office does not render the shape.</w:t>
      </w:r>
    </w:p>
    <w:p w:rsidR="00024C0A" w:rsidRDefault="00694C0F">
      <w:pPr>
        <w:pStyle w:val="Heading3"/>
      </w:pPr>
      <w:bookmarkStart w:id="3229" w:name="section_b4fc71bd2d784480b089944ce35dc6b2"/>
      <w:bookmarkStart w:id="3230" w:name="_Toc12261675"/>
      <w:r>
        <w:t>Part 1 Section 21.3.2.26, txBody</w:t>
      </w:r>
      <w:r>
        <w:t xml:space="preserve"> (Shape Text Body)</w:t>
      </w:r>
      <w:bookmarkEnd w:id="3229"/>
      <w:bookmarkEnd w:id="3230"/>
      <w:r>
        <w:fldChar w:fldCharType="begin"/>
      </w:r>
      <w:r>
        <w:instrText xml:space="preserve"> XE "txBody (Shape Text Body)" </w:instrText>
      </w:r>
      <w:r>
        <w:fldChar w:fldCharType="end"/>
      </w:r>
    </w:p>
    <w:p w:rsidR="00024C0A" w:rsidRDefault="00694C0F">
      <w:pPr>
        <w:pStyle w:val="Definition-Field"/>
      </w:pPr>
      <w:r>
        <w:t xml:space="preserve">a.   </w:t>
      </w:r>
      <w:r>
        <w:rPr>
          <w:i/>
        </w:rPr>
        <w:t>The standard does not describe the relationship between similar properties in child elements p (text paragraphs) and lstStyle (text list styles).</w:t>
      </w:r>
    </w:p>
    <w:p w:rsidR="00024C0A" w:rsidRDefault="00694C0F">
      <w:pPr>
        <w:pStyle w:val="Definition-Field2"/>
      </w:pPr>
      <w:r>
        <w:t xml:space="preserve">In Office, if no text list styles are defined in a </w:t>
      </w:r>
      <w:r>
        <w:t>paragraph, styles from lstStyle are used. If no list styles are defined in a paragraph, and there is no lstStyle defined, the text in the list defaults to the current text style.</w:t>
      </w:r>
    </w:p>
    <w:p w:rsidR="00024C0A" w:rsidRDefault="00694C0F">
      <w:pPr>
        <w:pStyle w:val="Heading3"/>
      </w:pPr>
      <w:bookmarkStart w:id="3231" w:name="section_6f9a9b19ddc94304bacdb4245a8b9b3d"/>
      <w:bookmarkStart w:id="3232" w:name="_Toc12261676"/>
      <w:r>
        <w:lastRenderedPageBreak/>
        <w:t>Part 1 Section 21.3.2.28, xfrm (Graphic Frame Transform)</w:t>
      </w:r>
      <w:bookmarkEnd w:id="3231"/>
      <w:bookmarkEnd w:id="3232"/>
      <w:r>
        <w:fldChar w:fldCharType="begin"/>
      </w:r>
      <w:r>
        <w:instrText xml:space="preserve"> XE "xfrm (Graphic Fr</w:instrText>
      </w:r>
      <w:r>
        <w:instrText xml:space="preserve">ame Transform)"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024C0A" w:rsidRDefault="00694C0F">
      <w:pPr>
        <w:pStyle w:val="Definition-Field"/>
      </w:pPr>
      <w:r>
        <w:t xml:space="preserve">a.   </w:t>
      </w:r>
      <w:r>
        <w:rPr>
          <w:i/>
        </w:rPr>
        <w:t>The standard includes attributes flipH, flipV and rot for t</w:t>
      </w:r>
      <w:r>
        <w:rPr>
          <w:i/>
        </w:rPr>
        <w:t>he xfrm element.</w:t>
      </w:r>
    </w:p>
    <w:p w:rsidR="00024C0A" w:rsidRDefault="00694C0F">
      <w:pPr>
        <w:pStyle w:val="Definition-Field2"/>
      </w:pPr>
      <w:r>
        <w:t>Office does not support the flipH, flipV and rot attributes for graphic frames in chart drawings. Any value loaded will not be written back to the file on save.</w:t>
      </w:r>
    </w:p>
    <w:p w:rsidR="00024C0A" w:rsidRDefault="00694C0F">
      <w:pPr>
        <w:pStyle w:val="Definition-Field"/>
      </w:pPr>
      <w:r>
        <w:t xml:space="preserve">b.   </w:t>
      </w:r>
      <w:r>
        <w:rPr>
          <w:i/>
        </w:rPr>
        <w:t>The standard includes ext and off as child elements of xfrm.</w:t>
      </w:r>
    </w:p>
    <w:p w:rsidR="00024C0A" w:rsidRDefault="00694C0F">
      <w:pPr>
        <w:pStyle w:val="Definition-Field2"/>
      </w:pPr>
      <w:r>
        <w:t>Elements ext</w:t>
      </w:r>
      <w:r>
        <w:t xml:space="preserve"> (Extents) and off (Offset) are used by Excel only if the graphic frame is inside of a group. If the graphic frame is not inside a group, the application will always write 0 for the attribute values of both elements.</w:t>
      </w:r>
    </w:p>
    <w:p w:rsidR="00024C0A" w:rsidRDefault="00694C0F">
      <w:pPr>
        <w:pStyle w:val="Heading3"/>
      </w:pPr>
      <w:bookmarkStart w:id="3233" w:name="section_a9b2a24bc8f94d7c90adfd2fda3d0aa1"/>
      <w:bookmarkStart w:id="3234" w:name="_Toc12261677"/>
      <w:r>
        <w:t>Part 1 Section 21.4.2.1, adj (Shape Adj</w:t>
      </w:r>
      <w:r>
        <w:t>ust)</w:t>
      </w:r>
      <w:bookmarkEnd w:id="3233"/>
      <w:bookmarkEnd w:id="3234"/>
      <w:r>
        <w:fldChar w:fldCharType="begin"/>
      </w:r>
      <w:r>
        <w:instrText xml:space="preserve"> XE "adj (Shape Adjust)" </w:instrText>
      </w:r>
      <w:r>
        <w:fldChar w:fldCharType="end"/>
      </w:r>
    </w:p>
    <w:p w:rsidR="00024C0A" w:rsidRDefault="00694C0F">
      <w:pPr>
        <w:pStyle w:val="Definition-Field"/>
      </w:pPr>
      <w:r>
        <w:t xml:space="preserve">a.   </w:t>
      </w:r>
      <w:r>
        <w:rPr>
          <w:i/>
        </w:rPr>
        <w:t>The standard is unclear on what the @idx attribute is a reference to.</w:t>
      </w:r>
    </w:p>
    <w:p w:rsidR="00024C0A" w:rsidRDefault="00694C0F">
      <w:pPr>
        <w:pStyle w:val="Definition-Field2"/>
      </w:pPr>
      <w:r>
        <w:t>The @idx is an index to the list of shape adjust guides defined for the parent shape. These guides are listed under the avLst element in the shape de</w:t>
      </w:r>
      <w:r>
        <w:t>finitions, defined in the preset shape geometries electronic addenda of Annex D.</w:t>
      </w:r>
    </w:p>
    <w:p w:rsidR="00024C0A" w:rsidRDefault="00694C0F">
      <w:pPr>
        <w:pStyle w:val="Definition-Field"/>
      </w:pPr>
      <w:r>
        <w:t xml:space="preserve">b.   </w:t>
      </w:r>
      <w:r>
        <w:rPr>
          <w:i/>
        </w:rPr>
        <w:t>The standard is unclear on the types of values acceptable in the @val attribute.</w:t>
      </w:r>
    </w:p>
    <w:p w:rsidR="00024C0A" w:rsidRDefault="00694C0F">
      <w:pPr>
        <w:pStyle w:val="Definition-Field2"/>
      </w:pPr>
      <w:r>
        <w:t xml:space="preserve">If the adj element refers to a shape adjust handle based on rotation, the @val attribute </w:t>
      </w:r>
      <w:r>
        <w:t>accepts values in degrees.</w:t>
      </w:r>
    </w:p>
    <w:p w:rsidR="00024C0A" w:rsidRDefault="00694C0F">
      <w:pPr>
        <w:pStyle w:val="Heading3"/>
      </w:pPr>
      <w:bookmarkStart w:id="3235" w:name="section_c5fa41c376e24122a014ef3257b4e280"/>
      <w:bookmarkStart w:id="3236" w:name="_Toc12261678"/>
      <w:r>
        <w:t>Part 1 Section 21.4.2.7, clrData (Color Transform Sample Data)</w:t>
      </w:r>
      <w:bookmarkEnd w:id="3235"/>
      <w:bookmarkEnd w:id="3236"/>
      <w:r>
        <w:fldChar w:fldCharType="begin"/>
      </w:r>
      <w:r>
        <w:instrText xml:space="preserve"> XE "clrData (Color Transform Sample Data)"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03602c0c4e48496a96881c9f8d446fd0">
        <w:r>
          <w:rPr>
            <w:rStyle w:val="Hyperlink"/>
          </w:rPr>
          <w:t>sampData, §21.4.2.26(a)</w:t>
        </w:r>
      </w:hyperlink>
      <w:r>
        <w:rPr>
          <w:i/>
        </w:rPr>
        <w:t>.</w:t>
      </w:r>
    </w:p>
    <w:p w:rsidR="00024C0A" w:rsidRDefault="00694C0F">
      <w:pPr>
        <w:pStyle w:val="Heading3"/>
      </w:pPr>
      <w:bookmarkStart w:id="3237" w:name="section_0523e379c86b46ecb61f82d5b35c518d"/>
      <w:bookmarkStart w:id="3238" w:name="_Toc12261679"/>
      <w:r>
        <w:t>Part 1 Section 21.4.2.13, extLst (Extension List)</w:t>
      </w:r>
      <w:bookmarkEnd w:id="3237"/>
      <w:bookmarkEnd w:id="3238"/>
      <w:r>
        <w:fldChar w:fldCharType="begin"/>
      </w:r>
      <w:r>
        <w:instrText xml:space="preserve"> XE "extLst (Extension List)" </w:instrText>
      </w:r>
      <w:r>
        <w:fldChar w:fldCharType="end"/>
      </w:r>
    </w:p>
    <w:p w:rsidR="00024C0A" w:rsidRDefault="00694C0F">
      <w:pPr>
        <w:pStyle w:val="Definition-Field"/>
      </w:pPr>
      <w:r>
        <w:t xml:space="preserve">a.   </w:t>
      </w:r>
      <w:r>
        <w:rPr>
          <w:i/>
        </w:rPr>
        <w:t>The standard implies that the extLst element cannot have any child elements.</w:t>
      </w:r>
    </w:p>
    <w:p w:rsidR="00024C0A" w:rsidRDefault="00694C0F">
      <w:pPr>
        <w:pStyle w:val="Definition-Field2"/>
      </w:pPr>
      <w:r>
        <w:t>Office requires this element to ha</w:t>
      </w:r>
      <w:r>
        <w:t>ve at least one child element.</w:t>
      </w:r>
    </w:p>
    <w:p w:rsidR="00024C0A" w:rsidRDefault="00694C0F">
      <w:pPr>
        <w:pStyle w:val="Heading3"/>
      </w:pPr>
      <w:bookmarkStart w:id="3239" w:name="section_9089ac8522124002b759a9b6bcbdfdc3"/>
      <w:bookmarkStart w:id="3240" w:name="_Toc12261680"/>
      <w:r>
        <w:t>Part 1 Section 21.4.2.14, forEach (For Each)</w:t>
      </w:r>
      <w:bookmarkEnd w:id="3239"/>
      <w:bookmarkEnd w:id="3240"/>
      <w:r>
        <w:fldChar w:fldCharType="begin"/>
      </w:r>
      <w:r>
        <w:instrText xml:space="preserve"> XE "forEach (For Each)" </w:instrText>
      </w:r>
      <w:r>
        <w:fldChar w:fldCharType="end"/>
      </w:r>
    </w:p>
    <w:p w:rsidR="00024C0A" w:rsidRDefault="00694C0F">
      <w:pPr>
        <w:pStyle w:val="Definition-Field"/>
      </w:pPr>
      <w:r>
        <w:t xml:space="preserve">a.   </w:t>
      </w:r>
      <w:r>
        <w:rPr>
          <w:i/>
        </w:rPr>
        <w:t>The standard states that the name attribute specifies a unique identifier for the layout node.</w:t>
      </w:r>
    </w:p>
    <w:p w:rsidR="00024C0A" w:rsidRDefault="00694C0F">
      <w:pPr>
        <w:pStyle w:val="Definition-Field2"/>
      </w:pPr>
      <w:r>
        <w:t>Office uses this attribute to specify a unique identi</w:t>
      </w:r>
      <w:r>
        <w:t>fier for the iteration.</w:t>
      </w:r>
    </w:p>
    <w:p w:rsidR="00024C0A" w:rsidRDefault="00694C0F">
      <w:pPr>
        <w:pStyle w:val="Definition-Field"/>
      </w:pPr>
      <w:r>
        <w:t xml:space="preserve">b.   </w:t>
      </w:r>
      <w:r>
        <w:rPr>
          <w:i/>
        </w:rPr>
        <w:t>The standard describes the forEach element as a simple iteration.</w:t>
      </w:r>
    </w:p>
    <w:p w:rsidR="00024C0A" w:rsidRDefault="00694C0F">
      <w:r>
        <w:t>For Office, it is assumed that forEach describes a pattern for iterating through elements in the data model. The way the data model tree is walked is specified b</w:t>
      </w:r>
      <w:r>
        <w:t>y a forEach expression. The attributes axis, cnt, hideLastTrans, ptType, st and step can each be a single value or list of values. Use an array of values to perform multiple iterations in the same forEach that will iterate elements in the data model like n</w:t>
      </w:r>
      <w:r>
        <w:t>ested forEach elements.</w:t>
      </w:r>
    </w:p>
    <w:p w:rsidR="00024C0A" w:rsidRDefault="00694C0F">
      <w:pPr>
        <w:pStyle w:val="Heading3"/>
      </w:pPr>
      <w:bookmarkStart w:id="3241" w:name="section_d2c9fd05dde64a48b4b7ef75f301b630"/>
      <w:bookmarkStart w:id="3242" w:name="_Toc12261681"/>
      <w:r>
        <w:t>Part 1 Section 21.4.2.20, param (Parameter)</w:t>
      </w:r>
      <w:bookmarkEnd w:id="3241"/>
      <w:bookmarkEnd w:id="3242"/>
      <w:r>
        <w:fldChar w:fldCharType="begin"/>
      </w:r>
      <w:r>
        <w:instrText xml:space="preserve"> XE "param (Parameter)" </w:instrText>
      </w:r>
      <w:r>
        <w:fldChar w:fldCharType="end"/>
      </w:r>
    </w:p>
    <w:p w:rsidR="00024C0A" w:rsidRDefault="00694C0F">
      <w:pPr>
        <w:pStyle w:val="Definition-Field"/>
      </w:pPr>
      <w:r>
        <w:t xml:space="preserve">a.   </w:t>
      </w:r>
      <w:r>
        <w:rPr>
          <w:i/>
        </w:rPr>
        <w:t>The standard states that the val attribute is required.</w:t>
      </w:r>
    </w:p>
    <w:p w:rsidR="00024C0A" w:rsidRDefault="00694C0F">
      <w:pPr>
        <w:pStyle w:val="Definition-Field2"/>
      </w:pPr>
      <w:r>
        <w:lastRenderedPageBreak/>
        <w:t>Office does not require this attribute; default values are assigned to it based on the value of the t</w:t>
      </w:r>
      <w:r>
        <w:t>ype attribute.</w:t>
      </w:r>
    </w:p>
    <w:p w:rsidR="00024C0A" w:rsidRDefault="00694C0F">
      <w:pPr>
        <w:pStyle w:val="Heading3"/>
      </w:pPr>
      <w:bookmarkStart w:id="3243" w:name="section_03602c0c4e48496a96881c9f8d446fd0"/>
      <w:bookmarkStart w:id="3244" w:name="_Toc12261682"/>
      <w:r>
        <w:t>Part 1 Section 21.4.2.26, sampData (Sample Data)</w:t>
      </w:r>
      <w:bookmarkEnd w:id="3243"/>
      <w:bookmarkEnd w:id="3244"/>
      <w:r>
        <w:fldChar w:fldCharType="begin"/>
      </w:r>
      <w:r>
        <w:instrText xml:space="preserve"> XE "sampData (Sample Data)" </w:instrText>
      </w:r>
      <w:r>
        <w:fldChar w:fldCharType="end"/>
      </w:r>
    </w:p>
    <w:p w:rsidR="00024C0A" w:rsidRDefault="00694C0F">
      <w:pPr>
        <w:pStyle w:val="Definition-Field"/>
      </w:pPr>
      <w:r>
        <w:t xml:space="preserve">a.   </w:t>
      </w:r>
      <w:r>
        <w:rPr>
          <w:i/>
        </w:rPr>
        <w:t>The standard states that the useDef attribute specifies whether or not the data model defined in the clrData element should be used.</w:t>
      </w:r>
    </w:p>
    <w:p w:rsidR="00024C0A" w:rsidRDefault="00694C0F">
      <w:pPr>
        <w:pStyle w:val="Definition-Field2"/>
      </w:pPr>
      <w:r>
        <w:t xml:space="preserve">Office uses the useDef </w:t>
      </w:r>
      <w:r>
        <w:t>attribute to specify whether or not the data model defined in the styleData element should be used.</w:t>
      </w:r>
    </w:p>
    <w:p w:rsidR="00024C0A" w:rsidRDefault="00694C0F">
      <w:pPr>
        <w:pStyle w:val="Heading3"/>
      </w:pPr>
      <w:bookmarkStart w:id="3245" w:name="section_448f4ba77be242509af1a1e80d2cfc02"/>
      <w:bookmarkStart w:id="3246" w:name="_Toc12261683"/>
      <w:r>
        <w:t>Part 1 Section 21.4.2.27, shape (Shape)</w:t>
      </w:r>
      <w:bookmarkEnd w:id="3245"/>
      <w:bookmarkEnd w:id="3246"/>
      <w:r>
        <w:fldChar w:fldCharType="begin"/>
      </w:r>
      <w:r>
        <w:instrText xml:space="preserve"> XE "shape (Shape)" </w:instrText>
      </w:r>
      <w:r>
        <w:fldChar w:fldCharType="end"/>
      </w:r>
    </w:p>
    <w:p w:rsidR="00024C0A" w:rsidRDefault="00694C0F">
      <w:pPr>
        <w:pStyle w:val="Definition-Field"/>
      </w:pPr>
      <w:r>
        <w:t xml:space="preserve">a.   </w:t>
      </w:r>
      <w:r>
        <w:rPr>
          <w:i/>
        </w:rPr>
        <w:t>The standard states that the lkTxEntry attribute prevents text editing on a shape.</w:t>
      </w:r>
    </w:p>
    <w:p w:rsidR="00024C0A" w:rsidRDefault="00694C0F">
      <w:pPr>
        <w:pStyle w:val="Definition-Field2"/>
      </w:pPr>
      <w:r>
        <w:t>Office</w:t>
      </w:r>
      <w:r>
        <w:t xml:space="preserve"> ignores this attribute.</w:t>
      </w:r>
    </w:p>
    <w:p w:rsidR="00024C0A" w:rsidRDefault="00694C0F">
      <w:pPr>
        <w:pStyle w:val="Heading3"/>
      </w:pPr>
      <w:bookmarkStart w:id="3247" w:name="section_4bf644d5b93347c58bbc110dc7e55741"/>
      <w:bookmarkStart w:id="3248" w:name="_Toc12261684"/>
      <w:r>
        <w:t>Part 1 Section 21.4.2.29, styleData (Style Data)</w:t>
      </w:r>
      <w:bookmarkEnd w:id="3247"/>
      <w:bookmarkEnd w:id="3248"/>
      <w:r>
        <w:fldChar w:fldCharType="begin"/>
      </w:r>
      <w:r>
        <w:instrText xml:space="preserve"> XE "styleData (Style Data)"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03602c0c4e48496a96881c9f8d446fd0">
        <w:r>
          <w:rPr>
            <w:rStyle w:val="Hyperlink"/>
          </w:rPr>
          <w:t>sampData, §21.4.2.26(a)</w:t>
        </w:r>
      </w:hyperlink>
      <w:r>
        <w:rPr>
          <w:i/>
        </w:rPr>
        <w:t>.</w:t>
      </w:r>
    </w:p>
    <w:p w:rsidR="00024C0A" w:rsidRDefault="00694C0F">
      <w:pPr>
        <w:pStyle w:val="Heading3"/>
      </w:pPr>
      <w:bookmarkStart w:id="3249" w:name="section_f1f030c79c8a418db6e52ae4c675d0e9"/>
      <w:bookmarkStart w:id="3250" w:name="_Toc12261685"/>
      <w:r>
        <w:t>Part 1 Section 21.4.3.2, cxn (Connection)</w:t>
      </w:r>
      <w:bookmarkEnd w:id="3249"/>
      <w:bookmarkEnd w:id="3250"/>
      <w:r>
        <w:fldChar w:fldCharType="begin"/>
      </w:r>
      <w:r>
        <w:instrText xml:space="preserve"> XE "cxn (Connection)" </w:instrText>
      </w:r>
      <w:r>
        <w:fldChar w:fldCharType="end"/>
      </w:r>
    </w:p>
    <w:p w:rsidR="00024C0A" w:rsidRDefault="00694C0F">
      <w:pPr>
        <w:pStyle w:val="Definition-Field"/>
      </w:pPr>
      <w:r>
        <w:t xml:space="preserve">a.   </w:t>
      </w:r>
      <w:r>
        <w:rPr>
          <w:i/>
        </w:rPr>
        <w:t>The standard places no restrictions on the number of parents associated with a node.</w:t>
      </w:r>
    </w:p>
    <w:p w:rsidR="00024C0A" w:rsidRDefault="00694C0F">
      <w:pPr>
        <w:pStyle w:val="Definition-Field2"/>
      </w:pPr>
      <w:r>
        <w:t>Office requires that there be no more than one parent for any given node</w:t>
      </w:r>
      <w:r>
        <w:t>; for example, no more than one connection of type parOf or presParOf for any given destId.  As a result, destOrd is ignored.</w:t>
      </w:r>
    </w:p>
    <w:p w:rsidR="00024C0A" w:rsidRDefault="00694C0F">
      <w:pPr>
        <w:pStyle w:val="Definition-Field"/>
      </w:pPr>
      <w:r>
        <w:t xml:space="preserve">b.   </w:t>
      </w:r>
      <w:r>
        <w:rPr>
          <w:i/>
        </w:rPr>
        <w:t>The standard states that the parTransId attribute is optional.</w:t>
      </w:r>
    </w:p>
    <w:p w:rsidR="00024C0A" w:rsidRDefault="00694C0F">
      <w:pPr>
        <w:pStyle w:val="Definition-Field2"/>
      </w:pPr>
      <w:r>
        <w:t xml:space="preserve">Office requires this attribute when the type attribute is set </w:t>
      </w:r>
      <w:r>
        <w:t>to parOf and ignores this attribute otherwise.</w:t>
      </w:r>
    </w:p>
    <w:p w:rsidR="00024C0A" w:rsidRDefault="00694C0F">
      <w:pPr>
        <w:pStyle w:val="Definition-Field"/>
      </w:pPr>
      <w:r>
        <w:t xml:space="preserve">c.   </w:t>
      </w:r>
      <w:r>
        <w:rPr>
          <w:i/>
        </w:rPr>
        <w:t>The standard states that the presId attribute is optional.</w:t>
      </w:r>
    </w:p>
    <w:p w:rsidR="00024C0A" w:rsidRDefault="00694C0F">
      <w:pPr>
        <w:pStyle w:val="Definition-Field2"/>
      </w:pPr>
      <w:r>
        <w:t>Office requires this attribute when the type attribute is set to presOf and ignores this attribute otherwise.</w:t>
      </w:r>
    </w:p>
    <w:p w:rsidR="00024C0A" w:rsidRDefault="00694C0F">
      <w:pPr>
        <w:pStyle w:val="Definition-Field"/>
      </w:pPr>
      <w:r>
        <w:t xml:space="preserve">d.   </w:t>
      </w:r>
      <w:r>
        <w:rPr>
          <w:i/>
        </w:rPr>
        <w:t>The standard states that the s</w:t>
      </w:r>
      <w:r>
        <w:rPr>
          <w:i/>
        </w:rPr>
        <w:t>ibTransId attribute is optional.</w:t>
      </w:r>
    </w:p>
    <w:p w:rsidR="00024C0A" w:rsidRDefault="00694C0F">
      <w:pPr>
        <w:pStyle w:val="Definition-Field2"/>
      </w:pPr>
      <w:r>
        <w:t>Office requires this attribute when the type attribute is set to parOf and ignores this attribute otherwise.</w:t>
      </w:r>
    </w:p>
    <w:p w:rsidR="00024C0A" w:rsidRDefault="00694C0F">
      <w:pPr>
        <w:pStyle w:val="Heading3"/>
      </w:pPr>
      <w:bookmarkStart w:id="3251" w:name="section_5a38b917dcd14a5d8788ae1f29d60b07"/>
      <w:bookmarkStart w:id="3252" w:name="_Toc12261686"/>
      <w:r>
        <w:t>Part 1 Section 21.4.3.4, prSet (Property Set)</w:t>
      </w:r>
      <w:bookmarkEnd w:id="3251"/>
      <w:bookmarkEnd w:id="3252"/>
      <w:r>
        <w:fldChar w:fldCharType="begin"/>
      </w:r>
      <w:r>
        <w:instrText xml:space="preserve"> XE "prSet (Property Set)" </w:instrText>
      </w:r>
      <w:r>
        <w:fldChar w:fldCharType="end"/>
      </w:r>
    </w:p>
    <w:p w:rsidR="00024C0A" w:rsidRDefault="00694C0F">
      <w:pPr>
        <w:pStyle w:val="Definition-Field"/>
      </w:pPr>
      <w:r>
        <w:t xml:space="preserve">a.   </w:t>
      </w:r>
      <w:r>
        <w:rPr>
          <w:i/>
        </w:rPr>
        <w:t>The standard states that the presA</w:t>
      </w:r>
      <w:r>
        <w:rPr>
          <w:i/>
        </w:rPr>
        <w:t>ssocID attribute is optional.</w:t>
      </w:r>
    </w:p>
    <w:p w:rsidR="00024C0A" w:rsidRDefault="00694C0F">
      <w:pPr>
        <w:pStyle w:val="Definition-Field2"/>
      </w:pPr>
      <w:r>
        <w:t>Office requires this attribute.</w:t>
      </w:r>
    </w:p>
    <w:p w:rsidR="00024C0A" w:rsidRDefault="00694C0F">
      <w:pPr>
        <w:pStyle w:val="Definition-Field"/>
      </w:pPr>
      <w:r>
        <w:t xml:space="preserve">b.   </w:t>
      </w:r>
      <w:r>
        <w:rPr>
          <w:i/>
        </w:rPr>
        <w:t>The standard states that the presName attribute is optional.</w:t>
      </w:r>
    </w:p>
    <w:p w:rsidR="00024C0A" w:rsidRDefault="00694C0F">
      <w:pPr>
        <w:pStyle w:val="Definition-Field2"/>
      </w:pPr>
      <w:r>
        <w:t>Office requires this attribute on the root presentation element.</w:t>
      </w:r>
    </w:p>
    <w:p w:rsidR="00024C0A" w:rsidRDefault="00694C0F">
      <w:pPr>
        <w:pStyle w:val="Heading3"/>
      </w:pPr>
      <w:bookmarkStart w:id="3253" w:name="section_bb6cb160531d4452a00d2870294901c8"/>
      <w:bookmarkStart w:id="3254" w:name="_Toc12261687"/>
      <w:r>
        <w:t>Part 1 Section 21.4.3.5, pt (Point)</w:t>
      </w:r>
      <w:bookmarkEnd w:id="3253"/>
      <w:bookmarkEnd w:id="3254"/>
      <w:r>
        <w:fldChar w:fldCharType="begin"/>
      </w:r>
      <w:r>
        <w:instrText xml:space="preserve"> XE "pt (Point)" </w:instrText>
      </w:r>
      <w:r>
        <w:fldChar w:fldCharType="end"/>
      </w:r>
    </w:p>
    <w:p w:rsidR="00024C0A" w:rsidRDefault="00694C0F">
      <w:pPr>
        <w:pStyle w:val="Definition-Field"/>
      </w:pPr>
      <w:r>
        <w:t xml:space="preserve">a.   </w:t>
      </w:r>
      <w:r>
        <w:rPr>
          <w:i/>
        </w:rPr>
        <w:t>The</w:t>
      </w:r>
      <w:r>
        <w:rPr>
          <w:i/>
        </w:rPr>
        <w:t xml:space="preserve"> standard states that the cxnId attribute is optional.</w:t>
      </w:r>
    </w:p>
    <w:p w:rsidR="00024C0A" w:rsidRDefault="00694C0F">
      <w:pPr>
        <w:pStyle w:val="Definition-Field2"/>
      </w:pPr>
      <w:r>
        <w:lastRenderedPageBreak/>
        <w:t>Office requires this attribute when the type attribute is set to parTrans or sibTrans and ignores this attribute otherwise.</w:t>
      </w:r>
    </w:p>
    <w:p w:rsidR="00024C0A" w:rsidRDefault="00694C0F">
      <w:pPr>
        <w:pStyle w:val="Heading3"/>
      </w:pPr>
      <w:bookmarkStart w:id="3255" w:name="section_18c455a3df65485ab55a1602f38c668d"/>
      <w:bookmarkStart w:id="3256" w:name="_Toc12261688"/>
      <w:r>
        <w:t>Part 1 Section 21.4.3.7, spPr (Shape Properties)</w:t>
      </w:r>
      <w:bookmarkEnd w:id="3255"/>
      <w:bookmarkEnd w:id="3256"/>
      <w:r>
        <w:fldChar w:fldCharType="begin"/>
      </w:r>
      <w:r>
        <w:instrText xml:space="preserve"> XE "spPr (Shape Properties)"</w:instrText>
      </w:r>
      <w:r>
        <w:instrText xml:space="preserv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024C0A" w:rsidRDefault="00694C0F">
      <w:pPr>
        <w:pStyle w:val="Definition-Field"/>
      </w:pPr>
      <w:r>
        <w:t xml:space="preserve">a.   </w:t>
      </w:r>
      <w:r>
        <w:rPr>
          <w:i/>
        </w:rPr>
        <w:t>The standard states that the grpFill element is a valid child of the sp</w:t>
      </w:r>
      <w:r>
        <w:rPr>
          <w:i/>
        </w:rPr>
        <w:t>Pr element.</w:t>
      </w:r>
    </w:p>
    <w:p w:rsidR="00024C0A" w:rsidRDefault="00694C0F">
      <w:pPr>
        <w:pStyle w:val="Definition-Field2"/>
      </w:pPr>
      <w:r>
        <w:t>Office will display an empty (invisible) shape fill for any diagram shape with a group fill, regardless of the fill of the parent group.</w:t>
      </w:r>
    </w:p>
    <w:p w:rsidR="00024C0A" w:rsidRDefault="00694C0F">
      <w:pPr>
        <w:pStyle w:val="Heading3"/>
      </w:pPr>
      <w:bookmarkStart w:id="3257" w:name="section_5c7d720478424485979866c87ab0258a"/>
      <w:bookmarkStart w:id="3258" w:name="_Toc12261689"/>
      <w:r>
        <w:t>Part 1 Section 21.4.3.8, t (Text Body)</w:t>
      </w:r>
      <w:bookmarkEnd w:id="3257"/>
      <w:bookmarkEnd w:id="3258"/>
      <w:r>
        <w:fldChar w:fldCharType="begin"/>
      </w:r>
      <w:r>
        <w:instrText xml:space="preserve"> XE "t (Text Body)" </w:instrText>
      </w:r>
      <w:r>
        <w:fldChar w:fldCharType="end"/>
      </w:r>
    </w:p>
    <w:p w:rsidR="00024C0A" w:rsidRDefault="00694C0F">
      <w:pPr>
        <w:pStyle w:val="Definition-Field"/>
      </w:pPr>
      <w:r>
        <w:t xml:space="preserve">a.   </w:t>
      </w:r>
      <w:r>
        <w:rPr>
          <w:i/>
        </w:rPr>
        <w:t>The standard restricts a text body to sin</w:t>
      </w:r>
      <w:r>
        <w:rPr>
          <w:i/>
        </w:rPr>
        <w:t>gle paragraph and no text runs.</w:t>
      </w:r>
    </w:p>
    <w:p w:rsidR="00024C0A" w:rsidRDefault="00694C0F">
      <w:pPr>
        <w:pStyle w:val="Definition-Field2"/>
      </w:pPr>
      <w:r>
        <w:t>Office does not enforce this restriction.</w:t>
      </w:r>
    </w:p>
    <w:p w:rsidR="00024C0A" w:rsidRDefault="00694C0F">
      <w:pPr>
        <w:pStyle w:val="Heading3"/>
      </w:pPr>
      <w:bookmarkStart w:id="3259" w:name="section_159e85d0568f49d2b6e9a0b97ff50a0d"/>
      <w:bookmarkStart w:id="3260" w:name="_Toc12261690"/>
      <w:r>
        <w:t>Part 1 Section 21.4.4.3, colorsDef (Color Transform Definitions)</w:t>
      </w:r>
      <w:bookmarkEnd w:id="3259"/>
      <w:bookmarkEnd w:id="3260"/>
      <w:r>
        <w:fldChar w:fldCharType="begin"/>
      </w:r>
      <w:r>
        <w:instrText xml:space="preserve"> XE "colorsDef (Color Transform Definitions)" </w:instrText>
      </w:r>
      <w:r>
        <w:fldChar w:fldCharType="end"/>
      </w:r>
    </w:p>
    <w:p w:rsidR="00024C0A" w:rsidRDefault="00694C0F">
      <w:pPr>
        <w:pStyle w:val="Definition-Field"/>
      </w:pPr>
      <w:r>
        <w:t xml:space="preserve">a.   </w:t>
      </w:r>
      <w:r>
        <w:rPr>
          <w:i/>
        </w:rPr>
        <w:t xml:space="preserve">The standard states that the values of the minVer attribute are </w:t>
      </w:r>
      <w:r>
        <w:rPr>
          <w:i/>
        </w:rPr>
        <w:t>defined by the XML Schema string datatype.</w:t>
      </w:r>
    </w:p>
    <w:p w:rsidR="00024C0A" w:rsidRDefault="00694C0F">
      <w:pPr>
        <w:pStyle w:val="Definition-Field2"/>
      </w:pPr>
      <w:r>
        <w:t>Office requires the value of this attribute to be 12.0.</w:t>
      </w:r>
    </w:p>
    <w:p w:rsidR="00024C0A" w:rsidRDefault="00694C0F">
      <w:pPr>
        <w:pStyle w:val="Heading3"/>
      </w:pPr>
      <w:bookmarkStart w:id="3261" w:name="section_4012c5a0ae0041ed9248616ef4442075"/>
      <w:bookmarkStart w:id="3262" w:name="_Toc12261691"/>
      <w:r>
        <w:t>Part 1 Section 21.4.4.7, effectClrLst (Effect Color List)</w:t>
      </w:r>
      <w:bookmarkEnd w:id="3261"/>
      <w:bookmarkEnd w:id="3262"/>
      <w:r>
        <w:fldChar w:fldCharType="begin"/>
      </w:r>
      <w:r>
        <w:instrText xml:space="preserve"> XE "effectClrLst (Effect Color List)"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024C0A" w:rsidRDefault="00694C0F">
      <w:pPr>
        <w:pStyle w:val="Heading3"/>
      </w:pPr>
      <w:bookmarkStart w:id="3263" w:name="section_3e717d5315f14e0883322aa16e60798c"/>
      <w:bookmarkStart w:id="3264" w:name="_Toc12261692"/>
      <w:r>
        <w:t>Part 1 Section 21.4.4.8, fillClrLst (Fill Color List)</w:t>
      </w:r>
      <w:bookmarkEnd w:id="3263"/>
      <w:bookmarkEnd w:id="3264"/>
      <w:r>
        <w:fldChar w:fldCharType="begin"/>
      </w:r>
      <w:r>
        <w:instrText xml:space="preserve"> XE "fillClrLst (Fill Co</w:instrText>
      </w:r>
      <w:r>
        <w:instrText xml:space="preserve">lor List)" </w:instrText>
      </w:r>
      <w:r>
        <w:fldChar w:fldCharType="end"/>
      </w:r>
    </w:p>
    <w:p w:rsidR="00024C0A" w:rsidRDefault="00694C0F">
      <w:pPr>
        <w:pStyle w:val="Definition-Field"/>
      </w:pPr>
      <w:r>
        <w:t xml:space="preserve">a.   </w:t>
      </w:r>
      <w:r>
        <w:rPr>
          <w:i/>
        </w:rPr>
        <w:t>The standard states that the fillClrLst element defines a list of colors which are used as fill colors in the color transform, and that those fill colors define the colors of the nodes in a diagram.</w:t>
      </w:r>
    </w:p>
    <w:p w:rsidR="00024C0A" w:rsidRDefault="00694C0F">
      <w:pPr>
        <w:pStyle w:val="Definition-Field2"/>
      </w:pPr>
      <w:r>
        <w:t xml:space="preserve">Office uses this element to specify a </w:t>
      </w:r>
      <w:r>
        <w:t>color sequence to be applied to the fill of the associated presentation elements of a diagram.</w:t>
      </w:r>
    </w:p>
    <w:p w:rsidR="00024C0A" w:rsidRDefault="00694C0F">
      <w:pPr>
        <w:pStyle w:val="Definition-Field"/>
      </w:pPr>
      <w:r>
        <w:t xml:space="preserve">b.   </w:t>
      </w:r>
      <w:r>
        <w:rPr>
          <w:i/>
        </w:rPr>
        <w:t>The standard places no restrictions on the relationship between the meth attribute and the hueDir attribute.</w:t>
      </w:r>
    </w:p>
    <w:p w:rsidR="00024C0A" w:rsidRDefault="00694C0F">
      <w:pPr>
        <w:pStyle w:val="Definition-Field2"/>
      </w:pPr>
      <w:r>
        <w:t>Office ignores the hueDir attribute if the valu</w:t>
      </w:r>
      <w:r>
        <w:t>e of the meth attribute is repeat.</w:t>
      </w:r>
    </w:p>
    <w:p w:rsidR="00024C0A" w:rsidRDefault="00694C0F">
      <w:pPr>
        <w:pStyle w:val="Heading3"/>
      </w:pPr>
      <w:bookmarkStart w:id="3265" w:name="section_c5f7cef6299c497aade49242eec0032b"/>
      <w:bookmarkStart w:id="3266" w:name="_Toc12261693"/>
      <w:r>
        <w:t>Part 1 Section 21.4.4.9, linClrLst (Line Color List)</w:t>
      </w:r>
      <w:bookmarkEnd w:id="3265"/>
      <w:bookmarkEnd w:id="3266"/>
      <w:r>
        <w:fldChar w:fldCharType="begin"/>
      </w:r>
      <w:r>
        <w:instrText xml:space="preserve"> XE "linClrLst (Line Color List)"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024C0A" w:rsidRDefault="00694C0F">
      <w:pPr>
        <w:pStyle w:val="Definition-Field"/>
      </w:pPr>
      <w:r>
        <w:t xml:space="preserve">a.   </w:t>
      </w:r>
      <w:r>
        <w:rPr>
          <w:i/>
        </w:rPr>
        <w:t>The standard states that the linClrLst element defines a list of colors which are used as line colors in the color transform, and that the line colors define the color of the lines used on a given node in</w:t>
      </w:r>
      <w:r>
        <w:rPr>
          <w:i/>
        </w:rPr>
        <w:t xml:space="preserve"> a diagram.</w:t>
      </w:r>
    </w:p>
    <w:p w:rsidR="00024C0A" w:rsidRDefault="00694C0F">
      <w:pPr>
        <w:pStyle w:val="Definition-Field2"/>
      </w:pPr>
      <w:r>
        <w:t>Office uses this element to specify a color sequence to be applied to the lines of the associated presentation elements of a diagram.</w:t>
      </w:r>
    </w:p>
    <w:p w:rsidR="00024C0A" w:rsidRDefault="00694C0F">
      <w:pPr>
        <w:pStyle w:val="Heading3"/>
      </w:pPr>
      <w:bookmarkStart w:id="3267" w:name="section_ea27f7e7175b40d6b10d96f9eb8ae27d"/>
      <w:bookmarkStart w:id="3268" w:name="_Toc12261694"/>
      <w:r>
        <w:lastRenderedPageBreak/>
        <w:t>Part 1 Section 21.4.4.12, txEffectClrLst (Text Effect Color List)</w:t>
      </w:r>
      <w:bookmarkEnd w:id="3267"/>
      <w:bookmarkEnd w:id="3268"/>
      <w:r>
        <w:fldChar w:fldCharType="begin"/>
      </w:r>
      <w:r>
        <w:instrText xml:space="preserve"> XE "txEffectClrLst (Text Effect Color List)"</w:instrText>
      </w:r>
      <w:r>
        <w:instrText xml:space="preserv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024C0A" w:rsidRDefault="00694C0F">
      <w:pPr>
        <w:pStyle w:val="Heading3"/>
      </w:pPr>
      <w:bookmarkStart w:id="3269" w:name="section_80e28031fe3448deabb40d562836d2a0"/>
      <w:bookmarkStart w:id="3270" w:name="_Toc12261695"/>
      <w:r>
        <w:t>Part 1 Section 21.4.4.13, txFillClrLst (Text Fill Color List)</w:t>
      </w:r>
      <w:bookmarkEnd w:id="3269"/>
      <w:bookmarkEnd w:id="3270"/>
      <w:r>
        <w:fldChar w:fldCharType="begin"/>
      </w:r>
      <w:r>
        <w:instrText xml:space="preserve"> XE "txFillC</w:instrText>
      </w:r>
      <w:r>
        <w:instrText xml:space="preserve">lrLst (Text Fill Color List)"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024C0A" w:rsidRDefault="00694C0F">
      <w:pPr>
        <w:pStyle w:val="Heading3"/>
      </w:pPr>
      <w:bookmarkStart w:id="3271" w:name="section_53ab4a0a7214451bad800daf95b4c4ef"/>
      <w:bookmarkStart w:id="3272" w:name="_Toc12261696"/>
      <w:r>
        <w:t xml:space="preserve">Part 1 Section 21.4.4.14, txLinClrLst (Text </w:t>
      </w:r>
      <w:r>
        <w:t>Line Color List)</w:t>
      </w:r>
      <w:bookmarkEnd w:id="3271"/>
      <w:bookmarkEnd w:id="3272"/>
      <w:r>
        <w:fldChar w:fldCharType="begin"/>
      </w:r>
      <w:r>
        <w:instrText xml:space="preserve"> XE "txLinClrLst (Text Line Color List)"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024C0A" w:rsidRDefault="00694C0F">
      <w:pPr>
        <w:pStyle w:val="Heading3"/>
      </w:pPr>
      <w:bookmarkStart w:id="3273" w:name="section_b22cec63a18c4f6e95c808b1831a0a7c"/>
      <w:bookmarkStart w:id="3274" w:name="_Toc12261697"/>
      <w:r>
        <w:t>Part 1 Section 21</w:t>
      </w:r>
      <w:r>
        <w:t>.4.5.6, sp3d (3-D Shape Properties)</w:t>
      </w:r>
      <w:bookmarkEnd w:id="3273"/>
      <w:bookmarkEnd w:id="3274"/>
      <w:r>
        <w:fldChar w:fldCharType="begin"/>
      </w:r>
      <w:r>
        <w:instrText xml:space="preserve"> XE "sp3d (3-D Shape Properties)"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d44e6f9209a94d8bb8c75220c6c85203">
        <w:r>
          <w:rPr>
            <w:rStyle w:val="Hyperlink"/>
          </w:rPr>
          <w:t>sp3d, §20.1.5.12(b)</w:t>
        </w:r>
      </w:hyperlink>
      <w:r>
        <w:rPr>
          <w:i/>
        </w:rPr>
        <w:t>.</w:t>
      </w:r>
    </w:p>
    <w:p w:rsidR="00024C0A" w:rsidRDefault="00694C0F">
      <w:pPr>
        <w:pStyle w:val="Definition-Field"/>
      </w:pPr>
      <w:r>
        <w:t xml:space="preserve">a.   </w:t>
      </w:r>
      <w:r>
        <w:rPr>
          <w:i/>
        </w:rPr>
        <w:t>The s</w:t>
      </w:r>
      <w:r>
        <w:rPr>
          <w:i/>
        </w:rPr>
        <w:t>tandard places no restrictions on the relationship between the properties of the sp3d element and the parent styleLbl element.</w:t>
      </w:r>
    </w:p>
    <w:p w:rsidR="00024C0A" w:rsidRDefault="00694C0F">
      <w:pPr>
        <w:pStyle w:val="Definition-Field2"/>
      </w:pPr>
      <w:r>
        <w:t>Office ignores the properties of the sp3d element if the parent styleLbl element is identical to a preset style in all other resp</w:t>
      </w:r>
      <w:r>
        <w:t>ects.</w:t>
      </w:r>
    </w:p>
    <w:p w:rsidR="00024C0A" w:rsidRDefault="00694C0F">
      <w:pPr>
        <w:pStyle w:val="Heading3"/>
      </w:pPr>
      <w:bookmarkStart w:id="3275" w:name="section_f99f2a8f3da54c338c11cd0678e0af0d"/>
      <w:bookmarkStart w:id="3276" w:name="_Toc12261698"/>
      <w:r>
        <w:t>Part 1 Section 21.4.5.10, styleLbl (Style Label)</w:t>
      </w:r>
      <w:bookmarkEnd w:id="3275"/>
      <w:bookmarkEnd w:id="3276"/>
      <w:r>
        <w:fldChar w:fldCharType="begin"/>
      </w:r>
      <w:r>
        <w:instrText xml:space="preserve"> XE "styleLbl (Style Label)" </w:instrText>
      </w:r>
      <w:r>
        <w:fldChar w:fldCharType="end"/>
      </w:r>
    </w:p>
    <w:p w:rsidR="00024C0A" w:rsidRDefault="00694C0F">
      <w:pPr>
        <w:pStyle w:val="Definition-Field"/>
      </w:pPr>
      <w:r>
        <w:t xml:space="preserve">a.   </w:t>
      </w:r>
      <w:r>
        <w:rPr>
          <w:i/>
        </w:rPr>
        <w:t>The standard states that the name attribute is used for tooltips in the user interface.</w:t>
      </w:r>
    </w:p>
    <w:p w:rsidR="00024C0A" w:rsidRDefault="00694C0F">
      <w:pPr>
        <w:pStyle w:val="Definition-Field2"/>
      </w:pPr>
      <w:r>
        <w:t>Office uses the name attribute to map to nodes in the layout.</w:t>
      </w:r>
    </w:p>
    <w:p w:rsidR="00024C0A" w:rsidRDefault="00694C0F">
      <w:pPr>
        <w:pStyle w:val="Heading3"/>
      </w:pPr>
      <w:bookmarkStart w:id="3277" w:name="section_1cf7b62c1b304ad98b696b046e25c615"/>
      <w:bookmarkStart w:id="3278" w:name="_Toc12261699"/>
      <w:r>
        <w:t xml:space="preserve">Part 1 Section </w:t>
      </w:r>
      <w:r>
        <w:t>21.4.7.3, ST_AnimOneStr (One by One Animation Value Definition)</w:t>
      </w:r>
      <w:bookmarkEnd w:id="3277"/>
      <w:bookmarkEnd w:id="3278"/>
      <w:r>
        <w:fldChar w:fldCharType="begin"/>
      </w:r>
      <w:r>
        <w:instrText xml:space="preserve"> XE "ST_AnimOneStr (One by One Animation Value Definition)" </w:instrText>
      </w:r>
      <w:r>
        <w:fldChar w:fldCharType="end"/>
      </w:r>
    </w:p>
    <w:p w:rsidR="00024C0A" w:rsidRDefault="00694C0F">
      <w:pPr>
        <w:pStyle w:val="Definition-Field"/>
      </w:pPr>
      <w:r>
        <w:t xml:space="preserve">a.   </w:t>
      </w:r>
      <w:r>
        <w:rPr>
          <w:i/>
        </w:rPr>
        <w:t>The standard states that the default value of the ST_AnimOneStr simple type is one.</w:t>
      </w:r>
    </w:p>
    <w:p w:rsidR="00024C0A" w:rsidRDefault="00694C0F">
      <w:pPr>
        <w:pStyle w:val="Definition-Field2"/>
      </w:pPr>
      <w:r>
        <w:t xml:space="preserve">Office does not provide a default value </w:t>
      </w:r>
      <w:r>
        <w:t>for this simple type.</w:t>
      </w:r>
    </w:p>
    <w:p w:rsidR="00024C0A" w:rsidRDefault="00694C0F">
      <w:pPr>
        <w:pStyle w:val="Heading3"/>
      </w:pPr>
      <w:bookmarkStart w:id="3279" w:name="section_9407009231ed4640937779c48f537d30"/>
      <w:bookmarkStart w:id="3280" w:name="_Toc12261700"/>
      <w:r>
        <w:t>Part 1 Section 21.4.7.6, ST_AxisType (Axis Type)</w:t>
      </w:r>
      <w:bookmarkEnd w:id="3279"/>
      <w:bookmarkEnd w:id="3280"/>
      <w:r>
        <w:fldChar w:fldCharType="begin"/>
      </w:r>
      <w:r>
        <w:instrText xml:space="preserve"> XE "ST_AxisType (Axis Type)" </w:instrText>
      </w:r>
      <w:r>
        <w:fldChar w:fldCharType="end"/>
      </w:r>
    </w:p>
    <w:p w:rsidR="00024C0A" w:rsidRDefault="00694C0F">
      <w:pPr>
        <w:pStyle w:val="Definition-Field"/>
      </w:pPr>
      <w:r>
        <w:t xml:space="preserve">a.   </w:t>
      </w:r>
      <w:r>
        <w:rPr>
          <w:i/>
        </w:rPr>
        <w:t>The standard states that the ST_AxisType simple type is referenced by itself.</w:t>
      </w:r>
    </w:p>
    <w:p w:rsidR="00024C0A" w:rsidRDefault="00694C0F">
      <w:pPr>
        <w:pStyle w:val="Definition-Field2"/>
      </w:pPr>
      <w:r>
        <w:t>Office defines the ST_AxisType simple type to be referenced by ST_Axis</w:t>
      </w:r>
      <w:r>
        <w:t>Types, not itself.</w:t>
      </w:r>
    </w:p>
    <w:p w:rsidR="00024C0A" w:rsidRDefault="00694C0F">
      <w:pPr>
        <w:pStyle w:val="Heading3"/>
      </w:pPr>
      <w:bookmarkStart w:id="3281" w:name="section_3c6745b98475496091baa9a16ec7df86"/>
      <w:bookmarkStart w:id="3282" w:name="_Toc12261701"/>
      <w:r>
        <w:t>Part 1 Section 21.4.7.49, ST_ParameterId (Parameter Identifier)</w:t>
      </w:r>
      <w:bookmarkEnd w:id="3281"/>
      <w:bookmarkEnd w:id="3282"/>
      <w:r>
        <w:fldChar w:fldCharType="begin"/>
      </w:r>
      <w:r>
        <w:instrText xml:space="preserve"> XE "ST_ParameterId (Parameter Identifier)" </w:instrText>
      </w:r>
      <w:r>
        <w:fldChar w:fldCharType="end"/>
      </w:r>
    </w:p>
    <w:p w:rsidR="00024C0A" w:rsidRDefault="00694C0F">
      <w:pPr>
        <w:pStyle w:val="Definition-Field"/>
      </w:pPr>
      <w:r>
        <w:t xml:space="preserve">a.   </w:t>
      </w:r>
      <w:r>
        <w:rPr>
          <w:i/>
        </w:rPr>
        <w:t>The standard does not specify default values or the range of values for parameters.</w:t>
      </w:r>
    </w:p>
    <w:p w:rsidR="00024C0A" w:rsidRDefault="00694C0F">
      <w:r>
        <w:t>Office defines the following default v</w:t>
      </w:r>
      <w:r>
        <w:t>alues and ranges for each parameter:</w:t>
      </w:r>
    </w:p>
    <w:tbl>
      <w:tblPr>
        <w:tblStyle w:val="Table-ShadedHeader"/>
        <w:tblW w:w="0" w:type="auto"/>
        <w:tblLook w:val="04A0" w:firstRow="1" w:lastRow="0" w:firstColumn="1" w:lastColumn="0" w:noHBand="0" w:noVBand="1"/>
      </w:tblPr>
      <w:tblGrid>
        <w:gridCol w:w="3153"/>
        <w:gridCol w:w="6322"/>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Enumeration Value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alignTx</w:t>
            </w:r>
            <w:r>
              <w:t xml:space="preserve"> (Text Alignment)</w:t>
            </w:r>
          </w:p>
        </w:tc>
        <w:tc>
          <w:tcPr>
            <w:tcW w:w="0" w:type="auto"/>
            <w:vAlign w:val="center"/>
          </w:tcPr>
          <w:p w:rsidR="00024C0A" w:rsidRDefault="00694C0F">
            <w:pPr>
              <w:pStyle w:val="TableBodyText"/>
            </w:pPr>
            <w:r>
              <w:t>Office uses true as a default value to correspond to this parameter identifier.</w:t>
            </w:r>
          </w:p>
          <w:p w:rsidR="00024C0A" w:rsidRDefault="00024C0A">
            <w:pPr>
              <w:pStyle w:val="TableBodyText"/>
            </w:pPr>
          </w:p>
          <w:p w:rsidR="00024C0A" w:rsidRDefault="00694C0F">
            <w:pPr>
              <w:pStyle w:val="TableBodyText"/>
            </w:pPr>
            <w:r>
              <w:lastRenderedPageBreak/>
              <w:t>Office expects the value corresponding to this parameter identifier to be in the r</w:t>
            </w:r>
            <w:r>
              <w:t>ange defined by the XML schema boolean data type.</w:t>
            </w:r>
          </w:p>
          <w:p w:rsidR="00024C0A" w:rsidRDefault="00024C0A">
            <w:pPr>
              <w:pStyle w:val="TableBodyText"/>
            </w:pPr>
          </w:p>
        </w:tc>
      </w:tr>
      <w:tr w:rsidR="00024C0A" w:rsidTr="00024C0A">
        <w:tc>
          <w:tcPr>
            <w:tcW w:w="0" w:type="auto"/>
            <w:vAlign w:val="center"/>
          </w:tcPr>
          <w:p w:rsidR="00024C0A" w:rsidRDefault="00694C0F">
            <w:pPr>
              <w:pStyle w:val="TableBodyText"/>
            </w:pPr>
            <w:r>
              <w:rPr>
                <w:b/>
              </w:rPr>
              <w:lastRenderedPageBreak/>
              <w:t>ar</w:t>
            </w:r>
            <w:r>
              <w:t xml:space="preserve"> (Aspect Ratio)</w:t>
            </w:r>
          </w:p>
        </w:tc>
        <w:tc>
          <w:tcPr>
            <w:tcW w:w="0" w:type="auto"/>
            <w:vAlign w:val="center"/>
          </w:tcPr>
          <w:p w:rsidR="00024C0A" w:rsidRDefault="00694C0F">
            <w:pPr>
              <w:pStyle w:val="TableBodyText"/>
            </w:pPr>
            <w:r>
              <w:t>Office uses 0 as a default value to correspond to this parameter identifier.</w:t>
            </w:r>
          </w:p>
          <w:p w:rsidR="00024C0A" w:rsidRDefault="00024C0A">
            <w:pPr>
              <w:pStyle w:val="TableBodyText"/>
            </w:pPr>
          </w:p>
          <w:p w:rsidR="00024C0A" w:rsidRDefault="00694C0F">
            <w:pPr>
              <w:pStyle w:val="TableBodyText"/>
            </w:pPr>
            <w:r>
              <w:t xml:space="preserve">Office expects the value corresponding to this parameter identifier to be in the range defined by the XML </w:t>
            </w:r>
            <w:r>
              <w:t>schema double data type.</w:t>
            </w:r>
          </w:p>
          <w:p w:rsidR="00024C0A" w:rsidRDefault="00024C0A">
            <w:pPr>
              <w:pStyle w:val="TableBodyText"/>
            </w:pPr>
          </w:p>
        </w:tc>
      </w:tr>
      <w:tr w:rsidR="00024C0A" w:rsidTr="00024C0A">
        <w:tc>
          <w:tcPr>
            <w:tcW w:w="0" w:type="auto"/>
            <w:vAlign w:val="center"/>
          </w:tcPr>
          <w:p w:rsidR="00024C0A" w:rsidRDefault="00694C0F">
            <w:pPr>
              <w:pStyle w:val="TableBodyText"/>
            </w:pPr>
            <w:r>
              <w:rPr>
                <w:b/>
              </w:rPr>
              <w:t>autoTxRot</w:t>
            </w:r>
            <w:r>
              <w:t xml:space="preserve"> (Auto Text Rotation)</w:t>
            </w:r>
          </w:p>
        </w:tc>
        <w:tc>
          <w:tcPr>
            <w:tcW w:w="0" w:type="auto"/>
            <w:vAlign w:val="center"/>
          </w:tcPr>
          <w:p w:rsidR="00024C0A" w:rsidRDefault="00694C0F">
            <w:pPr>
              <w:pStyle w:val="TableBodyText"/>
            </w:pPr>
            <w:r>
              <w:t>Office uses upr as a default value to correspond to this parameter identifier.</w:t>
            </w:r>
          </w:p>
          <w:p w:rsidR="00024C0A" w:rsidRDefault="00024C0A">
            <w:pPr>
              <w:pStyle w:val="TableBodyText"/>
            </w:pPr>
          </w:p>
          <w:p w:rsidR="00024C0A" w:rsidRDefault="00694C0F">
            <w:pPr>
              <w:pStyle w:val="TableBodyText"/>
            </w:pPr>
            <w:r>
              <w:t>Office expects the value corresponding to this parameter identifier to be in the range defined by simple type ST_AutoT</w:t>
            </w:r>
            <w:r>
              <w:t>extRotation.</w:t>
            </w:r>
          </w:p>
          <w:p w:rsidR="00024C0A" w:rsidRDefault="00024C0A">
            <w:pPr>
              <w:pStyle w:val="TableBodyText"/>
            </w:pPr>
          </w:p>
        </w:tc>
      </w:tr>
      <w:tr w:rsidR="00024C0A" w:rsidTr="00024C0A">
        <w:tc>
          <w:tcPr>
            <w:tcW w:w="0" w:type="auto"/>
            <w:vAlign w:val="center"/>
          </w:tcPr>
          <w:p w:rsidR="00024C0A" w:rsidRDefault="00694C0F">
            <w:pPr>
              <w:pStyle w:val="TableBodyText"/>
            </w:pPr>
            <w:r>
              <w:rPr>
                <w:b/>
              </w:rPr>
              <w:t>begPts</w:t>
            </w:r>
            <w:r>
              <w:t xml:space="preserve"> (Beginning Points)</w:t>
            </w:r>
          </w:p>
        </w:tc>
        <w:tc>
          <w:tcPr>
            <w:tcW w:w="0" w:type="auto"/>
            <w:vAlign w:val="center"/>
          </w:tcPr>
          <w:p w:rsidR="00024C0A" w:rsidRDefault="00694C0F">
            <w:pPr>
              <w:pStyle w:val="TableBodyText"/>
            </w:pPr>
            <w:r>
              <w:t>Office expects the value corresponding to this parameter identifier to be in the range defined by the XML schema string data type.</w:t>
            </w:r>
          </w:p>
          <w:p w:rsidR="00024C0A" w:rsidRDefault="00024C0A">
            <w:pPr>
              <w:pStyle w:val="TableBodyText"/>
            </w:pPr>
          </w:p>
        </w:tc>
      </w:tr>
      <w:tr w:rsidR="00024C0A" w:rsidTr="00024C0A">
        <w:tc>
          <w:tcPr>
            <w:tcW w:w="0" w:type="auto"/>
            <w:vAlign w:val="center"/>
          </w:tcPr>
          <w:p w:rsidR="00024C0A" w:rsidRDefault="00694C0F">
            <w:pPr>
              <w:pStyle w:val="TableBodyText"/>
            </w:pPr>
            <w:r>
              <w:rPr>
                <w:b/>
              </w:rPr>
              <w:t>begSty</w:t>
            </w:r>
            <w:r>
              <w:t xml:space="preserve"> (Beginning Arrowhead Style)</w:t>
            </w:r>
          </w:p>
        </w:tc>
        <w:tc>
          <w:tcPr>
            <w:tcW w:w="0" w:type="auto"/>
            <w:vAlign w:val="center"/>
          </w:tcPr>
          <w:p w:rsidR="00024C0A" w:rsidRDefault="00694C0F">
            <w:pPr>
              <w:pStyle w:val="TableBodyText"/>
            </w:pPr>
            <w:r>
              <w:t>Office uses noArr as a default value to corresp</w:t>
            </w:r>
            <w:r>
              <w:t>ond to this parameter identifier.</w:t>
            </w:r>
          </w:p>
          <w:p w:rsidR="00024C0A" w:rsidRDefault="00024C0A">
            <w:pPr>
              <w:pStyle w:val="TableBodyText"/>
            </w:pPr>
          </w:p>
          <w:p w:rsidR="00024C0A" w:rsidRDefault="00694C0F">
            <w:pPr>
              <w:pStyle w:val="TableBodyText"/>
            </w:pPr>
            <w:r>
              <w:t>Office expects the value corresponding to this parameter identifier to be in the range defined by simple type ST_ArrowheadStyle.</w:t>
            </w:r>
          </w:p>
          <w:p w:rsidR="00024C0A" w:rsidRDefault="00024C0A">
            <w:pPr>
              <w:pStyle w:val="TableBodyText"/>
            </w:pPr>
          </w:p>
        </w:tc>
      </w:tr>
      <w:tr w:rsidR="00024C0A" w:rsidTr="00024C0A">
        <w:tc>
          <w:tcPr>
            <w:tcW w:w="0" w:type="auto"/>
            <w:vAlign w:val="center"/>
          </w:tcPr>
          <w:p w:rsidR="00024C0A" w:rsidRDefault="00694C0F">
            <w:pPr>
              <w:pStyle w:val="TableBodyText"/>
            </w:pPr>
            <w:r>
              <w:rPr>
                <w:b/>
              </w:rPr>
              <w:t>bendPt</w:t>
            </w:r>
            <w:r>
              <w:t xml:space="preserve"> (Bend Point)</w:t>
            </w:r>
          </w:p>
        </w:tc>
        <w:tc>
          <w:tcPr>
            <w:tcW w:w="0" w:type="auto"/>
            <w:vAlign w:val="center"/>
          </w:tcPr>
          <w:p w:rsidR="00024C0A" w:rsidRDefault="00694C0F">
            <w:pPr>
              <w:pStyle w:val="TableBodyText"/>
            </w:pPr>
            <w:r>
              <w:t>Office uses def as a default value to correspond to this parameter ide</w:t>
            </w:r>
            <w:r>
              <w:t>ntifier.</w:t>
            </w:r>
          </w:p>
          <w:p w:rsidR="00024C0A" w:rsidRDefault="00024C0A">
            <w:pPr>
              <w:pStyle w:val="TableBodyText"/>
            </w:pPr>
          </w:p>
          <w:p w:rsidR="00024C0A" w:rsidRDefault="00694C0F">
            <w:pPr>
              <w:pStyle w:val="TableBodyText"/>
            </w:pPr>
            <w:r>
              <w:t>Office expects the value corresponding to this parameter identifier to be in the range defined by simple type ST_BendPoint.</w:t>
            </w:r>
          </w:p>
          <w:p w:rsidR="00024C0A" w:rsidRDefault="00024C0A">
            <w:pPr>
              <w:pStyle w:val="TableBodyText"/>
            </w:pPr>
          </w:p>
        </w:tc>
      </w:tr>
      <w:tr w:rsidR="00024C0A" w:rsidTr="00024C0A">
        <w:tc>
          <w:tcPr>
            <w:tcW w:w="0" w:type="auto"/>
            <w:vAlign w:val="center"/>
          </w:tcPr>
          <w:p w:rsidR="00024C0A" w:rsidRDefault="00694C0F">
            <w:pPr>
              <w:pStyle w:val="TableBodyText"/>
            </w:pPr>
            <w:r>
              <w:rPr>
                <w:b/>
              </w:rPr>
              <w:t>bkPtFixedVal</w:t>
            </w:r>
            <w:r>
              <w:t xml:space="preserve"> (Breakpoint Fixed Value)</w:t>
            </w:r>
          </w:p>
        </w:tc>
        <w:tc>
          <w:tcPr>
            <w:tcW w:w="0" w:type="auto"/>
            <w:vAlign w:val="center"/>
          </w:tcPr>
          <w:p w:rsidR="00024C0A" w:rsidRDefault="00694C0F">
            <w:pPr>
              <w:pStyle w:val="TableBodyText"/>
            </w:pPr>
            <w:r>
              <w:t>Office uses 2 as a default value to correspond to this parameter identifier.</w:t>
            </w:r>
          </w:p>
          <w:p w:rsidR="00024C0A" w:rsidRDefault="00024C0A">
            <w:pPr>
              <w:pStyle w:val="TableBodyText"/>
            </w:pPr>
          </w:p>
          <w:p w:rsidR="00024C0A" w:rsidRDefault="00694C0F">
            <w:pPr>
              <w:pStyle w:val="TableBodyText"/>
            </w:pPr>
            <w:r>
              <w:t>Office expects the value corresponding to this parameter identifier to be of type integer in the range [1, 32766].</w:t>
            </w:r>
          </w:p>
          <w:p w:rsidR="00024C0A" w:rsidRDefault="00024C0A">
            <w:pPr>
              <w:pStyle w:val="TableBodyText"/>
            </w:pPr>
          </w:p>
        </w:tc>
      </w:tr>
      <w:tr w:rsidR="00024C0A" w:rsidTr="00024C0A">
        <w:tc>
          <w:tcPr>
            <w:tcW w:w="0" w:type="auto"/>
            <w:vAlign w:val="center"/>
          </w:tcPr>
          <w:p w:rsidR="00024C0A" w:rsidRDefault="00694C0F">
            <w:pPr>
              <w:pStyle w:val="TableBodyText"/>
            </w:pPr>
            <w:r>
              <w:rPr>
                <w:b/>
              </w:rPr>
              <w:t>bkpt</w:t>
            </w:r>
            <w:r>
              <w:t xml:space="preserve"> (Breakpoint)</w:t>
            </w:r>
          </w:p>
        </w:tc>
        <w:tc>
          <w:tcPr>
            <w:tcW w:w="0" w:type="auto"/>
            <w:vAlign w:val="center"/>
          </w:tcPr>
          <w:p w:rsidR="00024C0A" w:rsidRDefault="00694C0F">
            <w:pPr>
              <w:pStyle w:val="TableBodyText"/>
            </w:pPr>
            <w:r>
              <w:t>Office uses endCnv as a default value to correspond to this parameter identifier.</w:t>
            </w:r>
          </w:p>
          <w:p w:rsidR="00024C0A" w:rsidRDefault="00024C0A">
            <w:pPr>
              <w:pStyle w:val="TableBodyText"/>
            </w:pPr>
          </w:p>
          <w:p w:rsidR="00024C0A" w:rsidRDefault="00694C0F">
            <w:pPr>
              <w:pStyle w:val="TableBodyText"/>
            </w:pPr>
            <w:r>
              <w:t>Office expects the value corresponding</w:t>
            </w:r>
            <w:r>
              <w:t xml:space="preserve"> to this parameter identifier to be in the range defined by simple type ST_Breakpoint.</w:t>
            </w:r>
          </w:p>
          <w:p w:rsidR="00024C0A" w:rsidRDefault="00024C0A">
            <w:pPr>
              <w:pStyle w:val="TableBodyText"/>
            </w:pPr>
          </w:p>
        </w:tc>
      </w:tr>
      <w:tr w:rsidR="00024C0A" w:rsidTr="00024C0A">
        <w:tc>
          <w:tcPr>
            <w:tcW w:w="0" w:type="auto"/>
            <w:vAlign w:val="center"/>
          </w:tcPr>
          <w:p w:rsidR="00024C0A" w:rsidRDefault="00694C0F">
            <w:pPr>
              <w:pStyle w:val="TableBodyText"/>
            </w:pPr>
            <w:r>
              <w:rPr>
                <w:b/>
              </w:rPr>
              <w:t>chAlign</w:t>
            </w:r>
            <w:r>
              <w:t xml:space="preserve"> (Child Alignment)</w:t>
            </w:r>
          </w:p>
        </w:tc>
        <w:tc>
          <w:tcPr>
            <w:tcW w:w="0" w:type="auto"/>
            <w:vAlign w:val="center"/>
          </w:tcPr>
          <w:p w:rsidR="00024C0A" w:rsidRDefault="00694C0F">
            <w:pPr>
              <w:pStyle w:val="TableBodyText"/>
            </w:pPr>
            <w:r>
              <w:t>Office uses l as a default value to correspond to this parameter identifier.</w:t>
            </w:r>
          </w:p>
          <w:p w:rsidR="00024C0A" w:rsidRDefault="00024C0A">
            <w:pPr>
              <w:pStyle w:val="TableBodyText"/>
            </w:pPr>
          </w:p>
          <w:p w:rsidR="00024C0A" w:rsidRDefault="00694C0F">
            <w:pPr>
              <w:pStyle w:val="TableBodyText"/>
            </w:pPr>
            <w:r>
              <w:t>Office expects the value corresponding to this parameter identi</w:t>
            </w:r>
            <w:r>
              <w:t>fier to be in the range defined by simple type ST_ChildAlignment.</w:t>
            </w:r>
          </w:p>
          <w:p w:rsidR="00024C0A" w:rsidRDefault="00024C0A">
            <w:pPr>
              <w:pStyle w:val="TableBodyText"/>
            </w:pPr>
          </w:p>
        </w:tc>
      </w:tr>
      <w:tr w:rsidR="00024C0A" w:rsidTr="00024C0A">
        <w:tc>
          <w:tcPr>
            <w:tcW w:w="0" w:type="auto"/>
            <w:vAlign w:val="center"/>
          </w:tcPr>
          <w:p w:rsidR="00024C0A" w:rsidRDefault="00694C0F">
            <w:pPr>
              <w:pStyle w:val="TableBodyText"/>
            </w:pPr>
            <w:r>
              <w:rPr>
                <w:b/>
              </w:rPr>
              <w:t>chDir</w:t>
            </w:r>
            <w:r>
              <w:t xml:space="preserve"> (Child Direction)</w:t>
            </w:r>
          </w:p>
        </w:tc>
        <w:tc>
          <w:tcPr>
            <w:tcW w:w="0" w:type="auto"/>
            <w:vAlign w:val="center"/>
          </w:tcPr>
          <w:p w:rsidR="00024C0A" w:rsidRDefault="00694C0F">
            <w:pPr>
              <w:pStyle w:val="TableBodyText"/>
            </w:pPr>
            <w:r>
              <w:t>Office uses horz as a default value to correspond to this parameter identifier.</w:t>
            </w:r>
          </w:p>
          <w:p w:rsidR="00024C0A" w:rsidRDefault="00024C0A">
            <w:pPr>
              <w:pStyle w:val="TableBodyText"/>
            </w:pPr>
          </w:p>
          <w:p w:rsidR="00024C0A" w:rsidRDefault="00694C0F">
            <w:pPr>
              <w:pStyle w:val="TableBodyText"/>
            </w:pPr>
            <w:r>
              <w:t xml:space="preserve">Office expects the value corresponding to this parameter identifier to be in the </w:t>
            </w:r>
            <w:r>
              <w:t>range defined by simple type ST_ChildDirection.</w:t>
            </w:r>
          </w:p>
          <w:p w:rsidR="00024C0A" w:rsidRDefault="00024C0A">
            <w:pPr>
              <w:pStyle w:val="TableBodyText"/>
            </w:pPr>
          </w:p>
        </w:tc>
      </w:tr>
      <w:tr w:rsidR="00024C0A" w:rsidTr="00024C0A">
        <w:tc>
          <w:tcPr>
            <w:tcW w:w="0" w:type="auto"/>
            <w:vAlign w:val="center"/>
          </w:tcPr>
          <w:p w:rsidR="00024C0A" w:rsidRDefault="00694C0F">
            <w:pPr>
              <w:pStyle w:val="TableBodyText"/>
            </w:pPr>
            <w:r>
              <w:rPr>
                <w:b/>
              </w:rPr>
              <w:lastRenderedPageBreak/>
              <w:t>connRout</w:t>
            </w:r>
            <w:r>
              <w:t xml:space="preserve"> (Connection Route)</w:t>
            </w:r>
          </w:p>
        </w:tc>
        <w:tc>
          <w:tcPr>
            <w:tcW w:w="0" w:type="auto"/>
            <w:vAlign w:val="center"/>
          </w:tcPr>
          <w:p w:rsidR="00024C0A" w:rsidRDefault="00694C0F">
            <w:pPr>
              <w:pStyle w:val="TableBodyText"/>
            </w:pPr>
            <w:r>
              <w:t>Office uses stra as a default value to correspond to this parameter identifier.</w:t>
            </w:r>
          </w:p>
          <w:p w:rsidR="00024C0A" w:rsidRDefault="00024C0A">
            <w:pPr>
              <w:pStyle w:val="TableBodyText"/>
            </w:pPr>
          </w:p>
          <w:p w:rsidR="00024C0A" w:rsidRDefault="00694C0F">
            <w:pPr>
              <w:pStyle w:val="TableBodyText"/>
            </w:pPr>
            <w:r>
              <w:t>Office expects the value corresponding to this parameter identifier to be in the range defined by</w:t>
            </w:r>
            <w:r>
              <w:t xml:space="preserve"> simple type ST_ConnectorRouting.</w:t>
            </w:r>
          </w:p>
          <w:p w:rsidR="00024C0A" w:rsidRDefault="00024C0A">
            <w:pPr>
              <w:pStyle w:val="TableBodyText"/>
            </w:pPr>
          </w:p>
        </w:tc>
      </w:tr>
      <w:tr w:rsidR="00024C0A" w:rsidTr="00024C0A">
        <w:tc>
          <w:tcPr>
            <w:tcW w:w="0" w:type="auto"/>
            <w:vAlign w:val="center"/>
          </w:tcPr>
          <w:p w:rsidR="00024C0A" w:rsidRDefault="00694C0F">
            <w:pPr>
              <w:pStyle w:val="TableBodyText"/>
            </w:pPr>
            <w:r>
              <w:rPr>
                <w:b/>
              </w:rPr>
              <w:t>contDir</w:t>
            </w:r>
            <w:r>
              <w:t xml:space="preserve"> (Continue Direction)</w:t>
            </w:r>
          </w:p>
        </w:tc>
        <w:tc>
          <w:tcPr>
            <w:tcW w:w="0" w:type="auto"/>
            <w:vAlign w:val="center"/>
          </w:tcPr>
          <w:p w:rsidR="00024C0A" w:rsidRDefault="00694C0F">
            <w:pPr>
              <w:pStyle w:val="TableBodyText"/>
            </w:pPr>
            <w:r>
              <w:t>Office uses sameDir as a default value to correspond to this parameter identifier.</w:t>
            </w:r>
          </w:p>
          <w:p w:rsidR="00024C0A" w:rsidRDefault="00024C0A">
            <w:pPr>
              <w:pStyle w:val="TableBodyText"/>
            </w:pPr>
          </w:p>
          <w:p w:rsidR="00024C0A" w:rsidRDefault="00694C0F">
            <w:pPr>
              <w:pStyle w:val="TableBodyText"/>
            </w:pPr>
            <w:r>
              <w:t>Office expects the value corresponding to this parameter identifier to be in the range defined by simple ty</w:t>
            </w:r>
            <w:r>
              <w:t>pe ST_ContinueDirection.</w:t>
            </w:r>
          </w:p>
          <w:p w:rsidR="00024C0A" w:rsidRDefault="00024C0A">
            <w:pPr>
              <w:pStyle w:val="TableBodyText"/>
            </w:pPr>
          </w:p>
        </w:tc>
      </w:tr>
      <w:tr w:rsidR="00024C0A" w:rsidTr="00024C0A">
        <w:tc>
          <w:tcPr>
            <w:tcW w:w="0" w:type="auto"/>
            <w:vAlign w:val="center"/>
          </w:tcPr>
          <w:p w:rsidR="00024C0A" w:rsidRDefault="00694C0F">
            <w:pPr>
              <w:pStyle w:val="TableBodyText"/>
            </w:pPr>
            <w:r>
              <w:rPr>
                <w:b/>
              </w:rPr>
              <w:t>ctrShpMap</w:t>
            </w:r>
            <w:r>
              <w:t xml:space="preserve"> (Center Shape Mapping)</w:t>
            </w:r>
          </w:p>
        </w:tc>
        <w:tc>
          <w:tcPr>
            <w:tcW w:w="0" w:type="auto"/>
            <w:vAlign w:val="center"/>
          </w:tcPr>
          <w:p w:rsidR="00024C0A" w:rsidRDefault="00694C0F">
            <w:pPr>
              <w:pStyle w:val="TableBodyText"/>
            </w:pPr>
            <w:r>
              <w:t>Office uses none as a default value to correspond to this parameter identifier.</w:t>
            </w:r>
          </w:p>
          <w:p w:rsidR="00024C0A" w:rsidRDefault="00024C0A">
            <w:pPr>
              <w:pStyle w:val="TableBodyText"/>
            </w:pPr>
          </w:p>
          <w:p w:rsidR="00024C0A" w:rsidRDefault="00694C0F">
            <w:pPr>
              <w:pStyle w:val="TableBodyText"/>
            </w:pPr>
            <w:r>
              <w:t>Office expects the value corresponding to this parameter identifier to be in the range defined by simple type ST_Ce</w:t>
            </w:r>
            <w:r>
              <w:t>nterShapeMapping.</w:t>
            </w:r>
          </w:p>
          <w:p w:rsidR="00024C0A" w:rsidRDefault="00024C0A">
            <w:pPr>
              <w:pStyle w:val="TableBodyText"/>
            </w:pPr>
          </w:p>
        </w:tc>
      </w:tr>
      <w:tr w:rsidR="00024C0A" w:rsidTr="00024C0A">
        <w:tc>
          <w:tcPr>
            <w:tcW w:w="0" w:type="auto"/>
            <w:vAlign w:val="center"/>
          </w:tcPr>
          <w:p w:rsidR="00024C0A" w:rsidRDefault="00694C0F">
            <w:pPr>
              <w:pStyle w:val="TableBodyText"/>
            </w:pPr>
            <w:r>
              <w:rPr>
                <w:b/>
              </w:rPr>
              <w:t>dim</w:t>
            </w:r>
            <w:r>
              <w:t xml:space="preserve"> (Connector Dimension)</w:t>
            </w:r>
          </w:p>
        </w:tc>
        <w:tc>
          <w:tcPr>
            <w:tcW w:w="0" w:type="auto"/>
            <w:vAlign w:val="center"/>
          </w:tcPr>
          <w:p w:rsidR="00024C0A" w:rsidRDefault="00694C0F">
            <w:pPr>
              <w:pStyle w:val="TableBodyText"/>
            </w:pPr>
            <w:r>
              <w:t>Office uses 2D as a default value to correspond to this parameter identifier.</w:t>
            </w:r>
          </w:p>
          <w:p w:rsidR="00024C0A" w:rsidRDefault="00024C0A">
            <w:pPr>
              <w:pStyle w:val="TableBodyText"/>
            </w:pPr>
          </w:p>
          <w:p w:rsidR="00024C0A" w:rsidRDefault="00694C0F">
            <w:pPr>
              <w:pStyle w:val="TableBodyText"/>
            </w:pPr>
            <w:r>
              <w:t xml:space="preserve">Office expects the value corresponding to this parameter identifier to be in the range defined by simple type </w:t>
            </w:r>
            <w:r>
              <w:t>ST_ConnectorDimension.</w:t>
            </w:r>
          </w:p>
          <w:p w:rsidR="00024C0A" w:rsidRDefault="00024C0A">
            <w:pPr>
              <w:pStyle w:val="TableBodyText"/>
            </w:pPr>
          </w:p>
        </w:tc>
      </w:tr>
      <w:tr w:rsidR="00024C0A" w:rsidTr="00024C0A">
        <w:tc>
          <w:tcPr>
            <w:tcW w:w="0" w:type="auto"/>
            <w:vAlign w:val="center"/>
          </w:tcPr>
          <w:p w:rsidR="00024C0A" w:rsidRDefault="00694C0F">
            <w:pPr>
              <w:pStyle w:val="TableBodyText"/>
            </w:pPr>
            <w:r>
              <w:rPr>
                <w:b/>
              </w:rPr>
              <w:t>dstNode</w:t>
            </w:r>
            <w:r>
              <w:t xml:space="preserve"> (Destination Node)</w:t>
            </w:r>
          </w:p>
        </w:tc>
        <w:tc>
          <w:tcPr>
            <w:tcW w:w="0" w:type="auto"/>
            <w:vAlign w:val="center"/>
          </w:tcPr>
          <w:p w:rsidR="00024C0A" w:rsidRDefault="00694C0F">
            <w:pPr>
              <w:pStyle w:val="TableBodyText"/>
            </w:pPr>
            <w:r>
              <w:t>Office expects the value corresponding to this parameter identifier to be in the range defined by the XML schema string data type.</w:t>
            </w:r>
          </w:p>
          <w:p w:rsidR="00024C0A" w:rsidRDefault="00024C0A">
            <w:pPr>
              <w:pStyle w:val="TableBodyText"/>
            </w:pPr>
          </w:p>
        </w:tc>
      </w:tr>
      <w:tr w:rsidR="00024C0A" w:rsidTr="00024C0A">
        <w:tc>
          <w:tcPr>
            <w:tcW w:w="0" w:type="auto"/>
            <w:vAlign w:val="center"/>
          </w:tcPr>
          <w:p w:rsidR="00024C0A" w:rsidRDefault="00694C0F">
            <w:pPr>
              <w:pStyle w:val="TableBodyText"/>
            </w:pPr>
            <w:r>
              <w:rPr>
                <w:b/>
              </w:rPr>
              <w:t>endPts</w:t>
            </w:r>
            <w:r>
              <w:t xml:space="preserve"> (End Points)</w:t>
            </w:r>
          </w:p>
        </w:tc>
        <w:tc>
          <w:tcPr>
            <w:tcW w:w="0" w:type="auto"/>
            <w:vAlign w:val="center"/>
          </w:tcPr>
          <w:p w:rsidR="00024C0A" w:rsidRDefault="00694C0F">
            <w:pPr>
              <w:pStyle w:val="TableBodyText"/>
            </w:pPr>
            <w:r>
              <w:t>Office expects the value corresponding to this para</w:t>
            </w:r>
            <w:r>
              <w:t>meter identifier to be in the range defined by the XML schema string data type.</w:t>
            </w:r>
          </w:p>
          <w:p w:rsidR="00024C0A" w:rsidRDefault="00024C0A">
            <w:pPr>
              <w:pStyle w:val="TableBodyText"/>
            </w:pPr>
          </w:p>
        </w:tc>
      </w:tr>
      <w:tr w:rsidR="00024C0A" w:rsidTr="00024C0A">
        <w:tc>
          <w:tcPr>
            <w:tcW w:w="0" w:type="auto"/>
            <w:vAlign w:val="center"/>
          </w:tcPr>
          <w:p w:rsidR="00024C0A" w:rsidRDefault="00694C0F">
            <w:pPr>
              <w:pStyle w:val="TableBodyText"/>
            </w:pPr>
            <w:r>
              <w:rPr>
                <w:b/>
              </w:rPr>
              <w:t>endSty</w:t>
            </w:r>
            <w:r>
              <w:t xml:space="preserve"> (End Style)</w:t>
            </w:r>
          </w:p>
        </w:tc>
        <w:tc>
          <w:tcPr>
            <w:tcW w:w="0" w:type="auto"/>
            <w:vAlign w:val="center"/>
          </w:tcPr>
          <w:p w:rsidR="00024C0A" w:rsidRDefault="00694C0F">
            <w:pPr>
              <w:pStyle w:val="TableBodyText"/>
            </w:pPr>
            <w:r>
              <w:t>Office uses arr as a default value to correspond to this parameter identifier.</w:t>
            </w:r>
          </w:p>
          <w:p w:rsidR="00024C0A" w:rsidRDefault="00024C0A">
            <w:pPr>
              <w:pStyle w:val="TableBodyText"/>
            </w:pPr>
          </w:p>
          <w:p w:rsidR="00024C0A" w:rsidRDefault="00694C0F">
            <w:pPr>
              <w:pStyle w:val="TableBodyText"/>
            </w:pPr>
            <w:r>
              <w:t>Office expects the value corresponding to this parameter identifier to be i</w:t>
            </w:r>
            <w:r>
              <w:t>n the range defined by simple type ST_ArrowheadStyle.</w:t>
            </w:r>
          </w:p>
          <w:p w:rsidR="00024C0A" w:rsidRDefault="00024C0A">
            <w:pPr>
              <w:pStyle w:val="TableBodyText"/>
            </w:pPr>
          </w:p>
        </w:tc>
      </w:tr>
      <w:tr w:rsidR="00024C0A" w:rsidTr="00024C0A">
        <w:tc>
          <w:tcPr>
            <w:tcW w:w="0" w:type="auto"/>
            <w:vAlign w:val="center"/>
          </w:tcPr>
          <w:p w:rsidR="00024C0A" w:rsidRDefault="00694C0F">
            <w:pPr>
              <w:pStyle w:val="TableBodyText"/>
            </w:pPr>
            <w:r>
              <w:rPr>
                <w:b/>
              </w:rPr>
              <w:t>fallback</w:t>
            </w:r>
            <w:r>
              <w:t xml:space="preserve"> (Fallback Scale)</w:t>
            </w:r>
          </w:p>
        </w:tc>
        <w:tc>
          <w:tcPr>
            <w:tcW w:w="0" w:type="auto"/>
            <w:vAlign w:val="center"/>
          </w:tcPr>
          <w:p w:rsidR="00024C0A" w:rsidRDefault="00694C0F">
            <w:pPr>
              <w:pStyle w:val="TableBodyText"/>
            </w:pPr>
            <w:r>
              <w:t>Office uses 1D as a default value to correspond to this parameter identifier.</w:t>
            </w:r>
          </w:p>
          <w:p w:rsidR="00024C0A" w:rsidRDefault="00024C0A">
            <w:pPr>
              <w:pStyle w:val="TableBodyText"/>
            </w:pPr>
          </w:p>
          <w:p w:rsidR="00024C0A" w:rsidRDefault="00694C0F">
            <w:pPr>
              <w:pStyle w:val="TableBodyText"/>
            </w:pPr>
            <w:r>
              <w:t xml:space="preserve">Office expects the value corresponding to this parameter identifier to be in the range defined </w:t>
            </w:r>
            <w:r>
              <w:t>by simple type ST_FallbackDimension.</w:t>
            </w:r>
          </w:p>
          <w:p w:rsidR="00024C0A" w:rsidRDefault="00024C0A">
            <w:pPr>
              <w:pStyle w:val="TableBodyText"/>
            </w:pPr>
          </w:p>
        </w:tc>
      </w:tr>
      <w:tr w:rsidR="00024C0A" w:rsidTr="00024C0A">
        <w:tc>
          <w:tcPr>
            <w:tcW w:w="0" w:type="auto"/>
            <w:vAlign w:val="center"/>
          </w:tcPr>
          <w:p w:rsidR="00024C0A" w:rsidRDefault="00694C0F">
            <w:pPr>
              <w:pStyle w:val="TableBodyText"/>
            </w:pPr>
            <w:r>
              <w:rPr>
                <w:b/>
              </w:rPr>
              <w:t>flowDir</w:t>
            </w:r>
            <w:r>
              <w:t xml:space="preserve"> (Flow Direction)</w:t>
            </w:r>
          </w:p>
        </w:tc>
        <w:tc>
          <w:tcPr>
            <w:tcW w:w="0" w:type="auto"/>
            <w:vAlign w:val="center"/>
          </w:tcPr>
          <w:p w:rsidR="00024C0A" w:rsidRDefault="00694C0F">
            <w:pPr>
              <w:pStyle w:val="TableBodyText"/>
            </w:pPr>
            <w:r>
              <w:t xml:space="preserve">Office uses row as a default value to correspond to this parameter </w:t>
            </w:r>
            <w:r>
              <w:lastRenderedPageBreak/>
              <w:t>identifier.</w:t>
            </w:r>
          </w:p>
          <w:p w:rsidR="00024C0A" w:rsidRDefault="00024C0A">
            <w:pPr>
              <w:pStyle w:val="TableBodyText"/>
            </w:pPr>
          </w:p>
          <w:p w:rsidR="00024C0A" w:rsidRDefault="00694C0F">
            <w:pPr>
              <w:pStyle w:val="TableBodyText"/>
            </w:pPr>
            <w:r>
              <w:t xml:space="preserve">Office expects the value corresponding to this parameter identifier to be in the range defined by simple type </w:t>
            </w:r>
            <w:r>
              <w:t>ST_FlowDirection.</w:t>
            </w:r>
          </w:p>
          <w:p w:rsidR="00024C0A" w:rsidRDefault="00024C0A">
            <w:pPr>
              <w:pStyle w:val="TableBodyText"/>
            </w:pPr>
          </w:p>
        </w:tc>
      </w:tr>
      <w:tr w:rsidR="00024C0A" w:rsidTr="00024C0A">
        <w:tc>
          <w:tcPr>
            <w:tcW w:w="0" w:type="auto"/>
            <w:vAlign w:val="center"/>
          </w:tcPr>
          <w:p w:rsidR="00024C0A" w:rsidRDefault="00694C0F">
            <w:pPr>
              <w:pStyle w:val="TableBodyText"/>
            </w:pPr>
            <w:r>
              <w:rPr>
                <w:b/>
              </w:rPr>
              <w:lastRenderedPageBreak/>
              <w:t>grDir</w:t>
            </w:r>
            <w:r>
              <w:t xml:space="preserve"> (Grow Direction)</w:t>
            </w:r>
          </w:p>
        </w:tc>
        <w:tc>
          <w:tcPr>
            <w:tcW w:w="0" w:type="auto"/>
            <w:vAlign w:val="center"/>
          </w:tcPr>
          <w:p w:rsidR="00024C0A" w:rsidRDefault="00694C0F">
            <w:pPr>
              <w:pStyle w:val="TableBodyText"/>
            </w:pPr>
            <w:r>
              <w:t>Office uses tL as a default value to correspond to this parameter identifier.</w:t>
            </w:r>
          </w:p>
          <w:p w:rsidR="00024C0A" w:rsidRDefault="00024C0A">
            <w:pPr>
              <w:pStyle w:val="TableBodyText"/>
            </w:pPr>
          </w:p>
          <w:p w:rsidR="00024C0A" w:rsidRDefault="00694C0F">
            <w:pPr>
              <w:pStyle w:val="TableBodyText"/>
            </w:pPr>
            <w:r>
              <w:t>Office expects the value corresponding to this parameter identifier to be in the range defined by simple type ST_GrowDirection.</w:t>
            </w:r>
          </w:p>
          <w:p w:rsidR="00024C0A" w:rsidRDefault="00024C0A">
            <w:pPr>
              <w:pStyle w:val="TableBodyText"/>
            </w:pPr>
          </w:p>
        </w:tc>
      </w:tr>
      <w:tr w:rsidR="00024C0A" w:rsidTr="00024C0A">
        <w:tc>
          <w:tcPr>
            <w:tcW w:w="0" w:type="auto"/>
            <w:vAlign w:val="center"/>
          </w:tcPr>
          <w:p w:rsidR="00024C0A" w:rsidRDefault="00694C0F">
            <w:pPr>
              <w:pStyle w:val="TableBodyText"/>
            </w:pPr>
            <w:r>
              <w:rPr>
                <w:b/>
              </w:rPr>
              <w:t>hier</w:t>
            </w:r>
            <w:r>
              <w:rPr>
                <w:b/>
              </w:rPr>
              <w:t>Align</w:t>
            </w:r>
            <w:r>
              <w:t xml:space="preserve"> (Hierarchy Alignment)</w:t>
            </w:r>
          </w:p>
        </w:tc>
        <w:tc>
          <w:tcPr>
            <w:tcW w:w="0" w:type="auto"/>
            <w:vAlign w:val="center"/>
          </w:tcPr>
          <w:p w:rsidR="00024C0A" w:rsidRDefault="00694C0F">
            <w:pPr>
              <w:pStyle w:val="TableBodyText"/>
            </w:pPr>
            <w:r>
              <w:t>Office uses tCtrCh as a default value to correspond to this parameter identifier.</w:t>
            </w:r>
          </w:p>
          <w:p w:rsidR="00024C0A" w:rsidRDefault="00024C0A">
            <w:pPr>
              <w:pStyle w:val="TableBodyText"/>
            </w:pPr>
          </w:p>
          <w:p w:rsidR="00024C0A" w:rsidRDefault="00694C0F">
            <w:pPr>
              <w:pStyle w:val="TableBodyText"/>
            </w:pPr>
            <w:r>
              <w:t>Office expects the value corresponding to this parameter identifier to be in the range defined by simple type ST_HierarchyAlignment.</w:t>
            </w:r>
          </w:p>
          <w:p w:rsidR="00024C0A" w:rsidRDefault="00024C0A">
            <w:pPr>
              <w:pStyle w:val="TableBodyText"/>
            </w:pPr>
          </w:p>
        </w:tc>
      </w:tr>
      <w:tr w:rsidR="00024C0A" w:rsidTr="00024C0A">
        <w:tc>
          <w:tcPr>
            <w:tcW w:w="0" w:type="auto"/>
            <w:vAlign w:val="center"/>
          </w:tcPr>
          <w:p w:rsidR="00024C0A" w:rsidRDefault="00694C0F">
            <w:pPr>
              <w:pStyle w:val="TableBodyText"/>
            </w:pPr>
            <w:r>
              <w:rPr>
                <w:b/>
              </w:rPr>
              <w:t>horzAlign</w:t>
            </w:r>
            <w:r>
              <w:t xml:space="preserve"> </w:t>
            </w:r>
            <w:r>
              <w:t>(Horizontal Alignment)</w:t>
            </w:r>
          </w:p>
        </w:tc>
        <w:tc>
          <w:tcPr>
            <w:tcW w:w="0" w:type="auto"/>
            <w:vAlign w:val="center"/>
          </w:tcPr>
          <w:p w:rsidR="00024C0A" w:rsidRDefault="00694C0F">
            <w:pPr>
              <w:pStyle w:val="TableBodyText"/>
            </w:pPr>
            <w:r>
              <w:t>Office uses ctr as a default value to correspond to this parameter identifier.</w:t>
            </w:r>
          </w:p>
          <w:p w:rsidR="00024C0A" w:rsidRDefault="00024C0A">
            <w:pPr>
              <w:pStyle w:val="TableBodyText"/>
            </w:pPr>
          </w:p>
          <w:p w:rsidR="00024C0A" w:rsidRDefault="00694C0F">
            <w:pPr>
              <w:pStyle w:val="TableBodyText"/>
            </w:pPr>
            <w:r>
              <w:t>Office expects the value corresponding to this parameter identifier to be in the range defined by simple type ST_HorizontalAlignment.</w:t>
            </w:r>
          </w:p>
          <w:p w:rsidR="00024C0A" w:rsidRDefault="00024C0A">
            <w:pPr>
              <w:pStyle w:val="TableBodyText"/>
            </w:pPr>
          </w:p>
        </w:tc>
      </w:tr>
      <w:tr w:rsidR="00024C0A" w:rsidTr="00024C0A">
        <w:tc>
          <w:tcPr>
            <w:tcW w:w="0" w:type="auto"/>
            <w:vAlign w:val="center"/>
          </w:tcPr>
          <w:p w:rsidR="00024C0A" w:rsidRDefault="00694C0F">
            <w:pPr>
              <w:pStyle w:val="TableBodyText"/>
            </w:pPr>
            <w:r>
              <w:rPr>
                <w:b/>
              </w:rPr>
              <w:t>linDir</w:t>
            </w:r>
            <w:r>
              <w:t xml:space="preserve"> (Linear Di</w:t>
            </w:r>
            <w:r>
              <w:t>rection)</w:t>
            </w:r>
          </w:p>
        </w:tc>
        <w:tc>
          <w:tcPr>
            <w:tcW w:w="0" w:type="auto"/>
            <w:vAlign w:val="center"/>
          </w:tcPr>
          <w:p w:rsidR="00024C0A" w:rsidRDefault="00694C0F">
            <w:pPr>
              <w:pStyle w:val="TableBodyText"/>
            </w:pPr>
            <w:r>
              <w:t>Office uses fromL as a default value to correspond to this parameter identifier.</w:t>
            </w:r>
          </w:p>
          <w:p w:rsidR="00024C0A" w:rsidRDefault="00024C0A">
            <w:pPr>
              <w:pStyle w:val="TableBodyText"/>
            </w:pPr>
          </w:p>
          <w:p w:rsidR="00024C0A" w:rsidRDefault="00694C0F">
            <w:pPr>
              <w:pStyle w:val="TableBodyText"/>
            </w:pPr>
            <w:r>
              <w:t>Office expects the value corresponding to this parameter identifier to be in the range defined by simple type ST_LinearDirection.</w:t>
            </w:r>
          </w:p>
          <w:p w:rsidR="00024C0A" w:rsidRDefault="00024C0A">
            <w:pPr>
              <w:pStyle w:val="TableBodyText"/>
            </w:pPr>
          </w:p>
        </w:tc>
      </w:tr>
      <w:tr w:rsidR="00024C0A" w:rsidTr="00024C0A">
        <w:tc>
          <w:tcPr>
            <w:tcW w:w="0" w:type="auto"/>
            <w:vAlign w:val="center"/>
          </w:tcPr>
          <w:p w:rsidR="00024C0A" w:rsidRDefault="00694C0F">
            <w:pPr>
              <w:pStyle w:val="TableBodyText"/>
            </w:pPr>
            <w:r>
              <w:rPr>
                <w:b/>
              </w:rPr>
              <w:t>lnSpAfChP</w:t>
            </w:r>
            <w:r>
              <w:t xml:space="preserve"> (Line Spacing After Children Paragraph)</w:t>
            </w:r>
          </w:p>
        </w:tc>
        <w:tc>
          <w:tcPr>
            <w:tcW w:w="0" w:type="auto"/>
            <w:vAlign w:val="center"/>
          </w:tcPr>
          <w:p w:rsidR="00024C0A" w:rsidRDefault="00694C0F">
            <w:pPr>
              <w:pStyle w:val="TableBodyText"/>
            </w:pPr>
            <w:r>
              <w:t>Office uses 15 as a default value to correspond to this parameter identifier.</w:t>
            </w:r>
          </w:p>
          <w:p w:rsidR="00024C0A" w:rsidRDefault="00024C0A">
            <w:pPr>
              <w:pStyle w:val="TableBodyText"/>
            </w:pPr>
          </w:p>
          <w:p w:rsidR="00024C0A" w:rsidRDefault="00694C0F">
            <w:pPr>
              <w:pStyle w:val="TableBodyText"/>
            </w:pPr>
            <w:r>
              <w:t>Office expects the value corresponding to this parameter identifier to be of type XML schema double in the range [0, 1000].</w:t>
            </w:r>
          </w:p>
          <w:p w:rsidR="00024C0A" w:rsidRDefault="00024C0A">
            <w:pPr>
              <w:pStyle w:val="TableBodyText"/>
            </w:pPr>
          </w:p>
        </w:tc>
      </w:tr>
      <w:tr w:rsidR="00024C0A" w:rsidTr="00024C0A">
        <w:tc>
          <w:tcPr>
            <w:tcW w:w="0" w:type="auto"/>
            <w:vAlign w:val="center"/>
          </w:tcPr>
          <w:p w:rsidR="00024C0A" w:rsidRDefault="00694C0F">
            <w:pPr>
              <w:pStyle w:val="TableBodyText"/>
            </w:pPr>
            <w:r>
              <w:rPr>
                <w:b/>
              </w:rPr>
              <w:t>lnSpAfParP</w:t>
            </w:r>
            <w:r>
              <w:t xml:space="preserve"> (Line Spacing After Parent Paragraph)</w:t>
            </w:r>
          </w:p>
        </w:tc>
        <w:tc>
          <w:tcPr>
            <w:tcW w:w="0" w:type="auto"/>
            <w:vAlign w:val="center"/>
          </w:tcPr>
          <w:p w:rsidR="00024C0A" w:rsidRDefault="00694C0F">
            <w:pPr>
              <w:pStyle w:val="TableBodyText"/>
            </w:pPr>
            <w:r>
              <w:t>Office uses 35 as a default value to correspond to this parameter identifier.</w:t>
            </w:r>
          </w:p>
          <w:p w:rsidR="00024C0A" w:rsidRDefault="00024C0A">
            <w:pPr>
              <w:pStyle w:val="TableBodyText"/>
            </w:pPr>
          </w:p>
          <w:p w:rsidR="00024C0A" w:rsidRDefault="00694C0F">
            <w:pPr>
              <w:pStyle w:val="TableBodyText"/>
            </w:pPr>
            <w:r>
              <w:t>Office expects the value corresponding to this parameter identifier to be of type XML schema double in the range [0, 1000].</w:t>
            </w:r>
          </w:p>
          <w:p w:rsidR="00024C0A" w:rsidRDefault="00024C0A">
            <w:pPr>
              <w:pStyle w:val="TableBodyText"/>
            </w:pPr>
          </w:p>
        </w:tc>
      </w:tr>
      <w:tr w:rsidR="00024C0A" w:rsidTr="00024C0A">
        <w:tc>
          <w:tcPr>
            <w:tcW w:w="0" w:type="auto"/>
            <w:vAlign w:val="center"/>
          </w:tcPr>
          <w:p w:rsidR="00024C0A" w:rsidRDefault="00694C0F">
            <w:pPr>
              <w:pStyle w:val="TableBodyText"/>
            </w:pPr>
            <w:r>
              <w:rPr>
                <w:b/>
              </w:rPr>
              <w:t>lnSpCh</w:t>
            </w:r>
            <w:r>
              <w:t xml:space="preserve"> (Line</w:t>
            </w:r>
            <w:r>
              <w:t xml:space="preserve"> Spacing Children)</w:t>
            </w:r>
          </w:p>
        </w:tc>
        <w:tc>
          <w:tcPr>
            <w:tcW w:w="0" w:type="auto"/>
            <w:vAlign w:val="center"/>
          </w:tcPr>
          <w:p w:rsidR="00024C0A" w:rsidRDefault="00694C0F">
            <w:pPr>
              <w:pStyle w:val="TableBodyText"/>
            </w:pPr>
            <w:r>
              <w:t>Office uses 90 as a default value to correspond to this parameter identifier.</w:t>
            </w:r>
          </w:p>
          <w:p w:rsidR="00024C0A" w:rsidRDefault="00024C0A">
            <w:pPr>
              <w:pStyle w:val="TableBodyText"/>
            </w:pPr>
          </w:p>
          <w:p w:rsidR="00024C0A" w:rsidRDefault="00694C0F">
            <w:pPr>
              <w:pStyle w:val="TableBodyText"/>
            </w:pPr>
            <w:r>
              <w:t>Office expects the value corresponding to this parameter identifier to be of type XML schema double in the range [0, 1000].</w:t>
            </w:r>
          </w:p>
          <w:p w:rsidR="00024C0A" w:rsidRDefault="00024C0A">
            <w:pPr>
              <w:pStyle w:val="TableBodyText"/>
            </w:pPr>
          </w:p>
        </w:tc>
      </w:tr>
      <w:tr w:rsidR="00024C0A" w:rsidTr="00024C0A">
        <w:tc>
          <w:tcPr>
            <w:tcW w:w="0" w:type="auto"/>
            <w:vAlign w:val="center"/>
          </w:tcPr>
          <w:p w:rsidR="00024C0A" w:rsidRDefault="00694C0F">
            <w:pPr>
              <w:pStyle w:val="TableBodyText"/>
            </w:pPr>
            <w:r>
              <w:rPr>
                <w:b/>
              </w:rPr>
              <w:t>lnSpPar</w:t>
            </w:r>
            <w:r>
              <w:t xml:space="preserve"> (Line Spacing Parent)</w:t>
            </w:r>
          </w:p>
        </w:tc>
        <w:tc>
          <w:tcPr>
            <w:tcW w:w="0" w:type="auto"/>
            <w:vAlign w:val="center"/>
          </w:tcPr>
          <w:p w:rsidR="00024C0A" w:rsidRDefault="00694C0F">
            <w:pPr>
              <w:pStyle w:val="TableBodyText"/>
            </w:pPr>
            <w:r>
              <w:t>Office uses 90 as a default value to correspond to this parameter identifier.</w:t>
            </w:r>
          </w:p>
          <w:p w:rsidR="00024C0A" w:rsidRDefault="00024C0A">
            <w:pPr>
              <w:pStyle w:val="TableBodyText"/>
            </w:pPr>
          </w:p>
          <w:p w:rsidR="00024C0A" w:rsidRDefault="00694C0F">
            <w:pPr>
              <w:pStyle w:val="TableBodyText"/>
            </w:pPr>
            <w:r>
              <w:t>Office expects the value corresponding to this parameter identifier to be of type XML schema double in the range [0, 1000].</w:t>
            </w:r>
          </w:p>
          <w:p w:rsidR="00024C0A" w:rsidRDefault="00024C0A">
            <w:pPr>
              <w:pStyle w:val="TableBodyText"/>
            </w:pPr>
          </w:p>
        </w:tc>
      </w:tr>
      <w:tr w:rsidR="00024C0A" w:rsidTr="00024C0A">
        <w:tc>
          <w:tcPr>
            <w:tcW w:w="0" w:type="auto"/>
            <w:vAlign w:val="center"/>
          </w:tcPr>
          <w:p w:rsidR="00024C0A" w:rsidRDefault="00694C0F">
            <w:pPr>
              <w:pStyle w:val="TableBodyText"/>
            </w:pPr>
            <w:r>
              <w:rPr>
                <w:b/>
              </w:rPr>
              <w:lastRenderedPageBreak/>
              <w:t>nodeHorzAlign</w:t>
            </w:r>
            <w:r>
              <w:t xml:space="preserve"> (Node Horizontal Alignment)</w:t>
            </w:r>
          </w:p>
        </w:tc>
        <w:tc>
          <w:tcPr>
            <w:tcW w:w="0" w:type="auto"/>
            <w:vAlign w:val="center"/>
          </w:tcPr>
          <w:p w:rsidR="00024C0A" w:rsidRDefault="00694C0F">
            <w:pPr>
              <w:pStyle w:val="TableBodyText"/>
            </w:pPr>
            <w:r>
              <w:t>Office us</w:t>
            </w:r>
            <w:r>
              <w:t>es ctr as a default value to correspond to this parameter identifier.</w:t>
            </w:r>
          </w:p>
          <w:p w:rsidR="00024C0A" w:rsidRDefault="00024C0A">
            <w:pPr>
              <w:pStyle w:val="TableBodyText"/>
            </w:pPr>
          </w:p>
          <w:p w:rsidR="00024C0A" w:rsidRDefault="00694C0F">
            <w:pPr>
              <w:pStyle w:val="TableBodyText"/>
            </w:pPr>
            <w:r>
              <w:t>Office expects the value corresponding to this parameter identifier to be in the range defined by simple type ST_NodeHorizontalAlignment.</w:t>
            </w:r>
          </w:p>
          <w:p w:rsidR="00024C0A" w:rsidRDefault="00024C0A">
            <w:pPr>
              <w:pStyle w:val="TableBodyText"/>
            </w:pPr>
          </w:p>
        </w:tc>
      </w:tr>
      <w:tr w:rsidR="00024C0A" w:rsidTr="00024C0A">
        <w:tc>
          <w:tcPr>
            <w:tcW w:w="0" w:type="auto"/>
            <w:vAlign w:val="center"/>
          </w:tcPr>
          <w:p w:rsidR="00024C0A" w:rsidRDefault="00694C0F">
            <w:pPr>
              <w:pStyle w:val="TableBodyText"/>
            </w:pPr>
            <w:r>
              <w:rPr>
                <w:b/>
              </w:rPr>
              <w:t>nodeVertAlign</w:t>
            </w:r>
            <w:r>
              <w:t xml:space="preserve"> (Node Vertical Alignment)</w:t>
            </w:r>
          </w:p>
        </w:tc>
        <w:tc>
          <w:tcPr>
            <w:tcW w:w="0" w:type="auto"/>
            <w:vAlign w:val="center"/>
          </w:tcPr>
          <w:p w:rsidR="00024C0A" w:rsidRDefault="00694C0F">
            <w:pPr>
              <w:pStyle w:val="TableBodyText"/>
            </w:pPr>
            <w:r>
              <w:t>Offic</w:t>
            </w:r>
            <w:r>
              <w:t>e uses mid as a default value to correspond to this parameter identifier.</w:t>
            </w:r>
          </w:p>
          <w:p w:rsidR="00024C0A" w:rsidRDefault="00024C0A">
            <w:pPr>
              <w:pStyle w:val="TableBodyText"/>
            </w:pPr>
          </w:p>
          <w:p w:rsidR="00024C0A" w:rsidRDefault="00694C0F">
            <w:pPr>
              <w:pStyle w:val="TableBodyText"/>
            </w:pPr>
            <w:r>
              <w:t>Office expects the value corresponding to this parameter identifier to be in the range defined by simple type ST_NodeVerticalAlignment.</w:t>
            </w:r>
          </w:p>
          <w:p w:rsidR="00024C0A" w:rsidRDefault="00024C0A">
            <w:pPr>
              <w:pStyle w:val="TableBodyText"/>
            </w:pPr>
          </w:p>
        </w:tc>
      </w:tr>
      <w:tr w:rsidR="00024C0A" w:rsidTr="00024C0A">
        <w:tc>
          <w:tcPr>
            <w:tcW w:w="0" w:type="auto"/>
            <w:vAlign w:val="center"/>
          </w:tcPr>
          <w:p w:rsidR="00024C0A" w:rsidRDefault="00694C0F">
            <w:pPr>
              <w:pStyle w:val="TableBodyText"/>
            </w:pPr>
            <w:r>
              <w:rPr>
                <w:b/>
              </w:rPr>
              <w:t>off</w:t>
            </w:r>
            <w:r>
              <w:t xml:space="preserve"> (Offset)</w:t>
            </w:r>
          </w:p>
        </w:tc>
        <w:tc>
          <w:tcPr>
            <w:tcW w:w="0" w:type="auto"/>
            <w:vAlign w:val="center"/>
          </w:tcPr>
          <w:p w:rsidR="00024C0A" w:rsidRDefault="00694C0F">
            <w:pPr>
              <w:pStyle w:val="TableBodyText"/>
            </w:pPr>
            <w:r>
              <w:t>Office uses off as a default v</w:t>
            </w:r>
            <w:r>
              <w:t>alue to correspond to this parameter identifier.</w:t>
            </w:r>
          </w:p>
          <w:p w:rsidR="00024C0A" w:rsidRDefault="00024C0A">
            <w:pPr>
              <w:pStyle w:val="TableBodyText"/>
            </w:pPr>
          </w:p>
          <w:p w:rsidR="00024C0A" w:rsidRDefault="00694C0F">
            <w:pPr>
              <w:pStyle w:val="TableBodyText"/>
            </w:pPr>
            <w:r>
              <w:t>Office expects the value corresponding to this parameter identifier to be in the range defined by simple type ST_Offset.</w:t>
            </w:r>
          </w:p>
          <w:p w:rsidR="00024C0A" w:rsidRDefault="00024C0A">
            <w:pPr>
              <w:pStyle w:val="TableBodyText"/>
            </w:pPr>
          </w:p>
        </w:tc>
      </w:tr>
      <w:tr w:rsidR="00024C0A" w:rsidTr="00024C0A">
        <w:tc>
          <w:tcPr>
            <w:tcW w:w="0" w:type="auto"/>
            <w:vAlign w:val="center"/>
          </w:tcPr>
          <w:p w:rsidR="00024C0A" w:rsidRDefault="00694C0F">
            <w:pPr>
              <w:pStyle w:val="TableBodyText"/>
            </w:pPr>
            <w:r>
              <w:rPr>
                <w:b/>
              </w:rPr>
              <w:t>parTxLTRAlign</w:t>
            </w:r>
            <w:r>
              <w:t xml:space="preserve"> (Parent Text Left-to-Right Alignment)</w:t>
            </w:r>
          </w:p>
        </w:tc>
        <w:tc>
          <w:tcPr>
            <w:tcW w:w="0" w:type="auto"/>
            <w:vAlign w:val="center"/>
          </w:tcPr>
          <w:p w:rsidR="00024C0A" w:rsidRDefault="00694C0F">
            <w:pPr>
              <w:pStyle w:val="TableBodyText"/>
            </w:pPr>
            <w:r>
              <w:t xml:space="preserve">Office uses ctr as a default </w:t>
            </w:r>
            <w:r>
              <w:t>value to correspond to this parameter identifier.</w:t>
            </w:r>
          </w:p>
          <w:p w:rsidR="00024C0A" w:rsidRDefault="00024C0A">
            <w:pPr>
              <w:pStyle w:val="TableBodyText"/>
            </w:pPr>
          </w:p>
          <w:p w:rsidR="00024C0A" w:rsidRDefault="00694C0F">
            <w:pPr>
              <w:pStyle w:val="TableBodyText"/>
            </w:pPr>
            <w:r>
              <w:t>Office expects the value corresponding to this parameter identifier to be in the range defined by simple type ST_TextAlignment.</w:t>
            </w:r>
          </w:p>
          <w:p w:rsidR="00024C0A" w:rsidRDefault="00024C0A">
            <w:pPr>
              <w:pStyle w:val="TableBodyText"/>
            </w:pPr>
          </w:p>
        </w:tc>
      </w:tr>
      <w:tr w:rsidR="00024C0A" w:rsidTr="00024C0A">
        <w:tc>
          <w:tcPr>
            <w:tcW w:w="0" w:type="auto"/>
            <w:vAlign w:val="center"/>
          </w:tcPr>
          <w:p w:rsidR="00024C0A" w:rsidRDefault="00694C0F">
            <w:pPr>
              <w:pStyle w:val="TableBodyText"/>
            </w:pPr>
            <w:r>
              <w:rPr>
                <w:b/>
              </w:rPr>
              <w:t>parTxRTLAlign</w:t>
            </w:r>
            <w:r>
              <w:t xml:space="preserve"> (Parent Text Right-to-Left Alignment)</w:t>
            </w:r>
          </w:p>
        </w:tc>
        <w:tc>
          <w:tcPr>
            <w:tcW w:w="0" w:type="auto"/>
            <w:vAlign w:val="center"/>
          </w:tcPr>
          <w:p w:rsidR="00024C0A" w:rsidRDefault="00694C0F">
            <w:pPr>
              <w:pStyle w:val="TableBodyText"/>
            </w:pPr>
            <w:r>
              <w:t>Office uses ctr as a de</w:t>
            </w:r>
            <w:r>
              <w:t>fault value to correspond to this parameter identifier.</w:t>
            </w:r>
          </w:p>
          <w:p w:rsidR="00024C0A" w:rsidRDefault="00024C0A">
            <w:pPr>
              <w:pStyle w:val="TableBodyText"/>
            </w:pPr>
          </w:p>
          <w:p w:rsidR="00024C0A" w:rsidRDefault="00694C0F">
            <w:pPr>
              <w:pStyle w:val="TableBodyText"/>
            </w:pPr>
            <w:r>
              <w:t>Office expects the value corresponding to this parameter identifier to be in the range defined by simple type ST_TextAlignment.</w:t>
            </w:r>
          </w:p>
          <w:p w:rsidR="00024C0A" w:rsidRDefault="00024C0A">
            <w:pPr>
              <w:pStyle w:val="TableBodyText"/>
            </w:pPr>
          </w:p>
        </w:tc>
      </w:tr>
      <w:tr w:rsidR="00024C0A" w:rsidTr="00024C0A">
        <w:tc>
          <w:tcPr>
            <w:tcW w:w="0" w:type="auto"/>
            <w:vAlign w:val="center"/>
          </w:tcPr>
          <w:p w:rsidR="00024C0A" w:rsidRDefault="00694C0F">
            <w:pPr>
              <w:pStyle w:val="TableBodyText"/>
            </w:pPr>
            <w:r>
              <w:rPr>
                <w:b/>
              </w:rPr>
              <w:t>pyraAcctBkgdNode</w:t>
            </w:r>
            <w:r>
              <w:t xml:space="preserve"> (Pyramid Accent Background Node)</w:t>
            </w:r>
          </w:p>
        </w:tc>
        <w:tc>
          <w:tcPr>
            <w:tcW w:w="0" w:type="auto"/>
            <w:vAlign w:val="center"/>
          </w:tcPr>
          <w:p w:rsidR="00024C0A" w:rsidRDefault="00694C0F">
            <w:pPr>
              <w:pStyle w:val="TableBodyText"/>
            </w:pPr>
            <w:r>
              <w:t xml:space="preserve">Office expects the </w:t>
            </w:r>
            <w:r>
              <w:t>value corresponding to this parameter identifier to be in the range defined by the XML schema string data type.</w:t>
            </w:r>
          </w:p>
          <w:p w:rsidR="00024C0A" w:rsidRDefault="00024C0A">
            <w:pPr>
              <w:pStyle w:val="TableBodyText"/>
            </w:pPr>
          </w:p>
        </w:tc>
      </w:tr>
      <w:tr w:rsidR="00024C0A" w:rsidTr="00024C0A">
        <w:tc>
          <w:tcPr>
            <w:tcW w:w="0" w:type="auto"/>
            <w:vAlign w:val="center"/>
          </w:tcPr>
          <w:p w:rsidR="00024C0A" w:rsidRDefault="00694C0F">
            <w:pPr>
              <w:pStyle w:val="TableBodyText"/>
            </w:pPr>
            <w:r>
              <w:rPr>
                <w:b/>
              </w:rPr>
              <w:t>pyraAcctPos</w:t>
            </w:r>
            <w:r>
              <w:t xml:space="preserve"> (Pyramid Accent Position)</w:t>
            </w:r>
          </w:p>
        </w:tc>
        <w:tc>
          <w:tcPr>
            <w:tcW w:w="0" w:type="auto"/>
            <w:vAlign w:val="center"/>
          </w:tcPr>
          <w:p w:rsidR="00024C0A" w:rsidRDefault="00694C0F">
            <w:pPr>
              <w:pStyle w:val="TableBodyText"/>
            </w:pPr>
            <w:r>
              <w:t>Office uses bef as a default value to correspond to this parameter identifier.</w:t>
            </w:r>
          </w:p>
          <w:p w:rsidR="00024C0A" w:rsidRDefault="00024C0A">
            <w:pPr>
              <w:pStyle w:val="TableBodyText"/>
            </w:pPr>
          </w:p>
          <w:p w:rsidR="00024C0A" w:rsidRDefault="00694C0F">
            <w:pPr>
              <w:pStyle w:val="TableBodyText"/>
            </w:pPr>
            <w:r>
              <w:t>Office expects the value</w:t>
            </w:r>
            <w:r>
              <w:t xml:space="preserve"> corresponding to this parameter identifier to be in the range defined by simple type ST_PyramidAccentPosition.</w:t>
            </w:r>
          </w:p>
          <w:p w:rsidR="00024C0A" w:rsidRDefault="00024C0A">
            <w:pPr>
              <w:pStyle w:val="TableBodyText"/>
            </w:pPr>
          </w:p>
        </w:tc>
      </w:tr>
      <w:tr w:rsidR="00024C0A" w:rsidTr="00024C0A">
        <w:tc>
          <w:tcPr>
            <w:tcW w:w="0" w:type="auto"/>
            <w:vAlign w:val="center"/>
          </w:tcPr>
          <w:p w:rsidR="00024C0A" w:rsidRDefault="00694C0F">
            <w:pPr>
              <w:pStyle w:val="TableBodyText"/>
            </w:pPr>
            <w:r>
              <w:rPr>
                <w:b/>
              </w:rPr>
              <w:t>pyraAcctTxMar</w:t>
            </w:r>
            <w:r>
              <w:t xml:space="preserve"> (Pyramid Accent Text Margin)</w:t>
            </w:r>
          </w:p>
        </w:tc>
        <w:tc>
          <w:tcPr>
            <w:tcW w:w="0" w:type="auto"/>
            <w:vAlign w:val="center"/>
          </w:tcPr>
          <w:p w:rsidR="00024C0A" w:rsidRDefault="00694C0F">
            <w:pPr>
              <w:pStyle w:val="TableBodyText"/>
            </w:pPr>
            <w:r>
              <w:t>Office uses step as a default value to correspond to this parameter identifier.</w:t>
            </w:r>
          </w:p>
          <w:p w:rsidR="00024C0A" w:rsidRDefault="00024C0A">
            <w:pPr>
              <w:pStyle w:val="TableBodyText"/>
            </w:pPr>
          </w:p>
          <w:p w:rsidR="00024C0A" w:rsidRDefault="00694C0F">
            <w:pPr>
              <w:pStyle w:val="TableBodyText"/>
            </w:pPr>
            <w:r>
              <w:t>Office expects the</w:t>
            </w:r>
            <w:r>
              <w:t xml:space="preserve"> value corresponding to this parameter identifier to be in the range defined by simple type ST_PyramidAccentTextMargin.</w:t>
            </w:r>
          </w:p>
          <w:p w:rsidR="00024C0A" w:rsidRDefault="00024C0A">
            <w:pPr>
              <w:pStyle w:val="TableBodyText"/>
            </w:pPr>
          </w:p>
        </w:tc>
      </w:tr>
      <w:tr w:rsidR="00024C0A" w:rsidTr="00024C0A">
        <w:tc>
          <w:tcPr>
            <w:tcW w:w="0" w:type="auto"/>
            <w:vAlign w:val="center"/>
          </w:tcPr>
          <w:p w:rsidR="00024C0A" w:rsidRDefault="00694C0F">
            <w:pPr>
              <w:pStyle w:val="TableBodyText"/>
            </w:pPr>
            <w:r>
              <w:rPr>
                <w:b/>
              </w:rPr>
              <w:t>pyraAcctTxNode</w:t>
            </w:r>
            <w:r>
              <w:t xml:space="preserve"> (Pyramid Accent Text Node)</w:t>
            </w:r>
          </w:p>
        </w:tc>
        <w:tc>
          <w:tcPr>
            <w:tcW w:w="0" w:type="auto"/>
            <w:vAlign w:val="center"/>
          </w:tcPr>
          <w:p w:rsidR="00024C0A" w:rsidRDefault="00694C0F">
            <w:pPr>
              <w:pStyle w:val="TableBodyText"/>
            </w:pPr>
            <w:r>
              <w:t>Office expects the value corresponding to this parameter identifier to be in the range defin</w:t>
            </w:r>
            <w:r>
              <w:t>ed by the XML schema string data type.</w:t>
            </w:r>
          </w:p>
          <w:p w:rsidR="00024C0A" w:rsidRDefault="00024C0A">
            <w:pPr>
              <w:pStyle w:val="TableBodyText"/>
            </w:pPr>
          </w:p>
        </w:tc>
      </w:tr>
      <w:tr w:rsidR="00024C0A" w:rsidTr="00024C0A">
        <w:tc>
          <w:tcPr>
            <w:tcW w:w="0" w:type="auto"/>
            <w:vAlign w:val="center"/>
          </w:tcPr>
          <w:p w:rsidR="00024C0A" w:rsidRDefault="00694C0F">
            <w:pPr>
              <w:pStyle w:val="TableBodyText"/>
            </w:pPr>
            <w:r>
              <w:rPr>
                <w:b/>
              </w:rPr>
              <w:t>pyraLvlNode</w:t>
            </w:r>
            <w:r>
              <w:t xml:space="preserve"> (Pyramid Level </w:t>
            </w:r>
            <w:r>
              <w:lastRenderedPageBreak/>
              <w:t>Node)</w:t>
            </w:r>
          </w:p>
        </w:tc>
        <w:tc>
          <w:tcPr>
            <w:tcW w:w="0" w:type="auto"/>
            <w:vAlign w:val="center"/>
          </w:tcPr>
          <w:p w:rsidR="00024C0A" w:rsidRDefault="00694C0F">
            <w:pPr>
              <w:pStyle w:val="TableBodyText"/>
            </w:pPr>
            <w:r>
              <w:lastRenderedPageBreak/>
              <w:t xml:space="preserve">Office expects the value corresponding to this parameter identifier to be in </w:t>
            </w:r>
            <w:r>
              <w:lastRenderedPageBreak/>
              <w:t>the range defined by the XML schema string data type.</w:t>
            </w:r>
          </w:p>
          <w:p w:rsidR="00024C0A" w:rsidRDefault="00024C0A">
            <w:pPr>
              <w:pStyle w:val="TableBodyText"/>
            </w:pPr>
          </w:p>
        </w:tc>
      </w:tr>
      <w:tr w:rsidR="00024C0A" w:rsidTr="00024C0A">
        <w:tc>
          <w:tcPr>
            <w:tcW w:w="0" w:type="auto"/>
            <w:vAlign w:val="center"/>
          </w:tcPr>
          <w:p w:rsidR="00024C0A" w:rsidRDefault="00694C0F">
            <w:pPr>
              <w:pStyle w:val="TableBodyText"/>
            </w:pPr>
            <w:r>
              <w:rPr>
                <w:b/>
              </w:rPr>
              <w:lastRenderedPageBreak/>
              <w:t>rotPath</w:t>
            </w:r>
            <w:r>
              <w:t xml:space="preserve"> (Rotation Path)</w:t>
            </w:r>
          </w:p>
        </w:tc>
        <w:tc>
          <w:tcPr>
            <w:tcW w:w="0" w:type="auto"/>
            <w:vAlign w:val="center"/>
          </w:tcPr>
          <w:p w:rsidR="00024C0A" w:rsidRDefault="00694C0F">
            <w:pPr>
              <w:pStyle w:val="TableBodyText"/>
            </w:pPr>
            <w:r>
              <w:t>Office uses none as a def</w:t>
            </w:r>
            <w:r>
              <w:t>ault value to correspond to this parameter identifier.</w:t>
            </w:r>
          </w:p>
          <w:p w:rsidR="00024C0A" w:rsidRDefault="00024C0A">
            <w:pPr>
              <w:pStyle w:val="TableBodyText"/>
            </w:pPr>
          </w:p>
          <w:p w:rsidR="00024C0A" w:rsidRDefault="00694C0F">
            <w:pPr>
              <w:pStyle w:val="TableBodyText"/>
            </w:pPr>
            <w:r>
              <w:t>Office expects the value corresponding to this parameter identifier to be in the range defined by simple type ST_RotationPath.</w:t>
            </w:r>
          </w:p>
          <w:p w:rsidR="00024C0A" w:rsidRDefault="00024C0A">
            <w:pPr>
              <w:pStyle w:val="TableBodyText"/>
            </w:pPr>
          </w:p>
        </w:tc>
      </w:tr>
      <w:tr w:rsidR="00024C0A" w:rsidTr="00024C0A">
        <w:tc>
          <w:tcPr>
            <w:tcW w:w="0" w:type="auto"/>
            <w:vAlign w:val="center"/>
          </w:tcPr>
          <w:p w:rsidR="00024C0A" w:rsidRDefault="00694C0F">
            <w:pPr>
              <w:pStyle w:val="TableBodyText"/>
            </w:pPr>
            <w:r>
              <w:rPr>
                <w:b/>
              </w:rPr>
              <w:t>rtShortDist</w:t>
            </w:r>
            <w:r>
              <w:t xml:space="preserve"> (Route Shortest Distance)</w:t>
            </w:r>
          </w:p>
        </w:tc>
        <w:tc>
          <w:tcPr>
            <w:tcW w:w="0" w:type="auto"/>
            <w:vAlign w:val="center"/>
          </w:tcPr>
          <w:p w:rsidR="00024C0A" w:rsidRDefault="00694C0F">
            <w:pPr>
              <w:pStyle w:val="TableBodyText"/>
            </w:pPr>
            <w:r>
              <w:t>Office uses true as a default val</w:t>
            </w:r>
            <w:r>
              <w:t>ue to correspond to this parameter identifier.</w:t>
            </w:r>
          </w:p>
          <w:p w:rsidR="00024C0A" w:rsidRDefault="00024C0A">
            <w:pPr>
              <w:pStyle w:val="TableBodyText"/>
            </w:pPr>
          </w:p>
          <w:p w:rsidR="00024C0A" w:rsidRDefault="00694C0F">
            <w:pPr>
              <w:pStyle w:val="TableBodyText"/>
            </w:pPr>
            <w:r>
              <w:t>Office expects the value corresponding to this parameter identifier to be in the range defined by the XML schema boolean data type.</w:t>
            </w:r>
          </w:p>
          <w:p w:rsidR="00024C0A" w:rsidRDefault="00024C0A">
            <w:pPr>
              <w:pStyle w:val="TableBodyText"/>
            </w:pPr>
          </w:p>
        </w:tc>
      </w:tr>
      <w:tr w:rsidR="00024C0A" w:rsidTr="00024C0A">
        <w:tc>
          <w:tcPr>
            <w:tcW w:w="0" w:type="auto"/>
            <w:vAlign w:val="center"/>
          </w:tcPr>
          <w:p w:rsidR="00024C0A" w:rsidRDefault="00694C0F">
            <w:pPr>
              <w:pStyle w:val="TableBodyText"/>
            </w:pPr>
            <w:r>
              <w:rPr>
                <w:b/>
              </w:rPr>
              <w:t>secChAlign</w:t>
            </w:r>
            <w:r>
              <w:t xml:space="preserve"> (Secondary Child Alignment)</w:t>
            </w:r>
          </w:p>
        </w:tc>
        <w:tc>
          <w:tcPr>
            <w:tcW w:w="0" w:type="auto"/>
            <w:vAlign w:val="center"/>
          </w:tcPr>
          <w:p w:rsidR="00024C0A" w:rsidRDefault="00694C0F">
            <w:pPr>
              <w:pStyle w:val="TableBodyText"/>
            </w:pPr>
            <w:r>
              <w:t>Office uses none as a default value</w:t>
            </w:r>
            <w:r>
              <w:t xml:space="preserve"> to correspond to this parameter identifier.</w:t>
            </w:r>
          </w:p>
          <w:p w:rsidR="00024C0A" w:rsidRDefault="00024C0A">
            <w:pPr>
              <w:pStyle w:val="TableBodyText"/>
            </w:pPr>
          </w:p>
          <w:p w:rsidR="00024C0A" w:rsidRDefault="00694C0F">
            <w:pPr>
              <w:pStyle w:val="TableBodyText"/>
            </w:pPr>
            <w:r>
              <w:t>Office expects the value corresponding to this parameter identifier to be in the range defined by simple type ST_SecondaryChildAlignment.</w:t>
            </w:r>
          </w:p>
          <w:p w:rsidR="00024C0A" w:rsidRDefault="00024C0A">
            <w:pPr>
              <w:pStyle w:val="TableBodyText"/>
            </w:pPr>
          </w:p>
        </w:tc>
      </w:tr>
      <w:tr w:rsidR="00024C0A" w:rsidTr="00024C0A">
        <w:tc>
          <w:tcPr>
            <w:tcW w:w="0" w:type="auto"/>
            <w:vAlign w:val="center"/>
          </w:tcPr>
          <w:p w:rsidR="00024C0A" w:rsidRDefault="00694C0F">
            <w:pPr>
              <w:pStyle w:val="TableBodyText"/>
            </w:pPr>
            <w:r>
              <w:rPr>
                <w:b/>
              </w:rPr>
              <w:t>secLinDir</w:t>
            </w:r>
            <w:r>
              <w:t xml:space="preserve"> (Secondary Linear Direction)</w:t>
            </w:r>
          </w:p>
        </w:tc>
        <w:tc>
          <w:tcPr>
            <w:tcW w:w="0" w:type="auto"/>
            <w:vAlign w:val="center"/>
          </w:tcPr>
          <w:p w:rsidR="00024C0A" w:rsidRDefault="00694C0F">
            <w:pPr>
              <w:pStyle w:val="TableBodyText"/>
            </w:pPr>
            <w:r>
              <w:t xml:space="preserve">Office uses none as a default </w:t>
            </w:r>
            <w:r>
              <w:t>value to correspond to this parameter identifier.</w:t>
            </w:r>
          </w:p>
          <w:p w:rsidR="00024C0A" w:rsidRDefault="00024C0A">
            <w:pPr>
              <w:pStyle w:val="TableBodyText"/>
            </w:pPr>
          </w:p>
          <w:p w:rsidR="00024C0A" w:rsidRDefault="00694C0F">
            <w:pPr>
              <w:pStyle w:val="TableBodyText"/>
            </w:pPr>
            <w:r>
              <w:t>Office expects the value corresponding to this parameter identifier to be in the range defined by simple type ST_SecondaryChildAlignment.</w:t>
            </w:r>
          </w:p>
          <w:p w:rsidR="00024C0A" w:rsidRDefault="00024C0A">
            <w:pPr>
              <w:pStyle w:val="TableBodyText"/>
            </w:pPr>
          </w:p>
        </w:tc>
      </w:tr>
      <w:tr w:rsidR="00024C0A" w:rsidTr="00024C0A">
        <w:tc>
          <w:tcPr>
            <w:tcW w:w="0" w:type="auto"/>
            <w:vAlign w:val="center"/>
          </w:tcPr>
          <w:p w:rsidR="00024C0A" w:rsidRDefault="00694C0F">
            <w:pPr>
              <w:pStyle w:val="TableBodyText"/>
            </w:pPr>
            <w:r>
              <w:rPr>
                <w:b/>
              </w:rPr>
              <w:t>shpTxLTRAlignCh</w:t>
            </w:r>
            <w:r>
              <w:t xml:space="preserve"> (Shape Text Left-to-Right Alignment)</w:t>
            </w:r>
          </w:p>
        </w:tc>
        <w:tc>
          <w:tcPr>
            <w:tcW w:w="0" w:type="auto"/>
            <w:vAlign w:val="center"/>
          </w:tcPr>
          <w:p w:rsidR="00024C0A" w:rsidRDefault="00694C0F">
            <w:pPr>
              <w:pStyle w:val="TableBodyText"/>
            </w:pPr>
            <w:r>
              <w:t xml:space="preserve">Office uses </w:t>
            </w:r>
            <w:r>
              <w:t>l as a default value to correspond to this parameter identifier.</w:t>
            </w:r>
          </w:p>
          <w:p w:rsidR="00024C0A" w:rsidRDefault="00024C0A">
            <w:pPr>
              <w:pStyle w:val="TableBodyText"/>
            </w:pPr>
          </w:p>
          <w:p w:rsidR="00024C0A" w:rsidRDefault="00694C0F">
            <w:pPr>
              <w:pStyle w:val="TableBodyText"/>
            </w:pPr>
            <w:r>
              <w:t>Office expects the value corresponding to this parameter identifier to be in the range defined by simple type ST_TextAlignment.</w:t>
            </w:r>
          </w:p>
          <w:p w:rsidR="00024C0A" w:rsidRDefault="00024C0A">
            <w:pPr>
              <w:pStyle w:val="TableBodyText"/>
            </w:pPr>
          </w:p>
        </w:tc>
      </w:tr>
      <w:tr w:rsidR="00024C0A" w:rsidTr="00024C0A">
        <w:tc>
          <w:tcPr>
            <w:tcW w:w="0" w:type="auto"/>
            <w:vAlign w:val="center"/>
          </w:tcPr>
          <w:p w:rsidR="00024C0A" w:rsidRDefault="00694C0F">
            <w:pPr>
              <w:pStyle w:val="TableBodyText"/>
            </w:pPr>
            <w:r>
              <w:rPr>
                <w:b/>
              </w:rPr>
              <w:t>shpTxRTLAlignCh</w:t>
            </w:r>
            <w:r>
              <w:t xml:space="preserve"> (Shape Text Right-to-Left Alignment)</w:t>
            </w:r>
          </w:p>
        </w:tc>
        <w:tc>
          <w:tcPr>
            <w:tcW w:w="0" w:type="auto"/>
            <w:vAlign w:val="center"/>
          </w:tcPr>
          <w:p w:rsidR="00024C0A" w:rsidRDefault="00694C0F">
            <w:pPr>
              <w:pStyle w:val="TableBodyText"/>
            </w:pPr>
            <w:r>
              <w:t xml:space="preserve">Office </w:t>
            </w:r>
            <w:r>
              <w:t>uses r as a default value to correspond to this parameter identifier.</w:t>
            </w:r>
          </w:p>
          <w:p w:rsidR="00024C0A" w:rsidRDefault="00024C0A">
            <w:pPr>
              <w:pStyle w:val="TableBodyText"/>
            </w:pPr>
          </w:p>
          <w:p w:rsidR="00024C0A" w:rsidRDefault="00694C0F">
            <w:pPr>
              <w:pStyle w:val="TableBodyText"/>
            </w:pPr>
            <w:r>
              <w:t>Office expects the value corresponding to this parameter identifier to be in the range defined by simple type ST_TextAlignment.</w:t>
            </w:r>
          </w:p>
          <w:p w:rsidR="00024C0A" w:rsidRDefault="00024C0A">
            <w:pPr>
              <w:pStyle w:val="TableBodyText"/>
            </w:pPr>
          </w:p>
        </w:tc>
      </w:tr>
      <w:tr w:rsidR="00024C0A" w:rsidTr="00024C0A">
        <w:tc>
          <w:tcPr>
            <w:tcW w:w="0" w:type="auto"/>
            <w:vAlign w:val="center"/>
          </w:tcPr>
          <w:p w:rsidR="00024C0A" w:rsidRDefault="00694C0F">
            <w:pPr>
              <w:pStyle w:val="TableBodyText"/>
            </w:pPr>
            <w:r>
              <w:rPr>
                <w:b/>
              </w:rPr>
              <w:t>spanAng</w:t>
            </w:r>
            <w:r>
              <w:t xml:space="preserve"> (Span Angle)</w:t>
            </w:r>
          </w:p>
        </w:tc>
        <w:tc>
          <w:tcPr>
            <w:tcW w:w="0" w:type="auto"/>
            <w:vAlign w:val="center"/>
          </w:tcPr>
          <w:p w:rsidR="00024C0A" w:rsidRDefault="00694C0F">
            <w:pPr>
              <w:pStyle w:val="TableBodyText"/>
            </w:pPr>
            <w:r>
              <w:t>Office uses 360 as a default value</w:t>
            </w:r>
            <w:r>
              <w:t xml:space="preserve"> to correspond to this parameter identifier.</w:t>
            </w:r>
          </w:p>
          <w:p w:rsidR="00024C0A" w:rsidRDefault="00024C0A">
            <w:pPr>
              <w:pStyle w:val="TableBodyText"/>
            </w:pPr>
          </w:p>
          <w:p w:rsidR="00024C0A" w:rsidRDefault="00694C0F">
            <w:pPr>
              <w:pStyle w:val="TableBodyText"/>
            </w:pPr>
            <w:r>
              <w:t>Office expects the value corresponding to this parameter identifier to be of type XML schema double in the range [-360, 360].</w:t>
            </w:r>
          </w:p>
          <w:p w:rsidR="00024C0A" w:rsidRDefault="00024C0A">
            <w:pPr>
              <w:pStyle w:val="TableBodyText"/>
            </w:pPr>
          </w:p>
        </w:tc>
      </w:tr>
      <w:tr w:rsidR="00024C0A" w:rsidTr="00024C0A">
        <w:tc>
          <w:tcPr>
            <w:tcW w:w="0" w:type="auto"/>
            <w:vAlign w:val="center"/>
          </w:tcPr>
          <w:p w:rsidR="00024C0A" w:rsidRDefault="00694C0F">
            <w:pPr>
              <w:pStyle w:val="TableBodyText"/>
            </w:pPr>
            <w:r>
              <w:rPr>
                <w:b/>
              </w:rPr>
              <w:t>srcNode</w:t>
            </w:r>
            <w:r>
              <w:t xml:space="preserve"> (Source Node)</w:t>
            </w:r>
          </w:p>
        </w:tc>
        <w:tc>
          <w:tcPr>
            <w:tcW w:w="0" w:type="auto"/>
            <w:vAlign w:val="center"/>
          </w:tcPr>
          <w:p w:rsidR="00024C0A" w:rsidRDefault="00694C0F">
            <w:pPr>
              <w:pStyle w:val="TableBodyText"/>
            </w:pPr>
            <w:r>
              <w:t>Office expects the value corresponding to this parameter ide</w:t>
            </w:r>
            <w:r>
              <w:t>ntifier to be in the range defined by the XML schema string data type.</w:t>
            </w:r>
          </w:p>
          <w:p w:rsidR="00024C0A" w:rsidRDefault="00024C0A">
            <w:pPr>
              <w:pStyle w:val="TableBodyText"/>
            </w:pPr>
          </w:p>
        </w:tc>
      </w:tr>
      <w:tr w:rsidR="00024C0A" w:rsidTr="00024C0A">
        <w:tc>
          <w:tcPr>
            <w:tcW w:w="0" w:type="auto"/>
            <w:vAlign w:val="center"/>
          </w:tcPr>
          <w:p w:rsidR="00024C0A" w:rsidRDefault="00694C0F">
            <w:pPr>
              <w:pStyle w:val="TableBodyText"/>
            </w:pPr>
            <w:r>
              <w:rPr>
                <w:b/>
              </w:rPr>
              <w:t>stAng</w:t>
            </w:r>
            <w:r>
              <w:t xml:space="preserve"> (Start Angle)</w:t>
            </w:r>
          </w:p>
        </w:tc>
        <w:tc>
          <w:tcPr>
            <w:tcW w:w="0" w:type="auto"/>
            <w:vAlign w:val="center"/>
          </w:tcPr>
          <w:p w:rsidR="00024C0A" w:rsidRDefault="00694C0F">
            <w:pPr>
              <w:pStyle w:val="TableBodyText"/>
            </w:pPr>
            <w:r>
              <w:t>Office uses 0 as a default value to correspond to this parameter identifier.</w:t>
            </w:r>
          </w:p>
          <w:p w:rsidR="00024C0A" w:rsidRDefault="00024C0A">
            <w:pPr>
              <w:pStyle w:val="TableBodyText"/>
            </w:pPr>
          </w:p>
          <w:p w:rsidR="00024C0A" w:rsidRDefault="00694C0F">
            <w:pPr>
              <w:pStyle w:val="TableBodyText"/>
            </w:pPr>
            <w:r>
              <w:t>Office expects the value corresponding to this parameter identifier to be in the rang</w:t>
            </w:r>
            <w:r>
              <w:t>e defined by the XML schema double data type.</w:t>
            </w:r>
          </w:p>
          <w:p w:rsidR="00024C0A" w:rsidRDefault="00024C0A">
            <w:pPr>
              <w:pStyle w:val="TableBodyText"/>
            </w:pPr>
          </w:p>
        </w:tc>
      </w:tr>
      <w:tr w:rsidR="00024C0A" w:rsidTr="00024C0A">
        <w:tc>
          <w:tcPr>
            <w:tcW w:w="0" w:type="auto"/>
            <w:vAlign w:val="center"/>
          </w:tcPr>
          <w:p w:rsidR="00024C0A" w:rsidRDefault="00694C0F">
            <w:pPr>
              <w:pStyle w:val="TableBodyText"/>
            </w:pPr>
            <w:r>
              <w:rPr>
                <w:b/>
              </w:rPr>
              <w:lastRenderedPageBreak/>
              <w:t>stBulletLvl</w:t>
            </w:r>
            <w:r>
              <w:t xml:space="preserve"> (Start Bullets At Level)</w:t>
            </w:r>
          </w:p>
        </w:tc>
        <w:tc>
          <w:tcPr>
            <w:tcW w:w="0" w:type="auto"/>
            <w:vAlign w:val="center"/>
          </w:tcPr>
          <w:p w:rsidR="00024C0A" w:rsidRDefault="00694C0F">
            <w:pPr>
              <w:pStyle w:val="TableBodyText"/>
            </w:pPr>
            <w:r>
              <w:t>Office uses 2 as a default value to correspond to this parameter identifier.</w:t>
            </w:r>
          </w:p>
          <w:p w:rsidR="00024C0A" w:rsidRDefault="00024C0A">
            <w:pPr>
              <w:pStyle w:val="TableBodyText"/>
            </w:pPr>
          </w:p>
          <w:p w:rsidR="00024C0A" w:rsidRDefault="00694C0F">
            <w:pPr>
              <w:pStyle w:val="TableBodyText"/>
            </w:pPr>
            <w:r>
              <w:t xml:space="preserve">Office expects the value corresponding to this parameter identifier to be of type integer in </w:t>
            </w:r>
            <w:r>
              <w:t>the range [1, 2].</w:t>
            </w:r>
          </w:p>
          <w:p w:rsidR="00024C0A" w:rsidRDefault="00024C0A">
            <w:pPr>
              <w:pStyle w:val="TableBodyText"/>
            </w:pPr>
          </w:p>
        </w:tc>
      </w:tr>
      <w:tr w:rsidR="00024C0A" w:rsidTr="00024C0A">
        <w:tc>
          <w:tcPr>
            <w:tcW w:w="0" w:type="auto"/>
            <w:vAlign w:val="center"/>
          </w:tcPr>
          <w:p w:rsidR="00024C0A" w:rsidRDefault="00694C0F">
            <w:pPr>
              <w:pStyle w:val="TableBodyText"/>
            </w:pPr>
            <w:r>
              <w:rPr>
                <w:b/>
              </w:rPr>
              <w:t>stElem</w:t>
            </w:r>
            <w:r>
              <w:t xml:space="preserve"> (Start Element)</w:t>
            </w:r>
          </w:p>
        </w:tc>
        <w:tc>
          <w:tcPr>
            <w:tcW w:w="0" w:type="auto"/>
            <w:vAlign w:val="center"/>
          </w:tcPr>
          <w:p w:rsidR="00024C0A" w:rsidRDefault="00694C0F">
            <w:pPr>
              <w:pStyle w:val="TableBodyText"/>
            </w:pPr>
            <w:r>
              <w:t>Office uses node as a default value to correspond to this parameter identifier.</w:t>
            </w:r>
          </w:p>
          <w:p w:rsidR="00024C0A" w:rsidRDefault="00024C0A">
            <w:pPr>
              <w:pStyle w:val="TableBodyText"/>
            </w:pPr>
          </w:p>
          <w:p w:rsidR="00024C0A" w:rsidRDefault="00694C0F">
            <w:pPr>
              <w:pStyle w:val="TableBodyText"/>
            </w:pPr>
            <w:r>
              <w:t>Office expects the value corresponding to this parameter identifier to be in the range defined by simple type ST_StartingElement.</w:t>
            </w:r>
          </w:p>
          <w:p w:rsidR="00024C0A" w:rsidRDefault="00024C0A">
            <w:pPr>
              <w:pStyle w:val="TableBodyText"/>
            </w:pPr>
          </w:p>
        </w:tc>
      </w:tr>
      <w:tr w:rsidR="00024C0A" w:rsidTr="00024C0A">
        <w:tc>
          <w:tcPr>
            <w:tcW w:w="0" w:type="auto"/>
            <w:vAlign w:val="center"/>
          </w:tcPr>
          <w:p w:rsidR="00024C0A" w:rsidRDefault="00694C0F">
            <w:pPr>
              <w:pStyle w:val="TableBodyText"/>
            </w:pPr>
            <w:r>
              <w:rPr>
                <w:b/>
              </w:rPr>
              <w:t>txAnchorHorz</w:t>
            </w:r>
            <w:r>
              <w:t xml:space="preserve"> (Text Anchor Horizontal)</w:t>
            </w:r>
          </w:p>
        </w:tc>
        <w:tc>
          <w:tcPr>
            <w:tcW w:w="0" w:type="auto"/>
            <w:vAlign w:val="center"/>
          </w:tcPr>
          <w:p w:rsidR="00024C0A" w:rsidRDefault="00694C0F">
            <w:pPr>
              <w:pStyle w:val="TableBodyText"/>
            </w:pPr>
            <w:r>
              <w:t>Office uses none as a default value to correspond to this parameter identifier.</w:t>
            </w:r>
          </w:p>
          <w:p w:rsidR="00024C0A" w:rsidRDefault="00024C0A">
            <w:pPr>
              <w:pStyle w:val="TableBodyText"/>
            </w:pPr>
          </w:p>
          <w:p w:rsidR="00024C0A" w:rsidRDefault="00694C0F">
            <w:pPr>
              <w:pStyle w:val="TableBodyText"/>
            </w:pPr>
            <w:r>
              <w:t>Office expects the value corresponding to this parameter identifier to be in the range defined by simple type ST_TextAnchorHorizontal.</w:t>
            </w:r>
          </w:p>
          <w:p w:rsidR="00024C0A" w:rsidRDefault="00024C0A">
            <w:pPr>
              <w:pStyle w:val="TableBodyText"/>
            </w:pPr>
          </w:p>
        </w:tc>
      </w:tr>
      <w:tr w:rsidR="00024C0A" w:rsidTr="00024C0A">
        <w:tc>
          <w:tcPr>
            <w:tcW w:w="0" w:type="auto"/>
            <w:vAlign w:val="center"/>
          </w:tcPr>
          <w:p w:rsidR="00024C0A" w:rsidRDefault="00694C0F">
            <w:pPr>
              <w:pStyle w:val="TableBodyText"/>
            </w:pPr>
            <w:r>
              <w:rPr>
                <w:b/>
              </w:rPr>
              <w:t>txAnchorHorzCh</w:t>
            </w:r>
            <w:r>
              <w:t xml:space="preserve"> (Text Anchor Horizontal With Children)</w:t>
            </w:r>
          </w:p>
        </w:tc>
        <w:tc>
          <w:tcPr>
            <w:tcW w:w="0" w:type="auto"/>
            <w:vAlign w:val="center"/>
          </w:tcPr>
          <w:p w:rsidR="00024C0A" w:rsidRDefault="00694C0F">
            <w:pPr>
              <w:pStyle w:val="TableBodyText"/>
            </w:pPr>
            <w:r>
              <w:t>Office uses none as a default value to correspond to this parameter identifier.</w:t>
            </w:r>
          </w:p>
          <w:p w:rsidR="00024C0A" w:rsidRDefault="00024C0A">
            <w:pPr>
              <w:pStyle w:val="TableBodyText"/>
            </w:pPr>
          </w:p>
          <w:p w:rsidR="00024C0A" w:rsidRDefault="00694C0F">
            <w:pPr>
              <w:pStyle w:val="TableBodyText"/>
            </w:pPr>
            <w:r>
              <w:t>Office expects the value corresponding to this parameter identifier to be in the range defined by simple type ST_TextAnch</w:t>
            </w:r>
            <w:r>
              <w:t>orHorizontal.</w:t>
            </w:r>
          </w:p>
          <w:p w:rsidR="00024C0A" w:rsidRDefault="00024C0A">
            <w:pPr>
              <w:pStyle w:val="TableBodyText"/>
            </w:pPr>
          </w:p>
        </w:tc>
      </w:tr>
      <w:tr w:rsidR="00024C0A" w:rsidTr="00024C0A">
        <w:tc>
          <w:tcPr>
            <w:tcW w:w="0" w:type="auto"/>
            <w:vAlign w:val="center"/>
          </w:tcPr>
          <w:p w:rsidR="00024C0A" w:rsidRDefault="00694C0F">
            <w:pPr>
              <w:pStyle w:val="TableBodyText"/>
            </w:pPr>
            <w:r>
              <w:rPr>
                <w:b/>
              </w:rPr>
              <w:t>txAnchorVert</w:t>
            </w:r>
            <w:r>
              <w:t xml:space="preserve"> (Text Anchor Vertical)</w:t>
            </w:r>
          </w:p>
        </w:tc>
        <w:tc>
          <w:tcPr>
            <w:tcW w:w="0" w:type="auto"/>
            <w:vAlign w:val="center"/>
          </w:tcPr>
          <w:p w:rsidR="00024C0A" w:rsidRDefault="00694C0F">
            <w:pPr>
              <w:pStyle w:val="TableBodyText"/>
            </w:pPr>
            <w:r>
              <w:t>Office uses mid as a default value to correspond to this parameter identifier.</w:t>
            </w:r>
          </w:p>
          <w:p w:rsidR="00024C0A" w:rsidRDefault="00024C0A">
            <w:pPr>
              <w:pStyle w:val="TableBodyText"/>
            </w:pPr>
          </w:p>
          <w:p w:rsidR="00024C0A" w:rsidRDefault="00694C0F">
            <w:pPr>
              <w:pStyle w:val="TableBodyText"/>
            </w:pPr>
            <w:r>
              <w:t>Office expects the value corresponding to this parameter identifier to be in the range defined by simple type ST_TextAnchorV</w:t>
            </w:r>
            <w:r>
              <w:t>ertical.</w:t>
            </w:r>
          </w:p>
          <w:p w:rsidR="00024C0A" w:rsidRDefault="00024C0A">
            <w:pPr>
              <w:pStyle w:val="TableBodyText"/>
            </w:pPr>
          </w:p>
        </w:tc>
      </w:tr>
      <w:tr w:rsidR="00024C0A" w:rsidTr="00024C0A">
        <w:tc>
          <w:tcPr>
            <w:tcW w:w="0" w:type="auto"/>
            <w:vAlign w:val="center"/>
          </w:tcPr>
          <w:p w:rsidR="00024C0A" w:rsidRDefault="00694C0F">
            <w:pPr>
              <w:pStyle w:val="TableBodyText"/>
            </w:pPr>
            <w:r>
              <w:rPr>
                <w:b/>
              </w:rPr>
              <w:t>txAnchorVertCh</w:t>
            </w:r>
            <w:r>
              <w:t xml:space="preserve"> (Text Anchor Vertical With Children)</w:t>
            </w:r>
          </w:p>
        </w:tc>
        <w:tc>
          <w:tcPr>
            <w:tcW w:w="0" w:type="auto"/>
            <w:vAlign w:val="center"/>
          </w:tcPr>
          <w:p w:rsidR="00024C0A" w:rsidRDefault="00694C0F">
            <w:pPr>
              <w:pStyle w:val="TableBodyText"/>
            </w:pPr>
            <w:r>
              <w:t>Office uses t as a default value to correspond to this parameter identifier.</w:t>
            </w:r>
          </w:p>
          <w:p w:rsidR="00024C0A" w:rsidRDefault="00024C0A">
            <w:pPr>
              <w:pStyle w:val="TableBodyText"/>
            </w:pPr>
          </w:p>
          <w:p w:rsidR="00024C0A" w:rsidRDefault="00694C0F">
            <w:pPr>
              <w:pStyle w:val="TableBodyText"/>
            </w:pPr>
            <w:r>
              <w:t xml:space="preserve">Office expects the value corresponding to this parameter identifier to be in the range defined by simple type </w:t>
            </w:r>
            <w:r>
              <w:t>ST_TextAnchorVertical.</w:t>
            </w:r>
          </w:p>
          <w:p w:rsidR="00024C0A" w:rsidRDefault="00024C0A">
            <w:pPr>
              <w:pStyle w:val="TableBodyText"/>
            </w:pPr>
          </w:p>
        </w:tc>
      </w:tr>
      <w:tr w:rsidR="00024C0A" w:rsidTr="00024C0A">
        <w:tc>
          <w:tcPr>
            <w:tcW w:w="0" w:type="auto"/>
            <w:vAlign w:val="center"/>
          </w:tcPr>
          <w:p w:rsidR="00024C0A" w:rsidRDefault="00694C0F">
            <w:pPr>
              <w:pStyle w:val="TableBodyText"/>
            </w:pPr>
            <w:r>
              <w:rPr>
                <w:b/>
              </w:rPr>
              <w:t>txBlDir</w:t>
            </w:r>
            <w:r>
              <w:t xml:space="preserve"> (Text Block Direction)</w:t>
            </w:r>
          </w:p>
        </w:tc>
        <w:tc>
          <w:tcPr>
            <w:tcW w:w="0" w:type="auto"/>
            <w:vAlign w:val="center"/>
          </w:tcPr>
          <w:p w:rsidR="00024C0A" w:rsidRDefault="00694C0F">
            <w:pPr>
              <w:pStyle w:val="TableBodyText"/>
            </w:pPr>
            <w:r>
              <w:t>Office uses horz as a default value to correspond to this parameter identifier.</w:t>
            </w:r>
          </w:p>
          <w:p w:rsidR="00024C0A" w:rsidRDefault="00024C0A">
            <w:pPr>
              <w:pStyle w:val="TableBodyText"/>
            </w:pPr>
          </w:p>
          <w:p w:rsidR="00024C0A" w:rsidRDefault="00694C0F">
            <w:pPr>
              <w:pStyle w:val="TableBodyText"/>
            </w:pPr>
            <w:r>
              <w:t>Office expects the value corresponding to this parameter identifier to be in the range defined by simple type ST_TextBl</w:t>
            </w:r>
            <w:r>
              <w:t>ockDirection.</w:t>
            </w:r>
          </w:p>
          <w:p w:rsidR="00024C0A" w:rsidRDefault="00024C0A">
            <w:pPr>
              <w:pStyle w:val="TableBodyText"/>
            </w:pPr>
          </w:p>
        </w:tc>
      </w:tr>
      <w:tr w:rsidR="00024C0A" w:rsidTr="00024C0A">
        <w:tc>
          <w:tcPr>
            <w:tcW w:w="0" w:type="auto"/>
            <w:vAlign w:val="center"/>
          </w:tcPr>
          <w:p w:rsidR="00024C0A" w:rsidRDefault="00694C0F">
            <w:pPr>
              <w:pStyle w:val="TableBodyText"/>
            </w:pPr>
            <w:r>
              <w:rPr>
                <w:b/>
              </w:rPr>
              <w:t>txDir</w:t>
            </w:r>
            <w:r>
              <w:t xml:space="preserve"> (Text Direction)</w:t>
            </w:r>
          </w:p>
        </w:tc>
        <w:tc>
          <w:tcPr>
            <w:tcW w:w="0" w:type="auto"/>
            <w:vAlign w:val="center"/>
          </w:tcPr>
          <w:p w:rsidR="00024C0A" w:rsidRDefault="00694C0F">
            <w:pPr>
              <w:pStyle w:val="TableBodyText"/>
            </w:pPr>
            <w:r>
              <w:t>Office uses fromT as a default value to correspond to this parameter identifier.</w:t>
            </w:r>
          </w:p>
          <w:p w:rsidR="00024C0A" w:rsidRDefault="00024C0A">
            <w:pPr>
              <w:pStyle w:val="TableBodyText"/>
            </w:pPr>
          </w:p>
          <w:p w:rsidR="00024C0A" w:rsidRDefault="00694C0F">
            <w:pPr>
              <w:pStyle w:val="TableBodyText"/>
            </w:pPr>
            <w:r>
              <w:lastRenderedPageBreak/>
              <w:t>Office expects the value corresponding to this parameter identifier to be in the range defined by simple type ST_TextDirection.</w:t>
            </w:r>
          </w:p>
          <w:p w:rsidR="00024C0A" w:rsidRDefault="00024C0A">
            <w:pPr>
              <w:pStyle w:val="TableBodyText"/>
            </w:pPr>
          </w:p>
        </w:tc>
      </w:tr>
      <w:tr w:rsidR="00024C0A" w:rsidTr="00024C0A">
        <w:tc>
          <w:tcPr>
            <w:tcW w:w="0" w:type="auto"/>
            <w:vAlign w:val="center"/>
          </w:tcPr>
          <w:p w:rsidR="00024C0A" w:rsidRDefault="00694C0F">
            <w:pPr>
              <w:pStyle w:val="TableBodyText"/>
            </w:pPr>
            <w:r>
              <w:rPr>
                <w:b/>
              </w:rPr>
              <w:lastRenderedPageBreak/>
              <w:t>vertA</w:t>
            </w:r>
            <w:r>
              <w:rPr>
                <w:b/>
              </w:rPr>
              <w:t>lign</w:t>
            </w:r>
            <w:r>
              <w:t xml:space="preserve"> (Vertical Alignment)</w:t>
            </w:r>
          </w:p>
        </w:tc>
        <w:tc>
          <w:tcPr>
            <w:tcW w:w="0" w:type="auto"/>
            <w:vAlign w:val="center"/>
          </w:tcPr>
          <w:p w:rsidR="00024C0A" w:rsidRDefault="00694C0F">
            <w:pPr>
              <w:pStyle w:val="TableBodyText"/>
            </w:pPr>
            <w:r>
              <w:t>Office uses mid as a default value to correspond to this parameter identifier.</w:t>
            </w:r>
          </w:p>
          <w:p w:rsidR="00024C0A" w:rsidRDefault="00024C0A">
            <w:pPr>
              <w:pStyle w:val="TableBodyText"/>
            </w:pPr>
          </w:p>
          <w:p w:rsidR="00024C0A" w:rsidRDefault="00694C0F">
            <w:pPr>
              <w:pStyle w:val="TableBodyText"/>
            </w:pPr>
            <w:r>
              <w:t>Office expects the value corresponding to this parameter identifier to be in the range defined by simple type ST_VerticalAlignment.</w:t>
            </w:r>
          </w:p>
          <w:p w:rsidR="00024C0A" w:rsidRDefault="00024C0A">
            <w:pPr>
              <w:pStyle w:val="TableBodyText"/>
            </w:pPr>
          </w:p>
        </w:tc>
      </w:tr>
    </w:tbl>
    <w:p w:rsidR="00024C0A" w:rsidRDefault="00024C0A"/>
    <w:p w:rsidR="00024C0A" w:rsidRDefault="00694C0F">
      <w:pPr>
        <w:pStyle w:val="Heading3"/>
      </w:pPr>
      <w:bookmarkStart w:id="3283" w:name="section_f3ca1d613ed0477c868017ac5f2accec"/>
      <w:bookmarkStart w:id="3284" w:name="_Toc12261702"/>
      <w:r>
        <w:t>Part 1 Section 21.4.7.56, ST_SecondaryChildAlignment (Secondary Child Alignment)</w:t>
      </w:r>
      <w:bookmarkEnd w:id="3283"/>
      <w:bookmarkEnd w:id="3284"/>
      <w:r>
        <w:fldChar w:fldCharType="begin"/>
      </w:r>
      <w:r>
        <w:instrText xml:space="preserve"> XE "ST_SecondaryChildAlignment (Secondary Child Alignment)" </w:instrText>
      </w:r>
      <w:r>
        <w:fldChar w:fldCharType="end"/>
      </w:r>
    </w:p>
    <w:p w:rsidR="00024C0A" w:rsidRDefault="00694C0F">
      <w:pPr>
        <w:pStyle w:val="Definition-Field"/>
      </w:pPr>
      <w:r>
        <w:t xml:space="preserve">a.   </w:t>
      </w:r>
      <w:r>
        <w:rPr>
          <w:i/>
        </w:rPr>
        <w:t xml:space="preserve">The standard states that the ST_SecondaryChildAlignment simple type defines different alignment properties </w:t>
      </w:r>
      <w:r>
        <w:rPr>
          <w:i/>
        </w:rPr>
        <w:t>of the both hanging layout type of the hierarchy algorithm.</w:t>
      </w:r>
    </w:p>
    <w:p w:rsidR="00024C0A" w:rsidRDefault="00694C0F">
      <w:pPr>
        <w:pStyle w:val="Definition-Field2"/>
      </w:pPr>
      <w:r>
        <w:t>Office uses this simple type to define secondary alignment preferences to be used in a layout algorithm.</w:t>
      </w:r>
    </w:p>
    <w:p w:rsidR="00024C0A" w:rsidRDefault="00694C0F">
      <w:pPr>
        <w:pStyle w:val="Heading3"/>
      </w:pPr>
      <w:bookmarkStart w:id="3285" w:name="section_9aca776fecc4466e837ede0dff2e505e"/>
      <w:bookmarkStart w:id="3286" w:name="_Toc12261703"/>
      <w:r>
        <w:t>Part 1 Section 21.4.7.57, ST_SecondaryLinearDirection (Secondary Linear Direction)</w:t>
      </w:r>
      <w:bookmarkEnd w:id="3285"/>
      <w:bookmarkEnd w:id="3286"/>
      <w:r>
        <w:fldChar w:fldCharType="begin"/>
      </w:r>
      <w:r>
        <w:instrText xml:space="preserve"> XE "ST_S</w:instrText>
      </w:r>
      <w:r>
        <w:instrText xml:space="preserve">econdaryLinearDirection (Secondary Linear Direction)" </w:instrText>
      </w:r>
      <w:r>
        <w:fldChar w:fldCharType="end"/>
      </w:r>
    </w:p>
    <w:p w:rsidR="00024C0A" w:rsidRDefault="00694C0F">
      <w:pPr>
        <w:pStyle w:val="Definition-Field"/>
      </w:pPr>
      <w:r>
        <w:t xml:space="preserve">a.   </w:t>
      </w:r>
      <w:r>
        <w:rPr>
          <w:i/>
        </w:rPr>
        <w:t>The standard states that the ST_SecondaryLinearDirection simple type defines different directions for the nodes in a both hanging layout in the hierarchy algorithm.</w:t>
      </w:r>
    </w:p>
    <w:p w:rsidR="00024C0A" w:rsidRDefault="00694C0F">
      <w:pPr>
        <w:pStyle w:val="Definition-Field2"/>
      </w:pPr>
      <w:r>
        <w:t xml:space="preserve">Office uses this simple type </w:t>
      </w:r>
      <w:r>
        <w:t>to define different directions for the nodes in a layout algorithm.</w:t>
      </w:r>
    </w:p>
    <w:p w:rsidR="00024C0A" w:rsidRDefault="00694C0F">
      <w:pPr>
        <w:pStyle w:val="Heading3"/>
      </w:pPr>
      <w:bookmarkStart w:id="3287" w:name="section_9c37e55bcb804086b754a2822a74fe98"/>
      <w:bookmarkStart w:id="3288" w:name="_Toc12261704"/>
      <w:r>
        <w:t>Part 1 Section 22.1, Math</w:t>
      </w:r>
      <w:bookmarkEnd w:id="3287"/>
      <w:bookmarkEnd w:id="3288"/>
      <w:r>
        <w:fldChar w:fldCharType="begin"/>
      </w:r>
      <w:r>
        <w:instrText xml:space="preserve"> XE "Math" </w:instrText>
      </w:r>
      <w:r>
        <w:fldChar w:fldCharType="end"/>
      </w:r>
    </w:p>
    <w:p w:rsidR="00024C0A" w:rsidRDefault="00694C0F">
      <w:pPr>
        <w:pStyle w:val="Definition-Field"/>
      </w:pPr>
      <w:r>
        <w:t xml:space="preserve">a.   </w:t>
      </w:r>
      <w:r>
        <w:rPr>
          <w:i/>
        </w:rPr>
        <w:t>The standard specifies that the ruby element is allowed inside math.</w:t>
      </w:r>
    </w:p>
    <w:p w:rsidR="00024C0A" w:rsidRDefault="00694C0F">
      <w:pPr>
        <w:pStyle w:val="Definition-Field2"/>
      </w:pPr>
      <w:r>
        <w:t>Word exhibits unpredictable behavior if the ruby element is included inside</w:t>
      </w:r>
      <w:r>
        <w:t xml:space="preserve"> math, including failing to open the document.</w:t>
      </w:r>
    </w:p>
    <w:p w:rsidR="00024C0A" w:rsidRDefault="00694C0F">
      <w:pPr>
        <w:pStyle w:val="Definition-Field"/>
      </w:pPr>
      <w:r>
        <w:t xml:space="preserve">b.   </w:t>
      </w:r>
      <w:r>
        <w:rPr>
          <w:i/>
        </w:rPr>
        <w:t>The standard specifies that comments are allowed inside math.</w:t>
      </w:r>
    </w:p>
    <w:p w:rsidR="00024C0A" w:rsidRDefault="00694C0F">
      <w:pPr>
        <w:pStyle w:val="Definition-Field2"/>
      </w:pPr>
      <w:r>
        <w:t>In Office, unpredictable behavior occurs when comments are included inside math.</w:t>
      </w:r>
    </w:p>
    <w:p w:rsidR="00024C0A" w:rsidRDefault="00694C0F">
      <w:pPr>
        <w:pStyle w:val="Definition-Field"/>
      </w:pPr>
      <w:r>
        <w:t xml:space="preserve">c.   </w:t>
      </w:r>
      <w:r>
        <w:rPr>
          <w:i/>
        </w:rPr>
        <w:t xml:space="preserve">The standard specifies that the pict element is allowed </w:t>
      </w:r>
      <w:r>
        <w:rPr>
          <w:i/>
        </w:rPr>
        <w:t>inside math.</w:t>
      </w:r>
    </w:p>
    <w:p w:rsidR="00024C0A" w:rsidRDefault="00694C0F">
      <w:pPr>
        <w:pStyle w:val="Definition-Field2"/>
      </w:pPr>
      <w:r>
        <w:t>Word exhibits unpredictable behavior when the pict element is included inside math, including failing to open the document.</w:t>
      </w:r>
    </w:p>
    <w:p w:rsidR="00024C0A" w:rsidRDefault="00694C0F">
      <w:pPr>
        <w:pStyle w:val="Heading3"/>
      </w:pPr>
      <w:bookmarkStart w:id="3289" w:name="section_292bbf0129d446e3953eacb4ebd8d097"/>
      <w:bookmarkStart w:id="3290" w:name="_Toc12261705"/>
      <w:r>
        <w:t>Part 1 Section 22.1.2.1, acc (Accent)</w:t>
      </w:r>
      <w:bookmarkEnd w:id="3289"/>
      <w:bookmarkEnd w:id="3290"/>
      <w:r>
        <w:fldChar w:fldCharType="begin"/>
      </w:r>
      <w:r>
        <w:instrText xml:space="preserve"> XE "acc (Accent)" </w:instrText>
      </w:r>
      <w:r>
        <w:fldChar w:fldCharType="end"/>
      </w:r>
    </w:p>
    <w:p w:rsidR="00024C0A" w:rsidRDefault="00694C0F">
      <w:pPr>
        <w:pStyle w:val="Definition-Field2"/>
      </w:pPr>
      <w:r>
        <w:rPr>
          <w:i/>
        </w:rPr>
        <w:t>For additional notes that apply to this portion of the stand</w:t>
      </w:r>
      <w:r>
        <w:rPr>
          <w:i/>
        </w:rPr>
        <w:t xml:space="preserve">ard, please see the notes for </w:t>
      </w:r>
      <w:hyperlink w:anchor="Section_ab7a0345712e4eef9bcc80c37e68d9bb">
        <w:r>
          <w:rPr>
            <w:rStyle w:val="Hyperlink"/>
          </w:rPr>
          <w:t>oMath, §22.1.2.77(c)</w:t>
        </w:r>
      </w:hyperlink>
      <w:r>
        <w:rPr>
          <w:i/>
        </w:rPr>
        <w:t>.</w:t>
      </w:r>
    </w:p>
    <w:p w:rsidR="00024C0A" w:rsidRDefault="00694C0F">
      <w:pPr>
        <w:pStyle w:val="Heading3"/>
      </w:pPr>
      <w:bookmarkStart w:id="3291" w:name="section_2325459a45fc4ed481f209cf0696c03f"/>
      <w:bookmarkStart w:id="3292" w:name="_Toc12261706"/>
      <w:r>
        <w:t>Part 1 Section 22.1.2.3, aln (Alignment)</w:t>
      </w:r>
      <w:bookmarkEnd w:id="3291"/>
      <w:bookmarkEnd w:id="3292"/>
      <w:r>
        <w:fldChar w:fldCharType="begin"/>
      </w:r>
      <w:r>
        <w:instrText xml:space="preserve"> XE "aln (Alignment)" </w:instrText>
      </w:r>
      <w:r>
        <w:fldChar w:fldCharType="end"/>
      </w:r>
    </w:p>
    <w:p w:rsidR="00024C0A" w:rsidRDefault="00694C0F">
      <w:pPr>
        <w:pStyle w:val="Definition-Field"/>
      </w:pPr>
      <w:r>
        <w:t xml:space="preserve">a.   </w:t>
      </w:r>
      <w:r>
        <w:rPr>
          <w:i/>
        </w:rPr>
        <w:t>The standard states that aln is not used when applied to a box which is</w:t>
      </w:r>
      <w:r>
        <w:rPr>
          <w:i/>
        </w:rPr>
        <w:t xml:space="preserve"> not an operator emulator.</w:t>
      </w:r>
    </w:p>
    <w:p w:rsidR="00024C0A" w:rsidRDefault="00694C0F">
      <w:pPr>
        <w:pStyle w:val="Definition-Field2"/>
      </w:pPr>
      <w:r>
        <w:lastRenderedPageBreak/>
        <w:t>Office does not allow aln to be applied to a box which is not an operator emulator.</w:t>
      </w:r>
    </w:p>
    <w:p w:rsidR="00024C0A" w:rsidRDefault="00694C0F">
      <w:pPr>
        <w:pStyle w:val="Definition-Field"/>
      </w:pPr>
      <w:r>
        <w:t xml:space="preserve">b.   </w:t>
      </w:r>
      <w:r>
        <w:rPr>
          <w:i/>
        </w:rPr>
        <w:t>The standard says aln applies only to the box function even though the schema allows it as a child of math runs.</w:t>
      </w:r>
    </w:p>
    <w:p w:rsidR="00024C0A" w:rsidRDefault="00694C0F">
      <w:pPr>
        <w:pStyle w:val="Definition-Field2"/>
      </w:pPr>
      <w:r>
        <w:t>In Word, the aln element ap</w:t>
      </w:r>
      <w:r>
        <w:t>plies to the box function and to math runs.</w:t>
      </w:r>
    </w:p>
    <w:p w:rsidR="00024C0A" w:rsidRDefault="00694C0F">
      <w:pPr>
        <w:pStyle w:val="Heading3"/>
      </w:pPr>
      <w:bookmarkStart w:id="3293" w:name="section_2d093a56814f4f548b5d6551356e7636"/>
      <w:bookmarkStart w:id="3294" w:name="_Toc12261707"/>
      <w:r>
        <w:t>Part 1 Section 22.1.2.7, bar (Bar)</w:t>
      </w:r>
      <w:bookmarkEnd w:id="3293"/>
      <w:bookmarkEnd w:id="3294"/>
      <w:r>
        <w:fldChar w:fldCharType="begin"/>
      </w:r>
      <w:r>
        <w:instrText xml:space="preserve"> XE "bar (Bar)"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w:t>
        </w:r>
        <w:r>
          <w:rPr>
            <w:rStyle w:val="Hyperlink"/>
          </w:rPr>
          <w:t xml:space="preserve"> §22.1.2.77(c)</w:t>
        </w:r>
      </w:hyperlink>
      <w:r>
        <w:rPr>
          <w:i/>
        </w:rPr>
        <w:t>.</w:t>
      </w:r>
    </w:p>
    <w:p w:rsidR="00024C0A" w:rsidRDefault="00694C0F">
      <w:pPr>
        <w:pStyle w:val="Heading3"/>
      </w:pPr>
      <w:bookmarkStart w:id="3295" w:name="section_fdb9a8e819b248e78ba1f39f9f5e7e0f"/>
      <w:bookmarkStart w:id="3296" w:name="_Toc12261708"/>
      <w:r>
        <w:t>Part 1 Section 22.1.2.8, barPr (Bar Properties)</w:t>
      </w:r>
      <w:bookmarkEnd w:id="3295"/>
      <w:bookmarkEnd w:id="3296"/>
      <w:r>
        <w:fldChar w:fldCharType="begin"/>
      </w:r>
      <w:r>
        <w:instrText xml:space="preserve"> XE "barPr (Bar Properties)" </w:instrText>
      </w:r>
      <w:r>
        <w:fldChar w:fldCharType="end"/>
      </w:r>
    </w:p>
    <w:p w:rsidR="00024C0A" w:rsidRDefault="00694C0F">
      <w:pPr>
        <w:pStyle w:val="Definition-Field"/>
      </w:pPr>
      <w:r>
        <w:t xml:space="preserve">a.   </w:t>
      </w:r>
      <w:r>
        <w:rPr>
          <w:i/>
        </w:rPr>
        <w:t>The standard states that the bar assumes its default location of top (the mathematical overbar) when this element is omitted.</w:t>
      </w:r>
    </w:p>
    <w:p w:rsidR="00024C0A" w:rsidRDefault="00694C0F">
      <w:pPr>
        <w:pStyle w:val="Definition-Field2"/>
      </w:pPr>
      <w:r>
        <w:t>Word uses a default location o</w:t>
      </w:r>
      <w:r>
        <w:t>f bottom (the mathematical underbar) when this element is omitted.</w:t>
      </w:r>
    </w:p>
    <w:p w:rsidR="00024C0A" w:rsidRDefault="00694C0F">
      <w:pPr>
        <w:pStyle w:val="Heading3"/>
      </w:pPr>
      <w:bookmarkStart w:id="3297" w:name="section_db8d16282e6c46e4962ed25e9bab147f"/>
      <w:bookmarkStart w:id="3298" w:name="_Toc12261709"/>
      <w:r>
        <w:t>Part 1 Section 22.1.2.9, baseJc (Matrix Base Justification)</w:t>
      </w:r>
      <w:bookmarkEnd w:id="3297"/>
      <w:bookmarkEnd w:id="3298"/>
      <w:r>
        <w:fldChar w:fldCharType="begin"/>
      </w:r>
      <w:r>
        <w:instrText xml:space="preserve"> XE "baseJc (Matrix Base Justification)" </w:instrText>
      </w:r>
      <w:r>
        <w:fldChar w:fldCharType="end"/>
      </w:r>
    </w:p>
    <w:p w:rsidR="00024C0A" w:rsidRDefault="00694C0F">
      <w:pPr>
        <w:pStyle w:val="Definition-Field"/>
      </w:pPr>
      <w:r>
        <w:t xml:space="preserve">a.   </w:t>
      </w:r>
      <w:r>
        <w:rPr>
          <w:i/>
        </w:rPr>
        <w:t>The standard says that baseJc applies only to matrices even though the schema all</w:t>
      </w:r>
      <w:r>
        <w:rPr>
          <w:i/>
        </w:rPr>
        <w:t>ows it as a child of equation arrays.</w:t>
      </w:r>
    </w:p>
    <w:p w:rsidR="00024C0A" w:rsidRDefault="00694C0F">
      <w:pPr>
        <w:pStyle w:val="Definition-Field2"/>
      </w:pPr>
      <w:r>
        <w:t>In Word, baseJc applies to matrices and equation arrays.</w:t>
      </w:r>
    </w:p>
    <w:p w:rsidR="00024C0A" w:rsidRDefault="00694C0F">
      <w:pPr>
        <w:pStyle w:val="Definition-Field"/>
      </w:pPr>
      <w:r>
        <w:t xml:space="preserve">b.   </w:t>
      </w:r>
      <w:r>
        <w:rPr>
          <w:i/>
        </w:rPr>
        <w:t>The standard does not specify in detail how to align the matrix with the surrounding content.</w:t>
      </w:r>
    </w:p>
    <w:p w:rsidR="00024C0A" w:rsidRDefault="00694C0F">
      <w:pPr>
        <w:pStyle w:val="Definition-Field2"/>
      </w:pPr>
      <w:r>
        <w:t>Word uses baseline alignment to align the matrix with the surr</w:t>
      </w:r>
      <w:r>
        <w:t>ounding content.</w:t>
      </w:r>
    </w:p>
    <w:p w:rsidR="00024C0A" w:rsidRDefault="00694C0F">
      <w:pPr>
        <w:pStyle w:val="Heading3"/>
      </w:pPr>
      <w:bookmarkStart w:id="3299" w:name="section_04b9c6a86b734659894e9b43618ee281"/>
      <w:bookmarkStart w:id="3300" w:name="_Toc12261710"/>
      <w:r>
        <w:t>Part 1 Section 22.1.2.11, borderBox (Border-Box Object)</w:t>
      </w:r>
      <w:bookmarkEnd w:id="3299"/>
      <w:bookmarkEnd w:id="3300"/>
      <w:r>
        <w:fldChar w:fldCharType="begin"/>
      </w:r>
      <w:r>
        <w:instrText xml:space="preserve"> XE "borderBox (Border-Box Object)"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24C0A" w:rsidRDefault="00694C0F">
      <w:pPr>
        <w:pStyle w:val="Heading3"/>
      </w:pPr>
      <w:bookmarkStart w:id="3301" w:name="section_63c8849f1c244a1b94b3e987f4a20e54"/>
      <w:bookmarkStart w:id="3302" w:name="_Toc12261711"/>
      <w:r>
        <w:t>Part 1 Section 22.1.2.13, box (Box Object)</w:t>
      </w:r>
      <w:bookmarkEnd w:id="3301"/>
      <w:bookmarkEnd w:id="3302"/>
      <w:r>
        <w:fldChar w:fldCharType="begin"/>
      </w:r>
      <w:r>
        <w:instrText xml:space="preserve"> XE "box (Box Object)"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24C0A" w:rsidRDefault="00694C0F">
      <w:pPr>
        <w:pStyle w:val="Heading3"/>
      </w:pPr>
      <w:bookmarkStart w:id="3303" w:name="section_9742c999b0654a7091b509d6a6cf99f7"/>
      <w:bookmarkStart w:id="3304" w:name="_Toc12261712"/>
      <w:r>
        <w:t>Part 1 Section 22.1.2.15, brk (Break)</w:t>
      </w:r>
      <w:bookmarkEnd w:id="3303"/>
      <w:bookmarkEnd w:id="3304"/>
      <w:r>
        <w:fldChar w:fldCharType="begin"/>
      </w:r>
      <w:r>
        <w:instrText xml:space="preserve"> XE "brk (Break)" </w:instrText>
      </w:r>
      <w:r>
        <w:fldChar w:fldCharType="end"/>
      </w:r>
    </w:p>
    <w:p w:rsidR="00024C0A" w:rsidRDefault="00694C0F">
      <w:pPr>
        <w:pStyle w:val="Definition-Field"/>
      </w:pPr>
      <w:r>
        <w:t xml:space="preserve">a.   </w:t>
      </w:r>
      <w:r>
        <w:rPr>
          <w:i/>
        </w:rPr>
        <w:t>The standard allows any value for alnAt between 1 and 255.</w:t>
      </w:r>
    </w:p>
    <w:p w:rsidR="00024C0A" w:rsidRDefault="00694C0F">
      <w:pPr>
        <w:pStyle w:val="Definition-Field2"/>
      </w:pPr>
      <w:r>
        <w:t>Word requires the value of alnAt to be less than th</w:t>
      </w:r>
      <w:r>
        <w:t>e index of the first operator in the equation with a manual break.</w:t>
      </w:r>
    </w:p>
    <w:p w:rsidR="00024C0A" w:rsidRDefault="00694C0F">
      <w:pPr>
        <w:pStyle w:val="Definition-Field"/>
      </w:pPr>
      <w:r>
        <w:t xml:space="preserve">b.   </w:t>
      </w:r>
      <w:r>
        <w:rPr>
          <w:i/>
        </w:rPr>
        <w:t>The standard allows brk element to be specified for any math run.</w:t>
      </w:r>
    </w:p>
    <w:p w:rsidR="00024C0A" w:rsidRDefault="00694C0F">
      <w:pPr>
        <w:pStyle w:val="Definition-Field2"/>
      </w:pPr>
      <w:r>
        <w:t>Word ignores brk if it is specified for a math run which does not begin with an operator.</w:t>
      </w:r>
    </w:p>
    <w:p w:rsidR="00024C0A" w:rsidRDefault="00694C0F">
      <w:pPr>
        <w:pStyle w:val="Definition-Field"/>
      </w:pPr>
      <w:r>
        <w:t xml:space="preserve">c.   </w:t>
      </w:r>
      <w:r>
        <w:rPr>
          <w:i/>
        </w:rPr>
        <w:t>The standard says the a</w:t>
      </w:r>
      <w:r>
        <w:rPr>
          <w:i/>
        </w:rPr>
        <w:t>lignAt attribute specifies how to align the current line of the equation with the previous line of the equation.</w:t>
      </w:r>
    </w:p>
    <w:p w:rsidR="00024C0A" w:rsidRDefault="00694C0F">
      <w:pPr>
        <w:pStyle w:val="Definition-Field2"/>
      </w:pPr>
      <w:r>
        <w:t>In Word, the alignAt attribute specifies how to align the current line of the equation with the first line of the equation.</w:t>
      </w:r>
    </w:p>
    <w:p w:rsidR="00024C0A" w:rsidRDefault="00694C0F">
      <w:pPr>
        <w:pStyle w:val="Heading3"/>
      </w:pPr>
      <w:bookmarkStart w:id="3305" w:name="section_3c0b4f327702471e8ffe325a915481b3"/>
      <w:bookmarkStart w:id="3306" w:name="_Toc12261713"/>
      <w:r>
        <w:lastRenderedPageBreak/>
        <w:t>Part 1 Section 22.1</w:t>
      </w:r>
      <w:r>
        <w:t>.2.18, cGp (Matrix Column Gap)</w:t>
      </w:r>
      <w:bookmarkEnd w:id="3305"/>
      <w:bookmarkEnd w:id="3306"/>
      <w:r>
        <w:fldChar w:fldCharType="begin"/>
      </w:r>
      <w:r>
        <w:instrText xml:space="preserve"> XE "cGp (Matrix Column Gap)"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71424b866d3c4173a2027fc4efad6377">
        <w:r>
          <w:rPr>
            <w:rStyle w:val="Hyperlink"/>
          </w:rPr>
          <w:t>ST_UnSignedInteger, §22.1.3.14(a)</w:t>
        </w:r>
      </w:hyperlink>
      <w:r>
        <w:rPr>
          <w:i/>
        </w:rPr>
        <w:t>.</w:t>
      </w:r>
    </w:p>
    <w:p w:rsidR="00024C0A" w:rsidRDefault="00694C0F">
      <w:pPr>
        <w:pStyle w:val="Heading3"/>
      </w:pPr>
      <w:bookmarkStart w:id="3307" w:name="section_371c0b7677f1445f8546de0c5b1ada0d"/>
      <w:bookmarkStart w:id="3308" w:name="_Toc12261714"/>
      <w:r>
        <w:t xml:space="preserve">Part </w:t>
      </w:r>
      <w:r>
        <w:t>1 Section 22.1.2.19, cGpRule (Matrix Column Gap Rule)</w:t>
      </w:r>
      <w:bookmarkEnd w:id="3307"/>
      <w:bookmarkEnd w:id="3308"/>
      <w:r>
        <w:fldChar w:fldCharType="begin"/>
      </w:r>
      <w:r>
        <w:instrText xml:space="preserve"> XE "cGpRule (Matrix Column Gap Rule)"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bc0219213f1f402abccba4d59be53942">
        <w:r>
          <w:rPr>
            <w:rStyle w:val="Hyperlink"/>
          </w:rPr>
          <w:t>rSpRule,</w:t>
        </w:r>
        <w:r>
          <w:rPr>
            <w:rStyle w:val="Hyperlink"/>
          </w:rPr>
          <w:t xml:space="preserve"> §22.1.2.93(a)</w:t>
        </w:r>
      </w:hyperlink>
      <w:r>
        <w:rPr>
          <w:i/>
        </w:rPr>
        <w:t>.</w:t>
      </w:r>
    </w:p>
    <w:p w:rsidR="00024C0A" w:rsidRDefault="00694C0F">
      <w:pPr>
        <w:pStyle w:val="Heading3"/>
      </w:pPr>
      <w:bookmarkStart w:id="3309" w:name="section_905f41bbce9847e0ad41446ce9012042"/>
      <w:bookmarkStart w:id="3310" w:name="_Toc12261715"/>
      <w:r>
        <w:t>Part 1 Section 22.1.2.21, count (Matrix Column Count)</w:t>
      </w:r>
      <w:bookmarkEnd w:id="3309"/>
      <w:bookmarkEnd w:id="3310"/>
      <w:r>
        <w:fldChar w:fldCharType="begin"/>
      </w:r>
      <w:r>
        <w:instrText xml:space="preserve"> XE "count (Matrix Column Count)"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8888801c0ecc48cb8ca4b1b34a8970a3">
        <w:r>
          <w:rPr>
            <w:rStyle w:val="Hyperlink"/>
          </w:rPr>
          <w:t>mr, §22.1.2.69(a)</w:t>
        </w:r>
      </w:hyperlink>
      <w:r>
        <w:rPr>
          <w:i/>
        </w:rPr>
        <w:t>.</w:t>
      </w:r>
    </w:p>
    <w:p w:rsidR="00024C0A" w:rsidRDefault="00694C0F">
      <w:pPr>
        <w:pStyle w:val="Definition-Field"/>
      </w:pPr>
      <w:r>
        <w:t xml:space="preserve">a.   </w:t>
      </w:r>
      <w:r>
        <w:rPr>
          <w:i/>
        </w:rPr>
        <w:t>The standard does not specify how to interpret the matrix column count when the count element is omitted.</w:t>
      </w:r>
    </w:p>
    <w:p w:rsidR="00024C0A" w:rsidRDefault="00694C0F">
      <w:pPr>
        <w:pStyle w:val="Definition-Field2"/>
      </w:pPr>
      <w:r>
        <w:t>Office assumes the matrix column count is 1 when this element is omitted.</w:t>
      </w:r>
    </w:p>
    <w:p w:rsidR="00024C0A" w:rsidRDefault="00694C0F">
      <w:pPr>
        <w:pStyle w:val="Definition-Field"/>
      </w:pPr>
      <w:r>
        <w:t xml:space="preserve">b.   </w:t>
      </w:r>
      <w:r>
        <w:rPr>
          <w:i/>
        </w:rPr>
        <w:t>The standard states that the values of the v</w:t>
      </w:r>
      <w:r>
        <w:rPr>
          <w:i/>
        </w:rPr>
        <w:t>al attribute are defined by ST_Integer255 simple type.</w:t>
      </w:r>
    </w:p>
    <w:p w:rsidR="00024C0A" w:rsidRDefault="00694C0F">
      <w:pPr>
        <w:pStyle w:val="Definition-Field2"/>
      </w:pPr>
      <w:r>
        <w:t>Office restricts the value of this attribute to be at least 1 and at most 64.</w:t>
      </w:r>
    </w:p>
    <w:p w:rsidR="00024C0A" w:rsidRDefault="00694C0F">
      <w:pPr>
        <w:pStyle w:val="Heading3"/>
      </w:pPr>
      <w:bookmarkStart w:id="3311" w:name="section_8c4a5c5e7e6349dd99fdfa57af3ab910"/>
      <w:bookmarkStart w:id="3312" w:name="_Toc12261716"/>
      <w:r>
        <w:t>Part 1 Section 22.1.2.22, cSp (Minimum Matrix Column Width)</w:t>
      </w:r>
      <w:bookmarkEnd w:id="3311"/>
      <w:bookmarkEnd w:id="3312"/>
      <w:r>
        <w:fldChar w:fldCharType="begin"/>
      </w:r>
      <w:r>
        <w:instrText xml:space="preserve"> XE "cSp (Minimum Matrix Column Width)" </w:instrText>
      </w:r>
      <w:r>
        <w:fldChar w:fldCharType="end"/>
      </w:r>
    </w:p>
    <w:p w:rsidR="00024C0A" w:rsidRDefault="00694C0F">
      <w:pPr>
        <w:pStyle w:val="Definition-Field"/>
      </w:pPr>
      <w:r>
        <w:t xml:space="preserve">a.   </w:t>
      </w:r>
      <w:r>
        <w:rPr>
          <w:i/>
        </w:rPr>
        <w:t>The standard sta</w:t>
      </w:r>
      <w:r>
        <w:rPr>
          <w:i/>
        </w:rPr>
        <w:t>tes that the values of the val attribute are defined by the XML unsignedInt datatype.</w:t>
      </w:r>
    </w:p>
    <w:p w:rsidR="00024C0A" w:rsidRDefault="00694C0F">
      <w:pPr>
        <w:pStyle w:val="Definition-Field2"/>
      </w:pPr>
      <w:r>
        <w:t>Office restricts the value of this attribute to be at most 31680 (22").</w:t>
      </w:r>
    </w:p>
    <w:p w:rsidR="00024C0A" w:rsidRDefault="00694C0F">
      <w:pPr>
        <w:pStyle w:val="Heading3"/>
      </w:pPr>
      <w:bookmarkStart w:id="3313" w:name="section_93f2186763064c8b8aa9390d0adc4e3f"/>
      <w:bookmarkStart w:id="3314" w:name="_Toc12261717"/>
      <w:r>
        <w:t>Part 1 Section 22.1.2.23, ctrlPr (Control Properties)</w:t>
      </w:r>
      <w:bookmarkEnd w:id="3313"/>
      <w:bookmarkEnd w:id="3314"/>
      <w:r>
        <w:fldChar w:fldCharType="begin"/>
      </w:r>
      <w:r>
        <w:instrText xml:space="preserve"> XE "ctrlPr (Control Properties)" </w:instrText>
      </w:r>
      <w:r>
        <w:fldChar w:fldCharType="end"/>
      </w:r>
    </w:p>
    <w:p w:rsidR="00024C0A" w:rsidRDefault="00694C0F">
      <w:pPr>
        <w:pStyle w:val="Definition-Field"/>
      </w:pPr>
      <w:r>
        <w:t xml:space="preserve">a.   </w:t>
      </w:r>
      <w:r>
        <w:rPr>
          <w:i/>
        </w:rPr>
        <w:t>The</w:t>
      </w:r>
      <w:r>
        <w:rPr>
          <w:i/>
        </w:rPr>
        <w:t xml:space="preserve"> standard does not specify where character properties of each control character of a math object are saved.</w:t>
      </w:r>
    </w:p>
    <w:p w:rsidR="00024C0A" w:rsidRDefault="00694C0F">
      <w:pPr>
        <w:pStyle w:val="Definition-Field2"/>
      </w:pPr>
      <w:r>
        <w:t>Word saves the character properties of the first control character inside the math object properties tag, while the character properties of the rest</w:t>
      </w:r>
      <w:r>
        <w:t xml:space="preserve"> of the control characters are saved inside the tags of the arguments of the math object.</w:t>
      </w:r>
    </w:p>
    <w:p w:rsidR="00024C0A" w:rsidRDefault="00694C0F">
      <w:pPr>
        <w:pStyle w:val="Heading3"/>
      </w:pPr>
      <w:bookmarkStart w:id="3315" w:name="section_191498ba6db5457c8a5b9fd82726c180"/>
      <w:bookmarkStart w:id="3316" w:name="_Toc12261718"/>
      <w:r>
        <w:t>Part 1 Section 22.1.2.24, d (Delimiter Object)</w:t>
      </w:r>
      <w:bookmarkEnd w:id="3315"/>
      <w:bookmarkEnd w:id="3316"/>
      <w:r>
        <w:fldChar w:fldCharType="begin"/>
      </w:r>
      <w:r>
        <w:instrText xml:space="preserve"> XE "d (Delimiter Object)"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24C0A" w:rsidRDefault="00694C0F">
      <w:pPr>
        <w:pStyle w:val="Definition-Field"/>
      </w:pPr>
      <w:r>
        <w:t xml:space="preserve">a.   </w:t>
      </w:r>
      <w:r>
        <w:rPr>
          <w:i/>
        </w:rPr>
        <w:t>The standard states that the maxOccurs value for the e child element is unbounded.</w:t>
      </w:r>
    </w:p>
    <w:p w:rsidR="00024C0A" w:rsidRDefault="00694C0F">
      <w:pPr>
        <w:pStyle w:val="Definition-Field2"/>
      </w:pPr>
      <w:r>
        <w:t>Word limits the occurrences of this element to 1651564.</w:t>
      </w:r>
    </w:p>
    <w:p w:rsidR="00024C0A" w:rsidRDefault="00694C0F">
      <w:pPr>
        <w:pStyle w:val="Heading3"/>
      </w:pPr>
      <w:bookmarkStart w:id="3317" w:name="section_947f769620974abcb24160d3b70c0911"/>
      <w:bookmarkStart w:id="3318" w:name="_Toc12261719"/>
      <w:r>
        <w:t>Part 1 Section 22.1.2.25, defJc (Default Justification)</w:t>
      </w:r>
      <w:bookmarkEnd w:id="3317"/>
      <w:bookmarkEnd w:id="3318"/>
      <w:r>
        <w:fldChar w:fldCharType="begin"/>
      </w:r>
      <w:r>
        <w:instrText xml:space="preserve"> XE "defJc (Default Justification)" </w:instrText>
      </w:r>
      <w:r>
        <w:fldChar w:fldCharType="end"/>
      </w:r>
    </w:p>
    <w:p w:rsidR="00024C0A" w:rsidRDefault="00694C0F">
      <w:pPr>
        <w:pStyle w:val="Definition-Field"/>
      </w:pPr>
      <w:r>
        <w:t xml:space="preserve">a.   </w:t>
      </w:r>
      <w:r>
        <w:rPr>
          <w:i/>
        </w:rPr>
        <w:t>The standard implies that the val attribute is optional.</w:t>
      </w:r>
    </w:p>
    <w:p w:rsidR="00024C0A" w:rsidRDefault="00694C0F">
      <w:pPr>
        <w:pStyle w:val="Definition-Field2"/>
      </w:pPr>
      <w:r>
        <w:t>Word requires this attribute.</w:t>
      </w:r>
    </w:p>
    <w:p w:rsidR="00024C0A" w:rsidRDefault="00694C0F">
      <w:pPr>
        <w:pStyle w:val="Heading3"/>
      </w:pPr>
      <w:bookmarkStart w:id="3319" w:name="section_a71a37c5c6a148fb9a65ae541c4f878d"/>
      <w:bookmarkStart w:id="3320" w:name="_Toc12261720"/>
      <w:r>
        <w:lastRenderedPageBreak/>
        <w:t>Part 1 Section 22.1.2.26, deg (Degree)</w:t>
      </w:r>
      <w:bookmarkEnd w:id="3319"/>
      <w:bookmarkEnd w:id="3320"/>
      <w:r>
        <w:fldChar w:fldCharType="begin"/>
      </w:r>
      <w:r>
        <w:instrText xml:space="preserve"> XE "deg (Degree)" </w:instrText>
      </w:r>
      <w:r>
        <w:fldChar w:fldCharType="end"/>
      </w:r>
    </w:p>
    <w:p w:rsidR="00024C0A" w:rsidRDefault="00694C0F">
      <w:pPr>
        <w:pStyle w:val="Definition-Field2"/>
      </w:pPr>
      <w:r>
        <w:rPr>
          <w:i/>
        </w:rPr>
        <w:t>For additi</w:t>
      </w:r>
      <w:r>
        <w:rPr>
          <w:i/>
        </w:rPr>
        <w:t xml:space="preserve">onal notes that apply to this portion of the standard, please see the notes for </w:t>
      </w:r>
      <w:hyperlink w:anchor="Section_ab7a0345712e4eef9bcc80c37e68d9bb">
        <w:r>
          <w:rPr>
            <w:rStyle w:val="Hyperlink"/>
          </w:rPr>
          <w:t>oMath, §22.1.2.77(c)</w:t>
        </w:r>
      </w:hyperlink>
      <w:r>
        <w:rPr>
          <w:i/>
        </w:rPr>
        <w:t>.</w:t>
      </w:r>
    </w:p>
    <w:p w:rsidR="00024C0A" w:rsidRDefault="00694C0F">
      <w:pPr>
        <w:pStyle w:val="Heading3"/>
      </w:pPr>
      <w:bookmarkStart w:id="3321" w:name="section_d60fa15bb1d24088bfffc1a7ea5740cd"/>
      <w:bookmarkStart w:id="3322" w:name="_Toc12261721"/>
      <w:r>
        <w:t>Part 1 Section 22.1.2.27, degHide (Hide Degree)</w:t>
      </w:r>
      <w:bookmarkEnd w:id="3321"/>
      <w:bookmarkEnd w:id="3322"/>
      <w:r>
        <w:fldChar w:fldCharType="begin"/>
      </w:r>
      <w:r>
        <w:instrText xml:space="preserve"> XE "degHide (Hide Degree)" </w:instrText>
      </w:r>
      <w:r>
        <w:fldChar w:fldCharType="end"/>
      </w:r>
    </w:p>
    <w:p w:rsidR="00024C0A" w:rsidRDefault="00694C0F">
      <w:pPr>
        <w:pStyle w:val="Definition-Field"/>
      </w:pPr>
      <w:r>
        <w:t xml:space="preserve">a.   </w:t>
      </w:r>
      <w:r>
        <w:rPr>
          <w:i/>
        </w:rPr>
        <w:t>The stan</w:t>
      </w:r>
      <w:r>
        <w:rPr>
          <w:i/>
        </w:rPr>
        <w:t>dard allows degHide to be on when the degree is not empty.</w:t>
      </w:r>
    </w:p>
    <w:p w:rsidR="00024C0A" w:rsidRDefault="00694C0F">
      <w:pPr>
        <w:pStyle w:val="Definition-Field2"/>
      </w:pPr>
      <w:r>
        <w:t>If degHide is on and the degree is not empty, Word displays the contents of the degree in an unexpected place.</w:t>
      </w:r>
    </w:p>
    <w:p w:rsidR="00024C0A" w:rsidRDefault="00694C0F">
      <w:pPr>
        <w:pStyle w:val="Heading3"/>
      </w:pPr>
      <w:bookmarkStart w:id="3323" w:name="section_e36aa76793f24537bb6a04ec27a2603d"/>
      <w:bookmarkStart w:id="3324" w:name="_Toc12261722"/>
      <w:r>
        <w:t>Part 1 Section 22.1.2.28, den (Denominator)</w:t>
      </w:r>
      <w:bookmarkEnd w:id="3323"/>
      <w:bookmarkEnd w:id="3324"/>
      <w:r>
        <w:fldChar w:fldCharType="begin"/>
      </w:r>
      <w:r>
        <w:instrText xml:space="preserve"> XE "den (Denominator)" </w:instrText>
      </w:r>
      <w:r>
        <w:fldChar w:fldCharType="end"/>
      </w:r>
    </w:p>
    <w:p w:rsidR="00024C0A" w:rsidRDefault="00694C0F">
      <w:pPr>
        <w:pStyle w:val="Definition-Field2"/>
      </w:pPr>
      <w:r>
        <w:rPr>
          <w:i/>
        </w:rPr>
        <w:t>For additional n</w:t>
      </w:r>
      <w:r>
        <w:rPr>
          <w:i/>
        </w:rPr>
        <w:t xml:space="preserve">otes that apply to this portion of the standard, please see the notes for </w:t>
      </w:r>
      <w:hyperlink w:anchor="Section_ab7a0345712e4eef9bcc80c37e68d9bb">
        <w:r>
          <w:rPr>
            <w:rStyle w:val="Hyperlink"/>
          </w:rPr>
          <w:t>oMath, §22.1.2.77(c)</w:t>
        </w:r>
      </w:hyperlink>
      <w:r>
        <w:rPr>
          <w:i/>
        </w:rPr>
        <w:t>.</w:t>
      </w:r>
    </w:p>
    <w:p w:rsidR="00024C0A" w:rsidRDefault="00694C0F">
      <w:pPr>
        <w:pStyle w:val="Heading3"/>
      </w:pPr>
      <w:bookmarkStart w:id="3325" w:name="section_3fdde0be3b4d443db3821e648d7219c4"/>
      <w:bookmarkStart w:id="3326" w:name="_Toc12261723"/>
      <w:r>
        <w:t>Part 1 Section 22.1.2.30, dispDef (Use Display Math Defaults)</w:t>
      </w:r>
      <w:bookmarkEnd w:id="3325"/>
      <w:bookmarkEnd w:id="3326"/>
      <w:r>
        <w:fldChar w:fldCharType="begin"/>
      </w:r>
      <w:r>
        <w:instrText xml:space="preserve"> XE "dispDef (Use Display Math Defau</w:instrText>
      </w:r>
      <w:r>
        <w:instrText xml:space="preserve">lts)" </w:instrText>
      </w:r>
      <w:r>
        <w:fldChar w:fldCharType="end"/>
      </w:r>
    </w:p>
    <w:p w:rsidR="00024C0A" w:rsidRDefault="00694C0F">
      <w:pPr>
        <w:pStyle w:val="Definition-Field"/>
      </w:pPr>
      <w:r>
        <w:t xml:space="preserve">a.   </w:t>
      </w:r>
      <w:r>
        <w:rPr>
          <w:i/>
        </w:rPr>
        <w:t>The standard does not specify any effect of the dispDef element.</w:t>
      </w:r>
    </w:p>
    <w:p w:rsidR="00024C0A" w:rsidRDefault="00694C0F">
      <w:pPr>
        <w:pStyle w:val="Definition-Field2"/>
      </w:pPr>
      <w:r>
        <w:t xml:space="preserve">If dispDef is off, Word ignores the following math elements:  defJc, lMargin, rMargin, wrapRight, and wrapIndent.  When these elements are ignored, Word will use the properties </w:t>
      </w:r>
      <w:r>
        <w:t>that are specified by the paragraph settings.</w:t>
      </w:r>
    </w:p>
    <w:p w:rsidR="00024C0A" w:rsidRDefault="00694C0F">
      <w:pPr>
        <w:pStyle w:val="Heading3"/>
      </w:pPr>
      <w:bookmarkStart w:id="3327" w:name="section_c48a2b6342e34d6ab754b47422049f56"/>
      <w:bookmarkStart w:id="3328" w:name="_Toc12261724"/>
      <w:r>
        <w:t>Part 1 Section 22.1.2.32, e (Element (Argument))</w:t>
      </w:r>
      <w:bookmarkEnd w:id="3327"/>
      <w:bookmarkEnd w:id="3328"/>
      <w:r>
        <w:fldChar w:fldCharType="begin"/>
      </w:r>
      <w:r>
        <w:instrText xml:space="preserve"> XE "e (Element (Argument))"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24C0A" w:rsidRDefault="00694C0F">
      <w:pPr>
        <w:pStyle w:val="Heading3"/>
      </w:pPr>
      <w:bookmarkStart w:id="3329" w:name="section_8f2b9c9aaf81400db9d2d86813102b3d"/>
      <w:bookmarkStart w:id="3330" w:name="_Toc12261725"/>
      <w:r>
        <w:t>Part 1 Section 22.1.2.34, eqArr (Array Object)</w:t>
      </w:r>
      <w:bookmarkEnd w:id="3329"/>
      <w:bookmarkEnd w:id="3330"/>
      <w:r>
        <w:fldChar w:fldCharType="begin"/>
      </w:r>
      <w:r>
        <w:instrText xml:space="preserve"> XE "eqArr (Array Object)"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24C0A" w:rsidRDefault="00694C0F">
      <w:pPr>
        <w:pStyle w:val="Definition-Field"/>
      </w:pPr>
      <w:r>
        <w:t xml:space="preserve">a.   </w:t>
      </w:r>
      <w:r>
        <w:rPr>
          <w:i/>
        </w:rPr>
        <w:t>The standard states that the maxOccurs value for the e child element is unbounded.</w:t>
      </w:r>
    </w:p>
    <w:p w:rsidR="00024C0A" w:rsidRDefault="00694C0F">
      <w:pPr>
        <w:pStyle w:val="Definition-Field2"/>
      </w:pPr>
      <w:r>
        <w:t>Word limits the occurrences of this element to 64.</w:t>
      </w:r>
    </w:p>
    <w:p w:rsidR="00024C0A" w:rsidRDefault="00694C0F">
      <w:pPr>
        <w:pStyle w:val="Heading3"/>
      </w:pPr>
      <w:bookmarkStart w:id="3331" w:name="section_7c29cbd83f0c4281ae04fc97a81be129"/>
      <w:bookmarkStart w:id="3332" w:name="_Toc12261726"/>
      <w:r>
        <w:t>Part 1 Section 22.1.2.36, f (Fraction Object)</w:t>
      </w:r>
      <w:bookmarkEnd w:id="3331"/>
      <w:bookmarkEnd w:id="3332"/>
      <w:r>
        <w:fldChar w:fldCharType="begin"/>
      </w:r>
      <w:r>
        <w:instrText xml:space="preserve"> XE "f (Fraction Object)" </w:instrText>
      </w:r>
      <w:r>
        <w:fldChar w:fldCharType="end"/>
      </w:r>
    </w:p>
    <w:p w:rsidR="00024C0A" w:rsidRDefault="00694C0F">
      <w:pPr>
        <w:pStyle w:val="Definition-Field2"/>
      </w:pPr>
      <w:r>
        <w:rPr>
          <w:i/>
        </w:rPr>
        <w:t>For</w:t>
      </w:r>
      <w:r>
        <w:rPr>
          <w:i/>
        </w:rPr>
        <w:t xml:space="preserve"> additional notes that apply to this portion of the standard, please see the notes for </w:t>
      </w:r>
      <w:hyperlink w:anchor="Section_ab7a0345712e4eef9bcc80c37e68d9bb">
        <w:r>
          <w:rPr>
            <w:rStyle w:val="Hyperlink"/>
          </w:rPr>
          <w:t>oMath, §22.1.2.77(c)</w:t>
        </w:r>
      </w:hyperlink>
      <w:r>
        <w:rPr>
          <w:i/>
        </w:rPr>
        <w:t>.</w:t>
      </w:r>
    </w:p>
    <w:p w:rsidR="00024C0A" w:rsidRDefault="00694C0F">
      <w:pPr>
        <w:pStyle w:val="Heading3"/>
      </w:pPr>
      <w:bookmarkStart w:id="3333" w:name="section_a9e1349479034e899e2592bccc61e724"/>
      <w:bookmarkStart w:id="3334" w:name="_Toc12261727"/>
      <w:r>
        <w:t>Part 1 Section 22.1.2.37, fName (Function Name)</w:t>
      </w:r>
      <w:bookmarkEnd w:id="3333"/>
      <w:bookmarkEnd w:id="3334"/>
      <w:r>
        <w:fldChar w:fldCharType="begin"/>
      </w:r>
      <w:r>
        <w:instrText xml:space="preserve"> XE "fName (Function Name)" </w:instrText>
      </w:r>
      <w:r>
        <w:fldChar w:fldCharType="end"/>
      </w:r>
    </w:p>
    <w:p w:rsidR="00024C0A" w:rsidRDefault="00694C0F">
      <w:pPr>
        <w:pStyle w:val="Definition-Field2"/>
      </w:pPr>
      <w:r>
        <w:rPr>
          <w:i/>
        </w:rPr>
        <w:t>For ad</w:t>
      </w:r>
      <w:r>
        <w:rPr>
          <w:i/>
        </w:rPr>
        <w:t xml:space="preserve">ditional notes that apply to this portion of the standard, please see the notes for </w:t>
      </w:r>
      <w:hyperlink w:anchor="Section_ab7a0345712e4eef9bcc80c37e68d9bb">
        <w:r>
          <w:rPr>
            <w:rStyle w:val="Hyperlink"/>
          </w:rPr>
          <w:t>oMath, §22.1.2.77(c)</w:t>
        </w:r>
      </w:hyperlink>
      <w:r>
        <w:rPr>
          <w:i/>
        </w:rPr>
        <w:t>.</w:t>
      </w:r>
    </w:p>
    <w:p w:rsidR="00024C0A" w:rsidRDefault="00694C0F">
      <w:pPr>
        <w:pStyle w:val="Heading3"/>
      </w:pPr>
      <w:bookmarkStart w:id="3335" w:name="section_762ae7b5f1cd472aa836ebd7158c79ce"/>
      <w:bookmarkStart w:id="3336" w:name="_Toc12261728"/>
      <w:r>
        <w:t>Part 1 Section 22.1.2.39, func (Function Apply Object)</w:t>
      </w:r>
      <w:bookmarkEnd w:id="3335"/>
      <w:bookmarkEnd w:id="3336"/>
      <w:r>
        <w:fldChar w:fldCharType="begin"/>
      </w:r>
      <w:r>
        <w:instrText xml:space="preserve"> XE "func (Function Apply Object)"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24C0A" w:rsidRDefault="00694C0F">
      <w:pPr>
        <w:pStyle w:val="Heading3"/>
      </w:pPr>
      <w:bookmarkStart w:id="3337" w:name="section_db588d6af7ca414ab301cefba8fd3e79"/>
      <w:bookmarkStart w:id="3338" w:name="_Toc12261729"/>
      <w:r>
        <w:lastRenderedPageBreak/>
        <w:t>Part 1 Section 22.1.2.41, groupChr (Group-C</w:t>
      </w:r>
      <w:r>
        <w:t>haracter Object)</w:t>
      </w:r>
      <w:bookmarkEnd w:id="3337"/>
      <w:bookmarkEnd w:id="3338"/>
      <w:r>
        <w:fldChar w:fldCharType="begin"/>
      </w:r>
      <w:r>
        <w:instrText xml:space="preserve"> XE "groupChr (Group-Character Object)"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24C0A" w:rsidRDefault="00694C0F">
      <w:pPr>
        <w:pStyle w:val="Heading3"/>
      </w:pPr>
      <w:bookmarkStart w:id="3339" w:name="section_9700c97afe254445b04a4d3604e64334"/>
      <w:bookmarkStart w:id="3340" w:name="_Toc12261730"/>
      <w:r>
        <w:t>Part 1 Section 22.1.2.43, grow (n-ary Grow)</w:t>
      </w:r>
      <w:bookmarkEnd w:id="3339"/>
      <w:bookmarkEnd w:id="3340"/>
      <w:r>
        <w:fldChar w:fldCharType="begin"/>
      </w:r>
      <w:r>
        <w:instrText xml:space="preserve"> XE "grow (n-ary Grow)" </w:instrText>
      </w:r>
      <w:r>
        <w:fldChar w:fldCharType="end"/>
      </w:r>
    </w:p>
    <w:p w:rsidR="00024C0A" w:rsidRDefault="00694C0F">
      <w:pPr>
        <w:pStyle w:val="Definition-Field"/>
      </w:pPr>
      <w:r>
        <w:t xml:space="preserve">a.   </w:t>
      </w:r>
      <w:r>
        <w:rPr>
          <w:i/>
        </w:rPr>
        <w:t>The standard states that the grow element applies only to n-ary objects.</w:t>
      </w:r>
    </w:p>
    <w:p w:rsidR="00024C0A" w:rsidRDefault="00694C0F">
      <w:pPr>
        <w:pStyle w:val="Definition-Field2"/>
      </w:pPr>
      <w:r>
        <w:t>Office applies the grow element to n-ary objects and delimiter objects.</w:t>
      </w:r>
    </w:p>
    <w:p w:rsidR="00024C0A" w:rsidRDefault="00694C0F">
      <w:pPr>
        <w:pStyle w:val="Definition-Field"/>
      </w:pPr>
      <w:r>
        <w:t xml:space="preserve">b.   </w:t>
      </w:r>
      <w:r>
        <w:rPr>
          <w:i/>
        </w:rPr>
        <w:t>The standard states that the gr</w:t>
      </w:r>
      <w:r>
        <w:rPr>
          <w:i/>
        </w:rPr>
        <w:t>ow element operates at the document level.</w:t>
      </w:r>
    </w:p>
    <w:p w:rsidR="00024C0A" w:rsidRDefault="00694C0F">
      <w:pPr>
        <w:pStyle w:val="Definition-Field2"/>
      </w:pPr>
      <w:r>
        <w:t>In Office, the grow element operates at the object level.</w:t>
      </w:r>
    </w:p>
    <w:p w:rsidR="00024C0A" w:rsidRDefault="00694C0F">
      <w:pPr>
        <w:pStyle w:val="Heading3"/>
      </w:pPr>
      <w:bookmarkStart w:id="3341" w:name="section_ac1def597ec641b0b012430cbf3d235b"/>
      <w:bookmarkStart w:id="3342" w:name="_Toc12261731"/>
      <w:r>
        <w:t>Part 1 Section 22.1.2.48, interSp (Inter-Equation Spacing)</w:t>
      </w:r>
      <w:bookmarkEnd w:id="3341"/>
      <w:bookmarkEnd w:id="3342"/>
      <w:r>
        <w:fldChar w:fldCharType="begin"/>
      </w:r>
      <w:r>
        <w:instrText xml:space="preserve"> XE "interSp (Inter-Equation Spacing)" </w:instrText>
      </w:r>
      <w:r>
        <w:fldChar w:fldCharType="end"/>
      </w:r>
    </w:p>
    <w:p w:rsidR="00024C0A" w:rsidRDefault="00694C0F">
      <w:pPr>
        <w:pStyle w:val="Definition-Field"/>
      </w:pPr>
      <w:r>
        <w:t xml:space="preserve">a.   </w:t>
      </w:r>
      <w:r>
        <w:rPr>
          <w:i/>
        </w:rPr>
        <w:t>The standard specifies the presence of the interSp</w:t>
      </w:r>
      <w:r>
        <w:rPr>
          <w:i/>
        </w:rPr>
        <w:t xml:space="preserve"> attribute.</w:t>
      </w:r>
    </w:p>
    <w:p w:rsidR="00024C0A" w:rsidRDefault="00694C0F">
      <w:pPr>
        <w:pStyle w:val="Definition-Field2"/>
      </w:pPr>
      <w:r>
        <w:t>Word ignores the interSp attribute and fails to write it back out.</w:t>
      </w:r>
    </w:p>
    <w:p w:rsidR="00024C0A" w:rsidRDefault="00694C0F">
      <w:pPr>
        <w:pStyle w:val="Heading3"/>
      </w:pPr>
      <w:bookmarkStart w:id="3343" w:name="section_e300be7298e0421cb1c6a8d380e511a4"/>
      <w:bookmarkStart w:id="3344" w:name="_Toc12261732"/>
      <w:r>
        <w:t>Part 1 Section 22.1.2.49, intLim (Integral Limit Locations)</w:t>
      </w:r>
      <w:bookmarkEnd w:id="3343"/>
      <w:bookmarkEnd w:id="3344"/>
      <w:r>
        <w:fldChar w:fldCharType="begin"/>
      </w:r>
      <w:r>
        <w:instrText xml:space="preserve"> XE "intLim (Integral Limit Locations)" </w:instrText>
      </w:r>
      <w:r>
        <w:fldChar w:fldCharType="end"/>
      </w:r>
    </w:p>
    <w:p w:rsidR="00024C0A" w:rsidRDefault="00694C0F">
      <w:pPr>
        <w:pStyle w:val="Definition-Field"/>
      </w:pPr>
      <w:r>
        <w:t xml:space="preserve">a.   </w:t>
      </w:r>
      <w:r>
        <w:rPr>
          <w:i/>
        </w:rPr>
        <w:t>The standard says intLim specifies limit placement when converting fro</w:t>
      </w:r>
      <w:r>
        <w:rPr>
          <w:i/>
        </w:rPr>
        <w:t>m linear format.</w:t>
      </w:r>
    </w:p>
    <w:p w:rsidR="00024C0A" w:rsidRDefault="00694C0F">
      <w:pPr>
        <w:pStyle w:val="Definition-Field2"/>
      </w:pPr>
      <w:r>
        <w:t>In Word, naryLim specifies limit placement when limLoc is omitted as well as limit placement when converting from linear format.</w:t>
      </w:r>
    </w:p>
    <w:p w:rsidR="00024C0A" w:rsidRDefault="00694C0F">
      <w:pPr>
        <w:pStyle w:val="Heading3"/>
      </w:pPr>
      <w:bookmarkStart w:id="3345" w:name="section_0a68ce910df044e48b4807dc432a7dee"/>
      <w:bookmarkStart w:id="3346" w:name="_Toc12261733"/>
      <w:r>
        <w:t>Part 1 Section 22.1.2.50, intraSp (Intra-Equation Spacing)</w:t>
      </w:r>
      <w:bookmarkEnd w:id="3345"/>
      <w:bookmarkEnd w:id="3346"/>
      <w:r>
        <w:fldChar w:fldCharType="begin"/>
      </w:r>
      <w:r>
        <w:instrText xml:space="preserve"> XE "intraSp (Intra-Equation Spacing)" </w:instrText>
      </w:r>
      <w:r>
        <w:fldChar w:fldCharType="end"/>
      </w:r>
    </w:p>
    <w:p w:rsidR="00024C0A" w:rsidRDefault="00694C0F">
      <w:pPr>
        <w:pStyle w:val="Definition-Field"/>
      </w:pPr>
      <w:r>
        <w:t xml:space="preserve">a.   </w:t>
      </w:r>
      <w:r>
        <w:rPr>
          <w:i/>
        </w:rPr>
        <w:t>The s</w:t>
      </w:r>
      <w:r>
        <w:rPr>
          <w:i/>
        </w:rPr>
        <w:t>tandard states that the intraSp element specifies the spacing between adjacent display math paragraphs, in twips.</w:t>
      </w:r>
    </w:p>
    <w:p w:rsidR="00024C0A" w:rsidRDefault="00694C0F">
      <w:pPr>
        <w:pStyle w:val="Definition-Field2"/>
      </w:pPr>
      <w:r>
        <w:t>Word does not implement this feature and does not write the intraSp element.</w:t>
      </w:r>
    </w:p>
    <w:p w:rsidR="00024C0A" w:rsidRDefault="00694C0F">
      <w:pPr>
        <w:pStyle w:val="Heading3"/>
      </w:pPr>
      <w:bookmarkStart w:id="3347" w:name="section_6d78a918a0224b93b9a3e4f85ff43e00"/>
      <w:bookmarkStart w:id="3348" w:name="_Toc12261734"/>
      <w:r>
        <w:t>Part 1 Section 22.1.2.51, jc (Justification)</w:t>
      </w:r>
      <w:bookmarkEnd w:id="3347"/>
      <w:bookmarkEnd w:id="3348"/>
      <w:r>
        <w:fldChar w:fldCharType="begin"/>
      </w:r>
      <w:r>
        <w:instrText xml:space="preserve"> XE "jc (Justificatio</w:instrText>
      </w:r>
      <w:r>
        <w:instrText xml:space="preserve">n)"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947f769620974abcb24160d3b70c0911">
        <w:r>
          <w:rPr>
            <w:rStyle w:val="Hyperlink"/>
          </w:rPr>
          <w:t>defJc, §22.1.2.25(a)</w:t>
        </w:r>
      </w:hyperlink>
      <w:r>
        <w:rPr>
          <w:i/>
        </w:rPr>
        <w:t>.</w:t>
      </w:r>
    </w:p>
    <w:p w:rsidR="00024C0A" w:rsidRDefault="00694C0F">
      <w:pPr>
        <w:pStyle w:val="Definition-Field"/>
      </w:pPr>
      <w:r>
        <w:t xml:space="preserve">a.   </w:t>
      </w:r>
      <w:r>
        <w:rPr>
          <w:i/>
        </w:rPr>
        <w:t>The standard says that if jc is omitted, the math paragraph is Center</w:t>
      </w:r>
      <w:r>
        <w:rPr>
          <w:i/>
        </w:rPr>
        <w:t>ed as Group.</w:t>
      </w:r>
    </w:p>
    <w:p w:rsidR="00024C0A" w:rsidRDefault="00694C0F">
      <w:pPr>
        <w:pStyle w:val="Definition-Field2"/>
      </w:pPr>
      <w:r>
        <w:t>In Word, if jc is omitted, the value is taken from the document default defJc.</w:t>
      </w:r>
    </w:p>
    <w:p w:rsidR="00024C0A" w:rsidRDefault="00694C0F">
      <w:pPr>
        <w:pStyle w:val="Heading3"/>
      </w:pPr>
      <w:bookmarkStart w:id="3349" w:name="section_76f92d20f41e48d9a6fc0de5733f477a"/>
      <w:bookmarkStart w:id="3350" w:name="_Toc12261735"/>
      <w:r>
        <w:t>Part 1 Section 22.1.2.52, lim (Limit)</w:t>
      </w:r>
      <w:bookmarkEnd w:id="3349"/>
      <w:bookmarkEnd w:id="3350"/>
      <w:r>
        <w:fldChar w:fldCharType="begin"/>
      </w:r>
      <w:r>
        <w:instrText xml:space="preserve"> XE "lim (Limit)"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24C0A" w:rsidRDefault="00694C0F">
      <w:pPr>
        <w:pStyle w:val="Definition-Field"/>
      </w:pPr>
      <w:r>
        <w:t xml:space="preserve">a.   </w:t>
      </w:r>
      <w:r>
        <w:rPr>
          <w:i/>
        </w:rPr>
        <w:t>The standard states that lim specifies the lower limit even though the schema also includes it as a child of the upper limit.</w:t>
      </w:r>
    </w:p>
    <w:p w:rsidR="00024C0A" w:rsidRDefault="00694C0F">
      <w:pPr>
        <w:pStyle w:val="Definition-Field2"/>
      </w:pPr>
      <w:r>
        <w:t>In Word, lim specifies the lower limit or upper limit.</w:t>
      </w:r>
    </w:p>
    <w:p w:rsidR="00024C0A" w:rsidRDefault="00694C0F">
      <w:pPr>
        <w:pStyle w:val="Heading3"/>
      </w:pPr>
      <w:bookmarkStart w:id="3351" w:name="section_d4e1a069839f40fa8010281af148c209"/>
      <w:bookmarkStart w:id="3352" w:name="_Toc12261736"/>
      <w:r>
        <w:lastRenderedPageBreak/>
        <w:t>P</w:t>
      </w:r>
      <w:r>
        <w:t>art 1 Section 22.1.2.54, limLow (Lower-Limit Object)</w:t>
      </w:r>
      <w:bookmarkEnd w:id="3351"/>
      <w:bookmarkEnd w:id="3352"/>
      <w:r>
        <w:fldChar w:fldCharType="begin"/>
      </w:r>
      <w:r>
        <w:instrText xml:space="preserve"> XE "limLow (Lower-Limit Object)"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 xml:space="preserve">oMath, </w:t>
        </w:r>
        <w:r>
          <w:rPr>
            <w:rStyle w:val="Hyperlink"/>
          </w:rPr>
          <w:t>§22.1.2.77(c)</w:t>
        </w:r>
      </w:hyperlink>
      <w:r>
        <w:rPr>
          <w:i/>
        </w:rPr>
        <w:t>.</w:t>
      </w:r>
    </w:p>
    <w:p w:rsidR="00024C0A" w:rsidRDefault="00694C0F">
      <w:pPr>
        <w:pStyle w:val="Heading3"/>
      </w:pPr>
      <w:bookmarkStart w:id="3353" w:name="section_ea84aac10fc148abbcb96b67689d0a1a"/>
      <w:bookmarkStart w:id="3354" w:name="_Toc12261737"/>
      <w:r>
        <w:t>Part 1 Section 22.1.2.56, limUpp (Upper-Limit Object)</w:t>
      </w:r>
      <w:bookmarkEnd w:id="3353"/>
      <w:bookmarkEnd w:id="3354"/>
      <w:r>
        <w:fldChar w:fldCharType="begin"/>
      </w:r>
      <w:r>
        <w:instrText xml:space="preserve"> XE "limUpp (Upper-Limit Object)"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24C0A" w:rsidRDefault="00694C0F">
      <w:pPr>
        <w:pStyle w:val="Heading3"/>
      </w:pPr>
      <w:bookmarkStart w:id="3355" w:name="section_5ebe64dcdfd043959169450bd428ae63"/>
      <w:bookmarkStart w:id="3356" w:name="_Toc12261738"/>
      <w:r>
        <w:t>Part 1 Section 22.1.2.60, m (Matrix Object)</w:t>
      </w:r>
      <w:bookmarkEnd w:id="3355"/>
      <w:bookmarkEnd w:id="3356"/>
      <w:r>
        <w:fldChar w:fldCharType="begin"/>
      </w:r>
      <w:r>
        <w:instrText xml:space="preserve"> XE "m (Matrix Object)"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 §2</w:t>
        </w:r>
        <w:r>
          <w:rPr>
            <w:rStyle w:val="Hyperlink"/>
          </w:rPr>
          <w:t>2.1.2.77(c)</w:t>
        </w:r>
      </w:hyperlink>
      <w:r>
        <w:rPr>
          <w:i/>
        </w:rPr>
        <w:t>.</w:t>
      </w:r>
    </w:p>
    <w:p w:rsidR="00024C0A" w:rsidRDefault="00694C0F">
      <w:pPr>
        <w:pStyle w:val="Definition-Field"/>
      </w:pPr>
      <w:r>
        <w:t xml:space="preserve">a.   </w:t>
      </w:r>
      <w:r>
        <w:rPr>
          <w:i/>
        </w:rPr>
        <w:t>The standard states that the maxOccurs value for the mr child element is unbounded.</w:t>
      </w:r>
    </w:p>
    <w:p w:rsidR="00024C0A" w:rsidRDefault="00694C0F">
      <w:pPr>
        <w:pStyle w:val="Definition-Field2"/>
      </w:pPr>
      <w:r>
        <w:t>Word limits the occurrences of this element to 256.</w:t>
      </w:r>
    </w:p>
    <w:p w:rsidR="00024C0A" w:rsidRDefault="00694C0F">
      <w:pPr>
        <w:pStyle w:val="Heading3"/>
      </w:pPr>
      <w:bookmarkStart w:id="3357" w:name="section_859a8ba5a34c4eacbfbed0f7049d52d7"/>
      <w:bookmarkStart w:id="3358" w:name="_Toc12261739"/>
      <w:r>
        <w:t>Part 1 Section 22.1.2.61, mathFont (Math Font)</w:t>
      </w:r>
      <w:bookmarkEnd w:id="3357"/>
      <w:bookmarkEnd w:id="3358"/>
      <w:r>
        <w:fldChar w:fldCharType="begin"/>
      </w:r>
      <w:r>
        <w:instrText xml:space="preserve"> XE "mathFont (Math Font)" </w:instrText>
      </w:r>
      <w:r>
        <w:fldChar w:fldCharType="end"/>
      </w:r>
    </w:p>
    <w:p w:rsidR="00024C0A" w:rsidRDefault="00694C0F">
      <w:pPr>
        <w:pStyle w:val="Definition-Field"/>
      </w:pPr>
      <w:r>
        <w:t xml:space="preserve">a.   </w:t>
      </w:r>
      <w:r>
        <w:rPr>
          <w:i/>
        </w:rPr>
        <w:t>The standard does not</w:t>
      </w:r>
      <w:r>
        <w:rPr>
          <w:i/>
        </w:rPr>
        <w:t xml:space="preserve"> limit the length of the value of the val attribute.</w:t>
      </w:r>
    </w:p>
    <w:p w:rsidR="00024C0A" w:rsidRDefault="00694C0F">
      <w:pPr>
        <w:pStyle w:val="Definition-Field2"/>
      </w:pPr>
      <w:r>
        <w:t>Word restricts the value of this attribute to be at most 31 characters.</w:t>
      </w:r>
    </w:p>
    <w:p w:rsidR="00024C0A" w:rsidRDefault="00694C0F">
      <w:pPr>
        <w:pStyle w:val="Definition-Field"/>
      </w:pPr>
      <w:r>
        <w:t xml:space="preserve">b.   </w:t>
      </w:r>
      <w:r>
        <w:rPr>
          <w:i/>
        </w:rPr>
        <w:t>The standard says that the mathFont property is the default math font.</w:t>
      </w:r>
    </w:p>
    <w:p w:rsidR="00024C0A" w:rsidRDefault="00694C0F">
      <w:pPr>
        <w:pStyle w:val="Definition-Field2"/>
      </w:pPr>
      <w:r>
        <w:t>Word uses this setting when math is created while editi</w:t>
      </w:r>
      <w:r>
        <w:t>ng within the application, but not when loading math from a file.</w:t>
      </w:r>
    </w:p>
    <w:p w:rsidR="00024C0A" w:rsidRDefault="00694C0F">
      <w:pPr>
        <w:pStyle w:val="Definition-Field"/>
      </w:pPr>
      <w:r>
        <w:t xml:space="preserve">c.   </w:t>
      </w:r>
      <w:r>
        <w:rPr>
          <w:i/>
        </w:rPr>
        <w:t>The standard does not specify conditions under which the default math font should be ignored.</w:t>
      </w:r>
    </w:p>
    <w:p w:rsidR="00024C0A" w:rsidRDefault="00694C0F">
      <w:pPr>
        <w:pStyle w:val="Definition-Field2"/>
      </w:pPr>
      <w:r>
        <w:t>Word ignores the default math font if it is set to an empty string or font which is not app</w:t>
      </w:r>
      <w:r>
        <w:t>ropriate for displaying math.</w:t>
      </w:r>
    </w:p>
    <w:p w:rsidR="00024C0A" w:rsidRDefault="00694C0F">
      <w:pPr>
        <w:pStyle w:val="Definition-Field"/>
      </w:pPr>
      <w:r>
        <w:t xml:space="preserve">d.   </w:t>
      </w:r>
      <w:r>
        <w:rPr>
          <w:i/>
        </w:rPr>
        <w:t>The standard implies that the val attribute is optional.</w:t>
      </w:r>
    </w:p>
    <w:p w:rsidR="00024C0A" w:rsidRDefault="00694C0F">
      <w:pPr>
        <w:pStyle w:val="Definition-Field2"/>
      </w:pPr>
      <w:r>
        <w:t>Word requires this attribute.</w:t>
      </w:r>
    </w:p>
    <w:p w:rsidR="00024C0A" w:rsidRDefault="00694C0F">
      <w:pPr>
        <w:pStyle w:val="Heading3"/>
      </w:pPr>
      <w:bookmarkStart w:id="3359" w:name="section_4a8c035cc9304e87aabf32715949ba48"/>
      <w:bookmarkStart w:id="3360" w:name="_Toc12261740"/>
      <w:r>
        <w:t>Part 1 Section 22.1.2.63, maxDist (Maximum Distribution)</w:t>
      </w:r>
      <w:bookmarkEnd w:id="3359"/>
      <w:bookmarkEnd w:id="3360"/>
      <w:r>
        <w:fldChar w:fldCharType="begin"/>
      </w:r>
      <w:r>
        <w:instrText xml:space="preserve"> XE "maxDist (Maximum Distribution)" </w:instrText>
      </w:r>
      <w:r>
        <w:fldChar w:fldCharType="end"/>
      </w:r>
    </w:p>
    <w:p w:rsidR="00024C0A" w:rsidRDefault="00694C0F">
      <w:pPr>
        <w:pStyle w:val="Definition-Field"/>
      </w:pPr>
      <w:r>
        <w:t xml:space="preserve">a.   </w:t>
      </w:r>
      <w:r>
        <w:rPr>
          <w:i/>
        </w:rPr>
        <w:t>The standard allows maxDist to be</w:t>
      </w:r>
      <w:r>
        <w:rPr>
          <w:i/>
        </w:rPr>
        <w:t xml:space="preserve"> used in an equation array without alignment points, but does not specify where that space should be added.</w:t>
      </w:r>
    </w:p>
    <w:p w:rsidR="00024C0A" w:rsidRDefault="00694C0F">
      <w:pPr>
        <w:pStyle w:val="Definition-Field2"/>
      </w:pPr>
      <w:r>
        <w:t>In Word, maxDist only affects eqArr contents if alignment points are used to specify where space should be added.</w:t>
      </w:r>
    </w:p>
    <w:p w:rsidR="00024C0A" w:rsidRDefault="00694C0F">
      <w:pPr>
        <w:pStyle w:val="Heading3"/>
      </w:pPr>
      <w:bookmarkStart w:id="3361" w:name="section_764aed492a6b41daa4db13eebd3baac1"/>
      <w:bookmarkStart w:id="3362" w:name="_Toc12261741"/>
      <w:r>
        <w:t>Part 1 Section 22.1.2.64, mc (Matr</w:t>
      </w:r>
      <w:r>
        <w:t>ix Column)</w:t>
      </w:r>
      <w:bookmarkEnd w:id="3361"/>
      <w:bookmarkEnd w:id="3362"/>
      <w:r>
        <w:fldChar w:fldCharType="begin"/>
      </w:r>
      <w:r>
        <w:instrText xml:space="preserve"> XE "mc (Matrix Column)" </w:instrText>
      </w:r>
      <w:r>
        <w:fldChar w:fldCharType="end"/>
      </w:r>
    </w:p>
    <w:p w:rsidR="00024C0A" w:rsidRDefault="00694C0F">
      <w:pPr>
        <w:pStyle w:val="Definition-Field"/>
      </w:pPr>
      <w:r>
        <w:t xml:space="preserve">a.   </w:t>
      </w:r>
      <w:r>
        <w:rPr>
          <w:i/>
        </w:rPr>
        <w:t>The standard says the mc element specifies the properties of a single column in a matrix.</w:t>
      </w:r>
    </w:p>
    <w:p w:rsidR="00024C0A" w:rsidRDefault="00694C0F">
      <w:pPr>
        <w:pStyle w:val="Definition-Field2"/>
      </w:pPr>
      <w:r>
        <w:t>Word uses mc to specify the properties of a set of adjacent columns in a matrix.</w:t>
      </w:r>
    </w:p>
    <w:p w:rsidR="00024C0A" w:rsidRDefault="00694C0F">
      <w:pPr>
        <w:pStyle w:val="Heading3"/>
      </w:pPr>
      <w:bookmarkStart w:id="3363" w:name="section_57fe4ac077a449f09ade51e4ce4cd6f5"/>
      <w:bookmarkStart w:id="3364" w:name="_Toc12261742"/>
      <w:r>
        <w:t>Part 1 Section 22.1.2.67, mcs (Matrix Colu</w:t>
      </w:r>
      <w:r>
        <w:t>mns)</w:t>
      </w:r>
      <w:bookmarkEnd w:id="3363"/>
      <w:bookmarkEnd w:id="3364"/>
      <w:r>
        <w:fldChar w:fldCharType="begin"/>
      </w:r>
      <w:r>
        <w:instrText xml:space="preserve"> XE "mcs (Matrix Columns)" </w:instrText>
      </w:r>
      <w:r>
        <w:fldChar w:fldCharType="end"/>
      </w:r>
    </w:p>
    <w:p w:rsidR="00024C0A" w:rsidRDefault="00694C0F">
      <w:pPr>
        <w:pStyle w:val="Definition-Field"/>
      </w:pPr>
      <w:r>
        <w:t xml:space="preserve">a.   </w:t>
      </w:r>
      <w:r>
        <w:rPr>
          <w:i/>
        </w:rPr>
        <w:t>The standard allows an unbounded number of columns in a matrix.</w:t>
      </w:r>
    </w:p>
    <w:p w:rsidR="00024C0A" w:rsidRDefault="00694C0F">
      <w:pPr>
        <w:pStyle w:val="Definition-Field2"/>
      </w:pPr>
      <w:r>
        <w:t>Word allows at most 64 columns in a matrix.</w:t>
      </w:r>
    </w:p>
    <w:p w:rsidR="00024C0A" w:rsidRDefault="00694C0F">
      <w:pPr>
        <w:pStyle w:val="Heading3"/>
      </w:pPr>
      <w:bookmarkStart w:id="3365" w:name="section_8888801c0ecc48cb8ca4b1b34a8970a3"/>
      <w:bookmarkStart w:id="3366" w:name="_Toc12261743"/>
      <w:r>
        <w:lastRenderedPageBreak/>
        <w:t>Part 1 Section 22.1.2.69, mr (Matrix Row)</w:t>
      </w:r>
      <w:bookmarkEnd w:id="3365"/>
      <w:bookmarkEnd w:id="3366"/>
      <w:r>
        <w:fldChar w:fldCharType="begin"/>
      </w:r>
      <w:r>
        <w:instrText xml:space="preserve"> XE "mr (Matrix Row)" </w:instrText>
      </w:r>
      <w:r>
        <w:fldChar w:fldCharType="end"/>
      </w:r>
    </w:p>
    <w:p w:rsidR="00024C0A" w:rsidRDefault="00694C0F">
      <w:pPr>
        <w:pStyle w:val="Definition-Field"/>
      </w:pPr>
      <w:r>
        <w:t xml:space="preserve">a.   </w:t>
      </w:r>
      <w:r>
        <w:rPr>
          <w:i/>
        </w:rPr>
        <w:t>The standard states that the maxOccurs</w:t>
      </w:r>
      <w:r>
        <w:rPr>
          <w:i/>
        </w:rPr>
        <w:t xml:space="preserve"> value for the mc child element is unbounded.</w:t>
      </w:r>
    </w:p>
    <w:p w:rsidR="00024C0A" w:rsidRDefault="00694C0F">
      <w:pPr>
        <w:pStyle w:val="Definition-Field2"/>
      </w:pPr>
      <w:r>
        <w:t>Word limits the occurrences of this element to 64.</w:t>
      </w:r>
    </w:p>
    <w:p w:rsidR="00024C0A" w:rsidRDefault="00694C0F">
      <w:pPr>
        <w:pStyle w:val="Heading3"/>
      </w:pPr>
      <w:bookmarkStart w:id="3367" w:name="section_4eec8366f20a41f9b8fa79d5b669c971"/>
      <w:bookmarkStart w:id="3368" w:name="_Toc12261744"/>
      <w:r>
        <w:t>Part 1 Section 22.1.2.70, nary (n-ary Operator Object)</w:t>
      </w:r>
      <w:bookmarkEnd w:id="3367"/>
      <w:bookmarkEnd w:id="3368"/>
      <w:r>
        <w:fldChar w:fldCharType="begin"/>
      </w:r>
      <w:r>
        <w:instrText xml:space="preserve"> XE "nary (n-ary Operator Object)" </w:instrText>
      </w:r>
      <w:r>
        <w:fldChar w:fldCharType="end"/>
      </w:r>
    </w:p>
    <w:p w:rsidR="00024C0A" w:rsidRDefault="00694C0F">
      <w:pPr>
        <w:pStyle w:val="Definition-Field2"/>
      </w:pPr>
      <w:r>
        <w:rPr>
          <w:i/>
        </w:rPr>
        <w:t>For additional notes that apply to this portion of the standard, pl</w:t>
      </w:r>
      <w:r>
        <w:rPr>
          <w:i/>
        </w:rPr>
        <w:t xml:space="preserve">ease see the notes for </w:t>
      </w:r>
      <w:hyperlink w:anchor="Section_ab7a0345712e4eef9bcc80c37e68d9bb">
        <w:r>
          <w:rPr>
            <w:rStyle w:val="Hyperlink"/>
          </w:rPr>
          <w:t>oMath, §22.1.2.77(c)</w:t>
        </w:r>
      </w:hyperlink>
      <w:r>
        <w:rPr>
          <w:i/>
        </w:rPr>
        <w:t>.</w:t>
      </w:r>
    </w:p>
    <w:p w:rsidR="00024C0A" w:rsidRDefault="00694C0F">
      <w:pPr>
        <w:pStyle w:val="Heading3"/>
      </w:pPr>
      <w:bookmarkStart w:id="3369" w:name="section_49f4978c47a149b3916e5f5dd126a221"/>
      <w:bookmarkStart w:id="3370" w:name="_Toc12261745"/>
      <w:r>
        <w:t>Part 1 Section 22.1.2.71, naryLim (n-ary Limit Location)</w:t>
      </w:r>
      <w:bookmarkEnd w:id="3369"/>
      <w:bookmarkEnd w:id="3370"/>
      <w:r>
        <w:fldChar w:fldCharType="begin"/>
      </w:r>
      <w:r>
        <w:instrText xml:space="preserve"> XE "naryLim (n-ary Limit Location)" </w:instrText>
      </w:r>
      <w:r>
        <w:fldChar w:fldCharType="end"/>
      </w:r>
    </w:p>
    <w:p w:rsidR="00024C0A" w:rsidRDefault="00694C0F">
      <w:pPr>
        <w:pStyle w:val="Definition-Field"/>
      </w:pPr>
      <w:r>
        <w:t xml:space="preserve">a.   </w:t>
      </w:r>
      <w:r>
        <w:rPr>
          <w:i/>
        </w:rPr>
        <w:t xml:space="preserve">The standard says naryLim specifies limit </w:t>
      </w:r>
      <w:r>
        <w:rPr>
          <w:i/>
        </w:rPr>
        <w:t>placement when converting from linear format.</w:t>
      </w:r>
    </w:p>
    <w:p w:rsidR="00024C0A" w:rsidRDefault="00694C0F">
      <w:pPr>
        <w:pStyle w:val="Definition-Field2"/>
      </w:pPr>
      <w:r>
        <w:t>In Word, naryLim specifies limit placement when limLoc is omitted as well as limit placement when converting from linear format.</w:t>
      </w:r>
    </w:p>
    <w:p w:rsidR="00024C0A" w:rsidRDefault="00694C0F">
      <w:pPr>
        <w:pStyle w:val="Heading3"/>
      </w:pPr>
      <w:bookmarkStart w:id="3371" w:name="section_34d6d2894a044b19ac438b261bf034e1"/>
      <w:bookmarkStart w:id="3372" w:name="_Toc12261746"/>
      <w:r>
        <w:t>Part 1 Section 22.1.2.73, noBreak (No Break)</w:t>
      </w:r>
      <w:bookmarkEnd w:id="3371"/>
      <w:bookmarkEnd w:id="3372"/>
      <w:r>
        <w:fldChar w:fldCharType="begin"/>
      </w:r>
      <w:r>
        <w:instrText xml:space="preserve"> XE "noBreak (No Break)" </w:instrText>
      </w:r>
      <w:r>
        <w:fldChar w:fldCharType="end"/>
      </w:r>
    </w:p>
    <w:p w:rsidR="00024C0A" w:rsidRDefault="00694C0F">
      <w:pPr>
        <w:pStyle w:val="Definition-Field"/>
      </w:pPr>
      <w:r>
        <w:t xml:space="preserve">a.   </w:t>
      </w:r>
      <w:r>
        <w:rPr>
          <w:i/>
        </w:rPr>
        <w:t xml:space="preserve">The </w:t>
      </w:r>
      <w:r>
        <w:rPr>
          <w:i/>
        </w:rPr>
        <w:t>standard does not specify conditions under which noBreak is ignored.</w:t>
      </w:r>
    </w:p>
    <w:p w:rsidR="00024C0A" w:rsidRDefault="00694C0F">
      <w:pPr>
        <w:pStyle w:val="Definition-Field2"/>
      </w:pPr>
      <w:r>
        <w:t>If opEmu is set, Word ignores noBreak and never breaks.</w:t>
      </w:r>
    </w:p>
    <w:p w:rsidR="00024C0A" w:rsidRDefault="00694C0F">
      <w:pPr>
        <w:pStyle w:val="Definition-Field"/>
      </w:pPr>
      <w:r>
        <w:t xml:space="preserve">b.   </w:t>
      </w:r>
      <w:r>
        <w:rPr>
          <w:i/>
        </w:rPr>
        <w:t>The standard says the default is off.</w:t>
      </w:r>
    </w:p>
    <w:p w:rsidR="00024C0A" w:rsidRDefault="00694C0F">
      <w:pPr>
        <w:pStyle w:val="Definition-Field2"/>
      </w:pPr>
      <w:r>
        <w:t>In Word the default is on.</w:t>
      </w:r>
    </w:p>
    <w:p w:rsidR="00024C0A" w:rsidRDefault="00694C0F">
      <w:pPr>
        <w:pStyle w:val="Heading3"/>
      </w:pPr>
      <w:bookmarkStart w:id="3373" w:name="section_8408084a607344fda563d45afe2b0430"/>
      <w:bookmarkStart w:id="3374" w:name="_Toc12261747"/>
      <w:r>
        <w:t>Part 1 Section 22.1.2.75, num (Numerator)</w:t>
      </w:r>
      <w:bookmarkEnd w:id="3373"/>
      <w:bookmarkEnd w:id="3374"/>
      <w:r>
        <w:fldChar w:fldCharType="begin"/>
      </w:r>
      <w:r>
        <w:instrText xml:space="preserve"> XE "num (Numerator)"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24C0A" w:rsidRDefault="00694C0F">
      <w:pPr>
        <w:pStyle w:val="Heading3"/>
      </w:pPr>
      <w:bookmarkStart w:id="3375" w:name="section_cc2cef5ce8074c91bfe6f6004a01e935"/>
      <w:bookmarkStart w:id="3376" w:name="_Toc12261748"/>
      <w:r>
        <w:t>Part 1 Section 22.1.2.76, objDist (Object Distribution)</w:t>
      </w:r>
      <w:bookmarkEnd w:id="3375"/>
      <w:bookmarkEnd w:id="3376"/>
      <w:r>
        <w:fldChar w:fldCharType="begin"/>
      </w:r>
      <w:r>
        <w:instrText xml:space="preserve"> </w:instrText>
      </w:r>
      <w:r>
        <w:instrText xml:space="preserve">XE "objDist (Object Distribution)" </w:instrText>
      </w:r>
      <w:r>
        <w:fldChar w:fldCharType="end"/>
      </w:r>
    </w:p>
    <w:p w:rsidR="00024C0A" w:rsidRDefault="00694C0F">
      <w:pPr>
        <w:pStyle w:val="Definition-Field"/>
      </w:pPr>
      <w:r>
        <w:t xml:space="preserve">a.   </w:t>
      </w:r>
      <w:r>
        <w:rPr>
          <w:i/>
        </w:rPr>
        <w:t>The standard does not specify how to expand an equation to object width in absence of the maxObj element.</w:t>
      </w:r>
    </w:p>
    <w:p w:rsidR="00024C0A" w:rsidRDefault="00694C0F">
      <w:pPr>
        <w:pStyle w:val="Definition-Field2"/>
      </w:pPr>
      <w:r>
        <w:t>Word ignores objDist unless maxObj is present and on.</w:t>
      </w:r>
    </w:p>
    <w:p w:rsidR="00024C0A" w:rsidRDefault="00694C0F">
      <w:pPr>
        <w:pStyle w:val="Heading3"/>
      </w:pPr>
      <w:bookmarkStart w:id="3377" w:name="section_ab7a0345712e4eef9bcc80c37e68d9bb"/>
      <w:bookmarkStart w:id="3378" w:name="_Toc12261749"/>
      <w:r>
        <w:t>Part 1 Section 22.1.2.77, oMath (Office Math)</w:t>
      </w:r>
      <w:bookmarkEnd w:id="3377"/>
      <w:bookmarkEnd w:id="3378"/>
      <w:r>
        <w:fldChar w:fldCharType="begin"/>
      </w:r>
      <w:r>
        <w:instrText xml:space="preserve"> XE "oMa</w:instrText>
      </w:r>
      <w:r>
        <w:instrText xml:space="preserve">th (Office Math)" </w:instrText>
      </w:r>
      <w:r>
        <w:fldChar w:fldCharType="end"/>
      </w:r>
    </w:p>
    <w:p w:rsidR="00024C0A" w:rsidRDefault="00694C0F">
      <w:pPr>
        <w:pStyle w:val="Definition-Field"/>
      </w:pPr>
      <w:r>
        <w:t xml:space="preserve">a.   </w:t>
      </w:r>
      <w:r>
        <w:rPr>
          <w:i/>
        </w:rPr>
        <w:t>The standard allows adjacent oMath elements without any separation between them.</w:t>
      </w:r>
    </w:p>
    <w:p w:rsidR="00024C0A" w:rsidRDefault="00694C0F">
      <w:pPr>
        <w:pStyle w:val="Definition-Field2"/>
      </w:pPr>
      <w:r>
        <w:t>Word merges together adjacent oMath elements if they are not separated by a WordprocessingML br element.</w:t>
      </w:r>
    </w:p>
    <w:p w:rsidR="00024C0A" w:rsidRDefault="00694C0F">
      <w:pPr>
        <w:pStyle w:val="Definition-Field"/>
      </w:pPr>
      <w:r>
        <w:t xml:space="preserve">b.   </w:t>
      </w:r>
      <w:r>
        <w:rPr>
          <w:i/>
        </w:rPr>
        <w:t>The standard allows nesting of oMath el</w:t>
      </w:r>
      <w:r>
        <w:rPr>
          <w:i/>
        </w:rPr>
        <w:t>ements inside a math object argument or inside another oMath element.</w:t>
      </w:r>
    </w:p>
    <w:p w:rsidR="00024C0A" w:rsidRDefault="00694C0F">
      <w:pPr>
        <w:pStyle w:val="Definition-Field2"/>
      </w:pPr>
      <w:r>
        <w:t>Word fails to open a file with an oMath element inside a math object argument or inside another oMath element.</w:t>
      </w:r>
    </w:p>
    <w:p w:rsidR="00024C0A" w:rsidRDefault="00694C0F">
      <w:pPr>
        <w:pStyle w:val="Definition-Field"/>
      </w:pPr>
      <w:r>
        <w:t xml:space="preserve">c.   </w:t>
      </w:r>
      <w:r>
        <w:rPr>
          <w:i/>
        </w:rPr>
        <w:t>The standard does not state that the hyperlink and smartTag elements a</w:t>
      </w:r>
      <w:r>
        <w:rPr>
          <w:i/>
        </w:rPr>
        <w:t>re valid child elements of the oMath element.</w:t>
      </w:r>
    </w:p>
    <w:p w:rsidR="00024C0A" w:rsidRDefault="00694C0F">
      <w:pPr>
        <w:pStyle w:val="Definition-Field2"/>
      </w:pPr>
      <w:r>
        <w:t>Word allows these elements to be child elements of the oMath element.</w:t>
      </w:r>
    </w:p>
    <w:p w:rsidR="00024C0A" w:rsidRDefault="00694C0F">
      <w:pPr>
        <w:pStyle w:val="Definition-Field"/>
      </w:pPr>
      <w:r>
        <w:lastRenderedPageBreak/>
        <w:t xml:space="preserve">d.   </w:t>
      </w:r>
      <w:r>
        <w:rPr>
          <w:i/>
        </w:rPr>
        <w:t>The standard allows math content to exist outside of any oMath element.</w:t>
      </w:r>
    </w:p>
    <w:p w:rsidR="00024C0A" w:rsidRDefault="00694C0F">
      <w:pPr>
        <w:pStyle w:val="Definition-Field2"/>
      </w:pPr>
      <w:r>
        <w:t>Word will not open a file which contains math content outside o</w:t>
      </w:r>
      <w:r>
        <w:t>f any oMath element.</w:t>
      </w:r>
    </w:p>
    <w:p w:rsidR="00024C0A" w:rsidRDefault="00694C0F">
      <w:pPr>
        <w:pStyle w:val="Definition-Field"/>
      </w:pPr>
      <w:r>
        <w:t xml:space="preserve">e.   </w:t>
      </w:r>
      <w:r>
        <w:rPr>
          <w:i/>
        </w:rPr>
        <w:t>The standard allows oMath to occur outside of any p element.</w:t>
      </w:r>
    </w:p>
    <w:p w:rsidR="00024C0A" w:rsidRDefault="00694C0F">
      <w:pPr>
        <w:pStyle w:val="Definition-Field2"/>
      </w:pPr>
      <w:r>
        <w:t>Word will not open a file where oMath occurs outside of any p element.</w:t>
      </w:r>
    </w:p>
    <w:p w:rsidR="00024C0A" w:rsidRDefault="00694C0F">
      <w:pPr>
        <w:pStyle w:val="Definition-Field"/>
      </w:pPr>
      <w:r>
        <w:t xml:space="preserve">f.   </w:t>
      </w:r>
      <w:r>
        <w:rPr>
          <w:i/>
        </w:rPr>
        <w:t>The standard states that the oMath element is allowed where block level content is required.</w:t>
      </w:r>
    </w:p>
    <w:p w:rsidR="00024C0A" w:rsidRDefault="00694C0F">
      <w:r>
        <w:t xml:space="preserve">Word does not allow the oMath element to be a child of the body, comment, customXml (Block-Level Custom XML Element), customXml (Cell-Level Custom XML Element), customXml (Row-Level Custom XML Element), docPartBody, endnote, footnote, ftr, hdr, sdtContent </w:t>
      </w:r>
      <w:r>
        <w:t>(Block-Level Structured Document Tag Content), sdtContent (Cell-Level Structured Document Tag Content), sdtContent (Row-Level Structured Document Tag Content), tbl, tc, tr, or txbxContent elements.</w:t>
      </w:r>
    </w:p>
    <w:p w:rsidR="00024C0A" w:rsidRDefault="00694C0F">
      <w:pPr>
        <w:pStyle w:val="Heading3"/>
      </w:pPr>
      <w:bookmarkStart w:id="3379" w:name="section_23e0c1c94abb4c75acc27583040e774d"/>
      <w:bookmarkStart w:id="3380" w:name="_Toc12261750"/>
      <w:r>
        <w:t>Part 1 Section 22.1.2.78, oMathPara (Office Math Paragraph</w:t>
      </w:r>
      <w:r>
        <w:t>)</w:t>
      </w:r>
      <w:bookmarkEnd w:id="3379"/>
      <w:bookmarkEnd w:id="3380"/>
      <w:r>
        <w:fldChar w:fldCharType="begin"/>
      </w:r>
      <w:r>
        <w:instrText xml:space="preserve"> XE "oMathPara (Office Math Paragraph)" </w:instrText>
      </w:r>
      <w:r>
        <w:fldChar w:fldCharType="end"/>
      </w:r>
    </w:p>
    <w:p w:rsidR="00024C0A" w:rsidRDefault="00694C0F">
      <w:pPr>
        <w:pStyle w:val="Definition-Field"/>
      </w:pPr>
      <w:r>
        <w:t xml:space="preserve">a.   </w:t>
      </w:r>
      <w:r>
        <w:rPr>
          <w:i/>
        </w:rPr>
        <w:t>The standard allows adjacent oMathPara elements within the same paragraph.</w:t>
      </w:r>
    </w:p>
    <w:p w:rsidR="00024C0A" w:rsidRDefault="00694C0F">
      <w:pPr>
        <w:pStyle w:val="Definition-Field2"/>
      </w:pPr>
      <w:r>
        <w:t>Word merges adjacent oMathPara elements within the same paragraph into a single oMathPara element.</w:t>
      </w:r>
    </w:p>
    <w:p w:rsidR="00024C0A" w:rsidRDefault="00694C0F">
      <w:pPr>
        <w:pStyle w:val="Definition-Field"/>
      </w:pPr>
      <w:r>
        <w:t xml:space="preserve">b.   </w:t>
      </w:r>
      <w:r>
        <w:rPr>
          <w:i/>
        </w:rPr>
        <w:t>The standard allows oMathPar</w:t>
      </w:r>
      <w:r>
        <w:rPr>
          <w:i/>
        </w:rPr>
        <w:t>a as a descendant of math elements.</w:t>
      </w:r>
    </w:p>
    <w:p w:rsidR="00024C0A" w:rsidRDefault="00694C0F">
      <w:pPr>
        <w:pStyle w:val="Definition-Field2"/>
      </w:pPr>
      <w:r>
        <w:t>Word fails to open a file with oMathPara as a descendant of any math element.</w:t>
      </w:r>
    </w:p>
    <w:p w:rsidR="00024C0A" w:rsidRDefault="00694C0F">
      <w:pPr>
        <w:pStyle w:val="Definition-Field"/>
      </w:pPr>
      <w:r>
        <w:t xml:space="preserve">c.   </w:t>
      </w:r>
      <w:r>
        <w:rPr>
          <w:i/>
        </w:rPr>
        <w:t>The standard states that the oMathPara element is allowed where block level content is required.</w:t>
      </w:r>
    </w:p>
    <w:p w:rsidR="00024C0A" w:rsidRDefault="00694C0F">
      <w:r>
        <w:t>Word does not allow the oMathPara elemen</w:t>
      </w:r>
      <w:r>
        <w:t>t to be a child of the body, comment, customXml (Block-Level Custom XML Element), customXml (Cell-Level Custom XML Element), customXml (Row-Level Custom XML Element), docPartBody, endnote, footnote, ftr, hdr, sdtContent (Block-Level Structured Document Tag</w:t>
      </w:r>
      <w:r>
        <w:t xml:space="preserve"> Content), sdtContent (Cell-Level Structured Document Tag Content), sdtContent (Row-Level Structured Document Tag Content), tbl, tc, tr, or txbxContent elements.</w:t>
      </w:r>
    </w:p>
    <w:p w:rsidR="00024C0A" w:rsidRDefault="00694C0F">
      <w:pPr>
        <w:pStyle w:val="Definition-Field"/>
      </w:pPr>
      <w:r>
        <w:t xml:space="preserve">d.   </w:t>
      </w:r>
      <w:r>
        <w:rPr>
          <w:i/>
        </w:rPr>
        <w:t>The standard allows oMathPara to occur outside of any p element.</w:t>
      </w:r>
    </w:p>
    <w:p w:rsidR="00024C0A" w:rsidRDefault="00694C0F">
      <w:pPr>
        <w:pStyle w:val="Definition-Field2"/>
      </w:pPr>
      <w:r>
        <w:t xml:space="preserve">Word will not open a </w:t>
      </w:r>
      <w:r>
        <w:t>file where oMathPara occurs outside of any p element.</w:t>
      </w:r>
    </w:p>
    <w:p w:rsidR="00024C0A" w:rsidRDefault="00694C0F">
      <w:pPr>
        <w:pStyle w:val="Heading3"/>
      </w:pPr>
      <w:bookmarkStart w:id="3381" w:name="section_b810c563f4594ca799f047e871e1ab73"/>
      <w:bookmarkStart w:id="3382" w:name="_Toc12261751"/>
      <w:r>
        <w:t>Part 1 Section 22.1.2.80, opEmu (Operator Emulator)</w:t>
      </w:r>
      <w:bookmarkEnd w:id="3381"/>
      <w:bookmarkEnd w:id="3382"/>
      <w:r>
        <w:fldChar w:fldCharType="begin"/>
      </w:r>
      <w:r>
        <w:instrText xml:space="preserve"> XE "opEmu (Operator Emulator)" </w:instrText>
      </w:r>
      <w:r>
        <w:fldChar w:fldCharType="end"/>
      </w:r>
    </w:p>
    <w:p w:rsidR="00024C0A" w:rsidRDefault="00694C0F">
      <w:pPr>
        <w:pStyle w:val="Definition-Field"/>
      </w:pPr>
      <w:r>
        <w:t xml:space="preserve">a.   </w:t>
      </w:r>
      <w:r>
        <w:rPr>
          <w:i/>
        </w:rPr>
        <w:t>The standard says when opEmu is on, the box behaves as an operator, but does not specify what kind of operator.</w:t>
      </w:r>
    </w:p>
    <w:p w:rsidR="00024C0A" w:rsidRDefault="00694C0F">
      <w:pPr>
        <w:pStyle w:val="Definition-Field2"/>
      </w:pPr>
      <w:r>
        <w:t>In Word when opEmu is on, the box behaves as a binary operator.</w:t>
      </w:r>
    </w:p>
    <w:p w:rsidR="00024C0A" w:rsidRDefault="00694C0F">
      <w:pPr>
        <w:pStyle w:val="Heading3"/>
      </w:pPr>
      <w:bookmarkStart w:id="3383" w:name="section_74064828dc594db8a64240356809ec71"/>
      <w:bookmarkStart w:id="3384" w:name="_Toc12261752"/>
      <w:r>
        <w:t>Part 1 Section 22.1.2.81, phant (Phantom Object)</w:t>
      </w:r>
      <w:bookmarkEnd w:id="3383"/>
      <w:bookmarkEnd w:id="3384"/>
      <w:r>
        <w:fldChar w:fldCharType="begin"/>
      </w:r>
      <w:r>
        <w:instrText xml:space="preserve"> XE "phant (Phantom Object)"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24C0A" w:rsidRDefault="00694C0F">
      <w:pPr>
        <w:pStyle w:val="Heading3"/>
      </w:pPr>
      <w:bookmarkStart w:id="3385" w:name="section_36d53a31567044a1b0d76b9e8a79b3f0"/>
      <w:bookmarkStart w:id="3386" w:name="_Toc12261753"/>
      <w:r>
        <w:t>Part 1 Section 22.1.2.84, pos (Position)</w:t>
      </w:r>
      <w:bookmarkEnd w:id="3385"/>
      <w:bookmarkEnd w:id="3386"/>
      <w:r>
        <w:fldChar w:fldCharType="begin"/>
      </w:r>
      <w:r>
        <w:instrText xml:space="preserve"> XE "pos (Position)" </w:instrText>
      </w:r>
      <w:r>
        <w:fldChar w:fldCharType="end"/>
      </w:r>
    </w:p>
    <w:p w:rsidR="00024C0A" w:rsidRDefault="00694C0F">
      <w:pPr>
        <w:pStyle w:val="Definition-Field"/>
      </w:pPr>
      <w:r>
        <w:t xml:space="preserve">a.   </w:t>
      </w:r>
      <w:r>
        <w:rPr>
          <w:i/>
        </w:rPr>
        <w:t>The standard states that the pos element specifies the position of the bar in the bar object.</w:t>
      </w:r>
    </w:p>
    <w:p w:rsidR="00024C0A" w:rsidRDefault="00694C0F">
      <w:pPr>
        <w:pStyle w:val="Definition-Field2"/>
      </w:pPr>
      <w:r>
        <w:t xml:space="preserve">Word uses the pos element to </w:t>
      </w:r>
      <w:r>
        <w:t>specify the position of the bar in the bar object or the position of the character in the groupChr object.</w:t>
      </w:r>
    </w:p>
    <w:p w:rsidR="00024C0A" w:rsidRDefault="00694C0F">
      <w:pPr>
        <w:pStyle w:val="Definition-Field"/>
      </w:pPr>
      <w:r>
        <w:t xml:space="preserve">b.   </w:t>
      </w:r>
      <w:r>
        <w:rPr>
          <w:i/>
        </w:rPr>
        <w:t>The standard states that the default value for position of the bar in the bar object is top.</w:t>
      </w:r>
    </w:p>
    <w:p w:rsidR="00024C0A" w:rsidRDefault="00694C0F">
      <w:pPr>
        <w:pStyle w:val="Definition-Field2"/>
      </w:pPr>
      <w:r>
        <w:lastRenderedPageBreak/>
        <w:t>Office implements the default value for the positio</w:t>
      </w:r>
      <w:r>
        <w:t>n of the bar in the bar object as bot.</w:t>
      </w:r>
    </w:p>
    <w:p w:rsidR="00024C0A" w:rsidRDefault="00694C0F">
      <w:pPr>
        <w:pStyle w:val="Heading3"/>
      </w:pPr>
      <w:bookmarkStart w:id="3387" w:name="section_a1bbb51243c1422a892bc9da46b1f4bf"/>
      <w:bookmarkStart w:id="3388" w:name="_Toc12261754"/>
      <w:r>
        <w:t>Part 1 Section 22.1.2.85, postSp (Post-Paragraph Spacing)</w:t>
      </w:r>
      <w:bookmarkEnd w:id="3387"/>
      <w:bookmarkEnd w:id="3388"/>
      <w:r>
        <w:fldChar w:fldCharType="begin"/>
      </w:r>
      <w:r>
        <w:instrText xml:space="preserve"> XE "postSp (Post-Paragraph Spacing)" </w:instrText>
      </w:r>
      <w:r>
        <w:fldChar w:fldCharType="end"/>
      </w:r>
    </w:p>
    <w:p w:rsidR="00024C0A" w:rsidRDefault="00694C0F">
      <w:pPr>
        <w:pStyle w:val="Definition-Field"/>
      </w:pPr>
      <w:r>
        <w:t xml:space="preserve">a.   </w:t>
      </w:r>
      <w:r>
        <w:rPr>
          <w:i/>
        </w:rPr>
        <w:t>The standard specifies postSp to set post-equation spacing.</w:t>
      </w:r>
    </w:p>
    <w:p w:rsidR="00024C0A" w:rsidRDefault="00694C0F">
      <w:pPr>
        <w:pStyle w:val="Definition-Field2"/>
      </w:pPr>
      <w:r>
        <w:t>Word ignores and discards postSp.</w:t>
      </w:r>
    </w:p>
    <w:p w:rsidR="00024C0A" w:rsidRDefault="00694C0F">
      <w:pPr>
        <w:pStyle w:val="Heading3"/>
      </w:pPr>
      <w:bookmarkStart w:id="3389" w:name="section_381cf08152f546318f61be16f4b7f9f0"/>
      <w:bookmarkStart w:id="3390" w:name="_Toc12261755"/>
      <w:r>
        <w:t>Part 1 Section 22.1.</w:t>
      </w:r>
      <w:r>
        <w:t>2.86, preSp (Pre-Paragraph Spacing)</w:t>
      </w:r>
      <w:bookmarkEnd w:id="3389"/>
      <w:bookmarkEnd w:id="3390"/>
      <w:r>
        <w:fldChar w:fldCharType="begin"/>
      </w:r>
      <w:r>
        <w:instrText xml:space="preserve"> XE "preSp (Pre-Paragraph Spacing)" </w:instrText>
      </w:r>
      <w:r>
        <w:fldChar w:fldCharType="end"/>
      </w:r>
    </w:p>
    <w:p w:rsidR="00024C0A" w:rsidRDefault="00694C0F">
      <w:pPr>
        <w:pStyle w:val="Definition-Field"/>
      </w:pPr>
      <w:r>
        <w:t xml:space="preserve">a.   </w:t>
      </w:r>
      <w:r>
        <w:rPr>
          <w:i/>
        </w:rPr>
        <w:t>The standard specifies preSp to set pre-equation spacing.</w:t>
      </w:r>
    </w:p>
    <w:p w:rsidR="00024C0A" w:rsidRDefault="00694C0F">
      <w:pPr>
        <w:pStyle w:val="Definition-Field2"/>
      </w:pPr>
      <w:r>
        <w:t>Word ignores preSp and fails to write it back out.</w:t>
      </w:r>
    </w:p>
    <w:p w:rsidR="00024C0A" w:rsidRDefault="00694C0F">
      <w:pPr>
        <w:pStyle w:val="Heading3"/>
      </w:pPr>
      <w:bookmarkStart w:id="3391" w:name="section_a3a6444b11de4ac581bafe03b07f8a45"/>
      <w:bookmarkStart w:id="3392" w:name="_Toc12261756"/>
      <w:r>
        <w:t>Part 1 Section 22.1.2.87, r (Run)</w:t>
      </w:r>
      <w:bookmarkEnd w:id="3391"/>
      <w:bookmarkEnd w:id="3392"/>
      <w:r>
        <w:fldChar w:fldCharType="begin"/>
      </w:r>
      <w:r>
        <w:instrText xml:space="preserve"> XE "r (Run)" </w:instrText>
      </w:r>
      <w:r>
        <w:fldChar w:fldCharType="end"/>
      </w:r>
    </w:p>
    <w:p w:rsidR="00024C0A" w:rsidRDefault="00694C0F">
      <w:pPr>
        <w:pStyle w:val="Definition-Field2"/>
      </w:pPr>
      <w:r>
        <w:rPr>
          <w:i/>
        </w:rPr>
        <w:t>For additional not</w:t>
      </w:r>
      <w:r>
        <w:rPr>
          <w:i/>
        </w:rPr>
        <w:t xml:space="preserve">es that apply to this portion of the standard, please see the notes for </w:t>
      </w:r>
      <w:hyperlink w:anchor="Section_ab7a0345712e4eef9bcc80c37e68d9bb">
        <w:r>
          <w:rPr>
            <w:rStyle w:val="Hyperlink"/>
          </w:rPr>
          <w:t>oMath, §22.1.2.77(c)</w:t>
        </w:r>
      </w:hyperlink>
      <w:r>
        <w:rPr>
          <w:i/>
        </w:rPr>
        <w:t>.</w:t>
      </w:r>
    </w:p>
    <w:p w:rsidR="00024C0A" w:rsidRDefault="00694C0F">
      <w:pPr>
        <w:pStyle w:val="Definition-Field"/>
      </w:pPr>
      <w:r>
        <w:t xml:space="preserve">a.   </w:t>
      </w:r>
      <w:r>
        <w:rPr>
          <w:i/>
        </w:rPr>
        <w:t>The standard allows bold and italic to be set in a math run in the rPr of both Math and Wordpr</w:t>
      </w:r>
      <w:r>
        <w:rPr>
          <w:i/>
        </w:rPr>
        <w:t>ocessingML.</w:t>
      </w:r>
    </w:p>
    <w:p w:rsidR="00024C0A" w:rsidRDefault="00694C0F">
      <w:pPr>
        <w:pStyle w:val="Definition-Field2"/>
      </w:pPr>
      <w:r>
        <w:t>If Word reads a math run where bold or italic properties are set in the rPr of WordprocessingML, it ignores those properties during display but then moves them into the Math rPr on save.</w:t>
      </w:r>
    </w:p>
    <w:p w:rsidR="00024C0A" w:rsidRDefault="00694C0F">
      <w:pPr>
        <w:pStyle w:val="Definition-Field"/>
      </w:pPr>
      <w:r>
        <w:t xml:space="preserve">b.   </w:t>
      </w:r>
      <w:r>
        <w:rPr>
          <w:i/>
        </w:rPr>
        <w:t>The standard allows br elements inside a math object</w:t>
      </w:r>
      <w:r>
        <w:rPr>
          <w:i/>
        </w:rPr>
        <w:t>.</w:t>
      </w:r>
    </w:p>
    <w:p w:rsidR="00024C0A" w:rsidRDefault="00694C0F">
      <w:pPr>
        <w:pStyle w:val="Definition-Field2"/>
      </w:pPr>
      <w:r>
        <w:t>Word does not allow br elements inside a math object.</w:t>
      </w:r>
    </w:p>
    <w:p w:rsidR="00024C0A" w:rsidRDefault="00694C0F">
      <w:pPr>
        <w:pStyle w:val="Definition-Field"/>
      </w:pPr>
      <w:r>
        <w:t xml:space="preserve">c.   </w:t>
      </w:r>
      <w:r>
        <w:rPr>
          <w:i/>
        </w:rPr>
        <w:t>The standard allows cr elements as a child of a math run.</w:t>
      </w:r>
    </w:p>
    <w:p w:rsidR="00024C0A" w:rsidRDefault="00694C0F">
      <w:pPr>
        <w:pStyle w:val="Definition-Field2"/>
      </w:pPr>
      <w:r>
        <w:t>Word does not allow the cr element inside a math run.</w:t>
      </w:r>
    </w:p>
    <w:p w:rsidR="00024C0A" w:rsidRDefault="00694C0F">
      <w:pPr>
        <w:pStyle w:val="Definition-Field"/>
      </w:pPr>
      <w:r>
        <w:t xml:space="preserve">d.   </w:t>
      </w:r>
      <w:r>
        <w:rPr>
          <w:i/>
        </w:rPr>
        <w:t>The standard allows tab elements as a child of a math run.</w:t>
      </w:r>
    </w:p>
    <w:p w:rsidR="00024C0A" w:rsidRDefault="00694C0F">
      <w:pPr>
        <w:pStyle w:val="Definition-Field2"/>
      </w:pPr>
      <w:r>
        <w:t xml:space="preserve">Word ignores a tab </w:t>
      </w:r>
      <w:r>
        <w:t>element if it occurs inside a math run.</w:t>
      </w:r>
    </w:p>
    <w:p w:rsidR="00024C0A" w:rsidRDefault="00694C0F">
      <w:pPr>
        <w:pStyle w:val="Definition-Field"/>
      </w:pPr>
      <w:r>
        <w:t xml:space="preserve">e.   </w:t>
      </w:r>
      <w:r>
        <w:rPr>
          <w:i/>
        </w:rPr>
        <w:t>The standard does not allow w:ins or w:del elements as a child of a math run.</w:t>
      </w:r>
    </w:p>
    <w:p w:rsidR="00024C0A" w:rsidRDefault="00694C0F">
      <w:pPr>
        <w:pStyle w:val="Definition-Field2"/>
      </w:pPr>
      <w:r>
        <w:t>Word supports the w:ins and w:del elements inside a math run.</w:t>
      </w:r>
    </w:p>
    <w:p w:rsidR="00024C0A" w:rsidRDefault="00694C0F">
      <w:pPr>
        <w:pStyle w:val="Heading3"/>
      </w:pPr>
      <w:bookmarkStart w:id="3393" w:name="section_2fa23caf92704a7691eafb97223fb074"/>
      <w:bookmarkStart w:id="3394" w:name="_Toc12261757"/>
      <w:r>
        <w:t>Part 1 Section 22.1.2.88, rad (Radical Object)</w:t>
      </w:r>
      <w:bookmarkEnd w:id="3393"/>
      <w:bookmarkEnd w:id="3394"/>
      <w:r>
        <w:fldChar w:fldCharType="begin"/>
      </w:r>
      <w:r>
        <w:instrText xml:space="preserve"> XE "rad (Radical Object)"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24C0A" w:rsidRDefault="00694C0F">
      <w:pPr>
        <w:pStyle w:val="Heading3"/>
      </w:pPr>
      <w:bookmarkStart w:id="3395" w:name="section_6895cb10962648be96906579da8c41a4"/>
      <w:bookmarkStart w:id="3396" w:name="_Toc12261758"/>
      <w:r>
        <w:t>Part 1 Section 22.1.2.92, rSp (Row Spacing (Array))</w:t>
      </w:r>
      <w:bookmarkEnd w:id="3395"/>
      <w:bookmarkEnd w:id="3396"/>
      <w:r>
        <w:fldChar w:fldCharType="begin"/>
      </w:r>
      <w:r>
        <w:instrText xml:space="preserve"> XE "rSp (Row Spacing (Array))"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71424b866d3c4173a2027fc4efad6377">
        <w:r>
          <w:rPr>
            <w:rStyle w:val="Hyperlink"/>
          </w:rPr>
          <w:t>ST_UnSignedInteger, §22.1.3.14(a)</w:t>
        </w:r>
      </w:hyperlink>
      <w:r>
        <w:rPr>
          <w:i/>
        </w:rPr>
        <w:t>.</w:t>
      </w:r>
    </w:p>
    <w:p w:rsidR="00024C0A" w:rsidRDefault="00694C0F">
      <w:pPr>
        <w:pStyle w:val="Definition-Field"/>
      </w:pPr>
      <w:r>
        <w:t xml:space="preserve">a.   </w:t>
      </w:r>
      <w:r>
        <w:rPr>
          <w:i/>
        </w:rPr>
        <w:t xml:space="preserve">The standard says rSp is </w:t>
      </w:r>
      <w:r>
        <w:rPr>
          <w:i/>
        </w:rPr>
        <w:t>used only to set row spacing in equation arrays even though it is also allowed as a child of the matrix element.</w:t>
      </w:r>
    </w:p>
    <w:p w:rsidR="00024C0A" w:rsidRDefault="00694C0F">
      <w:pPr>
        <w:pStyle w:val="Definition-Field2"/>
      </w:pPr>
      <w:r>
        <w:t>In Word, rSp is used to set row spacing in both equations arrays and matrices.</w:t>
      </w:r>
    </w:p>
    <w:p w:rsidR="00024C0A" w:rsidRDefault="00694C0F">
      <w:pPr>
        <w:pStyle w:val="Definition-Field"/>
      </w:pPr>
      <w:r>
        <w:lastRenderedPageBreak/>
        <w:t xml:space="preserve">b.   </w:t>
      </w:r>
      <w:r>
        <w:rPr>
          <w:i/>
        </w:rPr>
        <w:t>The standard states that rSp "specifies spacing between row</w:t>
      </w:r>
      <w:r>
        <w:rPr>
          <w:i/>
        </w:rPr>
        <w:t>s of an array eqArr; it is used only when rSpRule is set to 3 or 4. If this element is omitted, single line spacing is used in the array ..."</w:t>
      </w:r>
    </w:p>
    <w:p w:rsidR="00024C0A" w:rsidRDefault="00694C0F">
      <w:pPr>
        <w:pStyle w:val="Definition-Field2"/>
      </w:pPr>
      <w:r>
        <w:t>Word interprets the phrase "this element" in the statement to refer to "rSpRule", as in "if rSpRule is omitted, si</w:t>
      </w:r>
      <w:r>
        <w:t>ngle line spacing is used in the array ..."</w:t>
      </w:r>
    </w:p>
    <w:p w:rsidR="00024C0A" w:rsidRDefault="00694C0F">
      <w:pPr>
        <w:pStyle w:val="Heading3"/>
      </w:pPr>
      <w:bookmarkStart w:id="3397" w:name="section_bc0219213f1f402abccba4d59be53942"/>
      <w:bookmarkStart w:id="3398" w:name="_Toc12261759"/>
      <w:r>
        <w:t>Part 1 Section 22.1.2.93, rSpRule (Row Spacing Rule)</w:t>
      </w:r>
      <w:bookmarkEnd w:id="3397"/>
      <w:bookmarkEnd w:id="3398"/>
      <w:r>
        <w:fldChar w:fldCharType="begin"/>
      </w:r>
      <w:r>
        <w:instrText xml:space="preserve"> XE "rSpRule (Row Spacing Rule)" </w:instrText>
      </w:r>
      <w:r>
        <w:fldChar w:fldCharType="end"/>
      </w:r>
    </w:p>
    <w:p w:rsidR="00024C0A" w:rsidRDefault="00694C0F">
      <w:pPr>
        <w:pStyle w:val="Definition-Field"/>
      </w:pPr>
      <w:r>
        <w:t xml:space="preserve">a.   </w:t>
      </w:r>
      <w:r>
        <w:rPr>
          <w:i/>
        </w:rPr>
        <w:t>The standard says the column gaps and row spacing are measured in points or lines.</w:t>
      </w:r>
    </w:p>
    <w:p w:rsidR="00024C0A" w:rsidRDefault="00694C0F">
      <w:pPr>
        <w:pStyle w:val="Definition-Field2"/>
      </w:pPr>
      <w:r>
        <w:t>In Word, column gaps and row spacing</w:t>
      </w:r>
      <w:r>
        <w:t xml:space="preserve"> are measured in twips, 0.5 em increments, or 0.5 line increments.</w:t>
      </w:r>
    </w:p>
    <w:p w:rsidR="00024C0A" w:rsidRDefault="00694C0F">
      <w:pPr>
        <w:pStyle w:val="Definition-Field"/>
      </w:pPr>
      <w:r>
        <w:t xml:space="preserve">b.   </w:t>
      </w:r>
      <w:r>
        <w:rPr>
          <w:i/>
        </w:rPr>
        <w:t>The standard does not state the default value for rSpRule.</w:t>
      </w:r>
    </w:p>
    <w:p w:rsidR="00024C0A" w:rsidRDefault="00694C0F">
      <w:pPr>
        <w:pStyle w:val="Definition-Field2"/>
      </w:pPr>
      <w:r>
        <w:t>In Word, the default value for rSpRule is 0.</w:t>
      </w:r>
    </w:p>
    <w:p w:rsidR="00024C0A" w:rsidRDefault="00694C0F">
      <w:pPr>
        <w:pStyle w:val="Definition-Field"/>
      </w:pPr>
      <w:r>
        <w:t xml:space="preserve">c.   </w:t>
      </w:r>
      <w:r>
        <w:rPr>
          <w:i/>
        </w:rPr>
        <w:t>The standard states that rSpRule specifies the vertical spacing between col</w:t>
      </w:r>
      <w:r>
        <w:rPr>
          <w:i/>
        </w:rPr>
        <w:t>umns.</w:t>
      </w:r>
    </w:p>
    <w:p w:rsidR="00024C0A" w:rsidRDefault="00694C0F">
      <w:pPr>
        <w:pStyle w:val="Definition-Field2"/>
      </w:pPr>
      <w:r>
        <w:t>In Word, the rSpRule specifies the vertical spacing between rows.</w:t>
      </w:r>
    </w:p>
    <w:p w:rsidR="00024C0A" w:rsidRDefault="00694C0F">
      <w:pPr>
        <w:pStyle w:val="Definition-Field"/>
      </w:pPr>
      <w:r>
        <w:t xml:space="preserve">d.   </w:t>
      </w:r>
      <w:r>
        <w:rPr>
          <w:i/>
        </w:rPr>
        <w:t>The standard says that rSpRule only specifies the vertical spacing in mPr even though the schema also allows it as a child of eqArrPr.</w:t>
      </w:r>
    </w:p>
    <w:p w:rsidR="00024C0A" w:rsidRDefault="00694C0F">
      <w:pPr>
        <w:pStyle w:val="Definition-Field2"/>
      </w:pPr>
      <w:r>
        <w:t>In Word, rSpRule specifies the vertical spac</w:t>
      </w:r>
      <w:r>
        <w:t>ing in mPr and eqArrPr.</w:t>
      </w:r>
    </w:p>
    <w:p w:rsidR="00024C0A" w:rsidRDefault="00694C0F">
      <w:pPr>
        <w:pStyle w:val="Heading3"/>
      </w:pPr>
      <w:bookmarkStart w:id="3399" w:name="section_8ddc42b073c6455bb83b9e612b5ab0a6"/>
      <w:bookmarkStart w:id="3400" w:name="_Toc12261760"/>
      <w:r>
        <w:t>Part 1 Section 22.1.2.94, scr (Script)</w:t>
      </w:r>
      <w:bookmarkEnd w:id="3399"/>
      <w:bookmarkEnd w:id="3400"/>
      <w:r>
        <w:fldChar w:fldCharType="begin"/>
      </w:r>
      <w:r>
        <w:instrText xml:space="preserve"> XE "scr (Script)" </w:instrText>
      </w:r>
      <w:r>
        <w:fldChar w:fldCharType="end"/>
      </w:r>
    </w:p>
    <w:p w:rsidR="00024C0A" w:rsidRDefault="00694C0F">
      <w:pPr>
        <w:pStyle w:val="Definition-Field"/>
      </w:pPr>
      <w:r>
        <w:t xml:space="preserve">a.   </w:t>
      </w:r>
      <w:r>
        <w:rPr>
          <w:i/>
        </w:rPr>
        <w:t>The standard says that the script element is used to map ASCII values to the appropriate Unicode range.</w:t>
      </w:r>
    </w:p>
    <w:p w:rsidR="00024C0A" w:rsidRDefault="00694C0F">
      <w:pPr>
        <w:pStyle w:val="Definition-Field2"/>
      </w:pPr>
      <w:r>
        <w:t>Word uses the script element and the style element to map Unico</w:t>
      </w:r>
      <w:r>
        <w:t>de values to Math Alphanumeric Unicode values.</w:t>
      </w:r>
    </w:p>
    <w:p w:rsidR="00024C0A" w:rsidRDefault="00694C0F">
      <w:pPr>
        <w:pStyle w:val="Definition-Field"/>
      </w:pPr>
      <w:r>
        <w:t xml:space="preserve">b.   </w:t>
      </w:r>
      <w:r>
        <w:rPr>
          <w:i/>
        </w:rPr>
        <w:t>The standard implies that the val attribute is optional.</w:t>
      </w:r>
    </w:p>
    <w:p w:rsidR="00024C0A" w:rsidRDefault="00694C0F">
      <w:pPr>
        <w:pStyle w:val="Definition-Field2"/>
      </w:pPr>
      <w:r>
        <w:t>Word requires this attribute.</w:t>
      </w:r>
    </w:p>
    <w:p w:rsidR="00024C0A" w:rsidRDefault="00694C0F">
      <w:pPr>
        <w:pStyle w:val="Definition-Field"/>
      </w:pPr>
      <w:r>
        <w:t xml:space="preserve">c.   </w:t>
      </w:r>
      <w:r>
        <w:rPr>
          <w:i/>
        </w:rPr>
        <w:t>The standard does not specify a default value for scr.</w:t>
      </w:r>
    </w:p>
    <w:p w:rsidR="00024C0A" w:rsidRDefault="00694C0F">
      <w:pPr>
        <w:pStyle w:val="Definition-Field2"/>
      </w:pPr>
      <w:r>
        <w:t>In Word, the default value for scr is roman.</w:t>
      </w:r>
    </w:p>
    <w:p w:rsidR="00024C0A" w:rsidRDefault="00694C0F">
      <w:pPr>
        <w:pStyle w:val="Heading3"/>
      </w:pPr>
      <w:bookmarkStart w:id="3401" w:name="section_122e796dc2c746eaa308121affc847f9"/>
      <w:bookmarkStart w:id="3402" w:name="_Toc12261761"/>
      <w:r>
        <w:t>Part 1 Secti</w:t>
      </w:r>
      <w:r>
        <w:t>on 22.1.2.97, shp (Shape (Delimiters))</w:t>
      </w:r>
      <w:bookmarkEnd w:id="3401"/>
      <w:bookmarkEnd w:id="3402"/>
      <w:r>
        <w:fldChar w:fldCharType="begin"/>
      </w:r>
      <w:r>
        <w:instrText xml:space="preserve"> XE "shp (Shape (Delimiters))" </w:instrText>
      </w:r>
      <w:r>
        <w:fldChar w:fldCharType="end"/>
      </w:r>
    </w:p>
    <w:p w:rsidR="00024C0A" w:rsidRDefault="00694C0F">
      <w:pPr>
        <w:pStyle w:val="Definition-Field"/>
      </w:pPr>
      <w:r>
        <w:t xml:space="preserve">a.   </w:t>
      </w:r>
      <w:r>
        <w:rPr>
          <w:i/>
        </w:rPr>
        <w:t>The standard places no restrictions on when this element is applicable.</w:t>
      </w:r>
    </w:p>
    <w:p w:rsidR="00024C0A" w:rsidRDefault="00694C0F">
      <w:pPr>
        <w:pStyle w:val="Definition-Field2"/>
      </w:pPr>
      <w:r>
        <w:t>Office will ignore this element if the parent dPr element contains a child grow element whose val attribute</w:t>
      </w:r>
      <w:r>
        <w:t xml:space="preserve"> has a value of off.</w:t>
      </w:r>
    </w:p>
    <w:p w:rsidR="00024C0A" w:rsidRDefault="00694C0F">
      <w:pPr>
        <w:pStyle w:val="Heading3"/>
      </w:pPr>
      <w:bookmarkStart w:id="3403" w:name="section_59065a5881844e19a1ab713b4ddaf6d3"/>
      <w:bookmarkStart w:id="3404" w:name="_Toc12261762"/>
      <w:r>
        <w:t>Part 1 Section 22.1.2.98, smallFrac (Small Fraction)</w:t>
      </w:r>
      <w:bookmarkEnd w:id="3403"/>
      <w:bookmarkEnd w:id="3404"/>
      <w:r>
        <w:fldChar w:fldCharType="begin"/>
      </w:r>
      <w:r>
        <w:instrText xml:space="preserve"> XE "smallFrac (Small Fraction)" </w:instrText>
      </w:r>
      <w:r>
        <w:fldChar w:fldCharType="end"/>
      </w:r>
    </w:p>
    <w:p w:rsidR="00024C0A" w:rsidRDefault="00694C0F">
      <w:pPr>
        <w:pStyle w:val="Definition-Field"/>
      </w:pPr>
      <w:r>
        <w:t xml:space="preserve">a.   </w:t>
      </w:r>
      <w:r>
        <w:rPr>
          <w:i/>
        </w:rPr>
        <w:t xml:space="preserve">The standard states that the smallFrac element specifies a reduced fraction size display math, such that the numerator and denominator are </w:t>
      </w:r>
      <w:r>
        <w:rPr>
          <w:i/>
        </w:rPr>
        <w:t>written in script size instead of at the size of regular text.</w:t>
      </w:r>
    </w:p>
    <w:p w:rsidR="00024C0A" w:rsidRDefault="00694C0F">
      <w:r>
        <w:t>Word uses this element to specify a reduced size for fractions of type bar or noBar that are nested within other fractions that are of type bar, noBar, or skw.  This option only applies in disp</w:t>
      </w:r>
      <w:r>
        <w:t xml:space="preserve">lay math, </w:t>
      </w:r>
      <w:r>
        <w:lastRenderedPageBreak/>
        <w:t>such that the numerator and denominator are written in script size instead of at the size of regular text.</w:t>
      </w:r>
    </w:p>
    <w:p w:rsidR="00024C0A" w:rsidRDefault="00694C0F">
      <w:pPr>
        <w:pStyle w:val="Heading3"/>
      </w:pPr>
      <w:bookmarkStart w:id="3405" w:name="section_5d08490d1634418e91bc0d199b9f9214"/>
      <w:bookmarkStart w:id="3406" w:name="_Toc12261763"/>
      <w:r>
        <w:t>Part 1 Section 22.1.2.99, sPre (Pre-Sub-Superscript Object)</w:t>
      </w:r>
      <w:bookmarkEnd w:id="3405"/>
      <w:bookmarkEnd w:id="3406"/>
      <w:r>
        <w:fldChar w:fldCharType="begin"/>
      </w:r>
      <w:r>
        <w:instrText xml:space="preserve"> XE "sPre (Pre-Sub-Superscript Object)" </w:instrText>
      </w:r>
      <w:r>
        <w:fldChar w:fldCharType="end"/>
      </w:r>
    </w:p>
    <w:p w:rsidR="00024C0A" w:rsidRDefault="00694C0F">
      <w:pPr>
        <w:pStyle w:val="Definition-Field2"/>
      </w:pPr>
      <w:r>
        <w:rPr>
          <w:i/>
        </w:rPr>
        <w:t>For additional notes that apply to th</w:t>
      </w:r>
      <w:r>
        <w:rPr>
          <w:i/>
        </w:rPr>
        <w:t xml:space="preserve">is portion of the standard, please see the notes for </w:t>
      </w:r>
      <w:hyperlink w:anchor="Section_ab7a0345712e4eef9bcc80c37e68d9bb">
        <w:r>
          <w:rPr>
            <w:rStyle w:val="Hyperlink"/>
          </w:rPr>
          <w:t>oMath, §22.1.2.77(c)</w:t>
        </w:r>
      </w:hyperlink>
      <w:r>
        <w:rPr>
          <w:i/>
        </w:rPr>
        <w:t>.</w:t>
      </w:r>
    </w:p>
    <w:p w:rsidR="00024C0A" w:rsidRDefault="00694C0F">
      <w:pPr>
        <w:pStyle w:val="Heading3"/>
      </w:pPr>
      <w:bookmarkStart w:id="3407" w:name="section_e4d7226e1e594d938584a0cf82efcda7"/>
      <w:bookmarkStart w:id="3408" w:name="_Toc12261764"/>
      <w:r>
        <w:t>Part 1 Section 22.1.2.101, sSub (Subscript Object)</w:t>
      </w:r>
      <w:bookmarkEnd w:id="3407"/>
      <w:bookmarkEnd w:id="3408"/>
      <w:r>
        <w:fldChar w:fldCharType="begin"/>
      </w:r>
      <w:r>
        <w:instrText xml:space="preserve"> XE "sSub (Subscript Object)" </w:instrText>
      </w:r>
      <w:r>
        <w:fldChar w:fldCharType="end"/>
      </w:r>
    </w:p>
    <w:p w:rsidR="00024C0A" w:rsidRDefault="00694C0F">
      <w:pPr>
        <w:pStyle w:val="Definition-Field2"/>
      </w:pPr>
      <w:r>
        <w:rPr>
          <w:i/>
        </w:rPr>
        <w:t xml:space="preserve">For additional notes that apply to </w:t>
      </w:r>
      <w:r>
        <w:rPr>
          <w:i/>
        </w:rPr>
        <w:t xml:space="preserve">this portion of the standard, please see the notes for </w:t>
      </w:r>
      <w:hyperlink w:anchor="Section_ab7a0345712e4eef9bcc80c37e68d9bb">
        <w:r>
          <w:rPr>
            <w:rStyle w:val="Hyperlink"/>
          </w:rPr>
          <w:t>oMath, §22.1.2.77(c)</w:t>
        </w:r>
      </w:hyperlink>
      <w:r>
        <w:rPr>
          <w:i/>
        </w:rPr>
        <w:t>.</w:t>
      </w:r>
    </w:p>
    <w:p w:rsidR="00024C0A" w:rsidRDefault="00694C0F">
      <w:pPr>
        <w:pStyle w:val="Heading3"/>
      </w:pPr>
      <w:bookmarkStart w:id="3409" w:name="section_892ccdb9e60547a68bde8fbaf14405f8"/>
      <w:bookmarkStart w:id="3410" w:name="_Toc12261765"/>
      <w:r>
        <w:t>Part 1 Section 22.1.2.103, sSubSup (Sub-Superscript Object)</w:t>
      </w:r>
      <w:bookmarkEnd w:id="3409"/>
      <w:bookmarkEnd w:id="3410"/>
      <w:r>
        <w:fldChar w:fldCharType="begin"/>
      </w:r>
      <w:r>
        <w:instrText xml:space="preserve"> XE "sSubSup (Sub-Superscript Object)"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24C0A" w:rsidRDefault="00694C0F">
      <w:pPr>
        <w:pStyle w:val="Heading3"/>
      </w:pPr>
      <w:bookmarkStart w:id="3411" w:name="section_6557a17b3c784aa78ec1397591c9bcb3"/>
      <w:bookmarkStart w:id="3412" w:name="_Toc12261766"/>
      <w:r>
        <w:t>Part 1 Section 22.1.2.105, sSup (Superscript Object)</w:t>
      </w:r>
      <w:bookmarkEnd w:id="3411"/>
      <w:bookmarkEnd w:id="3412"/>
      <w:r>
        <w:fldChar w:fldCharType="begin"/>
      </w:r>
      <w:r>
        <w:instrText xml:space="preserve"> XE "sSup (Superscript Object</w:instrText>
      </w:r>
      <w:r>
        <w:instrText xml:space="preserv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24C0A" w:rsidRDefault="00694C0F">
      <w:pPr>
        <w:pStyle w:val="Definition-Field"/>
      </w:pPr>
      <w:r>
        <w:t xml:space="preserve">a.   </w:t>
      </w:r>
      <w:r>
        <w:rPr>
          <w:i/>
        </w:rPr>
        <w:t>The standard states that the sSup element specifies the subscript func</w:t>
      </w:r>
      <w:r>
        <w:rPr>
          <w:i/>
        </w:rPr>
        <w:t>tion sSub, which consists of a base e and a reduced-size scr placed below and to the right.</w:t>
      </w:r>
    </w:p>
    <w:p w:rsidR="00024C0A" w:rsidRDefault="00694C0F">
      <w:pPr>
        <w:pStyle w:val="Definition-Field2"/>
      </w:pPr>
      <w:r>
        <w:t>Word uses the sSup element to specify the superscript function sSup, which consists of a base e and a reduced-size scr placed above and to the right.</w:t>
      </w:r>
    </w:p>
    <w:p w:rsidR="00024C0A" w:rsidRDefault="00694C0F">
      <w:pPr>
        <w:pStyle w:val="Heading3"/>
      </w:pPr>
      <w:bookmarkStart w:id="3413" w:name="section_071c5a7c0c6d406f91a432e9e4e1ea06"/>
      <w:bookmarkStart w:id="3414" w:name="_Toc12261767"/>
      <w:r>
        <w:t>Part 1 Section</w:t>
      </w:r>
      <w:r>
        <w:t xml:space="preserve"> 22.1.2.111, sty (style)</w:t>
      </w:r>
      <w:bookmarkEnd w:id="3413"/>
      <w:bookmarkEnd w:id="3414"/>
      <w:r>
        <w:fldChar w:fldCharType="begin"/>
      </w:r>
      <w:r>
        <w:instrText xml:space="preserve"> XE "sty (style)" </w:instrText>
      </w:r>
      <w:r>
        <w:fldChar w:fldCharType="end"/>
      </w:r>
    </w:p>
    <w:p w:rsidR="00024C0A" w:rsidRDefault="00694C0F">
      <w:pPr>
        <w:pStyle w:val="Definition-Field"/>
      </w:pPr>
      <w:r>
        <w:t xml:space="preserve">a.   </w:t>
      </w:r>
      <w:r>
        <w:rPr>
          <w:i/>
        </w:rPr>
        <w:t>The standard says that style is used to map ASCII values to the appropriate Unicode range.</w:t>
      </w:r>
    </w:p>
    <w:p w:rsidR="00024C0A" w:rsidRDefault="00694C0F">
      <w:pPr>
        <w:pStyle w:val="Definition-Field2"/>
      </w:pPr>
      <w:r>
        <w:t>Word uses the style and script to map Unicode values to Math Alphanumeric Unicode values.</w:t>
      </w:r>
    </w:p>
    <w:p w:rsidR="00024C0A" w:rsidRDefault="00694C0F">
      <w:pPr>
        <w:pStyle w:val="Definition-Field"/>
      </w:pPr>
      <w:r>
        <w:t xml:space="preserve">b.   </w:t>
      </w:r>
      <w:r>
        <w:rPr>
          <w:i/>
        </w:rPr>
        <w:t>The standard implies</w:t>
      </w:r>
      <w:r>
        <w:rPr>
          <w:i/>
        </w:rPr>
        <w:t xml:space="preserve"> that the val attribute is optional.</w:t>
      </w:r>
    </w:p>
    <w:p w:rsidR="00024C0A" w:rsidRDefault="00694C0F">
      <w:pPr>
        <w:pStyle w:val="Definition-Field2"/>
      </w:pPr>
      <w:r>
        <w:t>Word requires this attribute.</w:t>
      </w:r>
    </w:p>
    <w:p w:rsidR="00024C0A" w:rsidRDefault="00694C0F">
      <w:pPr>
        <w:pStyle w:val="Definition-Field"/>
      </w:pPr>
      <w:r>
        <w:t xml:space="preserve">c.   </w:t>
      </w:r>
      <w:r>
        <w:rPr>
          <w:i/>
        </w:rPr>
        <w:t>The standard does not specify a default value for sty.</w:t>
      </w:r>
    </w:p>
    <w:p w:rsidR="00024C0A" w:rsidRDefault="00694C0F">
      <w:pPr>
        <w:pStyle w:val="Definition-Field2"/>
      </w:pPr>
      <w:r>
        <w:t>In Word, the default value for sty is italic.</w:t>
      </w:r>
    </w:p>
    <w:p w:rsidR="00024C0A" w:rsidRDefault="00694C0F">
      <w:pPr>
        <w:pStyle w:val="Heading3"/>
      </w:pPr>
      <w:bookmarkStart w:id="3415" w:name="section_ac87e4edda764356b9c98d7f88e43ec4"/>
      <w:bookmarkStart w:id="3416" w:name="_Toc12261768"/>
      <w:r>
        <w:t>Part 1 Section 22.1.2.112, sub (Subscript (Pre-Sub-Superscript))</w:t>
      </w:r>
      <w:bookmarkEnd w:id="3415"/>
      <w:bookmarkEnd w:id="3416"/>
      <w:r>
        <w:fldChar w:fldCharType="begin"/>
      </w:r>
      <w:r>
        <w:instrText xml:space="preserve"> XE "sub (Subscript</w:instrText>
      </w:r>
      <w:r>
        <w:instrText xml:space="preserve"> (Pre-Sub-Superscript))"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24C0A" w:rsidRDefault="00694C0F">
      <w:pPr>
        <w:pStyle w:val="Definition-Field"/>
      </w:pPr>
      <w:r>
        <w:t xml:space="preserve">a.   </w:t>
      </w:r>
      <w:r>
        <w:rPr>
          <w:i/>
        </w:rPr>
        <w:t>The standard says sub only specifies the subscri</w:t>
      </w:r>
      <w:r>
        <w:rPr>
          <w:i/>
        </w:rPr>
        <w:t>pt of sPre even though the schema also allows it as a child of sSub, sSubSup, and nary.</w:t>
      </w:r>
    </w:p>
    <w:p w:rsidR="00024C0A" w:rsidRDefault="00694C0F">
      <w:pPr>
        <w:pStyle w:val="Definition-Field2"/>
      </w:pPr>
      <w:r>
        <w:t>In Word, sub specifies the subscript of sPre, sSub, and sSubSup and specifies the lower limit of nary.</w:t>
      </w:r>
    </w:p>
    <w:p w:rsidR="00024C0A" w:rsidRDefault="00694C0F">
      <w:pPr>
        <w:pStyle w:val="Heading3"/>
      </w:pPr>
      <w:bookmarkStart w:id="3417" w:name="section_1b3c2414040a45a2a024173e22ebf533"/>
      <w:bookmarkStart w:id="3418" w:name="_Toc12261769"/>
      <w:r>
        <w:t>Part 1 Section 22.1.2.113, subHide (Hide Subscript (n-ary))</w:t>
      </w:r>
      <w:bookmarkEnd w:id="3417"/>
      <w:bookmarkEnd w:id="3418"/>
      <w:r>
        <w:fldChar w:fldCharType="begin"/>
      </w:r>
      <w:r>
        <w:instrText xml:space="preserve"> XE "s</w:instrText>
      </w:r>
      <w:r>
        <w:instrText xml:space="preserve">ubHide (Hide Subscript (n-ary))" </w:instrText>
      </w:r>
      <w:r>
        <w:fldChar w:fldCharType="end"/>
      </w:r>
    </w:p>
    <w:p w:rsidR="00024C0A" w:rsidRDefault="00694C0F">
      <w:pPr>
        <w:pStyle w:val="Definition-Field"/>
      </w:pPr>
      <w:r>
        <w:t xml:space="preserve">a.   </w:t>
      </w:r>
      <w:r>
        <w:rPr>
          <w:i/>
        </w:rPr>
        <w:t>The standard allows subHide to be on while the lower limit is not empty.</w:t>
      </w:r>
    </w:p>
    <w:p w:rsidR="00024C0A" w:rsidRDefault="00694C0F">
      <w:pPr>
        <w:pStyle w:val="Definition-Field2"/>
      </w:pPr>
      <w:r>
        <w:lastRenderedPageBreak/>
        <w:t>If subHide is on while the lower limit is not empty, Word displays the contents of the lower limit in an unexpected place.</w:t>
      </w:r>
    </w:p>
    <w:p w:rsidR="00024C0A" w:rsidRDefault="00694C0F">
      <w:pPr>
        <w:pStyle w:val="Heading3"/>
      </w:pPr>
      <w:bookmarkStart w:id="3419" w:name="section_77f82ab9b91043f881b1e5bd352a2ed8"/>
      <w:bookmarkStart w:id="3420" w:name="_Toc12261770"/>
      <w:r>
        <w:t>Part 1 Section 22.1</w:t>
      </w:r>
      <w:r>
        <w:t>.2.114, sup (Superscript (Superscript object))</w:t>
      </w:r>
      <w:bookmarkEnd w:id="3419"/>
      <w:bookmarkEnd w:id="3420"/>
      <w:r>
        <w:fldChar w:fldCharType="begin"/>
      </w:r>
      <w:r>
        <w:instrText xml:space="preserve"> XE "sup (Superscript (Superscript object))"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 §2</w:t>
        </w:r>
        <w:r>
          <w:rPr>
            <w:rStyle w:val="Hyperlink"/>
          </w:rPr>
          <w:t>2.1.2.77(c)</w:t>
        </w:r>
      </w:hyperlink>
      <w:r>
        <w:rPr>
          <w:i/>
        </w:rPr>
        <w:t>.</w:t>
      </w:r>
    </w:p>
    <w:p w:rsidR="00024C0A" w:rsidRDefault="00694C0F">
      <w:pPr>
        <w:pStyle w:val="Definition-Field"/>
      </w:pPr>
      <w:r>
        <w:t xml:space="preserve">a.   </w:t>
      </w:r>
      <w:r>
        <w:rPr>
          <w:i/>
        </w:rPr>
        <w:t>The standard says sup only specifies the superscript of sSup even though the schema also allows it as a child of sPre, sSubSup, and nary.</w:t>
      </w:r>
    </w:p>
    <w:p w:rsidR="00024C0A" w:rsidRDefault="00694C0F">
      <w:pPr>
        <w:pStyle w:val="Definition-Field2"/>
      </w:pPr>
      <w:r>
        <w:t xml:space="preserve">In Word, sup specifies the superscript of sSup, sPre, and sSubSup, and specifies the upper limit of </w:t>
      </w:r>
      <w:r>
        <w:t>nary.</w:t>
      </w:r>
    </w:p>
    <w:p w:rsidR="00024C0A" w:rsidRDefault="00694C0F">
      <w:pPr>
        <w:pStyle w:val="Heading3"/>
      </w:pPr>
      <w:bookmarkStart w:id="3421" w:name="section_507a42d32be5409c917c824b3fa31ebb"/>
      <w:bookmarkStart w:id="3422" w:name="_Toc12261771"/>
      <w:r>
        <w:t>Part 1 Section 22.1.2.115, supHide (Hide Superscript (n-ary))</w:t>
      </w:r>
      <w:bookmarkEnd w:id="3421"/>
      <w:bookmarkEnd w:id="3422"/>
      <w:r>
        <w:fldChar w:fldCharType="begin"/>
      </w:r>
      <w:r>
        <w:instrText xml:space="preserve"> XE "supHide (Hide Superscript (n-ary))" </w:instrText>
      </w:r>
      <w:r>
        <w:fldChar w:fldCharType="end"/>
      </w:r>
    </w:p>
    <w:p w:rsidR="00024C0A" w:rsidRDefault="00694C0F">
      <w:pPr>
        <w:pStyle w:val="Definition-Field"/>
      </w:pPr>
      <w:r>
        <w:t xml:space="preserve">a.   </w:t>
      </w:r>
      <w:r>
        <w:rPr>
          <w:i/>
        </w:rPr>
        <w:t>The standard says that if supHide is omitted the lower limit will appear.</w:t>
      </w:r>
    </w:p>
    <w:p w:rsidR="00024C0A" w:rsidRDefault="00694C0F">
      <w:pPr>
        <w:pStyle w:val="Definition-Field2"/>
      </w:pPr>
      <w:r>
        <w:t>In Word, if supHide is omitted, the upper limit will appear.</w:t>
      </w:r>
    </w:p>
    <w:p w:rsidR="00024C0A" w:rsidRDefault="00694C0F">
      <w:pPr>
        <w:pStyle w:val="Definition-Field"/>
      </w:pPr>
      <w:r>
        <w:t xml:space="preserve">b.   </w:t>
      </w:r>
      <w:r>
        <w:rPr>
          <w:i/>
        </w:rPr>
        <w:t>The standard allows supHide to be set when the upper limit is not empty.</w:t>
      </w:r>
    </w:p>
    <w:p w:rsidR="00024C0A" w:rsidRDefault="00694C0F">
      <w:pPr>
        <w:pStyle w:val="Definition-Field2"/>
      </w:pPr>
      <w:r>
        <w:t>In Word, if the supHide attribute is on while the upper limit of the n-ary function is not empty, the application will display this argument next to the base argument of the n-ary fun</w:t>
      </w:r>
      <w:r>
        <w:t>ction.</w:t>
      </w:r>
    </w:p>
    <w:p w:rsidR="00024C0A" w:rsidRDefault="00694C0F">
      <w:pPr>
        <w:pStyle w:val="Heading3"/>
      </w:pPr>
      <w:bookmarkStart w:id="3423" w:name="section_715e9ffc7f3f49c5a42e7db548f1df3d"/>
      <w:bookmarkStart w:id="3424" w:name="_Toc12261772"/>
      <w:r>
        <w:t>Part 1 Section 22.1.2.116, t (Text)</w:t>
      </w:r>
      <w:bookmarkEnd w:id="3423"/>
      <w:bookmarkEnd w:id="3424"/>
      <w:r>
        <w:fldChar w:fldCharType="begin"/>
      </w:r>
      <w:r>
        <w:instrText xml:space="preserve"> XE "t (Text)" </w:instrText>
      </w:r>
      <w:r>
        <w:fldChar w:fldCharType="end"/>
      </w:r>
    </w:p>
    <w:p w:rsidR="00024C0A" w:rsidRDefault="00694C0F">
      <w:pPr>
        <w:pStyle w:val="Definition-Field"/>
      </w:pPr>
      <w:r>
        <w:t xml:space="preserve">a.   </w:t>
      </w:r>
      <w:r>
        <w:rPr>
          <w:i/>
        </w:rPr>
        <w:t>The standard says the xml:space attribute specifies whether to preserve spaces while reading text inside math text.</w:t>
      </w:r>
    </w:p>
    <w:p w:rsidR="00024C0A" w:rsidRDefault="00694C0F">
      <w:pPr>
        <w:pStyle w:val="Definition-Field2"/>
      </w:pPr>
      <w:r>
        <w:t>Word ignores this attribute and always preserves spaces inside math text.</w:t>
      </w:r>
    </w:p>
    <w:p w:rsidR="00024C0A" w:rsidRDefault="00694C0F">
      <w:pPr>
        <w:pStyle w:val="Heading3"/>
      </w:pPr>
      <w:bookmarkStart w:id="3425" w:name="section_2ba8081c91f3403c9a7a258d000a5a32"/>
      <w:bookmarkStart w:id="3426" w:name="_Toc12261773"/>
      <w:r>
        <w:t>Part 1 Section 22.1.2.117, transp (Transparent (Phantom))</w:t>
      </w:r>
      <w:bookmarkEnd w:id="3425"/>
      <w:bookmarkEnd w:id="3426"/>
      <w:r>
        <w:fldChar w:fldCharType="begin"/>
      </w:r>
      <w:r>
        <w:instrText xml:space="preserve"> XE "transp (Transparent (Phantom))" </w:instrText>
      </w:r>
      <w:r>
        <w:fldChar w:fldCharType="end"/>
      </w:r>
    </w:p>
    <w:p w:rsidR="00024C0A" w:rsidRDefault="00694C0F">
      <w:pPr>
        <w:pStyle w:val="Definition-Field"/>
      </w:pPr>
      <w:r>
        <w:t xml:space="preserve">a.   </w:t>
      </w:r>
      <w:r>
        <w:rPr>
          <w:i/>
        </w:rPr>
        <w:t>The standard says if transparency is off, then the contents of the phantom are ignored during layout.</w:t>
      </w:r>
    </w:p>
    <w:p w:rsidR="00024C0A" w:rsidRDefault="00694C0F">
      <w:pPr>
        <w:pStyle w:val="Definition-Field2"/>
      </w:pPr>
      <w:r>
        <w:t xml:space="preserve">In Word, if transparency is off, special spacing is </w:t>
      </w:r>
      <w:r>
        <w:t>not added before and after the phantom, but the contents are not ignored during layout.</w:t>
      </w:r>
    </w:p>
    <w:p w:rsidR="00024C0A" w:rsidRDefault="00694C0F">
      <w:pPr>
        <w:pStyle w:val="Definition-Field"/>
      </w:pPr>
      <w:r>
        <w:t xml:space="preserve">b.   </w:t>
      </w:r>
      <w:r>
        <w:rPr>
          <w:i/>
        </w:rPr>
        <w:t>The standard allows transparency to be set on a phantom with any contents.</w:t>
      </w:r>
    </w:p>
    <w:p w:rsidR="00024C0A" w:rsidRDefault="00694C0F">
      <w:pPr>
        <w:pStyle w:val="Definition-Field2"/>
      </w:pPr>
      <w:r>
        <w:t>In Word, transparency does not work as specified unless the phantom contains another mat</w:t>
      </w:r>
      <w:r>
        <w:t>h function and does not start or end with a math operator.</w:t>
      </w:r>
    </w:p>
    <w:p w:rsidR="00024C0A" w:rsidRDefault="00694C0F">
      <w:pPr>
        <w:pStyle w:val="Heading3"/>
      </w:pPr>
      <w:bookmarkStart w:id="3427" w:name="section_2a82044e2cc54f95b7b77c0b976bc7db"/>
      <w:bookmarkStart w:id="3428" w:name="_Toc12261774"/>
      <w:r>
        <w:t>Part 1 Section 22.1.3.1, ST_BreakBin (Break Binary Operators)</w:t>
      </w:r>
      <w:bookmarkEnd w:id="3427"/>
      <w:bookmarkEnd w:id="3428"/>
      <w:r>
        <w:fldChar w:fldCharType="begin"/>
      </w:r>
      <w:r>
        <w:instrText xml:space="preserve"> XE "ST_BreakBin (Break Binary Operators)" </w:instrText>
      </w:r>
      <w:r>
        <w:fldChar w:fldCharType="end"/>
      </w:r>
    </w:p>
    <w:p w:rsidR="00024C0A" w:rsidRDefault="00694C0F">
      <w:pPr>
        <w:pStyle w:val="Definition-Field"/>
      </w:pPr>
      <w:r>
        <w:t xml:space="preserve">a.   </w:t>
      </w:r>
      <w:r>
        <w:rPr>
          <w:i/>
        </w:rPr>
        <w:t>The standard says that after means the operator appears after the break and before me</w:t>
      </w:r>
      <w:r>
        <w:rPr>
          <w:i/>
        </w:rPr>
        <w:t>ans the operator appears before the break.</w:t>
      </w:r>
    </w:p>
    <w:p w:rsidR="00024C0A" w:rsidRDefault="00694C0F">
      <w:pPr>
        <w:pStyle w:val="Definition-Field2"/>
      </w:pPr>
      <w:r>
        <w:t>In Word, after means the break occurs after the operator (the binary operator appears before the break) and before means the break occurs before the operator (the binary operator appears after the break).</w:t>
      </w:r>
    </w:p>
    <w:p w:rsidR="00024C0A" w:rsidRDefault="00694C0F">
      <w:pPr>
        <w:pStyle w:val="Heading3"/>
      </w:pPr>
      <w:bookmarkStart w:id="3429" w:name="section_ad3c1e3e6b9641e28f45c78a8e025284"/>
      <w:bookmarkStart w:id="3430" w:name="_Toc12261775"/>
      <w:r>
        <w:lastRenderedPageBreak/>
        <w:t>Part 1 S</w:t>
      </w:r>
      <w:r>
        <w:t>ection 22.1.3.7, ST_Jc (Justification)</w:t>
      </w:r>
      <w:bookmarkEnd w:id="3429"/>
      <w:bookmarkEnd w:id="3430"/>
      <w:r>
        <w:fldChar w:fldCharType="begin"/>
      </w:r>
      <w:r>
        <w:instrText xml:space="preserve"> XE "ST_Jc (Justification)" </w:instrText>
      </w:r>
      <w:r>
        <w:fldChar w:fldCharType="end"/>
      </w:r>
    </w:p>
    <w:p w:rsidR="00024C0A" w:rsidRDefault="00694C0F">
      <w:pPr>
        <w:pStyle w:val="Definition-Field"/>
      </w:pPr>
      <w:r>
        <w:t xml:space="preserve">a.   </w:t>
      </w:r>
      <w:r>
        <w:rPr>
          <w:i/>
        </w:rPr>
        <w:t>The standard says centerGroup alignment takes place relative to the page even though the equation might be inside an object like a table cell.</w:t>
      </w:r>
    </w:p>
    <w:p w:rsidR="00024C0A" w:rsidRDefault="00694C0F">
      <w:pPr>
        <w:pStyle w:val="Definition-Field2"/>
      </w:pPr>
      <w:r>
        <w:t>In Word, centerGroup alignment takes pl</w:t>
      </w:r>
      <w:r>
        <w:t>ace relative to the equation margins just like center alignment.</w:t>
      </w:r>
    </w:p>
    <w:p w:rsidR="00024C0A" w:rsidRDefault="00694C0F">
      <w:pPr>
        <w:pStyle w:val="Definition-Field"/>
      </w:pPr>
      <w:r>
        <w:t xml:space="preserve">b.   </w:t>
      </w:r>
      <w:r>
        <w:rPr>
          <w:i/>
        </w:rPr>
        <w:t>The standard says centerGroup means that equations are justified with respect to each other and then the group is centered, but it does not specify how to justify the equations respect t</w:t>
      </w:r>
      <w:r>
        <w:rPr>
          <w:i/>
        </w:rPr>
        <w:t>o each other.</w:t>
      </w:r>
    </w:p>
    <w:p w:rsidR="00024C0A" w:rsidRDefault="00694C0F">
      <w:pPr>
        <w:pStyle w:val="Definition-Field2"/>
      </w:pPr>
      <w:r>
        <w:t>In Word, centerGroup means that equations are left justified with respect to each other, and then group is centered.</w:t>
      </w:r>
    </w:p>
    <w:p w:rsidR="00024C0A" w:rsidRDefault="00694C0F">
      <w:pPr>
        <w:pStyle w:val="Heading3"/>
      </w:pPr>
      <w:bookmarkStart w:id="3431" w:name="section_5991a2b500444c47aae0177c93bcfd2b"/>
      <w:bookmarkStart w:id="3432" w:name="_Toc12261776"/>
      <w:r>
        <w:t>Part 1 Section 22.1.3.10, ST_Shp (Shape (Delimiters))</w:t>
      </w:r>
      <w:bookmarkEnd w:id="3431"/>
      <w:bookmarkEnd w:id="3432"/>
      <w:r>
        <w:fldChar w:fldCharType="begin"/>
      </w:r>
      <w:r>
        <w:instrText xml:space="preserve"> XE "ST_Shp (Shape (Delimiters))" </w:instrText>
      </w:r>
      <w:r>
        <w:fldChar w:fldCharType="end"/>
      </w:r>
    </w:p>
    <w:p w:rsidR="00024C0A" w:rsidRDefault="00694C0F">
      <w:pPr>
        <w:pStyle w:val="Definition-Field"/>
      </w:pPr>
      <w:r>
        <w:t xml:space="preserve">a.   </w:t>
      </w:r>
      <w:r>
        <w:rPr>
          <w:i/>
        </w:rPr>
        <w:t>The standard says the match va</w:t>
      </w:r>
      <w:r>
        <w:rPr>
          <w:i/>
        </w:rPr>
        <w:t>lue means the delimiters match the shape of the argument.</w:t>
      </w:r>
    </w:p>
    <w:p w:rsidR="00024C0A" w:rsidRDefault="00694C0F">
      <w:pPr>
        <w:pStyle w:val="Definition-Field2"/>
      </w:pPr>
      <w:r>
        <w:t>In Word, the match value means the delimiters match the height of the argument.</w:t>
      </w:r>
    </w:p>
    <w:p w:rsidR="00024C0A" w:rsidRDefault="00694C0F">
      <w:pPr>
        <w:pStyle w:val="Heading3"/>
      </w:pPr>
      <w:bookmarkStart w:id="3433" w:name="section_b020773c92774a4181691f29c9b3f0de"/>
      <w:bookmarkStart w:id="3434" w:name="_Toc12261777"/>
      <w:r>
        <w:t>Part 1 Section 22.1.3.13, ST_TopBot (Top-Bottom)</w:t>
      </w:r>
      <w:bookmarkEnd w:id="3433"/>
      <w:bookmarkEnd w:id="3434"/>
      <w:r>
        <w:fldChar w:fldCharType="begin"/>
      </w:r>
      <w:r>
        <w:instrText xml:space="preserve"> XE "ST_TopBot (Top-Bottom)" </w:instrText>
      </w:r>
      <w:r>
        <w:fldChar w:fldCharType="end"/>
      </w:r>
    </w:p>
    <w:p w:rsidR="00024C0A" w:rsidRDefault="00694C0F">
      <w:pPr>
        <w:pStyle w:val="Definition-Field"/>
      </w:pPr>
      <w:r>
        <w:t xml:space="preserve">a.   </w:t>
      </w:r>
      <w:r>
        <w:rPr>
          <w:i/>
        </w:rPr>
        <w:t>The standard describes the values</w:t>
      </w:r>
      <w:r>
        <w:rPr>
          <w:i/>
        </w:rPr>
        <w:t xml:space="preserve"> of the ST_TopBot simple type in terms of the vertJc element.</w:t>
      </w:r>
    </w:p>
    <w:p w:rsidR="00024C0A" w:rsidRDefault="00694C0F">
      <w:pPr>
        <w:pStyle w:val="Definition-Field2"/>
      </w:pPr>
      <w:r>
        <w:t>Word defines the values of this simple type to take on the meanings appropriate to the parent element.</w:t>
      </w:r>
    </w:p>
    <w:p w:rsidR="00024C0A" w:rsidRDefault="00694C0F">
      <w:pPr>
        <w:pStyle w:val="Heading3"/>
      </w:pPr>
      <w:bookmarkStart w:id="3435" w:name="section_71424b866d3c4173a2027fc4efad6377"/>
      <w:bookmarkStart w:id="3436" w:name="_Toc12261778"/>
      <w:r>
        <w:t>Part 1 Section 22.1.3.14, ST_UnSignedInteger (Unsigned integer.)</w:t>
      </w:r>
      <w:bookmarkEnd w:id="3435"/>
      <w:bookmarkEnd w:id="3436"/>
      <w:r>
        <w:fldChar w:fldCharType="begin"/>
      </w:r>
      <w:r>
        <w:instrText xml:space="preserve"> XE "ST_UnSignedInteger (Unsigned integer.)" </w:instrText>
      </w:r>
      <w:r>
        <w:fldChar w:fldCharType="end"/>
      </w:r>
    </w:p>
    <w:p w:rsidR="00024C0A" w:rsidRDefault="00694C0F">
      <w:pPr>
        <w:pStyle w:val="Definition-Field"/>
      </w:pPr>
      <w:r>
        <w:t xml:space="preserve">a.   </w:t>
      </w:r>
      <w:r>
        <w:rPr>
          <w:i/>
        </w:rPr>
        <w:t>The standard states that the values of the val attribute are defined by the XML unsignedInt datatype.</w:t>
      </w:r>
    </w:p>
    <w:p w:rsidR="00024C0A" w:rsidRDefault="00694C0F">
      <w:pPr>
        <w:pStyle w:val="Definition-Field2"/>
      </w:pPr>
      <w:r>
        <w:t>Word defines the values of this attribute with the XML unsignedShort datatype.</w:t>
      </w:r>
    </w:p>
    <w:p w:rsidR="00024C0A" w:rsidRDefault="00694C0F">
      <w:pPr>
        <w:pStyle w:val="Heading3"/>
      </w:pPr>
      <w:bookmarkStart w:id="3437" w:name="section_6575023bde01441fa9da8cc9d3b73e99"/>
      <w:bookmarkStart w:id="3438" w:name="_Toc12261779"/>
      <w:r>
        <w:t>Part 1 Section 22.2.2.</w:t>
      </w:r>
      <w:r>
        <w:t>2, AppVersion (Application Version)</w:t>
      </w:r>
      <w:bookmarkEnd w:id="3437"/>
      <w:bookmarkEnd w:id="3438"/>
      <w:r>
        <w:fldChar w:fldCharType="begin"/>
      </w:r>
      <w:r>
        <w:instrText xml:space="preserve"> XE "AppVersion (Application Version)" </w:instrText>
      </w:r>
      <w:r>
        <w:fldChar w:fldCharType="end"/>
      </w:r>
    </w:p>
    <w:p w:rsidR="00024C0A" w:rsidRDefault="00694C0F">
      <w:pPr>
        <w:pStyle w:val="Definition-Field"/>
      </w:pPr>
      <w:r>
        <w:t xml:space="preserve">a.   </w:t>
      </w:r>
      <w:r>
        <w:rPr>
          <w:i/>
        </w:rPr>
        <w:t>The standard does not constrain the app version.</w:t>
      </w:r>
    </w:p>
    <w:p w:rsidR="00024C0A" w:rsidRDefault="00694C0F">
      <w:pPr>
        <w:pStyle w:val="Definition-Field2"/>
      </w:pPr>
      <w:r>
        <w:t>Office constrains the app version to strings matching the XSD pattern value "[0-9]{1,2}\.[0-9]{1,4}".</w:t>
      </w:r>
    </w:p>
    <w:p w:rsidR="00024C0A" w:rsidRDefault="00694C0F">
      <w:pPr>
        <w:pStyle w:val="Heading3"/>
      </w:pPr>
      <w:bookmarkStart w:id="3439" w:name="section_360e6b06a67f44faa5bf8ade7fbe7212"/>
      <w:bookmarkStart w:id="3440" w:name="_Toc12261780"/>
      <w:r>
        <w:t>Part 1 Section 22.2.2.6</w:t>
      </w:r>
      <w:r>
        <w:t>, DigSig (Digital Signature)</w:t>
      </w:r>
      <w:bookmarkEnd w:id="3439"/>
      <w:bookmarkEnd w:id="3440"/>
      <w:r>
        <w:fldChar w:fldCharType="begin"/>
      </w:r>
      <w:r>
        <w:instrText xml:space="preserve"> XE "DigSig (Digital Signature)" </w:instrText>
      </w:r>
      <w:r>
        <w:fldChar w:fldCharType="end"/>
      </w:r>
    </w:p>
    <w:p w:rsidR="00024C0A" w:rsidRDefault="00694C0F">
      <w:pPr>
        <w:pStyle w:val="Definition-Field"/>
      </w:pPr>
      <w:r>
        <w:t xml:space="preserve">a.   </w:t>
      </w:r>
      <w:r>
        <w:rPr>
          <w:i/>
        </w:rPr>
        <w:t>The standard does not specify the format of the digital signature blob.</w:t>
      </w:r>
    </w:p>
    <w:p w:rsidR="00024C0A" w:rsidRDefault="00694C0F">
      <w:r>
        <w:t xml:space="preserve">Office expects that the structure of the decoded binary blob is specified as follows: </w:t>
      </w:r>
    </w:p>
    <w:tbl>
      <w:tblPr>
        <w:tblStyle w:val="Table-ShadedHeader"/>
        <w:tblW w:w="0" w:type="auto"/>
        <w:tblLook w:val="04A0" w:firstRow="1" w:lastRow="0" w:firstColumn="1" w:lastColumn="0" w:noHBand="0" w:noVBand="1"/>
      </w:tblPr>
      <w:tblGrid>
        <w:gridCol w:w="1544"/>
        <w:gridCol w:w="7605"/>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Offset in bytes</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t>0</w:t>
            </w:r>
          </w:p>
        </w:tc>
        <w:tc>
          <w:tcPr>
            <w:tcW w:w="0" w:type="auto"/>
            <w:vAlign w:val="center"/>
          </w:tcPr>
          <w:p w:rsidR="00024C0A" w:rsidRDefault="00694C0F">
            <w:pPr>
              <w:pStyle w:val="TableBodyText"/>
            </w:pPr>
            <w:r>
              <w:t>Specifies the byte size of the digital signature data blob that starts at offset 8</w:t>
            </w:r>
          </w:p>
        </w:tc>
      </w:tr>
      <w:tr w:rsidR="00024C0A" w:rsidTr="00024C0A">
        <w:tc>
          <w:tcPr>
            <w:tcW w:w="0" w:type="auto"/>
            <w:vAlign w:val="center"/>
          </w:tcPr>
          <w:p w:rsidR="00024C0A" w:rsidRDefault="00694C0F">
            <w:pPr>
              <w:pStyle w:val="TableBodyText"/>
            </w:pPr>
            <w:r>
              <w:t>4</w:t>
            </w:r>
          </w:p>
        </w:tc>
        <w:tc>
          <w:tcPr>
            <w:tcW w:w="0" w:type="auto"/>
            <w:vAlign w:val="center"/>
          </w:tcPr>
          <w:p w:rsidR="00024C0A" w:rsidRDefault="00694C0F">
            <w:pPr>
              <w:pStyle w:val="TableBodyText"/>
            </w:pPr>
            <w:r>
              <w:t>Specifies digital signature data offset from the beginning of the blob. This shall always be 8</w:t>
            </w:r>
          </w:p>
        </w:tc>
      </w:tr>
      <w:tr w:rsidR="00024C0A" w:rsidTr="00024C0A">
        <w:tc>
          <w:tcPr>
            <w:tcW w:w="0" w:type="auto"/>
            <w:vAlign w:val="center"/>
          </w:tcPr>
          <w:p w:rsidR="00024C0A" w:rsidRDefault="00694C0F">
            <w:pPr>
              <w:pStyle w:val="TableBodyText"/>
            </w:pPr>
            <w:r>
              <w:t>8</w:t>
            </w:r>
          </w:p>
        </w:tc>
        <w:tc>
          <w:tcPr>
            <w:tcW w:w="0" w:type="auto"/>
            <w:vAlign w:val="center"/>
          </w:tcPr>
          <w:p w:rsidR="00024C0A" w:rsidRDefault="00694C0F">
            <w:pPr>
              <w:pStyle w:val="TableBodyText"/>
            </w:pPr>
            <w:r>
              <w:t>Digital signature data</w:t>
            </w:r>
          </w:p>
        </w:tc>
      </w:tr>
    </w:tbl>
    <w:p w:rsidR="00024C0A" w:rsidRDefault="00024C0A"/>
    <w:p w:rsidR="00024C0A" w:rsidRDefault="00694C0F">
      <w:pPr>
        <w:pStyle w:val="Heading3"/>
      </w:pPr>
      <w:bookmarkStart w:id="3441" w:name="section_f0f1a882555d4c3db7514fe6cd1011af"/>
      <w:bookmarkStart w:id="3442" w:name="_Toc12261781"/>
      <w:r>
        <w:lastRenderedPageBreak/>
        <w:t>Part 1 Section 22.2.2.7, DocSecurity (Document Security)</w:t>
      </w:r>
      <w:bookmarkEnd w:id="3441"/>
      <w:bookmarkEnd w:id="3442"/>
      <w:r>
        <w:fldChar w:fldCharType="begin"/>
      </w:r>
      <w:r>
        <w:instrText xml:space="preserve"> XE "DocSecurity (Document Security)" </w:instrText>
      </w:r>
      <w:r>
        <w:fldChar w:fldCharType="end"/>
      </w:r>
    </w:p>
    <w:p w:rsidR="00024C0A" w:rsidRDefault="00694C0F">
      <w:pPr>
        <w:pStyle w:val="Definition-Field"/>
      </w:pPr>
      <w:r>
        <w:t xml:space="preserve">a.   </w:t>
      </w:r>
      <w:r>
        <w:rPr>
          <w:i/>
        </w:rPr>
        <w:t>The standard states that the valid values of the DocSecurity element are 1, 2, 4, and 8.</w:t>
      </w:r>
    </w:p>
    <w:p w:rsidR="00024C0A" w:rsidRDefault="00694C0F">
      <w:pPr>
        <w:pStyle w:val="Definition-Field2"/>
      </w:pPr>
      <w:r>
        <w:t xml:space="preserve">Office also supports a value of 0, signifying that no security </w:t>
      </w:r>
      <w:r>
        <w:t>level is defined.</w:t>
      </w:r>
    </w:p>
    <w:p w:rsidR="00024C0A" w:rsidRDefault="00694C0F">
      <w:pPr>
        <w:pStyle w:val="Definition-Field"/>
      </w:pPr>
      <w:r>
        <w:t xml:space="preserve">b.   </w:t>
      </w:r>
      <w:r>
        <w:rPr>
          <w:i/>
        </w:rPr>
        <w:t>The standard states that the valid values of the DocSecurity element are 1, 2, 4, and 8.</w:t>
      </w:r>
    </w:p>
    <w:p w:rsidR="00024C0A" w:rsidRDefault="00694C0F">
      <w:pPr>
        <w:pStyle w:val="Definition-Field2"/>
      </w:pPr>
      <w:r>
        <w:t>Excel does not support the values 4 or 8.</w:t>
      </w:r>
    </w:p>
    <w:p w:rsidR="00024C0A" w:rsidRDefault="00694C0F">
      <w:pPr>
        <w:pStyle w:val="Definition-Field"/>
      </w:pPr>
      <w:r>
        <w:t xml:space="preserve">c.   </w:t>
      </w:r>
      <w:r>
        <w:rPr>
          <w:i/>
        </w:rPr>
        <w:t>The standard does not state that the values of this element can be combined.</w:t>
      </w:r>
    </w:p>
    <w:p w:rsidR="00024C0A" w:rsidRDefault="00694C0F">
      <w:pPr>
        <w:pStyle w:val="Definition-Field2"/>
      </w:pPr>
      <w:r>
        <w:t>Office allows the va</w:t>
      </w:r>
      <w:r>
        <w:t>lues of this element to be combined.</w:t>
      </w:r>
    </w:p>
    <w:p w:rsidR="00024C0A" w:rsidRDefault="00694C0F">
      <w:pPr>
        <w:pStyle w:val="Heading3"/>
      </w:pPr>
      <w:bookmarkStart w:id="3443" w:name="section_7bbab4664477424b9c52cc9800547d7b"/>
      <w:bookmarkStart w:id="3444" w:name="_Toc12261782"/>
      <w:r>
        <w:t>Part 1 Section 22.2.2.8, HeadingPairs (Heading Pairs)</w:t>
      </w:r>
      <w:bookmarkEnd w:id="3443"/>
      <w:bookmarkEnd w:id="3444"/>
      <w:r>
        <w:fldChar w:fldCharType="begin"/>
      </w:r>
      <w:r>
        <w:instrText xml:space="preserve"> XE "HeadingPairs (Heading Pairs)" </w:instrText>
      </w:r>
      <w:r>
        <w:fldChar w:fldCharType="end"/>
      </w:r>
    </w:p>
    <w:p w:rsidR="00024C0A" w:rsidRDefault="00694C0F">
      <w:pPr>
        <w:pStyle w:val="Definition-Field"/>
      </w:pPr>
      <w:r>
        <w:t xml:space="preserve">a.   </w:t>
      </w:r>
      <w:r>
        <w:rPr>
          <w:i/>
        </w:rPr>
        <w:t>The standard does not document restrictions.</w:t>
      </w:r>
    </w:p>
    <w:p w:rsidR="00024C0A" w:rsidRDefault="00694C0F">
      <w:r>
        <w:t>In Office, a specific order and variant type is required for each heading pair</w:t>
      </w:r>
      <w:r>
        <w:t>.  The baseType of the vector should be “variant”. The following table specifies the order and the variant type of each heading pair:</w:t>
      </w:r>
    </w:p>
    <w:tbl>
      <w:tblPr>
        <w:tblStyle w:val="Table-ShadedHeader"/>
        <w:tblW w:w="0" w:type="auto"/>
        <w:tblLook w:val="04A0" w:firstRow="1" w:lastRow="0" w:firstColumn="1" w:lastColumn="0" w:noHBand="0" w:noVBand="1"/>
      </w:tblPr>
      <w:tblGrid>
        <w:gridCol w:w="1356"/>
        <w:gridCol w:w="6924"/>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Variant type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t>lpstr or lpwstr</w:t>
            </w:r>
          </w:p>
        </w:tc>
        <w:tc>
          <w:tcPr>
            <w:tcW w:w="0" w:type="auto"/>
            <w:vAlign w:val="center"/>
          </w:tcPr>
          <w:p w:rsidR="00024C0A" w:rsidRDefault="00694C0F">
            <w:pPr>
              <w:pStyle w:val="TableBodyText"/>
            </w:pPr>
            <w:r>
              <w:t>Specifies the heading for the group</w:t>
            </w:r>
          </w:p>
        </w:tc>
      </w:tr>
      <w:tr w:rsidR="00024C0A" w:rsidTr="00024C0A">
        <w:tc>
          <w:tcPr>
            <w:tcW w:w="0" w:type="auto"/>
            <w:vAlign w:val="center"/>
          </w:tcPr>
          <w:p w:rsidR="00024C0A" w:rsidRDefault="00694C0F">
            <w:pPr>
              <w:pStyle w:val="TableBodyText"/>
            </w:pPr>
            <w:r>
              <w:t>i4</w:t>
            </w:r>
          </w:p>
        </w:tc>
        <w:tc>
          <w:tcPr>
            <w:tcW w:w="0" w:type="auto"/>
            <w:vAlign w:val="center"/>
          </w:tcPr>
          <w:p w:rsidR="00024C0A" w:rsidRDefault="00694C0F">
            <w:pPr>
              <w:pStyle w:val="TableBodyText"/>
            </w:pPr>
            <w:r>
              <w:t xml:space="preserve">Specifies the number of parts in the </w:t>
            </w:r>
            <w:r>
              <w:t>group. This value should be a positive integer.</w:t>
            </w:r>
          </w:p>
        </w:tc>
      </w:tr>
    </w:tbl>
    <w:p w:rsidR="00024C0A" w:rsidRDefault="00024C0A"/>
    <w:p w:rsidR="00024C0A" w:rsidRDefault="00694C0F">
      <w:pPr>
        <w:pStyle w:val="Definition-Field"/>
      </w:pPr>
      <w:r>
        <w:t xml:space="preserve">b.   </w:t>
      </w:r>
      <w:r>
        <w:rPr>
          <w:i/>
        </w:rPr>
        <w:t>The standard does not include HeadingPairs for SpreadsheetML.</w:t>
      </w:r>
    </w:p>
    <w:p w:rsidR="00024C0A" w:rsidRDefault="00694C0F">
      <w:r>
        <w:t>In Excel, the following heading pair values are specified:</w:t>
      </w:r>
    </w:p>
    <w:tbl>
      <w:tblPr>
        <w:tblStyle w:val="Table-ShadedHeader"/>
        <w:tblW w:w="0" w:type="auto"/>
        <w:tblLook w:val="04A0" w:firstRow="1" w:lastRow="0" w:firstColumn="1" w:lastColumn="0" w:noHBand="0" w:noVBand="1"/>
      </w:tblPr>
      <w:tblGrid>
        <w:gridCol w:w="1514"/>
        <w:gridCol w:w="796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Value Pair</w:t>
            </w:r>
          </w:p>
        </w:tc>
        <w:tc>
          <w:tcPr>
            <w:tcW w:w="0" w:type="auto"/>
            <w:vAlign w:val="center"/>
          </w:tcPr>
          <w:p w:rsidR="00024C0A" w:rsidRDefault="00694C0F">
            <w:pPr>
              <w:pStyle w:val="TableHeaderText"/>
            </w:pPr>
            <w:r>
              <w:t>Meaning</w:t>
            </w:r>
          </w:p>
        </w:tc>
      </w:tr>
      <w:tr w:rsidR="00024C0A" w:rsidTr="00024C0A">
        <w:tc>
          <w:tcPr>
            <w:tcW w:w="0" w:type="auto"/>
            <w:vAlign w:val="center"/>
          </w:tcPr>
          <w:p w:rsidR="00024C0A" w:rsidRDefault="00694C0F">
            <w:pPr>
              <w:pStyle w:val="TableBodyText"/>
            </w:pPr>
            <w:r>
              <w:t>SheetType, n</w:t>
            </w:r>
          </w:p>
        </w:tc>
        <w:tc>
          <w:tcPr>
            <w:tcW w:w="0" w:type="auto"/>
            <w:vAlign w:val="center"/>
          </w:tcPr>
          <w:p w:rsidR="00024C0A" w:rsidRDefault="00694C0F">
            <w:pPr>
              <w:pStyle w:val="TableBodyText"/>
            </w:pPr>
            <w:r>
              <w:t xml:space="preserve">There are </w:t>
            </w:r>
            <w:r>
              <w:rPr>
                <w:b/>
              </w:rPr>
              <w:t xml:space="preserve">n </w:t>
            </w:r>
            <w:r>
              <w:t>of these types of sheets in the wor</w:t>
            </w:r>
            <w:r>
              <w:t>kbook.  SheetType can be one of the following:  Worksheet, Charts, and Dialogs.</w:t>
            </w:r>
          </w:p>
        </w:tc>
      </w:tr>
      <w:tr w:rsidR="00024C0A" w:rsidTr="00024C0A">
        <w:tc>
          <w:tcPr>
            <w:tcW w:w="0" w:type="auto"/>
            <w:vAlign w:val="center"/>
          </w:tcPr>
          <w:p w:rsidR="00024C0A" w:rsidRDefault="00694C0F">
            <w:pPr>
              <w:pStyle w:val="TableBodyText"/>
            </w:pPr>
            <w:r>
              <w:t>Named Ranges, n</w:t>
            </w:r>
          </w:p>
        </w:tc>
        <w:tc>
          <w:tcPr>
            <w:tcW w:w="0" w:type="auto"/>
            <w:vAlign w:val="center"/>
          </w:tcPr>
          <w:p w:rsidR="00024C0A" w:rsidRDefault="00694C0F">
            <w:pPr>
              <w:pStyle w:val="TableBodyText"/>
            </w:pPr>
            <w:r>
              <w:t xml:space="preserve">There are </w:t>
            </w:r>
            <w:r>
              <w:rPr>
                <w:b/>
              </w:rPr>
              <w:t>n</w:t>
            </w:r>
            <w:r>
              <w:t xml:space="preserve"> named ranges in the workbook.</w:t>
            </w:r>
          </w:p>
        </w:tc>
      </w:tr>
    </w:tbl>
    <w:p w:rsidR="00024C0A" w:rsidRDefault="00024C0A"/>
    <w:p w:rsidR="00024C0A" w:rsidRDefault="00694C0F">
      <w:pPr>
        <w:pStyle w:val="Heading3"/>
      </w:pPr>
      <w:bookmarkStart w:id="3445" w:name="section_17baf0f7f34b45789bf7ad584c5474c8"/>
      <w:bookmarkStart w:id="3446" w:name="_Toc12261783"/>
      <w:r>
        <w:t>Part 1 Section 22.2.2.10, HLinks (Hyperlink List)</w:t>
      </w:r>
      <w:bookmarkEnd w:id="3445"/>
      <w:bookmarkEnd w:id="3446"/>
      <w:r>
        <w:fldChar w:fldCharType="begin"/>
      </w:r>
      <w:r>
        <w:instrText xml:space="preserve"> XE "HLinks (Hyperlink List)" </w:instrText>
      </w:r>
      <w:r>
        <w:fldChar w:fldCharType="end"/>
      </w:r>
    </w:p>
    <w:p w:rsidR="00024C0A" w:rsidRDefault="00694C0F">
      <w:pPr>
        <w:pStyle w:val="Definition-Field"/>
      </w:pPr>
      <w:r>
        <w:t xml:space="preserve">a.   </w:t>
      </w:r>
      <w:r>
        <w:rPr>
          <w:i/>
        </w:rPr>
        <w:t xml:space="preserve">The standard does not </w:t>
      </w:r>
      <w:r>
        <w:rPr>
          <w:i/>
        </w:rPr>
        <w:t>specify the constraints on the HLinks type.</w:t>
      </w:r>
    </w:p>
    <w:p w:rsidR="00024C0A" w:rsidRDefault="00694C0F">
      <w:r>
        <w:t>Each hyperlink in the document is represented by a set of 6 variants and hence the size of the vector should be multiples of 6. The following table specifies the order and the type of variants for a hyperlink:</w:t>
      </w:r>
    </w:p>
    <w:tbl>
      <w:tblPr>
        <w:tblStyle w:val="Table-ShadedHeader"/>
        <w:tblW w:w="0" w:type="auto"/>
        <w:tblLook w:val="04A0" w:firstRow="1" w:lastRow="0" w:firstColumn="1" w:lastColumn="0" w:noHBand="0" w:noVBand="1"/>
      </w:tblPr>
      <w:tblGrid>
        <w:gridCol w:w="1337"/>
        <w:gridCol w:w="606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w:t>
            </w:r>
            <w:r>
              <w:t>riant type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t>i4</w:t>
            </w:r>
          </w:p>
        </w:tc>
        <w:tc>
          <w:tcPr>
            <w:tcW w:w="0" w:type="auto"/>
            <w:vAlign w:val="center"/>
          </w:tcPr>
          <w:p w:rsidR="00024C0A" w:rsidRDefault="00694C0F">
            <w:pPr>
              <w:pStyle w:val="TableBodyText"/>
            </w:pPr>
            <w:r>
              <w:t>Application specific data associated with the hyperlink</w:t>
            </w:r>
          </w:p>
        </w:tc>
      </w:tr>
      <w:tr w:rsidR="00024C0A" w:rsidTr="00024C0A">
        <w:tc>
          <w:tcPr>
            <w:tcW w:w="0" w:type="auto"/>
            <w:vAlign w:val="center"/>
          </w:tcPr>
          <w:p w:rsidR="00024C0A" w:rsidRDefault="00694C0F">
            <w:pPr>
              <w:pStyle w:val="TableBodyText"/>
            </w:pPr>
            <w:r>
              <w:t>i4</w:t>
            </w:r>
          </w:p>
        </w:tc>
        <w:tc>
          <w:tcPr>
            <w:tcW w:w="0" w:type="auto"/>
            <w:vAlign w:val="center"/>
          </w:tcPr>
          <w:p w:rsidR="00024C0A" w:rsidRDefault="00694C0F">
            <w:pPr>
              <w:pStyle w:val="TableBodyText"/>
            </w:pPr>
            <w:r>
              <w:t>Application specific data associated with the hyperlink</w:t>
            </w:r>
          </w:p>
        </w:tc>
      </w:tr>
      <w:tr w:rsidR="00024C0A" w:rsidTr="00024C0A">
        <w:tc>
          <w:tcPr>
            <w:tcW w:w="0" w:type="auto"/>
            <w:vAlign w:val="center"/>
          </w:tcPr>
          <w:p w:rsidR="00024C0A" w:rsidRDefault="00694C0F">
            <w:pPr>
              <w:pStyle w:val="TableBodyText"/>
            </w:pPr>
            <w:r>
              <w:t>i4</w:t>
            </w:r>
          </w:p>
        </w:tc>
        <w:tc>
          <w:tcPr>
            <w:tcW w:w="0" w:type="auto"/>
            <w:vAlign w:val="center"/>
          </w:tcPr>
          <w:p w:rsidR="00024C0A" w:rsidRDefault="00694C0F">
            <w:pPr>
              <w:pStyle w:val="TableBodyText"/>
            </w:pPr>
            <w:r>
              <w:t>Application specific data associated with the hyperlink</w:t>
            </w:r>
          </w:p>
        </w:tc>
      </w:tr>
      <w:tr w:rsidR="00024C0A" w:rsidTr="00024C0A">
        <w:tc>
          <w:tcPr>
            <w:tcW w:w="0" w:type="auto"/>
            <w:vAlign w:val="center"/>
          </w:tcPr>
          <w:p w:rsidR="00024C0A" w:rsidRDefault="00694C0F">
            <w:pPr>
              <w:pStyle w:val="TableBodyText"/>
            </w:pPr>
            <w:r>
              <w:lastRenderedPageBreak/>
              <w:t>i4</w:t>
            </w:r>
          </w:p>
        </w:tc>
        <w:tc>
          <w:tcPr>
            <w:tcW w:w="0" w:type="auto"/>
            <w:vAlign w:val="center"/>
          </w:tcPr>
          <w:p w:rsidR="00024C0A" w:rsidRDefault="00694C0F">
            <w:pPr>
              <w:pStyle w:val="TableBodyText"/>
            </w:pPr>
            <w:r>
              <w:t>This specifies information about the hyperlink.</w:t>
            </w:r>
          </w:p>
          <w:p w:rsidR="00024C0A" w:rsidRDefault="00024C0A">
            <w:pPr>
              <w:pStyle w:val="TableBodyText"/>
            </w:pPr>
          </w:p>
          <w:p w:rsidR="00024C0A" w:rsidRDefault="00694C0F">
            <w:pPr>
              <w:pStyle w:val="TableBodyText"/>
            </w:pPr>
            <w:r>
              <w:t>The lower 16 bits specify hyperlink type with one of the possible values:</w:t>
            </w:r>
          </w:p>
          <w:p w:rsidR="00024C0A" w:rsidRDefault="00024C0A">
            <w:pPr>
              <w:pStyle w:val="TableBodyText"/>
            </w:pPr>
          </w:p>
          <w:p w:rsidR="00024C0A" w:rsidRDefault="00694C0F">
            <w:pPr>
              <w:pStyle w:val="TableBodyText"/>
            </w:pPr>
            <w:r>
              <w:t>0 - Graphic shown as background of document</w:t>
            </w:r>
          </w:p>
          <w:p w:rsidR="00024C0A" w:rsidRDefault="00694C0F">
            <w:pPr>
              <w:pStyle w:val="TableBodyText"/>
            </w:pPr>
            <w:r>
              <w:t>1 - Graphic shown in document</w:t>
            </w:r>
          </w:p>
          <w:p w:rsidR="00024C0A" w:rsidRDefault="00694C0F">
            <w:pPr>
              <w:pStyle w:val="TableBodyText"/>
            </w:pPr>
            <w:r>
              <w:t>2 - Graphic used to fill a shape</w:t>
            </w:r>
          </w:p>
          <w:p w:rsidR="00024C0A" w:rsidRDefault="00694C0F">
            <w:pPr>
              <w:pStyle w:val="TableBodyText"/>
            </w:pPr>
            <w:r>
              <w:t>3 - Graphic used for shape outline</w:t>
            </w:r>
          </w:p>
          <w:p w:rsidR="00024C0A" w:rsidRDefault="00694C0F">
            <w:pPr>
              <w:pStyle w:val="TableBodyText"/>
            </w:pPr>
            <w:r>
              <w:t>4 - Hyperlink attached to a shape</w:t>
            </w:r>
          </w:p>
          <w:p w:rsidR="00024C0A" w:rsidRDefault="00694C0F">
            <w:pPr>
              <w:pStyle w:val="TableBodyText"/>
            </w:pPr>
            <w:r>
              <w:t xml:space="preserve">5 - </w:t>
            </w:r>
            <w:r>
              <w:t>Hyperlink attached to a WordprocessingML  field</w:t>
            </w:r>
          </w:p>
          <w:p w:rsidR="00024C0A" w:rsidRDefault="00694C0F">
            <w:pPr>
              <w:pStyle w:val="TableBodyText"/>
            </w:pPr>
            <w:r>
              <w:t>6 - Hyperlink attached to a SpreadsheetML  range</w:t>
            </w:r>
          </w:p>
          <w:p w:rsidR="00024C0A" w:rsidRDefault="00024C0A">
            <w:pPr>
              <w:pStyle w:val="TableBodyText"/>
            </w:pPr>
          </w:p>
          <w:p w:rsidR="00024C0A" w:rsidRDefault="00694C0F">
            <w:pPr>
              <w:pStyle w:val="TableBodyText"/>
            </w:pPr>
            <w:r>
              <w:t>The high 16 bits store hyperlink action with one of the possible values:</w:t>
            </w:r>
          </w:p>
          <w:p w:rsidR="00024C0A" w:rsidRDefault="00024C0A">
            <w:pPr>
              <w:pStyle w:val="TableBodyText"/>
            </w:pPr>
          </w:p>
          <w:p w:rsidR="00024C0A" w:rsidRDefault="00694C0F">
            <w:pPr>
              <w:pStyle w:val="TableBodyText"/>
            </w:pPr>
            <w:r>
              <w:t>0 - None</w:t>
            </w:r>
          </w:p>
          <w:p w:rsidR="00024C0A" w:rsidRDefault="00694C0F">
            <w:pPr>
              <w:pStyle w:val="TableBodyText"/>
            </w:pPr>
            <w:r>
              <w:t>1 - Change the link to new hyperlink value</w:t>
            </w:r>
          </w:p>
          <w:p w:rsidR="00024C0A" w:rsidRDefault="00694C0F">
            <w:pPr>
              <w:pStyle w:val="TableBodyText"/>
            </w:pPr>
            <w:r>
              <w:t>2 - Remove hyperlink from object</w:t>
            </w:r>
          </w:p>
          <w:p w:rsidR="00024C0A" w:rsidRDefault="00024C0A">
            <w:pPr>
              <w:pStyle w:val="TableBodyText"/>
            </w:pPr>
          </w:p>
        </w:tc>
      </w:tr>
      <w:tr w:rsidR="00024C0A" w:rsidTr="00024C0A">
        <w:tc>
          <w:tcPr>
            <w:tcW w:w="0" w:type="auto"/>
            <w:vAlign w:val="center"/>
          </w:tcPr>
          <w:p w:rsidR="00024C0A" w:rsidRDefault="00694C0F">
            <w:pPr>
              <w:pStyle w:val="TableBodyText"/>
            </w:pPr>
            <w:r>
              <w:t>lpwstr</w:t>
            </w:r>
          </w:p>
        </w:tc>
        <w:tc>
          <w:tcPr>
            <w:tcW w:w="0" w:type="auto"/>
            <w:vAlign w:val="center"/>
          </w:tcPr>
          <w:p w:rsidR="00024C0A" w:rsidRDefault="00694C0F">
            <w:pPr>
              <w:pStyle w:val="TableBodyText"/>
            </w:pPr>
            <w:r>
              <w:t>This specifies the hyperlink target</w:t>
            </w:r>
          </w:p>
        </w:tc>
      </w:tr>
      <w:tr w:rsidR="00024C0A" w:rsidTr="00024C0A">
        <w:tc>
          <w:tcPr>
            <w:tcW w:w="0" w:type="auto"/>
            <w:vAlign w:val="center"/>
          </w:tcPr>
          <w:p w:rsidR="00024C0A" w:rsidRDefault="00694C0F">
            <w:pPr>
              <w:pStyle w:val="TableBodyText"/>
            </w:pPr>
            <w:r>
              <w:t>lpwstr</w:t>
            </w:r>
          </w:p>
        </w:tc>
        <w:tc>
          <w:tcPr>
            <w:tcW w:w="0" w:type="auto"/>
            <w:vAlign w:val="center"/>
          </w:tcPr>
          <w:p w:rsidR="00024C0A" w:rsidRDefault="00694C0F">
            <w:pPr>
              <w:pStyle w:val="TableBodyText"/>
            </w:pPr>
            <w:r>
              <w:t>This specifies the location of the hyperlink</w:t>
            </w:r>
          </w:p>
        </w:tc>
      </w:tr>
    </w:tbl>
    <w:p w:rsidR="00024C0A" w:rsidRDefault="00024C0A"/>
    <w:p w:rsidR="00024C0A" w:rsidRDefault="00694C0F">
      <w:pPr>
        <w:pStyle w:val="Heading3"/>
      </w:pPr>
      <w:bookmarkStart w:id="3447" w:name="section_de32de14957346f39f3819659e3a8d9a"/>
      <w:bookmarkStart w:id="3448" w:name="_Toc12261784"/>
      <w:r>
        <w:t>Part 1 Section 22.2.2.26, TitlesOfParts (Part Titles)</w:t>
      </w:r>
      <w:bookmarkEnd w:id="3447"/>
      <w:bookmarkEnd w:id="3448"/>
      <w:r>
        <w:fldChar w:fldCharType="begin"/>
      </w:r>
      <w:r>
        <w:instrText xml:space="preserve"> XE "TitlesOfParts (Part Titles)" </w:instrText>
      </w:r>
      <w:r>
        <w:fldChar w:fldCharType="end"/>
      </w:r>
    </w:p>
    <w:p w:rsidR="00024C0A" w:rsidRDefault="00694C0F">
      <w:pPr>
        <w:pStyle w:val="Definition-Field"/>
      </w:pPr>
      <w:r>
        <w:t xml:space="preserve">a.   </w:t>
      </w:r>
      <w:r>
        <w:rPr>
          <w:i/>
        </w:rPr>
        <w:t xml:space="preserve">The standard specifies the TitlesOfParts element but </w:t>
      </w:r>
      <w:r>
        <w:rPr>
          <w:i/>
        </w:rPr>
        <w:t>provides no direction on application specific part titles.</w:t>
      </w:r>
    </w:p>
    <w:p w:rsidR="00024C0A" w:rsidRDefault="00694C0F">
      <w:pPr>
        <w:pStyle w:val="Definition-Field2"/>
      </w:pPr>
      <w:r>
        <w:t>In Excel, the TitlesOfParts element can contain Worksheet names, Dialogsheet names, Chart names and Named ranges.</w:t>
      </w:r>
    </w:p>
    <w:p w:rsidR="00024C0A" w:rsidRDefault="00694C0F">
      <w:pPr>
        <w:pStyle w:val="Definition-Field"/>
      </w:pPr>
      <w:r>
        <w:t xml:space="preserve">b.   </w:t>
      </w:r>
      <w:r>
        <w:rPr>
          <w:i/>
        </w:rPr>
        <w:t>The standard does not state the relationship with the HeadingPairs property.</w:t>
      </w:r>
    </w:p>
    <w:p w:rsidR="00024C0A" w:rsidRDefault="00694C0F">
      <w:r>
        <w:t>I</w:t>
      </w:r>
      <w:r>
        <w:t>n Office, the part titles specified in the HeadingPairs property are linked to HeadingPairs ("</w:t>
      </w:r>
      <w:hyperlink r:id="rId215">
        <w:r>
          <w:rPr>
            <w:rStyle w:val="Hyperlink"/>
          </w:rPr>
          <w:t>[ISO/IEC-29500-1]</w:t>
        </w:r>
      </w:hyperlink>
      <w:r>
        <w:t xml:space="preserve"> §22.2.2.8; HeadingPairs") entries. Hence there shall not be more document part</w:t>
      </w:r>
      <w:r>
        <w:t xml:space="preserve"> titles listed here than the sum of all parts listed in HeadingPairs property.</w:t>
      </w:r>
    </w:p>
    <w:p w:rsidR="00024C0A" w:rsidRDefault="00694C0F">
      <w:r>
        <w:t xml:space="preserve"> [Example: A presentation composed of three slides with an applied theme "Currency" may have the following TitlesofParts and HeadingPairs representation: </w:t>
      </w:r>
    </w:p>
    <w:p w:rsidR="00024C0A" w:rsidRDefault="00694C0F">
      <w:pPr>
        <w:pStyle w:val="Code"/>
      </w:pPr>
      <w:r>
        <w:t>&lt;TitlesofParts&gt;</w:t>
      </w:r>
    </w:p>
    <w:p w:rsidR="00024C0A" w:rsidRDefault="00694C0F">
      <w:pPr>
        <w:pStyle w:val="Code"/>
      </w:pPr>
      <w:r>
        <w:t xml:space="preserve">  &lt;vt:</w:t>
      </w:r>
      <w:r>
        <w:t>vector size="4" baseType="lpstr"&gt;</w:t>
      </w:r>
    </w:p>
    <w:p w:rsidR="00024C0A" w:rsidRDefault="00694C0F">
      <w:pPr>
        <w:pStyle w:val="Code"/>
      </w:pPr>
      <w:r>
        <w:t xml:space="preserve">    &lt;vt:lpstr&gt;Currency&lt;/vt:lpstr&gt;</w:t>
      </w:r>
    </w:p>
    <w:p w:rsidR="00024C0A" w:rsidRDefault="00694C0F">
      <w:pPr>
        <w:pStyle w:val="Code"/>
      </w:pPr>
      <w:r>
        <w:t xml:space="preserve">    &lt;vt:lpstr&gt;Slide 1&lt;/vt:lpstr&gt;</w:t>
      </w:r>
    </w:p>
    <w:p w:rsidR="00024C0A" w:rsidRDefault="00694C0F">
      <w:pPr>
        <w:pStyle w:val="Code"/>
      </w:pPr>
      <w:r>
        <w:t xml:space="preserve">    &lt;vt:lpstr&gt;Slide 2&lt;/vt:lpstr&gt;</w:t>
      </w:r>
    </w:p>
    <w:p w:rsidR="00024C0A" w:rsidRDefault="00694C0F">
      <w:pPr>
        <w:pStyle w:val="Code"/>
      </w:pPr>
      <w:r>
        <w:t xml:space="preserve">    &lt;vt:lpstr&gt;Slide 3&lt;/vt:lpstr&gt;</w:t>
      </w:r>
    </w:p>
    <w:p w:rsidR="00024C0A" w:rsidRDefault="00694C0F">
      <w:pPr>
        <w:pStyle w:val="Code"/>
      </w:pPr>
      <w:r>
        <w:t xml:space="preserve">  &lt;/vt:vector&gt;</w:t>
      </w:r>
    </w:p>
    <w:p w:rsidR="00024C0A" w:rsidRDefault="00694C0F">
      <w:pPr>
        <w:pStyle w:val="Code"/>
      </w:pPr>
      <w:r>
        <w:t>&lt;/TitlesofParts&gt;</w:t>
      </w:r>
    </w:p>
    <w:p w:rsidR="00024C0A" w:rsidRDefault="00694C0F">
      <w:pPr>
        <w:pStyle w:val="Code"/>
      </w:pPr>
      <w:r>
        <w:t>&lt;HeadingPairs&gt;</w:t>
      </w:r>
    </w:p>
    <w:p w:rsidR="00024C0A" w:rsidRDefault="00694C0F">
      <w:pPr>
        <w:pStyle w:val="Code"/>
      </w:pPr>
      <w:r>
        <w:t xml:space="preserve">  &lt;vt:vector size="4" baseType="variant"&gt;</w:t>
      </w:r>
    </w:p>
    <w:p w:rsidR="00024C0A" w:rsidRDefault="00694C0F">
      <w:pPr>
        <w:pStyle w:val="Code"/>
      </w:pPr>
      <w:r>
        <w:t xml:space="preserve">    &lt;vt:variant&gt;</w:t>
      </w:r>
    </w:p>
    <w:p w:rsidR="00024C0A" w:rsidRDefault="00694C0F">
      <w:pPr>
        <w:pStyle w:val="Code"/>
      </w:pPr>
      <w:r>
        <w:t xml:space="preserve">      &lt;vt:lpstr&gt;Theme&lt;/vt:lpstr&gt;</w:t>
      </w:r>
    </w:p>
    <w:p w:rsidR="00024C0A" w:rsidRDefault="00694C0F">
      <w:pPr>
        <w:pStyle w:val="Code"/>
      </w:pPr>
      <w:r>
        <w:t xml:space="preserve">    &lt;/vt:variant&gt;</w:t>
      </w:r>
    </w:p>
    <w:p w:rsidR="00024C0A" w:rsidRDefault="00694C0F">
      <w:pPr>
        <w:pStyle w:val="Code"/>
      </w:pPr>
      <w:r>
        <w:lastRenderedPageBreak/>
        <w:t xml:space="preserve">    &lt;vt:variant&gt;</w:t>
      </w:r>
    </w:p>
    <w:p w:rsidR="00024C0A" w:rsidRDefault="00694C0F">
      <w:pPr>
        <w:pStyle w:val="Code"/>
      </w:pPr>
      <w:r>
        <w:t xml:space="preserve">      &lt;vt:i4&gt;1&lt;/vt:i4&gt;</w:t>
      </w:r>
    </w:p>
    <w:p w:rsidR="00024C0A" w:rsidRDefault="00694C0F">
      <w:pPr>
        <w:pStyle w:val="Code"/>
      </w:pPr>
      <w:r>
        <w:t xml:space="preserve">    &lt;/vt:variant&gt;</w:t>
      </w:r>
    </w:p>
    <w:p w:rsidR="00024C0A" w:rsidRDefault="00694C0F">
      <w:pPr>
        <w:pStyle w:val="Code"/>
      </w:pPr>
      <w:r>
        <w:t xml:space="preserve">    &lt;vt:variant&gt;</w:t>
      </w:r>
    </w:p>
    <w:p w:rsidR="00024C0A" w:rsidRDefault="00694C0F">
      <w:pPr>
        <w:pStyle w:val="Code"/>
      </w:pPr>
      <w:r>
        <w:t xml:space="preserve">      &lt;vt:lpstr&gt;Slide Titles&lt;/vt:lpstr&gt;</w:t>
      </w:r>
    </w:p>
    <w:p w:rsidR="00024C0A" w:rsidRDefault="00694C0F">
      <w:pPr>
        <w:pStyle w:val="Code"/>
      </w:pPr>
      <w:r>
        <w:t xml:space="preserve">    &lt;/vt:variant&gt;</w:t>
      </w:r>
    </w:p>
    <w:p w:rsidR="00024C0A" w:rsidRDefault="00694C0F">
      <w:r>
        <w:t xml:space="preserve">      &lt;vt:variant&gt;</w:t>
      </w:r>
    </w:p>
    <w:p w:rsidR="00024C0A" w:rsidRDefault="00694C0F">
      <w:r>
        <w:t xml:space="preserve">        &lt;vt:i4&gt;3&lt;/vt:i4&gt;</w:t>
      </w:r>
    </w:p>
    <w:p w:rsidR="00024C0A" w:rsidRDefault="00694C0F">
      <w:r>
        <w:t xml:space="preserve">      &lt;/vt:</w:t>
      </w:r>
      <w:r>
        <w:t>variant&gt;</w:t>
      </w:r>
    </w:p>
    <w:p w:rsidR="00024C0A" w:rsidRDefault="00694C0F">
      <w:r>
        <w:t xml:space="preserve">    &lt;/vt:vector&gt;</w:t>
      </w:r>
    </w:p>
    <w:p w:rsidR="00024C0A" w:rsidRDefault="00694C0F">
      <w:r>
        <w:t xml:space="preserve">  &lt;/HeadingPairs&gt;</w:t>
      </w:r>
    </w:p>
    <w:p w:rsidR="00024C0A" w:rsidRDefault="00694C0F">
      <w:r>
        <w:t>end example]</w:t>
      </w:r>
    </w:p>
    <w:p w:rsidR="00024C0A" w:rsidRDefault="00694C0F">
      <w:pPr>
        <w:pStyle w:val="Heading3"/>
      </w:pPr>
      <w:bookmarkStart w:id="3449" w:name="section_4b59044c878542a7bccb0da2aee6e9e6"/>
      <w:bookmarkStart w:id="3450" w:name="_Toc12261785"/>
      <w:r>
        <w:t>Part 1 Section 22.2.2.27, TotalTime (Total Edit Time Metadata Element)</w:t>
      </w:r>
      <w:bookmarkEnd w:id="3449"/>
      <w:bookmarkEnd w:id="3450"/>
      <w:r>
        <w:fldChar w:fldCharType="begin"/>
      </w:r>
      <w:r>
        <w:instrText xml:space="preserve"> XE "TotalTime (Total Edit Time Metadata Element)" </w:instrText>
      </w:r>
      <w:r>
        <w:fldChar w:fldCharType="end"/>
      </w:r>
    </w:p>
    <w:p w:rsidR="00024C0A" w:rsidRDefault="00694C0F">
      <w:pPr>
        <w:pStyle w:val="Definition-Field"/>
      </w:pPr>
      <w:r>
        <w:t xml:space="preserve">a.   </w:t>
      </w:r>
      <w:r>
        <w:rPr>
          <w:i/>
        </w:rPr>
        <w:t>The standard states that the value of this element can be any integer.</w:t>
      </w:r>
    </w:p>
    <w:p w:rsidR="00024C0A" w:rsidRDefault="00694C0F">
      <w:pPr>
        <w:pStyle w:val="Definition-Field2"/>
      </w:pPr>
      <w:r>
        <w:t>Office disallows any negative value on this element.</w:t>
      </w:r>
    </w:p>
    <w:p w:rsidR="00024C0A" w:rsidRDefault="00694C0F">
      <w:pPr>
        <w:pStyle w:val="Heading3"/>
      </w:pPr>
      <w:bookmarkStart w:id="3451" w:name="section_dd236d155c664553b1bbcdbf1680bf1b"/>
      <w:bookmarkStart w:id="3452" w:name="_Toc12261786"/>
      <w:r>
        <w:t>Part 1 Section 22.3.2.2, property (Custom File Property)</w:t>
      </w:r>
      <w:bookmarkEnd w:id="3451"/>
      <w:bookmarkEnd w:id="3452"/>
      <w:r>
        <w:fldChar w:fldCharType="begin"/>
      </w:r>
      <w:r>
        <w:instrText xml:space="preserve"> XE "property (Custom File Property)" </w:instrText>
      </w:r>
      <w:r>
        <w:fldChar w:fldCharType="end"/>
      </w:r>
    </w:p>
    <w:p w:rsidR="00024C0A" w:rsidRDefault="00694C0F">
      <w:pPr>
        <w:pStyle w:val="Definition-Field"/>
      </w:pPr>
      <w:r>
        <w:t xml:space="preserve">a.   </w:t>
      </w:r>
      <w:r>
        <w:rPr>
          <w:i/>
        </w:rPr>
        <w:t>The standard does not reserve a unique property name for the property editor’s content type ID.</w:t>
      </w:r>
    </w:p>
    <w:p w:rsidR="00024C0A" w:rsidRDefault="00694C0F">
      <w:r>
        <w:t>Office reserves the following unique property names for the following purposes:</w:t>
      </w:r>
    </w:p>
    <w:tbl>
      <w:tblPr>
        <w:tblStyle w:val="Table-ShadedHeader"/>
        <w:tblW w:w="0" w:type="auto"/>
        <w:tblLook w:val="04A0" w:firstRow="1" w:lastRow="0" w:firstColumn="1" w:lastColumn="0" w:noHBand="0" w:noVBand="1"/>
      </w:tblPr>
      <w:tblGrid>
        <w:gridCol w:w="1418"/>
        <w:gridCol w:w="8057"/>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 xml:space="preserve">    Name    </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i/>
              </w:rPr>
              <w:t>ContentTypeId</w:t>
            </w:r>
          </w:p>
        </w:tc>
        <w:tc>
          <w:tcPr>
            <w:tcW w:w="0" w:type="auto"/>
            <w:vAlign w:val="center"/>
          </w:tcPr>
          <w:p w:rsidR="00024C0A" w:rsidRDefault="00694C0F">
            <w:pPr>
              <w:pStyle w:val="TableBodyText"/>
            </w:pPr>
            <w:r>
              <w:t>A custom property with this name contains the id of the content type associated with the Windows SharePoint Services document library wh</w:t>
            </w:r>
            <w:r>
              <w:t xml:space="preserve">ere this document belongs. Its value is the same as the </w:t>
            </w:r>
            <w:r>
              <w:rPr>
                <w:b/>
              </w:rPr>
              <w:t>ma:contentTypeID</w:t>
            </w:r>
            <w:r>
              <w:t xml:space="preserve"> attribute on the Schema for Content Type element (</w:t>
            </w:r>
            <w:hyperlink w:anchor="Section_0365ee65da5b44769eaa73f1dda94db8">
              <w:r>
                <w:rPr>
                  <w:rStyle w:val="Hyperlink"/>
                </w:rPr>
                <w:t>§3.5.2.1.1.1, contentTypeSchema</w:t>
              </w:r>
            </w:hyperlink>
            <w:r>
              <w:t>).</w:t>
            </w:r>
          </w:p>
        </w:tc>
      </w:tr>
    </w:tbl>
    <w:p w:rsidR="00024C0A" w:rsidRDefault="00024C0A"/>
    <w:p w:rsidR="00024C0A" w:rsidRDefault="00694C0F">
      <w:pPr>
        <w:pStyle w:val="Definition-Field"/>
      </w:pPr>
      <w:r>
        <w:t xml:space="preserve">b.   </w:t>
      </w:r>
      <w:r>
        <w:rPr>
          <w:i/>
        </w:rPr>
        <w:t>The standard does not reserve</w:t>
      </w:r>
      <w:r>
        <w:rPr>
          <w:i/>
        </w:rPr>
        <w:t xml:space="preserve"> unique property names for document workspaces.</w:t>
      </w:r>
    </w:p>
    <w:p w:rsidR="00024C0A" w:rsidRDefault="00694C0F">
      <w:r>
        <w:t>Office reserves the following unique property names for the following purposes:</w:t>
      </w:r>
    </w:p>
    <w:tbl>
      <w:tblPr>
        <w:tblStyle w:val="Table-ShadedHeader"/>
        <w:tblW w:w="0" w:type="auto"/>
        <w:tblLook w:val="04A0" w:firstRow="1" w:lastRow="0" w:firstColumn="1" w:lastColumn="0" w:noHBand="0" w:noVBand="1"/>
      </w:tblPr>
      <w:tblGrid>
        <w:gridCol w:w="1636"/>
        <w:gridCol w:w="7839"/>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Name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i/>
              </w:rPr>
              <w:t>_CheckOutSrcUrl</w:t>
            </w:r>
          </w:p>
        </w:tc>
        <w:tc>
          <w:tcPr>
            <w:tcW w:w="0" w:type="auto"/>
            <w:vAlign w:val="center"/>
          </w:tcPr>
          <w:p w:rsidR="00024C0A" w:rsidRDefault="00694C0F">
            <w:pPr>
              <w:pStyle w:val="TableBodyText"/>
            </w:pPr>
            <w:r>
              <w:t xml:space="preserve">A custom property with this name specifies the document workspace from which the document was </w:t>
            </w:r>
            <w:r>
              <w:t>checked out.</w:t>
            </w:r>
          </w:p>
          <w:p w:rsidR="00024C0A" w:rsidRDefault="00024C0A">
            <w:pPr>
              <w:pStyle w:val="TableBodyText"/>
            </w:pPr>
          </w:p>
          <w:p w:rsidR="00024C0A" w:rsidRDefault="00694C0F">
            <w:pPr>
              <w:pStyle w:val="TableBodyText"/>
            </w:pPr>
            <w:r>
              <w:t xml:space="preserve">The child element of this property shall be a </w:t>
            </w:r>
            <w:r>
              <w:rPr>
                <w:b/>
              </w:rPr>
              <w:t>lpwstr</w:t>
            </w:r>
            <w:r>
              <w:t xml:space="preserve"> specifying the URL of the document workspace where this document belongs.  This URL shall not exceed 256 characters.</w:t>
            </w:r>
          </w:p>
        </w:tc>
      </w:tr>
      <w:tr w:rsidR="00024C0A" w:rsidTr="00024C0A">
        <w:tc>
          <w:tcPr>
            <w:tcW w:w="0" w:type="auto"/>
            <w:vAlign w:val="center"/>
          </w:tcPr>
          <w:p w:rsidR="00024C0A" w:rsidRDefault="00694C0F">
            <w:pPr>
              <w:pStyle w:val="TableBodyText"/>
            </w:pPr>
            <w:r>
              <w:rPr>
                <w:i/>
              </w:rPr>
              <w:t>_LiveCopyIndex</w:t>
            </w:r>
          </w:p>
        </w:tc>
        <w:tc>
          <w:tcPr>
            <w:tcW w:w="0" w:type="auto"/>
            <w:vAlign w:val="center"/>
          </w:tcPr>
          <w:p w:rsidR="00024C0A" w:rsidRDefault="00694C0F">
            <w:pPr>
              <w:pStyle w:val="TableBodyText"/>
            </w:pPr>
            <w:r>
              <w:t>A custom property with this name provides a time stamp f</w:t>
            </w:r>
            <w:r>
              <w:t>or comparing the current state of a server document to a local copy of that document.</w:t>
            </w:r>
          </w:p>
          <w:p w:rsidR="00024C0A" w:rsidRDefault="00024C0A">
            <w:pPr>
              <w:pStyle w:val="TableBodyText"/>
            </w:pPr>
          </w:p>
          <w:p w:rsidR="00024C0A" w:rsidRDefault="00694C0F">
            <w:pPr>
              <w:pStyle w:val="TableBodyText"/>
            </w:pPr>
            <w:r>
              <w:t xml:space="preserve">The child element of this property shall be an </w:t>
            </w:r>
            <w:r>
              <w:rPr>
                <w:b/>
              </w:rPr>
              <w:t>i4</w:t>
            </w:r>
            <w:r>
              <w:t xml:space="preserve"> containing a hashed value of the </w:t>
            </w:r>
            <w:r>
              <w:rPr>
                <w:b/>
              </w:rPr>
              <w:t>modified</w:t>
            </w:r>
            <w:r>
              <w:t xml:space="preserve"> property when the original document was first added to the document workspace</w:t>
            </w:r>
            <w:r>
              <w:t xml:space="preserve">. This value is computed by multiplying the high-order part of the </w:t>
            </w:r>
            <w:r>
              <w:rPr>
                <w:b/>
              </w:rPr>
              <w:t>modified</w:t>
            </w:r>
            <w:r>
              <w:t xml:space="preserve"> </w:t>
            </w:r>
            <w:r>
              <w:rPr>
                <w:b/>
              </w:rPr>
              <w:t>filetime</w:t>
            </w:r>
            <w:r>
              <w:t xml:space="preserve"> property by three </w:t>
            </w:r>
            <w:r>
              <w:lastRenderedPageBreak/>
              <w:t xml:space="preserve">and adding that to the low-order part of the </w:t>
            </w:r>
            <w:r>
              <w:rPr>
                <w:b/>
              </w:rPr>
              <w:t>filetime</w:t>
            </w:r>
            <w:r>
              <w:t xml:space="preserve">. </w:t>
            </w:r>
          </w:p>
          <w:p w:rsidR="00024C0A" w:rsidRDefault="00024C0A">
            <w:pPr>
              <w:pStyle w:val="TableBodyText"/>
            </w:pPr>
          </w:p>
          <w:p w:rsidR="00024C0A" w:rsidRDefault="00694C0F">
            <w:pPr>
              <w:pStyle w:val="TableBodyText"/>
            </w:pPr>
            <w:r>
              <w:t>This information can be used to resolve potential conflicts between two different copies of a do</w:t>
            </w:r>
            <w:r>
              <w:t xml:space="preserve">cument stored in a document workspace. If the </w:t>
            </w:r>
            <w:r>
              <w:rPr>
                <w:i/>
              </w:rPr>
              <w:t>_LiveCopyIndex</w:t>
            </w:r>
            <w:r>
              <w:t xml:space="preserve"> value of a particular document matches the </w:t>
            </w:r>
            <w:r>
              <w:rPr>
                <w:b/>
              </w:rPr>
              <w:t>modified</w:t>
            </w:r>
            <w:r>
              <w:t xml:space="preserve"> property value, then that document is considered to be equivalent to the original shared version of the file on the server. If one of the two c</w:t>
            </w:r>
            <w:r>
              <w:t>opies of a document is the original shared version and the two copies of the document differ, then the other document shall be newer.</w:t>
            </w:r>
          </w:p>
        </w:tc>
      </w:tr>
      <w:tr w:rsidR="00024C0A" w:rsidTr="00024C0A">
        <w:tc>
          <w:tcPr>
            <w:tcW w:w="0" w:type="auto"/>
            <w:vAlign w:val="center"/>
          </w:tcPr>
          <w:p w:rsidR="00024C0A" w:rsidRDefault="00694C0F">
            <w:pPr>
              <w:pStyle w:val="TableBodyText"/>
            </w:pPr>
            <w:r>
              <w:rPr>
                <w:i/>
              </w:rPr>
              <w:lastRenderedPageBreak/>
              <w:t>_SharedFileIndex</w:t>
            </w:r>
          </w:p>
        </w:tc>
        <w:tc>
          <w:tcPr>
            <w:tcW w:w="0" w:type="auto"/>
            <w:vAlign w:val="center"/>
          </w:tcPr>
          <w:p w:rsidR="00024C0A" w:rsidRDefault="00694C0F">
            <w:pPr>
              <w:pStyle w:val="TableBodyText"/>
            </w:pPr>
            <w:r>
              <w:t>A custom property with this name identifies the workspace that the document belongs to.</w:t>
            </w:r>
          </w:p>
          <w:p w:rsidR="00024C0A" w:rsidRDefault="00024C0A">
            <w:pPr>
              <w:pStyle w:val="TableBodyText"/>
            </w:pPr>
          </w:p>
          <w:p w:rsidR="00024C0A" w:rsidRDefault="00694C0F">
            <w:pPr>
              <w:pStyle w:val="TableBodyText"/>
            </w:pPr>
            <w:r>
              <w:t>The child eleme</w:t>
            </w:r>
            <w:r>
              <w:t xml:space="preserve">nt of this property shall be an </w:t>
            </w:r>
            <w:r>
              <w:rPr>
                <w:b/>
              </w:rPr>
              <w:t>lpwstr</w:t>
            </w:r>
            <w:r>
              <w:t xml:space="preserve"> comprised of three parts: a version number, followed by a GUID, followed by the URL of the workspace.</w:t>
            </w:r>
          </w:p>
          <w:p w:rsidR="00024C0A" w:rsidRDefault="00024C0A">
            <w:pPr>
              <w:pStyle w:val="TableBodyText"/>
            </w:pPr>
          </w:p>
          <w:p w:rsidR="00024C0A" w:rsidRDefault="00694C0F">
            <w:pPr>
              <w:pStyle w:val="TableBodyText"/>
            </w:pPr>
            <w:r>
              <w:t xml:space="preserve">The version number shall be </w:t>
            </w:r>
            <w:r>
              <w:rPr>
                <w:i/>
              </w:rPr>
              <w:t>0000020000000000</w:t>
            </w:r>
            <w:r>
              <w:t>.</w:t>
            </w:r>
          </w:p>
          <w:p w:rsidR="00024C0A" w:rsidRDefault="00024C0A">
            <w:pPr>
              <w:pStyle w:val="TableBodyText"/>
            </w:pPr>
          </w:p>
          <w:p w:rsidR="00024C0A" w:rsidRDefault="00694C0F">
            <w:pPr>
              <w:pStyle w:val="TableBodyText"/>
            </w:pPr>
            <w:r>
              <w:t>The GUID shall uniquely identify the document.</w:t>
            </w:r>
          </w:p>
          <w:p w:rsidR="00024C0A" w:rsidRDefault="00024C0A">
            <w:pPr>
              <w:pStyle w:val="TableBodyText"/>
            </w:pPr>
          </w:p>
          <w:p w:rsidR="00024C0A" w:rsidRDefault="00694C0F">
            <w:pPr>
              <w:pStyle w:val="TableBodyText"/>
            </w:pPr>
            <w:r>
              <w:t xml:space="preserve">The URL shall </w:t>
            </w:r>
            <w:r>
              <w:t>define the requested location of the file on the server. If the location is already occupied by a document with a different GUID, then the document might be relocated.</w:t>
            </w:r>
          </w:p>
          <w:p w:rsidR="00024C0A" w:rsidRDefault="00024C0A">
            <w:pPr>
              <w:pStyle w:val="TableBodyText"/>
            </w:pPr>
          </w:p>
          <w:p w:rsidR="00024C0A" w:rsidRDefault="00694C0F">
            <w:pPr>
              <w:pStyle w:val="TableBodyText"/>
            </w:pPr>
            <w:r>
              <w:t>If the value of this property extends beyond 256 characters, it shall be segmented acro</w:t>
            </w:r>
            <w:r>
              <w:t xml:space="preserve">ss multiple properties with the root name of </w:t>
            </w:r>
            <w:r>
              <w:rPr>
                <w:i/>
              </w:rPr>
              <w:t>_SharedFileIndex</w:t>
            </w:r>
            <w:r>
              <w:t xml:space="preserve">. The subsequent properties will be named </w:t>
            </w:r>
            <w:r>
              <w:rPr>
                <w:i/>
              </w:rPr>
              <w:t>_SharedFileIndex1</w:t>
            </w:r>
            <w:r>
              <w:t xml:space="preserve">, </w:t>
            </w:r>
            <w:r>
              <w:rPr>
                <w:i/>
              </w:rPr>
              <w:t>_SharedFileIndex2</w:t>
            </w:r>
            <w:r>
              <w:t xml:space="preserve">, </w:t>
            </w:r>
            <w:r>
              <w:rPr>
                <w:i/>
              </w:rPr>
              <w:t>_SharedFileIndex3</w:t>
            </w:r>
            <w:r>
              <w:t>, and so on. The value of each property shall be at most 256 characters; only when those 256 chara</w:t>
            </w:r>
            <w:r>
              <w:t xml:space="preserve">cters have been exceeded shall the next </w:t>
            </w:r>
            <w:r>
              <w:rPr>
                <w:i/>
              </w:rPr>
              <w:t>_SharedFileIndex</w:t>
            </w:r>
            <w:r>
              <w:t xml:space="preserve"> property be created.</w:t>
            </w:r>
          </w:p>
          <w:p w:rsidR="00024C0A" w:rsidRDefault="00024C0A">
            <w:pPr>
              <w:pStyle w:val="TableBodyText"/>
            </w:pPr>
          </w:p>
          <w:p w:rsidR="00024C0A" w:rsidRDefault="00694C0F">
            <w:pPr>
              <w:pStyle w:val="TableBodyText"/>
            </w:pPr>
            <w:r>
              <w:t>[Example: The shared file index of a document with a workspace location of http://www.contoso.com/documentschemas/schemaexamples/</w:t>
            </w:r>
          </w:p>
          <w:p w:rsidR="00024C0A" w:rsidRDefault="00694C0F">
            <w:pPr>
              <w:pStyle w:val="TableBodyText"/>
            </w:pPr>
            <w:r>
              <w:t>documentworkspaces/documents/shareddocuments/co</w:t>
            </w:r>
            <w:r>
              <w:t>llaboration/</w:t>
            </w:r>
          </w:p>
          <w:p w:rsidR="00024C0A" w:rsidRDefault="00694C0F">
            <w:pPr>
              <w:pStyle w:val="TableBodyText"/>
            </w:pPr>
            <w:r>
              <w:t>customfileproperties/serverproperties/</w:t>
            </w:r>
          </w:p>
          <w:p w:rsidR="00024C0A" w:rsidRDefault="00694C0F">
            <w:pPr>
              <w:pStyle w:val="TableBodyText"/>
            </w:pPr>
            <w:r>
              <w:t>DocumentWithAReallyReallyLongNameAndAReallyReally</w:t>
            </w:r>
          </w:p>
          <w:p w:rsidR="00024C0A" w:rsidRDefault="00694C0F">
            <w:pPr>
              <w:pStyle w:val="TableBodyText"/>
            </w:pPr>
            <w:r>
              <w:t>LongServerLocationWhichRequiresSegmentationOfTheShared</w:t>
            </w:r>
          </w:p>
          <w:p w:rsidR="00024C0A" w:rsidRDefault="00694C0F">
            <w:pPr>
              <w:pStyle w:val="TableBodyText"/>
            </w:pPr>
            <w:r>
              <w:t>FileIndexProperty.docx can be defined as follows:</w:t>
            </w:r>
          </w:p>
          <w:p w:rsidR="00024C0A" w:rsidRDefault="00024C0A">
            <w:pPr>
              <w:pStyle w:val="TableBodyText"/>
            </w:pPr>
          </w:p>
          <w:p w:rsidR="00024C0A" w:rsidRDefault="00694C0F">
            <w:pPr>
              <w:pStyle w:val="Code"/>
            </w:pPr>
            <w:r>
              <w:t xml:space="preserve">&lt;property </w:t>
            </w:r>
            <w:r>
              <w:t>fmtid="{D5CDD505-2E9C-101B-9397-08002B2CF9AE}" pid="2" name="_SharedFileIndex"&gt;</w:t>
            </w:r>
          </w:p>
          <w:p w:rsidR="00024C0A" w:rsidRDefault="00694C0F">
            <w:pPr>
              <w:pStyle w:val="Code"/>
            </w:pPr>
            <w:r>
              <w:t xml:space="preserve">  &lt;vt:lpwstr&gt;0000020000000000{E9AB9F47-8925-4F17-A0B3-A8E86720E301}</w:t>
            </w:r>
          </w:p>
          <w:p w:rsidR="00024C0A" w:rsidRDefault="00694C0F">
            <w:pPr>
              <w:pStyle w:val="Code"/>
            </w:pPr>
            <w:r>
              <w:t>http://www.contoso.com/documentschemas/schemaexamples/</w:t>
            </w:r>
          </w:p>
          <w:p w:rsidR="00024C0A" w:rsidRDefault="00694C0F">
            <w:pPr>
              <w:pStyle w:val="Code"/>
            </w:pPr>
            <w:r>
              <w:t>documentworkspaces/documents/shareddocuments/</w:t>
            </w:r>
          </w:p>
          <w:p w:rsidR="00024C0A" w:rsidRDefault="00694C0F">
            <w:pPr>
              <w:pStyle w:val="Code"/>
            </w:pPr>
            <w:r>
              <w:t>collabo</w:t>
            </w:r>
            <w:r>
              <w:t>ration/customfileproperties/serverproperties/</w:t>
            </w:r>
          </w:p>
          <w:p w:rsidR="00024C0A" w:rsidRDefault="00694C0F">
            <w:pPr>
              <w:pStyle w:val="Code"/>
            </w:pPr>
            <w:r>
              <w:t>DocumentWithAReallyReallyLongName</w:t>
            </w:r>
          </w:p>
          <w:p w:rsidR="00024C0A" w:rsidRDefault="00694C0F">
            <w:pPr>
              <w:pStyle w:val="Code"/>
            </w:pPr>
            <w:r>
              <w:t>AndAReallyReallyL&lt;/vt:lpwstr&gt;</w:t>
            </w:r>
          </w:p>
          <w:p w:rsidR="00024C0A" w:rsidRDefault="00694C0F">
            <w:pPr>
              <w:pStyle w:val="Code"/>
            </w:pPr>
            <w:r>
              <w:t>&lt;/property&gt;</w:t>
            </w:r>
          </w:p>
          <w:p w:rsidR="00024C0A" w:rsidRDefault="00694C0F">
            <w:pPr>
              <w:pStyle w:val="Code"/>
            </w:pPr>
            <w:r>
              <w:t>&lt;property fmtid="{D5CDD505-2E9C-101B-9397-08002B2CF9AE}"</w:t>
            </w:r>
          </w:p>
          <w:p w:rsidR="00024C0A" w:rsidRDefault="00694C0F">
            <w:pPr>
              <w:pStyle w:val="Code"/>
            </w:pPr>
            <w:r>
              <w:t xml:space="preserve"> pid="3" name="_SharedFileIndex1"&gt;</w:t>
            </w:r>
          </w:p>
          <w:p w:rsidR="00024C0A" w:rsidRDefault="00694C0F">
            <w:pPr>
              <w:pStyle w:val="Code"/>
            </w:pPr>
            <w:r>
              <w:t xml:space="preserve">  &lt;vt:lpwstr&gt;</w:t>
            </w:r>
          </w:p>
          <w:p w:rsidR="00024C0A" w:rsidRDefault="00694C0F">
            <w:pPr>
              <w:pStyle w:val="Code"/>
            </w:pPr>
            <w:r>
              <w:t>ongServerLocationWhichRequiresSegmentationOfTheShared</w:t>
            </w:r>
          </w:p>
          <w:p w:rsidR="00024C0A" w:rsidRDefault="00694C0F">
            <w:pPr>
              <w:pStyle w:val="Code"/>
            </w:pPr>
            <w:r>
              <w:t>FileIndexProperty.docx&lt;/vt:lpwstr&gt;</w:t>
            </w:r>
          </w:p>
          <w:p w:rsidR="00024C0A" w:rsidRDefault="00694C0F">
            <w:pPr>
              <w:pStyle w:val="Code"/>
            </w:pPr>
            <w:r>
              <w:t>&lt;/property&gt;</w:t>
            </w:r>
          </w:p>
          <w:p w:rsidR="00024C0A" w:rsidRDefault="00024C0A">
            <w:pPr>
              <w:pStyle w:val="TableBodyText"/>
            </w:pPr>
          </w:p>
          <w:p w:rsidR="00024C0A" w:rsidRDefault="00694C0F">
            <w:pPr>
              <w:pStyle w:val="TableBodyText"/>
            </w:pPr>
            <w:r>
              <w:t>end example]</w:t>
            </w:r>
          </w:p>
        </w:tc>
      </w:tr>
    </w:tbl>
    <w:p w:rsidR="00024C0A" w:rsidRDefault="00024C0A"/>
    <w:p w:rsidR="00024C0A" w:rsidRDefault="00694C0F">
      <w:pPr>
        <w:pStyle w:val="Definition-Field"/>
      </w:pPr>
      <w:r>
        <w:lastRenderedPageBreak/>
        <w:t xml:space="preserve">c.   </w:t>
      </w:r>
      <w:r>
        <w:rPr>
          <w:i/>
        </w:rPr>
        <w:t>The standard does not define any custom document properties used to convey input parameters for a SpreadsheetML document.</w:t>
      </w:r>
    </w:p>
    <w:p w:rsidR="00024C0A" w:rsidRDefault="00694C0F">
      <w:r>
        <w:t>Office reser</w:t>
      </w:r>
      <w:r>
        <w:t>ves the following unique property names for the following purposes:</w:t>
      </w:r>
    </w:p>
    <w:tbl>
      <w:tblPr>
        <w:tblStyle w:val="Table-ShadedHeader"/>
        <w:tblW w:w="0" w:type="auto"/>
        <w:tblLook w:val="04A0" w:firstRow="1" w:lastRow="0" w:firstColumn="1" w:lastColumn="0" w:noHBand="0" w:noVBand="1"/>
      </w:tblPr>
      <w:tblGrid>
        <w:gridCol w:w="2913"/>
        <w:gridCol w:w="6562"/>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Name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i/>
              </w:rPr>
              <w:t>PROP_MULTVAL_ParameterName</w:t>
            </w:r>
          </w:p>
        </w:tc>
        <w:tc>
          <w:tcPr>
            <w:tcW w:w="0" w:type="auto"/>
            <w:vAlign w:val="center"/>
          </w:tcPr>
          <w:p w:rsidR="00024C0A" w:rsidRDefault="00694C0F">
            <w:pPr>
              <w:pStyle w:val="TableBodyText"/>
            </w:pPr>
            <w:r>
              <w:t>A custom property with this name specifies a filter parameter, where ParameterName is a name given by the user.</w:t>
            </w:r>
          </w:p>
        </w:tc>
      </w:tr>
      <w:tr w:rsidR="00024C0A" w:rsidTr="00024C0A">
        <w:tc>
          <w:tcPr>
            <w:tcW w:w="0" w:type="auto"/>
            <w:vAlign w:val="center"/>
          </w:tcPr>
          <w:p w:rsidR="00024C0A" w:rsidRDefault="00694C0F">
            <w:pPr>
              <w:pStyle w:val="TableBodyText"/>
            </w:pPr>
            <w:r>
              <w:rPr>
                <w:i/>
              </w:rPr>
              <w:t>PROP_ParameterName</w:t>
            </w:r>
          </w:p>
        </w:tc>
        <w:tc>
          <w:tcPr>
            <w:tcW w:w="0" w:type="auto"/>
            <w:vAlign w:val="center"/>
          </w:tcPr>
          <w:p w:rsidR="00024C0A" w:rsidRDefault="00694C0F">
            <w:pPr>
              <w:pStyle w:val="TableBodyText"/>
            </w:pPr>
            <w:r>
              <w:t>A custom pr</w:t>
            </w:r>
            <w:r>
              <w:t>operty with this name specifies a parameter, where ParameterName is a name given by the user.</w:t>
            </w:r>
          </w:p>
        </w:tc>
      </w:tr>
    </w:tbl>
    <w:p w:rsidR="00024C0A" w:rsidRDefault="00024C0A"/>
    <w:p w:rsidR="00024C0A" w:rsidRDefault="00694C0F">
      <w:pPr>
        <w:pStyle w:val="Definition-Field"/>
      </w:pPr>
      <w:r>
        <w:t xml:space="preserve">d.   </w:t>
      </w:r>
      <w:r>
        <w:rPr>
          <w:i/>
        </w:rPr>
        <w:t>The standard lists 21 variant types as possible child elements.</w:t>
      </w:r>
    </w:p>
    <w:p w:rsidR="00024C0A" w:rsidRDefault="00694C0F">
      <w:r>
        <w:t xml:space="preserve">Office only allows </w:t>
      </w:r>
      <w:r>
        <w:rPr>
          <w:b/>
        </w:rPr>
        <w:t>bool</w:t>
      </w:r>
      <w:r>
        <w:t xml:space="preserve">, </w:t>
      </w:r>
      <w:r>
        <w:rPr>
          <w:b/>
        </w:rPr>
        <w:t>filetime</w:t>
      </w:r>
      <w:r>
        <w:t xml:space="preserve">, </w:t>
      </w:r>
      <w:r>
        <w:rPr>
          <w:b/>
        </w:rPr>
        <w:t>empty</w:t>
      </w:r>
      <w:r>
        <w:t xml:space="preserve">, </w:t>
      </w:r>
      <w:r>
        <w:rPr>
          <w:b/>
        </w:rPr>
        <w:t>i4</w:t>
      </w:r>
      <w:r>
        <w:t xml:space="preserve">, </w:t>
      </w:r>
      <w:r>
        <w:rPr>
          <w:b/>
        </w:rPr>
        <w:t>lpstr</w:t>
      </w:r>
      <w:r>
        <w:t xml:space="preserve">, </w:t>
      </w:r>
      <w:r>
        <w:rPr>
          <w:b/>
        </w:rPr>
        <w:t>lpwstr</w:t>
      </w:r>
      <w:r>
        <w:t xml:space="preserve"> and </w:t>
      </w:r>
      <w:r>
        <w:rPr>
          <w:b/>
        </w:rPr>
        <w:t>r8</w:t>
      </w:r>
      <w:r>
        <w:t xml:space="preserve"> as valid child elements for custom properties where </w:t>
      </w:r>
      <w:r>
        <w:rPr>
          <w:b/>
        </w:rPr>
        <w:t>fmtid</w:t>
      </w:r>
      <w:r>
        <w:t xml:space="preserve"> has a value of </w:t>
      </w:r>
      <w:r>
        <w:rPr>
          <w:i/>
        </w:rPr>
        <w:t>{D5CDD505-2E9C-101B-9397-08002B2CF9AE}.</w:t>
      </w:r>
    </w:p>
    <w:p w:rsidR="00024C0A" w:rsidRDefault="00694C0F">
      <w:pPr>
        <w:pStyle w:val="Definition-Field"/>
      </w:pPr>
      <w:r>
        <w:t xml:space="preserve">e.   </w:t>
      </w:r>
      <w:r>
        <w:rPr>
          <w:i/>
        </w:rPr>
        <w:t>The standard states that the values of the pid attribute are defined by the XML Schema int datatype.</w:t>
      </w:r>
    </w:p>
    <w:p w:rsidR="00024C0A" w:rsidRDefault="00694C0F">
      <w:pPr>
        <w:pStyle w:val="Definition-Field2"/>
      </w:pPr>
      <w:r>
        <w:t>Office restricts the value of this a</w:t>
      </w:r>
      <w:r>
        <w:t>ttribute to be at least 2.</w:t>
      </w:r>
    </w:p>
    <w:p w:rsidR="00024C0A" w:rsidRDefault="00694C0F">
      <w:pPr>
        <w:pStyle w:val="Definition-Field"/>
      </w:pPr>
      <w:r>
        <w:t xml:space="preserve">f.   </w:t>
      </w:r>
      <w:r>
        <w:rPr>
          <w:i/>
        </w:rPr>
        <w:t>The standard does not document any restrictions on the FmtId attribute.</w:t>
      </w:r>
    </w:p>
    <w:p w:rsidR="00024C0A" w:rsidRDefault="00694C0F">
      <w:r>
        <w:t>The following GUIDs shall not be used in a custom property.</w:t>
      </w:r>
    </w:p>
    <w:p w:rsidR="00024C0A" w:rsidRDefault="00694C0F">
      <w:r>
        <w:rPr>
          <w:b/>
          <w:i/>
        </w:rPr>
        <w:t>Summary Information</w:t>
      </w:r>
    </w:p>
    <w:p w:rsidR="00024C0A" w:rsidRDefault="00694C0F">
      <w:r>
        <w:rPr>
          <w:i/>
        </w:rPr>
        <w:t>{f29f85e0-4ff9-1068-ab91-08002b27b3d9}</w:t>
      </w:r>
    </w:p>
    <w:p w:rsidR="00024C0A" w:rsidRDefault="00694C0F">
      <w:r>
        <w:rPr>
          <w:b/>
          <w:i/>
        </w:rPr>
        <w:t>Document Summary Information</w:t>
      </w:r>
    </w:p>
    <w:p w:rsidR="00024C0A" w:rsidRDefault="00694C0F">
      <w:r>
        <w:rPr>
          <w:i/>
        </w:rPr>
        <w:t>{d5c</w:t>
      </w:r>
      <w:r>
        <w:rPr>
          <w:i/>
        </w:rPr>
        <w:t>dd502-2e9c-101b-9397-08002b2cf9ae}</w:t>
      </w:r>
    </w:p>
    <w:p w:rsidR="00024C0A" w:rsidRDefault="00694C0F">
      <w:pPr>
        <w:pStyle w:val="Definition-Field"/>
      </w:pPr>
      <w:r>
        <w:t xml:space="preserve">g.   </w:t>
      </w:r>
      <w:r>
        <w:rPr>
          <w:i/>
        </w:rPr>
        <w:t>The standard specifies that the name attribute is defined by the XML Schema string datatype.</w:t>
      </w:r>
    </w:p>
    <w:p w:rsidR="00024C0A" w:rsidRDefault="00694C0F">
      <w:pPr>
        <w:pStyle w:val="Definition-Field2"/>
      </w:pPr>
      <w:r>
        <w:t>Office requires that the name attribute be a case-insensitive unique name.</w:t>
      </w:r>
    </w:p>
    <w:p w:rsidR="00024C0A" w:rsidRDefault="00694C0F">
      <w:pPr>
        <w:pStyle w:val="Heading3"/>
      </w:pPr>
      <w:bookmarkStart w:id="3453" w:name="section_9fcc6242217f4882b52a7907a0ba0aaa"/>
      <w:bookmarkStart w:id="3454" w:name="_Toc12261787"/>
      <w:r>
        <w:t>Part 1 Section 22.4.2.1, array (Array)</w:t>
      </w:r>
      <w:bookmarkEnd w:id="3453"/>
      <w:bookmarkEnd w:id="3454"/>
      <w:r>
        <w:fldChar w:fldCharType="begin"/>
      </w:r>
      <w:r>
        <w:instrText xml:space="preserve"> XE "array (Array)" </w:instrText>
      </w:r>
      <w:r>
        <w:fldChar w:fldCharType="end"/>
      </w:r>
    </w:p>
    <w:p w:rsidR="00024C0A" w:rsidRDefault="00694C0F">
      <w:pPr>
        <w:pStyle w:val="Definition-Field"/>
      </w:pPr>
      <w:r>
        <w:t xml:space="preserve">a.   </w:t>
      </w:r>
      <w:r>
        <w:rPr>
          <w:i/>
        </w:rPr>
        <w:t>The standard states that the values of the lbound attribute are defined by the XML Schema int datatype.</w:t>
      </w:r>
    </w:p>
    <w:p w:rsidR="00024C0A" w:rsidRDefault="00694C0F">
      <w:pPr>
        <w:pStyle w:val="Definition-Field2"/>
      </w:pPr>
      <w:r>
        <w:t>Office defines the values of this attribute to be a collection in the format #, #, # ... #, where each # represents an integ</w:t>
      </w:r>
      <w:r>
        <w:t>er and the attribute’s value matches the regular expression pattern \s*[\+\-]?[0-9]+\s*(\,\s*[\+\-]?[0-9]+\s*)*.</w:t>
      </w:r>
    </w:p>
    <w:p w:rsidR="00024C0A" w:rsidRDefault="00694C0F">
      <w:pPr>
        <w:pStyle w:val="Definition-Field"/>
      </w:pPr>
      <w:r>
        <w:t xml:space="preserve">b.   </w:t>
      </w:r>
      <w:r>
        <w:rPr>
          <w:i/>
        </w:rPr>
        <w:t>The standard states that the values of the ubound attribute are defined by the XML Schema int datatype.</w:t>
      </w:r>
    </w:p>
    <w:p w:rsidR="00024C0A" w:rsidRDefault="00694C0F">
      <w:pPr>
        <w:pStyle w:val="Definition-Field2"/>
      </w:pPr>
      <w:r>
        <w:t xml:space="preserve">Office defines the values of this </w:t>
      </w:r>
      <w:r>
        <w:t>attribute to be a collection in the format #, #, # ... #, where each # represents an integer and the attribute’s value matches the regular expression pattern \s*[\+\-]?[0-9]+\s*(\,\s*[\+\-]?[0-9]+\s*)*.</w:t>
      </w:r>
    </w:p>
    <w:p w:rsidR="00024C0A" w:rsidRDefault="00694C0F">
      <w:pPr>
        <w:pStyle w:val="Heading3"/>
      </w:pPr>
      <w:bookmarkStart w:id="3455" w:name="section_b8e078b34b5c4f0db94ffb4bb16bf5a8"/>
      <w:bookmarkStart w:id="3456" w:name="_Toc12261788"/>
      <w:r>
        <w:t>Part 1 Section 22.4.2.5, clsid (Class ID)</w:t>
      </w:r>
      <w:bookmarkEnd w:id="3455"/>
      <w:bookmarkEnd w:id="3456"/>
      <w:r>
        <w:fldChar w:fldCharType="begin"/>
      </w:r>
      <w:r>
        <w:instrText xml:space="preserve"> XE "clsid (</w:instrText>
      </w:r>
      <w:r>
        <w:instrText xml:space="preserve">Class ID)" </w:instrText>
      </w:r>
      <w:r>
        <w:fldChar w:fldCharType="end"/>
      </w:r>
    </w:p>
    <w:p w:rsidR="00024C0A" w:rsidRDefault="00694C0F">
      <w:pPr>
        <w:pStyle w:val="Definition-Field"/>
      </w:pPr>
      <w:r>
        <w:t xml:space="preserve">a.   </w:t>
      </w:r>
      <w:r>
        <w:rPr>
          <w:i/>
        </w:rPr>
        <w:t>The standard permits leading or trailing white spaces in the pattern of the simple type.</w:t>
      </w:r>
    </w:p>
    <w:p w:rsidR="00024C0A" w:rsidRDefault="00694C0F">
      <w:pPr>
        <w:pStyle w:val="Definition-Field2"/>
      </w:pPr>
      <w:r>
        <w:lastRenderedPageBreak/>
        <w:t>Office does not permit leading or trailing white spaces.</w:t>
      </w:r>
    </w:p>
    <w:p w:rsidR="00024C0A" w:rsidRDefault="00694C0F">
      <w:pPr>
        <w:pStyle w:val="Heading3"/>
      </w:pPr>
      <w:bookmarkStart w:id="3457" w:name="section_8e9fc0381cf24482b0cc8d2158d56d9e"/>
      <w:bookmarkStart w:id="3458" w:name="_Toc12261789"/>
      <w:r>
        <w:t>Part 1 Section 22.4.2.7, date (Date and Time)</w:t>
      </w:r>
      <w:bookmarkEnd w:id="3457"/>
      <w:bookmarkEnd w:id="3458"/>
      <w:r>
        <w:fldChar w:fldCharType="begin"/>
      </w:r>
      <w:r>
        <w:instrText xml:space="preserve"> XE "date (Date and Time)" </w:instrText>
      </w:r>
      <w:r>
        <w:fldChar w:fldCharType="end"/>
      </w:r>
    </w:p>
    <w:p w:rsidR="00024C0A" w:rsidRDefault="00694C0F">
      <w:pPr>
        <w:pStyle w:val="Definition-Field"/>
      </w:pPr>
      <w:r>
        <w:t xml:space="preserve">a.   </w:t>
      </w:r>
      <w:r>
        <w:rPr>
          <w:i/>
        </w:rPr>
        <w:t>The standar</w:t>
      </w:r>
      <w:r>
        <w:rPr>
          <w:i/>
        </w:rPr>
        <w:t>d states that the date element is compliant with RFC 3339.</w:t>
      </w:r>
    </w:p>
    <w:p w:rsidR="00024C0A" w:rsidRDefault="00694C0F">
      <w:pPr>
        <w:pStyle w:val="Definition-Field2"/>
      </w:pPr>
      <w:r>
        <w:t xml:space="preserve">Office is compliant with </w:t>
      </w:r>
      <w:hyperlink r:id="rId216">
        <w:r>
          <w:rPr>
            <w:rStyle w:val="Hyperlink"/>
          </w:rPr>
          <w:t>[ISO-8601]</w:t>
        </w:r>
      </w:hyperlink>
      <w:r>
        <w:t xml:space="preserve"> for the XML schema date-time.</w:t>
      </w:r>
    </w:p>
    <w:p w:rsidR="00024C0A" w:rsidRDefault="00694C0F">
      <w:pPr>
        <w:pStyle w:val="Heading3"/>
      </w:pPr>
      <w:bookmarkStart w:id="3459" w:name="section_50a9e454253c4156b3699b29fe34570d"/>
      <w:bookmarkStart w:id="3460" w:name="_Toc12261790"/>
      <w:r>
        <w:t>Part 1 Section 22.4.2.11, filetime (File Time)</w:t>
      </w:r>
      <w:bookmarkEnd w:id="3459"/>
      <w:bookmarkEnd w:id="3460"/>
      <w:r>
        <w:fldChar w:fldCharType="begin"/>
      </w:r>
      <w:r>
        <w:instrText xml:space="preserve"> XE "filetime (File Time)" </w:instrText>
      </w:r>
      <w:r>
        <w:fldChar w:fldCharType="end"/>
      </w:r>
    </w:p>
    <w:p w:rsidR="00024C0A" w:rsidRDefault="00694C0F">
      <w:pPr>
        <w:pStyle w:val="Definition-Field"/>
      </w:pPr>
      <w:r>
        <w:t xml:space="preserve">a.   </w:t>
      </w:r>
      <w:r>
        <w:rPr>
          <w:i/>
        </w:rPr>
        <w:t>The standard refers to the filetime format as RFC3339.</w:t>
      </w:r>
    </w:p>
    <w:p w:rsidR="00024C0A" w:rsidRDefault="00694C0F">
      <w:pPr>
        <w:pStyle w:val="Definition-Field2"/>
      </w:pPr>
      <w:r>
        <w:t xml:space="preserve">Office is compliant with </w:t>
      </w:r>
      <w:hyperlink r:id="rId217">
        <w:r>
          <w:rPr>
            <w:rStyle w:val="Hyperlink"/>
          </w:rPr>
          <w:t>[ISO-8601]</w:t>
        </w:r>
      </w:hyperlink>
      <w:r>
        <w:t xml:space="preserve"> for the XML schema date-time.</w:t>
      </w:r>
    </w:p>
    <w:p w:rsidR="00024C0A" w:rsidRDefault="00694C0F">
      <w:pPr>
        <w:pStyle w:val="Heading3"/>
      </w:pPr>
      <w:bookmarkStart w:id="3461" w:name="section_f9791871899f4d5e8b7004333779d5a6"/>
      <w:bookmarkStart w:id="3462" w:name="_Toc12261791"/>
      <w:r>
        <w:t>Part 1 Section 22.4.2.19, null (Nul</w:t>
      </w:r>
      <w:r>
        <w:t>l)</w:t>
      </w:r>
      <w:bookmarkEnd w:id="3461"/>
      <w:bookmarkEnd w:id="3462"/>
      <w:r>
        <w:fldChar w:fldCharType="begin"/>
      </w:r>
      <w:r>
        <w:instrText xml:space="preserve"> XE "null (Null)" </w:instrText>
      </w:r>
      <w:r>
        <w:fldChar w:fldCharType="end"/>
      </w:r>
    </w:p>
    <w:p w:rsidR="00024C0A" w:rsidRDefault="00694C0F">
      <w:pPr>
        <w:pStyle w:val="Definition-Field"/>
      </w:pPr>
      <w:r>
        <w:t xml:space="preserve">a.   </w:t>
      </w:r>
      <w:r>
        <w:rPr>
          <w:i/>
        </w:rPr>
        <w:t>The standard requires an empty-element tag.</w:t>
      </w:r>
    </w:p>
    <w:p w:rsidR="00024C0A" w:rsidRDefault="00694C0F">
      <w:pPr>
        <w:pStyle w:val="Definition-Field2"/>
      </w:pPr>
      <w:r>
        <w:t>Office writes a start-element and end-element with white space content.</w:t>
      </w:r>
    </w:p>
    <w:p w:rsidR="00024C0A" w:rsidRDefault="00694C0F">
      <w:pPr>
        <w:pStyle w:val="Heading3"/>
      </w:pPr>
      <w:bookmarkStart w:id="3463" w:name="section_c82f70414e024b7e9df60a29258a6a7e"/>
      <w:bookmarkStart w:id="3464" w:name="_Toc12261792"/>
      <w:r>
        <w:t>Part 1 Section 22.4.2.21, ostorage (Binary Storage Object)</w:t>
      </w:r>
      <w:bookmarkEnd w:id="3463"/>
      <w:bookmarkEnd w:id="3464"/>
      <w:r>
        <w:fldChar w:fldCharType="begin"/>
      </w:r>
      <w:r>
        <w:instrText xml:space="preserve"> XE "ostorage (Binary Storage Object)" </w:instrText>
      </w:r>
      <w:r>
        <w:fldChar w:fldCharType="end"/>
      </w:r>
    </w:p>
    <w:p w:rsidR="00024C0A" w:rsidRDefault="00694C0F">
      <w:pPr>
        <w:pStyle w:val="Definition-Field"/>
      </w:pPr>
      <w:r>
        <w:t xml:space="preserve">a.   </w:t>
      </w:r>
      <w:r>
        <w:rPr>
          <w:i/>
        </w:rPr>
        <w:t>The sta</w:t>
      </w:r>
      <w:r>
        <w:rPr>
          <w:i/>
        </w:rPr>
        <w:t>ndard specifies that files are permitted to contain an ostorage tag.</w:t>
      </w:r>
    </w:p>
    <w:p w:rsidR="00024C0A" w:rsidRDefault="00694C0F">
      <w:pPr>
        <w:pStyle w:val="Definition-Field2"/>
      </w:pPr>
      <w:r>
        <w:t xml:space="preserve">In Office, the base64binary data contained in the ostorage element must be a compound doc as specified in the Compound File Binary File Format Specification </w:t>
      </w:r>
      <w:hyperlink r:id="rId218" w:anchor="Section_53989ce47b054f8d829bd08d6148375b">
        <w:r>
          <w:rPr>
            <w:rStyle w:val="Hyperlink"/>
          </w:rPr>
          <w:t>[MS-CFB]</w:t>
        </w:r>
      </w:hyperlink>
      <w:r>
        <w:t>.</w:t>
      </w:r>
    </w:p>
    <w:p w:rsidR="00024C0A" w:rsidRDefault="00694C0F">
      <w:pPr>
        <w:pStyle w:val="Heading3"/>
      </w:pPr>
      <w:bookmarkStart w:id="3465" w:name="section_8b3cd82f24e0482d9cdf4cd8224ce6d4"/>
      <w:bookmarkStart w:id="3466" w:name="_Toc12261793"/>
      <w:r>
        <w:t>Part 1 Section 22.4.2.25, storage (Binary Storage)</w:t>
      </w:r>
      <w:bookmarkEnd w:id="3465"/>
      <w:bookmarkEnd w:id="3466"/>
      <w:r>
        <w:fldChar w:fldCharType="begin"/>
      </w:r>
      <w:r>
        <w:instrText xml:space="preserve"> XE "storage (Binary Storage)" </w:instrText>
      </w:r>
      <w:r>
        <w:fldChar w:fldCharType="end"/>
      </w:r>
    </w:p>
    <w:p w:rsidR="00024C0A" w:rsidRDefault="00694C0F">
      <w:pPr>
        <w:pStyle w:val="Definition-Field"/>
      </w:pPr>
      <w:r>
        <w:t xml:space="preserve">a.   </w:t>
      </w:r>
      <w:r>
        <w:rPr>
          <w:i/>
        </w:rPr>
        <w:t>The standard specifies that files are permitted to contain storage tags.</w:t>
      </w:r>
    </w:p>
    <w:p w:rsidR="00024C0A" w:rsidRDefault="00694C0F">
      <w:pPr>
        <w:pStyle w:val="Definition-Field2"/>
      </w:pPr>
      <w:r>
        <w:t>In Office, the base64binary data con</w:t>
      </w:r>
      <w:r>
        <w:t xml:space="preserve">tained in the storage element must be a compound doc as specified in the Compound File Binary File Format Specification </w:t>
      </w:r>
      <w:hyperlink r:id="rId219" w:anchor="Section_53989ce47b054f8d829bd08d6148375b">
        <w:r>
          <w:rPr>
            <w:rStyle w:val="Hyperlink"/>
          </w:rPr>
          <w:t>[MS-CFB]</w:t>
        </w:r>
      </w:hyperlink>
      <w:r>
        <w:t>.</w:t>
      </w:r>
    </w:p>
    <w:p w:rsidR="00024C0A" w:rsidRDefault="00694C0F">
      <w:pPr>
        <w:pStyle w:val="Heading3"/>
      </w:pPr>
      <w:bookmarkStart w:id="3467" w:name="section_8e4340b124c84f1c8e03b3eaeaafb07e"/>
      <w:bookmarkStart w:id="3468" w:name="_Toc12261794"/>
      <w:r>
        <w:t>Part 1 Section 22.4.2.34, vstream (Binary Versio</w:t>
      </w:r>
      <w:r>
        <w:t>ned Stream)</w:t>
      </w:r>
      <w:bookmarkEnd w:id="3467"/>
      <w:bookmarkEnd w:id="3468"/>
      <w:r>
        <w:fldChar w:fldCharType="begin"/>
      </w:r>
      <w:r>
        <w:instrText xml:space="preserve"> XE "vstream (Binary Versioned Stream)" </w:instrText>
      </w:r>
      <w:r>
        <w:fldChar w:fldCharType="end"/>
      </w:r>
    </w:p>
    <w:p w:rsidR="00024C0A" w:rsidRDefault="00694C0F">
      <w:pPr>
        <w:pStyle w:val="Definition-Field"/>
      </w:pPr>
      <w:r>
        <w:t xml:space="preserve">a.   </w:t>
      </w:r>
      <w:r>
        <w:rPr>
          <w:i/>
        </w:rPr>
        <w:t>The standard implies that the version attribute is optional.</w:t>
      </w:r>
    </w:p>
    <w:p w:rsidR="00024C0A" w:rsidRDefault="00694C0F">
      <w:pPr>
        <w:pStyle w:val="Definition-Field2"/>
      </w:pPr>
      <w:r>
        <w:t>Office requires this attribute.</w:t>
      </w:r>
    </w:p>
    <w:p w:rsidR="00024C0A" w:rsidRDefault="00694C0F">
      <w:pPr>
        <w:pStyle w:val="Heading3"/>
      </w:pPr>
      <w:bookmarkStart w:id="3469" w:name="section_25a50330009d494596a27947fce8e286"/>
      <w:bookmarkStart w:id="3470" w:name="_Toc12261795"/>
      <w:r>
        <w:t>Part 1 Section 22.4.3.3, ST_Error (Error Status Code Simple Type)</w:t>
      </w:r>
      <w:bookmarkEnd w:id="3469"/>
      <w:bookmarkEnd w:id="3470"/>
      <w:r>
        <w:fldChar w:fldCharType="begin"/>
      </w:r>
      <w:r>
        <w:instrText xml:space="preserve"> XE "ST_Error (Error Status Code Simple</w:instrText>
      </w:r>
      <w:r>
        <w:instrText xml:space="preserve"> Type)" </w:instrText>
      </w:r>
      <w:r>
        <w:fldChar w:fldCharType="end"/>
      </w:r>
    </w:p>
    <w:p w:rsidR="00024C0A" w:rsidRDefault="00694C0F">
      <w:pPr>
        <w:pStyle w:val="Definition-Field"/>
      </w:pPr>
      <w:r>
        <w:t xml:space="preserve">a.   </w:t>
      </w:r>
      <w:r>
        <w:rPr>
          <w:i/>
        </w:rPr>
        <w:t>The standard allows letters A-Z as hexadecimal digits.</w:t>
      </w:r>
    </w:p>
    <w:p w:rsidR="00024C0A" w:rsidRDefault="00694C0F">
      <w:pPr>
        <w:pStyle w:val="Definition-Field2"/>
      </w:pPr>
      <w:r>
        <w:t>Office only permits the letters A-F as hexadecimal digits.</w:t>
      </w:r>
    </w:p>
    <w:p w:rsidR="00024C0A" w:rsidRDefault="00694C0F">
      <w:pPr>
        <w:pStyle w:val="Definition-Field"/>
      </w:pPr>
      <w:r>
        <w:t xml:space="preserve">b.   </w:t>
      </w:r>
      <w:r>
        <w:rPr>
          <w:i/>
        </w:rPr>
        <w:t>The standard permits white space characters.</w:t>
      </w:r>
    </w:p>
    <w:p w:rsidR="00024C0A" w:rsidRDefault="00694C0F">
      <w:pPr>
        <w:pStyle w:val="Definition-Field2"/>
      </w:pPr>
      <w:r>
        <w:t>Office does not allow white space characters.</w:t>
      </w:r>
    </w:p>
    <w:p w:rsidR="00024C0A" w:rsidRDefault="00694C0F">
      <w:pPr>
        <w:pStyle w:val="Heading3"/>
      </w:pPr>
      <w:bookmarkStart w:id="3471" w:name="section_d28cd33776744dc087ae1050611b4c38"/>
      <w:bookmarkStart w:id="3472" w:name="_Toc12261796"/>
      <w:r>
        <w:t>Part 1 Section 22.6.2.4, Author (Contributors List)</w:t>
      </w:r>
      <w:bookmarkEnd w:id="3471"/>
      <w:bookmarkEnd w:id="3472"/>
      <w:r>
        <w:fldChar w:fldCharType="begin"/>
      </w:r>
      <w:r>
        <w:instrText xml:space="preserve"> XE "Author (Contributors List)" </w:instrText>
      </w:r>
      <w:r>
        <w:fldChar w:fldCharType="end"/>
      </w:r>
    </w:p>
    <w:p w:rsidR="00024C0A" w:rsidRDefault="00694C0F">
      <w:pPr>
        <w:pStyle w:val="Definition-Field"/>
      </w:pPr>
      <w:r>
        <w:t xml:space="preserve">a.   </w:t>
      </w:r>
      <w:r>
        <w:rPr>
          <w:i/>
        </w:rPr>
        <w:t>The standard states that this element can contain any number of child elements in any order.</w:t>
      </w:r>
    </w:p>
    <w:p w:rsidR="00024C0A" w:rsidRDefault="00694C0F">
      <w:pPr>
        <w:pStyle w:val="Definition-Field2"/>
      </w:pPr>
      <w:r>
        <w:t>Word only allows a single instance, the first instance in document orde</w:t>
      </w:r>
      <w:r>
        <w:t>r, of each child element; the elements, when present, must be in the order specified in the schema.</w:t>
      </w:r>
    </w:p>
    <w:p w:rsidR="00024C0A" w:rsidRDefault="00694C0F">
      <w:pPr>
        <w:pStyle w:val="Heading3"/>
      </w:pPr>
      <w:bookmarkStart w:id="3473" w:name="section_309a71616dc747118a12d15a81e9214b"/>
      <w:bookmarkStart w:id="3474" w:name="_Toc12261797"/>
      <w:r>
        <w:lastRenderedPageBreak/>
        <w:t>Part 1 Section 22.6.2.30, Guid (GUID)</w:t>
      </w:r>
      <w:bookmarkEnd w:id="3473"/>
      <w:bookmarkEnd w:id="3474"/>
      <w:r>
        <w:fldChar w:fldCharType="begin"/>
      </w:r>
      <w:r>
        <w:instrText xml:space="preserve"> XE "Guid (GUID)" </w:instrText>
      </w:r>
      <w:r>
        <w:fldChar w:fldCharType="end"/>
      </w:r>
    </w:p>
    <w:p w:rsidR="00024C0A" w:rsidRDefault="00694C0F">
      <w:pPr>
        <w:pStyle w:val="Definition-Field"/>
      </w:pPr>
      <w:r>
        <w:t xml:space="preserve">a.   </w:t>
      </w:r>
      <w:r>
        <w:rPr>
          <w:i/>
        </w:rPr>
        <w:t>The standard states that this element is a unique identifier for the source.</w:t>
      </w:r>
    </w:p>
    <w:p w:rsidR="00024C0A" w:rsidRDefault="00694C0F">
      <w:r>
        <w:t>When copying a s</w:t>
      </w:r>
      <w:r>
        <w:t>ource entry from a source document to a destination document, Word checks to see if the destination document has an entry with the same tag ("</w:t>
      </w:r>
      <w:hyperlink r:id="rId220">
        <w:r>
          <w:rPr>
            <w:rStyle w:val="Hyperlink"/>
          </w:rPr>
          <w:t>[ISO/IEC-29500-1]</w:t>
        </w:r>
      </w:hyperlink>
      <w:r>
        <w:t xml:space="preserve"> §22.6.2.65; Tag") as the entry</w:t>
      </w:r>
      <w:r>
        <w:t xml:space="preserve"> being copied. If a match is found, Word then compares the GUID of the matching entry in the destination document with that of the entry being copied. If the GUIDs are identical, or if the destination document has an entry with the same GUID as the entry b</w:t>
      </w:r>
      <w:r>
        <w:t>eing copied, Word assumes the source entry to be already present in the destination document and no new entry is created.</w:t>
      </w:r>
    </w:p>
    <w:p w:rsidR="00024C0A" w:rsidRDefault="00694C0F">
      <w:pPr>
        <w:pStyle w:val="Heading3"/>
      </w:pPr>
      <w:bookmarkStart w:id="3475" w:name="section_63ae8c94327f45afaafd773999103ec5"/>
      <w:bookmarkStart w:id="3476" w:name="_Toc12261798"/>
      <w:r>
        <w:t>Part 1 Section 22.6.2.39, LCID (Locale ID)</w:t>
      </w:r>
      <w:bookmarkEnd w:id="3475"/>
      <w:bookmarkEnd w:id="3476"/>
      <w:r>
        <w:fldChar w:fldCharType="begin"/>
      </w:r>
      <w:r>
        <w:instrText xml:space="preserve"> XE "LCID (Locale ID)" </w:instrText>
      </w:r>
      <w:r>
        <w:fldChar w:fldCharType="end"/>
      </w:r>
    </w:p>
    <w:p w:rsidR="00024C0A" w:rsidRDefault="00694C0F">
      <w:pPr>
        <w:pStyle w:val="Definition-Field"/>
      </w:pPr>
      <w:r>
        <w:t xml:space="preserve">a.   </w:t>
      </w:r>
      <w:r>
        <w:rPr>
          <w:i/>
        </w:rPr>
        <w:t>The standard says LCID represents the source's language.</w:t>
      </w:r>
    </w:p>
    <w:p w:rsidR="00024C0A" w:rsidRDefault="00694C0F">
      <w:pPr>
        <w:pStyle w:val="Definition-Field2"/>
      </w:pPr>
      <w:r>
        <w:t>Word</w:t>
      </w:r>
      <w:r>
        <w:t xml:space="preserve"> uses LCID as the language to format the source when the documentation style in use has language-dependent variability.</w:t>
      </w:r>
    </w:p>
    <w:p w:rsidR="00024C0A" w:rsidRDefault="00694C0F">
      <w:pPr>
        <w:pStyle w:val="Heading3"/>
      </w:pPr>
      <w:bookmarkStart w:id="3477" w:name="section_c631f4afc4c64edd9bc0608602943ea2"/>
      <w:bookmarkStart w:id="3478" w:name="_Toc12261799"/>
      <w:r>
        <w:t>Part 1 Section 22.6.2.50, Person (Person)</w:t>
      </w:r>
      <w:bookmarkEnd w:id="3477"/>
      <w:bookmarkEnd w:id="3478"/>
      <w:r>
        <w:fldChar w:fldCharType="begin"/>
      </w:r>
      <w:r>
        <w:instrText xml:space="preserve"> XE "Person (Person)" </w:instrText>
      </w:r>
      <w:r>
        <w:fldChar w:fldCharType="end"/>
      </w:r>
    </w:p>
    <w:p w:rsidR="00024C0A" w:rsidRDefault="00694C0F">
      <w:pPr>
        <w:pStyle w:val="Definition-Field"/>
      </w:pPr>
      <w:r>
        <w:t xml:space="preserve">a.   </w:t>
      </w:r>
      <w:r>
        <w:rPr>
          <w:i/>
        </w:rPr>
        <w:t>The standard states that the person element can contain any numbe</w:t>
      </w:r>
      <w:r>
        <w:rPr>
          <w:i/>
        </w:rPr>
        <w:t>r of each of its child elements.</w:t>
      </w:r>
    </w:p>
    <w:p w:rsidR="00024C0A" w:rsidRDefault="00694C0F">
      <w:pPr>
        <w:pStyle w:val="Definition-Field2"/>
      </w:pPr>
      <w:r>
        <w:t>Word only reads the first instance of each child element.</w:t>
      </w:r>
    </w:p>
    <w:p w:rsidR="00024C0A" w:rsidRDefault="00694C0F">
      <w:pPr>
        <w:pStyle w:val="Heading3"/>
      </w:pPr>
      <w:bookmarkStart w:id="3479" w:name="section_a7912fd83e8349008cef9ea6d8cc6856"/>
      <w:bookmarkStart w:id="3480" w:name="_Toc12261800"/>
      <w:r>
        <w:t>Part 1 Section 22.6.2.59, Source (Source)</w:t>
      </w:r>
      <w:bookmarkEnd w:id="3479"/>
      <w:bookmarkEnd w:id="3480"/>
      <w:r>
        <w:fldChar w:fldCharType="begin"/>
      </w:r>
      <w:r>
        <w:instrText xml:space="preserve"> XE "Source (Source)" </w:instrText>
      </w:r>
      <w:r>
        <w:fldChar w:fldCharType="end"/>
      </w:r>
    </w:p>
    <w:p w:rsidR="00024C0A" w:rsidRDefault="00694C0F">
      <w:pPr>
        <w:pStyle w:val="Definition-Field"/>
      </w:pPr>
      <w:r>
        <w:t xml:space="preserve">a.   </w:t>
      </w:r>
      <w:r>
        <w:rPr>
          <w:i/>
        </w:rPr>
        <w:t>The standard states that this element can contain any number of child elements in any order.</w:t>
      </w:r>
    </w:p>
    <w:p w:rsidR="00024C0A" w:rsidRDefault="00694C0F">
      <w:pPr>
        <w:pStyle w:val="Definition-Field2"/>
      </w:pPr>
      <w:r>
        <w:t>W</w:t>
      </w:r>
      <w:r>
        <w:t>ord only allows a single instance, the first instance in document order, of each child element.</w:t>
      </w:r>
    </w:p>
    <w:p w:rsidR="00024C0A" w:rsidRDefault="00694C0F">
      <w:pPr>
        <w:pStyle w:val="Heading3"/>
      </w:pPr>
      <w:bookmarkStart w:id="3481" w:name="section_3a8facc7b7e74bb4b34cb38d0d4c1c6d"/>
      <w:bookmarkStart w:id="3482" w:name="_Toc12261801"/>
      <w:r>
        <w:t>Part 1 Section 22.6.2.65, Tag (Tag)</w:t>
      </w:r>
      <w:bookmarkEnd w:id="3481"/>
      <w:bookmarkEnd w:id="3482"/>
      <w:r>
        <w:fldChar w:fldCharType="begin"/>
      </w:r>
      <w:r>
        <w:instrText xml:space="preserve"> XE "Tag (Tag)" </w:instrText>
      </w:r>
      <w:r>
        <w:fldChar w:fldCharType="end"/>
      </w:r>
    </w:p>
    <w:p w:rsidR="00024C0A" w:rsidRDefault="00694C0F">
      <w:pPr>
        <w:pStyle w:val="Definition-Field"/>
      </w:pPr>
      <w:r>
        <w:t xml:space="preserve">a.   </w:t>
      </w:r>
      <w:r>
        <w:rPr>
          <w:i/>
        </w:rPr>
        <w:t>The standard states that the value of this element has a minimum of 0 and a maximum of 255 characters</w:t>
      </w:r>
      <w:r>
        <w:rPr>
          <w:i/>
        </w:rPr>
        <w:t>.</w:t>
      </w:r>
    </w:p>
    <w:p w:rsidR="00024C0A" w:rsidRDefault="00694C0F">
      <w:pPr>
        <w:pStyle w:val="Definition-Field2"/>
      </w:pPr>
      <w:r>
        <w:t>Word restricts the value of this element to have a minimum of 1 and a maximum of 32 characters.</w:t>
      </w:r>
    </w:p>
    <w:p w:rsidR="00024C0A" w:rsidRDefault="00694C0F">
      <w:pPr>
        <w:pStyle w:val="Heading3"/>
      </w:pPr>
      <w:bookmarkStart w:id="3483" w:name="section_86e4ebd6c6d543a7b3678e508b712256"/>
      <w:bookmarkStart w:id="3484" w:name="_Toc12261802"/>
      <w:r>
        <w:t>Part 1 Section 22.6.2.76, YearAccessed (Year Accessed)</w:t>
      </w:r>
      <w:bookmarkEnd w:id="3483"/>
      <w:bookmarkEnd w:id="3484"/>
      <w:r>
        <w:fldChar w:fldCharType="begin"/>
      </w:r>
      <w:r>
        <w:instrText xml:space="preserve"> XE "YearAccessed (Year Accessed)" </w:instrText>
      </w:r>
      <w:r>
        <w:fldChar w:fldCharType="end"/>
      </w:r>
    </w:p>
    <w:p w:rsidR="00024C0A" w:rsidRDefault="00694C0F">
      <w:pPr>
        <w:pStyle w:val="Definition-Field"/>
      </w:pPr>
      <w:r>
        <w:t xml:space="preserve">a.   </w:t>
      </w:r>
      <w:r>
        <w:rPr>
          <w:i/>
        </w:rPr>
        <w:t xml:space="preserve">The standard states that the YearAccessed element stores the </w:t>
      </w:r>
      <w:r>
        <w:rPr>
          <w:i/>
        </w:rPr>
        <w:t>month in which a source was accessed.</w:t>
      </w:r>
    </w:p>
    <w:p w:rsidR="00024C0A" w:rsidRDefault="00694C0F">
      <w:pPr>
        <w:pStyle w:val="Definition-Field2"/>
      </w:pPr>
      <w:r>
        <w:t>Office interprets this element as the year in which the source was accessed.</w:t>
      </w:r>
    </w:p>
    <w:p w:rsidR="00024C0A" w:rsidRDefault="00694C0F">
      <w:pPr>
        <w:pStyle w:val="Heading3"/>
      </w:pPr>
      <w:bookmarkStart w:id="3485" w:name="section_1f66e1f2ad2a4cee8efce563dca56a03"/>
      <w:bookmarkStart w:id="3486" w:name="_Toc12261803"/>
      <w:r>
        <w:t>Part 1 Section 22.8.2.1, ST_RelationshipId (Explicit Relationship ID)</w:t>
      </w:r>
      <w:bookmarkEnd w:id="3485"/>
      <w:bookmarkEnd w:id="3486"/>
      <w:r>
        <w:fldChar w:fldCharType="begin"/>
      </w:r>
      <w:r>
        <w:instrText xml:space="preserve"> XE "ST_RelationshipId (Explicit Relationship ID)" </w:instrText>
      </w:r>
      <w:r>
        <w:fldChar w:fldCharType="end"/>
      </w:r>
    </w:p>
    <w:p w:rsidR="00024C0A" w:rsidRDefault="00694C0F">
      <w:pPr>
        <w:pStyle w:val="Definition-Field"/>
      </w:pPr>
      <w:r>
        <w:t xml:space="preserve">a.   </w:t>
      </w:r>
      <w:r>
        <w:rPr>
          <w:i/>
        </w:rPr>
        <w:t xml:space="preserve">The standard </w:t>
      </w:r>
      <w:r>
        <w:rPr>
          <w:i/>
        </w:rPr>
        <w:t>does not limit the length of the contents of the ST_RelationshipId simple type.</w:t>
      </w:r>
    </w:p>
    <w:p w:rsidR="00024C0A" w:rsidRDefault="00694C0F">
      <w:pPr>
        <w:pStyle w:val="Definition-Field2"/>
      </w:pPr>
      <w:r>
        <w:t>Office restricts the contents of this simple type to be at most 255 characters.</w:t>
      </w:r>
    </w:p>
    <w:p w:rsidR="00024C0A" w:rsidRDefault="00694C0F">
      <w:pPr>
        <w:pStyle w:val="Definition-Field"/>
      </w:pPr>
      <w:r>
        <w:t xml:space="preserve">b.   </w:t>
      </w:r>
      <w:r>
        <w:rPr>
          <w:i/>
        </w:rPr>
        <w:t xml:space="preserve">The standard states that the values of the ST_RelationshipId simple type are a restriction </w:t>
      </w:r>
      <w:r>
        <w:rPr>
          <w:i/>
        </w:rPr>
        <w:t>on the XML Schema string datatype.</w:t>
      </w:r>
    </w:p>
    <w:p w:rsidR="00024C0A" w:rsidRDefault="00694C0F">
      <w:pPr>
        <w:pStyle w:val="Definition-Field2"/>
      </w:pPr>
      <w:r>
        <w:t>Office defines this simple type as being a restriction on the XML Schema id datatype.</w:t>
      </w:r>
    </w:p>
    <w:p w:rsidR="00024C0A" w:rsidRDefault="00694C0F">
      <w:pPr>
        <w:pStyle w:val="Heading3"/>
      </w:pPr>
      <w:bookmarkStart w:id="3487" w:name="section_139928f9f5084ef29a6b4034409e9564"/>
      <w:bookmarkStart w:id="3488" w:name="_Toc12261804"/>
      <w:r>
        <w:lastRenderedPageBreak/>
        <w:t>Part 1 Section 22.9.2.1, ST_CalendarType (Calendar Types)</w:t>
      </w:r>
      <w:bookmarkEnd w:id="3487"/>
      <w:bookmarkEnd w:id="3488"/>
      <w:r>
        <w:fldChar w:fldCharType="begin"/>
      </w:r>
      <w:r>
        <w:instrText xml:space="preserve"> XE "ST_CalendarType (Calendar Types)" </w:instrText>
      </w:r>
      <w:r>
        <w:fldChar w:fldCharType="end"/>
      </w:r>
    </w:p>
    <w:p w:rsidR="00024C0A" w:rsidRDefault="00694C0F">
      <w:pPr>
        <w:pStyle w:val="Definition-Field"/>
      </w:pPr>
      <w:r>
        <w:t xml:space="preserve">a.   </w:t>
      </w:r>
      <w:r>
        <w:rPr>
          <w:i/>
        </w:rPr>
        <w:t>The standard includes gregorian</w:t>
      </w:r>
      <w:r>
        <w:rPr>
          <w:i/>
        </w:rPr>
        <w:t>Us, gregorianMeFrench, and gregorianArabic as enumeration values for the calendar types.</w:t>
      </w:r>
    </w:p>
    <w:p w:rsidR="00024C0A" w:rsidRDefault="00694C0F">
      <w:pPr>
        <w:pStyle w:val="Definition-Field2"/>
      </w:pPr>
      <w:r>
        <w:t>Word treats gregorianUs, gregorianMeFrench, and gregorianArabic as gregorian.</w:t>
      </w:r>
    </w:p>
    <w:p w:rsidR="00024C0A" w:rsidRDefault="00694C0F">
      <w:pPr>
        <w:pStyle w:val="Definition-Field"/>
      </w:pPr>
      <w:r>
        <w:t xml:space="preserve">b.   </w:t>
      </w:r>
      <w:r>
        <w:rPr>
          <w:i/>
        </w:rPr>
        <w:t>The standard states that saka is a valid enumeration value.</w:t>
      </w:r>
    </w:p>
    <w:p w:rsidR="00024C0A" w:rsidRDefault="00694C0F">
      <w:pPr>
        <w:pStyle w:val="Definition-Field2"/>
      </w:pPr>
      <w:r>
        <w:t xml:space="preserve">Excel interprets an </w:t>
      </w:r>
      <w:r>
        <w:t>enumeration value of saka as a value of none.</w:t>
      </w:r>
    </w:p>
    <w:p w:rsidR="00024C0A" w:rsidRDefault="00694C0F">
      <w:pPr>
        <w:pStyle w:val="Heading3"/>
      </w:pPr>
      <w:bookmarkStart w:id="3489" w:name="section_ed06cf15306c43be9053ca81ca51e656"/>
      <w:bookmarkStart w:id="3490" w:name="_Toc12261805"/>
      <w:r>
        <w:t>Part 1 Section 22.9.2.6, ST_Lang (Language Reference)</w:t>
      </w:r>
      <w:bookmarkEnd w:id="3489"/>
      <w:bookmarkEnd w:id="3490"/>
      <w:r>
        <w:fldChar w:fldCharType="begin"/>
      </w:r>
      <w:r>
        <w:instrText xml:space="preserve"> XE "ST_Lang (Language Reference)" </w:instrText>
      </w:r>
      <w:r>
        <w:fldChar w:fldCharType="end"/>
      </w:r>
    </w:p>
    <w:p w:rsidR="00024C0A" w:rsidRDefault="00694C0F">
      <w:pPr>
        <w:pStyle w:val="Definition-Field"/>
      </w:pPr>
      <w:r>
        <w:t xml:space="preserve">a.   </w:t>
      </w:r>
      <w:r>
        <w:rPr>
          <w:i/>
        </w:rPr>
        <w:t>The standard allows an unbounded string for ST_Lang.</w:t>
      </w:r>
    </w:p>
    <w:p w:rsidR="00024C0A" w:rsidRDefault="00694C0F">
      <w:pPr>
        <w:pStyle w:val="Definition-Field2"/>
      </w:pPr>
      <w:r>
        <w:t>Word allows strings of length at most 84.</w:t>
      </w:r>
    </w:p>
    <w:p w:rsidR="00024C0A" w:rsidRDefault="00694C0F">
      <w:pPr>
        <w:pStyle w:val="Definition-Field"/>
      </w:pPr>
      <w:r>
        <w:t xml:space="preserve">b.   </w:t>
      </w:r>
      <w:r>
        <w:rPr>
          <w:i/>
        </w:rPr>
        <w:t>The standard s</w:t>
      </w:r>
      <w:r>
        <w:rPr>
          <w:i/>
        </w:rPr>
        <w:t>tates that the ST_TextLanguageID specifies an ID representing a particular language.</w:t>
      </w:r>
    </w:p>
    <w:p w:rsidR="00024C0A" w:rsidRDefault="00694C0F">
      <w:pPr>
        <w:pStyle w:val="Definition-Field2"/>
      </w:pPr>
      <w:r>
        <w:t>In Office, the language ID consists of an ISO 639-1 letter code followed by a dash and then an ISO 3166-1 alpha-2 letter code. The contents of this language shall be inter</w:t>
      </w:r>
      <w:r>
        <w:t>preted based on the context of the parent element.</w:t>
      </w:r>
    </w:p>
    <w:p w:rsidR="00024C0A" w:rsidRDefault="00694C0F">
      <w:pPr>
        <w:pStyle w:val="Definition-Field"/>
      </w:pPr>
      <w:r>
        <w:t xml:space="preserve">c.   </w:t>
      </w:r>
      <w:r>
        <w:rPr>
          <w:i/>
        </w:rPr>
        <w:t>The standard states that language identifiers can be specified with strings or hexadecimal values.</w:t>
      </w:r>
    </w:p>
    <w:p w:rsidR="00024C0A" w:rsidRDefault="00694C0F">
      <w:pPr>
        <w:pStyle w:val="Definition-Field2"/>
      </w:pPr>
      <w:r>
        <w:t>Word does not allow a hexadecimal language code.</w:t>
      </w:r>
    </w:p>
    <w:p w:rsidR="00024C0A" w:rsidRDefault="00694C0F">
      <w:pPr>
        <w:pStyle w:val="Definition-Field"/>
      </w:pPr>
      <w:r>
        <w:t xml:space="preserve">d.   </w:t>
      </w:r>
      <w:r>
        <w:rPr>
          <w:i/>
        </w:rPr>
        <w:t xml:space="preserve">The standard states that any valid BCP47 value </w:t>
      </w:r>
      <w:r>
        <w:rPr>
          <w:i/>
        </w:rPr>
        <w:t>is a valid value for elements and attributes of this type.</w:t>
      </w:r>
    </w:p>
    <w:p w:rsidR="00024C0A" w:rsidRDefault="00694C0F">
      <w:r>
        <w:t>Word will ignore any value that is not listed in the following table:</w:t>
      </w:r>
    </w:p>
    <w:tbl>
      <w:tblPr>
        <w:tblStyle w:val="Table-ShadedHeader"/>
        <w:tblW w:w="0" w:type="auto"/>
        <w:tblLook w:val="04A0" w:firstRow="1" w:lastRow="0" w:firstColumn="1" w:lastColumn="0" w:noHBand="0" w:noVBand="1"/>
      </w:tblPr>
      <w:tblGrid>
        <w:gridCol w:w="3690"/>
        <w:gridCol w:w="1513"/>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Description (informative)</w:t>
            </w:r>
          </w:p>
        </w:tc>
        <w:tc>
          <w:tcPr>
            <w:tcW w:w="0" w:type="auto"/>
            <w:vAlign w:val="center"/>
          </w:tcPr>
          <w:p w:rsidR="00024C0A" w:rsidRDefault="00694C0F">
            <w:pPr>
              <w:pStyle w:val="TableHeaderText"/>
            </w:pPr>
            <w:r>
              <w:t>BCP 47 Code</w:t>
            </w:r>
          </w:p>
        </w:tc>
      </w:tr>
      <w:tr w:rsidR="00024C0A" w:rsidTr="00024C0A">
        <w:tc>
          <w:tcPr>
            <w:tcW w:w="0" w:type="auto"/>
            <w:vAlign w:val="center"/>
          </w:tcPr>
          <w:p w:rsidR="00024C0A" w:rsidRDefault="00694C0F">
            <w:pPr>
              <w:pStyle w:val="TableBodyText"/>
            </w:pPr>
            <w:r>
              <w:t xml:space="preserve">Afrikaans - South Africa </w:t>
            </w:r>
          </w:p>
        </w:tc>
        <w:tc>
          <w:tcPr>
            <w:tcW w:w="0" w:type="auto"/>
            <w:vAlign w:val="center"/>
          </w:tcPr>
          <w:p w:rsidR="00024C0A" w:rsidRDefault="00694C0F">
            <w:pPr>
              <w:pStyle w:val="TableBodyText"/>
            </w:pPr>
            <w:r>
              <w:t>af-ZA</w:t>
            </w:r>
          </w:p>
        </w:tc>
      </w:tr>
      <w:tr w:rsidR="00024C0A" w:rsidTr="00024C0A">
        <w:tc>
          <w:tcPr>
            <w:tcW w:w="0" w:type="auto"/>
            <w:vAlign w:val="center"/>
          </w:tcPr>
          <w:p w:rsidR="00024C0A" w:rsidRDefault="00694C0F">
            <w:pPr>
              <w:pStyle w:val="TableBodyText"/>
            </w:pPr>
            <w:r>
              <w:t xml:space="preserve">Amharic - Ethiopia </w:t>
            </w:r>
          </w:p>
        </w:tc>
        <w:tc>
          <w:tcPr>
            <w:tcW w:w="0" w:type="auto"/>
            <w:vAlign w:val="center"/>
          </w:tcPr>
          <w:p w:rsidR="00024C0A" w:rsidRDefault="00694C0F">
            <w:pPr>
              <w:pStyle w:val="TableBodyText"/>
            </w:pPr>
            <w:r>
              <w:t>am-ET</w:t>
            </w:r>
          </w:p>
        </w:tc>
      </w:tr>
      <w:tr w:rsidR="00024C0A" w:rsidTr="00024C0A">
        <w:tc>
          <w:tcPr>
            <w:tcW w:w="0" w:type="auto"/>
            <w:vAlign w:val="center"/>
          </w:tcPr>
          <w:p w:rsidR="00024C0A" w:rsidRDefault="00694C0F">
            <w:pPr>
              <w:pStyle w:val="TableBodyText"/>
            </w:pPr>
            <w:r>
              <w:t xml:space="preserve">Arabic - U.A.E. </w:t>
            </w:r>
          </w:p>
        </w:tc>
        <w:tc>
          <w:tcPr>
            <w:tcW w:w="0" w:type="auto"/>
            <w:vAlign w:val="center"/>
          </w:tcPr>
          <w:p w:rsidR="00024C0A" w:rsidRDefault="00694C0F">
            <w:pPr>
              <w:pStyle w:val="TableBodyText"/>
            </w:pPr>
            <w:r>
              <w:t>ar-AE</w:t>
            </w:r>
          </w:p>
        </w:tc>
      </w:tr>
      <w:tr w:rsidR="00024C0A" w:rsidTr="00024C0A">
        <w:tc>
          <w:tcPr>
            <w:tcW w:w="0" w:type="auto"/>
            <w:vAlign w:val="center"/>
          </w:tcPr>
          <w:p w:rsidR="00024C0A" w:rsidRDefault="00694C0F">
            <w:pPr>
              <w:pStyle w:val="TableBodyText"/>
            </w:pPr>
            <w:r>
              <w:t>Arab</w:t>
            </w:r>
            <w:r>
              <w:t xml:space="preserve">ic - Bahrain </w:t>
            </w:r>
          </w:p>
        </w:tc>
        <w:tc>
          <w:tcPr>
            <w:tcW w:w="0" w:type="auto"/>
            <w:vAlign w:val="center"/>
          </w:tcPr>
          <w:p w:rsidR="00024C0A" w:rsidRDefault="00694C0F">
            <w:pPr>
              <w:pStyle w:val="TableBodyText"/>
            </w:pPr>
            <w:r>
              <w:t>ar-BH</w:t>
            </w:r>
          </w:p>
        </w:tc>
      </w:tr>
      <w:tr w:rsidR="00024C0A" w:rsidTr="00024C0A">
        <w:tc>
          <w:tcPr>
            <w:tcW w:w="0" w:type="auto"/>
            <w:vAlign w:val="center"/>
          </w:tcPr>
          <w:p w:rsidR="00024C0A" w:rsidRDefault="00694C0F">
            <w:pPr>
              <w:pStyle w:val="TableBodyText"/>
            </w:pPr>
            <w:r>
              <w:t xml:space="preserve">Arabic - Algeria </w:t>
            </w:r>
          </w:p>
        </w:tc>
        <w:tc>
          <w:tcPr>
            <w:tcW w:w="0" w:type="auto"/>
            <w:vAlign w:val="center"/>
          </w:tcPr>
          <w:p w:rsidR="00024C0A" w:rsidRDefault="00694C0F">
            <w:pPr>
              <w:pStyle w:val="TableBodyText"/>
            </w:pPr>
            <w:r>
              <w:t>ar-DZ</w:t>
            </w:r>
          </w:p>
        </w:tc>
      </w:tr>
      <w:tr w:rsidR="00024C0A" w:rsidTr="00024C0A">
        <w:tc>
          <w:tcPr>
            <w:tcW w:w="0" w:type="auto"/>
            <w:vAlign w:val="center"/>
          </w:tcPr>
          <w:p w:rsidR="00024C0A" w:rsidRDefault="00694C0F">
            <w:pPr>
              <w:pStyle w:val="TableBodyText"/>
            </w:pPr>
            <w:r>
              <w:t xml:space="preserve">Arabic - Egypt </w:t>
            </w:r>
          </w:p>
        </w:tc>
        <w:tc>
          <w:tcPr>
            <w:tcW w:w="0" w:type="auto"/>
            <w:vAlign w:val="center"/>
          </w:tcPr>
          <w:p w:rsidR="00024C0A" w:rsidRDefault="00694C0F">
            <w:pPr>
              <w:pStyle w:val="TableBodyText"/>
            </w:pPr>
            <w:r>
              <w:t>ar-EG</w:t>
            </w:r>
          </w:p>
        </w:tc>
      </w:tr>
      <w:tr w:rsidR="00024C0A" w:rsidTr="00024C0A">
        <w:tc>
          <w:tcPr>
            <w:tcW w:w="0" w:type="auto"/>
            <w:vAlign w:val="center"/>
          </w:tcPr>
          <w:p w:rsidR="00024C0A" w:rsidRDefault="00694C0F">
            <w:pPr>
              <w:pStyle w:val="TableBodyText"/>
            </w:pPr>
            <w:r>
              <w:t xml:space="preserve">Arabic - Iraq </w:t>
            </w:r>
          </w:p>
        </w:tc>
        <w:tc>
          <w:tcPr>
            <w:tcW w:w="0" w:type="auto"/>
            <w:vAlign w:val="center"/>
          </w:tcPr>
          <w:p w:rsidR="00024C0A" w:rsidRDefault="00694C0F">
            <w:pPr>
              <w:pStyle w:val="TableBodyText"/>
            </w:pPr>
            <w:r>
              <w:t>ar-IQ</w:t>
            </w:r>
          </w:p>
        </w:tc>
      </w:tr>
      <w:tr w:rsidR="00024C0A" w:rsidTr="00024C0A">
        <w:tc>
          <w:tcPr>
            <w:tcW w:w="0" w:type="auto"/>
            <w:vAlign w:val="center"/>
          </w:tcPr>
          <w:p w:rsidR="00024C0A" w:rsidRDefault="00694C0F">
            <w:pPr>
              <w:pStyle w:val="TableBodyText"/>
            </w:pPr>
            <w:r>
              <w:t xml:space="preserve">Arabic - Jordan </w:t>
            </w:r>
          </w:p>
        </w:tc>
        <w:tc>
          <w:tcPr>
            <w:tcW w:w="0" w:type="auto"/>
            <w:vAlign w:val="center"/>
          </w:tcPr>
          <w:p w:rsidR="00024C0A" w:rsidRDefault="00694C0F">
            <w:pPr>
              <w:pStyle w:val="TableBodyText"/>
            </w:pPr>
            <w:r>
              <w:t>ar-JO</w:t>
            </w:r>
          </w:p>
        </w:tc>
      </w:tr>
      <w:tr w:rsidR="00024C0A" w:rsidTr="00024C0A">
        <w:tc>
          <w:tcPr>
            <w:tcW w:w="0" w:type="auto"/>
            <w:vAlign w:val="center"/>
          </w:tcPr>
          <w:p w:rsidR="00024C0A" w:rsidRDefault="00694C0F">
            <w:pPr>
              <w:pStyle w:val="TableBodyText"/>
            </w:pPr>
            <w:r>
              <w:t xml:space="preserve">Arabic - Kuwait </w:t>
            </w:r>
          </w:p>
        </w:tc>
        <w:tc>
          <w:tcPr>
            <w:tcW w:w="0" w:type="auto"/>
            <w:vAlign w:val="center"/>
          </w:tcPr>
          <w:p w:rsidR="00024C0A" w:rsidRDefault="00694C0F">
            <w:pPr>
              <w:pStyle w:val="TableBodyText"/>
            </w:pPr>
            <w:r>
              <w:t>ar-KW</w:t>
            </w:r>
          </w:p>
        </w:tc>
      </w:tr>
      <w:tr w:rsidR="00024C0A" w:rsidTr="00024C0A">
        <w:tc>
          <w:tcPr>
            <w:tcW w:w="0" w:type="auto"/>
            <w:vAlign w:val="center"/>
          </w:tcPr>
          <w:p w:rsidR="00024C0A" w:rsidRDefault="00694C0F">
            <w:pPr>
              <w:pStyle w:val="TableBodyText"/>
            </w:pPr>
            <w:r>
              <w:t xml:space="preserve">Arabic - Lebanon </w:t>
            </w:r>
          </w:p>
        </w:tc>
        <w:tc>
          <w:tcPr>
            <w:tcW w:w="0" w:type="auto"/>
            <w:vAlign w:val="center"/>
          </w:tcPr>
          <w:p w:rsidR="00024C0A" w:rsidRDefault="00694C0F">
            <w:pPr>
              <w:pStyle w:val="TableBodyText"/>
            </w:pPr>
            <w:r>
              <w:t>ar-LB</w:t>
            </w:r>
          </w:p>
        </w:tc>
      </w:tr>
      <w:tr w:rsidR="00024C0A" w:rsidTr="00024C0A">
        <w:tc>
          <w:tcPr>
            <w:tcW w:w="0" w:type="auto"/>
            <w:vAlign w:val="center"/>
          </w:tcPr>
          <w:p w:rsidR="00024C0A" w:rsidRDefault="00694C0F">
            <w:pPr>
              <w:pStyle w:val="TableBodyText"/>
            </w:pPr>
            <w:r>
              <w:t xml:space="preserve">Arabic - Libya </w:t>
            </w:r>
          </w:p>
        </w:tc>
        <w:tc>
          <w:tcPr>
            <w:tcW w:w="0" w:type="auto"/>
            <w:vAlign w:val="center"/>
          </w:tcPr>
          <w:p w:rsidR="00024C0A" w:rsidRDefault="00694C0F">
            <w:pPr>
              <w:pStyle w:val="TableBodyText"/>
            </w:pPr>
            <w:r>
              <w:t>ar-LY</w:t>
            </w:r>
          </w:p>
        </w:tc>
      </w:tr>
      <w:tr w:rsidR="00024C0A" w:rsidTr="00024C0A">
        <w:tc>
          <w:tcPr>
            <w:tcW w:w="0" w:type="auto"/>
            <w:vAlign w:val="center"/>
          </w:tcPr>
          <w:p w:rsidR="00024C0A" w:rsidRDefault="00694C0F">
            <w:pPr>
              <w:pStyle w:val="TableBodyText"/>
            </w:pPr>
            <w:r>
              <w:t xml:space="preserve">Arabic - Morocco </w:t>
            </w:r>
          </w:p>
        </w:tc>
        <w:tc>
          <w:tcPr>
            <w:tcW w:w="0" w:type="auto"/>
            <w:vAlign w:val="center"/>
          </w:tcPr>
          <w:p w:rsidR="00024C0A" w:rsidRDefault="00694C0F">
            <w:pPr>
              <w:pStyle w:val="TableBodyText"/>
            </w:pPr>
            <w:r>
              <w:t>ar-MO</w:t>
            </w:r>
          </w:p>
        </w:tc>
      </w:tr>
      <w:tr w:rsidR="00024C0A" w:rsidTr="00024C0A">
        <w:tc>
          <w:tcPr>
            <w:tcW w:w="0" w:type="auto"/>
            <w:vAlign w:val="center"/>
          </w:tcPr>
          <w:p w:rsidR="00024C0A" w:rsidRDefault="00694C0F">
            <w:pPr>
              <w:pStyle w:val="TableBodyText"/>
            </w:pPr>
            <w:r>
              <w:t xml:space="preserve">Arabic - Oman </w:t>
            </w:r>
          </w:p>
        </w:tc>
        <w:tc>
          <w:tcPr>
            <w:tcW w:w="0" w:type="auto"/>
            <w:vAlign w:val="center"/>
          </w:tcPr>
          <w:p w:rsidR="00024C0A" w:rsidRDefault="00694C0F">
            <w:pPr>
              <w:pStyle w:val="TableBodyText"/>
            </w:pPr>
            <w:r>
              <w:t>ar-OM</w:t>
            </w:r>
          </w:p>
        </w:tc>
      </w:tr>
      <w:tr w:rsidR="00024C0A" w:rsidTr="00024C0A">
        <w:tc>
          <w:tcPr>
            <w:tcW w:w="0" w:type="auto"/>
            <w:vAlign w:val="center"/>
          </w:tcPr>
          <w:p w:rsidR="00024C0A" w:rsidRDefault="00694C0F">
            <w:pPr>
              <w:pStyle w:val="TableBodyText"/>
            </w:pPr>
            <w:r>
              <w:t xml:space="preserve">Arabic - Qatar </w:t>
            </w:r>
          </w:p>
        </w:tc>
        <w:tc>
          <w:tcPr>
            <w:tcW w:w="0" w:type="auto"/>
            <w:vAlign w:val="center"/>
          </w:tcPr>
          <w:p w:rsidR="00024C0A" w:rsidRDefault="00694C0F">
            <w:pPr>
              <w:pStyle w:val="TableBodyText"/>
            </w:pPr>
            <w:r>
              <w:t>ar-QA</w:t>
            </w:r>
          </w:p>
        </w:tc>
      </w:tr>
      <w:tr w:rsidR="00024C0A" w:rsidTr="00024C0A">
        <w:tc>
          <w:tcPr>
            <w:tcW w:w="0" w:type="auto"/>
            <w:vAlign w:val="center"/>
          </w:tcPr>
          <w:p w:rsidR="00024C0A" w:rsidRDefault="00694C0F">
            <w:pPr>
              <w:pStyle w:val="TableBodyText"/>
            </w:pPr>
            <w:r>
              <w:lastRenderedPageBreak/>
              <w:t xml:space="preserve">Arabic - Saudi Arabia </w:t>
            </w:r>
          </w:p>
        </w:tc>
        <w:tc>
          <w:tcPr>
            <w:tcW w:w="0" w:type="auto"/>
            <w:vAlign w:val="center"/>
          </w:tcPr>
          <w:p w:rsidR="00024C0A" w:rsidRDefault="00694C0F">
            <w:pPr>
              <w:pStyle w:val="TableBodyText"/>
            </w:pPr>
            <w:r>
              <w:t>ar-SA</w:t>
            </w:r>
          </w:p>
        </w:tc>
      </w:tr>
      <w:tr w:rsidR="00024C0A" w:rsidTr="00024C0A">
        <w:tc>
          <w:tcPr>
            <w:tcW w:w="0" w:type="auto"/>
            <w:vAlign w:val="center"/>
          </w:tcPr>
          <w:p w:rsidR="00024C0A" w:rsidRDefault="00694C0F">
            <w:pPr>
              <w:pStyle w:val="TableBodyText"/>
            </w:pPr>
            <w:r>
              <w:t xml:space="preserve">Arabic - Syria </w:t>
            </w:r>
          </w:p>
        </w:tc>
        <w:tc>
          <w:tcPr>
            <w:tcW w:w="0" w:type="auto"/>
            <w:vAlign w:val="center"/>
          </w:tcPr>
          <w:p w:rsidR="00024C0A" w:rsidRDefault="00694C0F">
            <w:pPr>
              <w:pStyle w:val="TableBodyText"/>
            </w:pPr>
            <w:r>
              <w:t>ar-SY</w:t>
            </w:r>
          </w:p>
        </w:tc>
      </w:tr>
      <w:tr w:rsidR="00024C0A" w:rsidTr="00024C0A">
        <w:tc>
          <w:tcPr>
            <w:tcW w:w="0" w:type="auto"/>
            <w:vAlign w:val="center"/>
          </w:tcPr>
          <w:p w:rsidR="00024C0A" w:rsidRDefault="00694C0F">
            <w:pPr>
              <w:pStyle w:val="TableBodyText"/>
            </w:pPr>
            <w:r>
              <w:t xml:space="preserve">Arabic - Tunisia </w:t>
            </w:r>
          </w:p>
        </w:tc>
        <w:tc>
          <w:tcPr>
            <w:tcW w:w="0" w:type="auto"/>
            <w:vAlign w:val="center"/>
          </w:tcPr>
          <w:p w:rsidR="00024C0A" w:rsidRDefault="00694C0F">
            <w:pPr>
              <w:pStyle w:val="TableBodyText"/>
            </w:pPr>
            <w:r>
              <w:t>ar-TN</w:t>
            </w:r>
          </w:p>
        </w:tc>
      </w:tr>
      <w:tr w:rsidR="00024C0A" w:rsidTr="00024C0A">
        <w:tc>
          <w:tcPr>
            <w:tcW w:w="0" w:type="auto"/>
            <w:vAlign w:val="center"/>
          </w:tcPr>
          <w:p w:rsidR="00024C0A" w:rsidRDefault="00694C0F">
            <w:pPr>
              <w:pStyle w:val="TableBodyText"/>
            </w:pPr>
            <w:r>
              <w:t xml:space="preserve">Arabic - Yemen </w:t>
            </w:r>
          </w:p>
        </w:tc>
        <w:tc>
          <w:tcPr>
            <w:tcW w:w="0" w:type="auto"/>
            <w:vAlign w:val="center"/>
          </w:tcPr>
          <w:p w:rsidR="00024C0A" w:rsidRDefault="00694C0F">
            <w:pPr>
              <w:pStyle w:val="TableBodyText"/>
            </w:pPr>
            <w:r>
              <w:t>ar-YE</w:t>
            </w:r>
          </w:p>
        </w:tc>
      </w:tr>
      <w:tr w:rsidR="00024C0A" w:rsidTr="00024C0A">
        <w:tc>
          <w:tcPr>
            <w:tcW w:w="0" w:type="auto"/>
            <w:vAlign w:val="center"/>
          </w:tcPr>
          <w:p w:rsidR="00024C0A" w:rsidRDefault="00694C0F">
            <w:pPr>
              <w:pStyle w:val="TableBodyText"/>
            </w:pPr>
            <w:r>
              <w:t xml:space="preserve">Assamese </w:t>
            </w:r>
          </w:p>
        </w:tc>
        <w:tc>
          <w:tcPr>
            <w:tcW w:w="0" w:type="auto"/>
            <w:vAlign w:val="center"/>
          </w:tcPr>
          <w:p w:rsidR="00024C0A" w:rsidRDefault="00694C0F">
            <w:pPr>
              <w:pStyle w:val="TableBodyText"/>
            </w:pPr>
            <w:r>
              <w:t>as-IN</w:t>
            </w:r>
          </w:p>
        </w:tc>
      </w:tr>
      <w:tr w:rsidR="00024C0A" w:rsidTr="00024C0A">
        <w:tc>
          <w:tcPr>
            <w:tcW w:w="0" w:type="auto"/>
            <w:vAlign w:val="center"/>
          </w:tcPr>
          <w:p w:rsidR="00024C0A" w:rsidRDefault="00694C0F">
            <w:pPr>
              <w:pStyle w:val="TableBodyText"/>
            </w:pPr>
            <w:r>
              <w:t xml:space="preserve">Azerbaijani (Cyrillic) </w:t>
            </w:r>
          </w:p>
        </w:tc>
        <w:tc>
          <w:tcPr>
            <w:tcW w:w="0" w:type="auto"/>
            <w:vAlign w:val="center"/>
          </w:tcPr>
          <w:p w:rsidR="00024C0A" w:rsidRDefault="00694C0F">
            <w:pPr>
              <w:pStyle w:val="TableBodyText"/>
            </w:pPr>
            <w:r>
              <w:t>az-Cyrl-AZ</w:t>
            </w:r>
          </w:p>
        </w:tc>
      </w:tr>
      <w:tr w:rsidR="00024C0A" w:rsidTr="00024C0A">
        <w:tc>
          <w:tcPr>
            <w:tcW w:w="0" w:type="auto"/>
            <w:vAlign w:val="center"/>
          </w:tcPr>
          <w:p w:rsidR="00024C0A" w:rsidRDefault="00694C0F">
            <w:pPr>
              <w:pStyle w:val="TableBodyText"/>
            </w:pPr>
            <w:r>
              <w:t xml:space="preserve">Azerbaijani (Latin) </w:t>
            </w:r>
          </w:p>
        </w:tc>
        <w:tc>
          <w:tcPr>
            <w:tcW w:w="0" w:type="auto"/>
            <w:vAlign w:val="center"/>
          </w:tcPr>
          <w:p w:rsidR="00024C0A" w:rsidRDefault="00694C0F">
            <w:pPr>
              <w:pStyle w:val="TableBodyText"/>
            </w:pPr>
            <w:r>
              <w:t>az-Latn-AZ</w:t>
            </w:r>
          </w:p>
        </w:tc>
      </w:tr>
      <w:tr w:rsidR="00024C0A" w:rsidTr="00024C0A">
        <w:tc>
          <w:tcPr>
            <w:tcW w:w="0" w:type="auto"/>
            <w:vAlign w:val="center"/>
          </w:tcPr>
          <w:p w:rsidR="00024C0A" w:rsidRDefault="00694C0F">
            <w:pPr>
              <w:pStyle w:val="TableBodyText"/>
            </w:pPr>
            <w:r>
              <w:t xml:space="preserve">Belarusian </w:t>
            </w:r>
          </w:p>
        </w:tc>
        <w:tc>
          <w:tcPr>
            <w:tcW w:w="0" w:type="auto"/>
            <w:vAlign w:val="center"/>
          </w:tcPr>
          <w:p w:rsidR="00024C0A" w:rsidRDefault="00694C0F">
            <w:pPr>
              <w:pStyle w:val="TableBodyText"/>
            </w:pPr>
            <w:r>
              <w:t>be-BY</w:t>
            </w:r>
          </w:p>
        </w:tc>
      </w:tr>
      <w:tr w:rsidR="00024C0A" w:rsidTr="00024C0A">
        <w:tc>
          <w:tcPr>
            <w:tcW w:w="0" w:type="auto"/>
            <w:vAlign w:val="center"/>
          </w:tcPr>
          <w:p w:rsidR="00024C0A" w:rsidRDefault="00694C0F">
            <w:pPr>
              <w:pStyle w:val="TableBodyText"/>
            </w:pPr>
            <w:r>
              <w:t xml:space="preserve">Bulgarian </w:t>
            </w:r>
          </w:p>
        </w:tc>
        <w:tc>
          <w:tcPr>
            <w:tcW w:w="0" w:type="auto"/>
            <w:vAlign w:val="center"/>
          </w:tcPr>
          <w:p w:rsidR="00024C0A" w:rsidRDefault="00694C0F">
            <w:pPr>
              <w:pStyle w:val="TableBodyText"/>
            </w:pPr>
            <w:r>
              <w:t>bg-BG</w:t>
            </w:r>
          </w:p>
        </w:tc>
      </w:tr>
      <w:tr w:rsidR="00024C0A" w:rsidTr="00024C0A">
        <w:tc>
          <w:tcPr>
            <w:tcW w:w="0" w:type="auto"/>
            <w:vAlign w:val="center"/>
          </w:tcPr>
          <w:p w:rsidR="00024C0A" w:rsidRDefault="00694C0F">
            <w:pPr>
              <w:pStyle w:val="TableBodyText"/>
            </w:pPr>
            <w:r>
              <w:t xml:space="preserve">Edo </w:t>
            </w:r>
          </w:p>
        </w:tc>
        <w:tc>
          <w:tcPr>
            <w:tcW w:w="0" w:type="auto"/>
            <w:vAlign w:val="center"/>
          </w:tcPr>
          <w:p w:rsidR="00024C0A" w:rsidRDefault="00694C0F">
            <w:pPr>
              <w:pStyle w:val="TableBodyText"/>
            </w:pPr>
            <w:r>
              <w:t>bin-NG</w:t>
            </w:r>
          </w:p>
        </w:tc>
      </w:tr>
      <w:tr w:rsidR="00024C0A" w:rsidTr="00024C0A">
        <w:tc>
          <w:tcPr>
            <w:tcW w:w="0" w:type="auto"/>
            <w:vAlign w:val="center"/>
          </w:tcPr>
          <w:p w:rsidR="00024C0A" w:rsidRDefault="00694C0F">
            <w:pPr>
              <w:pStyle w:val="TableBodyText"/>
            </w:pPr>
            <w:r>
              <w:t xml:space="preserve">Bangla (Bangladesh) </w:t>
            </w:r>
          </w:p>
        </w:tc>
        <w:tc>
          <w:tcPr>
            <w:tcW w:w="0" w:type="auto"/>
            <w:vAlign w:val="center"/>
          </w:tcPr>
          <w:p w:rsidR="00024C0A" w:rsidRDefault="00694C0F">
            <w:pPr>
              <w:pStyle w:val="TableBodyText"/>
            </w:pPr>
            <w:r>
              <w:t>bn-BD</w:t>
            </w:r>
          </w:p>
        </w:tc>
      </w:tr>
      <w:tr w:rsidR="00024C0A" w:rsidTr="00024C0A">
        <w:tc>
          <w:tcPr>
            <w:tcW w:w="0" w:type="auto"/>
            <w:vAlign w:val="center"/>
          </w:tcPr>
          <w:p w:rsidR="00024C0A" w:rsidRDefault="00694C0F">
            <w:pPr>
              <w:pStyle w:val="TableBodyText"/>
            </w:pPr>
            <w:r>
              <w:t xml:space="preserve">Bangla (India) </w:t>
            </w:r>
          </w:p>
        </w:tc>
        <w:tc>
          <w:tcPr>
            <w:tcW w:w="0" w:type="auto"/>
            <w:vAlign w:val="center"/>
          </w:tcPr>
          <w:p w:rsidR="00024C0A" w:rsidRDefault="00694C0F">
            <w:pPr>
              <w:pStyle w:val="TableBodyText"/>
            </w:pPr>
            <w:r>
              <w:t>bn-IN</w:t>
            </w:r>
          </w:p>
        </w:tc>
      </w:tr>
      <w:tr w:rsidR="00024C0A" w:rsidTr="00024C0A">
        <w:tc>
          <w:tcPr>
            <w:tcW w:w="0" w:type="auto"/>
            <w:vAlign w:val="center"/>
          </w:tcPr>
          <w:p w:rsidR="00024C0A" w:rsidRDefault="00694C0F">
            <w:pPr>
              <w:pStyle w:val="TableBodyText"/>
            </w:pPr>
            <w:r>
              <w:t xml:space="preserve">Tibetan - Bhutan </w:t>
            </w:r>
          </w:p>
        </w:tc>
        <w:tc>
          <w:tcPr>
            <w:tcW w:w="0" w:type="auto"/>
            <w:vAlign w:val="center"/>
          </w:tcPr>
          <w:p w:rsidR="00024C0A" w:rsidRDefault="00694C0F">
            <w:pPr>
              <w:pStyle w:val="TableBodyText"/>
            </w:pPr>
            <w:r>
              <w:t>bo-BT</w:t>
            </w:r>
          </w:p>
        </w:tc>
      </w:tr>
      <w:tr w:rsidR="00024C0A" w:rsidTr="00024C0A">
        <w:tc>
          <w:tcPr>
            <w:tcW w:w="0" w:type="auto"/>
            <w:vAlign w:val="center"/>
          </w:tcPr>
          <w:p w:rsidR="00024C0A" w:rsidRDefault="00694C0F">
            <w:pPr>
              <w:pStyle w:val="TableBodyText"/>
            </w:pPr>
            <w:r>
              <w:t xml:space="preserve">Tibetan - People's Republic of China </w:t>
            </w:r>
          </w:p>
        </w:tc>
        <w:tc>
          <w:tcPr>
            <w:tcW w:w="0" w:type="auto"/>
            <w:vAlign w:val="center"/>
          </w:tcPr>
          <w:p w:rsidR="00024C0A" w:rsidRDefault="00694C0F">
            <w:pPr>
              <w:pStyle w:val="TableBodyText"/>
            </w:pPr>
            <w:r>
              <w:t>bo-CN</w:t>
            </w:r>
          </w:p>
        </w:tc>
      </w:tr>
      <w:tr w:rsidR="00024C0A" w:rsidTr="00024C0A">
        <w:tc>
          <w:tcPr>
            <w:tcW w:w="0" w:type="auto"/>
            <w:vAlign w:val="center"/>
          </w:tcPr>
          <w:p w:rsidR="00024C0A" w:rsidRDefault="00694C0F">
            <w:pPr>
              <w:pStyle w:val="TableBodyText"/>
            </w:pPr>
            <w:r>
              <w:t xml:space="preserve">Bosnian (Bosnia and Herzegovina) </w:t>
            </w:r>
          </w:p>
        </w:tc>
        <w:tc>
          <w:tcPr>
            <w:tcW w:w="0" w:type="auto"/>
            <w:vAlign w:val="center"/>
          </w:tcPr>
          <w:p w:rsidR="00024C0A" w:rsidRDefault="00694C0F">
            <w:pPr>
              <w:pStyle w:val="TableBodyText"/>
            </w:pPr>
            <w:r>
              <w:t>bs-Latn-BA</w:t>
            </w:r>
          </w:p>
        </w:tc>
      </w:tr>
      <w:tr w:rsidR="00024C0A" w:rsidTr="00024C0A">
        <w:tc>
          <w:tcPr>
            <w:tcW w:w="0" w:type="auto"/>
            <w:vAlign w:val="center"/>
          </w:tcPr>
          <w:p w:rsidR="00024C0A" w:rsidRDefault="00694C0F">
            <w:pPr>
              <w:pStyle w:val="TableBodyText"/>
            </w:pPr>
            <w:r>
              <w:t xml:space="preserve">Catalan </w:t>
            </w:r>
          </w:p>
        </w:tc>
        <w:tc>
          <w:tcPr>
            <w:tcW w:w="0" w:type="auto"/>
            <w:vAlign w:val="center"/>
          </w:tcPr>
          <w:p w:rsidR="00024C0A" w:rsidRDefault="00694C0F">
            <w:pPr>
              <w:pStyle w:val="TableBodyText"/>
            </w:pPr>
            <w:r>
              <w:t>ca-ES</w:t>
            </w:r>
          </w:p>
        </w:tc>
      </w:tr>
      <w:tr w:rsidR="00024C0A" w:rsidTr="00024C0A">
        <w:tc>
          <w:tcPr>
            <w:tcW w:w="0" w:type="auto"/>
            <w:vAlign w:val="center"/>
          </w:tcPr>
          <w:p w:rsidR="00024C0A" w:rsidRDefault="00694C0F">
            <w:pPr>
              <w:pStyle w:val="TableBodyText"/>
            </w:pPr>
            <w:r>
              <w:t xml:space="preserve">Cherokee - United States </w:t>
            </w:r>
          </w:p>
        </w:tc>
        <w:tc>
          <w:tcPr>
            <w:tcW w:w="0" w:type="auto"/>
            <w:vAlign w:val="center"/>
          </w:tcPr>
          <w:p w:rsidR="00024C0A" w:rsidRDefault="00694C0F">
            <w:pPr>
              <w:pStyle w:val="TableBodyText"/>
            </w:pPr>
            <w:r>
              <w:t>chr-US</w:t>
            </w:r>
          </w:p>
        </w:tc>
      </w:tr>
      <w:tr w:rsidR="00024C0A" w:rsidTr="00024C0A">
        <w:tc>
          <w:tcPr>
            <w:tcW w:w="0" w:type="auto"/>
            <w:vAlign w:val="center"/>
          </w:tcPr>
          <w:p w:rsidR="00024C0A" w:rsidRDefault="00694C0F">
            <w:pPr>
              <w:pStyle w:val="TableBodyText"/>
            </w:pPr>
            <w:r>
              <w:t xml:space="preserve">Czech </w:t>
            </w:r>
          </w:p>
        </w:tc>
        <w:tc>
          <w:tcPr>
            <w:tcW w:w="0" w:type="auto"/>
            <w:vAlign w:val="center"/>
          </w:tcPr>
          <w:p w:rsidR="00024C0A" w:rsidRDefault="00694C0F">
            <w:pPr>
              <w:pStyle w:val="TableBodyText"/>
            </w:pPr>
            <w:r>
              <w:t>cs-CZ</w:t>
            </w:r>
          </w:p>
        </w:tc>
      </w:tr>
      <w:tr w:rsidR="00024C0A" w:rsidTr="00024C0A">
        <w:tc>
          <w:tcPr>
            <w:tcW w:w="0" w:type="auto"/>
            <w:vAlign w:val="center"/>
          </w:tcPr>
          <w:p w:rsidR="00024C0A" w:rsidRDefault="00694C0F">
            <w:pPr>
              <w:pStyle w:val="TableBodyText"/>
            </w:pPr>
            <w:r>
              <w:t xml:space="preserve">Welsh </w:t>
            </w:r>
          </w:p>
        </w:tc>
        <w:tc>
          <w:tcPr>
            <w:tcW w:w="0" w:type="auto"/>
            <w:vAlign w:val="center"/>
          </w:tcPr>
          <w:p w:rsidR="00024C0A" w:rsidRDefault="00694C0F">
            <w:pPr>
              <w:pStyle w:val="TableBodyText"/>
            </w:pPr>
            <w:r>
              <w:t>cy-GB</w:t>
            </w:r>
          </w:p>
        </w:tc>
      </w:tr>
      <w:tr w:rsidR="00024C0A" w:rsidTr="00024C0A">
        <w:tc>
          <w:tcPr>
            <w:tcW w:w="0" w:type="auto"/>
            <w:vAlign w:val="center"/>
          </w:tcPr>
          <w:p w:rsidR="00024C0A" w:rsidRDefault="00694C0F">
            <w:pPr>
              <w:pStyle w:val="TableBodyText"/>
            </w:pPr>
            <w:r>
              <w:t xml:space="preserve">Danish </w:t>
            </w:r>
          </w:p>
        </w:tc>
        <w:tc>
          <w:tcPr>
            <w:tcW w:w="0" w:type="auto"/>
            <w:vAlign w:val="center"/>
          </w:tcPr>
          <w:p w:rsidR="00024C0A" w:rsidRDefault="00694C0F">
            <w:pPr>
              <w:pStyle w:val="TableBodyText"/>
            </w:pPr>
            <w:r>
              <w:t>da-DK</w:t>
            </w:r>
          </w:p>
        </w:tc>
      </w:tr>
      <w:tr w:rsidR="00024C0A" w:rsidTr="00024C0A">
        <w:tc>
          <w:tcPr>
            <w:tcW w:w="0" w:type="auto"/>
            <w:vAlign w:val="center"/>
          </w:tcPr>
          <w:p w:rsidR="00024C0A" w:rsidRDefault="00694C0F">
            <w:pPr>
              <w:pStyle w:val="TableBodyText"/>
            </w:pPr>
            <w:r>
              <w:t xml:space="preserve">German - Austria </w:t>
            </w:r>
          </w:p>
        </w:tc>
        <w:tc>
          <w:tcPr>
            <w:tcW w:w="0" w:type="auto"/>
            <w:vAlign w:val="center"/>
          </w:tcPr>
          <w:p w:rsidR="00024C0A" w:rsidRDefault="00694C0F">
            <w:pPr>
              <w:pStyle w:val="TableBodyText"/>
            </w:pPr>
            <w:r>
              <w:t>de-AT</w:t>
            </w:r>
          </w:p>
        </w:tc>
      </w:tr>
      <w:tr w:rsidR="00024C0A" w:rsidTr="00024C0A">
        <w:tc>
          <w:tcPr>
            <w:tcW w:w="0" w:type="auto"/>
            <w:vAlign w:val="center"/>
          </w:tcPr>
          <w:p w:rsidR="00024C0A" w:rsidRDefault="00694C0F">
            <w:pPr>
              <w:pStyle w:val="TableBodyText"/>
            </w:pPr>
            <w:r>
              <w:t xml:space="preserve">German - Switzerland </w:t>
            </w:r>
          </w:p>
        </w:tc>
        <w:tc>
          <w:tcPr>
            <w:tcW w:w="0" w:type="auto"/>
            <w:vAlign w:val="center"/>
          </w:tcPr>
          <w:p w:rsidR="00024C0A" w:rsidRDefault="00694C0F">
            <w:pPr>
              <w:pStyle w:val="TableBodyText"/>
            </w:pPr>
            <w:r>
              <w:t>de-CH</w:t>
            </w:r>
          </w:p>
        </w:tc>
      </w:tr>
      <w:tr w:rsidR="00024C0A" w:rsidTr="00024C0A">
        <w:tc>
          <w:tcPr>
            <w:tcW w:w="0" w:type="auto"/>
            <w:vAlign w:val="center"/>
          </w:tcPr>
          <w:p w:rsidR="00024C0A" w:rsidRDefault="00694C0F">
            <w:pPr>
              <w:pStyle w:val="TableBodyText"/>
            </w:pPr>
            <w:r>
              <w:t xml:space="preserve">German - Germany </w:t>
            </w:r>
          </w:p>
        </w:tc>
        <w:tc>
          <w:tcPr>
            <w:tcW w:w="0" w:type="auto"/>
            <w:vAlign w:val="center"/>
          </w:tcPr>
          <w:p w:rsidR="00024C0A" w:rsidRDefault="00694C0F">
            <w:pPr>
              <w:pStyle w:val="TableBodyText"/>
            </w:pPr>
            <w:r>
              <w:t>de-DE</w:t>
            </w:r>
          </w:p>
        </w:tc>
      </w:tr>
      <w:tr w:rsidR="00024C0A" w:rsidTr="00024C0A">
        <w:tc>
          <w:tcPr>
            <w:tcW w:w="0" w:type="auto"/>
            <w:vAlign w:val="center"/>
          </w:tcPr>
          <w:p w:rsidR="00024C0A" w:rsidRDefault="00694C0F">
            <w:pPr>
              <w:pStyle w:val="TableBodyText"/>
            </w:pPr>
            <w:r>
              <w:t xml:space="preserve">German - Liechtenstein </w:t>
            </w:r>
          </w:p>
        </w:tc>
        <w:tc>
          <w:tcPr>
            <w:tcW w:w="0" w:type="auto"/>
            <w:vAlign w:val="center"/>
          </w:tcPr>
          <w:p w:rsidR="00024C0A" w:rsidRDefault="00694C0F">
            <w:pPr>
              <w:pStyle w:val="TableBodyText"/>
            </w:pPr>
            <w:r>
              <w:t>de-LI</w:t>
            </w:r>
          </w:p>
        </w:tc>
      </w:tr>
      <w:tr w:rsidR="00024C0A" w:rsidTr="00024C0A">
        <w:tc>
          <w:tcPr>
            <w:tcW w:w="0" w:type="auto"/>
            <w:vAlign w:val="center"/>
          </w:tcPr>
          <w:p w:rsidR="00024C0A" w:rsidRDefault="00694C0F">
            <w:pPr>
              <w:pStyle w:val="TableBodyText"/>
            </w:pPr>
            <w:r>
              <w:t xml:space="preserve">German - Luxembourg </w:t>
            </w:r>
          </w:p>
        </w:tc>
        <w:tc>
          <w:tcPr>
            <w:tcW w:w="0" w:type="auto"/>
            <w:vAlign w:val="center"/>
          </w:tcPr>
          <w:p w:rsidR="00024C0A" w:rsidRDefault="00694C0F">
            <w:pPr>
              <w:pStyle w:val="TableBodyText"/>
            </w:pPr>
            <w:r>
              <w:t>de-LU</w:t>
            </w:r>
          </w:p>
        </w:tc>
      </w:tr>
      <w:tr w:rsidR="00024C0A" w:rsidTr="00024C0A">
        <w:tc>
          <w:tcPr>
            <w:tcW w:w="0" w:type="auto"/>
            <w:vAlign w:val="center"/>
          </w:tcPr>
          <w:p w:rsidR="00024C0A" w:rsidRDefault="00694C0F">
            <w:pPr>
              <w:pStyle w:val="TableBodyText"/>
            </w:pPr>
            <w:r>
              <w:t xml:space="preserve">Divehi </w:t>
            </w:r>
          </w:p>
        </w:tc>
        <w:tc>
          <w:tcPr>
            <w:tcW w:w="0" w:type="auto"/>
            <w:vAlign w:val="center"/>
          </w:tcPr>
          <w:p w:rsidR="00024C0A" w:rsidRDefault="00694C0F">
            <w:pPr>
              <w:pStyle w:val="TableBodyText"/>
            </w:pPr>
            <w:r>
              <w:t>dv-MV</w:t>
            </w:r>
          </w:p>
        </w:tc>
      </w:tr>
      <w:tr w:rsidR="00024C0A" w:rsidTr="00024C0A">
        <w:tc>
          <w:tcPr>
            <w:tcW w:w="0" w:type="auto"/>
            <w:vAlign w:val="center"/>
          </w:tcPr>
          <w:p w:rsidR="00024C0A" w:rsidRDefault="00694C0F">
            <w:pPr>
              <w:pStyle w:val="TableBodyText"/>
            </w:pPr>
            <w:r>
              <w:t xml:space="preserve">Greek </w:t>
            </w:r>
          </w:p>
        </w:tc>
        <w:tc>
          <w:tcPr>
            <w:tcW w:w="0" w:type="auto"/>
            <w:vAlign w:val="center"/>
          </w:tcPr>
          <w:p w:rsidR="00024C0A" w:rsidRDefault="00694C0F">
            <w:pPr>
              <w:pStyle w:val="TableBodyText"/>
            </w:pPr>
            <w:r>
              <w:t>el-GR</w:t>
            </w:r>
          </w:p>
        </w:tc>
      </w:tr>
      <w:tr w:rsidR="00024C0A" w:rsidTr="00024C0A">
        <w:tc>
          <w:tcPr>
            <w:tcW w:w="0" w:type="auto"/>
            <w:vAlign w:val="center"/>
          </w:tcPr>
          <w:p w:rsidR="00024C0A" w:rsidRDefault="00694C0F">
            <w:pPr>
              <w:pStyle w:val="TableBodyText"/>
            </w:pPr>
            <w:r>
              <w:t xml:space="preserve">English - Caribbean </w:t>
            </w:r>
          </w:p>
        </w:tc>
        <w:tc>
          <w:tcPr>
            <w:tcW w:w="0" w:type="auto"/>
            <w:vAlign w:val="center"/>
          </w:tcPr>
          <w:p w:rsidR="00024C0A" w:rsidRDefault="00694C0F">
            <w:pPr>
              <w:pStyle w:val="TableBodyText"/>
            </w:pPr>
            <w:r>
              <w:t>en-029</w:t>
            </w:r>
          </w:p>
        </w:tc>
      </w:tr>
      <w:tr w:rsidR="00024C0A" w:rsidTr="00024C0A">
        <w:tc>
          <w:tcPr>
            <w:tcW w:w="0" w:type="auto"/>
            <w:vAlign w:val="center"/>
          </w:tcPr>
          <w:p w:rsidR="00024C0A" w:rsidRDefault="00694C0F">
            <w:pPr>
              <w:pStyle w:val="TableBodyText"/>
            </w:pPr>
            <w:r>
              <w:t xml:space="preserve">English - Australia </w:t>
            </w:r>
          </w:p>
        </w:tc>
        <w:tc>
          <w:tcPr>
            <w:tcW w:w="0" w:type="auto"/>
            <w:vAlign w:val="center"/>
          </w:tcPr>
          <w:p w:rsidR="00024C0A" w:rsidRDefault="00694C0F">
            <w:pPr>
              <w:pStyle w:val="TableBodyText"/>
            </w:pPr>
            <w:r>
              <w:t>en-AU</w:t>
            </w:r>
          </w:p>
        </w:tc>
      </w:tr>
      <w:tr w:rsidR="00024C0A" w:rsidTr="00024C0A">
        <w:tc>
          <w:tcPr>
            <w:tcW w:w="0" w:type="auto"/>
            <w:vAlign w:val="center"/>
          </w:tcPr>
          <w:p w:rsidR="00024C0A" w:rsidRDefault="00694C0F">
            <w:pPr>
              <w:pStyle w:val="TableBodyText"/>
            </w:pPr>
            <w:r>
              <w:t xml:space="preserve">English - Belize </w:t>
            </w:r>
          </w:p>
        </w:tc>
        <w:tc>
          <w:tcPr>
            <w:tcW w:w="0" w:type="auto"/>
            <w:vAlign w:val="center"/>
          </w:tcPr>
          <w:p w:rsidR="00024C0A" w:rsidRDefault="00694C0F">
            <w:pPr>
              <w:pStyle w:val="TableBodyText"/>
            </w:pPr>
            <w:r>
              <w:t>en-BZ</w:t>
            </w:r>
          </w:p>
        </w:tc>
      </w:tr>
      <w:tr w:rsidR="00024C0A" w:rsidTr="00024C0A">
        <w:tc>
          <w:tcPr>
            <w:tcW w:w="0" w:type="auto"/>
            <w:vAlign w:val="center"/>
          </w:tcPr>
          <w:p w:rsidR="00024C0A" w:rsidRDefault="00694C0F">
            <w:pPr>
              <w:pStyle w:val="TableBodyText"/>
            </w:pPr>
            <w:r>
              <w:t xml:space="preserve">English - Canada </w:t>
            </w:r>
          </w:p>
        </w:tc>
        <w:tc>
          <w:tcPr>
            <w:tcW w:w="0" w:type="auto"/>
            <w:vAlign w:val="center"/>
          </w:tcPr>
          <w:p w:rsidR="00024C0A" w:rsidRDefault="00694C0F">
            <w:pPr>
              <w:pStyle w:val="TableBodyText"/>
            </w:pPr>
            <w:r>
              <w:t>en-CA</w:t>
            </w:r>
          </w:p>
        </w:tc>
      </w:tr>
      <w:tr w:rsidR="00024C0A" w:rsidTr="00024C0A">
        <w:tc>
          <w:tcPr>
            <w:tcW w:w="0" w:type="auto"/>
            <w:vAlign w:val="center"/>
          </w:tcPr>
          <w:p w:rsidR="00024C0A" w:rsidRDefault="00694C0F">
            <w:pPr>
              <w:pStyle w:val="TableBodyText"/>
            </w:pPr>
            <w:r>
              <w:t xml:space="preserve">English - United Kingdom </w:t>
            </w:r>
          </w:p>
        </w:tc>
        <w:tc>
          <w:tcPr>
            <w:tcW w:w="0" w:type="auto"/>
            <w:vAlign w:val="center"/>
          </w:tcPr>
          <w:p w:rsidR="00024C0A" w:rsidRDefault="00694C0F">
            <w:pPr>
              <w:pStyle w:val="TableBodyText"/>
            </w:pPr>
            <w:r>
              <w:t>en-GB</w:t>
            </w:r>
          </w:p>
        </w:tc>
      </w:tr>
      <w:tr w:rsidR="00024C0A" w:rsidTr="00024C0A">
        <w:tc>
          <w:tcPr>
            <w:tcW w:w="0" w:type="auto"/>
            <w:vAlign w:val="center"/>
          </w:tcPr>
          <w:p w:rsidR="00024C0A" w:rsidRDefault="00694C0F">
            <w:pPr>
              <w:pStyle w:val="TableBodyText"/>
            </w:pPr>
            <w:r>
              <w:lastRenderedPageBreak/>
              <w:t xml:space="preserve">English - Hong Kong SAR </w:t>
            </w:r>
          </w:p>
        </w:tc>
        <w:tc>
          <w:tcPr>
            <w:tcW w:w="0" w:type="auto"/>
            <w:vAlign w:val="center"/>
          </w:tcPr>
          <w:p w:rsidR="00024C0A" w:rsidRDefault="00694C0F">
            <w:pPr>
              <w:pStyle w:val="TableBodyText"/>
            </w:pPr>
            <w:r>
              <w:t>en-HK</w:t>
            </w:r>
          </w:p>
        </w:tc>
      </w:tr>
      <w:tr w:rsidR="00024C0A" w:rsidTr="00024C0A">
        <w:tc>
          <w:tcPr>
            <w:tcW w:w="0" w:type="auto"/>
            <w:vAlign w:val="center"/>
          </w:tcPr>
          <w:p w:rsidR="00024C0A" w:rsidRDefault="00694C0F">
            <w:pPr>
              <w:pStyle w:val="TableBodyText"/>
            </w:pPr>
            <w:r>
              <w:t xml:space="preserve">English - Indonesia </w:t>
            </w:r>
          </w:p>
        </w:tc>
        <w:tc>
          <w:tcPr>
            <w:tcW w:w="0" w:type="auto"/>
            <w:vAlign w:val="center"/>
          </w:tcPr>
          <w:p w:rsidR="00024C0A" w:rsidRDefault="00694C0F">
            <w:pPr>
              <w:pStyle w:val="TableBodyText"/>
            </w:pPr>
            <w:r>
              <w:t>en-ID</w:t>
            </w:r>
          </w:p>
        </w:tc>
      </w:tr>
      <w:tr w:rsidR="00024C0A" w:rsidTr="00024C0A">
        <w:tc>
          <w:tcPr>
            <w:tcW w:w="0" w:type="auto"/>
            <w:vAlign w:val="center"/>
          </w:tcPr>
          <w:p w:rsidR="00024C0A" w:rsidRDefault="00694C0F">
            <w:pPr>
              <w:pStyle w:val="TableBodyText"/>
            </w:pPr>
            <w:r>
              <w:t xml:space="preserve">English - Ireland </w:t>
            </w:r>
          </w:p>
        </w:tc>
        <w:tc>
          <w:tcPr>
            <w:tcW w:w="0" w:type="auto"/>
            <w:vAlign w:val="center"/>
          </w:tcPr>
          <w:p w:rsidR="00024C0A" w:rsidRDefault="00694C0F">
            <w:pPr>
              <w:pStyle w:val="TableBodyText"/>
            </w:pPr>
            <w:r>
              <w:t>en-IE</w:t>
            </w:r>
          </w:p>
        </w:tc>
      </w:tr>
      <w:tr w:rsidR="00024C0A" w:rsidTr="00024C0A">
        <w:tc>
          <w:tcPr>
            <w:tcW w:w="0" w:type="auto"/>
            <w:vAlign w:val="center"/>
          </w:tcPr>
          <w:p w:rsidR="00024C0A" w:rsidRDefault="00694C0F">
            <w:pPr>
              <w:pStyle w:val="TableBodyText"/>
            </w:pPr>
            <w:r>
              <w:t xml:space="preserve">English - India </w:t>
            </w:r>
          </w:p>
        </w:tc>
        <w:tc>
          <w:tcPr>
            <w:tcW w:w="0" w:type="auto"/>
            <w:vAlign w:val="center"/>
          </w:tcPr>
          <w:p w:rsidR="00024C0A" w:rsidRDefault="00694C0F">
            <w:pPr>
              <w:pStyle w:val="TableBodyText"/>
            </w:pPr>
            <w:r>
              <w:t>en-IN</w:t>
            </w:r>
          </w:p>
        </w:tc>
      </w:tr>
      <w:tr w:rsidR="00024C0A" w:rsidTr="00024C0A">
        <w:tc>
          <w:tcPr>
            <w:tcW w:w="0" w:type="auto"/>
            <w:vAlign w:val="center"/>
          </w:tcPr>
          <w:p w:rsidR="00024C0A" w:rsidRDefault="00694C0F">
            <w:pPr>
              <w:pStyle w:val="TableBodyText"/>
            </w:pPr>
            <w:r>
              <w:t xml:space="preserve">English - Jamaica </w:t>
            </w:r>
          </w:p>
        </w:tc>
        <w:tc>
          <w:tcPr>
            <w:tcW w:w="0" w:type="auto"/>
            <w:vAlign w:val="center"/>
          </w:tcPr>
          <w:p w:rsidR="00024C0A" w:rsidRDefault="00694C0F">
            <w:pPr>
              <w:pStyle w:val="TableBodyText"/>
            </w:pPr>
            <w:r>
              <w:t>en-JM</w:t>
            </w:r>
          </w:p>
        </w:tc>
      </w:tr>
      <w:tr w:rsidR="00024C0A" w:rsidTr="00024C0A">
        <w:tc>
          <w:tcPr>
            <w:tcW w:w="0" w:type="auto"/>
            <w:vAlign w:val="center"/>
          </w:tcPr>
          <w:p w:rsidR="00024C0A" w:rsidRDefault="00694C0F">
            <w:pPr>
              <w:pStyle w:val="TableBodyText"/>
            </w:pPr>
            <w:r>
              <w:t xml:space="preserve">English - Malaysia </w:t>
            </w:r>
          </w:p>
        </w:tc>
        <w:tc>
          <w:tcPr>
            <w:tcW w:w="0" w:type="auto"/>
            <w:vAlign w:val="center"/>
          </w:tcPr>
          <w:p w:rsidR="00024C0A" w:rsidRDefault="00694C0F">
            <w:pPr>
              <w:pStyle w:val="TableBodyText"/>
            </w:pPr>
            <w:r>
              <w:t>en-MY</w:t>
            </w:r>
          </w:p>
        </w:tc>
      </w:tr>
      <w:tr w:rsidR="00024C0A" w:rsidTr="00024C0A">
        <w:tc>
          <w:tcPr>
            <w:tcW w:w="0" w:type="auto"/>
            <w:vAlign w:val="center"/>
          </w:tcPr>
          <w:p w:rsidR="00024C0A" w:rsidRDefault="00694C0F">
            <w:pPr>
              <w:pStyle w:val="TableBodyText"/>
            </w:pPr>
            <w:r>
              <w:t xml:space="preserve">English - New Zealand </w:t>
            </w:r>
          </w:p>
        </w:tc>
        <w:tc>
          <w:tcPr>
            <w:tcW w:w="0" w:type="auto"/>
            <w:vAlign w:val="center"/>
          </w:tcPr>
          <w:p w:rsidR="00024C0A" w:rsidRDefault="00694C0F">
            <w:pPr>
              <w:pStyle w:val="TableBodyText"/>
            </w:pPr>
            <w:r>
              <w:t>en-NZ</w:t>
            </w:r>
          </w:p>
        </w:tc>
      </w:tr>
      <w:tr w:rsidR="00024C0A" w:rsidTr="00024C0A">
        <w:tc>
          <w:tcPr>
            <w:tcW w:w="0" w:type="auto"/>
            <w:vAlign w:val="center"/>
          </w:tcPr>
          <w:p w:rsidR="00024C0A" w:rsidRDefault="00694C0F">
            <w:pPr>
              <w:pStyle w:val="TableBodyText"/>
            </w:pPr>
            <w:r>
              <w:t xml:space="preserve">English - Philippines </w:t>
            </w:r>
          </w:p>
        </w:tc>
        <w:tc>
          <w:tcPr>
            <w:tcW w:w="0" w:type="auto"/>
            <w:vAlign w:val="center"/>
          </w:tcPr>
          <w:p w:rsidR="00024C0A" w:rsidRDefault="00694C0F">
            <w:pPr>
              <w:pStyle w:val="TableBodyText"/>
            </w:pPr>
            <w:r>
              <w:t>en-PH</w:t>
            </w:r>
          </w:p>
        </w:tc>
      </w:tr>
      <w:tr w:rsidR="00024C0A" w:rsidTr="00024C0A">
        <w:tc>
          <w:tcPr>
            <w:tcW w:w="0" w:type="auto"/>
            <w:vAlign w:val="center"/>
          </w:tcPr>
          <w:p w:rsidR="00024C0A" w:rsidRDefault="00694C0F">
            <w:pPr>
              <w:pStyle w:val="TableBodyText"/>
            </w:pPr>
            <w:r>
              <w:t xml:space="preserve">English - Singapore </w:t>
            </w:r>
          </w:p>
        </w:tc>
        <w:tc>
          <w:tcPr>
            <w:tcW w:w="0" w:type="auto"/>
            <w:vAlign w:val="center"/>
          </w:tcPr>
          <w:p w:rsidR="00024C0A" w:rsidRDefault="00694C0F">
            <w:pPr>
              <w:pStyle w:val="TableBodyText"/>
            </w:pPr>
            <w:r>
              <w:t>en-SG</w:t>
            </w:r>
          </w:p>
        </w:tc>
      </w:tr>
      <w:tr w:rsidR="00024C0A" w:rsidTr="00024C0A">
        <w:tc>
          <w:tcPr>
            <w:tcW w:w="0" w:type="auto"/>
            <w:vAlign w:val="center"/>
          </w:tcPr>
          <w:p w:rsidR="00024C0A" w:rsidRDefault="00694C0F">
            <w:pPr>
              <w:pStyle w:val="TableBodyText"/>
            </w:pPr>
            <w:r>
              <w:t xml:space="preserve">English - Trinidad </w:t>
            </w:r>
          </w:p>
        </w:tc>
        <w:tc>
          <w:tcPr>
            <w:tcW w:w="0" w:type="auto"/>
            <w:vAlign w:val="center"/>
          </w:tcPr>
          <w:p w:rsidR="00024C0A" w:rsidRDefault="00694C0F">
            <w:pPr>
              <w:pStyle w:val="TableBodyText"/>
            </w:pPr>
            <w:r>
              <w:t>en-TT</w:t>
            </w:r>
          </w:p>
        </w:tc>
      </w:tr>
      <w:tr w:rsidR="00024C0A" w:rsidTr="00024C0A">
        <w:tc>
          <w:tcPr>
            <w:tcW w:w="0" w:type="auto"/>
            <w:vAlign w:val="center"/>
          </w:tcPr>
          <w:p w:rsidR="00024C0A" w:rsidRDefault="00694C0F">
            <w:pPr>
              <w:pStyle w:val="TableBodyText"/>
            </w:pPr>
            <w:r>
              <w:t xml:space="preserve">English - United States </w:t>
            </w:r>
          </w:p>
        </w:tc>
        <w:tc>
          <w:tcPr>
            <w:tcW w:w="0" w:type="auto"/>
            <w:vAlign w:val="center"/>
          </w:tcPr>
          <w:p w:rsidR="00024C0A" w:rsidRDefault="00694C0F">
            <w:pPr>
              <w:pStyle w:val="TableBodyText"/>
            </w:pPr>
            <w:r>
              <w:t>en-US</w:t>
            </w:r>
          </w:p>
        </w:tc>
      </w:tr>
      <w:tr w:rsidR="00024C0A" w:rsidTr="00024C0A">
        <w:tc>
          <w:tcPr>
            <w:tcW w:w="0" w:type="auto"/>
            <w:vAlign w:val="center"/>
          </w:tcPr>
          <w:p w:rsidR="00024C0A" w:rsidRDefault="00694C0F">
            <w:pPr>
              <w:pStyle w:val="TableBodyText"/>
            </w:pPr>
            <w:r>
              <w:t xml:space="preserve">English - South Africa </w:t>
            </w:r>
          </w:p>
        </w:tc>
        <w:tc>
          <w:tcPr>
            <w:tcW w:w="0" w:type="auto"/>
            <w:vAlign w:val="center"/>
          </w:tcPr>
          <w:p w:rsidR="00024C0A" w:rsidRDefault="00694C0F">
            <w:pPr>
              <w:pStyle w:val="TableBodyText"/>
            </w:pPr>
            <w:r>
              <w:t>en-ZA</w:t>
            </w:r>
          </w:p>
        </w:tc>
      </w:tr>
      <w:tr w:rsidR="00024C0A" w:rsidTr="00024C0A">
        <w:tc>
          <w:tcPr>
            <w:tcW w:w="0" w:type="auto"/>
            <w:vAlign w:val="center"/>
          </w:tcPr>
          <w:p w:rsidR="00024C0A" w:rsidRDefault="00694C0F">
            <w:pPr>
              <w:pStyle w:val="TableBodyText"/>
            </w:pPr>
            <w:r>
              <w:t xml:space="preserve">English - Zimbabwe </w:t>
            </w:r>
          </w:p>
        </w:tc>
        <w:tc>
          <w:tcPr>
            <w:tcW w:w="0" w:type="auto"/>
            <w:vAlign w:val="center"/>
          </w:tcPr>
          <w:p w:rsidR="00024C0A" w:rsidRDefault="00694C0F">
            <w:pPr>
              <w:pStyle w:val="TableBodyText"/>
            </w:pPr>
            <w:r>
              <w:t>en-ZW</w:t>
            </w:r>
          </w:p>
        </w:tc>
      </w:tr>
      <w:tr w:rsidR="00024C0A" w:rsidTr="00024C0A">
        <w:tc>
          <w:tcPr>
            <w:tcW w:w="0" w:type="auto"/>
            <w:vAlign w:val="center"/>
          </w:tcPr>
          <w:p w:rsidR="00024C0A" w:rsidRDefault="00694C0F">
            <w:pPr>
              <w:pStyle w:val="TableBodyText"/>
            </w:pPr>
            <w:r>
              <w:t xml:space="preserve">Spanish - Latin America </w:t>
            </w:r>
          </w:p>
        </w:tc>
        <w:tc>
          <w:tcPr>
            <w:tcW w:w="0" w:type="auto"/>
            <w:vAlign w:val="center"/>
          </w:tcPr>
          <w:p w:rsidR="00024C0A" w:rsidRDefault="00694C0F">
            <w:pPr>
              <w:pStyle w:val="TableBodyText"/>
            </w:pPr>
            <w:r>
              <w:t>es-419</w:t>
            </w:r>
          </w:p>
        </w:tc>
      </w:tr>
      <w:tr w:rsidR="00024C0A" w:rsidTr="00024C0A">
        <w:tc>
          <w:tcPr>
            <w:tcW w:w="0" w:type="auto"/>
            <w:vAlign w:val="center"/>
          </w:tcPr>
          <w:p w:rsidR="00024C0A" w:rsidRDefault="00694C0F">
            <w:pPr>
              <w:pStyle w:val="TableBodyText"/>
            </w:pPr>
            <w:r>
              <w:t xml:space="preserve">Spanish - Argentina </w:t>
            </w:r>
          </w:p>
        </w:tc>
        <w:tc>
          <w:tcPr>
            <w:tcW w:w="0" w:type="auto"/>
            <w:vAlign w:val="center"/>
          </w:tcPr>
          <w:p w:rsidR="00024C0A" w:rsidRDefault="00694C0F">
            <w:pPr>
              <w:pStyle w:val="TableBodyText"/>
            </w:pPr>
            <w:r>
              <w:t>es-AR</w:t>
            </w:r>
          </w:p>
        </w:tc>
      </w:tr>
      <w:tr w:rsidR="00024C0A" w:rsidTr="00024C0A">
        <w:tc>
          <w:tcPr>
            <w:tcW w:w="0" w:type="auto"/>
            <w:vAlign w:val="center"/>
          </w:tcPr>
          <w:p w:rsidR="00024C0A" w:rsidRDefault="00694C0F">
            <w:pPr>
              <w:pStyle w:val="TableBodyText"/>
            </w:pPr>
            <w:r>
              <w:t xml:space="preserve">Spanish - Bolivia </w:t>
            </w:r>
          </w:p>
        </w:tc>
        <w:tc>
          <w:tcPr>
            <w:tcW w:w="0" w:type="auto"/>
            <w:vAlign w:val="center"/>
          </w:tcPr>
          <w:p w:rsidR="00024C0A" w:rsidRDefault="00694C0F">
            <w:pPr>
              <w:pStyle w:val="TableBodyText"/>
            </w:pPr>
            <w:r>
              <w:t>es-BO</w:t>
            </w:r>
          </w:p>
        </w:tc>
      </w:tr>
      <w:tr w:rsidR="00024C0A" w:rsidTr="00024C0A">
        <w:tc>
          <w:tcPr>
            <w:tcW w:w="0" w:type="auto"/>
            <w:vAlign w:val="center"/>
          </w:tcPr>
          <w:p w:rsidR="00024C0A" w:rsidRDefault="00694C0F">
            <w:pPr>
              <w:pStyle w:val="TableBodyText"/>
            </w:pPr>
            <w:r>
              <w:t xml:space="preserve">Spanish - Chile </w:t>
            </w:r>
          </w:p>
        </w:tc>
        <w:tc>
          <w:tcPr>
            <w:tcW w:w="0" w:type="auto"/>
            <w:vAlign w:val="center"/>
          </w:tcPr>
          <w:p w:rsidR="00024C0A" w:rsidRDefault="00694C0F">
            <w:pPr>
              <w:pStyle w:val="TableBodyText"/>
            </w:pPr>
            <w:r>
              <w:t>es-CL</w:t>
            </w:r>
          </w:p>
        </w:tc>
      </w:tr>
      <w:tr w:rsidR="00024C0A" w:rsidTr="00024C0A">
        <w:tc>
          <w:tcPr>
            <w:tcW w:w="0" w:type="auto"/>
            <w:vAlign w:val="center"/>
          </w:tcPr>
          <w:p w:rsidR="00024C0A" w:rsidRDefault="00694C0F">
            <w:pPr>
              <w:pStyle w:val="TableBodyText"/>
            </w:pPr>
            <w:r>
              <w:t xml:space="preserve">Spanish - Colombia </w:t>
            </w:r>
          </w:p>
        </w:tc>
        <w:tc>
          <w:tcPr>
            <w:tcW w:w="0" w:type="auto"/>
            <w:vAlign w:val="center"/>
          </w:tcPr>
          <w:p w:rsidR="00024C0A" w:rsidRDefault="00694C0F">
            <w:pPr>
              <w:pStyle w:val="TableBodyText"/>
            </w:pPr>
            <w:r>
              <w:t>es-CO</w:t>
            </w:r>
          </w:p>
        </w:tc>
      </w:tr>
      <w:tr w:rsidR="00024C0A" w:rsidTr="00024C0A">
        <w:tc>
          <w:tcPr>
            <w:tcW w:w="0" w:type="auto"/>
            <w:vAlign w:val="center"/>
          </w:tcPr>
          <w:p w:rsidR="00024C0A" w:rsidRDefault="00694C0F">
            <w:pPr>
              <w:pStyle w:val="TableBodyText"/>
            </w:pPr>
            <w:r>
              <w:t xml:space="preserve">Spanish - Costa Rica </w:t>
            </w:r>
          </w:p>
        </w:tc>
        <w:tc>
          <w:tcPr>
            <w:tcW w:w="0" w:type="auto"/>
            <w:vAlign w:val="center"/>
          </w:tcPr>
          <w:p w:rsidR="00024C0A" w:rsidRDefault="00694C0F">
            <w:pPr>
              <w:pStyle w:val="TableBodyText"/>
            </w:pPr>
            <w:r>
              <w:t>es-CR</w:t>
            </w:r>
          </w:p>
        </w:tc>
      </w:tr>
      <w:tr w:rsidR="00024C0A" w:rsidTr="00024C0A">
        <w:tc>
          <w:tcPr>
            <w:tcW w:w="0" w:type="auto"/>
            <w:vAlign w:val="center"/>
          </w:tcPr>
          <w:p w:rsidR="00024C0A" w:rsidRDefault="00694C0F">
            <w:pPr>
              <w:pStyle w:val="TableBodyText"/>
            </w:pPr>
            <w:r>
              <w:t xml:space="preserve">Spanish - Dominican Republic </w:t>
            </w:r>
          </w:p>
        </w:tc>
        <w:tc>
          <w:tcPr>
            <w:tcW w:w="0" w:type="auto"/>
            <w:vAlign w:val="center"/>
          </w:tcPr>
          <w:p w:rsidR="00024C0A" w:rsidRDefault="00694C0F">
            <w:pPr>
              <w:pStyle w:val="TableBodyText"/>
            </w:pPr>
            <w:r>
              <w:t>es-DO</w:t>
            </w:r>
          </w:p>
        </w:tc>
      </w:tr>
      <w:tr w:rsidR="00024C0A" w:rsidTr="00024C0A">
        <w:tc>
          <w:tcPr>
            <w:tcW w:w="0" w:type="auto"/>
            <w:vAlign w:val="center"/>
          </w:tcPr>
          <w:p w:rsidR="00024C0A" w:rsidRDefault="00694C0F">
            <w:pPr>
              <w:pStyle w:val="TableBodyText"/>
            </w:pPr>
            <w:r>
              <w:t xml:space="preserve">Spanish - Ecuador </w:t>
            </w:r>
          </w:p>
        </w:tc>
        <w:tc>
          <w:tcPr>
            <w:tcW w:w="0" w:type="auto"/>
            <w:vAlign w:val="center"/>
          </w:tcPr>
          <w:p w:rsidR="00024C0A" w:rsidRDefault="00694C0F">
            <w:pPr>
              <w:pStyle w:val="TableBodyText"/>
            </w:pPr>
            <w:r>
              <w:t>es-EC</w:t>
            </w:r>
          </w:p>
        </w:tc>
      </w:tr>
      <w:tr w:rsidR="00024C0A" w:rsidTr="00024C0A">
        <w:tc>
          <w:tcPr>
            <w:tcW w:w="0" w:type="auto"/>
            <w:vAlign w:val="center"/>
          </w:tcPr>
          <w:p w:rsidR="00024C0A" w:rsidRDefault="00694C0F">
            <w:pPr>
              <w:pStyle w:val="TableBodyText"/>
            </w:pPr>
            <w:r>
              <w:t xml:space="preserve">Spanish - Spain (Traditional Sort) </w:t>
            </w:r>
          </w:p>
        </w:tc>
        <w:tc>
          <w:tcPr>
            <w:tcW w:w="0" w:type="auto"/>
            <w:vAlign w:val="center"/>
          </w:tcPr>
          <w:p w:rsidR="00024C0A" w:rsidRDefault="00694C0F">
            <w:pPr>
              <w:pStyle w:val="TableBodyText"/>
            </w:pPr>
            <w:r>
              <w:t>es-ES</w:t>
            </w:r>
          </w:p>
        </w:tc>
      </w:tr>
      <w:tr w:rsidR="00024C0A" w:rsidTr="00024C0A">
        <w:tc>
          <w:tcPr>
            <w:tcW w:w="0" w:type="auto"/>
            <w:vAlign w:val="center"/>
          </w:tcPr>
          <w:p w:rsidR="00024C0A" w:rsidRDefault="00694C0F">
            <w:pPr>
              <w:pStyle w:val="TableBodyText"/>
            </w:pPr>
            <w:r>
              <w:t xml:space="preserve">Spanish - Spain (Modern Sort) </w:t>
            </w:r>
          </w:p>
        </w:tc>
        <w:tc>
          <w:tcPr>
            <w:tcW w:w="0" w:type="auto"/>
            <w:vAlign w:val="center"/>
          </w:tcPr>
          <w:p w:rsidR="00024C0A" w:rsidRDefault="00694C0F">
            <w:pPr>
              <w:pStyle w:val="TableBodyText"/>
            </w:pPr>
            <w:r>
              <w:t>es-ES</w:t>
            </w:r>
          </w:p>
        </w:tc>
      </w:tr>
      <w:tr w:rsidR="00024C0A" w:rsidTr="00024C0A">
        <w:tc>
          <w:tcPr>
            <w:tcW w:w="0" w:type="auto"/>
            <w:vAlign w:val="center"/>
          </w:tcPr>
          <w:p w:rsidR="00024C0A" w:rsidRDefault="00694C0F">
            <w:pPr>
              <w:pStyle w:val="TableBodyText"/>
            </w:pPr>
            <w:r>
              <w:t xml:space="preserve">Spanish - Guatemala </w:t>
            </w:r>
          </w:p>
        </w:tc>
        <w:tc>
          <w:tcPr>
            <w:tcW w:w="0" w:type="auto"/>
            <w:vAlign w:val="center"/>
          </w:tcPr>
          <w:p w:rsidR="00024C0A" w:rsidRDefault="00694C0F">
            <w:pPr>
              <w:pStyle w:val="TableBodyText"/>
            </w:pPr>
            <w:r>
              <w:t>es-GT</w:t>
            </w:r>
          </w:p>
        </w:tc>
      </w:tr>
      <w:tr w:rsidR="00024C0A" w:rsidTr="00024C0A">
        <w:tc>
          <w:tcPr>
            <w:tcW w:w="0" w:type="auto"/>
            <w:vAlign w:val="center"/>
          </w:tcPr>
          <w:p w:rsidR="00024C0A" w:rsidRDefault="00694C0F">
            <w:pPr>
              <w:pStyle w:val="TableBodyText"/>
            </w:pPr>
            <w:r>
              <w:t xml:space="preserve">Spanish - Honduras </w:t>
            </w:r>
          </w:p>
        </w:tc>
        <w:tc>
          <w:tcPr>
            <w:tcW w:w="0" w:type="auto"/>
            <w:vAlign w:val="center"/>
          </w:tcPr>
          <w:p w:rsidR="00024C0A" w:rsidRDefault="00694C0F">
            <w:pPr>
              <w:pStyle w:val="TableBodyText"/>
            </w:pPr>
            <w:r>
              <w:t>es-HN</w:t>
            </w:r>
          </w:p>
        </w:tc>
      </w:tr>
      <w:tr w:rsidR="00024C0A" w:rsidTr="00024C0A">
        <w:tc>
          <w:tcPr>
            <w:tcW w:w="0" w:type="auto"/>
            <w:vAlign w:val="center"/>
          </w:tcPr>
          <w:p w:rsidR="00024C0A" w:rsidRDefault="00694C0F">
            <w:pPr>
              <w:pStyle w:val="TableBodyText"/>
            </w:pPr>
            <w:r>
              <w:t xml:space="preserve">Spanish - Mexico </w:t>
            </w:r>
          </w:p>
        </w:tc>
        <w:tc>
          <w:tcPr>
            <w:tcW w:w="0" w:type="auto"/>
            <w:vAlign w:val="center"/>
          </w:tcPr>
          <w:p w:rsidR="00024C0A" w:rsidRDefault="00694C0F">
            <w:pPr>
              <w:pStyle w:val="TableBodyText"/>
            </w:pPr>
            <w:r>
              <w:t>es-MX</w:t>
            </w:r>
          </w:p>
        </w:tc>
      </w:tr>
      <w:tr w:rsidR="00024C0A" w:rsidTr="00024C0A">
        <w:tc>
          <w:tcPr>
            <w:tcW w:w="0" w:type="auto"/>
            <w:vAlign w:val="center"/>
          </w:tcPr>
          <w:p w:rsidR="00024C0A" w:rsidRDefault="00694C0F">
            <w:pPr>
              <w:pStyle w:val="TableBodyText"/>
            </w:pPr>
            <w:r>
              <w:t xml:space="preserve">Spanish - Nicaragua </w:t>
            </w:r>
          </w:p>
        </w:tc>
        <w:tc>
          <w:tcPr>
            <w:tcW w:w="0" w:type="auto"/>
            <w:vAlign w:val="center"/>
          </w:tcPr>
          <w:p w:rsidR="00024C0A" w:rsidRDefault="00694C0F">
            <w:pPr>
              <w:pStyle w:val="TableBodyText"/>
            </w:pPr>
            <w:r>
              <w:t>es-NI</w:t>
            </w:r>
          </w:p>
        </w:tc>
      </w:tr>
      <w:tr w:rsidR="00024C0A" w:rsidTr="00024C0A">
        <w:tc>
          <w:tcPr>
            <w:tcW w:w="0" w:type="auto"/>
            <w:vAlign w:val="center"/>
          </w:tcPr>
          <w:p w:rsidR="00024C0A" w:rsidRDefault="00694C0F">
            <w:pPr>
              <w:pStyle w:val="TableBodyText"/>
            </w:pPr>
            <w:r>
              <w:t xml:space="preserve">Spanish - Panama </w:t>
            </w:r>
          </w:p>
        </w:tc>
        <w:tc>
          <w:tcPr>
            <w:tcW w:w="0" w:type="auto"/>
            <w:vAlign w:val="center"/>
          </w:tcPr>
          <w:p w:rsidR="00024C0A" w:rsidRDefault="00694C0F">
            <w:pPr>
              <w:pStyle w:val="TableBodyText"/>
            </w:pPr>
            <w:r>
              <w:t>es-PA</w:t>
            </w:r>
          </w:p>
        </w:tc>
      </w:tr>
      <w:tr w:rsidR="00024C0A" w:rsidTr="00024C0A">
        <w:tc>
          <w:tcPr>
            <w:tcW w:w="0" w:type="auto"/>
            <w:vAlign w:val="center"/>
          </w:tcPr>
          <w:p w:rsidR="00024C0A" w:rsidRDefault="00694C0F">
            <w:pPr>
              <w:pStyle w:val="TableBodyText"/>
            </w:pPr>
            <w:r>
              <w:t xml:space="preserve">Spanish - Peru </w:t>
            </w:r>
          </w:p>
        </w:tc>
        <w:tc>
          <w:tcPr>
            <w:tcW w:w="0" w:type="auto"/>
            <w:vAlign w:val="center"/>
          </w:tcPr>
          <w:p w:rsidR="00024C0A" w:rsidRDefault="00694C0F">
            <w:pPr>
              <w:pStyle w:val="TableBodyText"/>
            </w:pPr>
            <w:r>
              <w:t>es-PE</w:t>
            </w:r>
          </w:p>
        </w:tc>
      </w:tr>
      <w:tr w:rsidR="00024C0A" w:rsidTr="00024C0A">
        <w:tc>
          <w:tcPr>
            <w:tcW w:w="0" w:type="auto"/>
            <w:vAlign w:val="center"/>
          </w:tcPr>
          <w:p w:rsidR="00024C0A" w:rsidRDefault="00694C0F">
            <w:pPr>
              <w:pStyle w:val="TableBodyText"/>
            </w:pPr>
            <w:r>
              <w:t xml:space="preserve">Spanish - Puerto Rico </w:t>
            </w:r>
          </w:p>
        </w:tc>
        <w:tc>
          <w:tcPr>
            <w:tcW w:w="0" w:type="auto"/>
            <w:vAlign w:val="center"/>
          </w:tcPr>
          <w:p w:rsidR="00024C0A" w:rsidRDefault="00694C0F">
            <w:pPr>
              <w:pStyle w:val="TableBodyText"/>
            </w:pPr>
            <w:r>
              <w:t>es-PR</w:t>
            </w:r>
          </w:p>
        </w:tc>
      </w:tr>
      <w:tr w:rsidR="00024C0A" w:rsidTr="00024C0A">
        <w:tc>
          <w:tcPr>
            <w:tcW w:w="0" w:type="auto"/>
            <w:vAlign w:val="center"/>
          </w:tcPr>
          <w:p w:rsidR="00024C0A" w:rsidRDefault="00694C0F">
            <w:pPr>
              <w:pStyle w:val="TableBodyText"/>
            </w:pPr>
            <w:r>
              <w:t xml:space="preserve">Spanish - Paraguay </w:t>
            </w:r>
          </w:p>
        </w:tc>
        <w:tc>
          <w:tcPr>
            <w:tcW w:w="0" w:type="auto"/>
            <w:vAlign w:val="center"/>
          </w:tcPr>
          <w:p w:rsidR="00024C0A" w:rsidRDefault="00694C0F">
            <w:pPr>
              <w:pStyle w:val="TableBodyText"/>
            </w:pPr>
            <w:r>
              <w:t>es-PY</w:t>
            </w:r>
          </w:p>
        </w:tc>
      </w:tr>
      <w:tr w:rsidR="00024C0A" w:rsidTr="00024C0A">
        <w:tc>
          <w:tcPr>
            <w:tcW w:w="0" w:type="auto"/>
            <w:vAlign w:val="center"/>
          </w:tcPr>
          <w:p w:rsidR="00024C0A" w:rsidRDefault="00694C0F">
            <w:pPr>
              <w:pStyle w:val="TableBodyText"/>
            </w:pPr>
            <w:r>
              <w:t xml:space="preserve">Spanish - El Salvador </w:t>
            </w:r>
          </w:p>
        </w:tc>
        <w:tc>
          <w:tcPr>
            <w:tcW w:w="0" w:type="auto"/>
            <w:vAlign w:val="center"/>
          </w:tcPr>
          <w:p w:rsidR="00024C0A" w:rsidRDefault="00694C0F">
            <w:pPr>
              <w:pStyle w:val="TableBodyText"/>
            </w:pPr>
            <w:r>
              <w:t>es-SV</w:t>
            </w:r>
          </w:p>
        </w:tc>
      </w:tr>
      <w:tr w:rsidR="00024C0A" w:rsidTr="00024C0A">
        <w:tc>
          <w:tcPr>
            <w:tcW w:w="0" w:type="auto"/>
            <w:vAlign w:val="center"/>
          </w:tcPr>
          <w:p w:rsidR="00024C0A" w:rsidRDefault="00694C0F">
            <w:pPr>
              <w:pStyle w:val="TableBodyText"/>
            </w:pPr>
            <w:r>
              <w:lastRenderedPageBreak/>
              <w:t xml:space="preserve">Spanish - United States </w:t>
            </w:r>
          </w:p>
        </w:tc>
        <w:tc>
          <w:tcPr>
            <w:tcW w:w="0" w:type="auto"/>
            <w:vAlign w:val="center"/>
          </w:tcPr>
          <w:p w:rsidR="00024C0A" w:rsidRDefault="00694C0F">
            <w:pPr>
              <w:pStyle w:val="TableBodyText"/>
            </w:pPr>
            <w:r>
              <w:t>es-US</w:t>
            </w:r>
          </w:p>
        </w:tc>
      </w:tr>
      <w:tr w:rsidR="00024C0A" w:rsidTr="00024C0A">
        <w:tc>
          <w:tcPr>
            <w:tcW w:w="0" w:type="auto"/>
            <w:vAlign w:val="center"/>
          </w:tcPr>
          <w:p w:rsidR="00024C0A" w:rsidRDefault="00694C0F">
            <w:pPr>
              <w:pStyle w:val="TableBodyText"/>
            </w:pPr>
            <w:r>
              <w:t xml:space="preserve">Spanish - Uruguay </w:t>
            </w:r>
          </w:p>
        </w:tc>
        <w:tc>
          <w:tcPr>
            <w:tcW w:w="0" w:type="auto"/>
            <w:vAlign w:val="center"/>
          </w:tcPr>
          <w:p w:rsidR="00024C0A" w:rsidRDefault="00694C0F">
            <w:pPr>
              <w:pStyle w:val="TableBodyText"/>
            </w:pPr>
            <w:r>
              <w:t>es-UY</w:t>
            </w:r>
          </w:p>
        </w:tc>
      </w:tr>
      <w:tr w:rsidR="00024C0A" w:rsidTr="00024C0A">
        <w:tc>
          <w:tcPr>
            <w:tcW w:w="0" w:type="auto"/>
            <w:vAlign w:val="center"/>
          </w:tcPr>
          <w:p w:rsidR="00024C0A" w:rsidRDefault="00694C0F">
            <w:pPr>
              <w:pStyle w:val="TableBodyText"/>
            </w:pPr>
            <w:r>
              <w:t xml:space="preserve">Spanish - Venezuela </w:t>
            </w:r>
          </w:p>
        </w:tc>
        <w:tc>
          <w:tcPr>
            <w:tcW w:w="0" w:type="auto"/>
            <w:vAlign w:val="center"/>
          </w:tcPr>
          <w:p w:rsidR="00024C0A" w:rsidRDefault="00694C0F">
            <w:pPr>
              <w:pStyle w:val="TableBodyText"/>
            </w:pPr>
            <w:r>
              <w:t>es-VE</w:t>
            </w:r>
          </w:p>
        </w:tc>
      </w:tr>
      <w:tr w:rsidR="00024C0A" w:rsidTr="00024C0A">
        <w:tc>
          <w:tcPr>
            <w:tcW w:w="0" w:type="auto"/>
            <w:vAlign w:val="center"/>
          </w:tcPr>
          <w:p w:rsidR="00024C0A" w:rsidRDefault="00694C0F">
            <w:pPr>
              <w:pStyle w:val="TableBodyText"/>
            </w:pPr>
            <w:r>
              <w:t xml:space="preserve">Estonian </w:t>
            </w:r>
          </w:p>
        </w:tc>
        <w:tc>
          <w:tcPr>
            <w:tcW w:w="0" w:type="auto"/>
            <w:vAlign w:val="center"/>
          </w:tcPr>
          <w:p w:rsidR="00024C0A" w:rsidRDefault="00694C0F">
            <w:pPr>
              <w:pStyle w:val="TableBodyText"/>
            </w:pPr>
            <w:r>
              <w:t>et-EE</w:t>
            </w:r>
          </w:p>
        </w:tc>
      </w:tr>
      <w:tr w:rsidR="00024C0A" w:rsidTr="00024C0A">
        <w:tc>
          <w:tcPr>
            <w:tcW w:w="0" w:type="auto"/>
            <w:vAlign w:val="center"/>
          </w:tcPr>
          <w:p w:rsidR="00024C0A" w:rsidRDefault="00694C0F">
            <w:pPr>
              <w:pStyle w:val="TableBodyText"/>
            </w:pPr>
            <w:r>
              <w:t xml:space="preserve">Basque </w:t>
            </w:r>
          </w:p>
        </w:tc>
        <w:tc>
          <w:tcPr>
            <w:tcW w:w="0" w:type="auto"/>
            <w:vAlign w:val="center"/>
          </w:tcPr>
          <w:p w:rsidR="00024C0A" w:rsidRDefault="00694C0F">
            <w:pPr>
              <w:pStyle w:val="TableBodyText"/>
            </w:pPr>
            <w:r>
              <w:t>eu-ES</w:t>
            </w:r>
          </w:p>
        </w:tc>
      </w:tr>
      <w:tr w:rsidR="00024C0A" w:rsidTr="00024C0A">
        <w:tc>
          <w:tcPr>
            <w:tcW w:w="0" w:type="auto"/>
            <w:vAlign w:val="center"/>
          </w:tcPr>
          <w:p w:rsidR="00024C0A" w:rsidRDefault="00694C0F">
            <w:pPr>
              <w:pStyle w:val="TableBodyText"/>
            </w:pPr>
            <w:r>
              <w:t xml:space="preserve">Persian </w:t>
            </w:r>
          </w:p>
        </w:tc>
        <w:tc>
          <w:tcPr>
            <w:tcW w:w="0" w:type="auto"/>
            <w:vAlign w:val="center"/>
          </w:tcPr>
          <w:p w:rsidR="00024C0A" w:rsidRDefault="00694C0F">
            <w:pPr>
              <w:pStyle w:val="TableBodyText"/>
            </w:pPr>
            <w:r>
              <w:t>fa-IR</w:t>
            </w:r>
          </w:p>
        </w:tc>
      </w:tr>
      <w:tr w:rsidR="00024C0A" w:rsidTr="00024C0A">
        <w:tc>
          <w:tcPr>
            <w:tcW w:w="0" w:type="auto"/>
            <w:vAlign w:val="center"/>
          </w:tcPr>
          <w:p w:rsidR="00024C0A" w:rsidRDefault="00694C0F">
            <w:pPr>
              <w:pStyle w:val="TableBodyText"/>
            </w:pPr>
            <w:r>
              <w:t xml:space="preserve">Finnish </w:t>
            </w:r>
          </w:p>
        </w:tc>
        <w:tc>
          <w:tcPr>
            <w:tcW w:w="0" w:type="auto"/>
            <w:vAlign w:val="center"/>
          </w:tcPr>
          <w:p w:rsidR="00024C0A" w:rsidRDefault="00694C0F">
            <w:pPr>
              <w:pStyle w:val="TableBodyText"/>
            </w:pPr>
            <w:r>
              <w:t>fi-FI</w:t>
            </w:r>
          </w:p>
        </w:tc>
      </w:tr>
      <w:tr w:rsidR="00024C0A" w:rsidTr="00024C0A">
        <w:tc>
          <w:tcPr>
            <w:tcW w:w="0" w:type="auto"/>
            <w:vAlign w:val="center"/>
          </w:tcPr>
          <w:p w:rsidR="00024C0A" w:rsidRDefault="00694C0F">
            <w:pPr>
              <w:pStyle w:val="TableBodyText"/>
            </w:pPr>
            <w:r>
              <w:t xml:space="preserve">Filipino </w:t>
            </w:r>
          </w:p>
        </w:tc>
        <w:tc>
          <w:tcPr>
            <w:tcW w:w="0" w:type="auto"/>
            <w:vAlign w:val="center"/>
          </w:tcPr>
          <w:p w:rsidR="00024C0A" w:rsidRDefault="00694C0F">
            <w:pPr>
              <w:pStyle w:val="TableBodyText"/>
            </w:pPr>
            <w:r>
              <w:t>fil-PH</w:t>
            </w:r>
          </w:p>
        </w:tc>
      </w:tr>
      <w:tr w:rsidR="00024C0A" w:rsidTr="00024C0A">
        <w:tc>
          <w:tcPr>
            <w:tcW w:w="0" w:type="auto"/>
            <w:vAlign w:val="center"/>
          </w:tcPr>
          <w:p w:rsidR="00024C0A" w:rsidRDefault="00694C0F">
            <w:pPr>
              <w:pStyle w:val="TableBodyText"/>
            </w:pPr>
            <w:r>
              <w:t xml:space="preserve">Faroese </w:t>
            </w:r>
          </w:p>
        </w:tc>
        <w:tc>
          <w:tcPr>
            <w:tcW w:w="0" w:type="auto"/>
            <w:vAlign w:val="center"/>
          </w:tcPr>
          <w:p w:rsidR="00024C0A" w:rsidRDefault="00694C0F">
            <w:pPr>
              <w:pStyle w:val="TableBodyText"/>
            </w:pPr>
            <w:r>
              <w:t>fo-FO</w:t>
            </w:r>
          </w:p>
        </w:tc>
      </w:tr>
      <w:tr w:rsidR="00024C0A" w:rsidTr="00024C0A">
        <w:tc>
          <w:tcPr>
            <w:tcW w:w="0" w:type="auto"/>
            <w:vAlign w:val="center"/>
          </w:tcPr>
          <w:p w:rsidR="00024C0A" w:rsidRDefault="00694C0F">
            <w:pPr>
              <w:pStyle w:val="TableBodyText"/>
            </w:pPr>
            <w:r>
              <w:t xml:space="preserve">French - North Africa </w:t>
            </w:r>
          </w:p>
        </w:tc>
        <w:tc>
          <w:tcPr>
            <w:tcW w:w="0" w:type="auto"/>
            <w:vAlign w:val="center"/>
          </w:tcPr>
          <w:p w:rsidR="00024C0A" w:rsidRDefault="00694C0F">
            <w:pPr>
              <w:pStyle w:val="TableBodyText"/>
            </w:pPr>
            <w:r>
              <w:t>fr-015</w:t>
            </w:r>
          </w:p>
        </w:tc>
      </w:tr>
      <w:tr w:rsidR="00024C0A" w:rsidTr="00024C0A">
        <w:tc>
          <w:tcPr>
            <w:tcW w:w="0" w:type="auto"/>
            <w:vAlign w:val="center"/>
          </w:tcPr>
          <w:p w:rsidR="00024C0A" w:rsidRDefault="00694C0F">
            <w:pPr>
              <w:pStyle w:val="TableBodyText"/>
            </w:pPr>
            <w:r>
              <w:t xml:space="preserve">French - West Indies </w:t>
            </w:r>
          </w:p>
        </w:tc>
        <w:tc>
          <w:tcPr>
            <w:tcW w:w="0" w:type="auto"/>
            <w:vAlign w:val="center"/>
          </w:tcPr>
          <w:p w:rsidR="00024C0A" w:rsidRDefault="00694C0F">
            <w:pPr>
              <w:pStyle w:val="TableBodyText"/>
            </w:pPr>
            <w:r>
              <w:t>fr-029</w:t>
            </w:r>
          </w:p>
        </w:tc>
      </w:tr>
      <w:tr w:rsidR="00024C0A" w:rsidTr="00024C0A">
        <w:tc>
          <w:tcPr>
            <w:tcW w:w="0" w:type="auto"/>
            <w:vAlign w:val="center"/>
          </w:tcPr>
          <w:p w:rsidR="00024C0A" w:rsidRDefault="00694C0F">
            <w:pPr>
              <w:pStyle w:val="TableBodyText"/>
            </w:pPr>
            <w:r>
              <w:t xml:space="preserve">French - Belgium </w:t>
            </w:r>
          </w:p>
        </w:tc>
        <w:tc>
          <w:tcPr>
            <w:tcW w:w="0" w:type="auto"/>
            <w:vAlign w:val="center"/>
          </w:tcPr>
          <w:p w:rsidR="00024C0A" w:rsidRDefault="00694C0F">
            <w:pPr>
              <w:pStyle w:val="TableBodyText"/>
            </w:pPr>
            <w:r>
              <w:t>fr-BE</w:t>
            </w:r>
          </w:p>
        </w:tc>
      </w:tr>
      <w:tr w:rsidR="00024C0A" w:rsidTr="00024C0A">
        <w:tc>
          <w:tcPr>
            <w:tcW w:w="0" w:type="auto"/>
            <w:vAlign w:val="center"/>
          </w:tcPr>
          <w:p w:rsidR="00024C0A" w:rsidRDefault="00694C0F">
            <w:pPr>
              <w:pStyle w:val="TableBodyText"/>
            </w:pPr>
            <w:r>
              <w:t xml:space="preserve">French - Canada </w:t>
            </w:r>
          </w:p>
        </w:tc>
        <w:tc>
          <w:tcPr>
            <w:tcW w:w="0" w:type="auto"/>
            <w:vAlign w:val="center"/>
          </w:tcPr>
          <w:p w:rsidR="00024C0A" w:rsidRDefault="00694C0F">
            <w:pPr>
              <w:pStyle w:val="TableBodyText"/>
            </w:pPr>
            <w:r>
              <w:t>fr-CA</w:t>
            </w:r>
          </w:p>
        </w:tc>
      </w:tr>
      <w:tr w:rsidR="00024C0A" w:rsidTr="00024C0A">
        <w:tc>
          <w:tcPr>
            <w:tcW w:w="0" w:type="auto"/>
            <w:vAlign w:val="center"/>
          </w:tcPr>
          <w:p w:rsidR="00024C0A" w:rsidRDefault="00694C0F">
            <w:pPr>
              <w:pStyle w:val="TableBodyText"/>
            </w:pPr>
            <w:r>
              <w:t xml:space="preserve">French - Democratic Republic of the Congo  </w:t>
            </w:r>
          </w:p>
        </w:tc>
        <w:tc>
          <w:tcPr>
            <w:tcW w:w="0" w:type="auto"/>
            <w:vAlign w:val="center"/>
          </w:tcPr>
          <w:p w:rsidR="00024C0A" w:rsidRDefault="00694C0F">
            <w:pPr>
              <w:pStyle w:val="TableBodyText"/>
            </w:pPr>
            <w:r>
              <w:t>fr-CG</w:t>
            </w:r>
          </w:p>
        </w:tc>
      </w:tr>
      <w:tr w:rsidR="00024C0A" w:rsidTr="00024C0A">
        <w:tc>
          <w:tcPr>
            <w:tcW w:w="0" w:type="auto"/>
            <w:vAlign w:val="center"/>
          </w:tcPr>
          <w:p w:rsidR="00024C0A" w:rsidRDefault="00694C0F">
            <w:pPr>
              <w:pStyle w:val="TableBodyText"/>
            </w:pPr>
            <w:r>
              <w:t xml:space="preserve">French - Switzerland </w:t>
            </w:r>
          </w:p>
        </w:tc>
        <w:tc>
          <w:tcPr>
            <w:tcW w:w="0" w:type="auto"/>
            <w:vAlign w:val="center"/>
          </w:tcPr>
          <w:p w:rsidR="00024C0A" w:rsidRDefault="00694C0F">
            <w:pPr>
              <w:pStyle w:val="TableBodyText"/>
            </w:pPr>
            <w:r>
              <w:t>fr-CH</w:t>
            </w:r>
          </w:p>
        </w:tc>
      </w:tr>
      <w:tr w:rsidR="00024C0A" w:rsidTr="00024C0A">
        <w:tc>
          <w:tcPr>
            <w:tcW w:w="0" w:type="auto"/>
            <w:vAlign w:val="center"/>
          </w:tcPr>
          <w:p w:rsidR="00024C0A" w:rsidRDefault="00694C0F">
            <w:pPr>
              <w:pStyle w:val="TableBodyText"/>
            </w:pPr>
            <w:r>
              <w:t xml:space="preserve">French - Cote d'Ivoire </w:t>
            </w:r>
          </w:p>
        </w:tc>
        <w:tc>
          <w:tcPr>
            <w:tcW w:w="0" w:type="auto"/>
            <w:vAlign w:val="center"/>
          </w:tcPr>
          <w:p w:rsidR="00024C0A" w:rsidRDefault="00694C0F">
            <w:pPr>
              <w:pStyle w:val="TableBodyText"/>
            </w:pPr>
            <w:r>
              <w:t>fr-CI</w:t>
            </w:r>
          </w:p>
        </w:tc>
      </w:tr>
      <w:tr w:rsidR="00024C0A" w:rsidTr="00024C0A">
        <w:tc>
          <w:tcPr>
            <w:tcW w:w="0" w:type="auto"/>
            <w:vAlign w:val="center"/>
          </w:tcPr>
          <w:p w:rsidR="00024C0A" w:rsidRDefault="00694C0F">
            <w:pPr>
              <w:pStyle w:val="TableBodyText"/>
            </w:pPr>
            <w:r>
              <w:t xml:space="preserve">French - Cameroon </w:t>
            </w:r>
          </w:p>
        </w:tc>
        <w:tc>
          <w:tcPr>
            <w:tcW w:w="0" w:type="auto"/>
            <w:vAlign w:val="center"/>
          </w:tcPr>
          <w:p w:rsidR="00024C0A" w:rsidRDefault="00694C0F">
            <w:pPr>
              <w:pStyle w:val="TableBodyText"/>
            </w:pPr>
            <w:r>
              <w:t>fr-CM</w:t>
            </w:r>
          </w:p>
        </w:tc>
      </w:tr>
      <w:tr w:rsidR="00024C0A" w:rsidTr="00024C0A">
        <w:tc>
          <w:tcPr>
            <w:tcW w:w="0" w:type="auto"/>
            <w:vAlign w:val="center"/>
          </w:tcPr>
          <w:p w:rsidR="00024C0A" w:rsidRDefault="00694C0F">
            <w:pPr>
              <w:pStyle w:val="TableBodyText"/>
            </w:pPr>
            <w:r>
              <w:t xml:space="preserve">French - France </w:t>
            </w:r>
          </w:p>
        </w:tc>
        <w:tc>
          <w:tcPr>
            <w:tcW w:w="0" w:type="auto"/>
            <w:vAlign w:val="center"/>
          </w:tcPr>
          <w:p w:rsidR="00024C0A" w:rsidRDefault="00694C0F">
            <w:pPr>
              <w:pStyle w:val="TableBodyText"/>
            </w:pPr>
            <w:r>
              <w:t>fr-FR</w:t>
            </w:r>
          </w:p>
        </w:tc>
      </w:tr>
      <w:tr w:rsidR="00024C0A" w:rsidTr="00024C0A">
        <w:tc>
          <w:tcPr>
            <w:tcW w:w="0" w:type="auto"/>
            <w:vAlign w:val="center"/>
          </w:tcPr>
          <w:p w:rsidR="00024C0A" w:rsidRDefault="00694C0F">
            <w:pPr>
              <w:pStyle w:val="TableBodyText"/>
            </w:pPr>
            <w:r>
              <w:t xml:space="preserve">French - Haiti </w:t>
            </w:r>
          </w:p>
        </w:tc>
        <w:tc>
          <w:tcPr>
            <w:tcW w:w="0" w:type="auto"/>
            <w:vAlign w:val="center"/>
          </w:tcPr>
          <w:p w:rsidR="00024C0A" w:rsidRDefault="00694C0F">
            <w:pPr>
              <w:pStyle w:val="TableBodyText"/>
            </w:pPr>
            <w:r>
              <w:t>fr-HT</w:t>
            </w:r>
          </w:p>
        </w:tc>
      </w:tr>
      <w:tr w:rsidR="00024C0A" w:rsidTr="00024C0A">
        <w:tc>
          <w:tcPr>
            <w:tcW w:w="0" w:type="auto"/>
            <w:vAlign w:val="center"/>
          </w:tcPr>
          <w:p w:rsidR="00024C0A" w:rsidRDefault="00694C0F">
            <w:pPr>
              <w:pStyle w:val="TableBodyText"/>
            </w:pPr>
            <w:r>
              <w:t xml:space="preserve">French - Luxembourg </w:t>
            </w:r>
          </w:p>
        </w:tc>
        <w:tc>
          <w:tcPr>
            <w:tcW w:w="0" w:type="auto"/>
            <w:vAlign w:val="center"/>
          </w:tcPr>
          <w:p w:rsidR="00024C0A" w:rsidRDefault="00694C0F">
            <w:pPr>
              <w:pStyle w:val="TableBodyText"/>
            </w:pPr>
            <w:r>
              <w:t>fr-LU</w:t>
            </w:r>
          </w:p>
        </w:tc>
      </w:tr>
      <w:tr w:rsidR="00024C0A" w:rsidTr="00024C0A">
        <w:tc>
          <w:tcPr>
            <w:tcW w:w="0" w:type="auto"/>
            <w:vAlign w:val="center"/>
          </w:tcPr>
          <w:p w:rsidR="00024C0A" w:rsidRDefault="00694C0F">
            <w:pPr>
              <w:pStyle w:val="TableBodyText"/>
            </w:pPr>
            <w:r>
              <w:t xml:space="preserve">French - Morocco </w:t>
            </w:r>
          </w:p>
        </w:tc>
        <w:tc>
          <w:tcPr>
            <w:tcW w:w="0" w:type="auto"/>
            <w:vAlign w:val="center"/>
          </w:tcPr>
          <w:p w:rsidR="00024C0A" w:rsidRDefault="00694C0F">
            <w:pPr>
              <w:pStyle w:val="TableBodyText"/>
            </w:pPr>
            <w:r>
              <w:t>fr-MA</w:t>
            </w:r>
          </w:p>
        </w:tc>
      </w:tr>
      <w:tr w:rsidR="00024C0A" w:rsidTr="00024C0A">
        <w:tc>
          <w:tcPr>
            <w:tcW w:w="0" w:type="auto"/>
            <w:vAlign w:val="center"/>
          </w:tcPr>
          <w:p w:rsidR="00024C0A" w:rsidRDefault="00694C0F">
            <w:pPr>
              <w:pStyle w:val="TableBodyText"/>
            </w:pPr>
            <w:r>
              <w:t xml:space="preserve">French - Monaco </w:t>
            </w:r>
          </w:p>
        </w:tc>
        <w:tc>
          <w:tcPr>
            <w:tcW w:w="0" w:type="auto"/>
            <w:vAlign w:val="center"/>
          </w:tcPr>
          <w:p w:rsidR="00024C0A" w:rsidRDefault="00694C0F">
            <w:pPr>
              <w:pStyle w:val="TableBodyText"/>
            </w:pPr>
            <w:r>
              <w:t>fr-MC</w:t>
            </w:r>
          </w:p>
        </w:tc>
      </w:tr>
      <w:tr w:rsidR="00024C0A" w:rsidTr="00024C0A">
        <w:tc>
          <w:tcPr>
            <w:tcW w:w="0" w:type="auto"/>
            <w:vAlign w:val="center"/>
          </w:tcPr>
          <w:p w:rsidR="00024C0A" w:rsidRDefault="00694C0F">
            <w:pPr>
              <w:pStyle w:val="TableBodyText"/>
            </w:pPr>
            <w:r>
              <w:t xml:space="preserve">French - Mali </w:t>
            </w:r>
          </w:p>
        </w:tc>
        <w:tc>
          <w:tcPr>
            <w:tcW w:w="0" w:type="auto"/>
            <w:vAlign w:val="center"/>
          </w:tcPr>
          <w:p w:rsidR="00024C0A" w:rsidRDefault="00694C0F">
            <w:pPr>
              <w:pStyle w:val="TableBodyText"/>
            </w:pPr>
            <w:r>
              <w:t>fr-ML</w:t>
            </w:r>
          </w:p>
        </w:tc>
      </w:tr>
      <w:tr w:rsidR="00024C0A" w:rsidTr="00024C0A">
        <w:tc>
          <w:tcPr>
            <w:tcW w:w="0" w:type="auto"/>
            <w:vAlign w:val="center"/>
          </w:tcPr>
          <w:p w:rsidR="00024C0A" w:rsidRDefault="00694C0F">
            <w:pPr>
              <w:pStyle w:val="TableBodyText"/>
            </w:pPr>
            <w:r>
              <w:t xml:space="preserve">French - Réunion </w:t>
            </w:r>
          </w:p>
        </w:tc>
        <w:tc>
          <w:tcPr>
            <w:tcW w:w="0" w:type="auto"/>
            <w:vAlign w:val="center"/>
          </w:tcPr>
          <w:p w:rsidR="00024C0A" w:rsidRDefault="00694C0F">
            <w:pPr>
              <w:pStyle w:val="TableBodyText"/>
            </w:pPr>
            <w:r>
              <w:t>fr-RE</w:t>
            </w:r>
          </w:p>
        </w:tc>
      </w:tr>
      <w:tr w:rsidR="00024C0A" w:rsidTr="00024C0A">
        <w:tc>
          <w:tcPr>
            <w:tcW w:w="0" w:type="auto"/>
            <w:vAlign w:val="center"/>
          </w:tcPr>
          <w:p w:rsidR="00024C0A" w:rsidRDefault="00694C0F">
            <w:pPr>
              <w:pStyle w:val="TableBodyText"/>
            </w:pPr>
            <w:r>
              <w:t xml:space="preserve">French - Senegal </w:t>
            </w:r>
          </w:p>
        </w:tc>
        <w:tc>
          <w:tcPr>
            <w:tcW w:w="0" w:type="auto"/>
            <w:vAlign w:val="center"/>
          </w:tcPr>
          <w:p w:rsidR="00024C0A" w:rsidRDefault="00694C0F">
            <w:pPr>
              <w:pStyle w:val="TableBodyText"/>
            </w:pPr>
            <w:r>
              <w:t>fr-SN</w:t>
            </w:r>
          </w:p>
        </w:tc>
      </w:tr>
      <w:tr w:rsidR="00024C0A" w:rsidTr="00024C0A">
        <w:tc>
          <w:tcPr>
            <w:tcW w:w="0" w:type="auto"/>
            <w:vAlign w:val="center"/>
          </w:tcPr>
          <w:p w:rsidR="00024C0A" w:rsidRDefault="00694C0F">
            <w:pPr>
              <w:pStyle w:val="TableBodyText"/>
            </w:pPr>
            <w:r>
              <w:t xml:space="preserve">Fulfulde - Nigeria </w:t>
            </w:r>
          </w:p>
        </w:tc>
        <w:tc>
          <w:tcPr>
            <w:tcW w:w="0" w:type="auto"/>
            <w:vAlign w:val="center"/>
          </w:tcPr>
          <w:p w:rsidR="00024C0A" w:rsidRDefault="00694C0F">
            <w:pPr>
              <w:pStyle w:val="TableBodyText"/>
            </w:pPr>
            <w:r>
              <w:t>fuv-NG</w:t>
            </w:r>
          </w:p>
        </w:tc>
      </w:tr>
      <w:tr w:rsidR="00024C0A" w:rsidTr="00024C0A">
        <w:tc>
          <w:tcPr>
            <w:tcW w:w="0" w:type="auto"/>
            <w:vAlign w:val="center"/>
          </w:tcPr>
          <w:p w:rsidR="00024C0A" w:rsidRDefault="00694C0F">
            <w:pPr>
              <w:pStyle w:val="TableBodyText"/>
            </w:pPr>
            <w:r>
              <w:t xml:space="preserve">Frisian - Netherlands </w:t>
            </w:r>
          </w:p>
        </w:tc>
        <w:tc>
          <w:tcPr>
            <w:tcW w:w="0" w:type="auto"/>
            <w:vAlign w:val="center"/>
          </w:tcPr>
          <w:p w:rsidR="00024C0A" w:rsidRDefault="00694C0F">
            <w:pPr>
              <w:pStyle w:val="TableBodyText"/>
            </w:pPr>
            <w:r>
              <w:t>fy-NL</w:t>
            </w:r>
          </w:p>
        </w:tc>
      </w:tr>
      <w:tr w:rsidR="00024C0A" w:rsidTr="00024C0A">
        <w:tc>
          <w:tcPr>
            <w:tcW w:w="0" w:type="auto"/>
            <w:vAlign w:val="center"/>
          </w:tcPr>
          <w:p w:rsidR="00024C0A" w:rsidRDefault="00694C0F">
            <w:pPr>
              <w:pStyle w:val="TableBodyText"/>
            </w:pPr>
            <w:r>
              <w:t xml:space="preserve">Irish (Ireland) </w:t>
            </w:r>
          </w:p>
        </w:tc>
        <w:tc>
          <w:tcPr>
            <w:tcW w:w="0" w:type="auto"/>
            <w:vAlign w:val="center"/>
          </w:tcPr>
          <w:p w:rsidR="00024C0A" w:rsidRDefault="00694C0F">
            <w:pPr>
              <w:pStyle w:val="TableBodyText"/>
            </w:pPr>
            <w:r>
              <w:t>ga-IE</w:t>
            </w:r>
          </w:p>
        </w:tc>
      </w:tr>
      <w:tr w:rsidR="00024C0A" w:rsidTr="00024C0A">
        <w:tc>
          <w:tcPr>
            <w:tcW w:w="0" w:type="auto"/>
            <w:vAlign w:val="center"/>
          </w:tcPr>
          <w:p w:rsidR="00024C0A" w:rsidRDefault="00694C0F">
            <w:pPr>
              <w:pStyle w:val="TableBodyText"/>
            </w:pPr>
            <w:r>
              <w:t xml:space="preserve">Oromo </w:t>
            </w:r>
          </w:p>
        </w:tc>
        <w:tc>
          <w:tcPr>
            <w:tcW w:w="0" w:type="auto"/>
            <w:vAlign w:val="center"/>
          </w:tcPr>
          <w:p w:rsidR="00024C0A" w:rsidRDefault="00694C0F">
            <w:pPr>
              <w:pStyle w:val="TableBodyText"/>
            </w:pPr>
            <w:r>
              <w:t>gaz-ET</w:t>
            </w:r>
          </w:p>
        </w:tc>
      </w:tr>
      <w:tr w:rsidR="00024C0A" w:rsidTr="00024C0A">
        <w:tc>
          <w:tcPr>
            <w:tcW w:w="0" w:type="auto"/>
            <w:vAlign w:val="center"/>
          </w:tcPr>
          <w:p w:rsidR="00024C0A" w:rsidRDefault="00694C0F">
            <w:pPr>
              <w:pStyle w:val="TableBodyText"/>
            </w:pPr>
            <w:r>
              <w:t xml:space="preserve">Scottish Gaelic (United Kingdom) </w:t>
            </w:r>
          </w:p>
        </w:tc>
        <w:tc>
          <w:tcPr>
            <w:tcW w:w="0" w:type="auto"/>
            <w:vAlign w:val="center"/>
          </w:tcPr>
          <w:p w:rsidR="00024C0A" w:rsidRDefault="00694C0F">
            <w:pPr>
              <w:pStyle w:val="TableBodyText"/>
            </w:pPr>
            <w:r>
              <w:t>gd-GB</w:t>
            </w:r>
          </w:p>
        </w:tc>
      </w:tr>
      <w:tr w:rsidR="00024C0A" w:rsidTr="00024C0A">
        <w:tc>
          <w:tcPr>
            <w:tcW w:w="0" w:type="auto"/>
            <w:vAlign w:val="center"/>
          </w:tcPr>
          <w:p w:rsidR="00024C0A" w:rsidRDefault="00694C0F">
            <w:pPr>
              <w:pStyle w:val="TableBodyText"/>
            </w:pPr>
            <w:r>
              <w:t xml:space="preserve">Galician </w:t>
            </w:r>
          </w:p>
        </w:tc>
        <w:tc>
          <w:tcPr>
            <w:tcW w:w="0" w:type="auto"/>
            <w:vAlign w:val="center"/>
          </w:tcPr>
          <w:p w:rsidR="00024C0A" w:rsidRDefault="00694C0F">
            <w:pPr>
              <w:pStyle w:val="TableBodyText"/>
            </w:pPr>
            <w:r>
              <w:t>gl-ES</w:t>
            </w:r>
          </w:p>
        </w:tc>
      </w:tr>
      <w:tr w:rsidR="00024C0A" w:rsidTr="00024C0A">
        <w:tc>
          <w:tcPr>
            <w:tcW w:w="0" w:type="auto"/>
            <w:vAlign w:val="center"/>
          </w:tcPr>
          <w:p w:rsidR="00024C0A" w:rsidRDefault="00694C0F">
            <w:pPr>
              <w:pStyle w:val="TableBodyText"/>
            </w:pPr>
            <w:r>
              <w:t xml:space="preserve">Guarani - Paraguay </w:t>
            </w:r>
          </w:p>
        </w:tc>
        <w:tc>
          <w:tcPr>
            <w:tcW w:w="0" w:type="auto"/>
            <w:vAlign w:val="center"/>
          </w:tcPr>
          <w:p w:rsidR="00024C0A" w:rsidRDefault="00694C0F">
            <w:pPr>
              <w:pStyle w:val="TableBodyText"/>
            </w:pPr>
            <w:r>
              <w:t>gn-PY</w:t>
            </w:r>
          </w:p>
        </w:tc>
      </w:tr>
      <w:tr w:rsidR="00024C0A" w:rsidTr="00024C0A">
        <w:tc>
          <w:tcPr>
            <w:tcW w:w="0" w:type="auto"/>
            <w:vAlign w:val="center"/>
          </w:tcPr>
          <w:p w:rsidR="00024C0A" w:rsidRDefault="00694C0F">
            <w:pPr>
              <w:pStyle w:val="TableBodyText"/>
            </w:pPr>
            <w:r>
              <w:lastRenderedPageBreak/>
              <w:t xml:space="preserve">Gujarati </w:t>
            </w:r>
          </w:p>
        </w:tc>
        <w:tc>
          <w:tcPr>
            <w:tcW w:w="0" w:type="auto"/>
            <w:vAlign w:val="center"/>
          </w:tcPr>
          <w:p w:rsidR="00024C0A" w:rsidRDefault="00694C0F">
            <w:pPr>
              <w:pStyle w:val="TableBodyText"/>
            </w:pPr>
            <w:r>
              <w:t>gu-IN</w:t>
            </w:r>
          </w:p>
        </w:tc>
      </w:tr>
      <w:tr w:rsidR="00024C0A" w:rsidTr="00024C0A">
        <w:tc>
          <w:tcPr>
            <w:tcW w:w="0" w:type="auto"/>
            <w:vAlign w:val="center"/>
          </w:tcPr>
          <w:p w:rsidR="00024C0A" w:rsidRDefault="00694C0F">
            <w:pPr>
              <w:pStyle w:val="TableBodyText"/>
            </w:pPr>
            <w:r>
              <w:t xml:space="preserve">Hausa - Nigeria </w:t>
            </w:r>
          </w:p>
        </w:tc>
        <w:tc>
          <w:tcPr>
            <w:tcW w:w="0" w:type="auto"/>
            <w:vAlign w:val="center"/>
          </w:tcPr>
          <w:p w:rsidR="00024C0A" w:rsidRDefault="00694C0F">
            <w:pPr>
              <w:pStyle w:val="TableBodyText"/>
            </w:pPr>
            <w:r>
              <w:t>ha-Latn-NG</w:t>
            </w:r>
          </w:p>
        </w:tc>
      </w:tr>
      <w:tr w:rsidR="00024C0A" w:rsidTr="00024C0A">
        <w:tc>
          <w:tcPr>
            <w:tcW w:w="0" w:type="auto"/>
            <w:vAlign w:val="center"/>
          </w:tcPr>
          <w:p w:rsidR="00024C0A" w:rsidRDefault="00694C0F">
            <w:pPr>
              <w:pStyle w:val="TableBodyText"/>
            </w:pPr>
            <w:r>
              <w:t xml:space="preserve">Hawaiian - United States </w:t>
            </w:r>
          </w:p>
        </w:tc>
        <w:tc>
          <w:tcPr>
            <w:tcW w:w="0" w:type="auto"/>
            <w:vAlign w:val="center"/>
          </w:tcPr>
          <w:p w:rsidR="00024C0A" w:rsidRDefault="00694C0F">
            <w:pPr>
              <w:pStyle w:val="TableBodyText"/>
            </w:pPr>
            <w:r>
              <w:t>haw-US</w:t>
            </w:r>
          </w:p>
        </w:tc>
      </w:tr>
      <w:tr w:rsidR="00024C0A" w:rsidTr="00024C0A">
        <w:tc>
          <w:tcPr>
            <w:tcW w:w="0" w:type="auto"/>
            <w:vAlign w:val="center"/>
          </w:tcPr>
          <w:p w:rsidR="00024C0A" w:rsidRDefault="00694C0F">
            <w:pPr>
              <w:pStyle w:val="TableBodyText"/>
            </w:pPr>
            <w:r>
              <w:t xml:space="preserve">Hebrew </w:t>
            </w:r>
          </w:p>
        </w:tc>
        <w:tc>
          <w:tcPr>
            <w:tcW w:w="0" w:type="auto"/>
            <w:vAlign w:val="center"/>
          </w:tcPr>
          <w:p w:rsidR="00024C0A" w:rsidRDefault="00694C0F">
            <w:pPr>
              <w:pStyle w:val="TableBodyText"/>
            </w:pPr>
            <w:r>
              <w:t>he-IL</w:t>
            </w:r>
          </w:p>
        </w:tc>
      </w:tr>
      <w:tr w:rsidR="00024C0A" w:rsidTr="00024C0A">
        <w:tc>
          <w:tcPr>
            <w:tcW w:w="0" w:type="auto"/>
            <w:vAlign w:val="center"/>
          </w:tcPr>
          <w:p w:rsidR="00024C0A" w:rsidRDefault="00694C0F">
            <w:pPr>
              <w:pStyle w:val="TableBodyText"/>
            </w:pPr>
            <w:r>
              <w:t xml:space="preserve">Hindi </w:t>
            </w:r>
          </w:p>
        </w:tc>
        <w:tc>
          <w:tcPr>
            <w:tcW w:w="0" w:type="auto"/>
            <w:vAlign w:val="center"/>
          </w:tcPr>
          <w:p w:rsidR="00024C0A" w:rsidRDefault="00694C0F">
            <w:pPr>
              <w:pStyle w:val="TableBodyText"/>
            </w:pPr>
            <w:r>
              <w:t>hi-IN</w:t>
            </w:r>
          </w:p>
        </w:tc>
      </w:tr>
      <w:tr w:rsidR="00024C0A" w:rsidTr="00024C0A">
        <w:tc>
          <w:tcPr>
            <w:tcW w:w="0" w:type="auto"/>
            <w:vAlign w:val="center"/>
          </w:tcPr>
          <w:p w:rsidR="00024C0A" w:rsidRDefault="00694C0F">
            <w:pPr>
              <w:pStyle w:val="TableBodyText"/>
            </w:pPr>
            <w:r>
              <w:t xml:space="preserve">Croatian (Bosnia and Herzegovina) </w:t>
            </w:r>
          </w:p>
        </w:tc>
        <w:tc>
          <w:tcPr>
            <w:tcW w:w="0" w:type="auto"/>
            <w:vAlign w:val="center"/>
          </w:tcPr>
          <w:p w:rsidR="00024C0A" w:rsidRDefault="00694C0F">
            <w:pPr>
              <w:pStyle w:val="TableBodyText"/>
            </w:pPr>
            <w:r>
              <w:t>hr-BA</w:t>
            </w:r>
          </w:p>
        </w:tc>
      </w:tr>
      <w:tr w:rsidR="00024C0A" w:rsidTr="00024C0A">
        <w:tc>
          <w:tcPr>
            <w:tcW w:w="0" w:type="auto"/>
            <w:vAlign w:val="center"/>
          </w:tcPr>
          <w:p w:rsidR="00024C0A" w:rsidRDefault="00694C0F">
            <w:pPr>
              <w:pStyle w:val="TableBodyText"/>
            </w:pPr>
            <w:r>
              <w:t xml:space="preserve">Croatian </w:t>
            </w:r>
          </w:p>
        </w:tc>
        <w:tc>
          <w:tcPr>
            <w:tcW w:w="0" w:type="auto"/>
            <w:vAlign w:val="center"/>
          </w:tcPr>
          <w:p w:rsidR="00024C0A" w:rsidRDefault="00694C0F">
            <w:pPr>
              <w:pStyle w:val="TableBodyText"/>
            </w:pPr>
            <w:r>
              <w:t>hr-HR</w:t>
            </w:r>
          </w:p>
        </w:tc>
      </w:tr>
      <w:tr w:rsidR="00024C0A" w:rsidTr="00024C0A">
        <w:tc>
          <w:tcPr>
            <w:tcW w:w="0" w:type="auto"/>
            <w:vAlign w:val="center"/>
          </w:tcPr>
          <w:p w:rsidR="00024C0A" w:rsidRDefault="00694C0F">
            <w:pPr>
              <w:pStyle w:val="TableBodyText"/>
            </w:pPr>
            <w:r>
              <w:t xml:space="preserve">Hungarian </w:t>
            </w:r>
          </w:p>
        </w:tc>
        <w:tc>
          <w:tcPr>
            <w:tcW w:w="0" w:type="auto"/>
            <w:vAlign w:val="center"/>
          </w:tcPr>
          <w:p w:rsidR="00024C0A" w:rsidRDefault="00694C0F">
            <w:pPr>
              <w:pStyle w:val="TableBodyText"/>
            </w:pPr>
            <w:r>
              <w:t>hu-HU</w:t>
            </w:r>
          </w:p>
        </w:tc>
      </w:tr>
      <w:tr w:rsidR="00024C0A" w:rsidTr="00024C0A">
        <w:tc>
          <w:tcPr>
            <w:tcW w:w="0" w:type="auto"/>
            <w:vAlign w:val="center"/>
          </w:tcPr>
          <w:p w:rsidR="00024C0A" w:rsidRDefault="00694C0F">
            <w:pPr>
              <w:pStyle w:val="TableBodyText"/>
            </w:pPr>
            <w:r>
              <w:t xml:space="preserve">Armenian - Armenia </w:t>
            </w:r>
          </w:p>
        </w:tc>
        <w:tc>
          <w:tcPr>
            <w:tcW w:w="0" w:type="auto"/>
            <w:vAlign w:val="center"/>
          </w:tcPr>
          <w:p w:rsidR="00024C0A" w:rsidRDefault="00694C0F">
            <w:pPr>
              <w:pStyle w:val="TableBodyText"/>
            </w:pPr>
            <w:r>
              <w:t>hy-AM</w:t>
            </w:r>
          </w:p>
        </w:tc>
      </w:tr>
      <w:tr w:rsidR="00024C0A" w:rsidTr="00024C0A">
        <w:tc>
          <w:tcPr>
            <w:tcW w:w="0" w:type="auto"/>
            <w:vAlign w:val="center"/>
          </w:tcPr>
          <w:p w:rsidR="00024C0A" w:rsidRDefault="00694C0F">
            <w:pPr>
              <w:pStyle w:val="TableBodyText"/>
            </w:pPr>
            <w:r>
              <w:t xml:space="preserve">Ibibio - Nigeria </w:t>
            </w:r>
          </w:p>
        </w:tc>
        <w:tc>
          <w:tcPr>
            <w:tcW w:w="0" w:type="auto"/>
            <w:vAlign w:val="center"/>
          </w:tcPr>
          <w:p w:rsidR="00024C0A" w:rsidRDefault="00694C0F">
            <w:pPr>
              <w:pStyle w:val="TableBodyText"/>
            </w:pPr>
            <w:r>
              <w:t>ibb-NG</w:t>
            </w:r>
          </w:p>
        </w:tc>
      </w:tr>
      <w:tr w:rsidR="00024C0A" w:rsidTr="00024C0A">
        <w:tc>
          <w:tcPr>
            <w:tcW w:w="0" w:type="auto"/>
            <w:vAlign w:val="center"/>
          </w:tcPr>
          <w:p w:rsidR="00024C0A" w:rsidRDefault="00694C0F">
            <w:pPr>
              <w:pStyle w:val="TableBodyText"/>
            </w:pPr>
            <w:r>
              <w:t xml:space="preserve">Indonesian </w:t>
            </w:r>
          </w:p>
        </w:tc>
        <w:tc>
          <w:tcPr>
            <w:tcW w:w="0" w:type="auto"/>
            <w:vAlign w:val="center"/>
          </w:tcPr>
          <w:p w:rsidR="00024C0A" w:rsidRDefault="00694C0F">
            <w:pPr>
              <w:pStyle w:val="TableBodyText"/>
            </w:pPr>
            <w:r>
              <w:t>id-ID</w:t>
            </w:r>
          </w:p>
        </w:tc>
      </w:tr>
      <w:tr w:rsidR="00024C0A" w:rsidTr="00024C0A">
        <w:tc>
          <w:tcPr>
            <w:tcW w:w="0" w:type="auto"/>
            <w:vAlign w:val="center"/>
          </w:tcPr>
          <w:p w:rsidR="00024C0A" w:rsidRDefault="00694C0F">
            <w:pPr>
              <w:pStyle w:val="TableBodyText"/>
            </w:pPr>
            <w:r>
              <w:t xml:space="preserve">Igbo - Nigeria </w:t>
            </w:r>
          </w:p>
        </w:tc>
        <w:tc>
          <w:tcPr>
            <w:tcW w:w="0" w:type="auto"/>
            <w:vAlign w:val="center"/>
          </w:tcPr>
          <w:p w:rsidR="00024C0A" w:rsidRDefault="00694C0F">
            <w:pPr>
              <w:pStyle w:val="TableBodyText"/>
            </w:pPr>
            <w:r>
              <w:t>ig-NG</w:t>
            </w:r>
          </w:p>
        </w:tc>
      </w:tr>
      <w:tr w:rsidR="00024C0A" w:rsidTr="00024C0A">
        <w:tc>
          <w:tcPr>
            <w:tcW w:w="0" w:type="auto"/>
            <w:vAlign w:val="center"/>
          </w:tcPr>
          <w:p w:rsidR="00024C0A" w:rsidRDefault="00694C0F">
            <w:pPr>
              <w:pStyle w:val="TableBodyText"/>
            </w:pPr>
            <w:r>
              <w:t xml:space="preserve">Yi </w:t>
            </w:r>
          </w:p>
        </w:tc>
        <w:tc>
          <w:tcPr>
            <w:tcW w:w="0" w:type="auto"/>
            <w:vAlign w:val="center"/>
          </w:tcPr>
          <w:p w:rsidR="00024C0A" w:rsidRDefault="00694C0F">
            <w:pPr>
              <w:pStyle w:val="TableBodyText"/>
            </w:pPr>
            <w:r>
              <w:t>ii-CN</w:t>
            </w:r>
          </w:p>
        </w:tc>
      </w:tr>
      <w:tr w:rsidR="00024C0A" w:rsidTr="00024C0A">
        <w:tc>
          <w:tcPr>
            <w:tcW w:w="0" w:type="auto"/>
            <w:vAlign w:val="center"/>
          </w:tcPr>
          <w:p w:rsidR="00024C0A" w:rsidRDefault="00694C0F">
            <w:pPr>
              <w:pStyle w:val="TableBodyText"/>
            </w:pPr>
            <w:r>
              <w:t xml:space="preserve">Icelandic </w:t>
            </w:r>
          </w:p>
        </w:tc>
        <w:tc>
          <w:tcPr>
            <w:tcW w:w="0" w:type="auto"/>
            <w:vAlign w:val="center"/>
          </w:tcPr>
          <w:p w:rsidR="00024C0A" w:rsidRDefault="00694C0F">
            <w:pPr>
              <w:pStyle w:val="TableBodyText"/>
            </w:pPr>
            <w:r>
              <w:t>is-IS</w:t>
            </w:r>
          </w:p>
        </w:tc>
      </w:tr>
      <w:tr w:rsidR="00024C0A" w:rsidTr="00024C0A">
        <w:tc>
          <w:tcPr>
            <w:tcW w:w="0" w:type="auto"/>
            <w:vAlign w:val="center"/>
          </w:tcPr>
          <w:p w:rsidR="00024C0A" w:rsidRDefault="00694C0F">
            <w:pPr>
              <w:pStyle w:val="TableBodyText"/>
            </w:pPr>
            <w:r>
              <w:t xml:space="preserve">Italian - Switzerland </w:t>
            </w:r>
          </w:p>
        </w:tc>
        <w:tc>
          <w:tcPr>
            <w:tcW w:w="0" w:type="auto"/>
            <w:vAlign w:val="center"/>
          </w:tcPr>
          <w:p w:rsidR="00024C0A" w:rsidRDefault="00694C0F">
            <w:pPr>
              <w:pStyle w:val="TableBodyText"/>
            </w:pPr>
            <w:r>
              <w:t>it-CH</w:t>
            </w:r>
          </w:p>
        </w:tc>
      </w:tr>
      <w:tr w:rsidR="00024C0A" w:rsidTr="00024C0A">
        <w:tc>
          <w:tcPr>
            <w:tcW w:w="0" w:type="auto"/>
            <w:vAlign w:val="center"/>
          </w:tcPr>
          <w:p w:rsidR="00024C0A" w:rsidRDefault="00694C0F">
            <w:pPr>
              <w:pStyle w:val="TableBodyText"/>
            </w:pPr>
            <w:r>
              <w:t xml:space="preserve">Italian - Italy </w:t>
            </w:r>
          </w:p>
        </w:tc>
        <w:tc>
          <w:tcPr>
            <w:tcW w:w="0" w:type="auto"/>
            <w:vAlign w:val="center"/>
          </w:tcPr>
          <w:p w:rsidR="00024C0A" w:rsidRDefault="00694C0F">
            <w:pPr>
              <w:pStyle w:val="TableBodyText"/>
            </w:pPr>
            <w:r>
              <w:t>it-IT</w:t>
            </w:r>
          </w:p>
        </w:tc>
      </w:tr>
      <w:tr w:rsidR="00024C0A" w:rsidTr="00024C0A">
        <w:tc>
          <w:tcPr>
            <w:tcW w:w="0" w:type="auto"/>
            <w:vAlign w:val="center"/>
          </w:tcPr>
          <w:p w:rsidR="00024C0A" w:rsidRDefault="00694C0F">
            <w:pPr>
              <w:pStyle w:val="TableBodyText"/>
            </w:pPr>
            <w:r>
              <w:t xml:space="preserve">Inuktitut </w:t>
            </w:r>
          </w:p>
        </w:tc>
        <w:tc>
          <w:tcPr>
            <w:tcW w:w="0" w:type="auto"/>
            <w:vAlign w:val="center"/>
          </w:tcPr>
          <w:p w:rsidR="00024C0A" w:rsidRDefault="00694C0F">
            <w:pPr>
              <w:pStyle w:val="TableBodyText"/>
            </w:pPr>
            <w:r>
              <w:t>iu-Cans-CA</w:t>
            </w:r>
          </w:p>
        </w:tc>
      </w:tr>
      <w:tr w:rsidR="00024C0A" w:rsidTr="00024C0A">
        <w:tc>
          <w:tcPr>
            <w:tcW w:w="0" w:type="auto"/>
            <w:vAlign w:val="center"/>
          </w:tcPr>
          <w:p w:rsidR="00024C0A" w:rsidRDefault="00694C0F">
            <w:pPr>
              <w:pStyle w:val="TableBodyText"/>
            </w:pPr>
            <w:r>
              <w:t xml:space="preserve">Japanese </w:t>
            </w:r>
          </w:p>
        </w:tc>
        <w:tc>
          <w:tcPr>
            <w:tcW w:w="0" w:type="auto"/>
            <w:vAlign w:val="center"/>
          </w:tcPr>
          <w:p w:rsidR="00024C0A" w:rsidRDefault="00694C0F">
            <w:pPr>
              <w:pStyle w:val="TableBodyText"/>
            </w:pPr>
            <w:r>
              <w:t>ja-JP</w:t>
            </w:r>
          </w:p>
        </w:tc>
      </w:tr>
      <w:tr w:rsidR="00024C0A" w:rsidTr="00024C0A">
        <w:tc>
          <w:tcPr>
            <w:tcW w:w="0" w:type="auto"/>
            <w:vAlign w:val="center"/>
          </w:tcPr>
          <w:p w:rsidR="00024C0A" w:rsidRDefault="00694C0F">
            <w:pPr>
              <w:pStyle w:val="TableBodyText"/>
            </w:pPr>
            <w:r>
              <w:t xml:space="preserve">Georgian </w:t>
            </w:r>
          </w:p>
        </w:tc>
        <w:tc>
          <w:tcPr>
            <w:tcW w:w="0" w:type="auto"/>
            <w:vAlign w:val="center"/>
          </w:tcPr>
          <w:p w:rsidR="00024C0A" w:rsidRDefault="00694C0F">
            <w:pPr>
              <w:pStyle w:val="TableBodyText"/>
            </w:pPr>
            <w:r>
              <w:t>ka-GE</w:t>
            </w:r>
          </w:p>
        </w:tc>
      </w:tr>
      <w:tr w:rsidR="00024C0A" w:rsidTr="00024C0A">
        <w:tc>
          <w:tcPr>
            <w:tcW w:w="0" w:type="auto"/>
            <w:vAlign w:val="center"/>
          </w:tcPr>
          <w:p w:rsidR="00024C0A" w:rsidRDefault="00694C0F">
            <w:pPr>
              <w:pStyle w:val="TableBodyText"/>
            </w:pPr>
            <w:r>
              <w:t xml:space="preserve">Kazakh </w:t>
            </w:r>
          </w:p>
        </w:tc>
        <w:tc>
          <w:tcPr>
            <w:tcW w:w="0" w:type="auto"/>
            <w:vAlign w:val="center"/>
          </w:tcPr>
          <w:p w:rsidR="00024C0A" w:rsidRDefault="00694C0F">
            <w:pPr>
              <w:pStyle w:val="TableBodyText"/>
            </w:pPr>
            <w:r>
              <w:t>kk-KZ</w:t>
            </w:r>
          </w:p>
        </w:tc>
      </w:tr>
      <w:tr w:rsidR="00024C0A" w:rsidTr="00024C0A">
        <w:tc>
          <w:tcPr>
            <w:tcW w:w="0" w:type="auto"/>
            <w:vAlign w:val="center"/>
          </w:tcPr>
          <w:p w:rsidR="00024C0A" w:rsidRDefault="00694C0F">
            <w:pPr>
              <w:pStyle w:val="TableBodyText"/>
            </w:pPr>
            <w:r>
              <w:t xml:space="preserve">Khmer </w:t>
            </w:r>
          </w:p>
        </w:tc>
        <w:tc>
          <w:tcPr>
            <w:tcW w:w="0" w:type="auto"/>
            <w:vAlign w:val="center"/>
          </w:tcPr>
          <w:p w:rsidR="00024C0A" w:rsidRDefault="00694C0F">
            <w:pPr>
              <w:pStyle w:val="TableBodyText"/>
            </w:pPr>
            <w:r>
              <w:t>km-KH</w:t>
            </w:r>
          </w:p>
        </w:tc>
      </w:tr>
      <w:tr w:rsidR="00024C0A" w:rsidTr="00024C0A">
        <w:tc>
          <w:tcPr>
            <w:tcW w:w="0" w:type="auto"/>
            <w:vAlign w:val="center"/>
          </w:tcPr>
          <w:p w:rsidR="00024C0A" w:rsidRDefault="00694C0F">
            <w:pPr>
              <w:pStyle w:val="TableBodyText"/>
            </w:pPr>
            <w:r>
              <w:t xml:space="preserve">Kannada </w:t>
            </w:r>
          </w:p>
        </w:tc>
        <w:tc>
          <w:tcPr>
            <w:tcW w:w="0" w:type="auto"/>
            <w:vAlign w:val="center"/>
          </w:tcPr>
          <w:p w:rsidR="00024C0A" w:rsidRDefault="00694C0F">
            <w:pPr>
              <w:pStyle w:val="TableBodyText"/>
            </w:pPr>
            <w:r>
              <w:t>kn-IN</w:t>
            </w:r>
          </w:p>
        </w:tc>
      </w:tr>
      <w:tr w:rsidR="00024C0A" w:rsidTr="00024C0A">
        <w:tc>
          <w:tcPr>
            <w:tcW w:w="0" w:type="auto"/>
            <w:vAlign w:val="center"/>
          </w:tcPr>
          <w:p w:rsidR="00024C0A" w:rsidRDefault="00694C0F">
            <w:pPr>
              <w:pStyle w:val="TableBodyText"/>
            </w:pPr>
            <w:r>
              <w:t xml:space="preserve">Konkani </w:t>
            </w:r>
          </w:p>
        </w:tc>
        <w:tc>
          <w:tcPr>
            <w:tcW w:w="0" w:type="auto"/>
            <w:vAlign w:val="center"/>
          </w:tcPr>
          <w:p w:rsidR="00024C0A" w:rsidRDefault="00694C0F">
            <w:pPr>
              <w:pStyle w:val="TableBodyText"/>
            </w:pPr>
            <w:r>
              <w:t>kok-IN</w:t>
            </w:r>
          </w:p>
        </w:tc>
      </w:tr>
      <w:tr w:rsidR="00024C0A" w:rsidTr="00024C0A">
        <w:tc>
          <w:tcPr>
            <w:tcW w:w="0" w:type="auto"/>
            <w:vAlign w:val="center"/>
          </w:tcPr>
          <w:p w:rsidR="00024C0A" w:rsidRDefault="00694C0F">
            <w:pPr>
              <w:pStyle w:val="TableBodyText"/>
            </w:pPr>
            <w:r>
              <w:t xml:space="preserve">Korean </w:t>
            </w:r>
          </w:p>
        </w:tc>
        <w:tc>
          <w:tcPr>
            <w:tcW w:w="0" w:type="auto"/>
            <w:vAlign w:val="center"/>
          </w:tcPr>
          <w:p w:rsidR="00024C0A" w:rsidRDefault="00694C0F">
            <w:pPr>
              <w:pStyle w:val="TableBodyText"/>
            </w:pPr>
            <w:r>
              <w:t>ko-KR</w:t>
            </w:r>
          </w:p>
        </w:tc>
      </w:tr>
      <w:tr w:rsidR="00024C0A" w:rsidTr="00024C0A">
        <w:tc>
          <w:tcPr>
            <w:tcW w:w="0" w:type="auto"/>
            <w:vAlign w:val="center"/>
          </w:tcPr>
          <w:p w:rsidR="00024C0A" w:rsidRDefault="00694C0F">
            <w:pPr>
              <w:pStyle w:val="TableBodyText"/>
            </w:pPr>
            <w:r>
              <w:t xml:space="preserve">Kanuri - Nigeria </w:t>
            </w:r>
          </w:p>
        </w:tc>
        <w:tc>
          <w:tcPr>
            <w:tcW w:w="0" w:type="auto"/>
            <w:vAlign w:val="center"/>
          </w:tcPr>
          <w:p w:rsidR="00024C0A" w:rsidRDefault="00694C0F">
            <w:pPr>
              <w:pStyle w:val="TableBodyText"/>
            </w:pPr>
            <w:r>
              <w:t>kr-NG</w:t>
            </w:r>
          </w:p>
        </w:tc>
      </w:tr>
      <w:tr w:rsidR="00024C0A" w:rsidTr="00024C0A">
        <w:tc>
          <w:tcPr>
            <w:tcW w:w="0" w:type="auto"/>
            <w:vAlign w:val="center"/>
          </w:tcPr>
          <w:p w:rsidR="00024C0A" w:rsidRDefault="00694C0F">
            <w:pPr>
              <w:pStyle w:val="TableBodyText"/>
            </w:pPr>
            <w:r>
              <w:t xml:space="preserve">Kashmiri (Arabic) </w:t>
            </w:r>
          </w:p>
        </w:tc>
        <w:tc>
          <w:tcPr>
            <w:tcW w:w="0" w:type="auto"/>
            <w:vAlign w:val="center"/>
          </w:tcPr>
          <w:p w:rsidR="00024C0A" w:rsidRDefault="00694C0F">
            <w:pPr>
              <w:pStyle w:val="TableBodyText"/>
            </w:pPr>
            <w:r>
              <w:t>ks-Arab-IN</w:t>
            </w:r>
          </w:p>
        </w:tc>
      </w:tr>
      <w:tr w:rsidR="00024C0A" w:rsidTr="00024C0A">
        <w:tc>
          <w:tcPr>
            <w:tcW w:w="0" w:type="auto"/>
            <w:vAlign w:val="center"/>
          </w:tcPr>
          <w:p w:rsidR="00024C0A" w:rsidRDefault="00694C0F">
            <w:pPr>
              <w:pStyle w:val="TableBodyText"/>
            </w:pPr>
            <w:r>
              <w:t xml:space="preserve">Kashmiri (Devanagari) </w:t>
            </w:r>
          </w:p>
        </w:tc>
        <w:tc>
          <w:tcPr>
            <w:tcW w:w="0" w:type="auto"/>
            <w:vAlign w:val="center"/>
          </w:tcPr>
          <w:p w:rsidR="00024C0A" w:rsidRDefault="00694C0F">
            <w:pPr>
              <w:pStyle w:val="TableBodyText"/>
            </w:pPr>
            <w:r>
              <w:t>ks-Deva-IN</w:t>
            </w:r>
          </w:p>
        </w:tc>
      </w:tr>
      <w:tr w:rsidR="00024C0A" w:rsidTr="00024C0A">
        <w:tc>
          <w:tcPr>
            <w:tcW w:w="0" w:type="auto"/>
            <w:vAlign w:val="center"/>
          </w:tcPr>
          <w:p w:rsidR="00024C0A" w:rsidRDefault="00694C0F">
            <w:pPr>
              <w:pStyle w:val="TableBodyText"/>
            </w:pPr>
            <w:r>
              <w:t xml:space="preserve">Kyrgyz (Cyrillic) </w:t>
            </w:r>
          </w:p>
        </w:tc>
        <w:tc>
          <w:tcPr>
            <w:tcW w:w="0" w:type="auto"/>
            <w:vAlign w:val="center"/>
          </w:tcPr>
          <w:p w:rsidR="00024C0A" w:rsidRDefault="00694C0F">
            <w:pPr>
              <w:pStyle w:val="TableBodyText"/>
            </w:pPr>
            <w:r>
              <w:t>ky-KG</w:t>
            </w:r>
          </w:p>
        </w:tc>
      </w:tr>
      <w:tr w:rsidR="00024C0A" w:rsidTr="00024C0A">
        <w:tc>
          <w:tcPr>
            <w:tcW w:w="0" w:type="auto"/>
            <w:vAlign w:val="center"/>
          </w:tcPr>
          <w:p w:rsidR="00024C0A" w:rsidRDefault="00694C0F">
            <w:pPr>
              <w:pStyle w:val="TableBodyText"/>
            </w:pPr>
            <w:r>
              <w:t xml:space="preserve">Latin </w:t>
            </w:r>
          </w:p>
        </w:tc>
        <w:tc>
          <w:tcPr>
            <w:tcW w:w="0" w:type="auto"/>
            <w:vAlign w:val="center"/>
          </w:tcPr>
          <w:p w:rsidR="00024C0A" w:rsidRDefault="00694C0F">
            <w:pPr>
              <w:pStyle w:val="TableBodyText"/>
            </w:pPr>
            <w:r>
              <w:t>la</w:t>
            </w:r>
          </w:p>
        </w:tc>
      </w:tr>
      <w:tr w:rsidR="00024C0A" w:rsidTr="00024C0A">
        <w:tc>
          <w:tcPr>
            <w:tcW w:w="0" w:type="auto"/>
            <w:vAlign w:val="center"/>
          </w:tcPr>
          <w:p w:rsidR="00024C0A" w:rsidRDefault="00694C0F">
            <w:pPr>
              <w:pStyle w:val="TableBodyText"/>
            </w:pPr>
            <w:r>
              <w:t>Luxembourgish (Luxembourg)</w:t>
            </w:r>
          </w:p>
        </w:tc>
        <w:tc>
          <w:tcPr>
            <w:tcW w:w="0" w:type="auto"/>
            <w:vAlign w:val="center"/>
          </w:tcPr>
          <w:p w:rsidR="00024C0A" w:rsidRDefault="00694C0F">
            <w:pPr>
              <w:pStyle w:val="TableBodyText"/>
            </w:pPr>
            <w:r>
              <w:t>lb-LU</w:t>
            </w:r>
          </w:p>
        </w:tc>
      </w:tr>
      <w:tr w:rsidR="00024C0A" w:rsidTr="00024C0A">
        <w:tc>
          <w:tcPr>
            <w:tcW w:w="0" w:type="auto"/>
            <w:vAlign w:val="center"/>
          </w:tcPr>
          <w:p w:rsidR="00024C0A" w:rsidRDefault="00694C0F">
            <w:pPr>
              <w:pStyle w:val="TableBodyText"/>
            </w:pPr>
            <w:r>
              <w:t xml:space="preserve">Lao </w:t>
            </w:r>
          </w:p>
        </w:tc>
        <w:tc>
          <w:tcPr>
            <w:tcW w:w="0" w:type="auto"/>
            <w:vAlign w:val="center"/>
          </w:tcPr>
          <w:p w:rsidR="00024C0A" w:rsidRDefault="00694C0F">
            <w:pPr>
              <w:pStyle w:val="TableBodyText"/>
            </w:pPr>
            <w:r>
              <w:t>lo-LA</w:t>
            </w:r>
          </w:p>
        </w:tc>
      </w:tr>
      <w:tr w:rsidR="00024C0A" w:rsidTr="00024C0A">
        <w:tc>
          <w:tcPr>
            <w:tcW w:w="0" w:type="auto"/>
            <w:vAlign w:val="center"/>
          </w:tcPr>
          <w:p w:rsidR="00024C0A" w:rsidRDefault="00694C0F">
            <w:pPr>
              <w:pStyle w:val="TableBodyText"/>
            </w:pPr>
            <w:r>
              <w:t xml:space="preserve">Lithuanian </w:t>
            </w:r>
          </w:p>
        </w:tc>
        <w:tc>
          <w:tcPr>
            <w:tcW w:w="0" w:type="auto"/>
            <w:vAlign w:val="center"/>
          </w:tcPr>
          <w:p w:rsidR="00024C0A" w:rsidRDefault="00694C0F">
            <w:pPr>
              <w:pStyle w:val="TableBodyText"/>
            </w:pPr>
            <w:r>
              <w:t>lt-LT</w:t>
            </w:r>
          </w:p>
        </w:tc>
      </w:tr>
      <w:tr w:rsidR="00024C0A" w:rsidTr="00024C0A">
        <w:tc>
          <w:tcPr>
            <w:tcW w:w="0" w:type="auto"/>
            <w:vAlign w:val="center"/>
          </w:tcPr>
          <w:p w:rsidR="00024C0A" w:rsidRDefault="00694C0F">
            <w:pPr>
              <w:pStyle w:val="TableBodyText"/>
            </w:pPr>
            <w:r>
              <w:lastRenderedPageBreak/>
              <w:t xml:space="preserve">Latvian </w:t>
            </w:r>
          </w:p>
        </w:tc>
        <w:tc>
          <w:tcPr>
            <w:tcW w:w="0" w:type="auto"/>
            <w:vAlign w:val="center"/>
          </w:tcPr>
          <w:p w:rsidR="00024C0A" w:rsidRDefault="00694C0F">
            <w:pPr>
              <w:pStyle w:val="TableBodyText"/>
            </w:pPr>
            <w:r>
              <w:t>lv-LV</w:t>
            </w:r>
          </w:p>
        </w:tc>
      </w:tr>
      <w:tr w:rsidR="00024C0A" w:rsidTr="00024C0A">
        <w:tc>
          <w:tcPr>
            <w:tcW w:w="0" w:type="auto"/>
            <w:vAlign w:val="center"/>
          </w:tcPr>
          <w:p w:rsidR="00024C0A" w:rsidRDefault="00694C0F">
            <w:pPr>
              <w:pStyle w:val="TableBodyText"/>
            </w:pPr>
            <w:r>
              <w:t xml:space="preserve">Maori - New Zealand </w:t>
            </w:r>
          </w:p>
        </w:tc>
        <w:tc>
          <w:tcPr>
            <w:tcW w:w="0" w:type="auto"/>
            <w:vAlign w:val="center"/>
          </w:tcPr>
          <w:p w:rsidR="00024C0A" w:rsidRDefault="00694C0F">
            <w:pPr>
              <w:pStyle w:val="TableBodyText"/>
            </w:pPr>
            <w:r>
              <w:t>mi-NZ</w:t>
            </w:r>
          </w:p>
        </w:tc>
      </w:tr>
      <w:tr w:rsidR="00024C0A" w:rsidTr="00024C0A">
        <w:tc>
          <w:tcPr>
            <w:tcW w:w="0" w:type="auto"/>
            <w:vAlign w:val="center"/>
          </w:tcPr>
          <w:p w:rsidR="00024C0A" w:rsidRDefault="00694C0F">
            <w:pPr>
              <w:pStyle w:val="TableBodyText"/>
            </w:pPr>
            <w:r>
              <w:t xml:space="preserve">FYRO Macedonian </w:t>
            </w:r>
          </w:p>
        </w:tc>
        <w:tc>
          <w:tcPr>
            <w:tcW w:w="0" w:type="auto"/>
            <w:vAlign w:val="center"/>
          </w:tcPr>
          <w:p w:rsidR="00024C0A" w:rsidRDefault="00694C0F">
            <w:pPr>
              <w:pStyle w:val="TableBodyText"/>
            </w:pPr>
            <w:r>
              <w:t>mk-MK</w:t>
            </w:r>
          </w:p>
        </w:tc>
      </w:tr>
      <w:tr w:rsidR="00024C0A" w:rsidTr="00024C0A">
        <w:tc>
          <w:tcPr>
            <w:tcW w:w="0" w:type="auto"/>
            <w:vAlign w:val="center"/>
          </w:tcPr>
          <w:p w:rsidR="00024C0A" w:rsidRDefault="00694C0F">
            <w:pPr>
              <w:pStyle w:val="TableBodyText"/>
            </w:pPr>
            <w:r>
              <w:t xml:space="preserve">Malayalam </w:t>
            </w:r>
          </w:p>
        </w:tc>
        <w:tc>
          <w:tcPr>
            <w:tcW w:w="0" w:type="auto"/>
            <w:vAlign w:val="center"/>
          </w:tcPr>
          <w:p w:rsidR="00024C0A" w:rsidRDefault="00694C0F">
            <w:pPr>
              <w:pStyle w:val="TableBodyText"/>
            </w:pPr>
            <w:r>
              <w:t>ml-IN</w:t>
            </w:r>
          </w:p>
        </w:tc>
      </w:tr>
      <w:tr w:rsidR="00024C0A" w:rsidTr="00024C0A">
        <w:tc>
          <w:tcPr>
            <w:tcW w:w="0" w:type="auto"/>
            <w:vAlign w:val="center"/>
          </w:tcPr>
          <w:p w:rsidR="00024C0A" w:rsidRDefault="00694C0F">
            <w:pPr>
              <w:pStyle w:val="TableBodyText"/>
            </w:pPr>
            <w:r>
              <w:t xml:space="preserve">Manipuri </w:t>
            </w:r>
          </w:p>
        </w:tc>
        <w:tc>
          <w:tcPr>
            <w:tcW w:w="0" w:type="auto"/>
            <w:vAlign w:val="center"/>
          </w:tcPr>
          <w:p w:rsidR="00024C0A" w:rsidRDefault="00694C0F">
            <w:pPr>
              <w:pStyle w:val="TableBodyText"/>
            </w:pPr>
            <w:r>
              <w:t>mni</w:t>
            </w:r>
          </w:p>
        </w:tc>
      </w:tr>
      <w:tr w:rsidR="00024C0A" w:rsidTr="00024C0A">
        <w:tc>
          <w:tcPr>
            <w:tcW w:w="0" w:type="auto"/>
            <w:vAlign w:val="center"/>
          </w:tcPr>
          <w:p w:rsidR="00024C0A" w:rsidRDefault="00694C0F">
            <w:pPr>
              <w:pStyle w:val="TableBodyText"/>
            </w:pPr>
            <w:r>
              <w:t xml:space="preserve">Mongolian (Cyrillic) </w:t>
            </w:r>
          </w:p>
        </w:tc>
        <w:tc>
          <w:tcPr>
            <w:tcW w:w="0" w:type="auto"/>
            <w:vAlign w:val="center"/>
          </w:tcPr>
          <w:p w:rsidR="00024C0A" w:rsidRDefault="00694C0F">
            <w:pPr>
              <w:pStyle w:val="TableBodyText"/>
            </w:pPr>
            <w:r>
              <w:t>mn-MN</w:t>
            </w:r>
          </w:p>
        </w:tc>
      </w:tr>
      <w:tr w:rsidR="00024C0A" w:rsidTr="00024C0A">
        <w:tc>
          <w:tcPr>
            <w:tcW w:w="0" w:type="auto"/>
            <w:vAlign w:val="center"/>
          </w:tcPr>
          <w:p w:rsidR="00024C0A" w:rsidRDefault="00694C0F">
            <w:pPr>
              <w:pStyle w:val="TableBodyText"/>
            </w:pPr>
            <w:r>
              <w:t xml:space="preserve">Mongolian (Mongolian) </w:t>
            </w:r>
          </w:p>
        </w:tc>
        <w:tc>
          <w:tcPr>
            <w:tcW w:w="0" w:type="auto"/>
            <w:vAlign w:val="center"/>
          </w:tcPr>
          <w:p w:rsidR="00024C0A" w:rsidRDefault="00694C0F">
            <w:pPr>
              <w:pStyle w:val="TableBodyText"/>
            </w:pPr>
            <w:r>
              <w:t>mn-Mong-CN</w:t>
            </w:r>
          </w:p>
        </w:tc>
      </w:tr>
      <w:tr w:rsidR="00024C0A" w:rsidTr="00024C0A">
        <w:tc>
          <w:tcPr>
            <w:tcW w:w="0" w:type="auto"/>
            <w:vAlign w:val="center"/>
          </w:tcPr>
          <w:p w:rsidR="00024C0A" w:rsidRDefault="00694C0F">
            <w:pPr>
              <w:pStyle w:val="TableBodyText"/>
            </w:pPr>
            <w:r>
              <w:t xml:space="preserve">Marathi </w:t>
            </w:r>
          </w:p>
        </w:tc>
        <w:tc>
          <w:tcPr>
            <w:tcW w:w="0" w:type="auto"/>
            <w:vAlign w:val="center"/>
          </w:tcPr>
          <w:p w:rsidR="00024C0A" w:rsidRDefault="00694C0F">
            <w:pPr>
              <w:pStyle w:val="TableBodyText"/>
            </w:pPr>
            <w:r>
              <w:t>mr-IN</w:t>
            </w:r>
          </w:p>
        </w:tc>
      </w:tr>
      <w:tr w:rsidR="00024C0A" w:rsidTr="00024C0A">
        <w:tc>
          <w:tcPr>
            <w:tcW w:w="0" w:type="auto"/>
            <w:vAlign w:val="center"/>
          </w:tcPr>
          <w:p w:rsidR="00024C0A" w:rsidRDefault="00694C0F">
            <w:pPr>
              <w:pStyle w:val="TableBodyText"/>
            </w:pPr>
            <w:r>
              <w:t xml:space="preserve">Malay - Brunei Darussalam </w:t>
            </w:r>
          </w:p>
        </w:tc>
        <w:tc>
          <w:tcPr>
            <w:tcW w:w="0" w:type="auto"/>
            <w:vAlign w:val="center"/>
          </w:tcPr>
          <w:p w:rsidR="00024C0A" w:rsidRDefault="00694C0F">
            <w:pPr>
              <w:pStyle w:val="TableBodyText"/>
            </w:pPr>
            <w:r>
              <w:t>ms-BN</w:t>
            </w:r>
          </w:p>
        </w:tc>
      </w:tr>
      <w:tr w:rsidR="00024C0A" w:rsidTr="00024C0A">
        <w:tc>
          <w:tcPr>
            <w:tcW w:w="0" w:type="auto"/>
            <w:vAlign w:val="center"/>
          </w:tcPr>
          <w:p w:rsidR="00024C0A" w:rsidRDefault="00694C0F">
            <w:pPr>
              <w:pStyle w:val="TableBodyText"/>
            </w:pPr>
            <w:r>
              <w:t xml:space="preserve">Malay - Malaysia </w:t>
            </w:r>
          </w:p>
        </w:tc>
        <w:tc>
          <w:tcPr>
            <w:tcW w:w="0" w:type="auto"/>
            <w:vAlign w:val="center"/>
          </w:tcPr>
          <w:p w:rsidR="00024C0A" w:rsidRDefault="00694C0F">
            <w:pPr>
              <w:pStyle w:val="TableBodyText"/>
            </w:pPr>
            <w:r>
              <w:t>ms-MY</w:t>
            </w:r>
          </w:p>
        </w:tc>
      </w:tr>
      <w:tr w:rsidR="00024C0A" w:rsidTr="00024C0A">
        <w:tc>
          <w:tcPr>
            <w:tcW w:w="0" w:type="auto"/>
            <w:vAlign w:val="center"/>
          </w:tcPr>
          <w:p w:rsidR="00024C0A" w:rsidRDefault="00694C0F">
            <w:pPr>
              <w:pStyle w:val="TableBodyText"/>
            </w:pPr>
            <w:r>
              <w:t xml:space="preserve">Maltese </w:t>
            </w:r>
          </w:p>
        </w:tc>
        <w:tc>
          <w:tcPr>
            <w:tcW w:w="0" w:type="auto"/>
            <w:vAlign w:val="center"/>
          </w:tcPr>
          <w:p w:rsidR="00024C0A" w:rsidRDefault="00694C0F">
            <w:pPr>
              <w:pStyle w:val="TableBodyText"/>
            </w:pPr>
            <w:r>
              <w:t>mt-MT</w:t>
            </w:r>
          </w:p>
        </w:tc>
      </w:tr>
      <w:tr w:rsidR="00024C0A" w:rsidTr="00024C0A">
        <w:tc>
          <w:tcPr>
            <w:tcW w:w="0" w:type="auto"/>
            <w:vAlign w:val="center"/>
          </w:tcPr>
          <w:p w:rsidR="00024C0A" w:rsidRDefault="00694C0F">
            <w:pPr>
              <w:pStyle w:val="TableBodyText"/>
            </w:pPr>
            <w:r>
              <w:t xml:space="preserve">Burmese </w:t>
            </w:r>
          </w:p>
        </w:tc>
        <w:tc>
          <w:tcPr>
            <w:tcW w:w="0" w:type="auto"/>
            <w:vAlign w:val="center"/>
          </w:tcPr>
          <w:p w:rsidR="00024C0A" w:rsidRDefault="00694C0F">
            <w:pPr>
              <w:pStyle w:val="TableBodyText"/>
            </w:pPr>
            <w:r>
              <w:t>my-MM</w:t>
            </w:r>
          </w:p>
        </w:tc>
      </w:tr>
      <w:tr w:rsidR="00024C0A" w:rsidTr="00024C0A">
        <w:tc>
          <w:tcPr>
            <w:tcW w:w="0" w:type="auto"/>
            <w:vAlign w:val="center"/>
          </w:tcPr>
          <w:p w:rsidR="00024C0A" w:rsidRDefault="00694C0F">
            <w:pPr>
              <w:pStyle w:val="TableBodyText"/>
            </w:pPr>
            <w:r>
              <w:t xml:space="preserve">Norwegian (Bokmål) </w:t>
            </w:r>
          </w:p>
        </w:tc>
        <w:tc>
          <w:tcPr>
            <w:tcW w:w="0" w:type="auto"/>
            <w:vAlign w:val="center"/>
          </w:tcPr>
          <w:p w:rsidR="00024C0A" w:rsidRDefault="00694C0F">
            <w:pPr>
              <w:pStyle w:val="TableBodyText"/>
            </w:pPr>
            <w:r>
              <w:t>nb-NO</w:t>
            </w:r>
          </w:p>
        </w:tc>
      </w:tr>
      <w:tr w:rsidR="00024C0A" w:rsidTr="00024C0A">
        <w:tc>
          <w:tcPr>
            <w:tcW w:w="0" w:type="auto"/>
            <w:vAlign w:val="center"/>
          </w:tcPr>
          <w:p w:rsidR="00024C0A" w:rsidRDefault="00694C0F">
            <w:pPr>
              <w:pStyle w:val="TableBodyText"/>
            </w:pPr>
            <w:r>
              <w:t xml:space="preserve">Nepali - India </w:t>
            </w:r>
          </w:p>
        </w:tc>
        <w:tc>
          <w:tcPr>
            <w:tcW w:w="0" w:type="auto"/>
            <w:vAlign w:val="center"/>
          </w:tcPr>
          <w:p w:rsidR="00024C0A" w:rsidRDefault="00694C0F">
            <w:pPr>
              <w:pStyle w:val="TableBodyText"/>
            </w:pPr>
            <w:r>
              <w:t>ne-IN</w:t>
            </w:r>
          </w:p>
        </w:tc>
      </w:tr>
      <w:tr w:rsidR="00024C0A" w:rsidTr="00024C0A">
        <w:tc>
          <w:tcPr>
            <w:tcW w:w="0" w:type="auto"/>
            <w:vAlign w:val="center"/>
          </w:tcPr>
          <w:p w:rsidR="00024C0A" w:rsidRDefault="00694C0F">
            <w:pPr>
              <w:pStyle w:val="TableBodyText"/>
            </w:pPr>
            <w:r>
              <w:t xml:space="preserve">Nepali </w:t>
            </w:r>
          </w:p>
        </w:tc>
        <w:tc>
          <w:tcPr>
            <w:tcW w:w="0" w:type="auto"/>
            <w:vAlign w:val="center"/>
          </w:tcPr>
          <w:p w:rsidR="00024C0A" w:rsidRDefault="00694C0F">
            <w:pPr>
              <w:pStyle w:val="TableBodyText"/>
            </w:pPr>
            <w:r>
              <w:t>ne-NP</w:t>
            </w:r>
          </w:p>
        </w:tc>
      </w:tr>
      <w:tr w:rsidR="00024C0A" w:rsidTr="00024C0A">
        <w:tc>
          <w:tcPr>
            <w:tcW w:w="0" w:type="auto"/>
            <w:vAlign w:val="center"/>
          </w:tcPr>
          <w:p w:rsidR="00024C0A" w:rsidRDefault="00694C0F">
            <w:pPr>
              <w:pStyle w:val="TableBodyText"/>
            </w:pPr>
            <w:r>
              <w:t xml:space="preserve">Dutch - Belgium </w:t>
            </w:r>
          </w:p>
        </w:tc>
        <w:tc>
          <w:tcPr>
            <w:tcW w:w="0" w:type="auto"/>
            <w:vAlign w:val="center"/>
          </w:tcPr>
          <w:p w:rsidR="00024C0A" w:rsidRDefault="00694C0F">
            <w:pPr>
              <w:pStyle w:val="TableBodyText"/>
            </w:pPr>
            <w:r>
              <w:t>nl-BE</w:t>
            </w:r>
          </w:p>
        </w:tc>
      </w:tr>
      <w:tr w:rsidR="00024C0A" w:rsidTr="00024C0A">
        <w:tc>
          <w:tcPr>
            <w:tcW w:w="0" w:type="auto"/>
            <w:vAlign w:val="center"/>
          </w:tcPr>
          <w:p w:rsidR="00024C0A" w:rsidRDefault="00694C0F">
            <w:pPr>
              <w:pStyle w:val="TableBodyText"/>
            </w:pPr>
            <w:r>
              <w:t xml:space="preserve">Dutch - Netherlands </w:t>
            </w:r>
          </w:p>
        </w:tc>
        <w:tc>
          <w:tcPr>
            <w:tcW w:w="0" w:type="auto"/>
            <w:vAlign w:val="center"/>
          </w:tcPr>
          <w:p w:rsidR="00024C0A" w:rsidRDefault="00694C0F">
            <w:pPr>
              <w:pStyle w:val="TableBodyText"/>
            </w:pPr>
            <w:r>
              <w:t>nl-NL</w:t>
            </w:r>
          </w:p>
        </w:tc>
      </w:tr>
      <w:tr w:rsidR="00024C0A" w:rsidTr="00024C0A">
        <w:tc>
          <w:tcPr>
            <w:tcW w:w="0" w:type="auto"/>
            <w:vAlign w:val="center"/>
          </w:tcPr>
          <w:p w:rsidR="00024C0A" w:rsidRDefault="00694C0F">
            <w:pPr>
              <w:pStyle w:val="TableBodyText"/>
            </w:pPr>
            <w:r>
              <w:t xml:space="preserve">Norwegian (Nynorsk) </w:t>
            </w:r>
          </w:p>
        </w:tc>
        <w:tc>
          <w:tcPr>
            <w:tcW w:w="0" w:type="auto"/>
            <w:vAlign w:val="center"/>
          </w:tcPr>
          <w:p w:rsidR="00024C0A" w:rsidRDefault="00694C0F">
            <w:pPr>
              <w:pStyle w:val="TableBodyText"/>
            </w:pPr>
            <w:r>
              <w:t>nn-NO</w:t>
            </w:r>
          </w:p>
        </w:tc>
      </w:tr>
      <w:tr w:rsidR="00024C0A" w:rsidTr="00024C0A">
        <w:tc>
          <w:tcPr>
            <w:tcW w:w="0" w:type="auto"/>
            <w:vAlign w:val="center"/>
          </w:tcPr>
          <w:p w:rsidR="00024C0A" w:rsidRDefault="00694C0F">
            <w:pPr>
              <w:pStyle w:val="TableBodyText"/>
            </w:pPr>
            <w:r>
              <w:t xml:space="preserve">Sepedi </w:t>
            </w:r>
          </w:p>
        </w:tc>
        <w:tc>
          <w:tcPr>
            <w:tcW w:w="0" w:type="auto"/>
            <w:vAlign w:val="center"/>
          </w:tcPr>
          <w:p w:rsidR="00024C0A" w:rsidRDefault="00694C0F">
            <w:pPr>
              <w:pStyle w:val="TableBodyText"/>
            </w:pPr>
            <w:r>
              <w:t>nso-ZA</w:t>
            </w:r>
          </w:p>
        </w:tc>
      </w:tr>
      <w:tr w:rsidR="00024C0A" w:rsidTr="00024C0A">
        <w:tc>
          <w:tcPr>
            <w:tcW w:w="0" w:type="auto"/>
            <w:vAlign w:val="center"/>
          </w:tcPr>
          <w:p w:rsidR="00024C0A" w:rsidRDefault="00694C0F">
            <w:pPr>
              <w:pStyle w:val="TableBodyText"/>
            </w:pPr>
            <w:r>
              <w:t xml:space="preserve">Odia </w:t>
            </w:r>
          </w:p>
        </w:tc>
        <w:tc>
          <w:tcPr>
            <w:tcW w:w="0" w:type="auto"/>
            <w:vAlign w:val="center"/>
          </w:tcPr>
          <w:p w:rsidR="00024C0A" w:rsidRDefault="00694C0F">
            <w:pPr>
              <w:pStyle w:val="TableBodyText"/>
            </w:pPr>
            <w:r>
              <w:t>or-IN</w:t>
            </w:r>
          </w:p>
        </w:tc>
      </w:tr>
      <w:tr w:rsidR="00024C0A" w:rsidTr="00024C0A">
        <w:tc>
          <w:tcPr>
            <w:tcW w:w="0" w:type="auto"/>
            <w:vAlign w:val="center"/>
          </w:tcPr>
          <w:p w:rsidR="00024C0A" w:rsidRDefault="00694C0F">
            <w:pPr>
              <w:pStyle w:val="TableBodyText"/>
            </w:pPr>
            <w:r>
              <w:t xml:space="preserve">Punjabi </w:t>
            </w:r>
          </w:p>
        </w:tc>
        <w:tc>
          <w:tcPr>
            <w:tcW w:w="0" w:type="auto"/>
            <w:vAlign w:val="center"/>
          </w:tcPr>
          <w:p w:rsidR="00024C0A" w:rsidRDefault="00694C0F">
            <w:pPr>
              <w:pStyle w:val="TableBodyText"/>
            </w:pPr>
            <w:r>
              <w:t>pa-IN</w:t>
            </w:r>
          </w:p>
        </w:tc>
      </w:tr>
      <w:tr w:rsidR="00024C0A" w:rsidTr="00024C0A">
        <w:tc>
          <w:tcPr>
            <w:tcW w:w="0" w:type="auto"/>
            <w:vAlign w:val="center"/>
          </w:tcPr>
          <w:p w:rsidR="00024C0A" w:rsidRDefault="00694C0F">
            <w:pPr>
              <w:pStyle w:val="TableBodyText"/>
            </w:pPr>
            <w:r>
              <w:t xml:space="preserve">Papiamentu </w:t>
            </w:r>
          </w:p>
        </w:tc>
        <w:tc>
          <w:tcPr>
            <w:tcW w:w="0" w:type="auto"/>
            <w:vAlign w:val="center"/>
          </w:tcPr>
          <w:p w:rsidR="00024C0A" w:rsidRDefault="00694C0F">
            <w:pPr>
              <w:pStyle w:val="TableBodyText"/>
            </w:pPr>
            <w:r>
              <w:t>pap-AN</w:t>
            </w:r>
          </w:p>
        </w:tc>
      </w:tr>
      <w:tr w:rsidR="00024C0A" w:rsidTr="00024C0A">
        <w:tc>
          <w:tcPr>
            <w:tcW w:w="0" w:type="auto"/>
            <w:vAlign w:val="center"/>
          </w:tcPr>
          <w:p w:rsidR="00024C0A" w:rsidRDefault="00694C0F">
            <w:pPr>
              <w:pStyle w:val="TableBodyText"/>
            </w:pPr>
            <w:r>
              <w:t xml:space="preserve">Punjabi (Pakistan) </w:t>
            </w:r>
          </w:p>
        </w:tc>
        <w:tc>
          <w:tcPr>
            <w:tcW w:w="0" w:type="auto"/>
            <w:vAlign w:val="center"/>
          </w:tcPr>
          <w:p w:rsidR="00024C0A" w:rsidRDefault="00694C0F">
            <w:pPr>
              <w:pStyle w:val="TableBodyText"/>
            </w:pPr>
            <w:r>
              <w:t>pa-PK</w:t>
            </w:r>
          </w:p>
        </w:tc>
      </w:tr>
      <w:tr w:rsidR="00024C0A" w:rsidTr="00024C0A">
        <w:tc>
          <w:tcPr>
            <w:tcW w:w="0" w:type="auto"/>
            <w:vAlign w:val="center"/>
          </w:tcPr>
          <w:p w:rsidR="00024C0A" w:rsidRDefault="00694C0F">
            <w:pPr>
              <w:pStyle w:val="TableBodyText"/>
            </w:pPr>
            <w:r>
              <w:t xml:space="preserve">Polish </w:t>
            </w:r>
          </w:p>
        </w:tc>
        <w:tc>
          <w:tcPr>
            <w:tcW w:w="0" w:type="auto"/>
            <w:vAlign w:val="center"/>
          </w:tcPr>
          <w:p w:rsidR="00024C0A" w:rsidRDefault="00694C0F">
            <w:pPr>
              <w:pStyle w:val="TableBodyText"/>
            </w:pPr>
            <w:r>
              <w:t>pl-PL</w:t>
            </w:r>
          </w:p>
        </w:tc>
      </w:tr>
      <w:tr w:rsidR="00024C0A" w:rsidTr="00024C0A">
        <w:tc>
          <w:tcPr>
            <w:tcW w:w="0" w:type="auto"/>
            <w:vAlign w:val="center"/>
          </w:tcPr>
          <w:p w:rsidR="00024C0A" w:rsidRDefault="00694C0F">
            <w:pPr>
              <w:pStyle w:val="TableBodyText"/>
            </w:pPr>
            <w:r>
              <w:t xml:space="preserve">Pashto </w:t>
            </w:r>
          </w:p>
        </w:tc>
        <w:tc>
          <w:tcPr>
            <w:tcW w:w="0" w:type="auto"/>
            <w:vAlign w:val="center"/>
          </w:tcPr>
          <w:p w:rsidR="00024C0A" w:rsidRDefault="00694C0F">
            <w:pPr>
              <w:pStyle w:val="TableBodyText"/>
            </w:pPr>
            <w:r>
              <w:t>ps-AF</w:t>
            </w:r>
          </w:p>
        </w:tc>
      </w:tr>
      <w:tr w:rsidR="00024C0A" w:rsidTr="00024C0A">
        <w:tc>
          <w:tcPr>
            <w:tcW w:w="0" w:type="auto"/>
            <w:vAlign w:val="center"/>
          </w:tcPr>
          <w:p w:rsidR="00024C0A" w:rsidRDefault="00694C0F">
            <w:pPr>
              <w:pStyle w:val="TableBodyText"/>
            </w:pPr>
            <w:r>
              <w:t xml:space="preserve">Portuguese - Brazil </w:t>
            </w:r>
          </w:p>
        </w:tc>
        <w:tc>
          <w:tcPr>
            <w:tcW w:w="0" w:type="auto"/>
            <w:vAlign w:val="center"/>
          </w:tcPr>
          <w:p w:rsidR="00024C0A" w:rsidRDefault="00694C0F">
            <w:pPr>
              <w:pStyle w:val="TableBodyText"/>
            </w:pPr>
            <w:r>
              <w:t>pt-BR</w:t>
            </w:r>
          </w:p>
        </w:tc>
      </w:tr>
      <w:tr w:rsidR="00024C0A" w:rsidTr="00024C0A">
        <w:tc>
          <w:tcPr>
            <w:tcW w:w="0" w:type="auto"/>
            <w:vAlign w:val="center"/>
          </w:tcPr>
          <w:p w:rsidR="00024C0A" w:rsidRDefault="00694C0F">
            <w:pPr>
              <w:pStyle w:val="TableBodyText"/>
            </w:pPr>
            <w:r>
              <w:t xml:space="preserve">Portuguese - Portugal </w:t>
            </w:r>
          </w:p>
        </w:tc>
        <w:tc>
          <w:tcPr>
            <w:tcW w:w="0" w:type="auto"/>
            <w:vAlign w:val="center"/>
          </w:tcPr>
          <w:p w:rsidR="00024C0A" w:rsidRDefault="00694C0F">
            <w:pPr>
              <w:pStyle w:val="TableBodyText"/>
            </w:pPr>
            <w:r>
              <w:t>pt-PT</w:t>
            </w:r>
          </w:p>
        </w:tc>
      </w:tr>
      <w:tr w:rsidR="00024C0A" w:rsidTr="00024C0A">
        <w:tc>
          <w:tcPr>
            <w:tcW w:w="0" w:type="auto"/>
            <w:vAlign w:val="center"/>
          </w:tcPr>
          <w:p w:rsidR="00024C0A" w:rsidRDefault="00694C0F">
            <w:pPr>
              <w:pStyle w:val="TableBodyText"/>
            </w:pPr>
            <w:r>
              <w:t xml:space="preserve">Quecha - Bolivia </w:t>
            </w:r>
          </w:p>
        </w:tc>
        <w:tc>
          <w:tcPr>
            <w:tcW w:w="0" w:type="auto"/>
            <w:vAlign w:val="center"/>
          </w:tcPr>
          <w:p w:rsidR="00024C0A" w:rsidRDefault="00694C0F">
            <w:pPr>
              <w:pStyle w:val="TableBodyText"/>
            </w:pPr>
            <w:r>
              <w:t>quz-BO</w:t>
            </w:r>
          </w:p>
        </w:tc>
      </w:tr>
      <w:tr w:rsidR="00024C0A" w:rsidTr="00024C0A">
        <w:tc>
          <w:tcPr>
            <w:tcW w:w="0" w:type="auto"/>
            <w:vAlign w:val="center"/>
          </w:tcPr>
          <w:p w:rsidR="00024C0A" w:rsidRDefault="00694C0F">
            <w:pPr>
              <w:pStyle w:val="TableBodyText"/>
            </w:pPr>
            <w:r>
              <w:t xml:space="preserve">Quecha - Ecuador </w:t>
            </w:r>
          </w:p>
        </w:tc>
        <w:tc>
          <w:tcPr>
            <w:tcW w:w="0" w:type="auto"/>
            <w:vAlign w:val="center"/>
          </w:tcPr>
          <w:p w:rsidR="00024C0A" w:rsidRDefault="00694C0F">
            <w:pPr>
              <w:pStyle w:val="TableBodyText"/>
            </w:pPr>
            <w:r>
              <w:t>quz-EC</w:t>
            </w:r>
          </w:p>
        </w:tc>
      </w:tr>
      <w:tr w:rsidR="00024C0A" w:rsidTr="00024C0A">
        <w:tc>
          <w:tcPr>
            <w:tcW w:w="0" w:type="auto"/>
            <w:vAlign w:val="center"/>
          </w:tcPr>
          <w:p w:rsidR="00024C0A" w:rsidRDefault="00694C0F">
            <w:pPr>
              <w:pStyle w:val="TableBodyText"/>
            </w:pPr>
            <w:r>
              <w:t xml:space="preserve">Quecha - Peru </w:t>
            </w:r>
          </w:p>
        </w:tc>
        <w:tc>
          <w:tcPr>
            <w:tcW w:w="0" w:type="auto"/>
            <w:vAlign w:val="center"/>
          </w:tcPr>
          <w:p w:rsidR="00024C0A" w:rsidRDefault="00694C0F">
            <w:pPr>
              <w:pStyle w:val="TableBodyText"/>
            </w:pPr>
            <w:r>
              <w:t>quz-PE</w:t>
            </w:r>
          </w:p>
        </w:tc>
      </w:tr>
      <w:tr w:rsidR="00024C0A" w:rsidTr="00024C0A">
        <w:tc>
          <w:tcPr>
            <w:tcW w:w="0" w:type="auto"/>
            <w:vAlign w:val="center"/>
          </w:tcPr>
          <w:p w:rsidR="00024C0A" w:rsidRDefault="00694C0F">
            <w:pPr>
              <w:pStyle w:val="TableBodyText"/>
            </w:pPr>
            <w:r>
              <w:t xml:space="preserve">Rhaeto-Romanic </w:t>
            </w:r>
          </w:p>
        </w:tc>
        <w:tc>
          <w:tcPr>
            <w:tcW w:w="0" w:type="auto"/>
            <w:vAlign w:val="center"/>
          </w:tcPr>
          <w:p w:rsidR="00024C0A" w:rsidRDefault="00694C0F">
            <w:pPr>
              <w:pStyle w:val="TableBodyText"/>
            </w:pPr>
            <w:r>
              <w:t>rm-CH</w:t>
            </w:r>
          </w:p>
        </w:tc>
      </w:tr>
      <w:tr w:rsidR="00024C0A" w:rsidTr="00024C0A">
        <w:tc>
          <w:tcPr>
            <w:tcW w:w="0" w:type="auto"/>
            <w:vAlign w:val="center"/>
          </w:tcPr>
          <w:p w:rsidR="00024C0A" w:rsidRDefault="00694C0F">
            <w:pPr>
              <w:pStyle w:val="TableBodyText"/>
            </w:pPr>
            <w:r>
              <w:t xml:space="preserve">Romanian - Moldova </w:t>
            </w:r>
          </w:p>
        </w:tc>
        <w:tc>
          <w:tcPr>
            <w:tcW w:w="0" w:type="auto"/>
            <w:vAlign w:val="center"/>
          </w:tcPr>
          <w:p w:rsidR="00024C0A" w:rsidRDefault="00694C0F">
            <w:pPr>
              <w:pStyle w:val="TableBodyText"/>
            </w:pPr>
            <w:r>
              <w:t>ro-MD</w:t>
            </w:r>
          </w:p>
        </w:tc>
      </w:tr>
      <w:tr w:rsidR="00024C0A" w:rsidTr="00024C0A">
        <w:tc>
          <w:tcPr>
            <w:tcW w:w="0" w:type="auto"/>
            <w:vAlign w:val="center"/>
          </w:tcPr>
          <w:p w:rsidR="00024C0A" w:rsidRDefault="00694C0F">
            <w:pPr>
              <w:pStyle w:val="TableBodyText"/>
            </w:pPr>
            <w:r>
              <w:lastRenderedPageBreak/>
              <w:t xml:space="preserve">Romanian </w:t>
            </w:r>
          </w:p>
        </w:tc>
        <w:tc>
          <w:tcPr>
            <w:tcW w:w="0" w:type="auto"/>
            <w:vAlign w:val="center"/>
          </w:tcPr>
          <w:p w:rsidR="00024C0A" w:rsidRDefault="00694C0F">
            <w:pPr>
              <w:pStyle w:val="TableBodyText"/>
            </w:pPr>
            <w:r>
              <w:t>ro-RO</w:t>
            </w:r>
          </w:p>
        </w:tc>
      </w:tr>
      <w:tr w:rsidR="00024C0A" w:rsidTr="00024C0A">
        <w:tc>
          <w:tcPr>
            <w:tcW w:w="0" w:type="auto"/>
            <w:vAlign w:val="center"/>
          </w:tcPr>
          <w:p w:rsidR="00024C0A" w:rsidRDefault="00694C0F">
            <w:pPr>
              <w:pStyle w:val="TableBodyText"/>
            </w:pPr>
            <w:r>
              <w:t xml:space="preserve">Russian - Moldova </w:t>
            </w:r>
          </w:p>
        </w:tc>
        <w:tc>
          <w:tcPr>
            <w:tcW w:w="0" w:type="auto"/>
            <w:vAlign w:val="center"/>
          </w:tcPr>
          <w:p w:rsidR="00024C0A" w:rsidRDefault="00694C0F">
            <w:pPr>
              <w:pStyle w:val="TableBodyText"/>
            </w:pPr>
            <w:r>
              <w:t>ru-MD</w:t>
            </w:r>
          </w:p>
        </w:tc>
      </w:tr>
      <w:tr w:rsidR="00024C0A" w:rsidTr="00024C0A">
        <w:tc>
          <w:tcPr>
            <w:tcW w:w="0" w:type="auto"/>
            <w:vAlign w:val="center"/>
          </w:tcPr>
          <w:p w:rsidR="00024C0A" w:rsidRDefault="00694C0F">
            <w:pPr>
              <w:pStyle w:val="TableBodyText"/>
            </w:pPr>
            <w:r>
              <w:t xml:space="preserve">Russian </w:t>
            </w:r>
          </w:p>
        </w:tc>
        <w:tc>
          <w:tcPr>
            <w:tcW w:w="0" w:type="auto"/>
            <w:vAlign w:val="center"/>
          </w:tcPr>
          <w:p w:rsidR="00024C0A" w:rsidRDefault="00694C0F">
            <w:pPr>
              <w:pStyle w:val="TableBodyText"/>
            </w:pPr>
            <w:r>
              <w:t>ru-RU</w:t>
            </w:r>
          </w:p>
        </w:tc>
      </w:tr>
      <w:tr w:rsidR="00024C0A" w:rsidTr="00024C0A">
        <w:tc>
          <w:tcPr>
            <w:tcW w:w="0" w:type="auto"/>
            <w:vAlign w:val="center"/>
          </w:tcPr>
          <w:p w:rsidR="00024C0A" w:rsidRDefault="00694C0F">
            <w:pPr>
              <w:pStyle w:val="TableBodyText"/>
            </w:pPr>
            <w:r>
              <w:t xml:space="preserve">Sanskrit </w:t>
            </w:r>
          </w:p>
        </w:tc>
        <w:tc>
          <w:tcPr>
            <w:tcW w:w="0" w:type="auto"/>
            <w:vAlign w:val="center"/>
          </w:tcPr>
          <w:p w:rsidR="00024C0A" w:rsidRDefault="00694C0F">
            <w:pPr>
              <w:pStyle w:val="TableBodyText"/>
            </w:pPr>
            <w:r>
              <w:t>sa-IN</w:t>
            </w:r>
          </w:p>
        </w:tc>
      </w:tr>
      <w:tr w:rsidR="00024C0A" w:rsidTr="00024C0A">
        <w:tc>
          <w:tcPr>
            <w:tcW w:w="0" w:type="auto"/>
            <w:vAlign w:val="center"/>
          </w:tcPr>
          <w:p w:rsidR="00024C0A" w:rsidRDefault="00694C0F">
            <w:pPr>
              <w:pStyle w:val="TableBodyText"/>
            </w:pPr>
            <w:r>
              <w:t xml:space="preserve">Sindhi - India </w:t>
            </w:r>
          </w:p>
        </w:tc>
        <w:tc>
          <w:tcPr>
            <w:tcW w:w="0" w:type="auto"/>
            <w:vAlign w:val="center"/>
          </w:tcPr>
          <w:p w:rsidR="00024C0A" w:rsidRDefault="00694C0F">
            <w:pPr>
              <w:pStyle w:val="TableBodyText"/>
            </w:pPr>
            <w:r>
              <w:t>sd-IN</w:t>
            </w:r>
          </w:p>
        </w:tc>
      </w:tr>
      <w:tr w:rsidR="00024C0A" w:rsidTr="00024C0A">
        <w:tc>
          <w:tcPr>
            <w:tcW w:w="0" w:type="auto"/>
            <w:vAlign w:val="center"/>
          </w:tcPr>
          <w:p w:rsidR="00024C0A" w:rsidRDefault="00694C0F">
            <w:pPr>
              <w:pStyle w:val="TableBodyText"/>
            </w:pPr>
            <w:r>
              <w:t xml:space="preserve">Sindhi - Pakistan </w:t>
            </w:r>
          </w:p>
        </w:tc>
        <w:tc>
          <w:tcPr>
            <w:tcW w:w="0" w:type="auto"/>
            <w:vAlign w:val="center"/>
          </w:tcPr>
          <w:p w:rsidR="00024C0A" w:rsidRDefault="00694C0F">
            <w:pPr>
              <w:pStyle w:val="TableBodyText"/>
            </w:pPr>
            <w:r>
              <w:t>sd-PK</w:t>
            </w:r>
          </w:p>
        </w:tc>
      </w:tr>
      <w:tr w:rsidR="00024C0A" w:rsidTr="00024C0A">
        <w:tc>
          <w:tcPr>
            <w:tcW w:w="0" w:type="auto"/>
            <w:vAlign w:val="center"/>
          </w:tcPr>
          <w:p w:rsidR="00024C0A" w:rsidRDefault="00694C0F">
            <w:pPr>
              <w:pStyle w:val="TableBodyText"/>
            </w:pPr>
            <w:r>
              <w:t xml:space="preserve">Sami </w:t>
            </w:r>
          </w:p>
        </w:tc>
        <w:tc>
          <w:tcPr>
            <w:tcW w:w="0" w:type="auto"/>
            <w:vAlign w:val="center"/>
          </w:tcPr>
          <w:p w:rsidR="00024C0A" w:rsidRDefault="00694C0F">
            <w:pPr>
              <w:pStyle w:val="TableBodyText"/>
            </w:pPr>
            <w:r>
              <w:t>se-NO</w:t>
            </w:r>
          </w:p>
        </w:tc>
      </w:tr>
      <w:tr w:rsidR="00024C0A" w:rsidTr="00024C0A">
        <w:tc>
          <w:tcPr>
            <w:tcW w:w="0" w:type="auto"/>
            <w:vAlign w:val="center"/>
          </w:tcPr>
          <w:p w:rsidR="00024C0A" w:rsidRDefault="00694C0F">
            <w:pPr>
              <w:pStyle w:val="TableBodyText"/>
            </w:pPr>
            <w:r>
              <w:t xml:space="preserve">Sinhalese - Sri Lanka </w:t>
            </w:r>
          </w:p>
        </w:tc>
        <w:tc>
          <w:tcPr>
            <w:tcW w:w="0" w:type="auto"/>
            <w:vAlign w:val="center"/>
          </w:tcPr>
          <w:p w:rsidR="00024C0A" w:rsidRDefault="00694C0F">
            <w:pPr>
              <w:pStyle w:val="TableBodyText"/>
            </w:pPr>
            <w:r>
              <w:t>si-LK</w:t>
            </w:r>
          </w:p>
        </w:tc>
      </w:tr>
      <w:tr w:rsidR="00024C0A" w:rsidTr="00024C0A">
        <w:tc>
          <w:tcPr>
            <w:tcW w:w="0" w:type="auto"/>
            <w:vAlign w:val="center"/>
          </w:tcPr>
          <w:p w:rsidR="00024C0A" w:rsidRDefault="00694C0F">
            <w:pPr>
              <w:pStyle w:val="TableBodyText"/>
            </w:pPr>
            <w:r>
              <w:t xml:space="preserve">Slovak </w:t>
            </w:r>
          </w:p>
        </w:tc>
        <w:tc>
          <w:tcPr>
            <w:tcW w:w="0" w:type="auto"/>
            <w:vAlign w:val="center"/>
          </w:tcPr>
          <w:p w:rsidR="00024C0A" w:rsidRDefault="00694C0F">
            <w:pPr>
              <w:pStyle w:val="TableBodyText"/>
            </w:pPr>
            <w:r>
              <w:t>sk-SK</w:t>
            </w:r>
          </w:p>
        </w:tc>
      </w:tr>
      <w:tr w:rsidR="00024C0A" w:rsidTr="00024C0A">
        <w:tc>
          <w:tcPr>
            <w:tcW w:w="0" w:type="auto"/>
            <w:vAlign w:val="center"/>
          </w:tcPr>
          <w:p w:rsidR="00024C0A" w:rsidRDefault="00694C0F">
            <w:pPr>
              <w:pStyle w:val="TableBodyText"/>
            </w:pPr>
            <w:r>
              <w:t xml:space="preserve">Slovenian </w:t>
            </w:r>
          </w:p>
        </w:tc>
        <w:tc>
          <w:tcPr>
            <w:tcW w:w="0" w:type="auto"/>
            <w:vAlign w:val="center"/>
          </w:tcPr>
          <w:p w:rsidR="00024C0A" w:rsidRDefault="00694C0F">
            <w:pPr>
              <w:pStyle w:val="TableBodyText"/>
            </w:pPr>
            <w:r>
              <w:t>sl-SI</w:t>
            </w:r>
          </w:p>
        </w:tc>
      </w:tr>
      <w:tr w:rsidR="00024C0A" w:rsidTr="00024C0A">
        <w:tc>
          <w:tcPr>
            <w:tcW w:w="0" w:type="auto"/>
            <w:vAlign w:val="center"/>
          </w:tcPr>
          <w:p w:rsidR="00024C0A" w:rsidRDefault="00694C0F">
            <w:pPr>
              <w:pStyle w:val="TableBodyText"/>
            </w:pPr>
            <w:r>
              <w:t xml:space="preserve">Somali </w:t>
            </w:r>
          </w:p>
        </w:tc>
        <w:tc>
          <w:tcPr>
            <w:tcW w:w="0" w:type="auto"/>
            <w:vAlign w:val="center"/>
          </w:tcPr>
          <w:p w:rsidR="00024C0A" w:rsidRDefault="00694C0F">
            <w:pPr>
              <w:pStyle w:val="TableBodyText"/>
            </w:pPr>
            <w:r>
              <w:t>so-SO</w:t>
            </w:r>
          </w:p>
        </w:tc>
      </w:tr>
      <w:tr w:rsidR="00024C0A" w:rsidTr="00024C0A">
        <w:tc>
          <w:tcPr>
            <w:tcW w:w="0" w:type="auto"/>
            <w:vAlign w:val="center"/>
          </w:tcPr>
          <w:p w:rsidR="00024C0A" w:rsidRDefault="00694C0F">
            <w:pPr>
              <w:pStyle w:val="TableBodyText"/>
            </w:pPr>
            <w:r>
              <w:t xml:space="preserve">Albanian - Albania </w:t>
            </w:r>
          </w:p>
        </w:tc>
        <w:tc>
          <w:tcPr>
            <w:tcW w:w="0" w:type="auto"/>
            <w:vAlign w:val="center"/>
          </w:tcPr>
          <w:p w:rsidR="00024C0A" w:rsidRDefault="00694C0F">
            <w:pPr>
              <w:pStyle w:val="TableBodyText"/>
            </w:pPr>
            <w:r>
              <w:t>sq-AL</w:t>
            </w:r>
          </w:p>
        </w:tc>
      </w:tr>
      <w:tr w:rsidR="00024C0A" w:rsidTr="00024C0A">
        <w:tc>
          <w:tcPr>
            <w:tcW w:w="0" w:type="auto"/>
            <w:vAlign w:val="center"/>
          </w:tcPr>
          <w:p w:rsidR="00024C0A" w:rsidRDefault="00694C0F">
            <w:pPr>
              <w:pStyle w:val="TableBodyText"/>
            </w:pPr>
            <w:r>
              <w:t xml:space="preserve">Serbian (Cyrillic) </w:t>
            </w:r>
          </w:p>
        </w:tc>
        <w:tc>
          <w:tcPr>
            <w:tcW w:w="0" w:type="auto"/>
            <w:vAlign w:val="center"/>
          </w:tcPr>
          <w:p w:rsidR="00024C0A" w:rsidRDefault="00694C0F">
            <w:pPr>
              <w:pStyle w:val="TableBodyText"/>
            </w:pPr>
            <w:r>
              <w:t>sr-Cyrl-CS+C44</w:t>
            </w:r>
          </w:p>
        </w:tc>
      </w:tr>
      <w:tr w:rsidR="00024C0A" w:rsidTr="00024C0A">
        <w:tc>
          <w:tcPr>
            <w:tcW w:w="0" w:type="auto"/>
            <w:vAlign w:val="center"/>
          </w:tcPr>
          <w:p w:rsidR="00024C0A" w:rsidRDefault="00694C0F">
            <w:pPr>
              <w:pStyle w:val="TableBodyText"/>
            </w:pPr>
            <w:r>
              <w:t xml:space="preserve">Serbian (Latin) </w:t>
            </w:r>
          </w:p>
        </w:tc>
        <w:tc>
          <w:tcPr>
            <w:tcW w:w="0" w:type="auto"/>
            <w:vAlign w:val="center"/>
          </w:tcPr>
          <w:p w:rsidR="00024C0A" w:rsidRDefault="00694C0F">
            <w:pPr>
              <w:pStyle w:val="TableBodyText"/>
            </w:pPr>
            <w:r>
              <w:t>sr-Latn-CS</w:t>
            </w:r>
          </w:p>
        </w:tc>
      </w:tr>
      <w:tr w:rsidR="00024C0A" w:rsidTr="00024C0A">
        <w:tc>
          <w:tcPr>
            <w:tcW w:w="0" w:type="auto"/>
            <w:vAlign w:val="center"/>
          </w:tcPr>
          <w:p w:rsidR="00024C0A" w:rsidRDefault="00694C0F">
            <w:pPr>
              <w:pStyle w:val="TableBodyText"/>
            </w:pPr>
            <w:r>
              <w:t xml:space="preserve">Sutu </w:t>
            </w:r>
          </w:p>
        </w:tc>
        <w:tc>
          <w:tcPr>
            <w:tcW w:w="0" w:type="auto"/>
            <w:vAlign w:val="center"/>
          </w:tcPr>
          <w:p w:rsidR="00024C0A" w:rsidRDefault="00694C0F">
            <w:pPr>
              <w:pStyle w:val="TableBodyText"/>
            </w:pPr>
            <w:r>
              <w:t>st-ZA</w:t>
            </w:r>
          </w:p>
        </w:tc>
      </w:tr>
      <w:tr w:rsidR="00024C0A" w:rsidTr="00024C0A">
        <w:tc>
          <w:tcPr>
            <w:tcW w:w="0" w:type="auto"/>
            <w:vAlign w:val="center"/>
          </w:tcPr>
          <w:p w:rsidR="00024C0A" w:rsidRDefault="00694C0F">
            <w:pPr>
              <w:pStyle w:val="TableBodyText"/>
            </w:pPr>
            <w:r>
              <w:t xml:space="preserve">Swedish - Finland </w:t>
            </w:r>
          </w:p>
        </w:tc>
        <w:tc>
          <w:tcPr>
            <w:tcW w:w="0" w:type="auto"/>
            <w:vAlign w:val="center"/>
          </w:tcPr>
          <w:p w:rsidR="00024C0A" w:rsidRDefault="00694C0F">
            <w:pPr>
              <w:pStyle w:val="TableBodyText"/>
            </w:pPr>
            <w:r>
              <w:t>sv-FI</w:t>
            </w:r>
          </w:p>
        </w:tc>
      </w:tr>
      <w:tr w:rsidR="00024C0A" w:rsidTr="00024C0A">
        <w:tc>
          <w:tcPr>
            <w:tcW w:w="0" w:type="auto"/>
            <w:vAlign w:val="center"/>
          </w:tcPr>
          <w:p w:rsidR="00024C0A" w:rsidRDefault="00694C0F">
            <w:pPr>
              <w:pStyle w:val="TableBodyText"/>
            </w:pPr>
            <w:r>
              <w:t xml:space="preserve">Swedish </w:t>
            </w:r>
          </w:p>
        </w:tc>
        <w:tc>
          <w:tcPr>
            <w:tcW w:w="0" w:type="auto"/>
            <w:vAlign w:val="center"/>
          </w:tcPr>
          <w:p w:rsidR="00024C0A" w:rsidRDefault="00694C0F">
            <w:pPr>
              <w:pStyle w:val="TableBodyText"/>
            </w:pPr>
            <w:r>
              <w:t>sv-SE</w:t>
            </w:r>
          </w:p>
        </w:tc>
      </w:tr>
      <w:tr w:rsidR="00024C0A" w:rsidTr="00024C0A">
        <w:tc>
          <w:tcPr>
            <w:tcW w:w="0" w:type="auto"/>
            <w:vAlign w:val="center"/>
          </w:tcPr>
          <w:p w:rsidR="00024C0A" w:rsidRDefault="00694C0F">
            <w:pPr>
              <w:pStyle w:val="TableBodyText"/>
            </w:pPr>
            <w:r>
              <w:t xml:space="preserve">Swahili </w:t>
            </w:r>
          </w:p>
        </w:tc>
        <w:tc>
          <w:tcPr>
            <w:tcW w:w="0" w:type="auto"/>
            <w:vAlign w:val="center"/>
          </w:tcPr>
          <w:p w:rsidR="00024C0A" w:rsidRDefault="00694C0F">
            <w:pPr>
              <w:pStyle w:val="TableBodyText"/>
            </w:pPr>
            <w:r>
              <w:t>sw-KE</w:t>
            </w:r>
          </w:p>
        </w:tc>
      </w:tr>
      <w:tr w:rsidR="00024C0A" w:rsidTr="00024C0A">
        <w:tc>
          <w:tcPr>
            <w:tcW w:w="0" w:type="auto"/>
            <w:vAlign w:val="center"/>
          </w:tcPr>
          <w:p w:rsidR="00024C0A" w:rsidRDefault="00694C0F">
            <w:pPr>
              <w:pStyle w:val="TableBodyText"/>
            </w:pPr>
            <w:r>
              <w:t xml:space="preserve">Syriac </w:t>
            </w:r>
          </w:p>
        </w:tc>
        <w:tc>
          <w:tcPr>
            <w:tcW w:w="0" w:type="auto"/>
            <w:vAlign w:val="center"/>
          </w:tcPr>
          <w:p w:rsidR="00024C0A" w:rsidRDefault="00694C0F">
            <w:pPr>
              <w:pStyle w:val="TableBodyText"/>
            </w:pPr>
            <w:r>
              <w:t>syr-SY</w:t>
            </w:r>
          </w:p>
        </w:tc>
      </w:tr>
      <w:tr w:rsidR="00024C0A" w:rsidTr="00024C0A">
        <w:tc>
          <w:tcPr>
            <w:tcW w:w="0" w:type="auto"/>
            <w:vAlign w:val="center"/>
          </w:tcPr>
          <w:p w:rsidR="00024C0A" w:rsidRDefault="00694C0F">
            <w:pPr>
              <w:pStyle w:val="TableBodyText"/>
            </w:pPr>
            <w:r>
              <w:t xml:space="preserve">Tamil </w:t>
            </w:r>
          </w:p>
        </w:tc>
        <w:tc>
          <w:tcPr>
            <w:tcW w:w="0" w:type="auto"/>
            <w:vAlign w:val="center"/>
          </w:tcPr>
          <w:p w:rsidR="00024C0A" w:rsidRDefault="00694C0F">
            <w:pPr>
              <w:pStyle w:val="TableBodyText"/>
            </w:pPr>
            <w:r>
              <w:t>ta-IN</w:t>
            </w:r>
          </w:p>
        </w:tc>
      </w:tr>
      <w:tr w:rsidR="00024C0A" w:rsidTr="00024C0A">
        <w:tc>
          <w:tcPr>
            <w:tcW w:w="0" w:type="auto"/>
            <w:vAlign w:val="center"/>
          </w:tcPr>
          <w:p w:rsidR="00024C0A" w:rsidRDefault="00694C0F">
            <w:pPr>
              <w:pStyle w:val="TableBodyText"/>
            </w:pPr>
            <w:r>
              <w:t xml:space="preserve">Telugu </w:t>
            </w:r>
          </w:p>
        </w:tc>
        <w:tc>
          <w:tcPr>
            <w:tcW w:w="0" w:type="auto"/>
            <w:vAlign w:val="center"/>
          </w:tcPr>
          <w:p w:rsidR="00024C0A" w:rsidRDefault="00694C0F">
            <w:pPr>
              <w:pStyle w:val="TableBodyText"/>
            </w:pPr>
            <w:r>
              <w:t>te-IN</w:t>
            </w:r>
          </w:p>
        </w:tc>
      </w:tr>
      <w:tr w:rsidR="00024C0A" w:rsidTr="00024C0A">
        <w:tc>
          <w:tcPr>
            <w:tcW w:w="0" w:type="auto"/>
            <w:vAlign w:val="center"/>
          </w:tcPr>
          <w:p w:rsidR="00024C0A" w:rsidRDefault="00694C0F">
            <w:pPr>
              <w:pStyle w:val="TableBodyText"/>
            </w:pPr>
            <w:r>
              <w:t xml:space="preserve">Tajik </w:t>
            </w:r>
          </w:p>
        </w:tc>
        <w:tc>
          <w:tcPr>
            <w:tcW w:w="0" w:type="auto"/>
            <w:vAlign w:val="center"/>
          </w:tcPr>
          <w:p w:rsidR="00024C0A" w:rsidRDefault="00694C0F">
            <w:pPr>
              <w:pStyle w:val="TableBodyText"/>
            </w:pPr>
            <w:r>
              <w:t>tg-Cyrl-TJ</w:t>
            </w:r>
          </w:p>
        </w:tc>
      </w:tr>
      <w:tr w:rsidR="00024C0A" w:rsidTr="00024C0A">
        <w:tc>
          <w:tcPr>
            <w:tcW w:w="0" w:type="auto"/>
            <w:vAlign w:val="center"/>
          </w:tcPr>
          <w:p w:rsidR="00024C0A" w:rsidRDefault="00694C0F">
            <w:pPr>
              <w:pStyle w:val="TableBodyText"/>
            </w:pPr>
            <w:r>
              <w:t xml:space="preserve">Thai </w:t>
            </w:r>
          </w:p>
        </w:tc>
        <w:tc>
          <w:tcPr>
            <w:tcW w:w="0" w:type="auto"/>
            <w:vAlign w:val="center"/>
          </w:tcPr>
          <w:p w:rsidR="00024C0A" w:rsidRDefault="00694C0F">
            <w:pPr>
              <w:pStyle w:val="TableBodyText"/>
            </w:pPr>
            <w:r>
              <w:t>th-TH</w:t>
            </w:r>
          </w:p>
        </w:tc>
      </w:tr>
      <w:tr w:rsidR="00024C0A" w:rsidTr="00024C0A">
        <w:tc>
          <w:tcPr>
            <w:tcW w:w="0" w:type="auto"/>
            <w:vAlign w:val="center"/>
          </w:tcPr>
          <w:p w:rsidR="00024C0A" w:rsidRDefault="00694C0F">
            <w:pPr>
              <w:pStyle w:val="TableBodyText"/>
            </w:pPr>
            <w:r>
              <w:t xml:space="preserve">Tigrigna - Ethiopia </w:t>
            </w:r>
          </w:p>
        </w:tc>
        <w:tc>
          <w:tcPr>
            <w:tcW w:w="0" w:type="auto"/>
            <w:vAlign w:val="center"/>
          </w:tcPr>
          <w:p w:rsidR="00024C0A" w:rsidRDefault="00694C0F">
            <w:pPr>
              <w:pStyle w:val="TableBodyText"/>
            </w:pPr>
            <w:r>
              <w:t>ti-ER</w:t>
            </w:r>
          </w:p>
        </w:tc>
      </w:tr>
      <w:tr w:rsidR="00024C0A" w:rsidTr="00024C0A">
        <w:tc>
          <w:tcPr>
            <w:tcW w:w="0" w:type="auto"/>
            <w:vAlign w:val="center"/>
          </w:tcPr>
          <w:p w:rsidR="00024C0A" w:rsidRDefault="00694C0F">
            <w:pPr>
              <w:pStyle w:val="TableBodyText"/>
            </w:pPr>
            <w:r>
              <w:t xml:space="preserve">Tigrigna - Eritrea </w:t>
            </w:r>
          </w:p>
        </w:tc>
        <w:tc>
          <w:tcPr>
            <w:tcW w:w="0" w:type="auto"/>
            <w:vAlign w:val="center"/>
          </w:tcPr>
          <w:p w:rsidR="00024C0A" w:rsidRDefault="00694C0F">
            <w:pPr>
              <w:pStyle w:val="TableBodyText"/>
            </w:pPr>
            <w:r>
              <w:t>ti-ET</w:t>
            </w:r>
          </w:p>
        </w:tc>
      </w:tr>
      <w:tr w:rsidR="00024C0A" w:rsidTr="00024C0A">
        <w:tc>
          <w:tcPr>
            <w:tcW w:w="0" w:type="auto"/>
            <w:vAlign w:val="center"/>
          </w:tcPr>
          <w:p w:rsidR="00024C0A" w:rsidRDefault="00694C0F">
            <w:pPr>
              <w:pStyle w:val="TableBodyText"/>
            </w:pPr>
            <w:r>
              <w:t xml:space="preserve">Turkmen </w:t>
            </w:r>
          </w:p>
        </w:tc>
        <w:tc>
          <w:tcPr>
            <w:tcW w:w="0" w:type="auto"/>
            <w:vAlign w:val="center"/>
          </w:tcPr>
          <w:p w:rsidR="00024C0A" w:rsidRDefault="00694C0F">
            <w:pPr>
              <w:pStyle w:val="TableBodyText"/>
            </w:pPr>
            <w:r>
              <w:t>tk-TM</w:t>
            </w:r>
          </w:p>
        </w:tc>
      </w:tr>
      <w:tr w:rsidR="00024C0A" w:rsidTr="00024C0A">
        <w:tc>
          <w:tcPr>
            <w:tcW w:w="0" w:type="auto"/>
            <w:vAlign w:val="center"/>
          </w:tcPr>
          <w:p w:rsidR="00024C0A" w:rsidRDefault="00694C0F">
            <w:pPr>
              <w:pStyle w:val="TableBodyText"/>
            </w:pPr>
            <w:r>
              <w:t xml:space="preserve">Tamazight (Arabic) </w:t>
            </w:r>
          </w:p>
        </w:tc>
        <w:tc>
          <w:tcPr>
            <w:tcW w:w="0" w:type="auto"/>
            <w:vAlign w:val="center"/>
          </w:tcPr>
          <w:p w:rsidR="00024C0A" w:rsidRDefault="00694C0F">
            <w:pPr>
              <w:pStyle w:val="TableBodyText"/>
            </w:pPr>
            <w:r>
              <w:t>tmz</w:t>
            </w:r>
          </w:p>
        </w:tc>
      </w:tr>
      <w:tr w:rsidR="00024C0A" w:rsidTr="00024C0A">
        <w:tc>
          <w:tcPr>
            <w:tcW w:w="0" w:type="auto"/>
            <w:vAlign w:val="center"/>
          </w:tcPr>
          <w:p w:rsidR="00024C0A" w:rsidRDefault="00694C0F">
            <w:pPr>
              <w:pStyle w:val="TableBodyText"/>
            </w:pPr>
            <w:r>
              <w:t xml:space="preserve">Tswana </w:t>
            </w:r>
          </w:p>
        </w:tc>
        <w:tc>
          <w:tcPr>
            <w:tcW w:w="0" w:type="auto"/>
            <w:vAlign w:val="center"/>
          </w:tcPr>
          <w:p w:rsidR="00024C0A" w:rsidRDefault="00694C0F">
            <w:pPr>
              <w:pStyle w:val="TableBodyText"/>
            </w:pPr>
            <w:r>
              <w:t>tn-ZA</w:t>
            </w:r>
          </w:p>
        </w:tc>
      </w:tr>
      <w:tr w:rsidR="00024C0A" w:rsidTr="00024C0A">
        <w:tc>
          <w:tcPr>
            <w:tcW w:w="0" w:type="auto"/>
            <w:vAlign w:val="center"/>
          </w:tcPr>
          <w:p w:rsidR="00024C0A" w:rsidRDefault="00694C0F">
            <w:pPr>
              <w:pStyle w:val="TableBodyText"/>
            </w:pPr>
            <w:r>
              <w:t xml:space="preserve">Turkish </w:t>
            </w:r>
          </w:p>
        </w:tc>
        <w:tc>
          <w:tcPr>
            <w:tcW w:w="0" w:type="auto"/>
            <w:vAlign w:val="center"/>
          </w:tcPr>
          <w:p w:rsidR="00024C0A" w:rsidRDefault="00694C0F">
            <w:pPr>
              <w:pStyle w:val="TableBodyText"/>
            </w:pPr>
            <w:r>
              <w:t>tr-TR</w:t>
            </w:r>
          </w:p>
        </w:tc>
      </w:tr>
      <w:tr w:rsidR="00024C0A" w:rsidTr="00024C0A">
        <w:tc>
          <w:tcPr>
            <w:tcW w:w="0" w:type="auto"/>
            <w:vAlign w:val="center"/>
          </w:tcPr>
          <w:p w:rsidR="00024C0A" w:rsidRDefault="00694C0F">
            <w:pPr>
              <w:pStyle w:val="TableBodyText"/>
            </w:pPr>
            <w:r>
              <w:t xml:space="preserve">Tsonga </w:t>
            </w:r>
          </w:p>
        </w:tc>
        <w:tc>
          <w:tcPr>
            <w:tcW w:w="0" w:type="auto"/>
            <w:vAlign w:val="center"/>
          </w:tcPr>
          <w:p w:rsidR="00024C0A" w:rsidRDefault="00694C0F">
            <w:pPr>
              <w:pStyle w:val="TableBodyText"/>
            </w:pPr>
            <w:r>
              <w:t>ts-ZA</w:t>
            </w:r>
          </w:p>
        </w:tc>
      </w:tr>
      <w:tr w:rsidR="00024C0A" w:rsidTr="00024C0A">
        <w:tc>
          <w:tcPr>
            <w:tcW w:w="0" w:type="auto"/>
            <w:vAlign w:val="center"/>
          </w:tcPr>
          <w:p w:rsidR="00024C0A" w:rsidRDefault="00694C0F">
            <w:pPr>
              <w:pStyle w:val="TableBodyText"/>
            </w:pPr>
            <w:r>
              <w:t xml:space="preserve">Tatar </w:t>
            </w:r>
          </w:p>
        </w:tc>
        <w:tc>
          <w:tcPr>
            <w:tcW w:w="0" w:type="auto"/>
            <w:vAlign w:val="center"/>
          </w:tcPr>
          <w:p w:rsidR="00024C0A" w:rsidRDefault="00694C0F">
            <w:pPr>
              <w:pStyle w:val="TableBodyText"/>
            </w:pPr>
            <w:r>
              <w:t>tt-RU</w:t>
            </w:r>
          </w:p>
        </w:tc>
      </w:tr>
      <w:tr w:rsidR="00024C0A" w:rsidTr="00024C0A">
        <w:tc>
          <w:tcPr>
            <w:tcW w:w="0" w:type="auto"/>
            <w:vAlign w:val="center"/>
          </w:tcPr>
          <w:p w:rsidR="00024C0A" w:rsidRDefault="00694C0F">
            <w:pPr>
              <w:pStyle w:val="TableBodyText"/>
            </w:pPr>
            <w:r>
              <w:t xml:space="preserve">Tamazight (Latin) </w:t>
            </w:r>
          </w:p>
        </w:tc>
        <w:tc>
          <w:tcPr>
            <w:tcW w:w="0" w:type="auto"/>
            <w:vAlign w:val="center"/>
          </w:tcPr>
          <w:p w:rsidR="00024C0A" w:rsidRDefault="00694C0F">
            <w:pPr>
              <w:pStyle w:val="TableBodyText"/>
            </w:pPr>
            <w:r>
              <w:t>tzm-Latn-DZ</w:t>
            </w:r>
          </w:p>
        </w:tc>
      </w:tr>
      <w:tr w:rsidR="00024C0A" w:rsidTr="00024C0A">
        <w:tc>
          <w:tcPr>
            <w:tcW w:w="0" w:type="auto"/>
            <w:vAlign w:val="center"/>
          </w:tcPr>
          <w:p w:rsidR="00024C0A" w:rsidRDefault="00694C0F">
            <w:pPr>
              <w:pStyle w:val="TableBodyText"/>
            </w:pPr>
            <w:r>
              <w:lastRenderedPageBreak/>
              <w:t xml:space="preserve">Uighur - China </w:t>
            </w:r>
          </w:p>
        </w:tc>
        <w:tc>
          <w:tcPr>
            <w:tcW w:w="0" w:type="auto"/>
            <w:vAlign w:val="center"/>
          </w:tcPr>
          <w:p w:rsidR="00024C0A" w:rsidRDefault="00694C0F">
            <w:pPr>
              <w:pStyle w:val="TableBodyText"/>
            </w:pPr>
            <w:r>
              <w:t>ug-Arab-CN</w:t>
            </w:r>
          </w:p>
        </w:tc>
      </w:tr>
      <w:tr w:rsidR="00024C0A" w:rsidTr="00024C0A">
        <w:tc>
          <w:tcPr>
            <w:tcW w:w="0" w:type="auto"/>
            <w:vAlign w:val="center"/>
          </w:tcPr>
          <w:p w:rsidR="00024C0A" w:rsidRDefault="00694C0F">
            <w:pPr>
              <w:pStyle w:val="TableBodyText"/>
            </w:pPr>
            <w:r>
              <w:t xml:space="preserve">Ukrainian </w:t>
            </w:r>
          </w:p>
        </w:tc>
        <w:tc>
          <w:tcPr>
            <w:tcW w:w="0" w:type="auto"/>
            <w:vAlign w:val="center"/>
          </w:tcPr>
          <w:p w:rsidR="00024C0A" w:rsidRDefault="00694C0F">
            <w:pPr>
              <w:pStyle w:val="TableBodyText"/>
            </w:pPr>
            <w:r>
              <w:t>uk-UA</w:t>
            </w:r>
          </w:p>
        </w:tc>
      </w:tr>
      <w:tr w:rsidR="00024C0A" w:rsidTr="00024C0A">
        <w:tc>
          <w:tcPr>
            <w:tcW w:w="0" w:type="auto"/>
            <w:vAlign w:val="center"/>
          </w:tcPr>
          <w:p w:rsidR="00024C0A" w:rsidRDefault="00694C0F">
            <w:pPr>
              <w:pStyle w:val="TableBodyText"/>
            </w:pPr>
            <w:r>
              <w:t xml:space="preserve">Urdu - India </w:t>
            </w:r>
          </w:p>
        </w:tc>
        <w:tc>
          <w:tcPr>
            <w:tcW w:w="0" w:type="auto"/>
            <w:vAlign w:val="center"/>
          </w:tcPr>
          <w:p w:rsidR="00024C0A" w:rsidRDefault="00694C0F">
            <w:pPr>
              <w:pStyle w:val="TableBodyText"/>
            </w:pPr>
            <w:r>
              <w:t>ur-IN</w:t>
            </w:r>
          </w:p>
        </w:tc>
      </w:tr>
      <w:tr w:rsidR="00024C0A" w:rsidTr="00024C0A">
        <w:tc>
          <w:tcPr>
            <w:tcW w:w="0" w:type="auto"/>
            <w:vAlign w:val="center"/>
          </w:tcPr>
          <w:p w:rsidR="00024C0A" w:rsidRDefault="00694C0F">
            <w:pPr>
              <w:pStyle w:val="TableBodyText"/>
            </w:pPr>
            <w:r>
              <w:t xml:space="preserve">Urdu - Pakistan </w:t>
            </w:r>
          </w:p>
        </w:tc>
        <w:tc>
          <w:tcPr>
            <w:tcW w:w="0" w:type="auto"/>
            <w:vAlign w:val="center"/>
          </w:tcPr>
          <w:p w:rsidR="00024C0A" w:rsidRDefault="00694C0F">
            <w:pPr>
              <w:pStyle w:val="TableBodyText"/>
            </w:pPr>
            <w:r>
              <w:t>ur-PK</w:t>
            </w:r>
          </w:p>
        </w:tc>
      </w:tr>
      <w:tr w:rsidR="00024C0A" w:rsidTr="00024C0A">
        <w:tc>
          <w:tcPr>
            <w:tcW w:w="0" w:type="auto"/>
            <w:vAlign w:val="center"/>
          </w:tcPr>
          <w:p w:rsidR="00024C0A" w:rsidRDefault="00694C0F">
            <w:pPr>
              <w:pStyle w:val="TableBodyText"/>
            </w:pPr>
            <w:r>
              <w:t xml:space="preserve">Uzbek (Cyrillic) </w:t>
            </w:r>
          </w:p>
        </w:tc>
        <w:tc>
          <w:tcPr>
            <w:tcW w:w="0" w:type="auto"/>
            <w:vAlign w:val="center"/>
          </w:tcPr>
          <w:p w:rsidR="00024C0A" w:rsidRDefault="00694C0F">
            <w:pPr>
              <w:pStyle w:val="TableBodyText"/>
            </w:pPr>
            <w:r>
              <w:t>uz-Cyrl-UZ</w:t>
            </w:r>
          </w:p>
        </w:tc>
      </w:tr>
      <w:tr w:rsidR="00024C0A" w:rsidTr="00024C0A">
        <w:tc>
          <w:tcPr>
            <w:tcW w:w="0" w:type="auto"/>
            <w:vAlign w:val="center"/>
          </w:tcPr>
          <w:p w:rsidR="00024C0A" w:rsidRDefault="00694C0F">
            <w:pPr>
              <w:pStyle w:val="TableBodyText"/>
            </w:pPr>
            <w:r>
              <w:t xml:space="preserve">Uzbek (Latin) </w:t>
            </w:r>
          </w:p>
        </w:tc>
        <w:tc>
          <w:tcPr>
            <w:tcW w:w="0" w:type="auto"/>
            <w:vAlign w:val="center"/>
          </w:tcPr>
          <w:p w:rsidR="00024C0A" w:rsidRDefault="00694C0F">
            <w:pPr>
              <w:pStyle w:val="TableBodyText"/>
            </w:pPr>
            <w:r>
              <w:t>uz-Latn-UZ</w:t>
            </w:r>
          </w:p>
        </w:tc>
      </w:tr>
      <w:tr w:rsidR="00024C0A" w:rsidTr="00024C0A">
        <w:tc>
          <w:tcPr>
            <w:tcW w:w="0" w:type="auto"/>
            <w:vAlign w:val="center"/>
          </w:tcPr>
          <w:p w:rsidR="00024C0A" w:rsidRDefault="00694C0F">
            <w:pPr>
              <w:pStyle w:val="TableBodyText"/>
            </w:pPr>
            <w:r>
              <w:t xml:space="preserve">Venda </w:t>
            </w:r>
          </w:p>
        </w:tc>
        <w:tc>
          <w:tcPr>
            <w:tcW w:w="0" w:type="auto"/>
            <w:vAlign w:val="center"/>
          </w:tcPr>
          <w:p w:rsidR="00024C0A" w:rsidRDefault="00694C0F">
            <w:pPr>
              <w:pStyle w:val="TableBodyText"/>
            </w:pPr>
            <w:r>
              <w:t>ven-ZA</w:t>
            </w:r>
          </w:p>
        </w:tc>
      </w:tr>
      <w:tr w:rsidR="00024C0A" w:rsidTr="00024C0A">
        <w:tc>
          <w:tcPr>
            <w:tcW w:w="0" w:type="auto"/>
            <w:vAlign w:val="center"/>
          </w:tcPr>
          <w:p w:rsidR="00024C0A" w:rsidRDefault="00694C0F">
            <w:pPr>
              <w:pStyle w:val="TableBodyText"/>
            </w:pPr>
            <w:r>
              <w:t xml:space="preserve">Vietnamese </w:t>
            </w:r>
          </w:p>
        </w:tc>
        <w:tc>
          <w:tcPr>
            <w:tcW w:w="0" w:type="auto"/>
            <w:vAlign w:val="center"/>
          </w:tcPr>
          <w:p w:rsidR="00024C0A" w:rsidRDefault="00694C0F">
            <w:pPr>
              <w:pStyle w:val="TableBodyText"/>
            </w:pPr>
            <w:r>
              <w:t>vi-VN</w:t>
            </w:r>
          </w:p>
        </w:tc>
      </w:tr>
      <w:tr w:rsidR="00024C0A" w:rsidTr="00024C0A">
        <w:tc>
          <w:tcPr>
            <w:tcW w:w="0" w:type="auto"/>
            <w:vAlign w:val="center"/>
          </w:tcPr>
          <w:p w:rsidR="00024C0A" w:rsidRDefault="00694C0F">
            <w:pPr>
              <w:pStyle w:val="TableBodyText"/>
            </w:pPr>
            <w:r>
              <w:t xml:space="preserve">Sorbian </w:t>
            </w:r>
          </w:p>
        </w:tc>
        <w:tc>
          <w:tcPr>
            <w:tcW w:w="0" w:type="auto"/>
            <w:vAlign w:val="center"/>
          </w:tcPr>
          <w:p w:rsidR="00024C0A" w:rsidRDefault="00694C0F">
            <w:pPr>
              <w:pStyle w:val="TableBodyText"/>
            </w:pPr>
            <w:r>
              <w:t>wen-DE</w:t>
            </w:r>
          </w:p>
        </w:tc>
      </w:tr>
      <w:tr w:rsidR="00024C0A" w:rsidTr="00024C0A">
        <w:tc>
          <w:tcPr>
            <w:tcW w:w="0" w:type="auto"/>
            <w:vAlign w:val="center"/>
          </w:tcPr>
          <w:p w:rsidR="00024C0A" w:rsidRDefault="00694C0F">
            <w:pPr>
              <w:pStyle w:val="TableBodyText"/>
            </w:pPr>
            <w:r>
              <w:t xml:space="preserve">Xhosa </w:t>
            </w:r>
          </w:p>
        </w:tc>
        <w:tc>
          <w:tcPr>
            <w:tcW w:w="0" w:type="auto"/>
            <w:vAlign w:val="center"/>
          </w:tcPr>
          <w:p w:rsidR="00024C0A" w:rsidRDefault="00694C0F">
            <w:pPr>
              <w:pStyle w:val="TableBodyText"/>
            </w:pPr>
            <w:r>
              <w:t>xh-ZA</w:t>
            </w:r>
          </w:p>
        </w:tc>
      </w:tr>
      <w:tr w:rsidR="00024C0A" w:rsidTr="00024C0A">
        <w:tc>
          <w:tcPr>
            <w:tcW w:w="0" w:type="auto"/>
            <w:vAlign w:val="center"/>
          </w:tcPr>
          <w:p w:rsidR="00024C0A" w:rsidRDefault="00694C0F">
            <w:pPr>
              <w:pStyle w:val="TableBodyText"/>
            </w:pPr>
            <w:r>
              <w:t xml:space="preserve">Yiddish </w:t>
            </w:r>
          </w:p>
        </w:tc>
        <w:tc>
          <w:tcPr>
            <w:tcW w:w="0" w:type="auto"/>
            <w:vAlign w:val="center"/>
          </w:tcPr>
          <w:p w:rsidR="00024C0A" w:rsidRDefault="00694C0F">
            <w:pPr>
              <w:pStyle w:val="TableBodyText"/>
            </w:pPr>
            <w:r>
              <w:t>yi</w:t>
            </w:r>
          </w:p>
        </w:tc>
      </w:tr>
      <w:tr w:rsidR="00024C0A" w:rsidTr="00024C0A">
        <w:tc>
          <w:tcPr>
            <w:tcW w:w="0" w:type="auto"/>
            <w:vAlign w:val="center"/>
          </w:tcPr>
          <w:p w:rsidR="00024C0A" w:rsidRDefault="00694C0F">
            <w:pPr>
              <w:pStyle w:val="TableBodyText"/>
            </w:pPr>
            <w:r>
              <w:t xml:space="preserve">Yoruba </w:t>
            </w:r>
          </w:p>
        </w:tc>
        <w:tc>
          <w:tcPr>
            <w:tcW w:w="0" w:type="auto"/>
            <w:vAlign w:val="center"/>
          </w:tcPr>
          <w:p w:rsidR="00024C0A" w:rsidRDefault="00694C0F">
            <w:pPr>
              <w:pStyle w:val="TableBodyText"/>
            </w:pPr>
            <w:r>
              <w:t>yo-NG</w:t>
            </w:r>
          </w:p>
        </w:tc>
      </w:tr>
      <w:tr w:rsidR="00024C0A" w:rsidTr="00024C0A">
        <w:tc>
          <w:tcPr>
            <w:tcW w:w="0" w:type="auto"/>
            <w:vAlign w:val="center"/>
          </w:tcPr>
          <w:p w:rsidR="00024C0A" w:rsidRDefault="00694C0F">
            <w:pPr>
              <w:pStyle w:val="TableBodyText"/>
            </w:pPr>
            <w:r>
              <w:t xml:space="preserve">Chinese - People's Republic of China </w:t>
            </w:r>
          </w:p>
        </w:tc>
        <w:tc>
          <w:tcPr>
            <w:tcW w:w="0" w:type="auto"/>
            <w:vAlign w:val="center"/>
          </w:tcPr>
          <w:p w:rsidR="00024C0A" w:rsidRDefault="00694C0F">
            <w:pPr>
              <w:pStyle w:val="TableBodyText"/>
            </w:pPr>
            <w:r>
              <w:t>zh-CN</w:t>
            </w:r>
          </w:p>
        </w:tc>
      </w:tr>
      <w:tr w:rsidR="00024C0A" w:rsidTr="00024C0A">
        <w:tc>
          <w:tcPr>
            <w:tcW w:w="0" w:type="auto"/>
            <w:vAlign w:val="center"/>
          </w:tcPr>
          <w:p w:rsidR="00024C0A" w:rsidRDefault="00694C0F">
            <w:pPr>
              <w:pStyle w:val="TableBodyText"/>
            </w:pPr>
            <w:r>
              <w:t xml:space="preserve">Chinese - Hong Kong SAR </w:t>
            </w:r>
          </w:p>
        </w:tc>
        <w:tc>
          <w:tcPr>
            <w:tcW w:w="0" w:type="auto"/>
            <w:vAlign w:val="center"/>
          </w:tcPr>
          <w:p w:rsidR="00024C0A" w:rsidRDefault="00694C0F">
            <w:pPr>
              <w:pStyle w:val="TableBodyText"/>
            </w:pPr>
            <w:r>
              <w:t>zh-HK</w:t>
            </w:r>
          </w:p>
        </w:tc>
      </w:tr>
      <w:tr w:rsidR="00024C0A" w:rsidTr="00024C0A">
        <w:tc>
          <w:tcPr>
            <w:tcW w:w="0" w:type="auto"/>
            <w:vAlign w:val="center"/>
          </w:tcPr>
          <w:p w:rsidR="00024C0A" w:rsidRDefault="00694C0F">
            <w:pPr>
              <w:pStyle w:val="TableBodyText"/>
            </w:pPr>
            <w:r>
              <w:t xml:space="preserve">Chinese - Macao SAR </w:t>
            </w:r>
          </w:p>
        </w:tc>
        <w:tc>
          <w:tcPr>
            <w:tcW w:w="0" w:type="auto"/>
            <w:vAlign w:val="center"/>
          </w:tcPr>
          <w:p w:rsidR="00024C0A" w:rsidRDefault="00694C0F">
            <w:pPr>
              <w:pStyle w:val="TableBodyText"/>
            </w:pPr>
            <w:r>
              <w:t>zh-MO</w:t>
            </w:r>
          </w:p>
        </w:tc>
      </w:tr>
      <w:tr w:rsidR="00024C0A" w:rsidTr="00024C0A">
        <w:tc>
          <w:tcPr>
            <w:tcW w:w="0" w:type="auto"/>
            <w:vAlign w:val="center"/>
          </w:tcPr>
          <w:p w:rsidR="00024C0A" w:rsidRDefault="00694C0F">
            <w:pPr>
              <w:pStyle w:val="TableBodyText"/>
            </w:pPr>
            <w:r>
              <w:t xml:space="preserve">Chinese - Singapore </w:t>
            </w:r>
          </w:p>
        </w:tc>
        <w:tc>
          <w:tcPr>
            <w:tcW w:w="0" w:type="auto"/>
            <w:vAlign w:val="center"/>
          </w:tcPr>
          <w:p w:rsidR="00024C0A" w:rsidRDefault="00694C0F">
            <w:pPr>
              <w:pStyle w:val="TableBodyText"/>
            </w:pPr>
            <w:r>
              <w:t>zh-SG</w:t>
            </w:r>
          </w:p>
        </w:tc>
      </w:tr>
      <w:tr w:rsidR="00024C0A" w:rsidTr="00024C0A">
        <w:tc>
          <w:tcPr>
            <w:tcW w:w="0" w:type="auto"/>
            <w:vAlign w:val="center"/>
          </w:tcPr>
          <w:p w:rsidR="00024C0A" w:rsidRDefault="00694C0F">
            <w:pPr>
              <w:pStyle w:val="TableBodyText"/>
            </w:pPr>
            <w:r>
              <w:t xml:space="preserve">Chinese - Taiwan </w:t>
            </w:r>
          </w:p>
        </w:tc>
        <w:tc>
          <w:tcPr>
            <w:tcW w:w="0" w:type="auto"/>
            <w:vAlign w:val="center"/>
          </w:tcPr>
          <w:p w:rsidR="00024C0A" w:rsidRDefault="00694C0F">
            <w:pPr>
              <w:pStyle w:val="TableBodyText"/>
            </w:pPr>
            <w:r>
              <w:t>zh-TW</w:t>
            </w:r>
          </w:p>
        </w:tc>
      </w:tr>
      <w:tr w:rsidR="00024C0A" w:rsidTr="00024C0A">
        <w:tc>
          <w:tcPr>
            <w:tcW w:w="0" w:type="auto"/>
            <w:vAlign w:val="center"/>
          </w:tcPr>
          <w:p w:rsidR="00024C0A" w:rsidRDefault="00694C0F">
            <w:pPr>
              <w:pStyle w:val="TableBodyText"/>
            </w:pPr>
            <w:r>
              <w:t xml:space="preserve">Zulu </w:t>
            </w:r>
          </w:p>
        </w:tc>
        <w:tc>
          <w:tcPr>
            <w:tcW w:w="0" w:type="auto"/>
            <w:vAlign w:val="center"/>
          </w:tcPr>
          <w:p w:rsidR="00024C0A" w:rsidRDefault="00694C0F">
            <w:pPr>
              <w:pStyle w:val="TableBodyText"/>
            </w:pPr>
            <w:r>
              <w:t>zu-ZA</w:t>
            </w:r>
          </w:p>
        </w:tc>
      </w:tr>
    </w:tbl>
    <w:p w:rsidR="00024C0A" w:rsidRDefault="00024C0A"/>
    <w:p w:rsidR="00024C0A" w:rsidRDefault="00694C0F">
      <w:pPr>
        <w:pStyle w:val="Heading3"/>
      </w:pPr>
      <w:bookmarkStart w:id="3491" w:name="section_aacf0e0fe33940ed8532ff57a2e6f8a6"/>
      <w:bookmarkStart w:id="3492" w:name="_Toc12261806"/>
      <w:r>
        <w:t>Part 1 Section 22.9.2.7, ST_OnOff (On/Off Value)</w:t>
      </w:r>
      <w:bookmarkEnd w:id="3491"/>
      <w:bookmarkEnd w:id="3492"/>
      <w:r>
        <w:fldChar w:fldCharType="begin"/>
      </w:r>
      <w:r>
        <w:instrText xml:space="preserve"> XE "ST_OnOff (On/Off Value)" </w:instrText>
      </w:r>
      <w:r>
        <w:fldChar w:fldCharType="end"/>
      </w:r>
    </w:p>
    <w:p w:rsidR="00024C0A" w:rsidRDefault="00694C0F">
      <w:pPr>
        <w:pStyle w:val="Definition-Field"/>
      </w:pPr>
      <w:r>
        <w:t xml:space="preserve">a.   </w:t>
      </w:r>
      <w:r>
        <w:rPr>
          <w:i/>
        </w:rPr>
        <w:t>The standard states that the default value for the ST_OnOff simple type is 1 or true.</w:t>
      </w:r>
    </w:p>
    <w:p w:rsidR="00024C0A" w:rsidRDefault="00694C0F">
      <w:pPr>
        <w:pStyle w:val="Definition-Field2"/>
      </w:pPr>
      <w:r>
        <w:t>Word uses the default value specified by the element, if the element specifies a def</w:t>
      </w:r>
      <w:r>
        <w:t>ault value.</w:t>
      </w:r>
    </w:p>
    <w:p w:rsidR="00024C0A" w:rsidRDefault="00694C0F">
      <w:pPr>
        <w:pStyle w:val="Heading3"/>
      </w:pPr>
      <w:bookmarkStart w:id="3493" w:name="section_36a8c9a33650482fb5602ec6ab9fadab"/>
      <w:bookmarkStart w:id="3494" w:name="_Toc12261807"/>
      <w:r>
        <w:t>Part 1 Section 22.9.2.14, ST_TwipsMeasure (Measurement in Twentieths of a Point)</w:t>
      </w:r>
      <w:bookmarkEnd w:id="3493"/>
      <w:bookmarkEnd w:id="3494"/>
      <w:r>
        <w:fldChar w:fldCharType="begin"/>
      </w:r>
      <w:r>
        <w:instrText xml:space="preserve"> XE "ST_TwipsMeasure (Measurement in Twentieths of a Point)" </w:instrText>
      </w:r>
      <w:r>
        <w:fldChar w:fldCharType="end"/>
      </w:r>
    </w:p>
    <w:p w:rsidR="00024C0A" w:rsidRDefault="00694C0F">
      <w:pPr>
        <w:pStyle w:val="Definition-Field"/>
      </w:pPr>
      <w:r>
        <w:t xml:space="preserve">a.   </w:t>
      </w:r>
      <w:r>
        <w:rPr>
          <w:i/>
        </w:rPr>
        <w:t>The standard states that any unsigned 32-bit integer is allowed.</w:t>
      </w:r>
    </w:p>
    <w:p w:rsidR="00024C0A" w:rsidRDefault="00694C0F">
      <w:pPr>
        <w:pStyle w:val="Definition-Field2"/>
      </w:pPr>
      <w:r>
        <w:t xml:space="preserve">Word allows only values up to </w:t>
      </w:r>
      <w:r>
        <w:t>31,680 when this simple type is used in Math elements ("</w:t>
      </w:r>
      <w:hyperlink r:id="rId221">
        <w:r>
          <w:rPr>
            <w:rStyle w:val="Hyperlink"/>
          </w:rPr>
          <w:t>[ISO/IEC-29500-1]</w:t>
        </w:r>
      </w:hyperlink>
      <w:r>
        <w:t xml:space="preserve"> §22").</w:t>
      </w:r>
    </w:p>
    <w:p w:rsidR="00024C0A" w:rsidRDefault="00694C0F">
      <w:pPr>
        <w:pStyle w:val="Heading3"/>
      </w:pPr>
      <w:bookmarkStart w:id="3495" w:name="section_5e4c54421b28482ea1ae61157400fc89"/>
      <w:bookmarkStart w:id="3496" w:name="_Toc12261808"/>
      <w:r>
        <w:t>Part 1 Section 22.9.2.16, ST_UnsignedDecimalNumber (Unsigned Decimal Number Value)</w:t>
      </w:r>
      <w:bookmarkEnd w:id="3495"/>
      <w:bookmarkEnd w:id="3496"/>
      <w:r>
        <w:fldChar w:fldCharType="begin"/>
      </w:r>
      <w:r>
        <w:instrText xml:space="preserve"> XE "ST_UnsignedDecimalNumb</w:instrText>
      </w:r>
      <w:r>
        <w:instrText xml:space="preserve">er (Unsigned Decimal Number Value)" </w:instrText>
      </w:r>
      <w:r>
        <w:fldChar w:fldCharType="end"/>
      </w:r>
    </w:p>
    <w:p w:rsidR="00024C0A" w:rsidRDefault="00694C0F">
      <w:pPr>
        <w:pStyle w:val="Definition-Field"/>
      </w:pPr>
      <w:r>
        <w:t xml:space="preserve">a.   </w:t>
      </w:r>
      <w:r>
        <w:rPr>
          <w:i/>
        </w:rPr>
        <w:t>The standard states that the contents of the ST_UnsignedDecimalNumber simple type are a restriction on the XML Schema unsignedLong datatype.</w:t>
      </w:r>
    </w:p>
    <w:p w:rsidR="00024C0A" w:rsidRDefault="00694C0F">
      <w:pPr>
        <w:pStyle w:val="Definition-Field2"/>
      </w:pPr>
      <w:r>
        <w:lastRenderedPageBreak/>
        <w:t>Word defines the contents of this simple type as being a restriction on</w:t>
      </w:r>
      <w:r>
        <w:t xml:space="preserve"> the XML Schema unsignedInt datatype.</w:t>
      </w:r>
    </w:p>
    <w:p w:rsidR="00024C0A" w:rsidRDefault="00694C0F">
      <w:pPr>
        <w:pStyle w:val="Heading3"/>
      </w:pPr>
      <w:bookmarkStart w:id="3497" w:name="section_d34ae755c53f4a44a363c6dd3ee018a4"/>
      <w:bookmarkStart w:id="3498" w:name="_Toc12261809"/>
      <w:r>
        <w:t>Part 1 Section 22.9.2.19, ST_Xstring (Escaped String)</w:t>
      </w:r>
      <w:bookmarkEnd w:id="3497"/>
      <w:bookmarkEnd w:id="3498"/>
      <w:r>
        <w:fldChar w:fldCharType="begin"/>
      </w:r>
      <w:r>
        <w:instrText xml:space="preserve"> XE "ST_Xstring (Escaped String)" </w:instrText>
      </w:r>
      <w:r>
        <w:fldChar w:fldCharType="end"/>
      </w:r>
    </w:p>
    <w:p w:rsidR="00024C0A" w:rsidRDefault="00694C0F">
      <w:pPr>
        <w:pStyle w:val="Definition-Field"/>
      </w:pPr>
      <w:r>
        <w:t xml:space="preserve">a.   </w:t>
      </w:r>
      <w:r>
        <w:rPr>
          <w:i/>
        </w:rPr>
        <w:t>The standard places no restrictions on the characters that can be escaped in the contents of the ST_Xstring simple type.</w:t>
      </w:r>
    </w:p>
    <w:p w:rsidR="00024C0A" w:rsidRDefault="00694C0F">
      <w:pPr>
        <w:pStyle w:val="Definition-Field2"/>
      </w:pPr>
      <w:r>
        <w:t>Of</w:t>
      </w:r>
      <w:r>
        <w:t>fice does not allow the newline (0x000A) or tab (0x0009) characters to be escaped in this simple type's contents.</w:t>
      </w:r>
    </w:p>
    <w:p w:rsidR="00024C0A" w:rsidRDefault="00694C0F">
      <w:pPr>
        <w:pStyle w:val="Definition-Field"/>
      </w:pPr>
      <w:r>
        <w:t xml:space="preserve">b.   </w:t>
      </w:r>
      <w:r>
        <w:rPr>
          <w:i/>
        </w:rPr>
        <w:t>The standard implies that the only characters that can be Xstring encoded are invalid XML characters.</w:t>
      </w:r>
    </w:p>
    <w:p w:rsidR="00024C0A" w:rsidRDefault="00694C0F">
      <w:r>
        <w:t xml:space="preserve">The following four cases represent </w:t>
      </w:r>
      <w:r>
        <w:t>valid XML characters that should be escaped:</w:t>
      </w:r>
    </w:p>
    <w:p w:rsidR="00024C0A" w:rsidRDefault="00694C0F">
      <w:pPr>
        <w:pStyle w:val="ListParagraph"/>
        <w:numPr>
          <w:ilvl w:val="0"/>
          <w:numId w:val="166"/>
        </w:numPr>
        <w:contextualSpacing/>
      </w:pPr>
      <w:r>
        <w:t>Carriage Return (0x000D): This character shall be escaped.</w:t>
      </w:r>
    </w:p>
    <w:p w:rsidR="00024C0A" w:rsidRDefault="00694C0F">
      <w:pPr>
        <w:pStyle w:val="ListParagraph"/>
        <w:numPr>
          <w:ilvl w:val="0"/>
          <w:numId w:val="166"/>
        </w:numPr>
        <w:contextualSpacing/>
      </w:pPr>
      <w:r>
        <w:t>Line Feed (0x000A): This character shall be escaped only when used in an attribute.</w:t>
      </w:r>
    </w:p>
    <w:p w:rsidR="00024C0A" w:rsidRDefault="00694C0F">
      <w:pPr>
        <w:pStyle w:val="ListParagraph"/>
        <w:numPr>
          <w:ilvl w:val="0"/>
          <w:numId w:val="166"/>
        </w:numPr>
        <w:contextualSpacing/>
      </w:pPr>
      <w:r>
        <w:t>Tab (0x0009): This character shall be escaped only when used in an a</w:t>
      </w:r>
      <w:r>
        <w:t>ttribute.</w:t>
      </w:r>
    </w:p>
    <w:p w:rsidR="00024C0A" w:rsidRDefault="00694C0F">
      <w:pPr>
        <w:pStyle w:val="ListParagraph"/>
        <w:numPr>
          <w:ilvl w:val="0"/>
          <w:numId w:val="166"/>
        </w:numPr>
      </w:pPr>
      <w:r>
        <w:t>Underscore (0x005f): This character shall be escaped only when used to escape the first underscore character in the format _xHHHH_.</w:t>
      </w:r>
    </w:p>
    <w:p w:rsidR="00024C0A" w:rsidRDefault="00694C0F">
      <w:pPr>
        <w:pStyle w:val="Definition-Field"/>
      </w:pPr>
      <w:r>
        <w:t xml:space="preserve">c.   </w:t>
      </w:r>
      <w:r>
        <w:rPr>
          <w:i/>
        </w:rPr>
        <w:t>The standard allows Xstring to encode underscores using _x005f_.</w:t>
      </w:r>
    </w:p>
    <w:p w:rsidR="00024C0A" w:rsidRDefault="00694C0F">
      <w:pPr>
        <w:pStyle w:val="Definition-Field2"/>
      </w:pPr>
      <w:r>
        <w:t>In Excel, Xstrings may only contain the esca</w:t>
      </w:r>
      <w:r>
        <w:t>pe sequence _x005f_ when escaping the lead underscore from a string in the form _xHHHH_.</w:t>
      </w:r>
    </w:p>
    <w:p w:rsidR="00024C0A" w:rsidRDefault="00694C0F">
      <w:pPr>
        <w:pStyle w:val="Heading3"/>
      </w:pPr>
      <w:bookmarkStart w:id="3499" w:name="section_11175c3547a14d24a5f6b100ac0a1742"/>
      <w:bookmarkStart w:id="3500" w:name="_Toc12261810"/>
      <w:r>
        <w:t>Part 1 Section 23.2.1, schema (Custom XML Schema Reference)</w:t>
      </w:r>
      <w:bookmarkEnd w:id="3499"/>
      <w:bookmarkEnd w:id="3500"/>
      <w:r>
        <w:fldChar w:fldCharType="begin"/>
      </w:r>
      <w:r>
        <w:instrText xml:space="preserve"> XE "schema (Custom XML Schema Reference)" </w:instrText>
      </w:r>
      <w:r>
        <w:fldChar w:fldCharType="end"/>
      </w:r>
    </w:p>
    <w:p w:rsidR="00024C0A" w:rsidRDefault="00694C0F">
      <w:pPr>
        <w:pStyle w:val="Definition-Field"/>
      </w:pPr>
      <w:r>
        <w:t xml:space="preserve">a.   </w:t>
      </w:r>
      <w:r>
        <w:rPr>
          <w:i/>
        </w:rPr>
        <w:t xml:space="preserve">The standard places no restrictions on the length of the </w:t>
      </w:r>
      <w:r>
        <w:rPr>
          <w:i/>
        </w:rPr>
        <w:t>uri attribute.</w:t>
      </w:r>
    </w:p>
    <w:p w:rsidR="00024C0A" w:rsidRDefault="00694C0F">
      <w:pPr>
        <w:pStyle w:val="Definition-Field2"/>
      </w:pPr>
      <w:r>
        <w:t>Word restricts the length of this attribute to 255 characters.</w:t>
      </w:r>
    </w:p>
    <w:p w:rsidR="00024C0A" w:rsidRDefault="00694C0F">
      <w:pPr>
        <w:pStyle w:val="Definition-Field"/>
      </w:pPr>
      <w:r>
        <w:t xml:space="preserve">b.   </w:t>
      </w:r>
      <w:r>
        <w:rPr>
          <w:i/>
        </w:rPr>
        <w:t>The standard places no restrictions on the length of the manifestLocation or the schemaLocation attribute.</w:t>
      </w:r>
    </w:p>
    <w:p w:rsidR="00024C0A" w:rsidRDefault="00694C0F">
      <w:pPr>
        <w:pStyle w:val="Definition-Field2"/>
      </w:pPr>
      <w:r>
        <w:t>Word restricts the length of these attributes to 2083 characters.</w:t>
      </w:r>
    </w:p>
    <w:p w:rsidR="00024C0A" w:rsidRDefault="00694C0F">
      <w:pPr>
        <w:pStyle w:val="Definition-Field"/>
      </w:pPr>
      <w:r>
        <w:t xml:space="preserve">c.   </w:t>
      </w:r>
      <w:r>
        <w:rPr>
          <w:i/>
        </w:rPr>
        <w:t>The standard does not state that the schema and schemaLibrary information might not be round-tripped.</w:t>
      </w:r>
    </w:p>
    <w:p w:rsidR="00024C0A" w:rsidRDefault="00694C0F">
      <w:pPr>
        <w:pStyle w:val="Definition-Field2"/>
      </w:pPr>
      <w:r>
        <w:t>Word does not guarantee that the schema or schemaLibrary elements will be round-tripped; validation or security verification might result in this dat</w:t>
      </w:r>
      <w:r>
        <w:t>a being removed.</w:t>
      </w:r>
    </w:p>
    <w:p w:rsidR="00024C0A" w:rsidRDefault="00694C0F">
      <w:pPr>
        <w:pStyle w:val="Definition-Field"/>
      </w:pPr>
      <w:r>
        <w:t xml:space="preserve">d.   </w:t>
      </w:r>
      <w:r>
        <w:rPr>
          <w:i/>
        </w:rPr>
        <w:t>The standard specifies the schemaLanguage attribute as a valid attribute of the schema element.</w:t>
      </w:r>
    </w:p>
    <w:p w:rsidR="00024C0A" w:rsidRDefault="00694C0F">
      <w:pPr>
        <w:pStyle w:val="Definition-Field2"/>
      </w:pPr>
      <w:r>
        <w:t>Word ignores this attribute.</w:t>
      </w:r>
    </w:p>
    <w:p w:rsidR="00024C0A" w:rsidRDefault="00694C0F">
      <w:pPr>
        <w:pStyle w:val="Heading3"/>
      </w:pPr>
      <w:bookmarkStart w:id="3501" w:name="section_50fbe8538b614690ae6ccea5bbec5015"/>
      <w:bookmarkStart w:id="3502" w:name="_Toc12261811"/>
      <w:r>
        <w:t>Part 2 Section 9.1.1.1, Part Name Syntax</w:t>
      </w:r>
      <w:bookmarkEnd w:id="3501"/>
      <w:bookmarkEnd w:id="3502"/>
      <w:r>
        <w:fldChar w:fldCharType="begin"/>
      </w:r>
      <w:r>
        <w:instrText xml:space="preserve"> XE "Part Name Syntax" </w:instrText>
      </w:r>
      <w:r>
        <w:fldChar w:fldCharType="end"/>
      </w:r>
    </w:p>
    <w:p w:rsidR="00024C0A" w:rsidRDefault="00694C0F">
      <w:pPr>
        <w:pStyle w:val="Definition-Field"/>
      </w:pPr>
      <w:r>
        <w:t xml:space="preserve">a.   </w:t>
      </w:r>
      <w:r>
        <w:rPr>
          <w:i/>
        </w:rPr>
        <w:t>The standard describes a mechanism for</w:t>
      </w:r>
      <w:r>
        <w:rPr>
          <w:i/>
        </w:rPr>
        <w:t xml:space="preserve"> including non-ASCII characters in part names.</w:t>
      </w:r>
    </w:p>
    <w:p w:rsidR="00024C0A" w:rsidRDefault="00694C0F">
      <w:pPr>
        <w:pStyle w:val="Definition-Field2"/>
      </w:pPr>
      <w:r>
        <w:t>Office will not load a package containing parts with non-ASCII characters in their names.</w:t>
      </w:r>
    </w:p>
    <w:p w:rsidR="00024C0A" w:rsidRDefault="00694C0F">
      <w:pPr>
        <w:pStyle w:val="Heading3"/>
      </w:pPr>
      <w:bookmarkStart w:id="3503" w:name="section_6a50f8dea9d14092a0d4671c9fa1e079"/>
      <w:bookmarkStart w:id="3504" w:name="_Toc12261812"/>
      <w:r>
        <w:t>Part 2 Section 10.2.5, ZIP Package Limitations</w:t>
      </w:r>
      <w:bookmarkEnd w:id="3503"/>
      <w:bookmarkEnd w:id="3504"/>
      <w:r>
        <w:fldChar w:fldCharType="begin"/>
      </w:r>
      <w:r>
        <w:instrText xml:space="preserve"> XE "ZIP Package Limitations" </w:instrText>
      </w:r>
      <w:r>
        <w:fldChar w:fldCharType="end"/>
      </w:r>
    </w:p>
    <w:p w:rsidR="00024C0A" w:rsidRDefault="00694C0F">
      <w:pPr>
        <w:pStyle w:val="Definition-Field"/>
      </w:pPr>
      <w:r>
        <w:t xml:space="preserve">a.   </w:t>
      </w:r>
      <w:r>
        <w:rPr>
          <w:i/>
        </w:rPr>
        <w:t>The standard states that keyword el</w:t>
      </w:r>
      <w:r>
        <w:rPr>
          <w:i/>
        </w:rPr>
        <w:t>ement can have an xml:lang attribute.</w:t>
      </w:r>
    </w:p>
    <w:p w:rsidR="00024C0A" w:rsidRDefault="00694C0F">
      <w:pPr>
        <w:pStyle w:val="Definition-Field2"/>
      </w:pPr>
      <w:r>
        <w:t>Office ignores this attribute on load, and discards it on save.</w:t>
      </w:r>
    </w:p>
    <w:p w:rsidR="00024C0A" w:rsidRDefault="00694C0F">
      <w:pPr>
        <w:pStyle w:val="Definition-Field"/>
      </w:pPr>
      <w:r>
        <w:lastRenderedPageBreak/>
        <w:t xml:space="preserve">b.   </w:t>
      </w:r>
      <w:r>
        <w:rPr>
          <w:i/>
        </w:rPr>
        <w:t>The standard states that keyword element can have a value subelement.</w:t>
      </w:r>
    </w:p>
    <w:p w:rsidR="00024C0A" w:rsidRDefault="00694C0F">
      <w:pPr>
        <w:pStyle w:val="Definition-Field2"/>
      </w:pPr>
      <w:r>
        <w:t xml:space="preserve">Office ignores this element on load, and concatenates its content with the </w:t>
      </w:r>
      <w:r>
        <w:t>content of the parent element on save.</w:t>
      </w:r>
    </w:p>
    <w:p w:rsidR="00024C0A" w:rsidRDefault="00694C0F">
      <w:pPr>
        <w:pStyle w:val="Heading3"/>
      </w:pPr>
      <w:bookmarkStart w:id="3505" w:name="section_291e6d2a9ff949229a763771528eda9d"/>
      <w:bookmarkStart w:id="3506" w:name="_Toc12261813"/>
      <w:r>
        <w:t>Part 2 Section 11, Core Properties</w:t>
      </w:r>
      <w:bookmarkEnd w:id="3505"/>
      <w:bookmarkEnd w:id="3506"/>
      <w:r>
        <w:fldChar w:fldCharType="begin"/>
      </w:r>
      <w:r>
        <w:instrText xml:space="preserve"> XE "Core Properties" </w:instrText>
      </w:r>
      <w:r>
        <w:fldChar w:fldCharType="end"/>
      </w:r>
    </w:p>
    <w:p w:rsidR="00024C0A" w:rsidRDefault="00694C0F">
      <w:pPr>
        <w:pStyle w:val="Definition-Field"/>
      </w:pPr>
      <w:r>
        <w:t xml:space="preserve">a.   </w:t>
      </w:r>
      <w:r>
        <w:rPr>
          <w:i/>
        </w:rPr>
        <w:t>The standard states that package implementer shall not use any compression algorithm other than DEFLATE.</w:t>
      </w:r>
    </w:p>
    <w:p w:rsidR="00024C0A" w:rsidRDefault="00694C0F">
      <w:pPr>
        <w:pStyle w:val="Definition-Field2"/>
      </w:pPr>
      <w:r>
        <w:t xml:space="preserve">Office uses the STORE algorithm, in addition to </w:t>
      </w:r>
      <w:r>
        <w:t>DEFLATE.</w:t>
      </w:r>
    </w:p>
    <w:p w:rsidR="00024C0A" w:rsidRDefault="00694C0F">
      <w:pPr>
        <w:pStyle w:val="Heading3"/>
      </w:pPr>
      <w:bookmarkStart w:id="3507" w:name="section_a185de173253409bbf9395b1f78516ef"/>
      <w:bookmarkStart w:id="3508" w:name="_Toc12261814"/>
      <w:r>
        <w:t>Part 2 Section 13.2.4.24, Relationships Transform Algorithm</w:t>
      </w:r>
      <w:bookmarkEnd w:id="3507"/>
      <w:bookmarkEnd w:id="3508"/>
      <w:r>
        <w:fldChar w:fldCharType="begin"/>
      </w:r>
      <w:r>
        <w:instrText xml:space="preserve"> XE "Relationships Transform Algorithm" </w:instrText>
      </w:r>
      <w:r>
        <w:fldChar w:fldCharType="end"/>
      </w:r>
    </w:p>
    <w:p w:rsidR="00024C0A" w:rsidRDefault="00694C0F">
      <w:pPr>
        <w:pStyle w:val="Definition-Field"/>
      </w:pPr>
      <w:r>
        <w:t xml:space="preserve">a.   </w:t>
      </w:r>
      <w:r>
        <w:rPr>
          <w:i/>
        </w:rPr>
        <w:t>The standard specifies that a Relationship element shall be used for signing if the Id value matches any SourceId value or if the Type value</w:t>
      </w:r>
      <w:r>
        <w:rPr>
          <w:i/>
        </w:rPr>
        <w:t xml:space="preserve"> matches any SourceType value.</w:t>
      </w:r>
    </w:p>
    <w:p w:rsidR="00024C0A" w:rsidRDefault="00694C0F">
      <w:pPr>
        <w:pStyle w:val="Definition-Field2"/>
      </w:pPr>
      <w:r>
        <w:t>Office will only use Relationship elements for signing if the Id value matches any SourceId value.</w:t>
      </w:r>
    </w:p>
    <w:p w:rsidR="00024C0A" w:rsidRDefault="00694C0F">
      <w:pPr>
        <w:pStyle w:val="Definition-Field2"/>
      </w:pPr>
      <w:r>
        <w:t xml:space="preserve">The relationship transform should set </w:t>
      </w:r>
      <w:r>
        <w:rPr>
          <w:b/>
        </w:rPr>
        <w:t>TargetMode</w:t>
      </w:r>
      <w:r>
        <w:t>="Internal" before doing a c14n transform.</w:t>
      </w:r>
    </w:p>
    <w:p w:rsidR="00024C0A" w:rsidRDefault="00694C0F">
      <w:pPr>
        <w:pStyle w:val="Heading3"/>
      </w:pPr>
      <w:bookmarkStart w:id="3509" w:name="section_786223f8442d48c9917706e8cd54c027"/>
      <w:bookmarkStart w:id="3510" w:name="_Toc12261815"/>
      <w:r>
        <w:t>Part 3 Section 10, Markup Compatibi</w:t>
      </w:r>
      <w:r>
        <w:t>lity Attributes and Elements</w:t>
      </w:r>
      <w:bookmarkEnd w:id="3509"/>
      <w:bookmarkEnd w:id="3510"/>
      <w:r>
        <w:fldChar w:fldCharType="begin"/>
      </w:r>
      <w:r>
        <w:instrText xml:space="preserve"> XE "Markup Compatibility Attributes and Elements" </w:instrText>
      </w:r>
      <w:r>
        <w:fldChar w:fldCharType="end"/>
      </w:r>
    </w:p>
    <w:p w:rsidR="00024C0A" w:rsidRDefault="00694C0F">
      <w:pPr>
        <w:pStyle w:val="Definition-Field"/>
      </w:pPr>
      <w:r>
        <w:t xml:space="preserve">a.   </w:t>
      </w:r>
      <w:r>
        <w:rPr>
          <w:i/>
        </w:rPr>
        <w:t>The standard does not state that extensibility is optional per part.</w:t>
      </w:r>
    </w:p>
    <w:p w:rsidR="00024C0A" w:rsidRDefault="00694C0F">
      <w:pPr>
        <w:pStyle w:val="Definition-Field2"/>
      </w:pPr>
      <w:r>
        <w:t>Office does not permit markup compatibility attributes or elements in document property parts.</w:t>
      </w:r>
    </w:p>
    <w:p w:rsidR="00024C0A" w:rsidRDefault="00694C0F">
      <w:pPr>
        <w:pStyle w:val="Heading3"/>
      </w:pPr>
      <w:bookmarkStart w:id="3511" w:name="section_6bbe01acc7cd4fada1e6870f1a045022"/>
      <w:bookmarkStart w:id="3512" w:name="_Toc12261816"/>
      <w:r>
        <w:t xml:space="preserve">Part </w:t>
      </w:r>
      <w:r>
        <w:t>4 Section 8.1, VML Drawing Part</w:t>
      </w:r>
      <w:bookmarkEnd w:id="3511"/>
      <w:bookmarkEnd w:id="3512"/>
      <w:r>
        <w:fldChar w:fldCharType="begin"/>
      </w:r>
      <w:r>
        <w:instrText xml:space="preserve"> XE "VML Drawing Part" </w:instrText>
      </w:r>
      <w:r>
        <w:fldChar w:fldCharType="end"/>
      </w:r>
    </w:p>
    <w:p w:rsidR="00024C0A" w:rsidRDefault="00694C0F">
      <w:pPr>
        <w:pStyle w:val="Definition-Field"/>
      </w:pPr>
      <w:r>
        <w:t xml:space="preserve">a.   </w:t>
      </w:r>
      <w:r>
        <w:rPr>
          <w:i/>
        </w:rPr>
        <w:t>The standard implies that the VML Drawing part is not an XML part but contains XML-style markup.</w:t>
      </w:r>
    </w:p>
    <w:p w:rsidR="00024C0A" w:rsidRDefault="00694C0F">
      <w:pPr>
        <w:pStyle w:val="Definition-Field2"/>
      </w:pPr>
      <w:r>
        <w:t>In Office, the VML Drawing part closely resembles XML. An XML parser designed to read and write V</w:t>
      </w:r>
      <w:r>
        <w:t>ML ("</w:t>
      </w:r>
      <w:hyperlink r:id="rId222">
        <w:r>
          <w:rPr>
            <w:rStyle w:val="Hyperlink"/>
          </w:rPr>
          <w:t>[ISO/IEC-29500-4]</w:t>
        </w:r>
      </w:hyperlink>
      <w:r>
        <w:t xml:space="preserve"> §19.1; VML") markup can parse the contents of a VML Drawing part by consuming the XML root element and then handling the contained VML markup normally.</w:t>
      </w:r>
    </w:p>
    <w:p w:rsidR="00024C0A" w:rsidRDefault="00694C0F">
      <w:pPr>
        <w:pStyle w:val="Heading3"/>
      </w:pPr>
      <w:bookmarkStart w:id="3513" w:name="section_2dbabd7b5bac4dea9f5477f6dc6e6707"/>
      <w:bookmarkStart w:id="3514" w:name="_Toc12261817"/>
      <w:r>
        <w:t xml:space="preserve">Part 4 Section </w:t>
      </w:r>
      <w:r>
        <w:t>14.2.1.1, Additional attribute for cnfStyle element (Part 1, 17.3.1.8)</w:t>
      </w:r>
      <w:bookmarkEnd w:id="3513"/>
      <w:bookmarkEnd w:id="3514"/>
      <w:r>
        <w:fldChar w:fldCharType="begin"/>
      </w:r>
      <w:r>
        <w:instrText xml:space="preserve"> XE "Additional attribute for cnfStyle element (Part 1 - 17.3.1.8)" </w:instrText>
      </w:r>
      <w:r>
        <w:fldChar w:fldCharType="end"/>
      </w:r>
    </w:p>
    <w:p w:rsidR="00024C0A" w:rsidRDefault="00694C0F">
      <w:pPr>
        <w:pStyle w:val="Definition-Field"/>
      </w:pPr>
      <w:r>
        <w:t xml:space="preserve">a.   </w:t>
      </w:r>
      <w:r>
        <w:rPr>
          <w:i/>
        </w:rPr>
        <w:t>The standard specifies the val attribute.</w:t>
      </w:r>
    </w:p>
    <w:p w:rsidR="00024C0A" w:rsidRDefault="00694C0F">
      <w:pPr>
        <w:pStyle w:val="Definition-Field2"/>
      </w:pPr>
      <w:r>
        <w:t>Word ignores this attribute if any of the attributes specified in "</w:t>
      </w:r>
      <w:hyperlink r:id="rId223">
        <w:r>
          <w:rPr>
            <w:rStyle w:val="Hyperlink"/>
          </w:rPr>
          <w:t>[ISO/IEC-29500-1]</w:t>
        </w:r>
      </w:hyperlink>
      <w:r>
        <w:t xml:space="preserve"> §17.3.1.8; cnfStyle" are present.</w:t>
      </w:r>
    </w:p>
    <w:p w:rsidR="00024C0A" w:rsidRDefault="00694C0F">
      <w:pPr>
        <w:pStyle w:val="Heading3"/>
      </w:pPr>
      <w:bookmarkStart w:id="3515" w:name="section_6fb2a0fdd9af44a4a0ed5dd4ad286134"/>
      <w:bookmarkStart w:id="3516" w:name="_Toc12261818"/>
      <w:r>
        <w:t>Part 4 Section 14.2.2.1, control (Floating Embedded Control)</w:t>
      </w:r>
      <w:bookmarkEnd w:id="3515"/>
      <w:bookmarkEnd w:id="3516"/>
      <w:r>
        <w:fldChar w:fldCharType="begin"/>
      </w:r>
      <w:r>
        <w:instrText xml:space="preserve"> XE "control (Floating Embedded Control)" </w:instrText>
      </w:r>
      <w:r>
        <w:fldChar w:fldCharType="end"/>
      </w:r>
    </w:p>
    <w:p w:rsidR="00024C0A" w:rsidRDefault="00694C0F">
      <w:pPr>
        <w:pStyle w:val="Definition-Field2"/>
      </w:pPr>
      <w:r>
        <w:rPr>
          <w:i/>
        </w:rPr>
        <w:t>For additional notes that apply to</w:t>
      </w:r>
      <w:r>
        <w:rPr>
          <w:i/>
        </w:rPr>
        <w:t xml:space="preserve"> this portion of the standard, please see the notes for </w:t>
      </w:r>
      <w:hyperlink w:anchor="Section_48d0ff08ee0344979165e3416d733d48">
        <w:r>
          <w:rPr>
            <w:rStyle w:val="Hyperlink"/>
          </w:rPr>
          <w:t>pict, §14.5.1(a)</w:t>
        </w:r>
      </w:hyperlink>
      <w:r>
        <w:rPr>
          <w:i/>
        </w:rPr>
        <w:t>.</w:t>
      </w:r>
    </w:p>
    <w:p w:rsidR="00024C0A" w:rsidRDefault="00694C0F">
      <w:pPr>
        <w:pStyle w:val="Definition-Field"/>
      </w:pPr>
      <w:r>
        <w:t xml:space="preserve">a.   </w:t>
      </w:r>
      <w:r>
        <w:rPr>
          <w:i/>
        </w:rPr>
        <w:t>The standard allows strings of unbounded length for the value of the shapeid attribute.</w:t>
      </w:r>
    </w:p>
    <w:p w:rsidR="00024C0A" w:rsidRDefault="00694C0F">
      <w:pPr>
        <w:pStyle w:val="Definition-Field2"/>
      </w:pPr>
      <w:r>
        <w:t xml:space="preserve">Word restricts the value </w:t>
      </w:r>
      <w:r>
        <w:t>of the shapeid attribute to at most 254 characters.</w:t>
      </w:r>
    </w:p>
    <w:p w:rsidR="00024C0A" w:rsidRDefault="00694C0F">
      <w:pPr>
        <w:pStyle w:val="Definition-Field"/>
      </w:pPr>
      <w:r>
        <w:t xml:space="preserve">b.   </w:t>
      </w:r>
      <w:r>
        <w:rPr>
          <w:i/>
        </w:rPr>
        <w:t>The standard specifies that this element is resolved by looking for a DrawingML object whose id attribute matches the value specified by the shapeid attribute.</w:t>
      </w:r>
    </w:p>
    <w:p w:rsidR="00024C0A" w:rsidRDefault="00694C0F">
      <w:pPr>
        <w:pStyle w:val="Definition-Field2"/>
      </w:pPr>
      <w:r>
        <w:lastRenderedPageBreak/>
        <w:t>Word looks for a VML shape element ("</w:t>
      </w:r>
      <w:hyperlink r:id="rId224">
        <w:r>
          <w:rPr>
            <w:rStyle w:val="Hyperlink"/>
          </w:rPr>
          <w:t>[ISO/IEC-29500-4]</w:t>
        </w:r>
      </w:hyperlink>
      <w:r>
        <w:t xml:space="preserve"> §19.1.2.19; shape (Shape Definition)"), whose id attribute matches the value specified by the shapeid attribute.</w:t>
      </w:r>
    </w:p>
    <w:p w:rsidR="00024C0A" w:rsidRDefault="00694C0F">
      <w:pPr>
        <w:pStyle w:val="Heading3"/>
      </w:pPr>
      <w:bookmarkStart w:id="3517" w:name="section_fe001c421c534ef1ba7fddc9fa651a5d"/>
      <w:bookmarkStart w:id="3518" w:name="_Toc12261819"/>
      <w:r>
        <w:t>Part 4 Section 14.2.2.2, pict (VML Object)</w:t>
      </w:r>
      <w:bookmarkEnd w:id="3517"/>
      <w:bookmarkEnd w:id="3518"/>
      <w:r>
        <w:fldChar w:fldCharType="begin"/>
      </w:r>
      <w:r>
        <w:instrText xml:space="preserve"> XE "pict (VML Obje</w:instrText>
      </w:r>
      <w:r>
        <w:instrText xml:space="preserve">ct)" </w:instrText>
      </w:r>
      <w:r>
        <w:fldChar w:fldCharType="end"/>
      </w:r>
    </w:p>
    <w:p w:rsidR="00024C0A" w:rsidRDefault="00694C0F">
      <w:pPr>
        <w:pStyle w:val="Definition-Field"/>
      </w:pPr>
      <w:r>
        <w:t xml:space="preserve">a.   </w:t>
      </w:r>
      <w:r>
        <w:rPr>
          <w:i/>
        </w:rPr>
        <w:t>The standard states that any element from the VML namespace or the Office VML Drawing namespace is allowed as a child element.</w:t>
      </w:r>
    </w:p>
    <w:p w:rsidR="00024C0A" w:rsidRDefault="00694C0F">
      <w:pPr>
        <w:pStyle w:val="Definition-Field2"/>
      </w:pPr>
      <w:r>
        <w:t>Word only allows the following child elements: arc, curve, group, image, line, OLEObject, oval, polyline, rect, roun</w:t>
      </w:r>
      <w:r>
        <w:t>drect, shape, and shapetype.</w:t>
      </w:r>
    </w:p>
    <w:p w:rsidR="00024C0A" w:rsidRDefault="00694C0F">
      <w:pPr>
        <w:pStyle w:val="Heading3"/>
      </w:pPr>
      <w:bookmarkStart w:id="3519" w:name="section_95b4a3c3bcd641ad976129b98779e979"/>
      <w:bookmarkStart w:id="3520" w:name="_Toc12261820"/>
      <w:r>
        <w:t>Part 4 Section 14.3.1, left (Table Cell Leading Edge Border)</w:t>
      </w:r>
      <w:bookmarkEnd w:id="3519"/>
      <w:bookmarkEnd w:id="3520"/>
      <w:r>
        <w:fldChar w:fldCharType="begin"/>
      </w:r>
      <w:r>
        <w:instrText xml:space="preserve"> XE "left (Table Cell Leading Edge Border)" </w:instrText>
      </w:r>
      <w:r>
        <w:fldChar w:fldCharType="end"/>
      </w:r>
    </w:p>
    <w:p w:rsidR="00024C0A" w:rsidRDefault="00694C0F">
      <w:pPr>
        <w:pStyle w:val="Definition-Field"/>
      </w:pPr>
      <w:r>
        <w:t xml:space="preserve">a.   </w:t>
      </w:r>
      <w:r>
        <w:rPr>
          <w:i/>
        </w:rPr>
        <w:t>The standard specifies "left" as an additional element, semantically equivalent to the start element ("</w:t>
      </w:r>
      <w:hyperlink r:id="rId225">
        <w:r>
          <w:rPr>
            <w:rStyle w:val="Hyperlink"/>
          </w:rPr>
          <w:t>[ISO/IEC-29500-1]</w:t>
        </w:r>
      </w:hyperlink>
      <w:r>
        <w:rPr>
          <w:i/>
        </w:rPr>
        <w:t xml:space="preserve"> §17.4.33; start").</w:t>
      </w:r>
    </w:p>
    <w:p w:rsidR="00024C0A" w:rsidRDefault="00694C0F">
      <w:pPr>
        <w:pStyle w:val="Definition-Field2"/>
      </w:pPr>
      <w:r>
        <w:t>Word ignores this element if the start element ("[ISO/IEC-29500-1] §17.4.33; start") is present as a sibling.</w:t>
      </w:r>
    </w:p>
    <w:p w:rsidR="00024C0A" w:rsidRDefault="00694C0F">
      <w:pPr>
        <w:pStyle w:val="Heading3"/>
      </w:pPr>
      <w:bookmarkStart w:id="3521" w:name="section_6333f5cc79f94100b4c0709626bbb551"/>
      <w:bookmarkStart w:id="3522" w:name="_Toc12261821"/>
      <w:r>
        <w:t>Part 4 Section 14.3.2, left (Table Leading Edge Border)</w:t>
      </w:r>
      <w:bookmarkEnd w:id="3521"/>
      <w:bookmarkEnd w:id="3522"/>
      <w:r>
        <w:fldChar w:fldCharType="begin"/>
      </w:r>
      <w:r>
        <w:instrText xml:space="preserve"> XE "left (Table Leading Edge Border)" </w:instrText>
      </w:r>
      <w:r>
        <w:fldChar w:fldCharType="end"/>
      </w:r>
    </w:p>
    <w:p w:rsidR="00024C0A" w:rsidRDefault="00694C0F">
      <w:pPr>
        <w:pStyle w:val="Definition-Field"/>
      </w:pPr>
      <w:r>
        <w:t xml:space="preserve">a.   </w:t>
      </w:r>
      <w:r>
        <w:rPr>
          <w:i/>
        </w:rPr>
        <w:t>The standard specifies this additional element, semantically equivalent to the start element ("</w:t>
      </w:r>
      <w:hyperlink r:id="rId226">
        <w:r>
          <w:rPr>
            <w:rStyle w:val="Hyperlink"/>
          </w:rPr>
          <w:t>[ISO/IEC-29500-1]</w:t>
        </w:r>
      </w:hyperlink>
      <w:r>
        <w:rPr>
          <w:i/>
        </w:rPr>
        <w:t xml:space="preserve"> §17.4.36; start").</w:t>
      </w:r>
    </w:p>
    <w:p w:rsidR="00024C0A" w:rsidRDefault="00694C0F">
      <w:pPr>
        <w:pStyle w:val="Definition-Field2"/>
      </w:pPr>
      <w:r>
        <w:t>Word ignore</w:t>
      </w:r>
      <w:r>
        <w:t>s this element if the start element ("[ISO/IEC-29500-1] §17.4.36; start") is present as a sibling.</w:t>
      </w:r>
    </w:p>
    <w:p w:rsidR="00024C0A" w:rsidRDefault="00694C0F">
      <w:pPr>
        <w:pStyle w:val="Heading3"/>
      </w:pPr>
      <w:bookmarkStart w:id="3523" w:name="section_13455a85a26f4dc4978af315b8d9afa7"/>
      <w:bookmarkStart w:id="3524" w:name="_Toc12261822"/>
      <w:r>
        <w:t>Part 4 Section 14.3.3, left (Table Cell Leading Margin Exception)</w:t>
      </w:r>
      <w:bookmarkEnd w:id="3523"/>
      <w:bookmarkEnd w:id="3524"/>
      <w:r>
        <w:fldChar w:fldCharType="begin"/>
      </w:r>
      <w:r>
        <w:instrText xml:space="preserve"> XE "left (Table Cell Leading Margin Exception)" </w:instrText>
      </w:r>
      <w:r>
        <w:fldChar w:fldCharType="end"/>
      </w:r>
    </w:p>
    <w:p w:rsidR="00024C0A" w:rsidRDefault="00694C0F">
      <w:pPr>
        <w:pStyle w:val="Definition-Field"/>
      </w:pPr>
      <w:r>
        <w:t xml:space="preserve">a.   </w:t>
      </w:r>
      <w:r>
        <w:rPr>
          <w:i/>
        </w:rPr>
        <w:t>The standard specifies this additio</w:t>
      </w:r>
      <w:r>
        <w:rPr>
          <w:i/>
        </w:rPr>
        <w:t>nal element, semantically equivalent to the start element ("</w:t>
      </w:r>
      <w:hyperlink r:id="rId227">
        <w:r>
          <w:rPr>
            <w:rStyle w:val="Hyperlink"/>
          </w:rPr>
          <w:t>[ISO/IEC-29500-1]</w:t>
        </w:r>
      </w:hyperlink>
      <w:r>
        <w:rPr>
          <w:i/>
        </w:rPr>
        <w:t xml:space="preserve"> §17.4.35; start").</w:t>
      </w:r>
    </w:p>
    <w:p w:rsidR="00024C0A" w:rsidRDefault="00694C0F">
      <w:pPr>
        <w:pStyle w:val="Definition-Field2"/>
      </w:pPr>
      <w:r>
        <w:t>Word ignores this element if the start element ("[ISO/IEC-29500-1] §17.4.35; start") is prese</w:t>
      </w:r>
      <w:r>
        <w:t>nt as a sibling.</w:t>
      </w:r>
    </w:p>
    <w:p w:rsidR="00024C0A" w:rsidRDefault="00694C0F">
      <w:pPr>
        <w:pStyle w:val="Heading3"/>
      </w:pPr>
      <w:bookmarkStart w:id="3525" w:name="section_94be0b2982844099b9c60df1e3988a08"/>
      <w:bookmarkStart w:id="3526" w:name="_Toc12261823"/>
      <w:r>
        <w:t>Part 4 Section 14.3.4, left (Table Cell Leading Margin Default)</w:t>
      </w:r>
      <w:bookmarkEnd w:id="3525"/>
      <w:bookmarkEnd w:id="3526"/>
      <w:r>
        <w:fldChar w:fldCharType="begin"/>
      </w:r>
      <w:r>
        <w:instrText xml:space="preserve"> XE "left (Table Cell Leading Margin Default)" </w:instrText>
      </w:r>
      <w:r>
        <w:fldChar w:fldCharType="end"/>
      </w:r>
    </w:p>
    <w:p w:rsidR="00024C0A" w:rsidRDefault="00694C0F">
      <w:pPr>
        <w:pStyle w:val="Definition-Field"/>
      </w:pPr>
      <w:r>
        <w:t xml:space="preserve">a.   </w:t>
      </w:r>
      <w:r>
        <w:rPr>
          <w:i/>
        </w:rPr>
        <w:t>The standard specifies this additional element, semantically equivalent to the start element (("</w:t>
      </w:r>
      <w:hyperlink r:id="rId228">
        <w:r>
          <w:rPr>
            <w:rStyle w:val="Hyperlink"/>
          </w:rPr>
          <w:t>[ISO/IEC-29500-1]</w:t>
        </w:r>
      </w:hyperlink>
      <w:r>
        <w:rPr>
          <w:i/>
        </w:rPr>
        <w:t xml:space="preserve"> §17.4.34; start")).</w:t>
      </w:r>
    </w:p>
    <w:p w:rsidR="00024C0A" w:rsidRDefault="00694C0F">
      <w:pPr>
        <w:pStyle w:val="Definition-Field2"/>
      </w:pPr>
      <w:r>
        <w:t>Word ignores this element if the start element ("[ISO/IEC-29500-1] §17.4.34; start") is present as a sibling.</w:t>
      </w:r>
    </w:p>
    <w:p w:rsidR="00024C0A" w:rsidRDefault="00694C0F">
      <w:pPr>
        <w:pStyle w:val="Heading3"/>
      </w:pPr>
      <w:bookmarkStart w:id="3527" w:name="section_3b5300f256af4d0d8d26821c7ef0c47c"/>
      <w:bookmarkStart w:id="3528" w:name="_Toc12261824"/>
      <w:r>
        <w:t>Part 4 Section 14.3.5, right (Table Cell Trailing Edge Border)</w:t>
      </w:r>
      <w:bookmarkEnd w:id="3527"/>
      <w:bookmarkEnd w:id="3528"/>
      <w:r>
        <w:fldChar w:fldCharType="begin"/>
      </w:r>
      <w:r>
        <w:instrText xml:space="preserve"> XE "</w:instrText>
      </w:r>
      <w:r>
        <w:instrText xml:space="preserve">right (Table Cell Trailing Edge Border)" </w:instrText>
      </w:r>
      <w:r>
        <w:fldChar w:fldCharType="end"/>
      </w:r>
    </w:p>
    <w:p w:rsidR="00024C0A" w:rsidRDefault="00694C0F">
      <w:pPr>
        <w:pStyle w:val="Definition-Field"/>
      </w:pPr>
      <w:r>
        <w:t xml:space="preserve">a.   </w:t>
      </w:r>
      <w:r>
        <w:rPr>
          <w:i/>
        </w:rPr>
        <w:t>The standard specifies this additional element, semantically equivalent to the end element ("</w:t>
      </w:r>
      <w:hyperlink r:id="rId229">
        <w:r>
          <w:rPr>
            <w:rStyle w:val="Hyperlink"/>
          </w:rPr>
          <w:t>[ISO/IEC-29500-1]</w:t>
        </w:r>
      </w:hyperlink>
      <w:r>
        <w:rPr>
          <w:i/>
        </w:rPr>
        <w:t xml:space="preserve"> §17.4.12; end").</w:t>
      </w:r>
    </w:p>
    <w:p w:rsidR="00024C0A" w:rsidRDefault="00694C0F">
      <w:pPr>
        <w:pStyle w:val="Definition-Field2"/>
      </w:pPr>
      <w:r>
        <w:t xml:space="preserve">Word ignores </w:t>
      </w:r>
      <w:r>
        <w:t>this element if the end element ("[ISO/IEC-29500-1] §17.4.12; end") is present as a sibling.</w:t>
      </w:r>
    </w:p>
    <w:p w:rsidR="00024C0A" w:rsidRDefault="00694C0F">
      <w:pPr>
        <w:pStyle w:val="Heading3"/>
      </w:pPr>
      <w:bookmarkStart w:id="3529" w:name="section_0b241c18839a41a3919405f7c1f0876a"/>
      <w:bookmarkStart w:id="3530" w:name="_Toc12261825"/>
      <w:r>
        <w:t>Part 4 Section 14.3.6, right (Table Trailing Edge Border)</w:t>
      </w:r>
      <w:bookmarkEnd w:id="3529"/>
      <w:bookmarkEnd w:id="3530"/>
      <w:r>
        <w:fldChar w:fldCharType="begin"/>
      </w:r>
      <w:r>
        <w:instrText xml:space="preserve"> XE "right (Table Trailing Edge Border)" </w:instrText>
      </w:r>
      <w:r>
        <w:fldChar w:fldCharType="end"/>
      </w:r>
    </w:p>
    <w:p w:rsidR="00024C0A" w:rsidRDefault="00694C0F">
      <w:pPr>
        <w:pStyle w:val="Definition-Field"/>
      </w:pPr>
      <w:r>
        <w:t xml:space="preserve">a.   </w:t>
      </w:r>
      <w:r>
        <w:rPr>
          <w:i/>
        </w:rPr>
        <w:t>The standard specifies this additional element, semantica</w:t>
      </w:r>
      <w:r>
        <w:rPr>
          <w:i/>
        </w:rPr>
        <w:t>lly equivalent to the end element("</w:t>
      </w:r>
      <w:hyperlink r:id="rId230">
        <w:r>
          <w:rPr>
            <w:rStyle w:val="Hyperlink"/>
          </w:rPr>
          <w:t>[ISO/IEC-29500-1]</w:t>
        </w:r>
      </w:hyperlink>
      <w:r>
        <w:rPr>
          <w:i/>
        </w:rPr>
        <w:t xml:space="preserve"> §17.4.13; end").</w:t>
      </w:r>
    </w:p>
    <w:p w:rsidR="00024C0A" w:rsidRDefault="00694C0F">
      <w:pPr>
        <w:pStyle w:val="Definition-Field2"/>
      </w:pPr>
      <w:r>
        <w:lastRenderedPageBreak/>
        <w:t>Word ignores this element if the end element ("[ISO/IEC-29500-1] §17.4.13; end") is present as a sibling.</w:t>
      </w:r>
    </w:p>
    <w:p w:rsidR="00024C0A" w:rsidRDefault="00694C0F">
      <w:pPr>
        <w:pStyle w:val="Heading3"/>
      </w:pPr>
      <w:bookmarkStart w:id="3531" w:name="section_58fd425e362646b383ba92c961d26c88"/>
      <w:bookmarkStart w:id="3532" w:name="_Toc12261826"/>
      <w:r>
        <w:t>Part 4 Section 14.3.7, right (Table Cell Trailing Margin Default)</w:t>
      </w:r>
      <w:bookmarkEnd w:id="3531"/>
      <w:bookmarkEnd w:id="3532"/>
      <w:r>
        <w:fldChar w:fldCharType="begin"/>
      </w:r>
      <w:r>
        <w:instrText xml:space="preserve"> XE "right (Table Cell Trailing Margin Default)" </w:instrText>
      </w:r>
      <w:r>
        <w:fldChar w:fldCharType="end"/>
      </w:r>
    </w:p>
    <w:p w:rsidR="00024C0A" w:rsidRDefault="00694C0F">
      <w:pPr>
        <w:pStyle w:val="Definition-Field"/>
      </w:pPr>
      <w:r>
        <w:t xml:space="preserve">a.   </w:t>
      </w:r>
      <w:r>
        <w:rPr>
          <w:i/>
        </w:rPr>
        <w:t>The standard specifies this additional element semantically equivalent to the end element ("</w:t>
      </w:r>
      <w:hyperlink r:id="rId231">
        <w:r>
          <w:rPr>
            <w:rStyle w:val="Hyperlink"/>
          </w:rPr>
          <w:t>[ISO/IEC-29500-1]</w:t>
        </w:r>
      </w:hyperlink>
      <w:r>
        <w:rPr>
          <w:i/>
        </w:rPr>
        <w:t xml:space="preserve"> §17.4.11; end").</w:t>
      </w:r>
    </w:p>
    <w:p w:rsidR="00024C0A" w:rsidRDefault="00694C0F">
      <w:pPr>
        <w:pStyle w:val="Definition-Field2"/>
      </w:pPr>
      <w:r>
        <w:t>Word ignores this element if the end element ("[ISO/IEC-29500-1] §17.4.11; end") is present as a sibling.</w:t>
      </w:r>
    </w:p>
    <w:p w:rsidR="00024C0A" w:rsidRDefault="00694C0F">
      <w:pPr>
        <w:pStyle w:val="Heading3"/>
      </w:pPr>
      <w:bookmarkStart w:id="3533" w:name="section_8e23887d29304089a2ff62be9c11a23b"/>
      <w:bookmarkStart w:id="3534" w:name="_Toc12261827"/>
      <w:r>
        <w:t>Part 4 Section 14.3.8, right (Table Cell Trailing Margin Exception)</w:t>
      </w:r>
      <w:bookmarkEnd w:id="3533"/>
      <w:bookmarkEnd w:id="3534"/>
      <w:r>
        <w:fldChar w:fldCharType="begin"/>
      </w:r>
      <w:r>
        <w:instrText xml:space="preserve"> XE "right (Table Cell T</w:instrText>
      </w:r>
      <w:r>
        <w:instrText xml:space="preserve">railing Margin Exception)" </w:instrText>
      </w:r>
      <w:r>
        <w:fldChar w:fldCharType="end"/>
      </w:r>
    </w:p>
    <w:p w:rsidR="00024C0A" w:rsidRDefault="00694C0F">
      <w:pPr>
        <w:pStyle w:val="Definition-Field"/>
      </w:pPr>
      <w:r>
        <w:t xml:space="preserve">a.   </w:t>
      </w:r>
      <w:r>
        <w:rPr>
          <w:i/>
        </w:rPr>
        <w:t>The standard specifies this additional element semantically equivalent to the end element ("</w:t>
      </w:r>
      <w:hyperlink r:id="rId232">
        <w:r>
          <w:rPr>
            <w:rStyle w:val="Hyperlink"/>
          </w:rPr>
          <w:t>[ISO/IEC-29500-1]</w:t>
        </w:r>
      </w:hyperlink>
      <w:r>
        <w:rPr>
          <w:i/>
        </w:rPr>
        <w:t xml:space="preserve"> §17.4.10; end").</w:t>
      </w:r>
    </w:p>
    <w:p w:rsidR="00024C0A" w:rsidRDefault="00694C0F">
      <w:pPr>
        <w:pStyle w:val="Definition-Field2"/>
      </w:pPr>
      <w:r>
        <w:t>Word ignores this element if</w:t>
      </w:r>
      <w:r>
        <w:t xml:space="preserve"> the end element ("[ISO/IEC-29500-1] §17.4.10; end") is present as a sibling.</w:t>
      </w:r>
    </w:p>
    <w:p w:rsidR="00024C0A" w:rsidRDefault="00694C0F">
      <w:pPr>
        <w:pStyle w:val="Heading3"/>
      </w:pPr>
      <w:bookmarkStart w:id="3535" w:name="section_7da8cf6a641d47a7994a16b593ddabef"/>
      <w:bookmarkStart w:id="3536" w:name="_Toc12261828"/>
      <w:r>
        <w:t>Part 4 Section 14.3.9, Additional attribute for cnfStyle element (Part 1, 17.4.7)</w:t>
      </w:r>
      <w:bookmarkEnd w:id="3535"/>
      <w:bookmarkEnd w:id="3536"/>
      <w:r>
        <w:fldChar w:fldCharType="begin"/>
      </w:r>
      <w:r>
        <w:instrText xml:space="preserve"> XE "Additional attribute for cnfStyle element (Part 1 - 17.4.7)" </w:instrText>
      </w:r>
      <w:r>
        <w:fldChar w:fldCharType="end"/>
      </w:r>
    </w:p>
    <w:p w:rsidR="00024C0A" w:rsidRDefault="00694C0F">
      <w:pPr>
        <w:pStyle w:val="Definition-Field"/>
      </w:pPr>
      <w:r>
        <w:t xml:space="preserve">a.   </w:t>
      </w:r>
      <w:r>
        <w:rPr>
          <w:i/>
        </w:rPr>
        <w:t xml:space="preserve">The standard specifies </w:t>
      </w:r>
      <w:r>
        <w:rPr>
          <w:i/>
        </w:rPr>
        <w:t>the val attribute.</w:t>
      </w:r>
    </w:p>
    <w:p w:rsidR="00024C0A" w:rsidRDefault="00694C0F">
      <w:pPr>
        <w:pStyle w:val="Definition-Field2"/>
      </w:pPr>
      <w:r>
        <w:t>Word ignores the val attribute specified here if any of the attributes, specified in "</w:t>
      </w:r>
      <w:hyperlink r:id="rId233">
        <w:r>
          <w:rPr>
            <w:rStyle w:val="Hyperlink"/>
          </w:rPr>
          <w:t>[ISO/IEC-29500-1]</w:t>
        </w:r>
      </w:hyperlink>
      <w:r>
        <w:t xml:space="preserve"> §17.4.7; cnfStyle", are present.</w:t>
      </w:r>
    </w:p>
    <w:p w:rsidR="00024C0A" w:rsidRDefault="00694C0F">
      <w:pPr>
        <w:pStyle w:val="Heading3"/>
      </w:pPr>
      <w:bookmarkStart w:id="3537" w:name="section_ae9b02e2eea54af1825aaaae9e79496c"/>
      <w:bookmarkStart w:id="3538" w:name="_Toc12261829"/>
      <w:r>
        <w:t>Part 4 Section 14.3.10, Additional</w:t>
      </w:r>
      <w:r>
        <w:t xml:space="preserve"> attribute for cnfStyle element (Part 1, 17.4.8)</w:t>
      </w:r>
      <w:bookmarkEnd w:id="3537"/>
      <w:bookmarkEnd w:id="3538"/>
      <w:r>
        <w:fldChar w:fldCharType="begin"/>
      </w:r>
      <w:r>
        <w:instrText xml:space="preserve"> XE "Additional attribute for cnfStyle element (Part 1 - 17.4.8)" </w:instrText>
      </w:r>
      <w:r>
        <w:fldChar w:fldCharType="end"/>
      </w:r>
    </w:p>
    <w:p w:rsidR="00024C0A" w:rsidRDefault="00694C0F">
      <w:pPr>
        <w:pStyle w:val="Definition-Field"/>
      </w:pPr>
      <w:r>
        <w:t xml:space="preserve">a.   </w:t>
      </w:r>
      <w:r>
        <w:rPr>
          <w:i/>
        </w:rPr>
        <w:t>The standard specifies the val attribute.</w:t>
      </w:r>
    </w:p>
    <w:p w:rsidR="00024C0A" w:rsidRDefault="00694C0F">
      <w:pPr>
        <w:pStyle w:val="Definition-Field2"/>
      </w:pPr>
      <w:r>
        <w:t>Word ignores the val attribute specified here if any of the attributes, specified in "</w:t>
      </w:r>
      <w:hyperlink r:id="rId234">
        <w:r>
          <w:rPr>
            <w:rStyle w:val="Hyperlink"/>
          </w:rPr>
          <w:t>[ISO/IEC-29500-1]</w:t>
        </w:r>
      </w:hyperlink>
      <w:r>
        <w:t xml:space="preserve"> §17.4.8; cnfStyle", are present.</w:t>
      </w:r>
    </w:p>
    <w:p w:rsidR="00024C0A" w:rsidRDefault="00694C0F">
      <w:pPr>
        <w:pStyle w:val="Heading3"/>
      </w:pPr>
      <w:bookmarkStart w:id="3539" w:name="section_49f64ef9632440b794adff5fe6d444a7"/>
      <w:bookmarkStart w:id="3540" w:name="_Toc12261830"/>
      <w:r>
        <w:t>Part 4 Section 14.3.13, hMerge (Horizontally Merged Cell)</w:t>
      </w:r>
      <w:bookmarkEnd w:id="3539"/>
      <w:bookmarkEnd w:id="3540"/>
      <w:r>
        <w:fldChar w:fldCharType="begin"/>
      </w:r>
      <w:r>
        <w:instrText xml:space="preserve"> XE "hMerge (Horizontally Merged Cell)"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024C0A" w:rsidRDefault="00694C0F">
      <w:pPr>
        <w:pStyle w:val="Heading3"/>
      </w:pPr>
      <w:bookmarkStart w:id="3541" w:name="section_48d0ff08ee0344979165e3416d733d48"/>
      <w:bookmarkStart w:id="3542" w:name="_Toc12261831"/>
      <w:r>
        <w:t>Part 4 Section 14.5.1, pict (Picture Numbering Symbol Properties)</w:t>
      </w:r>
      <w:bookmarkEnd w:id="3541"/>
      <w:bookmarkEnd w:id="3542"/>
      <w:r>
        <w:fldChar w:fldCharType="begin"/>
      </w:r>
      <w:r>
        <w:instrText xml:space="preserve"> XE "pict (Picture Numbering Symbol Properties)" </w:instrText>
      </w:r>
      <w:r>
        <w:fldChar w:fldCharType="end"/>
      </w:r>
    </w:p>
    <w:p w:rsidR="00024C0A" w:rsidRDefault="00694C0F">
      <w:pPr>
        <w:pStyle w:val="Definition-Field"/>
      </w:pPr>
      <w:r>
        <w:t xml:space="preserve">a.   </w:t>
      </w:r>
      <w:r>
        <w:rPr>
          <w:i/>
        </w:rPr>
        <w:t>The standard states that any element from the VML namespace or the Office VML Drawing namespace is a valid child of the pict element.</w:t>
      </w:r>
    </w:p>
    <w:p w:rsidR="00024C0A" w:rsidRDefault="00694C0F">
      <w:pPr>
        <w:pStyle w:val="Definition-Field2"/>
      </w:pPr>
      <w:r>
        <w:t>Word only allows the group, image, line, oval, polyline, rect, roundrect, shape, and shapetype elements from these namespaces to be child elements of the pict element.</w:t>
      </w:r>
    </w:p>
    <w:p w:rsidR="00024C0A" w:rsidRDefault="00694C0F">
      <w:pPr>
        <w:pStyle w:val="Definition-Field"/>
      </w:pPr>
      <w:r>
        <w:t xml:space="preserve">b.   </w:t>
      </w:r>
      <w:r>
        <w:rPr>
          <w:i/>
        </w:rPr>
        <w:t>The standard states that the control and movie elements are valid child elements of</w:t>
      </w:r>
      <w:r>
        <w:rPr>
          <w:i/>
        </w:rPr>
        <w:t xml:space="preserve"> the pict element.</w:t>
      </w:r>
    </w:p>
    <w:p w:rsidR="00024C0A" w:rsidRDefault="00694C0F">
      <w:pPr>
        <w:pStyle w:val="Definition-Field2"/>
      </w:pPr>
      <w:r>
        <w:t>Word does not allow the control and movie elements to be child elements of the pict element.</w:t>
      </w:r>
    </w:p>
    <w:p w:rsidR="00024C0A" w:rsidRDefault="00694C0F">
      <w:pPr>
        <w:pStyle w:val="Heading3"/>
      </w:pPr>
      <w:bookmarkStart w:id="3543" w:name="section_2bbc626e33b649f69ce6a5b08386e37c"/>
      <w:bookmarkStart w:id="3544" w:name="_Toc12261832"/>
      <w:r>
        <w:t>Part 4 Section 14.5.2, legacy (Legacy Numbering Level Properties)</w:t>
      </w:r>
      <w:bookmarkEnd w:id="3543"/>
      <w:bookmarkEnd w:id="3544"/>
      <w:r>
        <w:fldChar w:fldCharType="begin"/>
      </w:r>
      <w:r>
        <w:instrText xml:space="preserve"> XE "legacy (Legacy Numbering Level Properties)" </w:instrText>
      </w:r>
      <w:r>
        <w:fldChar w:fldCharType="end"/>
      </w:r>
    </w:p>
    <w:p w:rsidR="00024C0A" w:rsidRDefault="00694C0F">
      <w:pPr>
        <w:pStyle w:val="Definition-Field"/>
      </w:pPr>
      <w:r>
        <w:t xml:space="preserve">a.   </w:t>
      </w:r>
      <w:r>
        <w:rPr>
          <w:i/>
        </w:rPr>
        <w:t>The standard allows ne</w:t>
      </w:r>
      <w:r>
        <w:rPr>
          <w:i/>
        </w:rPr>
        <w:t>gative values for legacyIndent.</w:t>
      </w:r>
    </w:p>
    <w:p w:rsidR="00024C0A" w:rsidRDefault="00694C0F">
      <w:pPr>
        <w:pStyle w:val="Definition-Field2"/>
      </w:pPr>
      <w:r>
        <w:lastRenderedPageBreak/>
        <w:t>Word will ignore the level definition if the value of legacyIndent is negative.</w:t>
      </w:r>
    </w:p>
    <w:p w:rsidR="00024C0A" w:rsidRDefault="00694C0F">
      <w:pPr>
        <w:pStyle w:val="Definition-Field"/>
      </w:pPr>
      <w:r>
        <w:t xml:space="preserve">b.   </w:t>
      </w:r>
      <w:r>
        <w:rPr>
          <w:i/>
        </w:rPr>
        <w:t>The standard says the default value for the legacy attribute is on.</w:t>
      </w:r>
    </w:p>
    <w:p w:rsidR="00024C0A" w:rsidRDefault="00694C0F">
      <w:pPr>
        <w:pStyle w:val="Definition-Field2"/>
      </w:pPr>
      <w:r>
        <w:t>In Word, the default value for the legacy attribute is off.</w:t>
      </w:r>
    </w:p>
    <w:p w:rsidR="00024C0A" w:rsidRDefault="00694C0F">
      <w:pPr>
        <w:pStyle w:val="Heading3"/>
      </w:pPr>
      <w:bookmarkStart w:id="3545" w:name="section_15555914707f4b1f9d0c38c05eb20139"/>
      <w:bookmarkStart w:id="3546" w:name="_Toc12261833"/>
      <w:r>
        <w:t>Part 4 Section 14.6.1.1, numberingChange (Previous Numbering Field Properties)</w:t>
      </w:r>
      <w:bookmarkEnd w:id="3545"/>
      <w:bookmarkEnd w:id="3546"/>
      <w:r>
        <w:fldChar w:fldCharType="begin"/>
      </w:r>
      <w:r>
        <w:instrText xml:space="preserve"> XE "numberingChange (Previous Numbering Field Properties)"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24C0A" w:rsidRDefault="00694C0F">
      <w:pPr>
        <w:pStyle w:val="Definition-Field"/>
      </w:pPr>
      <w:r>
        <w:t xml:space="preserve">a.   </w:t>
      </w:r>
      <w:r>
        <w:rPr>
          <w:i/>
        </w:rPr>
        <w:t>The standard allow</w:t>
      </w:r>
      <w:r>
        <w:rPr>
          <w:i/>
        </w:rPr>
        <w:t>s any length string for the original attribute.</w:t>
      </w:r>
    </w:p>
    <w:p w:rsidR="00024C0A" w:rsidRDefault="00694C0F">
      <w:pPr>
        <w:pStyle w:val="Definition-Field2"/>
      </w:pPr>
      <w:r>
        <w:t>Word only allows strings of length 15 at most for the original attribute.</w:t>
      </w:r>
    </w:p>
    <w:p w:rsidR="00024C0A" w:rsidRDefault="00694C0F">
      <w:pPr>
        <w:pStyle w:val="Heading3"/>
      </w:pPr>
      <w:bookmarkStart w:id="3547" w:name="section_c87674b0833c4019a21d9f99dac53178"/>
      <w:bookmarkStart w:id="3548" w:name="_Toc12261834"/>
      <w:r>
        <w:t>Part 4 Section 14.6.1.2, numberingChange (Previous Paragraph Numbering Properties)</w:t>
      </w:r>
      <w:bookmarkEnd w:id="3547"/>
      <w:bookmarkEnd w:id="3548"/>
      <w:r>
        <w:fldChar w:fldCharType="begin"/>
      </w:r>
      <w:r>
        <w:instrText xml:space="preserve"> XE "numberingChange (Previous Paragraph Numbering P</w:instrText>
      </w:r>
      <w:r>
        <w:instrText xml:space="preserve">roperties)"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w:t>
        </w:r>
        <w:r>
          <w:rPr>
            <w:rStyle w:val="Hyperlink"/>
          </w:rPr>
          <w:t>ellDel, §17.13.5.1(a)</w:t>
        </w:r>
      </w:hyperlink>
      <w:r>
        <w:rPr>
          <w:i/>
        </w:rPr>
        <w:t xml:space="preserve">; </w:t>
      </w:r>
      <w:hyperlink w:anchor="Section_960dd70180364eedb52a774caf7075d2">
        <w:r>
          <w:rPr>
            <w:rStyle w:val="Hyperlink"/>
          </w:rPr>
          <w:t>ins, §17.13.5.18(b)</w:t>
        </w:r>
      </w:hyperlink>
      <w:r>
        <w:rPr>
          <w:i/>
        </w:rPr>
        <w:t>.</w:t>
      </w:r>
    </w:p>
    <w:p w:rsidR="00024C0A" w:rsidRDefault="00694C0F">
      <w:pPr>
        <w:pStyle w:val="Definition-Field"/>
      </w:pPr>
      <w:r>
        <w:t xml:space="preserve">a.   </w:t>
      </w:r>
      <w:r>
        <w:rPr>
          <w:i/>
        </w:rPr>
        <w:t>The standard states that the numbering level in the original attribute starts with %.</w:t>
      </w:r>
    </w:p>
    <w:p w:rsidR="00024C0A" w:rsidRDefault="00694C0F">
      <w:r>
        <w:t xml:space="preserve">In Word, the value of </w:t>
      </w:r>
      <w:r>
        <w:rPr>
          <w:b/>
        </w:rPr>
        <w:t>original</w:t>
      </w:r>
      <w:r>
        <w:t xml:space="preserve"> is represented as separate </w:t>
      </w:r>
      <w:r>
        <w:t>numbering level definitions defined as follows:</w:t>
      </w:r>
    </w:p>
    <w:p w:rsidR="00024C0A" w:rsidRDefault="00694C0F">
      <w:pPr>
        <w:pStyle w:val="Code"/>
      </w:pPr>
      <w:r>
        <w:t>&lt;[numbering prefix]%[numbering level]:[nfc value]:[numbering format]:[separator]&gt;[repeat if more than one level]</w:t>
      </w:r>
    </w:p>
    <w:p w:rsidR="00024C0A" w:rsidRDefault="00694C0F">
      <w:r>
        <w:t xml:space="preserve">where: </w:t>
      </w:r>
    </w:p>
    <w:p w:rsidR="00024C0A" w:rsidRDefault="00694C0F">
      <w:pPr>
        <w:pStyle w:val="ListParagraph"/>
        <w:numPr>
          <w:ilvl w:val="0"/>
          <w:numId w:val="167"/>
        </w:numPr>
        <w:contextualSpacing/>
      </w:pPr>
      <w:r>
        <w:rPr>
          <w:rStyle w:val="InlineCode"/>
        </w:rPr>
        <w:t>numbering prefix</w:t>
      </w:r>
      <w:r>
        <w:t xml:space="preserve"> – Optional text which should precede the number.</w:t>
      </w:r>
    </w:p>
    <w:p w:rsidR="00024C0A" w:rsidRDefault="00694C0F">
      <w:pPr>
        <w:pStyle w:val="ListParagraph"/>
        <w:numPr>
          <w:ilvl w:val="0"/>
          <w:numId w:val="167"/>
        </w:numPr>
        <w:contextualSpacing/>
      </w:pPr>
      <w:r>
        <w:rPr>
          <w:rStyle w:val="InlineCode"/>
        </w:rPr>
        <w:t>numbering level</w:t>
      </w:r>
      <w:r>
        <w:t xml:space="preserve"> – The</w:t>
      </w:r>
      <w:r>
        <w:t xml:space="preserve"> level for which the numbering definition is defined.</w:t>
      </w:r>
    </w:p>
    <w:p w:rsidR="00024C0A" w:rsidRDefault="00694C0F">
      <w:pPr>
        <w:pStyle w:val="ListParagraph"/>
        <w:numPr>
          <w:ilvl w:val="0"/>
          <w:numId w:val="167"/>
        </w:numPr>
        <w:contextualSpacing/>
      </w:pPr>
      <w:r>
        <w:rPr>
          <w:rStyle w:val="InlineCode"/>
        </w:rPr>
        <w:t>nfc value</w:t>
      </w:r>
      <w:r>
        <w:t xml:space="preserve"> – The value of the numbering style at the specific numbering level.</w:t>
      </w:r>
    </w:p>
    <w:p w:rsidR="00024C0A" w:rsidRDefault="00694C0F">
      <w:pPr>
        <w:pStyle w:val="ListParagraph"/>
        <w:numPr>
          <w:ilvl w:val="0"/>
          <w:numId w:val="167"/>
        </w:numPr>
        <w:contextualSpacing/>
      </w:pPr>
      <w:r>
        <w:rPr>
          <w:rStyle w:val="InlineCode"/>
        </w:rPr>
        <w:t>numbering format</w:t>
      </w:r>
      <w:r>
        <w:t xml:space="preserve"> – The nfc value of the numbering format, as referenced in the following table.</w:t>
      </w:r>
    </w:p>
    <w:p w:rsidR="00024C0A" w:rsidRDefault="00694C0F">
      <w:pPr>
        <w:pStyle w:val="ListParagraph"/>
        <w:numPr>
          <w:ilvl w:val="0"/>
          <w:numId w:val="167"/>
        </w:numPr>
        <w:contextualSpacing/>
      </w:pPr>
      <w:r>
        <w:rPr>
          <w:rStyle w:val="InlineCode"/>
        </w:rPr>
        <w:t>separator</w:t>
      </w:r>
      <w:r>
        <w:t xml:space="preserve"> – The separator us</w:t>
      </w:r>
      <w:r>
        <w:t>ed to separate the numbering level definitions.</w:t>
      </w:r>
    </w:p>
    <w:p w:rsidR="00024C0A" w:rsidRDefault="00694C0F">
      <w:pPr>
        <w:pStyle w:val="ListParagraph"/>
        <w:numPr>
          <w:ilvl w:val="0"/>
          <w:numId w:val="167"/>
        </w:numPr>
        <w:contextualSpacing/>
      </w:pPr>
      <w:r>
        <w:t xml:space="preserve">If the </w:t>
      </w:r>
      <w:r>
        <w:rPr>
          <w:b/>
        </w:rPr>
        <w:t>numbering</w:t>
      </w:r>
      <w:r>
        <w:t xml:space="preserve"> prefix or </w:t>
      </w:r>
      <w:r>
        <w:rPr>
          <w:rStyle w:val="InlineCode"/>
        </w:rPr>
        <w:t>separator</w:t>
      </w:r>
      <w:r>
        <w:t xml:space="preserve"> includes a pair of consecutive % characters, then that pair of characters shall be treated as a single % character rather than the start of a new </w:t>
      </w:r>
      <w:r>
        <w:rPr>
          <w:rStyle w:val="InlineCode"/>
        </w:rPr>
        <w:t>numbering</w:t>
      </w:r>
      <w:r>
        <w:t xml:space="preserve"> level.</w:t>
      </w:r>
    </w:p>
    <w:p w:rsidR="00024C0A" w:rsidRDefault="00694C0F">
      <w:pPr>
        <w:pStyle w:val="ListParagraph"/>
        <w:numPr>
          <w:ilvl w:val="0"/>
          <w:numId w:val="167"/>
        </w:numPr>
      </w:pPr>
      <w:r>
        <w:t xml:space="preserve">The total length of </w:t>
      </w:r>
      <w:r>
        <w:rPr>
          <w:b/>
        </w:rPr>
        <w:t>original</w:t>
      </w:r>
      <w:r>
        <w:t xml:space="preserve">, omitting all instances of </w:t>
      </w:r>
      <w:r>
        <w:rPr>
          <w:rStyle w:val="InlineCode"/>
        </w:rPr>
        <w:t>nfc value</w:t>
      </w:r>
      <w:r>
        <w:t xml:space="preserve"> and </w:t>
      </w:r>
      <w:r>
        <w:rPr>
          <w:rStyle w:val="InlineCode"/>
        </w:rPr>
        <w:t>numbering format</w:t>
      </w:r>
      <w:r>
        <w:t xml:space="preserve"> and all ‘:’ characters used to separate the pieces of the number level definitions, shall be at most 31.</w:t>
      </w:r>
    </w:p>
    <w:p w:rsidR="00024C0A" w:rsidRDefault="00694C0F">
      <w:r>
        <w:t>The numbering format values are mapped as follows:</w:t>
      </w:r>
    </w:p>
    <w:tbl>
      <w:tblPr>
        <w:tblStyle w:val="Table-ShadedHeader"/>
        <w:tblW w:w="0" w:type="auto"/>
        <w:tblLook w:val="04A0" w:firstRow="1" w:lastRow="0" w:firstColumn="1" w:lastColumn="0" w:noHBand="0" w:noVBand="1"/>
      </w:tblPr>
      <w:tblGrid>
        <w:gridCol w:w="1222"/>
        <w:gridCol w:w="4128"/>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nfc Value</w:t>
            </w:r>
          </w:p>
        </w:tc>
        <w:tc>
          <w:tcPr>
            <w:tcW w:w="0" w:type="auto"/>
            <w:vAlign w:val="center"/>
          </w:tcPr>
          <w:p w:rsidR="00024C0A" w:rsidRDefault="00694C0F">
            <w:pPr>
              <w:pStyle w:val="TableHeaderText"/>
            </w:pPr>
            <w:r>
              <w:t>ST_NumberFormat enumeration equivalent</w:t>
            </w:r>
          </w:p>
        </w:tc>
      </w:tr>
      <w:tr w:rsidR="00024C0A" w:rsidTr="00024C0A">
        <w:tc>
          <w:tcPr>
            <w:tcW w:w="0" w:type="auto"/>
            <w:vAlign w:val="center"/>
          </w:tcPr>
          <w:p w:rsidR="00024C0A" w:rsidRDefault="00694C0F">
            <w:pPr>
              <w:pStyle w:val="TableBodyText"/>
            </w:pPr>
            <w:r>
              <w:rPr>
                <w:i/>
              </w:rPr>
              <w:t>0</w:t>
            </w:r>
          </w:p>
        </w:tc>
        <w:tc>
          <w:tcPr>
            <w:tcW w:w="0" w:type="auto"/>
            <w:vAlign w:val="center"/>
          </w:tcPr>
          <w:p w:rsidR="00024C0A" w:rsidRDefault="00694C0F">
            <w:pPr>
              <w:pStyle w:val="TableBodyText"/>
            </w:pPr>
            <w:r>
              <w:rPr>
                <w:i/>
              </w:rPr>
              <w:t>decimal</w:t>
            </w:r>
          </w:p>
        </w:tc>
      </w:tr>
      <w:tr w:rsidR="00024C0A" w:rsidTr="00024C0A">
        <w:tc>
          <w:tcPr>
            <w:tcW w:w="0" w:type="auto"/>
            <w:vAlign w:val="center"/>
          </w:tcPr>
          <w:p w:rsidR="00024C0A" w:rsidRDefault="00694C0F">
            <w:pPr>
              <w:pStyle w:val="TableBodyText"/>
            </w:pPr>
            <w:r>
              <w:rPr>
                <w:i/>
              </w:rPr>
              <w:t>1</w:t>
            </w:r>
          </w:p>
        </w:tc>
        <w:tc>
          <w:tcPr>
            <w:tcW w:w="0" w:type="auto"/>
            <w:vAlign w:val="center"/>
          </w:tcPr>
          <w:p w:rsidR="00024C0A" w:rsidRDefault="00694C0F">
            <w:pPr>
              <w:pStyle w:val="TableBodyText"/>
            </w:pPr>
            <w:r>
              <w:rPr>
                <w:i/>
              </w:rPr>
              <w:t>upperRoman</w:t>
            </w:r>
          </w:p>
        </w:tc>
      </w:tr>
      <w:tr w:rsidR="00024C0A" w:rsidTr="00024C0A">
        <w:tc>
          <w:tcPr>
            <w:tcW w:w="0" w:type="auto"/>
            <w:vAlign w:val="center"/>
          </w:tcPr>
          <w:p w:rsidR="00024C0A" w:rsidRDefault="00694C0F">
            <w:pPr>
              <w:pStyle w:val="TableBodyText"/>
            </w:pPr>
            <w:r>
              <w:rPr>
                <w:i/>
              </w:rPr>
              <w:t>2</w:t>
            </w:r>
          </w:p>
        </w:tc>
        <w:tc>
          <w:tcPr>
            <w:tcW w:w="0" w:type="auto"/>
            <w:vAlign w:val="center"/>
          </w:tcPr>
          <w:p w:rsidR="00024C0A" w:rsidRDefault="00694C0F">
            <w:pPr>
              <w:pStyle w:val="TableBodyText"/>
            </w:pPr>
            <w:r>
              <w:rPr>
                <w:i/>
              </w:rPr>
              <w:t>lowerRoman</w:t>
            </w:r>
          </w:p>
        </w:tc>
      </w:tr>
      <w:tr w:rsidR="00024C0A" w:rsidTr="00024C0A">
        <w:tc>
          <w:tcPr>
            <w:tcW w:w="0" w:type="auto"/>
            <w:vAlign w:val="center"/>
          </w:tcPr>
          <w:p w:rsidR="00024C0A" w:rsidRDefault="00694C0F">
            <w:pPr>
              <w:pStyle w:val="TableBodyText"/>
            </w:pPr>
            <w:r>
              <w:rPr>
                <w:i/>
              </w:rPr>
              <w:t>3</w:t>
            </w:r>
          </w:p>
        </w:tc>
        <w:tc>
          <w:tcPr>
            <w:tcW w:w="0" w:type="auto"/>
            <w:vAlign w:val="center"/>
          </w:tcPr>
          <w:p w:rsidR="00024C0A" w:rsidRDefault="00694C0F">
            <w:pPr>
              <w:pStyle w:val="TableBodyText"/>
            </w:pPr>
            <w:r>
              <w:rPr>
                <w:i/>
              </w:rPr>
              <w:t>upperLetter</w:t>
            </w:r>
          </w:p>
        </w:tc>
      </w:tr>
      <w:tr w:rsidR="00024C0A" w:rsidTr="00024C0A">
        <w:tc>
          <w:tcPr>
            <w:tcW w:w="0" w:type="auto"/>
            <w:vAlign w:val="center"/>
          </w:tcPr>
          <w:p w:rsidR="00024C0A" w:rsidRDefault="00694C0F">
            <w:pPr>
              <w:pStyle w:val="TableBodyText"/>
            </w:pPr>
            <w:r>
              <w:rPr>
                <w:i/>
              </w:rPr>
              <w:t>4</w:t>
            </w:r>
          </w:p>
        </w:tc>
        <w:tc>
          <w:tcPr>
            <w:tcW w:w="0" w:type="auto"/>
            <w:vAlign w:val="center"/>
          </w:tcPr>
          <w:p w:rsidR="00024C0A" w:rsidRDefault="00694C0F">
            <w:pPr>
              <w:pStyle w:val="TableBodyText"/>
            </w:pPr>
            <w:r>
              <w:rPr>
                <w:i/>
              </w:rPr>
              <w:t>lowerLetter</w:t>
            </w:r>
          </w:p>
        </w:tc>
      </w:tr>
      <w:tr w:rsidR="00024C0A" w:rsidTr="00024C0A">
        <w:tc>
          <w:tcPr>
            <w:tcW w:w="0" w:type="auto"/>
            <w:vAlign w:val="center"/>
          </w:tcPr>
          <w:p w:rsidR="00024C0A" w:rsidRDefault="00694C0F">
            <w:pPr>
              <w:pStyle w:val="TableBodyText"/>
            </w:pPr>
            <w:r>
              <w:rPr>
                <w:i/>
              </w:rPr>
              <w:t>5</w:t>
            </w:r>
          </w:p>
        </w:tc>
        <w:tc>
          <w:tcPr>
            <w:tcW w:w="0" w:type="auto"/>
            <w:vAlign w:val="center"/>
          </w:tcPr>
          <w:p w:rsidR="00024C0A" w:rsidRDefault="00694C0F">
            <w:pPr>
              <w:pStyle w:val="TableBodyText"/>
            </w:pPr>
            <w:r>
              <w:rPr>
                <w:i/>
              </w:rPr>
              <w:t>ordinal</w:t>
            </w:r>
          </w:p>
        </w:tc>
      </w:tr>
      <w:tr w:rsidR="00024C0A" w:rsidTr="00024C0A">
        <w:tc>
          <w:tcPr>
            <w:tcW w:w="0" w:type="auto"/>
            <w:vAlign w:val="center"/>
          </w:tcPr>
          <w:p w:rsidR="00024C0A" w:rsidRDefault="00694C0F">
            <w:pPr>
              <w:pStyle w:val="TableBodyText"/>
            </w:pPr>
            <w:r>
              <w:rPr>
                <w:i/>
              </w:rPr>
              <w:lastRenderedPageBreak/>
              <w:t>6</w:t>
            </w:r>
          </w:p>
        </w:tc>
        <w:tc>
          <w:tcPr>
            <w:tcW w:w="0" w:type="auto"/>
            <w:vAlign w:val="center"/>
          </w:tcPr>
          <w:p w:rsidR="00024C0A" w:rsidRDefault="00694C0F">
            <w:pPr>
              <w:pStyle w:val="TableBodyText"/>
            </w:pPr>
            <w:r>
              <w:rPr>
                <w:i/>
              </w:rPr>
              <w:t>cardinalText</w:t>
            </w:r>
          </w:p>
        </w:tc>
      </w:tr>
      <w:tr w:rsidR="00024C0A" w:rsidTr="00024C0A">
        <w:tc>
          <w:tcPr>
            <w:tcW w:w="0" w:type="auto"/>
            <w:vAlign w:val="center"/>
          </w:tcPr>
          <w:p w:rsidR="00024C0A" w:rsidRDefault="00694C0F">
            <w:pPr>
              <w:pStyle w:val="TableBodyText"/>
            </w:pPr>
            <w:r>
              <w:rPr>
                <w:i/>
              </w:rPr>
              <w:t>7</w:t>
            </w:r>
          </w:p>
        </w:tc>
        <w:tc>
          <w:tcPr>
            <w:tcW w:w="0" w:type="auto"/>
            <w:vAlign w:val="center"/>
          </w:tcPr>
          <w:p w:rsidR="00024C0A" w:rsidRDefault="00694C0F">
            <w:pPr>
              <w:pStyle w:val="TableBodyText"/>
            </w:pPr>
            <w:r>
              <w:rPr>
                <w:i/>
              </w:rPr>
              <w:t>ordinalText</w:t>
            </w:r>
          </w:p>
        </w:tc>
      </w:tr>
      <w:tr w:rsidR="00024C0A" w:rsidTr="00024C0A">
        <w:tc>
          <w:tcPr>
            <w:tcW w:w="0" w:type="auto"/>
            <w:vAlign w:val="center"/>
          </w:tcPr>
          <w:p w:rsidR="00024C0A" w:rsidRDefault="00694C0F">
            <w:pPr>
              <w:pStyle w:val="TableBodyText"/>
            </w:pPr>
            <w:r>
              <w:rPr>
                <w:i/>
              </w:rPr>
              <w:t>8</w:t>
            </w:r>
          </w:p>
        </w:tc>
        <w:tc>
          <w:tcPr>
            <w:tcW w:w="0" w:type="auto"/>
            <w:vAlign w:val="center"/>
          </w:tcPr>
          <w:p w:rsidR="00024C0A" w:rsidRDefault="00694C0F">
            <w:pPr>
              <w:pStyle w:val="TableBodyText"/>
            </w:pPr>
            <w:r>
              <w:rPr>
                <w:i/>
              </w:rPr>
              <w:t>hex</w:t>
            </w:r>
          </w:p>
        </w:tc>
      </w:tr>
      <w:tr w:rsidR="00024C0A" w:rsidTr="00024C0A">
        <w:tc>
          <w:tcPr>
            <w:tcW w:w="0" w:type="auto"/>
            <w:vAlign w:val="center"/>
          </w:tcPr>
          <w:p w:rsidR="00024C0A" w:rsidRDefault="00694C0F">
            <w:pPr>
              <w:pStyle w:val="TableBodyText"/>
            </w:pPr>
            <w:r>
              <w:rPr>
                <w:i/>
              </w:rPr>
              <w:t>9</w:t>
            </w:r>
          </w:p>
        </w:tc>
        <w:tc>
          <w:tcPr>
            <w:tcW w:w="0" w:type="auto"/>
            <w:vAlign w:val="center"/>
          </w:tcPr>
          <w:p w:rsidR="00024C0A" w:rsidRDefault="00694C0F">
            <w:pPr>
              <w:pStyle w:val="TableBodyText"/>
            </w:pPr>
            <w:r>
              <w:rPr>
                <w:i/>
              </w:rPr>
              <w:t>chicago</w:t>
            </w:r>
          </w:p>
        </w:tc>
      </w:tr>
      <w:tr w:rsidR="00024C0A" w:rsidTr="00024C0A">
        <w:tc>
          <w:tcPr>
            <w:tcW w:w="0" w:type="auto"/>
            <w:vAlign w:val="center"/>
          </w:tcPr>
          <w:p w:rsidR="00024C0A" w:rsidRDefault="00694C0F">
            <w:pPr>
              <w:pStyle w:val="TableBodyText"/>
            </w:pPr>
            <w:r>
              <w:rPr>
                <w:i/>
              </w:rPr>
              <w:t>10</w:t>
            </w:r>
          </w:p>
        </w:tc>
        <w:tc>
          <w:tcPr>
            <w:tcW w:w="0" w:type="auto"/>
            <w:vAlign w:val="center"/>
          </w:tcPr>
          <w:p w:rsidR="00024C0A" w:rsidRDefault="00694C0F">
            <w:pPr>
              <w:pStyle w:val="TableBodyText"/>
            </w:pPr>
            <w:r>
              <w:rPr>
                <w:i/>
              </w:rPr>
              <w:t>ideographDigital</w:t>
            </w:r>
          </w:p>
        </w:tc>
      </w:tr>
      <w:tr w:rsidR="00024C0A" w:rsidTr="00024C0A">
        <w:tc>
          <w:tcPr>
            <w:tcW w:w="0" w:type="auto"/>
            <w:vAlign w:val="center"/>
          </w:tcPr>
          <w:p w:rsidR="00024C0A" w:rsidRDefault="00694C0F">
            <w:pPr>
              <w:pStyle w:val="TableBodyText"/>
            </w:pPr>
            <w:r>
              <w:rPr>
                <w:i/>
              </w:rPr>
              <w:t>11</w:t>
            </w:r>
          </w:p>
        </w:tc>
        <w:tc>
          <w:tcPr>
            <w:tcW w:w="0" w:type="auto"/>
            <w:vAlign w:val="center"/>
          </w:tcPr>
          <w:p w:rsidR="00024C0A" w:rsidRDefault="00694C0F">
            <w:pPr>
              <w:pStyle w:val="TableBodyText"/>
            </w:pPr>
            <w:r>
              <w:rPr>
                <w:i/>
              </w:rPr>
              <w:t>japaneseCounting</w:t>
            </w:r>
          </w:p>
        </w:tc>
      </w:tr>
      <w:tr w:rsidR="00024C0A" w:rsidTr="00024C0A">
        <w:tc>
          <w:tcPr>
            <w:tcW w:w="0" w:type="auto"/>
            <w:vAlign w:val="center"/>
          </w:tcPr>
          <w:p w:rsidR="00024C0A" w:rsidRDefault="00694C0F">
            <w:pPr>
              <w:pStyle w:val="TableBodyText"/>
            </w:pPr>
            <w:r>
              <w:rPr>
                <w:i/>
              </w:rPr>
              <w:t>12</w:t>
            </w:r>
          </w:p>
        </w:tc>
        <w:tc>
          <w:tcPr>
            <w:tcW w:w="0" w:type="auto"/>
            <w:vAlign w:val="center"/>
          </w:tcPr>
          <w:p w:rsidR="00024C0A" w:rsidRDefault="00694C0F">
            <w:pPr>
              <w:pStyle w:val="TableBodyText"/>
            </w:pPr>
            <w:r>
              <w:rPr>
                <w:i/>
              </w:rPr>
              <w:t>Aiueo</w:t>
            </w:r>
          </w:p>
        </w:tc>
      </w:tr>
      <w:tr w:rsidR="00024C0A" w:rsidTr="00024C0A">
        <w:tc>
          <w:tcPr>
            <w:tcW w:w="0" w:type="auto"/>
            <w:vAlign w:val="center"/>
          </w:tcPr>
          <w:p w:rsidR="00024C0A" w:rsidRDefault="00694C0F">
            <w:pPr>
              <w:pStyle w:val="TableBodyText"/>
            </w:pPr>
            <w:r>
              <w:rPr>
                <w:i/>
              </w:rPr>
              <w:t>13</w:t>
            </w:r>
          </w:p>
        </w:tc>
        <w:tc>
          <w:tcPr>
            <w:tcW w:w="0" w:type="auto"/>
            <w:vAlign w:val="center"/>
          </w:tcPr>
          <w:p w:rsidR="00024C0A" w:rsidRDefault="00694C0F">
            <w:pPr>
              <w:pStyle w:val="TableBodyText"/>
            </w:pPr>
            <w:r>
              <w:rPr>
                <w:i/>
              </w:rPr>
              <w:t>Iroha</w:t>
            </w:r>
          </w:p>
        </w:tc>
      </w:tr>
      <w:tr w:rsidR="00024C0A" w:rsidTr="00024C0A">
        <w:tc>
          <w:tcPr>
            <w:tcW w:w="0" w:type="auto"/>
            <w:vAlign w:val="center"/>
          </w:tcPr>
          <w:p w:rsidR="00024C0A" w:rsidRDefault="00694C0F">
            <w:pPr>
              <w:pStyle w:val="TableBodyText"/>
            </w:pPr>
            <w:r>
              <w:rPr>
                <w:i/>
              </w:rPr>
              <w:t>14</w:t>
            </w:r>
          </w:p>
        </w:tc>
        <w:tc>
          <w:tcPr>
            <w:tcW w:w="0" w:type="auto"/>
            <w:vAlign w:val="center"/>
          </w:tcPr>
          <w:p w:rsidR="00024C0A" w:rsidRDefault="00694C0F">
            <w:pPr>
              <w:pStyle w:val="TableBodyText"/>
            </w:pPr>
            <w:r>
              <w:rPr>
                <w:i/>
              </w:rPr>
              <w:t>decimalFullWidth</w:t>
            </w:r>
          </w:p>
        </w:tc>
      </w:tr>
      <w:tr w:rsidR="00024C0A" w:rsidTr="00024C0A">
        <w:tc>
          <w:tcPr>
            <w:tcW w:w="0" w:type="auto"/>
            <w:vAlign w:val="center"/>
          </w:tcPr>
          <w:p w:rsidR="00024C0A" w:rsidRDefault="00694C0F">
            <w:pPr>
              <w:pStyle w:val="TableBodyText"/>
            </w:pPr>
            <w:r>
              <w:rPr>
                <w:i/>
              </w:rPr>
              <w:t>15</w:t>
            </w:r>
          </w:p>
        </w:tc>
        <w:tc>
          <w:tcPr>
            <w:tcW w:w="0" w:type="auto"/>
            <w:vAlign w:val="center"/>
          </w:tcPr>
          <w:p w:rsidR="00024C0A" w:rsidRDefault="00694C0F">
            <w:pPr>
              <w:pStyle w:val="TableBodyText"/>
            </w:pPr>
            <w:r>
              <w:rPr>
                <w:i/>
              </w:rPr>
              <w:t>decimalHalfWidth</w:t>
            </w:r>
          </w:p>
        </w:tc>
      </w:tr>
      <w:tr w:rsidR="00024C0A" w:rsidTr="00024C0A">
        <w:tc>
          <w:tcPr>
            <w:tcW w:w="0" w:type="auto"/>
            <w:vAlign w:val="center"/>
          </w:tcPr>
          <w:p w:rsidR="00024C0A" w:rsidRDefault="00694C0F">
            <w:pPr>
              <w:pStyle w:val="TableBodyText"/>
            </w:pPr>
            <w:r>
              <w:rPr>
                <w:i/>
              </w:rPr>
              <w:t>16</w:t>
            </w:r>
          </w:p>
        </w:tc>
        <w:tc>
          <w:tcPr>
            <w:tcW w:w="0" w:type="auto"/>
            <w:vAlign w:val="center"/>
          </w:tcPr>
          <w:p w:rsidR="00024C0A" w:rsidRDefault="00694C0F">
            <w:pPr>
              <w:pStyle w:val="TableBodyText"/>
            </w:pPr>
            <w:r>
              <w:rPr>
                <w:i/>
              </w:rPr>
              <w:t>japaneseLegal</w:t>
            </w:r>
          </w:p>
        </w:tc>
      </w:tr>
      <w:tr w:rsidR="00024C0A" w:rsidTr="00024C0A">
        <w:tc>
          <w:tcPr>
            <w:tcW w:w="0" w:type="auto"/>
            <w:vAlign w:val="center"/>
          </w:tcPr>
          <w:p w:rsidR="00024C0A" w:rsidRDefault="00694C0F">
            <w:pPr>
              <w:pStyle w:val="TableBodyText"/>
            </w:pPr>
            <w:r>
              <w:rPr>
                <w:i/>
              </w:rPr>
              <w:t>17</w:t>
            </w:r>
          </w:p>
        </w:tc>
        <w:tc>
          <w:tcPr>
            <w:tcW w:w="0" w:type="auto"/>
            <w:vAlign w:val="center"/>
          </w:tcPr>
          <w:p w:rsidR="00024C0A" w:rsidRDefault="00694C0F">
            <w:pPr>
              <w:pStyle w:val="TableBodyText"/>
            </w:pPr>
            <w:r>
              <w:rPr>
                <w:i/>
              </w:rPr>
              <w:t>japaneseDigitalTenThousand</w:t>
            </w:r>
          </w:p>
        </w:tc>
      </w:tr>
      <w:tr w:rsidR="00024C0A" w:rsidTr="00024C0A">
        <w:tc>
          <w:tcPr>
            <w:tcW w:w="0" w:type="auto"/>
            <w:vAlign w:val="center"/>
          </w:tcPr>
          <w:p w:rsidR="00024C0A" w:rsidRDefault="00694C0F">
            <w:pPr>
              <w:pStyle w:val="TableBodyText"/>
            </w:pPr>
            <w:r>
              <w:rPr>
                <w:i/>
              </w:rPr>
              <w:t>18</w:t>
            </w:r>
          </w:p>
        </w:tc>
        <w:tc>
          <w:tcPr>
            <w:tcW w:w="0" w:type="auto"/>
            <w:vAlign w:val="center"/>
          </w:tcPr>
          <w:p w:rsidR="00024C0A" w:rsidRDefault="00694C0F">
            <w:pPr>
              <w:pStyle w:val="TableBodyText"/>
            </w:pPr>
            <w:r>
              <w:rPr>
                <w:i/>
              </w:rPr>
              <w:t>decimalEnclosedCircle</w:t>
            </w:r>
          </w:p>
        </w:tc>
      </w:tr>
      <w:tr w:rsidR="00024C0A" w:rsidTr="00024C0A">
        <w:tc>
          <w:tcPr>
            <w:tcW w:w="0" w:type="auto"/>
            <w:vAlign w:val="center"/>
          </w:tcPr>
          <w:p w:rsidR="00024C0A" w:rsidRDefault="00694C0F">
            <w:pPr>
              <w:pStyle w:val="TableBodyText"/>
            </w:pPr>
            <w:r>
              <w:rPr>
                <w:i/>
              </w:rPr>
              <w:t>19</w:t>
            </w:r>
          </w:p>
        </w:tc>
        <w:tc>
          <w:tcPr>
            <w:tcW w:w="0" w:type="auto"/>
            <w:vAlign w:val="center"/>
          </w:tcPr>
          <w:p w:rsidR="00024C0A" w:rsidRDefault="00694C0F">
            <w:pPr>
              <w:pStyle w:val="TableBodyText"/>
            </w:pPr>
            <w:r>
              <w:rPr>
                <w:i/>
              </w:rPr>
              <w:t>decimalFullWidth2</w:t>
            </w:r>
          </w:p>
        </w:tc>
      </w:tr>
      <w:tr w:rsidR="00024C0A" w:rsidTr="00024C0A">
        <w:tc>
          <w:tcPr>
            <w:tcW w:w="0" w:type="auto"/>
            <w:vAlign w:val="center"/>
          </w:tcPr>
          <w:p w:rsidR="00024C0A" w:rsidRDefault="00694C0F">
            <w:pPr>
              <w:pStyle w:val="TableBodyText"/>
            </w:pPr>
            <w:r>
              <w:rPr>
                <w:i/>
              </w:rPr>
              <w:t>20</w:t>
            </w:r>
          </w:p>
        </w:tc>
        <w:tc>
          <w:tcPr>
            <w:tcW w:w="0" w:type="auto"/>
            <w:vAlign w:val="center"/>
          </w:tcPr>
          <w:p w:rsidR="00024C0A" w:rsidRDefault="00694C0F">
            <w:pPr>
              <w:pStyle w:val="TableBodyText"/>
            </w:pPr>
            <w:r>
              <w:rPr>
                <w:i/>
              </w:rPr>
              <w:t>aiueoFullWidth</w:t>
            </w:r>
          </w:p>
        </w:tc>
      </w:tr>
      <w:tr w:rsidR="00024C0A" w:rsidTr="00024C0A">
        <w:tc>
          <w:tcPr>
            <w:tcW w:w="0" w:type="auto"/>
            <w:vAlign w:val="center"/>
          </w:tcPr>
          <w:p w:rsidR="00024C0A" w:rsidRDefault="00694C0F">
            <w:pPr>
              <w:pStyle w:val="TableBodyText"/>
            </w:pPr>
            <w:r>
              <w:rPr>
                <w:i/>
              </w:rPr>
              <w:t>21</w:t>
            </w:r>
          </w:p>
        </w:tc>
        <w:tc>
          <w:tcPr>
            <w:tcW w:w="0" w:type="auto"/>
            <w:vAlign w:val="center"/>
          </w:tcPr>
          <w:p w:rsidR="00024C0A" w:rsidRDefault="00694C0F">
            <w:pPr>
              <w:pStyle w:val="TableBodyText"/>
            </w:pPr>
            <w:r>
              <w:rPr>
                <w:i/>
              </w:rPr>
              <w:t>irohaFullWidth</w:t>
            </w:r>
          </w:p>
        </w:tc>
      </w:tr>
      <w:tr w:rsidR="00024C0A" w:rsidTr="00024C0A">
        <w:tc>
          <w:tcPr>
            <w:tcW w:w="0" w:type="auto"/>
            <w:vAlign w:val="center"/>
          </w:tcPr>
          <w:p w:rsidR="00024C0A" w:rsidRDefault="00694C0F">
            <w:pPr>
              <w:pStyle w:val="TableBodyText"/>
            </w:pPr>
            <w:r>
              <w:rPr>
                <w:i/>
              </w:rPr>
              <w:t>22</w:t>
            </w:r>
          </w:p>
        </w:tc>
        <w:tc>
          <w:tcPr>
            <w:tcW w:w="0" w:type="auto"/>
            <w:vAlign w:val="center"/>
          </w:tcPr>
          <w:p w:rsidR="00024C0A" w:rsidRDefault="00694C0F">
            <w:pPr>
              <w:pStyle w:val="TableBodyText"/>
            </w:pPr>
            <w:r>
              <w:rPr>
                <w:i/>
              </w:rPr>
              <w:t>decimalZero</w:t>
            </w:r>
          </w:p>
        </w:tc>
      </w:tr>
      <w:tr w:rsidR="00024C0A" w:rsidTr="00024C0A">
        <w:tc>
          <w:tcPr>
            <w:tcW w:w="0" w:type="auto"/>
            <w:vAlign w:val="center"/>
          </w:tcPr>
          <w:p w:rsidR="00024C0A" w:rsidRDefault="00694C0F">
            <w:pPr>
              <w:pStyle w:val="TableBodyText"/>
            </w:pPr>
            <w:r>
              <w:rPr>
                <w:i/>
              </w:rPr>
              <w:t>23</w:t>
            </w:r>
          </w:p>
        </w:tc>
        <w:tc>
          <w:tcPr>
            <w:tcW w:w="0" w:type="auto"/>
            <w:vAlign w:val="center"/>
          </w:tcPr>
          <w:p w:rsidR="00024C0A" w:rsidRDefault="00694C0F">
            <w:pPr>
              <w:pStyle w:val="TableBodyText"/>
            </w:pPr>
            <w:r>
              <w:rPr>
                <w:i/>
              </w:rPr>
              <w:t>bullet</w:t>
            </w:r>
          </w:p>
        </w:tc>
      </w:tr>
      <w:tr w:rsidR="00024C0A" w:rsidTr="00024C0A">
        <w:tc>
          <w:tcPr>
            <w:tcW w:w="0" w:type="auto"/>
            <w:vAlign w:val="center"/>
          </w:tcPr>
          <w:p w:rsidR="00024C0A" w:rsidRDefault="00694C0F">
            <w:pPr>
              <w:pStyle w:val="TableBodyText"/>
            </w:pPr>
            <w:r>
              <w:rPr>
                <w:i/>
              </w:rPr>
              <w:t>24</w:t>
            </w:r>
          </w:p>
        </w:tc>
        <w:tc>
          <w:tcPr>
            <w:tcW w:w="0" w:type="auto"/>
            <w:vAlign w:val="center"/>
          </w:tcPr>
          <w:p w:rsidR="00024C0A" w:rsidRDefault="00694C0F">
            <w:pPr>
              <w:pStyle w:val="TableBodyText"/>
            </w:pPr>
            <w:r>
              <w:rPr>
                <w:i/>
              </w:rPr>
              <w:t>ganada</w:t>
            </w:r>
          </w:p>
        </w:tc>
      </w:tr>
      <w:tr w:rsidR="00024C0A" w:rsidTr="00024C0A">
        <w:tc>
          <w:tcPr>
            <w:tcW w:w="0" w:type="auto"/>
            <w:vAlign w:val="center"/>
          </w:tcPr>
          <w:p w:rsidR="00024C0A" w:rsidRDefault="00694C0F">
            <w:pPr>
              <w:pStyle w:val="TableBodyText"/>
            </w:pPr>
            <w:r>
              <w:rPr>
                <w:i/>
              </w:rPr>
              <w:t>25</w:t>
            </w:r>
          </w:p>
        </w:tc>
        <w:tc>
          <w:tcPr>
            <w:tcW w:w="0" w:type="auto"/>
            <w:vAlign w:val="center"/>
          </w:tcPr>
          <w:p w:rsidR="00024C0A" w:rsidRDefault="00694C0F">
            <w:pPr>
              <w:pStyle w:val="TableBodyText"/>
            </w:pPr>
            <w:r>
              <w:rPr>
                <w:i/>
              </w:rPr>
              <w:t>chosung</w:t>
            </w:r>
          </w:p>
        </w:tc>
      </w:tr>
      <w:tr w:rsidR="00024C0A" w:rsidTr="00024C0A">
        <w:tc>
          <w:tcPr>
            <w:tcW w:w="0" w:type="auto"/>
            <w:vAlign w:val="center"/>
          </w:tcPr>
          <w:p w:rsidR="00024C0A" w:rsidRDefault="00694C0F">
            <w:pPr>
              <w:pStyle w:val="TableBodyText"/>
            </w:pPr>
            <w:r>
              <w:rPr>
                <w:i/>
              </w:rPr>
              <w:t>26</w:t>
            </w:r>
          </w:p>
        </w:tc>
        <w:tc>
          <w:tcPr>
            <w:tcW w:w="0" w:type="auto"/>
            <w:vAlign w:val="center"/>
          </w:tcPr>
          <w:p w:rsidR="00024C0A" w:rsidRDefault="00694C0F">
            <w:pPr>
              <w:pStyle w:val="TableBodyText"/>
            </w:pPr>
            <w:r>
              <w:rPr>
                <w:i/>
              </w:rPr>
              <w:t>decimalEnclosedFullstop</w:t>
            </w:r>
          </w:p>
        </w:tc>
      </w:tr>
      <w:tr w:rsidR="00024C0A" w:rsidTr="00024C0A">
        <w:tc>
          <w:tcPr>
            <w:tcW w:w="0" w:type="auto"/>
            <w:vAlign w:val="center"/>
          </w:tcPr>
          <w:p w:rsidR="00024C0A" w:rsidRDefault="00694C0F">
            <w:pPr>
              <w:pStyle w:val="TableBodyText"/>
            </w:pPr>
            <w:r>
              <w:rPr>
                <w:i/>
              </w:rPr>
              <w:t>27</w:t>
            </w:r>
          </w:p>
        </w:tc>
        <w:tc>
          <w:tcPr>
            <w:tcW w:w="0" w:type="auto"/>
            <w:vAlign w:val="center"/>
          </w:tcPr>
          <w:p w:rsidR="00024C0A" w:rsidRDefault="00694C0F">
            <w:pPr>
              <w:pStyle w:val="TableBodyText"/>
            </w:pPr>
            <w:r>
              <w:rPr>
                <w:i/>
              </w:rPr>
              <w:t>decimalEnclosedParen</w:t>
            </w:r>
          </w:p>
        </w:tc>
      </w:tr>
      <w:tr w:rsidR="00024C0A" w:rsidTr="00024C0A">
        <w:tc>
          <w:tcPr>
            <w:tcW w:w="0" w:type="auto"/>
            <w:vAlign w:val="center"/>
          </w:tcPr>
          <w:p w:rsidR="00024C0A" w:rsidRDefault="00694C0F">
            <w:pPr>
              <w:pStyle w:val="TableBodyText"/>
            </w:pPr>
            <w:r>
              <w:rPr>
                <w:i/>
              </w:rPr>
              <w:t>28</w:t>
            </w:r>
          </w:p>
        </w:tc>
        <w:tc>
          <w:tcPr>
            <w:tcW w:w="0" w:type="auto"/>
            <w:vAlign w:val="center"/>
          </w:tcPr>
          <w:p w:rsidR="00024C0A" w:rsidRDefault="00694C0F">
            <w:pPr>
              <w:pStyle w:val="TableBodyText"/>
            </w:pPr>
            <w:r>
              <w:rPr>
                <w:i/>
              </w:rPr>
              <w:t>decimalEnclosedCircleChinese</w:t>
            </w:r>
          </w:p>
        </w:tc>
      </w:tr>
      <w:tr w:rsidR="00024C0A" w:rsidTr="00024C0A">
        <w:tc>
          <w:tcPr>
            <w:tcW w:w="0" w:type="auto"/>
            <w:vAlign w:val="center"/>
          </w:tcPr>
          <w:p w:rsidR="00024C0A" w:rsidRDefault="00694C0F">
            <w:pPr>
              <w:pStyle w:val="TableBodyText"/>
            </w:pPr>
            <w:r>
              <w:rPr>
                <w:i/>
              </w:rPr>
              <w:t>29</w:t>
            </w:r>
          </w:p>
        </w:tc>
        <w:tc>
          <w:tcPr>
            <w:tcW w:w="0" w:type="auto"/>
            <w:vAlign w:val="center"/>
          </w:tcPr>
          <w:p w:rsidR="00024C0A" w:rsidRDefault="00694C0F">
            <w:pPr>
              <w:pStyle w:val="TableBodyText"/>
            </w:pPr>
            <w:r>
              <w:rPr>
                <w:i/>
              </w:rPr>
              <w:t>ideographEnclosedCircle</w:t>
            </w:r>
          </w:p>
        </w:tc>
      </w:tr>
      <w:tr w:rsidR="00024C0A" w:rsidTr="00024C0A">
        <w:tc>
          <w:tcPr>
            <w:tcW w:w="0" w:type="auto"/>
            <w:vAlign w:val="center"/>
          </w:tcPr>
          <w:p w:rsidR="00024C0A" w:rsidRDefault="00694C0F">
            <w:pPr>
              <w:pStyle w:val="TableBodyText"/>
            </w:pPr>
            <w:r>
              <w:rPr>
                <w:i/>
              </w:rPr>
              <w:t>30</w:t>
            </w:r>
          </w:p>
        </w:tc>
        <w:tc>
          <w:tcPr>
            <w:tcW w:w="0" w:type="auto"/>
            <w:vAlign w:val="center"/>
          </w:tcPr>
          <w:p w:rsidR="00024C0A" w:rsidRDefault="00694C0F">
            <w:pPr>
              <w:pStyle w:val="TableBodyText"/>
            </w:pPr>
            <w:r>
              <w:rPr>
                <w:i/>
              </w:rPr>
              <w:t>ideographTraditional</w:t>
            </w:r>
          </w:p>
        </w:tc>
      </w:tr>
      <w:tr w:rsidR="00024C0A" w:rsidTr="00024C0A">
        <w:tc>
          <w:tcPr>
            <w:tcW w:w="0" w:type="auto"/>
            <w:vAlign w:val="center"/>
          </w:tcPr>
          <w:p w:rsidR="00024C0A" w:rsidRDefault="00694C0F">
            <w:pPr>
              <w:pStyle w:val="TableBodyText"/>
            </w:pPr>
            <w:r>
              <w:rPr>
                <w:i/>
              </w:rPr>
              <w:t>31</w:t>
            </w:r>
          </w:p>
        </w:tc>
        <w:tc>
          <w:tcPr>
            <w:tcW w:w="0" w:type="auto"/>
            <w:vAlign w:val="center"/>
          </w:tcPr>
          <w:p w:rsidR="00024C0A" w:rsidRDefault="00694C0F">
            <w:pPr>
              <w:pStyle w:val="TableBodyText"/>
            </w:pPr>
            <w:r>
              <w:rPr>
                <w:i/>
              </w:rPr>
              <w:t>ideographZodiac</w:t>
            </w:r>
          </w:p>
        </w:tc>
      </w:tr>
      <w:tr w:rsidR="00024C0A" w:rsidTr="00024C0A">
        <w:tc>
          <w:tcPr>
            <w:tcW w:w="0" w:type="auto"/>
            <w:vAlign w:val="center"/>
          </w:tcPr>
          <w:p w:rsidR="00024C0A" w:rsidRDefault="00694C0F">
            <w:pPr>
              <w:pStyle w:val="TableBodyText"/>
            </w:pPr>
            <w:r>
              <w:rPr>
                <w:i/>
              </w:rPr>
              <w:t>32</w:t>
            </w:r>
          </w:p>
        </w:tc>
        <w:tc>
          <w:tcPr>
            <w:tcW w:w="0" w:type="auto"/>
            <w:vAlign w:val="center"/>
          </w:tcPr>
          <w:p w:rsidR="00024C0A" w:rsidRDefault="00694C0F">
            <w:pPr>
              <w:pStyle w:val="TableBodyText"/>
            </w:pPr>
            <w:r>
              <w:rPr>
                <w:i/>
              </w:rPr>
              <w:t>ideographZodiacTraditional</w:t>
            </w:r>
          </w:p>
        </w:tc>
      </w:tr>
      <w:tr w:rsidR="00024C0A" w:rsidTr="00024C0A">
        <w:tc>
          <w:tcPr>
            <w:tcW w:w="0" w:type="auto"/>
            <w:vAlign w:val="center"/>
          </w:tcPr>
          <w:p w:rsidR="00024C0A" w:rsidRDefault="00694C0F">
            <w:pPr>
              <w:pStyle w:val="TableBodyText"/>
            </w:pPr>
            <w:r>
              <w:rPr>
                <w:i/>
              </w:rPr>
              <w:t>33</w:t>
            </w:r>
          </w:p>
        </w:tc>
        <w:tc>
          <w:tcPr>
            <w:tcW w:w="0" w:type="auto"/>
            <w:vAlign w:val="center"/>
          </w:tcPr>
          <w:p w:rsidR="00024C0A" w:rsidRDefault="00694C0F">
            <w:pPr>
              <w:pStyle w:val="TableBodyText"/>
            </w:pPr>
            <w:r>
              <w:rPr>
                <w:i/>
              </w:rPr>
              <w:t>taiwaneseCounting</w:t>
            </w:r>
          </w:p>
        </w:tc>
      </w:tr>
      <w:tr w:rsidR="00024C0A" w:rsidTr="00024C0A">
        <w:tc>
          <w:tcPr>
            <w:tcW w:w="0" w:type="auto"/>
            <w:vAlign w:val="center"/>
          </w:tcPr>
          <w:p w:rsidR="00024C0A" w:rsidRDefault="00694C0F">
            <w:pPr>
              <w:pStyle w:val="TableBodyText"/>
            </w:pPr>
            <w:r>
              <w:rPr>
                <w:i/>
              </w:rPr>
              <w:t>34</w:t>
            </w:r>
          </w:p>
        </w:tc>
        <w:tc>
          <w:tcPr>
            <w:tcW w:w="0" w:type="auto"/>
            <w:vAlign w:val="center"/>
          </w:tcPr>
          <w:p w:rsidR="00024C0A" w:rsidRDefault="00694C0F">
            <w:pPr>
              <w:pStyle w:val="TableBodyText"/>
            </w:pPr>
            <w:r>
              <w:rPr>
                <w:i/>
              </w:rPr>
              <w:t>ideographLegalTraditional</w:t>
            </w:r>
          </w:p>
        </w:tc>
      </w:tr>
      <w:tr w:rsidR="00024C0A" w:rsidTr="00024C0A">
        <w:tc>
          <w:tcPr>
            <w:tcW w:w="0" w:type="auto"/>
            <w:vAlign w:val="center"/>
          </w:tcPr>
          <w:p w:rsidR="00024C0A" w:rsidRDefault="00694C0F">
            <w:pPr>
              <w:pStyle w:val="TableBodyText"/>
            </w:pPr>
            <w:r>
              <w:rPr>
                <w:i/>
              </w:rPr>
              <w:t>35</w:t>
            </w:r>
          </w:p>
        </w:tc>
        <w:tc>
          <w:tcPr>
            <w:tcW w:w="0" w:type="auto"/>
            <w:vAlign w:val="center"/>
          </w:tcPr>
          <w:p w:rsidR="00024C0A" w:rsidRDefault="00694C0F">
            <w:pPr>
              <w:pStyle w:val="TableBodyText"/>
            </w:pPr>
            <w:r>
              <w:rPr>
                <w:i/>
              </w:rPr>
              <w:t>taiwaneseCountingThousand</w:t>
            </w:r>
          </w:p>
        </w:tc>
      </w:tr>
      <w:tr w:rsidR="00024C0A" w:rsidTr="00024C0A">
        <w:tc>
          <w:tcPr>
            <w:tcW w:w="0" w:type="auto"/>
            <w:vAlign w:val="center"/>
          </w:tcPr>
          <w:p w:rsidR="00024C0A" w:rsidRDefault="00694C0F">
            <w:pPr>
              <w:pStyle w:val="TableBodyText"/>
            </w:pPr>
            <w:r>
              <w:rPr>
                <w:i/>
              </w:rPr>
              <w:t>36</w:t>
            </w:r>
          </w:p>
        </w:tc>
        <w:tc>
          <w:tcPr>
            <w:tcW w:w="0" w:type="auto"/>
            <w:vAlign w:val="center"/>
          </w:tcPr>
          <w:p w:rsidR="00024C0A" w:rsidRDefault="00694C0F">
            <w:pPr>
              <w:pStyle w:val="TableBodyText"/>
            </w:pPr>
            <w:r>
              <w:rPr>
                <w:i/>
              </w:rPr>
              <w:t>taiwaneseDigital</w:t>
            </w:r>
          </w:p>
        </w:tc>
      </w:tr>
      <w:tr w:rsidR="00024C0A" w:rsidTr="00024C0A">
        <w:tc>
          <w:tcPr>
            <w:tcW w:w="0" w:type="auto"/>
            <w:vAlign w:val="center"/>
          </w:tcPr>
          <w:p w:rsidR="00024C0A" w:rsidRDefault="00694C0F">
            <w:pPr>
              <w:pStyle w:val="TableBodyText"/>
            </w:pPr>
            <w:r>
              <w:rPr>
                <w:i/>
              </w:rPr>
              <w:t>37</w:t>
            </w:r>
          </w:p>
        </w:tc>
        <w:tc>
          <w:tcPr>
            <w:tcW w:w="0" w:type="auto"/>
            <w:vAlign w:val="center"/>
          </w:tcPr>
          <w:p w:rsidR="00024C0A" w:rsidRDefault="00694C0F">
            <w:pPr>
              <w:pStyle w:val="TableBodyText"/>
            </w:pPr>
            <w:r>
              <w:rPr>
                <w:i/>
              </w:rPr>
              <w:t>chineseCounting</w:t>
            </w:r>
          </w:p>
        </w:tc>
      </w:tr>
      <w:tr w:rsidR="00024C0A" w:rsidTr="00024C0A">
        <w:tc>
          <w:tcPr>
            <w:tcW w:w="0" w:type="auto"/>
            <w:vAlign w:val="center"/>
          </w:tcPr>
          <w:p w:rsidR="00024C0A" w:rsidRDefault="00694C0F">
            <w:pPr>
              <w:pStyle w:val="TableBodyText"/>
            </w:pPr>
            <w:r>
              <w:rPr>
                <w:i/>
              </w:rPr>
              <w:lastRenderedPageBreak/>
              <w:t>38</w:t>
            </w:r>
          </w:p>
        </w:tc>
        <w:tc>
          <w:tcPr>
            <w:tcW w:w="0" w:type="auto"/>
            <w:vAlign w:val="center"/>
          </w:tcPr>
          <w:p w:rsidR="00024C0A" w:rsidRDefault="00694C0F">
            <w:pPr>
              <w:pStyle w:val="TableBodyText"/>
            </w:pPr>
            <w:r>
              <w:rPr>
                <w:i/>
              </w:rPr>
              <w:t>chineseLegalSimplified</w:t>
            </w:r>
          </w:p>
        </w:tc>
      </w:tr>
      <w:tr w:rsidR="00024C0A" w:rsidTr="00024C0A">
        <w:tc>
          <w:tcPr>
            <w:tcW w:w="0" w:type="auto"/>
            <w:vAlign w:val="center"/>
          </w:tcPr>
          <w:p w:rsidR="00024C0A" w:rsidRDefault="00694C0F">
            <w:pPr>
              <w:pStyle w:val="TableBodyText"/>
            </w:pPr>
            <w:r>
              <w:rPr>
                <w:i/>
              </w:rPr>
              <w:t>39</w:t>
            </w:r>
          </w:p>
        </w:tc>
        <w:tc>
          <w:tcPr>
            <w:tcW w:w="0" w:type="auto"/>
            <w:vAlign w:val="center"/>
          </w:tcPr>
          <w:p w:rsidR="00024C0A" w:rsidRDefault="00694C0F">
            <w:pPr>
              <w:pStyle w:val="TableBodyText"/>
            </w:pPr>
            <w:r>
              <w:rPr>
                <w:i/>
              </w:rPr>
              <w:t>chineseCountingThousand</w:t>
            </w:r>
          </w:p>
        </w:tc>
      </w:tr>
      <w:tr w:rsidR="00024C0A" w:rsidTr="00024C0A">
        <w:tc>
          <w:tcPr>
            <w:tcW w:w="0" w:type="auto"/>
            <w:vAlign w:val="center"/>
          </w:tcPr>
          <w:p w:rsidR="00024C0A" w:rsidRDefault="00694C0F">
            <w:pPr>
              <w:pStyle w:val="TableBodyText"/>
            </w:pPr>
            <w:r>
              <w:rPr>
                <w:i/>
              </w:rPr>
              <w:t>40</w:t>
            </w:r>
          </w:p>
        </w:tc>
        <w:tc>
          <w:tcPr>
            <w:tcW w:w="0" w:type="auto"/>
            <w:vAlign w:val="center"/>
          </w:tcPr>
          <w:p w:rsidR="00024C0A" w:rsidRDefault="00694C0F">
            <w:pPr>
              <w:pStyle w:val="TableBodyText"/>
            </w:pPr>
            <w:r>
              <w:t>Application-defined. May be ignored.</w:t>
            </w:r>
          </w:p>
        </w:tc>
      </w:tr>
      <w:tr w:rsidR="00024C0A" w:rsidTr="00024C0A">
        <w:tc>
          <w:tcPr>
            <w:tcW w:w="0" w:type="auto"/>
            <w:vAlign w:val="center"/>
          </w:tcPr>
          <w:p w:rsidR="00024C0A" w:rsidRDefault="00694C0F">
            <w:pPr>
              <w:pStyle w:val="TableBodyText"/>
            </w:pPr>
            <w:r>
              <w:rPr>
                <w:i/>
              </w:rPr>
              <w:t>41</w:t>
            </w:r>
          </w:p>
        </w:tc>
        <w:tc>
          <w:tcPr>
            <w:tcW w:w="0" w:type="auto"/>
            <w:vAlign w:val="center"/>
          </w:tcPr>
          <w:p w:rsidR="00024C0A" w:rsidRDefault="00694C0F">
            <w:pPr>
              <w:pStyle w:val="TableBodyText"/>
            </w:pPr>
            <w:r>
              <w:rPr>
                <w:i/>
              </w:rPr>
              <w:t>koreanDigital</w:t>
            </w:r>
          </w:p>
        </w:tc>
      </w:tr>
      <w:tr w:rsidR="00024C0A" w:rsidTr="00024C0A">
        <w:tc>
          <w:tcPr>
            <w:tcW w:w="0" w:type="auto"/>
            <w:vAlign w:val="center"/>
          </w:tcPr>
          <w:p w:rsidR="00024C0A" w:rsidRDefault="00694C0F">
            <w:pPr>
              <w:pStyle w:val="TableBodyText"/>
            </w:pPr>
            <w:r>
              <w:rPr>
                <w:i/>
              </w:rPr>
              <w:t>42</w:t>
            </w:r>
          </w:p>
        </w:tc>
        <w:tc>
          <w:tcPr>
            <w:tcW w:w="0" w:type="auto"/>
            <w:vAlign w:val="center"/>
          </w:tcPr>
          <w:p w:rsidR="00024C0A" w:rsidRDefault="00694C0F">
            <w:pPr>
              <w:pStyle w:val="TableBodyText"/>
            </w:pPr>
            <w:r>
              <w:rPr>
                <w:i/>
              </w:rPr>
              <w:t>koreanCounting</w:t>
            </w:r>
          </w:p>
        </w:tc>
      </w:tr>
      <w:tr w:rsidR="00024C0A" w:rsidTr="00024C0A">
        <w:tc>
          <w:tcPr>
            <w:tcW w:w="0" w:type="auto"/>
            <w:vAlign w:val="center"/>
          </w:tcPr>
          <w:p w:rsidR="00024C0A" w:rsidRDefault="00694C0F">
            <w:pPr>
              <w:pStyle w:val="TableBodyText"/>
            </w:pPr>
            <w:r>
              <w:rPr>
                <w:i/>
              </w:rPr>
              <w:t>43</w:t>
            </w:r>
          </w:p>
        </w:tc>
        <w:tc>
          <w:tcPr>
            <w:tcW w:w="0" w:type="auto"/>
            <w:vAlign w:val="center"/>
          </w:tcPr>
          <w:p w:rsidR="00024C0A" w:rsidRDefault="00694C0F">
            <w:pPr>
              <w:pStyle w:val="TableBodyText"/>
            </w:pPr>
            <w:r>
              <w:rPr>
                <w:i/>
              </w:rPr>
              <w:t>koreanLegal</w:t>
            </w:r>
          </w:p>
        </w:tc>
      </w:tr>
      <w:tr w:rsidR="00024C0A" w:rsidTr="00024C0A">
        <w:tc>
          <w:tcPr>
            <w:tcW w:w="0" w:type="auto"/>
            <w:vAlign w:val="center"/>
          </w:tcPr>
          <w:p w:rsidR="00024C0A" w:rsidRDefault="00694C0F">
            <w:pPr>
              <w:pStyle w:val="TableBodyText"/>
            </w:pPr>
            <w:r>
              <w:rPr>
                <w:i/>
              </w:rPr>
              <w:t>44</w:t>
            </w:r>
          </w:p>
        </w:tc>
        <w:tc>
          <w:tcPr>
            <w:tcW w:w="0" w:type="auto"/>
            <w:vAlign w:val="center"/>
          </w:tcPr>
          <w:p w:rsidR="00024C0A" w:rsidRDefault="00694C0F">
            <w:pPr>
              <w:pStyle w:val="TableBodyText"/>
            </w:pPr>
            <w:r>
              <w:rPr>
                <w:i/>
              </w:rPr>
              <w:t>koreanDigital2</w:t>
            </w:r>
          </w:p>
        </w:tc>
      </w:tr>
      <w:tr w:rsidR="00024C0A" w:rsidTr="00024C0A">
        <w:tc>
          <w:tcPr>
            <w:tcW w:w="0" w:type="auto"/>
            <w:vAlign w:val="center"/>
          </w:tcPr>
          <w:p w:rsidR="00024C0A" w:rsidRDefault="00694C0F">
            <w:pPr>
              <w:pStyle w:val="TableBodyText"/>
            </w:pPr>
            <w:r>
              <w:rPr>
                <w:i/>
              </w:rPr>
              <w:t>45</w:t>
            </w:r>
          </w:p>
        </w:tc>
        <w:tc>
          <w:tcPr>
            <w:tcW w:w="0" w:type="auto"/>
            <w:vAlign w:val="center"/>
          </w:tcPr>
          <w:p w:rsidR="00024C0A" w:rsidRDefault="00694C0F">
            <w:pPr>
              <w:pStyle w:val="TableBodyText"/>
            </w:pPr>
            <w:r>
              <w:rPr>
                <w:i/>
              </w:rPr>
              <w:t>hebrew1</w:t>
            </w:r>
          </w:p>
        </w:tc>
      </w:tr>
      <w:tr w:rsidR="00024C0A" w:rsidTr="00024C0A">
        <w:tc>
          <w:tcPr>
            <w:tcW w:w="0" w:type="auto"/>
            <w:vAlign w:val="center"/>
          </w:tcPr>
          <w:p w:rsidR="00024C0A" w:rsidRDefault="00694C0F">
            <w:pPr>
              <w:pStyle w:val="TableBodyText"/>
            </w:pPr>
            <w:r>
              <w:rPr>
                <w:i/>
              </w:rPr>
              <w:t>46</w:t>
            </w:r>
          </w:p>
        </w:tc>
        <w:tc>
          <w:tcPr>
            <w:tcW w:w="0" w:type="auto"/>
            <w:vAlign w:val="center"/>
          </w:tcPr>
          <w:p w:rsidR="00024C0A" w:rsidRDefault="00694C0F">
            <w:pPr>
              <w:pStyle w:val="TableBodyText"/>
            </w:pPr>
            <w:r>
              <w:rPr>
                <w:i/>
              </w:rPr>
              <w:t>arabicAlpha</w:t>
            </w:r>
          </w:p>
        </w:tc>
      </w:tr>
      <w:tr w:rsidR="00024C0A" w:rsidTr="00024C0A">
        <w:tc>
          <w:tcPr>
            <w:tcW w:w="0" w:type="auto"/>
            <w:vAlign w:val="center"/>
          </w:tcPr>
          <w:p w:rsidR="00024C0A" w:rsidRDefault="00694C0F">
            <w:pPr>
              <w:pStyle w:val="TableBodyText"/>
            </w:pPr>
            <w:r>
              <w:rPr>
                <w:i/>
              </w:rPr>
              <w:t>47</w:t>
            </w:r>
          </w:p>
        </w:tc>
        <w:tc>
          <w:tcPr>
            <w:tcW w:w="0" w:type="auto"/>
            <w:vAlign w:val="center"/>
          </w:tcPr>
          <w:p w:rsidR="00024C0A" w:rsidRDefault="00694C0F">
            <w:pPr>
              <w:pStyle w:val="TableBodyText"/>
            </w:pPr>
            <w:r>
              <w:rPr>
                <w:i/>
              </w:rPr>
              <w:t>hebrew2</w:t>
            </w:r>
          </w:p>
        </w:tc>
      </w:tr>
      <w:tr w:rsidR="00024C0A" w:rsidTr="00024C0A">
        <w:tc>
          <w:tcPr>
            <w:tcW w:w="0" w:type="auto"/>
            <w:vAlign w:val="center"/>
          </w:tcPr>
          <w:p w:rsidR="00024C0A" w:rsidRDefault="00694C0F">
            <w:pPr>
              <w:pStyle w:val="TableBodyText"/>
            </w:pPr>
            <w:r>
              <w:rPr>
                <w:i/>
              </w:rPr>
              <w:t>48</w:t>
            </w:r>
          </w:p>
        </w:tc>
        <w:tc>
          <w:tcPr>
            <w:tcW w:w="0" w:type="auto"/>
            <w:vAlign w:val="center"/>
          </w:tcPr>
          <w:p w:rsidR="00024C0A" w:rsidRDefault="00694C0F">
            <w:pPr>
              <w:pStyle w:val="TableBodyText"/>
            </w:pPr>
            <w:r>
              <w:rPr>
                <w:i/>
              </w:rPr>
              <w:t>arabicAbjad</w:t>
            </w:r>
          </w:p>
        </w:tc>
      </w:tr>
      <w:tr w:rsidR="00024C0A" w:rsidTr="00024C0A">
        <w:tc>
          <w:tcPr>
            <w:tcW w:w="0" w:type="auto"/>
            <w:vAlign w:val="center"/>
          </w:tcPr>
          <w:p w:rsidR="00024C0A" w:rsidRDefault="00694C0F">
            <w:pPr>
              <w:pStyle w:val="TableBodyText"/>
            </w:pPr>
            <w:r>
              <w:rPr>
                <w:i/>
              </w:rPr>
              <w:t>49</w:t>
            </w:r>
          </w:p>
        </w:tc>
        <w:tc>
          <w:tcPr>
            <w:tcW w:w="0" w:type="auto"/>
            <w:vAlign w:val="center"/>
          </w:tcPr>
          <w:p w:rsidR="00024C0A" w:rsidRDefault="00694C0F">
            <w:pPr>
              <w:pStyle w:val="TableBodyText"/>
            </w:pPr>
            <w:r>
              <w:rPr>
                <w:i/>
              </w:rPr>
              <w:t>hindiVowels</w:t>
            </w:r>
          </w:p>
        </w:tc>
      </w:tr>
      <w:tr w:rsidR="00024C0A" w:rsidTr="00024C0A">
        <w:tc>
          <w:tcPr>
            <w:tcW w:w="0" w:type="auto"/>
            <w:vAlign w:val="center"/>
          </w:tcPr>
          <w:p w:rsidR="00024C0A" w:rsidRDefault="00694C0F">
            <w:pPr>
              <w:pStyle w:val="TableBodyText"/>
            </w:pPr>
            <w:r>
              <w:rPr>
                <w:i/>
              </w:rPr>
              <w:t>50</w:t>
            </w:r>
          </w:p>
        </w:tc>
        <w:tc>
          <w:tcPr>
            <w:tcW w:w="0" w:type="auto"/>
            <w:vAlign w:val="center"/>
          </w:tcPr>
          <w:p w:rsidR="00024C0A" w:rsidRDefault="00694C0F">
            <w:pPr>
              <w:pStyle w:val="TableBodyText"/>
            </w:pPr>
            <w:r>
              <w:rPr>
                <w:i/>
              </w:rPr>
              <w:t>hindiConsonants</w:t>
            </w:r>
          </w:p>
        </w:tc>
      </w:tr>
      <w:tr w:rsidR="00024C0A" w:rsidTr="00024C0A">
        <w:tc>
          <w:tcPr>
            <w:tcW w:w="0" w:type="auto"/>
            <w:vAlign w:val="center"/>
          </w:tcPr>
          <w:p w:rsidR="00024C0A" w:rsidRDefault="00694C0F">
            <w:pPr>
              <w:pStyle w:val="TableBodyText"/>
            </w:pPr>
            <w:r>
              <w:rPr>
                <w:i/>
              </w:rPr>
              <w:t>51</w:t>
            </w:r>
          </w:p>
        </w:tc>
        <w:tc>
          <w:tcPr>
            <w:tcW w:w="0" w:type="auto"/>
            <w:vAlign w:val="center"/>
          </w:tcPr>
          <w:p w:rsidR="00024C0A" w:rsidRDefault="00694C0F">
            <w:pPr>
              <w:pStyle w:val="TableBodyText"/>
            </w:pPr>
            <w:r>
              <w:rPr>
                <w:i/>
              </w:rPr>
              <w:t>hindiNumbers</w:t>
            </w:r>
          </w:p>
        </w:tc>
      </w:tr>
      <w:tr w:rsidR="00024C0A" w:rsidTr="00024C0A">
        <w:tc>
          <w:tcPr>
            <w:tcW w:w="0" w:type="auto"/>
            <w:vAlign w:val="center"/>
          </w:tcPr>
          <w:p w:rsidR="00024C0A" w:rsidRDefault="00694C0F">
            <w:pPr>
              <w:pStyle w:val="TableBodyText"/>
            </w:pPr>
            <w:r>
              <w:rPr>
                <w:i/>
              </w:rPr>
              <w:t>52</w:t>
            </w:r>
          </w:p>
        </w:tc>
        <w:tc>
          <w:tcPr>
            <w:tcW w:w="0" w:type="auto"/>
            <w:vAlign w:val="center"/>
          </w:tcPr>
          <w:p w:rsidR="00024C0A" w:rsidRDefault="00694C0F">
            <w:pPr>
              <w:pStyle w:val="TableBodyText"/>
            </w:pPr>
            <w:r>
              <w:rPr>
                <w:i/>
              </w:rPr>
              <w:t>hindiCounting</w:t>
            </w:r>
          </w:p>
        </w:tc>
      </w:tr>
      <w:tr w:rsidR="00024C0A" w:rsidTr="00024C0A">
        <w:tc>
          <w:tcPr>
            <w:tcW w:w="0" w:type="auto"/>
            <w:vAlign w:val="center"/>
          </w:tcPr>
          <w:p w:rsidR="00024C0A" w:rsidRDefault="00694C0F">
            <w:pPr>
              <w:pStyle w:val="TableBodyText"/>
            </w:pPr>
            <w:r>
              <w:rPr>
                <w:i/>
              </w:rPr>
              <w:t>53</w:t>
            </w:r>
          </w:p>
        </w:tc>
        <w:tc>
          <w:tcPr>
            <w:tcW w:w="0" w:type="auto"/>
            <w:vAlign w:val="center"/>
          </w:tcPr>
          <w:p w:rsidR="00024C0A" w:rsidRDefault="00694C0F">
            <w:pPr>
              <w:pStyle w:val="TableBodyText"/>
            </w:pPr>
            <w:r>
              <w:rPr>
                <w:i/>
              </w:rPr>
              <w:t>thaiLetters</w:t>
            </w:r>
          </w:p>
        </w:tc>
      </w:tr>
      <w:tr w:rsidR="00024C0A" w:rsidTr="00024C0A">
        <w:tc>
          <w:tcPr>
            <w:tcW w:w="0" w:type="auto"/>
            <w:vAlign w:val="center"/>
          </w:tcPr>
          <w:p w:rsidR="00024C0A" w:rsidRDefault="00694C0F">
            <w:pPr>
              <w:pStyle w:val="TableBodyText"/>
            </w:pPr>
            <w:r>
              <w:rPr>
                <w:i/>
              </w:rPr>
              <w:t>54</w:t>
            </w:r>
          </w:p>
        </w:tc>
        <w:tc>
          <w:tcPr>
            <w:tcW w:w="0" w:type="auto"/>
            <w:vAlign w:val="center"/>
          </w:tcPr>
          <w:p w:rsidR="00024C0A" w:rsidRDefault="00694C0F">
            <w:pPr>
              <w:pStyle w:val="TableBodyText"/>
            </w:pPr>
            <w:r>
              <w:rPr>
                <w:i/>
              </w:rPr>
              <w:t>thaiNumbers</w:t>
            </w:r>
          </w:p>
        </w:tc>
      </w:tr>
      <w:tr w:rsidR="00024C0A" w:rsidTr="00024C0A">
        <w:tc>
          <w:tcPr>
            <w:tcW w:w="0" w:type="auto"/>
            <w:vAlign w:val="center"/>
          </w:tcPr>
          <w:p w:rsidR="00024C0A" w:rsidRDefault="00694C0F">
            <w:pPr>
              <w:pStyle w:val="TableBodyText"/>
            </w:pPr>
            <w:r>
              <w:rPr>
                <w:i/>
              </w:rPr>
              <w:t>55</w:t>
            </w:r>
          </w:p>
        </w:tc>
        <w:tc>
          <w:tcPr>
            <w:tcW w:w="0" w:type="auto"/>
            <w:vAlign w:val="center"/>
          </w:tcPr>
          <w:p w:rsidR="00024C0A" w:rsidRDefault="00694C0F">
            <w:pPr>
              <w:pStyle w:val="TableBodyText"/>
            </w:pPr>
            <w:r>
              <w:rPr>
                <w:i/>
              </w:rPr>
              <w:t>thaiCounting</w:t>
            </w:r>
          </w:p>
        </w:tc>
      </w:tr>
      <w:tr w:rsidR="00024C0A" w:rsidTr="00024C0A">
        <w:tc>
          <w:tcPr>
            <w:tcW w:w="0" w:type="auto"/>
            <w:vAlign w:val="center"/>
          </w:tcPr>
          <w:p w:rsidR="00024C0A" w:rsidRDefault="00694C0F">
            <w:pPr>
              <w:pStyle w:val="TableBodyText"/>
            </w:pPr>
            <w:r>
              <w:rPr>
                <w:i/>
              </w:rPr>
              <w:t>56</w:t>
            </w:r>
          </w:p>
        </w:tc>
        <w:tc>
          <w:tcPr>
            <w:tcW w:w="0" w:type="auto"/>
            <w:vAlign w:val="center"/>
          </w:tcPr>
          <w:p w:rsidR="00024C0A" w:rsidRDefault="00694C0F">
            <w:pPr>
              <w:pStyle w:val="TableBodyText"/>
            </w:pPr>
            <w:r>
              <w:rPr>
                <w:i/>
              </w:rPr>
              <w:t>vietnameseCounting</w:t>
            </w:r>
          </w:p>
        </w:tc>
      </w:tr>
      <w:tr w:rsidR="00024C0A" w:rsidTr="00024C0A">
        <w:tc>
          <w:tcPr>
            <w:tcW w:w="0" w:type="auto"/>
            <w:vAlign w:val="center"/>
          </w:tcPr>
          <w:p w:rsidR="00024C0A" w:rsidRDefault="00694C0F">
            <w:pPr>
              <w:pStyle w:val="TableBodyText"/>
            </w:pPr>
            <w:r>
              <w:rPr>
                <w:i/>
              </w:rPr>
              <w:t>57</w:t>
            </w:r>
          </w:p>
        </w:tc>
        <w:tc>
          <w:tcPr>
            <w:tcW w:w="0" w:type="auto"/>
            <w:vAlign w:val="center"/>
          </w:tcPr>
          <w:p w:rsidR="00024C0A" w:rsidRDefault="00694C0F">
            <w:pPr>
              <w:pStyle w:val="TableBodyText"/>
            </w:pPr>
            <w:r>
              <w:rPr>
                <w:i/>
              </w:rPr>
              <w:t>numberInDash</w:t>
            </w:r>
          </w:p>
        </w:tc>
      </w:tr>
      <w:tr w:rsidR="00024C0A" w:rsidTr="00024C0A">
        <w:tc>
          <w:tcPr>
            <w:tcW w:w="0" w:type="auto"/>
            <w:vAlign w:val="center"/>
          </w:tcPr>
          <w:p w:rsidR="00024C0A" w:rsidRDefault="00694C0F">
            <w:pPr>
              <w:pStyle w:val="TableBodyText"/>
            </w:pPr>
            <w:r>
              <w:rPr>
                <w:i/>
              </w:rPr>
              <w:t>58</w:t>
            </w:r>
          </w:p>
        </w:tc>
        <w:tc>
          <w:tcPr>
            <w:tcW w:w="0" w:type="auto"/>
            <w:vAlign w:val="center"/>
          </w:tcPr>
          <w:p w:rsidR="00024C0A" w:rsidRDefault="00694C0F">
            <w:pPr>
              <w:pStyle w:val="TableBodyText"/>
            </w:pPr>
            <w:r>
              <w:rPr>
                <w:i/>
              </w:rPr>
              <w:t>russianLower</w:t>
            </w:r>
          </w:p>
        </w:tc>
      </w:tr>
      <w:tr w:rsidR="00024C0A" w:rsidTr="00024C0A">
        <w:tc>
          <w:tcPr>
            <w:tcW w:w="0" w:type="auto"/>
            <w:vAlign w:val="center"/>
          </w:tcPr>
          <w:p w:rsidR="00024C0A" w:rsidRDefault="00694C0F">
            <w:pPr>
              <w:pStyle w:val="TableBodyText"/>
            </w:pPr>
            <w:r>
              <w:rPr>
                <w:i/>
              </w:rPr>
              <w:t>59</w:t>
            </w:r>
          </w:p>
        </w:tc>
        <w:tc>
          <w:tcPr>
            <w:tcW w:w="0" w:type="auto"/>
            <w:vAlign w:val="center"/>
          </w:tcPr>
          <w:p w:rsidR="00024C0A" w:rsidRDefault="00694C0F">
            <w:pPr>
              <w:pStyle w:val="TableBodyText"/>
            </w:pPr>
            <w:r>
              <w:rPr>
                <w:i/>
              </w:rPr>
              <w:t>russianUpper</w:t>
            </w:r>
          </w:p>
        </w:tc>
      </w:tr>
      <w:tr w:rsidR="00024C0A" w:rsidTr="00024C0A">
        <w:tc>
          <w:tcPr>
            <w:tcW w:w="0" w:type="auto"/>
            <w:vAlign w:val="center"/>
          </w:tcPr>
          <w:p w:rsidR="00024C0A" w:rsidRDefault="00694C0F">
            <w:pPr>
              <w:pStyle w:val="TableBodyText"/>
            </w:pPr>
            <w:r>
              <w:rPr>
                <w:i/>
              </w:rPr>
              <w:t>60</w:t>
            </w:r>
            <w:r>
              <w:t xml:space="preserve"> or higher</w:t>
            </w:r>
          </w:p>
        </w:tc>
        <w:tc>
          <w:tcPr>
            <w:tcW w:w="0" w:type="auto"/>
            <w:vAlign w:val="center"/>
          </w:tcPr>
          <w:p w:rsidR="00024C0A" w:rsidRDefault="00694C0F">
            <w:pPr>
              <w:pStyle w:val="TableBodyText"/>
            </w:pPr>
            <w:r>
              <w:t>Application-defined. May be ignored.</w:t>
            </w:r>
          </w:p>
        </w:tc>
      </w:tr>
    </w:tbl>
    <w:p w:rsidR="00024C0A" w:rsidRDefault="00024C0A"/>
    <w:p w:rsidR="00024C0A" w:rsidRDefault="00694C0F">
      <w:pPr>
        <w:pStyle w:val="Definition-Field"/>
      </w:pPr>
      <w:r>
        <w:t xml:space="preserve">b.   </w:t>
      </w:r>
      <w:r>
        <w:rPr>
          <w:i/>
        </w:rPr>
        <w:t xml:space="preserve">The standard does </w:t>
      </w:r>
      <w:r>
        <w:rPr>
          <w:i/>
        </w:rPr>
        <w:t>not state how to interpret a pair of consecutive percent characters in the value of the original attribute.</w:t>
      </w:r>
    </w:p>
    <w:p w:rsidR="00024C0A" w:rsidRDefault="00694C0F">
      <w:pPr>
        <w:pStyle w:val="Definition-Field2"/>
      </w:pPr>
      <w:r>
        <w:t>Word treats a pair of consecutive percent characters in this attribute as a single percent character.</w:t>
      </w:r>
    </w:p>
    <w:p w:rsidR="00024C0A" w:rsidRDefault="00694C0F">
      <w:pPr>
        <w:pStyle w:val="Definition-Field"/>
      </w:pPr>
      <w:r>
        <w:t xml:space="preserve">c.   </w:t>
      </w:r>
      <w:r>
        <w:rPr>
          <w:i/>
        </w:rPr>
        <w:t>The standard does not restrict the length</w:t>
      </w:r>
      <w:r>
        <w:rPr>
          <w:i/>
        </w:rPr>
        <w:t xml:space="preserve"> of the original attribute.</w:t>
      </w:r>
    </w:p>
    <w:p w:rsidR="00024C0A" w:rsidRDefault="00694C0F">
      <w:pPr>
        <w:pStyle w:val="Definition-Field2"/>
      </w:pPr>
      <w:r>
        <w:t>Word requires that the total length of original, omitting all instances of nfc_value and numbering_format and all ':' characters used to separate the pieces of the number level definitions, shall be at most 31 characters.</w:t>
      </w:r>
    </w:p>
    <w:p w:rsidR="00024C0A" w:rsidRDefault="00694C0F">
      <w:pPr>
        <w:pStyle w:val="Heading3"/>
      </w:pPr>
      <w:bookmarkStart w:id="3549" w:name="section_b1d3a78aad5a41ed917f29cbeaa2c9bc"/>
      <w:bookmarkStart w:id="3550" w:name="_Toc12261835"/>
      <w:r>
        <w:lastRenderedPageBreak/>
        <w:t>Part 4</w:t>
      </w:r>
      <w:r>
        <w:t xml:space="preserve"> Section 14.7.2.1, hdrShapeDefaults (Default Properties for VML Objects in Header and Footer)</w:t>
      </w:r>
      <w:bookmarkEnd w:id="3549"/>
      <w:bookmarkEnd w:id="3550"/>
      <w:r>
        <w:fldChar w:fldCharType="begin"/>
      </w:r>
      <w:r>
        <w:instrText xml:space="preserve"> XE "hdrShapeDefaults (Default Properties for VML Objects in Header and Footer)" </w:instrText>
      </w:r>
      <w:r>
        <w:fldChar w:fldCharType="end"/>
      </w:r>
    </w:p>
    <w:p w:rsidR="00024C0A" w:rsidRDefault="00694C0F">
      <w:pPr>
        <w:pStyle w:val="Definition-Field"/>
      </w:pPr>
      <w:r>
        <w:t xml:space="preserve">a.   </w:t>
      </w:r>
      <w:r>
        <w:rPr>
          <w:i/>
        </w:rPr>
        <w:t>The standard states that any element from the VML namespace is a valid chi</w:t>
      </w:r>
      <w:r>
        <w:rPr>
          <w:i/>
        </w:rPr>
        <w:t>ld element of the hdrShapeDefaults element.</w:t>
      </w:r>
    </w:p>
    <w:p w:rsidR="00024C0A" w:rsidRDefault="00694C0F">
      <w:pPr>
        <w:pStyle w:val="Definition-Field2"/>
      </w:pPr>
      <w:r>
        <w:t>Word only allows the shapedefaults and shapelayout elements from the VML namespace to be child elements of the hdrShapeDefaults element.</w:t>
      </w:r>
    </w:p>
    <w:p w:rsidR="00024C0A" w:rsidRDefault="00694C0F">
      <w:pPr>
        <w:pStyle w:val="Heading3"/>
      </w:pPr>
      <w:bookmarkStart w:id="3551" w:name="section_8721f65882524c32965b4c04fdc5a2eb"/>
      <w:bookmarkStart w:id="3552" w:name="_Toc12261836"/>
      <w:r>
        <w:t xml:space="preserve">Part 4 Section 14.7.2.2, shapeDefaults (Default Properties for VML Objects </w:t>
      </w:r>
      <w:r>
        <w:t>in Main Document)</w:t>
      </w:r>
      <w:bookmarkEnd w:id="3551"/>
      <w:bookmarkEnd w:id="3552"/>
      <w:r>
        <w:fldChar w:fldCharType="begin"/>
      </w:r>
      <w:r>
        <w:instrText xml:space="preserve"> XE "shapeDefaults (Default Properties for VML Objects in Main Document)" </w:instrText>
      </w:r>
      <w:r>
        <w:fldChar w:fldCharType="end"/>
      </w:r>
    </w:p>
    <w:p w:rsidR="00024C0A" w:rsidRDefault="00694C0F">
      <w:pPr>
        <w:pStyle w:val="Definition-Field"/>
      </w:pPr>
      <w:r>
        <w:t xml:space="preserve">a.   </w:t>
      </w:r>
      <w:r>
        <w:rPr>
          <w:i/>
        </w:rPr>
        <w:t>The standard states that any element from the VML namespace is a valid child of the shapeDefaults element.</w:t>
      </w:r>
    </w:p>
    <w:p w:rsidR="00024C0A" w:rsidRDefault="00694C0F">
      <w:pPr>
        <w:pStyle w:val="Definition-Field2"/>
      </w:pPr>
      <w:r>
        <w:t>Word only allows the shapedefaults and shapelayout</w:t>
      </w:r>
      <w:r>
        <w:t xml:space="preserve"> elements from the VML namespace to be child elements of the shapeDefaults element.</w:t>
      </w:r>
    </w:p>
    <w:p w:rsidR="00024C0A" w:rsidRDefault="00694C0F">
      <w:pPr>
        <w:pStyle w:val="Heading3"/>
      </w:pPr>
      <w:bookmarkStart w:id="3553" w:name="section_effb5b24826144ae9742ccf290c462ac"/>
      <w:bookmarkStart w:id="3554" w:name="_Toc12261837"/>
      <w:r>
        <w:t>Part 4 Section 14.7.2.5, Additional attributes for writeProtection element (Part 1, 17.15.1.93)</w:t>
      </w:r>
      <w:bookmarkEnd w:id="3553"/>
      <w:bookmarkEnd w:id="3554"/>
      <w:r>
        <w:fldChar w:fldCharType="begin"/>
      </w:r>
      <w:r>
        <w:instrText xml:space="preserve"> XE "Additional attributes for writeProtection element (Part 1 - 17.15.1.93)"</w:instrText>
      </w:r>
      <w:r>
        <w:instrText xml:space="preserve"> </w:instrText>
      </w:r>
      <w:r>
        <w:fldChar w:fldCharType="end"/>
      </w:r>
    </w:p>
    <w:p w:rsidR="00024C0A" w:rsidRDefault="00694C0F">
      <w:pPr>
        <w:pStyle w:val="Definition-Field"/>
      </w:pPr>
      <w:r>
        <w:t xml:space="preserve">a.   </w:t>
      </w:r>
      <w:r>
        <w:rPr>
          <w:i/>
        </w:rPr>
        <w:t>The standard specifies additional attributes for the writeProtection element.</w:t>
      </w:r>
    </w:p>
    <w:p w:rsidR="00024C0A" w:rsidRDefault="00694C0F">
      <w:pPr>
        <w:pStyle w:val="Definition-Field2"/>
      </w:pPr>
      <w:r>
        <w:t>Word ignores the additional attributes (algorithmName, hasValue, saltValue, and spinCount) when attributes from "</w:t>
      </w:r>
      <w:hyperlink r:id="rId235">
        <w:r>
          <w:rPr>
            <w:rStyle w:val="Hyperlink"/>
          </w:rPr>
          <w:t>[ISO/IEC-29500-1]</w:t>
        </w:r>
      </w:hyperlink>
      <w:r>
        <w:t xml:space="preserve"> §17.15.1.93; writeProtection" are present.</w:t>
      </w:r>
    </w:p>
    <w:p w:rsidR="00024C0A" w:rsidRDefault="00694C0F">
      <w:pPr>
        <w:pStyle w:val="Heading3"/>
      </w:pPr>
      <w:bookmarkStart w:id="3555" w:name="section_69facb4b222641c0a77ad9fcabebd0ea"/>
      <w:bookmarkStart w:id="3556" w:name="_Toc12261838"/>
      <w:r>
        <w:t>Part 4 Section 14.7.3.6, convMailMergeEsc (Treat Backslash Quotation Delimiter as Two Quotation Marks)</w:t>
      </w:r>
      <w:bookmarkEnd w:id="3555"/>
      <w:bookmarkEnd w:id="3556"/>
      <w:r>
        <w:fldChar w:fldCharType="begin"/>
      </w:r>
      <w:r>
        <w:instrText xml:space="preserve"> XE "convMailMergeEsc (Treat Backslash Quotation Delimiter as Two Quotation Marks)"</w:instrText>
      </w:r>
      <w:r>
        <w:instrText xml:space="preserve"> </w:instrText>
      </w:r>
      <w:r>
        <w:fldChar w:fldCharType="end"/>
      </w:r>
    </w:p>
    <w:p w:rsidR="00024C0A" w:rsidRDefault="00694C0F">
      <w:pPr>
        <w:pStyle w:val="Definition-Field"/>
      </w:pPr>
      <w:r>
        <w:t xml:space="preserve">a.   </w:t>
      </w:r>
      <w:r>
        <w:rPr>
          <w:i/>
        </w:rPr>
        <w:t>The standard states that applications shall interpret delimiters composed of a backslash and quotation mark (\") as two quotation marks ("").</w:t>
      </w:r>
    </w:p>
    <w:p w:rsidR="00024C0A" w:rsidRDefault="00694C0F">
      <w:pPr>
        <w:pStyle w:val="Definition-Field2"/>
      </w:pPr>
      <w:r>
        <w:t xml:space="preserve">Word interprets delimiters composed of a backslash and quotation mark (\") as a single quotation mark </w:t>
      </w:r>
      <w:r>
        <w:t>(").</w:t>
      </w:r>
    </w:p>
    <w:p w:rsidR="00024C0A" w:rsidRDefault="00694C0F">
      <w:pPr>
        <w:pStyle w:val="Definition-Field"/>
      </w:pPr>
      <w:r>
        <w:t xml:space="preserve">b.   </w:t>
      </w:r>
      <w:r>
        <w:rPr>
          <w:i/>
        </w:rPr>
        <w:t>The standard does not state any constraints for the usage of this property.</w:t>
      </w:r>
    </w:p>
    <w:p w:rsidR="00024C0A" w:rsidRDefault="00694C0F">
      <w:pPr>
        <w:pStyle w:val="Definition-Field2"/>
      </w:pPr>
      <w:r>
        <w:t>Word only uses this property in the document that serves as the external data source to be a WordprocessingML document through an ODSO connection.</w:t>
      </w:r>
    </w:p>
    <w:p w:rsidR="00024C0A" w:rsidRDefault="00694C0F">
      <w:pPr>
        <w:pStyle w:val="Heading3"/>
      </w:pPr>
      <w:bookmarkStart w:id="3557" w:name="section_491140ac216d46eda8797b430b295e95"/>
      <w:bookmarkStart w:id="3558" w:name="_Toc12261839"/>
      <w:r>
        <w:t>Part 4 Section 14.7.3.8</w:t>
      </w:r>
      <w:r>
        <w:t>, doNotAutofitConstrainedTables (Do Not AutoFit Tables To Fit Next To Wrapped Objects)</w:t>
      </w:r>
      <w:bookmarkEnd w:id="3557"/>
      <w:bookmarkEnd w:id="3558"/>
      <w:r>
        <w:fldChar w:fldCharType="begin"/>
      </w:r>
      <w:r>
        <w:instrText xml:space="preserve"> XE "doNotAutofitConstrainedTables (Do Not AutoFit Tables To Fit Next To Wrapped Objects)" </w:instrText>
      </w:r>
      <w:r>
        <w:fldChar w:fldCharType="end"/>
      </w:r>
    </w:p>
    <w:p w:rsidR="00024C0A" w:rsidRDefault="00694C0F">
      <w:pPr>
        <w:pStyle w:val="Definition-Field"/>
      </w:pPr>
      <w:r>
        <w:t xml:space="preserve">a.   </w:t>
      </w:r>
      <w:r>
        <w:rPr>
          <w:i/>
        </w:rPr>
        <w:t>The standard states that a table that is AutoFit and has a preferred wi</w:t>
      </w:r>
      <w:r>
        <w:rPr>
          <w:i/>
        </w:rPr>
        <w:t>dth typically has its width reduced in order to allow a floating shape to wrap.</w:t>
      </w:r>
    </w:p>
    <w:p w:rsidR="00024C0A" w:rsidRDefault="00694C0F">
      <w:pPr>
        <w:pStyle w:val="Definition-Field2"/>
      </w:pPr>
      <w:r>
        <w:t>Word only reduces the width of tables that have no preferred width in order to allow a floating shape to wrap.</w:t>
      </w:r>
    </w:p>
    <w:p w:rsidR="00024C0A" w:rsidRDefault="00694C0F">
      <w:pPr>
        <w:pStyle w:val="Definition-Field"/>
      </w:pPr>
      <w:r>
        <w:t xml:space="preserve">b.   </w:t>
      </w:r>
      <w:r>
        <w:rPr>
          <w:i/>
        </w:rPr>
        <w:t>The standard states that when this element is present with a</w:t>
      </w:r>
      <w:r>
        <w:rPr>
          <w:i/>
        </w:rPr>
        <w:t xml:space="preserve"> val attribute value of true, tables shall never have any preferred width overridden to allow them to wrap.</w:t>
      </w:r>
    </w:p>
    <w:p w:rsidR="00024C0A" w:rsidRDefault="00694C0F">
      <w:pPr>
        <w:pStyle w:val="Definition-Field2"/>
      </w:pPr>
      <w:r>
        <w:t>Word never allows tables to have their width reduced to allow them to wrap, even if they have no preferred width.</w:t>
      </w:r>
    </w:p>
    <w:p w:rsidR="00024C0A" w:rsidRDefault="00694C0F">
      <w:pPr>
        <w:pStyle w:val="Heading3"/>
      </w:pPr>
      <w:bookmarkStart w:id="3559" w:name="section_22d6975fb6c24b2f95a821369e8deaa7"/>
      <w:bookmarkStart w:id="3560" w:name="_Toc12261840"/>
      <w:r>
        <w:lastRenderedPageBreak/>
        <w:t>Part 4 Section 14.7.3.13, doNotSup</w:t>
      </w:r>
      <w:r>
        <w:t>pressParagraphBorders (Do Not Suppress Paragraph Borders Next To Frames)</w:t>
      </w:r>
      <w:bookmarkEnd w:id="3559"/>
      <w:bookmarkEnd w:id="3560"/>
      <w:r>
        <w:fldChar w:fldCharType="begin"/>
      </w:r>
      <w:r>
        <w:instrText xml:space="preserve"> XE "doNotSuppressParagraphBorders (Do Not Suppress Paragraph Borders Next To Frames)" </w:instrText>
      </w:r>
      <w:r>
        <w:fldChar w:fldCharType="end"/>
      </w:r>
    </w:p>
    <w:p w:rsidR="00024C0A" w:rsidRDefault="00694C0F">
      <w:pPr>
        <w:pStyle w:val="Definition-Field"/>
      </w:pPr>
      <w:r>
        <w:t xml:space="preserve">a.   </w:t>
      </w:r>
      <w:r>
        <w:rPr>
          <w:i/>
        </w:rPr>
        <w:t>The standard states that specific paragraph borders should not be suppressed if this sett</w:t>
      </w:r>
      <w:r>
        <w:rPr>
          <w:i/>
        </w:rPr>
        <w:t>ing is on.</w:t>
      </w:r>
    </w:p>
    <w:p w:rsidR="00024C0A" w:rsidRDefault="00694C0F">
      <w:pPr>
        <w:pStyle w:val="Definition-Field2"/>
      </w:pPr>
      <w:r>
        <w:t>Word suppresses those paragraph borders when this setting is on unless the doNotSuppressIndentation setting is also on.</w:t>
      </w:r>
    </w:p>
    <w:p w:rsidR="00024C0A" w:rsidRDefault="00694C0F">
      <w:pPr>
        <w:pStyle w:val="Heading3"/>
      </w:pPr>
      <w:bookmarkStart w:id="3561" w:name="section_dc83bfa3db214eb4b3c063b11f2575d3"/>
      <w:bookmarkStart w:id="3562" w:name="_Toc12261841"/>
      <w:r>
        <w:t>Part 4 Section 14.8.1.1, txbxContent (Rich Text Box Content Container)</w:t>
      </w:r>
      <w:bookmarkEnd w:id="3561"/>
      <w:bookmarkEnd w:id="3562"/>
      <w:r>
        <w:fldChar w:fldCharType="begin"/>
      </w:r>
      <w:r>
        <w:instrText xml:space="preserve"> XE "txbxContent (Rich Text Box Content Container)"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w:t>
        </w:r>
        <w:r>
          <w:rPr>
            <w:rStyle w:val="Hyperlink"/>
          </w:rPr>
          <w:t>.78(c)</w:t>
        </w:r>
      </w:hyperlink>
      <w:r>
        <w:rPr>
          <w:i/>
        </w:rPr>
        <w:t>.</w:t>
      </w:r>
    </w:p>
    <w:p w:rsidR="00024C0A" w:rsidRDefault="00694C0F">
      <w:pPr>
        <w:pStyle w:val="Definition-Field"/>
      </w:pPr>
      <w:r>
        <w:t xml:space="preserve">a.   </w:t>
      </w:r>
      <w:r>
        <w:rPr>
          <w:i/>
        </w:rPr>
        <w:t>The standard states that text box content can be placed inside endnotes, footnotes, comments, or other textboxes.</w:t>
      </w:r>
    </w:p>
    <w:p w:rsidR="00024C0A" w:rsidRDefault="00694C0F">
      <w:pPr>
        <w:pStyle w:val="Definition-Field2"/>
      </w:pPr>
      <w:r>
        <w:t>Word does not allow textbox content inside endnotes, footnotes, comments, or other textboxes.</w:t>
      </w:r>
    </w:p>
    <w:p w:rsidR="00024C0A" w:rsidRDefault="00694C0F">
      <w:pPr>
        <w:pStyle w:val="Definition-Field"/>
      </w:pPr>
      <w:r>
        <w:t xml:space="preserve">b.   </w:t>
      </w:r>
      <w:r>
        <w:rPr>
          <w:i/>
        </w:rPr>
        <w:t>The standard specifies this el</w:t>
      </w:r>
      <w:r>
        <w:rPr>
          <w:i/>
        </w:rPr>
        <w:t>ement as part of the WordprocessingML namespace.</w:t>
      </w:r>
    </w:p>
    <w:p w:rsidR="00024C0A" w:rsidRDefault="00694C0F">
      <w:pPr>
        <w:pStyle w:val="Definition-Field2"/>
      </w:pPr>
      <w:r>
        <w:t>Word will save an mce choice for VML content.  txbxContent elements written in that choice will be written in with a namespace value of http://schemas.microsoft.com/office/word/2006/wordml.</w:t>
      </w:r>
    </w:p>
    <w:p w:rsidR="00024C0A" w:rsidRDefault="00694C0F">
      <w:pPr>
        <w:pStyle w:val="Definition-Field2"/>
      </w:pPr>
      <w:r>
        <w:t>This note applies</w:t>
      </w:r>
      <w:r>
        <w:t xml:space="preserve"> to the following products: Office 2013 Client (Strict), Office 2013 Server (Strict).</w:t>
      </w:r>
    </w:p>
    <w:p w:rsidR="00024C0A" w:rsidRDefault="00694C0F">
      <w:pPr>
        <w:pStyle w:val="Heading3"/>
      </w:pPr>
      <w:bookmarkStart w:id="3563" w:name="section_ab0c2ca5b61542639ea03377b5329517"/>
      <w:bookmarkStart w:id="3564" w:name="_Toc12261842"/>
      <w:r>
        <w:t>Part 4 Section 14.9.4.1, AUTONUM</w:t>
      </w:r>
      <w:bookmarkEnd w:id="3563"/>
      <w:bookmarkEnd w:id="3564"/>
      <w:r>
        <w:fldChar w:fldCharType="begin"/>
      </w:r>
      <w:r>
        <w:instrText xml:space="preserve"> XE "AUTONUM" </w:instrText>
      </w:r>
      <w:r>
        <w:fldChar w:fldCharType="end"/>
      </w:r>
    </w:p>
    <w:p w:rsidR="00024C0A" w:rsidRDefault="00694C0F">
      <w:pPr>
        <w:pStyle w:val="Definition-Field"/>
      </w:pPr>
      <w:r>
        <w:t xml:space="preserve">a.   </w:t>
      </w:r>
      <w:r>
        <w:rPr>
          <w:i/>
        </w:rPr>
        <w:t>The standard says the \s switch specifies the separator character to use in the field result.</w:t>
      </w:r>
    </w:p>
    <w:p w:rsidR="00024C0A" w:rsidRDefault="00694C0F">
      <w:pPr>
        <w:pStyle w:val="Definition-Field2"/>
      </w:pPr>
      <w:r>
        <w:t>In Word, if the primar</w:t>
      </w:r>
      <w:r>
        <w:t>y editing language is East Asian, then no separator character is used, even if the \s switch is used.</w:t>
      </w:r>
    </w:p>
    <w:p w:rsidR="00024C0A" w:rsidRDefault="00694C0F">
      <w:pPr>
        <w:pStyle w:val="Definition-Field"/>
      </w:pPr>
      <w:r>
        <w:t xml:space="preserve">b.   </w:t>
      </w:r>
      <w:r>
        <w:rPr>
          <w:i/>
        </w:rPr>
        <w:t>The standard allows the AUTONUM field to be nested inside other fields.</w:t>
      </w:r>
    </w:p>
    <w:p w:rsidR="00024C0A" w:rsidRDefault="00694C0F">
      <w:pPr>
        <w:pStyle w:val="Definition-Field2"/>
      </w:pPr>
      <w:r>
        <w:t>In Word, if the AUTONUM field is nested inside another field no result is dis</w:t>
      </w:r>
      <w:r>
        <w:t>played.</w:t>
      </w:r>
    </w:p>
    <w:p w:rsidR="00024C0A" w:rsidRDefault="00694C0F">
      <w:pPr>
        <w:pStyle w:val="Heading3"/>
      </w:pPr>
      <w:bookmarkStart w:id="3565" w:name="section_35f9f6146f2f473e8f68b51ac0246a53"/>
      <w:bookmarkStart w:id="3566" w:name="_Toc12261843"/>
      <w:r>
        <w:t>Part 4 Section 14.9.4.2, AUTONUMLGL</w:t>
      </w:r>
      <w:bookmarkEnd w:id="3565"/>
      <w:bookmarkEnd w:id="3566"/>
      <w:r>
        <w:fldChar w:fldCharType="begin"/>
      </w:r>
      <w:r>
        <w:instrText xml:space="preserve"> XE "AUTONUMLGL" </w:instrText>
      </w:r>
      <w:r>
        <w:fldChar w:fldCharType="end"/>
      </w:r>
    </w:p>
    <w:p w:rsidR="00024C0A" w:rsidRDefault="00694C0F">
      <w:pPr>
        <w:pStyle w:val="Definition-Field"/>
      </w:pPr>
      <w:r>
        <w:t xml:space="preserve">a.   </w:t>
      </w:r>
      <w:r>
        <w:rPr>
          <w:i/>
        </w:rPr>
        <w:t>The standard says the \s switch specifies the trailing separator to use.</w:t>
      </w:r>
    </w:p>
    <w:p w:rsidR="00024C0A" w:rsidRDefault="00694C0F">
      <w:pPr>
        <w:pStyle w:val="Definition-Field2"/>
      </w:pPr>
      <w:r>
        <w:t>In Word, if the primary editing language is East Asian, then no trailing separator character is used even if the \s</w:t>
      </w:r>
      <w:r>
        <w:t xml:space="preserve"> switch is specified.</w:t>
      </w:r>
    </w:p>
    <w:p w:rsidR="00024C0A" w:rsidRDefault="00694C0F">
      <w:pPr>
        <w:pStyle w:val="Definition-Field"/>
      </w:pPr>
      <w:r>
        <w:t xml:space="preserve">b.   </w:t>
      </w:r>
      <w:r>
        <w:rPr>
          <w:i/>
        </w:rPr>
        <w:t>The standard allows the AUTONUMLGL field to be nested inside another field.</w:t>
      </w:r>
    </w:p>
    <w:p w:rsidR="00024C0A" w:rsidRDefault="00694C0F">
      <w:pPr>
        <w:pStyle w:val="Definition-Field2"/>
      </w:pPr>
      <w:r>
        <w:t>In Word, if the AUTONUMLGL field is nested inside another field, no result is displayed.</w:t>
      </w:r>
    </w:p>
    <w:p w:rsidR="00024C0A" w:rsidRDefault="00694C0F">
      <w:pPr>
        <w:pStyle w:val="Heading3"/>
      </w:pPr>
      <w:bookmarkStart w:id="3567" w:name="section_092c97b32d3444398583365f6a1bd7bf"/>
      <w:bookmarkStart w:id="3568" w:name="_Toc12261844"/>
      <w:r>
        <w:t>Part 4 Section 14.9.4.3, AUTONUMOUT</w:t>
      </w:r>
      <w:bookmarkEnd w:id="3567"/>
      <w:bookmarkEnd w:id="3568"/>
      <w:r>
        <w:fldChar w:fldCharType="begin"/>
      </w:r>
      <w:r>
        <w:instrText xml:space="preserve"> XE "AUTONUMOUT" </w:instrText>
      </w:r>
      <w:r>
        <w:fldChar w:fldCharType="end"/>
      </w:r>
    </w:p>
    <w:p w:rsidR="00024C0A" w:rsidRDefault="00694C0F">
      <w:pPr>
        <w:pStyle w:val="Definition-Field"/>
      </w:pPr>
      <w:r>
        <w:t xml:space="preserve">a.   </w:t>
      </w:r>
      <w:r>
        <w:rPr>
          <w:i/>
        </w:rPr>
        <w:t xml:space="preserve">The </w:t>
      </w:r>
      <w:r>
        <w:rPr>
          <w:i/>
        </w:rPr>
        <w:t>standard allows the AUTONUMOUT field to be nested inside another field.</w:t>
      </w:r>
    </w:p>
    <w:p w:rsidR="00024C0A" w:rsidRDefault="00694C0F">
      <w:pPr>
        <w:pStyle w:val="Definition-Field2"/>
      </w:pPr>
      <w:r>
        <w:t>In Word, if the AUTONUMOUT field is nested inside another field, no result is displayed.</w:t>
      </w:r>
    </w:p>
    <w:p w:rsidR="00024C0A" w:rsidRDefault="00694C0F">
      <w:pPr>
        <w:pStyle w:val="Heading3"/>
      </w:pPr>
      <w:bookmarkStart w:id="3569" w:name="section_76e151b8985a4d058301dbf681ba84d1"/>
      <w:bookmarkStart w:id="3570" w:name="_Toc12261845"/>
      <w:r>
        <w:t>Part 4 Section 14.9.4.4, BARCODE</w:t>
      </w:r>
      <w:bookmarkEnd w:id="3569"/>
      <w:bookmarkEnd w:id="3570"/>
      <w:r>
        <w:fldChar w:fldCharType="begin"/>
      </w:r>
      <w:r>
        <w:instrText xml:space="preserve"> XE "BARCODE" </w:instrText>
      </w:r>
      <w:r>
        <w:fldChar w:fldCharType="end"/>
      </w:r>
    </w:p>
    <w:p w:rsidR="00024C0A" w:rsidRDefault="00694C0F">
      <w:pPr>
        <w:pStyle w:val="Definition-Field"/>
      </w:pPr>
      <w:r>
        <w:t xml:space="preserve">a.   </w:t>
      </w:r>
      <w:r>
        <w:rPr>
          <w:i/>
        </w:rPr>
        <w:t xml:space="preserve">The standard allows the BARCODE field to </w:t>
      </w:r>
      <w:r>
        <w:rPr>
          <w:i/>
        </w:rPr>
        <w:t>be nested inside another field.</w:t>
      </w:r>
    </w:p>
    <w:p w:rsidR="00024C0A" w:rsidRDefault="00694C0F">
      <w:pPr>
        <w:pStyle w:val="Definition-Field2"/>
      </w:pPr>
      <w:r>
        <w:t>In Word, if the BARCODE field is nested inside another field, no result is displayed.</w:t>
      </w:r>
    </w:p>
    <w:p w:rsidR="00024C0A" w:rsidRDefault="00694C0F">
      <w:pPr>
        <w:pStyle w:val="Heading3"/>
      </w:pPr>
      <w:bookmarkStart w:id="3571" w:name="section_0180f12be6a54c2e8b69af24f35f9cb0"/>
      <w:bookmarkStart w:id="3572" w:name="_Toc12261846"/>
      <w:r>
        <w:lastRenderedPageBreak/>
        <w:t>Part 4 Section 14.9.4.5, BIDIOUTLINE</w:t>
      </w:r>
      <w:bookmarkEnd w:id="3571"/>
      <w:bookmarkEnd w:id="3572"/>
      <w:r>
        <w:fldChar w:fldCharType="begin"/>
      </w:r>
      <w:r>
        <w:instrText xml:space="preserve"> XE "BIDIOUTLINE" </w:instrText>
      </w:r>
      <w:r>
        <w:fldChar w:fldCharType="end"/>
      </w:r>
    </w:p>
    <w:p w:rsidR="00024C0A" w:rsidRDefault="00694C0F">
      <w:pPr>
        <w:pStyle w:val="Definition-Field"/>
      </w:pPr>
      <w:r>
        <w:t xml:space="preserve">a.   </w:t>
      </w:r>
      <w:r>
        <w:rPr>
          <w:i/>
        </w:rPr>
        <w:t xml:space="preserve">The standard does not specify when to use Arabic numbering or Hebrew </w:t>
      </w:r>
      <w:r>
        <w:rPr>
          <w:i/>
        </w:rPr>
        <w:t>numbering for the BIDIOUTLINE field.</w:t>
      </w:r>
    </w:p>
    <w:p w:rsidR="00024C0A" w:rsidRDefault="00694C0F">
      <w:pPr>
        <w:pStyle w:val="Definition-Field2"/>
      </w:pPr>
      <w:r>
        <w:t>In Word, if no right-to-left editing language is enabled, no result is displayed. If Hebrew is enabled, then Hebrew numbering is used, otherwise Arabic numbering is used.</w:t>
      </w:r>
    </w:p>
    <w:p w:rsidR="00024C0A" w:rsidRDefault="00694C0F">
      <w:pPr>
        <w:pStyle w:val="Definition-Field"/>
      </w:pPr>
      <w:r>
        <w:t xml:space="preserve">b.   </w:t>
      </w:r>
      <w:r>
        <w:rPr>
          <w:i/>
        </w:rPr>
        <w:t>The standard allows the BIDIOUTLINE field t</w:t>
      </w:r>
      <w:r>
        <w:rPr>
          <w:i/>
        </w:rPr>
        <w:t>o be nested inside another field.</w:t>
      </w:r>
    </w:p>
    <w:p w:rsidR="00024C0A" w:rsidRDefault="00694C0F">
      <w:pPr>
        <w:pStyle w:val="Definition-Field2"/>
      </w:pPr>
      <w:r>
        <w:t>In Word, if the BIDIOUTLINE field is nested inside another field, no result is displayed.</w:t>
      </w:r>
    </w:p>
    <w:p w:rsidR="00024C0A" w:rsidRDefault="00694C0F">
      <w:pPr>
        <w:pStyle w:val="Heading3"/>
      </w:pPr>
      <w:bookmarkStart w:id="3573" w:name="section_1116487233dd4c56b88f1fefc6858094"/>
      <w:bookmarkStart w:id="3574" w:name="_Toc12261847"/>
      <w:r>
        <w:t>Part 4 Section 14.9.4.6, EQ</w:t>
      </w:r>
      <w:bookmarkEnd w:id="3573"/>
      <w:bookmarkEnd w:id="3574"/>
      <w:r>
        <w:fldChar w:fldCharType="begin"/>
      </w:r>
      <w:r>
        <w:instrText xml:space="preserve"> XE "EQ" </w:instrText>
      </w:r>
      <w:r>
        <w:fldChar w:fldCharType="end"/>
      </w:r>
    </w:p>
    <w:p w:rsidR="00024C0A" w:rsidRDefault="00694C0F">
      <w:pPr>
        <w:pStyle w:val="Definition-Field"/>
      </w:pPr>
      <w:r>
        <w:t xml:space="preserve">a.   </w:t>
      </w:r>
      <w:r>
        <w:rPr>
          <w:i/>
        </w:rPr>
        <w:t>The standard does not specify what the default alignment is for the \a switch.</w:t>
      </w:r>
    </w:p>
    <w:p w:rsidR="00024C0A" w:rsidRDefault="00694C0F">
      <w:pPr>
        <w:pStyle w:val="Definition-Field2"/>
      </w:pPr>
      <w:r>
        <w:t xml:space="preserve">In Word, </w:t>
      </w:r>
      <w:r>
        <w:t>the default alignment for the \a switch is center alignment.</w:t>
      </w:r>
    </w:p>
    <w:p w:rsidR="00024C0A" w:rsidRDefault="00694C0F">
      <w:pPr>
        <w:pStyle w:val="Definition-Field"/>
      </w:pPr>
      <w:r>
        <w:t xml:space="preserve">b.   </w:t>
      </w:r>
      <w:r>
        <w:rPr>
          <w:i/>
        </w:rPr>
        <w:t>The standard says that the \o switch allows switches \ac, \al, and \ar.</w:t>
      </w:r>
    </w:p>
    <w:p w:rsidR="00024C0A" w:rsidRDefault="00694C0F">
      <w:pPr>
        <w:pStyle w:val="Definition-Field2"/>
      </w:pPr>
      <w:r>
        <w:t>In Word, the \o switch allows switches \ac, \al, \ar, and \ad, where the \ad switch specifies justified alignment of t</w:t>
      </w:r>
      <w:r>
        <w:t>he character boxes.</w:t>
      </w:r>
    </w:p>
    <w:p w:rsidR="00024C0A" w:rsidRDefault="00694C0F">
      <w:pPr>
        <w:pStyle w:val="Definition-Field"/>
      </w:pPr>
      <w:r>
        <w:t xml:space="preserve">c.   </w:t>
      </w:r>
      <w:r>
        <w:rPr>
          <w:i/>
        </w:rPr>
        <w:t>The standard says that for the \s switch, default for \ai switch is 2 points and no default is listed for \up switch.</w:t>
      </w:r>
    </w:p>
    <w:p w:rsidR="00024C0A" w:rsidRDefault="00694C0F">
      <w:pPr>
        <w:pStyle w:val="Definition-Field2"/>
      </w:pPr>
      <w:r>
        <w:t>In Word, for the \s switch, there is no default value for \ai switch and the default value for \up switch is 2 po</w:t>
      </w:r>
      <w:r>
        <w:t>ints.</w:t>
      </w:r>
    </w:p>
    <w:p w:rsidR="00024C0A" w:rsidRDefault="00694C0F">
      <w:pPr>
        <w:pStyle w:val="Definition-Field"/>
      </w:pPr>
      <w:r>
        <w:t xml:space="preserve">d.   </w:t>
      </w:r>
      <w:r>
        <w:rPr>
          <w:i/>
        </w:rPr>
        <w:t>The standard says that switch \lf creates a list from an arbitrary number of arguments.</w:t>
      </w:r>
    </w:p>
    <w:p w:rsidR="00024C0A" w:rsidRDefault="00694C0F">
      <w:pPr>
        <w:pStyle w:val="Definition-Field2"/>
      </w:pPr>
      <w:r>
        <w:t>In Word, switch \l creates a list from an arbitrary number of arguments.</w:t>
      </w:r>
    </w:p>
    <w:p w:rsidR="00024C0A" w:rsidRDefault="00694C0F">
      <w:pPr>
        <w:pStyle w:val="Definition-Field"/>
      </w:pPr>
      <w:r>
        <w:t xml:space="preserve">e.   </w:t>
      </w:r>
      <w:r>
        <w:rPr>
          <w:i/>
        </w:rPr>
        <w:t>The standard says that description says that the EQ field computes a mathematic</w:t>
      </w:r>
      <w:r>
        <w:rPr>
          <w:i/>
        </w:rPr>
        <w:t>al equation.</w:t>
      </w:r>
    </w:p>
    <w:p w:rsidR="00024C0A" w:rsidRDefault="00694C0F">
      <w:pPr>
        <w:pStyle w:val="Definition-Field2"/>
      </w:pPr>
      <w:r>
        <w:t>In Word, the EQ field is used to display a mathematical equation.</w:t>
      </w:r>
    </w:p>
    <w:p w:rsidR="00024C0A" w:rsidRDefault="00694C0F">
      <w:pPr>
        <w:pStyle w:val="Definition-Field"/>
      </w:pPr>
      <w:r>
        <w:t xml:space="preserve">f.   </w:t>
      </w:r>
      <w:r>
        <w:rPr>
          <w:i/>
        </w:rPr>
        <w:t>The standard does not restrict the integer argument of spacing switches \hs and \vs used with \a and spacing switches \ai and \di used with \s.</w:t>
      </w:r>
    </w:p>
    <w:p w:rsidR="00024C0A" w:rsidRDefault="00694C0F">
      <w:pPr>
        <w:pStyle w:val="Definition-Field2"/>
      </w:pPr>
      <w:r>
        <w:t>Word allows integer argument</w:t>
      </w:r>
      <w:r>
        <w:t>s between 0 and 127 inclusive for the spacing switches \hs and \vs used with \a and spacing switches \ai and \di used with \s.</w:t>
      </w:r>
    </w:p>
    <w:p w:rsidR="00024C0A" w:rsidRDefault="00694C0F">
      <w:pPr>
        <w:pStyle w:val="Definition-Field"/>
      </w:pPr>
      <w:r>
        <w:t xml:space="preserve">g.   </w:t>
      </w:r>
      <w:r>
        <w:rPr>
          <w:i/>
        </w:rPr>
        <w:t>The standard says that the \x switch draws a border segment around a single argument, but then says no arguments are allowed</w:t>
      </w:r>
      <w:r>
        <w:rPr>
          <w:i/>
        </w:rPr>
        <w:t>.</w:t>
      </w:r>
    </w:p>
    <w:p w:rsidR="00024C0A" w:rsidRDefault="00694C0F">
      <w:pPr>
        <w:pStyle w:val="Definition-Field2"/>
      </w:pPr>
      <w:r>
        <w:t>In Word, the \x switch draws a border segment around a single argument and at most one argument is allowed.</w:t>
      </w:r>
    </w:p>
    <w:p w:rsidR="00024C0A" w:rsidRDefault="00694C0F">
      <w:pPr>
        <w:pStyle w:val="Definition-Field"/>
      </w:pPr>
      <w:r>
        <w:t xml:space="preserve">h.   </w:t>
      </w:r>
      <w:r>
        <w:rPr>
          <w:i/>
        </w:rPr>
        <w:t>The standard allows the EQ field to be nested inside other fields.</w:t>
      </w:r>
    </w:p>
    <w:p w:rsidR="00024C0A" w:rsidRDefault="00694C0F">
      <w:pPr>
        <w:pStyle w:val="Definition-Field2"/>
      </w:pPr>
      <w:r>
        <w:t>In Word, if the EQ field is nested inside a field which is not an EQ field</w:t>
      </w:r>
      <w:r>
        <w:t>, no value is displayed.</w:t>
      </w:r>
    </w:p>
    <w:p w:rsidR="00024C0A" w:rsidRDefault="00694C0F">
      <w:pPr>
        <w:pStyle w:val="Heading3"/>
      </w:pPr>
      <w:bookmarkStart w:id="3575" w:name="section_97a71be93d2143dbb1e3fe122b650d3b"/>
      <w:bookmarkStart w:id="3576" w:name="_Toc12261848"/>
      <w:r>
        <w:t>Part 4 Section 14.10.5, Additional enumeration values for ST_StyleSort (Part 1, 17.18.82)</w:t>
      </w:r>
      <w:bookmarkEnd w:id="3575"/>
      <w:bookmarkEnd w:id="3576"/>
      <w:r>
        <w:fldChar w:fldCharType="begin"/>
      </w:r>
      <w:r>
        <w:instrText xml:space="preserve"> XE "Additional enumeration values for ST_StyleSort (Part 1 - 17.18.82)" </w:instrText>
      </w:r>
      <w:r>
        <w:fldChar w:fldCharType="end"/>
      </w:r>
    </w:p>
    <w:p w:rsidR="00024C0A" w:rsidRDefault="00694C0F">
      <w:pPr>
        <w:pStyle w:val="Definition-Field"/>
      </w:pPr>
      <w:r>
        <w:t xml:space="preserve">a.   </w:t>
      </w:r>
      <w:r>
        <w:rPr>
          <w:i/>
        </w:rPr>
        <w:t>The standard states that there are additional values for this</w:t>
      </w:r>
      <w:r>
        <w:rPr>
          <w:i/>
        </w:rPr>
        <w:t xml:space="preserve"> simple type.</w:t>
      </w:r>
    </w:p>
    <w:p w:rsidR="00024C0A" w:rsidRDefault="00694C0F">
      <w:pPr>
        <w:pStyle w:val="Definition-Field2"/>
      </w:pPr>
      <w:r>
        <w:t>Word treats value '0002' as equivalent to 'font' ("</w:t>
      </w:r>
      <w:hyperlink r:id="rId236">
        <w:r>
          <w:rPr>
            <w:rStyle w:val="Hyperlink"/>
          </w:rPr>
          <w:t>[ISO/IEC-29500-1]</w:t>
        </w:r>
      </w:hyperlink>
      <w:r>
        <w:t xml:space="preserve"> §17.18.82; ST_StyleSort (Style Sort Settings)"), '0003' as equivalent to 'basedOn' ("[ISO/IEC-29500-1] §17.</w:t>
      </w:r>
      <w:r>
        <w:t xml:space="preserve">18.82; </w:t>
      </w:r>
      <w:r>
        <w:lastRenderedPageBreak/>
        <w:t>ST_StyleSort (Style Sort Settings)"), '0004' as equivalent to 'type' ("[ISO/IEC-29500-1] §17.18.82; ST_StyleSort (Style Sort Settings)"), and '0005' as equivalent to 'default' ("[ISO/IEC-29500-1] §17.18.82; ST_StyleSort (Style Sort Settings)").</w:t>
      </w:r>
    </w:p>
    <w:p w:rsidR="00024C0A" w:rsidRDefault="00694C0F">
      <w:pPr>
        <w:pStyle w:val="Heading3"/>
      </w:pPr>
      <w:bookmarkStart w:id="3577" w:name="section_9b207b134ab84a8781ec4f95aba3b248"/>
      <w:bookmarkStart w:id="3578" w:name="_Toc12261849"/>
      <w:r>
        <w:t>Part</w:t>
      </w:r>
      <w:r>
        <w:t xml:space="preserve"> 4 Section 17.1.2.10, ST_TextFontScalePercent (Text Font Scale Percentage)</w:t>
      </w:r>
      <w:bookmarkEnd w:id="3577"/>
      <w:bookmarkEnd w:id="3578"/>
      <w:r>
        <w:fldChar w:fldCharType="begin"/>
      </w:r>
      <w:r>
        <w:instrText xml:space="preserve"> XE "ST_TextFontScalePercent (Text Font Scale Percentage)" </w:instrText>
      </w:r>
      <w:r>
        <w:fldChar w:fldCharType="end"/>
      </w:r>
    </w:p>
    <w:p w:rsidR="00024C0A" w:rsidRDefault="00694C0F">
      <w:pPr>
        <w:pStyle w:val="Definition-Field"/>
      </w:pPr>
      <w:r>
        <w:t xml:space="preserve">a.   </w:t>
      </w:r>
      <w:r>
        <w:rPr>
          <w:i/>
        </w:rPr>
        <w:t>The standard states that ST_TextFontScalePercent is read and written as a percent with a trailing percent sign.</w:t>
      </w:r>
    </w:p>
    <w:p w:rsidR="00024C0A" w:rsidRDefault="00694C0F">
      <w:pPr>
        <w:pStyle w:val="Definition-Field2"/>
      </w:pPr>
      <w:r>
        <w:t>Off</w:t>
      </w:r>
      <w:r>
        <w:t>ice will read in percentages formatted with a trailing percent sign or as 1000th of a percent without trailing percent sign, but only write out percentages as 1000th's of a percent without trailing percent sign.</w:t>
      </w:r>
    </w:p>
    <w:p w:rsidR="00024C0A" w:rsidRDefault="00694C0F">
      <w:pPr>
        <w:pStyle w:val="Heading3"/>
      </w:pPr>
      <w:bookmarkStart w:id="3579" w:name="section_8af868fdec9d4b77b7de0aff196de406"/>
      <w:bookmarkStart w:id="3580" w:name="_Toc12261850"/>
      <w:r>
        <w:t>Part 4 Section 17.1.2.11, ST_TextSpacingPerc</w:t>
      </w:r>
      <w:r>
        <w:t>ent (Text Spacing Percent)</w:t>
      </w:r>
      <w:bookmarkEnd w:id="3579"/>
      <w:bookmarkEnd w:id="3580"/>
      <w:r>
        <w:fldChar w:fldCharType="begin"/>
      </w:r>
      <w:r>
        <w:instrText xml:space="preserve"> XE "ST_TextSpacingPercent (Text Spacing Percent)" </w:instrText>
      </w:r>
      <w:r>
        <w:fldChar w:fldCharType="end"/>
      </w:r>
    </w:p>
    <w:p w:rsidR="00024C0A" w:rsidRDefault="00694C0F">
      <w:pPr>
        <w:pStyle w:val="Definition-Field"/>
      </w:pPr>
      <w:r>
        <w:t xml:space="preserve">a.   </w:t>
      </w:r>
      <w:r>
        <w:rPr>
          <w:i/>
        </w:rPr>
        <w:t>The standard states that the ST_TextSpacingPercent simple type specifies the range that the spacing percent in terms of line in hundredths.</w:t>
      </w:r>
    </w:p>
    <w:p w:rsidR="00024C0A" w:rsidRDefault="00694C0F">
      <w:pPr>
        <w:pStyle w:val="Definition-Field2"/>
      </w:pPr>
      <w:r>
        <w:t xml:space="preserve">Office uses this type to </w:t>
      </w:r>
      <w:r>
        <w:t>specify the percent of a line height in thousands of a percent.</w:t>
      </w:r>
    </w:p>
    <w:p w:rsidR="00024C0A" w:rsidRDefault="00694C0F">
      <w:pPr>
        <w:pStyle w:val="Definition-Field"/>
      </w:pPr>
      <w:r>
        <w:t xml:space="preserve">b.   </w:t>
      </w:r>
      <w:r>
        <w:rPr>
          <w:i/>
        </w:rPr>
        <w:t>The standard states that ST_TextSpacingPercent is read and written as a percent with a trailing percent sign.</w:t>
      </w:r>
    </w:p>
    <w:p w:rsidR="00024C0A" w:rsidRDefault="00694C0F">
      <w:pPr>
        <w:pStyle w:val="Definition-Field2"/>
      </w:pPr>
      <w:r>
        <w:t xml:space="preserve">Office will read in percentages formatted with a trailing percent sign or as </w:t>
      </w:r>
      <w:r>
        <w:t>1000th of a percent without trailing percent sign, but only write out percentages as 1000th's of a percent without trailing percent sign.</w:t>
      </w:r>
    </w:p>
    <w:p w:rsidR="00024C0A" w:rsidRDefault="00694C0F">
      <w:pPr>
        <w:pStyle w:val="Heading3"/>
      </w:pPr>
      <w:bookmarkStart w:id="3581" w:name="section_71366ecc35c3472fa82a9f507a1ee044"/>
      <w:bookmarkStart w:id="3582" w:name="_Toc12261851"/>
      <w:r>
        <w:t>Part 4 Section 19.1, VML</w:t>
      </w:r>
      <w:bookmarkEnd w:id="3581"/>
      <w:bookmarkEnd w:id="3582"/>
      <w:r>
        <w:fldChar w:fldCharType="begin"/>
      </w:r>
      <w:r>
        <w:instrText xml:space="preserve"> XE "VML" </w:instrText>
      </w:r>
      <w:r>
        <w:fldChar w:fldCharType="end"/>
      </w:r>
    </w:p>
    <w:p w:rsidR="00024C0A" w:rsidRDefault="00694C0F">
      <w:pPr>
        <w:pStyle w:val="Definition-Field"/>
      </w:pPr>
      <w:r>
        <w:t xml:space="preserve">a.   </w:t>
      </w:r>
      <w:r>
        <w:rPr>
          <w:i/>
        </w:rPr>
        <w:t xml:space="preserve">The standard indicates the unit systems used throughout VML, but does not </w:t>
      </w:r>
      <w:r>
        <w:rPr>
          <w:i/>
        </w:rPr>
        <w:t>specify their bounds.</w:t>
      </w:r>
    </w:p>
    <w:p w:rsidR="00024C0A" w:rsidRDefault="00694C0F">
      <w:r>
        <w:t xml:space="preserve">Office has restrictions for each of the units used in the standard.  </w:t>
      </w:r>
    </w:p>
    <w:p w:rsidR="00024C0A" w:rsidRDefault="00694C0F">
      <w:r>
        <w:t>The following table documents Office limits for each unit.  Office also uses EMUs throughout VML as a valid unit system.  Individual elements and attributes may imp</w:t>
      </w:r>
      <w:r>
        <w:t>ose further limits on any particular quantity based on its context.</w:t>
      </w:r>
    </w:p>
    <w:tbl>
      <w:tblPr>
        <w:tblStyle w:val="Table-ShadedHeader"/>
        <w:tblW w:w="0" w:type="auto"/>
        <w:tblLook w:val="04A0" w:firstRow="1" w:lastRow="0" w:firstColumn="1" w:lastColumn="0" w:noHBand="0" w:noVBand="1"/>
      </w:tblPr>
      <w:tblGrid>
        <w:gridCol w:w="1207"/>
        <w:gridCol w:w="1320"/>
        <w:gridCol w:w="1248"/>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Unit</w:t>
            </w:r>
          </w:p>
        </w:tc>
        <w:tc>
          <w:tcPr>
            <w:tcW w:w="0" w:type="auto"/>
            <w:vAlign w:val="center"/>
          </w:tcPr>
          <w:p w:rsidR="00024C0A" w:rsidRDefault="00694C0F">
            <w:pPr>
              <w:pStyle w:val="TableHeaderText"/>
            </w:pPr>
            <w:r>
              <w:t>Min</w:t>
            </w:r>
          </w:p>
        </w:tc>
        <w:tc>
          <w:tcPr>
            <w:tcW w:w="0" w:type="auto"/>
            <w:vAlign w:val="center"/>
          </w:tcPr>
          <w:p w:rsidR="00024C0A" w:rsidRDefault="00694C0F">
            <w:pPr>
              <w:pStyle w:val="TableHeaderText"/>
            </w:pPr>
            <w:r>
              <w:t>Max</w:t>
            </w:r>
          </w:p>
        </w:tc>
      </w:tr>
      <w:tr w:rsidR="00024C0A" w:rsidTr="00024C0A">
        <w:tc>
          <w:tcPr>
            <w:tcW w:w="0" w:type="auto"/>
            <w:vAlign w:val="center"/>
          </w:tcPr>
          <w:p w:rsidR="00024C0A" w:rsidRDefault="00694C0F">
            <w:pPr>
              <w:pStyle w:val="TableBodyText"/>
            </w:pPr>
            <w:r>
              <w:t>EMU</w:t>
            </w:r>
          </w:p>
        </w:tc>
        <w:tc>
          <w:tcPr>
            <w:tcW w:w="0" w:type="auto"/>
            <w:vAlign w:val="center"/>
          </w:tcPr>
          <w:p w:rsidR="00024C0A" w:rsidRDefault="00694C0F">
            <w:pPr>
              <w:pStyle w:val="TableBodyText"/>
            </w:pPr>
            <w:r>
              <w:t>-2147483644</w:t>
            </w:r>
          </w:p>
        </w:tc>
        <w:tc>
          <w:tcPr>
            <w:tcW w:w="0" w:type="auto"/>
            <w:vAlign w:val="center"/>
          </w:tcPr>
          <w:p w:rsidR="00024C0A" w:rsidRDefault="00694C0F">
            <w:pPr>
              <w:pStyle w:val="TableBodyText"/>
            </w:pPr>
            <w:r>
              <w:t>2147483647</w:t>
            </w:r>
          </w:p>
        </w:tc>
      </w:tr>
      <w:tr w:rsidR="00024C0A" w:rsidTr="00024C0A">
        <w:tc>
          <w:tcPr>
            <w:tcW w:w="0" w:type="auto"/>
            <w:vAlign w:val="center"/>
          </w:tcPr>
          <w:p w:rsidR="00024C0A" w:rsidRDefault="00694C0F">
            <w:pPr>
              <w:pStyle w:val="TableBodyText"/>
            </w:pPr>
            <w:r>
              <w:t>Pixels</w:t>
            </w:r>
          </w:p>
        </w:tc>
        <w:tc>
          <w:tcPr>
            <w:tcW w:w="0" w:type="auto"/>
            <w:vAlign w:val="center"/>
          </w:tcPr>
          <w:p w:rsidR="00024C0A" w:rsidRDefault="00694C0F">
            <w:pPr>
              <w:pStyle w:val="TableBodyText"/>
            </w:pPr>
            <w:r>
              <w:t>-2147483648</w:t>
            </w:r>
          </w:p>
        </w:tc>
        <w:tc>
          <w:tcPr>
            <w:tcW w:w="0" w:type="auto"/>
            <w:vAlign w:val="center"/>
          </w:tcPr>
          <w:p w:rsidR="00024C0A" w:rsidRDefault="00694C0F">
            <w:pPr>
              <w:pStyle w:val="TableBodyText"/>
            </w:pPr>
            <w:r>
              <w:t>2147483647</w:t>
            </w:r>
          </w:p>
        </w:tc>
      </w:tr>
      <w:tr w:rsidR="00024C0A" w:rsidTr="00024C0A">
        <w:tc>
          <w:tcPr>
            <w:tcW w:w="0" w:type="auto"/>
            <w:vAlign w:val="center"/>
          </w:tcPr>
          <w:p w:rsidR="00024C0A" w:rsidRDefault="00694C0F">
            <w:pPr>
              <w:pStyle w:val="TableBodyText"/>
            </w:pPr>
            <w:r>
              <w:t>Inches</w:t>
            </w:r>
          </w:p>
        </w:tc>
        <w:tc>
          <w:tcPr>
            <w:tcW w:w="0" w:type="auto"/>
            <w:vAlign w:val="center"/>
          </w:tcPr>
          <w:p w:rsidR="00024C0A" w:rsidRDefault="00694C0F">
            <w:pPr>
              <w:pStyle w:val="TableBodyText"/>
            </w:pPr>
            <w:r>
              <w:t>-2348</w:t>
            </w:r>
          </w:p>
        </w:tc>
        <w:tc>
          <w:tcPr>
            <w:tcW w:w="0" w:type="auto"/>
            <w:vAlign w:val="center"/>
          </w:tcPr>
          <w:p w:rsidR="00024C0A" w:rsidRDefault="00694C0F">
            <w:pPr>
              <w:pStyle w:val="TableBodyText"/>
            </w:pPr>
            <w:r>
              <w:t>2348</w:t>
            </w:r>
          </w:p>
        </w:tc>
      </w:tr>
      <w:tr w:rsidR="00024C0A" w:rsidTr="00024C0A">
        <w:tc>
          <w:tcPr>
            <w:tcW w:w="0" w:type="auto"/>
            <w:vAlign w:val="center"/>
          </w:tcPr>
          <w:p w:rsidR="00024C0A" w:rsidRDefault="00694C0F">
            <w:pPr>
              <w:pStyle w:val="TableBodyText"/>
            </w:pPr>
            <w:r>
              <w:t>Centimeters</w:t>
            </w:r>
          </w:p>
        </w:tc>
        <w:tc>
          <w:tcPr>
            <w:tcW w:w="0" w:type="auto"/>
            <w:vAlign w:val="center"/>
          </w:tcPr>
          <w:p w:rsidR="00024C0A" w:rsidRDefault="00694C0F">
            <w:pPr>
              <w:pStyle w:val="TableBodyText"/>
            </w:pPr>
            <w:r>
              <w:t>-5965</w:t>
            </w:r>
          </w:p>
        </w:tc>
        <w:tc>
          <w:tcPr>
            <w:tcW w:w="0" w:type="auto"/>
            <w:vAlign w:val="center"/>
          </w:tcPr>
          <w:p w:rsidR="00024C0A" w:rsidRDefault="00694C0F">
            <w:pPr>
              <w:pStyle w:val="TableBodyText"/>
            </w:pPr>
            <w:r>
              <w:t>5965</w:t>
            </w:r>
          </w:p>
        </w:tc>
      </w:tr>
      <w:tr w:rsidR="00024C0A" w:rsidTr="00024C0A">
        <w:tc>
          <w:tcPr>
            <w:tcW w:w="0" w:type="auto"/>
            <w:vAlign w:val="center"/>
          </w:tcPr>
          <w:p w:rsidR="00024C0A" w:rsidRDefault="00694C0F">
            <w:pPr>
              <w:pStyle w:val="TableBodyText"/>
            </w:pPr>
            <w:r>
              <w:t>Millimeters</w:t>
            </w:r>
          </w:p>
        </w:tc>
        <w:tc>
          <w:tcPr>
            <w:tcW w:w="0" w:type="auto"/>
            <w:vAlign w:val="center"/>
          </w:tcPr>
          <w:p w:rsidR="00024C0A" w:rsidRDefault="00694C0F">
            <w:pPr>
              <w:pStyle w:val="TableBodyText"/>
            </w:pPr>
            <w:r>
              <w:t>-59652</w:t>
            </w:r>
          </w:p>
        </w:tc>
        <w:tc>
          <w:tcPr>
            <w:tcW w:w="0" w:type="auto"/>
            <w:vAlign w:val="center"/>
          </w:tcPr>
          <w:p w:rsidR="00024C0A" w:rsidRDefault="00694C0F">
            <w:pPr>
              <w:pStyle w:val="TableBodyText"/>
            </w:pPr>
            <w:r>
              <w:t>59652</w:t>
            </w:r>
          </w:p>
        </w:tc>
      </w:tr>
      <w:tr w:rsidR="00024C0A" w:rsidTr="00024C0A">
        <w:tc>
          <w:tcPr>
            <w:tcW w:w="0" w:type="auto"/>
            <w:vAlign w:val="center"/>
          </w:tcPr>
          <w:p w:rsidR="00024C0A" w:rsidRDefault="00694C0F">
            <w:pPr>
              <w:pStyle w:val="TableBodyText"/>
            </w:pPr>
            <w:r>
              <w:t>Points</w:t>
            </w:r>
          </w:p>
        </w:tc>
        <w:tc>
          <w:tcPr>
            <w:tcW w:w="0" w:type="auto"/>
            <w:vAlign w:val="center"/>
          </w:tcPr>
          <w:p w:rsidR="00024C0A" w:rsidRDefault="00694C0F">
            <w:pPr>
              <w:pStyle w:val="TableBodyText"/>
            </w:pPr>
            <w:r>
              <w:t>-169093</w:t>
            </w:r>
          </w:p>
        </w:tc>
        <w:tc>
          <w:tcPr>
            <w:tcW w:w="0" w:type="auto"/>
            <w:vAlign w:val="center"/>
          </w:tcPr>
          <w:p w:rsidR="00024C0A" w:rsidRDefault="00694C0F">
            <w:pPr>
              <w:pStyle w:val="TableBodyText"/>
            </w:pPr>
            <w:r>
              <w:t>169093</w:t>
            </w:r>
          </w:p>
        </w:tc>
      </w:tr>
      <w:tr w:rsidR="00024C0A" w:rsidTr="00024C0A">
        <w:tc>
          <w:tcPr>
            <w:tcW w:w="0" w:type="auto"/>
            <w:vAlign w:val="center"/>
          </w:tcPr>
          <w:p w:rsidR="00024C0A" w:rsidRDefault="00694C0F">
            <w:pPr>
              <w:pStyle w:val="TableBodyText"/>
            </w:pPr>
            <w:r>
              <w:t>Picas</w:t>
            </w:r>
          </w:p>
        </w:tc>
        <w:tc>
          <w:tcPr>
            <w:tcW w:w="0" w:type="auto"/>
            <w:vAlign w:val="center"/>
          </w:tcPr>
          <w:p w:rsidR="00024C0A" w:rsidRDefault="00694C0F">
            <w:pPr>
              <w:pStyle w:val="TableBodyText"/>
            </w:pPr>
            <w:r>
              <w:t>-14091</w:t>
            </w:r>
          </w:p>
        </w:tc>
        <w:tc>
          <w:tcPr>
            <w:tcW w:w="0" w:type="auto"/>
            <w:vAlign w:val="center"/>
          </w:tcPr>
          <w:p w:rsidR="00024C0A" w:rsidRDefault="00694C0F">
            <w:pPr>
              <w:pStyle w:val="TableBodyText"/>
            </w:pPr>
            <w:r>
              <w:t>14091</w:t>
            </w:r>
          </w:p>
        </w:tc>
      </w:tr>
    </w:tbl>
    <w:p w:rsidR="00024C0A" w:rsidRDefault="00024C0A"/>
    <w:p w:rsidR="00024C0A" w:rsidRDefault="00694C0F">
      <w:pPr>
        <w:pStyle w:val="Heading3"/>
      </w:pPr>
      <w:bookmarkStart w:id="3583" w:name="section_d019f23f597743d8b46399ba8f6784eb"/>
      <w:bookmarkStart w:id="3584" w:name="_Toc12261852"/>
      <w:r>
        <w:lastRenderedPageBreak/>
        <w:t>Part 4 Section 19.1.2.1, arc (Arc Segment)</w:t>
      </w:r>
      <w:bookmarkEnd w:id="3583"/>
      <w:bookmarkEnd w:id="3584"/>
      <w:r>
        <w:fldChar w:fldCharType="begin"/>
      </w:r>
      <w:r>
        <w:instrText xml:space="preserve"> XE "arc (Arc Segment)"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024C0A" w:rsidRDefault="00694C0F">
      <w:pPr>
        <w:pStyle w:val="Definition-Field"/>
      </w:pPr>
      <w:r>
        <w:t xml:space="preserve">a.   </w:t>
      </w:r>
      <w:r>
        <w:rPr>
          <w:i/>
        </w:rPr>
        <w:t>The standard defines the attribute endAngle in camel case.</w:t>
      </w:r>
    </w:p>
    <w:p w:rsidR="00024C0A" w:rsidRDefault="00694C0F">
      <w:pPr>
        <w:pStyle w:val="Definition-Field2"/>
      </w:pPr>
      <w:r>
        <w:t>Office writes out the a</w:t>
      </w:r>
      <w:r>
        <w:t>ttribute endangle in lowercase.</w:t>
      </w:r>
    </w:p>
    <w:p w:rsidR="00024C0A" w:rsidRDefault="00694C0F">
      <w:pPr>
        <w:pStyle w:val="Definition-Field"/>
      </w:pPr>
      <w:r>
        <w:t xml:space="preserve">b.   </w:t>
      </w:r>
      <w:r>
        <w:rPr>
          <w:i/>
        </w:rPr>
        <w:t>The standard defines the attribute startAngle in camel case.</w:t>
      </w:r>
    </w:p>
    <w:p w:rsidR="00024C0A" w:rsidRDefault="00694C0F">
      <w:pPr>
        <w:pStyle w:val="Definition-Field2"/>
      </w:pPr>
      <w:r>
        <w:t>Office writes out the attribute startangle in lowercase.</w:t>
      </w:r>
    </w:p>
    <w:p w:rsidR="00024C0A" w:rsidRDefault="00694C0F">
      <w:pPr>
        <w:pStyle w:val="Definition-Field"/>
      </w:pPr>
      <w:r>
        <w:t xml:space="preserve">c.   </w:t>
      </w:r>
      <w:r>
        <w:rPr>
          <w:i/>
        </w:rPr>
        <w:t>The standard states that xy and yx are valid values of the flip property on the style attribute.</w:t>
      </w:r>
    </w:p>
    <w:p w:rsidR="00024C0A" w:rsidRDefault="00694C0F">
      <w:pPr>
        <w:pStyle w:val="Definition-Field2"/>
      </w:pPr>
      <w:r>
        <w:t>Office does not allow these values; instead, it allows values of "x y" and "y x" (minus the quotes, but including the spaces) for the same purpose.</w:t>
      </w:r>
    </w:p>
    <w:p w:rsidR="00024C0A" w:rsidRDefault="00694C0F">
      <w:pPr>
        <w:pStyle w:val="Definition-Field"/>
      </w:pPr>
      <w:r>
        <w:t xml:space="preserve">d.   </w:t>
      </w:r>
      <w:r>
        <w:rPr>
          <w:i/>
        </w:rPr>
        <w:t>The standard implies that the height and mso-height-percent properties on the style attribute are opti</w:t>
      </w:r>
      <w:r>
        <w:rPr>
          <w:i/>
        </w:rPr>
        <w:t>onal.</w:t>
      </w:r>
    </w:p>
    <w:p w:rsidR="00024C0A" w:rsidRDefault="00694C0F">
      <w:pPr>
        <w:pStyle w:val="Definition-Field2"/>
      </w:pPr>
      <w:r>
        <w:t>Office requires that at least one of these properties be set when an anchor element is not present; the height property is ignored when either the mso-height-percent property or an anchor element is specified.</w:t>
      </w:r>
    </w:p>
    <w:p w:rsidR="00024C0A" w:rsidRDefault="00694C0F">
      <w:pPr>
        <w:pStyle w:val="Definition-Field"/>
      </w:pPr>
      <w:r>
        <w:t xml:space="preserve">e.   </w:t>
      </w:r>
      <w:r>
        <w:rPr>
          <w:i/>
        </w:rPr>
        <w:t>The standard implies that the left,</w:t>
      </w:r>
      <w:r>
        <w:rPr>
          <w:i/>
        </w:rPr>
        <w:t xml:space="preserve"> margin-left, mso-position-horizontal, and mso-left-percent properties on the style attribute are optional.</w:t>
      </w:r>
    </w:p>
    <w:p w:rsidR="00024C0A" w:rsidRDefault="00694C0F">
      <w:pPr>
        <w:pStyle w:val="Definition-Field2"/>
      </w:pPr>
      <w:r>
        <w:t>Office requires that at least one of these properties be set when the value of the position property is absolute and an anchor element is not presen</w:t>
      </w:r>
      <w:r>
        <w:t>t; all of these properties are ignored when the value of the position property is static.</w:t>
      </w:r>
    </w:p>
    <w:p w:rsidR="00024C0A" w:rsidRDefault="00694C0F">
      <w:pPr>
        <w:pStyle w:val="Definition-Field"/>
      </w:pPr>
      <w:r>
        <w:t xml:space="preserve">f.   </w:t>
      </w:r>
      <w:r>
        <w:rPr>
          <w:i/>
        </w:rPr>
        <w:t xml:space="preserve">The standard states that the margin-bottom property on the style attribute specifies the position of the bottom of the containing block of the shape relative to </w:t>
      </w:r>
      <w:r>
        <w:rPr>
          <w:i/>
        </w:rPr>
        <w:t>the shape anchor.</w:t>
      </w:r>
    </w:p>
    <w:p w:rsidR="00024C0A" w:rsidRDefault="00694C0F">
      <w:pPr>
        <w:pStyle w:val="Definition-Field2"/>
      </w:pPr>
      <w:r>
        <w:t>Office does not support this property.</w:t>
      </w:r>
    </w:p>
    <w:p w:rsidR="00024C0A" w:rsidRDefault="00694C0F">
      <w:pPr>
        <w:pStyle w:val="Definition-Field"/>
      </w:pPr>
      <w:r>
        <w:t xml:space="preserve">g.   </w:t>
      </w:r>
      <w:r>
        <w:rPr>
          <w:i/>
        </w:rPr>
        <w:t>The standard states that the margin-right property on the style attribute specifies the position of the right of the containing block of the shape relative to the shape anchor.</w:t>
      </w:r>
    </w:p>
    <w:p w:rsidR="00024C0A" w:rsidRDefault="00694C0F">
      <w:pPr>
        <w:pStyle w:val="Definition-Field2"/>
      </w:pPr>
      <w:r>
        <w:t>Office does not s</w:t>
      </w:r>
      <w:r>
        <w:t>upport this property.</w:t>
      </w:r>
    </w:p>
    <w:p w:rsidR="00024C0A" w:rsidRDefault="00694C0F">
      <w:pPr>
        <w:pStyle w:val="Definition-Field"/>
      </w:pPr>
      <w:r>
        <w:t xml:space="preserve">h.   </w:t>
      </w:r>
      <w:r>
        <w:rPr>
          <w:i/>
        </w:rPr>
        <w:t>The standard implies that the top, margin-top, mso-position-vertical, and mso-top-percent properties on the style attribute are optional.</w:t>
      </w:r>
    </w:p>
    <w:p w:rsidR="00024C0A" w:rsidRDefault="00694C0F">
      <w:pPr>
        <w:pStyle w:val="Definition-Field2"/>
      </w:pPr>
      <w:r>
        <w:t>Office requires that at least one of these properties be set when the value of the position</w:t>
      </w:r>
      <w:r>
        <w:t xml:space="preserve"> property is absolute and an anchor element is not present; all of these properties are ignored when the value of the position property is static.</w:t>
      </w:r>
    </w:p>
    <w:p w:rsidR="00024C0A" w:rsidRDefault="00694C0F">
      <w:pPr>
        <w:pStyle w:val="Definition-Field"/>
      </w:pPr>
      <w:r>
        <w:t xml:space="preserve">i.   </w:t>
      </w:r>
      <w:r>
        <w:rPr>
          <w:i/>
        </w:rPr>
        <w:t>The standard implies that the mso-position-horizontal-relative property on the style attribute is option</w:t>
      </w:r>
      <w:r>
        <w:rPr>
          <w:i/>
        </w:rPr>
        <w:t>al.</w:t>
      </w:r>
    </w:p>
    <w:p w:rsidR="00024C0A" w:rsidRDefault="00694C0F">
      <w:pPr>
        <w:pStyle w:val="Definition-Field2"/>
      </w:pPr>
      <w:r>
        <w:t>Office requires this property to be specified when the value of the mso-position-horizontal property on the style attribute is not absolute.</w:t>
      </w:r>
    </w:p>
    <w:p w:rsidR="00024C0A" w:rsidRDefault="00694C0F">
      <w:pPr>
        <w:pStyle w:val="Definition-Field"/>
      </w:pPr>
      <w:r>
        <w:t xml:space="preserve">j.   </w:t>
      </w:r>
      <w:r>
        <w:rPr>
          <w:i/>
        </w:rPr>
        <w:t>The standard states that the only valid values for the mso-position-horizontal-relative property on the st</w:t>
      </w:r>
      <w:r>
        <w:rPr>
          <w:i/>
        </w:rPr>
        <w:t>yle attribute are margin, page, text, and char.</w:t>
      </w:r>
    </w:p>
    <w:p w:rsidR="00024C0A" w:rsidRDefault="00694C0F">
      <w:pPr>
        <w:pStyle w:val="Definition-Field2"/>
      </w:pPr>
      <w:r>
        <w:t>Office also allows values of left-margin-area, right-margin-area, inner-margin-area, and outer-margin area when the value of the mso-position-horizontal property on the style attribute is neither inside nor o</w:t>
      </w:r>
      <w:r>
        <w:t>utside.</w:t>
      </w:r>
    </w:p>
    <w:p w:rsidR="00024C0A" w:rsidRDefault="00694C0F">
      <w:pPr>
        <w:pStyle w:val="Definition-Field"/>
      </w:pPr>
      <w:r>
        <w:lastRenderedPageBreak/>
        <w:t xml:space="preserve">k.   </w:t>
      </w:r>
      <w:r>
        <w:rPr>
          <w:i/>
        </w:rPr>
        <w:t>The standard states that the default value of the mso-position-horizontal-relative property on the style attribute is text.</w:t>
      </w:r>
    </w:p>
    <w:p w:rsidR="00024C0A" w:rsidRDefault="00694C0F">
      <w:pPr>
        <w:pStyle w:val="Definition-Field2"/>
      </w:pPr>
      <w:r>
        <w:t>Office requires this property to be set.</w:t>
      </w:r>
    </w:p>
    <w:p w:rsidR="00024C0A" w:rsidRDefault="00694C0F">
      <w:pPr>
        <w:pStyle w:val="Definition-Field"/>
      </w:pPr>
      <w:r>
        <w:t xml:space="preserve">l.   </w:t>
      </w:r>
      <w:r>
        <w:rPr>
          <w:i/>
        </w:rPr>
        <w:t>The standard states that the default value of the mso-position-vertical-r</w:t>
      </w:r>
      <w:r>
        <w:rPr>
          <w:i/>
        </w:rPr>
        <w:t>elative property on the style attribute is text.</w:t>
      </w:r>
    </w:p>
    <w:p w:rsidR="00024C0A" w:rsidRDefault="00694C0F">
      <w:pPr>
        <w:pStyle w:val="Definition-Field2"/>
      </w:pPr>
      <w:r>
        <w:t>Office requires this property to be set.</w:t>
      </w:r>
    </w:p>
    <w:p w:rsidR="00024C0A" w:rsidRDefault="00694C0F">
      <w:pPr>
        <w:pStyle w:val="Definition-Field"/>
      </w:pPr>
      <w:r>
        <w:t xml:space="preserve">m.   </w:t>
      </w:r>
      <w:r>
        <w:rPr>
          <w:i/>
        </w:rPr>
        <w:t>The standard states that the only valid values for the mso-position-vertical-relative property on the style attribute are margin, page, text, and line.</w:t>
      </w:r>
    </w:p>
    <w:p w:rsidR="00024C0A" w:rsidRDefault="00694C0F">
      <w:pPr>
        <w:pStyle w:val="Definition-Field2"/>
      </w:pPr>
      <w:r>
        <w:t>Office al</w:t>
      </w:r>
      <w:r>
        <w:t>so allows values of top-margin-area, bottom-margin-area, inner-margin-area, and outer-margin area.</w:t>
      </w:r>
    </w:p>
    <w:p w:rsidR="00024C0A" w:rsidRDefault="00694C0F">
      <w:pPr>
        <w:pStyle w:val="Definition-Field"/>
      </w:pPr>
      <w:r>
        <w:t xml:space="preserve">n.   </w:t>
      </w:r>
      <w:r>
        <w:rPr>
          <w:i/>
        </w:rPr>
        <w:t>The standard does not state how the mso-wrap-distance-bottom, mso-wrap-distance-left, mso-wrap-distance-right, and mso-wrap-distance-top properties on t</w:t>
      </w:r>
      <w:r>
        <w:rPr>
          <w:i/>
        </w:rPr>
        <w:t>he style attribute are to be measured.</w:t>
      </w:r>
    </w:p>
    <w:p w:rsidR="00024C0A" w:rsidRDefault="00694C0F">
      <w:pPr>
        <w:pStyle w:val="Definition-Field2"/>
      </w:pPr>
      <w:r>
        <w:t>Office allows these properties to be measured using the absolute units designator cm, mm, in, pt, or pc; or using the relative units designator px.</w:t>
      </w:r>
    </w:p>
    <w:p w:rsidR="00024C0A" w:rsidRDefault="00694C0F">
      <w:pPr>
        <w:pStyle w:val="Definition-Field"/>
      </w:pPr>
      <w:r>
        <w:t xml:space="preserve">o.   </w:t>
      </w:r>
      <w:r>
        <w:rPr>
          <w:i/>
        </w:rPr>
        <w:t xml:space="preserve">The standard states that the default value of the </w:t>
      </w:r>
      <w:r>
        <w:rPr>
          <w:i/>
        </w:rPr>
        <w:t>mso-wrap-distance-left and mso-wrap-distance-right properties on the style attribute is 0 pt.</w:t>
      </w:r>
    </w:p>
    <w:p w:rsidR="00024C0A" w:rsidRDefault="00694C0F">
      <w:pPr>
        <w:pStyle w:val="Definition-Field2"/>
      </w:pPr>
      <w:r>
        <w:t>Office uses a default value of 9 pt for these properties.</w:t>
      </w:r>
    </w:p>
    <w:p w:rsidR="00024C0A" w:rsidRDefault="00694C0F">
      <w:pPr>
        <w:pStyle w:val="Definition-Field"/>
      </w:pPr>
      <w:r>
        <w:t xml:space="preserve">p.   </w:t>
      </w:r>
      <w:r>
        <w:rPr>
          <w:i/>
        </w:rPr>
        <w:t>The standard states that relative is a valid value for the position property on the style attribute</w:t>
      </w:r>
      <w:r>
        <w:rPr>
          <w:i/>
        </w:rPr>
        <w:t>.</w:t>
      </w:r>
    </w:p>
    <w:p w:rsidR="00024C0A" w:rsidRDefault="00694C0F">
      <w:pPr>
        <w:pStyle w:val="Definition-Field2"/>
      </w:pPr>
      <w:r>
        <w:t>Office does not support this value on this property.</w:t>
      </w:r>
    </w:p>
    <w:p w:rsidR="00024C0A" w:rsidRDefault="00694C0F">
      <w:pPr>
        <w:pStyle w:val="Definition-Field"/>
      </w:pPr>
      <w:r>
        <w:t xml:space="preserve">q.   </w:t>
      </w:r>
      <w:r>
        <w:rPr>
          <w:i/>
        </w:rPr>
        <w:t>The standard states that auto is a valid value for the margin-left, margin-top, left, top, width, height, and z-index properties on the style attribute.</w:t>
      </w:r>
    </w:p>
    <w:p w:rsidR="00024C0A" w:rsidRDefault="00694C0F">
      <w:pPr>
        <w:pStyle w:val="Definition-Field2"/>
      </w:pPr>
      <w:r>
        <w:t>Office does not support this value on these</w:t>
      </w:r>
      <w:r>
        <w:t xml:space="preserve"> properties.</w:t>
      </w:r>
    </w:p>
    <w:p w:rsidR="00024C0A" w:rsidRDefault="00694C0F">
      <w:pPr>
        <w:pStyle w:val="Definition-Field"/>
      </w:pPr>
      <w:r>
        <w:t xml:space="preserve">r.   </w:t>
      </w:r>
      <w:r>
        <w:rPr>
          <w:i/>
        </w:rPr>
        <w:t>The standard states that the value of the margin-left, margin-top, left, top, width, and height properties on the style attribute may be specified as a percentage.</w:t>
      </w:r>
    </w:p>
    <w:p w:rsidR="00024C0A" w:rsidRDefault="00694C0F">
      <w:pPr>
        <w:pStyle w:val="Definition-Field2"/>
      </w:pPr>
      <w:r>
        <w:t>Office does not allow the value of these properties to be specified as a p</w:t>
      </w:r>
      <w:r>
        <w:t>ercentage.</w:t>
      </w:r>
    </w:p>
    <w:p w:rsidR="00024C0A" w:rsidRDefault="00694C0F">
      <w:pPr>
        <w:pStyle w:val="Definition-Field"/>
      </w:pPr>
      <w:r>
        <w:t xml:space="preserve">s.   </w:t>
      </w:r>
      <w:r>
        <w:rPr>
          <w:i/>
        </w:rPr>
        <w:t>The standard states that the value of the margin-left, margin-top, left, top, width, and height properties on the style attribute may be specified in em or ex units.</w:t>
      </w:r>
    </w:p>
    <w:p w:rsidR="00024C0A" w:rsidRDefault="00694C0F">
      <w:pPr>
        <w:pStyle w:val="Definition-Field2"/>
      </w:pPr>
      <w:r>
        <w:t>Office does not allow the value of these properties to be specified in thi</w:t>
      </w:r>
      <w:r>
        <w:t>s way.</w:t>
      </w:r>
    </w:p>
    <w:p w:rsidR="00024C0A" w:rsidRDefault="00694C0F">
      <w:pPr>
        <w:pStyle w:val="Definition-Field"/>
      </w:pPr>
      <w:r>
        <w:t xml:space="preserve">t.   </w:t>
      </w:r>
      <w:r>
        <w:rPr>
          <w:i/>
        </w:rPr>
        <w:t>The standard places no restrictions on the relationship between the top, margin-top, mso-position-vertical, or mso-top-percent properties on the style attribute.</w:t>
      </w:r>
    </w:p>
    <w:p w:rsidR="00024C0A" w:rsidRDefault="00694C0F">
      <w:pPr>
        <w:pStyle w:val="Definition-Field2"/>
      </w:pPr>
      <w:r>
        <w:t>Office ignores the top and margin-top properties when either the mso-position-vert</w:t>
      </w:r>
      <w:r>
        <w:t>ical or mso-top-percent property on the style attribute is set, or when an anchor element is present.</w:t>
      </w:r>
    </w:p>
    <w:p w:rsidR="00024C0A" w:rsidRDefault="00694C0F">
      <w:pPr>
        <w:pStyle w:val="Definition-Field"/>
      </w:pPr>
      <w:r>
        <w:t xml:space="preserve">u.   </w:t>
      </w:r>
      <w:r>
        <w:rPr>
          <w:i/>
        </w:rPr>
        <w:t>The standard implies that the width and mso-width-percent properties on the style attribute are optional.</w:t>
      </w:r>
    </w:p>
    <w:p w:rsidR="00024C0A" w:rsidRDefault="00694C0F">
      <w:pPr>
        <w:pStyle w:val="Definition-Field2"/>
      </w:pPr>
      <w:r>
        <w:t xml:space="preserve">Office requires that at least one of these </w:t>
      </w:r>
      <w:r>
        <w:t>properties be set when an anchor element is not present; the width property is ignored when either the mso-width-percent property or an anchor element is specified.</w:t>
      </w:r>
    </w:p>
    <w:p w:rsidR="00024C0A" w:rsidRDefault="00694C0F">
      <w:pPr>
        <w:pStyle w:val="Definition-Field"/>
      </w:pPr>
      <w:r>
        <w:t xml:space="preserve">v.   </w:t>
      </w:r>
      <w:r>
        <w:rPr>
          <w:i/>
        </w:rPr>
        <w:t>The standard makes no mention of an mso-width-percent property on the style attribute.</w:t>
      </w:r>
    </w:p>
    <w:p w:rsidR="00024C0A" w:rsidRDefault="00694C0F">
      <w:pPr>
        <w:pStyle w:val="Definition-Field2"/>
      </w:pPr>
      <w:r>
        <w:lastRenderedPageBreak/>
        <w:t>Word uses this property to specify the width of the shape as a percentage of the layout object defined by the mso-width-relative property; its value is expressed as an integer between 10 and 10,000, inclusive, where each unit is a tenth of a percent.</w:t>
      </w:r>
    </w:p>
    <w:p w:rsidR="00024C0A" w:rsidRDefault="00694C0F">
      <w:pPr>
        <w:pStyle w:val="Definition-Field"/>
      </w:pPr>
      <w:r>
        <w:t xml:space="preserve">w.  </w:t>
      </w:r>
      <w:r>
        <w:t xml:space="preserve"> </w:t>
      </w:r>
      <w:r>
        <w:rPr>
          <w:i/>
        </w:rPr>
        <w:t>The standard makes no mention of an mso-height-percent property on the style attribute.</w:t>
      </w:r>
    </w:p>
    <w:p w:rsidR="00024C0A" w:rsidRDefault="00694C0F">
      <w:pPr>
        <w:pStyle w:val="Definition-Field2"/>
      </w:pPr>
      <w:r>
        <w:t>Word uses this property to specify the height of a shape as a percentage of the layout object defined by the mso-height-relative property; its value is expressed as an</w:t>
      </w:r>
      <w:r>
        <w:t xml:space="preserve"> integer between 10 and 10,000, inclusive, where each unit is a tenth of a percent.</w:t>
      </w:r>
    </w:p>
    <w:p w:rsidR="00024C0A" w:rsidRDefault="00694C0F">
      <w:pPr>
        <w:pStyle w:val="Definition-Field"/>
      </w:pPr>
      <w:r>
        <w:t xml:space="preserve">x.   </w:t>
      </w:r>
      <w:r>
        <w:rPr>
          <w:i/>
        </w:rPr>
        <w:t>The standard makes no mention of an mso-width-relative property on the style attribute.</w:t>
      </w:r>
    </w:p>
    <w:p w:rsidR="00024C0A" w:rsidRDefault="00694C0F">
      <w:pPr>
        <w:pStyle w:val="Definition-Field2"/>
      </w:pPr>
      <w:r>
        <w:t xml:space="preserve">Word uses this property to specify the layout object referred to by the </w:t>
      </w:r>
      <w:r>
        <w:t>mso-width-percent property; its allowed values are margin, page, left-margin-area, right-margin-area, inner-margin-area, and outer-margin-area, with page being the default.</w:t>
      </w:r>
    </w:p>
    <w:p w:rsidR="00024C0A" w:rsidRDefault="00694C0F">
      <w:pPr>
        <w:pStyle w:val="Definition-Field"/>
      </w:pPr>
      <w:r>
        <w:t xml:space="preserve">y.   </w:t>
      </w:r>
      <w:r>
        <w:rPr>
          <w:i/>
        </w:rPr>
        <w:t xml:space="preserve">The standard makes no mention of an mso-height-relative property on the style </w:t>
      </w:r>
      <w:r>
        <w:rPr>
          <w:i/>
        </w:rPr>
        <w:t>attribute.</w:t>
      </w:r>
    </w:p>
    <w:p w:rsidR="00024C0A" w:rsidRDefault="00694C0F">
      <w:pPr>
        <w:pStyle w:val="Definition-Field2"/>
      </w:pPr>
      <w:r>
        <w:t>Word uses this property to specify the layout object referred to by the mso-height-percent property; its allowed values are margin, page, top-margin-area, bottom-margin-area, inner-margin-area, and outer-margin-area.</w:t>
      </w:r>
    </w:p>
    <w:p w:rsidR="00024C0A" w:rsidRDefault="00694C0F">
      <w:pPr>
        <w:pStyle w:val="Definition-Field"/>
      </w:pPr>
      <w:r>
        <w:t xml:space="preserve">z.   </w:t>
      </w:r>
      <w:r>
        <w:rPr>
          <w:i/>
        </w:rPr>
        <w:t>The standard makes no m</w:t>
      </w:r>
      <w:r>
        <w:rPr>
          <w:i/>
        </w:rPr>
        <w:t>ention of an mso-left-percent property on the style attribute.</w:t>
      </w:r>
    </w:p>
    <w:p w:rsidR="00024C0A" w:rsidRDefault="00694C0F">
      <w:r>
        <w:t>Word uses this property to specify the location of the left edge of the shape as a percentage of the width of the layout object defined by the mso-position-horizontal-relative property; its val</w:t>
      </w:r>
      <w:r>
        <w:t>ue is expressed as an integer between -10,000 and 10,000, inclusive, where each unit is a tenth of a percent. This property cannot be used in combination with the mso-position-horizontal attribute on the style attribute.</w:t>
      </w:r>
    </w:p>
    <w:p w:rsidR="00024C0A" w:rsidRDefault="00694C0F">
      <w:pPr>
        <w:pStyle w:val="Definition-Field"/>
      </w:pPr>
      <w:r>
        <w:t xml:space="preserve">aa.  </w:t>
      </w:r>
      <w:r>
        <w:rPr>
          <w:i/>
        </w:rPr>
        <w:t xml:space="preserve">The standard makes no mention </w:t>
      </w:r>
      <w:r>
        <w:rPr>
          <w:i/>
        </w:rPr>
        <w:t>of an mso-top-percent property on the style attribute.</w:t>
      </w:r>
    </w:p>
    <w:p w:rsidR="00024C0A" w:rsidRDefault="00694C0F">
      <w:r>
        <w:t>Word uses this property to specify the location of the top edge of the shape as a percentage of the height of the layout object defined by the mso-position-vertical-relative property; its value is expr</w:t>
      </w:r>
      <w:r>
        <w:t>essed as an integer between -10,000 and 10,000, inclusive, where each unit is a tenth of a percent.  This property cannot be used in combination with the mso-position-vertical attribute on the style attribute.</w:t>
      </w:r>
    </w:p>
    <w:p w:rsidR="00024C0A" w:rsidRDefault="00694C0F">
      <w:pPr>
        <w:pStyle w:val="Definition-Field"/>
      </w:pPr>
      <w:r>
        <w:t xml:space="preserve">bb.  </w:t>
      </w:r>
      <w:r>
        <w:rPr>
          <w:i/>
        </w:rPr>
        <w:t>The standard states that the v-text-ancho</w:t>
      </w:r>
      <w:r>
        <w:rPr>
          <w:i/>
        </w:rPr>
        <w:t>r property on the style attribute is only used by the textbox element, where it specifies the vertical anchoring of text within the textbox.</w:t>
      </w:r>
    </w:p>
    <w:p w:rsidR="00024C0A" w:rsidRDefault="00694C0F">
      <w:pPr>
        <w:pStyle w:val="Definition-Field2"/>
      </w:pPr>
      <w:r>
        <w:t>Office instead applies this property to the shape containing the textbox element, where it specifies the anchor poi</w:t>
      </w:r>
      <w:r>
        <w:t>nt of the text contained within the shape.</w:t>
      </w:r>
    </w:p>
    <w:p w:rsidR="00024C0A" w:rsidRDefault="00694C0F">
      <w:pPr>
        <w:pStyle w:val="Definition-Field"/>
      </w:pPr>
      <w:r>
        <w:t xml:space="preserve">cc.  </w:t>
      </w:r>
      <w:r>
        <w:rPr>
          <w:i/>
        </w:rPr>
        <w:t>The standard states that the default value of the allowincell attribute is false.</w:t>
      </w:r>
    </w:p>
    <w:p w:rsidR="00024C0A" w:rsidRDefault="00694C0F">
      <w:pPr>
        <w:pStyle w:val="Definition-Field2"/>
      </w:pPr>
      <w:r>
        <w:t>Office uses a default value of true for this attribute.</w:t>
      </w:r>
    </w:p>
    <w:p w:rsidR="00024C0A" w:rsidRDefault="00694C0F">
      <w:pPr>
        <w:pStyle w:val="Definition-Field"/>
      </w:pPr>
      <w:r>
        <w:t xml:space="preserve">dd.  </w:t>
      </w:r>
      <w:r>
        <w:rPr>
          <w:i/>
        </w:rPr>
        <w:t xml:space="preserve">The standard states that the allowincell attribute specifies </w:t>
      </w:r>
      <w:r>
        <w:rPr>
          <w:i/>
        </w:rPr>
        <w:t>whether a shape can be placed in a table.</w:t>
      </w:r>
    </w:p>
    <w:p w:rsidR="00024C0A" w:rsidRDefault="00694C0F">
      <w:pPr>
        <w:pStyle w:val="Definition-Field2"/>
      </w:pPr>
      <w:r>
        <w:t>Office uses this attribute to specify whether a shape's anchor can be placed in a table.</w:t>
      </w:r>
    </w:p>
    <w:p w:rsidR="00024C0A" w:rsidRDefault="00694C0F">
      <w:pPr>
        <w:pStyle w:val="Definition-Field"/>
      </w:pPr>
      <w:r>
        <w:t xml:space="preserve">ee.  </w:t>
      </w:r>
      <w:r>
        <w:rPr>
          <w:i/>
        </w:rPr>
        <w:t>The standard places no restrictions on how values of the z-index property on the style attribute be preserved.</w:t>
      </w:r>
    </w:p>
    <w:p w:rsidR="00024C0A" w:rsidRDefault="00694C0F">
      <w:pPr>
        <w:pStyle w:val="Definition-Field2"/>
      </w:pPr>
      <w:r>
        <w:t>Office pr</w:t>
      </w:r>
      <w:r>
        <w:t>eserves relative ordering and sign but not absolute values of this property.</w:t>
      </w:r>
    </w:p>
    <w:p w:rsidR="00024C0A" w:rsidRDefault="00694C0F">
      <w:pPr>
        <w:pStyle w:val="Definition-Field"/>
      </w:pPr>
      <w:r>
        <w:t xml:space="preserve">ff.  </w:t>
      </w:r>
      <w:r>
        <w:rPr>
          <w:i/>
        </w:rPr>
        <w:t>The standard states that the default value of the z-index property on the style attribute is 0.</w:t>
      </w:r>
    </w:p>
    <w:p w:rsidR="00024C0A" w:rsidRDefault="00694C0F">
      <w:pPr>
        <w:pStyle w:val="Definition-Field2"/>
      </w:pPr>
      <w:r>
        <w:lastRenderedPageBreak/>
        <w:t>Office requires this property to be specified unless the element is shapedefau</w:t>
      </w:r>
      <w:r>
        <w:t>lts, shapetype, textbox, or textpath.</w:t>
      </w:r>
    </w:p>
    <w:p w:rsidR="00024C0A" w:rsidRDefault="00694C0F">
      <w:pPr>
        <w:pStyle w:val="Definition-Field"/>
      </w:pPr>
      <w:r>
        <w:t xml:space="preserve">gg.  </w:t>
      </w:r>
      <w:r>
        <w:rPr>
          <w:i/>
        </w:rPr>
        <w:t>The standard places no restrictions on the relationship between the top and margin-top properties on the style attribute.</w:t>
      </w:r>
    </w:p>
    <w:p w:rsidR="00024C0A" w:rsidRDefault="00694C0F">
      <w:pPr>
        <w:pStyle w:val="Definition-Field2"/>
      </w:pPr>
      <w:r>
        <w:t>Office combines the values from these two properties into the margin-top property.</w:t>
      </w:r>
    </w:p>
    <w:p w:rsidR="00024C0A" w:rsidRDefault="00694C0F">
      <w:pPr>
        <w:pStyle w:val="Definition-Field"/>
      </w:pPr>
      <w:r>
        <w:t xml:space="preserve">hh.  </w:t>
      </w:r>
      <w:r>
        <w:rPr>
          <w:i/>
        </w:rPr>
        <w:t>The</w:t>
      </w:r>
      <w:r>
        <w:rPr>
          <w:i/>
        </w:rPr>
        <w:t xml:space="preserve"> standard places no restrictions on the relationship between the left and margin-left properties on the style attribute.</w:t>
      </w:r>
    </w:p>
    <w:p w:rsidR="00024C0A" w:rsidRDefault="00694C0F">
      <w:pPr>
        <w:pStyle w:val="Definition-Field2"/>
      </w:pPr>
      <w:r>
        <w:t>Office combines the values from these two properties into the margin-left property.</w:t>
      </w:r>
    </w:p>
    <w:p w:rsidR="00024C0A" w:rsidRDefault="00694C0F">
      <w:pPr>
        <w:pStyle w:val="Definition-Field"/>
      </w:pPr>
      <w:r>
        <w:t xml:space="preserve">ii.  </w:t>
      </w:r>
      <w:r>
        <w:rPr>
          <w:i/>
        </w:rPr>
        <w:t>The standard states that the values of the bor</w:t>
      </w:r>
      <w:r>
        <w:rPr>
          <w:i/>
        </w:rPr>
        <w:t>derbottomcolor attribute are defined by the XML Schema string datatype.</w:t>
      </w:r>
    </w:p>
    <w:p w:rsidR="00024C0A" w:rsidRDefault="00694C0F">
      <w:pPr>
        <w:pStyle w:val="Definition-Field2"/>
      </w:pPr>
      <w:r>
        <w:t>Office defines the values of this attribute with the ST_ColorType simple type.</w:t>
      </w:r>
    </w:p>
    <w:p w:rsidR="00024C0A" w:rsidRDefault="00694C0F">
      <w:pPr>
        <w:pStyle w:val="Definition-Field"/>
      </w:pPr>
      <w:r>
        <w:t xml:space="preserve">jj.  </w:t>
      </w:r>
      <w:r>
        <w:rPr>
          <w:i/>
        </w:rPr>
        <w:t>The standard states that the values of the bordertopcolor attribute are defined by the XML Schema st</w:t>
      </w:r>
      <w:r>
        <w:rPr>
          <w:i/>
        </w:rPr>
        <w:t>ring datatype.</w:t>
      </w:r>
    </w:p>
    <w:p w:rsidR="00024C0A" w:rsidRDefault="00694C0F">
      <w:pPr>
        <w:pStyle w:val="Definition-Field2"/>
      </w:pPr>
      <w:r>
        <w:t>Office defines the values of this attribute with the ST_ColorType simple type.</w:t>
      </w:r>
    </w:p>
    <w:p w:rsidR="00024C0A" w:rsidRDefault="00694C0F">
      <w:pPr>
        <w:pStyle w:val="Definition-Field"/>
      </w:pPr>
      <w:r>
        <w:t xml:space="preserve">kk.  </w:t>
      </w:r>
      <w:r>
        <w:rPr>
          <w:i/>
        </w:rPr>
        <w:t>The standard states that the values of the borderrightcolor attribute are defined by the XML Schema string datatype.</w:t>
      </w:r>
    </w:p>
    <w:p w:rsidR="00024C0A" w:rsidRDefault="00694C0F">
      <w:pPr>
        <w:pStyle w:val="Definition-Field2"/>
      </w:pPr>
      <w:r>
        <w:t>Office defines the values of this attrib</w:t>
      </w:r>
      <w:r>
        <w:t>ute with the ST_ColorType simple type.</w:t>
      </w:r>
    </w:p>
    <w:p w:rsidR="00024C0A" w:rsidRDefault="00694C0F">
      <w:pPr>
        <w:pStyle w:val="Definition-Field"/>
      </w:pPr>
      <w:r>
        <w:t xml:space="preserve">ll.  </w:t>
      </w:r>
      <w:r>
        <w:rPr>
          <w:i/>
        </w:rPr>
        <w:t>The standard states that the values of the borderleftcolor attribute are defined by the XML Schema string datatype.</w:t>
      </w:r>
    </w:p>
    <w:p w:rsidR="00024C0A" w:rsidRDefault="00694C0F">
      <w:pPr>
        <w:pStyle w:val="Definition-Field2"/>
      </w:pPr>
      <w:r>
        <w:t>Office defines the values of this attribute with the ST_ColorType simple type.</w:t>
      </w:r>
    </w:p>
    <w:p w:rsidR="00024C0A" w:rsidRDefault="00694C0F">
      <w:pPr>
        <w:pStyle w:val="Definition-Field"/>
      </w:pPr>
      <w:r>
        <w:t xml:space="preserve">mm.  </w:t>
      </w:r>
      <w:r>
        <w:rPr>
          <w:i/>
        </w:rPr>
        <w:t>The standard</w:t>
      </w:r>
      <w:r>
        <w:rPr>
          <w:i/>
        </w:rPr>
        <w:t xml:space="preserve"> does not state a valid value range for the mso-wrap-distance-bottom, mso-wrap-distance-left, mso-wrap-distance-right, mso-wrap-distance-top, width, and height properties on the style attribute.</w:t>
      </w:r>
    </w:p>
    <w:p w:rsidR="00024C0A" w:rsidRDefault="00694C0F">
      <w:pPr>
        <w:pStyle w:val="Definition-Field2"/>
      </w:pPr>
      <w:r>
        <w:t>Office requires the values of these properties to be non-nega</w:t>
      </w:r>
      <w:r>
        <w:t>tive.</w:t>
      </w:r>
    </w:p>
    <w:p w:rsidR="00024C0A" w:rsidRDefault="00694C0F">
      <w:pPr>
        <w:pStyle w:val="Definition-Field"/>
      </w:pPr>
      <w:r>
        <w:t xml:space="preserve">nn.  </w:t>
      </w:r>
      <w:r>
        <w:rPr>
          <w:i/>
        </w:rPr>
        <w:t>The standard states that chromakey and opacity are valid attributes on the arc element.</w:t>
      </w:r>
    </w:p>
    <w:p w:rsidR="00024C0A" w:rsidRDefault="00694C0F">
      <w:pPr>
        <w:pStyle w:val="Definition-Field2"/>
      </w:pPr>
      <w:r>
        <w:t>Office does not support these attributes on this element.</w:t>
      </w:r>
    </w:p>
    <w:p w:rsidR="00024C0A" w:rsidRDefault="00694C0F">
      <w:pPr>
        <w:pStyle w:val="Definition-Field"/>
      </w:pPr>
      <w:r>
        <w:t xml:space="preserve">oo.  </w:t>
      </w:r>
      <w:r>
        <w:rPr>
          <w:i/>
        </w:rPr>
        <w:t>The standard states that class is a valid attribute.</w:t>
      </w:r>
    </w:p>
    <w:p w:rsidR="00024C0A" w:rsidRDefault="00694C0F">
      <w:pPr>
        <w:pStyle w:val="Definition-Field2"/>
      </w:pPr>
      <w:r>
        <w:t>Office does not support this attribute.</w:t>
      </w:r>
    </w:p>
    <w:p w:rsidR="00024C0A" w:rsidRDefault="00694C0F">
      <w:pPr>
        <w:pStyle w:val="Definition-Field"/>
      </w:pPr>
      <w:r>
        <w:t>p</w:t>
      </w:r>
      <w:r>
        <w:t xml:space="preserve">p.  </w:t>
      </w:r>
      <w:r>
        <w:rPr>
          <w:i/>
        </w:rPr>
        <w:t>The standard states that the default value of the connectortype attribute is straight.</w:t>
      </w:r>
    </w:p>
    <w:p w:rsidR="00024C0A" w:rsidRDefault="00694C0F">
      <w:pPr>
        <w:pStyle w:val="Definition-Field2"/>
      </w:pPr>
      <w:r>
        <w:t>Office uses a default value of none for this attribute.</w:t>
      </w:r>
    </w:p>
    <w:p w:rsidR="00024C0A" w:rsidRDefault="00694C0F">
      <w:pPr>
        <w:pStyle w:val="Definition-Field"/>
      </w:pPr>
      <w:r>
        <w:t xml:space="preserve">qq.  </w:t>
      </w:r>
      <w:r>
        <w:rPr>
          <w:i/>
        </w:rPr>
        <w:t>The standard states that coordsize is a valid attribute on the image and roundrect elements.</w:t>
      </w:r>
    </w:p>
    <w:p w:rsidR="00024C0A" w:rsidRDefault="00694C0F">
      <w:pPr>
        <w:pStyle w:val="Definition-Field2"/>
      </w:pPr>
      <w:r>
        <w:t>Office does</w:t>
      </w:r>
      <w:r>
        <w:t xml:space="preserve"> not support this attribute on these elements.</w:t>
      </w:r>
    </w:p>
    <w:p w:rsidR="00024C0A" w:rsidRDefault="00694C0F">
      <w:pPr>
        <w:pStyle w:val="Definition-Field"/>
      </w:pPr>
      <w:r>
        <w:t xml:space="preserve">rr.  </w:t>
      </w:r>
      <w:r>
        <w:rPr>
          <w:i/>
        </w:rPr>
        <w:t>The standard states that the dgmnodekind attribute specifies an optional, application-specific parameter that is intended to be used by the application to tag different types of nodes in a diagram.</w:t>
      </w:r>
    </w:p>
    <w:p w:rsidR="00024C0A" w:rsidRDefault="00694C0F">
      <w:pPr>
        <w:pStyle w:val="Definition-Field2"/>
      </w:pPr>
      <w:r>
        <w:t>Office</w:t>
      </w:r>
      <w:r>
        <w:t xml:space="preserve"> uses this attribute to indicate which type of position in an organization chart the shape represents.</w:t>
      </w:r>
    </w:p>
    <w:p w:rsidR="00024C0A" w:rsidRDefault="00694C0F">
      <w:pPr>
        <w:pStyle w:val="Definition-Field"/>
      </w:pPr>
      <w:r>
        <w:lastRenderedPageBreak/>
        <w:t xml:space="preserve">ss.  </w:t>
      </w:r>
      <w:r>
        <w:rPr>
          <w:i/>
        </w:rPr>
        <w:t>The standard does not state how to interpret the value of the hrpct attribute.</w:t>
      </w:r>
    </w:p>
    <w:p w:rsidR="00024C0A" w:rsidRDefault="00694C0F">
      <w:pPr>
        <w:pStyle w:val="Definition-Field2"/>
      </w:pPr>
      <w:r>
        <w:t>Office interprets this attribute as tenths of a percentage point of t</w:t>
      </w:r>
      <w:r>
        <w:t>he page width, where the page width is the width of the page without the margins.</w:t>
      </w:r>
    </w:p>
    <w:p w:rsidR="00024C0A" w:rsidRDefault="00694C0F">
      <w:pPr>
        <w:pStyle w:val="Definition-Field"/>
      </w:pPr>
      <w:r>
        <w:t xml:space="preserve">tt.  </w:t>
      </w:r>
      <w:r>
        <w:rPr>
          <w:i/>
        </w:rPr>
        <w:t>The standard states that the values of the hrpct attribute are defined by the XML Schema float datatype.</w:t>
      </w:r>
    </w:p>
    <w:p w:rsidR="00024C0A" w:rsidRDefault="00694C0F">
      <w:pPr>
        <w:pStyle w:val="Definition-Field2"/>
      </w:pPr>
      <w:r>
        <w:t>Office restricts the value of this attribute to be at least 0 an</w:t>
      </w:r>
      <w:r>
        <w:t>d at most 1000.</w:t>
      </w:r>
    </w:p>
    <w:p w:rsidR="00024C0A" w:rsidRDefault="00694C0F">
      <w:pPr>
        <w:pStyle w:val="Definition-Field"/>
      </w:pPr>
      <w:r>
        <w:t xml:space="preserve">uu.  </w:t>
      </w:r>
      <w:r>
        <w:rPr>
          <w:i/>
        </w:rPr>
        <w:t>The standard states that the default value of the hrpct attribute is 0.</w:t>
      </w:r>
    </w:p>
    <w:p w:rsidR="00024C0A" w:rsidRDefault="00694C0F">
      <w:pPr>
        <w:pStyle w:val="Definition-Field2"/>
      </w:pPr>
      <w:r>
        <w:t>Office uses a default value of 1000 for this attribute.</w:t>
      </w:r>
    </w:p>
    <w:p w:rsidR="00024C0A" w:rsidRDefault="00694C0F">
      <w:pPr>
        <w:pStyle w:val="Definition-Field"/>
      </w:pPr>
      <w:r>
        <w:t xml:space="preserve">vv.  </w:t>
      </w:r>
      <w:r>
        <w:rPr>
          <w:i/>
        </w:rPr>
        <w:t>The standard places no restrictions on when the ole attribute is preserved.</w:t>
      </w:r>
    </w:p>
    <w:p w:rsidR="00024C0A" w:rsidRDefault="00694C0F">
      <w:pPr>
        <w:pStyle w:val="Definition-Field2"/>
      </w:pPr>
      <w:r>
        <w:t>Office only preserves this</w:t>
      </w:r>
      <w:r>
        <w:t xml:space="preserve"> attribute when the value of the spt attribute is 75 and a related OLEObject element exists.</w:t>
      </w:r>
    </w:p>
    <w:p w:rsidR="00024C0A" w:rsidRDefault="00694C0F">
      <w:pPr>
        <w:pStyle w:val="Definition-Field"/>
      </w:pPr>
      <w:r>
        <w:t xml:space="preserve">ww.  </w:t>
      </w:r>
      <w:r>
        <w:rPr>
          <w:i/>
        </w:rPr>
        <w:t>The standard does not state how to interpret the locations specified in the wrapcoords attribute.</w:t>
      </w:r>
    </w:p>
    <w:p w:rsidR="00024C0A" w:rsidRDefault="00694C0F">
      <w:pPr>
        <w:pStyle w:val="Definition-Field2"/>
      </w:pPr>
      <w:r>
        <w:t>Office interprets these locations to be in terms of a 21,600</w:t>
      </w:r>
      <w:r>
        <w:t>-coordinate unit square, scaled anisotropically to fit the shape's dimensions, that maps to the bounding rectangle of the shape, with an origin at the top, left corner.</w:t>
      </w:r>
    </w:p>
    <w:p w:rsidR="00024C0A" w:rsidRDefault="00694C0F">
      <w:pPr>
        <w:pStyle w:val="Definition-Field"/>
      </w:pPr>
      <w:r>
        <w:t xml:space="preserve">xx.  </w:t>
      </w:r>
      <w:r>
        <w:rPr>
          <w:i/>
        </w:rPr>
        <w:t>The standard states that the wrapcoords attribute is specified using a comma-delim</w:t>
      </w:r>
      <w:r>
        <w:rPr>
          <w:i/>
        </w:rPr>
        <w:t>ited list of x and y coordinates.</w:t>
      </w:r>
    </w:p>
    <w:p w:rsidR="00024C0A" w:rsidRDefault="00694C0F">
      <w:pPr>
        <w:pStyle w:val="Definition-Field2"/>
      </w:pPr>
      <w:r>
        <w:t>Office uses a space-delimited list to specify this attribute, both when delimiting the x and y coordinates in a point and when delimiting points in the list.</w:t>
      </w:r>
    </w:p>
    <w:p w:rsidR="00024C0A" w:rsidRDefault="00694C0F">
      <w:pPr>
        <w:pStyle w:val="Definition-Field"/>
      </w:pPr>
      <w:r>
        <w:t xml:space="preserve">yy.  </w:t>
      </w:r>
      <w:r>
        <w:rPr>
          <w:i/>
        </w:rPr>
        <w:t>The standard places no restrictions on the relationship bet</w:t>
      </w:r>
      <w:r>
        <w:rPr>
          <w:i/>
        </w:rPr>
        <w:t>ween the borderbottomcolor attribute and the borderbottom child element.</w:t>
      </w:r>
    </w:p>
    <w:p w:rsidR="00024C0A" w:rsidRDefault="00694C0F">
      <w:pPr>
        <w:pStyle w:val="Definition-Field2"/>
      </w:pPr>
      <w:r>
        <w:t>Office ignores the borderbottomcolor attribute if there is no borderbottom child element.</w:t>
      </w:r>
    </w:p>
    <w:p w:rsidR="00024C0A" w:rsidRDefault="00694C0F">
      <w:pPr>
        <w:pStyle w:val="Definition-Field"/>
      </w:pPr>
      <w:r>
        <w:t xml:space="preserve">zz.  </w:t>
      </w:r>
      <w:r>
        <w:rPr>
          <w:i/>
        </w:rPr>
        <w:t>The standard places no restrictions on the relationship between the bordertopcolor attri</w:t>
      </w:r>
      <w:r>
        <w:rPr>
          <w:i/>
        </w:rPr>
        <w:t>bute and the bordertop child element.</w:t>
      </w:r>
    </w:p>
    <w:p w:rsidR="00024C0A" w:rsidRDefault="00694C0F">
      <w:pPr>
        <w:pStyle w:val="Definition-Field2"/>
      </w:pPr>
      <w:r>
        <w:t>Office ignores the bordertopcolor attribute if there is no bordertop child element.</w:t>
      </w:r>
    </w:p>
    <w:p w:rsidR="00024C0A" w:rsidRDefault="00694C0F">
      <w:pPr>
        <w:pStyle w:val="Definition-Field"/>
      </w:pPr>
      <w:r>
        <w:t xml:space="preserve">aaa. </w:t>
      </w:r>
      <w:r>
        <w:rPr>
          <w:i/>
        </w:rPr>
        <w:t>The standard places no restrictions on the relationship between the borderrightcolor attribute and the borderright child element.</w:t>
      </w:r>
    </w:p>
    <w:p w:rsidR="00024C0A" w:rsidRDefault="00694C0F">
      <w:pPr>
        <w:pStyle w:val="Definition-Field2"/>
      </w:pPr>
      <w:r>
        <w:t>Office ignores the borderrightcolor attribute if there is no borderright child element.</w:t>
      </w:r>
    </w:p>
    <w:p w:rsidR="00024C0A" w:rsidRDefault="00694C0F">
      <w:pPr>
        <w:pStyle w:val="Definition-Field"/>
      </w:pPr>
      <w:r>
        <w:t xml:space="preserve">bbb. </w:t>
      </w:r>
      <w:r>
        <w:rPr>
          <w:i/>
        </w:rPr>
        <w:t>The standard places no restrictions on the relationship between the borderleftcolor attribute and the borderleft child element.</w:t>
      </w:r>
    </w:p>
    <w:p w:rsidR="00024C0A" w:rsidRDefault="00694C0F">
      <w:pPr>
        <w:pStyle w:val="Definition-Field2"/>
      </w:pPr>
      <w:r>
        <w:t>Office ignores the borderleftcolor</w:t>
      </w:r>
      <w:r>
        <w:t xml:space="preserve"> attribute if there is no borderleft child element.</w:t>
      </w:r>
    </w:p>
    <w:p w:rsidR="00024C0A" w:rsidRDefault="00694C0F">
      <w:pPr>
        <w:pStyle w:val="Definition-Field"/>
      </w:pPr>
      <w:r>
        <w:t xml:space="preserve">ccc. </w:t>
      </w:r>
      <w:r>
        <w:rPr>
          <w:i/>
        </w:rPr>
        <w:t>The standard states that the default value of the strokeweight attribute is 1 point.</w:t>
      </w:r>
    </w:p>
    <w:p w:rsidR="00024C0A" w:rsidRDefault="00694C0F">
      <w:pPr>
        <w:pStyle w:val="Definition-Field2"/>
      </w:pPr>
      <w:r>
        <w:t>Office uses a default value of 0.75 points for this attribute.</w:t>
      </w:r>
    </w:p>
    <w:p w:rsidR="00024C0A" w:rsidRDefault="00694C0F">
      <w:pPr>
        <w:pStyle w:val="Definition-Field"/>
      </w:pPr>
      <w:r>
        <w:t xml:space="preserve">ddd. </w:t>
      </w:r>
      <w:r>
        <w:rPr>
          <w:i/>
        </w:rPr>
        <w:t>The standard states that pixels are an absolut</w:t>
      </w:r>
      <w:r>
        <w:rPr>
          <w:i/>
        </w:rPr>
        <w:t>e unit designator in the description for the margin-left, margin-top, margin-right, margin-bottom, left, top, width, and height properties on the style attribute.</w:t>
      </w:r>
    </w:p>
    <w:p w:rsidR="00024C0A" w:rsidRDefault="00694C0F">
      <w:pPr>
        <w:pStyle w:val="Definition-Field2"/>
      </w:pPr>
      <w:r>
        <w:t>Office treats pixels as a relative unit designator.</w:t>
      </w:r>
    </w:p>
    <w:p w:rsidR="00024C0A" w:rsidRDefault="00694C0F">
      <w:pPr>
        <w:pStyle w:val="Definition-Field"/>
      </w:pPr>
      <w:r>
        <w:lastRenderedPageBreak/>
        <w:t xml:space="preserve">eee. </w:t>
      </w:r>
      <w:r>
        <w:rPr>
          <w:i/>
        </w:rPr>
        <w:t>The standard implies that the mso-po</w:t>
      </w:r>
      <w:r>
        <w:rPr>
          <w:i/>
        </w:rPr>
        <w:t>sition-vertical-relative property on the style attribute is optional.</w:t>
      </w:r>
    </w:p>
    <w:p w:rsidR="00024C0A" w:rsidRDefault="00694C0F">
      <w:pPr>
        <w:pStyle w:val="Definition-Field2"/>
      </w:pPr>
      <w:r>
        <w:t>Office requires this property to be specified when the value of the mso-position-vertical property on the style attribute is not absolute.</w:t>
      </w:r>
    </w:p>
    <w:p w:rsidR="00024C0A" w:rsidRDefault="00694C0F">
      <w:pPr>
        <w:pStyle w:val="Definition-Field"/>
      </w:pPr>
      <w:r>
        <w:t xml:space="preserve">fff. </w:t>
      </w:r>
      <w:r>
        <w:rPr>
          <w:i/>
        </w:rPr>
        <w:t>The standard does not state how to interpr</w:t>
      </w:r>
      <w:r>
        <w:rPr>
          <w:i/>
        </w:rPr>
        <w:t>et a value of 0 on the hrpct attribute.</w:t>
      </w:r>
    </w:p>
    <w:p w:rsidR="00024C0A" w:rsidRDefault="00694C0F">
      <w:pPr>
        <w:pStyle w:val="Definition-Field2"/>
      </w:pPr>
      <w:r>
        <w:t>Office interprets a value of 0 on this attribute to indicate that the size of the object is not expressed in terms of percentage of the page width.</w:t>
      </w:r>
    </w:p>
    <w:p w:rsidR="00024C0A" w:rsidRDefault="00694C0F">
      <w:pPr>
        <w:pStyle w:val="Definition-Field"/>
      </w:pPr>
      <w:r>
        <w:t xml:space="preserve">ggg. </w:t>
      </w:r>
      <w:r>
        <w:rPr>
          <w:i/>
        </w:rPr>
        <w:t xml:space="preserve">The standard does not state how to interpret multiple </w:t>
      </w:r>
      <w:r>
        <w:rPr>
          <w:i/>
        </w:rPr>
        <w:t>occurrences of a given property on the style attribute.</w:t>
      </w:r>
    </w:p>
    <w:p w:rsidR="00024C0A" w:rsidRDefault="00694C0F">
      <w:pPr>
        <w:pStyle w:val="Definition-Field2"/>
      </w:pPr>
      <w:r>
        <w:t>Office ignores all but the last occurrence of a property that is specified more than once.</w:t>
      </w:r>
    </w:p>
    <w:p w:rsidR="00024C0A" w:rsidRDefault="00694C0F">
      <w:pPr>
        <w:pStyle w:val="Definition-Field"/>
      </w:pPr>
      <w:r>
        <w:t xml:space="preserve">hhh. </w:t>
      </w:r>
      <w:r>
        <w:rPr>
          <w:i/>
        </w:rPr>
        <w:t>The standard places no restrictions on when the units specified in the margin-left, margin-top, left, to</w:t>
      </w:r>
      <w:r>
        <w:rPr>
          <w:i/>
        </w:rPr>
        <w:t>p, width, and height properties on the style attribute will be used.</w:t>
      </w:r>
    </w:p>
    <w:p w:rsidR="00024C0A" w:rsidRDefault="00694C0F">
      <w:pPr>
        <w:pStyle w:val="Definition-Field2"/>
      </w:pPr>
      <w:r>
        <w:t xml:space="preserve">Office ignores the units specified on these properties when the element is a child in a group; the values are considered to be specified in the coordinate space of the parent, defined by </w:t>
      </w:r>
      <w:r>
        <w:t>the coordsize and coordorigin attributes.</w:t>
      </w:r>
    </w:p>
    <w:p w:rsidR="00024C0A" w:rsidRDefault="00694C0F">
      <w:pPr>
        <w:pStyle w:val="Definition-Field"/>
      </w:pPr>
      <w:r>
        <w:t xml:space="preserve">iii. </w:t>
      </w:r>
      <w:r>
        <w:rPr>
          <w:i/>
        </w:rPr>
        <w:t>The standard states that the left property on the style attribute specifies the position of the left of the containing block of the shape relative to the element left of it in the flow of the page.</w:t>
      </w:r>
    </w:p>
    <w:p w:rsidR="00024C0A" w:rsidRDefault="00694C0F">
      <w:pPr>
        <w:pStyle w:val="Definition-Field2"/>
      </w:pPr>
      <w:r>
        <w:t>Office uses</w:t>
      </w:r>
      <w:r>
        <w:t xml:space="preserve"> this property to specify the position of the left edge of the content block from the left margin or, if the left margin is not set, from the anchor.</w:t>
      </w:r>
    </w:p>
    <w:p w:rsidR="00024C0A" w:rsidRDefault="00694C0F">
      <w:pPr>
        <w:pStyle w:val="Definition-Field"/>
      </w:pPr>
      <w:r>
        <w:t xml:space="preserve">jjj. </w:t>
      </w:r>
      <w:r>
        <w:rPr>
          <w:i/>
        </w:rPr>
        <w:t>The standard states that the margin-left property on the style attribute specifies the position of th</w:t>
      </w:r>
      <w:r>
        <w:rPr>
          <w:i/>
        </w:rPr>
        <w:t>e left of the containing block of the shape relative to the shape anchor.</w:t>
      </w:r>
    </w:p>
    <w:p w:rsidR="00024C0A" w:rsidRDefault="00694C0F">
      <w:pPr>
        <w:pStyle w:val="Definition-Field2"/>
      </w:pPr>
      <w:r>
        <w:t>Office uses this property to specify the position of the left margin of the content block from the anchor.</w:t>
      </w:r>
    </w:p>
    <w:p w:rsidR="00024C0A" w:rsidRDefault="00694C0F">
      <w:pPr>
        <w:pStyle w:val="Definition-Field"/>
      </w:pPr>
      <w:r>
        <w:t xml:space="preserve">kkk. </w:t>
      </w:r>
      <w:r>
        <w:rPr>
          <w:i/>
        </w:rPr>
        <w:t>The standard states that the mso-position-horizontal-relative property</w:t>
      </w:r>
      <w:r>
        <w:rPr>
          <w:i/>
        </w:rPr>
        <w:t xml:space="preserve"> on the style attribute allows values of text and char, without restriction.</w:t>
      </w:r>
    </w:p>
    <w:p w:rsidR="00024C0A" w:rsidRDefault="00694C0F">
      <w:pPr>
        <w:pStyle w:val="Definition-Field2"/>
      </w:pPr>
      <w:r>
        <w:t xml:space="preserve">Office does not allow these values when this property is modifying the mso-left-percent property on the style attribute, or when the value of the mso-position-horizontal property </w:t>
      </w:r>
      <w:r>
        <w:t>on the style attribute is inside or outside.</w:t>
      </w:r>
    </w:p>
    <w:p w:rsidR="00024C0A" w:rsidRDefault="00694C0F">
      <w:pPr>
        <w:pStyle w:val="Definition-Field"/>
      </w:pPr>
      <w:r>
        <w:t xml:space="preserve">lll. </w:t>
      </w:r>
      <w:r>
        <w:rPr>
          <w:i/>
        </w:rPr>
        <w:t>The standard states that the mso-position-vertical-relative property on the style attribute allows a value of text, without restriction.</w:t>
      </w:r>
    </w:p>
    <w:p w:rsidR="00024C0A" w:rsidRDefault="00694C0F">
      <w:pPr>
        <w:pStyle w:val="Definition-Field2"/>
      </w:pPr>
      <w:r>
        <w:t xml:space="preserve">Office only allows this value when this property is modifying the </w:t>
      </w:r>
      <w:r>
        <w:t>mso-position-vertical property on the style attribute and the value of that property is absolute.</w:t>
      </w:r>
    </w:p>
    <w:p w:rsidR="00024C0A" w:rsidRDefault="00694C0F">
      <w:pPr>
        <w:pStyle w:val="Definition-Field"/>
      </w:pPr>
      <w:r>
        <w:t xml:space="preserve">mmm. </w:t>
      </w:r>
      <w:r>
        <w:rPr>
          <w:i/>
        </w:rPr>
        <w:t>The standard states that the default value of the spt attribute is 0.</w:t>
      </w:r>
    </w:p>
    <w:p w:rsidR="00024C0A" w:rsidRDefault="00694C0F">
      <w:pPr>
        <w:pStyle w:val="Definition-Field2"/>
      </w:pPr>
      <w:r>
        <w:t>Office uses a default value of 19 for the arc element.</w:t>
      </w:r>
    </w:p>
    <w:p w:rsidR="00024C0A" w:rsidRDefault="00694C0F">
      <w:pPr>
        <w:pStyle w:val="Definition-Field"/>
      </w:pPr>
      <w:r>
        <w:t xml:space="preserve">nnn. </w:t>
      </w:r>
      <w:r>
        <w:rPr>
          <w:i/>
        </w:rPr>
        <w:t xml:space="preserve">The standard places no </w:t>
      </w:r>
      <w:r>
        <w:rPr>
          <w:i/>
        </w:rPr>
        <w:t>restrictions on the relationship between the connectortype and spt attributes.</w:t>
      </w:r>
    </w:p>
    <w:p w:rsidR="00024C0A" w:rsidRDefault="00694C0F">
      <w:pPr>
        <w:pStyle w:val="Definition-Field2"/>
      </w:pPr>
      <w:r>
        <w:t>Office ignores the connectortype attribute if the spt attribute does not indicate that the element is a connector.</w:t>
      </w:r>
    </w:p>
    <w:p w:rsidR="00024C0A" w:rsidRDefault="00694C0F">
      <w:pPr>
        <w:pStyle w:val="Definition-Field"/>
      </w:pPr>
      <w:r>
        <w:t xml:space="preserve">ooo. </w:t>
      </w:r>
      <w:r>
        <w:rPr>
          <w:i/>
        </w:rPr>
        <w:t>The standard implies that text can be added to the arc el</w:t>
      </w:r>
      <w:r>
        <w:rPr>
          <w:i/>
        </w:rPr>
        <w:t>ement via the textbox child element.</w:t>
      </w:r>
    </w:p>
    <w:p w:rsidR="00024C0A" w:rsidRDefault="00694C0F">
      <w:pPr>
        <w:pStyle w:val="Definition-Field2"/>
      </w:pPr>
      <w:r>
        <w:lastRenderedPageBreak/>
        <w:t>Office may generate such content but subsequent open/save operations will not preserve that content on this element.</w:t>
      </w:r>
    </w:p>
    <w:p w:rsidR="00024C0A" w:rsidRDefault="00694C0F">
      <w:pPr>
        <w:pStyle w:val="Definition-Field"/>
      </w:pPr>
      <w:r>
        <w:t xml:space="preserve">ppp. </w:t>
      </w:r>
      <w:r>
        <w:rPr>
          <w:i/>
        </w:rPr>
        <w:t>The standard implies that the arc element will preserve text wrapping information on the wrap chi</w:t>
      </w:r>
      <w:r>
        <w:rPr>
          <w:i/>
        </w:rPr>
        <w:t>ld element.</w:t>
      </w:r>
    </w:p>
    <w:p w:rsidR="00024C0A" w:rsidRDefault="00694C0F">
      <w:pPr>
        <w:pStyle w:val="Definition-Field2"/>
      </w:pPr>
      <w:r>
        <w:t>Office will not preserve this information on this child element.</w:t>
      </w:r>
    </w:p>
    <w:p w:rsidR="00024C0A" w:rsidRDefault="00694C0F">
      <w:pPr>
        <w:pStyle w:val="Definition-Field"/>
      </w:pPr>
      <w:r>
        <w:t xml:space="preserve">qqq. </w:t>
      </w:r>
      <w:r>
        <w:rPr>
          <w:i/>
        </w:rPr>
        <w:t>The standard states that the possible values for the ole attribute are defined by the ST_TrueFalseBlank simple type.</w:t>
      </w:r>
    </w:p>
    <w:p w:rsidR="00024C0A" w:rsidRDefault="00694C0F">
      <w:pPr>
        <w:pStyle w:val="Definition-Field2"/>
      </w:pPr>
      <w:r>
        <w:t>Office considers the existence of the ole attribute, rega</w:t>
      </w:r>
      <w:r>
        <w:t>rdless of its value, to indicate a value of true.</w:t>
      </w:r>
    </w:p>
    <w:p w:rsidR="00024C0A" w:rsidRDefault="00694C0F">
      <w:pPr>
        <w:pStyle w:val="Definition-Field"/>
      </w:pPr>
      <w:r>
        <w:t xml:space="preserve">rrr. </w:t>
      </w:r>
      <w:r>
        <w:rPr>
          <w:i/>
        </w:rPr>
        <w:t>The standard does not state a default value for the insetpen attribute.</w:t>
      </w:r>
    </w:p>
    <w:p w:rsidR="00024C0A" w:rsidRDefault="00694C0F">
      <w:pPr>
        <w:pStyle w:val="Definition-Field2"/>
      </w:pPr>
      <w:r>
        <w:t>Office uses default value of false for this attribute.</w:t>
      </w:r>
    </w:p>
    <w:p w:rsidR="00024C0A" w:rsidRDefault="00694C0F">
      <w:pPr>
        <w:pStyle w:val="Definition-Field"/>
      </w:pPr>
      <w:r>
        <w:t xml:space="preserve">sss. </w:t>
      </w:r>
      <w:r>
        <w:rPr>
          <w:i/>
        </w:rPr>
        <w:t>The standard states that the background element is a valid parent for</w:t>
      </w:r>
      <w:r>
        <w:rPr>
          <w:i/>
        </w:rPr>
        <w:t xml:space="preserve"> the arc element.</w:t>
      </w:r>
    </w:p>
    <w:p w:rsidR="00024C0A" w:rsidRDefault="00694C0F">
      <w:pPr>
        <w:pStyle w:val="Definition-Field2"/>
      </w:pPr>
      <w:r>
        <w:t>Office does not support the background element as a parent of the arc element.</w:t>
      </w:r>
    </w:p>
    <w:p w:rsidR="00024C0A" w:rsidRDefault="00694C0F">
      <w:pPr>
        <w:pStyle w:val="Definition-Field"/>
      </w:pPr>
      <w:r>
        <w:t xml:space="preserve">ttt. </w:t>
      </w:r>
      <w:r>
        <w:rPr>
          <w:i/>
        </w:rPr>
        <w:t>The standard states that the mso-position-horizontal-relative property on the style attribute modifies the mso-position-horizontal property on the style a</w:t>
      </w:r>
      <w:r>
        <w:rPr>
          <w:i/>
        </w:rPr>
        <w:t>ttribute.</w:t>
      </w:r>
    </w:p>
    <w:p w:rsidR="00024C0A" w:rsidRDefault="00694C0F">
      <w:pPr>
        <w:pStyle w:val="Definition-Field2"/>
      </w:pPr>
      <w:r>
        <w:t>Office uses the mso-position-horizontal-relative property to modify either the mso-position-horizontal property or the mso-left-percent property on the style attribute.</w:t>
      </w:r>
    </w:p>
    <w:p w:rsidR="00024C0A" w:rsidRDefault="00694C0F">
      <w:pPr>
        <w:pStyle w:val="Definition-Field"/>
      </w:pPr>
      <w:r>
        <w:t xml:space="preserve">uuu. </w:t>
      </w:r>
      <w:r>
        <w:rPr>
          <w:i/>
        </w:rPr>
        <w:t xml:space="preserve">The standard states that the mso-position-vertical-relative property on </w:t>
      </w:r>
      <w:r>
        <w:rPr>
          <w:i/>
        </w:rPr>
        <w:t>the style attribute allows a value of line, without restriction.</w:t>
      </w:r>
    </w:p>
    <w:p w:rsidR="00024C0A" w:rsidRDefault="00694C0F">
      <w:pPr>
        <w:pStyle w:val="Definition-Field2"/>
      </w:pPr>
      <w:r>
        <w:t>Office does not allow this value when this property is modifying the mso-top-percent property on the style attribute.</w:t>
      </w:r>
    </w:p>
    <w:p w:rsidR="00024C0A" w:rsidRDefault="00694C0F">
      <w:pPr>
        <w:pStyle w:val="Definition-Field"/>
      </w:pPr>
      <w:r>
        <w:t xml:space="preserve">vvv. </w:t>
      </w:r>
      <w:r>
        <w:rPr>
          <w:i/>
        </w:rPr>
        <w:t>The standard states that the mso-position-vertical-relative property</w:t>
      </w:r>
      <w:r>
        <w:rPr>
          <w:i/>
        </w:rPr>
        <w:t xml:space="preserve"> on the style attribute modifies the mso-position-vertical property on the style attribute.</w:t>
      </w:r>
    </w:p>
    <w:p w:rsidR="00024C0A" w:rsidRDefault="00694C0F">
      <w:pPr>
        <w:pStyle w:val="Definition-Field2"/>
      </w:pPr>
      <w:r>
        <w:t>Office uses the mso-position-vertical-relative property to modify either the mso-position-vertical property or the mso-top-percent property on the style attribute.</w:t>
      </w:r>
    </w:p>
    <w:p w:rsidR="00024C0A" w:rsidRDefault="00694C0F">
      <w:pPr>
        <w:pStyle w:val="Definition-Field"/>
      </w:pPr>
      <w:r>
        <w:t xml:space="preserve">www. </w:t>
      </w:r>
      <w:r>
        <w:rPr>
          <w:i/>
        </w:rPr>
        <w:t>The standard states that top-center, middle-center, bottom-center, top-baseline, bottom-baseline, top-center-baseline, and bottom-center-baseline are valid values for the v-text-anchor property on the style attribute.</w:t>
      </w:r>
    </w:p>
    <w:p w:rsidR="00024C0A" w:rsidRDefault="00694C0F">
      <w:pPr>
        <w:pStyle w:val="Definition-Field2"/>
      </w:pPr>
      <w:r>
        <w:t>Office does not support these val</w:t>
      </w:r>
      <w:r>
        <w:t>ues on this property.</w:t>
      </w:r>
    </w:p>
    <w:p w:rsidR="00024C0A" w:rsidRDefault="00694C0F">
      <w:pPr>
        <w:pStyle w:val="Definition-Field"/>
      </w:pPr>
      <w:r>
        <w:t xml:space="preserve">xxx. </w:t>
      </w:r>
      <w:r>
        <w:rPr>
          <w:i/>
        </w:rPr>
        <w:t>The standard places no restrictions on when the allowincell attribute is applicable.</w:t>
      </w:r>
    </w:p>
    <w:p w:rsidR="00024C0A" w:rsidRDefault="00694C0F">
      <w:pPr>
        <w:pStyle w:val="Definition-Field2"/>
      </w:pPr>
      <w:r>
        <w:t>Excel and PowerPoint do not support this attribute; Word does not support this attribute on inline shapes.</w:t>
      </w:r>
    </w:p>
    <w:p w:rsidR="00024C0A" w:rsidRDefault="00694C0F">
      <w:pPr>
        <w:pStyle w:val="Definition-Field"/>
      </w:pPr>
      <w:r>
        <w:t xml:space="preserve">yyy. </w:t>
      </w:r>
      <w:r>
        <w:rPr>
          <w:i/>
        </w:rPr>
        <w:t>The standard places no restricti</w:t>
      </w:r>
      <w:r>
        <w:rPr>
          <w:i/>
        </w:rPr>
        <w:t>ons on when the coordorigin attribute is preserved.</w:t>
      </w:r>
    </w:p>
    <w:p w:rsidR="00024C0A" w:rsidRDefault="00694C0F">
      <w:pPr>
        <w:pStyle w:val="Definition-Field2"/>
      </w:pPr>
      <w:r>
        <w:t>Office does not preserve this attribute on a shape that references, via the type attribute, a shapetype element with the same coordorigin value.</w:t>
      </w:r>
    </w:p>
    <w:p w:rsidR="00024C0A" w:rsidRDefault="00694C0F">
      <w:pPr>
        <w:pStyle w:val="Definition-Field"/>
      </w:pPr>
      <w:r>
        <w:t xml:space="preserve">zzz. </w:t>
      </w:r>
      <w:r>
        <w:rPr>
          <w:i/>
        </w:rPr>
        <w:t>The standard places no restrictions on when the coordo</w:t>
      </w:r>
      <w:r>
        <w:rPr>
          <w:i/>
        </w:rPr>
        <w:t>rigin and coordsize attributes are preserved on the arc element.</w:t>
      </w:r>
    </w:p>
    <w:p w:rsidR="00024C0A" w:rsidRDefault="00694C0F">
      <w:pPr>
        <w:pStyle w:val="Definition-Field2"/>
      </w:pPr>
      <w:r>
        <w:t>Office preserves these attributes only when this element has at least one of the following child elements:  a path with connection points specified in its connectlocs attribute; a path with a</w:t>
      </w:r>
      <w:r>
        <w:t xml:space="preserve"> textbox specified in its textboxrect attribute; or handles.</w:t>
      </w:r>
    </w:p>
    <w:p w:rsidR="00024C0A" w:rsidRDefault="00694C0F">
      <w:pPr>
        <w:pStyle w:val="Definition-Field"/>
      </w:pPr>
      <w:r>
        <w:lastRenderedPageBreak/>
        <w:t xml:space="preserve">aaaa. </w:t>
      </w:r>
      <w:r>
        <w:rPr>
          <w:i/>
        </w:rPr>
        <w:t>The standard states that values of the dgmnodekind attribute are defined by the XML Schema integer datatype.</w:t>
      </w:r>
    </w:p>
    <w:p w:rsidR="00024C0A" w:rsidRDefault="00694C0F">
      <w:pPr>
        <w:pStyle w:val="Definition-Field2"/>
      </w:pPr>
      <w:r>
        <w:t>Office restricts the values of this attribute to be at least 0 and at most 6, wh</w:t>
      </w:r>
      <w:r>
        <w:t>ere the values represent regular, root, assistant, co-worker, subordinate, auxiliary, and default, respectively.</w:t>
      </w:r>
    </w:p>
    <w:p w:rsidR="00024C0A" w:rsidRDefault="00694C0F">
      <w:pPr>
        <w:pStyle w:val="Definition-Field"/>
      </w:pPr>
      <w:r>
        <w:t xml:space="preserve">bbbb. </w:t>
      </w:r>
      <w:r>
        <w:rPr>
          <w:i/>
        </w:rPr>
        <w:t>The standard places no restrictions on when the coordsize attribute is preserved.</w:t>
      </w:r>
    </w:p>
    <w:p w:rsidR="00024C0A" w:rsidRDefault="00694C0F">
      <w:pPr>
        <w:pStyle w:val="Definition-Field2"/>
      </w:pPr>
      <w:r>
        <w:t>Office does not preserve this attribute on a shape that</w:t>
      </w:r>
      <w:r>
        <w:t xml:space="preserve"> references, via the type attribute, a shapetype element with the same coordorigin value.</w:t>
      </w:r>
    </w:p>
    <w:p w:rsidR="00024C0A" w:rsidRDefault="00694C0F">
      <w:pPr>
        <w:pStyle w:val="Definition-Field"/>
      </w:pPr>
      <w:r>
        <w:t xml:space="preserve">cccc. </w:t>
      </w:r>
      <w:r>
        <w:rPr>
          <w:i/>
        </w:rPr>
        <w:t>The standard places no restrictions on the value of the spt attribute.</w:t>
      </w:r>
    </w:p>
    <w:p w:rsidR="00024C0A" w:rsidRDefault="00694C0F">
      <w:pPr>
        <w:pStyle w:val="Definition-Field2"/>
      </w:pPr>
      <w:r>
        <w:t>Office requires that the spt attribute on an arc element have a value of 19.</w:t>
      </w:r>
    </w:p>
    <w:p w:rsidR="00024C0A" w:rsidRDefault="00694C0F">
      <w:pPr>
        <w:pStyle w:val="Definition-Field"/>
      </w:pPr>
      <w:r>
        <w:t xml:space="preserve">dddd. </w:t>
      </w:r>
      <w:r>
        <w:rPr>
          <w:i/>
        </w:rPr>
        <w:t>The st</w:t>
      </w:r>
      <w:r>
        <w:rPr>
          <w:i/>
        </w:rPr>
        <w:t>andard places no restrictions on the relationship between the left, margin-left, mso-position-horizontal, and mso-left-percent properties on the style attribute.</w:t>
      </w:r>
    </w:p>
    <w:p w:rsidR="00024C0A" w:rsidRDefault="00694C0F">
      <w:pPr>
        <w:pStyle w:val="Definition-Field2"/>
      </w:pPr>
      <w:r>
        <w:t xml:space="preserve">Office ignores the left and margin-left properties when either the mso-position-horizontal or </w:t>
      </w:r>
      <w:r>
        <w:t>mso-left-percent property on the style attribute is set, or when an anchor element is present.</w:t>
      </w:r>
    </w:p>
    <w:p w:rsidR="00024C0A" w:rsidRDefault="00694C0F">
      <w:pPr>
        <w:pStyle w:val="Definition-Field"/>
      </w:pPr>
      <w:r>
        <w:t xml:space="preserve">eeee. </w:t>
      </w:r>
      <w:r>
        <w:rPr>
          <w:i/>
        </w:rPr>
        <w:t>The standard states that the top property on the style attribute specifies the position of the top of the containing block of the shape relative to the ele</w:t>
      </w:r>
      <w:r>
        <w:rPr>
          <w:i/>
        </w:rPr>
        <w:t>ment above it in the flow of the page.</w:t>
      </w:r>
    </w:p>
    <w:p w:rsidR="00024C0A" w:rsidRDefault="00694C0F">
      <w:pPr>
        <w:pStyle w:val="Definition-Field2"/>
      </w:pPr>
      <w:r>
        <w:t>Office uses this property to specify the position of the top edge of the content block from the top margin or, if the top margin is not set, from the anchor.</w:t>
      </w:r>
    </w:p>
    <w:p w:rsidR="00024C0A" w:rsidRDefault="00694C0F">
      <w:pPr>
        <w:pStyle w:val="Definition-Field"/>
      </w:pPr>
      <w:r>
        <w:t xml:space="preserve">ffff. </w:t>
      </w:r>
      <w:r>
        <w:rPr>
          <w:i/>
        </w:rPr>
        <w:t xml:space="preserve">The standard states that the margin-top property on </w:t>
      </w:r>
      <w:r>
        <w:rPr>
          <w:i/>
        </w:rPr>
        <w:t>the style attribute specifies the position of the left of the containing block of the shape relative to the shape anchor.</w:t>
      </w:r>
    </w:p>
    <w:p w:rsidR="00024C0A" w:rsidRDefault="00694C0F">
      <w:pPr>
        <w:pStyle w:val="Definition-Field2"/>
      </w:pPr>
      <w:r>
        <w:t>Office uses this property to specify the position of the top margin of the content block from the anchor.</w:t>
      </w:r>
    </w:p>
    <w:p w:rsidR="00024C0A" w:rsidRDefault="00694C0F">
      <w:pPr>
        <w:pStyle w:val="Definition-Field"/>
      </w:pPr>
      <w:r>
        <w:t xml:space="preserve">gggg. </w:t>
      </w:r>
      <w:r>
        <w:rPr>
          <w:i/>
        </w:rPr>
        <w:t>The standard states th</w:t>
      </w:r>
      <w:r>
        <w:rPr>
          <w:i/>
        </w:rPr>
        <w:t>at the values of the id attribute are defined by the XML Schema string datatype.</w:t>
      </w:r>
    </w:p>
    <w:p w:rsidR="00024C0A" w:rsidRDefault="00694C0F">
      <w:pPr>
        <w:pStyle w:val="Definition-Field2"/>
      </w:pPr>
      <w:r>
        <w:t>Office defines the values of this attribute with the ST_ObjID (</w:t>
      </w:r>
      <w:hyperlink w:anchor="Section_bf23da8a2e1d4d268eb40ba002bd78f6">
        <w:r>
          <w:rPr>
            <w:rStyle w:val="Hyperlink"/>
          </w:rPr>
          <w:t>§3.9.3, ST_ObjID</w:t>
        </w:r>
      </w:hyperlink>
      <w:r>
        <w:t>) simple type.</w:t>
      </w:r>
    </w:p>
    <w:p w:rsidR="00024C0A" w:rsidRDefault="00694C0F">
      <w:pPr>
        <w:pStyle w:val="Definition-Field"/>
      </w:pPr>
      <w:r>
        <w:t xml:space="preserve">hhhh. </w:t>
      </w:r>
      <w:r>
        <w:rPr>
          <w:i/>
        </w:rPr>
        <w:t>The standard</w:t>
      </w:r>
      <w:r>
        <w:rPr>
          <w:i/>
        </w:rPr>
        <w:t xml:space="preserve"> states that the values of the spid attribute are defined by the XML Schema string datatype.</w:t>
      </w:r>
    </w:p>
    <w:p w:rsidR="00024C0A" w:rsidRDefault="00694C0F">
      <w:pPr>
        <w:pStyle w:val="Definition-Field2"/>
      </w:pPr>
      <w:r>
        <w:t>Office defines the values of this attribute with the ST_SpId (</w:t>
      </w:r>
      <w:hyperlink w:anchor="Section_97429d90d53344dfb1334f7a0171cae4">
        <w:r>
          <w:rPr>
            <w:rStyle w:val="Hyperlink"/>
          </w:rPr>
          <w:t>§3.9.6, ST_SpId</w:t>
        </w:r>
      </w:hyperlink>
      <w:r>
        <w:t>) simple type.</w:t>
      </w:r>
    </w:p>
    <w:p w:rsidR="00024C0A" w:rsidRDefault="00694C0F">
      <w:pPr>
        <w:pStyle w:val="Definition-Field"/>
      </w:pPr>
      <w:r>
        <w:t xml:space="preserve">iiii. </w:t>
      </w:r>
      <w:r>
        <w:rPr>
          <w:i/>
        </w:rPr>
        <w:t>Th</w:t>
      </w:r>
      <w:r>
        <w:rPr>
          <w:i/>
        </w:rPr>
        <w:t>e standard states that the height property on the style attribute specifies the height of the containing block of the shape.</w:t>
      </w:r>
    </w:p>
    <w:p w:rsidR="00024C0A" w:rsidRDefault="00694C0F">
      <w:pPr>
        <w:pStyle w:val="Definition-Field2"/>
      </w:pPr>
      <w:r>
        <w:t>Office uses this property to specify the height of the content block.</w:t>
      </w:r>
    </w:p>
    <w:p w:rsidR="00024C0A" w:rsidRDefault="00694C0F">
      <w:pPr>
        <w:pStyle w:val="Definition-Field"/>
      </w:pPr>
      <w:r>
        <w:t xml:space="preserve">jjjj. </w:t>
      </w:r>
      <w:r>
        <w:rPr>
          <w:i/>
        </w:rPr>
        <w:t xml:space="preserve">The standard states that the width property on the </w:t>
      </w:r>
      <w:r>
        <w:rPr>
          <w:i/>
        </w:rPr>
        <w:t>style attribute specifies the width of the containing block of the shape.</w:t>
      </w:r>
    </w:p>
    <w:p w:rsidR="00024C0A" w:rsidRDefault="00694C0F">
      <w:pPr>
        <w:pStyle w:val="Definition-Field2"/>
      </w:pPr>
      <w:r>
        <w:t>Office uses this property to specify the width of the content block.</w:t>
      </w:r>
    </w:p>
    <w:p w:rsidR="00024C0A" w:rsidRDefault="00694C0F">
      <w:pPr>
        <w:pStyle w:val="Definition-Field"/>
      </w:pPr>
      <w:r>
        <w:t xml:space="preserve">kkkk. </w:t>
      </w:r>
      <w:r>
        <w:rPr>
          <w:i/>
        </w:rPr>
        <w:t>The standard does not mention the gfxdata attribute.</w:t>
      </w:r>
    </w:p>
    <w:p w:rsidR="00024C0A" w:rsidRDefault="00694C0F">
      <w:pPr>
        <w:pStyle w:val="Definition-Field2"/>
      </w:pPr>
      <w:r>
        <w:t>Office uses an gfxdata attribute. The definition is th</w:t>
      </w:r>
      <w:r>
        <w:t>e same as the gfxdata attribute defined in Section 14.1.2.19.</w:t>
      </w:r>
    </w:p>
    <w:p w:rsidR="00024C0A" w:rsidRDefault="00694C0F">
      <w:pPr>
        <w:pStyle w:val="Heading3"/>
      </w:pPr>
      <w:bookmarkStart w:id="3585" w:name="section_96eb7103c6714831928122e64798c2e5"/>
      <w:bookmarkStart w:id="3586" w:name="_Toc12261853"/>
      <w:r>
        <w:lastRenderedPageBreak/>
        <w:t>Part 4 Section 19.1.2.2, background (Document Background)</w:t>
      </w:r>
      <w:bookmarkEnd w:id="3585"/>
      <w:bookmarkEnd w:id="3586"/>
      <w:r>
        <w:fldChar w:fldCharType="begin"/>
      </w:r>
      <w:r>
        <w:instrText xml:space="preserve"> XE "background (Document Background)"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d019f23f597743d8b46399ba8f6784eb">
        <w:r>
          <w:rPr>
            <w:rStyle w:val="Hyperlink"/>
          </w:rPr>
          <w:t>arc, §19.1.2.1(gggg)</w:t>
        </w:r>
      </w:hyperlink>
      <w:r>
        <w:rPr>
          <w:i/>
        </w:rPr>
        <w:t>.</w:t>
      </w:r>
    </w:p>
    <w:p w:rsidR="00024C0A" w:rsidRDefault="00694C0F">
      <w:pPr>
        <w:pStyle w:val="Definition-Field"/>
      </w:pPr>
      <w:r>
        <w:t xml:space="preserve">a.   </w:t>
      </w:r>
      <w:r>
        <w:rPr>
          <w:i/>
        </w:rPr>
        <w:t>The sta</w:t>
      </w:r>
      <w:r>
        <w:rPr>
          <w:i/>
        </w:rPr>
        <w:t>ndard indicates how the targetscreensize attribute is used.</w:t>
      </w:r>
    </w:p>
    <w:p w:rsidR="00024C0A" w:rsidRDefault="00694C0F">
      <w:pPr>
        <w:pStyle w:val="Definition-Field2"/>
      </w:pPr>
      <w:r>
        <w:t>Office does not preserve the current value of the targetscreensize attribute and always writes 800,600 on file save.</w:t>
      </w:r>
    </w:p>
    <w:p w:rsidR="00024C0A" w:rsidRDefault="00694C0F">
      <w:pPr>
        <w:pStyle w:val="Definition-Field"/>
      </w:pPr>
      <w:r>
        <w:t xml:space="preserve">b.   </w:t>
      </w:r>
      <w:r>
        <w:rPr>
          <w:i/>
        </w:rPr>
        <w:t xml:space="preserve">The standard states that the name of the attribute that specifies whether </w:t>
      </w:r>
      <w:r>
        <w:rPr>
          <w:i/>
        </w:rPr>
        <w:t>the closed path will be filled is filled.</w:t>
      </w:r>
    </w:p>
    <w:p w:rsidR="00024C0A" w:rsidRDefault="00694C0F">
      <w:pPr>
        <w:pStyle w:val="Definition-Field2"/>
      </w:pPr>
      <w:r>
        <w:t>Office uses the name fill for this attribute.</w:t>
      </w:r>
    </w:p>
    <w:p w:rsidR="00024C0A" w:rsidRDefault="00694C0F">
      <w:pPr>
        <w:pStyle w:val="Definition-Field"/>
      </w:pPr>
      <w:r>
        <w:t xml:space="preserve">c.   </w:t>
      </w:r>
      <w:r>
        <w:rPr>
          <w:i/>
        </w:rPr>
        <w:t>The standard states that the values of the id attribute are defined by the XML Schema string datatype.</w:t>
      </w:r>
    </w:p>
    <w:p w:rsidR="00024C0A" w:rsidRDefault="00694C0F">
      <w:pPr>
        <w:pStyle w:val="Definition-Field2"/>
      </w:pPr>
      <w:r>
        <w:t>Office defines the values of this attribute with the ST_ObjI</w:t>
      </w:r>
      <w:r>
        <w:t>D (</w:t>
      </w:r>
      <w:hyperlink w:anchor="Section_bf23da8a2e1d4d268eb40ba002bd78f6">
        <w:r>
          <w:rPr>
            <w:rStyle w:val="Hyperlink"/>
          </w:rPr>
          <w:t>§3.9.3, ST_ObjID</w:t>
        </w:r>
      </w:hyperlink>
      <w:r>
        <w:t>) simple type.</w:t>
      </w:r>
    </w:p>
    <w:p w:rsidR="00024C0A" w:rsidRDefault="00694C0F">
      <w:pPr>
        <w:pStyle w:val="Heading3"/>
      </w:pPr>
      <w:bookmarkStart w:id="3587" w:name="section_f5d19ada9960486786e99c187b7c8744"/>
      <w:bookmarkStart w:id="3588" w:name="_Toc12261854"/>
      <w:r>
        <w:t>Part 4 Section 19.1.2.3, curve (Bezier Curve)</w:t>
      </w:r>
      <w:bookmarkEnd w:id="3587"/>
      <w:bookmarkEnd w:id="3588"/>
      <w:r>
        <w:fldChar w:fldCharType="begin"/>
      </w:r>
      <w:r>
        <w:instrText xml:space="preserve"> XE "curve (Bezier Curve)" </w:instrText>
      </w:r>
      <w:r>
        <w:fldChar w:fldCharType="end"/>
      </w:r>
    </w:p>
    <w:p w:rsidR="00024C0A" w:rsidRDefault="00694C0F">
      <w:pPr>
        <w:pStyle w:val="Definition-Field2"/>
      </w:pPr>
      <w:r>
        <w:rPr>
          <w:i/>
        </w:rPr>
        <w:t>For additional notes that apply to this portion of the standard, please see the note</w:t>
      </w:r>
      <w:r>
        <w:rPr>
          <w:i/>
        </w:rPr>
        <w:t xml:space="preserve">s for </w:t>
      </w:r>
      <w:hyperlink w:anchor="Section_48d0ff08ee0344979165e3416d733d48">
        <w:r>
          <w:rPr>
            <w:rStyle w:val="Hyperlink"/>
          </w:rPr>
          <w:t>pict, §14.5.1(a)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65100e2931e94e27972d9bf589fea5be">
        <w:r>
          <w:rPr>
            <w:rStyle w:val="Hyperlink"/>
          </w:rPr>
          <w:t>image, §19.1.2.10(b-f)</w:t>
        </w:r>
      </w:hyperlink>
      <w:r>
        <w:rPr>
          <w:i/>
        </w:rPr>
        <w:t>.</w:t>
      </w:r>
    </w:p>
    <w:p w:rsidR="00024C0A" w:rsidRDefault="00694C0F">
      <w:pPr>
        <w:pStyle w:val="Definition-Field"/>
      </w:pPr>
      <w:r>
        <w:t xml:space="preserve">a.   </w:t>
      </w:r>
      <w:r>
        <w:rPr>
          <w:i/>
        </w:rPr>
        <w:t>The standard indicates the default value of the control1 attribute is "10,10".</w:t>
      </w:r>
    </w:p>
    <w:p w:rsidR="00024C0A" w:rsidRDefault="00694C0F">
      <w:pPr>
        <w:pStyle w:val="Definition-Field2"/>
      </w:pPr>
      <w:r>
        <w:t>Office uses a default value of "0,0" for the control1 attribute.</w:t>
      </w:r>
    </w:p>
    <w:p w:rsidR="00024C0A" w:rsidRDefault="00694C0F">
      <w:pPr>
        <w:pStyle w:val="Definition-Field"/>
      </w:pPr>
      <w:r>
        <w:t xml:space="preserve">b.   </w:t>
      </w:r>
      <w:r>
        <w:rPr>
          <w:i/>
        </w:rPr>
        <w:t>The standard indi</w:t>
      </w:r>
      <w:r>
        <w:rPr>
          <w:i/>
        </w:rPr>
        <w:t>cates the default value of the control2 attribute is "20,20".</w:t>
      </w:r>
    </w:p>
    <w:p w:rsidR="00024C0A" w:rsidRDefault="00694C0F">
      <w:pPr>
        <w:pStyle w:val="Definition-Field2"/>
      </w:pPr>
      <w:r>
        <w:t>Office uses a default value of "0,0" for the control2 attribute.</w:t>
      </w:r>
    </w:p>
    <w:p w:rsidR="00024C0A" w:rsidRDefault="00694C0F">
      <w:pPr>
        <w:pStyle w:val="Definition-Field"/>
      </w:pPr>
      <w:r>
        <w:t xml:space="preserve">c.   </w:t>
      </w:r>
      <w:r>
        <w:rPr>
          <w:i/>
        </w:rPr>
        <w:t>The standard indicates the default value of the to attribute is "30,20".</w:t>
      </w:r>
    </w:p>
    <w:p w:rsidR="00024C0A" w:rsidRDefault="00694C0F">
      <w:pPr>
        <w:pStyle w:val="Definition-Field2"/>
      </w:pPr>
      <w:r>
        <w:t>Office uses a default value of "0,0" for the to att</w:t>
      </w:r>
      <w:r>
        <w:t>ribute.</w:t>
      </w:r>
    </w:p>
    <w:p w:rsidR="00024C0A" w:rsidRDefault="00694C0F">
      <w:pPr>
        <w:pStyle w:val="Definition-Field"/>
      </w:pPr>
      <w:r>
        <w:t xml:space="preserve">d.   </w:t>
      </w:r>
      <w:r>
        <w:rPr>
          <w:i/>
        </w:rPr>
        <w:t>The standard states that the line, polyline, and curve elements only ignore the top, left, width, and height properties on the style attribute.</w:t>
      </w:r>
    </w:p>
    <w:p w:rsidR="00024C0A" w:rsidRDefault="00694C0F">
      <w:pPr>
        <w:pStyle w:val="Definition-Field2"/>
      </w:pPr>
      <w:r>
        <w:t>Office also ignores the margin-top, margin-left, mso-left-percent, mso-position-horizontal, mso-pos</w:t>
      </w:r>
      <w:r>
        <w:t>ition-horizontal-relative, mso-top-percent, mso-position-vertical and mso-position-vertical-relative properties when applied to these elements.</w:t>
      </w:r>
    </w:p>
    <w:p w:rsidR="00024C0A" w:rsidRDefault="00694C0F">
      <w:pPr>
        <w:pStyle w:val="Definition-Field"/>
      </w:pPr>
      <w:r>
        <w:t xml:space="preserve">e.   </w:t>
      </w:r>
      <w:r>
        <w:rPr>
          <w:i/>
        </w:rPr>
        <w:t>The standard indicates that background is a parent element for the element curve.</w:t>
      </w:r>
    </w:p>
    <w:p w:rsidR="00024C0A" w:rsidRDefault="00694C0F">
      <w:pPr>
        <w:pStyle w:val="Definition-Field2"/>
      </w:pPr>
      <w:r>
        <w:t xml:space="preserve">In Office the background </w:t>
      </w:r>
      <w:r>
        <w:t>element is not supported as a parent for the element curve.</w:t>
      </w:r>
    </w:p>
    <w:p w:rsidR="00024C0A" w:rsidRDefault="00694C0F">
      <w:pPr>
        <w:pStyle w:val="Definition-Field"/>
      </w:pPr>
      <w:r>
        <w:t xml:space="preserve">f.   </w:t>
      </w:r>
      <w:r>
        <w:rPr>
          <w:i/>
        </w:rPr>
        <w:t>The standard places no restrictions on the value of the spt attribute.</w:t>
      </w:r>
    </w:p>
    <w:p w:rsidR="00024C0A" w:rsidRDefault="00694C0F">
      <w:pPr>
        <w:pStyle w:val="Definition-Field2"/>
      </w:pPr>
      <w:r>
        <w:t>Office requires that the spt attribute on a curve element have a value of 0. It is an error to specify this attribute as</w:t>
      </w:r>
      <w:r>
        <w:t xml:space="preserve"> anything other than the default value, except for the shape and shapetype elements which can handle any valid spt value.</w:t>
      </w:r>
    </w:p>
    <w:p w:rsidR="00024C0A" w:rsidRDefault="00694C0F">
      <w:pPr>
        <w:pStyle w:val="Definition-Field"/>
      </w:pPr>
      <w:r>
        <w:t xml:space="preserve">g.   </w:t>
      </w:r>
      <w:r>
        <w:rPr>
          <w:i/>
        </w:rPr>
        <w:t>The standard states that chromakey and opacity are valid attributes on the curve element.</w:t>
      </w:r>
    </w:p>
    <w:p w:rsidR="00024C0A" w:rsidRDefault="00694C0F">
      <w:pPr>
        <w:pStyle w:val="Definition-Field2"/>
      </w:pPr>
      <w:r>
        <w:t>Office does not support these attribute</w:t>
      </w:r>
      <w:r>
        <w:t>s on this element.</w:t>
      </w:r>
    </w:p>
    <w:p w:rsidR="00024C0A" w:rsidRDefault="00694C0F">
      <w:pPr>
        <w:pStyle w:val="Definition-Field"/>
      </w:pPr>
      <w:r>
        <w:t xml:space="preserve">h.   </w:t>
      </w:r>
      <w:r>
        <w:rPr>
          <w:i/>
        </w:rPr>
        <w:t>The standard does not mention the gfxdata attribute.</w:t>
      </w:r>
    </w:p>
    <w:p w:rsidR="00024C0A" w:rsidRDefault="00694C0F">
      <w:pPr>
        <w:pStyle w:val="Definition-Field2"/>
      </w:pPr>
      <w:r>
        <w:lastRenderedPageBreak/>
        <w:t>Office uses an gfxdata attribute. The definition is the same as the gfxdata attribute defined in Section 14.1.2.19.</w:t>
      </w:r>
    </w:p>
    <w:p w:rsidR="00024C0A" w:rsidRDefault="00694C0F">
      <w:pPr>
        <w:pStyle w:val="Heading3"/>
      </w:pPr>
      <w:bookmarkStart w:id="3589" w:name="section_d0bb89e5efb44aeab0185307847172e1"/>
      <w:bookmarkStart w:id="3590" w:name="_Toc12261855"/>
      <w:r>
        <w:t>Part 4 Section 19.1.2.4, f (Single Formula)</w:t>
      </w:r>
      <w:bookmarkEnd w:id="3589"/>
      <w:bookmarkEnd w:id="3590"/>
      <w:r>
        <w:fldChar w:fldCharType="begin"/>
      </w:r>
      <w:r>
        <w:instrText xml:space="preserve"> XE "f (Single Formula)" </w:instrText>
      </w:r>
      <w:r>
        <w:fldChar w:fldCharType="end"/>
      </w:r>
    </w:p>
    <w:p w:rsidR="00024C0A" w:rsidRDefault="00694C0F">
      <w:pPr>
        <w:pStyle w:val="Definition-Field"/>
      </w:pPr>
      <w:r>
        <w:t xml:space="preserve">a.   </w:t>
      </w:r>
      <w:r>
        <w:rPr>
          <w:i/>
        </w:rPr>
        <w:t>The standard indicates the formula for the mod operation of the eqn attribute is the square root of (v^2 + P1^2 + P1^2).</w:t>
      </w:r>
    </w:p>
    <w:p w:rsidR="00024C0A" w:rsidRDefault="00694C0F">
      <w:pPr>
        <w:pStyle w:val="Definition-Field2"/>
      </w:pPr>
      <w:r>
        <w:t>Office implements the mod operation of the eqn attribute as the square root of (v^2 + P1^2 + P2^2).</w:t>
      </w:r>
    </w:p>
    <w:p w:rsidR="00024C0A" w:rsidRDefault="00694C0F">
      <w:pPr>
        <w:pStyle w:val="Definition-Field"/>
      </w:pPr>
      <w:r>
        <w:t>b.</w:t>
      </w:r>
      <w:r>
        <w:t xml:space="preserve">   </w:t>
      </w:r>
      <w:r>
        <w:rPr>
          <w:i/>
        </w:rPr>
        <w:t>The standard indicates the set of valid arguments for the operations in the eqn attribute.</w:t>
      </w:r>
    </w:p>
    <w:p w:rsidR="00024C0A" w:rsidRDefault="00694C0F">
      <w:r>
        <w:t>Office supports an additional value lineDrawn as an argument for formula evaluation:</w:t>
      </w:r>
    </w:p>
    <w:tbl>
      <w:tblPr>
        <w:tblStyle w:val="Table-ShadedHeader"/>
        <w:tblW w:w="0" w:type="auto"/>
        <w:tblLook w:val="04A0" w:firstRow="1" w:lastRow="0" w:firstColumn="1" w:lastColumn="0" w:noHBand="0" w:noVBand="1"/>
      </w:tblPr>
      <w:tblGrid>
        <w:gridCol w:w="1034"/>
        <w:gridCol w:w="844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rPr>
                <w:i/>
              </w:rPr>
              <w:t>Value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i/>
              </w:rPr>
              <w:t>lineDrawn</w:t>
            </w:r>
          </w:p>
        </w:tc>
        <w:tc>
          <w:tcPr>
            <w:tcW w:w="0" w:type="auto"/>
            <w:vAlign w:val="center"/>
          </w:tcPr>
          <w:p w:rsidR="00024C0A" w:rsidRDefault="00694C0F">
            <w:pPr>
              <w:pStyle w:val="TableBodyText"/>
            </w:pPr>
            <w:r>
              <w:t>1 if the shape is stroked, 0 if it is not.  A sh</w:t>
            </w:r>
            <w:r>
              <w:t>ape is not stroked if one of the following conditions is true:</w:t>
            </w:r>
          </w:p>
          <w:p w:rsidR="00024C0A" w:rsidRDefault="00024C0A">
            <w:pPr>
              <w:pStyle w:val="TableBodyText"/>
            </w:pPr>
          </w:p>
          <w:p w:rsidR="00024C0A" w:rsidRDefault="00694C0F">
            <w:pPr>
              <w:pStyle w:val="ListParagraph"/>
              <w:numPr>
                <w:ilvl w:val="0"/>
                <w:numId w:val="168"/>
              </w:numPr>
            </w:pPr>
            <w:r>
              <w:t xml:space="preserve">The value of the </w:t>
            </w:r>
            <w:r>
              <w:rPr>
                <w:b/>
              </w:rPr>
              <w:t>on</w:t>
            </w:r>
            <w:r>
              <w:t xml:space="preserve"> attribute of the </w:t>
            </w:r>
            <w:r>
              <w:rPr>
                <w:b/>
              </w:rPr>
              <w:t>stroke</w:t>
            </w:r>
            <w:r>
              <w:t xml:space="preserve"> element ("</w:t>
            </w:r>
            <w:hyperlink r:id="rId237">
              <w:r>
                <w:rPr>
                  <w:rStyle w:val="Hyperlink"/>
                </w:rPr>
                <w:t>[ISO/IEC-29500-4]</w:t>
              </w:r>
            </w:hyperlink>
            <w:r>
              <w:t xml:space="preserve"> §19.1.2.21; stroke (Line Stroke Settings)") is </w:t>
            </w:r>
            <w:r>
              <w:rPr>
                <w:i/>
              </w:rPr>
              <w:t>false</w:t>
            </w:r>
            <w:r>
              <w:t>.</w:t>
            </w:r>
          </w:p>
          <w:p w:rsidR="00024C0A" w:rsidRDefault="00694C0F">
            <w:pPr>
              <w:pStyle w:val="ListParagraph"/>
              <w:numPr>
                <w:ilvl w:val="0"/>
                <w:numId w:val="169"/>
              </w:numPr>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024C0A" w:rsidRDefault="00694C0F">
            <w:pPr>
              <w:pStyle w:val="ListParagraph"/>
              <w:numPr>
                <w:ilvl w:val="0"/>
                <w:numId w:val="170"/>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024C0A" w:rsidRDefault="00024C0A">
            <w:pPr>
              <w:pStyle w:val="TableBodyText"/>
            </w:pPr>
          </w:p>
        </w:tc>
      </w:tr>
    </w:tbl>
    <w:p w:rsidR="00024C0A" w:rsidRDefault="00024C0A"/>
    <w:p w:rsidR="00024C0A" w:rsidRDefault="00694C0F">
      <w:pPr>
        <w:pStyle w:val="Definition-Field"/>
      </w:pPr>
      <w:r>
        <w:t xml:space="preserve">c.   </w:t>
      </w:r>
      <w:r>
        <w:rPr>
          <w:i/>
        </w:rPr>
        <w:t>The standard indicates that hasfill is a valid argument for the operations in the eqn attribute.</w:t>
      </w:r>
    </w:p>
    <w:p w:rsidR="00024C0A" w:rsidRDefault="00694C0F">
      <w:pPr>
        <w:pStyle w:val="Definition-Field2"/>
      </w:pPr>
      <w:r>
        <w:t xml:space="preserve">Office does not support the hasfill argument for the operations in the </w:t>
      </w:r>
      <w:r>
        <w:t>eqn attribute.</w:t>
      </w:r>
    </w:p>
    <w:p w:rsidR="00024C0A" w:rsidRDefault="00694C0F">
      <w:pPr>
        <w:pStyle w:val="Definition-Field"/>
      </w:pPr>
      <w:r>
        <w:t xml:space="preserve">d.   </w:t>
      </w:r>
      <w:r>
        <w:rPr>
          <w:i/>
        </w:rPr>
        <w:t>The standard indicates that hasstroke is a valid argument for the operations in the eqn attribute.</w:t>
      </w:r>
    </w:p>
    <w:p w:rsidR="00024C0A" w:rsidRDefault="00694C0F">
      <w:pPr>
        <w:pStyle w:val="Definition-Field2"/>
      </w:pPr>
      <w:r>
        <w:t>Office does not support the hasstroke argument for the operations in the eqn attribute.</w:t>
      </w:r>
    </w:p>
    <w:p w:rsidR="00024C0A" w:rsidRDefault="00694C0F">
      <w:pPr>
        <w:pStyle w:val="Heading3"/>
      </w:pPr>
      <w:bookmarkStart w:id="3591" w:name="section_98273a75a1e646669936485b682353ca"/>
      <w:bookmarkStart w:id="3592" w:name="_Toc12261856"/>
      <w:r>
        <w:t>Part 4 Section 19.1.2.5, fill (Shape Fill Propert</w:t>
      </w:r>
      <w:r>
        <w:t>ies)</w:t>
      </w:r>
      <w:bookmarkEnd w:id="3591"/>
      <w:bookmarkEnd w:id="3592"/>
      <w:r>
        <w:fldChar w:fldCharType="begin"/>
      </w:r>
      <w:r>
        <w:instrText xml:space="preserve"> XE "fill (Shape Fill Properties)"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024C0A" w:rsidRDefault="00694C0F">
      <w:pPr>
        <w:pStyle w:val="Definition-Field"/>
      </w:pPr>
      <w:r>
        <w:t xml:space="preserve">a.   </w:t>
      </w:r>
      <w:r>
        <w:rPr>
          <w:i/>
        </w:rPr>
        <w:t>The standard does not define a default value for the detectmouseclick attribute.</w:t>
      </w:r>
    </w:p>
    <w:p w:rsidR="00024C0A" w:rsidRDefault="00694C0F">
      <w:pPr>
        <w:pStyle w:val="Definition-Field2"/>
      </w:pPr>
      <w:r>
        <w:t xml:space="preserve">Office uses a default value of false for </w:t>
      </w:r>
      <w:r>
        <w:t>the detectmouseclick attribute.</w:t>
      </w:r>
    </w:p>
    <w:p w:rsidR="00024C0A" w:rsidRDefault="00694C0F">
      <w:pPr>
        <w:pStyle w:val="Definition-Field"/>
      </w:pPr>
      <w:r>
        <w:t xml:space="preserve">b.   </w:t>
      </w:r>
      <w:r>
        <w:rPr>
          <w:i/>
        </w:rPr>
        <w:t>The standard indicates how the alignshape attribute is used.</w:t>
      </w:r>
    </w:p>
    <w:p w:rsidR="00024C0A" w:rsidRDefault="00694C0F">
      <w:pPr>
        <w:pStyle w:val="Definition-Field2"/>
      </w:pPr>
      <w:r>
        <w:t>Office also requires that the value of the type attribute is tile if the alignshape attribute is used.</w:t>
      </w:r>
    </w:p>
    <w:p w:rsidR="00024C0A" w:rsidRDefault="00694C0F">
      <w:pPr>
        <w:pStyle w:val="Definition-Field"/>
      </w:pPr>
      <w:r>
        <w:t xml:space="preserve">c.   </w:t>
      </w:r>
      <w:r>
        <w:rPr>
          <w:i/>
        </w:rPr>
        <w:t>The standard does not specify bounds for the angle</w:t>
      </w:r>
      <w:r>
        <w:rPr>
          <w:i/>
        </w:rPr>
        <w:t xml:space="preserve"> attribute.</w:t>
      </w:r>
    </w:p>
    <w:p w:rsidR="00024C0A" w:rsidRDefault="00694C0F">
      <w:pPr>
        <w:pStyle w:val="Definition-Field2"/>
      </w:pPr>
      <w:r>
        <w:t>Office specifies the bounds for the angle attribute of -32767 and 32767.</w:t>
      </w:r>
    </w:p>
    <w:p w:rsidR="00024C0A" w:rsidRDefault="00694C0F">
      <w:pPr>
        <w:pStyle w:val="Definition-Field"/>
      </w:pPr>
      <w:r>
        <w:lastRenderedPageBreak/>
        <w:t xml:space="preserve">d.   </w:t>
      </w:r>
      <w:r>
        <w:rPr>
          <w:i/>
        </w:rPr>
        <w:t>The standard states that o:relid is a valid attribute.</w:t>
      </w:r>
    </w:p>
    <w:p w:rsidR="00024C0A" w:rsidRDefault="00694C0F">
      <w:pPr>
        <w:pStyle w:val="Definition-Field2"/>
      </w:pPr>
      <w:r>
        <w:t>Office does not support this attribute.</w:t>
      </w:r>
    </w:p>
    <w:p w:rsidR="00024C0A" w:rsidRDefault="00694C0F">
      <w:pPr>
        <w:pStyle w:val="Definition-Field"/>
      </w:pPr>
      <w:r>
        <w:t xml:space="preserve">e.   </w:t>
      </w:r>
      <w:r>
        <w:rPr>
          <w:i/>
        </w:rPr>
        <w:t>The standard does not specify bounds for the origin attribute.</w:t>
      </w:r>
    </w:p>
    <w:p w:rsidR="00024C0A" w:rsidRDefault="00694C0F">
      <w:pPr>
        <w:pStyle w:val="Definition-Field2"/>
      </w:pPr>
      <w:r>
        <w:t>Off</w:t>
      </w:r>
      <w:r>
        <w:t>ice uses bounds of -32767 and 32767 for the origin attribute.</w:t>
      </w:r>
    </w:p>
    <w:p w:rsidR="00024C0A" w:rsidRDefault="00694C0F">
      <w:pPr>
        <w:pStyle w:val="Definition-Field"/>
      </w:pPr>
      <w:r>
        <w:t xml:space="preserve">f.   </w:t>
      </w:r>
      <w:r>
        <w:rPr>
          <w:i/>
        </w:rPr>
        <w:t>The standard indicates that the default value for the origin attribute is the center of the image.</w:t>
      </w:r>
    </w:p>
    <w:p w:rsidR="00024C0A" w:rsidRDefault="00694C0F">
      <w:pPr>
        <w:pStyle w:val="Definition-Field2"/>
      </w:pPr>
      <w:r>
        <w:t>Office uses a default value of 0,0 for the origin attribute.</w:t>
      </w:r>
    </w:p>
    <w:p w:rsidR="00024C0A" w:rsidRDefault="00694C0F">
      <w:pPr>
        <w:pStyle w:val="Definition-Field"/>
      </w:pPr>
      <w:r>
        <w:t xml:space="preserve">g.   </w:t>
      </w:r>
      <w:r>
        <w:rPr>
          <w:i/>
        </w:rPr>
        <w:t>The standard implies tha</w:t>
      </w:r>
      <w:r>
        <w:rPr>
          <w:i/>
        </w:rPr>
        <w:t>t positive values are to the right and down for the origin attribute.</w:t>
      </w:r>
    </w:p>
    <w:p w:rsidR="00024C0A" w:rsidRDefault="00694C0F">
      <w:pPr>
        <w:pStyle w:val="Definition-Field2"/>
      </w:pPr>
      <w:r>
        <w:t>In Office, negative values for the origin attribute are to the right and down, so the bottom right corner is -1,-1.</w:t>
      </w:r>
    </w:p>
    <w:p w:rsidR="00024C0A" w:rsidRDefault="00694C0F">
      <w:pPr>
        <w:pStyle w:val="Definition-Field"/>
      </w:pPr>
      <w:r>
        <w:t xml:space="preserve">h.   </w:t>
      </w:r>
      <w:r>
        <w:rPr>
          <w:i/>
        </w:rPr>
        <w:t xml:space="preserve">The standard implies that only absolute numbers may be used for </w:t>
      </w:r>
      <w:r>
        <w:rPr>
          <w:i/>
        </w:rPr>
        <w:t>the size attribute.</w:t>
      </w:r>
    </w:p>
    <w:p w:rsidR="00024C0A" w:rsidRDefault="00694C0F">
      <w:r>
        <w:t>In Office, values are specified as either an absolute measurement or a fractional value of the shape dimensions.  A fractional value may be specified in 1/65536-ths if a trailing "f" is supplied. [Example: A value of "52429f" represents</w:t>
      </w:r>
      <w:r>
        <w:t xml:space="preserve"> 52429/65536, or 0.8. end example] The minimum and maximum values are 0f to 2147483647f.</w:t>
      </w:r>
    </w:p>
    <w:p w:rsidR="00024C0A" w:rsidRDefault="00694C0F">
      <w:pPr>
        <w:pStyle w:val="Definition-Field"/>
      </w:pPr>
      <w:r>
        <w:t xml:space="preserve">i.   </w:t>
      </w:r>
      <w:r>
        <w:rPr>
          <w:i/>
        </w:rPr>
        <w:t>The standard indicates how the type attribute is used.</w:t>
      </w:r>
    </w:p>
    <w:p w:rsidR="00024C0A" w:rsidRDefault="00694C0F">
      <w:r>
        <w:t xml:space="preserve">If this attribute value is </w:t>
      </w:r>
      <w:r>
        <w:rPr>
          <w:i/>
        </w:rPr>
        <w:t>tile</w:t>
      </w:r>
      <w:r>
        <w:t xml:space="preserve">, </w:t>
      </w:r>
      <w:r>
        <w:rPr>
          <w:i/>
        </w:rPr>
        <w:t>pattern</w:t>
      </w:r>
      <w:r>
        <w:t xml:space="preserve"> or </w:t>
      </w:r>
      <w:r>
        <w:rPr>
          <w:i/>
        </w:rPr>
        <w:t>frame</w:t>
      </w:r>
      <w:r>
        <w:t xml:space="preserve">, Office requires that the image attributes be specified. If this attribute value is </w:t>
      </w:r>
      <w:r>
        <w:rPr>
          <w:i/>
        </w:rPr>
        <w:t>gradient</w:t>
      </w:r>
      <w:r>
        <w:t xml:space="preserve"> or </w:t>
      </w:r>
      <w:r>
        <w:rPr>
          <w:i/>
        </w:rPr>
        <w:t>gradientradial</w:t>
      </w:r>
      <w:r>
        <w:t>, Office requires that the gradient attributes be specified.</w:t>
      </w:r>
    </w:p>
    <w:p w:rsidR="00024C0A" w:rsidRDefault="00694C0F">
      <w:pPr>
        <w:pStyle w:val="Definition-Field"/>
      </w:pPr>
      <w:r>
        <w:t xml:space="preserve">j.   </w:t>
      </w:r>
      <w:r>
        <w:rPr>
          <w:i/>
        </w:rPr>
        <w:t>The standard allows any string to be used for title attribute.</w:t>
      </w:r>
    </w:p>
    <w:p w:rsidR="00024C0A" w:rsidRDefault="00694C0F">
      <w:pPr>
        <w:pStyle w:val="Definition-Field2"/>
      </w:pPr>
      <w:r>
        <w:t xml:space="preserve">Office does not </w:t>
      </w:r>
      <w:r>
        <w:t>allow slashes or colons in the title attribute string.</w:t>
      </w:r>
    </w:p>
    <w:p w:rsidR="00024C0A" w:rsidRDefault="00694C0F">
      <w:pPr>
        <w:pStyle w:val="Definition-Field"/>
      </w:pPr>
      <w:r>
        <w:t xml:space="preserve">k.   </w:t>
      </w:r>
      <w:r>
        <w:rPr>
          <w:i/>
        </w:rPr>
        <w:t>The standard indicates how the title attribute is used.</w:t>
      </w:r>
    </w:p>
    <w:p w:rsidR="00024C0A" w:rsidRDefault="00694C0F">
      <w:pPr>
        <w:pStyle w:val="Definition-Field2"/>
      </w:pPr>
      <w:r>
        <w:t>Office only supports the type attribute if the value of the type attribute is tile, pattern or frame.</w:t>
      </w:r>
    </w:p>
    <w:p w:rsidR="00024C0A" w:rsidRDefault="00694C0F">
      <w:pPr>
        <w:pStyle w:val="Definition-Field"/>
      </w:pPr>
      <w:r>
        <w:t xml:space="preserve">l.   </w:t>
      </w:r>
      <w:r>
        <w:rPr>
          <w:i/>
        </w:rPr>
        <w:t>The standard indicates how the al</w:t>
      </w:r>
      <w:r>
        <w:rPr>
          <w:i/>
        </w:rPr>
        <w:t>thref attribute is used.</w:t>
      </w:r>
    </w:p>
    <w:p w:rsidR="00024C0A" w:rsidRDefault="00694C0F">
      <w:pPr>
        <w:pStyle w:val="Definition-Field2"/>
      </w:pPr>
      <w:r>
        <w:t>Office does not support the althref attribute.</w:t>
      </w:r>
    </w:p>
    <w:p w:rsidR="00024C0A" w:rsidRDefault="00694C0F">
      <w:pPr>
        <w:pStyle w:val="Definition-Field"/>
      </w:pPr>
      <w:r>
        <w:t xml:space="preserve">m.   </w:t>
      </w:r>
      <w:r>
        <w:rPr>
          <w:i/>
        </w:rPr>
        <w:t>The standard indicates how the href attribute is used.</w:t>
      </w:r>
    </w:p>
    <w:p w:rsidR="00024C0A" w:rsidRDefault="00694C0F">
      <w:pPr>
        <w:pStyle w:val="Definition-Field2"/>
      </w:pPr>
      <w:r>
        <w:t>Office does not support the href attribute.</w:t>
      </w:r>
    </w:p>
    <w:p w:rsidR="00024C0A" w:rsidRDefault="00694C0F">
      <w:pPr>
        <w:pStyle w:val="Definition-Field"/>
      </w:pPr>
      <w:r>
        <w:t xml:space="preserve">n.   </w:t>
      </w:r>
      <w:r>
        <w:rPr>
          <w:i/>
        </w:rPr>
        <w:t>The standard indicates how the src attribute is used.</w:t>
      </w:r>
    </w:p>
    <w:p w:rsidR="00024C0A" w:rsidRDefault="00694C0F">
      <w:pPr>
        <w:pStyle w:val="Definition-Field2"/>
      </w:pPr>
      <w:r>
        <w:t>Office does not suppo</w:t>
      </w:r>
      <w:r>
        <w:t>rt the src attribute.</w:t>
      </w:r>
    </w:p>
    <w:p w:rsidR="00024C0A" w:rsidRDefault="00694C0F">
      <w:pPr>
        <w:pStyle w:val="Definition-Field"/>
      </w:pPr>
      <w:r>
        <w:t xml:space="preserve">o.   </w:t>
      </w:r>
      <w:r>
        <w:rPr>
          <w:i/>
        </w:rPr>
        <w:t>The standard does not restrict the number of instances of the fill element.</w:t>
      </w:r>
    </w:p>
    <w:p w:rsidR="00024C0A" w:rsidRDefault="00694C0F">
      <w:pPr>
        <w:pStyle w:val="Definition-Field2"/>
      </w:pPr>
      <w:r>
        <w:t>Office allows at most only one instance of the fill element in each place where it can be used.</w:t>
      </w:r>
    </w:p>
    <w:p w:rsidR="00024C0A" w:rsidRDefault="00694C0F">
      <w:pPr>
        <w:pStyle w:val="Definition-Field"/>
      </w:pPr>
      <w:r>
        <w:t xml:space="preserve">p.   </w:t>
      </w:r>
      <w:r>
        <w:rPr>
          <w:i/>
        </w:rPr>
        <w:t>The standard states that values of the opacity attri</w:t>
      </w:r>
      <w:r>
        <w:rPr>
          <w:i/>
        </w:rPr>
        <w:t>bute are defined by the XML Schema string datatype.</w:t>
      </w:r>
    </w:p>
    <w:p w:rsidR="00024C0A" w:rsidRDefault="00694C0F">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024C0A" w:rsidRDefault="00694C0F">
      <w:pPr>
        <w:pStyle w:val="Definition-Field"/>
      </w:pPr>
      <w:r>
        <w:t xml:space="preserve">q.   </w:t>
      </w:r>
      <w:r>
        <w:rPr>
          <w:i/>
        </w:rPr>
        <w:t>The standard states that values of t</w:t>
      </w:r>
      <w:r>
        <w:rPr>
          <w:i/>
        </w:rPr>
        <w:t>he opacity2 attribute are defined by the XML Schema string datatype.</w:t>
      </w:r>
    </w:p>
    <w:p w:rsidR="00024C0A" w:rsidRDefault="00694C0F">
      <w:pPr>
        <w:pStyle w:val="Definition-Field2"/>
      </w:pPr>
      <w:r>
        <w:lastRenderedPageBreak/>
        <w:t>Office defines the values of the opacity2 attribute with the ST_Fraction (§3.9.1, ST_Fraction) simple type.</w:t>
      </w:r>
    </w:p>
    <w:p w:rsidR="00024C0A" w:rsidRDefault="00694C0F">
      <w:pPr>
        <w:pStyle w:val="Heading3"/>
      </w:pPr>
      <w:bookmarkStart w:id="3593" w:name="section_b017fac7da0b4cdf821cff5f03d17238"/>
      <w:bookmarkStart w:id="3594" w:name="_Toc12261857"/>
      <w:r>
        <w:t>Part 4 Section 19.1.2.6, formulas (Set of Formulas)</w:t>
      </w:r>
      <w:bookmarkEnd w:id="3593"/>
      <w:bookmarkEnd w:id="3594"/>
      <w:r>
        <w:fldChar w:fldCharType="begin"/>
      </w:r>
      <w:r>
        <w:instrText xml:space="preserve"> XE "formulas (Set of Formul</w:instrText>
      </w:r>
      <w:r>
        <w:instrText xml:space="preserve">as)"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w:t>
        </w:r>
        <w:r>
          <w:rPr>
            <w:rStyle w:val="Hyperlink"/>
          </w:rPr>
          <w:t>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024C0A" w:rsidRDefault="00694C0F">
      <w:pPr>
        <w:pStyle w:val="Definition-Field"/>
      </w:pPr>
      <w:r>
        <w:t xml:space="preserve">a.   </w:t>
      </w:r>
      <w:r>
        <w:rPr>
          <w:i/>
        </w:rPr>
        <w:t>The standard states that the maxOccurs value for the f child element is un</w:t>
      </w:r>
      <w:r>
        <w:rPr>
          <w:i/>
        </w:rPr>
        <w:t>bounded.</w:t>
      </w:r>
    </w:p>
    <w:p w:rsidR="00024C0A" w:rsidRDefault="00694C0F">
      <w:pPr>
        <w:pStyle w:val="Definition-Field2"/>
      </w:pPr>
      <w:r>
        <w:t>Office limits the occurrences of this element to 128.</w:t>
      </w:r>
    </w:p>
    <w:p w:rsidR="00024C0A" w:rsidRDefault="00694C0F">
      <w:pPr>
        <w:pStyle w:val="Definition-Field"/>
      </w:pPr>
      <w:r>
        <w:t xml:space="preserve">b.   </w:t>
      </w:r>
      <w:r>
        <w:rPr>
          <w:i/>
        </w:rPr>
        <w:t>The standard does not restrict the number of instances of the formulas element.</w:t>
      </w:r>
    </w:p>
    <w:p w:rsidR="00024C0A" w:rsidRDefault="00694C0F">
      <w:pPr>
        <w:pStyle w:val="Definition-Field2"/>
      </w:pPr>
      <w:r>
        <w:t>Office allows at most one instance of this element in each place where it can be used.</w:t>
      </w:r>
    </w:p>
    <w:p w:rsidR="00024C0A" w:rsidRDefault="00694C0F">
      <w:pPr>
        <w:pStyle w:val="Heading3"/>
      </w:pPr>
      <w:bookmarkStart w:id="3595" w:name="section_5dab8b917bfb495a9ed59068ef74998d"/>
      <w:bookmarkStart w:id="3596" w:name="_Toc12261858"/>
      <w:r>
        <w:t>Part 4 Section 19.1.2.7, group (Shape Group)</w:t>
      </w:r>
      <w:bookmarkEnd w:id="3595"/>
      <w:bookmarkEnd w:id="3596"/>
      <w:r>
        <w:fldChar w:fldCharType="begin"/>
      </w:r>
      <w:r>
        <w:instrText xml:space="preserve"> XE "group (Shape Group)"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§19.1.2.1(c-hh,mm,oo,qq-uu,ww, xx,ddd-lll,ttt-yyy,aaaa, bbbb,dddd-jjjj)</w:t>
        </w:r>
      </w:hyperlink>
      <w:r>
        <w:rPr>
          <w:i/>
        </w:rPr>
        <w:t xml:space="preserve">; </w:t>
      </w:r>
      <w:hyperlink w:anchor="Section_96eb7103c6714831928122e64798c2e5">
        <w:r>
          <w:rPr>
            <w:rStyle w:val="Hyperlink"/>
          </w:rPr>
          <w:t>background, §19.1.2.2(c)</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§19.1.2.10(b,e)</w:t>
        </w:r>
      </w:hyperlink>
      <w:r>
        <w:rPr>
          <w:i/>
        </w:rPr>
        <w:t>.</w:t>
      </w:r>
    </w:p>
    <w:p w:rsidR="00024C0A" w:rsidRDefault="00694C0F">
      <w:pPr>
        <w:pStyle w:val="Definition-Field"/>
      </w:pPr>
      <w:r>
        <w:t xml:space="preserve">a.   </w:t>
      </w:r>
      <w:r>
        <w:rPr>
          <w:i/>
        </w:rPr>
        <w:t xml:space="preserve">The standard states that borderbottom, borderleft, borderright, bordertop, callout, extrusion, fill, formulas, </w:t>
      </w:r>
      <w:r>
        <w:rPr>
          <w:i/>
        </w:rPr>
        <w:t>handles, imagedata, path, shadow, signatureline, skew, stroke, textbox, textpath, and textdata are valid child elements of the group element.</w:t>
      </w:r>
    </w:p>
    <w:p w:rsidR="00024C0A" w:rsidRDefault="00694C0F">
      <w:pPr>
        <w:pStyle w:val="Definition-Field2"/>
      </w:pPr>
      <w:r>
        <w:t>Office does not allow these elements to be child elements of the group element.</w:t>
      </w:r>
    </w:p>
    <w:p w:rsidR="00024C0A" w:rsidRDefault="00694C0F">
      <w:pPr>
        <w:pStyle w:val="Definition-Field"/>
      </w:pPr>
      <w:r>
        <w:t xml:space="preserve">b.   </w:t>
      </w:r>
      <w:r>
        <w:rPr>
          <w:i/>
        </w:rPr>
        <w:t xml:space="preserve">The standard states that the </w:t>
      </w:r>
      <w:r>
        <w:rPr>
          <w:i/>
        </w:rPr>
        <w:t>borderbottomcolor, borderleftcolor, borderrightcolor, bordertopcolor, fillcolor, and filled attributes are valid attributes on the group element.</w:t>
      </w:r>
    </w:p>
    <w:p w:rsidR="00024C0A" w:rsidRDefault="00694C0F">
      <w:pPr>
        <w:pStyle w:val="Definition-Field2"/>
      </w:pPr>
      <w:r>
        <w:t>Office does not support these attributes on this element.</w:t>
      </w:r>
    </w:p>
    <w:p w:rsidR="00024C0A" w:rsidRDefault="00694C0F">
      <w:pPr>
        <w:pStyle w:val="Definition-Field"/>
      </w:pPr>
      <w:r>
        <w:t xml:space="preserve">c.   </w:t>
      </w:r>
      <w:r>
        <w:rPr>
          <w:i/>
        </w:rPr>
        <w:t>The standard does not mention the gfxdata attri</w:t>
      </w:r>
      <w:r>
        <w:rPr>
          <w:i/>
        </w:rPr>
        <w:t>bute.</w:t>
      </w:r>
    </w:p>
    <w:p w:rsidR="00024C0A" w:rsidRDefault="00694C0F">
      <w:pPr>
        <w:pStyle w:val="Definition-Field2"/>
      </w:pPr>
      <w:r>
        <w:t>Office uses an gfxdata attribute. The definition is the same as the gfxdata attribute defined in Section 14.1.2.19.</w:t>
      </w:r>
    </w:p>
    <w:p w:rsidR="00024C0A" w:rsidRDefault="00694C0F">
      <w:pPr>
        <w:pStyle w:val="Heading3"/>
      </w:pPr>
      <w:bookmarkStart w:id="3597" w:name="section_ffc30069fa76457da36a9aeb0c1747c6"/>
      <w:bookmarkStart w:id="3598" w:name="_Toc12261859"/>
      <w:r>
        <w:t>Part 4 Section 19.1.2.8, h (Shape Handle)</w:t>
      </w:r>
      <w:bookmarkEnd w:id="3597"/>
      <w:bookmarkEnd w:id="3598"/>
      <w:r>
        <w:fldChar w:fldCharType="begin"/>
      </w:r>
      <w:r>
        <w:instrText xml:space="preserve"> XE "h (Shape Handle)" </w:instrText>
      </w:r>
      <w:r>
        <w:fldChar w:fldCharType="end"/>
      </w:r>
    </w:p>
    <w:p w:rsidR="00024C0A" w:rsidRDefault="00694C0F">
      <w:pPr>
        <w:pStyle w:val="Definition-Field"/>
      </w:pPr>
      <w:r>
        <w:t xml:space="preserve">a.   </w:t>
      </w:r>
      <w:r>
        <w:rPr>
          <w:i/>
        </w:rPr>
        <w:t>The standard indicates how the switch attribute is used.</w:t>
      </w:r>
    </w:p>
    <w:p w:rsidR="00024C0A" w:rsidRDefault="00694C0F">
      <w:pPr>
        <w:pStyle w:val="Definition-Field2"/>
      </w:pPr>
      <w:r>
        <w:t>Offic</w:t>
      </w:r>
      <w:r>
        <w:t>e ignores the switch attribute and writes false or a blank string value on file save.</w:t>
      </w:r>
    </w:p>
    <w:p w:rsidR="00024C0A" w:rsidRDefault="00694C0F">
      <w:pPr>
        <w:pStyle w:val="Definition-Field"/>
      </w:pPr>
      <w:r>
        <w:t xml:space="preserve">b.   </w:t>
      </w:r>
      <w:r>
        <w:rPr>
          <w:i/>
        </w:rPr>
        <w:t>The standard indicates that a true or false value is saved to the file for the invx attribute.</w:t>
      </w:r>
    </w:p>
    <w:p w:rsidR="00024C0A" w:rsidRDefault="00694C0F">
      <w:pPr>
        <w:pStyle w:val="Definition-Field2"/>
      </w:pPr>
      <w:r>
        <w:t>Office ignores the value of the invx attribute and writes an empty str</w:t>
      </w:r>
      <w:r>
        <w:t>ing whenever the attribute is written to the file.</w:t>
      </w:r>
    </w:p>
    <w:p w:rsidR="00024C0A" w:rsidRDefault="00694C0F">
      <w:pPr>
        <w:pStyle w:val="Definition-Field"/>
      </w:pPr>
      <w:r>
        <w:t xml:space="preserve">c.   </w:t>
      </w:r>
      <w:r>
        <w:rPr>
          <w:i/>
        </w:rPr>
        <w:t>The standard indicates that a true or false value is saved to the file for the invy attribute.</w:t>
      </w:r>
    </w:p>
    <w:p w:rsidR="00024C0A" w:rsidRDefault="00694C0F">
      <w:pPr>
        <w:pStyle w:val="Definition-Field2"/>
      </w:pPr>
      <w:r>
        <w:t>Office ignores the value of the invy attribute and writes an empty string whenever the attribute is writt</w:t>
      </w:r>
      <w:r>
        <w:t>en to the file.</w:t>
      </w:r>
    </w:p>
    <w:p w:rsidR="00024C0A" w:rsidRDefault="00694C0F">
      <w:pPr>
        <w:pStyle w:val="Definition-Field"/>
      </w:pPr>
      <w:r>
        <w:t xml:space="preserve">d.   </w:t>
      </w:r>
      <w:r>
        <w:rPr>
          <w:i/>
        </w:rPr>
        <w:t>The standard indicates how the map attribute is used.</w:t>
      </w:r>
    </w:p>
    <w:p w:rsidR="00024C0A" w:rsidRDefault="00694C0F">
      <w:pPr>
        <w:pStyle w:val="Definition-Field2"/>
      </w:pPr>
      <w:r>
        <w:t>Office does not support the map attribute and using it may result in unpredictable runtime behavior.</w:t>
      </w:r>
    </w:p>
    <w:p w:rsidR="00024C0A" w:rsidRDefault="00694C0F">
      <w:pPr>
        <w:pStyle w:val="Heading3"/>
      </w:pPr>
      <w:bookmarkStart w:id="3599" w:name="section_2ab456f168374f4fabf9ba30693c31a1"/>
      <w:bookmarkStart w:id="3600" w:name="_Toc12261860"/>
      <w:r>
        <w:lastRenderedPageBreak/>
        <w:t>Part 4 Section 19.1.2.9, handles (Set of Handles)</w:t>
      </w:r>
      <w:bookmarkEnd w:id="3599"/>
      <w:bookmarkEnd w:id="3600"/>
      <w:r>
        <w:fldChar w:fldCharType="begin"/>
      </w:r>
      <w:r>
        <w:instrText xml:space="preserve"> XE "handles (Set of Handles)"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w:t>
      </w:r>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024C0A" w:rsidRDefault="00694C0F">
      <w:pPr>
        <w:pStyle w:val="Definition-Field"/>
      </w:pPr>
      <w:r>
        <w:t xml:space="preserve">a.   </w:t>
      </w:r>
      <w:r>
        <w:rPr>
          <w:i/>
        </w:rPr>
        <w:t>The standard states that the maxOccurs value for the h child element is unbound</w:t>
      </w:r>
      <w:r>
        <w:rPr>
          <w:i/>
        </w:rPr>
        <w:t>ed.</w:t>
      </w:r>
    </w:p>
    <w:p w:rsidR="00024C0A" w:rsidRDefault="00694C0F">
      <w:pPr>
        <w:pStyle w:val="Definition-Field2"/>
      </w:pPr>
      <w:r>
        <w:t>Office limits the occurrences of this element to 4.</w:t>
      </w:r>
    </w:p>
    <w:p w:rsidR="00024C0A" w:rsidRDefault="00694C0F">
      <w:pPr>
        <w:pStyle w:val="Definition-Field"/>
      </w:pPr>
      <w:r>
        <w:t xml:space="preserve">b.   </w:t>
      </w:r>
      <w:r>
        <w:rPr>
          <w:i/>
        </w:rPr>
        <w:t>The standard does not restrict the number of instances of the handles element.</w:t>
      </w:r>
    </w:p>
    <w:p w:rsidR="00024C0A" w:rsidRDefault="00694C0F">
      <w:pPr>
        <w:pStyle w:val="Definition-Field2"/>
      </w:pPr>
      <w:r>
        <w:t>Office allows at most one instance of this element in each place where it can be used.</w:t>
      </w:r>
    </w:p>
    <w:p w:rsidR="00024C0A" w:rsidRDefault="00694C0F">
      <w:pPr>
        <w:pStyle w:val="Heading3"/>
      </w:pPr>
      <w:bookmarkStart w:id="3601" w:name="section_65100e2931e94e27972d9bf589fea5be"/>
      <w:bookmarkStart w:id="3602" w:name="_Toc12261861"/>
      <w:r>
        <w:t>Part 4 Section 19.1.2.10, image (Image File)</w:t>
      </w:r>
      <w:bookmarkEnd w:id="3601"/>
      <w:bookmarkEnd w:id="3602"/>
      <w:r>
        <w:fldChar w:fldCharType="begin"/>
      </w:r>
      <w:r>
        <w:instrText xml:space="preserve"> XE "image (Image File)"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eba6e7671fa143e3b8ae7ea30c1f4972">
        <w:r>
          <w:rPr>
            <w:rStyle w:val="Hyperlink"/>
          </w:rPr>
          <w:t>imagedata, §19.1.2.11(d,h-o)</w:t>
        </w:r>
      </w:hyperlink>
      <w:r>
        <w:rPr>
          <w:i/>
        </w:rPr>
        <w:t>.</w:t>
      </w:r>
    </w:p>
    <w:p w:rsidR="00024C0A" w:rsidRDefault="00694C0F">
      <w:pPr>
        <w:pStyle w:val="Definition-Field"/>
      </w:pPr>
      <w:r>
        <w:t xml:space="preserve">a.   </w:t>
      </w:r>
      <w:r>
        <w:rPr>
          <w:i/>
        </w:rPr>
        <w:t>The standard indicates that color images should be reduced to 8 colors if the bilevel attribute is true.</w:t>
      </w:r>
    </w:p>
    <w:p w:rsidR="00024C0A" w:rsidRDefault="00694C0F">
      <w:pPr>
        <w:pStyle w:val="Definition-Field2"/>
      </w:pPr>
      <w:r>
        <w:t>Office interprets the bilevel attribute as a toggle between color and black and white and c</w:t>
      </w:r>
      <w:r>
        <w:t>onverts all images, color or greyscale, to pure black and white if the value of the bilevel attribute is true.</w:t>
      </w:r>
    </w:p>
    <w:p w:rsidR="00024C0A" w:rsidRDefault="00694C0F">
      <w:pPr>
        <w:pStyle w:val="Definition-Field"/>
      </w:pPr>
      <w:r>
        <w:t xml:space="preserve">b.   </w:t>
      </w:r>
      <w:r>
        <w:rPr>
          <w:i/>
        </w:rPr>
        <w:t>The standard implies that the bullet attribute may be used to specify that the element is a bullet.</w:t>
      </w:r>
    </w:p>
    <w:p w:rsidR="00024C0A" w:rsidRDefault="00694C0F">
      <w:pPr>
        <w:pStyle w:val="Definition-Field2"/>
      </w:pPr>
      <w:r>
        <w:t>Office sets this attribute when the elem</w:t>
      </w:r>
      <w:r>
        <w:t>ent is being used as a bullet, but ignores it on file load; this attribute does not make the element a bullet.</w:t>
      </w:r>
    </w:p>
    <w:p w:rsidR="00024C0A" w:rsidRDefault="00694C0F">
      <w:pPr>
        <w:pStyle w:val="Definition-Field"/>
      </w:pPr>
      <w:r>
        <w:t xml:space="preserve">c.   </w:t>
      </w:r>
      <w:r>
        <w:rPr>
          <w:i/>
        </w:rPr>
        <w:t>The standard states that the bwnormal attribute specifies the black-and-white mode for normal black-and-white output devices.</w:t>
      </w:r>
    </w:p>
    <w:p w:rsidR="00024C0A" w:rsidRDefault="00694C0F">
      <w:pPr>
        <w:pStyle w:val="Definition-Field2"/>
      </w:pPr>
      <w:r>
        <w:t>Word and Excel</w:t>
      </w:r>
      <w:r>
        <w:t xml:space="preserve"> do not support this attribute.</w:t>
      </w:r>
    </w:p>
    <w:p w:rsidR="00024C0A" w:rsidRDefault="00694C0F">
      <w:pPr>
        <w:pStyle w:val="Definition-Field"/>
      </w:pPr>
      <w:r>
        <w:t xml:space="preserve">d.   </w:t>
      </w:r>
      <w:r>
        <w:rPr>
          <w:i/>
        </w:rPr>
        <w:t>The standard states that the bwpure attribute specifies the black-and-white mode for pure black-and-white output devices.</w:t>
      </w:r>
    </w:p>
    <w:p w:rsidR="00024C0A" w:rsidRDefault="00694C0F">
      <w:pPr>
        <w:pStyle w:val="Definition-Field2"/>
      </w:pPr>
      <w:r>
        <w:t>Word and Excel do not support this attribute.</w:t>
      </w:r>
    </w:p>
    <w:p w:rsidR="00024C0A" w:rsidRDefault="00694C0F">
      <w:pPr>
        <w:pStyle w:val="Definition-Field"/>
      </w:pPr>
      <w:r>
        <w:t xml:space="preserve">e.   </w:t>
      </w:r>
      <w:r>
        <w:rPr>
          <w:i/>
        </w:rPr>
        <w:t xml:space="preserve">The standard places no restrictions on when </w:t>
      </w:r>
      <w:r>
        <w:rPr>
          <w:i/>
        </w:rPr>
        <w:t>the target attribute is preserved.</w:t>
      </w:r>
    </w:p>
    <w:p w:rsidR="00024C0A" w:rsidRDefault="00694C0F">
      <w:pPr>
        <w:pStyle w:val="Definition-Field2"/>
      </w:pPr>
      <w:r>
        <w:t>Office does not preserve this attribute when the href attribute is not set.</w:t>
      </w:r>
    </w:p>
    <w:p w:rsidR="00024C0A" w:rsidRDefault="00694C0F">
      <w:pPr>
        <w:pStyle w:val="Definition-Field"/>
      </w:pPr>
      <w:r>
        <w:t xml:space="preserve">f.   </w:t>
      </w:r>
      <w:r>
        <w:rPr>
          <w:i/>
        </w:rPr>
        <w:t>The standard states that the bwmode attribute specifies how a shape will render for black-and-white output devices.</w:t>
      </w:r>
    </w:p>
    <w:p w:rsidR="00024C0A" w:rsidRDefault="00694C0F">
      <w:pPr>
        <w:pStyle w:val="Definition-Field2"/>
      </w:pPr>
      <w:r>
        <w:t>Word and Excel do not su</w:t>
      </w:r>
      <w:r>
        <w:t>pport this attribute.</w:t>
      </w:r>
    </w:p>
    <w:p w:rsidR="00024C0A" w:rsidRDefault="00694C0F">
      <w:pPr>
        <w:pStyle w:val="Definition-Field"/>
      </w:pPr>
      <w:r>
        <w:t xml:space="preserve">g.   </w:t>
      </w:r>
      <w:r>
        <w:rPr>
          <w:i/>
        </w:rPr>
        <w:t>The standard places no restrictions on the value of the spt attribute.</w:t>
      </w:r>
    </w:p>
    <w:p w:rsidR="00024C0A" w:rsidRDefault="00694C0F">
      <w:pPr>
        <w:pStyle w:val="Definition-Field2"/>
      </w:pPr>
      <w:r>
        <w:t>Office requires the spt attribute on an image element have a value of 75. It is an error to specify this attribute as anything other than the default value, e</w:t>
      </w:r>
      <w:r>
        <w:t>xcept for the shape and shapetype elements, which can handle any valid spt value.</w:t>
      </w:r>
    </w:p>
    <w:p w:rsidR="00024C0A" w:rsidRDefault="00694C0F">
      <w:pPr>
        <w:pStyle w:val="Definition-Field"/>
      </w:pPr>
      <w:r>
        <w:t xml:space="preserve">h.   </w:t>
      </w:r>
      <w:r>
        <w:rPr>
          <w:i/>
        </w:rPr>
        <w:t>The standard states that chromakey, coordorigin, and opacity are valid attributes on the image element.</w:t>
      </w:r>
    </w:p>
    <w:p w:rsidR="00024C0A" w:rsidRDefault="00694C0F">
      <w:pPr>
        <w:pStyle w:val="Definition-Field2"/>
      </w:pPr>
      <w:r>
        <w:t>Office does not support these attributes on this element.</w:t>
      </w:r>
    </w:p>
    <w:p w:rsidR="00024C0A" w:rsidRDefault="00694C0F">
      <w:pPr>
        <w:pStyle w:val="Definition-Field"/>
      </w:pPr>
      <w:r>
        <w:t xml:space="preserve">i.   </w:t>
      </w:r>
      <w:r>
        <w:rPr>
          <w:i/>
        </w:rPr>
        <w:t>Th</w:t>
      </w:r>
      <w:r>
        <w:rPr>
          <w:i/>
        </w:rPr>
        <w:t>e standard states that the default value of the spt attribute is 0.</w:t>
      </w:r>
    </w:p>
    <w:p w:rsidR="00024C0A" w:rsidRDefault="00694C0F">
      <w:pPr>
        <w:pStyle w:val="Definition-Field2"/>
      </w:pPr>
      <w:r>
        <w:lastRenderedPageBreak/>
        <w:t>Office uses a default value of 75 for the image element.</w:t>
      </w:r>
    </w:p>
    <w:p w:rsidR="00024C0A" w:rsidRDefault="00694C0F">
      <w:pPr>
        <w:pStyle w:val="Definition-Field"/>
      </w:pPr>
      <w:r>
        <w:t xml:space="preserve">j.   </w:t>
      </w:r>
      <w:r>
        <w:rPr>
          <w:i/>
        </w:rPr>
        <w:t>The standard does not mention the gfxdata attribute.</w:t>
      </w:r>
    </w:p>
    <w:p w:rsidR="00024C0A" w:rsidRDefault="00694C0F">
      <w:pPr>
        <w:pStyle w:val="Definition-Field2"/>
      </w:pPr>
      <w:r>
        <w:t>Office uses an gfxdata attribute. The definition is the same as the gfxda</w:t>
      </w:r>
      <w:r>
        <w:t>ta attribute defined in Section 14.1.2.19.</w:t>
      </w:r>
    </w:p>
    <w:p w:rsidR="00024C0A" w:rsidRDefault="00694C0F">
      <w:pPr>
        <w:pStyle w:val="Heading3"/>
      </w:pPr>
      <w:bookmarkStart w:id="3603" w:name="section_eba6e7671fa143e3b8ae7ea30c1f4972"/>
      <w:bookmarkStart w:id="3604" w:name="_Toc12261862"/>
      <w:r>
        <w:t>Part 4 Section 19.1.2.11, imagedata (Image Data)</w:t>
      </w:r>
      <w:bookmarkEnd w:id="3603"/>
      <w:bookmarkEnd w:id="3604"/>
      <w:r>
        <w:fldChar w:fldCharType="begin"/>
      </w:r>
      <w:r>
        <w:instrText xml:space="preserve"> XE "imagedata (Image Data)"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 xml:space="preserve">; </w:t>
      </w:r>
      <w:hyperlink w:anchor="Section_65100e2931e94e27972d9bf589fea5be">
        <w:r>
          <w:rPr>
            <w:rStyle w:val="Hyperlink"/>
          </w:rPr>
          <w:t>image, §19.1.2.10(a)</w:t>
        </w:r>
      </w:hyperlink>
      <w:r>
        <w:rPr>
          <w:i/>
        </w:rPr>
        <w:t>.</w:t>
      </w:r>
    </w:p>
    <w:p w:rsidR="00024C0A" w:rsidRDefault="00694C0F">
      <w:pPr>
        <w:pStyle w:val="Definition-Field"/>
      </w:pPr>
      <w:r>
        <w:t xml:space="preserve">a.   </w:t>
      </w:r>
      <w:r>
        <w:rPr>
          <w:i/>
        </w:rPr>
        <w:t>The standard does not restrict the number of instances of the imagedata element.</w:t>
      </w:r>
    </w:p>
    <w:p w:rsidR="00024C0A" w:rsidRDefault="00694C0F">
      <w:pPr>
        <w:pStyle w:val="Definition-Field2"/>
      </w:pPr>
      <w:r>
        <w:t xml:space="preserve">Office allows at most only one instance of the imagedata element in each place where </w:t>
      </w:r>
      <w:r>
        <w:t>it can be used.</w:t>
      </w:r>
    </w:p>
    <w:p w:rsidR="00024C0A" w:rsidRDefault="00694C0F">
      <w:pPr>
        <w:pStyle w:val="Definition-Field"/>
      </w:pPr>
      <w:r>
        <w:t xml:space="preserve">b.   </w:t>
      </w:r>
      <w:r>
        <w:rPr>
          <w:i/>
        </w:rPr>
        <w:t>The standard states that althref is a valid attribute.</w:t>
      </w:r>
    </w:p>
    <w:p w:rsidR="00024C0A" w:rsidRDefault="00694C0F">
      <w:pPr>
        <w:pStyle w:val="Definition-Field2"/>
      </w:pPr>
      <w:r>
        <w:t>Office does not support this attribute.</w:t>
      </w:r>
    </w:p>
    <w:p w:rsidR="00024C0A" w:rsidRDefault="00694C0F">
      <w:pPr>
        <w:pStyle w:val="Definition-Field"/>
      </w:pPr>
      <w:r>
        <w:t xml:space="preserve">c.   </w:t>
      </w:r>
      <w:r>
        <w:rPr>
          <w:i/>
        </w:rPr>
        <w:t>The standard states that movie is a valid attribute.</w:t>
      </w:r>
    </w:p>
    <w:p w:rsidR="00024C0A" w:rsidRDefault="00694C0F">
      <w:pPr>
        <w:pStyle w:val="Definition-Field2"/>
      </w:pPr>
      <w:r>
        <w:t>Office does not support this attribute.</w:t>
      </w:r>
    </w:p>
    <w:p w:rsidR="00024C0A" w:rsidRDefault="00694C0F">
      <w:pPr>
        <w:pStyle w:val="Definition-Field"/>
      </w:pPr>
      <w:r>
        <w:t xml:space="preserve">d.   </w:t>
      </w:r>
      <w:r>
        <w:rPr>
          <w:i/>
        </w:rPr>
        <w:t>The standard states that src is a val</w:t>
      </w:r>
      <w:r>
        <w:rPr>
          <w:i/>
        </w:rPr>
        <w:t>id attribute.</w:t>
      </w:r>
    </w:p>
    <w:p w:rsidR="00024C0A" w:rsidRDefault="00694C0F">
      <w:pPr>
        <w:pStyle w:val="Definition-Field2"/>
      </w:pPr>
      <w:r>
        <w:t>Office does not support this attribute.</w:t>
      </w:r>
    </w:p>
    <w:p w:rsidR="00024C0A" w:rsidRDefault="00694C0F">
      <w:pPr>
        <w:pStyle w:val="Definition-Field"/>
      </w:pPr>
      <w:r>
        <w:t xml:space="preserve">e.   </w:t>
      </w:r>
      <w:r>
        <w:rPr>
          <w:i/>
        </w:rPr>
        <w:t>The standard indicates that the pict attribute is used to specify the relationship with alternate image data.</w:t>
      </w:r>
    </w:p>
    <w:p w:rsidR="00024C0A" w:rsidRDefault="00694C0F">
      <w:pPr>
        <w:pStyle w:val="Definition-Field2"/>
      </w:pPr>
      <w:r>
        <w:t>Office does not preserve the pict attribute for imagedata elements.</w:t>
      </w:r>
    </w:p>
    <w:p w:rsidR="00024C0A" w:rsidRDefault="00694C0F">
      <w:pPr>
        <w:pStyle w:val="Definition-Field"/>
      </w:pPr>
      <w:r>
        <w:t xml:space="preserve">f.   </w:t>
      </w:r>
      <w:r>
        <w:rPr>
          <w:i/>
        </w:rPr>
        <w:t>The standard s</w:t>
      </w:r>
      <w:r>
        <w:rPr>
          <w:i/>
        </w:rPr>
        <w:t>tates that oleid is valid attribute.</w:t>
      </w:r>
    </w:p>
    <w:p w:rsidR="00024C0A" w:rsidRDefault="00694C0F">
      <w:pPr>
        <w:pStyle w:val="Definition-Field2"/>
      </w:pPr>
      <w:r>
        <w:t>Office does not support this attribute.</w:t>
      </w:r>
    </w:p>
    <w:p w:rsidR="00024C0A" w:rsidRDefault="00694C0F">
      <w:pPr>
        <w:pStyle w:val="Definition-Field"/>
      </w:pPr>
      <w:r>
        <w:t xml:space="preserve">g.   </w:t>
      </w:r>
      <w:r>
        <w:rPr>
          <w:i/>
        </w:rPr>
        <w:t>The standard does not specify a default value for the detectmouseclick attribute.</w:t>
      </w:r>
    </w:p>
    <w:p w:rsidR="00024C0A" w:rsidRDefault="00694C0F">
      <w:pPr>
        <w:pStyle w:val="Definition-Field2"/>
      </w:pPr>
      <w:r>
        <w:t xml:space="preserve">In Office, the default value of the detectmouseclick attribute is true for imagedata </w:t>
      </w:r>
      <w:r>
        <w:t>elements.</w:t>
      </w:r>
    </w:p>
    <w:p w:rsidR="00024C0A" w:rsidRDefault="00694C0F">
      <w:pPr>
        <w:pStyle w:val="Definition-Field"/>
      </w:pPr>
      <w:r>
        <w:t xml:space="preserve">h.   </w:t>
      </w:r>
      <w:r>
        <w:rPr>
          <w:i/>
        </w:rPr>
        <w:t>The standard states that the values of the cropleft attribute are defined by the XML Schema string datatype.</w:t>
      </w:r>
    </w:p>
    <w:p w:rsidR="00024C0A" w:rsidRDefault="00694C0F">
      <w:pPr>
        <w:pStyle w:val="Definition-Field2"/>
      </w:pPr>
      <w:r>
        <w:t>Office defines the values of this attribute with the ST_Fraction (</w:t>
      </w:r>
      <w:hyperlink w:anchor="Section_c96929a126d44fe4819f37727a9492e8">
        <w:r>
          <w:rPr>
            <w:rStyle w:val="Hyperlink"/>
          </w:rPr>
          <w:t>§3.</w:t>
        </w:r>
        <w:r>
          <w:rPr>
            <w:rStyle w:val="Hyperlink"/>
          </w:rPr>
          <w:t>9.1, ST_Fraction</w:t>
        </w:r>
      </w:hyperlink>
      <w:r>
        <w:t>) simple type.</w:t>
      </w:r>
    </w:p>
    <w:p w:rsidR="00024C0A" w:rsidRDefault="00694C0F">
      <w:pPr>
        <w:pStyle w:val="Definition-Field"/>
      </w:pPr>
      <w:r>
        <w:t xml:space="preserve">i.   </w:t>
      </w:r>
      <w:r>
        <w:rPr>
          <w:i/>
        </w:rPr>
        <w:t>The standard states that the values of the cropright attribute are defined by the XML Schema string datatype.</w:t>
      </w:r>
    </w:p>
    <w:p w:rsidR="00024C0A" w:rsidRDefault="00694C0F">
      <w:pPr>
        <w:pStyle w:val="Definition-Field2"/>
      </w:pPr>
      <w:r>
        <w:t>Office defines the values of this attribute with the ST_Fraction (§3.9.1, ST_Fraction) simple type.</w:t>
      </w:r>
    </w:p>
    <w:p w:rsidR="00024C0A" w:rsidRDefault="00694C0F">
      <w:pPr>
        <w:pStyle w:val="Definition-Field"/>
      </w:pPr>
      <w:r>
        <w:t xml:space="preserve">j.   </w:t>
      </w:r>
      <w:r>
        <w:rPr>
          <w:i/>
        </w:rPr>
        <w:t>The s</w:t>
      </w:r>
      <w:r>
        <w:rPr>
          <w:i/>
        </w:rPr>
        <w:t>tandard states that the values of the blacklevel attribute are defined by the XML Schema string datatype.</w:t>
      </w:r>
    </w:p>
    <w:p w:rsidR="00024C0A" w:rsidRDefault="00694C0F">
      <w:pPr>
        <w:pStyle w:val="Definition-Field2"/>
      </w:pPr>
      <w:r>
        <w:t>Office defines the values of this attribute with the ST_Fraction (§3.9.1, ST_Fraction) simple type.</w:t>
      </w:r>
    </w:p>
    <w:p w:rsidR="00024C0A" w:rsidRDefault="00694C0F">
      <w:pPr>
        <w:pStyle w:val="Definition-Field"/>
      </w:pPr>
      <w:r>
        <w:t xml:space="preserve">k.   </w:t>
      </w:r>
      <w:r>
        <w:rPr>
          <w:i/>
        </w:rPr>
        <w:t>The standard states that the values of the ga</w:t>
      </w:r>
      <w:r>
        <w:rPr>
          <w:i/>
        </w:rPr>
        <w:t>in attribute are defined by the XML Schema string datatype.</w:t>
      </w:r>
    </w:p>
    <w:p w:rsidR="00024C0A" w:rsidRDefault="00694C0F">
      <w:pPr>
        <w:pStyle w:val="Definition-Field2"/>
      </w:pPr>
      <w:r>
        <w:t>Office defines the values of this attribute with the ST_Fraction (§3.9.1, ST_Fraction) simple type.</w:t>
      </w:r>
    </w:p>
    <w:p w:rsidR="00024C0A" w:rsidRDefault="00694C0F">
      <w:pPr>
        <w:pStyle w:val="Definition-Field"/>
      </w:pPr>
      <w:r>
        <w:lastRenderedPageBreak/>
        <w:t xml:space="preserve">l.   </w:t>
      </w:r>
      <w:r>
        <w:rPr>
          <w:i/>
        </w:rPr>
        <w:t>The standard states that the values of the gamma attribute are defined by the XML Schema st</w:t>
      </w:r>
      <w:r>
        <w:rPr>
          <w:i/>
        </w:rPr>
        <w:t>ring datatype.</w:t>
      </w:r>
    </w:p>
    <w:p w:rsidR="00024C0A" w:rsidRDefault="00694C0F">
      <w:pPr>
        <w:pStyle w:val="Definition-Field2"/>
      </w:pPr>
      <w:r>
        <w:t>Office defines the values of this attribute with the ST_Fraction (§3.9.1, ST_Fraction) simple type.</w:t>
      </w:r>
    </w:p>
    <w:p w:rsidR="00024C0A" w:rsidRDefault="00694C0F">
      <w:pPr>
        <w:pStyle w:val="Definition-Field"/>
      </w:pPr>
      <w:r>
        <w:t xml:space="preserve">m.   </w:t>
      </w:r>
      <w:r>
        <w:rPr>
          <w:i/>
        </w:rPr>
        <w:t>The standard states that the values of the croptop attribute are defined by the XML Schema string datatype.</w:t>
      </w:r>
    </w:p>
    <w:p w:rsidR="00024C0A" w:rsidRDefault="00694C0F">
      <w:pPr>
        <w:pStyle w:val="Definition-Field2"/>
      </w:pPr>
      <w:r>
        <w:t>Office defines the values of</w:t>
      </w:r>
      <w:r>
        <w:t xml:space="preserve"> this attribute with the ST_Fraction (§3.9.1, ST_Fraction) simple type.</w:t>
      </w:r>
    </w:p>
    <w:p w:rsidR="00024C0A" w:rsidRDefault="00694C0F">
      <w:pPr>
        <w:pStyle w:val="Definition-Field"/>
      </w:pPr>
      <w:r>
        <w:t xml:space="preserve">n.   </w:t>
      </w:r>
      <w:r>
        <w:rPr>
          <w:i/>
        </w:rPr>
        <w:t>The standard states that the values of the cropbottom attribute are defined by the XML Schema string datatype.</w:t>
      </w:r>
    </w:p>
    <w:p w:rsidR="00024C0A" w:rsidRDefault="00694C0F">
      <w:pPr>
        <w:pStyle w:val="Definition-Field2"/>
      </w:pPr>
      <w:r>
        <w:t>Office defines the values of this attribute with the ST_Fraction (</w:t>
      </w:r>
      <w:r>
        <w:t>§3.9.1, ST_Fraction) simple type.</w:t>
      </w:r>
    </w:p>
    <w:p w:rsidR="00024C0A" w:rsidRDefault="00694C0F">
      <w:pPr>
        <w:pStyle w:val="Definition-Field"/>
      </w:pPr>
      <w:r>
        <w:t xml:space="preserve">o.   </w:t>
      </w:r>
      <w:r>
        <w:rPr>
          <w:i/>
        </w:rPr>
        <w:t>The standard does not specify bounds for the blacklevel attribute.</w:t>
      </w:r>
    </w:p>
    <w:p w:rsidR="00024C0A" w:rsidRDefault="00694C0F">
      <w:pPr>
        <w:pStyle w:val="Definition-Field2"/>
      </w:pPr>
      <w:r>
        <w:t>Office uses a range of [-0.5, 0.5] for the blacklevel attribute for the imagedata element.</w:t>
      </w:r>
    </w:p>
    <w:p w:rsidR="00024C0A" w:rsidRDefault="00694C0F">
      <w:pPr>
        <w:pStyle w:val="Definition-Field"/>
      </w:pPr>
      <w:r>
        <w:t xml:space="preserve">p.   </w:t>
      </w:r>
      <w:r>
        <w:rPr>
          <w:i/>
        </w:rPr>
        <w:t>The standard supports the relid attribute in all conte</w:t>
      </w:r>
      <w:r>
        <w:rPr>
          <w:i/>
        </w:rPr>
        <w:t>xts.</w:t>
      </w:r>
    </w:p>
    <w:p w:rsidR="00024C0A" w:rsidRDefault="00694C0F">
      <w:pPr>
        <w:pStyle w:val="Definition-Field2"/>
      </w:pPr>
      <w:r>
        <w:t>Office only supports the relid attribute in the SpreadsheetML context.</w:t>
      </w:r>
    </w:p>
    <w:p w:rsidR="00024C0A" w:rsidRDefault="00694C0F">
      <w:pPr>
        <w:pStyle w:val="Definition-Field"/>
      </w:pPr>
      <w:r>
        <w:t xml:space="preserve">q.   </w:t>
      </w:r>
      <w:r>
        <w:rPr>
          <w:i/>
        </w:rPr>
        <w:t>The standard supports the attribute Id in all contexts.</w:t>
      </w:r>
    </w:p>
    <w:p w:rsidR="00024C0A" w:rsidRDefault="00694C0F">
      <w:pPr>
        <w:pStyle w:val="Definition-Field2"/>
      </w:pPr>
      <w:r>
        <w:t>Office only supports the Id attribute in the WordprocessingML context.</w:t>
      </w:r>
    </w:p>
    <w:p w:rsidR="00024C0A" w:rsidRDefault="00694C0F">
      <w:pPr>
        <w:pStyle w:val="Definition-Field"/>
      </w:pPr>
      <w:r>
        <w:t xml:space="preserve">r.   </w:t>
      </w:r>
      <w:r>
        <w:rPr>
          <w:i/>
        </w:rPr>
        <w:t>The standard does not explicitly define the</w:t>
      </w:r>
      <w:r>
        <w:rPr>
          <w:i/>
        </w:rPr>
        <w:t xml:space="preserve"> interaction between the detectmouseclick attributes and the fill and imagedata child elements.</w:t>
      </w:r>
    </w:p>
    <w:p w:rsidR="00024C0A" w:rsidRDefault="00694C0F">
      <w:pPr>
        <w:pStyle w:val="Definition-Field2"/>
      </w:pPr>
      <w:r>
        <w:t>Office treats detectmouseclick as false only if the detectmouseclick attributes of both the fill and imagedata child elements are set to false.</w:t>
      </w:r>
    </w:p>
    <w:p w:rsidR="00024C0A" w:rsidRDefault="00694C0F">
      <w:pPr>
        <w:pStyle w:val="Definition-Field"/>
      </w:pPr>
      <w:r>
        <w:t xml:space="preserve">s.   </w:t>
      </w:r>
      <w:r>
        <w:rPr>
          <w:i/>
        </w:rPr>
        <w:t>The standar</w:t>
      </w:r>
      <w:r>
        <w:rPr>
          <w:i/>
        </w:rPr>
        <w:t>d states that o:href is a valid attribute.</w:t>
      </w:r>
    </w:p>
    <w:p w:rsidR="00024C0A" w:rsidRDefault="00694C0F">
      <w:pPr>
        <w:pStyle w:val="Definition-Field2"/>
      </w:pPr>
      <w:r>
        <w:t>Office does not support this attribute.</w:t>
      </w:r>
    </w:p>
    <w:p w:rsidR="00024C0A" w:rsidRDefault="00694C0F">
      <w:pPr>
        <w:pStyle w:val="Heading3"/>
      </w:pPr>
      <w:bookmarkStart w:id="3605" w:name="section_2b6707526d64462a824f275717267aa9"/>
      <w:bookmarkStart w:id="3606" w:name="_Toc12261863"/>
      <w:r>
        <w:t>Part 4 Section 19.1.2.12, line (Line)</w:t>
      </w:r>
      <w:bookmarkEnd w:id="3605"/>
      <w:bookmarkEnd w:id="3606"/>
      <w:r>
        <w:fldChar w:fldCharType="begin"/>
      </w:r>
      <w:r>
        <w:instrText xml:space="preserve"> XE "line (Line)"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024C0A" w:rsidRDefault="00694C0F">
      <w:pPr>
        <w:pStyle w:val="Definition-Field"/>
      </w:pPr>
      <w:r>
        <w:t xml:space="preserve">a.   </w:t>
      </w:r>
      <w:r>
        <w:rPr>
          <w:i/>
        </w:rPr>
        <w:t>The standard indicates that the default value for the to attribute is "10,10".</w:t>
      </w:r>
    </w:p>
    <w:p w:rsidR="00024C0A" w:rsidRDefault="00694C0F">
      <w:pPr>
        <w:pStyle w:val="Definition-Field2"/>
      </w:pPr>
      <w:r>
        <w:t xml:space="preserve">Office uses a default value of "50pt,50pt" for the to </w:t>
      </w:r>
      <w:r>
        <w:t>attribute.</w:t>
      </w:r>
    </w:p>
    <w:p w:rsidR="00024C0A" w:rsidRDefault="00694C0F">
      <w:pPr>
        <w:pStyle w:val="Definition-Field"/>
      </w:pPr>
      <w:r>
        <w:t xml:space="preserve">b.   </w:t>
      </w:r>
      <w:r>
        <w:rPr>
          <w:i/>
        </w:rPr>
        <w:t>The standard places no restrictions on the value of the spt attribute.</w:t>
      </w:r>
    </w:p>
    <w:p w:rsidR="00024C0A" w:rsidRDefault="00694C0F">
      <w:pPr>
        <w:pStyle w:val="Definition-Field2"/>
      </w:pPr>
      <w:r>
        <w:t xml:space="preserve">Office requires that the spt attribute on a line element have a value of 20. It is an error to specify this attribute as anything other than the default value, except </w:t>
      </w:r>
      <w:r>
        <w:t>for the shape and shapetype elements, which can handle any valid spt value.</w:t>
      </w:r>
    </w:p>
    <w:p w:rsidR="00024C0A" w:rsidRDefault="00694C0F">
      <w:pPr>
        <w:pStyle w:val="Definition-Field"/>
      </w:pPr>
      <w:r>
        <w:t xml:space="preserve">c.   </w:t>
      </w:r>
      <w:r>
        <w:rPr>
          <w:i/>
        </w:rPr>
        <w:t>The standard states that chromakey and opacity are valid attributes on the line element.</w:t>
      </w:r>
    </w:p>
    <w:p w:rsidR="00024C0A" w:rsidRDefault="00694C0F">
      <w:pPr>
        <w:pStyle w:val="Definition-Field2"/>
      </w:pPr>
      <w:r>
        <w:t>Office does not support these attributes on this element.</w:t>
      </w:r>
    </w:p>
    <w:p w:rsidR="00024C0A" w:rsidRDefault="00694C0F">
      <w:pPr>
        <w:pStyle w:val="Definition-Field"/>
      </w:pPr>
      <w:r>
        <w:t xml:space="preserve">d.   </w:t>
      </w:r>
      <w:r>
        <w:rPr>
          <w:i/>
        </w:rPr>
        <w:t>The standard states tha</w:t>
      </w:r>
      <w:r>
        <w:rPr>
          <w:i/>
        </w:rPr>
        <w:t>t the default value of the spt attribute is 0.</w:t>
      </w:r>
    </w:p>
    <w:p w:rsidR="00024C0A" w:rsidRDefault="00694C0F">
      <w:pPr>
        <w:pStyle w:val="Definition-Field2"/>
      </w:pPr>
      <w:r>
        <w:lastRenderedPageBreak/>
        <w:t>Office uses a default value of 20 for the line element. It is an error to specify this attribute as anything other than the default value, except for the shape and shapetype elements which can handle any valid</w:t>
      </w:r>
      <w:r>
        <w:t xml:space="preserve"> spt value.</w:t>
      </w:r>
    </w:p>
    <w:p w:rsidR="00024C0A" w:rsidRDefault="00694C0F">
      <w:pPr>
        <w:pStyle w:val="Definition-Field"/>
      </w:pPr>
      <w:r>
        <w:t xml:space="preserve">e.   </w:t>
      </w:r>
      <w:r>
        <w:rPr>
          <w:i/>
        </w:rPr>
        <w:t>The standard places no restrictions on when the coordorigin and coordsize attributes are preserved on the line element.</w:t>
      </w:r>
    </w:p>
    <w:p w:rsidR="00024C0A" w:rsidRDefault="00694C0F">
      <w:pPr>
        <w:pStyle w:val="Definition-Field2"/>
      </w:pPr>
      <w:r>
        <w:t>Office only preserves these attributes when this element has at least one of the following child elements:  a path with</w:t>
      </w:r>
      <w:r>
        <w:t xml:space="preserve"> connection points specified in its connectlocs attribute; a path with a textbox specified in its textboxrect attribute; or handles.</w:t>
      </w:r>
    </w:p>
    <w:p w:rsidR="00024C0A" w:rsidRDefault="00694C0F">
      <w:pPr>
        <w:pStyle w:val="Definition-Field"/>
      </w:pPr>
      <w:r>
        <w:t xml:space="preserve">f.   </w:t>
      </w:r>
      <w:r>
        <w:rPr>
          <w:i/>
        </w:rPr>
        <w:t>The standard does not mention the gfxdata attribute.</w:t>
      </w:r>
    </w:p>
    <w:p w:rsidR="00024C0A" w:rsidRDefault="00694C0F">
      <w:pPr>
        <w:pStyle w:val="Definition-Field2"/>
      </w:pPr>
      <w:r>
        <w:t>Office uses an gfxdata attribute. The definition is the same as t</w:t>
      </w:r>
      <w:r>
        <w:t>he gfxdata attribute defined in Section 14.1.2.19.</w:t>
      </w:r>
    </w:p>
    <w:p w:rsidR="00024C0A" w:rsidRDefault="00694C0F">
      <w:pPr>
        <w:pStyle w:val="Heading3"/>
      </w:pPr>
      <w:bookmarkStart w:id="3607" w:name="section_bd6bc36a9e8f489dafb305827fbf0b14"/>
      <w:bookmarkStart w:id="3608" w:name="_Toc12261864"/>
      <w:r>
        <w:t>Part 4 Section 19.1.2.13, oval (Oval)</w:t>
      </w:r>
      <w:bookmarkEnd w:id="3607"/>
      <w:bookmarkEnd w:id="3608"/>
      <w:r>
        <w:fldChar w:fldCharType="begin"/>
      </w:r>
      <w:r>
        <w:instrText xml:space="preserve"> XE "oval (Oval)"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024C0A" w:rsidRDefault="00694C0F">
      <w:pPr>
        <w:pStyle w:val="Definition-Field"/>
      </w:pPr>
      <w:r>
        <w:t xml:space="preserve">a.   </w:t>
      </w:r>
      <w:r>
        <w:rPr>
          <w:i/>
        </w:rPr>
        <w:t>The standard places no restrictions on the value of the spt attribute.</w:t>
      </w:r>
    </w:p>
    <w:p w:rsidR="00024C0A" w:rsidRDefault="00694C0F">
      <w:pPr>
        <w:pStyle w:val="Definition-Field2"/>
      </w:pPr>
      <w:r>
        <w:t>Office requires that the spt attribute on an oval element have a value of 3. It is an error to</w:t>
      </w:r>
      <w:r>
        <w:t xml:space="preserve"> specify this attribute as anything other than the default value, except for the shape and shapetype elements, which can handle any valid spt value.</w:t>
      </w:r>
    </w:p>
    <w:p w:rsidR="00024C0A" w:rsidRDefault="00694C0F">
      <w:pPr>
        <w:pStyle w:val="Definition-Field"/>
      </w:pPr>
      <w:r>
        <w:t xml:space="preserve">b.   </w:t>
      </w:r>
      <w:r>
        <w:rPr>
          <w:i/>
        </w:rPr>
        <w:t>The standard states that chromakey and opacity are valid attributes on the oval element.</w:t>
      </w:r>
    </w:p>
    <w:p w:rsidR="00024C0A" w:rsidRDefault="00694C0F">
      <w:pPr>
        <w:pStyle w:val="Definition-Field2"/>
      </w:pPr>
      <w:r>
        <w:t>Office does n</w:t>
      </w:r>
      <w:r>
        <w:t>ot support these attributes on this element.</w:t>
      </w:r>
    </w:p>
    <w:p w:rsidR="00024C0A" w:rsidRDefault="00694C0F">
      <w:pPr>
        <w:pStyle w:val="Definition-Field"/>
      </w:pPr>
      <w:r>
        <w:t xml:space="preserve">c.   </w:t>
      </w:r>
      <w:r>
        <w:rPr>
          <w:i/>
        </w:rPr>
        <w:t>The standard states that the default value of the spt attribute is 0.</w:t>
      </w:r>
    </w:p>
    <w:p w:rsidR="00024C0A" w:rsidRDefault="00694C0F">
      <w:pPr>
        <w:pStyle w:val="Definition-Field2"/>
      </w:pPr>
      <w:r>
        <w:t>Office uses a default value of 3 for the oval element. It is an error to specify this attribute as anything other than the default value</w:t>
      </w:r>
      <w:r>
        <w:t>, except for the shape and shapetype elements, which can handle any valid spt value.</w:t>
      </w:r>
    </w:p>
    <w:p w:rsidR="00024C0A" w:rsidRDefault="00694C0F">
      <w:pPr>
        <w:pStyle w:val="Definition-Field"/>
      </w:pPr>
      <w:r>
        <w:t xml:space="preserve">d.   </w:t>
      </w:r>
      <w:r>
        <w:rPr>
          <w:i/>
        </w:rPr>
        <w:t>The standard places no restrictions on when the coordorigin and coordsize attributes are preserved on the oval element.</w:t>
      </w:r>
    </w:p>
    <w:p w:rsidR="00024C0A" w:rsidRDefault="00694C0F">
      <w:pPr>
        <w:pStyle w:val="Definition-Field2"/>
      </w:pPr>
      <w:r>
        <w:t>Office only preserves these attributes when th</w:t>
      </w:r>
      <w:r>
        <w:t>is element has at least one of the following child elements:  a path with connection points specified in its connectlocs attribute; a path with a textbox specified in its textboxrect attribute; or handles.</w:t>
      </w:r>
    </w:p>
    <w:p w:rsidR="00024C0A" w:rsidRDefault="00694C0F">
      <w:pPr>
        <w:pStyle w:val="Definition-Field"/>
      </w:pPr>
      <w:r>
        <w:t xml:space="preserve">e.   </w:t>
      </w:r>
      <w:r>
        <w:rPr>
          <w:i/>
        </w:rPr>
        <w:t>The standard does not mention the gfxdata att</w:t>
      </w:r>
      <w:r>
        <w:rPr>
          <w:i/>
        </w:rPr>
        <w:t>ribute.</w:t>
      </w:r>
    </w:p>
    <w:p w:rsidR="00024C0A" w:rsidRDefault="00694C0F">
      <w:pPr>
        <w:pStyle w:val="Definition-Field2"/>
      </w:pPr>
      <w:r>
        <w:t>Office uses an gfxdata attribute. The definition is the same as the gfxdata attribute defined in Section 14.1.2.19.</w:t>
      </w:r>
    </w:p>
    <w:p w:rsidR="00024C0A" w:rsidRDefault="00694C0F">
      <w:pPr>
        <w:pStyle w:val="Heading3"/>
      </w:pPr>
      <w:bookmarkStart w:id="3609" w:name="section_eaa61e5c76e94291aac648b1618eb395"/>
      <w:bookmarkStart w:id="3610" w:name="_Toc12261865"/>
      <w:r>
        <w:t>Part 4 Section 19.1.2.14, path (Shape Path)</w:t>
      </w:r>
      <w:bookmarkEnd w:id="3609"/>
      <w:bookmarkEnd w:id="3610"/>
      <w:r>
        <w:fldChar w:fldCharType="begin"/>
      </w:r>
      <w:r>
        <w:instrText xml:space="preserve"> XE "path (Shape Path)" </w:instrText>
      </w:r>
      <w:r>
        <w:fldChar w:fldCharType="end"/>
      </w:r>
    </w:p>
    <w:p w:rsidR="00024C0A" w:rsidRDefault="00694C0F">
      <w:pPr>
        <w:pStyle w:val="Definition-Field2"/>
      </w:pPr>
      <w:r>
        <w:rPr>
          <w:i/>
        </w:rPr>
        <w:t>For additional notes that apply to this portion of the standar</w:t>
      </w:r>
      <w:r>
        <w:rPr>
          <w:i/>
        </w:rPr>
        <w:t xml:space="preserve">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w:t>
        </w:r>
        <w:r>
          <w:rPr>
            <w:rStyle w:val="Hyperlink"/>
          </w:rPr>
          <w:t>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024C0A" w:rsidRDefault="00694C0F">
      <w:pPr>
        <w:pStyle w:val="Definition-Field"/>
      </w:pPr>
      <w:r>
        <w:t xml:space="preserve">a.   </w:t>
      </w:r>
      <w:r>
        <w:rPr>
          <w:i/>
        </w:rPr>
        <w:t>The standard does not define the coordinate space for the p</w:t>
      </w:r>
      <w:r>
        <w:rPr>
          <w:i/>
        </w:rPr>
        <w:t>en positions.</w:t>
      </w:r>
    </w:p>
    <w:p w:rsidR="00024C0A" w:rsidRDefault="00694C0F">
      <w:pPr>
        <w:pStyle w:val="Definition-Field2"/>
      </w:pPr>
      <w:r>
        <w:t>In Office, the coordinate space for pen movements is defined by the shape's coordinate space rectangle, as given by the coordsize and coordorigin attributes.</w:t>
      </w:r>
    </w:p>
    <w:p w:rsidR="00024C0A" w:rsidRDefault="00694C0F">
      <w:pPr>
        <w:pStyle w:val="Definition-Field"/>
      </w:pPr>
      <w:r>
        <w:lastRenderedPageBreak/>
        <w:t xml:space="preserve">b.   </w:t>
      </w:r>
      <w:r>
        <w:rPr>
          <w:i/>
        </w:rPr>
        <w:t>The standard does not define units for the angle parameters for ellipses define</w:t>
      </w:r>
      <w:r>
        <w:rPr>
          <w:i/>
        </w:rPr>
        <w:t>d using the ae property of the v attribute.</w:t>
      </w:r>
    </w:p>
    <w:p w:rsidR="00024C0A" w:rsidRDefault="00694C0F">
      <w:pPr>
        <w:pStyle w:val="Definition-Field2"/>
      </w:pPr>
      <w:r>
        <w:t>Office uses units of 1/65536 of a degree for the angle parameters for ellipses defined using the ae property of the v attribute.</w:t>
      </w:r>
    </w:p>
    <w:p w:rsidR="00024C0A" w:rsidRDefault="00694C0F">
      <w:pPr>
        <w:pStyle w:val="Definition-Field"/>
      </w:pPr>
      <w:r>
        <w:t xml:space="preserve">c.   </w:t>
      </w:r>
      <w:r>
        <w:rPr>
          <w:i/>
        </w:rPr>
        <w:t>The standard defines the properties for the v attribute.</w:t>
      </w:r>
    </w:p>
    <w:p w:rsidR="00024C0A" w:rsidRDefault="00694C0F">
      <w:r>
        <w:t xml:space="preserve">Office uses </w:t>
      </w:r>
      <w:r>
        <w:t>additional commands to indicate desired application behavior when the object is edited by the user.  An application that does not understand these commands may ignore, rewrite or remove them.</w:t>
      </w:r>
    </w:p>
    <w:p w:rsidR="00024C0A" w:rsidRDefault="00694C0F">
      <w:r>
        <w:t>The following commands describe the desired application behavior</w:t>
      </w:r>
      <w:r>
        <w:t xml:space="preserve"> for all points that follow the command during operations that move the object’s points or associated line segments.  These behaviors apply to vertices in the path (end points, not associated control points) depending on whether the associated line segment</w:t>
      </w:r>
      <w:r>
        <w:t xml:space="preserve"> is a line or a curve.</w:t>
      </w:r>
    </w:p>
    <w:tbl>
      <w:tblPr>
        <w:tblStyle w:val="Table-ShadedHeader"/>
        <w:tblW w:w="0" w:type="auto"/>
        <w:tblLook w:val="04A0" w:firstRow="1" w:lastRow="0" w:firstColumn="1" w:lastColumn="0" w:noHBand="0" w:noVBand="1"/>
      </w:tblPr>
      <w:tblGrid>
        <w:gridCol w:w="1127"/>
        <w:gridCol w:w="1571"/>
        <w:gridCol w:w="1270"/>
        <w:gridCol w:w="1666"/>
        <w:gridCol w:w="1887"/>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Command</w:t>
            </w:r>
          </w:p>
        </w:tc>
        <w:tc>
          <w:tcPr>
            <w:tcW w:w="0" w:type="auto"/>
            <w:vAlign w:val="center"/>
          </w:tcPr>
          <w:p w:rsidR="00024C0A" w:rsidRDefault="00694C0F">
            <w:pPr>
              <w:pStyle w:val="TableHeaderText"/>
            </w:pPr>
            <w:r>
              <w:t>Name</w:t>
            </w:r>
          </w:p>
        </w:tc>
        <w:tc>
          <w:tcPr>
            <w:tcW w:w="0" w:type="auto"/>
            <w:vAlign w:val="center"/>
          </w:tcPr>
          <w:p w:rsidR="00024C0A" w:rsidRDefault="00694C0F">
            <w:pPr>
              <w:pStyle w:val="TableHeaderText"/>
            </w:pPr>
            <w:r>
              <w:t>Parameters</w:t>
            </w:r>
          </w:p>
        </w:tc>
        <w:tc>
          <w:tcPr>
            <w:tcW w:w="0" w:type="auto"/>
            <w:gridSpan w:val="2"/>
            <w:vAlign w:val="center"/>
          </w:tcPr>
          <w:p w:rsidR="00024C0A" w:rsidRDefault="00694C0F">
            <w:pPr>
              <w:pStyle w:val="TableHeaderText"/>
            </w:pPr>
            <w:r>
              <w:t>Description</w:t>
            </w:r>
          </w:p>
        </w:tc>
      </w:tr>
      <w:tr w:rsidR="00024C0A" w:rsidTr="00024C0A">
        <w:tc>
          <w:tcPr>
            <w:tcW w:w="0" w:type="auto"/>
            <w:vAlign w:val="center"/>
          </w:tcPr>
          <w:p w:rsidR="00024C0A" w:rsidRDefault="00024C0A">
            <w:pPr>
              <w:pStyle w:val="TableBodyText"/>
            </w:pPr>
          </w:p>
        </w:tc>
        <w:tc>
          <w:tcPr>
            <w:tcW w:w="0" w:type="auto"/>
            <w:vAlign w:val="center"/>
          </w:tcPr>
          <w:p w:rsidR="00024C0A" w:rsidRDefault="00024C0A">
            <w:pPr>
              <w:pStyle w:val="TableBodyText"/>
            </w:pPr>
          </w:p>
        </w:tc>
        <w:tc>
          <w:tcPr>
            <w:tcW w:w="0" w:type="auto"/>
            <w:vAlign w:val="center"/>
          </w:tcPr>
          <w:p w:rsidR="00024C0A" w:rsidRDefault="00024C0A">
            <w:pPr>
              <w:pStyle w:val="TableBodyText"/>
            </w:pPr>
          </w:p>
        </w:tc>
        <w:tc>
          <w:tcPr>
            <w:tcW w:w="0" w:type="auto"/>
            <w:vAlign w:val="center"/>
          </w:tcPr>
          <w:p w:rsidR="00024C0A" w:rsidRDefault="00694C0F">
            <w:pPr>
              <w:pStyle w:val="TableBodyText"/>
            </w:pPr>
            <w:r>
              <w:rPr>
                <w:b/>
              </w:rPr>
              <w:t>Vertex behavior</w:t>
            </w:r>
          </w:p>
        </w:tc>
        <w:tc>
          <w:tcPr>
            <w:tcW w:w="0" w:type="auto"/>
            <w:vAlign w:val="center"/>
          </w:tcPr>
          <w:p w:rsidR="00024C0A" w:rsidRDefault="00694C0F">
            <w:pPr>
              <w:pStyle w:val="TableBodyText"/>
            </w:pPr>
            <w:r>
              <w:rPr>
                <w:b/>
              </w:rPr>
              <w:t>Line segment type</w:t>
            </w:r>
          </w:p>
        </w:tc>
      </w:tr>
      <w:tr w:rsidR="00024C0A" w:rsidTr="00024C0A">
        <w:tc>
          <w:tcPr>
            <w:tcW w:w="0" w:type="auto"/>
            <w:vAlign w:val="center"/>
          </w:tcPr>
          <w:p w:rsidR="00024C0A" w:rsidRDefault="00694C0F">
            <w:pPr>
              <w:pStyle w:val="TableBodyText"/>
            </w:pPr>
            <w:r>
              <w:rPr>
                <w:i/>
              </w:rPr>
              <w:t>Ha</w:t>
            </w:r>
          </w:p>
        </w:tc>
        <w:tc>
          <w:tcPr>
            <w:tcW w:w="0" w:type="auto"/>
            <w:vAlign w:val="center"/>
          </w:tcPr>
          <w:p w:rsidR="00024C0A" w:rsidRDefault="00694C0F">
            <w:pPr>
              <w:pStyle w:val="TableBodyText"/>
            </w:pPr>
            <w:r>
              <w:t>AutoLine</w:t>
            </w:r>
          </w:p>
        </w:tc>
        <w:tc>
          <w:tcPr>
            <w:tcW w:w="0" w:type="auto"/>
            <w:vAlign w:val="center"/>
          </w:tcPr>
          <w:p w:rsidR="00024C0A" w:rsidRDefault="00694C0F">
            <w:pPr>
              <w:pStyle w:val="TableBodyText"/>
            </w:pPr>
            <w:r>
              <w:t>0</w:t>
            </w:r>
          </w:p>
        </w:tc>
        <w:tc>
          <w:tcPr>
            <w:tcW w:w="0" w:type="auto"/>
            <w:vAlign w:val="center"/>
          </w:tcPr>
          <w:p w:rsidR="00024C0A" w:rsidRDefault="00694C0F">
            <w:pPr>
              <w:pStyle w:val="TableBodyText"/>
            </w:pPr>
            <w:r>
              <w:t>auto</w:t>
            </w:r>
          </w:p>
        </w:tc>
        <w:tc>
          <w:tcPr>
            <w:tcW w:w="0" w:type="auto"/>
            <w:vAlign w:val="center"/>
          </w:tcPr>
          <w:p w:rsidR="00024C0A" w:rsidRDefault="00694C0F">
            <w:pPr>
              <w:pStyle w:val="TableBodyText"/>
            </w:pPr>
            <w:r>
              <w:t>Line</w:t>
            </w:r>
          </w:p>
        </w:tc>
      </w:tr>
      <w:tr w:rsidR="00024C0A" w:rsidTr="00024C0A">
        <w:tc>
          <w:tcPr>
            <w:tcW w:w="0" w:type="auto"/>
            <w:vAlign w:val="center"/>
          </w:tcPr>
          <w:p w:rsidR="00024C0A" w:rsidRDefault="00694C0F">
            <w:pPr>
              <w:pStyle w:val="TableBodyText"/>
            </w:pPr>
            <w:r>
              <w:rPr>
                <w:i/>
              </w:rPr>
              <w:t>Hb</w:t>
            </w:r>
          </w:p>
        </w:tc>
        <w:tc>
          <w:tcPr>
            <w:tcW w:w="0" w:type="auto"/>
            <w:vAlign w:val="center"/>
          </w:tcPr>
          <w:p w:rsidR="00024C0A" w:rsidRDefault="00694C0F">
            <w:pPr>
              <w:pStyle w:val="TableBodyText"/>
            </w:pPr>
            <w:r>
              <w:t>AutoCurve</w:t>
            </w:r>
          </w:p>
        </w:tc>
        <w:tc>
          <w:tcPr>
            <w:tcW w:w="0" w:type="auto"/>
            <w:vAlign w:val="center"/>
          </w:tcPr>
          <w:p w:rsidR="00024C0A" w:rsidRDefault="00694C0F">
            <w:pPr>
              <w:pStyle w:val="TableBodyText"/>
            </w:pPr>
            <w:r>
              <w:t>0</w:t>
            </w:r>
          </w:p>
        </w:tc>
        <w:tc>
          <w:tcPr>
            <w:tcW w:w="0" w:type="auto"/>
            <w:vAlign w:val="center"/>
          </w:tcPr>
          <w:p w:rsidR="00024C0A" w:rsidRDefault="00694C0F">
            <w:pPr>
              <w:pStyle w:val="TableBodyText"/>
            </w:pPr>
            <w:r>
              <w:t>auto</w:t>
            </w:r>
          </w:p>
        </w:tc>
        <w:tc>
          <w:tcPr>
            <w:tcW w:w="0" w:type="auto"/>
            <w:vAlign w:val="center"/>
          </w:tcPr>
          <w:p w:rsidR="00024C0A" w:rsidRDefault="00694C0F">
            <w:pPr>
              <w:pStyle w:val="TableBodyText"/>
            </w:pPr>
            <w:r>
              <w:t>curve</w:t>
            </w:r>
          </w:p>
        </w:tc>
      </w:tr>
      <w:tr w:rsidR="00024C0A" w:rsidTr="00024C0A">
        <w:tc>
          <w:tcPr>
            <w:tcW w:w="0" w:type="auto"/>
            <w:vAlign w:val="center"/>
          </w:tcPr>
          <w:p w:rsidR="00024C0A" w:rsidRDefault="00694C0F">
            <w:pPr>
              <w:pStyle w:val="TableBodyText"/>
            </w:pPr>
            <w:r>
              <w:rPr>
                <w:i/>
              </w:rPr>
              <w:t>Hc</w:t>
            </w:r>
          </w:p>
        </w:tc>
        <w:tc>
          <w:tcPr>
            <w:tcW w:w="0" w:type="auto"/>
            <w:vAlign w:val="center"/>
          </w:tcPr>
          <w:p w:rsidR="00024C0A" w:rsidRDefault="00694C0F">
            <w:pPr>
              <w:pStyle w:val="TableBodyText"/>
            </w:pPr>
            <w:r>
              <w:t>CornerLine</w:t>
            </w:r>
          </w:p>
        </w:tc>
        <w:tc>
          <w:tcPr>
            <w:tcW w:w="0" w:type="auto"/>
            <w:vAlign w:val="center"/>
          </w:tcPr>
          <w:p w:rsidR="00024C0A" w:rsidRDefault="00694C0F">
            <w:pPr>
              <w:pStyle w:val="TableBodyText"/>
            </w:pPr>
            <w:r>
              <w:t>0</w:t>
            </w:r>
          </w:p>
        </w:tc>
        <w:tc>
          <w:tcPr>
            <w:tcW w:w="0" w:type="auto"/>
            <w:vAlign w:val="center"/>
          </w:tcPr>
          <w:p w:rsidR="00024C0A" w:rsidRDefault="00694C0F">
            <w:pPr>
              <w:pStyle w:val="TableBodyText"/>
            </w:pPr>
            <w:r>
              <w:t>corner</w:t>
            </w:r>
          </w:p>
        </w:tc>
        <w:tc>
          <w:tcPr>
            <w:tcW w:w="0" w:type="auto"/>
            <w:vAlign w:val="center"/>
          </w:tcPr>
          <w:p w:rsidR="00024C0A" w:rsidRDefault="00694C0F">
            <w:pPr>
              <w:pStyle w:val="TableBodyText"/>
            </w:pPr>
            <w:r>
              <w:t>line</w:t>
            </w:r>
          </w:p>
        </w:tc>
      </w:tr>
      <w:tr w:rsidR="00024C0A" w:rsidTr="00024C0A">
        <w:tc>
          <w:tcPr>
            <w:tcW w:w="0" w:type="auto"/>
            <w:vAlign w:val="center"/>
          </w:tcPr>
          <w:p w:rsidR="00024C0A" w:rsidRDefault="00694C0F">
            <w:pPr>
              <w:pStyle w:val="TableBodyText"/>
            </w:pPr>
            <w:r>
              <w:rPr>
                <w:i/>
              </w:rPr>
              <w:t>Hd</w:t>
            </w:r>
          </w:p>
        </w:tc>
        <w:tc>
          <w:tcPr>
            <w:tcW w:w="0" w:type="auto"/>
            <w:vAlign w:val="center"/>
          </w:tcPr>
          <w:p w:rsidR="00024C0A" w:rsidRDefault="00694C0F">
            <w:pPr>
              <w:pStyle w:val="TableBodyText"/>
            </w:pPr>
            <w:r>
              <w:t>CornerCurve</w:t>
            </w:r>
          </w:p>
        </w:tc>
        <w:tc>
          <w:tcPr>
            <w:tcW w:w="0" w:type="auto"/>
            <w:vAlign w:val="center"/>
          </w:tcPr>
          <w:p w:rsidR="00024C0A" w:rsidRDefault="00694C0F">
            <w:pPr>
              <w:pStyle w:val="TableBodyText"/>
            </w:pPr>
            <w:r>
              <w:t>0</w:t>
            </w:r>
          </w:p>
        </w:tc>
        <w:tc>
          <w:tcPr>
            <w:tcW w:w="0" w:type="auto"/>
            <w:vAlign w:val="center"/>
          </w:tcPr>
          <w:p w:rsidR="00024C0A" w:rsidRDefault="00694C0F">
            <w:pPr>
              <w:pStyle w:val="TableBodyText"/>
            </w:pPr>
            <w:r>
              <w:t>corner</w:t>
            </w:r>
          </w:p>
        </w:tc>
        <w:tc>
          <w:tcPr>
            <w:tcW w:w="0" w:type="auto"/>
            <w:vAlign w:val="center"/>
          </w:tcPr>
          <w:p w:rsidR="00024C0A" w:rsidRDefault="00694C0F">
            <w:pPr>
              <w:pStyle w:val="TableBodyText"/>
            </w:pPr>
            <w:r>
              <w:t>curve</w:t>
            </w:r>
          </w:p>
        </w:tc>
      </w:tr>
      <w:tr w:rsidR="00024C0A" w:rsidTr="00024C0A">
        <w:tc>
          <w:tcPr>
            <w:tcW w:w="0" w:type="auto"/>
            <w:vAlign w:val="center"/>
          </w:tcPr>
          <w:p w:rsidR="00024C0A" w:rsidRDefault="00694C0F">
            <w:pPr>
              <w:pStyle w:val="TableBodyText"/>
            </w:pPr>
            <w:r>
              <w:rPr>
                <w:i/>
              </w:rPr>
              <w:t>He</w:t>
            </w:r>
          </w:p>
        </w:tc>
        <w:tc>
          <w:tcPr>
            <w:tcW w:w="0" w:type="auto"/>
            <w:vAlign w:val="center"/>
          </w:tcPr>
          <w:p w:rsidR="00024C0A" w:rsidRDefault="00694C0F">
            <w:pPr>
              <w:pStyle w:val="TableBodyText"/>
            </w:pPr>
            <w:r>
              <w:t>SmoothLine</w:t>
            </w:r>
          </w:p>
        </w:tc>
        <w:tc>
          <w:tcPr>
            <w:tcW w:w="0" w:type="auto"/>
            <w:vAlign w:val="center"/>
          </w:tcPr>
          <w:p w:rsidR="00024C0A" w:rsidRDefault="00694C0F">
            <w:pPr>
              <w:pStyle w:val="TableBodyText"/>
            </w:pPr>
            <w:r>
              <w:t>0</w:t>
            </w:r>
          </w:p>
        </w:tc>
        <w:tc>
          <w:tcPr>
            <w:tcW w:w="0" w:type="auto"/>
            <w:vAlign w:val="center"/>
          </w:tcPr>
          <w:p w:rsidR="00024C0A" w:rsidRDefault="00694C0F">
            <w:pPr>
              <w:pStyle w:val="TableBodyText"/>
            </w:pPr>
            <w:r>
              <w:t>smooth</w:t>
            </w:r>
          </w:p>
        </w:tc>
        <w:tc>
          <w:tcPr>
            <w:tcW w:w="0" w:type="auto"/>
            <w:vAlign w:val="center"/>
          </w:tcPr>
          <w:p w:rsidR="00024C0A" w:rsidRDefault="00694C0F">
            <w:pPr>
              <w:pStyle w:val="TableBodyText"/>
            </w:pPr>
            <w:r>
              <w:t>line</w:t>
            </w:r>
          </w:p>
        </w:tc>
      </w:tr>
      <w:tr w:rsidR="00024C0A" w:rsidTr="00024C0A">
        <w:tc>
          <w:tcPr>
            <w:tcW w:w="0" w:type="auto"/>
            <w:vAlign w:val="center"/>
          </w:tcPr>
          <w:p w:rsidR="00024C0A" w:rsidRDefault="00694C0F">
            <w:pPr>
              <w:pStyle w:val="TableBodyText"/>
            </w:pPr>
            <w:r>
              <w:rPr>
                <w:i/>
              </w:rPr>
              <w:t>Hf</w:t>
            </w:r>
          </w:p>
        </w:tc>
        <w:tc>
          <w:tcPr>
            <w:tcW w:w="0" w:type="auto"/>
            <w:vAlign w:val="center"/>
          </w:tcPr>
          <w:p w:rsidR="00024C0A" w:rsidRDefault="00694C0F">
            <w:pPr>
              <w:pStyle w:val="TableBodyText"/>
            </w:pPr>
            <w:r>
              <w:t>SmoothCurve</w:t>
            </w:r>
          </w:p>
        </w:tc>
        <w:tc>
          <w:tcPr>
            <w:tcW w:w="0" w:type="auto"/>
            <w:vAlign w:val="center"/>
          </w:tcPr>
          <w:p w:rsidR="00024C0A" w:rsidRDefault="00694C0F">
            <w:pPr>
              <w:pStyle w:val="TableBodyText"/>
            </w:pPr>
            <w:r>
              <w:t>0</w:t>
            </w:r>
          </w:p>
        </w:tc>
        <w:tc>
          <w:tcPr>
            <w:tcW w:w="0" w:type="auto"/>
            <w:vAlign w:val="center"/>
          </w:tcPr>
          <w:p w:rsidR="00024C0A" w:rsidRDefault="00694C0F">
            <w:pPr>
              <w:pStyle w:val="TableBodyText"/>
            </w:pPr>
            <w:r>
              <w:t>smooth</w:t>
            </w:r>
          </w:p>
        </w:tc>
        <w:tc>
          <w:tcPr>
            <w:tcW w:w="0" w:type="auto"/>
            <w:vAlign w:val="center"/>
          </w:tcPr>
          <w:p w:rsidR="00024C0A" w:rsidRDefault="00694C0F">
            <w:pPr>
              <w:pStyle w:val="TableBodyText"/>
            </w:pPr>
            <w:r>
              <w:t>curve</w:t>
            </w:r>
          </w:p>
        </w:tc>
      </w:tr>
      <w:tr w:rsidR="00024C0A" w:rsidTr="00024C0A">
        <w:tc>
          <w:tcPr>
            <w:tcW w:w="0" w:type="auto"/>
            <w:vAlign w:val="center"/>
          </w:tcPr>
          <w:p w:rsidR="00024C0A" w:rsidRDefault="00694C0F">
            <w:pPr>
              <w:pStyle w:val="TableBodyText"/>
            </w:pPr>
            <w:r>
              <w:rPr>
                <w:i/>
              </w:rPr>
              <w:t>Hg</w:t>
            </w:r>
          </w:p>
        </w:tc>
        <w:tc>
          <w:tcPr>
            <w:tcW w:w="0" w:type="auto"/>
            <w:vAlign w:val="center"/>
          </w:tcPr>
          <w:p w:rsidR="00024C0A" w:rsidRDefault="00694C0F">
            <w:pPr>
              <w:pStyle w:val="TableBodyText"/>
            </w:pPr>
            <w:r>
              <w:t>SymmetricLine</w:t>
            </w:r>
          </w:p>
        </w:tc>
        <w:tc>
          <w:tcPr>
            <w:tcW w:w="0" w:type="auto"/>
            <w:vAlign w:val="center"/>
          </w:tcPr>
          <w:p w:rsidR="00024C0A" w:rsidRDefault="00694C0F">
            <w:pPr>
              <w:pStyle w:val="TableBodyText"/>
            </w:pPr>
            <w:r>
              <w:t>0</w:t>
            </w:r>
          </w:p>
        </w:tc>
        <w:tc>
          <w:tcPr>
            <w:tcW w:w="0" w:type="auto"/>
            <w:vAlign w:val="center"/>
          </w:tcPr>
          <w:p w:rsidR="00024C0A" w:rsidRDefault="00694C0F">
            <w:pPr>
              <w:pStyle w:val="TableBodyText"/>
            </w:pPr>
            <w:r>
              <w:t>symmetric</w:t>
            </w:r>
          </w:p>
        </w:tc>
        <w:tc>
          <w:tcPr>
            <w:tcW w:w="0" w:type="auto"/>
            <w:vAlign w:val="center"/>
          </w:tcPr>
          <w:p w:rsidR="00024C0A" w:rsidRDefault="00694C0F">
            <w:pPr>
              <w:pStyle w:val="TableBodyText"/>
            </w:pPr>
            <w:r>
              <w:t>line</w:t>
            </w:r>
          </w:p>
        </w:tc>
      </w:tr>
      <w:tr w:rsidR="00024C0A" w:rsidTr="00024C0A">
        <w:tc>
          <w:tcPr>
            <w:tcW w:w="0" w:type="auto"/>
            <w:vAlign w:val="center"/>
          </w:tcPr>
          <w:p w:rsidR="00024C0A" w:rsidRDefault="00694C0F">
            <w:pPr>
              <w:pStyle w:val="TableBodyText"/>
            </w:pPr>
            <w:r>
              <w:rPr>
                <w:i/>
              </w:rPr>
              <w:t>Hh</w:t>
            </w:r>
          </w:p>
        </w:tc>
        <w:tc>
          <w:tcPr>
            <w:tcW w:w="0" w:type="auto"/>
            <w:vAlign w:val="center"/>
          </w:tcPr>
          <w:p w:rsidR="00024C0A" w:rsidRDefault="00694C0F">
            <w:pPr>
              <w:pStyle w:val="TableBodyText"/>
            </w:pPr>
            <w:r>
              <w:t>SymmetricCurve</w:t>
            </w:r>
          </w:p>
        </w:tc>
        <w:tc>
          <w:tcPr>
            <w:tcW w:w="0" w:type="auto"/>
            <w:vAlign w:val="center"/>
          </w:tcPr>
          <w:p w:rsidR="00024C0A" w:rsidRDefault="00694C0F">
            <w:pPr>
              <w:pStyle w:val="TableBodyText"/>
            </w:pPr>
            <w:r>
              <w:t>0</w:t>
            </w:r>
          </w:p>
        </w:tc>
        <w:tc>
          <w:tcPr>
            <w:tcW w:w="0" w:type="auto"/>
            <w:vAlign w:val="center"/>
          </w:tcPr>
          <w:p w:rsidR="00024C0A" w:rsidRDefault="00694C0F">
            <w:pPr>
              <w:pStyle w:val="TableBodyText"/>
            </w:pPr>
            <w:r>
              <w:t>symmetric</w:t>
            </w:r>
          </w:p>
        </w:tc>
        <w:tc>
          <w:tcPr>
            <w:tcW w:w="0" w:type="auto"/>
            <w:vAlign w:val="center"/>
          </w:tcPr>
          <w:p w:rsidR="00024C0A" w:rsidRDefault="00694C0F">
            <w:pPr>
              <w:pStyle w:val="TableBodyText"/>
            </w:pPr>
            <w:r>
              <w:t>curve</w:t>
            </w:r>
          </w:p>
        </w:tc>
      </w:tr>
      <w:tr w:rsidR="00024C0A" w:rsidTr="00024C0A">
        <w:tc>
          <w:tcPr>
            <w:tcW w:w="0" w:type="auto"/>
            <w:vAlign w:val="center"/>
          </w:tcPr>
          <w:p w:rsidR="00024C0A" w:rsidRDefault="00694C0F">
            <w:pPr>
              <w:pStyle w:val="TableBodyText"/>
            </w:pPr>
            <w:r>
              <w:rPr>
                <w:i/>
              </w:rPr>
              <w:t>Hi</w:t>
            </w:r>
          </w:p>
        </w:tc>
        <w:tc>
          <w:tcPr>
            <w:tcW w:w="0" w:type="auto"/>
            <w:vAlign w:val="center"/>
          </w:tcPr>
          <w:p w:rsidR="00024C0A" w:rsidRDefault="00694C0F">
            <w:pPr>
              <w:pStyle w:val="TableBodyText"/>
            </w:pPr>
            <w:r>
              <w:t>Freeform</w:t>
            </w:r>
          </w:p>
        </w:tc>
        <w:tc>
          <w:tcPr>
            <w:tcW w:w="0" w:type="auto"/>
            <w:vAlign w:val="center"/>
          </w:tcPr>
          <w:p w:rsidR="00024C0A" w:rsidRDefault="00694C0F">
            <w:pPr>
              <w:pStyle w:val="TableBodyText"/>
            </w:pPr>
            <w:r>
              <w:t>0</w:t>
            </w:r>
          </w:p>
        </w:tc>
        <w:tc>
          <w:tcPr>
            <w:tcW w:w="0" w:type="auto"/>
            <w:vAlign w:val="center"/>
          </w:tcPr>
          <w:p w:rsidR="00024C0A" w:rsidRDefault="00694C0F">
            <w:pPr>
              <w:pStyle w:val="TableBodyText"/>
            </w:pPr>
            <w:r>
              <w:t>freeform</w:t>
            </w:r>
          </w:p>
        </w:tc>
        <w:tc>
          <w:tcPr>
            <w:tcW w:w="0" w:type="auto"/>
            <w:vAlign w:val="center"/>
          </w:tcPr>
          <w:p w:rsidR="00024C0A" w:rsidRDefault="00694C0F">
            <w:pPr>
              <w:pStyle w:val="TableBodyText"/>
            </w:pPr>
            <w:r>
              <w:t>any</w:t>
            </w:r>
          </w:p>
        </w:tc>
      </w:tr>
    </w:tbl>
    <w:p w:rsidR="00024C0A" w:rsidRDefault="00024C0A"/>
    <w:p w:rsidR="00024C0A" w:rsidRDefault="00694C0F">
      <w:r>
        <w:t xml:space="preserve">The line segment type defines whether the command applies to points which are adjacent to lines or to points adjacent to curves.  The vertex </w:t>
      </w:r>
      <w:r>
        <w:t>behavior specifies how the two line segments on either side of a point should behave as the point is moved.</w:t>
      </w:r>
    </w:p>
    <w:tbl>
      <w:tblPr>
        <w:tblStyle w:val="Table-ShadedHeader"/>
        <w:tblW w:w="0" w:type="auto"/>
        <w:tblLook w:val="04A0" w:firstRow="1" w:lastRow="0" w:firstColumn="1" w:lastColumn="0" w:noHBand="0" w:noVBand="1"/>
      </w:tblPr>
      <w:tblGrid>
        <w:gridCol w:w="1254"/>
        <w:gridCol w:w="2476"/>
        <w:gridCol w:w="2157"/>
        <w:gridCol w:w="1830"/>
        <w:gridCol w:w="1758"/>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Vertex behavior</w:t>
            </w:r>
          </w:p>
        </w:tc>
        <w:tc>
          <w:tcPr>
            <w:tcW w:w="0" w:type="auto"/>
            <w:vAlign w:val="center"/>
          </w:tcPr>
          <w:p w:rsidR="00024C0A" w:rsidRDefault="00694C0F">
            <w:pPr>
              <w:pStyle w:val="TableHeaderText"/>
            </w:pPr>
            <w:r>
              <w:t>Curve control points should be calculated automatically</w:t>
            </w:r>
          </w:p>
        </w:tc>
        <w:tc>
          <w:tcPr>
            <w:tcW w:w="0" w:type="auto"/>
            <w:vAlign w:val="center"/>
          </w:tcPr>
          <w:p w:rsidR="00024C0A" w:rsidRDefault="00694C0F">
            <w:pPr>
              <w:pStyle w:val="TableHeaderText"/>
            </w:pPr>
            <w:r>
              <w:t>Control points should be equidistant from vertex</w:t>
            </w:r>
          </w:p>
        </w:tc>
        <w:tc>
          <w:tcPr>
            <w:tcW w:w="0" w:type="auto"/>
            <w:vAlign w:val="center"/>
          </w:tcPr>
          <w:p w:rsidR="00024C0A" w:rsidRDefault="00694C0F">
            <w:pPr>
              <w:pStyle w:val="TableHeaderText"/>
            </w:pPr>
            <w:r>
              <w:t xml:space="preserve">Control points should be </w:t>
            </w:r>
            <w:r>
              <w:t>co-linear with vertex</w:t>
            </w:r>
          </w:p>
        </w:tc>
        <w:tc>
          <w:tcPr>
            <w:tcW w:w="0" w:type="auto"/>
            <w:vAlign w:val="center"/>
          </w:tcPr>
          <w:p w:rsidR="00024C0A" w:rsidRDefault="00694C0F">
            <w:pPr>
              <w:pStyle w:val="TableHeaderText"/>
            </w:pPr>
            <w:r>
              <w:t>Control points should be visible to the user</w:t>
            </w:r>
          </w:p>
        </w:tc>
      </w:tr>
      <w:tr w:rsidR="00024C0A" w:rsidTr="00024C0A">
        <w:tc>
          <w:tcPr>
            <w:tcW w:w="0" w:type="auto"/>
            <w:vAlign w:val="center"/>
          </w:tcPr>
          <w:p w:rsidR="00024C0A" w:rsidRDefault="00694C0F">
            <w:pPr>
              <w:pStyle w:val="TableBodyText"/>
            </w:pPr>
            <w:r>
              <w:t>Auto</w:t>
            </w:r>
          </w:p>
        </w:tc>
        <w:tc>
          <w:tcPr>
            <w:tcW w:w="0" w:type="auto"/>
            <w:vAlign w:val="center"/>
          </w:tcPr>
          <w:p w:rsidR="00024C0A" w:rsidRDefault="00694C0F">
            <w:pPr>
              <w:pStyle w:val="TableBodyText"/>
            </w:pPr>
            <w:r>
              <w:t>Yes</w:t>
            </w:r>
          </w:p>
        </w:tc>
        <w:tc>
          <w:tcPr>
            <w:tcW w:w="0" w:type="auto"/>
            <w:vAlign w:val="center"/>
          </w:tcPr>
          <w:p w:rsidR="00024C0A" w:rsidRDefault="00694C0F">
            <w:pPr>
              <w:pStyle w:val="TableBodyText"/>
            </w:pPr>
            <w:r>
              <w:t>N/A</w:t>
            </w:r>
          </w:p>
        </w:tc>
        <w:tc>
          <w:tcPr>
            <w:tcW w:w="0" w:type="auto"/>
            <w:vAlign w:val="center"/>
          </w:tcPr>
          <w:p w:rsidR="00024C0A" w:rsidRDefault="00694C0F">
            <w:pPr>
              <w:pStyle w:val="TableBodyText"/>
            </w:pPr>
            <w:r>
              <w:t>N/A</w:t>
            </w:r>
          </w:p>
        </w:tc>
        <w:tc>
          <w:tcPr>
            <w:tcW w:w="0" w:type="auto"/>
            <w:vAlign w:val="center"/>
          </w:tcPr>
          <w:p w:rsidR="00024C0A" w:rsidRDefault="00694C0F">
            <w:pPr>
              <w:pStyle w:val="TableBodyText"/>
            </w:pPr>
            <w:r>
              <w:t>No</w:t>
            </w:r>
          </w:p>
        </w:tc>
      </w:tr>
      <w:tr w:rsidR="00024C0A" w:rsidTr="00024C0A">
        <w:tc>
          <w:tcPr>
            <w:tcW w:w="0" w:type="auto"/>
            <w:vAlign w:val="center"/>
          </w:tcPr>
          <w:p w:rsidR="00024C0A" w:rsidRDefault="00694C0F">
            <w:pPr>
              <w:pStyle w:val="TableBodyText"/>
            </w:pPr>
            <w:r>
              <w:t>Symmetric</w:t>
            </w:r>
          </w:p>
        </w:tc>
        <w:tc>
          <w:tcPr>
            <w:tcW w:w="0" w:type="auto"/>
            <w:vAlign w:val="center"/>
          </w:tcPr>
          <w:p w:rsidR="00024C0A" w:rsidRDefault="00694C0F">
            <w:pPr>
              <w:pStyle w:val="TableBodyText"/>
            </w:pPr>
            <w:r>
              <w:t>No</w:t>
            </w:r>
          </w:p>
        </w:tc>
        <w:tc>
          <w:tcPr>
            <w:tcW w:w="0" w:type="auto"/>
            <w:vAlign w:val="center"/>
          </w:tcPr>
          <w:p w:rsidR="00024C0A" w:rsidRDefault="00694C0F">
            <w:pPr>
              <w:pStyle w:val="TableBodyText"/>
            </w:pPr>
            <w:r>
              <w:t>Yes</w:t>
            </w:r>
          </w:p>
        </w:tc>
        <w:tc>
          <w:tcPr>
            <w:tcW w:w="0" w:type="auto"/>
            <w:vAlign w:val="center"/>
          </w:tcPr>
          <w:p w:rsidR="00024C0A" w:rsidRDefault="00694C0F">
            <w:pPr>
              <w:pStyle w:val="TableBodyText"/>
            </w:pPr>
            <w:r>
              <w:t>Yes</w:t>
            </w:r>
          </w:p>
        </w:tc>
        <w:tc>
          <w:tcPr>
            <w:tcW w:w="0" w:type="auto"/>
            <w:vAlign w:val="center"/>
          </w:tcPr>
          <w:p w:rsidR="00024C0A" w:rsidRDefault="00694C0F">
            <w:pPr>
              <w:pStyle w:val="TableBodyText"/>
            </w:pPr>
            <w:r>
              <w:t>Yes</w:t>
            </w:r>
          </w:p>
        </w:tc>
      </w:tr>
      <w:tr w:rsidR="00024C0A" w:rsidTr="00024C0A">
        <w:tc>
          <w:tcPr>
            <w:tcW w:w="0" w:type="auto"/>
            <w:vAlign w:val="center"/>
          </w:tcPr>
          <w:p w:rsidR="00024C0A" w:rsidRDefault="00694C0F">
            <w:pPr>
              <w:pStyle w:val="TableBodyText"/>
            </w:pPr>
            <w:r>
              <w:t>Smooth</w:t>
            </w:r>
          </w:p>
        </w:tc>
        <w:tc>
          <w:tcPr>
            <w:tcW w:w="0" w:type="auto"/>
            <w:vAlign w:val="center"/>
          </w:tcPr>
          <w:p w:rsidR="00024C0A" w:rsidRDefault="00694C0F">
            <w:pPr>
              <w:pStyle w:val="TableBodyText"/>
            </w:pPr>
            <w:r>
              <w:t>No</w:t>
            </w:r>
          </w:p>
        </w:tc>
        <w:tc>
          <w:tcPr>
            <w:tcW w:w="0" w:type="auto"/>
            <w:vAlign w:val="center"/>
          </w:tcPr>
          <w:p w:rsidR="00024C0A" w:rsidRDefault="00694C0F">
            <w:pPr>
              <w:pStyle w:val="TableBodyText"/>
            </w:pPr>
            <w:r>
              <w:t>No</w:t>
            </w:r>
          </w:p>
        </w:tc>
        <w:tc>
          <w:tcPr>
            <w:tcW w:w="0" w:type="auto"/>
            <w:vAlign w:val="center"/>
          </w:tcPr>
          <w:p w:rsidR="00024C0A" w:rsidRDefault="00694C0F">
            <w:pPr>
              <w:pStyle w:val="TableBodyText"/>
            </w:pPr>
            <w:r>
              <w:t>Yes</w:t>
            </w:r>
          </w:p>
        </w:tc>
        <w:tc>
          <w:tcPr>
            <w:tcW w:w="0" w:type="auto"/>
            <w:vAlign w:val="center"/>
          </w:tcPr>
          <w:p w:rsidR="00024C0A" w:rsidRDefault="00694C0F">
            <w:pPr>
              <w:pStyle w:val="TableBodyText"/>
            </w:pPr>
            <w:r>
              <w:t>Yes</w:t>
            </w:r>
          </w:p>
        </w:tc>
      </w:tr>
      <w:tr w:rsidR="00024C0A" w:rsidTr="00024C0A">
        <w:tc>
          <w:tcPr>
            <w:tcW w:w="0" w:type="auto"/>
            <w:vAlign w:val="center"/>
          </w:tcPr>
          <w:p w:rsidR="00024C0A" w:rsidRDefault="00694C0F">
            <w:pPr>
              <w:pStyle w:val="TableBodyText"/>
            </w:pPr>
            <w:r>
              <w:t>Corner</w:t>
            </w:r>
          </w:p>
        </w:tc>
        <w:tc>
          <w:tcPr>
            <w:tcW w:w="0" w:type="auto"/>
            <w:vAlign w:val="center"/>
          </w:tcPr>
          <w:p w:rsidR="00024C0A" w:rsidRDefault="00694C0F">
            <w:pPr>
              <w:pStyle w:val="TableBodyText"/>
            </w:pPr>
            <w:r>
              <w:t>No</w:t>
            </w:r>
          </w:p>
        </w:tc>
        <w:tc>
          <w:tcPr>
            <w:tcW w:w="0" w:type="auto"/>
            <w:vAlign w:val="center"/>
          </w:tcPr>
          <w:p w:rsidR="00024C0A" w:rsidRDefault="00694C0F">
            <w:pPr>
              <w:pStyle w:val="TableBodyText"/>
            </w:pPr>
            <w:r>
              <w:t>No</w:t>
            </w:r>
          </w:p>
        </w:tc>
        <w:tc>
          <w:tcPr>
            <w:tcW w:w="0" w:type="auto"/>
            <w:vAlign w:val="center"/>
          </w:tcPr>
          <w:p w:rsidR="00024C0A" w:rsidRDefault="00694C0F">
            <w:pPr>
              <w:pStyle w:val="TableBodyText"/>
            </w:pPr>
            <w:r>
              <w:t>No</w:t>
            </w:r>
          </w:p>
        </w:tc>
        <w:tc>
          <w:tcPr>
            <w:tcW w:w="0" w:type="auto"/>
            <w:vAlign w:val="center"/>
          </w:tcPr>
          <w:p w:rsidR="00024C0A" w:rsidRDefault="00694C0F">
            <w:pPr>
              <w:pStyle w:val="TableBodyText"/>
            </w:pPr>
            <w:r>
              <w:t>Yes</w:t>
            </w:r>
          </w:p>
        </w:tc>
      </w:tr>
      <w:tr w:rsidR="00024C0A" w:rsidTr="00024C0A">
        <w:tc>
          <w:tcPr>
            <w:tcW w:w="0" w:type="auto"/>
            <w:vAlign w:val="center"/>
          </w:tcPr>
          <w:p w:rsidR="00024C0A" w:rsidRDefault="00694C0F">
            <w:pPr>
              <w:pStyle w:val="TableBodyText"/>
            </w:pPr>
            <w:r>
              <w:t>Freeform</w:t>
            </w:r>
          </w:p>
        </w:tc>
        <w:tc>
          <w:tcPr>
            <w:tcW w:w="0" w:type="auto"/>
            <w:vAlign w:val="center"/>
          </w:tcPr>
          <w:p w:rsidR="00024C0A" w:rsidRDefault="00694C0F">
            <w:pPr>
              <w:pStyle w:val="TableBodyText"/>
            </w:pPr>
            <w:r>
              <w:t>No</w:t>
            </w:r>
          </w:p>
        </w:tc>
        <w:tc>
          <w:tcPr>
            <w:tcW w:w="0" w:type="auto"/>
            <w:vAlign w:val="center"/>
          </w:tcPr>
          <w:p w:rsidR="00024C0A" w:rsidRDefault="00694C0F">
            <w:pPr>
              <w:pStyle w:val="TableBodyText"/>
            </w:pPr>
            <w:r>
              <w:t>No</w:t>
            </w:r>
          </w:p>
        </w:tc>
        <w:tc>
          <w:tcPr>
            <w:tcW w:w="0" w:type="auto"/>
            <w:vAlign w:val="center"/>
          </w:tcPr>
          <w:p w:rsidR="00024C0A" w:rsidRDefault="00694C0F">
            <w:pPr>
              <w:pStyle w:val="TableBodyText"/>
            </w:pPr>
            <w:r>
              <w:t>No</w:t>
            </w:r>
          </w:p>
        </w:tc>
        <w:tc>
          <w:tcPr>
            <w:tcW w:w="0" w:type="auto"/>
            <w:vAlign w:val="center"/>
          </w:tcPr>
          <w:p w:rsidR="00024C0A" w:rsidRDefault="00694C0F">
            <w:pPr>
              <w:pStyle w:val="TableBodyText"/>
            </w:pPr>
            <w:r>
              <w:t>Yes</w:t>
            </w:r>
          </w:p>
        </w:tc>
      </w:tr>
    </w:tbl>
    <w:p w:rsidR="00024C0A" w:rsidRDefault="00024C0A"/>
    <w:p w:rsidR="00024C0A" w:rsidRDefault="00694C0F">
      <w:r>
        <w:lastRenderedPageBreak/>
        <w:t xml:space="preserve">The auto vertex behavior is effectively the default behavior as it </w:t>
      </w:r>
      <w:r>
        <w:t>requires the application to provide the control points for the curve.  The freeform vertex behavior is effectively user-defined as the application does not calculate control points.</w:t>
      </w:r>
    </w:p>
    <w:p w:rsidR="00024C0A" w:rsidRDefault="00694C0F">
      <w:pPr>
        <w:pStyle w:val="Definition-Field"/>
      </w:pPr>
      <w:r>
        <w:t xml:space="preserve">d.   </w:t>
      </w:r>
      <w:r>
        <w:rPr>
          <w:i/>
        </w:rPr>
        <w:t>The standard indicates that the last four values of the at property o</w:t>
      </w:r>
      <w:r>
        <w:rPr>
          <w:i/>
        </w:rPr>
        <w:t>f the v attribute are radial vectors.</w:t>
      </w:r>
    </w:p>
    <w:p w:rsidR="00024C0A" w:rsidRDefault="00694C0F">
      <w:pPr>
        <w:pStyle w:val="Definition-Field2"/>
      </w:pPr>
      <w:r>
        <w:t>In Office, the last four values of the at property of the v attribute are points that define radial vectors with origins at the center of the bounding box.</w:t>
      </w:r>
    </w:p>
    <w:p w:rsidR="00024C0A" w:rsidRDefault="00694C0F">
      <w:pPr>
        <w:pStyle w:val="Definition-Field"/>
      </w:pPr>
      <w:r>
        <w:t xml:space="preserve">e.   </w:t>
      </w:r>
      <w:r>
        <w:rPr>
          <w:i/>
        </w:rPr>
        <w:t xml:space="preserve">The standard does not fully explain how the qb property </w:t>
      </w:r>
      <w:r>
        <w:rPr>
          <w:i/>
        </w:rPr>
        <w:t>of the v attribute is used.</w:t>
      </w:r>
    </w:p>
    <w:p w:rsidR="00024C0A" w:rsidRDefault="00694C0F">
      <w:pPr>
        <w:pStyle w:val="Definition-Field2"/>
      </w:pPr>
      <w:r>
        <w:t>Office requires that the qb property of the v attribute have a closed path. If the path is not closed, a new subpath shall exist after qb.</w:t>
      </w:r>
    </w:p>
    <w:p w:rsidR="00024C0A" w:rsidRDefault="00694C0F">
      <w:pPr>
        <w:pStyle w:val="Definition-Field"/>
      </w:pPr>
      <w:r>
        <w:t xml:space="preserve">f.   </w:t>
      </w:r>
      <w:r>
        <w:rPr>
          <w:i/>
        </w:rPr>
        <w:t>The standard indicates how the limo attribute is used.</w:t>
      </w:r>
    </w:p>
    <w:p w:rsidR="00024C0A" w:rsidRDefault="00694C0F">
      <w:pPr>
        <w:pStyle w:val="Definition-Field2"/>
      </w:pPr>
      <w:r>
        <w:t>Office does not support the l</w:t>
      </w:r>
      <w:r>
        <w:t>imo attribute.</w:t>
      </w:r>
    </w:p>
    <w:p w:rsidR="00024C0A" w:rsidRDefault="00694C0F">
      <w:pPr>
        <w:pStyle w:val="Definition-Field"/>
      </w:pPr>
      <w:r>
        <w:t xml:space="preserve">g.   </w:t>
      </w:r>
      <w:r>
        <w:rPr>
          <w:i/>
        </w:rPr>
        <w:t>The standard indicates how the textboxrect attribute is used.</w:t>
      </w:r>
    </w:p>
    <w:p w:rsidR="00024C0A" w:rsidRDefault="00694C0F">
      <w:r>
        <w:t>The following describes the Office requirements for this attribute:</w:t>
      </w:r>
    </w:p>
    <w:p w:rsidR="00024C0A" w:rsidRDefault="00694C0F">
      <w:r>
        <w:t>Only one textbox is created for each shape. The rectangles defined by this attribute are used with text la</w:t>
      </w:r>
      <w:r>
        <w:t>yout options to define the position of the textbox inside the shape.</w:t>
      </w:r>
    </w:p>
    <w:p w:rsidR="00024C0A" w:rsidRDefault="00694C0F">
      <w:r>
        <w:t>If 4, 5 or more than 6 rectangles are defined, Office defaults to the shape’s bounding box.</w:t>
      </w:r>
    </w:p>
    <w:p w:rsidR="00024C0A" w:rsidRDefault="00694C0F">
      <w:r>
        <w:t xml:space="preserve">If the shape has no adjust handles, the rectangle chosen depends on the layout defined by the </w:t>
      </w:r>
      <w:r>
        <w:rPr>
          <w:i/>
        </w:rPr>
        <w:t>l</w:t>
      </w:r>
      <w:r>
        <w:rPr>
          <w:i/>
        </w:rPr>
        <w:t>ayout-flow</w:t>
      </w:r>
      <w:r>
        <w:t xml:space="preserve"> property of the </w:t>
      </w:r>
      <w:r>
        <w:rPr>
          <w:b/>
        </w:rPr>
        <w:t>style</w:t>
      </w:r>
      <w:r>
        <w:t xml:space="preserve"> attribute:</w:t>
      </w:r>
    </w:p>
    <w:tbl>
      <w:tblPr>
        <w:tblStyle w:val="Table-ShadedHeader"/>
        <w:tblW w:w="0" w:type="auto"/>
        <w:tblLook w:val="04A0" w:firstRow="1" w:lastRow="0" w:firstColumn="1" w:lastColumn="0" w:noHBand="0" w:noVBand="1"/>
      </w:tblPr>
      <w:tblGrid>
        <w:gridCol w:w="1927"/>
        <w:gridCol w:w="1218"/>
        <w:gridCol w:w="1832"/>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Layout-flow</w:t>
            </w:r>
          </w:p>
        </w:tc>
        <w:tc>
          <w:tcPr>
            <w:tcW w:w="0" w:type="auto"/>
            <w:vAlign w:val="center"/>
          </w:tcPr>
          <w:p w:rsidR="00024C0A" w:rsidRDefault="00694C0F">
            <w:pPr>
              <w:pStyle w:val="TableHeaderText"/>
            </w:pPr>
            <w:r>
              <w:t xml:space="preserve">Number of </w:t>
            </w:r>
          </w:p>
          <w:p w:rsidR="00024C0A" w:rsidRDefault="00694C0F">
            <w:pPr>
              <w:pStyle w:val="TableHeaderText"/>
            </w:pPr>
            <w:r>
              <w:t>Rectangles</w:t>
            </w:r>
          </w:p>
        </w:tc>
        <w:tc>
          <w:tcPr>
            <w:tcW w:w="0" w:type="auto"/>
            <w:vAlign w:val="center"/>
          </w:tcPr>
          <w:p w:rsidR="00024C0A" w:rsidRDefault="00694C0F">
            <w:pPr>
              <w:pStyle w:val="TableHeaderText"/>
            </w:pPr>
            <w:r>
              <w:t>Chosen Rectangle</w:t>
            </w:r>
          </w:p>
        </w:tc>
      </w:tr>
      <w:tr w:rsidR="00024C0A" w:rsidTr="00024C0A">
        <w:tc>
          <w:tcPr>
            <w:tcW w:w="0" w:type="auto"/>
            <w:vAlign w:val="center"/>
          </w:tcPr>
          <w:p w:rsidR="00024C0A" w:rsidRDefault="00694C0F">
            <w:pPr>
              <w:pStyle w:val="TableBodyText"/>
            </w:pPr>
            <w:r>
              <w:t>Horizontal or Vertical</w:t>
            </w:r>
          </w:p>
        </w:tc>
        <w:tc>
          <w:tcPr>
            <w:tcW w:w="0" w:type="auto"/>
            <w:vAlign w:val="center"/>
          </w:tcPr>
          <w:p w:rsidR="00024C0A" w:rsidRDefault="00694C0F">
            <w:pPr>
              <w:pStyle w:val="TableBodyText"/>
            </w:pPr>
            <w:r>
              <w:t>1</w:t>
            </w:r>
          </w:p>
        </w:tc>
        <w:tc>
          <w:tcPr>
            <w:tcW w:w="0" w:type="auto"/>
            <w:vAlign w:val="center"/>
          </w:tcPr>
          <w:p w:rsidR="00024C0A" w:rsidRDefault="00694C0F">
            <w:pPr>
              <w:pStyle w:val="TableBodyText"/>
            </w:pPr>
            <w:r>
              <w:t>#1</w:t>
            </w:r>
          </w:p>
        </w:tc>
      </w:tr>
      <w:tr w:rsidR="00024C0A" w:rsidTr="00024C0A">
        <w:tc>
          <w:tcPr>
            <w:tcW w:w="0" w:type="auto"/>
            <w:vAlign w:val="center"/>
          </w:tcPr>
          <w:p w:rsidR="00024C0A" w:rsidRDefault="00694C0F">
            <w:pPr>
              <w:pStyle w:val="TableBodyText"/>
            </w:pPr>
            <w:r>
              <w:t>Horizontal</w:t>
            </w:r>
          </w:p>
        </w:tc>
        <w:tc>
          <w:tcPr>
            <w:tcW w:w="0" w:type="auto"/>
            <w:vAlign w:val="center"/>
          </w:tcPr>
          <w:p w:rsidR="00024C0A" w:rsidRDefault="00694C0F">
            <w:pPr>
              <w:pStyle w:val="TableBodyText"/>
            </w:pPr>
            <w:r>
              <w:t>2</w:t>
            </w:r>
          </w:p>
        </w:tc>
        <w:tc>
          <w:tcPr>
            <w:tcW w:w="0" w:type="auto"/>
            <w:vAlign w:val="center"/>
          </w:tcPr>
          <w:p w:rsidR="00024C0A" w:rsidRDefault="00694C0F">
            <w:pPr>
              <w:pStyle w:val="TableBodyText"/>
            </w:pPr>
            <w:r>
              <w:t>#1</w:t>
            </w:r>
          </w:p>
        </w:tc>
      </w:tr>
      <w:tr w:rsidR="00024C0A" w:rsidTr="00024C0A">
        <w:tc>
          <w:tcPr>
            <w:tcW w:w="0" w:type="auto"/>
            <w:vAlign w:val="center"/>
          </w:tcPr>
          <w:p w:rsidR="00024C0A" w:rsidRDefault="00694C0F">
            <w:pPr>
              <w:pStyle w:val="TableBodyText"/>
            </w:pPr>
            <w:r>
              <w:t>Vertical</w:t>
            </w:r>
          </w:p>
        </w:tc>
        <w:tc>
          <w:tcPr>
            <w:tcW w:w="0" w:type="auto"/>
            <w:vAlign w:val="center"/>
          </w:tcPr>
          <w:p w:rsidR="00024C0A" w:rsidRDefault="00694C0F">
            <w:pPr>
              <w:pStyle w:val="TableBodyText"/>
            </w:pPr>
            <w:r>
              <w:t>2</w:t>
            </w:r>
          </w:p>
        </w:tc>
        <w:tc>
          <w:tcPr>
            <w:tcW w:w="0" w:type="auto"/>
            <w:vAlign w:val="center"/>
          </w:tcPr>
          <w:p w:rsidR="00024C0A" w:rsidRDefault="00694C0F">
            <w:pPr>
              <w:pStyle w:val="TableBodyText"/>
            </w:pPr>
            <w:r>
              <w:t>#2</w:t>
            </w:r>
          </w:p>
        </w:tc>
      </w:tr>
      <w:tr w:rsidR="00024C0A" w:rsidTr="00024C0A">
        <w:tc>
          <w:tcPr>
            <w:tcW w:w="0" w:type="auto"/>
            <w:vAlign w:val="center"/>
          </w:tcPr>
          <w:p w:rsidR="00024C0A" w:rsidRDefault="00694C0F">
            <w:pPr>
              <w:pStyle w:val="TableBodyText"/>
            </w:pPr>
            <w:r>
              <w:t>Horizontal or Vertical</w:t>
            </w:r>
          </w:p>
        </w:tc>
        <w:tc>
          <w:tcPr>
            <w:tcW w:w="0" w:type="auto"/>
            <w:vAlign w:val="center"/>
          </w:tcPr>
          <w:p w:rsidR="00024C0A" w:rsidRDefault="00694C0F">
            <w:pPr>
              <w:pStyle w:val="TableBodyText"/>
            </w:pPr>
            <w:r>
              <w:t>3</w:t>
            </w:r>
          </w:p>
        </w:tc>
        <w:tc>
          <w:tcPr>
            <w:tcW w:w="0" w:type="auto"/>
            <w:vAlign w:val="center"/>
          </w:tcPr>
          <w:p w:rsidR="00024C0A" w:rsidRDefault="00694C0F">
            <w:pPr>
              <w:pStyle w:val="TableBodyText"/>
            </w:pPr>
            <w:r>
              <w:t>#1</w:t>
            </w:r>
          </w:p>
        </w:tc>
      </w:tr>
      <w:tr w:rsidR="00024C0A" w:rsidTr="00024C0A">
        <w:tc>
          <w:tcPr>
            <w:tcW w:w="0" w:type="auto"/>
            <w:vAlign w:val="center"/>
          </w:tcPr>
          <w:p w:rsidR="00024C0A" w:rsidRDefault="00694C0F">
            <w:pPr>
              <w:pStyle w:val="TableBodyText"/>
            </w:pPr>
            <w:r>
              <w:t>Horizontal</w:t>
            </w:r>
          </w:p>
        </w:tc>
        <w:tc>
          <w:tcPr>
            <w:tcW w:w="0" w:type="auto"/>
            <w:vAlign w:val="center"/>
          </w:tcPr>
          <w:p w:rsidR="00024C0A" w:rsidRDefault="00694C0F">
            <w:pPr>
              <w:pStyle w:val="TableBodyText"/>
            </w:pPr>
            <w:r>
              <w:t>6</w:t>
            </w:r>
          </w:p>
        </w:tc>
        <w:tc>
          <w:tcPr>
            <w:tcW w:w="0" w:type="auto"/>
            <w:vAlign w:val="center"/>
          </w:tcPr>
          <w:p w:rsidR="00024C0A" w:rsidRDefault="00694C0F">
            <w:pPr>
              <w:pStyle w:val="TableBodyText"/>
            </w:pPr>
            <w:r>
              <w:t>#1</w:t>
            </w:r>
          </w:p>
        </w:tc>
      </w:tr>
      <w:tr w:rsidR="00024C0A" w:rsidTr="00024C0A">
        <w:tc>
          <w:tcPr>
            <w:tcW w:w="0" w:type="auto"/>
            <w:vAlign w:val="center"/>
          </w:tcPr>
          <w:p w:rsidR="00024C0A" w:rsidRDefault="00694C0F">
            <w:pPr>
              <w:pStyle w:val="TableBodyText"/>
            </w:pPr>
            <w:r>
              <w:t>Vertical</w:t>
            </w:r>
          </w:p>
        </w:tc>
        <w:tc>
          <w:tcPr>
            <w:tcW w:w="0" w:type="auto"/>
            <w:vAlign w:val="center"/>
          </w:tcPr>
          <w:p w:rsidR="00024C0A" w:rsidRDefault="00694C0F">
            <w:pPr>
              <w:pStyle w:val="TableBodyText"/>
            </w:pPr>
            <w:r>
              <w:t>6</w:t>
            </w:r>
          </w:p>
        </w:tc>
        <w:tc>
          <w:tcPr>
            <w:tcW w:w="0" w:type="auto"/>
            <w:vAlign w:val="center"/>
          </w:tcPr>
          <w:p w:rsidR="00024C0A" w:rsidRDefault="00694C0F">
            <w:pPr>
              <w:pStyle w:val="TableBodyText"/>
            </w:pPr>
            <w:r>
              <w:t>#4</w:t>
            </w:r>
          </w:p>
        </w:tc>
      </w:tr>
    </w:tbl>
    <w:p w:rsidR="00024C0A" w:rsidRDefault="00024C0A"/>
    <w:p w:rsidR="00024C0A" w:rsidRDefault="00694C0F">
      <w:r>
        <w:t xml:space="preserve">If the shape has adjust handles, the </w:t>
      </w:r>
      <w:r>
        <w:t>position of the textbox takes into account one or more rectangles defined here, the layout of the text and the position and range of the adjust handles. Office uses this data to choose a textbox position that conflicts least with the shape’s path.</w:t>
      </w:r>
    </w:p>
    <w:p w:rsidR="00024C0A" w:rsidRDefault="00694C0F">
      <w:r>
        <w:t xml:space="preserve">If more </w:t>
      </w:r>
      <w:r>
        <w:t xml:space="preserve">than one adjust handle is defined, only the first one is used. However, Office requires that the first handle defined in the file for the shape reference the first two values of the </w:t>
      </w:r>
      <w:r>
        <w:rPr>
          <w:b/>
        </w:rPr>
        <w:t>adj</w:t>
      </w:r>
      <w:r>
        <w:t xml:space="preserve"> attribute of the shape.</w:t>
      </w:r>
    </w:p>
    <w:p w:rsidR="00024C0A" w:rsidRDefault="00694C0F">
      <w:r>
        <w:t xml:space="preserve">[Note: For more information about adjust handles, see the </w:t>
      </w:r>
      <w:r>
        <w:rPr>
          <w:b/>
        </w:rPr>
        <w:t>handles</w:t>
      </w:r>
      <w:r>
        <w:t xml:space="preserve"> element ("</w:t>
      </w:r>
      <w:hyperlink r:id="rId238">
        <w:r>
          <w:rPr>
            <w:rStyle w:val="Hyperlink"/>
          </w:rPr>
          <w:t>[ISO/IEC-29500-4]</w:t>
        </w:r>
      </w:hyperlink>
      <w:r>
        <w:t xml:space="preserve"> §19.1.2.9; handles (Set of Handles)") and the </w:t>
      </w:r>
      <w:r>
        <w:rPr>
          <w:b/>
        </w:rPr>
        <w:t>adj</w:t>
      </w:r>
      <w:r>
        <w:t xml:space="preserve"> attribute, such as on the </w:t>
      </w:r>
      <w:r>
        <w:rPr>
          <w:b/>
        </w:rPr>
        <w:t>shape</w:t>
      </w:r>
      <w:r>
        <w:t xml:space="preserve"> element ("[ISO</w:t>
      </w:r>
      <w:r>
        <w:t xml:space="preserve">/IEC-29500-4] §19.1.2.19; shape (Shape Definition)"). For more information about text layout, see the text layout properties in the </w:t>
      </w:r>
      <w:r>
        <w:rPr>
          <w:b/>
        </w:rPr>
        <w:t>style</w:t>
      </w:r>
      <w:r>
        <w:t xml:space="preserve"> attribute of the </w:t>
      </w:r>
      <w:r>
        <w:rPr>
          <w:b/>
        </w:rPr>
        <w:t>textbox</w:t>
      </w:r>
      <w:r>
        <w:t xml:space="preserve"> element ("[ISO/IEC-29500-4] §19.1.2.22; textbox (Text Box)"). end note]</w:t>
      </w:r>
    </w:p>
    <w:p w:rsidR="00024C0A" w:rsidRDefault="00694C0F">
      <w:pPr>
        <w:pStyle w:val="Definition-Field"/>
      </w:pPr>
      <w:r>
        <w:lastRenderedPageBreak/>
        <w:t xml:space="preserve">h.   </w:t>
      </w:r>
      <w:r>
        <w:rPr>
          <w:i/>
        </w:rPr>
        <w:t>The standard doe</w:t>
      </w:r>
      <w:r>
        <w:rPr>
          <w:i/>
        </w:rPr>
        <w:t>s not restrict the number of instances of the path element.</w:t>
      </w:r>
    </w:p>
    <w:p w:rsidR="00024C0A" w:rsidRDefault="00694C0F">
      <w:pPr>
        <w:pStyle w:val="Definition-Field2"/>
      </w:pPr>
      <w:r>
        <w:t>Office allows at most only one instance of the path element in each place where it can be used.</w:t>
      </w:r>
    </w:p>
    <w:p w:rsidR="00024C0A" w:rsidRDefault="00694C0F">
      <w:pPr>
        <w:pStyle w:val="Heading3"/>
      </w:pPr>
      <w:bookmarkStart w:id="3611" w:name="section_02fe18eb74dc4eab9007ea8b2c3f8b48"/>
      <w:bookmarkStart w:id="3612" w:name="_Toc12261866"/>
      <w:r>
        <w:t>Part 4 Section 19.1.2.15, polyline (Multiple Path Line)</w:t>
      </w:r>
      <w:bookmarkEnd w:id="3611"/>
      <w:bookmarkEnd w:id="3612"/>
      <w:r>
        <w:fldChar w:fldCharType="begin"/>
      </w:r>
      <w:r>
        <w:instrText xml:space="preserve"> XE "polyline (Multiple Path Line)" </w:instrText>
      </w:r>
      <w:r>
        <w:fldChar w:fldCharType="end"/>
      </w:r>
    </w:p>
    <w:p w:rsidR="00024C0A" w:rsidRDefault="00694C0F">
      <w:pPr>
        <w:pStyle w:val="Definition-Field2"/>
      </w:pPr>
      <w:r>
        <w:rPr>
          <w:i/>
        </w:rPr>
        <w:t>For ad</w:t>
      </w:r>
      <w:r>
        <w:rPr>
          <w:i/>
        </w:rPr>
        <w:t xml:space="preserve">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w:t>
        </w:r>
        <w:r>
          <w:rPr>
            <w:rStyle w:val="Hyperlink"/>
          </w:rPr>
          <w:t>-xx,ccc-lll,nnn,qqq,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024C0A" w:rsidRDefault="00694C0F">
      <w:pPr>
        <w:pStyle w:val="Definition-Field"/>
      </w:pPr>
      <w:r>
        <w:t xml:space="preserve">a.   </w:t>
      </w:r>
      <w:r>
        <w:rPr>
          <w:i/>
        </w:rPr>
        <w:t>The standard places no r</w:t>
      </w:r>
      <w:r>
        <w:rPr>
          <w:i/>
        </w:rPr>
        <w:t>estrictions on the value of the spt attribute.</w:t>
      </w:r>
    </w:p>
    <w:p w:rsidR="00024C0A" w:rsidRDefault="00694C0F">
      <w:pPr>
        <w:pStyle w:val="Definition-Field2"/>
      </w:pPr>
      <w:r>
        <w:t>Office requires that the spt attribute on a polyline element have a value of 0. It is an error to specify this attribute as anything other than the default value, except for the shape and shapetype elements wh</w:t>
      </w:r>
      <w:r>
        <w:t>ich can handle any valid spt value.</w:t>
      </w:r>
    </w:p>
    <w:p w:rsidR="00024C0A" w:rsidRDefault="00694C0F">
      <w:pPr>
        <w:pStyle w:val="Definition-Field"/>
      </w:pPr>
      <w:r>
        <w:t xml:space="preserve">b.   </w:t>
      </w:r>
      <w:r>
        <w:rPr>
          <w:i/>
        </w:rPr>
        <w:t>The standard states that chromakey and opacity are valid attributes on the polyline element.</w:t>
      </w:r>
    </w:p>
    <w:p w:rsidR="00024C0A" w:rsidRDefault="00694C0F">
      <w:pPr>
        <w:pStyle w:val="Definition-Field2"/>
      </w:pPr>
      <w:r>
        <w:t>Office does not support these attributes on this element.</w:t>
      </w:r>
    </w:p>
    <w:p w:rsidR="00024C0A" w:rsidRDefault="00694C0F">
      <w:pPr>
        <w:pStyle w:val="Definition-Field"/>
      </w:pPr>
      <w:r>
        <w:t xml:space="preserve">c.   </w:t>
      </w:r>
      <w:r>
        <w:rPr>
          <w:i/>
        </w:rPr>
        <w:t>The standard does not mention the gfxdata attribute.</w:t>
      </w:r>
    </w:p>
    <w:p w:rsidR="00024C0A" w:rsidRDefault="00694C0F">
      <w:pPr>
        <w:pStyle w:val="Definition-Field2"/>
      </w:pPr>
      <w:r>
        <w:t>Office</w:t>
      </w:r>
      <w:r>
        <w:t xml:space="preserve"> uses an gfxdata attribute. The definition is the same as the gfxdata attribute defined in Section 14.1.2.19.</w:t>
      </w:r>
    </w:p>
    <w:p w:rsidR="00024C0A" w:rsidRDefault="00694C0F">
      <w:pPr>
        <w:pStyle w:val="Heading3"/>
      </w:pPr>
      <w:bookmarkStart w:id="3613" w:name="section_0049c89078764cd1bd6f449f22879f24"/>
      <w:bookmarkStart w:id="3614" w:name="_Toc12261867"/>
      <w:r>
        <w:t>Part 4 Section 19.1.2.16, rect (Rectangle)</w:t>
      </w:r>
      <w:bookmarkEnd w:id="3613"/>
      <w:bookmarkEnd w:id="3614"/>
      <w:r>
        <w:fldChar w:fldCharType="begin"/>
      </w:r>
      <w:r>
        <w:instrText xml:space="preserve"> XE "rect (Rectangle)" </w:instrText>
      </w:r>
      <w:r>
        <w:fldChar w:fldCharType="end"/>
      </w:r>
    </w:p>
    <w:p w:rsidR="00024C0A" w:rsidRDefault="00694C0F">
      <w:pPr>
        <w:pStyle w:val="Definition-Field2"/>
      </w:pPr>
      <w:r>
        <w:rPr>
          <w:i/>
        </w:rPr>
        <w:t>For additional notes that apply to this portion of the standard, please see th</w:t>
      </w:r>
      <w:r>
        <w:rPr>
          <w:i/>
        </w:rPr>
        <w:t xml:space="preserve">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024C0A" w:rsidRDefault="00694C0F">
      <w:pPr>
        <w:pStyle w:val="Definition-Field"/>
      </w:pPr>
      <w:r>
        <w:t xml:space="preserve">a.   </w:t>
      </w:r>
      <w:r>
        <w:rPr>
          <w:i/>
        </w:rPr>
        <w:t>The standard places no restrictions on the value of the spt attribute.</w:t>
      </w:r>
    </w:p>
    <w:p w:rsidR="00024C0A" w:rsidRDefault="00694C0F">
      <w:pPr>
        <w:pStyle w:val="Definition-Field2"/>
      </w:pPr>
      <w:r>
        <w:t xml:space="preserve">Office requires that the </w:t>
      </w:r>
      <w:r>
        <w:t>spt attribute on a rect element have a value of 1. It is an error to specify this attribute as anything other than the default value, except for the shape and shapetype elements which can handle any valid spt value.</w:t>
      </w:r>
    </w:p>
    <w:p w:rsidR="00024C0A" w:rsidRDefault="00694C0F">
      <w:pPr>
        <w:pStyle w:val="Definition-Field"/>
      </w:pPr>
      <w:r>
        <w:t xml:space="preserve">b.   </w:t>
      </w:r>
      <w:r>
        <w:rPr>
          <w:i/>
        </w:rPr>
        <w:t xml:space="preserve">The standard states that chromakey </w:t>
      </w:r>
      <w:r>
        <w:rPr>
          <w:i/>
        </w:rPr>
        <w:t>and opacity are valid attributes on the rect element.</w:t>
      </w:r>
    </w:p>
    <w:p w:rsidR="00024C0A" w:rsidRDefault="00694C0F">
      <w:pPr>
        <w:pStyle w:val="Definition-Field2"/>
      </w:pPr>
      <w:r>
        <w:t>Office does not support these attributes on this element.</w:t>
      </w:r>
    </w:p>
    <w:p w:rsidR="00024C0A" w:rsidRDefault="00694C0F">
      <w:pPr>
        <w:pStyle w:val="Definition-Field"/>
      </w:pPr>
      <w:r>
        <w:t xml:space="preserve">c.   </w:t>
      </w:r>
      <w:r>
        <w:rPr>
          <w:i/>
        </w:rPr>
        <w:t>The standard states that the default value of the spt attribute is 0.</w:t>
      </w:r>
    </w:p>
    <w:p w:rsidR="00024C0A" w:rsidRDefault="00694C0F">
      <w:pPr>
        <w:pStyle w:val="Definition-Field2"/>
      </w:pPr>
      <w:r>
        <w:t>Office uses a default value of 1 for the rect element.</w:t>
      </w:r>
    </w:p>
    <w:p w:rsidR="00024C0A" w:rsidRDefault="00694C0F">
      <w:pPr>
        <w:pStyle w:val="Definition-Field"/>
      </w:pPr>
      <w:r>
        <w:t xml:space="preserve">d.   </w:t>
      </w:r>
      <w:r>
        <w:rPr>
          <w:i/>
        </w:rPr>
        <w:t>The stand</w:t>
      </w:r>
      <w:r>
        <w:rPr>
          <w:i/>
        </w:rPr>
        <w:t>ard places no restrictions on when the coordorigin and coordsize attributes are preserved on the rect element.</w:t>
      </w:r>
    </w:p>
    <w:p w:rsidR="00024C0A" w:rsidRDefault="00694C0F">
      <w:pPr>
        <w:pStyle w:val="Definition-Field2"/>
      </w:pPr>
      <w:r>
        <w:t>Office only preserves these attributes when this element has at least one of the following child elements:  a path with connection points specifi</w:t>
      </w:r>
      <w:r>
        <w:t>ed in its connectlocs attribute; a path with a textbox specified in its textboxrect attribute; or handles.</w:t>
      </w:r>
    </w:p>
    <w:p w:rsidR="00024C0A" w:rsidRDefault="00694C0F">
      <w:pPr>
        <w:pStyle w:val="Definition-Field"/>
      </w:pPr>
      <w:r>
        <w:t xml:space="preserve">e.   </w:t>
      </w:r>
      <w:r>
        <w:rPr>
          <w:i/>
        </w:rPr>
        <w:t>The standard does not mention the gfxdata attribute.</w:t>
      </w:r>
    </w:p>
    <w:p w:rsidR="00024C0A" w:rsidRDefault="00694C0F">
      <w:pPr>
        <w:pStyle w:val="Definition-Field2"/>
      </w:pPr>
      <w:r>
        <w:t>Office uses an gfxdata attribute. The definition is the same as the gfxdata attribute defin</w:t>
      </w:r>
      <w:r>
        <w:t>ed in Section 14.1.2.19.</w:t>
      </w:r>
    </w:p>
    <w:p w:rsidR="00024C0A" w:rsidRDefault="00694C0F">
      <w:pPr>
        <w:pStyle w:val="Heading3"/>
      </w:pPr>
      <w:bookmarkStart w:id="3615" w:name="section_ad5503cd7f9344d6ae270940131156f6"/>
      <w:bookmarkStart w:id="3616" w:name="_Toc12261868"/>
      <w:r>
        <w:lastRenderedPageBreak/>
        <w:t>Part 4 Section 19.1.2.17, roundrect (Rounded Rectangle)</w:t>
      </w:r>
      <w:bookmarkEnd w:id="3615"/>
      <w:bookmarkEnd w:id="3616"/>
      <w:r>
        <w:fldChar w:fldCharType="begin"/>
      </w:r>
      <w:r>
        <w:instrText xml:space="preserve"> XE "roundrect (Rounded Rectangle)"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w:t>
        </w:r>
        <w:r>
          <w:rPr>
            <w:rStyle w:val="Hyperlink"/>
          </w:rPr>
          <w:t>.2.3(d)</w:t>
        </w:r>
      </w:hyperlink>
      <w:r>
        <w:rPr>
          <w:i/>
        </w:rPr>
        <w:t xml:space="preserve">; </w:t>
      </w:r>
      <w:hyperlink w:anchor="Section_65100e2931e94e27972d9bf589fea5be">
        <w:r>
          <w:rPr>
            <w:rStyle w:val="Hyperlink"/>
          </w:rPr>
          <w:t>image, §19.1.2.10(b-f)</w:t>
        </w:r>
      </w:hyperlink>
      <w:r>
        <w:rPr>
          <w:i/>
        </w:rPr>
        <w:t>.</w:t>
      </w:r>
    </w:p>
    <w:p w:rsidR="00024C0A" w:rsidRDefault="00694C0F">
      <w:pPr>
        <w:pStyle w:val="Definition-Field"/>
      </w:pPr>
      <w:r>
        <w:t xml:space="preserve">a.   </w:t>
      </w:r>
      <w:r>
        <w:rPr>
          <w:i/>
        </w:rPr>
        <w:t>The standard places no restrictions on the value of the spt attribute.</w:t>
      </w:r>
    </w:p>
    <w:p w:rsidR="00024C0A" w:rsidRDefault="00694C0F">
      <w:pPr>
        <w:pStyle w:val="Definition-Field2"/>
      </w:pPr>
      <w:r>
        <w:t xml:space="preserve">Office requires that the spt attribute on a roundrect element have a value of 2. It </w:t>
      </w:r>
      <w:r>
        <w:t>is an error to specify this attribute as anything other than the default value, except for the shape and shapetype elements which can handle any valid spt value.</w:t>
      </w:r>
    </w:p>
    <w:p w:rsidR="00024C0A" w:rsidRDefault="00694C0F">
      <w:pPr>
        <w:pStyle w:val="Definition-Field"/>
      </w:pPr>
      <w:r>
        <w:t xml:space="preserve">b.   </w:t>
      </w:r>
      <w:r>
        <w:rPr>
          <w:i/>
        </w:rPr>
        <w:t xml:space="preserve">The standard states that chromakey, coordorigin, and opacity are valid attributes on the </w:t>
      </w:r>
      <w:r>
        <w:rPr>
          <w:i/>
        </w:rPr>
        <w:t>roundrect element.</w:t>
      </w:r>
    </w:p>
    <w:p w:rsidR="00024C0A" w:rsidRDefault="00694C0F">
      <w:pPr>
        <w:pStyle w:val="Definition-Field2"/>
      </w:pPr>
      <w:r>
        <w:t>Office does not support these attributes on this element.</w:t>
      </w:r>
    </w:p>
    <w:p w:rsidR="00024C0A" w:rsidRDefault="00694C0F">
      <w:pPr>
        <w:pStyle w:val="Definition-Field"/>
      </w:pPr>
      <w:r>
        <w:t xml:space="preserve">c.   </w:t>
      </w:r>
      <w:r>
        <w:rPr>
          <w:i/>
        </w:rPr>
        <w:t>The standard states that the default value of the spt attribute is 0.</w:t>
      </w:r>
    </w:p>
    <w:p w:rsidR="00024C0A" w:rsidRDefault="00694C0F">
      <w:pPr>
        <w:pStyle w:val="Definition-Field2"/>
      </w:pPr>
      <w:r>
        <w:t>Office uses a default value of 2 for the roundrect element.</w:t>
      </w:r>
    </w:p>
    <w:p w:rsidR="00024C0A" w:rsidRDefault="00694C0F">
      <w:pPr>
        <w:pStyle w:val="Definition-Field"/>
      </w:pPr>
      <w:r>
        <w:t xml:space="preserve">d.   </w:t>
      </w:r>
      <w:r>
        <w:rPr>
          <w:i/>
        </w:rPr>
        <w:t xml:space="preserve">The standard does not mention the </w:t>
      </w:r>
      <w:r>
        <w:rPr>
          <w:i/>
        </w:rPr>
        <w:t>gfxdata attribute.</w:t>
      </w:r>
    </w:p>
    <w:p w:rsidR="00024C0A" w:rsidRDefault="00694C0F">
      <w:pPr>
        <w:pStyle w:val="Definition-Field2"/>
      </w:pPr>
      <w:r>
        <w:t>Office uses an gfxdata attribute. The definition is the same as the gfxdata attribute defined in Section 14.1.2.19.</w:t>
      </w:r>
    </w:p>
    <w:p w:rsidR="00024C0A" w:rsidRDefault="00694C0F">
      <w:pPr>
        <w:pStyle w:val="Heading3"/>
      </w:pPr>
      <w:bookmarkStart w:id="3617" w:name="section_abf1cdb8e21044c2b758683db8ee1bbb"/>
      <w:bookmarkStart w:id="3618" w:name="_Toc12261869"/>
      <w:r>
        <w:t>Part 4 Section 19.1.2.18, shadow (Shadow Effect)</w:t>
      </w:r>
      <w:bookmarkEnd w:id="3617"/>
      <w:bookmarkEnd w:id="3618"/>
      <w:r>
        <w:fldChar w:fldCharType="begin"/>
      </w:r>
      <w:r>
        <w:instrText xml:space="preserve"> XE "shadow (Shadow Effect)" </w:instrText>
      </w:r>
      <w:r>
        <w:fldChar w:fldCharType="end"/>
      </w:r>
    </w:p>
    <w:p w:rsidR="00024C0A" w:rsidRDefault="00694C0F">
      <w:pPr>
        <w:pStyle w:val="Definition-Field2"/>
      </w:pPr>
      <w:r>
        <w:rPr>
          <w:i/>
        </w:rPr>
        <w:t>For additional notes that apply to this p</w:t>
      </w:r>
      <w:r>
        <w:rPr>
          <w:i/>
        </w:rPr>
        <w:t xml:space="preserve">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024C0A" w:rsidRDefault="00694C0F">
      <w:pPr>
        <w:pStyle w:val="Definition-Field"/>
      </w:pPr>
      <w:r>
        <w:t xml:space="preserve">a.   </w:t>
      </w:r>
      <w:r>
        <w:rPr>
          <w:i/>
        </w:rPr>
        <w:t>The standard states that the values of</w:t>
      </w:r>
      <w:r>
        <w:rPr>
          <w:i/>
        </w:rPr>
        <w:t xml:space="preserve"> the type attribute are defined by the ST_ShadowType simple type and some additional values.</w:t>
      </w:r>
    </w:p>
    <w:p w:rsidR="00024C0A" w:rsidRDefault="00694C0F">
      <w:pPr>
        <w:pStyle w:val="Definition-Field2"/>
      </w:pPr>
      <w:r>
        <w:t>Office only allows the values defined in the ST_ShadowType simple type for this attribute.</w:t>
      </w:r>
    </w:p>
    <w:p w:rsidR="00024C0A" w:rsidRDefault="00694C0F">
      <w:pPr>
        <w:pStyle w:val="Definition-Field"/>
      </w:pPr>
      <w:r>
        <w:t xml:space="preserve">b.   </w:t>
      </w:r>
      <w:r>
        <w:rPr>
          <w:i/>
        </w:rPr>
        <w:t>The standard does not specify bounds for the matrix attribute.</w:t>
      </w:r>
    </w:p>
    <w:p w:rsidR="00024C0A" w:rsidRDefault="00694C0F">
      <w:r>
        <w:t>In O</w:t>
      </w:r>
      <w:r>
        <w:t>ffice, these numeric values may be specified in 1/65536-ths if a trailing "f" is supplied. [</w:t>
      </w:r>
      <w:r>
        <w:rPr>
          <w:i/>
        </w:rPr>
        <w:t>Example:</w:t>
      </w:r>
      <w:r>
        <w:t xml:space="preserve"> A value of "52429f" represents 52429/65536, or 0.8. </w:t>
      </w:r>
      <w:r>
        <w:rPr>
          <w:i/>
        </w:rPr>
        <w:t>end example</w:t>
      </w:r>
      <w:r>
        <w:t xml:space="preserve">] The minimum and maximum values for </w:t>
      </w:r>
      <w:r>
        <w:rPr>
          <w:noProof/>
        </w:rPr>
        <w:drawing>
          <wp:inline distT="0" distB="0" distL="0" distR="0">
            <wp:extent cx="1181100" cy="190500"/>
            <wp:effectExtent l="0" t="0" r="0" b="0"/>
            <wp:docPr id="342015698" name="Picture 1" descr="S sub xx comma S sub xy comma S sub yx comma S sub yy comma P sub x comma P sub y" title="S sub xx comma S sub xy comma S sub yx comma S sub yy comma P sub x comma 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1c2-0000-0000-0000-000000000000" descr="S sub xx comma S sub xy comma S sub yx comma S sub yy comma P sub x comma P sub y" title="S sub xx comma S sub xy comma S sub yx comma S sub yy comma P sub x comma P sub y"/>
                    <pic:cNvPicPr>
                      <a:picLocks noChangeAspect="1" noChangeArrowheads="1"/>
                    </pic:cNvPicPr>
                  </pic:nvPicPr>
                  <pic:blipFill>
                    <a:blip r:embed="rId239" cstate="print"/>
                    <a:srcRect/>
                    <a:stretch>
                      <a:fillRect/>
                    </a:stretch>
                  </pic:blipFill>
                  <pic:spPr bwMode="auto">
                    <a:xfrm>
                      <a:off x="0" y="0"/>
                      <a:ext cx="1181100" cy="190500"/>
                    </a:xfrm>
                    <a:prstGeom prst="rect">
                      <a:avLst/>
                    </a:prstGeom>
                    <a:noFill/>
                    <a:ln w="9525">
                      <a:noFill/>
                      <a:miter lim="800000"/>
                      <a:headEnd/>
                      <a:tailEnd/>
                    </a:ln>
                  </pic:spPr>
                </pic:pic>
              </a:graphicData>
            </a:graphic>
          </wp:inline>
        </w:drawing>
      </w:r>
      <w:r>
        <w:t xml:space="preserve"> are -2147483644f to 2147483647f.</w:t>
      </w:r>
    </w:p>
    <w:p w:rsidR="00024C0A" w:rsidRDefault="00694C0F">
      <w:pPr>
        <w:pStyle w:val="Definition-Field"/>
      </w:pPr>
      <w:r>
        <w:t xml:space="preserve">c.   </w:t>
      </w:r>
      <w:r>
        <w:rPr>
          <w:i/>
        </w:rPr>
        <w:t>The standard do</w:t>
      </w:r>
      <w:r>
        <w:rPr>
          <w:i/>
        </w:rPr>
        <w:t>es not indicate how the matrix attribute is applied to the shadow.</w:t>
      </w:r>
    </w:p>
    <w:p w:rsidR="00024C0A" w:rsidRDefault="00694C0F">
      <w:r>
        <w:t>Office applies this matrix to a point in the following way.</w:t>
      </w:r>
    </w:p>
    <w:p w:rsidR="00024C0A" w:rsidRDefault="00694C0F">
      <w:r>
        <w:t xml:space="preserve">Let </w:t>
      </w:r>
      <w:r>
        <w:rPr>
          <w:noProof/>
        </w:rPr>
        <w:drawing>
          <wp:inline distT="0" distB="0" distL="0" distR="0">
            <wp:extent cx="85725" cy="171450"/>
            <wp:effectExtent l="0" t="0" r="0" b="0"/>
            <wp:docPr id="342015699" name="Picture 1" descr="Variable Q" title="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d-0000-0000-0000-000000000000" descr="Variable Q" title="Variable Q"/>
                    <pic:cNvPicPr>
                      <a:picLocks noChangeAspect="1" noChangeArrowheads="1"/>
                    </pic:cNvPicPr>
                  </pic:nvPicPr>
                  <pic:blipFill>
                    <a:blip r:embed="rId240"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342015700" name="Picture 1" descr="Equation: Q = a vector consisting of 3 elements. Column 1 contains x, column 2 contains  y, column 3 contains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e-0000-0000-0000-000000000000" descr="Equation: Q = a vector consisting of 3 elements. Column 1 contains x, column 2 contains  y, column 3 contains 1." title="Equation"/>
                    <pic:cNvPicPr>
                      <a:picLocks noChangeAspect="1" noChangeArrowheads="1"/>
                    </pic:cNvPicPr>
                  </pic:nvPicPr>
                  <pic:blipFill>
                    <a:blip r:embed="rId241"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024C0A" w:rsidRDefault="00694C0F">
      <w:r>
        <w:t xml:space="preserve">Let </w:t>
      </w:r>
      <w:r>
        <w:rPr>
          <w:noProof/>
        </w:rPr>
        <w:drawing>
          <wp:inline distT="0" distB="0" distL="0" distR="0">
            <wp:extent cx="790575" cy="466724"/>
            <wp:effectExtent l="0" t="0" r="0" b="0"/>
            <wp:docPr id="342015701" name="Picture 1" descr="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f-0000-0000-0000-000000000000" descr="Equation: F = Q times a vector consisting of 3 elements. 1 over P sub x 1 over P sub y, and 1" title="Equation"/>
                    <pic:cNvPicPr>
                      <a:picLocks noChangeAspect="1" noChangeArrowheads="1"/>
                    </pic:cNvPicPr>
                  </pic:nvPicPr>
                  <pic:blipFill>
                    <a:blip r:embed="rId242"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02"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8-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43"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024C0A" w:rsidRDefault="00694C0F">
      <w:r>
        <w:t xml:space="preserve">A new point </w:t>
      </w:r>
      <w:r>
        <w:rPr>
          <w:noProof/>
        </w:rPr>
        <w:drawing>
          <wp:inline distT="0" distB="0" distL="0" distR="0">
            <wp:extent cx="114300" cy="171450"/>
            <wp:effectExtent l="0" t="0" r="0" b="0"/>
            <wp:docPr id="342015703"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9-0000-0000-0000-000000000000" descr="Q prime" title="Q prime"/>
                    <pic:cNvPicPr>
                      <a:picLocks noChangeAspect="1" noChangeArrowheads="1"/>
                    </pic:cNvPicPr>
                  </pic:nvPicPr>
                  <pic:blipFill>
                    <a:blip r:embed="rId244"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w:t>
      </w:r>
      <w:r>
        <w:t xml:space="preserve"> as </w:t>
      </w:r>
      <w:r>
        <w:rPr>
          <w:noProof/>
        </w:rPr>
        <w:drawing>
          <wp:inline distT="0" distB="0" distL="0" distR="0">
            <wp:extent cx="838200" cy="171450"/>
            <wp:effectExtent l="0" t="0" r="0" b="0"/>
            <wp:docPr id="342015704" name="Picture 1" descr="Equation for new point: Q prime = f times open parentheses Q times M closed parentheses"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a-0000-0000-0000-000000000000" descr="Equation for new point: Q prime = f times open parentheses Q times M closed parentheses" title="Equation for new point"/>
                    <pic:cNvPicPr>
                      <a:picLocks noChangeAspect="1" noChangeArrowheads="1"/>
                    </pic:cNvPicPr>
                  </pic:nvPicPr>
                  <pic:blipFill>
                    <a:blip r:embed="rId245" cstate="print"/>
                    <a:srcRect/>
                    <a:stretch>
                      <a:fillRect/>
                    </a:stretch>
                  </pic:blipFill>
                  <pic:spPr bwMode="auto">
                    <a:xfrm>
                      <a:off x="0" y="0"/>
                      <a:ext cx="838200" cy="171450"/>
                    </a:xfrm>
                    <a:prstGeom prst="rect">
                      <a:avLst/>
                    </a:prstGeom>
                    <a:noFill/>
                    <a:ln w="9525">
                      <a:noFill/>
                      <a:miter lim="800000"/>
                      <a:headEnd/>
                      <a:tailEnd/>
                    </a:ln>
                  </pic:spPr>
                </pic:pic>
              </a:graphicData>
            </a:graphic>
          </wp:inline>
        </w:drawing>
      </w:r>
      <w:r>
        <w:t>.</w:t>
      </w:r>
    </w:p>
    <w:p w:rsidR="00024C0A" w:rsidRDefault="00694C0F">
      <w:r>
        <w:t xml:space="preserve">In Office, if </w:t>
      </w:r>
      <w:r>
        <w:rPr>
          <w:noProof/>
        </w:rPr>
        <w:drawing>
          <wp:inline distT="0" distB="0" distL="0" distR="0">
            <wp:extent cx="361950" cy="171450"/>
            <wp:effectExtent l="0" t="0" r="0" b="0"/>
            <wp:docPr id="342015705" name="Picture 1" descr="Equation: P sub x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b-0000-0000-0000-000000000000" descr="Equation: P sub x = 0" title="Equation"/>
                    <pic:cNvPicPr>
                      <a:picLocks noChangeAspect="1" noChangeArrowheads="1"/>
                    </pic:cNvPicPr>
                  </pic:nvPicPr>
                  <pic:blipFill>
                    <a:blip r:embed="rId246" cstate="print"/>
                    <a:srcRect/>
                    <a:stretch>
                      <a:fillRect/>
                    </a:stretch>
                  </pic:blipFill>
                  <pic:spPr bwMode="auto">
                    <a:xfrm>
                      <a:off x="0" y="0"/>
                      <a:ext cx="361950"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361950" cy="190500"/>
            <wp:effectExtent l="0" t="0" r="0" b="0"/>
            <wp:docPr id="342015706" name="Picture 1" descr="Equation: P sub y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4-0000-0000-0000-000000000000" descr="Equation: P sub y = 0" title="Equation"/>
                    <pic:cNvPicPr>
                      <a:picLocks noChangeAspect="1" noChangeArrowheads="1"/>
                    </pic:cNvPicPr>
                  </pic:nvPicPr>
                  <pic:blipFill>
                    <a:blip r:embed="rId247" cstate="print"/>
                    <a:srcRect/>
                    <a:stretch>
                      <a:fillRect/>
                    </a:stretch>
                  </pic:blipFill>
                  <pic:spPr bwMode="auto">
                    <a:xfrm>
                      <a:off x="0" y="0"/>
                      <a:ext cx="361950" cy="190500"/>
                    </a:xfrm>
                    <a:prstGeom prst="rect">
                      <a:avLst/>
                    </a:prstGeom>
                    <a:noFill/>
                    <a:ln w="9525">
                      <a:noFill/>
                      <a:miter lim="800000"/>
                      <a:headEnd/>
                      <a:tailEnd/>
                    </a:ln>
                  </pic:spPr>
                </pic:pic>
              </a:graphicData>
            </a:graphic>
          </wp:inline>
        </w:drawing>
      </w:r>
      <w:r>
        <w:t xml:space="preserve"> then </w:t>
      </w:r>
      <w:r>
        <w:rPr>
          <w:noProof/>
        </w:rPr>
        <w:drawing>
          <wp:inline distT="0" distB="0" distL="0" distR="0">
            <wp:extent cx="304800" cy="171450"/>
            <wp:effectExtent l="0" t="0" r="0" b="0"/>
            <wp:docPr id="342015708" name="Picture 1" descr="Equation: f =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5-0000-0000-0000-000000000000" descr="Equation: f = 1" title="Equation"/>
                    <pic:cNvPicPr>
                      <a:picLocks noChangeAspect="1" noChangeArrowheads="1"/>
                    </pic:cNvPicPr>
                  </pic:nvPicPr>
                  <pic:blipFill>
                    <a:blip r:embed="rId248"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w:t>
      </w:r>
    </w:p>
    <w:p w:rsidR="00024C0A" w:rsidRDefault="00694C0F">
      <w:r>
        <w:lastRenderedPageBreak/>
        <w:t xml:space="preserve">The origin for the coordinate system used here is defined by the </w:t>
      </w:r>
      <w:r>
        <w:rPr>
          <w:b/>
        </w:rPr>
        <w:t>origin</w:t>
      </w:r>
      <w:r>
        <w:t xml:space="preserve"> attribute, which is dependent on the height and width of the shape.</w:t>
      </w:r>
    </w:p>
    <w:p w:rsidR="00024C0A" w:rsidRDefault="00694C0F">
      <w:pPr>
        <w:pStyle w:val="Definition-Field"/>
      </w:pPr>
      <w:r>
        <w:t xml:space="preserve">d.   </w:t>
      </w:r>
      <w:r>
        <w:rPr>
          <w:i/>
        </w:rPr>
        <w:t xml:space="preserve">The standard indicates that drawingRelative and shapeRelative are valid </w:t>
      </w:r>
      <w:r>
        <w:rPr>
          <w:i/>
        </w:rPr>
        <w:t>simple type values for the type attribute.</w:t>
      </w:r>
    </w:p>
    <w:p w:rsidR="00024C0A" w:rsidRDefault="00694C0F">
      <w:pPr>
        <w:pStyle w:val="Definition-Field2"/>
      </w:pPr>
      <w:r>
        <w:t>If the value of the type attribute is drawingRelative or shapeRelative, Office transforms the shadow to use a value of perspective on file save.</w:t>
      </w:r>
    </w:p>
    <w:p w:rsidR="00024C0A" w:rsidRDefault="00694C0F">
      <w:pPr>
        <w:pStyle w:val="Definition-Field"/>
      </w:pPr>
      <w:r>
        <w:t xml:space="preserve">e.   </w:t>
      </w:r>
      <w:r>
        <w:rPr>
          <w:i/>
        </w:rPr>
        <w:t>The standard indicates that emboss is a valid simple type value</w:t>
      </w:r>
      <w:r>
        <w:rPr>
          <w:i/>
        </w:rPr>
        <w:t>s for the type attribute.</w:t>
      </w:r>
    </w:p>
    <w:p w:rsidR="00024C0A" w:rsidRDefault="00694C0F">
      <w:pPr>
        <w:pStyle w:val="Definition-Field2"/>
      </w:pPr>
      <w:r>
        <w:t>If the value of the type attribute is emboss and the offset or offset2 attribute is defined using fractional values of the shape dimensions, Office transforms the shadow to use a value of perspective on file save.</w:t>
      </w:r>
    </w:p>
    <w:p w:rsidR="00024C0A" w:rsidRDefault="00694C0F">
      <w:pPr>
        <w:pStyle w:val="Definition-Field"/>
      </w:pPr>
      <w:r>
        <w:t xml:space="preserve">f.   </w:t>
      </w:r>
      <w:r>
        <w:rPr>
          <w:i/>
        </w:rPr>
        <w:t>The standar</w:t>
      </w:r>
      <w:r>
        <w:rPr>
          <w:i/>
        </w:rPr>
        <w:t>d indicates how the obscured attribute is used.</w:t>
      </w:r>
    </w:p>
    <w:p w:rsidR="00024C0A" w:rsidRDefault="00694C0F">
      <w:pPr>
        <w:pStyle w:val="Definition-Field2"/>
      </w:pPr>
      <w:r>
        <w:t>In Office, if the value of the obscured attribute is false, then the shadow is transparent if there is no fill on the shape.</w:t>
      </w:r>
    </w:p>
    <w:p w:rsidR="00024C0A" w:rsidRDefault="00694C0F">
      <w:pPr>
        <w:pStyle w:val="Definition-Field"/>
      </w:pPr>
      <w:r>
        <w:t xml:space="preserve">g.   </w:t>
      </w:r>
      <w:r>
        <w:rPr>
          <w:i/>
        </w:rPr>
        <w:t>The standard indicates that the default value for the on attribute is true.</w:t>
      </w:r>
    </w:p>
    <w:p w:rsidR="00024C0A" w:rsidRDefault="00694C0F">
      <w:pPr>
        <w:pStyle w:val="Definition-Field2"/>
      </w:pPr>
      <w:r>
        <w:t>In</w:t>
      </w:r>
      <w:r>
        <w:t xml:space="preserve"> Office, if the on attribute value is blank, it is considered to be true. If it is absent, it defaults to false.</w:t>
      </w:r>
    </w:p>
    <w:p w:rsidR="00024C0A" w:rsidRDefault="00694C0F">
      <w:pPr>
        <w:pStyle w:val="Definition-Field"/>
      </w:pPr>
      <w:r>
        <w:t xml:space="preserve">h.   </w:t>
      </w:r>
      <w:r>
        <w:rPr>
          <w:i/>
        </w:rPr>
        <w:t>The standard does not restrict the number of instances of this element.</w:t>
      </w:r>
    </w:p>
    <w:p w:rsidR="00024C0A" w:rsidRDefault="00694C0F">
      <w:pPr>
        <w:pStyle w:val="Definition-Field2"/>
      </w:pPr>
      <w:r>
        <w:t>Office allows at most only one instance of the shadow element in e</w:t>
      </w:r>
      <w:r>
        <w:t>ach place where it can be used.</w:t>
      </w:r>
    </w:p>
    <w:p w:rsidR="00024C0A" w:rsidRDefault="00694C0F">
      <w:pPr>
        <w:pStyle w:val="Definition-Field"/>
      </w:pPr>
      <w:r>
        <w:t xml:space="preserve">i.   </w:t>
      </w:r>
      <w:r>
        <w:rPr>
          <w:i/>
        </w:rPr>
        <w:t>The standard states that values of the opacity attribute are defined by the XML Schema string datatype.</w:t>
      </w:r>
    </w:p>
    <w:p w:rsidR="00024C0A" w:rsidRDefault="00694C0F">
      <w:pPr>
        <w:pStyle w:val="Definition-Field2"/>
      </w:pPr>
      <w:r>
        <w:t>Office defines the values of the opacity attribute with the ST_Fraction (</w:t>
      </w:r>
      <w:hyperlink w:anchor="Section_c96929a126d44fe4819f37727a9492e8">
        <w:r>
          <w:rPr>
            <w:rStyle w:val="Hyperlink"/>
          </w:rPr>
          <w:t>§3.9.1, ST_Fraction</w:t>
        </w:r>
      </w:hyperlink>
      <w:r>
        <w:t>) simple type.</w:t>
      </w:r>
    </w:p>
    <w:p w:rsidR="00024C0A" w:rsidRDefault="00694C0F">
      <w:pPr>
        <w:pStyle w:val="Heading3"/>
      </w:pPr>
      <w:bookmarkStart w:id="3619" w:name="section_edfd844dbf1a410981cd4caa788f1449"/>
      <w:bookmarkStart w:id="3620" w:name="_Toc12261870"/>
      <w:r>
        <w:t>Part 4 Section 19.1.2.19, shape (Shape Definition)</w:t>
      </w:r>
      <w:bookmarkEnd w:id="3619"/>
      <w:bookmarkEnd w:id="3620"/>
      <w:r>
        <w:fldChar w:fldCharType="begin"/>
      </w:r>
      <w:r>
        <w:instrText xml:space="preserve"> XE "shape (Shape Definition)" </w:instrText>
      </w:r>
      <w:r>
        <w:fldChar w:fldCharType="end"/>
      </w:r>
    </w:p>
    <w:p w:rsidR="00024C0A" w:rsidRDefault="00694C0F">
      <w:pPr>
        <w:pStyle w:val="Definition-Field2"/>
      </w:pPr>
      <w:r>
        <w:rPr>
          <w:i/>
        </w:rPr>
        <w:t>For additional notes that apply to this portion of the standard, please see t</w:t>
      </w:r>
      <w:r>
        <w:rPr>
          <w:i/>
        </w:rPr>
        <w:t xml:space="preserve">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024C0A" w:rsidRDefault="00694C0F">
      <w:pPr>
        <w:pStyle w:val="Definition-Field"/>
      </w:pPr>
      <w:r>
        <w:t xml:space="preserve">a.   </w:t>
      </w:r>
      <w:r>
        <w:rPr>
          <w:i/>
        </w:rPr>
        <w:t>The standard does not document the format of the equationxml attribute.</w:t>
      </w:r>
    </w:p>
    <w:p w:rsidR="00024C0A" w:rsidRDefault="00694C0F">
      <w:pPr>
        <w:pStyle w:val="Definition-Field2"/>
      </w:pPr>
      <w:r>
        <w:t>Word uses a specific fo</w:t>
      </w:r>
      <w:r>
        <w:t>rmat for the equationxml attribute as defined by Equation XML (</w:t>
      </w:r>
      <w:hyperlink w:anchor="Section_f6bb45e674ca4e37a30b13a40d6ea3ff">
        <w:r>
          <w:rPr>
            <w:rStyle w:val="Hyperlink"/>
          </w:rPr>
          <w:t>§3.8, Equation XML</w:t>
        </w:r>
      </w:hyperlink>
      <w:r>
        <w:t>).</w:t>
      </w:r>
    </w:p>
    <w:p w:rsidR="00024C0A" w:rsidRDefault="00694C0F">
      <w:pPr>
        <w:pStyle w:val="Definition-Field"/>
      </w:pPr>
      <w:r>
        <w:t xml:space="preserve">b.   </w:t>
      </w:r>
      <w:r>
        <w:rPr>
          <w:i/>
        </w:rPr>
        <w:t>The standard indicates that the format of the gfxdata attribute is application-defined.</w:t>
      </w:r>
    </w:p>
    <w:p w:rsidR="00024C0A" w:rsidRDefault="00694C0F">
      <w:pPr>
        <w:pStyle w:val="Definition-Field2"/>
      </w:pPr>
      <w:r>
        <w:t>Office formats t</w:t>
      </w:r>
      <w:r>
        <w:t>his attribute as specified in the DrawingML Persistence Part (</w:t>
      </w:r>
      <w:hyperlink w:anchor="Section_5f22f80d39f24ed6a6eb2dd92581ef97">
        <w:r>
          <w:rPr>
            <w:rStyle w:val="Hyperlink"/>
          </w:rPr>
          <w:t>§3.1.4, DrawingML Persistence Part</w:t>
        </w:r>
      </w:hyperlink>
      <w:r>
        <w:t>).</w:t>
      </w:r>
    </w:p>
    <w:p w:rsidR="00024C0A" w:rsidRDefault="00694C0F">
      <w:pPr>
        <w:pStyle w:val="Definition-Field"/>
      </w:pPr>
      <w:r>
        <w:t xml:space="preserve">c.   </w:t>
      </w:r>
      <w:r>
        <w:rPr>
          <w:i/>
        </w:rPr>
        <w:t>The standard states that chromakey and opacity are valid attributes on the shape element.</w:t>
      </w:r>
    </w:p>
    <w:p w:rsidR="00024C0A" w:rsidRDefault="00694C0F">
      <w:pPr>
        <w:pStyle w:val="Definition-Field2"/>
      </w:pPr>
      <w:r>
        <w:t>Office does not support these attributes on this element.</w:t>
      </w:r>
    </w:p>
    <w:p w:rsidR="00024C0A" w:rsidRDefault="00694C0F">
      <w:pPr>
        <w:pStyle w:val="Definition-Field"/>
      </w:pPr>
      <w:r>
        <w:t xml:space="preserve">d.   </w:t>
      </w:r>
      <w:r>
        <w:rPr>
          <w:i/>
        </w:rPr>
        <w:t>The standard states that the values of the spt attribute are defined by the XML Schema float datatype.</w:t>
      </w:r>
    </w:p>
    <w:p w:rsidR="00024C0A" w:rsidRDefault="00694C0F">
      <w:pPr>
        <w:pStyle w:val="Definition-Field2"/>
      </w:pPr>
      <w:r>
        <w:t>Office defines the values of this attribute with the ST_ShapeType (</w:t>
      </w:r>
      <w:hyperlink w:anchor="Section_d7f650a3a70647a88556121f9c7d0205">
        <w:r>
          <w:rPr>
            <w:rStyle w:val="Hyperlink"/>
          </w:rPr>
          <w:t>§3.9.5, ST_ShapeType</w:t>
        </w:r>
      </w:hyperlink>
      <w:r>
        <w:t>) simple type.</w:t>
      </w:r>
    </w:p>
    <w:p w:rsidR="00024C0A" w:rsidRDefault="00694C0F">
      <w:pPr>
        <w:pStyle w:val="Definition-Field"/>
      </w:pPr>
      <w:r>
        <w:lastRenderedPageBreak/>
        <w:t xml:space="preserve">e.   </w:t>
      </w:r>
      <w:r>
        <w:rPr>
          <w:i/>
        </w:rPr>
        <w:t>The standard states that the style attribute has a number of name/value pairs, but doesn't fully define the WordprocessingML object positioning ones.</w:t>
      </w:r>
    </w:p>
    <w:p w:rsidR="00024C0A" w:rsidRDefault="00694C0F">
      <w:r>
        <w:t xml:space="preserve">Word recognizes the </w:t>
      </w:r>
      <w:r>
        <w:t>following name/value pairs:</w:t>
      </w:r>
    </w:p>
    <w:p w:rsidR="00024C0A" w:rsidRDefault="00694C0F">
      <w:r>
        <w:rPr>
          <w:b/>
        </w:rPr>
        <w:t>mso-position-horizontal</w:t>
      </w:r>
      <w:r>
        <w:t>: the relative horizontal position of the object</w:t>
      </w:r>
    </w:p>
    <w:p w:rsidR="00024C0A" w:rsidRDefault="00694C0F">
      <w:pPr>
        <w:pStyle w:val="ListParagraph"/>
        <w:numPr>
          <w:ilvl w:val="0"/>
          <w:numId w:val="171"/>
        </w:numPr>
        <w:contextualSpacing/>
      </w:pPr>
      <w:r>
        <w:t>absolute = an absolute measurement defined by margin-left</w:t>
      </w:r>
    </w:p>
    <w:p w:rsidR="00024C0A" w:rsidRDefault="00694C0F">
      <w:pPr>
        <w:pStyle w:val="ListParagraph"/>
        <w:numPr>
          <w:ilvl w:val="0"/>
          <w:numId w:val="171"/>
        </w:numPr>
        <w:contextualSpacing/>
      </w:pPr>
      <w:r>
        <w:t>left = on the left side of the object in mso-position-horizontal-relative</w:t>
      </w:r>
    </w:p>
    <w:p w:rsidR="00024C0A" w:rsidRDefault="00694C0F">
      <w:pPr>
        <w:pStyle w:val="ListParagraph"/>
        <w:numPr>
          <w:ilvl w:val="0"/>
          <w:numId w:val="171"/>
        </w:numPr>
        <w:contextualSpacing/>
      </w:pPr>
      <w:r>
        <w:t>center = centered within</w:t>
      </w:r>
      <w:r>
        <w:t xml:space="preserve"> the object in mso-position-horizontal-relative</w:t>
      </w:r>
    </w:p>
    <w:p w:rsidR="00024C0A" w:rsidRDefault="00694C0F">
      <w:pPr>
        <w:pStyle w:val="ListParagraph"/>
        <w:numPr>
          <w:ilvl w:val="0"/>
          <w:numId w:val="171"/>
        </w:numPr>
        <w:contextualSpacing/>
      </w:pPr>
      <w:r>
        <w:t>right = on the right side of the object in mso-position-horizontal-relative</w:t>
      </w:r>
    </w:p>
    <w:p w:rsidR="00024C0A" w:rsidRDefault="00694C0F">
      <w:pPr>
        <w:pStyle w:val="ListParagraph"/>
        <w:numPr>
          <w:ilvl w:val="0"/>
          <w:numId w:val="171"/>
        </w:numPr>
        <w:contextualSpacing/>
      </w:pPr>
      <w:r>
        <w:t>inside = inside the object in mso-position-horizontal-relative; only valid for values of "margin" and "page"</w:t>
      </w:r>
    </w:p>
    <w:p w:rsidR="00024C0A" w:rsidRDefault="00694C0F">
      <w:pPr>
        <w:pStyle w:val="ListParagraph"/>
        <w:numPr>
          <w:ilvl w:val="0"/>
          <w:numId w:val="171"/>
        </w:numPr>
      </w:pPr>
      <w:r>
        <w:t>outside = outside of th</w:t>
      </w:r>
      <w:r>
        <w:t>e object in mso-position-horizontal-relative; only valid for values of "margin" and "page"</w:t>
      </w:r>
    </w:p>
    <w:p w:rsidR="00024C0A" w:rsidRDefault="00694C0F">
      <w:r>
        <w:rPr>
          <w:b/>
        </w:rPr>
        <w:t>mso-position-horizontal-relative</w:t>
      </w:r>
      <w:r>
        <w:t>: the basis of the relative horizontal position of the object</w:t>
      </w:r>
    </w:p>
    <w:p w:rsidR="00024C0A" w:rsidRDefault="00694C0F">
      <w:pPr>
        <w:pStyle w:val="ListParagraph"/>
        <w:numPr>
          <w:ilvl w:val="0"/>
          <w:numId w:val="172"/>
        </w:numPr>
        <w:contextualSpacing/>
      </w:pPr>
      <w:r>
        <w:t>margin = relative to the leading margin</w:t>
      </w:r>
    </w:p>
    <w:p w:rsidR="00024C0A" w:rsidRDefault="00694C0F">
      <w:pPr>
        <w:pStyle w:val="ListParagraph"/>
        <w:numPr>
          <w:ilvl w:val="0"/>
          <w:numId w:val="172"/>
        </w:numPr>
        <w:contextualSpacing/>
      </w:pPr>
      <w:r>
        <w:t>page = relative to page with th</w:t>
      </w:r>
      <w:r>
        <w:t>e object's anchor</w:t>
      </w:r>
    </w:p>
    <w:p w:rsidR="00024C0A" w:rsidRDefault="00694C0F">
      <w:pPr>
        <w:pStyle w:val="ListParagraph"/>
        <w:numPr>
          <w:ilvl w:val="0"/>
          <w:numId w:val="172"/>
        </w:numPr>
        <w:contextualSpacing/>
      </w:pPr>
      <w:r>
        <w:t>text = relative to the text column</w:t>
      </w:r>
    </w:p>
    <w:p w:rsidR="00024C0A" w:rsidRDefault="00694C0F">
      <w:pPr>
        <w:pStyle w:val="ListParagraph"/>
        <w:numPr>
          <w:ilvl w:val="0"/>
          <w:numId w:val="172"/>
        </w:numPr>
        <w:contextualSpacing/>
      </w:pPr>
      <w:r>
        <w:t>char = relative to the location of the anchor for the object</w:t>
      </w:r>
    </w:p>
    <w:p w:rsidR="00024C0A" w:rsidRDefault="00694C0F">
      <w:pPr>
        <w:pStyle w:val="ListParagraph"/>
        <w:numPr>
          <w:ilvl w:val="0"/>
          <w:numId w:val="172"/>
        </w:numPr>
        <w:contextualSpacing/>
      </w:pPr>
      <w:r>
        <w:t>left-margin = relative to the left margin</w:t>
      </w:r>
    </w:p>
    <w:p w:rsidR="00024C0A" w:rsidRDefault="00694C0F">
      <w:pPr>
        <w:pStyle w:val="ListParagraph"/>
        <w:numPr>
          <w:ilvl w:val="0"/>
          <w:numId w:val="172"/>
        </w:numPr>
        <w:contextualSpacing/>
      </w:pPr>
      <w:r>
        <w:t>right-margin = relative to the right margin</w:t>
      </w:r>
    </w:p>
    <w:p w:rsidR="00024C0A" w:rsidRDefault="00694C0F">
      <w:pPr>
        <w:pStyle w:val="ListParagraph"/>
        <w:numPr>
          <w:ilvl w:val="0"/>
          <w:numId w:val="172"/>
        </w:numPr>
        <w:contextualSpacing/>
      </w:pPr>
      <w:r>
        <w:t xml:space="preserve">inner-margin-area = relative to the inner margin (the </w:t>
      </w:r>
      <w:r>
        <w:t>right margin for odd-numbered pages, the left margin for even-numbered pages)</w:t>
      </w:r>
    </w:p>
    <w:p w:rsidR="00024C0A" w:rsidRDefault="00694C0F">
      <w:pPr>
        <w:pStyle w:val="ListParagraph"/>
        <w:numPr>
          <w:ilvl w:val="0"/>
          <w:numId w:val="172"/>
        </w:numPr>
      </w:pPr>
      <w:r>
        <w:t>outer-margin-area = relative to the outer margin (the left margin for odd-numbered pages, the right margin for even-numbered pages)</w:t>
      </w:r>
    </w:p>
    <w:p w:rsidR="00024C0A" w:rsidRDefault="00694C0F">
      <w:r>
        <w:rPr>
          <w:b/>
        </w:rPr>
        <w:t>mso-position-vertical</w:t>
      </w:r>
      <w:r>
        <w:t>: the relative vertical p</w:t>
      </w:r>
      <w:r>
        <w:t>osition of the object</w:t>
      </w:r>
    </w:p>
    <w:p w:rsidR="00024C0A" w:rsidRDefault="00694C0F">
      <w:pPr>
        <w:pStyle w:val="ListParagraph"/>
        <w:numPr>
          <w:ilvl w:val="0"/>
          <w:numId w:val="173"/>
        </w:numPr>
        <w:contextualSpacing/>
      </w:pPr>
      <w:r>
        <w:t>absolute = an absolute measurement defined by margin-top</w:t>
      </w:r>
    </w:p>
    <w:p w:rsidR="00024C0A" w:rsidRDefault="00694C0F">
      <w:pPr>
        <w:pStyle w:val="ListParagraph"/>
        <w:numPr>
          <w:ilvl w:val="0"/>
          <w:numId w:val="173"/>
        </w:numPr>
        <w:contextualSpacing/>
      </w:pPr>
      <w:r>
        <w:t>center = centered on the object in mso-position-vertical-relative; not valid for value of "text"</w:t>
      </w:r>
    </w:p>
    <w:p w:rsidR="00024C0A" w:rsidRDefault="00694C0F">
      <w:pPr>
        <w:pStyle w:val="ListParagraph"/>
        <w:numPr>
          <w:ilvl w:val="0"/>
          <w:numId w:val="173"/>
        </w:numPr>
        <w:contextualSpacing/>
      </w:pPr>
      <w:r>
        <w:t>bottom = at the bottom of the object in mso-position-vertical-relative; not vali</w:t>
      </w:r>
      <w:r>
        <w:t>d for value of "text"</w:t>
      </w:r>
    </w:p>
    <w:p w:rsidR="00024C0A" w:rsidRDefault="00694C0F">
      <w:pPr>
        <w:pStyle w:val="ListParagraph"/>
        <w:numPr>
          <w:ilvl w:val="0"/>
          <w:numId w:val="173"/>
        </w:numPr>
        <w:contextualSpacing/>
      </w:pPr>
      <w:r>
        <w:t>top = at the top of the object in mso-position-vertical-relative; not valid for value of "text"</w:t>
      </w:r>
    </w:p>
    <w:p w:rsidR="00024C0A" w:rsidRDefault="00694C0F">
      <w:pPr>
        <w:pStyle w:val="ListParagraph"/>
        <w:numPr>
          <w:ilvl w:val="0"/>
          <w:numId w:val="173"/>
        </w:numPr>
        <w:contextualSpacing/>
      </w:pPr>
      <w:r>
        <w:t>inside = inside the object in mso-position-vertical-relative; not valid for value of "text"</w:t>
      </w:r>
    </w:p>
    <w:p w:rsidR="00024C0A" w:rsidRDefault="00694C0F">
      <w:pPr>
        <w:pStyle w:val="ListParagraph"/>
        <w:numPr>
          <w:ilvl w:val="0"/>
          <w:numId w:val="173"/>
        </w:numPr>
      </w:pPr>
      <w:r>
        <w:t>outside = outside of the object in mso-positio</w:t>
      </w:r>
      <w:r>
        <w:t>n-vertical-relative; not valid for value of "text" </w:t>
      </w:r>
    </w:p>
    <w:p w:rsidR="00024C0A" w:rsidRDefault="00694C0F">
      <w:r>
        <w:rPr>
          <w:b/>
        </w:rPr>
        <w:t>mso-position-vertical-relative</w:t>
      </w:r>
      <w:r>
        <w:t>: the basis of the relative vertical position of the object</w:t>
      </w:r>
    </w:p>
    <w:p w:rsidR="00024C0A" w:rsidRDefault="00694C0F">
      <w:pPr>
        <w:pStyle w:val="ListParagraph"/>
        <w:numPr>
          <w:ilvl w:val="0"/>
          <w:numId w:val="174"/>
        </w:numPr>
        <w:contextualSpacing/>
      </w:pPr>
      <w:r>
        <w:t>margin = relative to the leading margin</w:t>
      </w:r>
    </w:p>
    <w:p w:rsidR="00024C0A" w:rsidRDefault="00694C0F">
      <w:pPr>
        <w:pStyle w:val="ListParagraph"/>
        <w:numPr>
          <w:ilvl w:val="0"/>
          <w:numId w:val="174"/>
        </w:numPr>
        <w:contextualSpacing/>
      </w:pPr>
      <w:r>
        <w:t>page = relative to page with the object's anchor</w:t>
      </w:r>
    </w:p>
    <w:p w:rsidR="00024C0A" w:rsidRDefault="00694C0F">
      <w:pPr>
        <w:pStyle w:val="ListParagraph"/>
        <w:numPr>
          <w:ilvl w:val="0"/>
          <w:numId w:val="174"/>
        </w:numPr>
        <w:contextualSpacing/>
      </w:pPr>
      <w:r>
        <w:t>text = relative to the pa</w:t>
      </w:r>
      <w:r>
        <w:t>ragraph with the object's anchor</w:t>
      </w:r>
    </w:p>
    <w:p w:rsidR="00024C0A" w:rsidRDefault="00694C0F">
      <w:pPr>
        <w:pStyle w:val="ListParagraph"/>
        <w:numPr>
          <w:ilvl w:val="0"/>
          <w:numId w:val="174"/>
        </w:numPr>
        <w:contextualSpacing/>
      </w:pPr>
      <w:r>
        <w:t>line = relative to the line with the anchor</w:t>
      </w:r>
    </w:p>
    <w:p w:rsidR="00024C0A" w:rsidRDefault="00694C0F">
      <w:pPr>
        <w:pStyle w:val="ListParagraph"/>
        <w:numPr>
          <w:ilvl w:val="0"/>
          <w:numId w:val="174"/>
        </w:numPr>
        <w:contextualSpacing/>
      </w:pPr>
      <w:r>
        <w:t>top-margin = relative to the top margin</w:t>
      </w:r>
    </w:p>
    <w:p w:rsidR="00024C0A" w:rsidRDefault="00694C0F">
      <w:pPr>
        <w:pStyle w:val="ListParagraph"/>
        <w:numPr>
          <w:ilvl w:val="0"/>
          <w:numId w:val="174"/>
        </w:numPr>
        <w:contextualSpacing/>
      </w:pPr>
      <w:r>
        <w:t>bottom-margin = relative to the bottom margin</w:t>
      </w:r>
    </w:p>
    <w:p w:rsidR="00024C0A" w:rsidRDefault="00694C0F">
      <w:pPr>
        <w:pStyle w:val="ListParagraph"/>
        <w:numPr>
          <w:ilvl w:val="0"/>
          <w:numId w:val="174"/>
        </w:numPr>
        <w:contextualSpacing/>
      </w:pPr>
      <w:r>
        <w:t>inner-margin-area = relative to the inner margin (the right margin for odd-numbered pages, th</w:t>
      </w:r>
      <w:r>
        <w:t>e left margin for even-numbered pages)</w:t>
      </w:r>
    </w:p>
    <w:p w:rsidR="00024C0A" w:rsidRDefault="00694C0F">
      <w:pPr>
        <w:pStyle w:val="ListParagraph"/>
        <w:numPr>
          <w:ilvl w:val="0"/>
          <w:numId w:val="174"/>
        </w:numPr>
      </w:pPr>
      <w:r>
        <w:t>outer-margin-area = relative to the outer margin (the left margin for odd-numbered pages, the right margin for even-numbered pages)</w:t>
      </w:r>
    </w:p>
    <w:p w:rsidR="00024C0A" w:rsidRDefault="00694C0F">
      <w:r>
        <w:rPr>
          <w:b/>
        </w:rPr>
        <w:t>margin-left</w:t>
      </w:r>
      <w:r>
        <w:t>: the horizontal offset from the base position specified in mso-position-h</w:t>
      </w:r>
      <w:r>
        <w:t>orizontal-relative. if 0, need to check mso-left-percent for a percentage value.</w:t>
      </w:r>
    </w:p>
    <w:p w:rsidR="00024C0A" w:rsidRDefault="00694C0F">
      <w:r>
        <w:rPr>
          <w:b/>
        </w:rPr>
        <w:t>margin-top</w:t>
      </w:r>
      <w:r>
        <w:t>: the vertical offset from the base position specified in mso-position-vertical-relative. if 0, need to check mso-top-percent for a percentage value.</w:t>
      </w:r>
    </w:p>
    <w:p w:rsidR="00024C0A" w:rsidRDefault="00694C0F">
      <w:r>
        <w:rPr>
          <w:b/>
        </w:rPr>
        <w:t>mso-left-percen</w:t>
      </w:r>
      <w:r>
        <w:rPr>
          <w:b/>
        </w:rPr>
        <w:t>t</w:t>
      </w:r>
      <w:r>
        <w:t>: a value in tenths of a percent (e.g. 250 = 25%) that specifies starting position relative to the axis specified in mso-position-horizontal-relative; not valid if that parameter has a value of "text" or "char"</w:t>
      </w:r>
    </w:p>
    <w:p w:rsidR="00024C0A" w:rsidRDefault="00694C0F">
      <w:r>
        <w:rPr>
          <w:b/>
        </w:rPr>
        <w:lastRenderedPageBreak/>
        <w:t>mso-top-percent</w:t>
      </w:r>
      <w:r>
        <w:t>: a value in tenths of a perc</w:t>
      </w:r>
      <w:r>
        <w:t>ent (e.g. 250 = 25%) that specifies starting position relative to the axis specified in mso-position-vertical-relative; not valid if that parameter has a value of "text" or "line"</w:t>
      </w:r>
    </w:p>
    <w:p w:rsidR="00024C0A" w:rsidRDefault="00694C0F">
      <w:pPr>
        <w:pStyle w:val="Heading3"/>
      </w:pPr>
      <w:bookmarkStart w:id="3621" w:name="section_caa8931e192d43fc8eefff9e2fe60991"/>
      <w:bookmarkStart w:id="3622" w:name="_Toc12261871"/>
      <w:r>
        <w:t>Part 4 Section 19.1.2.20, shapetype (Shape Template)</w:t>
      </w:r>
      <w:bookmarkEnd w:id="3621"/>
      <w:bookmarkEnd w:id="3622"/>
      <w:r>
        <w:fldChar w:fldCharType="begin"/>
      </w:r>
      <w:r>
        <w:instrText xml:space="preserve"> XE "shapetype (Shape Te</w:instrText>
      </w:r>
      <w:r>
        <w:instrText xml:space="preserve">mplate)"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w:t>
        </w:r>
        <w:r>
          <w:rPr>
            <w:rStyle w:val="Hyperlink"/>
          </w:rPr>
          <w:t xml:space="preserve">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024C0A" w:rsidRDefault="00694C0F">
      <w:pPr>
        <w:pStyle w:val="Definition-Field"/>
      </w:pPr>
      <w:r>
        <w:t xml:space="preserve">a.   </w:t>
      </w:r>
      <w:r>
        <w:rPr>
          <w:i/>
        </w:rPr>
        <w:t>The st</w:t>
      </w:r>
      <w:r>
        <w:rPr>
          <w:i/>
        </w:rPr>
        <w:t>andard indicates how the master attribute is used.</w:t>
      </w:r>
    </w:p>
    <w:p w:rsidR="00024C0A" w:rsidRDefault="00694C0F">
      <w:pPr>
        <w:pStyle w:val="Definition-Field2"/>
      </w:pPr>
      <w:r>
        <w:t xml:space="preserve">Office considers the presence and absence of this attribute to represent true and false values, respectively.  If this attribute exists and is set to any value, including an empty string, Office considers </w:t>
      </w:r>
      <w:r>
        <w:t>it to be true.</w:t>
      </w:r>
    </w:p>
    <w:p w:rsidR="00024C0A" w:rsidRDefault="00694C0F">
      <w:pPr>
        <w:pStyle w:val="Definition-Field"/>
      </w:pPr>
      <w:r>
        <w:t xml:space="preserve">b.   </w:t>
      </w:r>
      <w:r>
        <w:rPr>
          <w:i/>
        </w:rPr>
        <w:t>The standard states that chromakey and opacity are valid attributes on the shapetype element.</w:t>
      </w:r>
    </w:p>
    <w:p w:rsidR="00024C0A" w:rsidRDefault="00694C0F">
      <w:pPr>
        <w:pStyle w:val="Definition-Field2"/>
      </w:pPr>
      <w:r>
        <w:t>Office does not support these attributes on this element.</w:t>
      </w:r>
    </w:p>
    <w:p w:rsidR="00024C0A" w:rsidRDefault="00694C0F">
      <w:pPr>
        <w:pStyle w:val="Heading3"/>
      </w:pPr>
      <w:bookmarkStart w:id="3623" w:name="section_b4f59c097c74432eb3f2501322e80f0c"/>
      <w:bookmarkStart w:id="3624" w:name="_Toc12261872"/>
      <w:r>
        <w:t>Part 4 Section 19.1.2.21, stroke (Line Stroke Settings)</w:t>
      </w:r>
      <w:bookmarkEnd w:id="3623"/>
      <w:bookmarkEnd w:id="3624"/>
      <w:r>
        <w:fldChar w:fldCharType="begin"/>
      </w:r>
      <w:r>
        <w:instrText xml:space="preserve"> XE "stroke (Line Stroke Sett</w:instrText>
      </w:r>
      <w:r>
        <w:instrText xml:space="preserve">ings)"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w:t>
        </w:r>
        <w:r>
          <w:rPr>
            <w:rStyle w:val="Hyperlink"/>
          </w:rPr>
          <w:t>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w:t>
        </w:r>
        <w:r>
          <w:rPr>
            <w:rStyle w:val="Hyperlink"/>
          </w:rPr>
          <w:t>2.7(a)</w:t>
        </w:r>
      </w:hyperlink>
      <w:r>
        <w:rPr>
          <w:i/>
        </w:rPr>
        <w:t>.</w:t>
      </w:r>
    </w:p>
    <w:p w:rsidR="00024C0A" w:rsidRDefault="00694C0F">
      <w:pPr>
        <w:pStyle w:val="Definition-Field"/>
      </w:pPr>
      <w:r>
        <w:t xml:space="preserve">a.   </w:t>
      </w:r>
      <w:r>
        <w:rPr>
          <w:i/>
        </w:rPr>
        <w:t>The standard indicates the endcap attribute is used for any path.</w:t>
      </w:r>
    </w:p>
    <w:p w:rsidR="00024C0A" w:rsidRDefault="00694C0F">
      <w:pPr>
        <w:pStyle w:val="Definition-Field2"/>
      </w:pPr>
      <w:r>
        <w:t>Office requires that the shape's path is open for the endcap attribute to work.</w:t>
      </w:r>
    </w:p>
    <w:p w:rsidR="00024C0A" w:rsidRDefault="00694C0F">
      <w:pPr>
        <w:pStyle w:val="Definition-Field"/>
      </w:pPr>
      <w:r>
        <w:t xml:space="preserve">b.   </w:t>
      </w:r>
      <w:r>
        <w:rPr>
          <w:i/>
        </w:rPr>
        <w:t>The standard indicates how the althref attribute is used.</w:t>
      </w:r>
    </w:p>
    <w:p w:rsidR="00024C0A" w:rsidRDefault="00694C0F">
      <w:pPr>
        <w:pStyle w:val="Definition-Field2"/>
      </w:pPr>
      <w:r>
        <w:t>Office does not persist the althre</w:t>
      </w:r>
      <w:r>
        <w:t>f value on file save. The value of althref replaces the value of the src attribute on file save if the href attribute is not defined.</w:t>
      </w:r>
    </w:p>
    <w:p w:rsidR="00024C0A" w:rsidRDefault="00694C0F">
      <w:pPr>
        <w:pStyle w:val="Definition-Field"/>
      </w:pPr>
      <w:r>
        <w:t xml:space="preserve">c.   </w:t>
      </w:r>
      <w:r>
        <w:rPr>
          <w:i/>
        </w:rPr>
        <w:t>The standard indicates how the href attribute is used.</w:t>
      </w:r>
    </w:p>
    <w:p w:rsidR="00024C0A" w:rsidRDefault="00694C0F">
      <w:pPr>
        <w:pStyle w:val="Definition-Field2"/>
      </w:pPr>
      <w:r>
        <w:t>Office does not persist the href value on file save. The value</w:t>
      </w:r>
      <w:r>
        <w:t xml:space="preserve"> of href replaces the value of the src attribute on file save if the href attribute is not defined.</w:t>
      </w:r>
    </w:p>
    <w:p w:rsidR="00024C0A" w:rsidRDefault="00694C0F">
      <w:pPr>
        <w:pStyle w:val="Definition-Field"/>
      </w:pPr>
      <w:r>
        <w:t xml:space="preserve">d.   </w:t>
      </w:r>
      <w:r>
        <w:rPr>
          <w:i/>
        </w:rPr>
        <w:t>The standard does not specify bounds for the miterlimit attribute.</w:t>
      </w:r>
    </w:p>
    <w:p w:rsidR="00024C0A" w:rsidRDefault="00694C0F">
      <w:pPr>
        <w:pStyle w:val="Definition-Field2"/>
      </w:pPr>
      <w:r>
        <w:t>Office has a maximum allowed value of 32767 for the miterlimit attribute.</w:t>
      </w:r>
    </w:p>
    <w:p w:rsidR="00024C0A" w:rsidRDefault="00694C0F">
      <w:pPr>
        <w:pStyle w:val="Definition-Field"/>
      </w:pPr>
      <w:r>
        <w:t xml:space="preserve">e.   </w:t>
      </w:r>
      <w:r>
        <w:rPr>
          <w:i/>
        </w:rPr>
        <w:t>The s</w:t>
      </w:r>
      <w:r>
        <w:rPr>
          <w:i/>
        </w:rPr>
        <w:t>tandard indicates how the src attribute is used.</w:t>
      </w:r>
    </w:p>
    <w:p w:rsidR="00024C0A" w:rsidRDefault="00694C0F">
      <w:pPr>
        <w:pStyle w:val="Definition-Field2"/>
      </w:pPr>
      <w:r>
        <w:t>On file save, Office replaces the value of the src attribute with the value of the href attribute, if defined, or the althref attribute href is not defined.</w:t>
      </w:r>
    </w:p>
    <w:p w:rsidR="00024C0A" w:rsidRDefault="00694C0F">
      <w:pPr>
        <w:pStyle w:val="Definition-Field"/>
      </w:pPr>
      <w:r>
        <w:t xml:space="preserve">f.   </w:t>
      </w:r>
      <w:r>
        <w:rPr>
          <w:i/>
        </w:rPr>
        <w:t xml:space="preserve">The standard does not specify bounds for the </w:t>
      </w:r>
      <w:r>
        <w:rPr>
          <w:i/>
        </w:rPr>
        <w:t>weight attribute.</w:t>
      </w:r>
    </w:p>
    <w:p w:rsidR="00024C0A" w:rsidRDefault="00694C0F">
      <w:pPr>
        <w:pStyle w:val="Definition-Field2"/>
      </w:pPr>
      <w:r>
        <w:t>In Office, the minimum value is zero and the maximum value is 20116800 EMU for the weight attribute.</w:t>
      </w:r>
    </w:p>
    <w:p w:rsidR="00024C0A" w:rsidRDefault="00694C0F">
      <w:pPr>
        <w:pStyle w:val="Definition-Field"/>
      </w:pPr>
      <w:r>
        <w:t xml:space="preserve">g.   </w:t>
      </w:r>
      <w:r>
        <w:rPr>
          <w:i/>
        </w:rPr>
        <w:t>The standard states that the values of the filltype attribute are defined by the ST_FillType simple type.</w:t>
      </w:r>
    </w:p>
    <w:p w:rsidR="00024C0A" w:rsidRDefault="00694C0F">
      <w:pPr>
        <w:pStyle w:val="Definition-Field2"/>
      </w:pPr>
      <w:r>
        <w:t>Office does not support th</w:t>
      </w:r>
      <w:r>
        <w:t>e values of gradient or gradientRadial.</w:t>
      </w:r>
    </w:p>
    <w:p w:rsidR="00024C0A" w:rsidRDefault="00694C0F">
      <w:pPr>
        <w:pStyle w:val="Definition-Field"/>
      </w:pPr>
      <w:r>
        <w:t xml:space="preserve">h.   </w:t>
      </w:r>
      <w:r>
        <w:rPr>
          <w:i/>
        </w:rPr>
        <w:t>The standard indicates that the default value for the weight attribute is 1 pt.</w:t>
      </w:r>
    </w:p>
    <w:p w:rsidR="00024C0A" w:rsidRDefault="00694C0F">
      <w:pPr>
        <w:pStyle w:val="Definition-Field2"/>
      </w:pPr>
      <w:r>
        <w:lastRenderedPageBreak/>
        <w:t>Office uses a default value of 0.75 pt for the weight attribute.</w:t>
      </w:r>
    </w:p>
    <w:p w:rsidR="00024C0A" w:rsidRDefault="00694C0F">
      <w:pPr>
        <w:pStyle w:val="Definition-Field"/>
      </w:pPr>
      <w:r>
        <w:t xml:space="preserve">i.   </w:t>
      </w:r>
      <w:r>
        <w:rPr>
          <w:i/>
        </w:rPr>
        <w:t>The standard indicates that relid is a valid attribute.</w:t>
      </w:r>
    </w:p>
    <w:p w:rsidR="00024C0A" w:rsidRDefault="00694C0F">
      <w:pPr>
        <w:pStyle w:val="Definition-Field2"/>
      </w:pPr>
      <w:r>
        <w:t>Office does not support the relid attribute.</w:t>
      </w:r>
    </w:p>
    <w:p w:rsidR="00024C0A" w:rsidRDefault="00694C0F">
      <w:pPr>
        <w:pStyle w:val="Definition-Field"/>
      </w:pPr>
      <w:r>
        <w:t xml:space="preserve">j.   </w:t>
      </w:r>
      <w:r>
        <w:rPr>
          <w:i/>
        </w:rPr>
        <w:t>The standard does not restrict the number of instances of the stroke element.</w:t>
      </w:r>
    </w:p>
    <w:p w:rsidR="00024C0A" w:rsidRDefault="00694C0F">
      <w:pPr>
        <w:pStyle w:val="Definition-Field2"/>
      </w:pPr>
      <w:r>
        <w:t>Office allows at most only one instance of the stroke element in each place where it can be used.</w:t>
      </w:r>
    </w:p>
    <w:p w:rsidR="00024C0A" w:rsidRDefault="00694C0F">
      <w:pPr>
        <w:pStyle w:val="Definition-Field"/>
      </w:pPr>
      <w:r>
        <w:t xml:space="preserve">k.   </w:t>
      </w:r>
      <w:r>
        <w:rPr>
          <w:i/>
        </w:rPr>
        <w:t xml:space="preserve">The standard states that </w:t>
      </w:r>
      <w:r>
        <w:rPr>
          <w:i/>
        </w:rPr>
        <w:t>values of the opacity attribute are defined by the XML Schema string datatype.</w:t>
      </w:r>
    </w:p>
    <w:p w:rsidR="00024C0A" w:rsidRDefault="00694C0F">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024C0A" w:rsidRDefault="00694C0F">
      <w:pPr>
        <w:pStyle w:val="Definition-Field"/>
      </w:pPr>
      <w:r>
        <w:t xml:space="preserve">l.   </w:t>
      </w:r>
      <w:r>
        <w:rPr>
          <w:i/>
        </w:rPr>
        <w:t xml:space="preserve">The </w:t>
      </w:r>
      <w:r>
        <w:rPr>
          <w:i/>
        </w:rPr>
        <w:t>standard states that the values of the miterlimit attribute are defined by the XML Schema decimal datatype.</w:t>
      </w:r>
    </w:p>
    <w:p w:rsidR="00024C0A" w:rsidRDefault="00694C0F">
      <w:pPr>
        <w:pStyle w:val="Definition-Field2"/>
      </w:pPr>
      <w:r>
        <w:t>Office defines the values of this attribute with the ST_Fraction (§3.9.1, ST_Fraction) simple type.</w:t>
      </w:r>
    </w:p>
    <w:p w:rsidR="00024C0A" w:rsidRDefault="00694C0F">
      <w:pPr>
        <w:pStyle w:val="Heading3"/>
      </w:pPr>
      <w:bookmarkStart w:id="3625" w:name="section_f88c8cefd1f442bfb2da6aa9f2dd128e"/>
      <w:bookmarkStart w:id="3626" w:name="_Toc12261873"/>
      <w:r>
        <w:t>Part 4 Section 19.1.2.22, textbox (Text Box)</w:t>
      </w:r>
      <w:bookmarkEnd w:id="3625"/>
      <w:bookmarkEnd w:id="3626"/>
      <w:r>
        <w:fldChar w:fldCharType="begin"/>
      </w:r>
      <w:r>
        <w:instrText xml:space="preserve"> XE </w:instrText>
      </w:r>
      <w:r>
        <w:instrText xml:space="preserve">"textbox (Text Box)"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024C0A" w:rsidRDefault="00694C0F">
      <w:pPr>
        <w:pStyle w:val="Definition-Field"/>
      </w:pPr>
      <w:r>
        <w:t xml:space="preserve">a.   </w:t>
      </w:r>
      <w:r>
        <w:rPr>
          <w:i/>
        </w:rPr>
        <w:t>The standard indicates that the only allowed value for the mso-direction-alt property of the style attribute is context.</w:t>
      </w:r>
    </w:p>
    <w:p w:rsidR="00024C0A" w:rsidRDefault="00694C0F">
      <w:pPr>
        <w:pStyle w:val="Definition-Field2"/>
      </w:pPr>
      <w:r>
        <w:t>Only Excel supports</w:t>
      </w:r>
      <w:r>
        <w:t xml:space="preserve"> the mso-direction-alt property and it only supports the value auto.</w:t>
      </w:r>
    </w:p>
    <w:p w:rsidR="00024C0A" w:rsidRDefault="00694C0F">
      <w:pPr>
        <w:pStyle w:val="Definition-Field"/>
      </w:pPr>
      <w:r>
        <w:t xml:space="preserve">b.   </w:t>
      </w:r>
      <w:r>
        <w:rPr>
          <w:i/>
        </w:rPr>
        <w:t>The standard indicates how the mso-next-textbox property of the style attribute is used.</w:t>
      </w:r>
    </w:p>
    <w:p w:rsidR="00024C0A" w:rsidRDefault="00694C0F">
      <w:pPr>
        <w:pStyle w:val="Definition-Field2"/>
      </w:pPr>
      <w:r>
        <w:t>Only Word supports the mso-next-textbox property.</w:t>
      </w:r>
    </w:p>
    <w:p w:rsidR="00024C0A" w:rsidRDefault="00694C0F">
      <w:pPr>
        <w:pStyle w:val="Definition-Field"/>
      </w:pPr>
      <w:r>
        <w:t xml:space="preserve">c.   </w:t>
      </w:r>
      <w:r>
        <w:rPr>
          <w:i/>
        </w:rPr>
        <w:t>The standard indicates that the only v</w:t>
      </w:r>
      <w:r>
        <w:rPr>
          <w:i/>
        </w:rPr>
        <w:t>alid value for the mso-layout-flow-alt property of the style attribute is bottom-to-top.</w:t>
      </w:r>
    </w:p>
    <w:p w:rsidR="00024C0A" w:rsidRDefault="00694C0F">
      <w:r>
        <w:t>In Office, the mso-layout-flow-alt property of the style attribute supports the following additional property values:</w:t>
      </w:r>
    </w:p>
    <w:tbl>
      <w:tblPr>
        <w:tblStyle w:val="Table-ShadedHeader"/>
        <w:tblW w:w="0" w:type="auto"/>
        <w:tblLook w:val="04A0" w:firstRow="1" w:lastRow="0" w:firstColumn="1" w:lastColumn="0" w:noHBand="0" w:noVBand="1"/>
      </w:tblPr>
      <w:tblGrid>
        <w:gridCol w:w="1373"/>
        <w:gridCol w:w="8102"/>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Property</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i/>
              </w:rPr>
              <w:t>mso-layout-flow-alt</w:t>
            </w:r>
          </w:p>
        </w:tc>
        <w:tc>
          <w:tcPr>
            <w:tcW w:w="0" w:type="auto"/>
            <w:vAlign w:val="center"/>
          </w:tcPr>
          <w:p w:rsidR="00024C0A" w:rsidRDefault="00694C0F">
            <w:pPr>
              <w:pStyle w:val="TableBodyText"/>
            </w:pPr>
            <w:r>
              <w:t>This pr</w:t>
            </w:r>
            <w:r>
              <w:t xml:space="preserve">operty is used for specifying vertical text direction instead of </w:t>
            </w:r>
            <w:r>
              <w:rPr>
                <w:i/>
              </w:rPr>
              <w:t xml:space="preserve">layout-flow </w:t>
            </w:r>
            <w:r>
              <w:t>when the layout flow is from bottom to top or from top to bottom for non-ideographic languages.  Allowed values are:</w:t>
            </w:r>
          </w:p>
          <w:p w:rsidR="00024C0A" w:rsidRDefault="00024C0A">
            <w:pPr>
              <w:pStyle w:val="TableBodyText"/>
            </w:pPr>
          </w:p>
          <w:p w:rsidR="00024C0A" w:rsidRDefault="00694C0F">
            <w:pPr>
              <w:pStyle w:val="ListParagraph"/>
              <w:numPr>
                <w:ilvl w:val="0"/>
                <w:numId w:val="175"/>
              </w:numPr>
            </w:pPr>
            <w:r>
              <w:rPr>
                <w:i/>
              </w:rPr>
              <w:t>bottom-to-top</w:t>
            </w:r>
            <w:r>
              <w:t xml:space="preserve"> - Text is displayed</w:t>
            </w:r>
          </w:p>
          <w:p w:rsidR="00024C0A" w:rsidRDefault="00694C0F">
            <w:pPr>
              <w:pStyle w:val="ListParagraph"/>
              <w:numPr>
                <w:ilvl w:val="0"/>
                <w:numId w:val="176"/>
              </w:numPr>
            </w:pPr>
            <w:r>
              <w:rPr>
                <w:i/>
              </w:rPr>
              <w:t>top-to-bottom</w:t>
            </w:r>
            <w:r>
              <w:t xml:space="preserve"> - Text is dis</w:t>
            </w:r>
            <w:r>
              <w:t>played</w:t>
            </w:r>
          </w:p>
          <w:p w:rsidR="00024C0A" w:rsidRDefault="00024C0A">
            <w:pPr>
              <w:pStyle w:val="TableBodyText"/>
            </w:pPr>
          </w:p>
          <w:p w:rsidR="00024C0A" w:rsidRDefault="00694C0F">
            <w:pPr>
              <w:pStyle w:val="TableBodyText"/>
            </w:pPr>
            <w:r>
              <w:t xml:space="preserve">Excel interprets </w:t>
            </w:r>
            <w:r>
              <w:rPr>
                <w:i/>
              </w:rPr>
              <w:t>top-to-bottom</w:t>
            </w:r>
            <w:r>
              <w:t xml:space="preserve"> to indicate stacked text; this is handled in a different manner than in Word.</w:t>
            </w:r>
          </w:p>
          <w:p w:rsidR="00024C0A" w:rsidRDefault="00024C0A">
            <w:pPr>
              <w:pStyle w:val="TableBodyText"/>
            </w:pPr>
          </w:p>
          <w:p w:rsidR="00024C0A" w:rsidRDefault="00694C0F">
            <w:pPr>
              <w:pStyle w:val="TableBodyText"/>
            </w:pPr>
            <w:r>
              <w:t>[Example: Text flowing from bottom to top:</w:t>
            </w:r>
          </w:p>
          <w:p w:rsidR="00024C0A" w:rsidRDefault="00024C0A">
            <w:pPr>
              <w:pStyle w:val="TableBodyText"/>
            </w:pPr>
          </w:p>
          <w:p w:rsidR="00024C0A" w:rsidRDefault="00694C0F">
            <w:pPr>
              <w:pStyle w:val="TableBodyText"/>
            </w:pPr>
            <w:r>
              <w:t>&lt;v:textbox style="layout-flow:vertical;</w:t>
            </w:r>
          </w:p>
          <w:p w:rsidR="00024C0A" w:rsidRDefault="00694C0F">
            <w:pPr>
              <w:pStyle w:val="TableBodyText"/>
            </w:pPr>
            <w:r>
              <w:t xml:space="preserve">  mso-layout-flow-alt:bottom-to-top"&gt;</w:t>
            </w:r>
          </w:p>
          <w:p w:rsidR="00024C0A" w:rsidRDefault="00024C0A">
            <w:pPr>
              <w:pStyle w:val="Code"/>
            </w:pPr>
          </w:p>
          <w:p w:rsidR="00024C0A" w:rsidRDefault="00694C0F">
            <w:pPr>
              <w:pStyle w:val="TableBodyText"/>
            </w:pPr>
            <w:r>
              <w:rPr>
                <w:noProof/>
              </w:rPr>
              <w:drawing>
                <wp:inline distT="0" distB="0" distL="0" distR="0">
                  <wp:extent cx="742950" cy="476250"/>
                  <wp:effectExtent l="0" t="0" r="0" b="0"/>
                  <wp:docPr id="342015710" name="Picture 1" descr="Text that is vertical on its side as if the horizontal text was rotated 90 degrees counter clockwise and read from bottom to top, " title="bottom to top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f-0000-0000-0000-000000000000" descr="Text that is vertical on its side as if the horizontal text was rotated 90 degrees counter clockwise and read from bottom to top, " title="bottom to top text"/>
                          <pic:cNvPicPr>
                            <a:picLocks noChangeAspect="1" noChangeArrowheads="1"/>
                          </pic:cNvPicPr>
                        </pic:nvPicPr>
                        <pic:blipFill>
                          <a:blip r:embed="rId249"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024C0A" w:rsidRDefault="00024C0A">
            <w:pPr>
              <w:pStyle w:val="TableBodyText"/>
            </w:pPr>
          </w:p>
          <w:p w:rsidR="00024C0A" w:rsidRDefault="00694C0F">
            <w:pPr>
              <w:pStyle w:val="TableBodyText"/>
            </w:pPr>
            <w:r>
              <w:t>end example]</w:t>
            </w:r>
          </w:p>
          <w:p w:rsidR="00024C0A" w:rsidRDefault="00024C0A">
            <w:pPr>
              <w:pStyle w:val="TableBodyText"/>
            </w:pPr>
          </w:p>
          <w:p w:rsidR="00024C0A" w:rsidRDefault="00694C0F">
            <w:pPr>
              <w:pStyle w:val="TableBodyText"/>
            </w:pPr>
            <w:r>
              <w:t>[Example: Text flowing from top to bottom:</w:t>
            </w:r>
          </w:p>
          <w:p w:rsidR="00024C0A" w:rsidRDefault="00024C0A">
            <w:pPr>
              <w:pStyle w:val="TableBodyText"/>
            </w:pPr>
          </w:p>
          <w:p w:rsidR="00024C0A" w:rsidRDefault="00694C0F">
            <w:pPr>
              <w:pStyle w:val="TableBodyText"/>
            </w:pPr>
            <w:r>
              <w:t>&lt;v:textbox style="layout-flow:vertical;</w:t>
            </w:r>
          </w:p>
          <w:p w:rsidR="00024C0A" w:rsidRDefault="00694C0F">
            <w:pPr>
              <w:pStyle w:val="TableBodyText"/>
            </w:pPr>
            <w:r>
              <w:t xml:space="preserve">  mso-layout-flow-alt:top-to-bottom"&gt;</w:t>
            </w:r>
          </w:p>
          <w:p w:rsidR="00024C0A" w:rsidRDefault="00024C0A">
            <w:pPr>
              <w:pStyle w:val="Code"/>
            </w:pPr>
          </w:p>
          <w:p w:rsidR="00024C0A" w:rsidRDefault="00694C0F">
            <w:pPr>
              <w:pStyle w:val="TableBodyText"/>
            </w:pPr>
            <w:r>
              <w:rPr>
                <w:noProof/>
              </w:rPr>
              <w:drawing>
                <wp:inline distT="0" distB="0" distL="0" distR="0">
                  <wp:extent cx="742950" cy="476250"/>
                  <wp:effectExtent l="0" t="0" r="0" b="0"/>
                  <wp:docPr id="342015711" name="Picture 1" descr="Text that is vertical on its side as if the horizontal text was rotated 90 degrees clockwise and read from top to bottom, "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c-0000-0000-0000-000000000000" descr="Text that is vertical on its side as if the horizontal text was rotated 90 degrees clockwise and read from top to bottom, " title="top to bottom text"/>
                          <pic:cNvPicPr>
                            <a:picLocks noChangeAspect="1" noChangeArrowheads="1"/>
                          </pic:cNvPicPr>
                        </pic:nvPicPr>
                        <pic:blipFill>
                          <a:blip r:embed="rId250"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024C0A" w:rsidRDefault="00024C0A">
            <w:pPr>
              <w:pStyle w:val="TableBodyText"/>
            </w:pPr>
          </w:p>
          <w:p w:rsidR="00024C0A" w:rsidRDefault="00694C0F">
            <w:pPr>
              <w:pStyle w:val="TableBodyText"/>
            </w:pPr>
            <w:r>
              <w:t>end example]</w:t>
            </w:r>
          </w:p>
          <w:p w:rsidR="00024C0A" w:rsidRDefault="00024C0A">
            <w:pPr>
              <w:pStyle w:val="TableBodyText"/>
            </w:pPr>
          </w:p>
          <w:p w:rsidR="00024C0A" w:rsidRDefault="00694C0F">
            <w:pPr>
              <w:pStyle w:val="TableBodyText"/>
            </w:pPr>
            <w:r>
              <w:t>[Example: Text flowing from top to bottom in Excel:</w:t>
            </w:r>
          </w:p>
          <w:p w:rsidR="00024C0A" w:rsidRDefault="00024C0A">
            <w:pPr>
              <w:pStyle w:val="TableBodyText"/>
            </w:pPr>
          </w:p>
          <w:p w:rsidR="00024C0A" w:rsidRDefault="00694C0F">
            <w:pPr>
              <w:pStyle w:val="TableBodyText"/>
            </w:pPr>
            <w:r>
              <w:t>&lt;v:textbox style="layout-flow:vertical;</w:t>
            </w:r>
          </w:p>
          <w:p w:rsidR="00024C0A" w:rsidRDefault="00694C0F">
            <w:pPr>
              <w:pStyle w:val="TableBodyText"/>
            </w:pPr>
            <w:r>
              <w:t xml:space="preserve">  mso-layout-flow-alt</w:t>
            </w:r>
            <w:r>
              <w:t>:top-to-bottom"&gt;</w:t>
            </w:r>
          </w:p>
          <w:p w:rsidR="00024C0A" w:rsidRDefault="00024C0A">
            <w:pPr>
              <w:pStyle w:val="TableBodyText"/>
            </w:pPr>
          </w:p>
          <w:p w:rsidR="00024C0A" w:rsidRDefault="00694C0F">
            <w:pPr>
              <w:pStyle w:val="TableBodyText"/>
            </w:pPr>
            <w:r>
              <w:rPr>
                <w:noProof/>
              </w:rPr>
              <w:drawing>
                <wp:inline distT="0" distB="0" distL="0" distR="0">
                  <wp:extent cx="619125" cy="752475"/>
                  <wp:effectExtent l="0" t="0" r="0" b="0"/>
                  <wp:docPr id="342015712" name="Picture 1" descr="Text that is vertical read from top to bottom. The letters are oriented right side up stacked on top of each other"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d-0000-0000-0000-000000000000" descr="Text that is vertical read from top to bottom. The letters are oriented right side up stacked on top of each other" title="top to bottom text"/>
                          <pic:cNvPicPr>
                            <a:picLocks noChangeAspect="1" noChangeArrowheads="1"/>
                          </pic:cNvPicPr>
                        </pic:nvPicPr>
                        <pic:blipFill>
                          <a:blip r:embed="rId251" cstate="print"/>
                          <a:srcRect/>
                          <a:stretch>
                            <a:fillRect/>
                          </a:stretch>
                        </pic:blipFill>
                        <pic:spPr bwMode="auto">
                          <a:xfrm>
                            <a:off x="0" y="0"/>
                            <a:ext cx="619125" cy="752475"/>
                          </a:xfrm>
                          <a:prstGeom prst="rect">
                            <a:avLst/>
                          </a:prstGeom>
                          <a:noFill/>
                          <a:ln w="9525">
                            <a:noFill/>
                            <a:miter lim="800000"/>
                            <a:headEnd/>
                            <a:tailEnd/>
                          </a:ln>
                        </pic:spPr>
                      </pic:pic>
                    </a:graphicData>
                  </a:graphic>
                </wp:inline>
              </w:drawing>
            </w:r>
          </w:p>
          <w:p w:rsidR="00024C0A" w:rsidRDefault="00024C0A">
            <w:pPr>
              <w:pStyle w:val="TableBodyText"/>
            </w:pPr>
          </w:p>
          <w:p w:rsidR="00024C0A" w:rsidRDefault="00694C0F">
            <w:pPr>
              <w:pStyle w:val="TableBodyText"/>
            </w:pPr>
            <w:r>
              <w:t>end example]</w:t>
            </w:r>
          </w:p>
          <w:p w:rsidR="00024C0A" w:rsidRDefault="00024C0A">
            <w:pPr>
              <w:pStyle w:val="TableBodyText"/>
            </w:pPr>
          </w:p>
          <w:p w:rsidR="00024C0A" w:rsidRDefault="00694C0F">
            <w:pPr>
              <w:pStyle w:val="TableBodyText"/>
            </w:pPr>
            <w:r>
              <w:t>[Example: Text flowing vertically in Excel:</w:t>
            </w:r>
          </w:p>
          <w:p w:rsidR="00024C0A" w:rsidRDefault="00024C0A">
            <w:pPr>
              <w:pStyle w:val="TableBodyText"/>
            </w:pPr>
          </w:p>
          <w:p w:rsidR="00024C0A" w:rsidRDefault="00694C0F">
            <w:pPr>
              <w:pStyle w:val="TableBodyText"/>
            </w:pPr>
            <w:r>
              <w:t>&lt;v:textbox style="layout-flow:vertical"&gt;</w:t>
            </w:r>
          </w:p>
          <w:p w:rsidR="00024C0A" w:rsidRDefault="00024C0A">
            <w:pPr>
              <w:pStyle w:val="Code"/>
            </w:pPr>
          </w:p>
          <w:p w:rsidR="00024C0A" w:rsidRDefault="00694C0F">
            <w:pPr>
              <w:pStyle w:val="TableBodyText"/>
            </w:pPr>
            <w:r>
              <w:rPr>
                <w:noProof/>
              </w:rPr>
              <w:drawing>
                <wp:inline distT="0" distB="0" distL="0" distR="0">
                  <wp:extent cx="742950" cy="476250"/>
                  <wp:effectExtent l="0" t="0" r="0" b="0"/>
                  <wp:docPr id="342015713" name="Picture 1" descr="Text that is vertical on its side as if horizontal text was rotated 90 degrees clockwise and read from top to bottom, " title="Vertical flow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a-0000-0000-0000-000000000000" descr="Text that is vertical on its side as if horizontal text was rotated 90 degrees clockwise and read from top to bottom, " title="Vertical flow text"/>
                          <pic:cNvPicPr>
                            <a:picLocks noChangeAspect="1" noChangeArrowheads="1"/>
                          </pic:cNvPicPr>
                        </pic:nvPicPr>
                        <pic:blipFill>
                          <a:blip r:embed="rId252"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024C0A" w:rsidRDefault="00024C0A">
            <w:pPr>
              <w:pStyle w:val="TableBodyText"/>
            </w:pPr>
          </w:p>
          <w:p w:rsidR="00024C0A" w:rsidRDefault="00694C0F">
            <w:pPr>
              <w:pStyle w:val="TableBodyText"/>
            </w:pPr>
            <w:r>
              <w:t>end example]</w:t>
            </w:r>
          </w:p>
        </w:tc>
      </w:tr>
    </w:tbl>
    <w:p w:rsidR="00024C0A" w:rsidRDefault="00024C0A"/>
    <w:p w:rsidR="00024C0A" w:rsidRDefault="00694C0F">
      <w:pPr>
        <w:pStyle w:val="Definition-Field"/>
      </w:pPr>
      <w:r>
        <w:lastRenderedPageBreak/>
        <w:t xml:space="preserve">d.   </w:t>
      </w:r>
      <w:r>
        <w:rPr>
          <w:i/>
        </w:rPr>
        <w:t>The standard indicates the values for the mso-rotate property of the style attribute.</w:t>
      </w:r>
    </w:p>
    <w:p w:rsidR="00024C0A" w:rsidRDefault="00694C0F">
      <w:pPr>
        <w:pStyle w:val="Definition-Field2"/>
      </w:pPr>
      <w:r>
        <w:t xml:space="preserve">Office does not support </w:t>
      </w:r>
      <w:r>
        <w:t>the mso-rotate property and does not preserve the value -90 on file save.</w:t>
      </w:r>
    </w:p>
    <w:p w:rsidR="00024C0A" w:rsidRDefault="00694C0F">
      <w:pPr>
        <w:pStyle w:val="Definition-Field"/>
      </w:pPr>
      <w:r>
        <w:t xml:space="preserve">e.   </w:t>
      </w:r>
      <w:r>
        <w:rPr>
          <w:i/>
        </w:rPr>
        <w:t>The standard indicates states that any element in the ##local namespace is a valid child of the textbox element without explaining how this is used.</w:t>
      </w:r>
    </w:p>
    <w:p w:rsidR="00024C0A" w:rsidRDefault="00694C0F">
      <w:pPr>
        <w:pStyle w:val="Definition-Field2"/>
      </w:pPr>
      <w:r>
        <w:t>Excel writes text and text f</w:t>
      </w:r>
      <w:r>
        <w:t>ormatting as HTML within the textbox element.</w:t>
      </w:r>
    </w:p>
    <w:p w:rsidR="00024C0A" w:rsidRDefault="00694C0F">
      <w:pPr>
        <w:pStyle w:val="Definition-Field"/>
      </w:pPr>
      <w:r>
        <w:t xml:space="preserve">f.   </w:t>
      </w:r>
      <w:r>
        <w:rPr>
          <w:i/>
        </w:rPr>
        <w:t>The standard indicates that the inset attribute is used if the value of insetmode attribute is "custom".</w:t>
      </w:r>
    </w:p>
    <w:p w:rsidR="00024C0A" w:rsidRDefault="00694C0F">
      <w:pPr>
        <w:pStyle w:val="Definition-Field2"/>
      </w:pPr>
      <w:r>
        <w:t>Excel uses the value of the insetmode attribute on the parent element to determine if the inset attr</w:t>
      </w:r>
      <w:r>
        <w:t>ibute is used.  Word always uses the inset attribute regardless of the value of the insetmode attribute.</w:t>
      </w:r>
    </w:p>
    <w:p w:rsidR="00024C0A" w:rsidRDefault="00694C0F">
      <w:pPr>
        <w:pStyle w:val="Definition-Field"/>
      </w:pPr>
      <w:r>
        <w:t xml:space="preserve">g.   </w:t>
      </w:r>
      <w:r>
        <w:rPr>
          <w:i/>
        </w:rPr>
        <w:t>The standard indicates how the singleclick attribute is used.</w:t>
      </w:r>
    </w:p>
    <w:p w:rsidR="00024C0A" w:rsidRDefault="00694C0F">
      <w:pPr>
        <w:pStyle w:val="Definition-Field2"/>
      </w:pPr>
      <w:r>
        <w:t>Office does not support the singleclick attribute.</w:t>
      </w:r>
    </w:p>
    <w:p w:rsidR="00024C0A" w:rsidRDefault="00694C0F">
      <w:pPr>
        <w:pStyle w:val="Definition-Field"/>
      </w:pPr>
      <w:r>
        <w:t xml:space="preserve">h.   </w:t>
      </w:r>
      <w:r>
        <w:rPr>
          <w:i/>
        </w:rPr>
        <w:t>The standard implies that al</w:t>
      </w:r>
      <w:r>
        <w:rPr>
          <w:i/>
        </w:rPr>
        <w:t>l properties on the style attribute apply to the textbox element.</w:t>
      </w:r>
    </w:p>
    <w:p w:rsidR="00024C0A" w:rsidRDefault="00694C0F">
      <w:pPr>
        <w:pStyle w:val="Definition-Field2"/>
      </w:pPr>
      <w:r>
        <w:t>Office only supports the following properties on the textbox element:  direction, layout-flow, mso-direction-alt, mso-fit-shape-to-text, mso-fit-text-to-shape, mso-layout-flow-alt, mso-next-</w:t>
      </w:r>
      <w:r>
        <w:t>textbox, mso-rotate, mso-text-scale, and v-text-anchor.</w:t>
      </w:r>
    </w:p>
    <w:p w:rsidR="00024C0A" w:rsidRDefault="00694C0F">
      <w:pPr>
        <w:pStyle w:val="Definition-Field"/>
      </w:pPr>
      <w:r>
        <w:t xml:space="preserve">i.   </w:t>
      </w:r>
      <w:r>
        <w:rPr>
          <w:i/>
        </w:rPr>
        <w:t>The standard states that insetmode is a valid attribute.</w:t>
      </w:r>
    </w:p>
    <w:p w:rsidR="00024C0A" w:rsidRDefault="00694C0F">
      <w:pPr>
        <w:pStyle w:val="Definition-Field2"/>
      </w:pPr>
      <w:r>
        <w:t>Office does not support this attribute.</w:t>
      </w:r>
    </w:p>
    <w:p w:rsidR="00024C0A" w:rsidRDefault="00694C0F">
      <w:pPr>
        <w:pStyle w:val="Definition-Field"/>
      </w:pPr>
      <w:r>
        <w:t xml:space="preserve">j.   </w:t>
      </w:r>
      <w:r>
        <w:rPr>
          <w:i/>
        </w:rPr>
        <w:t>The standard does not restrict the number of instances of the textbox element.</w:t>
      </w:r>
    </w:p>
    <w:p w:rsidR="00024C0A" w:rsidRDefault="00694C0F">
      <w:pPr>
        <w:pStyle w:val="Definition-Field2"/>
      </w:pPr>
      <w:r>
        <w:t xml:space="preserve">Office allows </w:t>
      </w:r>
      <w:r>
        <w:t>at most only one instance of the textbox element in each place where it can be used.</w:t>
      </w:r>
    </w:p>
    <w:p w:rsidR="00024C0A" w:rsidRDefault="00694C0F">
      <w:pPr>
        <w:pStyle w:val="Definition-Field"/>
      </w:pPr>
      <w:r>
        <w:t xml:space="preserve">k.   </w:t>
      </w:r>
      <w:r>
        <w:rPr>
          <w:i/>
        </w:rPr>
        <w:t>The standard indicates how the mso-fit-text-to-shape property of the style attribute is used.</w:t>
      </w:r>
    </w:p>
    <w:p w:rsidR="00024C0A" w:rsidRDefault="00694C0F">
      <w:pPr>
        <w:pStyle w:val="Definition-Field2"/>
      </w:pPr>
      <w:r>
        <w:t>Office does not support the mso-fit-text-to-shape property.</w:t>
      </w:r>
    </w:p>
    <w:p w:rsidR="00024C0A" w:rsidRDefault="00694C0F">
      <w:pPr>
        <w:pStyle w:val="Heading3"/>
      </w:pPr>
      <w:bookmarkStart w:id="3627" w:name="section_ed0509b6055043338266884ac10bb5ba"/>
      <w:bookmarkStart w:id="3628" w:name="_Toc12261874"/>
      <w:r>
        <w:t>Part 4 Secti</w:t>
      </w:r>
      <w:r>
        <w:t>on 19.1.2.23, textpath (Text Layout Path)</w:t>
      </w:r>
      <w:bookmarkEnd w:id="3627"/>
      <w:bookmarkEnd w:id="3628"/>
      <w:r>
        <w:fldChar w:fldCharType="begin"/>
      </w:r>
      <w:r>
        <w:instrText xml:space="preserve"> XE "textpath (Text Layout Path)"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024C0A" w:rsidRDefault="00694C0F">
      <w:pPr>
        <w:pStyle w:val="Definition-Field"/>
      </w:pPr>
      <w:r>
        <w:t xml:space="preserve">a.   </w:t>
      </w:r>
      <w:r>
        <w:rPr>
          <w:i/>
        </w:rPr>
        <w:t>The standard indicates that the default value for the v-text-align property of t</w:t>
      </w:r>
      <w:r>
        <w:rPr>
          <w:i/>
        </w:rPr>
        <w:t>he style attribute is left.</w:t>
      </w:r>
    </w:p>
    <w:p w:rsidR="00024C0A" w:rsidRDefault="00694C0F">
      <w:pPr>
        <w:pStyle w:val="Definition-Field2"/>
      </w:pPr>
      <w:r>
        <w:t>Office uses a default value of center for the v-text-align property of the style attribute.</w:t>
      </w:r>
    </w:p>
    <w:p w:rsidR="00024C0A" w:rsidRDefault="00694C0F">
      <w:pPr>
        <w:pStyle w:val="Definition-Field"/>
      </w:pPr>
      <w:r>
        <w:t xml:space="preserve">b.   </w:t>
      </w:r>
      <w:r>
        <w:rPr>
          <w:i/>
        </w:rPr>
        <w:t>The standard implies that all properties on the style attribute apply to the textpath element.</w:t>
      </w:r>
    </w:p>
    <w:p w:rsidR="00024C0A" w:rsidRDefault="00694C0F">
      <w:r>
        <w:t>Office only supports the following p</w:t>
      </w:r>
      <w:r>
        <w:t>roperties on the textbox element:  font, font-family, font-size, font-style, font-variant, font-weight, mso-text-shadow, text-direction, v-rotate-letters, v-same-letter-heights, v-text-align, v-text-kern, v-text-reverse, v-text-spacing-mode, and v-text-spa</w:t>
      </w:r>
      <w:r>
        <w:t>cing</w:t>
      </w:r>
      <w:r>
        <w:rPr>
          <w:i/>
        </w:rPr>
        <w:t>.</w:t>
      </w:r>
    </w:p>
    <w:p w:rsidR="00024C0A" w:rsidRDefault="00694C0F">
      <w:pPr>
        <w:pStyle w:val="Definition-Field"/>
      </w:pPr>
      <w:r>
        <w:t xml:space="preserve">c.   </w:t>
      </w:r>
      <w:r>
        <w:rPr>
          <w:i/>
        </w:rPr>
        <w:t>The standard indicates that the default value for the mso-text-shadow property of the style attribute is false.</w:t>
      </w:r>
    </w:p>
    <w:p w:rsidR="00024C0A" w:rsidRDefault="00694C0F">
      <w:pPr>
        <w:pStyle w:val="Definition-Field2"/>
      </w:pPr>
      <w:r>
        <w:t>Office uses a default value of none for the mso-text-shadow property of the style attribute.</w:t>
      </w:r>
    </w:p>
    <w:p w:rsidR="00024C0A" w:rsidRDefault="00694C0F">
      <w:pPr>
        <w:pStyle w:val="Definition-Field"/>
      </w:pPr>
      <w:r>
        <w:lastRenderedPageBreak/>
        <w:t xml:space="preserve">d.   </w:t>
      </w:r>
      <w:r>
        <w:rPr>
          <w:i/>
        </w:rPr>
        <w:t xml:space="preserve">The standard implies that changing </w:t>
      </w:r>
      <w:r>
        <w:rPr>
          <w:i/>
        </w:rPr>
        <w:t>the value of the font-size property of the style attribute changes the size of the textpath.</w:t>
      </w:r>
    </w:p>
    <w:p w:rsidR="00024C0A" w:rsidRDefault="00694C0F">
      <w:r>
        <w:t xml:space="preserve">Office uses the </w:t>
      </w:r>
      <w:r>
        <w:rPr>
          <w:i/>
        </w:rPr>
        <w:t>width</w:t>
      </w:r>
      <w:r>
        <w:t xml:space="preserve"> and </w:t>
      </w:r>
      <w:r>
        <w:rPr>
          <w:i/>
        </w:rPr>
        <w:t>height</w:t>
      </w:r>
      <w:r>
        <w:t xml:space="preserve"> properties of the parent shape’s </w:t>
      </w:r>
      <w:r>
        <w:rPr>
          <w:b/>
        </w:rPr>
        <w:t>style</w:t>
      </w:r>
      <w:r>
        <w:t xml:space="preserve"> attribute to determine the area into which the text path is rendered.  If the value of </w:t>
      </w:r>
      <w:r>
        <w:rPr>
          <w:i/>
        </w:rPr>
        <w:t>font</w:t>
      </w:r>
      <w:r>
        <w:t xml:space="preserve">-size is increased, then the </w:t>
      </w:r>
      <w:r>
        <w:rPr>
          <w:i/>
        </w:rPr>
        <w:t>width</w:t>
      </w:r>
      <w:r>
        <w:t xml:space="preserve"> and </w:t>
      </w:r>
      <w:r>
        <w:rPr>
          <w:i/>
        </w:rPr>
        <w:t>height</w:t>
      </w:r>
      <w:r>
        <w:t xml:space="preserve"> on the parent shape are also required to be increased to accommodate the larger </w:t>
      </w:r>
      <w:r>
        <w:rPr>
          <w:i/>
        </w:rPr>
        <w:t>font</w:t>
      </w:r>
      <w:r>
        <w:t>-size value.</w:t>
      </w:r>
    </w:p>
    <w:p w:rsidR="00024C0A" w:rsidRDefault="00694C0F">
      <w:pPr>
        <w:pStyle w:val="Definition-Field"/>
      </w:pPr>
      <w:r>
        <w:t xml:space="preserve">e.   </w:t>
      </w:r>
      <w:r>
        <w:rPr>
          <w:i/>
        </w:rPr>
        <w:t>The standard indicates how the text-decoration property of the style attribute is used.</w:t>
      </w:r>
    </w:p>
    <w:p w:rsidR="00024C0A" w:rsidRDefault="00694C0F">
      <w:pPr>
        <w:pStyle w:val="Definition-Field2"/>
      </w:pPr>
      <w:r>
        <w:t>Office does not supp</w:t>
      </w:r>
      <w:r>
        <w:t>ort the text-decoration property, but does preserve its value on file save.</w:t>
      </w:r>
    </w:p>
    <w:p w:rsidR="00024C0A" w:rsidRDefault="00694C0F">
      <w:pPr>
        <w:pStyle w:val="Definition-Field"/>
      </w:pPr>
      <w:r>
        <w:t xml:space="preserve">f.   </w:t>
      </w:r>
      <w:r>
        <w:rPr>
          <w:i/>
        </w:rPr>
        <w:t>The standard indicates how the font-variant property of the style attribute is used.</w:t>
      </w:r>
    </w:p>
    <w:p w:rsidR="00024C0A" w:rsidRDefault="00694C0F">
      <w:pPr>
        <w:pStyle w:val="Definition-Field2"/>
      </w:pPr>
      <w:r>
        <w:t>Office does not support the font-variant property, but does preserve its value on file sav</w:t>
      </w:r>
      <w:r>
        <w:t>e.</w:t>
      </w:r>
    </w:p>
    <w:p w:rsidR="00024C0A" w:rsidRDefault="00694C0F">
      <w:pPr>
        <w:pStyle w:val="Definition-Field"/>
      </w:pPr>
      <w:r>
        <w:t xml:space="preserve">g.   </w:t>
      </w:r>
      <w:r>
        <w:rPr>
          <w:i/>
        </w:rPr>
        <w:t>The standard indicates that the default value for the v-text-spacing property of the style attribute is 100.</w:t>
      </w:r>
    </w:p>
    <w:p w:rsidR="00024C0A" w:rsidRDefault="00694C0F">
      <w:pPr>
        <w:pStyle w:val="Definition-Field2"/>
      </w:pPr>
      <w:r>
        <w:t>Office uses a default value of 1 or the v-text-spacing property of the style attribute.</w:t>
      </w:r>
    </w:p>
    <w:p w:rsidR="00024C0A" w:rsidRDefault="00694C0F">
      <w:pPr>
        <w:pStyle w:val="Definition-Field"/>
      </w:pPr>
      <w:r>
        <w:t xml:space="preserve">h.   </w:t>
      </w:r>
      <w:r>
        <w:rPr>
          <w:i/>
        </w:rPr>
        <w:t xml:space="preserve">The standard indicates that the default value </w:t>
      </w:r>
      <w:r>
        <w:rPr>
          <w:i/>
        </w:rPr>
        <w:t>for the v-text-spacing-mode property of the style attribute is tightening.</w:t>
      </w:r>
    </w:p>
    <w:p w:rsidR="00024C0A" w:rsidRDefault="00694C0F">
      <w:pPr>
        <w:pStyle w:val="Definition-Field2"/>
      </w:pPr>
      <w:r>
        <w:t>Office uses a default value of tracking for the v-text-spacing-mode property of the style attribute.</w:t>
      </w:r>
    </w:p>
    <w:p w:rsidR="00024C0A" w:rsidRDefault="00694C0F">
      <w:pPr>
        <w:pStyle w:val="Definition-Field"/>
      </w:pPr>
      <w:r>
        <w:t xml:space="preserve">i.   </w:t>
      </w:r>
      <w:r>
        <w:rPr>
          <w:i/>
        </w:rPr>
        <w:t>The standard does not restrict the number of instances of the textpath elem</w:t>
      </w:r>
      <w:r>
        <w:rPr>
          <w:i/>
        </w:rPr>
        <w:t>ent.</w:t>
      </w:r>
    </w:p>
    <w:p w:rsidR="00024C0A" w:rsidRDefault="00694C0F">
      <w:pPr>
        <w:pStyle w:val="Definition-Field2"/>
      </w:pPr>
      <w:r>
        <w:t>Office allows at most only one instance of the textpath element in each place where it can be used.</w:t>
      </w:r>
    </w:p>
    <w:p w:rsidR="00024C0A" w:rsidRDefault="00694C0F">
      <w:pPr>
        <w:pStyle w:val="Definition-Field"/>
      </w:pPr>
      <w:r>
        <w:t xml:space="preserve">j.   </w:t>
      </w:r>
      <w:r>
        <w:rPr>
          <w:i/>
        </w:rPr>
        <w:t>The standard implies the valid values for the mso-text-shadow property of the style attribute.</w:t>
      </w:r>
    </w:p>
    <w:p w:rsidR="00024C0A" w:rsidRDefault="00694C0F">
      <w:pPr>
        <w:pStyle w:val="Definition-Field2"/>
      </w:pPr>
      <w:r>
        <w:t>Office supports the values auto and none for the ms</w:t>
      </w:r>
      <w:r>
        <w:t>o-text-shadow property of the style attribute.</w:t>
      </w:r>
    </w:p>
    <w:p w:rsidR="00024C0A" w:rsidRDefault="00694C0F">
      <w:pPr>
        <w:pStyle w:val="Definition-Field"/>
      </w:pPr>
      <w:r>
        <w:t xml:space="preserve">k.   </w:t>
      </w:r>
      <w:r>
        <w:rPr>
          <w:i/>
        </w:rPr>
        <w:t>The standard does not specify bounds for the v-text-spacing property of the style attribute.</w:t>
      </w:r>
    </w:p>
    <w:p w:rsidR="00024C0A" w:rsidRDefault="00694C0F">
      <w:pPr>
        <w:pStyle w:val="Definition-Field2"/>
      </w:pPr>
      <w:r>
        <w:t xml:space="preserve">Office supports a minimum value of 0 and a maximum value of 5.  A value larger than 1.0 means expanded spacing </w:t>
      </w:r>
      <w:r>
        <w:t>while a value less than 1.0 means condensed spacing.</w:t>
      </w:r>
    </w:p>
    <w:p w:rsidR="00024C0A" w:rsidRDefault="00694C0F">
      <w:pPr>
        <w:pStyle w:val="Definition-Field"/>
      </w:pPr>
      <w:r>
        <w:t xml:space="preserve">l.   </w:t>
      </w:r>
      <w:r>
        <w:rPr>
          <w:i/>
        </w:rPr>
        <w:t>The standard implies that the v-text-spacing property of the style attribute is specified using unitless numbers.</w:t>
      </w:r>
    </w:p>
    <w:p w:rsidR="00024C0A" w:rsidRDefault="00694C0F">
      <w:r>
        <w:t xml:space="preserve">Office also supports specifying this property as a percentage in the range 0% </w:t>
      </w:r>
      <w:r>
        <w:t>through 500%.  This numeric value may also be specified in 1/65536-ths if a trailing "f" is supplied.  For example, a value of "52429f" represents 52429/65536 or 0.8.  Using this notation, the range of acceptable values is from 0f through 327680f.</w:t>
      </w:r>
    </w:p>
    <w:p w:rsidR="00024C0A" w:rsidRDefault="00694C0F">
      <w:pPr>
        <w:pStyle w:val="Heading3"/>
      </w:pPr>
      <w:bookmarkStart w:id="3629" w:name="section_6b29c3deb279450da710a73c6dd0b1fa"/>
      <w:bookmarkStart w:id="3630" w:name="_Toc12261875"/>
      <w:r>
        <w:t>Part 4 S</w:t>
      </w:r>
      <w:r>
        <w:t>ection 19.1.3.2, ST_Ext (VML Extension Handling Behaviors)</w:t>
      </w:r>
      <w:bookmarkEnd w:id="3629"/>
      <w:bookmarkEnd w:id="3630"/>
      <w:r>
        <w:fldChar w:fldCharType="begin"/>
      </w:r>
      <w:r>
        <w:instrText xml:space="preserve"> XE "ST_Ext (VML Extension Handling Behaviors)" </w:instrText>
      </w:r>
      <w:r>
        <w:fldChar w:fldCharType="end"/>
      </w:r>
    </w:p>
    <w:p w:rsidR="00024C0A" w:rsidRDefault="00694C0F">
      <w:pPr>
        <w:pStyle w:val="Definition-Field"/>
      </w:pPr>
      <w:r>
        <w:t xml:space="preserve">a.   </w:t>
      </w:r>
      <w:r>
        <w:rPr>
          <w:i/>
        </w:rPr>
        <w:t>The standard indicates the valid values for the ST_Ext simple type.</w:t>
      </w:r>
    </w:p>
    <w:p w:rsidR="00024C0A" w:rsidRDefault="00694C0F">
      <w:r>
        <w:t xml:space="preserve">In Office, the following elements support only the </w:t>
      </w:r>
      <w:r>
        <w:rPr>
          <w:i/>
        </w:rPr>
        <w:t>View</w:t>
      </w:r>
      <w:r>
        <w:t xml:space="preserve"> value:</w:t>
      </w:r>
    </w:p>
    <w:p w:rsidR="00024C0A" w:rsidRDefault="00694C0F">
      <w:pPr>
        <w:pStyle w:val="ListParagraph"/>
        <w:numPr>
          <w:ilvl w:val="0"/>
          <w:numId w:val="177"/>
        </w:numPr>
        <w:contextualSpacing/>
      </w:pPr>
      <w:r>
        <w:rPr>
          <w:b/>
        </w:rPr>
        <w:t>top</w:t>
      </w:r>
      <w:r>
        <w:t xml:space="preserve"> ("</w:t>
      </w:r>
      <w:hyperlink r:id="rId253">
        <w:r>
          <w:rPr>
            <w:rStyle w:val="Hyperlink"/>
          </w:rPr>
          <w:t>[ISO/IEC-29500-4]</w:t>
        </w:r>
      </w:hyperlink>
      <w:r>
        <w:t xml:space="preserve"> §19.2.2.32; top (Text Box Top Stroke)")</w:t>
      </w:r>
    </w:p>
    <w:p w:rsidR="00024C0A" w:rsidRDefault="00694C0F">
      <w:pPr>
        <w:pStyle w:val="ListParagraph"/>
        <w:numPr>
          <w:ilvl w:val="0"/>
          <w:numId w:val="177"/>
        </w:numPr>
        <w:contextualSpacing/>
      </w:pPr>
      <w:r>
        <w:rPr>
          <w:b/>
        </w:rPr>
        <w:t>bottom</w:t>
      </w:r>
      <w:r>
        <w:t xml:space="preserve"> ("[ISO/IEC-29500-4] §19.2.2.1; bottom (Text Box Bottom Stroke)") </w:t>
      </w:r>
    </w:p>
    <w:p w:rsidR="00024C0A" w:rsidRDefault="00694C0F">
      <w:pPr>
        <w:pStyle w:val="ListParagraph"/>
        <w:numPr>
          <w:ilvl w:val="0"/>
          <w:numId w:val="177"/>
        </w:numPr>
        <w:contextualSpacing/>
      </w:pPr>
      <w:r>
        <w:rPr>
          <w:b/>
        </w:rPr>
        <w:t>left</w:t>
      </w:r>
      <w:r>
        <w:t xml:space="preserve"> ("[ISO/IEC-29500-4] §19.2.2.16; left (Text Box Left Stroke)</w:t>
      </w:r>
      <w:r>
        <w:t>")</w:t>
      </w:r>
    </w:p>
    <w:p w:rsidR="00024C0A" w:rsidRDefault="00694C0F">
      <w:pPr>
        <w:pStyle w:val="ListParagraph"/>
        <w:numPr>
          <w:ilvl w:val="0"/>
          <w:numId w:val="177"/>
        </w:numPr>
        <w:contextualSpacing/>
      </w:pPr>
      <w:r>
        <w:rPr>
          <w:b/>
        </w:rPr>
        <w:t xml:space="preserve">right </w:t>
      </w:r>
      <w:r>
        <w:t xml:space="preserve">("[ISO/IEC-29500-4] §19.2.2.26; right (Text Box Right Stroke)")  </w:t>
      </w:r>
    </w:p>
    <w:p w:rsidR="00024C0A" w:rsidRDefault="00694C0F">
      <w:pPr>
        <w:pStyle w:val="ListParagraph"/>
        <w:numPr>
          <w:ilvl w:val="0"/>
          <w:numId w:val="177"/>
        </w:numPr>
        <w:contextualSpacing/>
      </w:pPr>
      <w:r>
        <w:rPr>
          <w:b/>
        </w:rPr>
        <w:t>column</w:t>
      </w:r>
      <w:r>
        <w:t xml:space="preserve"> ("[ISO/IEC-29500-4] §19.2.2.6; column (Text Box Interior Stroke)")</w:t>
      </w:r>
    </w:p>
    <w:p w:rsidR="00024C0A" w:rsidRDefault="00694C0F">
      <w:pPr>
        <w:pStyle w:val="ListParagraph"/>
        <w:numPr>
          <w:ilvl w:val="0"/>
          <w:numId w:val="177"/>
        </w:numPr>
        <w:contextualSpacing/>
      </w:pPr>
      <w:r>
        <w:rPr>
          <w:b/>
        </w:rPr>
        <w:t>complex</w:t>
      </w:r>
      <w:r>
        <w:t xml:space="preserve"> ("[ISO/IEC-29500-4] §19.2.2.7; complex (Complex)")</w:t>
      </w:r>
    </w:p>
    <w:p w:rsidR="00024C0A" w:rsidRDefault="00694C0F">
      <w:pPr>
        <w:pStyle w:val="ListParagraph"/>
        <w:numPr>
          <w:ilvl w:val="0"/>
          <w:numId w:val="177"/>
        </w:numPr>
        <w:contextualSpacing/>
      </w:pPr>
      <w:r>
        <w:rPr>
          <w:b/>
        </w:rPr>
        <w:t>extrusion</w:t>
      </w:r>
      <w:r>
        <w:t xml:space="preserve"> ("[ISO/IEC-29500-4] §19.2.2.11; extrus</w:t>
      </w:r>
      <w:r>
        <w:t>ion (3D Extrusion)")</w:t>
      </w:r>
    </w:p>
    <w:p w:rsidR="00024C0A" w:rsidRDefault="00694C0F">
      <w:pPr>
        <w:pStyle w:val="ListParagraph"/>
        <w:numPr>
          <w:ilvl w:val="0"/>
          <w:numId w:val="177"/>
        </w:numPr>
        <w:contextualSpacing/>
      </w:pPr>
      <w:r>
        <w:rPr>
          <w:b/>
        </w:rPr>
        <w:t>fill</w:t>
      </w:r>
      <w:r>
        <w:t xml:space="preserve"> ("[ISO/IEC-29500-4] §19.2.2.13; fill (Shape Fill Extended Properties)")</w:t>
      </w:r>
    </w:p>
    <w:p w:rsidR="00024C0A" w:rsidRDefault="00694C0F">
      <w:pPr>
        <w:pStyle w:val="ListParagraph"/>
        <w:numPr>
          <w:ilvl w:val="0"/>
          <w:numId w:val="177"/>
        </w:numPr>
      </w:pPr>
      <w:r>
        <w:rPr>
          <w:b/>
        </w:rPr>
        <w:lastRenderedPageBreak/>
        <w:t>skew</w:t>
      </w:r>
      <w:r>
        <w:t xml:space="preserve"> ("[ISO/IEC-29500-4] §19.2.2.31; skew (Skew Transform)")</w:t>
      </w:r>
    </w:p>
    <w:p w:rsidR="00024C0A" w:rsidRDefault="00694C0F">
      <w:pPr>
        <w:pStyle w:val="Definition-Field"/>
      </w:pPr>
      <w:r>
        <w:t xml:space="preserve">b.   </w:t>
      </w:r>
      <w:r>
        <w:rPr>
          <w:i/>
        </w:rPr>
        <w:t>The standard indicates the valid values for the ST_Ext simple type.</w:t>
      </w:r>
    </w:p>
    <w:p w:rsidR="00024C0A" w:rsidRDefault="00694C0F">
      <w:r>
        <w:t>In Office, the following</w:t>
      </w:r>
      <w:r>
        <w:t xml:space="preserve"> elements support only the </w:t>
      </w:r>
      <w:r>
        <w:rPr>
          <w:i/>
        </w:rPr>
        <w:t>Edit</w:t>
      </w:r>
      <w:r>
        <w:t xml:space="preserve"> value:</w:t>
      </w:r>
    </w:p>
    <w:p w:rsidR="00024C0A" w:rsidRDefault="00694C0F">
      <w:pPr>
        <w:pStyle w:val="ListParagraph"/>
        <w:numPr>
          <w:ilvl w:val="0"/>
          <w:numId w:val="178"/>
        </w:numPr>
        <w:contextualSpacing/>
      </w:pPr>
      <w:r>
        <w:rPr>
          <w:b/>
        </w:rPr>
        <w:t>callout</w:t>
      </w:r>
      <w:r>
        <w:t xml:space="preserve"> ("[ISO/IEC-29500-4] §19.2.2.2; callout (Callout)")</w:t>
      </w:r>
    </w:p>
    <w:p w:rsidR="00024C0A" w:rsidRDefault="00694C0F">
      <w:pPr>
        <w:pStyle w:val="ListParagraph"/>
        <w:numPr>
          <w:ilvl w:val="0"/>
          <w:numId w:val="178"/>
        </w:numPr>
        <w:contextualSpacing/>
      </w:pPr>
      <w:r>
        <w:rPr>
          <w:b/>
        </w:rPr>
        <w:t>colormenu</w:t>
      </w:r>
      <w:r>
        <w:t xml:space="preserve"> ("[ISO/IEC-29500-4] §19.2.2.4; colormenu (UI Default Colors)")</w:t>
      </w:r>
    </w:p>
    <w:p w:rsidR="00024C0A" w:rsidRDefault="00694C0F">
      <w:pPr>
        <w:pStyle w:val="ListParagraph"/>
        <w:numPr>
          <w:ilvl w:val="0"/>
          <w:numId w:val="178"/>
        </w:numPr>
        <w:contextualSpacing/>
      </w:pPr>
      <w:r>
        <w:rPr>
          <w:b/>
        </w:rPr>
        <w:t>colormru</w:t>
      </w:r>
      <w:r>
        <w:t xml:space="preserve"> ("[ISO/IEC-29500-4] §19.2.2.5; colormru (Most Recently Used Colors)")</w:t>
      </w:r>
    </w:p>
    <w:p w:rsidR="00024C0A" w:rsidRDefault="00694C0F">
      <w:pPr>
        <w:pStyle w:val="ListParagraph"/>
        <w:numPr>
          <w:ilvl w:val="0"/>
          <w:numId w:val="178"/>
        </w:numPr>
        <w:contextualSpacing/>
      </w:pPr>
      <w:r>
        <w:rPr>
          <w:b/>
        </w:rPr>
        <w:t>diagra</w:t>
      </w:r>
      <w:r>
        <w:rPr>
          <w:b/>
        </w:rPr>
        <w:t>m</w:t>
      </w:r>
      <w:r>
        <w:t xml:space="preserve"> ("[ISO/IEC-29500-4] §19.2.2.8; diagram (VML Diagram)")</w:t>
      </w:r>
    </w:p>
    <w:p w:rsidR="00024C0A" w:rsidRDefault="00694C0F">
      <w:pPr>
        <w:pStyle w:val="ListParagraph"/>
        <w:numPr>
          <w:ilvl w:val="0"/>
          <w:numId w:val="178"/>
        </w:numPr>
        <w:contextualSpacing/>
      </w:pPr>
      <w:r>
        <w:rPr>
          <w:b/>
        </w:rPr>
        <w:t>idmap</w:t>
      </w:r>
      <w:r>
        <w:t xml:space="preserve"> ("[ISO/IEC-29500-4] §19.2.2.14; idmap (Shape ID Map)")</w:t>
      </w:r>
    </w:p>
    <w:p w:rsidR="00024C0A" w:rsidRDefault="00694C0F">
      <w:pPr>
        <w:pStyle w:val="ListParagraph"/>
        <w:numPr>
          <w:ilvl w:val="0"/>
          <w:numId w:val="178"/>
        </w:numPr>
        <w:contextualSpacing/>
      </w:pPr>
      <w:r>
        <w:rPr>
          <w:b/>
        </w:rPr>
        <w:t>lock</w:t>
      </w:r>
      <w:r>
        <w:t xml:space="preserve"> ("[ISO/IEC-29500-4] §19.2.2.18; lock (Shape Protections)")</w:t>
      </w:r>
    </w:p>
    <w:p w:rsidR="00024C0A" w:rsidRDefault="00694C0F">
      <w:pPr>
        <w:pStyle w:val="ListParagraph"/>
        <w:numPr>
          <w:ilvl w:val="0"/>
          <w:numId w:val="178"/>
        </w:numPr>
        <w:contextualSpacing/>
      </w:pPr>
      <w:r>
        <w:rPr>
          <w:b/>
        </w:rPr>
        <w:t>regrouptable</w:t>
      </w:r>
      <w:r>
        <w:t xml:space="preserve"> ("[ISO/IEC-29500-4] §19.2.2.23; regrouptable (Shape Grouping </w:t>
      </w:r>
      <w:r>
        <w:t>History)")</w:t>
      </w:r>
    </w:p>
    <w:p w:rsidR="00024C0A" w:rsidRDefault="00694C0F">
      <w:pPr>
        <w:pStyle w:val="ListParagraph"/>
        <w:numPr>
          <w:ilvl w:val="0"/>
          <w:numId w:val="178"/>
        </w:numPr>
        <w:contextualSpacing/>
      </w:pPr>
      <w:r>
        <w:rPr>
          <w:b/>
        </w:rPr>
        <w:t>rel</w:t>
      </w:r>
      <w:r>
        <w:t xml:space="preserve"> ("[ISO/IEC-29500-4] §19.2.2.24; rel (Diagram Relationship)")</w:t>
      </w:r>
    </w:p>
    <w:p w:rsidR="00024C0A" w:rsidRDefault="00694C0F">
      <w:pPr>
        <w:pStyle w:val="ListParagraph"/>
        <w:numPr>
          <w:ilvl w:val="0"/>
          <w:numId w:val="178"/>
        </w:numPr>
        <w:contextualSpacing/>
      </w:pPr>
      <w:r>
        <w:rPr>
          <w:b/>
        </w:rPr>
        <w:t>relationtable</w:t>
      </w:r>
      <w:r>
        <w:t xml:space="preserve"> ("[ISO/IEC-29500-4] §19.2.2.25; relationtable (Diagram Relationship Table)")</w:t>
      </w:r>
    </w:p>
    <w:p w:rsidR="00024C0A" w:rsidRDefault="00694C0F">
      <w:pPr>
        <w:pStyle w:val="ListParagraph"/>
        <w:numPr>
          <w:ilvl w:val="0"/>
          <w:numId w:val="178"/>
        </w:numPr>
        <w:contextualSpacing/>
      </w:pPr>
      <w:r>
        <w:rPr>
          <w:b/>
        </w:rPr>
        <w:t>rules</w:t>
      </w:r>
      <w:r>
        <w:t xml:space="preserve"> ("[ISO/IEC-29500-4] §19.2.2.27; rules (Rule Set)")</w:t>
      </w:r>
    </w:p>
    <w:p w:rsidR="00024C0A" w:rsidRDefault="00694C0F">
      <w:pPr>
        <w:pStyle w:val="ListParagraph"/>
        <w:numPr>
          <w:ilvl w:val="0"/>
          <w:numId w:val="178"/>
        </w:numPr>
        <w:contextualSpacing/>
      </w:pPr>
      <w:r>
        <w:rPr>
          <w:b/>
        </w:rPr>
        <w:t>shapedefaults</w:t>
      </w:r>
      <w:r>
        <w:t xml:space="preserve"> ("</w:t>
      </w:r>
      <w:r>
        <w:t>[ISO/IEC-29500-4] §19.2.2.28; shapedefaults (New Shape Defaults)")</w:t>
      </w:r>
    </w:p>
    <w:p w:rsidR="00024C0A" w:rsidRDefault="00694C0F">
      <w:pPr>
        <w:pStyle w:val="ListParagraph"/>
        <w:numPr>
          <w:ilvl w:val="0"/>
          <w:numId w:val="178"/>
        </w:numPr>
        <w:contextualSpacing/>
      </w:pPr>
      <w:r>
        <w:rPr>
          <w:b/>
        </w:rPr>
        <w:t>shapelayout</w:t>
      </w:r>
      <w:r>
        <w:t xml:space="preserve"> ("[ISO/IEC-29500-4] §19.2.2.29; shapelayout (Shape Layout Properties)")</w:t>
      </w:r>
    </w:p>
    <w:p w:rsidR="00024C0A" w:rsidRDefault="00694C0F">
      <w:pPr>
        <w:pStyle w:val="ListParagraph"/>
        <w:numPr>
          <w:ilvl w:val="0"/>
          <w:numId w:val="178"/>
        </w:numPr>
      </w:pPr>
      <w:r>
        <w:rPr>
          <w:b/>
        </w:rPr>
        <w:t>signatureline</w:t>
      </w:r>
      <w:r>
        <w:t xml:space="preserve"> ("[ISO/IEC-29500-4] §19.2.2.30; signatureline (Digital Signature Line)")</w:t>
      </w:r>
    </w:p>
    <w:p w:rsidR="00024C0A" w:rsidRDefault="00694C0F">
      <w:pPr>
        <w:pStyle w:val="Heading3"/>
      </w:pPr>
      <w:bookmarkStart w:id="3631" w:name="section_008cd8fe3ce04c7e8cfa41e93a741ff6"/>
      <w:bookmarkStart w:id="3632" w:name="_Toc12261876"/>
      <w:r>
        <w:t>Part 4 Section 19.</w:t>
      </w:r>
      <w:r>
        <w:t>1.3.3, ST_FillMethod (Gradient Fill Computation Type)</w:t>
      </w:r>
      <w:bookmarkEnd w:id="3631"/>
      <w:bookmarkEnd w:id="3632"/>
      <w:r>
        <w:fldChar w:fldCharType="begin"/>
      </w:r>
      <w:r>
        <w:instrText xml:space="preserve"> XE "ST_FillMethod (Gradient Fill Computation Type)" </w:instrText>
      </w:r>
      <w:r>
        <w:fldChar w:fldCharType="end"/>
      </w:r>
    </w:p>
    <w:p w:rsidR="00024C0A" w:rsidRDefault="00694C0F">
      <w:pPr>
        <w:pStyle w:val="Definition-Field"/>
      </w:pPr>
      <w:r>
        <w:t xml:space="preserve">a.   </w:t>
      </w:r>
      <w:r>
        <w:rPr>
          <w:i/>
        </w:rPr>
        <w:t>The standard indicates that the any value is an application default fill.</w:t>
      </w:r>
    </w:p>
    <w:p w:rsidR="00024C0A" w:rsidRDefault="00694C0F">
      <w:pPr>
        <w:pStyle w:val="Definition-Field2"/>
      </w:pPr>
      <w:r>
        <w:t>Office uses linear sigma as its application default fill.</w:t>
      </w:r>
    </w:p>
    <w:p w:rsidR="00024C0A" w:rsidRDefault="00694C0F">
      <w:pPr>
        <w:pStyle w:val="Heading3"/>
      </w:pPr>
      <w:bookmarkStart w:id="3633" w:name="section_171b0dbff49c41e19b891784a823b0d0"/>
      <w:bookmarkStart w:id="3634" w:name="_Toc12261877"/>
      <w:r>
        <w:t>Part 4 Section 19.1.3.4, ST_FillType (Shape Fill Type)</w:t>
      </w:r>
      <w:bookmarkEnd w:id="3633"/>
      <w:bookmarkEnd w:id="3634"/>
      <w:r>
        <w:fldChar w:fldCharType="begin"/>
      </w:r>
      <w:r>
        <w:instrText xml:space="preserve"> XE "ST_FillType (Shape Fill Type)" </w:instrText>
      </w:r>
      <w:r>
        <w:fldChar w:fldCharType="end"/>
      </w:r>
    </w:p>
    <w:p w:rsidR="00024C0A" w:rsidRDefault="00694C0F">
      <w:pPr>
        <w:pStyle w:val="Definition-Field"/>
      </w:pPr>
      <w:r>
        <w:t xml:space="preserve">a.   </w:t>
      </w:r>
      <w:r>
        <w:rPr>
          <w:i/>
        </w:rPr>
        <w:t>The standard indicates how the pattern enumeration value is used.</w:t>
      </w:r>
    </w:p>
    <w:p w:rsidR="00024C0A" w:rsidRDefault="00694C0F">
      <w:pPr>
        <w:pStyle w:val="Definition-Field2"/>
      </w:pPr>
      <w:r>
        <w:t>Office uses the fill colors but also tiles the fill image.</w:t>
      </w:r>
    </w:p>
    <w:p w:rsidR="00024C0A" w:rsidRDefault="00694C0F">
      <w:pPr>
        <w:pStyle w:val="Heading3"/>
      </w:pPr>
      <w:bookmarkStart w:id="3635" w:name="section_43069065d5f54e959543824ed01466d3"/>
      <w:bookmarkStart w:id="3636" w:name="_Toc12261878"/>
      <w:r>
        <w:t>Part 4 Section 19.1.3.6, ST_Shado</w:t>
      </w:r>
      <w:r>
        <w:t>wType (Shadow Type)</w:t>
      </w:r>
      <w:bookmarkEnd w:id="3635"/>
      <w:bookmarkEnd w:id="3636"/>
      <w:r>
        <w:fldChar w:fldCharType="begin"/>
      </w:r>
      <w:r>
        <w:instrText xml:space="preserve"> XE "ST_ShadowType (Shadow Type)" </w:instrText>
      </w:r>
      <w:r>
        <w:fldChar w:fldCharType="end"/>
      </w:r>
    </w:p>
    <w:p w:rsidR="00024C0A" w:rsidRDefault="00694C0F">
      <w:pPr>
        <w:pStyle w:val="Definition-Field"/>
      </w:pPr>
      <w:r>
        <w:t xml:space="preserve">a.   </w:t>
      </w:r>
      <w:r>
        <w:rPr>
          <w:i/>
        </w:rPr>
        <w:t>The standard lists four valid values for the ST_ShadowType simple type.</w:t>
      </w:r>
    </w:p>
    <w:p w:rsidR="00024C0A" w:rsidRDefault="00694C0F">
      <w:r>
        <w:t>In addition to the two values specified by the standard, Office supports the following additional enumeration values for th</w:t>
      </w:r>
      <w:r>
        <w:t>e ST_ShadowType simple type:</w:t>
      </w:r>
    </w:p>
    <w:tbl>
      <w:tblPr>
        <w:tblStyle w:val="Table-ShadedHeader"/>
        <w:tblW w:w="0" w:type="auto"/>
        <w:tblLook w:val="04A0" w:firstRow="1" w:lastRow="0" w:firstColumn="1" w:lastColumn="0" w:noHBand="0" w:noVBand="1"/>
      </w:tblPr>
      <w:tblGrid>
        <w:gridCol w:w="3253"/>
        <w:gridCol w:w="6063"/>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Enumeration Value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drawingRelative</w:t>
            </w:r>
            <w:r>
              <w:t xml:space="preserve"> (Drawing Shadow)</w:t>
            </w:r>
          </w:p>
        </w:tc>
        <w:tc>
          <w:tcPr>
            <w:tcW w:w="0" w:type="auto"/>
            <w:vAlign w:val="center"/>
          </w:tcPr>
          <w:p w:rsidR="00024C0A" w:rsidRDefault="00694C0F">
            <w:pPr>
              <w:pStyle w:val="TableBodyText"/>
            </w:pPr>
            <w:r>
              <w:t>A perspective shadow is cast relative to the drawing space of the shape.</w:t>
            </w:r>
          </w:p>
        </w:tc>
      </w:tr>
      <w:tr w:rsidR="00024C0A" w:rsidTr="00024C0A">
        <w:tc>
          <w:tcPr>
            <w:tcW w:w="0" w:type="auto"/>
            <w:vAlign w:val="center"/>
          </w:tcPr>
          <w:p w:rsidR="00024C0A" w:rsidRDefault="00694C0F">
            <w:pPr>
              <w:pStyle w:val="TableBodyText"/>
            </w:pPr>
            <w:r>
              <w:rPr>
                <w:b/>
              </w:rPr>
              <w:t>shapeRelative</w:t>
            </w:r>
            <w:r>
              <w:t xml:space="preserve"> (Shape Shadow)</w:t>
            </w:r>
          </w:p>
        </w:tc>
        <w:tc>
          <w:tcPr>
            <w:tcW w:w="0" w:type="auto"/>
            <w:vAlign w:val="center"/>
          </w:tcPr>
          <w:p w:rsidR="00024C0A" w:rsidRDefault="00694C0F">
            <w:pPr>
              <w:pStyle w:val="TableBodyText"/>
            </w:pPr>
            <w:r>
              <w:t xml:space="preserve">A perspective shadow is cast and scaled relative to the shape. </w:t>
            </w:r>
          </w:p>
        </w:tc>
      </w:tr>
    </w:tbl>
    <w:p w:rsidR="00024C0A" w:rsidRDefault="00024C0A"/>
    <w:p w:rsidR="00024C0A" w:rsidRDefault="00694C0F">
      <w:pPr>
        <w:pStyle w:val="Heading3"/>
      </w:pPr>
      <w:bookmarkStart w:id="3637" w:name="section_584b988653c243efa8577c5d7041a8db"/>
      <w:bookmarkStart w:id="3638" w:name="_Toc12261879"/>
      <w:r>
        <w:t>Part 4 Section 19.2.2.1, bottom (Text Box Bottom Stroke)</w:t>
      </w:r>
      <w:bookmarkEnd w:id="3637"/>
      <w:bookmarkEnd w:id="3638"/>
      <w:r>
        <w:fldChar w:fldCharType="begin"/>
      </w:r>
      <w:r>
        <w:instrText xml:space="preserve"> XE "bottom (Text Box Bottom Stroke)"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7c2c12cffc6b476ca8bc3206fdc1ea78">
        <w:r>
          <w:rPr>
            <w:rStyle w:val="Hyperlink"/>
          </w:rPr>
          <w:t>column, §19.2.</w:t>
        </w:r>
        <w:r>
          <w:rPr>
            <w:rStyle w:val="Hyperlink"/>
          </w:rPr>
          <w:t>2.6(a)</w:t>
        </w:r>
      </w:hyperlink>
      <w:r>
        <w:rPr>
          <w:i/>
        </w:rPr>
        <w:t>.</w:t>
      </w:r>
    </w:p>
    <w:p w:rsidR="00024C0A" w:rsidRDefault="00694C0F">
      <w:pPr>
        <w:pStyle w:val="Definition-Field"/>
      </w:pPr>
      <w:r>
        <w:t xml:space="preserve">a.   </w:t>
      </w:r>
      <w:r>
        <w:rPr>
          <w:i/>
        </w:rPr>
        <w:t>The standard indicates the conditions under which the bottom element is displayed.</w:t>
      </w:r>
    </w:p>
    <w:p w:rsidR="00024C0A" w:rsidRDefault="00694C0F">
      <w:r>
        <w:t>In Office, the bottom element will only be displayed if all of the following conditions are met:</w:t>
      </w:r>
    </w:p>
    <w:p w:rsidR="00024C0A" w:rsidRDefault="00694C0F">
      <w:pPr>
        <w:pStyle w:val="ListParagraph"/>
        <w:numPr>
          <w:ilvl w:val="0"/>
          <w:numId w:val="179"/>
        </w:numPr>
        <w:contextualSpacing/>
      </w:pPr>
      <w:r>
        <w:t xml:space="preserve">The </w:t>
      </w:r>
      <w:r>
        <w:rPr>
          <w:b/>
        </w:rPr>
        <w:t>on</w:t>
      </w:r>
      <w:r>
        <w:t xml:space="preserve"> attribute is </w:t>
      </w:r>
      <w:r>
        <w:rPr>
          <w:i/>
        </w:rPr>
        <w:t>true</w:t>
      </w:r>
      <w:r>
        <w:t>.</w:t>
      </w:r>
    </w:p>
    <w:p w:rsidR="00024C0A" w:rsidRDefault="00694C0F">
      <w:pPr>
        <w:pStyle w:val="ListParagraph"/>
        <w:numPr>
          <w:ilvl w:val="0"/>
          <w:numId w:val="179"/>
        </w:numPr>
        <w:contextualSpacing/>
      </w:pPr>
      <w:r>
        <w:lastRenderedPageBreak/>
        <w:t xml:space="preserve">The shape’s path is closed with the </w:t>
      </w:r>
      <w:r>
        <w:rPr>
          <w:i/>
        </w:rPr>
        <w:t>x</w:t>
      </w:r>
      <w:r>
        <w:t xml:space="preserve"> command.  [Note: This implies that arrow heads should be defined on the stroke attribute. end note]</w:t>
      </w:r>
    </w:p>
    <w:p w:rsidR="00024C0A" w:rsidRDefault="00694C0F">
      <w:pPr>
        <w:pStyle w:val="ListParagraph"/>
        <w:numPr>
          <w:ilvl w:val="0"/>
          <w:numId w:val="179"/>
        </w:numPr>
        <w:contextualSpacing/>
      </w:pPr>
      <w:r>
        <w:t>The shape’s path defines a rectangle with corner coordinates exactly equal to 0,0; 21600,0; 21600,21600; 0,21600.  [Example: For example, the following val</w:t>
      </w:r>
      <w:r>
        <w:t xml:space="preserve">ue on the </w:t>
      </w:r>
      <w:r>
        <w:rPr>
          <w:b/>
        </w:rPr>
        <w:t>path</w:t>
      </w:r>
      <w:r>
        <w:t xml:space="preserve"> attribute of the </w:t>
      </w:r>
      <w:r>
        <w:rPr>
          <w:b/>
        </w:rPr>
        <w:t>shape</w:t>
      </w:r>
      <w:r>
        <w:t xml:space="preserve"> element ("</w:t>
      </w:r>
      <w:hyperlink r:id="rId254">
        <w:r>
          <w:rPr>
            <w:rStyle w:val="Hyperlink"/>
          </w:rPr>
          <w:t>[ISO/IEC-29500-4]</w:t>
        </w:r>
      </w:hyperlink>
      <w:r>
        <w:t xml:space="preserve"> §19.1.2.19; shape (Shape Definition)") satisfies this condition: </w:t>
      </w:r>
      <w:r>
        <w:rPr>
          <w:rStyle w:val="InlineCode"/>
        </w:rPr>
        <w:t>path="m,l,21600r21600,l21600,xe"</w:t>
      </w:r>
      <w:r>
        <w:t xml:space="preserve"> end example]</w:t>
      </w:r>
    </w:p>
    <w:p w:rsidR="00024C0A" w:rsidRDefault="00694C0F">
      <w:pPr>
        <w:pStyle w:val="ListParagraph"/>
        <w:numPr>
          <w:ilvl w:val="0"/>
          <w:numId w:val="179"/>
        </w:numPr>
        <w:contextualSpacing/>
      </w:pPr>
      <w:r>
        <w:t xml:space="preserve">The value of the shape’s </w:t>
      </w:r>
      <w:r>
        <w:rPr>
          <w:b/>
        </w:rPr>
        <w:t>spt</w:t>
      </w:r>
      <w:r>
        <w:t xml:space="preserve"> attribute is </w:t>
      </w:r>
      <w:r>
        <w:rPr>
          <w:i/>
        </w:rPr>
        <w:t>202</w:t>
      </w:r>
      <w:r>
        <w:t>.</w:t>
      </w:r>
    </w:p>
    <w:p w:rsidR="00024C0A" w:rsidRDefault="00694C0F">
      <w:pPr>
        <w:pStyle w:val="ListParagraph"/>
        <w:numPr>
          <w:ilvl w:val="0"/>
          <w:numId w:val="179"/>
        </w:numPr>
      </w:pPr>
      <w:r>
        <w:t>The shape is not stroked.</w:t>
      </w:r>
    </w:p>
    <w:p w:rsidR="00024C0A" w:rsidRDefault="00694C0F">
      <w:r>
        <w:t>[Note: The shape is not stroked if one of the following conditions is true:</w:t>
      </w:r>
    </w:p>
    <w:p w:rsidR="00024C0A" w:rsidRDefault="00694C0F">
      <w:pPr>
        <w:pStyle w:val="ListParagraph"/>
        <w:numPr>
          <w:ilvl w:val="0"/>
          <w:numId w:val="180"/>
        </w:numPr>
        <w:contextualSpacing/>
      </w:pPr>
      <w:r>
        <w:t xml:space="preserve">The value of the </w:t>
      </w:r>
      <w:r>
        <w:rPr>
          <w:b/>
        </w:rPr>
        <w:t>on</w:t>
      </w:r>
      <w:r>
        <w:t xml:space="preserve"> attribute of the </w:t>
      </w:r>
      <w:r>
        <w:rPr>
          <w:b/>
        </w:rPr>
        <w:t>stroke</w:t>
      </w:r>
      <w:r>
        <w:t xml:space="preserve"> element ("[ISO/IEC-29500-4] §19.1.2.21; stroke (Line Stroke Set</w:t>
      </w:r>
      <w:r>
        <w:t xml:space="preserve">tings)") is </w:t>
      </w:r>
      <w:r>
        <w:rPr>
          <w:i/>
        </w:rPr>
        <w:t>false</w:t>
      </w:r>
      <w:r>
        <w:t>.</w:t>
      </w:r>
    </w:p>
    <w:p w:rsidR="00024C0A" w:rsidRDefault="00694C0F">
      <w:pPr>
        <w:pStyle w:val="ListParagraph"/>
        <w:numPr>
          <w:ilvl w:val="0"/>
          <w:numId w:val="180"/>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024C0A" w:rsidRDefault="00694C0F">
      <w:pPr>
        <w:pStyle w:val="ListParagraph"/>
        <w:numPr>
          <w:ilvl w:val="0"/>
          <w:numId w:val="180"/>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w:t>
      </w:r>
      <w:r>
        <w:t xml:space="preserve"> the </w:t>
      </w:r>
      <w:r>
        <w:rPr>
          <w:b/>
        </w:rPr>
        <w:t>shapetype</w:t>
      </w:r>
      <w:r>
        <w:t xml:space="preserve"> element ("[ISO/IEC-29500-4] §19.1.2.20; shapetype (Shape Template)") is </w:t>
      </w:r>
      <w:r>
        <w:rPr>
          <w:i/>
        </w:rPr>
        <w:t>false</w:t>
      </w:r>
      <w:r>
        <w:t>.</w:t>
      </w:r>
    </w:p>
    <w:p w:rsidR="00024C0A" w:rsidRDefault="00694C0F">
      <w:r>
        <w:t>end note]</w:t>
      </w:r>
    </w:p>
    <w:p w:rsidR="00024C0A" w:rsidRDefault="00694C0F">
      <w:pPr>
        <w:pStyle w:val="Definition-Field"/>
      </w:pPr>
      <w:r>
        <w:t xml:space="preserve">b.   </w:t>
      </w:r>
      <w:r>
        <w:rPr>
          <w:i/>
        </w:rPr>
        <w:t>The standard indicates how the src attribute is used.</w:t>
      </w:r>
    </w:p>
    <w:p w:rsidR="00024C0A" w:rsidRDefault="00694C0F">
      <w:pPr>
        <w:pStyle w:val="Definition-Field2"/>
      </w:pPr>
      <w:r>
        <w:t xml:space="preserve">Office replaces the value of the src attribute with the value of the href attribute, if </w:t>
      </w:r>
      <w:r>
        <w:t>defined, or the althref attribute if href is not defined.</w:t>
      </w:r>
    </w:p>
    <w:p w:rsidR="00024C0A" w:rsidRDefault="00694C0F">
      <w:pPr>
        <w:pStyle w:val="Definition-Field"/>
      </w:pPr>
      <w:r>
        <w:t xml:space="preserve">c.   </w:t>
      </w:r>
      <w:r>
        <w:rPr>
          <w:i/>
        </w:rPr>
        <w:t>The standard indicates in the on attribute the conditions under which the bottom element is displayed.</w:t>
      </w:r>
    </w:p>
    <w:p w:rsidR="00024C0A" w:rsidRDefault="00694C0F">
      <w:pPr>
        <w:pStyle w:val="Definition-Field2"/>
      </w:pPr>
      <w:r>
        <w:t>In Office the bottom element is only displayed if the on attribute is true, if the shape's</w:t>
      </w:r>
      <w:r>
        <w:t xml:space="preserve"> path is closed with the x command, and the shape is not stroked.</w:t>
      </w:r>
    </w:p>
    <w:p w:rsidR="00024C0A" w:rsidRDefault="00694C0F">
      <w:pPr>
        <w:pStyle w:val="Definition-Field"/>
      </w:pPr>
      <w:r>
        <w:t xml:space="preserve">d.   </w:t>
      </w:r>
      <w:r>
        <w:rPr>
          <w:i/>
        </w:rPr>
        <w:t>The standard indicates how the href attribute is used.</w:t>
      </w:r>
    </w:p>
    <w:p w:rsidR="00024C0A" w:rsidRDefault="00694C0F">
      <w:pPr>
        <w:pStyle w:val="Definition-Field2"/>
      </w:pPr>
      <w:r>
        <w:t>Office does not persist this value on file save.  The href attribute value replaces the value of the src attribute on file save.</w:t>
      </w:r>
    </w:p>
    <w:p w:rsidR="00024C0A" w:rsidRDefault="00694C0F">
      <w:pPr>
        <w:pStyle w:val="Definition-Field"/>
      </w:pPr>
      <w:r>
        <w:t>e</w:t>
      </w:r>
      <w:r>
        <w:t xml:space="preserve">.   </w:t>
      </w:r>
      <w:r>
        <w:rPr>
          <w:i/>
        </w:rPr>
        <w:t>The standard indicates how the althref attribute is used.</w:t>
      </w:r>
    </w:p>
    <w:p w:rsidR="00024C0A" w:rsidRDefault="00694C0F">
      <w:pPr>
        <w:pStyle w:val="Definition-Field2"/>
      </w:pPr>
      <w:r>
        <w:t>Office does not persist the althref value on file save.  The althref attribute value replaces the value of the src attribute on file save if the href attribute is not defined.</w:t>
      </w:r>
    </w:p>
    <w:p w:rsidR="00024C0A" w:rsidRDefault="00694C0F">
      <w:pPr>
        <w:pStyle w:val="Definition-Field"/>
      </w:pPr>
      <w:r>
        <w:t xml:space="preserve">f.   </w:t>
      </w:r>
      <w:r>
        <w:rPr>
          <w:i/>
        </w:rPr>
        <w:t xml:space="preserve">The standard </w:t>
      </w:r>
      <w:r>
        <w:rPr>
          <w:i/>
        </w:rPr>
        <w:t>states that imageaspect is a valid attribute on this element.</w:t>
      </w:r>
    </w:p>
    <w:p w:rsidR="00024C0A" w:rsidRDefault="00694C0F">
      <w:pPr>
        <w:pStyle w:val="Definition-Field2"/>
      </w:pPr>
      <w:r>
        <w:t>Office does not support this attribute on this element; if a value other than ignore is specified, a value of 0,0 will be applied to the imagesize attribute.</w:t>
      </w:r>
    </w:p>
    <w:p w:rsidR="00024C0A" w:rsidRDefault="00694C0F">
      <w:pPr>
        <w:pStyle w:val="Definition-Field"/>
      </w:pPr>
      <w:r>
        <w:t xml:space="preserve">g.   </w:t>
      </w:r>
      <w:r>
        <w:rPr>
          <w:i/>
        </w:rPr>
        <w:t xml:space="preserve">The standard indicates how the </w:t>
      </w:r>
      <w:r>
        <w:rPr>
          <w:i/>
        </w:rPr>
        <w:t>imagesize attribute is used.</w:t>
      </w:r>
    </w:p>
    <w:p w:rsidR="00024C0A" w:rsidRDefault="00694C0F">
      <w:r>
        <w:t>This attribute is specified as a string of two numbers separated by a space, colon, semicolon or comma.  The valid unit ranges for the numbers are defined in section 6.1.  If these limits are not respected, Office writes a valu</w:t>
      </w:r>
      <w:r>
        <w:t>e of “0,0” on file save.</w:t>
      </w:r>
    </w:p>
    <w:p w:rsidR="00024C0A" w:rsidRDefault="00694C0F">
      <w:r>
        <w:t>If more than two values are defined, only the two first values are used and saved.</w:t>
      </w:r>
    </w:p>
    <w:p w:rsidR="00024C0A" w:rsidRDefault="00694C0F">
      <w:pPr>
        <w:pStyle w:val="Definition-Field"/>
      </w:pPr>
      <w:r>
        <w:t xml:space="preserve">h.   </w:t>
      </w:r>
      <w:r>
        <w:rPr>
          <w:i/>
        </w:rPr>
        <w:t>The standard does not specify bounds for the weight attribute.</w:t>
      </w:r>
    </w:p>
    <w:p w:rsidR="00024C0A" w:rsidRDefault="00694C0F">
      <w:pPr>
        <w:pStyle w:val="Definition-Field2"/>
      </w:pPr>
      <w:r>
        <w:t>In Office, the minimum value for the weight attribute is zero and the maximum va</w:t>
      </w:r>
      <w:r>
        <w:t>lue is 20116800 EMU.</w:t>
      </w:r>
    </w:p>
    <w:p w:rsidR="00024C0A" w:rsidRDefault="00694C0F">
      <w:pPr>
        <w:pStyle w:val="Definition-Field"/>
      </w:pPr>
      <w:r>
        <w:t xml:space="preserve">i.   </w:t>
      </w:r>
      <w:r>
        <w:rPr>
          <w:i/>
        </w:rPr>
        <w:t>The standard does not specify bounds for the miterlimit attribute.</w:t>
      </w:r>
    </w:p>
    <w:p w:rsidR="00024C0A" w:rsidRDefault="00694C0F">
      <w:pPr>
        <w:pStyle w:val="Definition-Field2"/>
      </w:pPr>
      <w:r>
        <w:lastRenderedPageBreak/>
        <w:t>Office uses a maximum value of 32767 for the miterlimit attribute.</w:t>
      </w:r>
    </w:p>
    <w:p w:rsidR="00024C0A" w:rsidRDefault="00694C0F">
      <w:pPr>
        <w:pStyle w:val="Definition-Field"/>
      </w:pPr>
      <w:r>
        <w:t xml:space="preserve">j.   </w:t>
      </w:r>
      <w:r>
        <w:rPr>
          <w:i/>
        </w:rPr>
        <w:t>The standard indicates that the default value for the weight attribute is 1 pt.</w:t>
      </w:r>
    </w:p>
    <w:p w:rsidR="00024C0A" w:rsidRDefault="00694C0F">
      <w:pPr>
        <w:pStyle w:val="Definition-Field2"/>
      </w:pPr>
      <w:r>
        <w:t>Office uses</w:t>
      </w:r>
      <w:r>
        <w:t xml:space="preserve"> a default of 0.75 pt for the weight attribute.</w:t>
      </w:r>
    </w:p>
    <w:p w:rsidR="00024C0A" w:rsidRDefault="00694C0F">
      <w:pPr>
        <w:pStyle w:val="Definition-Field"/>
      </w:pPr>
      <w:r>
        <w:t xml:space="preserve">k.   </w:t>
      </w:r>
      <w:r>
        <w:rPr>
          <w:i/>
        </w:rPr>
        <w:t>The standard states that values of the opacity attribute are defined by the XML Schema string datatype.</w:t>
      </w:r>
    </w:p>
    <w:p w:rsidR="00024C0A" w:rsidRDefault="00694C0F">
      <w:pPr>
        <w:pStyle w:val="Definition-Field2"/>
      </w:pPr>
      <w:r>
        <w:t xml:space="preserve">Office defines the values of the opacity attribute with the ST_Fraction </w:t>
      </w:r>
      <w:hyperlink w:anchor="Section_c96929a126d44fe4819f37727a9492e8">
        <w:r>
          <w:rPr>
            <w:rStyle w:val="Hyperlink"/>
          </w:rPr>
          <w:t>§3.9.1, ST_Fraction</w:t>
        </w:r>
      </w:hyperlink>
      <w:r>
        <w:t>) simple type.</w:t>
      </w:r>
    </w:p>
    <w:p w:rsidR="00024C0A" w:rsidRDefault="00694C0F">
      <w:pPr>
        <w:pStyle w:val="Heading3"/>
      </w:pPr>
      <w:bookmarkStart w:id="3639" w:name="section_079e8828cbc545a482a8afb3558d35de"/>
      <w:bookmarkStart w:id="3640" w:name="_Toc12261880"/>
      <w:r>
        <w:t>Part 4 Section 19.2.2.2, callout (Callout)</w:t>
      </w:r>
      <w:bookmarkEnd w:id="3639"/>
      <w:bookmarkEnd w:id="3640"/>
      <w:r>
        <w:fldChar w:fldCharType="begin"/>
      </w:r>
      <w:r>
        <w:instrText xml:space="preserve"> XE "callout (Callout)"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w:t>
      </w:r>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w:t>
        </w:r>
        <w:r>
          <w:rPr>
            <w:rStyle w:val="Hyperlink"/>
          </w:rPr>
          <w:t>2.7(a)</w:t>
        </w:r>
      </w:hyperlink>
      <w:r>
        <w:rPr>
          <w:i/>
        </w:rPr>
        <w:t>.</w:t>
      </w:r>
    </w:p>
    <w:p w:rsidR="00024C0A" w:rsidRDefault="00694C0F">
      <w:pPr>
        <w:pStyle w:val="Definition-Field"/>
      </w:pPr>
      <w:r>
        <w:t xml:space="preserve">a.   </w:t>
      </w:r>
      <w:r>
        <w:rPr>
          <w:i/>
        </w:rPr>
        <w:t>The standard does not imply a relationship between the callout element and the spt attribute.</w:t>
      </w:r>
    </w:p>
    <w:p w:rsidR="00024C0A" w:rsidRDefault="00694C0F">
      <w:r>
        <w:t>In Office, this element specifies the automatic behavior and layout parameters of callout shapes. In Office, objects that have this attribute shall b</w:t>
      </w:r>
      <w:r>
        <w:t xml:space="preserve">e made of one to three segments plus the shape itself. The number of segments is defined by the </w:t>
      </w:r>
      <w:r>
        <w:rPr>
          <w:b/>
        </w:rPr>
        <w:t>type</w:t>
      </w:r>
      <w:r>
        <w:t xml:space="preserve"> attribute. See additional restrictions defined in the</w:t>
      </w:r>
      <w:r>
        <w:rPr>
          <w:b/>
        </w:rPr>
        <w:t xml:space="preserve"> type </w:t>
      </w:r>
      <w:r>
        <w:t xml:space="preserve">attribute description. Shapes with callouts shall define values for the </w:t>
      </w:r>
      <w:r>
        <w:rPr>
          <w:b/>
        </w:rPr>
        <w:t>spt</w:t>
      </w:r>
      <w:r>
        <w:t xml:space="preserve"> attribute of the </w:t>
      </w:r>
      <w:r>
        <w:rPr>
          <w:b/>
        </w:rPr>
        <w:t>sha</w:t>
      </w:r>
      <w:r>
        <w:rPr>
          <w:b/>
        </w:rPr>
        <w:t>pe</w:t>
      </w:r>
      <w:r>
        <w:t xml:space="preserve"> element ("</w:t>
      </w:r>
      <w:hyperlink r:id="rId255">
        <w:r>
          <w:rPr>
            <w:rStyle w:val="Hyperlink"/>
          </w:rPr>
          <w:t>[ISO/IEC-29500-4]</w:t>
        </w:r>
      </w:hyperlink>
      <w:r>
        <w:t xml:space="preserve"> §19.1.2.19; shape (Shape Definition)") or </w:t>
      </w:r>
      <w:r>
        <w:rPr>
          <w:b/>
        </w:rPr>
        <w:t>shapetype</w:t>
      </w:r>
      <w:r>
        <w:t xml:space="preserve"> element ("[ISO/IEC-29500-4] §19.1.2.20; shapetype (Shape Template)") as follows:</w:t>
      </w:r>
    </w:p>
    <w:tbl>
      <w:tblPr>
        <w:tblStyle w:val="Table-ShadedHeader"/>
        <w:tblW w:w="0" w:type="auto"/>
        <w:tblLook w:val="04A0" w:firstRow="1" w:lastRow="0" w:firstColumn="1" w:lastColumn="0" w:noHBand="0" w:noVBand="1"/>
      </w:tblPr>
      <w:tblGrid>
        <w:gridCol w:w="1117"/>
        <w:gridCol w:w="1188"/>
        <w:gridCol w:w="1244"/>
        <w:gridCol w:w="1241"/>
        <w:gridCol w:w="1373"/>
        <w:gridCol w:w="1060"/>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024C0A" w:rsidRDefault="00694C0F">
            <w:pPr>
              <w:pStyle w:val="TableHeaderText"/>
            </w:pPr>
            <w:r>
              <w:t>Attribute value</w:t>
            </w:r>
          </w:p>
        </w:tc>
        <w:tc>
          <w:tcPr>
            <w:tcW w:w="0" w:type="auto"/>
            <w:gridSpan w:val="4"/>
            <w:vAlign w:val="center"/>
          </w:tcPr>
          <w:p w:rsidR="00024C0A" w:rsidRDefault="00694C0F">
            <w:pPr>
              <w:pStyle w:val="TableHeaderText"/>
            </w:pPr>
            <w:r>
              <w:t>Value of t</w:t>
            </w:r>
            <w:r>
              <w:t>ype attribute</w:t>
            </w:r>
          </w:p>
        </w:tc>
      </w:tr>
      <w:tr w:rsidR="00024C0A" w:rsidTr="00024C0A">
        <w:tc>
          <w:tcPr>
            <w:tcW w:w="0" w:type="auto"/>
            <w:vAlign w:val="center"/>
          </w:tcPr>
          <w:p w:rsidR="00024C0A" w:rsidRDefault="00694C0F">
            <w:pPr>
              <w:pStyle w:val="TableBodyText"/>
            </w:pPr>
            <w:r>
              <w:rPr>
                <w:b/>
              </w:rPr>
              <w:t>accentbar</w:t>
            </w:r>
          </w:p>
        </w:tc>
        <w:tc>
          <w:tcPr>
            <w:tcW w:w="0" w:type="auto"/>
            <w:vAlign w:val="center"/>
          </w:tcPr>
          <w:p w:rsidR="00024C0A" w:rsidRDefault="00694C0F">
            <w:pPr>
              <w:pStyle w:val="TableBodyText"/>
            </w:pPr>
            <w:r>
              <w:rPr>
                <w:b/>
              </w:rPr>
              <w:t>textborder</w:t>
            </w:r>
          </w:p>
        </w:tc>
        <w:tc>
          <w:tcPr>
            <w:tcW w:w="0" w:type="auto"/>
            <w:vAlign w:val="center"/>
          </w:tcPr>
          <w:p w:rsidR="00024C0A" w:rsidRDefault="00694C0F">
            <w:pPr>
              <w:pStyle w:val="TableBodyText"/>
            </w:pPr>
            <w:r>
              <w:rPr>
                <w:i/>
              </w:rPr>
              <w:t>oneSegment</w:t>
            </w:r>
          </w:p>
        </w:tc>
        <w:tc>
          <w:tcPr>
            <w:tcW w:w="0" w:type="auto"/>
            <w:vAlign w:val="center"/>
          </w:tcPr>
          <w:p w:rsidR="00024C0A" w:rsidRDefault="00694C0F">
            <w:pPr>
              <w:pStyle w:val="TableBodyText"/>
            </w:pPr>
            <w:r>
              <w:rPr>
                <w:i/>
              </w:rPr>
              <w:t>twoSegment</w:t>
            </w:r>
          </w:p>
        </w:tc>
        <w:tc>
          <w:tcPr>
            <w:tcW w:w="0" w:type="auto"/>
            <w:vAlign w:val="center"/>
          </w:tcPr>
          <w:p w:rsidR="00024C0A" w:rsidRDefault="00694C0F">
            <w:pPr>
              <w:pStyle w:val="TableBodyText"/>
            </w:pPr>
            <w:r>
              <w:rPr>
                <w:i/>
              </w:rPr>
              <w:t>threeSegment</w:t>
            </w:r>
          </w:p>
        </w:tc>
        <w:tc>
          <w:tcPr>
            <w:tcW w:w="0" w:type="auto"/>
            <w:vAlign w:val="center"/>
          </w:tcPr>
          <w:p w:rsidR="00024C0A" w:rsidRDefault="00694C0F">
            <w:pPr>
              <w:pStyle w:val="TableBodyText"/>
            </w:pPr>
            <w:r>
              <w:rPr>
                <w:i/>
              </w:rPr>
              <w:t>rightAngle</w:t>
            </w:r>
          </w:p>
        </w:tc>
      </w:tr>
      <w:tr w:rsidR="00024C0A" w:rsidTr="00024C0A">
        <w:tc>
          <w:tcPr>
            <w:tcW w:w="0" w:type="auto"/>
            <w:vAlign w:val="center"/>
          </w:tcPr>
          <w:p w:rsidR="00024C0A" w:rsidRDefault="00694C0F">
            <w:pPr>
              <w:pStyle w:val="TableBodyText"/>
            </w:pPr>
            <w:r>
              <w:t>False</w:t>
            </w:r>
          </w:p>
        </w:tc>
        <w:tc>
          <w:tcPr>
            <w:tcW w:w="0" w:type="auto"/>
            <w:vAlign w:val="center"/>
          </w:tcPr>
          <w:p w:rsidR="00024C0A" w:rsidRDefault="00694C0F">
            <w:pPr>
              <w:pStyle w:val="TableBodyText"/>
            </w:pPr>
            <w:r>
              <w:t>False</w:t>
            </w:r>
          </w:p>
        </w:tc>
        <w:tc>
          <w:tcPr>
            <w:tcW w:w="0" w:type="auto"/>
            <w:vAlign w:val="center"/>
          </w:tcPr>
          <w:p w:rsidR="00024C0A" w:rsidRDefault="00694C0F">
            <w:pPr>
              <w:pStyle w:val="TableBodyText"/>
            </w:pPr>
            <w:r>
              <w:t>spt="41"</w:t>
            </w:r>
          </w:p>
        </w:tc>
        <w:tc>
          <w:tcPr>
            <w:tcW w:w="0" w:type="auto"/>
            <w:vAlign w:val="center"/>
          </w:tcPr>
          <w:p w:rsidR="00024C0A" w:rsidRDefault="00694C0F">
            <w:pPr>
              <w:pStyle w:val="TableBodyText"/>
            </w:pPr>
            <w:r>
              <w:t>spt="42"</w:t>
            </w:r>
          </w:p>
        </w:tc>
        <w:tc>
          <w:tcPr>
            <w:tcW w:w="0" w:type="auto"/>
            <w:vAlign w:val="center"/>
          </w:tcPr>
          <w:p w:rsidR="00024C0A" w:rsidRDefault="00694C0F">
            <w:pPr>
              <w:pStyle w:val="TableBodyText"/>
            </w:pPr>
            <w:r>
              <w:t>spt="43"</w:t>
            </w:r>
          </w:p>
        </w:tc>
        <w:tc>
          <w:tcPr>
            <w:tcW w:w="0" w:type="auto"/>
            <w:vAlign w:val="center"/>
          </w:tcPr>
          <w:p w:rsidR="00024C0A" w:rsidRDefault="00694C0F">
            <w:pPr>
              <w:pStyle w:val="TableBodyText"/>
            </w:pPr>
            <w:r>
              <w:t>spt="178"</w:t>
            </w:r>
          </w:p>
        </w:tc>
      </w:tr>
      <w:tr w:rsidR="00024C0A" w:rsidTr="00024C0A">
        <w:tc>
          <w:tcPr>
            <w:tcW w:w="0" w:type="auto"/>
            <w:vAlign w:val="center"/>
          </w:tcPr>
          <w:p w:rsidR="00024C0A" w:rsidRDefault="00694C0F">
            <w:pPr>
              <w:pStyle w:val="TableBodyText"/>
            </w:pPr>
            <w:r>
              <w:t>True</w:t>
            </w:r>
          </w:p>
        </w:tc>
        <w:tc>
          <w:tcPr>
            <w:tcW w:w="0" w:type="auto"/>
            <w:vAlign w:val="center"/>
          </w:tcPr>
          <w:p w:rsidR="00024C0A" w:rsidRDefault="00694C0F">
            <w:pPr>
              <w:pStyle w:val="TableBodyText"/>
            </w:pPr>
            <w:r>
              <w:t>False</w:t>
            </w:r>
          </w:p>
        </w:tc>
        <w:tc>
          <w:tcPr>
            <w:tcW w:w="0" w:type="auto"/>
            <w:vAlign w:val="center"/>
          </w:tcPr>
          <w:p w:rsidR="00024C0A" w:rsidRDefault="00694C0F">
            <w:pPr>
              <w:pStyle w:val="TableBodyText"/>
            </w:pPr>
            <w:r>
              <w:t>spt="44"</w:t>
            </w:r>
          </w:p>
        </w:tc>
        <w:tc>
          <w:tcPr>
            <w:tcW w:w="0" w:type="auto"/>
            <w:vAlign w:val="center"/>
          </w:tcPr>
          <w:p w:rsidR="00024C0A" w:rsidRDefault="00694C0F">
            <w:pPr>
              <w:pStyle w:val="TableBodyText"/>
            </w:pPr>
            <w:r>
              <w:t>spt="45"</w:t>
            </w:r>
          </w:p>
        </w:tc>
        <w:tc>
          <w:tcPr>
            <w:tcW w:w="0" w:type="auto"/>
            <w:vAlign w:val="center"/>
          </w:tcPr>
          <w:p w:rsidR="00024C0A" w:rsidRDefault="00694C0F">
            <w:pPr>
              <w:pStyle w:val="TableBodyText"/>
            </w:pPr>
            <w:r>
              <w:t>spt="46"</w:t>
            </w:r>
          </w:p>
        </w:tc>
        <w:tc>
          <w:tcPr>
            <w:tcW w:w="0" w:type="auto"/>
            <w:vAlign w:val="center"/>
          </w:tcPr>
          <w:p w:rsidR="00024C0A" w:rsidRDefault="00694C0F">
            <w:pPr>
              <w:pStyle w:val="TableBodyText"/>
            </w:pPr>
            <w:r>
              <w:t>spt="179"</w:t>
            </w:r>
          </w:p>
        </w:tc>
      </w:tr>
      <w:tr w:rsidR="00024C0A" w:rsidTr="00024C0A">
        <w:tc>
          <w:tcPr>
            <w:tcW w:w="0" w:type="auto"/>
            <w:vAlign w:val="center"/>
          </w:tcPr>
          <w:p w:rsidR="00024C0A" w:rsidRDefault="00694C0F">
            <w:pPr>
              <w:pStyle w:val="TableBodyText"/>
            </w:pPr>
            <w:r>
              <w:t>False</w:t>
            </w:r>
          </w:p>
        </w:tc>
        <w:tc>
          <w:tcPr>
            <w:tcW w:w="0" w:type="auto"/>
            <w:vAlign w:val="center"/>
          </w:tcPr>
          <w:p w:rsidR="00024C0A" w:rsidRDefault="00694C0F">
            <w:pPr>
              <w:pStyle w:val="TableBodyText"/>
            </w:pPr>
            <w:r>
              <w:t>True</w:t>
            </w:r>
          </w:p>
        </w:tc>
        <w:tc>
          <w:tcPr>
            <w:tcW w:w="0" w:type="auto"/>
            <w:vAlign w:val="center"/>
          </w:tcPr>
          <w:p w:rsidR="00024C0A" w:rsidRDefault="00694C0F">
            <w:pPr>
              <w:pStyle w:val="TableBodyText"/>
            </w:pPr>
            <w:r>
              <w:t>spt="47"</w:t>
            </w:r>
          </w:p>
        </w:tc>
        <w:tc>
          <w:tcPr>
            <w:tcW w:w="0" w:type="auto"/>
            <w:vAlign w:val="center"/>
          </w:tcPr>
          <w:p w:rsidR="00024C0A" w:rsidRDefault="00694C0F">
            <w:pPr>
              <w:pStyle w:val="TableBodyText"/>
            </w:pPr>
            <w:r>
              <w:t>spt="48"</w:t>
            </w:r>
          </w:p>
        </w:tc>
        <w:tc>
          <w:tcPr>
            <w:tcW w:w="0" w:type="auto"/>
            <w:vAlign w:val="center"/>
          </w:tcPr>
          <w:p w:rsidR="00024C0A" w:rsidRDefault="00694C0F">
            <w:pPr>
              <w:pStyle w:val="TableBodyText"/>
            </w:pPr>
            <w:r>
              <w:t>spt="49"</w:t>
            </w:r>
          </w:p>
        </w:tc>
        <w:tc>
          <w:tcPr>
            <w:tcW w:w="0" w:type="auto"/>
            <w:vAlign w:val="center"/>
          </w:tcPr>
          <w:p w:rsidR="00024C0A" w:rsidRDefault="00694C0F">
            <w:pPr>
              <w:pStyle w:val="TableBodyText"/>
            </w:pPr>
            <w:r>
              <w:t>spt="180"</w:t>
            </w:r>
          </w:p>
        </w:tc>
      </w:tr>
      <w:tr w:rsidR="00024C0A" w:rsidTr="00024C0A">
        <w:tc>
          <w:tcPr>
            <w:tcW w:w="0" w:type="auto"/>
            <w:vAlign w:val="center"/>
          </w:tcPr>
          <w:p w:rsidR="00024C0A" w:rsidRDefault="00694C0F">
            <w:pPr>
              <w:pStyle w:val="TableBodyText"/>
            </w:pPr>
            <w:r>
              <w:t>True</w:t>
            </w:r>
          </w:p>
        </w:tc>
        <w:tc>
          <w:tcPr>
            <w:tcW w:w="0" w:type="auto"/>
            <w:vAlign w:val="center"/>
          </w:tcPr>
          <w:p w:rsidR="00024C0A" w:rsidRDefault="00694C0F">
            <w:pPr>
              <w:pStyle w:val="TableBodyText"/>
            </w:pPr>
            <w:r>
              <w:t>True</w:t>
            </w:r>
          </w:p>
        </w:tc>
        <w:tc>
          <w:tcPr>
            <w:tcW w:w="0" w:type="auto"/>
            <w:vAlign w:val="center"/>
          </w:tcPr>
          <w:p w:rsidR="00024C0A" w:rsidRDefault="00694C0F">
            <w:pPr>
              <w:pStyle w:val="TableBodyText"/>
            </w:pPr>
            <w:r>
              <w:t>spt="50"</w:t>
            </w:r>
          </w:p>
        </w:tc>
        <w:tc>
          <w:tcPr>
            <w:tcW w:w="0" w:type="auto"/>
            <w:vAlign w:val="center"/>
          </w:tcPr>
          <w:p w:rsidR="00024C0A" w:rsidRDefault="00694C0F">
            <w:pPr>
              <w:pStyle w:val="TableBodyText"/>
            </w:pPr>
            <w:r>
              <w:t>spt="51"</w:t>
            </w:r>
          </w:p>
        </w:tc>
        <w:tc>
          <w:tcPr>
            <w:tcW w:w="0" w:type="auto"/>
            <w:vAlign w:val="center"/>
          </w:tcPr>
          <w:p w:rsidR="00024C0A" w:rsidRDefault="00694C0F">
            <w:pPr>
              <w:pStyle w:val="TableBodyText"/>
            </w:pPr>
            <w:r>
              <w:t>spt="52"</w:t>
            </w:r>
          </w:p>
        </w:tc>
        <w:tc>
          <w:tcPr>
            <w:tcW w:w="0" w:type="auto"/>
            <w:vAlign w:val="center"/>
          </w:tcPr>
          <w:p w:rsidR="00024C0A" w:rsidRDefault="00694C0F">
            <w:pPr>
              <w:pStyle w:val="TableBodyText"/>
            </w:pPr>
            <w:r>
              <w:t>spt="181"</w:t>
            </w:r>
          </w:p>
        </w:tc>
      </w:tr>
    </w:tbl>
    <w:p w:rsidR="00024C0A" w:rsidRDefault="00024C0A"/>
    <w:p w:rsidR="00024C0A" w:rsidRDefault="00694C0F">
      <w:pPr>
        <w:pStyle w:val="Definition-Field"/>
      </w:pPr>
      <w:r>
        <w:t xml:space="preserve">b.   </w:t>
      </w:r>
      <w:r>
        <w:rPr>
          <w:i/>
        </w:rPr>
        <w:t>The standard indicates how the type attribute is used.</w:t>
      </w:r>
    </w:p>
    <w:p w:rsidR="00024C0A" w:rsidRDefault="00694C0F">
      <w:r>
        <w:t>For Office, the type attribute specifies the design of the callout extension.  The allowed values are:</w:t>
      </w:r>
    </w:p>
    <w:p w:rsidR="00024C0A" w:rsidRDefault="00694C0F">
      <w:pPr>
        <w:pStyle w:val="ListParagraph"/>
        <w:numPr>
          <w:ilvl w:val="0"/>
          <w:numId w:val="181"/>
        </w:numPr>
        <w:contextualSpacing/>
      </w:pPr>
      <w:r>
        <w:rPr>
          <w:i/>
        </w:rPr>
        <w:t>rightAngle</w:t>
      </w:r>
    </w:p>
    <w:p w:rsidR="00024C0A" w:rsidRDefault="00694C0F">
      <w:pPr>
        <w:pStyle w:val="ListParagraph"/>
        <w:numPr>
          <w:ilvl w:val="0"/>
          <w:numId w:val="181"/>
        </w:numPr>
        <w:contextualSpacing/>
      </w:pPr>
      <w:r>
        <w:rPr>
          <w:i/>
        </w:rPr>
        <w:t>oneSegment</w:t>
      </w:r>
    </w:p>
    <w:p w:rsidR="00024C0A" w:rsidRDefault="00694C0F">
      <w:pPr>
        <w:pStyle w:val="ListParagraph"/>
        <w:numPr>
          <w:ilvl w:val="0"/>
          <w:numId w:val="181"/>
        </w:numPr>
        <w:contextualSpacing/>
      </w:pPr>
      <w:r>
        <w:rPr>
          <w:i/>
        </w:rPr>
        <w:t xml:space="preserve">twoSegment </w:t>
      </w:r>
      <w:r>
        <w:t>(default value)</w:t>
      </w:r>
    </w:p>
    <w:p w:rsidR="00024C0A" w:rsidRDefault="00694C0F">
      <w:pPr>
        <w:pStyle w:val="ListParagraph"/>
        <w:numPr>
          <w:ilvl w:val="0"/>
          <w:numId w:val="181"/>
        </w:numPr>
      </w:pPr>
      <w:r>
        <w:rPr>
          <w:i/>
        </w:rPr>
        <w:t>threeSegment</w:t>
      </w:r>
    </w:p>
    <w:p w:rsidR="00024C0A" w:rsidRDefault="00694C0F">
      <w:r>
        <w:rPr>
          <w:i/>
        </w:rPr>
        <w:t xml:space="preserve">Callout shapes that contain the </w:t>
      </w:r>
      <w:r>
        <w:rPr>
          <w:b/>
        </w:rPr>
        <w:t>callout</w:t>
      </w:r>
      <w:r>
        <w:rPr>
          <w:i/>
        </w:rPr>
        <w:t xml:space="preserve"> element work only if the first sub-path in the shape’s path is used to model the callout extension. This sub-path shall contain references to N formulas that reference N adjust values, where N = 2M + 2, and M is the </w:t>
      </w:r>
      <w:r>
        <w:rPr>
          <w:i/>
        </w:rPr>
        <w:t>number of segments in the callout.</w:t>
      </w:r>
    </w:p>
    <w:p w:rsidR="00024C0A" w:rsidRDefault="00694C0F">
      <w:r>
        <w:t xml:space="preserve">[Example: </w:t>
      </w:r>
      <w:r>
        <w:rPr>
          <w:i/>
        </w:rPr>
        <w:t xml:space="preserve">The callout has two values for every vertex in the extension’s segments – one for the x coordinate and one for the y coordinate. If the value of the </w:t>
      </w:r>
      <w:r>
        <w:rPr>
          <w:b/>
        </w:rPr>
        <w:t>type</w:t>
      </w:r>
      <w:r>
        <w:rPr>
          <w:i/>
        </w:rPr>
        <w:t xml:space="preserve"> attribute is rightAngle, there are two segments.</w:t>
      </w:r>
      <w:r>
        <w:t xml:space="preserve"> end exam</w:t>
      </w:r>
      <w:r>
        <w:t>ple]</w:t>
      </w:r>
    </w:p>
    <w:p w:rsidR="00024C0A" w:rsidRDefault="00694C0F">
      <w:r>
        <w:rPr>
          <w:i/>
        </w:rPr>
        <w:t>Office also requires one handle for every segment vertex. The number of handles should be at least N/2.</w:t>
      </w:r>
    </w:p>
    <w:p w:rsidR="00024C0A" w:rsidRDefault="00694C0F">
      <w:r>
        <w:rPr>
          <w:i/>
        </w:rPr>
        <w:lastRenderedPageBreak/>
        <w:t xml:space="preserve">See also the </w:t>
      </w:r>
      <w:r>
        <w:rPr>
          <w:b/>
        </w:rPr>
        <w:t>path</w:t>
      </w:r>
      <w:r>
        <w:rPr>
          <w:i/>
        </w:rPr>
        <w:t xml:space="preserve"> element </w:t>
      </w:r>
      <w:r>
        <w:t>("[ISO/IEC-29500-4] §19.1.2.14; path (Shape Path)")</w:t>
      </w:r>
      <w:r>
        <w:rPr>
          <w:i/>
        </w:rPr>
        <w:t xml:space="preserve"> and the </w:t>
      </w:r>
      <w:r>
        <w:rPr>
          <w:b/>
        </w:rPr>
        <w:t>handles</w:t>
      </w:r>
      <w:r>
        <w:rPr>
          <w:i/>
        </w:rPr>
        <w:t xml:space="preserve"> element </w:t>
      </w:r>
      <w:r>
        <w:t>("[ISO/IEC-29500-4] §19.1.2.9; handles (Set o</w:t>
      </w:r>
      <w:r>
        <w:t>f Handles)")</w:t>
      </w:r>
      <w:r>
        <w:rPr>
          <w:i/>
        </w:rPr>
        <w:t>.</w:t>
      </w:r>
    </w:p>
    <w:p w:rsidR="00024C0A" w:rsidRDefault="00694C0F">
      <w:pPr>
        <w:pStyle w:val="Definition-Field"/>
      </w:pPr>
      <w:r>
        <w:t xml:space="preserve">c.   </w:t>
      </w:r>
      <w:r>
        <w:rPr>
          <w:i/>
        </w:rPr>
        <w:t>The standard indicates how the accentbar attribute is used.</w:t>
      </w:r>
    </w:p>
    <w:p w:rsidR="00024C0A" w:rsidRDefault="00694C0F">
      <w:r>
        <w:t xml:space="preserve">Office requires that the accent bar be a line sub-path, added after the first callout segment (see the </w:t>
      </w:r>
      <w:r>
        <w:rPr>
          <w:b/>
        </w:rPr>
        <w:t>type</w:t>
      </w:r>
      <w:r>
        <w:t xml:space="preserve"> attribute). The segment is defined in the shape’s path.</w:t>
      </w:r>
    </w:p>
    <w:p w:rsidR="00024C0A" w:rsidRDefault="00694C0F">
      <w:r>
        <w:t>[Example: Con</w:t>
      </w:r>
      <w:r>
        <w:t>sider the following shape that consists of a single segment callout and a vertical accent bar.</w:t>
      </w:r>
    </w:p>
    <w:p w:rsidR="00024C0A" w:rsidRDefault="00694C0F">
      <w:r>
        <w:rPr>
          <w:noProof/>
        </w:rPr>
        <w:drawing>
          <wp:inline distT="0" distB="0" distL="0" distR="0">
            <wp:extent cx="1066800" cy="476250"/>
            <wp:effectExtent l="0" t="0" r="0" b="0"/>
            <wp:docPr id="342015709" name="Picture 1" descr="A callout on the left with a vertical accent bar to the right" title="Callout and accen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5dc73d0-0000-0000-0000-000000000000" descr="A callout on the left with a vertical accent bar to the right" title="Callout and accent bar"/>
                    <pic:cNvPicPr>
                      <a:picLocks noChangeAspect="1" noChangeArrowheads="1"/>
                    </pic:cNvPicPr>
                  </pic:nvPicPr>
                  <pic:blipFill>
                    <a:blip r:embed="rId256" cstate="print"/>
                    <a:srcRect/>
                    <a:stretch>
                      <a:fillRect/>
                    </a:stretch>
                  </pic:blipFill>
                  <pic:spPr bwMode="auto">
                    <a:xfrm>
                      <a:off x="0" y="0"/>
                      <a:ext cx="1066800" cy="476250"/>
                    </a:xfrm>
                    <a:prstGeom prst="rect">
                      <a:avLst/>
                    </a:prstGeom>
                    <a:noFill/>
                    <a:ln w="9525">
                      <a:noFill/>
                      <a:miter lim="800000"/>
                      <a:headEnd/>
                      <a:tailEnd/>
                    </a:ln>
                  </pic:spPr>
                </pic:pic>
              </a:graphicData>
            </a:graphic>
          </wp:inline>
        </w:drawing>
      </w:r>
    </w:p>
    <w:p w:rsidR="00024C0A" w:rsidRDefault="00694C0F">
      <w:r>
        <w:t>The following snippet is one possible way to describe the shape’s path:</w:t>
      </w:r>
    </w:p>
    <w:p w:rsidR="00024C0A" w:rsidRDefault="00694C0F">
      <w:pPr>
        <w:pStyle w:val="Code"/>
      </w:pPr>
      <w:r>
        <w:t>&lt;v:shape ... coordsize="21600,21600" o:spt="44" adj="-8280,24300,-1800,4050" path="m@0@</w:t>
      </w:r>
      <w:r>
        <w:t>1l@2@3nfem@2,l@2,21600nfem,l21600,r,21600l,21600nsxe" ... &gt;</w:t>
      </w:r>
    </w:p>
    <w:p w:rsidR="00024C0A" w:rsidRDefault="00694C0F">
      <w:pPr>
        <w:pStyle w:val="Code"/>
      </w:pPr>
      <w:r>
        <w:t>&lt;/v:shape&gt;</w:t>
      </w:r>
    </w:p>
    <w:p w:rsidR="00024C0A" w:rsidRDefault="00694C0F">
      <w:r>
        <w:t xml:space="preserve">The first subpath, </w:t>
      </w:r>
      <w:r>
        <w:rPr>
          <w:rStyle w:val="InlineCode"/>
        </w:rPr>
        <w:t>m@0@1l@2@3nfe</w:t>
      </w:r>
      <w:r>
        <w:t xml:space="preserve">, describes the callout segment and the second, </w:t>
      </w:r>
      <w:r>
        <w:rPr>
          <w:rStyle w:val="InlineCode"/>
        </w:rPr>
        <w:t>m@2,l@2,21600nfe</w:t>
      </w:r>
      <w:r>
        <w:t>, describes the accent bar. The third subpath describes the rectangle. end example]</w:t>
      </w:r>
    </w:p>
    <w:p w:rsidR="00024C0A" w:rsidRDefault="00694C0F">
      <w:r>
        <w:rPr>
          <w:i/>
        </w:rPr>
        <w:t>See a</w:t>
      </w:r>
      <w:r>
        <w:rPr>
          <w:i/>
        </w:rPr>
        <w:t xml:space="preserve">lso the </w:t>
      </w:r>
      <w:r>
        <w:rPr>
          <w:b/>
        </w:rPr>
        <w:t>path</w:t>
      </w:r>
      <w:r>
        <w:rPr>
          <w:i/>
        </w:rPr>
        <w:t xml:space="preserve"> element ("</w:t>
      </w:r>
      <w:r>
        <w:t>[ISO/IEC-29500-4]</w:t>
      </w:r>
      <w:r>
        <w:rPr>
          <w:i/>
        </w:rPr>
        <w:t xml:space="preserve"> §19.1.2.14; path (Shape Path)").</w:t>
      </w:r>
    </w:p>
    <w:p w:rsidR="00024C0A" w:rsidRDefault="00694C0F">
      <w:pPr>
        <w:pStyle w:val="Definition-Field"/>
      </w:pPr>
      <w:r>
        <w:t xml:space="preserve">d.   </w:t>
      </w:r>
      <w:r>
        <w:rPr>
          <w:i/>
        </w:rPr>
        <w:t>The standard indicates how the angle attribute is used.</w:t>
      </w:r>
    </w:p>
    <w:p w:rsidR="00024C0A" w:rsidRDefault="00694C0F">
      <w:pPr>
        <w:pStyle w:val="Definition-Field2"/>
      </w:pPr>
      <w:r>
        <w:t>Office applies the angle attribute value only to the first segment of the callout extension and enforces this only during</w:t>
      </w:r>
      <w:r>
        <w:t xml:space="preserve"> user interaction at runtime when the user interacts with the application UI.</w:t>
      </w:r>
    </w:p>
    <w:p w:rsidR="00024C0A" w:rsidRDefault="00694C0F">
      <w:pPr>
        <w:pStyle w:val="Definition-Field"/>
      </w:pPr>
      <w:r>
        <w:t xml:space="preserve">e.   </w:t>
      </w:r>
      <w:r>
        <w:rPr>
          <w:i/>
        </w:rPr>
        <w:t>The standard indicates how the drop attribute is used.</w:t>
      </w:r>
    </w:p>
    <w:p w:rsidR="00024C0A" w:rsidRDefault="00694C0F">
      <w:pPr>
        <w:pStyle w:val="Definition-Field2"/>
      </w:pPr>
      <w:r>
        <w:t>Office only enforces the drop attribute during user interaction at runtime.</w:t>
      </w:r>
    </w:p>
    <w:p w:rsidR="00024C0A" w:rsidRDefault="00694C0F">
      <w:pPr>
        <w:pStyle w:val="Definition-Field"/>
      </w:pPr>
      <w:r>
        <w:t xml:space="preserve">f.   </w:t>
      </w:r>
      <w:r>
        <w:rPr>
          <w:i/>
        </w:rPr>
        <w:t>The standard indicates how the dropau</w:t>
      </w:r>
      <w:r>
        <w:rPr>
          <w:i/>
        </w:rPr>
        <w:t>to attribute is used.</w:t>
      </w:r>
    </w:p>
    <w:p w:rsidR="00024C0A" w:rsidRDefault="00694C0F">
      <w:pPr>
        <w:pStyle w:val="Definition-Field2"/>
      </w:pPr>
      <w:r>
        <w:t>The dropauto attribute is only supported by Word and only when the value of the drop attribute is user and the value of the type attribute is not rightAngle.</w:t>
      </w:r>
    </w:p>
    <w:p w:rsidR="00024C0A" w:rsidRDefault="00694C0F">
      <w:pPr>
        <w:pStyle w:val="Definition-Field"/>
      </w:pPr>
      <w:r>
        <w:t xml:space="preserve">g.   </w:t>
      </w:r>
      <w:r>
        <w:rPr>
          <w:i/>
        </w:rPr>
        <w:t>The standard does not define a default value for the drop attribute.</w:t>
      </w:r>
    </w:p>
    <w:p w:rsidR="00024C0A" w:rsidRDefault="00694C0F">
      <w:pPr>
        <w:pStyle w:val="Definition-Field2"/>
      </w:pPr>
      <w:r>
        <w:t>Of</w:t>
      </w:r>
      <w:r>
        <w:t>fice uses a default value of user for the drop attribute.</w:t>
      </w:r>
    </w:p>
    <w:p w:rsidR="00024C0A" w:rsidRDefault="00694C0F">
      <w:pPr>
        <w:pStyle w:val="Definition-Field"/>
      </w:pPr>
      <w:r>
        <w:t xml:space="preserve">h.   </w:t>
      </w:r>
      <w:r>
        <w:rPr>
          <w:i/>
        </w:rPr>
        <w:t>The standard indicates how the gap attribute is used.</w:t>
      </w:r>
    </w:p>
    <w:p w:rsidR="00024C0A" w:rsidRDefault="00694C0F">
      <w:pPr>
        <w:pStyle w:val="Definition-Field2"/>
      </w:pPr>
      <w:r>
        <w:t>In Office, the gap attribute is only enforced at runtime when the user interacts with the application UI.</w:t>
      </w:r>
    </w:p>
    <w:p w:rsidR="00024C0A" w:rsidRDefault="00694C0F">
      <w:pPr>
        <w:pStyle w:val="Definition-Field"/>
      </w:pPr>
      <w:r>
        <w:t xml:space="preserve">i.   </w:t>
      </w:r>
      <w:r>
        <w:rPr>
          <w:i/>
        </w:rPr>
        <w:t xml:space="preserve">The standard indicates how </w:t>
      </w:r>
      <w:r>
        <w:rPr>
          <w:i/>
        </w:rPr>
        <w:t>the textborder attribute is used.</w:t>
      </w:r>
    </w:p>
    <w:p w:rsidR="00024C0A" w:rsidRDefault="00694C0F">
      <w:pPr>
        <w:pStyle w:val="Definition-Field2"/>
      </w:pPr>
      <w:r>
        <w:t>In Office, the textborder attribute reflects the type of stroke used for the textbox. If it is set to false, the shape’s path shall also contain ns (no stroke). For more information, see the v attribute of the path element</w:t>
      </w:r>
      <w:r>
        <w:t>.</w:t>
      </w:r>
    </w:p>
    <w:p w:rsidR="00024C0A" w:rsidRDefault="00694C0F">
      <w:pPr>
        <w:pStyle w:val="Definition-Field"/>
      </w:pPr>
      <w:r>
        <w:t xml:space="preserve">j.   </w:t>
      </w:r>
      <w:r>
        <w:rPr>
          <w:i/>
        </w:rPr>
        <w:t>The standard indicates how the distance attribute is used.</w:t>
      </w:r>
    </w:p>
    <w:p w:rsidR="00024C0A" w:rsidRDefault="00694C0F">
      <w:pPr>
        <w:pStyle w:val="Definition-Field2"/>
      </w:pPr>
      <w:r>
        <w:t>Office only enforces the distance attribute during user interaction at runtime.</w:t>
      </w:r>
    </w:p>
    <w:p w:rsidR="00024C0A" w:rsidRDefault="00694C0F">
      <w:pPr>
        <w:pStyle w:val="Definition-Field"/>
      </w:pPr>
      <w:r>
        <w:lastRenderedPageBreak/>
        <w:t xml:space="preserve">k.   </w:t>
      </w:r>
      <w:r>
        <w:rPr>
          <w:i/>
        </w:rPr>
        <w:t>The standard indicates how the length attribute is used.</w:t>
      </w:r>
    </w:p>
    <w:p w:rsidR="00024C0A" w:rsidRDefault="00694C0F">
      <w:pPr>
        <w:pStyle w:val="Definition-Field2"/>
      </w:pPr>
      <w:r>
        <w:t>Office only enforces the length attribute during</w:t>
      </w:r>
      <w:r>
        <w:t xml:space="preserve"> user interaction at runtime.</w:t>
      </w:r>
    </w:p>
    <w:p w:rsidR="00024C0A" w:rsidRDefault="00694C0F">
      <w:pPr>
        <w:pStyle w:val="Definition-Field"/>
      </w:pPr>
      <w:r>
        <w:t xml:space="preserve">l.   </w:t>
      </w:r>
      <w:r>
        <w:rPr>
          <w:i/>
        </w:rPr>
        <w:t>The standard does not restrict the number of instances of this element.</w:t>
      </w:r>
    </w:p>
    <w:p w:rsidR="00024C0A" w:rsidRDefault="00694C0F">
      <w:pPr>
        <w:pStyle w:val="Definition-Field2"/>
      </w:pPr>
      <w:r>
        <w:t>Office allows at most only one instance of the callout element in each place where it can be used.</w:t>
      </w:r>
    </w:p>
    <w:p w:rsidR="00024C0A" w:rsidRDefault="00694C0F">
      <w:pPr>
        <w:pStyle w:val="Definition-Field"/>
      </w:pPr>
      <w:r>
        <w:t xml:space="preserve">m.   </w:t>
      </w:r>
      <w:r>
        <w:rPr>
          <w:i/>
        </w:rPr>
        <w:t xml:space="preserve">The standard does not define a default value </w:t>
      </w:r>
      <w:r>
        <w:rPr>
          <w:i/>
        </w:rPr>
        <w:t>for the dropauto attribute.</w:t>
      </w:r>
    </w:p>
    <w:p w:rsidR="00024C0A" w:rsidRDefault="00694C0F">
      <w:pPr>
        <w:pStyle w:val="Definition-Field2"/>
      </w:pPr>
      <w:r>
        <w:t>Office uses a default value of false for the dropauto attribute.</w:t>
      </w:r>
    </w:p>
    <w:p w:rsidR="00024C0A" w:rsidRDefault="00694C0F">
      <w:pPr>
        <w:pStyle w:val="Heading3"/>
      </w:pPr>
      <w:bookmarkStart w:id="3641" w:name="section_38d8fc638f7340688de735a4b20b55e3"/>
      <w:bookmarkStart w:id="3642" w:name="_Toc12261881"/>
      <w:r>
        <w:t>Part 4 Section 19.2.2.3, clippath (Shape Clipping Path)</w:t>
      </w:r>
      <w:bookmarkEnd w:id="3641"/>
      <w:bookmarkEnd w:id="3642"/>
      <w:r>
        <w:fldChar w:fldCharType="begin"/>
      </w:r>
      <w:r>
        <w:instrText xml:space="preserve"> XE "clippath (Shape Clipping Path)" </w:instrText>
      </w:r>
      <w:r>
        <w:fldChar w:fldCharType="end"/>
      </w:r>
    </w:p>
    <w:p w:rsidR="00024C0A" w:rsidRDefault="00694C0F">
      <w:pPr>
        <w:pStyle w:val="Definition-Field2"/>
      </w:pPr>
      <w:r>
        <w:rPr>
          <w:i/>
        </w:rPr>
        <w:t>For additional notes that apply to this portion of the standard, ple</w:t>
      </w:r>
      <w:r>
        <w:rPr>
          <w:i/>
        </w:rPr>
        <w:t xml:space="preserv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w:t>
        </w:r>
        <w:r>
          <w:rPr>
            <w:rStyle w:val="Hyperlink"/>
          </w:rPr>
          <w:t>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024C0A" w:rsidRDefault="00694C0F">
      <w:pPr>
        <w:pStyle w:val="Definition-Field"/>
      </w:pPr>
      <w:r>
        <w:t xml:space="preserve">a.   </w:t>
      </w:r>
      <w:r>
        <w:rPr>
          <w:i/>
        </w:rPr>
        <w:t>The standard describes how the v attribute is u</w:t>
      </w:r>
      <w:r>
        <w:rPr>
          <w:i/>
        </w:rPr>
        <w:t>sed.</w:t>
      </w:r>
    </w:p>
    <w:p w:rsidR="00024C0A" w:rsidRDefault="00694C0F">
      <w:pPr>
        <w:pStyle w:val="Definition-Field2"/>
      </w:pPr>
      <w:r>
        <w:t>Office treats this attribute the same as the v attribute in the path element.</w:t>
      </w:r>
    </w:p>
    <w:p w:rsidR="00024C0A" w:rsidRDefault="00694C0F">
      <w:pPr>
        <w:pStyle w:val="Definition-Field"/>
      </w:pPr>
      <w:r>
        <w:t xml:space="preserve">b.   </w:t>
      </w:r>
      <w:r>
        <w:rPr>
          <w:i/>
        </w:rPr>
        <w:t>The standard does not restrict the number of instances of this element.</w:t>
      </w:r>
    </w:p>
    <w:p w:rsidR="00024C0A" w:rsidRDefault="00694C0F">
      <w:pPr>
        <w:pStyle w:val="Definition-Field2"/>
      </w:pPr>
      <w:r>
        <w:t>Office allows at most only one instance of the clippath element in each place where it can be us</w:t>
      </w:r>
      <w:r>
        <w:t>ed.</w:t>
      </w:r>
    </w:p>
    <w:p w:rsidR="00024C0A" w:rsidRDefault="00694C0F">
      <w:pPr>
        <w:pStyle w:val="Heading3"/>
      </w:pPr>
      <w:bookmarkStart w:id="3643" w:name="section_d1e014a8724a4aeab72dff663c3620c3"/>
      <w:bookmarkStart w:id="3644" w:name="_Toc12261882"/>
      <w:r>
        <w:t>Part 4 Section 19.2.2.4, colormenu (UI Default Colors)</w:t>
      </w:r>
      <w:bookmarkEnd w:id="3643"/>
      <w:bookmarkEnd w:id="3644"/>
      <w:r>
        <w:fldChar w:fldCharType="begin"/>
      </w:r>
      <w:r>
        <w:instrText xml:space="preserve"> XE "colormenu (UI Default Colors)" </w:instrText>
      </w:r>
      <w:r>
        <w:fldChar w:fldCharType="end"/>
      </w:r>
    </w:p>
    <w:p w:rsidR="00024C0A" w:rsidRDefault="00694C0F">
      <w:pPr>
        <w:pStyle w:val="Definition-Field"/>
      </w:pPr>
      <w:r>
        <w:t xml:space="preserve">a.   </w:t>
      </w:r>
      <w:r>
        <w:rPr>
          <w:i/>
        </w:rPr>
        <w:t>The standard provides the default value for the extrusioncolor attribute.</w:t>
      </w:r>
    </w:p>
    <w:p w:rsidR="00024C0A" w:rsidRDefault="00694C0F">
      <w:pPr>
        <w:pStyle w:val="Definition-Field2"/>
      </w:pPr>
      <w:r>
        <w:t>Office uses the default value of fillThenLine for the extrusioncolor attribute.</w:t>
      </w:r>
    </w:p>
    <w:p w:rsidR="00024C0A" w:rsidRDefault="00694C0F">
      <w:pPr>
        <w:pStyle w:val="Definition-Field"/>
      </w:pPr>
      <w:r>
        <w:t xml:space="preserve">b.   </w:t>
      </w:r>
      <w:r>
        <w:rPr>
          <w:i/>
        </w:rPr>
        <w:t>The standard provides the default value for the fillcolor attribute.</w:t>
      </w:r>
    </w:p>
    <w:p w:rsidR="00024C0A" w:rsidRDefault="00694C0F">
      <w:pPr>
        <w:pStyle w:val="Definition-Field2"/>
      </w:pPr>
      <w:r>
        <w:t>Office uses a default value of FFFF00 for the fillcolor attribute.</w:t>
      </w:r>
    </w:p>
    <w:p w:rsidR="00024C0A" w:rsidRDefault="00694C0F">
      <w:pPr>
        <w:pStyle w:val="Definition-Field"/>
      </w:pPr>
      <w:r>
        <w:t xml:space="preserve">c.   </w:t>
      </w:r>
      <w:r>
        <w:rPr>
          <w:i/>
        </w:rPr>
        <w:t>The standard provides the default value for the shadowcolor attribute.</w:t>
      </w:r>
    </w:p>
    <w:p w:rsidR="00024C0A" w:rsidRDefault="00694C0F">
      <w:pPr>
        <w:pStyle w:val="Definition-Field2"/>
      </w:pPr>
      <w:r>
        <w:t>Office uses a default value of 808080 f</w:t>
      </w:r>
      <w:r>
        <w:t>or the shadowcolor attribute.</w:t>
      </w:r>
    </w:p>
    <w:p w:rsidR="00024C0A" w:rsidRDefault="00694C0F">
      <w:pPr>
        <w:pStyle w:val="Definition-Field"/>
      </w:pPr>
      <w:r>
        <w:t xml:space="preserve">d.   </w:t>
      </w:r>
      <w:r>
        <w:rPr>
          <w:i/>
        </w:rPr>
        <w:t>The standard provides the default value for the strokecolor attribute.</w:t>
      </w:r>
    </w:p>
    <w:p w:rsidR="00024C0A" w:rsidRDefault="00694C0F">
      <w:pPr>
        <w:pStyle w:val="Definition-Field2"/>
      </w:pPr>
      <w:r>
        <w:t>Office uses a default value of 0000FF for the strokecolor attribute.</w:t>
      </w:r>
    </w:p>
    <w:p w:rsidR="00024C0A" w:rsidRDefault="00694C0F">
      <w:pPr>
        <w:pStyle w:val="Definition-Field"/>
      </w:pPr>
      <w:r>
        <w:t xml:space="preserve">e.   </w:t>
      </w:r>
      <w:r>
        <w:rPr>
          <w:i/>
        </w:rPr>
        <w:t>The standard does not restrict the number of instances of this element.</w:t>
      </w:r>
    </w:p>
    <w:p w:rsidR="00024C0A" w:rsidRDefault="00694C0F">
      <w:pPr>
        <w:pStyle w:val="Definition-Field2"/>
      </w:pPr>
      <w:r>
        <w:t>Offi</w:t>
      </w:r>
      <w:r>
        <w:t>ce allows at most only one instance of the colormenu element in each place where it can be used.</w:t>
      </w:r>
    </w:p>
    <w:p w:rsidR="00024C0A" w:rsidRDefault="00694C0F">
      <w:pPr>
        <w:pStyle w:val="Heading3"/>
      </w:pPr>
      <w:bookmarkStart w:id="3645" w:name="section_62acf3ab86d0498faa7b266e0ef527dd"/>
      <w:bookmarkStart w:id="3646" w:name="_Toc12261883"/>
      <w:r>
        <w:t>Part 4 Section 19.2.2.5, colormru (Most Recently Used Colors)</w:t>
      </w:r>
      <w:bookmarkEnd w:id="3645"/>
      <w:bookmarkEnd w:id="3646"/>
      <w:r>
        <w:fldChar w:fldCharType="begin"/>
      </w:r>
      <w:r>
        <w:instrText xml:space="preserve"> XE "colormru (Most Recently Used Colors)" </w:instrText>
      </w:r>
      <w:r>
        <w:fldChar w:fldCharType="end"/>
      </w:r>
    </w:p>
    <w:p w:rsidR="00024C0A" w:rsidRDefault="00694C0F">
      <w:pPr>
        <w:pStyle w:val="Definition-Field"/>
      </w:pPr>
      <w:r>
        <w:t xml:space="preserve">a.   </w:t>
      </w:r>
      <w:r>
        <w:rPr>
          <w:i/>
        </w:rPr>
        <w:t>The standard does not restrict the number of in</w:t>
      </w:r>
      <w:r>
        <w:rPr>
          <w:i/>
        </w:rPr>
        <w:t>stances of this element.</w:t>
      </w:r>
    </w:p>
    <w:p w:rsidR="00024C0A" w:rsidRDefault="00694C0F">
      <w:pPr>
        <w:pStyle w:val="Definition-Field2"/>
      </w:pPr>
      <w:r>
        <w:t>Office allows at most only one instance of the colormru element in each place where it can be used.</w:t>
      </w:r>
    </w:p>
    <w:p w:rsidR="00024C0A" w:rsidRDefault="00694C0F">
      <w:pPr>
        <w:pStyle w:val="Heading3"/>
      </w:pPr>
      <w:bookmarkStart w:id="3647" w:name="section_7c2c12cffc6b476ca8bc3206fdc1ea78"/>
      <w:bookmarkStart w:id="3648" w:name="_Toc12261884"/>
      <w:r>
        <w:lastRenderedPageBreak/>
        <w:t>Part 4 Section 19.2.2.6, column (Text Box Interior Stroke)</w:t>
      </w:r>
      <w:bookmarkEnd w:id="3647"/>
      <w:bookmarkEnd w:id="3648"/>
      <w:r>
        <w:fldChar w:fldCharType="begin"/>
      </w:r>
      <w:r>
        <w:instrText xml:space="preserve"> XE "column (Text Box Interior Stroke)"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w:t>
        </w:r>
        <w:r>
          <w:rPr>
            <w:rStyle w:val="Hyperlink"/>
          </w:rPr>
          <w:t>nd, §17.2.1(a)</w:t>
        </w:r>
      </w:hyperlink>
      <w:r>
        <w:rPr>
          <w:i/>
        </w:rPr>
        <w:t xml:space="preserve">; </w:t>
      </w:r>
      <w:hyperlink w:anchor="Section_584b988653c243efa8577c5d7041a8db">
        <w:r>
          <w:rPr>
            <w:rStyle w:val="Hyperlink"/>
          </w:rPr>
          <w:t>bottom, §19.2.2.1(b,d-k)</w:t>
        </w:r>
      </w:hyperlink>
      <w:r>
        <w:rPr>
          <w:i/>
        </w:rPr>
        <w:t>.</w:t>
      </w:r>
    </w:p>
    <w:p w:rsidR="00024C0A" w:rsidRDefault="00694C0F">
      <w:pPr>
        <w:pStyle w:val="Definition-Field"/>
      </w:pPr>
      <w:r>
        <w:t xml:space="preserve">a.   </w:t>
      </w:r>
      <w:r>
        <w:rPr>
          <w:i/>
        </w:rPr>
        <w:t>The standard indicates the conditions under which the column element is displayed.</w:t>
      </w:r>
    </w:p>
    <w:p w:rsidR="00024C0A" w:rsidRDefault="00694C0F">
      <w:r>
        <w:t>In Office, this element is only displayed if all of the followi</w:t>
      </w:r>
      <w:r>
        <w:t>ng conditions are met:</w:t>
      </w:r>
    </w:p>
    <w:p w:rsidR="00024C0A" w:rsidRDefault="00694C0F">
      <w:pPr>
        <w:pStyle w:val="ListParagraph"/>
        <w:numPr>
          <w:ilvl w:val="0"/>
          <w:numId w:val="182"/>
        </w:numPr>
        <w:contextualSpacing/>
      </w:pPr>
      <w:r>
        <w:t xml:space="preserve">The </w:t>
      </w:r>
      <w:r>
        <w:rPr>
          <w:b/>
        </w:rPr>
        <w:t>on</w:t>
      </w:r>
      <w:r>
        <w:t xml:space="preserve"> attribute is </w:t>
      </w:r>
      <w:r>
        <w:rPr>
          <w:i/>
        </w:rPr>
        <w:t>true</w:t>
      </w:r>
      <w:r>
        <w:t>.</w:t>
      </w:r>
    </w:p>
    <w:p w:rsidR="00024C0A" w:rsidRDefault="00694C0F">
      <w:pPr>
        <w:pStyle w:val="ListParagraph"/>
        <w:numPr>
          <w:ilvl w:val="0"/>
          <w:numId w:val="182"/>
        </w:numPr>
        <w:contextualSpacing/>
      </w:pPr>
      <w:r>
        <w:t xml:space="preserve">The shape’s path is closed with the </w:t>
      </w:r>
      <w:r>
        <w:rPr>
          <w:i/>
        </w:rPr>
        <w:t>x</w:t>
      </w:r>
      <w:r>
        <w:t xml:space="preserve"> command.  [Note: This implies that arrow heads should be defined on the stroke attribute. end note]</w:t>
      </w:r>
    </w:p>
    <w:p w:rsidR="00024C0A" w:rsidRDefault="00694C0F">
      <w:pPr>
        <w:pStyle w:val="ListParagraph"/>
        <w:numPr>
          <w:ilvl w:val="0"/>
          <w:numId w:val="182"/>
        </w:numPr>
        <w:contextualSpacing/>
      </w:pPr>
      <w:r>
        <w:t xml:space="preserve">The shape’s path defines a rectangle with corner coordinates exactly </w:t>
      </w:r>
      <w:r>
        <w:t xml:space="preserve">equal to 0,0; 21600,0; 21600,21600; 0,21600.  [Example: For example, the following value on the </w:t>
      </w:r>
      <w:r>
        <w:rPr>
          <w:b/>
        </w:rPr>
        <w:t>path</w:t>
      </w:r>
      <w:r>
        <w:t xml:space="preserve"> attribute of the </w:t>
      </w:r>
      <w:r>
        <w:rPr>
          <w:b/>
        </w:rPr>
        <w:t>shape</w:t>
      </w:r>
      <w:r>
        <w:t xml:space="preserve"> element ("</w:t>
      </w:r>
      <w:hyperlink r:id="rId257">
        <w:r>
          <w:rPr>
            <w:rStyle w:val="Hyperlink"/>
          </w:rPr>
          <w:t>[ISO/IEC-29500-4]</w:t>
        </w:r>
      </w:hyperlink>
      <w:r>
        <w:t xml:space="preserve"> §19.1.2.19; shape (Shape Definition)")  satisfies this condition: </w:t>
      </w:r>
      <w:r>
        <w:rPr>
          <w:rStyle w:val="InlineCode"/>
        </w:rPr>
        <w:t>path="m,l,21600r21600,l21600,xe"</w:t>
      </w:r>
      <w:r>
        <w:t xml:space="preserve"> end example]</w:t>
      </w:r>
    </w:p>
    <w:p w:rsidR="00024C0A" w:rsidRDefault="00694C0F">
      <w:pPr>
        <w:pStyle w:val="ListParagraph"/>
        <w:numPr>
          <w:ilvl w:val="0"/>
          <w:numId w:val="182"/>
        </w:numPr>
        <w:contextualSpacing/>
      </w:pPr>
      <w:r>
        <w:t xml:space="preserve">The value of the shape’s </w:t>
      </w:r>
      <w:r>
        <w:rPr>
          <w:b/>
        </w:rPr>
        <w:t>spt</w:t>
      </w:r>
      <w:r>
        <w:t xml:space="preserve"> attribute is </w:t>
      </w:r>
      <w:r>
        <w:rPr>
          <w:i/>
        </w:rPr>
        <w:t>202</w:t>
      </w:r>
      <w:r>
        <w:t>.</w:t>
      </w:r>
    </w:p>
    <w:p w:rsidR="00024C0A" w:rsidRDefault="00694C0F">
      <w:pPr>
        <w:pStyle w:val="ListParagraph"/>
        <w:numPr>
          <w:ilvl w:val="0"/>
          <w:numId w:val="182"/>
        </w:numPr>
      </w:pPr>
      <w:r>
        <w:t>The shape is not stroked.</w:t>
      </w:r>
    </w:p>
    <w:p w:rsidR="00024C0A" w:rsidRDefault="00694C0F">
      <w:r>
        <w:t xml:space="preserve">If the </w:t>
      </w:r>
      <w:r>
        <w:rPr>
          <w:b/>
        </w:rPr>
        <w:t>on</w:t>
      </w:r>
      <w:r>
        <w:t xml:space="preserve"> attribute is </w:t>
      </w:r>
      <w:r>
        <w:rPr>
          <w:i/>
        </w:rPr>
        <w:t>false</w:t>
      </w:r>
      <w:r>
        <w:t xml:space="preserve"> or not specified, the border is not shown</w:t>
      </w:r>
      <w:r>
        <w:t>.</w:t>
      </w:r>
    </w:p>
    <w:p w:rsidR="00024C0A" w:rsidRDefault="00694C0F">
      <w:r>
        <w:t>[</w:t>
      </w:r>
      <w:r>
        <w:rPr>
          <w:i/>
        </w:rPr>
        <w:t>Note:</w:t>
      </w:r>
      <w:r>
        <w:t xml:space="preserve"> The shape is not stroked if one of the following conditions is true:</w:t>
      </w:r>
    </w:p>
    <w:p w:rsidR="00024C0A" w:rsidRDefault="00694C0F">
      <w:pPr>
        <w:pStyle w:val="ListParagraph"/>
        <w:numPr>
          <w:ilvl w:val="0"/>
          <w:numId w:val="183"/>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024C0A" w:rsidRDefault="00694C0F">
      <w:pPr>
        <w:pStyle w:val="ListParagraph"/>
        <w:numPr>
          <w:ilvl w:val="0"/>
          <w:numId w:val="183"/>
        </w:numPr>
        <w:contextualSpacing/>
      </w:pPr>
      <w:r>
        <w:t xml:space="preserve">The </w:t>
      </w:r>
      <w:r>
        <w:rPr>
          <w:b/>
        </w:rPr>
        <w:t>on</w:t>
      </w:r>
      <w:r>
        <w:t xml:space="preserve"> attribute of the </w:t>
      </w:r>
      <w:r>
        <w:rPr>
          <w:b/>
        </w:rPr>
        <w:t>stroke</w:t>
      </w:r>
      <w:r>
        <w:t xml:space="preserve"> element is absent and</w:t>
      </w:r>
      <w:r>
        <w:t xml:space="preserve"> the value of the shape’s </w:t>
      </w:r>
      <w:r>
        <w:rPr>
          <w:b/>
        </w:rPr>
        <w:t>stroked</w:t>
      </w:r>
      <w:r>
        <w:t xml:space="preserve"> attribute is </w:t>
      </w:r>
      <w:r>
        <w:rPr>
          <w:i/>
        </w:rPr>
        <w:t>false</w:t>
      </w:r>
      <w:r>
        <w:t>.</w:t>
      </w:r>
    </w:p>
    <w:p w:rsidR="00024C0A" w:rsidRDefault="00694C0F">
      <w:pPr>
        <w:pStyle w:val="ListParagraph"/>
        <w:numPr>
          <w:ilvl w:val="0"/>
          <w:numId w:val="183"/>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w:t>
      </w:r>
      <w:r>
        <w:t xml:space="preserve"> Template)") is </w:t>
      </w:r>
      <w:r>
        <w:rPr>
          <w:i/>
        </w:rPr>
        <w:t>false</w:t>
      </w:r>
      <w:r>
        <w:t>.</w:t>
      </w:r>
    </w:p>
    <w:p w:rsidR="00024C0A" w:rsidRDefault="00694C0F">
      <w:r>
        <w:t>end note]</w:t>
      </w:r>
    </w:p>
    <w:p w:rsidR="00024C0A" w:rsidRDefault="00694C0F">
      <w:pPr>
        <w:pStyle w:val="Heading3"/>
      </w:pPr>
      <w:bookmarkStart w:id="3649" w:name="section_71df303d34714cf5bb582d71e8fecea4"/>
      <w:bookmarkStart w:id="3650" w:name="_Toc12261885"/>
      <w:r>
        <w:t>Part 4 Section 19.2.2.7, complex (Complex)</w:t>
      </w:r>
      <w:bookmarkEnd w:id="3649"/>
      <w:bookmarkEnd w:id="3650"/>
      <w:r>
        <w:fldChar w:fldCharType="begin"/>
      </w:r>
      <w:r>
        <w:instrText xml:space="preserve"> XE "complex (Complex)"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fe001c421c534ef1ba7fddc9fa651a5d">
        <w:r>
          <w:rPr>
            <w:rStyle w:val="Hyperlink"/>
          </w:rPr>
          <w:t>p</w:t>
        </w:r>
        <w:r>
          <w:rPr>
            <w:rStyle w:val="Hyperlink"/>
          </w:rPr>
          <w:t>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024C0A" w:rsidRDefault="00694C0F">
      <w:pPr>
        <w:pStyle w:val="Heading3"/>
      </w:pPr>
      <w:bookmarkStart w:id="3651" w:name="section_d7ad8107054040ab96a6b62610ad55ce"/>
      <w:bookmarkStart w:id="3652" w:name="_Toc12261886"/>
      <w:r>
        <w:t>Part 4 Section 19.2.2.8, diagram (VML Diagram)</w:t>
      </w:r>
      <w:bookmarkEnd w:id="3651"/>
      <w:bookmarkEnd w:id="3652"/>
      <w:r>
        <w:fldChar w:fldCharType="begin"/>
      </w:r>
      <w:r>
        <w:instrText xml:space="preserve"> XE "diagram (VML Diagram)" </w:instrText>
      </w:r>
      <w:r>
        <w:fldChar w:fldCharType="end"/>
      </w:r>
    </w:p>
    <w:p w:rsidR="00024C0A" w:rsidRDefault="00694C0F">
      <w:pPr>
        <w:pStyle w:val="Definition-Field2"/>
      </w:pPr>
      <w:r>
        <w:rPr>
          <w:i/>
        </w:rPr>
        <w:t>For additional notes that apply to this portion of the standa</w:t>
      </w:r>
      <w:r>
        <w:rPr>
          <w:i/>
        </w:rPr>
        <w:t xml:space="preserve">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024C0A" w:rsidRDefault="00694C0F">
      <w:pPr>
        <w:pStyle w:val="Definition-Field"/>
      </w:pPr>
      <w:r>
        <w:t xml:space="preserve">a.   </w:t>
      </w:r>
      <w:r>
        <w:rPr>
          <w:i/>
        </w:rPr>
        <w:t>The standard indicates that the dgmscale</w:t>
      </w:r>
      <w:r>
        <w:rPr>
          <w:i/>
        </w:rPr>
        <w:t>x attribute behavior is application-specific.</w:t>
      </w:r>
    </w:p>
    <w:p w:rsidR="00024C0A" w:rsidRDefault="00694C0F">
      <w:pPr>
        <w:pStyle w:val="Definition-Field2"/>
      </w:pPr>
      <w:r>
        <w:t>In Office, dgmscalex informs the horizontal distance between shapes when the diagram is resized. Office considers this value in conjunction with the dgmscaley attribute to determine the position of shapes durin</w:t>
      </w:r>
      <w:r>
        <w:t>g a resize action.</w:t>
      </w:r>
    </w:p>
    <w:p w:rsidR="00024C0A" w:rsidRDefault="00694C0F">
      <w:pPr>
        <w:pStyle w:val="Definition-Field"/>
      </w:pPr>
      <w:r>
        <w:t xml:space="preserve">b.   </w:t>
      </w:r>
      <w:r>
        <w:rPr>
          <w:i/>
        </w:rPr>
        <w:t>The standard indicates that the dgmscalex attribute behavior is application-specific, and does not specify a default value.</w:t>
      </w:r>
    </w:p>
    <w:p w:rsidR="00024C0A" w:rsidRDefault="00694C0F">
      <w:pPr>
        <w:pStyle w:val="Definition-Field2"/>
      </w:pPr>
      <w:r>
        <w:t>In Office the dgmscalex attribute uses a default of 65536, which means a 1:1 scale in x. Larger values indic</w:t>
      </w:r>
      <w:r>
        <w:t>ate a larger distance between shapes, and smaller values indicate a smaller distance.</w:t>
      </w:r>
    </w:p>
    <w:p w:rsidR="00024C0A" w:rsidRDefault="00694C0F">
      <w:pPr>
        <w:pStyle w:val="Definition-Field"/>
      </w:pPr>
      <w:r>
        <w:t xml:space="preserve">c.   </w:t>
      </w:r>
      <w:r>
        <w:rPr>
          <w:i/>
        </w:rPr>
        <w:t>The standard indicates that the dgmscaley attribute behavior is application-specific.</w:t>
      </w:r>
    </w:p>
    <w:p w:rsidR="00024C0A" w:rsidRDefault="00694C0F">
      <w:pPr>
        <w:pStyle w:val="Definition-Field2"/>
      </w:pPr>
      <w:r>
        <w:lastRenderedPageBreak/>
        <w:t>In Office, dgmscaley informs the vertical distance between shapes when the diag</w:t>
      </w:r>
      <w:r>
        <w:t>ram is resized. Office considers this value in conjunction with the dgmscalex attribute to determine the position of shapes during a resize action.</w:t>
      </w:r>
    </w:p>
    <w:p w:rsidR="00024C0A" w:rsidRDefault="00694C0F">
      <w:pPr>
        <w:pStyle w:val="Definition-Field"/>
      </w:pPr>
      <w:r>
        <w:t xml:space="preserve">d.   </w:t>
      </w:r>
      <w:r>
        <w:rPr>
          <w:i/>
        </w:rPr>
        <w:t xml:space="preserve">The standard indicates that the dgmscaley attribute behavior is application-specific, and does not </w:t>
      </w:r>
      <w:r>
        <w:rPr>
          <w:i/>
        </w:rPr>
        <w:t>specify a default value.</w:t>
      </w:r>
    </w:p>
    <w:p w:rsidR="00024C0A" w:rsidRDefault="00694C0F">
      <w:pPr>
        <w:pStyle w:val="Definition-Field2"/>
      </w:pPr>
      <w:r>
        <w:t>In Office the dgmscaley attribute uses a default of 65536, which means a 1:1 scale in y. Larger values indicate a larger distance between shapes, and smaller values indicate a smaller distance.</w:t>
      </w:r>
    </w:p>
    <w:p w:rsidR="00024C0A" w:rsidRDefault="00694C0F">
      <w:pPr>
        <w:pStyle w:val="Definition-Field"/>
      </w:pPr>
      <w:r>
        <w:t xml:space="preserve">e.   </w:t>
      </w:r>
      <w:r>
        <w:rPr>
          <w:i/>
        </w:rPr>
        <w:t>The standard does not define a d</w:t>
      </w:r>
      <w:r>
        <w:rPr>
          <w:i/>
        </w:rPr>
        <w:t>efault value for the dgmbasetextscale attribute.</w:t>
      </w:r>
    </w:p>
    <w:p w:rsidR="00024C0A" w:rsidRDefault="00694C0F">
      <w:pPr>
        <w:pStyle w:val="Definition-Field2"/>
      </w:pPr>
      <w:r>
        <w:t>In Office the dgmbasetextscale attribute uses a default value of 65536, which means a 1:1 scale.</w:t>
      </w:r>
    </w:p>
    <w:p w:rsidR="00024C0A" w:rsidRDefault="00694C0F">
      <w:pPr>
        <w:pStyle w:val="Definition-Field"/>
      </w:pPr>
      <w:r>
        <w:t xml:space="preserve">f.   </w:t>
      </w:r>
      <w:r>
        <w:rPr>
          <w:i/>
        </w:rPr>
        <w:t>The standard indicates how the dgmbasetextscale attribute is used.</w:t>
      </w:r>
    </w:p>
    <w:p w:rsidR="00024C0A" w:rsidRDefault="00694C0F">
      <w:pPr>
        <w:pStyle w:val="Definition-Field2"/>
      </w:pPr>
      <w:r>
        <w:t>Office uses the dgmbasetextscale attri</w:t>
      </w:r>
      <w:r>
        <w:t>bute to specify the new font size relative to the default font size.</w:t>
      </w:r>
    </w:p>
    <w:p w:rsidR="00024C0A" w:rsidRDefault="00694C0F">
      <w:pPr>
        <w:pStyle w:val="Definition-Field"/>
      </w:pPr>
      <w:r>
        <w:t xml:space="preserve">g.   </w:t>
      </w:r>
      <w:r>
        <w:rPr>
          <w:i/>
        </w:rPr>
        <w:t>The standard indicates that the constrainbounds attribute behavior is application-specific.</w:t>
      </w:r>
    </w:p>
    <w:p w:rsidR="00024C0A" w:rsidRDefault="00694C0F">
      <w:pPr>
        <w:pStyle w:val="Definition-Field2"/>
      </w:pPr>
      <w:r>
        <w:t xml:space="preserve">Office uses the constrainbounds attribute to fit the diagram to its container bounds. The </w:t>
      </w:r>
      <w:r>
        <w:t>rectangle defined by this attribute shall be inside the current diagram bounds defined by the coordorigin and coordsize attributes.</w:t>
      </w:r>
    </w:p>
    <w:p w:rsidR="00024C0A" w:rsidRDefault="00694C0F">
      <w:pPr>
        <w:pStyle w:val="Definition-Field"/>
      </w:pPr>
      <w:r>
        <w:t xml:space="preserve">h.   </w:t>
      </w:r>
      <w:r>
        <w:rPr>
          <w:i/>
        </w:rPr>
        <w:t>The standard indicates that the dgmstyle attribute behavior is application-specific.</w:t>
      </w:r>
    </w:p>
    <w:p w:rsidR="00024C0A" w:rsidRDefault="00694C0F">
      <w:pPr>
        <w:pStyle w:val="Definition-Field2"/>
      </w:pPr>
      <w:r>
        <w:t>Office ignores the dgmstyle attrib</w:t>
      </w:r>
      <w:r>
        <w:t>ute on file load and does not guarantee preserving it on file save. Office relies on the regular formatting markup on the shape to determine if formatting properties exist on the shape.</w:t>
      </w:r>
    </w:p>
    <w:p w:rsidR="00024C0A" w:rsidRDefault="00694C0F">
      <w:pPr>
        <w:pStyle w:val="Definition-Field"/>
      </w:pPr>
      <w:r>
        <w:t xml:space="preserve">i.   </w:t>
      </w:r>
      <w:r>
        <w:rPr>
          <w:i/>
        </w:rPr>
        <w:t>The standard does not restrict the number of instances of this el</w:t>
      </w:r>
      <w:r>
        <w:rPr>
          <w:i/>
        </w:rPr>
        <w:t>ement.</w:t>
      </w:r>
    </w:p>
    <w:p w:rsidR="00024C0A" w:rsidRDefault="00694C0F">
      <w:pPr>
        <w:pStyle w:val="Definition-Field2"/>
      </w:pPr>
      <w:r>
        <w:t>Office allows at most only one instance of the diagram element in each place where it can be used.</w:t>
      </w:r>
    </w:p>
    <w:p w:rsidR="00024C0A" w:rsidRDefault="00694C0F">
      <w:pPr>
        <w:pStyle w:val="Heading3"/>
      </w:pPr>
      <w:bookmarkStart w:id="3653" w:name="section_7dd065e56a594b118acc376dad8fdfcb"/>
      <w:bookmarkStart w:id="3654" w:name="_Toc12261887"/>
      <w:r>
        <w:t>Part 4 Section 19.2.2.11, extrusion (3D Extrusion)</w:t>
      </w:r>
      <w:bookmarkEnd w:id="3653"/>
      <w:bookmarkEnd w:id="3654"/>
      <w:r>
        <w:fldChar w:fldCharType="begin"/>
      </w:r>
      <w:r>
        <w:instrText xml:space="preserve"> XE "extrusion (3D Extrusion)" </w:instrText>
      </w:r>
      <w:r>
        <w:fldChar w:fldCharType="end"/>
      </w:r>
    </w:p>
    <w:p w:rsidR="00024C0A" w:rsidRDefault="00694C0F">
      <w:pPr>
        <w:pStyle w:val="Definition-Field2"/>
      </w:pPr>
      <w:r>
        <w:rPr>
          <w:i/>
        </w:rPr>
        <w:t>For additional notes that apply to this portion of the standard, p</w:t>
      </w:r>
      <w:r>
        <w:rPr>
          <w:i/>
        </w:rPr>
        <w:t xml:space="preserve">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w:t>
        </w:r>
        <w:r>
          <w:rPr>
            <w:rStyle w:val="Hyperlink"/>
          </w:rPr>
          <w:t>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024C0A" w:rsidRDefault="00694C0F">
      <w:pPr>
        <w:pStyle w:val="Definition-Field"/>
      </w:pPr>
      <w:r>
        <w:t xml:space="preserve">a.   </w:t>
      </w:r>
      <w:r>
        <w:rPr>
          <w:i/>
        </w:rPr>
        <w:t>The standard does not specify bounds for the backdepth attribute.</w:t>
      </w:r>
    </w:p>
    <w:p w:rsidR="00024C0A" w:rsidRDefault="00694C0F">
      <w:pPr>
        <w:pStyle w:val="Definition-Field2"/>
      </w:pPr>
      <w:r>
        <w:t>In Office the minimum value for the backdepth attribute is 0 pt and the maximum value is 9600 pt.</w:t>
      </w:r>
    </w:p>
    <w:p w:rsidR="00024C0A" w:rsidRDefault="00694C0F">
      <w:pPr>
        <w:pStyle w:val="Definition-Field"/>
      </w:pPr>
      <w:r>
        <w:t xml:space="preserve">b.   </w:t>
      </w:r>
      <w:r>
        <w:rPr>
          <w:i/>
        </w:rPr>
        <w:t>The standard does not specify bounds for the foredepth attribute.</w:t>
      </w:r>
    </w:p>
    <w:p w:rsidR="00024C0A" w:rsidRDefault="00694C0F">
      <w:pPr>
        <w:pStyle w:val="Definition-Field2"/>
      </w:pPr>
      <w:r>
        <w:t>In Office the minimum value for the foredepth attribute is 0 pt and the maximum value is 600 pt.</w:t>
      </w:r>
    </w:p>
    <w:p w:rsidR="00024C0A" w:rsidRDefault="00694C0F">
      <w:pPr>
        <w:pStyle w:val="Definition-Field"/>
      </w:pPr>
      <w:r>
        <w:t xml:space="preserve">c.   </w:t>
      </w:r>
      <w:r>
        <w:rPr>
          <w:i/>
        </w:rPr>
        <w:t>The standard indicates that the color attribute is only used when colormode is custom.</w:t>
      </w:r>
    </w:p>
    <w:p w:rsidR="00024C0A" w:rsidRDefault="00694C0F">
      <w:pPr>
        <w:pStyle w:val="Definition-Field2"/>
      </w:pPr>
      <w:r>
        <w:t>O</w:t>
      </w:r>
      <w:r>
        <w:t>ffice uses the color attribute when colormode is custom or auto.</w:t>
      </w:r>
    </w:p>
    <w:p w:rsidR="00024C0A" w:rsidRDefault="00694C0F">
      <w:pPr>
        <w:pStyle w:val="Definition-Field"/>
      </w:pPr>
      <w:r>
        <w:t xml:space="preserve">d.   </w:t>
      </w:r>
      <w:r>
        <w:rPr>
          <w:i/>
        </w:rPr>
        <w:t>The standard indicates that the colormode attribute determines where the extrusion color is defined.</w:t>
      </w:r>
    </w:p>
    <w:p w:rsidR="00024C0A" w:rsidRDefault="00694C0F">
      <w:pPr>
        <w:pStyle w:val="Definition-Field2"/>
      </w:pPr>
      <w:r>
        <w:t>Office does not support the colormode attribute. The extrusion color is the color def</w:t>
      </w:r>
      <w:r>
        <w:t>ined by the color attribute. If the color attribute is not defined, the shape’s fill color is used.</w:t>
      </w:r>
    </w:p>
    <w:p w:rsidR="00024C0A" w:rsidRDefault="00694C0F">
      <w:pPr>
        <w:pStyle w:val="Definition-Field"/>
      </w:pPr>
      <w:r>
        <w:t xml:space="preserve">e.   </w:t>
      </w:r>
      <w:r>
        <w:rPr>
          <w:i/>
        </w:rPr>
        <w:t>The standard does not specify bounds for the edge attribute.</w:t>
      </w:r>
    </w:p>
    <w:p w:rsidR="00024C0A" w:rsidRDefault="00694C0F">
      <w:pPr>
        <w:pStyle w:val="Definition-Field2"/>
      </w:pPr>
      <w:r>
        <w:lastRenderedPageBreak/>
        <w:t>In Office the minimum value for the edge attribute is 0 pt and the maximum value is 169093</w:t>
      </w:r>
      <w:r>
        <w:t xml:space="preserve"> pt.</w:t>
      </w:r>
    </w:p>
    <w:p w:rsidR="00024C0A" w:rsidRDefault="00694C0F">
      <w:pPr>
        <w:pStyle w:val="Definition-Field"/>
      </w:pPr>
      <w:r>
        <w:t xml:space="preserve">f.   </w:t>
      </w:r>
      <w:r>
        <w:rPr>
          <w:i/>
        </w:rPr>
        <w:t>The standard indicates the meaning of the range of values for the facet attribute.</w:t>
      </w:r>
    </w:p>
    <w:p w:rsidR="00024C0A" w:rsidRDefault="00694C0F">
      <w:r>
        <w:t>In Office, a lower facet value produces shapes with smoother curves.  A higher value reduces smoothing, resulting in curves with sharper, jagged edges.  This value</w:t>
      </w:r>
      <w:r>
        <w:t xml:space="preserve"> may be specified in 1/65536-ths if a trailing "f" is supplied.  The default is 30000f.</w:t>
      </w:r>
    </w:p>
    <w:p w:rsidR="00024C0A" w:rsidRDefault="00694C0F">
      <w:r>
        <w:t>Values should be from 1f to 32767f, where 1f implies extremely high quality curve approximation and 32767f implies extremely low quality.</w:t>
      </w:r>
    </w:p>
    <w:p w:rsidR="00024C0A" w:rsidRDefault="00694C0F">
      <w:r>
        <w:t>[Example:</w:t>
      </w:r>
    </w:p>
    <w:p w:rsidR="00024C0A" w:rsidRDefault="00694C0F">
      <w:pPr>
        <w:pStyle w:val="Code"/>
      </w:pPr>
      <w:r>
        <w:t xml:space="preserve">&lt;o:extrusion </w:t>
      </w:r>
      <w:r>
        <w:t>on="true" facet="1f"&gt;</w:t>
      </w:r>
    </w:p>
    <w:p w:rsidR="00024C0A" w:rsidRDefault="00694C0F">
      <w:pPr>
        <w:pStyle w:val="Code"/>
      </w:pPr>
      <w:r>
        <w:t>&lt;/o:extrusion&gt;</w:t>
      </w:r>
    </w:p>
    <w:p w:rsidR="00024C0A" w:rsidRDefault="00694C0F">
      <w:r>
        <w:rPr>
          <w:noProof/>
        </w:rPr>
        <w:drawing>
          <wp:inline distT="0" distB="0" distL="0" distR="0">
            <wp:extent cx="1133475" cy="666750"/>
            <wp:effectExtent l="0" t="0" r="0" b="0"/>
            <wp:docPr id="342015714" name="Picture 1" descr="Eliptical 3d extruded shape" title="Eliptical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8-0000-0000-0000-000000000000" descr="Eliptical 3d extruded shape" title="Eliptical 3d extruded shape"/>
                    <pic:cNvPicPr>
                      <a:picLocks noChangeAspect="1" noChangeArrowheads="1"/>
                    </pic:cNvPicPr>
                  </pic:nvPicPr>
                  <pic:blipFill>
                    <a:blip r:embed="rId258"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facet="1f"</w:t>
      </w:r>
    </w:p>
    <w:p w:rsidR="00024C0A" w:rsidRDefault="00694C0F">
      <w:r>
        <w:rPr>
          <w:noProof/>
        </w:rPr>
        <w:drawing>
          <wp:inline distT="0" distB="0" distL="0" distR="0">
            <wp:extent cx="1133475" cy="666750"/>
            <wp:effectExtent l="0" t="0" r="0" b="0"/>
            <wp:docPr id="342015715" name="Picture 1" descr="Rectangular 3d extruded shape" title="Rectangular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b-0000-0000-0000-000000000000" descr="Rectangular 3d extruded shape" title="Rectangular 3d extruded shape"/>
                    <pic:cNvPicPr>
                      <a:picLocks noChangeAspect="1" noChangeArrowheads="1"/>
                    </pic:cNvPicPr>
                  </pic:nvPicPr>
                  <pic:blipFill>
                    <a:blip r:embed="rId259"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facet="32767f"</w:t>
      </w:r>
    </w:p>
    <w:p w:rsidR="00024C0A" w:rsidRDefault="00694C0F">
      <w:r>
        <w:t>end example]</w:t>
      </w:r>
    </w:p>
    <w:p w:rsidR="00024C0A" w:rsidRDefault="00694C0F">
      <w:pPr>
        <w:pStyle w:val="Definition-Field"/>
      </w:pPr>
      <w:r>
        <w:t xml:space="preserve">g.   </w:t>
      </w:r>
      <w:r>
        <w:rPr>
          <w:i/>
        </w:rPr>
        <w:t>The standard does not specify bounds for the orientationangle attribute.</w:t>
      </w:r>
    </w:p>
    <w:p w:rsidR="00024C0A" w:rsidRDefault="00694C0F">
      <w:pPr>
        <w:pStyle w:val="Definition-Field2"/>
      </w:pPr>
      <w:r>
        <w:t>In Office the value of the orientationangle attribute may be specified in 1/65536-ths if a trailin</w:t>
      </w:r>
      <w:r>
        <w:t>g "f" is supplied.  The minimum value is -32767f and the maximum value is 32767f.</w:t>
      </w:r>
    </w:p>
    <w:p w:rsidR="00024C0A" w:rsidRDefault="00694C0F">
      <w:pPr>
        <w:pStyle w:val="Definition-Field"/>
      </w:pPr>
      <w:r>
        <w:t xml:space="preserve">h.   </w:t>
      </w:r>
      <w:r>
        <w:rPr>
          <w:i/>
        </w:rPr>
        <w:t>The standard does not specify bounds for the rotationangle attribute.</w:t>
      </w:r>
    </w:p>
    <w:p w:rsidR="00024C0A" w:rsidRDefault="00694C0F">
      <w:pPr>
        <w:pStyle w:val="Definition-Field2"/>
      </w:pPr>
      <w:r>
        <w:t>In Office the minimum value for the rotationangle attribute is -90 and the maximum value is 90.</w:t>
      </w:r>
    </w:p>
    <w:p w:rsidR="00024C0A" w:rsidRDefault="00694C0F">
      <w:pPr>
        <w:pStyle w:val="Definition-Field"/>
      </w:pPr>
      <w:r>
        <w:t xml:space="preserve">i. </w:t>
      </w:r>
      <w:r>
        <w:t xml:space="preserve">  </w:t>
      </w:r>
      <w:r>
        <w:rPr>
          <w:i/>
        </w:rPr>
        <w:t>The standard indicates that the plane attribute determines the extrusion direction.</w:t>
      </w:r>
    </w:p>
    <w:p w:rsidR="00024C0A" w:rsidRDefault="00694C0F">
      <w:pPr>
        <w:pStyle w:val="Definition-Field2"/>
      </w:pPr>
      <w:r>
        <w:t>Office does not support the plane attribute.</w:t>
      </w:r>
    </w:p>
    <w:p w:rsidR="00024C0A" w:rsidRDefault="00694C0F">
      <w:pPr>
        <w:pStyle w:val="Definition-Field"/>
      </w:pPr>
      <w:r>
        <w:t xml:space="preserve">j.   </w:t>
      </w:r>
      <w:r>
        <w:rPr>
          <w:i/>
        </w:rPr>
        <w:t>The standard does not specify bounds for the axes specified in the rotationcenter attribute.</w:t>
      </w:r>
    </w:p>
    <w:p w:rsidR="00024C0A" w:rsidRDefault="00694C0F">
      <w:pPr>
        <w:pStyle w:val="Definition-Field2"/>
      </w:pPr>
      <w:r>
        <w:t xml:space="preserve">In Office, the minimum and </w:t>
      </w:r>
      <w:r>
        <w:t>maximum numeric values for the x- and y-axes are -32767 and 32767, regardless of which units are used.  The limits for the z-axis value are given by the table in ("</w:t>
      </w:r>
      <w:hyperlink r:id="rId260">
        <w:r>
          <w:rPr>
            <w:rStyle w:val="Hyperlink"/>
          </w:rPr>
          <w:t>[ISO/IEC-29500-4]</w:t>
        </w:r>
      </w:hyperlink>
      <w:r>
        <w:t xml:space="preserve"> §19.1; V</w:t>
      </w:r>
      <w:r>
        <w:t>ML").</w:t>
      </w:r>
    </w:p>
    <w:p w:rsidR="00024C0A" w:rsidRDefault="00694C0F">
      <w:pPr>
        <w:pStyle w:val="Definition-Field"/>
      </w:pPr>
      <w:r>
        <w:t xml:space="preserve">k.   </w:t>
      </w:r>
      <w:r>
        <w:rPr>
          <w:i/>
        </w:rPr>
        <w:t>The standard does not specify bounds for the skewangle attribute.</w:t>
      </w:r>
    </w:p>
    <w:p w:rsidR="00024C0A" w:rsidRDefault="00694C0F">
      <w:pPr>
        <w:pStyle w:val="Definition-Field2"/>
      </w:pPr>
      <w:r>
        <w:t>In Office the minimum value for the skewangle attribute is -32767 and the maximum value is 32767.</w:t>
      </w:r>
    </w:p>
    <w:p w:rsidR="00024C0A" w:rsidRDefault="00694C0F">
      <w:pPr>
        <w:pStyle w:val="Definition-Field"/>
      </w:pPr>
      <w:r>
        <w:t xml:space="preserve">l.   </w:t>
      </w:r>
      <w:r>
        <w:rPr>
          <w:i/>
        </w:rPr>
        <w:t>The standard does not restrict the number of instances of this element.</w:t>
      </w:r>
    </w:p>
    <w:p w:rsidR="00024C0A" w:rsidRDefault="00694C0F">
      <w:pPr>
        <w:pStyle w:val="Definition-Field2"/>
      </w:pPr>
      <w:r>
        <w:t>Offi</w:t>
      </w:r>
      <w:r>
        <w:t>ce allows at most only one instance of the extrusion element in each place where it can be used.</w:t>
      </w:r>
    </w:p>
    <w:p w:rsidR="00024C0A" w:rsidRDefault="00694C0F">
      <w:pPr>
        <w:pStyle w:val="Definition-Field"/>
      </w:pPr>
      <w:r>
        <w:lastRenderedPageBreak/>
        <w:t xml:space="preserve">m.   </w:t>
      </w:r>
      <w:r>
        <w:rPr>
          <w:i/>
        </w:rPr>
        <w:t>The standard states that values of the brightness attribute are defined by the XML Schema string datatype.</w:t>
      </w:r>
    </w:p>
    <w:p w:rsidR="00024C0A" w:rsidRDefault="00694C0F">
      <w:pPr>
        <w:pStyle w:val="Definition-Field2"/>
      </w:pPr>
      <w:r>
        <w:t>Office defines the values of the brightness att</w:t>
      </w:r>
      <w:r>
        <w:t>ribute with the ST_Fraction (</w:t>
      </w:r>
      <w:hyperlink w:anchor="Section_c96929a126d44fe4819f37727a9492e8">
        <w:r>
          <w:rPr>
            <w:rStyle w:val="Hyperlink"/>
          </w:rPr>
          <w:t>§3.9.1, ST_Fraction</w:t>
        </w:r>
      </w:hyperlink>
      <w:r>
        <w:t>) simple type.</w:t>
      </w:r>
    </w:p>
    <w:p w:rsidR="00024C0A" w:rsidRDefault="00694C0F">
      <w:pPr>
        <w:pStyle w:val="Definition-Field"/>
      </w:pPr>
      <w:r>
        <w:t xml:space="preserve">n.   </w:t>
      </w:r>
      <w:r>
        <w:rPr>
          <w:i/>
        </w:rPr>
        <w:t>The standard states that values of the diffusity attribute are defined by the XML Schema string datatype.</w:t>
      </w:r>
    </w:p>
    <w:p w:rsidR="00024C0A" w:rsidRDefault="00694C0F">
      <w:pPr>
        <w:pStyle w:val="Definition-Field2"/>
      </w:pPr>
      <w:r>
        <w:t xml:space="preserve">Office defines the </w:t>
      </w:r>
      <w:r>
        <w:t>values of the diffusity attribute with the ST_Fraction (§3.9.1, ST_Fraction) simple type.</w:t>
      </w:r>
    </w:p>
    <w:p w:rsidR="00024C0A" w:rsidRDefault="00694C0F">
      <w:pPr>
        <w:pStyle w:val="Definition-Field"/>
      </w:pPr>
      <w:r>
        <w:t xml:space="preserve">o.   </w:t>
      </w:r>
      <w:r>
        <w:rPr>
          <w:i/>
        </w:rPr>
        <w:t>The standard states that values of the lightlevel attribute are defined by the XML Schema string datatype.</w:t>
      </w:r>
    </w:p>
    <w:p w:rsidR="00024C0A" w:rsidRDefault="00694C0F">
      <w:pPr>
        <w:pStyle w:val="Definition-Field2"/>
      </w:pPr>
      <w:r>
        <w:t xml:space="preserve">Office defines the values of the lightlevel attribute </w:t>
      </w:r>
      <w:r>
        <w:t>with the ST_Fraction (§3.9.1, ST_Fraction) simple type.</w:t>
      </w:r>
    </w:p>
    <w:p w:rsidR="00024C0A" w:rsidRDefault="00694C0F">
      <w:pPr>
        <w:pStyle w:val="Definition-Field"/>
      </w:pPr>
      <w:r>
        <w:t xml:space="preserve">p.   </w:t>
      </w:r>
      <w:r>
        <w:rPr>
          <w:i/>
        </w:rPr>
        <w:t>The standard states that values of the lightlevel2 attribute are defined by the XML Schema string datatype.</w:t>
      </w:r>
    </w:p>
    <w:p w:rsidR="00024C0A" w:rsidRDefault="00694C0F">
      <w:pPr>
        <w:pStyle w:val="Definition-Field2"/>
      </w:pPr>
      <w:r>
        <w:t>Office defines the values of the lightlevel2 attribute with the ST_Fraction (§3.9.1, ST</w:t>
      </w:r>
      <w:r>
        <w:t>_Fraction) simple type.</w:t>
      </w:r>
    </w:p>
    <w:p w:rsidR="00024C0A" w:rsidRDefault="00694C0F">
      <w:pPr>
        <w:pStyle w:val="Definition-Field"/>
      </w:pPr>
      <w:r>
        <w:t xml:space="preserve">q.   </w:t>
      </w:r>
      <w:r>
        <w:rPr>
          <w:i/>
        </w:rPr>
        <w:t>The standard states that values of the specularity attribute are defined by the XML Schema string datatype.</w:t>
      </w:r>
    </w:p>
    <w:p w:rsidR="00024C0A" w:rsidRDefault="00694C0F">
      <w:pPr>
        <w:pStyle w:val="Definition-Field2"/>
      </w:pPr>
      <w:r>
        <w:t>Office defines the values of the specularity attribute with the ST_Fraction (§3.9.1, ST_Fraction) simple type.</w:t>
      </w:r>
    </w:p>
    <w:p w:rsidR="00024C0A" w:rsidRDefault="00694C0F">
      <w:pPr>
        <w:pStyle w:val="Heading3"/>
      </w:pPr>
      <w:bookmarkStart w:id="3655" w:name="section_093a3ca886ad4a0d89216b37ba1d2ce1"/>
      <w:bookmarkStart w:id="3656" w:name="_Toc12261888"/>
      <w:r>
        <w:t>Part 4 S</w:t>
      </w:r>
      <w:r>
        <w:t>ection 19.2.2.12, FieldCodes (WordprocessingML Field Switches)</w:t>
      </w:r>
      <w:bookmarkEnd w:id="3655"/>
      <w:bookmarkEnd w:id="3656"/>
      <w:r>
        <w:fldChar w:fldCharType="begin"/>
      </w:r>
      <w:r>
        <w:instrText xml:space="preserve"> XE "FieldCodes (WordprocessingML Field Switches)" </w:instrText>
      </w:r>
      <w:r>
        <w:fldChar w:fldCharType="end"/>
      </w:r>
    </w:p>
    <w:p w:rsidR="00024C0A" w:rsidRDefault="00694C0F">
      <w:pPr>
        <w:pStyle w:val="Definition-Field"/>
      </w:pPr>
      <w:r>
        <w:t xml:space="preserve">a.   </w:t>
      </w:r>
      <w:r>
        <w:rPr>
          <w:i/>
        </w:rPr>
        <w:t>The standard does not specify a default value for the FieldCodes element.</w:t>
      </w:r>
    </w:p>
    <w:p w:rsidR="00024C0A" w:rsidRDefault="00694C0F">
      <w:pPr>
        <w:pStyle w:val="Definition-Field2"/>
      </w:pPr>
      <w:r>
        <w:t>Office uses a default of no value for the FieldCodes element.</w:t>
      </w:r>
    </w:p>
    <w:p w:rsidR="00024C0A" w:rsidRDefault="00694C0F">
      <w:pPr>
        <w:pStyle w:val="Heading3"/>
      </w:pPr>
      <w:bookmarkStart w:id="3657" w:name="section_88fe143befc34d2394b1bf137c015388"/>
      <w:bookmarkStart w:id="3658" w:name="_Toc12261889"/>
      <w:r>
        <w:t>Part 4 Section 19.2.2.13, fill (Shape Fill Extended Properties)</w:t>
      </w:r>
      <w:bookmarkEnd w:id="3657"/>
      <w:bookmarkEnd w:id="3658"/>
      <w:r>
        <w:fldChar w:fldCharType="begin"/>
      </w:r>
      <w:r>
        <w:instrText xml:space="preserve"> XE "fill (Shape Fill Extended Properties)"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024C0A" w:rsidRDefault="00694C0F">
      <w:pPr>
        <w:pStyle w:val="Definition-Field"/>
      </w:pPr>
      <w:r>
        <w:t xml:space="preserve">a.   </w:t>
      </w:r>
      <w:r>
        <w:rPr>
          <w:i/>
        </w:rPr>
        <w:t>The standard indicates how the type attribute is used.</w:t>
      </w:r>
    </w:p>
    <w:p w:rsidR="00024C0A" w:rsidRDefault="00694C0F">
      <w:r>
        <w:t>Office has the following behavior:</w:t>
      </w:r>
    </w:p>
    <w:p w:rsidR="00024C0A" w:rsidRDefault="00694C0F">
      <w:pPr>
        <w:pStyle w:val="ListParagraph"/>
        <w:numPr>
          <w:ilvl w:val="0"/>
          <w:numId w:val="184"/>
        </w:numPr>
        <w:contextualSpacing/>
      </w:pPr>
      <w:r>
        <w:t xml:space="preserve">If the value of this attribute is </w:t>
      </w:r>
      <w:r>
        <w:rPr>
          <w:i/>
        </w:rPr>
        <w:t>background</w:t>
      </w:r>
      <w:r>
        <w:t xml:space="preserve">, then the value of the </w:t>
      </w:r>
      <w:r>
        <w:rPr>
          <w:b/>
        </w:rPr>
        <w:t>type</w:t>
      </w:r>
      <w:r>
        <w:t xml:space="preserve"> attribute on the parent </w:t>
      </w:r>
      <w:r>
        <w:rPr>
          <w:b/>
        </w:rPr>
        <w:t>fill</w:t>
      </w:r>
      <w:r>
        <w:t xml:space="preserve"> element ("</w:t>
      </w:r>
      <w:hyperlink r:id="rId261">
        <w:r>
          <w:rPr>
            <w:rStyle w:val="Hyperlink"/>
          </w:rPr>
          <w:t>[ISO/IEC-29500-4]</w:t>
        </w:r>
      </w:hyperlink>
      <w:r>
        <w:t xml:space="preserve"> §19.1.2.5; fill (Shape Fill Properties)") is set to </w:t>
      </w:r>
      <w:r>
        <w:rPr>
          <w:i/>
        </w:rPr>
        <w:t>solid</w:t>
      </w:r>
      <w:r>
        <w:t xml:space="preserve"> on file save.</w:t>
      </w:r>
    </w:p>
    <w:p w:rsidR="00024C0A" w:rsidRDefault="00694C0F">
      <w:pPr>
        <w:pStyle w:val="ListParagraph"/>
        <w:numPr>
          <w:ilvl w:val="0"/>
          <w:numId w:val="184"/>
        </w:numPr>
        <w:contextualSpacing/>
      </w:pPr>
      <w:r>
        <w:t>If the value of this a</w:t>
      </w:r>
      <w:r>
        <w:t xml:space="preserve">ttribute is </w:t>
      </w:r>
      <w:r>
        <w:rPr>
          <w:i/>
        </w:rPr>
        <w:t>gradientCenter</w:t>
      </w:r>
      <w:r>
        <w:t xml:space="preserve">, then the value of the </w:t>
      </w:r>
      <w:r>
        <w:rPr>
          <w:b/>
        </w:rPr>
        <w:t>type</w:t>
      </w:r>
      <w:r>
        <w:t xml:space="preserve"> attribute on the parent </w:t>
      </w:r>
      <w:r>
        <w:rPr>
          <w:b/>
        </w:rPr>
        <w:t>fill</w:t>
      </w:r>
      <w:r>
        <w:t xml:space="preserve"> element ("[ISO/IEC-29500-4] §19.1.2.5; fill (Shape Fill Properties)") is set to </w:t>
      </w:r>
      <w:r>
        <w:rPr>
          <w:i/>
        </w:rPr>
        <w:t>gradientRadial</w:t>
      </w:r>
      <w:r>
        <w:t xml:space="preserve"> on file save.</w:t>
      </w:r>
    </w:p>
    <w:p w:rsidR="00024C0A" w:rsidRDefault="00694C0F">
      <w:pPr>
        <w:pStyle w:val="ListParagraph"/>
        <w:numPr>
          <w:ilvl w:val="0"/>
          <w:numId w:val="184"/>
        </w:numPr>
        <w:contextualSpacing/>
      </w:pPr>
      <w:r>
        <w:t xml:space="preserve">If the value of this attribute is </w:t>
      </w:r>
      <w:r>
        <w:rPr>
          <w:i/>
        </w:rPr>
        <w:t>gradientUnscaled</w:t>
      </w:r>
      <w:r>
        <w:t xml:space="preserve">, then the value of the </w:t>
      </w:r>
      <w:r>
        <w:rPr>
          <w:b/>
        </w:rPr>
        <w:t>type</w:t>
      </w:r>
      <w:r>
        <w:t xml:space="preserve"> attribute on the parent </w:t>
      </w:r>
      <w:r>
        <w:rPr>
          <w:b/>
        </w:rPr>
        <w:t>fill</w:t>
      </w:r>
      <w:r>
        <w:t xml:space="preserve"> element ("[ISO/IEC-29500-4] §19.1.2.5; fill (Shape Fill Properties)") is set to </w:t>
      </w:r>
      <w:r>
        <w:rPr>
          <w:i/>
        </w:rPr>
        <w:t>gradient</w:t>
      </w:r>
      <w:r>
        <w:t xml:space="preserve"> on file save.</w:t>
      </w:r>
    </w:p>
    <w:p w:rsidR="00024C0A" w:rsidRDefault="00694C0F">
      <w:pPr>
        <w:pStyle w:val="ListParagraph"/>
        <w:numPr>
          <w:ilvl w:val="0"/>
          <w:numId w:val="184"/>
        </w:numPr>
      </w:pPr>
      <w:r>
        <w:t xml:space="preserve">If the value of this attribute is </w:t>
      </w:r>
      <w:r>
        <w:rPr>
          <w:i/>
        </w:rPr>
        <w:t>solid</w:t>
      </w:r>
      <w:r>
        <w:t xml:space="preserve">, then neither this </w:t>
      </w:r>
      <w:r>
        <w:rPr>
          <w:b/>
        </w:rPr>
        <w:t>fill</w:t>
      </w:r>
      <w:r>
        <w:t xml:space="preserve"> element nor the </w:t>
      </w:r>
      <w:r>
        <w:rPr>
          <w:b/>
        </w:rPr>
        <w:t>type</w:t>
      </w:r>
      <w:r>
        <w:t xml:space="preserve"> attribute </w:t>
      </w:r>
      <w:r>
        <w:t xml:space="preserve">on the parent </w:t>
      </w:r>
      <w:r>
        <w:rPr>
          <w:b/>
        </w:rPr>
        <w:t>fill</w:t>
      </w:r>
      <w:r>
        <w:t xml:space="preserve"> element ("[ISO/IEC-29500-4] §19.1.2.5; fill (Shape Fill Properties)") are preserved on file save.</w:t>
      </w:r>
    </w:p>
    <w:p w:rsidR="00024C0A" w:rsidRDefault="00694C0F">
      <w:r>
        <w:lastRenderedPageBreak/>
        <w:t xml:space="preserve">If the value of this attribute is </w:t>
      </w:r>
      <w:r>
        <w:rPr>
          <w:i/>
        </w:rPr>
        <w:t>gradient</w:t>
      </w:r>
      <w:r>
        <w:t xml:space="preserve">, </w:t>
      </w:r>
      <w:r>
        <w:rPr>
          <w:i/>
        </w:rPr>
        <w:t>gradientRadial</w:t>
      </w:r>
      <w:r>
        <w:t xml:space="preserve">, </w:t>
      </w:r>
      <w:r>
        <w:rPr>
          <w:i/>
        </w:rPr>
        <w:t>tile</w:t>
      </w:r>
      <w:r>
        <w:t xml:space="preserve">, </w:t>
      </w:r>
      <w:r>
        <w:rPr>
          <w:i/>
        </w:rPr>
        <w:t>pattern</w:t>
      </w:r>
      <w:r>
        <w:t xml:space="preserve">, or </w:t>
      </w:r>
      <w:r>
        <w:rPr>
          <w:i/>
        </w:rPr>
        <w:t>frame</w:t>
      </w:r>
      <w:r>
        <w:t xml:space="preserve">, then this value is applied to the </w:t>
      </w:r>
      <w:r>
        <w:rPr>
          <w:b/>
        </w:rPr>
        <w:t>type</w:t>
      </w:r>
      <w:r>
        <w:t xml:space="preserve"> attribute on th</w:t>
      </w:r>
      <w:r>
        <w:t xml:space="preserve">e parent </w:t>
      </w:r>
      <w:r>
        <w:rPr>
          <w:b/>
        </w:rPr>
        <w:t>fill</w:t>
      </w:r>
      <w:r>
        <w:t xml:space="preserve"> element ("[ISO/IEC-29500-4] §19.1.2.5; fill (Shape Fill Properties)") on file save.  Additionally, this </w:t>
      </w:r>
      <w:r>
        <w:rPr>
          <w:b/>
        </w:rPr>
        <w:t>fill</w:t>
      </w:r>
      <w:r>
        <w:t xml:space="preserve"> element is not preserved.</w:t>
      </w:r>
    </w:p>
    <w:p w:rsidR="00024C0A" w:rsidRDefault="00694C0F">
      <w:pPr>
        <w:pStyle w:val="Heading3"/>
      </w:pPr>
      <w:bookmarkStart w:id="3659" w:name="section_d6a35fd178c64d449ee9d71317adf673"/>
      <w:bookmarkStart w:id="3660" w:name="_Toc12261890"/>
      <w:r>
        <w:t>Part 4 Section 19.2.2.14, idmap (Shape ID Map)</w:t>
      </w:r>
      <w:bookmarkEnd w:id="3659"/>
      <w:bookmarkEnd w:id="3660"/>
      <w:r>
        <w:fldChar w:fldCharType="begin"/>
      </w:r>
      <w:r>
        <w:instrText xml:space="preserve"> XE "idmap (Shape ID Map)" </w:instrText>
      </w:r>
      <w:r>
        <w:fldChar w:fldCharType="end"/>
      </w:r>
    </w:p>
    <w:p w:rsidR="00024C0A" w:rsidRDefault="00694C0F">
      <w:pPr>
        <w:pStyle w:val="Definition-Field"/>
      </w:pPr>
      <w:r>
        <w:t xml:space="preserve">a.   </w:t>
      </w:r>
      <w:r>
        <w:rPr>
          <w:i/>
        </w:rPr>
        <w:t>The standard allows for ap</w:t>
      </w:r>
      <w:r>
        <w:rPr>
          <w:i/>
        </w:rPr>
        <w:t>plication-dependent behavior.</w:t>
      </w:r>
    </w:p>
    <w:p w:rsidR="00024C0A" w:rsidRDefault="00694C0F">
      <w:r>
        <w:t>Office ignores this value on file read. The value indicates ID blocks of 1024 values, where a value of 0 means IDs 0 to 1024, a value of 1 means IDs 1025 to 2048, and so on. If Office has at least one shape which has an ID con</w:t>
      </w:r>
      <w:r>
        <w:t>tained in a specific block, it writes out the index for that block.</w:t>
      </w:r>
    </w:p>
    <w:p w:rsidR="00024C0A" w:rsidRDefault="00694C0F">
      <w:pPr>
        <w:pStyle w:val="Heading3"/>
      </w:pPr>
      <w:bookmarkStart w:id="3661" w:name="section_05ab37aee14e424c808e6748b131c121"/>
      <w:bookmarkStart w:id="3662" w:name="_Toc12261891"/>
      <w:r>
        <w:t>Part 4 Section 19.2.2.15, ink (Ink)</w:t>
      </w:r>
      <w:bookmarkEnd w:id="3661"/>
      <w:bookmarkEnd w:id="3662"/>
      <w:r>
        <w:fldChar w:fldCharType="begin"/>
      </w:r>
      <w:r>
        <w:instrText xml:space="preserve"> XE "ink (Ink)"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024C0A" w:rsidRDefault="00694C0F">
      <w:pPr>
        <w:pStyle w:val="Definition-Field"/>
      </w:pPr>
      <w:r>
        <w:t xml:space="preserve">a.   </w:t>
      </w:r>
      <w:r>
        <w:rPr>
          <w:i/>
        </w:rPr>
        <w:t>The standard indicates that the i attribute is of type XSD:base64Binary.</w:t>
      </w:r>
    </w:p>
    <w:p w:rsidR="00024C0A" w:rsidRDefault="00694C0F">
      <w:pPr>
        <w:pStyle w:val="Definition-Field2"/>
      </w:pPr>
      <w:r>
        <w:t xml:space="preserve">In Office, the value of the i attribute </w:t>
      </w:r>
      <w:r>
        <w:t xml:space="preserve">is defined by the Ink Serialized Format specification </w:t>
      </w:r>
      <w:hyperlink r:id="rId262">
        <w:r>
          <w:rPr>
            <w:rStyle w:val="Hyperlink"/>
          </w:rPr>
          <w:t>[MC-ISF]</w:t>
        </w:r>
      </w:hyperlink>
      <w:r>
        <w:t>.</w:t>
      </w:r>
    </w:p>
    <w:p w:rsidR="00024C0A" w:rsidRDefault="00694C0F">
      <w:pPr>
        <w:pStyle w:val="Definition-Field"/>
      </w:pPr>
      <w:r>
        <w:t xml:space="preserve">b.   </w:t>
      </w:r>
      <w:r>
        <w:rPr>
          <w:i/>
        </w:rPr>
        <w:t>The standard does not restrict the number of instances of this element.</w:t>
      </w:r>
    </w:p>
    <w:p w:rsidR="00024C0A" w:rsidRDefault="00694C0F">
      <w:pPr>
        <w:pStyle w:val="Definition-Field2"/>
      </w:pPr>
      <w:r>
        <w:t>Office allows at most only one instance of the ink element in each place where it c</w:t>
      </w:r>
      <w:r>
        <w:t>an be used.</w:t>
      </w:r>
    </w:p>
    <w:p w:rsidR="00024C0A" w:rsidRDefault="00694C0F">
      <w:pPr>
        <w:pStyle w:val="Definition-Field"/>
      </w:pPr>
      <w:r>
        <w:t xml:space="preserve">c.   </w:t>
      </w:r>
      <w:r>
        <w:rPr>
          <w:i/>
        </w:rPr>
        <w:t>The standard indicates how the annotation attribute is used.</w:t>
      </w:r>
    </w:p>
    <w:p w:rsidR="00024C0A" w:rsidRDefault="00694C0F">
      <w:pPr>
        <w:pStyle w:val="Definition-Field2"/>
      </w:pPr>
      <w:r>
        <w:t>Office only writes out the value t and does not preserve other values on file save.</w:t>
      </w:r>
    </w:p>
    <w:p w:rsidR="00024C0A" w:rsidRDefault="00694C0F">
      <w:pPr>
        <w:pStyle w:val="Definition-Field"/>
      </w:pPr>
      <w:r>
        <w:t xml:space="preserve">d.   </w:t>
      </w:r>
      <w:r>
        <w:rPr>
          <w:i/>
        </w:rPr>
        <w:t>The standard specifies contentType as an optional attribute of the ink element.</w:t>
      </w:r>
    </w:p>
    <w:p w:rsidR="00024C0A" w:rsidRDefault="00694C0F">
      <w:pPr>
        <w:pStyle w:val="Definition-Field2"/>
      </w:pPr>
      <w:r>
        <w:t xml:space="preserve">Office </w:t>
      </w:r>
      <w:r>
        <w:t>ignores this attribute on load and does not round trip it.</w:t>
      </w:r>
    </w:p>
    <w:p w:rsidR="00024C0A" w:rsidRDefault="00694C0F">
      <w:pPr>
        <w:pStyle w:val="Heading3"/>
      </w:pPr>
      <w:bookmarkStart w:id="3663" w:name="section_a3049fb58be6431ea81f2e81535c0f0c"/>
      <w:bookmarkStart w:id="3664" w:name="_Toc12261892"/>
      <w:r>
        <w:t>Part 4 Section 19.2.2.16, left (Text Box Left Stroke)</w:t>
      </w:r>
      <w:bookmarkEnd w:id="3663"/>
      <w:bookmarkEnd w:id="3664"/>
      <w:r>
        <w:fldChar w:fldCharType="begin"/>
      </w:r>
      <w:r>
        <w:instrText xml:space="preserve"> XE "left (Text Box Left Stroke)"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024C0A" w:rsidRDefault="00694C0F">
      <w:pPr>
        <w:pStyle w:val="Definition-Field"/>
      </w:pPr>
      <w:r>
        <w:t xml:space="preserve">a.   </w:t>
      </w:r>
      <w:r>
        <w:rPr>
          <w:i/>
        </w:rPr>
        <w:t>The standard indicates the conditions under which the left element is displayed.</w:t>
      </w:r>
    </w:p>
    <w:p w:rsidR="00024C0A" w:rsidRDefault="00694C0F">
      <w:r>
        <w:t>In Office, this element is only displayed if all of the following conditions are met:</w:t>
      </w:r>
    </w:p>
    <w:p w:rsidR="00024C0A" w:rsidRDefault="00694C0F">
      <w:pPr>
        <w:pStyle w:val="ListParagraph"/>
        <w:numPr>
          <w:ilvl w:val="0"/>
          <w:numId w:val="185"/>
        </w:numPr>
        <w:contextualSpacing/>
      </w:pPr>
      <w:r>
        <w:t xml:space="preserve">The </w:t>
      </w:r>
      <w:r>
        <w:rPr>
          <w:b/>
        </w:rPr>
        <w:t>on</w:t>
      </w:r>
      <w:r>
        <w:t xml:space="preserve"> attribute is </w:t>
      </w:r>
      <w:r>
        <w:rPr>
          <w:i/>
        </w:rPr>
        <w:t>true</w:t>
      </w:r>
      <w:r>
        <w:t>.</w:t>
      </w:r>
    </w:p>
    <w:p w:rsidR="00024C0A" w:rsidRDefault="00694C0F">
      <w:pPr>
        <w:pStyle w:val="ListParagraph"/>
        <w:numPr>
          <w:ilvl w:val="0"/>
          <w:numId w:val="185"/>
        </w:numPr>
        <w:contextualSpacing/>
      </w:pPr>
      <w:r>
        <w:t xml:space="preserve">The shape’s path is closed with the </w:t>
      </w:r>
      <w:r>
        <w:rPr>
          <w:i/>
        </w:rPr>
        <w:t>x</w:t>
      </w:r>
      <w:r>
        <w:t xml:space="preserve"> command.  [Note: This implies that arrow heads should be defined on the stroke attribute. end note]</w:t>
      </w:r>
    </w:p>
    <w:p w:rsidR="00024C0A" w:rsidRDefault="00694C0F">
      <w:pPr>
        <w:pStyle w:val="ListParagraph"/>
        <w:numPr>
          <w:ilvl w:val="0"/>
          <w:numId w:val="185"/>
        </w:numPr>
        <w:contextualSpacing/>
      </w:pPr>
      <w:r>
        <w:t xml:space="preserve">The shape’s path defines a rectangle with corner coordinates exactly equal to 0,0; 21600,0; </w:t>
      </w:r>
      <w:r>
        <w:t xml:space="preserve">21600,21600; 0,21600.  [Example: For example, the following value on the </w:t>
      </w:r>
      <w:r>
        <w:rPr>
          <w:b/>
        </w:rPr>
        <w:t>path</w:t>
      </w:r>
      <w:r>
        <w:t xml:space="preserve"> attribute of the </w:t>
      </w:r>
      <w:r>
        <w:rPr>
          <w:b/>
        </w:rPr>
        <w:t>shape</w:t>
      </w:r>
      <w:r>
        <w:t xml:space="preserve"> element ("</w:t>
      </w:r>
      <w:hyperlink r:id="rId263">
        <w:r>
          <w:rPr>
            <w:rStyle w:val="Hyperlink"/>
          </w:rPr>
          <w:t>[ISO/IEC-29500-4]</w:t>
        </w:r>
      </w:hyperlink>
      <w:r>
        <w:t xml:space="preserve"> §19.1.2.19; shape (Shape Definition)") satisfies this conditi</w:t>
      </w:r>
      <w:r>
        <w:t xml:space="preserve">on: </w:t>
      </w:r>
      <w:r>
        <w:rPr>
          <w:rStyle w:val="InlineCode"/>
        </w:rPr>
        <w:t>path="m,l,21600r21600,l21600,xe"</w:t>
      </w:r>
      <w:r>
        <w:t xml:space="preserve"> end example]</w:t>
      </w:r>
    </w:p>
    <w:p w:rsidR="00024C0A" w:rsidRDefault="00694C0F">
      <w:pPr>
        <w:pStyle w:val="ListParagraph"/>
        <w:numPr>
          <w:ilvl w:val="0"/>
          <w:numId w:val="185"/>
        </w:numPr>
        <w:contextualSpacing/>
      </w:pPr>
      <w:r>
        <w:t xml:space="preserve">The value of the shape’s </w:t>
      </w:r>
      <w:r>
        <w:rPr>
          <w:b/>
        </w:rPr>
        <w:t>spt</w:t>
      </w:r>
      <w:r>
        <w:t xml:space="preserve"> attribute is </w:t>
      </w:r>
      <w:r>
        <w:rPr>
          <w:i/>
        </w:rPr>
        <w:t>202</w:t>
      </w:r>
      <w:r>
        <w:t>.</w:t>
      </w:r>
    </w:p>
    <w:p w:rsidR="00024C0A" w:rsidRDefault="00694C0F">
      <w:pPr>
        <w:pStyle w:val="ListParagraph"/>
        <w:numPr>
          <w:ilvl w:val="0"/>
          <w:numId w:val="185"/>
        </w:numPr>
      </w:pPr>
      <w:r>
        <w:t>The shape is not stroked.</w:t>
      </w:r>
    </w:p>
    <w:p w:rsidR="00024C0A" w:rsidRDefault="00694C0F">
      <w:r>
        <w:t xml:space="preserve">If the </w:t>
      </w:r>
      <w:r>
        <w:rPr>
          <w:b/>
        </w:rPr>
        <w:t>on</w:t>
      </w:r>
      <w:r>
        <w:t xml:space="preserve"> attribute is </w:t>
      </w:r>
      <w:r>
        <w:rPr>
          <w:i/>
        </w:rPr>
        <w:t>false</w:t>
      </w:r>
      <w:r>
        <w:t xml:space="preserve"> or not specified, the border is not shown.</w:t>
      </w:r>
    </w:p>
    <w:p w:rsidR="00024C0A" w:rsidRDefault="00694C0F">
      <w:r>
        <w:t>[Note: The shape is not stroked if one of the following condi</w:t>
      </w:r>
      <w:r>
        <w:t>tions is true:</w:t>
      </w:r>
    </w:p>
    <w:p w:rsidR="00024C0A" w:rsidRDefault="00694C0F">
      <w:pPr>
        <w:pStyle w:val="ListParagraph"/>
        <w:numPr>
          <w:ilvl w:val="0"/>
          <w:numId w:val="186"/>
        </w:numPr>
        <w:contextualSpacing/>
      </w:pPr>
      <w:r>
        <w:lastRenderedPageBreak/>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024C0A" w:rsidRDefault="00694C0F">
      <w:pPr>
        <w:pStyle w:val="ListParagraph"/>
        <w:numPr>
          <w:ilvl w:val="0"/>
          <w:numId w:val="186"/>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024C0A" w:rsidRDefault="00694C0F">
      <w:pPr>
        <w:pStyle w:val="ListParagraph"/>
        <w:numPr>
          <w:ilvl w:val="0"/>
          <w:numId w:val="186"/>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024C0A" w:rsidRDefault="00694C0F">
      <w:r>
        <w:t>end note]</w:t>
      </w:r>
    </w:p>
    <w:p w:rsidR="00024C0A" w:rsidRDefault="00694C0F">
      <w:pPr>
        <w:pStyle w:val="Heading3"/>
      </w:pPr>
      <w:bookmarkStart w:id="3665" w:name="section_74bbd2fc5f9d4456940afe7b4aa5b4c2"/>
      <w:bookmarkStart w:id="3666" w:name="_Toc12261893"/>
      <w:r>
        <w:t>Part 4 Section 19.2.2.17, L</w:t>
      </w:r>
      <w:r>
        <w:t>inkType (Embedded Object Alternate Image Request)</w:t>
      </w:r>
      <w:bookmarkEnd w:id="3665"/>
      <w:bookmarkEnd w:id="3666"/>
      <w:r>
        <w:fldChar w:fldCharType="begin"/>
      </w:r>
      <w:r>
        <w:instrText xml:space="preserve"> XE "LinkType (Embedded Object Alternate Image Request)" </w:instrText>
      </w:r>
      <w:r>
        <w:fldChar w:fldCharType="end"/>
      </w:r>
    </w:p>
    <w:p w:rsidR="00024C0A" w:rsidRDefault="00694C0F">
      <w:pPr>
        <w:pStyle w:val="Definition-Field"/>
      </w:pPr>
      <w:r>
        <w:t xml:space="preserve">a.   </w:t>
      </w:r>
      <w:r>
        <w:rPr>
          <w:i/>
        </w:rPr>
        <w:t>The standard does not specify a default value for the LinkType element.</w:t>
      </w:r>
    </w:p>
    <w:p w:rsidR="00024C0A" w:rsidRDefault="00694C0F">
      <w:pPr>
        <w:pStyle w:val="Definition-Field2"/>
      </w:pPr>
      <w:r>
        <w:t>Office uses a default value of Bitmap for the LinkType element.</w:t>
      </w:r>
    </w:p>
    <w:p w:rsidR="00024C0A" w:rsidRDefault="00694C0F">
      <w:pPr>
        <w:pStyle w:val="Definition-Field"/>
      </w:pPr>
      <w:r>
        <w:t xml:space="preserve">b.   </w:t>
      </w:r>
      <w:r>
        <w:rPr>
          <w:i/>
        </w:rPr>
        <w:t>T</w:t>
      </w:r>
      <w:r>
        <w:rPr>
          <w:i/>
        </w:rPr>
        <w:t>he standard indicates how the LinkType element is used.</w:t>
      </w:r>
    </w:p>
    <w:p w:rsidR="00024C0A" w:rsidRDefault="00694C0F">
      <w:pPr>
        <w:pStyle w:val="Definition-Field2"/>
      </w:pPr>
      <w:r>
        <w:t>n Office, the LinkType element only works for linked objects, which are objects for which the value of the Type attribute on the OLEObject element is Link.</w:t>
      </w:r>
    </w:p>
    <w:p w:rsidR="00024C0A" w:rsidRDefault="00694C0F">
      <w:pPr>
        <w:pStyle w:val="Heading3"/>
      </w:pPr>
      <w:bookmarkStart w:id="3667" w:name="section_33f39c87412e4b50991fc876c605b026"/>
      <w:bookmarkStart w:id="3668" w:name="_Toc12261894"/>
      <w:r>
        <w:t>Part 4 Section 19.2.2.18, lock (Shape Protec</w:t>
      </w:r>
      <w:r>
        <w:t>tions)</w:t>
      </w:r>
      <w:bookmarkEnd w:id="3667"/>
      <w:bookmarkEnd w:id="3668"/>
      <w:r>
        <w:fldChar w:fldCharType="begin"/>
      </w:r>
      <w:r>
        <w:instrText xml:space="preserve"> XE "lock (Shape Protections)"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024C0A" w:rsidRDefault="00694C0F">
      <w:pPr>
        <w:pStyle w:val="Definition-Field"/>
      </w:pPr>
      <w:r>
        <w:t xml:space="preserve">a.   </w:t>
      </w:r>
      <w:r>
        <w:rPr>
          <w:i/>
        </w:rPr>
        <w:t>The standard indicates that the aspectratio attribute specifies whether the aspect ratio of a shape is locked from being edited in an application's UI.</w:t>
      </w:r>
    </w:p>
    <w:p w:rsidR="00024C0A" w:rsidRDefault="00694C0F">
      <w:pPr>
        <w:pStyle w:val="Definition-Field2"/>
      </w:pPr>
      <w:r>
        <w:t>Office does not enforce the aspectratio att</w:t>
      </w:r>
      <w:r>
        <w:t>ribute lock in all UI.</w:t>
      </w:r>
    </w:p>
    <w:p w:rsidR="00024C0A" w:rsidRDefault="00694C0F">
      <w:pPr>
        <w:pStyle w:val="Definition-Field"/>
      </w:pPr>
      <w:r>
        <w:t xml:space="preserve">b.   </w:t>
      </w:r>
      <w:r>
        <w:rPr>
          <w:i/>
        </w:rPr>
        <w:t>The standard implies that the cropping attribute specifies whether a shape may be cropped in the application's UI.</w:t>
      </w:r>
    </w:p>
    <w:p w:rsidR="00024C0A" w:rsidRDefault="00694C0F">
      <w:pPr>
        <w:pStyle w:val="Definition-Field2"/>
      </w:pPr>
      <w:r>
        <w:t>Office only allows cropping for pictures.</w:t>
      </w:r>
    </w:p>
    <w:p w:rsidR="00024C0A" w:rsidRDefault="00694C0F">
      <w:pPr>
        <w:pStyle w:val="Definition-Field"/>
      </w:pPr>
      <w:r>
        <w:t xml:space="preserve">c.   </w:t>
      </w:r>
      <w:r>
        <w:rPr>
          <w:i/>
        </w:rPr>
        <w:t>The standard does not restrict the number of instances of this ele</w:t>
      </w:r>
      <w:r>
        <w:rPr>
          <w:i/>
        </w:rPr>
        <w:t>ment.</w:t>
      </w:r>
    </w:p>
    <w:p w:rsidR="00024C0A" w:rsidRDefault="00694C0F">
      <w:pPr>
        <w:pStyle w:val="Definition-Field2"/>
      </w:pPr>
      <w:r>
        <w:t>Office allows at most only one instance of the lock element in each place where it can be used.</w:t>
      </w:r>
    </w:p>
    <w:p w:rsidR="00024C0A" w:rsidRDefault="00694C0F">
      <w:pPr>
        <w:pStyle w:val="Heading3"/>
      </w:pPr>
      <w:bookmarkStart w:id="3669" w:name="section_4dc6867741fa4e15a3af9aecb84e03c9"/>
      <w:bookmarkStart w:id="3670" w:name="_Toc12261895"/>
      <w:r>
        <w:t>Part 4 Section 19.2.2.19, LockedField (Embedded Object Cannot Be Refreshed)</w:t>
      </w:r>
      <w:bookmarkEnd w:id="3669"/>
      <w:bookmarkEnd w:id="3670"/>
      <w:r>
        <w:fldChar w:fldCharType="begin"/>
      </w:r>
      <w:r>
        <w:instrText xml:space="preserve"> XE "LockedField (Embedded Object Cannot Be Refreshed)" </w:instrText>
      </w:r>
      <w:r>
        <w:fldChar w:fldCharType="end"/>
      </w:r>
    </w:p>
    <w:p w:rsidR="00024C0A" w:rsidRDefault="00694C0F">
      <w:pPr>
        <w:pStyle w:val="Definition-Field"/>
      </w:pPr>
      <w:r>
        <w:t xml:space="preserve">a.   </w:t>
      </w:r>
      <w:r>
        <w:rPr>
          <w:i/>
        </w:rPr>
        <w:t xml:space="preserve">The standard </w:t>
      </w:r>
      <w:r>
        <w:rPr>
          <w:i/>
        </w:rPr>
        <w:t>indicates that the LockedField element contains no content, but also has a type of ST_TrueFalseBlank.</w:t>
      </w:r>
    </w:p>
    <w:p w:rsidR="00024C0A" w:rsidRDefault="00694C0F">
      <w:pPr>
        <w:pStyle w:val="Definition-Field2"/>
      </w:pPr>
      <w:r>
        <w:t>Office considers the values true and blank ("") to mean true and all other values to mean false for the LockedField element.</w:t>
      </w:r>
    </w:p>
    <w:p w:rsidR="00024C0A" w:rsidRDefault="00694C0F">
      <w:pPr>
        <w:pStyle w:val="Definition-Field"/>
      </w:pPr>
      <w:r>
        <w:t xml:space="preserve">b.   </w:t>
      </w:r>
      <w:r>
        <w:rPr>
          <w:i/>
        </w:rPr>
        <w:t xml:space="preserve">The standard does not </w:t>
      </w:r>
      <w:r>
        <w:rPr>
          <w:i/>
        </w:rPr>
        <w:t>specify a default value for the LockedField element.</w:t>
      </w:r>
    </w:p>
    <w:p w:rsidR="00024C0A" w:rsidRDefault="00694C0F">
      <w:pPr>
        <w:pStyle w:val="Definition-Field2"/>
      </w:pPr>
      <w:r>
        <w:t>Office uses a default value of false for the LockedField element.</w:t>
      </w:r>
    </w:p>
    <w:p w:rsidR="00024C0A" w:rsidRDefault="00694C0F">
      <w:pPr>
        <w:pStyle w:val="Definition-Field"/>
      </w:pPr>
      <w:r>
        <w:t xml:space="preserve">c.   </w:t>
      </w:r>
      <w:r>
        <w:rPr>
          <w:i/>
        </w:rPr>
        <w:t>The standard indicates how the LockedField element is used.</w:t>
      </w:r>
    </w:p>
    <w:p w:rsidR="00024C0A" w:rsidRDefault="00694C0F">
      <w:pPr>
        <w:pStyle w:val="Definition-Field2"/>
      </w:pPr>
      <w:r>
        <w:t>Office only supports the LockedField element if the embedded object is l</w:t>
      </w:r>
      <w:r>
        <w:t>inked.</w:t>
      </w:r>
    </w:p>
    <w:p w:rsidR="00024C0A" w:rsidRDefault="00694C0F">
      <w:pPr>
        <w:pStyle w:val="Definition-Field"/>
      </w:pPr>
      <w:r>
        <w:lastRenderedPageBreak/>
        <w:t xml:space="preserve">d.   </w:t>
      </w:r>
      <w:r>
        <w:rPr>
          <w:i/>
        </w:rPr>
        <w:t>The standard indicates that the value blank ("") for the LockedField element means false.</w:t>
      </w:r>
    </w:p>
    <w:p w:rsidR="00024C0A" w:rsidRDefault="00694C0F">
      <w:pPr>
        <w:pStyle w:val="Definition-Field2"/>
      </w:pPr>
      <w:r>
        <w:t>Office considers blank to be true for the LockedField element.</w:t>
      </w:r>
    </w:p>
    <w:p w:rsidR="00024C0A" w:rsidRDefault="00694C0F">
      <w:pPr>
        <w:pStyle w:val="Definition-Field"/>
      </w:pPr>
      <w:r>
        <w:t xml:space="preserve">e.   </w:t>
      </w:r>
      <w:r>
        <w:rPr>
          <w:i/>
        </w:rPr>
        <w:t>The standard indicates that the value t means true.</w:t>
      </w:r>
    </w:p>
    <w:p w:rsidR="00024C0A" w:rsidRDefault="00694C0F">
      <w:pPr>
        <w:pStyle w:val="Definition-Field2"/>
      </w:pPr>
      <w:r>
        <w:t>Office considers the value t to me</w:t>
      </w:r>
      <w:r>
        <w:t>an false for the LockedField element.</w:t>
      </w:r>
    </w:p>
    <w:p w:rsidR="00024C0A" w:rsidRDefault="00694C0F">
      <w:pPr>
        <w:pStyle w:val="Heading3"/>
      </w:pPr>
      <w:bookmarkStart w:id="3671" w:name="section_c9af80fa3ee44a79ace64fd46ff83957"/>
      <w:bookmarkStart w:id="3672" w:name="_Toc12261896"/>
      <w:r>
        <w:t>Part 4 Section 19.2.2.20, OLEObject (Embedded OLE Object)</w:t>
      </w:r>
      <w:bookmarkEnd w:id="3671"/>
      <w:bookmarkEnd w:id="3672"/>
      <w:r>
        <w:fldChar w:fldCharType="begin"/>
      </w:r>
      <w:r>
        <w:instrText xml:space="preserve"> XE "OLEObject (Embedded OLE Object)"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024C0A" w:rsidRDefault="00694C0F">
      <w:pPr>
        <w:pStyle w:val="Definition-Field"/>
      </w:pPr>
      <w:r>
        <w:t xml:space="preserve">a.   </w:t>
      </w:r>
      <w:r>
        <w:rPr>
          <w:i/>
        </w:rPr>
        <w:t>The standard implies that the ObjectID attribute is used for all embedded objects.</w:t>
      </w:r>
    </w:p>
    <w:p w:rsidR="00024C0A" w:rsidRDefault="00694C0F">
      <w:pPr>
        <w:pStyle w:val="Definition-Field2"/>
      </w:pPr>
      <w:r>
        <w:t>Office does not support the ObjectID attribute for linked objects.</w:t>
      </w:r>
    </w:p>
    <w:p w:rsidR="00024C0A" w:rsidRDefault="00694C0F">
      <w:pPr>
        <w:pStyle w:val="Definition-Field"/>
      </w:pPr>
      <w:r>
        <w:t xml:space="preserve">b.   </w:t>
      </w:r>
      <w:r>
        <w:rPr>
          <w:i/>
        </w:rPr>
        <w:t>The standard indicates that</w:t>
      </w:r>
      <w:r>
        <w:rPr>
          <w:i/>
        </w:rPr>
        <w:t xml:space="preserve"> the value of the ObjectID attribute is a string, but does not specify a format.</w:t>
      </w:r>
    </w:p>
    <w:p w:rsidR="00024C0A" w:rsidRDefault="00694C0F">
      <w:pPr>
        <w:pStyle w:val="Definition-Field2"/>
      </w:pPr>
      <w:r>
        <w:t>Office formats the string value for the ObjectID attribute as starting with "_" followed by a number in the range 0-2147483647.</w:t>
      </w:r>
    </w:p>
    <w:p w:rsidR="00024C0A" w:rsidRDefault="00694C0F">
      <w:pPr>
        <w:pStyle w:val="Definition-Field"/>
      </w:pPr>
      <w:r>
        <w:t xml:space="preserve">c.   </w:t>
      </w:r>
      <w:r>
        <w:rPr>
          <w:i/>
        </w:rPr>
        <w:t>The standard indicates how the ObjectID at</w:t>
      </w:r>
      <w:r>
        <w:rPr>
          <w:i/>
        </w:rPr>
        <w:t>tribute is used.</w:t>
      </w:r>
    </w:p>
    <w:p w:rsidR="00024C0A" w:rsidRDefault="00694C0F">
      <w:pPr>
        <w:pStyle w:val="Definition-Field2"/>
      </w:pPr>
      <w:r>
        <w:t>Office generates a new value for the ObjectID attribute on each file save.</w:t>
      </w:r>
    </w:p>
    <w:p w:rsidR="00024C0A" w:rsidRDefault="00694C0F">
      <w:pPr>
        <w:pStyle w:val="Definition-Field"/>
      </w:pPr>
      <w:r>
        <w:t xml:space="preserve">d.   </w:t>
      </w:r>
      <w:r>
        <w:rPr>
          <w:i/>
        </w:rPr>
        <w:t>The standard indicates that the id, ObjectID, ProgID and ShapeID attributes are optional.</w:t>
      </w:r>
    </w:p>
    <w:p w:rsidR="00024C0A" w:rsidRDefault="00694C0F">
      <w:pPr>
        <w:pStyle w:val="Definition-Field2"/>
      </w:pPr>
      <w:r>
        <w:t>Office requires that the id, ObjectID, ProgID, and ShapeID attributes</w:t>
      </w:r>
      <w:r>
        <w:t xml:space="preserve"> be specified for the OLEObject element, or else the embedded object is converted to a static image.</w:t>
      </w:r>
    </w:p>
    <w:p w:rsidR="00024C0A" w:rsidRDefault="00694C0F">
      <w:pPr>
        <w:pStyle w:val="Heading3"/>
      </w:pPr>
      <w:bookmarkStart w:id="3673" w:name="section_5f6781486eee4abda61051e4240cbe7d"/>
      <w:bookmarkStart w:id="3674" w:name="_Toc12261897"/>
      <w:r>
        <w:t>Part 4 Section 19.2.2.21, proxy (Shape Reference)</w:t>
      </w:r>
      <w:bookmarkEnd w:id="3673"/>
      <w:bookmarkEnd w:id="3674"/>
      <w:r>
        <w:fldChar w:fldCharType="begin"/>
      </w:r>
      <w:r>
        <w:instrText xml:space="preserve"> XE "proxy (Shape Reference)" </w:instrText>
      </w:r>
      <w:r>
        <w:fldChar w:fldCharType="end"/>
      </w:r>
    </w:p>
    <w:p w:rsidR="00024C0A" w:rsidRDefault="00694C0F">
      <w:pPr>
        <w:pStyle w:val="Definition-Field"/>
      </w:pPr>
      <w:r>
        <w:t xml:space="preserve">a.   </w:t>
      </w:r>
      <w:r>
        <w:rPr>
          <w:i/>
        </w:rPr>
        <w:t xml:space="preserve">The standard states that the values of the start and end attributes </w:t>
      </w:r>
      <w:r>
        <w:rPr>
          <w:i/>
        </w:rPr>
        <w:t>are defined by the ST_TrueFalseBlank simple type.</w:t>
      </w:r>
    </w:p>
    <w:p w:rsidR="00024C0A" w:rsidRDefault="00694C0F">
      <w:pPr>
        <w:pStyle w:val="Definition-Field2"/>
      </w:pPr>
      <w:r>
        <w:t>Office restricts the value of these attributes type to be blank.</w:t>
      </w:r>
    </w:p>
    <w:p w:rsidR="00024C0A" w:rsidRDefault="00694C0F">
      <w:pPr>
        <w:pStyle w:val="Definition-Field"/>
      </w:pPr>
      <w:r>
        <w:t xml:space="preserve">b.   </w:t>
      </w:r>
      <w:r>
        <w:rPr>
          <w:i/>
        </w:rPr>
        <w:t>The standard states that the default value of the start and end attributes is false.</w:t>
      </w:r>
    </w:p>
    <w:p w:rsidR="00024C0A" w:rsidRDefault="00694C0F">
      <w:pPr>
        <w:pStyle w:val="Definition-Field2"/>
      </w:pPr>
      <w:r>
        <w:t>Office uses a default value of no value for these a</w:t>
      </w:r>
      <w:r>
        <w:t>ttributes.</w:t>
      </w:r>
    </w:p>
    <w:p w:rsidR="00024C0A" w:rsidRDefault="00694C0F">
      <w:pPr>
        <w:pStyle w:val="Definition-Field"/>
      </w:pPr>
      <w:r>
        <w:t xml:space="preserve">c.   </w:t>
      </w:r>
      <w:r>
        <w:rPr>
          <w:i/>
        </w:rPr>
        <w:t>The standard states that the connectloc attribute is optional.</w:t>
      </w:r>
    </w:p>
    <w:p w:rsidR="00024C0A" w:rsidRDefault="00694C0F">
      <w:pPr>
        <w:pStyle w:val="Definition-Field2"/>
      </w:pPr>
      <w:r>
        <w:t>Office requires this attribute.</w:t>
      </w:r>
    </w:p>
    <w:p w:rsidR="00024C0A" w:rsidRDefault="00694C0F">
      <w:pPr>
        <w:pStyle w:val="Definition-Field"/>
      </w:pPr>
      <w:r>
        <w:t xml:space="preserve">d.   </w:t>
      </w:r>
      <w:r>
        <w:rPr>
          <w:i/>
        </w:rPr>
        <w:t>The standard states that values of the idref attribute are defined by the XML Schema string datatype.</w:t>
      </w:r>
    </w:p>
    <w:p w:rsidR="00024C0A" w:rsidRDefault="00694C0F">
      <w:pPr>
        <w:pStyle w:val="Definition-Field2"/>
      </w:pPr>
      <w:r>
        <w:t>Office defines the values of the idref</w:t>
      </w:r>
      <w:r>
        <w:t xml:space="preserve"> attribute with the ST_ObjIDRef (</w:t>
      </w:r>
      <w:hyperlink w:anchor="Section_9fa89b60c362417d97158382b70c6275">
        <w:r>
          <w:rPr>
            <w:rStyle w:val="Hyperlink"/>
          </w:rPr>
          <w:t>§3.9.4, ST_ObjIDRef</w:t>
        </w:r>
      </w:hyperlink>
      <w:r>
        <w:t>) simple type.</w:t>
      </w:r>
    </w:p>
    <w:p w:rsidR="00024C0A" w:rsidRDefault="00694C0F">
      <w:pPr>
        <w:pStyle w:val="Definition-Field"/>
      </w:pPr>
      <w:r>
        <w:t xml:space="preserve">e.   </w:t>
      </w:r>
      <w:r>
        <w:rPr>
          <w:i/>
        </w:rPr>
        <w:t>The standard states that the idref attribute is optional.</w:t>
      </w:r>
    </w:p>
    <w:p w:rsidR="00024C0A" w:rsidRDefault="00694C0F">
      <w:pPr>
        <w:pStyle w:val="Definition-Field2"/>
      </w:pPr>
      <w:r>
        <w:t>Office requires this attribute.</w:t>
      </w:r>
    </w:p>
    <w:p w:rsidR="00024C0A" w:rsidRDefault="00694C0F">
      <w:pPr>
        <w:pStyle w:val="Heading3"/>
      </w:pPr>
      <w:bookmarkStart w:id="3675" w:name="section_2f8d7b7c53824e9e9365120a88a1eb5f"/>
      <w:bookmarkStart w:id="3676" w:name="_Toc12261898"/>
      <w:r>
        <w:lastRenderedPageBreak/>
        <w:t>Part 4 Section 19.2.2.22, r (Rule)</w:t>
      </w:r>
      <w:bookmarkEnd w:id="3675"/>
      <w:bookmarkEnd w:id="3676"/>
      <w:r>
        <w:fldChar w:fldCharType="begin"/>
      </w:r>
      <w:r>
        <w:instrText xml:space="preserve"> XE "r (Rule)" </w:instrText>
      </w:r>
      <w:r>
        <w:fldChar w:fldCharType="end"/>
      </w:r>
    </w:p>
    <w:p w:rsidR="00024C0A" w:rsidRDefault="00694C0F">
      <w:pPr>
        <w:pStyle w:val="Definition-Field"/>
      </w:pPr>
      <w:r>
        <w:t xml:space="preserve">a.   </w:t>
      </w:r>
      <w:r>
        <w:rPr>
          <w:i/>
        </w:rPr>
        <w:t>The standard indicates how the how attribute is used.</w:t>
      </w:r>
    </w:p>
    <w:p w:rsidR="00024C0A" w:rsidRDefault="00694C0F">
      <w:pPr>
        <w:pStyle w:val="Definition-Field2"/>
      </w:pPr>
      <w:r>
        <w:t>Office does not support the how attribute.</w:t>
      </w:r>
    </w:p>
    <w:p w:rsidR="00024C0A" w:rsidRDefault="00694C0F">
      <w:pPr>
        <w:pStyle w:val="Definition-Field"/>
      </w:pPr>
      <w:r>
        <w:t xml:space="preserve">b.   </w:t>
      </w:r>
      <w:r>
        <w:rPr>
          <w:i/>
        </w:rPr>
        <w:t>The standard places no restrictions on how the type attribute is used.</w:t>
      </w:r>
    </w:p>
    <w:p w:rsidR="00024C0A" w:rsidRDefault="00694C0F">
      <w:r>
        <w:t>Office requires that the s</w:t>
      </w:r>
      <w:r>
        <w:t xml:space="preserve">hape referenced by the </w:t>
      </w:r>
      <w:r>
        <w:rPr>
          <w:b/>
        </w:rPr>
        <w:t>idref</w:t>
      </w:r>
      <w:r>
        <w:t xml:space="preserve"> attribute match the rule type specified by this attribute. If the value is </w:t>
      </w:r>
      <w:r>
        <w:rPr>
          <w:i/>
        </w:rPr>
        <w:t>arc</w:t>
      </w:r>
      <w:r>
        <w:t xml:space="preserve">, </w:t>
      </w:r>
      <w:r>
        <w:rPr>
          <w:b/>
        </w:rPr>
        <w:t>idref</w:t>
      </w:r>
      <w:r>
        <w:t xml:space="preserve"> shall reference a valid shape that is an arc (the value of the shape’s </w:t>
      </w:r>
      <w:r>
        <w:rPr>
          <w:b/>
        </w:rPr>
        <w:t>spt</w:t>
      </w:r>
      <w:r>
        <w:t xml:space="preserve"> attribute is 19).  If the value is </w:t>
      </w:r>
      <w:r>
        <w:rPr>
          <w:i/>
        </w:rPr>
        <w:t>callout</w:t>
      </w:r>
      <w:r>
        <w:t xml:space="preserve">, </w:t>
      </w:r>
      <w:r>
        <w:rPr>
          <w:b/>
        </w:rPr>
        <w:t>idref</w:t>
      </w:r>
      <w:r>
        <w:t xml:space="preserve"> shall reference </w:t>
      </w:r>
      <w:r>
        <w:t xml:space="preserve">a valid shape that is a callout.  If the value is </w:t>
      </w:r>
      <w:r>
        <w:rPr>
          <w:i/>
        </w:rPr>
        <w:t>connector</w:t>
      </w:r>
      <w:r>
        <w:t xml:space="preserve">, </w:t>
      </w:r>
      <w:r>
        <w:rPr>
          <w:b/>
        </w:rPr>
        <w:t>idref</w:t>
      </w:r>
      <w:r>
        <w:t xml:space="preserve"> shall reference a valid shape that is a connector.</w:t>
      </w:r>
    </w:p>
    <w:p w:rsidR="00024C0A" w:rsidRDefault="00694C0F">
      <w:pPr>
        <w:pStyle w:val="Definition-Field"/>
      </w:pPr>
      <w:r>
        <w:t xml:space="preserve">c.   </w:t>
      </w:r>
      <w:r>
        <w:rPr>
          <w:i/>
        </w:rPr>
        <w:t>The standard indicates that align is valid value for the type attribute.</w:t>
      </w:r>
    </w:p>
    <w:p w:rsidR="00024C0A" w:rsidRDefault="00694C0F">
      <w:pPr>
        <w:pStyle w:val="Definition-Field2"/>
      </w:pPr>
      <w:r>
        <w:t>Office does not support the align value for the type attribu</w:t>
      </w:r>
      <w:r>
        <w:t>te.</w:t>
      </w:r>
    </w:p>
    <w:p w:rsidR="00024C0A" w:rsidRDefault="00694C0F">
      <w:pPr>
        <w:pStyle w:val="Definition-Field"/>
      </w:pPr>
      <w:r>
        <w:t xml:space="preserve">d.   </w:t>
      </w:r>
      <w:r>
        <w:rPr>
          <w:i/>
        </w:rPr>
        <w:t>The standard states that values of the idref attribute are defined by the XML Schema string datatype.</w:t>
      </w:r>
    </w:p>
    <w:p w:rsidR="00024C0A" w:rsidRDefault="00694C0F">
      <w:pPr>
        <w:pStyle w:val="Definition-Field2"/>
      </w:pPr>
      <w:r>
        <w:t>Office defines the values of the idref attribute with the ST_ObjIDRef (</w:t>
      </w:r>
      <w:hyperlink w:anchor="Section_9fa89b60c362417d97158382b70c6275">
        <w:r>
          <w:rPr>
            <w:rStyle w:val="Hyperlink"/>
          </w:rPr>
          <w:t>§3.9.4, ST_</w:t>
        </w:r>
        <w:r>
          <w:rPr>
            <w:rStyle w:val="Hyperlink"/>
          </w:rPr>
          <w:t>ObjIDRef</w:t>
        </w:r>
      </w:hyperlink>
      <w:r>
        <w:t>) simple type.</w:t>
      </w:r>
    </w:p>
    <w:p w:rsidR="00024C0A" w:rsidRDefault="00694C0F">
      <w:pPr>
        <w:pStyle w:val="Heading3"/>
      </w:pPr>
      <w:bookmarkStart w:id="3677" w:name="section_ae0cc08c38484098b29166f68bb21916"/>
      <w:bookmarkStart w:id="3678" w:name="_Toc12261899"/>
      <w:r>
        <w:t>Part 4 Section 19.2.2.24, rel (Diagram Relationship)</w:t>
      </w:r>
      <w:bookmarkEnd w:id="3677"/>
      <w:bookmarkEnd w:id="3678"/>
      <w:r>
        <w:fldChar w:fldCharType="begin"/>
      </w:r>
      <w:r>
        <w:instrText xml:space="preserve"> XE "rel (Diagram Relationship)" </w:instrText>
      </w:r>
      <w:r>
        <w:fldChar w:fldCharType="end"/>
      </w:r>
    </w:p>
    <w:p w:rsidR="00024C0A" w:rsidRDefault="00694C0F">
      <w:pPr>
        <w:pStyle w:val="Definition-Field"/>
      </w:pPr>
      <w:r>
        <w:t xml:space="preserve">a.   </w:t>
      </w:r>
      <w:r>
        <w:rPr>
          <w:i/>
        </w:rPr>
        <w:t>The standard places no restrictions on the kind of shape that is defined by the idcntr attribute.</w:t>
      </w:r>
    </w:p>
    <w:p w:rsidR="00024C0A" w:rsidRDefault="00694C0F">
      <w:pPr>
        <w:pStyle w:val="Definition-Field2"/>
      </w:pPr>
      <w:r>
        <w:t>Office requires that this shape be a conne</w:t>
      </w:r>
      <w:r>
        <w:t>ctor.</w:t>
      </w:r>
    </w:p>
    <w:p w:rsidR="00024C0A" w:rsidRDefault="00694C0F">
      <w:pPr>
        <w:pStyle w:val="Definition-Field"/>
      </w:pPr>
      <w:r>
        <w:t xml:space="preserve">b.   </w:t>
      </w:r>
      <w:r>
        <w:rPr>
          <w:i/>
        </w:rPr>
        <w:t>The standard does not explicitly state that the shape identified by the idcntr attribute must exist.</w:t>
      </w:r>
    </w:p>
    <w:p w:rsidR="00024C0A" w:rsidRDefault="00694C0F">
      <w:pPr>
        <w:pStyle w:val="Definition-Field2"/>
      </w:pPr>
      <w:r>
        <w:t>Office requires the shape identified by the idcntr attribute to exist.</w:t>
      </w:r>
    </w:p>
    <w:p w:rsidR="00024C0A" w:rsidRDefault="00694C0F">
      <w:pPr>
        <w:pStyle w:val="Definition-Field"/>
      </w:pPr>
      <w:r>
        <w:t xml:space="preserve">c.   </w:t>
      </w:r>
      <w:r>
        <w:rPr>
          <w:i/>
        </w:rPr>
        <w:t xml:space="preserve">The standard does not explicitly state that the shape identified by </w:t>
      </w:r>
      <w:r>
        <w:rPr>
          <w:i/>
        </w:rPr>
        <w:t>the idsrc attribute must exist.</w:t>
      </w:r>
    </w:p>
    <w:p w:rsidR="00024C0A" w:rsidRDefault="00694C0F">
      <w:pPr>
        <w:pStyle w:val="Definition-Field2"/>
      </w:pPr>
      <w:r>
        <w:t>Office requires the shape identified by the idsrc attribute to exist.</w:t>
      </w:r>
    </w:p>
    <w:p w:rsidR="00024C0A" w:rsidRDefault="00694C0F">
      <w:pPr>
        <w:pStyle w:val="Definition-Field"/>
      </w:pPr>
      <w:r>
        <w:t xml:space="preserve">d.   </w:t>
      </w:r>
      <w:r>
        <w:rPr>
          <w:i/>
        </w:rPr>
        <w:t>The standard does not explicitly state that the shape identified by the iddest attribute must exist.</w:t>
      </w:r>
    </w:p>
    <w:p w:rsidR="00024C0A" w:rsidRDefault="00694C0F">
      <w:pPr>
        <w:pStyle w:val="Definition-Field2"/>
      </w:pPr>
      <w:r>
        <w:t>Office requires the shape identified by the idde</w:t>
      </w:r>
      <w:r>
        <w:t>st attribute must exist.</w:t>
      </w:r>
    </w:p>
    <w:p w:rsidR="00024C0A" w:rsidRDefault="00694C0F">
      <w:pPr>
        <w:pStyle w:val="Definition-Field"/>
      </w:pPr>
      <w:r>
        <w:t xml:space="preserve">e.   </w:t>
      </w:r>
      <w:r>
        <w:rPr>
          <w:i/>
        </w:rPr>
        <w:t>The standard indicates that the idsrc, iddest and idcntr attributes are specified as a string.</w:t>
      </w:r>
    </w:p>
    <w:p w:rsidR="00024C0A" w:rsidRDefault="00694C0F">
      <w:pPr>
        <w:pStyle w:val="Definition-Field2"/>
      </w:pPr>
      <w:r>
        <w:t>Office requires these attributes use a reference to an object ID in the form of an object name, as described in the ST_ObjIDRef (</w:t>
      </w:r>
      <w:hyperlink w:anchor="Section_9fa89b60c362417d97158382b70c6275">
        <w:r>
          <w:rPr>
            <w:rStyle w:val="Hyperlink"/>
          </w:rPr>
          <w:t>§3.9.4, ST_ObjIDRef</w:t>
        </w:r>
      </w:hyperlink>
      <w:r>
        <w:t>) simple type.</w:t>
      </w:r>
    </w:p>
    <w:p w:rsidR="00024C0A" w:rsidRDefault="00694C0F">
      <w:pPr>
        <w:pStyle w:val="Heading3"/>
      </w:pPr>
      <w:bookmarkStart w:id="3679" w:name="section_713e0d91289e4e45bf52a792848206c3"/>
      <w:bookmarkStart w:id="3680" w:name="_Toc12261900"/>
      <w:r>
        <w:t>Part 4 Section 19.2.2.26, right (Text Box Right Stroke)</w:t>
      </w:r>
      <w:bookmarkEnd w:id="3679"/>
      <w:bookmarkEnd w:id="3680"/>
      <w:r>
        <w:fldChar w:fldCharType="begin"/>
      </w:r>
      <w:r>
        <w:instrText xml:space="preserve"> XE "right (Text Box Right Stroke)" </w:instrText>
      </w:r>
      <w:r>
        <w:fldChar w:fldCharType="end"/>
      </w:r>
    </w:p>
    <w:p w:rsidR="00024C0A" w:rsidRDefault="00694C0F">
      <w:pPr>
        <w:pStyle w:val="Definition-Field2"/>
      </w:pPr>
      <w:r>
        <w:rPr>
          <w:i/>
        </w:rPr>
        <w:t>For additional notes that apply to this portion of the standard, pl</w:t>
      </w:r>
      <w:r>
        <w:rPr>
          <w:i/>
        </w:rPr>
        <w:t xml:space="preserve">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024C0A" w:rsidRDefault="00694C0F">
      <w:pPr>
        <w:pStyle w:val="Definition-Field"/>
      </w:pPr>
      <w:r>
        <w:t xml:space="preserve">a.   </w:t>
      </w:r>
      <w:r>
        <w:rPr>
          <w:i/>
        </w:rPr>
        <w:t>The standard indicates the conditions under which the right element is displayed.</w:t>
      </w:r>
    </w:p>
    <w:p w:rsidR="00024C0A" w:rsidRDefault="00694C0F">
      <w:r>
        <w:t>In Office, this element is only displaye</w:t>
      </w:r>
      <w:r>
        <w:t>d if all of the following conditions are met:</w:t>
      </w:r>
    </w:p>
    <w:p w:rsidR="00024C0A" w:rsidRDefault="00694C0F">
      <w:pPr>
        <w:pStyle w:val="ListParagraph"/>
        <w:numPr>
          <w:ilvl w:val="0"/>
          <w:numId w:val="187"/>
        </w:numPr>
        <w:contextualSpacing/>
      </w:pPr>
      <w:r>
        <w:t xml:space="preserve">The </w:t>
      </w:r>
      <w:r>
        <w:rPr>
          <w:b/>
        </w:rPr>
        <w:t>on</w:t>
      </w:r>
      <w:r>
        <w:t xml:space="preserve"> attribute is </w:t>
      </w:r>
      <w:r>
        <w:rPr>
          <w:i/>
        </w:rPr>
        <w:t>true</w:t>
      </w:r>
      <w:r>
        <w:t>.</w:t>
      </w:r>
    </w:p>
    <w:p w:rsidR="00024C0A" w:rsidRDefault="00694C0F">
      <w:pPr>
        <w:pStyle w:val="ListParagraph"/>
        <w:numPr>
          <w:ilvl w:val="0"/>
          <w:numId w:val="187"/>
        </w:numPr>
        <w:contextualSpacing/>
      </w:pPr>
      <w:r>
        <w:t xml:space="preserve">The shape’s path is closed with the </w:t>
      </w:r>
      <w:r>
        <w:rPr>
          <w:i/>
        </w:rPr>
        <w:t>x</w:t>
      </w:r>
      <w:r>
        <w:t xml:space="preserve"> command.  [Note: This implies that arrow heads should be defined on the stroke attribute. end note]</w:t>
      </w:r>
    </w:p>
    <w:p w:rsidR="00024C0A" w:rsidRDefault="00694C0F">
      <w:pPr>
        <w:pStyle w:val="ListParagraph"/>
        <w:numPr>
          <w:ilvl w:val="0"/>
          <w:numId w:val="187"/>
        </w:numPr>
        <w:contextualSpacing/>
      </w:pPr>
      <w:r>
        <w:lastRenderedPageBreak/>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64">
        <w:r>
          <w:rPr>
            <w:rStyle w:val="Hyperlink"/>
          </w:rPr>
          <w:t>[ISO/IEC-29500-4]</w:t>
        </w:r>
      </w:hyperlink>
      <w:r>
        <w:t xml:space="preserve"> §19.1.2.19; shape (Shape Definition)") satisfies this condition: </w:t>
      </w:r>
      <w:r>
        <w:rPr>
          <w:rStyle w:val="InlineCode"/>
        </w:rPr>
        <w:t>path="m,l,21600r21600,l21600,xe"</w:t>
      </w:r>
      <w:r>
        <w:t xml:space="preserve"> end example]</w:t>
      </w:r>
    </w:p>
    <w:p w:rsidR="00024C0A" w:rsidRDefault="00694C0F">
      <w:pPr>
        <w:pStyle w:val="ListParagraph"/>
        <w:numPr>
          <w:ilvl w:val="0"/>
          <w:numId w:val="187"/>
        </w:numPr>
        <w:contextualSpacing/>
      </w:pPr>
      <w:r>
        <w:t xml:space="preserve">The value of the shape’s </w:t>
      </w:r>
      <w:r>
        <w:rPr>
          <w:b/>
        </w:rPr>
        <w:t>spt</w:t>
      </w:r>
      <w:r>
        <w:t xml:space="preserve"> attribute is </w:t>
      </w:r>
      <w:r>
        <w:rPr>
          <w:i/>
        </w:rPr>
        <w:t>202</w:t>
      </w:r>
      <w:r>
        <w:t>.</w:t>
      </w:r>
    </w:p>
    <w:p w:rsidR="00024C0A" w:rsidRDefault="00694C0F">
      <w:pPr>
        <w:pStyle w:val="ListParagraph"/>
        <w:numPr>
          <w:ilvl w:val="0"/>
          <w:numId w:val="187"/>
        </w:numPr>
      </w:pPr>
      <w:r>
        <w:t>The shape is not stroked.</w:t>
      </w:r>
    </w:p>
    <w:p w:rsidR="00024C0A" w:rsidRDefault="00694C0F">
      <w:r>
        <w:t xml:space="preserve">If the </w:t>
      </w:r>
      <w:r>
        <w:rPr>
          <w:b/>
        </w:rPr>
        <w:t>on</w:t>
      </w:r>
      <w:r>
        <w:t xml:space="preserve"> attribute is </w:t>
      </w:r>
      <w:r>
        <w:rPr>
          <w:i/>
        </w:rPr>
        <w:t>false</w:t>
      </w:r>
      <w:r>
        <w:t xml:space="preserve"> or not speci</w:t>
      </w:r>
      <w:r>
        <w:t>fied, the border is not shown.</w:t>
      </w:r>
    </w:p>
    <w:p w:rsidR="00024C0A" w:rsidRDefault="00694C0F">
      <w:r>
        <w:t>[Note: The shape is not stroked if one of the following conditions is true:</w:t>
      </w:r>
    </w:p>
    <w:p w:rsidR="00024C0A" w:rsidRDefault="00694C0F">
      <w:pPr>
        <w:pStyle w:val="ListParagraph"/>
        <w:numPr>
          <w:ilvl w:val="0"/>
          <w:numId w:val="188"/>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024C0A" w:rsidRDefault="00694C0F">
      <w:pPr>
        <w:pStyle w:val="ListParagraph"/>
        <w:numPr>
          <w:ilvl w:val="0"/>
          <w:numId w:val="188"/>
        </w:numPr>
        <w:contextualSpacing/>
      </w:pPr>
      <w:r>
        <w:t xml:space="preserve">The </w:t>
      </w:r>
      <w:r>
        <w:rPr>
          <w:b/>
        </w:rPr>
        <w:t>on</w:t>
      </w:r>
      <w:r>
        <w:t xml:space="preserve"> attribute of the</w:t>
      </w:r>
      <w:r>
        <w:t xml:space="preserve"> </w:t>
      </w:r>
      <w:r>
        <w:rPr>
          <w:b/>
        </w:rPr>
        <w:t>stroke</w:t>
      </w:r>
      <w:r>
        <w:t xml:space="preserve"> element is absent and the value of the shape’s </w:t>
      </w:r>
      <w:r>
        <w:rPr>
          <w:b/>
        </w:rPr>
        <w:t>stroked</w:t>
      </w:r>
      <w:r>
        <w:t xml:space="preserve"> attribute is </w:t>
      </w:r>
      <w:r>
        <w:rPr>
          <w:i/>
        </w:rPr>
        <w:t>false</w:t>
      </w:r>
      <w:r>
        <w:t>.</w:t>
      </w:r>
    </w:p>
    <w:p w:rsidR="00024C0A" w:rsidRDefault="00694C0F">
      <w:pPr>
        <w:pStyle w:val="ListParagraph"/>
        <w:numPr>
          <w:ilvl w:val="0"/>
          <w:numId w:val="188"/>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w:t>
      </w:r>
      <w:r>
        <w:t xml:space="preserve"> §19.1.2.20; shapetype (Shape Template)") is </w:t>
      </w:r>
      <w:r>
        <w:rPr>
          <w:i/>
        </w:rPr>
        <w:t>false</w:t>
      </w:r>
      <w:r>
        <w:t>.</w:t>
      </w:r>
    </w:p>
    <w:p w:rsidR="00024C0A" w:rsidRDefault="00694C0F">
      <w:r>
        <w:t>end note]</w:t>
      </w:r>
    </w:p>
    <w:p w:rsidR="00024C0A" w:rsidRDefault="00694C0F">
      <w:pPr>
        <w:pStyle w:val="Heading3"/>
      </w:pPr>
      <w:bookmarkStart w:id="3681" w:name="section_30394e5a5c7e41c08891b4d803b59bb5"/>
      <w:bookmarkStart w:id="3682" w:name="_Toc12261901"/>
      <w:r>
        <w:t>Part 4 Section 19.2.2.28, shapedefaults (New Shape Defaults)</w:t>
      </w:r>
      <w:bookmarkEnd w:id="3681"/>
      <w:bookmarkEnd w:id="3682"/>
      <w:r>
        <w:fldChar w:fldCharType="begin"/>
      </w:r>
      <w:r>
        <w:instrText xml:space="preserve"> XE "shapedefaults (New Shape Defaults)"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§19.1.2.1(c-bb,ee-hh,mm,ddd, eee,ggg-lll,ttt-www,dddd-ffff,iiii, jjjj)</w:t>
        </w:r>
      </w:hyperlink>
      <w:r>
        <w:rPr>
          <w:i/>
        </w:rPr>
        <w:t xml:space="preserve">; </w:t>
      </w:r>
      <w:hyperlink w:anchor="Section_f5d19ada9960486786e99c187b7c8744">
        <w:r>
          <w:rPr>
            <w:rStyle w:val="Hyperlink"/>
          </w:rPr>
          <w:t>curve, §19.1.2.3(d)</w:t>
        </w:r>
      </w:hyperlink>
      <w:r>
        <w:rPr>
          <w:i/>
        </w:rPr>
        <w:t>.</w:t>
      </w:r>
    </w:p>
    <w:p w:rsidR="00024C0A" w:rsidRDefault="00694C0F">
      <w:pPr>
        <w:pStyle w:val="Definition-Field"/>
      </w:pPr>
      <w:r>
        <w:t xml:space="preserve">a.   </w:t>
      </w:r>
      <w:r>
        <w:rPr>
          <w:i/>
        </w:rPr>
        <w:t>The standard makes no mention of</w:t>
      </w:r>
      <w:r>
        <w:rPr>
          <w:i/>
        </w:rPr>
        <w:t xml:space="preserve"> an insetmode attribute.</w:t>
      </w:r>
    </w:p>
    <w:p w:rsidR="00024C0A" w:rsidRDefault="00694C0F">
      <w:pPr>
        <w:pStyle w:val="Definition-Field2"/>
      </w:pPr>
      <w:r>
        <w:t>Office uses this attribute to specify how inner text margins are obtained; its allowed values are defined by the ST_InsetMode simple type, with a default value of custom.</w:t>
      </w:r>
    </w:p>
    <w:p w:rsidR="00024C0A" w:rsidRDefault="00694C0F">
      <w:pPr>
        <w:pStyle w:val="Definition-Field"/>
      </w:pPr>
      <w:r>
        <w:t xml:space="preserve">b.   </w:t>
      </w:r>
      <w:r>
        <w:rPr>
          <w:i/>
        </w:rPr>
        <w:t>The standard makes no mention of an allowoverlap attrib</w:t>
      </w:r>
      <w:r>
        <w:rPr>
          <w:i/>
        </w:rPr>
        <w:t>ute.</w:t>
      </w:r>
    </w:p>
    <w:p w:rsidR="00024C0A" w:rsidRDefault="00694C0F">
      <w:pPr>
        <w:pStyle w:val="Definition-Field2"/>
      </w:pPr>
      <w:r>
        <w:t>Office uses this attribute to specify whether a shape can overlap another shape; its allowed values are true and false, where false will cause the shape to shift left or right to avoid an overlap.</w:t>
      </w:r>
    </w:p>
    <w:p w:rsidR="00024C0A" w:rsidRDefault="00694C0F">
      <w:pPr>
        <w:pStyle w:val="Definition-Field"/>
      </w:pPr>
      <w:r>
        <w:t xml:space="preserve">c.   </w:t>
      </w:r>
      <w:r>
        <w:rPr>
          <w:i/>
        </w:rPr>
        <w:t>The standard does not state that the imagedata el</w:t>
      </w:r>
      <w:r>
        <w:rPr>
          <w:i/>
        </w:rPr>
        <w:t>ement is a valid child of the shapedefaults element.</w:t>
      </w:r>
    </w:p>
    <w:p w:rsidR="00024C0A" w:rsidRDefault="00694C0F">
      <w:pPr>
        <w:pStyle w:val="Definition-Field2"/>
      </w:pPr>
      <w:r>
        <w:t>Office allows the imagedata element to be a child of the shapedefaults element.</w:t>
      </w:r>
    </w:p>
    <w:p w:rsidR="00024C0A" w:rsidRDefault="00694C0F">
      <w:pPr>
        <w:pStyle w:val="Heading3"/>
      </w:pPr>
      <w:bookmarkStart w:id="3683" w:name="section_a836922427e94270a02db1c710aa8bcb"/>
      <w:bookmarkStart w:id="3684" w:name="_Toc12261902"/>
      <w:r>
        <w:t>Part 4 Section 19.2.2.29, shapelayout (Shape Layout Properties)</w:t>
      </w:r>
      <w:bookmarkEnd w:id="3683"/>
      <w:bookmarkEnd w:id="3684"/>
      <w:r>
        <w:fldChar w:fldCharType="begin"/>
      </w:r>
      <w:r>
        <w:instrText xml:space="preserve"> XE "shapelayout (Shape Layout Properties)" </w:instrText>
      </w:r>
      <w:r>
        <w:fldChar w:fldCharType="end"/>
      </w:r>
    </w:p>
    <w:p w:rsidR="00024C0A" w:rsidRDefault="00694C0F">
      <w:pPr>
        <w:pStyle w:val="Definition-Field2"/>
      </w:pPr>
      <w:r>
        <w:rPr>
          <w:i/>
        </w:rPr>
        <w:t>For additiona</w:t>
      </w:r>
      <w:r>
        <w:rPr>
          <w:i/>
        </w:rPr>
        <w:t xml:space="preserve">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w:t>
      </w:r>
    </w:p>
    <w:p w:rsidR="00024C0A" w:rsidRDefault="00694C0F">
      <w:pPr>
        <w:pStyle w:val="Heading3"/>
      </w:pPr>
      <w:bookmarkStart w:id="3685" w:name="section_16a6934dddaf47e99b2ade1f45ded0f9"/>
      <w:bookmarkStart w:id="3686" w:name="_Toc12261903"/>
      <w:r>
        <w:t>Part 4 Section 19.2.2.30, signatureline (Digital Signature Line)</w:t>
      </w:r>
      <w:bookmarkEnd w:id="3685"/>
      <w:bookmarkEnd w:id="3686"/>
      <w:r>
        <w:fldChar w:fldCharType="begin"/>
      </w:r>
      <w:r>
        <w:instrText xml:space="preserve"> XE "signatureline (Digital Signature Line)" </w:instrText>
      </w:r>
      <w:r>
        <w:fldChar w:fldCharType="end"/>
      </w:r>
    </w:p>
    <w:p w:rsidR="00024C0A" w:rsidRDefault="00694C0F">
      <w:pPr>
        <w:pStyle w:val="Definition-Field2"/>
      </w:pPr>
      <w:r>
        <w:rPr>
          <w:i/>
        </w:rPr>
        <w:t xml:space="preserve">For additional notes that apply to this portion of the standard, please </w:t>
      </w:r>
      <w:r>
        <w:rPr>
          <w:i/>
        </w:rPr>
        <w:t xml:space="preserve">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w:t>
        </w:r>
        <w:r>
          <w:rPr>
            <w:rStyle w:val="Hyperlink"/>
          </w:rPr>
          <w:t>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024C0A" w:rsidRDefault="00694C0F">
      <w:pPr>
        <w:pStyle w:val="Definition-Field"/>
      </w:pPr>
      <w:r>
        <w:t xml:space="preserve">a.   </w:t>
      </w:r>
      <w:r>
        <w:rPr>
          <w:i/>
        </w:rPr>
        <w:t>The standard indicates the default value for the issignatureline attribute is true.</w:t>
      </w:r>
    </w:p>
    <w:p w:rsidR="00024C0A" w:rsidRDefault="00694C0F">
      <w:pPr>
        <w:pStyle w:val="Definition-Field2"/>
      </w:pPr>
      <w:r>
        <w:t>In Office, the default value or the issignatureline attribute is false.</w:t>
      </w:r>
    </w:p>
    <w:p w:rsidR="00024C0A" w:rsidRDefault="00694C0F">
      <w:pPr>
        <w:pStyle w:val="Definition-Field"/>
      </w:pPr>
      <w:r>
        <w:t xml:space="preserve">b.   </w:t>
      </w:r>
      <w:r>
        <w:rPr>
          <w:i/>
        </w:rPr>
        <w:t>The stan</w:t>
      </w:r>
      <w:r>
        <w:rPr>
          <w:i/>
        </w:rPr>
        <w:t>dard does not restrict the number of instances of this element.</w:t>
      </w:r>
    </w:p>
    <w:p w:rsidR="00024C0A" w:rsidRDefault="00694C0F">
      <w:pPr>
        <w:pStyle w:val="Definition-Field2"/>
      </w:pPr>
      <w:r>
        <w:lastRenderedPageBreak/>
        <w:t>Office allows at most only one instance of the signatureline element in each place where it can be used.</w:t>
      </w:r>
    </w:p>
    <w:p w:rsidR="00024C0A" w:rsidRDefault="00694C0F">
      <w:pPr>
        <w:pStyle w:val="Heading3"/>
      </w:pPr>
      <w:bookmarkStart w:id="3687" w:name="section_c35e498b1fca43f89b79e7646cb54ddf"/>
      <w:bookmarkStart w:id="3688" w:name="_Toc12261904"/>
      <w:r>
        <w:t>Part 4 Section 19.2.2.31, skew (Skew Transform)</w:t>
      </w:r>
      <w:bookmarkEnd w:id="3687"/>
      <w:bookmarkEnd w:id="3688"/>
      <w:r>
        <w:fldChar w:fldCharType="begin"/>
      </w:r>
      <w:r>
        <w:instrText xml:space="preserve"> XE "skew (Skew Transform)"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w:t>
        </w:r>
        <w:r>
          <w:rPr>
            <w:rStyle w:val="Hyperlink"/>
          </w:rPr>
          <w:t>nd, §17.2.1(a)</w:t>
        </w:r>
      </w:hyperlink>
      <w:r>
        <w:rPr>
          <w:i/>
        </w:rPr>
        <w:t xml:space="preserve">; </w:t>
      </w:r>
      <w:hyperlink w:anchor="Section_5dab8b917bfb495a9ed59068ef74998d">
        <w:r>
          <w:rPr>
            <w:rStyle w:val="Hyperlink"/>
          </w:rPr>
          <w:t>group, §19.1.2.7(a)</w:t>
        </w:r>
      </w:hyperlink>
      <w:r>
        <w:rPr>
          <w:i/>
        </w:rPr>
        <w:t>.</w:t>
      </w:r>
    </w:p>
    <w:p w:rsidR="00024C0A" w:rsidRDefault="00694C0F">
      <w:pPr>
        <w:pStyle w:val="Definition-Field"/>
      </w:pPr>
      <w:r>
        <w:t xml:space="preserve">a.   </w:t>
      </w:r>
      <w:r>
        <w:rPr>
          <w:i/>
        </w:rPr>
        <w:t>The standard does not specify bounds for the matrix attribute.</w:t>
      </w:r>
    </w:p>
    <w:p w:rsidR="00024C0A" w:rsidRDefault="00694C0F">
      <w:pPr>
        <w:pStyle w:val="Definition-Field2"/>
      </w:pPr>
      <w:r>
        <w:t>Office uses bounds of -2147483644f and 2147483647f  for the matrix attribute.</w:t>
      </w:r>
    </w:p>
    <w:p w:rsidR="00024C0A" w:rsidRDefault="00694C0F">
      <w:pPr>
        <w:pStyle w:val="Definition-Field"/>
      </w:pPr>
      <w:r>
        <w:t xml:space="preserve">b.   </w:t>
      </w:r>
      <w:r>
        <w:rPr>
          <w:i/>
        </w:rPr>
        <w:t>The s</w:t>
      </w:r>
      <w:r>
        <w:rPr>
          <w:i/>
        </w:rPr>
        <w:t>tandard does not indicate how the matrix attribute is applied to the shape.</w:t>
      </w:r>
    </w:p>
    <w:p w:rsidR="00024C0A" w:rsidRDefault="00694C0F">
      <w:r>
        <w:t>Office applies this matrix to a point in the following way.</w:t>
      </w:r>
    </w:p>
    <w:p w:rsidR="00024C0A" w:rsidRDefault="00694C0F">
      <w:r>
        <w:t xml:space="preserve">Let </w:t>
      </w:r>
      <w:r>
        <w:rPr>
          <w:noProof/>
        </w:rPr>
        <w:drawing>
          <wp:inline distT="0" distB="0" distL="0" distR="0">
            <wp:extent cx="85725" cy="171450"/>
            <wp:effectExtent l="0" t="0" r="0" b="0"/>
            <wp:docPr id="17" name="Picture 1" descr=" Variable Q" title=" 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f-0000-0000-0000-000000000000" descr=" Variable Q" title=" Variable Q"/>
                    <pic:cNvPicPr>
                      <a:picLocks noChangeAspect="1" noChangeArrowheads="1"/>
                    </pic:cNvPicPr>
                  </pic:nvPicPr>
                  <pic:blipFill>
                    <a:blip r:embed="rId240"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19" name="Picture 1" descr="Equation: Q = a vector consisting of 3 elements. Column 1 contains x, column 2 contains  y, column 3 contains 1" title="Eq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0-0000-0000-0000-000000000000" descr="Equation: Q = a vector consisting of 3 elements. Column 1 contains x, column 2 contains  y, column 3 contains 1" title="Equation "/>
                    <pic:cNvPicPr>
                      <a:picLocks noChangeAspect="1" noChangeArrowheads="1"/>
                    </pic:cNvPicPr>
                  </pic:nvPicPr>
                  <pic:blipFill>
                    <a:blip r:embed="rId241"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024C0A" w:rsidRDefault="00694C0F">
      <w:r>
        <w:t xml:space="preserve">Let </w:t>
      </w:r>
      <w:r>
        <w:rPr>
          <w:noProof/>
        </w:rPr>
        <w:drawing>
          <wp:inline distT="0" distB="0" distL="0" distR="0">
            <wp:extent cx="790575" cy="466724"/>
            <wp:effectExtent l="0" t="0" r="0" b="0"/>
            <wp:docPr id="20" name="Picture 1" descr=" 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1-0000-0000-0000-000000000000" descr=" Equation: F = Q times a vector consisting of 3 elements. 1 over P sub x 1 over P sub y, and 1" title="Equation"/>
                    <pic:cNvPicPr>
                      <a:picLocks noChangeAspect="1" noChangeArrowheads="1"/>
                    </pic:cNvPicPr>
                  </pic:nvPicPr>
                  <pic:blipFill>
                    <a:blip r:embed="rId242"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16"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a-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43"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024C0A" w:rsidRDefault="00694C0F">
      <w:r>
        <w:t xml:space="preserve">A new point </w:t>
      </w:r>
      <w:r>
        <w:rPr>
          <w:noProof/>
        </w:rPr>
        <w:drawing>
          <wp:inline distT="0" distB="0" distL="0" distR="0">
            <wp:extent cx="114300" cy="171450"/>
            <wp:effectExtent l="0" t="0" r="0" b="0"/>
            <wp:docPr id="342015717"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b-0000-0000-0000-000000000000" descr="Q prime" title="Q prime"/>
                    <pic:cNvPicPr>
                      <a:picLocks noChangeAspect="1" noChangeArrowheads="1"/>
                    </pic:cNvPicPr>
                  </pic:nvPicPr>
                  <pic:blipFill>
                    <a:blip r:embed="rId244"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w:t>
      </w:r>
      <w:r>
        <w:t xml:space="preserve">alculated as </w:t>
      </w:r>
      <w:r>
        <w:rPr>
          <w:noProof/>
        </w:rPr>
        <w:drawing>
          <wp:inline distT="0" distB="0" distL="0" distR="0">
            <wp:extent cx="847725" cy="171450"/>
            <wp:effectExtent l="0" t="0" r="0" b="0"/>
            <wp:docPr id="342015718" name="Picture 1" descr="Equation for new point: Q prime = f times open parentheses Q times M closed parenthese"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c-0000-0000-0000-000000000000" descr="Equation for new point: Q prime = f times open parentheses Q times M closed parenthese" title="Equation for new point"/>
                    <pic:cNvPicPr>
                      <a:picLocks noChangeAspect="1" noChangeArrowheads="1"/>
                    </pic:cNvPicPr>
                  </pic:nvPicPr>
                  <pic:blipFill>
                    <a:blip r:embed="rId265" cstate="print"/>
                    <a:srcRect/>
                    <a:stretch>
                      <a:fillRect/>
                    </a:stretch>
                  </pic:blipFill>
                  <pic:spPr bwMode="auto">
                    <a:xfrm>
                      <a:off x="0" y="0"/>
                      <a:ext cx="847725" cy="171450"/>
                    </a:xfrm>
                    <a:prstGeom prst="rect">
                      <a:avLst/>
                    </a:prstGeom>
                    <a:noFill/>
                    <a:ln w="9525">
                      <a:noFill/>
                      <a:miter lim="800000"/>
                      <a:headEnd/>
                      <a:tailEnd/>
                    </a:ln>
                  </pic:spPr>
                </pic:pic>
              </a:graphicData>
            </a:graphic>
          </wp:inline>
        </w:drawing>
      </w:r>
      <w:r>
        <w:t>.</w:t>
      </w:r>
    </w:p>
    <w:p w:rsidR="00024C0A" w:rsidRDefault="00694C0F">
      <w:r>
        <w:t xml:space="preserve">The origin for the coordinate system used here is defined by the </w:t>
      </w:r>
      <w:r>
        <w:rPr>
          <w:b/>
        </w:rPr>
        <w:t>origin</w:t>
      </w:r>
      <w:r>
        <w:t xml:space="preserve"> attribute, which is dependent on the height and width of the shape.</w:t>
      </w:r>
    </w:p>
    <w:p w:rsidR="00024C0A" w:rsidRDefault="00694C0F">
      <w:pPr>
        <w:pStyle w:val="Definition-Field"/>
      </w:pPr>
      <w:r>
        <w:t xml:space="preserve">c.   </w:t>
      </w:r>
      <w:r>
        <w:rPr>
          <w:i/>
        </w:rPr>
        <w:t>The standard does not restrict the number of instances of this element.</w:t>
      </w:r>
    </w:p>
    <w:p w:rsidR="00024C0A" w:rsidRDefault="00694C0F">
      <w:pPr>
        <w:pStyle w:val="Definition-Field2"/>
      </w:pPr>
      <w:r>
        <w:t xml:space="preserve">Office allows at most </w:t>
      </w:r>
      <w:r>
        <w:t>only one instance of the skew element in each place where it can be used.</w:t>
      </w:r>
    </w:p>
    <w:p w:rsidR="00024C0A" w:rsidRDefault="00694C0F">
      <w:pPr>
        <w:pStyle w:val="Definition-Field"/>
      </w:pPr>
      <w:r>
        <w:t xml:space="preserve">d.   </w:t>
      </w:r>
      <w:r>
        <w:rPr>
          <w:i/>
        </w:rPr>
        <w:t>The standard does not state how to handle the case where p_x and p_y are both 0.</w:t>
      </w:r>
    </w:p>
    <w:p w:rsidR="00024C0A" w:rsidRDefault="00694C0F">
      <w:r>
        <w:t xml:space="preserve">Office sets </w:t>
      </w:r>
      <w:r>
        <w:rPr>
          <w:noProof/>
        </w:rPr>
        <w:drawing>
          <wp:inline distT="0" distB="0" distL="0" distR="0">
            <wp:extent cx="304800" cy="171450"/>
            <wp:effectExtent l="0" t="0" r="0" b="0"/>
            <wp:docPr id="342015719" name="Picture 1" descr="Equation: f = 1" title="Equation: f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2-0000-0000-0000-000000000000" descr="Equation: f = 1" title="Equation: f = 1"/>
                    <pic:cNvPicPr>
                      <a:picLocks noChangeAspect="1" noChangeArrowheads="1"/>
                    </pic:cNvPicPr>
                  </pic:nvPicPr>
                  <pic:blipFill>
                    <a:blip r:embed="rId248"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 xml:space="preserve"> when if </w:t>
      </w:r>
      <w:r>
        <w:rPr>
          <w:noProof/>
        </w:rPr>
        <w:drawing>
          <wp:inline distT="0" distB="0" distL="0" distR="0">
            <wp:extent cx="123824" cy="171450"/>
            <wp:effectExtent l="0" t="0" r="0" b="0"/>
            <wp:docPr id="342015720" name="Picture 1" descr="P sub X" title="P sub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3-0000-0000-0000-000000000000" descr="P sub X" title="P sub X"/>
                    <pic:cNvPicPr>
                      <a:picLocks noChangeAspect="1" noChangeArrowheads="1"/>
                    </pic:cNvPicPr>
                  </pic:nvPicPr>
                  <pic:blipFill>
                    <a:blip r:embed="rId266" cstate="print"/>
                    <a:srcRect/>
                    <a:stretch>
                      <a:fillRect/>
                    </a:stretch>
                  </pic:blipFill>
                  <pic:spPr bwMode="auto">
                    <a:xfrm>
                      <a:off x="0" y="0"/>
                      <a:ext cx="123824"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123824" cy="190500"/>
            <wp:effectExtent l="0" t="0" r="0" b="0"/>
            <wp:docPr id="342015721" name="Picture 1" descr="P sub Y" title="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4-0000-0000-0000-000000000000" descr="P sub Y" title="P sub Y"/>
                    <pic:cNvPicPr>
                      <a:picLocks noChangeAspect="1" noChangeArrowheads="1"/>
                    </pic:cNvPicPr>
                  </pic:nvPicPr>
                  <pic:blipFill>
                    <a:blip r:embed="rId267" cstate="print"/>
                    <a:srcRect/>
                    <a:stretch>
                      <a:fillRect/>
                    </a:stretch>
                  </pic:blipFill>
                  <pic:spPr bwMode="auto">
                    <a:xfrm>
                      <a:off x="0" y="0"/>
                      <a:ext cx="123824" cy="190500"/>
                    </a:xfrm>
                    <a:prstGeom prst="rect">
                      <a:avLst/>
                    </a:prstGeom>
                    <a:noFill/>
                    <a:ln w="9525">
                      <a:noFill/>
                      <a:miter lim="800000"/>
                      <a:headEnd/>
                      <a:tailEnd/>
                    </a:ln>
                  </pic:spPr>
                </pic:pic>
              </a:graphicData>
            </a:graphic>
          </wp:inline>
        </w:drawing>
      </w:r>
      <w:r>
        <w:t>are 0.</w:t>
      </w:r>
    </w:p>
    <w:p w:rsidR="00024C0A" w:rsidRDefault="00694C0F">
      <w:pPr>
        <w:pStyle w:val="Heading3"/>
      </w:pPr>
      <w:bookmarkStart w:id="3689" w:name="section_a252e0bc71cb40caaffba6f5e565083f"/>
      <w:bookmarkStart w:id="3690" w:name="_Toc12261905"/>
      <w:r>
        <w:t>Part 4 Section 19.2.2.32, top (Text Box Top Stroke)</w:t>
      </w:r>
      <w:bookmarkEnd w:id="3689"/>
      <w:bookmarkEnd w:id="3690"/>
      <w:r>
        <w:fldChar w:fldCharType="begin"/>
      </w:r>
      <w:r>
        <w:instrText xml:space="preserve"> XE "top </w:instrText>
      </w:r>
      <w:r>
        <w:instrText xml:space="preserve">(Text Box Top Stroke)"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024C0A" w:rsidRDefault="00694C0F">
      <w:pPr>
        <w:pStyle w:val="Definition-Field"/>
      </w:pPr>
      <w:r>
        <w:t xml:space="preserve">a.   </w:t>
      </w:r>
      <w:r>
        <w:rPr>
          <w:i/>
        </w:rPr>
        <w:t>The standard indicates the conditio</w:t>
      </w:r>
      <w:r>
        <w:rPr>
          <w:i/>
        </w:rPr>
        <w:t>ns under which the top element is displayed.</w:t>
      </w:r>
    </w:p>
    <w:p w:rsidR="00024C0A" w:rsidRDefault="00694C0F">
      <w:r>
        <w:t>In Office, this element is only displayed if all of the following conditions are met:</w:t>
      </w:r>
    </w:p>
    <w:p w:rsidR="00024C0A" w:rsidRDefault="00694C0F">
      <w:pPr>
        <w:pStyle w:val="ListParagraph"/>
        <w:numPr>
          <w:ilvl w:val="0"/>
          <w:numId w:val="189"/>
        </w:numPr>
        <w:contextualSpacing/>
      </w:pPr>
      <w:r>
        <w:t xml:space="preserve">The </w:t>
      </w:r>
      <w:r>
        <w:rPr>
          <w:b/>
        </w:rPr>
        <w:t>on</w:t>
      </w:r>
      <w:r>
        <w:t xml:space="preserve"> attribute is </w:t>
      </w:r>
      <w:r>
        <w:rPr>
          <w:i/>
        </w:rPr>
        <w:t>true</w:t>
      </w:r>
      <w:r>
        <w:t>.</w:t>
      </w:r>
    </w:p>
    <w:p w:rsidR="00024C0A" w:rsidRDefault="00694C0F">
      <w:pPr>
        <w:pStyle w:val="ListParagraph"/>
        <w:numPr>
          <w:ilvl w:val="0"/>
          <w:numId w:val="189"/>
        </w:numPr>
        <w:contextualSpacing/>
      </w:pPr>
      <w:r>
        <w:t xml:space="preserve">The shape’s path is closed with the </w:t>
      </w:r>
      <w:r>
        <w:rPr>
          <w:i/>
        </w:rPr>
        <w:t>x</w:t>
      </w:r>
      <w:r>
        <w:t xml:space="preserve"> command.  [Note: This implies that arrow heads should be defi</w:t>
      </w:r>
      <w:r>
        <w:t>ned on the stroke attribute. end note]</w:t>
      </w:r>
    </w:p>
    <w:p w:rsidR="00024C0A" w:rsidRDefault="00694C0F">
      <w:pPr>
        <w:pStyle w:val="ListParagraph"/>
        <w:numPr>
          <w:ilvl w:val="0"/>
          <w:numId w:val="189"/>
        </w:numPr>
        <w:contextualSpacing/>
      </w:pPr>
      <w:r>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68">
        <w:r>
          <w:rPr>
            <w:rStyle w:val="Hyperlink"/>
          </w:rPr>
          <w:t>[ISO/IEC-29500-4]</w:t>
        </w:r>
      </w:hyperlink>
      <w:r>
        <w:t xml:space="preserve"> §19.1.2.19; shape (Shape Definition)") satisfies this condition: </w:t>
      </w:r>
      <w:r>
        <w:rPr>
          <w:rStyle w:val="InlineCode"/>
        </w:rPr>
        <w:t>path="m,l,21600r21600,l21600,xe"</w:t>
      </w:r>
      <w:r>
        <w:t xml:space="preserve"> end example]</w:t>
      </w:r>
    </w:p>
    <w:p w:rsidR="00024C0A" w:rsidRDefault="00694C0F">
      <w:pPr>
        <w:pStyle w:val="ListParagraph"/>
        <w:numPr>
          <w:ilvl w:val="0"/>
          <w:numId w:val="189"/>
        </w:numPr>
        <w:contextualSpacing/>
      </w:pPr>
      <w:r>
        <w:t xml:space="preserve">The value of the shape’s </w:t>
      </w:r>
      <w:r>
        <w:rPr>
          <w:b/>
        </w:rPr>
        <w:t>spt</w:t>
      </w:r>
      <w:r>
        <w:t xml:space="preserve"> attribute is </w:t>
      </w:r>
      <w:r>
        <w:rPr>
          <w:i/>
        </w:rPr>
        <w:t>202</w:t>
      </w:r>
      <w:r>
        <w:t>.</w:t>
      </w:r>
    </w:p>
    <w:p w:rsidR="00024C0A" w:rsidRDefault="00694C0F">
      <w:pPr>
        <w:pStyle w:val="ListParagraph"/>
        <w:numPr>
          <w:ilvl w:val="0"/>
          <w:numId w:val="189"/>
        </w:numPr>
      </w:pPr>
      <w:r>
        <w:t>The shape is not stroked.</w:t>
      </w:r>
    </w:p>
    <w:p w:rsidR="00024C0A" w:rsidRDefault="00694C0F">
      <w:r>
        <w:t xml:space="preserve">If the </w:t>
      </w:r>
      <w:r>
        <w:rPr>
          <w:b/>
        </w:rPr>
        <w:t>on</w:t>
      </w:r>
      <w:r>
        <w:t xml:space="preserve"> attribute is </w:t>
      </w:r>
      <w:r>
        <w:rPr>
          <w:i/>
        </w:rPr>
        <w:t>false</w:t>
      </w:r>
      <w:r>
        <w:t xml:space="preserve"> or not specified, the border is not shown.</w:t>
      </w:r>
    </w:p>
    <w:p w:rsidR="00024C0A" w:rsidRDefault="00694C0F">
      <w:r>
        <w:lastRenderedPageBreak/>
        <w:t>[Note: The shape is not stroked if one of the following conditions is true:</w:t>
      </w:r>
    </w:p>
    <w:p w:rsidR="00024C0A" w:rsidRDefault="00694C0F">
      <w:pPr>
        <w:pStyle w:val="ListParagraph"/>
        <w:numPr>
          <w:ilvl w:val="0"/>
          <w:numId w:val="190"/>
        </w:numPr>
        <w:contextualSpacing/>
      </w:pPr>
      <w:r>
        <w:t xml:space="preserve">The value of the </w:t>
      </w:r>
      <w:r>
        <w:rPr>
          <w:b/>
        </w:rPr>
        <w:t>on</w:t>
      </w:r>
      <w:r>
        <w:t xml:space="preserve"> attribute of the </w:t>
      </w:r>
      <w:r>
        <w:rPr>
          <w:b/>
        </w:rPr>
        <w:t>stroke</w:t>
      </w:r>
      <w:r>
        <w:t xml:space="preserve"> element ("[ISO/IEC-29500-4] §19.1.2.21; stroke (Line Stroke Sett</w:t>
      </w:r>
      <w:r>
        <w:t xml:space="preserve">ings)") is </w:t>
      </w:r>
      <w:r>
        <w:rPr>
          <w:i/>
        </w:rPr>
        <w:t>false</w:t>
      </w:r>
      <w:r>
        <w:t>.</w:t>
      </w:r>
    </w:p>
    <w:p w:rsidR="00024C0A" w:rsidRDefault="00694C0F">
      <w:pPr>
        <w:pStyle w:val="ListParagraph"/>
        <w:numPr>
          <w:ilvl w:val="0"/>
          <w:numId w:val="190"/>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024C0A" w:rsidRDefault="00694C0F">
      <w:pPr>
        <w:pStyle w:val="ListParagraph"/>
        <w:numPr>
          <w:ilvl w:val="0"/>
          <w:numId w:val="190"/>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024C0A" w:rsidRDefault="00694C0F">
      <w:r>
        <w:t>end note]</w:t>
      </w:r>
    </w:p>
    <w:p w:rsidR="00024C0A" w:rsidRDefault="00694C0F">
      <w:pPr>
        <w:pStyle w:val="Heading3"/>
      </w:pPr>
      <w:bookmarkStart w:id="3691" w:name="section_8c617ecf08e444be9651baeb502cdb90"/>
      <w:bookmarkStart w:id="3692" w:name="_Toc12261906"/>
      <w:r>
        <w:t>Part 4 Section 19.2.3.3, ST_BWMode (Black And White Modes)</w:t>
      </w:r>
      <w:bookmarkEnd w:id="3691"/>
      <w:bookmarkEnd w:id="3692"/>
      <w:r>
        <w:fldChar w:fldCharType="begin"/>
      </w:r>
      <w:r>
        <w:instrText xml:space="preserve"> XE "ST_BWMode (Black And White Modes)" </w:instrText>
      </w:r>
      <w:r>
        <w:fldChar w:fldCharType="end"/>
      </w:r>
    </w:p>
    <w:p w:rsidR="00024C0A" w:rsidRDefault="00694C0F">
      <w:pPr>
        <w:pStyle w:val="Definition-Field"/>
      </w:pPr>
      <w:r>
        <w:t xml:space="preserve">a.   </w:t>
      </w:r>
      <w:r>
        <w:rPr>
          <w:i/>
        </w:rPr>
        <w:t>The standard lists hide as a vali</w:t>
      </w:r>
      <w:r>
        <w:rPr>
          <w:i/>
        </w:rPr>
        <w:t>d value.</w:t>
      </w:r>
    </w:p>
    <w:p w:rsidR="00024C0A" w:rsidRDefault="00694C0F">
      <w:pPr>
        <w:pStyle w:val="Definition-Field2"/>
      </w:pPr>
      <w:r>
        <w:t>Office does not support the hide enumeration value.</w:t>
      </w:r>
    </w:p>
    <w:p w:rsidR="00024C0A" w:rsidRDefault="00694C0F">
      <w:pPr>
        <w:pStyle w:val="Definition-Field"/>
      </w:pPr>
      <w:r>
        <w:t xml:space="preserve">b.   </w:t>
      </w:r>
      <w:r>
        <w:rPr>
          <w:i/>
        </w:rPr>
        <w:t>The standard states the name of the value that specifies light shades of gray only is lightGrayscale.</w:t>
      </w:r>
    </w:p>
    <w:p w:rsidR="00024C0A" w:rsidRDefault="00694C0F">
      <w:pPr>
        <w:pStyle w:val="Definition-Field2"/>
      </w:pPr>
      <w:r>
        <w:t>Office uses the name lightGrayScale for this value.</w:t>
      </w:r>
    </w:p>
    <w:p w:rsidR="00024C0A" w:rsidRDefault="00694C0F">
      <w:pPr>
        <w:pStyle w:val="Heading3"/>
      </w:pPr>
      <w:bookmarkStart w:id="3693" w:name="section_da476231647b46419fb6be577549a762"/>
      <w:bookmarkStart w:id="3694" w:name="_Toc12261907"/>
      <w:r>
        <w:t>Part 4 Section 19.2.3.4, ST_CalloutD</w:t>
      </w:r>
      <w:r>
        <w:t>rop (Callout Drop Location)</w:t>
      </w:r>
      <w:bookmarkEnd w:id="3693"/>
      <w:bookmarkEnd w:id="3694"/>
      <w:r>
        <w:fldChar w:fldCharType="begin"/>
      </w:r>
      <w:r>
        <w:instrText xml:space="preserve"> XE "ST_CalloutDrop (Callout Drop Location)" </w:instrText>
      </w:r>
      <w:r>
        <w:fldChar w:fldCharType="end"/>
      </w:r>
    </w:p>
    <w:p w:rsidR="00024C0A" w:rsidRDefault="00694C0F">
      <w:pPr>
        <w:pStyle w:val="Definition-Field"/>
      </w:pPr>
      <w:r>
        <w:t xml:space="preserve">a.   </w:t>
      </w:r>
      <w:r>
        <w:rPr>
          <w:i/>
        </w:rPr>
        <w:t>The standard does not specify enumeration values.</w:t>
      </w:r>
    </w:p>
    <w:p w:rsidR="00024C0A" w:rsidRDefault="00694C0F">
      <w:r>
        <w:t>Office supports the following enumeration values:</w:t>
      </w:r>
    </w:p>
    <w:tbl>
      <w:tblPr>
        <w:tblStyle w:val="Table-ShadedHeader"/>
        <w:tblW w:w="0" w:type="auto"/>
        <w:tblLook w:val="04A0" w:firstRow="1" w:lastRow="0" w:firstColumn="1" w:lastColumn="0" w:noHBand="0" w:noVBand="1"/>
      </w:tblPr>
      <w:tblGrid>
        <w:gridCol w:w="2745"/>
        <w:gridCol w:w="597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Enumeration Value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bottom</w:t>
            </w:r>
            <w:r>
              <w:t xml:space="preserve"> (Bottom placement)</w:t>
            </w:r>
          </w:p>
        </w:tc>
        <w:tc>
          <w:tcPr>
            <w:tcW w:w="0" w:type="auto"/>
            <w:vAlign w:val="center"/>
          </w:tcPr>
          <w:p w:rsidR="00024C0A" w:rsidRDefault="00694C0F">
            <w:pPr>
              <w:pStyle w:val="TableBodyText"/>
            </w:pPr>
            <w:r>
              <w:t xml:space="preserve">Specifies that the </w:t>
            </w:r>
            <w:r>
              <w:t>drop is positioned at the bottom of the shape.</w:t>
            </w:r>
          </w:p>
        </w:tc>
      </w:tr>
      <w:tr w:rsidR="00024C0A" w:rsidTr="00024C0A">
        <w:tc>
          <w:tcPr>
            <w:tcW w:w="0" w:type="auto"/>
            <w:vAlign w:val="center"/>
          </w:tcPr>
          <w:p w:rsidR="00024C0A" w:rsidRDefault="00694C0F">
            <w:pPr>
              <w:pStyle w:val="TableBodyText"/>
            </w:pPr>
            <w:r>
              <w:rPr>
                <w:b/>
              </w:rPr>
              <w:t>center</w:t>
            </w:r>
            <w:r>
              <w:t xml:space="preserve"> (Center placement)</w:t>
            </w:r>
          </w:p>
        </w:tc>
        <w:tc>
          <w:tcPr>
            <w:tcW w:w="0" w:type="auto"/>
            <w:vAlign w:val="center"/>
          </w:tcPr>
          <w:p w:rsidR="00024C0A" w:rsidRDefault="00694C0F">
            <w:pPr>
              <w:pStyle w:val="TableBodyText"/>
            </w:pPr>
            <w:r>
              <w:t>Specifies that the drop is positioned at the vertical center of the shape.</w:t>
            </w:r>
          </w:p>
        </w:tc>
      </w:tr>
      <w:tr w:rsidR="00024C0A" w:rsidTr="00024C0A">
        <w:tc>
          <w:tcPr>
            <w:tcW w:w="0" w:type="auto"/>
            <w:vAlign w:val="center"/>
          </w:tcPr>
          <w:p w:rsidR="00024C0A" w:rsidRDefault="00694C0F">
            <w:pPr>
              <w:pStyle w:val="TableBodyText"/>
            </w:pPr>
            <w:r>
              <w:rPr>
                <w:b/>
              </w:rPr>
              <w:t>top</w:t>
            </w:r>
            <w:r>
              <w:t xml:space="preserve"> (Top placement)</w:t>
            </w:r>
          </w:p>
        </w:tc>
        <w:tc>
          <w:tcPr>
            <w:tcW w:w="0" w:type="auto"/>
            <w:vAlign w:val="center"/>
          </w:tcPr>
          <w:p w:rsidR="00024C0A" w:rsidRDefault="00694C0F">
            <w:pPr>
              <w:pStyle w:val="TableBodyText"/>
            </w:pPr>
            <w:r>
              <w:t>Specifies that the drop is positioned at the top of the shape.</w:t>
            </w:r>
          </w:p>
        </w:tc>
      </w:tr>
      <w:tr w:rsidR="00024C0A" w:rsidTr="00024C0A">
        <w:tc>
          <w:tcPr>
            <w:tcW w:w="0" w:type="auto"/>
            <w:vAlign w:val="center"/>
          </w:tcPr>
          <w:p w:rsidR="00024C0A" w:rsidRDefault="00694C0F">
            <w:pPr>
              <w:pStyle w:val="TableBodyText"/>
            </w:pPr>
            <w:r>
              <w:rPr>
                <w:b/>
              </w:rPr>
              <w:t>user</w:t>
            </w:r>
            <w:r>
              <w:t xml:space="preserve"> (User-defined placement)</w:t>
            </w:r>
          </w:p>
        </w:tc>
        <w:tc>
          <w:tcPr>
            <w:tcW w:w="0" w:type="auto"/>
            <w:vAlign w:val="center"/>
          </w:tcPr>
          <w:p w:rsidR="00024C0A" w:rsidRDefault="00694C0F">
            <w:pPr>
              <w:pStyle w:val="TableBodyText"/>
            </w:pPr>
            <w:r>
              <w:t>Specifies that the drop position is determined by the user.</w:t>
            </w:r>
          </w:p>
        </w:tc>
      </w:tr>
    </w:tbl>
    <w:p w:rsidR="00024C0A" w:rsidRDefault="00024C0A"/>
    <w:p w:rsidR="00024C0A" w:rsidRDefault="00694C0F">
      <w:pPr>
        <w:pStyle w:val="Heading3"/>
      </w:pPr>
      <w:bookmarkStart w:id="3695" w:name="section_1f135f48bcf84e1ea0c1b1c87f553189"/>
      <w:bookmarkStart w:id="3696" w:name="_Toc12261908"/>
      <w:r>
        <w:t>Part 4 Section 19.2.3.14, ST_FillType (Shape Fill Type)</w:t>
      </w:r>
      <w:bookmarkEnd w:id="3695"/>
      <w:bookmarkEnd w:id="3696"/>
      <w:r>
        <w:fldChar w:fldCharType="begin"/>
      </w:r>
      <w:r>
        <w:instrText xml:space="preserve"> XE "ST_FillType (Shape Fill Type)" </w:instrText>
      </w:r>
      <w:r>
        <w:fldChar w:fldCharType="end"/>
      </w:r>
    </w:p>
    <w:p w:rsidR="00024C0A" w:rsidRDefault="00694C0F">
      <w:pPr>
        <w:pStyle w:val="Definition-Field"/>
      </w:pPr>
      <w:r>
        <w:t xml:space="preserve">a.   </w:t>
      </w:r>
      <w:r>
        <w:rPr>
          <w:i/>
        </w:rPr>
        <w:t>The standard indicates how the pattern enumeration value is used.</w:t>
      </w:r>
    </w:p>
    <w:p w:rsidR="00024C0A" w:rsidRDefault="00694C0F">
      <w:pPr>
        <w:pStyle w:val="Definition-Field2"/>
      </w:pPr>
      <w:r>
        <w:t>Office uses the fill colors but also tiles the fill image.</w:t>
      </w:r>
    </w:p>
    <w:p w:rsidR="00024C0A" w:rsidRDefault="00694C0F">
      <w:pPr>
        <w:pStyle w:val="Heading3"/>
      </w:pPr>
      <w:bookmarkStart w:id="3697" w:name="section_baf9ffb650d747c6944fdba3f307a332"/>
      <w:bookmarkStart w:id="3698" w:name="_Toc12261909"/>
      <w:r>
        <w:t>Part 4 Section 19.2.3.19, ST_OLELinkType (Embedded Object Alternate Image Request Types)</w:t>
      </w:r>
      <w:bookmarkEnd w:id="3697"/>
      <w:bookmarkEnd w:id="3698"/>
      <w:r>
        <w:fldChar w:fldCharType="begin"/>
      </w:r>
      <w:r>
        <w:instrText xml:space="preserve"> XE "ST_OLELinkType (Embedded Object Alternate Image Request Types)" </w:instrText>
      </w:r>
      <w:r>
        <w:fldChar w:fldCharType="end"/>
      </w:r>
    </w:p>
    <w:p w:rsidR="00024C0A" w:rsidRDefault="00694C0F">
      <w:pPr>
        <w:pStyle w:val="Definition-Field"/>
      </w:pPr>
      <w:r>
        <w:t xml:space="preserve">a.   </w:t>
      </w:r>
      <w:r>
        <w:rPr>
          <w:i/>
        </w:rPr>
        <w:t>The standard specifies these sup</w:t>
      </w:r>
      <w:r>
        <w:rPr>
          <w:i/>
        </w:rPr>
        <w:t>ported enumeration values: Bitmap, EnhancedMetaFile, Picture,  Jpeg, Png</w:t>
      </w:r>
    </w:p>
    <w:p w:rsidR="00024C0A" w:rsidRDefault="00694C0F">
      <w:pPr>
        <w:pStyle w:val="Definition-Field2"/>
      </w:pPr>
      <w:r>
        <w:t>Office supports only Bitmap, EnhancedMetaFile and Picture enumeration values, not Jpeg or Png.</w:t>
      </w:r>
    </w:p>
    <w:p w:rsidR="00024C0A" w:rsidRDefault="00694C0F">
      <w:pPr>
        <w:pStyle w:val="Heading3"/>
      </w:pPr>
      <w:bookmarkStart w:id="3699" w:name="section_d0a2b96f99034c8289c27e34cc52d020"/>
      <w:bookmarkStart w:id="3700" w:name="_Toc12261910"/>
      <w:r>
        <w:lastRenderedPageBreak/>
        <w:t>Part 4 Section 19.3.2.2, borderbottom (Bottom Border)</w:t>
      </w:r>
      <w:bookmarkEnd w:id="3699"/>
      <w:bookmarkEnd w:id="3700"/>
      <w:r>
        <w:fldChar w:fldCharType="begin"/>
      </w:r>
      <w:r>
        <w:instrText xml:space="preserve"> XE "borderbottom (Bottom Border)"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024C0A" w:rsidRDefault="00694C0F">
      <w:pPr>
        <w:pStyle w:val="Heading3"/>
      </w:pPr>
      <w:bookmarkStart w:id="3701" w:name="section_50efd17939e4450bb66ae0dd74d98853"/>
      <w:bookmarkStart w:id="3702" w:name="_Toc12261911"/>
      <w:r>
        <w:t>Part 4 Section 19.3.2.3, borderleft (Left Border)</w:t>
      </w:r>
      <w:bookmarkEnd w:id="3701"/>
      <w:bookmarkEnd w:id="3702"/>
      <w:r>
        <w:fldChar w:fldCharType="begin"/>
      </w:r>
      <w:r>
        <w:instrText xml:space="preserve"> XE "borderleft (Left Border)"</w:instrText>
      </w:r>
      <w:r>
        <w:instrText xml:space="preserv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024C0A" w:rsidRDefault="00694C0F">
      <w:pPr>
        <w:pStyle w:val="Heading3"/>
      </w:pPr>
      <w:bookmarkStart w:id="3703" w:name="section_6e4d3dcfc0e3410a84fa7a1ea06c6256"/>
      <w:bookmarkStart w:id="3704" w:name="_Toc12261912"/>
      <w:r>
        <w:t>Part 4 Section 19.3.2.4, borderright (Right Border)</w:t>
      </w:r>
      <w:bookmarkEnd w:id="3703"/>
      <w:bookmarkEnd w:id="3704"/>
      <w:r>
        <w:fldChar w:fldCharType="begin"/>
      </w:r>
      <w:r>
        <w:instrText xml:space="preserve"> XE "borderright (Right Bor</w:instrText>
      </w:r>
      <w:r>
        <w:instrText xml:space="preserve">der)"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024C0A" w:rsidRDefault="00694C0F">
      <w:pPr>
        <w:pStyle w:val="Heading3"/>
      </w:pPr>
      <w:bookmarkStart w:id="3705" w:name="section_81843e90dc284502a2a4ec384c2f60b5"/>
      <w:bookmarkStart w:id="3706" w:name="_Toc12261913"/>
      <w:r>
        <w:t>Part 4 Section 19.3.2.5, bordertop (Top Border)</w:t>
      </w:r>
      <w:bookmarkEnd w:id="3705"/>
      <w:bookmarkEnd w:id="3706"/>
      <w:r>
        <w:fldChar w:fldCharType="begin"/>
      </w:r>
      <w:r>
        <w:instrText xml:space="preserve"> XE "bordertop (Top Border</w:instrText>
      </w:r>
      <w:r>
        <w:instrText xml:space="preserve">)" </w:instrText>
      </w:r>
      <w:r>
        <w:fldChar w:fldCharType="end"/>
      </w:r>
    </w:p>
    <w:p w:rsidR="00024C0A" w:rsidRDefault="00694C0F">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024C0A" w:rsidRDefault="00694C0F">
      <w:pPr>
        <w:pStyle w:val="Heading3"/>
      </w:pPr>
      <w:bookmarkStart w:id="3707" w:name="section_8b6f1c0c02834e0abf36746e029bd1de"/>
      <w:bookmarkStart w:id="3708" w:name="_Toc12261914"/>
      <w:r>
        <w:t>Part 4 Section 19.3.2.6, wrap (Text Wrapping)</w:t>
      </w:r>
      <w:bookmarkEnd w:id="3707"/>
      <w:bookmarkEnd w:id="3708"/>
      <w:r>
        <w:fldChar w:fldCharType="begin"/>
      </w:r>
      <w:r>
        <w:instrText xml:space="preserve"> XE "wrap (Text Wrapping)" </w:instrText>
      </w:r>
      <w:r>
        <w:fldChar w:fldCharType="end"/>
      </w:r>
    </w:p>
    <w:p w:rsidR="00024C0A" w:rsidRDefault="00694C0F">
      <w:pPr>
        <w:pStyle w:val="Definition-Field"/>
      </w:pPr>
      <w:r>
        <w:t xml:space="preserve">a.   </w:t>
      </w:r>
      <w:r>
        <w:rPr>
          <w:i/>
        </w:rPr>
        <w:t>The standard indicates that the default value for the anchorx and anchory attributes is page.</w:t>
      </w:r>
    </w:p>
    <w:p w:rsidR="00024C0A" w:rsidRDefault="00694C0F">
      <w:pPr>
        <w:pStyle w:val="Definition-Field2"/>
      </w:pPr>
      <w:r>
        <w:t>Office uses text as the default value for the anchorx and anchory attributes.</w:t>
      </w:r>
    </w:p>
    <w:p w:rsidR="00024C0A" w:rsidRDefault="00694C0F">
      <w:pPr>
        <w:pStyle w:val="Definition-Field"/>
      </w:pPr>
      <w:r>
        <w:t xml:space="preserve">b.   </w:t>
      </w:r>
      <w:r>
        <w:rPr>
          <w:i/>
        </w:rPr>
        <w:t>The standard does not specify a default value for the type attribute.</w:t>
      </w:r>
    </w:p>
    <w:p w:rsidR="00024C0A" w:rsidRDefault="00694C0F">
      <w:pPr>
        <w:pStyle w:val="Definition-Field2"/>
      </w:pPr>
      <w:r>
        <w:t>Word</w:t>
      </w:r>
      <w:r>
        <w:t xml:space="preserve"> will use a wrap type of none if one is not specified.</w:t>
      </w:r>
    </w:p>
    <w:p w:rsidR="00024C0A" w:rsidRDefault="00694C0F">
      <w:pPr>
        <w:pStyle w:val="Heading3"/>
      </w:pPr>
      <w:bookmarkStart w:id="3709" w:name="section_2db502c99202424a89598502d8894678"/>
      <w:bookmarkStart w:id="3710" w:name="_Toc12261915"/>
      <w:r>
        <w:t>Part 4 Section 19.3.3.3, ST_HorizontalAnchor (Horizontal Anchor Type)</w:t>
      </w:r>
      <w:bookmarkEnd w:id="3709"/>
      <w:bookmarkEnd w:id="3710"/>
      <w:r>
        <w:fldChar w:fldCharType="begin"/>
      </w:r>
      <w:r>
        <w:instrText xml:space="preserve"> XE "ST_HorizontalAnchor (Horizontal Anchor Type)" </w:instrText>
      </w:r>
      <w:r>
        <w:fldChar w:fldCharType="end"/>
      </w:r>
    </w:p>
    <w:p w:rsidR="00024C0A" w:rsidRDefault="00694C0F">
      <w:pPr>
        <w:pStyle w:val="Definition-Field"/>
      </w:pPr>
      <w:r>
        <w:t xml:space="preserve">a.   </w:t>
      </w:r>
      <w:r>
        <w:rPr>
          <w:i/>
        </w:rPr>
        <w:t>The standard states that char is a valid value for the ST_HorizontalAncho</w:t>
      </w:r>
      <w:r>
        <w:rPr>
          <w:i/>
        </w:rPr>
        <w:t>r simple type.</w:t>
      </w:r>
    </w:p>
    <w:p w:rsidR="00024C0A" w:rsidRDefault="00694C0F">
      <w:pPr>
        <w:pStyle w:val="Definition-Field2"/>
      </w:pPr>
      <w:r>
        <w:t>Office does not support this value for this simple type.</w:t>
      </w:r>
    </w:p>
    <w:p w:rsidR="00024C0A" w:rsidRDefault="00694C0F">
      <w:pPr>
        <w:pStyle w:val="Heading3"/>
      </w:pPr>
      <w:bookmarkStart w:id="3711" w:name="section_45d9c9bc082746b19de0553bf9a0fe56"/>
      <w:bookmarkStart w:id="3712" w:name="_Toc12261916"/>
      <w:r>
        <w:t>Part 4 Section 19.3.3.4, ST_VerticalAnchor (Vertical Anchor Type)</w:t>
      </w:r>
      <w:bookmarkEnd w:id="3711"/>
      <w:bookmarkEnd w:id="3712"/>
      <w:r>
        <w:fldChar w:fldCharType="begin"/>
      </w:r>
      <w:r>
        <w:instrText xml:space="preserve"> XE "ST_VerticalAnchor (Vertical Anchor Type)" </w:instrText>
      </w:r>
      <w:r>
        <w:fldChar w:fldCharType="end"/>
      </w:r>
    </w:p>
    <w:p w:rsidR="00024C0A" w:rsidRDefault="00694C0F">
      <w:pPr>
        <w:pStyle w:val="Definition-Field"/>
      </w:pPr>
      <w:r>
        <w:t xml:space="preserve">a.   </w:t>
      </w:r>
      <w:r>
        <w:rPr>
          <w:i/>
        </w:rPr>
        <w:t>The standard states that line is a valid value for the ST_Vertic</w:t>
      </w:r>
      <w:r>
        <w:rPr>
          <w:i/>
        </w:rPr>
        <w:t>alAnchor simple type.</w:t>
      </w:r>
    </w:p>
    <w:p w:rsidR="00024C0A" w:rsidRDefault="00694C0F">
      <w:pPr>
        <w:pStyle w:val="Definition-Field2"/>
      </w:pPr>
      <w:r>
        <w:t>Office does not support this value for this simple type.</w:t>
      </w:r>
    </w:p>
    <w:p w:rsidR="00024C0A" w:rsidRDefault="00694C0F">
      <w:pPr>
        <w:pStyle w:val="Heading3"/>
      </w:pPr>
      <w:bookmarkStart w:id="3713" w:name="section_e5f8531be5344502a1ef1280e78edf19"/>
      <w:bookmarkStart w:id="3714" w:name="_Toc12261917"/>
      <w:r>
        <w:t>Part 4 Section 19.4.2.1, Accel (Primary Keyboard Accelerator)</w:t>
      </w:r>
      <w:bookmarkEnd w:id="3713"/>
      <w:bookmarkEnd w:id="3714"/>
      <w:r>
        <w:fldChar w:fldCharType="begin"/>
      </w:r>
      <w:r>
        <w:instrText xml:space="preserve"> XE "Accel (Primary Keyboard Accelerator)" </w:instrText>
      </w:r>
      <w:r>
        <w:fldChar w:fldCharType="end"/>
      </w:r>
    </w:p>
    <w:p w:rsidR="00024C0A" w:rsidRDefault="00694C0F">
      <w:pPr>
        <w:pStyle w:val="Definition-Field"/>
      </w:pPr>
      <w:r>
        <w:t xml:space="preserve">a.   </w:t>
      </w:r>
      <w:r>
        <w:rPr>
          <w:i/>
        </w:rPr>
        <w:t>The standard states that the values of this element are defined b</w:t>
      </w:r>
      <w:r>
        <w:rPr>
          <w:i/>
        </w:rPr>
        <w:t>y the XML Schema integer datatype.</w:t>
      </w:r>
    </w:p>
    <w:p w:rsidR="00024C0A" w:rsidRDefault="00694C0F">
      <w:pPr>
        <w:pStyle w:val="Definition-Field2"/>
      </w:pPr>
      <w:r>
        <w:t>Excel defines the values of this element with the XML Schema unsignedByte datatype.</w:t>
      </w:r>
    </w:p>
    <w:p w:rsidR="00024C0A" w:rsidRDefault="00694C0F">
      <w:pPr>
        <w:pStyle w:val="Heading3"/>
      </w:pPr>
      <w:bookmarkStart w:id="3715" w:name="section_deb182c9a9c0495e80688c51887faf02"/>
      <w:bookmarkStart w:id="3716" w:name="_Toc12261918"/>
      <w:r>
        <w:t>Part 4 Section 19.4.2.2, Accel2 (Secondary Keyboard Accelerator)</w:t>
      </w:r>
      <w:bookmarkEnd w:id="3715"/>
      <w:bookmarkEnd w:id="3716"/>
      <w:r>
        <w:fldChar w:fldCharType="begin"/>
      </w:r>
      <w:r>
        <w:instrText xml:space="preserve"> XE "Accel2 (Secondary Keyboard Accelerator)" </w:instrText>
      </w:r>
      <w:r>
        <w:fldChar w:fldCharType="end"/>
      </w:r>
    </w:p>
    <w:p w:rsidR="00024C0A" w:rsidRDefault="00694C0F">
      <w:pPr>
        <w:pStyle w:val="Definition-Field"/>
      </w:pPr>
      <w:r>
        <w:t xml:space="preserve">a.   </w:t>
      </w:r>
      <w:r>
        <w:rPr>
          <w:i/>
        </w:rPr>
        <w:t>The standard states</w:t>
      </w:r>
      <w:r>
        <w:rPr>
          <w:i/>
        </w:rPr>
        <w:t xml:space="preserve"> that the values of this element are defined by the XML Schema integer datatype.</w:t>
      </w:r>
    </w:p>
    <w:p w:rsidR="00024C0A" w:rsidRDefault="00694C0F">
      <w:pPr>
        <w:pStyle w:val="Definition-Field2"/>
      </w:pPr>
      <w:r>
        <w:t>Excel defines the values of this element with the XML Schema unsignedByte datatype.</w:t>
      </w:r>
    </w:p>
    <w:p w:rsidR="00024C0A" w:rsidRDefault="00694C0F">
      <w:pPr>
        <w:pStyle w:val="Heading3"/>
      </w:pPr>
      <w:bookmarkStart w:id="3717" w:name="section_200aa15e618e45e491d6daba55597a7d"/>
      <w:bookmarkStart w:id="3718" w:name="_Toc12261919"/>
      <w:r>
        <w:lastRenderedPageBreak/>
        <w:t>Part 4 Section 19.4.2.3, Anchor (Anchor)</w:t>
      </w:r>
      <w:bookmarkEnd w:id="3717"/>
      <w:bookmarkEnd w:id="3718"/>
      <w:r>
        <w:fldChar w:fldCharType="begin"/>
      </w:r>
      <w:r>
        <w:instrText xml:space="preserve"> XE "Anchor (Anchor)" </w:instrText>
      </w:r>
      <w:r>
        <w:fldChar w:fldCharType="end"/>
      </w:r>
    </w:p>
    <w:p w:rsidR="00024C0A" w:rsidRDefault="00694C0F">
      <w:pPr>
        <w:pStyle w:val="Definition-Field"/>
      </w:pPr>
      <w:r>
        <w:t xml:space="preserve">a.   </w:t>
      </w:r>
      <w:r>
        <w:rPr>
          <w:i/>
        </w:rPr>
        <w:t xml:space="preserve">The standard </w:t>
      </w:r>
      <w:r>
        <w:rPr>
          <w:i/>
        </w:rPr>
        <w:t>describes the TopRow and BottomRow values of the Anchor element in terms of a column.</w:t>
      </w:r>
    </w:p>
    <w:p w:rsidR="00024C0A" w:rsidRDefault="00694C0F">
      <w:pPr>
        <w:pStyle w:val="Definition-Field2"/>
      </w:pPr>
      <w:r>
        <w:t>Office considers the TopRow and BottomRow values of the Anchor element in terms of the row, rather than column, and considers the top-most row to be 0.</w:t>
      </w:r>
    </w:p>
    <w:p w:rsidR="00024C0A" w:rsidRDefault="00694C0F">
      <w:pPr>
        <w:pStyle w:val="Definition-Field"/>
      </w:pPr>
      <w:r>
        <w:t xml:space="preserve">b.   </w:t>
      </w:r>
      <w:r>
        <w:rPr>
          <w:i/>
        </w:rPr>
        <w:t xml:space="preserve">The standard </w:t>
      </w:r>
      <w:r>
        <w:rPr>
          <w:i/>
        </w:rPr>
        <w:t>indicates that the BottomOffset value of the Anchor element is the offset of the object's bottom edge from the bottom edge of the bottom anchor row.</w:t>
      </w:r>
    </w:p>
    <w:p w:rsidR="00024C0A" w:rsidRDefault="00694C0F">
      <w:pPr>
        <w:pStyle w:val="Definition-Field2"/>
      </w:pPr>
      <w:r>
        <w:t>Office considers that the BottomOffset value of the Anchor element is the offset of the object's bottom edg</w:t>
      </w:r>
      <w:r>
        <w:t>e from the top edge of the bottom anchor row.</w:t>
      </w:r>
    </w:p>
    <w:p w:rsidR="00024C0A" w:rsidRDefault="00694C0F">
      <w:pPr>
        <w:pStyle w:val="Definition-Field"/>
      </w:pPr>
      <w:r>
        <w:t xml:space="preserve">c.   </w:t>
      </w:r>
      <w:r>
        <w:rPr>
          <w:i/>
        </w:rPr>
        <w:t>The standard indicates that the Anchor element is specified using a comma-separated list of values, but does not require constraints on the list.</w:t>
      </w:r>
    </w:p>
    <w:p w:rsidR="00024C0A" w:rsidRDefault="00694C0F">
      <w:pPr>
        <w:pStyle w:val="Definition-Field2"/>
      </w:pPr>
      <w:r>
        <w:t>Office requires the string value of the Anchor element to b</w:t>
      </w:r>
      <w:r>
        <w:t>e a comma-delimited list of 8 non-negative integers.</w:t>
      </w:r>
    </w:p>
    <w:p w:rsidR="00024C0A" w:rsidRDefault="00694C0F">
      <w:pPr>
        <w:pStyle w:val="Heading3"/>
      </w:pPr>
      <w:bookmarkStart w:id="3719" w:name="section_63d742473a6643a9a08a3e59be0fdb06"/>
      <w:bookmarkStart w:id="3720" w:name="_Toc12261920"/>
      <w:r>
        <w:t>Part 4 Section 19.4.2.4, AutoFill (AutoFill)</w:t>
      </w:r>
      <w:bookmarkEnd w:id="3719"/>
      <w:bookmarkEnd w:id="3720"/>
      <w:r>
        <w:fldChar w:fldCharType="begin"/>
      </w:r>
      <w:r>
        <w:instrText xml:space="preserve"> XE "AutoFill (AutoFill)" </w:instrText>
      </w:r>
      <w:r>
        <w:fldChar w:fldCharType="end"/>
      </w:r>
    </w:p>
    <w:p w:rsidR="00024C0A" w:rsidRDefault="00694C0F">
      <w:pPr>
        <w:pStyle w:val="Definition-Field"/>
      </w:pPr>
      <w:r>
        <w:t xml:space="preserve">a.   </w:t>
      </w:r>
      <w:r>
        <w:rPr>
          <w:i/>
        </w:rPr>
        <w:t>The standard implies that the AutoFill element represents a type of object, but does not describe it.</w:t>
      </w:r>
    </w:p>
    <w:p w:rsidR="00024C0A" w:rsidRDefault="00694C0F">
      <w:pPr>
        <w:pStyle w:val="Definition-Field2"/>
      </w:pPr>
      <w:r>
        <w:t>Office uses this elemen</w:t>
      </w:r>
      <w:r>
        <w:t>t to indicate that the object's fill properties are automatically provided by the application and are not overridden with a specific fill color or style.</w:t>
      </w:r>
    </w:p>
    <w:p w:rsidR="00024C0A" w:rsidRDefault="00694C0F">
      <w:pPr>
        <w:pStyle w:val="Heading3"/>
      </w:pPr>
      <w:bookmarkStart w:id="3721" w:name="section_fb34f55c3cd4489eab45e117e443347c"/>
      <w:bookmarkStart w:id="3722" w:name="_Toc12261921"/>
      <w:r>
        <w:t>Part 4 Section 19.4.2.5, AutoLine (AutoLine)</w:t>
      </w:r>
      <w:bookmarkEnd w:id="3721"/>
      <w:bookmarkEnd w:id="3722"/>
      <w:r>
        <w:fldChar w:fldCharType="begin"/>
      </w:r>
      <w:r>
        <w:instrText xml:space="preserve"> XE "AutoLine (AutoLine)" </w:instrText>
      </w:r>
      <w:r>
        <w:fldChar w:fldCharType="end"/>
      </w:r>
    </w:p>
    <w:p w:rsidR="00024C0A" w:rsidRDefault="00694C0F">
      <w:pPr>
        <w:pStyle w:val="Definition-Field"/>
      </w:pPr>
      <w:r>
        <w:t xml:space="preserve">a.   </w:t>
      </w:r>
      <w:r>
        <w:rPr>
          <w:i/>
        </w:rPr>
        <w:t>The standard implies tha</w:t>
      </w:r>
      <w:r>
        <w:rPr>
          <w:i/>
        </w:rPr>
        <w:t>t the AutoLine element represents a type of object, but does not describe it.</w:t>
      </w:r>
    </w:p>
    <w:p w:rsidR="00024C0A" w:rsidRDefault="00694C0F">
      <w:pPr>
        <w:pStyle w:val="Definition-Field2"/>
      </w:pPr>
      <w:r>
        <w:t xml:space="preserve">Office uses this element to indicate to that the object’s line properties are automatically provided by the application and are not overridden with a specific line color, style, </w:t>
      </w:r>
      <w:r>
        <w:t>or width.</w:t>
      </w:r>
    </w:p>
    <w:p w:rsidR="00024C0A" w:rsidRDefault="00694C0F">
      <w:pPr>
        <w:pStyle w:val="Heading3"/>
      </w:pPr>
      <w:bookmarkStart w:id="3723" w:name="section_cb3929d36f594f6198a7bdf1698a2001"/>
      <w:bookmarkStart w:id="3724" w:name="_Toc12261922"/>
      <w:r>
        <w:t>Part 4 Section 19.4.2.7, AutoScale (Font AutoScale)</w:t>
      </w:r>
      <w:bookmarkEnd w:id="3723"/>
      <w:bookmarkEnd w:id="3724"/>
      <w:r>
        <w:fldChar w:fldCharType="begin"/>
      </w:r>
      <w:r>
        <w:instrText xml:space="preserve"> XE "AutoScale (Font AutoScale)" </w:instrText>
      </w:r>
      <w:r>
        <w:fldChar w:fldCharType="end"/>
      </w:r>
    </w:p>
    <w:p w:rsidR="00024C0A" w:rsidRDefault="00694C0F">
      <w:pPr>
        <w:pStyle w:val="Definition-Field"/>
      </w:pPr>
      <w:r>
        <w:t xml:space="preserve">a.   </w:t>
      </w:r>
      <w:r>
        <w:rPr>
          <w:i/>
        </w:rPr>
        <w:t>The standard indicates that the element is used for attached text.</w:t>
      </w:r>
    </w:p>
    <w:p w:rsidR="00024C0A" w:rsidRDefault="00694C0F">
      <w:pPr>
        <w:pStyle w:val="Definition-Field2"/>
      </w:pPr>
      <w:r>
        <w:t>Excel ignores the value of the AutoScale element and does not preserve it on file save.</w:t>
      </w:r>
    </w:p>
    <w:p w:rsidR="00024C0A" w:rsidRDefault="00694C0F">
      <w:pPr>
        <w:pStyle w:val="Heading3"/>
      </w:pPr>
      <w:bookmarkStart w:id="3725" w:name="section_7bd8939081b34e18b4c296d9f5c67c34"/>
      <w:bookmarkStart w:id="3726" w:name="_Toc12261923"/>
      <w:r>
        <w:t>Part 4 Section 19.4.2.8, Camera (Camera Tool)</w:t>
      </w:r>
      <w:bookmarkEnd w:id="3725"/>
      <w:bookmarkEnd w:id="3726"/>
      <w:r>
        <w:fldChar w:fldCharType="begin"/>
      </w:r>
      <w:r>
        <w:instrText xml:space="preserve"> XE "Camera (Camera Tool)" </w:instrText>
      </w:r>
      <w:r>
        <w:fldChar w:fldCharType="end"/>
      </w:r>
    </w:p>
    <w:p w:rsidR="00024C0A" w:rsidRDefault="00694C0F">
      <w:pPr>
        <w:pStyle w:val="Definition-Field"/>
      </w:pPr>
      <w:r>
        <w:t xml:space="preserve">a.   </w:t>
      </w:r>
      <w:r>
        <w:rPr>
          <w:i/>
        </w:rPr>
        <w:t>The standard indicates that the Camera element is used for cameras, but does not define how a camera object is represented.</w:t>
      </w:r>
    </w:p>
    <w:p w:rsidR="00024C0A" w:rsidRDefault="00694C0F">
      <w:r>
        <w:t>In Office, a camera object is a shape that is fille</w:t>
      </w:r>
      <w:r>
        <w:t xml:space="preserve">d with a live view of a cell range in the same spreadsheet, including all applied styles.  The cell range is defined by the </w:t>
      </w:r>
      <w:r>
        <w:rPr>
          <w:b/>
        </w:rPr>
        <w:t>fmlaPict</w:t>
      </w:r>
      <w:r>
        <w:t xml:space="preserve"> element ("</w:t>
      </w:r>
      <w:hyperlink r:id="rId269">
        <w:r>
          <w:rPr>
            <w:rStyle w:val="Hyperlink"/>
          </w:rPr>
          <w:t>[ISO/IEC-29500-4]</w:t>
        </w:r>
      </w:hyperlink>
      <w:r>
        <w:t xml:space="preserve"> §19.4.2.28; FmlaPict (Camera </w:t>
      </w:r>
      <w:r>
        <w:t xml:space="preserve">Source Range)"), which shall be present.  Shape properties such as the position and size of the camera object are defined by the shape.  The shape shall be a rectangle. The view of the cell range is scaled vertically and horizontally to fill the rectangle </w:t>
      </w:r>
      <w:r>
        <w:t>exactly.</w:t>
      </w:r>
    </w:p>
    <w:p w:rsidR="00024C0A" w:rsidRDefault="00694C0F">
      <w:r>
        <w:t xml:space="preserve">If this element is specified without a value, it is assumed to be </w:t>
      </w:r>
      <w:r>
        <w:rPr>
          <w:i/>
        </w:rPr>
        <w:t>true</w:t>
      </w:r>
      <w:r>
        <w:t xml:space="preserve">.  This element is used only on objects for which the value of the </w:t>
      </w:r>
      <w:r>
        <w:rPr>
          <w:b/>
        </w:rPr>
        <w:t>ObjectType</w:t>
      </w:r>
      <w:r>
        <w:t xml:space="preserve"> attribute on the </w:t>
      </w:r>
      <w:r>
        <w:rPr>
          <w:b/>
        </w:rPr>
        <w:t>ClientData</w:t>
      </w:r>
      <w:r>
        <w:t xml:space="preserve"> element ("[ISO/IEC-29500-4] §19.4.2.12; ClientData (Attached Object Dat</w:t>
      </w:r>
      <w:r>
        <w:t xml:space="preserve">a)") is </w:t>
      </w:r>
      <w:r>
        <w:rPr>
          <w:i/>
        </w:rPr>
        <w:t>Pict</w:t>
      </w:r>
      <w:r>
        <w:t>. Excel ignores this element on all other object types.</w:t>
      </w:r>
    </w:p>
    <w:p w:rsidR="00024C0A" w:rsidRDefault="00694C0F">
      <w:pPr>
        <w:pStyle w:val="Heading3"/>
      </w:pPr>
      <w:bookmarkStart w:id="3727" w:name="section_4f8a3b1473d348f682a935925673f4d1"/>
      <w:bookmarkStart w:id="3728" w:name="_Toc12261924"/>
      <w:r>
        <w:lastRenderedPageBreak/>
        <w:t>Part 4 Section 19.4.2.10, CF (Clipboard Format)</w:t>
      </w:r>
      <w:bookmarkEnd w:id="3727"/>
      <w:bookmarkEnd w:id="3728"/>
      <w:r>
        <w:fldChar w:fldCharType="begin"/>
      </w:r>
      <w:r>
        <w:instrText xml:space="preserve"> XE "CF (Clipboard Format)" </w:instrText>
      </w:r>
      <w:r>
        <w:fldChar w:fldCharType="end"/>
      </w:r>
    </w:p>
    <w:p w:rsidR="00024C0A" w:rsidRDefault="00694C0F">
      <w:pPr>
        <w:pStyle w:val="Definition-Field"/>
      </w:pPr>
      <w:r>
        <w:t xml:space="preserve">a.   </w:t>
      </w:r>
      <w:r>
        <w:rPr>
          <w:i/>
        </w:rPr>
        <w:t>The standard implies which objects the CF element applies to, but does not list a definitive set.</w:t>
      </w:r>
    </w:p>
    <w:p w:rsidR="00024C0A" w:rsidRDefault="00694C0F">
      <w:pPr>
        <w:pStyle w:val="Definition-Field2"/>
      </w:pPr>
      <w:r>
        <w:t>Excel s</w:t>
      </w:r>
      <w:r>
        <w:t>upports this element for objects for which the value of the ObjectType attribute on the ClientData element is Pict. Excel ignores the element if it is used with any other objects.</w:t>
      </w:r>
    </w:p>
    <w:p w:rsidR="00024C0A" w:rsidRDefault="00694C0F">
      <w:pPr>
        <w:pStyle w:val="Heading3"/>
      </w:pPr>
      <w:bookmarkStart w:id="3729" w:name="section_4ed4ba3ad2844c2f954abeeb4c0b45cf"/>
      <w:bookmarkStart w:id="3730" w:name="_Toc12261925"/>
      <w:r>
        <w:t>Part 4 Section 19.4.2.12, ClientData (Attached Object Data)</w:t>
      </w:r>
      <w:bookmarkEnd w:id="3729"/>
      <w:bookmarkEnd w:id="3730"/>
      <w:r>
        <w:fldChar w:fldCharType="begin"/>
      </w:r>
      <w:r>
        <w:instrText xml:space="preserve"> XE "ClientData (</w:instrText>
      </w:r>
      <w:r>
        <w:instrText xml:space="preserve">Attached Object Data)" </w:instrText>
      </w:r>
      <w:r>
        <w:fldChar w:fldCharType="end"/>
      </w:r>
    </w:p>
    <w:p w:rsidR="00024C0A" w:rsidRDefault="00694C0F">
      <w:pPr>
        <w:pStyle w:val="Definition-Field"/>
      </w:pPr>
      <w:r>
        <w:t xml:space="preserve">a.   </w:t>
      </w:r>
      <w:r>
        <w:rPr>
          <w:i/>
        </w:rPr>
        <w:t>The standard implies that Movie is a valid value for the ObjectType attribute.</w:t>
      </w:r>
    </w:p>
    <w:p w:rsidR="00024C0A" w:rsidRDefault="00694C0F">
      <w:pPr>
        <w:pStyle w:val="Definition-Field2"/>
      </w:pPr>
      <w:r>
        <w:t>Excel does not support the Movie value for the ObjectType attribute.</w:t>
      </w:r>
    </w:p>
    <w:p w:rsidR="00024C0A" w:rsidRDefault="00694C0F">
      <w:pPr>
        <w:pStyle w:val="Definition-Field"/>
      </w:pPr>
      <w:r>
        <w:t xml:space="preserve">b.   </w:t>
      </w:r>
      <w:r>
        <w:rPr>
          <w:i/>
        </w:rPr>
        <w:t>The standard implies that LineA and RectA are valid values.</w:t>
      </w:r>
    </w:p>
    <w:p w:rsidR="00024C0A" w:rsidRDefault="00694C0F">
      <w:pPr>
        <w:pStyle w:val="Definition-Field2"/>
      </w:pPr>
      <w:r>
        <w:t>Excel does n</w:t>
      </w:r>
      <w:r>
        <w:t>ot support the LineA and RectA values for the ObjectType attribute and does not save them to the file.</w:t>
      </w:r>
    </w:p>
    <w:p w:rsidR="00024C0A" w:rsidRDefault="00694C0F">
      <w:pPr>
        <w:pStyle w:val="Heading3"/>
      </w:pPr>
      <w:bookmarkStart w:id="3731" w:name="section_c360ff36c63047a69a3c94164b365fba"/>
      <w:bookmarkStart w:id="3732" w:name="_Toc12261926"/>
      <w:r>
        <w:t>Part 4 Section 19.4.2.13, ColHidden (Comment's Column is Hidden)</w:t>
      </w:r>
      <w:bookmarkEnd w:id="3731"/>
      <w:bookmarkEnd w:id="3732"/>
      <w:r>
        <w:fldChar w:fldCharType="begin"/>
      </w:r>
      <w:r>
        <w:instrText xml:space="preserve"> XE "ColHidden (Comment's Column is Hidden)" </w:instrText>
      </w:r>
      <w:r>
        <w:fldChar w:fldCharType="end"/>
      </w:r>
    </w:p>
    <w:p w:rsidR="00024C0A" w:rsidRDefault="00694C0F">
      <w:pPr>
        <w:pStyle w:val="Definition-Field"/>
      </w:pPr>
      <w:r>
        <w:t xml:space="preserve">a.   </w:t>
      </w:r>
      <w:r>
        <w:rPr>
          <w:i/>
        </w:rPr>
        <w:t>The standard could imply that the Co</w:t>
      </w:r>
      <w:r>
        <w:rPr>
          <w:i/>
        </w:rPr>
        <w:t>lHidden element may be used to hide a column.</w:t>
      </w:r>
    </w:p>
    <w:p w:rsidR="00024C0A" w:rsidRDefault="00694C0F">
      <w:pPr>
        <w:pStyle w:val="Definition-Field2"/>
      </w:pPr>
      <w:r>
        <w:t>Excel uses the hidden attribute of the col element as an whether the column of the cell to which this comment points is hidden and cannot be used for hiding a column.</w:t>
      </w:r>
    </w:p>
    <w:p w:rsidR="00024C0A" w:rsidRDefault="00694C0F">
      <w:pPr>
        <w:pStyle w:val="Heading3"/>
      </w:pPr>
      <w:bookmarkStart w:id="3733" w:name="section_5bdf911798a04345a493b8b2d6ae2fbb"/>
      <w:bookmarkStart w:id="3734" w:name="_Toc12261927"/>
      <w:r>
        <w:t>Part 4 Section 19.4.2.14, Colored (Dropdown Color Toggle)</w:t>
      </w:r>
      <w:bookmarkEnd w:id="3733"/>
      <w:bookmarkEnd w:id="3734"/>
      <w:r>
        <w:fldChar w:fldCharType="begin"/>
      </w:r>
      <w:r>
        <w:instrText xml:space="preserve"> XE "Colored (Dropdown Color Toggle)" </w:instrText>
      </w:r>
      <w:r>
        <w:fldChar w:fldCharType="end"/>
      </w:r>
    </w:p>
    <w:p w:rsidR="00024C0A" w:rsidRDefault="00694C0F">
      <w:pPr>
        <w:pStyle w:val="Definition-Field"/>
      </w:pPr>
      <w:r>
        <w:t xml:space="preserve">a.   </w:t>
      </w:r>
      <w:r>
        <w:rPr>
          <w:i/>
        </w:rPr>
        <w:t>The standard implies that the entire dropdown is colored.</w:t>
      </w:r>
    </w:p>
    <w:p w:rsidR="00024C0A" w:rsidRDefault="00694C0F">
      <w:pPr>
        <w:pStyle w:val="Definition-Field2"/>
      </w:pPr>
      <w:r>
        <w:t>Excel only colors the downward pointing arrow on the dropdown, not the entire control.</w:t>
      </w:r>
    </w:p>
    <w:p w:rsidR="00024C0A" w:rsidRDefault="00694C0F">
      <w:pPr>
        <w:pStyle w:val="Heading3"/>
      </w:pPr>
      <w:bookmarkStart w:id="3735" w:name="section_073d7aaad7674a96b4b2761737225ec1"/>
      <w:bookmarkStart w:id="3736" w:name="_Toc12261928"/>
      <w:r>
        <w:t>Part 4 S</w:t>
      </w:r>
      <w:r>
        <w:t>ection 19.4.2.16, DDE (Dynamic Data Exchange)</w:t>
      </w:r>
      <w:bookmarkEnd w:id="3735"/>
      <w:bookmarkEnd w:id="3736"/>
      <w:r>
        <w:fldChar w:fldCharType="begin"/>
      </w:r>
      <w:r>
        <w:instrText xml:space="preserve"> XE "DDE (Dynamic Data Exchange)" </w:instrText>
      </w:r>
      <w:r>
        <w:fldChar w:fldCharType="end"/>
      </w:r>
    </w:p>
    <w:p w:rsidR="00024C0A" w:rsidRDefault="00694C0F">
      <w:pPr>
        <w:pStyle w:val="Definition-Field"/>
      </w:pPr>
      <w:r>
        <w:t xml:space="preserve">a.   </w:t>
      </w:r>
      <w:r>
        <w:rPr>
          <w:i/>
        </w:rPr>
        <w:t>The standard indicates that the DDE element applies to all object types.</w:t>
      </w:r>
    </w:p>
    <w:p w:rsidR="00024C0A" w:rsidRDefault="00694C0F">
      <w:pPr>
        <w:pStyle w:val="Definition-Field2"/>
      </w:pPr>
      <w:r>
        <w:t>Excel only supports the DDE element for embedded objects.</w:t>
      </w:r>
    </w:p>
    <w:p w:rsidR="00024C0A" w:rsidRDefault="00694C0F">
      <w:pPr>
        <w:pStyle w:val="Heading3"/>
      </w:pPr>
      <w:bookmarkStart w:id="3737" w:name="section_ce3122b7a1ad43e2a271f8e7fac1ae5f"/>
      <w:bookmarkStart w:id="3738" w:name="_Toc12261929"/>
      <w:r>
        <w:t xml:space="preserve">Part 4 Section 19.4.2.18, DefaultSize </w:t>
      </w:r>
      <w:r>
        <w:t>(Default Size Toggle)</w:t>
      </w:r>
      <w:bookmarkEnd w:id="3737"/>
      <w:bookmarkEnd w:id="3738"/>
      <w:r>
        <w:fldChar w:fldCharType="begin"/>
      </w:r>
      <w:r>
        <w:instrText xml:space="preserve"> XE "DefaultSize (Default Size Toggle)" </w:instrText>
      </w:r>
      <w:r>
        <w:fldChar w:fldCharType="end"/>
      </w:r>
    </w:p>
    <w:p w:rsidR="00024C0A" w:rsidRDefault="00694C0F">
      <w:pPr>
        <w:pStyle w:val="Definition-Field"/>
      </w:pPr>
      <w:r>
        <w:t xml:space="preserve">a.   </w:t>
      </w:r>
      <w:r>
        <w:rPr>
          <w:i/>
        </w:rPr>
        <w:t>The standard implies the DefaultSize element always indicates whether an object is at its default size.</w:t>
      </w:r>
    </w:p>
    <w:p w:rsidR="00024C0A" w:rsidRDefault="00694C0F">
      <w:pPr>
        <w:pStyle w:val="Definition-Field2"/>
      </w:pPr>
      <w:r>
        <w:t>Excel writes the value of the DefaultSize element when an object is inserted at def</w:t>
      </w:r>
      <w:r>
        <w:t>ault size, but ignores it on file load.</w:t>
      </w:r>
    </w:p>
    <w:p w:rsidR="00024C0A" w:rsidRDefault="00694C0F">
      <w:pPr>
        <w:pStyle w:val="Heading3"/>
      </w:pPr>
      <w:bookmarkStart w:id="3739" w:name="section_be4c7afa1a9848fdac817039f3bf3a19"/>
      <w:bookmarkStart w:id="3740" w:name="_Toc12261930"/>
      <w:r>
        <w:t>Part 4 Section 19.4.2.21, DropLines (Dropdown Maximum Lines)</w:t>
      </w:r>
      <w:bookmarkEnd w:id="3739"/>
      <w:bookmarkEnd w:id="3740"/>
      <w:r>
        <w:fldChar w:fldCharType="begin"/>
      </w:r>
      <w:r>
        <w:instrText xml:space="preserve"> XE "DropLines (Dropdown Maximum Lines)" </w:instrText>
      </w:r>
      <w:r>
        <w:fldChar w:fldCharType="end"/>
      </w:r>
    </w:p>
    <w:p w:rsidR="00024C0A" w:rsidRDefault="00694C0F">
      <w:pPr>
        <w:pStyle w:val="Definition-Field"/>
      </w:pPr>
      <w:r>
        <w:t xml:space="preserve">a.   </w:t>
      </w:r>
      <w:r>
        <w:rPr>
          <w:i/>
        </w:rPr>
        <w:t>The standard states that the values of this element are defined by the XML Schema integer datatype.</w:t>
      </w:r>
    </w:p>
    <w:p w:rsidR="00024C0A" w:rsidRDefault="00694C0F">
      <w:pPr>
        <w:pStyle w:val="Definition-Field2"/>
      </w:pPr>
      <w:r>
        <w:t xml:space="preserve">Excel </w:t>
      </w:r>
      <w:r>
        <w:t>restricts the value of this element to be at least 0 and at most 30000.</w:t>
      </w:r>
    </w:p>
    <w:p w:rsidR="00024C0A" w:rsidRDefault="00694C0F">
      <w:pPr>
        <w:pStyle w:val="Heading3"/>
      </w:pPr>
      <w:bookmarkStart w:id="3741" w:name="section_d07238816fbc49ac99b0668c3f56ae05"/>
      <w:bookmarkStart w:id="3742" w:name="_Toc12261931"/>
      <w:r>
        <w:t>Part 4 Section 19.4.2.22, DropStyle (Dropdown Style)</w:t>
      </w:r>
      <w:bookmarkEnd w:id="3741"/>
      <w:bookmarkEnd w:id="3742"/>
      <w:r>
        <w:fldChar w:fldCharType="begin"/>
      </w:r>
      <w:r>
        <w:instrText xml:space="preserve"> XE "DropStyle (Dropdown Style)" </w:instrText>
      </w:r>
      <w:r>
        <w:fldChar w:fldCharType="end"/>
      </w:r>
    </w:p>
    <w:p w:rsidR="00024C0A" w:rsidRDefault="00694C0F">
      <w:pPr>
        <w:pStyle w:val="Definition-Field"/>
      </w:pPr>
      <w:r>
        <w:t xml:space="preserve">a.   </w:t>
      </w:r>
      <w:r>
        <w:rPr>
          <w:i/>
        </w:rPr>
        <w:t>The standard indicates that the schema for the DropStyle element allows any xsd:string, but</w:t>
      </w:r>
      <w:r>
        <w:rPr>
          <w:i/>
        </w:rPr>
        <w:t xml:space="preserve"> the prose restricts this to a few values.</w:t>
      </w:r>
    </w:p>
    <w:p w:rsidR="00024C0A" w:rsidRDefault="00694C0F">
      <w:pPr>
        <w:pStyle w:val="Definition-Field2"/>
      </w:pPr>
      <w:r>
        <w:lastRenderedPageBreak/>
        <w:t>Office enforces the restriction that the DropStyle element allows any xsd:string at the schema level.</w:t>
      </w:r>
    </w:p>
    <w:p w:rsidR="00024C0A" w:rsidRDefault="00694C0F">
      <w:pPr>
        <w:pStyle w:val="Heading3"/>
      </w:pPr>
      <w:bookmarkStart w:id="3743" w:name="section_7d806fa038a14b96908dbd982340949a"/>
      <w:bookmarkStart w:id="3744" w:name="_Toc12261932"/>
      <w:r>
        <w:t>Part 4 Section 19.4.2.23, Dx (Scroll Bar Width)</w:t>
      </w:r>
      <w:bookmarkEnd w:id="3743"/>
      <w:bookmarkEnd w:id="3744"/>
      <w:r>
        <w:fldChar w:fldCharType="begin"/>
      </w:r>
      <w:r>
        <w:instrText xml:space="preserve"> XE "Dx (Scroll Bar Width)" </w:instrText>
      </w:r>
      <w:r>
        <w:fldChar w:fldCharType="end"/>
      </w:r>
    </w:p>
    <w:p w:rsidR="00024C0A" w:rsidRDefault="00694C0F">
      <w:pPr>
        <w:pStyle w:val="Definition-Field"/>
      </w:pPr>
      <w:r>
        <w:t xml:space="preserve">a.   </w:t>
      </w:r>
      <w:r>
        <w:rPr>
          <w:i/>
        </w:rPr>
        <w:t xml:space="preserve">The standard indicates that </w:t>
      </w:r>
      <w:r>
        <w:rPr>
          <w:i/>
        </w:rPr>
        <w:t>the element is used for scroll bars and spinners.</w:t>
      </w:r>
    </w:p>
    <w:p w:rsidR="00024C0A" w:rsidRDefault="00694C0F">
      <w:pPr>
        <w:pStyle w:val="Definition-Field2"/>
      </w:pPr>
      <w:r>
        <w:t>Excel also uses the Dx element to specify width for scroll bars on combo boxes and list boxes.</w:t>
      </w:r>
    </w:p>
    <w:p w:rsidR="00024C0A" w:rsidRDefault="00694C0F">
      <w:pPr>
        <w:pStyle w:val="Heading3"/>
      </w:pPr>
      <w:bookmarkStart w:id="3745" w:name="section_b260750bc7564ba289a782ab03ca77df"/>
      <w:bookmarkStart w:id="3746" w:name="_Toc12261933"/>
      <w:r>
        <w:t>Part 4 Section 19.4.2.25, FmlaGroup (Linked Formula - Group Box)</w:t>
      </w:r>
      <w:bookmarkEnd w:id="3745"/>
      <w:bookmarkEnd w:id="3746"/>
      <w:r>
        <w:fldChar w:fldCharType="begin"/>
      </w:r>
      <w:r>
        <w:instrText xml:space="preserve"> XE "FmlaGroup (Linked Formula - Group Box)" </w:instrText>
      </w:r>
      <w:r>
        <w:fldChar w:fldCharType="end"/>
      </w:r>
    </w:p>
    <w:p w:rsidR="00024C0A" w:rsidRDefault="00694C0F">
      <w:pPr>
        <w:pStyle w:val="Definition-Field"/>
      </w:pPr>
      <w:r>
        <w:t xml:space="preserve">a.   </w:t>
      </w:r>
      <w:r>
        <w:rPr>
          <w:i/>
        </w:rPr>
        <w:t>The standard implies that the cell reference specified by this element is saved into the file.</w:t>
      </w:r>
    </w:p>
    <w:p w:rsidR="00024C0A" w:rsidRDefault="00694C0F">
      <w:pPr>
        <w:pStyle w:val="Definition-Field2"/>
      </w:pPr>
      <w:r>
        <w:t>Excel removes this element and saves the cell reference it specifies on the FmlaLink element of the first radio button in the group. If no radio buttons ex</w:t>
      </w:r>
      <w:r>
        <w:t>ist in the group, the value is not saved in the file.</w:t>
      </w:r>
    </w:p>
    <w:p w:rsidR="00024C0A" w:rsidRDefault="00694C0F">
      <w:pPr>
        <w:pStyle w:val="Heading3"/>
      </w:pPr>
      <w:bookmarkStart w:id="3747" w:name="section_fdd835077a574bf1b84466f551ee55b9"/>
      <w:bookmarkStart w:id="3748" w:name="_Toc12261934"/>
      <w:r>
        <w:t>Part 4 Section 19.4.2.27, FmlaMacro (Reference to Custom Function)</w:t>
      </w:r>
      <w:bookmarkEnd w:id="3747"/>
      <w:bookmarkEnd w:id="3748"/>
      <w:r>
        <w:fldChar w:fldCharType="begin"/>
      </w:r>
      <w:r>
        <w:instrText xml:space="preserve"> XE "FmlaMacro (Reference to Custom Function)" </w:instrText>
      </w:r>
      <w:r>
        <w:fldChar w:fldCharType="end"/>
      </w:r>
    </w:p>
    <w:p w:rsidR="00024C0A" w:rsidRDefault="00694C0F">
      <w:pPr>
        <w:pStyle w:val="Definition-Field"/>
      </w:pPr>
      <w:r>
        <w:t xml:space="preserve">a.   </w:t>
      </w:r>
      <w:r>
        <w:rPr>
          <w:i/>
        </w:rPr>
        <w:t>The standard indicates that the FmlaMacro element applies to an object but does n</w:t>
      </w:r>
      <w:r>
        <w:rPr>
          <w:i/>
        </w:rPr>
        <w:t>ot explicitly define a set of valid objects.</w:t>
      </w:r>
    </w:p>
    <w:p w:rsidR="00024C0A" w:rsidRDefault="00694C0F">
      <w:pPr>
        <w:pStyle w:val="Definition-Field2"/>
      </w:pPr>
      <w:r>
        <w:t>Excel supports FmlaMacro on objects defined by all values of the ST_ObjectType simple type except LineA, Note and RectA.</w:t>
      </w:r>
    </w:p>
    <w:p w:rsidR="00024C0A" w:rsidRDefault="00694C0F">
      <w:pPr>
        <w:pStyle w:val="Definition-Field"/>
      </w:pPr>
      <w:r>
        <w:t xml:space="preserve">b.   </w:t>
      </w:r>
      <w:r>
        <w:rPr>
          <w:i/>
        </w:rPr>
        <w:t>The standard states that the values of this element are defined by the XML Schema str</w:t>
      </w:r>
      <w:r>
        <w:rPr>
          <w:i/>
        </w:rPr>
        <w:t>ing datatype.</w:t>
      </w:r>
    </w:p>
    <w:p w:rsidR="00024C0A" w:rsidRDefault="00694C0F">
      <w:pPr>
        <w:pStyle w:val="Definition-Field2"/>
      </w:pPr>
      <w:r>
        <w:t>Office defines the values of this element with the ST_Macro (</w:t>
      </w:r>
      <w:hyperlink w:anchor="Section_3a025d97fe484df0a51d7ab3e024b866">
        <w:r>
          <w:rPr>
            <w:rStyle w:val="Hyperlink"/>
          </w:rPr>
          <w:t>§3.9.2, ST_Macro</w:t>
        </w:r>
      </w:hyperlink>
      <w:r>
        <w:t>) simple type.</w:t>
      </w:r>
    </w:p>
    <w:p w:rsidR="00024C0A" w:rsidRDefault="00694C0F">
      <w:pPr>
        <w:pStyle w:val="Heading3"/>
      </w:pPr>
      <w:bookmarkStart w:id="3749" w:name="section_3d0c971688c54af3b63afeef60b8ebd8"/>
      <w:bookmarkStart w:id="3750" w:name="_Toc12261935"/>
      <w:r>
        <w:t>Part 4 Section 19.4.2.29, FmlaRange (List Items Source Range)</w:t>
      </w:r>
      <w:bookmarkEnd w:id="3749"/>
      <w:bookmarkEnd w:id="3750"/>
      <w:r>
        <w:fldChar w:fldCharType="begin"/>
      </w:r>
      <w:r>
        <w:instrText xml:space="preserve"> XE "FmlaRange (List Items</w:instrText>
      </w:r>
      <w:r>
        <w:instrText xml:space="preserve"> Source Range)" </w:instrText>
      </w:r>
      <w:r>
        <w:fldChar w:fldCharType="end"/>
      </w:r>
    </w:p>
    <w:p w:rsidR="00024C0A" w:rsidRDefault="00694C0F">
      <w:pPr>
        <w:pStyle w:val="Definition-Field"/>
      </w:pPr>
      <w:r>
        <w:t xml:space="preserve">a.   </w:t>
      </w:r>
      <w:r>
        <w:rPr>
          <w:i/>
        </w:rPr>
        <w:t>The standard indicates that the element is used for list boxes.</w:t>
      </w:r>
    </w:p>
    <w:p w:rsidR="00024C0A" w:rsidRDefault="00694C0F">
      <w:pPr>
        <w:pStyle w:val="Definition-Field2"/>
      </w:pPr>
      <w:r>
        <w:t>Excel also uses the FmlaRange element for dropdowns.</w:t>
      </w:r>
    </w:p>
    <w:p w:rsidR="00024C0A" w:rsidRDefault="00694C0F">
      <w:pPr>
        <w:pStyle w:val="Heading3"/>
      </w:pPr>
      <w:bookmarkStart w:id="3751" w:name="section_53586a4091834fb9a0dc2d0c48f92e2a"/>
      <w:bookmarkStart w:id="3752" w:name="_Toc12261936"/>
      <w:r>
        <w:t>Part 4 Section 19.4.2.30, FmlaTxbx (Text Formula)</w:t>
      </w:r>
      <w:bookmarkEnd w:id="3751"/>
      <w:bookmarkEnd w:id="3752"/>
      <w:r>
        <w:fldChar w:fldCharType="begin"/>
      </w:r>
      <w:r>
        <w:instrText xml:space="preserve"> XE "FmlaTxbx (Text Formula)" </w:instrText>
      </w:r>
      <w:r>
        <w:fldChar w:fldCharType="end"/>
      </w:r>
    </w:p>
    <w:p w:rsidR="00024C0A" w:rsidRDefault="00694C0F">
      <w:pPr>
        <w:pStyle w:val="Definition-Field"/>
      </w:pPr>
      <w:r>
        <w:t xml:space="preserve">a.   </w:t>
      </w:r>
      <w:r>
        <w:rPr>
          <w:i/>
        </w:rPr>
        <w:t>The standard does not define</w:t>
      </w:r>
      <w:r>
        <w:rPr>
          <w:i/>
        </w:rPr>
        <w:t xml:space="preserve"> the format for the value of the FmlaTxbx element.</w:t>
      </w:r>
    </w:p>
    <w:p w:rsidR="00024C0A" w:rsidRDefault="00694C0F">
      <w:r>
        <w:t>In Office, the value of the FmlaTxbx element shall be a string identifying a cell or a cell range in a spreadsheet.  The cell reference syntax is described in Cell References ("</w:t>
      </w:r>
      <w:hyperlink r:id="rId270">
        <w:r>
          <w:rPr>
            <w:rStyle w:val="Hyperlink"/>
          </w:rPr>
          <w:t>[ISO/IEC-29500-1]</w:t>
        </w:r>
      </w:hyperlink>
      <w:r>
        <w:t xml:space="preserve"> §18.17.2.3").  Excel accepts a cell range but only considers the first cell in the range.</w:t>
      </w:r>
    </w:p>
    <w:p w:rsidR="00024C0A" w:rsidRDefault="00694C0F">
      <w:pPr>
        <w:pStyle w:val="Heading3"/>
      </w:pPr>
      <w:bookmarkStart w:id="3753" w:name="section_a22736e370b841dfb203534630e5e253"/>
      <w:bookmarkStart w:id="3754" w:name="_Toc12261937"/>
      <w:r>
        <w:t>Part 4 Section 19.4.2.32, Horiz (Scroll Bar Orientation)</w:t>
      </w:r>
      <w:bookmarkEnd w:id="3753"/>
      <w:bookmarkEnd w:id="3754"/>
      <w:r>
        <w:fldChar w:fldCharType="begin"/>
      </w:r>
      <w:r>
        <w:instrText xml:space="preserve"> XE "Horiz (Scroll Bar Orientation)" </w:instrText>
      </w:r>
      <w:r>
        <w:fldChar w:fldCharType="end"/>
      </w:r>
    </w:p>
    <w:p w:rsidR="00024C0A" w:rsidRDefault="00694C0F">
      <w:pPr>
        <w:pStyle w:val="Definition-Field"/>
      </w:pPr>
      <w:r>
        <w:t xml:space="preserve">a.   </w:t>
      </w:r>
      <w:r>
        <w:rPr>
          <w:i/>
        </w:rPr>
        <w:t xml:space="preserve">The </w:t>
      </w:r>
      <w:r>
        <w:rPr>
          <w:i/>
        </w:rPr>
        <w:t>standard indicates that the element is used for scroll bars and spinners.</w:t>
      </w:r>
    </w:p>
    <w:p w:rsidR="00024C0A" w:rsidRDefault="00694C0F">
      <w:pPr>
        <w:pStyle w:val="Definition-Field2"/>
      </w:pPr>
      <w:r>
        <w:t>Excel uses the Horiz element for scroll bars only.</w:t>
      </w:r>
    </w:p>
    <w:p w:rsidR="00024C0A" w:rsidRDefault="00694C0F">
      <w:pPr>
        <w:pStyle w:val="Heading3"/>
      </w:pPr>
      <w:bookmarkStart w:id="3755" w:name="section_ccda6c59abc6448f9609c5514582b169"/>
      <w:bookmarkStart w:id="3756" w:name="_Toc12261938"/>
      <w:r>
        <w:t>Part 4 Section 19.4.2.33, Inc (Scroll Bar Increment)</w:t>
      </w:r>
      <w:bookmarkEnd w:id="3755"/>
      <w:bookmarkEnd w:id="3756"/>
      <w:r>
        <w:fldChar w:fldCharType="begin"/>
      </w:r>
      <w:r>
        <w:instrText xml:space="preserve"> XE "Inc (Scroll Bar Increment)" </w:instrText>
      </w:r>
      <w:r>
        <w:fldChar w:fldCharType="end"/>
      </w:r>
    </w:p>
    <w:p w:rsidR="00024C0A" w:rsidRDefault="00694C0F">
      <w:pPr>
        <w:pStyle w:val="Definition-Field"/>
      </w:pPr>
      <w:r>
        <w:t xml:space="preserve">a.   </w:t>
      </w:r>
      <w:r>
        <w:rPr>
          <w:i/>
        </w:rPr>
        <w:t>The standard states that the values of</w:t>
      </w:r>
      <w:r>
        <w:rPr>
          <w:i/>
        </w:rPr>
        <w:t xml:space="preserve"> this element are defined by the XML Schema integer datatype.</w:t>
      </w:r>
    </w:p>
    <w:p w:rsidR="00024C0A" w:rsidRDefault="00694C0F">
      <w:pPr>
        <w:pStyle w:val="Definition-Field2"/>
      </w:pPr>
      <w:r>
        <w:t>Excel restricts the value of this element to be at least 0 and at most 30000.</w:t>
      </w:r>
    </w:p>
    <w:p w:rsidR="00024C0A" w:rsidRDefault="00694C0F">
      <w:pPr>
        <w:pStyle w:val="Heading3"/>
      </w:pPr>
      <w:bookmarkStart w:id="3757" w:name="section_08b9c240a1da41ef867f74c008a367f9"/>
      <w:bookmarkStart w:id="3758" w:name="_Toc12261939"/>
      <w:r>
        <w:lastRenderedPageBreak/>
        <w:t>Part 4 Section 19.4.2.35, LCT (Callback Type)</w:t>
      </w:r>
      <w:bookmarkEnd w:id="3757"/>
      <w:bookmarkEnd w:id="3758"/>
      <w:r>
        <w:fldChar w:fldCharType="begin"/>
      </w:r>
      <w:r>
        <w:instrText xml:space="preserve"> XE "LCT (Callback Type)" </w:instrText>
      </w:r>
      <w:r>
        <w:fldChar w:fldCharType="end"/>
      </w:r>
    </w:p>
    <w:p w:rsidR="00024C0A" w:rsidRDefault="00694C0F">
      <w:pPr>
        <w:pStyle w:val="Definition-Field"/>
      </w:pPr>
      <w:r>
        <w:t xml:space="preserve">a.   </w:t>
      </w:r>
      <w:r>
        <w:rPr>
          <w:i/>
        </w:rPr>
        <w:t xml:space="preserve">The standard indicates that the </w:t>
      </w:r>
      <w:r>
        <w:rPr>
          <w:i/>
        </w:rPr>
        <w:t>element is used for list boxes.</w:t>
      </w:r>
    </w:p>
    <w:p w:rsidR="00024C0A" w:rsidRDefault="00694C0F">
      <w:pPr>
        <w:pStyle w:val="Definition-Field2"/>
      </w:pPr>
      <w:r>
        <w:t>Excel also uses the LCT element for list boxes and dropdowns.</w:t>
      </w:r>
    </w:p>
    <w:p w:rsidR="00024C0A" w:rsidRDefault="00694C0F">
      <w:pPr>
        <w:pStyle w:val="Heading3"/>
      </w:pPr>
      <w:bookmarkStart w:id="3759" w:name="section_41fab666731c4a82985af55d31ea2df4"/>
      <w:bookmarkStart w:id="3760" w:name="_Toc12261940"/>
      <w:r>
        <w:t>Part 4 Section 19.4.2.36, ListItem (Non-linked List Item)</w:t>
      </w:r>
      <w:bookmarkEnd w:id="3759"/>
      <w:bookmarkEnd w:id="3760"/>
      <w:r>
        <w:fldChar w:fldCharType="begin"/>
      </w:r>
      <w:r>
        <w:instrText xml:space="preserve"> XE "ListItem (Non-linked List Item)" </w:instrText>
      </w:r>
      <w:r>
        <w:fldChar w:fldCharType="end"/>
      </w:r>
    </w:p>
    <w:p w:rsidR="00024C0A" w:rsidRDefault="00694C0F">
      <w:pPr>
        <w:pStyle w:val="Definition-Field"/>
      </w:pPr>
      <w:r>
        <w:t xml:space="preserve">a.   </w:t>
      </w:r>
      <w:r>
        <w:rPr>
          <w:i/>
        </w:rPr>
        <w:t>The standard implies the ListItem element is always used.</w:t>
      </w:r>
    </w:p>
    <w:p w:rsidR="00024C0A" w:rsidRDefault="00694C0F">
      <w:pPr>
        <w:pStyle w:val="Definition-Field2"/>
      </w:pPr>
      <w:r>
        <w:t>E</w:t>
      </w:r>
      <w:r>
        <w:t>xcel ignores the ListItem element when the FmlaRange element is present.</w:t>
      </w:r>
    </w:p>
    <w:p w:rsidR="00024C0A" w:rsidRDefault="00694C0F">
      <w:pPr>
        <w:pStyle w:val="Heading3"/>
      </w:pPr>
      <w:bookmarkStart w:id="3761" w:name="section_d3fababa849446e59d8c22b7b113dc40"/>
      <w:bookmarkStart w:id="3762" w:name="_Toc12261941"/>
      <w:r>
        <w:t>Part 4 Section 19.4.2.40, Max (Scroll Bar Maximum)</w:t>
      </w:r>
      <w:bookmarkEnd w:id="3761"/>
      <w:bookmarkEnd w:id="3762"/>
      <w:r>
        <w:fldChar w:fldCharType="begin"/>
      </w:r>
      <w:r>
        <w:instrText xml:space="preserve"> XE "Max (Scroll Bar Maximum)" </w:instrText>
      </w:r>
      <w:r>
        <w:fldChar w:fldCharType="end"/>
      </w:r>
    </w:p>
    <w:p w:rsidR="00024C0A" w:rsidRDefault="00694C0F">
      <w:pPr>
        <w:pStyle w:val="Definition-Field"/>
      </w:pPr>
      <w:r>
        <w:t xml:space="preserve">a.   </w:t>
      </w:r>
      <w:r>
        <w:rPr>
          <w:i/>
        </w:rPr>
        <w:t>The standard states that the values of this element are defined by the XML Schema integer data</w:t>
      </w:r>
      <w:r>
        <w:rPr>
          <w:i/>
        </w:rPr>
        <w:t>type.</w:t>
      </w:r>
    </w:p>
    <w:p w:rsidR="00024C0A" w:rsidRDefault="00694C0F">
      <w:pPr>
        <w:pStyle w:val="Definition-Field2"/>
      </w:pPr>
      <w:r>
        <w:t>Excel restricts the value of this element to be at least 0 and at most 30000.</w:t>
      </w:r>
    </w:p>
    <w:p w:rsidR="00024C0A" w:rsidRDefault="00694C0F">
      <w:pPr>
        <w:pStyle w:val="Heading3"/>
      </w:pPr>
      <w:bookmarkStart w:id="3763" w:name="section_d46c6a1b604842ff83d335bc1055b689"/>
      <w:bookmarkStart w:id="3764" w:name="_Toc12261942"/>
      <w:r>
        <w:t>Part 4 Section 19.4.2.41, Min (Scroll Bar Minimum)</w:t>
      </w:r>
      <w:bookmarkEnd w:id="3763"/>
      <w:bookmarkEnd w:id="3764"/>
      <w:r>
        <w:fldChar w:fldCharType="begin"/>
      </w:r>
      <w:r>
        <w:instrText xml:space="preserve"> XE "Min (Scroll Bar Minimum)" </w:instrText>
      </w:r>
      <w:r>
        <w:fldChar w:fldCharType="end"/>
      </w:r>
    </w:p>
    <w:p w:rsidR="00024C0A" w:rsidRDefault="00694C0F">
      <w:pPr>
        <w:pStyle w:val="Definition-Field"/>
      </w:pPr>
      <w:r>
        <w:t xml:space="preserve">a.   </w:t>
      </w:r>
      <w:r>
        <w:rPr>
          <w:i/>
        </w:rPr>
        <w:t>The standard states that the values of this element are defined by the XML Schema i</w:t>
      </w:r>
      <w:r>
        <w:rPr>
          <w:i/>
        </w:rPr>
        <w:t>nteger datatype.</w:t>
      </w:r>
    </w:p>
    <w:p w:rsidR="00024C0A" w:rsidRDefault="00694C0F">
      <w:pPr>
        <w:pStyle w:val="Definition-Field2"/>
      </w:pPr>
      <w:r>
        <w:t>Excel restricts the value of this element to be at least 0 and at most 30000.</w:t>
      </w:r>
    </w:p>
    <w:p w:rsidR="00024C0A" w:rsidRDefault="00694C0F">
      <w:pPr>
        <w:pStyle w:val="Heading3"/>
      </w:pPr>
      <w:bookmarkStart w:id="3765" w:name="section_40158516bf2346b1b809063618265082"/>
      <w:bookmarkStart w:id="3766" w:name="_Toc12261943"/>
      <w:r>
        <w:t>Part 4 Section 19.4.2.42, MoveWithCells (Move with Cells)</w:t>
      </w:r>
      <w:bookmarkEnd w:id="3765"/>
      <w:bookmarkEnd w:id="3766"/>
      <w:r>
        <w:fldChar w:fldCharType="begin"/>
      </w:r>
      <w:r>
        <w:instrText xml:space="preserve"> XE "MoveWithCells (Move with Cells)" </w:instrText>
      </w:r>
      <w:r>
        <w:fldChar w:fldCharType="end"/>
      </w:r>
    </w:p>
    <w:p w:rsidR="00024C0A" w:rsidRDefault="00694C0F">
      <w:pPr>
        <w:pStyle w:val="Definition-Field"/>
      </w:pPr>
      <w:r>
        <w:t xml:space="preserve">a.   </w:t>
      </w:r>
      <w:r>
        <w:rPr>
          <w:i/>
        </w:rPr>
        <w:t>The standard defines the meaning of the values true and fa</w:t>
      </w:r>
      <w:r>
        <w:rPr>
          <w:i/>
        </w:rPr>
        <w:t>lse for the MoveWithCells element.</w:t>
      </w:r>
    </w:p>
    <w:p w:rsidR="00024C0A" w:rsidRDefault="00694C0F">
      <w:pPr>
        <w:pStyle w:val="Definition-Field2"/>
      </w:pPr>
      <w:r>
        <w:t>Excel reverses the meaning of the values true and false for the MoveWithCells element.</w:t>
      </w:r>
    </w:p>
    <w:p w:rsidR="00024C0A" w:rsidRDefault="00694C0F">
      <w:pPr>
        <w:pStyle w:val="Heading3"/>
      </w:pPr>
      <w:bookmarkStart w:id="3767" w:name="section_d4169e9a85cc4cb98354faf0f1551b0c"/>
      <w:bookmarkStart w:id="3768" w:name="_Toc12261944"/>
      <w:r>
        <w:t>Part 4 Section 19.4.2.45, NoThreeD (Disable 3D)</w:t>
      </w:r>
      <w:bookmarkEnd w:id="3767"/>
      <w:bookmarkEnd w:id="3768"/>
      <w:r>
        <w:fldChar w:fldCharType="begin"/>
      </w:r>
      <w:r>
        <w:instrText xml:space="preserve"> XE "NoThreeD (Disable 3D)" </w:instrText>
      </w:r>
      <w:r>
        <w:fldChar w:fldCharType="end"/>
      </w:r>
    </w:p>
    <w:p w:rsidR="00024C0A" w:rsidRDefault="00694C0F">
      <w:pPr>
        <w:pStyle w:val="Definition-Field"/>
      </w:pPr>
      <w:r>
        <w:t xml:space="preserve">a.   </w:t>
      </w:r>
      <w:r>
        <w:rPr>
          <w:i/>
        </w:rPr>
        <w:t>The standard indicates that the element is used for</w:t>
      </w:r>
      <w:r>
        <w:rPr>
          <w:i/>
        </w:rPr>
        <w:t xml:space="preserve"> checkboxes, radio buttons, group boxes and scroll bars.</w:t>
      </w:r>
    </w:p>
    <w:p w:rsidR="00024C0A" w:rsidRDefault="00694C0F">
      <w:pPr>
        <w:pStyle w:val="Definition-Field2"/>
      </w:pPr>
      <w:r>
        <w:t>Excel also uses the NoThreeD element for spinners.</w:t>
      </w:r>
    </w:p>
    <w:p w:rsidR="00024C0A" w:rsidRDefault="00694C0F">
      <w:pPr>
        <w:pStyle w:val="Heading3"/>
      </w:pPr>
      <w:bookmarkStart w:id="3769" w:name="section_9f43de269a174e698ce2d61e66016310"/>
      <w:bookmarkStart w:id="3770" w:name="_Toc12261945"/>
      <w:r>
        <w:t>Part 4 Section 19.4.2.47, Page (Scroll Bar Page Increment)</w:t>
      </w:r>
      <w:bookmarkEnd w:id="3769"/>
      <w:bookmarkEnd w:id="3770"/>
      <w:r>
        <w:fldChar w:fldCharType="begin"/>
      </w:r>
      <w:r>
        <w:instrText xml:space="preserve"> XE "Page (Scroll Bar Page Increment)" </w:instrText>
      </w:r>
      <w:r>
        <w:fldChar w:fldCharType="end"/>
      </w:r>
    </w:p>
    <w:p w:rsidR="00024C0A" w:rsidRDefault="00694C0F">
      <w:pPr>
        <w:pStyle w:val="Definition-Field"/>
      </w:pPr>
      <w:r>
        <w:t xml:space="preserve">a.   </w:t>
      </w:r>
      <w:r>
        <w:rPr>
          <w:i/>
        </w:rPr>
        <w:t>The standard states that the values of this</w:t>
      </w:r>
      <w:r>
        <w:rPr>
          <w:i/>
        </w:rPr>
        <w:t xml:space="preserve"> element are defined by the XML Schema integer datatype.</w:t>
      </w:r>
    </w:p>
    <w:p w:rsidR="00024C0A" w:rsidRDefault="00694C0F">
      <w:pPr>
        <w:pStyle w:val="Definition-Field2"/>
      </w:pPr>
      <w:r>
        <w:t>Excel restricts the value of this element to be at least 0 and at most 30000.</w:t>
      </w:r>
    </w:p>
    <w:p w:rsidR="00024C0A" w:rsidRDefault="00694C0F">
      <w:pPr>
        <w:pStyle w:val="Heading3"/>
      </w:pPr>
      <w:bookmarkStart w:id="3771" w:name="section_20689dc60d9142edabc07fb4976027dc"/>
      <w:bookmarkStart w:id="3772" w:name="_Toc12261946"/>
      <w:r>
        <w:t>Part 4 Section 19.4.2.49, RecalcAlways (Recalculation Toggle)</w:t>
      </w:r>
      <w:bookmarkEnd w:id="3771"/>
      <w:bookmarkEnd w:id="3772"/>
      <w:r>
        <w:fldChar w:fldCharType="begin"/>
      </w:r>
      <w:r>
        <w:instrText xml:space="preserve"> XE "RecalcAlways (Recalculation Toggle)" </w:instrText>
      </w:r>
      <w:r>
        <w:fldChar w:fldCharType="end"/>
      </w:r>
    </w:p>
    <w:p w:rsidR="00024C0A" w:rsidRDefault="00694C0F">
      <w:pPr>
        <w:pStyle w:val="Definition-Field"/>
      </w:pPr>
      <w:r>
        <w:t xml:space="preserve">a.   </w:t>
      </w:r>
      <w:r>
        <w:rPr>
          <w:i/>
        </w:rPr>
        <w:t>The standa</w:t>
      </w:r>
      <w:r>
        <w:rPr>
          <w:i/>
        </w:rPr>
        <w:t>rd states that this element defines whether the object is always included in recalculation.</w:t>
      </w:r>
    </w:p>
    <w:p w:rsidR="00024C0A" w:rsidRDefault="00694C0F">
      <w:pPr>
        <w:pStyle w:val="Definition-Field2"/>
      </w:pPr>
      <w:r>
        <w:t>Office does not implement the behavior associated with this element and removes the element on save.</w:t>
      </w:r>
    </w:p>
    <w:p w:rsidR="00024C0A" w:rsidRDefault="00694C0F">
      <w:pPr>
        <w:pStyle w:val="Heading3"/>
      </w:pPr>
      <w:bookmarkStart w:id="3773" w:name="section_b74ed70b64c94ef4b19cb45e971224e3"/>
      <w:bookmarkStart w:id="3774" w:name="_Toc12261947"/>
      <w:r>
        <w:lastRenderedPageBreak/>
        <w:t>Part 4 Section 19.4.2.51, RowHidden (Comment's Row is Hidden)</w:t>
      </w:r>
      <w:bookmarkEnd w:id="3773"/>
      <w:bookmarkEnd w:id="3774"/>
      <w:r>
        <w:fldChar w:fldCharType="begin"/>
      </w:r>
      <w:r>
        <w:instrText xml:space="preserve"> X</w:instrText>
      </w:r>
      <w:r>
        <w:instrText xml:space="preserve">E "RowHidden (Comment's Row is Hidden)" </w:instrText>
      </w:r>
      <w:r>
        <w:fldChar w:fldCharType="end"/>
      </w:r>
    </w:p>
    <w:p w:rsidR="00024C0A" w:rsidRDefault="00694C0F">
      <w:pPr>
        <w:pStyle w:val="Definition-Field"/>
      </w:pPr>
      <w:r>
        <w:t xml:space="preserve">a.   </w:t>
      </w:r>
      <w:r>
        <w:rPr>
          <w:i/>
        </w:rPr>
        <w:t>The standard could imply that the RowHidden element may be used to hide a row.</w:t>
      </w:r>
    </w:p>
    <w:p w:rsidR="00024C0A" w:rsidRDefault="00694C0F">
      <w:pPr>
        <w:pStyle w:val="Definition-Field2"/>
      </w:pPr>
      <w:r>
        <w:t>Office uses RowHidden as an indicator of whether the row of the cell to which this comment points is hidden and cannot be used fo</w:t>
      </w:r>
      <w:r>
        <w:t>r hiding a row.  The hidden attribute of the row element ("</w:t>
      </w:r>
      <w:hyperlink r:id="rId271">
        <w:r>
          <w:rPr>
            <w:rStyle w:val="Hyperlink"/>
          </w:rPr>
          <w:t>[ISO/IEC-29500-1]</w:t>
        </w:r>
      </w:hyperlink>
      <w:r>
        <w:t xml:space="preserve"> §18.3.1.73; row") is used for hiding a row.</w:t>
      </w:r>
    </w:p>
    <w:p w:rsidR="00024C0A" w:rsidRDefault="00694C0F">
      <w:pPr>
        <w:pStyle w:val="Heading3"/>
      </w:pPr>
      <w:bookmarkStart w:id="3775" w:name="section_f73499992b8b434ba3ca650b7c61f2b5"/>
      <w:bookmarkStart w:id="3776" w:name="_Toc12261948"/>
      <w:r>
        <w:t>Part 4 Section 19.4.2.59, SizeWithCells (Resize with Cells)</w:t>
      </w:r>
      <w:bookmarkEnd w:id="3775"/>
      <w:bookmarkEnd w:id="3776"/>
      <w:r>
        <w:fldChar w:fldCharType="begin"/>
      </w:r>
      <w:r>
        <w:instrText xml:space="preserve"> XE "SizeWithCells (Resize with Cells)" </w:instrText>
      </w:r>
      <w:r>
        <w:fldChar w:fldCharType="end"/>
      </w:r>
    </w:p>
    <w:p w:rsidR="00024C0A" w:rsidRDefault="00694C0F">
      <w:pPr>
        <w:pStyle w:val="Definition-Field"/>
      </w:pPr>
      <w:r>
        <w:t xml:space="preserve">a.   </w:t>
      </w:r>
      <w:r>
        <w:rPr>
          <w:i/>
        </w:rPr>
        <w:t>The standard defines the meaning of the values true and false for the element.</w:t>
      </w:r>
    </w:p>
    <w:p w:rsidR="00024C0A" w:rsidRDefault="00694C0F">
      <w:pPr>
        <w:pStyle w:val="Definition-Field2"/>
      </w:pPr>
      <w:r>
        <w:t>Excel reverses the meaning of the values true and false for the SizeWithCells element.</w:t>
      </w:r>
    </w:p>
    <w:p w:rsidR="00024C0A" w:rsidRDefault="00694C0F">
      <w:pPr>
        <w:pStyle w:val="Heading3"/>
      </w:pPr>
      <w:bookmarkStart w:id="3777" w:name="section_7669e68deb7549b19058dfcaf5707fd5"/>
      <w:bookmarkStart w:id="3778" w:name="_Toc12261949"/>
      <w:r>
        <w:t>Part 4 Section 19.4.2.61, TextVAlign (Vertical Text Alignment)</w:t>
      </w:r>
      <w:bookmarkEnd w:id="3777"/>
      <w:bookmarkEnd w:id="3778"/>
      <w:r>
        <w:fldChar w:fldCharType="begin"/>
      </w:r>
      <w:r>
        <w:instrText xml:space="preserve"> XE "TextVAlign (Vertical Text Alignment)" </w:instrText>
      </w:r>
      <w:r>
        <w:fldChar w:fldCharType="end"/>
      </w:r>
    </w:p>
    <w:p w:rsidR="00024C0A" w:rsidRDefault="00694C0F">
      <w:pPr>
        <w:pStyle w:val="Definition-Field"/>
      </w:pPr>
      <w:r>
        <w:t xml:space="preserve">a.   </w:t>
      </w:r>
      <w:r>
        <w:rPr>
          <w:i/>
        </w:rPr>
        <w:t>The standard describes a vertical alignment property in terms of horizontal alignment.</w:t>
      </w:r>
    </w:p>
    <w:p w:rsidR="00024C0A" w:rsidRDefault="00694C0F">
      <w:pPr>
        <w:pStyle w:val="Definition-Field2"/>
      </w:pPr>
      <w:r>
        <w:t>Excel considers the TextVAlign element to specify vertic</w:t>
      </w:r>
      <w:r>
        <w:t>al alignment.</w:t>
      </w:r>
    </w:p>
    <w:p w:rsidR="00024C0A" w:rsidRDefault="00694C0F">
      <w:pPr>
        <w:pStyle w:val="Heading3"/>
      </w:pPr>
      <w:bookmarkStart w:id="3779" w:name="section_349abc4ba8f340adb212fe737803b70b"/>
      <w:bookmarkStart w:id="3780" w:name="_Toc12261950"/>
      <w:r>
        <w:t>Part 4 Section 19.4.2.62, UIObj (UI Object Toggle)</w:t>
      </w:r>
      <w:bookmarkEnd w:id="3779"/>
      <w:bookmarkEnd w:id="3780"/>
      <w:r>
        <w:fldChar w:fldCharType="begin"/>
      </w:r>
      <w:r>
        <w:instrText xml:space="preserve"> XE "UIObj (UI Object Toggle)" </w:instrText>
      </w:r>
      <w:r>
        <w:fldChar w:fldCharType="end"/>
      </w:r>
    </w:p>
    <w:p w:rsidR="00024C0A" w:rsidRDefault="00694C0F">
      <w:pPr>
        <w:pStyle w:val="Definition-Field"/>
      </w:pPr>
      <w:r>
        <w:t xml:space="preserve">a.   </w:t>
      </w:r>
      <w:r>
        <w:rPr>
          <w:i/>
        </w:rPr>
        <w:t>The standard doesn't define what a UI Object is.</w:t>
      </w:r>
    </w:p>
    <w:p w:rsidR="00024C0A" w:rsidRDefault="00694C0F">
      <w:pPr>
        <w:pStyle w:val="Definition-Field2"/>
      </w:pPr>
      <w:r>
        <w:t>Excel considers a UI Object to be a graphical object that the user is not able to interact with.</w:t>
      </w:r>
    </w:p>
    <w:p w:rsidR="00024C0A" w:rsidRDefault="00694C0F">
      <w:pPr>
        <w:pStyle w:val="Heading3"/>
      </w:pPr>
      <w:bookmarkStart w:id="3781" w:name="section_f453e8c0282a48efac209554adad68b7"/>
      <w:bookmarkStart w:id="3782" w:name="_Toc12261951"/>
      <w:r>
        <w:t xml:space="preserve">Part 4 </w:t>
      </w:r>
      <w:r>
        <w:t>Section 19.4.2.63, Val (Scroll bar position)</w:t>
      </w:r>
      <w:bookmarkEnd w:id="3781"/>
      <w:bookmarkEnd w:id="3782"/>
      <w:r>
        <w:fldChar w:fldCharType="begin"/>
      </w:r>
      <w:r>
        <w:instrText xml:space="preserve"> XE "Val (Scroll bar position)" </w:instrText>
      </w:r>
      <w:r>
        <w:fldChar w:fldCharType="end"/>
      </w:r>
    </w:p>
    <w:p w:rsidR="00024C0A" w:rsidRDefault="00694C0F">
      <w:pPr>
        <w:pStyle w:val="Definition-Field"/>
      </w:pPr>
      <w:r>
        <w:t xml:space="preserve">a.   </w:t>
      </w:r>
      <w:r>
        <w:rPr>
          <w:i/>
        </w:rPr>
        <w:t>The standard states that the values of this element are defined by the XML Schema integer datatype.</w:t>
      </w:r>
    </w:p>
    <w:p w:rsidR="00024C0A" w:rsidRDefault="00694C0F">
      <w:pPr>
        <w:pStyle w:val="Definition-Field2"/>
      </w:pPr>
      <w:r>
        <w:t>Excel restricts the value of this element to be at least 0 and at most 3</w:t>
      </w:r>
      <w:r>
        <w:t>0000.</w:t>
      </w:r>
    </w:p>
    <w:p w:rsidR="00024C0A" w:rsidRDefault="00694C0F">
      <w:pPr>
        <w:pStyle w:val="Definition-Field"/>
      </w:pPr>
      <w:r>
        <w:t xml:space="preserve">b.   </w:t>
      </w:r>
      <w:r>
        <w:rPr>
          <w:i/>
        </w:rPr>
        <w:t>The standard indicates that the Val element is used for scroll bars and spinners.</w:t>
      </w:r>
    </w:p>
    <w:p w:rsidR="00024C0A" w:rsidRDefault="00694C0F">
      <w:pPr>
        <w:pStyle w:val="Definition-Field2"/>
      </w:pPr>
      <w:r>
        <w:t>Excel also uses the Val element for scroll bars on combo boxes and list boxes.</w:t>
      </w:r>
    </w:p>
    <w:p w:rsidR="00024C0A" w:rsidRDefault="00694C0F">
      <w:pPr>
        <w:pStyle w:val="Heading3"/>
      </w:pPr>
      <w:bookmarkStart w:id="3783" w:name="section_56636a18430443ddbad9302d7e7582fe"/>
      <w:bookmarkStart w:id="3784" w:name="_Toc12261952"/>
      <w:r>
        <w:t>Part 4 Section 19.4.2.64, ValidIds (Valid ID)</w:t>
      </w:r>
      <w:bookmarkEnd w:id="3783"/>
      <w:bookmarkEnd w:id="3784"/>
      <w:r>
        <w:fldChar w:fldCharType="begin"/>
      </w:r>
      <w:r>
        <w:instrText xml:space="preserve"> XE "ValidIds (Valid ID)" </w:instrText>
      </w:r>
      <w:r>
        <w:fldChar w:fldCharType="end"/>
      </w:r>
    </w:p>
    <w:p w:rsidR="00024C0A" w:rsidRDefault="00694C0F">
      <w:pPr>
        <w:pStyle w:val="Definition-Field"/>
      </w:pPr>
      <w:r>
        <w:t xml:space="preserve">a.   </w:t>
      </w:r>
      <w:r>
        <w:rPr>
          <w:i/>
        </w:rPr>
        <w:t>The s</w:t>
      </w:r>
      <w:r>
        <w:rPr>
          <w:i/>
        </w:rPr>
        <w:t>tandard indicates how the ValidIds element is used.</w:t>
      </w:r>
    </w:p>
    <w:p w:rsidR="00024C0A" w:rsidRDefault="00694C0F">
      <w:pPr>
        <w:pStyle w:val="Definition-Field2"/>
      </w:pPr>
      <w:r>
        <w:t>Excel ignores the ValidIds element and does not preserve it on file save.</w:t>
      </w:r>
    </w:p>
    <w:p w:rsidR="00024C0A" w:rsidRDefault="00694C0F">
      <w:pPr>
        <w:pStyle w:val="Heading3"/>
      </w:pPr>
      <w:bookmarkStart w:id="3785" w:name="section_86cba58518844f6aa098d59ea4ba636b"/>
      <w:bookmarkStart w:id="3786" w:name="_Toc12261953"/>
      <w:r>
        <w:t>Part 4 Section 19.4.2.68, WidthMin (Minimum Width)</w:t>
      </w:r>
      <w:bookmarkEnd w:id="3785"/>
      <w:bookmarkEnd w:id="3786"/>
      <w:r>
        <w:fldChar w:fldCharType="begin"/>
      </w:r>
      <w:r>
        <w:instrText xml:space="preserve"> XE "WidthMin (Minimum Width)" </w:instrText>
      </w:r>
      <w:r>
        <w:fldChar w:fldCharType="end"/>
      </w:r>
    </w:p>
    <w:p w:rsidR="00024C0A" w:rsidRDefault="00694C0F">
      <w:pPr>
        <w:pStyle w:val="Definition-Field"/>
      </w:pPr>
      <w:r>
        <w:t xml:space="preserve">a.   </w:t>
      </w:r>
      <w:r>
        <w:rPr>
          <w:i/>
        </w:rPr>
        <w:t>The standard indicates the WidthMin eleme</w:t>
      </w:r>
      <w:r>
        <w:rPr>
          <w:i/>
        </w:rPr>
        <w:t>nt is used for list boxes and dropdowns.</w:t>
      </w:r>
    </w:p>
    <w:p w:rsidR="00024C0A" w:rsidRDefault="00694C0F">
      <w:pPr>
        <w:pStyle w:val="Definition-Field2"/>
      </w:pPr>
      <w:r>
        <w:t>Excel uses the element WidthMin for dropdowns only.</w:t>
      </w:r>
    </w:p>
    <w:p w:rsidR="00024C0A" w:rsidRDefault="00694C0F">
      <w:pPr>
        <w:pStyle w:val="Heading3"/>
      </w:pPr>
      <w:bookmarkStart w:id="3787" w:name="section_4cf33f25c60445a1bd239d283a508e15"/>
      <w:bookmarkStart w:id="3788" w:name="_Toc12261954"/>
      <w:r>
        <w:t>Part 4 Section 19.5.2.2, textdata (VML Diagram Text)</w:t>
      </w:r>
      <w:bookmarkEnd w:id="3787"/>
      <w:bookmarkEnd w:id="3788"/>
      <w:r>
        <w:fldChar w:fldCharType="begin"/>
      </w:r>
      <w:r>
        <w:instrText xml:space="preserve"> XE "textdata (VML Diagram Text)" </w:instrText>
      </w:r>
      <w:r>
        <w:fldChar w:fldCharType="end"/>
      </w:r>
    </w:p>
    <w:p w:rsidR="00024C0A" w:rsidRDefault="00694C0F">
      <w:pPr>
        <w:pStyle w:val="Definition-Field2"/>
      </w:pPr>
      <w:r>
        <w:rPr>
          <w:i/>
        </w:rPr>
        <w:t>For additional notes that apply to this portion of the standard, please se</w:t>
      </w:r>
      <w:r>
        <w:rPr>
          <w:i/>
        </w:rPr>
        <w:t xml:space="preserve">e the notes for </w:t>
      </w:r>
      <w:hyperlink w:anchor="Section_5dab8b917bfb495a9ed59068ef74998d">
        <w:r>
          <w:rPr>
            <w:rStyle w:val="Hyperlink"/>
          </w:rPr>
          <w:t>group, §19.1.2.7(a)</w:t>
        </w:r>
      </w:hyperlink>
      <w:r>
        <w:rPr>
          <w:i/>
        </w:rPr>
        <w:t>.</w:t>
      </w:r>
    </w:p>
    <w:p w:rsidR="00024C0A" w:rsidRDefault="00694C0F">
      <w:pPr>
        <w:pStyle w:val="Heading3"/>
      </w:pPr>
      <w:bookmarkStart w:id="3789" w:name="section_57afc6353ade4d41a7313702bf735c42"/>
      <w:bookmarkStart w:id="3790" w:name="_Toc12261955"/>
      <w:r>
        <w:lastRenderedPageBreak/>
        <w:t>Part 4 Section 20.1.2.3, ST_ColorType (Color Type)</w:t>
      </w:r>
      <w:bookmarkEnd w:id="3789"/>
      <w:bookmarkEnd w:id="3790"/>
      <w:r>
        <w:fldChar w:fldCharType="begin"/>
      </w:r>
      <w:r>
        <w:instrText xml:space="preserve"> XE "ST_ColorType (Color Type)" </w:instrText>
      </w:r>
      <w:r>
        <w:fldChar w:fldCharType="end"/>
      </w:r>
    </w:p>
    <w:p w:rsidR="00024C0A" w:rsidRDefault="00694C0F">
      <w:pPr>
        <w:pStyle w:val="Definition-Field"/>
      </w:pPr>
      <w:r>
        <w:t xml:space="preserve">a.   </w:t>
      </w:r>
      <w:r>
        <w:rPr>
          <w:i/>
        </w:rPr>
        <w:t>The standard does not indicate the valid color palette entry names</w:t>
      </w:r>
      <w:r>
        <w:rPr>
          <w:i/>
        </w:rPr>
        <w:t xml:space="preserve"> for the ST_ColorType simple type.</w:t>
      </w:r>
    </w:p>
    <w:p w:rsidR="00024C0A" w:rsidRDefault="00694C0F">
      <w:r>
        <w:t>In Office, the following color palette entries are supported:</w:t>
      </w:r>
    </w:p>
    <w:p w:rsidR="00024C0A" w:rsidRDefault="00694C0F">
      <w:r>
        <w:rPr>
          <w:i/>
        </w:rPr>
        <w:t>ButtonFace</w:t>
      </w:r>
    </w:p>
    <w:p w:rsidR="00024C0A" w:rsidRDefault="00694C0F">
      <w:r>
        <w:rPr>
          <w:i/>
        </w:rPr>
        <w:t>WindowText</w:t>
      </w:r>
    </w:p>
    <w:p w:rsidR="00024C0A" w:rsidRDefault="00694C0F">
      <w:r>
        <w:rPr>
          <w:i/>
        </w:rPr>
        <w:t>Menu</w:t>
      </w:r>
    </w:p>
    <w:p w:rsidR="00024C0A" w:rsidRDefault="00694C0F">
      <w:r>
        <w:rPr>
          <w:i/>
        </w:rPr>
        <w:t>Highlight</w:t>
      </w:r>
    </w:p>
    <w:p w:rsidR="00024C0A" w:rsidRDefault="00694C0F">
      <w:r>
        <w:rPr>
          <w:i/>
        </w:rPr>
        <w:t>HighlightText</w:t>
      </w:r>
    </w:p>
    <w:p w:rsidR="00024C0A" w:rsidRDefault="00694C0F">
      <w:r>
        <w:rPr>
          <w:i/>
        </w:rPr>
        <w:t>CaptionText</w:t>
      </w:r>
    </w:p>
    <w:p w:rsidR="00024C0A" w:rsidRDefault="00694C0F">
      <w:r>
        <w:rPr>
          <w:i/>
        </w:rPr>
        <w:t>ActiveCaption</w:t>
      </w:r>
    </w:p>
    <w:p w:rsidR="00024C0A" w:rsidRDefault="00694C0F">
      <w:r>
        <w:rPr>
          <w:i/>
        </w:rPr>
        <w:t>ButtonHighlight</w:t>
      </w:r>
    </w:p>
    <w:p w:rsidR="00024C0A" w:rsidRDefault="00694C0F">
      <w:r>
        <w:rPr>
          <w:i/>
        </w:rPr>
        <w:t>ButtonShadow</w:t>
      </w:r>
    </w:p>
    <w:p w:rsidR="00024C0A" w:rsidRDefault="00694C0F">
      <w:r>
        <w:rPr>
          <w:i/>
        </w:rPr>
        <w:t>ButtonText</w:t>
      </w:r>
    </w:p>
    <w:p w:rsidR="00024C0A" w:rsidRDefault="00694C0F">
      <w:r>
        <w:rPr>
          <w:i/>
        </w:rPr>
        <w:t>GrayText</w:t>
      </w:r>
    </w:p>
    <w:p w:rsidR="00024C0A" w:rsidRDefault="00694C0F">
      <w:r>
        <w:rPr>
          <w:i/>
        </w:rPr>
        <w:t>InactiveCaption</w:t>
      </w:r>
    </w:p>
    <w:p w:rsidR="00024C0A" w:rsidRDefault="00694C0F">
      <w:r>
        <w:rPr>
          <w:i/>
        </w:rPr>
        <w:t>InactiveCaptionText</w:t>
      </w:r>
    </w:p>
    <w:p w:rsidR="00024C0A" w:rsidRDefault="00694C0F">
      <w:r>
        <w:rPr>
          <w:i/>
        </w:rPr>
        <w:t>InfoBackground</w:t>
      </w:r>
    </w:p>
    <w:p w:rsidR="00024C0A" w:rsidRDefault="00694C0F">
      <w:r>
        <w:rPr>
          <w:i/>
        </w:rPr>
        <w:t>InfoText</w:t>
      </w:r>
    </w:p>
    <w:p w:rsidR="00024C0A" w:rsidRDefault="00694C0F">
      <w:r>
        <w:rPr>
          <w:i/>
        </w:rPr>
        <w:t>MenuText</w:t>
      </w:r>
    </w:p>
    <w:p w:rsidR="00024C0A" w:rsidRDefault="00694C0F">
      <w:r>
        <w:rPr>
          <w:i/>
        </w:rPr>
        <w:t>Scrollbar</w:t>
      </w:r>
    </w:p>
    <w:p w:rsidR="00024C0A" w:rsidRDefault="00694C0F">
      <w:r>
        <w:rPr>
          <w:i/>
        </w:rPr>
        <w:t>Window</w:t>
      </w:r>
    </w:p>
    <w:p w:rsidR="00024C0A" w:rsidRDefault="00694C0F">
      <w:r>
        <w:rPr>
          <w:i/>
        </w:rPr>
        <w:t>WindowFrame</w:t>
      </w:r>
    </w:p>
    <w:p w:rsidR="00024C0A" w:rsidRDefault="00694C0F">
      <w:r>
        <w:rPr>
          <w:i/>
        </w:rPr>
        <w:t>ThreeDLightShadow</w:t>
      </w:r>
    </w:p>
    <w:p w:rsidR="00024C0A" w:rsidRDefault="00694C0F">
      <w:r>
        <w:rPr>
          <w:i/>
        </w:rPr>
        <w:t>ThreeDDarkShadow</w:t>
      </w:r>
    </w:p>
    <w:p w:rsidR="00024C0A" w:rsidRDefault="00694C0F">
      <w:r>
        <w:rPr>
          <w:i/>
        </w:rPr>
        <w:t>ActiveBorder</w:t>
      </w:r>
    </w:p>
    <w:p w:rsidR="00024C0A" w:rsidRDefault="00694C0F">
      <w:r>
        <w:rPr>
          <w:i/>
        </w:rPr>
        <w:t>InactiveBorder</w:t>
      </w:r>
    </w:p>
    <w:p w:rsidR="00024C0A" w:rsidRDefault="00694C0F">
      <w:r>
        <w:rPr>
          <w:i/>
        </w:rPr>
        <w:t>Background</w:t>
      </w:r>
    </w:p>
    <w:p w:rsidR="00024C0A" w:rsidRDefault="00694C0F">
      <w:r>
        <w:rPr>
          <w:i/>
        </w:rPr>
        <w:t>AppWorkspace</w:t>
      </w:r>
    </w:p>
    <w:p w:rsidR="00024C0A" w:rsidRDefault="00694C0F">
      <w:r>
        <w:rPr>
          <w:i/>
        </w:rPr>
        <w:t>ThreeDFace (</w:t>
      </w:r>
      <w:r>
        <w:t xml:space="preserve">represents the same color as </w:t>
      </w:r>
      <w:r>
        <w:rPr>
          <w:i/>
        </w:rPr>
        <w:t>ButtonFace)</w:t>
      </w:r>
    </w:p>
    <w:p w:rsidR="00024C0A" w:rsidRDefault="00694C0F">
      <w:r>
        <w:rPr>
          <w:i/>
        </w:rPr>
        <w:t>ThreeDShadow (</w:t>
      </w:r>
      <w:r>
        <w:t xml:space="preserve">represents the same </w:t>
      </w:r>
      <w:r>
        <w:t xml:space="preserve">color as </w:t>
      </w:r>
      <w:r>
        <w:rPr>
          <w:i/>
        </w:rPr>
        <w:t>ButtonShadow)</w:t>
      </w:r>
    </w:p>
    <w:p w:rsidR="00024C0A" w:rsidRDefault="00694C0F">
      <w:r>
        <w:rPr>
          <w:i/>
        </w:rPr>
        <w:t>ThreeDHighlight (</w:t>
      </w:r>
      <w:r>
        <w:t xml:space="preserve">represents the same color as </w:t>
      </w:r>
      <w:r>
        <w:rPr>
          <w:i/>
        </w:rPr>
        <w:t>ButtonHighlight)</w:t>
      </w:r>
    </w:p>
    <w:p w:rsidR="00024C0A" w:rsidRDefault="00694C0F">
      <w:r>
        <w:lastRenderedPageBreak/>
        <w:t>[Example:</w:t>
      </w:r>
    </w:p>
    <w:p w:rsidR="00024C0A" w:rsidRDefault="00694C0F">
      <w:pPr>
        <w:pStyle w:val="Code"/>
      </w:pPr>
      <w:r>
        <w:t>&lt;... color="InactiveCaption" ... &gt;</w:t>
      </w:r>
    </w:p>
    <w:p w:rsidR="00024C0A" w:rsidRDefault="00694C0F">
      <w:r>
        <w:t>end example]</w:t>
      </w:r>
    </w:p>
    <w:p w:rsidR="00024C0A" w:rsidRDefault="00694C0F">
      <w:pPr>
        <w:pStyle w:val="Definition-Field"/>
      </w:pPr>
      <w:r>
        <w:t xml:space="preserve">b.   </w:t>
      </w:r>
      <w:r>
        <w:rPr>
          <w:i/>
        </w:rPr>
        <w:t>The standard indicates the kinds of values that the ST_ColorType simple type uses.</w:t>
      </w:r>
    </w:p>
    <w:p w:rsidR="00024C0A" w:rsidRDefault="00694C0F">
      <w:r>
        <w:t>In Office, decimal RGB i</w:t>
      </w:r>
      <w:r>
        <w:t>s specified using “rgb” followed by three comma-separated values in parentheses.  These values are an ordered set in the range 0-255 and represent the red, green, and blue components of the color.</w:t>
      </w:r>
    </w:p>
    <w:p w:rsidR="00024C0A" w:rsidRDefault="00694C0F">
      <w:r>
        <w:t>[Example:</w:t>
      </w:r>
    </w:p>
    <w:p w:rsidR="00024C0A" w:rsidRDefault="00694C0F">
      <w:pPr>
        <w:pStyle w:val="Code"/>
      </w:pPr>
      <w:r>
        <w:t>&lt; ... color="rgb(95,39,38)" ... &gt;</w:t>
      </w:r>
    </w:p>
    <w:p w:rsidR="00024C0A" w:rsidRDefault="00694C0F">
      <w:r>
        <w:t>end example]</w:t>
      </w:r>
    </w:p>
    <w:p w:rsidR="00024C0A" w:rsidRDefault="00694C0F">
      <w:pPr>
        <w:pStyle w:val="Definition-Field"/>
      </w:pPr>
      <w:r>
        <w:t xml:space="preserve">c.   </w:t>
      </w:r>
      <w:r>
        <w:rPr>
          <w:i/>
        </w:rPr>
        <w:t>The standard describes the kinds of values that the ST_ColorType simple type uses.</w:t>
      </w:r>
    </w:p>
    <w:p w:rsidR="00024C0A" w:rsidRDefault="00694C0F">
      <w:r>
        <w:t>In Office, decimal RGB is specified using rgb followed by three comma-separated values in parentheses.  These values are an ordered set in the range 0-255 and represent</w:t>
      </w:r>
      <w:r>
        <w:t xml:space="preserve"> the red, green, and blue components of the color.</w:t>
      </w:r>
    </w:p>
    <w:p w:rsidR="00024C0A" w:rsidRDefault="00694C0F">
      <w:r>
        <w:t>[Example:</w:t>
      </w:r>
    </w:p>
    <w:p w:rsidR="00024C0A" w:rsidRDefault="00694C0F">
      <w:pPr>
        <w:pStyle w:val="Code"/>
      </w:pPr>
      <w:r>
        <w:t>&lt; ... color="rgb(95,39,38)" ... &gt;</w:t>
      </w:r>
    </w:p>
    <w:p w:rsidR="00024C0A" w:rsidRDefault="00694C0F">
      <w:r>
        <w:t>end example]</w:t>
      </w:r>
    </w:p>
    <w:p w:rsidR="00024C0A" w:rsidRDefault="00694C0F">
      <w:pPr>
        <w:pStyle w:val="Definition-Field"/>
      </w:pPr>
      <w:r>
        <w:t xml:space="preserve">d.   </w:t>
      </w:r>
      <w:r>
        <w:rPr>
          <w:i/>
        </w:rPr>
        <w:t>The standard does not state that the value of the ST_ColorType simple type can be specified using three-character hexadecimal RGB notation.</w:t>
      </w:r>
    </w:p>
    <w:p w:rsidR="00024C0A" w:rsidRDefault="00694C0F">
      <w:pPr>
        <w:pStyle w:val="Definition-Field2"/>
      </w:pPr>
      <w:r>
        <w:t>Off</w:t>
      </w:r>
      <w:r>
        <w:t>ice does allow this simple type to be specified in this way.</w:t>
      </w:r>
    </w:p>
    <w:p w:rsidR="00024C0A" w:rsidRDefault="00694C0F">
      <w:pPr>
        <w:pStyle w:val="Definition-Field"/>
      </w:pPr>
      <w:r>
        <w:t xml:space="preserve">e.   </w:t>
      </w:r>
      <w:r>
        <w:rPr>
          <w:i/>
        </w:rPr>
        <w:t>The standard does not indicate the valid color palette entry names for the ST_ColorType simple type.</w:t>
      </w:r>
    </w:p>
    <w:p w:rsidR="00024C0A" w:rsidRDefault="00694C0F">
      <w:r>
        <w:t>In Office, the following color palette entries are supported:</w:t>
      </w:r>
    </w:p>
    <w:p w:rsidR="00024C0A" w:rsidRDefault="00694C0F">
      <w:r>
        <w:rPr>
          <w:i/>
        </w:rPr>
        <w:t>ButtonFace</w:t>
      </w:r>
    </w:p>
    <w:p w:rsidR="00024C0A" w:rsidRDefault="00694C0F">
      <w:r>
        <w:rPr>
          <w:i/>
        </w:rPr>
        <w:t>WindowText</w:t>
      </w:r>
    </w:p>
    <w:p w:rsidR="00024C0A" w:rsidRDefault="00694C0F">
      <w:r>
        <w:rPr>
          <w:i/>
        </w:rPr>
        <w:t>Menu</w:t>
      </w:r>
    </w:p>
    <w:p w:rsidR="00024C0A" w:rsidRDefault="00694C0F">
      <w:r>
        <w:rPr>
          <w:i/>
        </w:rPr>
        <w:t>Highlight</w:t>
      </w:r>
    </w:p>
    <w:p w:rsidR="00024C0A" w:rsidRDefault="00694C0F">
      <w:r>
        <w:rPr>
          <w:i/>
        </w:rPr>
        <w:t>HighlightText</w:t>
      </w:r>
    </w:p>
    <w:p w:rsidR="00024C0A" w:rsidRDefault="00694C0F">
      <w:r>
        <w:rPr>
          <w:i/>
        </w:rPr>
        <w:t>CaptionText</w:t>
      </w:r>
    </w:p>
    <w:p w:rsidR="00024C0A" w:rsidRDefault="00694C0F">
      <w:r>
        <w:rPr>
          <w:i/>
        </w:rPr>
        <w:t>ActiveCaption</w:t>
      </w:r>
    </w:p>
    <w:p w:rsidR="00024C0A" w:rsidRDefault="00694C0F">
      <w:r>
        <w:rPr>
          <w:i/>
        </w:rPr>
        <w:t>ButtonHighlight</w:t>
      </w:r>
    </w:p>
    <w:p w:rsidR="00024C0A" w:rsidRDefault="00694C0F">
      <w:r>
        <w:rPr>
          <w:i/>
        </w:rPr>
        <w:t>ButtonShadow</w:t>
      </w:r>
    </w:p>
    <w:p w:rsidR="00024C0A" w:rsidRDefault="00694C0F">
      <w:r>
        <w:rPr>
          <w:i/>
        </w:rPr>
        <w:lastRenderedPageBreak/>
        <w:t>ButtonText</w:t>
      </w:r>
    </w:p>
    <w:p w:rsidR="00024C0A" w:rsidRDefault="00694C0F">
      <w:r>
        <w:rPr>
          <w:i/>
        </w:rPr>
        <w:t>GrayText</w:t>
      </w:r>
    </w:p>
    <w:p w:rsidR="00024C0A" w:rsidRDefault="00694C0F">
      <w:r>
        <w:rPr>
          <w:i/>
        </w:rPr>
        <w:t>InactiveCaption</w:t>
      </w:r>
    </w:p>
    <w:p w:rsidR="00024C0A" w:rsidRDefault="00694C0F">
      <w:r>
        <w:rPr>
          <w:i/>
        </w:rPr>
        <w:t>InactiveCaptionText</w:t>
      </w:r>
    </w:p>
    <w:p w:rsidR="00024C0A" w:rsidRDefault="00694C0F">
      <w:r>
        <w:rPr>
          <w:i/>
        </w:rPr>
        <w:t>InfoBackground</w:t>
      </w:r>
    </w:p>
    <w:p w:rsidR="00024C0A" w:rsidRDefault="00694C0F">
      <w:r>
        <w:rPr>
          <w:i/>
        </w:rPr>
        <w:t>InfoText</w:t>
      </w:r>
    </w:p>
    <w:p w:rsidR="00024C0A" w:rsidRDefault="00694C0F">
      <w:r>
        <w:rPr>
          <w:i/>
        </w:rPr>
        <w:t>MenuText</w:t>
      </w:r>
    </w:p>
    <w:p w:rsidR="00024C0A" w:rsidRDefault="00694C0F">
      <w:r>
        <w:rPr>
          <w:i/>
        </w:rPr>
        <w:t>Scrollbar</w:t>
      </w:r>
    </w:p>
    <w:p w:rsidR="00024C0A" w:rsidRDefault="00694C0F">
      <w:r>
        <w:rPr>
          <w:i/>
        </w:rPr>
        <w:t>Window</w:t>
      </w:r>
    </w:p>
    <w:p w:rsidR="00024C0A" w:rsidRDefault="00694C0F">
      <w:r>
        <w:rPr>
          <w:i/>
        </w:rPr>
        <w:t>WindowFrame</w:t>
      </w:r>
    </w:p>
    <w:p w:rsidR="00024C0A" w:rsidRDefault="00694C0F">
      <w:r>
        <w:rPr>
          <w:i/>
        </w:rPr>
        <w:t>ThreeDLightShadow</w:t>
      </w:r>
    </w:p>
    <w:p w:rsidR="00024C0A" w:rsidRDefault="00694C0F">
      <w:r>
        <w:rPr>
          <w:i/>
        </w:rPr>
        <w:t>ThreeDDarkShadow</w:t>
      </w:r>
    </w:p>
    <w:p w:rsidR="00024C0A" w:rsidRDefault="00694C0F">
      <w:r>
        <w:rPr>
          <w:i/>
        </w:rPr>
        <w:t>ActiveBorder</w:t>
      </w:r>
    </w:p>
    <w:p w:rsidR="00024C0A" w:rsidRDefault="00694C0F">
      <w:r>
        <w:rPr>
          <w:i/>
        </w:rPr>
        <w:t>InactiveBorder</w:t>
      </w:r>
    </w:p>
    <w:p w:rsidR="00024C0A" w:rsidRDefault="00694C0F">
      <w:r>
        <w:rPr>
          <w:i/>
        </w:rPr>
        <w:t>Background</w:t>
      </w:r>
    </w:p>
    <w:p w:rsidR="00024C0A" w:rsidRDefault="00694C0F">
      <w:r>
        <w:rPr>
          <w:i/>
        </w:rPr>
        <w:t>AppWorkspace</w:t>
      </w:r>
    </w:p>
    <w:p w:rsidR="00024C0A" w:rsidRDefault="00694C0F">
      <w:r>
        <w:rPr>
          <w:i/>
        </w:rPr>
        <w:t>ThreeDFace</w:t>
      </w:r>
      <w:r>
        <w:t xml:space="preserve"> (represents the same color as </w:t>
      </w:r>
      <w:r>
        <w:rPr>
          <w:i/>
        </w:rPr>
        <w:t>ButtonFace</w:t>
      </w:r>
      <w:r>
        <w:t>)</w:t>
      </w:r>
    </w:p>
    <w:p w:rsidR="00024C0A" w:rsidRDefault="00694C0F">
      <w:r>
        <w:rPr>
          <w:i/>
        </w:rPr>
        <w:t>ThreeDShadow</w:t>
      </w:r>
      <w:r>
        <w:t xml:space="preserve"> (represents the same color as </w:t>
      </w:r>
      <w:r>
        <w:rPr>
          <w:i/>
        </w:rPr>
        <w:t>ButtonShadow</w:t>
      </w:r>
      <w:r>
        <w:t>)</w:t>
      </w:r>
    </w:p>
    <w:p w:rsidR="00024C0A" w:rsidRDefault="00694C0F">
      <w:r>
        <w:rPr>
          <w:i/>
        </w:rPr>
        <w:t>ThreeDHighlight</w:t>
      </w:r>
      <w:r>
        <w:t xml:space="preserve"> (represents the same color as </w:t>
      </w:r>
      <w:r>
        <w:rPr>
          <w:i/>
        </w:rPr>
        <w:t>ButtonHighlight</w:t>
      </w:r>
      <w:r>
        <w:t>)</w:t>
      </w:r>
    </w:p>
    <w:p w:rsidR="00024C0A" w:rsidRDefault="00694C0F">
      <w:r>
        <w:t>[Example:</w:t>
      </w:r>
    </w:p>
    <w:p w:rsidR="00024C0A" w:rsidRDefault="00694C0F">
      <w:pPr>
        <w:pStyle w:val="Code"/>
      </w:pPr>
      <w:r>
        <w:t>&lt;... color="InactiveCaption" ... &gt;</w:t>
      </w:r>
    </w:p>
    <w:p w:rsidR="00024C0A" w:rsidRDefault="00694C0F">
      <w:r>
        <w:t>end example]</w:t>
      </w:r>
    </w:p>
    <w:p w:rsidR="00024C0A" w:rsidRDefault="00694C0F">
      <w:pPr>
        <w:pStyle w:val="Definition-Field"/>
      </w:pPr>
      <w:r>
        <w:t xml:space="preserve">f.   </w:t>
      </w:r>
      <w:r>
        <w:rPr>
          <w:i/>
        </w:rPr>
        <w:t>The standard indicates the kinds of values that the ST_ColorType simple type uses.</w:t>
      </w:r>
    </w:p>
    <w:p w:rsidR="00024C0A" w:rsidRDefault="00694C0F">
      <w:r>
        <w:t>In Office, a color palette entry is specified using wincolor followed by a number in parentheses.  The number is the zero-based index of a color in the pa</w:t>
      </w:r>
      <w:r>
        <w:t>lette as described in the preceding section.</w:t>
      </w:r>
    </w:p>
    <w:p w:rsidR="00024C0A" w:rsidRDefault="00694C0F">
      <w:r>
        <w:t>[Example:</w:t>
      </w:r>
    </w:p>
    <w:p w:rsidR="00024C0A" w:rsidRDefault="00694C0F">
      <w:pPr>
        <w:pStyle w:val="Code"/>
      </w:pPr>
      <w:r>
        <w:t>&lt;... color="wincolor(11)" ... &gt;</w:t>
      </w:r>
    </w:p>
    <w:p w:rsidR="00024C0A" w:rsidRDefault="00694C0F">
      <w:r>
        <w:t>end example]</w:t>
      </w:r>
    </w:p>
    <w:p w:rsidR="00024C0A" w:rsidRDefault="00694C0F">
      <w:pPr>
        <w:pStyle w:val="Definition-Field"/>
      </w:pPr>
      <w:r>
        <w:t xml:space="preserve">g.   </w:t>
      </w:r>
      <w:r>
        <w:rPr>
          <w:i/>
        </w:rPr>
        <w:t>The standard does not state that the value of the ST_ColorType simple type can be specified using a named shape property notation.</w:t>
      </w:r>
    </w:p>
    <w:p w:rsidR="00024C0A" w:rsidRDefault="00694C0F">
      <w:r>
        <w:t>Office supports a na</w:t>
      </w:r>
      <w:r>
        <w:t>med shape property notation as a value for the simple type. A property is specified using 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lastRenderedPageBreak/>
              <w:t>Property</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i/>
              </w:rPr>
              <w:t>fill</w:t>
            </w:r>
          </w:p>
        </w:tc>
        <w:tc>
          <w:tcPr>
            <w:tcW w:w="0" w:type="auto"/>
            <w:vAlign w:val="center"/>
          </w:tcPr>
          <w:p w:rsidR="00024C0A" w:rsidRDefault="00694C0F">
            <w:pPr>
              <w:pStyle w:val="TableBodyText"/>
            </w:pPr>
            <w:r>
              <w:t>Fill color</w:t>
            </w:r>
          </w:p>
        </w:tc>
      </w:tr>
      <w:tr w:rsidR="00024C0A" w:rsidTr="00024C0A">
        <w:tc>
          <w:tcPr>
            <w:tcW w:w="0" w:type="auto"/>
            <w:vAlign w:val="center"/>
          </w:tcPr>
          <w:p w:rsidR="00024C0A" w:rsidRDefault="00694C0F">
            <w:pPr>
              <w:pStyle w:val="TableBodyText"/>
            </w:pPr>
            <w:r>
              <w:rPr>
                <w:i/>
              </w:rPr>
              <w:t>line</w:t>
            </w:r>
          </w:p>
        </w:tc>
        <w:tc>
          <w:tcPr>
            <w:tcW w:w="0" w:type="auto"/>
            <w:vAlign w:val="center"/>
          </w:tcPr>
          <w:p w:rsidR="00024C0A" w:rsidRDefault="00694C0F">
            <w:pPr>
              <w:pStyle w:val="TableBodyText"/>
            </w:pPr>
            <w:r>
              <w:t>Line color</w:t>
            </w:r>
          </w:p>
        </w:tc>
      </w:tr>
      <w:tr w:rsidR="00024C0A" w:rsidTr="00024C0A">
        <w:tc>
          <w:tcPr>
            <w:tcW w:w="0" w:type="auto"/>
            <w:vAlign w:val="center"/>
          </w:tcPr>
          <w:p w:rsidR="00024C0A" w:rsidRDefault="00694C0F">
            <w:pPr>
              <w:pStyle w:val="TableBodyText"/>
            </w:pPr>
            <w:r>
              <w:rPr>
                <w:i/>
              </w:rPr>
              <w:t>lineOrFill</w:t>
            </w:r>
          </w:p>
        </w:tc>
        <w:tc>
          <w:tcPr>
            <w:tcW w:w="0" w:type="auto"/>
            <w:vAlign w:val="center"/>
          </w:tcPr>
          <w:p w:rsidR="00024C0A" w:rsidRDefault="00694C0F">
            <w:pPr>
              <w:pStyle w:val="TableBodyText"/>
            </w:pPr>
            <w:r>
              <w:t xml:space="preserve">Line color if </w:t>
            </w:r>
            <w:r>
              <w:t>specified, otherwise, the fill color</w:t>
            </w:r>
          </w:p>
        </w:tc>
      </w:tr>
      <w:tr w:rsidR="00024C0A" w:rsidTr="00024C0A">
        <w:tc>
          <w:tcPr>
            <w:tcW w:w="0" w:type="auto"/>
            <w:vAlign w:val="center"/>
          </w:tcPr>
          <w:p w:rsidR="00024C0A" w:rsidRDefault="00694C0F">
            <w:pPr>
              <w:pStyle w:val="TableBodyText"/>
            </w:pPr>
            <w:r>
              <w:rPr>
                <w:i/>
              </w:rPr>
              <w:t>fillThenLine</w:t>
            </w:r>
          </w:p>
        </w:tc>
        <w:tc>
          <w:tcPr>
            <w:tcW w:w="0" w:type="auto"/>
            <w:vAlign w:val="center"/>
          </w:tcPr>
          <w:p w:rsidR="00024C0A" w:rsidRDefault="00694C0F">
            <w:pPr>
              <w:pStyle w:val="TableBodyText"/>
            </w:pPr>
            <w:r>
              <w:t>Fill color if specified, otherwise, the line color</w:t>
            </w:r>
          </w:p>
        </w:tc>
      </w:tr>
      <w:tr w:rsidR="00024C0A" w:rsidTr="00024C0A">
        <w:tc>
          <w:tcPr>
            <w:tcW w:w="0" w:type="auto"/>
            <w:vAlign w:val="center"/>
          </w:tcPr>
          <w:p w:rsidR="00024C0A" w:rsidRDefault="00694C0F">
            <w:pPr>
              <w:pStyle w:val="TableBodyText"/>
            </w:pPr>
            <w:r>
              <w:rPr>
                <w:i/>
              </w:rPr>
              <w:t>fillBack</w:t>
            </w:r>
          </w:p>
        </w:tc>
        <w:tc>
          <w:tcPr>
            <w:tcW w:w="0" w:type="auto"/>
            <w:vAlign w:val="center"/>
          </w:tcPr>
          <w:p w:rsidR="00024C0A" w:rsidRDefault="00694C0F">
            <w:pPr>
              <w:pStyle w:val="TableBodyText"/>
            </w:pPr>
            <w:r>
              <w:t>Fill background color</w:t>
            </w:r>
          </w:p>
        </w:tc>
      </w:tr>
      <w:tr w:rsidR="00024C0A" w:rsidTr="00024C0A">
        <w:tc>
          <w:tcPr>
            <w:tcW w:w="0" w:type="auto"/>
            <w:vAlign w:val="center"/>
          </w:tcPr>
          <w:p w:rsidR="00024C0A" w:rsidRDefault="00694C0F">
            <w:pPr>
              <w:pStyle w:val="TableBodyText"/>
            </w:pPr>
            <w:r>
              <w:rPr>
                <w:i/>
              </w:rPr>
              <w:t>lineBack</w:t>
            </w:r>
          </w:p>
        </w:tc>
        <w:tc>
          <w:tcPr>
            <w:tcW w:w="0" w:type="auto"/>
            <w:vAlign w:val="center"/>
          </w:tcPr>
          <w:p w:rsidR="00024C0A" w:rsidRDefault="00694C0F">
            <w:pPr>
              <w:pStyle w:val="TableBodyText"/>
            </w:pPr>
            <w:r>
              <w:t>Line background color</w:t>
            </w:r>
          </w:p>
        </w:tc>
      </w:tr>
      <w:tr w:rsidR="00024C0A" w:rsidTr="00024C0A">
        <w:tc>
          <w:tcPr>
            <w:tcW w:w="0" w:type="auto"/>
            <w:vAlign w:val="center"/>
          </w:tcPr>
          <w:p w:rsidR="00024C0A" w:rsidRDefault="00694C0F">
            <w:pPr>
              <w:pStyle w:val="TableBodyText"/>
            </w:pPr>
            <w:r>
              <w:rPr>
                <w:i/>
              </w:rPr>
              <w:t>shadow</w:t>
            </w:r>
          </w:p>
        </w:tc>
        <w:tc>
          <w:tcPr>
            <w:tcW w:w="0" w:type="auto"/>
            <w:vAlign w:val="center"/>
          </w:tcPr>
          <w:p w:rsidR="00024C0A" w:rsidRDefault="00694C0F">
            <w:pPr>
              <w:pStyle w:val="TableBodyText"/>
            </w:pPr>
            <w:r>
              <w:t>Shadow color</w:t>
            </w:r>
          </w:p>
        </w:tc>
      </w:tr>
      <w:tr w:rsidR="00024C0A" w:rsidTr="00024C0A">
        <w:tc>
          <w:tcPr>
            <w:tcW w:w="0" w:type="auto"/>
            <w:vAlign w:val="center"/>
          </w:tcPr>
          <w:p w:rsidR="00024C0A" w:rsidRDefault="00694C0F">
            <w:pPr>
              <w:pStyle w:val="TableBodyText"/>
            </w:pPr>
            <w:r>
              <w:rPr>
                <w:i/>
              </w:rPr>
              <w:t>none</w:t>
            </w:r>
          </w:p>
        </w:tc>
        <w:tc>
          <w:tcPr>
            <w:tcW w:w="0" w:type="auto"/>
            <w:vAlign w:val="center"/>
          </w:tcPr>
          <w:p w:rsidR="00024C0A" w:rsidRDefault="00694C0F">
            <w:pPr>
              <w:pStyle w:val="TableBodyText"/>
            </w:pPr>
            <w:r>
              <w:t>No color</w:t>
            </w:r>
          </w:p>
        </w:tc>
      </w:tr>
    </w:tbl>
    <w:p w:rsidR="00024C0A" w:rsidRDefault="00024C0A"/>
    <w:p w:rsidR="00024C0A" w:rsidRDefault="00694C0F">
      <w:r>
        <w:t xml:space="preserve"> [Example:</w:t>
      </w:r>
    </w:p>
    <w:p w:rsidR="00024C0A" w:rsidRDefault="00694C0F">
      <w:pPr>
        <w:pStyle w:val="Code"/>
      </w:pPr>
      <w:r>
        <w:t>&lt;... color="lineOrFill" ... &gt;</w:t>
      </w:r>
    </w:p>
    <w:p w:rsidR="00024C0A" w:rsidRDefault="00694C0F">
      <w:r>
        <w:t xml:space="preserve">end </w:t>
      </w:r>
      <w:r>
        <w:t>example]</w:t>
      </w:r>
    </w:p>
    <w:p w:rsidR="00024C0A" w:rsidRDefault="00694C0F">
      <w:pPr>
        <w:pStyle w:val="Definition-Field"/>
      </w:pPr>
      <w:r>
        <w:t xml:space="preserve">h.   </w:t>
      </w:r>
      <w:r>
        <w:rPr>
          <w:i/>
        </w:rPr>
        <w:t>The standard indicates that the recoloring instruction behavior is application-specific.</w:t>
      </w:r>
    </w:p>
    <w:p w:rsidR="00024C0A" w:rsidRDefault="00694C0F">
      <w:r>
        <w:t>Office 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Instruction</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i/>
              </w:rPr>
              <w:t>darken</w:t>
            </w:r>
          </w:p>
        </w:tc>
        <w:tc>
          <w:tcPr>
            <w:tcW w:w="0" w:type="auto"/>
            <w:vAlign w:val="center"/>
          </w:tcPr>
          <w:p w:rsidR="00024C0A" w:rsidRDefault="00694C0F">
            <w:pPr>
              <w:pStyle w:val="TableBodyText"/>
            </w:pPr>
            <w:r>
              <w:t>Scale each color component by A/256.</w:t>
            </w:r>
          </w:p>
        </w:tc>
      </w:tr>
      <w:tr w:rsidR="00024C0A" w:rsidTr="00024C0A">
        <w:tc>
          <w:tcPr>
            <w:tcW w:w="0" w:type="auto"/>
            <w:vAlign w:val="center"/>
          </w:tcPr>
          <w:p w:rsidR="00024C0A" w:rsidRDefault="00694C0F">
            <w:pPr>
              <w:pStyle w:val="TableBodyText"/>
            </w:pPr>
            <w:r>
              <w:rPr>
                <w:i/>
              </w:rPr>
              <w:t>lighten</w:t>
            </w:r>
          </w:p>
        </w:tc>
        <w:tc>
          <w:tcPr>
            <w:tcW w:w="0" w:type="auto"/>
            <w:vAlign w:val="center"/>
          </w:tcPr>
          <w:p w:rsidR="00024C0A" w:rsidRDefault="00694C0F">
            <w:pPr>
              <w:pStyle w:val="TableBodyText"/>
            </w:pPr>
            <w:r>
              <w:t>Scale the inverse of each color component by A/256, then invert the result.</w:t>
            </w:r>
          </w:p>
        </w:tc>
      </w:tr>
      <w:tr w:rsidR="00024C0A" w:rsidTr="00024C0A">
        <w:tc>
          <w:tcPr>
            <w:tcW w:w="0" w:type="auto"/>
            <w:vAlign w:val="center"/>
          </w:tcPr>
          <w:p w:rsidR="00024C0A" w:rsidRDefault="00694C0F">
            <w:pPr>
              <w:pStyle w:val="TableBodyText"/>
            </w:pPr>
            <w:r>
              <w:rPr>
                <w:i/>
              </w:rPr>
              <w:t>add</w:t>
            </w:r>
          </w:p>
        </w:tc>
        <w:tc>
          <w:tcPr>
            <w:tcW w:w="0" w:type="auto"/>
            <w:vAlign w:val="center"/>
          </w:tcPr>
          <w:p w:rsidR="00024C0A" w:rsidRDefault="00694C0F">
            <w:pPr>
              <w:pStyle w:val="TableBodyText"/>
            </w:pPr>
            <w:r>
              <w:t>Add A to each color component, limited to a maximum value of 255.</w:t>
            </w:r>
          </w:p>
        </w:tc>
      </w:tr>
      <w:tr w:rsidR="00024C0A" w:rsidTr="00024C0A">
        <w:tc>
          <w:tcPr>
            <w:tcW w:w="0" w:type="auto"/>
            <w:vAlign w:val="center"/>
          </w:tcPr>
          <w:p w:rsidR="00024C0A" w:rsidRDefault="00694C0F">
            <w:pPr>
              <w:pStyle w:val="TableBodyText"/>
            </w:pPr>
            <w:r>
              <w:rPr>
                <w:i/>
              </w:rPr>
              <w:t>subtract</w:t>
            </w:r>
          </w:p>
        </w:tc>
        <w:tc>
          <w:tcPr>
            <w:tcW w:w="0" w:type="auto"/>
            <w:vAlign w:val="center"/>
          </w:tcPr>
          <w:p w:rsidR="00024C0A" w:rsidRDefault="00694C0F">
            <w:pPr>
              <w:pStyle w:val="TableBodyText"/>
            </w:pPr>
            <w:r>
              <w:t xml:space="preserve">Subtract A from each color component, </w:t>
            </w:r>
            <w:r>
              <w:t>limited to a minimum value of 0.</w:t>
            </w:r>
          </w:p>
        </w:tc>
      </w:tr>
      <w:tr w:rsidR="00024C0A" w:rsidTr="00024C0A">
        <w:tc>
          <w:tcPr>
            <w:tcW w:w="0" w:type="auto"/>
            <w:vAlign w:val="center"/>
          </w:tcPr>
          <w:p w:rsidR="00024C0A" w:rsidRDefault="00694C0F">
            <w:pPr>
              <w:pStyle w:val="TableBodyText"/>
            </w:pPr>
            <w:r>
              <w:rPr>
                <w:i/>
              </w:rPr>
              <w:t>reverseSubtract</w:t>
            </w:r>
          </w:p>
        </w:tc>
        <w:tc>
          <w:tcPr>
            <w:tcW w:w="0" w:type="auto"/>
            <w:vAlign w:val="center"/>
          </w:tcPr>
          <w:p w:rsidR="00024C0A" w:rsidRDefault="00694C0F">
            <w:pPr>
              <w:pStyle w:val="TableBodyText"/>
            </w:pPr>
            <w:r>
              <w:t xml:space="preserve">Subtract each color component from A, limited to a minimum value of 0. </w:t>
            </w:r>
          </w:p>
        </w:tc>
      </w:tr>
      <w:tr w:rsidR="00024C0A" w:rsidTr="00024C0A">
        <w:tc>
          <w:tcPr>
            <w:tcW w:w="0" w:type="auto"/>
            <w:vAlign w:val="center"/>
          </w:tcPr>
          <w:p w:rsidR="00024C0A" w:rsidRDefault="00694C0F">
            <w:pPr>
              <w:pStyle w:val="TableBodyText"/>
            </w:pPr>
            <w:r>
              <w:rPr>
                <w:i/>
              </w:rPr>
              <w:t>blackWhite</w:t>
            </w:r>
          </w:p>
        </w:tc>
        <w:tc>
          <w:tcPr>
            <w:tcW w:w="0" w:type="auto"/>
            <w:vAlign w:val="center"/>
          </w:tcPr>
          <w:p w:rsidR="00024C0A" w:rsidRDefault="00694C0F">
            <w:pPr>
              <w:pStyle w:val="TableBodyText"/>
            </w:pPr>
            <w:r>
              <w:t>A color component is 0 if less than A, otherwise 255.</w:t>
            </w:r>
          </w:p>
        </w:tc>
      </w:tr>
      <w:tr w:rsidR="00024C0A" w:rsidTr="00024C0A">
        <w:tc>
          <w:tcPr>
            <w:tcW w:w="0" w:type="auto"/>
            <w:vAlign w:val="center"/>
          </w:tcPr>
          <w:p w:rsidR="00024C0A" w:rsidRDefault="00694C0F">
            <w:pPr>
              <w:pStyle w:val="TableBodyText"/>
            </w:pPr>
            <w:r>
              <w:rPr>
                <w:i/>
              </w:rPr>
              <w:t>invert</w:t>
            </w:r>
          </w:p>
        </w:tc>
        <w:tc>
          <w:tcPr>
            <w:tcW w:w="0" w:type="auto"/>
            <w:vAlign w:val="center"/>
          </w:tcPr>
          <w:p w:rsidR="00024C0A" w:rsidRDefault="00694C0F">
            <w:pPr>
              <w:pStyle w:val="TableBodyText"/>
            </w:pPr>
            <w:r>
              <w:t>Subtract each color component from 255.</w:t>
            </w:r>
          </w:p>
        </w:tc>
      </w:tr>
      <w:tr w:rsidR="00024C0A" w:rsidTr="00024C0A">
        <w:tc>
          <w:tcPr>
            <w:tcW w:w="0" w:type="auto"/>
            <w:vAlign w:val="center"/>
          </w:tcPr>
          <w:p w:rsidR="00024C0A" w:rsidRDefault="00694C0F">
            <w:pPr>
              <w:pStyle w:val="TableBodyText"/>
            </w:pPr>
            <w:r>
              <w:rPr>
                <w:i/>
              </w:rPr>
              <w:t>invert128</w:t>
            </w:r>
          </w:p>
        </w:tc>
        <w:tc>
          <w:tcPr>
            <w:tcW w:w="0" w:type="auto"/>
            <w:vAlign w:val="center"/>
          </w:tcPr>
          <w:p w:rsidR="00024C0A" w:rsidRDefault="00694C0F">
            <w:pPr>
              <w:pStyle w:val="TableBodyText"/>
            </w:pPr>
            <w:r>
              <w:t xml:space="preserve">For each </w:t>
            </w:r>
            <w:r>
              <w:t>color component less than 128, add 128 to it, otherwise subtract 128 from it.</w:t>
            </w:r>
          </w:p>
        </w:tc>
      </w:tr>
      <w:tr w:rsidR="00024C0A" w:rsidTr="00024C0A">
        <w:tc>
          <w:tcPr>
            <w:tcW w:w="0" w:type="auto"/>
            <w:vAlign w:val="center"/>
          </w:tcPr>
          <w:p w:rsidR="00024C0A" w:rsidRDefault="00694C0F">
            <w:pPr>
              <w:pStyle w:val="TableBodyText"/>
            </w:pPr>
            <w:r>
              <w:rPr>
                <w:i/>
              </w:rPr>
              <w:t>grayScale</w:t>
            </w:r>
          </w:p>
        </w:tc>
        <w:tc>
          <w:tcPr>
            <w:tcW w:w="0" w:type="auto"/>
            <w:vAlign w:val="center"/>
          </w:tcPr>
          <w:p w:rsidR="00024C0A" w:rsidRDefault="00694C0F">
            <w:pPr>
              <w:pStyle w:val="TableBodyText"/>
            </w:pPr>
            <w:r>
              <w:t>Convert the color to a grayscale equivalent.</w:t>
            </w:r>
          </w:p>
        </w:tc>
      </w:tr>
    </w:tbl>
    <w:p w:rsidR="00024C0A" w:rsidRDefault="00024C0A"/>
    <w:p w:rsidR="00024C0A" w:rsidRDefault="00694C0F">
      <w:r>
        <w:t xml:space="preserve">Office does not save an amount argument for the </w:t>
      </w:r>
      <w:r>
        <w:rPr>
          <w:i/>
        </w:rPr>
        <w:t>invert</w:t>
      </w:r>
      <w:r>
        <w:t xml:space="preserve">, </w:t>
      </w:r>
      <w:r>
        <w:rPr>
          <w:i/>
        </w:rPr>
        <w:t>invert128</w:t>
      </w:r>
      <w:r>
        <w:t xml:space="preserve"> and </w:t>
      </w:r>
      <w:r>
        <w:rPr>
          <w:i/>
        </w:rPr>
        <w:t>grayScale</w:t>
      </w:r>
      <w:r>
        <w:t xml:space="preserve"> recoloring instructions.</w:t>
      </w:r>
    </w:p>
    <w:p w:rsidR="00024C0A" w:rsidRDefault="00694C0F">
      <w:pPr>
        <w:pStyle w:val="Definition-Field"/>
      </w:pPr>
      <w:r>
        <w:t xml:space="preserve">i.   </w:t>
      </w:r>
      <w:r>
        <w:rPr>
          <w:i/>
        </w:rPr>
        <w:t xml:space="preserve">The </w:t>
      </w:r>
      <w:r>
        <w:rPr>
          <w:i/>
        </w:rPr>
        <w:t>standard indicates how a recoloring instruction is formatted.</w:t>
      </w:r>
    </w:p>
    <w:p w:rsidR="00024C0A" w:rsidRDefault="00694C0F">
      <w:pPr>
        <w:pStyle w:val="Definition-Field2"/>
      </w:pPr>
      <w:r>
        <w:t>Office does not save a recoloring amount argument for the invert, invert128 and grayScale instructions.</w:t>
      </w:r>
    </w:p>
    <w:p w:rsidR="00024C0A" w:rsidRDefault="00694C0F">
      <w:pPr>
        <w:pStyle w:val="Definition-Field"/>
      </w:pPr>
      <w:r>
        <w:lastRenderedPageBreak/>
        <w:t xml:space="preserve">j.   </w:t>
      </w:r>
      <w:r>
        <w:rPr>
          <w:i/>
        </w:rPr>
        <w:t>The standard indicates the kinds of values that the ST_ColorType simple type uses.</w:t>
      </w:r>
    </w:p>
    <w:p w:rsidR="00024C0A" w:rsidRDefault="00694C0F">
      <w:r>
        <w:t>In</w:t>
      </w:r>
      <w:r>
        <w:t xml:space="preserve"> Office, a color palette entry is specified using “wincolor” followed by a number in parentheses.  The number is the zero-based index of a color in the supported color palette.</w:t>
      </w:r>
    </w:p>
    <w:p w:rsidR="00024C0A" w:rsidRDefault="00694C0F">
      <w:r>
        <w:t>[Example:</w:t>
      </w:r>
    </w:p>
    <w:p w:rsidR="00024C0A" w:rsidRDefault="00694C0F">
      <w:pPr>
        <w:pStyle w:val="Code"/>
      </w:pPr>
      <w:r>
        <w:t>&lt;... color="wincolor(11)" ... &gt;</w:t>
      </w:r>
    </w:p>
    <w:p w:rsidR="00024C0A" w:rsidRDefault="00694C0F">
      <w:r>
        <w:t>end example]</w:t>
      </w:r>
    </w:p>
    <w:p w:rsidR="00024C0A" w:rsidRDefault="00694C0F">
      <w:pPr>
        <w:pStyle w:val="Definition-Field"/>
      </w:pPr>
      <w:r>
        <w:t xml:space="preserve">k.   </w:t>
      </w:r>
      <w:r>
        <w:rPr>
          <w:i/>
        </w:rPr>
        <w:t>The standard indica</w:t>
      </w:r>
      <w:r>
        <w:rPr>
          <w:i/>
        </w:rPr>
        <w:t>tes the kinds of values that the ST_ColorType simple type uses.</w:t>
      </w:r>
    </w:p>
    <w:p w:rsidR="00024C0A" w:rsidRDefault="00694C0F">
      <w:r>
        <w:t>In Office, a shape property is specified using 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Property</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i/>
              </w:rPr>
              <w:t>fill</w:t>
            </w:r>
          </w:p>
        </w:tc>
        <w:tc>
          <w:tcPr>
            <w:tcW w:w="0" w:type="auto"/>
            <w:vAlign w:val="center"/>
          </w:tcPr>
          <w:p w:rsidR="00024C0A" w:rsidRDefault="00694C0F">
            <w:pPr>
              <w:pStyle w:val="TableBodyText"/>
            </w:pPr>
            <w:r>
              <w:t>Fill color</w:t>
            </w:r>
          </w:p>
        </w:tc>
      </w:tr>
      <w:tr w:rsidR="00024C0A" w:rsidTr="00024C0A">
        <w:tc>
          <w:tcPr>
            <w:tcW w:w="0" w:type="auto"/>
            <w:vAlign w:val="center"/>
          </w:tcPr>
          <w:p w:rsidR="00024C0A" w:rsidRDefault="00694C0F">
            <w:pPr>
              <w:pStyle w:val="TableBodyText"/>
            </w:pPr>
            <w:r>
              <w:rPr>
                <w:i/>
              </w:rPr>
              <w:t>line</w:t>
            </w:r>
          </w:p>
        </w:tc>
        <w:tc>
          <w:tcPr>
            <w:tcW w:w="0" w:type="auto"/>
            <w:vAlign w:val="center"/>
          </w:tcPr>
          <w:p w:rsidR="00024C0A" w:rsidRDefault="00694C0F">
            <w:pPr>
              <w:pStyle w:val="TableBodyText"/>
            </w:pPr>
            <w:r>
              <w:t>Line color</w:t>
            </w:r>
          </w:p>
        </w:tc>
      </w:tr>
      <w:tr w:rsidR="00024C0A" w:rsidTr="00024C0A">
        <w:tc>
          <w:tcPr>
            <w:tcW w:w="0" w:type="auto"/>
            <w:vAlign w:val="center"/>
          </w:tcPr>
          <w:p w:rsidR="00024C0A" w:rsidRDefault="00694C0F">
            <w:pPr>
              <w:pStyle w:val="TableBodyText"/>
            </w:pPr>
            <w:r>
              <w:rPr>
                <w:i/>
              </w:rPr>
              <w:t>lineOrFill</w:t>
            </w:r>
          </w:p>
        </w:tc>
        <w:tc>
          <w:tcPr>
            <w:tcW w:w="0" w:type="auto"/>
            <w:vAlign w:val="center"/>
          </w:tcPr>
          <w:p w:rsidR="00024C0A" w:rsidRDefault="00694C0F">
            <w:pPr>
              <w:pStyle w:val="TableBodyText"/>
            </w:pPr>
            <w:r>
              <w:t>Line color if specified, otherwise, the fill color</w:t>
            </w:r>
          </w:p>
        </w:tc>
      </w:tr>
      <w:tr w:rsidR="00024C0A" w:rsidTr="00024C0A">
        <w:tc>
          <w:tcPr>
            <w:tcW w:w="0" w:type="auto"/>
            <w:vAlign w:val="center"/>
          </w:tcPr>
          <w:p w:rsidR="00024C0A" w:rsidRDefault="00694C0F">
            <w:pPr>
              <w:pStyle w:val="TableBodyText"/>
            </w:pPr>
            <w:r>
              <w:rPr>
                <w:i/>
              </w:rPr>
              <w:t>fillThenLine</w:t>
            </w:r>
          </w:p>
        </w:tc>
        <w:tc>
          <w:tcPr>
            <w:tcW w:w="0" w:type="auto"/>
            <w:vAlign w:val="center"/>
          </w:tcPr>
          <w:p w:rsidR="00024C0A" w:rsidRDefault="00694C0F">
            <w:pPr>
              <w:pStyle w:val="TableBodyText"/>
            </w:pPr>
            <w:r>
              <w:t>Fill color if specified, otherwise, the line color</w:t>
            </w:r>
          </w:p>
        </w:tc>
      </w:tr>
      <w:tr w:rsidR="00024C0A" w:rsidTr="00024C0A">
        <w:tc>
          <w:tcPr>
            <w:tcW w:w="0" w:type="auto"/>
            <w:vAlign w:val="center"/>
          </w:tcPr>
          <w:p w:rsidR="00024C0A" w:rsidRDefault="00694C0F">
            <w:pPr>
              <w:pStyle w:val="TableBodyText"/>
            </w:pPr>
            <w:r>
              <w:rPr>
                <w:i/>
              </w:rPr>
              <w:t>fillBack</w:t>
            </w:r>
          </w:p>
        </w:tc>
        <w:tc>
          <w:tcPr>
            <w:tcW w:w="0" w:type="auto"/>
            <w:vAlign w:val="center"/>
          </w:tcPr>
          <w:p w:rsidR="00024C0A" w:rsidRDefault="00694C0F">
            <w:pPr>
              <w:pStyle w:val="TableBodyText"/>
            </w:pPr>
            <w:r>
              <w:t>Fill background color</w:t>
            </w:r>
          </w:p>
        </w:tc>
      </w:tr>
      <w:tr w:rsidR="00024C0A" w:rsidTr="00024C0A">
        <w:tc>
          <w:tcPr>
            <w:tcW w:w="0" w:type="auto"/>
            <w:vAlign w:val="center"/>
          </w:tcPr>
          <w:p w:rsidR="00024C0A" w:rsidRDefault="00694C0F">
            <w:pPr>
              <w:pStyle w:val="TableBodyText"/>
            </w:pPr>
            <w:r>
              <w:rPr>
                <w:i/>
              </w:rPr>
              <w:t>lineBack</w:t>
            </w:r>
          </w:p>
        </w:tc>
        <w:tc>
          <w:tcPr>
            <w:tcW w:w="0" w:type="auto"/>
            <w:vAlign w:val="center"/>
          </w:tcPr>
          <w:p w:rsidR="00024C0A" w:rsidRDefault="00694C0F">
            <w:pPr>
              <w:pStyle w:val="TableBodyText"/>
            </w:pPr>
            <w:r>
              <w:t>Line background color</w:t>
            </w:r>
          </w:p>
        </w:tc>
      </w:tr>
      <w:tr w:rsidR="00024C0A" w:rsidTr="00024C0A">
        <w:tc>
          <w:tcPr>
            <w:tcW w:w="0" w:type="auto"/>
            <w:vAlign w:val="center"/>
          </w:tcPr>
          <w:p w:rsidR="00024C0A" w:rsidRDefault="00694C0F">
            <w:pPr>
              <w:pStyle w:val="TableBodyText"/>
            </w:pPr>
            <w:r>
              <w:rPr>
                <w:i/>
              </w:rPr>
              <w:t>shadow</w:t>
            </w:r>
          </w:p>
        </w:tc>
        <w:tc>
          <w:tcPr>
            <w:tcW w:w="0" w:type="auto"/>
            <w:vAlign w:val="center"/>
          </w:tcPr>
          <w:p w:rsidR="00024C0A" w:rsidRDefault="00694C0F">
            <w:pPr>
              <w:pStyle w:val="TableBodyText"/>
            </w:pPr>
            <w:r>
              <w:t>Shadow color</w:t>
            </w:r>
          </w:p>
        </w:tc>
      </w:tr>
      <w:tr w:rsidR="00024C0A" w:rsidTr="00024C0A">
        <w:tc>
          <w:tcPr>
            <w:tcW w:w="0" w:type="auto"/>
            <w:vAlign w:val="center"/>
          </w:tcPr>
          <w:p w:rsidR="00024C0A" w:rsidRDefault="00694C0F">
            <w:pPr>
              <w:pStyle w:val="TableBodyText"/>
            </w:pPr>
            <w:r>
              <w:rPr>
                <w:i/>
              </w:rPr>
              <w:t>none</w:t>
            </w:r>
          </w:p>
        </w:tc>
        <w:tc>
          <w:tcPr>
            <w:tcW w:w="0" w:type="auto"/>
            <w:vAlign w:val="center"/>
          </w:tcPr>
          <w:p w:rsidR="00024C0A" w:rsidRDefault="00694C0F">
            <w:pPr>
              <w:pStyle w:val="TableBodyText"/>
            </w:pPr>
            <w:r>
              <w:t>No color</w:t>
            </w:r>
          </w:p>
        </w:tc>
      </w:tr>
    </w:tbl>
    <w:p w:rsidR="00024C0A" w:rsidRDefault="00024C0A"/>
    <w:p w:rsidR="00024C0A" w:rsidRDefault="00694C0F">
      <w:r>
        <w:t>[Example:</w:t>
      </w:r>
    </w:p>
    <w:p w:rsidR="00024C0A" w:rsidRDefault="00694C0F">
      <w:pPr>
        <w:pStyle w:val="Code"/>
      </w:pPr>
      <w:r>
        <w:t>&lt;... color="lineOrFill" ...</w:t>
      </w:r>
      <w:r>
        <w:t xml:space="preserve"> &gt;</w:t>
      </w:r>
    </w:p>
    <w:p w:rsidR="00024C0A" w:rsidRDefault="00694C0F">
      <w:r>
        <w:t>end example]</w:t>
      </w:r>
    </w:p>
    <w:p w:rsidR="00024C0A" w:rsidRDefault="00694C0F">
      <w:pPr>
        <w:pStyle w:val="Definition-Field"/>
      </w:pPr>
      <w:r>
        <w:t xml:space="preserve">l.   </w:t>
      </w:r>
      <w:r>
        <w:rPr>
          <w:i/>
        </w:rPr>
        <w:t>The standard indicates the kinds of values that the ST_ColorType simple type uses.</w:t>
      </w:r>
    </w:p>
    <w:p w:rsidR="00024C0A" w:rsidRDefault="00694C0F">
      <w:r>
        <w:t>In Office, recoloring instructions indicate that the given color is to be modified a particular amount.  The instruction consists of a named instruction</w:t>
      </w:r>
      <w:r>
        <w:t xml:space="preserve"> followed by the amount, a number in the range 0-255, in parenthesis.  The instructions are:</w:t>
      </w:r>
    </w:p>
    <w:p w:rsidR="00024C0A" w:rsidRDefault="00694C0F">
      <w:pPr>
        <w:pStyle w:val="ListParagraph"/>
        <w:numPr>
          <w:ilvl w:val="0"/>
          <w:numId w:val="191"/>
        </w:numPr>
        <w:contextualSpacing/>
      </w:pPr>
      <w:r>
        <w:rPr>
          <w:i/>
        </w:rPr>
        <w:t>darken</w:t>
      </w:r>
    </w:p>
    <w:p w:rsidR="00024C0A" w:rsidRDefault="00694C0F">
      <w:pPr>
        <w:pStyle w:val="ListParagraph"/>
        <w:numPr>
          <w:ilvl w:val="0"/>
          <w:numId w:val="191"/>
        </w:numPr>
        <w:contextualSpacing/>
      </w:pPr>
      <w:r>
        <w:rPr>
          <w:i/>
        </w:rPr>
        <w:t>lighten</w:t>
      </w:r>
    </w:p>
    <w:p w:rsidR="00024C0A" w:rsidRDefault="00694C0F">
      <w:pPr>
        <w:pStyle w:val="ListParagraph"/>
        <w:numPr>
          <w:ilvl w:val="0"/>
          <w:numId w:val="191"/>
        </w:numPr>
        <w:contextualSpacing/>
      </w:pPr>
      <w:r>
        <w:rPr>
          <w:i/>
        </w:rPr>
        <w:t>add</w:t>
      </w:r>
    </w:p>
    <w:p w:rsidR="00024C0A" w:rsidRDefault="00694C0F">
      <w:pPr>
        <w:pStyle w:val="ListParagraph"/>
        <w:numPr>
          <w:ilvl w:val="0"/>
          <w:numId w:val="191"/>
        </w:numPr>
        <w:contextualSpacing/>
      </w:pPr>
      <w:r>
        <w:rPr>
          <w:i/>
        </w:rPr>
        <w:t>subtract</w:t>
      </w:r>
    </w:p>
    <w:p w:rsidR="00024C0A" w:rsidRDefault="00694C0F">
      <w:pPr>
        <w:pStyle w:val="ListParagraph"/>
        <w:numPr>
          <w:ilvl w:val="0"/>
          <w:numId w:val="191"/>
        </w:numPr>
        <w:contextualSpacing/>
      </w:pPr>
      <w:r>
        <w:rPr>
          <w:i/>
        </w:rPr>
        <w:t>reverseSubtract</w:t>
      </w:r>
    </w:p>
    <w:p w:rsidR="00024C0A" w:rsidRDefault="00694C0F">
      <w:pPr>
        <w:pStyle w:val="ListParagraph"/>
        <w:numPr>
          <w:ilvl w:val="0"/>
          <w:numId w:val="191"/>
        </w:numPr>
        <w:contextualSpacing/>
      </w:pPr>
      <w:r>
        <w:rPr>
          <w:i/>
        </w:rPr>
        <w:t>blackWhite</w:t>
      </w:r>
    </w:p>
    <w:p w:rsidR="00024C0A" w:rsidRDefault="00694C0F">
      <w:pPr>
        <w:pStyle w:val="ListParagraph"/>
        <w:numPr>
          <w:ilvl w:val="0"/>
          <w:numId w:val="191"/>
        </w:numPr>
        <w:contextualSpacing/>
      </w:pPr>
      <w:r>
        <w:rPr>
          <w:i/>
        </w:rPr>
        <w:t>invert</w:t>
      </w:r>
    </w:p>
    <w:p w:rsidR="00024C0A" w:rsidRDefault="00694C0F">
      <w:pPr>
        <w:pStyle w:val="ListParagraph"/>
        <w:numPr>
          <w:ilvl w:val="0"/>
          <w:numId w:val="191"/>
        </w:numPr>
        <w:contextualSpacing/>
      </w:pPr>
      <w:r>
        <w:rPr>
          <w:i/>
        </w:rPr>
        <w:t>invert128</w:t>
      </w:r>
    </w:p>
    <w:p w:rsidR="00024C0A" w:rsidRDefault="00694C0F">
      <w:pPr>
        <w:pStyle w:val="ListParagraph"/>
        <w:numPr>
          <w:ilvl w:val="0"/>
          <w:numId w:val="191"/>
        </w:numPr>
      </w:pPr>
      <w:r>
        <w:rPr>
          <w:i/>
        </w:rPr>
        <w:t>grayScale</w:t>
      </w:r>
    </w:p>
    <w:p w:rsidR="00024C0A" w:rsidRDefault="00694C0F">
      <w:r>
        <w:lastRenderedPageBreak/>
        <w:t>Office supports recoloring instructions in the following way.  Let A represent th</w:t>
      </w:r>
      <w:r>
        <w:t>e amount argument to the recoloring instruction.</w:t>
      </w:r>
    </w:p>
    <w:tbl>
      <w:tblPr>
        <w:tblStyle w:val="Table-ShadedHeader"/>
        <w:tblW w:w="0" w:type="auto"/>
        <w:tblLook w:val="04A0" w:firstRow="1" w:lastRow="0" w:firstColumn="1" w:lastColumn="0" w:noHBand="0" w:noVBand="1"/>
      </w:tblPr>
      <w:tblGrid>
        <w:gridCol w:w="1515"/>
        <w:gridCol w:w="7232"/>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Instruction</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i/>
              </w:rPr>
              <w:t>darken</w:t>
            </w:r>
          </w:p>
        </w:tc>
        <w:tc>
          <w:tcPr>
            <w:tcW w:w="0" w:type="auto"/>
            <w:vAlign w:val="center"/>
          </w:tcPr>
          <w:p w:rsidR="00024C0A" w:rsidRDefault="00694C0F">
            <w:pPr>
              <w:pStyle w:val="TableBodyText"/>
            </w:pPr>
            <w:r>
              <w:t>Scale each color component by A/256.</w:t>
            </w:r>
          </w:p>
        </w:tc>
      </w:tr>
      <w:tr w:rsidR="00024C0A" w:rsidTr="00024C0A">
        <w:tc>
          <w:tcPr>
            <w:tcW w:w="0" w:type="auto"/>
            <w:vAlign w:val="center"/>
          </w:tcPr>
          <w:p w:rsidR="00024C0A" w:rsidRDefault="00694C0F">
            <w:pPr>
              <w:pStyle w:val="TableBodyText"/>
            </w:pPr>
            <w:r>
              <w:rPr>
                <w:i/>
              </w:rPr>
              <w:t>lighten</w:t>
            </w:r>
          </w:p>
        </w:tc>
        <w:tc>
          <w:tcPr>
            <w:tcW w:w="0" w:type="auto"/>
            <w:vAlign w:val="center"/>
          </w:tcPr>
          <w:p w:rsidR="00024C0A" w:rsidRDefault="00694C0F">
            <w:pPr>
              <w:pStyle w:val="TableBodyText"/>
            </w:pPr>
            <w:r>
              <w:t>Scale the inverse of each color component by A/256, then invert the result.</w:t>
            </w:r>
          </w:p>
        </w:tc>
      </w:tr>
      <w:tr w:rsidR="00024C0A" w:rsidTr="00024C0A">
        <w:tc>
          <w:tcPr>
            <w:tcW w:w="0" w:type="auto"/>
            <w:vAlign w:val="center"/>
          </w:tcPr>
          <w:p w:rsidR="00024C0A" w:rsidRDefault="00694C0F">
            <w:pPr>
              <w:pStyle w:val="TableBodyText"/>
            </w:pPr>
            <w:r>
              <w:rPr>
                <w:i/>
              </w:rPr>
              <w:t>add</w:t>
            </w:r>
          </w:p>
        </w:tc>
        <w:tc>
          <w:tcPr>
            <w:tcW w:w="0" w:type="auto"/>
            <w:vAlign w:val="center"/>
          </w:tcPr>
          <w:p w:rsidR="00024C0A" w:rsidRDefault="00694C0F">
            <w:pPr>
              <w:pStyle w:val="TableBodyText"/>
            </w:pPr>
            <w:r>
              <w:t xml:space="preserve">Add A to each color component, limited to a </w:t>
            </w:r>
            <w:r>
              <w:t>maximum value of 255.</w:t>
            </w:r>
          </w:p>
        </w:tc>
      </w:tr>
      <w:tr w:rsidR="00024C0A" w:rsidTr="00024C0A">
        <w:tc>
          <w:tcPr>
            <w:tcW w:w="0" w:type="auto"/>
            <w:vAlign w:val="center"/>
          </w:tcPr>
          <w:p w:rsidR="00024C0A" w:rsidRDefault="00694C0F">
            <w:pPr>
              <w:pStyle w:val="TableBodyText"/>
            </w:pPr>
            <w:r>
              <w:rPr>
                <w:i/>
              </w:rPr>
              <w:t>subtract</w:t>
            </w:r>
          </w:p>
        </w:tc>
        <w:tc>
          <w:tcPr>
            <w:tcW w:w="0" w:type="auto"/>
            <w:vAlign w:val="center"/>
          </w:tcPr>
          <w:p w:rsidR="00024C0A" w:rsidRDefault="00694C0F">
            <w:pPr>
              <w:pStyle w:val="TableBodyText"/>
            </w:pPr>
            <w:r>
              <w:t>Subtract A from each color component, limited to a minimum value of 0.</w:t>
            </w:r>
          </w:p>
        </w:tc>
      </w:tr>
      <w:tr w:rsidR="00024C0A" w:rsidTr="00024C0A">
        <w:tc>
          <w:tcPr>
            <w:tcW w:w="0" w:type="auto"/>
            <w:vAlign w:val="center"/>
          </w:tcPr>
          <w:p w:rsidR="00024C0A" w:rsidRDefault="00694C0F">
            <w:pPr>
              <w:pStyle w:val="TableBodyText"/>
            </w:pPr>
            <w:r>
              <w:rPr>
                <w:i/>
              </w:rPr>
              <w:t>reverseSubtract</w:t>
            </w:r>
          </w:p>
        </w:tc>
        <w:tc>
          <w:tcPr>
            <w:tcW w:w="0" w:type="auto"/>
            <w:vAlign w:val="center"/>
          </w:tcPr>
          <w:p w:rsidR="00024C0A" w:rsidRDefault="00694C0F">
            <w:pPr>
              <w:pStyle w:val="TableBodyText"/>
            </w:pPr>
            <w:r>
              <w:t xml:space="preserve">Subtract each color component from A, limited to a minimum value of 0. </w:t>
            </w:r>
          </w:p>
        </w:tc>
      </w:tr>
      <w:tr w:rsidR="00024C0A" w:rsidTr="00024C0A">
        <w:tc>
          <w:tcPr>
            <w:tcW w:w="0" w:type="auto"/>
            <w:vAlign w:val="center"/>
          </w:tcPr>
          <w:p w:rsidR="00024C0A" w:rsidRDefault="00694C0F">
            <w:pPr>
              <w:pStyle w:val="TableBodyText"/>
            </w:pPr>
            <w:r>
              <w:rPr>
                <w:i/>
              </w:rPr>
              <w:t>blackWhite</w:t>
            </w:r>
          </w:p>
        </w:tc>
        <w:tc>
          <w:tcPr>
            <w:tcW w:w="0" w:type="auto"/>
            <w:vAlign w:val="center"/>
          </w:tcPr>
          <w:p w:rsidR="00024C0A" w:rsidRDefault="00694C0F">
            <w:pPr>
              <w:pStyle w:val="TableBodyText"/>
            </w:pPr>
            <w:r>
              <w:t>A color component is 0 if less than A, otherwise 255</w:t>
            </w:r>
            <w:r>
              <w:t>.</w:t>
            </w:r>
          </w:p>
        </w:tc>
      </w:tr>
      <w:tr w:rsidR="00024C0A" w:rsidTr="00024C0A">
        <w:tc>
          <w:tcPr>
            <w:tcW w:w="0" w:type="auto"/>
            <w:vAlign w:val="center"/>
          </w:tcPr>
          <w:p w:rsidR="00024C0A" w:rsidRDefault="00694C0F">
            <w:pPr>
              <w:pStyle w:val="TableBodyText"/>
            </w:pPr>
            <w:r>
              <w:rPr>
                <w:i/>
              </w:rPr>
              <w:t>invert</w:t>
            </w:r>
          </w:p>
        </w:tc>
        <w:tc>
          <w:tcPr>
            <w:tcW w:w="0" w:type="auto"/>
            <w:vAlign w:val="center"/>
          </w:tcPr>
          <w:p w:rsidR="00024C0A" w:rsidRDefault="00694C0F">
            <w:pPr>
              <w:pStyle w:val="TableBodyText"/>
            </w:pPr>
            <w:r>
              <w:t>Subtract each color component from 255.</w:t>
            </w:r>
          </w:p>
        </w:tc>
      </w:tr>
      <w:tr w:rsidR="00024C0A" w:rsidTr="00024C0A">
        <w:tc>
          <w:tcPr>
            <w:tcW w:w="0" w:type="auto"/>
            <w:vAlign w:val="center"/>
          </w:tcPr>
          <w:p w:rsidR="00024C0A" w:rsidRDefault="00694C0F">
            <w:pPr>
              <w:pStyle w:val="TableBodyText"/>
            </w:pPr>
            <w:r>
              <w:rPr>
                <w:i/>
              </w:rPr>
              <w:t>invert128</w:t>
            </w:r>
          </w:p>
        </w:tc>
        <w:tc>
          <w:tcPr>
            <w:tcW w:w="0" w:type="auto"/>
            <w:vAlign w:val="center"/>
          </w:tcPr>
          <w:p w:rsidR="00024C0A" w:rsidRDefault="00694C0F">
            <w:pPr>
              <w:pStyle w:val="TableBodyText"/>
            </w:pPr>
            <w:r>
              <w:t>For each color component less than 128, subtract 128 from it, otherwise add 128 to it.</w:t>
            </w:r>
          </w:p>
        </w:tc>
      </w:tr>
      <w:tr w:rsidR="00024C0A" w:rsidTr="00024C0A">
        <w:tc>
          <w:tcPr>
            <w:tcW w:w="0" w:type="auto"/>
            <w:vAlign w:val="center"/>
          </w:tcPr>
          <w:p w:rsidR="00024C0A" w:rsidRDefault="00694C0F">
            <w:pPr>
              <w:pStyle w:val="TableBodyText"/>
            </w:pPr>
            <w:r>
              <w:rPr>
                <w:i/>
              </w:rPr>
              <w:t>grayScale</w:t>
            </w:r>
          </w:p>
        </w:tc>
        <w:tc>
          <w:tcPr>
            <w:tcW w:w="0" w:type="auto"/>
            <w:vAlign w:val="center"/>
          </w:tcPr>
          <w:p w:rsidR="00024C0A" w:rsidRDefault="00694C0F">
            <w:pPr>
              <w:pStyle w:val="TableBodyText"/>
            </w:pPr>
            <w:r>
              <w:t>Convert the color to a grayscale equivalent.</w:t>
            </w:r>
          </w:p>
        </w:tc>
      </w:tr>
    </w:tbl>
    <w:p w:rsidR="00024C0A" w:rsidRDefault="00024C0A"/>
    <w:p w:rsidR="00024C0A" w:rsidRDefault="00694C0F">
      <w:r>
        <w:t xml:space="preserve">Office does not save the amount argument for the </w:t>
      </w:r>
      <w:r>
        <w:rPr>
          <w:i/>
        </w:rPr>
        <w:t>invert</w:t>
      </w:r>
      <w:r>
        <w:t xml:space="preserve">, </w:t>
      </w:r>
      <w:r>
        <w:rPr>
          <w:i/>
        </w:rPr>
        <w:t>invert128</w:t>
      </w:r>
      <w:r>
        <w:t xml:space="preserve"> and </w:t>
      </w:r>
      <w:r>
        <w:rPr>
          <w:i/>
        </w:rPr>
        <w:t>grayScale</w:t>
      </w:r>
      <w:r>
        <w:t xml:space="preserve"> recoloring instructions.</w:t>
      </w:r>
    </w:p>
    <w:p w:rsidR="00024C0A" w:rsidRDefault="00694C0F">
      <w:r>
        <w:t>[</w:t>
      </w:r>
      <w:r>
        <w:rPr>
          <w:i/>
        </w:rPr>
        <w:t>Example:</w:t>
      </w:r>
      <w:r>
        <w:t xml:space="preserve"> The color is darker than the fill color by 50 units:</w:t>
      </w:r>
    </w:p>
    <w:p w:rsidR="00024C0A" w:rsidRDefault="00694C0F">
      <w:pPr>
        <w:pStyle w:val="Code"/>
      </w:pPr>
      <w:r>
        <w:t>&lt;... color="fill darken(50)"&gt;</w:t>
      </w:r>
    </w:p>
    <w:p w:rsidR="00024C0A" w:rsidRDefault="00694C0F">
      <w:r>
        <w:rPr>
          <w:i/>
        </w:rPr>
        <w:t>end example</w:t>
      </w:r>
      <w:r>
        <w:t>]</w:t>
      </w:r>
    </w:p>
    <w:p w:rsidR="00024C0A" w:rsidRDefault="00694C0F">
      <w:pPr>
        <w:pStyle w:val="Heading3"/>
      </w:pPr>
      <w:bookmarkStart w:id="3791" w:name="section_c3aaaaf541984b30a06a526413997642"/>
      <w:bookmarkStart w:id="3792" w:name="_Toc12261956"/>
      <w:r>
        <w:t>Part 4 Section 20.1.2.6, ST_TrueFalseBlank (Boolean Value with Blank [False] State)</w:t>
      </w:r>
      <w:bookmarkEnd w:id="3791"/>
      <w:bookmarkEnd w:id="3792"/>
      <w:r>
        <w:fldChar w:fldCharType="begin"/>
      </w:r>
      <w:r>
        <w:instrText xml:space="preserve"> XE "ST_TrueFalseBlank (Boolean Value with Blank [False] State)" </w:instrText>
      </w:r>
      <w:r>
        <w:fldChar w:fldCharType="end"/>
      </w:r>
    </w:p>
    <w:p w:rsidR="00024C0A" w:rsidRDefault="00694C0F">
      <w:pPr>
        <w:pStyle w:val="Definition-Field"/>
      </w:pPr>
      <w:r>
        <w:t xml:space="preserve">a.   </w:t>
      </w:r>
      <w:r>
        <w:rPr>
          <w:i/>
        </w:rPr>
        <w:t>The standard says that blank is to be treated as logical false.</w:t>
      </w:r>
    </w:p>
    <w:p w:rsidR="00024C0A" w:rsidRDefault="00694C0F">
      <w:pPr>
        <w:pStyle w:val="Definition-Field2"/>
      </w:pPr>
      <w:r>
        <w:t>Office will use the default true or false value as defined by the element. If an element does not define a specific val</w:t>
      </w:r>
      <w:r>
        <w:t>ue for this state, it is assumed to be true.</w:t>
      </w:r>
    </w:p>
    <w:p w:rsidR="00024C0A" w:rsidRDefault="00694C0F">
      <w:pPr>
        <w:pStyle w:val="Heading3"/>
      </w:pPr>
      <w:bookmarkStart w:id="3793" w:name="section_91ba9f43deb345f58a1a196afa07e776"/>
      <w:bookmarkStart w:id="3794" w:name="_Toc12261957"/>
      <w:r>
        <w:t>Part 4 Section 20.1.9.2, ahPolar (PolarAdjustHandle)</w:t>
      </w:r>
      <w:bookmarkEnd w:id="3793"/>
      <w:bookmarkEnd w:id="3794"/>
      <w:r>
        <w:fldChar w:fldCharType="begin"/>
      </w:r>
      <w:r>
        <w:instrText xml:space="preserve"> XE "ahPolar (PolarAdjustHandle)" </w:instrText>
      </w:r>
      <w:r>
        <w:fldChar w:fldCharType="end"/>
      </w:r>
    </w:p>
    <w:p w:rsidR="00024C0A" w:rsidRDefault="00694C0F">
      <w:pPr>
        <w:pStyle w:val="Definition-Field"/>
        <w:rPr>
          <w:i/>
        </w:rPr>
      </w:pPr>
      <w:r>
        <w:t xml:space="preserve">a.   </w:t>
      </w:r>
      <w:r>
        <w:rPr>
          <w:i/>
        </w:rPr>
        <w:t>The standard does not specify how a consumer should interpret the element, when present, if both related pairs of att</w:t>
      </w:r>
      <w:r>
        <w:rPr>
          <w:i/>
        </w:rPr>
        <w:t>ributes (e.g. both @maxAng and @minAng) are omitted.</w:t>
      </w:r>
    </w:p>
    <w:p w:rsidR="00024C0A" w:rsidRDefault="00694C0F">
      <w:pPr>
        <w:ind w:left="360"/>
      </w:pPr>
      <w:r>
        <w:t>Office will use a default value of zero if both attributes in a pair are omitted.</w:t>
      </w:r>
    </w:p>
    <w:p w:rsidR="00024C0A" w:rsidRDefault="00694C0F">
      <w:pPr>
        <w:pStyle w:val="Heading3"/>
      </w:pPr>
      <w:bookmarkStart w:id="3795" w:name="section_2e54916a4038416dbe4f887efb6f72de"/>
      <w:bookmarkStart w:id="3796" w:name="_Toc12261958"/>
      <w:r>
        <w:t>Part 4 Section 20.1.9.3, ahXY (XYAdjustHandle)</w:t>
      </w:r>
      <w:bookmarkEnd w:id="3795"/>
      <w:bookmarkEnd w:id="3796"/>
      <w:r>
        <w:fldChar w:fldCharType="begin"/>
      </w:r>
      <w:r>
        <w:instrText xml:space="preserve"> XE "ahXY (XYAdjustHandle)" </w:instrText>
      </w:r>
      <w:r>
        <w:fldChar w:fldCharType="end"/>
      </w:r>
    </w:p>
    <w:p w:rsidR="00024C0A" w:rsidRDefault="00694C0F">
      <w:pPr>
        <w:pStyle w:val="Definition-Field"/>
        <w:rPr>
          <w:i/>
        </w:rPr>
      </w:pPr>
      <w:r>
        <w:t xml:space="preserve">a.   </w:t>
      </w:r>
      <w:r>
        <w:rPr>
          <w:i/>
        </w:rPr>
        <w:t>The standard does not specify how a con</w:t>
      </w:r>
      <w:r>
        <w:rPr>
          <w:i/>
        </w:rPr>
        <w:t>sumer should interpret the element, when present, if both related pairs of attributes (e.g. both @maxX and @minX) are omitted.</w:t>
      </w:r>
    </w:p>
    <w:p w:rsidR="00024C0A" w:rsidRDefault="00694C0F">
      <w:pPr>
        <w:ind w:left="360"/>
      </w:pPr>
      <w:r>
        <w:t>Office will use a default value of zero if both attributes in a pair are omitted.</w:t>
      </w:r>
    </w:p>
    <w:p w:rsidR="00024C0A" w:rsidRDefault="00694C0F">
      <w:pPr>
        <w:pStyle w:val="Heading1"/>
      </w:pPr>
      <w:bookmarkStart w:id="3797" w:name="section_b6a41f5bf644411d827d292a4f827be4"/>
      <w:bookmarkStart w:id="3798" w:name="_Toc12261959"/>
      <w:r>
        <w:lastRenderedPageBreak/>
        <w:t>Appendix A: Additional Information</w:t>
      </w:r>
      <w:bookmarkEnd w:id="3797"/>
      <w:bookmarkEnd w:id="3798"/>
    </w:p>
    <w:p w:rsidR="00024C0A" w:rsidRDefault="00694C0F">
      <w:pPr>
        <w:pStyle w:val="Heading2"/>
      </w:pPr>
      <w:bookmarkStart w:id="3799" w:name="section_7e6f9361139c47ebb40999f33fbe3b11"/>
      <w:bookmarkStart w:id="3800" w:name="_Toc12261960"/>
      <w:r>
        <w:t>Word</w:t>
      </w:r>
      <w:bookmarkEnd w:id="3799"/>
      <w:bookmarkEnd w:id="3800"/>
      <w:r>
        <w:fldChar w:fldCharType="begin"/>
      </w:r>
      <w:r>
        <w:instrText xml:space="preserve"> XE "Wor</w:instrText>
      </w:r>
      <w:r>
        <w:instrText xml:space="preserve">d (Additional Information)" </w:instrText>
      </w:r>
      <w:r>
        <w:fldChar w:fldCharType="end"/>
      </w:r>
    </w:p>
    <w:p w:rsidR="00024C0A" w:rsidRDefault="00694C0F">
      <w:r>
        <w:t xml:space="preserve">This section contains additional information used to describe more fully how Word implements Office Open XML File Formats </w:t>
      </w:r>
      <w:hyperlink r:id="rId272">
        <w:r>
          <w:rPr>
            <w:rStyle w:val="Hyperlink"/>
          </w:rPr>
          <w:t>[ISO/IEC29500:2012]</w:t>
        </w:r>
      </w:hyperlink>
      <w:r>
        <w:t>.</w:t>
      </w:r>
    </w:p>
    <w:p w:rsidR="00024C0A" w:rsidRDefault="00694C0F">
      <w:pPr>
        <w:pStyle w:val="Heading3"/>
      </w:pPr>
      <w:bookmarkStart w:id="3801" w:name="section_cc2c9f8989204c0f94e5bbb8e3b48b52"/>
      <w:bookmarkStart w:id="3802" w:name="_Toc12261961"/>
      <w:r>
        <w:t>Additional Parts</w:t>
      </w:r>
      <w:bookmarkEnd w:id="3801"/>
      <w:bookmarkEnd w:id="3802"/>
      <w:r>
        <w:fldChar w:fldCharType="begin"/>
      </w:r>
      <w:r>
        <w:instrText xml:space="preserve"> XE "Additional Parts" </w:instrText>
      </w:r>
      <w:r>
        <w:fldChar w:fldCharType="end"/>
      </w:r>
    </w:p>
    <w:p w:rsidR="00024C0A" w:rsidRDefault="00694C0F">
      <w:r>
        <w:t>The subclauses subordinate to this one describe in detail each of the part types specific to Word, in addition to those listed as part of Office Open XML File Formats ("</w:t>
      </w:r>
      <w:hyperlink r:id="rId273">
        <w:r>
          <w:rPr>
            <w:rStyle w:val="Hyperlink"/>
          </w:rPr>
          <w:t>[ISO/IEC-29500-1]</w:t>
        </w:r>
      </w:hyperlink>
      <w:r>
        <w:t xml:space="preserve"> §11").</w:t>
      </w:r>
    </w:p>
    <w:p w:rsidR="00024C0A" w:rsidRDefault="00694C0F">
      <w:pPr>
        <w:pStyle w:val="Heading4"/>
      </w:pPr>
      <w:bookmarkStart w:id="3803" w:name="section_618afd53b3d54eb4836da647299f9e39"/>
      <w:bookmarkStart w:id="3804" w:name="_Toc12261962"/>
      <w:r>
        <w:t>Word Attached Toolbars Part</w:t>
      </w:r>
      <w:bookmarkEnd w:id="3803"/>
      <w:bookmarkEnd w:id="3804"/>
      <w:r>
        <w:fldChar w:fldCharType="begin"/>
      </w:r>
      <w:r>
        <w:instrText xml:space="preserve"> XE "Word Attached Toolbars Part" </w:instrText>
      </w:r>
      <w:r>
        <w:fldChar w:fldCharType="end"/>
      </w:r>
    </w:p>
    <w:p w:rsidR="00024C0A" w:rsidRDefault="00694C0F">
      <w:r>
        <w:rPr>
          <w:b/>
          <w:i/>
        </w:rPr>
        <w:t>Content Type</w:t>
      </w:r>
    </w:p>
    <w:p w:rsidR="00024C0A" w:rsidRDefault="00694C0F">
      <w:r>
        <w:rPr>
          <w:i/>
        </w:rPr>
        <w:t>application/vnd.ms-word.attachedToolbars</w:t>
      </w:r>
    </w:p>
    <w:p w:rsidR="00024C0A" w:rsidRDefault="00694C0F">
      <w:r>
        <w:rPr>
          <w:b/>
          <w:i/>
        </w:rPr>
        <w:t>Root Namespace</w:t>
      </w:r>
    </w:p>
    <w:p w:rsidR="00024C0A" w:rsidRDefault="00694C0F">
      <w:r>
        <w:rPr>
          <w:i/>
        </w:rPr>
        <w:t>Not applicable</w:t>
      </w:r>
    </w:p>
    <w:p w:rsidR="00024C0A" w:rsidRDefault="00694C0F">
      <w:r>
        <w:rPr>
          <w:b/>
          <w:i/>
        </w:rPr>
        <w:t>Source Relationship</w:t>
      </w:r>
    </w:p>
    <w:p w:rsidR="00024C0A" w:rsidRDefault="00694C0F">
      <w:r>
        <w:rPr>
          <w:i/>
        </w:rPr>
        <w:t>http://schemas.microsoft.com/office/2006/relationships/attachedToolbars</w:t>
      </w:r>
    </w:p>
    <w:p w:rsidR="00024C0A" w:rsidRDefault="00694C0F">
      <w:r>
        <w:t>This binary part supports the storage of custom toolbars created by the user.</w:t>
      </w:r>
    </w:p>
    <w:p w:rsidR="00024C0A" w:rsidRDefault="00694C0F">
      <w:r>
        <w:t>A package shall contain at most one Attached Toolbars part, and that part shall be the target of an implic</w:t>
      </w:r>
      <w:r>
        <w:t>it relationship from the Customizations part (</w:t>
      </w:r>
      <w:hyperlink w:anchor="Section_25472ee1074b4741b3bd5d72b5a55bdc">
        <w:r>
          <w:rPr>
            <w:rStyle w:val="Hyperlink"/>
          </w:rPr>
          <w:t>§3.1.1.2, Customizations Part</w:t>
        </w:r>
      </w:hyperlink>
      <w:r>
        <w:t>).</w:t>
      </w:r>
    </w:p>
    <w:p w:rsidR="00024C0A" w:rsidRDefault="00694C0F">
      <w:r>
        <w:t>[Example: The following Customizations part-relationship item contains a relationship to the Attached Toolbars part</w:t>
      </w:r>
      <w:r>
        <w:t>, which is stored in the ZIP item attachedToolbars.bin:</w:t>
      </w:r>
    </w:p>
    <w:p w:rsidR="00024C0A" w:rsidRDefault="00694C0F">
      <w:pPr>
        <w:pStyle w:val="Code"/>
      </w:pPr>
      <w:r>
        <w:t>&lt;Relationships xmlns="…"&gt;</w:t>
      </w:r>
    </w:p>
    <w:p w:rsidR="00024C0A" w:rsidRDefault="00694C0F">
      <w:pPr>
        <w:pStyle w:val="Code"/>
      </w:pPr>
      <w:r>
        <w:t xml:space="preserve">  &lt;Relationship Id="rId1" </w:t>
      </w:r>
    </w:p>
    <w:p w:rsidR="00024C0A" w:rsidRDefault="00694C0F">
      <w:pPr>
        <w:pStyle w:val="Code"/>
      </w:pPr>
      <w:r>
        <w:t xml:space="preserve">    Type="http://…/attachedToolbars" Target="attachedToolbars.bin"/&gt;</w:t>
      </w:r>
    </w:p>
    <w:p w:rsidR="00024C0A" w:rsidRDefault="00694C0F">
      <w:pPr>
        <w:pStyle w:val="Code"/>
      </w:pPr>
      <w:r>
        <w:t>&lt;/Relationships&gt;</w:t>
      </w:r>
    </w:p>
    <w:p w:rsidR="00024C0A" w:rsidRDefault="00694C0F">
      <w:r>
        <w:t>end example]</w:t>
      </w:r>
    </w:p>
    <w:p w:rsidR="00024C0A" w:rsidRDefault="00694C0F">
      <w:r>
        <w:t>An Attached Toolbars part shall be located withi</w:t>
      </w:r>
      <w:r>
        <w:t xml:space="preserve">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024C0A" w:rsidRDefault="00694C0F">
      <w:r>
        <w:t xml:space="preserve">An Attached Toolbars part shall not have implicit or explicit relationships to any part defined by Office Open XML File Formats </w:t>
      </w:r>
      <w:hyperlink r:id="rId274">
        <w:r>
          <w:rPr>
            <w:rStyle w:val="Hyperlink"/>
          </w:rPr>
          <w:t>[ISO/IEC29500:2012]</w:t>
        </w:r>
      </w:hyperlink>
      <w:r>
        <w:t>.</w:t>
      </w:r>
    </w:p>
    <w:p w:rsidR="00024C0A" w:rsidRDefault="00694C0F">
      <w:r>
        <w:t>The ZIP item attachedToolbars.bin contain</w:t>
      </w:r>
      <w:r>
        <w:t>s a single binary stream with a single CTBWRAPPER structure as specified in the Word 97-2003 Binary File Format (.doc) Structure Specification ("</w:t>
      </w:r>
      <w:hyperlink r:id="rId275" w:anchor="Section_ccd7b4867881484ca13751170af7cc22">
        <w:r>
          <w:rPr>
            <w:rStyle w:val="Hyperlink"/>
          </w:rPr>
          <w:t>[MS-DOC]</w:t>
        </w:r>
      </w:hyperlink>
      <w:r>
        <w:t xml:space="preserve"> section 2.9.49; CTBWRAPP</w:t>
      </w:r>
      <w:r>
        <w:t>ER") book.</w:t>
      </w:r>
    </w:p>
    <w:p w:rsidR="00024C0A" w:rsidRDefault="00694C0F">
      <w:pPr>
        <w:pStyle w:val="Heading4"/>
      </w:pPr>
      <w:bookmarkStart w:id="3805" w:name="section_25472ee1074b4741b3bd5d72b5a55bdc"/>
      <w:bookmarkStart w:id="3806" w:name="_Toc12261963"/>
      <w:r>
        <w:t>Customizations Part</w:t>
      </w:r>
      <w:bookmarkEnd w:id="3805"/>
      <w:bookmarkEnd w:id="3806"/>
      <w:r>
        <w:fldChar w:fldCharType="begin"/>
      </w:r>
      <w:r>
        <w:instrText xml:space="preserve"> XE "Customizations Part" </w:instrText>
      </w:r>
      <w:r>
        <w:fldChar w:fldCharType="end"/>
      </w:r>
    </w:p>
    <w:p w:rsidR="00024C0A" w:rsidRDefault="00694C0F">
      <w:r>
        <w:rPr>
          <w:b/>
          <w:i/>
        </w:rPr>
        <w:t>Content Type</w:t>
      </w:r>
    </w:p>
    <w:p w:rsidR="00024C0A" w:rsidRDefault="00694C0F">
      <w:r>
        <w:rPr>
          <w:i/>
        </w:rPr>
        <w:t>application/vnd.ms-word.keyMapCustomizations+xml</w:t>
      </w:r>
    </w:p>
    <w:p w:rsidR="00024C0A" w:rsidRDefault="00694C0F">
      <w:r>
        <w:rPr>
          <w:b/>
          <w:i/>
        </w:rPr>
        <w:lastRenderedPageBreak/>
        <w:t>Root Namespace</w:t>
      </w:r>
    </w:p>
    <w:p w:rsidR="00024C0A" w:rsidRDefault="00694C0F">
      <w:r>
        <w:rPr>
          <w:i/>
        </w:rPr>
        <w:t>http://schemas.openxmlformats.org/wordprocessingml/2006/main</w:t>
      </w:r>
    </w:p>
    <w:p w:rsidR="00024C0A" w:rsidRDefault="00694C0F">
      <w:r>
        <w:rPr>
          <w:b/>
          <w:i/>
        </w:rPr>
        <w:t>Source Relationship</w:t>
      </w:r>
    </w:p>
    <w:p w:rsidR="00024C0A" w:rsidRDefault="00694C0F">
      <w:r>
        <w:rPr>
          <w:i/>
        </w:rPr>
        <w:t>http://schemas.microsoft.com/office/200</w:t>
      </w:r>
      <w:r>
        <w:rPr>
          <w:i/>
        </w:rPr>
        <w:t>6/relationships/keyMapCustomizations</w:t>
      </w:r>
    </w:p>
    <w:p w:rsidR="00024C0A" w:rsidRDefault="00694C0F">
      <w:r>
        <w:t>An instance of this part type contains the document's template command group (TCG), which consists of key mapping and toolbar customizations.</w:t>
      </w:r>
    </w:p>
    <w:p w:rsidR="00024C0A" w:rsidRDefault="00694C0F">
      <w:r>
        <w:t xml:space="preserve">A package shall contain no more than two Customizations parts. If it exists, </w:t>
      </w:r>
      <w:r>
        <w:t>one instance of that part shall be the target of an implicit relationship from the Main Document part ("</w:t>
      </w:r>
      <w:hyperlink r:id="rId276">
        <w:r>
          <w:rPr>
            <w:rStyle w:val="Hyperlink"/>
          </w:rPr>
          <w:t>[ISO/IEC-29500-1]</w:t>
        </w:r>
      </w:hyperlink>
      <w:r>
        <w:t xml:space="preserve"> §11.3.10"), and the other instance shall be the target of an implici</w:t>
      </w:r>
      <w:r>
        <w:t>t relationship from the Glossary Document part ("[ISO/IEC-29500-1] §11.3.8").</w:t>
      </w:r>
    </w:p>
    <w:p w:rsidR="00024C0A" w:rsidRDefault="00694C0F">
      <w:r>
        <w:t>[Example: The following Main Document part-relationship item contains a relationship to a Customizations part, which is stored in the ZIP item customizations.xml:</w:t>
      </w:r>
    </w:p>
    <w:p w:rsidR="00024C0A" w:rsidRDefault="00694C0F">
      <w:pPr>
        <w:pStyle w:val="Code"/>
      </w:pPr>
      <w:r>
        <w:t xml:space="preserve">&lt;Relationships </w:t>
      </w:r>
      <w:r>
        <w:t>xmlns="…"&gt;</w:t>
      </w:r>
    </w:p>
    <w:p w:rsidR="00024C0A" w:rsidRDefault="00694C0F">
      <w:pPr>
        <w:pStyle w:val="Code"/>
      </w:pPr>
      <w:r>
        <w:t xml:space="preserve">  &lt;Relationship Id="rId4"</w:t>
      </w:r>
    </w:p>
    <w:p w:rsidR="00024C0A" w:rsidRDefault="00694C0F">
      <w:pPr>
        <w:pStyle w:val="Code"/>
      </w:pPr>
      <w:r>
        <w:t xml:space="preserve">    Type="http://…/keyMapCustomizations" Target="customizations.xml"/&gt;</w:t>
      </w:r>
    </w:p>
    <w:p w:rsidR="00024C0A" w:rsidRDefault="00694C0F">
      <w:pPr>
        <w:pStyle w:val="Code"/>
      </w:pPr>
      <w:r>
        <w:t>&lt;/Relationships&gt;</w:t>
      </w:r>
    </w:p>
    <w:p w:rsidR="00024C0A" w:rsidRDefault="00694C0F">
      <w:r>
        <w:t>end example]</w:t>
      </w:r>
    </w:p>
    <w:p w:rsidR="00024C0A" w:rsidRDefault="00694C0F">
      <w:r>
        <w:t xml:space="preserve">The root element for a part of this content type shall be </w:t>
      </w:r>
      <w:r>
        <w:rPr>
          <w:b/>
        </w:rPr>
        <w:t>tcg</w:t>
      </w:r>
      <w:r>
        <w:t>.</w:t>
      </w:r>
    </w:p>
    <w:p w:rsidR="00024C0A" w:rsidRDefault="00694C0F">
      <w:r>
        <w:t>[Example:</w:t>
      </w:r>
    </w:p>
    <w:p w:rsidR="00024C0A" w:rsidRDefault="00694C0F">
      <w:pPr>
        <w:pStyle w:val="Code"/>
      </w:pPr>
      <w:r>
        <w:t>&lt;wne:tcg …&gt;</w:t>
      </w:r>
    </w:p>
    <w:p w:rsidR="00024C0A" w:rsidRDefault="00694C0F">
      <w:pPr>
        <w:pStyle w:val="Code"/>
      </w:pPr>
      <w:r>
        <w:t xml:space="preserve">    &lt;wne:keymaps&gt;</w:t>
      </w:r>
    </w:p>
    <w:p w:rsidR="00024C0A" w:rsidRDefault="00694C0F">
      <w:pPr>
        <w:pStyle w:val="Code"/>
      </w:pPr>
      <w:r>
        <w:t xml:space="preserve">        &lt;</w:t>
      </w:r>
      <w:r>
        <w:t>wne:keymap wne:kcmPrimary="0341"&gt;</w:t>
      </w:r>
    </w:p>
    <w:p w:rsidR="00024C0A" w:rsidRDefault="00694C0F">
      <w:pPr>
        <w:pStyle w:val="Code"/>
      </w:pPr>
      <w:r>
        <w:t xml:space="preserve">            &lt;wne:fci wne:fciName="CssLinks" wne:swArg="0000"/&gt;</w:t>
      </w:r>
    </w:p>
    <w:p w:rsidR="00024C0A" w:rsidRDefault="00694C0F">
      <w:pPr>
        <w:pStyle w:val="Code"/>
      </w:pPr>
      <w:r>
        <w:t xml:space="preserve">        &lt;/wne:keymap&gt;</w:t>
      </w:r>
    </w:p>
    <w:p w:rsidR="00024C0A" w:rsidRDefault="00694C0F">
      <w:pPr>
        <w:pStyle w:val="Code"/>
      </w:pPr>
      <w:r>
        <w:t xml:space="preserve">    &lt;/wne:keymaps&gt;</w:t>
      </w:r>
    </w:p>
    <w:p w:rsidR="00024C0A" w:rsidRDefault="00694C0F">
      <w:pPr>
        <w:pStyle w:val="Code"/>
      </w:pPr>
      <w:r>
        <w:t xml:space="preserve">    &lt;wne:toolbars&gt;</w:t>
      </w:r>
    </w:p>
    <w:p w:rsidR="00024C0A" w:rsidRDefault="00694C0F">
      <w:pPr>
        <w:pStyle w:val="Code"/>
      </w:pPr>
      <w:r>
        <w:t xml:space="preserve">        &lt;wne:toolbarData r:id="rId1"/&gt;</w:t>
      </w:r>
    </w:p>
    <w:p w:rsidR="00024C0A" w:rsidRDefault="00694C0F">
      <w:pPr>
        <w:pStyle w:val="Code"/>
      </w:pPr>
      <w:r>
        <w:t xml:space="preserve">    &lt;/wne:toolbars&gt;</w:t>
      </w:r>
    </w:p>
    <w:p w:rsidR="00024C0A" w:rsidRDefault="00694C0F">
      <w:pPr>
        <w:pStyle w:val="Code"/>
      </w:pPr>
      <w:r>
        <w:t>&lt;/wne:tcg&gt;</w:t>
      </w:r>
    </w:p>
    <w:p w:rsidR="00024C0A" w:rsidRDefault="00694C0F">
      <w:r>
        <w:t>end example]</w:t>
      </w:r>
    </w:p>
    <w:p w:rsidR="00024C0A" w:rsidRDefault="00694C0F">
      <w:r>
        <w:t>A Customizations</w:t>
      </w:r>
      <w:r>
        <w:t xml:space="preserve"> part is permitted to contain explicit relationships to the following parts defined by Office Open XML File Formats </w:t>
      </w:r>
      <w:hyperlink r:id="rId277">
        <w:r>
          <w:rPr>
            <w:rStyle w:val="Hyperlink"/>
          </w:rPr>
          <w:t>[ISO/IEC29500:2012]</w:t>
        </w:r>
      </w:hyperlink>
      <w:r>
        <w:t>:</w:t>
      </w:r>
    </w:p>
    <w:p w:rsidR="00024C0A" w:rsidRDefault="00694C0F">
      <w:pPr>
        <w:pStyle w:val="ListParagraph"/>
        <w:numPr>
          <w:ilvl w:val="0"/>
          <w:numId w:val="192"/>
        </w:numPr>
      </w:pPr>
      <w:r>
        <w:t>Word Attached Toolbars Part (</w:t>
      </w:r>
      <w:hyperlink w:anchor="Section_618afd53b3d54eb4836da647299f9e39">
        <w:r>
          <w:rPr>
            <w:rStyle w:val="Hyperlink"/>
          </w:rPr>
          <w:t>§3.1.1.1, Word Attached Toolbars Part</w:t>
        </w:r>
      </w:hyperlink>
      <w:r>
        <w:t>)</w:t>
      </w:r>
    </w:p>
    <w:p w:rsidR="00024C0A" w:rsidRDefault="00694C0F">
      <w:r>
        <w:t>A Customizations part shall not have any implicit or explicit relationships to any other part defined by Office Open XML File Formats [ISO/IEC29500:2012].</w:t>
      </w:r>
    </w:p>
    <w:p w:rsidR="00024C0A" w:rsidRDefault="00694C0F">
      <w:pPr>
        <w:pStyle w:val="Heading4"/>
      </w:pPr>
      <w:bookmarkStart w:id="3807" w:name="section_af3dc9138c084843ab40495a92170b96"/>
      <w:bookmarkStart w:id="3808" w:name="_Toc12261964"/>
      <w:r>
        <w:t>M</w:t>
      </w:r>
      <w:r>
        <w:t>ail Merge Recipient Data Part</w:t>
      </w:r>
      <w:bookmarkEnd w:id="3807"/>
      <w:bookmarkEnd w:id="3808"/>
      <w:r>
        <w:fldChar w:fldCharType="begin"/>
      </w:r>
      <w:r>
        <w:instrText xml:space="preserve"> XE "Mail Merge Recipient Data Part" </w:instrText>
      </w:r>
      <w:r>
        <w:fldChar w:fldCharType="end"/>
      </w:r>
    </w:p>
    <w:p w:rsidR="00024C0A" w:rsidRDefault="00694C0F">
      <w:r>
        <w:rPr>
          <w:b/>
          <w:i/>
        </w:rPr>
        <w:t>Content Type</w:t>
      </w:r>
    </w:p>
    <w:p w:rsidR="00024C0A" w:rsidRDefault="00694C0F">
      <w:r>
        <w:rPr>
          <w:i/>
        </w:rPr>
        <w:t>application/vnd.openxmlformats-officedocument.wordprocessingml.mailMergeRecipientData+xml</w:t>
      </w:r>
    </w:p>
    <w:p w:rsidR="00024C0A" w:rsidRDefault="00694C0F">
      <w:r>
        <w:rPr>
          <w:i/>
        </w:rPr>
        <w:t>or</w:t>
      </w:r>
    </w:p>
    <w:p w:rsidR="00024C0A" w:rsidRDefault="00694C0F">
      <w:r>
        <w:rPr>
          <w:i/>
        </w:rPr>
        <w:t>application/vnd.ms-word.mailMergeRecipientData+xml</w:t>
      </w:r>
    </w:p>
    <w:p w:rsidR="00024C0A" w:rsidRDefault="00694C0F">
      <w:r>
        <w:rPr>
          <w:b/>
          <w:i/>
        </w:rPr>
        <w:lastRenderedPageBreak/>
        <w:t>Root Namespace</w:t>
      </w:r>
    </w:p>
    <w:p w:rsidR="00024C0A" w:rsidRDefault="00694C0F">
      <w:r>
        <w:rPr>
          <w:i/>
        </w:rPr>
        <w:t>http://schemas.</w:t>
      </w:r>
      <w:r>
        <w:rPr>
          <w:i/>
        </w:rPr>
        <w:t>openxmlformats.org/wordprocessingml/2006/main</w:t>
      </w:r>
    </w:p>
    <w:p w:rsidR="00024C0A" w:rsidRDefault="00694C0F">
      <w:r>
        <w:rPr>
          <w:i/>
        </w:rPr>
        <w:t>or</w:t>
      </w:r>
    </w:p>
    <w:p w:rsidR="00024C0A" w:rsidRDefault="00694C0F">
      <w:r>
        <w:rPr>
          <w:i/>
        </w:rPr>
        <w:t>http://schemas.microsoft.com/office/word/2006/wordml</w:t>
      </w:r>
    </w:p>
    <w:p w:rsidR="00024C0A" w:rsidRDefault="00694C0F">
      <w:r>
        <w:rPr>
          <w:b/>
          <w:i/>
        </w:rPr>
        <w:t>Source Relationship</w:t>
      </w:r>
    </w:p>
    <w:p w:rsidR="00024C0A" w:rsidRDefault="00694C0F">
      <w:r>
        <w:rPr>
          <w:i/>
        </w:rPr>
        <w:t>http://schemas.openxmlformats.org/officeDocument/2006/relationships/recipientData</w:t>
      </w:r>
    </w:p>
    <w:p w:rsidR="00024C0A" w:rsidRDefault="00694C0F">
      <w:r>
        <w:t xml:space="preserve">An instance of this part type contains the document’s Mail Merge Recipient Data. </w:t>
      </w:r>
    </w:p>
    <w:p w:rsidR="00024C0A" w:rsidRDefault="00694C0F">
      <w:r>
        <w:t>A package shall contain no more than one Mail Merge Recipient Data part. If it exists, the instance of that part shall be the target of an explicit relationship from the Docu</w:t>
      </w:r>
      <w:r>
        <w:t>ment Settings part.</w:t>
      </w:r>
    </w:p>
    <w:p w:rsidR="00024C0A" w:rsidRDefault="00694C0F">
      <w:r>
        <w:t>[Example:</w:t>
      </w:r>
    </w:p>
    <w:p w:rsidR="00024C0A" w:rsidRDefault="00694C0F">
      <w:pPr>
        <w:pStyle w:val="Code"/>
      </w:pPr>
      <w:r>
        <w:t>&lt;Relationships xmlns="…"&gt;</w:t>
      </w:r>
    </w:p>
    <w:p w:rsidR="00024C0A" w:rsidRDefault="00694C0F">
      <w:pPr>
        <w:pStyle w:val="Code"/>
      </w:pPr>
      <w:r>
        <w:t xml:space="preserve">  &lt;Relationship Id="rId2"</w:t>
      </w:r>
    </w:p>
    <w:p w:rsidR="00024C0A" w:rsidRDefault="00694C0F">
      <w:pPr>
        <w:pStyle w:val="Code"/>
      </w:pPr>
      <w:r>
        <w:t xml:space="preserve">    Type="http://…/recipientData" Target="recipientData.xml"/&gt;</w:t>
      </w:r>
    </w:p>
    <w:p w:rsidR="00024C0A" w:rsidRDefault="00694C0F">
      <w:pPr>
        <w:pStyle w:val="Code"/>
      </w:pPr>
      <w:r>
        <w:t>&lt;/Relationships&gt;</w:t>
      </w:r>
    </w:p>
    <w:p w:rsidR="00024C0A" w:rsidRDefault="00694C0F">
      <w:r>
        <w:t>end example]</w:t>
      </w:r>
    </w:p>
    <w:p w:rsidR="00024C0A" w:rsidRDefault="00694C0F">
      <w:r>
        <w:t xml:space="preserve">The root element for a Mail Merge Recipient Data part shall be </w:t>
      </w:r>
      <w:r>
        <w:rPr>
          <w:b/>
        </w:rPr>
        <w:t>recipients</w:t>
      </w:r>
      <w:r>
        <w:t>.</w:t>
      </w:r>
    </w:p>
    <w:p w:rsidR="00024C0A" w:rsidRDefault="00694C0F">
      <w:r>
        <w:t>[Examp</w:t>
      </w:r>
      <w:r>
        <w:t>le:</w:t>
      </w:r>
    </w:p>
    <w:p w:rsidR="00024C0A" w:rsidRDefault="00694C0F">
      <w:pPr>
        <w:pStyle w:val="Code"/>
      </w:pPr>
      <w:r>
        <w:t>&lt;w:recipients xmlns:w="http://schemas.openxmlformats.org/wordprocessingml/2006/main" …&gt;</w:t>
      </w:r>
    </w:p>
    <w:p w:rsidR="00024C0A" w:rsidRDefault="00694C0F">
      <w:pPr>
        <w:pStyle w:val="Code"/>
      </w:pPr>
      <w:r>
        <w:t xml:space="preserve">  &lt;w:recipientData&gt;</w:t>
      </w:r>
    </w:p>
    <w:p w:rsidR="00024C0A" w:rsidRDefault="00694C0F">
      <w:pPr>
        <w:pStyle w:val="Code"/>
      </w:pPr>
      <w:r>
        <w:t xml:space="preserve">    &lt;w:active w:val="0" /&gt;</w:t>
      </w:r>
    </w:p>
    <w:p w:rsidR="00024C0A" w:rsidRDefault="00694C0F">
      <w:pPr>
        <w:pStyle w:val="Code"/>
      </w:pPr>
      <w:r>
        <w:t xml:space="preserve">    &lt;w:column w:val="62"&gt;</w:t>
      </w:r>
    </w:p>
    <w:p w:rsidR="00024C0A" w:rsidRDefault="00694C0F">
      <w:pPr>
        <w:pStyle w:val="Code"/>
      </w:pPr>
      <w:r>
        <w:t xml:space="preserve">    &lt;w:uniqueTag w:val="KnmjIQAAAAAAAAAAAAAAAAAAAAAAAAAAAAAAAAAAAAAAAAAAAAAAAAAAAAAAAAAAAAA</w:t>
      </w:r>
      <w:r>
        <w:t>AAAAAAAAA&amp;#xA;</w:t>
      </w:r>
    </w:p>
    <w:p w:rsidR="00024C0A" w:rsidRDefault="00694C0F">
      <w:pPr>
        <w:pStyle w:val="Code"/>
      </w:pPr>
      <w:r>
        <w:t>AAAAAAAAAAAAAAAAAAAAAAAAAAAAAAAAAAAAAAAAAAAAAAAAAAAAAAAAAAAAAAAAAAAAAAAAAAAA&amp;#xA;</w:t>
      </w:r>
    </w:p>
    <w:p w:rsidR="00024C0A" w:rsidRDefault="00694C0F">
      <w:pPr>
        <w:pStyle w:val="Code"/>
      </w:pPr>
      <w:r>
        <w:t xml:space="preserve">AAAAAAAAAAAAAAAAAAA=" /&gt;   </w:t>
      </w:r>
    </w:p>
    <w:p w:rsidR="00024C0A" w:rsidRDefault="00694C0F">
      <w:pPr>
        <w:pStyle w:val="Code"/>
      </w:pPr>
      <w:r>
        <w:t xml:space="preserve">  &lt;/wne:recipientData&gt;   </w:t>
      </w:r>
    </w:p>
    <w:p w:rsidR="00024C0A" w:rsidRDefault="00694C0F">
      <w:pPr>
        <w:pStyle w:val="Code"/>
      </w:pPr>
      <w:r>
        <w:t xml:space="preserve">  …    </w:t>
      </w:r>
    </w:p>
    <w:p w:rsidR="00024C0A" w:rsidRDefault="00694C0F">
      <w:pPr>
        <w:pStyle w:val="Code"/>
      </w:pPr>
      <w:r>
        <w:t>&lt;/wne:recipients&gt;</w:t>
      </w:r>
    </w:p>
    <w:p w:rsidR="00024C0A" w:rsidRDefault="00694C0F">
      <w:r>
        <w:t>In this example, the content type is "application/vnd.openxmlformats-officedocu</w:t>
      </w:r>
      <w:r>
        <w:t>ment.wordprocessingml.mailMergeRecipientData+xml".</w:t>
      </w:r>
    </w:p>
    <w:p w:rsidR="00024C0A" w:rsidRDefault="00694C0F">
      <w:r>
        <w:t>end example]</w:t>
      </w:r>
    </w:p>
    <w:p w:rsidR="00024C0A" w:rsidRDefault="00694C0F">
      <w:r>
        <w:t>[Example:</w:t>
      </w:r>
    </w:p>
    <w:p w:rsidR="00024C0A" w:rsidRDefault="00694C0F">
      <w:pPr>
        <w:pStyle w:val="Code"/>
      </w:pPr>
      <w:r>
        <w:t>&lt;wne:recipients xmlns:wne="http://schemas.microsoft.com/office/word/2006/wordml …&gt;</w:t>
      </w:r>
    </w:p>
    <w:p w:rsidR="00024C0A" w:rsidRDefault="00694C0F">
      <w:pPr>
        <w:pStyle w:val="Code"/>
      </w:pPr>
      <w:r>
        <w:t xml:space="preserve">  &lt;wne:recipientData&gt;</w:t>
      </w:r>
    </w:p>
    <w:p w:rsidR="00024C0A" w:rsidRDefault="00694C0F">
      <w:pPr>
        <w:pStyle w:val="Code"/>
      </w:pPr>
      <w:r>
        <w:t xml:space="preserve">    &lt;wne:active wne:val="1" /&gt;</w:t>
      </w:r>
    </w:p>
    <w:p w:rsidR="00024C0A" w:rsidRDefault="00694C0F">
      <w:pPr>
        <w:pStyle w:val="Code"/>
      </w:pPr>
      <w:r>
        <w:t xml:space="preserve">    &lt;wne:hash wne:val="2094012985"&gt;</w:t>
      </w:r>
    </w:p>
    <w:p w:rsidR="00024C0A" w:rsidRDefault="00694C0F">
      <w:pPr>
        <w:pStyle w:val="Code"/>
      </w:pPr>
      <w:r>
        <w:t xml:space="preserve">  &lt;/wne:re</w:t>
      </w:r>
      <w:r>
        <w:t xml:space="preserve">cipientData&gt;   </w:t>
      </w:r>
    </w:p>
    <w:p w:rsidR="00024C0A" w:rsidRDefault="00694C0F">
      <w:pPr>
        <w:pStyle w:val="Code"/>
      </w:pPr>
      <w:r>
        <w:t xml:space="preserve">  …    </w:t>
      </w:r>
    </w:p>
    <w:p w:rsidR="00024C0A" w:rsidRDefault="00694C0F">
      <w:pPr>
        <w:pStyle w:val="Code"/>
      </w:pPr>
      <w:r>
        <w:t>&lt;/wne:recipients&gt;</w:t>
      </w:r>
    </w:p>
    <w:p w:rsidR="00024C0A" w:rsidRDefault="00694C0F">
      <w:r>
        <w:t>In this example, the content type is "application/vnd.ms-word.mailMergeRecipientData+xml".</w:t>
      </w:r>
    </w:p>
    <w:p w:rsidR="00024C0A" w:rsidRDefault="00694C0F">
      <w:r>
        <w:t>end example]</w:t>
      </w:r>
    </w:p>
    <w:p w:rsidR="00024C0A" w:rsidRDefault="00694C0F">
      <w:r>
        <w:lastRenderedPageBreak/>
        <w:t xml:space="preserve">A Mail Merge Recipient Data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024C0A" w:rsidRDefault="00694C0F">
      <w:r>
        <w:t>A Mail Merge Recipient Data part shall not contain im</w:t>
      </w:r>
      <w:r>
        <w:t xml:space="preserve">plicit or explicit relationships to any other part defined by Office Open XML File Formats </w:t>
      </w:r>
      <w:hyperlink r:id="rId278">
        <w:r>
          <w:rPr>
            <w:rStyle w:val="Hyperlink"/>
          </w:rPr>
          <w:t>[ISO/IEC29500:2012]</w:t>
        </w:r>
      </w:hyperlink>
      <w:r>
        <w:t>.</w:t>
      </w:r>
    </w:p>
    <w:p w:rsidR="00024C0A" w:rsidRDefault="00694C0F">
      <w:pPr>
        <w:pStyle w:val="Heading3"/>
      </w:pPr>
      <w:bookmarkStart w:id="3809" w:name="section_52855f50318e404192e10d0ddd08ed3d"/>
      <w:bookmarkStart w:id="3810" w:name="_Toc12261965"/>
      <w:r>
        <w:t>Word Schema</w:t>
      </w:r>
      <w:bookmarkEnd w:id="3809"/>
      <w:bookmarkEnd w:id="3810"/>
      <w:r>
        <w:fldChar w:fldCharType="begin"/>
      </w:r>
      <w:r>
        <w:instrText xml:space="preserve"> XE "Word Schema" </w:instrText>
      </w:r>
      <w:r>
        <w:fldChar w:fldCharType="end"/>
      </w:r>
    </w:p>
    <w:p w:rsidR="00024C0A" w:rsidRDefault="00694C0F">
      <w:r>
        <w:t>The following clauses define additional inform</w:t>
      </w:r>
      <w:r>
        <w:t xml:space="preserve">ation used by Word to help implement Office Open XML File Formats </w:t>
      </w:r>
      <w:hyperlink r:id="rId279">
        <w:r>
          <w:rPr>
            <w:rStyle w:val="Hyperlink"/>
          </w:rPr>
          <w:t>[ISO/IEC29500:2012]</w:t>
        </w:r>
      </w:hyperlink>
      <w:r>
        <w:t xml:space="preserve">.  </w:t>
      </w:r>
    </w:p>
    <w:p w:rsidR="00024C0A" w:rsidRDefault="00694C0F">
      <w:pPr>
        <w:pStyle w:val="Heading4"/>
      </w:pPr>
      <w:bookmarkStart w:id="3811" w:name="section_c4ba3f99a9684ad8ad70e7c38fa2e504"/>
      <w:bookmarkStart w:id="3812" w:name="_Toc12261966"/>
      <w:r>
        <w:t>Keyboard and Toolbar Customizations</w:t>
      </w:r>
      <w:bookmarkEnd w:id="3811"/>
      <w:bookmarkEnd w:id="3812"/>
      <w:r>
        <w:fldChar w:fldCharType="begin"/>
      </w:r>
      <w:r>
        <w:instrText xml:space="preserve"> XE "Keyboard and Toolbar Customizations" </w:instrText>
      </w:r>
      <w:r>
        <w:fldChar w:fldCharType="end"/>
      </w:r>
    </w:p>
    <w:p w:rsidR="00024C0A" w:rsidRDefault="00694C0F">
      <w:r>
        <w:t>The following clauses</w:t>
      </w:r>
      <w:r>
        <w:t xml:space="preserve"> specify the semantics used by Word to customize keyboard and toolbar commands.</w:t>
      </w:r>
    </w:p>
    <w:p w:rsidR="00024C0A" w:rsidRDefault="00694C0F">
      <w:pPr>
        <w:pStyle w:val="Heading5"/>
      </w:pPr>
      <w:bookmarkStart w:id="3813" w:name="section_cd54017577a44d06bcb8908533b89a6a"/>
      <w:bookmarkStart w:id="3814" w:name="_Toc12261967"/>
      <w:r>
        <w:t>Elements</w:t>
      </w:r>
      <w:bookmarkEnd w:id="3813"/>
      <w:bookmarkEnd w:id="3814"/>
    </w:p>
    <w:p w:rsidR="00024C0A" w:rsidRDefault="00694C0F">
      <w:pPr>
        <w:pStyle w:val="Heading6"/>
      </w:pPr>
      <w:bookmarkStart w:id="3815" w:name="section_9bd9f7443f3a4ce88c48371c1bb6cd67"/>
      <w:bookmarkStart w:id="3816" w:name="_Toc12261968"/>
      <w:r>
        <w:t>acd (Allocated Command)</w:t>
      </w:r>
      <w:bookmarkEnd w:id="3815"/>
      <w:bookmarkEnd w:id="3816"/>
      <w:r>
        <w:fldChar w:fldCharType="begin"/>
      </w:r>
      <w:r>
        <w:instrText xml:space="preserve"> XE "acd (Allocated Command)" </w:instrText>
      </w:r>
      <w:r>
        <w:fldChar w:fldCharType="end"/>
      </w:r>
    </w:p>
    <w:p w:rsidR="00024C0A" w:rsidRDefault="00694C0F">
      <w:r>
        <w:t>This element is used to declare an allocated command for use elsewhere in the Keyboard and Toolbar customizatio</w:t>
      </w:r>
      <w:r>
        <w:t>n XML part. While ordinary fixed commands (§</w:t>
      </w:r>
      <w:hyperlink w:anchor="Section_e7fbfaec48a0443e91cc16c53cefbd44">
        <w:r>
          <w:rPr>
            <w:rStyle w:val="Hyperlink"/>
          </w:rPr>
          <w:t>3.1.2.1.1.7, fci</w:t>
        </w:r>
      </w:hyperlink>
      <w:r>
        <w:t>) can take an optional numeric argument, allocated commands are fixed commands that take a Base64 MIME transfer content encoded argum</w:t>
      </w:r>
      <w:r>
        <w:t>ent.</w:t>
      </w:r>
    </w:p>
    <w:p w:rsidR="00024C0A" w:rsidRDefault="00694C0F">
      <w:r>
        <w:t xml:space="preserve"> [Example: Consider the following allocated command declaration:</w:t>
      </w:r>
    </w:p>
    <w:p w:rsidR="00024C0A" w:rsidRDefault="00694C0F">
      <w:pPr>
        <w:pStyle w:val="Code"/>
      </w:pPr>
      <w:r>
        <w:t xml:space="preserve"> &lt;wne:acd wne:argValue="AAA=" wne:acdName="acd0" wne:fciBasedOn="Color"/&gt; </w:t>
      </w:r>
    </w:p>
    <w:p w:rsidR="00024C0A" w:rsidRDefault="00694C0F">
      <w:r>
        <w:t xml:space="preserve">In this example, the WordprocessingML declares that the allocated command identified as </w:t>
      </w:r>
      <w:r>
        <w:rPr>
          <w:rStyle w:val="InlineCode"/>
        </w:rPr>
        <w:t>acd0</w:t>
      </w:r>
      <w:r>
        <w:t xml:space="preserve"> is based on the </w:t>
      </w:r>
      <w:r>
        <w:rPr>
          <w:rStyle w:val="InlineCode"/>
        </w:rPr>
        <w:t>Co</w:t>
      </w:r>
      <w:r>
        <w:rPr>
          <w:rStyle w:val="InlineCode"/>
        </w:rPr>
        <w:t>lor</w:t>
      </w:r>
      <w:r>
        <w:t xml:space="preserve"> fixed command and takes the Base64 encoded argument specified in the </w:t>
      </w:r>
      <w:r>
        <w:rPr>
          <w:i/>
        </w:rPr>
        <w:t>argValue</w:t>
      </w:r>
      <w:r>
        <w:t xml:space="preserve"> attribute that decodes to the integer value </w:t>
      </w:r>
      <w:r>
        <w:rPr>
          <w:rStyle w:val="InlineCode"/>
        </w:rPr>
        <w:t>0</w:t>
      </w:r>
      <w:r>
        <w:t>.  When this allocated command is executed, it has the effect of causing Word to color the currently selected text according to i</w:t>
      </w:r>
      <w:r>
        <w:t>ts default color. end example]</w:t>
      </w:r>
    </w:p>
    <w:tbl>
      <w:tblPr>
        <w:tblStyle w:val="Table-ShadedHeader"/>
        <w:tblW w:w="0" w:type="auto"/>
        <w:tblLook w:val="04A0" w:firstRow="1" w:lastRow="0" w:firstColumn="1" w:lastColumn="0" w:noHBand="0" w:noVBand="1"/>
      </w:tblPr>
      <w:tblGrid>
        <w:gridCol w:w="2320"/>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acds</w:t>
            </w:r>
            <w:r>
              <w:t xml:space="preserve"> (§</w:t>
            </w:r>
            <w:hyperlink w:anchor="Section_83ec8315581b46899d5e9db1d95ec41f">
              <w:r>
                <w:rPr>
                  <w:rStyle w:val="Hyperlink"/>
                </w:rPr>
                <w:t>3.1.2.1.1.5, acds</w:t>
              </w:r>
            </w:hyperlink>
            <w:r>
              <w: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2149"/>
        <w:gridCol w:w="732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Attributes</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acdName</w:t>
            </w:r>
            <w:r>
              <w:t xml:space="preserve"> (Allocated command name)</w:t>
            </w:r>
          </w:p>
        </w:tc>
        <w:tc>
          <w:tcPr>
            <w:tcW w:w="0" w:type="auto"/>
            <w:vAlign w:val="center"/>
          </w:tcPr>
          <w:p w:rsidR="00024C0A" w:rsidRDefault="00694C0F">
            <w:pPr>
              <w:pStyle w:val="TableBodyText"/>
            </w:pPr>
            <w:r>
              <w:t xml:space="preserve">Specifies the friendly name for identifying this allocated command. While any valid string can be used for this name, Word writes out allocated command names in sequence of the form </w:t>
            </w:r>
            <w:r>
              <w:rPr>
                <w:rStyle w:val="InlineCode"/>
              </w:rPr>
              <w:t>acd0</w:t>
            </w:r>
            <w:r>
              <w:t xml:space="preserve">, </w:t>
            </w:r>
            <w:r>
              <w:rPr>
                <w:rStyle w:val="InlineCode"/>
              </w:rPr>
              <w:t>acd1</w:t>
            </w:r>
            <w:r>
              <w:t xml:space="preserve">, </w:t>
            </w:r>
            <w:r>
              <w:rPr>
                <w:rStyle w:val="InlineCode"/>
              </w:rPr>
              <w:t>acd2</w:t>
            </w:r>
            <w:r>
              <w:t>, regardless of any name the allocated command may have be</w:t>
            </w:r>
            <w:r>
              <w:t xml:space="preserve">en given. Consequently, a name like </w:t>
            </w:r>
            <w:r>
              <w:rPr>
                <w:rStyle w:val="InlineCode"/>
              </w:rPr>
              <w:t>myacd</w:t>
            </w:r>
            <w:r>
              <w:t xml:space="preserve"> could be specified in a file for a lone allocated command but would be written out as </w:t>
            </w:r>
            <w:r>
              <w:rPr>
                <w:rStyle w:val="InlineCode"/>
              </w:rPr>
              <w:t>acd0</w:t>
            </w:r>
            <w:r>
              <w:t xml:space="preserve"> upon resaving the document.</w:t>
            </w:r>
          </w:p>
          <w:p w:rsidR="00024C0A" w:rsidRDefault="00024C0A">
            <w:pPr>
              <w:pStyle w:val="TableBodyText"/>
            </w:pPr>
          </w:p>
          <w:p w:rsidR="00024C0A" w:rsidRDefault="00694C0F">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024C0A" w:rsidTr="00024C0A">
        <w:tc>
          <w:tcPr>
            <w:tcW w:w="0" w:type="auto"/>
            <w:vAlign w:val="center"/>
          </w:tcPr>
          <w:p w:rsidR="00024C0A" w:rsidRDefault="00694C0F">
            <w:pPr>
              <w:pStyle w:val="TableBodyText"/>
            </w:pPr>
            <w:r>
              <w:rPr>
                <w:b/>
              </w:rPr>
              <w:t>argValue</w:t>
            </w:r>
            <w:r>
              <w:t xml:space="preserve"> (Allocated Command Arguments)</w:t>
            </w:r>
          </w:p>
        </w:tc>
        <w:tc>
          <w:tcPr>
            <w:tcW w:w="0" w:type="auto"/>
            <w:vAlign w:val="center"/>
          </w:tcPr>
          <w:p w:rsidR="00024C0A" w:rsidRDefault="00694C0F">
            <w:pPr>
              <w:pStyle w:val="TableBodyText"/>
            </w:pPr>
            <w:r>
              <w:t xml:space="preserve">Specifies the argument that should be passed to the fixed command given by the </w:t>
            </w:r>
            <w:r>
              <w:rPr>
                <w:i/>
              </w:rPr>
              <w:t>fciBasedOn</w:t>
            </w:r>
            <w:r>
              <w:t xml:space="preserve"> and </w:t>
            </w:r>
            <w:r>
              <w:rPr>
                <w:i/>
              </w:rPr>
              <w:t>fciIndexBasedOn</w:t>
            </w:r>
            <w:r>
              <w:t xml:space="preserve"> attributes. Its contents are Base64 MIME content </w:t>
            </w:r>
            <w:r>
              <w:lastRenderedPageBreak/>
              <w:t>transfer encoded. While there is no strict limit on the length of this Base64 encoded string, only the first 510 bytes of decoded data will be used. Invalid Base64 characters in the string (such as carriage</w:t>
            </w:r>
            <w:r>
              <w:t xml:space="preserve"> returns or white space) are ignored on read, but Word may produce them on write.</w:t>
            </w:r>
          </w:p>
          <w:p w:rsidR="00024C0A" w:rsidRDefault="00024C0A">
            <w:pPr>
              <w:pStyle w:val="TableBodyText"/>
            </w:pPr>
          </w:p>
          <w:p w:rsidR="00024C0A" w:rsidRDefault="00694C0F">
            <w:pPr>
              <w:pStyle w:val="TableBodyText"/>
            </w:pPr>
            <w:r>
              <w:t>If this attribute is not specified, an empty argument is passed to the associated fixed command, which may cause the command to do nothing on execution.</w:t>
            </w:r>
          </w:p>
          <w:p w:rsidR="00024C0A" w:rsidRDefault="00024C0A">
            <w:pPr>
              <w:pStyle w:val="TableBodyText"/>
            </w:pPr>
          </w:p>
          <w:p w:rsidR="00024C0A" w:rsidRDefault="00694C0F">
            <w:pPr>
              <w:pStyle w:val="TableBodyText"/>
            </w:pPr>
            <w:r>
              <w:t>The possible values</w:t>
            </w:r>
            <w:r>
              <w:t xml:space="preserve"> for this attribute are defined by the ST_String simple type (§3.1.2.3.5, ST_String).</w:t>
            </w:r>
          </w:p>
        </w:tc>
      </w:tr>
      <w:tr w:rsidR="00024C0A" w:rsidTr="00024C0A">
        <w:tc>
          <w:tcPr>
            <w:tcW w:w="0" w:type="auto"/>
            <w:vAlign w:val="center"/>
          </w:tcPr>
          <w:p w:rsidR="00024C0A" w:rsidRDefault="00694C0F">
            <w:pPr>
              <w:pStyle w:val="TableBodyText"/>
            </w:pPr>
            <w:r>
              <w:rPr>
                <w:b/>
              </w:rPr>
              <w:lastRenderedPageBreak/>
              <w:t>fciBasedOn</w:t>
            </w:r>
            <w:r>
              <w:t xml:space="preserve"> (Fixed command based on)</w:t>
            </w:r>
          </w:p>
        </w:tc>
        <w:tc>
          <w:tcPr>
            <w:tcW w:w="0" w:type="auto"/>
            <w:vAlign w:val="center"/>
          </w:tcPr>
          <w:p w:rsidR="00024C0A" w:rsidRDefault="00694C0F">
            <w:pPr>
              <w:pStyle w:val="TableBodyText"/>
            </w:pPr>
            <w:r>
              <w:t xml:space="preserve">Specifies the friendly name of the fixed command that shall be used for this allocated command. If both this attribute and </w:t>
            </w:r>
            <w:r>
              <w:rPr>
                <w:i/>
              </w:rPr>
              <w:t>fciIndexBa</w:t>
            </w:r>
            <w:r>
              <w:rPr>
                <w:i/>
              </w:rPr>
              <w:t>sedOn</w:t>
            </w:r>
            <w:r>
              <w:t xml:space="preserve"> are specified, this attribute will be used.</w:t>
            </w:r>
          </w:p>
          <w:p w:rsidR="00024C0A" w:rsidRDefault="00024C0A">
            <w:pPr>
              <w:pStyle w:val="TableBodyText"/>
            </w:pPr>
          </w:p>
          <w:p w:rsidR="00024C0A" w:rsidRDefault="00694C0F">
            <w:pPr>
              <w:pStyle w:val="TableBodyText"/>
            </w:pPr>
            <w:r>
              <w:t xml:space="preserve">Only 11 fixed commands shall be used as allocated commands in Word: </w:t>
            </w:r>
            <w:r>
              <w:rPr>
                <w:i/>
              </w:rPr>
              <w:t>Borders</w:t>
            </w:r>
            <w:r>
              <w:t xml:space="preserve">, </w:t>
            </w:r>
            <w:r>
              <w:rPr>
                <w:i/>
              </w:rPr>
              <w:t>Color</w:t>
            </w:r>
            <w:r>
              <w:t xml:space="preserve">, </w:t>
            </w:r>
            <w:r>
              <w:rPr>
                <w:i/>
              </w:rPr>
              <w:t>Columns</w:t>
            </w:r>
            <w:r>
              <w:t xml:space="preserve">, </w:t>
            </w:r>
            <w:r>
              <w:rPr>
                <w:i/>
              </w:rPr>
              <w:t>Condensed</w:t>
            </w:r>
            <w:r>
              <w:t xml:space="preserve">, </w:t>
            </w:r>
            <w:r>
              <w:rPr>
                <w:i/>
              </w:rPr>
              <w:t>Expanded</w:t>
            </w:r>
            <w:r>
              <w:t xml:space="preserve">, </w:t>
            </w:r>
            <w:r>
              <w:rPr>
                <w:i/>
              </w:rPr>
              <w:t>FileOpenFile</w:t>
            </w:r>
            <w:r>
              <w:t xml:space="preserve">, </w:t>
            </w:r>
            <w:r>
              <w:rPr>
                <w:i/>
              </w:rPr>
              <w:t>FontSize</w:t>
            </w:r>
            <w:r>
              <w:t xml:space="preserve">, </w:t>
            </w:r>
            <w:r>
              <w:rPr>
                <w:i/>
              </w:rPr>
              <w:t>Lowered</w:t>
            </w:r>
            <w:r>
              <w:t xml:space="preserve">, </w:t>
            </w:r>
            <w:r>
              <w:rPr>
                <w:i/>
              </w:rPr>
              <w:t>Raised</w:t>
            </w:r>
            <w:r>
              <w:t xml:space="preserve">, </w:t>
            </w:r>
            <w:r>
              <w:rPr>
                <w:i/>
              </w:rPr>
              <w:t>Shading</w:t>
            </w:r>
            <w:r>
              <w:t xml:space="preserve"> and </w:t>
            </w:r>
            <w:r>
              <w:rPr>
                <w:i/>
              </w:rPr>
              <w:t>Symbol</w:t>
            </w:r>
            <w:r>
              <w:t>.</w:t>
            </w:r>
          </w:p>
          <w:p w:rsidR="00024C0A" w:rsidRDefault="00024C0A">
            <w:pPr>
              <w:pStyle w:val="TableBodyText"/>
            </w:pPr>
          </w:p>
          <w:p w:rsidR="00024C0A" w:rsidRDefault="00694C0F">
            <w:pPr>
              <w:pStyle w:val="TableBodyText"/>
            </w:pPr>
            <w:r>
              <w:t xml:space="preserve">The possible values for this </w:t>
            </w:r>
            <w:r>
              <w:t>attribute are defined by the ST_String simple type (§3.1.2.3.5, ST_String).</w:t>
            </w:r>
          </w:p>
        </w:tc>
      </w:tr>
      <w:tr w:rsidR="00024C0A" w:rsidTr="00024C0A">
        <w:tc>
          <w:tcPr>
            <w:tcW w:w="0" w:type="auto"/>
            <w:vAlign w:val="center"/>
          </w:tcPr>
          <w:p w:rsidR="00024C0A" w:rsidRDefault="00694C0F">
            <w:pPr>
              <w:pStyle w:val="TableBodyText"/>
            </w:pPr>
            <w:r>
              <w:rPr>
                <w:b/>
              </w:rPr>
              <w:t>fciIndexBasedOn</w:t>
            </w:r>
            <w:r>
              <w:t xml:space="preserve"> (Index of fixed command)</w:t>
            </w:r>
          </w:p>
        </w:tc>
        <w:tc>
          <w:tcPr>
            <w:tcW w:w="0" w:type="auto"/>
            <w:vAlign w:val="center"/>
          </w:tcPr>
          <w:p w:rsidR="00024C0A" w:rsidRDefault="00694C0F">
            <w:pPr>
              <w:pStyle w:val="TableBodyText"/>
            </w:pPr>
            <w:r>
              <w:t xml:space="preserve">Specifies the numeric index of the fixed command that shall be used for this allocated command. A table mapping the friendly names of all </w:t>
            </w:r>
            <w:r>
              <w:t xml:space="preserve">fixed commands (including those mentioned in </w:t>
            </w:r>
            <w:r>
              <w:rPr>
                <w:i/>
              </w:rPr>
              <w:t>fciBasedOn</w:t>
            </w:r>
            <w:r>
              <w:t>--the only valid fixed commands that may be used for allocated commands) may be found in Fixed Commands (§</w:t>
            </w:r>
            <w:hyperlink w:anchor="Section_1ecf33cf360145f089fb0ab824739343">
              <w:r>
                <w:rPr>
                  <w:rStyle w:val="Hyperlink"/>
                </w:rPr>
                <w:t>3.1.2.1.2, Fixed Commands</w:t>
              </w:r>
            </w:hyperlink>
            <w:r>
              <w:t>).</w:t>
            </w:r>
          </w:p>
          <w:p w:rsidR="00024C0A" w:rsidRDefault="00024C0A">
            <w:pPr>
              <w:pStyle w:val="TableBodyText"/>
            </w:pPr>
          </w:p>
          <w:p w:rsidR="00024C0A" w:rsidRDefault="00694C0F">
            <w:pPr>
              <w:pStyle w:val="TableBodyText"/>
            </w:pPr>
            <w:r>
              <w:t xml:space="preserve">If </w:t>
            </w:r>
            <w:r>
              <w:t xml:space="preserve">both this attribute and </w:t>
            </w:r>
            <w:r>
              <w:rPr>
                <w:i/>
              </w:rPr>
              <w:t>fciBasedOn</w:t>
            </w:r>
            <w:r>
              <w:t xml:space="preserve"> are specified, </w:t>
            </w:r>
            <w:r>
              <w:rPr>
                <w:i/>
              </w:rPr>
              <w:t>fciBasedOn</w:t>
            </w:r>
            <w:r>
              <w:t xml:space="preserve"> will be used. The </w:t>
            </w:r>
            <w:r>
              <w:rPr>
                <w:b/>
              </w:rPr>
              <w:t>fciIndexBasedOn</w:t>
            </w:r>
            <w:r>
              <w:t xml:space="preserve"> attribute may be converted to </w:t>
            </w:r>
            <w:r>
              <w:rPr>
                <w:b/>
              </w:rPr>
              <w:t>fciBasedOn</w:t>
            </w:r>
            <w:r>
              <w:t xml:space="preserve"> upon resaving of the document.</w:t>
            </w:r>
          </w:p>
          <w:p w:rsidR="00024C0A" w:rsidRDefault="00024C0A">
            <w:pPr>
              <w:pStyle w:val="TableBodyText"/>
            </w:pPr>
          </w:p>
          <w:p w:rsidR="00024C0A" w:rsidRDefault="00694C0F">
            <w:pPr>
              <w:pStyle w:val="TableBodyText"/>
            </w:pPr>
            <w:r>
              <w:t xml:space="preserve">The possible values for this attribute are defined by the ST_ShortHexNumber simple type </w:t>
            </w:r>
            <w:r>
              <w:t>(§</w:t>
            </w:r>
            <w:hyperlink w:anchor="Section_b12e8ea4e85d4b4c94bf98db8427fcaa">
              <w:r>
                <w:rPr>
                  <w:rStyle w:val="Hyperlink"/>
                </w:rPr>
                <w:t>3.1.2.3.4, ST_ShortHexNumber</w:t>
              </w:r>
            </w:hyperlink>
            <w:r>
              <w:t>).</w:t>
            </w:r>
          </w:p>
        </w:tc>
      </w:tr>
    </w:tbl>
    <w:p w:rsidR="00024C0A" w:rsidRDefault="00024C0A"/>
    <w:p w:rsidR="00024C0A" w:rsidRDefault="00694C0F">
      <w:r>
        <w:t>The following XML Schema fragment defines the contents of this element:</w:t>
      </w:r>
    </w:p>
    <w:p w:rsidR="00024C0A" w:rsidRDefault="00694C0F">
      <w:pPr>
        <w:pStyle w:val="Code"/>
      </w:pPr>
      <w:r>
        <w:t>&lt;complexType name="CT_Acd"&gt;</w:t>
      </w:r>
    </w:p>
    <w:p w:rsidR="00024C0A" w:rsidRDefault="00694C0F">
      <w:pPr>
        <w:pStyle w:val="Code"/>
      </w:pPr>
      <w:r>
        <w:t xml:space="preserve">  &lt;attribute name="argValue" type="ST_String"/&gt;</w:t>
      </w:r>
    </w:p>
    <w:p w:rsidR="00024C0A" w:rsidRDefault="00694C0F">
      <w:pPr>
        <w:pStyle w:val="Code"/>
      </w:pPr>
      <w:r>
        <w:t xml:space="preserve">  &lt;attribu</w:t>
      </w:r>
      <w:r>
        <w:t>te name="fciBasedOn" type="ST_String"/&gt;</w:t>
      </w:r>
    </w:p>
    <w:p w:rsidR="00024C0A" w:rsidRDefault="00694C0F">
      <w:pPr>
        <w:pStyle w:val="Code"/>
      </w:pPr>
      <w:r>
        <w:t xml:space="preserve">  &lt;attribute name="fciIndexBasedOn" type="ST_ShortHexNumber"/&gt;</w:t>
      </w:r>
    </w:p>
    <w:p w:rsidR="00024C0A" w:rsidRDefault="00694C0F">
      <w:pPr>
        <w:pStyle w:val="Code"/>
      </w:pPr>
      <w:r>
        <w:t xml:space="preserve">  &lt;attribute name="acdName" type="ST_String" use="required"/&gt;</w:t>
      </w:r>
    </w:p>
    <w:p w:rsidR="00024C0A" w:rsidRDefault="00694C0F">
      <w:pPr>
        <w:pStyle w:val="Code"/>
      </w:pPr>
      <w:r>
        <w:t>&lt;/complexType&gt;</w:t>
      </w:r>
    </w:p>
    <w:p w:rsidR="00024C0A" w:rsidRDefault="00694C0F">
      <w:pPr>
        <w:pStyle w:val="Heading6"/>
      </w:pPr>
      <w:bookmarkStart w:id="3817" w:name="section_03e658016a2147d093503528064826ad"/>
      <w:bookmarkStart w:id="3818" w:name="_Toc12261969"/>
      <w:r>
        <w:t>acd (Allocated Command Keyboard Customization Action)</w:t>
      </w:r>
      <w:bookmarkEnd w:id="3817"/>
      <w:bookmarkEnd w:id="3818"/>
      <w:r>
        <w:fldChar w:fldCharType="begin"/>
      </w:r>
      <w:r>
        <w:instrText xml:space="preserve"> XE "acd (Allocated Command Keyboard Customization Action)" </w:instrText>
      </w:r>
      <w:r>
        <w:fldChar w:fldCharType="end"/>
      </w:r>
    </w:p>
    <w:p w:rsidR="00024C0A" w:rsidRDefault="00694C0F">
      <w:r>
        <w:t>This element specifies that an allocated command should be executed by the enclosing key map.</w:t>
      </w:r>
    </w:p>
    <w:p w:rsidR="00024C0A" w:rsidRDefault="00694C0F">
      <w:r>
        <w:t>[Example: Consider the following key map:</w:t>
      </w:r>
    </w:p>
    <w:p w:rsidR="00024C0A" w:rsidRDefault="00694C0F">
      <w:pPr>
        <w:pStyle w:val="Code"/>
      </w:pPr>
      <w:r>
        <w:t xml:space="preserve">  &lt;wne:keymap wne:kcmPrimary="0238"&gt;</w:t>
      </w:r>
    </w:p>
    <w:p w:rsidR="00024C0A" w:rsidRDefault="00694C0F">
      <w:pPr>
        <w:pStyle w:val="Code"/>
      </w:pPr>
      <w:r>
        <w:t xml:space="preserve">      &lt;</w:t>
      </w:r>
      <w:r>
        <w:t>wne:acd wne:acdName="acd0" /&gt;</w:t>
      </w:r>
    </w:p>
    <w:p w:rsidR="00024C0A" w:rsidRDefault="00694C0F">
      <w:pPr>
        <w:pStyle w:val="Code"/>
      </w:pPr>
      <w:r>
        <w:t xml:space="preserve">  &lt;/wne:keymap&gt;</w:t>
      </w:r>
    </w:p>
    <w:p w:rsidR="00024C0A" w:rsidRDefault="00694C0F">
      <w:r>
        <w:lastRenderedPageBreak/>
        <w:t xml:space="preserve">In this example, the WordprocessingML fragment specifies that pressing Control-8 (the meaning of a KCM of </w:t>
      </w:r>
      <w:r>
        <w:rPr>
          <w:rStyle w:val="InlineCode"/>
        </w:rPr>
        <w:t>0238</w:t>
      </w:r>
      <w:r>
        <w:t xml:space="preserve">) will execute the allocated command identified by </w:t>
      </w:r>
      <w:r>
        <w:rPr>
          <w:rStyle w:val="InlineCode"/>
        </w:rPr>
        <w:t>acd0</w:t>
      </w:r>
      <w:r>
        <w:t>. end example]</w:t>
      </w:r>
    </w:p>
    <w:tbl>
      <w:tblPr>
        <w:tblStyle w:val="Table-ShadedHeader"/>
        <w:tblW w:w="0" w:type="auto"/>
        <w:tblLook w:val="04A0" w:firstRow="1" w:lastRow="0" w:firstColumn="1" w:lastColumn="0" w:noHBand="0" w:noVBand="1"/>
      </w:tblPr>
      <w:tblGrid>
        <w:gridCol w:w="289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keymap</w:t>
            </w:r>
            <w:r>
              <w:t xml:space="preserve"> (§</w:t>
            </w:r>
            <w:hyperlink w:anchor="Section_d44dbd45cbbb4efba0903a85141d00fc">
              <w:r>
                <w:rPr>
                  <w:rStyle w:val="Hyperlink"/>
                </w:rPr>
                <w:t>3.1.2.1.1.8, keymap</w:t>
              </w:r>
            </w:hyperlink>
            <w:r>
              <w: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2781"/>
        <w:gridCol w:w="6694"/>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Attributes</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acdName</w:t>
            </w:r>
            <w:r>
              <w:t xml:space="preserve"> (Allocated command name)</w:t>
            </w:r>
          </w:p>
        </w:tc>
        <w:tc>
          <w:tcPr>
            <w:tcW w:w="0" w:type="auto"/>
            <w:vAlign w:val="center"/>
          </w:tcPr>
          <w:p w:rsidR="00024C0A" w:rsidRDefault="00694C0F">
            <w:pPr>
              <w:pStyle w:val="TableBodyText"/>
            </w:pPr>
            <w:r>
              <w:t>Specifies the friendly name of the allocated command to execute.</w:t>
            </w:r>
          </w:p>
          <w:p w:rsidR="00024C0A" w:rsidRDefault="00024C0A">
            <w:pPr>
              <w:pStyle w:val="TableBodyText"/>
            </w:pPr>
          </w:p>
          <w:p w:rsidR="00024C0A" w:rsidRDefault="00694C0F">
            <w:pPr>
              <w:pStyle w:val="TableBodyText"/>
            </w:pPr>
            <w:r>
              <w:t>The possible values for this attribute are defined</w:t>
            </w:r>
            <w:r>
              <w:t xml:space="preserve"> by the ST_String simple type (§</w:t>
            </w:r>
            <w:hyperlink w:anchor="Section_6af92020a61a492793209436f448f276">
              <w:r>
                <w:rPr>
                  <w:rStyle w:val="Hyperlink"/>
                </w:rPr>
                <w:t>3.1.2.3.5, ST_String</w:t>
              </w:r>
            </w:hyperlink>
            <w:r>
              <w:t>).</w:t>
            </w:r>
          </w:p>
        </w:tc>
      </w:tr>
    </w:tbl>
    <w:p w:rsidR="00024C0A" w:rsidRDefault="00024C0A"/>
    <w:p w:rsidR="00024C0A" w:rsidRDefault="00694C0F">
      <w:r>
        <w:t>The following XML Schema fragment defines the contents of this element:</w:t>
      </w:r>
    </w:p>
    <w:p w:rsidR="00024C0A" w:rsidRDefault="00694C0F">
      <w:pPr>
        <w:pStyle w:val="Code"/>
      </w:pPr>
      <w:r>
        <w:t>&lt;complexType name="CT_AcdKeymap"&gt;</w:t>
      </w:r>
    </w:p>
    <w:p w:rsidR="00024C0A" w:rsidRDefault="00694C0F">
      <w:pPr>
        <w:pStyle w:val="Code"/>
      </w:pPr>
      <w:r>
        <w:t xml:space="preserve">  &lt;attribute name="acdName" ty</w:t>
      </w:r>
      <w:r>
        <w:t>pe="ST_String" use="required"/&gt;</w:t>
      </w:r>
    </w:p>
    <w:p w:rsidR="00024C0A" w:rsidRDefault="00694C0F">
      <w:pPr>
        <w:pStyle w:val="Code"/>
      </w:pPr>
      <w:r>
        <w:t>&lt;/complexType&gt;</w:t>
      </w:r>
    </w:p>
    <w:p w:rsidR="00024C0A" w:rsidRDefault="00694C0F">
      <w:pPr>
        <w:pStyle w:val="Heading6"/>
      </w:pPr>
      <w:bookmarkStart w:id="3819" w:name="section_030e50dc59a54f3f8f6c41168047f641"/>
      <w:bookmarkStart w:id="3820" w:name="_Toc12261970"/>
      <w:r>
        <w:t>acdEntry (Allocated Command Manifest Entry)</w:t>
      </w:r>
      <w:bookmarkEnd w:id="3819"/>
      <w:bookmarkEnd w:id="3820"/>
      <w:r>
        <w:fldChar w:fldCharType="begin"/>
      </w:r>
      <w:r>
        <w:instrText xml:space="preserve"> XE "acdEntry (Allocated Command Manifest Entry)" </w:instrText>
      </w:r>
      <w:r>
        <w:fldChar w:fldCharType="end"/>
      </w:r>
    </w:p>
    <w:p w:rsidR="00024C0A" w:rsidRDefault="00694C0F">
      <w:r>
        <w:t>This element identifies the allocated command that is associated with the numeric index specified by its order un</w:t>
      </w:r>
      <w:r>
        <w:t xml:space="preserve">der the enclosing </w:t>
      </w:r>
      <w:r>
        <w:rPr>
          <w:b/>
        </w:rPr>
        <w:t>acdManifest</w:t>
      </w:r>
      <w:r>
        <w:t xml:space="preserve"> element.</w:t>
      </w:r>
    </w:p>
    <w:tbl>
      <w:tblPr>
        <w:tblStyle w:val="Table-ShadedHeader"/>
        <w:tblW w:w="0" w:type="auto"/>
        <w:tblLook w:val="04A0" w:firstRow="1" w:lastRow="0" w:firstColumn="1" w:lastColumn="0" w:noHBand="0" w:noVBand="1"/>
      </w:tblPr>
      <w:tblGrid>
        <w:gridCol w:w="3584"/>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acdManifest</w:t>
            </w:r>
            <w:r>
              <w:t xml:space="preserve"> (§</w:t>
            </w:r>
            <w:hyperlink w:anchor="Section_196c6a38f97a4a93a3a1121090157f0b">
              <w:r>
                <w:rPr>
                  <w:rStyle w:val="Hyperlink"/>
                </w:rPr>
                <w:t>3.1.2.1.1.4, acdManifest</w:t>
              </w:r>
            </w:hyperlink>
            <w:r>
              <w: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2781"/>
        <w:gridCol w:w="6694"/>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Attributes</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acdName</w:t>
            </w:r>
            <w:r>
              <w:t xml:space="preserve"> (Allocated command name)</w:t>
            </w:r>
          </w:p>
        </w:tc>
        <w:tc>
          <w:tcPr>
            <w:tcW w:w="0" w:type="auto"/>
            <w:vAlign w:val="center"/>
          </w:tcPr>
          <w:p w:rsidR="00024C0A" w:rsidRDefault="00694C0F">
            <w:pPr>
              <w:pStyle w:val="TableBodyText"/>
            </w:pPr>
            <w:r>
              <w:t xml:space="preserve">Specifies the friendly name of the </w:t>
            </w:r>
            <w:r>
              <w:t>allocated command to execute.</w:t>
            </w:r>
          </w:p>
          <w:p w:rsidR="00024C0A" w:rsidRDefault="00024C0A">
            <w:pPr>
              <w:pStyle w:val="TableBodyText"/>
            </w:pPr>
          </w:p>
          <w:p w:rsidR="00024C0A" w:rsidRDefault="00694C0F">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024C0A" w:rsidRDefault="00024C0A"/>
    <w:p w:rsidR="00024C0A" w:rsidRDefault="00694C0F">
      <w:r>
        <w:t xml:space="preserve">The following XML Schema fragment defines the contents </w:t>
      </w:r>
      <w:r>
        <w:t>of this element:</w:t>
      </w:r>
    </w:p>
    <w:p w:rsidR="00024C0A" w:rsidRDefault="00694C0F">
      <w:pPr>
        <w:pStyle w:val="Code"/>
      </w:pPr>
      <w:r>
        <w:t>&lt;complexType name="CT_AcdKeymap"&gt;</w:t>
      </w:r>
    </w:p>
    <w:p w:rsidR="00024C0A" w:rsidRDefault="00694C0F">
      <w:pPr>
        <w:pStyle w:val="Code"/>
      </w:pPr>
      <w:r>
        <w:t xml:space="preserve">  &lt;attribute name="acdName" type="ST_String" use="required"/&gt;</w:t>
      </w:r>
    </w:p>
    <w:p w:rsidR="00024C0A" w:rsidRDefault="00694C0F">
      <w:pPr>
        <w:pStyle w:val="Code"/>
      </w:pPr>
      <w:r>
        <w:t>&lt;/complexType&gt;</w:t>
      </w:r>
    </w:p>
    <w:p w:rsidR="00024C0A" w:rsidRDefault="00694C0F">
      <w:pPr>
        <w:pStyle w:val="Heading6"/>
      </w:pPr>
      <w:bookmarkStart w:id="3821" w:name="section_196c6a38f97a4a93a3a1121090157f0b"/>
      <w:bookmarkStart w:id="3822" w:name="_Toc12261971"/>
      <w:r>
        <w:t>acdManifest (Allocated Command Manifest)</w:t>
      </w:r>
      <w:bookmarkEnd w:id="3821"/>
      <w:bookmarkEnd w:id="3822"/>
      <w:r>
        <w:fldChar w:fldCharType="begin"/>
      </w:r>
      <w:r>
        <w:instrText xml:space="preserve"> XE "acdManifest (Allocated Command Manifest)" </w:instrText>
      </w:r>
      <w:r>
        <w:fldChar w:fldCharType="end"/>
      </w:r>
    </w:p>
    <w:p w:rsidR="00024C0A" w:rsidRDefault="00694C0F">
      <w:r>
        <w:lastRenderedPageBreak/>
        <w:t>The binary toolbar customization infor</w:t>
      </w:r>
      <w:r>
        <w:t>mation identifies allocated commands by a numeric index while this XML file format identifies allocated commands by a friendly string-based name. This element provides a mapping between the numeric indices and friendly names for allocated commands. The ord</w:t>
      </w:r>
      <w:r>
        <w:t>er of an entry specifies its numeric index for use in the attached binary toolbar data.</w:t>
      </w:r>
    </w:p>
    <w:p w:rsidR="00024C0A" w:rsidRDefault="00694C0F">
      <w:r>
        <w:t>[Example: Consider the following allocated command manifest:</w:t>
      </w:r>
    </w:p>
    <w:p w:rsidR="00024C0A" w:rsidRDefault="00694C0F">
      <w:pPr>
        <w:pStyle w:val="Code"/>
      </w:pPr>
      <w:r>
        <w:t xml:space="preserve">    &lt;wne:toolbars&gt;</w:t>
      </w:r>
    </w:p>
    <w:p w:rsidR="00024C0A" w:rsidRDefault="00694C0F">
      <w:pPr>
        <w:pStyle w:val="Code"/>
      </w:pPr>
      <w:r>
        <w:t xml:space="preserve">        &lt;wne:acdManifest&gt;</w:t>
      </w:r>
    </w:p>
    <w:p w:rsidR="00024C0A" w:rsidRDefault="00694C0F">
      <w:pPr>
        <w:pStyle w:val="Code"/>
      </w:pPr>
      <w:r>
        <w:t xml:space="preserve">            &lt;wne:acdEntry wne:acdName="acd2"/&gt;</w:t>
      </w:r>
    </w:p>
    <w:p w:rsidR="00024C0A" w:rsidRDefault="00694C0F">
      <w:pPr>
        <w:pStyle w:val="Code"/>
      </w:pPr>
      <w:r>
        <w:t xml:space="preserve">            &lt;</w:t>
      </w:r>
      <w:r>
        <w:t>wne:acdEntry wne:acdName="acd3"/&gt;</w:t>
      </w:r>
    </w:p>
    <w:p w:rsidR="00024C0A" w:rsidRDefault="00694C0F">
      <w:pPr>
        <w:pStyle w:val="Code"/>
      </w:pPr>
      <w:r>
        <w:t xml:space="preserve">        &lt;/wne:acdManifest&gt;</w:t>
      </w:r>
    </w:p>
    <w:p w:rsidR="00024C0A" w:rsidRDefault="00694C0F">
      <w:pPr>
        <w:pStyle w:val="Code"/>
      </w:pPr>
      <w:r>
        <w:t xml:space="preserve">    &lt;/wne:toolbars&gt;</w:t>
      </w:r>
    </w:p>
    <w:p w:rsidR="00024C0A" w:rsidRDefault="00694C0F">
      <w:r>
        <w:t xml:space="preserve">In this example, the WordprocessingML fragment specifies that </w:t>
      </w:r>
      <w:r>
        <w:rPr>
          <w:rStyle w:val="InlineCode"/>
        </w:rPr>
        <w:t>acd2</w:t>
      </w:r>
      <w:r>
        <w:t xml:space="preserve"> holds index 0 and </w:t>
      </w:r>
      <w:r>
        <w:rPr>
          <w:rStyle w:val="InlineCode"/>
        </w:rPr>
        <w:t>acd3</w:t>
      </w:r>
      <w:r>
        <w:t xml:space="preserve"> holds index 1. end example]</w:t>
      </w:r>
    </w:p>
    <w:tbl>
      <w:tblPr>
        <w:tblStyle w:val="Table-ShadedHeader"/>
        <w:tblW w:w="0" w:type="auto"/>
        <w:tblLook w:val="04A0" w:firstRow="1" w:lastRow="0" w:firstColumn="1" w:lastColumn="0" w:noHBand="0" w:noVBand="1"/>
      </w:tblPr>
      <w:tblGrid>
        <w:gridCol w:w="3040"/>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toolbars</w:t>
            </w:r>
            <w:r>
              <w:t xml:space="preserve"> (§</w:t>
            </w:r>
            <w:hyperlink w:anchor="Section_7c98bf0e4eab43729ae628f1e61e1343">
              <w:r>
                <w:rPr>
                  <w:rStyle w:val="Hyperlink"/>
                </w:rPr>
                <w:t>3.1.2.1.1.14, toolbars</w:t>
              </w:r>
            </w:hyperlink>
            <w:r>
              <w: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4045"/>
        <w:gridCol w:w="205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Child Elements</w:t>
            </w:r>
          </w:p>
        </w:tc>
        <w:tc>
          <w:tcPr>
            <w:tcW w:w="0" w:type="auto"/>
            <w:vAlign w:val="center"/>
          </w:tcPr>
          <w:p w:rsidR="00024C0A" w:rsidRDefault="00694C0F">
            <w:pPr>
              <w:pStyle w:val="TableHeaderText"/>
            </w:pPr>
            <w:r>
              <w:t>Subclause</w:t>
            </w:r>
          </w:p>
        </w:tc>
      </w:tr>
      <w:tr w:rsidR="00024C0A" w:rsidTr="00024C0A">
        <w:tc>
          <w:tcPr>
            <w:tcW w:w="0" w:type="auto"/>
            <w:vAlign w:val="center"/>
          </w:tcPr>
          <w:p w:rsidR="00024C0A" w:rsidRDefault="00694C0F">
            <w:pPr>
              <w:pStyle w:val="TableBodyText"/>
            </w:pPr>
            <w:r>
              <w:rPr>
                <w:b/>
              </w:rPr>
              <w:t>acdEntry</w:t>
            </w:r>
            <w:r>
              <w:t xml:space="preserve"> (Allocated Command Manifest Entry)</w:t>
            </w:r>
          </w:p>
        </w:tc>
        <w:tc>
          <w:tcPr>
            <w:tcW w:w="0" w:type="auto"/>
            <w:vAlign w:val="center"/>
          </w:tcPr>
          <w:p w:rsidR="00024C0A" w:rsidRDefault="00694C0F">
            <w:pPr>
              <w:pStyle w:val="TableBodyText"/>
            </w:pPr>
            <w:r>
              <w:t>§</w:t>
            </w:r>
            <w:hyperlink w:anchor="Section_030e50dc59a54f3f8f6c41168047f641">
              <w:r>
                <w:rPr>
                  <w:rStyle w:val="Hyperlink"/>
                </w:rPr>
                <w:t>3.1.2.1.1.3, acdEntry</w:t>
              </w:r>
            </w:hyperlink>
          </w:p>
        </w:tc>
      </w:tr>
    </w:tbl>
    <w:p w:rsidR="00024C0A" w:rsidRDefault="00024C0A"/>
    <w:p w:rsidR="00024C0A" w:rsidRDefault="00694C0F">
      <w:r>
        <w:t>The follow</w:t>
      </w:r>
      <w:r>
        <w:t>ing XML Schema fragment defines the contents of this element:</w:t>
      </w:r>
    </w:p>
    <w:p w:rsidR="00024C0A" w:rsidRDefault="00694C0F">
      <w:pPr>
        <w:pStyle w:val="Code"/>
      </w:pPr>
      <w:r>
        <w:t>&lt;complexType name="CT_AcdManifest"&gt;</w:t>
      </w:r>
    </w:p>
    <w:p w:rsidR="00024C0A" w:rsidRDefault="00694C0F">
      <w:pPr>
        <w:pStyle w:val="Code"/>
      </w:pPr>
      <w:r>
        <w:t xml:space="preserve">  &lt;sequence&gt;</w:t>
      </w:r>
    </w:p>
    <w:p w:rsidR="00024C0A" w:rsidRDefault="00694C0F">
      <w:pPr>
        <w:pStyle w:val="Code"/>
      </w:pPr>
      <w:r>
        <w:t xml:space="preserve">    &lt;element name="acdEntry" type="CT_AcdKeymap" minOccurs="1" maxOccurs="unbounded"/&gt;</w:t>
      </w:r>
    </w:p>
    <w:p w:rsidR="00024C0A" w:rsidRDefault="00694C0F">
      <w:pPr>
        <w:pStyle w:val="Code"/>
      </w:pPr>
      <w:r>
        <w:t xml:space="preserve">  &lt;/sequence&gt;</w:t>
      </w:r>
    </w:p>
    <w:p w:rsidR="00024C0A" w:rsidRDefault="00694C0F">
      <w:pPr>
        <w:pStyle w:val="Code"/>
      </w:pPr>
      <w:r>
        <w:t>&lt;/complexType&gt;</w:t>
      </w:r>
    </w:p>
    <w:p w:rsidR="00024C0A" w:rsidRDefault="00694C0F">
      <w:pPr>
        <w:pStyle w:val="Heading6"/>
      </w:pPr>
      <w:bookmarkStart w:id="3823" w:name="section_83ec8315581b46899d5e9db1d95ec41f"/>
      <w:bookmarkStart w:id="3824" w:name="_Toc12261972"/>
      <w:r>
        <w:t>acds (Allocated Commands)</w:t>
      </w:r>
      <w:bookmarkEnd w:id="3823"/>
      <w:bookmarkEnd w:id="3824"/>
      <w:r>
        <w:fldChar w:fldCharType="begin"/>
      </w:r>
      <w:r>
        <w:instrText xml:space="preserve"> XE "acds (Allocated Commands)" </w:instrText>
      </w:r>
      <w:r>
        <w:fldChar w:fldCharType="end"/>
      </w:r>
    </w:p>
    <w:p w:rsidR="00024C0A" w:rsidRDefault="00694C0F">
      <w:r>
        <w:t>This element serves as a container for the declaration of allocated commands.</w:t>
      </w:r>
    </w:p>
    <w:tbl>
      <w:tblPr>
        <w:tblStyle w:val="Table-ShadedHeader"/>
        <w:tblW w:w="0" w:type="auto"/>
        <w:tblLook w:val="04A0" w:firstRow="1" w:lastRow="0" w:firstColumn="1" w:lastColumn="0" w:noHBand="0" w:noVBand="1"/>
      </w:tblPr>
      <w:tblGrid>
        <w:gridCol w:w="217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tcg</w:t>
            </w:r>
            <w:r>
              <w:t xml:space="preserve"> (§</w:t>
            </w:r>
            <w:hyperlink w:anchor="Section_611795947ec745d68a2df9ece7863986">
              <w:r>
                <w:rPr>
                  <w:rStyle w:val="Hyperlink"/>
                </w:rPr>
                <w:t>3.1.2.1.1.12, tcg</w:t>
              </w:r>
            </w:hyperlink>
            <w:r>
              <w: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2350"/>
        <w:gridCol w:w="1627"/>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Child Elements</w:t>
            </w:r>
          </w:p>
        </w:tc>
        <w:tc>
          <w:tcPr>
            <w:tcW w:w="0" w:type="auto"/>
            <w:vAlign w:val="center"/>
          </w:tcPr>
          <w:p w:rsidR="00024C0A" w:rsidRDefault="00694C0F">
            <w:pPr>
              <w:pStyle w:val="TableHeaderText"/>
            </w:pPr>
            <w:r>
              <w:t>Subclause</w:t>
            </w:r>
          </w:p>
        </w:tc>
      </w:tr>
      <w:tr w:rsidR="00024C0A" w:rsidTr="00024C0A">
        <w:tc>
          <w:tcPr>
            <w:tcW w:w="0" w:type="auto"/>
            <w:vAlign w:val="center"/>
          </w:tcPr>
          <w:p w:rsidR="00024C0A" w:rsidRDefault="00694C0F">
            <w:pPr>
              <w:pStyle w:val="TableBodyText"/>
            </w:pPr>
            <w:r>
              <w:rPr>
                <w:b/>
              </w:rPr>
              <w:t>acd</w:t>
            </w:r>
            <w:r>
              <w:t xml:space="preserve"> (Allocated Command)</w:t>
            </w:r>
          </w:p>
        </w:tc>
        <w:tc>
          <w:tcPr>
            <w:tcW w:w="0" w:type="auto"/>
            <w:vAlign w:val="center"/>
          </w:tcPr>
          <w:p w:rsidR="00024C0A" w:rsidRDefault="00694C0F">
            <w:pPr>
              <w:pStyle w:val="TableBodyText"/>
            </w:pPr>
            <w:r>
              <w:t>§</w:t>
            </w:r>
            <w:hyperlink w:anchor="Section_9bd9f7443f3a4ce88c48371c1bb6cd67">
              <w:r>
                <w:rPr>
                  <w:rStyle w:val="Hyperlink"/>
                </w:rPr>
                <w:t>3.1.2.1.1.1, acd</w:t>
              </w:r>
            </w:hyperlink>
          </w:p>
        </w:tc>
      </w:tr>
    </w:tbl>
    <w:p w:rsidR="00024C0A" w:rsidRDefault="00024C0A"/>
    <w:p w:rsidR="00024C0A" w:rsidRDefault="00694C0F">
      <w:r>
        <w:lastRenderedPageBreak/>
        <w:t>The following XML Schema fragment defines the contents of this element:</w:t>
      </w:r>
    </w:p>
    <w:p w:rsidR="00024C0A" w:rsidRDefault="00694C0F">
      <w:pPr>
        <w:pStyle w:val="Code"/>
      </w:pPr>
      <w:r>
        <w:t>&lt;complexType name="CT_Acds"&gt;</w:t>
      </w:r>
    </w:p>
    <w:p w:rsidR="00024C0A" w:rsidRDefault="00694C0F">
      <w:pPr>
        <w:pStyle w:val="Code"/>
      </w:pPr>
      <w:r>
        <w:t xml:space="preserve">  &lt;sequence&gt;</w:t>
      </w:r>
    </w:p>
    <w:p w:rsidR="00024C0A" w:rsidRDefault="00694C0F">
      <w:pPr>
        <w:pStyle w:val="Code"/>
      </w:pPr>
      <w:r>
        <w:t xml:space="preserve">    &lt;element name="acd" type="CT_Acd" </w:t>
      </w:r>
      <w:r>
        <w:t>minOccurs="1" maxOccurs="unbounded"/&gt;</w:t>
      </w:r>
    </w:p>
    <w:p w:rsidR="00024C0A" w:rsidRDefault="00694C0F">
      <w:pPr>
        <w:pStyle w:val="Code"/>
      </w:pPr>
      <w:r>
        <w:t xml:space="preserve">  &lt;/sequence&gt;</w:t>
      </w:r>
    </w:p>
    <w:p w:rsidR="00024C0A" w:rsidRDefault="00694C0F">
      <w:pPr>
        <w:pStyle w:val="Code"/>
      </w:pPr>
      <w:r>
        <w:t>&lt;/complexType&gt;</w:t>
      </w:r>
    </w:p>
    <w:p w:rsidR="00024C0A" w:rsidRDefault="00694C0F">
      <w:pPr>
        <w:pStyle w:val="Heading6"/>
      </w:pPr>
      <w:bookmarkStart w:id="3825" w:name="section_7bbd9fb16181481db29c63842301455d"/>
      <w:bookmarkStart w:id="3826" w:name="_Toc12261973"/>
      <w:r>
        <w:t>active (Record Is Included in Mail Merge)</w:t>
      </w:r>
      <w:bookmarkEnd w:id="3825"/>
      <w:bookmarkEnd w:id="3826"/>
      <w:r>
        <w:fldChar w:fldCharType="begin"/>
      </w:r>
      <w:r>
        <w:instrText xml:space="preserve"> XE "active (Record Is Included in Mail Merge)" </w:instrText>
      </w:r>
      <w:r>
        <w:fldChar w:fldCharType="end"/>
      </w:r>
    </w:p>
    <w:p w:rsidR="00024C0A" w:rsidRDefault="00694C0F">
      <w:r>
        <w:t xml:space="preserve">This element specifies whether a specific record from the specified external data source shall be imported into a merged WordprocessingML document when the mail merge defined for a source document is performed. If this element's </w:t>
      </w:r>
      <w:r>
        <w:rPr>
          <w:b/>
        </w:rPr>
        <w:t>val</w:t>
      </w:r>
      <w:r>
        <w:t xml:space="preserve"> attribute is </w:t>
      </w:r>
      <w:r>
        <w:rPr>
          <w:i/>
        </w:rPr>
        <w:t>false</w:t>
      </w:r>
      <w:r>
        <w:t>, the</w:t>
      </w:r>
      <w:r>
        <w:t>n the record specified by the parent element shall not be used to create a merged document.</w:t>
      </w:r>
    </w:p>
    <w:p w:rsidR="00024C0A" w:rsidRDefault="00694C0F">
      <w:r>
        <w:t>If this element is omitted for a given record, the data record associated with it shall be imported into a merged WordprocessingML document when the mail merge is p</w:t>
      </w:r>
      <w:r>
        <w:t>erformed.</w:t>
      </w:r>
    </w:p>
    <w:p w:rsidR="00024C0A" w:rsidRDefault="00694C0F">
      <w:r>
        <w:t>[Example: Consider the following fragment from a source WordprocessingML document that is connected to an external data source containing two records, one of which will not be imported into a merged WordprocessingML document when the conforming h</w:t>
      </w:r>
      <w:r>
        <w:t>osting application performs the data import.</w:t>
      </w:r>
    </w:p>
    <w:p w:rsidR="00024C0A" w:rsidRDefault="00694C0F">
      <w:pPr>
        <w:pStyle w:val="Code"/>
      </w:pPr>
      <w:r>
        <w:t>&lt;w:recipients&gt;</w:t>
      </w:r>
    </w:p>
    <w:p w:rsidR="00024C0A" w:rsidRDefault="00694C0F">
      <w:pPr>
        <w:pStyle w:val="Code"/>
      </w:pPr>
      <w:r>
        <w:t xml:space="preserve">  &lt;w:recipientData&gt;</w:t>
      </w:r>
    </w:p>
    <w:p w:rsidR="00024C0A" w:rsidRDefault="00694C0F">
      <w:pPr>
        <w:pStyle w:val="Code"/>
      </w:pPr>
      <w:r>
        <w:t xml:space="preserve">    &lt;w:active w:val="false" /&gt;</w:t>
      </w:r>
    </w:p>
    <w:p w:rsidR="00024C0A" w:rsidRDefault="00694C0F">
      <w:pPr>
        <w:pStyle w:val="Code"/>
      </w:pPr>
      <w:r>
        <w:t xml:space="preserve">    &lt;w:hash w:val="1126664175" /&gt;</w:t>
      </w:r>
    </w:p>
    <w:p w:rsidR="00024C0A" w:rsidRDefault="00694C0F">
      <w:pPr>
        <w:pStyle w:val="Code"/>
      </w:pPr>
      <w:r>
        <w:t xml:space="preserve">  &lt;/w:recipientData&gt;</w:t>
      </w:r>
    </w:p>
    <w:p w:rsidR="00024C0A" w:rsidRDefault="00694C0F">
      <w:pPr>
        <w:pStyle w:val="Code"/>
      </w:pPr>
      <w:r>
        <w:t xml:space="preserve">  &lt;w:recipientData&gt;</w:t>
      </w:r>
    </w:p>
    <w:p w:rsidR="00024C0A" w:rsidRDefault="00694C0F">
      <w:pPr>
        <w:pStyle w:val="Code"/>
      </w:pPr>
      <w:r>
        <w:t xml:space="preserve">    &lt;w:hash w:val="1530576378" /&gt;</w:t>
      </w:r>
    </w:p>
    <w:p w:rsidR="00024C0A" w:rsidRDefault="00694C0F">
      <w:pPr>
        <w:pStyle w:val="Code"/>
      </w:pPr>
      <w:r>
        <w:t xml:space="preserve">  &lt;/w:recipientData&gt;</w:t>
      </w:r>
    </w:p>
    <w:p w:rsidR="00024C0A" w:rsidRDefault="00694C0F">
      <w:pPr>
        <w:pStyle w:val="Code"/>
      </w:pPr>
      <w:r>
        <w:t>&lt;/w:recipients&gt;</w:t>
      </w:r>
    </w:p>
    <w:p w:rsidR="00024C0A" w:rsidRDefault="00694C0F">
      <w:r>
        <w:t xml:space="preserve">In this XML fragment, the external data record that is identified by the </w:t>
      </w:r>
      <w:r>
        <w:rPr>
          <w:b/>
        </w:rPr>
        <w:t>hash</w:t>
      </w:r>
      <w:r>
        <w:t xml:space="preserve"> element (§</w:t>
      </w:r>
      <w:hyperlink w:anchor="Section_b1588c0913964016a2ea78ce84a81a8e">
        <w:r>
          <w:rPr>
            <w:rStyle w:val="Hyperlink"/>
          </w:rPr>
          <w:t>3.1.2.2.1.1, hash</w:t>
        </w:r>
      </w:hyperlink>
      <w:r>
        <w:t xml:space="preserve">) with a </w:t>
      </w:r>
      <w:r>
        <w:rPr>
          <w:b/>
        </w:rPr>
        <w:t>val</w:t>
      </w:r>
      <w:r>
        <w:t xml:space="preserve"> attribute equal to </w:t>
      </w:r>
      <w:r>
        <w:rPr>
          <w:i/>
        </w:rPr>
        <w:t>1126664175</w:t>
      </w:r>
      <w:r>
        <w:t xml:space="preserve"> will not be imported into a merged document because the </w:t>
      </w:r>
      <w:r>
        <w:rPr>
          <w:b/>
        </w:rPr>
        <w:t>active</w:t>
      </w:r>
      <w:r>
        <w:t xml:space="preserve"> element associated with it has a </w:t>
      </w:r>
      <w:r>
        <w:rPr>
          <w:b/>
        </w:rPr>
        <w:t>val</w:t>
      </w:r>
      <w:r>
        <w:t xml:space="preserve"> attribute equal to </w:t>
      </w:r>
      <w:r>
        <w:rPr>
          <w:i/>
        </w:rPr>
        <w:t>false</w:t>
      </w:r>
      <w:r>
        <w:t xml:space="preserve">. Conversely, the external data record associated with the </w:t>
      </w:r>
      <w:r>
        <w:rPr>
          <w:b/>
        </w:rPr>
        <w:t>hash</w:t>
      </w:r>
      <w:r>
        <w:t xml:space="preserve"> element with a </w:t>
      </w:r>
      <w:r>
        <w:rPr>
          <w:b/>
        </w:rPr>
        <w:t>val</w:t>
      </w:r>
      <w:r>
        <w:t xml:space="preserve"> attribute equal to </w:t>
      </w:r>
      <w:r>
        <w:rPr>
          <w:i/>
        </w:rPr>
        <w:t>1530576378</w:t>
      </w:r>
      <w:r>
        <w:t xml:space="preserve"> will be imported i</w:t>
      </w:r>
      <w:r>
        <w:t xml:space="preserve">nto a merged document because its </w:t>
      </w:r>
      <w:r>
        <w:rPr>
          <w:b/>
        </w:rPr>
        <w:t>active</w:t>
      </w:r>
      <w:r>
        <w:t xml:space="preserve"> element has been omitted, implying the default value of </w:t>
      </w:r>
      <w:r>
        <w:rPr>
          <w:i/>
        </w:rPr>
        <w:t>true</w:t>
      </w:r>
      <w:r>
        <w:t xml:space="preserve">. end example] </w:t>
      </w:r>
    </w:p>
    <w:tbl>
      <w:tblPr>
        <w:tblStyle w:val="Table-ShadedHeader"/>
        <w:tblW w:w="0" w:type="auto"/>
        <w:tblLook w:val="04A0" w:firstRow="1" w:lastRow="0" w:firstColumn="1" w:lastColumn="0" w:noHBand="0" w:noVBand="1"/>
      </w:tblPr>
      <w:tblGrid>
        <w:gridCol w:w="383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recipientData</w:t>
            </w:r>
            <w:r>
              <w:t xml:space="preserve"> (§</w:t>
            </w:r>
            <w:hyperlink w:anchor="Section_cae9abfd7956464e9f841af5c3c4433d">
              <w:r>
                <w:rPr>
                  <w:rStyle w:val="Hyperlink"/>
                </w:rPr>
                <w:t>3.1.2.2.1.2, recipientData</w:t>
              </w:r>
            </w:hyperlink>
            <w:r>
              <w: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1135"/>
        <w:gridCol w:w="8340"/>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Attributes</w:t>
            </w:r>
          </w:p>
        </w:tc>
        <w:tc>
          <w:tcPr>
            <w:tcW w:w="0" w:type="auto"/>
            <w:vAlign w:val="center"/>
          </w:tcPr>
          <w:p w:rsidR="00024C0A" w:rsidRDefault="00694C0F">
            <w:pPr>
              <w:pStyle w:val="TableHeaderText"/>
            </w:pPr>
            <w:r>
              <w:t>D</w:t>
            </w:r>
            <w:r>
              <w:t>escription</w:t>
            </w:r>
          </w:p>
        </w:tc>
      </w:tr>
      <w:tr w:rsidR="00024C0A" w:rsidTr="00024C0A">
        <w:tc>
          <w:tcPr>
            <w:tcW w:w="0" w:type="auto"/>
            <w:vAlign w:val="center"/>
          </w:tcPr>
          <w:p w:rsidR="00024C0A" w:rsidRDefault="00694C0F">
            <w:pPr>
              <w:pStyle w:val="TableBodyText"/>
            </w:pPr>
            <w:r>
              <w:rPr>
                <w:b/>
              </w:rPr>
              <w:t>val</w:t>
            </w:r>
            <w:r>
              <w:t xml:space="preserve"> ()</w:t>
            </w:r>
          </w:p>
        </w:tc>
        <w:tc>
          <w:tcPr>
            <w:tcW w:w="0" w:type="auto"/>
            <w:vAlign w:val="center"/>
          </w:tcPr>
          <w:p w:rsidR="00024C0A" w:rsidRDefault="00024C0A">
            <w:pPr>
              <w:pStyle w:val="TableBodyText"/>
            </w:pPr>
          </w:p>
          <w:p w:rsidR="00024C0A" w:rsidRDefault="00694C0F">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rsidR="00024C0A" w:rsidRDefault="00024C0A"/>
    <w:p w:rsidR="00024C0A" w:rsidRDefault="00694C0F">
      <w:r>
        <w:t xml:space="preserve">The following XML Schema fragment defines the contents of this </w:t>
      </w:r>
      <w:r>
        <w:t>element:</w:t>
      </w:r>
    </w:p>
    <w:p w:rsidR="00024C0A" w:rsidRDefault="00694C0F">
      <w:pPr>
        <w:pStyle w:val="Code"/>
      </w:pPr>
      <w:r>
        <w:lastRenderedPageBreak/>
        <w:t>&lt;complexType name="CT_OnOff"&gt;</w:t>
      </w:r>
    </w:p>
    <w:p w:rsidR="00024C0A" w:rsidRDefault="00694C0F">
      <w:pPr>
        <w:pStyle w:val="Code"/>
      </w:pPr>
      <w:r>
        <w:t xml:space="preserve">  &lt;attribute name="val" type="ST_OnOff"/&gt;</w:t>
      </w:r>
    </w:p>
    <w:p w:rsidR="00024C0A" w:rsidRDefault="00694C0F">
      <w:pPr>
        <w:pStyle w:val="Code"/>
      </w:pPr>
      <w:r>
        <w:t>&lt;/complexType&gt;</w:t>
      </w:r>
    </w:p>
    <w:p w:rsidR="00024C0A" w:rsidRDefault="00694C0F">
      <w:pPr>
        <w:pStyle w:val="Heading6"/>
      </w:pPr>
      <w:bookmarkStart w:id="3827" w:name="section_e7fbfaec48a0443e91cc16c53cefbd44"/>
      <w:bookmarkStart w:id="3828" w:name="_Toc12261974"/>
      <w:r>
        <w:t>fci (Fixed Command Keyboard Customization Action)</w:t>
      </w:r>
      <w:bookmarkEnd w:id="3827"/>
      <w:bookmarkEnd w:id="3828"/>
      <w:r>
        <w:fldChar w:fldCharType="begin"/>
      </w:r>
      <w:r>
        <w:instrText xml:space="preserve"> XE "fci (Fixed Command Keyboard Customization Action)" </w:instrText>
      </w:r>
      <w:r>
        <w:fldChar w:fldCharType="end"/>
      </w:r>
    </w:p>
    <w:p w:rsidR="00024C0A" w:rsidRDefault="00694C0F">
      <w:r>
        <w:t xml:space="preserve">The </w:t>
      </w:r>
      <w:r>
        <w:rPr>
          <w:b/>
        </w:rPr>
        <w:t>fci</w:t>
      </w:r>
      <w:r>
        <w:t xml:space="preserve"> element specifies the command that will be executed for the keyboard shortcut specified in the enclosing </w:t>
      </w:r>
      <w:r>
        <w:rPr>
          <w:b/>
        </w:rPr>
        <w:t>keymap</w:t>
      </w:r>
      <w:r>
        <w:t xml:space="preserve"> element. This element must reference either an identifying name or index by using the </w:t>
      </w:r>
      <w:r>
        <w:rPr>
          <w:i/>
        </w:rPr>
        <w:t>fciName</w:t>
      </w:r>
      <w:r>
        <w:t xml:space="preserve"> or </w:t>
      </w:r>
      <w:r>
        <w:rPr>
          <w:i/>
        </w:rPr>
        <w:t>fciIndex</w:t>
      </w:r>
      <w:r>
        <w:t xml:space="preserve"> attribute, respectively. If both attr</w:t>
      </w:r>
      <w:r>
        <w:t xml:space="preserve">ibutes are specified, </w:t>
      </w:r>
      <w:r>
        <w:rPr>
          <w:i/>
        </w:rPr>
        <w:t>fciName</w:t>
      </w:r>
      <w:r>
        <w:t xml:space="preserve"> takes precedence for determining the command to execute. When writing a document, </w:t>
      </w:r>
      <w:r>
        <w:rPr>
          <w:i/>
        </w:rPr>
        <w:t>fciName</w:t>
      </w:r>
      <w:r>
        <w:t xml:space="preserve"> will be used if a name can be determined for the command. If a name cannot be determined, </w:t>
      </w:r>
      <w:r>
        <w:rPr>
          <w:i/>
        </w:rPr>
        <w:t>fciIndex</w:t>
      </w:r>
      <w:r>
        <w:t xml:space="preserve"> will be used instead.</w:t>
      </w:r>
    </w:p>
    <w:p w:rsidR="00024C0A" w:rsidRDefault="00694C0F">
      <w:r>
        <w:t>For a list of p</w:t>
      </w:r>
      <w:r>
        <w:t>ublic fixed command names and corresponding indices available in Word, refer to Fixed Commands (§</w:t>
      </w:r>
      <w:hyperlink w:anchor="Section_1ecf33cf360145f089fb0ab824739343">
        <w:r>
          <w:rPr>
            <w:rStyle w:val="Hyperlink"/>
          </w:rPr>
          <w:t>3.1.2.1.2, Fixed Commands</w:t>
        </w:r>
      </w:hyperlink>
      <w:r>
        <w:t>).</w:t>
      </w:r>
    </w:p>
    <w:p w:rsidR="00024C0A" w:rsidRDefault="00694C0F">
      <w:r>
        <w:t>[Example: Consider the following key mapping fragment:</w:t>
      </w:r>
    </w:p>
    <w:p w:rsidR="00024C0A" w:rsidRDefault="00694C0F">
      <w:pPr>
        <w:pStyle w:val="Code"/>
      </w:pPr>
      <w:r>
        <w:t xml:space="preserve">   &lt;wne:keyma</w:t>
      </w:r>
      <w:r>
        <w:t>p wne:kcmPrimary="0342"&gt;</w:t>
      </w:r>
    </w:p>
    <w:p w:rsidR="00024C0A" w:rsidRDefault="00694C0F">
      <w:pPr>
        <w:pStyle w:val="Code"/>
      </w:pPr>
      <w:r>
        <w:t xml:space="preserve">      &lt;wne:fci wne:fciName="Bold" /&gt;</w:t>
      </w:r>
    </w:p>
    <w:p w:rsidR="00024C0A" w:rsidRDefault="00694C0F">
      <w:pPr>
        <w:pStyle w:val="Code"/>
      </w:pPr>
      <w:r>
        <w:t xml:space="preserve">   &lt;/wne:keymap&gt;</w:t>
      </w:r>
    </w:p>
    <w:p w:rsidR="00024C0A" w:rsidRDefault="00694C0F">
      <w:r>
        <w:t xml:space="preserve">In this example, the WordprocessingML assigns the </w:t>
      </w:r>
      <w:r>
        <w:rPr>
          <w:rStyle w:val="InlineCode"/>
        </w:rPr>
        <w:t>Bold</w:t>
      </w:r>
      <w:r>
        <w:t xml:space="preserve"> fixed command to the keyboard shortcut mapping to KCM </w:t>
      </w:r>
      <w:r>
        <w:rPr>
          <w:rStyle w:val="InlineCode"/>
        </w:rPr>
        <w:t>0342</w:t>
      </w:r>
      <w:r>
        <w:t xml:space="preserve"> (Ctrl-Shift-B). </w:t>
      </w:r>
    </w:p>
    <w:p w:rsidR="00024C0A" w:rsidRDefault="00694C0F">
      <w:r>
        <w:t>Alternately, the same effect can be achieved u</w:t>
      </w:r>
      <w:r>
        <w:t xml:space="preserve">sing the </w:t>
      </w:r>
      <w:r>
        <w:rPr>
          <w:i/>
        </w:rPr>
        <w:t>fciIndex</w:t>
      </w:r>
      <w:r>
        <w:t xml:space="preserve"> instead of </w:t>
      </w:r>
      <w:r>
        <w:rPr>
          <w:i/>
        </w:rPr>
        <w:t>fciName</w:t>
      </w:r>
      <w:r>
        <w:t>:</w:t>
      </w:r>
    </w:p>
    <w:p w:rsidR="00024C0A" w:rsidRDefault="00694C0F">
      <w:pPr>
        <w:pStyle w:val="Code"/>
      </w:pPr>
      <w:r>
        <w:t xml:space="preserve">  &lt;wne:keymap wne:kcmPrimary="0342"&gt;</w:t>
      </w:r>
    </w:p>
    <w:p w:rsidR="00024C0A" w:rsidRDefault="00694C0F">
      <w:pPr>
        <w:pStyle w:val="Code"/>
      </w:pPr>
      <w:r>
        <w:t xml:space="preserve">   &lt;wne:fci wne:fciIndex="002D" /&gt;</w:t>
      </w:r>
    </w:p>
    <w:p w:rsidR="00024C0A" w:rsidRDefault="00694C0F">
      <w:pPr>
        <w:pStyle w:val="Code"/>
      </w:pPr>
      <w:r>
        <w:t>&lt;/wne:keymap&gt;</w:t>
      </w:r>
    </w:p>
    <w:p w:rsidR="00024C0A" w:rsidRDefault="00694C0F">
      <w:r>
        <w:t>end example]</w:t>
      </w:r>
    </w:p>
    <w:tbl>
      <w:tblPr>
        <w:tblStyle w:val="Table-ShadedHeader"/>
        <w:tblW w:w="0" w:type="auto"/>
        <w:tblLook w:val="04A0" w:firstRow="1" w:lastRow="0" w:firstColumn="1" w:lastColumn="0" w:noHBand="0" w:noVBand="1"/>
      </w:tblPr>
      <w:tblGrid>
        <w:gridCol w:w="289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keymap</w:t>
            </w:r>
            <w:r>
              <w:t xml:space="preserve"> (§</w:t>
            </w:r>
            <w:hyperlink w:anchor="Section_d44dbd45cbbb4efba0903a85141d00fc">
              <w:r>
                <w:rPr>
                  <w:rStyle w:val="Hyperlink"/>
                </w:rPr>
                <w:t>3.1.2.1.1.8, keymap</w:t>
              </w:r>
            </w:hyperlink>
            <w:r>
              <w: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1955"/>
        <w:gridCol w:w="7520"/>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Attributes</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fciIndex</w:t>
            </w:r>
            <w:r>
              <w:t xml:space="preserve"> (Index of fixed command)</w:t>
            </w:r>
          </w:p>
        </w:tc>
        <w:tc>
          <w:tcPr>
            <w:tcW w:w="0" w:type="auto"/>
            <w:vAlign w:val="center"/>
          </w:tcPr>
          <w:p w:rsidR="00024C0A" w:rsidRDefault="00694C0F">
            <w:pPr>
              <w:pStyle w:val="TableBodyText"/>
            </w:pPr>
            <w:r>
              <w:t>Specifies numeric identifier for a fixed command.</w:t>
            </w:r>
          </w:p>
          <w:p w:rsidR="00024C0A" w:rsidRDefault="00024C0A">
            <w:pPr>
              <w:pStyle w:val="TableBodyText"/>
            </w:pPr>
          </w:p>
          <w:p w:rsidR="00024C0A" w:rsidRDefault="00694C0F">
            <w:pPr>
              <w:pStyle w:val="TableBodyText"/>
            </w:pPr>
            <w:r>
              <w:t>For a list of public fixed command names and their indices available in Word, refer to Fixed Commands (§3.1.2.1.2, Fixed Commands).</w:t>
            </w:r>
          </w:p>
          <w:p w:rsidR="00024C0A" w:rsidRDefault="00024C0A">
            <w:pPr>
              <w:pStyle w:val="TableBodyText"/>
            </w:pPr>
          </w:p>
          <w:p w:rsidR="00024C0A" w:rsidRDefault="00694C0F">
            <w:pPr>
              <w:pStyle w:val="TableBodyText"/>
            </w:pPr>
            <w:r>
              <w:t>The possible v</w:t>
            </w:r>
            <w:r>
              <w:t>alues for this attribute are defined by the ST_ShortHexNumber simple type (§</w:t>
            </w:r>
            <w:hyperlink w:anchor="Section_b12e8ea4e85d4b4c94bf98db8427fcaa">
              <w:r>
                <w:rPr>
                  <w:rStyle w:val="Hyperlink"/>
                </w:rPr>
                <w:t>3.1.2.3.4, ST_ShortHexNumber</w:t>
              </w:r>
            </w:hyperlink>
            <w:r>
              <w:t>).</w:t>
            </w:r>
          </w:p>
        </w:tc>
      </w:tr>
      <w:tr w:rsidR="00024C0A" w:rsidTr="00024C0A">
        <w:tc>
          <w:tcPr>
            <w:tcW w:w="0" w:type="auto"/>
            <w:vAlign w:val="center"/>
          </w:tcPr>
          <w:p w:rsidR="00024C0A" w:rsidRDefault="00694C0F">
            <w:pPr>
              <w:pStyle w:val="TableBodyText"/>
            </w:pPr>
            <w:r>
              <w:rPr>
                <w:b/>
              </w:rPr>
              <w:t>fciName</w:t>
            </w:r>
            <w:r>
              <w:t xml:space="preserve"> (Fixed command name)</w:t>
            </w:r>
          </w:p>
        </w:tc>
        <w:tc>
          <w:tcPr>
            <w:tcW w:w="0" w:type="auto"/>
            <w:vAlign w:val="center"/>
          </w:tcPr>
          <w:p w:rsidR="00024C0A" w:rsidRDefault="00694C0F">
            <w:pPr>
              <w:pStyle w:val="TableBodyText"/>
            </w:pPr>
            <w:r>
              <w:t>Specifies friendly identifier for a fixed command.</w:t>
            </w:r>
          </w:p>
          <w:p w:rsidR="00024C0A" w:rsidRDefault="00024C0A">
            <w:pPr>
              <w:pStyle w:val="TableBodyText"/>
            </w:pPr>
          </w:p>
          <w:p w:rsidR="00024C0A" w:rsidRDefault="00694C0F">
            <w:pPr>
              <w:pStyle w:val="TableBodyText"/>
            </w:pPr>
            <w:r>
              <w:t xml:space="preserve">For </w:t>
            </w:r>
            <w:r>
              <w:t>a list of public fixed command names available in Word, refer to Fixed Commands (§3.1.2.1.2, Fixed Commands).</w:t>
            </w:r>
          </w:p>
          <w:p w:rsidR="00024C0A" w:rsidRDefault="00024C0A">
            <w:pPr>
              <w:pStyle w:val="TableBodyText"/>
            </w:pPr>
          </w:p>
          <w:p w:rsidR="00024C0A" w:rsidRDefault="00694C0F">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024C0A" w:rsidTr="00024C0A">
        <w:tc>
          <w:tcPr>
            <w:tcW w:w="0" w:type="auto"/>
            <w:vAlign w:val="center"/>
          </w:tcPr>
          <w:p w:rsidR="00024C0A" w:rsidRDefault="00694C0F">
            <w:pPr>
              <w:pStyle w:val="TableBodyText"/>
            </w:pPr>
            <w:r>
              <w:rPr>
                <w:b/>
              </w:rPr>
              <w:lastRenderedPageBreak/>
              <w:t>swArg</w:t>
            </w:r>
            <w:r>
              <w:t xml:space="preserve"> (Fixed command argument)</w:t>
            </w:r>
          </w:p>
        </w:tc>
        <w:tc>
          <w:tcPr>
            <w:tcW w:w="0" w:type="auto"/>
            <w:vAlign w:val="center"/>
          </w:tcPr>
          <w:p w:rsidR="00024C0A" w:rsidRDefault="00694C0F">
            <w:pPr>
              <w:pStyle w:val="TableBodyText"/>
            </w:pPr>
            <w:r>
              <w:t>Specifies an optional numeric argument for a fixed command, as specified in the Word 97-2003 Binary File Format (.doc) Structure Specification ("</w:t>
            </w:r>
            <w:hyperlink r:id="rId280" w:anchor="Section_ccd7b4867881484ca13751170af7cc22">
              <w:r>
                <w:rPr>
                  <w:rStyle w:val="Hyperlink"/>
                </w:rPr>
                <w:t>[MS-DOC]</w:t>
              </w:r>
            </w:hyperlink>
            <w:r>
              <w:t xml:space="preserve"> section 2.9.36; CidFci") book.</w:t>
            </w:r>
          </w:p>
          <w:p w:rsidR="00024C0A" w:rsidRDefault="00024C0A">
            <w:pPr>
              <w:pStyle w:val="TableBodyText"/>
            </w:pPr>
          </w:p>
          <w:p w:rsidR="00024C0A" w:rsidRDefault="00694C0F">
            <w:pPr>
              <w:pStyle w:val="TableBodyText"/>
            </w:pPr>
            <w:r>
              <w:t>The possible values for this attribute are defined by the ST_ShortHexNumber simple type (§3.1.2.3.4, ST_ShortHexNumber).</w:t>
            </w:r>
          </w:p>
        </w:tc>
      </w:tr>
    </w:tbl>
    <w:p w:rsidR="00024C0A" w:rsidRDefault="00024C0A"/>
    <w:p w:rsidR="00024C0A" w:rsidRDefault="00694C0F">
      <w:r>
        <w:t>The following XM</w:t>
      </w:r>
      <w:r>
        <w:t>L Schema fragment defines the contents of this element:</w:t>
      </w:r>
    </w:p>
    <w:p w:rsidR="00024C0A" w:rsidRDefault="00694C0F">
      <w:pPr>
        <w:pStyle w:val="Code"/>
      </w:pPr>
      <w:r>
        <w:t>&lt;complexType name="CT_Fci"&gt;</w:t>
      </w:r>
    </w:p>
    <w:p w:rsidR="00024C0A" w:rsidRDefault="00694C0F">
      <w:pPr>
        <w:pStyle w:val="Code"/>
      </w:pPr>
      <w:r>
        <w:t xml:space="preserve">  &lt;attribute name="fciName" type="ST_String"/&gt;</w:t>
      </w:r>
    </w:p>
    <w:p w:rsidR="00024C0A" w:rsidRDefault="00694C0F">
      <w:pPr>
        <w:pStyle w:val="Code"/>
      </w:pPr>
      <w:r>
        <w:t xml:space="preserve">  &lt;attribute name="fciIndex" type="ST_ShortHexNumber"/&gt;</w:t>
      </w:r>
    </w:p>
    <w:p w:rsidR="00024C0A" w:rsidRDefault="00694C0F">
      <w:pPr>
        <w:pStyle w:val="Code"/>
      </w:pPr>
      <w:r>
        <w:t xml:space="preserve">  &lt;attribute name="swArg" type="ST_ShortHexNumber"/&gt;</w:t>
      </w:r>
    </w:p>
    <w:p w:rsidR="00024C0A" w:rsidRDefault="00694C0F">
      <w:pPr>
        <w:pStyle w:val="Code"/>
      </w:pPr>
      <w:r>
        <w:t>&lt;/complexType&gt;</w:t>
      </w:r>
    </w:p>
    <w:p w:rsidR="00024C0A" w:rsidRDefault="00694C0F">
      <w:pPr>
        <w:pStyle w:val="Heading6"/>
      </w:pPr>
      <w:bookmarkStart w:id="3829" w:name="section_d44dbd45cbbb4efba0903a85141d00fc"/>
      <w:bookmarkStart w:id="3830" w:name="_Toc12261975"/>
      <w:r>
        <w:t>k</w:t>
      </w:r>
      <w:r>
        <w:t>eymap (Key Map Entry)</w:t>
      </w:r>
      <w:bookmarkEnd w:id="3829"/>
      <w:bookmarkEnd w:id="3830"/>
      <w:r>
        <w:fldChar w:fldCharType="begin"/>
      </w:r>
      <w:r>
        <w:instrText xml:space="preserve"> XE "keymap (Key Map Entry)" </w:instrText>
      </w:r>
      <w:r>
        <w:fldChar w:fldCharType="end"/>
      </w:r>
    </w:p>
    <w:p w:rsidR="00024C0A" w:rsidRDefault="00694C0F">
      <w:r>
        <w:t xml:space="preserve">This element describes an individual key mapping.  Its attributes collectively specify a sequence of key combinations that, when pressed, will cause the execution of an action such as a fixed command or </w:t>
      </w:r>
      <w:r>
        <w:t>macro. The action to execute is described by a single child element. A built-in key mapping can also be blocked.</w:t>
      </w:r>
    </w:p>
    <w:p w:rsidR="00024C0A" w:rsidRDefault="00694C0F">
      <w:r>
        <w:t>The key combination for the mapping may be specified using KCM- (key code with modifiers) and CHM- (character with modifiers) based attributes.</w:t>
      </w:r>
      <w:r>
        <w:t xml:space="preserve"> Both use a set of binary flags for the first (or left) byte to designate the modifier keys for a key combination. Starting at the least significant bit, these take the order Shift, Control, Alt and Command (where the operating system distinguishes between</w:t>
      </w:r>
      <w:r>
        <w:t xml:space="preserve"> Command and Control). These flags may be used individually or combined. For example, using Control as the only modifier would be represented by 02 (only the second bit is on) while using Control and Alt simultaneously would be 06 (the second and third bit</w:t>
      </w:r>
      <w:r>
        <w:t>s are on).</w:t>
      </w:r>
    </w:p>
    <w:p w:rsidR="00024C0A" w:rsidRDefault="00694C0F">
      <w:r>
        <w:t xml:space="preserve">If a secondary key combination attribute is omitted and a primary key combination has already been defined, the associated action will be executed as soon as the primary key combination has been pressed; otherwise, if both are specified, the </w:t>
      </w:r>
      <w:r>
        <w:t>action will not execute until both key combinations have been pressed in sequence.</w:t>
      </w:r>
    </w:p>
    <w:p w:rsidR="00024C0A" w:rsidRDefault="00694C0F">
      <w:r>
        <w:t>[Example: Consider the following key mapping fragment:</w:t>
      </w:r>
    </w:p>
    <w:p w:rsidR="00024C0A" w:rsidRDefault="00694C0F">
      <w:pPr>
        <w:pStyle w:val="Code"/>
      </w:pPr>
      <w:r>
        <w:t xml:space="preserve">   &lt;wne:keymap wne:kcmPrimary="0342" wne:kcmSecondary="0441"&gt;</w:t>
      </w:r>
    </w:p>
    <w:p w:rsidR="00024C0A" w:rsidRDefault="00694C0F">
      <w:pPr>
        <w:pStyle w:val="Code"/>
      </w:pPr>
      <w:r>
        <w:t xml:space="preserve">      &lt;wne:fci … /&gt;</w:t>
      </w:r>
    </w:p>
    <w:p w:rsidR="00024C0A" w:rsidRDefault="00694C0F">
      <w:pPr>
        <w:pStyle w:val="Code"/>
      </w:pPr>
      <w:r>
        <w:t xml:space="preserve">   &lt;/wne:keymap&gt;</w:t>
      </w:r>
    </w:p>
    <w:p w:rsidR="00024C0A" w:rsidRDefault="00694C0F">
      <w:r>
        <w:t>In this example, th</w:t>
      </w:r>
      <w:r>
        <w:t xml:space="preserve">e WordprocessingML describes a mapping for a sequence of two key combinations given by the KCMs of </w:t>
      </w:r>
      <w:r>
        <w:rPr>
          <w:rStyle w:val="InlineCode"/>
        </w:rPr>
        <w:t xml:space="preserve">0342 </w:t>
      </w:r>
      <w:r>
        <w:t>and</w:t>
      </w:r>
      <w:r>
        <w:rPr>
          <w:rStyle w:val="InlineCode"/>
        </w:rPr>
        <w:t xml:space="preserve"> 0441. </w:t>
      </w:r>
      <w:r>
        <w:t xml:space="preserve">A KCM of </w:t>
      </w:r>
      <w:r>
        <w:rPr>
          <w:rStyle w:val="InlineCode"/>
        </w:rPr>
        <w:t>0342</w:t>
      </w:r>
      <w:r>
        <w:t xml:space="preserve"> represents Ctrl-Shift-B and </w:t>
      </w:r>
      <w:r>
        <w:rPr>
          <w:rStyle w:val="InlineCode"/>
        </w:rPr>
        <w:t>0441</w:t>
      </w:r>
      <w:r>
        <w:t xml:space="preserve"> represents Alt-A, meaning that the user needs to type Control-Shift-B followed by Alt-A to trig</w:t>
      </w:r>
      <w:r>
        <w:t xml:space="preserve">ger this mapping's action. The </w:t>
      </w:r>
      <w:r>
        <w:rPr>
          <w:rStyle w:val="InlineCode"/>
        </w:rPr>
        <w:t>fci</w:t>
      </w:r>
      <w:r>
        <w:t xml:space="preserve"> child element signifies that a fixed command will be executed when the specified key sequence is pressed. end example]</w:t>
      </w:r>
    </w:p>
    <w:p w:rsidR="00024C0A" w:rsidRDefault="00024C0A"/>
    <w:tbl>
      <w:tblPr>
        <w:tblStyle w:val="Table-ShadedHeader"/>
        <w:tblW w:w="0" w:type="auto"/>
        <w:tblLook w:val="04A0" w:firstRow="1" w:lastRow="0" w:firstColumn="1" w:lastColumn="0" w:noHBand="0" w:noVBand="1"/>
      </w:tblPr>
      <w:tblGrid>
        <w:gridCol w:w="678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lastRenderedPageBreak/>
              <w:t>Parent Elements</w:t>
            </w:r>
          </w:p>
        </w:tc>
      </w:tr>
      <w:tr w:rsidR="00024C0A" w:rsidTr="00024C0A">
        <w:tc>
          <w:tcPr>
            <w:tcW w:w="0" w:type="auto"/>
            <w:vAlign w:val="center"/>
          </w:tcPr>
          <w:p w:rsidR="00024C0A" w:rsidRDefault="00694C0F">
            <w:pPr>
              <w:pStyle w:val="TableBodyText"/>
            </w:pPr>
            <w:r>
              <w:rPr>
                <w:b/>
              </w:rPr>
              <w:t>keymaps</w:t>
            </w:r>
            <w:r>
              <w:t xml:space="preserve"> (§</w:t>
            </w:r>
            <w:hyperlink w:anchor="Section_3e58e134a06a484aa45fd1bf83668891">
              <w:r>
                <w:rPr>
                  <w:rStyle w:val="Hyperlink"/>
                </w:rPr>
                <w:t>3.1.2.1.1.9</w:t>
              </w:r>
              <w:r>
                <w:rPr>
                  <w:rStyle w:val="Hyperlink"/>
                </w:rPr>
                <w:t>, keymaps</w:t>
              </w:r>
            </w:hyperlink>
            <w:r>
              <w:t xml:space="preserve">); </w:t>
            </w:r>
            <w:r>
              <w:rPr>
                <w:b/>
              </w:rPr>
              <w:t>keymapsBad</w:t>
            </w:r>
            <w:r>
              <w:t xml:space="preserve"> (§</w:t>
            </w:r>
            <w:hyperlink w:anchor="Section_c29a6b7a6315489f855aa807e12b712d">
              <w:r>
                <w:rPr>
                  <w:rStyle w:val="Hyperlink"/>
                </w:rPr>
                <w:t>3.1.2.1.1.10, keymapsBad</w:t>
              </w:r>
            </w:hyperlink>
            <w:r>
              <w: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4927"/>
        <w:gridCol w:w="1950"/>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Child Elements</w:t>
            </w:r>
          </w:p>
        </w:tc>
        <w:tc>
          <w:tcPr>
            <w:tcW w:w="0" w:type="auto"/>
            <w:vAlign w:val="center"/>
          </w:tcPr>
          <w:p w:rsidR="00024C0A" w:rsidRDefault="00694C0F">
            <w:pPr>
              <w:pStyle w:val="TableHeaderText"/>
            </w:pPr>
            <w:r>
              <w:t>Subclause</w:t>
            </w:r>
          </w:p>
        </w:tc>
      </w:tr>
      <w:tr w:rsidR="00024C0A" w:rsidTr="00024C0A">
        <w:tc>
          <w:tcPr>
            <w:tcW w:w="0" w:type="auto"/>
            <w:vAlign w:val="center"/>
          </w:tcPr>
          <w:p w:rsidR="00024C0A" w:rsidRDefault="00694C0F">
            <w:pPr>
              <w:pStyle w:val="TableBodyText"/>
            </w:pPr>
            <w:r>
              <w:rPr>
                <w:b/>
              </w:rPr>
              <w:t>acd</w:t>
            </w:r>
            <w:r>
              <w:t xml:space="preserve"> (Allocated Command Keyboard Customization Action)</w:t>
            </w:r>
          </w:p>
        </w:tc>
        <w:tc>
          <w:tcPr>
            <w:tcW w:w="0" w:type="auto"/>
            <w:vAlign w:val="center"/>
          </w:tcPr>
          <w:p w:rsidR="00024C0A" w:rsidRDefault="00694C0F">
            <w:pPr>
              <w:pStyle w:val="TableBodyText"/>
            </w:pPr>
            <w:r>
              <w:t>§</w:t>
            </w:r>
            <w:hyperlink w:anchor="Section_03e658016a2147d093503528064826ad">
              <w:r>
                <w:rPr>
                  <w:rStyle w:val="Hyperlink"/>
                </w:rPr>
                <w:t>3.1.2.1.1.2, acd</w:t>
              </w:r>
            </w:hyperlink>
          </w:p>
        </w:tc>
      </w:tr>
      <w:tr w:rsidR="00024C0A" w:rsidTr="00024C0A">
        <w:tc>
          <w:tcPr>
            <w:tcW w:w="0" w:type="auto"/>
            <w:vAlign w:val="center"/>
          </w:tcPr>
          <w:p w:rsidR="00024C0A" w:rsidRDefault="00694C0F">
            <w:pPr>
              <w:pStyle w:val="TableBodyText"/>
            </w:pPr>
            <w:r>
              <w:rPr>
                <w:b/>
              </w:rPr>
              <w:t>fci</w:t>
            </w:r>
            <w:r>
              <w:t xml:space="preserve"> (Fixed Command Keyboard Customization Action)</w:t>
            </w:r>
          </w:p>
        </w:tc>
        <w:tc>
          <w:tcPr>
            <w:tcW w:w="0" w:type="auto"/>
            <w:vAlign w:val="center"/>
          </w:tcPr>
          <w:p w:rsidR="00024C0A" w:rsidRDefault="00694C0F">
            <w:pPr>
              <w:pStyle w:val="TableBodyText"/>
            </w:pPr>
            <w:r>
              <w:t>§</w:t>
            </w:r>
            <w:hyperlink w:anchor="Section_e7fbfaec48a0443e91cc16c53cefbd44">
              <w:r>
                <w:rPr>
                  <w:rStyle w:val="Hyperlink"/>
                </w:rPr>
                <w:t>3.1.2.1.1.7, fci</w:t>
              </w:r>
            </w:hyperlink>
          </w:p>
        </w:tc>
      </w:tr>
      <w:tr w:rsidR="00024C0A" w:rsidTr="00024C0A">
        <w:tc>
          <w:tcPr>
            <w:tcW w:w="0" w:type="auto"/>
            <w:vAlign w:val="center"/>
          </w:tcPr>
          <w:p w:rsidR="00024C0A" w:rsidRDefault="00694C0F">
            <w:pPr>
              <w:pStyle w:val="TableBodyText"/>
            </w:pPr>
            <w:r>
              <w:rPr>
                <w:b/>
              </w:rPr>
              <w:t>macro</w:t>
            </w:r>
            <w:r>
              <w:t xml:space="preserve"> (Macro Keyboard Customization Action)</w:t>
            </w:r>
          </w:p>
        </w:tc>
        <w:tc>
          <w:tcPr>
            <w:tcW w:w="0" w:type="auto"/>
            <w:vAlign w:val="center"/>
          </w:tcPr>
          <w:p w:rsidR="00024C0A" w:rsidRDefault="00694C0F">
            <w:pPr>
              <w:pStyle w:val="TableBodyText"/>
            </w:pPr>
            <w:r>
              <w:t>§</w:t>
            </w:r>
            <w:hyperlink w:anchor="Section_0ab7a8b6842d4bda8c7262ac9dd16b0d">
              <w:r>
                <w:rPr>
                  <w:rStyle w:val="Hyperlink"/>
                </w:rPr>
                <w:t>3.1.2.1.1.11, macro</w:t>
              </w:r>
            </w:hyperlink>
          </w:p>
        </w:tc>
      </w:tr>
      <w:tr w:rsidR="00024C0A" w:rsidTr="00024C0A">
        <w:tc>
          <w:tcPr>
            <w:tcW w:w="0" w:type="auto"/>
            <w:vAlign w:val="center"/>
          </w:tcPr>
          <w:p w:rsidR="00024C0A" w:rsidRDefault="00694C0F">
            <w:pPr>
              <w:pStyle w:val="TableBodyText"/>
            </w:pPr>
            <w:r>
              <w:rPr>
                <w:b/>
              </w:rPr>
              <w:t>wch</w:t>
            </w:r>
            <w:r>
              <w:t xml:space="preserve"> (Character Insertion Keyboard Customization Action)</w:t>
            </w:r>
          </w:p>
        </w:tc>
        <w:tc>
          <w:tcPr>
            <w:tcW w:w="0" w:type="auto"/>
            <w:vAlign w:val="center"/>
          </w:tcPr>
          <w:p w:rsidR="00024C0A" w:rsidRDefault="00694C0F">
            <w:pPr>
              <w:pStyle w:val="TableBodyText"/>
            </w:pPr>
            <w:r>
              <w:t>§</w:t>
            </w:r>
            <w:hyperlink w:anchor="Section_342bac6cb42c45d7aae0b30f39357bc9">
              <w:r>
                <w:rPr>
                  <w:rStyle w:val="Hyperlink"/>
                </w:rPr>
                <w:t>3.1.2.1.1.15, wch</w:t>
              </w:r>
            </w:hyperlink>
          </w:p>
        </w:tc>
      </w:tr>
      <w:tr w:rsidR="00024C0A" w:rsidTr="00024C0A">
        <w:tc>
          <w:tcPr>
            <w:tcW w:w="0" w:type="auto"/>
            <w:vAlign w:val="center"/>
          </w:tcPr>
          <w:p w:rsidR="00024C0A" w:rsidRDefault="00694C0F">
            <w:pPr>
              <w:pStyle w:val="TableBodyText"/>
            </w:pPr>
            <w:r>
              <w:rPr>
                <w:b/>
              </w:rPr>
              <w:t>wll</w:t>
            </w:r>
            <w:r>
              <w:t xml:space="preserve"> (WLL Macro Keyboard Customiza</w:t>
            </w:r>
            <w:r>
              <w:t>tion Action)</w:t>
            </w:r>
          </w:p>
        </w:tc>
        <w:tc>
          <w:tcPr>
            <w:tcW w:w="0" w:type="auto"/>
            <w:vAlign w:val="center"/>
          </w:tcPr>
          <w:p w:rsidR="00024C0A" w:rsidRDefault="00694C0F">
            <w:pPr>
              <w:pStyle w:val="TableBodyText"/>
            </w:pPr>
            <w:r>
              <w:t>§</w:t>
            </w:r>
            <w:hyperlink w:anchor="Section_bba0329034324d19ba214baa0944d9de">
              <w:r>
                <w:rPr>
                  <w:rStyle w:val="Hyperlink"/>
                </w:rPr>
                <w:t>3.1.2.1.1.16, wll</w:t>
              </w:r>
            </w:hyperlink>
          </w:p>
        </w:tc>
      </w:tr>
    </w:tbl>
    <w:p w:rsidR="00024C0A" w:rsidRDefault="00024C0A"/>
    <w:p w:rsidR="00024C0A" w:rsidRDefault="00024C0A"/>
    <w:tbl>
      <w:tblPr>
        <w:tblStyle w:val="Table-ShadedHeader"/>
        <w:tblW w:w="0" w:type="auto"/>
        <w:tblLook w:val="04A0" w:firstRow="1" w:lastRow="0" w:firstColumn="1" w:lastColumn="0" w:noHBand="0" w:noVBand="1"/>
      </w:tblPr>
      <w:tblGrid>
        <w:gridCol w:w="2159"/>
        <w:gridCol w:w="731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Attributes</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chmPrimary</w:t>
            </w:r>
            <w:r>
              <w:t xml:space="preserve"> (Keyboard Shortcut Primary Character Code)</w:t>
            </w:r>
          </w:p>
        </w:tc>
        <w:tc>
          <w:tcPr>
            <w:tcW w:w="0" w:type="auto"/>
            <w:vAlign w:val="center"/>
          </w:tcPr>
          <w:p w:rsidR="00024C0A" w:rsidRDefault="00694C0F">
            <w:pPr>
              <w:pStyle w:val="TableBodyText"/>
            </w:pPr>
            <w:r>
              <w:t>Specifies the first CHM key combination in the sequence.</w:t>
            </w:r>
          </w:p>
          <w:p w:rsidR="00024C0A" w:rsidRDefault="00024C0A">
            <w:pPr>
              <w:pStyle w:val="TableBodyText"/>
            </w:pPr>
          </w:p>
          <w:p w:rsidR="00024C0A" w:rsidRDefault="00694C0F">
            <w:pPr>
              <w:pStyle w:val="TableBodyText"/>
            </w:pPr>
            <w:r>
              <w:t>The left byte contains</w:t>
            </w:r>
            <w:r>
              <w:t xml:space="preserve"> modifiers described in keymap (§3.1.2.1.1.8, keymap) and the right byte specifies the ASCII value of the character of this key combination.</w:t>
            </w:r>
          </w:p>
          <w:p w:rsidR="00024C0A" w:rsidRDefault="00024C0A">
            <w:pPr>
              <w:pStyle w:val="TableBodyText"/>
            </w:pPr>
          </w:p>
          <w:p w:rsidR="00024C0A" w:rsidRDefault="00694C0F">
            <w:pPr>
              <w:pStyle w:val="TableBodyText"/>
            </w:pPr>
            <w:r>
              <w:t>[Note: When specifying CHM values, the case of the letter is significant with respect to shift acting as a modifie</w:t>
            </w:r>
            <w:r>
              <w:t>r or not.]</w:t>
            </w:r>
          </w:p>
          <w:p w:rsidR="00024C0A" w:rsidRDefault="00024C0A">
            <w:pPr>
              <w:pStyle w:val="TableBodyText"/>
            </w:pPr>
          </w:p>
          <w:p w:rsidR="00024C0A" w:rsidRDefault="00694C0F">
            <w:pPr>
              <w:pStyle w:val="TableBodyText"/>
            </w:pPr>
            <w:r>
              <w:t>[Example: Consider this list of example key combinations and their corresponding CHM in parentheses:</w:t>
            </w:r>
          </w:p>
          <w:p w:rsidR="00024C0A" w:rsidRDefault="00024C0A">
            <w:pPr>
              <w:pStyle w:val="TableBodyText"/>
            </w:pPr>
          </w:p>
          <w:p w:rsidR="00024C0A" w:rsidRDefault="00694C0F">
            <w:pPr>
              <w:pStyle w:val="TableBodyText"/>
            </w:pPr>
            <w:r>
              <w:t>Shift-Control-Alt-C (0643)</w:t>
            </w:r>
          </w:p>
          <w:p w:rsidR="00024C0A" w:rsidRDefault="00694C0F">
            <w:pPr>
              <w:pStyle w:val="TableBodyText"/>
            </w:pPr>
            <w:r>
              <w:t xml:space="preserve">Alt-C (0463) </w:t>
            </w:r>
          </w:p>
          <w:p w:rsidR="00024C0A" w:rsidRDefault="00694C0F">
            <w:pPr>
              <w:pStyle w:val="TableBodyText"/>
            </w:pPr>
            <w:r>
              <w:t>Control-K (026B)</w:t>
            </w:r>
          </w:p>
          <w:p w:rsidR="00024C0A" w:rsidRDefault="00024C0A">
            <w:pPr>
              <w:pStyle w:val="TableBodyText"/>
            </w:pPr>
          </w:p>
          <w:p w:rsidR="00024C0A" w:rsidRDefault="00694C0F">
            <w:pPr>
              <w:pStyle w:val="TableBodyText"/>
            </w:pPr>
            <w:r>
              <w:t>end example]</w:t>
            </w:r>
          </w:p>
          <w:p w:rsidR="00024C0A" w:rsidRDefault="00024C0A">
            <w:pPr>
              <w:pStyle w:val="TableBodyText"/>
            </w:pPr>
          </w:p>
          <w:p w:rsidR="00024C0A" w:rsidRDefault="00024C0A">
            <w:pPr>
              <w:pStyle w:val="TableBodyText"/>
            </w:pPr>
          </w:p>
          <w:p w:rsidR="00024C0A" w:rsidRDefault="00694C0F">
            <w:pPr>
              <w:pStyle w:val="TableBodyText"/>
            </w:pPr>
            <w:r>
              <w:t>The possible values for this attribute are defined by the ST_ShortHe</w:t>
            </w:r>
            <w:r>
              <w:t>xNumber simple type (§</w:t>
            </w:r>
            <w:hyperlink w:anchor="Section_b12e8ea4e85d4b4c94bf98db8427fcaa">
              <w:r>
                <w:rPr>
                  <w:rStyle w:val="Hyperlink"/>
                </w:rPr>
                <w:t>3.1.2.3.4, ST_ShortHexNumber</w:t>
              </w:r>
            </w:hyperlink>
            <w:r>
              <w:t>).</w:t>
            </w:r>
          </w:p>
        </w:tc>
      </w:tr>
      <w:tr w:rsidR="00024C0A" w:rsidTr="00024C0A">
        <w:tc>
          <w:tcPr>
            <w:tcW w:w="0" w:type="auto"/>
            <w:vAlign w:val="center"/>
          </w:tcPr>
          <w:p w:rsidR="00024C0A" w:rsidRDefault="00694C0F">
            <w:pPr>
              <w:pStyle w:val="TableBodyText"/>
            </w:pPr>
            <w:r>
              <w:rPr>
                <w:b/>
              </w:rPr>
              <w:t>chmSecondary</w:t>
            </w:r>
            <w:r>
              <w:t xml:space="preserve"> (Keyboard Shortcut Secondary Character Code)</w:t>
            </w:r>
          </w:p>
        </w:tc>
        <w:tc>
          <w:tcPr>
            <w:tcW w:w="0" w:type="auto"/>
            <w:vAlign w:val="center"/>
          </w:tcPr>
          <w:p w:rsidR="00024C0A" w:rsidRDefault="00694C0F">
            <w:pPr>
              <w:pStyle w:val="TableBodyText"/>
            </w:pPr>
            <w:r>
              <w:t xml:space="preserve">Specifies the second CHM key combination in the sequence. </w:t>
            </w:r>
          </w:p>
          <w:p w:rsidR="00024C0A" w:rsidRDefault="00024C0A">
            <w:pPr>
              <w:pStyle w:val="TableBodyText"/>
            </w:pPr>
          </w:p>
          <w:p w:rsidR="00024C0A" w:rsidRDefault="00694C0F">
            <w:pPr>
              <w:pStyle w:val="TableBodyText"/>
            </w:pPr>
            <w:r>
              <w:t xml:space="preserve">The CHM value here is defined the same as for </w:t>
            </w:r>
            <w:r>
              <w:rPr>
                <w:b/>
              </w:rPr>
              <w:t>chmPrimary</w:t>
            </w:r>
            <w:r>
              <w:t>.</w:t>
            </w:r>
          </w:p>
          <w:p w:rsidR="00024C0A" w:rsidRDefault="00024C0A">
            <w:pPr>
              <w:pStyle w:val="TableBodyText"/>
            </w:pPr>
          </w:p>
          <w:p w:rsidR="00024C0A" w:rsidRDefault="00694C0F">
            <w:pPr>
              <w:pStyle w:val="TableBodyText"/>
            </w:pPr>
            <w:r>
              <w:t>The possible values for this attribute are defined by the ST_ShortHexNumber simple type (§3.1.2.3.4, ST_ShortHexNumber).</w:t>
            </w:r>
          </w:p>
        </w:tc>
      </w:tr>
      <w:tr w:rsidR="00024C0A" w:rsidTr="00024C0A">
        <w:tc>
          <w:tcPr>
            <w:tcW w:w="0" w:type="auto"/>
            <w:vAlign w:val="center"/>
          </w:tcPr>
          <w:p w:rsidR="00024C0A" w:rsidRDefault="00694C0F">
            <w:pPr>
              <w:pStyle w:val="TableBodyText"/>
            </w:pPr>
            <w:r>
              <w:rPr>
                <w:b/>
              </w:rPr>
              <w:t>kcmPrimary</w:t>
            </w:r>
            <w:r>
              <w:t xml:space="preserve"> (Primary keycode with modifier)</w:t>
            </w:r>
          </w:p>
        </w:tc>
        <w:tc>
          <w:tcPr>
            <w:tcW w:w="0" w:type="auto"/>
            <w:vAlign w:val="center"/>
          </w:tcPr>
          <w:p w:rsidR="00024C0A" w:rsidRDefault="00694C0F">
            <w:pPr>
              <w:pStyle w:val="TableBodyText"/>
            </w:pPr>
            <w:r>
              <w:t>Specifies the first key combinat</w:t>
            </w:r>
            <w:r>
              <w:t>ion in the sequence.</w:t>
            </w:r>
          </w:p>
          <w:p w:rsidR="00024C0A" w:rsidRDefault="00024C0A">
            <w:pPr>
              <w:pStyle w:val="TableBodyText"/>
            </w:pPr>
          </w:p>
          <w:p w:rsidR="00024C0A" w:rsidRDefault="00694C0F">
            <w:pPr>
              <w:pStyle w:val="TableBodyText"/>
            </w:pPr>
            <w:r>
              <w:lastRenderedPageBreak/>
              <w:t>The left byte contains modifiers described in keymap (§3.1.2.1.1.8, keymap), and the right byte specifies the standard Windows virtual key code of this key combination.</w:t>
            </w:r>
          </w:p>
          <w:p w:rsidR="00024C0A" w:rsidRDefault="00024C0A">
            <w:pPr>
              <w:pStyle w:val="TableBodyText"/>
            </w:pPr>
          </w:p>
          <w:p w:rsidR="00024C0A" w:rsidRDefault="00694C0F">
            <w:pPr>
              <w:pStyle w:val="TableBodyText"/>
            </w:pPr>
            <w:r>
              <w:t>[Example: Consider this list of example key combinations and the</w:t>
            </w:r>
            <w:r>
              <w:t>ir corresponding KCM in parentheses:</w:t>
            </w:r>
          </w:p>
          <w:p w:rsidR="00024C0A" w:rsidRDefault="00024C0A">
            <w:pPr>
              <w:pStyle w:val="TableBodyText"/>
            </w:pPr>
          </w:p>
          <w:p w:rsidR="00024C0A" w:rsidRDefault="00694C0F">
            <w:pPr>
              <w:pStyle w:val="TableBodyText"/>
            </w:pPr>
            <w:r>
              <w:t>Shift-Control-Alt-C (0743)</w:t>
            </w:r>
          </w:p>
          <w:p w:rsidR="00024C0A" w:rsidRDefault="00694C0F">
            <w:pPr>
              <w:pStyle w:val="TableBodyText"/>
            </w:pPr>
            <w:r>
              <w:t>Alt-F9 (0478)</w:t>
            </w:r>
          </w:p>
          <w:p w:rsidR="00024C0A" w:rsidRDefault="00694C0F">
            <w:pPr>
              <w:pStyle w:val="TableBodyText"/>
            </w:pPr>
            <w:r>
              <w:t>Control-K (024B)</w:t>
            </w:r>
          </w:p>
          <w:p w:rsidR="00024C0A" w:rsidRDefault="00024C0A">
            <w:pPr>
              <w:pStyle w:val="TableBodyText"/>
            </w:pPr>
          </w:p>
          <w:p w:rsidR="00024C0A" w:rsidRDefault="00694C0F">
            <w:pPr>
              <w:pStyle w:val="TableBodyText"/>
            </w:pPr>
            <w:r>
              <w:t>end example]</w:t>
            </w:r>
          </w:p>
          <w:p w:rsidR="00024C0A" w:rsidRDefault="00024C0A">
            <w:pPr>
              <w:pStyle w:val="TableBodyText"/>
            </w:pPr>
          </w:p>
          <w:p w:rsidR="00024C0A" w:rsidRDefault="00024C0A">
            <w:pPr>
              <w:pStyle w:val="TableBodyText"/>
            </w:pPr>
          </w:p>
          <w:p w:rsidR="00024C0A" w:rsidRDefault="00694C0F">
            <w:pPr>
              <w:pStyle w:val="TableBodyText"/>
            </w:pPr>
            <w:r>
              <w:t>The possible values for this attribute are defined by the ST_ShortHexNumber simple type (§3.1.2.3.4, ST_ShortHexNumber).</w:t>
            </w:r>
          </w:p>
        </w:tc>
      </w:tr>
      <w:tr w:rsidR="00024C0A" w:rsidTr="00024C0A">
        <w:tc>
          <w:tcPr>
            <w:tcW w:w="0" w:type="auto"/>
            <w:vAlign w:val="center"/>
          </w:tcPr>
          <w:p w:rsidR="00024C0A" w:rsidRDefault="00694C0F">
            <w:pPr>
              <w:pStyle w:val="TableBodyText"/>
            </w:pPr>
            <w:r>
              <w:rPr>
                <w:b/>
              </w:rPr>
              <w:lastRenderedPageBreak/>
              <w:t>kcmSecondary</w:t>
            </w:r>
            <w:r>
              <w:t xml:space="preserve"> (Secondary keycode with modifier)</w:t>
            </w:r>
          </w:p>
        </w:tc>
        <w:tc>
          <w:tcPr>
            <w:tcW w:w="0" w:type="auto"/>
            <w:vAlign w:val="center"/>
          </w:tcPr>
          <w:p w:rsidR="00024C0A" w:rsidRDefault="00694C0F">
            <w:pPr>
              <w:pStyle w:val="TableBodyText"/>
            </w:pPr>
            <w:r>
              <w:t>Specifies the second key combination in the sequence.</w:t>
            </w:r>
          </w:p>
          <w:p w:rsidR="00024C0A" w:rsidRDefault="00024C0A">
            <w:pPr>
              <w:pStyle w:val="TableBodyText"/>
            </w:pPr>
          </w:p>
          <w:p w:rsidR="00024C0A" w:rsidRDefault="00694C0F">
            <w:pPr>
              <w:pStyle w:val="TableBodyText"/>
            </w:pPr>
            <w:r>
              <w:t xml:space="preserve">The KCM value here is defined the same as for </w:t>
            </w:r>
            <w:r>
              <w:rPr>
                <w:b/>
              </w:rPr>
              <w:t>kcmPrimary</w:t>
            </w:r>
            <w:r>
              <w:t>.</w:t>
            </w:r>
          </w:p>
          <w:p w:rsidR="00024C0A" w:rsidRDefault="00024C0A">
            <w:pPr>
              <w:pStyle w:val="TableBodyText"/>
            </w:pPr>
          </w:p>
          <w:p w:rsidR="00024C0A" w:rsidRDefault="00694C0F">
            <w:pPr>
              <w:pStyle w:val="TableBodyText"/>
            </w:pPr>
            <w:r>
              <w:t xml:space="preserve">The possible values for this attribute are defined by the ST_ShortHexNumber simple type (§3.1.2.3.4, </w:t>
            </w:r>
            <w:r>
              <w:t>ST_ShortHexNumber).</w:t>
            </w:r>
          </w:p>
        </w:tc>
      </w:tr>
      <w:tr w:rsidR="00024C0A" w:rsidTr="00024C0A">
        <w:tc>
          <w:tcPr>
            <w:tcW w:w="0" w:type="auto"/>
            <w:vAlign w:val="center"/>
          </w:tcPr>
          <w:p w:rsidR="00024C0A" w:rsidRDefault="00694C0F">
            <w:pPr>
              <w:pStyle w:val="TableBodyText"/>
            </w:pPr>
            <w:r>
              <w:rPr>
                <w:b/>
              </w:rPr>
              <w:t>mask</w:t>
            </w:r>
            <w:r>
              <w:t xml:space="preserve"> (Built-in Command Masking Flag)</w:t>
            </w:r>
          </w:p>
        </w:tc>
        <w:tc>
          <w:tcPr>
            <w:tcW w:w="0" w:type="auto"/>
            <w:vAlign w:val="center"/>
          </w:tcPr>
          <w:p w:rsidR="00024C0A" w:rsidRDefault="00694C0F">
            <w:pPr>
              <w:pStyle w:val="TableBodyText"/>
            </w:pPr>
            <w:r>
              <w:t>If this Boolean attribute is set to an on value, the specified built-in key mapping will be masked out. In such a case, any child element specified shall be ignored because the masking of a key mapp</w:t>
            </w:r>
            <w:r>
              <w:t>ing does not involve specifying either a replacement action or the action being blocked.  If this attribute is omitted or given an off value, a child element must be specified or the key map will be ignored.</w:t>
            </w:r>
          </w:p>
          <w:p w:rsidR="00024C0A" w:rsidRDefault="00024C0A">
            <w:pPr>
              <w:pStyle w:val="TableBodyText"/>
            </w:pPr>
          </w:p>
          <w:p w:rsidR="00024C0A" w:rsidRDefault="00694C0F">
            <w:pPr>
              <w:pStyle w:val="TableBodyText"/>
            </w:pPr>
            <w:r>
              <w:t>[Example: Consider the case where Control-B (th</w:t>
            </w:r>
            <w:r>
              <w:t>e built-in key mapping for the Bold fixed command) has been masked:</w:t>
            </w:r>
          </w:p>
          <w:p w:rsidR="00024C0A" w:rsidRDefault="00024C0A">
            <w:pPr>
              <w:pStyle w:val="TableBodyText"/>
            </w:pPr>
          </w:p>
          <w:p w:rsidR="00024C0A" w:rsidRDefault="00694C0F">
            <w:pPr>
              <w:pStyle w:val="Code"/>
            </w:pPr>
            <w:r>
              <w:t xml:space="preserve">    &lt;wne:keymaps&gt;</w:t>
            </w:r>
          </w:p>
          <w:p w:rsidR="00024C0A" w:rsidRDefault="00694C0F">
            <w:pPr>
              <w:pStyle w:val="Code"/>
            </w:pPr>
            <w:r>
              <w:t xml:space="preserve">        &lt;wne:keymap wne:mask="1" wne:kcmPrimary="0242"/&gt;</w:t>
            </w:r>
          </w:p>
          <w:p w:rsidR="00024C0A" w:rsidRDefault="00694C0F">
            <w:pPr>
              <w:pStyle w:val="Code"/>
            </w:pPr>
            <w:r>
              <w:t xml:space="preserve">    &lt;/wne:keymaps&gt;</w:t>
            </w:r>
          </w:p>
          <w:p w:rsidR="00024C0A" w:rsidRDefault="00024C0A">
            <w:pPr>
              <w:pStyle w:val="TableBodyText"/>
            </w:pPr>
          </w:p>
          <w:p w:rsidR="00024C0A" w:rsidRDefault="00694C0F">
            <w:pPr>
              <w:pStyle w:val="TableBodyText"/>
            </w:pPr>
            <w:r>
              <w:t>KCM 0242 has been masked or blocked from its built-in behavior.  The effect is that pressing</w:t>
            </w:r>
            <w:r>
              <w:t xml:space="preserve"> Control-B will no longer execute the built-in command (in this case bold). end example]</w:t>
            </w:r>
          </w:p>
          <w:p w:rsidR="00024C0A" w:rsidRDefault="00024C0A">
            <w:pPr>
              <w:pStyle w:val="TableBodyText"/>
            </w:pPr>
          </w:p>
          <w:p w:rsidR="00024C0A" w:rsidRDefault="00024C0A">
            <w:pPr>
              <w:pStyle w:val="TableBodyText"/>
            </w:pPr>
          </w:p>
          <w:p w:rsidR="00024C0A" w:rsidRDefault="00694C0F">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rsidR="00024C0A" w:rsidRDefault="00024C0A"/>
    <w:p w:rsidR="00024C0A" w:rsidRDefault="00694C0F">
      <w:r>
        <w:t>The following XML Schema fragment defines the contents of this element:</w:t>
      </w:r>
    </w:p>
    <w:p w:rsidR="00024C0A" w:rsidRDefault="00694C0F">
      <w:pPr>
        <w:pStyle w:val="Code"/>
      </w:pPr>
      <w:r>
        <w:t>&lt;complexType name="CT_Keymap"&gt;</w:t>
      </w:r>
    </w:p>
    <w:p w:rsidR="00024C0A" w:rsidRDefault="00694C0F">
      <w:pPr>
        <w:pStyle w:val="Code"/>
      </w:pPr>
      <w:r>
        <w:t xml:space="preserve">  &lt;choice minOccurs="0" maxOccurs="1"&gt;</w:t>
      </w:r>
    </w:p>
    <w:p w:rsidR="00024C0A" w:rsidRDefault="00694C0F">
      <w:pPr>
        <w:pStyle w:val="Code"/>
      </w:pPr>
      <w:r>
        <w:t xml:space="preserve">    &lt;element name="fci" type="CT_Fci"/&gt;</w:t>
      </w:r>
    </w:p>
    <w:p w:rsidR="00024C0A" w:rsidRDefault="00694C0F">
      <w:pPr>
        <w:pStyle w:val="Code"/>
      </w:pPr>
      <w:r>
        <w:t xml:space="preserve">    &lt;element name="macro" type="CT_MacroWll"/&gt;</w:t>
      </w:r>
    </w:p>
    <w:p w:rsidR="00024C0A" w:rsidRDefault="00694C0F">
      <w:pPr>
        <w:pStyle w:val="Code"/>
      </w:pPr>
      <w:r>
        <w:lastRenderedPageBreak/>
        <w:t xml:space="preserve">    &lt;</w:t>
      </w:r>
      <w:r>
        <w:t>element name="acd" type="CT_AcdKeymap"/&gt;</w:t>
      </w:r>
    </w:p>
    <w:p w:rsidR="00024C0A" w:rsidRDefault="00694C0F">
      <w:pPr>
        <w:pStyle w:val="Code"/>
      </w:pPr>
      <w:r>
        <w:t xml:space="preserve">    &lt;element name="wll" type="CT_MacroWll"/&gt;</w:t>
      </w:r>
    </w:p>
    <w:p w:rsidR="00024C0A" w:rsidRDefault="00694C0F">
      <w:pPr>
        <w:pStyle w:val="Code"/>
      </w:pPr>
      <w:r>
        <w:t xml:space="preserve">    &lt;element name="wch" type="CT_LongHexNumber"/&gt;</w:t>
      </w:r>
    </w:p>
    <w:p w:rsidR="00024C0A" w:rsidRDefault="00694C0F">
      <w:pPr>
        <w:pStyle w:val="Code"/>
      </w:pPr>
      <w:r>
        <w:t xml:space="preserve">  &lt;/choice&gt;</w:t>
      </w:r>
    </w:p>
    <w:p w:rsidR="00024C0A" w:rsidRDefault="00694C0F">
      <w:pPr>
        <w:pStyle w:val="Code"/>
      </w:pPr>
      <w:r>
        <w:t xml:space="preserve">  &lt;attribute name="chmPrimary" type="ST_ShortHexNumber"/&gt;</w:t>
      </w:r>
    </w:p>
    <w:p w:rsidR="00024C0A" w:rsidRDefault="00694C0F">
      <w:pPr>
        <w:pStyle w:val="Code"/>
      </w:pPr>
      <w:r>
        <w:t xml:space="preserve">  &lt;attribute name="chmSecondary" type="ST_ShortHex</w:t>
      </w:r>
      <w:r>
        <w:t>Number"/&gt;</w:t>
      </w:r>
    </w:p>
    <w:p w:rsidR="00024C0A" w:rsidRDefault="00694C0F">
      <w:pPr>
        <w:pStyle w:val="Code"/>
      </w:pPr>
      <w:r>
        <w:t xml:space="preserve">  &lt;attribute name="kcmPrimary" type="ST_ShortHexNumber"/&gt;</w:t>
      </w:r>
    </w:p>
    <w:p w:rsidR="00024C0A" w:rsidRDefault="00694C0F">
      <w:pPr>
        <w:pStyle w:val="Code"/>
      </w:pPr>
      <w:r>
        <w:t xml:space="preserve">  &lt;attribute name="kcmSecondary" type="ST_ShortHexNumber"/&gt;</w:t>
      </w:r>
    </w:p>
    <w:p w:rsidR="00024C0A" w:rsidRDefault="00694C0F">
      <w:pPr>
        <w:pStyle w:val="Code"/>
      </w:pPr>
      <w:r>
        <w:t xml:space="preserve">  &lt;attribute name="mask" type="ST_OnOff"/&gt;</w:t>
      </w:r>
    </w:p>
    <w:p w:rsidR="00024C0A" w:rsidRDefault="00694C0F">
      <w:pPr>
        <w:pStyle w:val="Code"/>
      </w:pPr>
      <w:r>
        <w:t>&lt;/complexType&gt;</w:t>
      </w:r>
    </w:p>
    <w:p w:rsidR="00024C0A" w:rsidRDefault="00694C0F">
      <w:pPr>
        <w:pStyle w:val="Heading6"/>
      </w:pPr>
      <w:bookmarkStart w:id="3831" w:name="section_3e58e134a06a484aa45fd1bf83668891"/>
      <w:bookmarkStart w:id="3832" w:name="_Toc12261976"/>
      <w:r>
        <w:t>keymaps (Key Map Customizations)</w:t>
      </w:r>
      <w:bookmarkEnd w:id="3831"/>
      <w:bookmarkEnd w:id="3832"/>
      <w:r>
        <w:fldChar w:fldCharType="begin"/>
      </w:r>
      <w:r>
        <w:instrText xml:space="preserve"> XE "keymaps (Key Map Customizations)"</w:instrText>
      </w:r>
      <w:r>
        <w:instrText xml:space="preserve"> </w:instrText>
      </w:r>
      <w:r>
        <w:fldChar w:fldCharType="end"/>
      </w:r>
    </w:p>
    <w:p w:rsidR="00024C0A" w:rsidRDefault="00694C0F">
      <w:r>
        <w:t xml:space="preserve">This element serves as a container for individual </w:t>
      </w:r>
      <w:r>
        <w:rPr>
          <w:b/>
        </w:rPr>
        <w:t>key map</w:t>
      </w:r>
      <w:r>
        <w:t xml:space="preserve"> customization entries that can be described on the current keyboard. See keymapsBad (§</w:t>
      </w:r>
      <w:hyperlink w:anchor="Section_c29a6b7a6315489f855aa807e12b712d">
        <w:r>
          <w:rPr>
            <w:rStyle w:val="Hyperlink"/>
          </w:rPr>
          <w:t>3.1.2.1.1.10, keymapsBad</w:t>
        </w:r>
      </w:hyperlink>
      <w:r>
        <w:t>) for more informatio</w:t>
      </w:r>
      <w:r>
        <w:t>n on key map entries that cannot be described on the current keyboard.</w:t>
      </w:r>
    </w:p>
    <w:p w:rsidR="00024C0A" w:rsidRDefault="00694C0F">
      <w:r>
        <w:t xml:space="preserve">On write, key maps are placed under </w:t>
      </w:r>
      <w:r>
        <w:rPr>
          <w:b/>
        </w:rPr>
        <w:t>keymaps</w:t>
      </w:r>
      <w:r>
        <w:t xml:space="preserve"> or </w:t>
      </w:r>
      <w:r>
        <w:rPr>
          <w:b/>
        </w:rPr>
        <w:t>keymapsBad</w:t>
      </w:r>
      <w:r>
        <w:t xml:space="preserve"> elements based on the current keyboard, not based on the element they were specified under originally. Key map elements can the</w:t>
      </w:r>
      <w:r>
        <w:t>refore be moved between these two parent elements depending on the current keyboard. Moreover, either type of key map may be validly defined under either element, but upon resaving each will be moved under the correct element.</w:t>
      </w:r>
    </w:p>
    <w:p w:rsidR="00024C0A" w:rsidRDefault="00694C0F">
      <w:r>
        <w:t xml:space="preserve">If a conflict occurs between </w:t>
      </w:r>
      <w:r>
        <w:t>a KCM and CHM for a given key mapping, then the KCM will be used. Upon writing a file, Word will also add a valid KCM attribute for any key map entries that have specified a CHM.</w:t>
      </w:r>
    </w:p>
    <w:p w:rsidR="00024C0A" w:rsidRDefault="00694C0F">
      <w:r>
        <w:t>[Example: Consider the following key mapping fragment:</w:t>
      </w:r>
    </w:p>
    <w:p w:rsidR="00024C0A" w:rsidRDefault="00694C0F">
      <w:pPr>
        <w:pStyle w:val="Code"/>
      </w:pPr>
      <w:r>
        <w:t xml:space="preserve">  &lt;wne:keymaps&gt;</w:t>
      </w:r>
    </w:p>
    <w:p w:rsidR="00024C0A" w:rsidRDefault="00694C0F">
      <w:pPr>
        <w:pStyle w:val="Code"/>
      </w:pPr>
      <w:r>
        <w:t xml:space="preserve">     &lt;</w:t>
      </w:r>
      <w:r>
        <w:t>wne:keymap wne:kcmPrimary="0342"&gt;</w:t>
      </w:r>
    </w:p>
    <w:p w:rsidR="00024C0A" w:rsidRDefault="00694C0F">
      <w:pPr>
        <w:pStyle w:val="Code"/>
      </w:pPr>
      <w:r>
        <w:t xml:space="preserve">        &lt;wne:fci wne:fciName="Bold" /&gt;</w:t>
      </w:r>
    </w:p>
    <w:p w:rsidR="00024C0A" w:rsidRDefault="00694C0F">
      <w:pPr>
        <w:pStyle w:val="Code"/>
      </w:pPr>
      <w:r>
        <w:t xml:space="preserve">     &lt;/wne:keymap&gt;</w:t>
      </w:r>
    </w:p>
    <w:p w:rsidR="00024C0A" w:rsidRDefault="00694C0F">
      <w:pPr>
        <w:pStyle w:val="Code"/>
      </w:pPr>
      <w:r>
        <w:t xml:space="preserve">     &lt;wne:keymap wne:kcmPrimary="0237"&gt;</w:t>
      </w:r>
    </w:p>
    <w:p w:rsidR="00024C0A" w:rsidRDefault="00694C0F">
      <w:pPr>
        <w:pStyle w:val="Code"/>
      </w:pPr>
      <w:r>
        <w:t xml:space="preserve">        &lt;wne:wch wne:val="000020AC" /&gt;</w:t>
      </w:r>
    </w:p>
    <w:p w:rsidR="00024C0A" w:rsidRDefault="00694C0F">
      <w:pPr>
        <w:pStyle w:val="Code"/>
      </w:pPr>
      <w:r>
        <w:t xml:space="preserve">     &lt;/wne:keymap&gt;</w:t>
      </w:r>
    </w:p>
    <w:p w:rsidR="00024C0A" w:rsidRDefault="00694C0F">
      <w:pPr>
        <w:pStyle w:val="Code"/>
      </w:pPr>
      <w:r>
        <w:t xml:space="preserve">  &lt;/wne:keymaps&gt;</w:t>
      </w:r>
    </w:p>
    <w:p w:rsidR="00024C0A" w:rsidRDefault="00694C0F">
      <w:r>
        <w:t>In this example, the fragment specifies two key m</w:t>
      </w:r>
      <w:r>
        <w:t>aps. The first will make the selected text bold when the key combination Control-Shift-B is pressed. The second inserts the Euro currency symbol when Control-7 is pressed. end example]</w:t>
      </w:r>
    </w:p>
    <w:tbl>
      <w:tblPr>
        <w:tblStyle w:val="Table-ShadedHeader"/>
        <w:tblW w:w="0" w:type="auto"/>
        <w:tblLook w:val="04A0" w:firstRow="1" w:lastRow="0" w:firstColumn="1" w:lastColumn="0" w:noHBand="0" w:noVBand="1"/>
      </w:tblPr>
      <w:tblGrid>
        <w:gridCol w:w="217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tcg</w:t>
            </w:r>
            <w:r>
              <w:t xml:space="preserve"> (§</w:t>
            </w:r>
            <w:hyperlink w:anchor="Section_611795947ec745d68a2df9ece7863986">
              <w:r>
                <w:rPr>
                  <w:rStyle w:val="Hyperlink"/>
                </w:rPr>
                <w:t>3.1.2.1.1.12, tcg</w:t>
              </w:r>
            </w:hyperlink>
            <w:r>
              <w: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2310"/>
        <w:gridCol w:w="1984"/>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Child Elements</w:t>
            </w:r>
          </w:p>
        </w:tc>
        <w:tc>
          <w:tcPr>
            <w:tcW w:w="0" w:type="auto"/>
            <w:vAlign w:val="center"/>
          </w:tcPr>
          <w:p w:rsidR="00024C0A" w:rsidRDefault="00694C0F">
            <w:pPr>
              <w:pStyle w:val="TableHeaderText"/>
            </w:pPr>
            <w:r>
              <w:t>Subclause</w:t>
            </w:r>
          </w:p>
        </w:tc>
      </w:tr>
      <w:tr w:rsidR="00024C0A" w:rsidTr="00024C0A">
        <w:tc>
          <w:tcPr>
            <w:tcW w:w="0" w:type="auto"/>
            <w:vAlign w:val="center"/>
          </w:tcPr>
          <w:p w:rsidR="00024C0A" w:rsidRDefault="00694C0F">
            <w:pPr>
              <w:pStyle w:val="TableBodyText"/>
            </w:pPr>
            <w:r>
              <w:rPr>
                <w:b/>
              </w:rPr>
              <w:t>keymap</w:t>
            </w:r>
            <w:r>
              <w:t xml:space="preserve"> (Key Map Entry)</w:t>
            </w:r>
          </w:p>
        </w:tc>
        <w:tc>
          <w:tcPr>
            <w:tcW w:w="0" w:type="auto"/>
            <w:vAlign w:val="center"/>
          </w:tcPr>
          <w:p w:rsidR="00024C0A" w:rsidRDefault="00694C0F">
            <w:pPr>
              <w:pStyle w:val="TableBodyText"/>
            </w:pPr>
            <w:r>
              <w:t>§</w:t>
            </w:r>
            <w:hyperlink w:anchor="Section_d44dbd45cbbb4efba0903a85141d00fc">
              <w:r>
                <w:rPr>
                  <w:rStyle w:val="Hyperlink"/>
                </w:rPr>
                <w:t>3.1.2.1.1.8, keymap</w:t>
              </w:r>
            </w:hyperlink>
          </w:p>
        </w:tc>
      </w:tr>
    </w:tbl>
    <w:p w:rsidR="00024C0A" w:rsidRDefault="00024C0A"/>
    <w:p w:rsidR="00024C0A" w:rsidRDefault="00694C0F">
      <w:r>
        <w:t xml:space="preserve">The following XML Schema fragment </w:t>
      </w:r>
      <w:r>
        <w:t>defines the contents of this element:</w:t>
      </w:r>
    </w:p>
    <w:p w:rsidR="00024C0A" w:rsidRDefault="00694C0F">
      <w:pPr>
        <w:pStyle w:val="Code"/>
      </w:pPr>
      <w:r>
        <w:lastRenderedPageBreak/>
        <w:t>&lt;complexType name="CT_Keymaps"&gt;</w:t>
      </w:r>
    </w:p>
    <w:p w:rsidR="00024C0A" w:rsidRDefault="00694C0F">
      <w:pPr>
        <w:pStyle w:val="Code"/>
      </w:pPr>
      <w:r>
        <w:t xml:space="preserve">  &lt;sequence&gt;</w:t>
      </w:r>
    </w:p>
    <w:p w:rsidR="00024C0A" w:rsidRDefault="00694C0F">
      <w:pPr>
        <w:pStyle w:val="Code"/>
      </w:pPr>
      <w:r>
        <w:t xml:space="preserve">    &lt;element name="keymap" type="CT_Keymap" minOccurs="1" maxOccurs="unbounded"/&gt;</w:t>
      </w:r>
    </w:p>
    <w:p w:rsidR="00024C0A" w:rsidRDefault="00694C0F">
      <w:pPr>
        <w:pStyle w:val="Code"/>
      </w:pPr>
      <w:r>
        <w:t xml:space="preserve">  &lt;/sequence&gt;</w:t>
      </w:r>
    </w:p>
    <w:p w:rsidR="00024C0A" w:rsidRDefault="00694C0F">
      <w:pPr>
        <w:pStyle w:val="Code"/>
      </w:pPr>
      <w:r>
        <w:t>&lt;/complexType&gt;</w:t>
      </w:r>
    </w:p>
    <w:p w:rsidR="00024C0A" w:rsidRDefault="00694C0F">
      <w:pPr>
        <w:pStyle w:val="Heading6"/>
      </w:pPr>
      <w:bookmarkStart w:id="3833" w:name="section_c29a6b7a6315489f855aa807e12b712d"/>
      <w:bookmarkStart w:id="3834" w:name="_Toc12261977"/>
      <w:r>
        <w:t>keymapsBad (Key Map Customizations for Mismatched Keyboards)</w:t>
      </w:r>
      <w:bookmarkEnd w:id="3833"/>
      <w:bookmarkEnd w:id="3834"/>
      <w:r>
        <w:fldChar w:fldCharType="begin"/>
      </w:r>
      <w:r>
        <w:instrText xml:space="preserve"> X</w:instrText>
      </w:r>
      <w:r>
        <w:instrText xml:space="preserve">E "keymapsBad (Key Map Customizations for Mismatched Keyboards)" </w:instrText>
      </w:r>
      <w:r>
        <w:fldChar w:fldCharType="end"/>
      </w:r>
    </w:p>
    <w:p w:rsidR="00024C0A" w:rsidRDefault="00694C0F">
      <w:r>
        <w:t xml:space="preserve">This element serves as a container for individual key map customization entries whose key combinations cannot be described on the current keyboard. See </w:t>
      </w:r>
      <w:r>
        <w:rPr>
          <w:b/>
        </w:rPr>
        <w:t>keymaps</w:t>
      </w:r>
      <w:r>
        <w:t xml:space="preserve"> (§</w:t>
      </w:r>
      <w:hyperlink w:anchor="Section_3e58e134a06a484aa45fd1bf83668891">
        <w:r>
          <w:rPr>
            <w:rStyle w:val="Hyperlink"/>
          </w:rPr>
          <w:t>3.1.2.1.1.9, keymaps</w:t>
        </w:r>
      </w:hyperlink>
      <w:r>
        <w:t xml:space="preserve">) for more information about key maps that can be described on the current keyboard. </w:t>
      </w:r>
    </w:p>
    <w:p w:rsidR="00024C0A" w:rsidRDefault="00694C0F">
      <w:r>
        <w:t xml:space="preserve">On write, key maps are placed under </w:t>
      </w:r>
      <w:r>
        <w:rPr>
          <w:b/>
        </w:rPr>
        <w:t>keymaps</w:t>
      </w:r>
      <w:r>
        <w:t xml:space="preserve"> or </w:t>
      </w:r>
      <w:r>
        <w:rPr>
          <w:b/>
        </w:rPr>
        <w:t>keymapsBad</w:t>
      </w:r>
      <w:r>
        <w:t xml:space="preserve"> elements based on the current keyboard, not based on th</w:t>
      </w:r>
      <w:r>
        <w:t>e element they were specified under originally. Key map elements can therefore be moved between these two parent elements depending on the current keyboard. Moreover, either type of key map may be validly defined under either element, but upon resaving eac</w:t>
      </w:r>
      <w:r>
        <w:t>h will be moved under the correct element.</w:t>
      </w:r>
    </w:p>
    <w:p w:rsidR="00024C0A" w:rsidRDefault="00694C0F">
      <w:r>
        <w:t xml:space="preserve">The key combinations for key maps placed under the </w:t>
      </w:r>
      <w:r>
        <w:rPr>
          <w:b/>
        </w:rPr>
        <w:t>keymapsBad</w:t>
      </w:r>
      <w:r>
        <w:t xml:space="preserve"> element cannot be executed by Word. Key maps placed under the </w:t>
      </w:r>
      <w:r>
        <w:rPr>
          <w:b/>
        </w:rPr>
        <w:t>keymapsBad</w:t>
      </w:r>
      <w:r>
        <w:t xml:space="preserve"> element are not removed from the file, because they can become operational aga</w:t>
      </w:r>
      <w:r>
        <w:t>in when the document is opened on a computer where the specified characters are present on the current keyboard.</w:t>
      </w:r>
    </w:p>
    <w:p w:rsidR="00024C0A" w:rsidRDefault="00694C0F">
      <w:r>
        <w:t>Because of their nature, CHM attributes will not be converted to KCM attributes if no such conversion is possible on the current keyboard.</w:t>
      </w:r>
    </w:p>
    <w:p w:rsidR="00024C0A" w:rsidRDefault="00694C0F">
      <w:r>
        <w:t>[Exa</w:t>
      </w:r>
      <w:r>
        <w:t>mple: Consider the following key mapping fragment:</w:t>
      </w:r>
    </w:p>
    <w:p w:rsidR="00024C0A" w:rsidRDefault="00694C0F">
      <w:pPr>
        <w:pStyle w:val="Code"/>
      </w:pPr>
      <w:r>
        <w:t xml:space="preserve">    &lt;wne:keymapsBad&gt;</w:t>
      </w:r>
    </w:p>
    <w:p w:rsidR="00024C0A" w:rsidRDefault="00694C0F">
      <w:pPr>
        <w:pStyle w:val="Code"/>
      </w:pPr>
      <w:r>
        <w:t xml:space="preserve">        &lt;wne:keymap wne:chmPrimary="06DF"&gt;</w:t>
      </w:r>
    </w:p>
    <w:p w:rsidR="00024C0A" w:rsidRDefault="00694C0F">
      <w:pPr>
        <w:pStyle w:val="Code"/>
      </w:pPr>
      <w:r>
        <w:t xml:space="preserve">            &lt;wne:fci wne:fciName="Bold" wne:swArg="0000"/&gt;</w:t>
      </w:r>
    </w:p>
    <w:p w:rsidR="00024C0A" w:rsidRDefault="00694C0F">
      <w:pPr>
        <w:pStyle w:val="Code"/>
      </w:pPr>
      <w:r>
        <w:t xml:space="preserve">        &lt;/wne:keymap&gt;</w:t>
      </w:r>
    </w:p>
    <w:p w:rsidR="00024C0A" w:rsidRDefault="00694C0F">
      <w:pPr>
        <w:pStyle w:val="Code"/>
      </w:pPr>
      <w:r>
        <w:t xml:space="preserve">    &lt;/wne:keymapsBad&gt;</w:t>
      </w:r>
    </w:p>
    <w:p w:rsidR="00024C0A" w:rsidRDefault="00694C0F">
      <w:r>
        <w:t>In this example, the fragment specifie</w:t>
      </w:r>
      <w:r>
        <w:t xml:space="preserve">s a single key map that executes the Bold fixed command when Control-Alt-ß is pressed. Because this character is typically only available on German-language keyboards, the key mapping will be under the </w:t>
      </w:r>
      <w:r>
        <w:rPr>
          <w:b/>
        </w:rPr>
        <w:t>keymapsBad</w:t>
      </w:r>
      <w:r>
        <w:t xml:space="preserve"> element on non-German-language keyboards.  </w:t>
      </w:r>
      <w:r>
        <w:t xml:space="preserve"> end example]</w:t>
      </w:r>
    </w:p>
    <w:tbl>
      <w:tblPr>
        <w:tblStyle w:val="Table-ShadedHeader"/>
        <w:tblW w:w="0" w:type="auto"/>
        <w:tblLook w:val="04A0" w:firstRow="1" w:lastRow="0" w:firstColumn="1" w:lastColumn="0" w:noHBand="0" w:noVBand="1"/>
      </w:tblPr>
      <w:tblGrid>
        <w:gridCol w:w="217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tcg</w:t>
            </w:r>
            <w:r>
              <w:t xml:space="preserve"> (§</w:t>
            </w:r>
            <w:hyperlink w:anchor="Section_611795947ec745d68a2df9ece7863986">
              <w:r>
                <w:rPr>
                  <w:rStyle w:val="Hyperlink"/>
                </w:rPr>
                <w:t>3.1.2.1.1.12, tcg</w:t>
              </w:r>
            </w:hyperlink>
            <w:r>
              <w: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2310"/>
        <w:gridCol w:w="1984"/>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Child Elements</w:t>
            </w:r>
          </w:p>
        </w:tc>
        <w:tc>
          <w:tcPr>
            <w:tcW w:w="0" w:type="auto"/>
            <w:vAlign w:val="center"/>
          </w:tcPr>
          <w:p w:rsidR="00024C0A" w:rsidRDefault="00694C0F">
            <w:pPr>
              <w:pStyle w:val="TableHeaderText"/>
            </w:pPr>
            <w:r>
              <w:t>Subclause</w:t>
            </w:r>
          </w:p>
        </w:tc>
      </w:tr>
      <w:tr w:rsidR="00024C0A" w:rsidTr="00024C0A">
        <w:tc>
          <w:tcPr>
            <w:tcW w:w="0" w:type="auto"/>
            <w:vAlign w:val="center"/>
          </w:tcPr>
          <w:p w:rsidR="00024C0A" w:rsidRDefault="00694C0F">
            <w:pPr>
              <w:pStyle w:val="TableBodyText"/>
            </w:pPr>
            <w:r>
              <w:rPr>
                <w:b/>
              </w:rPr>
              <w:t>keymap</w:t>
            </w:r>
            <w:r>
              <w:t xml:space="preserve"> (Key Map Entry)</w:t>
            </w:r>
          </w:p>
        </w:tc>
        <w:tc>
          <w:tcPr>
            <w:tcW w:w="0" w:type="auto"/>
            <w:vAlign w:val="center"/>
          </w:tcPr>
          <w:p w:rsidR="00024C0A" w:rsidRDefault="00694C0F">
            <w:pPr>
              <w:pStyle w:val="TableBodyText"/>
            </w:pPr>
            <w:r>
              <w:t>§</w:t>
            </w:r>
            <w:hyperlink w:anchor="Section_d44dbd45cbbb4efba0903a85141d00fc">
              <w:r>
                <w:rPr>
                  <w:rStyle w:val="Hyperlink"/>
                </w:rPr>
                <w:t>3.1.2.1.1.8, keymap</w:t>
              </w:r>
            </w:hyperlink>
          </w:p>
        </w:tc>
      </w:tr>
    </w:tbl>
    <w:p w:rsidR="00024C0A" w:rsidRDefault="00024C0A"/>
    <w:p w:rsidR="00024C0A" w:rsidRDefault="00694C0F">
      <w:r>
        <w:t>The following XML Schema fragment defines the contents of this element:</w:t>
      </w:r>
    </w:p>
    <w:p w:rsidR="00024C0A" w:rsidRDefault="00694C0F">
      <w:pPr>
        <w:pStyle w:val="Code"/>
      </w:pPr>
      <w:r>
        <w:t>&lt;complexType name="CT_Keymaps"&gt;</w:t>
      </w:r>
    </w:p>
    <w:p w:rsidR="00024C0A" w:rsidRDefault="00694C0F">
      <w:pPr>
        <w:pStyle w:val="Code"/>
      </w:pPr>
      <w:r>
        <w:t xml:space="preserve">  &lt;sequence&gt;</w:t>
      </w:r>
    </w:p>
    <w:p w:rsidR="00024C0A" w:rsidRDefault="00694C0F">
      <w:pPr>
        <w:pStyle w:val="Code"/>
      </w:pPr>
      <w:r>
        <w:t xml:space="preserve">    &lt;element name="keymap" type="CT_Keymap" minOccurs="1" maxOccurs="unbounded"/&gt;</w:t>
      </w:r>
    </w:p>
    <w:p w:rsidR="00024C0A" w:rsidRDefault="00694C0F">
      <w:pPr>
        <w:pStyle w:val="Code"/>
      </w:pPr>
      <w:r>
        <w:lastRenderedPageBreak/>
        <w:t xml:space="preserve">  &lt;/sequence&gt;</w:t>
      </w:r>
    </w:p>
    <w:p w:rsidR="00024C0A" w:rsidRDefault="00694C0F">
      <w:pPr>
        <w:pStyle w:val="Code"/>
      </w:pPr>
      <w:r>
        <w:t>&lt;/complexType&gt;</w:t>
      </w:r>
    </w:p>
    <w:p w:rsidR="00024C0A" w:rsidRDefault="00694C0F">
      <w:pPr>
        <w:pStyle w:val="Heading6"/>
      </w:pPr>
      <w:bookmarkStart w:id="3835" w:name="section_0ab7a8b6842d4bda8c7262ac9dd16b0d"/>
      <w:bookmarkStart w:id="3836" w:name="_Toc12261978"/>
      <w:r>
        <w:t>macro (Macro Keyboard Custo</w:t>
      </w:r>
      <w:r>
        <w:t>mization Action)</w:t>
      </w:r>
      <w:bookmarkEnd w:id="3835"/>
      <w:bookmarkEnd w:id="3836"/>
      <w:r>
        <w:fldChar w:fldCharType="begin"/>
      </w:r>
      <w:r>
        <w:instrText xml:space="preserve"> XE "macro (Macro Keyboard Customization Action)" </w:instrText>
      </w:r>
      <w:r>
        <w:fldChar w:fldCharType="end"/>
      </w:r>
    </w:p>
    <w:p w:rsidR="00024C0A" w:rsidRDefault="00694C0F">
      <w:r>
        <w:t>This element specifies that a macro should be executed by the enclosing key map.</w:t>
      </w:r>
    </w:p>
    <w:p w:rsidR="00024C0A" w:rsidRDefault="00694C0F">
      <w:r>
        <w:t>[Example: Consider the following key map:</w:t>
      </w:r>
    </w:p>
    <w:p w:rsidR="00024C0A" w:rsidRDefault="00694C0F">
      <w:pPr>
        <w:pStyle w:val="Code"/>
      </w:pPr>
      <w:r>
        <w:t xml:space="preserve">  &lt;wne:keymap wne:kcmPrimary="0238"&gt;</w:t>
      </w:r>
    </w:p>
    <w:p w:rsidR="00024C0A" w:rsidRDefault="00694C0F">
      <w:pPr>
        <w:pStyle w:val="Code"/>
      </w:pPr>
      <w:r>
        <w:t xml:space="preserve">      &lt;wne:macro wne:macroN</w:t>
      </w:r>
      <w:r>
        <w:t>ame="PROJECT.NEWMACROS.SOMEMACRO"/&gt;</w:t>
      </w:r>
    </w:p>
    <w:p w:rsidR="00024C0A" w:rsidRDefault="00694C0F">
      <w:pPr>
        <w:pStyle w:val="Code"/>
      </w:pPr>
      <w:r>
        <w:t xml:space="preserve">  &lt;/wne:keymap&gt;</w:t>
      </w:r>
    </w:p>
    <w:p w:rsidR="00024C0A" w:rsidRDefault="00694C0F">
      <w:r>
        <w:t xml:space="preserve">In this example, the WordprocessingML fragment specifies that pressing Control-8 (the meaning of a KCM of </w:t>
      </w:r>
      <w:r>
        <w:rPr>
          <w:rStyle w:val="InlineCode"/>
        </w:rPr>
        <w:t>0238</w:t>
      </w:r>
      <w:r>
        <w:t xml:space="preserve">) will run the macro named </w:t>
      </w:r>
      <w:r>
        <w:rPr>
          <w:rStyle w:val="InlineCode"/>
        </w:rPr>
        <w:t>"PROJECT.NEWMACROS.SOMEMACRO"</w:t>
      </w:r>
      <w:r>
        <w:t>. end example]</w:t>
      </w:r>
    </w:p>
    <w:tbl>
      <w:tblPr>
        <w:tblStyle w:val="Table-ShadedHeader"/>
        <w:tblW w:w="0" w:type="auto"/>
        <w:tblLook w:val="04A0" w:firstRow="1" w:lastRow="0" w:firstColumn="1" w:lastColumn="0" w:noHBand="0" w:noVBand="1"/>
      </w:tblPr>
      <w:tblGrid>
        <w:gridCol w:w="289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keymap</w:t>
            </w:r>
            <w:r>
              <w:t xml:space="preserve"> (§</w:t>
            </w:r>
            <w:hyperlink w:anchor="Section_d44dbd45cbbb4efba0903a85141d00fc">
              <w:r>
                <w:rPr>
                  <w:rStyle w:val="Hyperlink"/>
                </w:rPr>
                <w:t>3.1.2.1.1.8, keymap</w:t>
              </w:r>
            </w:hyperlink>
            <w:r>
              <w: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2274"/>
        <w:gridCol w:w="720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Attributes</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macroName</w:t>
            </w:r>
            <w:r>
              <w:t xml:space="preserve"> (Macro name)</w:t>
            </w:r>
          </w:p>
        </w:tc>
        <w:tc>
          <w:tcPr>
            <w:tcW w:w="0" w:type="auto"/>
            <w:vAlign w:val="center"/>
          </w:tcPr>
          <w:p w:rsidR="00024C0A" w:rsidRDefault="00694C0F">
            <w:pPr>
              <w:pStyle w:val="TableBodyText"/>
            </w:pPr>
            <w:r>
              <w:t>Specifies the name of the macro to run.</w:t>
            </w:r>
          </w:p>
          <w:p w:rsidR="00024C0A" w:rsidRDefault="00024C0A">
            <w:pPr>
              <w:pStyle w:val="TableBodyText"/>
            </w:pPr>
          </w:p>
          <w:p w:rsidR="00024C0A" w:rsidRDefault="00694C0F">
            <w:pPr>
              <w:pStyle w:val="TableBodyText"/>
            </w:pPr>
            <w:r>
              <w:t xml:space="preserve">The possible values for this attribute are defined by the ST_String simple </w:t>
            </w:r>
            <w:r>
              <w:t>type (§</w:t>
            </w:r>
            <w:hyperlink w:anchor="Section_6af92020a61a492793209436f448f276">
              <w:r>
                <w:rPr>
                  <w:rStyle w:val="Hyperlink"/>
                </w:rPr>
                <w:t>3.1.2.3.5, ST_String</w:t>
              </w:r>
            </w:hyperlink>
            <w:r>
              <w:t>).</w:t>
            </w:r>
          </w:p>
        </w:tc>
      </w:tr>
    </w:tbl>
    <w:p w:rsidR="00024C0A" w:rsidRDefault="00024C0A"/>
    <w:p w:rsidR="00024C0A" w:rsidRDefault="00694C0F">
      <w:r>
        <w:t>The following XML Schema fragment defines the contents of this element:</w:t>
      </w:r>
    </w:p>
    <w:p w:rsidR="00024C0A" w:rsidRDefault="00694C0F">
      <w:pPr>
        <w:pStyle w:val="Code"/>
      </w:pPr>
      <w:r>
        <w:t>&lt;complexType name="CT_MacroWll"&gt;</w:t>
      </w:r>
    </w:p>
    <w:p w:rsidR="00024C0A" w:rsidRDefault="00694C0F">
      <w:pPr>
        <w:pStyle w:val="Code"/>
      </w:pPr>
      <w:r>
        <w:t xml:space="preserve">  &lt;</w:t>
      </w:r>
      <w:r>
        <w:t>attribute name="macroName" type="ST_String" use="required"/&gt;</w:t>
      </w:r>
    </w:p>
    <w:p w:rsidR="00024C0A" w:rsidRDefault="00694C0F">
      <w:pPr>
        <w:pStyle w:val="Code"/>
      </w:pPr>
      <w:r>
        <w:t>&lt;/complexType&gt;</w:t>
      </w:r>
    </w:p>
    <w:p w:rsidR="00024C0A" w:rsidRDefault="00694C0F">
      <w:pPr>
        <w:pStyle w:val="Heading6"/>
      </w:pPr>
      <w:bookmarkStart w:id="3837" w:name="section_611795947ec745d68a2df9ece7863986"/>
      <w:bookmarkStart w:id="3838" w:name="_Toc12261979"/>
      <w:r>
        <w:t>tcg (Keyboard and Toolbar Customizations)</w:t>
      </w:r>
      <w:bookmarkEnd w:id="3837"/>
      <w:bookmarkEnd w:id="3838"/>
      <w:r>
        <w:fldChar w:fldCharType="begin"/>
      </w:r>
      <w:r>
        <w:instrText xml:space="preserve"> XE "tcg (Keyboard and Toolbar Customizations)" </w:instrText>
      </w:r>
      <w:r>
        <w:fldChar w:fldCharType="end"/>
      </w:r>
    </w:p>
    <w:p w:rsidR="00024C0A" w:rsidRDefault="00694C0F">
      <w:r>
        <w:t>This element specifies the document's template command group (TCG), which contains custo</w:t>
      </w:r>
      <w:r>
        <w:t>mizations for keyboard shortcuts and toolbars.</w:t>
      </w:r>
    </w:p>
    <w:p w:rsidR="00024C0A" w:rsidRDefault="00694C0F">
      <w:r>
        <w:t>[Example: Consider a document with both a toolbar customization and key map customization:</w:t>
      </w:r>
    </w:p>
    <w:p w:rsidR="00024C0A" w:rsidRDefault="00694C0F">
      <w:pPr>
        <w:pStyle w:val="Code"/>
      </w:pPr>
      <w:r>
        <w:t>&lt;wne:tcg …&gt;</w:t>
      </w:r>
    </w:p>
    <w:p w:rsidR="00024C0A" w:rsidRDefault="00694C0F">
      <w:pPr>
        <w:pStyle w:val="Code"/>
      </w:pPr>
      <w:r>
        <w:t xml:space="preserve">    &lt;wne:keymaps&gt;</w:t>
      </w:r>
    </w:p>
    <w:p w:rsidR="00024C0A" w:rsidRDefault="00694C0F">
      <w:pPr>
        <w:pStyle w:val="Code"/>
      </w:pPr>
      <w:r>
        <w:t xml:space="preserve">        &lt;wne:keymap wne:kcmPrimary="0341"&gt;</w:t>
      </w:r>
    </w:p>
    <w:p w:rsidR="00024C0A" w:rsidRDefault="00694C0F">
      <w:pPr>
        <w:pStyle w:val="Code"/>
      </w:pPr>
      <w:r>
        <w:t xml:space="preserve">            &lt;wne:fci wne:fciName="CssLinks" w</w:t>
      </w:r>
      <w:r>
        <w:t>ne:swArg="0000"/&gt;</w:t>
      </w:r>
    </w:p>
    <w:p w:rsidR="00024C0A" w:rsidRDefault="00694C0F">
      <w:pPr>
        <w:pStyle w:val="Code"/>
      </w:pPr>
      <w:r>
        <w:t xml:space="preserve">        &lt;/wne:keymap&gt;</w:t>
      </w:r>
    </w:p>
    <w:p w:rsidR="00024C0A" w:rsidRDefault="00694C0F">
      <w:pPr>
        <w:pStyle w:val="Code"/>
      </w:pPr>
      <w:r>
        <w:t xml:space="preserve">    &lt;/wne:keymaps&gt;</w:t>
      </w:r>
    </w:p>
    <w:p w:rsidR="00024C0A" w:rsidRDefault="00694C0F">
      <w:pPr>
        <w:pStyle w:val="Code"/>
      </w:pPr>
      <w:r>
        <w:t xml:space="preserve">    &lt;wne:toolbars&gt;</w:t>
      </w:r>
    </w:p>
    <w:p w:rsidR="00024C0A" w:rsidRDefault="00694C0F">
      <w:pPr>
        <w:pStyle w:val="Code"/>
      </w:pPr>
      <w:r>
        <w:t xml:space="preserve">        &lt;wne:toolbarData r:id="rId1"/&gt;</w:t>
      </w:r>
    </w:p>
    <w:p w:rsidR="00024C0A" w:rsidRDefault="00694C0F">
      <w:pPr>
        <w:pStyle w:val="Code"/>
      </w:pPr>
      <w:r>
        <w:t xml:space="preserve">    &lt;/wne:toolbars&gt;</w:t>
      </w:r>
    </w:p>
    <w:p w:rsidR="00024C0A" w:rsidRDefault="00694C0F">
      <w:pPr>
        <w:pStyle w:val="Code"/>
      </w:pPr>
      <w:r>
        <w:t>&lt;/wne:tcg&gt;</w:t>
      </w:r>
    </w:p>
    <w:p w:rsidR="00024C0A" w:rsidRDefault="00694C0F">
      <w:r>
        <w:lastRenderedPageBreak/>
        <w:t xml:space="preserve">In this example, the WordprocessingML describes a single key map customization and customized toolbar information stored in a binary part referenced as </w:t>
      </w:r>
      <w:r>
        <w:rPr>
          <w:rStyle w:val="InlineCode"/>
        </w:rPr>
        <w:t>rId1</w:t>
      </w:r>
      <w:r>
        <w:t>. end example]</w:t>
      </w:r>
    </w:p>
    <w:tbl>
      <w:tblPr>
        <w:tblStyle w:val="Table-ShadedHeader"/>
        <w:tblW w:w="0" w:type="auto"/>
        <w:tblLook w:val="04A0" w:firstRow="1" w:lastRow="0" w:firstColumn="1" w:lastColumn="0" w:noHBand="0" w:noVBand="1"/>
      </w:tblPr>
      <w:tblGrid>
        <w:gridCol w:w="5734"/>
        <w:gridCol w:w="2475"/>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Child Elements</w:t>
            </w:r>
          </w:p>
        </w:tc>
        <w:tc>
          <w:tcPr>
            <w:tcW w:w="0" w:type="auto"/>
            <w:vAlign w:val="center"/>
          </w:tcPr>
          <w:p w:rsidR="00024C0A" w:rsidRDefault="00694C0F">
            <w:pPr>
              <w:pStyle w:val="TableHeaderText"/>
            </w:pPr>
            <w:r>
              <w:t>Subclause</w:t>
            </w:r>
          </w:p>
        </w:tc>
      </w:tr>
      <w:tr w:rsidR="00024C0A" w:rsidTr="00024C0A">
        <w:tc>
          <w:tcPr>
            <w:tcW w:w="0" w:type="auto"/>
            <w:vAlign w:val="center"/>
          </w:tcPr>
          <w:p w:rsidR="00024C0A" w:rsidRDefault="00694C0F">
            <w:pPr>
              <w:pStyle w:val="TableBodyText"/>
            </w:pPr>
            <w:r>
              <w:rPr>
                <w:b/>
              </w:rPr>
              <w:t>acds</w:t>
            </w:r>
            <w:r>
              <w:t xml:space="preserve"> (Allocated Commands)</w:t>
            </w:r>
          </w:p>
        </w:tc>
        <w:tc>
          <w:tcPr>
            <w:tcW w:w="0" w:type="auto"/>
            <w:vAlign w:val="center"/>
          </w:tcPr>
          <w:p w:rsidR="00024C0A" w:rsidRDefault="00694C0F">
            <w:pPr>
              <w:pStyle w:val="TableBodyText"/>
            </w:pPr>
            <w:r>
              <w:t>§</w:t>
            </w:r>
            <w:hyperlink w:anchor="Section_83ec8315581b46899d5e9db1d95ec41f">
              <w:r>
                <w:rPr>
                  <w:rStyle w:val="Hyperlink"/>
                </w:rPr>
                <w:t>3.1.2.1.1.5, acds</w:t>
              </w:r>
            </w:hyperlink>
          </w:p>
        </w:tc>
      </w:tr>
      <w:tr w:rsidR="00024C0A" w:rsidTr="00024C0A">
        <w:tc>
          <w:tcPr>
            <w:tcW w:w="0" w:type="auto"/>
            <w:vAlign w:val="center"/>
          </w:tcPr>
          <w:p w:rsidR="00024C0A" w:rsidRDefault="00694C0F">
            <w:pPr>
              <w:pStyle w:val="TableBodyText"/>
            </w:pPr>
            <w:r>
              <w:rPr>
                <w:b/>
              </w:rPr>
              <w:t>keymaps</w:t>
            </w:r>
            <w:r>
              <w:t xml:space="preserve"> (Key Map Customizations)</w:t>
            </w:r>
          </w:p>
        </w:tc>
        <w:tc>
          <w:tcPr>
            <w:tcW w:w="0" w:type="auto"/>
            <w:vAlign w:val="center"/>
          </w:tcPr>
          <w:p w:rsidR="00024C0A" w:rsidRDefault="00694C0F">
            <w:pPr>
              <w:pStyle w:val="TableBodyText"/>
            </w:pPr>
            <w:r>
              <w:t>§</w:t>
            </w:r>
            <w:hyperlink w:anchor="Section_3e58e134a06a484aa45fd1bf83668891">
              <w:r>
                <w:rPr>
                  <w:rStyle w:val="Hyperlink"/>
                </w:rPr>
                <w:t>3.1.2.1.1.9, keymaps</w:t>
              </w:r>
            </w:hyperlink>
          </w:p>
        </w:tc>
      </w:tr>
      <w:tr w:rsidR="00024C0A" w:rsidTr="00024C0A">
        <w:tc>
          <w:tcPr>
            <w:tcW w:w="0" w:type="auto"/>
            <w:vAlign w:val="center"/>
          </w:tcPr>
          <w:p w:rsidR="00024C0A" w:rsidRDefault="00694C0F">
            <w:pPr>
              <w:pStyle w:val="TableBodyText"/>
            </w:pPr>
            <w:r>
              <w:rPr>
                <w:b/>
              </w:rPr>
              <w:t>keymapsBad</w:t>
            </w:r>
            <w:r>
              <w:t xml:space="preserve"> (Key Map Customizations for Mismatched Keyboards)</w:t>
            </w:r>
          </w:p>
        </w:tc>
        <w:tc>
          <w:tcPr>
            <w:tcW w:w="0" w:type="auto"/>
            <w:vAlign w:val="center"/>
          </w:tcPr>
          <w:p w:rsidR="00024C0A" w:rsidRDefault="00694C0F">
            <w:pPr>
              <w:pStyle w:val="TableBodyText"/>
            </w:pPr>
            <w:r>
              <w:t>§</w:t>
            </w:r>
            <w:hyperlink w:anchor="Section_c29a6b7a6315489f855aa807e12b712d">
              <w:r>
                <w:rPr>
                  <w:rStyle w:val="Hyperlink"/>
                </w:rPr>
                <w:t>3.1.2.1.1.10, keymapsBad</w:t>
              </w:r>
            </w:hyperlink>
          </w:p>
        </w:tc>
      </w:tr>
      <w:tr w:rsidR="00024C0A" w:rsidTr="00024C0A">
        <w:tc>
          <w:tcPr>
            <w:tcW w:w="0" w:type="auto"/>
            <w:vAlign w:val="center"/>
          </w:tcPr>
          <w:p w:rsidR="00024C0A" w:rsidRDefault="00694C0F">
            <w:pPr>
              <w:pStyle w:val="TableBodyText"/>
            </w:pPr>
            <w:r>
              <w:rPr>
                <w:b/>
              </w:rPr>
              <w:t>toolbars</w:t>
            </w:r>
            <w:r>
              <w:t xml:space="preserve"> (Legacy Toolbar Customizations)</w:t>
            </w:r>
          </w:p>
        </w:tc>
        <w:tc>
          <w:tcPr>
            <w:tcW w:w="0" w:type="auto"/>
            <w:vAlign w:val="center"/>
          </w:tcPr>
          <w:p w:rsidR="00024C0A" w:rsidRDefault="00694C0F">
            <w:pPr>
              <w:pStyle w:val="TableBodyText"/>
            </w:pPr>
            <w:r>
              <w:t>§</w:t>
            </w:r>
            <w:hyperlink w:anchor="Section_7c98bf0e4eab43729ae628f1e61e1343">
              <w:r>
                <w:rPr>
                  <w:rStyle w:val="Hyperlink"/>
                </w:rPr>
                <w:t>3.1.2.1.1.14, toolbars</w:t>
              </w:r>
            </w:hyperlink>
          </w:p>
        </w:tc>
      </w:tr>
    </w:tbl>
    <w:p w:rsidR="00024C0A" w:rsidRDefault="00024C0A"/>
    <w:p w:rsidR="00024C0A" w:rsidRDefault="00694C0F">
      <w:r>
        <w:t>The following XML Schema fragment defin</w:t>
      </w:r>
      <w:r>
        <w:t>es the contents of this element:</w:t>
      </w:r>
    </w:p>
    <w:p w:rsidR="00024C0A" w:rsidRDefault="00694C0F">
      <w:pPr>
        <w:pStyle w:val="Code"/>
      </w:pPr>
      <w:r>
        <w:t>&lt;complexType name="CT_Tcg"&gt;</w:t>
      </w:r>
    </w:p>
    <w:p w:rsidR="00024C0A" w:rsidRDefault="00694C0F">
      <w:pPr>
        <w:pStyle w:val="Code"/>
      </w:pPr>
      <w:r>
        <w:t xml:space="preserve">  &lt;sequence&gt;</w:t>
      </w:r>
    </w:p>
    <w:p w:rsidR="00024C0A" w:rsidRDefault="00694C0F">
      <w:pPr>
        <w:pStyle w:val="Code"/>
      </w:pPr>
      <w:r>
        <w:t xml:space="preserve">    &lt;element name="keymaps" type="CT_Keymaps" minOccurs="0" maxOccurs="1"/&gt;</w:t>
      </w:r>
    </w:p>
    <w:p w:rsidR="00024C0A" w:rsidRDefault="00694C0F">
      <w:pPr>
        <w:pStyle w:val="Code"/>
      </w:pPr>
      <w:r>
        <w:t xml:space="preserve">    &lt;element name="keymapsBad" type="CT_Keymaps" minOccurs="0" maxOccurs="1"/&gt;</w:t>
      </w:r>
    </w:p>
    <w:p w:rsidR="00024C0A" w:rsidRDefault="00694C0F">
      <w:pPr>
        <w:pStyle w:val="Code"/>
      </w:pPr>
      <w:r>
        <w:t xml:space="preserve">    &lt;element name="toolbars</w:t>
      </w:r>
      <w:r>
        <w:t>" type="CT_Toolbars" minOccurs="0" maxOccurs="1"/&gt;</w:t>
      </w:r>
    </w:p>
    <w:p w:rsidR="00024C0A" w:rsidRDefault="00694C0F">
      <w:pPr>
        <w:pStyle w:val="Code"/>
      </w:pPr>
      <w:r>
        <w:t xml:space="preserve">    &lt;element name="acds" type="CT_Acds" minOccurs="0" maxOccurs="1"/&gt;</w:t>
      </w:r>
    </w:p>
    <w:p w:rsidR="00024C0A" w:rsidRDefault="00694C0F">
      <w:pPr>
        <w:pStyle w:val="Code"/>
      </w:pPr>
      <w:r>
        <w:t xml:space="preserve">  &lt;/sequence&gt;</w:t>
      </w:r>
    </w:p>
    <w:p w:rsidR="00024C0A" w:rsidRDefault="00694C0F">
      <w:pPr>
        <w:pStyle w:val="Code"/>
      </w:pPr>
      <w:r>
        <w:t>&lt;/complexType&gt;</w:t>
      </w:r>
    </w:p>
    <w:p w:rsidR="00024C0A" w:rsidRDefault="00694C0F">
      <w:pPr>
        <w:pStyle w:val="Heading6"/>
      </w:pPr>
      <w:bookmarkStart w:id="3839" w:name="section_8b07e421930a4c87b8f2e9879c6e70f6"/>
      <w:bookmarkStart w:id="3840" w:name="_Toc12261980"/>
      <w:r>
        <w:t>toolbarData (Toolbar data)</w:t>
      </w:r>
      <w:bookmarkEnd w:id="3839"/>
      <w:bookmarkEnd w:id="3840"/>
      <w:r>
        <w:fldChar w:fldCharType="begin"/>
      </w:r>
      <w:r>
        <w:instrText xml:space="preserve"> XE "toolbarData (Toolbar data)" </w:instrText>
      </w:r>
      <w:r>
        <w:fldChar w:fldCharType="end"/>
      </w:r>
    </w:p>
    <w:p w:rsidR="00024C0A" w:rsidRDefault="00694C0F">
      <w:r>
        <w:t xml:space="preserve">The </w:t>
      </w:r>
      <w:r>
        <w:rPr>
          <w:b/>
        </w:rPr>
        <w:t>toolbarData</w:t>
      </w:r>
      <w:r>
        <w:t xml:space="preserve"> element is used to reference</w:t>
      </w:r>
      <w:r>
        <w:t xml:space="preserve"> a binary toolbar customization part.  </w:t>
      </w:r>
    </w:p>
    <w:p w:rsidR="00024C0A" w:rsidRDefault="00694C0F">
      <w:r>
        <w:t>[Example: Consider a document with a toolbar customization:</w:t>
      </w:r>
    </w:p>
    <w:p w:rsidR="00024C0A" w:rsidRDefault="00694C0F">
      <w:pPr>
        <w:pStyle w:val="Code"/>
      </w:pPr>
      <w:r>
        <w:t>&lt;wne:tcg …&gt;</w:t>
      </w:r>
    </w:p>
    <w:p w:rsidR="00024C0A" w:rsidRDefault="00694C0F">
      <w:pPr>
        <w:pStyle w:val="Code"/>
      </w:pPr>
      <w:r>
        <w:t xml:space="preserve">    &lt;wne:toolbars&gt;</w:t>
      </w:r>
    </w:p>
    <w:p w:rsidR="00024C0A" w:rsidRDefault="00694C0F">
      <w:pPr>
        <w:pStyle w:val="Code"/>
      </w:pPr>
      <w:r>
        <w:t xml:space="preserve">        &lt;wne:toolbarData r:id="rId1"/&gt;</w:t>
      </w:r>
    </w:p>
    <w:p w:rsidR="00024C0A" w:rsidRDefault="00694C0F">
      <w:pPr>
        <w:pStyle w:val="Code"/>
      </w:pPr>
      <w:r>
        <w:t xml:space="preserve">    &lt;/wne:toolbars&gt;</w:t>
      </w:r>
    </w:p>
    <w:p w:rsidR="00024C0A" w:rsidRDefault="00694C0F">
      <w:pPr>
        <w:pStyle w:val="Code"/>
      </w:pPr>
      <w:r>
        <w:t>&lt;/wne:tcg&gt;</w:t>
      </w:r>
    </w:p>
    <w:p w:rsidR="00024C0A" w:rsidRDefault="00694C0F">
      <w:r>
        <w:t xml:space="preserve">Where </w:t>
      </w:r>
      <w:r>
        <w:rPr>
          <w:rStyle w:val="InlineCode"/>
        </w:rPr>
        <w:t>rId1</w:t>
      </w:r>
      <w:r>
        <w:t xml:space="preserve"> is defined in customization.xml.rels as:</w:t>
      </w:r>
    </w:p>
    <w:p w:rsidR="00024C0A" w:rsidRDefault="00694C0F">
      <w:pPr>
        <w:pStyle w:val="Code"/>
      </w:pPr>
      <w:r>
        <w:t>&lt;</w:t>
      </w:r>
      <w:r>
        <w:t>Relationships …&gt;</w:t>
      </w:r>
    </w:p>
    <w:p w:rsidR="00024C0A" w:rsidRDefault="00694C0F">
      <w:pPr>
        <w:pStyle w:val="Code"/>
      </w:pPr>
      <w:r>
        <w:t xml:space="preserve">    &lt;Relationship Id="rId1" … Target="attachedToolbars.bin"/&gt;</w:t>
      </w:r>
    </w:p>
    <w:p w:rsidR="00024C0A" w:rsidRDefault="00694C0F">
      <w:pPr>
        <w:pStyle w:val="Code"/>
      </w:pPr>
      <w:r>
        <w:t>&lt;/Relationships&gt;</w:t>
      </w:r>
    </w:p>
    <w:p w:rsidR="00024C0A" w:rsidRDefault="00694C0F">
      <w:r>
        <w:t xml:space="preserve">In this example, the WordprocessingML specifies that the information in the attachedToolbars.bin binary part should be used for toolbar customization purposes. </w:t>
      </w:r>
      <w:r>
        <w:t>end example]</w:t>
      </w:r>
    </w:p>
    <w:p w:rsidR="00024C0A" w:rsidRDefault="00024C0A"/>
    <w:tbl>
      <w:tblPr>
        <w:tblStyle w:val="Table-ShadedHeader"/>
        <w:tblW w:w="0" w:type="auto"/>
        <w:tblLook w:val="04A0" w:firstRow="1" w:lastRow="0" w:firstColumn="1" w:lastColumn="0" w:noHBand="0" w:noVBand="1"/>
      </w:tblPr>
      <w:tblGrid>
        <w:gridCol w:w="3040"/>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toolbars</w:t>
            </w:r>
            <w:r>
              <w:t xml:space="preserve"> (§</w:t>
            </w:r>
            <w:hyperlink w:anchor="Section_7c98bf0e4eab43729ae628f1e61e1343">
              <w:r>
                <w:rPr>
                  <w:rStyle w:val="Hyperlink"/>
                </w:rPr>
                <w:t>3.1.2.1.1.14, toolbars</w:t>
              </w:r>
            </w:hyperlink>
            <w:r>
              <w: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3667"/>
        <w:gridCol w:w="5808"/>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lastRenderedPageBreak/>
              <w:t>Attributes</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id</w:t>
            </w:r>
            <w:r>
              <w:t xml:space="preserve"> (binary toolbar part relationship identifier)</w:t>
            </w:r>
          </w:p>
          <w:p w:rsidR="00024C0A" w:rsidRDefault="00024C0A">
            <w:pPr>
              <w:pStyle w:val="TableBodyText"/>
            </w:pPr>
          </w:p>
          <w:p w:rsidR="00024C0A" w:rsidRDefault="00694C0F">
            <w:pPr>
              <w:pStyle w:val="TableBodyText"/>
            </w:pPr>
            <w:r>
              <w:t>Namespace: .../officeDocument/2006/relationships</w:t>
            </w:r>
          </w:p>
        </w:tc>
        <w:tc>
          <w:tcPr>
            <w:tcW w:w="0" w:type="auto"/>
            <w:vAlign w:val="center"/>
          </w:tcPr>
          <w:p w:rsidR="00024C0A" w:rsidRDefault="00694C0F">
            <w:pPr>
              <w:pStyle w:val="TableBodyText"/>
            </w:pPr>
            <w:r>
              <w:t>Specifies the relationship identifier associated with a binary toolbar customization part as described in the relationships file for the part in which this attribute is used.</w:t>
            </w:r>
          </w:p>
          <w:p w:rsidR="00024C0A" w:rsidRDefault="00024C0A">
            <w:pPr>
              <w:pStyle w:val="TableBodyText"/>
            </w:pPr>
          </w:p>
          <w:p w:rsidR="00024C0A" w:rsidRDefault="00694C0F">
            <w:pPr>
              <w:pStyle w:val="TableBodyText"/>
            </w:pPr>
            <w:r>
              <w:t>The possible values for this attribute are defined by the ST_RelationshipId simp</w:t>
            </w:r>
            <w:r>
              <w:t>le type ("</w:t>
            </w:r>
            <w:hyperlink r:id="rId281">
              <w:r>
                <w:rPr>
                  <w:rStyle w:val="Hyperlink"/>
                </w:rPr>
                <w:t>[ISO/IEC-29500-1]</w:t>
              </w:r>
            </w:hyperlink>
            <w:r>
              <w:t xml:space="preserve"> §22.8.2.1").</w:t>
            </w:r>
          </w:p>
        </w:tc>
      </w:tr>
    </w:tbl>
    <w:p w:rsidR="00024C0A" w:rsidRDefault="00024C0A"/>
    <w:p w:rsidR="00024C0A" w:rsidRDefault="00694C0F">
      <w:r>
        <w:t>The following XML Schema fragment defines the contents of this element:</w:t>
      </w:r>
    </w:p>
    <w:p w:rsidR="00024C0A" w:rsidRDefault="00694C0F">
      <w:pPr>
        <w:pStyle w:val="Code"/>
      </w:pPr>
      <w:r>
        <w:t>&lt;complexType name="CT_Rel"&gt;</w:t>
      </w:r>
    </w:p>
    <w:p w:rsidR="00024C0A" w:rsidRDefault="00694C0F">
      <w:pPr>
        <w:pStyle w:val="Code"/>
      </w:pPr>
      <w:r>
        <w:t xml:space="preserve">  &lt;attribute ref="r:id" use="required"/&gt;</w:t>
      </w:r>
    </w:p>
    <w:p w:rsidR="00024C0A" w:rsidRDefault="00694C0F">
      <w:pPr>
        <w:pStyle w:val="Code"/>
      </w:pPr>
      <w:r>
        <w:t>&lt;/comp</w:t>
      </w:r>
      <w:r>
        <w:t>lexType&gt;</w:t>
      </w:r>
    </w:p>
    <w:p w:rsidR="00024C0A" w:rsidRDefault="00694C0F">
      <w:pPr>
        <w:pStyle w:val="Heading6"/>
      </w:pPr>
      <w:bookmarkStart w:id="3841" w:name="section_7c98bf0e4eab43729ae628f1e61e1343"/>
      <w:bookmarkStart w:id="3842" w:name="_Toc12261981"/>
      <w:r>
        <w:t>toolbars (Legacy Toolbar Customizations)</w:t>
      </w:r>
      <w:bookmarkEnd w:id="3841"/>
      <w:bookmarkEnd w:id="3842"/>
      <w:r>
        <w:fldChar w:fldCharType="begin"/>
      </w:r>
      <w:r>
        <w:instrText xml:space="preserve"> XE "toolbars (Legacy Toolbar Customizations)" </w:instrText>
      </w:r>
      <w:r>
        <w:fldChar w:fldCharType="end"/>
      </w:r>
    </w:p>
    <w:p w:rsidR="00024C0A" w:rsidRDefault="00694C0F">
      <w:r>
        <w:t xml:space="preserve">The </w:t>
      </w:r>
      <w:r>
        <w:rPr>
          <w:b/>
        </w:rPr>
        <w:t>toolbars</w:t>
      </w:r>
      <w:r>
        <w:t xml:space="preserve"> element is used as a container for </w:t>
      </w:r>
      <w:r>
        <w:rPr>
          <w:b/>
        </w:rPr>
        <w:t>toolbarData</w:t>
      </w:r>
      <w:r>
        <w:t xml:space="preserve"> and </w:t>
      </w:r>
      <w:r>
        <w:rPr>
          <w:b/>
        </w:rPr>
        <w:t>acdManifest</w:t>
      </w:r>
      <w:r>
        <w:t xml:space="preserve"> elements.</w:t>
      </w:r>
    </w:p>
    <w:tbl>
      <w:tblPr>
        <w:tblStyle w:val="Table-ShadedHeader"/>
        <w:tblW w:w="0" w:type="auto"/>
        <w:tblLook w:val="04A0" w:firstRow="1" w:lastRow="0" w:firstColumn="1" w:lastColumn="0" w:noHBand="0" w:noVBand="1"/>
      </w:tblPr>
      <w:tblGrid>
        <w:gridCol w:w="217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tcg</w:t>
            </w:r>
            <w:r>
              <w:t xml:space="preserve"> (§</w:t>
            </w:r>
            <w:hyperlink w:anchor="Section_611795947ec745d68a2df9ece7863986">
              <w:r>
                <w:rPr>
                  <w:rStyle w:val="Hyperlink"/>
                </w:rPr>
                <w:t>3.1.2.1.1.12, tcg</w:t>
              </w:r>
            </w:hyperlink>
            <w:r>
              <w: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3849"/>
        <w:gridCol w:w="2393"/>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Child Elements</w:t>
            </w:r>
          </w:p>
        </w:tc>
        <w:tc>
          <w:tcPr>
            <w:tcW w:w="0" w:type="auto"/>
            <w:vAlign w:val="center"/>
          </w:tcPr>
          <w:p w:rsidR="00024C0A" w:rsidRDefault="00694C0F">
            <w:pPr>
              <w:pStyle w:val="TableHeaderText"/>
            </w:pPr>
            <w:r>
              <w:t>Subclause</w:t>
            </w:r>
          </w:p>
        </w:tc>
      </w:tr>
      <w:tr w:rsidR="00024C0A" w:rsidTr="00024C0A">
        <w:tc>
          <w:tcPr>
            <w:tcW w:w="0" w:type="auto"/>
            <w:vAlign w:val="center"/>
          </w:tcPr>
          <w:p w:rsidR="00024C0A" w:rsidRDefault="00694C0F">
            <w:pPr>
              <w:pStyle w:val="TableBodyText"/>
            </w:pPr>
            <w:r>
              <w:rPr>
                <w:b/>
              </w:rPr>
              <w:t>acdManifest</w:t>
            </w:r>
            <w:r>
              <w:t xml:space="preserve"> (Allocated Command Manifest)</w:t>
            </w:r>
          </w:p>
        </w:tc>
        <w:tc>
          <w:tcPr>
            <w:tcW w:w="0" w:type="auto"/>
            <w:vAlign w:val="center"/>
          </w:tcPr>
          <w:p w:rsidR="00024C0A" w:rsidRDefault="00694C0F">
            <w:pPr>
              <w:pStyle w:val="TableBodyText"/>
            </w:pPr>
            <w:r>
              <w:t>§</w:t>
            </w:r>
            <w:hyperlink w:anchor="Section_196c6a38f97a4a93a3a1121090157f0b">
              <w:r>
                <w:rPr>
                  <w:rStyle w:val="Hyperlink"/>
                </w:rPr>
                <w:t>3.1.2.1.1.4, acdManifest</w:t>
              </w:r>
            </w:hyperlink>
          </w:p>
        </w:tc>
      </w:tr>
      <w:tr w:rsidR="00024C0A" w:rsidTr="00024C0A">
        <w:tc>
          <w:tcPr>
            <w:tcW w:w="0" w:type="auto"/>
            <w:vAlign w:val="center"/>
          </w:tcPr>
          <w:p w:rsidR="00024C0A" w:rsidRDefault="00694C0F">
            <w:pPr>
              <w:pStyle w:val="TableBodyText"/>
            </w:pPr>
            <w:r>
              <w:rPr>
                <w:b/>
              </w:rPr>
              <w:t>toolbarData</w:t>
            </w:r>
            <w:r>
              <w:t xml:space="preserve"> (Toolbar data)</w:t>
            </w:r>
          </w:p>
        </w:tc>
        <w:tc>
          <w:tcPr>
            <w:tcW w:w="0" w:type="auto"/>
            <w:vAlign w:val="center"/>
          </w:tcPr>
          <w:p w:rsidR="00024C0A" w:rsidRDefault="00694C0F">
            <w:pPr>
              <w:pStyle w:val="TableBodyText"/>
            </w:pPr>
            <w:r>
              <w:t>§</w:t>
            </w:r>
            <w:hyperlink w:anchor="Section_8b07e421930a4c87b8f2e9879c6e70f6">
              <w:r>
                <w:rPr>
                  <w:rStyle w:val="Hyperlink"/>
                </w:rPr>
                <w:t>3.1.2.1.1.13, toolbarData</w:t>
              </w:r>
            </w:hyperlink>
          </w:p>
        </w:tc>
      </w:tr>
    </w:tbl>
    <w:p w:rsidR="00024C0A" w:rsidRDefault="00024C0A"/>
    <w:p w:rsidR="00024C0A" w:rsidRDefault="00694C0F">
      <w:r>
        <w:t>The following XML Schema fragment defines the contents of this element:</w:t>
      </w:r>
    </w:p>
    <w:p w:rsidR="00024C0A" w:rsidRDefault="00694C0F">
      <w:pPr>
        <w:pStyle w:val="Code"/>
      </w:pPr>
      <w:r>
        <w:t>&lt;complexType name="CT_Toolbars"&gt;</w:t>
      </w:r>
    </w:p>
    <w:p w:rsidR="00024C0A" w:rsidRDefault="00694C0F">
      <w:pPr>
        <w:pStyle w:val="Code"/>
      </w:pPr>
      <w:r>
        <w:t xml:space="preserve">  &lt;sequence&gt;</w:t>
      </w:r>
    </w:p>
    <w:p w:rsidR="00024C0A" w:rsidRDefault="00694C0F">
      <w:pPr>
        <w:pStyle w:val="Code"/>
      </w:pPr>
      <w:r>
        <w:t xml:space="preserve">    &lt;element name="acdManifest</w:t>
      </w:r>
      <w:r>
        <w:t>" minOccurs="0" maxOccurs="1" type="CT_AcdManifest"/&gt;</w:t>
      </w:r>
    </w:p>
    <w:p w:rsidR="00024C0A" w:rsidRDefault="00694C0F">
      <w:pPr>
        <w:pStyle w:val="Code"/>
      </w:pPr>
      <w:r>
        <w:t xml:space="preserve">    &lt;element name="toolbarData" minOccurs="0" maxOccurs="1" type="CT_Rel"/&gt;</w:t>
      </w:r>
    </w:p>
    <w:p w:rsidR="00024C0A" w:rsidRDefault="00694C0F">
      <w:pPr>
        <w:pStyle w:val="Code"/>
      </w:pPr>
      <w:r>
        <w:t xml:space="preserve">  &lt;/sequence&gt;</w:t>
      </w:r>
    </w:p>
    <w:p w:rsidR="00024C0A" w:rsidRDefault="00694C0F">
      <w:pPr>
        <w:pStyle w:val="Code"/>
      </w:pPr>
      <w:r>
        <w:t>&lt;/complexType&gt;</w:t>
      </w:r>
    </w:p>
    <w:p w:rsidR="00024C0A" w:rsidRDefault="00694C0F">
      <w:pPr>
        <w:pStyle w:val="Heading6"/>
      </w:pPr>
      <w:bookmarkStart w:id="3843" w:name="section_342bac6cb42c45d7aae0b30f39357bc9"/>
      <w:bookmarkStart w:id="3844" w:name="_Toc12261982"/>
      <w:r>
        <w:t>wch (Character Insertion Keyboard Customization Action)</w:t>
      </w:r>
      <w:bookmarkEnd w:id="3843"/>
      <w:bookmarkEnd w:id="3844"/>
      <w:r>
        <w:fldChar w:fldCharType="begin"/>
      </w:r>
      <w:r>
        <w:instrText xml:space="preserve"> XE "wch (Character Insertion Keyboard Cus</w:instrText>
      </w:r>
      <w:r>
        <w:instrText xml:space="preserve">tomization Action)" </w:instrText>
      </w:r>
      <w:r>
        <w:fldChar w:fldCharType="end"/>
      </w:r>
    </w:p>
    <w:p w:rsidR="00024C0A" w:rsidRDefault="00694C0F">
      <w:r>
        <w:t>This element specifies that the action for an enclosed key map is to insert a certain character into the document.</w:t>
      </w:r>
    </w:p>
    <w:p w:rsidR="00024C0A" w:rsidRDefault="00694C0F">
      <w:r>
        <w:t>[Example: Consider the following key map:</w:t>
      </w:r>
    </w:p>
    <w:p w:rsidR="00024C0A" w:rsidRDefault="00694C0F">
      <w:pPr>
        <w:pStyle w:val="Code"/>
      </w:pPr>
      <w:r>
        <w:t xml:space="preserve">   &lt;wne:keymap wne:kcmPrimary="0237"&gt;</w:t>
      </w:r>
    </w:p>
    <w:p w:rsidR="00024C0A" w:rsidRDefault="00694C0F">
      <w:pPr>
        <w:pStyle w:val="Code"/>
      </w:pPr>
      <w:r>
        <w:t xml:space="preserve">    &lt;wne:wch wne:val="000020AC" /&gt;</w:t>
      </w:r>
    </w:p>
    <w:p w:rsidR="00024C0A" w:rsidRDefault="00694C0F">
      <w:pPr>
        <w:pStyle w:val="Code"/>
      </w:pPr>
      <w:r>
        <w:t xml:space="preserve"> &lt;</w:t>
      </w:r>
      <w:r>
        <w:t>/wne:keymap&gt;</w:t>
      </w:r>
    </w:p>
    <w:p w:rsidR="00024C0A" w:rsidRDefault="00694C0F">
      <w:r>
        <w:lastRenderedPageBreak/>
        <w:t xml:space="preserve">In this example, the WordprocessingML fragment specifies that pressing Control-7 (represented by KCM </w:t>
      </w:r>
      <w:r>
        <w:rPr>
          <w:rStyle w:val="InlineCode"/>
        </w:rPr>
        <w:t>0237</w:t>
      </w:r>
      <w:r>
        <w:t xml:space="preserve">) shall insert the Euro currency symbol (€, represented by the hexadecimal-encoded 4-byte Unicode of </w:t>
      </w:r>
      <w:r>
        <w:rPr>
          <w:rStyle w:val="InlineCode"/>
        </w:rPr>
        <w:t>000020AC</w:t>
      </w:r>
      <w:r>
        <w:t>). end example]</w:t>
      </w:r>
    </w:p>
    <w:tbl>
      <w:tblPr>
        <w:tblStyle w:val="Table-ShadedHeader"/>
        <w:tblW w:w="0" w:type="auto"/>
        <w:tblLook w:val="04A0" w:firstRow="1" w:lastRow="0" w:firstColumn="1" w:lastColumn="0" w:noHBand="0" w:noVBand="1"/>
      </w:tblPr>
      <w:tblGrid>
        <w:gridCol w:w="289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w:t>
            </w:r>
            <w:r>
              <w:t>ts</w:t>
            </w:r>
          </w:p>
        </w:tc>
      </w:tr>
      <w:tr w:rsidR="00024C0A" w:rsidTr="00024C0A">
        <w:tc>
          <w:tcPr>
            <w:tcW w:w="0" w:type="auto"/>
            <w:vAlign w:val="center"/>
          </w:tcPr>
          <w:p w:rsidR="00024C0A" w:rsidRDefault="00694C0F">
            <w:pPr>
              <w:pStyle w:val="TableBodyText"/>
            </w:pPr>
            <w:r>
              <w:rPr>
                <w:b/>
              </w:rPr>
              <w:t>keymap</w:t>
            </w:r>
            <w:r>
              <w:t xml:space="preserve"> (§</w:t>
            </w:r>
            <w:hyperlink w:anchor="Section_d44dbd45cbbb4efba0903a85141d00fc">
              <w:r>
                <w:rPr>
                  <w:rStyle w:val="Hyperlink"/>
                </w:rPr>
                <w:t>3.1.2.1.1.8, keymap</w:t>
              </w:r>
            </w:hyperlink>
            <w:r>
              <w: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1847"/>
        <w:gridCol w:w="7628"/>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Attributes</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val</w:t>
            </w:r>
            <w:r>
              <w:t xml:space="preserve"> (character to insert)</w:t>
            </w:r>
          </w:p>
        </w:tc>
        <w:tc>
          <w:tcPr>
            <w:tcW w:w="0" w:type="auto"/>
            <w:vAlign w:val="center"/>
          </w:tcPr>
          <w:p w:rsidR="00024C0A" w:rsidRDefault="00694C0F">
            <w:pPr>
              <w:pStyle w:val="TableBodyText"/>
            </w:pPr>
            <w:r>
              <w:t>This attribute specifies the hexadecimal encoded 4-byte Unicode character that should be inserted into the</w:t>
            </w:r>
            <w:r>
              <w:t xml:space="preserve"> document.</w:t>
            </w:r>
          </w:p>
          <w:p w:rsidR="00024C0A" w:rsidRDefault="00024C0A">
            <w:pPr>
              <w:pStyle w:val="TableBodyText"/>
            </w:pPr>
          </w:p>
          <w:p w:rsidR="00024C0A" w:rsidRDefault="00694C0F">
            <w:pPr>
              <w:pStyle w:val="TableBodyText"/>
            </w:pPr>
            <w:r>
              <w:t>The possible values for this attribute are defined by the ST_LongHexNumber simple type (§</w:t>
            </w:r>
            <w:hyperlink w:anchor="Section_3050d73125fe410bb51ffd10c3d03b78">
              <w:r>
                <w:rPr>
                  <w:rStyle w:val="Hyperlink"/>
                </w:rPr>
                <w:t>3.1.2.3.2, ST_LongHexNumber</w:t>
              </w:r>
            </w:hyperlink>
            <w:r>
              <w:t>).</w:t>
            </w:r>
          </w:p>
        </w:tc>
      </w:tr>
    </w:tbl>
    <w:p w:rsidR="00024C0A" w:rsidRDefault="00024C0A"/>
    <w:p w:rsidR="00024C0A" w:rsidRDefault="00694C0F">
      <w:r>
        <w:t xml:space="preserve">The following XML Schema fragment defines the contents of </w:t>
      </w:r>
      <w:r>
        <w:t>this element:</w:t>
      </w:r>
    </w:p>
    <w:p w:rsidR="00024C0A" w:rsidRDefault="00694C0F">
      <w:pPr>
        <w:pStyle w:val="Code"/>
      </w:pPr>
      <w:r>
        <w:t>&lt;complexType name="CT_LongHexNumber"&gt;</w:t>
      </w:r>
    </w:p>
    <w:p w:rsidR="00024C0A" w:rsidRDefault="00694C0F">
      <w:pPr>
        <w:pStyle w:val="Code"/>
      </w:pPr>
      <w:r>
        <w:t xml:space="preserve">  &lt;attribute name="val" type="ST_LongHexNumber" use="required"/&gt;</w:t>
      </w:r>
    </w:p>
    <w:p w:rsidR="00024C0A" w:rsidRDefault="00694C0F">
      <w:pPr>
        <w:pStyle w:val="Code"/>
      </w:pPr>
      <w:r>
        <w:t>&lt;/complexType&gt;</w:t>
      </w:r>
    </w:p>
    <w:p w:rsidR="00024C0A" w:rsidRDefault="00694C0F">
      <w:pPr>
        <w:pStyle w:val="Heading6"/>
      </w:pPr>
      <w:bookmarkStart w:id="3845" w:name="section_bba0329034324d19ba214baa0944d9de"/>
      <w:bookmarkStart w:id="3846" w:name="_Toc12261983"/>
      <w:r>
        <w:t>wll (WLL Macro Keyboard Customization Action)</w:t>
      </w:r>
      <w:bookmarkEnd w:id="3845"/>
      <w:bookmarkEnd w:id="3846"/>
      <w:r>
        <w:fldChar w:fldCharType="begin"/>
      </w:r>
      <w:r>
        <w:instrText xml:space="preserve"> XE "wll (WLL Macro Keyboard Customization Action)" </w:instrText>
      </w:r>
      <w:r>
        <w:fldChar w:fldCharType="end"/>
      </w:r>
    </w:p>
    <w:p w:rsidR="00024C0A" w:rsidRDefault="00694C0F">
      <w:r>
        <w:t>This element specifies t</w:t>
      </w:r>
      <w:r>
        <w:t>hat a macro defined in a WLL (a legacy Word DLL add-in) should be run by the enclosing key map.</w:t>
      </w:r>
    </w:p>
    <w:tbl>
      <w:tblPr>
        <w:tblStyle w:val="Table-ShadedHeader"/>
        <w:tblW w:w="0" w:type="auto"/>
        <w:tblLook w:val="04A0" w:firstRow="1" w:lastRow="0" w:firstColumn="1" w:lastColumn="0" w:noHBand="0" w:noVBand="1"/>
      </w:tblPr>
      <w:tblGrid>
        <w:gridCol w:w="289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keymap</w:t>
            </w:r>
            <w:r>
              <w:t xml:space="preserve"> (§</w:t>
            </w:r>
            <w:hyperlink w:anchor="Section_d44dbd45cbbb4efba0903a85141d00fc">
              <w:r>
                <w:rPr>
                  <w:rStyle w:val="Hyperlink"/>
                </w:rPr>
                <w:t>3.1.2.1.1.8, keymap</w:t>
              </w:r>
            </w:hyperlink>
            <w:r>
              <w: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2274"/>
        <w:gridCol w:w="720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Attributes</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macroName</w:t>
            </w:r>
            <w:r>
              <w:t xml:space="preserve"> (Macro name)</w:t>
            </w:r>
          </w:p>
        </w:tc>
        <w:tc>
          <w:tcPr>
            <w:tcW w:w="0" w:type="auto"/>
            <w:vAlign w:val="center"/>
          </w:tcPr>
          <w:p w:rsidR="00024C0A" w:rsidRDefault="00694C0F">
            <w:pPr>
              <w:pStyle w:val="TableBodyText"/>
            </w:pPr>
            <w:r>
              <w:t>Specifies the name of the macro to run.</w:t>
            </w:r>
          </w:p>
          <w:p w:rsidR="00024C0A" w:rsidRDefault="00024C0A">
            <w:pPr>
              <w:pStyle w:val="TableBodyText"/>
            </w:pPr>
          </w:p>
          <w:p w:rsidR="00024C0A" w:rsidRDefault="00694C0F">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024C0A" w:rsidRDefault="00024C0A"/>
    <w:p w:rsidR="00024C0A" w:rsidRDefault="00694C0F">
      <w:r>
        <w:t>The following XML Schema fragment defines the</w:t>
      </w:r>
      <w:r>
        <w:t xml:space="preserve"> contents of this element:</w:t>
      </w:r>
    </w:p>
    <w:p w:rsidR="00024C0A" w:rsidRDefault="00694C0F">
      <w:pPr>
        <w:pStyle w:val="Code"/>
      </w:pPr>
      <w:r>
        <w:t>&lt;complexType name="CT_MacroWll"&gt;</w:t>
      </w:r>
    </w:p>
    <w:p w:rsidR="00024C0A" w:rsidRDefault="00694C0F">
      <w:pPr>
        <w:pStyle w:val="Code"/>
      </w:pPr>
      <w:r>
        <w:t xml:space="preserve">  &lt;attribute name="macroName" type="ST_String" use="required"/&gt;</w:t>
      </w:r>
    </w:p>
    <w:p w:rsidR="00024C0A" w:rsidRDefault="00694C0F">
      <w:pPr>
        <w:pStyle w:val="Code"/>
      </w:pPr>
      <w:r>
        <w:t>&lt;/complexType&gt;</w:t>
      </w:r>
    </w:p>
    <w:p w:rsidR="00024C0A" w:rsidRDefault="00694C0F">
      <w:pPr>
        <w:pStyle w:val="Heading5"/>
      </w:pPr>
      <w:bookmarkStart w:id="3847" w:name="section_1ecf33cf360145f089fb0ab824739343"/>
      <w:bookmarkStart w:id="3848" w:name="_Toc12261984"/>
      <w:r>
        <w:lastRenderedPageBreak/>
        <w:t>Fixed Commands</w:t>
      </w:r>
      <w:bookmarkEnd w:id="3847"/>
      <w:bookmarkEnd w:id="3848"/>
      <w:r>
        <w:fldChar w:fldCharType="begin"/>
      </w:r>
      <w:r>
        <w:instrText xml:space="preserve"> XE "Fixed Commands" </w:instrText>
      </w:r>
      <w:r>
        <w:fldChar w:fldCharType="end"/>
      </w:r>
    </w:p>
    <w:p w:rsidR="00024C0A" w:rsidRDefault="00694C0F">
      <w:r>
        <w:t>Commands can be identified either by a name or by an index.</w:t>
      </w:r>
    </w:p>
    <w:tbl>
      <w:tblPr>
        <w:tblStyle w:val="Table-ShadedHeader"/>
        <w:tblW w:w="0" w:type="auto"/>
        <w:tblLook w:val="04A0" w:firstRow="1" w:lastRow="0" w:firstColumn="1" w:lastColumn="0" w:noHBand="0" w:noVBand="1"/>
      </w:tblPr>
      <w:tblGrid>
        <w:gridCol w:w="3569"/>
        <w:gridCol w:w="2247"/>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Fixed Command Name</w:t>
            </w:r>
          </w:p>
        </w:tc>
        <w:tc>
          <w:tcPr>
            <w:tcW w:w="0" w:type="auto"/>
            <w:vAlign w:val="center"/>
          </w:tcPr>
          <w:p w:rsidR="00024C0A" w:rsidRDefault="00694C0F">
            <w:pPr>
              <w:pStyle w:val="TableHeaderText"/>
            </w:pPr>
            <w:r>
              <w:t>Fixed Command Index</w:t>
            </w:r>
          </w:p>
        </w:tc>
      </w:tr>
      <w:tr w:rsidR="00024C0A" w:rsidTr="00024C0A">
        <w:tc>
          <w:tcPr>
            <w:tcW w:w="0" w:type="auto"/>
            <w:vAlign w:val="center"/>
          </w:tcPr>
          <w:p w:rsidR="00024C0A" w:rsidRDefault="00694C0F">
            <w:pPr>
              <w:pStyle w:val="TableBodyText"/>
            </w:pPr>
            <w:r>
              <w:t>AcceptAllChangesInDoc</w:t>
            </w:r>
          </w:p>
        </w:tc>
        <w:tc>
          <w:tcPr>
            <w:tcW w:w="0" w:type="auto"/>
            <w:vAlign w:val="center"/>
          </w:tcPr>
          <w:p w:rsidR="00024C0A" w:rsidRDefault="00694C0F">
            <w:pPr>
              <w:pStyle w:val="TableBodyText"/>
            </w:pPr>
            <w:r>
              <w:t>0511</w:t>
            </w:r>
          </w:p>
        </w:tc>
      </w:tr>
      <w:tr w:rsidR="00024C0A" w:rsidTr="00024C0A">
        <w:tc>
          <w:tcPr>
            <w:tcW w:w="0" w:type="auto"/>
            <w:vAlign w:val="center"/>
          </w:tcPr>
          <w:p w:rsidR="00024C0A" w:rsidRDefault="00694C0F">
            <w:pPr>
              <w:pStyle w:val="TableBodyText"/>
            </w:pPr>
            <w:r>
              <w:t>AcceptAllChangesShown</w:t>
            </w:r>
          </w:p>
        </w:tc>
        <w:tc>
          <w:tcPr>
            <w:tcW w:w="0" w:type="auto"/>
            <w:vAlign w:val="center"/>
          </w:tcPr>
          <w:p w:rsidR="00024C0A" w:rsidRDefault="00694C0F">
            <w:pPr>
              <w:pStyle w:val="TableBodyText"/>
            </w:pPr>
            <w:r>
              <w:t>0510</w:t>
            </w:r>
          </w:p>
        </w:tc>
      </w:tr>
      <w:tr w:rsidR="00024C0A" w:rsidTr="00024C0A">
        <w:tc>
          <w:tcPr>
            <w:tcW w:w="0" w:type="auto"/>
            <w:vAlign w:val="center"/>
          </w:tcPr>
          <w:p w:rsidR="00024C0A" w:rsidRDefault="00694C0F">
            <w:pPr>
              <w:pStyle w:val="TableBodyText"/>
            </w:pPr>
            <w:r>
              <w:t>AcceptChangesAndAdvance</w:t>
            </w:r>
          </w:p>
        </w:tc>
        <w:tc>
          <w:tcPr>
            <w:tcW w:w="0" w:type="auto"/>
            <w:vAlign w:val="center"/>
          </w:tcPr>
          <w:p w:rsidR="00024C0A" w:rsidRDefault="00694C0F">
            <w:pPr>
              <w:pStyle w:val="TableBodyText"/>
            </w:pPr>
            <w:r>
              <w:t>0837</w:t>
            </w:r>
          </w:p>
        </w:tc>
      </w:tr>
      <w:tr w:rsidR="00024C0A" w:rsidTr="00024C0A">
        <w:tc>
          <w:tcPr>
            <w:tcW w:w="0" w:type="auto"/>
            <w:vAlign w:val="center"/>
          </w:tcPr>
          <w:p w:rsidR="00024C0A" w:rsidRDefault="00694C0F">
            <w:pPr>
              <w:pStyle w:val="TableBodyText"/>
            </w:pPr>
            <w:r>
              <w:t>AcceptChangesOrAdvance</w:t>
            </w:r>
          </w:p>
        </w:tc>
        <w:tc>
          <w:tcPr>
            <w:tcW w:w="0" w:type="auto"/>
            <w:vAlign w:val="center"/>
          </w:tcPr>
          <w:p w:rsidR="00024C0A" w:rsidRDefault="00694C0F">
            <w:pPr>
              <w:pStyle w:val="TableBodyText"/>
            </w:pPr>
            <w:r>
              <w:t>0989</w:t>
            </w:r>
          </w:p>
        </w:tc>
      </w:tr>
      <w:tr w:rsidR="00024C0A" w:rsidTr="00024C0A">
        <w:tc>
          <w:tcPr>
            <w:tcW w:w="0" w:type="auto"/>
            <w:vAlign w:val="center"/>
          </w:tcPr>
          <w:p w:rsidR="00024C0A" w:rsidRDefault="00694C0F">
            <w:pPr>
              <w:pStyle w:val="TableBodyText"/>
            </w:pPr>
            <w:r>
              <w:t>AcceptChangesSelected</w:t>
            </w:r>
          </w:p>
        </w:tc>
        <w:tc>
          <w:tcPr>
            <w:tcW w:w="0" w:type="auto"/>
            <w:vAlign w:val="center"/>
          </w:tcPr>
          <w:p w:rsidR="00024C0A" w:rsidRDefault="00694C0F">
            <w:pPr>
              <w:pStyle w:val="TableBodyText"/>
            </w:pPr>
            <w:r>
              <w:t>050F</w:t>
            </w:r>
          </w:p>
        </w:tc>
      </w:tr>
      <w:tr w:rsidR="00024C0A" w:rsidTr="00024C0A">
        <w:tc>
          <w:tcPr>
            <w:tcW w:w="0" w:type="auto"/>
            <w:vAlign w:val="center"/>
          </w:tcPr>
          <w:p w:rsidR="00024C0A" w:rsidRDefault="00694C0F">
            <w:pPr>
              <w:pStyle w:val="TableBodyText"/>
            </w:pPr>
            <w:r>
              <w:t>ActivateObject</w:t>
            </w:r>
          </w:p>
        </w:tc>
        <w:tc>
          <w:tcPr>
            <w:tcW w:w="0" w:type="auto"/>
            <w:vAlign w:val="center"/>
          </w:tcPr>
          <w:p w:rsidR="00024C0A" w:rsidRDefault="00694C0F">
            <w:pPr>
              <w:pStyle w:val="TableBodyText"/>
            </w:pPr>
            <w:r>
              <w:t>007E</w:t>
            </w:r>
          </w:p>
        </w:tc>
      </w:tr>
      <w:tr w:rsidR="00024C0A" w:rsidTr="00024C0A">
        <w:tc>
          <w:tcPr>
            <w:tcW w:w="0" w:type="auto"/>
            <w:vAlign w:val="center"/>
          </w:tcPr>
          <w:p w:rsidR="00024C0A" w:rsidRDefault="00694C0F">
            <w:pPr>
              <w:pStyle w:val="TableBodyText"/>
            </w:pPr>
            <w:r>
              <w:t>AddDigitalSignature</w:t>
            </w:r>
          </w:p>
        </w:tc>
        <w:tc>
          <w:tcPr>
            <w:tcW w:w="0" w:type="auto"/>
            <w:vAlign w:val="center"/>
          </w:tcPr>
          <w:p w:rsidR="00024C0A" w:rsidRDefault="00694C0F">
            <w:pPr>
              <w:pStyle w:val="TableBodyText"/>
            </w:pPr>
            <w:r>
              <w:t>0845</w:t>
            </w:r>
          </w:p>
        </w:tc>
      </w:tr>
      <w:tr w:rsidR="00024C0A" w:rsidTr="00024C0A">
        <w:tc>
          <w:tcPr>
            <w:tcW w:w="0" w:type="auto"/>
            <w:vAlign w:val="center"/>
          </w:tcPr>
          <w:p w:rsidR="00024C0A" w:rsidRDefault="00694C0F">
            <w:pPr>
              <w:pStyle w:val="TableBodyText"/>
            </w:pPr>
            <w:r>
              <w:t>AddToContacts</w:t>
            </w:r>
          </w:p>
        </w:tc>
        <w:tc>
          <w:tcPr>
            <w:tcW w:w="0" w:type="auto"/>
            <w:vAlign w:val="center"/>
          </w:tcPr>
          <w:p w:rsidR="00024C0A" w:rsidRDefault="00694C0F">
            <w:pPr>
              <w:pStyle w:val="TableBodyText"/>
            </w:pPr>
            <w:r>
              <w:t>087C</w:t>
            </w:r>
          </w:p>
        </w:tc>
      </w:tr>
      <w:tr w:rsidR="00024C0A" w:rsidTr="00024C0A">
        <w:tc>
          <w:tcPr>
            <w:tcW w:w="0" w:type="auto"/>
            <w:vAlign w:val="center"/>
          </w:tcPr>
          <w:p w:rsidR="00024C0A" w:rsidRDefault="00694C0F">
            <w:pPr>
              <w:pStyle w:val="TableBodyText"/>
            </w:pPr>
            <w:r>
              <w:t>AdjustListIndents</w:t>
            </w:r>
          </w:p>
        </w:tc>
        <w:tc>
          <w:tcPr>
            <w:tcW w:w="0" w:type="auto"/>
            <w:vAlign w:val="center"/>
          </w:tcPr>
          <w:p w:rsidR="00024C0A" w:rsidRDefault="00694C0F">
            <w:pPr>
              <w:pStyle w:val="TableBodyText"/>
            </w:pPr>
            <w:r>
              <w:t>0778</w:t>
            </w:r>
          </w:p>
        </w:tc>
      </w:tr>
      <w:tr w:rsidR="00024C0A" w:rsidTr="00024C0A">
        <w:tc>
          <w:tcPr>
            <w:tcW w:w="0" w:type="auto"/>
            <w:vAlign w:val="center"/>
          </w:tcPr>
          <w:p w:rsidR="00024C0A" w:rsidRDefault="00694C0F">
            <w:pPr>
              <w:pStyle w:val="TableBodyText"/>
            </w:pPr>
            <w:r>
              <w:t>AdvancedBrightnessContrast</w:t>
            </w:r>
          </w:p>
        </w:tc>
        <w:tc>
          <w:tcPr>
            <w:tcW w:w="0" w:type="auto"/>
            <w:vAlign w:val="center"/>
          </w:tcPr>
          <w:p w:rsidR="00024C0A" w:rsidRDefault="00694C0F">
            <w:pPr>
              <w:pStyle w:val="TableBodyText"/>
            </w:pPr>
            <w:r>
              <w:t>08C5</w:t>
            </w:r>
          </w:p>
        </w:tc>
      </w:tr>
      <w:tr w:rsidR="00024C0A" w:rsidTr="00024C0A">
        <w:tc>
          <w:tcPr>
            <w:tcW w:w="0" w:type="auto"/>
            <w:vAlign w:val="center"/>
          </w:tcPr>
          <w:p w:rsidR="00024C0A" w:rsidRDefault="00694C0F">
            <w:pPr>
              <w:pStyle w:val="TableBodyText"/>
            </w:pPr>
            <w:r>
              <w:t>AdvertisePublishAs</w:t>
            </w:r>
          </w:p>
        </w:tc>
        <w:tc>
          <w:tcPr>
            <w:tcW w:w="0" w:type="auto"/>
            <w:vAlign w:val="center"/>
          </w:tcPr>
          <w:p w:rsidR="00024C0A" w:rsidRDefault="00694C0F">
            <w:pPr>
              <w:pStyle w:val="TableBodyText"/>
            </w:pPr>
            <w:r>
              <w:t>0790</w:t>
            </w:r>
          </w:p>
        </w:tc>
      </w:tr>
      <w:tr w:rsidR="00024C0A" w:rsidTr="00024C0A">
        <w:tc>
          <w:tcPr>
            <w:tcW w:w="0" w:type="auto"/>
            <w:vAlign w:val="center"/>
          </w:tcPr>
          <w:p w:rsidR="00024C0A" w:rsidRDefault="00694C0F">
            <w:pPr>
              <w:pStyle w:val="TableBodyText"/>
            </w:pPr>
            <w:r>
              <w:t>AlignBottom</w:t>
            </w:r>
          </w:p>
        </w:tc>
        <w:tc>
          <w:tcPr>
            <w:tcW w:w="0" w:type="auto"/>
            <w:vAlign w:val="center"/>
          </w:tcPr>
          <w:p w:rsidR="00024C0A" w:rsidRDefault="00694C0F">
            <w:pPr>
              <w:pStyle w:val="TableBodyText"/>
            </w:pPr>
            <w:r>
              <w:t>1BE2</w:t>
            </w:r>
          </w:p>
        </w:tc>
      </w:tr>
      <w:tr w:rsidR="00024C0A" w:rsidTr="00024C0A">
        <w:tc>
          <w:tcPr>
            <w:tcW w:w="0" w:type="auto"/>
            <w:vAlign w:val="center"/>
          </w:tcPr>
          <w:p w:rsidR="00024C0A" w:rsidRDefault="00694C0F">
            <w:pPr>
              <w:pStyle w:val="TableBodyText"/>
            </w:pPr>
            <w:r>
              <w:t>AlignCenterHorizontal</w:t>
            </w:r>
          </w:p>
        </w:tc>
        <w:tc>
          <w:tcPr>
            <w:tcW w:w="0" w:type="auto"/>
            <w:vAlign w:val="center"/>
          </w:tcPr>
          <w:p w:rsidR="00024C0A" w:rsidRDefault="00694C0F">
            <w:pPr>
              <w:pStyle w:val="TableBodyText"/>
            </w:pPr>
            <w:r>
              <w:t>1BDE</w:t>
            </w:r>
          </w:p>
        </w:tc>
      </w:tr>
      <w:tr w:rsidR="00024C0A" w:rsidTr="00024C0A">
        <w:tc>
          <w:tcPr>
            <w:tcW w:w="0" w:type="auto"/>
            <w:vAlign w:val="center"/>
          </w:tcPr>
          <w:p w:rsidR="00024C0A" w:rsidRDefault="00694C0F">
            <w:pPr>
              <w:pStyle w:val="TableBodyText"/>
            </w:pPr>
            <w:r>
              <w:t>AlignCenterVertical</w:t>
            </w:r>
          </w:p>
        </w:tc>
        <w:tc>
          <w:tcPr>
            <w:tcW w:w="0" w:type="auto"/>
            <w:vAlign w:val="center"/>
          </w:tcPr>
          <w:p w:rsidR="00024C0A" w:rsidRDefault="00694C0F">
            <w:pPr>
              <w:pStyle w:val="TableBodyText"/>
            </w:pPr>
            <w:r>
              <w:t>1BE1</w:t>
            </w:r>
          </w:p>
        </w:tc>
      </w:tr>
      <w:tr w:rsidR="00024C0A" w:rsidTr="00024C0A">
        <w:tc>
          <w:tcPr>
            <w:tcW w:w="0" w:type="auto"/>
            <w:vAlign w:val="center"/>
          </w:tcPr>
          <w:p w:rsidR="00024C0A" w:rsidRDefault="00694C0F">
            <w:pPr>
              <w:pStyle w:val="TableBodyText"/>
            </w:pPr>
            <w:r>
              <w:t>AlignLeft</w:t>
            </w:r>
          </w:p>
        </w:tc>
        <w:tc>
          <w:tcPr>
            <w:tcW w:w="0" w:type="auto"/>
            <w:vAlign w:val="center"/>
          </w:tcPr>
          <w:p w:rsidR="00024C0A" w:rsidRDefault="00694C0F">
            <w:pPr>
              <w:pStyle w:val="TableBodyText"/>
            </w:pPr>
            <w:r>
              <w:t>1BDD</w:t>
            </w:r>
          </w:p>
        </w:tc>
      </w:tr>
      <w:tr w:rsidR="00024C0A" w:rsidTr="00024C0A">
        <w:tc>
          <w:tcPr>
            <w:tcW w:w="0" w:type="auto"/>
            <w:vAlign w:val="center"/>
          </w:tcPr>
          <w:p w:rsidR="00024C0A" w:rsidRDefault="00694C0F">
            <w:pPr>
              <w:pStyle w:val="TableBodyText"/>
            </w:pPr>
            <w:r>
              <w:t>AlignRight</w:t>
            </w:r>
          </w:p>
        </w:tc>
        <w:tc>
          <w:tcPr>
            <w:tcW w:w="0" w:type="auto"/>
            <w:vAlign w:val="center"/>
          </w:tcPr>
          <w:p w:rsidR="00024C0A" w:rsidRDefault="00694C0F">
            <w:pPr>
              <w:pStyle w:val="TableBodyText"/>
            </w:pPr>
            <w:r>
              <w:t>1BDF</w:t>
            </w:r>
          </w:p>
        </w:tc>
      </w:tr>
      <w:tr w:rsidR="00024C0A" w:rsidTr="00024C0A">
        <w:tc>
          <w:tcPr>
            <w:tcW w:w="0" w:type="auto"/>
            <w:vAlign w:val="center"/>
          </w:tcPr>
          <w:p w:rsidR="00024C0A" w:rsidRDefault="00694C0F">
            <w:pPr>
              <w:pStyle w:val="TableBodyText"/>
            </w:pPr>
            <w:r>
              <w:t>AlignTop</w:t>
            </w:r>
          </w:p>
        </w:tc>
        <w:tc>
          <w:tcPr>
            <w:tcW w:w="0" w:type="auto"/>
            <w:vAlign w:val="center"/>
          </w:tcPr>
          <w:p w:rsidR="00024C0A" w:rsidRDefault="00694C0F">
            <w:pPr>
              <w:pStyle w:val="TableBodyText"/>
            </w:pPr>
            <w:r>
              <w:t>1BE0</w:t>
            </w:r>
          </w:p>
        </w:tc>
      </w:tr>
      <w:tr w:rsidR="00024C0A" w:rsidTr="00024C0A">
        <w:tc>
          <w:tcPr>
            <w:tcW w:w="0" w:type="auto"/>
            <w:vAlign w:val="center"/>
          </w:tcPr>
          <w:p w:rsidR="00024C0A" w:rsidRDefault="00694C0F">
            <w:pPr>
              <w:pStyle w:val="TableBodyText"/>
            </w:pPr>
            <w:r>
              <w:t>AllCaps</w:t>
            </w:r>
          </w:p>
        </w:tc>
        <w:tc>
          <w:tcPr>
            <w:tcW w:w="0" w:type="auto"/>
            <w:vAlign w:val="center"/>
          </w:tcPr>
          <w:p w:rsidR="00024C0A" w:rsidRDefault="00694C0F">
            <w:pPr>
              <w:pStyle w:val="TableBodyText"/>
            </w:pPr>
            <w:r>
              <w:t>0030</w:t>
            </w:r>
          </w:p>
        </w:tc>
      </w:tr>
      <w:tr w:rsidR="00024C0A" w:rsidTr="00024C0A">
        <w:tc>
          <w:tcPr>
            <w:tcW w:w="0" w:type="auto"/>
            <w:vAlign w:val="center"/>
          </w:tcPr>
          <w:p w:rsidR="00024C0A" w:rsidRDefault="00694C0F">
            <w:pPr>
              <w:pStyle w:val="TableBodyText"/>
            </w:pPr>
            <w:r>
              <w:t>AllShapesGallery</w:t>
            </w:r>
          </w:p>
        </w:tc>
        <w:tc>
          <w:tcPr>
            <w:tcW w:w="0" w:type="auto"/>
            <w:vAlign w:val="center"/>
          </w:tcPr>
          <w:p w:rsidR="00024C0A" w:rsidRDefault="00694C0F">
            <w:pPr>
              <w:pStyle w:val="TableBodyText"/>
            </w:pPr>
            <w:r>
              <w:t>07B4</w:t>
            </w:r>
          </w:p>
        </w:tc>
      </w:tr>
      <w:tr w:rsidR="00024C0A" w:rsidTr="00024C0A">
        <w:tc>
          <w:tcPr>
            <w:tcW w:w="0" w:type="auto"/>
            <w:vAlign w:val="center"/>
          </w:tcPr>
          <w:p w:rsidR="00024C0A" w:rsidRDefault="00694C0F">
            <w:pPr>
              <w:pStyle w:val="TableBodyText"/>
            </w:pPr>
            <w:r>
              <w:t>AnnotInkEraser</w:t>
            </w:r>
          </w:p>
        </w:tc>
        <w:tc>
          <w:tcPr>
            <w:tcW w:w="0" w:type="auto"/>
            <w:vAlign w:val="center"/>
          </w:tcPr>
          <w:p w:rsidR="00024C0A" w:rsidRDefault="00694C0F">
            <w:pPr>
              <w:pStyle w:val="TableBodyText"/>
            </w:pPr>
            <w:r>
              <w:t>05C1</w:t>
            </w:r>
          </w:p>
        </w:tc>
      </w:tr>
      <w:tr w:rsidR="00024C0A" w:rsidTr="00024C0A">
        <w:tc>
          <w:tcPr>
            <w:tcW w:w="0" w:type="auto"/>
            <w:vAlign w:val="center"/>
          </w:tcPr>
          <w:p w:rsidR="00024C0A" w:rsidRDefault="00694C0F">
            <w:pPr>
              <w:pStyle w:val="TableBodyText"/>
            </w:pPr>
            <w:r>
              <w:t>AnnotInkPen</w:t>
            </w:r>
          </w:p>
        </w:tc>
        <w:tc>
          <w:tcPr>
            <w:tcW w:w="0" w:type="auto"/>
            <w:vAlign w:val="center"/>
          </w:tcPr>
          <w:p w:rsidR="00024C0A" w:rsidRDefault="00694C0F">
            <w:pPr>
              <w:pStyle w:val="TableBodyText"/>
            </w:pPr>
            <w:r>
              <w:t>05C0</w:t>
            </w:r>
          </w:p>
        </w:tc>
      </w:tr>
      <w:tr w:rsidR="00024C0A" w:rsidTr="00024C0A">
        <w:tc>
          <w:tcPr>
            <w:tcW w:w="0" w:type="auto"/>
            <w:vAlign w:val="center"/>
          </w:tcPr>
          <w:p w:rsidR="00024C0A" w:rsidRDefault="00694C0F">
            <w:pPr>
              <w:pStyle w:val="TableBodyText"/>
            </w:pPr>
            <w:r>
              <w:t>AnnotationEdit</w:t>
            </w:r>
          </w:p>
        </w:tc>
        <w:tc>
          <w:tcPr>
            <w:tcW w:w="0" w:type="auto"/>
            <w:vAlign w:val="center"/>
          </w:tcPr>
          <w:p w:rsidR="00024C0A" w:rsidRDefault="00694C0F">
            <w:pPr>
              <w:pStyle w:val="TableBodyText"/>
            </w:pPr>
            <w:r>
              <w:t>0535</w:t>
            </w:r>
          </w:p>
        </w:tc>
      </w:tr>
      <w:tr w:rsidR="00024C0A" w:rsidTr="00024C0A">
        <w:tc>
          <w:tcPr>
            <w:tcW w:w="0" w:type="auto"/>
            <w:vAlign w:val="center"/>
          </w:tcPr>
          <w:p w:rsidR="00024C0A" w:rsidRDefault="00694C0F">
            <w:pPr>
              <w:pStyle w:val="TableBodyText"/>
            </w:pPr>
            <w:r>
              <w:t>AppMaximize</w:t>
            </w:r>
          </w:p>
        </w:tc>
        <w:tc>
          <w:tcPr>
            <w:tcW w:w="0" w:type="auto"/>
            <w:vAlign w:val="center"/>
          </w:tcPr>
          <w:p w:rsidR="00024C0A" w:rsidRDefault="00694C0F">
            <w:pPr>
              <w:pStyle w:val="TableBodyText"/>
            </w:pPr>
            <w:r>
              <w:t>0118</w:t>
            </w:r>
          </w:p>
        </w:tc>
      </w:tr>
      <w:tr w:rsidR="00024C0A" w:rsidTr="00024C0A">
        <w:tc>
          <w:tcPr>
            <w:tcW w:w="0" w:type="auto"/>
            <w:vAlign w:val="center"/>
          </w:tcPr>
          <w:p w:rsidR="00024C0A" w:rsidRDefault="00694C0F">
            <w:pPr>
              <w:pStyle w:val="TableBodyText"/>
            </w:pPr>
            <w:r>
              <w:t>AppMinimize</w:t>
            </w:r>
          </w:p>
        </w:tc>
        <w:tc>
          <w:tcPr>
            <w:tcW w:w="0" w:type="auto"/>
            <w:vAlign w:val="center"/>
          </w:tcPr>
          <w:p w:rsidR="00024C0A" w:rsidRDefault="00694C0F">
            <w:pPr>
              <w:pStyle w:val="TableBodyText"/>
            </w:pPr>
            <w:r>
              <w:t>0117</w:t>
            </w:r>
          </w:p>
        </w:tc>
      </w:tr>
      <w:tr w:rsidR="00024C0A" w:rsidTr="00024C0A">
        <w:tc>
          <w:tcPr>
            <w:tcW w:w="0" w:type="auto"/>
            <w:vAlign w:val="center"/>
          </w:tcPr>
          <w:p w:rsidR="00024C0A" w:rsidRDefault="00694C0F">
            <w:pPr>
              <w:pStyle w:val="TableBodyText"/>
            </w:pPr>
            <w:r>
              <w:t>AppMove</w:t>
            </w:r>
          </w:p>
        </w:tc>
        <w:tc>
          <w:tcPr>
            <w:tcW w:w="0" w:type="auto"/>
            <w:vAlign w:val="center"/>
          </w:tcPr>
          <w:p w:rsidR="00024C0A" w:rsidRDefault="00694C0F">
            <w:pPr>
              <w:pStyle w:val="TableBodyText"/>
            </w:pPr>
            <w:r>
              <w:t>01A2</w:t>
            </w:r>
          </w:p>
        </w:tc>
      </w:tr>
      <w:tr w:rsidR="00024C0A" w:rsidTr="00024C0A">
        <w:tc>
          <w:tcPr>
            <w:tcW w:w="0" w:type="auto"/>
            <w:vAlign w:val="center"/>
          </w:tcPr>
          <w:p w:rsidR="00024C0A" w:rsidRDefault="00694C0F">
            <w:pPr>
              <w:pStyle w:val="TableBodyText"/>
            </w:pPr>
            <w:r>
              <w:t>AppRestore</w:t>
            </w:r>
          </w:p>
        </w:tc>
        <w:tc>
          <w:tcPr>
            <w:tcW w:w="0" w:type="auto"/>
            <w:vAlign w:val="center"/>
          </w:tcPr>
          <w:p w:rsidR="00024C0A" w:rsidRDefault="00694C0F">
            <w:pPr>
              <w:pStyle w:val="TableBodyText"/>
            </w:pPr>
            <w:r>
              <w:t>0119</w:t>
            </w:r>
          </w:p>
        </w:tc>
      </w:tr>
      <w:tr w:rsidR="00024C0A" w:rsidTr="00024C0A">
        <w:tc>
          <w:tcPr>
            <w:tcW w:w="0" w:type="auto"/>
            <w:vAlign w:val="center"/>
          </w:tcPr>
          <w:p w:rsidR="00024C0A" w:rsidRDefault="00694C0F">
            <w:pPr>
              <w:pStyle w:val="TableBodyText"/>
            </w:pPr>
            <w:r>
              <w:t>AppSize</w:t>
            </w:r>
          </w:p>
        </w:tc>
        <w:tc>
          <w:tcPr>
            <w:tcW w:w="0" w:type="auto"/>
            <w:vAlign w:val="center"/>
          </w:tcPr>
          <w:p w:rsidR="00024C0A" w:rsidRDefault="00694C0F">
            <w:pPr>
              <w:pStyle w:val="TableBodyText"/>
            </w:pPr>
            <w:r>
              <w:t>01A3</w:t>
            </w:r>
          </w:p>
        </w:tc>
      </w:tr>
      <w:tr w:rsidR="00024C0A" w:rsidTr="00024C0A">
        <w:tc>
          <w:tcPr>
            <w:tcW w:w="0" w:type="auto"/>
            <w:vAlign w:val="center"/>
          </w:tcPr>
          <w:p w:rsidR="00024C0A" w:rsidRDefault="00694C0F">
            <w:pPr>
              <w:pStyle w:val="TableBodyText"/>
            </w:pPr>
            <w:r>
              <w:t>ApplyFormattingOfOriginal</w:t>
            </w:r>
          </w:p>
        </w:tc>
        <w:tc>
          <w:tcPr>
            <w:tcW w:w="0" w:type="auto"/>
            <w:vAlign w:val="center"/>
          </w:tcPr>
          <w:p w:rsidR="00024C0A" w:rsidRDefault="00694C0F">
            <w:pPr>
              <w:pStyle w:val="TableBodyText"/>
            </w:pPr>
            <w:r>
              <w:t>052A</w:t>
            </w:r>
          </w:p>
        </w:tc>
      </w:tr>
      <w:tr w:rsidR="00024C0A" w:rsidTr="00024C0A">
        <w:tc>
          <w:tcPr>
            <w:tcW w:w="0" w:type="auto"/>
            <w:vAlign w:val="center"/>
          </w:tcPr>
          <w:p w:rsidR="00024C0A" w:rsidRDefault="00694C0F">
            <w:pPr>
              <w:pStyle w:val="TableBodyText"/>
            </w:pPr>
            <w:r>
              <w:t>ApplyFormattingOfSurrounding</w:t>
            </w:r>
          </w:p>
        </w:tc>
        <w:tc>
          <w:tcPr>
            <w:tcW w:w="0" w:type="auto"/>
            <w:vAlign w:val="center"/>
          </w:tcPr>
          <w:p w:rsidR="00024C0A" w:rsidRDefault="00694C0F">
            <w:pPr>
              <w:pStyle w:val="TableBodyText"/>
            </w:pPr>
            <w:r>
              <w:t>0529</w:t>
            </w:r>
          </w:p>
        </w:tc>
      </w:tr>
      <w:tr w:rsidR="00024C0A" w:rsidTr="00024C0A">
        <w:tc>
          <w:tcPr>
            <w:tcW w:w="0" w:type="auto"/>
            <w:vAlign w:val="center"/>
          </w:tcPr>
          <w:p w:rsidR="00024C0A" w:rsidRDefault="00694C0F">
            <w:pPr>
              <w:pStyle w:val="TableBodyText"/>
            </w:pPr>
            <w:r>
              <w:t>ApplyHeading1</w:t>
            </w:r>
          </w:p>
        </w:tc>
        <w:tc>
          <w:tcPr>
            <w:tcW w:w="0" w:type="auto"/>
            <w:vAlign w:val="center"/>
          </w:tcPr>
          <w:p w:rsidR="00024C0A" w:rsidRDefault="00694C0F">
            <w:pPr>
              <w:pStyle w:val="TableBodyText"/>
            </w:pPr>
            <w:r>
              <w:t>0251</w:t>
            </w:r>
          </w:p>
        </w:tc>
      </w:tr>
      <w:tr w:rsidR="00024C0A" w:rsidTr="00024C0A">
        <w:tc>
          <w:tcPr>
            <w:tcW w:w="0" w:type="auto"/>
            <w:vAlign w:val="center"/>
          </w:tcPr>
          <w:p w:rsidR="00024C0A" w:rsidRDefault="00694C0F">
            <w:pPr>
              <w:pStyle w:val="TableBodyText"/>
            </w:pPr>
            <w:r>
              <w:lastRenderedPageBreak/>
              <w:t>ApplyHeading2</w:t>
            </w:r>
          </w:p>
        </w:tc>
        <w:tc>
          <w:tcPr>
            <w:tcW w:w="0" w:type="auto"/>
            <w:vAlign w:val="center"/>
          </w:tcPr>
          <w:p w:rsidR="00024C0A" w:rsidRDefault="00694C0F">
            <w:pPr>
              <w:pStyle w:val="TableBodyText"/>
            </w:pPr>
            <w:r>
              <w:t>0252</w:t>
            </w:r>
          </w:p>
        </w:tc>
      </w:tr>
      <w:tr w:rsidR="00024C0A" w:rsidTr="00024C0A">
        <w:tc>
          <w:tcPr>
            <w:tcW w:w="0" w:type="auto"/>
            <w:vAlign w:val="center"/>
          </w:tcPr>
          <w:p w:rsidR="00024C0A" w:rsidRDefault="00694C0F">
            <w:pPr>
              <w:pStyle w:val="TableBodyText"/>
            </w:pPr>
            <w:r>
              <w:t>ApplyHeading3</w:t>
            </w:r>
          </w:p>
        </w:tc>
        <w:tc>
          <w:tcPr>
            <w:tcW w:w="0" w:type="auto"/>
            <w:vAlign w:val="center"/>
          </w:tcPr>
          <w:p w:rsidR="00024C0A" w:rsidRDefault="00694C0F">
            <w:pPr>
              <w:pStyle w:val="TableBodyText"/>
            </w:pPr>
            <w:r>
              <w:t>0253</w:t>
            </w:r>
          </w:p>
        </w:tc>
      </w:tr>
      <w:tr w:rsidR="00024C0A" w:rsidTr="00024C0A">
        <w:tc>
          <w:tcPr>
            <w:tcW w:w="0" w:type="auto"/>
            <w:vAlign w:val="center"/>
          </w:tcPr>
          <w:p w:rsidR="00024C0A" w:rsidRDefault="00694C0F">
            <w:pPr>
              <w:pStyle w:val="TableBodyText"/>
            </w:pPr>
            <w:r>
              <w:t>ApplyListBullet</w:t>
            </w:r>
          </w:p>
        </w:tc>
        <w:tc>
          <w:tcPr>
            <w:tcW w:w="0" w:type="auto"/>
            <w:vAlign w:val="center"/>
          </w:tcPr>
          <w:p w:rsidR="00024C0A" w:rsidRDefault="00694C0F">
            <w:pPr>
              <w:pStyle w:val="TableBodyText"/>
            </w:pPr>
            <w:r>
              <w:t>0254</w:t>
            </w:r>
          </w:p>
        </w:tc>
      </w:tr>
      <w:tr w:rsidR="00024C0A" w:rsidTr="00024C0A">
        <w:tc>
          <w:tcPr>
            <w:tcW w:w="0" w:type="auto"/>
            <w:vAlign w:val="center"/>
          </w:tcPr>
          <w:p w:rsidR="00024C0A" w:rsidRDefault="00694C0F">
            <w:pPr>
              <w:pStyle w:val="TableBodyText"/>
            </w:pPr>
            <w:r>
              <w:t>ApplyQFSetInitial</w:t>
            </w:r>
          </w:p>
        </w:tc>
        <w:tc>
          <w:tcPr>
            <w:tcW w:w="0" w:type="auto"/>
            <w:vAlign w:val="center"/>
          </w:tcPr>
          <w:p w:rsidR="00024C0A" w:rsidRDefault="00694C0F">
            <w:pPr>
              <w:pStyle w:val="TableBodyText"/>
            </w:pPr>
            <w:r>
              <w:t>0935</w:t>
            </w:r>
          </w:p>
        </w:tc>
      </w:tr>
      <w:tr w:rsidR="00024C0A" w:rsidTr="00024C0A">
        <w:tc>
          <w:tcPr>
            <w:tcW w:w="0" w:type="auto"/>
            <w:vAlign w:val="center"/>
          </w:tcPr>
          <w:p w:rsidR="00024C0A" w:rsidRDefault="00694C0F">
            <w:pPr>
              <w:pStyle w:val="TableBodyText"/>
            </w:pPr>
            <w:r>
              <w:t>ApplyQFSetTemplate</w:t>
            </w:r>
          </w:p>
        </w:tc>
        <w:tc>
          <w:tcPr>
            <w:tcW w:w="0" w:type="auto"/>
            <w:vAlign w:val="center"/>
          </w:tcPr>
          <w:p w:rsidR="00024C0A" w:rsidRDefault="00694C0F">
            <w:pPr>
              <w:pStyle w:val="TableBodyText"/>
            </w:pPr>
            <w:r>
              <w:t>0936</w:t>
            </w:r>
          </w:p>
        </w:tc>
      </w:tr>
      <w:tr w:rsidR="00024C0A" w:rsidTr="00024C0A">
        <w:tc>
          <w:tcPr>
            <w:tcW w:w="0" w:type="auto"/>
            <w:vAlign w:val="center"/>
          </w:tcPr>
          <w:p w:rsidR="00024C0A" w:rsidRDefault="00694C0F">
            <w:pPr>
              <w:pStyle w:val="TableBodyText"/>
            </w:pPr>
            <w:r>
              <w:t>ApplyQuickFormat</w:t>
            </w:r>
          </w:p>
        </w:tc>
        <w:tc>
          <w:tcPr>
            <w:tcW w:w="0" w:type="auto"/>
            <w:vAlign w:val="center"/>
          </w:tcPr>
          <w:p w:rsidR="00024C0A" w:rsidRDefault="00694C0F">
            <w:pPr>
              <w:pStyle w:val="TableBodyText"/>
            </w:pPr>
            <w:r>
              <w:t>0887</w:t>
            </w:r>
          </w:p>
        </w:tc>
      </w:tr>
      <w:tr w:rsidR="00024C0A" w:rsidTr="00024C0A">
        <w:tc>
          <w:tcPr>
            <w:tcW w:w="0" w:type="auto"/>
            <w:vAlign w:val="center"/>
          </w:tcPr>
          <w:p w:rsidR="00024C0A" w:rsidRDefault="00694C0F">
            <w:pPr>
              <w:pStyle w:val="TableBodyText"/>
            </w:pPr>
            <w:r>
              <w:t>ApplyQuickStyleSet</w:t>
            </w:r>
          </w:p>
        </w:tc>
        <w:tc>
          <w:tcPr>
            <w:tcW w:w="0" w:type="auto"/>
            <w:vAlign w:val="center"/>
          </w:tcPr>
          <w:p w:rsidR="00024C0A" w:rsidRDefault="00694C0F">
            <w:pPr>
              <w:pStyle w:val="TableBodyText"/>
            </w:pPr>
            <w:r>
              <w:t>0888</w:t>
            </w:r>
          </w:p>
        </w:tc>
      </w:tr>
      <w:tr w:rsidR="00024C0A" w:rsidTr="00024C0A">
        <w:tc>
          <w:tcPr>
            <w:tcW w:w="0" w:type="auto"/>
            <w:vAlign w:val="center"/>
          </w:tcPr>
          <w:p w:rsidR="00024C0A" w:rsidRDefault="00694C0F">
            <w:pPr>
              <w:pStyle w:val="TableBodyText"/>
            </w:pPr>
            <w:r>
              <w:t>ApplyStructure</w:t>
            </w:r>
          </w:p>
        </w:tc>
        <w:tc>
          <w:tcPr>
            <w:tcW w:w="0" w:type="auto"/>
            <w:vAlign w:val="center"/>
          </w:tcPr>
          <w:p w:rsidR="00024C0A" w:rsidRDefault="00694C0F">
            <w:pPr>
              <w:pStyle w:val="TableBodyText"/>
            </w:pPr>
            <w:r>
              <w:t>05B2</w:t>
            </w:r>
          </w:p>
        </w:tc>
      </w:tr>
      <w:tr w:rsidR="00024C0A" w:rsidTr="00024C0A">
        <w:tc>
          <w:tcPr>
            <w:tcW w:w="0" w:type="auto"/>
            <w:vAlign w:val="center"/>
          </w:tcPr>
          <w:p w:rsidR="00024C0A" w:rsidRDefault="00694C0F">
            <w:pPr>
              <w:pStyle w:val="TableBodyText"/>
            </w:pPr>
            <w:r>
              <w:t>ApplyTableStyle</w:t>
            </w:r>
          </w:p>
        </w:tc>
        <w:tc>
          <w:tcPr>
            <w:tcW w:w="0" w:type="auto"/>
            <w:vAlign w:val="center"/>
          </w:tcPr>
          <w:p w:rsidR="00024C0A" w:rsidRDefault="00694C0F">
            <w:pPr>
              <w:pStyle w:val="TableBodyText"/>
            </w:pPr>
            <w:r>
              <w:t>08F7</w:t>
            </w:r>
          </w:p>
        </w:tc>
      </w:tr>
      <w:tr w:rsidR="00024C0A" w:rsidTr="00024C0A">
        <w:tc>
          <w:tcPr>
            <w:tcW w:w="0" w:type="auto"/>
            <w:vAlign w:val="center"/>
          </w:tcPr>
          <w:p w:rsidR="00024C0A" w:rsidRDefault="00694C0F">
            <w:pPr>
              <w:pStyle w:val="TableBodyText"/>
            </w:pPr>
            <w:r>
              <w:t>ApplyXMLStructureMenu</w:t>
            </w:r>
          </w:p>
        </w:tc>
        <w:tc>
          <w:tcPr>
            <w:tcW w:w="0" w:type="auto"/>
            <w:vAlign w:val="center"/>
          </w:tcPr>
          <w:p w:rsidR="00024C0A" w:rsidRDefault="00694C0F">
            <w:pPr>
              <w:pStyle w:val="TableBodyText"/>
            </w:pPr>
            <w:r>
              <w:t>16B8</w:t>
            </w:r>
          </w:p>
        </w:tc>
      </w:tr>
      <w:tr w:rsidR="00024C0A" w:rsidTr="00024C0A">
        <w:tc>
          <w:tcPr>
            <w:tcW w:w="0" w:type="auto"/>
            <w:vAlign w:val="center"/>
          </w:tcPr>
          <w:p w:rsidR="00024C0A" w:rsidRDefault="00694C0F">
            <w:pPr>
              <w:pStyle w:val="TableBodyText"/>
            </w:pPr>
            <w:r>
              <w:t>ArrowStyleGallery</w:t>
            </w:r>
          </w:p>
        </w:tc>
        <w:tc>
          <w:tcPr>
            <w:tcW w:w="0" w:type="auto"/>
            <w:vAlign w:val="center"/>
          </w:tcPr>
          <w:p w:rsidR="00024C0A" w:rsidRDefault="00694C0F">
            <w:pPr>
              <w:pStyle w:val="TableBodyText"/>
            </w:pPr>
            <w:r>
              <w:t>07B8</w:t>
            </w:r>
          </w:p>
        </w:tc>
      </w:tr>
      <w:tr w:rsidR="00024C0A" w:rsidTr="00024C0A">
        <w:tc>
          <w:tcPr>
            <w:tcW w:w="0" w:type="auto"/>
            <w:vAlign w:val="center"/>
          </w:tcPr>
          <w:p w:rsidR="00024C0A" w:rsidRDefault="00694C0F">
            <w:pPr>
              <w:pStyle w:val="TableBodyText"/>
            </w:pPr>
            <w:r>
              <w:t>AsianLayoutFlyout</w:t>
            </w:r>
          </w:p>
        </w:tc>
        <w:tc>
          <w:tcPr>
            <w:tcW w:w="0" w:type="auto"/>
            <w:vAlign w:val="center"/>
          </w:tcPr>
          <w:p w:rsidR="00024C0A" w:rsidRDefault="00694C0F">
            <w:pPr>
              <w:pStyle w:val="TableBodyText"/>
            </w:pPr>
            <w:r>
              <w:t>08A4</w:t>
            </w:r>
          </w:p>
        </w:tc>
      </w:tr>
      <w:tr w:rsidR="00024C0A" w:rsidTr="00024C0A">
        <w:tc>
          <w:tcPr>
            <w:tcW w:w="0" w:type="auto"/>
            <w:vAlign w:val="center"/>
          </w:tcPr>
          <w:p w:rsidR="00024C0A" w:rsidRDefault="00694C0F">
            <w:pPr>
              <w:pStyle w:val="TableBodyText"/>
            </w:pPr>
            <w:r>
              <w:t>AutoFitContent</w:t>
            </w:r>
          </w:p>
        </w:tc>
        <w:tc>
          <w:tcPr>
            <w:tcW w:w="0" w:type="auto"/>
            <w:vAlign w:val="center"/>
          </w:tcPr>
          <w:p w:rsidR="00024C0A" w:rsidRDefault="00694C0F">
            <w:pPr>
              <w:pStyle w:val="TableBodyText"/>
            </w:pPr>
            <w:r>
              <w:t>0475</w:t>
            </w:r>
          </w:p>
        </w:tc>
      </w:tr>
      <w:tr w:rsidR="00024C0A" w:rsidTr="00024C0A">
        <w:tc>
          <w:tcPr>
            <w:tcW w:w="0" w:type="auto"/>
            <w:vAlign w:val="center"/>
          </w:tcPr>
          <w:p w:rsidR="00024C0A" w:rsidRDefault="00694C0F">
            <w:pPr>
              <w:pStyle w:val="TableBodyText"/>
            </w:pPr>
            <w:r>
              <w:t>AutoFitFixed</w:t>
            </w:r>
          </w:p>
        </w:tc>
        <w:tc>
          <w:tcPr>
            <w:tcW w:w="0" w:type="auto"/>
            <w:vAlign w:val="center"/>
          </w:tcPr>
          <w:p w:rsidR="00024C0A" w:rsidRDefault="00694C0F">
            <w:pPr>
              <w:pStyle w:val="TableBodyText"/>
            </w:pPr>
            <w:r>
              <w:t>0478</w:t>
            </w:r>
          </w:p>
        </w:tc>
      </w:tr>
      <w:tr w:rsidR="00024C0A" w:rsidTr="00024C0A">
        <w:tc>
          <w:tcPr>
            <w:tcW w:w="0" w:type="auto"/>
            <w:vAlign w:val="center"/>
          </w:tcPr>
          <w:p w:rsidR="00024C0A" w:rsidRDefault="00694C0F">
            <w:pPr>
              <w:pStyle w:val="TableBodyText"/>
            </w:pPr>
            <w:r>
              <w:t>AutoFitWindow</w:t>
            </w:r>
          </w:p>
        </w:tc>
        <w:tc>
          <w:tcPr>
            <w:tcW w:w="0" w:type="auto"/>
            <w:vAlign w:val="center"/>
          </w:tcPr>
          <w:p w:rsidR="00024C0A" w:rsidRDefault="00694C0F">
            <w:pPr>
              <w:pStyle w:val="TableBodyText"/>
            </w:pPr>
            <w:r>
              <w:t>0476</w:t>
            </w:r>
          </w:p>
        </w:tc>
      </w:tr>
      <w:tr w:rsidR="00024C0A" w:rsidTr="00024C0A">
        <w:tc>
          <w:tcPr>
            <w:tcW w:w="0" w:type="auto"/>
            <w:vAlign w:val="center"/>
          </w:tcPr>
          <w:p w:rsidR="00024C0A" w:rsidRDefault="00694C0F">
            <w:pPr>
              <w:pStyle w:val="TableBodyText"/>
            </w:pPr>
            <w:r>
              <w:t>AutoMarkIndexEntries</w:t>
            </w:r>
          </w:p>
        </w:tc>
        <w:tc>
          <w:tcPr>
            <w:tcW w:w="0" w:type="auto"/>
            <w:vAlign w:val="center"/>
          </w:tcPr>
          <w:p w:rsidR="00024C0A" w:rsidRDefault="00694C0F">
            <w:pPr>
              <w:pStyle w:val="TableBodyText"/>
            </w:pPr>
            <w:r>
              <w:t>0268</w:t>
            </w:r>
          </w:p>
        </w:tc>
      </w:tr>
      <w:tr w:rsidR="00024C0A" w:rsidTr="00024C0A">
        <w:tc>
          <w:tcPr>
            <w:tcW w:w="0" w:type="auto"/>
            <w:vAlign w:val="center"/>
          </w:tcPr>
          <w:p w:rsidR="00024C0A" w:rsidRDefault="00694C0F">
            <w:pPr>
              <w:pStyle w:val="TableBodyText"/>
            </w:pPr>
            <w:r>
              <w:t>AutoScroll</w:t>
            </w:r>
          </w:p>
        </w:tc>
        <w:tc>
          <w:tcPr>
            <w:tcW w:w="0" w:type="auto"/>
            <w:vAlign w:val="center"/>
          </w:tcPr>
          <w:p w:rsidR="00024C0A" w:rsidRDefault="00694C0F">
            <w:pPr>
              <w:pStyle w:val="TableBodyText"/>
            </w:pPr>
            <w:r>
              <w:t>03E2</w:t>
            </w:r>
          </w:p>
        </w:tc>
      </w:tr>
      <w:tr w:rsidR="00024C0A" w:rsidTr="00024C0A">
        <w:tc>
          <w:tcPr>
            <w:tcW w:w="0" w:type="auto"/>
            <w:vAlign w:val="center"/>
          </w:tcPr>
          <w:p w:rsidR="00024C0A" w:rsidRDefault="00694C0F">
            <w:pPr>
              <w:pStyle w:val="TableBodyText"/>
            </w:pPr>
            <w:r>
              <w:t>AutoSignatureList</w:t>
            </w:r>
          </w:p>
        </w:tc>
        <w:tc>
          <w:tcPr>
            <w:tcW w:w="0" w:type="auto"/>
            <w:vAlign w:val="center"/>
          </w:tcPr>
          <w:p w:rsidR="00024C0A" w:rsidRDefault="00694C0F">
            <w:pPr>
              <w:pStyle w:val="TableBodyText"/>
            </w:pPr>
            <w:r>
              <w:t>167D</w:t>
            </w:r>
          </w:p>
        </w:tc>
      </w:tr>
      <w:tr w:rsidR="00024C0A" w:rsidTr="00024C0A">
        <w:tc>
          <w:tcPr>
            <w:tcW w:w="0" w:type="auto"/>
            <w:vAlign w:val="center"/>
          </w:tcPr>
          <w:p w:rsidR="00024C0A" w:rsidRDefault="00694C0F">
            <w:pPr>
              <w:pStyle w:val="TableBodyText"/>
            </w:pPr>
            <w:r>
              <w:t>AutoSummarizeClose</w:t>
            </w:r>
          </w:p>
        </w:tc>
        <w:tc>
          <w:tcPr>
            <w:tcW w:w="0" w:type="auto"/>
            <w:vAlign w:val="center"/>
          </w:tcPr>
          <w:p w:rsidR="00024C0A" w:rsidRDefault="00694C0F">
            <w:pPr>
              <w:pStyle w:val="TableBodyText"/>
            </w:pPr>
            <w:r>
              <w:t>038A</w:t>
            </w:r>
          </w:p>
        </w:tc>
      </w:tr>
      <w:tr w:rsidR="00024C0A" w:rsidTr="00024C0A">
        <w:tc>
          <w:tcPr>
            <w:tcW w:w="0" w:type="auto"/>
            <w:vAlign w:val="center"/>
          </w:tcPr>
          <w:p w:rsidR="00024C0A" w:rsidRDefault="00694C0F">
            <w:pPr>
              <w:pStyle w:val="TableBodyText"/>
            </w:pPr>
            <w:r>
              <w:t>AutoSummarizePercentOfOriginal</w:t>
            </w:r>
          </w:p>
        </w:tc>
        <w:tc>
          <w:tcPr>
            <w:tcW w:w="0" w:type="auto"/>
            <w:vAlign w:val="center"/>
          </w:tcPr>
          <w:p w:rsidR="00024C0A" w:rsidRDefault="00694C0F">
            <w:pPr>
              <w:pStyle w:val="TableBodyText"/>
            </w:pPr>
            <w:r>
              <w:t>038D</w:t>
            </w:r>
          </w:p>
        </w:tc>
      </w:tr>
      <w:tr w:rsidR="00024C0A" w:rsidTr="00024C0A">
        <w:tc>
          <w:tcPr>
            <w:tcW w:w="0" w:type="auto"/>
            <w:vAlign w:val="center"/>
          </w:tcPr>
          <w:p w:rsidR="00024C0A" w:rsidRDefault="00694C0F">
            <w:pPr>
              <w:pStyle w:val="TableBodyText"/>
            </w:pPr>
            <w:r>
              <w:t>AutoSummarizeToggleView</w:t>
            </w:r>
          </w:p>
        </w:tc>
        <w:tc>
          <w:tcPr>
            <w:tcW w:w="0" w:type="auto"/>
            <w:vAlign w:val="center"/>
          </w:tcPr>
          <w:p w:rsidR="00024C0A" w:rsidRDefault="00694C0F">
            <w:pPr>
              <w:pStyle w:val="TableBodyText"/>
            </w:pPr>
            <w:r>
              <w:t>038E</w:t>
            </w:r>
          </w:p>
        </w:tc>
      </w:tr>
      <w:tr w:rsidR="00024C0A" w:rsidTr="00024C0A">
        <w:tc>
          <w:tcPr>
            <w:tcW w:w="0" w:type="auto"/>
            <w:vAlign w:val="center"/>
          </w:tcPr>
          <w:p w:rsidR="00024C0A" w:rsidRDefault="00694C0F">
            <w:pPr>
              <w:pStyle w:val="TableBodyText"/>
            </w:pPr>
            <w:r>
              <w:t>AutoSummarizeUpdateFileProperties</w:t>
            </w:r>
          </w:p>
        </w:tc>
        <w:tc>
          <w:tcPr>
            <w:tcW w:w="0" w:type="auto"/>
            <w:vAlign w:val="center"/>
          </w:tcPr>
          <w:p w:rsidR="00024C0A" w:rsidRDefault="00694C0F">
            <w:pPr>
              <w:pStyle w:val="TableBodyText"/>
            </w:pPr>
            <w:r>
              <w:t>038C</w:t>
            </w:r>
          </w:p>
        </w:tc>
      </w:tr>
      <w:tr w:rsidR="00024C0A" w:rsidTr="00024C0A">
        <w:tc>
          <w:tcPr>
            <w:tcW w:w="0" w:type="auto"/>
            <w:vAlign w:val="center"/>
          </w:tcPr>
          <w:p w:rsidR="00024C0A" w:rsidRDefault="00694C0F">
            <w:pPr>
              <w:pStyle w:val="TableBodyText"/>
            </w:pPr>
            <w:r>
              <w:t>AutoText</w:t>
            </w:r>
          </w:p>
        </w:tc>
        <w:tc>
          <w:tcPr>
            <w:tcW w:w="0" w:type="auto"/>
            <w:vAlign w:val="center"/>
          </w:tcPr>
          <w:p w:rsidR="00024C0A" w:rsidRDefault="00694C0F">
            <w:pPr>
              <w:pStyle w:val="TableBodyText"/>
            </w:pPr>
            <w:r>
              <w:t>028D</w:t>
            </w:r>
          </w:p>
        </w:tc>
      </w:tr>
      <w:tr w:rsidR="00024C0A" w:rsidTr="00024C0A">
        <w:tc>
          <w:tcPr>
            <w:tcW w:w="0" w:type="auto"/>
            <w:vAlign w:val="center"/>
          </w:tcPr>
          <w:p w:rsidR="00024C0A" w:rsidRDefault="00694C0F">
            <w:pPr>
              <w:pStyle w:val="TableBodyText"/>
            </w:pPr>
            <w:r>
              <w:t>AutoTextGallery</w:t>
            </w:r>
          </w:p>
        </w:tc>
        <w:tc>
          <w:tcPr>
            <w:tcW w:w="0" w:type="auto"/>
            <w:vAlign w:val="center"/>
          </w:tcPr>
          <w:p w:rsidR="00024C0A" w:rsidRDefault="00694C0F">
            <w:pPr>
              <w:pStyle w:val="TableBodyText"/>
            </w:pPr>
            <w:r>
              <w:t>08DE</w:t>
            </w:r>
          </w:p>
        </w:tc>
      </w:tr>
      <w:tr w:rsidR="00024C0A" w:rsidTr="00024C0A">
        <w:tc>
          <w:tcPr>
            <w:tcW w:w="0" w:type="auto"/>
            <w:vAlign w:val="center"/>
          </w:tcPr>
          <w:p w:rsidR="00024C0A" w:rsidRDefault="00694C0F">
            <w:pPr>
              <w:pStyle w:val="TableBodyText"/>
            </w:pPr>
            <w:r>
              <w:t>AutomaticChange</w:t>
            </w:r>
          </w:p>
        </w:tc>
        <w:tc>
          <w:tcPr>
            <w:tcW w:w="0" w:type="auto"/>
            <w:vAlign w:val="center"/>
          </w:tcPr>
          <w:p w:rsidR="00024C0A" w:rsidRDefault="00694C0F">
            <w:pPr>
              <w:pStyle w:val="TableBodyText"/>
            </w:pPr>
            <w:r>
              <w:t>0FE6</w:t>
            </w:r>
          </w:p>
        </w:tc>
      </w:tr>
      <w:tr w:rsidR="00024C0A" w:rsidTr="00024C0A">
        <w:tc>
          <w:tcPr>
            <w:tcW w:w="0" w:type="auto"/>
            <w:vAlign w:val="center"/>
          </w:tcPr>
          <w:p w:rsidR="00024C0A" w:rsidRDefault="00694C0F">
            <w:pPr>
              <w:pStyle w:val="TableBodyText"/>
            </w:pPr>
            <w:r>
              <w:t>BBPropertiesDlg</w:t>
            </w:r>
          </w:p>
        </w:tc>
        <w:tc>
          <w:tcPr>
            <w:tcW w:w="0" w:type="auto"/>
            <w:vAlign w:val="center"/>
          </w:tcPr>
          <w:p w:rsidR="00024C0A" w:rsidRDefault="00694C0F">
            <w:pPr>
              <w:pStyle w:val="TableBodyText"/>
            </w:pPr>
            <w:r>
              <w:t>095A</w:t>
            </w:r>
          </w:p>
        </w:tc>
      </w:tr>
      <w:tr w:rsidR="00024C0A" w:rsidTr="00024C0A">
        <w:tc>
          <w:tcPr>
            <w:tcW w:w="0" w:type="auto"/>
            <w:vAlign w:val="center"/>
          </w:tcPr>
          <w:p w:rsidR="00024C0A" w:rsidRDefault="00694C0F">
            <w:pPr>
              <w:pStyle w:val="TableBodyText"/>
            </w:pPr>
            <w:r>
              <w:t>BackHistoryItem</w:t>
            </w:r>
          </w:p>
        </w:tc>
        <w:tc>
          <w:tcPr>
            <w:tcW w:w="0" w:type="auto"/>
            <w:vAlign w:val="center"/>
          </w:tcPr>
          <w:p w:rsidR="00024C0A" w:rsidRDefault="00694C0F">
            <w:pPr>
              <w:pStyle w:val="TableBodyText"/>
            </w:pPr>
            <w:r>
              <w:t>05CE</w:t>
            </w:r>
          </w:p>
        </w:tc>
      </w:tr>
      <w:tr w:rsidR="00024C0A" w:rsidTr="00024C0A">
        <w:tc>
          <w:tcPr>
            <w:tcW w:w="0" w:type="auto"/>
            <w:vAlign w:val="center"/>
          </w:tcPr>
          <w:p w:rsidR="00024C0A" w:rsidRDefault="00694C0F">
            <w:pPr>
              <w:pStyle w:val="TableBodyText"/>
            </w:pPr>
            <w:r>
              <w:t>BackgroundColorPicker</w:t>
            </w:r>
          </w:p>
        </w:tc>
        <w:tc>
          <w:tcPr>
            <w:tcW w:w="0" w:type="auto"/>
            <w:vAlign w:val="center"/>
          </w:tcPr>
          <w:p w:rsidR="00024C0A" w:rsidRDefault="00694C0F">
            <w:pPr>
              <w:pStyle w:val="TableBodyText"/>
            </w:pPr>
            <w:r>
              <w:t>08BA</w:t>
            </w:r>
          </w:p>
        </w:tc>
      </w:tr>
      <w:tr w:rsidR="00024C0A" w:rsidTr="00024C0A">
        <w:tc>
          <w:tcPr>
            <w:tcW w:w="0" w:type="auto"/>
            <w:vAlign w:val="center"/>
          </w:tcPr>
          <w:p w:rsidR="00024C0A" w:rsidRDefault="00694C0F">
            <w:pPr>
              <w:pStyle w:val="TableBodyText"/>
            </w:pPr>
            <w:r>
              <w:t>BarCodeGroup</w:t>
            </w:r>
          </w:p>
        </w:tc>
        <w:tc>
          <w:tcPr>
            <w:tcW w:w="0" w:type="auto"/>
            <w:vAlign w:val="center"/>
          </w:tcPr>
          <w:p w:rsidR="00024C0A" w:rsidRDefault="00694C0F">
            <w:pPr>
              <w:pStyle w:val="TableBodyText"/>
            </w:pPr>
            <w:r>
              <w:t>08A3</w:t>
            </w:r>
          </w:p>
        </w:tc>
      </w:tr>
      <w:tr w:rsidR="00024C0A" w:rsidTr="00024C0A">
        <w:tc>
          <w:tcPr>
            <w:tcW w:w="0" w:type="auto"/>
            <w:vAlign w:val="center"/>
          </w:tcPr>
          <w:p w:rsidR="00024C0A" w:rsidRDefault="00694C0F">
            <w:pPr>
              <w:pStyle w:val="TableBodyText"/>
            </w:pPr>
            <w:r>
              <w:t>BibInsertSource</w:t>
            </w:r>
          </w:p>
        </w:tc>
        <w:tc>
          <w:tcPr>
            <w:tcW w:w="0" w:type="auto"/>
            <w:vAlign w:val="center"/>
          </w:tcPr>
          <w:p w:rsidR="00024C0A" w:rsidRDefault="00694C0F">
            <w:pPr>
              <w:pStyle w:val="TableBodyText"/>
            </w:pPr>
            <w:r>
              <w:t>0848</w:t>
            </w:r>
          </w:p>
        </w:tc>
      </w:tr>
      <w:tr w:rsidR="00024C0A" w:rsidTr="00024C0A">
        <w:tc>
          <w:tcPr>
            <w:tcW w:w="0" w:type="auto"/>
            <w:vAlign w:val="center"/>
          </w:tcPr>
          <w:p w:rsidR="00024C0A" w:rsidRDefault="00694C0F">
            <w:pPr>
              <w:pStyle w:val="TableBodyText"/>
            </w:pPr>
            <w:r>
              <w:t>BibUpdateLang</w:t>
            </w:r>
          </w:p>
        </w:tc>
        <w:tc>
          <w:tcPr>
            <w:tcW w:w="0" w:type="auto"/>
            <w:vAlign w:val="center"/>
          </w:tcPr>
          <w:p w:rsidR="00024C0A" w:rsidRDefault="00694C0F">
            <w:pPr>
              <w:pStyle w:val="TableBodyText"/>
            </w:pPr>
            <w:r>
              <w:t>09A1</w:t>
            </w:r>
          </w:p>
        </w:tc>
      </w:tr>
      <w:tr w:rsidR="00024C0A" w:rsidTr="00024C0A">
        <w:tc>
          <w:tcPr>
            <w:tcW w:w="0" w:type="auto"/>
            <w:vAlign w:val="center"/>
          </w:tcPr>
          <w:p w:rsidR="00024C0A" w:rsidRDefault="00694C0F">
            <w:pPr>
              <w:pStyle w:val="TableBodyText"/>
            </w:pPr>
            <w:r>
              <w:t>BibliographyBibliographyToText</w:t>
            </w:r>
          </w:p>
        </w:tc>
        <w:tc>
          <w:tcPr>
            <w:tcW w:w="0" w:type="auto"/>
            <w:vAlign w:val="center"/>
          </w:tcPr>
          <w:p w:rsidR="00024C0A" w:rsidRDefault="00694C0F">
            <w:pPr>
              <w:pStyle w:val="TableBodyText"/>
            </w:pPr>
            <w:r>
              <w:t>0985</w:t>
            </w:r>
          </w:p>
        </w:tc>
      </w:tr>
      <w:tr w:rsidR="00024C0A" w:rsidTr="00024C0A">
        <w:tc>
          <w:tcPr>
            <w:tcW w:w="0" w:type="auto"/>
            <w:vAlign w:val="center"/>
          </w:tcPr>
          <w:p w:rsidR="00024C0A" w:rsidRDefault="00694C0F">
            <w:pPr>
              <w:pStyle w:val="TableBodyText"/>
            </w:pPr>
            <w:r>
              <w:lastRenderedPageBreak/>
              <w:t>BibliographyCitationToText</w:t>
            </w:r>
          </w:p>
        </w:tc>
        <w:tc>
          <w:tcPr>
            <w:tcW w:w="0" w:type="auto"/>
            <w:vAlign w:val="center"/>
          </w:tcPr>
          <w:p w:rsidR="00024C0A" w:rsidRDefault="00694C0F">
            <w:pPr>
              <w:pStyle w:val="TableBodyText"/>
            </w:pPr>
            <w:r>
              <w:t>093B</w:t>
            </w:r>
          </w:p>
        </w:tc>
      </w:tr>
      <w:tr w:rsidR="00024C0A" w:rsidTr="00024C0A">
        <w:tc>
          <w:tcPr>
            <w:tcW w:w="0" w:type="auto"/>
            <w:vAlign w:val="center"/>
          </w:tcPr>
          <w:p w:rsidR="00024C0A" w:rsidRDefault="00694C0F">
            <w:pPr>
              <w:pStyle w:val="TableBodyText"/>
            </w:pPr>
            <w:r>
              <w:t>BibliographyCreateSource</w:t>
            </w:r>
          </w:p>
        </w:tc>
        <w:tc>
          <w:tcPr>
            <w:tcW w:w="0" w:type="auto"/>
            <w:vAlign w:val="center"/>
          </w:tcPr>
          <w:p w:rsidR="00024C0A" w:rsidRDefault="00694C0F">
            <w:pPr>
              <w:pStyle w:val="TableBodyText"/>
            </w:pPr>
            <w:r>
              <w:t>0782</w:t>
            </w:r>
          </w:p>
        </w:tc>
      </w:tr>
      <w:tr w:rsidR="00024C0A" w:rsidTr="00024C0A">
        <w:tc>
          <w:tcPr>
            <w:tcW w:w="0" w:type="auto"/>
            <w:vAlign w:val="center"/>
          </w:tcPr>
          <w:p w:rsidR="00024C0A" w:rsidRDefault="00694C0F">
            <w:pPr>
              <w:pStyle w:val="TableBodyText"/>
            </w:pPr>
            <w:r>
              <w:t>BibliographyEditCitationButton</w:t>
            </w:r>
          </w:p>
        </w:tc>
        <w:tc>
          <w:tcPr>
            <w:tcW w:w="0" w:type="auto"/>
            <w:vAlign w:val="center"/>
          </w:tcPr>
          <w:p w:rsidR="00024C0A" w:rsidRDefault="00694C0F">
            <w:pPr>
              <w:pStyle w:val="TableBodyText"/>
            </w:pPr>
            <w:r>
              <w:t>0979</w:t>
            </w:r>
          </w:p>
        </w:tc>
      </w:tr>
      <w:tr w:rsidR="00024C0A" w:rsidTr="00024C0A">
        <w:tc>
          <w:tcPr>
            <w:tcW w:w="0" w:type="auto"/>
            <w:vAlign w:val="center"/>
          </w:tcPr>
          <w:p w:rsidR="00024C0A" w:rsidRDefault="00694C0F">
            <w:pPr>
              <w:pStyle w:val="TableBodyText"/>
            </w:pPr>
            <w:r>
              <w:t>BibliographyEditCitationToolbar</w:t>
            </w:r>
          </w:p>
        </w:tc>
        <w:tc>
          <w:tcPr>
            <w:tcW w:w="0" w:type="auto"/>
            <w:vAlign w:val="center"/>
          </w:tcPr>
          <w:p w:rsidR="00024C0A" w:rsidRDefault="00694C0F">
            <w:pPr>
              <w:pStyle w:val="TableBodyText"/>
            </w:pPr>
            <w:r>
              <w:t>097B</w:t>
            </w:r>
          </w:p>
        </w:tc>
      </w:tr>
      <w:tr w:rsidR="00024C0A" w:rsidTr="00024C0A">
        <w:tc>
          <w:tcPr>
            <w:tcW w:w="0" w:type="auto"/>
            <w:vAlign w:val="center"/>
          </w:tcPr>
          <w:p w:rsidR="00024C0A" w:rsidRDefault="00694C0F">
            <w:pPr>
              <w:pStyle w:val="TableBodyText"/>
            </w:pPr>
            <w:r>
              <w:t>BibliographyEditSource</w:t>
            </w:r>
          </w:p>
        </w:tc>
        <w:tc>
          <w:tcPr>
            <w:tcW w:w="0" w:type="auto"/>
            <w:vAlign w:val="center"/>
          </w:tcPr>
          <w:p w:rsidR="00024C0A" w:rsidRDefault="00694C0F">
            <w:pPr>
              <w:pStyle w:val="TableBodyText"/>
            </w:pPr>
            <w:r>
              <w:t>093C</w:t>
            </w:r>
          </w:p>
        </w:tc>
      </w:tr>
      <w:tr w:rsidR="00024C0A" w:rsidTr="00024C0A">
        <w:tc>
          <w:tcPr>
            <w:tcW w:w="0" w:type="auto"/>
            <w:vAlign w:val="center"/>
          </w:tcPr>
          <w:p w:rsidR="00024C0A" w:rsidRDefault="00694C0F">
            <w:pPr>
              <w:pStyle w:val="TableBodyText"/>
            </w:pPr>
            <w:r>
              <w:t>BibliographyEditSourceButton</w:t>
            </w:r>
          </w:p>
        </w:tc>
        <w:tc>
          <w:tcPr>
            <w:tcW w:w="0" w:type="auto"/>
            <w:vAlign w:val="center"/>
          </w:tcPr>
          <w:p w:rsidR="00024C0A" w:rsidRDefault="00694C0F">
            <w:pPr>
              <w:pStyle w:val="TableBodyText"/>
            </w:pPr>
            <w:r>
              <w:t>097A</w:t>
            </w:r>
          </w:p>
        </w:tc>
      </w:tr>
      <w:tr w:rsidR="00024C0A" w:rsidTr="00024C0A">
        <w:tc>
          <w:tcPr>
            <w:tcW w:w="0" w:type="auto"/>
            <w:vAlign w:val="center"/>
          </w:tcPr>
          <w:p w:rsidR="00024C0A" w:rsidRDefault="00694C0F">
            <w:pPr>
              <w:pStyle w:val="TableBodyText"/>
            </w:pPr>
            <w:r>
              <w:t>BibliographyEditSourceToolbar</w:t>
            </w:r>
          </w:p>
        </w:tc>
        <w:tc>
          <w:tcPr>
            <w:tcW w:w="0" w:type="auto"/>
            <w:vAlign w:val="center"/>
          </w:tcPr>
          <w:p w:rsidR="00024C0A" w:rsidRDefault="00694C0F">
            <w:pPr>
              <w:pStyle w:val="TableBodyText"/>
            </w:pPr>
            <w:r>
              <w:t>097C</w:t>
            </w:r>
          </w:p>
        </w:tc>
      </w:tr>
      <w:tr w:rsidR="00024C0A" w:rsidTr="00024C0A">
        <w:tc>
          <w:tcPr>
            <w:tcW w:w="0" w:type="auto"/>
            <w:vAlign w:val="center"/>
          </w:tcPr>
          <w:p w:rsidR="00024C0A" w:rsidRDefault="00694C0F">
            <w:pPr>
              <w:pStyle w:val="TableBodyText"/>
            </w:pPr>
            <w:r>
              <w:t>BibliographyFilterLanguages</w:t>
            </w:r>
          </w:p>
        </w:tc>
        <w:tc>
          <w:tcPr>
            <w:tcW w:w="0" w:type="auto"/>
            <w:vAlign w:val="center"/>
          </w:tcPr>
          <w:p w:rsidR="00024C0A" w:rsidRDefault="00694C0F">
            <w:pPr>
              <w:pStyle w:val="TableBodyText"/>
            </w:pPr>
            <w:r>
              <w:t>099C</w:t>
            </w:r>
          </w:p>
        </w:tc>
      </w:tr>
      <w:tr w:rsidR="00024C0A" w:rsidTr="00024C0A">
        <w:tc>
          <w:tcPr>
            <w:tcW w:w="0" w:type="auto"/>
            <w:vAlign w:val="center"/>
          </w:tcPr>
          <w:p w:rsidR="00024C0A" w:rsidRDefault="00694C0F">
            <w:pPr>
              <w:pStyle w:val="TableBodyText"/>
            </w:pPr>
            <w:r>
              <w:t>BibliographyGallery</w:t>
            </w:r>
          </w:p>
        </w:tc>
        <w:tc>
          <w:tcPr>
            <w:tcW w:w="0" w:type="auto"/>
            <w:vAlign w:val="center"/>
          </w:tcPr>
          <w:p w:rsidR="00024C0A" w:rsidRDefault="00694C0F">
            <w:pPr>
              <w:pStyle w:val="TableBodyText"/>
            </w:pPr>
            <w:r>
              <w:t>08E0</w:t>
            </w:r>
          </w:p>
        </w:tc>
      </w:tr>
      <w:tr w:rsidR="00024C0A" w:rsidTr="00024C0A">
        <w:tc>
          <w:tcPr>
            <w:tcW w:w="0" w:type="auto"/>
            <w:vAlign w:val="center"/>
          </w:tcPr>
          <w:p w:rsidR="00024C0A" w:rsidRDefault="00694C0F">
            <w:pPr>
              <w:pStyle w:val="TableBodyText"/>
            </w:pPr>
            <w:r>
              <w:t>BibliographySourceManager</w:t>
            </w:r>
          </w:p>
        </w:tc>
        <w:tc>
          <w:tcPr>
            <w:tcW w:w="0" w:type="auto"/>
            <w:vAlign w:val="center"/>
          </w:tcPr>
          <w:p w:rsidR="00024C0A" w:rsidRDefault="00694C0F">
            <w:pPr>
              <w:pStyle w:val="TableBodyText"/>
            </w:pPr>
            <w:r>
              <w:t>0780</w:t>
            </w:r>
          </w:p>
        </w:tc>
      </w:tr>
      <w:tr w:rsidR="00024C0A" w:rsidTr="00024C0A">
        <w:tc>
          <w:tcPr>
            <w:tcW w:w="0" w:type="auto"/>
            <w:vAlign w:val="center"/>
          </w:tcPr>
          <w:p w:rsidR="00024C0A" w:rsidRDefault="00694C0F">
            <w:pPr>
              <w:pStyle w:val="TableBodyText"/>
            </w:pPr>
            <w:r>
              <w:t>BlogBlogAccountOptionsDlg</w:t>
            </w:r>
          </w:p>
        </w:tc>
        <w:tc>
          <w:tcPr>
            <w:tcW w:w="0" w:type="auto"/>
            <w:vAlign w:val="center"/>
          </w:tcPr>
          <w:p w:rsidR="00024C0A" w:rsidRDefault="00694C0F">
            <w:pPr>
              <w:pStyle w:val="TableBodyText"/>
            </w:pPr>
            <w:r>
              <w:t>07C1</w:t>
            </w:r>
          </w:p>
        </w:tc>
      </w:tr>
      <w:tr w:rsidR="00024C0A" w:rsidTr="00024C0A">
        <w:tc>
          <w:tcPr>
            <w:tcW w:w="0" w:type="auto"/>
            <w:vAlign w:val="center"/>
          </w:tcPr>
          <w:p w:rsidR="00024C0A" w:rsidRDefault="00694C0F">
            <w:pPr>
              <w:pStyle w:val="TableBodyText"/>
            </w:pPr>
            <w:r>
              <w:t>BlogBlogInsertCategories</w:t>
            </w:r>
          </w:p>
        </w:tc>
        <w:tc>
          <w:tcPr>
            <w:tcW w:w="0" w:type="auto"/>
            <w:vAlign w:val="center"/>
          </w:tcPr>
          <w:p w:rsidR="00024C0A" w:rsidRDefault="00694C0F">
            <w:pPr>
              <w:pStyle w:val="TableBodyText"/>
            </w:pPr>
            <w:r>
              <w:t>05AF</w:t>
            </w:r>
          </w:p>
        </w:tc>
      </w:tr>
      <w:tr w:rsidR="00024C0A" w:rsidTr="00024C0A">
        <w:tc>
          <w:tcPr>
            <w:tcW w:w="0" w:type="auto"/>
            <w:vAlign w:val="center"/>
          </w:tcPr>
          <w:p w:rsidR="00024C0A" w:rsidRDefault="00694C0F">
            <w:pPr>
              <w:pStyle w:val="TableBodyText"/>
            </w:pPr>
            <w:r>
              <w:t>BlogBlogInsertCategory</w:t>
            </w:r>
          </w:p>
        </w:tc>
        <w:tc>
          <w:tcPr>
            <w:tcW w:w="0" w:type="auto"/>
            <w:vAlign w:val="center"/>
          </w:tcPr>
          <w:p w:rsidR="00024C0A" w:rsidRDefault="00694C0F">
            <w:pPr>
              <w:pStyle w:val="TableBodyText"/>
            </w:pPr>
            <w:r>
              <w:t>0355</w:t>
            </w:r>
          </w:p>
        </w:tc>
      </w:tr>
      <w:tr w:rsidR="00024C0A" w:rsidTr="00024C0A">
        <w:tc>
          <w:tcPr>
            <w:tcW w:w="0" w:type="auto"/>
            <w:vAlign w:val="center"/>
          </w:tcPr>
          <w:p w:rsidR="00024C0A" w:rsidRDefault="00694C0F">
            <w:pPr>
              <w:pStyle w:val="TableBodyText"/>
            </w:pPr>
            <w:r>
              <w:t>BlogBlogOpenBlogSite</w:t>
            </w:r>
          </w:p>
        </w:tc>
        <w:tc>
          <w:tcPr>
            <w:tcW w:w="0" w:type="auto"/>
            <w:vAlign w:val="center"/>
          </w:tcPr>
          <w:p w:rsidR="00024C0A" w:rsidRDefault="00694C0F">
            <w:pPr>
              <w:pStyle w:val="TableBodyText"/>
            </w:pPr>
            <w:r>
              <w:t>0826</w:t>
            </w:r>
          </w:p>
        </w:tc>
      </w:tr>
      <w:tr w:rsidR="00024C0A" w:rsidTr="00024C0A">
        <w:tc>
          <w:tcPr>
            <w:tcW w:w="0" w:type="auto"/>
            <w:vAlign w:val="center"/>
          </w:tcPr>
          <w:p w:rsidR="00024C0A" w:rsidRDefault="00694C0F">
            <w:pPr>
              <w:pStyle w:val="TableBodyText"/>
            </w:pPr>
            <w:r>
              <w:t>BlogBlogOpenExistingDlg</w:t>
            </w:r>
          </w:p>
        </w:tc>
        <w:tc>
          <w:tcPr>
            <w:tcW w:w="0" w:type="auto"/>
            <w:vAlign w:val="center"/>
          </w:tcPr>
          <w:p w:rsidR="00024C0A" w:rsidRDefault="00694C0F">
            <w:pPr>
              <w:pStyle w:val="TableBodyText"/>
            </w:pPr>
            <w:r>
              <w:t>0354</w:t>
            </w:r>
          </w:p>
        </w:tc>
      </w:tr>
      <w:tr w:rsidR="00024C0A" w:rsidTr="00024C0A">
        <w:tc>
          <w:tcPr>
            <w:tcW w:w="0" w:type="auto"/>
            <w:vAlign w:val="center"/>
          </w:tcPr>
          <w:p w:rsidR="00024C0A" w:rsidRDefault="00694C0F">
            <w:pPr>
              <w:pStyle w:val="TableBodyText"/>
            </w:pPr>
            <w:r>
              <w:t>BlogBlogPublish</w:t>
            </w:r>
          </w:p>
        </w:tc>
        <w:tc>
          <w:tcPr>
            <w:tcW w:w="0" w:type="auto"/>
            <w:vAlign w:val="center"/>
          </w:tcPr>
          <w:p w:rsidR="00024C0A" w:rsidRDefault="00694C0F">
            <w:pPr>
              <w:pStyle w:val="TableBodyText"/>
            </w:pPr>
            <w:r>
              <w:t>0352</w:t>
            </w:r>
          </w:p>
        </w:tc>
      </w:tr>
      <w:tr w:rsidR="00024C0A" w:rsidTr="00024C0A">
        <w:tc>
          <w:tcPr>
            <w:tcW w:w="0" w:type="auto"/>
            <w:vAlign w:val="center"/>
          </w:tcPr>
          <w:p w:rsidR="00024C0A" w:rsidRDefault="00694C0F">
            <w:pPr>
              <w:pStyle w:val="TableBodyText"/>
            </w:pPr>
            <w:r>
              <w:t>BlogBlogPublishDraft</w:t>
            </w:r>
          </w:p>
        </w:tc>
        <w:tc>
          <w:tcPr>
            <w:tcW w:w="0" w:type="auto"/>
            <w:vAlign w:val="center"/>
          </w:tcPr>
          <w:p w:rsidR="00024C0A" w:rsidRDefault="00694C0F">
            <w:pPr>
              <w:pStyle w:val="TableBodyText"/>
            </w:pPr>
            <w:r>
              <w:t>0353</w:t>
            </w:r>
          </w:p>
        </w:tc>
      </w:tr>
      <w:tr w:rsidR="00024C0A" w:rsidTr="00024C0A">
        <w:tc>
          <w:tcPr>
            <w:tcW w:w="0" w:type="auto"/>
            <w:vAlign w:val="center"/>
          </w:tcPr>
          <w:p w:rsidR="00024C0A" w:rsidRDefault="00694C0F">
            <w:pPr>
              <w:pStyle w:val="TableBodyText"/>
            </w:pPr>
            <w:r>
              <w:t>Bold</w:t>
            </w:r>
          </w:p>
        </w:tc>
        <w:tc>
          <w:tcPr>
            <w:tcW w:w="0" w:type="auto"/>
            <w:vAlign w:val="center"/>
          </w:tcPr>
          <w:p w:rsidR="00024C0A" w:rsidRDefault="00694C0F">
            <w:pPr>
              <w:pStyle w:val="TableBodyText"/>
            </w:pPr>
            <w:r>
              <w:t>002D</w:t>
            </w:r>
          </w:p>
        </w:tc>
      </w:tr>
      <w:tr w:rsidR="00024C0A" w:rsidTr="00024C0A">
        <w:tc>
          <w:tcPr>
            <w:tcW w:w="0" w:type="auto"/>
            <w:vAlign w:val="center"/>
          </w:tcPr>
          <w:p w:rsidR="00024C0A" w:rsidRDefault="00694C0F">
            <w:pPr>
              <w:pStyle w:val="TableBodyText"/>
            </w:pPr>
            <w:r>
              <w:t>BoldRun</w:t>
            </w:r>
          </w:p>
        </w:tc>
        <w:tc>
          <w:tcPr>
            <w:tcW w:w="0" w:type="auto"/>
            <w:vAlign w:val="center"/>
          </w:tcPr>
          <w:p w:rsidR="00024C0A" w:rsidRDefault="00694C0F">
            <w:pPr>
              <w:pStyle w:val="TableBodyText"/>
            </w:pPr>
            <w:r>
              <w:t>0424</w:t>
            </w:r>
          </w:p>
        </w:tc>
      </w:tr>
      <w:tr w:rsidR="00024C0A" w:rsidTr="00024C0A">
        <w:tc>
          <w:tcPr>
            <w:tcW w:w="0" w:type="auto"/>
            <w:vAlign w:val="center"/>
          </w:tcPr>
          <w:p w:rsidR="00024C0A" w:rsidRDefault="00694C0F">
            <w:pPr>
              <w:pStyle w:val="TableBodyText"/>
            </w:pPr>
            <w:r>
              <w:t>BorderAll</w:t>
            </w:r>
          </w:p>
        </w:tc>
        <w:tc>
          <w:tcPr>
            <w:tcW w:w="0" w:type="auto"/>
            <w:vAlign w:val="center"/>
          </w:tcPr>
          <w:p w:rsidR="00024C0A" w:rsidRDefault="00694C0F">
            <w:pPr>
              <w:pStyle w:val="TableBodyText"/>
            </w:pPr>
            <w:r>
              <w:t>03D1</w:t>
            </w:r>
          </w:p>
        </w:tc>
      </w:tr>
      <w:tr w:rsidR="00024C0A" w:rsidTr="00024C0A">
        <w:tc>
          <w:tcPr>
            <w:tcW w:w="0" w:type="auto"/>
            <w:vAlign w:val="center"/>
          </w:tcPr>
          <w:p w:rsidR="00024C0A" w:rsidRDefault="00694C0F">
            <w:pPr>
              <w:pStyle w:val="TableBodyText"/>
            </w:pPr>
            <w:r>
              <w:t>BorderBottom</w:t>
            </w:r>
          </w:p>
        </w:tc>
        <w:tc>
          <w:tcPr>
            <w:tcW w:w="0" w:type="auto"/>
            <w:vAlign w:val="center"/>
          </w:tcPr>
          <w:p w:rsidR="00024C0A" w:rsidRDefault="00694C0F">
            <w:pPr>
              <w:pStyle w:val="TableBodyText"/>
            </w:pPr>
            <w:r>
              <w:t>0FE0</w:t>
            </w:r>
          </w:p>
        </w:tc>
      </w:tr>
      <w:tr w:rsidR="00024C0A" w:rsidTr="00024C0A">
        <w:tc>
          <w:tcPr>
            <w:tcW w:w="0" w:type="auto"/>
            <w:vAlign w:val="center"/>
          </w:tcPr>
          <w:p w:rsidR="00024C0A" w:rsidRDefault="00694C0F">
            <w:pPr>
              <w:pStyle w:val="TableBodyText"/>
            </w:pPr>
            <w:r>
              <w:t>BorderColorPicker</w:t>
            </w:r>
          </w:p>
        </w:tc>
        <w:tc>
          <w:tcPr>
            <w:tcW w:w="0" w:type="auto"/>
            <w:vAlign w:val="center"/>
          </w:tcPr>
          <w:p w:rsidR="00024C0A" w:rsidRDefault="00694C0F">
            <w:pPr>
              <w:pStyle w:val="TableBodyText"/>
            </w:pPr>
            <w:r>
              <w:t>08B9</w:t>
            </w:r>
          </w:p>
        </w:tc>
      </w:tr>
      <w:tr w:rsidR="00024C0A" w:rsidTr="00024C0A">
        <w:tc>
          <w:tcPr>
            <w:tcW w:w="0" w:type="auto"/>
            <w:vAlign w:val="center"/>
          </w:tcPr>
          <w:p w:rsidR="00024C0A" w:rsidRDefault="00694C0F">
            <w:pPr>
              <w:pStyle w:val="TableBodyText"/>
            </w:pPr>
            <w:r>
              <w:t>BorderHoriz</w:t>
            </w:r>
          </w:p>
        </w:tc>
        <w:tc>
          <w:tcPr>
            <w:tcW w:w="0" w:type="auto"/>
            <w:vAlign w:val="center"/>
          </w:tcPr>
          <w:p w:rsidR="00024C0A" w:rsidRDefault="00694C0F">
            <w:pPr>
              <w:pStyle w:val="TableBodyText"/>
            </w:pPr>
            <w:r>
              <w:t>03C2</w:t>
            </w:r>
          </w:p>
        </w:tc>
      </w:tr>
      <w:tr w:rsidR="00024C0A" w:rsidTr="00024C0A">
        <w:tc>
          <w:tcPr>
            <w:tcW w:w="0" w:type="auto"/>
            <w:vAlign w:val="center"/>
          </w:tcPr>
          <w:p w:rsidR="00024C0A" w:rsidRDefault="00694C0F">
            <w:pPr>
              <w:pStyle w:val="TableBodyText"/>
            </w:pPr>
            <w:r>
              <w:t>BorderInside</w:t>
            </w:r>
          </w:p>
        </w:tc>
        <w:tc>
          <w:tcPr>
            <w:tcW w:w="0" w:type="auto"/>
            <w:vAlign w:val="center"/>
          </w:tcPr>
          <w:p w:rsidR="00024C0A" w:rsidRDefault="00694C0F">
            <w:pPr>
              <w:pStyle w:val="TableBodyText"/>
            </w:pPr>
            <w:r>
              <w:t>0FE2</w:t>
            </w:r>
          </w:p>
        </w:tc>
      </w:tr>
      <w:tr w:rsidR="00024C0A" w:rsidTr="00024C0A">
        <w:tc>
          <w:tcPr>
            <w:tcW w:w="0" w:type="auto"/>
            <w:vAlign w:val="center"/>
          </w:tcPr>
          <w:p w:rsidR="00024C0A" w:rsidRDefault="00694C0F">
            <w:pPr>
              <w:pStyle w:val="TableBodyText"/>
            </w:pPr>
            <w:r>
              <w:t>BorderLeft</w:t>
            </w:r>
          </w:p>
        </w:tc>
        <w:tc>
          <w:tcPr>
            <w:tcW w:w="0" w:type="auto"/>
            <w:vAlign w:val="center"/>
          </w:tcPr>
          <w:p w:rsidR="00024C0A" w:rsidRDefault="00694C0F">
            <w:pPr>
              <w:pStyle w:val="TableBodyText"/>
            </w:pPr>
            <w:r>
              <w:t>0FDF</w:t>
            </w:r>
          </w:p>
        </w:tc>
      </w:tr>
      <w:tr w:rsidR="00024C0A" w:rsidTr="00024C0A">
        <w:tc>
          <w:tcPr>
            <w:tcW w:w="0" w:type="auto"/>
            <w:vAlign w:val="center"/>
          </w:tcPr>
          <w:p w:rsidR="00024C0A" w:rsidRDefault="00694C0F">
            <w:pPr>
              <w:pStyle w:val="TableBodyText"/>
            </w:pPr>
            <w:r>
              <w:t>BorderLineColor</w:t>
            </w:r>
          </w:p>
        </w:tc>
        <w:tc>
          <w:tcPr>
            <w:tcW w:w="0" w:type="auto"/>
            <w:vAlign w:val="center"/>
          </w:tcPr>
          <w:p w:rsidR="00024C0A" w:rsidRDefault="00694C0F">
            <w:pPr>
              <w:pStyle w:val="TableBodyText"/>
            </w:pPr>
            <w:r>
              <w:t>03C4</w:t>
            </w:r>
          </w:p>
        </w:tc>
      </w:tr>
      <w:tr w:rsidR="00024C0A" w:rsidTr="00024C0A">
        <w:tc>
          <w:tcPr>
            <w:tcW w:w="0" w:type="auto"/>
            <w:vAlign w:val="center"/>
          </w:tcPr>
          <w:p w:rsidR="00024C0A" w:rsidRDefault="00694C0F">
            <w:pPr>
              <w:pStyle w:val="TableBodyText"/>
            </w:pPr>
            <w:r>
              <w:t>BorderLineStyle</w:t>
            </w:r>
          </w:p>
        </w:tc>
        <w:tc>
          <w:tcPr>
            <w:tcW w:w="0" w:type="auto"/>
            <w:vAlign w:val="center"/>
          </w:tcPr>
          <w:p w:rsidR="00024C0A" w:rsidRDefault="00694C0F">
            <w:pPr>
              <w:pStyle w:val="TableBodyText"/>
            </w:pPr>
            <w:r>
              <w:t>01C3</w:t>
            </w:r>
          </w:p>
        </w:tc>
      </w:tr>
      <w:tr w:rsidR="00024C0A" w:rsidTr="00024C0A">
        <w:tc>
          <w:tcPr>
            <w:tcW w:w="0" w:type="auto"/>
            <w:vAlign w:val="center"/>
          </w:tcPr>
          <w:p w:rsidR="00024C0A" w:rsidRDefault="00694C0F">
            <w:pPr>
              <w:pStyle w:val="TableBodyText"/>
            </w:pPr>
            <w:r>
              <w:t>BorderLineWeight</w:t>
            </w:r>
          </w:p>
        </w:tc>
        <w:tc>
          <w:tcPr>
            <w:tcW w:w="0" w:type="auto"/>
            <w:vAlign w:val="center"/>
          </w:tcPr>
          <w:p w:rsidR="00024C0A" w:rsidRDefault="00694C0F">
            <w:pPr>
              <w:pStyle w:val="TableBodyText"/>
            </w:pPr>
            <w:r>
              <w:t>03C1</w:t>
            </w:r>
          </w:p>
        </w:tc>
      </w:tr>
      <w:tr w:rsidR="00024C0A" w:rsidTr="00024C0A">
        <w:tc>
          <w:tcPr>
            <w:tcW w:w="0" w:type="auto"/>
            <w:vAlign w:val="center"/>
          </w:tcPr>
          <w:p w:rsidR="00024C0A" w:rsidRDefault="00694C0F">
            <w:pPr>
              <w:pStyle w:val="TableBodyText"/>
            </w:pPr>
            <w:r>
              <w:t>BorderNone</w:t>
            </w:r>
          </w:p>
        </w:tc>
        <w:tc>
          <w:tcPr>
            <w:tcW w:w="0" w:type="auto"/>
            <w:vAlign w:val="center"/>
          </w:tcPr>
          <w:p w:rsidR="00024C0A" w:rsidRDefault="00694C0F">
            <w:pPr>
              <w:pStyle w:val="TableBodyText"/>
            </w:pPr>
            <w:r>
              <w:t>01C2</w:t>
            </w:r>
          </w:p>
        </w:tc>
      </w:tr>
      <w:tr w:rsidR="00024C0A" w:rsidTr="00024C0A">
        <w:tc>
          <w:tcPr>
            <w:tcW w:w="0" w:type="auto"/>
            <w:vAlign w:val="center"/>
          </w:tcPr>
          <w:p w:rsidR="00024C0A" w:rsidRDefault="00694C0F">
            <w:pPr>
              <w:pStyle w:val="TableBodyText"/>
            </w:pPr>
            <w:r>
              <w:t>BorderOutside</w:t>
            </w:r>
          </w:p>
        </w:tc>
        <w:tc>
          <w:tcPr>
            <w:tcW w:w="0" w:type="auto"/>
            <w:vAlign w:val="center"/>
          </w:tcPr>
          <w:p w:rsidR="00024C0A" w:rsidRDefault="00694C0F">
            <w:pPr>
              <w:pStyle w:val="TableBodyText"/>
            </w:pPr>
            <w:r>
              <w:t>01C1</w:t>
            </w:r>
          </w:p>
        </w:tc>
      </w:tr>
      <w:tr w:rsidR="00024C0A" w:rsidTr="00024C0A">
        <w:tc>
          <w:tcPr>
            <w:tcW w:w="0" w:type="auto"/>
            <w:vAlign w:val="center"/>
          </w:tcPr>
          <w:p w:rsidR="00024C0A" w:rsidRDefault="00694C0F">
            <w:pPr>
              <w:pStyle w:val="TableBodyText"/>
            </w:pPr>
            <w:r>
              <w:t>BorderRight</w:t>
            </w:r>
          </w:p>
        </w:tc>
        <w:tc>
          <w:tcPr>
            <w:tcW w:w="0" w:type="auto"/>
            <w:vAlign w:val="center"/>
          </w:tcPr>
          <w:p w:rsidR="00024C0A" w:rsidRDefault="00694C0F">
            <w:pPr>
              <w:pStyle w:val="TableBodyText"/>
            </w:pPr>
            <w:r>
              <w:t>0FE1</w:t>
            </w:r>
          </w:p>
        </w:tc>
      </w:tr>
      <w:tr w:rsidR="00024C0A" w:rsidTr="00024C0A">
        <w:tc>
          <w:tcPr>
            <w:tcW w:w="0" w:type="auto"/>
            <w:vAlign w:val="center"/>
          </w:tcPr>
          <w:p w:rsidR="00024C0A" w:rsidRDefault="00694C0F">
            <w:pPr>
              <w:pStyle w:val="TableBodyText"/>
            </w:pPr>
            <w:r>
              <w:t>BorderTLtoBR</w:t>
            </w:r>
          </w:p>
        </w:tc>
        <w:tc>
          <w:tcPr>
            <w:tcW w:w="0" w:type="auto"/>
            <w:vAlign w:val="center"/>
          </w:tcPr>
          <w:p w:rsidR="00024C0A" w:rsidRDefault="00694C0F">
            <w:pPr>
              <w:pStyle w:val="TableBodyText"/>
            </w:pPr>
            <w:r>
              <w:t>0314</w:t>
            </w:r>
          </w:p>
        </w:tc>
      </w:tr>
      <w:tr w:rsidR="00024C0A" w:rsidTr="00024C0A">
        <w:tc>
          <w:tcPr>
            <w:tcW w:w="0" w:type="auto"/>
            <w:vAlign w:val="center"/>
          </w:tcPr>
          <w:p w:rsidR="00024C0A" w:rsidRDefault="00694C0F">
            <w:pPr>
              <w:pStyle w:val="TableBodyText"/>
            </w:pPr>
            <w:r>
              <w:lastRenderedPageBreak/>
              <w:t>BorderTRtoBL</w:t>
            </w:r>
          </w:p>
        </w:tc>
        <w:tc>
          <w:tcPr>
            <w:tcW w:w="0" w:type="auto"/>
            <w:vAlign w:val="center"/>
          </w:tcPr>
          <w:p w:rsidR="00024C0A" w:rsidRDefault="00694C0F">
            <w:pPr>
              <w:pStyle w:val="TableBodyText"/>
            </w:pPr>
            <w:r>
              <w:t>0315</w:t>
            </w:r>
          </w:p>
        </w:tc>
      </w:tr>
      <w:tr w:rsidR="00024C0A" w:rsidTr="00024C0A">
        <w:tc>
          <w:tcPr>
            <w:tcW w:w="0" w:type="auto"/>
            <w:vAlign w:val="center"/>
          </w:tcPr>
          <w:p w:rsidR="00024C0A" w:rsidRDefault="00694C0F">
            <w:pPr>
              <w:pStyle w:val="TableBodyText"/>
            </w:pPr>
            <w:r>
              <w:t>BorderTop</w:t>
            </w:r>
          </w:p>
        </w:tc>
        <w:tc>
          <w:tcPr>
            <w:tcW w:w="0" w:type="auto"/>
            <w:vAlign w:val="center"/>
          </w:tcPr>
          <w:p w:rsidR="00024C0A" w:rsidRDefault="00694C0F">
            <w:pPr>
              <w:pStyle w:val="TableBodyText"/>
            </w:pPr>
            <w:r>
              <w:t>0FDE</w:t>
            </w:r>
          </w:p>
        </w:tc>
      </w:tr>
      <w:tr w:rsidR="00024C0A" w:rsidTr="00024C0A">
        <w:tc>
          <w:tcPr>
            <w:tcW w:w="0" w:type="auto"/>
            <w:vAlign w:val="center"/>
          </w:tcPr>
          <w:p w:rsidR="00024C0A" w:rsidRDefault="00694C0F">
            <w:pPr>
              <w:pStyle w:val="TableBodyText"/>
            </w:pPr>
            <w:r>
              <w:t>BorderVert</w:t>
            </w:r>
          </w:p>
        </w:tc>
        <w:tc>
          <w:tcPr>
            <w:tcW w:w="0" w:type="auto"/>
            <w:vAlign w:val="center"/>
          </w:tcPr>
          <w:p w:rsidR="00024C0A" w:rsidRDefault="00694C0F">
            <w:pPr>
              <w:pStyle w:val="TableBodyText"/>
            </w:pPr>
            <w:r>
              <w:t>03C3</w:t>
            </w:r>
          </w:p>
        </w:tc>
      </w:tr>
      <w:tr w:rsidR="00024C0A" w:rsidTr="00024C0A">
        <w:tc>
          <w:tcPr>
            <w:tcW w:w="0" w:type="auto"/>
            <w:vAlign w:val="center"/>
          </w:tcPr>
          <w:p w:rsidR="00024C0A" w:rsidRDefault="00694C0F">
            <w:pPr>
              <w:pStyle w:val="TableBodyText"/>
            </w:pPr>
            <w:r>
              <w:t>Borders</w:t>
            </w:r>
          </w:p>
        </w:tc>
        <w:tc>
          <w:tcPr>
            <w:tcW w:w="0" w:type="auto"/>
            <w:vAlign w:val="center"/>
          </w:tcPr>
          <w:p w:rsidR="00024C0A" w:rsidRDefault="00694C0F">
            <w:pPr>
              <w:pStyle w:val="TableBodyText"/>
            </w:pPr>
            <w:r>
              <w:t>0223</w:t>
            </w:r>
          </w:p>
        </w:tc>
      </w:tr>
      <w:tr w:rsidR="00024C0A" w:rsidTr="00024C0A">
        <w:tc>
          <w:tcPr>
            <w:tcW w:w="0" w:type="auto"/>
            <w:vAlign w:val="center"/>
          </w:tcPr>
          <w:p w:rsidR="00024C0A" w:rsidRDefault="00694C0F">
            <w:pPr>
              <w:pStyle w:val="TableBodyText"/>
            </w:pPr>
            <w:r>
              <w:t>BottomAlign</w:t>
            </w:r>
          </w:p>
        </w:tc>
        <w:tc>
          <w:tcPr>
            <w:tcW w:w="0" w:type="auto"/>
            <w:vAlign w:val="center"/>
          </w:tcPr>
          <w:p w:rsidR="00024C0A" w:rsidRDefault="00694C0F">
            <w:pPr>
              <w:pStyle w:val="TableBodyText"/>
            </w:pPr>
            <w:r>
              <w:t>0321</w:t>
            </w:r>
          </w:p>
        </w:tc>
      </w:tr>
      <w:tr w:rsidR="00024C0A" w:rsidTr="00024C0A">
        <w:tc>
          <w:tcPr>
            <w:tcW w:w="0" w:type="auto"/>
            <w:vAlign w:val="center"/>
          </w:tcPr>
          <w:p w:rsidR="00024C0A" w:rsidRDefault="00694C0F">
            <w:pPr>
              <w:pStyle w:val="TableBodyText"/>
            </w:pPr>
            <w:r>
              <w:t>BottomCenterAlign</w:t>
            </w:r>
          </w:p>
        </w:tc>
        <w:tc>
          <w:tcPr>
            <w:tcW w:w="0" w:type="auto"/>
            <w:vAlign w:val="center"/>
          </w:tcPr>
          <w:p w:rsidR="00024C0A" w:rsidRDefault="00694C0F">
            <w:pPr>
              <w:pStyle w:val="TableBodyText"/>
            </w:pPr>
            <w:r>
              <w:t>0480</w:t>
            </w:r>
          </w:p>
        </w:tc>
      </w:tr>
      <w:tr w:rsidR="00024C0A" w:rsidTr="00024C0A">
        <w:tc>
          <w:tcPr>
            <w:tcW w:w="0" w:type="auto"/>
            <w:vAlign w:val="center"/>
          </w:tcPr>
          <w:p w:rsidR="00024C0A" w:rsidRDefault="00694C0F">
            <w:pPr>
              <w:pStyle w:val="TableBodyText"/>
            </w:pPr>
            <w:r>
              <w:t>BottomLeftAlign</w:t>
            </w:r>
          </w:p>
        </w:tc>
        <w:tc>
          <w:tcPr>
            <w:tcW w:w="0" w:type="auto"/>
            <w:vAlign w:val="center"/>
          </w:tcPr>
          <w:p w:rsidR="00024C0A" w:rsidRDefault="00694C0F">
            <w:pPr>
              <w:pStyle w:val="TableBodyText"/>
            </w:pPr>
            <w:r>
              <w:t>0481</w:t>
            </w:r>
          </w:p>
        </w:tc>
      </w:tr>
      <w:tr w:rsidR="00024C0A" w:rsidTr="00024C0A">
        <w:tc>
          <w:tcPr>
            <w:tcW w:w="0" w:type="auto"/>
            <w:vAlign w:val="center"/>
          </w:tcPr>
          <w:p w:rsidR="00024C0A" w:rsidRDefault="00694C0F">
            <w:pPr>
              <w:pStyle w:val="TableBodyText"/>
            </w:pPr>
            <w:r>
              <w:t>BottomRightAlign</w:t>
            </w:r>
          </w:p>
        </w:tc>
        <w:tc>
          <w:tcPr>
            <w:tcW w:w="0" w:type="auto"/>
            <w:vAlign w:val="center"/>
          </w:tcPr>
          <w:p w:rsidR="00024C0A" w:rsidRDefault="00694C0F">
            <w:pPr>
              <w:pStyle w:val="TableBodyText"/>
            </w:pPr>
            <w:r>
              <w:t>047F</w:t>
            </w:r>
          </w:p>
        </w:tc>
      </w:tr>
      <w:tr w:rsidR="00024C0A" w:rsidTr="00024C0A">
        <w:tc>
          <w:tcPr>
            <w:tcW w:w="0" w:type="auto"/>
            <w:vAlign w:val="center"/>
          </w:tcPr>
          <w:p w:rsidR="00024C0A" w:rsidRDefault="00694C0F">
            <w:pPr>
              <w:pStyle w:val="TableBodyText"/>
            </w:pPr>
            <w:r>
              <w:t>BreaksGallery</w:t>
            </w:r>
          </w:p>
        </w:tc>
        <w:tc>
          <w:tcPr>
            <w:tcW w:w="0" w:type="auto"/>
            <w:vAlign w:val="center"/>
          </w:tcPr>
          <w:p w:rsidR="00024C0A" w:rsidRDefault="00694C0F">
            <w:pPr>
              <w:pStyle w:val="TableBodyText"/>
            </w:pPr>
            <w:r>
              <w:t>0830</w:t>
            </w:r>
          </w:p>
        </w:tc>
      </w:tr>
      <w:tr w:rsidR="00024C0A" w:rsidTr="00024C0A">
        <w:tc>
          <w:tcPr>
            <w:tcW w:w="0" w:type="auto"/>
            <w:vAlign w:val="center"/>
          </w:tcPr>
          <w:p w:rsidR="00024C0A" w:rsidRDefault="00694C0F">
            <w:pPr>
              <w:pStyle w:val="TableBodyText"/>
            </w:pPr>
            <w:r>
              <w:t>BrightnessGallery</w:t>
            </w:r>
          </w:p>
        </w:tc>
        <w:tc>
          <w:tcPr>
            <w:tcW w:w="0" w:type="auto"/>
            <w:vAlign w:val="center"/>
          </w:tcPr>
          <w:p w:rsidR="00024C0A" w:rsidRDefault="00694C0F">
            <w:pPr>
              <w:pStyle w:val="TableBodyText"/>
            </w:pPr>
            <w:r>
              <w:t>0851</w:t>
            </w:r>
          </w:p>
        </w:tc>
      </w:tr>
      <w:tr w:rsidR="00024C0A" w:rsidTr="00024C0A">
        <w:tc>
          <w:tcPr>
            <w:tcW w:w="0" w:type="auto"/>
            <w:vAlign w:val="center"/>
          </w:tcPr>
          <w:p w:rsidR="00024C0A" w:rsidRDefault="00694C0F">
            <w:pPr>
              <w:pStyle w:val="TableBodyText"/>
            </w:pPr>
            <w:r>
              <w:t>BringForward</w:t>
            </w:r>
          </w:p>
        </w:tc>
        <w:tc>
          <w:tcPr>
            <w:tcW w:w="0" w:type="auto"/>
            <w:vAlign w:val="center"/>
          </w:tcPr>
          <w:p w:rsidR="00024C0A" w:rsidRDefault="00694C0F">
            <w:pPr>
              <w:pStyle w:val="TableBodyText"/>
            </w:pPr>
            <w:r>
              <w:t>0857</w:t>
            </w:r>
          </w:p>
        </w:tc>
      </w:tr>
      <w:tr w:rsidR="00024C0A" w:rsidTr="00024C0A">
        <w:tc>
          <w:tcPr>
            <w:tcW w:w="0" w:type="auto"/>
            <w:vAlign w:val="center"/>
          </w:tcPr>
          <w:p w:rsidR="00024C0A" w:rsidRDefault="00694C0F">
            <w:pPr>
              <w:pStyle w:val="TableBodyText"/>
            </w:pPr>
            <w:r>
              <w:t>BringToFront</w:t>
            </w:r>
          </w:p>
        </w:tc>
        <w:tc>
          <w:tcPr>
            <w:tcW w:w="0" w:type="auto"/>
            <w:vAlign w:val="center"/>
          </w:tcPr>
          <w:p w:rsidR="00024C0A" w:rsidRDefault="00694C0F">
            <w:pPr>
              <w:pStyle w:val="TableBodyText"/>
            </w:pPr>
            <w:r>
              <w:t>0858</w:t>
            </w:r>
          </w:p>
        </w:tc>
      </w:tr>
      <w:tr w:rsidR="00024C0A" w:rsidTr="00024C0A">
        <w:tc>
          <w:tcPr>
            <w:tcW w:w="0" w:type="auto"/>
            <w:vAlign w:val="center"/>
          </w:tcPr>
          <w:p w:rsidR="00024C0A" w:rsidRDefault="00694C0F">
            <w:pPr>
              <w:pStyle w:val="TableBodyText"/>
            </w:pPr>
            <w:r>
              <w:t>BrowseForThemes</w:t>
            </w:r>
          </w:p>
        </w:tc>
        <w:tc>
          <w:tcPr>
            <w:tcW w:w="0" w:type="auto"/>
            <w:vAlign w:val="center"/>
          </w:tcPr>
          <w:p w:rsidR="00024C0A" w:rsidRDefault="00694C0F">
            <w:pPr>
              <w:pStyle w:val="TableBodyText"/>
            </w:pPr>
            <w:r>
              <w:t>0877</w:t>
            </w:r>
          </w:p>
        </w:tc>
      </w:tr>
      <w:tr w:rsidR="00024C0A" w:rsidTr="00024C0A">
        <w:tc>
          <w:tcPr>
            <w:tcW w:w="0" w:type="auto"/>
            <w:vAlign w:val="center"/>
          </w:tcPr>
          <w:p w:rsidR="00024C0A" w:rsidRDefault="00694C0F">
            <w:pPr>
              <w:pStyle w:val="TableBodyText"/>
            </w:pPr>
            <w:r>
              <w:t>BrowseNext</w:t>
            </w:r>
          </w:p>
        </w:tc>
        <w:tc>
          <w:tcPr>
            <w:tcW w:w="0" w:type="auto"/>
            <w:vAlign w:val="center"/>
          </w:tcPr>
          <w:p w:rsidR="00024C0A" w:rsidRDefault="00694C0F">
            <w:pPr>
              <w:pStyle w:val="TableBodyText"/>
            </w:pPr>
            <w:r>
              <w:t>0342</w:t>
            </w:r>
          </w:p>
        </w:tc>
      </w:tr>
      <w:tr w:rsidR="00024C0A" w:rsidTr="00024C0A">
        <w:tc>
          <w:tcPr>
            <w:tcW w:w="0" w:type="auto"/>
            <w:vAlign w:val="center"/>
          </w:tcPr>
          <w:p w:rsidR="00024C0A" w:rsidRDefault="00694C0F">
            <w:pPr>
              <w:pStyle w:val="TableBodyText"/>
            </w:pPr>
            <w:r>
              <w:t>BrowsePrev</w:t>
            </w:r>
          </w:p>
        </w:tc>
        <w:tc>
          <w:tcPr>
            <w:tcW w:w="0" w:type="auto"/>
            <w:vAlign w:val="center"/>
          </w:tcPr>
          <w:p w:rsidR="00024C0A" w:rsidRDefault="00694C0F">
            <w:pPr>
              <w:pStyle w:val="TableBodyText"/>
            </w:pPr>
            <w:r>
              <w:t>0337</w:t>
            </w:r>
          </w:p>
        </w:tc>
      </w:tr>
      <w:tr w:rsidR="00024C0A" w:rsidTr="00024C0A">
        <w:tc>
          <w:tcPr>
            <w:tcW w:w="0" w:type="auto"/>
            <w:vAlign w:val="center"/>
          </w:tcPr>
          <w:p w:rsidR="00024C0A" w:rsidRDefault="00694C0F">
            <w:pPr>
              <w:pStyle w:val="TableBodyText"/>
            </w:pPr>
            <w:r>
              <w:t>BrowseSel</w:t>
            </w:r>
          </w:p>
        </w:tc>
        <w:tc>
          <w:tcPr>
            <w:tcW w:w="0" w:type="auto"/>
            <w:vAlign w:val="center"/>
          </w:tcPr>
          <w:p w:rsidR="00024C0A" w:rsidRDefault="00694C0F">
            <w:pPr>
              <w:pStyle w:val="TableBodyText"/>
            </w:pPr>
            <w:r>
              <w:t>0336</w:t>
            </w:r>
          </w:p>
        </w:tc>
      </w:tr>
      <w:tr w:rsidR="00024C0A" w:rsidTr="00024C0A">
        <w:tc>
          <w:tcPr>
            <w:tcW w:w="0" w:type="auto"/>
            <w:vAlign w:val="center"/>
          </w:tcPr>
          <w:p w:rsidR="00024C0A" w:rsidRDefault="00694C0F">
            <w:pPr>
              <w:pStyle w:val="TableBodyText"/>
            </w:pPr>
            <w:r>
              <w:t>BuildingBlockOrganizer</w:t>
            </w:r>
          </w:p>
        </w:tc>
        <w:tc>
          <w:tcPr>
            <w:tcW w:w="0" w:type="auto"/>
            <w:vAlign w:val="center"/>
          </w:tcPr>
          <w:p w:rsidR="00024C0A" w:rsidRDefault="00694C0F">
            <w:pPr>
              <w:pStyle w:val="TableBodyText"/>
            </w:pPr>
            <w:r>
              <w:t>0813</w:t>
            </w:r>
          </w:p>
        </w:tc>
      </w:tr>
      <w:tr w:rsidR="00024C0A" w:rsidTr="00024C0A">
        <w:tc>
          <w:tcPr>
            <w:tcW w:w="0" w:type="auto"/>
            <w:vAlign w:val="center"/>
          </w:tcPr>
          <w:p w:rsidR="00024C0A" w:rsidRDefault="00694C0F">
            <w:pPr>
              <w:pStyle w:val="TableBodyText"/>
            </w:pPr>
            <w:r>
              <w:t>BulletsGallery</w:t>
            </w:r>
          </w:p>
        </w:tc>
        <w:tc>
          <w:tcPr>
            <w:tcW w:w="0" w:type="auto"/>
            <w:vAlign w:val="center"/>
          </w:tcPr>
          <w:p w:rsidR="00024C0A" w:rsidRDefault="00694C0F">
            <w:pPr>
              <w:pStyle w:val="TableBodyText"/>
            </w:pPr>
            <w:r>
              <w:t>07AB</w:t>
            </w:r>
          </w:p>
        </w:tc>
      </w:tr>
      <w:tr w:rsidR="00024C0A" w:rsidTr="00024C0A">
        <w:tc>
          <w:tcPr>
            <w:tcW w:w="0" w:type="auto"/>
            <w:vAlign w:val="center"/>
          </w:tcPr>
          <w:p w:rsidR="00024C0A" w:rsidRDefault="00694C0F">
            <w:pPr>
              <w:pStyle w:val="TableBodyText"/>
            </w:pPr>
            <w:r>
              <w:t>BulletsNumberingStyleDialog</w:t>
            </w:r>
          </w:p>
        </w:tc>
        <w:tc>
          <w:tcPr>
            <w:tcW w:w="0" w:type="auto"/>
            <w:vAlign w:val="center"/>
          </w:tcPr>
          <w:p w:rsidR="00024C0A" w:rsidRDefault="00694C0F">
            <w:pPr>
              <w:pStyle w:val="TableBodyText"/>
            </w:pPr>
            <w:r>
              <w:t>08DA</w:t>
            </w:r>
          </w:p>
        </w:tc>
      </w:tr>
      <w:tr w:rsidR="00024C0A" w:rsidTr="00024C0A">
        <w:tc>
          <w:tcPr>
            <w:tcW w:w="0" w:type="auto"/>
            <w:vAlign w:val="center"/>
          </w:tcPr>
          <w:p w:rsidR="00024C0A" w:rsidRDefault="00694C0F">
            <w:pPr>
              <w:pStyle w:val="TableBodyText"/>
            </w:pPr>
            <w:r>
              <w:t>Cancel</w:t>
            </w:r>
          </w:p>
        </w:tc>
        <w:tc>
          <w:tcPr>
            <w:tcW w:w="0" w:type="auto"/>
            <w:vAlign w:val="center"/>
          </w:tcPr>
          <w:p w:rsidR="00024C0A" w:rsidRDefault="00694C0F">
            <w:pPr>
              <w:pStyle w:val="TableBodyText"/>
            </w:pPr>
            <w:r>
              <w:t>0048</w:t>
            </w:r>
          </w:p>
        </w:tc>
      </w:tr>
      <w:tr w:rsidR="00024C0A" w:rsidTr="00024C0A">
        <w:tc>
          <w:tcPr>
            <w:tcW w:w="0" w:type="auto"/>
            <w:vAlign w:val="center"/>
          </w:tcPr>
          <w:p w:rsidR="00024C0A" w:rsidRDefault="00694C0F">
            <w:pPr>
              <w:pStyle w:val="TableBodyText"/>
            </w:pPr>
            <w:r>
              <w:t>CancelHighlightMode</w:t>
            </w:r>
          </w:p>
        </w:tc>
        <w:tc>
          <w:tcPr>
            <w:tcW w:w="0" w:type="auto"/>
            <w:vAlign w:val="center"/>
          </w:tcPr>
          <w:p w:rsidR="00024C0A" w:rsidRDefault="00694C0F">
            <w:pPr>
              <w:pStyle w:val="TableBodyText"/>
            </w:pPr>
            <w:r>
              <w:t>08BE</w:t>
            </w:r>
          </w:p>
        </w:tc>
      </w:tr>
      <w:tr w:rsidR="00024C0A" w:rsidTr="00024C0A">
        <w:tc>
          <w:tcPr>
            <w:tcW w:w="0" w:type="auto"/>
            <w:vAlign w:val="center"/>
          </w:tcPr>
          <w:p w:rsidR="00024C0A" w:rsidRDefault="00694C0F">
            <w:pPr>
              <w:pStyle w:val="TableBodyText"/>
            </w:pPr>
            <w:r>
              <w:t>CellAlignmentGallery</w:t>
            </w:r>
          </w:p>
        </w:tc>
        <w:tc>
          <w:tcPr>
            <w:tcW w:w="0" w:type="auto"/>
            <w:vAlign w:val="center"/>
          </w:tcPr>
          <w:p w:rsidR="00024C0A" w:rsidRDefault="00694C0F">
            <w:pPr>
              <w:pStyle w:val="TableBodyText"/>
            </w:pPr>
            <w:r>
              <w:t>08C2</w:t>
            </w:r>
          </w:p>
        </w:tc>
      </w:tr>
      <w:tr w:rsidR="00024C0A" w:rsidTr="00024C0A">
        <w:tc>
          <w:tcPr>
            <w:tcW w:w="0" w:type="auto"/>
            <w:vAlign w:val="center"/>
          </w:tcPr>
          <w:p w:rsidR="00024C0A" w:rsidRDefault="00694C0F">
            <w:pPr>
              <w:pStyle w:val="TableBodyText"/>
            </w:pPr>
            <w:r>
              <w:t>CellOptions</w:t>
            </w:r>
          </w:p>
        </w:tc>
        <w:tc>
          <w:tcPr>
            <w:tcW w:w="0" w:type="auto"/>
            <w:vAlign w:val="center"/>
          </w:tcPr>
          <w:p w:rsidR="00024C0A" w:rsidRDefault="00694C0F">
            <w:pPr>
              <w:pStyle w:val="TableBodyText"/>
            </w:pPr>
            <w:r>
              <w:t>0439</w:t>
            </w:r>
          </w:p>
        </w:tc>
      </w:tr>
      <w:tr w:rsidR="00024C0A" w:rsidTr="00024C0A">
        <w:tc>
          <w:tcPr>
            <w:tcW w:w="0" w:type="auto"/>
            <w:vAlign w:val="center"/>
          </w:tcPr>
          <w:p w:rsidR="00024C0A" w:rsidRDefault="00694C0F">
            <w:pPr>
              <w:pStyle w:val="TableBodyText"/>
            </w:pPr>
            <w:r>
              <w:t>CenterAlign</w:t>
            </w:r>
          </w:p>
        </w:tc>
        <w:tc>
          <w:tcPr>
            <w:tcW w:w="0" w:type="auto"/>
            <w:vAlign w:val="center"/>
          </w:tcPr>
          <w:p w:rsidR="00024C0A" w:rsidRDefault="00694C0F">
            <w:pPr>
              <w:pStyle w:val="TableBodyText"/>
            </w:pPr>
            <w:r>
              <w:t>0320</w:t>
            </w:r>
          </w:p>
        </w:tc>
      </w:tr>
      <w:tr w:rsidR="00024C0A" w:rsidTr="00024C0A">
        <w:tc>
          <w:tcPr>
            <w:tcW w:w="0" w:type="auto"/>
            <w:vAlign w:val="center"/>
          </w:tcPr>
          <w:p w:rsidR="00024C0A" w:rsidRDefault="00694C0F">
            <w:pPr>
              <w:pStyle w:val="TableBodyText"/>
            </w:pPr>
            <w:r>
              <w:t>CenterPara</w:t>
            </w:r>
          </w:p>
        </w:tc>
        <w:tc>
          <w:tcPr>
            <w:tcW w:w="0" w:type="auto"/>
            <w:vAlign w:val="center"/>
          </w:tcPr>
          <w:p w:rsidR="00024C0A" w:rsidRDefault="00694C0F">
            <w:pPr>
              <w:pStyle w:val="TableBodyText"/>
            </w:pPr>
            <w:r>
              <w:t>003B</w:t>
            </w:r>
          </w:p>
        </w:tc>
      </w:tr>
      <w:tr w:rsidR="00024C0A" w:rsidTr="00024C0A">
        <w:tc>
          <w:tcPr>
            <w:tcW w:w="0" w:type="auto"/>
            <w:vAlign w:val="center"/>
          </w:tcPr>
          <w:p w:rsidR="00024C0A" w:rsidRDefault="00694C0F">
            <w:pPr>
              <w:pStyle w:val="TableBodyText"/>
            </w:pPr>
            <w:r>
              <w:t>ChangeByte</w:t>
            </w:r>
          </w:p>
        </w:tc>
        <w:tc>
          <w:tcPr>
            <w:tcW w:w="0" w:type="auto"/>
            <w:vAlign w:val="center"/>
          </w:tcPr>
          <w:p w:rsidR="00024C0A" w:rsidRDefault="00694C0F">
            <w:pPr>
              <w:pStyle w:val="TableBodyText"/>
            </w:pPr>
            <w:r>
              <w:t>02DA</w:t>
            </w:r>
          </w:p>
        </w:tc>
      </w:tr>
      <w:tr w:rsidR="00024C0A" w:rsidTr="00024C0A">
        <w:tc>
          <w:tcPr>
            <w:tcW w:w="0" w:type="auto"/>
            <w:vAlign w:val="center"/>
          </w:tcPr>
          <w:p w:rsidR="00024C0A" w:rsidRDefault="00694C0F">
            <w:pPr>
              <w:pStyle w:val="TableBodyText"/>
            </w:pPr>
            <w:r>
              <w:t>ChangeCase</w:t>
            </w:r>
          </w:p>
        </w:tc>
        <w:tc>
          <w:tcPr>
            <w:tcW w:w="0" w:type="auto"/>
            <w:vAlign w:val="center"/>
          </w:tcPr>
          <w:p w:rsidR="00024C0A" w:rsidRDefault="00694C0F">
            <w:pPr>
              <w:pStyle w:val="TableBodyText"/>
            </w:pPr>
            <w:r>
              <w:t>0011</w:t>
            </w:r>
          </w:p>
        </w:tc>
      </w:tr>
      <w:tr w:rsidR="00024C0A" w:rsidTr="00024C0A">
        <w:tc>
          <w:tcPr>
            <w:tcW w:w="0" w:type="auto"/>
            <w:vAlign w:val="center"/>
          </w:tcPr>
          <w:p w:rsidR="00024C0A" w:rsidRDefault="00694C0F">
            <w:pPr>
              <w:pStyle w:val="TableBodyText"/>
            </w:pPr>
            <w:r>
              <w:t>ChangeCaseGallery</w:t>
            </w:r>
          </w:p>
        </w:tc>
        <w:tc>
          <w:tcPr>
            <w:tcW w:w="0" w:type="auto"/>
            <w:vAlign w:val="center"/>
          </w:tcPr>
          <w:p w:rsidR="00024C0A" w:rsidRDefault="00694C0F">
            <w:pPr>
              <w:pStyle w:val="TableBodyText"/>
            </w:pPr>
            <w:r>
              <w:t>0853</w:t>
            </w:r>
          </w:p>
        </w:tc>
      </w:tr>
      <w:tr w:rsidR="00024C0A" w:rsidTr="00024C0A">
        <w:tc>
          <w:tcPr>
            <w:tcW w:w="0" w:type="auto"/>
            <w:vAlign w:val="center"/>
          </w:tcPr>
          <w:p w:rsidR="00024C0A" w:rsidRDefault="00694C0F">
            <w:pPr>
              <w:pStyle w:val="TableBodyText"/>
            </w:pPr>
            <w:r>
              <w:t>ChangeKana</w:t>
            </w:r>
          </w:p>
        </w:tc>
        <w:tc>
          <w:tcPr>
            <w:tcW w:w="0" w:type="auto"/>
            <w:vAlign w:val="center"/>
          </w:tcPr>
          <w:p w:rsidR="00024C0A" w:rsidRDefault="00694C0F">
            <w:pPr>
              <w:pStyle w:val="TableBodyText"/>
            </w:pPr>
            <w:r>
              <w:t>02DB</w:t>
            </w:r>
          </w:p>
        </w:tc>
      </w:tr>
      <w:tr w:rsidR="00024C0A" w:rsidTr="00024C0A">
        <w:tc>
          <w:tcPr>
            <w:tcW w:w="0" w:type="auto"/>
            <w:vAlign w:val="center"/>
          </w:tcPr>
          <w:p w:rsidR="00024C0A" w:rsidRDefault="00694C0F">
            <w:pPr>
              <w:pStyle w:val="TableBodyText"/>
            </w:pPr>
            <w:r>
              <w:t>ChangeMailFormat</w:t>
            </w:r>
          </w:p>
        </w:tc>
        <w:tc>
          <w:tcPr>
            <w:tcW w:w="0" w:type="auto"/>
            <w:vAlign w:val="center"/>
          </w:tcPr>
          <w:p w:rsidR="00024C0A" w:rsidRDefault="00694C0F">
            <w:pPr>
              <w:pStyle w:val="TableBodyText"/>
            </w:pPr>
            <w:r>
              <w:t>1BC9</w:t>
            </w:r>
          </w:p>
        </w:tc>
      </w:tr>
      <w:tr w:rsidR="00024C0A" w:rsidTr="00024C0A">
        <w:tc>
          <w:tcPr>
            <w:tcW w:w="0" w:type="auto"/>
            <w:vAlign w:val="center"/>
          </w:tcPr>
          <w:p w:rsidR="00024C0A" w:rsidRDefault="00694C0F">
            <w:pPr>
              <w:pStyle w:val="TableBodyText"/>
            </w:pPr>
            <w:r>
              <w:t>ChangeShapesGallery</w:t>
            </w:r>
          </w:p>
        </w:tc>
        <w:tc>
          <w:tcPr>
            <w:tcW w:w="0" w:type="auto"/>
            <w:vAlign w:val="center"/>
          </w:tcPr>
          <w:p w:rsidR="00024C0A" w:rsidRDefault="00694C0F">
            <w:pPr>
              <w:pStyle w:val="TableBodyText"/>
            </w:pPr>
            <w:r>
              <w:t>07B9</w:t>
            </w:r>
          </w:p>
        </w:tc>
      </w:tr>
      <w:tr w:rsidR="00024C0A" w:rsidTr="00024C0A">
        <w:tc>
          <w:tcPr>
            <w:tcW w:w="0" w:type="auto"/>
            <w:vAlign w:val="center"/>
          </w:tcPr>
          <w:p w:rsidR="00024C0A" w:rsidRDefault="00694C0F">
            <w:pPr>
              <w:pStyle w:val="TableBodyText"/>
            </w:pPr>
            <w:r>
              <w:t>CharColor</w:t>
            </w:r>
          </w:p>
        </w:tc>
        <w:tc>
          <w:tcPr>
            <w:tcW w:w="0" w:type="auto"/>
            <w:vAlign w:val="center"/>
          </w:tcPr>
          <w:p w:rsidR="00024C0A" w:rsidRDefault="00694C0F">
            <w:pPr>
              <w:pStyle w:val="TableBodyText"/>
            </w:pPr>
            <w:r>
              <w:t>0039</w:t>
            </w:r>
          </w:p>
        </w:tc>
      </w:tr>
      <w:tr w:rsidR="00024C0A" w:rsidTr="00024C0A">
        <w:tc>
          <w:tcPr>
            <w:tcW w:w="0" w:type="auto"/>
            <w:vAlign w:val="center"/>
          </w:tcPr>
          <w:p w:rsidR="00024C0A" w:rsidRDefault="00694C0F">
            <w:pPr>
              <w:pStyle w:val="TableBodyText"/>
            </w:pPr>
            <w:r>
              <w:lastRenderedPageBreak/>
              <w:t>CharLeft</w:t>
            </w:r>
          </w:p>
        </w:tc>
        <w:tc>
          <w:tcPr>
            <w:tcW w:w="0" w:type="auto"/>
            <w:vAlign w:val="center"/>
          </w:tcPr>
          <w:p w:rsidR="00024C0A" w:rsidRDefault="00694C0F">
            <w:pPr>
              <w:pStyle w:val="TableBodyText"/>
            </w:pPr>
            <w:r>
              <w:t>0FA0</w:t>
            </w:r>
          </w:p>
        </w:tc>
      </w:tr>
      <w:tr w:rsidR="00024C0A" w:rsidTr="00024C0A">
        <w:tc>
          <w:tcPr>
            <w:tcW w:w="0" w:type="auto"/>
            <w:vAlign w:val="center"/>
          </w:tcPr>
          <w:p w:rsidR="00024C0A" w:rsidRDefault="00694C0F">
            <w:pPr>
              <w:pStyle w:val="TableBodyText"/>
            </w:pPr>
            <w:r>
              <w:t>CharLeftExtend</w:t>
            </w:r>
          </w:p>
        </w:tc>
        <w:tc>
          <w:tcPr>
            <w:tcW w:w="0" w:type="auto"/>
            <w:vAlign w:val="center"/>
          </w:tcPr>
          <w:p w:rsidR="00024C0A" w:rsidRDefault="00694C0F">
            <w:pPr>
              <w:pStyle w:val="TableBodyText"/>
            </w:pPr>
            <w:r>
              <w:t>0FB2</w:t>
            </w:r>
          </w:p>
        </w:tc>
      </w:tr>
      <w:tr w:rsidR="00024C0A" w:rsidTr="00024C0A">
        <w:tc>
          <w:tcPr>
            <w:tcW w:w="0" w:type="auto"/>
            <w:vAlign w:val="center"/>
          </w:tcPr>
          <w:p w:rsidR="00024C0A" w:rsidRDefault="00694C0F">
            <w:pPr>
              <w:pStyle w:val="TableBodyText"/>
            </w:pPr>
            <w:r>
              <w:t>CharRight</w:t>
            </w:r>
          </w:p>
        </w:tc>
        <w:tc>
          <w:tcPr>
            <w:tcW w:w="0" w:type="auto"/>
            <w:vAlign w:val="center"/>
          </w:tcPr>
          <w:p w:rsidR="00024C0A" w:rsidRDefault="00694C0F">
            <w:pPr>
              <w:pStyle w:val="TableBodyText"/>
            </w:pPr>
            <w:r>
              <w:t>0FA1</w:t>
            </w:r>
          </w:p>
        </w:tc>
      </w:tr>
      <w:tr w:rsidR="00024C0A" w:rsidTr="00024C0A">
        <w:tc>
          <w:tcPr>
            <w:tcW w:w="0" w:type="auto"/>
            <w:vAlign w:val="center"/>
          </w:tcPr>
          <w:p w:rsidR="00024C0A" w:rsidRDefault="00694C0F">
            <w:pPr>
              <w:pStyle w:val="TableBodyText"/>
            </w:pPr>
            <w:r>
              <w:t>CharRightExtend</w:t>
            </w:r>
          </w:p>
        </w:tc>
        <w:tc>
          <w:tcPr>
            <w:tcW w:w="0" w:type="auto"/>
            <w:vAlign w:val="center"/>
          </w:tcPr>
          <w:p w:rsidR="00024C0A" w:rsidRDefault="00694C0F">
            <w:pPr>
              <w:pStyle w:val="TableBodyText"/>
            </w:pPr>
            <w:r>
              <w:t>0FB3</w:t>
            </w:r>
          </w:p>
        </w:tc>
      </w:tr>
      <w:tr w:rsidR="00024C0A" w:rsidTr="00024C0A">
        <w:tc>
          <w:tcPr>
            <w:tcW w:w="0" w:type="auto"/>
            <w:vAlign w:val="center"/>
          </w:tcPr>
          <w:p w:rsidR="00024C0A" w:rsidRDefault="00694C0F">
            <w:pPr>
              <w:pStyle w:val="TableBodyText"/>
            </w:pPr>
            <w:r>
              <w:t>CharScale</w:t>
            </w:r>
          </w:p>
        </w:tc>
        <w:tc>
          <w:tcPr>
            <w:tcW w:w="0" w:type="auto"/>
            <w:vAlign w:val="center"/>
          </w:tcPr>
          <w:p w:rsidR="00024C0A" w:rsidRDefault="00694C0F">
            <w:pPr>
              <w:pStyle w:val="TableBodyText"/>
            </w:pPr>
            <w:r>
              <w:t>031D</w:t>
            </w:r>
          </w:p>
        </w:tc>
      </w:tr>
      <w:tr w:rsidR="00024C0A" w:rsidTr="00024C0A">
        <w:tc>
          <w:tcPr>
            <w:tcW w:w="0" w:type="auto"/>
            <w:vAlign w:val="center"/>
          </w:tcPr>
          <w:p w:rsidR="00024C0A" w:rsidRDefault="00694C0F">
            <w:pPr>
              <w:pStyle w:val="TableBodyText"/>
            </w:pPr>
            <w:r>
              <w:t>CharScaleDialog</w:t>
            </w:r>
          </w:p>
        </w:tc>
        <w:tc>
          <w:tcPr>
            <w:tcW w:w="0" w:type="auto"/>
            <w:vAlign w:val="center"/>
          </w:tcPr>
          <w:p w:rsidR="00024C0A" w:rsidRDefault="00694C0F">
            <w:pPr>
              <w:pStyle w:val="TableBodyText"/>
            </w:pPr>
            <w:r>
              <w:t>07B2</w:t>
            </w:r>
          </w:p>
        </w:tc>
      </w:tr>
      <w:tr w:rsidR="00024C0A" w:rsidTr="00024C0A">
        <w:tc>
          <w:tcPr>
            <w:tcW w:w="0" w:type="auto"/>
            <w:vAlign w:val="center"/>
          </w:tcPr>
          <w:p w:rsidR="00024C0A" w:rsidRDefault="00694C0F">
            <w:pPr>
              <w:pStyle w:val="TableBodyText"/>
            </w:pPr>
            <w:r>
              <w:t>CharacterClearFormatting</w:t>
            </w:r>
          </w:p>
        </w:tc>
        <w:tc>
          <w:tcPr>
            <w:tcW w:w="0" w:type="auto"/>
            <w:vAlign w:val="center"/>
          </w:tcPr>
          <w:p w:rsidR="00024C0A" w:rsidRDefault="00694C0F">
            <w:pPr>
              <w:pStyle w:val="TableBodyText"/>
            </w:pPr>
            <w:r>
              <w:t>076F</w:t>
            </w:r>
          </w:p>
        </w:tc>
      </w:tr>
      <w:tr w:rsidR="00024C0A" w:rsidTr="00024C0A">
        <w:tc>
          <w:tcPr>
            <w:tcW w:w="0" w:type="auto"/>
            <w:vAlign w:val="center"/>
          </w:tcPr>
          <w:p w:rsidR="00024C0A" w:rsidRDefault="00694C0F">
            <w:pPr>
              <w:pStyle w:val="TableBodyText"/>
            </w:pPr>
            <w:r>
              <w:t>CharacterRemoveStyle</w:t>
            </w:r>
          </w:p>
        </w:tc>
        <w:tc>
          <w:tcPr>
            <w:tcW w:w="0" w:type="auto"/>
            <w:vAlign w:val="center"/>
          </w:tcPr>
          <w:p w:rsidR="00024C0A" w:rsidRDefault="00694C0F">
            <w:pPr>
              <w:pStyle w:val="TableBodyText"/>
            </w:pPr>
            <w:r>
              <w:t>076D</w:t>
            </w:r>
          </w:p>
        </w:tc>
      </w:tr>
      <w:tr w:rsidR="00024C0A" w:rsidTr="00024C0A">
        <w:tc>
          <w:tcPr>
            <w:tcW w:w="0" w:type="auto"/>
            <w:vAlign w:val="center"/>
          </w:tcPr>
          <w:p w:rsidR="00024C0A" w:rsidRDefault="00694C0F">
            <w:pPr>
              <w:pStyle w:val="TableBodyText"/>
            </w:pPr>
            <w:r>
              <w:t>CheckBoxFormField</w:t>
            </w:r>
          </w:p>
        </w:tc>
        <w:tc>
          <w:tcPr>
            <w:tcW w:w="0" w:type="auto"/>
            <w:vAlign w:val="center"/>
          </w:tcPr>
          <w:p w:rsidR="00024C0A" w:rsidRDefault="00694C0F">
            <w:pPr>
              <w:pStyle w:val="TableBodyText"/>
            </w:pPr>
            <w:r>
              <w:t>015E</w:t>
            </w:r>
          </w:p>
        </w:tc>
      </w:tr>
      <w:tr w:rsidR="00024C0A" w:rsidTr="00024C0A">
        <w:tc>
          <w:tcPr>
            <w:tcW w:w="0" w:type="auto"/>
            <w:vAlign w:val="center"/>
          </w:tcPr>
          <w:p w:rsidR="00024C0A" w:rsidRDefault="00694C0F">
            <w:pPr>
              <w:pStyle w:val="TableBodyText"/>
            </w:pPr>
            <w:r>
              <w:t>CheckCompatibility</w:t>
            </w:r>
          </w:p>
        </w:tc>
        <w:tc>
          <w:tcPr>
            <w:tcW w:w="0" w:type="auto"/>
            <w:vAlign w:val="center"/>
          </w:tcPr>
          <w:p w:rsidR="00024C0A" w:rsidRDefault="00694C0F">
            <w:pPr>
              <w:pStyle w:val="TableBodyText"/>
            </w:pPr>
            <w:r>
              <w:t>08F9</w:t>
            </w:r>
          </w:p>
        </w:tc>
      </w:tr>
      <w:tr w:rsidR="00024C0A" w:rsidTr="00024C0A">
        <w:tc>
          <w:tcPr>
            <w:tcW w:w="0" w:type="auto"/>
            <w:vAlign w:val="center"/>
          </w:tcPr>
          <w:p w:rsidR="00024C0A" w:rsidRDefault="00694C0F">
            <w:pPr>
              <w:pStyle w:val="TableBodyText"/>
            </w:pPr>
            <w:r>
              <w:t>CheckDocumentParts</w:t>
            </w:r>
          </w:p>
        </w:tc>
        <w:tc>
          <w:tcPr>
            <w:tcW w:w="0" w:type="auto"/>
            <w:vAlign w:val="center"/>
          </w:tcPr>
          <w:p w:rsidR="00024C0A" w:rsidRDefault="00694C0F">
            <w:pPr>
              <w:pStyle w:val="TableBodyText"/>
            </w:pPr>
            <w:r>
              <w:t>099B</w:t>
            </w:r>
          </w:p>
        </w:tc>
      </w:tr>
      <w:tr w:rsidR="00024C0A" w:rsidTr="00024C0A">
        <w:tc>
          <w:tcPr>
            <w:tcW w:w="0" w:type="auto"/>
            <w:vAlign w:val="center"/>
          </w:tcPr>
          <w:p w:rsidR="00024C0A" w:rsidRDefault="00694C0F">
            <w:pPr>
              <w:pStyle w:val="TableBodyText"/>
            </w:pPr>
            <w:r>
              <w:t>ChineseTranslationGroup</w:t>
            </w:r>
          </w:p>
        </w:tc>
        <w:tc>
          <w:tcPr>
            <w:tcW w:w="0" w:type="auto"/>
            <w:vAlign w:val="center"/>
          </w:tcPr>
          <w:p w:rsidR="00024C0A" w:rsidRDefault="00694C0F">
            <w:pPr>
              <w:pStyle w:val="TableBodyText"/>
            </w:pPr>
            <w:r>
              <w:t>0976</w:t>
            </w:r>
          </w:p>
        </w:tc>
      </w:tr>
      <w:tr w:rsidR="00024C0A" w:rsidTr="00024C0A">
        <w:tc>
          <w:tcPr>
            <w:tcW w:w="0" w:type="auto"/>
            <w:vAlign w:val="center"/>
          </w:tcPr>
          <w:p w:rsidR="00024C0A" w:rsidRDefault="00694C0F">
            <w:pPr>
              <w:pStyle w:val="TableBodyText"/>
            </w:pPr>
            <w:r>
              <w:t>ChooseButtonImage</w:t>
            </w:r>
          </w:p>
        </w:tc>
        <w:tc>
          <w:tcPr>
            <w:tcW w:w="0" w:type="auto"/>
            <w:vAlign w:val="center"/>
          </w:tcPr>
          <w:p w:rsidR="00024C0A" w:rsidRDefault="00694C0F">
            <w:pPr>
              <w:pStyle w:val="TableBodyText"/>
            </w:pPr>
            <w:r>
              <w:t>0273</w:t>
            </w:r>
          </w:p>
        </w:tc>
      </w:tr>
      <w:tr w:rsidR="00024C0A" w:rsidTr="00024C0A">
        <w:tc>
          <w:tcPr>
            <w:tcW w:w="0" w:type="auto"/>
            <w:vAlign w:val="center"/>
          </w:tcPr>
          <w:p w:rsidR="00024C0A" w:rsidRDefault="00694C0F">
            <w:pPr>
              <w:pStyle w:val="TableBodyText"/>
            </w:pPr>
            <w:r>
              <w:t>ClearAllFormatting</w:t>
            </w:r>
          </w:p>
        </w:tc>
        <w:tc>
          <w:tcPr>
            <w:tcW w:w="0" w:type="auto"/>
            <w:vAlign w:val="center"/>
          </w:tcPr>
          <w:p w:rsidR="00024C0A" w:rsidRDefault="00694C0F">
            <w:pPr>
              <w:pStyle w:val="TableBodyText"/>
            </w:pPr>
            <w:r>
              <w:t>07A9</w:t>
            </w:r>
          </w:p>
        </w:tc>
      </w:tr>
      <w:tr w:rsidR="00024C0A" w:rsidTr="00024C0A">
        <w:tc>
          <w:tcPr>
            <w:tcW w:w="0" w:type="auto"/>
            <w:vAlign w:val="center"/>
          </w:tcPr>
          <w:p w:rsidR="00024C0A" w:rsidRDefault="00694C0F">
            <w:pPr>
              <w:pStyle w:val="TableBodyText"/>
            </w:pPr>
            <w:r>
              <w:t>ClearFormField</w:t>
            </w:r>
          </w:p>
        </w:tc>
        <w:tc>
          <w:tcPr>
            <w:tcW w:w="0" w:type="auto"/>
            <w:vAlign w:val="center"/>
          </w:tcPr>
          <w:p w:rsidR="00024C0A" w:rsidRDefault="00694C0F">
            <w:pPr>
              <w:pStyle w:val="TableBodyText"/>
            </w:pPr>
            <w:r>
              <w:t>02C2</w:t>
            </w:r>
          </w:p>
        </w:tc>
      </w:tr>
      <w:tr w:rsidR="00024C0A" w:rsidTr="00024C0A">
        <w:tc>
          <w:tcPr>
            <w:tcW w:w="0" w:type="auto"/>
            <w:vAlign w:val="center"/>
          </w:tcPr>
          <w:p w:rsidR="00024C0A" w:rsidRDefault="00694C0F">
            <w:pPr>
              <w:pStyle w:val="TableBodyText"/>
            </w:pPr>
            <w:r>
              <w:t>ClearFormatting</w:t>
            </w:r>
          </w:p>
        </w:tc>
        <w:tc>
          <w:tcPr>
            <w:tcW w:w="0" w:type="auto"/>
            <w:vAlign w:val="center"/>
          </w:tcPr>
          <w:p w:rsidR="00024C0A" w:rsidRDefault="00694C0F">
            <w:pPr>
              <w:pStyle w:val="TableBodyText"/>
            </w:pPr>
            <w:r>
              <w:t>054A</w:t>
            </w:r>
          </w:p>
        </w:tc>
      </w:tr>
      <w:tr w:rsidR="00024C0A" w:rsidTr="00024C0A">
        <w:tc>
          <w:tcPr>
            <w:tcW w:w="0" w:type="auto"/>
            <w:vAlign w:val="center"/>
          </w:tcPr>
          <w:p w:rsidR="00024C0A" w:rsidRDefault="00694C0F">
            <w:pPr>
              <w:pStyle w:val="TableBodyText"/>
            </w:pPr>
            <w:r>
              <w:t>ClearTableStyle</w:t>
            </w:r>
          </w:p>
        </w:tc>
        <w:tc>
          <w:tcPr>
            <w:tcW w:w="0" w:type="auto"/>
            <w:vAlign w:val="center"/>
          </w:tcPr>
          <w:p w:rsidR="00024C0A" w:rsidRDefault="00694C0F">
            <w:pPr>
              <w:pStyle w:val="TableBodyText"/>
            </w:pPr>
            <w:r>
              <w:t>08F6</w:t>
            </w:r>
          </w:p>
        </w:tc>
      </w:tr>
      <w:tr w:rsidR="00024C0A" w:rsidTr="00024C0A">
        <w:tc>
          <w:tcPr>
            <w:tcW w:w="0" w:type="auto"/>
            <w:vAlign w:val="center"/>
          </w:tcPr>
          <w:p w:rsidR="00024C0A" w:rsidRDefault="00694C0F">
            <w:pPr>
              <w:pStyle w:val="TableBodyText"/>
            </w:pPr>
            <w:r>
              <w:t>ClosePane</w:t>
            </w:r>
          </w:p>
        </w:tc>
        <w:tc>
          <w:tcPr>
            <w:tcW w:w="0" w:type="auto"/>
            <w:vAlign w:val="center"/>
          </w:tcPr>
          <w:p w:rsidR="00024C0A" w:rsidRDefault="00694C0F">
            <w:pPr>
              <w:pStyle w:val="TableBodyText"/>
            </w:pPr>
            <w:r>
              <w:t>00F3</w:t>
            </w:r>
          </w:p>
        </w:tc>
      </w:tr>
      <w:tr w:rsidR="00024C0A" w:rsidTr="00024C0A">
        <w:tc>
          <w:tcPr>
            <w:tcW w:w="0" w:type="auto"/>
            <w:vAlign w:val="center"/>
          </w:tcPr>
          <w:p w:rsidR="00024C0A" w:rsidRDefault="00694C0F">
            <w:pPr>
              <w:pStyle w:val="TableBodyText"/>
            </w:pPr>
            <w:r>
              <w:t>CloseParaAbove</w:t>
            </w:r>
          </w:p>
        </w:tc>
        <w:tc>
          <w:tcPr>
            <w:tcW w:w="0" w:type="auto"/>
            <w:vAlign w:val="center"/>
          </w:tcPr>
          <w:p w:rsidR="00024C0A" w:rsidRDefault="00694C0F">
            <w:pPr>
              <w:pStyle w:val="TableBodyText"/>
            </w:pPr>
            <w:r>
              <w:t>0995</w:t>
            </w:r>
          </w:p>
        </w:tc>
      </w:tr>
      <w:tr w:rsidR="00024C0A" w:rsidTr="00024C0A">
        <w:tc>
          <w:tcPr>
            <w:tcW w:w="0" w:type="auto"/>
            <w:vAlign w:val="center"/>
          </w:tcPr>
          <w:p w:rsidR="00024C0A" w:rsidRDefault="00694C0F">
            <w:pPr>
              <w:pStyle w:val="TableBodyText"/>
            </w:pPr>
            <w:r>
              <w:t>CloseParaBelow</w:t>
            </w:r>
          </w:p>
        </w:tc>
        <w:tc>
          <w:tcPr>
            <w:tcW w:w="0" w:type="auto"/>
            <w:vAlign w:val="center"/>
          </w:tcPr>
          <w:p w:rsidR="00024C0A" w:rsidRDefault="00694C0F">
            <w:pPr>
              <w:pStyle w:val="TableBodyText"/>
            </w:pPr>
            <w:r>
              <w:t>0997</w:t>
            </w:r>
          </w:p>
        </w:tc>
      </w:tr>
      <w:tr w:rsidR="00024C0A" w:rsidTr="00024C0A">
        <w:tc>
          <w:tcPr>
            <w:tcW w:w="0" w:type="auto"/>
            <w:vAlign w:val="center"/>
          </w:tcPr>
          <w:p w:rsidR="00024C0A" w:rsidRDefault="00694C0F">
            <w:pPr>
              <w:pStyle w:val="TableBodyText"/>
            </w:pPr>
            <w:r>
              <w:t>ClosePreview</w:t>
            </w:r>
          </w:p>
        </w:tc>
        <w:tc>
          <w:tcPr>
            <w:tcW w:w="0" w:type="auto"/>
            <w:vAlign w:val="center"/>
          </w:tcPr>
          <w:p w:rsidR="00024C0A" w:rsidRDefault="00694C0F">
            <w:pPr>
              <w:pStyle w:val="TableBodyText"/>
            </w:pPr>
            <w:r>
              <w:t>01B5</w:t>
            </w:r>
          </w:p>
        </w:tc>
      </w:tr>
      <w:tr w:rsidR="00024C0A" w:rsidTr="00024C0A">
        <w:tc>
          <w:tcPr>
            <w:tcW w:w="0" w:type="auto"/>
            <w:vAlign w:val="center"/>
          </w:tcPr>
          <w:p w:rsidR="00024C0A" w:rsidRDefault="00694C0F">
            <w:pPr>
              <w:pStyle w:val="TableBodyText"/>
            </w:pPr>
            <w:r>
              <w:t>CloseReadingMode</w:t>
            </w:r>
          </w:p>
        </w:tc>
        <w:tc>
          <w:tcPr>
            <w:tcW w:w="0" w:type="auto"/>
            <w:vAlign w:val="center"/>
          </w:tcPr>
          <w:p w:rsidR="00024C0A" w:rsidRDefault="00694C0F">
            <w:pPr>
              <w:pStyle w:val="TableBodyText"/>
            </w:pPr>
            <w:r>
              <w:t>05C8</w:t>
            </w:r>
          </w:p>
        </w:tc>
      </w:tr>
      <w:tr w:rsidR="00024C0A" w:rsidTr="00024C0A">
        <w:tc>
          <w:tcPr>
            <w:tcW w:w="0" w:type="auto"/>
            <w:vAlign w:val="center"/>
          </w:tcPr>
          <w:p w:rsidR="00024C0A" w:rsidRDefault="00694C0F">
            <w:pPr>
              <w:pStyle w:val="TableBodyText"/>
            </w:pPr>
            <w:r>
              <w:t>CloseUpPara</w:t>
            </w:r>
          </w:p>
        </w:tc>
        <w:tc>
          <w:tcPr>
            <w:tcW w:w="0" w:type="auto"/>
            <w:vAlign w:val="center"/>
          </w:tcPr>
          <w:p w:rsidR="00024C0A" w:rsidRDefault="00694C0F">
            <w:pPr>
              <w:pStyle w:val="TableBodyText"/>
            </w:pPr>
            <w:r>
              <w:t>0041</w:t>
            </w:r>
          </w:p>
        </w:tc>
      </w:tr>
      <w:tr w:rsidR="00024C0A" w:rsidTr="00024C0A">
        <w:tc>
          <w:tcPr>
            <w:tcW w:w="0" w:type="auto"/>
            <w:vAlign w:val="center"/>
          </w:tcPr>
          <w:p w:rsidR="00024C0A" w:rsidRDefault="00694C0F">
            <w:pPr>
              <w:pStyle w:val="TableBodyText"/>
            </w:pPr>
            <w:r>
              <w:t>CloseViewHeaderFooter</w:t>
            </w:r>
          </w:p>
        </w:tc>
        <w:tc>
          <w:tcPr>
            <w:tcW w:w="0" w:type="auto"/>
            <w:vAlign w:val="center"/>
          </w:tcPr>
          <w:p w:rsidR="00024C0A" w:rsidRDefault="00694C0F">
            <w:pPr>
              <w:pStyle w:val="TableBodyText"/>
            </w:pPr>
            <w:r>
              <w:t>0280</w:t>
            </w:r>
          </w:p>
        </w:tc>
      </w:tr>
      <w:tr w:rsidR="00024C0A" w:rsidTr="00024C0A">
        <w:tc>
          <w:tcPr>
            <w:tcW w:w="0" w:type="auto"/>
            <w:vAlign w:val="center"/>
          </w:tcPr>
          <w:p w:rsidR="00024C0A" w:rsidRDefault="00694C0F">
            <w:pPr>
              <w:pStyle w:val="TableBodyText"/>
            </w:pPr>
            <w:r>
              <w:t>Color</w:t>
            </w:r>
          </w:p>
        </w:tc>
        <w:tc>
          <w:tcPr>
            <w:tcW w:w="0" w:type="auto"/>
            <w:vAlign w:val="center"/>
          </w:tcPr>
          <w:p w:rsidR="00024C0A" w:rsidRDefault="00694C0F">
            <w:pPr>
              <w:pStyle w:val="TableBodyText"/>
            </w:pPr>
            <w:r>
              <w:t>0224</w:t>
            </w:r>
          </w:p>
        </w:tc>
      </w:tr>
      <w:tr w:rsidR="00024C0A" w:rsidTr="00024C0A">
        <w:tc>
          <w:tcPr>
            <w:tcW w:w="0" w:type="auto"/>
            <w:vAlign w:val="center"/>
          </w:tcPr>
          <w:p w:rsidR="00024C0A" w:rsidRDefault="00694C0F">
            <w:pPr>
              <w:pStyle w:val="TableBodyText"/>
            </w:pPr>
            <w:r>
              <w:t>ColorPicker3DE1o</w:t>
            </w:r>
          </w:p>
        </w:tc>
        <w:tc>
          <w:tcPr>
            <w:tcW w:w="0" w:type="auto"/>
            <w:vAlign w:val="center"/>
          </w:tcPr>
          <w:p w:rsidR="00024C0A" w:rsidRDefault="00694C0F">
            <w:pPr>
              <w:pStyle w:val="TableBodyText"/>
            </w:pPr>
            <w:r>
              <w:t>08A1</w:t>
            </w:r>
          </w:p>
        </w:tc>
      </w:tr>
      <w:tr w:rsidR="00024C0A" w:rsidTr="00024C0A">
        <w:tc>
          <w:tcPr>
            <w:tcW w:w="0" w:type="auto"/>
            <w:vAlign w:val="center"/>
          </w:tcPr>
          <w:p w:rsidR="00024C0A" w:rsidRDefault="00694C0F">
            <w:pPr>
              <w:pStyle w:val="TableBodyText"/>
            </w:pPr>
            <w:r>
              <w:t>ColorPickerShadowE1o</w:t>
            </w:r>
          </w:p>
        </w:tc>
        <w:tc>
          <w:tcPr>
            <w:tcW w:w="0" w:type="auto"/>
            <w:vAlign w:val="center"/>
          </w:tcPr>
          <w:p w:rsidR="00024C0A" w:rsidRDefault="00694C0F">
            <w:pPr>
              <w:pStyle w:val="TableBodyText"/>
            </w:pPr>
            <w:r>
              <w:t>08A0</w:t>
            </w:r>
          </w:p>
        </w:tc>
      </w:tr>
      <w:tr w:rsidR="00024C0A" w:rsidTr="00024C0A">
        <w:tc>
          <w:tcPr>
            <w:tcW w:w="0" w:type="auto"/>
            <w:vAlign w:val="center"/>
          </w:tcPr>
          <w:p w:rsidR="00024C0A" w:rsidRDefault="00694C0F">
            <w:pPr>
              <w:pStyle w:val="TableBodyText"/>
            </w:pPr>
            <w:r>
              <w:t>ColorSchemePicker</w:t>
            </w:r>
          </w:p>
        </w:tc>
        <w:tc>
          <w:tcPr>
            <w:tcW w:w="0" w:type="auto"/>
            <w:vAlign w:val="center"/>
          </w:tcPr>
          <w:p w:rsidR="00024C0A" w:rsidRDefault="00694C0F">
            <w:pPr>
              <w:pStyle w:val="TableBodyText"/>
            </w:pPr>
            <w:r>
              <w:t>08FC</w:t>
            </w:r>
          </w:p>
        </w:tc>
      </w:tr>
      <w:tr w:rsidR="00024C0A" w:rsidTr="00024C0A">
        <w:tc>
          <w:tcPr>
            <w:tcW w:w="0" w:type="auto"/>
            <w:vAlign w:val="center"/>
          </w:tcPr>
          <w:p w:rsidR="00024C0A" w:rsidRDefault="00694C0F">
            <w:pPr>
              <w:pStyle w:val="TableBodyText"/>
            </w:pPr>
            <w:r>
              <w:t>ColumnSelect</w:t>
            </w:r>
          </w:p>
        </w:tc>
        <w:tc>
          <w:tcPr>
            <w:tcW w:w="0" w:type="auto"/>
            <w:vAlign w:val="center"/>
          </w:tcPr>
          <w:p w:rsidR="00024C0A" w:rsidRDefault="00694C0F">
            <w:pPr>
              <w:pStyle w:val="TableBodyText"/>
            </w:pPr>
            <w:r>
              <w:t>001B</w:t>
            </w:r>
          </w:p>
        </w:tc>
      </w:tr>
      <w:tr w:rsidR="00024C0A" w:rsidTr="00024C0A">
        <w:tc>
          <w:tcPr>
            <w:tcW w:w="0" w:type="auto"/>
            <w:vAlign w:val="center"/>
          </w:tcPr>
          <w:p w:rsidR="00024C0A" w:rsidRDefault="00694C0F">
            <w:pPr>
              <w:pStyle w:val="TableBodyText"/>
            </w:pPr>
            <w:r>
              <w:t>Columns</w:t>
            </w:r>
          </w:p>
        </w:tc>
        <w:tc>
          <w:tcPr>
            <w:tcW w:w="0" w:type="auto"/>
            <w:vAlign w:val="center"/>
          </w:tcPr>
          <w:p w:rsidR="00024C0A" w:rsidRDefault="00694C0F">
            <w:pPr>
              <w:pStyle w:val="TableBodyText"/>
            </w:pPr>
            <w:r>
              <w:t>0212</w:t>
            </w:r>
          </w:p>
        </w:tc>
      </w:tr>
      <w:tr w:rsidR="00024C0A" w:rsidTr="00024C0A">
        <w:tc>
          <w:tcPr>
            <w:tcW w:w="0" w:type="auto"/>
            <w:vAlign w:val="center"/>
          </w:tcPr>
          <w:p w:rsidR="00024C0A" w:rsidRDefault="00694C0F">
            <w:pPr>
              <w:pStyle w:val="TableBodyText"/>
            </w:pPr>
            <w:r>
              <w:t>ColumnsGallery</w:t>
            </w:r>
          </w:p>
        </w:tc>
        <w:tc>
          <w:tcPr>
            <w:tcW w:w="0" w:type="auto"/>
            <w:vAlign w:val="center"/>
          </w:tcPr>
          <w:p w:rsidR="00024C0A" w:rsidRDefault="00694C0F">
            <w:pPr>
              <w:pStyle w:val="TableBodyText"/>
            </w:pPr>
            <w:r>
              <w:t>07BC</w:t>
            </w:r>
          </w:p>
        </w:tc>
      </w:tr>
      <w:tr w:rsidR="00024C0A" w:rsidTr="00024C0A">
        <w:tc>
          <w:tcPr>
            <w:tcW w:w="0" w:type="auto"/>
            <w:vAlign w:val="center"/>
          </w:tcPr>
          <w:p w:rsidR="00024C0A" w:rsidRDefault="00694C0F">
            <w:pPr>
              <w:pStyle w:val="TableBodyText"/>
            </w:pPr>
            <w:r>
              <w:t>CommaAccent</w:t>
            </w:r>
          </w:p>
        </w:tc>
        <w:tc>
          <w:tcPr>
            <w:tcW w:w="0" w:type="auto"/>
            <w:vAlign w:val="center"/>
          </w:tcPr>
          <w:p w:rsidR="00024C0A" w:rsidRDefault="00694C0F">
            <w:pPr>
              <w:pStyle w:val="TableBodyText"/>
            </w:pPr>
            <w:r>
              <w:t>02FE</w:t>
            </w:r>
          </w:p>
        </w:tc>
      </w:tr>
      <w:tr w:rsidR="00024C0A" w:rsidTr="00024C0A">
        <w:tc>
          <w:tcPr>
            <w:tcW w:w="0" w:type="auto"/>
            <w:vAlign w:val="center"/>
          </w:tcPr>
          <w:p w:rsidR="00024C0A" w:rsidRDefault="00694C0F">
            <w:pPr>
              <w:pStyle w:val="TableBodyText"/>
            </w:pPr>
            <w:r>
              <w:lastRenderedPageBreak/>
              <w:t>CompareDocumentsCombine</w:t>
            </w:r>
          </w:p>
        </w:tc>
        <w:tc>
          <w:tcPr>
            <w:tcW w:w="0" w:type="auto"/>
            <w:vAlign w:val="center"/>
          </w:tcPr>
          <w:p w:rsidR="00024C0A" w:rsidRDefault="00694C0F">
            <w:pPr>
              <w:pStyle w:val="TableBodyText"/>
            </w:pPr>
            <w:r>
              <w:t>0815</w:t>
            </w:r>
          </w:p>
        </w:tc>
      </w:tr>
      <w:tr w:rsidR="00024C0A" w:rsidTr="00024C0A">
        <w:tc>
          <w:tcPr>
            <w:tcW w:w="0" w:type="auto"/>
            <w:vAlign w:val="center"/>
          </w:tcPr>
          <w:p w:rsidR="00024C0A" w:rsidRDefault="00694C0F">
            <w:pPr>
              <w:pStyle w:val="TableBodyText"/>
            </w:pPr>
            <w:r>
              <w:t>CompareDocumentsCompare</w:t>
            </w:r>
          </w:p>
        </w:tc>
        <w:tc>
          <w:tcPr>
            <w:tcW w:w="0" w:type="auto"/>
            <w:vAlign w:val="center"/>
          </w:tcPr>
          <w:p w:rsidR="00024C0A" w:rsidRDefault="00694C0F">
            <w:pPr>
              <w:pStyle w:val="TableBodyText"/>
            </w:pPr>
            <w:r>
              <w:t>0814</w:t>
            </w:r>
          </w:p>
        </w:tc>
      </w:tr>
      <w:tr w:rsidR="00024C0A" w:rsidTr="00024C0A">
        <w:tc>
          <w:tcPr>
            <w:tcW w:w="0" w:type="auto"/>
            <w:vAlign w:val="center"/>
          </w:tcPr>
          <w:p w:rsidR="00024C0A" w:rsidRDefault="00694C0F">
            <w:pPr>
              <w:pStyle w:val="TableBodyText"/>
            </w:pPr>
            <w:r>
              <w:t>CompareDocumentsLastMajor</w:t>
            </w:r>
          </w:p>
        </w:tc>
        <w:tc>
          <w:tcPr>
            <w:tcW w:w="0" w:type="auto"/>
            <w:vAlign w:val="center"/>
          </w:tcPr>
          <w:p w:rsidR="00024C0A" w:rsidRDefault="00694C0F">
            <w:pPr>
              <w:pStyle w:val="TableBodyText"/>
            </w:pPr>
            <w:r>
              <w:t>0816</w:t>
            </w:r>
          </w:p>
        </w:tc>
      </w:tr>
      <w:tr w:rsidR="00024C0A" w:rsidTr="00024C0A">
        <w:tc>
          <w:tcPr>
            <w:tcW w:w="0" w:type="auto"/>
            <w:vAlign w:val="center"/>
          </w:tcPr>
          <w:p w:rsidR="00024C0A" w:rsidRDefault="00694C0F">
            <w:pPr>
              <w:pStyle w:val="TableBodyText"/>
            </w:pPr>
            <w:r>
              <w:t>CompareDocumentsLastMinor</w:t>
            </w:r>
          </w:p>
        </w:tc>
        <w:tc>
          <w:tcPr>
            <w:tcW w:w="0" w:type="auto"/>
            <w:vAlign w:val="center"/>
          </w:tcPr>
          <w:p w:rsidR="00024C0A" w:rsidRDefault="00694C0F">
            <w:pPr>
              <w:pStyle w:val="TableBodyText"/>
            </w:pPr>
            <w:r>
              <w:t>0817</w:t>
            </w:r>
          </w:p>
        </w:tc>
      </w:tr>
      <w:tr w:rsidR="00024C0A" w:rsidTr="00024C0A">
        <w:tc>
          <w:tcPr>
            <w:tcW w:w="0" w:type="auto"/>
            <w:vAlign w:val="center"/>
          </w:tcPr>
          <w:p w:rsidR="00024C0A" w:rsidRDefault="00694C0F">
            <w:pPr>
              <w:pStyle w:val="TableBodyText"/>
            </w:pPr>
            <w:r>
              <w:t>CompareDocumentsVersion</w:t>
            </w:r>
          </w:p>
        </w:tc>
        <w:tc>
          <w:tcPr>
            <w:tcW w:w="0" w:type="auto"/>
            <w:vAlign w:val="center"/>
          </w:tcPr>
          <w:p w:rsidR="00024C0A" w:rsidRDefault="00694C0F">
            <w:pPr>
              <w:pStyle w:val="TableBodyText"/>
            </w:pPr>
            <w:r>
              <w:t>0818</w:t>
            </w:r>
          </w:p>
        </w:tc>
      </w:tr>
      <w:tr w:rsidR="00024C0A" w:rsidTr="00024C0A">
        <w:tc>
          <w:tcPr>
            <w:tcW w:w="0" w:type="auto"/>
            <w:vAlign w:val="center"/>
          </w:tcPr>
          <w:p w:rsidR="00024C0A" w:rsidRDefault="00694C0F">
            <w:pPr>
              <w:pStyle w:val="TableBodyText"/>
            </w:pPr>
            <w:r>
              <w:t>CompareTranslationBaseDocuments</w:t>
            </w:r>
          </w:p>
        </w:tc>
        <w:tc>
          <w:tcPr>
            <w:tcW w:w="0" w:type="auto"/>
            <w:vAlign w:val="center"/>
          </w:tcPr>
          <w:p w:rsidR="00024C0A" w:rsidRDefault="00694C0F">
            <w:pPr>
              <w:pStyle w:val="TableBodyText"/>
            </w:pPr>
            <w:r>
              <w:t>08FA</w:t>
            </w:r>
          </w:p>
        </w:tc>
      </w:tr>
      <w:tr w:rsidR="00024C0A" w:rsidTr="00024C0A">
        <w:tc>
          <w:tcPr>
            <w:tcW w:w="0" w:type="auto"/>
            <w:vAlign w:val="center"/>
          </w:tcPr>
          <w:p w:rsidR="00024C0A" w:rsidRDefault="00694C0F">
            <w:pPr>
              <w:pStyle w:val="TableBodyText"/>
            </w:pPr>
            <w:r>
              <w:t>CompatChkr</w:t>
            </w:r>
          </w:p>
        </w:tc>
        <w:tc>
          <w:tcPr>
            <w:tcW w:w="0" w:type="auto"/>
            <w:vAlign w:val="center"/>
          </w:tcPr>
          <w:p w:rsidR="00024C0A" w:rsidRDefault="00694C0F">
            <w:pPr>
              <w:pStyle w:val="TableBodyText"/>
            </w:pPr>
            <w:r>
              <w:t>0987</w:t>
            </w:r>
          </w:p>
        </w:tc>
      </w:tr>
      <w:tr w:rsidR="00024C0A" w:rsidTr="00024C0A">
        <w:tc>
          <w:tcPr>
            <w:tcW w:w="0" w:type="auto"/>
            <w:vAlign w:val="center"/>
          </w:tcPr>
          <w:p w:rsidR="00024C0A" w:rsidRDefault="00694C0F">
            <w:pPr>
              <w:pStyle w:val="TableBodyText"/>
            </w:pPr>
            <w:r>
              <w:t>Condensed</w:t>
            </w:r>
          </w:p>
        </w:tc>
        <w:tc>
          <w:tcPr>
            <w:tcW w:w="0" w:type="auto"/>
            <w:vAlign w:val="center"/>
          </w:tcPr>
          <w:p w:rsidR="00024C0A" w:rsidRDefault="00694C0F">
            <w:pPr>
              <w:pStyle w:val="TableBodyText"/>
            </w:pPr>
            <w:r>
              <w:t>0213</w:t>
            </w:r>
          </w:p>
        </w:tc>
      </w:tr>
      <w:tr w:rsidR="00024C0A" w:rsidTr="00024C0A">
        <w:tc>
          <w:tcPr>
            <w:tcW w:w="0" w:type="auto"/>
            <w:vAlign w:val="center"/>
          </w:tcPr>
          <w:p w:rsidR="00024C0A" w:rsidRDefault="00694C0F">
            <w:pPr>
              <w:pStyle w:val="TableBodyText"/>
            </w:pPr>
            <w:r>
              <w:t>Connect</w:t>
            </w:r>
          </w:p>
        </w:tc>
        <w:tc>
          <w:tcPr>
            <w:tcW w:w="0" w:type="auto"/>
            <w:vAlign w:val="center"/>
          </w:tcPr>
          <w:p w:rsidR="00024C0A" w:rsidRDefault="00694C0F">
            <w:pPr>
              <w:pStyle w:val="TableBodyText"/>
            </w:pPr>
            <w:r>
              <w:t>01A4</w:t>
            </w:r>
          </w:p>
        </w:tc>
      </w:tr>
      <w:tr w:rsidR="00024C0A" w:rsidTr="00024C0A">
        <w:tc>
          <w:tcPr>
            <w:tcW w:w="0" w:type="auto"/>
            <w:vAlign w:val="center"/>
          </w:tcPr>
          <w:p w:rsidR="00024C0A" w:rsidRDefault="00694C0F">
            <w:pPr>
              <w:pStyle w:val="TableBodyText"/>
            </w:pPr>
            <w:r>
              <w:t>ContentControlBuildingBlockGallery</w:t>
            </w:r>
          </w:p>
        </w:tc>
        <w:tc>
          <w:tcPr>
            <w:tcW w:w="0" w:type="auto"/>
            <w:vAlign w:val="center"/>
          </w:tcPr>
          <w:p w:rsidR="00024C0A" w:rsidRDefault="00694C0F">
            <w:pPr>
              <w:pStyle w:val="TableBodyText"/>
            </w:pPr>
            <w:r>
              <w:t>0954</w:t>
            </w:r>
          </w:p>
        </w:tc>
      </w:tr>
      <w:tr w:rsidR="00024C0A" w:rsidTr="00024C0A">
        <w:tc>
          <w:tcPr>
            <w:tcW w:w="0" w:type="auto"/>
            <w:vAlign w:val="center"/>
          </w:tcPr>
          <w:p w:rsidR="00024C0A" w:rsidRDefault="00694C0F">
            <w:pPr>
              <w:pStyle w:val="TableBodyText"/>
            </w:pPr>
            <w:r>
              <w:t>ContentControlComboBox</w:t>
            </w:r>
          </w:p>
        </w:tc>
        <w:tc>
          <w:tcPr>
            <w:tcW w:w="0" w:type="auto"/>
            <w:vAlign w:val="center"/>
          </w:tcPr>
          <w:p w:rsidR="00024C0A" w:rsidRDefault="00694C0F">
            <w:pPr>
              <w:pStyle w:val="TableBodyText"/>
            </w:pPr>
            <w:r>
              <w:t>0952</w:t>
            </w:r>
          </w:p>
        </w:tc>
      </w:tr>
      <w:tr w:rsidR="00024C0A" w:rsidTr="00024C0A">
        <w:tc>
          <w:tcPr>
            <w:tcW w:w="0" w:type="auto"/>
            <w:vAlign w:val="center"/>
          </w:tcPr>
          <w:p w:rsidR="00024C0A" w:rsidRDefault="00694C0F">
            <w:pPr>
              <w:pStyle w:val="TableBodyText"/>
            </w:pPr>
            <w:r>
              <w:t>ContentControlDate</w:t>
            </w:r>
          </w:p>
        </w:tc>
        <w:tc>
          <w:tcPr>
            <w:tcW w:w="0" w:type="auto"/>
            <w:vAlign w:val="center"/>
          </w:tcPr>
          <w:p w:rsidR="00024C0A" w:rsidRDefault="00694C0F">
            <w:pPr>
              <w:pStyle w:val="TableBodyText"/>
            </w:pPr>
            <w:r>
              <w:t>0955</w:t>
            </w:r>
          </w:p>
        </w:tc>
      </w:tr>
      <w:tr w:rsidR="00024C0A" w:rsidTr="00024C0A">
        <w:tc>
          <w:tcPr>
            <w:tcW w:w="0" w:type="auto"/>
            <w:vAlign w:val="center"/>
          </w:tcPr>
          <w:p w:rsidR="00024C0A" w:rsidRDefault="00694C0F">
            <w:pPr>
              <w:pStyle w:val="TableBodyText"/>
            </w:pPr>
            <w:r>
              <w:t>ContentControlDropdownList</w:t>
            </w:r>
          </w:p>
        </w:tc>
        <w:tc>
          <w:tcPr>
            <w:tcW w:w="0" w:type="auto"/>
            <w:vAlign w:val="center"/>
          </w:tcPr>
          <w:p w:rsidR="00024C0A" w:rsidRDefault="00694C0F">
            <w:pPr>
              <w:pStyle w:val="TableBodyText"/>
            </w:pPr>
            <w:r>
              <w:t>0953</w:t>
            </w:r>
          </w:p>
        </w:tc>
      </w:tr>
      <w:tr w:rsidR="00024C0A" w:rsidTr="00024C0A">
        <w:tc>
          <w:tcPr>
            <w:tcW w:w="0" w:type="auto"/>
            <w:vAlign w:val="center"/>
          </w:tcPr>
          <w:p w:rsidR="00024C0A" w:rsidRDefault="00694C0F">
            <w:pPr>
              <w:pStyle w:val="TableBodyText"/>
            </w:pPr>
            <w:r>
              <w:t>ContentControlGroup</w:t>
            </w:r>
          </w:p>
        </w:tc>
        <w:tc>
          <w:tcPr>
            <w:tcW w:w="0" w:type="auto"/>
            <w:vAlign w:val="center"/>
          </w:tcPr>
          <w:p w:rsidR="00024C0A" w:rsidRDefault="00694C0F">
            <w:pPr>
              <w:pStyle w:val="TableBodyText"/>
            </w:pPr>
            <w:r>
              <w:t>094A</w:t>
            </w:r>
          </w:p>
        </w:tc>
      </w:tr>
      <w:tr w:rsidR="00024C0A" w:rsidTr="00024C0A">
        <w:tc>
          <w:tcPr>
            <w:tcW w:w="0" w:type="auto"/>
            <w:vAlign w:val="center"/>
          </w:tcPr>
          <w:p w:rsidR="00024C0A" w:rsidRDefault="00694C0F">
            <w:pPr>
              <w:pStyle w:val="TableBodyText"/>
            </w:pPr>
            <w:r>
              <w:t>ContentControlPicture</w:t>
            </w:r>
          </w:p>
        </w:tc>
        <w:tc>
          <w:tcPr>
            <w:tcW w:w="0" w:type="auto"/>
            <w:vAlign w:val="center"/>
          </w:tcPr>
          <w:p w:rsidR="00024C0A" w:rsidRDefault="00694C0F">
            <w:pPr>
              <w:pStyle w:val="TableBodyText"/>
            </w:pPr>
            <w:r>
              <w:t>0951</w:t>
            </w:r>
          </w:p>
        </w:tc>
      </w:tr>
      <w:tr w:rsidR="00024C0A" w:rsidTr="00024C0A">
        <w:tc>
          <w:tcPr>
            <w:tcW w:w="0" w:type="auto"/>
            <w:vAlign w:val="center"/>
          </w:tcPr>
          <w:p w:rsidR="00024C0A" w:rsidRDefault="00694C0F">
            <w:pPr>
              <w:pStyle w:val="TableBodyText"/>
            </w:pPr>
            <w:r>
              <w:t>ContentControlRichText</w:t>
            </w:r>
          </w:p>
        </w:tc>
        <w:tc>
          <w:tcPr>
            <w:tcW w:w="0" w:type="auto"/>
            <w:vAlign w:val="center"/>
          </w:tcPr>
          <w:p w:rsidR="00024C0A" w:rsidRDefault="00694C0F">
            <w:pPr>
              <w:pStyle w:val="TableBodyText"/>
            </w:pPr>
            <w:r>
              <w:t>094F</w:t>
            </w:r>
          </w:p>
        </w:tc>
      </w:tr>
      <w:tr w:rsidR="00024C0A" w:rsidTr="00024C0A">
        <w:tc>
          <w:tcPr>
            <w:tcW w:w="0" w:type="auto"/>
            <w:vAlign w:val="center"/>
          </w:tcPr>
          <w:p w:rsidR="00024C0A" w:rsidRDefault="00694C0F">
            <w:pPr>
              <w:pStyle w:val="TableBodyText"/>
            </w:pPr>
            <w:r>
              <w:t>ContentControlText</w:t>
            </w:r>
          </w:p>
        </w:tc>
        <w:tc>
          <w:tcPr>
            <w:tcW w:w="0" w:type="auto"/>
            <w:vAlign w:val="center"/>
          </w:tcPr>
          <w:p w:rsidR="00024C0A" w:rsidRDefault="00694C0F">
            <w:pPr>
              <w:pStyle w:val="TableBodyText"/>
            </w:pPr>
            <w:r>
              <w:t>0950</w:t>
            </w:r>
          </w:p>
        </w:tc>
      </w:tr>
      <w:tr w:rsidR="00024C0A" w:rsidTr="00024C0A">
        <w:tc>
          <w:tcPr>
            <w:tcW w:w="0" w:type="auto"/>
            <w:vAlign w:val="center"/>
          </w:tcPr>
          <w:p w:rsidR="00024C0A" w:rsidRDefault="00694C0F">
            <w:pPr>
              <w:pStyle w:val="TableBodyText"/>
            </w:pPr>
            <w:r>
              <w:t>ContentControlUngroup</w:t>
            </w:r>
          </w:p>
        </w:tc>
        <w:tc>
          <w:tcPr>
            <w:tcW w:w="0" w:type="auto"/>
            <w:vAlign w:val="center"/>
          </w:tcPr>
          <w:p w:rsidR="00024C0A" w:rsidRDefault="00694C0F">
            <w:pPr>
              <w:pStyle w:val="TableBodyText"/>
            </w:pPr>
            <w:r>
              <w:t>0978</w:t>
            </w:r>
          </w:p>
        </w:tc>
      </w:tr>
      <w:tr w:rsidR="00024C0A" w:rsidTr="00024C0A">
        <w:tc>
          <w:tcPr>
            <w:tcW w:w="0" w:type="auto"/>
            <w:vAlign w:val="center"/>
          </w:tcPr>
          <w:p w:rsidR="00024C0A" w:rsidRDefault="00694C0F">
            <w:pPr>
              <w:pStyle w:val="TableBodyText"/>
            </w:pPr>
            <w:r>
              <w:t>ContextHelp</w:t>
            </w:r>
          </w:p>
        </w:tc>
        <w:tc>
          <w:tcPr>
            <w:tcW w:w="0" w:type="auto"/>
            <w:vAlign w:val="center"/>
          </w:tcPr>
          <w:p w:rsidR="00024C0A" w:rsidRDefault="00694C0F">
            <w:pPr>
              <w:pStyle w:val="TableBodyText"/>
            </w:pPr>
            <w:r>
              <w:t>032D</w:t>
            </w:r>
          </w:p>
        </w:tc>
      </w:tr>
      <w:tr w:rsidR="00024C0A" w:rsidTr="00024C0A">
        <w:tc>
          <w:tcPr>
            <w:tcW w:w="0" w:type="auto"/>
            <w:vAlign w:val="center"/>
          </w:tcPr>
          <w:p w:rsidR="00024C0A" w:rsidRDefault="00694C0F">
            <w:pPr>
              <w:pStyle w:val="TableBodyText"/>
            </w:pPr>
            <w:r>
              <w:t>ContinueMacro</w:t>
            </w:r>
          </w:p>
        </w:tc>
        <w:tc>
          <w:tcPr>
            <w:tcW w:w="0" w:type="auto"/>
            <w:vAlign w:val="center"/>
          </w:tcPr>
          <w:p w:rsidR="00024C0A" w:rsidRDefault="00694C0F">
            <w:pPr>
              <w:pStyle w:val="TableBodyText"/>
            </w:pPr>
            <w:r>
              <w:t>010A</w:t>
            </w:r>
          </w:p>
        </w:tc>
      </w:tr>
      <w:tr w:rsidR="00024C0A" w:rsidTr="00024C0A">
        <w:tc>
          <w:tcPr>
            <w:tcW w:w="0" w:type="auto"/>
            <w:vAlign w:val="center"/>
          </w:tcPr>
          <w:p w:rsidR="00024C0A" w:rsidRDefault="00694C0F">
            <w:pPr>
              <w:pStyle w:val="TableBodyText"/>
            </w:pPr>
            <w:r>
              <w:t>ContinueNumbering</w:t>
            </w:r>
          </w:p>
        </w:tc>
        <w:tc>
          <w:tcPr>
            <w:tcW w:w="0" w:type="auto"/>
            <w:vAlign w:val="center"/>
          </w:tcPr>
          <w:p w:rsidR="00024C0A" w:rsidRDefault="00694C0F">
            <w:pPr>
              <w:pStyle w:val="TableBodyText"/>
            </w:pPr>
            <w:r>
              <w:t>04E7</w:t>
            </w:r>
          </w:p>
        </w:tc>
      </w:tr>
      <w:tr w:rsidR="00024C0A" w:rsidTr="00024C0A">
        <w:tc>
          <w:tcPr>
            <w:tcW w:w="0" w:type="auto"/>
            <w:vAlign w:val="center"/>
          </w:tcPr>
          <w:p w:rsidR="00024C0A" w:rsidRDefault="00694C0F">
            <w:pPr>
              <w:pStyle w:val="TableBodyText"/>
            </w:pPr>
            <w:r>
              <w:t>ContrastGallery</w:t>
            </w:r>
          </w:p>
        </w:tc>
        <w:tc>
          <w:tcPr>
            <w:tcW w:w="0" w:type="auto"/>
            <w:vAlign w:val="center"/>
          </w:tcPr>
          <w:p w:rsidR="00024C0A" w:rsidRDefault="00694C0F">
            <w:pPr>
              <w:pStyle w:val="TableBodyText"/>
            </w:pPr>
            <w:r>
              <w:t>0852</w:t>
            </w:r>
          </w:p>
        </w:tc>
      </w:tr>
      <w:tr w:rsidR="00024C0A" w:rsidTr="00024C0A">
        <w:tc>
          <w:tcPr>
            <w:tcW w:w="0" w:type="auto"/>
            <w:vAlign w:val="center"/>
          </w:tcPr>
          <w:p w:rsidR="00024C0A" w:rsidRDefault="00694C0F">
            <w:pPr>
              <w:pStyle w:val="TableBodyText"/>
            </w:pPr>
            <w:r>
              <w:t>ControlProperties</w:t>
            </w:r>
          </w:p>
        </w:tc>
        <w:tc>
          <w:tcPr>
            <w:tcW w:w="0" w:type="auto"/>
            <w:vAlign w:val="center"/>
          </w:tcPr>
          <w:p w:rsidR="00024C0A" w:rsidRDefault="00694C0F">
            <w:pPr>
              <w:pStyle w:val="TableBodyText"/>
            </w:pPr>
            <w:r>
              <w:t>0849</w:t>
            </w:r>
          </w:p>
        </w:tc>
      </w:tr>
      <w:tr w:rsidR="00024C0A" w:rsidTr="00024C0A">
        <w:tc>
          <w:tcPr>
            <w:tcW w:w="0" w:type="auto"/>
            <w:vAlign w:val="center"/>
          </w:tcPr>
          <w:p w:rsidR="00024C0A" w:rsidRDefault="00694C0F">
            <w:pPr>
              <w:pStyle w:val="TableBodyText"/>
            </w:pPr>
            <w:r>
              <w:t>ControlRun</w:t>
            </w:r>
          </w:p>
        </w:tc>
        <w:tc>
          <w:tcPr>
            <w:tcW w:w="0" w:type="auto"/>
            <w:vAlign w:val="center"/>
          </w:tcPr>
          <w:p w:rsidR="00024C0A" w:rsidRDefault="00694C0F">
            <w:pPr>
              <w:pStyle w:val="TableBodyText"/>
            </w:pPr>
            <w:r>
              <w:t>00EB</w:t>
            </w:r>
          </w:p>
        </w:tc>
      </w:tr>
      <w:tr w:rsidR="00024C0A" w:rsidTr="00024C0A">
        <w:tc>
          <w:tcPr>
            <w:tcW w:w="0" w:type="auto"/>
            <w:vAlign w:val="center"/>
          </w:tcPr>
          <w:p w:rsidR="00024C0A" w:rsidRDefault="00694C0F">
            <w:pPr>
              <w:pStyle w:val="TableBodyText"/>
            </w:pPr>
            <w:r>
              <w:t>ConvertObject</w:t>
            </w:r>
          </w:p>
        </w:tc>
        <w:tc>
          <w:tcPr>
            <w:tcW w:w="0" w:type="auto"/>
            <w:vAlign w:val="center"/>
          </w:tcPr>
          <w:p w:rsidR="00024C0A" w:rsidRDefault="00694C0F">
            <w:pPr>
              <w:pStyle w:val="TableBodyText"/>
            </w:pPr>
            <w:r>
              <w:t>0188</w:t>
            </w:r>
          </w:p>
        </w:tc>
      </w:tr>
      <w:tr w:rsidR="00024C0A" w:rsidTr="00024C0A">
        <w:tc>
          <w:tcPr>
            <w:tcW w:w="0" w:type="auto"/>
            <w:vAlign w:val="center"/>
          </w:tcPr>
          <w:p w:rsidR="00024C0A" w:rsidRDefault="00694C0F">
            <w:pPr>
              <w:pStyle w:val="TableBodyText"/>
            </w:pPr>
            <w:r>
              <w:t>ConvertTextBoxToFrame</w:t>
            </w:r>
          </w:p>
        </w:tc>
        <w:tc>
          <w:tcPr>
            <w:tcW w:w="0" w:type="auto"/>
            <w:vAlign w:val="center"/>
          </w:tcPr>
          <w:p w:rsidR="00024C0A" w:rsidRDefault="00694C0F">
            <w:pPr>
              <w:pStyle w:val="TableBodyText"/>
            </w:pPr>
            <w:r>
              <w:t>0394</w:t>
            </w:r>
          </w:p>
        </w:tc>
      </w:tr>
      <w:tr w:rsidR="00024C0A" w:rsidTr="00024C0A">
        <w:tc>
          <w:tcPr>
            <w:tcW w:w="0" w:type="auto"/>
            <w:vAlign w:val="center"/>
          </w:tcPr>
          <w:p w:rsidR="00024C0A" w:rsidRDefault="00694C0F">
            <w:pPr>
              <w:pStyle w:val="TableBodyText"/>
            </w:pPr>
            <w:r>
              <w:t>CopyButtonImage</w:t>
            </w:r>
          </w:p>
        </w:tc>
        <w:tc>
          <w:tcPr>
            <w:tcW w:w="0" w:type="auto"/>
            <w:vAlign w:val="center"/>
          </w:tcPr>
          <w:p w:rsidR="00024C0A" w:rsidRDefault="00694C0F">
            <w:pPr>
              <w:pStyle w:val="TableBodyText"/>
            </w:pPr>
            <w:r>
              <w:t>020E</w:t>
            </w:r>
          </w:p>
        </w:tc>
      </w:tr>
      <w:tr w:rsidR="00024C0A" w:rsidTr="00024C0A">
        <w:tc>
          <w:tcPr>
            <w:tcW w:w="0" w:type="auto"/>
            <w:vAlign w:val="center"/>
          </w:tcPr>
          <w:p w:rsidR="00024C0A" w:rsidRDefault="00694C0F">
            <w:pPr>
              <w:pStyle w:val="TableBodyText"/>
            </w:pPr>
            <w:r>
              <w:t>CopyFile</w:t>
            </w:r>
          </w:p>
        </w:tc>
        <w:tc>
          <w:tcPr>
            <w:tcW w:w="0" w:type="auto"/>
            <w:vAlign w:val="center"/>
          </w:tcPr>
          <w:p w:rsidR="00024C0A" w:rsidRDefault="00694C0F">
            <w:pPr>
              <w:pStyle w:val="TableBodyText"/>
            </w:pPr>
            <w:r>
              <w:t>012C</w:t>
            </w:r>
          </w:p>
        </w:tc>
      </w:tr>
      <w:tr w:rsidR="00024C0A" w:rsidTr="00024C0A">
        <w:tc>
          <w:tcPr>
            <w:tcW w:w="0" w:type="auto"/>
            <w:vAlign w:val="center"/>
          </w:tcPr>
          <w:p w:rsidR="00024C0A" w:rsidRDefault="00694C0F">
            <w:pPr>
              <w:pStyle w:val="TableBodyText"/>
            </w:pPr>
            <w:r>
              <w:t>CopyFormat</w:t>
            </w:r>
          </w:p>
        </w:tc>
        <w:tc>
          <w:tcPr>
            <w:tcW w:w="0" w:type="auto"/>
            <w:vAlign w:val="center"/>
          </w:tcPr>
          <w:p w:rsidR="00024C0A" w:rsidRDefault="00694C0F">
            <w:pPr>
              <w:pStyle w:val="TableBodyText"/>
            </w:pPr>
            <w:r>
              <w:t>0049</w:t>
            </w:r>
          </w:p>
        </w:tc>
      </w:tr>
      <w:tr w:rsidR="00024C0A" w:rsidTr="00024C0A">
        <w:tc>
          <w:tcPr>
            <w:tcW w:w="0" w:type="auto"/>
            <w:vAlign w:val="center"/>
          </w:tcPr>
          <w:p w:rsidR="00024C0A" w:rsidRDefault="00694C0F">
            <w:pPr>
              <w:pStyle w:val="TableBodyText"/>
            </w:pPr>
            <w:r>
              <w:t>CopyInkAsText</w:t>
            </w:r>
          </w:p>
        </w:tc>
        <w:tc>
          <w:tcPr>
            <w:tcW w:w="0" w:type="auto"/>
            <w:vAlign w:val="center"/>
          </w:tcPr>
          <w:p w:rsidR="00024C0A" w:rsidRDefault="00694C0F">
            <w:pPr>
              <w:pStyle w:val="TableBodyText"/>
            </w:pPr>
            <w:r>
              <w:t>05C2</w:t>
            </w:r>
          </w:p>
        </w:tc>
      </w:tr>
      <w:tr w:rsidR="00024C0A" w:rsidTr="00024C0A">
        <w:tc>
          <w:tcPr>
            <w:tcW w:w="0" w:type="auto"/>
            <w:vAlign w:val="center"/>
          </w:tcPr>
          <w:p w:rsidR="00024C0A" w:rsidRDefault="00694C0F">
            <w:pPr>
              <w:pStyle w:val="TableBodyText"/>
            </w:pPr>
            <w:r>
              <w:t>CopyText</w:t>
            </w:r>
          </w:p>
        </w:tc>
        <w:tc>
          <w:tcPr>
            <w:tcW w:w="0" w:type="auto"/>
            <w:vAlign w:val="center"/>
          </w:tcPr>
          <w:p w:rsidR="00024C0A" w:rsidRDefault="00694C0F">
            <w:pPr>
              <w:pStyle w:val="TableBodyText"/>
            </w:pPr>
            <w:r>
              <w:t>0013</w:t>
            </w:r>
          </w:p>
        </w:tc>
      </w:tr>
      <w:tr w:rsidR="00024C0A" w:rsidTr="00024C0A">
        <w:tc>
          <w:tcPr>
            <w:tcW w:w="0" w:type="auto"/>
            <w:vAlign w:val="center"/>
          </w:tcPr>
          <w:p w:rsidR="00024C0A" w:rsidRDefault="00694C0F">
            <w:pPr>
              <w:pStyle w:val="TableBodyText"/>
            </w:pPr>
            <w:r>
              <w:t>CoverPageGallery</w:t>
            </w:r>
          </w:p>
        </w:tc>
        <w:tc>
          <w:tcPr>
            <w:tcW w:w="0" w:type="auto"/>
            <w:vAlign w:val="center"/>
          </w:tcPr>
          <w:p w:rsidR="00024C0A" w:rsidRDefault="00694C0F">
            <w:pPr>
              <w:pStyle w:val="TableBodyText"/>
            </w:pPr>
            <w:r>
              <w:t>07E5</w:t>
            </w:r>
          </w:p>
        </w:tc>
      </w:tr>
      <w:tr w:rsidR="00024C0A" w:rsidTr="00024C0A">
        <w:tc>
          <w:tcPr>
            <w:tcW w:w="0" w:type="auto"/>
            <w:vAlign w:val="center"/>
          </w:tcPr>
          <w:p w:rsidR="00024C0A" w:rsidRDefault="00694C0F">
            <w:pPr>
              <w:pStyle w:val="TableBodyText"/>
            </w:pPr>
            <w:r>
              <w:lastRenderedPageBreak/>
              <w:t>CreateAutoText</w:t>
            </w:r>
          </w:p>
        </w:tc>
        <w:tc>
          <w:tcPr>
            <w:tcW w:w="0" w:type="auto"/>
            <w:vAlign w:val="center"/>
          </w:tcPr>
          <w:p w:rsidR="00024C0A" w:rsidRDefault="00694C0F">
            <w:pPr>
              <w:pStyle w:val="TableBodyText"/>
            </w:pPr>
            <w:r>
              <w:t>0368</w:t>
            </w:r>
          </w:p>
        </w:tc>
      </w:tr>
      <w:tr w:rsidR="00024C0A" w:rsidTr="00024C0A">
        <w:tc>
          <w:tcPr>
            <w:tcW w:w="0" w:type="auto"/>
            <w:vAlign w:val="center"/>
          </w:tcPr>
          <w:p w:rsidR="00024C0A" w:rsidRDefault="00694C0F">
            <w:pPr>
              <w:pStyle w:val="TableBodyText"/>
            </w:pPr>
            <w:r>
              <w:t>CreateAutoTextBlockFromSel</w:t>
            </w:r>
          </w:p>
        </w:tc>
        <w:tc>
          <w:tcPr>
            <w:tcW w:w="0" w:type="auto"/>
            <w:vAlign w:val="center"/>
          </w:tcPr>
          <w:p w:rsidR="00024C0A" w:rsidRDefault="00694C0F">
            <w:pPr>
              <w:pStyle w:val="TableBodyText"/>
            </w:pPr>
            <w:r>
              <w:t>08E1</w:t>
            </w:r>
          </w:p>
        </w:tc>
      </w:tr>
      <w:tr w:rsidR="00024C0A" w:rsidTr="00024C0A">
        <w:tc>
          <w:tcPr>
            <w:tcW w:w="0" w:type="auto"/>
            <w:vAlign w:val="center"/>
          </w:tcPr>
          <w:p w:rsidR="00024C0A" w:rsidRDefault="00694C0F">
            <w:pPr>
              <w:pStyle w:val="TableBodyText"/>
            </w:pPr>
            <w:r>
              <w:t>CreateBibliographyFromSel</w:t>
            </w:r>
          </w:p>
        </w:tc>
        <w:tc>
          <w:tcPr>
            <w:tcW w:w="0" w:type="auto"/>
            <w:vAlign w:val="center"/>
          </w:tcPr>
          <w:p w:rsidR="00024C0A" w:rsidRDefault="00694C0F">
            <w:pPr>
              <w:pStyle w:val="TableBodyText"/>
            </w:pPr>
            <w:r>
              <w:t>0971</w:t>
            </w:r>
          </w:p>
        </w:tc>
      </w:tr>
      <w:tr w:rsidR="00024C0A" w:rsidTr="00024C0A">
        <w:tc>
          <w:tcPr>
            <w:tcW w:w="0" w:type="auto"/>
            <w:vAlign w:val="center"/>
          </w:tcPr>
          <w:p w:rsidR="00024C0A" w:rsidRDefault="00694C0F">
            <w:pPr>
              <w:pStyle w:val="TableBodyText"/>
            </w:pPr>
            <w:r>
              <w:t>CreateBuildingBlockFromSel</w:t>
            </w:r>
          </w:p>
        </w:tc>
        <w:tc>
          <w:tcPr>
            <w:tcW w:w="0" w:type="auto"/>
            <w:vAlign w:val="center"/>
          </w:tcPr>
          <w:p w:rsidR="00024C0A" w:rsidRDefault="00694C0F">
            <w:pPr>
              <w:pStyle w:val="TableBodyText"/>
            </w:pPr>
            <w:r>
              <w:t>07E2</w:t>
            </w:r>
          </w:p>
        </w:tc>
      </w:tr>
      <w:tr w:rsidR="00024C0A" w:rsidTr="00024C0A">
        <w:tc>
          <w:tcPr>
            <w:tcW w:w="0" w:type="auto"/>
            <w:vAlign w:val="center"/>
          </w:tcPr>
          <w:p w:rsidR="00024C0A" w:rsidRDefault="00694C0F">
            <w:pPr>
              <w:pStyle w:val="TableBodyText"/>
            </w:pPr>
            <w:r>
              <w:t>CreateCommonFieldBlockFromSel</w:t>
            </w:r>
          </w:p>
        </w:tc>
        <w:tc>
          <w:tcPr>
            <w:tcW w:w="0" w:type="auto"/>
            <w:vAlign w:val="center"/>
          </w:tcPr>
          <w:p w:rsidR="00024C0A" w:rsidRDefault="00694C0F">
            <w:pPr>
              <w:pStyle w:val="TableBodyText"/>
            </w:pPr>
            <w:r>
              <w:t>07F3</w:t>
            </w:r>
          </w:p>
        </w:tc>
      </w:tr>
      <w:tr w:rsidR="00024C0A" w:rsidTr="00024C0A">
        <w:tc>
          <w:tcPr>
            <w:tcW w:w="0" w:type="auto"/>
            <w:vAlign w:val="center"/>
          </w:tcPr>
          <w:p w:rsidR="00024C0A" w:rsidRDefault="00694C0F">
            <w:pPr>
              <w:pStyle w:val="TableBodyText"/>
            </w:pPr>
            <w:r>
              <w:t>CreateCoverPageBlockFromSel</w:t>
            </w:r>
          </w:p>
        </w:tc>
        <w:tc>
          <w:tcPr>
            <w:tcW w:w="0" w:type="auto"/>
            <w:vAlign w:val="center"/>
          </w:tcPr>
          <w:p w:rsidR="00024C0A" w:rsidRDefault="00694C0F">
            <w:pPr>
              <w:pStyle w:val="TableBodyText"/>
            </w:pPr>
            <w:r>
              <w:t>07F4</w:t>
            </w:r>
          </w:p>
        </w:tc>
      </w:tr>
      <w:tr w:rsidR="00024C0A" w:rsidTr="00024C0A">
        <w:tc>
          <w:tcPr>
            <w:tcW w:w="0" w:type="auto"/>
            <w:vAlign w:val="center"/>
          </w:tcPr>
          <w:p w:rsidR="00024C0A" w:rsidRDefault="00694C0F">
            <w:pPr>
              <w:pStyle w:val="TableBodyText"/>
            </w:pPr>
            <w:r>
              <w:t>CreateEquationBlockFromSel</w:t>
            </w:r>
          </w:p>
        </w:tc>
        <w:tc>
          <w:tcPr>
            <w:tcW w:w="0" w:type="auto"/>
            <w:vAlign w:val="center"/>
          </w:tcPr>
          <w:p w:rsidR="00024C0A" w:rsidRDefault="00694C0F">
            <w:pPr>
              <w:pStyle w:val="TableBodyText"/>
            </w:pPr>
            <w:r>
              <w:t>07F5</w:t>
            </w:r>
          </w:p>
        </w:tc>
      </w:tr>
      <w:tr w:rsidR="00024C0A" w:rsidTr="00024C0A">
        <w:tc>
          <w:tcPr>
            <w:tcW w:w="0" w:type="auto"/>
            <w:vAlign w:val="center"/>
          </w:tcPr>
          <w:p w:rsidR="00024C0A" w:rsidRDefault="00694C0F">
            <w:pPr>
              <w:pStyle w:val="TableBodyText"/>
            </w:pPr>
            <w:r>
              <w:t>CreateFooterBlockFromSel</w:t>
            </w:r>
          </w:p>
        </w:tc>
        <w:tc>
          <w:tcPr>
            <w:tcW w:w="0" w:type="auto"/>
            <w:vAlign w:val="center"/>
          </w:tcPr>
          <w:p w:rsidR="00024C0A" w:rsidRDefault="00694C0F">
            <w:pPr>
              <w:pStyle w:val="TableBodyText"/>
            </w:pPr>
            <w:r>
              <w:t>07F6</w:t>
            </w:r>
          </w:p>
        </w:tc>
      </w:tr>
      <w:tr w:rsidR="00024C0A" w:rsidTr="00024C0A">
        <w:tc>
          <w:tcPr>
            <w:tcW w:w="0" w:type="auto"/>
            <w:vAlign w:val="center"/>
          </w:tcPr>
          <w:p w:rsidR="00024C0A" w:rsidRDefault="00694C0F">
            <w:pPr>
              <w:pStyle w:val="TableBodyText"/>
            </w:pPr>
            <w:r>
              <w:t>CreateHeaderBlockFromSel</w:t>
            </w:r>
          </w:p>
        </w:tc>
        <w:tc>
          <w:tcPr>
            <w:tcW w:w="0" w:type="auto"/>
            <w:vAlign w:val="center"/>
          </w:tcPr>
          <w:p w:rsidR="00024C0A" w:rsidRDefault="00694C0F">
            <w:pPr>
              <w:pStyle w:val="TableBodyText"/>
            </w:pPr>
            <w:r>
              <w:t>07F7</w:t>
            </w:r>
          </w:p>
        </w:tc>
      </w:tr>
      <w:tr w:rsidR="00024C0A" w:rsidTr="00024C0A">
        <w:tc>
          <w:tcPr>
            <w:tcW w:w="0" w:type="auto"/>
            <w:vAlign w:val="center"/>
          </w:tcPr>
          <w:p w:rsidR="00024C0A" w:rsidRDefault="00694C0F">
            <w:pPr>
              <w:pStyle w:val="TableBodyText"/>
            </w:pPr>
            <w:r>
              <w:t>CreateLayoutBlockFromSel</w:t>
            </w:r>
          </w:p>
        </w:tc>
        <w:tc>
          <w:tcPr>
            <w:tcW w:w="0" w:type="auto"/>
            <w:vAlign w:val="center"/>
          </w:tcPr>
          <w:p w:rsidR="00024C0A" w:rsidRDefault="00694C0F">
            <w:pPr>
              <w:pStyle w:val="TableBodyText"/>
            </w:pPr>
            <w:r>
              <w:t>08E3</w:t>
            </w:r>
          </w:p>
        </w:tc>
      </w:tr>
      <w:tr w:rsidR="00024C0A" w:rsidTr="00024C0A">
        <w:tc>
          <w:tcPr>
            <w:tcW w:w="0" w:type="auto"/>
            <w:vAlign w:val="center"/>
          </w:tcPr>
          <w:p w:rsidR="00024C0A" w:rsidRDefault="00694C0F">
            <w:pPr>
              <w:pStyle w:val="TableBodyText"/>
            </w:pPr>
            <w:r>
              <w:t>CreateNewColorScheme</w:t>
            </w:r>
          </w:p>
        </w:tc>
        <w:tc>
          <w:tcPr>
            <w:tcW w:w="0" w:type="auto"/>
            <w:vAlign w:val="center"/>
          </w:tcPr>
          <w:p w:rsidR="00024C0A" w:rsidRDefault="00694C0F">
            <w:pPr>
              <w:pStyle w:val="TableBodyText"/>
            </w:pPr>
            <w:r>
              <w:t>0909</w:t>
            </w:r>
          </w:p>
        </w:tc>
      </w:tr>
      <w:tr w:rsidR="00024C0A" w:rsidTr="00024C0A">
        <w:tc>
          <w:tcPr>
            <w:tcW w:w="0" w:type="auto"/>
            <w:vAlign w:val="center"/>
          </w:tcPr>
          <w:p w:rsidR="00024C0A" w:rsidRDefault="00694C0F">
            <w:pPr>
              <w:pStyle w:val="TableBodyText"/>
            </w:pPr>
            <w:r>
              <w:t>CreateNewFontScheme</w:t>
            </w:r>
          </w:p>
        </w:tc>
        <w:tc>
          <w:tcPr>
            <w:tcW w:w="0" w:type="auto"/>
            <w:vAlign w:val="center"/>
          </w:tcPr>
          <w:p w:rsidR="00024C0A" w:rsidRDefault="00694C0F">
            <w:pPr>
              <w:pStyle w:val="TableBodyText"/>
            </w:pPr>
            <w:r>
              <w:t>0937</w:t>
            </w:r>
          </w:p>
        </w:tc>
      </w:tr>
      <w:tr w:rsidR="00024C0A" w:rsidTr="00024C0A">
        <w:tc>
          <w:tcPr>
            <w:tcW w:w="0" w:type="auto"/>
            <w:vAlign w:val="center"/>
          </w:tcPr>
          <w:p w:rsidR="00024C0A" w:rsidRDefault="00694C0F">
            <w:pPr>
              <w:pStyle w:val="TableBodyText"/>
            </w:pPr>
            <w:r>
              <w:t>CreatePageNumBottomFromSel</w:t>
            </w:r>
          </w:p>
        </w:tc>
        <w:tc>
          <w:tcPr>
            <w:tcW w:w="0" w:type="auto"/>
            <w:vAlign w:val="center"/>
          </w:tcPr>
          <w:p w:rsidR="00024C0A" w:rsidRDefault="00694C0F">
            <w:pPr>
              <w:pStyle w:val="TableBodyText"/>
            </w:pPr>
            <w:r>
              <w:t>07FB</w:t>
            </w:r>
          </w:p>
        </w:tc>
      </w:tr>
      <w:tr w:rsidR="00024C0A" w:rsidTr="00024C0A">
        <w:tc>
          <w:tcPr>
            <w:tcW w:w="0" w:type="auto"/>
            <w:vAlign w:val="center"/>
          </w:tcPr>
          <w:p w:rsidR="00024C0A" w:rsidRDefault="00694C0F">
            <w:pPr>
              <w:pStyle w:val="TableBodyText"/>
            </w:pPr>
            <w:r>
              <w:t>CreatePageNumFromSel</w:t>
            </w:r>
          </w:p>
        </w:tc>
        <w:tc>
          <w:tcPr>
            <w:tcW w:w="0" w:type="auto"/>
            <w:vAlign w:val="center"/>
          </w:tcPr>
          <w:p w:rsidR="00024C0A" w:rsidRDefault="00694C0F">
            <w:pPr>
              <w:pStyle w:val="TableBodyText"/>
            </w:pPr>
            <w:r>
              <w:t>07F9</w:t>
            </w:r>
          </w:p>
        </w:tc>
      </w:tr>
      <w:tr w:rsidR="00024C0A" w:rsidTr="00024C0A">
        <w:tc>
          <w:tcPr>
            <w:tcW w:w="0" w:type="auto"/>
            <w:vAlign w:val="center"/>
          </w:tcPr>
          <w:p w:rsidR="00024C0A" w:rsidRDefault="00694C0F">
            <w:pPr>
              <w:pStyle w:val="TableBodyText"/>
            </w:pPr>
            <w:r>
              <w:t>CreatePageNumPageBlockFromSel</w:t>
            </w:r>
          </w:p>
        </w:tc>
        <w:tc>
          <w:tcPr>
            <w:tcW w:w="0" w:type="auto"/>
            <w:vAlign w:val="center"/>
          </w:tcPr>
          <w:p w:rsidR="00024C0A" w:rsidRDefault="00694C0F">
            <w:pPr>
              <w:pStyle w:val="TableBodyText"/>
            </w:pPr>
            <w:r>
              <w:t>07FD</w:t>
            </w:r>
          </w:p>
        </w:tc>
      </w:tr>
      <w:tr w:rsidR="00024C0A" w:rsidTr="00024C0A">
        <w:tc>
          <w:tcPr>
            <w:tcW w:w="0" w:type="auto"/>
            <w:vAlign w:val="center"/>
          </w:tcPr>
          <w:p w:rsidR="00024C0A" w:rsidRDefault="00694C0F">
            <w:pPr>
              <w:pStyle w:val="TableBodyText"/>
            </w:pPr>
            <w:r>
              <w:t>CreatePageNumTopFromSel</w:t>
            </w:r>
          </w:p>
        </w:tc>
        <w:tc>
          <w:tcPr>
            <w:tcW w:w="0" w:type="auto"/>
            <w:vAlign w:val="center"/>
          </w:tcPr>
          <w:p w:rsidR="00024C0A" w:rsidRDefault="00694C0F">
            <w:pPr>
              <w:pStyle w:val="TableBodyText"/>
            </w:pPr>
            <w:r>
              <w:t>07FA</w:t>
            </w:r>
          </w:p>
        </w:tc>
      </w:tr>
      <w:tr w:rsidR="00024C0A" w:rsidTr="00024C0A">
        <w:tc>
          <w:tcPr>
            <w:tcW w:w="0" w:type="auto"/>
            <w:vAlign w:val="center"/>
          </w:tcPr>
          <w:p w:rsidR="00024C0A" w:rsidRDefault="00694C0F">
            <w:pPr>
              <w:pStyle w:val="TableBodyText"/>
            </w:pPr>
            <w:r>
              <w:t>CreateSharedWorkspace</w:t>
            </w:r>
          </w:p>
        </w:tc>
        <w:tc>
          <w:tcPr>
            <w:tcW w:w="0" w:type="auto"/>
            <w:vAlign w:val="center"/>
          </w:tcPr>
          <w:p w:rsidR="00024C0A" w:rsidRDefault="00694C0F">
            <w:pPr>
              <w:pStyle w:val="TableBodyText"/>
            </w:pPr>
            <w:r>
              <w:t>0839</w:t>
            </w:r>
          </w:p>
        </w:tc>
      </w:tr>
      <w:tr w:rsidR="00024C0A" w:rsidTr="00024C0A">
        <w:tc>
          <w:tcPr>
            <w:tcW w:w="0" w:type="auto"/>
            <w:vAlign w:val="center"/>
          </w:tcPr>
          <w:p w:rsidR="00024C0A" w:rsidRDefault="00694C0F">
            <w:pPr>
              <w:pStyle w:val="TableBodyText"/>
            </w:pPr>
            <w:r>
              <w:t>CreateSubdocument</w:t>
            </w:r>
          </w:p>
        </w:tc>
        <w:tc>
          <w:tcPr>
            <w:tcW w:w="0" w:type="auto"/>
            <w:vAlign w:val="center"/>
          </w:tcPr>
          <w:p w:rsidR="00024C0A" w:rsidRDefault="00694C0F">
            <w:pPr>
              <w:pStyle w:val="TableBodyText"/>
            </w:pPr>
            <w:r>
              <w:t>01EB</w:t>
            </w:r>
          </w:p>
        </w:tc>
      </w:tr>
      <w:tr w:rsidR="00024C0A" w:rsidTr="00024C0A">
        <w:tc>
          <w:tcPr>
            <w:tcW w:w="0" w:type="auto"/>
            <w:vAlign w:val="center"/>
          </w:tcPr>
          <w:p w:rsidR="00024C0A" w:rsidRDefault="00694C0F">
            <w:pPr>
              <w:pStyle w:val="TableBodyText"/>
            </w:pPr>
            <w:r>
              <w:t>CreateTable</w:t>
            </w:r>
          </w:p>
        </w:tc>
        <w:tc>
          <w:tcPr>
            <w:tcW w:w="0" w:type="auto"/>
            <w:vAlign w:val="center"/>
          </w:tcPr>
          <w:p w:rsidR="00024C0A" w:rsidRDefault="00694C0F">
            <w:pPr>
              <w:pStyle w:val="TableBodyText"/>
            </w:pPr>
            <w:r>
              <w:t>031C</w:t>
            </w:r>
          </w:p>
        </w:tc>
      </w:tr>
      <w:tr w:rsidR="00024C0A" w:rsidTr="00024C0A">
        <w:tc>
          <w:tcPr>
            <w:tcW w:w="0" w:type="auto"/>
            <w:vAlign w:val="center"/>
          </w:tcPr>
          <w:p w:rsidR="00024C0A" w:rsidRDefault="00694C0F">
            <w:pPr>
              <w:pStyle w:val="TableBodyText"/>
            </w:pPr>
            <w:r>
              <w:t>CreateTableBlockFromSel</w:t>
            </w:r>
          </w:p>
        </w:tc>
        <w:tc>
          <w:tcPr>
            <w:tcW w:w="0" w:type="auto"/>
            <w:vAlign w:val="center"/>
          </w:tcPr>
          <w:p w:rsidR="00024C0A" w:rsidRDefault="00694C0F">
            <w:pPr>
              <w:pStyle w:val="TableBodyText"/>
            </w:pPr>
            <w:r>
              <w:t>07FC</w:t>
            </w:r>
          </w:p>
        </w:tc>
      </w:tr>
      <w:tr w:rsidR="00024C0A" w:rsidTr="00024C0A">
        <w:tc>
          <w:tcPr>
            <w:tcW w:w="0" w:type="auto"/>
            <w:vAlign w:val="center"/>
          </w:tcPr>
          <w:p w:rsidR="00024C0A" w:rsidRDefault="00694C0F">
            <w:pPr>
              <w:pStyle w:val="TableBodyText"/>
            </w:pPr>
            <w:r>
              <w:t>CreateTableOfContentsFromSel</w:t>
            </w:r>
          </w:p>
        </w:tc>
        <w:tc>
          <w:tcPr>
            <w:tcW w:w="0" w:type="auto"/>
            <w:vAlign w:val="center"/>
          </w:tcPr>
          <w:p w:rsidR="00024C0A" w:rsidRDefault="00694C0F">
            <w:pPr>
              <w:pStyle w:val="TableBodyText"/>
            </w:pPr>
            <w:r>
              <w:t>0915</w:t>
            </w:r>
          </w:p>
        </w:tc>
      </w:tr>
      <w:tr w:rsidR="00024C0A" w:rsidTr="00024C0A">
        <w:tc>
          <w:tcPr>
            <w:tcW w:w="0" w:type="auto"/>
            <w:vAlign w:val="center"/>
          </w:tcPr>
          <w:p w:rsidR="00024C0A" w:rsidRDefault="00694C0F">
            <w:pPr>
              <w:pStyle w:val="TableBodyText"/>
            </w:pPr>
            <w:r>
              <w:t>CreateTask</w:t>
            </w:r>
          </w:p>
        </w:tc>
        <w:tc>
          <w:tcPr>
            <w:tcW w:w="0" w:type="auto"/>
            <w:vAlign w:val="center"/>
          </w:tcPr>
          <w:p w:rsidR="00024C0A" w:rsidRDefault="00694C0F">
            <w:pPr>
              <w:pStyle w:val="TableBodyText"/>
            </w:pPr>
            <w:r>
              <w:t>0384</w:t>
            </w:r>
          </w:p>
        </w:tc>
      </w:tr>
      <w:tr w:rsidR="00024C0A" w:rsidTr="00024C0A">
        <w:tc>
          <w:tcPr>
            <w:tcW w:w="0" w:type="auto"/>
            <w:vAlign w:val="center"/>
          </w:tcPr>
          <w:p w:rsidR="00024C0A" w:rsidRDefault="00694C0F">
            <w:pPr>
              <w:pStyle w:val="TableBodyText"/>
            </w:pPr>
            <w:r>
              <w:t>CreateTextBoxBlockFromSel</w:t>
            </w:r>
          </w:p>
        </w:tc>
        <w:tc>
          <w:tcPr>
            <w:tcW w:w="0" w:type="auto"/>
            <w:vAlign w:val="center"/>
          </w:tcPr>
          <w:p w:rsidR="00024C0A" w:rsidRDefault="00694C0F">
            <w:pPr>
              <w:pStyle w:val="TableBodyText"/>
            </w:pPr>
            <w:r>
              <w:t>08E2</w:t>
            </w:r>
          </w:p>
        </w:tc>
      </w:tr>
      <w:tr w:rsidR="00024C0A" w:rsidTr="00024C0A">
        <w:tc>
          <w:tcPr>
            <w:tcW w:w="0" w:type="auto"/>
            <w:vAlign w:val="center"/>
          </w:tcPr>
          <w:p w:rsidR="00024C0A" w:rsidRDefault="00694C0F">
            <w:pPr>
              <w:pStyle w:val="TableBodyText"/>
            </w:pPr>
            <w:r>
              <w:t>CreateWaterMarkBlockFromSel</w:t>
            </w:r>
          </w:p>
        </w:tc>
        <w:tc>
          <w:tcPr>
            <w:tcW w:w="0" w:type="auto"/>
            <w:vAlign w:val="center"/>
          </w:tcPr>
          <w:p w:rsidR="00024C0A" w:rsidRDefault="00694C0F">
            <w:pPr>
              <w:pStyle w:val="TableBodyText"/>
            </w:pPr>
            <w:r>
              <w:t>07FF</w:t>
            </w:r>
          </w:p>
        </w:tc>
      </w:tr>
      <w:tr w:rsidR="00024C0A" w:rsidTr="00024C0A">
        <w:tc>
          <w:tcPr>
            <w:tcW w:w="0" w:type="auto"/>
            <w:vAlign w:val="center"/>
          </w:tcPr>
          <w:p w:rsidR="00024C0A" w:rsidRDefault="00694C0F">
            <w:pPr>
              <w:pStyle w:val="TableBodyText"/>
            </w:pPr>
            <w:r>
              <w:t>CssLinks</w:t>
            </w:r>
          </w:p>
        </w:tc>
        <w:tc>
          <w:tcPr>
            <w:tcW w:w="0" w:type="auto"/>
            <w:vAlign w:val="center"/>
          </w:tcPr>
          <w:p w:rsidR="00024C0A" w:rsidRDefault="00694C0F">
            <w:pPr>
              <w:pStyle w:val="TableBodyText"/>
            </w:pPr>
            <w:r>
              <w:t>04ED</w:t>
            </w:r>
          </w:p>
        </w:tc>
      </w:tr>
      <w:tr w:rsidR="00024C0A" w:rsidTr="00024C0A">
        <w:tc>
          <w:tcPr>
            <w:tcW w:w="0" w:type="auto"/>
            <w:vAlign w:val="center"/>
          </w:tcPr>
          <w:p w:rsidR="00024C0A" w:rsidRDefault="00694C0F">
            <w:pPr>
              <w:pStyle w:val="TableBodyText"/>
            </w:pPr>
            <w:r>
              <w:t>Custom1Gallery</w:t>
            </w:r>
          </w:p>
        </w:tc>
        <w:tc>
          <w:tcPr>
            <w:tcW w:w="0" w:type="auto"/>
            <w:vAlign w:val="center"/>
          </w:tcPr>
          <w:p w:rsidR="00024C0A" w:rsidRDefault="00694C0F">
            <w:pPr>
              <w:pStyle w:val="TableBodyText"/>
            </w:pPr>
            <w:r>
              <w:t>096C</w:t>
            </w:r>
          </w:p>
        </w:tc>
      </w:tr>
      <w:tr w:rsidR="00024C0A" w:rsidTr="00024C0A">
        <w:tc>
          <w:tcPr>
            <w:tcW w:w="0" w:type="auto"/>
            <w:vAlign w:val="center"/>
          </w:tcPr>
          <w:p w:rsidR="00024C0A" w:rsidRDefault="00694C0F">
            <w:pPr>
              <w:pStyle w:val="TableBodyText"/>
            </w:pPr>
            <w:r>
              <w:t>Custom2Gallery</w:t>
            </w:r>
          </w:p>
        </w:tc>
        <w:tc>
          <w:tcPr>
            <w:tcW w:w="0" w:type="auto"/>
            <w:vAlign w:val="center"/>
          </w:tcPr>
          <w:p w:rsidR="00024C0A" w:rsidRDefault="00694C0F">
            <w:pPr>
              <w:pStyle w:val="TableBodyText"/>
            </w:pPr>
            <w:r>
              <w:t>096D</w:t>
            </w:r>
          </w:p>
        </w:tc>
      </w:tr>
      <w:tr w:rsidR="00024C0A" w:rsidTr="00024C0A">
        <w:tc>
          <w:tcPr>
            <w:tcW w:w="0" w:type="auto"/>
            <w:vAlign w:val="center"/>
          </w:tcPr>
          <w:p w:rsidR="00024C0A" w:rsidRDefault="00694C0F">
            <w:pPr>
              <w:pStyle w:val="TableBodyText"/>
            </w:pPr>
            <w:r>
              <w:t>Custom3Gallery</w:t>
            </w:r>
          </w:p>
        </w:tc>
        <w:tc>
          <w:tcPr>
            <w:tcW w:w="0" w:type="auto"/>
            <w:vAlign w:val="center"/>
          </w:tcPr>
          <w:p w:rsidR="00024C0A" w:rsidRDefault="00694C0F">
            <w:pPr>
              <w:pStyle w:val="TableBodyText"/>
            </w:pPr>
            <w:r>
              <w:t>096E</w:t>
            </w:r>
          </w:p>
        </w:tc>
      </w:tr>
      <w:tr w:rsidR="00024C0A" w:rsidTr="00024C0A">
        <w:tc>
          <w:tcPr>
            <w:tcW w:w="0" w:type="auto"/>
            <w:vAlign w:val="center"/>
          </w:tcPr>
          <w:p w:rsidR="00024C0A" w:rsidRDefault="00694C0F">
            <w:pPr>
              <w:pStyle w:val="TableBodyText"/>
            </w:pPr>
            <w:r>
              <w:t>Custom4Gallery</w:t>
            </w:r>
          </w:p>
        </w:tc>
        <w:tc>
          <w:tcPr>
            <w:tcW w:w="0" w:type="auto"/>
            <w:vAlign w:val="center"/>
          </w:tcPr>
          <w:p w:rsidR="00024C0A" w:rsidRDefault="00694C0F">
            <w:pPr>
              <w:pStyle w:val="TableBodyText"/>
            </w:pPr>
            <w:r>
              <w:t>096F</w:t>
            </w:r>
          </w:p>
        </w:tc>
      </w:tr>
      <w:tr w:rsidR="00024C0A" w:rsidTr="00024C0A">
        <w:tc>
          <w:tcPr>
            <w:tcW w:w="0" w:type="auto"/>
            <w:vAlign w:val="center"/>
          </w:tcPr>
          <w:p w:rsidR="00024C0A" w:rsidRDefault="00694C0F">
            <w:pPr>
              <w:pStyle w:val="TableBodyText"/>
            </w:pPr>
            <w:r>
              <w:t>Custom5Gallery</w:t>
            </w:r>
          </w:p>
        </w:tc>
        <w:tc>
          <w:tcPr>
            <w:tcW w:w="0" w:type="auto"/>
            <w:vAlign w:val="center"/>
          </w:tcPr>
          <w:p w:rsidR="00024C0A" w:rsidRDefault="00694C0F">
            <w:pPr>
              <w:pStyle w:val="TableBodyText"/>
            </w:pPr>
            <w:r>
              <w:t>0970</w:t>
            </w:r>
          </w:p>
        </w:tc>
      </w:tr>
      <w:tr w:rsidR="00024C0A" w:rsidTr="00024C0A">
        <w:tc>
          <w:tcPr>
            <w:tcW w:w="0" w:type="auto"/>
            <w:vAlign w:val="center"/>
          </w:tcPr>
          <w:p w:rsidR="00024C0A" w:rsidRDefault="00694C0F">
            <w:pPr>
              <w:pStyle w:val="TableBodyText"/>
            </w:pPr>
            <w:r>
              <w:t>CustomAutoTextGallery</w:t>
            </w:r>
          </w:p>
        </w:tc>
        <w:tc>
          <w:tcPr>
            <w:tcW w:w="0" w:type="auto"/>
            <w:vAlign w:val="center"/>
          </w:tcPr>
          <w:p w:rsidR="00024C0A" w:rsidRDefault="00694C0F">
            <w:pPr>
              <w:pStyle w:val="TableBodyText"/>
            </w:pPr>
            <w:r>
              <w:t>0968</w:t>
            </w:r>
          </w:p>
        </w:tc>
      </w:tr>
      <w:tr w:rsidR="00024C0A" w:rsidTr="00024C0A">
        <w:tc>
          <w:tcPr>
            <w:tcW w:w="0" w:type="auto"/>
            <w:vAlign w:val="center"/>
          </w:tcPr>
          <w:p w:rsidR="00024C0A" w:rsidRDefault="00694C0F">
            <w:pPr>
              <w:pStyle w:val="TableBodyText"/>
            </w:pPr>
            <w:r>
              <w:t>CustomBibliographyGallery</w:t>
            </w:r>
          </w:p>
        </w:tc>
        <w:tc>
          <w:tcPr>
            <w:tcW w:w="0" w:type="auto"/>
            <w:vAlign w:val="center"/>
          </w:tcPr>
          <w:p w:rsidR="00024C0A" w:rsidRDefault="00694C0F">
            <w:pPr>
              <w:pStyle w:val="TableBodyText"/>
            </w:pPr>
            <w:r>
              <w:t>096B</w:t>
            </w:r>
          </w:p>
        </w:tc>
      </w:tr>
      <w:tr w:rsidR="00024C0A" w:rsidTr="00024C0A">
        <w:tc>
          <w:tcPr>
            <w:tcW w:w="0" w:type="auto"/>
            <w:vAlign w:val="center"/>
          </w:tcPr>
          <w:p w:rsidR="00024C0A" w:rsidRDefault="00694C0F">
            <w:pPr>
              <w:pStyle w:val="TableBodyText"/>
            </w:pPr>
            <w:r>
              <w:lastRenderedPageBreak/>
              <w:t>CustomCoverPageGallery</w:t>
            </w:r>
          </w:p>
        </w:tc>
        <w:tc>
          <w:tcPr>
            <w:tcW w:w="0" w:type="auto"/>
            <w:vAlign w:val="center"/>
          </w:tcPr>
          <w:p w:rsidR="00024C0A" w:rsidRDefault="00694C0F">
            <w:pPr>
              <w:pStyle w:val="TableBodyText"/>
            </w:pPr>
            <w:r>
              <w:t>095F</w:t>
            </w:r>
          </w:p>
        </w:tc>
      </w:tr>
      <w:tr w:rsidR="00024C0A" w:rsidTr="00024C0A">
        <w:tc>
          <w:tcPr>
            <w:tcW w:w="0" w:type="auto"/>
            <w:vAlign w:val="center"/>
          </w:tcPr>
          <w:p w:rsidR="00024C0A" w:rsidRDefault="00694C0F">
            <w:pPr>
              <w:pStyle w:val="TableBodyText"/>
            </w:pPr>
            <w:r>
              <w:t>CustomEquationsGallery</w:t>
            </w:r>
          </w:p>
        </w:tc>
        <w:tc>
          <w:tcPr>
            <w:tcW w:w="0" w:type="auto"/>
            <w:vAlign w:val="center"/>
          </w:tcPr>
          <w:p w:rsidR="00024C0A" w:rsidRDefault="00694C0F">
            <w:pPr>
              <w:pStyle w:val="TableBodyText"/>
            </w:pPr>
            <w:r>
              <w:t>0965</w:t>
            </w:r>
          </w:p>
        </w:tc>
      </w:tr>
      <w:tr w:rsidR="00024C0A" w:rsidTr="00024C0A">
        <w:tc>
          <w:tcPr>
            <w:tcW w:w="0" w:type="auto"/>
            <w:vAlign w:val="center"/>
          </w:tcPr>
          <w:p w:rsidR="00024C0A" w:rsidRDefault="00694C0F">
            <w:pPr>
              <w:pStyle w:val="TableBodyText"/>
            </w:pPr>
            <w:r>
              <w:t>CustomFooterGallery</w:t>
            </w:r>
          </w:p>
        </w:tc>
        <w:tc>
          <w:tcPr>
            <w:tcW w:w="0" w:type="auto"/>
            <w:vAlign w:val="center"/>
          </w:tcPr>
          <w:p w:rsidR="00024C0A" w:rsidRDefault="00694C0F">
            <w:pPr>
              <w:pStyle w:val="TableBodyText"/>
            </w:pPr>
            <w:r>
              <w:t>095E</w:t>
            </w:r>
          </w:p>
        </w:tc>
      </w:tr>
      <w:tr w:rsidR="00024C0A" w:rsidTr="00024C0A">
        <w:tc>
          <w:tcPr>
            <w:tcW w:w="0" w:type="auto"/>
            <w:vAlign w:val="center"/>
          </w:tcPr>
          <w:p w:rsidR="00024C0A" w:rsidRDefault="00694C0F">
            <w:pPr>
              <w:pStyle w:val="TableBodyText"/>
            </w:pPr>
            <w:r>
              <w:t>CustomHeaderGallery</w:t>
            </w:r>
          </w:p>
        </w:tc>
        <w:tc>
          <w:tcPr>
            <w:tcW w:w="0" w:type="auto"/>
            <w:vAlign w:val="center"/>
          </w:tcPr>
          <w:p w:rsidR="00024C0A" w:rsidRDefault="00694C0F">
            <w:pPr>
              <w:pStyle w:val="TableBodyText"/>
            </w:pPr>
            <w:r>
              <w:t>095D</w:t>
            </w:r>
          </w:p>
        </w:tc>
      </w:tr>
      <w:tr w:rsidR="00024C0A" w:rsidTr="00024C0A">
        <w:tc>
          <w:tcPr>
            <w:tcW w:w="0" w:type="auto"/>
            <w:vAlign w:val="center"/>
          </w:tcPr>
          <w:p w:rsidR="00024C0A" w:rsidRDefault="00694C0F">
            <w:pPr>
              <w:pStyle w:val="TableBodyText"/>
            </w:pPr>
            <w:r>
              <w:t>CustomPageNumBottomGallery</w:t>
            </w:r>
          </w:p>
        </w:tc>
        <w:tc>
          <w:tcPr>
            <w:tcW w:w="0" w:type="auto"/>
            <w:vAlign w:val="center"/>
          </w:tcPr>
          <w:p w:rsidR="00024C0A" w:rsidRDefault="00694C0F">
            <w:pPr>
              <w:pStyle w:val="TableBodyText"/>
            </w:pPr>
            <w:r>
              <w:t>0962</w:t>
            </w:r>
          </w:p>
        </w:tc>
      </w:tr>
      <w:tr w:rsidR="00024C0A" w:rsidTr="00024C0A">
        <w:tc>
          <w:tcPr>
            <w:tcW w:w="0" w:type="auto"/>
            <w:vAlign w:val="center"/>
          </w:tcPr>
          <w:p w:rsidR="00024C0A" w:rsidRDefault="00694C0F">
            <w:pPr>
              <w:pStyle w:val="TableBodyText"/>
            </w:pPr>
            <w:r>
              <w:t>CustomPageNumGallery</w:t>
            </w:r>
          </w:p>
        </w:tc>
        <w:tc>
          <w:tcPr>
            <w:tcW w:w="0" w:type="auto"/>
            <w:vAlign w:val="center"/>
          </w:tcPr>
          <w:p w:rsidR="00024C0A" w:rsidRDefault="00694C0F">
            <w:pPr>
              <w:pStyle w:val="TableBodyText"/>
            </w:pPr>
            <w:r>
              <w:t>0960</w:t>
            </w:r>
          </w:p>
        </w:tc>
      </w:tr>
      <w:tr w:rsidR="00024C0A" w:rsidTr="00024C0A">
        <w:tc>
          <w:tcPr>
            <w:tcW w:w="0" w:type="auto"/>
            <w:vAlign w:val="center"/>
          </w:tcPr>
          <w:p w:rsidR="00024C0A" w:rsidRDefault="00694C0F">
            <w:pPr>
              <w:pStyle w:val="TableBodyText"/>
            </w:pPr>
            <w:r>
              <w:t>CustomPageNumPageGallery</w:t>
            </w:r>
          </w:p>
        </w:tc>
        <w:tc>
          <w:tcPr>
            <w:tcW w:w="0" w:type="auto"/>
            <w:vAlign w:val="center"/>
          </w:tcPr>
          <w:p w:rsidR="00024C0A" w:rsidRDefault="00694C0F">
            <w:pPr>
              <w:pStyle w:val="TableBodyText"/>
            </w:pPr>
            <w:r>
              <w:t>0963</w:t>
            </w:r>
          </w:p>
        </w:tc>
      </w:tr>
      <w:tr w:rsidR="00024C0A" w:rsidTr="00024C0A">
        <w:tc>
          <w:tcPr>
            <w:tcW w:w="0" w:type="auto"/>
            <w:vAlign w:val="center"/>
          </w:tcPr>
          <w:p w:rsidR="00024C0A" w:rsidRDefault="00694C0F">
            <w:pPr>
              <w:pStyle w:val="TableBodyText"/>
            </w:pPr>
            <w:r>
              <w:t>CustomPageNumTopGallery</w:t>
            </w:r>
          </w:p>
        </w:tc>
        <w:tc>
          <w:tcPr>
            <w:tcW w:w="0" w:type="auto"/>
            <w:vAlign w:val="center"/>
          </w:tcPr>
          <w:p w:rsidR="00024C0A" w:rsidRDefault="00694C0F">
            <w:pPr>
              <w:pStyle w:val="TableBodyText"/>
            </w:pPr>
            <w:r>
              <w:t>0961</w:t>
            </w:r>
          </w:p>
        </w:tc>
      </w:tr>
      <w:tr w:rsidR="00024C0A" w:rsidTr="00024C0A">
        <w:tc>
          <w:tcPr>
            <w:tcW w:w="0" w:type="auto"/>
            <w:vAlign w:val="center"/>
          </w:tcPr>
          <w:p w:rsidR="00024C0A" w:rsidRDefault="00694C0F">
            <w:pPr>
              <w:pStyle w:val="TableBodyText"/>
            </w:pPr>
            <w:r>
              <w:t>CustomQuickPartsGallery</w:t>
            </w:r>
          </w:p>
        </w:tc>
        <w:tc>
          <w:tcPr>
            <w:tcW w:w="0" w:type="auto"/>
            <w:vAlign w:val="center"/>
          </w:tcPr>
          <w:p w:rsidR="00024C0A" w:rsidRDefault="00694C0F">
            <w:pPr>
              <w:pStyle w:val="TableBodyText"/>
            </w:pPr>
            <w:r>
              <w:t>0967</w:t>
            </w:r>
          </w:p>
        </w:tc>
      </w:tr>
      <w:tr w:rsidR="00024C0A" w:rsidTr="00024C0A">
        <w:tc>
          <w:tcPr>
            <w:tcW w:w="0" w:type="auto"/>
            <w:vAlign w:val="center"/>
          </w:tcPr>
          <w:p w:rsidR="00024C0A" w:rsidRDefault="00694C0F">
            <w:pPr>
              <w:pStyle w:val="TableBodyText"/>
            </w:pPr>
            <w:r>
              <w:t>CustomTableOfContentsGallery</w:t>
            </w:r>
          </w:p>
        </w:tc>
        <w:tc>
          <w:tcPr>
            <w:tcW w:w="0" w:type="auto"/>
            <w:vAlign w:val="center"/>
          </w:tcPr>
          <w:p w:rsidR="00024C0A" w:rsidRDefault="00694C0F">
            <w:pPr>
              <w:pStyle w:val="TableBodyText"/>
            </w:pPr>
            <w:r>
              <w:t>096A</w:t>
            </w:r>
          </w:p>
        </w:tc>
      </w:tr>
      <w:tr w:rsidR="00024C0A" w:rsidTr="00024C0A">
        <w:tc>
          <w:tcPr>
            <w:tcW w:w="0" w:type="auto"/>
            <w:vAlign w:val="center"/>
          </w:tcPr>
          <w:p w:rsidR="00024C0A" w:rsidRDefault="00694C0F">
            <w:pPr>
              <w:pStyle w:val="TableBodyText"/>
            </w:pPr>
            <w:r>
              <w:t>CustomTablesGallery</w:t>
            </w:r>
          </w:p>
        </w:tc>
        <w:tc>
          <w:tcPr>
            <w:tcW w:w="0" w:type="auto"/>
            <w:vAlign w:val="center"/>
          </w:tcPr>
          <w:p w:rsidR="00024C0A" w:rsidRDefault="00694C0F">
            <w:pPr>
              <w:pStyle w:val="TableBodyText"/>
            </w:pPr>
            <w:r>
              <w:t>0966</w:t>
            </w:r>
          </w:p>
        </w:tc>
      </w:tr>
      <w:tr w:rsidR="00024C0A" w:rsidTr="00024C0A">
        <w:tc>
          <w:tcPr>
            <w:tcW w:w="0" w:type="auto"/>
            <w:vAlign w:val="center"/>
          </w:tcPr>
          <w:p w:rsidR="00024C0A" w:rsidRDefault="00694C0F">
            <w:pPr>
              <w:pStyle w:val="TableBodyText"/>
            </w:pPr>
            <w:r>
              <w:t>CustomTextBoxGallery</w:t>
            </w:r>
          </w:p>
        </w:tc>
        <w:tc>
          <w:tcPr>
            <w:tcW w:w="0" w:type="auto"/>
            <w:vAlign w:val="center"/>
          </w:tcPr>
          <w:p w:rsidR="00024C0A" w:rsidRDefault="00694C0F">
            <w:pPr>
              <w:pStyle w:val="TableBodyText"/>
            </w:pPr>
            <w:r>
              <w:t>0969</w:t>
            </w:r>
          </w:p>
        </w:tc>
      </w:tr>
      <w:tr w:rsidR="00024C0A" w:rsidTr="00024C0A">
        <w:tc>
          <w:tcPr>
            <w:tcW w:w="0" w:type="auto"/>
            <w:vAlign w:val="center"/>
          </w:tcPr>
          <w:p w:rsidR="00024C0A" w:rsidRDefault="00694C0F">
            <w:pPr>
              <w:pStyle w:val="TableBodyText"/>
            </w:pPr>
            <w:r>
              <w:t>CustomWatermarkGallery</w:t>
            </w:r>
          </w:p>
        </w:tc>
        <w:tc>
          <w:tcPr>
            <w:tcW w:w="0" w:type="auto"/>
            <w:vAlign w:val="center"/>
          </w:tcPr>
          <w:p w:rsidR="00024C0A" w:rsidRDefault="00694C0F">
            <w:pPr>
              <w:pStyle w:val="TableBodyText"/>
            </w:pPr>
            <w:r>
              <w:t>0964</w:t>
            </w:r>
          </w:p>
        </w:tc>
      </w:tr>
      <w:tr w:rsidR="00024C0A" w:rsidTr="00024C0A">
        <w:tc>
          <w:tcPr>
            <w:tcW w:w="0" w:type="auto"/>
            <w:vAlign w:val="center"/>
          </w:tcPr>
          <w:p w:rsidR="00024C0A" w:rsidRDefault="00694C0F">
            <w:pPr>
              <w:pStyle w:val="TableBodyText"/>
            </w:pPr>
            <w:r>
              <w:t>DecreaseIndent</w:t>
            </w:r>
          </w:p>
        </w:tc>
        <w:tc>
          <w:tcPr>
            <w:tcW w:w="0" w:type="auto"/>
            <w:vAlign w:val="center"/>
          </w:tcPr>
          <w:p w:rsidR="00024C0A" w:rsidRDefault="00694C0F">
            <w:pPr>
              <w:pStyle w:val="TableBodyText"/>
            </w:pPr>
            <w:r>
              <w:t>03F3</w:t>
            </w:r>
          </w:p>
        </w:tc>
      </w:tr>
      <w:tr w:rsidR="00024C0A" w:rsidTr="00024C0A">
        <w:tc>
          <w:tcPr>
            <w:tcW w:w="0" w:type="auto"/>
            <w:vAlign w:val="center"/>
          </w:tcPr>
          <w:p w:rsidR="00024C0A" w:rsidRDefault="00694C0F">
            <w:pPr>
              <w:pStyle w:val="TableBodyText"/>
            </w:pPr>
            <w:r>
              <w:t>DecreaseParagraphSpacing</w:t>
            </w:r>
          </w:p>
        </w:tc>
        <w:tc>
          <w:tcPr>
            <w:tcW w:w="0" w:type="auto"/>
            <w:vAlign w:val="center"/>
          </w:tcPr>
          <w:p w:rsidR="00024C0A" w:rsidRDefault="00694C0F">
            <w:pPr>
              <w:pStyle w:val="TableBodyText"/>
            </w:pPr>
            <w:r>
              <w:t>053F</w:t>
            </w:r>
          </w:p>
        </w:tc>
      </w:tr>
      <w:tr w:rsidR="00024C0A" w:rsidTr="00024C0A">
        <w:tc>
          <w:tcPr>
            <w:tcW w:w="0" w:type="auto"/>
            <w:vAlign w:val="center"/>
          </w:tcPr>
          <w:p w:rsidR="00024C0A" w:rsidRDefault="00694C0F">
            <w:pPr>
              <w:pStyle w:val="TableBodyText"/>
            </w:pPr>
            <w:r>
              <w:t>DefaultCharBorder</w:t>
            </w:r>
          </w:p>
        </w:tc>
        <w:tc>
          <w:tcPr>
            <w:tcW w:w="0" w:type="auto"/>
            <w:vAlign w:val="center"/>
          </w:tcPr>
          <w:p w:rsidR="00024C0A" w:rsidRDefault="00694C0F">
            <w:pPr>
              <w:pStyle w:val="TableBodyText"/>
            </w:pPr>
            <w:r>
              <w:t>03E5</w:t>
            </w:r>
          </w:p>
        </w:tc>
      </w:tr>
      <w:tr w:rsidR="00024C0A" w:rsidTr="00024C0A">
        <w:tc>
          <w:tcPr>
            <w:tcW w:w="0" w:type="auto"/>
            <w:vAlign w:val="center"/>
          </w:tcPr>
          <w:p w:rsidR="00024C0A" w:rsidRDefault="00694C0F">
            <w:pPr>
              <w:pStyle w:val="TableBodyText"/>
            </w:pPr>
            <w:r>
              <w:t>DefaultCharShading</w:t>
            </w:r>
          </w:p>
        </w:tc>
        <w:tc>
          <w:tcPr>
            <w:tcW w:w="0" w:type="auto"/>
            <w:vAlign w:val="center"/>
          </w:tcPr>
          <w:p w:rsidR="00024C0A" w:rsidRDefault="00694C0F">
            <w:pPr>
              <w:pStyle w:val="TableBodyText"/>
            </w:pPr>
            <w:r>
              <w:t>03F7</w:t>
            </w:r>
          </w:p>
        </w:tc>
      </w:tr>
      <w:tr w:rsidR="00024C0A" w:rsidTr="00024C0A">
        <w:tc>
          <w:tcPr>
            <w:tcW w:w="0" w:type="auto"/>
            <w:vAlign w:val="center"/>
          </w:tcPr>
          <w:p w:rsidR="00024C0A" w:rsidRDefault="00694C0F">
            <w:pPr>
              <w:pStyle w:val="TableBodyText"/>
            </w:pPr>
            <w:r>
              <w:t>DefaultCondensed</w:t>
            </w:r>
          </w:p>
        </w:tc>
        <w:tc>
          <w:tcPr>
            <w:tcW w:w="0" w:type="auto"/>
            <w:vAlign w:val="center"/>
          </w:tcPr>
          <w:p w:rsidR="00024C0A" w:rsidRDefault="00694C0F">
            <w:pPr>
              <w:pStyle w:val="TableBodyText"/>
            </w:pPr>
            <w:r>
              <w:t>0801</w:t>
            </w:r>
          </w:p>
        </w:tc>
      </w:tr>
      <w:tr w:rsidR="00024C0A" w:rsidTr="00024C0A">
        <w:tc>
          <w:tcPr>
            <w:tcW w:w="0" w:type="auto"/>
            <w:vAlign w:val="center"/>
          </w:tcPr>
          <w:p w:rsidR="00024C0A" w:rsidRDefault="00694C0F">
            <w:pPr>
              <w:pStyle w:val="TableBodyText"/>
            </w:pPr>
            <w:r>
              <w:t>DefaultExpanded</w:t>
            </w:r>
          </w:p>
        </w:tc>
        <w:tc>
          <w:tcPr>
            <w:tcW w:w="0" w:type="auto"/>
            <w:vAlign w:val="center"/>
          </w:tcPr>
          <w:p w:rsidR="00024C0A" w:rsidRDefault="00694C0F">
            <w:pPr>
              <w:pStyle w:val="TableBodyText"/>
            </w:pPr>
            <w:r>
              <w:t>0802</w:t>
            </w:r>
          </w:p>
        </w:tc>
      </w:tr>
      <w:tr w:rsidR="00024C0A" w:rsidTr="00024C0A">
        <w:tc>
          <w:tcPr>
            <w:tcW w:w="0" w:type="auto"/>
            <w:vAlign w:val="center"/>
          </w:tcPr>
          <w:p w:rsidR="00024C0A" w:rsidRDefault="00694C0F">
            <w:pPr>
              <w:pStyle w:val="TableBodyText"/>
            </w:pPr>
            <w:r>
              <w:t>DefineNewBullet</w:t>
            </w:r>
          </w:p>
        </w:tc>
        <w:tc>
          <w:tcPr>
            <w:tcW w:w="0" w:type="auto"/>
            <w:vAlign w:val="center"/>
          </w:tcPr>
          <w:p w:rsidR="00024C0A" w:rsidRDefault="00694C0F">
            <w:pPr>
              <w:pStyle w:val="TableBodyText"/>
            </w:pPr>
            <w:r>
              <w:t>07E0</w:t>
            </w:r>
          </w:p>
        </w:tc>
      </w:tr>
      <w:tr w:rsidR="00024C0A" w:rsidTr="00024C0A">
        <w:tc>
          <w:tcPr>
            <w:tcW w:w="0" w:type="auto"/>
            <w:vAlign w:val="center"/>
          </w:tcPr>
          <w:p w:rsidR="00024C0A" w:rsidRDefault="00694C0F">
            <w:pPr>
              <w:pStyle w:val="TableBodyText"/>
            </w:pPr>
            <w:r>
              <w:t>DefineNewList</w:t>
            </w:r>
          </w:p>
        </w:tc>
        <w:tc>
          <w:tcPr>
            <w:tcW w:w="0" w:type="auto"/>
            <w:vAlign w:val="center"/>
          </w:tcPr>
          <w:p w:rsidR="00024C0A" w:rsidRDefault="00694C0F">
            <w:pPr>
              <w:pStyle w:val="TableBodyText"/>
            </w:pPr>
            <w:r>
              <w:t>087A</w:t>
            </w:r>
          </w:p>
        </w:tc>
      </w:tr>
      <w:tr w:rsidR="00024C0A" w:rsidTr="00024C0A">
        <w:tc>
          <w:tcPr>
            <w:tcW w:w="0" w:type="auto"/>
            <w:vAlign w:val="center"/>
          </w:tcPr>
          <w:p w:rsidR="00024C0A" w:rsidRDefault="00694C0F">
            <w:pPr>
              <w:pStyle w:val="TableBodyText"/>
            </w:pPr>
            <w:r>
              <w:t>DefineNewListStyle</w:t>
            </w:r>
          </w:p>
        </w:tc>
        <w:tc>
          <w:tcPr>
            <w:tcW w:w="0" w:type="auto"/>
            <w:vAlign w:val="center"/>
          </w:tcPr>
          <w:p w:rsidR="00024C0A" w:rsidRDefault="00694C0F">
            <w:pPr>
              <w:pStyle w:val="TableBodyText"/>
            </w:pPr>
            <w:r>
              <w:t>087B</w:t>
            </w:r>
          </w:p>
        </w:tc>
      </w:tr>
      <w:tr w:rsidR="00024C0A" w:rsidTr="00024C0A">
        <w:tc>
          <w:tcPr>
            <w:tcW w:w="0" w:type="auto"/>
            <w:vAlign w:val="center"/>
          </w:tcPr>
          <w:p w:rsidR="00024C0A" w:rsidRDefault="00694C0F">
            <w:pPr>
              <w:pStyle w:val="TableBodyText"/>
            </w:pPr>
            <w:r>
              <w:t>DefineNewNumber</w:t>
            </w:r>
          </w:p>
        </w:tc>
        <w:tc>
          <w:tcPr>
            <w:tcW w:w="0" w:type="auto"/>
            <w:vAlign w:val="center"/>
          </w:tcPr>
          <w:p w:rsidR="00024C0A" w:rsidRDefault="00694C0F">
            <w:pPr>
              <w:pStyle w:val="TableBodyText"/>
            </w:pPr>
            <w:r>
              <w:t>07E1</w:t>
            </w:r>
          </w:p>
        </w:tc>
      </w:tr>
      <w:tr w:rsidR="00024C0A" w:rsidTr="00024C0A">
        <w:tc>
          <w:tcPr>
            <w:tcW w:w="0" w:type="auto"/>
            <w:vAlign w:val="center"/>
          </w:tcPr>
          <w:p w:rsidR="00024C0A" w:rsidRDefault="00694C0F">
            <w:pPr>
              <w:pStyle w:val="TableBodyText"/>
            </w:pPr>
            <w:r>
              <w:t>DeleteAllCommentsInDoc</w:t>
            </w:r>
          </w:p>
        </w:tc>
        <w:tc>
          <w:tcPr>
            <w:tcW w:w="0" w:type="auto"/>
            <w:vAlign w:val="center"/>
          </w:tcPr>
          <w:p w:rsidR="00024C0A" w:rsidRDefault="00694C0F">
            <w:pPr>
              <w:pStyle w:val="TableBodyText"/>
            </w:pPr>
            <w:r>
              <w:t>0516</w:t>
            </w:r>
          </w:p>
        </w:tc>
      </w:tr>
      <w:tr w:rsidR="00024C0A" w:rsidTr="00024C0A">
        <w:tc>
          <w:tcPr>
            <w:tcW w:w="0" w:type="auto"/>
            <w:vAlign w:val="center"/>
          </w:tcPr>
          <w:p w:rsidR="00024C0A" w:rsidRDefault="00694C0F">
            <w:pPr>
              <w:pStyle w:val="TableBodyText"/>
            </w:pPr>
            <w:r>
              <w:t>DeleteAllCommentsShown</w:t>
            </w:r>
          </w:p>
        </w:tc>
        <w:tc>
          <w:tcPr>
            <w:tcW w:w="0" w:type="auto"/>
            <w:vAlign w:val="center"/>
          </w:tcPr>
          <w:p w:rsidR="00024C0A" w:rsidRDefault="00694C0F">
            <w:pPr>
              <w:pStyle w:val="TableBodyText"/>
            </w:pPr>
            <w:r>
              <w:t>0515</w:t>
            </w:r>
          </w:p>
        </w:tc>
      </w:tr>
      <w:tr w:rsidR="00024C0A" w:rsidTr="00024C0A">
        <w:tc>
          <w:tcPr>
            <w:tcW w:w="0" w:type="auto"/>
            <w:vAlign w:val="center"/>
          </w:tcPr>
          <w:p w:rsidR="00024C0A" w:rsidRDefault="00694C0F">
            <w:pPr>
              <w:pStyle w:val="TableBodyText"/>
            </w:pPr>
            <w:r>
              <w:t>DeleteAllInkAnnotations</w:t>
            </w:r>
          </w:p>
        </w:tc>
        <w:tc>
          <w:tcPr>
            <w:tcW w:w="0" w:type="auto"/>
            <w:vAlign w:val="center"/>
          </w:tcPr>
          <w:p w:rsidR="00024C0A" w:rsidRDefault="00694C0F">
            <w:pPr>
              <w:pStyle w:val="TableBodyText"/>
            </w:pPr>
            <w:r>
              <w:t>05AB</w:t>
            </w:r>
          </w:p>
        </w:tc>
      </w:tr>
      <w:tr w:rsidR="00024C0A" w:rsidTr="00024C0A">
        <w:tc>
          <w:tcPr>
            <w:tcW w:w="0" w:type="auto"/>
            <w:vAlign w:val="center"/>
          </w:tcPr>
          <w:p w:rsidR="00024C0A" w:rsidRDefault="00694C0F">
            <w:pPr>
              <w:pStyle w:val="TableBodyText"/>
            </w:pPr>
            <w:r>
              <w:t>DeleteAnnotation</w:t>
            </w:r>
          </w:p>
        </w:tc>
        <w:tc>
          <w:tcPr>
            <w:tcW w:w="0" w:type="auto"/>
            <w:vAlign w:val="center"/>
          </w:tcPr>
          <w:p w:rsidR="00024C0A" w:rsidRDefault="00694C0F">
            <w:pPr>
              <w:pStyle w:val="TableBodyText"/>
            </w:pPr>
            <w:r>
              <w:t>03CD</w:t>
            </w:r>
          </w:p>
        </w:tc>
      </w:tr>
      <w:tr w:rsidR="00024C0A" w:rsidTr="00024C0A">
        <w:tc>
          <w:tcPr>
            <w:tcW w:w="0" w:type="auto"/>
            <w:vAlign w:val="center"/>
          </w:tcPr>
          <w:p w:rsidR="00024C0A" w:rsidRDefault="00694C0F">
            <w:pPr>
              <w:pStyle w:val="TableBodyText"/>
            </w:pPr>
            <w:r>
              <w:t>DeleteBackWord</w:t>
            </w:r>
          </w:p>
        </w:tc>
        <w:tc>
          <w:tcPr>
            <w:tcW w:w="0" w:type="auto"/>
            <w:vAlign w:val="center"/>
          </w:tcPr>
          <w:p w:rsidR="00024C0A" w:rsidRDefault="00694C0F">
            <w:pPr>
              <w:pStyle w:val="TableBodyText"/>
            </w:pPr>
            <w:r>
              <w:t>001D</w:t>
            </w:r>
          </w:p>
        </w:tc>
      </w:tr>
      <w:tr w:rsidR="00024C0A" w:rsidTr="00024C0A">
        <w:tc>
          <w:tcPr>
            <w:tcW w:w="0" w:type="auto"/>
            <w:vAlign w:val="center"/>
          </w:tcPr>
          <w:p w:rsidR="00024C0A" w:rsidRDefault="00694C0F">
            <w:pPr>
              <w:pStyle w:val="TableBodyText"/>
            </w:pPr>
            <w:r>
              <w:t>DeleteBuildingBlock</w:t>
            </w:r>
          </w:p>
        </w:tc>
        <w:tc>
          <w:tcPr>
            <w:tcW w:w="0" w:type="auto"/>
            <w:vAlign w:val="center"/>
          </w:tcPr>
          <w:p w:rsidR="00024C0A" w:rsidRDefault="00694C0F">
            <w:pPr>
              <w:pStyle w:val="TableBodyText"/>
            </w:pPr>
            <w:r>
              <w:t>088A</w:t>
            </w:r>
          </w:p>
        </w:tc>
      </w:tr>
      <w:tr w:rsidR="00024C0A" w:rsidTr="00024C0A">
        <w:tc>
          <w:tcPr>
            <w:tcW w:w="0" w:type="auto"/>
            <w:vAlign w:val="center"/>
          </w:tcPr>
          <w:p w:rsidR="00024C0A" w:rsidRDefault="00694C0F">
            <w:pPr>
              <w:pStyle w:val="TableBodyText"/>
            </w:pPr>
            <w:r>
              <w:t>DeleteHyperlink</w:t>
            </w:r>
          </w:p>
        </w:tc>
        <w:tc>
          <w:tcPr>
            <w:tcW w:w="0" w:type="auto"/>
            <w:vAlign w:val="center"/>
          </w:tcPr>
          <w:p w:rsidR="00024C0A" w:rsidRDefault="00694C0F">
            <w:pPr>
              <w:pStyle w:val="TableBodyText"/>
            </w:pPr>
            <w:r>
              <w:t>0381</w:t>
            </w:r>
          </w:p>
        </w:tc>
      </w:tr>
      <w:tr w:rsidR="00024C0A" w:rsidTr="00024C0A">
        <w:tc>
          <w:tcPr>
            <w:tcW w:w="0" w:type="auto"/>
            <w:vAlign w:val="center"/>
          </w:tcPr>
          <w:p w:rsidR="00024C0A" w:rsidRDefault="00694C0F">
            <w:pPr>
              <w:pStyle w:val="TableBodyText"/>
            </w:pPr>
            <w:r>
              <w:t>DeleteSchema</w:t>
            </w:r>
          </w:p>
        </w:tc>
        <w:tc>
          <w:tcPr>
            <w:tcW w:w="0" w:type="auto"/>
            <w:vAlign w:val="center"/>
          </w:tcPr>
          <w:p w:rsidR="00024C0A" w:rsidRDefault="00694C0F">
            <w:pPr>
              <w:pStyle w:val="TableBodyText"/>
            </w:pPr>
            <w:r>
              <w:t>1BD1</w:t>
            </w:r>
          </w:p>
        </w:tc>
      </w:tr>
      <w:tr w:rsidR="00024C0A" w:rsidTr="00024C0A">
        <w:tc>
          <w:tcPr>
            <w:tcW w:w="0" w:type="auto"/>
            <w:vAlign w:val="center"/>
          </w:tcPr>
          <w:p w:rsidR="00024C0A" w:rsidRDefault="00694C0F">
            <w:pPr>
              <w:pStyle w:val="TableBodyText"/>
            </w:pPr>
            <w:r>
              <w:t>DeleteStructure</w:t>
            </w:r>
          </w:p>
        </w:tc>
        <w:tc>
          <w:tcPr>
            <w:tcW w:w="0" w:type="auto"/>
            <w:vAlign w:val="center"/>
          </w:tcPr>
          <w:p w:rsidR="00024C0A" w:rsidRDefault="00694C0F">
            <w:pPr>
              <w:pStyle w:val="TableBodyText"/>
            </w:pPr>
            <w:r>
              <w:t>0568</w:t>
            </w:r>
          </w:p>
        </w:tc>
      </w:tr>
      <w:tr w:rsidR="00024C0A" w:rsidTr="00024C0A">
        <w:tc>
          <w:tcPr>
            <w:tcW w:w="0" w:type="auto"/>
            <w:vAlign w:val="center"/>
          </w:tcPr>
          <w:p w:rsidR="00024C0A" w:rsidRDefault="00694C0F">
            <w:pPr>
              <w:pStyle w:val="TableBodyText"/>
            </w:pPr>
            <w:r>
              <w:lastRenderedPageBreak/>
              <w:t>DeleteStyle</w:t>
            </w:r>
          </w:p>
        </w:tc>
        <w:tc>
          <w:tcPr>
            <w:tcW w:w="0" w:type="auto"/>
            <w:vAlign w:val="center"/>
          </w:tcPr>
          <w:p w:rsidR="00024C0A" w:rsidRDefault="00694C0F">
            <w:pPr>
              <w:pStyle w:val="TableBodyText"/>
            </w:pPr>
            <w:r>
              <w:t>0555</w:t>
            </w:r>
          </w:p>
        </w:tc>
      </w:tr>
      <w:tr w:rsidR="00024C0A" w:rsidTr="00024C0A">
        <w:tc>
          <w:tcPr>
            <w:tcW w:w="0" w:type="auto"/>
            <w:vAlign w:val="center"/>
          </w:tcPr>
          <w:p w:rsidR="00024C0A" w:rsidRDefault="00694C0F">
            <w:pPr>
              <w:pStyle w:val="TableBodyText"/>
            </w:pPr>
            <w:r>
              <w:t>DeleteWord</w:t>
            </w:r>
          </w:p>
        </w:tc>
        <w:tc>
          <w:tcPr>
            <w:tcW w:w="0" w:type="auto"/>
            <w:vAlign w:val="center"/>
          </w:tcPr>
          <w:p w:rsidR="00024C0A" w:rsidRDefault="00694C0F">
            <w:pPr>
              <w:pStyle w:val="TableBodyText"/>
            </w:pPr>
            <w:r>
              <w:t>001C</w:t>
            </w:r>
          </w:p>
        </w:tc>
      </w:tr>
      <w:tr w:rsidR="00024C0A" w:rsidTr="00024C0A">
        <w:tc>
          <w:tcPr>
            <w:tcW w:w="0" w:type="auto"/>
            <w:vAlign w:val="center"/>
          </w:tcPr>
          <w:p w:rsidR="00024C0A" w:rsidRDefault="00694C0F">
            <w:pPr>
              <w:pStyle w:val="TableBodyText"/>
            </w:pPr>
            <w:r>
              <w:t>DemoteList</w:t>
            </w:r>
          </w:p>
        </w:tc>
        <w:tc>
          <w:tcPr>
            <w:tcW w:w="0" w:type="auto"/>
            <w:vAlign w:val="center"/>
          </w:tcPr>
          <w:p w:rsidR="00024C0A" w:rsidRDefault="00694C0F">
            <w:pPr>
              <w:pStyle w:val="TableBodyText"/>
            </w:pPr>
            <w:r>
              <w:t>0250</w:t>
            </w:r>
          </w:p>
        </w:tc>
      </w:tr>
      <w:tr w:rsidR="00024C0A" w:rsidTr="00024C0A">
        <w:tc>
          <w:tcPr>
            <w:tcW w:w="0" w:type="auto"/>
            <w:vAlign w:val="center"/>
          </w:tcPr>
          <w:p w:rsidR="00024C0A" w:rsidRDefault="00694C0F">
            <w:pPr>
              <w:pStyle w:val="TableBodyText"/>
            </w:pPr>
            <w:r>
              <w:t>DemoteToBodyText</w:t>
            </w:r>
          </w:p>
        </w:tc>
        <w:tc>
          <w:tcPr>
            <w:tcW w:w="0" w:type="auto"/>
            <w:vAlign w:val="center"/>
          </w:tcPr>
          <w:p w:rsidR="00024C0A" w:rsidRDefault="00694C0F">
            <w:pPr>
              <w:pStyle w:val="TableBodyText"/>
            </w:pPr>
            <w:r>
              <w:t>016E</w:t>
            </w:r>
          </w:p>
        </w:tc>
      </w:tr>
      <w:tr w:rsidR="00024C0A" w:rsidTr="00024C0A">
        <w:tc>
          <w:tcPr>
            <w:tcW w:w="0" w:type="auto"/>
            <w:vAlign w:val="center"/>
          </w:tcPr>
          <w:p w:rsidR="00024C0A" w:rsidRDefault="00694C0F">
            <w:pPr>
              <w:pStyle w:val="TableBodyText"/>
            </w:pPr>
            <w:r>
              <w:t>DepthGallery</w:t>
            </w:r>
          </w:p>
        </w:tc>
        <w:tc>
          <w:tcPr>
            <w:tcW w:w="0" w:type="auto"/>
            <w:vAlign w:val="center"/>
          </w:tcPr>
          <w:p w:rsidR="00024C0A" w:rsidRDefault="00694C0F">
            <w:pPr>
              <w:pStyle w:val="TableBodyText"/>
            </w:pPr>
            <w:r>
              <w:t>08CB</w:t>
            </w:r>
          </w:p>
        </w:tc>
      </w:tr>
      <w:tr w:rsidR="00024C0A" w:rsidTr="00024C0A">
        <w:tc>
          <w:tcPr>
            <w:tcW w:w="0" w:type="auto"/>
            <w:vAlign w:val="center"/>
          </w:tcPr>
          <w:p w:rsidR="00024C0A" w:rsidRDefault="00694C0F">
            <w:pPr>
              <w:pStyle w:val="TableBodyText"/>
            </w:pPr>
            <w:r>
              <w:t>DiacriticColor</w:t>
            </w:r>
          </w:p>
        </w:tc>
        <w:tc>
          <w:tcPr>
            <w:tcW w:w="0" w:type="auto"/>
            <w:vAlign w:val="center"/>
          </w:tcPr>
          <w:p w:rsidR="00024C0A" w:rsidRDefault="00694C0F">
            <w:pPr>
              <w:pStyle w:val="TableBodyText"/>
            </w:pPr>
            <w:r>
              <w:t>0458</w:t>
            </w:r>
          </w:p>
        </w:tc>
      </w:tr>
      <w:tr w:rsidR="00024C0A" w:rsidTr="00024C0A">
        <w:tc>
          <w:tcPr>
            <w:tcW w:w="0" w:type="auto"/>
            <w:vAlign w:val="center"/>
          </w:tcPr>
          <w:p w:rsidR="00024C0A" w:rsidRDefault="00694C0F">
            <w:pPr>
              <w:pStyle w:val="TableBodyText"/>
            </w:pPr>
            <w:r>
              <w:t>DialogEditor</w:t>
            </w:r>
          </w:p>
        </w:tc>
        <w:tc>
          <w:tcPr>
            <w:tcW w:w="0" w:type="auto"/>
            <w:vAlign w:val="center"/>
          </w:tcPr>
          <w:p w:rsidR="00024C0A" w:rsidRDefault="00694C0F">
            <w:pPr>
              <w:pStyle w:val="TableBodyText"/>
            </w:pPr>
            <w:r>
              <w:t>0228</w:t>
            </w:r>
          </w:p>
        </w:tc>
      </w:tr>
      <w:tr w:rsidR="00024C0A" w:rsidTr="00024C0A">
        <w:tc>
          <w:tcPr>
            <w:tcW w:w="0" w:type="auto"/>
            <w:vAlign w:val="center"/>
          </w:tcPr>
          <w:p w:rsidR="00024C0A" w:rsidRDefault="00694C0F">
            <w:pPr>
              <w:pStyle w:val="TableBodyText"/>
            </w:pPr>
            <w:r>
              <w:t>Direction3DGallery</w:t>
            </w:r>
          </w:p>
        </w:tc>
        <w:tc>
          <w:tcPr>
            <w:tcW w:w="0" w:type="auto"/>
            <w:vAlign w:val="center"/>
          </w:tcPr>
          <w:p w:rsidR="00024C0A" w:rsidRDefault="00694C0F">
            <w:pPr>
              <w:pStyle w:val="TableBodyText"/>
            </w:pPr>
            <w:r>
              <w:t>08CA</w:t>
            </w:r>
          </w:p>
        </w:tc>
      </w:tr>
      <w:tr w:rsidR="00024C0A" w:rsidTr="00024C0A">
        <w:tc>
          <w:tcPr>
            <w:tcW w:w="0" w:type="auto"/>
            <w:vAlign w:val="center"/>
          </w:tcPr>
          <w:p w:rsidR="00024C0A" w:rsidRDefault="00694C0F">
            <w:pPr>
              <w:pStyle w:val="TableBodyText"/>
            </w:pPr>
            <w:r>
              <w:t>DisplayDetails</w:t>
            </w:r>
          </w:p>
        </w:tc>
        <w:tc>
          <w:tcPr>
            <w:tcW w:w="0" w:type="auto"/>
            <w:vAlign w:val="center"/>
          </w:tcPr>
          <w:p w:rsidR="00024C0A" w:rsidRDefault="00694C0F">
            <w:pPr>
              <w:pStyle w:val="TableBodyText"/>
            </w:pPr>
            <w:r>
              <w:t>0385</w:t>
            </w:r>
          </w:p>
        </w:tc>
      </w:tr>
      <w:tr w:rsidR="00024C0A" w:rsidTr="00024C0A">
        <w:tc>
          <w:tcPr>
            <w:tcW w:w="0" w:type="auto"/>
            <w:vAlign w:val="center"/>
          </w:tcPr>
          <w:p w:rsidR="00024C0A" w:rsidRDefault="00694C0F">
            <w:pPr>
              <w:pStyle w:val="TableBodyText"/>
            </w:pPr>
            <w:r>
              <w:t>DisplayDocumentManagementPane</w:t>
            </w:r>
          </w:p>
        </w:tc>
        <w:tc>
          <w:tcPr>
            <w:tcW w:w="0" w:type="auto"/>
            <w:vAlign w:val="center"/>
          </w:tcPr>
          <w:p w:rsidR="00024C0A" w:rsidRDefault="00694C0F">
            <w:pPr>
              <w:pStyle w:val="TableBodyText"/>
            </w:pPr>
            <w:r>
              <w:t>083B</w:t>
            </w:r>
          </w:p>
        </w:tc>
      </w:tr>
      <w:tr w:rsidR="00024C0A" w:rsidTr="00024C0A">
        <w:tc>
          <w:tcPr>
            <w:tcW w:w="0" w:type="auto"/>
            <w:vAlign w:val="center"/>
          </w:tcPr>
          <w:p w:rsidR="00024C0A" w:rsidRDefault="00694C0F">
            <w:pPr>
              <w:pStyle w:val="TableBodyText"/>
            </w:pPr>
            <w:r>
              <w:t>DisplayFinalDoc</w:t>
            </w:r>
          </w:p>
        </w:tc>
        <w:tc>
          <w:tcPr>
            <w:tcW w:w="0" w:type="auto"/>
            <w:vAlign w:val="center"/>
          </w:tcPr>
          <w:p w:rsidR="00024C0A" w:rsidRDefault="00694C0F">
            <w:pPr>
              <w:pStyle w:val="TableBodyText"/>
            </w:pPr>
            <w:r>
              <w:t>0505</w:t>
            </w:r>
          </w:p>
        </w:tc>
      </w:tr>
      <w:tr w:rsidR="00024C0A" w:rsidTr="00024C0A">
        <w:tc>
          <w:tcPr>
            <w:tcW w:w="0" w:type="auto"/>
            <w:vAlign w:val="center"/>
          </w:tcPr>
          <w:p w:rsidR="00024C0A" w:rsidRDefault="00694C0F">
            <w:pPr>
              <w:pStyle w:val="TableBodyText"/>
            </w:pPr>
            <w:r>
              <w:t>DisplayForReview</w:t>
            </w:r>
          </w:p>
        </w:tc>
        <w:tc>
          <w:tcPr>
            <w:tcW w:w="0" w:type="auto"/>
            <w:vAlign w:val="center"/>
          </w:tcPr>
          <w:p w:rsidR="00024C0A" w:rsidRDefault="00694C0F">
            <w:pPr>
              <w:pStyle w:val="TableBodyText"/>
            </w:pPr>
            <w:r>
              <w:t>0534</w:t>
            </w:r>
          </w:p>
        </w:tc>
      </w:tr>
      <w:tr w:rsidR="00024C0A" w:rsidTr="00024C0A">
        <w:tc>
          <w:tcPr>
            <w:tcW w:w="0" w:type="auto"/>
            <w:vAlign w:val="center"/>
          </w:tcPr>
          <w:p w:rsidR="00024C0A" w:rsidRDefault="00694C0F">
            <w:pPr>
              <w:pStyle w:val="TableBodyText"/>
            </w:pPr>
            <w:r>
              <w:t>DisplayOriginalDoc</w:t>
            </w:r>
          </w:p>
        </w:tc>
        <w:tc>
          <w:tcPr>
            <w:tcW w:w="0" w:type="auto"/>
            <w:vAlign w:val="center"/>
          </w:tcPr>
          <w:p w:rsidR="00024C0A" w:rsidRDefault="00694C0F">
            <w:pPr>
              <w:pStyle w:val="TableBodyText"/>
            </w:pPr>
            <w:r>
              <w:t>0506</w:t>
            </w:r>
          </w:p>
        </w:tc>
      </w:tr>
      <w:tr w:rsidR="00024C0A" w:rsidTr="00024C0A">
        <w:tc>
          <w:tcPr>
            <w:tcW w:w="0" w:type="auto"/>
            <w:vAlign w:val="center"/>
          </w:tcPr>
          <w:p w:rsidR="00024C0A" w:rsidRDefault="00694C0F">
            <w:pPr>
              <w:pStyle w:val="TableBodyText"/>
            </w:pPr>
            <w:r>
              <w:t>DisplaySharedWorkspacePane</w:t>
            </w:r>
          </w:p>
        </w:tc>
        <w:tc>
          <w:tcPr>
            <w:tcW w:w="0" w:type="auto"/>
            <w:vAlign w:val="center"/>
          </w:tcPr>
          <w:p w:rsidR="00024C0A" w:rsidRDefault="00694C0F">
            <w:pPr>
              <w:pStyle w:val="TableBodyText"/>
            </w:pPr>
            <w:r>
              <w:t>0532</w:t>
            </w:r>
          </w:p>
        </w:tc>
      </w:tr>
      <w:tr w:rsidR="00024C0A" w:rsidTr="00024C0A">
        <w:tc>
          <w:tcPr>
            <w:tcW w:w="0" w:type="auto"/>
            <w:vAlign w:val="center"/>
          </w:tcPr>
          <w:p w:rsidR="00024C0A" w:rsidRDefault="00694C0F">
            <w:pPr>
              <w:pStyle w:val="TableBodyText"/>
            </w:pPr>
            <w:r>
              <w:t>DistributeColumn</w:t>
            </w:r>
          </w:p>
        </w:tc>
        <w:tc>
          <w:tcPr>
            <w:tcW w:w="0" w:type="auto"/>
            <w:vAlign w:val="center"/>
          </w:tcPr>
          <w:p w:rsidR="00024C0A" w:rsidRDefault="00694C0F">
            <w:pPr>
              <w:pStyle w:val="TableBodyText"/>
            </w:pPr>
            <w:r>
              <w:t>0327</w:t>
            </w:r>
          </w:p>
        </w:tc>
      </w:tr>
      <w:tr w:rsidR="00024C0A" w:rsidTr="00024C0A">
        <w:tc>
          <w:tcPr>
            <w:tcW w:w="0" w:type="auto"/>
            <w:vAlign w:val="center"/>
          </w:tcPr>
          <w:p w:rsidR="00024C0A" w:rsidRDefault="00694C0F">
            <w:pPr>
              <w:pStyle w:val="TableBodyText"/>
            </w:pPr>
            <w:r>
              <w:t>DistributeGeneral</w:t>
            </w:r>
          </w:p>
        </w:tc>
        <w:tc>
          <w:tcPr>
            <w:tcW w:w="0" w:type="auto"/>
            <w:vAlign w:val="center"/>
          </w:tcPr>
          <w:p w:rsidR="00024C0A" w:rsidRDefault="00694C0F">
            <w:pPr>
              <w:pStyle w:val="TableBodyText"/>
            </w:pPr>
            <w:r>
              <w:t>0362</w:t>
            </w:r>
          </w:p>
        </w:tc>
      </w:tr>
      <w:tr w:rsidR="00024C0A" w:rsidTr="00024C0A">
        <w:tc>
          <w:tcPr>
            <w:tcW w:w="0" w:type="auto"/>
            <w:vAlign w:val="center"/>
          </w:tcPr>
          <w:p w:rsidR="00024C0A" w:rsidRDefault="00694C0F">
            <w:pPr>
              <w:pStyle w:val="TableBodyText"/>
            </w:pPr>
            <w:r>
              <w:t>DistributePara</w:t>
            </w:r>
          </w:p>
        </w:tc>
        <w:tc>
          <w:tcPr>
            <w:tcW w:w="0" w:type="auto"/>
            <w:vAlign w:val="center"/>
          </w:tcPr>
          <w:p w:rsidR="00024C0A" w:rsidRDefault="00694C0F">
            <w:pPr>
              <w:pStyle w:val="TableBodyText"/>
            </w:pPr>
            <w:r>
              <w:t>02E4</w:t>
            </w:r>
          </w:p>
        </w:tc>
      </w:tr>
      <w:tr w:rsidR="00024C0A" w:rsidTr="00024C0A">
        <w:tc>
          <w:tcPr>
            <w:tcW w:w="0" w:type="auto"/>
            <w:vAlign w:val="center"/>
          </w:tcPr>
          <w:p w:rsidR="00024C0A" w:rsidRDefault="00694C0F">
            <w:pPr>
              <w:pStyle w:val="TableBodyText"/>
            </w:pPr>
            <w:r>
              <w:t>DistributeRow</w:t>
            </w:r>
          </w:p>
        </w:tc>
        <w:tc>
          <w:tcPr>
            <w:tcW w:w="0" w:type="auto"/>
            <w:vAlign w:val="center"/>
          </w:tcPr>
          <w:p w:rsidR="00024C0A" w:rsidRDefault="00694C0F">
            <w:pPr>
              <w:pStyle w:val="TableBodyText"/>
            </w:pPr>
            <w:r>
              <w:t>037D</w:t>
            </w:r>
          </w:p>
        </w:tc>
      </w:tr>
      <w:tr w:rsidR="00024C0A" w:rsidTr="00024C0A">
        <w:tc>
          <w:tcPr>
            <w:tcW w:w="0" w:type="auto"/>
            <w:vAlign w:val="center"/>
          </w:tcPr>
          <w:p w:rsidR="00024C0A" w:rsidRDefault="00694C0F">
            <w:pPr>
              <w:pStyle w:val="TableBodyText"/>
            </w:pPr>
            <w:r>
              <w:t>DoFieldClick</w:t>
            </w:r>
          </w:p>
        </w:tc>
        <w:tc>
          <w:tcPr>
            <w:tcW w:w="0" w:type="auto"/>
            <w:vAlign w:val="center"/>
          </w:tcPr>
          <w:p w:rsidR="00024C0A" w:rsidRDefault="00694C0F">
            <w:pPr>
              <w:pStyle w:val="TableBodyText"/>
            </w:pPr>
            <w:r>
              <w:t>011A</w:t>
            </w:r>
          </w:p>
        </w:tc>
      </w:tr>
      <w:tr w:rsidR="00024C0A" w:rsidTr="00024C0A">
        <w:tc>
          <w:tcPr>
            <w:tcW w:w="0" w:type="auto"/>
            <w:vAlign w:val="center"/>
          </w:tcPr>
          <w:p w:rsidR="00024C0A" w:rsidRDefault="00694C0F">
            <w:pPr>
              <w:pStyle w:val="TableBodyText"/>
            </w:pPr>
            <w:r>
              <w:t>DoNotDistribute</w:t>
            </w:r>
          </w:p>
        </w:tc>
        <w:tc>
          <w:tcPr>
            <w:tcW w:w="0" w:type="auto"/>
            <w:vAlign w:val="center"/>
          </w:tcPr>
          <w:p w:rsidR="00024C0A" w:rsidRDefault="00694C0F">
            <w:pPr>
              <w:pStyle w:val="TableBodyText"/>
            </w:pPr>
            <w:r>
              <w:t>05A0</w:t>
            </w:r>
          </w:p>
        </w:tc>
      </w:tr>
      <w:tr w:rsidR="00024C0A" w:rsidTr="00024C0A">
        <w:tc>
          <w:tcPr>
            <w:tcW w:w="0" w:type="auto"/>
            <w:vAlign w:val="center"/>
          </w:tcPr>
          <w:p w:rsidR="00024C0A" w:rsidRDefault="00694C0F">
            <w:pPr>
              <w:pStyle w:val="TableBodyText"/>
            </w:pPr>
            <w:r>
              <w:t>DocClose</w:t>
            </w:r>
          </w:p>
        </w:tc>
        <w:tc>
          <w:tcPr>
            <w:tcW w:w="0" w:type="auto"/>
            <w:vAlign w:val="center"/>
          </w:tcPr>
          <w:p w:rsidR="00024C0A" w:rsidRDefault="00694C0F">
            <w:pPr>
              <w:pStyle w:val="TableBodyText"/>
            </w:pPr>
            <w:r>
              <w:t>00EA</w:t>
            </w:r>
          </w:p>
        </w:tc>
      </w:tr>
      <w:tr w:rsidR="00024C0A" w:rsidTr="00024C0A">
        <w:tc>
          <w:tcPr>
            <w:tcW w:w="0" w:type="auto"/>
            <w:vAlign w:val="center"/>
          </w:tcPr>
          <w:p w:rsidR="00024C0A" w:rsidRDefault="00694C0F">
            <w:pPr>
              <w:pStyle w:val="TableBodyText"/>
            </w:pPr>
            <w:r>
              <w:t>DocEncryption</w:t>
            </w:r>
          </w:p>
        </w:tc>
        <w:tc>
          <w:tcPr>
            <w:tcW w:w="0" w:type="auto"/>
            <w:vAlign w:val="center"/>
          </w:tcPr>
          <w:p w:rsidR="00024C0A" w:rsidRDefault="00694C0F">
            <w:pPr>
              <w:pStyle w:val="TableBodyText"/>
            </w:pPr>
            <w:r>
              <w:t>07C0</w:t>
            </w:r>
          </w:p>
        </w:tc>
      </w:tr>
      <w:tr w:rsidR="00024C0A" w:rsidTr="00024C0A">
        <w:tc>
          <w:tcPr>
            <w:tcW w:w="0" w:type="auto"/>
            <w:vAlign w:val="center"/>
          </w:tcPr>
          <w:p w:rsidR="00024C0A" w:rsidRDefault="00694C0F">
            <w:pPr>
              <w:pStyle w:val="TableBodyText"/>
            </w:pPr>
            <w:r>
              <w:t>DocExport</w:t>
            </w:r>
          </w:p>
        </w:tc>
        <w:tc>
          <w:tcPr>
            <w:tcW w:w="0" w:type="auto"/>
            <w:vAlign w:val="center"/>
          </w:tcPr>
          <w:p w:rsidR="00024C0A" w:rsidRDefault="00694C0F">
            <w:pPr>
              <w:pStyle w:val="TableBodyText"/>
            </w:pPr>
            <w:r>
              <w:t>092D</w:t>
            </w:r>
          </w:p>
        </w:tc>
      </w:tr>
      <w:tr w:rsidR="00024C0A" w:rsidTr="00024C0A">
        <w:tc>
          <w:tcPr>
            <w:tcW w:w="0" w:type="auto"/>
            <w:vAlign w:val="center"/>
          </w:tcPr>
          <w:p w:rsidR="00024C0A" w:rsidRDefault="00694C0F">
            <w:pPr>
              <w:pStyle w:val="TableBodyText"/>
            </w:pPr>
            <w:r>
              <w:t>DocInspector</w:t>
            </w:r>
          </w:p>
        </w:tc>
        <w:tc>
          <w:tcPr>
            <w:tcW w:w="0" w:type="auto"/>
            <w:vAlign w:val="center"/>
          </w:tcPr>
          <w:p w:rsidR="00024C0A" w:rsidRDefault="00694C0F">
            <w:pPr>
              <w:pStyle w:val="TableBodyText"/>
            </w:pPr>
            <w:r>
              <w:t>05CA</w:t>
            </w:r>
          </w:p>
        </w:tc>
      </w:tr>
      <w:tr w:rsidR="00024C0A" w:rsidTr="00024C0A">
        <w:tc>
          <w:tcPr>
            <w:tcW w:w="0" w:type="auto"/>
            <w:vAlign w:val="center"/>
          </w:tcPr>
          <w:p w:rsidR="00024C0A" w:rsidRDefault="00694C0F">
            <w:pPr>
              <w:pStyle w:val="TableBodyText"/>
            </w:pPr>
            <w:r>
              <w:t>DocMaximize</w:t>
            </w:r>
          </w:p>
        </w:tc>
        <w:tc>
          <w:tcPr>
            <w:tcW w:w="0" w:type="auto"/>
            <w:vAlign w:val="center"/>
          </w:tcPr>
          <w:p w:rsidR="00024C0A" w:rsidRDefault="00694C0F">
            <w:pPr>
              <w:pStyle w:val="TableBodyText"/>
            </w:pPr>
            <w:r>
              <w:t>00E8</w:t>
            </w:r>
          </w:p>
        </w:tc>
      </w:tr>
      <w:tr w:rsidR="00024C0A" w:rsidTr="00024C0A">
        <w:tc>
          <w:tcPr>
            <w:tcW w:w="0" w:type="auto"/>
            <w:vAlign w:val="center"/>
          </w:tcPr>
          <w:p w:rsidR="00024C0A" w:rsidRDefault="00694C0F">
            <w:pPr>
              <w:pStyle w:val="TableBodyText"/>
            </w:pPr>
            <w:r>
              <w:t>DocMinimize</w:t>
            </w:r>
          </w:p>
        </w:tc>
        <w:tc>
          <w:tcPr>
            <w:tcW w:w="0" w:type="auto"/>
            <w:vAlign w:val="center"/>
          </w:tcPr>
          <w:p w:rsidR="00024C0A" w:rsidRDefault="00694C0F">
            <w:pPr>
              <w:pStyle w:val="TableBodyText"/>
            </w:pPr>
            <w:r>
              <w:t>0140</w:t>
            </w:r>
          </w:p>
        </w:tc>
      </w:tr>
      <w:tr w:rsidR="00024C0A" w:rsidTr="00024C0A">
        <w:tc>
          <w:tcPr>
            <w:tcW w:w="0" w:type="auto"/>
            <w:vAlign w:val="center"/>
          </w:tcPr>
          <w:p w:rsidR="00024C0A" w:rsidRDefault="00694C0F">
            <w:pPr>
              <w:pStyle w:val="TableBodyText"/>
            </w:pPr>
            <w:r>
              <w:t>DocMove</w:t>
            </w:r>
          </w:p>
        </w:tc>
        <w:tc>
          <w:tcPr>
            <w:tcW w:w="0" w:type="auto"/>
            <w:vAlign w:val="center"/>
          </w:tcPr>
          <w:p w:rsidR="00024C0A" w:rsidRDefault="00694C0F">
            <w:pPr>
              <w:pStyle w:val="TableBodyText"/>
            </w:pPr>
            <w:r>
              <w:t>00E7</w:t>
            </w:r>
          </w:p>
        </w:tc>
      </w:tr>
      <w:tr w:rsidR="00024C0A" w:rsidTr="00024C0A">
        <w:tc>
          <w:tcPr>
            <w:tcW w:w="0" w:type="auto"/>
            <w:vAlign w:val="center"/>
          </w:tcPr>
          <w:p w:rsidR="00024C0A" w:rsidRDefault="00694C0F">
            <w:pPr>
              <w:pStyle w:val="TableBodyText"/>
            </w:pPr>
            <w:r>
              <w:t>DocRestore</w:t>
            </w:r>
          </w:p>
        </w:tc>
        <w:tc>
          <w:tcPr>
            <w:tcW w:w="0" w:type="auto"/>
            <w:vAlign w:val="center"/>
          </w:tcPr>
          <w:p w:rsidR="00024C0A" w:rsidRDefault="00694C0F">
            <w:pPr>
              <w:pStyle w:val="TableBodyText"/>
            </w:pPr>
            <w:r>
              <w:t>00E9</w:t>
            </w:r>
          </w:p>
        </w:tc>
      </w:tr>
      <w:tr w:rsidR="00024C0A" w:rsidTr="00024C0A">
        <w:tc>
          <w:tcPr>
            <w:tcW w:w="0" w:type="auto"/>
            <w:vAlign w:val="center"/>
          </w:tcPr>
          <w:p w:rsidR="00024C0A" w:rsidRDefault="00694C0F">
            <w:pPr>
              <w:pStyle w:val="TableBodyText"/>
            </w:pPr>
            <w:r>
              <w:t>DocSize</w:t>
            </w:r>
          </w:p>
        </w:tc>
        <w:tc>
          <w:tcPr>
            <w:tcW w:w="0" w:type="auto"/>
            <w:vAlign w:val="center"/>
          </w:tcPr>
          <w:p w:rsidR="00024C0A" w:rsidRDefault="00694C0F">
            <w:pPr>
              <w:pStyle w:val="TableBodyText"/>
            </w:pPr>
            <w:r>
              <w:t>00E6</w:t>
            </w:r>
          </w:p>
        </w:tc>
      </w:tr>
      <w:tr w:rsidR="00024C0A" w:rsidTr="00024C0A">
        <w:tc>
          <w:tcPr>
            <w:tcW w:w="0" w:type="auto"/>
            <w:vAlign w:val="center"/>
          </w:tcPr>
          <w:p w:rsidR="00024C0A" w:rsidRDefault="00694C0F">
            <w:pPr>
              <w:pStyle w:val="TableBodyText"/>
            </w:pPr>
            <w:r>
              <w:t>DocSplit</w:t>
            </w:r>
          </w:p>
        </w:tc>
        <w:tc>
          <w:tcPr>
            <w:tcW w:w="0" w:type="auto"/>
            <w:vAlign w:val="center"/>
          </w:tcPr>
          <w:p w:rsidR="00024C0A" w:rsidRDefault="00694C0F">
            <w:pPr>
              <w:pStyle w:val="TableBodyText"/>
            </w:pPr>
            <w:r>
              <w:t>00E5</w:t>
            </w:r>
          </w:p>
        </w:tc>
      </w:tr>
      <w:tr w:rsidR="00024C0A" w:rsidTr="00024C0A">
        <w:tc>
          <w:tcPr>
            <w:tcW w:w="0" w:type="auto"/>
            <w:vAlign w:val="center"/>
          </w:tcPr>
          <w:p w:rsidR="00024C0A" w:rsidRDefault="00694C0F">
            <w:pPr>
              <w:pStyle w:val="TableBodyText"/>
            </w:pPr>
            <w:r>
              <w:t>DocumentActionsPane</w:t>
            </w:r>
          </w:p>
        </w:tc>
        <w:tc>
          <w:tcPr>
            <w:tcW w:w="0" w:type="auto"/>
            <w:vAlign w:val="center"/>
          </w:tcPr>
          <w:p w:rsidR="00024C0A" w:rsidRDefault="00694C0F">
            <w:pPr>
              <w:pStyle w:val="TableBodyText"/>
            </w:pPr>
            <w:r>
              <w:t>05BE</w:t>
            </w:r>
          </w:p>
        </w:tc>
      </w:tr>
      <w:tr w:rsidR="00024C0A" w:rsidTr="00024C0A">
        <w:tc>
          <w:tcPr>
            <w:tcW w:w="0" w:type="auto"/>
            <w:vAlign w:val="center"/>
          </w:tcPr>
          <w:p w:rsidR="00024C0A" w:rsidRDefault="00694C0F">
            <w:pPr>
              <w:pStyle w:val="TableBodyText"/>
            </w:pPr>
            <w:r>
              <w:t>DocumentStatistics</w:t>
            </w:r>
          </w:p>
        </w:tc>
        <w:tc>
          <w:tcPr>
            <w:tcW w:w="0" w:type="auto"/>
            <w:vAlign w:val="center"/>
          </w:tcPr>
          <w:p w:rsidR="00024C0A" w:rsidRDefault="00694C0F">
            <w:pPr>
              <w:pStyle w:val="TableBodyText"/>
            </w:pPr>
            <w:r>
              <w:t>004E</w:t>
            </w:r>
          </w:p>
        </w:tc>
      </w:tr>
      <w:tr w:rsidR="00024C0A" w:rsidTr="00024C0A">
        <w:tc>
          <w:tcPr>
            <w:tcW w:w="0" w:type="auto"/>
            <w:vAlign w:val="center"/>
          </w:tcPr>
          <w:p w:rsidR="00024C0A" w:rsidRDefault="00694C0F">
            <w:pPr>
              <w:pStyle w:val="TableBodyText"/>
            </w:pPr>
            <w:r>
              <w:lastRenderedPageBreak/>
              <w:t>DotAccent</w:t>
            </w:r>
          </w:p>
        </w:tc>
        <w:tc>
          <w:tcPr>
            <w:tcW w:w="0" w:type="auto"/>
            <w:vAlign w:val="center"/>
          </w:tcPr>
          <w:p w:rsidR="00024C0A" w:rsidRDefault="00694C0F">
            <w:pPr>
              <w:pStyle w:val="TableBodyText"/>
            </w:pPr>
            <w:r>
              <w:t>02FD</w:t>
            </w:r>
          </w:p>
        </w:tc>
      </w:tr>
      <w:tr w:rsidR="00024C0A" w:rsidTr="00024C0A">
        <w:tc>
          <w:tcPr>
            <w:tcW w:w="0" w:type="auto"/>
            <w:vAlign w:val="center"/>
          </w:tcPr>
          <w:p w:rsidR="00024C0A" w:rsidRDefault="00694C0F">
            <w:pPr>
              <w:pStyle w:val="TableBodyText"/>
            </w:pPr>
            <w:r>
              <w:t>DottedUnderline</w:t>
            </w:r>
          </w:p>
        </w:tc>
        <w:tc>
          <w:tcPr>
            <w:tcW w:w="0" w:type="auto"/>
            <w:vAlign w:val="center"/>
          </w:tcPr>
          <w:p w:rsidR="00024C0A" w:rsidRDefault="00694C0F">
            <w:pPr>
              <w:pStyle w:val="TableBodyText"/>
            </w:pPr>
            <w:r>
              <w:t>026C</w:t>
            </w:r>
          </w:p>
        </w:tc>
      </w:tr>
      <w:tr w:rsidR="00024C0A" w:rsidTr="00024C0A">
        <w:tc>
          <w:tcPr>
            <w:tcW w:w="0" w:type="auto"/>
            <w:vAlign w:val="center"/>
          </w:tcPr>
          <w:p w:rsidR="00024C0A" w:rsidRDefault="00694C0F">
            <w:pPr>
              <w:pStyle w:val="TableBodyText"/>
            </w:pPr>
            <w:r>
              <w:t>DoubleStrikethrough</w:t>
            </w:r>
          </w:p>
        </w:tc>
        <w:tc>
          <w:tcPr>
            <w:tcW w:w="0" w:type="auto"/>
            <w:vAlign w:val="center"/>
          </w:tcPr>
          <w:p w:rsidR="00024C0A" w:rsidRDefault="00694C0F">
            <w:pPr>
              <w:pStyle w:val="TableBodyText"/>
            </w:pPr>
            <w:r>
              <w:t>031E</w:t>
            </w:r>
          </w:p>
        </w:tc>
      </w:tr>
      <w:tr w:rsidR="00024C0A" w:rsidTr="00024C0A">
        <w:tc>
          <w:tcPr>
            <w:tcW w:w="0" w:type="auto"/>
            <w:vAlign w:val="center"/>
          </w:tcPr>
          <w:p w:rsidR="00024C0A" w:rsidRDefault="00694C0F">
            <w:pPr>
              <w:pStyle w:val="TableBodyText"/>
            </w:pPr>
            <w:r>
              <w:t>DoubleUnderline</w:t>
            </w:r>
          </w:p>
        </w:tc>
        <w:tc>
          <w:tcPr>
            <w:tcW w:w="0" w:type="auto"/>
            <w:vAlign w:val="center"/>
          </w:tcPr>
          <w:p w:rsidR="00024C0A" w:rsidRDefault="00694C0F">
            <w:pPr>
              <w:pStyle w:val="TableBodyText"/>
            </w:pPr>
            <w:r>
              <w:t>0034</w:t>
            </w:r>
          </w:p>
        </w:tc>
      </w:tr>
      <w:tr w:rsidR="00024C0A" w:rsidTr="00024C0A">
        <w:tc>
          <w:tcPr>
            <w:tcW w:w="0" w:type="auto"/>
            <w:vAlign w:val="center"/>
          </w:tcPr>
          <w:p w:rsidR="00024C0A" w:rsidRDefault="00694C0F">
            <w:pPr>
              <w:pStyle w:val="TableBodyText"/>
            </w:pPr>
            <w:r>
              <w:t>DownloadPictures</w:t>
            </w:r>
          </w:p>
        </w:tc>
        <w:tc>
          <w:tcPr>
            <w:tcW w:w="0" w:type="auto"/>
            <w:vAlign w:val="center"/>
          </w:tcPr>
          <w:p w:rsidR="00024C0A" w:rsidRDefault="00694C0F">
            <w:pPr>
              <w:pStyle w:val="TableBodyText"/>
            </w:pPr>
            <w:r>
              <w:t>07A2</w:t>
            </w:r>
          </w:p>
        </w:tc>
      </w:tr>
      <w:tr w:rsidR="00024C0A" w:rsidTr="00024C0A">
        <w:tc>
          <w:tcPr>
            <w:tcW w:w="0" w:type="auto"/>
            <w:vAlign w:val="center"/>
          </w:tcPr>
          <w:p w:rsidR="00024C0A" w:rsidRDefault="00694C0F">
            <w:pPr>
              <w:pStyle w:val="TableBodyText"/>
            </w:pPr>
            <w:r>
              <w:t>DrawAlign</w:t>
            </w:r>
          </w:p>
        </w:tc>
        <w:tc>
          <w:tcPr>
            <w:tcW w:w="0" w:type="auto"/>
            <w:vAlign w:val="center"/>
          </w:tcPr>
          <w:p w:rsidR="00024C0A" w:rsidRDefault="00694C0F">
            <w:pPr>
              <w:pStyle w:val="TableBodyText"/>
            </w:pPr>
            <w:r>
              <w:t>027A</w:t>
            </w:r>
          </w:p>
        </w:tc>
      </w:tr>
      <w:tr w:rsidR="00024C0A" w:rsidTr="00024C0A">
        <w:tc>
          <w:tcPr>
            <w:tcW w:w="0" w:type="auto"/>
            <w:vAlign w:val="center"/>
          </w:tcPr>
          <w:p w:rsidR="00024C0A" w:rsidRDefault="00694C0F">
            <w:pPr>
              <w:pStyle w:val="TableBodyText"/>
            </w:pPr>
            <w:r>
              <w:t>DrawArc</w:t>
            </w:r>
          </w:p>
        </w:tc>
        <w:tc>
          <w:tcPr>
            <w:tcW w:w="0" w:type="auto"/>
            <w:vAlign w:val="center"/>
          </w:tcPr>
          <w:p w:rsidR="00024C0A" w:rsidRDefault="00694C0F">
            <w:pPr>
              <w:pStyle w:val="TableBodyText"/>
            </w:pPr>
            <w:r>
              <w:t>01C7</w:t>
            </w:r>
          </w:p>
        </w:tc>
      </w:tr>
      <w:tr w:rsidR="00024C0A" w:rsidTr="00024C0A">
        <w:tc>
          <w:tcPr>
            <w:tcW w:w="0" w:type="auto"/>
            <w:vAlign w:val="center"/>
          </w:tcPr>
          <w:p w:rsidR="00024C0A" w:rsidRDefault="00694C0F">
            <w:pPr>
              <w:pStyle w:val="TableBodyText"/>
            </w:pPr>
            <w:r>
              <w:t>DrawBrace</w:t>
            </w:r>
          </w:p>
        </w:tc>
        <w:tc>
          <w:tcPr>
            <w:tcW w:w="0" w:type="auto"/>
            <w:vAlign w:val="center"/>
          </w:tcPr>
          <w:p w:rsidR="00024C0A" w:rsidRDefault="00694C0F">
            <w:pPr>
              <w:pStyle w:val="TableBodyText"/>
            </w:pPr>
            <w:r>
              <w:t>0317</w:t>
            </w:r>
          </w:p>
        </w:tc>
      </w:tr>
      <w:tr w:rsidR="00024C0A" w:rsidTr="00024C0A">
        <w:tc>
          <w:tcPr>
            <w:tcW w:w="0" w:type="auto"/>
            <w:vAlign w:val="center"/>
          </w:tcPr>
          <w:p w:rsidR="00024C0A" w:rsidRDefault="00694C0F">
            <w:pPr>
              <w:pStyle w:val="TableBodyText"/>
            </w:pPr>
            <w:r>
              <w:t>DrawBracket</w:t>
            </w:r>
          </w:p>
        </w:tc>
        <w:tc>
          <w:tcPr>
            <w:tcW w:w="0" w:type="auto"/>
            <w:vAlign w:val="center"/>
          </w:tcPr>
          <w:p w:rsidR="00024C0A" w:rsidRDefault="00694C0F">
            <w:pPr>
              <w:pStyle w:val="TableBodyText"/>
            </w:pPr>
            <w:r>
              <w:t>0318</w:t>
            </w:r>
          </w:p>
        </w:tc>
      </w:tr>
      <w:tr w:rsidR="00024C0A" w:rsidTr="00024C0A">
        <w:tc>
          <w:tcPr>
            <w:tcW w:w="0" w:type="auto"/>
            <w:vAlign w:val="center"/>
          </w:tcPr>
          <w:p w:rsidR="00024C0A" w:rsidRDefault="00694C0F">
            <w:pPr>
              <w:pStyle w:val="TableBodyText"/>
            </w:pPr>
            <w:r>
              <w:t>DrawBringForward</w:t>
            </w:r>
          </w:p>
        </w:tc>
        <w:tc>
          <w:tcPr>
            <w:tcW w:w="0" w:type="auto"/>
            <w:vAlign w:val="center"/>
          </w:tcPr>
          <w:p w:rsidR="00024C0A" w:rsidRDefault="00694C0F">
            <w:pPr>
              <w:pStyle w:val="TableBodyText"/>
            </w:pPr>
            <w:r>
              <w:t>01F4</w:t>
            </w:r>
          </w:p>
        </w:tc>
      </w:tr>
      <w:tr w:rsidR="00024C0A" w:rsidTr="00024C0A">
        <w:tc>
          <w:tcPr>
            <w:tcW w:w="0" w:type="auto"/>
            <w:vAlign w:val="center"/>
          </w:tcPr>
          <w:p w:rsidR="00024C0A" w:rsidRDefault="00694C0F">
            <w:pPr>
              <w:pStyle w:val="TableBodyText"/>
            </w:pPr>
            <w:r>
              <w:t>DrawBringInFrontOfText</w:t>
            </w:r>
          </w:p>
        </w:tc>
        <w:tc>
          <w:tcPr>
            <w:tcW w:w="0" w:type="auto"/>
            <w:vAlign w:val="center"/>
          </w:tcPr>
          <w:p w:rsidR="00024C0A" w:rsidRDefault="00694C0F">
            <w:pPr>
              <w:pStyle w:val="TableBodyText"/>
            </w:pPr>
            <w:r>
              <w:t>01D5</w:t>
            </w:r>
          </w:p>
        </w:tc>
      </w:tr>
      <w:tr w:rsidR="00024C0A" w:rsidTr="00024C0A">
        <w:tc>
          <w:tcPr>
            <w:tcW w:w="0" w:type="auto"/>
            <w:vAlign w:val="center"/>
          </w:tcPr>
          <w:p w:rsidR="00024C0A" w:rsidRDefault="00694C0F">
            <w:pPr>
              <w:pStyle w:val="TableBodyText"/>
            </w:pPr>
            <w:r>
              <w:t>DrawBringToFront</w:t>
            </w:r>
          </w:p>
        </w:tc>
        <w:tc>
          <w:tcPr>
            <w:tcW w:w="0" w:type="auto"/>
            <w:vAlign w:val="center"/>
          </w:tcPr>
          <w:p w:rsidR="00024C0A" w:rsidRDefault="00694C0F">
            <w:pPr>
              <w:pStyle w:val="TableBodyText"/>
            </w:pPr>
            <w:r>
              <w:t>01D2</w:t>
            </w:r>
          </w:p>
        </w:tc>
      </w:tr>
      <w:tr w:rsidR="00024C0A" w:rsidTr="00024C0A">
        <w:tc>
          <w:tcPr>
            <w:tcW w:w="0" w:type="auto"/>
            <w:vAlign w:val="center"/>
          </w:tcPr>
          <w:p w:rsidR="00024C0A" w:rsidRDefault="00694C0F">
            <w:pPr>
              <w:pStyle w:val="TableBodyText"/>
            </w:pPr>
            <w:r>
              <w:t>DrawCallout</w:t>
            </w:r>
          </w:p>
        </w:tc>
        <w:tc>
          <w:tcPr>
            <w:tcW w:w="0" w:type="auto"/>
            <w:vAlign w:val="center"/>
          </w:tcPr>
          <w:p w:rsidR="00024C0A" w:rsidRDefault="00694C0F">
            <w:pPr>
              <w:pStyle w:val="TableBodyText"/>
            </w:pPr>
            <w:r>
              <w:t>0263</w:t>
            </w:r>
          </w:p>
        </w:tc>
      </w:tr>
      <w:tr w:rsidR="00024C0A" w:rsidTr="00024C0A">
        <w:tc>
          <w:tcPr>
            <w:tcW w:w="0" w:type="auto"/>
            <w:vAlign w:val="center"/>
          </w:tcPr>
          <w:p w:rsidR="00024C0A" w:rsidRDefault="00694C0F">
            <w:pPr>
              <w:pStyle w:val="TableBodyText"/>
            </w:pPr>
            <w:r>
              <w:t>DrawDisassemblePicture</w:t>
            </w:r>
          </w:p>
        </w:tc>
        <w:tc>
          <w:tcPr>
            <w:tcW w:w="0" w:type="auto"/>
            <w:vAlign w:val="center"/>
          </w:tcPr>
          <w:p w:rsidR="00024C0A" w:rsidRDefault="00694C0F">
            <w:pPr>
              <w:pStyle w:val="TableBodyText"/>
            </w:pPr>
            <w:r>
              <w:t>023F</w:t>
            </w:r>
          </w:p>
        </w:tc>
      </w:tr>
      <w:tr w:rsidR="00024C0A" w:rsidTr="00024C0A">
        <w:tc>
          <w:tcPr>
            <w:tcW w:w="0" w:type="auto"/>
            <w:vAlign w:val="center"/>
          </w:tcPr>
          <w:p w:rsidR="00024C0A" w:rsidRDefault="00694C0F">
            <w:pPr>
              <w:pStyle w:val="TableBodyText"/>
            </w:pPr>
            <w:r>
              <w:t>DrawDuplicate</w:t>
            </w:r>
          </w:p>
        </w:tc>
        <w:tc>
          <w:tcPr>
            <w:tcW w:w="0" w:type="auto"/>
            <w:vAlign w:val="center"/>
          </w:tcPr>
          <w:p w:rsidR="00024C0A" w:rsidRDefault="00694C0F">
            <w:pPr>
              <w:pStyle w:val="TableBodyText"/>
            </w:pPr>
            <w:r>
              <w:t>03BB</w:t>
            </w:r>
          </w:p>
        </w:tc>
      </w:tr>
      <w:tr w:rsidR="00024C0A" w:rsidTr="00024C0A">
        <w:tc>
          <w:tcPr>
            <w:tcW w:w="0" w:type="auto"/>
            <w:vAlign w:val="center"/>
          </w:tcPr>
          <w:p w:rsidR="00024C0A" w:rsidRDefault="00694C0F">
            <w:pPr>
              <w:pStyle w:val="TableBodyText"/>
            </w:pPr>
            <w:r>
              <w:t>DrawEllipse</w:t>
            </w:r>
          </w:p>
        </w:tc>
        <w:tc>
          <w:tcPr>
            <w:tcW w:w="0" w:type="auto"/>
            <w:vAlign w:val="center"/>
          </w:tcPr>
          <w:p w:rsidR="00024C0A" w:rsidRDefault="00694C0F">
            <w:pPr>
              <w:pStyle w:val="TableBodyText"/>
            </w:pPr>
            <w:r>
              <w:t>01C6</w:t>
            </w:r>
          </w:p>
        </w:tc>
      </w:tr>
      <w:tr w:rsidR="00024C0A" w:rsidTr="00024C0A">
        <w:tc>
          <w:tcPr>
            <w:tcW w:w="0" w:type="auto"/>
            <w:vAlign w:val="center"/>
          </w:tcPr>
          <w:p w:rsidR="00024C0A" w:rsidRDefault="00694C0F">
            <w:pPr>
              <w:pStyle w:val="TableBodyText"/>
            </w:pPr>
            <w:r>
              <w:t>DrawFlipHorizontal</w:t>
            </w:r>
          </w:p>
        </w:tc>
        <w:tc>
          <w:tcPr>
            <w:tcW w:w="0" w:type="auto"/>
            <w:vAlign w:val="center"/>
          </w:tcPr>
          <w:p w:rsidR="00024C0A" w:rsidRDefault="00694C0F">
            <w:pPr>
              <w:pStyle w:val="TableBodyText"/>
            </w:pPr>
            <w:r>
              <w:t>022F</w:t>
            </w:r>
          </w:p>
        </w:tc>
      </w:tr>
      <w:tr w:rsidR="00024C0A" w:rsidTr="00024C0A">
        <w:tc>
          <w:tcPr>
            <w:tcW w:w="0" w:type="auto"/>
            <w:vAlign w:val="center"/>
          </w:tcPr>
          <w:p w:rsidR="00024C0A" w:rsidRDefault="00694C0F">
            <w:pPr>
              <w:pStyle w:val="TableBodyText"/>
            </w:pPr>
            <w:r>
              <w:t>DrawFlipVertical</w:t>
            </w:r>
          </w:p>
        </w:tc>
        <w:tc>
          <w:tcPr>
            <w:tcW w:w="0" w:type="auto"/>
            <w:vAlign w:val="center"/>
          </w:tcPr>
          <w:p w:rsidR="00024C0A" w:rsidRDefault="00694C0F">
            <w:pPr>
              <w:pStyle w:val="TableBodyText"/>
            </w:pPr>
            <w:r>
              <w:t>0230</w:t>
            </w:r>
          </w:p>
        </w:tc>
      </w:tr>
      <w:tr w:rsidR="00024C0A" w:rsidTr="00024C0A">
        <w:tc>
          <w:tcPr>
            <w:tcW w:w="0" w:type="auto"/>
            <w:vAlign w:val="center"/>
          </w:tcPr>
          <w:p w:rsidR="00024C0A" w:rsidRDefault="00694C0F">
            <w:pPr>
              <w:pStyle w:val="TableBodyText"/>
            </w:pPr>
            <w:r>
              <w:t>DrawFreeformPolygon</w:t>
            </w:r>
          </w:p>
        </w:tc>
        <w:tc>
          <w:tcPr>
            <w:tcW w:w="0" w:type="auto"/>
            <w:vAlign w:val="center"/>
          </w:tcPr>
          <w:p w:rsidR="00024C0A" w:rsidRDefault="00694C0F">
            <w:pPr>
              <w:pStyle w:val="TableBodyText"/>
            </w:pPr>
            <w:r>
              <w:t>021A</w:t>
            </w:r>
          </w:p>
        </w:tc>
      </w:tr>
      <w:tr w:rsidR="00024C0A" w:rsidTr="00024C0A">
        <w:tc>
          <w:tcPr>
            <w:tcW w:w="0" w:type="auto"/>
            <w:vAlign w:val="center"/>
          </w:tcPr>
          <w:p w:rsidR="00024C0A" w:rsidRDefault="00694C0F">
            <w:pPr>
              <w:pStyle w:val="TableBodyText"/>
            </w:pPr>
            <w:r>
              <w:t>DrawGroup</w:t>
            </w:r>
          </w:p>
        </w:tc>
        <w:tc>
          <w:tcPr>
            <w:tcW w:w="0" w:type="auto"/>
            <w:vAlign w:val="center"/>
          </w:tcPr>
          <w:p w:rsidR="00024C0A" w:rsidRDefault="00694C0F">
            <w:pPr>
              <w:pStyle w:val="TableBodyText"/>
            </w:pPr>
            <w:r>
              <w:t>01D1</w:t>
            </w:r>
          </w:p>
        </w:tc>
      </w:tr>
      <w:tr w:rsidR="00024C0A" w:rsidTr="00024C0A">
        <w:tc>
          <w:tcPr>
            <w:tcW w:w="0" w:type="auto"/>
            <w:vAlign w:val="center"/>
          </w:tcPr>
          <w:p w:rsidR="00024C0A" w:rsidRDefault="00694C0F">
            <w:pPr>
              <w:pStyle w:val="TableBodyText"/>
            </w:pPr>
            <w:r>
              <w:t>DrawInsertWordPicture</w:t>
            </w:r>
          </w:p>
        </w:tc>
        <w:tc>
          <w:tcPr>
            <w:tcW w:w="0" w:type="auto"/>
            <w:vAlign w:val="center"/>
          </w:tcPr>
          <w:p w:rsidR="00024C0A" w:rsidRDefault="00694C0F">
            <w:pPr>
              <w:pStyle w:val="TableBodyText"/>
            </w:pPr>
            <w:r>
              <w:t>0288</w:t>
            </w:r>
          </w:p>
        </w:tc>
      </w:tr>
      <w:tr w:rsidR="00024C0A" w:rsidTr="00024C0A">
        <w:tc>
          <w:tcPr>
            <w:tcW w:w="0" w:type="auto"/>
            <w:vAlign w:val="center"/>
          </w:tcPr>
          <w:p w:rsidR="00024C0A" w:rsidRDefault="00694C0F">
            <w:pPr>
              <w:pStyle w:val="TableBodyText"/>
            </w:pPr>
            <w:r>
              <w:t>DrawLine</w:t>
            </w:r>
          </w:p>
        </w:tc>
        <w:tc>
          <w:tcPr>
            <w:tcW w:w="0" w:type="auto"/>
            <w:vAlign w:val="center"/>
          </w:tcPr>
          <w:p w:rsidR="00024C0A" w:rsidRDefault="00694C0F">
            <w:pPr>
              <w:pStyle w:val="TableBodyText"/>
            </w:pPr>
            <w:r>
              <w:t>0178</w:t>
            </w:r>
          </w:p>
        </w:tc>
      </w:tr>
      <w:tr w:rsidR="00024C0A" w:rsidTr="00024C0A">
        <w:tc>
          <w:tcPr>
            <w:tcW w:w="0" w:type="auto"/>
            <w:vAlign w:val="center"/>
          </w:tcPr>
          <w:p w:rsidR="00024C0A" w:rsidRDefault="00694C0F">
            <w:pPr>
              <w:pStyle w:val="TableBodyText"/>
            </w:pPr>
            <w:r>
              <w:t>DrawMenu3D</w:t>
            </w:r>
          </w:p>
        </w:tc>
        <w:tc>
          <w:tcPr>
            <w:tcW w:w="0" w:type="auto"/>
            <w:vAlign w:val="center"/>
          </w:tcPr>
          <w:p w:rsidR="00024C0A" w:rsidRDefault="00694C0F">
            <w:pPr>
              <w:pStyle w:val="TableBodyText"/>
            </w:pPr>
            <w:r>
              <w:t>1662</w:t>
            </w:r>
          </w:p>
        </w:tc>
      </w:tr>
      <w:tr w:rsidR="00024C0A" w:rsidTr="00024C0A">
        <w:tc>
          <w:tcPr>
            <w:tcW w:w="0" w:type="auto"/>
            <w:vAlign w:val="center"/>
          </w:tcPr>
          <w:p w:rsidR="00024C0A" w:rsidRDefault="00694C0F">
            <w:pPr>
              <w:pStyle w:val="TableBodyText"/>
            </w:pPr>
            <w:r>
              <w:t>DrawMenu3DColor</w:t>
            </w:r>
          </w:p>
        </w:tc>
        <w:tc>
          <w:tcPr>
            <w:tcW w:w="0" w:type="auto"/>
            <w:vAlign w:val="center"/>
          </w:tcPr>
          <w:p w:rsidR="00024C0A" w:rsidRDefault="00694C0F">
            <w:pPr>
              <w:pStyle w:val="TableBodyText"/>
            </w:pPr>
            <w:r>
              <w:t>1677</w:t>
            </w:r>
          </w:p>
        </w:tc>
      </w:tr>
      <w:tr w:rsidR="00024C0A" w:rsidTr="00024C0A">
        <w:tc>
          <w:tcPr>
            <w:tcW w:w="0" w:type="auto"/>
            <w:vAlign w:val="center"/>
          </w:tcPr>
          <w:p w:rsidR="00024C0A" w:rsidRDefault="00694C0F">
            <w:pPr>
              <w:pStyle w:val="TableBodyText"/>
            </w:pPr>
            <w:r>
              <w:t>DrawMenu3DDepth</w:t>
            </w:r>
          </w:p>
        </w:tc>
        <w:tc>
          <w:tcPr>
            <w:tcW w:w="0" w:type="auto"/>
            <w:vAlign w:val="center"/>
          </w:tcPr>
          <w:p w:rsidR="00024C0A" w:rsidRDefault="00694C0F">
            <w:pPr>
              <w:pStyle w:val="TableBodyText"/>
            </w:pPr>
            <w:r>
              <w:t>1675</w:t>
            </w:r>
          </w:p>
        </w:tc>
      </w:tr>
      <w:tr w:rsidR="00024C0A" w:rsidTr="00024C0A">
        <w:tc>
          <w:tcPr>
            <w:tcW w:w="0" w:type="auto"/>
            <w:vAlign w:val="center"/>
          </w:tcPr>
          <w:p w:rsidR="00024C0A" w:rsidRDefault="00694C0F">
            <w:pPr>
              <w:pStyle w:val="TableBodyText"/>
            </w:pPr>
            <w:r>
              <w:t>DrawMenu3DDirection</w:t>
            </w:r>
          </w:p>
        </w:tc>
        <w:tc>
          <w:tcPr>
            <w:tcW w:w="0" w:type="auto"/>
            <w:vAlign w:val="center"/>
          </w:tcPr>
          <w:p w:rsidR="00024C0A" w:rsidRDefault="00694C0F">
            <w:pPr>
              <w:pStyle w:val="TableBodyText"/>
            </w:pPr>
            <w:r>
              <w:t>1676</w:t>
            </w:r>
          </w:p>
        </w:tc>
      </w:tr>
      <w:tr w:rsidR="00024C0A" w:rsidTr="00024C0A">
        <w:tc>
          <w:tcPr>
            <w:tcW w:w="0" w:type="auto"/>
            <w:vAlign w:val="center"/>
          </w:tcPr>
          <w:p w:rsidR="00024C0A" w:rsidRDefault="00694C0F">
            <w:pPr>
              <w:pStyle w:val="TableBodyText"/>
            </w:pPr>
            <w:r>
              <w:t>DrawMenu3DLighting</w:t>
            </w:r>
          </w:p>
        </w:tc>
        <w:tc>
          <w:tcPr>
            <w:tcW w:w="0" w:type="auto"/>
            <w:vAlign w:val="center"/>
          </w:tcPr>
          <w:p w:rsidR="00024C0A" w:rsidRDefault="00694C0F">
            <w:pPr>
              <w:pStyle w:val="TableBodyText"/>
            </w:pPr>
            <w:r>
              <w:t>1678</w:t>
            </w:r>
          </w:p>
        </w:tc>
      </w:tr>
      <w:tr w:rsidR="00024C0A" w:rsidTr="00024C0A">
        <w:tc>
          <w:tcPr>
            <w:tcW w:w="0" w:type="auto"/>
            <w:vAlign w:val="center"/>
          </w:tcPr>
          <w:p w:rsidR="00024C0A" w:rsidRDefault="00694C0F">
            <w:pPr>
              <w:pStyle w:val="TableBodyText"/>
            </w:pPr>
            <w:r>
              <w:t>DrawMenu3DSurface</w:t>
            </w:r>
          </w:p>
        </w:tc>
        <w:tc>
          <w:tcPr>
            <w:tcW w:w="0" w:type="auto"/>
            <w:vAlign w:val="center"/>
          </w:tcPr>
          <w:p w:rsidR="00024C0A" w:rsidRDefault="00694C0F">
            <w:pPr>
              <w:pStyle w:val="TableBodyText"/>
            </w:pPr>
            <w:r>
              <w:t>1679</w:t>
            </w:r>
          </w:p>
        </w:tc>
      </w:tr>
      <w:tr w:rsidR="00024C0A" w:rsidTr="00024C0A">
        <w:tc>
          <w:tcPr>
            <w:tcW w:w="0" w:type="auto"/>
            <w:vAlign w:val="center"/>
          </w:tcPr>
          <w:p w:rsidR="00024C0A" w:rsidRDefault="00694C0F">
            <w:pPr>
              <w:pStyle w:val="TableBodyText"/>
            </w:pPr>
            <w:r>
              <w:t>DrawMenuAlignDistribute</w:t>
            </w:r>
          </w:p>
        </w:tc>
        <w:tc>
          <w:tcPr>
            <w:tcW w:w="0" w:type="auto"/>
            <w:vAlign w:val="center"/>
          </w:tcPr>
          <w:p w:rsidR="00024C0A" w:rsidRDefault="00694C0F">
            <w:pPr>
              <w:pStyle w:val="TableBodyText"/>
            </w:pPr>
            <w:r>
              <w:t>1659</w:t>
            </w:r>
          </w:p>
        </w:tc>
      </w:tr>
      <w:tr w:rsidR="00024C0A" w:rsidTr="00024C0A">
        <w:tc>
          <w:tcPr>
            <w:tcW w:w="0" w:type="auto"/>
            <w:vAlign w:val="center"/>
          </w:tcPr>
          <w:p w:rsidR="00024C0A" w:rsidRDefault="00694C0F">
            <w:pPr>
              <w:pStyle w:val="TableBodyText"/>
            </w:pPr>
            <w:r>
              <w:t>DrawMenuArrows</w:t>
            </w:r>
          </w:p>
        </w:tc>
        <w:tc>
          <w:tcPr>
            <w:tcW w:w="0" w:type="auto"/>
            <w:vAlign w:val="center"/>
          </w:tcPr>
          <w:p w:rsidR="00024C0A" w:rsidRDefault="00694C0F">
            <w:pPr>
              <w:pStyle w:val="TableBodyText"/>
            </w:pPr>
            <w:r>
              <w:t>1661</w:t>
            </w:r>
          </w:p>
        </w:tc>
      </w:tr>
      <w:tr w:rsidR="00024C0A" w:rsidTr="00024C0A">
        <w:tc>
          <w:tcPr>
            <w:tcW w:w="0" w:type="auto"/>
            <w:vAlign w:val="center"/>
          </w:tcPr>
          <w:p w:rsidR="00024C0A" w:rsidRDefault="00694C0F">
            <w:pPr>
              <w:pStyle w:val="TableBodyText"/>
            </w:pPr>
            <w:r>
              <w:t>DrawMenuAutoShapes</w:t>
            </w:r>
          </w:p>
        </w:tc>
        <w:tc>
          <w:tcPr>
            <w:tcW w:w="0" w:type="auto"/>
            <w:vAlign w:val="center"/>
          </w:tcPr>
          <w:p w:rsidR="00024C0A" w:rsidRDefault="00694C0F">
            <w:pPr>
              <w:pStyle w:val="TableBodyText"/>
            </w:pPr>
            <w:r>
              <w:t>166B</w:t>
            </w:r>
          </w:p>
        </w:tc>
      </w:tr>
      <w:tr w:rsidR="00024C0A" w:rsidTr="00024C0A">
        <w:tc>
          <w:tcPr>
            <w:tcW w:w="0" w:type="auto"/>
            <w:vAlign w:val="center"/>
          </w:tcPr>
          <w:p w:rsidR="00024C0A" w:rsidRDefault="00694C0F">
            <w:pPr>
              <w:pStyle w:val="TableBodyText"/>
            </w:pPr>
            <w:r>
              <w:t>DrawMenuChangeShape</w:t>
            </w:r>
          </w:p>
        </w:tc>
        <w:tc>
          <w:tcPr>
            <w:tcW w:w="0" w:type="auto"/>
            <w:vAlign w:val="center"/>
          </w:tcPr>
          <w:p w:rsidR="00024C0A" w:rsidRDefault="00694C0F">
            <w:pPr>
              <w:pStyle w:val="TableBodyText"/>
            </w:pPr>
            <w:r>
              <w:t>1665</w:t>
            </w:r>
          </w:p>
        </w:tc>
      </w:tr>
      <w:tr w:rsidR="00024C0A" w:rsidTr="00024C0A">
        <w:tc>
          <w:tcPr>
            <w:tcW w:w="0" w:type="auto"/>
            <w:vAlign w:val="center"/>
          </w:tcPr>
          <w:p w:rsidR="00024C0A" w:rsidRDefault="00694C0F">
            <w:pPr>
              <w:pStyle w:val="TableBodyText"/>
            </w:pPr>
            <w:r>
              <w:lastRenderedPageBreak/>
              <w:t>DrawMenuChangeShape0</w:t>
            </w:r>
          </w:p>
        </w:tc>
        <w:tc>
          <w:tcPr>
            <w:tcW w:w="0" w:type="auto"/>
            <w:vAlign w:val="center"/>
          </w:tcPr>
          <w:p w:rsidR="00024C0A" w:rsidRDefault="00694C0F">
            <w:pPr>
              <w:pStyle w:val="TableBodyText"/>
            </w:pPr>
            <w:r>
              <w:t>1666</w:t>
            </w:r>
          </w:p>
        </w:tc>
      </w:tr>
      <w:tr w:rsidR="00024C0A" w:rsidTr="00024C0A">
        <w:tc>
          <w:tcPr>
            <w:tcW w:w="0" w:type="auto"/>
            <w:vAlign w:val="center"/>
          </w:tcPr>
          <w:p w:rsidR="00024C0A" w:rsidRDefault="00694C0F">
            <w:pPr>
              <w:pStyle w:val="TableBodyText"/>
            </w:pPr>
            <w:r>
              <w:t>DrawMenuChangeShape1</w:t>
            </w:r>
          </w:p>
        </w:tc>
        <w:tc>
          <w:tcPr>
            <w:tcW w:w="0" w:type="auto"/>
            <w:vAlign w:val="center"/>
          </w:tcPr>
          <w:p w:rsidR="00024C0A" w:rsidRDefault="00694C0F">
            <w:pPr>
              <w:pStyle w:val="TableBodyText"/>
            </w:pPr>
            <w:r>
              <w:t>1667</w:t>
            </w:r>
          </w:p>
        </w:tc>
      </w:tr>
      <w:tr w:rsidR="00024C0A" w:rsidTr="00024C0A">
        <w:tc>
          <w:tcPr>
            <w:tcW w:w="0" w:type="auto"/>
            <w:vAlign w:val="center"/>
          </w:tcPr>
          <w:p w:rsidR="00024C0A" w:rsidRDefault="00694C0F">
            <w:pPr>
              <w:pStyle w:val="TableBodyText"/>
            </w:pPr>
            <w:r>
              <w:t>DrawMenuChangeShape2</w:t>
            </w:r>
          </w:p>
        </w:tc>
        <w:tc>
          <w:tcPr>
            <w:tcW w:w="0" w:type="auto"/>
            <w:vAlign w:val="center"/>
          </w:tcPr>
          <w:p w:rsidR="00024C0A" w:rsidRDefault="00694C0F">
            <w:pPr>
              <w:pStyle w:val="TableBodyText"/>
            </w:pPr>
            <w:r>
              <w:t>1668</w:t>
            </w:r>
          </w:p>
        </w:tc>
      </w:tr>
      <w:tr w:rsidR="00024C0A" w:rsidTr="00024C0A">
        <w:tc>
          <w:tcPr>
            <w:tcW w:w="0" w:type="auto"/>
            <w:vAlign w:val="center"/>
          </w:tcPr>
          <w:p w:rsidR="00024C0A" w:rsidRDefault="00694C0F">
            <w:pPr>
              <w:pStyle w:val="TableBodyText"/>
            </w:pPr>
            <w:r>
              <w:t>DrawMenuChangeShape3</w:t>
            </w:r>
          </w:p>
        </w:tc>
        <w:tc>
          <w:tcPr>
            <w:tcW w:w="0" w:type="auto"/>
            <w:vAlign w:val="center"/>
          </w:tcPr>
          <w:p w:rsidR="00024C0A" w:rsidRDefault="00694C0F">
            <w:pPr>
              <w:pStyle w:val="TableBodyText"/>
            </w:pPr>
            <w:r>
              <w:t>1669</w:t>
            </w:r>
          </w:p>
        </w:tc>
      </w:tr>
      <w:tr w:rsidR="00024C0A" w:rsidTr="00024C0A">
        <w:tc>
          <w:tcPr>
            <w:tcW w:w="0" w:type="auto"/>
            <w:vAlign w:val="center"/>
          </w:tcPr>
          <w:p w:rsidR="00024C0A" w:rsidRDefault="00694C0F">
            <w:pPr>
              <w:pStyle w:val="TableBodyText"/>
            </w:pPr>
            <w:r>
              <w:t>DrawMenuChangeShape4</w:t>
            </w:r>
          </w:p>
        </w:tc>
        <w:tc>
          <w:tcPr>
            <w:tcW w:w="0" w:type="auto"/>
            <w:vAlign w:val="center"/>
          </w:tcPr>
          <w:p w:rsidR="00024C0A" w:rsidRDefault="00694C0F">
            <w:pPr>
              <w:pStyle w:val="TableBodyText"/>
            </w:pPr>
            <w:r>
              <w:t>166A</w:t>
            </w:r>
          </w:p>
        </w:tc>
      </w:tr>
      <w:tr w:rsidR="00024C0A" w:rsidTr="00024C0A">
        <w:tc>
          <w:tcPr>
            <w:tcW w:w="0" w:type="auto"/>
            <w:vAlign w:val="center"/>
          </w:tcPr>
          <w:p w:rsidR="00024C0A" w:rsidRDefault="00694C0F">
            <w:pPr>
              <w:pStyle w:val="TableBodyText"/>
            </w:pPr>
            <w:r>
              <w:t>DrawMenuGrouping</w:t>
            </w:r>
          </w:p>
        </w:tc>
        <w:tc>
          <w:tcPr>
            <w:tcW w:w="0" w:type="auto"/>
            <w:vAlign w:val="center"/>
          </w:tcPr>
          <w:p w:rsidR="00024C0A" w:rsidRDefault="00694C0F">
            <w:pPr>
              <w:pStyle w:val="TableBodyText"/>
            </w:pPr>
            <w:r>
              <w:t>1658</w:t>
            </w:r>
          </w:p>
        </w:tc>
      </w:tr>
      <w:tr w:rsidR="00024C0A" w:rsidTr="00024C0A">
        <w:tc>
          <w:tcPr>
            <w:tcW w:w="0" w:type="auto"/>
            <w:vAlign w:val="center"/>
          </w:tcPr>
          <w:p w:rsidR="00024C0A" w:rsidRDefault="00694C0F">
            <w:pPr>
              <w:pStyle w:val="TableBodyText"/>
            </w:pPr>
            <w:r>
              <w:t>DrawMenuImageControl</w:t>
            </w:r>
          </w:p>
        </w:tc>
        <w:tc>
          <w:tcPr>
            <w:tcW w:w="0" w:type="auto"/>
            <w:vAlign w:val="center"/>
          </w:tcPr>
          <w:p w:rsidR="00024C0A" w:rsidRDefault="00694C0F">
            <w:pPr>
              <w:pStyle w:val="TableBodyText"/>
            </w:pPr>
            <w:r>
              <w:t>1664</w:t>
            </w:r>
          </w:p>
        </w:tc>
      </w:tr>
      <w:tr w:rsidR="00024C0A" w:rsidTr="00024C0A">
        <w:tc>
          <w:tcPr>
            <w:tcW w:w="0" w:type="auto"/>
            <w:vAlign w:val="center"/>
          </w:tcPr>
          <w:p w:rsidR="00024C0A" w:rsidRDefault="00694C0F">
            <w:pPr>
              <w:pStyle w:val="TableBodyText"/>
            </w:pPr>
            <w:r>
              <w:t>DrawMenuLineDash</w:t>
            </w:r>
          </w:p>
        </w:tc>
        <w:tc>
          <w:tcPr>
            <w:tcW w:w="0" w:type="auto"/>
            <w:vAlign w:val="center"/>
          </w:tcPr>
          <w:p w:rsidR="00024C0A" w:rsidRDefault="00694C0F">
            <w:pPr>
              <w:pStyle w:val="TableBodyText"/>
            </w:pPr>
            <w:r>
              <w:t>1660</w:t>
            </w:r>
          </w:p>
        </w:tc>
      </w:tr>
      <w:tr w:rsidR="00024C0A" w:rsidTr="00024C0A">
        <w:tc>
          <w:tcPr>
            <w:tcW w:w="0" w:type="auto"/>
            <w:vAlign w:val="center"/>
          </w:tcPr>
          <w:p w:rsidR="00024C0A" w:rsidRDefault="00694C0F">
            <w:pPr>
              <w:pStyle w:val="TableBodyText"/>
            </w:pPr>
            <w:r>
              <w:t>DrawMenuMoreShapes1</w:t>
            </w:r>
          </w:p>
        </w:tc>
        <w:tc>
          <w:tcPr>
            <w:tcW w:w="0" w:type="auto"/>
            <w:vAlign w:val="center"/>
          </w:tcPr>
          <w:p w:rsidR="00024C0A" w:rsidRDefault="00694C0F">
            <w:pPr>
              <w:pStyle w:val="TableBodyText"/>
            </w:pPr>
            <w:r>
              <w:t>166C</w:t>
            </w:r>
          </w:p>
        </w:tc>
      </w:tr>
      <w:tr w:rsidR="00024C0A" w:rsidTr="00024C0A">
        <w:tc>
          <w:tcPr>
            <w:tcW w:w="0" w:type="auto"/>
            <w:vAlign w:val="center"/>
          </w:tcPr>
          <w:p w:rsidR="00024C0A" w:rsidRDefault="00694C0F">
            <w:pPr>
              <w:pStyle w:val="TableBodyText"/>
            </w:pPr>
            <w:r>
              <w:t>DrawMenuMoreShapes2</w:t>
            </w:r>
          </w:p>
        </w:tc>
        <w:tc>
          <w:tcPr>
            <w:tcW w:w="0" w:type="auto"/>
            <w:vAlign w:val="center"/>
          </w:tcPr>
          <w:p w:rsidR="00024C0A" w:rsidRDefault="00694C0F">
            <w:pPr>
              <w:pStyle w:val="TableBodyText"/>
            </w:pPr>
            <w:r>
              <w:t>166D</w:t>
            </w:r>
          </w:p>
        </w:tc>
      </w:tr>
      <w:tr w:rsidR="00024C0A" w:rsidTr="00024C0A">
        <w:tc>
          <w:tcPr>
            <w:tcW w:w="0" w:type="auto"/>
            <w:vAlign w:val="center"/>
          </w:tcPr>
          <w:p w:rsidR="00024C0A" w:rsidRDefault="00694C0F">
            <w:pPr>
              <w:pStyle w:val="TableBodyText"/>
            </w:pPr>
            <w:r>
              <w:t>DrawMenuMoreShapes3</w:t>
            </w:r>
          </w:p>
        </w:tc>
        <w:tc>
          <w:tcPr>
            <w:tcW w:w="0" w:type="auto"/>
            <w:vAlign w:val="center"/>
          </w:tcPr>
          <w:p w:rsidR="00024C0A" w:rsidRDefault="00694C0F">
            <w:pPr>
              <w:pStyle w:val="TableBodyText"/>
            </w:pPr>
            <w:r>
              <w:t>166E</w:t>
            </w:r>
          </w:p>
        </w:tc>
      </w:tr>
      <w:tr w:rsidR="00024C0A" w:rsidTr="00024C0A">
        <w:tc>
          <w:tcPr>
            <w:tcW w:w="0" w:type="auto"/>
            <w:vAlign w:val="center"/>
          </w:tcPr>
          <w:p w:rsidR="00024C0A" w:rsidRDefault="00694C0F">
            <w:pPr>
              <w:pStyle w:val="TableBodyText"/>
            </w:pPr>
            <w:r>
              <w:t>DrawMenuMoreShapes4</w:t>
            </w:r>
          </w:p>
        </w:tc>
        <w:tc>
          <w:tcPr>
            <w:tcW w:w="0" w:type="auto"/>
            <w:vAlign w:val="center"/>
          </w:tcPr>
          <w:p w:rsidR="00024C0A" w:rsidRDefault="00694C0F">
            <w:pPr>
              <w:pStyle w:val="TableBodyText"/>
            </w:pPr>
            <w:r>
              <w:t>166F</w:t>
            </w:r>
          </w:p>
        </w:tc>
      </w:tr>
      <w:tr w:rsidR="00024C0A" w:rsidTr="00024C0A">
        <w:tc>
          <w:tcPr>
            <w:tcW w:w="0" w:type="auto"/>
            <w:vAlign w:val="center"/>
          </w:tcPr>
          <w:p w:rsidR="00024C0A" w:rsidRDefault="00694C0F">
            <w:pPr>
              <w:pStyle w:val="TableBodyText"/>
            </w:pPr>
            <w:r>
              <w:t>DrawMenuMoreShapes5</w:t>
            </w:r>
          </w:p>
        </w:tc>
        <w:tc>
          <w:tcPr>
            <w:tcW w:w="0" w:type="auto"/>
            <w:vAlign w:val="center"/>
          </w:tcPr>
          <w:p w:rsidR="00024C0A" w:rsidRDefault="00694C0F">
            <w:pPr>
              <w:pStyle w:val="TableBodyText"/>
            </w:pPr>
            <w:r>
              <w:t>1670</w:t>
            </w:r>
          </w:p>
        </w:tc>
      </w:tr>
      <w:tr w:rsidR="00024C0A" w:rsidTr="00024C0A">
        <w:tc>
          <w:tcPr>
            <w:tcW w:w="0" w:type="auto"/>
            <w:vAlign w:val="center"/>
          </w:tcPr>
          <w:p w:rsidR="00024C0A" w:rsidRDefault="00694C0F">
            <w:pPr>
              <w:pStyle w:val="TableBodyText"/>
            </w:pPr>
            <w:r>
              <w:t>DrawMenuMoreShapes6</w:t>
            </w:r>
          </w:p>
        </w:tc>
        <w:tc>
          <w:tcPr>
            <w:tcW w:w="0" w:type="auto"/>
            <w:vAlign w:val="center"/>
          </w:tcPr>
          <w:p w:rsidR="00024C0A" w:rsidRDefault="00694C0F">
            <w:pPr>
              <w:pStyle w:val="TableBodyText"/>
            </w:pPr>
            <w:r>
              <w:t>1671</w:t>
            </w:r>
          </w:p>
        </w:tc>
      </w:tr>
      <w:tr w:rsidR="00024C0A" w:rsidTr="00024C0A">
        <w:tc>
          <w:tcPr>
            <w:tcW w:w="0" w:type="auto"/>
            <w:vAlign w:val="center"/>
          </w:tcPr>
          <w:p w:rsidR="00024C0A" w:rsidRDefault="00694C0F">
            <w:pPr>
              <w:pStyle w:val="TableBodyText"/>
            </w:pPr>
            <w:r>
              <w:t>DrawMenuMoreShapes7</w:t>
            </w:r>
          </w:p>
        </w:tc>
        <w:tc>
          <w:tcPr>
            <w:tcW w:w="0" w:type="auto"/>
            <w:vAlign w:val="center"/>
          </w:tcPr>
          <w:p w:rsidR="00024C0A" w:rsidRDefault="00694C0F">
            <w:pPr>
              <w:pStyle w:val="TableBodyText"/>
            </w:pPr>
            <w:r>
              <w:t>16AC</w:t>
            </w:r>
          </w:p>
        </w:tc>
      </w:tr>
      <w:tr w:rsidR="00024C0A" w:rsidTr="00024C0A">
        <w:tc>
          <w:tcPr>
            <w:tcW w:w="0" w:type="auto"/>
            <w:vAlign w:val="center"/>
          </w:tcPr>
          <w:p w:rsidR="00024C0A" w:rsidRDefault="00694C0F">
            <w:pPr>
              <w:pStyle w:val="TableBodyText"/>
            </w:pPr>
            <w:r>
              <w:t>DrawMenuNudge</w:t>
            </w:r>
          </w:p>
        </w:tc>
        <w:tc>
          <w:tcPr>
            <w:tcW w:w="0" w:type="auto"/>
            <w:vAlign w:val="center"/>
          </w:tcPr>
          <w:p w:rsidR="00024C0A" w:rsidRDefault="00694C0F">
            <w:pPr>
              <w:pStyle w:val="TableBodyText"/>
            </w:pPr>
            <w:r>
              <w:t>165B</w:t>
            </w:r>
          </w:p>
        </w:tc>
      </w:tr>
      <w:tr w:rsidR="00024C0A" w:rsidTr="00024C0A">
        <w:tc>
          <w:tcPr>
            <w:tcW w:w="0" w:type="auto"/>
            <w:vAlign w:val="center"/>
          </w:tcPr>
          <w:p w:rsidR="00024C0A" w:rsidRDefault="00694C0F">
            <w:pPr>
              <w:pStyle w:val="TableBodyText"/>
            </w:pPr>
            <w:r>
              <w:t>DrawMenuOrder</w:t>
            </w:r>
          </w:p>
        </w:tc>
        <w:tc>
          <w:tcPr>
            <w:tcW w:w="0" w:type="auto"/>
            <w:vAlign w:val="center"/>
          </w:tcPr>
          <w:p w:rsidR="00024C0A" w:rsidRDefault="00694C0F">
            <w:pPr>
              <w:pStyle w:val="TableBodyText"/>
            </w:pPr>
            <w:r>
              <w:t>1657</w:t>
            </w:r>
          </w:p>
        </w:tc>
      </w:tr>
      <w:tr w:rsidR="00024C0A" w:rsidTr="00024C0A">
        <w:tc>
          <w:tcPr>
            <w:tcW w:w="0" w:type="auto"/>
            <w:vAlign w:val="center"/>
          </w:tcPr>
          <w:p w:rsidR="00024C0A" w:rsidRDefault="00694C0F">
            <w:pPr>
              <w:pStyle w:val="TableBodyText"/>
            </w:pPr>
            <w:r>
              <w:t>DrawMenuRotateFlip</w:t>
            </w:r>
          </w:p>
        </w:tc>
        <w:tc>
          <w:tcPr>
            <w:tcW w:w="0" w:type="auto"/>
            <w:vAlign w:val="center"/>
          </w:tcPr>
          <w:p w:rsidR="00024C0A" w:rsidRDefault="00694C0F">
            <w:pPr>
              <w:pStyle w:val="TableBodyText"/>
            </w:pPr>
            <w:r>
              <w:t>165A</w:t>
            </w:r>
          </w:p>
        </w:tc>
      </w:tr>
      <w:tr w:rsidR="00024C0A" w:rsidTr="00024C0A">
        <w:tc>
          <w:tcPr>
            <w:tcW w:w="0" w:type="auto"/>
            <w:vAlign w:val="center"/>
          </w:tcPr>
          <w:p w:rsidR="00024C0A" w:rsidRDefault="00694C0F">
            <w:pPr>
              <w:pStyle w:val="TableBodyText"/>
            </w:pPr>
            <w:r>
              <w:t>DrawMenuShadowColor</w:t>
            </w:r>
          </w:p>
        </w:tc>
        <w:tc>
          <w:tcPr>
            <w:tcW w:w="0" w:type="auto"/>
            <w:vAlign w:val="center"/>
          </w:tcPr>
          <w:p w:rsidR="00024C0A" w:rsidRDefault="00694C0F">
            <w:pPr>
              <w:pStyle w:val="TableBodyText"/>
            </w:pPr>
            <w:r>
              <w:t>1663</w:t>
            </w:r>
          </w:p>
        </w:tc>
      </w:tr>
      <w:tr w:rsidR="00024C0A" w:rsidTr="00024C0A">
        <w:tc>
          <w:tcPr>
            <w:tcW w:w="0" w:type="auto"/>
            <w:vAlign w:val="center"/>
          </w:tcPr>
          <w:p w:rsidR="00024C0A" w:rsidRDefault="00694C0F">
            <w:pPr>
              <w:pStyle w:val="TableBodyText"/>
            </w:pPr>
            <w:r>
              <w:t>DrawMenuShadows</w:t>
            </w:r>
          </w:p>
        </w:tc>
        <w:tc>
          <w:tcPr>
            <w:tcW w:w="0" w:type="auto"/>
            <w:vAlign w:val="center"/>
          </w:tcPr>
          <w:p w:rsidR="00024C0A" w:rsidRDefault="00694C0F">
            <w:pPr>
              <w:pStyle w:val="TableBodyText"/>
            </w:pPr>
            <w:r>
              <w:t>165E</w:t>
            </w:r>
          </w:p>
        </w:tc>
      </w:tr>
      <w:tr w:rsidR="00024C0A" w:rsidTr="00024C0A">
        <w:tc>
          <w:tcPr>
            <w:tcW w:w="0" w:type="auto"/>
            <w:vAlign w:val="center"/>
          </w:tcPr>
          <w:p w:rsidR="00024C0A" w:rsidRDefault="00694C0F">
            <w:pPr>
              <w:pStyle w:val="TableBodyText"/>
            </w:pPr>
            <w:r>
              <w:t>DrawMenuTextAlignment</w:t>
            </w:r>
          </w:p>
        </w:tc>
        <w:tc>
          <w:tcPr>
            <w:tcW w:w="0" w:type="auto"/>
            <w:vAlign w:val="center"/>
          </w:tcPr>
          <w:p w:rsidR="00024C0A" w:rsidRDefault="00694C0F">
            <w:pPr>
              <w:pStyle w:val="TableBodyText"/>
            </w:pPr>
            <w:r>
              <w:t>1673</w:t>
            </w:r>
          </w:p>
        </w:tc>
      </w:tr>
      <w:tr w:rsidR="00024C0A" w:rsidTr="00024C0A">
        <w:tc>
          <w:tcPr>
            <w:tcW w:w="0" w:type="auto"/>
            <w:vAlign w:val="center"/>
          </w:tcPr>
          <w:p w:rsidR="00024C0A" w:rsidRDefault="00694C0F">
            <w:pPr>
              <w:pStyle w:val="TableBodyText"/>
            </w:pPr>
            <w:r>
              <w:t>DrawMenuTextShape</w:t>
            </w:r>
          </w:p>
        </w:tc>
        <w:tc>
          <w:tcPr>
            <w:tcW w:w="0" w:type="auto"/>
            <w:vAlign w:val="center"/>
          </w:tcPr>
          <w:p w:rsidR="00024C0A" w:rsidRDefault="00694C0F">
            <w:pPr>
              <w:pStyle w:val="TableBodyText"/>
            </w:pPr>
            <w:r>
              <w:t>1672</w:t>
            </w:r>
          </w:p>
        </w:tc>
      </w:tr>
      <w:tr w:rsidR="00024C0A" w:rsidTr="00024C0A">
        <w:tc>
          <w:tcPr>
            <w:tcW w:w="0" w:type="auto"/>
            <w:vAlign w:val="center"/>
          </w:tcPr>
          <w:p w:rsidR="00024C0A" w:rsidRDefault="00694C0F">
            <w:pPr>
              <w:pStyle w:val="TableBodyText"/>
            </w:pPr>
            <w:r>
              <w:t>DrawMenuTextTracking</w:t>
            </w:r>
          </w:p>
        </w:tc>
        <w:tc>
          <w:tcPr>
            <w:tcW w:w="0" w:type="auto"/>
            <w:vAlign w:val="center"/>
          </w:tcPr>
          <w:p w:rsidR="00024C0A" w:rsidRDefault="00694C0F">
            <w:pPr>
              <w:pStyle w:val="TableBodyText"/>
            </w:pPr>
            <w:r>
              <w:t>1674</w:t>
            </w:r>
          </w:p>
        </w:tc>
      </w:tr>
      <w:tr w:rsidR="00024C0A" w:rsidTr="00024C0A">
        <w:tc>
          <w:tcPr>
            <w:tcW w:w="0" w:type="auto"/>
            <w:vAlign w:val="center"/>
          </w:tcPr>
          <w:p w:rsidR="00024C0A" w:rsidRDefault="00694C0F">
            <w:pPr>
              <w:pStyle w:val="TableBodyText"/>
            </w:pPr>
            <w:r>
              <w:t>DrawMenuTextWrapping</w:t>
            </w:r>
          </w:p>
        </w:tc>
        <w:tc>
          <w:tcPr>
            <w:tcW w:w="0" w:type="auto"/>
            <w:vAlign w:val="center"/>
          </w:tcPr>
          <w:p w:rsidR="00024C0A" w:rsidRDefault="00694C0F">
            <w:pPr>
              <w:pStyle w:val="TableBodyText"/>
            </w:pPr>
            <w:r>
              <w:t>1656</w:t>
            </w:r>
          </w:p>
        </w:tc>
      </w:tr>
      <w:tr w:rsidR="00024C0A" w:rsidTr="00024C0A">
        <w:tc>
          <w:tcPr>
            <w:tcW w:w="0" w:type="auto"/>
            <w:vAlign w:val="center"/>
          </w:tcPr>
          <w:p w:rsidR="00024C0A" w:rsidRDefault="00694C0F">
            <w:pPr>
              <w:pStyle w:val="TableBodyText"/>
            </w:pPr>
            <w:r>
              <w:t>DrawNudgeDown</w:t>
            </w:r>
          </w:p>
        </w:tc>
        <w:tc>
          <w:tcPr>
            <w:tcW w:w="0" w:type="auto"/>
            <w:vAlign w:val="center"/>
          </w:tcPr>
          <w:p w:rsidR="00024C0A" w:rsidRDefault="00694C0F">
            <w:pPr>
              <w:pStyle w:val="TableBodyText"/>
            </w:pPr>
            <w:r>
              <w:t>029F</w:t>
            </w:r>
          </w:p>
        </w:tc>
      </w:tr>
      <w:tr w:rsidR="00024C0A" w:rsidTr="00024C0A">
        <w:tc>
          <w:tcPr>
            <w:tcW w:w="0" w:type="auto"/>
            <w:vAlign w:val="center"/>
          </w:tcPr>
          <w:p w:rsidR="00024C0A" w:rsidRDefault="00694C0F">
            <w:pPr>
              <w:pStyle w:val="TableBodyText"/>
            </w:pPr>
            <w:r>
              <w:t>DrawNudgeDownPixel</w:t>
            </w:r>
          </w:p>
        </w:tc>
        <w:tc>
          <w:tcPr>
            <w:tcW w:w="0" w:type="auto"/>
            <w:vAlign w:val="center"/>
          </w:tcPr>
          <w:p w:rsidR="00024C0A" w:rsidRDefault="00694C0F">
            <w:pPr>
              <w:pStyle w:val="TableBodyText"/>
            </w:pPr>
            <w:r>
              <w:t>02BD</w:t>
            </w:r>
          </w:p>
        </w:tc>
      </w:tr>
      <w:tr w:rsidR="00024C0A" w:rsidTr="00024C0A">
        <w:tc>
          <w:tcPr>
            <w:tcW w:w="0" w:type="auto"/>
            <w:vAlign w:val="center"/>
          </w:tcPr>
          <w:p w:rsidR="00024C0A" w:rsidRDefault="00694C0F">
            <w:pPr>
              <w:pStyle w:val="TableBodyText"/>
            </w:pPr>
            <w:r>
              <w:t>DrawNudgeLeft</w:t>
            </w:r>
          </w:p>
        </w:tc>
        <w:tc>
          <w:tcPr>
            <w:tcW w:w="0" w:type="auto"/>
            <w:vAlign w:val="center"/>
          </w:tcPr>
          <w:p w:rsidR="00024C0A" w:rsidRDefault="00694C0F">
            <w:pPr>
              <w:pStyle w:val="TableBodyText"/>
            </w:pPr>
            <w:r>
              <w:t>02A0</w:t>
            </w:r>
          </w:p>
        </w:tc>
      </w:tr>
      <w:tr w:rsidR="00024C0A" w:rsidTr="00024C0A">
        <w:tc>
          <w:tcPr>
            <w:tcW w:w="0" w:type="auto"/>
            <w:vAlign w:val="center"/>
          </w:tcPr>
          <w:p w:rsidR="00024C0A" w:rsidRDefault="00694C0F">
            <w:pPr>
              <w:pStyle w:val="TableBodyText"/>
            </w:pPr>
            <w:r>
              <w:t>DrawNudgeLeftPixel</w:t>
            </w:r>
          </w:p>
        </w:tc>
        <w:tc>
          <w:tcPr>
            <w:tcW w:w="0" w:type="auto"/>
            <w:vAlign w:val="center"/>
          </w:tcPr>
          <w:p w:rsidR="00024C0A" w:rsidRDefault="00694C0F">
            <w:pPr>
              <w:pStyle w:val="TableBodyText"/>
            </w:pPr>
            <w:r>
              <w:t>02BE</w:t>
            </w:r>
          </w:p>
        </w:tc>
      </w:tr>
      <w:tr w:rsidR="00024C0A" w:rsidTr="00024C0A">
        <w:tc>
          <w:tcPr>
            <w:tcW w:w="0" w:type="auto"/>
            <w:vAlign w:val="center"/>
          </w:tcPr>
          <w:p w:rsidR="00024C0A" w:rsidRDefault="00694C0F">
            <w:pPr>
              <w:pStyle w:val="TableBodyText"/>
            </w:pPr>
            <w:r>
              <w:t>DrawNudgeRight</w:t>
            </w:r>
          </w:p>
        </w:tc>
        <w:tc>
          <w:tcPr>
            <w:tcW w:w="0" w:type="auto"/>
            <w:vAlign w:val="center"/>
          </w:tcPr>
          <w:p w:rsidR="00024C0A" w:rsidRDefault="00694C0F">
            <w:pPr>
              <w:pStyle w:val="TableBodyText"/>
            </w:pPr>
            <w:r>
              <w:t>02A1</w:t>
            </w:r>
          </w:p>
        </w:tc>
      </w:tr>
      <w:tr w:rsidR="00024C0A" w:rsidTr="00024C0A">
        <w:tc>
          <w:tcPr>
            <w:tcW w:w="0" w:type="auto"/>
            <w:vAlign w:val="center"/>
          </w:tcPr>
          <w:p w:rsidR="00024C0A" w:rsidRDefault="00694C0F">
            <w:pPr>
              <w:pStyle w:val="TableBodyText"/>
            </w:pPr>
            <w:r>
              <w:t>DrawNudgeRightPixel</w:t>
            </w:r>
          </w:p>
        </w:tc>
        <w:tc>
          <w:tcPr>
            <w:tcW w:w="0" w:type="auto"/>
            <w:vAlign w:val="center"/>
          </w:tcPr>
          <w:p w:rsidR="00024C0A" w:rsidRDefault="00694C0F">
            <w:pPr>
              <w:pStyle w:val="TableBodyText"/>
            </w:pPr>
            <w:r>
              <w:t>02BF</w:t>
            </w:r>
          </w:p>
        </w:tc>
      </w:tr>
      <w:tr w:rsidR="00024C0A" w:rsidTr="00024C0A">
        <w:tc>
          <w:tcPr>
            <w:tcW w:w="0" w:type="auto"/>
            <w:vAlign w:val="center"/>
          </w:tcPr>
          <w:p w:rsidR="00024C0A" w:rsidRDefault="00694C0F">
            <w:pPr>
              <w:pStyle w:val="TableBodyText"/>
            </w:pPr>
            <w:r>
              <w:t>DrawNudgeUp</w:t>
            </w:r>
          </w:p>
        </w:tc>
        <w:tc>
          <w:tcPr>
            <w:tcW w:w="0" w:type="auto"/>
            <w:vAlign w:val="center"/>
          </w:tcPr>
          <w:p w:rsidR="00024C0A" w:rsidRDefault="00694C0F">
            <w:pPr>
              <w:pStyle w:val="TableBodyText"/>
            </w:pPr>
            <w:r>
              <w:t>029E</w:t>
            </w:r>
          </w:p>
        </w:tc>
      </w:tr>
      <w:tr w:rsidR="00024C0A" w:rsidTr="00024C0A">
        <w:tc>
          <w:tcPr>
            <w:tcW w:w="0" w:type="auto"/>
            <w:vAlign w:val="center"/>
          </w:tcPr>
          <w:p w:rsidR="00024C0A" w:rsidRDefault="00694C0F">
            <w:pPr>
              <w:pStyle w:val="TableBodyText"/>
            </w:pPr>
            <w:r>
              <w:t>DrawNudgeUpPixel</w:t>
            </w:r>
          </w:p>
        </w:tc>
        <w:tc>
          <w:tcPr>
            <w:tcW w:w="0" w:type="auto"/>
            <w:vAlign w:val="center"/>
          </w:tcPr>
          <w:p w:rsidR="00024C0A" w:rsidRDefault="00694C0F">
            <w:pPr>
              <w:pStyle w:val="TableBodyText"/>
            </w:pPr>
            <w:r>
              <w:t>02BC</w:t>
            </w:r>
          </w:p>
        </w:tc>
      </w:tr>
      <w:tr w:rsidR="00024C0A" w:rsidTr="00024C0A">
        <w:tc>
          <w:tcPr>
            <w:tcW w:w="0" w:type="auto"/>
            <w:vAlign w:val="center"/>
          </w:tcPr>
          <w:p w:rsidR="00024C0A" w:rsidRDefault="00694C0F">
            <w:pPr>
              <w:pStyle w:val="TableBodyText"/>
            </w:pPr>
            <w:r>
              <w:lastRenderedPageBreak/>
              <w:t>DrawRectangle</w:t>
            </w:r>
          </w:p>
        </w:tc>
        <w:tc>
          <w:tcPr>
            <w:tcW w:w="0" w:type="auto"/>
            <w:vAlign w:val="center"/>
          </w:tcPr>
          <w:p w:rsidR="00024C0A" w:rsidRDefault="00694C0F">
            <w:pPr>
              <w:pStyle w:val="TableBodyText"/>
            </w:pPr>
            <w:r>
              <w:t>0179</w:t>
            </w:r>
          </w:p>
        </w:tc>
      </w:tr>
      <w:tr w:rsidR="00024C0A" w:rsidTr="00024C0A">
        <w:tc>
          <w:tcPr>
            <w:tcW w:w="0" w:type="auto"/>
            <w:vAlign w:val="center"/>
          </w:tcPr>
          <w:p w:rsidR="00024C0A" w:rsidRDefault="00694C0F">
            <w:pPr>
              <w:pStyle w:val="TableBodyText"/>
            </w:pPr>
            <w:r>
              <w:t>DrawResetWordPicture</w:t>
            </w:r>
          </w:p>
        </w:tc>
        <w:tc>
          <w:tcPr>
            <w:tcW w:w="0" w:type="auto"/>
            <w:vAlign w:val="center"/>
          </w:tcPr>
          <w:p w:rsidR="00024C0A" w:rsidRDefault="00694C0F">
            <w:pPr>
              <w:pStyle w:val="TableBodyText"/>
            </w:pPr>
            <w:r>
              <w:t>02B8</w:t>
            </w:r>
          </w:p>
        </w:tc>
      </w:tr>
      <w:tr w:rsidR="00024C0A" w:rsidTr="00024C0A">
        <w:tc>
          <w:tcPr>
            <w:tcW w:w="0" w:type="auto"/>
            <w:vAlign w:val="center"/>
          </w:tcPr>
          <w:p w:rsidR="00024C0A" w:rsidRDefault="00694C0F">
            <w:pPr>
              <w:pStyle w:val="TableBodyText"/>
            </w:pPr>
            <w:r>
              <w:t>DrawReshape</w:t>
            </w:r>
          </w:p>
        </w:tc>
        <w:tc>
          <w:tcPr>
            <w:tcW w:w="0" w:type="auto"/>
            <w:vAlign w:val="center"/>
          </w:tcPr>
          <w:p w:rsidR="00024C0A" w:rsidRDefault="00694C0F">
            <w:pPr>
              <w:pStyle w:val="TableBodyText"/>
            </w:pPr>
            <w:r>
              <w:t>0260</w:t>
            </w:r>
          </w:p>
        </w:tc>
      </w:tr>
      <w:tr w:rsidR="00024C0A" w:rsidTr="00024C0A">
        <w:tc>
          <w:tcPr>
            <w:tcW w:w="0" w:type="auto"/>
            <w:vAlign w:val="center"/>
          </w:tcPr>
          <w:p w:rsidR="00024C0A" w:rsidRDefault="00694C0F">
            <w:pPr>
              <w:pStyle w:val="TableBodyText"/>
            </w:pPr>
            <w:r>
              <w:t>DrawRotateLeft</w:t>
            </w:r>
          </w:p>
        </w:tc>
        <w:tc>
          <w:tcPr>
            <w:tcW w:w="0" w:type="auto"/>
            <w:vAlign w:val="center"/>
          </w:tcPr>
          <w:p w:rsidR="00024C0A" w:rsidRDefault="00694C0F">
            <w:pPr>
              <w:pStyle w:val="TableBodyText"/>
            </w:pPr>
            <w:r>
              <w:t>0232</w:t>
            </w:r>
          </w:p>
        </w:tc>
      </w:tr>
      <w:tr w:rsidR="00024C0A" w:rsidTr="00024C0A">
        <w:tc>
          <w:tcPr>
            <w:tcW w:w="0" w:type="auto"/>
            <w:vAlign w:val="center"/>
          </w:tcPr>
          <w:p w:rsidR="00024C0A" w:rsidRDefault="00694C0F">
            <w:pPr>
              <w:pStyle w:val="TableBodyText"/>
            </w:pPr>
            <w:r>
              <w:t>DrawRotateRight</w:t>
            </w:r>
          </w:p>
        </w:tc>
        <w:tc>
          <w:tcPr>
            <w:tcW w:w="0" w:type="auto"/>
            <w:vAlign w:val="center"/>
          </w:tcPr>
          <w:p w:rsidR="00024C0A" w:rsidRDefault="00694C0F">
            <w:pPr>
              <w:pStyle w:val="TableBodyText"/>
            </w:pPr>
            <w:r>
              <w:t>0231</w:t>
            </w:r>
          </w:p>
        </w:tc>
      </w:tr>
      <w:tr w:rsidR="00024C0A" w:rsidTr="00024C0A">
        <w:tc>
          <w:tcPr>
            <w:tcW w:w="0" w:type="auto"/>
            <w:vAlign w:val="center"/>
          </w:tcPr>
          <w:p w:rsidR="00024C0A" w:rsidRDefault="00694C0F">
            <w:pPr>
              <w:pStyle w:val="TableBodyText"/>
            </w:pPr>
            <w:r>
              <w:t>DrawRoundRectangle</w:t>
            </w:r>
          </w:p>
        </w:tc>
        <w:tc>
          <w:tcPr>
            <w:tcW w:w="0" w:type="auto"/>
            <w:vAlign w:val="center"/>
          </w:tcPr>
          <w:p w:rsidR="00024C0A" w:rsidRDefault="00694C0F">
            <w:pPr>
              <w:pStyle w:val="TableBodyText"/>
            </w:pPr>
            <w:r>
              <w:t>0219</w:t>
            </w:r>
          </w:p>
        </w:tc>
      </w:tr>
      <w:tr w:rsidR="00024C0A" w:rsidTr="00024C0A">
        <w:tc>
          <w:tcPr>
            <w:tcW w:w="0" w:type="auto"/>
            <w:vAlign w:val="center"/>
          </w:tcPr>
          <w:p w:rsidR="00024C0A" w:rsidRDefault="00694C0F">
            <w:pPr>
              <w:pStyle w:val="TableBodyText"/>
            </w:pPr>
            <w:r>
              <w:t>DrawSelectNext</w:t>
            </w:r>
          </w:p>
        </w:tc>
        <w:tc>
          <w:tcPr>
            <w:tcW w:w="0" w:type="auto"/>
            <w:vAlign w:val="center"/>
          </w:tcPr>
          <w:p w:rsidR="00024C0A" w:rsidRDefault="00694C0F">
            <w:pPr>
              <w:pStyle w:val="TableBodyText"/>
            </w:pPr>
            <w:r>
              <w:t>02C5</w:t>
            </w:r>
          </w:p>
        </w:tc>
      </w:tr>
      <w:tr w:rsidR="00024C0A" w:rsidTr="00024C0A">
        <w:tc>
          <w:tcPr>
            <w:tcW w:w="0" w:type="auto"/>
            <w:vAlign w:val="center"/>
          </w:tcPr>
          <w:p w:rsidR="00024C0A" w:rsidRDefault="00694C0F">
            <w:pPr>
              <w:pStyle w:val="TableBodyText"/>
            </w:pPr>
            <w:r>
              <w:t>DrawSelectPrevious</w:t>
            </w:r>
          </w:p>
        </w:tc>
        <w:tc>
          <w:tcPr>
            <w:tcW w:w="0" w:type="auto"/>
            <w:vAlign w:val="center"/>
          </w:tcPr>
          <w:p w:rsidR="00024C0A" w:rsidRDefault="00694C0F">
            <w:pPr>
              <w:pStyle w:val="TableBodyText"/>
            </w:pPr>
            <w:r>
              <w:t>02C6</w:t>
            </w:r>
          </w:p>
        </w:tc>
      </w:tr>
      <w:tr w:rsidR="00024C0A" w:rsidTr="00024C0A">
        <w:tc>
          <w:tcPr>
            <w:tcW w:w="0" w:type="auto"/>
            <w:vAlign w:val="center"/>
          </w:tcPr>
          <w:p w:rsidR="00024C0A" w:rsidRDefault="00694C0F">
            <w:pPr>
              <w:pStyle w:val="TableBodyText"/>
            </w:pPr>
            <w:r>
              <w:t>DrawSendBackward</w:t>
            </w:r>
          </w:p>
        </w:tc>
        <w:tc>
          <w:tcPr>
            <w:tcW w:w="0" w:type="auto"/>
            <w:vAlign w:val="center"/>
          </w:tcPr>
          <w:p w:rsidR="00024C0A" w:rsidRDefault="00694C0F">
            <w:pPr>
              <w:pStyle w:val="TableBodyText"/>
            </w:pPr>
            <w:r>
              <w:t>01F5</w:t>
            </w:r>
          </w:p>
        </w:tc>
      </w:tr>
      <w:tr w:rsidR="00024C0A" w:rsidTr="00024C0A">
        <w:tc>
          <w:tcPr>
            <w:tcW w:w="0" w:type="auto"/>
            <w:vAlign w:val="center"/>
          </w:tcPr>
          <w:p w:rsidR="00024C0A" w:rsidRDefault="00694C0F">
            <w:pPr>
              <w:pStyle w:val="TableBodyText"/>
            </w:pPr>
            <w:r>
              <w:t>DrawSendBehindText</w:t>
            </w:r>
          </w:p>
        </w:tc>
        <w:tc>
          <w:tcPr>
            <w:tcW w:w="0" w:type="auto"/>
            <w:vAlign w:val="center"/>
          </w:tcPr>
          <w:p w:rsidR="00024C0A" w:rsidRDefault="00694C0F">
            <w:pPr>
              <w:pStyle w:val="TableBodyText"/>
            </w:pPr>
            <w:r>
              <w:t>01D4</w:t>
            </w:r>
          </w:p>
        </w:tc>
      </w:tr>
      <w:tr w:rsidR="00024C0A" w:rsidTr="00024C0A">
        <w:tc>
          <w:tcPr>
            <w:tcW w:w="0" w:type="auto"/>
            <w:vAlign w:val="center"/>
          </w:tcPr>
          <w:p w:rsidR="00024C0A" w:rsidRDefault="00694C0F">
            <w:pPr>
              <w:pStyle w:val="TableBodyText"/>
            </w:pPr>
            <w:r>
              <w:t>DrawSendToBack</w:t>
            </w:r>
          </w:p>
        </w:tc>
        <w:tc>
          <w:tcPr>
            <w:tcW w:w="0" w:type="auto"/>
            <w:vAlign w:val="center"/>
          </w:tcPr>
          <w:p w:rsidR="00024C0A" w:rsidRDefault="00694C0F">
            <w:pPr>
              <w:pStyle w:val="TableBodyText"/>
            </w:pPr>
            <w:r>
              <w:t>01D3</w:t>
            </w:r>
          </w:p>
        </w:tc>
      </w:tr>
      <w:tr w:rsidR="00024C0A" w:rsidTr="00024C0A">
        <w:tc>
          <w:tcPr>
            <w:tcW w:w="0" w:type="auto"/>
            <w:vAlign w:val="center"/>
          </w:tcPr>
          <w:p w:rsidR="00024C0A" w:rsidRDefault="00694C0F">
            <w:pPr>
              <w:pStyle w:val="TableBodyText"/>
            </w:pPr>
            <w:r>
              <w:t>DrawSnapToGrid</w:t>
            </w:r>
          </w:p>
        </w:tc>
        <w:tc>
          <w:tcPr>
            <w:tcW w:w="0" w:type="auto"/>
            <w:vAlign w:val="center"/>
          </w:tcPr>
          <w:p w:rsidR="00024C0A" w:rsidRDefault="00694C0F">
            <w:pPr>
              <w:pStyle w:val="TableBodyText"/>
            </w:pPr>
            <w:r>
              <w:t>0279</w:t>
            </w:r>
          </w:p>
        </w:tc>
      </w:tr>
      <w:tr w:rsidR="00024C0A" w:rsidTr="00024C0A">
        <w:tc>
          <w:tcPr>
            <w:tcW w:w="0" w:type="auto"/>
            <w:vAlign w:val="center"/>
          </w:tcPr>
          <w:p w:rsidR="00024C0A" w:rsidRDefault="00694C0F">
            <w:pPr>
              <w:pStyle w:val="TableBodyText"/>
            </w:pPr>
            <w:r>
              <w:t>DrawTextBox</w:t>
            </w:r>
          </w:p>
        </w:tc>
        <w:tc>
          <w:tcPr>
            <w:tcW w:w="0" w:type="auto"/>
            <w:vAlign w:val="center"/>
          </w:tcPr>
          <w:p w:rsidR="00024C0A" w:rsidRDefault="00694C0F">
            <w:pPr>
              <w:pStyle w:val="TableBodyText"/>
            </w:pPr>
            <w:r>
              <w:t>03B3</w:t>
            </w:r>
          </w:p>
        </w:tc>
      </w:tr>
      <w:tr w:rsidR="00024C0A" w:rsidTr="00024C0A">
        <w:tc>
          <w:tcPr>
            <w:tcW w:w="0" w:type="auto"/>
            <w:vAlign w:val="center"/>
          </w:tcPr>
          <w:p w:rsidR="00024C0A" w:rsidRDefault="00694C0F">
            <w:pPr>
              <w:pStyle w:val="TableBodyText"/>
            </w:pPr>
            <w:r>
              <w:t>DrawTextBox2</w:t>
            </w:r>
          </w:p>
        </w:tc>
        <w:tc>
          <w:tcPr>
            <w:tcW w:w="0" w:type="auto"/>
            <w:vAlign w:val="center"/>
          </w:tcPr>
          <w:p w:rsidR="00024C0A" w:rsidRDefault="00694C0F">
            <w:pPr>
              <w:pStyle w:val="TableBodyText"/>
            </w:pPr>
            <w:r>
              <w:t>0959</w:t>
            </w:r>
          </w:p>
        </w:tc>
      </w:tr>
      <w:tr w:rsidR="00024C0A" w:rsidTr="00024C0A">
        <w:tc>
          <w:tcPr>
            <w:tcW w:w="0" w:type="auto"/>
            <w:vAlign w:val="center"/>
          </w:tcPr>
          <w:p w:rsidR="00024C0A" w:rsidRDefault="00694C0F">
            <w:pPr>
              <w:pStyle w:val="TableBodyText"/>
            </w:pPr>
            <w:r>
              <w:t>DrawToggleLayer</w:t>
            </w:r>
          </w:p>
        </w:tc>
        <w:tc>
          <w:tcPr>
            <w:tcW w:w="0" w:type="auto"/>
            <w:vAlign w:val="center"/>
          </w:tcPr>
          <w:p w:rsidR="00024C0A" w:rsidRDefault="00694C0F">
            <w:pPr>
              <w:pStyle w:val="TableBodyText"/>
            </w:pPr>
            <w:r>
              <w:t>022C</w:t>
            </w:r>
          </w:p>
        </w:tc>
      </w:tr>
      <w:tr w:rsidR="00024C0A" w:rsidTr="00024C0A">
        <w:tc>
          <w:tcPr>
            <w:tcW w:w="0" w:type="auto"/>
            <w:vAlign w:val="center"/>
          </w:tcPr>
          <w:p w:rsidR="00024C0A" w:rsidRDefault="00694C0F">
            <w:pPr>
              <w:pStyle w:val="TableBodyText"/>
            </w:pPr>
            <w:r>
              <w:t>DrawUngroup</w:t>
            </w:r>
          </w:p>
        </w:tc>
        <w:tc>
          <w:tcPr>
            <w:tcW w:w="0" w:type="auto"/>
            <w:vAlign w:val="center"/>
          </w:tcPr>
          <w:p w:rsidR="00024C0A" w:rsidRDefault="00694C0F">
            <w:pPr>
              <w:pStyle w:val="TableBodyText"/>
            </w:pPr>
            <w:r>
              <w:t>01E5</w:t>
            </w:r>
          </w:p>
        </w:tc>
      </w:tr>
      <w:tr w:rsidR="00024C0A" w:rsidTr="00024C0A">
        <w:tc>
          <w:tcPr>
            <w:tcW w:w="0" w:type="auto"/>
            <w:vAlign w:val="center"/>
          </w:tcPr>
          <w:p w:rsidR="00024C0A" w:rsidRDefault="00694C0F">
            <w:pPr>
              <w:pStyle w:val="TableBodyText"/>
            </w:pPr>
            <w:r>
              <w:t>DrawUnselect</w:t>
            </w:r>
          </w:p>
        </w:tc>
        <w:tc>
          <w:tcPr>
            <w:tcW w:w="0" w:type="auto"/>
            <w:vAlign w:val="center"/>
          </w:tcPr>
          <w:p w:rsidR="00024C0A" w:rsidRDefault="00694C0F">
            <w:pPr>
              <w:pStyle w:val="TableBodyText"/>
            </w:pPr>
            <w:r>
              <w:t>02C4</w:t>
            </w:r>
          </w:p>
        </w:tc>
      </w:tr>
      <w:tr w:rsidR="00024C0A" w:rsidTr="00024C0A">
        <w:tc>
          <w:tcPr>
            <w:tcW w:w="0" w:type="auto"/>
            <w:vAlign w:val="center"/>
          </w:tcPr>
          <w:p w:rsidR="00024C0A" w:rsidRDefault="00694C0F">
            <w:pPr>
              <w:pStyle w:val="TableBodyText"/>
            </w:pPr>
            <w:r>
              <w:t>DrawVerticalTextBox</w:t>
            </w:r>
          </w:p>
        </w:tc>
        <w:tc>
          <w:tcPr>
            <w:tcW w:w="0" w:type="auto"/>
            <w:vAlign w:val="center"/>
          </w:tcPr>
          <w:p w:rsidR="00024C0A" w:rsidRDefault="00694C0F">
            <w:pPr>
              <w:pStyle w:val="TableBodyText"/>
            </w:pPr>
            <w:r>
              <w:t>03E4</w:t>
            </w:r>
          </w:p>
        </w:tc>
      </w:tr>
      <w:tr w:rsidR="00024C0A" w:rsidTr="00024C0A">
        <w:tc>
          <w:tcPr>
            <w:tcW w:w="0" w:type="auto"/>
            <w:vAlign w:val="center"/>
          </w:tcPr>
          <w:p w:rsidR="00024C0A" w:rsidRDefault="00694C0F">
            <w:pPr>
              <w:pStyle w:val="TableBodyText"/>
            </w:pPr>
            <w:r>
              <w:t>DrawVerticalTextBox2</w:t>
            </w:r>
          </w:p>
        </w:tc>
        <w:tc>
          <w:tcPr>
            <w:tcW w:w="0" w:type="auto"/>
            <w:vAlign w:val="center"/>
          </w:tcPr>
          <w:p w:rsidR="00024C0A" w:rsidRDefault="00694C0F">
            <w:pPr>
              <w:pStyle w:val="TableBodyText"/>
            </w:pPr>
            <w:r>
              <w:t>094C</w:t>
            </w:r>
          </w:p>
        </w:tc>
      </w:tr>
      <w:tr w:rsidR="00024C0A" w:rsidTr="00024C0A">
        <w:tc>
          <w:tcPr>
            <w:tcW w:w="0" w:type="auto"/>
            <w:vAlign w:val="center"/>
          </w:tcPr>
          <w:p w:rsidR="00024C0A" w:rsidRDefault="00694C0F">
            <w:pPr>
              <w:pStyle w:val="TableBodyText"/>
            </w:pPr>
            <w:r>
              <w:t>DrawingAdvancedLayout</w:t>
            </w:r>
          </w:p>
        </w:tc>
        <w:tc>
          <w:tcPr>
            <w:tcW w:w="0" w:type="auto"/>
            <w:vAlign w:val="center"/>
          </w:tcPr>
          <w:p w:rsidR="00024C0A" w:rsidRDefault="00694C0F">
            <w:pPr>
              <w:pStyle w:val="TableBodyText"/>
            </w:pPr>
            <w:r>
              <w:t>0901</w:t>
            </w:r>
          </w:p>
        </w:tc>
      </w:tr>
      <w:tr w:rsidR="00024C0A" w:rsidTr="00024C0A">
        <w:tc>
          <w:tcPr>
            <w:tcW w:w="0" w:type="auto"/>
            <w:vAlign w:val="center"/>
          </w:tcPr>
          <w:p w:rsidR="00024C0A" w:rsidRDefault="00694C0F">
            <w:pPr>
              <w:pStyle w:val="TableBodyText"/>
            </w:pPr>
            <w:r>
              <w:t>DrawingGrid</w:t>
            </w:r>
          </w:p>
        </w:tc>
        <w:tc>
          <w:tcPr>
            <w:tcW w:w="0" w:type="auto"/>
            <w:vAlign w:val="center"/>
          </w:tcPr>
          <w:p w:rsidR="00024C0A" w:rsidRDefault="00694C0F">
            <w:pPr>
              <w:pStyle w:val="TableBodyText"/>
            </w:pPr>
            <w:r>
              <w:t>0490</w:t>
            </w:r>
          </w:p>
        </w:tc>
      </w:tr>
      <w:tr w:rsidR="00024C0A" w:rsidTr="00024C0A">
        <w:tc>
          <w:tcPr>
            <w:tcW w:w="0" w:type="auto"/>
            <w:vAlign w:val="center"/>
          </w:tcPr>
          <w:p w:rsidR="00024C0A" w:rsidRDefault="00694C0F">
            <w:pPr>
              <w:pStyle w:val="TableBodyText"/>
            </w:pPr>
            <w:r>
              <w:t>DropCapGallery</w:t>
            </w:r>
          </w:p>
        </w:tc>
        <w:tc>
          <w:tcPr>
            <w:tcW w:w="0" w:type="auto"/>
            <w:vAlign w:val="center"/>
          </w:tcPr>
          <w:p w:rsidR="00024C0A" w:rsidRDefault="00694C0F">
            <w:pPr>
              <w:pStyle w:val="TableBodyText"/>
            </w:pPr>
            <w:r>
              <w:t>0799</w:t>
            </w:r>
          </w:p>
        </w:tc>
      </w:tr>
      <w:tr w:rsidR="00024C0A" w:rsidTr="00024C0A">
        <w:tc>
          <w:tcPr>
            <w:tcW w:w="0" w:type="auto"/>
            <w:vAlign w:val="center"/>
          </w:tcPr>
          <w:p w:rsidR="00024C0A" w:rsidRDefault="00694C0F">
            <w:pPr>
              <w:pStyle w:val="TableBodyText"/>
            </w:pPr>
            <w:r>
              <w:t>DropDownFormField</w:t>
            </w:r>
          </w:p>
        </w:tc>
        <w:tc>
          <w:tcPr>
            <w:tcW w:w="0" w:type="auto"/>
            <w:vAlign w:val="center"/>
          </w:tcPr>
          <w:p w:rsidR="00024C0A" w:rsidRDefault="00694C0F">
            <w:pPr>
              <w:pStyle w:val="TableBodyText"/>
            </w:pPr>
            <w:r>
              <w:t>015F</w:t>
            </w:r>
          </w:p>
        </w:tc>
      </w:tr>
      <w:tr w:rsidR="00024C0A" w:rsidTr="00024C0A">
        <w:tc>
          <w:tcPr>
            <w:tcW w:w="0" w:type="auto"/>
            <w:vAlign w:val="center"/>
          </w:tcPr>
          <w:p w:rsidR="00024C0A" w:rsidRDefault="00694C0F">
            <w:pPr>
              <w:pStyle w:val="TableBodyText"/>
            </w:pPr>
            <w:r>
              <w:t>EATextBoxMenu</w:t>
            </w:r>
          </w:p>
        </w:tc>
        <w:tc>
          <w:tcPr>
            <w:tcW w:w="0" w:type="auto"/>
            <w:vAlign w:val="center"/>
          </w:tcPr>
          <w:p w:rsidR="00024C0A" w:rsidRDefault="00694C0F">
            <w:pPr>
              <w:pStyle w:val="TableBodyText"/>
            </w:pPr>
            <w:r>
              <w:t>0958</w:t>
            </w:r>
          </w:p>
        </w:tc>
      </w:tr>
      <w:tr w:rsidR="00024C0A" w:rsidTr="00024C0A">
        <w:tc>
          <w:tcPr>
            <w:tcW w:w="0" w:type="auto"/>
            <w:vAlign w:val="center"/>
          </w:tcPr>
          <w:p w:rsidR="00024C0A" w:rsidRDefault="00694C0F">
            <w:pPr>
              <w:pStyle w:val="TableBodyText"/>
            </w:pPr>
            <w:r>
              <w:t>EditAutoText</w:t>
            </w:r>
          </w:p>
        </w:tc>
        <w:tc>
          <w:tcPr>
            <w:tcW w:w="0" w:type="auto"/>
            <w:vAlign w:val="center"/>
          </w:tcPr>
          <w:p w:rsidR="00024C0A" w:rsidRDefault="00694C0F">
            <w:pPr>
              <w:pStyle w:val="TableBodyText"/>
            </w:pPr>
            <w:r>
              <w:t>03D9</w:t>
            </w:r>
          </w:p>
        </w:tc>
      </w:tr>
      <w:tr w:rsidR="00024C0A" w:rsidTr="00024C0A">
        <w:tc>
          <w:tcPr>
            <w:tcW w:w="0" w:type="auto"/>
            <w:vAlign w:val="center"/>
          </w:tcPr>
          <w:p w:rsidR="00024C0A" w:rsidRDefault="00694C0F">
            <w:pPr>
              <w:pStyle w:val="TableBodyText"/>
            </w:pPr>
            <w:r>
              <w:t>EditBookmark</w:t>
            </w:r>
          </w:p>
        </w:tc>
        <w:tc>
          <w:tcPr>
            <w:tcW w:w="0" w:type="auto"/>
            <w:vAlign w:val="center"/>
          </w:tcPr>
          <w:p w:rsidR="00024C0A" w:rsidRDefault="00694C0F">
            <w:pPr>
              <w:pStyle w:val="TableBodyText"/>
            </w:pPr>
            <w:r>
              <w:t>00A8</w:t>
            </w:r>
          </w:p>
        </w:tc>
      </w:tr>
      <w:tr w:rsidR="00024C0A" w:rsidTr="00024C0A">
        <w:tc>
          <w:tcPr>
            <w:tcW w:w="0" w:type="auto"/>
            <w:vAlign w:val="center"/>
          </w:tcPr>
          <w:p w:rsidR="00024C0A" w:rsidRDefault="00694C0F">
            <w:pPr>
              <w:pStyle w:val="TableBodyText"/>
            </w:pPr>
            <w:r>
              <w:t>EditButtonImage</w:t>
            </w:r>
          </w:p>
        </w:tc>
        <w:tc>
          <w:tcPr>
            <w:tcW w:w="0" w:type="auto"/>
            <w:vAlign w:val="center"/>
          </w:tcPr>
          <w:p w:rsidR="00024C0A" w:rsidRDefault="00694C0F">
            <w:pPr>
              <w:pStyle w:val="TableBodyText"/>
            </w:pPr>
            <w:r>
              <w:t>0266</w:t>
            </w:r>
          </w:p>
        </w:tc>
      </w:tr>
      <w:tr w:rsidR="00024C0A" w:rsidTr="00024C0A">
        <w:tc>
          <w:tcPr>
            <w:tcW w:w="0" w:type="auto"/>
            <w:vAlign w:val="center"/>
          </w:tcPr>
          <w:p w:rsidR="00024C0A" w:rsidRDefault="00694C0F">
            <w:pPr>
              <w:pStyle w:val="TableBodyText"/>
            </w:pPr>
            <w:r>
              <w:t>EditCitation</w:t>
            </w:r>
          </w:p>
        </w:tc>
        <w:tc>
          <w:tcPr>
            <w:tcW w:w="0" w:type="auto"/>
            <w:vAlign w:val="center"/>
          </w:tcPr>
          <w:p w:rsidR="00024C0A" w:rsidRDefault="00694C0F">
            <w:pPr>
              <w:pStyle w:val="TableBodyText"/>
            </w:pPr>
            <w:r>
              <w:t>0939</w:t>
            </w:r>
          </w:p>
        </w:tc>
      </w:tr>
      <w:tr w:rsidR="00024C0A" w:rsidTr="00024C0A">
        <w:tc>
          <w:tcPr>
            <w:tcW w:w="0" w:type="auto"/>
            <w:vAlign w:val="center"/>
          </w:tcPr>
          <w:p w:rsidR="00024C0A" w:rsidRDefault="00694C0F">
            <w:pPr>
              <w:pStyle w:val="TableBodyText"/>
            </w:pPr>
            <w:r>
              <w:t>EditClear</w:t>
            </w:r>
          </w:p>
        </w:tc>
        <w:tc>
          <w:tcPr>
            <w:tcW w:w="0" w:type="auto"/>
            <w:vAlign w:val="center"/>
          </w:tcPr>
          <w:p w:rsidR="00024C0A" w:rsidRDefault="00694C0F">
            <w:pPr>
              <w:pStyle w:val="TableBodyText"/>
            </w:pPr>
            <w:r>
              <w:t>001E</w:t>
            </w:r>
          </w:p>
        </w:tc>
      </w:tr>
      <w:tr w:rsidR="00024C0A" w:rsidTr="00024C0A">
        <w:tc>
          <w:tcPr>
            <w:tcW w:w="0" w:type="auto"/>
            <w:vAlign w:val="center"/>
          </w:tcPr>
          <w:p w:rsidR="00024C0A" w:rsidRDefault="00694C0F">
            <w:pPr>
              <w:pStyle w:val="TableBodyText"/>
            </w:pPr>
            <w:r>
              <w:t>EditConvertAllEndnotes</w:t>
            </w:r>
          </w:p>
        </w:tc>
        <w:tc>
          <w:tcPr>
            <w:tcW w:w="0" w:type="auto"/>
            <w:vAlign w:val="center"/>
          </w:tcPr>
          <w:p w:rsidR="00024C0A" w:rsidRDefault="00694C0F">
            <w:pPr>
              <w:pStyle w:val="TableBodyText"/>
            </w:pPr>
            <w:r>
              <w:t>01B8</w:t>
            </w:r>
          </w:p>
        </w:tc>
      </w:tr>
      <w:tr w:rsidR="00024C0A" w:rsidTr="00024C0A">
        <w:tc>
          <w:tcPr>
            <w:tcW w:w="0" w:type="auto"/>
            <w:vAlign w:val="center"/>
          </w:tcPr>
          <w:p w:rsidR="00024C0A" w:rsidRDefault="00694C0F">
            <w:pPr>
              <w:pStyle w:val="TableBodyText"/>
            </w:pPr>
            <w:r>
              <w:t>EditConvertAllFootnotes</w:t>
            </w:r>
          </w:p>
        </w:tc>
        <w:tc>
          <w:tcPr>
            <w:tcW w:w="0" w:type="auto"/>
            <w:vAlign w:val="center"/>
          </w:tcPr>
          <w:p w:rsidR="00024C0A" w:rsidRDefault="00694C0F">
            <w:pPr>
              <w:pStyle w:val="TableBodyText"/>
            </w:pPr>
            <w:r>
              <w:t>01B7</w:t>
            </w:r>
          </w:p>
        </w:tc>
      </w:tr>
      <w:tr w:rsidR="00024C0A" w:rsidTr="00024C0A">
        <w:tc>
          <w:tcPr>
            <w:tcW w:w="0" w:type="auto"/>
            <w:vAlign w:val="center"/>
          </w:tcPr>
          <w:p w:rsidR="00024C0A" w:rsidRDefault="00694C0F">
            <w:pPr>
              <w:pStyle w:val="TableBodyText"/>
            </w:pPr>
            <w:r>
              <w:t>EditConvertNotes</w:t>
            </w:r>
          </w:p>
        </w:tc>
        <w:tc>
          <w:tcPr>
            <w:tcW w:w="0" w:type="auto"/>
            <w:vAlign w:val="center"/>
          </w:tcPr>
          <w:p w:rsidR="00024C0A" w:rsidRDefault="00694C0F">
            <w:pPr>
              <w:pStyle w:val="TableBodyText"/>
            </w:pPr>
            <w:r>
              <w:t>01CE</w:t>
            </w:r>
          </w:p>
        </w:tc>
      </w:tr>
      <w:tr w:rsidR="00024C0A" w:rsidTr="00024C0A">
        <w:tc>
          <w:tcPr>
            <w:tcW w:w="0" w:type="auto"/>
            <w:vAlign w:val="center"/>
          </w:tcPr>
          <w:p w:rsidR="00024C0A" w:rsidRDefault="00694C0F">
            <w:pPr>
              <w:pStyle w:val="TableBodyText"/>
            </w:pPr>
            <w:r>
              <w:lastRenderedPageBreak/>
              <w:t>EditCopy</w:t>
            </w:r>
          </w:p>
        </w:tc>
        <w:tc>
          <w:tcPr>
            <w:tcW w:w="0" w:type="auto"/>
            <w:vAlign w:val="center"/>
          </w:tcPr>
          <w:p w:rsidR="00024C0A" w:rsidRDefault="00694C0F">
            <w:pPr>
              <w:pStyle w:val="TableBodyText"/>
            </w:pPr>
            <w:r>
              <w:t>006D</w:t>
            </w:r>
          </w:p>
        </w:tc>
      </w:tr>
      <w:tr w:rsidR="00024C0A" w:rsidTr="00024C0A">
        <w:tc>
          <w:tcPr>
            <w:tcW w:w="0" w:type="auto"/>
            <w:vAlign w:val="center"/>
          </w:tcPr>
          <w:p w:rsidR="00024C0A" w:rsidRDefault="00694C0F">
            <w:pPr>
              <w:pStyle w:val="TableBodyText"/>
            </w:pPr>
            <w:r>
              <w:t>EditCopyAsPicture</w:t>
            </w:r>
          </w:p>
        </w:tc>
        <w:tc>
          <w:tcPr>
            <w:tcW w:w="0" w:type="auto"/>
            <w:vAlign w:val="center"/>
          </w:tcPr>
          <w:p w:rsidR="00024C0A" w:rsidRDefault="00694C0F">
            <w:pPr>
              <w:pStyle w:val="TableBodyText"/>
            </w:pPr>
            <w:r>
              <w:t>02EF</w:t>
            </w:r>
          </w:p>
        </w:tc>
      </w:tr>
      <w:tr w:rsidR="00024C0A" w:rsidTr="00024C0A">
        <w:tc>
          <w:tcPr>
            <w:tcW w:w="0" w:type="auto"/>
            <w:vAlign w:val="center"/>
          </w:tcPr>
          <w:p w:rsidR="00024C0A" w:rsidRDefault="00694C0F">
            <w:pPr>
              <w:pStyle w:val="TableBodyText"/>
            </w:pPr>
            <w:r>
              <w:t>EditCreatePublisher</w:t>
            </w:r>
          </w:p>
        </w:tc>
        <w:tc>
          <w:tcPr>
            <w:tcW w:w="0" w:type="auto"/>
            <w:vAlign w:val="center"/>
          </w:tcPr>
          <w:p w:rsidR="00024C0A" w:rsidRDefault="00694C0F">
            <w:pPr>
              <w:pStyle w:val="TableBodyText"/>
            </w:pPr>
            <w:r>
              <w:t>02DC</w:t>
            </w:r>
          </w:p>
        </w:tc>
      </w:tr>
      <w:tr w:rsidR="00024C0A" w:rsidTr="00024C0A">
        <w:tc>
          <w:tcPr>
            <w:tcW w:w="0" w:type="auto"/>
            <w:vAlign w:val="center"/>
          </w:tcPr>
          <w:p w:rsidR="00024C0A" w:rsidRDefault="00694C0F">
            <w:pPr>
              <w:pStyle w:val="TableBodyText"/>
            </w:pPr>
            <w:r>
              <w:t>EditCut</w:t>
            </w:r>
          </w:p>
        </w:tc>
        <w:tc>
          <w:tcPr>
            <w:tcW w:w="0" w:type="auto"/>
            <w:vAlign w:val="center"/>
          </w:tcPr>
          <w:p w:rsidR="00024C0A" w:rsidRDefault="00694C0F">
            <w:pPr>
              <w:pStyle w:val="TableBodyText"/>
            </w:pPr>
            <w:r>
              <w:t>006C</w:t>
            </w:r>
          </w:p>
        </w:tc>
      </w:tr>
      <w:tr w:rsidR="00024C0A" w:rsidTr="00024C0A">
        <w:tc>
          <w:tcPr>
            <w:tcW w:w="0" w:type="auto"/>
            <w:vAlign w:val="center"/>
          </w:tcPr>
          <w:p w:rsidR="00024C0A" w:rsidRDefault="00694C0F">
            <w:pPr>
              <w:pStyle w:val="TableBodyText"/>
            </w:pPr>
            <w:r>
              <w:t>EditFind</w:t>
            </w:r>
          </w:p>
        </w:tc>
        <w:tc>
          <w:tcPr>
            <w:tcW w:w="0" w:type="auto"/>
            <w:vAlign w:val="center"/>
          </w:tcPr>
          <w:p w:rsidR="00024C0A" w:rsidRDefault="00694C0F">
            <w:pPr>
              <w:pStyle w:val="TableBodyText"/>
            </w:pPr>
            <w:r>
              <w:t>0070</w:t>
            </w:r>
          </w:p>
        </w:tc>
      </w:tr>
      <w:tr w:rsidR="00024C0A" w:rsidTr="00024C0A">
        <w:tc>
          <w:tcPr>
            <w:tcW w:w="0" w:type="auto"/>
            <w:vAlign w:val="center"/>
          </w:tcPr>
          <w:p w:rsidR="00024C0A" w:rsidRDefault="00694C0F">
            <w:pPr>
              <w:pStyle w:val="TableBodyText"/>
            </w:pPr>
            <w:r>
              <w:t>EditFindBorder</w:t>
            </w:r>
          </w:p>
        </w:tc>
        <w:tc>
          <w:tcPr>
            <w:tcW w:w="0" w:type="auto"/>
            <w:vAlign w:val="center"/>
          </w:tcPr>
          <w:p w:rsidR="00024C0A" w:rsidRDefault="00694C0F">
            <w:pPr>
              <w:pStyle w:val="TableBodyText"/>
            </w:pPr>
            <w:r>
              <w:t>01BF</w:t>
            </w:r>
          </w:p>
        </w:tc>
      </w:tr>
      <w:tr w:rsidR="00024C0A" w:rsidTr="00024C0A">
        <w:tc>
          <w:tcPr>
            <w:tcW w:w="0" w:type="auto"/>
            <w:vAlign w:val="center"/>
          </w:tcPr>
          <w:p w:rsidR="00024C0A" w:rsidRDefault="00694C0F">
            <w:pPr>
              <w:pStyle w:val="TableBodyText"/>
            </w:pPr>
            <w:r>
              <w:t>EditFindClearFormatting</w:t>
            </w:r>
          </w:p>
        </w:tc>
        <w:tc>
          <w:tcPr>
            <w:tcW w:w="0" w:type="auto"/>
            <w:vAlign w:val="center"/>
          </w:tcPr>
          <w:p w:rsidR="00024C0A" w:rsidRDefault="00694C0F">
            <w:pPr>
              <w:pStyle w:val="TableBodyText"/>
            </w:pPr>
            <w:r>
              <w:t>0074</w:t>
            </w:r>
          </w:p>
        </w:tc>
      </w:tr>
      <w:tr w:rsidR="00024C0A" w:rsidTr="00024C0A">
        <w:tc>
          <w:tcPr>
            <w:tcW w:w="0" w:type="auto"/>
            <w:vAlign w:val="center"/>
          </w:tcPr>
          <w:p w:rsidR="00024C0A" w:rsidRDefault="00694C0F">
            <w:pPr>
              <w:pStyle w:val="TableBodyText"/>
            </w:pPr>
            <w:r>
              <w:t>EditFindFont</w:t>
            </w:r>
          </w:p>
        </w:tc>
        <w:tc>
          <w:tcPr>
            <w:tcW w:w="0" w:type="auto"/>
            <w:vAlign w:val="center"/>
          </w:tcPr>
          <w:p w:rsidR="00024C0A" w:rsidRDefault="00694C0F">
            <w:pPr>
              <w:pStyle w:val="TableBodyText"/>
            </w:pPr>
            <w:r>
              <w:t>0071</w:t>
            </w:r>
          </w:p>
        </w:tc>
      </w:tr>
      <w:tr w:rsidR="00024C0A" w:rsidTr="00024C0A">
        <w:tc>
          <w:tcPr>
            <w:tcW w:w="0" w:type="auto"/>
            <w:vAlign w:val="center"/>
          </w:tcPr>
          <w:p w:rsidR="00024C0A" w:rsidRDefault="00694C0F">
            <w:pPr>
              <w:pStyle w:val="TableBodyText"/>
            </w:pPr>
            <w:r>
              <w:t>EditFindFrame</w:t>
            </w:r>
          </w:p>
        </w:tc>
        <w:tc>
          <w:tcPr>
            <w:tcW w:w="0" w:type="auto"/>
            <w:vAlign w:val="center"/>
          </w:tcPr>
          <w:p w:rsidR="00024C0A" w:rsidRDefault="00694C0F">
            <w:pPr>
              <w:pStyle w:val="TableBodyText"/>
            </w:pPr>
            <w:r>
              <w:t>01C0</w:t>
            </w:r>
          </w:p>
        </w:tc>
      </w:tr>
      <w:tr w:rsidR="00024C0A" w:rsidTr="00024C0A">
        <w:tc>
          <w:tcPr>
            <w:tcW w:w="0" w:type="auto"/>
            <w:vAlign w:val="center"/>
          </w:tcPr>
          <w:p w:rsidR="00024C0A" w:rsidRDefault="00694C0F">
            <w:pPr>
              <w:pStyle w:val="TableBodyText"/>
            </w:pPr>
            <w:r>
              <w:t>EditFindHighlight</w:t>
            </w:r>
          </w:p>
        </w:tc>
        <w:tc>
          <w:tcPr>
            <w:tcW w:w="0" w:type="auto"/>
            <w:vAlign w:val="center"/>
          </w:tcPr>
          <w:p w:rsidR="00024C0A" w:rsidRDefault="00694C0F">
            <w:pPr>
              <w:pStyle w:val="TableBodyText"/>
            </w:pPr>
            <w:r>
              <w:t>030C</w:t>
            </w:r>
          </w:p>
        </w:tc>
      </w:tr>
      <w:tr w:rsidR="00024C0A" w:rsidTr="00024C0A">
        <w:tc>
          <w:tcPr>
            <w:tcW w:w="0" w:type="auto"/>
            <w:vAlign w:val="center"/>
          </w:tcPr>
          <w:p w:rsidR="00024C0A" w:rsidRDefault="00694C0F">
            <w:pPr>
              <w:pStyle w:val="TableBodyText"/>
            </w:pPr>
            <w:r>
              <w:t>EditFindLang</w:t>
            </w:r>
          </w:p>
        </w:tc>
        <w:tc>
          <w:tcPr>
            <w:tcW w:w="0" w:type="auto"/>
            <w:vAlign w:val="center"/>
          </w:tcPr>
          <w:p w:rsidR="00024C0A" w:rsidRDefault="00694C0F">
            <w:pPr>
              <w:pStyle w:val="TableBodyText"/>
            </w:pPr>
            <w:r>
              <w:t>01AC</w:t>
            </w:r>
          </w:p>
        </w:tc>
      </w:tr>
      <w:tr w:rsidR="00024C0A" w:rsidTr="00024C0A">
        <w:tc>
          <w:tcPr>
            <w:tcW w:w="0" w:type="auto"/>
            <w:vAlign w:val="center"/>
          </w:tcPr>
          <w:p w:rsidR="00024C0A" w:rsidRDefault="00694C0F">
            <w:pPr>
              <w:pStyle w:val="TableBodyText"/>
            </w:pPr>
            <w:r>
              <w:t>EditFindNotHighlight</w:t>
            </w:r>
          </w:p>
        </w:tc>
        <w:tc>
          <w:tcPr>
            <w:tcW w:w="0" w:type="auto"/>
            <w:vAlign w:val="center"/>
          </w:tcPr>
          <w:p w:rsidR="00024C0A" w:rsidRDefault="00694C0F">
            <w:pPr>
              <w:pStyle w:val="TableBodyText"/>
            </w:pPr>
            <w:r>
              <w:t>030E</w:t>
            </w:r>
          </w:p>
        </w:tc>
      </w:tr>
      <w:tr w:rsidR="00024C0A" w:rsidTr="00024C0A">
        <w:tc>
          <w:tcPr>
            <w:tcW w:w="0" w:type="auto"/>
            <w:vAlign w:val="center"/>
          </w:tcPr>
          <w:p w:rsidR="00024C0A" w:rsidRDefault="00694C0F">
            <w:pPr>
              <w:pStyle w:val="TableBodyText"/>
            </w:pPr>
            <w:r>
              <w:t>EditFindPara</w:t>
            </w:r>
          </w:p>
        </w:tc>
        <w:tc>
          <w:tcPr>
            <w:tcW w:w="0" w:type="auto"/>
            <w:vAlign w:val="center"/>
          </w:tcPr>
          <w:p w:rsidR="00024C0A" w:rsidRDefault="00694C0F">
            <w:pPr>
              <w:pStyle w:val="TableBodyText"/>
            </w:pPr>
            <w:r>
              <w:t>0072</w:t>
            </w:r>
          </w:p>
        </w:tc>
      </w:tr>
      <w:tr w:rsidR="00024C0A" w:rsidTr="00024C0A">
        <w:tc>
          <w:tcPr>
            <w:tcW w:w="0" w:type="auto"/>
            <w:vAlign w:val="center"/>
          </w:tcPr>
          <w:p w:rsidR="00024C0A" w:rsidRDefault="00694C0F">
            <w:pPr>
              <w:pStyle w:val="TableBodyText"/>
            </w:pPr>
            <w:r>
              <w:t>EditFindReadingMode</w:t>
            </w:r>
          </w:p>
        </w:tc>
        <w:tc>
          <w:tcPr>
            <w:tcW w:w="0" w:type="auto"/>
            <w:vAlign w:val="center"/>
          </w:tcPr>
          <w:p w:rsidR="00024C0A" w:rsidRDefault="00694C0F">
            <w:pPr>
              <w:pStyle w:val="TableBodyText"/>
            </w:pPr>
            <w:r>
              <w:t>05A6</w:t>
            </w:r>
          </w:p>
        </w:tc>
      </w:tr>
      <w:tr w:rsidR="00024C0A" w:rsidTr="00024C0A">
        <w:tc>
          <w:tcPr>
            <w:tcW w:w="0" w:type="auto"/>
            <w:vAlign w:val="center"/>
          </w:tcPr>
          <w:p w:rsidR="00024C0A" w:rsidRDefault="00694C0F">
            <w:pPr>
              <w:pStyle w:val="TableBodyText"/>
            </w:pPr>
            <w:r>
              <w:t>EditFindStyle</w:t>
            </w:r>
          </w:p>
        </w:tc>
        <w:tc>
          <w:tcPr>
            <w:tcW w:w="0" w:type="auto"/>
            <w:vAlign w:val="center"/>
          </w:tcPr>
          <w:p w:rsidR="00024C0A" w:rsidRDefault="00694C0F">
            <w:pPr>
              <w:pStyle w:val="TableBodyText"/>
            </w:pPr>
            <w:r>
              <w:t>0073</w:t>
            </w:r>
          </w:p>
        </w:tc>
      </w:tr>
      <w:tr w:rsidR="00024C0A" w:rsidTr="00024C0A">
        <w:tc>
          <w:tcPr>
            <w:tcW w:w="0" w:type="auto"/>
            <w:vAlign w:val="center"/>
          </w:tcPr>
          <w:p w:rsidR="00024C0A" w:rsidRDefault="00694C0F">
            <w:pPr>
              <w:pStyle w:val="TableBodyText"/>
            </w:pPr>
            <w:r>
              <w:t>EditFindTabs</w:t>
            </w:r>
          </w:p>
        </w:tc>
        <w:tc>
          <w:tcPr>
            <w:tcW w:w="0" w:type="auto"/>
            <w:vAlign w:val="center"/>
          </w:tcPr>
          <w:p w:rsidR="00024C0A" w:rsidRDefault="00694C0F">
            <w:pPr>
              <w:pStyle w:val="TableBodyText"/>
            </w:pPr>
            <w:r>
              <w:t>01BE</w:t>
            </w:r>
          </w:p>
        </w:tc>
      </w:tr>
      <w:tr w:rsidR="00024C0A" w:rsidTr="00024C0A">
        <w:tc>
          <w:tcPr>
            <w:tcW w:w="0" w:type="auto"/>
            <w:vAlign w:val="center"/>
          </w:tcPr>
          <w:p w:rsidR="00024C0A" w:rsidRDefault="00694C0F">
            <w:pPr>
              <w:pStyle w:val="TableBodyText"/>
            </w:pPr>
            <w:r>
              <w:t>EditGoTo</w:t>
            </w:r>
          </w:p>
        </w:tc>
        <w:tc>
          <w:tcPr>
            <w:tcW w:w="0" w:type="auto"/>
            <w:vAlign w:val="center"/>
          </w:tcPr>
          <w:p w:rsidR="00024C0A" w:rsidRDefault="00694C0F">
            <w:pPr>
              <w:pStyle w:val="TableBodyText"/>
            </w:pPr>
            <w:r>
              <w:t>0380</w:t>
            </w:r>
          </w:p>
        </w:tc>
      </w:tr>
      <w:tr w:rsidR="00024C0A" w:rsidTr="00024C0A">
        <w:tc>
          <w:tcPr>
            <w:tcW w:w="0" w:type="auto"/>
            <w:vAlign w:val="center"/>
          </w:tcPr>
          <w:p w:rsidR="00024C0A" w:rsidRDefault="00694C0F">
            <w:pPr>
              <w:pStyle w:val="TableBodyText"/>
            </w:pPr>
            <w:r>
              <w:t>EditHyperlink</w:t>
            </w:r>
          </w:p>
        </w:tc>
        <w:tc>
          <w:tcPr>
            <w:tcW w:w="0" w:type="auto"/>
            <w:vAlign w:val="center"/>
          </w:tcPr>
          <w:p w:rsidR="00024C0A" w:rsidRDefault="00694C0F">
            <w:pPr>
              <w:pStyle w:val="TableBodyText"/>
            </w:pPr>
            <w:r>
              <w:t>039E</w:t>
            </w:r>
          </w:p>
        </w:tc>
      </w:tr>
      <w:tr w:rsidR="00024C0A" w:rsidTr="00024C0A">
        <w:tc>
          <w:tcPr>
            <w:tcW w:w="0" w:type="auto"/>
            <w:vAlign w:val="center"/>
          </w:tcPr>
          <w:p w:rsidR="00024C0A" w:rsidRDefault="00694C0F">
            <w:pPr>
              <w:pStyle w:val="TableBodyText"/>
            </w:pPr>
            <w:r>
              <w:t>EditIMEReconversion</w:t>
            </w:r>
          </w:p>
        </w:tc>
        <w:tc>
          <w:tcPr>
            <w:tcW w:w="0" w:type="auto"/>
            <w:vAlign w:val="center"/>
          </w:tcPr>
          <w:p w:rsidR="00024C0A" w:rsidRDefault="00694C0F">
            <w:pPr>
              <w:pStyle w:val="TableBodyText"/>
            </w:pPr>
            <w:r>
              <w:t>0359</w:t>
            </w:r>
          </w:p>
        </w:tc>
      </w:tr>
      <w:tr w:rsidR="00024C0A" w:rsidTr="00024C0A">
        <w:tc>
          <w:tcPr>
            <w:tcW w:w="0" w:type="auto"/>
            <w:vAlign w:val="center"/>
          </w:tcPr>
          <w:p w:rsidR="00024C0A" w:rsidRDefault="00694C0F">
            <w:pPr>
              <w:pStyle w:val="TableBodyText"/>
            </w:pPr>
            <w:r>
              <w:t>EditLinks</w:t>
            </w:r>
          </w:p>
        </w:tc>
        <w:tc>
          <w:tcPr>
            <w:tcW w:w="0" w:type="auto"/>
            <w:vAlign w:val="center"/>
          </w:tcPr>
          <w:p w:rsidR="00024C0A" w:rsidRDefault="00694C0F">
            <w:pPr>
              <w:pStyle w:val="TableBodyText"/>
            </w:pPr>
            <w:r>
              <w:t>007C</w:t>
            </w:r>
          </w:p>
        </w:tc>
      </w:tr>
      <w:tr w:rsidR="00024C0A" w:rsidTr="00024C0A">
        <w:tc>
          <w:tcPr>
            <w:tcW w:w="0" w:type="auto"/>
            <w:vAlign w:val="center"/>
          </w:tcPr>
          <w:p w:rsidR="00024C0A" w:rsidRDefault="00694C0F">
            <w:pPr>
              <w:pStyle w:val="TableBodyText"/>
            </w:pPr>
            <w:r>
              <w:t>EditObject</w:t>
            </w:r>
          </w:p>
        </w:tc>
        <w:tc>
          <w:tcPr>
            <w:tcW w:w="0" w:type="auto"/>
            <w:vAlign w:val="center"/>
          </w:tcPr>
          <w:p w:rsidR="00024C0A" w:rsidRDefault="00694C0F">
            <w:pPr>
              <w:pStyle w:val="TableBodyText"/>
            </w:pPr>
            <w:r>
              <w:t>007D</w:t>
            </w:r>
          </w:p>
        </w:tc>
      </w:tr>
      <w:tr w:rsidR="00024C0A" w:rsidTr="00024C0A">
        <w:tc>
          <w:tcPr>
            <w:tcW w:w="0" w:type="auto"/>
            <w:vAlign w:val="center"/>
          </w:tcPr>
          <w:p w:rsidR="00024C0A" w:rsidRDefault="00694C0F">
            <w:pPr>
              <w:pStyle w:val="TableBodyText"/>
            </w:pPr>
            <w:r>
              <w:t>EditOfficeClipboard</w:t>
            </w:r>
          </w:p>
        </w:tc>
        <w:tc>
          <w:tcPr>
            <w:tcW w:w="0" w:type="auto"/>
            <w:vAlign w:val="center"/>
          </w:tcPr>
          <w:p w:rsidR="00024C0A" w:rsidRDefault="00694C0F">
            <w:pPr>
              <w:pStyle w:val="TableBodyText"/>
            </w:pPr>
            <w:r>
              <w:t>01CB</w:t>
            </w:r>
          </w:p>
        </w:tc>
      </w:tr>
      <w:tr w:rsidR="00024C0A" w:rsidTr="00024C0A">
        <w:tc>
          <w:tcPr>
            <w:tcW w:w="0" w:type="auto"/>
            <w:vAlign w:val="center"/>
          </w:tcPr>
          <w:p w:rsidR="00024C0A" w:rsidRDefault="00694C0F">
            <w:pPr>
              <w:pStyle w:val="TableBodyText"/>
            </w:pPr>
            <w:r>
              <w:t>EditPaste</w:t>
            </w:r>
          </w:p>
        </w:tc>
        <w:tc>
          <w:tcPr>
            <w:tcW w:w="0" w:type="auto"/>
            <w:vAlign w:val="center"/>
          </w:tcPr>
          <w:p w:rsidR="00024C0A" w:rsidRDefault="00694C0F">
            <w:pPr>
              <w:pStyle w:val="TableBodyText"/>
            </w:pPr>
            <w:r>
              <w:t>006E</w:t>
            </w:r>
          </w:p>
        </w:tc>
      </w:tr>
      <w:tr w:rsidR="00024C0A" w:rsidTr="00024C0A">
        <w:tc>
          <w:tcPr>
            <w:tcW w:w="0" w:type="auto"/>
            <w:vAlign w:val="center"/>
          </w:tcPr>
          <w:p w:rsidR="00024C0A" w:rsidRDefault="00694C0F">
            <w:pPr>
              <w:pStyle w:val="TableBodyText"/>
            </w:pPr>
            <w:r>
              <w:t>EditPaste2</w:t>
            </w:r>
          </w:p>
        </w:tc>
        <w:tc>
          <w:tcPr>
            <w:tcW w:w="0" w:type="auto"/>
            <w:vAlign w:val="center"/>
          </w:tcPr>
          <w:p w:rsidR="00024C0A" w:rsidRDefault="00694C0F">
            <w:pPr>
              <w:pStyle w:val="TableBodyText"/>
            </w:pPr>
            <w:r>
              <w:t>049C</w:t>
            </w:r>
          </w:p>
        </w:tc>
      </w:tr>
      <w:tr w:rsidR="00024C0A" w:rsidTr="00024C0A">
        <w:tc>
          <w:tcPr>
            <w:tcW w:w="0" w:type="auto"/>
            <w:vAlign w:val="center"/>
          </w:tcPr>
          <w:p w:rsidR="00024C0A" w:rsidRDefault="00694C0F">
            <w:pPr>
              <w:pStyle w:val="TableBodyText"/>
            </w:pPr>
            <w:r>
              <w:t>EditPasteAppendTable</w:t>
            </w:r>
          </w:p>
        </w:tc>
        <w:tc>
          <w:tcPr>
            <w:tcW w:w="0" w:type="auto"/>
            <w:vAlign w:val="center"/>
          </w:tcPr>
          <w:p w:rsidR="00024C0A" w:rsidRDefault="00694C0F">
            <w:pPr>
              <w:pStyle w:val="TableBodyText"/>
            </w:pPr>
            <w:r>
              <w:t>054E</w:t>
            </w:r>
          </w:p>
        </w:tc>
      </w:tr>
      <w:tr w:rsidR="00024C0A" w:rsidTr="00024C0A">
        <w:tc>
          <w:tcPr>
            <w:tcW w:w="0" w:type="auto"/>
            <w:vAlign w:val="center"/>
          </w:tcPr>
          <w:p w:rsidR="00024C0A" w:rsidRDefault="00694C0F">
            <w:pPr>
              <w:pStyle w:val="TableBodyText"/>
            </w:pPr>
            <w:r>
              <w:t>EditPasteAsHyperlink</w:t>
            </w:r>
          </w:p>
        </w:tc>
        <w:tc>
          <w:tcPr>
            <w:tcW w:w="0" w:type="auto"/>
            <w:vAlign w:val="center"/>
          </w:tcPr>
          <w:p w:rsidR="00024C0A" w:rsidRDefault="00694C0F">
            <w:pPr>
              <w:pStyle w:val="TableBodyText"/>
            </w:pPr>
            <w:r>
              <w:t>03D0</w:t>
            </w:r>
          </w:p>
        </w:tc>
      </w:tr>
      <w:tr w:rsidR="00024C0A" w:rsidTr="00024C0A">
        <w:tc>
          <w:tcPr>
            <w:tcW w:w="0" w:type="auto"/>
            <w:vAlign w:val="center"/>
          </w:tcPr>
          <w:p w:rsidR="00024C0A" w:rsidRDefault="00694C0F">
            <w:pPr>
              <w:pStyle w:val="TableBodyText"/>
            </w:pPr>
            <w:r>
              <w:t>EditPasteAsNestedTable</w:t>
            </w:r>
          </w:p>
        </w:tc>
        <w:tc>
          <w:tcPr>
            <w:tcW w:w="0" w:type="auto"/>
            <w:vAlign w:val="center"/>
          </w:tcPr>
          <w:p w:rsidR="00024C0A" w:rsidRDefault="00694C0F">
            <w:pPr>
              <w:pStyle w:val="TableBodyText"/>
            </w:pPr>
            <w:r>
              <w:t>0388</w:t>
            </w:r>
          </w:p>
        </w:tc>
      </w:tr>
      <w:tr w:rsidR="00024C0A" w:rsidTr="00024C0A">
        <w:tc>
          <w:tcPr>
            <w:tcW w:w="0" w:type="auto"/>
            <w:vAlign w:val="center"/>
          </w:tcPr>
          <w:p w:rsidR="00024C0A" w:rsidRDefault="00694C0F">
            <w:pPr>
              <w:pStyle w:val="TableBodyText"/>
            </w:pPr>
            <w:r>
              <w:t>EditPasteFromExcel</w:t>
            </w:r>
          </w:p>
        </w:tc>
        <w:tc>
          <w:tcPr>
            <w:tcW w:w="0" w:type="auto"/>
            <w:vAlign w:val="center"/>
          </w:tcPr>
          <w:p w:rsidR="00024C0A" w:rsidRDefault="00694C0F">
            <w:pPr>
              <w:pStyle w:val="TableBodyText"/>
            </w:pPr>
            <w:r>
              <w:t>0575</w:t>
            </w:r>
          </w:p>
        </w:tc>
      </w:tr>
      <w:tr w:rsidR="00024C0A" w:rsidTr="00024C0A">
        <w:tc>
          <w:tcPr>
            <w:tcW w:w="0" w:type="auto"/>
            <w:vAlign w:val="center"/>
          </w:tcPr>
          <w:p w:rsidR="00024C0A" w:rsidRDefault="00694C0F">
            <w:pPr>
              <w:pStyle w:val="TableBodyText"/>
            </w:pPr>
            <w:r>
              <w:t>EditPasteOption</w:t>
            </w:r>
          </w:p>
        </w:tc>
        <w:tc>
          <w:tcPr>
            <w:tcW w:w="0" w:type="auto"/>
            <w:vAlign w:val="center"/>
          </w:tcPr>
          <w:p w:rsidR="00024C0A" w:rsidRDefault="00694C0F">
            <w:pPr>
              <w:pStyle w:val="TableBodyText"/>
            </w:pPr>
            <w:r>
              <w:t>04DF</w:t>
            </w:r>
          </w:p>
        </w:tc>
      </w:tr>
      <w:tr w:rsidR="00024C0A" w:rsidTr="00024C0A">
        <w:tc>
          <w:tcPr>
            <w:tcW w:w="0" w:type="auto"/>
            <w:vAlign w:val="center"/>
          </w:tcPr>
          <w:p w:rsidR="00024C0A" w:rsidRDefault="00694C0F">
            <w:pPr>
              <w:pStyle w:val="TableBodyText"/>
            </w:pPr>
            <w:r>
              <w:t>EditPasteSpecial</w:t>
            </w:r>
          </w:p>
        </w:tc>
        <w:tc>
          <w:tcPr>
            <w:tcW w:w="0" w:type="auto"/>
            <w:vAlign w:val="center"/>
          </w:tcPr>
          <w:p w:rsidR="00024C0A" w:rsidRDefault="00694C0F">
            <w:pPr>
              <w:pStyle w:val="TableBodyText"/>
            </w:pPr>
            <w:r>
              <w:t>006F</w:t>
            </w:r>
          </w:p>
        </w:tc>
      </w:tr>
      <w:tr w:rsidR="00024C0A" w:rsidTr="00024C0A">
        <w:tc>
          <w:tcPr>
            <w:tcW w:w="0" w:type="auto"/>
            <w:vAlign w:val="center"/>
          </w:tcPr>
          <w:p w:rsidR="00024C0A" w:rsidRDefault="00694C0F">
            <w:pPr>
              <w:pStyle w:val="TableBodyText"/>
            </w:pPr>
            <w:r>
              <w:t>EditPicture</w:t>
            </w:r>
          </w:p>
        </w:tc>
        <w:tc>
          <w:tcPr>
            <w:tcW w:w="0" w:type="auto"/>
            <w:vAlign w:val="center"/>
          </w:tcPr>
          <w:p w:rsidR="00024C0A" w:rsidRDefault="00694C0F">
            <w:pPr>
              <w:pStyle w:val="TableBodyText"/>
            </w:pPr>
            <w:r>
              <w:t>0128</w:t>
            </w:r>
          </w:p>
        </w:tc>
      </w:tr>
      <w:tr w:rsidR="00024C0A" w:rsidTr="00024C0A">
        <w:tc>
          <w:tcPr>
            <w:tcW w:w="0" w:type="auto"/>
            <w:vAlign w:val="center"/>
          </w:tcPr>
          <w:p w:rsidR="00024C0A" w:rsidRDefault="00694C0F">
            <w:pPr>
              <w:pStyle w:val="TableBodyText"/>
            </w:pPr>
            <w:r>
              <w:t>EditPictureEdit</w:t>
            </w:r>
          </w:p>
        </w:tc>
        <w:tc>
          <w:tcPr>
            <w:tcW w:w="0" w:type="auto"/>
            <w:vAlign w:val="center"/>
          </w:tcPr>
          <w:p w:rsidR="00024C0A" w:rsidRDefault="00694C0F">
            <w:pPr>
              <w:pStyle w:val="TableBodyText"/>
            </w:pPr>
            <w:r>
              <w:t>0500</w:t>
            </w:r>
          </w:p>
        </w:tc>
      </w:tr>
      <w:tr w:rsidR="00024C0A" w:rsidTr="00024C0A">
        <w:tc>
          <w:tcPr>
            <w:tcW w:w="0" w:type="auto"/>
            <w:vAlign w:val="center"/>
          </w:tcPr>
          <w:p w:rsidR="00024C0A" w:rsidRDefault="00694C0F">
            <w:pPr>
              <w:pStyle w:val="TableBodyText"/>
            </w:pPr>
            <w:r>
              <w:lastRenderedPageBreak/>
              <w:t>EditPubOrSubOptions</w:t>
            </w:r>
          </w:p>
        </w:tc>
        <w:tc>
          <w:tcPr>
            <w:tcW w:w="0" w:type="auto"/>
            <w:vAlign w:val="center"/>
          </w:tcPr>
          <w:p w:rsidR="00024C0A" w:rsidRDefault="00694C0F">
            <w:pPr>
              <w:pStyle w:val="TableBodyText"/>
            </w:pPr>
            <w:r>
              <w:t>02DE</w:t>
            </w:r>
          </w:p>
        </w:tc>
      </w:tr>
      <w:tr w:rsidR="00024C0A" w:rsidTr="00024C0A">
        <w:tc>
          <w:tcPr>
            <w:tcW w:w="0" w:type="auto"/>
            <w:vAlign w:val="center"/>
          </w:tcPr>
          <w:p w:rsidR="00024C0A" w:rsidRDefault="00694C0F">
            <w:pPr>
              <w:pStyle w:val="TableBodyText"/>
            </w:pPr>
            <w:r>
              <w:t>EditPublishOptions</w:t>
            </w:r>
          </w:p>
        </w:tc>
        <w:tc>
          <w:tcPr>
            <w:tcW w:w="0" w:type="auto"/>
            <w:vAlign w:val="center"/>
          </w:tcPr>
          <w:p w:rsidR="00024C0A" w:rsidRDefault="00694C0F">
            <w:pPr>
              <w:pStyle w:val="TableBodyText"/>
            </w:pPr>
            <w:r>
              <w:t>02DF</w:t>
            </w:r>
          </w:p>
        </w:tc>
      </w:tr>
      <w:tr w:rsidR="00024C0A" w:rsidTr="00024C0A">
        <w:tc>
          <w:tcPr>
            <w:tcW w:w="0" w:type="auto"/>
            <w:vAlign w:val="center"/>
          </w:tcPr>
          <w:p w:rsidR="00024C0A" w:rsidRDefault="00694C0F">
            <w:pPr>
              <w:pStyle w:val="TableBodyText"/>
            </w:pPr>
            <w:r>
              <w:t>EditRedo</w:t>
            </w:r>
          </w:p>
        </w:tc>
        <w:tc>
          <w:tcPr>
            <w:tcW w:w="0" w:type="auto"/>
            <w:vAlign w:val="center"/>
          </w:tcPr>
          <w:p w:rsidR="00024C0A" w:rsidRDefault="00694C0F">
            <w:pPr>
              <w:pStyle w:val="TableBodyText"/>
            </w:pPr>
            <w:r>
              <w:t>0149</w:t>
            </w:r>
          </w:p>
        </w:tc>
      </w:tr>
      <w:tr w:rsidR="00024C0A" w:rsidTr="00024C0A">
        <w:tc>
          <w:tcPr>
            <w:tcW w:w="0" w:type="auto"/>
            <w:vAlign w:val="center"/>
          </w:tcPr>
          <w:p w:rsidR="00024C0A" w:rsidRDefault="00694C0F">
            <w:pPr>
              <w:pStyle w:val="TableBodyText"/>
            </w:pPr>
            <w:r>
              <w:t>EditRedoOrRepeat</w:t>
            </w:r>
          </w:p>
        </w:tc>
        <w:tc>
          <w:tcPr>
            <w:tcW w:w="0" w:type="auto"/>
            <w:vAlign w:val="center"/>
          </w:tcPr>
          <w:p w:rsidR="00024C0A" w:rsidRDefault="00694C0F">
            <w:pPr>
              <w:pStyle w:val="TableBodyText"/>
            </w:pPr>
            <w:r>
              <w:t>014A</w:t>
            </w:r>
          </w:p>
        </w:tc>
      </w:tr>
      <w:tr w:rsidR="00024C0A" w:rsidTr="00024C0A">
        <w:tc>
          <w:tcPr>
            <w:tcW w:w="0" w:type="auto"/>
            <w:vAlign w:val="center"/>
          </w:tcPr>
          <w:p w:rsidR="00024C0A" w:rsidRDefault="00694C0F">
            <w:pPr>
              <w:pStyle w:val="TableBodyText"/>
            </w:pPr>
            <w:r>
              <w:t>EditRepeat</w:t>
            </w:r>
          </w:p>
        </w:tc>
        <w:tc>
          <w:tcPr>
            <w:tcW w:w="0" w:type="auto"/>
            <w:vAlign w:val="center"/>
          </w:tcPr>
          <w:p w:rsidR="00024C0A" w:rsidRDefault="00694C0F">
            <w:pPr>
              <w:pStyle w:val="TableBodyText"/>
            </w:pPr>
            <w:r>
              <w:t>0044</w:t>
            </w:r>
          </w:p>
        </w:tc>
      </w:tr>
      <w:tr w:rsidR="00024C0A" w:rsidTr="00024C0A">
        <w:tc>
          <w:tcPr>
            <w:tcW w:w="0" w:type="auto"/>
            <w:vAlign w:val="center"/>
          </w:tcPr>
          <w:p w:rsidR="00024C0A" w:rsidRDefault="00694C0F">
            <w:pPr>
              <w:pStyle w:val="TableBodyText"/>
            </w:pPr>
            <w:r>
              <w:t>EditReplace</w:t>
            </w:r>
          </w:p>
        </w:tc>
        <w:tc>
          <w:tcPr>
            <w:tcW w:w="0" w:type="auto"/>
            <w:vAlign w:val="center"/>
          </w:tcPr>
          <w:p w:rsidR="00024C0A" w:rsidRDefault="00694C0F">
            <w:pPr>
              <w:pStyle w:val="TableBodyText"/>
            </w:pPr>
            <w:r>
              <w:t>0075</w:t>
            </w:r>
          </w:p>
        </w:tc>
      </w:tr>
      <w:tr w:rsidR="00024C0A" w:rsidTr="00024C0A">
        <w:tc>
          <w:tcPr>
            <w:tcW w:w="0" w:type="auto"/>
            <w:vAlign w:val="center"/>
          </w:tcPr>
          <w:p w:rsidR="00024C0A" w:rsidRDefault="00694C0F">
            <w:pPr>
              <w:pStyle w:val="TableBodyText"/>
            </w:pPr>
            <w:r>
              <w:t>EditReplaceBorder</w:t>
            </w:r>
          </w:p>
        </w:tc>
        <w:tc>
          <w:tcPr>
            <w:tcW w:w="0" w:type="auto"/>
            <w:vAlign w:val="center"/>
          </w:tcPr>
          <w:p w:rsidR="00024C0A" w:rsidRDefault="00694C0F">
            <w:pPr>
              <w:pStyle w:val="TableBodyText"/>
            </w:pPr>
            <w:r>
              <w:t>01C9</w:t>
            </w:r>
          </w:p>
        </w:tc>
      </w:tr>
      <w:tr w:rsidR="00024C0A" w:rsidTr="00024C0A">
        <w:tc>
          <w:tcPr>
            <w:tcW w:w="0" w:type="auto"/>
            <w:vAlign w:val="center"/>
          </w:tcPr>
          <w:p w:rsidR="00024C0A" w:rsidRDefault="00694C0F">
            <w:pPr>
              <w:pStyle w:val="TableBodyText"/>
            </w:pPr>
            <w:r>
              <w:t>EditReplaceClearFormatting</w:t>
            </w:r>
          </w:p>
        </w:tc>
        <w:tc>
          <w:tcPr>
            <w:tcW w:w="0" w:type="auto"/>
            <w:vAlign w:val="center"/>
          </w:tcPr>
          <w:p w:rsidR="00024C0A" w:rsidRDefault="00694C0F">
            <w:pPr>
              <w:pStyle w:val="TableBodyText"/>
            </w:pPr>
            <w:r>
              <w:t>0079</w:t>
            </w:r>
          </w:p>
        </w:tc>
      </w:tr>
      <w:tr w:rsidR="00024C0A" w:rsidTr="00024C0A">
        <w:tc>
          <w:tcPr>
            <w:tcW w:w="0" w:type="auto"/>
            <w:vAlign w:val="center"/>
          </w:tcPr>
          <w:p w:rsidR="00024C0A" w:rsidRDefault="00694C0F">
            <w:pPr>
              <w:pStyle w:val="TableBodyText"/>
            </w:pPr>
            <w:r>
              <w:t>EditReplaceFont</w:t>
            </w:r>
          </w:p>
        </w:tc>
        <w:tc>
          <w:tcPr>
            <w:tcW w:w="0" w:type="auto"/>
            <w:vAlign w:val="center"/>
          </w:tcPr>
          <w:p w:rsidR="00024C0A" w:rsidRDefault="00694C0F">
            <w:pPr>
              <w:pStyle w:val="TableBodyText"/>
            </w:pPr>
            <w:r>
              <w:t>0076</w:t>
            </w:r>
          </w:p>
        </w:tc>
      </w:tr>
      <w:tr w:rsidR="00024C0A" w:rsidTr="00024C0A">
        <w:tc>
          <w:tcPr>
            <w:tcW w:w="0" w:type="auto"/>
            <w:vAlign w:val="center"/>
          </w:tcPr>
          <w:p w:rsidR="00024C0A" w:rsidRDefault="00694C0F">
            <w:pPr>
              <w:pStyle w:val="TableBodyText"/>
            </w:pPr>
            <w:r>
              <w:t>EditReplaceFrame</w:t>
            </w:r>
          </w:p>
        </w:tc>
        <w:tc>
          <w:tcPr>
            <w:tcW w:w="0" w:type="auto"/>
            <w:vAlign w:val="center"/>
          </w:tcPr>
          <w:p w:rsidR="00024C0A" w:rsidRDefault="00694C0F">
            <w:pPr>
              <w:pStyle w:val="TableBodyText"/>
            </w:pPr>
            <w:r>
              <w:t>01CA</w:t>
            </w:r>
          </w:p>
        </w:tc>
      </w:tr>
      <w:tr w:rsidR="00024C0A" w:rsidTr="00024C0A">
        <w:tc>
          <w:tcPr>
            <w:tcW w:w="0" w:type="auto"/>
            <w:vAlign w:val="center"/>
          </w:tcPr>
          <w:p w:rsidR="00024C0A" w:rsidRDefault="00694C0F">
            <w:pPr>
              <w:pStyle w:val="TableBodyText"/>
            </w:pPr>
            <w:r>
              <w:t>EditReplaceHighlight</w:t>
            </w:r>
          </w:p>
        </w:tc>
        <w:tc>
          <w:tcPr>
            <w:tcW w:w="0" w:type="auto"/>
            <w:vAlign w:val="center"/>
          </w:tcPr>
          <w:p w:rsidR="00024C0A" w:rsidRDefault="00694C0F">
            <w:pPr>
              <w:pStyle w:val="TableBodyText"/>
            </w:pPr>
            <w:r>
              <w:t>030D</w:t>
            </w:r>
          </w:p>
        </w:tc>
      </w:tr>
      <w:tr w:rsidR="00024C0A" w:rsidTr="00024C0A">
        <w:tc>
          <w:tcPr>
            <w:tcW w:w="0" w:type="auto"/>
            <w:vAlign w:val="center"/>
          </w:tcPr>
          <w:p w:rsidR="00024C0A" w:rsidRDefault="00694C0F">
            <w:pPr>
              <w:pStyle w:val="TableBodyText"/>
            </w:pPr>
            <w:r>
              <w:t>EditReplaceLang</w:t>
            </w:r>
          </w:p>
        </w:tc>
        <w:tc>
          <w:tcPr>
            <w:tcW w:w="0" w:type="auto"/>
            <w:vAlign w:val="center"/>
          </w:tcPr>
          <w:p w:rsidR="00024C0A" w:rsidRDefault="00694C0F">
            <w:pPr>
              <w:pStyle w:val="TableBodyText"/>
            </w:pPr>
            <w:r>
              <w:t>01AD</w:t>
            </w:r>
          </w:p>
        </w:tc>
      </w:tr>
      <w:tr w:rsidR="00024C0A" w:rsidTr="00024C0A">
        <w:tc>
          <w:tcPr>
            <w:tcW w:w="0" w:type="auto"/>
            <w:vAlign w:val="center"/>
          </w:tcPr>
          <w:p w:rsidR="00024C0A" w:rsidRDefault="00694C0F">
            <w:pPr>
              <w:pStyle w:val="TableBodyText"/>
            </w:pPr>
            <w:r>
              <w:t>EditReplaceNotHighlight</w:t>
            </w:r>
          </w:p>
        </w:tc>
        <w:tc>
          <w:tcPr>
            <w:tcW w:w="0" w:type="auto"/>
            <w:vAlign w:val="center"/>
          </w:tcPr>
          <w:p w:rsidR="00024C0A" w:rsidRDefault="00694C0F">
            <w:pPr>
              <w:pStyle w:val="TableBodyText"/>
            </w:pPr>
            <w:r>
              <w:t>030F</w:t>
            </w:r>
          </w:p>
        </w:tc>
      </w:tr>
      <w:tr w:rsidR="00024C0A" w:rsidTr="00024C0A">
        <w:tc>
          <w:tcPr>
            <w:tcW w:w="0" w:type="auto"/>
            <w:vAlign w:val="center"/>
          </w:tcPr>
          <w:p w:rsidR="00024C0A" w:rsidRDefault="00694C0F">
            <w:pPr>
              <w:pStyle w:val="TableBodyText"/>
            </w:pPr>
            <w:r>
              <w:t>EditReplacePara</w:t>
            </w:r>
          </w:p>
        </w:tc>
        <w:tc>
          <w:tcPr>
            <w:tcW w:w="0" w:type="auto"/>
            <w:vAlign w:val="center"/>
          </w:tcPr>
          <w:p w:rsidR="00024C0A" w:rsidRDefault="00694C0F">
            <w:pPr>
              <w:pStyle w:val="TableBodyText"/>
            </w:pPr>
            <w:r>
              <w:t>0077</w:t>
            </w:r>
          </w:p>
        </w:tc>
      </w:tr>
      <w:tr w:rsidR="00024C0A" w:rsidTr="00024C0A">
        <w:tc>
          <w:tcPr>
            <w:tcW w:w="0" w:type="auto"/>
            <w:vAlign w:val="center"/>
          </w:tcPr>
          <w:p w:rsidR="00024C0A" w:rsidRDefault="00694C0F">
            <w:pPr>
              <w:pStyle w:val="TableBodyText"/>
            </w:pPr>
            <w:r>
              <w:t>EditReplaceStyle</w:t>
            </w:r>
          </w:p>
        </w:tc>
        <w:tc>
          <w:tcPr>
            <w:tcW w:w="0" w:type="auto"/>
            <w:vAlign w:val="center"/>
          </w:tcPr>
          <w:p w:rsidR="00024C0A" w:rsidRDefault="00694C0F">
            <w:pPr>
              <w:pStyle w:val="TableBodyText"/>
            </w:pPr>
            <w:r>
              <w:t>0078</w:t>
            </w:r>
          </w:p>
        </w:tc>
      </w:tr>
      <w:tr w:rsidR="00024C0A" w:rsidTr="00024C0A">
        <w:tc>
          <w:tcPr>
            <w:tcW w:w="0" w:type="auto"/>
            <w:vAlign w:val="center"/>
          </w:tcPr>
          <w:p w:rsidR="00024C0A" w:rsidRDefault="00694C0F">
            <w:pPr>
              <w:pStyle w:val="TableBodyText"/>
            </w:pPr>
            <w:r>
              <w:t>EditReplaceTabs</w:t>
            </w:r>
          </w:p>
        </w:tc>
        <w:tc>
          <w:tcPr>
            <w:tcW w:w="0" w:type="auto"/>
            <w:vAlign w:val="center"/>
          </w:tcPr>
          <w:p w:rsidR="00024C0A" w:rsidRDefault="00694C0F">
            <w:pPr>
              <w:pStyle w:val="TableBodyText"/>
            </w:pPr>
            <w:r>
              <w:t>01C8</w:t>
            </w:r>
          </w:p>
        </w:tc>
      </w:tr>
      <w:tr w:rsidR="00024C0A" w:rsidTr="00024C0A">
        <w:tc>
          <w:tcPr>
            <w:tcW w:w="0" w:type="auto"/>
            <w:vAlign w:val="center"/>
          </w:tcPr>
          <w:p w:rsidR="00024C0A" w:rsidRDefault="00694C0F">
            <w:pPr>
              <w:pStyle w:val="TableBodyText"/>
            </w:pPr>
            <w:r>
              <w:t>EditSelectAll</w:t>
            </w:r>
          </w:p>
        </w:tc>
        <w:tc>
          <w:tcPr>
            <w:tcW w:w="0" w:type="auto"/>
            <w:vAlign w:val="center"/>
          </w:tcPr>
          <w:p w:rsidR="00024C0A" w:rsidRDefault="00694C0F">
            <w:pPr>
              <w:pStyle w:val="TableBodyText"/>
            </w:pPr>
            <w:r>
              <w:t>00ED</w:t>
            </w:r>
          </w:p>
        </w:tc>
      </w:tr>
      <w:tr w:rsidR="00024C0A" w:rsidTr="00024C0A">
        <w:tc>
          <w:tcPr>
            <w:tcW w:w="0" w:type="auto"/>
            <w:vAlign w:val="center"/>
          </w:tcPr>
          <w:p w:rsidR="00024C0A" w:rsidRDefault="00694C0F">
            <w:pPr>
              <w:pStyle w:val="TableBodyText"/>
            </w:pPr>
            <w:r>
              <w:t>EditSource</w:t>
            </w:r>
          </w:p>
        </w:tc>
        <w:tc>
          <w:tcPr>
            <w:tcW w:w="0" w:type="auto"/>
            <w:vAlign w:val="center"/>
          </w:tcPr>
          <w:p w:rsidR="00024C0A" w:rsidRDefault="00694C0F">
            <w:pPr>
              <w:pStyle w:val="TableBodyText"/>
            </w:pPr>
            <w:r>
              <w:t>093A</w:t>
            </w:r>
          </w:p>
        </w:tc>
      </w:tr>
      <w:tr w:rsidR="00024C0A" w:rsidTr="00024C0A">
        <w:tc>
          <w:tcPr>
            <w:tcW w:w="0" w:type="auto"/>
            <w:vAlign w:val="center"/>
          </w:tcPr>
          <w:p w:rsidR="00024C0A" w:rsidRDefault="00694C0F">
            <w:pPr>
              <w:pStyle w:val="TableBodyText"/>
            </w:pPr>
            <w:r>
              <w:t>EditSubscribeOptions</w:t>
            </w:r>
          </w:p>
        </w:tc>
        <w:tc>
          <w:tcPr>
            <w:tcW w:w="0" w:type="auto"/>
            <w:vAlign w:val="center"/>
          </w:tcPr>
          <w:p w:rsidR="00024C0A" w:rsidRDefault="00694C0F">
            <w:pPr>
              <w:pStyle w:val="TableBodyText"/>
            </w:pPr>
            <w:r>
              <w:t>02E0</w:t>
            </w:r>
          </w:p>
        </w:tc>
      </w:tr>
      <w:tr w:rsidR="00024C0A" w:rsidTr="00024C0A">
        <w:tc>
          <w:tcPr>
            <w:tcW w:w="0" w:type="auto"/>
            <w:vAlign w:val="center"/>
          </w:tcPr>
          <w:p w:rsidR="00024C0A" w:rsidRDefault="00694C0F">
            <w:pPr>
              <w:pStyle w:val="TableBodyText"/>
            </w:pPr>
            <w:r>
              <w:t>EditSubscribeTo</w:t>
            </w:r>
          </w:p>
        </w:tc>
        <w:tc>
          <w:tcPr>
            <w:tcW w:w="0" w:type="auto"/>
            <w:vAlign w:val="center"/>
          </w:tcPr>
          <w:p w:rsidR="00024C0A" w:rsidRDefault="00694C0F">
            <w:pPr>
              <w:pStyle w:val="TableBodyText"/>
            </w:pPr>
            <w:r>
              <w:t>02DD</w:t>
            </w:r>
          </w:p>
        </w:tc>
      </w:tr>
      <w:tr w:rsidR="00024C0A" w:rsidTr="00024C0A">
        <w:tc>
          <w:tcPr>
            <w:tcW w:w="0" w:type="auto"/>
            <w:vAlign w:val="center"/>
          </w:tcPr>
          <w:p w:rsidR="00024C0A" w:rsidRDefault="00694C0F">
            <w:pPr>
              <w:pStyle w:val="TableBodyText"/>
            </w:pPr>
            <w:r>
              <w:t>EditSwapAllNotes</w:t>
            </w:r>
          </w:p>
        </w:tc>
        <w:tc>
          <w:tcPr>
            <w:tcW w:w="0" w:type="auto"/>
            <w:vAlign w:val="center"/>
          </w:tcPr>
          <w:p w:rsidR="00024C0A" w:rsidRDefault="00694C0F">
            <w:pPr>
              <w:pStyle w:val="TableBodyText"/>
            </w:pPr>
            <w:r>
              <w:t>01B9</w:t>
            </w:r>
          </w:p>
        </w:tc>
      </w:tr>
      <w:tr w:rsidR="00024C0A" w:rsidTr="00024C0A">
        <w:tc>
          <w:tcPr>
            <w:tcW w:w="0" w:type="auto"/>
            <w:vAlign w:val="center"/>
          </w:tcPr>
          <w:p w:rsidR="00024C0A" w:rsidRDefault="00694C0F">
            <w:pPr>
              <w:pStyle w:val="TableBodyText"/>
            </w:pPr>
            <w:r>
              <w:t>EditTOACategory</w:t>
            </w:r>
          </w:p>
        </w:tc>
        <w:tc>
          <w:tcPr>
            <w:tcW w:w="0" w:type="auto"/>
            <w:vAlign w:val="center"/>
          </w:tcPr>
          <w:p w:rsidR="00024C0A" w:rsidRDefault="00694C0F">
            <w:pPr>
              <w:pStyle w:val="TableBodyText"/>
            </w:pPr>
            <w:r>
              <w:t>0271</w:t>
            </w:r>
          </w:p>
        </w:tc>
      </w:tr>
      <w:tr w:rsidR="00024C0A" w:rsidTr="00024C0A">
        <w:tc>
          <w:tcPr>
            <w:tcW w:w="0" w:type="auto"/>
            <w:vAlign w:val="center"/>
          </w:tcPr>
          <w:p w:rsidR="00024C0A" w:rsidRDefault="00694C0F">
            <w:pPr>
              <w:pStyle w:val="TableBodyText"/>
            </w:pPr>
            <w:r>
              <w:t>EditUndo</w:t>
            </w:r>
          </w:p>
        </w:tc>
        <w:tc>
          <w:tcPr>
            <w:tcW w:w="0" w:type="auto"/>
            <w:vAlign w:val="center"/>
          </w:tcPr>
          <w:p w:rsidR="00024C0A" w:rsidRDefault="00694C0F">
            <w:pPr>
              <w:pStyle w:val="TableBodyText"/>
            </w:pPr>
            <w:r>
              <w:t>006B</w:t>
            </w:r>
          </w:p>
        </w:tc>
      </w:tr>
      <w:tr w:rsidR="00024C0A" w:rsidTr="00024C0A">
        <w:tc>
          <w:tcPr>
            <w:tcW w:w="0" w:type="auto"/>
            <w:vAlign w:val="center"/>
          </w:tcPr>
          <w:p w:rsidR="00024C0A" w:rsidRDefault="00694C0F">
            <w:pPr>
              <w:pStyle w:val="TableBodyText"/>
            </w:pPr>
            <w:r>
              <w:t>EditUpdateIMEDic</w:t>
            </w:r>
          </w:p>
        </w:tc>
        <w:tc>
          <w:tcPr>
            <w:tcW w:w="0" w:type="auto"/>
            <w:vAlign w:val="center"/>
          </w:tcPr>
          <w:p w:rsidR="00024C0A" w:rsidRDefault="00694C0F">
            <w:pPr>
              <w:pStyle w:val="TableBodyText"/>
            </w:pPr>
            <w:r>
              <w:t>027E</w:t>
            </w:r>
          </w:p>
        </w:tc>
      </w:tr>
      <w:tr w:rsidR="00024C0A" w:rsidTr="00024C0A">
        <w:tc>
          <w:tcPr>
            <w:tcW w:w="0" w:type="auto"/>
            <w:vAlign w:val="center"/>
          </w:tcPr>
          <w:p w:rsidR="00024C0A" w:rsidRDefault="00694C0F">
            <w:pPr>
              <w:pStyle w:val="TableBodyText"/>
            </w:pPr>
            <w:r>
              <w:t>EditWrapBoundary</w:t>
            </w:r>
          </w:p>
        </w:tc>
        <w:tc>
          <w:tcPr>
            <w:tcW w:w="0" w:type="auto"/>
            <w:vAlign w:val="center"/>
          </w:tcPr>
          <w:p w:rsidR="00024C0A" w:rsidRDefault="00694C0F">
            <w:pPr>
              <w:pStyle w:val="TableBodyText"/>
            </w:pPr>
            <w:r>
              <w:t>03E3</w:t>
            </w:r>
          </w:p>
        </w:tc>
      </w:tr>
      <w:tr w:rsidR="00024C0A" w:rsidTr="00024C0A">
        <w:tc>
          <w:tcPr>
            <w:tcW w:w="0" w:type="auto"/>
            <w:vAlign w:val="center"/>
          </w:tcPr>
          <w:p w:rsidR="00024C0A" w:rsidRDefault="00694C0F">
            <w:pPr>
              <w:pStyle w:val="TableBodyText"/>
            </w:pPr>
            <w:r>
              <w:t>EmailAttachmentOptions</w:t>
            </w:r>
          </w:p>
        </w:tc>
        <w:tc>
          <w:tcPr>
            <w:tcW w:w="0" w:type="auto"/>
            <w:vAlign w:val="center"/>
          </w:tcPr>
          <w:p w:rsidR="00024C0A" w:rsidRDefault="00694C0F">
            <w:pPr>
              <w:pStyle w:val="TableBodyText"/>
            </w:pPr>
            <w:r>
              <w:t>05C5</w:t>
            </w:r>
          </w:p>
        </w:tc>
      </w:tr>
      <w:tr w:rsidR="00024C0A" w:rsidTr="00024C0A">
        <w:tc>
          <w:tcPr>
            <w:tcW w:w="0" w:type="auto"/>
            <w:vAlign w:val="center"/>
          </w:tcPr>
          <w:p w:rsidR="00024C0A" w:rsidRDefault="00694C0F">
            <w:pPr>
              <w:pStyle w:val="TableBodyText"/>
            </w:pPr>
            <w:r>
              <w:t>EmailCheckNames</w:t>
            </w:r>
          </w:p>
        </w:tc>
        <w:tc>
          <w:tcPr>
            <w:tcW w:w="0" w:type="auto"/>
            <w:vAlign w:val="center"/>
          </w:tcPr>
          <w:p w:rsidR="00024C0A" w:rsidRDefault="00694C0F">
            <w:pPr>
              <w:pStyle w:val="TableBodyText"/>
            </w:pPr>
            <w:r>
              <w:t>043C</w:t>
            </w:r>
          </w:p>
        </w:tc>
      </w:tr>
      <w:tr w:rsidR="00024C0A" w:rsidTr="00024C0A">
        <w:tc>
          <w:tcPr>
            <w:tcW w:w="0" w:type="auto"/>
            <w:vAlign w:val="center"/>
          </w:tcPr>
          <w:p w:rsidR="00024C0A" w:rsidRDefault="00694C0F">
            <w:pPr>
              <w:pStyle w:val="TableBodyText"/>
            </w:pPr>
            <w:r>
              <w:t>EmailChooseAccount</w:t>
            </w:r>
          </w:p>
        </w:tc>
        <w:tc>
          <w:tcPr>
            <w:tcW w:w="0" w:type="auto"/>
            <w:vAlign w:val="center"/>
          </w:tcPr>
          <w:p w:rsidR="00024C0A" w:rsidRDefault="00694C0F">
            <w:pPr>
              <w:pStyle w:val="TableBodyText"/>
            </w:pPr>
            <w:r>
              <w:t>05C4</w:t>
            </w:r>
          </w:p>
        </w:tc>
      </w:tr>
      <w:tr w:rsidR="00024C0A" w:rsidTr="00024C0A">
        <w:tc>
          <w:tcPr>
            <w:tcW w:w="0" w:type="auto"/>
            <w:vAlign w:val="center"/>
          </w:tcPr>
          <w:p w:rsidR="00024C0A" w:rsidRDefault="00694C0F">
            <w:pPr>
              <w:pStyle w:val="TableBodyText"/>
            </w:pPr>
            <w:r>
              <w:t>EmailEnvelope</w:t>
            </w:r>
          </w:p>
        </w:tc>
        <w:tc>
          <w:tcPr>
            <w:tcW w:w="0" w:type="auto"/>
            <w:vAlign w:val="center"/>
          </w:tcPr>
          <w:p w:rsidR="00024C0A" w:rsidRDefault="00694C0F">
            <w:pPr>
              <w:pStyle w:val="TableBodyText"/>
            </w:pPr>
            <w:r>
              <w:t>036B</w:t>
            </w:r>
          </w:p>
        </w:tc>
      </w:tr>
      <w:tr w:rsidR="00024C0A" w:rsidTr="00024C0A">
        <w:tc>
          <w:tcPr>
            <w:tcW w:w="0" w:type="auto"/>
            <w:vAlign w:val="center"/>
          </w:tcPr>
          <w:p w:rsidR="00024C0A" w:rsidRDefault="00694C0F">
            <w:pPr>
              <w:pStyle w:val="TableBodyText"/>
            </w:pPr>
            <w:r>
              <w:t>EmailFlag</w:t>
            </w:r>
          </w:p>
        </w:tc>
        <w:tc>
          <w:tcPr>
            <w:tcW w:w="0" w:type="auto"/>
            <w:vAlign w:val="center"/>
          </w:tcPr>
          <w:p w:rsidR="00024C0A" w:rsidRDefault="00694C0F">
            <w:pPr>
              <w:pStyle w:val="TableBodyText"/>
            </w:pPr>
            <w:r>
              <w:t>0442</w:t>
            </w:r>
          </w:p>
        </w:tc>
      </w:tr>
      <w:tr w:rsidR="00024C0A" w:rsidTr="00024C0A">
        <w:tc>
          <w:tcPr>
            <w:tcW w:w="0" w:type="auto"/>
            <w:vAlign w:val="center"/>
          </w:tcPr>
          <w:p w:rsidR="00024C0A" w:rsidRDefault="00694C0F">
            <w:pPr>
              <w:pStyle w:val="TableBodyText"/>
            </w:pPr>
            <w:r>
              <w:t>EmailFocusIntroduction</w:t>
            </w:r>
          </w:p>
        </w:tc>
        <w:tc>
          <w:tcPr>
            <w:tcW w:w="0" w:type="auto"/>
            <w:vAlign w:val="center"/>
          </w:tcPr>
          <w:p w:rsidR="00024C0A" w:rsidRDefault="00694C0F">
            <w:pPr>
              <w:pStyle w:val="TableBodyText"/>
            </w:pPr>
            <w:r>
              <w:t>0574</w:t>
            </w:r>
          </w:p>
        </w:tc>
      </w:tr>
      <w:tr w:rsidR="00024C0A" w:rsidTr="00024C0A">
        <w:tc>
          <w:tcPr>
            <w:tcW w:w="0" w:type="auto"/>
            <w:vAlign w:val="center"/>
          </w:tcPr>
          <w:p w:rsidR="00024C0A" w:rsidRDefault="00694C0F">
            <w:pPr>
              <w:pStyle w:val="TableBodyText"/>
            </w:pPr>
            <w:r>
              <w:t>EmailFocusSubject</w:t>
            </w:r>
          </w:p>
        </w:tc>
        <w:tc>
          <w:tcPr>
            <w:tcW w:w="0" w:type="auto"/>
            <w:vAlign w:val="center"/>
          </w:tcPr>
          <w:p w:rsidR="00024C0A" w:rsidRDefault="00694C0F">
            <w:pPr>
              <w:pStyle w:val="TableBodyText"/>
            </w:pPr>
            <w:r>
              <w:t>0440</w:t>
            </w:r>
          </w:p>
        </w:tc>
      </w:tr>
      <w:tr w:rsidR="00024C0A" w:rsidTr="00024C0A">
        <w:tc>
          <w:tcPr>
            <w:tcW w:w="0" w:type="auto"/>
            <w:vAlign w:val="center"/>
          </w:tcPr>
          <w:p w:rsidR="00024C0A" w:rsidRDefault="00694C0F">
            <w:pPr>
              <w:pStyle w:val="TableBodyText"/>
            </w:pPr>
            <w:r>
              <w:lastRenderedPageBreak/>
              <w:t>EmailMessageOptions</w:t>
            </w:r>
          </w:p>
        </w:tc>
        <w:tc>
          <w:tcPr>
            <w:tcW w:w="0" w:type="auto"/>
            <w:vAlign w:val="center"/>
          </w:tcPr>
          <w:p w:rsidR="00024C0A" w:rsidRDefault="00694C0F">
            <w:pPr>
              <w:pStyle w:val="TableBodyText"/>
            </w:pPr>
            <w:r>
              <w:t>0441</w:t>
            </w:r>
          </w:p>
        </w:tc>
      </w:tr>
      <w:tr w:rsidR="00024C0A" w:rsidTr="00024C0A">
        <w:tc>
          <w:tcPr>
            <w:tcW w:w="0" w:type="auto"/>
            <w:vAlign w:val="center"/>
          </w:tcPr>
          <w:p w:rsidR="00024C0A" w:rsidRDefault="00694C0F">
            <w:pPr>
              <w:pStyle w:val="TableBodyText"/>
            </w:pPr>
            <w:r>
              <w:t>EmailOptions</w:t>
            </w:r>
          </w:p>
        </w:tc>
        <w:tc>
          <w:tcPr>
            <w:tcW w:w="0" w:type="auto"/>
            <w:vAlign w:val="center"/>
          </w:tcPr>
          <w:p w:rsidR="00024C0A" w:rsidRDefault="00694C0F">
            <w:pPr>
              <w:pStyle w:val="TableBodyText"/>
            </w:pPr>
            <w:r>
              <w:t>035F</w:t>
            </w:r>
          </w:p>
        </w:tc>
      </w:tr>
      <w:tr w:rsidR="00024C0A" w:rsidTr="00024C0A">
        <w:tc>
          <w:tcPr>
            <w:tcW w:w="0" w:type="auto"/>
            <w:vAlign w:val="center"/>
          </w:tcPr>
          <w:p w:rsidR="00024C0A" w:rsidRDefault="00694C0F">
            <w:pPr>
              <w:pStyle w:val="TableBodyText"/>
            </w:pPr>
            <w:r>
              <w:t>EmailSaveAttachment</w:t>
            </w:r>
          </w:p>
        </w:tc>
        <w:tc>
          <w:tcPr>
            <w:tcW w:w="0" w:type="auto"/>
            <w:vAlign w:val="center"/>
          </w:tcPr>
          <w:p w:rsidR="00024C0A" w:rsidRDefault="00694C0F">
            <w:pPr>
              <w:pStyle w:val="TableBodyText"/>
            </w:pPr>
            <w:r>
              <w:t>0443</w:t>
            </w:r>
          </w:p>
        </w:tc>
      </w:tr>
      <w:tr w:rsidR="00024C0A" w:rsidTr="00024C0A">
        <w:tc>
          <w:tcPr>
            <w:tcW w:w="0" w:type="auto"/>
            <w:vAlign w:val="center"/>
          </w:tcPr>
          <w:p w:rsidR="00024C0A" w:rsidRDefault="00694C0F">
            <w:pPr>
              <w:pStyle w:val="TableBodyText"/>
            </w:pPr>
            <w:r>
              <w:t>EmailSelectBccNames</w:t>
            </w:r>
          </w:p>
        </w:tc>
        <w:tc>
          <w:tcPr>
            <w:tcW w:w="0" w:type="auto"/>
            <w:vAlign w:val="center"/>
          </w:tcPr>
          <w:p w:rsidR="00024C0A" w:rsidRDefault="00694C0F">
            <w:pPr>
              <w:pStyle w:val="TableBodyText"/>
            </w:pPr>
            <w:r>
              <w:t>043F</w:t>
            </w:r>
          </w:p>
        </w:tc>
      </w:tr>
      <w:tr w:rsidR="00024C0A" w:rsidTr="00024C0A">
        <w:tc>
          <w:tcPr>
            <w:tcW w:w="0" w:type="auto"/>
            <w:vAlign w:val="center"/>
          </w:tcPr>
          <w:p w:rsidR="00024C0A" w:rsidRDefault="00694C0F">
            <w:pPr>
              <w:pStyle w:val="TableBodyText"/>
            </w:pPr>
            <w:r>
              <w:t>EmailSelectCcNames</w:t>
            </w:r>
          </w:p>
        </w:tc>
        <w:tc>
          <w:tcPr>
            <w:tcW w:w="0" w:type="auto"/>
            <w:vAlign w:val="center"/>
          </w:tcPr>
          <w:p w:rsidR="00024C0A" w:rsidRDefault="00694C0F">
            <w:pPr>
              <w:pStyle w:val="TableBodyText"/>
            </w:pPr>
            <w:r>
              <w:t>043E</w:t>
            </w:r>
          </w:p>
        </w:tc>
      </w:tr>
      <w:tr w:rsidR="00024C0A" w:rsidTr="00024C0A">
        <w:tc>
          <w:tcPr>
            <w:tcW w:w="0" w:type="auto"/>
            <w:vAlign w:val="center"/>
          </w:tcPr>
          <w:p w:rsidR="00024C0A" w:rsidRDefault="00694C0F">
            <w:pPr>
              <w:pStyle w:val="TableBodyText"/>
            </w:pPr>
            <w:r>
              <w:t>EmailSelectNames</w:t>
            </w:r>
          </w:p>
        </w:tc>
        <w:tc>
          <w:tcPr>
            <w:tcW w:w="0" w:type="auto"/>
            <w:vAlign w:val="center"/>
          </w:tcPr>
          <w:p w:rsidR="00024C0A" w:rsidRDefault="00694C0F">
            <w:pPr>
              <w:pStyle w:val="TableBodyText"/>
            </w:pPr>
            <w:r>
              <w:t>043B</w:t>
            </w:r>
          </w:p>
        </w:tc>
      </w:tr>
      <w:tr w:rsidR="00024C0A" w:rsidTr="00024C0A">
        <w:tc>
          <w:tcPr>
            <w:tcW w:w="0" w:type="auto"/>
            <w:vAlign w:val="center"/>
          </w:tcPr>
          <w:p w:rsidR="00024C0A" w:rsidRDefault="00694C0F">
            <w:pPr>
              <w:pStyle w:val="TableBodyText"/>
            </w:pPr>
            <w:r>
              <w:t>EmailSelectToNames</w:t>
            </w:r>
          </w:p>
        </w:tc>
        <w:tc>
          <w:tcPr>
            <w:tcW w:w="0" w:type="auto"/>
            <w:vAlign w:val="center"/>
          </w:tcPr>
          <w:p w:rsidR="00024C0A" w:rsidRDefault="00694C0F">
            <w:pPr>
              <w:pStyle w:val="TableBodyText"/>
            </w:pPr>
            <w:r>
              <w:t>043D</w:t>
            </w:r>
          </w:p>
        </w:tc>
      </w:tr>
      <w:tr w:rsidR="00024C0A" w:rsidTr="00024C0A">
        <w:tc>
          <w:tcPr>
            <w:tcW w:w="0" w:type="auto"/>
            <w:vAlign w:val="center"/>
          </w:tcPr>
          <w:p w:rsidR="00024C0A" w:rsidRDefault="00694C0F">
            <w:pPr>
              <w:pStyle w:val="TableBodyText"/>
            </w:pPr>
            <w:r>
              <w:t>EmailSend</w:t>
            </w:r>
          </w:p>
        </w:tc>
        <w:tc>
          <w:tcPr>
            <w:tcW w:w="0" w:type="auto"/>
            <w:vAlign w:val="center"/>
          </w:tcPr>
          <w:p w:rsidR="00024C0A" w:rsidRDefault="00694C0F">
            <w:pPr>
              <w:pStyle w:val="TableBodyText"/>
            </w:pPr>
            <w:r>
              <w:t>043A</w:t>
            </w:r>
          </w:p>
        </w:tc>
      </w:tr>
      <w:tr w:rsidR="00024C0A" w:rsidTr="00024C0A">
        <w:tc>
          <w:tcPr>
            <w:tcW w:w="0" w:type="auto"/>
            <w:vAlign w:val="center"/>
          </w:tcPr>
          <w:p w:rsidR="00024C0A" w:rsidRDefault="00694C0F">
            <w:pPr>
              <w:pStyle w:val="TableBodyText"/>
            </w:pPr>
            <w:r>
              <w:t>EmailSignatureOptions</w:t>
            </w:r>
          </w:p>
        </w:tc>
        <w:tc>
          <w:tcPr>
            <w:tcW w:w="0" w:type="auto"/>
            <w:vAlign w:val="center"/>
          </w:tcPr>
          <w:p w:rsidR="00024C0A" w:rsidRDefault="00694C0F">
            <w:pPr>
              <w:pStyle w:val="TableBodyText"/>
            </w:pPr>
            <w:r>
              <w:t>035E</w:t>
            </w:r>
          </w:p>
        </w:tc>
      </w:tr>
      <w:tr w:rsidR="00024C0A" w:rsidTr="00024C0A">
        <w:tc>
          <w:tcPr>
            <w:tcW w:w="0" w:type="auto"/>
            <w:vAlign w:val="center"/>
          </w:tcPr>
          <w:p w:rsidR="00024C0A" w:rsidRDefault="00694C0F">
            <w:pPr>
              <w:pStyle w:val="TableBodyText"/>
            </w:pPr>
            <w:r>
              <w:t>EmailStationeryOptions</w:t>
            </w:r>
          </w:p>
        </w:tc>
        <w:tc>
          <w:tcPr>
            <w:tcW w:w="0" w:type="auto"/>
            <w:vAlign w:val="center"/>
          </w:tcPr>
          <w:p w:rsidR="00024C0A" w:rsidRDefault="00694C0F">
            <w:pPr>
              <w:pStyle w:val="TableBodyText"/>
            </w:pPr>
            <w:r>
              <w:t>0884</w:t>
            </w:r>
          </w:p>
        </w:tc>
      </w:tr>
      <w:tr w:rsidR="00024C0A" w:rsidTr="00024C0A">
        <w:tc>
          <w:tcPr>
            <w:tcW w:w="0" w:type="auto"/>
            <w:vAlign w:val="center"/>
          </w:tcPr>
          <w:p w:rsidR="00024C0A" w:rsidRDefault="00694C0F">
            <w:pPr>
              <w:pStyle w:val="TableBodyText"/>
            </w:pPr>
            <w:r>
              <w:t>EndOfColumn</w:t>
            </w:r>
          </w:p>
        </w:tc>
        <w:tc>
          <w:tcPr>
            <w:tcW w:w="0" w:type="auto"/>
            <w:vAlign w:val="center"/>
          </w:tcPr>
          <w:p w:rsidR="00024C0A" w:rsidRDefault="00694C0F">
            <w:pPr>
              <w:pStyle w:val="TableBodyText"/>
            </w:pPr>
            <w:r>
              <w:t>0113</w:t>
            </w:r>
          </w:p>
        </w:tc>
      </w:tr>
      <w:tr w:rsidR="00024C0A" w:rsidTr="00024C0A">
        <w:tc>
          <w:tcPr>
            <w:tcW w:w="0" w:type="auto"/>
            <w:vAlign w:val="center"/>
          </w:tcPr>
          <w:p w:rsidR="00024C0A" w:rsidRDefault="00694C0F">
            <w:pPr>
              <w:pStyle w:val="TableBodyText"/>
            </w:pPr>
            <w:r>
              <w:t>EndOfDocExtend</w:t>
            </w:r>
          </w:p>
        </w:tc>
        <w:tc>
          <w:tcPr>
            <w:tcW w:w="0" w:type="auto"/>
            <w:vAlign w:val="center"/>
          </w:tcPr>
          <w:p w:rsidR="00024C0A" w:rsidRDefault="00694C0F">
            <w:pPr>
              <w:pStyle w:val="TableBodyText"/>
            </w:pPr>
            <w:r>
              <w:t>0FC3</w:t>
            </w:r>
          </w:p>
        </w:tc>
      </w:tr>
      <w:tr w:rsidR="00024C0A" w:rsidTr="00024C0A">
        <w:tc>
          <w:tcPr>
            <w:tcW w:w="0" w:type="auto"/>
            <w:vAlign w:val="center"/>
          </w:tcPr>
          <w:p w:rsidR="00024C0A" w:rsidRDefault="00694C0F">
            <w:pPr>
              <w:pStyle w:val="TableBodyText"/>
            </w:pPr>
            <w:r>
              <w:t>EndOfDocument</w:t>
            </w:r>
          </w:p>
        </w:tc>
        <w:tc>
          <w:tcPr>
            <w:tcW w:w="0" w:type="auto"/>
            <w:vAlign w:val="center"/>
          </w:tcPr>
          <w:p w:rsidR="00024C0A" w:rsidRDefault="00694C0F">
            <w:pPr>
              <w:pStyle w:val="TableBodyText"/>
            </w:pPr>
            <w:r>
              <w:t>0FB1</w:t>
            </w:r>
          </w:p>
        </w:tc>
      </w:tr>
      <w:tr w:rsidR="00024C0A" w:rsidTr="00024C0A">
        <w:tc>
          <w:tcPr>
            <w:tcW w:w="0" w:type="auto"/>
            <w:vAlign w:val="center"/>
          </w:tcPr>
          <w:p w:rsidR="00024C0A" w:rsidRDefault="00694C0F">
            <w:pPr>
              <w:pStyle w:val="TableBodyText"/>
            </w:pPr>
            <w:r>
              <w:t>EndOfLine</w:t>
            </w:r>
          </w:p>
        </w:tc>
        <w:tc>
          <w:tcPr>
            <w:tcW w:w="0" w:type="auto"/>
            <w:vAlign w:val="center"/>
          </w:tcPr>
          <w:p w:rsidR="00024C0A" w:rsidRDefault="00694C0F">
            <w:pPr>
              <w:pStyle w:val="TableBodyText"/>
            </w:pPr>
            <w:r>
              <w:t>0FAD</w:t>
            </w:r>
          </w:p>
        </w:tc>
      </w:tr>
      <w:tr w:rsidR="00024C0A" w:rsidTr="00024C0A">
        <w:tc>
          <w:tcPr>
            <w:tcW w:w="0" w:type="auto"/>
            <w:vAlign w:val="center"/>
          </w:tcPr>
          <w:p w:rsidR="00024C0A" w:rsidRDefault="00694C0F">
            <w:pPr>
              <w:pStyle w:val="TableBodyText"/>
            </w:pPr>
            <w:r>
              <w:t>EndOfLineExtend</w:t>
            </w:r>
          </w:p>
        </w:tc>
        <w:tc>
          <w:tcPr>
            <w:tcW w:w="0" w:type="auto"/>
            <w:vAlign w:val="center"/>
          </w:tcPr>
          <w:p w:rsidR="00024C0A" w:rsidRDefault="00694C0F">
            <w:pPr>
              <w:pStyle w:val="TableBodyText"/>
            </w:pPr>
            <w:r>
              <w:t>0FBF</w:t>
            </w:r>
          </w:p>
        </w:tc>
      </w:tr>
      <w:tr w:rsidR="00024C0A" w:rsidTr="00024C0A">
        <w:tc>
          <w:tcPr>
            <w:tcW w:w="0" w:type="auto"/>
            <w:vAlign w:val="center"/>
          </w:tcPr>
          <w:p w:rsidR="00024C0A" w:rsidRDefault="00694C0F">
            <w:pPr>
              <w:pStyle w:val="TableBodyText"/>
            </w:pPr>
            <w:r>
              <w:t>EndOfRow</w:t>
            </w:r>
          </w:p>
        </w:tc>
        <w:tc>
          <w:tcPr>
            <w:tcW w:w="0" w:type="auto"/>
            <w:vAlign w:val="center"/>
          </w:tcPr>
          <w:p w:rsidR="00024C0A" w:rsidRDefault="00694C0F">
            <w:pPr>
              <w:pStyle w:val="TableBodyText"/>
            </w:pPr>
            <w:r>
              <w:t>0111</w:t>
            </w:r>
          </w:p>
        </w:tc>
      </w:tr>
      <w:tr w:rsidR="00024C0A" w:rsidTr="00024C0A">
        <w:tc>
          <w:tcPr>
            <w:tcW w:w="0" w:type="auto"/>
            <w:vAlign w:val="center"/>
          </w:tcPr>
          <w:p w:rsidR="00024C0A" w:rsidRDefault="00694C0F">
            <w:pPr>
              <w:pStyle w:val="TableBodyText"/>
            </w:pPr>
            <w:r>
              <w:t>EndOfWindow</w:t>
            </w:r>
          </w:p>
        </w:tc>
        <w:tc>
          <w:tcPr>
            <w:tcW w:w="0" w:type="auto"/>
            <w:vAlign w:val="center"/>
          </w:tcPr>
          <w:p w:rsidR="00024C0A" w:rsidRDefault="00694C0F">
            <w:pPr>
              <w:pStyle w:val="TableBodyText"/>
            </w:pPr>
            <w:r>
              <w:t>0FAF</w:t>
            </w:r>
          </w:p>
        </w:tc>
      </w:tr>
      <w:tr w:rsidR="00024C0A" w:rsidTr="00024C0A">
        <w:tc>
          <w:tcPr>
            <w:tcW w:w="0" w:type="auto"/>
            <w:vAlign w:val="center"/>
          </w:tcPr>
          <w:p w:rsidR="00024C0A" w:rsidRDefault="00694C0F">
            <w:pPr>
              <w:pStyle w:val="TableBodyText"/>
            </w:pPr>
            <w:r>
              <w:t>EndOfWindowExtend</w:t>
            </w:r>
          </w:p>
        </w:tc>
        <w:tc>
          <w:tcPr>
            <w:tcW w:w="0" w:type="auto"/>
            <w:vAlign w:val="center"/>
          </w:tcPr>
          <w:p w:rsidR="00024C0A" w:rsidRDefault="00694C0F">
            <w:pPr>
              <w:pStyle w:val="TableBodyText"/>
            </w:pPr>
            <w:r>
              <w:t>0FC1</w:t>
            </w:r>
          </w:p>
        </w:tc>
      </w:tr>
      <w:tr w:rsidR="00024C0A" w:rsidTr="00024C0A">
        <w:tc>
          <w:tcPr>
            <w:tcW w:w="0" w:type="auto"/>
            <w:vAlign w:val="center"/>
          </w:tcPr>
          <w:p w:rsidR="00024C0A" w:rsidRDefault="00694C0F">
            <w:pPr>
              <w:pStyle w:val="TableBodyText"/>
            </w:pPr>
            <w:r>
              <w:t>EndReview</w:t>
            </w:r>
          </w:p>
        </w:tc>
        <w:tc>
          <w:tcPr>
            <w:tcW w:w="0" w:type="auto"/>
            <w:vAlign w:val="center"/>
          </w:tcPr>
          <w:p w:rsidR="00024C0A" w:rsidRDefault="00694C0F">
            <w:pPr>
              <w:pStyle w:val="TableBodyText"/>
            </w:pPr>
            <w:r>
              <w:t>04F6</w:t>
            </w:r>
          </w:p>
        </w:tc>
      </w:tr>
      <w:tr w:rsidR="00024C0A" w:rsidTr="00024C0A">
        <w:tc>
          <w:tcPr>
            <w:tcW w:w="0" w:type="auto"/>
            <w:vAlign w:val="center"/>
          </w:tcPr>
          <w:p w:rsidR="00024C0A" w:rsidRDefault="00694C0F">
            <w:pPr>
              <w:pStyle w:val="TableBodyText"/>
            </w:pPr>
            <w:r>
              <w:t>EngWritingAssistant</w:t>
            </w:r>
          </w:p>
        </w:tc>
        <w:tc>
          <w:tcPr>
            <w:tcW w:w="0" w:type="auto"/>
            <w:vAlign w:val="center"/>
          </w:tcPr>
          <w:p w:rsidR="00024C0A" w:rsidRDefault="00694C0F">
            <w:pPr>
              <w:pStyle w:val="TableBodyText"/>
            </w:pPr>
            <w:r>
              <w:t>0910</w:t>
            </w:r>
          </w:p>
        </w:tc>
      </w:tr>
      <w:tr w:rsidR="00024C0A" w:rsidTr="00024C0A">
        <w:tc>
          <w:tcPr>
            <w:tcW w:w="0" w:type="auto"/>
            <w:vAlign w:val="center"/>
          </w:tcPr>
          <w:p w:rsidR="00024C0A" w:rsidRDefault="00694C0F">
            <w:pPr>
              <w:pStyle w:val="TableBodyText"/>
            </w:pPr>
            <w:r>
              <w:t>EnvelopeSetup</w:t>
            </w:r>
          </w:p>
        </w:tc>
        <w:tc>
          <w:tcPr>
            <w:tcW w:w="0" w:type="auto"/>
            <w:vAlign w:val="center"/>
          </w:tcPr>
          <w:p w:rsidR="00024C0A" w:rsidRDefault="00694C0F">
            <w:pPr>
              <w:pStyle w:val="TableBodyText"/>
            </w:pPr>
            <w:r>
              <w:t>0558</w:t>
            </w:r>
          </w:p>
        </w:tc>
      </w:tr>
      <w:tr w:rsidR="00024C0A" w:rsidTr="00024C0A">
        <w:tc>
          <w:tcPr>
            <w:tcW w:w="0" w:type="auto"/>
            <w:vAlign w:val="center"/>
          </w:tcPr>
          <w:p w:rsidR="00024C0A" w:rsidRDefault="00694C0F">
            <w:pPr>
              <w:pStyle w:val="TableBodyText"/>
            </w:pPr>
            <w:r>
              <w:t>EnvelopeWizard</w:t>
            </w:r>
          </w:p>
        </w:tc>
        <w:tc>
          <w:tcPr>
            <w:tcW w:w="0" w:type="auto"/>
            <w:vAlign w:val="center"/>
          </w:tcPr>
          <w:p w:rsidR="00024C0A" w:rsidRDefault="00694C0F">
            <w:pPr>
              <w:pStyle w:val="TableBodyText"/>
            </w:pPr>
            <w:r>
              <w:t>0497</w:t>
            </w:r>
          </w:p>
        </w:tc>
      </w:tr>
      <w:tr w:rsidR="00024C0A" w:rsidTr="00024C0A">
        <w:tc>
          <w:tcPr>
            <w:tcW w:w="0" w:type="auto"/>
            <w:vAlign w:val="center"/>
          </w:tcPr>
          <w:p w:rsidR="00024C0A" w:rsidRDefault="00694C0F">
            <w:pPr>
              <w:pStyle w:val="TableBodyText"/>
            </w:pPr>
            <w:r>
              <w:t>EquationAccentGallery</w:t>
            </w:r>
          </w:p>
        </w:tc>
        <w:tc>
          <w:tcPr>
            <w:tcW w:w="0" w:type="auto"/>
            <w:vAlign w:val="center"/>
          </w:tcPr>
          <w:p w:rsidR="00024C0A" w:rsidRDefault="00694C0F">
            <w:pPr>
              <w:pStyle w:val="TableBodyText"/>
            </w:pPr>
            <w:r>
              <w:t>088D</w:t>
            </w:r>
          </w:p>
        </w:tc>
      </w:tr>
      <w:tr w:rsidR="00024C0A" w:rsidTr="00024C0A">
        <w:tc>
          <w:tcPr>
            <w:tcW w:w="0" w:type="auto"/>
            <w:vAlign w:val="center"/>
          </w:tcPr>
          <w:p w:rsidR="00024C0A" w:rsidRDefault="00694C0F">
            <w:pPr>
              <w:pStyle w:val="TableBodyText"/>
            </w:pPr>
            <w:r>
              <w:t>EquationAlignAtEquals</w:t>
            </w:r>
          </w:p>
        </w:tc>
        <w:tc>
          <w:tcPr>
            <w:tcW w:w="0" w:type="auto"/>
            <w:vAlign w:val="center"/>
          </w:tcPr>
          <w:p w:rsidR="00024C0A" w:rsidRDefault="00694C0F">
            <w:pPr>
              <w:pStyle w:val="TableBodyText"/>
            </w:pPr>
            <w:r>
              <w:t>0883</w:t>
            </w:r>
          </w:p>
        </w:tc>
      </w:tr>
      <w:tr w:rsidR="00024C0A" w:rsidTr="00024C0A">
        <w:tc>
          <w:tcPr>
            <w:tcW w:w="0" w:type="auto"/>
            <w:vAlign w:val="center"/>
          </w:tcPr>
          <w:p w:rsidR="00024C0A" w:rsidRDefault="00694C0F">
            <w:pPr>
              <w:pStyle w:val="TableBodyText"/>
            </w:pPr>
            <w:r>
              <w:t>EquationAlignThisCharacter</w:t>
            </w:r>
          </w:p>
        </w:tc>
        <w:tc>
          <w:tcPr>
            <w:tcW w:w="0" w:type="auto"/>
            <w:vAlign w:val="center"/>
          </w:tcPr>
          <w:p w:rsidR="00024C0A" w:rsidRDefault="00694C0F">
            <w:pPr>
              <w:pStyle w:val="TableBodyText"/>
            </w:pPr>
            <w:r>
              <w:t>0882</w:t>
            </w:r>
          </w:p>
        </w:tc>
      </w:tr>
      <w:tr w:rsidR="00024C0A" w:rsidTr="00024C0A">
        <w:tc>
          <w:tcPr>
            <w:tcW w:w="0" w:type="auto"/>
            <w:vAlign w:val="center"/>
          </w:tcPr>
          <w:p w:rsidR="00024C0A" w:rsidRDefault="00694C0F">
            <w:pPr>
              <w:pStyle w:val="TableBodyText"/>
            </w:pPr>
            <w:r>
              <w:t>EquationArrayExpansion</w:t>
            </w:r>
          </w:p>
        </w:tc>
        <w:tc>
          <w:tcPr>
            <w:tcW w:w="0" w:type="auto"/>
            <w:vAlign w:val="center"/>
          </w:tcPr>
          <w:p w:rsidR="00024C0A" w:rsidRDefault="00694C0F">
            <w:pPr>
              <w:pStyle w:val="TableBodyText"/>
            </w:pPr>
            <w:r>
              <w:t>0871</w:t>
            </w:r>
          </w:p>
        </w:tc>
      </w:tr>
      <w:tr w:rsidR="00024C0A" w:rsidTr="00024C0A">
        <w:tc>
          <w:tcPr>
            <w:tcW w:w="0" w:type="auto"/>
            <w:vAlign w:val="center"/>
          </w:tcPr>
          <w:p w:rsidR="00024C0A" w:rsidRDefault="00694C0F">
            <w:pPr>
              <w:pStyle w:val="TableBodyText"/>
            </w:pPr>
            <w:r>
              <w:t>EquationAutoProfessionalFormat</w:t>
            </w:r>
          </w:p>
        </w:tc>
        <w:tc>
          <w:tcPr>
            <w:tcW w:w="0" w:type="auto"/>
            <w:vAlign w:val="center"/>
          </w:tcPr>
          <w:p w:rsidR="00024C0A" w:rsidRDefault="00694C0F">
            <w:pPr>
              <w:pStyle w:val="TableBodyText"/>
            </w:pPr>
            <w:r>
              <w:t>07D4</w:t>
            </w:r>
          </w:p>
        </w:tc>
      </w:tr>
      <w:tr w:rsidR="00024C0A" w:rsidTr="00024C0A">
        <w:tc>
          <w:tcPr>
            <w:tcW w:w="0" w:type="auto"/>
            <w:vAlign w:val="center"/>
          </w:tcPr>
          <w:p w:rsidR="00024C0A" w:rsidRDefault="00694C0F">
            <w:pPr>
              <w:pStyle w:val="TableBodyText"/>
            </w:pPr>
            <w:r>
              <w:t>EquationBarLocation</w:t>
            </w:r>
          </w:p>
        </w:tc>
        <w:tc>
          <w:tcPr>
            <w:tcW w:w="0" w:type="auto"/>
            <w:vAlign w:val="center"/>
          </w:tcPr>
          <w:p w:rsidR="00024C0A" w:rsidRDefault="00694C0F">
            <w:pPr>
              <w:pStyle w:val="TableBodyText"/>
            </w:pPr>
            <w:r>
              <w:t>086E</w:t>
            </w:r>
          </w:p>
        </w:tc>
      </w:tr>
      <w:tr w:rsidR="00024C0A" w:rsidTr="00024C0A">
        <w:tc>
          <w:tcPr>
            <w:tcW w:w="0" w:type="auto"/>
            <w:vAlign w:val="center"/>
          </w:tcPr>
          <w:p w:rsidR="00024C0A" w:rsidRDefault="00694C0F">
            <w:pPr>
              <w:pStyle w:val="TableBodyText"/>
            </w:pPr>
            <w:r>
              <w:t>EquationBorderPropertiesMenu</w:t>
            </w:r>
          </w:p>
        </w:tc>
        <w:tc>
          <w:tcPr>
            <w:tcW w:w="0" w:type="auto"/>
            <w:vAlign w:val="center"/>
          </w:tcPr>
          <w:p w:rsidR="00024C0A" w:rsidRDefault="00694C0F">
            <w:pPr>
              <w:pStyle w:val="TableBodyText"/>
            </w:pPr>
            <w:r>
              <w:t>16CA</w:t>
            </w:r>
          </w:p>
        </w:tc>
      </w:tr>
      <w:tr w:rsidR="00024C0A" w:rsidTr="00024C0A">
        <w:tc>
          <w:tcPr>
            <w:tcW w:w="0" w:type="auto"/>
            <w:vAlign w:val="center"/>
          </w:tcPr>
          <w:p w:rsidR="00024C0A" w:rsidRDefault="00694C0F">
            <w:pPr>
              <w:pStyle w:val="TableBodyText"/>
            </w:pPr>
            <w:r>
              <w:t>EquationCenteredAsGroupJustification</w:t>
            </w:r>
          </w:p>
        </w:tc>
        <w:tc>
          <w:tcPr>
            <w:tcW w:w="0" w:type="auto"/>
            <w:vAlign w:val="center"/>
          </w:tcPr>
          <w:p w:rsidR="00024C0A" w:rsidRDefault="00694C0F">
            <w:pPr>
              <w:pStyle w:val="TableBodyText"/>
            </w:pPr>
            <w:r>
              <w:t>08EE</w:t>
            </w:r>
          </w:p>
        </w:tc>
      </w:tr>
      <w:tr w:rsidR="00024C0A" w:rsidTr="00024C0A">
        <w:tc>
          <w:tcPr>
            <w:tcW w:w="0" w:type="auto"/>
            <w:vAlign w:val="center"/>
          </w:tcPr>
          <w:p w:rsidR="00024C0A" w:rsidRDefault="00694C0F">
            <w:pPr>
              <w:pStyle w:val="TableBodyText"/>
            </w:pPr>
            <w:r>
              <w:t>EquationCenteredJustification</w:t>
            </w:r>
          </w:p>
        </w:tc>
        <w:tc>
          <w:tcPr>
            <w:tcW w:w="0" w:type="auto"/>
            <w:vAlign w:val="center"/>
          </w:tcPr>
          <w:p w:rsidR="00024C0A" w:rsidRDefault="00694C0F">
            <w:pPr>
              <w:pStyle w:val="TableBodyText"/>
            </w:pPr>
            <w:r>
              <w:t>08ED</w:t>
            </w:r>
          </w:p>
        </w:tc>
      </w:tr>
      <w:tr w:rsidR="00024C0A" w:rsidTr="00024C0A">
        <w:tc>
          <w:tcPr>
            <w:tcW w:w="0" w:type="auto"/>
            <w:vAlign w:val="center"/>
          </w:tcPr>
          <w:p w:rsidR="00024C0A" w:rsidRDefault="00694C0F">
            <w:pPr>
              <w:pStyle w:val="TableBodyText"/>
            </w:pPr>
            <w:r>
              <w:t>EquationChangeStyle</w:t>
            </w:r>
          </w:p>
        </w:tc>
        <w:tc>
          <w:tcPr>
            <w:tcW w:w="0" w:type="auto"/>
            <w:vAlign w:val="center"/>
          </w:tcPr>
          <w:p w:rsidR="00024C0A" w:rsidRDefault="00694C0F">
            <w:pPr>
              <w:pStyle w:val="TableBodyText"/>
            </w:pPr>
            <w:r>
              <w:t>07BF</w:t>
            </w:r>
          </w:p>
        </w:tc>
      </w:tr>
      <w:tr w:rsidR="00024C0A" w:rsidTr="00024C0A">
        <w:tc>
          <w:tcPr>
            <w:tcW w:w="0" w:type="auto"/>
            <w:vAlign w:val="center"/>
          </w:tcPr>
          <w:p w:rsidR="00024C0A" w:rsidRDefault="00694C0F">
            <w:pPr>
              <w:pStyle w:val="TableBodyText"/>
            </w:pPr>
            <w:r>
              <w:lastRenderedPageBreak/>
              <w:t>EquationDecreaseAlignment</w:t>
            </w:r>
          </w:p>
        </w:tc>
        <w:tc>
          <w:tcPr>
            <w:tcW w:w="0" w:type="auto"/>
            <w:vAlign w:val="center"/>
          </w:tcPr>
          <w:p w:rsidR="00024C0A" w:rsidRDefault="00694C0F">
            <w:pPr>
              <w:pStyle w:val="TableBodyText"/>
            </w:pPr>
            <w:r>
              <w:t>07BE</w:t>
            </w:r>
          </w:p>
        </w:tc>
      </w:tr>
      <w:tr w:rsidR="00024C0A" w:rsidTr="00024C0A">
        <w:tc>
          <w:tcPr>
            <w:tcW w:w="0" w:type="auto"/>
            <w:vAlign w:val="center"/>
          </w:tcPr>
          <w:p w:rsidR="00024C0A" w:rsidRDefault="00694C0F">
            <w:pPr>
              <w:pStyle w:val="TableBodyText"/>
            </w:pPr>
            <w:r>
              <w:t>EquationDecreaseArgumentSize</w:t>
            </w:r>
          </w:p>
        </w:tc>
        <w:tc>
          <w:tcPr>
            <w:tcW w:w="0" w:type="auto"/>
            <w:vAlign w:val="center"/>
          </w:tcPr>
          <w:p w:rsidR="00024C0A" w:rsidRDefault="00694C0F">
            <w:pPr>
              <w:pStyle w:val="TableBodyText"/>
            </w:pPr>
            <w:r>
              <w:t>0874</w:t>
            </w:r>
          </w:p>
        </w:tc>
      </w:tr>
      <w:tr w:rsidR="00024C0A" w:rsidTr="00024C0A">
        <w:tc>
          <w:tcPr>
            <w:tcW w:w="0" w:type="auto"/>
            <w:vAlign w:val="center"/>
          </w:tcPr>
          <w:p w:rsidR="00024C0A" w:rsidRDefault="00694C0F">
            <w:pPr>
              <w:pStyle w:val="TableBodyText"/>
            </w:pPr>
            <w:r>
              <w:t>EquationDeleteArgument</w:t>
            </w:r>
          </w:p>
        </w:tc>
        <w:tc>
          <w:tcPr>
            <w:tcW w:w="0" w:type="auto"/>
            <w:vAlign w:val="center"/>
          </w:tcPr>
          <w:p w:rsidR="00024C0A" w:rsidRDefault="00694C0F">
            <w:pPr>
              <w:pStyle w:val="TableBodyText"/>
            </w:pPr>
            <w:r>
              <w:t>085E</w:t>
            </w:r>
          </w:p>
        </w:tc>
      </w:tr>
      <w:tr w:rsidR="00024C0A" w:rsidTr="00024C0A">
        <w:tc>
          <w:tcPr>
            <w:tcW w:w="0" w:type="auto"/>
            <w:vAlign w:val="center"/>
          </w:tcPr>
          <w:p w:rsidR="00024C0A" w:rsidRDefault="00694C0F">
            <w:pPr>
              <w:pStyle w:val="TableBodyText"/>
            </w:pPr>
            <w:r>
              <w:t>EquationDeleteColumn</w:t>
            </w:r>
          </w:p>
        </w:tc>
        <w:tc>
          <w:tcPr>
            <w:tcW w:w="0" w:type="auto"/>
            <w:vAlign w:val="center"/>
          </w:tcPr>
          <w:p w:rsidR="00024C0A" w:rsidRDefault="00694C0F">
            <w:pPr>
              <w:pStyle w:val="TableBodyText"/>
            </w:pPr>
            <w:r>
              <w:t>07C8</w:t>
            </w:r>
          </w:p>
        </w:tc>
      </w:tr>
      <w:tr w:rsidR="00024C0A" w:rsidTr="00024C0A">
        <w:tc>
          <w:tcPr>
            <w:tcW w:w="0" w:type="auto"/>
            <w:vAlign w:val="center"/>
          </w:tcPr>
          <w:p w:rsidR="00024C0A" w:rsidRDefault="00694C0F">
            <w:pPr>
              <w:pStyle w:val="TableBodyText"/>
            </w:pPr>
            <w:r>
              <w:t>EquationDeleteMenu</w:t>
            </w:r>
          </w:p>
        </w:tc>
        <w:tc>
          <w:tcPr>
            <w:tcW w:w="0" w:type="auto"/>
            <w:vAlign w:val="center"/>
          </w:tcPr>
          <w:p w:rsidR="00024C0A" w:rsidRDefault="00694C0F">
            <w:pPr>
              <w:pStyle w:val="TableBodyText"/>
            </w:pPr>
            <w:r>
              <w:t>16C9</w:t>
            </w:r>
          </w:p>
        </w:tc>
      </w:tr>
      <w:tr w:rsidR="00024C0A" w:rsidTr="00024C0A">
        <w:tc>
          <w:tcPr>
            <w:tcW w:w="0" w:type="auto"/>
            <w:vAlign w:val="center"/>
          </w:tcPr>
          <w:p w:rsidR="00024C0A" w:rsidRDefault="00694C0F">
            <w:pPr>
              <w:pStyle w:val="TableBodyText"/>
            </w:pPr>
            <w:r>
              <w:t>EquationDeleteRow</w:t>
            </w:r>
          </w:p>
        </w:tc>
        <w:tc>
          <w:tcPr>
            <w:tcW w:w="0" w:type="auto"/>
            <w:vAlign w:val="center"/>
          </w:tcPr>
          <w:p w:rsidR="00024C0A" w:rsidRDefault="00694C0F">
            <w:pPr>
              <w:pStyle w:val="TableBodyText"/>
            </w:pPr>
            <w:r>
              <w:t>07C7</w:t>
            </w:r>
          </w:p>
        </w:tc>
      </w:tr>
      <w:tr w:rsidR="00024C0A" w:rsidTr="00024C0A">
        <w:tc>
          <w:tcPr>
            <w:tcW w:w="0" w:type="auto"/>
            <w:vAlign w:val="center"/>
          </w:tcPr>
          <w:p w:rsidR="00024C0A" w:rsidRDefault="00694C0F">
            <w:pPr>
              <w:pStyle w:val="TableBodyText"/>
            </w:pPr>
            <w:r>
              <w:t>EquationDelimiterGallery</w:t>
            </w:r>
          </w:p>
        </w:tc>
        <w:tc>
          <w:tcPr>
            <w:tcW w:w="0" w:type="auto"/>
            <w:vAlign w:val="center"/>
          </w:tcPr>
          <w:p w:rsidR="00024C0A" w:rsidRDefault="00694C0F">
            <w:pPr>
              <w:pStyle w:val="TableBodyText"/>
            </w:pPr>
            <w:r>
              <w:t>07DC</w:t>
            </w:r>
          </w:p>
        </w:tc>
      </w:tr>
      <w:tr w:rsidR="00024C0A" w:rsidTr="00024C0A">
        <w:tc>
          <w:tcPr>
            <w:tcW w:w="0" w:type="auto"/>
            <w:vAlign w:val="center"/>
          </w:tcPr>
          <w:p w:rsidR="00024C0A" w:rsidRDefault="00694C0F">
            <w:pPr>
              <w:pStyle w:val="TableBodyText"/>
            </w:pPr>
            <w:r>
              <w:t>EquationEdit</w:t>
            </w:r>
          </w:p>
        </w:tc>
        <w:tc>
          <w:tcPr>
            <w:tcW w:w="0" w:type="auto"/>
            <w:vAlign w:val="center"/>
          </w:tcPr>
          <w:p w:rsidR="00024C0A" w:rsidRDefault="00694C0F">
            <w:pPr>
              <w:pStyle w:val="TableBodyText"/>
            </w:pPr>
            <w:r>
              <w:t>0800</w:t>
            </w:r>
          </w:p>
        </w:tc>
      </w:tr>
      <w:tr w:rsidR="00024C0A" w:rsidTr="00024C0A">
        <w:tc>
          <w:tcPr>
            <w:tcW w:w="0" w:type="auto"/>
            <w:vAlign w:val="center"/>
          </w:tcPr>
          <w:p w:rsidR="00024C0A" w:rsidRDefault="00694C0F">
            <w:pPr>
              <w:pStyle w:val="TableBodyText"/>
            </w:pPr>
            <w:r>
              <w:t>EquationEquationArraySpacing</w:t>
            </w:r>
          </w:p>
        </w:tc>
        <w:tc>
          <w:tcPr>
            <w:tcW w:w="0" w:type="auto"/>
            <w:vAlign w:val="center"/>
          </w:tcPr>
          <w:p w:rsidR="00024C0A" w:rsidRDefault="00694C0F">
            <w:pPr>
              <w:pStyle w:val="TableBodyText"/>
            </w:pPr>
            <w:r>
              <w:t>0900</w:t>
            </w:r>
          </w:p>
        </w:tc>
      </w:tr>
      <w:tr w:rsidR="00024C0A" w:rsidTr="00024C0A">
        <w:tc>
          <w:tcPr>
            <w:tcW w:w="0" w:type="auto"/>
            <w:vAlign w:val="center"/>
          </w:tcPr>
          <w:p w:rsidR="00024C0A" w:rsidRDefault="00694C0F">
            <w:pPr>
              <w:pStyle w:val="TableBodyText"/>
            </w:pPr>
            <w:r>
              <w:t>EquationExpansion</w:t>
            </w:r>
          </w:p>
        </w:tc>
        <w:tc>
          <w:tcPr>
            <w:tcW w:w="0" w:type="auto"/>
            <w:vAlign w:val="center"/>
          </w:tcPr>
          <w:p w:rsidR="00024C0A" w:rsidRDefault="00694C0F">
            <w:pPr>
              <w:pStyle w:val="TableBodyText"/>
            </w:pPr>
            <w:r>
              <w:t>0872</w:t>
            </w:r>
          </w:p>
        </w:tc>
      </w:tr>
      <w:tr w:rsidR="00024C0A" w:rsidTr="00024C0A">
        <w:tc>
          <w:tcPr>
            <w:tcW w:w="0" w:type="auto"/>
            <w:vAlign w:val="center"/>
          </w:tcPr>
          <w:p w:rsidR="00024C0A" w:rsidRDefault="00694C0F">
            <w:pPr>
              <w:pStyle w:val="TableBodyText"/>
            </w:pPr>
            <w:r>
              <w:t>EquationFractionGallery</w:t>
            </w:r>
          </w:p>
        </w:tc>
        <w:tc>
          <w:tcPr>
            <w:tcW w:w="0" w:type="auto"/>
            <w:vAlign w:val="center"/>
          </w:tcPr>
          <w:p w:rsidR="00024C0A" w:rsidRDefault="00694C0F">
            <w:pPr>
              <w:pStyle w:val="TableBodyText"/>
            </w:pPr>
            <w:r>
              <w:t>07D8</w:t>
            </w:r>
          </w:p>
        </w:tc>
      </w:tr>
      <w:tr w:rsidR="00024C0A" w:rsidTr="00024C0A">
        <w:tc>
          <w:tcPr>
            <w:tcW w:w="0" w:type="auto"/>
            <w:vAlign w:val="center"/>
          </w:tcPr>
          <w:p w:rsidR="00024C0A" w:rsidRDefault="00694C0F">
            <w:pPr>
              <w:pStyle w:val="TableBodyText"/>
            </w:pPr>
            <w:r>
              <w:t>EquationFunctionGallery</w:t>
            </w:r>
          </w:p>
        </w:tc>
        <w:tc>
          <w:tcPr>
            <w:tcW w:w="0" w:type="auto"/>
            <w:vAlign w:val="center"/>
          </w:tcPr>
          <w:p w:rsidR="00024C0A" w:rsidRDefault="00694C0F">
            <w:pPr>
              <w:pStyle w:val="TableBodyText"/>
            </w:pPr>
            <w:r>
              <w:t>088C</w:t>
            </w:r>
          </w:p>
        </w:tc>
      </w:tr>
      <w:tr w:rsidR="00024C0A" w:rsidTr="00024C0A">
        <w:tc>
          <w:tcPr>
            <w:tcW w:w="0" w:type="auto"/>
            <w:vAlign w:val="center"/>
          </w:tcPr>
          <w:p w:rsidR="00024C0A" w:rsidRDefault="00694C0F">
            <w:pPr>
              <w:pStyle w:val="TableBodyText"/>
            </w:pPr>
            <w:r>
              <w:t>EquationGroupingCharacterLocation</w:t>
            </w:r>
          </w:p>
        </w:tc>
        <w:tc>
          <w:tcPr>
            <w:tcW w:w="0" w:type="auto"/>
            <w:vAlign w:val="center"/>
          </w:tcPr>
          <w:p w:rsidR="00024C0A" w:rsidRDefault="00694C0F">
            <w:pPr>
              <w:pStyle w:val="TableBodyText"/>
            </w:pPr>
            <w:r>
              <w:t>0870</w:t>
            </w:r>
          </w:p>
        </w:tc>
      </w:tr>
      <w:tr w:rsidR="00024C0A" w:rsidTr="00024C0A">
        <w:tc>
          <w:tcPr>
            <w:tcW w:w="0" w:type="auto"/>
            <w:vAlign w:val="center"/>
          </w:tcPr>
          <w:p w:rsidR="00024C0A" w:rsidRDefault="00694C0F">
            <w:pPr>
              <w:pStyle w:val="TableBodyText"/>
            </w:pPr>
            <w:r>
              <w:t>EquationHorizontalCenter</w:t>
            </w:r>
          </w:p>
        </w:tc>
        <w:tc>
          <w:tcPr>
            <w:tcW w:w="0" w:type="auto"/>
            <w:vAlign w:val="center"/>
          </w:tcPr>
          <w:p w:rsidR="00024C0A" w:rsidRDefault="00694C0F">
            <w:pPr>
              <w:pStyle w:val="TableBodyText"/>
            </w:pPr>
            <w:r>
              <w:t>07CC</w:t>
            </w:r>
          </w:p>
        </w:tc>
      </w:tr>
      <w:tr w:rsidR="00024C0A" w:rsidTr="00024C0A">
        <w:tc>
          <w:tcPr>
            <w:tcW w:w="0" w:type="auto"/>
            <w:vAlign w:val="center"/>
          </w:tcPr>
          <w:p w:rsidR="00024C0A" w:rsidRDefault="00694C0F">
            <w:pPr>
              <w:pStyle w:val="TableBodyText"/>
            </w:pPr>
            <w:r>
              <w:t>EquationHorizontalLeft</w:t>
            </w:r>
          </w:p>
        </w:tc>
        <w:tc>
          <w:tcPr>
            <w:tcW w:w="0" w:type="auto"/>
            <w:vAlign w:val="center"/>
          </w:tcPr>
          <w:p w:rsidR="00024C0A" w:rsidRDefault="00694C0F">
            <w:pPr>
              <w:pStyle w:val="TableBodyText"/>
            </w:pPr>
            <w:r>
              <w:t>07CD</w:t>
            </w:r>
          </w:p>
        </w:tc>
      </w:tr>
      <w:tr w:rsidR="00024C0A" w:rsidTr="00024C0A">
        <w:tc>
          <w:tcPr>
            <w:tcW w:w="0" w:type="auto"/>
            <w:vAlign w:val="center"/>
          </w:tcPr>
          <w:p w:rsidR="00024C0A" w:rsidRDefault="00694C0F">
            <w:pPr>
              <w:pStyle w:val="TableBodyText"/>
            </w:pPr>
            <w:r>
              <w:t>EquationHorizontalMenu</w:t>
            </w:r>
          </w:p>
        </w:tc>
        <w:tc>
          <w:tcPr>
            <w:tcW w:w="0" w:type="auto"/>
            <w:vAlign w:val="center"/>
          </w:tcPr>
          <w:p w:rsidR="00024C0A" w:rsidRDefault="00694C0F">
            <w:pPr>
              <w:pStyle w:val="TableBodyText"/>
            </w:pPr>
            <w:r>
              <w:t>16C3</w:t>
            </w:r>
          </w:p>
        </w:tc>
      </w:tr>
      <w:tr w:rsidR="00024C0A" w:rsidTr="00024C0A">
        <w:tc>
          <w:tcPr>
            <w:tcW w:w="0" w:type="auto"/>
            <w:vAlign w:val="center"/>
          </w:tcPr>
          <w:p w:rsidR="00024C0A" w:rsidRDefault="00694C0F">
            <w:pPr>
              <w:pStyle w:val="TableBodyText"/>
            </w:pPr>
            <w:r>
              <w:t>EquationHorizontalRight</w:t>
            </w:r>
          </w:p>
        </w:tc>
        <w:tc>
          <w:tcPr>
            <w:tcW w:w="0" w:type="auto"/>
            <w:vAlign w:val="center"/>
          </w:tcPr>
          <w:p w:rsidR="00024C0A" w:rsidRDefault="00694C0F">
            <w:pPr>
              <w:pStyle w:val="TableBodyText"/>
            </w:pPr>
            <w:r>
              <w:t>07CE</w:t>
            </w:r>
          </w:p>
        </w:tc>
      </w:tr>
      <w:tr w:rsidR="00024C0A" w:rsidTr="00024C0A">
        <w:tc>
          <w:tcPr>
            <w:tcW w:w="0" w:type="auto"/>
            <w:vAlign w:val="center"/>
          </w:tcPr>
          <w:p w:rsidR="00024C0A" w:rsidRDefault="00694C0F">
            <w:pPr>
              <w:pStyle w:val="TableBodyText"/>
            </w:pPr>
            <w:r>
              <w:t>EquationIncreaseAlignment</w:t>
            </w:r>
          </w:p>
        </w:tc>
        <w:tc>
          <w:tcPr>
            <w:tcW w:w="0" w:type="auto"/>
            <w:vAlign w:val="center"/>
          </w:tcPr>
          <w:p w:rsidR="00024C0A" w:rsidRDefault="00694C0F">
            <w:pPr>
              <w:pStyle w:val="TableBodyText"/>
            </w:pPr>
            <w:r>
              <w:t>07BD</w:t>
            </w:r>
          </w:p>
        </w:tc>
      </w:tr>
      <w:tr w:rsidR="00024C0A" w:rsidTr="00024C0A">
        <w:tc>
          <w:tcPr>
            <w:tcW w:w="0" w:type="auto"/>
            <w:vAlign w:val="center"/>
          </w:tcPr>
          <w:p w:rsidR="00024C0A" w:rsidRDefault="00694C0F">
            <w:pPr>
              <w:pStyle w:val="TableBodyText"/>
            </w:pPr>
            <w:r>
              <w:t>EquationIncreaseArgumentSize</w:t>
            </w:r>
          </w:p>
        </w:tc>
        <w:tc>
          <w:tcPr>
            <w:tcW w:w="0" w:type="auto"/>
            <w:vAlign w:val="center"/>
          </w:tcPr>
          <w:p w:rsidR="00024C0A" w:rsidRDefault="00694C0F">
            <w:pPr>
              <w:pStyle w:val="TableBodyText"/>
            </w:pPr>
            <w:r>
              <w:t>0873</w:t>
            </w:r>
          </w:p>
        </w:tc>
      </w:tr>
      <w:tr w:rsidR="00024C0A" w:rsidTr="00024C0A">
        <w:tc>
          <w:tcPr>
            <w:tcW w:w="0" w:type="auto"/>
            <w:vAlign w:val="center"/>
          </w:tcPr>
          <w:p w:rsidR="00024C0A" w:rsidRDefault="00694C0F">
            <w:pPr>
              <w:pStyle w:val="TableBodyText"/>
            </w:pPr>
            <w:r>
              <w:t>EquationInsert</w:t>
            </w:r>
          </w:p>
        </w:tc>
        <w:tc>
          <w:tcPr>
            <w:tcW w:w="0" w:type="auto"/>
            <w:vAlign w:val="center"/>
          </w:tcPr>
          <w:p w:rsidR="00024C0A" w:rsidRDefault="00694C0F">
            <w:pPr>
              <w:pStyle w:val="TableBodyText"/>
            </w:pPr>
            <w:r>
              <w:t>0797</w:t>
            </w:r>
          </w:p>
        </w:tc>
      </w:tr>
      <w:tr w:rsidR="00024C0A" w:rsidTr="00024C0A">
        <w:tc>
          <w:tcPr>
            <w:tcW w:w="0" w:type="auto"/>
            <w:vAlign w:val="center"/>
          </w:tcPr>
          <w:p w:rsidR="00024C0A" w:rsidRDefault="00694C0F">
            <w:pPr>
              <w:pStyle w:val="TableBodyText"/>
            </w:pPr>
            <w:r>
              <w:t>EquationInsertArgumentAfter</w:t>
            </w:r>
          </w:p>
        </w:tc>
        <w:tc>
          <w:tcPr>
            <w:tcW w:w="0" w:type="auto"/>
            <w:vAlign w:val="center"/>
          </w:tcPr>
          <w:p w:rsidR="00024C0A" w:rsidRDefault="00694C0F">
            <w:pPr>
              <w:pStyle w:val="TableBodyText"/>
            </w:pPr>
            <w:r>
              <w:t>085D</w:t>
            </w:r>
          </w:p>
        </w:tc>
      </w:tr>
      <w:tr w:rsidR="00024C0A" w:rsidTr="00024C0A">
        <w:tc>
          <w:tcPr>
            <w:tcW w:w="0" w:type="auto"/>
            <w:vAlign w:val="center"/>
          </w:tcPr>
          <w:p w:rsidR="00024C0A" w:rsidRDefault="00694C0F">
            <w:pPr>
              <w:pStyle w:val="TableBodyText"/>
            </w:pPr>
            <w:r>
              <w:t>EquationInsertArgumentBefore</w:t>
            </w:r>
          </w:p>
        </w:tc>
        <w:tc>
          <w:tcPr>
            <w:tcW w:w="0" w:type="auto"/>
            <w:vAlign w:val="center"/>
          </w:tcPr>
          <w:p w:rsidR="00024C0A" w:rsidRDefault="00694C0F">
            <w:pPr>
              <w:pStyle w:val="TableBodyText"/>
            </w:pPr>
            <w:r>
              <w:t>085C</w:t>
            </w:r>
          </w:p>
        </w:tc>
      </w:tr>
      <w:tr w:rsidR="00024C0A" w:rsidTr="00024C0A">
        <w:tc>
          <w:tcPr>
            <w:tcW w:w="0" w:type="auto"/>
            <w:vAlign w:val="center"/>
          </w:tcPr>
          <w:p w:rsidR="00024C0A" w:rsidRDefault="00694C0F">
            <w:pPr>
              <w:pStyle w:val="TableBodyText"/>
            </w:pPr>
            <w:r>
              <w:t>EquationInsertColumnAfter</w:t>
            </w:r>
          </w:p>
        </w:tc>
        <w:tc>
          <w:tcPr>
            <w:tcW w:w="0" w:type="auto"/>
            <w:vAlign w:val="center"/>
          </w:tcPr>
          <w:p w:rsidR="00024C0A" w:rsidRDefault="00694C0F">
            <w:pPr>
              <w:pStyle w:val="TableBodyText"/>
            </w:pPr>
            <w:r>
              <w:t>07C6</w:t>
            </w:r>
          </w:p>
        </w:tc>
      </w:tr>
      <w:tr w:rsidR="00024C0A" w:rsidTr="00024C0A">
        <w:tc>
          <w:tcPr>
            <w:tcW w:w="0" w:type="auto"/>
            <w:vAlign w:val="center"/>
          </w:tcPr>
          <w:p w:rsidR="00024C0A" w:rsidRDefault="00694C0F">
            <w:pPr>
              <w:pStyle w:val="TableBodyText"/>
            </w:pPr>
            <w:r>
              <w:t>EquationInsertColumnBefore</w:t>
            </w:r>
          </w:p>
        </w:tc>
        <w:tc>
          <w:tcPr>
            <w:tcW w:w="0" w:type="auto"/>
            <w:vAlign w:val="center"/>
          </w:tcPr>
          <w:p w:rsidR="00024C0A" w:rsidRDefault="00694C0F">
            <w:pPr>
              <w:pStyle w:val="TableBodyText"/>
            </w:pPr>
            <w:r>
              <w:t>07C5</w:t>
            </w:r>
          </w:p>
        </w:tc>
      </w:tr>
      <w:tr w:rsidR="00024C0A" w:rsidTr="00024C0A">
        <w:tc>
          <w:tcPr>
            <w:tcW w:w="0" w:type="auto"/>
            <w:vAlign w:val="center"/>
          </w:tcPr>
          <w:p w:rsidR="00024C0A" w:rsidRDefault="00694C0F">
            <w:pPr>
              <w:pStyle w:val="TableBodyText"/>
            </w:pPr>
            <w:r>
              <w:t>EquationInsertEmptyStructure</w:t>
            </w:r>
          </w:p>
        </w:tc>
        <w:tc>
          <w:tcPr>
            <w:tcW w:w="0" w:type="auto"/>
            <w:vAlign w:val="center"/>
          </w:tcPr>
          <w:p w:rsidR="00024C0A" w:rsidRDefault="00694C0F">
            <w:pPr>
              <w:pStyle w:val="TableBodyText"/>
            </w:pPr>
            <w:r>
              <w:t>082C</w:t>
            </w:r>
          </w:p>
        </w:tc>
      </w:tr>
      <w:tr w:rsidR="00024C0A" w:rsidTr="00024C0A">
        <w:tc>
          <w:tcPr>
            <w:tcW w:w="0" w:type="auto"/>
            <w:vAlign w:val="center"/>
          </w:tcPr>
          <w:p w:rsidR="00024C0A" w:rsidRDefault="00694C0F">
            <w:pPr>
              <w:pStyle w:val="TableBodyText"/>
            </w:pPr>
            <w:r>
              <w:t>EquationInsertMenu</w:t>
            </w:r>
          </w:p>
        </w:tc>
        <w:tc>
          <w:tcPr>
            <w:tcW w:w="0" w:type="auto"/>
            <w:vAlign w:val="center"/>
          </w:tcPr>
          <w:p w:rsidR="00024C0A" w:rsidRDefault="00694C0F">
            <w:pPr>
              <w:pStyle w:val="TableBodyText"/>
            </w:pPr>
            <w:r>
              <w:t>16C8</w:t>
            </w:r>
          </w:p>
        </w:tc>
      </w:tr>
      <w:tr w:rsidR="00024C0A" w:rsidTr="00024C0A">
        <w:tc>
          <w:tcPr>
            <w:tcW w:w="0" w:type="auto"/>
            <w:vAlign w:val="center"/>
          </w:tcPr>
          <w:p w:rsidR="00024C0A" w:rsidRDefault="00694C0F">
            <w:pPr>
              <w:pStyle w:val="TableBodyText"/>
            </w:pPr>
            <w:r>
              <w:t>EquationInsertRowAfter</w:t>
            </w:r>
          </w:p>
        </w:tc>
        <w:tc>
          <w:tcPr>
            <w:tcW w:w="0" w:type="auto"/>
            <w:vAlign w:val="center"/>
          </w:tcPr>
          <w:p w:rsidR="00024C0A" w:rsidRDefault="00694C0F">
            <w:pPr>
              <w:pStyle w:val="TableBodyText"/>
            </w:pPr>
            <w:r>
              <w:t>07C3</w:t>
            </w:r>
          </w:p>
        </w:tc>
      </w:tr>
      <w:tr w:rsidR="00024C0A" w:rsidTr="00024C0A">
        <w:tc>
          <w:tcPr>
            <w:tcW w:w="0" w:type="auto"/>
            <w:vAlign w:val="center"/>
          </w:tcPr>
          <w:p w:rsidR="00024C0A" w:rsidRDefault="00694C0F">
            <w:pPr>
              <w:pStyle w:val="TableBodyText"/>
            </w:pPr>
            <w:r>
              <w:t>EquationInsertRowBefore</w:t>
            </w:r>
          </w:p>
        </w:tc>
        <w:tc>
          <w:tcPr>
            <w:tcW w:w="0" w:type="auto"/>
            <w:vAlign w:val="center"/>
          </w:tcPr>
          <w:p w:rsidR="00024C0A" w:rsidRDefault="00694C0F">
            <w:pPr>
              <w:pStyle w:val="TableBodyText"/>
            </w:pPr>
            <w:r>
              <w:t>07C2</w:t>
            </w:r>
          </w:p>
        </w:tc>
      </w:tr>
      <w:tr w:rsidR="00024C0A" w:rsidTr="00024C0A">
        <w:tc>
          <w:tcPr>
            <w:tcW w:w="0" w:type="auto"/>
            <w:vAlign w:val="center"/>
          </w:tcPr>
          <w:p w:rsidR="00024C0A" w:rsidRDefault="00694C0F">
            <w:pPr>
              <w:pStyle w:val="TableBodyText"/>
            </w:pPr>
            <w:r>
              <w:t>EquationInsertStructure</w:t>
            </w:r>
          </w:p>
        </w:tc>
        <w:tc>
          <w:tcPr>
            <w:tcW w:w="0" w:type="auto"/>
            <w:vAlign w:val="center"/>
          </w:tcPr>
          <w:p w:rsidR="00024C0A" w:rsidRDefault="00694C0F">
            <w:pPr>
              <w:pStyle w:val="TableBodyText"/>
            </w:pPr>
            <w:r>
              <w:t>08D9</w:t>
            </w:r>
          </w:p>
        </w:tc>
      </w:tr>
      <w:tr w:rsidR="00024C0A" w:rsidTr="00024C0A">
        <w:tc>
          <w:tcPr>
            <w:tcW w:w="0" w:type="auto"/>
            <w:vAlign w:val="center"/>
          </w:tcPr>
          <w:p w:rsidR="00024C0A" w:rsidRDefault="00694C0F">
            <w:pPr>
              <w:pStyle w:val="TableBodyText"/>
            </w:pPr>
            <w:r>
              <w:t>EquationInsertSymbol</w:t>
            </w:r>
          </w:p>
        </w:tc>
        <w:tc>
          <w:tcPr>
            <w:tcW w:w="0" w:type="auto"/>
            <w:vAlign w:val="center"/>
          </w:tcPr>
          <w:p w:rsidR="00024C0A" w:rsidRDefault="00694C0F">
            <w:pPr>
              <w:pStyle w:val="TableBodyText"/>
            </w:pPr>
            <w:r>
              <w:t>0781</w:t>
            </w:r>
          </w:p>
        </w:tc>
      </w:tr>
      <w:tr w:rsidR="00024C0A" w:rsidTr="00024C0A">
        <w:tc>
          <w:tcPr>
            <w:tcW w:w="0" w:type="auto"/>
            <w:vAlign w:val="center"/>
          </w:tcPr>
          <w:p w:rsidR="00024C0A" w:rsidRDefault="00694C0F">
            <w:pPr>
              <w:pStyle w:val="TableBodyText"/>
            </w:pPr>
            <w:r>
              <w:t>EquationIntegralGallery</w:t>
            </w:r>
          </w:p>
        </w:tc>
        <w:tc>
          <w:tcPr>
            <w:tcW w:w="0" w:type="auto"/>
            <w:vAlign w:val="center"/>
          </w:tcPr>
          <w:p w:rsidR="00024C0A" w:rsidRDefault="00694C0F">
            <w:pPr>
              <w:pStyle w:val="TableBodyText"/>
            </w:pPr>
            <w:r>
              <w:t>07D9</w:t>
            </w:r>
          </w:p>
        </w:tc>
      </w:tr>
      <w:tr w:rsidR="00024C0A" w:rsidTr="00024C0A">
        <w:tc>
          <w:tcPr>
            <w:tcW w:w="0" w:type="auto"/>
            <w:vAlign w:val="center"/>
          </w:tcPr>
          <w:p w:rsidR="00024C0A" w:rsidRDefault="00694C0F">
            <w:pPr>
              <w:pStyle w:val="TableBodyText"/>
            </w:pPr>
            <w:r>
              <w:t>EquationJustificationMenu</w:t>
            </w:r>
          </w:p>
        </w:tc>
        <w:tc>
          <w:tcPr>
            <w:tcW w:w="0" w:type="auto"/>
            <w:vAlign w:val="center"/>
          </w:tcPr>
          <w:p w:rsidR="00024C0A" w:rsidRDefault="00694C0F">
            <w:pPr>
              <w:pStyle w:val="TableBodyText"/>
            </w:pPr>
            <w:r>
              <w:t>16C7</w:t>
            </w:r>
          </w:p>
        </w:tc>
      </w:tr>
      <w:tr w:rsidR="00024C0A" w:rsidTr="00024C0A">
        <w:tc>
          <w:tcPr>
            <w:tcW w:w="0" w:type="auto"/>
            <w:vAlign w:val="center"/>
          </w:tcPr>
          <w:p w:rsidR="00024C0A" w:rsidRDefault="00694C0F">
            <w:pPr>
              <w:pStyle w:val="TableBodyText"/>
            </w:pPr>
            <w:r>
              <w:lastRenderedPageBreak/>
              <w:t>EquationLeftJustification</w:t>
            </w:r>
          </w:p>
        </w:tc>
        <w:tc>
          <w:tcPr>
            <w:tcW w:w="0" w:type="auto"/>
            <w:vAlign w:val="center"/>
          </w:tcPr>
          <w:p w:rsidR="00024C0A" w:rsidRDefault="00694C0F">
            <w:pPr>
              <w:pStyle w:val="TableBodyText"/>
            </w:pPr>
            <w:r>
              <w:t>08EB</w:t>
            </w:r>
          </w:p>
        </w:tc>
      </w:tr>
      <w:tr w:rsidR="00024C0A" w:rsidTr="00024C0A">
        <w:tc>
          <w:tcPr>
            <w:tcW w:w="0" w:type="auto"/>
            <w:vAlign w:val="center"/>
          </w:tcPr>
          <w:p w:rsidR="00024C0A" w:rsidRDefault="00694C0F">
            <w:pPr>
              <w:pStyle w:val="TableBodyText"/>
            </w:pPr>
            <w:r>
              <w:t>EquationLimitGallery</w:t>
            </w:r>
          </w:p>
        </w:tc>
        <w:tc>
          <w:tcPr>
            <w:tcW w:w="0" w:type="auto"/>
            <w:vAlign w:val="center"/>
          </w:tcPr>
          <w:p w:rsidR="00024C0A" w:rsidRDefault="00694C0F">
            <w:pPr>
              <w:pStyle w:val="TableBodyText"/>
            </w:pPr>
            <w:r>
              <w:t>088E</w:t>
            </w:r>
          </w:p>
        </w:tc>
      </w:tr>
      <w:tr w:rsidR="00024C0A" w:rsidTr="00024C0A">
        <w:tc>
          <w:tcPr>
            <w:tcW w:w="0" w:type="auto"/>
            <w:vAlign w:val="center"/>
          </w:tcPr>
          <w:p w:rsidR="00024C0A" w:rsidRDefault="00694C0F">
            <w:pPr>
              <w:pStyle w:val="TableBodyText"/>
            </w:pPr>
            <w:r>
              <w:t>EquationLimitLocation</w:t>
            </w:r>
          </w:p>
        </w:tc>
        <w:tc>
          <w:tcPr>
            <w:tcW w:w="0" w:type="auto"/>
            <w:vAlign w:val="center"/>
          </w:tcPr>
          <w:p w:rsidR="00024C0A" w:rsidRDefault="00694C0F">
            <w:pPr>
              <w:pStyle w:val="TableBodyText"/>
            </w:pPr>
            <w:r>
              <w:t>086C</w:t>
            </w:r>
          </w:p>
        </w:tc>
      </w:tr>
      <w:tr w:rsidR="00024C0A" w:rsidTr="00024C0A">
        <w:tc>
          <w:tcPr>
            <w:tcW w:w="0" w:type="auto"/>
            <w:vAlign w:val="center"/>
          </w:tcPr>
          <w:p w:rsidR="00024C0A" w:rsidRDefault="00694C0F">
            <w:pPr>
              <w:pStyle w:val="TableBodyText"/>
            </w:pPr>
            <w:r>
              <w:t>EquationLinearFormat</w:t>
            </w:r>
          </w:p>
        </w:tc>
        <w:tc>
          <w:tcPr>
            <w:tcW w:w="0" w:type="auto"/>
            <w:vAlign w:val="center"/>
          </w:tcPr>
          <w:p w:rsidR="00024C0A" w:rsidRDefault="00694C0F">
            <w:pPr>
              <w:pStyle w:val="TableBodyText"/>
            </w:pPr>
            <w:r>
              <w:t>0777</w:t>
            </w:r>
          </w:p>
        </w:tc>
      </w:tr>
      <w:tr w:rsidR="00024C0A" w:rsidTr="00024C0A">
        <w:tc>
          <w:tcPr>
            <w:tcW w:w="0" w:type="auto"/>
            <w:vAlign w:val="center"/>
          </w:tcPr>
          <w:p w:rsidR="00024C0A" w:rsidRDefault="00694C0F">
            <w:pPr>
              <w:pStyle w:val="TableBodyText"/>
            </w:pPr>
            <w:r>
              <w:t>EquationLinearFraction</w:t>
            </w:r>
          </w:p>
        </w:tc>
        <w:tc>
          <w:tcPr>
            <w:tcW w:w="0" w:type="auto"/>
            <w:vAlign w:val="center"/>
          </w:tcPr>
          <w:p w:rsidR="00024C0A" w:rsidRDefault="00694C0F">
            <w:pPr>
              <w:pStyle w:val="TableBodyText"/>
            </w:pPr>
            <w:r>
              <w:t>0865</w:t>
            </w:r>
          </w:p>
        </w:tc>
      </w:tr>
      <w:tr w:rsidR="00024C0A" w:rsidTr="00024C0A">
        <w:tc>
          <w:tcPr>
            <w:tcW w:w="0" w:type="auto"/>
            <w:vAlign w:val="center"/>
          </w:tcPr>
          <w:p w:rsidR="00024C0A" w:rsidRDefault="00694C0F">
            <w:pPr>
              <w:pStyle w:val="TableBodyText"/>
            </w:pPr>
            <w:r>
              <w:t>EquationManualBreak</w:t>
            </w:r>
          </w:p>
        </w:tc>
        <w:tc>
          <w:tcPr>
            <w:tcW w:w="0" w:type="auto"/>
            <w:vAlign w:val="center"/>
          </w:tcPr>
          <w:p w:rsidR="00024C0A" w:rsidRDefault="00694C0F">
            <w:pPr>
              <w:pStyle w:val="TableBodyText"/>
            </w:pPr>
            <w:r>
              <w:t>0881</w:t>
            </w:r>
          </w:p>
        </w:tc>
      </w:tr>
      <w:tr w:rsidR="00024C0A" w:rsidTr="00024C0A">
        <w:tc>
          <w:tcPr>
            <w:tcW w:w="0" w:type="auto"/>
            <w:vAlign w:val="center"/>
          </w:tcPr>
          <w:p w:rsidR="00024C0A" w:rsidRDefault="00694C0F">
            <w:pPr>
              <w:pStyle w:val="TableBodyText"/>
            </w:pPr>
            <w:r>
              <w:t>EquationMatchDelimiters</w:t>
            </w:r>
          </w:p>
        </w:tc>
        <w:tc>
          <w:tcPr>
            <w:tcW w:w="0" w:type="auto"/>
            <w:vAlign w:val="center"/>
          </w:tcPr>
          <w:p w:rsidR="00024C0A" w:rsidRDefault="00694C0F">
            <w:pPr>
              <w:pStyle w:val="TableBodyText"/>
            </w:pPr>
            <w:r>
              <w:t>086A</w:t>
            </w:r>
          </w:p>
        </w:tc>
      </w:tr>
      <w:tr w:rsidR="00024C0A" w:rsidTr="00024C0A">
        <w:tc>
          <w:tcPr>
            <w:tcW w:w="0" w:type="auto"/>
            <w:vAlign w:val="center"/>
          </w:tcPr>
          <w:p w:rsidR="00024C0A" w:rsidRDefault="00694C0F">
            <w:pPr>
              <w:pStyle w:val="TableBodyText"/>
            </w:pPr>
            <w:r>
              <w:t>EquationMathAutoCorrect</w:t>
            </w:r>
          </w:p>
        </w:tc>
        <w:tc>
          <w:tcPr>
            <w:tcW w:w="0" w:type="auto"/>
            <w:vAlign w:val="center"/>
          </w:tcPr>
          <w:p w:rsidR="00024C0A" w:rsidRDefault="00694C0F">
            <w:pPr>
              <w:pStyle w:val="TableBodyText"/>
            </w:pPr>
            <w:r>
              <w:t>077B</w:t>
            </w:r>
          </w:p>
        </w:tc>
      </w:tr>
      <w:tr w:rsidR="00024C0A" w:rsidTr="00024C0A">
        <w:tc>
          <w:tcPr>
            <w:tcW w:w="0" w:type="auto"/>
            <w:vAlign w:val="center"/>
          </w:tcPr>
          <w:p w:rsidR="00024C0A" w:rsidRDefault="00694C0F">
            <w:pPr>
              <w:pStyle w:val="TableBodyText"/>
            </w:pPr>
            <w:r>
              <w:t>EquationMatrixGallery</w:t>
            </w:r>
          </w:p>
        </w:tc>
        <w:tc>
          <w:tcPr>
            <w:tcW w:w="0" w:type="auto"/>
            <w:vAlign w:val="center"/>
          </w:tcPr>
          <w:p w:rsidR="00024C0A" w:rsidRDefault="00694C0F">
            <w:pPr>
              <w:pStyle w:val="TableBodyText"/>
            </w:pPr>
            <w:r>
              <w:t>0890</w:t>
            </w:r>
          </w:p>
        </w:tc>
      </w:tr>
      <w:tr w:rsidR="00024C0A" w:rsidTr="00024C0A">
        <w:tc>
          <w:tcPr>
            <w:tcW w:w="0" w:type="auto"/>
            <w:vAlign w:val="center"/>
          </w:tcPr>
          <w:p w:rsidR="00024C0A" w:rsidRDefault="00694C0F">
            <w:pPr>
              <w:pStyle w:val="TableBodyText"/>
            </w:pPr>
            <w:r>
              <w:t>EquationMatrixSpacing</w:t>
            </w:r>
          </w:p>
        </w:tc>
        <w:tc>
          <w:tcPr>
            <w:tcW w:w="0" w:type="auto"/>
            <w:vAlign w:val="center"/>
          </w:tcPr>
          <w:p w:rsidR="00024C0A" w:rsidRDefault="00694C0F">
            <w:pPr>
              <w:pStyle w:val="TableBodyText"/>
            </w:pPr>
            <w:r>
              <w:t>08FF</w:t>
            </w:r>
          </w:p>
        </w:tc>
      </w:tr>
      <w:tr w:rsidR="00024C0A" w:rsidTr="00024C0A">
        <w:tc>
          <w:tcPr>
            <w:tcW w:w="0" w:type="auto"/>
            <w:vAlign w:val="center"/>
          </w:tcPr>
          <w:p w:rsidR="00024C0A" w:rsidRDefault="00694C0F">
            <w:pPr>
              <w:pStyle w:val="TableBodyText"/>
            </w:pPr>
            <w:r>
              <w:t>EquationNaryGallery</w:t>
            </w:r>
          </w:p>
        </w:tc>
        <w:tc>
          <w:tcPr>
            <w:tcW w:w="0" w:type="auto"/>
            <w:vAlign w:val="center"/>
          </w:tcPr>
          <w:p w:rsidR="00024C0A" w:rsidRDefault="00694C0F">
            <w:pPr>
              <w:pStyle w:val="TableBodyText"/>
            </w:pPr>
            <w:r>
              <w:t>07DB</w:t>
            </w:r>
          </w:p>
        </w:tc>
      </w:tr>
      <w:tr w:rsidR="00024C0A" w:rsidTr="00024C0A">
        <w:tc>
          <w:tcPr>
            <w:tcW w:w="0" w:type="auto"/>
            <w:vAlign w:val="center"/>
          </w:tcPr>
          <w:p w:rsidR="00024C0A" w:rsidRDefault="00694C0F">
            <w:pPr>
              <w:pStyle w:val="TableBodyText"/>
            </w:pPr>
            <w:r>
              <w:t>EquationNaryLimitLocation</w:t>
            </w:r>
          </w:p>
        </w:tc>
        <w:tc>
          <w:tcPr>
            <w:tcW w:w="0" w:type="auto"/>
            <w:vAlign w:val="center"/>
          </w:tcPr>
          <w:p w:rsidR="00024C0A" w:rsidRDefault="00694C0F">
            <w:pPr>
              <w:pStyle w:val="TableBodyText"/>
            </w:pPr>
            <w:r>
              <w:t>086B</w:t>
            </w:r>
          </w:p>
        </w:tc>
      </w:tr>
      <w:tr w:rsidR="00024C0A" w:rsidTr="00024C0A">
        <w:tc>
          <w:tcPr>
            <w:tcW w:w="0" w:type="auto"/>
            <w:vAlign w:val="center"/>
          </w:tcPr>
          <w:p w:rsidR="00024C0A" w:rsidRDefault="00694C0F">
            <w:pPr>
              <w:pStyle w:val="TableBodyText"/>
            </w:pPr>
            <w:r>
              <w:t>EquationNoBarFraction</w:t>
            </w:r>
          </w:p>
        </w:tc>
        <w:tc>
          <w:tcPr>
            <w:tcW w:w="0" w:type="auto"/>
            <w:vAlign w:val="center"/>
          </w:tcPr>
          <w:p w:rsidR="00024C0A" w:rsidRDefault="00694C0F">
            <w:pPr>
              <w:pStyle w:val="TableBodyText"/>
            </w:pPr>
            <w:r>
              <w:t>0863</w:t>
            </w:r>
          </w:p>
        </w:tc>
      </w:tr>
      <w:tr w:rsidR="00024C0A" w:rsidTr="00024C0A">
        <w:tc>
          <w:tcPr>
            <w:tcW w:w="0" w:type="auto"/>
            <w:vAlign w:val="center"/>
          </w:tcPr>
          <w:p w:rsidR="00024C0A" w:rsidRDefault="00694C0F">
            <w:pPr>
              <w:pStyle w:val="TableBodyText"/>
            </w:pPr>
            <w:r>
              <w:t>EquationNormalText</w:t>
            </w:r>
          </w:p>
        </w:tc>
        <w:tc>
          <w:tcPr>
            <w:tcW w:w="0" w:type="auto"/>
            <w:vAlign w:val="center"/>
          </w:tcPr>
          <w:p w:rsidR="00024C0A" w:rsidRDefault="00694C0F">
            <w:pPr>
              <w:pStyle w:val="TableBodyText"/>
            </w:pPr>
            <w:r>
              <w:t>088B</w:t>
            </w:r>
          </w:p>
        </w:tc>
      </w:tr>
      <w:tr w:rsidR="00024C0A" w:rsidTr="00024C0A">
        <w:tc>
          <w:tcPr>
            <w:tcW w:w="0" w:type="auto"/>
            <w:vAlign w:val="center"/>
          </w:tcPr>
          <w:p w:rsidR="00024C0A" w:rsidRDefault="00694C0F">
            <w:pPr>
              <w:pStyle w:val="TableBodyText"/>
            </w:pPr>
            <w:r>
              <w:t>EquationOperatorGallery</w:t>
            </w:r>
          </w:p>
        </w:tc>
        <w:tc>
          <w:tcPr>
            <w:tcW w:w="0" w:type="auto"/>
            <w:vAlign w:val="center"/>
          </w:tcPr>
          <w:p w:rsidR="00024C0A" w:rsidRDefault="00694C0F">
            <w:pPr>
              <w:pStyle w:val="TableBodyText"/>
            </w:pPr>
            <w:r>
              <w:t>088F</w:t>
            </w:r>
          </w:p>
        </w:tc>
      </w:tr>
      <w:tr w:rsidR="00024C0A" w:rsidTr="00024C0A">
        <w:tc>
          <w:tcPr>
            <w:tcW w:w="0" w:type="auto"/>
            <w:vAlign w:val="center"/>
          </w:tcPr>
          <w:p w:rsidR="00024C0A" w:rsidRDefault="00694C0F">
            <w:pPr>
              <w:pStyle w:val="TableBodyText"/>
            </w:pPr>
            <w:r>
              <w:t>EquationProfessionalFormat</w:t>
            </w:r>
          </w:p>
        </w:tc>
        <w:tc>
          <w:tcPr>
            <w:tcW w:w="0" w:type="auto"/>
            <w:vAlign w:val="center"/>
          </w:tcPr>
          <w:p w:rsidR="00024C0A" w:rsidRDefault="00694C0F">
            <w:pPr>
              <w:pStyle w:val="TableBodyText"/>
            </w:pPr>
            <w:r>
              <w:t>0776</w:t>
            </w:r>
          </w:p>
        </w:tc>
      </w:tr>
      <w:tr w:rsidR="00024C0A" w:rsidTr="00024C0A">
        <w:tc>
          <w:tcPr>
            <w:tcW w:w="0" w:type="auto"/>
            <w:vAlign w:val="center"/>
          </w:tcPr>
          <w:p w:rsidR="00024C0A" w:rsidRDefault="00694C0F">
            <w:pPr>
              <w:pStyle w:val="TableBodyText"/>
            </w:pPr>
            <w:r>
              <w:t>EquationRadicalGallery</w:t>
            </w:r>
          </w:p>
        </w:tc>
        <w:tc>
          <w:tcPr>
            <w:tcW w:w="0" w:type="auto"/>
            <w:vAlign w:val="center"/>
          </w:tcPr>
          <w:p w:rsidR="00024C0A" w:rsidRDefault="00694C0F">
            <w:pPr>
              <w:pStyle w:val="TableBodyText"/>
            </w:pPr>
            <w:r>
              <w:t>07DA</w:t>
            </w:r>
          </w:p>
        </w:tc>
      </w:tr>
      <w:tr w:rsidR="00024C0A" w:rsidTr="00024C0A">
        <w:tc>
          <w:tcPr>
            <w:tcW w:w="0" w:type="auto"/>
            <w:vAlign w:val="center"/>
          </w:tcPr>
          <w:p w:rsidR="00024C0A" w:rsidRDefault="00694C0F">
            <w:pPr>
              <w:pStyle w:val="TableBodyText"/>
            </w:pPr>
            <w:r>
              <w:t>EquationRecognizedFunctions</w:t>
            </w:r>
          </w:p>
        </w:tc>
        <w:tc>
          <w:tcPr>
            <w:tcW w:w="0" w:type="auto"/>
            <w:vAlign w:val="center"/>
          </w:tcPr>
          <w:p w:rsidR="00024C0A" w:rsidRDefault="00694C0F">
            <w:pPr>
              <w:pStyle w:val="TableBodyText"/>
            </w:pPr>
            <w:r>
              <w:t>0875</w:t>
            </w:r>
          </w:p>
        </w:tc>
      </w:tr>
      <w:tr w:rsidR="00024C0A" w:rsidTr="00024C0A">
        <w:tc>
          <w:tcPr>
            <w:tcW w:w="0" w:type="auto"/>
            <w:vAlign w:val="center"/>
          </w:tcPr>
          <w:p w:rsidR="00024C0A" w:rsidRDefault="00694C0F">
            <w:pPr>
              <w:pStyle w:val="TableBodyText"/>
            </w:pPr>
            <w:r>
              <w:t>EquationRemoveStructure</w:t>
            </w:r>
          </w:p>
        </w:tc>
        <w:tc>
          <w:tcPr>
            <w:tcW w:w="0" w:type="auto"/>
            <w:vAlign w:val="center"/>
          </w:tcPr>
          <w:p w:rsidR="00024C0A" w:rsidRDefault="00694C0F">
            <w:pPr>
              <w:pStyle w:val="TableBodyText"/>
            </w:pPr>
            <w:r>
              <w:t>085F</w:t>
            </w:r>
          </w:p>
        </w:tc>
      </w:tr>
      <w:tr w:rsidR="00024C0A" w:rsidTr="00024C0A">
        <w:tc>
          <w:tcPr>
            <w:tcW w:w="0" w:type="auto"/>
            <w:vAlign w:val="center"/>
          </w:tcPr>
          <w:p w:rsidR="00024C0A" w:rsidRDefault="00694C0F">
            <w:pPr>
              <w:pStyle w:val="TableBodyText"/>
            </w:pPr>
            <w:r>
              <w:t>EquationRemoveSubscript</w:t>
            </w:r>
          </w:p>
        </w:tc>
        <w:tc>
          <w:tcPr>
            <w:tcW w:w="0" w:type="auto"/>
            <w:vAlign w:val="center"/>
          </w:tcPr>
          <w:p w:rsidR="00024C0A" w:rsidRDefault="00694C0F">
            <w:pPr>
              <w:pStyle w:val="TableBodyText"/>
            </w:pPr>
            <w:r>
              <w:t>0860</w:t>
            </w:r>
          </w:p>
        </w:tc>
      </w:tr>
      <w:tr w:rsidR="00024C0A" w:rsidTr="00024C0A">
        <w:tc>
          <w:tcPr>
            <w:tcW w:w="0" w:type="auto"/>
            <w:vAlign w:val="center"/>
          </w:tcPr>
          <w:p w:rsidR="00024C0A" w:rsidRDefault="00694C0F">
            <w:pPr>
              <w:pStyle w:val="TableBodyText"/>
            </w:pPr>
            <w:r>
              <w:t>EquationRemoveSuperscript</w:t>
            </w:r>
          </w:p>
        </w:tc>
        <w:tc>
          <w:tcPr>
            <w:tcW w:w="0" w:type="auto"/>
            <w:vAlign w:val="center"/>
          </w:tcPr>
          <w:p w:rsidR="00024C0A" w:rsidRDefault="00694C0F">
            <w:pPr>
              <w:pStyle w:val="TableBodyText"/>
            </w:pPr>
            <w:r>
              <w:t>0861</w:t>
            </w:r>
          </w:p>
        </w:tc>
      </w:tr>
      <w:tr w:rsidR="00024C0A" w:rsidTr="00024C0A">
        <w:tc>
          <w:tcPr>
            <w:tcW w:w="0" w:type="auto"/>
            <w:vAlign w:val="center"/>
          </w:tcPr>
          <w:p w:rsidR="00024C0A" w:rsidRDefault="00694C0F">
            <w:pPr>
              <w:pStyle w:val="TableBodyText"/>
            </w:pPr>
            <w:r>
              <w:t>EquationRightJustification</w:t>
            </w:r>
          </w:p>
        </w:tc>
        <w:tc>
          <w:tcPr>
            <w:tcW w:w="0" w:type="auto"/>
            <w:vAlign w:val="center"/>
          </w:tcPr>
          <w:p w:rsidR="00024C0A" w:rsidRDefault="00694C0F">
            <w:pPr>
              <w:pStyle w:val="TableBodyText"/>
            </w:pPr>
            <w:r>
              <w:t>08EC</w:t>
            </w:r>
          </w:p>
        </w:tc>
      </w:tr>
      <w:tr w:rsidR="00024C0A" w:rsidTr="00024C0A">
        <w:tc>
          <w:tcPr>
            <w:tcW w:w="0" w:type="auto"/>
            <w:vAlign w:val="center"/>
          </w:tcPr>
          <w:p w:rsidR="00024C0A" w:rsidRDefault="00694C0F">
            <w:pPr>
              <w:pStyle w:val="TableBodyText"/>
            </w:pPr>
            <w:r>
              <w:t>EquationScriptAlignment</w:t>
            </w:r>
          </w:p>
        </w:tc>
        <w:tc>
          <w:tcPr>
            <w:tcW w:w="0" w:type="auto"/>
            <w:vAlign w:val="center"/>
          </w:tcPr>
          <w:p w:rsidR="00024C0A" w:rsidRDefault="00694C0F">
            <w:pPr>
              <w:pStyle w:val="TableBodyText"/>
            </w:pPr>
            <w:r>
              <w:t>0868</w:t>
            </w:r>
          </w:p>
        </w:tc>
      </w:tr>
      <w:tr w:rsidR="00024C0A" w:rsidTr="00024C0A">
        <w:tc>
          <w:tcPr>
            <w:tcW w:w="0" w:type="auto"/>
            <w:vAlign w:val="center"/>
          </w:tcPr>
          <w:p w:rsidR="00024C0A" w:rsidRDefault="00694C0F">
            <w:pPr>
              <w:pStyle w:val="TableBodyText"/>
            </w:pPr>
            <w:r>
              <w:t>EquationScriptGallery</w:t>
            </w:r>
          </w:p>
        </w:tc>
        <w:tc>
          <w:tcPr>
            <w:tcW w:w="0" w:type="auto"/>
            <w:vAlign w:val="center"/>
          </w:tcPr>
          <w:p w:rsidR="00024C0A" w:rsidRDefault="00694C0F">
            <w:pPr>
              <w:pStyle w:val="TableBodyText"/>
            </w:pPr>
            <w:r>
              <w:t>07DD</w:t>
            </w:r>
          </w:p>
        </w:tc>
      </w:tr>
      <w:tr w:rsidR="00024C0A" w:rsidTr="00024C0A">
        <w:tc>
          <w:tcPr>
            <w:tcW w:w="0" w:type="auto"/>
            <w:vAlign w:val="center"/>
          </w:tcPr>
          <w:p w:rsidR="00024C0A" w:rsidRDefault="00694C0F">
            <w:pPr>
              <w:pStyle w:val="TableBodyText"/>
            </w:pPr>
            <w:r>
              <w:t>EquationScriptLocation</w:t>
            </w:r>
          </w:p>
        </w:tc>
        <w:tc>
          <w:tcPr>
            <w:tcW w:w="0" w:type="auto"/>
            <w:vAlign w:val="center"/>
          </w:tcPr>
          <w:p w:rsidR="00024C0A" w:rsidRDefault="00694C0F">
            <w:pPr>
              <w:pStyle w:val="TableBodyText"/>
            </w:pPr>
            <w:r>
              <w:t>08D8</w:t>
            </w:r>
          </w:p>
        </w:tc>
      </w:tr>
      <w:tr w:rsidR="00024C0A" w:rsidTr="00024C0A">
        <w:tc>
          <w:tcPr>
            <w:tcW w:w="0" w:type="auto"/>
            <w:vAlign w:val="center"/>
          </w:tcPr>
          <w:p w:rsidR="00024C0A" w:rsidRDefault="00694C0F">
            <w:pPr>
              <w:pStyle w:val="TableBodyText"/>
            </w:pPr>
            <w:r>
              <w:t>EquationShowHideBorderBLTRStrike</w:t>
            </w:r>
          </w:p>
        </w:tc>
        <w:tc>
          <w:tcPr>
            <w:tcW w:w="0" w:type="auto"/>
            <w:vAlign w:val="center"/>
          </w:tcPr>
          <w:p w:rsidR="00024C0A" w:rsidRDefault="00694C0F">
            <w:pPr>
              <w:pStyle w:val="TableBodyText"/>
            </w:pPr>
            <w:r>
              <w:t>0984</w:t>
            </w:r>
          </w:p>
        </w:tc>
      </w:tr>
      <w:tr w:rsidR="00024C0A" w:rsidTr="00024C0A">
        <w:tc>
          <w:tcPr>
            <w:tcW w:w="0" w:type="auto"/>
            <w:vAlign w:val="center"/>
          </w:tcPr>
          <w:p w:rsidR="00024C0A" w:rsidRDefault="00694C0F">
            <w:pPr>
              <w:pStyle w:val="TableBodyText"/>
            </w:pPr>
            <w:r>
              <w:t>EquationShowHideBorderBottom</w:t>
            </w:r>
          </w:p>
        </w:tc>
        <w:tc>
          <w:tcPr>
            <w:tcW w:w="0" w:type="auto"/>
            <w:vAlign w:val="center"/>
          </w:tcPr>
          <w:p w:rsidR="00024C0A" w:rsidRDefault="00694C0F">
            <w:pPr>
              <w:pStyle w:val="TableBodyText"/>
            </w:pPr>
            <w:r>
              <w:t>097E</w:t>
            </w:r>
          </w:p>
        </w:tc>
      </w:tr>
      <w:tr w:rsidR="00024C0A" w:rsidTr="00024C0A">
        <w:tc>
          <w:tcPr>
            <w:tcW w:w="0" w:type="auto"/>
            <w:vAlign w:val="center"/>
          </w:tcPr>
          <w:p w:rsidR="00024C0A" w:rsidRDefault="00694C0F">
            <w:pPr>
              <w:pStyle w:val="TableBodyText"/>
            </w:pPr>
            <w:r>
              <w:t>EquationShowHideBorderHorizontalStrike</w:t>
            </w:r>
          </w:p>
        </w:tc>
        <w:tc>
          <w:tcPr>
            <w:tcW w:w="0" w:type="auto"/>
            <w:vAlign w:val="center"/>
          </w:tcPr>
          <w:p w:rsidR="00024C0A" w:rsidRDefault="00694C0F">
            <w:pPr>
              <w:pStyle w:val="TableBodyText"/>
            </w:pPr>
            <w:r>
              <w:t>0981</w:t>
            </w:r>
          </w:p>
        </w:tc>
      </w:tr>
      <w:tr w:rsidR="00024C0A" w:rsidTr="00024C0A">
        <w:tc>
          <w:tcPr>
            <w:tcW w:w="0" w:type="auto"/>
            <w:vAlign w:val="center"/>
          </w:tcPr>
          <w:p w:rsidR="00024C0A" w:rsidRDefault="00694C0F">
            <w:pPr>
              <w:pStyle w:val="TableBodyText"/>
            </w:pPr>
            <w:r>
              <w:t>EquationShowHideBorderLeft</w:t>
            </w:r>
          </w:p>
        </w:tc>
        <w:tc>
          <w:tcPr>
            <w:tcW w:w="0" w:type="auto"/>
            <w:vAlign w:val="center"/>
          </w:tcPr>
          <w:p w:rsidR="00024C0A" w:rsidRDefault="00694C0F">
            <w:pPr>
              <w:pStyle w:val="TableBodyText"/>
            </w:pPr>
            <w:r>
              <w:t>097F</w:t>
            </w:r>
          </w:p>
        </w:tc>
      </w:tr>
      <w:tr w:rsidR="00024C0A" w:rsidTr="00024C0A">
        <w:tc>
          <w:tcPr>
            <w:tcW w:w="0" w:type="auto"/>
            <w:vAlign w:val="center"/>
          </w:tcPr>
          <w:p w:rsidR="00024C0A" w:rsidRDefault="00694C0F">
            <w:pPr>
              <w:pStyle w:val="TableBodyText"/>
            </w:pPr>
            <w:r>
              <w:t>EquationShowHideBorderRight</w:t>
            </w:r>
          </w:p>
        </w:tc>
        <w:tc>
          <w:tcPr>
            <w:tcW w:w="0" w:type="auto"/>
            <w:vAlign w:val="center"/>
          </w:tcPr>
          <w:p w:rsidR="00024C0A" w:rsidRDefault="00694C0F">
            <w:pPr>
              <w:pStyle w:val="TableBodyText"/>
            </w:pPr>
            <w:r>
              <w:t>0980</w:t>
            </w:r>
          </w:p>
        </w:tc>
      </w:tr>
      <w:tr w:rsidR="00024C0A" w:rsidTr="00024C0A">
        <w:tc>
          <w:tcPr>
            <w:tcW w:w="0" w:type="auto"/>
            <w:vAlign w:val="center"/>
          </w:tcPr>
          <w:p w:rsidR="00024C0A" w:rsidRDefault="00694C0F">
            <w:pPr>
              <w:pStyle w:val="TableBodyText"/>
            </w:pPr>
            <w:r>
              <w:t>EquationShowHideBorderTLBRStrike</w:t>
            </w:r>
          </w:p>
        </w:tc>
        <w:tc>
          <w:tcPr>
            <w:tcW w:w="0" w:type="auto"/>
            <w:vAlign w:val="center"/>
          </w:tcPr>
          <w:p w:rsidR="00024C0A" w:rsidRDefault="00694C0F">
            <w:pPr>
              <w:pStyle w:val="TableBodyText"/>
            </w:pPr>
            <w:r>
              <w:t>0983</w:t>
            </w:r>
          </w:p>
        </w:tc>
      </w:tr>
      <w:tr w:rsidR="00024C0A" w:rsidTr="00024C0A">
        <w:tc>
          <w:tcPr>
            <w:tcW w:w="0" w:type="auto"/>
            <w:vAlign w:val="center"/>
          </w:tcPr>
          <w:p w:rsidR="00024C0A" w:rsidRDefault="00694C0F">
            <w:pPr>
              <w:pStyle w:val="TableBodyText"/>
            </w:pPr>
            <w:r>
              <w:t>EquationShowHideBorderTop</w:t>
            </w:r>
          </w:p>
        </w:tc>
        <w:tc>
          <w:tcPr>
            <w:tcW w:w="0" w:type="auto"/>
            <w:vAlign w:val="center"/>
          </w:tcPr>
          <w:p w:rsidR="00024C0A" w:rsidRDefault="00694C0F">
            <w:pPr>
              <w:pStyle w:val="TableBodyText"/>
            </w:pPr>
            <w:r>
              <w:t>097D</w:t>
            </w:r>
          </w:p>
        </w:tc>
      </w:tr>
      <w:tr w:rsidR="00024C0A" w:rsidTr="00024C0A">
        <w:tc>
          <w:tcPr>
            <w:tcW w:w="0" w:type="auto"/>
            <w:vAlign w:val="center"/>
          </w:tcPr>
          <w:p w:rsidR="00024C0A" w:rsidRDefault="00694C0F">
            <w:pPr>
              <w:pStyle w:val="TableBodyText"/>
            </w:pPr>
            <w:r>
              <w:lastRenderedPageBreak/>
              <w:t>EquationShowHideBorderVerticalStrike</w:t>
            </w:r>
          </w:p>
        </w:tc>
        <w:tc>
          <w:tcPr>
            <w:tcW w:w="0" w:type="auto"/>
            <w:vAlign w:val="center"/>
          </w:tcPr>
          <w:p w:rsidR="00024C0A" w:rsidRDefault="00694C0F">
            <w:pPr>
              <w:pStyle w:val="TableBodyText"/>
            </w:pPr>
            <w:r>
              <w:t>0982</w:t>
            </w:r>
          </w:p>
        </w:tc>
      </w:tr>
      <w:tr w:rsidR="00024C0A" w:rsidTr="00024C0A">
        <w:tc>
          <w:tcPr>
            <w:tcW w:w="0" w:type="auto"/>
            <w:vAlign w:val="center"/>
          </w:tcPr>
          <w:p w:rsidR="00024C0A" w:rsidRDefault="00694C0F">
            <w:pPr>
              <w:pStyle w:val="TableBodyText"/>
            </w:pPr>
            <w:r>
              <w:t>EquationShowHideClosingDelimiter</w:t>
            </w:r>
          </w:p>
        </w:tc>
        <w:tc>
          <w:tcPr>
            <w:tcW w:w="0" w:type="auto"/>
            <w:vAlign w:val="center"/>
          </w:tcPr>
          <w:p w:rsidR="00024C0A" w:rsidRDefault="00694C0F">
            <w:pPr>
              <w:pStyle w:val="TableBodyText"/>
            </w:pPr>
            <w:r>
              <w:t>07D3</w:t>
            </w:r>
          </w:p>
        </w:tc>
      </w:tr>
      <w:tr w:rsidR="00024C0A" w:rsidTr="00024C0A">
        <w:tc>
          <w:tcPr>
            <w:tcW w:w="0" w:type="auto"/>
            <w:vAlign w:val="center"/>
          </w:tcPr>
          <w:p w:rsidR="00024C0A" w:rsidRDefault="00694C0F">
            <w:pPr>
              <w:pStyle w:val="TableBodyText"/>
            </w:pPr>
            <w:r>
              <w:t>EquationShowHideLowerLimit</w:t>
            </w:r>
          </w:p>
        </w:tc>
        <w:tc>
          <w:tcPr>
            <w:tcW w:w="0" w:type="auto"/>
            <w:vAlign w:val="center"/>
          </w:tcPr>
          <w:p w:rsidR="00024C0A" w:rsidRDefault="00694C0F">
            <w:pPr>
              <w:pStyle w:val="TableBodyText"/>
            </w:pPr>
            <w:r>
              <w:t>07CF</w:t>
            </w:r>
          </w:p>
        </w:tc>
      </w:tr>
      <w:tr w:rsidR="00024C0A" w:rsidTr="00024C0A">
        <w:tc>
          <w:tcPr>
            <w:tcW w:w="0" w:type="auto"/>
            <w:vAlign w:val="center"/>
          </w:tcPr>
          <w:p w:rsidR="00024C0A" w:rsidRDefault="00694C0F">
            <w:pPr>
              <w:pStyle w:val="TableBodyText"/>
            </w:pPr>
            <w:r>
              <w:t>EquationShowHideOpeningDelimiter</w:t>
            </w:r>
          </w:p>
        </w:tc>
        <w:tc>
          <w:tcPr>
            <w:tcW w:w="0" w:type="auto"/>
            <w:vAlign w:val="center"/>
          </w:tcPr>
          <w:p w:rsidR="00024C0A" w:rsidRDefault="00694C0F">
            <w:pPr>
              <w:pStyle w:val="TableBodyText"/>
            </w:pPr>
            <w:r>
              <w:t>07D2</w:t>
            </w:r>
          </w:p>
        </w:tc>
      </w:tr>
      <w:tr w:rsidR="00024C0A" w:rsidTr="00024C0A">
        <w:tc>
          <w:tcPr>
            <w:tcW w:w="0" w:type="auto"/>
            <w:vAlign w:val="center"/>
          </w:tcPr>
          <w:p w:rsidR="00024C0A" w:rsidRDefault="00694C0F">
            <w:pPr>
              <w:pStyle w:val="TableBodyText"/>
            </w:pPr>
            <w:r>
              <w:t>EquationShowHidePlaceholders</w:t>
            </w:r>
          </w:p>
        </w:tc>
        <w:tc>
          <w:tcPr>
            <w:tcW w:w="0" w:type="auto"/>
            <w:vAlign w:val="center"/>
          </w:tcPr>
          <w:p w:rsidR="00024C0A" w:rsidRDefault="00694C0F">
            <w:pPr>
              <w:pStyle w:val="TableBodyText"/>
            </w:pPr>
            <w:r>
              <w:t>0867</w:t>
            </w:r>
          </w:p>
        </w:tc>
      </w:tr>
      <w:tr w:rsidR="00024C0A" w:rsidTr="00024C0A">
        <w:tc>
          <w:tcPr>
            <w:tcW w:w="0" w:type="auto"/>
            <w:vAlign w:val="center"/>
          </w:tcPr>
          <w:p w:rsidR="00024C0A" w:rsidRDefault="00694C0F">
            <w:pPr>
              <w:pStyle w:val="TableBodyText"/>
            </w:pPr>
            <w:r>
              <w:t>EquationShowHideRadicalDegree</w:t>
            </w:r>
          </w:p>
        </w:tc>
        <w:tc>
          <w:tcPr>
            <w:tcW w:w="0" w:type="auto"/>
            <w:vAlign w:val="center"/>
          </w:tcPr>
          <w:p w:rsidR="00024C0A" w:rsidRDefault="00694C0F">
            <w:pPr>
              <w:pStyle w:val="TableBodyText"/>
            </w:pPr>
            <w:r>
              <w:t>07D1</w:t>
            </w:r>
          </w:p>
        </w:tc>
      </w:tr>
      <w:tr w:rsidR="00024C0A" w:rsidTr="00024C0A">
        <w:tc>
          <w:tcPr>
            <w:tcW w:w="0" w:type="auto"/>
            <w:vAlign w:val="center"/>
          </w:tcPr>
          <w:p w:rsidR="00024C0A" w:rsidRDefault="00694C0F">
            <w:pPr>
              <w:pStyle w:val="TableBodyText"/>
            </w:pPr>
            <w:r>
              <w:t>EquationShowHideUpperLimit</w:t>
            </w:r>
          </w:p>
        </w:tc>
        <w:tc>
          <w:tcPr>
            <w:tcW w:w="0" w:type="auto"/>
            <w:vAlign w:val="center"/>
          </w:tcPr>
          <w:p w:rsidR="00024C0A" w:rsidRDefault="00694C0F">
            <w:pPr>
              <w:pStyle w:val="TableBodyText"/>
            </w:pPr>
            <w:r>
              <w:t>07D0</w:t>
            </w:r>
          </w:p>
        </w:tc>
      </w:tr>
      <w:tr w:rsidR="00024C0A" w:rsidTr="00024C0A">
        <w:tc>
          <w:tcPr>
            <w:tcW w:w="0" w:type="auto"/>
            <w:vAlign w:val="center"/>
          </w:tcPr>
          <w:p w:rsidR="00024C0A" w:rsidRDefault="00694C0F">
            <w:pPr>
              <w:pStyle w:val="TableBodyText"/>
            </w:pPr>
            <w:r>
              <w:t>EquationSkewedFraction</w:t>
            </w:r>
          </w:p>
        </w:tc>
        <w:tc>
          <w:tcPr>
            <w:tcW w:w="0" w:type="auto"/>
            <w:vAlign w:val="center"/>
          </w:tcPr>
          <w:p w:rsidR="00024C0A" w:rsidRDefault="00694C0F">
            <w:pPr>
              <w:pStyle w:val="TableBodyText"/>
            </w:pPr>
            <w:r>
              <w:t>0864</w:t>
            </w:r>
          </w:p>
        </w:tc>
      </w:tr>
      <w:tr w:rsidR="00024C0A" w:rsidTr="00024C0A">
        <w:tc>
          <w:tcPr>
            <w:tcW w:w="0" w:type="auto"/>
            <w:vAlign w:val="center"/>
          </w:tcPr>
          <w:p w:rsidR="00024C0A" w:rsidRDefault="00694C0F">
            <w:pPr>
              <w:pStyle w:val="TableBodyText"/>
            </w:pPr>
            <w:r>
              <w:t>EquationStackedFraction</w:t>
            </w:r>
          </w:p>
        </w:tc>
        <w:tc>
          <w:tcPr>
            <w:tcW w:w="0" w:type="auto"/>
            <w:vAlign w:val="center"/>
          </w:tcPr>
          <w:p w:rsidR="00024C0A" w:rsidRDefault="00694C0F">
            <w:pPr>
              <w:pStyle w:val="TableBodyText"/>
            </w:pPr>
            <w:r>
              <w:t>0862</w:t>
            </w:r>
          </w:p>
        </w:tc>
      </w:tr>
      <w:tr w:rsidR="00024C0A" w:rsidTr="00024C0A">
        <w:tc>
          <w:tcPr>
            <w:tcW w:w="0" w:type="auto"/>
            <w:vAlign w:val="center"/>
          </w:tcPr>
          <w:p w:rsidR="00024C0A" w:rsidRDefault="00694C0F">
            <w:pPr>
              <w:pStyle w:val="TableBodyText"/>
            </w:pPr>
            <w:r>
              <w:t>EquationStretchDelimiters</w:t>
            </w:r>
          </w:p>
        </w:tc>
        <w:tc>
          <w:tcPr>
            <w:tcW w:w="0" w:type="auto"/>
            <w:vAlign w:val="center"/>
          </w:tcPr>
          <w:p w:rsidR="00024C0A" w:rsidRDefault="00694C0F">
            <w:pPr>
              <w:pStyle w:val="TableBodyText"/>
            </w:pPr>
            <w:r>
              <w:t>0866</w:t>
            </w:r>
          </w:p>
        </w:tc>
      </w:tr>
      <w:tr w:rsidR="00024C0A" w:rsidTr="00024C0A">
        <w:tc>
          <w:tcPr>
            <w:tcW w:w="0" w:type="auto"/>
            <w:vAlign w:val="center"/>
          </w:tcPr>
          <w:p w:rsidR="00024C0A" w:rsidRDefault="00694C0F">
            <w:pPr>
              <w:pStyle w:val="TableBodyText"/>
            </w:pPr>
            <w:r>
              <w:t>EquationStretchNaryOperator</w:t>
            </w:r>
          </w:p>
        </w:tc>
        <w:tc>
          <w:tcPr>
            <w:tcW w:w="0" w:type="auto"/>
            <w:vAlign w:val="center"/>
          </w:tcPr>
          <w:p w:rsidR="00024C0A" w:rsidRDefault="00694C0F">
            <w:pPr>
              <w:pStyle w:val="TableBodyText"/>
            </w:pPr>
            <w:r>
              <w:t>086F</w:t>
            </w:r>
          </w:p>
        </w:tc>
      </w:tr>
      <w:tr w:rsidR="00024C0A" w:rsidTr="00024C0A">
        <w:tc>
          <w:tcPr>
            <w:tcW w:w="0" w:type="auto"/>
            <w:vAlign w:val="center"/>
          </w:tcPr>
          <w:p w:rsidR="00024C0A" w:rsidRDefault="00694C0F">
            <w:pPr>
              <w:pStyle w:val="TableBodyText"/>
            </w:pPr>
            <w:r>
              <w:t>EquationSymbolsGallery</w:t>
            </w:r>
          </w:p>
        </w:tc>
        <w:tc>
          <w:tcPr>
            <w:tcW w:w="0" w:type="auto"/>
            <w:vAlign w:val="center"/>
          </w:tcPr>
          <w:p w:rsidR="00024C0A" w:rsidRDefault="00694C0F">
            <w:pPr>
              <w:pStyle w:val="TableBodyText"/>
            </w:pPr>
            <w:r>
              <w:t>0803</w:t>
            </w:r>
          </w:p>
        </w:tc>
      </w:tr>
      <w:tr w:rsidR="00024C0A" w:rsidTr="00024C0A">
        <w:tc>
          <w:tcPr>
            <w:tcW w:w="0" w:type="auto"/>
            <w:vAlign w:val="center"/>
          </w:tcPr>
          <w:p w:rsidR="00024C0A" w:rsidRDefault="00694C0F">
            <w:pPr>
              <w:pStyle w:val="TableBodyText"/>
            </w:pPr>
            <w:r>
              <w:t>EquationToggle</w:t>
            </w:r>
          </w:p>
        </w:tc>
        <w:tc>
          <w:tcPr>
            <w:tcW w:w="0" w:type="auto"/>
            <w:vAlign w:val="center"/>
          </w:tcPr>
          <w:p w:rsidR="00024C0A" w:rsidRDefault="00694C0F">
            <w:pPr>
              <w:pStyle w:val="TableBodyText"/>
            </w:pPr>
            <w:r>
              <w:t>0775</w:t>
            </w:r>
          </w:p>
        </w:tc>
      </w:tr>
      <w:tr w:rsidR="00024C0A" w:rsidTr="00024C0A">
        <w:tc>
          <w:tcPr>
            <w:tcW w:w="0" w:type="auto"/>
            <w:vAlign w:val="center"/>
          </w:tcPr>
          <w:p w:rsidR="00024C0A" w:rsidRDefault="00694C0F">
            <w:pPr>
              <w:pStyle w:val="TableBodyText"/>
            </w:pPr>
            <w:r>
              <w:t>EquationVerticalBottom</w:t>
            </w:r>
          </w:p>
        </w:tc>
        <w:tc>
          <w:tcPr>
            <w:tcW w:w="0" w:type="auto"/>
            <w:vAlign w:val="center"/>
          </w:tcPr>
          <w:p w:rsidR="00024C0A" w:rsidRDefault="00694C0F">
            <w:pPr>
              <w:pStyle w:val="TableBodyText"/>
            </w:pPr>
            <w:r>
              <w:t>07CB</w:t>
            </w:r>
          </w:p>
        </w:tc>
      </w:tr>
      <w:tr w:rsidR="00024C0A" w:rsidTr="00024C0A">
        <w:tc>
          <w:tcPr>
            <w:tcW w:w="0" w:type="auto"/>
            <w:vAlign w:val="center"/>
          </w:tcPr>
          <w:p w:rsidR="00024C0A" w:rsidRDefault="00694C0F">
            <w:pPr>
              <w:pStyle w:val="TableBodyText"/>
            </w:pPr>
            <w:r>
              <w:t>EquationVerticalCenter</w:t>
            </w:r>
          </w:p>
        </w:tc>
        <w:tc>
          <w:tcPr>
            <w:tcW w:w="0" w:type="auto"/>
            <w:vAlign w:val="center"/>
          </w:tcPr>
          <w:p w:rsidR="00024C0A" w:rsidRDefault="00694C0F">
            <w:pPr>
              <w:pStyle w:val="TableBodyText"/>
            </w:pPr>
            <w:r>
              <w:t>07C9</w:t>
            </w:r>
          </w:p>
        </w:tc>
      </w:tr>
      <w:tr w:rsidR="00024C0A" w:rsidTr="00024C0A">
        <w:tc>
          <w:tcPr>
            <w:tcW w:w="0" w:type="auto"/>
            <w:vAlign w:val="center"/>
          </w:tcPr>
          <w:p w:rsidR="00024C0A" w:rsidRDefault="00694C0F">
            <w:pPr>
              <w:pStyle w:val="TableBodyText"/>
            </w:pPr>
            <w:r>
              <w:t>EquationVerticalMenu</w:t>
            </w:r>
          </w:p>
        </w:tc>
        <w:tc>
          <w:tcPr>
            <w:tcW w:w="0" w:type="auto"/>
            <w:vAlign w:val="center"/>
          </w:tcPr>
          <w:p w:rsidR="00024C0A" w:rsidRDefault="00694C0F">
            <w:pPr>
              <w:pStyle w:val="TableBodyText"/>
            </w:pPr>
            <w:r>
              <w:t>16C2</w:t>
            </w:r>
          </w:p>
        </w:tc>
      </w:tr>
      <w:tr w:rsidR="00024C0A" w:rsidTr="00024C0A">
        <w:tc>
          <w:tcPr>
            <w:tcW w:w="0" w:type="auto"/>
            <w:vAlign w:val="center"/>
          </w:tcPr>
          <w:p w:rsidR="00024C0A" w:rsidRDefault="00694C0F">
            <w:pPr>
              <w:pStyle w:val="TableBodyText"/>
            </w:pPr>
            <w:r>
              <w:t>EquationVerticalTop</w:t>
            </w:r>
          </w:p>
        </w:tc>
        <w:tc>
          <w:tcPr>
            <w:tcW w:w="0" w:type="auto"/>
            <w:vAlign w:val="center"/>
          </w:tcPr>
          <w:p w:rsidR="00024C0A" w:rsidRDefault="00694C0F">
            <w:pPr>
              <w:pStyle w:val="TableBodyText"/>
            </w:pPr>
            <w:r>
              <w:t>07CA</w:t>
            </w:r>
          </w:p>
        </w:tc>
      </w:tr>
      <w:tr w:rsidR="00024C0A" w:rsidTr="00024C0A">
        <w:tc>
          <w:tcPr>
            <w:tcW w:w="0" w:type="auto"/>
            <w:vAlign w:val="center"/>
          </w:tcPr>
          <w:p w:rsidR="00024C0A" w:rsidRDefault="00694C0F">
            <w:pPr>
              <w:pStyle w:val="TableBodyText"/>
            </w:pPr>
            <w:r>
              <w:t>EquationsOptions</w:t>
            </w:r>
          </w:p>
        </w:tc>
        <w:tc>
          <w:tcPr>
            <w:tcW w:w="0" w:type="auto"/>
            <w:vAlign w:val="center"/>
          </w:tcPr>
          <w:p w:rsidR="00024C0A" w:rsidRDefault="00694C0F">
            <w:pPr>
              <w:pStyle w:val="TableBodyText"/>
            </w:pPr>
            <w:r>
              <w:t>095B</w:t>
            </w:r>
          </w:p>
        </w:tc>
      </w:tr>
      <w:tr w:rsidR="00024C0A" w:rsidTr="00024C0A">
        <w:tc>
          <w:tcPr>
            <w:tcW w:w="0" w:type="auto"/>
            <w:vAlign w:val="center"/>
          </w:tcPr>
          <w:p w:rsidR="00024C0A" w:rsidRDefault="00694C0F">
            <w:pPr>
              <w:pStyle w:val="TableBodyText"/>
            </w:pPr>
            <w:r>
              <w:t>Expanded</w:t>
            </w:r>
          </w:p>
        </w:tc>
        <w:tc>
          <w:tcPr>
            <w:tcW w:w="0" w:type="auto"/>
            <w:vAlign w:val="center"/>
          </w:tcPr>
          <w:p w:rsidR="00024C0A" w:rsidRDefault="00694C0F">
            <w:pPr>
              <w:pStyle w:val="TableBodyText"/>
            </w:pPr>
            <w:r>
              <w:t>0214</w:t>
            </w:r>
          </w:p>
        </w:tc>
      </w:tr>
      <w:tr w:rsidR="00024C0A" w:rsidTr="00024C0A">
        <w:tc>
          <w:tcPr>
            <w:tcW w:w="0" w:type="auto"/>
            <w:vAlign w:val="center"/>
          </w:tcPr>
          <w:p w:rsidR="00024C0A" w:rsidRDefault="00694C0F">
            <w:pPr>
              <w:pStyle w:val="TableBodyText"/>
            </w:pPr>
            <w:r>
              <w:t>ExtendSelection</w:t>
            </w:r>
          </w:p>
        </w:tc>
        <w:tc>
          <w:tcPr>
            <w:tcW w:w="0" w:type="auto"/>
            <w:vAlign w:val="center"/>
          </w:tcPr>
          <w:p w:rsidR="00024C0A" w:rsidRDefault="00694C0F">
            <w:pPr>
              <w:pStyle w:val="TableBodyText"/>
            </w:pPr>
            <w:r>
              <w:t>000E</w:t>
            </w:r>
          </w:p>
        </w:tc>
      </w:tr>
      <w:tr w:rsidR="00024C0A" w:rsidTr="00024C0A">
        <w:tc>
          <w:tcPr>
            <w:tcW w:w="0" w:type="auto"/>
            <w:vAlign w:val="center"/>
          </w:tcPr>
          <w:p w:rsidR="00024C0A" w:rsidRDefault="00694C0F">
            <w:pPr>
              <w:pStyle w:val="TableBodyText"/>
            </w:pPr>
            <w:r>
              <w:t>FPConfidential</w:t>
            </w:r>
          </w:p>
        </w:tc>
        <w:tc>
          <w:tcPr>
            <w:tcW w:w="0" w:type="auto"/>
            <w:vAlign w:val="center"/>
          </w:tcPr>
          <w:p w:rsidR="00024C0A" w:rsidRDefault="00694C0F">
            <w:pPr>
              <w:pStyle w:val="TableBodyText"/>
            </w:pPr>
            <w:r>
              <w:t>0598</w:t>
            </w:r>
          </w:p>
        </w:tc>
      </w:tr>
      <w:tr w:rsidR="00024C0A" w:rsidTr="00024C0A">
        <w:tc>
          <w:tcPr>
            <w:tcW w:w="0" w:type="auto"/>
            <w:vAlign w:val="center"/>
          </w:tcPr>
          <w:p w:rsidR="00024C0A" w:rsidRDefault="00694C0F">
            <w:pPr>
              <w:pStyle w:val="TableBodyText"/>
            </w:pPr>
            <w:r>
              <w:t>FPSelectUser</w:t>
            </w:r>
          </w:p>
        </w:tc>
        <w:tc>
          <w:tcPr>
            <w:tcW w:w="0" w:type="auto"/>
            <w:vAlign w:val="center"/>
          </w:tcPr>
          <w:p w:rsidR="00024C0A" w:rsidRDefault="00694C0F">
            <w:pPr>
              <w:pStyle w:val="TableBodyText"/>
            </w:pPr>
            <w:r>
              <w:t>05B5</w:t>
            </w:r>
          </w:p>
        </w:tc>
      </w:tr>
      <w:tr w:rsidR="00024C0A" w:rsidTr="00024C0A">
        <w:tc>
          <w:tcPr>
            <w:tcW w:w="0" w:type="auto"/>
            <w:vAlign w:val="center"/>
          </w:tcPr>
          <w:p w:rsidR="00024C0A" w:rsidRDefault="00694C0F">
            <w:pPr>
              <w:pStyle w:val="TableBodyText"/>
            </w:pPr>
            <w:r>
              <w:t>FPUnprotected</w:t>
            </w:r>
          </w:p>
        </w:tc>
        <w:tc>
          <w:tcPr>
            <w:tcW w:w="0" w:type="auto"/>
            <w:vAlign w:val="center"/>
          </w:tcPr>
          <w:p w:rsidR="00024C0A" w:rsidRDefault="00694C0F">
            <w:pPr>
              <w:pStyle w:val="TableBodyText"/>
            </w:pPr>
            <w:r>
              <w:t>0597</w:t>
            </w:r>
          </w:p>
        </w:tc>
      </w:tr>
      <w:tr w:rsidR="00024C0A" w:rsidTr="00024C0A">
        <w:tc>
          <w:tcPr>
            <w:tcW w:w="0" w:type="auto"/>
            <w:vAlign w:val="center"/>
          </w:tcPr>
          <w:p w:rsidR="00024C0A" w:rsidRDefault="00694C0F">
            <w:pPr>
              <w:pStyle w:val="TableBodyText"/>
            </w:pPr>
            <w:r>
              <w:t>FaxService</w:t>
            </w:r>
          </w:p>
        </w:tc>
        <w:tc>
          <w:tcPr>
            <w:tcW w:w="0" w:type="auto"/>
            <w:vAlign w:val="center"/>
          </w:tcPr>
          <w:p w:rsidR="00024C0A" w:rsidRDefault="00694C0F">
            <w:pPr>
              <w:pStyle w:val="TableBodyText"/>
            </w:pPr>
            <w:r>
              <w:t>05BB</w:t>
            </w:r>
          </w:p>
        </w:tc>
      </w:tr>
      <w:tr w:rsidR="00024C0A" w:rsidTr="00024C0A">
        <w:tc>
          <w:tcPr>
            <w:tcW w:w="0" w:type="auto"/>
            <w:vAlign w:val="center"/>
          </w:tcPr>
          <w:p w:rsidR="00024C0A" w:rsidRDefault="00694C0F">
            <w:pPr>
              <w:pStyle w:val="TableBodyText"/>
            </w:pPr>
            <w:r>
              <w:t>File1</w:t>
            </w:r>
          </w:p>
        </w:tc>
        <w:tc>
          <w:tcPr>
            <w:tcW w:w="0" w:type="auto"/>
            <w:vAlign w:val="center"/>
          </w:tcPr>
          <w:p w:rsidR="00024C0A" w:rsidRDefault="00694C0F">
            <w:pPr>
              <w:pStyle w:val="TableBodyText"/>
            </w:pPr>
            <w:r>
              <w:t>0FC5</w:t>
            </w:r>
          </w:p>
        </w:tc>
      </w:tr>
      <w:tr w:rsidR="00024C0A" w:rsidTr="00024C0A">
        <w:tc>
          <w:tcPr>
            <w:tcW w:w="0" w:type="auto"/>
            <w:vAlign w:val="center"/>
          </w:tcPr>
          <w:p w:rsidR="00024C0A" w:rsidRDefault="00694C0F">
            <w:pPr>
              <w:pStyle w:val="TableBodyText"/>
            </w:pPr>
            <w:r>
              <w:t>File10</w:t>
            </w:r>
          </w:p>
        </w:tc>
        <w:tc>
          <w:tcPr>
            <w:tcW w:w="0" w:type="auto"/>
            <w:vAlign w:val="center"/>
          </w:tcPr>
          <w:p w:rsidR="00024C0A" w:rsidRDefault="00694C0F">
            <w:pPr>
              <w:pStyle w:val="TableBodyText"/>
            </w:pPr>
            <w:r>
              <w:t>10CC</w:t>
            </w:r>
          </w:p>
        </w:tc>
      </w:tr>
      <w:tr w:rsidR="00024C0A" w:rsidTr="00024C0A">
        <w:tc>
          <w:tcPr>
            <w:tcW w:w="0" w:type="auto"/>
            <w:vAlign w:val="center"/>
          </w:tcPr>
          <w:p w:rsidR="00024C0A" w:rsidRDefault="00694C0F">
            <w:pPr>
              <w:pStyle w:val="TableBodyText"/>
            </w:pPr>
            <w:r>
              <w:t>File11</w:t>
            </w:r>
          </w:p>
        </w:tc>
        <w:tc>
          <w:tcPr>
            <w:tcW w:w="0" w:type="auto"/>
            <w:vAlign w:val="center"/>
          </w:tcPr>
          <w:p w:rsidR="00024C0A" w:rsidRDefault="00694C0F">
            <w:pPr>
              <w:pStyle w:val="TableBodyText"/>
            </w:pPr>
            <w:r>
              <w:t>10CD</w:t>
            </w:r>
          </w:p>
        </w:tc>
      </w:tr>
      <w:tr w:rsidR="00024C0A" w:rsidTr="00024C0A">
        <w:tc>
          <w:tcPr>
            <w:tcW w:w="0" w:type="auto"/>
            <w:vAlign w:val="center"/>
          </w:tcPr>
          <w:p w:rsidR="00024C0A" w:rsidRDefault="00694C0F">
            <w:pPr>
              <w:pStyle w:val="TableBodyText"/>
            </w:pPr>
            <w:r>
              <w:t>File12</w:t>
            </w:r>
          </w:p>
        </w:tc>
        <w:tc>
          <w:tcPr>
            <w:tcW w:w="0" w:type="auto"/>
            <w:vAlign w:val="center"/>
          </w:tcPr>
          <w:p w:rsidR="00024C0A" w:rsidRDefault="00694C0F">
            <w:pPr>
              <w:pStyle w:val="TableBodyText"/>
            </w:pPr>
            <w:r>
              <w:t>10CE</w:t>
            </w:r>
          </w:p>
        </w:tc>
      </w:tr>
      <w:tr w:rsidR="00024C0A" w:rsidTr="00024C0A">
        <w:tc>
          <w:tcPr>
            <w:tcW w:w="0" w:type="auto"/>
            <w:vAlign w:val="center"/>
          </w:tcPr>
          <w:p w:rsidR="00024C0A" w:rsidRDefault="00694C0F">
            <w:pPr>
              <w:pStyle w:val="TableBodyText"/>
            </w:pPr>
            <w:r>
              <w:t>File13</w:t>
            </w:r>
          </w:p>
        </w:tc>
        <w:tc>
          <w:tcPr>
            <w:tcW w:w="0" w:type="auto"/>
            <w:vAlign w:val="center"/>
          </w:tcPr>
          <w:p w:rsidR="00024C0A" w:rsidRDefault="00694C0F">
            <w:pPr>
              <w:pStyle w:val="TableBodyText"/>
            </w:pPr>
            <w:r>
              <w:t>10CF</w:t>
            </w:r>
          </w:p>
        </w:tc>
      </w:tr>
      <w:tr w:rsidR="00024C0A" w:rsidTr="00024C0A">
        <w:tc>
          <w:tcPr>
            <w:tcW w:w="0" w:type="auto"/>
            <w:vAlign w:val="center"/>
          </w:tcPr>
          <w:p w:rsidR="00024C0A" w:rsidRDefault="00694C0F">
            <w:pPr>
              <w:pStyle w:val="TableBodyText"/>
            </w:pPr>
            <w:r>
              <w:t>File14</w:t>
            </w:r>
          </w:p>
        </w:tc>
        <w:tc>
          <w:tcPr>
            <w:tcW w:w="0" w:type="auto"/>
            <w:vAlign w:val="center"/>
          </w:tcPr>
          <w:p w:rsidR="00024C0A" w:rsidRDefault="00694C0F">
            <w:pPr>
              <w:pStyle w:val="TableBodyText"/>
            </w:pPr>
            <w:r>
              <w:t>10D0</w:t>
            </w:r>
          </w:p>
        </w:tc>
      </w:tr>
      <w:tr w:rsidR="00024C0A" w:rsidTr="00024C0A">
        <w:tc>
          <w:tcPr>
            <w:tcW w:w="0" w:type="auto"/>
            <w:vAlign w:val="center"/>
          </w:tcPr>
          <w:p w:rsidR="00024C0A" w:rsidRDefault="00694C0F">
            <w:pPr>
              <w:pStyle w:val="TableBodyText"/>
            </w:pPr>
            <w:r>
              <w:t>File15</w:t>
            </w:r>
          </w:p>
        </w:tc>
        <w:tc>
          <w:tcPr>
            <w:tcW w:w="0" w:type="auto"/>
            <w:vAlign w:val="center"/>
          </w:tcPr>
          <w:p w:rsidR="00024C0A" w:rsidRDefault="00694C0F">
            <w:pPr>
              <w:pStyle w:val="TableBodyText"/>
            </w:pPr>
            <w:r>
              <w:t>10D1</w:t>
            </w:r>
          </w:p>
        </w:tc>
      </w:tr>
      <w:tr w:rsidR="00024C0A" w:rsidTr="00024C0A">
        <w:tc>
          <w:tcPr>
            <w:tcW w:w="0" w:type="auto"/>
            <w:vAlign w:val="center"/>
          </w:tcPr>
          <w:p w:rsidR="00024C0A" w:rsidRDefault="00694C0F">
            <w:pPr>
              <w:pStyle w:val="TableBodyText"/>
            </w:pPr>
            <w:r>
              <w:t>File16</w:t>
            </w:r>
          </w:p>
        </w:tc>
        <w:tc>
          <w:tcPr>
            <w:tcW w:w="0" w:type="auto"/>
            <w:vAlign w:val="center"/>
          </w:tcPr>
          <w:p w:rsidR="00024C0A" w:rsidRDefault="00694C0F">
            <w:pPr>
              <w:pStyle w:val="TableBodyText"/>
            </w:pPr>
            <w:r>
              <w:t>10D2</w:t>
            </w:r>
          </w:p>
        </w:tc>
      </w:tr>
      <w:tr w:rsidR="00024C0A" w:rsidTr="00024C0A">
        <w:tc>
          <w:tcPr>
            <w:tcW w:w="0" w:type="auto"/>
            <w:vAlign w:val="center"/>
          </w:tcPr>
          <w:p w:rsidR="00024C0A" w:rsidRDefault="00694C0F">
            <w:pPr>
              <w:pStyle w:val="TableBodyText"/>
            </w:pPr>
            <w:r>
              <w:lastRenderedPageBreak/>
              <w:t>File17</w:t>
            </w:r>
          </w:p>
        </w:tc>
        <w:tc>
          <w:tcPr>
            <w:tcW w:w="0" w:type="auto"/>
            <w:vAlign w:val="center"/>
          </w:tcPr>
          <w:p w:rsidR="00024C0A" w:rsidRDefault="00694C0F">
            <w:pPr>
              <w:pStyle w:val="TableBodyText"/>
            </w:pPr>
            <w:r>
              <w:t>10D3</w:t>
            </w:r>
          </w:p>
        </w:tc>
      </w:tr>
      <w:tr w:rsidR="00024C0A" w:rsidTr="00024C0A">
        <w:tc>
          <w:tcPr>
            <w:tcW w:w="0" w:type="auto"/>
            <w:vAlign w:val="center"/>
          </w:tcPr>
          <w:p w:rsidR="00024C0A" w:rsidRDefault="00694C0F">
            <w:pPr>
              <w:pStyle w:val="TableBodyText"/>
            </w:pPr>
            <w:r>
              <w:t>File18</w:t>
            </w:r>
          </w:p>
        </w:tc>
        <w:tc>
          <w:tcPr>
            <w:tcW w:w="0" w:type="auto"/>
            <w:vAlign w:val="center"/>
          </w:tcPr>
          <w:p w:rsidR="00024C0A" w:rsidRDefault="00694C0F">
            <w:pPr>
              <w:pStyle w:val="TableBodyText"/>
            </w:pPr>
            <w:r>
              <w:t>10D4</w:t>
            </w:r>
          </w:p>
        </w:tc>
      </w:tr>
      <w:tr w:rsidR="00024C0A" w:rsidTr="00024C0A">
        <w:tc>
          <w:tcPr>
            <w:tcW w:w="0" w:type="auto"/>
            <w:vAlign w:val="center"/>
          </w:tcPr>
          <w:p w:rsidR="00024C0A" w:rsidRDefault="00694C0F">
            <w:pPr>
              <w:pStyle w:val="TableBodyText"/>
            </w:pPr>
            <w:r>
              <w:t>File19</w:t>
            </w:r>
          </w:p>
        </w:tc>
        <w:tc>
          <w:tcPr>
            <w:tcW w:w="0" w:type="auto"/>
            <w:vAlign w:val="center"/>
          </w:tcPr>
          <w:p w:rsidR="00024C0A" w:rsidRDefault="00694C0F">
            <w:pPr>
              <w:pStyle w:val="TableBodyText"/>
            </w:pPr>
            <w:r>
              <w:t>10D5</w:t>
            </w:r>
          </w:p>
        </w:tc>
      </w:tr>
      <w:tr w:rsidR="00024C0A" w:rsidTr="00024C0A">
        <w:tc>
          <w:tcPr>
            <w:tcW w:w="0" w:type="auto"/>
            <w:vAlign w:val="center"/>
          </w:tcPr>
          <w:p w:rsidR="00024C0A" w:rsidRDefault="00694C0F">
            <w:pPr>
              <w:pStyle w:val="TableBodyText"/>
            </w:pPr>
            <w:r>
              <w:t>File2</w:t>
            </w:r>
          </w:p>
        </w:tc>
        <w:tc>
          <w:tcPr>
            <w:tcW w:w="0" w:type="auto"/>
            <w:vAlign w:val="center"/>
          </w:tcPr>
          <w:p w:rsidR="00024C0A" w:rsidRDefault="00694C0F">
            <w:pPr>
              <w:pStyle w:val="TableBodyText"/>
            </w:pPr>
            <w:r>
              <w:t>0FC6</w:t>
            </w:r>
          </w:p>
        </w:tc>
      </w:tr>
      <w:tr w:rsidR="00024C0A" w:rsidTr="00024C0A">
        <w:tc>
          <w:tcPr>
            <w:tcW w:w="0" w:type="auto"/>
            <w:vAlign w:val="center"/>
          </w:tcPr>
          <w:p w:rsidR="00024C0A" w:rsidRDefault="00694C0F">
            <w:pPr>
              <w:pStyle w:val="TableBodyText"/>
            </w:pPr>
            <w:r>
              <w:t>File20</w:t>
            </w:r>
          </w:p>
        </w:tc>
        <w:tc>
          <w:tcPr>
            <w:tcW w:w="0" w:type="auto"/>
            <w:vAlign w:val="center"/>
          </w:tcPr>
          <w:p w:rsidR="00024C0A" w:rsidRDefault="00694C0F">
            <w:pPr>
              <w:pStyle w:val="TableBodyText"/>
            </w:pPr>
            <w:r>
              <w:t>10D6</w:t>
            </w:r>
          </w:p>
        </w:tc>
      </w:tr>
      <w:tr w:rsidR="00024C0A" w:rsidTr="00024C0A">
        <w:tc>
          <w:tcPr>
            <w:tcW w:w="0" w:type="auto"/>
            <w:vAlign w:val="center"/>
          </w:tcPr>
          <w:p w:rsidR="00024C0A" w:rsidRDefault="00694C0F">
            <w:pPr>
              <w:pStyle w:val="TableBodyText"/>
            </w:pPr>
            <w:r>
              <w:t>File21</w:t>
            </w:r>
          </w:p>
        </w:tc>
        <w:tc>
          <w:tcPr>
            <w:tcW w:w="0" w:type="auto"/>
            <w:vAlign w:val="center"/>
          </w:tcPr>
          <w:p w:rsidR="00024C0A" w:rsidRDefault="00694C0F">
            <w:pPr>
              <w:pStyle w:val="TableBodyText"/>
            </w:pPr>
            <w:r>
              <w:t>10D7</w:t>
            </w:r>
          </w:p>
        </w:tc>
      </w:tr>
      <w:tr w:rsidR="00024C0A" w:rsidTr="00024C0A">
        <w:tc>
          <w:tcPr>
            <w:tcW w:w="0" w:type="auto"/>
            <w:vAlign w:val="center"/>
          </w:tcPr>
          <w:p w:rsidR="00024C0A" w:rsidRDefault="00694C0F">
            <w:pPr>
              <w:pStyle w:val="TableBodyText"/>
            </w:pPr>
            <w:r>
              <w:t>File22</w:t>
            </w:r>
          </w:p>
        </w:tc>
        <w:tc>
          <w:tcPr>
            <w:tcW w:w="0" w:type="auto"/>
            <w:vAlign w:val="center"/>
          </w:tcPr>
          <w:p w:rsidR="00024C0A" w:rsidRDefault="00694C0F">
            <w:pPr>
              <w:pStyle w:val="TableBodyText"/>
            </w:pPr>
            <w:r>
              <w:t>10D8</w:t>
            </w:r>
          </w:p>
        </w:tc>
      </w:tr>
      <w:tr w:rsidR="00024C0A" w:rsidTr="00024C0A">
        <w:tc>
          <w:tcPr>
            <w:tcW w:w="0" w:type="auto"/>
            <w:vAlign w:val="center"/>
          </w:tcPr>
          <w:p w:rsidR="00024C0A" w:rsidRDefault="00694C0F">
            <w:pPr>
              <w:pStyle w:val="TableBodyText"/>
            </w:pPr>
            <w:r>
              <w:t>File23</w:t>
            </w:r>
          </w:p>
        </w:tc>
        <w:tc>
          <w:tcPr>
            <w:tcW w:w="0" w:type="auto"/>
            <w:vAlign w:val="center"/>
          </w:tcPr>
          <w:p w:rsidR="00024C0A" w:rsidRDefault="00694C0F">
            <w:pPr>
              <w:pStyle w:val="TableBodyText"/>
            </w:pPr>
            <w:r>
              <w:t>10D9</w:t>
            </w:r>
          </w:p>
        </w:tc>
      </w:tr>
      <w:tr w:rsidR="00024C0A" w:rsidTr="00024C0A">
        <w:tc>
          <w:tcPr>
            <w:tcW w:w="0" w:type="auto"/>
            <w:vAlign w:val="center"/>
          </w:tcPr>
          <w:p w:rsidR="00024C0A" w:rsidRDefault="00694C0F">
            <w:pPr>
              <w:pStyle w:val="TableBodyText"/>
            </w:pPr>
            <w:r>
              <w:t>File24</w:t>
            </w:r>
          </w:p>
        </w:tc>
        <w:tc>
          <w:tcPr>
            <w:tcW w:w="0" w:type="auto"/>
            <w:vAlign w:val="center"/>
          </w:tcPr>
          <w:p w:rsidR="00024C0A" w:rsidRDefault="00694C0F">
            <w:pPr>
              <w:pStyle w:val="TableBodyText"/>
            </w:pPr>
            <w:r>
              <w:t>10DA</w:t>
            </w:r>
          </w:p>
        </w:tc>
      </w:tr>
      <w:tr w:rsidR="00024C0A" w:rsidTr="00024C0A">
        <w:tc>
          <w:tcPr>
            <w:tcW w:w="0" w:type="auto"/>
            <w:vAlign w:val="center"/>
          </w:tcPr>
          <w:p w:rsidR="00024C0A" w:rsidRDefault="00694C0F">
            <w:pPr>
              <w:pStyle w:val="TableBodyText"/>
            </w:pPr>
            <w:r>
              <w:t>File25</w:t>
            </w:r>
          </w:p>
        </w:tc>
        <w:tc>
          <w:tcPr>
            <w:tcW w:w="0" w:type="auto"/>
            <w:vAlign w:val="center"/>
          </w:tcPr>
          <w:p w:rsidR="00024C0A" w:rsidRDefault="00694C0F">
            <w:pPr>
              <w:pStyle w:val="TableBodyText"/>
            </w:pPr>
            <w:r>
              <w:t>10DB</w:t>
            </w:r>
          </w:p>
        </w:tc>
      </w:tr>
      <w:tr w:rsidR="00024C0A" w:rsidTr="00024C0A">
        <w:tc>
          <w:tcPr>
            <w:tcW w:w="0" w:type="auto"/>
            <w:vAlign w:val="center"/>
          </w:tcPr>
          <w:p w:rsidR="00024C0A" w:rsidRDefault="00694C0F">
            <w:pPr>
              <w:pStyle w:val="TableBodyText"/>
            </w:pPr>
            <w:r>
              <w:t>File26</w:t>
            </w:r>
          </w:p>
        </w:tc>
        <w:tc>
          <w:tcPr>
            <w:tcW w:w="0" w:type="auto"/>
            <w:vAlign w:val="center"/>
          </w:tcPr>
          <w:p w:rsidR="00024C0A" w:rsidRDefault="00694C0F">
            <w:pPr>
              <w:pStyle w:val="TableBodyText"/>
            </w:pPr>
            <w:r>
              <w:t>10DC</w:t>
            </w:r>
          </w:p>
        </w:tc>
      </w:tr>
      <w:tr w:rsidR="00024C0A" w:rsidTr="00024C0A">
        <w:tc>
          <w:tcPr>
            <w:tcW w:w="0" w:type="auto"/>
            <w:vAlign w:val="center"/>
          </w:tcPr>
          <w:p w:rsidR="00024C0A" w:rsidRDefault="00694C0F">
            <w:pPr>
              <w:pStyle w:val="TableBodyText"/>
            </w:pPr>
            <w:r>
              <w:t>File27</w:t>
            </w:r>
          </w:p>
        </w:tc>
        <w:tc>
          <w:tcPr>
            <w:tcW w:w="0" w:type="auto"/>
            <w:vAlign w:val="center"/>
          </w:tcPr>
          <w:p w:rsidR="00024C0A" w:rsidRDefault="00694C0F">
            <w:pPr>
              <w:pStyle w:val="TableBodyText"/>
            </w:pPr>
            <w:r>
              <w:t>10DD</w:t>
            </w:r>
          </w:p>
        </w:tc>
      </w:tr>
      <w:tr w:rsidR="00024C0A" w:rsidTr="00024C0A">
        <w:tc>
          <w:tcPr>
            <w:tcW w:w="0" w:type="auto"/>
            <w:vAlign w:val="center"/>
          </w:tcPr>
          <w:p w:rsidR="00024C0A" w:rsidRDefault="00694C0F">
            <w:pPr>
              <w:pStyle w:val="TableBodyText"/>
            </w:pPr>
            <w:r>
              <w:t>File28</w:t>
            </w:r>
          </w:p>
        </w:tc>
        <w:tc>
          <w:tcPr>
            <w:tcW w:w="0" w:type="auto"/>
            <w:vAlign w:val="center"/>
          </w:tcPr>
          <w:p w:rsidR="00024C0A" w:rsidRDefault="00694C0F">
            <w:pPr>
              <w:pStyle w:val="TableBodyText"/>
            </w:pPr>
            <w:r>
              <w:t>10DE</w:t>
            </w:r>
          </w:p>
        </w:tc>
      </w:tr>
      <w:tr w:rsidR="00024C0A" w:rsidTr="00024C0A">
        <w:tc>
          <w:tcPr>
            <w:tcW w:w="0" w:type="auto"/>
            <w:vAlign w:val="center"/>
          </w:tcPr>
          <w:p w:rsidR="00024C0A" w:rsidRDefault="00694C0F">
            <w:pPr>
              <w:pStyle w:val="TableBodyText"/>
            </w:pPr>
            <w:r>
              <w:t>File29</w:t>
            </w:r>
          </w:p>
        </w:tc>
        <w:tc>
          <w:tcPr>
            <w:tcW w:w="0" w:type="auto"/>
            <w:vAlign w:val="center"/>
          </w:tcPr>
          <w:p w:rsidR="00024C0A" w:rsidRDefault="00694C0F">
            <w:pPr>
              <w:pStyle w:val="TableBodyText"/>
            </w:pPr>
            <w:r>
              <w:t>10DF</w:t>
            </w:r>
          </w:p>
        </w:tc>
      </w:tr>
      <w:tr w:rsidR="00024C0A" w:rsidTr="00024C0A">
        <w:tc>
          <w:tcPr>
            <w:tcW w:w="0" w:type="auto"/>
            <w:vAlign w:val="center"/>
          </w:tcPr>
          <w:p w:rsidR="00024C0A" w:rsidRDefault="00694C0F">
            <w:pPr>
              <w:pStyle w:val="TableBodyText"/>
            </w:pPr>
            <w:r>
              <w:t>File3</w:t>
            </w:r>
          </w:p>
        </w:tc>
        <w:tc>
          <w:tcPr>
            <w:tcW w:w="0" w:type="auto"/>
            <w:vAlign w:val="center"/>
          </w:tcPr>
          <w:p w:rsidR="00024C0A" w:rsidRDefault="00694C0F">
            <w:pPr>
              <w:pStyle w:val="TableBodyText"/>
            </w:pPr>
            <w:r>
              <w:t>0FC7</w:t>
            </w:r>
          </w:p>
        </w:tc>
      </w:tr>
      <w:tr w:rsidR="00024C0A" w:rsidTr="00024C0A">
        <w:tc>
          <w:tcPr>
            <w:tcW w:w="0" w:type="auto"/>
            <w:vAlign w:val="center"/>
          </w:tcPr>
          <w:p w:rsidR="00024C0A" w:rsidRDefault="00694C0F">
            <w:pPr>
              <w:pStyle w:val="TableBodyText"/>
            </w:pPr>
            <w:r>
              <w:t>File30</w:t>
            </w:r>
          </w:p>
        </w:tc>
        <w:tc>
          <w:tcPr>
            <w:tcW w:w="0" w:type="auto"/>
            <w:vAlign w:val="center"/>
          </w:tcPr>
          <w:p w:rsidR="00024C0A" w:rsidRDefault="00694C0F">
            <w:pPr>
              <w:pStyle w:val="TableBodyText"/>
            </w:pPr>
            <w:r>
              <w:t>10E0</w:t>
            </w:r>
          </w:p>
        </w:tc>
      </w:tr>
      <w:tr w:rsidR="00024C0A" w:rsidTr="00024C0A">
        <w:tc>
          <w:tcPr>
            <w:tcW w:w="0" w:type="auto"/>
            <w:vAlign w:val="center"/>
          </w:tcPr>
          <w:p w:rsidR="00024C0A" w:rsidRDefault="00694C0F">
            <w:pPr>
              <w:pStyle w:val="TableBodyText"/>
            </w:pPr>
            <w:r>
              <w:t>File31</w:t>
            </w:r>
          </w:p>
        </w:tc>
        <w:tc>
          <w:tcPr>
            <w:tcW w:w="0" w:type="auto"/>
            <w:vAlign w:val="center"/>
          </w:tcPr>
          <w:p w:rsidR="00024C0A" w:rsidRDefault="00694C0F">
            <w:pPr>
              <w:pStyle w:val="TableBodyText"/>
            </w:pPr>
            <w:r>
              <w:t>10E1</w:t>
            </w:r>
          </w:p>
        </w:tc>
      </w:tr>
      <w:tr w:rsidR="00024C0A" w:rsidTr="00024C0A">
        <w:tc>
          <w:tcPr>
            <w:tcW w:w="0" w:type="auto"/>
            <w:vAlign w:val="center"/>
          </w:tcPr>
          <w:p w:rsidR="00024C0A" w:rsidRDefault="00694C0F">
            <w:pPr>
              <w:pStyle w:val="TableBodyText"/>
            </w:pPr>
            <w:r>
              <w:t>File32</w:t>
            </w:r>
          </w:p>
        </w:tc>
        <w:tc>
          <w:tcPr>
            <w:tcW w:w="0" w:type="auto"/>
            <w:vAlign w:val="center"/>
          </w:tcPr>
          <w:p w:rsidR="00024C0A" w:rsidRDefault="00694C0F">
            <w:pPr>
              <w:pStyle w:val="TableBodyText"/>
            </w:pPr>
            <w:r>
              <w:t>10E2</w:t>
            </w:r>
          </w:p>
        </w:tc>
      </w:tr>
      <w:tr w:rsidR="00024C0A" w:rsidTr="00024C0A">
        <w:tc>
          <w:tcPr>
            <w:tcW w:w="0" w:type="auto"/>
            <w:vAlign w:val="center"/>
          </w:tcPr>
          <w:p w:rsidR="00024C0A" w:rsidRDefault="00694C0F">
            <w:pPr>
              <w:pStyle w:val="TableBodyText"/>
            </w:pPr>
            <w:r>
              <w:t>File33</w:t>
            </w:r>
          </w:p>
        </w:tc>
        <w:tc>
          <w:tcPr>
            <w:tcW w:w="0" w:type="auto"/>
            <w:vAlign w:val="center"/>
          </w:tcPr>
          <w:p w:rsidR="00024C0A" w:rsidRDefault="00694C0F">
            <w:pPr>
              <w:pStyle w:val="TableBodyText"/>
            </w:pPr>
            <w:r>
              <w:t>10E3</w:t>
            </w:r>
          </w:p>
        </w:tc>
      </w:tr>
      <w:tr w:rsidR="00024C0A" w:rsidTr="00024C0A">
        <w:tc>
          <w:tcPr>
            <w:tcW w:w="0" w:type="auto"/>
            <w:vAlign w:val="center"/>
          </w:tcPr>
          <w:p w:rsidR="00024C0A" w:rsidRDefault="00694C0F">
            <w:pPr>
              <w:pStyle w:val="TableBodyText"/>
            </w:pPr>
            <w:r>
              <w:t>File34</w:t>
            </w:r>
          </w:p>
        </w:tc>
        <w:tc>
          <w:tcPr>
            <w:tcW w:w="0" w:type="auto"/>
            <w:vAlign w:val="center"/>
          </w:tcPr>
          <w:p w:rsidR="00024C0A" w:rsidRDefault="00694C0F">
            <w:pPr>
              <w:pStyle w:val="TableBodyText"/>
            </w:pPr>
            <w:r>
              <w:t>10E4</w:t>
            </w:r>
          </w:p>
        </w:tc>
      </w:tr>
      <w:tr w:rsidR="00024C0A" w:rsidTr="00024C0A">
        <w:tc>
          <w:tcPr>
            <w:tcW w:w="0" w:type="auto"/>
            <w:vAlign w:val="center"/>
          </w:tcPr>
          <w:p w:rsidR="00024C0A" w:rsidRDefault="00694C0F">
            <w:pPr>
              <w:pStyle w:val="TableBodyText"/>
            </w:pPr>
            <w:r>
              <w:t>File35</w:t>
            </w:r>
          </w:p>
        </w:tc>
        <w:tc>
          <w:tcPr>
            <w:tcW w:w="0" w:type="auto"/>
            <w:vAlign w:val="center"/>
          </w:tcPr>
          <w:p w:rsidR="00024C0A" w:rsidRDefault="00694C0F">
            <w:pPr>
              <w:pStyle w:val="TableBodyText"/>
            </w:pPr>
            <w:r>
              <w:t>10E5</w:t>
            </w:r>
          </w:p>
        </w:tc>
      </w:tr>
      <w:tr w:rsidR="00024C0A" w:rsidTr="00024C0A">
        <w:tc>
          <w:tcPr>
            <w:tcW w:w="0" w:type="auto"/>
            <w:vAlign w:val="center"/>
          </w:tcPr>
          <w:p w:rsidR="00024C0A" w:rsidRDefault="00694C0F">
            <w:pPr>
              <w:pStyle w:val="TableBodyText"/>
            </w:pPr>
            <w:r>
              <w:t>File36</w:t>
            </w:r>
          </w:p>
        </w:tc>
        <w:tc>
          <w:tcPr>
            <w:tcW w:w="0" w:type="auto"/>
            <w:vAlign w:val="center"/>
          </w:tcPr>
          <w:p w:rsidR="00024C0A" w:rsidRDefault="00694C0F">
            <w:pPr>
              <w:pStyle w:val="TableBodyText"/>
            </w:pPr>
            <w:r>
              <w:t>10E6</w:t>
            </w:r>
          </w:p>
        </w:tc>
      </w:tr>
      <w:tr w:rsidR="00024C0A" w:rsidTr="00024C0A">
        <w:tc>
          <w:tcPr>
            <w:tcW w:w="0" w:type="auto"/>
            <w:vAlign w:val="center"/>
          </w:tcPr>
          <w:p w:rsidR="00024C0A" w:rsidRDefault="00694C0F">
            <w:pPr>
              <w:pStyle w:val="TableBodyText"/>
            </w:pPr>
            <w:r>
              <w:t>File37</w:t>
            </w:r>
          </w:p>
        </w:tc>
        <w:tc>
          <w:tcPr>
            <w:tcW w:w="0" w:type="auto"/>
            <w:vAlign w:val="center"/>
          </w:tcPr>
          <w:p w:rsidR="00024C0A" w:rsidRDefault="00694C0F">
            <w:pPr>
              <w:pStyle w:val="TableBodyText"/>
            </w:pPr>
            <w:r>
              <w:t>10E7</w:t>
            </w:r>
          </w:p>
        </w:tc>
      </w:tr>
      <w:tr w:rsidR="00024C0A" w:rsidTr="00024C0A">
        <w:tc>
          <w:tcPr>
            <w:tcW w:w="0" w:type="auto"/>
            <w:vAlign w:val="center"/>
          </w:tcPr>
          <w:p w:rsidR="00024C0A" w:rsidRDefault="00694C0F">
            <w:pPr>
              <w:pStyle w:val="TableBodyText"/>
            </w:pPr>
            <w:r>
              <w:t>File38</w:t>
            </w:r>
          </w:p>
        </w:tc>
        <w:tc>
          <w:tcPr>
            <w:tcW w:w="0" w:type="auto"/>
            <w:vAlign w:val="center"/>
          </w:tcPr>
          <w:p w:rsidR="00024C0A" w:rsidRDefault="00694C0F">
            <w:pPr>
              <w:pStyle w:val="TableBodyText"/>
            </w:pPr>
            <w:r>
              <w:t>10E8</w:t>
            </w:r>
          </w:p>
        </w:tc>
      </w:tr>
      <w:tr w:rsidR="00024C0A" w:rsidTr="00024C0A">
        <w:tc>
          <w:tcPr>
            <w:tcW w:w="0" w:type="auto"/>
            <w:vAlign w:val="center"/>
          </w:tcPr>
          <w:p w:rsidR="00024C0A" w:rsidRDefault="00694C0F">
            <w:pPr>
              <w:pStyle w:val="TableBodyText"/>
            </w:pPr>
            <w:r>
              <w:t>File39</w:t>
            </w:r>
          </w:p>
        </w:tc>
        <w:tc>
          <w:tcPr>
            <w:tcW w:w="0" w:type="auto"/>
            <w:vAlign w:val="center"/>
          </w:tcPr>
          <w:p w:rsidR="00024C0A" w:rsidRDefault="00694C0F">
            <w:pPr>
              <w:pStyle w:val="TableBodyText"/>
            </w:pPr>
            <w:r>
              <w:t>10E9</w:t>
            </w:r>
          </w:p>
        </w:tc>
      </w:tr>
      <w:tr w:rsidR="00024C0A" w:rsidTr="00024C0A">
        <w:tc>
          <w:tcPr>
            <w:tcW w:w="0" w:type="auto"/>
            <w:vAlign w:val="center"/>
          </w:tcPr>
          <w:p w:rsidR="00024C0A" w:rsidRDefault="00694C0F">
            <w:pPr>
              <w:pStyle w:val="TableBodyText"/>
            </w:pPr>
            <w:r>
              <w:t>File4</w:t>
            </w:r>
          </w:p>
        </w:tc>
        <w:tc>
          <w:tcPr>
            <w:tcW w:w="0" w:type="auto"/>
            <w:vAlign w:val="center"/>
          </w:tcPr>
          <w:p w:rsidR="00024C0A" w:rsidRDefault="00694C0F">
            <w:pPr>
              <w:pStyle w:val="TableBodyText"/>
            </w:pPr>
            <w:r>
              <w:t>0FC8</w:t>
            </w:r>
          </w:p>
        </w:tc>
      </w:tr>
      <w:tr w:rsidR="00024C0A" w:rsidTr="00024C0A">
        <w:tc>
          <w:tcPr>
            <w:tcW w:w="0" w:type="auto"/>
            <w:vAlign w:val="center"/>
          </w:tcPr>
          <w:p w:rsidR="00024C0A" w:rsidRDefault="00694C0F">
            <w:pPr>
              <w:pStyle w:val="TableBodyText"/>
            </w:pPr>
            <w:r>
              <w:t>File40</w:t>
            </w:r>
          </w:p>
        </w:tc>
        <w:tc>
          <w:tcPr>
            <w:tcW w:w="0" w:type="auto"/>
            <w:vAlign w:val="center"/>
          </w:tcPr>
          <w:p w:rsidR="00024C0A" w:rsidRDefault="00694C0F">
            <w:pPr>
              <w:pStyle w:val="TableBodyText"/>
            </w:pPr>
            <w:r>
              <w:t>10EA</w:t>
            </w:r>
          </w:p>
        </w:tc>
      </w:tr>
      <w:tr w:rsidR="00024C0A" w:rsidTr="00024C0A">
        <w:tc>
          <w:tcPr>
            <w:tcW w:w="0" w:type="auto"/>
            <w:vAlign w:val="center"/>
          </w:tcPr>
          <w:p w:rsidR="00024C0A" w:rsidRDefault="00694C0F">
            <w:pPr>
              <w:pStyle w:val="TableBodyText"/>
            </w:pPr>
            <w:r>
              <w:t>File41</w:t>
            </w:r>
          </w:p>
        </w:tc>
        <w:tc>
          <w:tcPr>
            <w:tcW w:w="0" w:type="auto"/>
            <w:vAlign w:val="center"/>
          </w:tcPr>
          <w:p w:rsidR="00024C0A" w:rsidRDefault="00694C0F">
            <w:pPr>
              <w:pStyle w:val="TableBodyText"/>
            </w:pPr>
            <w:r>
              <w:t>10EB</w:t>
            </w:r>
          </w:p>
        </w:tc>
      </w:tr>
      <w:tr w:rsidR="00024C0A" w:rsidTr="00024C0A">
        <w:tc>
          <w:tcPr>
            <w:tcW w:w="0" w:type="auto"/>
            <w:vAlign w:val="center"/>
          </w:tcPr>
          <w:p w:rsidR="00024C0A" w:rsidRDefault="00694C0F">
            <w:pPr>
              <w:pStyle w:val="TableBodyText"/>
            </w:pPr>
            <w:r>
              <w:t>File42</w:t>
            </w:r>
          </w:p>
        </w:tc>
        <w:tc>
          <w:tcPr>
            <w:tcW w:w="0" w:type="auto"/>
            <w:vAlign w:val="center"/>
          </w:tcPr>
          <w:p w:rsidR="00024C0A" w:rsidRDefault="00694C0F">
            <w:pPr>
              <w:pStyle w:val="TableBodyText"/>
            </w:pPr>
            <w:r>
              <w:t>10EC</w:t>
            </w:r>
          </w:p>
        </w:tc>
      </w:tr>
      <w:tr w:rsidR="00024C0A" w:rsidTr="00024C0A">
        <w:tc>
          <w:tcPr>
            <w:tcW w:w="0" w:type="auto"/>
            <w:vAlign w:val="center"/>
          </w:tcPr>
          <w:p w:rsidR="00024C0A" w:rsidRDefault="00694C0F">
            <w:pPr>
              <w:pStyle w:val="TableBodyText"/>
            </w:pPr>
            <w:r>
              <w:t>File43</w:t>
            </w:r>
          </w:p>
        </w:tc>
        <w:tc>
          <w:tcPr>
            <w:tcW w:w="0" w:type="auto"/>
            <w:vAlign w:val="center"/>
          </w:tcPr>
          <w:p w:rsidR="00024C0A" w:rsidRDefault="00694C0F">
            <w:pPr>
              <w:pStyle w:val="TableBodyText"/>
            </w:pPr>
            <w:r>
              <w:t>10ED</w:t>
            </w:r>
          </w:p>
        </w:tc>
      </w:tr>
      <w:tr w:rsidR="00024C0A" w:rsidTr="00024C0A">
        <w:tc>
          <w:tcPr>
            <w:tcW w:w="0" w:type="auto"/>
            <w:vAlign w:val="center"/>
          </w:tcPr>
          <w:p w:rsidR="00024C0A" w:rsidRDefault="00694C0F">
            <w:pPr>
              <w:pStyle w:val="TableBodyText"/>
            </w:pPr>
            <w:r>
              <w:t>File44</w:t>
            </w:r>
          </w:p>
        </w:tc>
        <w:tc>
          <w:tcPr>
            <w:tcW w:w="0" w:type="auto"/>
            <w:vAlign w:val="center"/>
          </w:tcPr>
          <w:p w:rsidR="00024C0A" w:rsidRDefault="00694C0F">
            <w:pPr>
              <w:pStyle w:val="TableBodyText"/>
            </w:pPr>
            <w:r>
              <w:t>10EE</w:t>
            </w:r>
          </w:p>
        </w:tc>
      </w:tr>
      <w:tr w:rsidR="00024C0A" w:rsidTr="00024C0A">
        <w:tc>
          <w:tcPr>
            <w:tcW w:w="0" w:type="auto"/>
            <w:vAlign w:val="center"/>
          </w:tcPr>
          <w:p w:rsidR="00024C0A" w:rsidRDefault="00694C0F">
            <w:pPr>
              <w:pStyle w:val="TableBodyText"/>
            </w:pPr>
            <w:r>
              <w:t>File45</w:t>
            </w:r>
          </w:p>
        </w:tc>
        <w:tc>
          <w:tcPr>
            <w:tcW w:w="0" w:type="auto"/>
            <w:vAlign w:val="center"/>
          </w:tcPr>
          <w:p w:rsidR="00024C0A" w:rsidRDefault="00694C0F">
            <w:pPr>
              <w:pStyle w:val="TableBodyText"/>
            </w:pPr>
            <w:r>
              <w:t>10EF</w:t>
            </w:r>
          </w:p>
        </w:tc>
      </w:tr>
      <w:tr w:rsidR="00024C0A" w:rsidTr="00024C0A">
        <w:tc>
          <w:tcPr>
            <w:tcW w:w="0" w:type="auto"/>
            <w:vAlign w:val="center"/>
          </w:tcPr>
          <w:p w:rsidR="00024C0A" w:rsidRDefault="00694C0F">
            <w:pPr>
              <w:pStyle w:val="TableBodyText"/>
            </w:pPr>
            <w:r>
              <w:lastRenderedPageBreak/>
              <w:t>File46</w:t>
            </w:r>
          </w:p>
        </w:tc>
        <w:tc>
          <w:tcPr>
            <w:tcW w:w="0" w:type="auto"/>
            <w:vAlign w:val="center"/>
          </w:tcPr>
          <w:p w:rsidR="00024C0A" w:rsidRDefault="00694C0F">
            <w:pPr>
              <w:pStyle w:val="TableBodyText"/>
            </w:pPr>
            <w:r>
              <w:t>10F0</w:t>
            </w:r>
          </w:p>
        </w:tc>
      </w:tr>
      <w:tr w:rsidR="00024C0A" w:rsidTr="00024C0A">
        <w:tc>
          <w:tcPr>
            <w:tcW w:w="0" w:type="auto"/>
            <w:vAlign w:val="center"/>
          </w:tcPr>
          <w:p w:rsidR="00024C0A" w:rsidRDefault="00694C0F">
            <w:pPr>
              <w:pStyle w:val="TableBodyText"/>
            </w:pPr>
            <w:r>
              <w:t>File47</w:t>
            </w:r>
          </w:p>
        </w:tc>
        <w:tc>
          <w:tcPr>
            <w:tcW w:w="0" w:type="auto"/>
            <w:vAlign w:val="center"/>
          </w:tcPr>
          <w:p w:rsidR="00024C0A" w:rsidRDefault="00694C0F">
            <w:pPr>
              <w:pStyle w:val="TableBodyText"/>
            </w:pPr>
            <w:r>
              <w:t>10F1</w:t>
            </w:r>
          </w:p>
        </w:tc>
      </w:tr>
      <w:tr w:rsidR="00024C0A" w:rsidTr="00024C0A">
        <w:tc>
          <w:tcPr>
            <w:tcW w:w="0" w:type="auto"/>
            <w:vAlign w:val="center"/>
          </w:tcPr>
          <w:p w:rsidR="00024C0A" w:rsidRDefault="00694C0F">
            <w:pPr>
              <w:pStyle w:val="TableBodyText"/>
            </w:pPr>
            <w:r>
              <w:t>File48</w:t>
            </w:r>
          </w:p>
        </w:tc>
        <w:tc>
          <w:tcPr>
            <w:tcW w:w="0" w:type="auto"/>
            <w:vAlign w:val="center"/>
          </w:tcPr>
          <w:p w:rsidR="00024C0A" w:rsidRDefault="00694C0F">
            <w:pPr>
              <w:pStyle w:val="TableBodyText"/>
            </w:pPr>
            <w:r>
              <w:t>10F2</w:t>
            </w:r>
          </w:p>
        </w:tc>
      </w:tr>
      <w:tr w:rsidR="00024C0A" w:rsidTr="00024C0A">
        <w:tc>
          <w:tcPr>
            <w:tcW w:w="0" w:type="auto"/>
            <w:vAlign w:val="center"/>
          </w:tcPr>
          <w:p w:rsidR="00024C0A" w:rsidRDefault="00694C0F">
            <w:pPr>
              <w:pStyle w:val="TableBodyText"/>
            </w:pPr>
            <w:r>
              <w:t>File49</w:t>
            </w:r>
          </w:p>
        </w:tc>
        <w:tc>
          <w:tcPr>
            <w:tcW w:w="0" w:type="auto"/>
            <w:vAlign w:val="center"/>
          </w:tcPr>
          <w:p w:rsidR="00024C0A" w:rsidRDefault="00694C0F">
            <w:pPr>
              <w:pStyle w:val="TableBodyText"/>
            </w:pPr>
            <w:r>
              <w:t>10F3</w:t>
            </w:r>
          </w:p>
        </w:tc>
      </w:tr>
      <w:tr w:rsidR="00024C0A" w:rsidTr="00024C0A">
        <w:tc>
          <w:tcPr>
            <w:tcW w:w="0" w:type="auto"/>
            <w:vAlign w:val="center"/>
          </w:tcPr>
          <w:p w:rsidR="00024C0A" w:rsidRDefault="00694C0F">
            <w:pPr>
              <w:pStyle w:val="TableBodyText"/>
            </w:pPr>
            <w:r>
              <w:t>File5</w:t>
            </w:r>
          </w:p>
        </w:tc>
        <w:tc>
          <w:tcPr>
            <w:tcW w:w="0" w:type="auto"/>
            <w:vAlign w:val="center"/>
          </w:tcPr>
          <w:p w:rsidR="00024C0A" w:rsidRDefault="00694C0F">
            <w:pPr>
              <w:pStyle w:val="TableBodyText"/>
            </w:pPr>
            <w:r>
              <w:t>0FC9</w:t>
            </w:r>
          </w:p>
        </w:tc>
      </w:tr>
      <w:tr w:rsidR="00024C0A" w:rsidTr="00024C0A">
        <w:tc>
          <w:tcPr>
            <w:tcW w:w="0" w:type="auto"/>
            <w:vAlign w:val="center"/>
          </w:tcPr>
          <w:p w:rsidR="00024C0A" w:rsidRDefault="00694C0F">
            <w:pPr>
              <w:pStyle w:val="TableBodyText"/>
            </w:pPr>
            <w:r>
              <w:t>File50</w:t>
            </w:r>
          </w:p>
        </w:tc>
        <w:tc>
          <w:tcPr>
            <w:tcW w:w="0" w:type="auto"/>
            <w:vAlign w:val="center"/>
          </w:tcPr>
          <w:p w:rsidR="00024C0A" w:rsidRDefault="00694C0F">
            <w:pPr>
              <w:pStyle w:val="TableBodyText"/>
            </w:pPr>
            <w:r>
              <w:t>10F4</w:t>
            </w:r>
          </w:p>
        </w:tc>
      </w:tr>
      <w:tr w:rsidR="00024C0A" w:rsidTr="00024C0A">
        <w:tc>
          <w:tcPr>
            <w:tcW w:w="0" w:type="auto"/>
            <w:vAlign w:val="center"/>
          </w:tcPr>
          <w:p w:rsidR="00024C0A" w:rsidRDefault="00694C0F">
            <w:pPr>
              <w:pStyle w:val="TableBodyText"/>
            </w:pPr>
            <w:r>
              <w:t>File6</w:t>
            </w:r>
          </w:p>
        </w:tc>
        <w:tc>
          <w:tcPr>
            <w:tcW w:w="0" w:type="auto"/>
            <w:vAlign w:val="center"/>
          </w:tcPr>
          <w:p w:rsidR="00024C0A" w:rsidRDefault="00694C0F">
            <w:pPr>
              <w:pStyle w:val="TableBodyText"/>
            </w:pPr>
            <w:r>
              <w:t>0FCA</w:t>
            </w:r>
          </w:p>
        </w:tc>
      </w:tr>
      <w:tr w:rsidR="00024C0A" w:rsidTr="00024C0A">
        <w:tc>
          <w:tcPr>
            <w:tcW w:w="0" w:type="auto"/>
            <w:vAlign w:val="center"/>
          </w:tcPr>
          <w:p w:rsidR="00024C0A" w:rsidRDefault="00694C0F">
            <w:pPr>
              <w:pStyle w:val="TableBodyText"/>
            </w:pPr>
            <w:r>
              <w:t>File7</w:t>
            </w:r>
          </w:p>
        </w:tc>
        <w:tc>
          <w:tcPr>
            <w:tcW w:w="0" w:type="auto"/>
            <w:vAlign w:val="center"/>
          </w:tcPr>
          <w:p w:rsidR="00024C0A" w:rsidRDefault="00694C0F">
            <w:pPr>
              <w:pStyle w:val="TableBodyText"/>
            </w:pPr>
            <w:r>
              <w:t>0FCB</w:t>
            </w:r>
          </w:p>
        </w:tc>
      </w:tr>
      <w:tr w:rsidR="00024C0A" w:rsidTr="00024C0A">
        <w:tc>
          <w:tcPr>
            <w:tcW w:w="0" w:type="auto"/>
            <w:vAlign w:val="center"/>
          </w:tcPr>
          <w:p w:rsidR="00024C0A" w:rsidRDefault="00694C0F">
            <w:pPr>
              <w:pStyle w:val="TableBodyText"/>
            </w:pPr>
            <w:r>
              <w:t>File8</w:t>
            </w:r>
          </w:p>
        </w:tc>
        <w:tc>
          <w:tcPr>
            <w:tcW w:w="0" w:type="auto"/>
            <w:vAlign w:val="center"/>
          </w:tcPr>
          <w:p w:rsidR="00024C0A" w:rsidRDefault="00694C0F">
            <w:pPr>
              <w:pStyle w:val="TableBodyText"/>
            </w:pPr>
            <w:r>
              <w:t>0FCC</w:t>
            </w:r>
          </w:p>
        </w:tc>
      </w:tr>
      <w:tr w:rsidR="00024C0A" w:rsidTr="00024C0A">
        <w:tc>
          <w:tcPr>
            <w:tcW w:w="0" w:type="auto"/>
            <w:vAlign w:val="center"/>
          </w:tcPr>
          <w:p w:rsidR="00024C0A" w:rsidRDefault="00694C0F">
            <w:pPr>
              <w:pStyle w:val="TableBodyText"/>
            </w:pPr>
            <w:r>
              <w:t>File9</w:t>
            </w:r>
          </w:p>
        </w:tc>
        <w:tc>
          <w:tcPr>
            <w:tcW w:w="0" w:type="auto"/>
            <w:vAlign w:val="center"/>
          </w:tcPr>
          <w:p w:rsidR="00024C0A" w:rsidRDefault="00694C0F">
            <w:pPr>
              <w:pStyle w:val="TableBodyText"/>
            </w:pPr>
            <w:r>
              <w:t>0FCD</w:t>
            </w:r>
          </w:p>
        </w:tc>
      </w:tr>
      <w:tr w:rsidR="00024C0A" w:rsidTr="00024C0A">
        <w:tc>
          <w:tcPr>
            <w:tcW w:w="0" w:type="auto"/>
            <w:vAlign w:val="center"/>
          </w:tcPr>
          <w:p w:rsidR="00024C0A" w:rsidRDefault="00694C0F">
            <w:pPr>
              <w:pStyle w:val="TableBodyText"/>
            </w:pPr>
            <w:r>
              <w:t>FileAOCEAddMailer</w:t>
            </w:r>
          </w:p>
        </w:tc>
        <w:tc>
          <w:tcPr>
            <w:tcW w:w="0" w:type="auto"/>
            <w:vAlign w:val="center"/>
          </w:tcPr>
          <w:p w:rsidR="00024C0A" w:rsidRDefault="00694C0F">
            <w:pPr>
              <w:pStyle w:val="TableBodyText"/>
            </w:pPr>
            <w:r>
              <w:t>0137</w:t>
            </w:r>
          </w:p>
        </w:tc>
      </w:tr>
      <w:tr w:rsidR="00024C0A" w:rsidTr="00024C0A">
        <w:tc>
          <w:tcPr>
            <w:tcW w:w="0" w:type="auto"/>
            <w:vAlign w:val="center"/>
          </w:tcPr>
          <w:p w:rsidR="00024C0A" w:rsidRDefault="00694C0F">
            <w:pPr>
              <w:pStyle w:val="TableBodyText"/>
            </w:pPr>
            <w:r>
              <w:t>FileAOCEDeleteMailer</w:t>
            </w:r>
          </w:p>
        </w:tc>
        <w:tc>
          <w:tcPr>
            <w:tcW w:w="0" w:type="auto"/>
            <w:vAlign w:val="center"/>
          </w:tcPr>
          <w:p w:rsidR="00024C0A" w:rsidRDefault="00694C0F">
            <w:pPr>
              <w:pStyle w:val="TableBodyText"/>
            </w:pPr>
            <w:r>
              <w:t>0138</w:t>
            </w:r>
          </w:p>
        </w:tc>
      </w:tr>
      <w:tr w:rsidR="00024C0A" w:rsidTr="00024C0A">
        <w:tc>
          <w:tcPr>
            <w:tcW w:w="0" w:type="auto"/>
            <w:vAlign w:val="center"/>
          </w:tcPr>
          <w:p w:rsidR="00024C0A" w:rsidRDefault="00694C0F">
            <w:pPr>
              <w:pStyle w:val="TableBodyText"/>
            </w:pPr>
            <w:r>
              <w:t>FileAOCEExpandMailer</w:t>
            </w:r>
          </w:p>
        </w:tc>
        <w:tc>
          <w:tcPr>
            <w:tcW w:w="0" w:type="auto"/>
            <w:vAlign w:val="center"/>
          </w:tcPr>
          <w:p w:rsidR="00024C0A" w:rsidRDefault="00694C0F">
            <w:pPr>
              <w:pStyle w:val="TableBodyText"/>
            </w:pPr>
            <w:r>
              <w:t>0139</w:t>
            </w:r>
          </w:p>
        </w:tc>
      </w:tr>
      <w:tr w:rsidR="00024C0A" w:rsidTr="00024C0A">
        <w:tc>
          <w:tcPr>
            <w:tcW w:w="0" w:type="auto"/>
            <w:vAlign w:val="center"/>
          </w:tcPr>
          <w:p w:rsidR="00024C0A" w:rsidRDefault="00694C0F">
            <w:pPr>
              <w:pStyle w:val="TableBodyText"/>
            </w:pPr>
            <w:r>
              <w:t>FileAOCEForwardMail</w:t>
            </w:r>
          </w:p>
        </w:tc>
        <w:tc>
          <w:tcPr>
            <w:tcW w:w="0" w:type="auto"/>
            <w:vAlign w:val="center"/>
          </w:tcPr>
          <w:p w:rsidR="00024C0A" w:rsidRDefault="00694C0F">
            <w:pPr>
              <w:pStyle w:val="TableBodyText"/>
            </w:pPr>
            <w:r>
              <w:t>013E</w:t>
            </w:r>
          </w:p>
        </w:tc>
      </w:tr>
      <w:tr w:rsidR="00024C0A" w:rsidTr="00024C0A">
        <w:tc>
          <w:tcPr>
            <w:tcW w:w="0" w:type="auto"/>
            <w:vAlign w:val="center"/>
          </w:tcPr>
          <w:p w:rsidR="00024C0A" w:rsidRDefault="00694C0F">
            <w:pPr>
              <w:pStyle w:val="TableBodyText"/>
            </w:pPr>
            <w:r>
              <w:t>FileAOCENextLetter</w:t>
            </w:r>
          </w:p>
        </w:tc>
        <w:tc>
          <w:tcPr>
            <w:tcW w:w="0" w:type="auto"/>
            <w:vAlign w:val="center"/>
          </w:tcPr>
          <w:p w:rsidR="00024C0A" w:rsidRDefault="00694C0F">
            <w:pPr>
              <w:pStyle w:val="TableBodyText"/>
            </w:pPr>
            <w:r>
              <w:t>013F</w:t>
            </w:r>
          </w:p>
        </w:tc>
      </w:tr>
      <w:tr w:rsidR="00024C0A" w:rsidTr="00024C0A">
        <w:tc>
          <w:tcPr>
            <w:tcW w:w="0" w:type="auto"/>
            <w:vAlign w:val="center"/>
          </w:tcPr>
          <w:p w:rsidR="00024C0A" w:rsidRDefault="00694C0F">
            <w:pPr>
              <w:pStyle w:val="TableBodyText"/>
            </w:pPr>
            <w:r>
              <w:t>FileAOCEReplyAllMail</w:t>
            </w:r>
          </w:p>
        </w:tc>
        <w:tc>
          <w:tcPr>
            <w:tcW w:w="0" w:type="auto"/>
            <w:vAlign w:val="center"/>
          </w:tcPr>
          <w:p w:rsidR="00024C0A" w:rsidRDefault="00694C0F">
            <w:pPr>
              <w:pStyle w:val="TableBodyText"/>
            </w:pPr>
            <w:r>
              <w:t>013D</w:t>
            </w:r>
          </w:p>
        </w:tc>
      </w:tr>
      <w:tr w:rsidR="00024C0A" w:rsidTr="00024C0A">
        <w:tc>
          <w:tcPr>
            <w:tcW w:w="0" w:type="auto"/>
            <w:vAlign w:val="center"/>
          </w:tcPr>
          <w:p w:rsidR="00024C0A" w:rsidRDefault="00694C0F">
            <w:pPr>
              <w:pStyle w:val="TableBodyText"/>
            </w:pPr>
            <w:r>
              <w:t>FileAOCEReplyMail</w:t>
            </w:r>
          </w:p>
        </w:tc>
        <w:tc>
          <w:tcPr>
            <w:tcW w:w="0" w:type="auto"/>
            <w:vAlign w:val="center"/>
          </w:tcPr>
          <w:p w:rsidR="00024C0A" w:rsidRDefault="00694C0F">
            <w:pPr>
              <w:pStyle w:val="TableBodyText"/>
            </w:pPr>
            <w:r>
              <w:t>013C</w:t>
            </w:r>
          </w:p>
        </w:tc>
      </w:tr>
      <w:tr w:rsidR="00024C0A" w:rsidTr="00024C0A">
        <w:tc>
          <w:tcPr>
            <w:tcW w:w="0" w:type="auto"/>
            <w:vAlign w:val="center"/>
          </w:tcPr>
          <w:p w:rsidR="00024C0A" w:rsidRDefault="00694C0F">
            <w:pPr>
              <w:pStyle w:val="TableBodyText"/>
            </w:pPr>
            <w:r>
              <w:t>FileAOCESendMail</w:t>
            </w:r>
          </w:p>
        </w:tc>
        <w:tc>
          <w:tcPr>
            <w:tcW w:w="0" w:type="auto"/>
            <w:vAlign w:val="center"/>
          </w:tcPr>
          <w:p w:rsidR="00024C0A" w:rsidRDefault="00694C0F">
            <w:pPr>
              <w:pStyle w:val="TableBodyText"/>
            </w:pPr>
            <w:r>
              <w:t>013B</w:t>
            </w:r>
          </w:p>
        </w:tc>
      </w:tr>
      <w:tr w:rsidR="00024C0A" w:rsidTr="00024C0A">
        <w:tc>
          <w:tcPr>
            <w:tcW w:w="0" w:type="auto"/>
            <w:vAlign w:val="center"/>
          </w:tcPr>
          <w:p w:rsidR="00024C0A" w:rsidRDefault="00694C0F">
            <w:pPr>
              <w:pStyle w:val="TableBodyText"/>
            </w:pPr>
            <w:r>
              <w:t>FileCheckin</w:t>
            </w:r>
          </w:p>
        </w:tc>
        <w:tc>
          <w:tcPr>
            <w:tcW w:w="0" w:type="auto"/>
            <w:vAlign w:val="center"/>
          </w:tcPr>
          <w:p w:rsidR="00024C0A" w:rsidRDefault="00694C0F">
            <w:pPr>
              <w:pStyle w:val="TableBodyText"/>
            </w:pPr>
            <w:r>
              <w:t>04FE</w:t>
            </w:r>
          </w:p>
        </w:tc>
      </w:tr>
      <w:tr w:rsidR="00024C0A" w:rsidTr="00024C0A">
        <w:tc>
          <w:tcPr>
            <w:tcW w:w="0" w:type="auto"/>
            <w:vAlign w:val="center"/>
          </w:tcPr>
          <w:p w:rsidR="00024C0A" w:rsidRDefault="00694C0F">
            <w:pPr>
              <w:pStyle w:val="TableBodyText"/>
            </w:pPr>
            <w:r>
              <w:t>FileCheckout</w:t>
            </w:r>
          </w:p>
        </w:tc>
        <w:tc>
          <w:tcPr>
            <w:tcW w:w="0" w:type="auto"/>
            <w:vAlign w:val="center"/>
          </w:tcPr>
          <w:p w:rsidR="00024C0A" w:rsidRDefault="00694C0F">
            <w:pPr>
              <w:pStyle w:val="TableBodyText"/>
            </w:pPr>
            <w:r>
              <w:t>04FD</w:t>
            </w:r>
          </w:p>
        </w:tc>
      </w:tr>
      <w:tr w:rsidR="00024C0A" w:rsidTr="00024C0A">
        <w:tc>
          <w:tcPr>
            <w:tcW w:w="0" w:type="auto"/>
            <w:vAlign w:val="center"/>
          </w:tcPr>
          <w:p w:rsidR="00024C0A" w:rsidRDefault="00694C0F">
            <w:pPr>
              <w:pStyle w:val="TableBodyText"/>
            </w:pPr>
            <w:r>
              <w:t>FileClose</w:t>
            </w:r>
          </w:p>
        </w:tc>
        <w:tc>
          <w:tcPr>
            <w:tcW w:w="0" w:type="auto"/>
            <w:vAlign w:val="center"/>
          </w:tcPr>
          <w:p w:rsidR="00024C0A" w:rsidRDefault="00694C0F">
            <w:pPr>
              <w:pStyle w:val="TableBodyText"/>
            </w:pPr>
            <w:r>
              <w:t>011B</w:t>
            </w:r>
          </w:p>
        </w:tc>
      </w:tr>
      <w:tr w:rsidR="00024C0A" w:rsidTr="00024C0A">
        <w:tc>
          <w:tcPr>
            <w:tcW w:w="0" w:type="auto"/>
            <w:vAlign w:val="center"/>
          </w:tcPr>
          <w:p w:rsidR="00024C0A" w:rsidRDefault="00694C0F">
            <w:pPr>
              <w:pStyle w:val="TableBodyText"/>
            </w:pPr>
            <w:r>
              <w:t>FileCloseAll</w:t>
            </w:r>
          </w:p>
        </w:tc>
        <w:tc>
          <w:tcPr>
            <w:tcW w:w="0" w:type="auto"/>
            <w:vAlign w:val="center"/>
          </w:tcPr>
          <w:p w:rsidR="00024C0A" w:rsidRDefault="00694C0F">
            <w:pPr>
              <w:pStyle w:val="TableBodyText"/>
            </w:pPr>
            <w:r>
              <w:t>020C</w:t>
            </w:r>
          </w:p>
        </w:tc>
      </w:tr>
      <w:tr w:rsidR="00024C0A" w:rsidTr="00024C0A">
        <w:tc>
          <w:tcPr>
            <w:tcW w:w="0" w:type="auto"/>
            <w:vAlign w:val="center"/>
          </w:tcPr>
          <w:p w:rsidR="00024C0A" w:rsidRDefault="00694C0F">
            <w:pPr>
              <w:pStyle w:val="TableBodyText"/>
            </w:pPr>
            <w:r>
              <w:t>FileCloseOrCloseAll</w:t>
            </w:r>
          </w:p>
        </w:tc>
        <w:tc>
          <w:tcPr>
            <w:tcW w:w="0" w:type="auto"/>
            <w:vAlign w:val="center"/>
          </w:tcPr>
          <w:p w:rsidR="00024C0A" w:rsidRDefault="00694C0F">
            <w:pPr>
              <w:pStyle w:val="TableBodyText"/>
            </w:pPr>
            <w:r>
              <w:t>020B</w:t>
            </w:r>
          </w:p>
        </w:tc>
      </w:tr>
      <w:tr w:rsidR="00024C0A" w:rsidTr="00024C0A">
        <w:tc>
          <w:tcPr>
            <w:tcW w:w="0" w:type="auto"/>
            <w:vAlign w:val="center"/>
          </w:tcPr>
          <w:p w:rsidR="00024C0A" w:rsidRDefault="00694C0F">
            <w:pPr>
              <w:pStyle w:val="TableBodyText"/>
            </w:pPr>
            <w:r>
              <w:t>FileCloseOrExit</w:t>
            </w:r>
          </w:p>
        </w:tc>
        <w:tc>
          <w:tcPr>
            <w:tcW w:w="0" w:type="auto"/>
            <w:vAlign w:val="center"/>
          </w:tcPr>
          <w:p w:rsidR="00024C0A" w:rsidRDefault="00694C0F">
            <w:pPr>
              <w:pStyle w:val="TableBodyText"/>
            </w:pPr>
            <w:r>
              <w:t>03A4</w:t>
            </w:r>
          </w:p>
        </w:tc>
      </w:tr>
      <w:tr w:rsidR="00024C0A" w:rsidTr="00024C0A">
        <w:tc>
          <w:tcPr>
            <w:tcW w:w="0" w:type="auto"/>
            <w:vAlign w:val="center"/>
          </w:tcPr>
          <w:p w:rsidR="00024C0A" w:rsidRDefault="00694C0F">
            <w:pPr>
              <w:pStyle w:val="TableBodyText"/>
            </w:pPr>
            <w:r>
              <w:t>FileClosePicture</w:t>
            </w:r>
          </w:p>
        </w:tc>
        <w:tc>
          <w:tcPr>
            <w:tcW w:w="0" w:type="auto"/>
            <w:vAlign w:val="center"/>
          </w:tcPr>
          <w:p w:rsidR="00024C0A" w:rsidRDefault="00694C0F">
            <w:pPr>
              <w:pStyle w:val="TableBodyText"/>
            </w:pPr>
            <w:r>
              <w:t>02B6</w:t>
            </w:r>
          </w:p>
        </w:tc>
      </w:tr>
      <w:tr w:rsidR="00024C0A" w:rsidTr="00024C0A">
        <w:tc>
          <w:tcPr>
            <w:tcW w:w="0" w:type="auto"/>
            <w:vAlign w:val="center"/>
          </w:tcPr>
          <w:p w:rsidR="00024C0A" w:rsidRDefault="00694C0F">
            <w:pPr>
              <w:pStyle w:val="TableBodyText"/>
            </w:pPr>
            <w:r>
              <w:t>FileConfirmConversions</w:t>
            </w:r>
          </w:p>
        </w:tc>
        <w:tc>
          <w:tcPr>
            <w:tcW w:w="0" w:type="auto"/>
            <w:vAlign w:val="center"/>
          </w:tcPr>
          <w:p w:rsidR="00024C0A" w:rsidRDefault="00694C0F">
            <w:pPr>
              <w:pStyle w:val="TableBodyText"/>
            </w:pPr>
            <w:r>
              <w:t>02AF</w:t>
            </w:r>
          </w:p>
        </w:tc>
      </w:tr>
      <w:tr w:rsidR="00024C0A" w:rsidTr="00024C0A">
        <w:tc>
          <w:tcPr>
            <w:tcW w:w="0" w:type="auto"/>
            <w:vAlign w:val="center"/>
          </w:tcPr>
          <w:p w:rsidR="00024C0A" w:rsidRDefault="00694C0F">
            <w:pPr>
              <w:pStyle w:val="TableBodyText"/>
            </w:pPr>
            <w:r>
              <w:t>FileExit</w:t>
            </w:r>
          </w:p>
        </w:tc>
        <w:tc>
          <w:tcPr>
            <w:tcW w:w="0" w:type="auto"/>
            <w:vAlign w:val="center"/>
          </w:tcPr>
          <w:p w:rsidR="00024C0A" w:rsidRDefault="00694C0F">
            <w:pPr>
              <w:pStyle w:val="TableBodyText"/>
            </w:pPr>
            <w:r>
              <w:t>0062</w:t>
            </w:r>
          </w:p>
        </w:tc>
      </w:tr>
      <w:tr w:rsidR="00024C0A" w:rsidTr="00024C0A">
        <w:tc>
          <w:tcPr>
            <w:tcW w:w="0" w:type="auto"/>
            <w:vAlign w:val="center"/>
          </w:tcPr>
          <w:p w:rsidR="00024C0A" w:rsidRDefault="00694C0F">
            <w:pPr>
              <w:pStyle w:val="TableBodyText"/>
            </w:pPr>
            <w:r>
              <w:t>FileFind</w:t>
            </w:r>
          </w:p>
        </w:tc>
        <w:tc>
          <w:tcPr>
            <w:tcW w:w="0" w:type="auto"/>
            <w:vAlign w:val="center"/>
          </w:tcPr>
          <w:p w:rsidR="00024C0A" w:rsidRDefault="00694C0F">
            <w:pPr>
              <w:pStyle w:val="TableBodyText"/>
            </w:pPr>
            <w:r>
              <w:t>0063</w:t>
            </w:r>
          </w:p>
        </w:tc>
      </w:tr>
      <w:tr w:rsidR="00024C0A" w:rsidTr="00024C0A">
        <w:tc>
          <w:tcPr>
            <w:tcW w:w="0" w:type="auto"/>
            <w:vAlign w:val="center"/>
          </w:tcPr>
          <w:p w:rsidR="00024C0A" w:rsidRDefault="00694C0F">
            <w:pPr>
              <w:pStyle w:val="TableBodyText"/>
            </w:pPr>
            <w:r>
              <w:t>FileMacPageSetup</w:t>
            </w:r>
          </w:p>
        </w:tc>
        <w:tc>
          <w:tcPr>
            <w:tcW w:w="0" w:type="auto"/>
            <w:vAlign w:val="center"/>
          </w:tcPr>
          <w:p w:rsidR="00024C0A" w:rsidRDefault="00694C0F">
            <w:pPr>
              <w:pStyle w:val="TableBodyText"/>
            </w:pPr>
            <w:r>
              <w:t>02AD</w:t>
            </w:r>
          </w:p>
        </w:tc>
      </w:tr>
      <w:tr w:rsidR="00024C0A" w:rsidTr="00024C0A">
        <w:tc>
          <w:tcPr>
            <w:tcW w:w="0" w:type="auto"/>
            <w:vAlign w:val="center"/>
          </w:tcPr>
          <w:p w:rsidR="00024C0A" w:rsidRDefault="00694C0F">
            <w:pPr>
              <w:pStyle w:val="TableBodyText"/>
            </w:pPr>
            <w:r>
              <w:t>FileNew</w:t>
            </w:r>
          </w:p>
        </w:tc>
        <w:tc>
          <w:tcPr>
            <w:tcW w:w="0" w:type="auto"/>
            <w:vAlign w:val="center"/>
          </w:tcPr>
          <w:p w:rsidR="00024C0A" w:rsidRDefault="00694C0F">
            <w:pPr>
              <w:pStyle w:val="TableBodyText"/>
            </w:pPr>
            <w:r>
              <w:t>004F</w:t>
            </w:r>
          </w:p>
        </w:tc>
      </w:tr>
      <w:tr w:rsidR="00024C0A" w:rsidTr="00024C0A">
        <w:tc>
          <w:tcPr>
            <w:tcW w:w="0" w:type="auto"/>
            <w:vAlign w:val="center"/>
          </w:tcPr>
          <w:p w:rsidR="00024C0A" w:rsidRDefault="00694C0F">
            <w:pPr>
              <w:pStyle w:val="TableBodyText"/>
            </w:pPr>
            <w:r>
              <w:t>FileNewContext</w:t>
            </w:r>
          </w:p>
        </w:tc>
        <w:tc>
          <w:tcPr>
            <w:tcW w:w="0" w:type="auto"/>
            <w:vAlign w:val="center"/>
          </w:tcPr>
          <w:p w:rsidR="00024C0A" w:rsidRDefault="00694C0F">
            <w:pPr>
              <w:pStyle w:val="TableBodyText"/>
            </w:pPr>
            <w:r>
              <w:t>04F1</w:t>
            </w:r>
          </w:p>
        </w:tc>
      </w:tr>
      <w:tr w:rsidR="00024C0A" w:rsidTr="00024C0A">
        <w:tc>
          <w:tcPr>
            <w:tcW w:w="0" w:type="auto"/>
            <w:vAlign w:val="center"/>
          </w:tcPr>
          <w:p w:rsidR="00024C0A" w:rsidRDefault="00694C0F">
            <w:pPr>
              <w:pStyle w:val="TableBodyText"/>
            </w:pPr>
            <w:r>
              <w:t>FileNewDefault</w:t>
            </w:r>
          </w:p>
        </w:tc>
        <w:tc>
          <w:tcPr>
            <w:tcW w:w="0" w:type="auto"/>
            <w:vAlign w:val="center"/>
          </w:tcPr>
          <w:p w:rsidR="00024C0A" w:rsidRDefault="00694C0F">
            <w:pPr>
              <w:pStyle w:val="TableBodyText"/>
            </w:pPr>
            <w:r>
              <w:t>012D</w:t>
            </w:r>
          </w:p>
        </w:tc>
      </w:tr>
      <w:tr w:rsidR="00024C0A" w:rsidTr="00024C0A">
        <w:tc>
          <w:tcPr>
            <w:tcW w:w="0" w:type="auto"/>
            <w:vAlign w:val="center"/>
          </w:tcPr>
          <w:p w:rsidR="00024C0A" w:rsidRDefault="00694C0F">
            <w:pPr>
              <w:pStyle w:val="TableBodyText"/>
            </w:pPr>
            <w:r>
              <w:lastRenderedPageBreak/>
              <w:t>FileNewDialog</w:t>
            </w:r>
          </w:p>
        </w:tc>
        <w:tc>
          <w:tcPr>
            <w:tcW w:w="0" w:type="auto"/>
            <w:vAlign w:val="center"/>
          </w:tcPr>
          <w:p w:rsidR="00024C0A" w:rsidRDefault="00694C0F">
            <w:pPr>
              <w:pStyle w:val="TableBodyText"/>
            </w:pPr>
            <w:r>
              <w:t>045C</w:t>
            </w:r>
          </w:p>
        </w:tc>
      </w:tr>
      <w:tr w:rsidR="00024C0A" w:rsidTr="00024C0A">
        <w:tc>
          <w:tcPr>
            <w:tcW w:w="0" w:type="auto"/>
            <w:vAlign w:val="center"/>
          </w:tcPr>
          <w:p w:rsidR="00024C0A" w:rsidRDefault="00694C0F">
            <w:pPr>
              <w:pStyle w:val="TableBodyText"/>
            </w:pPr>
            <w:r>
              <w:t>FileNewEmail</w:t>
            </w:r>
          </w:p>
        </w:tc>
        <w:tc>
          <w:tcPr>
            <w:tcW w:w="0" w:type="auto"/>
            <w:vAlign w:val="center"/>
          </w:tcPr>
          <w:p w:rsidR="00024C0A" w:rsidRDefault="00694C0F">
            <w:pPr>
              <w:pStyle w:val="TableBodyText"/>
            </w:pPr>
            <w:r>
              <w:t>0444</w:t>
            </w:r>
          </w:p>
        </w:tc>
      </w:tr>
      <w:tr w:rsidR="00024C0A" w:rsidTr="00024C0A">
        <w:tc>
          <w:tcPr>
            <w:tcW w:w="0" w:type="auto"/>
            <w:vAlign w:val="center"/>
          </w:tcPr>
          <w:p w:rsidR="00024C0A" w:rsidRDefault="00694C0F">
            <w:pPr>
              <w:pStyle w:val="TableBodyText"/>
            </w:pPr>
            <w:r>
              <w:t>FileNewPrint</w:t>
            </w:r>
          </w:p>
        </w:tc>
        <w:tc>
          <w:tcPr>
            <w:tcW w:w="0" w:type="auto"/>
            <w:vAlign w:val="center"/>
          </w:tcPr>
          <w:p w:rsidR="00024C0A" w:rsidRDefault="00694C0F">
            <w:pPr>
              <w:pStyle w:val="TableBodyText"/>
            </w:pPr>
            <w:r>
              <w:t>045B</w:t>
            </w:r>
          </w:p>
        </w:tc>
      </w:tr>
      <w:tr w:rsidR="00024C0A" w:rsidTr="00024C0A">
        <w:tc>
          <w:tcPr>
            <w:tcW w:w="0" w:type="auto"/>
            <w:vAlign w:val="center"/>
          </w:tcPr>
          <w:p w:rsidR="00024C0A" w:rsidRDefault="00694C0F">
            <w:pPr>
              <w:pStyle w:val="TableBodyText"/>
            </w:pPr>
            <w:r>
              <w:t>FileNewWeb</w:t>
            </w:r>
          </w:p>
        </w:tc>
        <w:tc>
          <w:tcPr>
            <w:tcW w:w="0" w:type="auto"/>
            <w:vAlign w:val="center"/>
          </w:tcPr>
          <w:p w:rsidR="00024C0A" w:rsidRDefault="00694C0F">
            <w:pPr>
              <w:pStyle w:val="TableBodyText"/>
            </w:pPr>
            <w:r>
              <w:t>0459</w:t>
            </w:r>
          </w:p>
        </w:tc>
      </w:tr>
      <w:tr w:rsidR="00024C0A" w:rsidTr="00024C0A">
        <w:tc>
          <w:tcPr>
            <w:tcW w:w="0" w:type="auto"/>
            <w:vAlign w:val="center"/>
          </w:tcPr>
          <w:p w:rsidR="00024C0A" w:rsidRDefault="00694C0F">
            <w:pPr>
              <w:pStyle w:val="TableBodyText"/>
            </w:pPr>
            <w:r>
              <w:t>FileOpen</w:t>
            </w:r>
          </w:p>
        </w:tc>
        <w:tc>
          <w:tcPr>
            <w:tcW w:w="0" w:type="auto"/>
            <w:vAlign w:val="center"/>
          </w:tcPr>
          <w:p w:rsidR="00024C0A" w:rsidRDefault="00694C0F">
            <w:pPr>
              <w:pStyle w:val="TableBodyText"/>
            </w:pPr>
            <w:r>
              <w:t>0050</w:t>
            </w:r>
          </w:p>
        </w:tc>
      </w:tr>
      <w:tr w:rsidR="00024C0A" w:rsidTr="00024C0A">
        <w:tc>
          <w:tcPr>
            <w:tcW w:w="0" w:type="auto"/>
            <w:vAlign w:val="center"/>
          </w:tcPr>
          <w:p w:rsidR="00024C0A" w:rsidRDefault="00694C0F">
            <w:pPr>
              <w:pStyle w:val="TableBodyText"/>
            </w:pPr>
            <w:r>
              <w:t>FileOpenFile</w:t>
            </w:r>
          </w:p>
        </w:tc>
        <w:tc>
          <w:tcPr>
            <w:tcW w:w="0" w:type="auto"/>
            <w:vAlign w:val="center"/>
          </w:tcPr>
          <w:p w:rsidR="00024C0A" w:rsidRDefault="00694C0F">
            <w:pPr>
              <w:pStyle w:val="TableBodyText"/>
            </w:pPr>
            <w:r>
              <w:t>0218</w:t>
            </w:r>
          </w:p>
        </w:tc>
      </w:tr>
      <w:tr w:rsidR="00024C0A" w:rsidTr="00024C0A">
        <w:tc>
          <w:tcPr>
            <w:tcW w:w="0" w:type="auto"/>
            <w:vAlign w:val="center"/>
          </w:tcPr>
          <w:p w:rsidR="00024C0A" w:rsidRDefault="00694C0F">
            <w:pPr>
              <w:pStyle w:val="TableBodyText"/>
            </w:pPr>
            <w:r>
              <w:t>FilePageSetup</w:t>
            </w:r>
          </w:p>
        </w:tc>
        <w:tc>
          <w:tcPr>
            <w:tcW w:w="0" w:type="auto"/>
            <w:vAlign w:val="center"/>
          </w:tcPr>
          <w:p w:rsidR="00024C0A" w:rsidRDefault="00694C0F">
            <w:pPr>
              <w:pStyle w:val="TableBodyText"/>
            </w:pPr>
            <w:r>
              <w:t>00B2</w:t>
            </w:r>
          </w:p>
        </w:tc>
      </w:tr>
      <w:tr w:rsidR="00024C0A" w:rsidTr="00024C0A">
        <w:tc>
          <w:tcPr>
            <w:tcW w:w="0" w:type="auto"/>
            <w:vAlign w:val="center"/>
          </w:tcPr>
          <w:p w:rsidR="00024C0A" w:rsidRDefault="00694C0F">
            <w:pPr>
              <w:pStyle w:val="TableBodyText"/>
            </w:pPr>
            <w:r>
              <w:t>FilePermission</w:t>
            </w:r>
          </w:p>
        </w:tc>
        <w:tc>
          <w:tcPr>
            <w:tcW w:w="0" w:type="auto"/>
            <w:vAlign w:val="center"/>
          </w:tcPr>
          <w:p w:rsidR="00024C0A" w:rsidRDefault="00694C0F">
            <w:pPr>
              <w:pStyle w:val="TableBodyText"/>
            </w:pPr>
            <w:r>
              <w:t>05BD</w:t>
            </w:r>
          </w:p>
        </w:tc>
      </w:tr>
      <w:tr w:rsidR="00024C0A" w:rsidTr="00024C0A">
        <w:tc>
          <w:tcPr>
            <w:tcW w:w="0" w:type="auto"/>
            <w:vAlign w:val="center"/>
          </w:tcPr>
          <w:p w:rsidR="00024C0A" w:rsidRDefault="00694C0F">
            <w:pPr>
              <w:pStyle w:val="TableBodyText"/>
            </w:pPr>
            <w:r>
              <w:t>FilePermissionMenu</w:t>
            </w:r>
          </w:p>
        </w:tc>
        <w:tc>
          <w:tcPr>
            <w:tcW w:w="0" w:type="auto"/>
            <w:vAlign w:val="center"/>
          </w:tcPr>
          <w:p w:rsidR="00024C0A" w:rsidRDefault="00694C0F">
            <w:pPr>
              <w:pStyle w:val="TableBodyText"/>
            </w:pPr>
            <w:r>
              <w:t>0596</w:t>
            </w:r>
          </w:p>
        </w:tc>
      </w:tr>
      <w:tr w:rsidR="00024C0A" w:rsidTr="00024C0A">
        <w:tc>
          <w:tcPr>
            <w:tcW w:w="0" w:type="auto"/>
            <w:vAlign w:val="center"/>
          </w:tcPr>
          <w:p w:rsidR="00024C0A" w:rsidRDefault="00694C0F">
            <w:pPr>
              <w:pStyle w:val="TableBodyText"/>
            </w:pPr>
            <w:r>
              <w:t>FilePost</w:t>
            </w:r>
          </w:p>
        </w:tc>
        <w:tc>
          <w:tcPr>
            <w:tcW w:w="0" w:type="auto"/>
            <w:vAlign w:val="center"/>
          </w:tcPr>
          <w:p w:rsidR="00024C0A" w:rsidRDefault="00694C0F">
            <w:pPr>
              <w:pStyle w:val="TableBodyText"/>
            </w:pPr>
            <w:r>
              <w:t>02F8</w:t>
            </w:r>
          </w:p>
        </w:tc>
      </w:tr>
      <w:tr w:rsidR="00024C0A" w:rsidTr="00024C0A">
        <w:tc>
          <w:tcPr>
            <w:tcW w:w="0" w:type="auto"/>
            <w:vAlign w:val="center"/>
          </w:tcPr>
          <w:p w:rsidR="00024C0A" w:rsidRDefault="00694C0F">
            <w:pPr>
              <w:pStyle w:val="TableBodyText"/>
            </w:pPr>
            <w:r>
              <w:t>FilePreview</w:t>
            </w:r>
          </w:p>
        </w:tc>
        <w:tc>
          <w:tcPr>
            <w:tcW w:w="0" w:type="auto"/>
            <w:vAlign w:val="center"/>
          </w:tcPr>
          <w:p w:rsidR="00024C0A" w:rsidRDefault="00694C0F">
            <w:pPr>
              <w:pStyle w:val="TableBodyText"/>
            </w:pPr>
            <w:r>
              <w:t>167F</w:t>
            </w:r>
          </w:p>
        </w:tc>
      </w:tr>
      <w:tr w:rsidR="00024C0A" w:rsidTr="00024C0A">
        <w:tc>
          <w:tcPr>
            <w:tcW w:w="0" w:type="auto"/>
            <w:vAlign w:val="center"/>
          </w:tcPr>
          <w:p w:rsidR="00024C0A" w:rsidRDefault="00694C0F">
            <w:pPr>
              <w:pStyle w:val="TableBodyText"/>
            </w:pPr>
            <w:r>
              <w:t>FilePrint</w:t>
            </w:r>
          </w:p>
        </w:tc>
        <w:tc>
          <w:tcPr>
            <w:tcW w:w="0" w:type="auto"/>
            <w:vAlign w:val="center"/>
          </w:tcPr>
          <w:p w:rsidR="00024C0A" w:rsidRDefault="00694C0F">
            <w:pPr>
              <w:pStyle w:val="TableBodyText"/>
            </w:pPr>
            <w:r>
              <w:t>0058</w:t>
            </w:r>
          </w:p>
        </w:tc>
      </w:tr>
      <w:tr w:rsidR="00024C0A" w:rsidTr="00024C0A">
        <w:tc>
          <w:tcPr>
            <w:tcW w:w="0" w:type="auto"/>
            <w:vAlign w:val="center"/>
          </w:tcPr>
          <w:p w:rsidR="00024C0A" w:rsidRDefault="00694C0F">
            <w:pPr>
              <w:pStyle w:val="TableBodyText"/>
            </w:pPr>
            <w:r>
              <w:t>FilePrintDefault</w:t>
            </w:r>
          </w:p>
        </w:tc>
        <w:tc>
          <w:tcPr>
            <w:tcW w:w="0" w:type="auto"/>
            <w:vAlign w:val="center"/>
          </w:tcPr>
          <w:p w:rsidR="00024C0A" w:rsidRDefault="00694C0F">
            <w:pPr>
              <w:pStyle w:val="TableBodyText"/>
            </w:pPr>
            <w:r>
              <w:t>012E</w:t>
            </w:r>
          </w:p>
        </w:tc>
      </w:tr>
      <w:tr w:rsidR="00024C0A" w:rsidTr="00024C0A">
        <w:tc>
          <w:tcPr>
            <w:tcW w:w="0" w:type="auto"/>
            <w:vAlign w:val="center"/>
          </w:tcPr>
          <w:p w:rsidR="00024C0A" w:rsidRDefault="00694C0F">
            <w:pPr>
              <w:pStyle w:val="TableBodyText"/>
            </w:pPr>
            <w:r>
              <w:t>FilePrintPreview</w:t>
            </w:r>
          </w:p>
        </w:tc>
        <w:tc>
          <w:tcPr>
            <w:tcW w:w="0" w:type="auto"/>
            <w:vAlign w:val="center"/>
          </w:tcPr>
          <w:p w:rsidR="00024C0A" w:rsidRDefault="00694C0F">
            <w:pPr>
              <w:pStyle w:val="TableBodyText"/>
            </w:pPr>
            <w:r>
              <w:t>0059</w:t>
            </w:r>
          </w:p>
        </w:tc>
      </w:tr>
      <w:tr w:rsidR="00024C0A" w:rsidTr="00024C0A">
        <w:tc>
          <w:tcPr>
            <w:tcW w:w="0" w:type="auto"/>
            <w:vAlign w:val="center"/>
          </w:tcPr>
          <w:p w:rsidR="00024C0A" w:rsidRDefault="00694C0F">
            <w:pPr>
              <w:pStyle w:val="TableBodyText"/>
            </w:pPr>
            <w:r>
              <w:t>FilePrintPreviewFullScreen</w:t>
            </w:r>
          </w:p>
        </w:tc>
        <w:tc>
          <w:tcPr>
            <w:tcW w:w="0" w:type="auto"/>
            <w:vAlign w:val="center"/>
          </w:tcPr>
          <w:p w:rsidR="00024C0A" w:rsidRDefault="00694C0F">
            <w:pPr>
              <w:pStyle w:val="TableBodyText"/>
            </w:pPr>
            <w:r>
              <w:t>0204</w:t>
            </w:r>
          </w:p>
        </w:tc>
      </w:tr>
      <w:tr w:rsidR="00024C0A" w:rsidTr="00024C0A">
        <w:tc>
          <w:tcPr>
            <w:tcW w:w="0" w:type="auto"/>
            <w:vAlign w:val="center"/>
          </w:tcPr>
          <w:p w:rsidR="00024C0A" w:rsidRDefault="00694C0F">
            <w:pPr>
              <w:pStyle w:val="TableBodyText"/>
            </w:pPr>
            <w:r>
              <w:t>FilePrintSetup</w:t>
            </w:r>
          </w:p>
        </w:tc>
        <w:tc>
          <w:tcPr>
            <w:tcW w:w="0" w:type="auto"/>
            <w:vAlign w:val="center"/>
          </w:tcPr>
          <w:p w:rsidR="00024C0A" w:rsidRDefault="00694C0F">
            <w:pPr>
              <w:pStyle w:val="TableBodyText"/>
            </w:pPr>
            <w:r>
              <w:t>0061</w:t>
            </w:r>
          </w:p>
        </w:tc>
      </w:tr>
      <w:tr w:rsidR="00024C0A" w:rsidTr="00024C0A">
        <w:tc>
          <w:tcPr>
            <w:tcW w:w="0" w:type="auto"/>
            <w:vAlign w:val="center"/>
          </w:tcPr>
          <w:p w:rsidR="00024C0A" w:rsidRDefault="00694C0F">
            <w:pPr>
              <w:pStyle w:val="TableBodyText"/>
            </w:pPr>
            <w:r>
              <w:t>FileProperties</w:t>
            </w:r>
          </w:p>
        </w:tc>
        <w:tc>
          <w:tcPr>
            <w:tcW w:w="0" w:type="auto"/>
            <w:vAlign w:val="center"/>
          </w:tcPr>
          <w:p w:rsidR="00024C0A" w:rsidRDefault="00694C0F">
            <w:pPr>
              <w:pStyle w:val="TableBodyText"/>
            </w:pPr>
            <w:r>
              <w:t>02EE</w:t>
            </w:r>
          </w:p>
        </w:tc>
      </w:tr>
      <w:tr w:rsidR="00024C0A" w:rsidTr="00024C0A">
        <w:tc>
          <w:tcPr>
            <w:tcW w:w="0" w:type="auto"/>
            <w:vAlign w:val="center"/>
          </w:tcPr>
          <w:p w:rsidR="00024C0A" w:rsidRDefault="00694C0F">
            <w:pPr>
              <w:pStyle w:val="TableBodyText"/>
            </w:pPr>
            <w:r>
              <w:t>FileRoutingSlip</w:t>
            </w:r>
          </w:p>
        </w:tc>
        <w:tc>
          <w:tcPr>
            <w:tcW w:w="0" w:type="auto"/>
            <w:vAlign w:val="center"/>
          </w:tcPr>
          <w:p w:rsidR="00024C0A" w:rsidRDefault="00694C0F">
            <w:pPr>
              <w:pStyle w:val="TableBodyText"/>
            </w:pPr>
            <w:r>
              <w:t>0270</w:t>
            </w:r>
          </w:p>
        </w:tc>
      </w:tr>
      <w:tr w:rsidR="00024C0A" w:rsidTr="00024C0A">
        <w:tc>
          <w:tcPr>
            <w:tcW w:w="0" w:type="auto"/>
            <w:vAlign w:val="center"/>
          </w:tcPr>
          <w:p w:rsidR="00024C0A" w:rsidRDefault="00694C0F">
            <w:pPr>
              <w:pStyle w:val="TableBodyText"/>
            </w:pPr>
            <w:r>
              <w:t>FileSave</w:t>
            </w:r>
          </w:p>
        </w:tc>
        <w:tc>
          <w:tcPr>
            <w:tcW w:w="0" w:type="auto"/>
            <w:vAlign w:val="center"/>
          </w:tcPr>
          <w:p w:rsidR="00024C0A" w:rsidRDefault="00694C0F">
            <w:pPr>
              <w:pStyle w:val="TableBodyText"/>
            </w:pPr>
            <w:r>
              <w:t>0053</w:t>
            </w:r>
          </w:p>
        </w:tc>
      </w:tr>
      <w:tr w:rsidR="00024C0A" w:rsidTr="00024C0A">
        <w:tc>
          <w:tcPr>
            <w:tcW w:w="0" w:type="auto"/>
            <w:vAlign w:val="center"/>
          </w:tcPr>
          <w:p w:rsidR="00024C0A" w:rsidRDefault="00694C0F">
            <w:pPr>
              <w:pStyle w:val="TableBodyText"/>
            </w:pPr>
            <w:r>
              <w:t>FileSaveAll</w:t>
            </w:r>
          </w:p>
        </w:tc>
        <w:tc>
          <w:tcPr>
            <w:tcW w:w="0" w:type="auto"/>
            <w:vAlign w:val="center"/>
          </w:tcPr>
          <w:p w:rsidR="00024C0A" w:rsidRDefault="00694C0F">
            <w:pPr>
              <w:pStyle w:val="TableBodyText"/>
            </w:pPr>
            <w:r>
              <w:t>0055</w:t>
            </w:r>
          </w:p>
        </w:tc>
      </w:tr>
      <w:tr w:rsidR="00024C0A" w:rsidTr="00024C0A">
        <w:tc>
          <w:tcPr>
            <w:tcW w:w="0" w:type="auto"/>
            <w:vAlign w:val="center"/>
          </w:tcPr>
          <w:p w:rsidR="00024C0A" w:rsidRDefault="00694C0F">
            <w:pPr>
              <w:pStyle w:val="TableBodyText"/>
            </w:pPr>
            <w:r>
              <w:t>FileSaveAs</w:t>
            </w:r>
          </w:p>
        </w:tc>
        <w:tc>
          <w:tcPr>
            <w:tcW w:w="0" w:type="auto"/>
            <w:vAlign w:val="center"/>
          </w:tcPr>
          <w:p w:rsidR="00024C0A" w:rsidRDefault="00694C0F">
            <w:pPr>
              <w:pStyle w:val="TableBodyText"/>
            </w:pPr>
            <w:r>
              <w:t>0054</w:t>
            </w:r>
          </w:p>
        </w:tc>
      </w:tr>
      <w:tr w:rsidR="00024C0A" w:rsidTr="00024C0A">
        <w:tc>
          <w:tcPr>
            <w:tcW w:w="0" w:type="auto"/>
            <w:vAlign w:val="center"/>
          </w:tcPr>
          <w:p w:rsidR="00024C0A" w:rsidRDefault="00694C0F">
            <w:pPr>
              <w:pStyle w:val="TableBodyText"/>
            </w:pPr>
            <w:r>
              <w:t>FileSaveAsOtherFormats</w:t>
            </w:r>
          </w:p>
        </w:tc>
        <w:tc>
          <w:tcPr>
            <w:tcW w:w="0" w:type="auto"/>
            <w:vAlign w:val="center"/>
          </w:tcPr>
          <w:p w:rsidR="00024C0A" w:rsidRDefault="00694C0F">
            <w:pPr>
              <w:pStyle w:val="TableBodyText"/>
            </w:pPr>
            <w:r>
              <w:t>0912</w:t>
            </w:r>
          </w:p>
        </w:tc>
      </w:tr>
      <w:tr w:rsidR="00024C0A" w:rsidTr="00024C0A">
        <w:tc>
          <w:tcPr>
            <w:tcW w:w="0" w:type="auto"/>
            <w:vAlign w:val="center"/>
          </w:tcPr>
          <w:p w:rsidR="00024C0A" w:rsidRDefault="00694C0F">
            <w:pPr>
              <w:pStyle w:val="TableBodyText"/>
            </w:pPr>
            <w:r>
              <w:t>FileSaveAsWebPage</w:t>
            </w:r>
          </w:p>
        </w:tc>
        <w:tc>
          <w:tcPr>
            <w:tcW w:w="0" w:type="auto"/>
            <w:vAlign w:val="center"/>
          </w:tcPr>
          <w:p w:rsidR="00024C0A" w:rsidRDefault="00694C0F">
            <w:pPr>
              <w:pStyle w:val="TableBodyText"/>
            </w:pPr>
            <w:r>
              <w:t>048C</w:t>
            </w:r>
          </w:p>
        </w:tc>
      </w:tr>
      <w:tr w:rsidR="00024C0A" w:rsidTr="00024C0A">
        <w:tc>
          <w:tcPr>
            <w:tcW w:w="0" w:type="auto"/>
            <w:vAlign w:val="center"/>
          </w:tcPr>
          <w:p w:rsidR="00024C0A" w:rsidRDefault="00694C0F">
            <w:pPr>
              <w:pStyle w:val="TableBodyText"/>
            </w:pPr>
            <w:r>
              <w:t>FileSaveFrameAs</w:t>
            </w:r>
          </w:p>
        </w:tc>
        <w:tc>
          <w:tcPr>
            <w:tcW w:w="0" w:type="auto"/>
            <w:vAlign w:val="center"/>
          </w:tcPr>
          <w:p w:rsidR="00024C0A" w:rsidRDefault="00694C0F">
            <w:pPr>
              <w:pStyle w:val="TableBodyText"/>
            </w:pPr>
            <w:r>
              <w:t>0455</w:t>
            </w:r>
          </w:p>
        </w:tc>
      </w:tr>
      <w:tr w:rsidR="00024C0A" w:rsidTr="00024C0A">
        <w:tc>
          <w:tcPr>
            <w:tcW w:w="0" w:type="auto"/>
            <w:vAlign w:val="center"/>
          </w:tcPr>
          <w:p w:rsidR="00024C0A" w:rsidRDefault="00694C0F">
            <w:pPr>
              <w:pStyle w:val="TableBodyText"/>
            </w:pPr>
            <w:r>
              <w:t>FileSaveHtml</w:t>
            </w:r>
          </w:p>
        </w:tc>
        <w:tc>
          <w:tcPr>
            <w:tcW w:w="0" w:type="auto"/>
            <w:vAlign w:val="center"/>
          </w:tcPr>
          <w:p w:rsidR="00024C0A" w:rsidRDefault="00694C0F">
            <w:pPr>
              <w:pStyle w:val="TableBodyText"/>
            </w:pPr>
            <w:r>
              <w:t>03F4</w:t>
            </w:r>
          </w:p>
        </w:tc>
      </w:tr>
      <w:tr w:rsidR="00024C0A" w:rsidTr="00024C0A">
        <w:tc>
          <w:tcPr>
            <w:tcW w:w="0" w:type="auto"/>
            <w:vAlign w:val="center"/>
          </w:tcPr>
          <w:p w:rsidR="00024C0A" w:rsidRDefault="00694C0F">
            <w:pPr>
              <w:pStyle w:val="TableBodyText"/>
            </w:pPr>
            <w:r>
              <w:t>FileSaveVersion</w:t>
            </w:r>
          </w:p>
        </w:tc>
        <w:tc>
          <w:tcPr>
            <w:tcW w:w="0" w:type="auto"/>
            <w:vAlign w:val="center"/>
          </w:tcPr>
          <w:p w:rsidR="00024C0A" w:rsidRDefault="00694C0F">
            <w:pPr>
              <w:pStyle w:val="TableBodyText"/>
            </w:pPr>
            <w:r>
              <w:t>03EF</w:t>
            </w:r>
          </w:p>
        </w:tc>
      </w:tr>
      <w:tr w:rsidR="00024C0A" w:rsidTr="00024C0A">
        <w:tc>
          <w:tcPr>
            <w:tcW w:w="0" w:type="auto"/>
            <w:vAlign w:val="center"/>
          </w:tcPr>
          <w:p w:rsidR="00024C0A" w:rsidRDefault="00694C0F">
            <w:pPr>
              <w:pStyle w:val="TableBodyText"/>
            </w:pPr>
            <w:r>
              <w:t>FileSaveWord11</w:t>
            </w:r>
          </w:p>
        </w:tc>
        <w:tc>
          <w:tcPr>
            <w:tcW w:w="0" w:type="auto"/>
            <w:vAlign w:val="center"/>
          </w:tcPr>
          <w:p w:rsidR="00024C0A" w:rsidRDefault="00694C0F">
            <w:pPr>
              <w:pStyle w:val="TableBodyText"/>
            </w:pPr>
            <w:r>
              <w:t>090C</w:t>
            </w:r>
          </w:p>
        </w:tc>
      </w:tr>
      <w:tr w:rsidR="00024C0A" w:rsidTr="00024C0A">
        <w:tc>
          <w:tcPr>
            <w:tcW w:w="0" w:type="auto"/>
            <w:vAlign w:val="center"/>
          </w:tcPr>
          <w:p w:rsidR="00024C0A" w:rsidRDefault="00694C0F">
            <w:pPr>
              <w:pStyle w:val="TableBodyText"/>
            </w:pPr>
            <w:r>
              <w:t>FileSaveWordDocx</w:t>
            </w:r>
          </w:p>
        </w:tc>
        <w:tc>
          <w:tcPr>
            <w:tcW w:w="0" w:type="auto"/>
            <w:vAlign w:val="center"/>
          </w:tcPr>
          <w:p w:rsidR="00024C0A" w:rsidRDefault="00694C0F">
            <w:pPr>
              <w:pStyle w:val="TableBodyText"/>
            </w:pPr>
            <w:r>
              <w:t>090B</w:t>
            </w:r>
          </w:p>
        </w:tc>
      </w:tr>
      <w:tr w:rsidR="00024C0A" w:rsidTr="00024C0A">
        <w:tc>
          <w:tcPr>
            <w:tcW w:w="0" w:type="auto"/>
            <w:vAlign w:val="center"/>
          </w:tcPr>
          <w:p w:rsidR="00024C0A" w:rsidRDefault="00694C0F">
            <w:pPr>
              <w:pStyle w:val="TableBodyText"/>
            </w:pPr>
            <w:r>
              <w:t>FileSaveWordDotx</w:t>
            </w:r>
          </w:p>
        </w:tc>
        <w:tc>
          <w:tcPr>
            <w:tcW w:w="0" w:type="auto"/>
            <w:vAlign w:val="center"/>
          </w:tcPr>
          <w:p w:rsidR="00024C0A" w:rsidRDefault="00694C0F">
            <w:pPr>
              <w:pStyle w:val="TableBodyText"/>
            </w:pPr>
            <w:r>
              <w:t>090A</w:t>
            </w:r>
          </w:p>
        </w:tc>
      </w:tr>
      <w:tr w:rsidR="00024C0A" w:rsidTr="00024C0A">
        <w:tc>
          <w:tcPr>
            <w:tcW w:w="0" w:type="auto"/>
            <w:vAlign w:val="center"/>
          </w:tcPr>
          <w:p w:rsidR="00024C0A" w:rsidRDefault="00694C0F">
            <w:pPr>
              <w:pStyle w:val="TableBodyText"/>
            </w:pPr>
            <w:r>
              <w:t>FileSearch</w:t>
            </w:r>
          </w:p>
        </w:tc>
        <w:tc>
          <w:tcPr>
            <w:tcW w:w="0" w:type="auto"/>
            <w:vAlign w:val="center"/>
          </w:tcPr>
          <w:p w:rsidR="00024C0A" w:rsidRDefault="00694C0F">
            <w:pPr>
              <w:pStyle w:val="TableBodyText"/>
            </w:pPr>
            <w:r>
              <w:t>0553</w:t>
            </w:r>
          </w:p>
        </w:tc>
      </w:tr>
      <w:tr w:rsidR="00024C0A" w:rsidTr="00024C0A">
        <w:tc>
          <w:tcPr>
            <w:tcW w:w="0" w:type="auto"/>
            <w:vAlign w:val="center"/>
          </w:tcPr>
          <w:p w:rsidR="00024C0A" w:rsidRDefault="00694C0F">
            <w:pPr>
              <w:pStyle w:val="TableBodyText"/>
            </w:pPr>
            <w:r>
              <w:t>FileSendBlog</w:t>
            </w:r>
          </w:p>
        </w:tc>
        <w:tc>
          <w:tcPr>
            <w:tcW w:w="0" w:type="auto"/>
            <w:vAlign w:val="center"/>
          </w:tcPr>
          <w:p w:rsidR="00024C0A" w:rsidRDefault="00694C0F">
            <w:pPr>
              <w:pStyle w:val="TableBodyText"/>
            </w:pPr>
            <w:r>
              <w:t>07C4</w:t>
            </w:r>
          </w:p>
        </w:tc>
      </w:tr>
      <w:tr w:rsidR="00024C0A" w:rsidTr="00024C0A">
        <w:tc>
          <w:tcPr>
            <w:tcW w:w="0" w:type="auto"/>
            <w:vAlign w:val="center"/>
          </w:tcPr>
          <w:p w:rsidR="00024C0A" w:rsidRDefault="00694C0F">
            <w:pPr>
              <w:pStyle w:val="TableBodyText"/>
            </w:pPr>
            <w:r>
              <w:t>FileSendMail</w:t>
            </w:r>
          </w:p>
        </w:tc>
        <w:tc>
          <w:tcPr>
            <w:tcW w:w="0" w:type="auto"/>
            <w:vAlign w:val="center"/>
          </w:tcPr>
          <w:p w:rsidR="00024C0A" w:rsidRDefault="00694C0F">
            <w:pPr>
              <w:pStyle w:val="TableBodyText"/>
            </w:pPr>
            <w:r>
              <w:t>0265</w:t>
            </w:r>
          </w:p>
        </w:tc>
      </w:tr>
      <w:tr w:rsidR="00024C0A" w:rsidTr="00024C0A">
        <w:tc>
          <w:tcPr>
            <w:tcW w:w="0" w:type="auto"/>
            <w:vAlign w:val="center"/>
          </w:tcPr>
          <w:p w:rsidR="00024C0A" w:rsidRDefault="00694C0F">
            <w:pPr>
              <w:pStyle w:val="TableBodyText"/>
            </w:pPr>
            <w:r>
              <w:lastRenderedPageBreak/>
              <w:t>FileSendPdf</w:t>
            </w:r>
          </w:p>
        </w:tc>
        <w:tc>
          <w:tcPr>
            <w:tcW w:w="0" w:type="auto"/>
            <w:vAlign w:val="center"/>
          </w:tcPr>
          <w:p w:rsidR="00024C0A" w:rsidRDefault="00694C0F">
            <w:pPr>
              <w:pStyle w:val="TableBodyText"/>
            </w:pPr>
            <w:r>
              <w:t>0905</w:t>
            </w:r>
          </w:p>
        </w:tc>
      </w:tr>
      <w:tr w:rsidR="00024C0A" w:rsidTr="00024C0A">
        <w:tc>
          <w:tcPr>
            <w:tcW w:w="0" w:type="auto"/>
            <w:vAlign w:val="center"/>
          </w:tcPr>
          <w:p w:rsidR="00024C0A" w:rsidRDefault="00694C0F">
            <w:pPr>
              <w:pStyle w:val="TableBodyText"/>
            </w:pPr>
            <w:r>
              <w:t>FileSendXps</w:t>
            </w:r>
          </w:p>
        </w:tc>
        <w:tc>
          <w:tcPr>
            <w:tcW w:w="0" w:type="auto"/>
            <w:vAlign w:val="center"/>
          </w:tcPr>
          <w:p w:rsidR="00024C0A" w:rsidRDefault="00694C0F">
            <w:pPr>
              <w:pStyle w:val="TableBodyText"/>
            </w:pPr>
            <w:r>
              <w:t>0906</w:t>
            </w:r>
          </w:p>
        </w:tc>
      </w:tr>
      <w:tr w:rsidR="00024C0A" w:rsidTr="00024C0A">
        <w:tc>
          <w:tcPr>
            <w:tcW w:w="0" w:type="auto"/>
            <w:vAlign w:val="center"/>
          </w:tcPr>
          <w:p w:rsidR="00024C0A" w:rsidRDefault="00694C0F">
            <w:pPr>
              <w:pStyle w:val="TableBodyText"/>
            </w:pPr>
            <w:r>
              <w:t>FileSummaryInfo</w:t>
            </w:r>
          </w:p>
        </w:tc>
        <w:tc>
          <w:tcPr>
            <w:tcW w:w="0" w:type="auto"/>
            <w:vAlign w:val="center"/>
          </w:tcPr>
          <w:p w:rsidR="00024C0A" w:rsidRDefault="00694C0F">
            <w:pPr>
              <w:pStyle w:val="TableBodyText"/>
            </w:pPr>
            <w:r>
              <w:t>0056</w:t>
            </w:r>
          </w:p>
        </w:tc>
      </w:tr>
      <w:tr w:rsidR="00024C0A" w:rsidTr="00024C0A">
        <w:tc>
          <w:tcPr>
            <w:tcW w:w="0" w:type="auto"/>
            <w:vAlign w:val="center"/>
          </w:tcPr>
          <w:p w:rsidR="00024C0A" w:rsidRDefault="00694C0F">
            <w:pPr>
              <w:pStyle w:val="TableBodyText"/>
            </w:pPr>
            <w:r>
              <w:t>FileTemplates</w:t>
            </w:r>
          </w:p>
        </w:tc>
        <w:tc>
          <w:tcPr>
            <w:tcW w:w="0" w:type="auto"/>
            <w:vAlign w:val="center"/>
          </w:tcPr>
          <w:p w:rsidR="00024C0A" w:rsidRDefault="00694C0F">
            <w:pPr>
              <w:pStyle w:val="TableBodyText"/>
            </w:pPr>
            <w:r>
              <w:t>0057</w:t>
            </w:r>
          </w:p>
        </w:tc>
      </w:tr>
      <w:tr w:rsidR="00024C0A" w:rsidTr="00024C0A">
        <w:tc>
          <w:tcPr>
            <w:tcW w:w="0" w:type="auto"/>
            <w:vAlign w:val="center"/>
          </w:tcPr>
          <w:p w:rsidR="00024C0A" w:rsidRDefault="00694C0F">
            <w:pPr>
              <w:pStyle w:val="TableBodyText"/>
            </w:pPr>
            <w:r>
              <w:t>FileUndoCheckout</w:t>
            </w:r>
          </w:p>
        </w:tc>
        <w:tc>
          <w:tcPr>
            <w:tcW w:w="0" w:type="auto"/>
            <w:vAlign w:val="center"/>
          </w:tcPr>
          <w:p w:rsidR="00024C0A" w:rsidRDefault="00694C0F">
            <w:pPr>
              <w:pStyle w:val="TableBodyText"/>
            </w:pPr>
            <w:r>
              <w:t>04D9</w:t>
            </w:r>
          </w:p>
        </w:tc>
      </w:tr>
      <w:tr w:rsidR="00024C0A" w:rsidTr="00024C0A">
        <w:tc>
          <w:tcPr>
            <w:tcW w:w="0" w:type="auto"/>
            <w:vAlign w:val="center"/>
          </w:tcPr>
          <w:p w:rsidR="00024C0A" w:rsidRDefault="00694C0F">
            <w:pPr>
              <w:pStyle w:val="TableBodyText"/>
            </w:pPr>
            <w:r>
              <w:t>FileVersions</w:t>
            </w:r>
          </w:p>
        </w:tc>
        <w:tc>
          <w:tcPr>
            <w:tcW w:w="0" w:type="auto"/>
            <w:vAlign w:val="center"/>
          </w:tcPr>
          <w:p w:rsidR="00024C0A" w:rsidRDefault="00694C0F">
            <w:pPr>
              <w:pStyle w:val="TableBodyText"/>
            </w:pPr>
            <w:r>
              <w:t>03B1</w:t>
            </w:r>
          </w:p>
        </w:tc>
      </w:tr>
      <w:tr w:rsidR="00024C0A" w:rsidTr="00024C0A">
        <w:tc>
          <w:tcPr>
            <w:tcW w:w="0" w:type="auto"/>
            <w:vAlign w:val="center"/>
          </w:tcPr>
          <w:p w:rsidR="00024C0A" w:rsidRDefault="00694C0F">
            <w:pPr>
              <w:pStyle w:val="TableBodyText"/>
            </w:pPr>
            <w:r>
              <w:t>FileVersionsLocal</w:t>
            </w:r>
          </w:p>
        </w:tc>
        <w:tc>
          <w:tcPr>
            <w:tcW w:w="0" w:type="auto"/>
            <w:vAlign w:val="center"/>
          </w:tcPr>
          <w:p w:rsidR="00024C0A" w:rsidRDefault="00694C0F">
            <w:pPr>
              <w:pStyle w:val="TableBodyText"/>
            </w:pPr>
            <w:r>
              <w:t>04F5</w:t>
            </w:r>
          </w:p>
        </w:tc>
      </w:tr>
      <w:tr w:rsidR="00024C0A" w:rsidTr="00024C0A">
        <w:tc>
          <w:tcPr>
            <w:tcW w:w="0" w:type="auto"/>
            <w:vAlign w:val="center"/>
          </w:tcPr>
          <w:p w:rsidR="00024C0A" w:rsidRDefault="00694C0F">
            <w:pPr>
              <w:pStyle w:val="TableBodyText"/>
            </w:pPr>
            <w:r>
              <w:t>FileVersionsServer</w:t>
            </w:r>
          </w:p>
        </w:tc>
        <w:tc>
          <w:tcPr>
            <w:tcW w:w="0" w:type="auto"/>
            <w:vAlign w:val="center"/>
          </w:tcPr>
          <w:p w:rsidR="00024C0A" w:rsidRDefault="00694C0F">
            <w:pPr>
              <w:pStyle w:val="TableBodyText"/>
            </w:pPr>
            <w:r>
              <w:t>0533</w:t>
            </w:r>
          </w:p>
        </w:tc>
      </w:tr>
      <w:tr w:rsidR="00024C0A" w:rsidTr="00024C0A">
        <w:tc>
          <w:tcPr>
            <w:tcW w:w="0" w:type="auto"/>
            <w:vAlign w:val="center"/>
          </w:tcPr>
          <w:p w:rsidR="00024C0A" w:rsidRDefault="00694C0F">
            <w:pPr>
              <w:pStyle w:val="TableBodyText"/>
            </w:pPr>
            <w:r>
              <w:t>FillColorPicker</w:t>
            </w:r>
          </w:p>
        </w:tc>
        <w:tc>
          <w:tcPr>
            <w:tcW w:w="0" w:type="auto"/>
            <w:vAlign w:val="center"/>
          </w:tcPr>
          <w:p w:rsidR="00024C0A" w:rsidRDefault="00694C0F">
            <w:pPr>
              <w:pStyle w:val="TableBodyText"/>
            </w:pPr>
            <w:r>
              <w:t>084A</w:t>
            </w:r>
          </w:p>
        </w:tc>
      </w:tr>
      <w:tr w:rsidR="00024C0A" w:rsidTr="00024C0A">
        <w:tc>
          <w:tcPr>
            <w:tcW w:w="0" w:type="auto"/>
            <w:vAlign w:val="center"/>
          </w:tcPr>
          <w:p w:rsidR="00024C0A" w:rsidRDefault="00694C0F">
            <w:pPr>
              <w:pStyle w:val="TableBodyText"/>
            </w:pPr>
            <w:r>
              <w:t>FillPolicyLabel</w:t>
            </w:r>
          </w:p>
        </w:tc>
        <w:tc>
          <w:tcPr>
            <w:tcW w:w="0" w:type="auto"/>
            <w:vAlign w:val="center"/>
          </w:tcPr>
          <w:p w:rsidR="00024C0A" w:rsidRDefault="00694C0F">
            <w:pPr>
              <w:pStyle w:val="TableBodyText"/>
            </w:pPr>
            <w:r>
              <w:t>0786</w:t>
            </w:r>
          </w:p>
        </w:tc>
      </w:tr>
      <w:tr w:rsidR="00024C0A" w:rsidTr="00024C0A">
        <w:tc>
          <w:tcPr>
            <w:tcW w:w="0" w:type="auto"/>
            <w:vAlign w:val="center"/>
          </w:tcPr>
          <w:p w:rsidR="00024C0A" w:rsidRDefault="00694C0F">
            <w:pPr>
              <w:pStyle w:val="TableBodyText"/>
            </w:pPr>
            <w:r>
              <w:t>FixBrokenText</w:t>
            </w:r>
          </w:p>
        </w:tc>
        <w:tc>
          <w:tcPr>
            <w:tcW w:w="0" w:type="auto"/>
            <w:vAlign w:val="center"/>
          </w:tcPr>
          <w:p w:rsidR="00024C0A" w:rsidRDefault="00694C0F">
            <w:pPr>
              <w:pStyle w:val="TableBodyText"/>
            </w:pPr>
            <w:r>
              <w:t>0577</w:t>
            </w:r>
          </w:p>
        </w:tc>
      </w:tr>
      <w:tr w:rsidR="00024C0A" w:rsidTr="00024C0A">
        <w:tc>
          <w:tcPr>
            <w:tcW w:w="0" w:type="auto"/>
            <w:vAlign w:val="center"/>
          </w:tcPr>
          <w:p w:rsidR="00024C0A" w:rsidRDefault="00694C0F">
            <w:pPr>
              <w:pStyle w:val="TableBodyText"/>
            </w:pPr>
            <w:r>
              <w:t>FixHHCMenu</w:t>
            </w:r>
          </w:p>
        </w:tc>
        <w:tc>
          <w:tcPr>
            <w:tcW w:w="0" w:type="auto"/>
            <w:vAlign w:val="center"/>
          </w:tcPr>
          <w:p w:rsidR="00024C0A" w:rsidRDefault="00694C0F">
            <w:pPr>
              <w:pStyle w:val="TableBodyText"/>
            </w:pPr>
            <w:r>
              <w:t>1699</w:t>
            </w:r>
          </w:p>
        </w:tc>
      </w:tr>
      <w:tr w:rsidR="00024C0A" w:rsidTr="00024C0A">
        <w:tc>
          <w:tcPr>
            <w:tcW w:w="0" w:type="auto"/>
            <w:vAlign w:val="center"/>
          </w:tcPr>
          <w:p w:rsidR="00024C0A" w:rsidRDefault="00694C0F">
            <w:pPr>
              <w:pStyle w:val="TableBodyText"/>
            </w:pPr>
            <w:r>
              <w:t>FixMe</w:t>
            </w:r>
          </w:p>
        </w:tc>
        <w:tc>
          <w:tcPr>
            <w:tcW w:w="0" w:type="auto"/>
            <w:vAlign w:val="center"/>
          </w:tcPr>
          <w:p w:rsidR="00024C0A" w:rsidRDefault="00694C0F">
            <w:pPr>
              <w:pStyle w:val="TableBodyText"/>
            </w:pPr>
            <w:r>
              <w:t>02C1</w:t>
            </w:r>
          </w:p>
        </w:tc>
      </w:tr>
      <w:tr w:rsidR="00024C0A" w:rsidTr="00024C0A">
        <w:tc>
          <w:tcPr>
            <w:tcW w:w="0" w:type="auto"/>
            <w:vAlign w:val="center"/>
          </w:tcPr>
          <w:p w:rsidR="00024C0A" w:rsidRDefault="00694C0F">
            <w:pPr>
              <w:pStyle w:val="TableBodyText"/>
            </w:pPr>
            <w:r>
              <w:t>FixSpellingChange</w:t>
            </w:r>
          </w:p>
        </w:tc>
        <w:tc>
          <w:tcPr>
            <w:tcW w:w="0" w:type="auto"/>
            <w:vAlign w:val="center"/>
          </w:tcPr>
          <w:p w:rsidR="00024C0A" w:rsidRDefault="00694C0F">
            <w:pPr>
              <w:pStyle w:val="TableBodyText"/>
            </w:pPr>
            <w:r>
              <w:t>02E8</w:t>
            </w:r>
          </w:p>
        </w:tc>
      </w:tr>
      <w:tr w:rsidR="00024C0A" w:rsidTr="00024C0A">
        <w:tc>
          <w:tcPr>
            <w:tcW w:w="0" w:type="auto"/>
            <w:vAlign w:val="center"/>
          </w:tcPr>
          <w:p w:rsidR="00024C0A" w:rsidRDefault="00694C0F">
            <w:pPr>
              <w:pStyle w:val="TableBodyText"/>
            </w:pPr>
            <w:r>
              <w:t>FixSpellingLang</w:t>
            </w:r>
          </w:p>
        </w:tc>
        <w:tc>
          <w:tcPr>
            <w:tcW w:w="0" w:type="auto"/>
            <w:vAlign w:val="center"/>
          </w:tcPr>
          <w:p w:rsidR="00024C0A" w:rsidRDefault="00694C0F">
            <w:pPr>
              <w:pStyle w:val="TableBodyText"/>
            </w:pPr>
            <w:r>
              <w:t>0383</w:t>
            </w:r>
          </w:p>
        </w:tc>
      </w:tr>
      <w:tr w:rsidR="00024C0A" w:rsidTr="00024C0A">
        <w:tc>
          <w:tcPr>
            <w:tcW w:w="0" w:type="auto"/>
            <w:vAlign w:val="center"/>
          </w:tcPr>
          <w:p w:rsidR="00024C0A" w:rsidRDefault="00694C0F">
            <w:pPr>
              <w:pStyle w:val="TableBodyText"/>
            </w:pPr>
            <w:r>
              <w:t>FixSynonymMenu</w:t>
            </w:r>
          </w:p>
        </w:tc>
        <w:tc>
          <w:tcPr>
            <w:tcW w:w="0" w:type="auto"/>
            <w:vAlign w:val="center"/>
          </w:tcPr>
          <w:p w:rsidR="00024C0A" w:rsidRDefault="00694C0F">
            <w:pPr>
              <w:pStyle w:val="TableBodyText"/>
            </w:pPr>
            <w:r>
              <w:t>16A0</w:t>
            </w:r>
          </w:p>
        </w:tc>
      </w:tr>
      <w:tr w:rsidR="00024C0A" w:rsidTr="00024C0A">
        <w:tc>
          <w:tcPr>
            <w:tcW w:w="0" w:type="auto"/>
            <w:vAlign w:val="center"/>
          </w:tcPr>
          <w:p w:rsidR="00024C0A" w:rsidRDefault="00694C0F">
            <w:pPr>
              <w:pStyle w:val="TableBodyText"/>
            </w:pPr>
            <w:r>
              <w:t>FixUIMChange</w:t>
            </w:r>
          </w:p>
        </w:tc>
        <w:tc>
          <w:tcPr>
            <w:tcW w:w="0" w:type="auto"/>
            <w:vAlign w:val="center"/>
          </w:tcPr>
          <w:p w:rsidR="00024C0A" w:rsidRDefault="00694C0F">
            <w:pPr>
              <w:pStyle w:val="TableBodyText"/>
            </w:pPr>
            <w:r>
              <w:t>0547</w:t>
            </w:r>
          </w:p>
        </w:tc>
      </w:tr>
      <w:tr w:rsidR="00024C0A" w:rsidTr="00024C0A">
        <w:tc>
          <w:tcPr>
            <w:tcW w:w="0" w:type="auto"/>
            <w:vAlign w:val="center"/>
          </w:tcPr>
          <w:p w:rsidR="00024C0A" w:rsidRDefault="00694C0F">
            <w:pPr>
              <w:pStyle w:val="TableBodyText"/>
            </w:pPr>
            <w:r>
              <w:t>FixUIMDeleteWord</w:t>
            </w:r>
          </w:p>
        </w:tc>
        <w:tc>
          <w:tcPr>
            <w:tcW w:w="0" w:type="auto"/>
            <w:vAlign w:val="center"/>
          </w:tcPr>
          <w:p w:rsidR="00024C0A" w:rsidRDefault="00694C0F">
            <w:pPr>
              <w:pStyle w:val="TableBodyText"/>
            </w:pPr>
            <w:r>
              <w:t>0549</w:t>
            </w:r>
          </w:p>
        </w:tc>
      </w:tr>
      <w:tr w:rsidR="00024C0A" w:rsidTr="00024C0A">
        <w:tc>
          <w:tcPr>
            <w:tcW w:w="0" w:type="auto"/>
            <w:vAlign w:val="center"/>
          </w:tcPr>
          <w:p w:rsidR="00024C0A" w:rsidRDefault="00694C0F">
            <w:pPr>
              <w:pStyle w:val="TableBodyText"/>
            </w:pPr>
            <w:r>
              <w:t>Font</w:t>
            </w:r>
          </w:p>
        </w:tc>
        <w:tc>
          <w:tcPr>
            <w:tcW w:w="0" w:type="auto"/>
            <w:vAlign w:val="center"/>
          </w:tcPr>
          <w:p w:rsidR="00024C0A" w:rsidRDefault="00694C0F">
            <w:pPr>
              <w:pStyle w:val="TableBodyText"/>
            </w:pPr>
            <w:r>
              <w:t>002A</w:t>
            </w:r>
          </w:p>
        </w:tc>
      </w:tr>
      <w:tr w:rsidR="00024C0A" w:rsidTr="00024C0A">
        <w:tc>
          <w:tcPr>
            <w:tcW w:w="0" w:type="auto"/>
            <w:vAlign w:val="center"/>
          </w:tcPr>
          <w:p w:rsidR="00024C0A" w:rsidRDefault="00694C0F">
            <w:pPr>
              <w:pStyle w:val="TableBodyText"/>
            </w:pPr>
            <w:r>
              <w:t>FontColor</w:t>
            </w:r>
          </w:p>
        </w:tc>
        <w:tc>
          <w:tcPr>
            <w:tcW w:w="0" w:type="auto"/>
            <w:vAlign w:val="center"/>
          </w:tcPr>
          <w:p w:rsidR="00024C0A" w:rsidRDefault="00694C0F">
            <w:pPr>
              <w:pStyle w:val="TableBodyText"/>
            </w:pPr>
            <w:r>
              <w:t>0372</w:t>
            </w:r>
          </w:p>
        </w:tc>
      </w:tr>
      <w:tr w:rsidR="00024C0A" w:rsidTr="00024C0A">
        <w:tc>
          <w:tcPr>
            <w:tcW w:w="0" w:type="auto"/>
            <w:vAlign w:val="center"/>
          </w:tcPr>
          <w:p w:rsidR="00024C0A" w:rsidRDefault="00694C0F">
            <w:pPr>
              <w:pStyle w:val="TableBodyText"/>
            </w:pPr>
            <w:r>
              <w:t>FontColorPicker</w:t>
            </w:r>
          </w:p>
        </w:tc>
        <w:tc>
          <w:tcPr>
            <w:tcW w:w="0" w:type="auto"/>
            <w:vAlign w:val="center"/>
          </w:tcPr>
          <w:p w:rsidR="00024C0A" w:rsidRDefault="00694C0F">
            <w:pPr>
              <w:pStyle w:val="TableBodyText"/>
            </w:pPr>
            <w:r>
              <w:t>07BB</w:t>
            </w:r>
          </w:p>
        </w:tc>
      </w:tr>
      <w:tr w:rsidR="00024C0A" w:rsidTr="00024C0A">
        <w:tc>
          <w:tcPr>
            <w:tcW w:w="0" w:type="auto"/>
            <w:vAlign w:val="center"/>
          </w:tcPr>
          <w:p w:rsidR="00024C0A" w:rsidRDefault="00694C0F">
            <w:pPr>
              <w:pStyle w:val="TableBodyText"/>
            </w:pPr>
            <w:r>
              <w:t>FontSchemePicker</w:t>
            </w:r>
          </w:p>
        </w:tc>
        <w:tc>
          <w:tcPr>
            <w:tcW w:w="0" w:type="auto"/>
            <w:vAlign w:val="center"/>
          </w:tcPr>
          <w:p w:rsidR="00024C0A" w:rsidRDefault="00694C0F">
            <w:pPr>
              <w:pStyle w:val="TableBodyText"/>
            </w:pPr>
            <w:r>
              <w:t>08FB</w:t>
            </w:r>
          </w:p>
        </w:tc>
      </w:tr>
      <w:tr w:rsidR="00024C0A" w:rsidTr="00024C0A">
        <w:tc>
          <w:tcPr>
            <w:tcW w:w="0" w:type="auto"/>
            <w:vAlign w:val="center"/>
          </w:tcPr>
          <w:p w:rsidR="00024C0A" w:rsidRDefault="00694C0F">
            <w:pPr>
              <w:pStyle w:val="TableBodyText"/>
            </w:pPr>
            <w:r>
              <w:t>FontSize</w:t>
            </w:r>
          </w:p>
        </w:tc>
        <w:tc>
          <w:tcPr>
            <w:tcW w:w="0" w:type="auto"/>
            <w:vAlign w:val="center"/>
          </w:tcPr>
          <w:p w:rsidR="00024C0A" w:rsidRDefault="00694C0F">
            <w:pPr>
              <w:pStyle w:val="TableBodyText"/>
            </w:pPr>
            <w:r>
              <w:t>0215</w:t>
            </w:r>
          </w:p>
        </w:tc>
      </w:tr>
      <w:tr w:rsidR="00024C0A" w:rsidTr="00024C0A">
        <w:tc>
          <w:tcPr>
            <w:tcW w:w="0" w:type="auto"/>
            <w:vAlign w:val="center"/>
          </w:tcPr>
          <w:p w:rsidR="00024C0A" w:rsidRDefault="00694C0F">
            <w:pPr>
              <w:pStyle w:val="TableBodyText"/>
            </w:pPr>
            <w:r>
              <w:t>FontSizeSelect</w:t>
            </w:r>
          </w:p>
        </w:tc>
        <w:tc>
          <w:tcPr>
            <w:tcW w:w="0" w:type="auto"/>
            <w:vAlign w:val="center"/>
          </w:tcPr>
          <w:p w:rsidR="00024C0A" w:rsidRDefault="00694C0F">
            <w:pPr>
              <w:pStyle w:val="TableBodyText"/>
            </w:pPr>
            <w:r>
              <w:t>002B</w:t>
            </w:r>
          </w:p>
        </w:tc>
      </w:tr>
      <w:tr w:rsidR="00024C0A" w:rsidTr="00024C0A">
        <w:tc>
          <w:tcPr>
            <w:tcW w:w="0" w:type="auto"/>
            <w:vAlign w:val="center"/>
          </w:tcPr>
          <w:p w:rsidR="00024C0A" w:rsidRDefault="00694C0F">
            <w:pPr>
              <w:pStyle w:val="TableBodyText"/>
            </w:pPr>
            <w:r>
              <w:t>FontSubstitution</w:t>
            </w:r>
          </w:p>
        </w:tc>
        <w:tc>
          <w:tcPr>
            <w:tcW w:w="0" w:type="auto"/>
            <w:vAlign w:val="center"/>
          </w:tcPr>
          <w:p w:rsidR="00024C0A" w:rsidRDefault="00694C0F">
            <w:pPr>
              <w:pStyle w:val="TableBodyText"/>
            </w:pPr>
            <w:r>
              <w:t>0245</w:t>
            </w:r>
          </w:p>
        </w:tc>
      </w:tr>
      <w:tr w:rsidR="00024C0A" w:rsidTr="00024C0A">
        <w:tc>
          <w:tcPr>
            <w:tcW w:w="0" w:type="auto"/>
            <w:vAlign w:val="center"/>
          </w:tcPr>
          <w:p w:rsidR="00024C0A" w:rsidRDefault="00694C0F">
            <w:pPr>
              <w:pStyle w:val="TableBodyText"/>
            </w:pPr>
            <w:r>
              <w:t>FooterGallery</w:t>
            </w:r>
          </w:p>
        </w:tc>
        <w:tc>
          <w:tcPr>
            <w:tcW w:w="0" w:type="auto"/>
            <w:vAlign w:val="center"/>
          </w:tcPr>
          <w:p w:rsidR="00024C0A" w:rsidRDefault="00694C0F">
            <w:pPr>
              <w:pStyle w:val="TableBodyText"/>
            </w:pPr>
            <w:r>
              <w:t>07E3</w:t>
            </w:r>
          </w:p>
        </w:tc>
      </w:tr>
      <w:tr w:rsidR="00024C0A" w:rsidTr="00024C0A">
        <w:tc>
          <w:tcPr>
            <w:tcW w:w="0" w:type="auto"/>
            <w:vAlign w:val="center"/>
          </w:tcPr>
          <w:p w:rsidR="00024C0A" w:rsidRDefault="00694C0F">
            <w:pPr>
              <w:pStyle w:val="TableBodyText"/>
            </w:pPr>
            <w:r>
              <w:t>FooterPositionSpinner</w:t>
            </w:r>
          </w:p>
        </w:tc>
        <w:tc>
          <w:tcPr>
            <w:tcW w:w="0" w:type="auto"/>
            <w:vAlign w:val="center"/>
          </w:tcPr>
          <w:p w:rsidR="00024C0A" w:rsidRDefault="00694C0F">
            <w:pPr>
              <w:pStyle w:val="TableBodyText"/>
            </w:pPr>
            <w:r>
              <w:t>08B2</w:t>
            </w:r>
          </w:p>
        </w:tc>
      </w:tr>
      <w:tr w:rsidR="00024C0A" w:rsidTr="00024C0A">
        <w:tc>
          <w:tcPr>
            <w:tcW w:w="0" w:type="auto"/>
            <w:vAlign w:val="center"/>
          </w:tcPr>
          <w:p w:rsidR="00024C0A" w:rsidRDefault="00694C0F">
            <w:pPr>
              <w:pStyle w:val="TableBodyText"/>
            </w:pPr>
            <w:r>
              <w:t>FormFieldOptions</w:t>
            </w:r>
          </w:p>
        </w:tc>
        <w:tc>
          <w:tcPr>
            <w:tcW w:w="0" w:type="auto"/>
            <w:vAlign w:val="center"/>
          </w:tcPr>
          <w:p w:rsidR="00024C0A" w:rsidRDefault="00694C0F">
            <w:pPr>
              <w:pStyle w:val="TableBodyText"/>
            </w:pPr>
            <w:r>
              <w:t>0161</w:t>
            </w:r>
          </w:p>
        </w:tc>
      </w:tr>
      <w:tr w:rsidR="00024C0A" w:rsidTr="00024C0A">
        <w:tc>
          <w:tcPr>
            <w:tcW w:w="0" w:type="auto"/>
            <w:vAlign w:val="center"/>
          </w:tcPr>
          <w:p w:rsidR="00024C0A" w:rsidRDefault="00694C0F">
            <w:pPr>
              <w:pStyle w:val="TableBodyText"/>
            </w:pPr>
            <w:r>
              <w:t>FormShading</w:t>
            </w:r>
          </w:p>
        </w:tc>
        <w:tc>
          <w:tcPr>
            <w:tcW w:w="0" w:type="auto"/>
            <w:vAlign w:val="center"/>
          </w:tcPr>
          <w:p w:rsidR="00024C0A" w:rsidRDefault="00694C0F">
            <w:pPr>
              <w:pStyle w:val="TableBodyText"/>
            </w:pPr>
            <w:r>
              <w:t>027C</w:t>
            </w:r>
          </w:p>
        </w:tc>
      </w:tr>
      <w:tr w:rsidR="00024C0A" w:rsidTr="00024C0A">
        <w:tc>
          <w:tcPr>
            <w:tcW w:w="0" w:type="auto"/>
            <w:vAlign w:val="center"/>
          </w:tcPr>
          <w:p w:rsidR="00024C0A" w:rsidRDefault="00694C0F">
            <w:pPr>
              <w:pStyle w:val="TableBodyText"/>
            </w:pPr>
            <w:r>
              <w:t>FormatAddrFonts</w:t>
            </w:r>
          </w:p>
        </w:tc>
        <w:tc>
          <w:tcPr>
            <w:tcW w:w="0" w:type="auto"/>
            <w:vAlign w:val="center"/>
          </w:tcPr>
          <w:p w:rsidR="00024C0A" w:rsidRDefault="00694C0F">
            <w:pPr>
              <w:pStyle w:val="TableBodyText"/>
            </w:pPr>
            <w:r>
              <w:t>0067</w:t>
            </w:r>
          </w:p>
        </w:tc>
      </w:tr>
      <w:tr w:rsidR="00024C0A" w:rsidTr="00024C0A">
        <w:tc>
          <w:tcPr>
            <w:tcW w:w="0" w:type="auto"/>
            <w:vAlign w:val="center"/>
          </w:tcPr>
          <w:p w:rsidR="00024C0A" w:rsidRDefault="00694C0F">
            <w:pPr>
              <w:pStyle w:val="TableBodyText"/>
            </w:pPr>
            <w:r>
              <w:t>FormatAutoFormat</w:t>
            </w:r>
          </w:p>
        </w:tc>
        <w:tc>
          <w:tcPr>
            <w:tcW w:w="0" w:type="auto"/>
            <w:vAlign w:val="center"/>
          </w:tcPr>
          <w:p w:rsidR="00024C0A" w:rsidRDefault="00694C0F">
            <w:pPr>
              <w:pStyle w:val="TableBodyText"/>
            </w:pPr>
            <w:r>
              <w:t>0181</w:t>
            </w:r>
          </w:p>
        </w:tc>
      </w:tr>
      <w:tr w:rsidR="00024C0A" w:rsidTr="00024C0A">
        <w:tc>
          <w:tcPr>
            <w:tcW w:w="0" w:type="auto"/>
            <w:vAlign w:val="center"/>
          </w:tcPr>
          <w:p w:rsidR="00024C0A" w:rsidRDefault="00694C0F">
            <w:pPr>
              <w:pStyle w:val="TableBodyText"/>
            </w:pPr>
            <w:r>
              <w:t>FormatAutoFormatBegin</w:t>
            </w:r>
          </w:p>
        </w:tc>
        <w:tc>
          <w:tcPr>
            <w:tcW w:w="0" w:type="auto"/>
            <w:vAlign w:val="center"/>
          </w:tcPr>
          <w:p w:rsidR="00024C0A" w:rsidRDefault="00694C0F">
            <w:pPr>
              <w:pStyle w:val="TableBodyText"/>
            </w:pPr>
            <w:r>
              <w:t>0141</w:t>
            </w:r>
          </w:p>
        </w:tc>
      </w:tr>
      <w:tr w:rsidR="00024C0A" w:rsidTr="00024C0A">
        <w:tc>
          <w:tcPr>
            <w:tcW w:w="0" w:type="auto"/>
            <w:vAlign w:val="center"/>
          </w:tcPr>
          <w:p w:rsidR="00024C0A" w:rsidRDefault="00694C0F">
            <w:pPr>
              <w:pStyle w:val="TableBodyText"/>
            </w:pPr>
            <w:r>
              <w:lastRenderedPageBreak/>
              <w:t>FormatBackground</w:t>
            </w:r>
          </w:p>
        </w:tc>
        <w:tc>
          <w:tcPr>
            <w:tcW w:w="0" w:type="auto"/>
            <w:vAlign w:val="center"/>
          </w:tcPr>
          <w:p w:rsidR="00024C0A" w:rsidRDefault="00694C0F">
            <w:pPr>
              <w:pStyle w:val="TableBodyText"/>
            </w:pPr>
            <w:r>
              <w:t>0392</w:t>
            </w:r>
          </w:p>
        </w:tc>
      </w:tr>
      <w:tr w:rsidR="00024C0A" w:rsidTr="00024C0A">
        <w:tc>
          <w:tcPr>
            <w:tcW w:w="0" w:type="auto"/>
            <w:vAlign w:val="center"/>
          </w:tcPr>
          <w:p w:rsidR="00024C0A" w:rsidRDefault="00694C0F">
            <w:pPr>
              <w:pStyle w:val="TableBodyText"/>
            </w:pPr>
            <w:r>
              <w:t>FormatBackgroundColor</w:t>
            </w:r>
          </w:p>
        </w:tc>
        <w:tc>
          <w:tcPr>
            <w:tcW w:w="0" w:type="auto"/>
            <w:vAlign w:val="center"/>
          </w:tcPr>
          <w:p w:rsidR="00024C0A" w:rsidRDefault="00694C0F">
            <w:pPr>
              <w:pStyle w:val="TableBodyText"/>
            </w:pPr>
            <w:r>
              <w:t>08BD</w:t>
            </w:r>
          </w:p>
        </w:tc>
      </w:tr>
      <w:tr w:rsidR="00024C0A" w:rsidTr="00024C0A">
        <w:tc>
          <w:tcPr>
            <w:tcW w:w="0" w:type="auto"/>
            <w:vAlign w:val="center"/>
          </w:tcPr>
          <w:p w:rsidR="00024C0A" w:rsidRDefault="00694C0F">
            <w:pPr>
              <w:pStyle w:val="TableBodyText"/>
            </w:pPr>
            <w:r>
              <w:t>FormatBackgroundFillEffect</w:t>
            </w:r>
          </w:p>
        </w:tc>
        <w:tc>
          <w:tcPr>
            <w:tcW w:w="0" w:type="auto"/>
            <w:vAlign w:val="center"/>
          </w:tcPr>
          <w:p w:rsidR="00024C0A" w:rsidRDefault="00694C0F">
            <w:pPr>
              <w:pStyle w:val="TableBodyText"/>
            </w:pPr>
            <w:r>
              <w:t>03EE</w:t>
            </w:r>
          </w:p>
        </w:tc>
      </w:tr>
      <w:tr w:rsidR="00024C0A" w:rsidTr="00024C0A">
        <w:tc>
          <w:tcPr>
            <w:tcW w:w="0" w:type="auto"/>
            <w:vAlign w:val="center"/>
          </w:tcPr>
          <w:p w:rsidR="00024C0A" w:rsidRDefault="00694C0F">
            <w:pPr>
              <w:pStyle w:val="TableBodyText"/>
            </w:pPr>
            <w:r>
              <w:t>FormatBackgroundMoreColors</w:t>
            </w:r>
          </w:p>
        </w:tc>
        <w:tc>
          <w:tcPr>
            <w:tcW w:w="0" w:type="auto"/>
            <w:vAlign w:val="center"/>
          </w:tcPr>
          <w:p w:rsidR="00024C0A" w:rsidRDefault="00694C0F">
            <w:pPr>
              <w:pStyle w:val="TableBodyText"/>
            </w:pPr>
            <w:r>
              <w:t>03ED</w:t>
            </w:r>
          </w:p>
        </w:tc>
      </w:tr>
      <w:tr w:rsidR="00024C0A" w:rsidTr="00024C0A">
        <w:tc>
          <w:tcPr>
            <w:tcW w:w="0" w:type="auto"/>
            <w:vAlign w:val="center"/>
          </w:tcPr>
          <w:p w:rsidR="00024C0A" w:rsidRDefault="00694C0F">
            <w:pPr>
              <w:pStyle w:val="TableBodyText"/>
            </w:pPr>
            <w:r>
              <w:t>FormatBackgroundNone</w:t>
            </w:r>
          </w:p>
        </w:tc>
        <w:tc>
          <w:tcPr>
            <w:tcW w:w="0" w:type="auto"/>
            <w:vAlign w:val="center"/>
          </w:tcPr>
          <w:p w:rsidR="00024C0A" w:rsidRDefault="00694C0F">
            <w:pPr>
              <w:pStyle w:val="TableBodyText"/>
            </w:pPr>
            <w:r>
              <w:t>03EC</w:t>
            </w:r>
          </w:p>
        </w:tc>
      </w:tr>
      <w:tr w:rsidR="00024C0A" w:rsidTr="00024C0A">
        <w:tc>
          <w:tcPr>
            <w:tcW w:w="0" w:type="auto"/>
            <w:vAlign w:val="center"/>
          </w:tcPr>
          <w:p w:rsidR="00024C0A" w:rsidRDefault="00694C0F">
            <w:pPr>
              <w:pStyle w:val="TableBodyText"/>
            </w:pPr>
            <w:r>
              <w:t>FormatBackgroundSwatch</w:t>
            </w:r>
          </w:p>
        </w:tc>
        <w:tc>
          <w:tcPr>
            <w:tcW w:w="0" w:type="auto"/>
            <w:vAlign w:val="center"/>
          </w:tcPr>
          <w:p w:rsidR="00024C0A" w:rsidRDefault="00694C0F">
            <w:pPr>
              <w:pStyle w:val="TableBodyText"/>
            </w:pPr>
            <w:r>
              <w:t>03EB</w:t>
            </w:r>
          </w:p>
        </w:tc>
      </w:tr>
      <w:tr w:rsidR="00024C0A" w:rsidTr="00024C0A">
        <w:tc>
          <w:tcPr>
            <w:tcW w:w="0" w:type="auto"/>
            <w:vAlign w:val="center"/>
          </w:tcPr>
          <w:p w:rsidR="00024C0A" w:rsidRDefault="00694C0F">
            <w:pPr>
              <w:pStyle w:val="TableBodyText"/>
            </w:pPr>
            <w:r>
              <w:t>FormatBackgroundWatermark</w:t>
            </w:r>
          </w:p>
        </w:tc>
        <w:tc>
          <w:tcPr>
            <w:tcW w:w="0" w:type="auto"/>
            <w:vAlign w:val="center"/>
          </w:tcPr>
          <w:p w:rsidR="00024C0A" w:rsidRDefault="00694C0F">
            <w:pPr>
              <w:pStyle w:val="TableBodyText"/>
            </w:pPr>
            <w:r>
              <w:t>03B2</w:t>
            </w:r>
          </w:p>
        </w:tc>
      </w:tr>
      <w:tr w:rsidR="00024C0A" w:rsidTr="00024C0A">
        <w:tc>
          <w:tcPr>
            <w:tcW w:w="0" w:type="auto"/>
            <w:vAlign w:val="center"/>
          </w:tcPr>
          <w:p w:rsidR="00024C0A" w:rsidRDefault="00694C0F">
            <w:pPr>
              <w:pStyle w:val="TableBodyText"/>
            </w:pPr>
            <w:r>
              <w:t>FormatBordersAndShading</w:t>
            </w:r>
          </w:p>
        </w:tc>
        <w:tc>
          <w:tcPr>
            <w:tcW w:w="0" w:type="auto"/>
            <w:vAlign w:val="center"/>
          </w:tcPr>
          <w:p w:rsidR="00024C0A" w:rsidRDefault="00694C0F">
            <w:pPr>
              <w:pStyle w:val="TableBodyText"/>
            </w:pPr>
            <w:r>
              <w:t>00BD</w:t>
            </w:r>
          </w:p>
        </w:tc>
      </w:tr>
      <w:tr w:rsidR="00024C0A" w:rsidTr="00024C0A">
        <w:tc>
          <w:tcPr>
            <w:tcW w:w="0" w:type="auto"/>
            <w:vAlign w:val="center"/>
          </w:tcPr>
          <w:p w:rsidR="00024C0A" w:rsidRDefault="00694C0F">
            <w:pPr>
              <w:pStyle w:val="TableBodyText"/>
            </w:pPr>
            <w:r>
              <w:t>FormatBullet</w:t>
            </w:r>
          </w:p>
        </w:tc>
        <w:tc>
          <w:tcPr>
            <w:tcW w:w="0" w:type="auto"/>
            <w:vAlign w:val="center"/>
          </w:tcPr>
          <w:p w:rsidR="00024C0A" w:rsidRDefault="00694C0F">
            <w:pPr>
              <w:pStyle w:val="TableBodyText"/>
            </w:pPr>
            <w:r>
              <w:t>0185</w:t>
            </w:r>
          </w:p>
        </w:tc>
      </w:tr>
      <w:tr w:rsidR="00024C0A" w:rsidTr="00024C0A">
        <w:tc>
          <w:tcPr>
            <w:tcW w:w="0" w:type="auto"/>
            <w:vAlign w:val="center"/>
          </w:tcPr>
          <w:p w:rsidR="00024C0A" w:rsidRDefault="00694C0F">
            <w:pPr>
              <w:pStyle w:val="TableBodyText"/>
            </w:pPr>
            <w:r>
              <w:t>FormatBulletDefault</w:t>
            </w:r>
          </w:p>
        </w:tc>
        <w:tc>
          <w:tcPr>
            <w:tcW w:w="0" w:type="auto"/>
            <w:vAlign w:val="center"/>
          </w:tcPr>
          <w:p w:rsidR="00024C0A" w:rsidRDefault="00694C0F">
            <w:pPr>
              <w:pStyle w:val="TableBodyText"/>
            </w:pPr>
            <w:r>
              <w:t>018F</w:t>
            </w:r>
          </w:p>
        </w:tc>
      </w:tr>
      <w:tr w:rsidR="00024C0A" w:rsidTr="00024C0A">
        <w:tc>
          <w:tcPr>
            <w:tcW w:w="0" w:type="auto"/>
            <w:vAlign w:val="center"/>
          </w:tcPr>
          <w:p w:rsidR="00024C0A" w:rsidRDefault="00694C0F">
            <w:pPr>
              <w:pStyle w:val="TableBodyText"/>
            </w:pPr>
            <w:r>
              <w:t>FormatBulletsAndNumbering</w:t>
            </w:r>
          </w:p>
        </w:tc>
        <w:tc>
          <w:tcPr>
            <w:tcW w:w="0" w:type="auto"/>
            <w:vAlign w:val="center"/>
          </w:tcPr>
          <w:p w:rsidR="00024C0A" w:rsidRDefault="00694C0F">
            <w:pPr>
              <w:pStyle w:val="TableBodyText"/>
            </w:pPr>
            <w:r>
              <w:t>0338</w:t>
            </w:r>
          </w:p>
        </w:tc>
      </w:tr>
      <w:tr w:rsidR="00024C0A" w:rsidTr="00024C0A">
        <w:tc>
          <w:tcPr>
            <w:tcW w:w="0" w:type="auto"/>
            <w:vAlign w:val="center"/>
          </w:tcPr>
          <w:p w:rsidR="00024C0A" w:rsidRDefault="00694C0F">
            <w:pPr>
              <w:pStyle w:val="TableBodyText"/>
            </w:pPr>
            <w:r>
              <w:t>FormatCallout</w:t>
            </w:r>
          </w:p>
        </w:tc>
        <w:tc>
          <w:tcPr>
            <w:tcW w:w="0" w:type="auto"/>
            <w:vAlign w:val="center"/>
          </w:tcPr>
          <w:p w:rsidR="00024C0A" w:rsidRDefault="00694C0F">
            <w:pPr>
              <w:pStyle w:val="TableBodyText"/>
            </w:pPr>
            <w:r>
              <w:t>0262</w:t>
            </w:r>
          </w:p>
        </w:tc>
      </w:tr>
      <w:tr w:rsidR="00024C0A" w:rsidTr="00024C0A">
        <w:tc>
          <w:tcPr>
            <w:tcW w:w="0" w:type="auto"/>
            <w:vAlign w:val="center"/>
          </w:tcPr>
          <w:p w:rsidR="00024C0A" w:rsidRDefault="00694C0F">
            <w:pPr>
              <w:pStyle w:val="TableBodyText"/>
            </w:pPr>
            <w:r>
              <w:t>FormatChangeCase</w:t>
            </w:r>
          </w:p>
        </w:tc>
        <w:tc>
          <w:tcPr>
            <w:tcW w:w="0" w:type="auto"/>
            <w:vAlign w:val="center"/>
          </w:tcPr>
          <w:p w:rsidR="00024C0A" w:rsidRDefault="00694C0F">
            <w:pPr>
              <w:pStyle w:val="TableBodyText"/>
            </w:pPr>
            <w:r>
              <w:t>0142</w:t>
            </w:r>
          </w:p>
        </w:tc>
      </w:tr>
      <w:tr w:rsidR="00024C0A" w:rsidTr="00024C0A">
        <w:tc>
          <w:tcPr>
            <w:tcW w:w="0" w:type="auto"/>
            <w:vAlign w:val="center"/>
          </w:tcPr>
          <w:p w:rsidR="00024C0A" w:rsidRDefault="00694C0F">
            <w:pPr>
              <w:pStyle w:val="TableBodyText"/>
            </w:pPr>
            <w:r>
              <w:t>FormatChangeCaseFareast</w:t>
            </w:r>
          </w:p>
        </w:tc>
        <w:tc>
          <w:tcPr>
            <w:tcW w:w="0" w:type="auto"/>
            <w:vAlign w:val="center"/>
          </w:tcPr>
          <w:p w:rsidR="00024C0A" w:rsidRDefault="00694C0F">
            <w:pPr>
              <w:pStyle w:val="TableBodyText"/>
            </w:pPr>
            <w:r>
              <w:t>03D4</w:t>
            </w:r>
          </w:p>
        </w:tc>
      </w:tr>
      <w:tr w:rsidR="00024C0A" w:rsidTr="00024C0A">
        <w:tc>
          <w:tcPr>
            <w:tcW w:w="0" w:type="auto"/>
            <w:vAlign w:val="center"/>
          </w:tcPr>
          <w:p w:rsidR="00024C0A" w:rsidRDefault="00694C0F">
            <w:pPr>
              <w:pStyle w:val="TableBodyText"/>
            </w:pPr>
            <w:r>
              <w:t>FormatColumns</w:t>
            </w:r>
          </w:p>
        </w:tc>
        <w:tc>
          <w:tcPr>
            <w:tcW w:w="0" w:type="auto"/>
            <w:vAlign w:val="center"/>
          </w:tcPr>
          <w:p w:rsidR="00024C0A" w:rsidRDefault="00694C0F">
            <w:pPr>
              <w:pStyle w:val="TableBodyText"/>
            </w:pPr>
            <w:r>
              <w:t>00B1</w:t>
            </w:r>
          </w:p>
        </w:tc>
      </w:tr>
      <w:tr w:rsidR="00024C0A" w:rsidTr="00024C0A">
        <w:tc>
          <w:tcPr>
            <w:tcW w:w="0" w:type="auto"/>
            <w:vAlign w:val="center"/>
          </w:tcPr>
          <w:p w:rsidR="00024C0A" w:rsidRDefault="00694C0F">
            <w:pPr>
              <w:pStyle w:val="TableBodyText"/>
            </w:pPr>
            <w:r>
              <w:t>FormatCombineCharacters</w:t>
            </w:r>
          </w:p>
        </w:tc>
        <w:tc>
          <w:tcPr>
            <w:tcW w:w="0" w:type="auto"/>
            <w:vAlign w:val="center"/>
          </w:tcPr>
          <w:p w:rsidR="00024C0A" w:rsidRDefault="00694C0F">
            <w:pPr>
              <w:pStyle w:val="TableBodyText"/>
            </w:pPr>
            <w:r>
              <w:t>03DB</w:t>
            </w:r>
          </w:p>
        </w:tc>
      </w:tr>
      <w:tr w:rsidR="00024C0A" w:rsidTr="00024C0A">
        <w:tc>
          <w:tcPr>
            <w:tcW w:w="0" w:type="auto"/>
            <w:vAlign w:val="center"/>
          </w:tcPr>
          <w:p w:rsidR="00024C0A" w:rsidRDefault="00694C0F">
            <w:pPr>
              <w:pStyle w:val="TableBodyText"/>
            </w:pPr>
            <w:r>
              <w:t>FormatConsistencyCheck</w:t>
            </w:r>
          </w:p>
        </w:tc>
        <w:tc>
          <w:tcPr>
            <w:tcW w:w="0" w:type="auto"/>
            <w:vAlign w:val="center"/>
          </w:tcPr>
          <w:p w:rsidR="00024C0A" w:rsidRDefault="00694C0F">
            <w:pPr>
              <w:pStyle w:val="TableBodyText"/>
            </w:pPr>
            <w:r>
              <w:t>0562</w:t>
            </w:r>
          </w:p>
        </w:tc>
      </w:tr>
      <w:tr w:rsidR="00024C0A" w:rsidTr="00024C0A">
        <w:tc>
          <w:tcPr>
            <w:tcW w:w="0" w:type="auto"/>
            <w:vAlign w:val="center"/>
          </w:tcPr>
          <w:p w:rsidR="00024C0A" w:rsidRDefault="00694C0F">
            <w:pPr>
              <w:pStyle w:val="TableBodyText"/>
            </w:pPr>
            <w:r>
              <w:t>FormatDefineStyleBorders</w:t>
            </w:r>
          </w:p>
        </w:tc>
        <w:tc>
          <w:tcPr>
            <w:tcW w:w="0" w:type="auto"/>
            <w:vAlign w:val="center"/>
          </w:tcPr>
          <w:p w:rsidR="00024C0A" w:rsidRDefault="00694C0F">
            <w:pPr>
              <w:pStyle w:val="TableBodyText"/>
            </w:pPr>
            <w:r>
              <w:t>00B9</w:t>
            </w:r>
          </w:p>
        </w:tc>
      </w:tr>
      <w:tr w:rsidR="00024C0A" w:rsidTr="00024C0A">
        <w:tc>
          <w:tcPr>
            <w:tcW w:w="0" w:type="auto"/>
            <w:vAlign w:val="center"/>
          </w:tcPr>
          <w:p w:rsidR="00024C0A" w:rsidRDefault="00694C0F">
            <w:pPr>
              <w:pStyle w:val="TableBodyText"/>
            </w:pPr>
            <w:r>
              <w:t>FormatDefineStyleFont</w:t>
            </w:r>
          </w:p>
        </w:tc>
        <w:tc>
          <w:tcPr>
            <w:tcW w:w="0" w:type="auto"/>
            <w:vAlign w:val="center"/>
          </w:tcPr>
          <w:p w:rsidR="00024C0A" w:rsidRDefault="00694C0F">
            <w:pPr>
              <w:pStyle w:val="TableBodyText"/>
            </w:pPr>
            <w:r>
              <w:t>00B5</w:t>
            </w:r>
          </w:p>
        </w:tc>
      </w:tr>
      <w:tr w:rsidR="00024C0A" w:rsidTr="00024C0A">
        <w:tc>
          <w:tcPr>
            <w:tcW w:w="0" w:type="auto"/>
            <w:vAlign w:val="center"/>
          </w:tcPr>
          <w:p w:rsidR="00024C0A" w:rsidRDefault="00694C0F">
            <w:pPr>
              <w:pStyle w:val="TableBodyText"/>
            </w:pPr>
            <w:r>
              <w:t>FormatDefineStyleFrame</w:t>
            </w:r>
          </w:p>
        </w:tc>
        <w:tc>
          <w:tcPr>
            <w:tcW w:w="0" w:type="auto"/>
            <w:vAlign w:val="center"/>
          </w:tcPr>
          <w:p w:rsidR="00024C0A" w:rsidRDefault="00694C0F">
            <w:pPr>
              <w:pStyle w:val="TableBodyText"/>
            </w:pPr>
            <w:r>
              <w:t>00B8</w:t>
            </w:r>
          </w:p>
        </w:tc>
      </w:tr>
      <w:tr w:rsidR="00024C0A" w:rsidTr="00024C0A">
        <w:tc>
          <w:tcPr>
            <w:tcW w:w="0" w:type="auto"/>
            <w:vAlign w:val="center"/>
          </w:tcPr>
          <w:p w:rsidR="00024C0A" w:rsidRDefault="00694C0F">
            <w:pPr>
              <w:pStyle w:val="TableBodyText"/>
            </w:pPr>
            <w:r>
              <w:t>FormatDefineStyleLang</w:t>
            </w:r>
          </w:p>
        </w:tc>
        <w:tc>
          <w:tcPr>
            <w:tcW w:w="0" w:type="auto"/>
            <w:vAlign w:val="center"/>
          </w:tcPr>
          <w:p w:rsidR="00024C0A" w:rsidRDefault="00694C0F">
            <w:pPr>
              <w:pStyle w:val="TableBodyText"/>
            </w:pPr>
            <w:r>
              <w:t>00BA</w:t>
            </w:r>
          </w:p>
        </w:tc>
      </w:tr>
      <w:tr w:rsidR="00024C0A" w:rsidTr="00024C0A">
        <w:tc>
          <w:tcPr>
            <w:tcW w:w="0" w:type="auto"/>
            <w:vAlign w:val="center"/>
          </w:tcPr>
          <w:p w:rsidR="00024C0A" w:rsidRDefault="00694C0F">
            <w:pPr>
              <w:pStyle w:val="TableBodyText"/>
            </w:pPr>
            <w:r>
              <w:t>FormatDefineStyleNumbers</w:t>
            </w:r>
          </w:p>
        </w:tc>
        <w:tc>
          <w:tcPr>
            <w:tcW w:w="0" w:type="auto"/>
            <w:vAlign w:val="center"/>
          </w:tcPr>
          <w:p w:rsidR="00024C0A" w:rsidRDefault="00694C0F">
            <w:pPr>
              <w:pStyle w:val="TableBodyText"/>
            </w:pPr>
            <w:r>
              <w:t>025A</w:t>
            </w:r>
          </w:p>
        </w:tc>
      </w:tr>
      <w:tr w:rsidR="00024C0A" w:rsidTr="00024C0A">
        <w:tc>
          <w:tcPr>
            <w:tcW w:w="0" w:type="auto"/>
            <w:vAlign w:val="center"/>
          </w:tcPr>
          <w:p w:rsidR="00024C0A" w:rsidRDefault="00694C0F">
            <w:pPr>
              <w:pStyle w:val="TableBodyText"/>
            </w:pPr>
            <w:r>
              <w:t>FormatDefineStylePara</w:t>
            </w:r>
          </w:p>
        </w:tc>
        <w:tc>
          <w:tcPr>
            <w:tcW w:w="0" w:type="auto"/>
            <w:vAlign w:val="center"/>
          </w:tcPr>
          <w:p w:rsidR="00024C0A" w:rsidRDefault="00694C0F">
            <w:pPr>
              <w:pStyle w:val="TableBodyText"/>
            </w:pPr>
            <w:r>
              <w:t>00B6</w:t>
            </w:r>
          </w:p>
        </w:tc>
      </w:tr>
      <w:tr w:rsidR="00024C0A" w:rsidTr="00024C0A">
        <w:tc>
          <w:tcPr>
            <w:tcW w:w="0" w:type="auto"/>
            <w:vAlign w:val="center"/>
          </w:tcPr>
          <w:p w:rsidR="00024C0A" w:rsidRDefault="00694C0F">
            <w:pPr>
              <w:pStyle w:val="TableBodyText"/>
            </w:pPr>
            <w:r>
              <w:t>FormatDefineStyleStripes</w:t>
            </w:r>
          </w:p>
        </w:tc>
        <w:tc>
          <w:tcPr>
            <w:tcW w:w="0" w:type="auto"/>
            <w:vAlign w:val="center"/>
          </w:tcPr>
          <w:p w:rsidR="00024C0A" w:rsidRDefault="00694C0F">
            <w:pPr>
              <w:pStyle w:val="TableBodyText"/>
            </w:pPr>
            <w:r>
              <w:t>0503</w:t>
            </w:r>
          </w:p>
        </w:tc>
      </w:tr>
      <w:tr w:rsidR="00024C0A" w:rsidTr="00024C0A">
        <w:tc>
          <w:tcPr>
            <w:tcW w:w="0" w:type="auto"/>
            <w:vAlign w:val="center"/>
          </w:tcPr>
          <w:p w:rsidR="00024C0A" w:rsidRDefault="00694C0F">
            <w:pPr>
              <w:pStyle w:val="TableBodyText"/>
            </w:pPr>
            <w:r>
              <w:t>FormatDefineStyleTable</w:t>
            </w:r>
          </w:p>
        </w:tc>
        <w:tc>
          <w:tcPr>
            <w:tcW w:w="0" w:type="auto"/>
            <w:vAlign w:val="center"/>
          </w:tcPr>
          <w:p w:rsidR="00024C0A" w:rsidRDefault="00694C0F">
            <w:pPr>
              <w:pStyle w:val="TableBodyText"/>
            </w:pPr>
            <w:r>
              <w:t>0502</w:t>
            </w:r>
          </w:p>
        </w:tc>
      </w:tr>
      <w:tr w:rsidR="00024C0A" w:rsidTr="00024C0A">
        <w:tc>
          <w:tcPr>
            <w:tcW w:w="0" w:type="auto"/>
            <w:vAlign w:val="center"/>
          </w:tcPr>
          <w:p w:rsidR="00024C0A" w:rsidRDefault="00694C0F">
            <w:pPr>
              <w:pStyle w:val="TableBodyText"/>
            </w:pPr>
            <w:r>
              <w:t>FormatDefineStyleTabs</w:t>
            </w:r>
          </w:p>
        </w:tc>
        <w:tc>
          <w:tcPr>
            <w:tcW w:w="0" w:type="auto"/>
            <w:vAlign w:val="center"/>
          </w:tcPr>
          <w:p w:rsidR="00024C0A" w:rsidRDefault="00694C0F">
            <w:pPr>
              <w:pStyle w:val="TableBodyText"/>
            </w:pPr>
            <w:r>
              <w:t>00B7</w:t>
            </w:r>
          </w:p>
        </w:tc>
      </w:tr>
      <w:tr w:rsidR="00024C0A" w:rsidTr="00024C0A">
        <w:tc>
          <w:tcPr>
            <w:tcW w:w="0" w:type="auto"/>
            <w:vAlign w:val="center"/>
          </w:tcPr>
          <w:p w:rsidR="00024C0A" w:rsidRDefault="00694C0F">
            <w:pPr>
              <w:pStyle w:val="TableBodyText"/>
            </w:pPr>
            <w:r>
              <w:t>FormatDrawingObject</w:t>
            </w:r>
          </w:p>
        </w:tc>
        <w:tc>
          <w:tcPr>
            <w:tcW w:w="0" w:type="auto"/>
            <w:vAlign w:val="center"/>
          </w:tcPr>
          <w:p w:rsidR="00024C0A" w:rsidRDefault="00694C0F">
            <w:pPr>
              <w:pStyle w:val="TableBodyText"/>
            </w:pPr>
            <w:r>
              <w:t>03C0</w:t>
            </w:r>
          </w:p>
        </w:tc>
      </w:tr>
      <w:tr w:rsidR="00024C0A" w:rsidTr="00024C0A">
        <w:tc>
          <w:tcPr>
            <w:tcW w:w="0" w:type="auto"/>
            <w:vAlign w:val="center"/>
          </w:tcPr>
          <w:p w:rsidR="00024C0A" w:rsidRDefault="00694C0F">
            <w:pPr>
              <w:pStyle w:val="TableBodyText"/>
            </w:pPr>
            <w:r>
              <w:t>FormatDrawingObjectWrapBehind</w:t>
            </w:r>
          </w:p>
        </w:tc>
        <w:tc>
          <w:tcPr>
            <w:tcW w:w="0" w:type="auto"/>
            <w:vAlign w:val="center"/>
          </w:tcPr>
          <w:p w:rsidR="00024C0A" w:rsidRDefault="00694C0F">
            <w:pPr>
              <w:pStyle w:val="TableBodyText"/>
            </w:pPr>
            <w:r>
              <w:t>1010</w:t>
            </w:r>
          </w:p>
        </w:tc>
      </w:tr>
      <w:tr w:rsidR="00024C0A" w:rsidTr="00024C0A">
        <w:tc>
          <w:tcPr>
            <w:tcW w:w="0" w:type="auto"/>
            <w:vAlign w:val="center"/>
          </w:tcPr>
          <w:p w:rsidR="00024C0A" w:rsidRDefault="00694C0F">
            <w:pPr>
              <w:pStyle w:val="TableBodyText"/>
            </w:pPr>
            <w:r>
              <w:t>FormatDrawingObjectWrapFront</w:t>
            </w:r>
          </w:p>
        </w:tc>
        <w:tc>
          <w:tcPr>
            <w:tcW w:w="0" w:type="auto"/>
            <w:vAlign w:val="center"/>
          </w:tcPr>
          <w:p w:rsidR="00024C0A" w:rsidRDefault="00694C0F">
            <w:pPr>
              <w:pStyle w:val="TableBodyText"/>
            </w:pPr>
            <w:r>
              <w:t>100F</w:t>
            </w:r>
          </w:p>
        </w:tc>
      </w:tr>
      <w:tr w:rsidR="00024C0A" w:rsidTr="00024C0A">
        <w:tc>
          <w:tcPr>
            <w:tcW w:w="0" w:type="auto"/>
            <w:vAlign w:val="center"/>
          </w:tcPr>
          <w:p w:rsidR="00024C0A" w:rsidRDefault="00694C0F">
            <w:pPr>
              <w:pStyle w:val="TableBodyText"/>
            </w:pPr>
            <w:r>
              <w:t>FormatDrawingObjectWrapInline</w:t>
            </w:r>
          </w:p>
        </w:tc>
        <w:tc>
          <w:tcPr>
            <w:tcW w:w="0" w:type="auto"/>
            <w:vAlign w:val="center"/>
          </w:tcPr>
          <w:p w:rsidR="00024C0A" w:rsidRDefault="00694C0F">
            <w:pPr>
              <w:pStyle w:val="TableBodyText"/>
            </w:pPr>
            <w:r>
              <w:t>1011</w:t>
            </w:r>
          </w:p>
        </w:tc>
      </w:tr>
      <w:tr w:rsidR="00024C0A" w:rsidTr="00024C0A">
        <w:tc>
          <w:tcPr>
            <w:tcW w:w="0" w:type="auto"/>
            <w:vAlign w:val="center"/>
          </w:tcPr>
          <w:p w:rsidR="00024C0A" w:rsidRDefault="00694C0F">
            <w:pPr>
              <w:pStyle w:val="TableBodyText"/>
            </w:pPr>
            <w:r>
              <w:t>FormatDrawingObjectWrapNone</w:t>
            </w:r>
          </w:p>
        </w:tc>
        <w:tc>
          <w:tcPr>
            <w:tcW w:w="0" w:type="auto"/>
            <w:vAlign w:val="center"/>
          </w:tcPr>
          <w:p w:rsidR="00024C0A" w:rsidRDefault="00694C0F">
            <w:pPr>
              <w:pStyle w:val="TableBodyText"/>
            </w:pPr>
            <w:r>
              <w:t>0FFB</w:t>
            </w:r>
          </w:p>
        </w:tc>
      </w:tr>
      <w:tr w:rsidR="00024C0A" w:rsidTr="00024C0A">
        <w:tc>
          <w:tcPr>
            <w:tcW w:w="0" w:type="auto"/>
            <w:vAlign w:val="center"/>
          </w:tcPr>
          <w:p w:rsidR="00024C0A" w:rsidRDefault="00694C0F">
            <w:pPr>
              <w:pStyle w:val="TableBodyText"/>
            </w:pPr>
            <w:r>
              <w:t>FormatDrawingObjectWrapSquare</w:t>
            </w:r>
          </w:p>
        </w:tc>
        <w:tc>
          <w:tcPr>
            <w:tcW w:w="0" w:type="auto"/>
            <w:vAlign w:val="center"/>
          </w:tcPr>
          <w:p w:rsidR="00024C0A" w:rsidRDefault="00694C0F">
            <w:pPr>
              <w:pStyle w:val="TableBodyText"/>
            </w:pPr>
            <w:r>
              <w:t>0FF8</w:t>
            </w:r>
          </w:p>
        </w:tc>
      </w:tr>
      <w:tr w:rsidR="00024C0A" w:rsidTr="00024C0A">
        <w:tc>
          <w:tcPr>
            <w:tcW w:w="0" w:type="auto"/>
            <w:vAlign w:val="center"/>
          </w:tcPr>
          <w:p w:rsidR="00024C0A" w:rsidRDefault="00694C0F">
            <w:pPr>
              <w:pStyle w:val="TableBodyText"/>
            </w:pPr>
            <w:r>
              <w:lastRenderedPageBreak/>
              <w:t>FormatDrawingObjectWrapThrough</w:t>
            </w:r>
          </w:p>
        </w:tc>
        <w:tc>
          <w:tcPr>
            <w:tcW w:w="0" w:type="auto"/>
            <w:vAlign w:val="center"/>
          </w:tcPr>
          <w:p w:rsidR="00024C0A" w:rsidRDefault="00694C0F">
            <w:pPr>
              <w:pStyle w:val="TableBodyText"/>
            </w:pPr>
            <w:r>
              <w:t>0FFA</w:t>
            </w:r>
          </w:p>
        </w:tc>
      </w:tr>
      <w:tr w:rsidR="00024C0A" w:rsidTr="00024C0A">
        <w:tc>
          <w:tcPr>
            <w:tcW w:w="0" w:type="auto"/>
            <w:vAlign w:val="center"/>
          </w:tcPr>
          <w:p w:rsidR="00024C0A" w:rsidRDefault="00694C0F">
            <w:pPr>
              <w:pStyle w:val="TableBodyText"/>
            </w:pPr>
            <w:r>
              <w:t>FormatDrawingObjectWrapTight</w:t>
            </w:r>
          </w:p>
        </w:tc>
        <w:tc>
          <w:tcPr>
            <w:tcW w:w="0" w:type="auto"/>
            <w:vAlign w:val="center"/>
          </w:tcPr>
          <w:p w:rsidR="00024C0A" w:rsidRDefault="00694C0F">
            <w:pPr>
              <w:pStyle w:val="TableBodyText"/>
            </w:pPr>
            <w:r>
              <w:t>0FF9</w:t>
            </w:r>
          </w:p>
        </w:tc>
      </w:tr>
      <w:tr w:rsidR="00024C0A" w:rsidTr="00024C0A">
        <w:tc>
          <w:tcPr>
            <w:tcW w:w="0" w:type="auto"/>
            <w:vAlign w:val="center"/>
          </w:tcPr>
          <w:p w:rsidR="00024C0A" w:rsidRDefault="00694C0F">
            <w:pPr>
              <w:pStyle w:val="TableBodyText"/>
            </w:pPr>
            <w:r>
              <w:t>FormatDrawingObjectWrapTopBottom</w:t>
            </w:r>
          </w:p>
        </w:tc>
        <w:tc>
          <w:tcPr>
            <w:tcW w:w="0" w:type="auto"/>
            <w:vAlign w:val="center"/>
          </w:tcPr>
          <w:p w:rsidR="00024C0A" w:rsidRDefault="00694C0F">
            <w:pPr>
              <w:pStyle w:val="TableBodyText"/>
            </w:pPr>
            <w:r>
              <w:t>0FFC</w:t>
            </w:r>
          </w:p>
        </w:tc>
      </w:tr>
      <w:tr w:rsidR="00024C0A" w:rsidTr="00024C0A">
        <w:tc>
          <w:tcPr>
            <w:tcW w:w="0" w:type="auto"/>
            <w:vAlign w:val="center"/>
          </w:tcPr>
          <w:p w:rsidR="00024C0A" w:rsidRDefault="00694C0F">
            <w:pPr>
              <w:pStyle w:val="TableBodyText"/>
            </w:pPr>
            <w:r>
              <w:t>FormatDropCap</w:t>
            </w:r>
          </w:p>
        </w:tc>
        <w:tc>
          <w:tcPr>
            <w:tcW w:w="0" w:type="auto"/>
            <w:vAlign w:val="center"/>
          </w:tcPr>
          <w:p w:rsidR="00024C0A" w:rsidRDefault="00694C0F">
            <w:pPr>
              <w:pStyle w:val="TableBodyText"/>
            </w:pPr>
            <w:r>
              <w:t>01E8</w:t>
            </w:r>
          </w:p>
        </w:tc>
      </w:tr>
      <w:tr w:rsidR="00024C0A" w:rsidTr="00024C0A">
        <w:tc>
          <w:tcPr>
            <w:tcW w:w="0" w:type="auto"/>
            <w:vAlign w:val="center"/>
          </w:tcPr>
          <w:p w:rsidR="00024C0A" w:rsidRDefault="00694C0F">
            <w:pPr>
              <w:pStyle w:val="TableBodyText"/>
            </w:pPr>
            <w:r>
              <w:t>FormatEncloseCharacters</w:t>
            </w:r>
          </w:p>
        </w:tc>
        <w:tc>
          <w:tcPr>
            <w:tcW w:w="0" w:type="auto"/>
            <w:vAlign w:val="center"/>
          </w:tcPr>
          <w:p w:rsidR="00024C0A" w:rsidRDefault="00694C0F">
            <w:pPr>
              <w:pStyle w:val="TableBodyText"/>
            </w:pPr>
            <w:r>
              <w:t>048A</w:t>
            </w:r>
          </w:p>
        </w:tc>
      </w:tr>
      <w:tr w:rsidR="00024C0A" w:rsidTr="00024C0A">
        <w:tc>
          <w:tcPr>
            <w:tcW w:w="0" w:type="auto"/>
            <w:vAlign w:val="center"/>
          </w:tcPr>
          <w:p w:rsidR="00024C0A" w:rsidRDefault="00694C0F">
            <w:pPr>
              <w:pStyle w:val="TableBodyText"/>
            </w:pPr>
            <w:r>
              <w:t>FormatField</w:t>
            </w:r>
          </w:p>
        </w:tc>
        <w:tc>
          <w:tcPr>
            <w:tcW w:w="0" w:type="auto"/>
            <w:vAlign w:val="center"/>
          </w:tcPr>
          <w:p w:rsidR="00024C0A" w:rsidRDefault="00694C0F">
            <w:pPr>
              <w:pStyle w:val="TableBodyText"/>
            </w:pPr>
            <w:r>
              <w:t>053C</w:t>
            </w:r>
          </w:p>
        </w:tc>
      </w:tr>
      <w:tr w:rsidR="00024C0A" w:rsidTr="00024C0A">
        <w:tc>
          <w:tcPr>
            <w:tcW w:w="0" w:type="auto"/>
            <w:vAlign w:val="center"/>
          </w:tcPr>
          <w:p w:rsidR="00024C0A" w:rsidRDefault="00694C0F">
            <w:pPr>
              <w:pStyle w:val="TableBodyText"/>
            </w:pPr>
            <w:r>
              <w:t>FormatFillColor</w:t>
            </w:r>
          </w:p>
        </w:tc>
        <w:tc>
          <w:tcPr>
            <w:tcW w:w="0" w:type="auto"/>
            <w:vAlign w:val="center"/>
          </w:tcPr>
          <w:p w:rsidR="00024C0A" w:rsidRDefault="00694C0F">
            <w:pPr>
              <w:pStyle w:val="TableBodyText"/>
            </w:pPr>
            <w:r>
              <w:t>165C</w:t>
            </w:r>
          </w:p>
        </w:tc>
      </w:tr>
      <w:tr w:rsidR="00024C0A" w:rsidTr="00024C0A">
        <w:tc>
          <w:tcPr>
            <w:tcW w:w="0" w:type="auto"/>
            <w:vAlign w:val="center"/>
          </w:tcPr>
          <w:p w:rsidR="00024C0A" w:rsidRDefault="00694C0F">
            <w:pPr>
              <w:pStyle w:val="TableBodyText"/>
            </w:pPr>
            <w:r>
              <w:t>FormatFitText</w:t>
            </w:r>
          </w:p>
        </w:tc>
        <w:tc>
          <w:tcPr>
            <w:tcW w:w="0" w:type="auto"/>
            <w:vAlign w:val="center"/>
          </w:tcPr>
          <w:p w:rsidR="00024C0A" w:rsidRDefault="00694C0F">
            <w:pPr>
              <w:pStyle w:val="TableBodyText"/>
            </w:pPr>
            <w:r>
              <w:t>03D7</w:t>
            </w:r>
          </w:p>
        </w:tc>
      </w:tr>
      <w:tr w:rsidR="00024C0A" w:rsidTr="00024C0A">
        <w:tc>
          <w:tcPr>
            <w:tcW w:w="0" w:type="auto"/>
            <w:vAlign w:val="center"/>
          </w:tcPr>
          <w:p w:rsidR="00024C0A" w:rsidRDefault="00694C0F">
            <w:pPr>
              <w:pStyle w:val="TableBodyText"/>
            </w:pPr>
            <w:r>
              <w:t>FormatFont</w:t>
            </w:r>
          </w:p>
        </w:tc>
        <w:tc>
          <w:tcPr>
            <w:tcW w:w="0" w:type="auto"/>
            <w:vAlign w:val="center"/>
          </w:tcPr>
          <w:p w:rsidR="00024C0A" w:rsidRDefault="00694C0F">
            <w:pPr>
              <w:pStyle w:val="TableBodyText"/>
            </w:pPr>
            <w:r>
              <w:t>00AE</w:t>
            </w:r>
          </w:p>
        </w:tc>
      </w:tr>
      <w:tr w:rsidR="00024C0A" w:rsidTr="00024C0A">
        <w:tc>
          <w:tcPr>
            <w:tcW w:w="0" w:type="auto"/>
            <w:vAlign w:val="center"/>
          </w:tcPr>
          <w:p w:rsidR="00024C0A" w:rsidRDefault="00694C0F">
            <w:pPr>
              <w:pStyle w:val="TableBodyText"/>
            </w:pPr>
            <w:r>
              <w:t>FormatFrame</w:t>
            </w:r>
          </w:p>
        </w:tc>
        <w:tc>
          <w:tcPr>
            <w:tcW w:w="0" w:type="auto"/>
            <w:vAlign w:val="center"/>
          </w:tcPr>
          <w:p w:rsidR="00024C0A" w:rsidRDefault="00694C0F">
            <w:pPr>
              <w:pStyle w:val="TableBodyText"/>
            </w:pPr>
            <w:r>
              <w:t>00BE</w:t>
            </w:r>
          </w:p>
        </w:tc>
      </w:tr>
      <w:tr w:rsidR="00024C0A" w:rsidTr="00024C0A">
        <w:tc>
          <w:tcPr>
            <w:tcW w:w="0" w:type="auto"/>
            <w:vAlign w:val="center"/>
          </w:tcPr>
          <w:p w:rsidR="00024C0A" w:rsidRDefault="00694C0F">
            <w:pPr>
              <w:pStyle w:val="TableBodyText"/>
            </w:pPr>
            <w:r>
              <w:t>FormatFrameOrFramePicture</w:t>
            </w:r>
          </w:p>
        </w:tc>
        <w:tc>
          <w:tcPr>
            <w:tcW w:w="0" w:type="auto"/>
            <w:vAlign w:val="center"/>
          </w:tcPr>
          <w:p w:rsidR="00024C0A" w:rsidRDefault="00694C0F">
            <w:pPr>
              <w:pStyle w:val="TableBodyText"/>
            </w:pPr>
            <w:r>
              <w:t>015A</w:t>
            </w:r>
          </w:p>
        </w:tc>
      </w:tr>
      <w:tr w:rsidR="00024C0A" w:rsidTr="00024C0A">
        <w:tc>
          <w:tcPr>
            <w:tcW w:w="0" w:type="auto"/>
            <w:vAlign w:val="center"/>
          </w:tcPr>
          <w:p w:rsidR="00024C0A" w:rsidRDefault="00694C0F">
            <w:pPr>
              <w:pStyle w:val="TableBodyText"/>
            </w:pPr>
            <w:r>
              <w:t>FormatHeaderFooterLink</w:t>
            </w:r>
          </w:p>
        </w:tc>
        <w:tc>
          <w:tcPr>
            <w:tcW w:w="0" w:type="auto"/>
            <w:vAlign w:val="center"/>
          </w:tcPr>
          <w:p w:rsidR="00024C0A" w:rsidRDefault="00694C0F">
            <w:pPr>
              <w:pStyle w:val="TableBodyText"/>
            </w:pPr>
            <w:r>
              <w:t>00F2</w:t>
            </w:r>
          </w:p>
        </w:tc>
      </w:tr>
      <w:tr w:rsidR="00024C0A" w:rsidTr="00024C0A">
        <w:tc>
          <w:tcPr>
            <w:tcW w:w="0" w:type="auto"/>
            <w:vAlign w:val="center"/>
          </w:tcPr>
          <w:p w:rsidR="00024C0A" w:rsidRDefault="00694C0F">
            <w:pPr>
              <w:pStyle w:val="TableBodyText"/>
            </w:pPr>
            <w:r>
              <w:t>FormatHeadingNumber</w:t>
            </w:r>
          </w:p>
        </w:tc>
        <w:tc>
          <w:tcPr>
            <w:tcW w:w="0" w:type="auto"/>
            <w:vAlign w:val="center"/>
          </w:tcPr>
          <w:p w:rsidR="00024C0A" w:rsidRDefault="00694C0F">
            <w:pPr>
              <w:pStyle w:val="TableBodyText"/>
            </w:pPr>
            <w:r>
              <w:t>025E</w:t>
            </w:r>
          </w:p>
        </w:tc>
      </w:tr>
      <w:tr w:rsidR="00024C0A" w:rsidTr="00024C0A">
        <w:tc>
          <w:tcPr>
            <w:tcW w:w="0" w:type="auto"/>
            <w:vAlign w:val="center"/>
          </w:tcPr>
          <w:p w:rsidR="00024C0A" w:rsidRDefault="00694C0F">
            <w:pPr>
              <w:pStyle w:val="TableBodyText"/>
            </w:pPr>
            <w:r>
              <w:t>FormatHeadingNumbering</w:t>
            </w:r>
          </w:p>
        </w:tc>
        <w:tc>
          <w:tcPr>
            <w:tcW w:w="0" w:type="auto"/>
            <w:vAlign w:val="center"/>
          </w:tcPr>
          <w:p w:rsidR="00024C0A" w:rsidRDefault="00694C0F">
            <w:pPr>
              <w:pStyle w:val="TableBodyText"/>
            </w:pPr>
            <w:r>
              <w:t>025B</w:t>
            </w:r>
          </w:p>
        </w:tc>
      </w:tr>
      <w:tr w:rsidR="00024C0A" w:rsidTr="00024C0A">
        <w:tc>
          <w:tcPr>
            <w:tcW w:w="0" w:type="auto"/>
            <w:vAlign w:val="center"/>
          </w:tcPr>
          <w:p w:rsidR="00024C0A" w:rsidRDefault="00694C0F">
            <w:pPr>
              <w:pStyle w:val="TableBodyText"/>
            </w:pPr>
            <w:r>
              <w:t>FormatHorizontalInVertical</w:t>
            </w:r>
          </w:p>
        </w:tc>
        <w:tc>
          <w:tcPr>
            <w:tcW w:w="0" w:type="auto"/>
            <w:vAlign w:val="center"/>
          </w:tcPr>
          <w:p w:rsidR="00024C0A" w:rsidRDefault="00694C0F">
            <w:pPr>
              <w:pStyle w:val="TableBodyText"/>
            </w:pPr>
            <w:r>
              <w:t>0488</w:t>
            </w:r>
          </w:p>
        </w:tc>
      </w:tr>
      <w:tr w:rsidR="00024C0A" w:rsidTr="00024C0A">
        <w:tc>
          <w:tcPr>
            <w:tcW w:w="0" w:type="auto"/>
            <w:vAlign w:val="center"/>
          </w:tcPr>
          <w:p w:rsidR="00024C0A" w:rsidRDefault="00694C0F">
            <w:pPr>
              <w:pStyle w:val="TableBodyText"/>
            </w:pPr>
            <w:r>
              <w:t>FormatInkAnnotColor</w:t>
            </w:r>
          </w:p>
        </w:tc>
        <w:tc>
          <w:tcPr>
            <w:tcW w:w="0" w:type="auto"/>
            <w:vAlign w:val="center"/>
          </w:tcPr>
          <w:p w:rsidR="00024C0A" w:rsidRDefault="00694C0F">
            <w:pPr>
              <w:pStyle w:val="TableBodyText"/>
            </w:pPr>
            <w:r>
              <w:t>16BB</w:t>
            </w:r>
          </w:p>
        </w:tc>
      </w:tr>
      <w:tr w:rsidR="00024C0A" w:rsidTr="00024C0A">
        <w:tc>
          <w:tcPr>
            <w:tcW w:w="0" w:type="auto"/>
            <w:vAlign w:val="center"/>
          </w:tcPr>
          <w:p w:rsidR="00024C0A" w:rsidRDefault="00694C0F">
            <w:pPr>
              <w:pStyle w:val="TableBodyText"/>
            </w:pPr>
            <w:r>
              <w:t>FormatInkColor</w:t>
            </w:r>
          </w:p>
        </w:tc>
        <w:tc>
          <w:tcPr>
            <w:tcW w:w="0" w:type="auto"/>
            <w:vAlign w:val="center"/>
          </w:tcPr>
          <w:p w:rsidR="00024C0A" w:rsidRDefault="00694C0F">
            <w:pPr>
              <w:pStyle w:val="TableBodyText"/>
            </w:pPr>
            <w:r>
              <w:t>16B9</w:t>
            </w:r>
          </w:p>
        </w:tc>
      </w:tr>
      <w:tr w:rsidR="00024C0A" w:rsidTr="00024C0A">
        <w:tc>
          <w:tcPr>
            <w:tcW w:w="0" w:type="auto"/>
            <w:vAlign w:val="center"/>
          </w:tcPr>
          <w:p w:rsidR="00024C0A" w:rsidRDefault="00694C0F">
            <w:pPr>
              <w:pStyle w:val="TableBodyText"/>
            </w:pPr>
            <w:r>
              <w:t>FormatLineColor</w:t>
            </w:r>
          </w:p>
        </w:tc>
        <w:tc>
          <w:tcPr>
            <w:tcW w:w="0" w:type="auto"/>
            <w:vAlign w:val="center"/>
          </w:tcPr>
          <w:p w:rsidR="00024C0A" w:rsidRDefault="00694C0F">
            <w:pPr>
              <w:pStyle w:val="TableBodyText"/>
            </w:pPr>
            <w:r>
              <w:t>165D</w:t>
            </w:r>
          </w:p>
        </w:tc>
      </w:tr>
      <w:tr w:rsidR="00024C0A" w:rsidTr="00024C0A">
        <w:tc>
          <w:tcPr>
            <w:tcW w:w="0" w:type="auto"/>
            <w:vAlign w:val="center"/>
          </w:tcPr>
          <w:p w:rsidR="00024C0A" w:rsidRDefault="00694C0F">
            <w:pPr>
              <w:pStyle w:val="TableBodyText"/>
            </w:pPr>
            <w:r>
              <w:t>FormatLineStyle</w:t>
            </w:r>
          </w:p>
        </w:tc>
        <w:tc>
          <w:tcPr>
            <w:tcW w:w="0" w:type="auto"/>
            <w:vAlign w:val="center"/>
          </w:tcPr>
          <w:p w:rsidR="00024C0A" w:rsidRDefault="00694C0F">
            <w:pPr>
              <w:pStyle w:val="TableBodyText"/>
            </w:pPr>
            <w:r>
              <w:t>165F</w:t>
            </w:r>
          </w:p>
        </w:tc>
      </w:tr>
      <w:tr w:rsidR="00024C0A" w:rsidTr="00024C0A">
        <w:tc>
          <w:tcPr>
            <w:tcW w:w="0" w:type="auto"/>
            <w:vAlign w:val="center"/>
          </w:tcPr>
          <w:p w:rsidR="00024C0A" w:rsidRDefault="00694C0F">
            <w:pPr>
              <w:pStyle w:val="TableBodyText"/>
            </w:pPr>
            <w:r>
              <w:t>FormatMultilevel</w:t>
            </w:r>
          </w:p>
        </w:tc>
        <w:tc>
          <w:tcPr>
            <w:tcW w:w="0" w:type="auto"/>
            <w:vAlign w:val="center"/>
          </w:tcPr>
          <w:p w:rsidR="00024C0A" w:rsidRDefault="00694C0F">
            <w:pPr>
              <w:pStyle w:val="TableBodyText"/>
            </w:pPr>
            <w:r>
              <w:t>0187</w:t>
            </w:r>
          </w:p>
        </w:tc>
      </w:tr>
      <w:tr w:rsidR="00024C0A" w:rsidTr="00024C0A">
        <w:tc>
          <w:tcPr>
            <w:tcW w:w="0" w:type="auto"/>
            <w:vAlign w:val="center"/>
          </w:tcPr>
          <w:p w:rsidR="00024C0A" w:rsidRDefault="00694C0F">
            <w:pPr>
              <w:pStyle w:val="TableBodyText"/>
            </w:pPr>
            <w:r>
              <w:t>FormatMultilevelDefault</w:t>
            </w:r>
          </w:p>
        </w:tc>
        <w:tc>
          <w:tcPr>
            <w:tcW w:w="0" w:type="auto"/>
            <w:vAlign w:val="center"/>
          </w:tcPr>
          <w:p w:rsidR="00024C0A" w:rsidRDefault="00694C0F">
            <w:pPr>
              <w:pStyle w:val="TableBodyText"/>
            </w:pPr>
            <w:r>
              <w:t>03B7</w:t>
            </w:r>
          </w:p>
        </w:tc>
      </w:tr>
      <w:tr w:rsidR="00024C0A" w:rsidTr="00024C0A">
        <w:tc>
          <w:tcPr>
            <w:tcW w:w="0" w:type="auto"/>
            <w:vAlign w:val="center"/>
          </w:tcPr>
          <w:p w:rsidR="00024C0A" w:rsidRDefault="00694C0F">
            <w:pPr>
              <w:pStyle w:val="TableBodyText"/>
            </w:pPr>
            <w:r>
              <w:t>FormatNumber</w:t>
            </w:r>
          </w:p>
        </w:tc>
        <w:tc>
          <w:tcPr>
            <w:tcW w:w="0" w:type="auto"/>
            <w:vAlign w:val="center"/>
          </w:tcPr>
          <w:p w:rsidR="00024C0A" w:rsidRDefault="00694C0F">
            <w:pPr>
              <w:pStyle w:val="TableBodyText"/>
            </w:pPr>
            <w:r>
              <w:t>0186</w:t>
            </w:r>
          </w:p>
        </w:tc>
      </w:tr>
      <w:tr w:rsidR="00024C0A" w:rsidTr="00024C0A">
        <w:tc>
          <w:tcPr>
            <w:tcW w:w="0" w:type="auto"/>
            <w:vAlign w:val="center"/>
          </w:tcPr>
          <w:p w:rsidR="00024C0A" w:rsidRDefault="00694C0F">
            <w:pPr>
              <w:pStyle w:val="TableBodyText"/>
            </w:pPr>
            <w:r>
              <w:t>FormatNumberDefault</w:t>
            </w:r>
          </w:p>
        </w:tc>
        <w:tc>
          <w:tcPr>
            <w:tcW w:w="0" w:type="auto"/>
            <w:vAlign w:val="center"/>
          </w:tcPr>
          <w:p w:rsidR="00024C0A" w:rsidRDefault="00694C0F">
            <w:pPr>
              <w:pStyle w:val="TableBodyText"/>
            </w:pPr>
            <w:r>
              <w:t>03B6</w:t>
            </w:r>
          </w:p>
        </w:tc>
      </w:tr>
      <w:tr w:rsidR="00024C0A" w:rsidTr="00024C0A">
        <w:tc>
          <w:tcPr>
            <w:tcW w:w="0" w:type="auto"/>
            <w:vAlign w:val="center"/>
          </w:tcPr>
          <w:p w:rsidR="00024C0A" w:rsidRDefault="00694C0F">
            <w:pPr>
              <w:pStyle w:val="TableBodyText"/>
            </w:pPr>
            <w:r>
              <w:t>FormatObjectCore</w:t>
            </w:r>
          </w:p>
        </w:tc>
        <w:tc>
          <w:tcPr>
            <w:tcW w:w="0" w:type="auto"/>
            <w:vAlign w:val="center"/>
          </w:tcPr>
          <w:p w:rsidR="00024C0A" w:rsidRDefault="00694C0F">
            <w:pPr>
              <w:pStyle w:val="TableBodyText"/>
            </w:pPr>
            <w:r>
              <w:t>0396</w:t>
            </w:r>
          </w:p>
        </w:tc>
      </w:tr>
      <w:tr w:rsidR="00024C0A" w:rsidTr="00024C0A">
        <w:tc>
          <w:tcPr>
            <w:tcW w:w="0" w:type="auto"/>
            <w:vAlign w:val="center"/>
          </w:tcPr>
          <w:p w:rsidR="00024C0A" w:rsidRDefault="00694C0F">
            <w:pPr>
              <w:pStyle w:val="TableBodyText"/>
            </w:pPr>
            <w:r>
              <w:t>FormatPageBordersAndShading</w:t>
            </w:r>
          </w:p>
        </w:tc>
        <w:tc>
          <w:tcPr>
            <w:tcW w:w="0" w:type="auto"/>
            <w:vAlign w:val="center"/>
          </w:tcPr>
          <w:p w:rsidR="00024C0A" w:rsidRDefault="00694C0F">
            <w:pPr>
              <w:pStyle w:val="TableBodyText"/>
            </w:pPr>
            <w:r>
              <w:t>094B</w:t>
            </w:r>
          </w:p>
        </w:tc>
      </w:tr>
      <w:tr w:rsidR="00024C0A" w:rsidTr="00024C0A">
        <w:tc>
          <w:tcPr>
            <w:tcW w:w="0" w:type="auto"/>
            <w:vAlign w:val="center"/>
          </w:tcPr>
          <w:p w:rsidR="00024C0A" w:rsidRDefault="00694C0F">
            <w:pPr>
              <w:pStyle w:val="TableBodyText"/>
            </w:pPr>
            <w:r>
              <w:t>FormatPageNumber</w:t>
            </w:r>
          </w:p>
        </w:tc>
        <w:tc>
          <w:tcPr>
            <w:tcW w:w="0" w:type="auto"/>
            <w:vAlign w:val="center"/>
          </w:tcPr>
          <w:p w:rsidR="00024C0A" w:rsidRDefault="00694C0F">
            <w:pPr>
              <w:pStyle w:val="TableBodyText"/>
            </w:pPr>
            <w:r>
              <w:t>012A</w:t>
            </w:r>
          </w:p>
        </w:tc>
      </w:tr>
      <w:tr w:rsidR="00024C0A" w:rsidTr="00024C0A">
        <w:tc>
          <w:tcPr>
            <w:tcW w:w="0" w:type="auto"/>
            <w:vAlign w:val="center"/>
          </w:tcPr>
          <w:p w:rsidR="00024C0A" w:rsidRDefault="00694C0F">
            <w:pPr>
              <w:pStyle w:val="TableBodyText"/>
            </w:pPr>
            <w:r>
              <w:t>FormatParagraph</w:t>
            </w:r>
          </w:p>
        </w:tc>
        <w:tc>
          <w:tcPr>
            <w:tcW w:w="0" w:type="auto"/>
            <w:vAlign w:val="center"/>
          </w:tcPr>
          <w:p w:rsidR="00024C0A" w:rsidRDefault="00694C0F">
            <w:pPr>
              <w:pStyle w:val="TableBodyText"/>
            </w:pPr>
            <w:r>
              <w:t>00AF</w:t>
            </w:r>
          </w:p>
        </w:tc>
      </w:tr>
      <w:tr w:rsidR="00024C0A" w:rsidTr="00024C0A">
        <w:tc>
          <w:tcPr>
            <w:tcW w:w="0" w:type="auto"/>
            <w:vAlign w:val="center"/>
          </w:tcPr>
          <w:p w:rsidR="00024C0A" w:rsidRDefault="00694C0F">
            <w:pPr>
              <w:pStyle w:val="TableBodyText"/>
            </w:pPr>
            <w:r>
              <w:t>FormatPhoneticGuide</w:t>
            </w:r>
          </w:p>
        </w:tc>
        <w:tc>
          <w:tcPr>
            <w:tcW w:w="0" w:type="auto"/>
            <w:vAlign w:val="center"/>
          </w:tcPr>
          <w:p w:rsidR="00024C0A" w:rsidRDefault="00694C0F">
            <w:pPr>
              <w:pStyle w:val="TableBodyText"/>
            </w:pPr>
            <w:r>
              <w:t>03DA</w:t>
            </w:r>
          </w:p>
        </w:tc>
      </w:tr>
      <w:tr w:rsidR="00024C0A" w:rsidTr="00024C0A">
        <w:tc>
          <w:tcPr>
            <w:tcW w:w="0" w:type="auto"/>
            <w:vAlign w:val="center"/>
          </w:tcPr>
          <w:p w:rsidR="00024C0A" w:rsidRDefault="00694C0F">
            <w:pPr>
              <w:pStyle w:val="TableBodyText"/>
            </w:pPr>
            <w:r>
              <w:t>FormatPicture</w:t>
            </w:r>
          </w:p>
        </w:tc>
        <w:tc>
          <w:tcPr>
            <w:tcW w:w="0" w:type="auto"/>
            <w:vAlign w:val="center"/>
          </w:tcPr>
          <w:p w:rsidR="00024C0A" w:rsidRDefault="00694C0F">
            <w:pPr>
              <w:pStyle w:val="TableBodyText"/>
            </w:pPr>
            <w:r>
              <w:t>00BB</w:t>
            </w:r>
          </w:p>
        </w:tc>
      </w:tr>
      <w:tr w:rsidR="00024C0A" w:rsidTr="00024C0A">
        <w:tc>
          <w:tcPr>
            <w:tcW w:w="0" w:type="auto"/>
            <w:vAlign w:val="center"/>
          </w:tcPr>
          <w:p w:rsidR="00024C0A" w:rsidRDefault="00694C0F">
            <w:pPr>
              <w:pStyle w:val="TableBodyText"/>
            </w:pPr>
            <w:r>
              <w:t>FormatRetAddrFonts</w:t>
            </w:r>
          </w:p>
        </w:tc>
        <w:tc>
          <w:tcPr>
            <w:tcW w:w="0" w:type="auto"/>
            <w:vAlign w:val="center"/>
          </w:tcPr>
          <w:p w:rsidR="00024C0A" w:rsidRDefault="00694C0F">
            <w:pPr>
              <w:pStyle w:val="TableBodyText"/>
            </w:pPr>
            <w:r>
              <w:t>00DD</w:t>
            </w:r>
          </w:p>
        </w:tc>
      </w:tr>
      <w:tr w:rsidR="00024C0A" w:rsidTr="00024C0A">
        <w:tc>
          <w:tcPr>
            <w:tcW w:w="0" w:type="auto"/>
            <w:vAlign w:val="center"/>
          </w:tcPr>
          <w:p w:rsidR="00024C0A" w:rsidRDefault="00694C0F">
            <w:pPr>
              <w:pStyle w:val="TableBodyText"/>
            </w:pPr>
            <w:r>
              <w:t>FormatSectionLayout</w:t>
            </w:r>
          </w:p>
        </w:tc>
        <w:tc>
          <w:tcPr>
            <w:tcW w:w="0" w:type="auto"/>
            <w:vAlign w:val="center"/>
          </w:tcPr>
          <w:p w:rsidR="00024C0A" w:rsidRDefault="00694C0F">
            <w:pPr>
              <w:pStyle w:val="TableBodyText"/>
            </w:pPr>
            <w:r>
              <w:t>00B0</w:t>
            </w:r>
          </w:p>
        </w:tc>
      </w:tr>
      <w:tr w:rsidR="00024C0A" w:rsidTr="00024C0A">
        <w:tc>
          <w:tcPr>
            <w:tcW w:w="0" w:type="auto"/>
            <w:vAlign w:val="center"/>
          </w:tcPr>
          <w:p w:rsidR="00024C0A" w:rsidRDefault="00694C0F">
            <w:pPr>
              <w:pStyle w:val="TableBodyText"/>
            </w:pPr>
            <w:r>
              <w:t>FormatSimpleNumberDefault</w:t>
            </w:r>
          </w:p>
        </w:tc>
        <w:tc>
          <w:tcPr>
            <w:tcW w:w="0" w:type="auto"/>
            <w:vAlign w:val="center"/>
          </w:tcPr>
          <w:p w:rsidR="00024C0A" w:rsidRDefault="00694C0F">
            <w:pPr>
              <w:pStyle w:val="TableBodyText"/>
            </w:pPr>
            <w:r>
              <w:t>018E</w:t>
            </w:r>
          </w:p>
        </w:tc>
      </w:tr>
      <w:tr w:rsidR="00024C0A" w:rsidTr="00024C0A">
        <w:tc>
          <w:tcPr>
            <w:tcW w:w="0" w:type="auto"/>
            <w:vAlign w:val="center"/>
          </w:tcPr>
          <w:p w:rsidR="00024C0A" w:rsidRDefault="00694C0F">
            <w:pPr>
              <w:pStyle w:val="TableBodyText"/>
            </w:pPr>
            <w:r>
              <w:lastRenderedPageBreak/>
              <w:t>FormatStyle</w:t>
            </w:r>
          </w:p>
        </w:tc>
        <w:tc>
          <w:tcPr>
            <w:tcW w:w="0" w:type="auto"/>
            <w:vAlign w:val="center"/>
          </w:tcPr>
          <w:p w:rsidR="00024C0A" w:rsidRDefault="00694C0F">
            <w:pPr>
              <w:pStyle w:val="TableBodyText"/>
            </w:pPr>
            <w:r>
              <w:t>00B4</w:t>
            </w:r>
          </w:p>
        </w:tc>
      </w:tr>
      <w:tr w:rsidR="00024C0A" w:rsidTr="00024C0A">
        <w:tc>
          <w:tcPr>
            <w:tcW w:w="0" w:type="auto"/>
            <w:vAlign w:val="center"/>
          </w:tcPr>
          <w:p w:rsidR="00024C0A" w:rsidRDefault="00694C0F">
            <w:pPr>
              <w:pStyle w:val="TableBodyText"/>
            </w:pPr>
            <w:r>
              <w:t>FormatStyleByExample</w:t>
            </w:r>
          </w:p>
        </w:tc>
        <w:tc>
          <w:tcPr>
            <w:tcW w:w="0" w:type="auto"/>
            <w:vAlign w:val="center"/>
          </w:tcPr>
          <w:p w:rsidR="00024C0A" w:rsidRDefault="00694C0F">
            <w:pPr>
              <w:pStyle w:val="TableBodyText"/>
            </w:pPr>
            <w:r>
              <w:t>0544</w:t>
            </w:r>
          </w:p>
        </w:tc>
      </w:tr>
      <w:tr w:rsidR="00024C0A" w:rsidTr="00024C0A">
        <w:tc>
          <w:tcPr>
            <w:tcW w:w="0" w:type="auto"/>
            <w:vAlign w:val="center"/>
          </w:tcPr>
          <w:p w:rsidR="00024C0A" w:rsidRDefault="00694C0F">
            <w:pPr>
              <w:pStyle w:val="TableBodyText"/>
            </w:pPr>
            <w:r>
              <w:t>FormatStyleGallery</w:t>
            </w:r>
          </w:p>
        </w:tc>
        <w:tc>
          <w:tcPr>
            <w:tcW w:w="0" w:type="auto"/>
            <w:vAlign w:val="center"/>
          </w:tcPr>
          <w:p w:rsidR="00024C0A" w:rsidRDefault="00694C0F">
            <w:pPr>
              <w:pStyle w:val="TableBodyText"/>
            </w:pPr>
            <w:r>
              <w:t>01F9</w:t>
            </w:r>
          </w:p>
        </w:tc>
      </w:tr>
      <w:tr w:rsidR="00024C0A" w:rsidTr="00024C0A">
        <w:tc>
          <w:tcPr>
            <w:tcW w:w="0" w:type="auto"/>
            <w:vAlign w:val="center"/>
          </w:tcPr>
          <w:p w:rsidR="00024C0A" w:rsidRDefault="00694C0F">
            <w:pPr>
              <w:pStyle w:val="TableBodyText"/>
            </w:pPr>
            <w:r>
              <w:t>FormatStyleManagement</w:t>
            </w:r>
          </w:p>
        </w:tc>
        <w:tc>
          <w:tcPr>
            <w:tcW w:w="0" w:type="auto"/>
            <w:vAlign w:val="center"/>
          </w:tcPr>
          <w:p w:rsidR="00024C0A" w:rsidRDefault="00694C0F">
            <w:pPr>
              <w:pStyle w:val="TableBodyText"/>
            </w:pPr>
            <w:r>
              <w:t>079C</w:t>
            </w:r>
          </w:p>
        </w:tc>
      </w:tr>
      <w:tr w:rsidR="00024C0A" w:rsidTr="00024C0A">
        <w:tc>
          <w:tcPr>
            <w:tcW w:w="0" w:type="auto"/>
            <w:vAlign w:val="center"/>
          </w:tcPr>
          <w:p w:rsidR="00024C0A" w:rsidRDefault="00694C0F">
            <w:pPr>
              <w:pStyle w:val="TableBodyText"/>
            </w:pPr>
            <w:r>
              <w:t>FormatStyleModify</w:t>
            </w:r>
          </w:p>
        </w:tc>
        <w:tc>
          <w:tcPr>
            <w:tcW w:w="0" w:type="auto"/>
            <w:vAlign w:val="center"/>
          </w:tcPr>
          <w:p w:rsidR="00024C0A" w:rsidRDefault="00694C0F">
            <w:pPr>
              <w:pStyle w:val="TableBodyText"/>
            </w:pPr>
            <w:r>
              <w:t>0543</w:t>
            </w:r>
          </w:p>
        </w:tc>
      </w:tr>
      <w:tr w:rsidR="00024C0A" w:rsidTr="00024C0A">
        <w:tc>
          <w:tcPr>
            <w:tcW w:w="0" w:type="auto"/>
            <w:vAlign w:val="center"/>
          </w:tcPr>
          <w:p w:rsidR="00024C0A" w:rsidRDefault="00694C0F">
            <w:pPr>
              <w:pStyle w:val="TableBodyText"/>
            </w:pPr>
            <w:r>
              <w:t>FormatStyleVisibility</w:t>
            </w:r>
          </w:p>
        </w:tc>
        <w:tc>
          <w:tcPr>
            <w:tcW w:w="0" w:type="auto"/>
            <w:vAlign w:val="center"/>
          </w:tcPr>
          <w:p w:rsidR="00024C0A" w:rsidRDefault="00694C0F">
            <w:pPr>
              <w:pStyle w:val="TableBodyText"/>
            </w:pPr>
            <w:r>
              <w:t>04E0</w:t>
            </w:r>
          </w:p>
        </w:tc>
      </w:tr>
      <w:tr w:rsidR="00024C0A" w:rsidTr="00024C0A">
        <w:tc>
          <w:tcPr>
            <w:tcW w:w="0" w:type="auto"/>
            <w:vAlign w:val="center"/>
          </w:tcPr>
          <w:p w:rsidR="00024C0A" w:rsidRDefault="00694C0F">
            <w:pPr>
              <w:pStyle w:val="TableBodyText"/>
            </w:pPr>
            <w:r>
              <w:t>FormatTabs</w:t>
            </w:r>
          </w:p>
        </w:tc>
        <w:tc>
          <w:tcPr>
            <w:tcW w:w="0" w:type="auto"/>
            <w:vAlign w:val="center"/>
          </w:tcPr>
          <w:p w:rsidR="00024C0A" w:rsidRDefault="00694C0F">
            <w:pPr>
              <w:pStyle w:val="TableBodyText"/>
            </w:pPr>
            <w:r>
              <w:t>00B3</w:t>
            </w:r>
          </w:p>
        </w:tc>
      </w:tr>
      <w:tr w:rsidR="00024C0A" w:rsidTr="00024C0A">
        <w:tc>
          <w:tcPr>
            <w:tcW w:w="0" w:type="auto"/>
            <w:vAlign w:val="center"/>
          </w:tcPr>
          <w:p w:rsidR="00024C0A" w:rsidRDefault="00694C0F">
            <w:pPr>
              <w:pStyle w:val="TableBodyText"/>
            </w:pPr>
            <w:r>
              <w:t>FormatTextFlow</w:t>
            </w:r>
          </w:p>
        </w:tc>
        <w:tc>
          <w:tcPr>
            <w:tcW w:w="0" w:type="auto"/>
            <w:vAlign w:val="center"/>
          </w:tcPr>
          <w:p w:rsidR="00024C0A" w:rsidRDefault="00694C0F">
            <w:pPr>
              <w:pStyle w:val="TableBodyText"/>
            </w:pPr>
            <w:r>
              <w:t>0234</w:t>
            </w:r>
          </w:p>
        </w:tc>
      </w:tr>
      <w:tr w:rsidR="00024C0A" w:rsidTr="00024C0A">
        <w:tc>
          <w:tcPr>
            <w:tcW w:w="0" w:type="auto"/>
            <w:vAlign w:val="center"/>
          </w:tcPr>
          <w:p w:rsidR="00024C0A" w:rsidRDefault="00694C0F">
            <w:pPr>
              <w:pStyle w:val="TableBodyText"/>
            </w:pPr>
            <w:r>
              <w:t>FormatTheme</w:t>
            </w:r>
          </w:p>
        </w:tc>
        <w:tc>
          <w:tcPr>
            <w:tcW w:w="0" w:type="auto"/>
            <w:vAlign w:val="center"/>
          </w:tcPr>
          <w:p w:rsidR="00024C0A" w:rsidRDefault="00694C0F">
            <w:pPr>
              <w:pStyle w:val="TableBodyText"/>
            </w:pPr>
            <w:r>
              <w:t>0357</w:t>
            </w:r>
          </w:p>
        </w:tc>
      </w:tr>
      <w:tr w:rsidR="00024C0A" w:rsidTr="00024C0A">
        <w:tc>
          <w:tcPr>
            <w:tcW w:w="0" w:type="auto"/>
            <w:vAlign w:val="center"/>
          </w:tcPr>
          <w:p w:rsidR="00024C0A" w:rsidRDefault="00694C0F">
            <w:pPr>
              <w:pStyle w:val="TableBodyText"/>
            </w:pPr>
            <w:r>
              <w:t>FormatThemeName</w:t>
            </w:r>
          </w:p>
        </w:tc>
        <w:tc>
          <w:tcPr>
            <w:tcW w:w="0" w:type="auto"/>
            <w:vAlign w:val="center"/>
          </w:tcPr>
          <w:p w:rsidR="00024C0A" w:rsidRDefault="00694C0F">
            <w:pPr>
              <w:pStyle w:val="TableBodyText"/>
            </w:pPr>
            <w:r>
              <w:t>045A</w:t>
            </w:r>
          </w:p>
        </w:tc>
      </w:tr>
      <w:tr w:rsidR="00024C0A" w:rsidTr="00024C0A">
        <w:tc>
          <w:tcPr>
            <w:tcW w:w="0" w:type="auto"/>
            <w:vAlign w:val="center"/>
          </w:tcPr>
          <w:p w:rsidR="00024C0A" w:rsidRDefault="00694C0F">
            <w:pPr>
              <w:pStyle w:val="TableBodyText"/>
            </w:pPr>
            <w:r>
              <w:t>FormatTwoLinesInOne</w:t>
            </w:r>
          </w:p>
        </w:tc>
        <w:tc>
          <w:tcPr>
            <w:tcW w:w="0" w:type="auto"/>
            <w:vAlign w:val="center"/>
          </w:tcPr>
          <w:p w:rsidR="00024C0A" w:rsidRDefault="00694C0F">
            <w:pPr>
              <w:pStyle w:val="TableBodyText"/>
            </w:pPr>
            <w:r>
              <w:t>0489</w:t>
            </w:r>
          </w:p>
        </w:tc>
      </w:tr>
      <w:tr w:rsidR="00024C0A" w:rsidTr="00024C0A">
        <w:tc>
          <w:tcPr>
            <w:tcW w:w="0" w:type="auto"/>
            <w:vAlign w:val="center"/>
          </w:tcPr>
          <w:p w:rsidR="00024C0A" w:rsidRDefault="00694C0F">
            <w:pPr>
              <w:pStyle w:val="TableBodyText"/>
            </w:pPr>
            <w:r>
              <w:t>FormattingPane</w:t>
            </w:r>
          </w:p>
        </w:tc>
        <w:tc>
          <w:tcPr>
            <w:tcW w:w="0" w:type="auto"/>
            <w:vAlign w:val="center"/>
          </w:tcPr>
          <w:p w:rsidR="00024C0A" w:rsidRDefault="00694C0F">
            <w:pPr>
              <w:pStyle w:val="TableBodyText"/>
            </w:pPr>
            <w:r>
              <w:t>0554</w:t>
            </w:r>
          </w:p>
        </w:tc>
      </w:tr>
      <w:tr w:rsidR="00024C0A" w:rsidTr="00024C0A">
        <w:tc>
          <w:tcPr>
            <w:tcW w:w="0" w:type="auto"/>
            <w:vAlign w:val="center"/>
          </w:tcPr>
          <w:p w:rsidR="00024C0A" w:rsidRDefault="00694C0F">
            <w:pPr>
              <w:pStyle w:val="TableBodyText"/>
            </w:pPr>
            <w:r>
              <w:t>FormattingPaneCurrent</w:t>
            </w:r>
          </w:p>
        </w:tc>
        <w:tc>
          <w:tcPr>
            <w:tcW w:w="0" w:type="auto"/>
            <w:vAlign w:val="center"/>
          </w:tcPr>
          <w:p w:rsidR="00024C0A" w:rsidRDefault="00694C0F">
            <w:pPr>
              <w:pStyle w:val="TableBodyText"/>
            </w:pPr>
            <w:r>
              <w:t>079F</w:t>
            </w:r>
          </w:p>
        </w:tc>
      </w:tr>
      <w:tr w:rsidR="00024C0A" w:rsidTr="00024C0A">
        <w:tc>
          <w:tcPr>
            <w:tcW w:w="0" w:type="auto"/>
            <w:vAlign w:val="center"/>
          </w:tcPr>
          <w:p w:rsidR="00024C0A" w:rsidRDefault="00694C0F">
            <w:pPr>
              <w:pStyle w:val="TableBodyText"/>
            </w:pPr>
            <w:r>
              <w:t>FormattingProperties</w:t>
            </w:r>
          </w:p>
        </w:tc>
        <w:tc>
          <w:tcPr>
            <w:tcW w:w="0" w:type="auto"/>
            <w:vAlign w:val="center"/>
          </w:tcPr>
          <w:p w:rsidR="00024C0A" w:rsidRDefault="00694C0F">
            <w:pPr>
              <w:pStyle w:val="TableBodyText"/>
            </w:pPr>
            <w:r>
              <w:t>0426</w:t>
            </w:r>
          </w:p>
        </w:tc>
      </w:tr>
      <w:tr w:rsidR="00024C0A" w:rsidTr="00024C0A">
        <w:tc>
          <w:tcPr>
            <w:tcW w:w="0" w:type="auto"/>
            <w:vAlign w:val="center"/>
          </w:tcPr>
          <w:p w:rsidR="00024C0A" w:rsidRDefault="00694C0F">
            <w:pPr>
              <w:pStyle w:val="TableBodyText"/>
            </w:pPr>
            <w:r>
              <w:t>FormattingRestrictions</w:t>
            </w:r>
          </w:p>
        </w:tc>
        <w:tc>
          <w:tcPr>
            <w:tcW w:w="0" w:type="auto"/>
            <w:vAlign w:val="center"/>
          </w:tcPr>
          <w:p w:rsidR="00024C0A" w:rsidRDefault="00694C0F">
            <w:pPr>
              <w:pStyle w:val="TableBodyText"/>
            </w:pPr>
            <w:r>
              <w:t>0593</w:t>
            </w:r>
          </w:p>
        </w:tc>
      </w:tr>
      <w:tr w:rsidR="00024C0A" w:rsidTr="00024C0A">
        <w:tc>
          <w:tcPr>
            <w:tcW w:w="0" w:type="auto"/>
            <w:vAlign w:val="center"/>
          </w:tcPr>
          <w:p w:rsidR="00024C0A" w:rsidRDefault="00694C0F">
            <w:pPr>
              <w:pStyle w:val="TableBodyText"/>
            </w:pPr>
            <w:r>
              <w:t>ForwardHistoryItem</w:t>
            </w:r>
          </w:p>
        </w:tc>
        <w:tc>
          <w:tcPr>
            <w:tcW w:w="0" w:type="auto"/>
            <w:vAlign w:val="center"/>
          </w:tcPr>
          <w:p w:rsidR="00024C0A" w:rsidRDefault="00694C0F">
            <w:pPr>
              <w:pStyle w:val="TableBodyText"/>
            </w:pPr>
            <w:r>
              <w:t>05CF</w:t>
            </w:r>
          </w:p>
        </w:tc>
      </w:tr>
      <w:tr w:rsidR="00024C0A" w:rsidTr="00024C0A">
        <w:tc>
          <w:tcPr>
            <w:tcW w:w="0" w:type="auto"/>
            <w:vAlign w:val="center"/>
          </w:tcPr>
          <w:p w:rsidR="00024C0A" w:rsidRDefault="00694C0F">
            <w:pPr>
              <w:pStyle w:val="TableBodyText"/>
            </w:pPr>
            <w:r>
              <w:t>FrameProperties</w:t>
            </w:r>
          </w:p>
        </w:tc>
        <w:tc>
          <w:tcPr>
            <w:tcW w:w="0" w:type="auto"/>
            <w:vAlign w:val="center"/>
          </w:tcPr>
          <w:p w:rsidR="00024C0A" w:rsidRDefault="00694C0F">
            <w:pPr>
              <w:pStyle w:val="TableBodyText"/>
            </w:pPr>
            <w:r>
              <w:t>0432</w:t>
            </w:r>
          </w:p>
        </w:tc>
      </w:tr>
      <w:tr w:rsidR="00024C0A" w:rsidTr="00024C0A">
        <w:tc>
          <w:tcPr>
            <w:tcW w:w="0" w:type="auto"/>
            <w:vAlign w:val="center"/>
          </w:tcPr>
          <w:p w:rsidR="00024C0A" w:rsidRDefault="00694C0F">
            <w:pPr>
              <w:pStyle w:val="TableBodyText"/>
            </w:pPr>
            <w:r>
              <w:t>FrameRemoveSplit</w:t>
            </w:r>
          </w:p>
        </w:tc>
        <w:tc>
          <w:tcPr>
            <w:tcW w:w="0" w:type="auto"/>
            <w:vAlign w:val="center"/>
          </w:tcPr>
          <w:p w:rsidR="00024C0A" w:rsidRDefault="00694C0F">
            <w:pPr>
              <w:pStyle w:val="TableBodyText"/>
            </w:pPr>
            <w:r>
              <w:t>0431</w:t>
            </w:r>
          </w:p>
        </w:tc>
      </w:tr>
      <w:tr w:rsidR="00024C0A" w:rsidTr="00024C0A">
        <w:tc>
          <w:tcPr>
            <w:tcW w:w="0" w:type="auto"/>
            <w:vAlign w:val="center"/>
          </w:tcPr>
          <w:p w:rsidR="00024C0A" w:rsidRDefault="00694C0F">
            <w:pPr>
              <w:pStyle w:val="TableBodyText"/>
            </w:pPr>
            <w:r>
              <w:t>FrameSplitAbove</w:t>
            </w:r>
          </w:p>
        </w:tc>
        <w:tc>
          <w:tcPr>
            <w:tcW w:w="0" w:type="auto"/>
            <w:vAlign w:val="center"/>
          </w:tcPr>
          <w:p w:rsidR="00024C0A" w:rsidRDefault="00694C0F">
            <w:pPr>
              <w:pStyle w:val="TableBodyText"/>
            </w:pPr>
            <w:r>
              <w:t>042D</w:t>
            </w:r>
          </w:p>
        </w:tc>
      </w:tr>
      <w:tr w:rsidR="00024C0A" w:rsidTr="00024C0A">
        <w:tc>
          <w:tcPr>
            <w:tcW w:w="0" w:type="auto"/>
            <w:vAlign w:val="center"/>
          </w:tcPr>
          <w:p w:rsidR="00024C0A" w:rsidRDefault="00694C0F">
            <w:pPr>
              <w:pStyle w:val="TableBodyText"/>
            </w:pPr>
            <w:r>
              <w:t>FrameSplitBelow</w:t>
            </w:r>
          </w:p>
        </w:tc>
        <w:tc>
          <w:tcPr>
            <w:tcW w:w="0" w:type="auto"/>
            <w:vAlign w:val="center"/>
          </w:tcPr>
          <w:p w:rsidR="00024C0A" w:rsidRDefault="00694C0F">
            <w:pPr>
              <w:pStyle w:val="TableBodyText"/>
            </w:pPr>
            <w:r>
              <w:t>042E</w:t>
            </w:r>
          </w:p>
        </w:tc>
      </w:tr>
      <w:tr w:rsidR="00024C0A" w:rsidTr="00024C0A">
        <w:tc>
          <w:tcPr>
            <w:tcW w:w="0" w:type="auto"/>
            <w:vAlign w:val="center"/>
          </w:tcPr>
          <w:p w:rsidR="00024C0A" w:rsidRDefault="00694C0F">
            <w:pPr>
              <w:pStyle w:val="TableBodyText"/>
            </w:pPr>
            <w:r>
              <w:t>FrameSplitLeft</w:t>
            </w:r>
          </w:p>
        </w:tc>
        <w:tc>
          <w:tcPr>
            <w:tcW w:w="0" w:type="auto"/>
            <w:vAlign w:val="center"/>
          </w:tcPr>
          <w:p w:rsidR="00024C0A" w:rsidRDefault="00694C0F">
            <w:pPr>
              <w:pStyle w:val="TableBodyText"/>
            </w:pPr>
            <w:r>
              <w:t>042F</w:t>
            </w:r>
          </w:p>
        </w:tc>
      </w:tr>
      <w:tr w:rsidR="00024C0A" w:rsidTr="00024C0A">
        <w:tc>
          <w:tcPr>
            <w:tcW w:w="0" w:type="auto"/>
            <w:vAlign w:val="center"/>
          </w:tcPr>
          <w:p w:rsidR="00024C0A" w:rsidRDefault="00694C0F">
            <w:pPr>
              <w:pStyle w:val="TableBodyText"/>
            </w:pPr>
            <w:r>
              <w:t>FrameSplitRight</w:t>
            </w:r>
          </w:p>
        </w:tc>
        <w:tc>
          <w:tcPr>
            <w:tcW w:w="0" w:type="auto"/>
            <w:vAlign w:val="center"/>
          </w:tcPr>
          <w:p w:rsidR="00024C0A" w:rsidRDefault="00694C0F">
            <w:pPr>
              <w:pStyle w:val="TableBodyText"/>
            </w:pPr>
            <w:r>
              <w:t>0430</w:t>
            </w:r>
          </w:p>
        </w:tc>
      </w:tr>
      <w:tr w:rsidR="00024C0A" w:rsidTr="00024C0A">
        <w:tc>
          <w:tcPr>
            <w:tcW w:w="0" w:type="auto"/>
            <w:vAlign w:val="center"/>
          </w:tcPr>
          <w:p w:rsidR="00024C0A" w:rsidRDefault="00694C0F">
            <w:pPr>
              <w:pStyle w:val="TableBodyText"/>
            </w:pPr>
            <w:r>
              <w:t>FramesetTOC</w:t>
            </w:r>
          </w:p>
        </w:tc>
        <w:tc>
          <w:tcPr>
            <w:tcW w:w="0" w:type="auto"/>
            <w:vAlign w:val="center"/>
          </w:tcPr>
          <w:p w:rsidR="00024C0A" w:rsidRDefault="00694C0F">
            <w:pPr>
              <w:pStyle w:val="TableBodyText"/>
            </w:pPr>
            <w:r>
              <w:t>0457</w:t>
            </w:r>
          </w:p>
        </w:tc>
      </w:tr>
      <w:tr w:rsidR="00024C0A" w:rsidTr="00024C0A">
        <w:tc>
          <w:tcPr>
            <w:tcW w:w="0" w:type="auto"/>
            <w:vAlign w:val="center"/>
          </w:tcPr>
          <w:p w:rsidR="00024C0A" w:rsidRDefault="00694C0F">
            <w:pPr>
              <w:pStyle w:val="TableBodyText"/>
            </w:pPr>
            <w:r>
              <w:t>FramesetWizard</w:t>
            </w:r>
          </w:p>
        </w:tc>
        <w:tc>
          <w:tcPr>
            <w:tcW w:w="0" w:type="auto"/>
            <w:vAlign w:val="center"/>
          </w:tcPr>
          <w:p w:rsidR="00024C0A" w:rsidRDefault="00694C0F">
            <w:pPr>
              <w:pStyle w:val="TableBodyText"/>
            </w:pPr>
            <w:r>
              <w:t>042C</w:t>
            </w:r>
          </w:p>
        </w:tc>
      </w:tr>
      <w:tr w:rsidR="00024C0A" w:rsidTr="00024C0A">
        <w:tc>
          <w:tcPr>
            <w:tcW w:w="0" w:type="auto"/>
            <w:vAlign w:val="center"/>
          </w:tcPr>
          <w:p w:rsidR="00024C0A" w:rsidRDefault="00694C0F">
            <w:pPr>
              <w:pStyle w:val="TableBodyText"/>
            </w:pPr>
            <w:r>
              <w:t>FreezeLayout</w:t>
            </w:r>
          </w:p>
        </w:tc>
        <w:tc>
          <w:tcPr>
            <w:tcW w:w="0" w:type="auto"/>
            <w:vAlign w:val="center"/>
          </w:tcPr>
          <w:p w:rsidR="00024C0A" w:rsidRDefault="00694C0F">
            <w:pPr>
              <w:pStyle w:val="TableBodyText"/>
            </w:pPr>
            <w:r>
              <w:t>083C</w:t>
            </w:r>
          </w:p>
        </w:tc>
      </w:tr>
      <w:tr w:rsidR="00024C0A" w:rsidTr="00024C0A">
        <w:tc>
          <w:tcPr>
            <w:tcW w:w="0" w:type="auto"/>
            <w:vAlign w:val="center"/>
          </w:tcPr>
          <w:p w:rsidR="00024C0A" w:rsidRDefault="00694C0F">
            <w:pPr>
              <w:pStyle w:val="TableBodyText"/>
            </w:pPr>
            <w:r>
              <w:t>GettingStartedPane</w:t>
            </w:r>
          </w:p>
        </w:tc>
        <w:tc>
          <w:tcPr>
            <w:tcW w:w="0" w:type="auto"/>
            <w:vAlign w:val="center"/>
          </w:tcPr>
          <w:p w:rsidR="00024C0A" w:rsidRDefault="00694C0F">
            <w:pPr>
              <w:pStyle w:val="TableBodyText"/>
            </w:pPr>
            <w:r>
              <w:t>05BC</w:t>
            </w:r>
          </w:p>
        </w:tc>
      </w:tr>
      <w:tr w:rsidR="00024C0A" w:rsidTr="00024C0A">
        <w:tc>
          <w:tcPr>
            <w:tcW w:w="0" w:type="auto"/>
            <w:vAlign w:val="center"/>
          </w:tcPr>
          <w:p w:rsidR="00024C0A" w:rsidRDefault="00694C0F">
            <w:pPr>
              <w:pStyle w:val="TableBodyText"/>
            </w:pPr>
            <w:r>
              <w:t>GoBack</w:t>
            </w:r>
          </w:p>
        </w:tc>
        <w:tc>
          <w:tcPr>
            <w:tcW w:w="0" w:type="auto"/>
            <w:vAlign w:val="center"/>
          </w:tcPr>
          <w:p w:rsidR="00024C0A" w:rsidRDefault="00694C0F">
            <w:pPr>
              <w:pStyle w:val="TableBodyText"/>
            </w:pPr>
            <w:r>
              <w:t>0045</w:t>
            </w:r>
          </w:p>
        </w:tc>
      </w:tr>
      <w:tr w:rsidR="00024C0A" w:rsidTr="00024C0A">
        <w:tc>
          <w:tcPr>
            <w:tcW w:w="0" w:type="auto"/>
            <w:vAlign w:val="center"/>
          </w:tcPr>
          <w:p w:rsidR="00024C0A" w:rsidRDefault="00694C0F">
            <w:pPr>
              <w:pStyle w:val="TableBodyText"/>
            </w:pPr>
            <w:r>
              <w:t>GoToFirstPg</w:t>
            </w:r>
          </w:p>
        </w:tc>
        <w:tc>
          <w:tcPr>
            <w:tcW w:w="0" w:type="auto"/>
            <w:vAlign w:val="center"/>
          </w:tcPr>
          <w:p w:rsidR="00024C0A" w:rsidRDefault="00694C0F">
            <w:pPr>
              <w:pStyle w:val="TableBodyText"/>
            </w:pPr>
            <w:r>
              <w:t>05CC</w:t>
            </w:r>
          </w:p>
        </w:tc>
      </w:tr>
      <w:tr w:rsidR="00024C0A" w:rsidTr="00024C0A">
        <w:tc>
          <w:tcPr>
            <w:tcW w:w="0" w:type="auto"/>
            <w:vAlign w:val="center"/>
          </w:tcPr>
          <w:p w:rsidR="00024C0A" w:rsidRDefault="00694C0F">
            <w:pPr>
              <w:pStyle w:val="TableBodyText"/>
            </w:pPr>
            <w:r>
              <w:t>GoToFooter</w:t>
            </w:r>
          </w:p>
        </w:tc>
        <w:tc>
          <w:tcPr>
            <w:tcW w:w="0" w:type="auto"/>
            <w:vAlign w:val="center"/>
          </w:tcPr>
          <w:p w:rsidR="00024C0A" w:rsidRDefault="00694C0F">
            <w:pPr>
              <w:pStyle w:val="TableBodyText"/>
            </w:pPr>
            <w:r>
              <w:t>08BC</w:t>
            </w:r>
          </w:p>
        </w:tc>
      </w:tr>
      <w:tr w:rsidR="00024C0A" w:rsidTr="00024C0A">
        <w:tc>
          <w:tcPr>
            <w:tcW w:w="0" w:type="auto"/>
            <w:vAlign w:val="center"/>
          </w:tcPr>
          <w:p w:rsidR="00024C0A" w:rsidRDefault="00694C0F">
            <w:pPr>
              <w:pStyle w:val="TableBodyText"/>
            </w:pPr>
            <w:r>
              <w:t>GoToFurthestReadPg</w:t>
            </w:r>
          </w:p>
        </w:tc>
        <w:tc>
          <w:tcPr>
            <w:tcW w:w="0" w:type="auto"/>
            <w:vAlign w:val="center"/>
          </w:tcPr>
          <w:p w:rsidR="00024C0A" w:rsidRDefault="00694C0F">
            <w:pPr>
              <w:pStyle w:val="TableBodyText"/>
            </w:pPr>
            <w:r>
              <w:t>05CB</w:t>
            </w:r>
          </w:p>
        </w:tc>
      </w:tr>
      <w:tr w:rsidR="00024C0A" w:rsidTr="00024C0A">
        <w:tc>
          <w:tcPr>
            <w:tcW w:w="0" w:type="auto"/>
            <w:vAlign w:val="center"/>
          </w:tcPr>
          <w:p w:rsidR="00024C0A" w:rsidRDefault="00694C0F">
            <w:pPr>
              <w:pStyle w:val="TableBodyText"/>
            </w:pPr>
            <w:r>
              <w:t>GoToHeader</w:t>
            </w:r>
          </w:p>
        </w:tc>
        <w:tc>
          <w:tcPr>
            <w:tcW w:w="0" w:type="auto"/>
            <w:vAlign w:val="center"/>
          </w:tcPr>
          <w:p w:rsidR="00024C0A" w:rsidRDefault="00694C0F">
            <w:pPr>
              <w:pStyle w:val="TableBodyText"/>
            </w:pPr>
            <w:r>
              <w:t>08BB</w:t>
            </w:r>
          </w:p>
        </w:tc>
      </w:tr>
      <w:tr w:rsidR="00024C0A" w:rsidTr="00024C0A">
        <w:tc>
          <w:tcPr>
            <w:tcW w:w="0" w:type="auto"/>
            <w:vAlign w:val="center"/>
          </w:tcPr>
          <w:p w:rsidR="00024C0A" w:rsidRDefault="00694C0F">
            <w:pPr>
              <w:pStyle w:val="TableBodyText"/>
            </w:pPr>
            <w:r>
              <w:t>GoToHeaderFooter</w:t>
            </w:r>
          </w:p>
        </w:tc>
        <w:tc>
          <w:tcPr>
            <w:tcW w:w="0" w:type="auto"/>
            <w:vAlign w:val="center"/>
          </w:tcPr>
          <w:p w:rsidR="00024C0A" w:rsidRDefault="00694C0F">
            <w:pPr>
              <w:pStyle w:val="TableBodyText"/>
            </w:pPr>
            <w:r>
              <w:t>024E</w:t>
            </w:r>
          </w:p>
        </w:tc>
      </w:tr>
      <w:tr w:rsidR="00024C0A" w:rsidTr="00024C0A">
        <w:tc>
          <w:tcPr>
            <w:tcW w:w="0" w:type="auto"/>
            <w:vAlign w:val="center"/>
          </w:tcPr>
          <w:p w:rsidR="00024C0A" w:rsidRDefault="00694C0F">
            <w:pPr>
              <w:pStyle w:val="TableBodyText"/>
            </w:pPr>
            <w:r>
              <w:lastRenderedPageBreak/>
              <w:t>GoToLastPg</w:t>
            </w:r>
          </w:p>
        </w:tc>
        <w:tc>
          <w:tcPr>
            <w:tcW w:w="0" w:type="auto"/>
            <w:vAlign w:val="center"/>
          </w:tcPr>
          <w:p w:rsidR="00024C0A" w:rsidRDefault="00694C0F">
            <w:pPr>
              <w:pStyle w:val="TableBodyText"/>
            </w:pPr>
            <w:r>
              <w:t>05CD</w:t>
            </w:r>
          </w:p>
        </w:tc>
      </w:tr>
      <w:tr w:rsidR="00024C0A" w:rsidTr="00024C0A">
        <w:tc>
          <w:tcPr>
            <w:tcW w:w="0" w:type="auto"/>
            <w:vAlign w:val="center"/>
          </w:tcPr>
          <w:p w:rsidR="00024C0A" w:rsidRDefault="00694C0F">
            <w:pPr>
              <w:pStyle w:val="TableBodyText"/>
            </w:pPr>
            <w:r>
              <w:t>GoToNextComment</w:t>
            </w:r>
          </w:p>
        </w:tc>
        <w:tc>
          <w:tcPr>
            <w:tcW w:w="0" w:type="auto"/>
            <w:vAlign w:val="center"/>
          </w:tcPr>
          <w:p w:rsidR="00024C0A" w:rsidRDefault="00694C0F">
            <w:pPr>
              <w:pStyle w:val="TableBodyText"/>
            </w:pPr>
            <w:r>
              <w:t>019C</w:t>
            </w:r>
          </w:p>
        </w:tc>
      </w:tr>
      <w:tr w:rsidR="00024C0A" w:rsidTr="00024C0A">
        <w:tc>
          <w:tcPr>
            <w:tcW w:w="0" w:type="auto"/>
            <w:vAlign w:val="center"/>
          </w:tcPr>
          <w:p w:rsidR="00024C0A" w:rsidRDefault="00694C0F">
            <w:pPr>
              <w:pStyle w:val="TableBodyText"/>
            </w:pPr>
            <w:r>
              <w:t>GoToNextEndnote</w:t>
            </w:r>
          </w:p>
        </w:tc>
        <w:tc>
          <w:tcPr>
            <w:tcW w:w="0" w:type="auto"/>
            <w:vAlign w:val="center"/>
          </w:tcPr>
          <w:p w:rsidR="00024C0A" w:rsidRDefault="00694C0F">
            <w:pPr>
              <w:pStyle w:val="TableBodyText"/>
            </w:pPr>
            <w:r>
              <w:t>019A</w:t>
            </w:r>
          </w:p>
        </w:tc>
      </w:tr>
      <w:tr w:rsidR="00024C0A" w:rsidTr="00024C0A">
        <w:tc>
          <w:tcPr>
            <w:tcW w:w="0" w:type="auto"/>
            <w:vAlign w:val="center"/>
          </w:tcPr>
          <w:p w:rsidR="00024C0A" w:rsidRDefault="00694C0F">
            <w:pPr>
              <w:pStyle w:val="TableBodyText"/>
            </w:pPr>
            <w:r>
              <w:t>GoToNextFootnote</w:t>
            </w:r>
          </w:p>
        </w:tc>
        <w:tc>
          <w:tcPr>
            <w:tcW w:w="0" w:type="auto"/>
            <w:vAlign w:val="center"/>
          </w:tcPr>
          <w:p w:rsidR="00024C0A" w:rsidRDefault="00694C0F">
            <w:pPr>
              <w:pStyle w:val="TableBodyText"/>
            </w:pPr>
            <w:r>
              <w:t>0198</w:t>
            </w:r>
          </w:p>
        </w:tc>
      </w:tr>
      <w:tr w:rsidR="00024C0A" w:rsidTr="00024C0A">
        <w:tc>
          <w:tcPr>
            <w:tcW w:w="0" w:type="auto"/>
            <w:vAlign w:val="center"/>
          </w:tcPr>
          <w:p w:rsidR="00024C0A" w:rsidRDefault="00694C0F">
            <w:pPr>
              <w:pStyle w:val="TableBodyText"/>
            </w:pPr>
            <w:r>
              <w:t>GoToNextPage</w:t>
            </w:r>
          </w:p>
        </w:tc>
        <w:tc>
          <w:tcPr>
            <w:tcW w:w="0" w:type="auto"/>
            <w:vAlign w:val="center"/>
          </w:tcPr>
          <w:p w:rsidR="00024C0A" w:rsidRDefault="00694C0F">
            <w:pPr>
              <w:pStyle w:val="TableBodyText"/>
            </w:pPr>
            <w:r>
              <w:t>0194</w:t>
            </w:r>
          </w:p>
        </w:tc>
      </w:tr>
      <w:tr w:rsidR="00024C0A" w:rsidTr="00024C0A">
        <w:tc>
          <w:tcPr>
            <w:tcW w:w="0" w:type="auto"/>
            <w:vAlign w:val="center"/>
          </w:tcPr>
          <w:p w:rsidR="00024C0A" w:rsidRDefault="00694C0F">
            <w:pPr>
              <w:pStyle w:val="TableBodyText"/>
            </w:pPr>
            <w:r>
              <w:t>GoToNextReadingPage</w:t>
            </w:r>
          </w:p>
        </w:tc>
        <w:tc>
          <w:tcPr>
            <w:tcW w:w="0" w:type="auto"/>
            <w:vAlign w:val="center"/>
          </w:tcPr>
          <w:p w:rsidR="00024C0A" w:rsidRDefault="00694C0F">
            <w:pPr>
              <w:pStyle w:val="TableBodyText"/>
            </w:pPr>
            <w:r>
              <w:t>0892</w:t>
            </w:r>
          </w:p>
        </w:tc>
      </w:tr>
      <w:tr w:rsidR="00024C0A" w:rsidTr="00024C0A">
        <w:tc>
          <w:tcPr>
            <w:tcW w:w="0" w:type="auto"/>
            <w:vAlign w:val="center"/>
          </w:tcPr>
          <w:p w:rsidR="00024C0A" w:rsidRDefault="00694C0F">
            <w:pPr>
              <w:pStyle w:val="TableBodyText"/>
            </w:pPr>
            <w:r>
              <w:t>GoToNextSection</w:t>
            </w:r>
          </w:p>
        </w:tc>
        <w:tc>
          <w:tcPr>
            <w:tcW w:w="0" w:type="auto"/>
            <w:vAlign w:val="center"/>
          </w:tcPr>
          <w:p w:rsidR="00024C0A" w:rsidRDefault="00694C0F">
            <w:pPr>
              <w:pStyle w:val="TableBodyText"/>
            </w:pPr>
            <w:r>
              <w:t>0196</w:t>
            </w:r>
          </w:p>
        </w:tc>
      </w:tr>
      <w:tr w:rsidR="00024C0A" w:rsidTr="00024C0A">
        <w:tc>
          <w:tcPr>
            <w:tcW w:w="0" w:type="auto"/>
            <w:vAlign w:val="center"/>
          </w:tcPr>
          <w:p w:rsidR="00024C0A" w:rsidRDefault="00694C0F">
            <w:pPr>
              <w:pStyle w:val="TableBodyText"/>
            </w:pPr>
            <w:r>
              <w:t>GoToPrevReadingPage</w:t>
            </w:r>
          </w:p>
        </w:tc>
        <w:tc>
          <w:tcPr>
            <w:tcW w:w="0" w:type="auto"/>
            <w:vAlign w:val="center"/>
          </w:tcPr>
          <w:p w:rsidR="00024C0A" w:rsidRDefault="00694C0F">
            <w:pPr>
              <w:pStyle w:val="TableBodyText"/>
            </w:pPr>
            <w:r>
              <w:t>0893</w:t>
            </w:r>
          </w:p>
        </w:tc>
      </w:tr>
      <w:tr w:rsidR="00024C0A" w:rsidTr="00024C0A">
        <w:tc>
          <w:tcPr>
            <w:tcW w:w="0" w:type="auto"/>
            <w:vAlign w:val="center"/>
          </w:tcPr>
          <w:p w:rsidR="00024C0A" w:rsidRDefault="00694C0F">
            <w:pPr>
              <w:pStyle w:val="TableBodyText"/>
            </w:pPr>
            <w:r>
              <w:t>GoToPreviousComment</w:t>
            </w:r>
          </w:p>
        </w:tc>
        <w:tc>
          <w:tcPr>
            <w:tcW w:w="0" w:type="auto"/>
            <w:vAlign w:val="center"/>
          </w:tcPr>
          <w:p w:rsidR="00024C0A" w:rsidRDefault="00694C0F">
            <w:pPr>
              <w:pStyle w:val="TableBodyText"/>
            </w:pPr>
            <w:r>
              <w:t>019D</w:t>
            </w:r>
          </w:p>
        </w:tc>
      </w:tr>
      <w:tr w:rsidR="00024C0A" w:rsidTr="00024C0A">
        <w:tc>
          <w:tcPr>
            <w:tcW w:w="0" w:type="auto"/>
            <w:vAlign w:val="center"/>
          </w:tcPr>
          <w:p w:rsidR="00024C0A" w:rsidRDefault="00694C0F">
            <w:pPr>
              <w:pStyle w:val="TableBodyText"/>
            </w:pPr>
            <w:r>
              <w:t>GoToPreviousEndnote</w:t>
            </w:r>
          </w:p>
        </w:tc>
        <w:tc>
          <w:tcPr>
            <w:tcW w:w="0" w:type="auto"/>
            <w:vAlign w:val="center"/>
          </w:tcPr>
          <w:p w:rsidR="00024C0A" w:rsidRDefault="00694C0F">
            <w:pPr>
              <w:pStyle w:val="TableBodyText"/>
            </w:pPr>
            <w:r>
              <w:t>019B</w:t>
            </w:r>
          </w:p>
        </w:tc>
      </w:tr>
      <w:tr w:rsidR="00024C0A" w:rsidTr="00024C0A">
        <w:tc>
          <w:tcPr>
            <w:tcW w:w="0" w:type="auto"/>
            <w:vAlign w:val="center"/>
          </w:tcPr>
          <w:p w:rsidR="00024C0A" w:rsidRDefault="00694C0F">
            <w:pPr>
              <w:pStyle w:val="TableBodyText"/>
            </w:pPr>
            <w:r>
              <w:t>GoToPreviousFootnote</w:t>
            </w:r>
          </w:p>
        </w:tc>
        <w:tc>
          <w:tcPr>
            <w:tcW w:w="0" w:type="auto"/>
            <w:vAlign w:val="center"/>
          </w:tcPr>
          <w:p w:rsidR="00024C0A" w:rsidRDefault="00694C0F">
            <w:pPr>
              <w:pStyle w:val="TableBodyText"/>
            </w:pPr>
            <w:r>
              <w:t>0199</w:t>
            </w:r>
          </w:p>
        </w:tc>
      </w:tr>
      <w:tr w:rsidR="00024C0A" w:rsidTr="00024C0A">
        <w:tc>
          <w:tcPr>
            <w:tcW w:w="0" w:type="auto"/>
            <w:vAlign w:val="center"/>
          </w:tcPr>
          <w:p w:rsidR="00024C0A" w:rsidRDefault="00694C0F">
            <w:pPr>
              <w:pStyle w:val="TableBodyText"/>
            </w:pPr>
            <w:r>
              <w:t>GoToPreviousPage</w:t>
            </w:r>
          </w:p>
        </w:tc>
        <w:tc>
          <w:tcPr>
            <w:tcW w:w="0" w:type="auto"/>
            <w:vAlign w:val="center"/>
          </w:tcPr>
          <w:p w:rsidR="00024C0A" w:rsidRDefault="00694C0F">
            <w:pPr>
              <w:pStyle w:val="TableBodyText"/>
            </w:pPr>
            <w:r>
              <w:t>0195</w:t>
            </w:r>
          </w:p>
        </w:tc>
      </w:tr>
      <w:tr w:rsidR="00024C0A" w:rsidTr="00024C0A">
        <w:tc>
          <w:tcPr>
            <w:tcW w:w="0" w:type="auto"/>
            <w:vAlign w:val="center"/>
          </w:tcPr>
          <w:p w:rsidR="00024C0A" w:rsidRDefault="00694C0F">
            <w:pPr>
              <w:pStyle w:val="TableBodyText"/>
            </w:pPr>
            <w:r>
              <w:t>GoToPreviousSection</w:t>
            </w:r>
          </w:p>
        </w:tc>
        <w:tc>
          <w:tcPr>
            <w:tcW w:w="0" w:type="auto"/>
            <w:vAlign w:val="center"/>
          </w:tcPr>
          <w:p w:rsidR="00024C0A" w:rsidRDefault="00694C0F">
            <w:pPr>
              <w:pStyle w:val="TableBodyText"/>
            </w:pPr>
            <w:r>
              <w:t>0197</w:t>
            </w:r>
          </w:p>
        </w:tc>
      </w:tr>
      <w:tr w:rsidR="00024C0A" w:rsidTr="00024C0A">
        <w:tc>
          <w:tcPr>
            <w:tcW w:w="0" w:type="auto"/>
            <w:vAlign w:val="center"/>
          </w:tcPr>
          <w:p w:rsidR="00024C0A" w:rsidRDefault="00694C0F">
            <w:pPr>
              <w:pStyle w:val="TableBodyText"/>
            </w:pPr>
            <w:r>
              <w:t>GotoCommentScope</w:t>
            </w:r>
          </w:p>
        </w:tc>
        <w:tc>
          <w:tcPr>
            <w:tcW w:w="0" w:type="auto"/>
            <w:vAlign w:val="center"/>
          </w:tcPr>
          <w:p w:rsidR="00024C0A" w:rsidRDefault="00694C0F">
            <w:pPr>
              <w:pStyle w:val="TableBodyText"/>
            </w:pPr>
            <w:r>
              <w:t>0255</w:t>
            </w:r>
          </w:p>
        </w:tc>
      </w:tr>
      <w:tr w:rsidR="00024C0A" w:rsidTr="00024C0A">
        <w:tc>
          <w:tcPr>
            <w:tcW w:w="0" w:type="auto"/>
            <w:vAlign w:val="center"/>
          </w:tcPr>
          <w:p w:rsidR="00024C0A" w:rsidRDefault="00694C0F">
            <w:pPr>
              <w:pStyle w:val="TableBodyText"/>
            </w:pPr>
            <w:r>
              <w:t>GotoNextLinkedTextBox</w:t>
            </w:r>
          </w:p>
        </w:tc>
        <w:tc>
          <w:tcPr>
            <w:tcW w:w="0" w:type="auto"/>
            <w:vAlign w:val="center"/>
          </w:tcPr>
          <w:p w:rsidR="00024C0A" w:rsidRDefault="00694C0F">
            <w:pPr>
              <w:pStyle w:val="TableBodyText"/>
            </w:pPr>
            <w:r>
              <w:t>034A</w:t>
            </w:r>
          </w:p>
        </w:tc>
      </w:tr>
      <w:tr w:rsidR="00024C0A" w:rsidTr="00024C0A">
        <w:tc>
          <w:tcPr>
            <w:tcW w:w="0" w:type="auto"/>
            <w:vAlign w:val="center"/>
          </w:tcPr>
          <w:p w:rsidR="00024C0A" w:rsidRDefault="00694C0F">
            <w:pPr>
              <w:pStyle w:val="TableBodyText"/>
            </w:pPr>
            <w:r>
              <w:t>GotoPrevLinkedTextBox</w:t>
            </w:r>
          </w:p>
        </w:tc>
        <w:tc>
          <w:tcPr>
            <w:tcW w:w="0" w:type="auto"/>
            <w:vAlign w:val="center"/>
          </w:tcPr>
          <w:p w:rsidR="00024C0A" w:rsidRDefault="00694C0F">
            <w:pPr>
              <w:pStyle w:val="TableBodyText"/>
            </w:pPr>
            <w:r>
              <w:t>034B</w:t>
            </w:r>
          </w:p>
        </w:tc>
      </w:tr>
      <w:tr w:rsidR="00024C0A" w:rsidTr="00024C0A">
        <w:tc>
          <w:tcPr>
            <w:tcW w:w="0" w:type="auto"/>
            <w:vAlign w:val="center"/>
          </w:tcPr>
          <w:p w:rsidR="00024C0A" w:rsidRDefault="00694C0F">
            <w:pPr>
              <w:pStyle w:val="TableBodyText"/>
            </w:pPr>
            <w:r>
              <w:t>GotoTableOfContents</w:t>
            </w:r>
          </w:p>
        </w:tc>
        <w:tc>
          <w:tcPr>
            <w:tcW w:w="0" w:type="auto"/>
            <w:vAlign w:val="center"/>
          </w:tcPr>
          <w:p w:rsidR="00024C0A" w:rsidRDefault="00694C0F">
            <w:pPr>
              <w:pStyle w:val="TableBodyText"/>
            </w:pPr>
            <w:r>
              <w:t>056D</w:t>
            </w:r>
          </w:p>
        </w:tc>
      </w:tr>
      <w:tr w:rsidR="00024C0A" w:rsidTr="00024C0A">
        <w:tc>
          <w:tcPr>
            <w:tcW w:w="0" w:type="auto"/>
            <w:vAlign w:val="center"/>
          </w:tcPr>
          <w:p w:rsidR="00024C0A" w:rsidRDefault="00694C0F">
            <w:pPr>
              <w:pStyle w:val="TableBodyText"/>
            </w:pPr>
            <w:r>
              <w:t>GradientGallery</w:t>
            </w:r>
          </w:p>
        </w:tc>
        <w:tc>
          <w:tcPr>
            <w:tcW w:w="0" w:type="auto"/>
            <w:vAlign w:val="center"/>
          </w:tcPr>
          <w:p w:rsidR="00024C0A" w:rsidRDefault="00694C0F">
            <w:pPr>
              <w:pStyle w:val="TableBodyText"/>
            </w:pPr>
            <w:r>
              <w:t>08A2</w:t>
            </w:r>
          </w:p>
        </w:tc>
      </w:tr>
      <w:tr w:rsidR="00024C0A" w:rsidTr="00024C0A">
        <w:tc>
          <w:tcPr>
            <w:tcW w:w="0" w:type="auto"/>
            <w:vAlign w:val="center"/>
          </w:tcPr>
          <w:p w:rsidR="00024C0A" w:rsidRDefault="00694C0F">
            <w:pPr>
              <w:pStyle w:val="TableBodyText"/>
            </w:pPr>
            <w:r>
              <w:t>GreetingSentence</w:t>
            </w:r>
          </w:p>
        </w:tc>
        <w:tc>
          <w:tcPr>
            <w:tcW w:w="0" w:type="auto"/>
            <w:vAlign w:val="center"/>
          </w:tcPr>
          <w:p w:rsidR="00024C0A" w:rsidRDefault="00694C0F">
            <w:pPr>
              <w:pStyle w:val="TableBodyText"/>
            </w:pPr>
            <w:r>
              <w:t>0498</w:t>
            </w:r>
          </w:p>
        </w:tc>
      </w:tr>
      <w:tr w:rsidR="00024C0A" w:rsidTr="00024C0A">
        <w:tc>
          <w:tcPr>
            <w:tcW w:w="0" w:type="auto"/>
            <w:vAlign w:val="center"/>
          </w:tcPr>
          <w:p w:rsidR="00024C0A" w:rsidRDefault="00694C0F">
            <w:pPr>
              <w:pStyle w:val="TableBodyText"/>
            </w:pPr>
            <w:r>
              <w:t>GrowFont</w:t>
            </w:r>
          </w:p>
        </w:tc>
        <w:tc>
          <w:tcPr>
            <w:tcW w:w="0" w:type="auto"/>
            <w:vAlign w:val="center"/>
          </w:tcPr>
          <w:p w:rsidR="00024C0A" w:rsidRDefault="00694C0F">
            <w:pPr>
              <w:pStyle w:val="TableBodyText"/>
            </w:pPr>
            <w:r>
              <w:t>000B</w:t>
            </w:r>
          </w:p>
        </w:tc>
      </w:tr>
      <w:tr w:rsidR="00024C0A" w:rsidTr="00024C0A">
        <w:tc>
          <w:tcPr>
            <w:tcW w:w="0" w:type="auto"/>
            <w:vAlign w:val="center"/>
          </w:tcPr>
          <w:p w:rsidR="00024C0A" w:rsidRDefault="00694C0F">
            <w:pPr>
              <w:pStyle w:val="TableBodyText"/>
            </w:pPr>
            <w:r>
              <w:t>GrowFontOnePoint</w:t>
            </w:r>
          </w:p>
        </w:tc>
        <w:tc>
          <w:tcPr>
            <w:tcW w:w="0" w:type="auto"/>
            <w:vAlign w:val="center"/>
          </w:tcPr>
          <w:p w:rsidR="00024C0A" w:rsidRDefault="00694C0F">
            <w:pPr>
              <w:pStyle w:val="TableBodyText"/>
            </w:pPr>
            <w:r>
              <w:t>0201</w:t>
            </w:r>
          </w:p>
        </w:tc>
      </w:tr>
      <w:tr w:rsidR="00024C0A" w:rsidTr="00024C0A">
        <w:tc>
          <w:tcPr>
            <w:tcW w:w="0" w:type="auto"/>
            <w:vAlign w:val="center"/>
          </w:tcPr>
          <w:p w:rsidR="00024C0A" w:rsidRDefault="00694C0F">
            <w:pPr>
              <w:pStyle w:val="TableBodyText"/>
            </w:pPr>
            <w:r>
              <w:t>HTMLSourceDoNotRefresh</w:t>
            </w:r>
          </w:p>
        </w:tc>
        <w:tc>
          <w:tcPr>
            <w:tcW w:w="0" w:type="auto"/>
            <w:vAlign w:val="center"/>
          </w:tcPr>
          <w:p w:rsidR="00024C0A" w:rsidRDefault="00694C0F">
            <w:pPr>
              <w:pStyle w:val="TableBodyText"/>
            </w:pPr>
            <w:r>
              <w:t>0460</w:t>
            </w:r>
          </w:p>
        </w:tc>
      </w:tr>
      <w:tr w:rsidR="00024C0A" w:rsidTr="00024C0A">
        <w:tc>
          <w:tcPr>
            <w:tcW w:w="0" w:type="auto"/>
            <w:vAlign w:val="center"/>
          </w:tcPr>
          <w:p w:rsidR="00024C0A" w:rsidRDefault="00694C0F">
            <w:pPr>
              <w:pStyle w:val="TableBodyText"/>
            </w:pPr>
            <w:r>
              <w:t>HTMLSourceRefresh</w:t>
            </w:r>
          </w:p>
        </w:tc>
        <w:tc>
          <w:tcPr>
            <w:tcW w:w="0" w:type="auto"/>
            <w:vAlign w:val="center"/>
          </w:tcPr>
          <w:p w:rsidR="00024C0A" w:rsidRDefault="00694C0F">
            <w:pPr>
              <w:pStyle w:val="TableBodyText"/>
            </w:pPr>
            <w:r>
              <w:t>045E</w:t>
            </w:r>
          </w:p>
        </w:tc>
      </w:tr>
      <w:tr w:rsidR="00024C0A" w:rsidTr="00024C0A">
        <w:tc>
          <w:tcPr>
            <w:tcW w:w="0" w:type="auto"/>
            <w:vAlign w:val="center"/>
          </w:tcPr>
          <w:p w:rsidR="00024C0A" w:rsidRDefault="00694C0F">
            <w:pPr>
              <w:pStyle w:val="TableBodyText"/>
            </w:pPr>
            <w:r>
              <w:t>HangingIndent</w:t>
            </w:r>
          </w:p>
        </w:tc>
        <w:tc>
          <w:tcPr>
            <w:tcW w:w="0" w:type="auto"/>
            <w:vAlign w:val="center"/>
          </w:tcPr>
          <w:p w:rsidR="00024C0A" w:rsidRDefault="00694C0F">
            <w:pPr>
              <w:pStyle w:val="TableBodyText"/>
            </w:pPr>
            <w:r>
              <w:t>0028</w:t>
            </w:r>
          </w:p>
        </w:tc>
      </w:tr>
      <w:tr w:rsidR="00024C0A" w:rsidTr="00024C0A">
        <w:tc>
          <w:tcPr>
            <w:tcW w:w="0" w:type="auto"/>
            <w:vAlign w:val="center"/>
          </w:tcPr>
          <w:p w:rsidR="00024C0A" w:rsidRDefault="00694C0F">
            <w:pPr>
              <w:pStyle w:val="TableBodyText"/>
            </w:pPr>
            <w:r>
              <w:t>HanjaDictionary</w:t>
            </w:r>
          </w:p>
        </w:tc>
        <w:tc>
          <w:tcPr>
            <w:tcW w:w="0" w:type="auto"/>
            <w:vAlign w:val="center"/>
          </w:tcPr>
          <w:p w:rsidR="00024C0A" w:rsidRDefault="00694C0F">
            <w:pPr>
              <w:pStyle w:val="TableBodyText"/>
            </w:pPr>
            <w:r>
              <w:t>0486</w:t>
            </w:r>
          </w:p>
        </w:tc>
      </w:tr>
      <w:tr w:rsidR="00024C0A" w:rsidTr="00024C0A">
        <w:tc>
          <w:tcPr>
            <w:tcW w:w="0" w:type="auto"/>
            <w:vAlign w:val="center"/>
          </w:tcPr>
          <w:p w:rsidR="00024C0A" w:rsidRDefault="00694C0F">
            <w:pPr>
              <w:pStyle w:val="TableBodyText"/>
            </w:pPr>
            <w:r>
              <w:t>HeadFootDiffFirstPage</w:t>
            </w:r>
          </w:p>
        </w:tc>
        <w:tc>
          <w:tcPr>
            <w:tcW w:w="0" w:type="auto"/>
            <w:vAlign w:val="center"/>
          </w:tcPr>
          <w:p w:rsidR="00024C0A" w:rsidRDefault="00694C0F">
            <w:pPr>
              <w:pStyle w:val="TableBodyText"/>
            </w:pPr>
            <w:r>
              <w:t>084D</w:t>
            </w:r>
          </w:p>
        </w:tc>
      </w:tr>
      <w:tr w:rsidR="00024C0A" w:rsidTr="00024C0A">
        <w:tc>
          <w:tcPr>
            <w:tcW w:w="0" w:type="auto"/>
            <w:vAlign w:val="center"/>
          </w:tcPr>
          <w:p w:rsidR="00024C0A" w:rsidRDefault="00694C0F">
            <w:pPr>
              <w:pStyle w:val="TableBodyText"/>
            </w:pPr>
            <w:r>
              <w:t>HeadFootDiffOddEvenPage</w:t>
            </w:r>
          </w:p>
        </w:tc>
        <w:tc>
          <w:tcPr>
            <w:tcW w:w="0" w:type="auto"/>
            <w:vAlign w:val="center"/>
          </w:tcPr>
          <w:p w:rsidR="00024C0A" w:rsidRDefault="00694C0F">
            <w:pPr>
              <w:pStyle w:val="TableBodyText"/>
            </w:pPr>
            <w:r>
              <w:t>084E</w:t>
            </w:r>
          </w:p>
        </w:tc>
      </w:tr>
      <w:tr w:rsidR="00024C0A" w:rsidTr="00024C0A">
        <w:tc>
          <w:tcPr>
            <w:tcW w:w="0" w:type="auto"/>
            <w:vAlign w:val="center"/>
          </w:tcPr>
          <w:p w:rsidR="00024C0A" w:rsidRDefault="00694C0F">
            <w:pPr>
              <w:pStyle w:val="TableBodyText"/>
            </w:pPr>
            <w:r>
              <w:t>HeaderGallery</w:t>
            </w:r>
          </w:p>
        </w:tc>
        <w:tc>
          <w:tcPr>
            <w:tcW w:w="0" w:type="auto"/>
            <w:vAlign w:val="center"/>
          </w:tcPr>
          <w:p w:rsidR="00024C0A" w:rsidRDefault="00694C0F">
            <w:pPr>
              <w:pStyle w:val="TableBodyText"/>
            </w:pPr>
            <w:r>
              <w:t>07E4</w:t>
            </w:r>
          </w:p>
        </w:tc>
      </w:tr>
      <w:tr w:rsidR="00024C0A" w:rsidTr="00024C0A">
        <w:tc>
          <w:tcPr>
            <w:tcW w:w="0" w:type="auto"/>
            <w:vAlign w:val="center"/>
          </w:tcPr>
          <w:p w:rsidR="00024C0A" w:rsidRDefault="00694C0F">
            <w:pPr>
              <w:pStyle w:val="TableBodyText"/>
            </w:pPr>
            <w:r>
              <w:t>HeaderPositionSpinner</w:t>
            </w:r>
          </w:p>
        </w:tc>
        <w:tc>
          <w:tcPr>
            <w:tcW w:w="0" w:type="auto"/>
            <w:vAlign w:val="center"/>
          </w:tcPr>
          <w:p w:rsidR="00024C0A" w:rsidRDefault="00694C0F">
            <w:pPr>
              <w:pStyle w:val="TableBodyText"/>
            </w:pPr>
            <w:r>
              <w:t>08B1</w:t>
            </w:r>
          </w:p>
        </w:tc>
      </w:tr>
      <w:tr w:rsidR="00024C0A" w:rsidTr="00024C0A">
        <w:tc>
          <w:tcPr>
            <w:tcW w:w="0" w:type="auto"/>
            <w:vAlign w:val="center"/>
          </w:tcPr>
          <w:p w:rsidR="00024C0A" w:rsidRDefault="00694C0F">
            <w:pPr>
              <w:pStyle w:val="TableBodyText"/>
            </w:pPr>
            <w:r>
              <w:t>Help</w:t>
            </w:r>
          </w:p>
        </w:tc>
        <w:tc>
          <w:tcPr>
            <w:tcW w:w="0" w:type="auto"/>
            <w:vAlign w:val="center"/>
          </w:tcPr>
          <w:p w:rsidR="00024C0A" w:rsidRDefault="00694C0F">
            <w:pPr>
              <w:pStyle w:val="TableBodyText"/>
            </w:pPr>
            <w:r>
              <w:t>0001</w:t>
            </w:r>
          </w:p>
        </w:tc>
      </w:tr>
      <w:tr w:rsidR="00024C0A" w:rsidTr="00024C0A">
        <w:tc>
          <w:tcPr>
            <w:tcW w:w="0" w:type="auto"/>
            <w:vAlign w:val="center"/>
          </w:tcPr>
          <w:p w:rsidR="00024C0A" w:rsidRDefault="00694C0F">
            <w:pPr>
              <w:pStyle w:val="TableBodyText"/>
            </w:pPr>
            <w:r>
              <w:t>HelpAW</w:t>
            </w:r>
          </w:p>
        </w:tc>
        <w:tc>
          <w:tcPr>
            <w:tcW w:w="0" w:type="auto"/>
            <w:vAlign w:val="center"/>
          </w:tcPr>
          <w:p w:rsidR="00024C0A" w:rsidRDefault="00694C0F">
            <w:pPr>
              <w:pStyle w:val="TableBodyText"/>
            </w:pPr>
            <w:r>
              <w:t>031A</w:t>
            </w:r>
          </w:p>
        </w:tc>
      </w:tr>
      <w:tr w:rsidR="00024C0A" w:rsidTr="00024C0A">
        <w:tc>
          <w:tcPr>
            <w:tcW w:w="0" w:type="auto"/>
            <w:vAlign w:val="center"/>
          </w:tcPr>
          <w:p w:rsidR="00024C0A" w:rsidRDefault="00694C0F">
            <w:pPr>
              <w:pStyle w:val="TableBodyText"/>
            </w:pPr>
            <w:r>
              <w:t>HelpAbout</w:t>
            </w:r>
          </w:p>
        </w:tc>
        <w:tc>
          <w:tcPr>
            <w:tcW w:w="0" w:type="auto"/>
            <w:vAlign w:val="center"/>
          </w:tcPr>
          <w:p w:rsidR="00024C0A" w:rsidRDefault="00694C0F">
            <w:pPr>
              <w:pStyle w:val="TableBodyText"/>
            </w:pPr>
            <w:r>
              <w:t>0009</w:t>
            </w:r>
          </w:p>
        </w:tc>
      </w:tr>
      <w:tr w:rsidR="00024C0A" w:rsidTr="00024C0A">
        <w:tc>
          <w:tcPr>
            <w:tcW w:w="0" w:type="auto"/>
            <w:vAlign w:val="center"/>
          </w:tcPr>
          <w:p w:rsidR="00024C0A" w:rsidRDefault="00694C0F">
            <w:pPr>
              <w:pStyle w:val="TableBodyText"/>
            </w:pPr>
            <w:r>
              <w:lastRenderedPageBreak/>
              <w:t>HelpActiveWindow</w:t>
            </w:r>
          </w:p>
        </w:tc>
        <w:tc>
          <w:tcPr>
            <w:tcW w:w="0" w:type="auto"/>
            <w:vAlign w:val="center"/>
          </w:tcPr>
          <w:p w:rsidR="00024C0A" w:rsidRDefault="00694C0F">
            <w:pPr>
              <w:pStyle w:val="TableBodyText"/>
            </w:pPr>
            <w:r>
              <w:t>0004</w:t>
            </w:r>
          </w:p>
        </w:tc>
      </w:tr>
      <w:tr w:rsidR="00024C0A" w:rsidTr="00024C0A">
        <w:tc>
          <w:tcPr>
            <w:tcW w:w="0" w:type="auto"/>
            <w:vAlign w:val="center"/>
          </w:tcPr>
          <w:p w:rsidR="00024C0A" w:rsidRDefault="00694C0F">
            <w:pPr>
              <w:pStyle w:val="TableBodyText"/>
            </w:pPr>
            <w:r>
              <w:t>HelpCheckForUpdates</w:t>
            </w:r>
          </w:p>
        </w:tc>
        <w:tc>
          <w:tcPr>
            <w:tcW w:w="0" w:type="auto"/>
            <w:vAlign w:val="center"/>
          </w:tcPr>
          <w:p w:rsidR="00024C0A" w:rsidRDefault="00694C0F">
            <w:pPr>
              <w:pStyle w:val="TableBodyText"/>
            </w:pPr>
            <w:r>
              <w:t>05AE</w:t>
            </w:r>
          </w:p>
        </w:tc>
      </w:tr>
      <w:tr w:rsidR="00024C0A" w:rsidTr="00024C0A">
        <w:tc>
          <w:tcPr>
            <w:tcW w:w="0" w:type="auto"/>
            <w:vAlign w:val="center"/>
          </w:tcPr>
          <w:p w:rsidR="00024C0A" w:rsidRDefault="00694C0F">
            <w:pPr>
              <w:pStyle w:val="TableBodyText"/>
            </w:pPr>
            <w:r>
              <w:t>HelpContactUs</w:t>
            </w:r>
          </w:p>
        </w:tc>
        <w:tc>
          <w:tcPr>
            <w:tcW w:w="0" w:type="auto"/>
            <w:vAlign w:val="center"/>
          </w:tcPr>
          <w:p w:rsidR="00024C0A" w:rsidRDefault="00694C0F">
            <w:pPr>
              <w:pStyle w:val="TableBodyText"/>
            </w:pPr>
            <w:r>
              <w:t>05AD</w:t>
            </w:r>
          </w:p>
        </w:tc>
      </w:tr>
      <w:tr w:rsidR="00024C0A" w:rsidTr="00024C0A">
        <w:tc>
          <w:tcPr>
            <w:tcW w:w="0" w:type="auto"/>
            <w:vAlign w:val="center"/>
          </w:tcPr>
          <w:p w:rsidR="00024C0A" w:rsidRDefault="00694C0F">
            <w:pPr>
              <w:pStyle w:val="TableBodyText"/>
            </w:pPr>
            <w:r>
              <w:t>HelpContents</w:t>
            </w:r>
          </w:p>
        </w:tc>
        <w:tc>
          <w:tcPr>
            <w:tcW w:w="0" w:type="auto"/>
            <w:vAlign w:val="center"/>
          </w:tcPr>
          <w:p w:rsidR="00024C0A" w:rsidRDefault="00694C0F">
            <w:pPr>
              <w:pStyle w:val="TableBodyText"/>
            </w:pPr>
            <w:r>
              <w:t>02B0</w:t>
            </w:r>
          </w:p>
        </w:tc>
      </w:tr>
      <w:tr w:rsidR="00024C0A" w:rsidTr="00024C0A">
        <w:tc>
          <w:tcPr>
            <w:tcW w:w="0" w:type="auto"/>
            <w:vAlign w:val="center"/>
          </w:tcPr>
          <w:p w:rsidR="00024C0A" w:rsidRDefault="00694C0F">
            <w:pPr>
              <w:pStyle w:val="TableBodyText"/>
            </w:pPr>
            <w:r>
              <w:t>HelpContentsArabic</w:t>
            </w:r>
          </w:p>
        </w:tc>
        <w:tc>
          <w:tcPr>
            <w:tcW w:w="0" w:type="auto"/>
            <w:vAlign w:val="center"/>
          </w:tcPr>
          <w:p w:rsidR="00024C0A" w:rsidRDefault="00694C0F">
            <w:pPr>
              <w:pStyle w:val="TableBodyText"/>
            </w:pPr>
            <w:r>
              <w:t>0427</w:t>
            </w:r>
          </w:p>
        </w:tc>
      </w:tr>
      <w:tr w:rsidR="00024C0A" w:rsidTr="00024C0A">
        <w:tc>
          <w:tcPr>
            <w:tcW w:w="0" w:type="auto"/>
            <w:vAlign w:val="center"/>
          </w:tcPr>
          <w:p w:rsidR="00024C0A" w:rsidRDefault="00694C0F">
            <w:pPr>
              <w:pStyle w:val="TableBodyText"/>
            </w:pPr>
            <w:r>
              <w:t>HelpExamplesAndDemos</w:t>
            </w:r>
          </w:p>
        </w:tc>
        <w:tc>
          <w:tcPr>
            <w:tcW w:w="0" w:type="auto"/>
            <w:vAlign w:val="center"/>
          </w:tcPr>
          <w:p w:rsidR="00024C0A" w:rsidRDefault="00694C0F">
            <w:pPr>
              <w:pStyle w:val="TableBodyText"/>
            </w:pPr>
            <w:r>
              <w:t>0008</w:t>
            </w:r>
          </w:p>
        </w:tc>
      </w:tr>
      <w:tr w:rsidR="00024C0A" w:rsidTr="00024C0A">
        <w:tc>
          <w:tcPr>
            <w:tcW w:w="0" w:type="auto"/>
            <w:vAlign w:val="center"/>
          </w:tcPr>
          <w:p w:rsidR="00024C0A" w:rsidRDefault="00694C0F">
            <w:pPr>
              <w:pStyle w:val="TableBodyText"/>
            </w:pPr>
            <w:r>
              <w:t>HelpIchitaroHelp</w:t>
            </w:r>
          </w:p>
        </w:tc>
        <w:tc>
          <w:tcPr>
            <w:tcW w:w="0" w:type="auto"/>
            <w:vAlign w:val="center"/>
          </w:tcPr>
          <w:p w:rsidR="00024C0A" w:rsidRDefault="00694C0F">
            <w:pPr>
              <w:pStyle w:val="TableBodyText"/>
            </w:pPr>
            <w:r>
              <w:t>02D8</w:t>
            </w:r>
          </w:p>
        </w:tc>
      </w:tr>
      <w:tr w:rsidR="00024C0A" w:rsidTr="00024C0A">
        <w:tc>
          <w:tcPr>
            <w:tcW w:w="0" w:type="auto"/>
            <w:vAlign w:val="center"/>
          </w:tcPr>
          <w:p w:rsidR="00024C0A" w:rsidRDefault="00694C0F">
            <w:pPr>
              <w:pStyle w:val="TableBodyText"/>
            </w:pPr>
            <w:r>
              <w:t>HelpIndex</w:t>
            </w:r>
          </w:p>
        </w:tc>
        <w:tc>
          <w:tcPr>
            <w:tcW w:w="0" w:type="auto"/>
            <w:vAlign w:val="center"/>
          </w:tcPr>
          <w:p w:rsidR="00024C0A" w:rsidRDefault="00694C0F">
            <w:pPr>
              <w:pStyle w:val="TableBodyText"/>
            </w:pPr>
            <w:r>
              <w:t>0006</w:t>
            </w:r>
          </w:p>
        </w:tc>
      </w:tr>
      <w:tr w:rsidR="00024C0A" w:rsidTr="00024C0A">
        <w:tc>
          <w:tcPr>
            <w:tcW w:w="0" w:type="auto"/>
            <w:vAlign w:val="center"/>
          </w:tcPr>
          <w:p w:rsidR="00024C0A" w:rsidRDefault="00694C0F">
            <w:pPr>
              <w:pStyle w:val="TableBodyText"/>
            </w:pPr>
            <w:r>
              <w:t>HelpKeyboard</w:t>
            </w:r>
          </w:p>
        </w:tc>
        <w:tc>
          <w:tcPr>
            <w:tcW w:w="0" w:type="auto"/>
            <w:vAlign w:val="center"/>
          </w:tcPr>
          <w:p w:rsidR="00024C0A" w:rsidRDefault="00694C0F">
            <w:pPr>
              <w:pStyle w:val="TableBodyText"/>
            </w:pPr>
            <w:r>
              <w:t>0005</w:t>
            </w:r>
          </w:p>
        </w:tc>
      </w:tr>
      <w:tr w:rsidR="00024C0A" w:rsidTr="00024C0A">
        <w:tc>
          <w:tcPr>
            <w:tcW w:w="0" w:type="auto"/>
            <w:vAlign w:val="center"/>
          </w:tcPr>
          <w:p w:rsidR="00024C0A" w:rsidRDefault="00694C0F">
            <w:pPr>
              <w:pStyle w:val="TableBodyText"/>
            </w:pPr>
            <w:r>
              <w:t>HelpMSN</w:t>
            </w:r>
          </w:p>
        </w:tc>
        <w:tc>
          <w:tcPr>
            <w:tcW w:w="0" w:type="auto"/>
            <w:vAlign w:val="center"/>
          </w:tcPr>
          <w:p w:rsidR="00024C0A" w:rsidRDefault="00694C0F">
            <w:pPr>
              <w:pStyle w:val="TableBodyText"/>
            </w:pPr>
            <w:r>
              <w:t>031B</w:t>
            </w:r>
          </w:p>
        </w:tc>
      </w:tr>
      <w:tr w:rsidR="00024C0A" w:rsidTr="00024C0A">
        <w:tc>
          <w:tcPr>
            <w:tcW w:w="0" w:type="auto"/>
            <w:vAlign w:val="center"/>
          </w:tcPr>
          <w:p w:rsidR="00024C0A" w:rsidRDefault="00694C0F">
            <w:pPr>
              <w:pStyle w:val="TableBodyText"/>
            </w:pPr>
            <w:r>
              <w:t>HelpPSSHelp</w:t>
            </w:r>
          </w:p>
        </w:tc>
        <w:tc>
          <w:tcPr>
            <w:tcW w:w="0" w:type="auto"/>
            <w:vAlign w:val="center"/>
          </w:tcPr>
          <w:p w:rsidR="00024C0A" w:rsidRDefault="00694C0F">
            <w:pPr>
              <w:pStyle w:val="TableBodyText"/>
            </w:pPr>
            <w:r>
              <w:t>0168</w:t>
            </w:r>
          </w:p>
        </w:tc>
      </w:tr>
      <w:tr w:rsidR="00024C0A" w:rsidTr="00024C0A">
        <w:tc>
          <w:tcPr>
            <w:tcW w:w="0" w:type="auto"/>
            <w:vAlign w:val="center"/>
          </w:tcPr>
          <w:p w:rsidR="00024C0A" w:rsidRDefault="00694C0F">
            <w:pPr>
              <w:pStyle w:val="TableBodyText"/>
            </w:pPr>
            <w:r>
              <w:t>HelpQuickPreview</w:t>
            </w:r>
          </w:p>
        </w:tc>
        <w:tc>
          <w:tcPr>
            <w:tcW w:w="0" w:type="auto"/>
            <w:vAlign w:val="center"/>
          </w:tcPr>
          <w:p w:rsidR="00024C0A" w:rsidRDefault="00694C0F">
            <w:pPr>
              <w:pStyle w:val="TableBodyText"/>
            </w:pPr>
            <w:r>
              <w:t>0007</w:t>
            </w:r>
          </w:p>
        </w:tc>
      </w:tr>
      <w:tr w:rsidR="00024C0A" w:rsidTr="00024C0A">
        <w:tc>
          <w:tcPr>
            <w:tcW w:w="0" w:type="auto"/>
            <w:vAlign w:val="center"/>
          </w:tcPr>
          <w:p w:rsidR="00024C0A" w:rsidRDefault="00694C0F">
            <w:pPr>
              <w:pStyle w:val="TableBodyText"/>
            </w:pPr>
            <w:r>
              <w:t>HelpSearch</w:t>
            </w:r>
          </w:p>
        </w:tc>
        <w:tc>
          <w:tcPr>
            <w:tcW w:w="0" w:type="auto"/>
            <w:vAlign w:val="center"/>
          </w:tcPr>
          <w:p w:rsidR="00024C0A" w:rsidRDefault="00694C0F">
            <w:pPr>
              <w:pStyle w:val="TableBodyText"/>
            </w:pPr>
            <w:r>
              <w:t>01FE</w:t>
            </w:r>
          </w:p>
        </w:tc>
      </w:tr>
      <w:tr w:rsidR="00024C0A" w:rsidTr="00024C0A">
        <w:tc>
          <w:tcPr>
            <w:tcW w:w="0" w:type="auto"/>
            <w:vAlign w:val="center"/>
          </w:tcPr>
          <w:p w:rsidR="00024C0A" w:rsidRDefault="00694C0F">
            <w:pPr>
              <w:pStyle w:val="TableBodyText"/>
            </w:pPr>
            <w:r>
              <w:t>HelpShowHide</w:t>
            </w:r>
          </w:p>
        </w:tc>
        <w:tc>
          <w:tcPr>
            <w:tcW w:w="0" w:type="auto"/>
            <w:vAlign w:val="center"/>
          </w:tcPr>
          <w:p w:rsidR="00024C0A" w:rsidRDefault="00694C0F">
            <w:pPr>
              <w:pStyle w:val="TableBodyText"/>
            </w:pPr>
            <w:r>
              <w:t>035A</w:t>
            </w:r>
          </w:p>
        </w:tc>
      </w:tr>
      <w:tr w:rsidR="00024C0A" w:rsidTr="00024C0A">
        <w:tc>
          <w:tcPr>
            <w:tcW w:w="0" w:type="auto"/>
            <w:vAlign w:val="center"/>
          </w:tcPr>
          <w:p w:rsidR="00024C0A" w:rsidRDefault="00694C0F">
            <w:pPr>
              <w:pStyle w:val="TableBodyText"/>
            </w:pPr>
            <w:r>
              <w:t>HelpTipOfTheDay</w:t>
            </w:r>
          </w:p>
        </w:tc>
        <w:tc>
          <w:tcPr>
            <w:tcW w:w="0" w:type="auto"/>
            <w:vAlign w:val="center"/>
          </w:tcPr>
          <w:p w:rsidR="00024C0A" w:rsidRDefault="00694C0F">
            <w:pPr>
              <w:pStyle w:val="TableBodyText"/>
            </w:pPr>
            <w:r>
              <w:t>027B</w:t>
            </w:r>
          </w:p>
        </w:tc>
      </w:tr>
      <w:tr w:rsidR="00024C0A" w:rsidTr="00024C0A">
        <w:tc>
          <w:tcPr>
            <w:tcW w:w="0" w:type="auto"/>
            <w:vAlign w:val="center"/>
          </w:tcPr>
          <w:p w:rsidR="00024C0A" w:rsidRDefault="00694C0F">
            <w:pPr>
              <w:pStyle w:val="TableBodyText"/>
            </w:pPr>
            <w:r>
              <w:t>HelpTool</w:t>
            </w:r>
          </w:p>
        </w:tc>
        <w:tc>
          <w:tcPr>
            <w:tcW w:w="0" w:type="auto"/>
            <w:vAlign w:val="center"/>
          </w:tcPr>
          <w:p w:rsidR="00024C0A" w:rsidRDefault="00694C0F">
            <w:pPr>
              <w:pStyle w:val="TableBodyText"/>
            </w:pPr>
            <w:r>
              <w:t>0002</w:t>
            </w:r>
          </w:p>
        </w:tc>
      </w:tr>
      <w:tr w:rsidR="00024C0A" w:rsidTr="00024C0A">
        <w:tc>
          <w:tcPr>
            <w:tcW w:w="0" w:type="auto"/>
            <w:vAlign w:val="center"/>
          </w:tcPr>
          <w:p w:rsidR="00024C0A" w:rsidRDefault="00694C0F">
            <w:pPr>
              <w:pStyle w:val="TableBodyText"/>
            </w:pPr>
            <w:r>
              <w:t>HelpUsingHelp</w:t>
            </w:r>
          </w:p>
        </w:tc>
        <w:tc>
          <w:tcPr>
            <w:tcW w:w="0" w:type="auto"/>
            <w:vAlign w:val="center"/>
          </w:tcPr>
          <w:p w:rsidR="00024C0A" w:rsidRDefault="00694C0F">
            <w:pPr>
              <w:pStyle w:val="TableBodyText"/>
            </w:pPr>
            <w:r>
              <w:t>0003</w:t>
            </w:r>
          </w:p>
        </w:tc>
      </w:tr>
      <w:tr w:rsidR="00024C0A" w:rsidTr="00024C0A">
        <w:tc>
          <w:tcPr>
            <w:tcW w:w="0" w:type="auto"/>
            <w:vAlign w:val="center"/>
          </w:tcPr>
          <w:p w:rsidR="00024C0A" w:rsidRDefault="00694C0F">
            <w:pPr>
              <w:pStyle w:val="TableBodyText"/>
            </w:pPr>
            <w:r>
              <w:t>HelpWordPerfectHelp</w:t>
            </w:r>
          </w:p>
        </w:tc>
        <w:tc>
          <w:tcPr>
            <w:tcW w:w="0" w:type="auto"/>
            <w:vAlign w:val="center"/>
          </w:tcPr>
          <w:p w:rsidR="00024C0A" w:rsidRDefault="00694C0F">
            <w:pPr>
              <w:pStyle w:val="TableBodyText"/>
            </w:pPr>
            <w:r>
              <w:t>000A</w:t>
            </w:r>
          </w:p>
        </w:tc>
      </w:tr>
      <w:tr w:rsidR="00024C0A" w:rsidTr="00024C0A">
        <w:tc>
          <w:tcPr>
            <w:tcW w:w="0" w:type="auto"/>
            <w:vAlign w:val="center"/>
          </w:tcPr>
          <w:p w:rsidR="00024C0A" w:rsidRDefault="00694C0F">
            <w:pPr>
              <w:pStyle w:val="TableBodyText"/>
            </w:pPr>
            <w:r>
              <w:t>HelpWordPerfectHelpOptions</w:t>
            </w:r>
          </w:p>
        </w:tc>
        <w:tc>
          <w:tcPr>
            <w:tcW w:w="0" w:type="auto"/>
            <w:vAlign w:val="center"/>
          </w:tcPr>
          <w:p w:rsidR="00024C0A" w:rsidRDefault="00694C0F">
            <w:pPr>
              <w:pStyle w:val="TableBodyText"/>
            </w:pPr>
            <w:r>
              <w:t>01FF</w:t>
            </w:r>
          </w:p>
        </w:tc>
      </w:tr>
      <w:tr w:rsidR="00024C0A" w:rsidTr="00024C0A">
        <w:tc>
          <w:tcPr>
            <w:tcW w:w="0" w:type="auto"/>
            <w:vAlign w:val="center"/>
          </w:tcPr>
          <w:p w:rsidR="00024C0A" w:rsidRDefault="00694C0F">
            <w:pPr>
              <w:pStyle w:val="TableBodyText"/>
            </w:pPr>
            <w:r>
              <w:t>Hidden</w:t>
            </w:r>
          </w:p>
        </w:tc>
        <w:tc>
          <w:tcPr>
            <w:tcW w:w="0" w:type="auto"/>
            <w:vAlign w:val="center"/>
          </w:tcPr>
          <w:p w:rsidR="00024C0A" w:rsidRDefault="00694C0F">
            <w:pPr>
              <w:pStyle w:val="TableBodyText"/>
            </w:pPr>
            <w:r>
              <w:t>0032</w:t>
            </w:r>
          </w:p>
        </w:tc>
      </w:tr>
      <w:tr w:rsidR="00024C0A" w:rsidTr="00024C0A">
        <w:tc>
          <w:tcPr>
            <w:tcW w:w="0" w:type="auto"/>
            <w:vAlign w:val="center"/>
          </w:tcPr>
          <w:p w:rsidR="00024C0A" w:rsidRDefault="00694C0F">
            <w:pPr>
              <w:pStyle w:val="TableBodyText"/>
            </w:pPr>
            <w:r>
              <w:t>HideOutline</w:t>
            </w:r>
          </w:p>
        </w:tc>
        <w:tc>
          <w:tcPr>
            <w:tcW w:w="0" w:type="auto"/>
            <w:vAlign w:val="center"/>
          </w:tcPr>
          <w:p w:rsidR="00024C0A" w:rsidRDefault="00694C0F">
            <w:pPr>
              <w:pStyle w:val="TableBodyText"/>
            </w:pPr>
            <w:r>
              <w:t>0850</w:t>
            </w:r>
          </w:p>
        </w:tc>
      </w:tr>
      <w:tr w:rsidR="00024C0A" w:rsidTr="00024C0A">
        <w:tc>
          <w:tcPr>
            <w:tcW w:w="0" w:type="auto"/>
            <w:vAlign w:val="center"/>
          </w:tcPr>
          <w:p w:rsidR="00024C0A" w:rsidRDefault="00694C0F">
            <w:pPr>
              <w:pStyle w:val="TableBodyText"/>
            </w:pPr>
            <w:r>
              <w:t>Highlight</w:t>
            </w:r>
          </w:p>
        </w:tc>
        <w:tc>
          <w:tcPr>
            <w:tcW w:w="0" w:type="auto"/>
            <w:vAlign w:val="center"/>
          </w:tcPr>
          <w:p w:rsidR="00024C0A" w:rsidRDefault="00694C0F">
            <w:pPr>
              <w:pStyle w:val="TableBodyText"/>
            </w:pPr>
            <w:r>
              <w:t>02E6</w:t>
            </w:r>
          </w:p>
        </w:tc>
      </w:tr>
      <w:tr w:rsidR="00024C0A" w:rsidTr="00024C0A">
        <w:tc>
          <w:tcPr>
            <w:tcW w:w="0" w:type="auto"/>
            <w:vAlign w:val="center"/>
          </w:tcPr>
          <w:p w:rsidR="00024C0A" w:rsidRDefault="00694C0F">
            <w:pPr>
              <w:pStyle w:val="TableBodyText"/>
            </w:pPr>
            <w:r>
              <w:t>HighlightColorPicker</w:t>
            </w:r>
          </w:p>
        </w:tc>
        <w:tc>
          <w:tcPr>
            <w:tcW w:w="0" w:type="auto"/>
            <w:vAlign w:val="center"/>
          </w:tcPr>
          <w:p w:rsidR="00024C0A" w:rsidRDefault="00694C0F">
            <w:pPr>
              <w:pStyle w:val="TableBodyText"/>
            </w:pPr>
            <w:r>
              <w:t>08B8</w:t>
            </w:r>
          </w:p>
        </w:tc>
      </w:tr>
      <w:tr w:rsidR="00024C0A" w:rsidTr="00024C0A">
        <w:tc>
          <w:tcPr>
            <w:tcW w:w="0" w:type="auto"/>
            <w:vAlign w:val="center"/>
          </w:tcPr>
          <w:p w:rsidR="00024C0A" w:rsidRDefault="00694C0F">
            <w:pPr>
              <w:pStyle w:val="TableBodyText"/>
            </w:pPr>
            <w:r>
              <w:t>HtmlResAnchor</w:t>
            </w:r>
          </w:p>
        </w:tc>
        <w:tc>
          <w:tcPr>
            <w:tcW w:w="0" w:type="auto"/>
            <w:vAlign w:val="center"/>
          </w:tcPr>
          <w:p w:rsidR="00024C0A" w:rsidRDefault="00694C0F">
            <w:pPr>
              <w:pStyle w:val="TableBodyText"/>
            </w:pPr>
            <w:r>
              <w:t>03C7</w:t>
            </w:r>
          </w:p>
        </w:tc>
      </w:tr>
      <w:tr w:rsidR="00024C0A" w:rsidTr="00024C0A">
        <w:tc>
          <w:tcPr>
            <w:tcW w:w="0" w:type="auto"/>
            <w:vAlign w:val="center"/>
          </w:tcPr>
          <w:p w:rsidR="00024C0A" w:rsidRDefault="00694C0F">
            <w:pPr>
              <w:pStyle w:val="TableBodyText"/>
            </w:pPr>
            <w:r>
              <w:t>HyperlinkOpen</w:t>
            </w:r>
          </w:p>
        </w:tc>
        <w:tc>
          <w:tcPr>
            <w:tcW w:w="0" w:type="auto"/>
            <w:vAlign w:val="center"/>
          </w:tcPr>
          <w:p w:rsidR="00024C0A" w:rsidRDefault="00694C0F">
            <w:pPr>
              <w:pStyle w:val="TableBodyText"/>
            </w:pPr>
            <w:r>
              <w:t>0398</w:t>
            </w:r>
          </w:p>
        </w:tc>
      </w:tr>
      <w:tr w:rsidR="00024C0A" w:rsidTr="00024C0A">
        <w:tc>
          <w:tcPr>
            <w:tcW w:w="0" w:type="auto"/>
            <w:vAlign w:val="center"/>
          </w:tcPr>
          <w:p w:rsidR="00024C0A" w:rsidRDefault="00694C0F">
            <w:pPr>
              <w:pStyle w:val="TableBodyText"/>
            </w:pPr>
            <w:r>
              <w:t>IMEControl</w:t>
            </w:r>
          </w:p>
        </w:tc>
        <w:tc>
          <w:tcPr>
            <w:tcW w:w="0" w:type="auto"/>
            <w:vAlign w:val="center"/>
          </w:tcPr>
          <w:p w:rsidR="00024C0A" w:rsidRDefault="00694C0F">
            <w:pPr>
              <w:pStyle w:val="TableBodyText"/>
            </w:pPr>
            <w:r>
              <w:t>0286</w:t>
            </w:r>
          </w:p>
        </w:tc>
      </w:tr>
      <w:tr w:rsidR="00024C0A" w:rsidTr="00024C0A">
        <w:tc>
          <w:tcPr>
            <w:tcW w:w="0" w:type="auto"/>
            <w:vAlign w:val="center"/>
          </w:tcPr>
          <w:p w:rsidR="00024C0A" w:rsidRDefault="00694C0F">
            <w:pPr>
              <w:pStyle w:val="TableBodyText"/>
            </w:pPr>
            <w:r>
              <w:t>IgnoreAllConsistenceError</w:t>
            </w:r>
          </w:p>
        </w:tc>
        <w:tc>
          <w:tcPr>
            <w:tcW w:w="0" w:type="auto"/>
            <w:vAlign w:val="center"/>
          </w:tcPr>
          <w:p w:rsidR="00024C0A" w:rsidRDefault="00694C0F">
            <w:pPr>
              <w:pStyle w:val="TableBodyText"/>
            </w:pPr>
            <w:r>
              <w:t>04FA</w:t>
            </w:r>
          </w:p>
        </w:tc>
      </w:tr>
      <w:tr w:rsidR="00024C0A" w:rsidTr="00024C0A">
        <w:tc>
          <w:tcPr>
            <w:tcW w:w="0" w:type="auto"/>
            <w:vAlign w:val="center"/>
          </w:tcPr>
          <w:p w:rsidR="00024C0A" w:rsidRDefault="00694C0F">
            <w:pPr>
              <w:pStyle w:val="TableBodyText"/>
            </w:pPr>
            <w:r>
              <w:t>IgnoreConsistenceError</w:t>
            </w:r>
          </w:p>
        </w:tc>
        <w:tc>
          <w:tcPr>
            <w:tcW w:w="0" w:type="auto"/>
            <w:vAlign w:val="center"/>
          </w:tcPr>
          <w:p w:rsidR="00024C0A" w:rsidRDefault="00694C0F">
            <w:pPr>
              <w:pStyle w:val="TableBodyText"/>
            </w:pPr>
            <w:r>
              <w:t>04F9</w:t>
            </w:r>
          </w:p>
        </w:tc>
      </w:tr>
      <w:tr w:rsidR="00024C0A" w:rsidTr="00024C0A">
        <w:tc>
          <w:tcPr>
            <w:tcW w:w="0" w:type="auto"/>
            <w:vAlign w:val="center"/>
          </w:tcPr>
          <w:p w:rsidR="00024C0A" w:rsidRDefault="00694C0F">
            <w:pPr>
              <w:pStyle w:val="TableBodyText"/>
            </w:pPr>
            <w:r>
              <w:t>IncreaseIndent</w:t>
            </w:r>
          </w:p>
        </w:tc>
        <w:tc>
          <w:tcPr>
            <w:tcW w:w="0" w:type="auto"/>
            <w:vAlign w:val="center"/>
          </w:tcPr>
          <w:p w:rsidR="00024C0A" w:rsidRDefault="00694C0F">
            <w:pPr>
              <w:pStyle w:val="TableBodyText"/>
            </w:pPr>
            <w:r>
              <w:t>03F2</w:t>
            </w:r>
          </w:p>
        </w:tc>
      </w:tr>
      <w:tr w:rsidR="00024C0A" w:rsidTr="00024C0A">
        <w:tc>
          <w:tcPr>
            <w:tcW w:w="0" w:type="auto"/>
            <w:vAlign w:val="center"/>
          </w:tcPr>
          <w:p w:rsidR="00024C0A" w:rsidRDefault="00694C0F">
            <w:pPr>
              <w:pStyle w:val="TableBodyText"/>
            </w:pPr>
            <w:r>
              <w:t>IncreaseParagraphSpacing</w:t>
            </w:r>
          </w:p>
        </w:tc>
        <w:tc>
          <w:tcPr>
            <w:tcW w:w="0" w:type="auto"/>
            <w:vAlign w:val="center"/>
          </w:tcPr>
          <w:p w:rsidR="00024C0A" w:rsidRDefault="00694C0F">
            <w:pPr>
              <w:pStyle w:val="TableBodyText"/>
            </w:pPr>
            <w:r>
              <w:t>053E</w:t>
            </w:r>
          </w:p>
        </w:tc>
      </w:tr>
      <w:tr w:rsidR="00024C0A" w:rsidTr="00024C0A">
        <w:tc>
          <w:tcPr>
            <w:tcW w:w="0" w:type="auto"/>
            <w:vAlign w:val="center"/>
          </w:tcPr>
          <w:p w:rsidR="00024C0A" w:rsidRDefault="00694C0F">
            <w:pPr>
              <w:pStyle w:val="TableBodyText"/>
            </w:pPr>
            <w:r>
              <w:t>Indent</w:t>
            </w:r>
          </w:p>
        </w:tc>
        <w:tc>
          <w:tcPr>
            <w:tcW w:w="0" w:type="auto"/>
            <w:vAlign w:val="center"/>
          </w:tcPr>
          <w:p w:rsidR="00024C0A" w:rsidRDefault="00694C0F">
            <w:pPr>
              <w:pStyle w:val="TableBodyText"/>
            </w:pPr>
            <w:r>
              <w:t>0026</w:t>
            </w:r>
          </w:p>
        </w:tc>
      </w:tr>
      <w:tr w:rsidR="00024C0A" w:rsidTr="00024C0A">
        <w:tc>
          <w:tcPr>
            <w:tcW w:w="0" w:type="auto"/>
            <w:vAlign w:val="center"/>
          </w:tcPr>
          <w:p w:rsidR="00024C0A" w:rsidRDefault="00694C0F">
            <w:pPr>
              <w:pStyle w:val="TableBodyText"/>
            </w:pPr>
            <w:r>
              <w:t>IndentChar</w:t>
            </w:r>
          </w:p>
        </w:tc>
        <w:tc>
          <w:tcPr>
            <w:tcW w:w="0" w:type="auto"/>
            <w:vAlign w:val="center"/>
          </w:tcPr>
          <w:p w:rsidR="00024C0A" w:rsidRDefault="00694C0F">
            <w:pPr>
              <w:pStyle w:val="TableBodyText"/>
            </w:pPr>
            <w:r>
              <w:t>02CF</w:t>
            </w:r>
          </w:p>
        </w:tc>
      </w:tr>
      <w:tr w:rsidR="00024C0A" w:rsidTr="00024C0A">
        <w:tc>
          <w:tcPr>
            <w:tcW w:w="0" w:type="auto"/>
            <w:vAlign w:val="center"/>
          </w:tcPr>
          <w:p w:rsidR="00024C0A" w:rsidRDefault="00694C0F">
            <w:pPr>
              <w:pStyle w:val="TableBodyText"/>
            </w:pPr>
            <w:r>
              <w:lastRenderedPageBreak/>
              <w:t>IndentFirstChar</w:t>
            </w:r>
          </w:p>
        </w:tc>
        <w:tc>
          <w:tcPr>
            <w:tcW w:w="0" w:type="auto"/>
            <w:vAlign w:val="center"/>
          </w:tcPr>
          <w:p w:rsidR="00024C0A" w:rsidRDefault="00694C0F">
            <w:pPr>
              <w:pStyle w:val="TableBodyText"/>
            </w:pPr>
            <w:r>
              <w:t>02D1</w:t>
            </w:r>
          </w:p>
        </w:tc>
      </w:tr>
      <w:tr w:rsidR="00024C0A" w:rsidTr="00024C0A">
        <w:tc>
          <w:tcPr>
            <w:tcW w:w="0" w:type="auto"/>
            <w:vAlign w:val="center"/>
          </w:tcPr>
          <w:p w:rsidR="00024C0A" w:rsidRDefault="00694C0F">
            <w:pPr>
              <w:pStyle w:val="TableBodyText"/>
            </w:pPr>
            <w:r>
              <w:t>IndentFirstLine</w:t>
            </w:r>
          </w:p>
        </w:tc>
        <w:tc>
          <w:tcPr>
            <w:tcW w:w="0" w:type="auto"/>
            <w:vAlign w:val="center"/>
          </w:tcPr>
          <w:p w:rsidR="00024C0A" w:rsidRDefault="00694C0F">
            <w:pPr>
              <w:pStyle w:val="TableBodyText"/>
            </w:pPr>
            <w:r>
              <w:t>02F2</w:t>
            </w:r>
          </w:p>
        </w:tc>
      </w:tr>
      <w:tr w:rsidR="00024C0A" w:rsidTr="00024C0A">
        <w:tc>
          <w:tcPr>
            <w:tcW w:w="0" w:type="auto"/>
            <w:vAlign w:val="center"/>
          </w:tcPr>
          <w:p w:rsidR="00024C0A" w:rsidRDefault="00694C0F">
            <w:pPr>
              <w:pStyle w:val="TableBodyText"/>
            </w:pPr>
            <w:r>
              <w:t>IndentLabel</w:t>
            </w:r>
          </w:p>
        </w:tc>
        <w:tc>
          <w:tcPr>
            <w:tcW w:w="0" w:type="auto"/>
            <w:vAlign w:val="center"/>
          </w:tcPr>
          <w:p w:rsidR="00024C0A" w:rsidRDefault="00694C0F">
            <w:pPr>
              <w:pStyle w:val="TableBodyText"/>
            </w:pPr>
            <w:r>
              <w:t>08B4</w:t>
            </w:r>
          </w:p>
        </w:tc>
      </w:tr>
      <w:tr w:rsidR="00024C0A" w:rsidTr="00024C0A">
        <w:tc>
          <w:tcPr>
            <w:tcW w:w="0" w:type="auto"/>
            <w:vAlign w:val="center"/>
          </w:tcPr>
          <w:p w:rsidR="00024C0A" w:rsidRDefault="00694C0F">
            <w:pPr>
              <w:pStyle w:val="TableBodyText"/>
            </w:pPr>
            <w:r>
              <w:t>IndentLeftSpinner</w:t>
            </w:r>
          </w:p>
        </w:tc>
        <w:tc>
          <w:tcPr>
            <w:tcW w:w="0" w:type="auto"/>
            <w:vAlign w:val="center"/>
          </w:tcPr>
          <w:p w:rsidR="00024C0A" w:rsidRDefault="00694C0F">
            <w:pPr>
              <w:pStyle w:val="TableBodyText"/>
            </w:pPr>
            <w:r>
              <w:t>08AD</w:t>
            </w:r>
          </w:p>
        </w:tc>
      </w:tr>
      <w:tr w:rsidR="00024C0A" w:rsidTr="00024C0A">
        <w:tc>
          <w:tcPr>
            <w:tcW w:w="0" w:type="auto"/>
            <w:vAlign w:val="center"/>
          </w:tcPr>
          <w:p w:rsidR="00024C0A" w:rsidRDefault="00694C0F">
            <w:pPr>
              <w:pStyle w:val="TableBodyText"/>
            </w:pPr>
            <w:r>
              <w:t>IndentLine</w:t>
            </w:r>
          </w:p>
        </w:tc>
        <w:tc>
          <w:tcPr>
            <w:tcW w:w="0" w:type="auto"/>
            <w:vAlign w:val="center"/>
          </w:tcPr>
          <w:p w:rsidR="00024C0A" w:rsidRDefault="00694C0F">
            <w:pPr>
              <w:pStyle w:val="TableBodyText"/>
            </w:pPr>
            <w:r>
              <w:t>02F4</w:t>
            </w:r>
          </w:p>
        </w:tc>
      </w:tr>
      <w:tr w:rsidR="00024C0A" w:rsidTr="00024C0A">
        <w:tc>
          <w:tcPr>
            <w:tcW w:w="0" w:type="auto"/>
            <w:vAlign w:val="center"/>
          </w:tcPr>
          <w:p w:rsidR="00024C0A" w:rsidRDefault="00694C0F">
            <w:pPr>
              <w:pStyle w:val="TableBodyText"/>
            </w:pPr>
            <w:r>
              <w:t>IndentRightSpinner</w:t>
            </w:r>
          </w:p>
        </w:tc>
        <w:tc>
          <w:tcPr>
            <w:tcW w:w="0" w:type="auto"/>
            <w:vAlign w:val="center"/>
          </w:tcPr>
          <w:p w:rsidR="00024C0A" w:rsidRDefault="00694C0F">
            <w:pPr>
              <w:pStyle w:val="TableBodyText"/>
            </w:pPr>
            <w:r>
              <w:t>08AE</w:t>
            </w:r>
          </w:p>
        </w:tc>
      </w:tr>
      <w:tr w:rsidR="00024C0A" w:rsidTr="00024C0A">
        <w:tc>
          <w:tcPr>
            <w:tcW w:w="0" w:type="auto"/>
            <w:vAlign w:val="center"/>
          </w:tcPr>
          <w:p w:rsidR="00024C0A" w:rsidRDefault="00694C0F">
            <w:pPr>
              <w:pStyle w:val="TableBodyText"/>
            </w:pPr>
            <w:r>
              <w:t>InkAnnotationEraser</w:t>
            </w:r>
          </w:p>
        </w:tc>
        <w:tc>
          <w:tcPr>
            <w:tcW w:w="0" w:type="auto"/>
            <w:vAlign w:val="center"/>
          </w:tcPr>
          <w:p w:rsidR="00024C0A" w:rsidRDefault="00694C0F">
            <w:pPr>
              <w:pStyle w:val="TableBodyText"/>
            </w:pPr>
            <w:r>
              <w:t>05C9</w:t>
            </w:r>
          </w:p>
        </w:tc>
      </w:tr>
      <w:tr w:rsidR="00024C0A" w:rsidTr="00024C0A">
        <w:tc>
          <w:tcPr>
            <w:tcW w:w="0" w:type="auto"/>
            <w:vAlign w:val="center"/>
          </w:tcPr>
          <w:p w:rsidR="00024C0A" w:rsidRDefault="00694C0F">
            <w:pPr>
              <w:pStyle w:val="TableBodyText"/>
            </w:pPr>
            <w:r>
              <w:t>InkColorPicker</w:t>
            </w:r>
          </w:p>
        </w:tc>
        <w:tc>
          <w:tcPr>
            <w:tcW w:w="0" w:type="auto"/>
            <w:vAlign w:val="center"/>
          </w:tcPr>
          <w:p w:rsidR="00024C0A" w:rsidRDefault="00694C0F">
            <w:pPr>
              <w:pStyle w:val="TableBodyText"/>
            </w:pPr>
            <w:r>
              <w:t>0957</w:t>
            </w:r>
          </w:p>
        </w:tc>
      </w:tr>
      <w:tr w:rsidR="00024C0A" w:rsidTr="00024C0A">
        <w:tc>
          <w:tcPr>
            <w:tcW w:w="0" w:type="auto"/>
            <w:vAlign w:val="center"/>
          </w:tcPr>
          <w:p w:rsidR="00024C0A" w:rsidRDefault="00694C0F">
            <w:pPr>
              <w:pStyle w:val="TableBodyText"/>
            </w:pPr>
            <w:r>
              <w:t>InkEraser</w:t>
            </w:r>
          </w:p>
        </w:tc>
        <w:tc>
          <w:tcPr>
            <w:tcW w:w="0" w:type="auto"/>
            <w:vAlign w:val="center"/>
          </w:tcPr>
          <w:p w:rsidR="00024C0A" w:rsidRDefault="00694C0F">
            <w:pPr>
              <w:pStyle w:val="TableBodyText"/>
            </w:pPr>
            <w:r>
              <w:t>05C6</w:t>
            </w:r>
          </w:p>
        </w:tc>
      </w:tr>
      <w:tr w:rsidR="00024C0A" w:rsidTr="00024C0A">
        <w:tc>
          <w:tcPr>
            <w:tcW w:w="0" w:type="auto"/>
            <w:vAlign w:val="center"/>
          </w:tcPr>
          <w:p w:rsidR="00024C0A" w:rsidRDefault="00694C0F">
            <w:pPr>
              <w:pStyle w:val="TableBodyText"/>
            </w:pPr>
            <w:r>
              <w:t>InkingGroup</w:t>
            </w:r>
          </w:p>
        </w:tc>
        <w:tc>
          <w:tcPr>
            <w:tcW w:w="0" w:type="auto"/>
            <w:vAlign w:val="center"/>
          </w:tcPr>
          <w:p w:rsidR="00024C0A" w:rsidRDefault="00694C0F">
            <w:pPr>
              <w:pStyle w:val="TableBodyText"/>
            </w:pPr>
            <w:r>
              <w:t>08C4</w:t>
            </w:r>
          </w:p>
        </w:tc>
      </w:tr>
      <w:tr w:rsidR="00024C0A" w:rsidTr="00024C0A">
        <w:tc>
          <w:tcPr>
            <w:tcW w:w="0" w:type="auto"/>
            <w:vAlign w:val="center"/>
          </w:tcPr>
          <w:p w:rsidR="00024C0A" w:rsidRDefault="00694C0F">
            <w:pPr>
              <w:pStyle w:val="TableBodyText"/>
            </w:pPr>
            <w:r>
              <w:t>InsertAddCaption</w:t>
            </w:r>
          </w:p>
        </w:tc>
        <w:tc>
          <w:tcPr>
            <w:tcW w:w="0" w:type="auto"/>
            <w:vAlign w:val="center"/>
          </w:tcPr>
          <w:p w:rsidR="00024C0A" w:rsidRDefault="00694C0F">
            <w:pPr>
              <w:pStyle w:val="TableBodyText"/>
            </w:pPr>
            <w:r>
              <w:t>0192</w:t>
            </w:r>
          </w:p>
        </w:tc>
      </w:tr>
      <w:tr w:rsidR="00024C0A" w:rsidTr="00024C0A">
        <w:tc>
          <w:tcPr>
            <w:tcW w:w="0" w:type="auto"/>
            <w:vAlign w:val="center"/>
          </w:tcPr>
          <w:p w:rsidR="00024C0A" w:rsidRDefault="00694C0F">
            <w:pPr>
              <w:pStyle w:val="TableBodyText"/>
            </w:pPr>
            <w:r>
              <w:t>InsertAddress</w:t>
            </w:r>
          </w:p>
        </w:tc>
        <w:tc>
          <w:tcPr>
            <w:tcW w:w="0" w:type="auto"/>
            <w:vAlign w:val="center"/>
          </w:tcPr>
          <w:p w:rsidR="00024C0A" w:rsidRDefault="00694C0F">
            <w:pPr>
              <w:pStyle w:val="TableBodyText"/>
            </w:pPr>
            <w:r>
              <w:t>02F6</w:t>
            </w:r>
          </w:p>
        </w:tc>
      </w:tr>
      <w:tr w:rsidR="00024C0A" w:rsidTr="00024C0A">
        <w:tc>
          <w:tcPr>
            <w:tcW w:w="0" w:type="auto"/>
            <w:vAlign w:val="center"/>
          </w:tcPr>
          <w:p w:rsidR="00024C0A" w:rsidRDefault="00694C0F">
            <w:pPr>
              <w:pStyle w:val="TableBodyText"/>
            </w:pPr>
            <w:r>
              <w:t>InsertAlignmentTab</w:t>
            </w:r>
          </w:p>
        </w:tc>
        <w:tc>
          <w:tcPr>
            <w:tcW w:w="0" w:type="auto"/>
            <w:vAlign w:val="center"/>
          </w:tcPr>
          <w:p w:rsidR="00024C0A" w:rsidRDefault="00694C0F">
            <w:pPr>
              <w:pStyle w:val="TableBodyText"/>
            </w:pPr>
            <w:r>
              <w:t>05DB</w:t>
            </w:r>
          </w:p>
        </w:tc>
      </w:tr>
      <w:tr w:rsidR="00024C0A" w:rsidTr="00024C0A">
        <w:tc>
          <w:tcPr>
            <w:tcW w:w="0" w:type="auto"/>
            <w:vAlign w:val="center"/>
          </w:tcPr>
          <w:p w:rsidR="00024C0A" w:rsidRDefault="00694C0F">
            <w:pPr>
              <w:pStyle w:val="TableBodyText"/>
            </w:pPr>
            <w:r>
              <w:t>InsertAnnotation</w:t>
            </w:r>
          </w:p>
        </w:tc>
        <w:tc>
          <w:tcPr>
            <w:tcW w:w="0" w:type="auto"/>
            <w:vAlign w:val="center"/>
          </w:tcPr>
          <w:p w:rsidR="00024C0A" w:rsidRDefault="00694C0F">
            <w:pPr>
              <w:pStyle w:val="TableBodyText"/>
            </w:pPr>
            <w:r>
              <w:t>00A1</w:t>
            </w:r>
          </w:p>
        </w:tc>
      </w:tr>
      <w:tr w:rsidR="00024C0A" w:rsidTr="00024C0A">
        <w:tc>
          <w:tcPr>
            <w:tcW w:w="0" w:type="auto"/>
            <w:vAlign w:val="center"/>
          </w:tcPr>
          <w:p w:rsidR="00024C0A" w:rsidRDefault="00694C0F">
            <w:pPr>
              <w:pStyle w:val="TableBodyText"/>
            </w:pPr>
            <w:r>
              <w:t>InsertAutoCaption</w:t>
            </w:r>
          </w:p>
        </w:tc>
        <w:tc>
          <w:tcPr>
            <w:tcW w:w="0" w:type="auto"/>
            <w:vAlign w:val="center"/>
          </w:tcPr>
          <w:p w:rsidR="00024C0A" w:rsidRDefault="00694C0F">
            <w:pPr>
              <w:pStyle w:val="TableBodyText"/>
            </w:pPr>
            <w:r>
              <w:t>0167</w:t>
            </w:r>
          </w:p>
        </w:tc>
      </w:tr>
      <w:tr w:rsidR="00024C0A" w:rsidTr="00024C0A">
        <w:tc>
          <w:tcPr>
            <w:tcW w:w="0" w:type="auto"/>
            <w:vAlign w:val="center"/>
          </w:tcPr>
          <w:p w:rsidR="00024C0A" w:rsidRDefault="00694C0F">
            <w:pPr>
              <w:pStyle w:val="TableBodyText"/>
            </w:pPr>
            <w:r>
              <w:t>InsertAutoText</w:t>
            </w:r>
          </w:p>
        </w:tc>
        <w:tc>
          <w:tcPr>
            <w:tcW w:w="0" w:type="auto"/>
            <w:vAlign w:val="center"/>
          </w:tcPr>
          <w:p w:rsidR="00024C0A" w:rsidRDefault="00694C0F">
            <w:pPr>
              <w:pStyle w:val="TableBodyText"/>
            </w:pPr>
            <w:r>
              <w:t>0014</w:t>
            </w:r>
          </w:p>
        </w:tc>
      </w:tr>
      <w:tr w:rsidR="00024C0A" w:rsidTr="00024C0A">
        <w:tc>
          <w:tcPr>
            <w:tcW w:w="0" w:type="auto"/>
            <w:vAlign w:val="center"/>
          </w:tcPr>
          <w:p w:rsidR="00024C0A" w:rsidRDefault="00694C0F">
            <w:pPr>
              <w:pStyle w:val="TableBodyText"/>
            </w:pPr>
            <w:r>
              <w:t>InsertBibliography</w:t>
            </w:r>
          </w:p>
        </w:tc>
        <w:tc>
          <w:tcPr>
            <w:tcW w:w="0" w:type="auto"/>
            <w:vAlign w:val="center"/>
          </w:tcPr>
          <w:p w:rsidR="00024C0A" w:rsidRDefault="00694C0F">
            <w:pPr>
              <w:pStyle w:val="TableBodyText"/>
            </w:pPr>
            <w:r>
              <w:t>077D</w:t>
            </w:r>
          </w:p>
        </w:tc>
      </w:tr>
      <w:tr w:rsidR="00024C0A" w:rsidTr="00024C0A">
        <w:tc>
          <w:tcPr>
            <w:tcW w:w="0" w:type="auto"/>
            <w:vAlign w:val="center"/>
          </w:tcPr>
          <w:p w:rsidR="00024C0A" w:rsidRDefault="00694C0F">
            <w:pPr>
              <w:pStyle w:val="TableBodyText"/>
            </w:pPr>
            <w:r>
              <w:t>InsertBreak</w:t>
            </w:r>
          </w:p>
        </w:tc>
        <w:tc>
          <w:tcPr>
            <w:tcW w:w="0" w:type="auto"/>
            <w:vAlign w:val="center"/>
          </w:tcPr>
          <w:p w:rsidR="00024C0A" w:rsidRDefault="00694C0F">
            <w:pPr>
              <w:pStyle w:val="TableBodyText"/>
            </w:pPr>
            <w:r>
              <w:t>009F</w:t>
            </w:r>
          </w:p>
        </w:tc>
      </w:tr>
      <w:tr w:rsidR="00024C0A" w:rsidTr="00024C0A">
        <w:tc>
          <w:tcPr>
            <w:tcW w:w="0" w:type="auto"/>
            <w:vAlign w:val="center"/>
          </w:tcPr>
          <w:p w:rsidR="00024C0A" w:rsidRDefault="00694C0F">
            <w:pPr>
              <w:pStyle w:val="TableBodyText"/>
            </w:pPr>
            <w:r>
              <w:t>InsertBuildingBlockBeginDocument</w:t>
            </w:r>
          </w:p>
        </w:tc>
        <w:tc>
          <w:tcPr>
            <w:tcW w:w="0" w:type="auto"/>
            <w:vAlign w:val="center"/>
          </w:tcPr>
          <w:p w:rsidR="00024C0A" w:rsidRDefault="00694C0F">
            <w:pPr>
              <w:pStyle w:val="TableBodyText"/>
            </w:pPr>
            <w:r>
              <w:t>078E</w:t>
            </w:r>
          </w:p>
        </w:tc>
      </w:tr>
      <w:tr w:rsidR="00024C0A" w:rsidTr="00024C0A">
        <w:tc>
          <w:tcPr>
            <w:tcW w:w="0" w:type="auto"/>
            <w:vAlign w:val="center"/>
          </w:tcPr>
          <w:p w:rsidR="00024C0A" w:rsidRDefault="00694C0F">
            <w:pPr>
              <w:pStyle w:val="TableBodyText"/>
            </w:pPr>
            <w:r>
              <w:t>InsertBuildingBlockBeginSection</w:t>
            </w:r>
          </w:p>
        </w:tc>
        <w:tc>
          <w:tcPr>
            <w:tcW w:w="0" w:type="auto"/>
            <w:vAlign w:val="center"/>
          </w:tcPr>
          <w:p w:rsidR="00024C0A" w:rsidRDefault="00694C0F">
            <w:pPr>
              <w:pStyle w:val="TableBodyText"/>
            </w:pPr>
            <w:r>
              <w:t>078C</w:t>
            </w:r>
          </w:p>
        </w:tc>
      </w:tr>
      <w:tr w:rsidR="00024C0A" w:rsidTr="00024C0A">
        <w:tc>
          <w:tcPr>
            <w:tcW w:w="0" w:type="auto"/>
            <w:vAlign w:val="center"/>
          </w:tcPr>
          <w:p w:rsidR="00024C0A" w:rsidRDefault="00694C0F">
            <w:pPr>
              <w:pStyle w:val="TableBodyText"/>
            </w:pPr>
            <w:r>
              <w:t>InsertBuildingBlockEndDocument</w:t>
            </w:r>
          </w:p>
        </w:tc>
        <w:tc>
          <w:tcPr>
            <w:tcW w:w="0" w:type="auto"/>
            <w:vAlign w:val="center"/>
          </w:tcPr>
          <w:p w:rsidR="00024C0A" w:rsidRDefault="00694C0F">
            <w:pPr>
              <w:pStyle w:val="TableBodyText"/>
            </w:pPr>
            <w:r>
              <w:t>078F</w:t>
            </w:r>
          </w:p>
        </w:tc>
      </w:tr>
      <w:tr w:rsidR="00024C0A" w:rsidTr="00024C0A">
        <w:tc>
          <w:tcPr>
            <w:tcW w:w="0" w:type="auto"/>
            <w:vAlign w:val="center"/>
          </w:tcPr>
          <w:p w:rsidR="00024C0A" w:rsidRDefault="00694C0F">
            <w:pPr>
              <w:pStyle w:val="TableBodyText"/>
            </w:pPr>
            <w:r>
              <w:t>InsertBuildingBlockEndSection</w:t>
            </w:r>
          </w:p>
        </w:tc>
        <w:tc>
          <w:tcPr>
            <w:tcW w:w="0" w:type="auto"/>
            <w:vAlign w:val="center"/>
          </w:tcPr>
          <w:p w:rsidR="00024C0A" w:rsidRDefault="00694C0F">
            <w:pPr>
              <w:pStyle w:val="TableBodyText"/>
            </w:pPr>
            <w:r>
              <w:t>078D</w:t>
            </w:r>
          </w:p>
        </w:tc>
      </w:tr>
      <w:tr w:rsidR="00024C0A" w:rsidTr="00024C0A">
        <w:tc>
          <w:tcPr>
            <w:tcW w:w="0" w:type="auto"/>
            <w:vAlign w:val="center"/>
          </w:tcPr>
          <w:p w:rsidR="00024C0A" w:rsidRDefault="00694C0F">
            <w:pPr>
              <w:pStyle w:val="TableBodyText"/>
            </w:pPr>
            <w:r>
              <w:t>InsertBuildingBlockFooter</w:t>
            </w:r>
          </w:p>
        </w:tc>
        <w:tc>
          <w:tcPr>
            <w:tcW w:w="0" w:type="auto"/>
            <w:vAlign w:val="center"/>
          </w:tcPr>
          <w:p w:rsidR="00024C0A" w:rsidRDefault="00694C0F">
            <w:pPr>
              <w:pStyle w:val="TableBodyText"/>
            </w:pPr>
            <w:r>
              <w:t>078B</w:t>
            </w:r>
          </w:p>
        </w:tc>
      </w:tr>
      <w:tr w:rsidR="00024C0A" w:rsidTr="00024C0A">
        <w:tc>
          <w:tcPr>
            <w:tcW w:w="0" w:type="auto"/>
            <w:vAlign w:val="center"/>
          </w:tcPr>
          <w:p w:rsidR="00024C0A" w:rsidRDefault="00694C0F">
            <w:pPr>
              <w:pStyle w:val="TableBodyText"/>
            </w:pPr>
            <w:r>
              <w:t>InsertBuildingBlockHeader</w:t>
            </w:r>
          </w:p>
        </w:tc>
        <w:tc>
          <w:tcPr>
            <w:tcW w:w="0" w:type="auto"/>
            <w:vAlign w:val="center"/>
          </w:tcPr>
          <w:p w:rsidR="00024C0A" w:rsidRDefault="00694C0F">
            <w:pPr>
              <w:pStyle w:val="TableBodyText"/>
            </w:pPr>
            <w:r>
              <w:t>078A</w:t>
            </w:r>
          </w:p>
        </w:tc>
      </w:tr>
      <w:tr w:rsidR="00024C0A" w:rsidTr="00024C0A">
        <w:tc>
          <w:tcPr>
            <w:tcW w:w="0" w:type="auto"/>
            <w:vAlign w:val="center"/>
          </w:tcPr>
          <w:p w:rsidR="00024C0A" w:rsidRDefault="00694C0F">
            <w:pPr>
              <w:pStyle w:val="TableBodyText"/>
            </w:pPr>
            <w:r>
              <w:t>InsertBuildingBlockIP</w:t>
            </w:r>
          </w:p>
        </w:tc>
        <w:tc>
          <w:tcPr>
            <w:tcW w:w="0" w:type="auto"/>
            <w:vAlign w:val="center"/>
          </w:tcPr>
          <w:p w:rsidR="00024C0A" w:rsidRDefault="00694C0F">
            <w:pPr>
              <w:pStyle w:val="TableBodyText"/>
            </w:pPr>
            <w:r>
              <w:t>0789</w:t>
            </w:r>
          </w:p>
        </w:tc>
      </w:tr>
      <w:tr w:rsidR="00024C0A" w:rsidTr="00024C0A">
        <w:tc>
          <w:tcPr>
            <w:tcW w:w="0" w:type="auto"/>
            <w:vAlign w:val="center"/>
          </w:tcPr>
          <w:p w:rsidR="00024C0A" w:rsidRDefault="00694C0F">
            <w:pPr>
              <w:pStyle w:val="TableBodyText"/>
            </w:pPr>
            <w:r>
              <w:t>InsertCaption</w:t>
            </w:r>
          </w:p>
        </w:tc>
        <w:tc>
          <w:tcPr>
            <w:tcW w:w="0" w:type="auto"/>
            <w:vAlign w:val="center"/>
          </w:tcPr>
          <w:p w:rsidR="00024C0A" w:rsidRDefault="00694C0F">
            <w:pPr>
              <w:pStyle w:val="TableBodyText"/>
            </w:pPr>
            <w:r>
              <w:t>0165</w:t>
            </w:r>
          </w:p>
        </w:tc>
      </w:tr>
      <w:tr w:rsidR="00024C0A" w:rsidTr="00024C0A">
        <w:tc>
          <w:tcPr>
            <w:tcW w:w="0" w:type="auto"/>
            <w:vAlign w:val="center"/>
          </w:tcPr>
          <w:p w:rsidR="00024C0A" w:rsidRDefault="00694C0F">
            <w:pPr>
              <w:pStyle w:val="TableBodyText"/>
            </w:pPr>
            <w:r>
              <w:t>InsertCaptionNumbering</w:t>
            </w:r>
          </w:p>
        </w:tc>
        <w:tc>
          <w:tcPr>
            <w:tcW w:w="0" w:type="auto"/>
            <w:vAlign w:val="center"/>
          </w:tcPr>
          <w:p w:rsidR="00024C0A" w:rsidRDefault="00694C0F">
            <w:pPr>
              <w:pStyle w:val="TableBodyText"/>
            </w:pPr>
            <w:r>
              <w:t>0166</w:t>
            </w:r>
          </w:p>
        </w:tc>
      </w:tr>
      <w:tr w:rsidR="00024C0A" w:rsidTr="00024C0A">
        <w:tc>
          <w:tcPr>
            <w:tcW w:w="0" w:type="auto"/>
            <w:vAlign w:val="center"/>
          </w:tcPr>
          <w:p w:rsidR="00024C0A" w:rsidRDefault="00694C0F">
            <w:pPr>
              <w:pStyle w:val="TableBodyText"/>
            </w:pPr>
            <w:r>
              <w:t>InsertChart</w:t>
            </w:r>
          </w:p>
        </w:tc>
        <w:tc>
          <w:tcPr>
            <w:tcW w:w="0" w:type="auto"/>
            <w:vAlign w:val="center"/>
          </w:tcPr>
          <w:p w:rsidR="00024C0A" w:rsidRDefault="00694C0F">
            <w:pPr>
              <w:pStyle w:val="TableBodyText"/>
            </w:pPr>
            <w:r>
              <w:t>011D</w:t>
            </w:r>
          </w:p>
        </w:tc>
      </w:tr>
      <w:tr w:rsidR="00024C0A" w:rsidTr="00024C0A">
        <w:tc>
          <w:tcPr>
            <w:tcW w:w="0" w:type="auto"/>
            <w:vAlign w:val="center"/>
          </w:tcPr>
          <w:p w:rsidR="00024C0A" w:rsidRDefault="00694C0F">
            <w:pPr>
              <w:pStyle w:val="TableBodyText"/>
            </w:pPr>
            <w:r>
              <w:t>InsertCitation</w:t>
            </w:r>
          </w:p>
        </w:tc>
        <w:tc>
          <w:tcPr>
            <w:tcW w:w="0" w:type="auto"/>
            <w:vAlign w:val="center"/>
          </w:tcPr>
          <w:p w:rsidR="00024C0A" w:rsidRDefault="00694C0F">
            <w:pPr>
              <w:pStyle w:val="TableBodyText"/>
            </w:pPr>
            <w:r>
              <w:t>077C</w:t>
            </w:r>
          </w:p>
        </w:tc>
      </w:tr>
      <w:tr w:rsidR="00024C0A" w:rsidTr="00024C0A">
        <w:tc>
          <w:tcPr>
            <w:tcW w:w="0" w:type="auto"/>
            <w:vAlign w:val="center"/>
          </w:tcPr>
          <w:p w:rsidR="00024C0A" w:rsidRDefault="00694C0F">
            <w:pPr>
              <w:pStyle w:val="TableBodyText"/>
            </w:pPr>
            <w:r>
              <w:t>InsertColumnBreak</w:t>
            </w:r>
          </w:p>
        </w:tc>
        <w:tc>
          <w:tcPr>
            <w:tcW w:w="0" w:type="auto"/>
            <w:vAlign w:val="center"/>
          </w:tcPr>
          <w:p w:rsidR="00024C0A" w:rsidRDefault="00694C0F">
            <w:pPr>
              <w:pStyle w:val="TableBodyText"/>
            </w:pPr>
            <w:r>
              <w:t>033F</w:t>
            </w:r>
          </w:p>
        </w:tc>
      </w:tr>
      <w:tr w:rsidR="00024C0A" w:rsidTr="00024C0A">
        <w:tc>
          <w:tcPr>
            <w:tcW w:w="0" w:type="auto"/>
            <w:vAlign w:val="center"/>
          </w:tcPr>
          <w:p w:rsidR="00024C0A" w:rsidRDefault="00694C0F">
            <w:pPr>
              <w:pStyle w:val="TableBodyText"/>
            </w:pPr>
            <w:r>
              <w:t>InsertCrossReference</w:t>
            </w:r>
          </w:p>
        </w:tc>
        <w:tc>
          <w:tcPr>
            <w:tcW w:w="0" w:type="auto"/>
            <w:vAlign w:val="center"/>
          </w:tcPr>
          <w:p w:rsidR="00024C0A" w:rsidRDefault="00694C0F">
            <w:pPr>
              <w:pStyle w:val="TableBodyText"/>
            </w:pPr>
            <w:r>
              <w:t>016F</w:t>
            </w:r>
          </w:p>
        </w:tc>
      </w:tr>
      <w:tr w:rsidR="00024C0A" w:rsidTr="00024C0A">
        <w:tc>
          <w:tcPr>
            <w:tcW w:w="0" w:type="auto"/>
            <w:vAlign w:val="center"/>
          </w:tcPr>
          <w:p w:rsidR="00024C0A" w:rsidRDefault="00694C0F">
            <w:pPr>
              <w:pStyle w:val="TableBodyText"/>
            </w:pPr>
            <w:r>
              <w:t>InsertDatabase</w:t>
            </w:r>
          </w:p>
        </w:tc>
        <w:tc>
          <w:tcPr>
            <w:tcW w:w="0" w:type="auto"/>
            <w:vAlign w:val="center"/>
          </w:tcPr>
          <w:p w:rsidR="00024C0A" w:rsidRDefault="00694C0F">
            <w:pPr>
              <w:pStyle w:val="TableBodyText"/>
            </w:pPr>
            <w:r>
              <w:t>0155</w:t>
            </w:r>
          </w:p>
        </w:tc>
      </w:tr>
      <w:tr w:rsidR="00024C0A" w:rsidTr="00024C0A">
        <w:tc>
          <w:tcPr>
            <w:tcW w:w="0" w:type="auto"/>
            <w:vAlign w:val="center"/>
          </w:tcPr>
          <w:p w:rsidR="00024C0A" w:rsidRDefault="00694C0F">
            <w:pPr>
              <w:pStyle w:val="TableBodyText"/>
            </w:pPr>
            <w:r>
              <w:lastRenderedPageBreak/>
              <w:t>InsertDateField</w:t>
            </w:r>
          </w:p>
        </w:tc>
        <w:tc>
          <w:tcPr>
            <w:tcW w:w="0" w:type="auto"/>
            <w:vAlign w:val="center"/>
          </w:tcPr>
          <w:p w:rsidR="00024C0A" w:rsidRDefault="00694C0F">
            <w:pPr>
              <w:pStyle w:val="TableBodyText"/>
            </w:pPr>
            <w:r>
              <w:t>00F0</w:t>
            </w:r>
          </w:p>
        </w:tc>
      </w:tr>
      <w:tr w:rsidR="00024C0A" w:rsidTr="00024C0A">
        <w:tc>
          <w:tcPr>
            <w:tcW w:w="0" w:type="auto"/>
            <w:vAlign w:val="center"/>
          </w:tcPr>
          <w:p w:rsidR="00024C0A" w:rsidRDefault="00694C0F">
            <w:pPr>
              <w:pStyle w:val="TableBodyText"/>
            </w:pPr>
            <w:r>
              <w:t>InsertDateTime</w:t>
            </w:r>
          </w:p>
        </w:tc>
        <w:tc>
          <w:tcPr>
            <w:tcW w:w="0" w:type="auto"/>
            <w:vAlign w:val="center"/>
          </w:tcPr>
          <w:p w:rsidR="00024C0A" w:rsidRDefault="00694C0F">
            <w:pPr>
              <w:pStyle w:val="TableBodyText"/>
            </w:pPr>
            <w:r>
              <w:t>00A5</w:t>
            </w:r>
          </w:p>
        </w:tc>
      </w:tr>
      <w:tr w:rsidR="00024C0A" w:rsidTr="00024C0A">
        <w:tc>
          <w:tcPr>
            <w:tcW w:w="0" w:type="auto"/>
            <w:vAlign w:val="center"/>
          </w:tcPr>
          <w:p w:rsidR="00024C0A" w:rsidRDefault="00694C0F">
            <w:pPr>
              <w:pStyle w:val="TableBodyText"/>
            </w:pPr>
            <w:r>
              <w:t>InsertDrawing</w:t>
            </w:r>
          </w:p>
        </w:tc>
        <w:tc>
          <w:tcPr>
            <w:tcW w:w="0" w:type="auto"/>
            <w:vAlign w:val="center"/>
          </w:tcPr>
          <w:p w:rsidR="00024C0A" w:rsidRDefault="00694C0F">
            <w:pPr>
              <w:pStyle w:val="TableBodyText"/>
            </w:pPr>
            <w:r>
              <w:t>011C</w:t>
            </w:r>
          </w:p>
        </w:tc>
      </w:tr>
      <w:tr w:rsidR="00024C0A" w:rsidTr="00024C0A">
        <w:tc>
          <w:tcPr>
            <w:tcW w:w="0" w:type="auto"/>
            <w:vAlign w:val="center"/>
          </w:tcPr>
          <w:p w:rsidR="00024C0A" w:rsidRDefault="00694C0F">
            <w:pPr>
              <w:pStyle w:val="TableBodyText"/>
            </w:pPr>
            <w:r>
              <w:t>InsertEmSpace</w:t>
            </w:r>
          </w:p>
        </w:tc>
        <w:tc>
          <w:tcPr>
            <w:tcW w:w="0" w:type="auto"/>
            <w:vAlign w:val="center"/>
          </w:tcPr>
          <w:p w:rsidR="00024C0A" w:rsidRDefault="00694C0F">
            <w:pPr>
              <w:pStyle w:val="TableBodyText"/>
            </w:pPr>
            <w:r>
              <w:t>026B</w:t>
            </w:r>
          </w:p>
        </w:tc>
      </w:tr>
      <w:tr w:rsidR="00024C0A" w:rsidTr="00024C0A">
        <w:tc>
          <w:tcPr>
            <w:tcW w:w="0" w:type="auto"/>
            <w:vAlign w:val="center"/>
          </w:tcPr>
          <w:p w:rsidR="00024C0A" w:rsidRDefault="00694C0F">
            <w:pPr>
              <w:pStyle w:val="TableBodyText"/>
            </w:pPr>
            <w:r>
              <w:t>InsertEnSpace</w:t>
            </w:r>
          </w:p>
        </w:tc>
        <w:tc>
          <w:tcPr>
            <w:tcW w:w="0" w:type="auto"/>
            <w:vAlign w:val="center"/>
          </w:tcPr>
          <w:p w:rsidR="00024C0A" w:rsidRDefault="00694C0F">
            <w:pPr>
              <w:pStyle w:val="TableBodyText"/>
            </w:pPr>
            <w:r>
              <w:t>026A</w:t>
            </w:r>
          </w:p>
        </w:tc>
      </w:tr>
      <w:tr w:rsidR="00024C0A" w:rsidTr="00024C0A">
        <w:tc>
          <w:tcPr>
            <w:tcW w:w="0" w:type="auto"/>
            <w:vAlign w:val="center"/>
          </w:tcPr>
          <w:p w:rsidR="00024C0A" w:rsidRDefault="00694C0F">
            <w:pPr>
              <w:pStyle w:val="TableBodyText"/>
            </w:pPr>
            <w:r>
              <w:t>InsertEndnoteNow</w:t>
            </w:r>
          </w:p>
        </w:tc>
        <w:tc>
          <w:tcPr>
            <w:tcW w:w="0" w:type="auto"/>
            <w:vAlign w:val="center"/>
          </w:tcPr>
          <w:p w:rsidR="00024C0A" w:rsidRDefault="00694C0F">
            <w:pPr>
              <w:pStyle w:val="TableBodyText"/>
            </w:pPr>
            <w:r>
              <w:t>0171</w:t>
            </w:r>
          </w:p>
        </w:tc>
      </w:tr>
      <w:tr w:rsidR="00024C0A" w:rsidTr="00024C0A">
        <w:tc>
          <w:tcPr>
            <w:tcW w:w="0" w:type="auto"/>
            <w:vAlign w:val="center"/>
          </w:tcPr>
          <w:p w:rsidR="00024C0A" w:rsidRDefault="00694C0F">
            <w:pPr>
              <w:pStyle w:val="TableBodyText"/>
            </w:pPr>
            <w:r>
              <w:t>InsertEquation</w:t>
            </w:r>
          </w:p>
        </w:tc>
        <w:tc>
          <w:tcPr>
            <w:tcW w:w="0" w:type="auto"/>
            <w:vAlign w:val="center"/>
          </w:tcPr>
          <w:p w:rsidR="00024C0A" w:rsidRDefault="00694C0F">
            <w:pPr>
              <w:pStyle w:val="TableBodyText"/>
            </w:pPr>
            <w:r>
              <w:t>02AB</w:t>
            </w:r>
          </w:p>
        </w:tc>
      </w:tr>
      <w:tr w:rsidR="00024C0A" w:rsidTr="00024C0A">
        <w:tc>
          <w:tcPr>
            <w:tcW w:w="0" w:type="auto"/>
            <w:vAlign w:val="center"/>
          </w:tcPr>
          <w:p w:rsidR="00024C0A" w:rsidRDefault="00694C0F">
            <w:pPr>
              <w:pStyle w:val="TableBodyText"/>
            </w:pPr>
            <w:r>
              <w:t>InsertExcelTable</w:t>
            </w:r>
          </w:p>
        </w:tc>
        <w:tc>
          <w:tcPr>
            <w:tcW w:w="0" w:type="auto"/>
            <w:vAlign w:val="center"/>
          </w:tcPr>
          <w:p w:rsidR="00024C0A" w:rsidRDefault="00694C0F">
            <w:pPr>
              <w:pStyle w:val="TableBodyText"/>
            </w:pPr>
            <w:r>
              <w:t>0237</w:t>
            </w:r>
          </w:p>
        </w:tc>
      </w:tr>
      <w:tr w:rsidR="00024C0A" w:rsidTr="00024C0A">
        <w:tc>
          <w:tcPr>
            <w:tcW w:w="0" w:type="auto"/>
            <w:vAlign w:val="center"/>
          </w:tcPr>
          <w:p w:rsidR="00024C0A" w:rsidRDefault="00694C0F">
            <w:pPr>
              <w:pStyle w:val="TableBodyText"/>
            </w:pPr>
            <w:r>
              <w:t>InsertField</w:t>
            </w:r>
          </w:p>
        </w:tc>
        <w:tc>
          <w:tcPr>
            <w:tcW w:w="0" w:type="auto"/>
            <w:vAlign w:val="center"/>
          </w:tcPr>
          <w:p w:rsidR="00024C0A" w:rsidRDefault="00694C0F">
            <w:pPr>
              <w:pStyle w:val="TableBodyText"/>
            </w:pPr>
            <w:r>
              <w:t>00A6</w:t>
            </w:r>
          </w:p>
        </w:tc>
      </w:tr>
      <w:tr w:rsidR="00024C0A" w:rsidTr="00024C0A">
        <w:tc>
          <w:tcPr>
            <w:tcW w:w="0" w:type="auto"/>
            <w:vAlign w:val="center"/>
          </w:tcPr>
          <w:p w:rsidR="00024C0A" w:rsidRDefault="00694C0F">
            <w:pPr>
              <w:pStyle w:val="TableBodyText"/>
            </w:pPr>
            <w:r>
              <w:t>InsertFieldChars</w:t>
            </w:r>
          </w:p>
        </w:tc>
        <w:tc>
          <w:tcPr>
            <w:tcW w:w="0" w:type="auto"/>
            <w:vAlign w:val="center"/>
          </w:tcPr>
          <w:p w:rsidR="00024C0A" w:rsidRDefault="00694C0F">
            <w:pPr>
              <w:pStyle w:val="TableBodyText"/>
            </w:pPr>
            <w:r>
              <w:t>001F</w:t>
            </w:r>
          </w:p>
        </w:tc>
      </w:tr>
      <w:tr w:rsidR="00024C0A" w:rsidTr="00024C0A">
        <w:tc>
          <w:tcPr>
            <w:tcW w:w="0" w:type="auto"/>
            <w:vAlign w:val="center"/>
          </w:tcPr>
          <w:p w:rsidR="00024C0A" w:rsidRDefault="00694C0F">
            <w:pPr>
              <w:pStyle w:val="TableBodyText"/>
            </w:pPr>
            <w:r>
              <w:t>InsertFile</w:t>
            </w:r>
          </w:p>
        </w:tc>
        <w:tc>
          <w:tcPr>
            <w:tcW w:w="0" w:type="auto"/>
            <w:vAlign w:val="center"/>
          </w:tcPr>
          <w:p w:rsidR="00024C0A" w:rsidRDefault="00694C0F">
            <w:pPr>
              <w:pStyle w:val="TableBodyText"/>
            </w:pPr>
            <w:r>
              <w:t>00A4</w:t>
            </w:r>
          </w:p>
        </w:tc>
      </w:tr>
      <w:tr w:rsidR="00024C0A" w:rsidTr="00024C0A">
        <w:tc>
          <w:tcPr>
            <w:tcW w:w="0" w:type="auto"/>
            <w:vAlign w:val="center"/>
          </w:tcPr>
          <w:p w:rsidR="00024C0A" w:rsidRDefault="00694C0F">
            <w:pPr>
              <w:pStyle w:val="TableBodyText"/>
            </w:pPr>
            <w:r>
              <w:t>InsertFootnote</w:t>
            </w:r>
          </w:p>
        </w:tc>
        <w:tc>
          <w:tcPr>
            <w:tcW w:w="0" w:type="auto"/>
            <w:vAlign w:val="center"/>
          </w:tcPr>
          <w:p w:rsidR="00024C0A" w:rsidRDefault="00694C0F">
            <w:pPr>
              <w:pStyle w:val="TableBodyText"/>
            </w:pPr>
            <w:r>
              <w:t>0172</w:t>
            </w:r>
          </w:p>
        </w:tc>
      </w:tr>
      <w:tr w:rsidR="00024C0A" w:rsidTr="00024C0A">
        <w:tc>
          <w:tcPr>
            <w:tcW w:w="0" w:type="auto"/>
            <w:vAlign w:val="center"/>
          </w:tcPr>
          <w:p w:rsidR="00024C0A" w:rsidRDefault="00694C0F">
            <w:pPr>
              <w:pStyle w:val="TableBodyText"/>
            </w:pPr>
            <w:r>
              <w:t>InsertFootnoteNow</w:t>
            </w:r>
          </w:p>
        </w:tc>
        <w:tc>
          <w:tcPr>
            <w:tcW w:w="0" w:type="auto"/>
            <w:vAlign w:val="center"/>
          </w:tcPr>
          <w:p w:rsidR="00024C0A" w:rsidRDefault="00694C0F">
            <w:pPr>
              <w:pStyle w:val="TableBodyText"/>
            </w:pPr>
            <w:r>
              <w:t>0170</w:t>
            </w:r>
          </w:p>
        </w:tc>
      </w:tr>
      <w:tr w:rsidR="00024C0A" w:rsidTr="00024C0A">
        <w:tc>
          <w:tcPr>
            <w:tcW w:w="0" w:type="auto"/>
            <w:vAlign w:val="center"/>
          </w:tcPr>
          <w:p w:rsidR="00024C0A" w:rsidRDefault="00694C0F">
            <w:pPr>
              <w:pStyle w:val="TableBodyText"/>
            </w:pPr>
            <w:r>
              <w:t>InsertFormControlsGallery</w:t>
            </w:r>
          </w:p>
        </w:tc>
        <w:tc>
          <w:tcPr>
            <w:tcW w:w="0" w:type="auto"/>
            <w:vAlign w:val="center"/>
          </w:tcPr>
          <w:p w:rsidR="00024C0A" w:rsidRDefault="00694C0F">
            <w:pPr>
              <w:pStyle w:val="TableBodyText"/>
            </w:pPr>
            <w:r>
              <w:t>08B5</w:t>
            </w:r>
          </w:p>
        </w:tc>
      </w:tr>
      <w:tr w:rsidR="00024C0A" w:rsidTr="00024C0A">
        <w:tc>
          <w:tcPr>
            <w:tcW w:w="0" w:type="auto"/>
            <w:vAlign w:val="center"/>
          </w:tcPr>
          <w:p w:rsidR="00024C0A" w:rsidRDefault="00694C0F">
            <w:pPr>
              <w:pStyle w:val="TableBodyText"/>
            </w:pPr>
            <w:r>
              <w:t>InsertFormField</w:t>
            </w:r>
          </w:p>
        </w:tc>
        <w:tc>
          <w:tcPr>
            <w:tcW w:w="0" w:type="auto"/>
            <w:vAlign w:val="center"/>
          </w:tcPr>
          <w:p w:rsidR="00024C0A" w:rsidRDefault="00694C0F">
            <w:pPr>
              <w:pStyle w:val="TableBodyText"/>
            </w:pPr>
            <w:r>
              <w:t>01E3</w:t>
            </w:r>
          </w:p>
        </w:tc>
      </w:tr>
      <w:tr w:rsidR="00024C0A" w:rsidTr="00024C0A">
        <w:tc>
          <w:tcPr>
            <w:tcW w:w="0" w:type="auto"/>
            <w:vAlign w:val="center"/>
          </w:tcPr>
          <w:p w:rsidR="00024C0A" w:rsidRDefault="00694C0F">
            <w:pPr>
              <w:pStyle w:val="TableBodyText"/>
            </w:pPr>
            <w:r>
              <w:t>InsertFrame</w:t>
            </w:r>
          </w:p>
        </w:tc>
        <w:tc>
          <w:tcPr>
            <w:tcW w:w="0" w:type="auto"/>
            <w:vAlign w:val="center"/>
          </w:tcPr>
          <w:p w:rsidR="00024C0A" w:rsidRDefault="00694C0F">
            <w:pPr>
              <w:pStyle w:val="TableBodyText"/>
            </w:pPr>
            <w:r>
              <w:t>009E</w:t>
            </w:r>
          </w:p>
        </w:tc>
      </w:tr>
      <w:tr w:rsidR="00024C0A" w:rsidTr="00024C0A">
        <w:tc>
          <w:tcPr>
            <w:tcW w:w="0" w:type="auto"/>
            <w:vAlign w:val="center"/>
          </w:tcPr>
          <w:p w:rsidR="00024C0A" w:rsidRDefault="00694C0F">
            <w:pPr>
              <w:pStyle w:val="TableBodyText"/>
            </w:pPr>
            <w:r>
              <w:t>InsertGraphicalHorizontalLine</w:t>
            </w:r>
          </w:p>
        </w:tc>
        <w:tc>
          <w:tcPr>
            <w:tcW w:w="0" w:type="auto"/>
            <w:vAlign w:val="center"/>
          </w:tcPr>
          <w:p w:rsidR="00024C0A" w:rsidRDefault="00694C0F">
            <w:pPr>
              <w:pStyle w:val="TableBodyText"/>
            </w:pPr>
            <w:r>
              <w:t>042B</w:t>
            </w:r>
          </w:p>
        </w:tc>
      </w:tr>
      <w:tr w:rsidR="00024C0A" w:rsidTr="00024C0A">
        <w:tc>
          <w:tcPr>
            <w:tcW w:w="0" w:type="auto"/>
            <w:vAlign w:val="center"/>
          </w:tcPr>
          <w:p w:rsidR="00024C0A" w:rsidRDefault="00694C0F">
            <w:pPr>
              <w:pStyle w:val="TableBodyText"/>
            </w:pPr>
            <w:r>
              <w:t>InsertHTMLBGSound</w:t>
            </w:r>
          </w:p>
        </w:tc>
        <w:tc>
          <w:tcPr>
            <w:tcW w:w="0" w:type="auto"/>
            <w:vAlign w:val="center"/>
          </w:tcPr>
          <w:p w:rsidR="00024C0A" w:rsidRDefault="00694C0F">
            <w:pPr>
              <w:pStyle w:val="TableBodyText"/>
            </w:pPr>
            <w:r>
              <w:t>046E</w:t>
            </w:r>
          </w:p>
        </w:tc>
      </w:tr>
      <w:tr w:rsidR="00024C0A" w:rsidTr="00024C0A">
        <w:tc>
          <w:tcPr>
            <w:tcW w:w="0" w:type="auto"/>
            <w:vAlign w:val="center"/>
          </w:tcPr>
          <w:p w:rsidR="00024C0A" w:rsidRDefault="00694C0F">
            <w:pPr>
              <w:pStyle w:val="TableBodyText"/>
            </w:pPr>
            <w:r>
              <w:t>InsertHTMLCheckBox</w:t>
            </w:r>
          </w:p>
        </w:tc>
        <w:tc>
          <w:tcPr>
            <w:tcW w:w="0" w:type="auto"/>
            <w:vAlign w:val="center"/>
          </w:tcPr>
          <w:p w:rsidR="00024C0A" w:rsidRDefault="00694C0F">
            <w:pPr>
              <w:pStyle w:val="TableBodyText"/>
            </w:pPr>
            <w:r>
              <w:t>0462</w:t>
            </w:r>
          </w:p>
        </w:tc>
      </w:tr>
      <w:tr w:rsidR="00024C0A" w:rsidTr="00024C0A">
        <w:tc>
          <w:tcPr>
            <w:tcW w:w="0" w:type="auto"/>
            <w:vAlign w:val="center"/>
          </w:tcPr>
          <w:p w:rsidR="00024C0A" w:rsidRDefault="00694C0F">
            <w:pPr>
              <w:pStyle w:val="TableBodyText"/>
            </w:pPr>
            <w:r>
              <w:t>InsertHTMLDropdownBox</w:t>
            </w:r>
          </w:p>
        </w:tc>
        <w:tc>
          <w:tcPr>
            <w:tcW w:w="0" w:type="auto"/>
            <w:vAlign w:val="center"/>
          </w:tcPr>
          <w:p w:rsidR="00024C0A" w:rsidRDefault="00694C0F">
            <w:pPr>
              <w:pStyle w:val="TableBodyText"/>
            </w:pPr>
            <w:r>
              <w:t>0464</w:t>
            </w:r>
          </w:p>
        </w:tc>
      </w:tr>
      <w:tr w:rsidR="00024C0A" w:rsidTr="00024C0A">
        <w:tc>
          <w:tcPr>
            <w:tcW w:w="0" w:type="auto"/>
            <w:vAlign w:val="center"/>
          </w:tcPr>
          <w:p w:rsidR="00024C0A" w:rsidRDefault="00694C0F">
            <w:pPr>
              <w:pStyle w:val="TableBodyText"/>
            </w:pPr>
            <w:r>
              <w:t>InsertHTMLHidden</w:t>
            </w:r>
          </w:p>
        </w:tc>
        <w:tc>
          <w:tcPr>
            <w:tcW w:w="0" w:type="auto"/>
            <w:vAlign w:val="center"/>
          </w:tcPr>
          <w:p w:rsidR="00024C0A" w:rsidRDefault="00694C0F">
            <w:pPr>
              <w:pStyle w:val="TableBodyText"/>
            </w:pPr>
            <w:r>
              <w:t>046B</w:t>
            </w:r>
          </w:p>
        </w:tc>
      </w:tr>
      <w:tr w:rsidR="00024C0A" w:rsidTr="00024C0A">
        <w:tc>
          <w:tcPr>
            <w:tcW w:w="0" w:type="auto"/>
            <w:vAlign w:val="center"/>
          </w:tcPr>
          <w:p w:rsidR="00024C0A" w:rsidRDefault="00694C0F">
            <w:pPr>
              <w:pStyle w:val="TableBodyText"/>
            </w:pPr>
            <w:r>
              <w:t>InsertHTMLImageSubmit</w:t>
            </w:r>
          </w:p>
        </w:tc>
        <w:tc>
          <w:tcPr>
            <w:tcW w:w="0" w:type="auto"/>
            <w:vAlign w:val="center"/>
          </w:tcPr>
          <w:p w:rsidR="00024C0A" w:rsidRDefault="00694C0F">
            <w:pPr>
              <w:pStyle w:val="TableBodyText"/>
            </w:pPr>
            <w:r>
              <w:t>0469</w:t>
            </w:r>
          </w:p>
        </w:tc>
      </w:tr>
      <w:tr w:rsidR="00024C0A" w:rsidTr="00024C0A">
        <w:tc>
          <w:tcPr>
            <w:tcW w:w="0" w:type="auto"/>
            <w:vAlign w:val="center"/>
          </w:tcPr>
          <w:p w:rsidR="00024C0A" w:rsidRDefault="00694C0F">
            <w:pPr>
              <w:pStyle w:val="TableBodyText"/>
            </w:pPr>
            <w:r>
              <w:t>InsertHTMLListBox</w:t>
            </w:r>
          </w:p>
        </w:tc>
        <w:tc>
          <w:tcPr>
            <w:tcW w:w="0" w:type="auto"/>
            <w:vAlign w:val="center"/>
          </w:tcPr>
          <w:p w:rsidR="00024C0A" w:rsidRDefault="00694C0F">
            <w:pPr>
              <w:pStyle w:val="TableBodyText"/>
            </w:pPr>
            <w:r>
              <w:t>0465</w:t>
            </w:r>
          </w:p>
        </w:tc>
      </w:tr>
      <w:tr w:rsidR="00024C0A" w:rsidTr="00024C0A">
        <w:tc>
          <w:tcPr>
            <w:tcW w:w="0" w:type="auto"/>
            <w:vAlign w:val="center"/>
          </w:tcPr>
          <w:p w:rsidR="00024C0A" w:rsidRDefault="00694C0F">
            <w:pPr>
              <w:pStyle w:val="TableBodyText"/>
            </w:pPr>
            <w:r>
              <w:t>InsertHTMLMarquee</w:t>
            </w:r>
          </w:p>
        </w:tc>
        <w:tc>
          <w:tcPr>
            <w:tcW w:w="0" w:type="auto"/>
            <w:vAlign w:val="center"/>
          </w:tcPr>
          <w:p w:rsidR="00024C0A" w:rsidRDefault="00694C0F">
            <w:pPr>
              <w:pStyle w:val="TableBodyText"/>
            </w:pPr>
            <w:r>
              <w:t>046F</w:t>
            </w:r>
          </w:p>
        </w:tc>
      </w:tr>
      <w:tr w:rsidR="00024C0A" w:rsidTr="00024C0A">
        <w:tc>
          <w:tcPr>
            <w:tcW w:w="0" w:type="auto"/>
            <w:vAlign w:val="center"/>
          </w:tcPr>
          <w:p w:rsidR="00024C0A" w:rsidRDefault="00694C0F">
            <w:pPr>
              <w:pStyle w:val="TableBodyText"/>
            </w:pPr>
            <w:r>
              <w:t>InsertHTMLMovie</w:t>
            </w:r>
          </w:p>
        </w:tc>
        <w:tc>
          <w:tcPr>
            <w:tcW w:w="0" w:type="auto"/>
            <w:vAlign w:val="center"/>
          </w:tcPr>
          <w:p w:rsidR="00024C0A" w:rsidRDefault="00694C0F">
            <w:pPr>
              <w:pStyle w:val="TableBodyText"/>
            </w:pPr>
            <w:r>
              <w:t>046D</w:t>
            </w:r>
          </w:p>
        </w:tc>
      </w:tr>
      <w:tr w:rsidR="00024C0A" w:rsidTr="00024C0A">
        <w:tc>
          <w:tcPr>
            <w:tcW w:w="0" w:type="auto"/>
            <w:vAlign w:val="center"/>
          </w:tcPr>
          <w:p w:rsidR="00024C0A" w:rsidRDefault="00694C0F">
            <w:pPr>
              <w:pStyle w:val="TableBodyText"/>
            </w:pPr>
            <w:r>
              <w:t>InsertHTMLOptionButton</w:t>
            </w:r>
          </w:p>
        </w:tc>
        <w:tc>
          <w:tcPr>
            <w:tcW w:w="0" w:type="auto"/>
            <w:vAlign w:val="center"/>
          </w:tcPr>
          <w:p w:rsidR="00024C0A" w:rsidRDefault="00694C0F">
            <w:pPr>
              <w:pStyle w:val="TableBodyText"/>
            </w:pPr>
            <w:r>
              <w:t>0463</w:t>
            </w:r>
          </w:p>
        </w:tc>
      </w:tr>
      <w:tr w:rsidR="00024C0A" w:rsidTr="00024C0A">
        <w:tc>
          <w:tcPr>
            <w:tcW w:w="0" w:type="auto"/>
            <w:vAlign w:val="center"/>
          </w:tcPr>
          <w:p w:rsidR="00024C0A" w:rsidRDefault="00694C0F">
            <w:pPr>
              <w:pStyle w:val="TableBodyText"/>
            </w:pPr>
            <w:r>
              <w:t>InsertHTMLPassword</w:t>
            </w:r>
          </w:p>
        </w:tc>
        <w:tc>
          <w:tcPr>
            <w:tcW w:w="0" w:type="auto"/>
            <w:vAlign w:val="center"/>
          </w:tcPr>
          <w:p w:rsidR="00024C0A" w:rsidRDefault="00694C0F">
            <w:pPr>
              <w:pStyle w:val="TableBodyText"/>
            </w:pPr>
            <w:r>
              <w:t>046C</w:t>
            </w:r>
          </w:p>
        </w:tc>
      </w:tr>
      <w:tr w:rsidR="00024C0A" w:rsidTr="00024C0A">
        <w:tc>
          <w:tcPr>
            <w:tcW w:w="0" w:type="auto"/>
            <w:vAlign w:val="center"/>
          </w:tcPr>
          <w:p w:rsidR="00024C0A" w:rsidRDefault="00694C0F">
            <w:pPr>
              <w:pStyle w:val="TableBodyText"/>
            </w:pPr>
            <w:r>
              <w:t>InsertHTMLReset</w:t>
            </w:r>
          </w:p>
        </w:tc>
        <w:tc>
          <w:tcPr>
            <w:tcW w:w="0" w:type="auto"/>
            <w:vAlign w:val="center"/>
          </w:tcPr>
          <w:p w:rsidR="00024C0A" w:rsidRDefault="00694C0F">
            <w:pPr>
              <w:pStyle w:val="TableBodyText"/>
            </w:pPr>
            <w:r>
              <w:t>046A</w:t>
            </w:r>
          </w:p>
        </w:tc>
      </w:tr>
      <w:tr w:rsidR="00024C0A" w:rsidTr="00024C0A">
        <w:tc>
          <w:tcPr>
            <w:tcW w:w="0" w:type="auto"/>
            <w:vAlign w:val="center"/>
          </w:tcPr>
          <w:p w:rsidR="00024C0A" w:rsidRDefault="00694C0F">
            <w:pPr>
              <w:pStyle w:val="TableBodyText"/>
            </w:pPr>
            <w:r>
              <w:t>InsertHTMLSubmit</w:t>
            </w:r>
          </w:p>
        </w:tc>
        <w:tc>
          <w:tcPr>
            <w:tcW w:w="0" w:type="auto"/>
            <w:vAlign w:val="center"/>
          </w:tcPr>
          <w:p w:rsidR="00024C0A" w:rsidRDefault="00694C0F">
            <w:pPr>
              <w:pStyle w:val="TableBodyText"/>
            </w:pPr>
            <w:r>
              <w:t>0468</w:t>
            </w:r>
          </w:p>
        </w:tc>
      </w:tr>
      <w:tr w:rsidR="00024C0A" w:rsidTr="00024C0A">
        <w:tc>
          <w:tcPr>
            <w:tcW w:w="0" w:type="auto"/>
            <w:vAlign w:val="center"/>
          </w:tcPr>
          <w:p w:rsidR="00024C0A" w:rsidRDefault="00694C0F">
            <w:pPr>
              <w:pStyle w:val="TableBodyText"/>
            </w:pPr>
            <w:r>
              <w:t>InsertHTMLTextArea</w:t>
            </w:r>
          </w:p>
        </w:tc>
        <w:tc>
          <w:tcPr>
            <w:tcW w:w="0" w:type="auto"/>
            <w:vAlign w:val="center"/>
          </w:tcPr>
          <w:p w:rsidR="00024C0A" w:rsidRDefault="00694C0F">
            <w:pPr>
              <w:pStyle w:val="TableBodyText"/>
            </w:pPr>
            <w:r>
              <w:t>0467</w:t>
            </w:r>
          </w:p>
        </w:tc>
      </w:tr>
      <w:tr w:rsidR="00024C0A" w:rsidTr="00024C0A">
        <w:tc>
          <w:tcPr>
            <w:tcW w:w="0" w:type="auto"/>
            <w:vAlign w:val="center"/>
          </w:tcPr>
          <w:p w:rsidR="00024C0A" w:rsidRDefault="00694C0F">
            <w:pPr>
              <w:pStyle w:val="TableBodyText"/>
            </w:pPr>
            <w:r>
              <w:t>InsertHTMLTextBox</w:t>
            </w:r>
          </w:p>
        </w:tc>
        <w:tc>
          <w:tcPr>
            <w:tcW w:w="0" w:type="auto"/>
            <w:vAlign w:val="center"/>
          </w:tcPr>
          <w:p w:rsidR="00024C0A" w:rsidRDefault="00694C0F">
            <w:pPr>
              <w:pStyle w:val="TableBodyText"/>
            </w:pPr>
            <w:r>
              <w:t>0466</w:t>
            </w:r>
          </w:p>
        </w:tc>
      </w:tr>
      <w:tr w:rsidR="00024C0A" w:rsidTr="00024C0A">
        <w:tc>
          <w:tcPr>
            <w:tcW w:w="0" w:type="auto"/>
            <w:vAlign w:val="center"/>
          </w:tcPr>
          <w:p w:rsidR="00024C0A" w:rsidRDefault="00694C0F">
            <w:pPr>
              <w:pStyle w:val="TableBodyText"/>
            </w:pPr>
            <w:r>
              <w:t>InsertHorizontalLine</w:t>
            </w:r>
          </w:p>
        </w:tc>
        <w:tc>
          <w:tcPr>
            <w:tcW w:w="0" w:type="auto"/>
            <w:vAlign w:val="center"/>
          </w:tcPr>
          <w:p w:rsidR="00024C0A" w:rsidRDefault="00694C0F">
            <w:pPr>
              <w:pStyle w:val="TableBodyText"/>
            </w:pPr>
            <w:r>
              <w:t>042A</w:t>
            </w:r>
          </w:p>
        </w:tc>
      </w:tr>
      <w:tr w:rsidR="00024C0A" w:rsidTr="00024C0A">
        <w:tc>
          <w:tcPr>
            <w:tcW w:w="0" w:type="auto"/>
            <w:vAlign w:val="center"/>
          </w:tcPr>
          <w:p w:rsidR="00024C0A" w:rsidRDefault="00694C0F">
            <w:pPr>
              <w:pStyle w:val="TableBodyText"/>
            </w:pPr>
            <w:r>
              <w:lastRenderedPageBreak/>
              <w:t>InsertHyperlink</w:t>
            </w:r>
          </w:p>
        </w:tc>
        <w:tc>
          <w:tcPr>
            <w:tcW w:w="0" w:type="auto"/>
            <w:vAlign w:val="center"/>
          </w:tcPr>
          <w:p w:rsidR="00024C0A" w:rsidRDefault="00694C0F">
            <w:pPr>
              <w:pStyle w:val="TableBodyText"/>
            </w:pPr>
            <w:r>
              <w:t>039D</w:t>
            </w:r>
          </w:p>
        </w:tc>
      </w:tr>
      <w:tr w:rsidR="00024C0A" w:rsidTr="00024C0A">
        <w:tc>
          <w:tcPr>
            <w:tcW w:w="0" w:type="auto"/>
            <w:vAlign w:val="center"/>
          </w:tcPr>
          <w:p w:rsidR="00024C0A" w:rsidRDefault="00694C0F">
            <w:pPr>
              <w:pStyle w:val="TableBodyText"/>
            </w:pPr>
            <w:r>
              <w:t>InsertImagerScan</w:t>
            </w:r>
          </w:p>
        </w:tc>
        <w:tc>
          <w:tcPr>
            <w:tcW w:w="0" w:type="auto"/>
            <w:vAlign w:val="center"/>
          </w:tcPr>
          <w:p w:rsidR="00024C0A" w:rsidRDefault="00694C0F">
            <w:pPr>
              <w:pStyle w:val="TableBodyText"/>
            </w:pPr>
            <w:r>
              <w:t>03D5</w:t>
            </w:r>
          </w:p>
        </w:tc>
      </w:tr>
      <w:tr w:rsidR="00024C0A" w:rsidTr="00024C0A">
        <w:tc>
          <w:tcPr>
            <w:tcW w:w="0" w:type="auto"/>
            <w:vAlign w:val="center"/>
          </w:tcPr>
          <w:p w:rsidR="00024C0A" w:rsidRDefault="00694C0F">
            <w:pPr>
              <w:pStyle w:val="TableBodyText"/>
            </w:pPr>
            <w:r>
              <w:t>InsertIndex</w:t>
            </w:r>
          </w:p>
        </w:tc>
        <w:tc>
          <w:tcPr>
            <w:tcW w:w="0" w:type="auto"/>
            <w:vAlign w:val="center"/>
          </w:tcPr>
          <w:p w:rsidR="00024C0A" w:rsidRDefault="00694C0F">
            <w:pPr>
              <w:pStyle w:val="TableBodyText"/>
            </w:pPr>
            <w:r>
              <w:t>00AA</w:t>
            </w:r>
          </w:p>
        </w:tc>
      </w:tr>
      <w:tr w:rsidR="00024C0A" w:rsidTr="00024C0A">
        <w:tc>
          <w:tcPr>
            <w:tcW w:w="0" w:type="auto"/>
            <w:vAlign w:val="center"/>
          </w:tcPr>
          <w:p w:rsidR="00024C0A" w:rsidRDefault="00694C0F">
            <w:pPr>
              <w:pStyle w:val="TableBodyText"/>
            </w:pPr>
            <w:r>
              <w:t>InsertIndexAndTables</w:t>
            </w:r>
          </w:p>
        </w:tc>
        <w:tc>
          <w:tcPr>
            <w:tcW w:w="0" w:type="auto"/>
            <w:vAlign w:val="center"/>
          </w:tcPr>
          <w:p w:rsidR="00024C0A" w:rsidRDefault="00694C0F">
            <w:pPr>
              <w:pStyle w:val="TableBodyText"/>
            </w:pPr>
            <w:r>
              <w:t>01D9</w:t>
            </w:r>
          </w:p>
        </w:tc>
      </w:tr>
      <w:tr w:rsidR="00024C0A" w:rsidTr="00024C0A">
        <w:tc>
          <w:tcPr>
            <w:tcW w:w="0" w:type="auto"/>
            <w:vAlign w:val="center"/>
          </w:tcPr>
          <w:p w:rsidR="00024C0A" w:rsidRDefault="00694C0F">
            <w:pPr>
              <w:pStyle w:val="TableBodyText"/>
            </w:pPr>
            <w:r>
              <w:t>InsertInkAnnotations</w:t>
            </w:r>
          </w:p>
        </w:tc>
        <w:tc>
          <w:tcPr>
            <w:tcW w:w="0" w:type="auto"/>
            <w:vAlign w:val="center"/>
          </w:tcPr>
          <w:p w:rsidR="00024C0A" w:rsidRDefault="00694C0F">
            <w:pPr>
              <w:pStyle w:val="TableBodyText"/>
            </w:pPr>
            <w:r>
              <w:t>05C3</w:t>
            </w:r>
          </w:p>
        </w:tc>
      </w:tr>
      <w:tr w:rsidR="00024C0A" w:rsidTr="00024C0A">
        <w:tc>
          <w:tcPr>
            <w:tcW w:w="0" w:type="auto"/>
            <w:vAlign w:val="center"/>
          </w:tcPr>
          <w:p w:rsidR="00024C0A" w:rsidRDefault="00694C0F">
            <w:pPr>
              <w:pStyle w:val="TableBodyText"/>
            </w:pPr>
            <w:r>
              <w:t>InsertInkComment</w:t>
            </w:r>
          </w:p>
        </w:tc>
        <w:tc>
          <w:tcPr>
            <w:tcW w:w="0" w:type="auto"/>
            <w:vAlign w:val="center"/>
          </w:tcPr>
          <w:p w:rsidR="00024C0A" w:rsidRDefault="00694C0F">
            <w:pPr>
              <w:pStyle w:val="TableBodyText"/>
            </w:pPr>
            <w:r>
              <w:t>058D</w:t>
            </w:r>
          </w:p>
        </w:tc>
      </w:tr>
      <w:tr w:rsidR="00024C0A" w:rsidTr="00024C0A">
        <w:tc>
          <w:tcPr>
            <w:tcW w:w="0" w:type="auto"/>
            <w:vAlign w:val="center"/>
          </w:tcPr>
          <w:p w:rsidR="00024C0A" w:rsidRDefault="00694C0F">
            <w:pPr>
              <w:pStyle w:val="TableBodyText"/>
            </w:pPr>
            <w:r>
              <w:t>InsertInkSplitMenu</w:t>
            </w:r>
          </w:p>
        </w:tc>
        <w:tc>
          <w:tcPr>
            <w:tcW w:w="0" w:type="auto"/>
            <w:vAlign w:val="center"/>
          </w:tcPr>
          <w:p w:rsidR="00024C0A" w:rsidRDefault="00694C0F">
            <w:pPr>
              <w:pStyle w:val="TableBodyText"/>
            </w:pPr>
            <w:r>
              <w:t>16BD</w:t>
            </w:r>
          </w:p>
        </w:tc>
      </w:tr>
      <w:tr w:rsidR="00024C0A" w:rsidTr="00024C0A">
        <w:tc>
          <w:tcPr>
            <w:tcW w:w="0" w:type="auto"/>
            <w:vAlign w:val="center"/>
          </w:tcPr>
          <w:p w:rsidR="00024C0A" w:rsidRDefault="00694C0F">
            <w:pPr>
              <w:pStyle w:val="TableBodyText"/>
            </w:pPr>
            <w:r>
              <w:t>InsertListNumField</w:t>
            </w:r>
          </w:p>
        </w:tc>
        <w:tc>
          <w:tcPr>
            <w:tcW w:w="0" w:type="auto"/>
            <w:vAlign w:val="center"/>
          </w:tcPr>
          <w:p w:rsidR="00024C0A" w:rsidRDefault="00694C0F">
            <w:pPr>
              <w:pStyle w:val="TableBodyText"/>
            </w:pPr>
            <w:r>
              <w:t>03C6</w:t>
            </w:r>
          </w:p>
        </w:tc>
      </w:tr>
      <w:tr w:rsidR="00024C0A" w:rsidTr="00024C0A">
        <w:tc>
          <w:tcPr>
            <w:tcW w:w="0" w:type="auto"/>
            <w:vAlign w:val="center"/>
          </w:tcPr>
          <w:p w:rsidR="00024C0A" w:rsidRDefault="00694C0F">
            <w:pPr>
              <w:pStyle w:val="TableBodyText"/>
            </w:pPr>
            <w:r>
              <w:t>InsertMergeField</w:t>
            </w:r>
          </w:p>
        </w:tc>
        <w:tc>
          <w:tcPr>
            <w:tcW w:w="0" w:type="auto"/>
            <w:vAlign w:val="center"/>
          </w:tcPr>
          <w:p w:rsidR="00024C0A" w:rsidRDefault="00694C0F">
            <w:pPr>
              <w:pStyle w:val="TableBodyText"/>
            </w:pPr>
            <w:r>
              <w:t>00A7</w:t>
            </w:r>
          </w:p>
        </w:tc>
      </w:tr>
      <w:tr w:rsidR="00024C0A" w:rsidTr="00024C0A">
        <w:tc>
          <w:tcPr>
            <w:tcW w:w="0" w:type="auto"/>
            <w:vAlign w:val="center"/>
          </w:tcPr>
          <w:p w:rsidR="00024C0A" w:rsidRDefault="00694C0F">
            <w:pPr>
              <w:pStyle w:val="TableBodyText"/>
            </w:pPr>
            <w:r>
              <w:t>InsertNewComment</w:t>
            </w:r>
          </w:p>
        </w:tc>
        <w:tc>
          <w:tcPr>
            <w:tcW w:w="0" w:type="auto"/>
            <w:vAlign w:val="center"/>
          </w:tcPr>
          <w:p w:rsidR="00024C0A" w:rsidRDefault="00694C0F">
            <w:pPr>
              <w:pStyle w:val="TableBodyText"/>
            </w:pPr>
            <w:r>
              <w:t>0517</w:t>
            </w:r>
          </w:p>
        </w:tc>
      </w:tr>
      <w:tr w:rsidR="00024C0A" w:rsidTr="00024C0A">
        <w:tc>
          <w:tcPr>
            <w:tcW w:w="0" w:type="auto"/>
            <w:vAlign w:val="center"/>
          </w:tcPr>
          <w:p w:rsidR="00024C0A" w:rsidRDefault="00694C0F">
            <w:pPr>
              <w:pStyle w:val="TableBodyText"/>
            </w:pPr>
            <w:r>
              <w:t>InsertNewPage</w:t>
            </w:r>
          </w:p>
        </w:tc>
        <w:tc>
          <w:tcPr>
            <w:tcW w:w="0" w:type="auto"/>
            <w:vAlign w:val="center"/>
          </w:tcPr>
          <w:p w:rsidR="00024C0A" w:rsidRDefault="00694C0F">
            <w:pPr>
              <w:pStyle w:val="TableBodyText"/>
            </w:pPr>
            <w:r>
              <w:t>084F</w:t>
            </w:r>
          </w:p>
        </w:tc>
      </w:tr>
      <w:tr w:rsidR="00024C0A" w:rsidTr="00024C0A">
        <w:tc>
          <w:tcPr>
            <w:tcW w:w="0" w:type="auto"/>
            <w:vAlign w:val="center"/>
          </w:tcPr>
          <w:p w:rsidR="00024C0A" w:rsidRDefault="00694C0F">
            <w:pPr>
              <w:pStyle w:val="TableBodyText"/>
            </w:pPr>
            <w:r>
              <w:t>InsertNumber</w:t>
            </w:r>
          </w:p>
        </w:tc>
        <w:tc>
          <w:tcPr>
            <w:tcW w:w="0" w:type="auto"/>
            <w:vAlign w:val="center"/>
          </w:tcPr>
          <w:p w:rsidR="00024C0A" w:rsidRDefault="00694C0F">
            <w:pPr>
              <w:pStyle w:val="TableBodyText"/>
            </w:pPr>
            <w:r>
              <w:t>032C</w:t>
            </w:r>
          </w:p>
        </w:tc>
      </w:tr>
      <w:tr w:rsidR="00024C0A" w:rsidTr="00024C0A">
        <w:tc>
          <w:tcPr>
            <w:tcW w:w="0" w:type="auto"/>
            <w:vAlign w:val="center"/>
          </w:tcPr>
          <w:p w:rsidR="00024C0A" w:rsidRDefault="00694C0F">
            <w:pPr>
              <w:pStyle w:val="TableBodyText"/>
            </w:pPr>
            <w:r>
              <w:t>InsertNumberOfPages</w:t>
            </w:r>
          </w:p>
        </w:tc>
        <w:tc>
          <w:tcPr>
            <w:tcW w:w="0" w:type="auto"/>
            <w:vAlign w:val="center"/>
          </w:tcPr>
          <w:p w:rsidR="00024C0A" w:rsidRDefault="00694C0F">
            <w:pPr>
              <w:pStyle w:val="TableBodyText"/>
            </w:pPr>
            <w:r>
              <w:t>0343</w:t>
            </w:r>
          </w:p>
        </w:tc>
      </w:tr>
      <w:tr w:rsidR="00024C0A" w:rsidTr="00024C0A">
        <w:tc>
          <w:tcPr>
            <w:tcW w:w="0" w:type="auto"/>
            <w:vAlign w:val="center"/>
          </w:tcPr>
          <w:p w:rsidR="00024C0A" w:rsidRDefault="00694C0F">
            <w:pPr>
              <w:pStyle w:val="TableBodyText"/>
            </w:pPr>
            <w:r>
              <w:t>InsertOCX</w:t>
            </w:r>
          </w:p>
        </w:tc>
        <w:tc>
          <w:tcPr>
            <w:tcW w:w="0" w:type="auto"/>
            <w:vAlign w:val="center"/>
          </w:tcPr>
          <w:p w:rsidR="00024C0A" w:rsidRDefault="00694C0F">
            <w:pPr>
              <w:pStyle w:val="TableBodyText"/>
            </w:pPr>
            <w:r>
              <w:t>0391</w:t>
            </w:r>
          </w:p>
        </w:tc>
      </w:tr>
      <w:tr w:rsidR="00024C0A" w:rsidTr="00024C0A">
        <w:tc>
          <w:tcPr>
            <w:tcW w:w="0" w:type="auto"/>
            <w:vAlign w:val="center"/>
          </w:tcPr>
          <w:p w:rsidR="00024C0A" w:rsidRDefault="00694C0F">
            <w:pPr>
              <w:pStyle w:val="TableBodyText"/>
            </w:pPr>
            <w:r>
              <w:t>InsertOCXButton</w:t>
            </w:r>
          </w:p>
        </w:tc>
        <w:tc>
          <w:tcPr>
            <w:tcW w:w="0" w:type="auto"/>
            <w:vAlign w:val="center"/>
          </w:tcPr>
          <w:p w:rsidR="00024C0A" w:rsidRDefault="00694C0F">
            <w:pPr>
              <w:pStyle w:val="TableBodyText"/>
            </w:pPr>
            <w:r>
              <w:t>1BAA</w:t>
            </w:r>
          </w:p>
        </w:tc>
      </w:tr>
      <w:tr w:rsidR="00024C0A" w:rsidTr="00024C0A">
        <w:tc>
          <w:tcPr>
            <w:tcW w:w="0" w:type="auto"/>
            <w:vAlign w:val="center"/>
          </w:tcPr>
          <w:p w:rsidR="00024C0A" w:rsidRDefault="00694C0F">
            <w:pPr>
              <w:pStyle w:val="TableBodyText"/>
            </w:pPr>
            <w:r>
              <w:t>InsertOCXCheckbox</w:t>
            </w:r>
          </w:p>
        </w:tc>
        <w:tc>
          <w:tcPr>
            <w:tcW w:w="0" w:type="auto"/>
            <w:vAlign w:val="center"/>
          </w:tcPr>
          <w:p w:rsidR="00024C0A" w:rsidRDefault="00694C0F">
            <w:pPr>
              <w:pStyle w:val="TableBodyText"/>
            </w:pPr>
            <w:r>
              <w:t>1BA5</w:t>
            </w:r>
          </w:p>
        </w:tc>
      </w:tr>
      <w:tr w:rsidR="00024C0A" w:rsidTr="00024C0A">
        <w:tc>
          <w:tcPr>
            <w:tcW w:w="0" w:type="auto"/>
            <w:vAlign w:val="center"/>
          </w:tcPr>
          <w:p w:rsidR="00024C0A" w:rsidRDefault="00694C0F">
            <w:pPr>
              <w:pStyle w:val="TableBodyText"/>
            </w:pPr>
            <w:r>
              <w:t>InsertOCXDialog</w:t>
            </w:r>
          </w:p>
        </w:tc>
        <w:tc>
          <w:tcPr>
            <w:tcW w:w="0" w:type="auto"/>
            <w:vAlign w:val="center"/>
          </w:tcPr>
          <w:p w:rsidR="00024C0A" w:rsidRDefault="00694C0F">
            <w:pPr>
              <w:pStyle w:val="TableBodyText"/>
            </w:pPr>
            <w:r>
              <w:t>080E</w:t>
            </w:r>
          </w:p>
        </w:tc>
      </w:tr>
      <w:tr w:rsidR="00024C0A" w:rsidTr="00024C0A">
        <w:tc>
          <w:tcPr>
            <w:tcW w:w="0" w:type="auto"/>
            <w:vAlign w:val="center"/>
          </w:tcPr>
          <w:p w:rsidR="00024C0A" w:rsidRDefault="00694C0F">
            <w:pPr>
              <w:pStyle w:val="TableBodyText"/>
            </w:pPr>
            <w:r>
              <w:t>InsertOCXDropdownCombo</w:t>
            </w:r>
          </w:p>
        </w:tc>
        <w:tc>
          <w:tcPr>
            <w:tcW w:w="0" w:type="auto"/>
            <w:vAlign w:val="center"/>
          </w:tcPr>
          <w:p w:rsidR="00024C0A" w:rsidRDefault="00694C0F">
            <w:pPr>
              <w:pStyle w:val="TableBodyText"/>
            </w:pPr>
            <w:r>
              <w:t>1BAD</w:t>
            </w:r>
          </w:p>
        </w:tc>
      </w:tr>
      <w:tr w:rsidR="00024C0A" w:rsidTr="00024C0A">
        <w:tc>
          <w:tcPr>
            <w:tcW w:w="0" w:type="auto"/>
            <w:vAlign w:val="center"/>
          </w:tcPr>
          <w:p w:rsidR="00024C0A" w:rsidRDefault="00694C0F">
            <w:pPr>
              <w:pStyle w:val="TableBodyText"/>
            </w:pPr>
            <w:r>
              <w:t>InsertOCXFrame</w:t>
            </w:r>
          </w:p>
        </w:tc>
        <w:tc>
          <w:tcPr>
            <w:tcW w:w="0" w:type="auto"/>
            <w:vAlign w:val="center"/>
          </w:tcPr>
          <w:p w:rsidR="00024C0A" w:rsidRDefault="00694C0F">
            <w:pPr>
              <w:pStyle w:val="TableBodyText"/>
            </w:pPr>
            <w:r>
              <w:t>1BB1</w:t>
            </w:r>
          </w:p>
        </w:tc>
      </w:tr>
      <w:tr w:rsidR="00024C0A" w:rsidTr="00024C0A">
        <w:tc>
          <w:tcPr>
            <w:tcW w:w="0" w:type="auto"/>
            <w:vAlign w:val="center"/>
          </w:tcPr>
          <w:p w:rsidR="00024C0A" w:rsidRDefault="00694C0F">
            <w:pPr>
              <w:pStyle w:val="TableBodyText"/>
            </w:pPr>
            <w:r>
              <w:t>InsertOCXImage</w:t>
            </w:r>
          </w:p>
        </w:tc>
        <w:tc>
          <w:tcPr>
            <w:tcW w:w="0" w:type="auto"/>
            <w:vAlign w:val="center"/>
          </w:tcPr>
          <w:p w:rsidR="00024C0A" w:rsidRDefault="00694C0F">
            <w:pPr>
              <w:pStyle w:val="TableBodyText"/>
            </w:pPr>
            <w:r>
              <w:t>1BB2</w:t>
            </w:r>
          </w:p>
        </w:tc>
      </w:tr>
      <w:tr w:rsidR="00024C0A" w:rsidTr="00024C0A">
        <w:tc>
          <w:tcPr>
            <w:tcW w:w="0" w:type="auto"/>
            <w:vAlign w:val="center"/>
          </w:tcPr>
          <w:p w:rsidR="00024C0A" w:rsidRDefault="00694C0F">
            <w:pPr>
              <w:pStyle w:val="TableBodyText"/>
            </w:pPr>
            <w:r>
              <w:t>InsertOCXLabel</w:t>
            </w:r>
          </w:p>
        </w:tc>
        <w:tc>
          <w:tcPr>
            <w:tcW w:w="0" w:type="auto"/>
            <w:vAlign w:val="center"/>
          </w:tcPr>
          <w:p w:rsidR="00024C0A" w:rsidRDefault="00694C0F">
            <w:pPr>
              <w:pStyle w:val="TableBodyText"/>
            </w:pPr>
            <w:r>
              <w:t>1BA8</w:t>
            </w:r>
          </w:p>
        </w:tc>
      </w:tr>
      <w:tr w:rsidR="00024C0A" w:rsidTr="00024C0A">
        <w:tc>
          <w:tcPr>
            <w:tcW w:w="0" w:type="auto"/>
            <w:vAlign w:val="center"/>
          </w:tcPr>
          <w:p w:rsidR="00024C0A" w:rsidRDefault="00694C0F">
            <w:pPr>
              <w:pStyle w:val="TableBodyText"/>
            </w:pPr>
            <w:r>
              <w:t>InsertOCXListBox</w:t>
            </w:r>
          </w:p>
        </w:tc>
        <w:tc>
          <w:tcPr>
            <w:tcW w:w="0" w:type="auto"/>
            <w:vAlign w:val="center"/>
          </w:tcPr>
          <w:p w:rsidR="00024C0A" w:rsidRDefault="00694C0F">
            <w:pPr>
              <w:pStyle w:val="TableBodyText"/>
            </w:pPr>
            <w:r>
              <w:t>1BAC</w:t>
            </w:r>
          </w:p>
        </w:tc>
      </w:tr>
      <w:tr w:rsidR="00024C0A" w:rsidTr="00024C0A">
        <w:tc>
          <w:tcPr>
            <w:tcW w:w="0" w:type="auto"/>
            <w:vAlign w:val="center"/>
          </w:tcPr>
          <w:p w:rsidR="00024C0A" w:rsidRDefault="00694C0F">
            <w:pPr>
              <w:pStyle w:val="TableBodyText"/>
            </w:pPr>
            <w:r>
              <w:t>InsertOCXOptionButton</w:t>
            </w:r>
          </w:p>
        </w:tc>
        <w:tc>
          <w:tcPr>
            <w:tcW w:w="0" w:type="auto"/>
            <w:vAlign w:val="center"/>
          </w:tcPr>
          <w:p w:rsidR="00024C0A" w:rsidRDefault="00694C0F">
            <w:pPr>
              <w:pStyle w:val="TableBodyText"/>
            </w:pPr>
            <w:r>
              <w:t>1BAB</w:t>
            </w:r>
          </w:p>
        </w:tc>
      </w:tr>
      <w:tr w:rsidR="00024C0A" w:rsidTr="00024C0A">
        <w:tc>
          <w:tcPr>
            <w:tcW w:w="0" w:type="auto"/>
            <w:vAlign w:val="center"/>
          </w:tcPr>
          <w:p w:rsidR="00024C0A" w:rsidRDefault="00694C0F">
            <w:pPr>
              <w:pStyle w:val="TableBodyText"/>
            </w:pPr>
            <w:r>
              <w:t>InsertOCXScrollbar</w:t>
            </w:r>
          </w:p>
        </w:tc>
        <w:tc>
          <w:tcPr>
            <w:tcW w:w="0" w:type="auto"/>
            <w:vAlign w:val="center"/>
          </w:tcPr>
          <w:p w:rsidR="00024C0A" w:rsidRDefault="00694C0F">
            <w:pPr>
              <w:pStyle w:val="TableBodyText"/>
            </w:pPr>
            <w:r>
              <w:t>1BA7</w:t>
            </w:r>
          </w:p>
        </w:tc>
      </w:tr>
      <w:tr w:rsidR="00024C0A" w:rsidTr="00024C0A">
        <w:tc>
          <w:tcPr>
            <w:tcW w:w="0" w:type="auto"/>
            <w:vAlign w:val="center"/>
          </w:tcPr>
          <w:p w:rsidR="00024C0A" w:rsidRDefault="00694C0F">
            <w:pPr>
              <w:pStyle w:val="TableBodyText"/>
            </w:pPr>
            <w:r>
              <w:t>InsertOCXSpin</w:t>
            </w:r>
          </w:p>
        </w:tc>
        <w:tc>
          <w:tcPr>
            <w:tcW w:w="0" w:type="auto"/>
            <w:vAlign w:val="center"/>
          </w:tcPr>
          <w:p w:rsidR="00024C0A" w:rsidRDefault="00694C0F">
            <w:pPr>
              <w:pStyle w:val="TableBodyText"/>
            </w:pPr>
            <w:r>
              <w:t>1BA6</w:t>
            </w:r>
          </w:p>
        </w:tc>
      </w:tr>
      <w:tr w:rsidR="00024C0A" w:rsidTr="00024C0A">
        <w:tc>
          <w:tcPr>
            <w:tcW w:w="0" w:type="auto"/>
            <w:vAlign w:val="center"/>
          </w:tcPr>
          <w:p w:rsidR="00024C0A" w:rsidRDefault="00694C0F">
            <w:pPr>
              <w:pStyle w:val="TableBodyText"/>
            </w:pPr>
            <w:r>
              <w:t>InsertOCXTextBox</w:t>
            </w:r>
          </w:p>
        </w:tc>
        <w:tc>
          <w:tcPr>
            <w:tcW w:w="0" w:type="auto"/>
            <w:vAlign w:val="center"/>
          </w:tcPr>
          <w:p w:rsidR="00024C0A" w:rsidRDefault="00694C0F">
            <w:pPr>
              <w:pStyle w:val="TableBodyText"/>
            </w:pPr>
            <w:r>
              <w:t>1BA9</w:t>
            </w:r>
          </w:p>
        </w:tc>
      </w:tr>
      <w:tr w:rsidR="00024C0A" w:rsidTr="00024C0A">
        <w:tc>
          <w:tcPr>
            <w:tcW w:w="0" w:type="auto"/>
            <w:vAlign w:val="center"/>
          </w:tcPr>
          <w:p w:rsidR="00024C0A" w:rsidRDefault="00694C0F">
            <w:pPr>
              <w:pStyle w:val="TableBodyText"/>
            </w:pPr>
            <w:r>
              <w:t>InsertOCXToggleButton</w:t>
            </w:r>
          </w:p>
        </w:tc>
        <w:tc>
          <w:tcPr>
            <w:tcW w:w="0" w:type="auto"/>
            <w:vAlign w:val="center"/>
          </w:tcPr>
          <w:p w:rsidR="00024C0A" w:rsidRDefault="00694C0F">
            <w:pPr>
              <w:pStyle w:val="TableBodyText"/>
            </w:pPr>
            <w:r>
              <w:t>1BAE</w:t>
            </w:r>
          </w:p>
        </w:tc>
      </w:tr>
      <w:tr w:rsidR="00024C0A" w:rsidTr="00024C0A">
        <w:tc>
          <w:tcPr>
            <w:tcW w:w="0" w:type="auto"/>
            <w:vAlign w:val="center"/>
          </w:tcPr>
          <w:p w:rsidR="00024C0A" w:rsidRDefault="00694C0F">
            <w:pPr>
              <w:pStyle w:val="TableBodyText"/>
            </w:pPr>
            <w:r>
              <w:t>InsertObject</w:t>
            </w:r>
          </w:p>
        </w:tc>
        <w:tc>
          <w:tcPr>
            <w:tcW w:w="0" w:type="auto"/>
            <w:vAlign w:val="center"/>
          </w:tcPr>
          <w:p w:rsidR="00024C0A" w:rsidRDefault="00694C0F">
            <w:pPr>
              <w:pStyle w:val="TableBodyText"/>
            </w:pPr>
            <w:r>
              <w:t>00AC</w:t>
            </w:r>
          </w:p>
        </w:tc>
      </w:tr>
      <w:tr w:rsidR="00024C0A" w:rsidTr="00024C0A">
        <w:tc>
          <w:tcPr>
            <w:tcW w:w="0" w:type="auto"/>
            <w:vAlign w:val="center"/>
          </w:tcPr>
          <w:p w:rsidR="00024C0A" w:rsidRDefault="00694C0F">
            <w:pPr>
              <w:pStyle w:val="TableBodyText"/>
            </w:pPr>
            <w:r>
              <w:t>InsertOfficeDrawing</w:t>
            </w:r>
          </w:p>
        </w:tc>
        <w:tc>
          <w:tcPr>
            <w:tcW w:w="0" w:type="auto"/>
            <w:vAlign w:val="center"/>
          </w:tcPr>
          <w:p w:rsidR="00024C0A" w:rsidRDefault="00694C0F">
            <w:pPr>
              <w:pStyle w:val="TableBodyText"/>
            </w:pPr>
            <w:r>
              <w:t>032F</w:t>
            </w:r>
          </w:p>
        </w:tc>
      </w:tr>
      <w:tr w:rsidR="00024C0A" w:rsidTr="00024C0A">
        <w:tc>
          <w:tcPr>
            <w:tcW w:w="0" w:type="auto"/>
            <w:vAlign w:val="center"/>
          </w:tcPr>
          <w:p w:rsidR="00024C0A" w:rsidRDefault="00694C0F">
            <w:pPr>
              <w:pStyle w:val="TableBodyText"/>
            </w:pPr>
            <w:r>
              <w:t>InsertPageBreak</w:t>
            </w:r>
          </w:p>
        </w:tc>
        <w:tc>
          <w:tcPr>
            <w:tcW w:w="0" w:type="auto"/>
            <w:vAlign w:val="center"/>
          </w:tcPr>
          <w:p w:rsidR="00024C0A" w:rsidRDefault="00694C0F">
            <w:pPr>
              <w:pStyle w:val="TableBodyText"/>
            </w:pPr>
            <w:r>
              <w:t>033E</w:t>
            </w:r>
          </w:p>
        </w:tc>
      </w:tr>
      <w:tr w:rsidR="00024C0A" w:rsidTr="00024C0A">
        <w:tc>
          <w:tcPr>
            <w:tcW w:w="0" w:type="auto"/>
            <w:vAlign w:val="center"/>
          </w:tcPr>
          <w:p w:rsidR="00024C0A" w:rsidRDefault="00694C0F">
            <w:pPr>
              <w:pStyle w:val="TableBodyText"/>
            </w:pPr>
            <w:r>
              <w:t>InsertPageField</w:t>
            </w:r>
          </w:p>
        </w:tc>
        <w:tc>
          <w:tcPr>
            <w:tcW w:w="0" w:type="auto"/>
            <w:vAlign w:val="center"/>
          </w:tcPr>
          <w:p w:rsidR="00024C0A" w:rsidRDefault="00694C0F">
            <w:pPr>
              <w:pStyle w:val="TableBodyText"/>
            </w:pPr>
            <w:r>
              <w:t>00EF</w:t>
            </w:r>
          </w:p>
        </w:tc>
      </w:tr>
      <w:tr w:rsidR="00024C0A" w:rsidTr="00024C0A">
        <w:tc>
          <w:tcPr>
            <w:tcW w:w="0" w:type="auto"/>
            <w:vAlign w:val="center"/>
          </w:tcPr>
          <w:p w:rsidR="00024C0A" w:rsidRDefault="00694C0F">
            <w:pPr>
              <w:pStyle w:val="TableBodyText"/>
            </w:pPr>
            <w:r>
              <w:t>InsertPageNumbers</w:t>
            </w:r>
          </w:p>
        </w:tc>
        <w:tc>
          <w:tcPr>
            <w:tcW w:w="0" w:type="auto"/>
            <w:vAlign w:val="center"/>
          </w:tcPr>
          <w:p w:rsidR="00024C0A" w:rsidRDefault="00694C0F">
            <w:pPr>
              <w:pStyle w:val="TableBodyText"/>
            </w:pPr>
            <w:r>
              <w:t>0126</w:t>
            </w:r>
          </w:p>
        </w:tc>
      </w:tr>
      <w:tr w:rsidR="00024C0A" w:rsidTr="00024C0A">
        <w:tc>
          <w:tcPr>
            <w:tcW w:w="0" w:type="auto"/>
            <w:vAlign w:val="center"/>
          </w:tcPr>
          <w:p w:rsidR="00024C0A" w:rsidRDefault="00694C0F">
            <w:pPr>
              <w:pStyle w:val="TableBodyText"/>
            </w:pPr>
            <w:r>
              <w:lastRenderedPageBreak/>
              <w:t>InsertPicture</w:t>
            </w:r>
          </w:p>
        </w:tc>
        <w:tc>
          <w:tcPr>
            <w:tcW w:w="0" w:type="auto"/>
            <w:vAlign w:val="center"/>
          </w:tcPr>
          <w:p w:rsidR="00024C0A" w:rsidRDefault="00694C0F">
            <w:pPr>
              <w:pStyle w:val="TableBodyText"/>
            </w:pPr>
            <w:r>
              <w:t>00A3</w:t>
            </w:r>
          </w:p>
        </w:tc>
      </w:tr>
      <w:tr w:rsidR="00024C0A" w:rsidTr="00024C0A">
        <w:tc>
          <w:tcPr>
            <w:tcW w:w="0" w:type="auto"/>
            <w:vAlign w:val="center"/>
          </w:tcPr>
          <w:p w:rsidR="00024C0A" w:rsidRDefault="00694C0F">
            <w:pPr>
              <w:pStyle w:val="TableBodyText"/>
            </w:pPr>
            <w:r>
              <w:t>InsertPicture3</w:t>
            </w:r>
          </w:p>
        </w:tc>
        <w:tc>
          <w:tcPr>
            <w:tcW w:w="0" w:type="auto"/>
            <w:vAlign w:val="center"/>
          </w:tcPr>
          <w:p w:rsidR="00024C0A" w:rsidRDefault="00694C0F">
            <w:pPr>
              <w:pStyle w:val="TableBodyText"/>
            </w:pPr>
            <w:r>
              <w:t>090D</w:t>
            </w:r>
          </w:p>
        </w:tc>
      </w:tr>
      <w:tr w:rsidR="00024C0A" w:rsidTr="00024C0A">
        <w:tc>
          <w:tcPr>
            <w:tcW w:w="0" w:type="auto"/>
            <w:vAlign w:val="center"/>
          </w:tcPr>
          <w:p w:rsidR="00024C0A" w:rsidRDefault="00694C0F">
            <w:pPr>
              <w:pStyle w:val="TableBodyText"/>
            </w:pPr>
            <w:r>
              <w:t>InsertPictureBullet</w:t>
            </w:r>
          </w:p>
        </w:tc>
        <w:tc>
          <w:tcPr>
            <w:tcW w:w="0" w:type="auto"/>
            <w:vAlign w:val="center"/>
          </w:tcPr>
          <w:p w:rsidR="00024C0A" w:rsidRDefault="00694C0F">
            <w:pPr>
              <w:pStyle w:val="TableBodyText"/>
            </w:pPr>
            <w:r>
              <w:t>035C</w:t>
            </w:r>
          </w:p>
        </w:tc>
      </w:tr>
      <w:tr w:rsidR="00024C0A" w:rsidTr="00024C0A">
        <w:tc>
          <w:tcPr>
            <w:tcW w:w="0" w:type="auto"/>
            <w:vAlign w:val="center"/>
          </w:tcPr>
          <w:p w:rsidR="00024C0A" w:rsidRDefault="00694C0F">
            <w:pPr>
              <w:pStyle w:val="TableBodyText"/>
            </w:pPr>
            <w:r>
              <w:t>InsertPolicyBarcode</w:t>
            </w:r>
          </w:p>
        </w:tc>
        <w:tc>
          <w:tcPr>
            <w:tcW w:w="0" w:type="auto"/>
            <w:vAlign w:val="center"/>
          </w:tcPr>
          <w:p w:rsidR="00024C0A" w:rsidRDefault="00694C0F">
            <w:pPr>
              <w:pStyle w:val="TableBodyText"/>
            </w:pPr>
            <w:r>
              <w:t>0787</w:t>
            </w:r>
          </w:p>
        </w:tc>
      </w:tr>
      <w:tr w:rsidR="00024C0A" w:rsidTr="00024C0A">
        <w:tc>
          <w:tcPr>
            <w:tcW w:w="0" w:type="auto"/>
            <w:vAlign w:val="center"/>
          </w:tcPr>
          <w:p w:rsidR="00024C0A" w:rsidRDefault="00694C0F">
            <w:pPr>
              <w:pStyle w:val="TableBodyText"/>
            </w:pPr>
            <w:r>
              <w:t>InsertPolicyLabel</w:t>
            </w:r>
          </w:p>
        </w:tc>
        <w:tc>
          <w:tcPr>
            <w:tcW w:w="0" w:type="auto"/>
            <w:vAlign w:val="center"/>
          </w:tcPr>
          <w:p w:rsidR="00024C0A" w:rsidRDefault="00694C0F">
            <w:pPr>
              <w:pStyle w:val="TableBodyText"/>
            </w:pPr>
            <w:r>
              <w:t>0785</w:t>
            </w:r>
          </w:p>
        </w:tc>
      </w:tr>
      <w:tr w:rsidR="00024C0A" w:rsidTr="00024C0A">
        <w:tc>
          <w:tcPr>
            <w:tcW w:w="0" w:type="auto"/>
            <w:vAlign w:val="center"/>
          </w:tcPr>
          <w:p w:rsidR="00024C0A" w:rsidRDefault="00694C0F">
            <w:pPr>
              <w:pStyle w:val="TableBodyText"/>
            </w:pPr>
            <w:r>
              <w:t>InsertSectionBreak</w:t>
            </w:r>
          </w:p>
        </w:tc>
        <w:tc>
          <w:tcPr>
            <w:tcW w:w="0" w:type="auto"/>
            <w:vAlign w:val="center"/>
          </w:tcPr>
          <w:p w:rsidR="00024C0A" w:rsidRDefault="00694C0F">
            <w:pPr>
              <w:pStyle w:val="TableBodyText"/>
            </w:pPr>
            <w:r>
              <w:t>02C3</w:t>
            </w:r>
          </w:p>
        </w:tc>
      </w:tr>
      <w:tr w:rsidR="00024C0A" w:rsidTr="00024C0A">
        <w:tc>
          <w:tcPr>
            <w:tcW w:w="0" w:type="auto"/>
            <w:vAlign w:val="center"/>
          </w:tcPr>
          <w:p w:rsidR="00024C0A" w:rsidRDefault="00694C0F">
            <w:pPr>
              <w:pStyle w:val="TableBodyText"/>
            </w:pPr>
            <w:r>
              <w:t>InsertSignatureLine</w:t>
            </w:r>
          </w:p>
        </w:tc>
        <w:tc>
          <w:tcPr>
            <w:tcW w:w="0" w:type="auto"/>
            <w:vAlign w:val="center"/>
          </w:tcPr>
          <w:p w:rsidR="00024C0A" w:rsidRDefault="00694C0F">
            <w:pPr>
              <w:pStyle w:val="TableBodyText"/>
            </w:pPr>
            <w:r>
              <w:t>077A</w:t>
            </w:r>
          </w:p>
        </w:tc>
      </w:tr>
      <w:tr w:rsidR="00024C0A" w:rsidTr="00024C0A">
        <w:tc>
          <w:tcPr>
            <w:tcW w:w="0" w:type="auto"/>
            <w:vAlign w:val="center"/>
          </w:tcPr>
          <w:p w:rsidR="00024C0A" w:rsidRDefault="00694C0F">
            <w:pPr>
              <w:pStyle w:val="TableBodyText"/>
            </w:pPr>
            <w:r>
              <w:t>InsertSignatureLineMenuItem</w:t>
            </w:r>
          </w:p>
        </w:tc>
        <w:tc>
          <w:tcPr>
            <w:tcW w:w="0" w:type="auto"/>
            <w:vAlign w:val="center"/>
          </w:tcPr>
          <w:p w:rsidR="00024C0A" w:rsidRDefault="00694C0F">
            <w:pPr>
              <w:pStyle w:val="TableBodyText"/>
            </w:pPr>
            <w:r>
              <w:t>0819</w:t>
            </w:r>
          </w:p>
        </w:tc>
      </w:tr>
      <w:tr w:rsidR="00024C0A" w:rsidTr="00024C0A">
        <w:tc>
          <w:tcPr>
            <w:tcW w:w="0" w:type="auto"/>
            <w:vAlign w:val="center"/>
          </w:tcPr>
          <w:p w:rsidR="00024C0A" w:rsidRDefault="00694C0F">
            <w:pPr>
              <w:pStyle w:val="TableBodyText"/>
            </w:pPr>
            <w:r>
              <w:t>InsertSound</w:t>
            </w:r>
          </w:p>
        </w:tc>
        <w:tc>
          <w:tcPr>
            <w:tcW w:w="0" w:type="auto"/>
            <w:vAlign w:val="center"/>
          </w:tcPr>
          <w:p w:rsidR="00024C0A" w:rsidRDefault="00694C0F">
            <w:pPr>
              <w:pStyle w:val="TableBodyText"/>
            </w:pPr>
            <w:r>
              <w:t>0207</w:t>
            </w:r>
          </w:p>
        </w:tc>
      </w:tr>
      <w:tr w:rsidR="00024C0A" w:rsidTr="00024C0A">
        <w:tc>
          <w:tcPr>
            <w:tcW w:w="0" w:type="auto"/>
            <w:vAlign w:val="center"/>
          </w:tcPr>
          <w:p w:rsidR="00024C0A" w:rsidRDefault="00694C0F">
            <w:pPr>
              <w:pStyle w:val="TableBodyText"/>
            </w:pPr>
            <w:r>
              <w:t>InsertSoundComment</w:t>
            </w:r>
          </w:p>
        </w:tc>
        <w:tc>
          <w:tcPr>
            <w:tcW w:w="0" w:type="auto"/>
            <w:vAlign w:val="center"/>
          </w:tcPr>
          <w:p w:rsidR="00024C0A" w:rsidRDefault="00694C0F">
            <w:pPr>
              <w:pStyle w:val="TableBodyText"/>
            </w:pPr>
            <w:r>
              <w:t>05A5</w:t>
            </w:r>
          </w:p>
        </w:tc>
      </w:tr>
      <w:tr w:rsidR="00024C0A" w:rsidTr="00024C0A">
        <w:tc>
          <w:tcPr>
            <w:tcW w:w="0" w:type="auto"/>
            <w:vAlign w:val="center"/>
          </w:tcPr>
          <w:p w:rsidR="00024C0A" w:rsidRDefault="00694C0F">
            <w:pPr>
              <w:pStyle w:val="TableBodyText"/>
            </w:pPr>
            <w:r>
              <w:t>InsertSpike</w:t>
            </w:r>
          </w:p>
        </w:tc>
        <w:tc>
          <w:tcPr>
            <w:tcW w:w="0" w:type="auto"/>
            <w:vAlign w:val="center"/>
          </w:tcPr>
          <w:p w:rsidR="00024C0A" w:rsidRDefault="00694C0F">
            <w:pPr>
              <w:pStyle w:val="TableBodyText"/>
            </w:pPr>
            <w:r>
              <w:t>0010</w:t>
            </w:r>
          </w:p>
        </w:tc>
      </w:tr>
      <w:tr w:rsidR="00024C0A" w:rsidTr="00024C0A">
        <w:tc>
          <w:tcPr>
            <w:tcW w:w="0" w:type="auto"/>
            <w:vAlign w:val="center"/>
          </w:tcPr>
          <w:p w:rsidR="00024C0A" w:rsidRDefault="00694C0F">
            <w:pPr>
              <w:pStyle w:val="TableBodyText"/>
            </w:pPr>
            <w:r>
              <w:t>InsertStyleSeparator</w:t>
            </w:r>
          </w:p>
        </w:tc>
        <w:tc>
          <w:tcPr>
            <w:tcW w:w="0" w:type="auto"/>
            <w:vAlign w:val="center"/>
          </w:tcPr>
          <w:p w:rsidR="00024C0A" w:rsidRDefault="00694C0F">
            <w:pPr>
              <w:pStyle w:val="TableBodyText"/>
            </w:pPr>
            <w:r>
              <w:t>0576</w:t>
            </w:r>
          </w:p>
        </w:tc>
      </w:tr>
      <w:tr w:rsidR="00024C0A" w:rsidTr="00024C0A">
        <w:tc>
          <w:tcPr>
            <w:tcW w:w="0" w:type="auto"/>
            <w:vAlign w:val="center"/>
          </w:tcPr>
          <w:p w:rsidR="00024C0A" w:rsidRDefault="00694C0F">
            <w:pPr>
              <w:pStyle w:val="TableBodyText"/>
            </w:pPr>
            <w:r>
              <w:t>InsertSubdocument</w:t>
            </w:r>
          </w:p>
        </w:tc>
        <w:tc>
          <w:tcPr>
            <w:tcW w:w="0" w:type="auto"/>
            <w:vAlign w:val="center"/>
          </w:tcPr>
          <w:p w:rsidR="00024C0A" w:rsidRDefault="00694C0F">
            <w:pPr>
              <w:pStyle w:val="TableBodyText"/>
            </w:pPr>
            <w:r>
              <w:t>0247</w:t>
            </w:r>
          </w:p>
        </w:tc>
      </w:tr>
      <w:tr w:rsidR="00024C0A" w:rsidTr="00024C0A">
        <w:tc>
          <w:tcPr>
            <w:tcW w:w="0" w:type="auto"/>
            <w:vAlign w:val="center"/>
          </w:tcPr>
          <w:p w:rsidR="00024C0A" w:rsidRDefault="00694C0F">
            <w:pPr>
              <w:pStyle w:val="TableBodyText"/>
            </w:pPr>
            <w:r>
              <w:t>InsertSymbol</w:t>
            </w:r>
          </w:p>
        </w:tc>
        <w:tc>
          <w:tcPr>
            <w:tcW w:w="0" w:type="auto"/>
            <w:vAlign w:val="center"/>
          </w:tcPr>
          <w:p w:rsidR="00024C0A" w:rsidRDefault="00694C0F">
            <w:pPr>
              <w:pStyle w:val="TableBodyText"/>
            </w:pPr>
            <w:r>
              <w:t>00A2</w:t>
            </w:r>
          </w:p>
        </w:tc>
      </w:tr>
      <w:tr w:rsidR="00024C0A" w:rsidTr="00024C0A">
        <w:tc>
          <w:tcPr>
            <w:tcW w:w="0" w:type="auto"/>
            <w:vAlign w:val="center"/>
          </w:tcPr>
          <w:p w:rsidR="00024C0A" w:rsidRDefault="00694C0F">
            <w:pPr>
              <w:pStyle w:val="TableBodyText"/>
            </w:pPr>
            <w:r>
              <w:t>InsertTableGallery</w:t>
            </w:r>
          </w:p>
        </w:tc>
        <w:tc>
          <w:tcPr>
            <w:tcW w:w="0" w:type="auto"/>
            <w:vAlign w:val="center"/>
          </w:tcPr>
          <w:p w:rsidR="00024C0A" w:rsidRDefault="00694C0F">
            <w:pPr>
              <w:pStyle w:val="TableBodyText"/>
            </w:pPr>
            <w:r>
              <w:t>08D1</w:t>
            </w:r>
          </w:p>
        </w:tc>
      </w:tr>
      <w:tr w:rsidR="00024C0A" w:rsidTr="00024C0A">
        <w:tc>
          <w:tcPr>
            <w:tcW w:w="0" w:type="auto"/>
            <w:vAlign w:val="center"/>
          </w:tcPr>
          <w:p w:rsidR="00024C0A" w:rsidRDefault="00694C0F">
            <w:pPr>
              <w:pStyle w:val="TableBodyText"/>
            </w:pPr>
            <w:r>
              <w:t>InsertTableOfAuthorities</w:t>
            </w:r>
          </w:p>
        </w:tc>
        <w:tc>
          <w:tcPr>
            <w:tcW w:w="0" w:type="auto"/>
            <w:vAlign w:val="center"/>
          </w:tcPr>
          <w:p w:rsidR="00024C0A" w:rsidRDefault="00694C0F">
            <w:pPr>
              <w:pStyle w:val="TableBodyText"/>
            </w:pPr>
            <w:r>
              <w:t>01D7</w:t>
            </w:r>
          </w:p>
        </w:tc>
      </w:tr>
      <w:tr w:rsidR="00024C0A" w:rsidTr="00024C0A">
        <w:tc>
          <w:tcPr>
            <w:tcW w:w="0" w:type="auto"/>
            <w:vAlign w:val="center"/>
          </w:tcPr>
          <w:p w:rsidR="00024C0A" w:rsidRDefault="00694C0F">
            <w:pPr>
              <w:pStyle w:val="TableBodyText"/>
            </w:pPr>
            <w:r>
              <w:t>InsertTableOfContents</w:t>
            </w:r>
          </w:p>
        </w:tc>
        <w:tc>
          <w:tcPr>
            <w:tcW w:w="0" w:type="auto"/>
            <w:vAlign w:val="center"/>
          </w:tcPr>
          <w:p w:rsidR="00024C0A" w:rsidRDefault="00694C0F">
            <w:pPr>
              <w:pStyle w:val="TableBodyText"/>
            </w:pPr>
            <w:r>
              <w:t>00AB</w:t>
            </w:r>
          </w:p>
        </w:tc>
      </w:tr>
      <w:tr w:rsidR="00024C0A" w:rsidTr="00024C0A">
        <w:tc>
          <w:tcPr>
            <w:tcW w:w="0" w:type="auto"/>
            <w:vAlign w:val="center"/>
          </w:tcPr>
          <w:p w:rsidR="00024C0A" w:rsidRDefault="00694C0F">
            <w:pPr>
              <w:pStyle w:val="TableBodyText"/>
            </w:pPr>
            <w:r>
              <w:t>InsertTableOfContentsMenu</w:t>
            </w:r>
          </w:p>
        </w:tc>
        <w:tc>
          <w:tcPr>
            <w:tcW w:w="0" w:type="auto"/>
            <w:vAlign w:val="center"/>
          </w:tcPr>
          <w:p w:rsidR="00024C0A" w:rsidRDefault="00694C0F">
            <w:pPr>
              <w:pStyle w:val="TableBodyText"/>
            </w:pPr>
            <w:r>
              <w:t>0923</w:t>
            </w:r>
          </w:p>
        </w:tc>
      </w:tr>
      <w:tr w:rsidR="00024C0A" w:rsidTr="00024C0A">
        <w:tc>
          <w:tcPr>
            <w:tcW w:w="0" w:type="auto"/>
            <w:vAlign w:val="center"/>
          </w:tcPr>
          <w:p w:rsidR="00024C0A" w:rsidRDefault="00694C0F">
            <w:pPr>
              <w:pStyle w:val="TableBodyText"/>
            </w:pPr>
            <w:r>
              <w:t>InsertTableOfFigures</w:t>
            </w:r>
          </w:p>
        </w:tc>
        <w:tc>
          <w:tcPr>
            <w:tcW w:w="0" w:type="auto"/>
            <w:vAlign w:val="center"/>
          </w:tcPr>
          <w:p w:rsidR="00024C0A" w:rsidRDefault="00694C0F">
            <w:pPr>
              <w:pStyle w:val="TableBodyText"/>
            </w:pPr>
            <w:r>
              <w:t>01D8</w:t>
            </w:r>
          </w:p>
        </w:tc>
      </w:tr>
      <w:tr w:rsidR="00024C0A" w:rsidTr="00024C0A">
        <w:tc>
          <w:tcPr>
            <w:tcW w:w="0" w:type="auto"/>
            <w:vAlign w:val="center"/>
          </w:tcPr>
          <w:p w:rsidR="00024C0A" w:rsidRDefault="00694C0F">
            <w:pPr>
              <w:pStyle w:val="TableBodyText"/>
            </w:pPr>
            <w:r>
              <w:t>InsertTimeField</w:t>
            </w:r>
          </w:p>
        </w:tc>
        <w:tc>
          <w:tcPr>
            <w:tcW w:w="0" w:type="auto"/>
            <w:vAlign w:val="center"/>
          </w:tcPr>
          <w:p w:rsidR="00024C0A" w:rsidRDefault="00694C0F">
            <w:pPr>
              <w:pStyle w:val="TableBodyText"/>
            </w:pPr>
            <w:r>
              <w:t>00F1</w:t>
            </w:r>
          </w:p>
        </w:tc>
      </w:tr>
      <w:tr w:rsidR="00024C0A" w:rsidTr="00024C0A">
        <w:tc>
          <w:tcPr>
            <w:tcW w:w="0" w:type="auto"/>
            <w:vAlign w:val="center"/>
          </w:tcPr>
          <w:p w:rsidR="00024C0A" w:rsidRDefault="00694C0F">
            <w:pPr>
              <w:pStyle w:val="TableBodyText"/>
            </w:pPr>
            <w:r>
              <w:t>InsertVerticalFrame</w:t>
            </w:r>
          </w:p>
        </w:tc>
        <w:tc>
          <w:tcPr>
            <w:tcW w:w="0" w:type="auto"/>
            <w:vAlign w:val="center"/>
          </w:tcPr>
          <w:p w:rsidR="00024C0A" w:rsidRDefault="00694C0F">
            <w:pPr>
              <w:pStyle w:val="TableBodyText"/>
            </w:pPr>
            <w:r>
              <w:t>0313</w:t>
            </w:r>
          </w:p>
        </w:tc>
      </w:tr>
      <w:tr w:rsidR="00024C0A" w:rsidTr="00024C0A">
        <w:tc>
          <w:tcPr>
            <w:tcW w:w="0" w:type="auto"/>
            <w:vAlign w:val="center"/>
          </w:tcPr>
          <w:p w:rsidR="00024C0A" w:rsidRDefault="00694C0F">
            <w:pPr>
              <w:pStyle w:val="TableBodyText"/>
            </w:pPr>
            <w:r>
              <w:t>InsertWebComponent</w:t>
            </w:r>
          </w:p>
        </w:tc>
        <w:tc>
          <w:tcPr>
            <w:tcW w:w="0" w:type="auto"/>
            <w:vAlign w:val="center"/>
          </w:tcPr>
          <w:p w:rsidR="00024C0A" w:rsidRDefault="00694C0F">
            <w:pPr>
              <w:pStyle w:val="TableBodyText"/>
            </w:pPr>
            <w:r>
              <w:t>052C</w:t>
            </w:r>
          </w:p>
        </w:tc>
      </w:tr>
      <w:tr w:rsidR="00024C0A" w:rsidTr="00024C0A">
        <w:tc>
          <w:tcPr>
            <w:tcW w:w="0" w:type="auto"/>
            <w:vAlign w:val="center"/>
          </w:tcPr>
          <w:p w:rsidR="00024C0A" w:rsidRDefault="00694C0F">
            <w:pPr>
              <w:pStyle w:val="TableBodyText"/>
            </w:pPr>
            <w:r>
              <w:t>InsertWordArt</w:t>
            </w:r>
          </w:p>
        </w:tc>
        <w:tc>
          <w:tcPr>
            <w:tcW w:w="0" w:type="auto"/>
            <w:vAlign w:val="center"/>
          </w:tcPr>
          <w:p w:rsidR="00024C0A" w:rsidRDefault="00694C0F">
            <w:pPr>
              <w:pStyle w:val="TableBodyText"/>
            </w:pPr>
            <w:r>
              <w:t>02AA</w:t>
            </w:r>
          </w:p>
        </w:tc>
      </w:tr>
      <w:tr w:rsidR="00024C0A" w:rsidTr="00024C0A">
        <w:tc>
          <w:tcPr>
            <w:tcW w:w="0" w:type="auto"/>
            <w:vAlign w:val="center"/>
          </w:tcPr>
          <w:p w:rsidR="00024C0A" w:rsidRDefault="00694C0F">
            <w:pPr>
              <w:pStyle w:val="TableBodyText"/>
            </w:pPr>
            <w:r>
              <w:t>InsertWordArtGallery</w:t>
            </w:r>
          </w:p>
        </w:tc>
        <w:tc>
          <w:tcPr>
            <w:tcW w:w="0" w:type="auto"/>
            <w:vAlign w:val="center"/>
          </w:tcPr>
          <w:p w:rsidR="00024C0A" w:rsidRDefault="00694C0F">
            <w:pPr>
              <w:pStyle w:val="TableBodyText"/>
            </w:pPr>
            <w:r>
              <w:t>08CF</w:t>
            </w:r>
          </w:p>
        </w:tc>
      </w:tr>
      <w:tr w:rsidR="00024C0A" w:rsidTr="00024C0A">
        <w:tc>
          <w:tcPr>
            <w:tcW w:w="0" w:type="auto"/>
            <w:vAlign w:val="center"/>
          </w:tcPr>
          <w:p w:rsidR="00024C0A" w:rsidRDefault="00694C0F">
            <w:pPr>
              <w:pStyle w:val="TableBodyText"/>
            </w:pPr>
            <w:r>
              <w:t>Italic</w:t>
            </w:r>
          </w:p>
        </w:tc>
        <w:tc>
          <w:tcPr>
            <w:tcW w:w="0" w:type="auto"/>
            <w:vAlign w:val="center"/>
          </w:tcPr>
          <w:p w:rsidR="00024C0A" w:rsidRDefault="00694C0F">
            <w:pPr>
              <w:pStyle w:val="TableBodyText"/>
            </w:pPr>
            <w:r>
              <w:t>002E</w:t>
            </w:r>
          </w:p>
        </w:tc>
      </w:tr>
      <w:tr w:rsidR="00024C0A" w:rsidTr="00024C0A">
        <w:tc>
          <w:tcPr>
            <w:tcW w:w="0" w:type="auto"/>
            <w:vAlign w:val="center"/>
          </w:tcPr>
          <w:p w:rsidR="00024C0A" w:rsidRDefault="00694C0F">
            <w:pPr>
              <w:pStyle w:val="TableBodyText"/>
            </w:pPr>
            <w:r>
              <w:t>ItalicRun</w:t>
            </w:r>
          </w:p>
        </w:tc>
        <w:tc>
          <w:tcPr>
            <w:tcW w:w="0" w:type="auto"/>
            <w:vAlign w:val="center"/>
          </w:tcPr>
          <w:p w:rsidR="00024C0A" w:rsidRDefault="00694C0F">
            <w:pPr>
              <w:pStyle w:val="TableBodyText"/>
            </w:pPr>
            <w:r>
              <w:t>0425</w:t>
            </w:r>
          </w:p>
        </w:tc>
      </w:tr>
      <w:tr w:rsidR="00024C0A" w:rsidTr="00024C0A">
        <w:tc>
          <w:tcPr>
            <w:tcW w:w="0" w:type="auto"/>
            <w:vAlign w:val="center"/>
          </w:tcPr>
          <w:p w:rsidR="00024C0A" w:rsidRDefault="00694C0F">
            <w:pPr>
              <w:pStyle w:val="TableBodyText"/>
            </w:pPr>
            <w:r>
              <w:t>JapaneseGreetingClosingSentence</w:t>
            </w:r>
          </w:p>
        </w:tc>
        <w:tc>
          <w:tcPr>
            <w:tcW w:w="0" w:type="auto"/>
            <w:vAlign w:val="center"/>
          </w:tcPr>
          <w:p w:rsidR="00024C0A" w:rsidRDefault="00694C0F">
            <w:pPr>
              <w:pStyle w:val="TableBodyText"/>
            </w:pPr>
            <w:r>
              <w:t>04E2</w:t>
            </w:r>
          </w:p>
        </w:tc>
      </w:tr>
      <w:tr w:rsidR="00024C0A" w:rsidTr="00024C0A">
        <w:tc>
          <w:tcPr>
            <w:tcW w:w="0" w:type="auto"/>
            <w:vAlign w:val="center"/>
          </w:tcPr>
          <w:p w:rsidR="00024C0A" w:rsidRDefault="00694C0F">
            <w:pPr>
              <w:pStyle w:val="TableBodyText"/>
            </w:pPr>
            <w:r>
              <w:t>JapaneseGreetingFlyout</w:t>
            </w:r>
          </w:p>
        </w:tc>
        <w:tc>
          <w:tcPr>
            <w:tcW w:w="0" w:type="auto"/>
            <w:vAlign w:val="center"/>
          </w:tcPr>
          <w:p w:rsidR="00024C0A" w:rsidRDefault="00694C0F">
            <w:pPr>
              <w:pStyle w:val="TableBodyText"/>
            </w:pPr>
            <w:r>
              <w:t>08A7</w:t>
            </w:r>
          </w:p>
        </w:tc>
      </w:tr>
      <w:tr w:rsidR="00024C0A" w:rsidTr="00024C0A">
        <w:tc>
          <w:tcPr>
            <w:tcW w:w="0" w:type="auto"/>
            <w:vAlign w:val="center"/>
          </w:tcPr>
          <w:p w:rsidR="00024C0A" w:rsidRDefault="00694C0F">
            <w:pPr>
              <w:pStyle w:val="TableBodyText"/>
            </w:pPr>
            <w:r>
              <w:t>JapaneseGreetingOpeningSentence</w:t>
            </w:r>
          </w:p>
        </w:tc>
        <w:tc>
          <w:tcPr>
            <w:tcW w:w="0" w:type="auto"/>
            <w:vAlign w:val="center"/>
          </w:tcPr>
          <w:p w:rsidR="00024C0A" w:rsidRDefault="00694C0F">
            <w:pPr>
              <w:pStyle w:val="TableBodyText"/>
            </w:pPr>
            <w:r>
              <w:t>04E1</w:t>
            </w:r>
          </w:p>
        </w:tc>
      </w:tr>
      <w:tr w:rsidR="00024C0A" w:rsidTr="00024C0A">
        <w:tc>
          <w:tcPr>
            <w:tcW w:w="0" w:type="auto"/>
            <w:vAlign w:val="center"/>
          </w:tcPr>
          <w:p w:rsidR="00024C0A" w:rsidRDefault="00694C0F">
            <w:pPr>
              <w:pStyle w:val="TableBodyText"/>
            </w:pPr>
            <w:r>
              <w:t>JapaneseGreetingPreviousGreeting</w:t>
            </w:r>
          </w:p>
        </w:tc>
        <w:tc>
          <w:tcPr>
            <w:tcW w:w="0" w:type="auto"/>
            <w:vAlign w:val="center"/>
          </w:tcPr>
          <w:p w:rsidR="00024C0A" w:rsidRDefault="00694C0F">
            <w:pPr>
              <w:pStyle w:val="TableBodyText"/>
            </w:pPr>
            <w:r>
              <w:t>04E3</w:t>
            </w:r>
          </w:p>
        </w:tc>
      </w:tr>
      <w:tr w:rsidR="00024C0A" w:rsidTr="00024C0A">
        <w:tc>
          <w:tcPr>
            <w:tcW w:w="0" w:type="auto"/>
            <w:vAlign w:val="center"/>
          </w:tcPr>
          <w:p w:rsidR="00024C0A" w:rsidRDefault="00694C0F">
            <w:pPr>
              <w:pStyle w:val="TableBodyText"/>
            </w:pPr>
            <w:r>
              <w:t>JoinToPreviousList</w:t>
            </w:r>
          </w:p>
        </w:tc>
        <w:tc>
          <w:tcPr>
            <w:tcW w:w="0" w:type="auto"/>
            <w:vAlign w:val="center"/>
          </w:tcPr>
          <w:p w:rsidR="00024C0A" w:rsidRDefault="00694C0F">
            <w:pPr>
              <w:pStyle w:val="TableBodyText"/>
            </w:pPr>
            <w:r>
              <w:t>0771</w:t>
            </w:r>
          </w:p>
        </w:tc>
      </w:tr>
      <w:tr w:rsidR="00024C0A" w:rsidTr="00024C0A">
        <w:tc>
          <w:tcPr>
            <w:tcW w:w="0" w:type="auto"/>
            <w:vAlign w:val="center"/>
          </w:tcPr>
          <w:p w:rsidR="00024C0A" w:rsidRDefault="00694C0F">
            <w:pPr>
              <w:pStyle w:val="TableBodyText"/>
            </w:pPr>
            <w:r>
              <w:t>JumpToHeading</w:t>
            </w:r>
          </w:p>
        </w:tc>
        <w:tc>
          <w:tcPr>
            <w:tcW w:w="0" w:type="auto"/>
            <w:vAlign w:val="center"/>
          </w:tcPr>
          <w:p w:rsidR="00024C0A" w:rsidRDefault="00694C0F">
            <w:pPr>
              <w:pStyle w:val="TableBodyText"/>
            </w:pPr>
            <w:r>
              <w:t>05D1</w:t>
            </w:r>
          </w:p>
        </w:tc>
      </w:tr>
      <w:tr w:rsidR="00024C0A" w:rsidTr="00024C0A">
        <w:tc>
          <w:tcPr>
            <w:tcW w:w="0" w:type="auto"/>
            <w:vAlign w:val="center"/>
          </w:tcPr>
          <w:p w:rsidR="00024C0A" w:rsidRDefault="00694C0F">
            <w:pPr>
              <w:pStyle w:val="TableBodyText"/>
            </w:pPr>
            <w:r>
              <w:lastRenderedPageBreak/>
              <w:t>JumpToScrn</w:t>
            </w:r>
          </w:p>
        </w:tc>
        <w:tc>
          <w:tcPr>
            <w:tcW w:w="0" w:type="auto"/>
            <w:vAlign w:val="center"/>
          </w:tcPr>
          <w:p w:rsidR="00024C0A" w:rsidRDefault="00694C0F">
            <w:pPr>
              <w:pStyle w:val="TableBodyText"/>
            </w:pPr>
            <w:r>
              <w:t>05D0</w:t>
            </w:r>
          </w:p>
        </w:tc>
      </w:tr>
      <w:tr w:rsidR="00024C0A" w:rsidTr="00024C0A">
        <w:tc>
          <w:tcPr>
            <w:tcW w:w="0" w:type="auto"/>
            <w:vAlign w:val="center"/>
          </w:tcPr>
          <w:p w:rsidR="00024C0A" w:rsidRDefault="00694C0F">
            <w:pPr>
              <w:pStyle w:val="TableBodyText"/>
            </w:pPr>
            <w:r>
              <w:t>JustifyFlyout</w:t>
            </w:r>
          </w:p>
        </w:tc>
        <w:tc>
          <w:tcPr>
            <w:tcW w:w="0" w:type="auto"/>
            <w:vAlign w:val="center"/>
          </w:tcPr>
          <w:p w:rsidR="00024C0A" w:rsidRDefault="00694C0F">
            <w:pPr>
              <w:pStyle w:val="TableBodyText"/>
            </w:pPr>
            <w:r>
              <w:t>08A5</w:t>
            </w:r>
          </w:p>
        </w:tc>
      </w:tr>
      <w:tr w:rsidR="00024C0A" w:rsidTr="00024C0A">
        <w:tc>
          <w:tcPr>
            <w:tcW w:w="0" w:type="auto"/>
            <w:vAlign w:val="center"/>
          </w:tcPr>
          <w:p w:rsidR="00024C0A" w:rsidRDefault="00694C0F">
            <w:pPr>
              <w:pStyle w:val="TableBodyText"/>
            </w:pPr>
            <w:r>
              <w:t>JustifyPara</w:t>
            </w:r>
          </w:p>
        </w:tc>
        <w:tc>
          <w:tcPr>
            <w:tcW w:w="0" w:type="auto"/>
            <w:vAlign w:val="center"/>
          </w:tcPr>
          <w:p w:rsidR="00024C0A" w:rsidRDefault="00694C0F">
            <w:pPr>
              <w:pStyle w:val="TableBodyText"/>
            </w:pPr>
            <w:r>
              <w:t>003D</w:t>
            </w:r>
          </w:p>
        </w:tc>
      </w:tr>
      <w:tr w:rsidR="00024C0A" w:rsidTr="00024C0A">
        <w:tc>
          <w:tcPr>
            <w:tcW w:w="0" w:type="auto"/>
            <w:vAlign w:val="center"/>
          </w:tcPr>
          <w:p w:rsidR="00024C0A" w:rsidRDefault="00694C0F">
            <w:pPr>
              <w:pStyle w:val="TableBodyText"/>
            </w:pPr>
            <w:r>
              <w:t>JustifyParaHigh</w:t>
            </w:r>
          </w:p>
        </w:tc>
        <w:tc>
          <w:tcPr>
            <w:tcW w:w="0" w:type="auto"/>
            <w:vAlign w:val="center"/>
          </w:tcPr>
          <w:p w:rsidR="00024C0A" w:rsidRDefault="00694C0F">
            <w:pPr>
              <w:pStyle w:val="TableBodyText"/>
            </w:pPr>
            <w:r>
              <w:t>08AB</w:t>
            </w:r>
          </w:p>
        </w:tc>
      </w:tr>
      <w:tr w:rsidR="00024C0A" w:rsidTr="00024C0A">
        <w:tc>
          <w:tcPr>
            <w:tcW w:w="0" w:type="auto"/>
            <w:vAlign w:val="center"/>
          </w:tcPr>
          <w:p w:rsidR="00024C0A" w:rsidRDefault="00694C0F">
            <w:pPr>
              <w:pStyle w:val="TableBodyText"/>
            </w:pPr>
            <w:r>
              <w:t>JustifyParaLow</w:t>
            </w:r>
          </w:p>
        </w:tc>
        <w:tc>
          <w:tcPr>
            <w:tcW w:w="0" w:type="auto"/>
            <w:vAlign w:val="center"/>
          </w:tcPr>
          <w:p w:rsidR="00024C0A" w:rsidRDefault="00694C0F">
            <w:pPr>
              <w:pStyle w:val="TableBodyText"/>
            </w:pPr>
            <w:r>
              <w:t>08A9</w:t>
            </w:r>
          </w:p>
        </w:tc>
      </w:tr>
      <w:tr w:rsidR="00024C0A" w:rsidTr="00024C0A">
        <w:tc>
          <w:tcPr>
            <w:tcW w:w="0" w:type="auto"/>
            <w:vAlign w:val="center"/>
          </w:tcPr>
          <w:p w:rsidR="00024C0A" w:rsidRDefault="00694C0F">
            <w:pPr>
              <w:pStyle w:val="TableBodyText"/>
            </w:pPr>
            <w:r>
              <w:t>JustifyParaMedium</w:t>
            </w:r>
          </w:p>
        </w:tc>
        <w:tc>
          <w:tcPr>
            <w:tcW w:w="0" w:type="auto"/>
            <w:vAlign w:val="center"/>
          </w:tcPr>
          <w:p w:rsidR="00024C0A" w:rsidRDefault="00694C0F">
            <w:pPr>
              <w:pStyle w:val="TableBodyText"/>
            </w:pPr>
            <w:r>
              <w:t>08AA</w:t>
            </w:r>
          </w:p>
        </w:tc>
      </w:tr>
      <w:tr w:rsidR="00024C0A" w:rsidTr="00024C0A">
        <w:tc>
          <w:tcPr>
            <w:tcW w:w="0" w:type="auto"/>
            <w:vAlign w:val="center"/>
          </w:tcPr>
          <w:p w:rsidR="00024C0A" w:rsidRDefault="00694C0F">
            <w:pPr>
              <w:pStyle w:val="TableBodyText"/>
            </w:pPr>
            <w:r>
              <w:t>JustifyParaSpecial</w:t>
            </w:r>
          </w:p>
        </w:tc>
        <w:tc>
          <w:tcPr>
            <w:tcW w:w="0" w:type="auto"/>
            <w:vAlign w:val="center"/>
          </w:tcPr>
          <w:p w:rsidR="00024C0A" w:rsidRDefault="00694C0F">
            <w:pPr>
              <w:pStyle w:val="TableBodyText"/>
            </w:pPr>
            <w:r>
              <w:t>08A8</w:t>
            </w:r>
          </w:p>
        </w:tc>
      </w:tr>
      <w:tr w:rsidR="00024C0A" w:rsidTr="00024C0A">
        <w:tc>
          <w:tcPr>
            <w:tcW w:w="0" w:type="auto"/>
            <w:vAlign w:val="center"/>
          </w:tcPr>
          <w:p w:rsidR="00024C0A" w:rsidRDefault="00694C0F">
            <w:pPr>
              <w:pStyle w:val="TableBodyText"/>
            </w:pPr>
            <w:r>
              <w:t>JustifyParaThai</w:t>
            </w:r>
          </w:p>
        </w:tc>
        <w:tc>
          <w:tcPr>
            <w:tcW w:w="0" w:type="auto"/>
            <w:vAlign w:val="center"/>
          </w:tcPr>
          <w:p w:rsidR="00024C0A" w:rsidRDefault="00694C0F">
            <w:pPr>
              <w:pStyle w:val="TableBodyText"/>
            </w:pPr>
            <w:r>
              <w:t>08AC</w:t>
            </w:r>
          </w:p>
        </w:tc>
      </w:tr>
      <w:tr w:rsidR="00024C0A" w:rsidTr="00024C0A">
        <w:tc>
          <w:tcPr>
            <w:tcW w:w="0" w:type="auto"/>
            <w:vAlign w:val="center"/>
          </w:tcPr>
          <w:p w:rsidR="00024C0A" w:rsidRDefault="00694C0F">
            <w:pPr>
              <w:pStyle w:val="TableBodyText"/>
            </w:pPr>
            <w:r>
              <w:t>LTRMacroDialogs</w:t>
            </w:r>
          </w:p>
        </w:tc>
        <w:tc>
          <w:tcPr>
            <w:tcW w:w="0" w:type="auto"/>
            <w:vAlign w:val="center"/>
          </w:tcPr>
          <w:p w:rsidR="00024C0A" w:rsidRDefault="00694C0F">
            <w:pPr>
              <w:pStyle w:val="TableBodyText"/>
            </w:pPr>
            <w:r>
              <w:t>0429</w:t>
            </w:r>
          </w:p>
        </w:tc>
      </w:tr>
      <w:tr w:rsidR="00024C0A" w:rsidTr="00024C0A">
        <w:tc>
          <w:tcPr>
            <w:tcW w:w="0" w:type="auto"/>
            <w:vAlign w:val="center"/>
          </w:tcPr>
          <w:p w:rsidR="00024C0A" w:rsidRDefault="00694C0F">
            <w:pPr>
              <w:pStyle w:val="TableBodyText"/>
            </w:pPr>
            <w:r>
              <w:t>LabelOptions</w:t>
            </w:r>
          </w:p>
        </w:tc>
        <w:tc>
          <w:tcPr>
            <w:tcW w:w="0" w:type="auto"/>
            <w:vAlign w:val="center"/>
          </w:tcPr>
          <w:p w:rsidR="00024C0A" w:rsidRDefault="00694C0F">
            <w:pPr>
              <w:pStyle w:val="TableBodyText"/>
            </w:pPr>
            <w:r>
              <w:t>0557</w:t>
            </w:r>
          </w:p>
        </w:tc>
      </w:tr>
      <w:tr w:rsidR="00024C0A" w:rsidTr="00024C0A">
        <w:tc>
          <w:tcPr>
            <w:tcW w:w="0" w:type="auto"/>
            <w:vAlign w:val="center"/>
          </w:tcPr>
          <w:p w:rsidR="00024C0A" w:rsidRDefault="00694C0F">
            <w:pPr>
              <w:pStyle w:val="TableBodyText"/>
            </w:pPr>
            <w:r>
              <w:t>Language</w:t>
            </w:r>
          </w:p>
        </w:tc>
        <w:tc>
          <w:tcPr>
            <w:tcW w:w="0" w:type="auto"/>
            <w:vAlign w:val="center"/>
          </w:tcPr>
          <w:p w:rsidR="00024C0A" w:rsidRDefault="00694C0F">
            <w:pPr>
              <w:pStyle w:val="TableBodyText"/>
            </w:pPr>
            <w:r>
              <w:t>0358</w:t>
            </w:r>
          </w:p>
        </w:tc>
      </w:tr>
      <w:tr w:rsidR="00024C0A" w:rsidTr="00024C0A">
        <w:tc>
          <w:tcPr>
            <w:tcW w:w="0" w:type="auto"/>
            <w:vAlign w:val="center"/>
          </w:tcPr>
          <w:p w:rsidR="00024C0A" w:rsidRDefault="00694C0F">
            <w:pPr>
              <w:pStyle w:val="TableBodyText"/>
            </w:pPr>
            <w:r>
              <w:t>LearnWords</w:t>
            </w:r>
          </w:p>
        </w:tc>
        <w:tc>
          <w:tcPr>
            <w:tcW w:w="0" w:type="auto"/>
            <w:vAlign w:val="center"/>
          </w:tcPr>
          <w:p w:rsidR="00024C0A" w:rsidRDefault="00694C0F">
            <w:pPr>
              <w:pStyle w:val="TableBodyText"/>
            </w:pPr>
            <w:r>
              <w:t>04FF</w:t>
            </w:r>
          </w:p>
        </w:tc>
      </w:tr>
      <w:tr w:rsidR="00024C0A" w:rsidTr="00024C0A">
        <w:tc>
          <w:tcPr>
            <w:tcW w:w="0" w:type="auto"/>
            <w:vAlign w:val="center"/>
          </w:tcPr>
          <w:p w:rsidR="00024C0A" w:rsidRDefault="00694C0F">
            <w:pPr>
              <w:pStyle w:val="TableBodyText"/>
            </w:pPr>
            <w:r>
              <w:t>LeftPara</w:t>
            </w:r>
          </w:p>
        </w:tc>
        <w:tc>
          <w:tcPr>
            <w:tcW w:w="0" w:type="auto"/>
            <w:vAlign w:val="center"/>
          </w:tcPr>
          <w:p w:rsidR="00024C0A" w:rsidRDefault="00694C0F">
            <w:pPr>
              <w:pStyle w:val="TableBodyText"/>
            </w:pPr>
            <w:r>
              <w:t>003A</w:t>
            </w:r>
          </w:p>
        </w:tc>
      </w:tr>
      <w:tr w:rsidR="00024C0A" w:rsidTr="00024C0A">
        <w:tc>
          <w:tcPr>
            <w:tcW w:w="0" w:type="auto"/>
            <w:vAlign w:val="center"/>
          </w:tcPr>
          <w:p w:rsidR="00024C0A" w:rsidRDefault="00694C0F">
            <w:pPr>
              <w:pStyle w:val="TableBodyText"/>
            </w:pPr>
            <w:r>
              <w:t>LegoCommonPartsGallery</w:t>
            </w:r>
          </w:p>
        </w:tc>
        <w:tc>
          <w:tcPr>
            <w:tcW w:w="0" w:type="auto"/>
            <w:vAlign w:val="center"/>
          </w:tcPr>
          <w:p w:rsidR="00024C0A" w:rsidRDefault="00694C0F">
            <w:pPr>
              <w:pStyle w:val="TableBodyText"/>
            </w:pPr>
            <w:r>
              <w:t>07F0</w:t>
            </w:r>
          </w:p>
        </w:tc>
      </w:tr>
      <w:tr w:rsidR="00024C0A" w:rsidTr="00024C0A">
        <w:tc>
          <w:tcPr>
            <w:tcW w:w="0" w:type="auto"/>
            <w:vAlign w:val="center"/>
          </w:tcPr>
          <w:p w:rsidR="00024C0A" w:rsidRDefault="00694C0F">
            <w:pPr>
              <w:pStyle w:val="TableBodyText"/>
            </w:pPr>
            <w:r>
              <w:t>LegoEquationsGallery</w:t>
            </w:r>
          </w:p>
        </w:tc>
        <w:tc>
          <w:tcPr>
            <w:tcW w:w="0" w:type="auto"/>
            <w:vAlign w:val="center"/>
          </w:tcPr>
          <w:p w:rsidR="00024C0A" w:rsidRDefault="00694C0F">
            <w:pPr>
              <w:pStyle w:val="TableBodyText"/>
            </w:pPr>
            <w:r>
              <w:t>07EC</w:t>
            </w:r>
          </w:p>
        </w:tc>
      </w:tr>
      <w:tr w:rsidR="00024C0A" w:rsidTr="00024C0A">
        <w:tc>
          <w:tcPr>
            <w:tcW w:w="0" w:type="auto"/>
            <w:vAlign w:val="center"/>
          </w:tcPr>
          <w:p w:rsidR="00024C0A" w:rsidRDefault="00694C0F">
            <w:pPr>
              <w:pStyle w:val="TableBodyText"/>
            </w:pPr>
            <w:r>
              <w:t>LegoPageNumBottomGallery</w:t>
            </w:r>
          </w:p>
        </w:tc>
        <w:tc>
          <w:tcPr>
            <w:tcW w:w="0" w:type="auto"/>
            <w:vAlign w:val="center"/>
          </w:tcPr>
          <w:p w:rsidR="00024C0A" w:rsidRDefault="00694C0F">
            <w:pPr>
              <w:pStyle w:val="TableBodyText"/>
            </w:pPr>
            <w:r>
              <w:t>07EB</w:t>
            </w:r>
          </w:p>
        </w:tc>
      </w:tr>
      <w:tr w:rsidR="00024C0A" w:rsidTr="00024C0A">
        <w:tc>
          <w:tcPr>
            <w:tcW w:w="0" w:type="auto"/>
            <w:vAlign w:val="center"/>
          </w:tcPr>
          <w:p w:rsidR="00024C0A" w:rsidRDefault="00694C0F">
            <w:pPr>
              <w:pStyle w:val="TableBodyText"/>
            </w:pPr>
            <w:r>
              <w:t>LegoPageNumGallery</w:t>
            </w:r>
          </w:p>
        </w:tc>
        <w:tc>
          <w:tcPr>
            <w:tcW w:w="0" w:type="auto"/>
            <w:vAlign w:val="center"/>
          </w:tcPr>
          <w:p w:rsidR="00024C0A" w:rsidRDefault="00694C0F">
            <w:pPr>
              <w:pStyle w:val="TableBodyText"/>
            </w:pPr>
            <w:r>
              <w:t>07E7</w:t>
            </w:r>
          </w:p>
        </w:tc>
      </w:tr>
      <w:tr w:rsidR="00024C0A" w:rsidTr="00024C0A">
        <w:tc>
          <w:tcPr>
            <w:tcW w:w="0" w:type="auto"/>
            <w:vAlign w:val="center"/>
          </w:tcPr>
          <w:p w:rsidR="00024C0A" w:rsidRDefault="00694C0F">
            <w:pPr>
              <w:pStyle w:val="TableBodyText"/>
            </w:pPr>
            <w:r>
              <w:t>LegoPageNumPageGallery</w:t>
            </w:r>
          </w:p>
        </w:tc>
        <w:tc>
          <w:tcPr>
            <w:tcW w:w="0" w:type="auto"/>
            <w:vAlign w:val="center"/>
          </w:tcPr>
          <w:p w:rsidR="00024C0A" w:rsidRDefault="00694C0F">
            <w:pPr>
              <w:pStyle w:val="TableBodyText"/>
            </w:pPr>
            <w:r>
              <w:t>07E8</w:t>
            </w:r>
          </w:p>
        </w:tc>
      </w:tr>
      <w:tr w:rsidR="00024C0A" w:rsidTr="00024C0A">
        <w:tc>
          <w:tcPr>
            <w:tcW w:w="0" w:type="auto"/>
            <w:vAlign w:val="center"/>
          </w:tcPr>
          <w:p w:rsidR="00024C0A" w:rsidRDefault="00694C0F">
            <w:pPr>
              <w:pStyle w:val="TableBodyText"/>
            </w:pPr>
            <w:r>
              <w:t>LegoPageNumTopGallery</w:t>
            </w:r>
          </w:p>
        </w:tc>
        <w:tc>
          <w:tcPr>
            <w:tcW w:w="0" w:type="auto"/>
            <w:vAlign w:val="center"/>
          </w:tcPr>
          <w:p w:rsidR="00024C0A" w:rsidRDefault="00694C0F">
            <w:pPr>
              <w:pStyle w:val="TableBodyText"/>
            </w:pPr>
            <w:r>
              <w:t>07EA</w:t>
            </w:r>
          </w:p>
        </w:tc>
      </w:tr>
      <w:tr w:rsidR="00024C0A" w:rsidTr="00024C0A">
        <w:tc>
          <w:tcPr>
            <w:tcW w:w="0" w:type="auto"/>
            <w:vAlign w:val="center"/>
          </w:tcPr>
          <w:p w:rsidR="00024C0A" w:rsidRDefault="00694C0F">
            <w:pPr>
              <w:pStyle w:val="TableBodyText"/>
            </w:pPr>
            <w:r>
              <w:t>LegoTablesGallery</w:t>
            </w:r>
          </w:p>
        </w:tc>
        <w:tc>
          <w:tcPr>
            <w:tcW w:w="0" w:type="auto"/>
            <w:vAlign w:val="center"/>
          </w:tcPr>
          <w:p w:rsidR="00024C0A" w:rsidRDefault="00694C0F">
            <w:pPr>
              <w:pStyle w:val="TableBodyText"/>
            </w:pPr>
            <w:r>
              <w:t>07EE</w:t>
            </w:r>
          </w:p>
        </w:tc>
      </w:tr>
      <w:tr w:rsidR="00024C0A" w:rsidTr="00024C0A">
        <w:tc>
          <w:tcPr>
            <w:tcW w:w="0" w:type="auto"/>
            <w:vAlign w:val="center"/>
          </w:tcPr>
          <w:p w:rsidR="00024C0A" w:rsidRDefault="00694C0F">
            <w:pPr>
              <w:pStyle w:val="TableBodyText"/>
            </w:pPr>
            <w:r>
              <w:t>LegoWatermarkGallery</w:t>
            </w:r>
          </w:p>
        </w:tc>
        <w:tc>
          <w:tcPr>
            <w:tcW w:w="0" w:type="auto"/>
            <w:vAlign w:val="center"/>
          </w:tcPr>
          <w:p w:rsidR="00024C0A" w:rsidRDefault="00694C0F">
            <w:pPr>
              <w:pStyle w:val="TableBodyText"/>
            </w:pPr>
            <w:r>
              <w:t>07E9</w:t>
            </w:r>
          </w:p>
        </w:tc>
      </w:tr>
      <w:tr w:rsidR="00024C0A" w:rsidTr="00024C0A">
        <w:tc>
          <w:tcPr>
            <w:tcW w:w="0" w:type="auto"/>
            <w:vAlign w:val="center"/>
          </w:tcPr>
          <w:p w:rsidR="00024C0A" w:rsidRDefault="00694C0F">
            <w:pPr>
              <w:pStyle w:val="TableBodyText"/>
            </w:pPr>
            <w:r>
              <w:t>LettersWizardJToolbar</w:t>
            </w:r>
          </w:p>
        </w:tc>
        <w:tc>
          <w:tcPr>
            <w:tcW w:w="0" w:type="auto"/>
            <w:vAlign w:val="center"/>
          </w:tcPr>
          <w:p w:rsidR="00024C0A" w:rsidRDefault="00694C0F">
            <w:pPr>
              <w:pStyle w:val="TableBodyText"/>
            </w:pPr>
            <w:r>
              <w:t>052B</w:t>
            </w:r>
          </w:p>
        </w:tc>
      </w:tr>
      <w:tr w:rsidR="00024C0A" w:rsidTr="00024C0A">
        <w:tc>
          <w:tcPr>
            <w:tcW w:w="0" w:type="auto"/>
            <w:vAlign w:val="center"/>
          </w:tcPr>
          <w:p w:rsidR="00024C0A" w:rsidRDefault="00694C0F">
            <w:pPr>
              <w:pStyle w:val="TableBodyText"/>
            </w:pPr>
            <w:r>
              <w:t>LicenseVerification</w:t>
            </w:r>
          </w:p>
        </w:tc>
        <w:tc>
          <w:tcPr>
            <w:tcW w:w="0" w:type="auto"/>
            <w:vAlign w:val="center"/>
          </w:tcPr>
          <w:p w:rsidR="00024C0A" w:rsidRDefault="00694C0F">
            <w:pPr>
              <w:pStyle w:val="TableBodyText"/>
            </w:pPr>
            <w:r>
              <w:t>0561</w:t>
            </w:r>
          </w:p>
        </w:tc>
      </w:tr>
      <w:tr w:rsidR="00024C0A" w:rsidTr="00024C0A">
        <w:tc>
          <w:tcPr>
            <w:tcW w:w="0" w:type="auto"/>
            <w:vAlign w:val="center"/>
          </w:tcPr>
          <w:p w:rsidR="00024C0A" w:rsidRDefault="00694C0F">
            <w:pPr>
              <w:pStyle w:val="TableBodyText"/>
            </w:pPr>
            <w:r>
              <w:t>Lighting3DGallery</w:t>
            </w:r>
          </w:p>
        </w:tc>
        <w:tc>
          <w:tcPr>
            <w:tcW w:w="0" w:type="auto"/>
            <w:vAlign w:val="center"/>
          </w:tcPr>
          <w:p w:rsidR="00024C0A" w:rsidRDefault="00694C0F">
            <w:pPr>
              <w:pStyle w:val="TableBodyText"/>
            </w:pPr>
            <w:r>
              <w:t>08CD</w:t>
            </w:r>
          </w:p>
        </w:tc>
      </w:tr>
      <w:tr w:rsidR="00024C0A" w:rsidTr="00024C0A">
        <w:tc>
          <w:tcPr>
            <w:tcW w:w="0" w:type="auto"/>
            <w:vAlign w:val="center"/>
          </w:tcPr>
          <w:p w:rsidR="00024C0A" w:rsidRDefault="00694C0F">
            <w:pPr>
              <w:pStyle w:val="TableBodyText"/>
            </w:pPr>
            <w:r>
              <w:t>LineColorPicker</w:t>
            </w:r>
          </w:p>
        </w:tc>
        <w:tc>
          <w:tcPr>
            <w:tcW w:w="0" w:type="auto"/>
            <w:vAlign w:val="center"/>
          </w:tcPr>
          <w:p w:rsidR="00024C0A" w:rsidRDefault="00694C0F">
            <w:pPr>
              <w:pStyle w:val="TableBodyText"/>
            </w:pPr>
            <w:r>
              <w:t>084B</w:t>
            </w:r>
          </w:p>
        </w:tc>
      </w:tr>
      <w:tr w:rsidR="00024C0A" w:rsidTr="00024C0A">
        <w:tc>
          <w:tcPr>
            <w:tcW w:w="0" w:type="auto"/>
            <w:vAlign w:val="center"/>
          </w:tcPr>
          <w:p w:rsidR="00024C0A" w:rsidRDefault="00694C0F">
            <w:pPr>
              <w:pStyle w:val="TableBodyText"/>
            </w:pPr>
            <w:r>
              <w:t>LineDown</w:t>
            </w:r>
          </w:p>
        </w:tc>
        <w:tc>
          <w:tcPr>
            <w:tcW w:w="0" w:type="auto"/>
            <w:vAlign w:val="center"/>
          </w:tcPr>
          <w:p w:rsidR="00024C0A" w:rsidRDefault="00694C0F">
            <w:pPr>
              <w:pStyle w:val="TableBodyText"/>
            </w:pPr>
            <w:r>
              <w:t>0FA9</w:t>
            </w:r>
          </w:p>
        </w:tc>
      </w:tr>
      <w:tr w:rsidR="00024C0A" w:rsidTr="00024C0A">
        <w:tc>
          <w:tcPr>
            <w:tcW w:w="0" w:type="auto"/>
            <w:vAlign w:val="center"/>
          </w:tcPr>
          <w:p w:rsidR="00024C0A" w:rsidRDefault="00694C0F">
            <w:pPr>
              <w:pStyle w:val="TableBodyText"/>
            </w:pPr>
            <w:r>
              <w:t>LineDownExtend</w:t>
            </w:r>
          </w:p>
        </w:tc>
        <w:tc>
          <w:tcPr>
            <w:tcW w:w="0" w:type="auto"/>
            <w:vAlign w:val="center"/>
          </w:tcPr>
          <w:p w:rsidR="00024C0A" w:rsidRDefault="00694C0F">
            <w:pPr>
              <w:pStyle w:val="TableBodyText"/>
            </w:pPr>
            <w:r>
              <w:t>0FBB</w:t>
            </w:r>
          </w:p>
        </w:tc>
      </w:tr>
      <w:tr w:rsidR="00024C0A" w:rsidTr="00024C0A">
        <w:tc>
          <w:tcPr>
            <w:tcW w:w="0" w:type="auto"/>
            <w:vAlign w:val="center"/>
          </w:tcPr>
          <w:p w:rsidR="00024C0A" w:rsidRDefault="00694C0F">
            <w:pPr>
              <w:pStyle w:val="TableBodyText"/>
            </w:pPr>
            <w:r>
              <w:t>LineSpacing</w:t>
            </w:r>
          </w:p>
        </w:tc>
        <w:tc>
          <w:tcPr>
            <w:tcW w:w="0" w:type="auto"/>
            <w:vAlign w:val="center"/>
          </w:tcPr>
          <w:p w:rsidR="00024C0A" w:rsidRDefault="00694C0F">
            <w:pPr>
              <w:pStyle w:val="TableBodyText"/>
            </w:pPr>
            <w:r>
              <w:t>04EF</w:t>
            </w:r>
          </w:p>
        </w:tc>
      </w:tr>
      <w:tr w:rsidR="00024C0A" w:rsidTr="00024C0A">
        <w:tc>
          <w:tcPr>
            <w:tcW w:w="0" w:type="auto"/>
            <w:vAlign w:val="center"/>
          </w:tcPr>
          <w:p w:rsidR="00024C0A" w:rsidRDefault="00694C0F">
            <w:pPr>
              <w:pStyle w:val="TableBodyText"/>
            </w:pPr>
            <w:r>
              <w:t>LineSpacingMenu</w:t>
            </w:r>
          </w:p>
        </w:tc>
        <w:tc>
          <w:tcPr>
            <w:tcW w:w="0" w:type="auto"/>
            <w:vAlign w:val="center"/>
          </w:tcPr>
          <w:p w:rsidR="00024C0A" w:rsidRDefault="00694C0F">
            <w:pPr>
              <w:pStyle w:val="TableBodyText"/>
            </w:pPr>
            <w:r>
              <w:t>0904</w:t>
            </w:r>
          </w:p>
        </w:tc>
      </w:tr>
      <w:tr w:rsidR="00024C0A" w:rsidTr="00024C0A">
        <w:tc>
          <w:tcPr>
            <w:tcW w:w="0" w:type="auto"/>
            <w:vAlign w:val="center"/>
          </w:tcPr>
          <w:p w:rsidR="00024C0A" w:rsidRDefault="00694C0F">
            <w:pPr>
              <w:pStyle w:val="TableBodyText"/>
            </w:pPr>
            <w:r>
              <w:t>LineStyleGallery</w:t>
            </w:r>
          </w:p>
        </w:tc>
        <w:tc>
          <w:tcPr>
            <w:tcW w:w="0" w:type="auto"/>
            <w:vAlign w:val="center"/>
          </w:tcPr>
          <w:p w:rsidR="00024C0A" w:rsidRDefault="00694C0F">
            <w:pPr>
              <w:pStyle w:val="TableBodyText"/>
            </w:pPr>
            <w:r>
              <w:t>07B6</w:t>
            </w:r>
          </w:p>
        </w:tc>
      </w:tr>
      <w:tr w:rsidR="00024C0A" w:rsidTr="00024C0A">
        <w:tc>
          <w:tcPr>
            <w:tcW w:w="0" w:type="auto"/>
            <w:vAlign w:val="center"/>
          </w:tcPr>
          <w:p w:rsidR="00024C0A" w:rsidRDefault="00694C0F">
            <w:pPr>
              <w:pStyle w:val="TableBodyText"/>
            </w:pPr>
            <w:r>
              <w:t>LineUp</w:t>
            </w:r>
          </w:p>
        </w:tc>
        <w:tc>
          <w:tcPr>
            <w:tcW w:w="0" w:type="auto"/>
            <w:vAlign w:val="center"/>
          </w:tcPr>
          <w:p w:rsidR="00024C0A" w:rsidRDefault="00694C0F">
            <w:pPr>
              <w:pStyle w:val="TableBodyText"/>
            </w:pPr>
            <w:r>
              <w:t>0FA8</w:t>
            </w:r>
          </w:p>
        </w:tc>
      </w:tr>
      <w:tr w:rsidR="00024C0A" w:rsidTr="00024C0A">
        <w:tc>
          <w:tcPr>
            <w:tcW w:w="0" w:type="auto"/>
            <w:vAlign w:val="center"/>
          </w:tcPr>
          <w:p w:rsidR="00024C0A" w:rsidRDefault="00694C0F">
            <w:pPr>
              <w:pStyle w:val="TableBodyText"/>
            </w:pPr>
            <w:r>
              <w:t>LineUpExtend</w:t>
            </w:r>
          </w:p>
        </w:tc>
        <w:tc>
          <w:tcPr>
            <w:tcW w:w="0" w:type="auto"/>
            <w:vAlign w:val="center"/>
          </w:tcPr>
          <w:p w:rsidR="00024C0A" w:rsidRDefault="00694C0F">
            <w:pPr>
              <w:pStyle w:val="TableBodyText"/>
            </w:pPr>
            <w:r>
              <w:t>0FBA</w:t>
            </w:r>
          </w:p>
        </w:tc>
      </w:tr>
      <w:tr w:rsidR="00024C0A" w:rsidTr="00024C0A">
        <w:tc>
          <w:tcPr>
            <w:tcW w:w="0" w:type="auto"/>
            <w:vAlign w:val="center"/>
          </w:tcPr>
          <w:p w:rsidR="00024C0A" w:rsidRDefault="00694C0F">
            <w:pPr>
              <w:pStyle w:val="TableBodyText"/>
            </w:pPr>
            <w:r>
              <w:lastRenderedPageBreak/>
              <w:t>LineWidthGallery</w:t>
            </w:r>
          </w:p>
        </w:tc>
        <w:tc>
          <w:tcPr>
            <w:tcW w:w="0" w:type="auto"/>
            <w:vAlign w:val="center"/>
          </w:tcPr>
          <w:p w:rsidR="00024C0A" w:rsidRDefault="00694C0F">
            <w:pPr>
              <w:pStyle w:val="TableBodyText"/>
            </w:pPr>
            <w:r>
              <w:t>07B7</w:t>
            </w:r>
          </w:p>
        </w:tc>
      </w:tr>
      <w:tr w:rsidR="00024C0A" w:rsidTr="00024C0A">
        <w:tc>
          <w:tcPr>
            <w:tcW w:w="0" w:type="auto"/>
            <w:vAlign w:val="center"/>
          </w:tcPr>
          <w:p w:rsidR="00024C0A" w:rsidRDefault="00694C0F">
            <w:pPr>
              <w:pStyle w:val="TableBodyText"/>
            </w:pPr>
            <w:r>
              <w:t>ListAdvanceToVBA</w:t>
            </w:r>
          </w:p>
        </w:tc>
        <w:tc>
          <w:tcPr>
            <w:tcW w:w="0" w:type="auto"/>
            <w:vAlign w:val="center"/>
          </w:tcPr>
          <w:p w:rsidR="00024C0A" w:rsidRDefault="00694C0F">
            <w:pPr>
              <w:pStyle w:val="TableBodyText"/>
            </w:pPr>
            <w:r>
              <w:t>07A0</w:t>
            </w:r>
          </w:p>
        </w:tc>
      </w:tr>
      <w:tr w:rsidR="00024C0A" w:rsidTr="00024C0A">
        <w:tc>
          <w:tcPr>
            <w:tcW w:w="0" w:type="auto"/>
            <w:vAlign w:val="center"/>
          </w:tcPr>
          <w:p w:rsidR="00024C0A" w:rsidRDefault="00694C0F">
            <w:pPr>
              <w:pStyle w:val="TableBodyText"/>
            </w:pPr>
            <w:r>
              <w:t>ListCommands</w:t>
            </w:r>
          </w:p>
        </w:tc>
        <w:tc>
          <w:tcPr>
            <w:tcW w:w="0" w:type="auto"/>
            <w:vAlign w:val="center"/>
          </w:tcPr>
          <w:p w:rsidR="00024C0A" w:rsidRDefault="00694C0F">
            <w:pPr>
              <w:pStyle w:val="TableBodyText"/>
            </w:pPr>
            <w:r>
              <w:t>02D3</w:t>
            </w:r>
          </w:p>
        </w:tc>
      </w:tr>
      <w:tr w:rsidR="00024C0A" w:rsidTr="00024C0A">
        <w:tc>
          <w:tcPr>
            <w:tcW w:w="0" w:type="auto"/>
            <w:vAlign w:val="center"/>
          </w:tcPr>
          <w:p w:rsidR="00024C0A" w:rsidRDefault="00694C0F">
            <w:pPr>
              <w:pStyle w:val="TableBodyText"/>
            </w:pPr>
            <w:r>
              <w:t>ListIndent</w:t>
            </w:r>
          </w:p>
        </w:tc>
        <w:tc>
          <w:tcPr>
            <w:tcW w:w="0" w:type="auto"/>
            <w:vAlign w:val="center"/>
          </w:tcPr>
          <w:p w:rsidR="00024C0A" w:rsidRDefault="00694C0F">
            <w:pPr>
              <w:pStyle w:val="TableBodyText"/>
            </w:pPr>
            <w:r>
              <w:t>033A</w:t>
            </w:r>
          </w:p>
        </w:tc>
      </w:tr>
      <w:tr w:rsidR="00024C0A" w:rsidTr="00024C0A">
        <w:tc>
          <w:tcPr>
            <w:tcW w:w="0" w:type="auto"/>
            <w:vAlign w:val="center"/>
          </w:tcPr>
          <w:p w:rsidR="00024C0A" w:rsidRDefault="00694C0F">
            <w:pPr>
              <w:pStyle w:val="TableBodyText"/>
            </w:pPr>
            <w:r>
              <w:t>ListLevelGallery</w:t>
            </w:r>
          </w:p>
        </w:tc>
        <w:tc>
          <w:tcPr>
            <w:tcW w:w="0" w:type="auto"/>
            <w:vAlign w:val="center"/>
          </w:tcPr>
          <w:p w:rsidR="00024C0A" w:rsidRDefault="00694C0F">
            <w:pPr>
              <w:pStyle w:val="TableBodyText"/>
            </w:pPr>
            <w:r>
              <w:t>0878</w:t>
            </w:r>
          </w:p>
        </w:tc>
      </w:tr>
      <w:tr w:rsidR="00024C0A" w:rsidTr="00024C0A">
        <w:tc>
          <w:tcPr>
            <w:tcW w:w="0" w:type="auto"/>
            <w:vAlign w:val="center"/>
          </w:tcPr>
          <w:p w:rsidR="00024C0A" w:rsidRDefault="00694C0F">
            <w:pPr>
              <w:pStyle w:val="TableBodyText"/>
            </w:pPr>
            <w:r>
              <w:t>ListMacros</w:t>
            </w:r>
          </w:p>
        </w:tc>
        <w:tc>
          <w:tcPr>
            <w:tcW w:w="0" w:type="auto"/>
            <w:vAlign w:val="center"/>
          </w:tcPr>
          <w:p w:rsidR="00024C0A" w:rsidRDefault="00694C0F">
            <w:pPr>
              <w:pStyle w:val="TableBodyText"/>
            </w:pPr>
            <w:r>
              <w:t>0298</w:t>
            </w:r>
          </w:p>
        </w:tc>
      </w:tr>
      <w:tr w:rsidR="00024C0A" w:rsidTr="00024C0A">
        <w:tc>
          <w:tcPr>
            <w:tcW w:w="0" w:type="auto"/>
            <w:vAlign w:val="center"/>
          </w:tcPr>
          <w:p w:rsidR="00024C0A" w:rsidRDefault="00694C0F">
            <w:pPr>
              <w:pStyle w:val="TableBodyText"/>
            </w:pPr>
            <w:r>
              <w:t>ListOutdent</w:t>
            </w:r>
          </w:p>
        </w:tc>
        <w:tc>
          <w:tcPr>
            <w:tcW w:w="0" w:type="auto"/>
            <w:vAlign w:val="center"/>
          </w:tcPr>
          <w:p w:rsidR="00024C0A" w:rsidRDefault="00694C0F">
            <w:pPr>
              <w:pStyle w:val="TableBodyText"/>
            </w:pPr>
            <w:r>
              <w:t>0339</w:t>
            </w:r>
          </w:p>
        </w:tc>
      </w:tr>
      <w:tr w:rsidR="00024C0A" w:rsidTr="00024C0A">
        <w:tc>
          <w:tcPr>
            <w:tcW w:w="0" w:type="auto"/>
            <w:vAlign w:val="center"/>
          </w:tcPr>
          <w:p w:rsidR="00024C0A" w:rsidRDefault="00694C0F">
            <w:pPr>
              <w:pStyle w:val="TableBodyText"/>
            </w:pPr>
            <w:r>
              <w:t>LoadOssThemeFromTemplate</w:t>
            </w:r>
          </w:p>
        </w:tc>
        <w:tc>
          <w:tcPr>
            <w:tcW w:w="0" w:type="auto"/>
            <w:vAlign w:val="center"/>
          </w:tcPr>
          <w:p w:rsidR="00024C0A" w:rsidRDefault="00694C0F">
            <w:pPr>
              <w:pStyle w:val="TableBodyText"/>
            </w:pPr>
            <w:r>
              <w:t>093E</w:t>
            </w:r>
          </w:p>
        </w:tc>
      </w:tr>
      <w:tr w:rsidR="00024C0A" w:rsidTr="00024C0A">
        <w:tc>
          <w:tcPr>
            <w:tcW w:w="0" w:type="auto"/>
            <w:vAlign w:val="center"/>
          </w:tcPr>
          <w:p w:rsidR="00024C0A" w:rsidRDefault="00694C0F">
            <w:pPr>
              <w:pStyle w:val="TableBodyText"/>
            </w:pPr>
            <w:r>
              <w:t>LockDocument</w:t>
            </w:r>
          </w:p>
        </w:tc>
        <w:tc>
          <w:tcPr>
            <w:tcW w:w="0" w:type="auto"/>
            <w:vAlign w:val="center"/>
          </w:tcPr>
          <w:p w:rsidR="00024C0A" w:rsidRDefault="00694C0F">
            <w:pPr>
              <w:pStyle w:val="TableBodyText"/>
            </w:pPr>
            <w:r>
              <w:t>0258</w:t>
            </w:r>
          </w:p>
        </w:tc>
      </w:tr>
      <w:tr w:rsidR="00024C0A" w:rsidTr="00024C0A">
        <w:tc>
          <w:tcPr>
            <w:tcW w:w="0" w:type="auto"/>
            <w:vAlign w:val="center"/>
          </w:tcPr>
          <w:p w:rsidR="00024C0A" w:rsidRDefault="00694C0F">
            <w:pPr>
              <w:pStyle w:val="TableBodyText"/>
            </w:pPr>
            <w:r>
              <w:t>LockFields</w:t>
            </w:r>
          </w:p>
        </w:tc>
        <w:tc>
          <w:tcPr>
            <w:tcW w:w="0" w:type="auto"/>
            <w:vAlign w:val="center"/>
          </w:tcPr>
          <w:p w:rsidR="00024C0A" w:rsidRDefault="00694C0F">
            <w:pPr>
              <w:pStyle w:val="TableBodyText"/>
            </w:pPr>
            <w:r>
              <w:t>0023</w:t>
            </w:r>
          </w:p>
        </w:tc>
      </w:tr>
      <w:tr w:rsidR="00024C0A" w:rsidTr="00024C0A">
        <w:tc>
          <w:tcPr>
            <w:tcW w:w="0" w:type="auto"/>
            <w:vAlign w:val="center"/>
          </w:tcPr>
          <w:p w:rsidR="00024C0A" w:rsidRDefault="00694C0F">
            <w:pPr>
              <w:pStyle w:val="TableBodyText"/>
            </w:pPr>
            <w:r>
              <w:t>LockPolicyLabel</w:t>
            </w:r>
          </w:p>
        </w:tc>
        <w:tc>
          <w:tcPr>
            <w:tcW w:w="0" w:type="auto"/>
            <w:vAlign w:val="center"/>
          </w:tcPr>
          <w:p w:rsidR="00024C0A" w:rsidRDefault="00694C0F">
            <w:pPr>
              <w:pStyle w:val="TableBodyText"/>
            </w:pPr>
            <w:r>
              <w:t>0783</w:t>
            </w:r>
          </w:p>
        </w:tc>
      </w:tr>
      <w:tr w:rsidR="00024C0A" w:rsidTr="00024C0A">
        <w:tc>
          <w:tcPr>
            <w:tcW w:w="0" w:type="auto"/>
            <w:vAlign w:val="center"/>
          </w:tcPr>
          <w:p w:rsidR="00024C0A" w:rsidRDefault="00694C0F">
            <w:pPr>
              <w:pStyle w:val="TableBodyText"/>
            </w:pPr>
            <w:r>
              <w:t>LowerTextBaseline</w:t>
            </w:r>
          </w:p>
        </w:tc>
        <w:tc>
          <w:tcPr>
            <w:tcW w:w="0" w:type="auto"/>
            <w:vAlign w:val="center"/>
          </w:tcPr>
          <w:p w:rsidR="00024C0A" w:rsidRDefault="00694C0F">
            <w:pPr>
              <w:pStyle w:val="TableBodyText"/>
            </w:pPr>
            <w:r>
              <w:t>09A0</w:t>
            </w:r>
          </w:p>
        </w:tc>
      </w:tr>
      <w:tr w:rsidR="00024C0A" w:rsidTr="00024C0A">
        <w:tc>
          <w:tcPr>
            <w:tcW w:w="0" w:type="auto"/>
            <w:vAlign w:val="center"/>
          </w:tcPr>
          <w:p w:rsidR="00024C0A" w:rsidRDefault="00694C0F">
            <w:pPr>
              <w:pStyle w:val="TableBodyText"/>
            </w:pPr>
            <w:r>
              <w:t>Lowered</w:t>
            </w:r>
          </w:p>
        </w:tc>
        <w:tc>
          <w:tcPr>
            <w:tcW w:w="0" w:type="auto"/>
            <w:vAlign w:val="center"/>
          </w:tcPr>
          <w:p w:rsidR="00024C0A" w:rsidRDefault="00694C0F">
            <w:pPr>
              <w:pStyle w:val="TableBodyText"/>
            </w:pPr>
            <w:r>
              <w:t>0216</w:t>
            </w:r>
          </w:p>
        </w:tc>
      </w:tr>
      <w:tr w:rsidR="00024C0A" w:rsidTr="00024C0A">
        <w:tc>
          <w:tcPr>
            <w:tcW w:w="0" w:type="auto"/>
            <w:vAlign w:val="center"/>
          </w:tcPr>
          <w:p w:rsidR="00024C0A" w:rsidRDefault="00694C0F">
            <w:pPr>
              <w:pStyle w:val="TableBodyText"/>
            </w:pPr>
            <w:r>
              <w:t>LtrPara</w:t>
            </w:r>
          </w:p>
        </w:tc>
        <w:tc>
          <w:tcPr>
            <w:tcW w:w="0" w:type="auto"/>
            <w:vAlign w:val="center"/>
          </w:tcPr>
          <w:p w:rsidR="00024C0A" w:rsidRDefault="00694C0F">
            <w:pPr>
              <w:pStyle w:val="TableBodyText"/>
            </w:pPr>
            <w:r>
              <w:t>041E</w:t>
            </w:r>
          </w:p>
        </w:tc>
      </w:tr>
      <w:tr w:rsidR="00024C0A" w:rsidTr="00024C0A">
        <w:tc>
          <w:tcPr>
            <w:tcW w:w="0" w:type="auto"/>
            <w:vAlign w:val="center"/>
          </w:tcPr>
          <w:p w:rsidR="00024C0A" w:rsidRDefault="00694C0F">
            <w:pPr>
              <w:pStyle w:val="TableBodyText"/>
            </w:pPr>
            <w:r>
              <w:t>LtrRun</w:t>
            </w:r>
          </w:p>
        </w:tc>
        <w:tc>
          <w:tcPr>
            <w:tcW w:w="0" w:type="auto"/>
            <w:vAlign w:val="center"/>
          </w:tcPr>
          <w:p w:rsidR="00024C0A" w:rsidRDefault="00694C0F">
            <w:pPr>
              <w:pStyle w:val="TableBodyText"/>
            </w:pPr>
            <w:r>
              <w:t>0423</w:t>
            </w:r>
          </w:p>
        </w:tc>
      </w:tr>
      <w:tr w:rsidR="00024C0A" w:rsidTr="00024C0A">
        <w:tc>
          <w:tcPr>
            <w:tcW w:w="0" w:type="auto"/>
            <w:vAlign w:val="center"/>
          </w:tcPr>
          <w:p w:rsidR="00024C0A" w:rsidRDefault="00694C0F">
            <w:pPr>
              <w:pStyle w:val="TableBodyText"/>
            </w:pPr>
            <w:r>
              <w:t>MMEmailOptions</w:t>
            </w:r>
          </w:p>
        </w:tc>
        <w:tc>
          <w:tcPr>
            <w:tcW w:w="0" w:type="auto"/>
            <w:vAlign w:val="center"/>
          </w:tcPr>
          <w:p w:rsidR="00024C0A" w:rsidRDefault="00694C0F">
            <w:pPr>
              <w:pStyle w:val="TableBodyText"/>
            </w:pPr>
            <w:r>
              <w:t>051D</w:t>
            </w:r>
          </w:p>
        </w:tc>
      </w:tr>
      <w:tr w:rsidR="00024C0A" w:rsidTr="00024C0A">
        <w:tc>
          <w:tcPr>
            <w:tcW w:w="0" w:type="auto"/>
            <w:vAlign w:val="center"/>
          </w:tcPr>
          <w:p w:rsidR="00024C0A" w:rsidRDefault="00694C0F">
            <w:pPr>
              <w:pStyle w:val="TableBodyText"/>
            </w:pPr>
            <w:r>
              <w:t>MMFaxOptions</w:t>
            </w:r>
          </w:p>
        </w:tc>
        <w:tc>
          <w:tcPr>
            <w:tcW w:w="0" w:type="auto"/>
            <w:vAlign w:val="center"/>
          </w:tcPr>
          <w:p w:rsidR="00024C0A" w:rsidRDefault="00694C0F">
            <w:pPr>
              <w:pStyle w:val="TableBodyText"/>
            </w:pPr>
            <w:r>
              <w:t>0520</w:t>
            </w:r>
          </w:p>
        </w:tc>
      </w:tr>
      <w:tr w:rsidR="00024C0A" w:rsidTr="00024C0A">
        <w:tc>
          <w:tcPr>
            <w:tcW w:w="0" w:type="auto"/>
            <w:vAlign w:val="center"/>
          </w:tcPr>
          <w:p w:rsidR="00024C0A" w:rsidRDefault="00694C0F">
            <w:pPr>
              <w:pStyle w:val="TableBodyText"/>
            </w:pPr>
            <w:r>
              <w:t>MMNewDocOptions</w:t>
            </w:r>
          </w:p>
        </w:tc>
        <w:tc>
          <w:tcPr>
            <w:tcW w:w="0" w:type="auto"/>
            <w:vAlign w:val="center"/>
          </w:tcPr>
          <w:p w:rsidR="00024C0A" w:rsidRDefault="00694C0F">
            <w:pPr>
              <w:pStyle w:val="TableBodyText"/>
            </w:pPr>
            <w:r>
              <w:t>051E</w:t>
            </w:r>
          </w:p>
        </w:tc>
      </w:tr>
      <w:tr w:rsidR="00024C0A" w:rsidTr="00024C0A">
        <w:tc>
          <w:tcPr>
            <w:tcW w:w="0" w:type="auto"/>
            <w:vAlign w:val="center"/>
          </w:tcPr>
          <w:p w:rsidR="00024C0A" w:rsidRDefault="00694C0F">
            <w:pPr>
              <w:pStyle w:val="TableBodyText"/>
            </w:pPr>
            <w:r>
              <w:t>MMPrintOptions</w:t>
            </w:r>
          </w:p>
        </w:tc>
        <w:tc>
          <w:tcPr>
            <w:tcW w:w="0" w:type="auto"/>
            <w:vAlign w:val="center"/>
          </w:tcPr>
          <w:p w:rsidR="00024C0A" w:rsidRDefault="00694C0F">
            <w:pPr>
              <w:pStyle w:val="TableBodyText"/>
            </w:pPr>
            <w:r>
              <w:t>051F</w:t>
            </w:r>
          </w:p>
        </w:tc>
      </w:tr>
      <w:tr w:rsidR="00024C0A" w:rsidTr="00024C0A">
        <w:tc>
          <w:tcPr>
            <w:tcW w:w="0" w:type="auto"/>
            <w:vAlign w:val="center"/>
          </w:tcPr>
          <w:p w:rsidR="00024C0A" w:rsidRDefault="00694C0F">
            <w:pPr>
              <w:pStyle w:val="TableBodyText"/>
            </w:pPr>
            <w:r>
              <w:t>MSWordBibAddNewPlaceholder</w:t>
            </w:r>
          </w:p>
        </w:tc>
        <w:tc>
          <w:tcPr>
            <w:tcW w:w="0" w:type="auto"/>
            <w:vAlign w:val="center"/>
          </w:tcPr>
          <w:p w:rsidR="00024C0A" w:rsidRDefault="00694C0F">
            <w:pPr>
              <w:pStyle w:val="TableBodyText"/>
            </w:pPr>
            <w:r>
              <w:t>092C</w:t>
            </w:r>
          </w:p>
        </w:tc>
      </w:tr>
      <w:tr w:rsidR="00024C0A" w:rsidTr="00024C0A">
        <w:tc>
          <w:tcPr>
            <w:tcW w:w="0" w:type="auto"/>
            <w:vAlign w:val="center"/>
          </w:tcPr>
          <w:p w:rsidR="00024C0A" w:rsidRDefault="00694C0F">
            <w:pPr>
              <w:pStyle w:val="TableBodyText"/>
            </w:pPr>
            <w:r>
              <w:t>MacroREM</w:t>
            </w:r>
          </w:p>
        </w:tc>
        <w:tc>
          <w:tcPr>
            <w:tcW w:w="0" w:type="auto"/>
            <w:vAlign w:val="center"/>
          </w:tcPr>
          <w:p w:rsidR="00024C0A" w:rsidRDefault="00694C0F">
            <w:pPr>
              <w:pStyle w:val="TableBodyText"/>
            </w:pPr>
            <w:r>
              <w:t>0229</w:t>
            </w:r>
          </w:p>
        </w:tc>
      </w:tr>
      <w:tr w:rsidR="00024C0A" w:rsidTr="00024C0A">
        <w:tc>
          <w:tcPr>
            <w:tcW w:w="0" w:type="auto"/>
            <w:vAlign w:val="center"/>
          </w:tcPr>
          <w:p w:rsidR="00024C0A" w:rsidRDefault="00694C0F">
            <w:pPr>
              <w:pStyle w:val="TableBodyText"/>
            </w:pPr>
            <w:r>
              <w:t>Magnifier</w:t>
            </w:r>
          </w:p>
        </w:tc>
        <w:tc>
          <w:tcPr>
            <w:tcW w:w="0" w:type="auto"/>
            <w:vAlign w:val="center"/>
          </w:tcPr>
          <w:p w:rsidR="00024C0A" w:rsidRDefault="00694C0F">
            <w:pPr>
              <w:pStyle w:val="TableBodyText"/>
            </w:pPr>
            <w:r>
              <w:t>0203</w:t>
            </w:r>
          </w:p>
        </w:tc>
      </w:tr>
      <w:tr w:rsidR="00024C0A" w:rsidTr="00024C0A">
        <w:tc>
          <w:tcPr>
            <w:tcW w:w="0" w:type="auto"/>
            <w:vAlign w:val="center"/>
          </w:tcPr>
          <w:p w:rsidR="00024C0A" w:rsidRDefault="00694C0F">
            <w:pPr>
              <w:pStyle w:val="TableBodyText"/>
            </w:pPr>
            <w:r>
              <w:t>MailAsHTML</w:t>
            </w:r>
          </w:p>
        </w:tc>
        <w:tc>
          <w:tcPr>
            <w:tcW w:w="0" w:type="auto"/>
            <w:vAlign w:val="center"/>
          </w:tcPr>
          <w:p w:rsidR="00024C0A" w:rsidRDefault="00694C0F">
            <w:pPr>
              <w:pStyle w:val="TableBodyText"/>
            </w:pPr>
            <w:r>
              <w:t>04EC</w:t>
            </w:r>
          </w:p>
        </w:tc>
      </w:tr>
      <w:tr w:rsidR="00024C0A" w:rsidTr="00024C0A">
        <w:tc>
          <w:tcPr>
            <w:tcW w:w="0" w:type="auto"/>
            <w:vAlign w:val="center"/>
          </w:tcPr>
          <w:p w:rsidR="00024C0A" w:rsidRDefault="00694C0F">
            <w:pPr>
              <w:pStyle w:val="TableBodyText"/>
            </w:pPr>
            <w:r>
              <w:t>MailAsPlainText</w:t>
            </w:r>
          </w:p>
        </w:tc>
        <w:tc>
          <w:tcPr>
            <w:tcW w:w="0" w:type="auto"/>
            <w:vAlign w:val="center"/>
          </w:tcPr>
          <w:p w:rsidR="00024C0A" w:rsidRDefault="00694C0F">
            <w:pPr>
              <w:pStyle w:val="TableBodyText"/>
            </w:pPr>
            <w:r>
              <w:t>04EB</w:t>
            </w:r>
          </w:p>
        </w:tc>
      </w:tr>
      <w:tr w:rsidR="00024C0A" w:rsidTr="00024C0A">
        <w:tc>
          <w:tcPr>
            <w:tcW w:w="0" w:type="auto"/>
            <w:vAlign w:val="center"/>
          </w:tcPr>
          <w:p w:rsidR="00024C0A" w:rsidRDefault="00694C0F">
            <w:pPr>
              <w:pStyle w:val="TableBodyText"/>
            </w:pPr>
            <w:r>
              <w:t>MailAsRTF</w:t>
            </w:r>
          </w:p>
        </w:tc>
        <w:tc>
          <w:tcPr>
            <w:tcW w:w="0" w:type="auto"/>
            <w:vAlign w:val="center"/>
          </w:tcPr>
          <w:p w:rsidR="00024C0A" w:rsidRDefault="00694C0F">
            <w:pPr>
              <w:pStyle w:val="TableBodyText"/>
            </w:pPr>
            <w:r>
              <w:t>04F0</w:t>
            </w:r>
          </w:p>
        </w:tc>
      </w:tr>
      <w:tr w:rsidR="00024C0A" w:rsidTr="00024C0A">
        <w:tc>
          <w:tcPr>
            <w:tcW w:w="0" w:type="auto"/>
            <w:vAlign w:val="center"/>
          </w:tcPr>
          <w:p w:rsidR="00024C0A" w:rsidRDefault="00694C0F">
            <w:pPr>
              <w:pStyle w:val="TableBodyText"/>
            </w:pPr>
            <w:r>
              <w:t>MailCheckNames</w:t>
            </w:r>
          </w:p>
        </w:tc>
        <w:tc>
          <w:tcPr>
            <w:tcW w:w="0" w:type="auto"/>
            <w:vAlign w:val="center"/>
          </w:tcPr>
          <w:p w:rsidR="00024C0A" w:rsidRDefault="00694C0F">
            <w:pPr>
              <w:pStyle w:val="TableBodyText"/>
            </w:pPr>
            <w:r>
              <w:t>0306</w:t>
            </w:r>
          </w:p>
        </w:tc>
      </w:tr>
      <w:tr w:rsidR="00024C0A" w:rsidTr="00024C0A">
        <w:tc>
          <w:tcPr>
            <w:tcW w:w="0" w:type="auto"/>
            <w:vAlign w:val="center"/>
          </w:tcPr>
          <w:p w:rsidR="00024C0A" w:rsidRDefault="00694C0F">
            <w:pPr>
              <w:pStyle w:val="TableBodyText"/>
            </w:pPr>
            <w:r>
              <w:t>MailHideMessageHeader</w:t>
            </w:r>
          </w:p>
        </w:tc>
        <w:tc>
          <w:tcPr>
            <w:tcW w:w="0" w:type="auto"/>
            <w:vAlign w:val="center"/>
          </w:tcPr>
          <w:p w:rsidR="00024C0A" w:rsidRDefault="00694C0F">
            <w:pPr>
              <w:pStyle w:val="TableBodyText"/>
            </w:pPr>
            <w:r>
              <w:t>02FB</w:t>
            </w:r>
          </w:p>
        </w:tc>
      </w:tr>
      <w:tr w:rsidR="00024C0A" w:rsidTr="00024C0A">
        <w:tc>
          <w:tcPr>
            <w:tcW w:w="0" w:type="auto"/>
            <w:vAlign w:val="center"/>
          </w:tcPr>
          <w:p w:rsidR="00024C0A" w:rsidRDefault="00694C0F">
            <w:pPr>
              <w:pStyle w:val="TableBodyText"/>
            </w:pPr>
            <w:r>
              <w:t>MailMerge</w:t>
            </w:r>
          </w:p>
        </w:tc>
        <w:tc>
          <w:tcPr>
            <w:tcW w:w="0" w:type="auto"/>
            <w:vAlign w:val="center"/>
          </w:tcPr>
          <w:p w:rsidR="00024C0A" w:rsidRDefault="00694C0F">
            <w:pPr>
              <w:pStyle w:val="TableBodyText"/>
            </w:pPr>
            <w:r>
              <w:t>02A4</w:t>
            </w:r>
          </w:p>
        </w:tc>
      </w:tr>
      <w:tr w:rsidR="00024C0A" w:rsidTr="00024C0A">
        <w:tc>
          <w:tcPr>
            <w:tcW w:w="0" w:type="auto"/>
            <w:vAlign w:val="center"/>
          </w:tcPr>
          <w:p w:rsidR="00024C0A" w:rsidRDefault="00694C0F">
            <w:pPr>
              <w:pStyle w:val="TableBodyText"/>
            </w:pPr>
            <w:r>
              <w:t>MailMergeAddressBlock</w:t>
            </w:r>
          </w:p>
        </w:tc>
        <w:tc>
          <w:tcPr>
            <w:tcW w:w="0" w:type="auto"/>
            <w:vAlign w:val="center"/>
          </w:tcPr>
          <w:p w:rsidR="00024C0A" w:rsidRDefault="00694C0F">
            <w:pPr>
              <w:pStyle w:val="TableBodyText"/>
            </w:pPr>
            <w:r>
              <w:t>0519</w:t>
            </w:r>
          </w:p>
        </w:tc>
      </w:tr>
      <w:tr w:rsidR="00024C0A" w:rsidTr="00024C0A">
        <w:tc>
          <w:tcPr>
            <w:tcW w:w="0" w:type="auto"/>
            <w:vAlign w:val="center"/>
          </w:tcPr>
          <w:p w:rsidR="00024C0A" w:rsidRDefault="00694C0F">
            <w:pPr>
              <w:pStyle w:val="TableBodyText"/>
            </w:pPr>
            <w:r>
              <w:t>MailMergeAskToConvertChevrons</w:t>
            </w:r>
          </w:p>
        </w:tc>
        <w:tc>
          <w:tcPr>
            <w:tcW w:w="0" w:type="auto"/>
            <w:vAlign w:val="center"/>
          </w:tcPr>
          <w:p w:rsidR="00024C0A" w:rsidRDefault="00694C0F">
            <w:pPr>
              <w:pStyle w:val="TableBodyText"/>
            </w:pPr>
            <w:r>
              <w:t>0261</w:t>
            </w:r>
          </w:p>
        </w:tc>
      </w:tr>
      <w:tr w:rsidR="00024C0A" w:rsidTr="00024C0A">
        <w:tc>
          <w:tcPr>
            <w:tcW w:w="0" w:type="auto"/>
            <w:vAlign w:val="center"/>
          </w:tcPr>
          <w:p w:rsidR="00024C0A" w:rsidRDefault="00694C0F">
            <w:pPr>
              <w:pStyle w:val="TableBodyText"/>
            </w:pPr>
            <w:r>
              <w:t>MailMergeCheck</w:t>
            </w:r>
          </w:p>
        </w:tc>
        <w:tc>
          <w:tcPr>
            <w:tcW w:w="0" w:type="auto"/>
            <w:vAlign w:val="center"/>
          </w:tcPr>
          <w:p w:rsidR="00024C0A" w:rsidRDefault="00694C0F">
            <w:pPr>
              <w:pStyle w:val="TableBodyText"/>
            </w:pPr>
            <w:r>
              <w:t>02A5</w:t>
            </w:r>
          </w:p>
        </w:tc>
      </w:tr>
      <w:tr w:rsidR="00024C0A" w:rsidTr="00024C0A">
        <w:tc>
          <w:tcPr>
            <w:tcW w:w="0" w:type="auto"/>
            <w:vAlign w:val="center"/>
          </w:tcPr>
          <w:p w:rsidR="00024C0A" w:rsidRDefault="00694C0F">
            <w:pPr>
              <w:pStyle w:val="TableBodyText"/>
            </w:pPr>
            <w:r>
              <w:t>MailMergeClearDocumentType</w:t>
            </w:r>
          </w:p>
        </w:tc>
        <w:tc>
          <w:tcPr>
            <w:tcW w:w="0" w:type="auto"/>
            <w:vAlign w:val="center"/>
          </w:tcPr>
          <w:p w:rsidR="00024C0A" w:rsidRDefault="00694C0F">
            <w:pPr>
              <w:pStyle w:val="TableBodyText"/>
            </w:pPr>
            <w:r>
              <w:t>081E</w:t>
            </w:r>
          </w:p>
        </w:tc>
      </w:tr>
      <w:tr w:rsidR="00024C0A" w:rsidTr="00024C0A">
        <w:tc>
          <w:tcPr>
            <w:tcW w:w="0" w:type="auto"/>
            <w:vAlign w:val="center"/>
          </w:tcPr>
          <w:p w:rsidR="00024C0A" w:rsidRDefault="00694C0F">
            <w:pPr>
              <w:pStyle w:val="TableBodyText"/>
            </w:pPr>
            <w:r>
              <w:lastRenderedPageBreak/>
              <w:t>MailMergeConvertChevrons</w:t>
            </w:r>
          </w:p>
        </w:tc>
        <w:tc>
          <w:tcPr>
            <w:tcW w:w="0" w:type="auto"/>
            <w:vAlign w:val="center"/>
          </w:tcPr>
          <w:p w:rsidR="00024C0A" w:rsidRDefault="00694C0F">
            <w:pPr>
              <w:pStyle w:val="TableBodyText"/>
            </w:pPr>
            <w:r>
              <w:t>0200</w:t>
            </w:r>
          </w:p>
        </w:tc>
      </w:tr>
      <w:tr w:rsidR="00024C0A" w:rsidTr="00024C0A">
        <w:tc>
          <w:tcPr>
            <w:tcW w:w="0" w:type="auto"/>
            <w:vAlign w:val="center"/>
          </w:tcPr>
          <w:p w:rsidR="00024C0A" w:rsidRDefault="00694C0F">
            <w:pPr>
              <w:pStyle w:val="TableBodyText"/>
            </w:pPr>
            <w:r>
              <w:t>MailMergeCreateDataSource</w:t>
            </w:r>
          </w:p>
        </w:tc>
        <w:tc>
          <w:tcPr>
            <w:tcW w:w="0" w:type="auto"/>
            <w:vAlign w:val="center"/>
          </w:tcPr>
          <w:p w:rsidR="00024C0A" w:rsidRDefault="00694C0F">
            <w:pPr>
              <w:pStyle w:val="TableBodyText"/>
            </w:pPr>
            <w:r>
              <w:t>0282</w:t>
            </w:r>
          </w:p>
        </w:tc>
      </w:tr>
      <w:tr w:rsidR="00024C0A" w:rsidTr="00024C0A">
        <w:tc>
          <w:tcPr>
            <w:tcW w:w="0" w:type="auto"/>
            <w:vAlign w:val="center"/>
          </w:tcPr>
          <w:p w:rsidR="00024C0A" w:rsidRDefault="00694C0F">
            <w:pPr>
              <w:pStyle w:val="TableBodyText"/>
            </w:pPr>
            <w:r>
              <w:t>MailMergeCreateHeaderSource</w:t>
            </w:r>
          </w:p>
        </w:tc>
        <w:tc>
          <w:tcPr>
            <w:tcW w:w="0" w:type="auto"/>
            <w:vAlign w:val="center"/>
          </w:tcPr>
          <w:p w:rsidR="00024C0A" w:rsidRDefault="00694C0F">
            <w:pPr>
              <w:pStyle w:val="TableBodyText"/>
            </w:pPr>
            <w:r>
              <w:t>0283</w:t>
            </w:r>
          </w:p>
        </w:tc>
      </w:tr>
      <w:tr w:rsidR="00024C0A" w:rsidTr="00024C0A">
        <w:tc>
          <w:tcPr>
            <w:tcW w:w="0" w:type="auto"/>
            <w:vAlign w:val="center"/>
          </w:tcPr>
          <w:p w:rsidR="00024C0A" w:rsidRDefault="00694C0F">
            <w:pPr>
              <w:pStyle w:val="TableBodyText"/>
            </w:pPr>
            <w:r>
              <w:t>MailMergeCreateList</w:t>
            </w:r>
          </w:p>
        </w:tc>
        <w:tc>
          <w:tcPr>
            <w:tcW w:w="0" w:type="auto"/>
            <w:vAlign w:val="center"/>
          </w:tcPr>
          <w:p w:rsidR="00024C0A" w:rsidRDefault="00694C0F">
            <w:pPr>
              <w:pStyle w:val="TableBodyText"/>
            </w:pPr>
            <w:r>
              <w:t>055C</w:t>
            </w:r>
          </w:p>
        </w:tc>
      </w:tr>
      <w:tr w:rsidR="00024C0A" w:rsidTr="00024C0A">
        <w:tc>
          <w:tcPr>
            <w:tcW w:w="0" w:type="auto"/>
            <w:vAlign w:val="center"/>
          </w:tcPr>
          <w:p w:rsidR="00024C0A" w:rsidRDefault="00694C0F">
            <w:pPr>
              <w:pStyle w:val="TableBodyText"/>
            </w:pPr>
            <w:r>
              <w:t>MailMergeDataForm</w:t>
            </w:r>
          </w:p>
        </w:tc>
        <w:tc>
          <w:tcPr>
            <w:tcW w:w="0" w:type="auto"/>
            <w:vAlign w:val="center"/>
          </w:tcPr>
          <w:p w:rsidR="00024C0A" w:rsidRDefault="00694C0F">
            <w:pPr>
              <w:pStyle w:val="TableBodyText"/>
            </w:pPr>
            <w:r>
              <w:t>0154</w:t>
            </w:r>
          </w:p>
        </w:tc>
      </w:tr>
      <w:tr w:rsidR="00024C0A" w:rsidTr="00024C0A">
        <w:tc>
          <w:tcPr>
            <w:tcW w:w="0" w:type="auto"/>
            <w:vAlign w:val="center"/>
          </w:tcPr>
          <w:p w:rsidR="00024C0A" w:rsidRDefault="00694C0F">
            <w:pPr>
              <w:pStyle w:val="TableBodyText"/>
            </w:pPr>
            <w:r>
              <w:t>MailMergeEditAddressBlock</w:t>
            </w:r>
          </w:p>
        </w:tc>
        <w:tc>
          <w:tcPr>
            <w:tcW w:w="0" w:type="auto"/>
            <w:vAlign w:val="center"/>
          </w:tcPr>
          <w:p w:rsidR="00024C0A" w:rsidRDefault="00694C0F">
            <w:pPr>
              <w:pStyle w:val="TableBodyText"/>
            </w:pPr>
            <w:r>
              <w:t>0523</w:t>
            </w:r>
          </w:p>
        </w:tc>
      </w:tr>
      <w:tr w:rsidR="00024C0A" w:rsidTr="00024C0A">
        <w:tc>
          <w:tcPr>
            <w:tcW w:w="0" w:type="auto"/>
            <w:vAlign w:val="center"/>
          </w:tcPr>
          <w:p w:rsidR="00024C0A" w:rsidRDefault="00694C0F">
            <w:pPr>
              <w:pStyle w:val="TableBodyText"/>
            </w:pPr>
            <w:r>
              <w:t>MailMergeEditDataSource</w:t>
            </w:r>
          </w:p>
        </w:tc>
        <w:tc>
          <w:tcPr>
            <w:tcW w:w="0" w:type="auto"/>
            <w:vAlign w:val="center"/>
          </w:tcPr>
          <w:p w:rsidR="00024C0A" w:rsidRDefault="00694C0F">
            <w:pPr>
              <w:pStyle w:val="TableBodyText"/>
            </w:pPr>
            <w:r>
              <w:t>0068</w:t>
            </w:r>
          </w:p>
        </w:tc>
      </w:tr>
      <w:tr w:rsidR="00024C0A" w:rsidTr="00024C0A">
        <w:tc>
          <w:tcPr>
            <w:tcW w:w="0" w:type="auto"/>
            <w:vAlign w:val="center"/>
          </w:tcPr>
          <w:p w:rsidR="00024C0A" w:rsidRDefault="00694C0F">
            <w:pPr>
              <w:pStyle w:val="TableBodyText"/>
            </w:pPr>
            <w:r>
              <w:t>MailMergeEditGreetingLine</w:t>
            </w:r>
          </w:p>
        </w:tc>
        <w:tc>
          <w:tcPr>
            <w:tcW w:w="0" w:type="auto"/>
            <w:vAlign w:val="center"/>
          </w:tcPr>
          <w:p w:rsidR="00024C0A" w:rsidRDefault="00694C0F">
            <w:pPr>
              <w:pStyle w:val="TableBodyText"/>
            </w:pPr>
            <w:r>
              <w:t>0524</w:t>
            </w:r>
          </w:p>
        </w:tc>
      </w:tr>
      <w:tr w:rsidR="00024C0A" w:rsidTr="00024C0A">
        <w:tc>
          <w:tcPr>
            <w:tcW w:w="0" w:type="auto"/>
            <w:vAlign w:val="center"/>
          </w:tcPr>
          <w:p w:rsidR="00024C0A" w:rsidRDefault="00694C0F">
            <w:pPr>
              <w:pStyle w:val="TableBodyText"/>
            </w:pPr>
            <w:r>
              <w:t>MailMergeEditHeaderSource</w:t>
            </w:r>
          </w:p>
        </w:tc>
        <w:tc>
          <w:tcPr>
            <w:tcW w:w="0" w:type="auto"/>
            <w:vAlign w:val="center"/>
          </w:tcPr>
          <w:p w:rsidR="00024C0A" w:rsidRDefault="00694C0F">
            <w:pPr>
              <w:pStyle w:val="TableBodyText"/>
            </w:pPr>
            <w:r>
              <w:t>02A3</w:t>
            </w:r>
          </w:p>
        </w:tc>
      </w:tr>
      <w:tr w:rsidR="00024C0A" w:rsidTr="00024C0A">
        <w:tc>
          <w:tcPr>
            <w:tcW w:w="0" w:type="auto"/>
            <w:vAlign w:val="center"/>
          </w:tcPr>
          <w:p w:rsidR="00024C0A" w:rsidRDefault="00694C0F">
            <w:pPr>
              <w:pStyle w:val="TableBodyText"/>
            </w:pPr>
            <w:r>
              <w:t>MailMergeEditList</w:t>
            </w:r>
          </w:p>
        </w:tc>
        <w:tc>
          <w:tcPr>
            <w:tcW w:w="0" w:type="auto"/>
            <w:vAlign w:val="center"/>
          </w:tcPr>
          <w:p w:rsidR="00024C0A" w:rsidRDefault="00694C0F">
            <w:pPr>
              <w:pStyle w:val="TableBodyText"/>
            </w:pPr>
            <w:r>
              <w:t>055D</w:t>
            </w:r>
          </w:p>
        </w:tc>
      </w:tr>
      <w:tr w:rsidR="00024C0A" w:rsidTr="00024C0A">
        <w:tc>
          <w:tcPr>
            <w:tcW w:w="0" w:type="auto"/>
            <w:vAlign w:val="center"/>
          </w:tcPr>
          <w:p w:rsidR="00024C0A" w:rsidRDefault="00694C0F">
            <w:pPr>
              <w:pStyle w:val="TableBodyText"/>
            </w:pPr>
            <w:r>
              <w:t>MailMergeEditMainDocument</w:t>
            </w:r>
          </w:p>
        </w:tc>
        <w:tc>
          <w:tcPr>
            <w:tcW w:w="0" w:type="auto"/>
            <w:vAlign w:val="center"/>
          </w:tcPr>
          <w:p w:rsidR="00024C0A" w:rsidRDefault="00694C0F">
            <w:pPr>
              <w:pStyle w:val="TableBodyText"/>
            </w:pPr>
            <w:r>
              <w:t>00DB</w:t>
            </w:r>
          </w:p>
        </w:tc>
      </w:tr>
      <w:tr w:rsidR="00024C0A" w:rsidTr="00024C0A">
        <w:tc>
          <w:tcPr>
            <w:tcW w:w="0" w:type="auto"/>
            <w:vAlign w:val="center"/>
          </w:tcPr>
          <w:p w:rsidR="00024C0A" w:rsidRDefault="00694C0F">
            <w:pPr>
              <w:pStyle w:val="TableBodyText"/>
            </w:pPr>
            <w:r>
              <w:t>MailMergeFieldMapping</w:t>
            </w:r>
          </w:p>
        </w:tc>
        <w:tc>
          <w:tcPr>
            <w:tcW w:w="0" w:type="auto"/>
            <w:vAlign w:val="center"/>
          </w:tcPr>
          <w:p w:rsidR="00024C0A" w:rsidRDefault="00694C0F">
            <w:pPr>
              <w:pStyle w:val="TableBodyText"/>
            </w:pPr>
            <w:r>
              <w:t>0518</w:t>
            </w:r>
          </w:p>
        </w:tc>
      </w:tr>
      <w:tr w:rsidR="00024C0A" w:rsidTr="00024C0A">
        <w:tc>
          <w:tcPr>
            <w:tcW w:w="0" w:type="auto"/>
            <w:vAlign w:val="center"/>
          </w:tcPr>
          <w:p w:rsidR="00024C0A" w:rsidRDefault="00694C0F">
            <w:pPr>
              <w:pStyle w:val="TableBodyText"/>
            </w:pPr>
            <w:r>
              <w:t>MailMergeFindEntry</w:t>
            </w:r>
          </w:p>
        </w:tc>
        <w:tc>
          <w:tcPr>
            <w:tcW w:w="0" w:type="auto"/>
            <w:vAlign w:val="center"/>
          </w:tcPr>
          <w:p w:rsidR="00024C0A" w:rsidRDefault="00694C0F">
            <w:pPr>
              <w:pStyle w:val="TableBodyText"/>
            </w:pPr>
            <w:r>
              <w:t>052E</w:t>
            </w:r>
          </w:p>
        </w:tc>
      </w:tr>
      <w:tr w:rsidR="00024C0A" w:rsidTr="00024C0A">
        <w:tc>
          <w:tcPr>
            <w:tcW w:w="0" w:type="auto"/>
            <w:vAlign w:val="center"/>
          </w:tcPr>
          <w:p w:rsidR="00024C0A" w:rsidRDefault="00694C0F">
            <w:pPr>
              <w:pStyle w:val="TableBodyText"/>
            </w:pPr>
            <w:r>
              <w:t>MailMergeFindRecord</w:t>
            </w:r>
          </w:p>
        </w:tc>
        <w:tc>
          <w:tcPr>
            <w:tcW w:w="0" w:type="auto"/>
            <w:vAlign w:val="center"/>
          </w:tcPr>
          <w:p w:rsidR="00024C0A" w:rsidRDefault="00694C0F">
            <w:pPr>
              <w:pStyle w:val="TableBodyText"/>
            </w:pPr>
            <w:r>
              <w:t>0239</w:t>
            </w:r>
          </w:p>
        </w:tc>
      </w:tr>
      <w:tr w:rsidR="00024C0A" w:rsidTr="00024C0A">
        <w:tc>
          <w:tcPr>
            <w:tcW w:w="0" w:type="auto"/>
            <w:vAlign w:val="center"/>
          </w:tcPr>
          <w:p w:rsidR="00024C0A" w:rsidRDefault="00694C0F">
            <w:pPr>
              <w:pStyle w:val="TableBodyText"/>
            </w:pPr>
            <w:r>
              <w:t>MailMergeFirstRecord</w:t>
            </w:r>
          </w:p>
        </w:tc>
        <w:tc>
          <w:tcPr>
            <w:tcW w:w="0" w:type="auto"/>
            <w:vAlign w:val="center"/>
          </w:tcPr>
          <w:p w:rsidR="00024C0A" w:rsidRDefault="00694C0F">
            <w:pPr>
              <w:pStyle w:val="TableBodyText"/>
            </w:pPr>
            <w:r>
              <w:t>01E0</w:t>
            </w:r>
          </w:p>
        </w:tc>
      </w:tr>
      <w:tr w:rsidR="00024C0A" w:rsidTr="00024C0A">
        <w:tc>
          <w:tcPr>
            <w:tcW w:w="0" w:type="auto"/>
            <w:vAlign w:val="center"/>
          </w:tcPr>
          <w:p w:rsidR="00024C0A" w:rsidRDefault="00694C0F">
            <w:pPr>
              <w:pStyle w:val="TableBodyText"/>
            </w:pPr>
            <w:r>
              <w:t>MailMergeGoToRecord</w:t>
            </w:r>
          </w:p>
        </w:tc>
        <w:tc>
          <w:tcPr>
            <w:tcW w:w="0" w:type="auto"/>
            <w:vAlign w:val="center"/>
          </w:tcPr>
          <w:p w:rsidR="00024C0A" w:rsidRDefault="00694C0F">
            <w:pPr>
              <w:pStyle w:val="TableBodyText"/>
            </w:pPr>
            <w:r>
              <w:t>01E2</w:t>
            </w:r>
          </w:p>
        </w:tc>
      </w:tr>
      <w:tr w:rsidR="00024C0A" w:rsidTr="00024C0A">
        <w:tc>
          <w:tcPr>
            <w:tcW w:w="0" w:type="auto"/>
            <w:vAlign w:val="center"/>
          </w:tcPr>
          <w:p w:rsidR="00024C0A" w:rsidRDefault="00694C0F">
            <w:pPr>
              <w:pStyle w:val="TableBodyText"/>
            </w:pPr>
            <w:r>
              <w:t>MailMergeGreetingLine</w:t>
            </w:r>
          </w:p>
        </w:tc>
        <w:tc>
          <w:tcPr>
            <w:tcW w:w="0" w:type="auto"/>
            <w:vAlign w:val="center"/>
          </w:tcPr>
          <w:p w:rsidR="00024C0A" w:rsidRDefault="00694C0F">
            <w:pPr>
              <w:pStyle w:val="TableBodyText"/>
            </w:pPr>
            <w:r>
              <w:t>051A</w:t>
            </w:r>
          </w:p>
        </w:tc>
      </w:tr>
      <w:tr w:rsidR="00024C0A" w:rsidTr="00024C0A">
        <w:tc>
          <w:tcPr>
            <w:tcW w:w="0" w:type="auto"/>
            <w:vAlign w:val="center"/>
          </w:tcPr>
          <w:p w:rsidR="00024C0A" w:rsidRDefault="00694C0F">
            <w:pPr>
              <w:pStyle w:val="TableBodyText"/>
            </w:pPr>
            <w:r>
              <w:t>MailMergeHelper</w:t>
            </w:r>
          </w:p>
        </w:tc>
        <w:tc>
          <w:tcPr>
            <w:tcW w:w="0" w:type="auto"/>
            <w:vAlign w:val="center"/>
          </w:tcPr>
          <w:p w:rsidR="00024C0A" w:rsidRDefault="00694C0F">
            <w:pPr>
              <w:pStyle w:val="TableBodyText"/>
            </w:pPr>
            <w:r>
              <w:t>02A8</w:t>
            </w:r>
          </w:p>
        </w:tc>
      </w:tr>
      <w:tr w:rsidR="00024C0A" w:rsidTr="00024C0A">
        <w:tc>
          <w:tcPr>
            <w:tcW w:w="0" w:type="auto"/>
            <w:vAlign w:val="center"/>
          </w:tcPr>
          <w:p w:rsidR="00024C0A" w:rsidRDefault="00694C0F">
            <w:pPr>
              <w:pStyle w:val="TableBodyText"/>
            </w:pPr>
            <w:r>
              <w:t>MailMergeInsertAsk</w:t>
            </w:r>
          </w:p>
        </w:tc>
        <w:tc>
          <w:tcPr>
            <w:tcW w:w="0" w:type="auto"/>
            <w:vAlign w:val="center"/>
          </w:tcPr>
          <w:p w:rsidR="00024C0A" w:rsidRDefault="00694C0F">
            <w:pPr>
              <w:pStyle w:val="TableBodyText"/>
            </w:pPr>
            <w:r>
              <w:t>0FCF</w:t>
            </w:r>
          </w:p>
        </w:tc>
      </w:tr>
      <w:tr w:rsidR="00024C0A" w:rsidTr="00024C0A">
        <w:tc>
          <w:tcPr>
            <w:tcW w:w="0" w:type="auto"/>
            <w:vAlign w:val="center"/>
          </w:tcPr>
          <w:p w:rsidR="00024C0A" w:rsidRDefault="00694C0F">
            <w:pPr>
              <w:pStyle w:val="TableBodyText"/>
            </w:pPr>
            <w:r>
              <w:t>MailMergeInsertFields</w:t>
            </w:r>
          </w:p>
        </w:tc>
        <w:tc>
          <w:tcPr>
            <w:tcW w:w="0" w:type="auto"/>
            <w:vAlign w:val="center"/>
          </w:tcPr>
          <w:p w:rsidR="00024C0A" w:rsidRDefault="00694C0F">
            <w:pPr>
              <w:pStyle w:val="TableBodyText"/>
            </w:pPr>
            <w:r>
              <w:t>051B</w:t>
            </w:r>
          </w:p>
        </w:tc>
      </w:tr>
      <w:tr w:rsidR="00024C0A" w:rsidTr="00024C0A">
        <w:tc>
          <w:tcPr>
            <w:tcW w:w="0" w:type="auto"/>
            <w:vAlign w:val="center"/>
          </w:tcPr>
          <w:p w:rsidR="00024C0A" w:rsidRDefault="00694C0F">
            <w:pPr>
              <w:pStyle w:val="TableBodyText"/>
            </w:pPr>
            <w:r>
              <w:t>MailMergeInsertFieldsFlyout</w:t>
            </w:r>
          </w:p>
        </w:tc>
        <w:tc>
          <w:tcPr>
            <w:tcW w:w="0" w:type="auto"/>
            <w:vAlign w:val="center"/>
          </w:tcPr>
          <w:p w:rsidR="00024C0A" w:rsidRDefault="00694C0F">
            <w:pPr>
              <w:pStyle w:val="TableBodyText"/>
            </w:pPr>
            <w:r>
              <w:t>0988</w:t>
            </w:r>
          </w:p>
        </w:tc>
      </w:tr>
      <w:tr w:rsidR="00024C0A" w:rsidTr="00024C0A">
        <w:tc>
          <w:tcPr>
            <w:tcW w:w="0" w:type="auto"/>
            <w:vAlign w:val="center"/>
          </w:tcPr>
          <w:p w:rsidR="00024C0A" w:rsidRDefault="00694C0F">
            <w:pPr>
              <w:pStyle w:val="TableBodyText"/>
            </w:pPr>
            <w:r>
              <w:t>MailMergeInsertFillIn</w:t>
            </w:r>
          </w:p>
        </w:tc>
        <w:tc>
          <w:tcPr>
            <w:tcW w:w="0" w:type="auto"/>
            <w:vAlign w:val="center"/>
          </w:tcPr>
          <w:p w:rsidR="00024C0A" w:rsidRDefault="00694C0F">
            <w:pPr>
              <w:pStyle w:val="TableBodyText"/>
            </w:pPr>
            <w:r>
              <w:t>0FD0</w:t>
            </w:r>
          </w:p>
        </w:tc>
      </w:tr>
      <w:tr w:rsidR="00024C0A" w:rsidTr="00024C0A">
        <w:tc>
          <w:tcPr>
            <w:tcW w:w="0" w:type="auto"/>
            <w:vAlign w:val="center"/>
          </w:tcPr>
          <w:p w:rsidR="00024C0A" w:rsidRDefault="00694C0F">
            <w:pPr>
              <w:pStyle w:val="TableBodyText"/>
            </w:pPr>
            <w:r>
              <w:t>MailMergeInsertIf</w:t>
            </w:r>
          </w:p>
        </w:tc>
        <w:tc>
          <w:tcPr>
            <w:tcW w:w="0" w:type="auto"/>
            <w:vAlign w:val="center"/>
          </w:tcPr>
          <w:p w:rsidR="00024C0A" w:rsidRDefault="00694C0F">
            <w:pPr>
              <w:pStyle w:val="TableBodyText"/>
            </w:pPr>
            <w:r>
              <w:t>0FD1</w:t>
            </w:r>
          </w:p>
        </w:tc>
      </w:tr>
      <w:tr w:rsidR="00024C0A" w:rsidTr="00024C0A">
        <w:tc>
          <w:tcPr>
            <w:tcW w:w="0" w:type="auto"/>
            <w:vAlign w:val="center"/>
          </w:tcPr>
          <w:p w:rsidR="00024C0A" w:rsidRDefault="00694C0F">
            <w:pPr>
              <w:pStyle w:val="TableBodyText"/>
            </w:pPr>
            <w:r>
              <w:t>MailMergeInsertMergeKeyword</w:t>
            </w:r>
          </w:p>
        </w:tc>
        <w:tc>
          <w:tcPr>
            <w:tcW w:w="0" w:type="auto"/>
            <w:vAlign w:val="center"/>
          </w:tcPr>
          <w:p w:rsidR="00024C0A" w:rsidRDefault="00694C0F">
            <w:pPr>
              <w:pStyle w:val="TableBodyText"/>
            </w:pPr>
            <w:r>
              <w:t>0922</w:t>
            </w:r>
          </w:p>
        </w:tc>
      </w:tr>
      <w:tr w:rsidR="00024C0A" w:rsidTr="00024C0A">
        <w:tc>
          <w:tcPr>
            <w:tcW w:w="0" w:type="auto"/>
            <w:vAlign w:val="center"/>
          </w:tcPr>
          <w:p w:rsidR="00024C0A" w:rsidRDefault="00694C0F">
            <w:pPr>
              <w:pStyle w:val="TableBodyText"/>
            </w:pPr>
            <w:r>
              <w:t>MailMergeInsertMergeRec</w:t>
            </w:r>
          </w:p>
        </w:tc>
        <w:tc>
          <w:tcPr>
            <w:tcW w:w="0" w:type="auto"/>
            <w:vAlign w:val="center"/>
          </w:tcPr>
          <w:p w:rsidR="00024C0A" w:rsidRDefault="00694C0F">
            <w:pPr>
              <w:pStyle w:val="TableBodyText"/>
            </w:pPr>
            <w:r>
              <w:t>0FD2</w:t>
            </w:r>
          </w:p>
        </w:tc>
      </w:tr>
      <w:tr w:rsidR="00024C0A" w:rsidTr="00024C0A">
        <w:tc>
          <w:tcPr>
            <w:tcW w:w="0" w:type="auto"/>
            <w:vAlign w:val="center"/>
          </w:tcPr>
          <w:p w:rsidR="00024C0A" w:rsidRDefault="00694C0F">
            <w:pPr>
              <w:pStyle w:val="TableBodyText"/>
            </w:pPr>
            <w:r>
              <w:t>MailMergeInsertMergeSeq</w:t>
            </w:r>
          </w:p>
        </w:tc>
        <w:tc>
          <w:tcPr>
            <w:tcW w:w="0" w:type="auto"/>
            <w:vAlign w:val="center"/>
          </w:tcPr>
          <w:p w:rsidR="00024C0A" w:rsidRDefault="00694C0F">
            <w:pPr>
              <w:pStyle w:val="TableBodyText"/>
            </w:pPr>
            <w:r>
              <w:t>0FD3</w:t>
            </w:r>
          </w:p>
        </w:tc>
      </w:tr>
      <w:tr w:rsidR="00024C0A" w:rsidTr="00024C0A">
        <w:tc>
          <w:tcPr>
            <w:tcW w:w="0" w:type="auto"/>
            <w:vAlign w:val="center"/>
          </w:tcPr>
          <w:p w:rsidR="00024C0A" w:rsidRDefault="00694C0F">
            <w:pPr>
              <w:pStyle w:val="TableBodyText"/>
            </w:pPr>
            <w:r>
              <w:t>MailMergeInsertNext</w:t>
            </w:r>
          </w:p>
        </w:tc>
        <w:tc>
          <w:tcPr>
            <w:tcW w:w="0" w:type="auto"/>
            <w:vAlign w:val="center"/>
          </w:tcPr>
          <w:p w:rsidR="00024C0A" w:rsidRDefault="00694C0F">
            <w:pPr>
              <w:pStyle w:val="TableBodyText"/>
            </w:pPr>
            <w:r>
              <w:t>0FD4</w:t>
            </w:r>
          </w:p>
        </w:tc>
      </w:tr>
      <w:tr w:rsidR="00024C0A" w:rsidTr="00024C0A">
        <w:tc>
          <w:tcPr>
            <w:tcW w:w="0" w:type="auto"/>
            <w:vAlign w:val="center"/>
          </w:tcPr>
          <w:p w:rsidR="00024C0A" w:rsidRDefault="00694C0F">
            <w:pPr>
              <w:pStyle w:val="TableBodyText"/>
            </w:pPr>
            <w:r>
              <w:t>MailMergeInsertNextIf</w:t>
            </w:r>
          </w:p>
        </w:tc>
        <w:tc>
          <w:tcPr>
            <w:tcW w:w="0" w:type="auto"/>
            <w:vAlign w:val="center"/>
          </w:tcPr>
          <w:p w:rsidR="00024C0A" w:rsidRDefault="00694C0F">
            <w:pPr>
              <w:pStyle w:val="TableBodyText"/>
            </w:pPr>
            <w:r>
              <w:t>0FD5</w:t>
            </w:r>
          </w:p>
        </w:tc>
      </w:tr>
      <w:tr w:rsidR="00024C0A" w:rsidTr="00024C0A">
        <w:tc>
          <w:tcPr>
            <w:tcW w:w="0" w:type="auto"/>
            <w:vAlign w:val="center"/>
          </w:tcPr>
          <w:p w:rsidR="00024C0A" w:rsidRDefault="00694C0F">
            <w:pPr>
              <w:pStyle w:val="TableBodyText"/>
            </w:pPr>
            <w:r>
              <w:t>MailMergeInsertSet</w:t>
            </w:r>
          </w:p>
        </w:tc>
        <w:tc>
          <w:tcPr>
            <w:tcW w:w="0" w:type="auto"/>
            <w:vAlign w:val="center"/>
          </w:tcPr>
          <w:p w:rsidR="00024C0A" w:rsidRDefault="00694C0F">
            <w:pPr>
              <w:pStyle w:val="TableBodyText"/>
            </w:pPr>
            <w:r>
              <w:t>0FD6</w:t>
            </w:r>
          </w:p>
        </w:tc>
      </w:tr>
      <w:tr w:rsidR="00024C0A" w:rsidTr="00024C0A">
        <w:tc>
          <w:tcPr>
            <w:tcW w:w="0" w:type="auto"/>
            <w:vAlign w:val="center"/>
          </w:tcPr>
          <w:p w:rsidR="00024C0A" w:rsidRDefault="00694C0F">
            <w:pPr>
              <w:pStyle w:val="TableBodyText"/>
            </w:pPr>
            <w:r>
              <w:t>MailMergeInsertSkipIf</w:t>
            </w:r>
          </w:p>
        </w:tc>
        <w:tc>
          <w:tcPr>
            <w:tcW w:w="0" w:type="auto"/>
            <w:vAlign w:val="center"/>
          </w:tcPr>
          <w:p w:rsidR="00024C0A" w:rsidRDefault="00694C0F">
            <w:pPr>
              <w:pStyle w:val="TableBodyText"/>
            </w:pPr>
            <w:r>
              <w:t>0FD7</w:t>
            </w:r>
          </w:p>
        </w:tc>
      </w:tr>
      <w:tr w:rsidR="00024C0A" w:rsidTr="00024C0A">
        <w:tc>
          <w:tcPr>
            <w:tcW w:w="0" w:type="auto"/>
            <w:vAlign w:val="center"/>
          </w:tcPr>
          <w:p w:rsidR="00024C0A" w:rsidRDefault="00694C0F">
            <w:pPr>
              <w:pStyle w:val="TableBodyText"/>
            </w:pPr>
            <w:r>
              <w:t>MailMergeLastRecord</w:t>
            </w:r>
          </w:p>
        </w:tc>
        <w:tc>
          <w:tcPr>
            <w:tcW w:w="0" w:type="auto"/>
            <w:vAlign w:val="center"/>
          </w:tcPr>
          <w:p w:rsidR="00024C0A" w:rsidRDefault="00694C0F">
            <w:pPr>
              <w:pStyle w:val="TableBodyText"/>
            </w:pPr>
            <w:r>
              <w:t>01E1</w:t>
            </w:r>
          </w:p>
        </w:tc>
      </w:tr>
      <w:tr w:rsidR="00024C0A" w:rsidTr="00024C0A">
        <w:tc>
          <w:tcPr>
            <w:tcW w:w="0" w:type="auto"/>
            <w:vAlign w:val="center"/>
          </w:tcPr>
          <w:p w:rsidR="00024C0A" w:rsidRDefault="00694C0F">
            <w:pPr>
              <w:pStyle w:val="TableBodyText"/>
            </w:pPr>
            <w:r>
              <w:t>MailMergeListWordFields</w:t>
            </w:r>
          </w:p>
        </w:tc>
        <w:tc>
          <w:tcPr>
            <w:tcW w:w="0" w:type="auto"/>
            <w:vAlign w:val="center"/>
          </w:tcPr>
          <w:p w:rsidR="00024C0A" w:rsidRDefault="00694C0F">
            <w:pPr>
              <w:pStyle w:val="TableBodyText"/>
            </w:pPr>
            <w:r>
              <w:t>0238</w:t>
            </w:r>
          </w:p>
        </w:tc>
      </w:tr>
      <w:tr w:rsidR="00024C0A" w:rsidTr="00024C0A">
        <w:tc>
          <w:tcPr>
            <w:tcW w:w="0" w:type="auto"/>
            <w:vAlign w:val="center"/>
          </w:tcPr>
          <w:p w:rsidR="00024C0A" w:rsidRDefault="00694C0F">
            <w:pPr>
              <w:pStyle w:val="TableBodyText"/>
            </w:pPr>
            <w:r>
              <w:lastRenderedPageBreak/>
              <w:t>MailMergeNextRecord</w:t>
            </w:r>
          </w:p>
        </w:tc>
        <w:tc>
          <w:tcPr>
            <w:tcW w:w="0" w:type="auto"/>
            <w:vAlign w:val="center"/>
          </w:tcPr>
          <w:p w:rsidR="00024C0A" w:rsidRDefault="00694C0F">
            <w:pPr>
              <w:pStyle w:val="TableBodyText"/>
            </w:pPr>
            <w:r>
              <w:t>01DE</w:t>
            </w:r>
          </w:p>
        </w:tc>
      </w:tr>
      <w:tr w:rsidR="00024C0A" w:rsidTr="00024C0A">
        <w:tc>
          <w:tcPr>
            <w:tcW w:w="0" w:type="auto"/>
            <w:vAlign w:val="center"/>
          </w:tcPr>
          <w:p w:rsidR="00024C0A" w:rsidRDefault="00694C0F">
            <w:pPr>
              <w:pStyle w:val="TableBodyText"/>
            </w:pPr>
            <w:r>
              <w:t>MailMergeOpenDataSource</w:t>
            </w:r>
          </w:p>
        </w:tc>
        <w:tc>
          <w:tcPr>
            <w:tcW w:w="0" w:type="auto"/>
            <w:vAlign w:val="center"/>
          </w:tcPr>
          <w:p w:rsidR="00024C0A" w:rsidRDefault="00694C0F">
            <w:pPr>
              <w:pStyle w:val="TableBodyText"/>
            </w:pPr>
            <w:r>
              <w:t>0051</w:t>
            </w:r>
          </w:p>
        </w:tc>
      </w:tr>
      <w:tr w:rsidR="00024C0A" w:rsidTr="00024C0A">
        <w:tc>
          <w:tcPr>
            <w:tcW w:w="0" w:type="auto"/>
            <w:vAlign w:val="center"/>
          </w:tcPr>
          <w:p w:rsidR="00024C0A" w:rsidRDefault="00694C0F">
            <w:pPr>
              <w:pStyle w:val="TableBodyText"/>
            </w:pPr>
            <w:r>
              <w:t>MailMergeOpenHeaderSource</w:t>
            </w:r>
          </w:p>
        </w:tc>
        <w:tc>
          <w:tcPr>
            <w:tcW w:w="0" w:type="auto"/>
            <w:vAlign w:val="center"/>
          </w:tcPr>
          <w:p w:rsidR="00024C0A" w:rsidRDefault="00694C0F">
            <w:pPr>
              <w:pStyle w:val="TableBodyText"/>
            </w:pPr>
            <w:r>
              <w:t>0052</w:t>
            </w:r>
          </w:p>
        </w:tc>
      </w:tr>
      <w:tr w:rsidR="00024C0A" w:rsidTr="00024C0A">
        <w:tc>
          <w:tcPr>
            <w:tcW w:w="0" w:type="auto"/>
            <w:vAlign w:val="center"/>
          </w:tcPr>
          <w:p w:rsidR="00024C0A" w:rsidRDefault="00694C0F">
            <w:pPr>
              <w:pStyle w:val="TableBodyText"/>
            </w:pPr>
            <w:r>
              <w:t>MailMergePrevRecord</w:t>
            </w:r>
          </w:p>
        </w:tc>
        <w:tc>
          <w:tcPr>
            <w:tcW w:w="0" w:type="auto"/>
            <w:vAlign w:val="center"/>
          </w:tcPr>
          <w:p w:rsidR="00024C0A" w:rsidRDefault="00694C0F">
            <w:pPr>
              <w:pStyle w:val="TableBodyText"/>
            </w:pPr>
            <w:r>
              <w:t>01DF</w:t>
            </w:r>
          </w:p>
        </w:tc>
      </w:tr>
      <w:tr w:rsidR="00024C0A" w:rsidTr="00024C0A">
        <w:tc>
          <w:tcPr>
            <w:tcW w:w="0" w:type="auto"/>
            <w:vAlign w:val="center"/>
          </w:tcPr>
          <w:p w:rsidR="00024C0A" w:rsidRDefault="00694C0F">
            <w:pPr>
              <w:pStyle w:val="TableBodyText"/>
            </w:pPr>
            <w:r>
              <w:t>MailMergePropagateLabel</w:t>
            </w:r>
          </w:p>
        </w:tc>
        <w:tc>
          <w:tcPr>
            <w:tcW w:w="0" w:type="auto"/>
            <w:vAlign w:val="center"/>
          </w:tcPr>
          <w:p w:rsidR="00024C0A" w:rsidRDefault="00694C0F">
            <w:pPr>
              <w:pStyle w:val="TableBodyText"/>
            </w:pPr>
            <w:r>
              <w:t>052D</w:t>
            </w:r>
          </w:p>
        </w:tc>
      </w:tr>
      <w:tr w:rsidR="00024C0A" w:rsidTr="00024C0A">
        <w:tc>
          <w:tcPr>
            <w:tcW w:w="0" w:type="auto"/>
            <w:vAlign w:val="center"/>
          </w:tcPr>
          <w:p w:rsidR="00024C0A" w:rsidRDefault="00694C0F">
            <w:pPr>
              <w:pStyle w:val="TableBodyText"/>
            </w:pPr>
            <w:r>
              <w:t>MailMergeQueryOptions</w:t>
            </w:r>
          </w:p>
        </w:tc>
        <w:tc>
          <w:tcPr>
            <w:tcW w:w="0" w:type="auto"/>
            <w:vAlign w:val="center"/>
          </w:tcPr>
          <w:p w:rsidR="00024C0A" w:rsidRDefault="00694C0F">
            <w:pPr>
              <w:pStyle w:val="TableBodyText"/>
            </w:pPr>
            <w:r>
              <w:t>02A9</w:t>
            </w:r>
          </w:p>
        </w:tc>
      </w:tr>
      <w:tr w:rsidR="00024C0A" w:rsidTr="00024C0A">
        <w:tc>
          <w:tcPr>
            <w:tcW w:w="0" w:type="auto"/>
            <w:vAlign w:val="center"/>
          </w:tcPr>
          <w:p w:rsidR="00024C0A" w:rsidRDefault="00694C0F">
            <w:pPr>
              <w:pStyle w:val="TableBodyText"/>
            </w:pPr>
            <w:r>
              <w:t>MailMergeRecipients</w:t>
            </w:r>
          </w:p>
        </w:tc>
        <w:tc>
          <w:tcPr>
            <w:tcW w:w="0" w:type="auto"/>
            <w:vAlign w:val="center"/>
          </w:tcPr>
          <w:p w:rsidR="00024C0A" w:rsidRDefault="00694C0F">
            <w:pPr>
              <w:pStyle w:val="TableBodyText"/>
            </w:pPr>
            <w:r>
              <w:t>051C</w:t>
            </w:r>
          </w:p>
        </w:tc>
      </w:tr>
      <w:tr w:rsidR="00024C0A" w:rsidTr="00024C0A">
        <w:tc>
          <w:tcPr>
            <w:tcW w:w="0" w:type="auto"/>
            <w:vAlign w:val="center"/>
          </w:tcPr>
          <w:p w:rsidR="00024C0A" w:rsidRDefault="00694C0F">
            <w:pPr>
              <w:pStyle w:val="TableBodyText"/>
            </w:pPr>
            <w:r>
              <w:t>MailMergeReset</w:t>
            </w:r>
          </w:p>
        </w:tc>
        <w:tc>
          <w:tcPr>
            <w:tcW w:w="0" w:type="auto"/>
            <w:vAlign w:val="center"/>
          </w:tcPr>
          <w:p w:rsidR="00024C0A" w:rsidRDefault="00694C0F">
            <w:pPr>
              <w:pStyle w:val="TableBodyText"/>
            </w:pPr>
            <w:r>
              <w:t>0060</w:t>
            </w:r>
          </w:p>
        </w:tc>
      </w:tr>
      <w:tr w:rsidR="00024C0A" w:rsidTr="00024C0A">
        <w:tc>
          <w:tcPr>
            <w:tcW w:w="0" w:type="auto"/>
            <w:vAlign w:val="center"/>
          </w:tcPr>
          <w:p w:rsidR="00024C0A" w:rsidRDefault="00694C0F">
            <w:pPr>
              <w:pStyle w:val="TableBodyText"/>
            </w:pPr>
            <w:r>
              <w:t>MailMergeSetDocTypeDirectory</w:t>
            </w:r>
          </w:p>
        </w:tc>
        <w:tc>
          <w:tcPr>
            <w:tcW w:w="0" w:type="auto"/>
            <w:vAlign w:val="center"/>
          </w:tcPr>
          <w:p w:rsidR="00024C0A" w:rsidRDefault="00694C0F">
            <w:pPr>
              <w:pStyle w:val="TableBodyText"/>
            </w:pPr>
            <w:r>
              <w:t>0824</w:t>
            </w:r>
          </w:p>
        </w:tc>
      </w:tr>
      <w:tr w:rsidR="00024C0A" w:rsidTr="00024C0A">
        <w:tc>
          <w:tcPr>
            <w:tcW w:w="0" w:type="auto"/>
            <w:vAlign w:val="center"/>
          </w:tcPr>
          <w:p w:rsidR="00024C0A" w:rsidRDefault="00694C0F">
            <w:pPr>
              <w:pStyle w:val="TableBodyText"/>
            </w:pPr>
            <w:r>
              <w:t>MailMergeSetDocTypeEmail</w:t>
            </w:r>
          </w:p>
        </w:tc>
        <w:tc>
          <w:tcPr>
            <w:tcW w:w="0" w:type="auto"/>
            <w:vAlign w:val="center"/>
          </w:tcPr>
          <w:p w:rsidR="00024C0A" w:rsidRDefault="00694C0F">
            <w:pPr>
              <w:pStyle w:val="TableBodyText"/>
            </w:pPr>
            <w:r>
              <w:t>0820</w:t>
            </w:r>
          </w:p>
        </w:tc>
      </w:tr>
      <w:tr w:rsidR="00024C0A" w:rsidTr="00024C0A">
        <w:tc>
          <w:tcPr>
            <w:tcW w:w="0" w:type="auto"/>
            <w:vAlign w:val="center"/>
          </w:tcPr>
          <w:p w:rsidR="00024C0A" w:rsidRDefault="00694C0F">
            <w:pPr>
              <w:pStyle w:val="TableBodyText"/>
            </w:pPr>
            <w:r>
              <w:t>MailMergeSetDocTypeEnvelope</w:t>
            </w:r>
          </w:p>
        </w:tc>
        <w:tc>
          <w:tcPr>
            <w:tcW w:w="0" w:type="auto"/>
            <w:vAlign w:val="center"/>
          </w:tcPr>
          <w:p w:rsidR="00024C0A" w:rsidRDefault="00694C0F">
            <w:pPr>
              <w:pStyle w:val="TableBodyText"/>
            </w:pPr>
            <w:r>
              <w:t>0822</w:t>
            </w:r>
          </w:p>
        </w:tc>
      </w:tr>
      <w:tr w:rsidR="00024C0A" w:rsidTr="00024C0A">
        <w:tc>
          <w:tcPr>
            <w:tcW w:w="0" w:type="auto"/>
            <w:vAlign w:val="center"/>
          </w:tcPr>
          <w:p w:rsidR="00024C0A" w:rsidRDefault="00694C0F">
            <w:pPr>
              <w:pStyle w:val="TableBodyText"/>
            </w:pPr>
            <w:r>
              <w:t>MailMergeSetDocTypeFax</w:t>
            </w:r>
          </w:p>
        </w:tc>
        <w:tc>
          <w:tcPr>
            <w:tcW w:w="0" w:type="auto"/>
            <w:vAlign w:val="center"/>
          </w:tcPr>
          <w:p w:rsidR="00024C0A" w:rsidRDefault="00694C0F">
            <w:pPr>
              <w:pStyle w:val="TableBodyText"/>
            </w:pPr>
            <w:r>
              <w:t>0821</w:t>
            </w:r>
          </w:p>
        </w:tc>
      </w:tr>
      <w:tr w:rsidR="00024C0A" w:rsidTr="00024C0A">
        <w:tc>
          <w:tcPr>
            <w:tcW w:w="0" w:type="auto"/>
            <w:vAlign w:val="center"/>
          </w:tcPr>
          <w:p w:rsidR="00024C0A" w:rsidRDefault="00694C0F">
            <w:pPr>
              <w:pStyle w:val="TableBodyText"/>
            </w:pPr>
            <w:r>
              <w:t>MailMergeSetDocTypeFormLetter</w:t>
            </w:r>
          </w:p>
        </w:tc>
        <w:tc>
          <w:tcPr>
            <w:tcW w:w="0" w:type="auto"/>
            <w:vAlign w:val="center"/>
          </w:tcPr>
          <w:p w:rsidR="00024C0A" w:rsidRDefault="00694C0F">
            <w:pPr>
              <w:pStyle w:val="TableBodyText"/>
            </w:pPr>
            <w:r>
              <w:t>081F</w:t>
            </w:r>
          </w:p>
        </w:tc>
      </w:tr>
      <w:tr w:rsidR="00024C0A" w:rsidTr="00024C0A">
        <w:tc>
          <w:tcPr>
            <w:tcW w:w="0" w:type="auto"/>
            <w:vAlign w:val="center"/>
          </w:tcPr>
          <w:p w:rsidR="00024C0A" w:rsidRDefault="00694C0F">
            <w:pPr>
              <w:pStyle w:val="TableBodyText"/>
            </w:pPr>
            <w:r>
              <w:t>MailMergeSetDocTypeLabel</w:t>
            </w:r>
          </w:p>
        </w:tc>
        <w:tc>
          <w:tcPr>
            <w:tcW w:w="0" w:type="auto"/>
            <w:vAlign w:val="center"/>
          </w:tcPr>
          <w:p w:rsidR="00024C0A" w:rsidRDefault="00694C0F">
            <w:pPr>
              <w:pStyle w:val="TableBodyText"/>
            </w:pPr>
            <w:r>
              <w:t>0823</w:t>
            </w:r>
          </w:p>
        </w:tc>
      </w:tr>
      <w:tr w:rsidR="00024C0A" w:rsidTr="00024C0A">
        <w:tc>
          <w:tcPr>
            <w:tcW w:w="0" w:type="auto"/>
            <w:vAlign w:val="center"/>
          </w:tcPr>
          <w:p w:rsidR="00024C0A" w:rsidRDefault="00694C0F">
            <w:pPr>
              <w:pStyle w:val="TableBodyText"/>
            </w:pPr>
            <w:r>
              <w:t>MailMergeSetDocumentType</w:t>
            </w:r>
          </w:p>
        </w:tc>
        <w:tc>
          <w:tcPr>
            <w:tcW w:w="0" w:type="auto"/>
            <w:vAlign w:val="center"/>
          </w:tcPr>
          <w:p w:rsidR="00024C0A" w:rsidRDefault="00694C0F">
            <w:pPr>
              <w:pStyle w:val="TableBodyText"/>
            </w:pPr>
            <w:r>
              <w:t>053B</w:t>
            </w:r>
          </w:p>
        </w:tc>
      </w:tr>
      <w:tr w:rsidR="00024C0A" w:rsidTr="00024C0A">
        <w:tc>
          <w:tcPr>
            <w:tcW w:w="0" w:type="auto"/>
            <w:vAlign w:val="center"/>
          </w:tcPr>
          <w:p w:rsidR="00024C0A" w:rsidRDefault="00694C0F">
            <w:pPr>
              <w:pStyle w:val="TableBodyText"/>
            </w:pPr>
            <w:r>
              <w:t>MailMergeShadeFields</w:t>
            </w:r>
          </w:p>
        </w:tc>
        <w:tc>
          <w:tcPr>
            <w:tcW w:w="0" w:type="auto"/>
            <w:vAlign w:val="center"/>
          </w:tcPr>
          <w:p w:rsidR="00024C0A" w:rsidRDefault="00694C0F">
            <w:pPr>
              <w:pStyle w:val="TableBodyText"/>
            </w:pPr>
            <w:r>
              <w:t>04DD</w:t>
            </w:r>
          </w:p>
        </w:tc>
      </w:tr>
      <w:tr w:rsidR="00024C0A" w:rsidTr="00024C0A">
        <w:tc>
          <w:tcPr>
            <w:tcW w:w="0" w:type="auto"/>
            <w:vAlign w:val="center"/>
          </w:tcPr>
          <w:p w:rsidR="00024C0A" w:rsidRDefault="00694C0F">
            <w:pPr>
              <w:pStyle w:val="TableBodyText"/>
            </w:pPr>
            <w:r>
              <w:t>MailMergeToDoc</w:t>
            </w:r>
          </w:p>
        </w:tc>
        <w:tc>
          <w:tcPr>
            <w:tcW w:w="0" w:type="auto"/>
            <w:vAlign w:val="center"/>
          </w:tcPr>
          <w:p w:rsidR="00024C0A" w:rsidRDefault="00694C0F">
            <w:pPr>
              <w:pStyle w:val="TableBodyText"/>
            </w:pPr>
            <w:r>
              <w:t>02A6</w:t>
            </w:r>
          </w:p>
        </w:tc>
      </w:tr>
      <w:tr w:rsidR="00024C0A" w:rsidTr="00024C0A">
        <w:tc>
          <w:tcPr>
            <w:tcW w:w="0" w:type="auto"/>
            <w:vAlign w:val="center"/>
          </w:tcPr>
          <w:p w:rsidR="00024C0A" w:rsidRDefault="00694C0F">
            <w:pPr>
              <w:pStyle w:val="TableBodyText"/>
            </w:pPr>
            <w:r>
              <w:t>MailMergeToEMail</w:t>
            </w:r>
          </w:p>
        </w:tc>
        <w:tc>
          <w:tcPr>
            <w:tcW w:w="0" w:type="auto"/>
            <w:vAlign w:val="center"/>
          </w:tcPr>
          <w:p w:rsidR="00024C0A" w:rsidRDefault="00694C0F">
            <w:pPr>
              <w:pStyle w:val="TableBodyText"/>
            </w:pPr>
            <w:r>
              <w:t>0559</w:t>
            </w:r>
          </w:p>
        </w:tc>
      </w:tr>
      <w:tr w:rsidR="00024C0A" w:rsidTr="00024C0A">
        <w:tc>
          <w:tcPr>
            <w:tcW w:w="0" w:type="auto"/>
            <w:vAlign w:val="center"/>
          </w:tcPr>
          <w:p w:rsidR="00024C0A" w:rsidRDefault="00694C0F">
            <w:pPr>
              <w:pStyle w:val="TableBodyText"/>
            </w:pPr>
            <w:r>
              <w:t>MailMergeToFax</w:t>
            </w:r>
          </w:p>
        </w:tc>
        <w:tc>
          <w:tcPr>
            <w:tcW w:w="0" w:type="auto"/>
            <w:vAlign w:val="center"/>
          </w:tcPr>
          <w:p w:rsidR="00024C0A" w:rsidRDefault="00694C0F">
            <w:pPr>
              <w:pStyle w:val="TableBodyText"/>
            </w:pPr>
            <w:r>
              <w:t>055A</w:t>
            </w:r>
          </w:p>
        </w:tc>
      </w:tr>
      <w:tr w:rsidR="00024C0A" w:rsidTr="00024C0A">
        <w:tc>
          <w:tcPr>
            <w:tcW w:w="0" w:type="auto"/>
            <w:vAlign w:val="center"/>
          </w:tcPr>
          <w:p w:rsidR="00024C0A" w:rsidRDefault="00694C0F">
            <w:pPr>
              <w:pStyle w:val="TableBodyText"/>
            </w:pPr>
            <w:r>
              <w:t>MailMergeToPrinter</w:t>
            </w:r>
          </w:p>
        </w:tc>
        <w:tc>
          <w:tcPr>
            <w:tcW w:w="0" w:type="auto"/>
            <w:vAlign w:val="center"/>
          </w:tcPr>
          <w:p w:rsidR="00024C0A" w:rsidRDefault="00694C0F">
            <w:pPr>
              <w:pStyle w:val="TableBodyText"/>
            </w:pPr>
            <w:r>
              <w:t>02A7</w:t>
            </w:r>
          </w:p>
        </w:tc>
      </w:tr>
      <w:tr w:rsidR="00024C0A" w:rsidTr="00024C0A">
        <w:tc>
          <w:tcPr>
            <w:tcW w:w="0" w:type="auto"/>
            <w:vAlign w:val="center"/>
          </w:tcPr>
          <w:p w:rsidR="00024C0A" w:rsidRDefault="00694C0F">
            <w:pPr>
              <w:pStyle w:val="TableBodyText"/>
            </w:pPr>
            <w:r>
              <w:t>MailMergeToolbar</w:t>
            </w:r>
          </w:p>
        </w:tc>
        <w:tc>
          <w:tcPr>
            <w:tcW w:w="0" w:type="auto"/>
            <w:vAlign w:val="center"/>
          </w:tcPr>
          <w:p w:rsidR="00024C0A" w:rsidRDefault="00694C0F">
            <w:pPr>
              <w:pStyle w:val="TableBodyText"/>
            </w:pPr>
            <w:r>
              <w:t>055B</w:t>
            </w:r>
          </w:p>
        </w:tc>
      </w:tr>
      <w:tr w:rsidR="00024C0A" w:rsidTr="00024C0A">
        <w:tc>
          <w:tcPr>
            <w:tcW w:w="0" w:type="auto"/>
            <w:vAlign w:val="center"/>
          </w:tcPr>
          <w:p w:rsidR="00024C0A" w:rsidRDefault="00694C0F">
            <w:pPr>
              <w:pStyle w:val="TableBodyText"/>
            </w:pPr>
            <w:r>
              <w:t>MailMergeUseAddressBook</w:t>
            </w:r>
          </w:p>
        </w:tc>
        <w:tc>
          <w:tcPr>
            <w:tcW w:w="0" w:type="auto"/>
            <w:vAlign w:val="center"/>
          </w:tcPr>
          <w:p w:rsidR="00024C0A" w:rsidRDefault="00694C0F">
            <w:pPr>
              <w:pStyle w:val="TableBodyText"/>
            </w:pPr>
            <w:r>
              <w:t>030B</w:t>
            </w:r>
          </w:p>
        </w:tc>
      </w:tr>
      <w:tr w:rsidR="00024C0A" w:rsidTr="00024C0A">
        <w:tc>
          <w:tcPr>
            <w:tcW w:w="0" w:type="auto"/>
            <w:vAlign w:val="center"/>
          </w:tcPr>
          <w:p w:rsidR="00024C0A" w:rsidRDefault="00694C0F">
            <w:pPr>
              <w:pStyle w:val="TableBodyText"/>
            </w:pPr>
            <w:r>
              <w:t>MailMergeUseOutlookContacts</w:t>
            </w:r>
          </w:p>
        </w:tc>
        <w:tc>
          <w:tcPr>
            <w:tcW w:w="0" w:type="auto"/>
            <w:vAlign w:val="center"/>
          </w:tcPr>
          <w:p w:rsidR="00024C0A" w:rsidRDefault="00694C0F">
            <w:pPr>
              <w:pStyle w:val="TableBodyText"/>
            </w:pPr>
            <w:r>
              <w:t>0974</w:t>
            </w:r>
          </w:p>
        </w:tc>
      </w:tr>
      <w:tr w:rsidR="00024C0A" w:rsidTr="00024C0A">
        <w:tc>
          <w:tcPr>
            <w:tcW w:w="0" w:type="auto"/>
            <w:vAlign w:val="center"/>
          </w:tcPr>
          <w:p w:rsidR="00024C0A" w:rsidRDefault="00694C0F">
            <w:pPr>
              <w:pStyle w:val="TableBodyText"/>
            </w:pPr>
            <w:r>
              <w:t>MailMergeViewData</w:t>
            </w:r>
          </w:p>
        </w:tc>
        <w:tc>
          <w:tcPr>
            <w:tcW w:w="0" w:type="auto"/>
            <w:vAlign w:val="center"/>
          </w:tcPr>
          <w:p w:rsidR="00024C0A" w:rsidRDefault="00694C0F">
            <w:pPr>
              <w:pStyle w:val="TableBodyText"/>
            </w:pPr>
            <w:r>
              <w:t>01AF</w:t>
            </w:r>
          </w:p>
        </w:tc>
      </w:tr>
      <w:tr w:rsidR="00024C0A" w:rsidTr="00024C0A">
        <w:tc>
          <w:tcPr>
            <w:tcW w:w="0" w:type="auto"/>
            <w:vAlign w:val="center"/>
          </w:tcPr>
          <w:p w:rsidR="00024C0A" w:rsidRDefault="00694C0F">
            <w:pPr>
              <w:pStyle w:val="TableBodyText"/>
            </w:pPr>
            <w:r>
              <w:t>MailMergeWizard</w:t>
            </w:r>
          </w:p>
        </w:tc>
        <w:tc>
          <w:tcPr>
            <w:tcW w:w="0" w:type="auto"/>
            <w:vAlign w:val="center"/>
          </w:tcPr>
          <w:p w:rsidR="00024C0A" w:rsidRDefault="00694C0F">
            <w:pPr>
              <w:pStyle w:val="TableBodyText"/>
            </w:pPr>
            <w:r>
              <w:t>04DE</w:t>
            </w:r>
          </w:p>
        </w:tc>
      </w:tr>
      <w:tr w:rsidR="00024C0A" w:rsidTr="00024C0A">
        <w:tc>
          <w:tcPr>
            <w:tcW w:w="0" w:type="auto"/>
            <w:vAlign w:val="center"/>
          </w:tcPr>
          <w:p w:rsidR="00024C0A" w:rsidRDefault="00694C0F">
            <w:pPr>
              <w:pStyle w:val="TableBodyText"/>
            </w:pPr>
            <w:r>
              <w:t>MailMessageDelete</w:t>
            </w:r>
          </w:p>
        </w:tc>
        <w:tc>
          <w:tcPr>
            <w:tcW w:w="0" w:type="auto"/>
            <w:vAlign w:val="center"/>
          </w:tcPr>
          <w:p w:rsidR="00024C0A" w:rsidRDefault="00694C0F">
            <w:pPr>
              <w:pStyle w:val="TableBodyText"/>
            </w:pPr>
            <w:r>
              <w:t>0303</w:t>
            </w:r>
          </w:p>
        </w:tc>
      </w:tr>
      <w:tr w:rsidR="00024C0A" w:rsidTr="00024C0A">
        <w:tc>
          <w:tcPr>
            <w:tcW w:w="0" w:type="auto"/>
            <w:vAlign w:val="center"/>
          </w:tcPr>
          <w:p w:rsidR="00024C0A" w:rsidRDefault="00694C0F">
            <w:pPr>
              <w:pStyle w:val="TableBodyText"/>
            </w:pPr>
            <w:r>
              <w:t>MailMessageForward</w:t>
            </w:r>
          </w:p>
        </w:tc>
        <w:tc>
          <w:tcPr>
            <w:tcW w:w="0" w:type="auto"/>
            <w:vAlign w:val="center"/>
          </w:tcPr>
          <w:p w:rsidR="00024C0A" w:rsidRDefault="00694C0F">
            <w:pPr>
              <w:pStyle w:val="TableBodyText"/>
            </w:pPr>
            <w:r>
              <w:t>0308</w:t>
            </w:r>
          </w:p>
        </w:tc>
      </w:tr>
      <w:tr w:rsidR="00024C0A" w:rsidTr="00024C0A">
        <w:tc>
          <w:tcPr>
            <w:tcW w:w="0" w:type="auto"/>
            <w:vAlign w:val="center"/>
          </w:tcPr>
          <w:p w:rsidR="00024C0A" w:rsidRDefault="00694C0F">
            <w:pPr>
              <w:pStyle w:val="TableBodyText"/>
            </w:pPr>
            <w:r>
              <w:t>MailMessageMove</w:t>
            </w:r>
          </w:p>
        </w:tc>
        <w:tc>
          <w:tcPr>
            <w:tcW w:w="0" w:type="auto"/>
            <w:vAlign w:val="center"/>
          </w:tcPr>
          <w:p w:rsidR="00024C0A" w:rsidRDefault="00694C0F">
            <w:pPr>
              <w:pStyle w:val="TableBodyText"/>
            </w:pPr>
            <w:r>
              <w:t>0302</w:t>
            </w:r>
          </w:p>
        </w:tc>
      </w:tr>
      <w:tr w:rsidR="00024C0A" w:rsidTr="00024C0A">
        <w:tc>
          <w:tcPr>
            <w:tcW w:w="0" w:type="auto"/>
            <w:vAlign w:val="center"/>
          </w:tcPr>
          <w:p w:rsidR="00024C0A" w:rsidRDefault="00694C0F">
            <w:pPr>
              <w:pStyle w:val="TableBodyText"/>
            </w:pPr>
            <w:r>
              <w:t>MailMessageNext</w:t>
            </w:r>
          </w:p>
        </w:tc>
        <w:tc>
          <w:tcPr>
            <w:tcW w:w="0" w:type="auto"/>
            <w:vAlign w:val="center"/>
          </w:tcPr>
          <w:p w:rsidR="00024C0A" w:rsidRDefault="00694C0F">
            <w:pPr>
              <w:pStyle w:val="TableBodyText"/>
            </w:pPr>
            <w:r>
              <w:t>0305</w:t>
            </w:r>
          </w:p>
        </w:tc>
      </w:tr>
      <w:tr w:rsidR="00024C0A" w:rsidTr="00024C0A">
        <w:tc>
          <w:tcPr>
            <w:tcW w:w="0" w:type="auto"/>
            <w:vAlign w:val="center"/>
          </w:tcPr>
          <w:p w:rsidR="00024C0A" w:rsidRDefault="00694C0F">
            <w:pPr>
              <w:pStyle w:val="TableBodyText"/>
            </w:pPr>
            <w:r>
              <w:t>MailMessagePrevious</w:t>
            </w:r>
          </w:p>
        </w:tc>
        <w:tc>
          <w:tcPr>
            <w:tcW w:w="0" w:type="auto"/>
            <w:vAlign w:val="center"/>
          </w:tcPr>
          <w:p w:rsidR="00024C0A" w:rsidRDefault="00694C0F">
            <w:pPr>
              <w:pStyle w:val="TableBodyText"/>
            </w:pPr>
            <w:r>
              <w:t>0304</w:t>
            </w:r>
          </w:p>
        </w:tc>
      </w:tr>
      <w:tr w:rsidR="00024C0A" w:rsidTr="00024C0A">
        <w:tc>
          <w:tcPr>
            <w:tcW w:w="0" w:type="auto"/>
            <w:vAlign w:val="center"/>
          </w:tcPr>
          <w:p w:rsidR="00024C0A" w:rsidRDefault="00694C0F">
            <w:pPr>
              <w:pStyle w:val="TableBodyText"/>
            </w:pPr>
            <w:r>
              <w:t>MailMessageProperties</w:t>
            </w:r>
          </w:p>
        </w:tc>
        <w:tc>
          <w:tcPr>
            <w:tcW w:w="0" w:type="auto"/>
            <w:vAlign w:val="center"/>
          </w:tcPr>
          <w:p w:rsidR="00024C0A" w:rsidRDefault="00694C0F">
            <w:pPr>
              <w:pStyle w:val="TableBodyText"/>
            </w:pPr>
            <w:r>
              <w:t>02FC</w:t>
            </w:r>
          </w:p>
        </w:tc>
      </w:tr>
      <w:tr w:rsidR="00024C0A" w:rsidTr="00024C0A">
        <w:tc>
          <w:tcPr>
            <w:tcW w:w="0" w:type="auto"/>
            <w:vAlign w:val="center"/>
          </w:tcPr>
          <w:p w:rsidR="00024C0A" w:rsidRDefault="00694C0F">
            <w:pPr>
              <w:pStyle w:val="TableBodyText"/>
            </w:pPr>
            <w:r>
              <w:t>MailMessageReply</w:t>
            </w:r>
          </w:p>
        </w:tc>
        <w:tc>
          <w:tcPr>
            <w:tcW w:w="0" w:type="auto"/>
            <w:vAlign w:val="center"/>
          </w:tcPr>
          <w:p w:rsidR="00024C0A" w:rsidRDefault="00694C0F">
            <w:pPr>
              <w:pStyle w:val="TableBodyText"/>
            </w:pPr>
            <w:r>
              <w:t>0300</w:t>
            </w:r>
          </w:p>
        </w:tc>
      </w:tr>
      <w:tr w:rsidR="00024C0A" w:rsidTr="00024C0A">
        <w:tc>
          <w:tcPr>
            <w:tcW w:w="0" w:type="auto"/>
            <w:vAlign w:val="center"/>
          </w:tcPr>
          <w:p w:rsidR="00024C0A" w:rsidRDefault="00694C0F">
            <w:pPr>
              <w:pStyle w:val="TableBodyText"/>
            </w:pPr>
            <w:r>
              <w:lastRenderedPageBreak/>
              <w:t>MailMessageReplyAll</w:t>
            </w:r>
          </w:p>
        </w:tc>
        <w:tc>
          <w:tcPr>
            <w:tcW w:w="0" w:type="auto"/>
            <w:vAlign w:val="center"/>
          </w:tcPr>
          <w:p w:rsidR="00024C0A" w:rsidRDefault="00694C0F">
            <w:pPr>
              <w:pStyle w:val="TableBodyText"/>
            </w:pPr>
            <w:r>
              <w:t>0301</w:t>
            </w:r>
          </w:p>
        </w:tc>
      </w:tr>
      <w:tr w:rsidR="00024C0A" w:rsidTr="00024C0A">
        <w:tc>
          <w:tcPr>
            <w:tcW w:w="0" w:type="auto"/>
            <w:vAlign w:val="center"/>
          </w:tcPr>
          <w:p w:rsidR="00024C0A" w:rsidRDefault="00694C0F">
            <w:pPr>
              <w:pStyle w:val="TableBodyText"/>
            </w:pPr>
            <w:r>
              <w:t>MailSelectNames</w:t>
            </w:r>
          </w:p>
        </w:tc>
        <w:tc>
          <w:tcPr>
            <w:tcW w:w="0" w:type="auto"/>
            <w:vAlign w:val="center"/>
          </w:tcPr>
          <w:p w:rsidR="00024C0A" w:rsidRDefault="00694C0F">
            <w:pPr>
              <w:pStyle w:val="TableBodyText"/>
            </w:pPr>
            <w:r>
              <w:t>0307</w:t>
            </w:r>
          </w:p>
        </w:tc>
      </w:tr>
      <w:tr w:rsidR="00024C0A" w:rsidTr="00024C0A">
        <w:tc>
          <w:tcPr>
            <w:tcW w:w="0" w:type="auto"/>
            <w:vAlign w:val="center"/>
          </w:tcPr>
          <w:p w:rsidR="00024C0A" w:rsidRDefault="00694C0F">
            <w:pPr>
              <w:pStyle w:val="TableBodyText"/>
            </w:pPr>
            <w:r>
              <w:t>MarkAsReadOnly</w:t>
            </w:r>
          </w:p>
        </w:tc>
        <w:tc>
          <w:tcPr>
            <w:tcW w:w="0" w:type="auto"/>
            <w:vAlign w:val="center"/>
          </w:tcPr>
          <w:p w:rsidR="00024C0A" w:rsidRDefault="00694C0F">
            <w:pPr>
              <w:pStyle w:val="TableBodyText"/>
            </w:pPr>
            <w:r>
              <w:t>0843</w:t>
            </w:r>
          </w:p>
        </w:tc>
      </w:tr>
      <w:tr w:rsidR="00024C0A" w:rsidTr="00024C0A">
        <w:tc>
          <w:tcPr>
            <w:tcW w:w="0" w:type="auto"/>
            <w:vAlign w:val="center"/>
          </w:tcPr>
          <w:p w:rsidR="00024C0A" w:rsidRDefault="00694C0F">
            <w:pPr>
              <w:pStyle w:val="TableBodyText"/>
            </w:pPr>
            <w:r>
              <w:t>MarkCitation</w:t>
            </w:r>
          </w:p>
        </w:tc>
        <w:tc>
          <w:tcPr>
            <w:tcW w:w="0" w:type="auto"/>
            <w:vAlign w:val="center"/>
          </w:tcPr>
          <w:p w:rsidR="00024C0A" w:rsidRDefault="00694C0F">
            <w:pPr>
              <w:pStyle w:val="TableBodyText"/>
            </w:pPr>
            <w:r>
              <w:t>01CF</w:t>
            </w:r>
          </w:p>
        </w:tc>
      </w:tr>
      <w:tr w:rsidR="00024C0A" w:rsidTr="00024C0A">
        <w:tc>
          <w:tcPr>
            <w:tcW w:w="0" w:type="auto"/>
            <w:vAlign w:val="center"/>
          </w:tcPr>
          <w:p w:rsidR="00024C0A" w:rsidRDefault="00694C0F">
            <w:pPr>
              <w:pStyle w:val="TableBodyText"/>
            </w:pPr>
            <w:r>
              <w:t>MarkIndexEntry</w:t>
            </w:r>
          </w:p>
        </w:tc>
        <w:tc>
          <w:tcPr>
            <w:tcW w:w="0" w:type="auto"/>
            <w:vAlign w:val="center"/>
          </w:tcPr>
          <w:p w:rsidR="00024C0A" w:rsidRDefault="00694C0F">
            <w:pPr>
              <w:pStyle w:val="TableBodyText"/>
            </w:pPr>
            <w:r>
              <w:t>00A9</w:t>
            </w:r>
          </w:p>
        </w:tc>
      </w:tr>
      <w:tr w:rsidR="00024C0A" w:rsidTr="00024C0A">
        <w:tc>
          <w:tcPr>
            <w:tcW w:w="0" w:type="auto"/>
            <w:vAlign w:val="center"/>
          </w:tcPr>
          <w:p w:rsidR="00024C0A" w:rsidRDefault="00694C0F">
            <w:pPr>
              <w:pStyle w:val="TableBodyText"/>
            </w:pPr>
            <w:r>
              <w:t>MarkTableOfContentsEntry</w:t>
            </w:r>
          </w:p>
        </w:tc>
        <w:tc>
          <w:tcPr>
            <w:tcW w:w="0" w:type="auto"/>
            <w:vAlign w:val="center"/>
          </w:tcPr>
          <w:p w:rsidR="00024C0A" w:rsidRDefault="00694C0F">
            <w:pPr>
              <w:pStyle w:val="TableBodyText"/>
            </w:pPr>
            <w:r>
              <w:t>01BA</w:t>
            </w:r>
          </w:p>
        </w:tc>
      </w:tr>
      <w:tr w:rsidR="00024C0A" w:rsidTr="00024C0A">
        <w:tc>
          <w:tcPr>
            <w:tcW w:w="0" w:type="auto"/>
            <w:vAlign w:val="center"/>
          </w:tcPr>
          <w:p w:rsidR="00024C0A" w:rsidRDefault="00694C0F">
            <w:pPr>
              <w:pStyle w:val="TableBodyText"/>
            </w:pPr>
            <w:r>
              <w:t>MenuAsianLayout</w:t>
            </w:r>
          </w:p>
        </w:tc>
        <w:tc>
          <w:tcPr>
            <w:tcW w:w="0" w:type="auto"/>
            <w:vAlign w:val="center"/>
          </w:tcPr>
          <w:p w:rsidR="00024C0A" w:rsidRDefault="00694C0F">
            <w:pPr>
              <w:pStyle w:val="TableBodyText"/>
            </w:pPr>
            <w:r>
              <w:t>169F</w:t>
            </w:r>
          </w:p>
        </w:tc>
      </w:tr>
      <w:tr w:rsidR="00024C0A" w:rsidTr="00024C0A">
        <w:tc>
          <w:tcPr>
            <w:tcW w:w="0" w:type="auto"/>
            <w:vAlign w:val="center"/>
          </w:tcPr>
          <w:p w:rsidR="00024C0A" w:rsidRDefault="00694C0F">
            <w:pPr>
              <w:pStyle w:val="TableBodyText"/>
            </w:pPr>
            <w:r>
              <w:t>MenuAutoText</w:t>
            </w:r>
          </w:p>
        </w:tc>
        <w:tc>
          <w:tcPr>
            <w:tcW w:w="0" w:type="auto"/>
            <w:vAlign w:val="center"/>
          </w:tcPr>
          <w:p w:rsidR="00024C0A" w:rsidRDefault="00694C0F">
            <w:pPr>
              <w:pStyle w:val="TableBodyText"/>
            </w:pPr>
            <w:r>
              <w:t>1685</w:t>
            </w:r>
          </w:p>
        </w:tc>
      </w:tr>
      <w:tr w:rsidR="00024C0A" w:rsidTr="00024C0A">
        <w:tc>
          <w:tcPr>
            <w:tcW w:w="0" w:type="auto"/>
            <w:vAlign w:val="center"/>
          </w:tcPr>
          <w:p w:rsidR="00024C0A" w:rsidRDefault="00694C0F">
            <w:pPr>
              <w:pStyle w:val="TableBodyText"/>
            </w:pPr>
            <w:r>
              <w:t>MenuAutoTextList</w:t>
            </w:r>
          </w:p>
        </w:tc>
        <w:tc>
          <w:tcPr>
            <w:tcW w:w="0" w:type="auto"/>
            <w:vAlign w:val="center"/>
          </w:tcPr>
          <w:p w:rsidR="00024C0A" w:rsidRDefault="00694C0F">
            <w:pPr>
              <w:pStyle w:val="TableBodyText"/>
            </w:pPr>
            <w:r>
              <w:t>168D</w:t>
            </w:r>
          </w:p>
        </w:tc>
      </w:tr>
      <w:tr w:rsidR="00024C0A" w:rsidTr="00024C0A">
        <w:tc>
          <w:tcPr>
            <w:tcW w:w="0" w:type="auto"/>
            <w:vAlign w:val="center"/>
          </w:tcPr>
          <w:p w:rsidR="00024C0A" w:rsidRDefault="00694C0F">
            <w:pPr>
              <w:pStyle w:val="TableBodyText"/>
            </w:pPr>
            <w:r>
              <w:t>MenuBorder</w:t>
            </w:r>
          </w:p>
        </w:tc>
        <w:tc>
          <w:tcPr>
            <w:tcW w:w="0" w:type="auto"/>
            <w:vAlign w:val="center"/>
          </w:tcPr>
          <w:p w:rsidR="00024C0A" w:rsidRDefault="00694C0F">
            <w:pPr>
              <w:pStyle w:val="TableBodyText"/>
            </w:pPr>
            <w:r>
              <w:t>1652</w:t>
            </w:r>
          </w:p>
        </w:tc>
      </w:tr>
      <w:tr w:rsidR="00024C0A" w:rsidTr="00024C0A">
        <w:tc>
          <w:tcPr>
            <w:tcW w:w="0" w:type="auto"/>
            <w:vAlign w:val="center"/>
          </w:tcPr>
          <w:p w:rsidR="00024C0A" w:rsidRDefault="00694C0F">
            <w:pPr>
              <w:pStyle w:val="TableBodyText"/>
            </w:pPr>
            <w:r>
              <w:t>MenuCellAlignment</w:t>
            </w:r>
          </w:p>
        </w:tc>
        <w:tc>
          <w:tcPr>
            <w:tcW w:w="0" w:type="auto"/>
            <w:vAlign w:val="center"/>
          </w:tcPr>
          <w:p w:rsidR="00024C0A" w:rsidRDefault="00694C0F">
            <w:pPr>
              <w:pStyle w:val="TableBodyText"/>
            </w:pPr>
            <w:r>
              <w:t>169C</w:t>
            </w:r>
          </w:p>
        </w:tc>
      </w:tr>
      <w:tr w:rsidR="00024C0A" w:rsidTr="00024C0A">
        <w:tc>
          <w:tcPr>
            <w:tcW w:w="0" w:type="auto"/>
            <w:vAlign w:val="center"/>
          </w:tcPr>
          <w:p w:rsidR="00024C0A" w:rsidRDefault="00694C0F">
            <w:pPr>
              <w:pStyle w:val="TableBodyText"/>
            </w:pPr>
            <w:r>
              <w:t>MenuCellAlignmentNoTearoff</w:t>
            </w:r>
          </w:p>
        </w:tc>
        <w:tc>
          <w:tcPr>
            <w:tcW w:w="0" w:type="auto"/>
            <w:vAlign w:val="center"/>
          </w:tcPr>
          <w:p w:rsidR="00024C0A" w:rsidRDefault="00694C0F">
            <w:pPr>
              <w:pStyle w:val="TableBodyText"/>
            </w:pPr>
            <w:r>
              <w:t>16C6</w:t>
            </w:r>
          </w:p>
        </w:tc>
      </w:tr>
      <w:tr w:rsidR="00024C0A" w:rsidTr="00024C0A">
        <w:tc>
          <w:tcPr>
            <w:tcW w:w="0" w:type="auto"/>
            <w:vAlign w:val="center"/>
          </w:tcPr>
          <w:p w:rsidR="00024C0A" w:rsidRDefault="00694C0F">
            <w:pPr>
              <w:pStyle w:val="TableBodyText"/>
            </w:pPr>
            <w:r>
              <w:t>MenuCellVerticalAlign</w:t>
            </w:r>
          </w:p>
        </w:tc>
        <w:tc>
          <w:tcPr>
            <w:tcW w:w="0" w:type="auto"/>
            <w:vAlign w:val="center"/>
          </w:tcPr>
          <w:p w:rsidR="00024C0A" w:rsidRDefault="00694C0F">
            <w:pPr>
              <w:pStyle w:val="TableBodyText"/>
            </w:pPr>
            <w:r>
              <w:t>1689</w:t>
            </w:r>
          </w:p>
        </w:tc>
      </w:tr>
      <w:tr w:rsidR="00024C0A" w:rsidTr="00024C0A">
        <w:tc>
          <w:tcPr>
            <w:tcW w:w="0" w:type="auto"/>
            <w:vAlign w:val="center"/>
          </w:tcPr>
          <w:p w:rsidR="00024C0A" w:rsidRDefault="00694C0F">
            <w:pPr>
              <w:pStyle w:val="TableBodyText"/>
            </w:pPr>
            <w:r>
              <w:t>MenuClear</w:t>
            </w:r>
          </w:p>
        </w:tc>
        <w:tc>
          <w:tcPr>
            <w:tcW w:w="0" w:type="auto"/>
            <w:vAlign w:val="center"/>
          </w:tcPr>
          <w:p w:rsidR="00024C0A" w:rsidRDefault="00694C0F">
            <w:pPr>
              <w:pStyle w:val="TableBodyText"/>
            </w:pPr>
            <w:r>
              <w:t>16B0</w:t>
            </w:r>
          </w:p>
        </w:tc>
      </w:tr>
      <w:tr w:rsidR="00024C0A" w:rsidTr="00024C0A">
        <w:tc>
          <w:tcPr>
            <w:tcW w:w="0" w:type="auto"/>
            <w:vAlign w:val="center"/>
          </w:tcPr>
          <w:p w:rsidR="00024C0A" w:rsidRDefault="00694C0F">
            <w:pPr>
              <w:pStyle w:val="TableBodyText"/>
            </w:pPr>
            <w:r>
              <w:t>MenuDiagramConvertTo</w:t>
            </w:r>
          </w:p>
        </w:tc>
        <w:tc>
          <w:tcPr>
            <w:tcW w:w="0" w:type="auto"/>
            <w:vAlign w:val="center"/>
          </w:tcPr>
          <w:p w:rsidR="00024C0A" w:rsidRDefault="00694C0F">
            <w:pPr>
              <w:pStyle w:val="TableBodyText"/>
            </w:pPr>
            <w:r>
              <w:t>16B7</w:t>
            </w:r>
          </w:p>
        </w:tc>
      </w:tr>
      <w:tr w:rsidR="00024C0A" w:rsidTr="00024C0A">
        <w:tc>
          <w:tcPr>
            <w:tcW w:w="0" w:type="auto"/>
            <w:vAlign w:val="center"/>
          </w:tcPr>
          <w:p w:rsidR="00024C0A" w:rsidRDefault="00694C0F">
            <w:pPr>
              <w:pStyle w:val="TableBodyText"/>
            </w:pPr>
            <w:r>
              <w:t>MenuDiagramLayout</w:t>
            </w:r>
          </w:p>
        </w:tc>
        <w:tc>
          <w:tcPr>
            <w:tcW w:w="0" w:type="auto"/>
            <w:vAlign w:val="center"/>
          </w:tcPr>
          <w:p w:rsidR="00024C0A" w:rsidRDefault="00694C0F">
            <w:pPr>
              <w:pStyle w:val="TableBodyText"/>
            </w:pPr>
            <w:r>
              <w:t>16B1</w:t>
            </w:r>
          </w:p>
        </w:tc>
      </w:tr>
      <w:tr w:rsidR="00024C0A" w:rsidTr="00024C0A">
        <w:tc>
          <w:tcPr>
            <w:tcW w:w="0" w:type="auto"/>
            <w:vAlign w:val="center"/>
          </w:tcPr>
          <w:p w:rsidR="00024C0A" w:rsidRDefault="00694C0F">
            <w:pPr>
              <w:pStyle w:val="TableBodyText"/>
            </w:pPr>
            <w:r>
              <w:t>MenuDraw</w:t>
            </w:r>
          </w:p>
        </w:tc>
        <w:tc>
          <w:tcPr>
            <w:tcW w:w="0" w:type="auto"/>
            <w:vAlign w:val="center"/>
          </w:tcPr>
          <w:p w:rsidR="00024C0A" w:rsidRDefault="00694C0F">
            <w:pPr>
              <w:pStyle w:val="TableBodyText"/>
            </w:pPr>
            <w:r>
              <w:t>1655</w:t>
            </w:r>
          </w:p>
        </w:tc>
      </w:tr>
      <w:tr w:rsidR="00024C0A" w:rsidTr="00024C0A">
        <w:tc>
          <w:tcPr>
            <w:tcW w:w="0" w:type="auto"/>
            <w:vAlign w:val="center"/>
          </w:tcPr>
          <w:p w:rsidR="00024C0A" w:rsidRDefault="00694C0F">
            <w:pPr>
              <w:pStyle w:val="TableBodyText"/>
            </w:pPr>
            <w:r>
              <w:t>MenuEdit</w:t>
            </w:r>
          </w:p>
        </w:tc>
        <w:tc>
          <w:tcPr>
            <w:tcW w:w="0" w:type="auto"/>
            <w:vAlign w:val="center"/>
          </w:tcPr>
          <w:p w:rsidR="00024C0A" w:rsidRDefault="00694C0F">
            <w:pPr>
              <w:pStyle w:val="TableBodyText"/>
            </w:pPr>
            <w:r>
              <w:t>1645</w:t>
            </w:r>
          </w:p>
        </w:tc>
      </w:tr>
      <w:tr w:rsidR="00024C0A" w:rsidTr="00024C0A">
        <w:tc>
          <w:tcPr>
            <w:tcW w:w="0" w:type="auto"/>
            <w:vAlign w:val="center"/>
          </w:tcPr>
          <w:p w:rsidR="00024C0A" w:rsidRDefault="00694C0F">
            <w:pPr>
              <w:pStyle w:val="TableBodyText"/>
            </w:pPr>
            <w:r>
              <w:t>MenuEditObject</w:t>
            </w:r>
          </w:p>
        </w:tc>
        <w:tc>
          <w:tcPr>
            <w:tcW w:w="0" w:type="auto"/>
            <w:vAlign w:val="center"/>
          </w:tcPr>
          <w:p w:rsidR="00024C0A" w:rsidRDefault="00694C0F">
            <w:pPr>
              <w:pStyle w:val="TableBodyText"/>
            </w:pPr>
            <w:r>
              <w:t>168A</w:t>
            </w:r>
          </w:p>
        </w:tc>
      </w:tr>
      <w:tr w:rsidR="00024C0A" w:rsidTr="00024C0A">
        <w:tc>
          <w:tcPr>
            <w:tcW w:w="0" w:type="auto"/>
            <w:vAlign w:val="center"/>
          </w:tcPr>
          <w:p w:rsidR="00024C0A" w:rsidRDefault="00694C0F">
            <w:pPr>
              <w:pStyle w:val="TableBodyText"/>
            </w:pPr>
            <w:r>
              <w:t>MenuFile</w:t>
            </w:r>
          </w:p>
        </w:tc>
        <w:tc>
          <w:tcPr>
            <w:tcW w:w="0" w:type="auto"/>
            <w:vAlign w:val="center"/>
          </w:tcPr>
          <w:p w:rsidR="00024C0A" w:rsidRDefault="00694C0F">
            <w:pPr>
              <w:pStyle w:val="TableBodyText"/>
            </w:pPr>
            <w:r>
              <w:t>1644</w:t>
            </w:r>
          </w:p>
        </w:tc>
      </w:tr>
      <w:tr w:rsidR="00024C0A" w:rsidTr="00024C0A">
        <w:tc>
          <w:tcPr>
            <w:tcW w:w="0" w:type="auto"/>
            <w:vAlign w:val="center"/>
          </w:tcPr>
          <w:p w:rsidR="00024C0A" w:rsidRDefault="00694C0F">
            <w:pPr>
              <w:pStyle w:val="TableBodyText"/>
            </w:pPr>
            <w:r>
              <w:t>MenuFinalizeDocument</w:t>
            </w:r>
          </w:p>
        </w:tc>
        <w:tc>
          <w:tcPr>
            <w:tcW w:w="0" w:type="auto"/>
            <w:vAlign w:val="center"/>
          </w:tcPr>
          <w:p w:rsidR="00024C0A" w:rsidRDefault="00694C0F">
            <w:pPr>
              <w:pStyle w:val="TableBodyText"/>
            </w:pPr>
            <w:r>
              <w:t>0841</w:t>
            </w:r>
          </w:p>
        </w:tc>
      </w:tr>
      <w:tr w:rsidR="00024C0A" w:rsidTr="00024C0A">
        <w:tc>
          <w:tcPr>
            <w:tcW w:w="0" w:type="auto"/>
            <w:vAlign w:val="center"/>
          </w:tcPr>
          <w:p w:rsidR="00024C0A" w:rsidRDefault="00694C0F">
            <w:pPr>
              <w:pStyle w:val="TableBodyText"/>
            </w:pPr>
            <w:r>
              <w:t>MenuFixSpellingAC</w:t>
            </w:r>
          </w:p>
        </w:tc>
        <w:tc>
          <w:tcPr>
            <w:tcW w:w="0" w:type="auto"/>
            <w:vAlign w:val="center"/>
          </w:tcPr>
          <w:p w:rsidR="00024C0A" w:rsidRDefault="00694C0F">
            <w:pPr>
              <w:pStyle w:val="TableBodyText"/>
            </w:pPr>
            <w:r>
              <w:t>1683</w:t>
            </w:r>
          </w:p>
        </w:tc>
      </w:tr>
      <w:tr w:rsidR="00024C0A" w:rsidTr="00024C0A">
        <w:tc>
          <w:tcPr>
            <w:tcW w:w="0" w:type="auto"/>
            <w:vAlign w:val="center"/>
          </w:tcPr>
          <w:p w:rsidR="00024C0A" w:rsidRDefault="00694C0F">
            <w:pPr>
              <w:pStyle w:val="TableBodyText"/>
            </w:pPr>
            <w:r>
              <w:t>MenuFixSpellingLang</w:t>
            </w:r>
          </w:p>
        </w:tc>
        <w:tc>
          <w:tcPr>
            <w:tcW w:w="0" w:type="auto"/>
            <w:vAlign w:val="center"/>
          </w:tcPr>
          <w:p w:rsidR="00024C0A" w:rsidRDefault="00694C0F">
            <w:pPr>
              <w:pStyle w:val="TableBodyText"/>
            </w:pPr>
            <w:r>
              <w:t>1680</w:t>
            </w:r>
          </w:p>
        </w:tc>
      </w:tr>
      <w:tr w:rsidR="00024C0A" w:rsidTr="00024C0A">
        <w:tc>
          <w:tcPr>
            <w:tcW w:w="0" w:type="auto"/>
            <w:vAlign w:val="center"/>
          </w:tcPr>
          <w:p w:rsidR="00024C0A" w:rsidRDefault="00694C0F">
            <w:pPr>
              <w:pStyle w:val="TableBodyText"/>
            </w:pPr>
            <w:r>
              <w:t>MenuFont</w:t>
            </w:r>
          </w:p>
        </w:tc>
        <w:tc>
          <w:tcPr>
            <w:tcW w:w="0" w:type="auto"/>
            <w:vAlign w:val="center"/>
          </w:tcPr>
          <w:p w:rsidR="00024C0A" w:rsidRDefault="00694C0F">
            <w:pPr>
              <w:pStyle w:val="TableBodyText"/>
            </w:pPr>
            <w:r>
              <w:t>164E</w:t>
            </w:r>
          </w:p>
        </w:tc>
      </w:tr>
      <w:tr w:rsidR="00024C0A" w:rsidTr="00024C0A">
        <w:tc>
          <w:tcPr>
            <w:tcW w:w="0" w:type="auto"/>
            <w:vAlign w:val="center"/>
          </w:tcPr>
          <w:p w:rsidR="00024C0A" w:rsidRDefault="00694C0F">
            <w:pPr>
              <w:pStyle w:val="TableBodyText"/>
            </w:pPr>
            <w:r>
              <w:t>MenuFormat</w:t>
            </w:r>
          </w:p>
        </w:tc>
        <w:tc>
          <w:tcPr>
            <w:tcW w:w="0" w:type="auto"/>
            <w:vAlign w:val="center"/>
          </w:tcPr>
          <w:p w:rsidR="00024C0A" w:rsidRDefault="00694C0F">
            <w:pPr>
              <w:pStyle w:val="TableBodyText"/>
            </w:pPr>
            <w:r>
              <w:t>1648</w:t>
            </w:r>
          </w:p>
        </w:tc>
      </w:tr>
      <w:tr w:rsidR="00024C0A" w:rsidTr="00024C0A">
        <w:tc>
          <w:tcPr>
            <w:tcW w:w="0" w:type="auto"/>
            <w:vAlign w:val="center"/>
          </w:tcPr>
          <w:p w:rsidR="00024C0A" w:rsidRDefault="00694C0F">
            <w:pPr>
              <w:pStyle w:val="TableBodyText"/>
            </w:pPr>
            <w:r>
              <w:t>MenuFormatBackground</w:t>
            </w:r>
          </w:p>
        </w:tc>
        <w:tc>
          <w:tcPr>
            <w:tcW w:w="0" w:type="auto"/>
            <w:vAlign w:val="center"/>
          </w:tcPr>
          <w:p w:rsidR="00024C0A" w:rsidRDefault="00694C0F">
            <w:pPr>
              <w:pStyle w:val="TableBodyText"/>
            </w:pPr>
            <w:r>
              <w:t>1682</w:t>
            </w:r>
          </w:p>
        </w:tc>
      </w:tr>
      <w:tr w:rsidR="00024C0A" w:rsidTr="00024C0A">
        <w:tc>
          <w:tcPr>
            <w:tcW w:w="0" w:type="auto"/>
            <w:vAlign w:val="center"/>
          </w:tcPr>
          <w:p w:rsidR="00024C0A" w:rsidRDefault="00694C0F">
            <w:pPr>
              <w:pStyle w:val="TableBodyText"/>
            </w:pPr>
            <w:r>
              <w:t>MenuFrameset</w:t>
            </w:r>
          </w:p>
        </w:tc>
        <w:tc>
          <w:tcPr>
            <w:tcW w:w="0" w:type="auto"/>
            <w:vAlign w:val="center"/>
          </w:tcPr>
          <w:p w:rsidR="00024C0A" w:rsidRDefault="00694C0F">
            <w:pPr>
              <w:pStyle w:val="TableBodyText"/>
            </w:pPr>
            <w:r>
              <w:t>167E</w:t>
            </w:r>
          </w:p>
        </w:tc>
      </w:tr>
      <w:tr w:rsidR="00024C0A" w:rsidTr="00024C0A">
        <w:tc>
          <w:tcPr>
            <w:tcW w:w="0" w:type="auto"/>
            <w:vAlign w:val="center"/>
          </w:tcPr>
          <w:p w:rsidR="00024C0A" w:rsidRDefault="00694C0F">
            <w:pPr>
              <w:pStyle w:val="TableBodyText"/>
            </w:pPr>
            <w:r>
              <w:t>MenuHelp</w:t>
            </w:r>
          </w:p>
        </w:tc>
        <w:tc>
          <w:tcPr>
            <w:tcW w:w="0" w:type="auto"/>
            <w:vAlign w:val="center"/>
          </w:tcPr>
          <w:p w:rsidR="00024C0A" w:rsidRDefault="00694C0F">
            <w:pPr>
              <w:pStyle w:val="TableBodyText"/>
            </w:pPr>
            <w:r>
              <w:t>164C</w:t>
            </w:r>
          </w:p>
        </w:tc>
      </w:tr>
      <w:tr w:rsidR="00024C0A" w:rsidTr="00024C0A">
        <w:tc>
          <w:tcPr>
            <w:tcW w:w="0" w:type="auto"/>
            <w:vAlign w:val="center"/>
          </w:tcPr>
          <w:p w:rsidR="00024C0A" w:rsidRDefault="00694C0F">
            <w:pPr>
              <w:pStyle w:val="TableBodyText"/>
            </w:pPr>
            <w:r>
              <w:t>MenuHyperlinkSub</w:t>
            </w:r>
          </w:p>
        </w:tc>
        <w:tc>
          <w:tcPr>
            <w:tcW w:w="0" w:type="auto"/>
            <w:vAlign w:val="center"/>
          </w:tcPr>
          <w:p w:rsidR="00024C0A" w:rsidRDefault="00694C0F">
            <w:pPr>
              <w:pStyle w:val="TableBodyText"/>
            </w:pPr>
            <w:r>
              <w:t>1688</w:t>
            </w:r>
          </w:p>
        </w:tc>
      </w:tr>
      <w:tr w:rsidR="00024C0A" w:rsidTr="00024C0A">
        <w:tc>
          <w:tcPr>
            <w:tcW w:w="0" w:type="auto"/>
            <w:vAlign w:val="center"/>
          </w:tcPr>
          <w:p w:rsidR="00024C0A" w:rsidRDefault="00694C0F">
            <w:pPr>
              <w:pStyle w:val="TableBodyText"/>
            </w:pPr>
            <w:r>
              <w:t>MenuInsert</w:t>
            </w:r>
          </w:p>
        </w:tc>
        <w:tc>
          <w:tcPr>
            <w:tcW w:w="0" w:type="auto"/>
            <w:vAlign w:val="center"/>
          </w:tcPr>
          <w:p w:rsidR="00024C0A" w:rsidRDefault="00694C0F">
            <w:pPr>
              <w:pStyle w:val="TableBodyText"/>
            </w:pPr>
            <w:r>
              <w:t>1647</w:t>
            </w:r>
          </w:p>
        </w:tc>
      </w:tr>
      <w:tr w:rsidR="00024C0A" w:rsidTr="00024C0A">
        <w:tc>
          <w:tcPr>
            <w:tcW w:w="0" w:type="auto"/>
            <w:vAlign w:val="center"/>
          </w:tcPr>
          <w:p w:rsidR="00024C0A" w:rsidRDefault="00694C0F">
            <w:pPr>
              <w:pStyle w:val="TableBodyText"/>
            </w:pPr>
            <w:r>
              <w:t>MenuInsertFrame</w:t>
            </w:r>
          </w:p>
        </w:tc>
        <w:tc>
          <w:tcPr>
            <w:tcW w:w="0" w:type="auto"/>
            <w:vAlign w:val="center"/>
          </w:tcPr>
          <w:p w:rsidR="00024C0A" w:rsidRDefault="00694C0F">
            <w:pPr>
              <w:pStyle w:val="TableBodyText"/>
            </w:pPr>
            <w:r>
              <w:t>1654</w:t>
            </w:r>
          </w:p>
        </w:tc>
      </w:tr>
      <w:tr w:rsidR="00024C0A" w:rsidTr="00024C0A">
        <w:tc>
          <w:tcPr>
            <w:tcW w:w="0" w:type="auto"/>
            <w:vAlign w:val="center"/>
          </w:tcPr>
          <w:p w:rsidR="00024C0A" w:rsidRDefault="00694C0F">
            <w:pPr>
              <w:pStyle w:val="TableBodyText"/>
            </w:pPr>
            <w:r>
              <w:t>MenuLanguage</w:t>
            </w:r>
          </w:p>
        </w:tc>
        <w:tc>
          <w:tcPr>
            <w:tcW w:w="0" w:type="auto"/>
            <w:vAlign w:val="center"/>
          </w:tcPr>
          <w:p w:rsidR="00024C0A" w:rsidRDefault="00694C0F">
            <w:pPr>
              <w:pStyle w:val="TableBodyText"/>
            </w:pPr>
            <w:r>
              <w:t>1650</w:t>
            </w:r>
          </w:p>
        </w:tc>
      </w:tr>
      <w:tr w:rsidR="00024C0A" w:rsidTr="00024C0A">
        <w:tc>
          <w:tcPr>
            <w:tcW w:w="0" w:type="auto"/>
            <w:vAlign w:val="center"/>
          </w:tcPr>
          <w:p w:rsidR="00024C0A" w:rsidRDefault="00694C0F">
            <w:pPr>
              <w:pStyle w:val="TableBodyText"/>
            </w:pPr>
            <w:r>
              <w:lastRenderedPageBreak/>
              <w:t>MenuLettersMail</w:t>
            </w:r>
          </w:p>
        </w:tc>
        <w:tc>
          <w:tcPr>
            <w:tcW w:w="0" w:type="auto"/>
            <w:vAlign w:val="center"/>
          </w:tcPr>
          <w:p w:rsidR="00024C0A" w:rsidRDefault="00694C0F">
            <w:pPr>
              <w:pStyle w:val="TableBodyText"/>
            </w:pPr>
            <w:r>
              <w:t>16AF</w:t>
            </w:r>
          </w:p>
        </w:tc>
      </w:tr>
      <w:tr w:rsidR="00024C0A" w:rsidTr="00024C0A">
        <w:tc>
          <w:tcPr>
            <w:tcW w:w="0" w:type="auto"/>
            <w:vAlign w:val="center"/>
          </w:tcPr>
          <w:p w:rsidR="00024C0A" w:rsidRDefault="00694C0F">
            <w:pPr>
              <w:pStyle w:val="TableBodyText"/>
            </w:pPr>
            <w:r>
              <w:t>MenuMacro</w:t>
            </w:r>
          </w:p>
        </w:tc>
        <w:tc>
          <w:tcPr>
            <w:tcW w:w="0" w:type="auto"/>
            <w:vAlign w:val="center"/>
          </w:tcPr>
          <w:p w:rsidR="00024C0A" w:rsidRDefault="00694C0F">
            <w:pPr>
              <w:pStyle w:val="TableBodyText"/>
            </w:pPr>
            <w:r>
              <w:t>1686</w:t>
            </w:r>
          </w:p>
        </w:tc>
      </w:tr>
      <w:tr w:rsidR="00024C0A" w:rsidTr="00024C0A">
        <w:tc>
          <w:tcPr>
            <w:tcW w:w="0" w:type="auto"/>
            <w:vAlign w:val="center"/>
          </w:tcPr>
          <w:p w:rsidR="00024C0A" w:rsidRDefault="00694C0F">
            <w:pPr>
              <w:pStyle w:val="TableBodyText"/>
            </w:pPr>
            <w:r>
              <w:t>MenuManageDocument</w:t>
            </w:r>
          </w:p>
        </w:tc>
        <w:tc>
          <w:tcPr>
            <w:tcW w:w="0" w:type="auto"/>
            <w:vAlign w:val="center"/>
          </w:tcPr>
          <w:p w:rsidR="00024C0A" w:rsidRDefault="00694C0F">
            <w:pPr>
              <w:pStyle w:val="TableBodyText"/>
            </w:pPr>
            <w:r>
              <w:t>083F</w:t>
            </w:r>
          </w:p>
        </w:tc>
      </w:tr>
      <w:tr w:rsidR="00024C0A" w:rsidTr="00024C0A">
        <w:tc>
          <w:tcPr>
            <w:tcW w:w="0" w:type="auto"/>
            <w:vAlign w:val="center"/>
          </w:tcPr>
          <w:p w:rsidR="00024C0A" w:rsidRDefault="00694C0F">
            <w:pPr>
              <w:pStyle w:val="TableBodyText"/>
            </w:pPr>
            <w:r>
              <w:t>MenuMicrosoftOnTheWeb</w:t>
            </w:r>
          </w:p>
        </w:tc>
        <w:tc>
          <w:tcPr>
            <w:tcW w:w="0" w:type="auto"/>
            <w:vAlign w:val="center"/>
          </w:tcPr>
          <w:p w:rsidR="00024C0A" w:rsidRDefault="00694C0F">
            <w:pPr>
              <w:pStyle w:val="TableBodyText"/>
            </w:pPr>
            <w:r>
              <w:t>1651</w:t>
            </w:r>
          </w:p>
        </w:tc>
      </w:tr>
      <w:tr w:rsidR="00024C0A" w:rsidTr="00024C0A">
        <w:tc>
          <w:tcPr>
            <w:tcW w:w="0" w:type="auto"/>
            <w:vAlign w:val="center"/>
          </w:tcPr>
          <w:p w:rsidR="00024C0A" w:rsidRDefault="00694C0F">
            <w:pPr>
              <w:pStyle w:val="TableBodyText"/>
            </w:pPr>
            <w:r>
              <w:t>MenuMode</w:t>
            </w:r>
          </w:p>
        </w:tc>
        <w:tc>
          <w:tcPr>
            <w:tcW w:w="0" w:type="auto"/>
            <w:vAlign w:val="center"/>
          </w:tcPr>
          <w:p w:rsidR="00024C0A" w:rsidRDefault="00694C0F">
            <w:pPr>
              <w:pStyle w:val="TableBodyText"/>
            </w:pPr>
            <w:r>
              <w:t>0125</w:t>
            </w:r>
          </w:p>
        </w:tc>
      </w:tr>
      <w:tr w:rsidR="00024C0A" w:rsidTr="00024C0A">
        <w:tc>
          <w:tcPr>
            <w:tcW w:w="0" w:type="auto"/>
            <w:vAlign w:val="center"/>
          </w:tcPr>
          <w:p w:rsidR="00024C0A" w:rsidRDefault="00694C0F">
            <w:pPr>
              <w:pStyle w:val="TableBodyText"/>
            </w:pPr>
            <w:r>
              <w:t>MenuNotesFlow</w:t>
            </w:r>
          </w:p>
        </w:tc>
        <w:tc>
          <w:tcPr>
            <w:tcW w:w="0" w:type="auto"/>
            <w:vAlign w:val="center"/>
          </w:tcPr>
          <w:p w:rsidR="00024C0A" w:rsidRDefault="00694C0F">
            <w:pPr>
              <w:pStyle w:val="TableBodyText"/>
            </w:pPr>
            <w:r>
              <w:t>036F</w:t>
            </w:r>
          </w:p>
        </w:tc>
      </w:tr>
      <w:tr w:rsidR="00024C0A" w:rsidTr="00024C0A">
        <w:tc>
          <w:tcPr>
            <w:tcW w:w="0" w:type="auto"/>
            <w:vAlign w:val="center"/>
          </w:tcPr>
          <w:p w:rsidR="00024C0A" w:rsidRDefault="00694C0F">
            <w:pPr>
              <w:pStyle w:val="TableBodyText"/>
            </w:pPr>
            <w:r>
              <w:t>MenuOrgChartInsert</w:t>
            </w:r>
          </w:p>
        </w:tc>
        <w:tc>
          <w:tcPr>
            <w:tcW w:w="0" w:type="auto"/>
            <w:vAlign w:val="center"/>
          </w:tcPr>
          <w:p w:rsidR="00024C0A" w:rsidRDefault="00694C0F">
            <w:pPr>
              <w:pStyle w:val="TableBodyText"/>
            </w:pPr>
            <w:r>
              <w:t>16B6</w:t>
            </w:r>
          </w:p>
        </w:tc>
      </w:tr>
      <w:tr w:rsidR="00024C0A" w:rsidTr="00024C0A">
        <w:tc>
          <w:tcPr>
            <w:tcW w:w="0" w:type="auto"/>
            <w:vAlign w:val="center"/>
          </w:tcPr>
          <w:p w:rsidR="00024C0A" w:rsidRDefault="00694C0F">
            <w:pPr>
              <w:pStyle w:val="TableBodyText"/>
            </w:pPr>
            <w:r>
              <w:t>MenuOrgChartLayout</w:t>
            </w:r>
          </w:p>
        </w:tc>
        <w:tc>
          <w:tcPr>
            <w:tcW w:w="0" w:type="auto"/>
            <w:vAlign w:val="center"/>
          </w:tcPr>
          <w:p w:rsidR="00024C0A" w:rsidRDefault="00694C0F">
            <w:pPr>
              <w:pStyle w:val="TableBodyText"/>
            </w:pPr>
            <w:r>
              <w:t>16AB</w:t>
            </w:r>
          </w:p>
        </w:tc>
      </w:tr>
      <w:tr w:rsidR="00024C0A" w:rsidTr="00024C0A">
        <w:tc>
          <w:tcPr>
            <w:tcW w:w="0" w:type="auto"/>
            <w:vAlign w:val="center"/>
          </w:tcPr>
          <w:p w:rsidR="00024C0A" w:rsidRDefault="00694C0F">
            <w:pPr>
              <w:pStyle w:val="TableBodyText"/>
            </w:pPr>
            <w:r>
              <w:t>MenuOrgChartSelect</w:t>
            </w:r>
          </w:p>
        </w:tc>
        <w:tc>
          <w:tcPr>
            <w:tcW w:w="0" w:type="auto"/>
            <w:vAlign w:val="center"/>
          </w:tcPr>
          <w:p w:rsidR="00024C0A" w:rsidRDefault="00694C0F">
            <w:pPr>
              <w:pStyle w:val="TableBodyText"/>
            </w:pPr>
            <w:r>
              <w:t>167A</w:t>
            </w:r>
          </w:p>
        </w:tc>
      </w:tr>
      <w:tr w:rsidR="00024C0A" w:rsidTr="00024C0A">
        <w:tc>
          <w:tcPr>
            <w:tcW w:w="0" w:type="auto"/>
            <w:vAlign w:val="center"/>
          </w:tcPr>
          <w:p w:rsidR="00024C0A" w:rsidRDefault="00694C0F">
            <w:pPr>
              <w:pStyle w:val="TableBodyText"/>
            </w:pPr>
            <w:r>
              <w:t>MenuPicture</w:t>
            </w:r>
          </w:p>
        </w:tc>
        <w:tc>
          <w:tcPr>
            <w:tcW w:w="0" w:type="auto"/>
            <w:vAlign w:val="center"/>
          </w:tcPr>
          <w:p w:rsidR="00024C0A" w:rsidRDefault="00694C0F">
            <w:pPr>
              <w:pStyle w:val="TableBodyText"/>
            </w:pPr>
            <w:r>
              <w:t>1684</w:t>
            </w:r>
          </w:p>
        </w:tc>
      </w:tr>
      <w:tr w:rsidR="00024C0A" w:rsidTr="00024C0A">
        <w:tc>
          <w:tcPr>
            <w:tcW w:w="0" w:type="auto"/>
            <w:vAlign w:val="center"/>
          </w:tcPr>
          <w:p w:rsidR="00024C0A" w:rsidRDefault="00694C0F">
            <w:pPr>
              <w:pStyle w:val="TableBodyText"/>
            </w:pPr>
            <w:r>
              <w:t>MenuPowerTalk</w:t>
            </w:r>
          </w:p>
        </w:tc>
        <w:tc>
          <w:tcPr>
            <w:tcW w:w="0" w:type="auto"/>
            <w:vAlign w:val="center"/>
          </w:tcPr>
          <w:p w:rsidR="00024C0A" w:rsidRDefault="00694C0F">
            <w:pPr>
              <w:pStyle w:val="TableBodyText"/>
            </w:pPr>
            <w:r>
              <w:t>1687</w:t>
            </w:r>
          </w:p>
        </w:tc>
      </w:tr>
      <w:tr w:rsidR="00024C0A" w:rsidTr="00024C0A">
        <w:tc>
          <w:tcPr>
            <w:tcW w:w="0" w:type="auto"/>
            <w:vAlign w:val="center"/>
          </w:tcPr>
          <w:p w:rsidR="00024C0A" w:rsidRDefault="00694C0F">
            <w:pPr>
              <w:pStyle w:val="TableBodyText"/>
            </w:pPr>
            <w:r>
              <w:t>MenuReadingTools</w:t>
            </w:r>
          </w:p>
        </w:tc>
        <w:tc>
          <w:tcPr>
            <w:tcW w:w="0" w:type="auto"/>
            <w:vAlign w:val="center"/>
          </w:tcPr>
          <w:p w:rsidR="00024C0A" w:rsidRDefault="00694C0F">
            <w:pPr>
              <w:pStyle w:val="TableBodyText"/>
            </w:pPr>
            <w:r>
              <w:t>0891</w:t>
            </w:r>
          </w:p>
        </w:tc>
      </w:tr>
      <w:tr w:rsidR="00024C0A" w:rsidTr="00024C0A">
        <w:tc>
          <w:tcPr>
            <w:tcW w:w="0" w:type="auto"/>
            <w:vAlign w:val="center"/>
          </w:tcPr>
          <w:p w:rsidR="00024C0A" w:rsidRDefault="00694C0F">
            <w:pPr>
              <w:pStyle w:val="TableBodyText"/>
            </w:pPr>
            <w:r>
              <w:t>MenuReadingViewOptions</w:t>
            </w:r>
          </w:p>
        </w:tc>
        <w:tc>
          <w:tcPr>
            <w:tcW w:w="0" w:type="auto"/>
            <w:vAlign w:val="center"/>
          </w:tcPr>
          <w:p w:rsidR="00024C0A" w:rsidRDefault="00694C0F">
            <w:pPr>
              <w:pStyle w:val="TableBodyText"/>
            </w:pPr>
            <w:r>
              <w:t>0896</w:t>
            </w:r>
          </w:p>
        </w:tc>
      </w:tr>
      <w:tr w:rsidR="00024C0A" w:rsidTr="00024C0A">
        <w:tc>
          <w:tcPr>
            <w:tcW w:w="0" w:type="auto"/>
            <w:vAlign w:val="center"/>
          </w:tcPr>
          <w:p w:rsidR="00024C0A" w:rsidRDefault="00694C0F">
            <w:pPr>
              <w:pStyle w:val="TableBodyText"/>
            </w:pPr>
            <w:r>
              <w:t>MenuReference</w:t>
            </w:r>
          </w:p>
        </w:tc>
        <w:tc>
          <w:tcPr>
            <w:tcW w:w="0" w:type="auto"/>
            <w:vAlign w:val="center"/>
          </w:tcPr>
          <w:p w:rsidR="00024C0A" w:rsidRDefault="00694C0F">
            <w:pPr>
              <w:pStyle w:val="TableBodyText"/>
            </w:pPr>
            <w:r>
              <w:t>16AE</w:t>
            </w:r>
          </w:p>
        </w:tc>
      </w:tr>
      <w:tr w:rsidR="00024C0A" w:rsidTr="00024C0A">
        <w:tc>
          <w:tcPr>
            <w:tcW w:w="0" w:type="auto"/>
            <w:vAlign w:val="center"/>
          </w:tcPr>
          <w:p w:rsidR="00024C0A" w:rsidRDefault="00694C0F">
            <w:pPr>
              <w:pStyle w:val="TableBodyText"/>
            </w:pPr>
            <w:r>
              <w:t>MenuRevisions</w:t>
            </w:r>
          </w:p>
        </w:tc>
        <w:tc>
          <w:tcPr>
            <w:tcW w:w="0" w:type="auto"/>
            <w:vAlign w:val="center"/>
          </w:tcPr>
          <w:p w:rsidR="00024C0A" w:rsidRDefault="00694C0F">
            <w:pPr>
              <w:pStyle w:val="TableBodyText"/>
            </w:pPr>
            <w:r>
              <w:t>1681</w:t>
            </w:r>
          </w:p>
        </w:tc>
      </w:tr>
      <w:tr w:rsidR="00024C0A" w:rsidTr="00024C0A">
        <w:tc>
          <w:tcPr>
            <w:tcW w:w="0" w:type="auto"/>
            <w:vAlign w:val="center"/>
          </w:tcPr>
          <w:p w:rsidR="00024C0A" w:rsidRDefault="00694C0F">
            <w:pPr>
              <w:pStyle w:val="TableBodyText"/>
            </w:pPr>
            <w:r>
              <w:t>MenuSendTo</w:t>
            </w:r>
          </w:p>
        </w:tc>
        <w:tc>
          <w:tcPr>
            <w:tcW w:w="0" w:type="auto"/>
            <w:vAlign w:val="center"/>
          </w:tcPr>
          <w:p w:rsidR="00024C0A" w:rsidRDefault="00694C0F">
            <w:pPr>
              <w:pStyle w:val="TableBodyText"/>
            </w:pPr>
            <w:r>
              <w:t>168B</w:t>
            </w:r>
          </w:p>
        </w:tc>
      </w:tr>
      <w:tr w:rsidR="00024C0A" w:rsidTr="00024C0A">
        <w:tc>
          <w:tcPr>
            <w:tcW w:w="0" w:type="auto"/>
            <w:vAlign w:val="center"/>
          </w:tcPr>
          <w:p w:rsidR="00024C0A" w:rsidRDefault="00694C0F">
            <w:pPr>
              <w:pStyle w:val="TableBodyText"/>
            </w:pPr>
            <w:r>
              <w:t>MenuShareDocument</w:t>
            </w:r>
          </w:p>
        </w:tc>
        <w:tc>
          <w:tcPr>
            <w:tcW w:w="0" w:type="auto"/>
            <w:vAlign w:val="center"/>
          </w:tcPr>
          <w:p w:rsidR="00024C0A" w:rsidRDefault="00694C0F">
            <w:pPr>
              <w:pStyle w:val="TableBodyText"/>
            </w:pPr>
            <w:r>
              <w:t>0840</w:t>
            </w:r>
          </w:p>
        </w:tc>
      </w:tr>
      <w:tr w:rsidR="00024C0A" w:rsidTr="00024C0A">
        <w:tc>
          <w:tcPr>
            <w:tcW w:w="0" w:type="auto"/>
            <w:vAlign w:val="center"/>
          </w:tcPr>
          <w:p w:rsidR="00024C0A" w:rsidRDefault="00694C0F">
            <w:pPr>
              <w:pStyle w:val="TableBodyText"/>
            </w:pPr>
            <w:r>
              <w:t>MenuShowBalloons</w:t>
            </w:r>
          </w:p>
        </w:tc>
        <w:tc>
          <w:tcPr>
            <w:tcW w:w="0" w:type="auto"/>
            <w:vAlign w:val="center"/>
          </w:tcPr>
          <w:p w:rsidR="00024C0A" w:rsidRDefault="00694C0F">
            <w:pPr>
              <w:pStyle w:val="TableBodyText"/>
            </w:pPr>
            <w:r>
              <w:t>16BC</w:t>
            </w:r>
          </w:p>
        </w:tc>
      </w:tr>
      <w:tr w:rsidR="00024C0A" w:rsidTr="00024C0A">
        <w:tc>
          <w:tcPr>
            <w:tcW w:w="0" w:type="auto"/>
            <w:vAlign w:val="center"/>
          </w:tcPr>
          <w:p w:rsidR="00024C0A" w:rsidRDefault="00694C0F">
            <w:pPr>
              <w:pStyle w:val="TableBodyText"/>
            </w:pPr>
            <w:r>
              <w:t>MenuShowChanges</w:t>
            </w:r>
          </w:p>
        </w:tc>
        <w:tc>
          <w:tcPr>
            <w:tcW w:w="0" w:type="auto"/>
            <w:vAlign w:val="center"/>
          </w:tcPr>
          <w:p w:rsidR="00024C0A" w:rsidRDefault="00694C0F">
            <w:pPr>
              <w:pStyle w:val="TableBodyText"/>
            </w:pPr>
            <w:r>
              <w:t>16B3</w:t>
            </w:r>
          </w:p>
        </w:tc>
      </w:tr>
      <w:tr w:rsidR="00024C0A" w:rsidTr="00024C0A">
        <w:tc>
          <w:tcPr>
            <w:tcW w:w="0" w:type="auto"/>
            <w:vAlign w:val="center"/>
          </w:tcPr>
          <w:p w:rsidR="00024C0A" w:rsidRDefault="00694C0F">
            <w:pPr>
              <w:pStyle w:val="TableBodyText"/>
            </w:pPr>
            <w:r>
              <w:t>MenuShowSourceDocuments</w:t>
            </w:r>
          </w:p>
        </w:tc>
        <w:tc>
          <w:tcPr>
            <w:tcW w:w="0" w:type="auto"/>
            <w:vAlign w:val="center"/>
          </w:tcPr>
          <w:p w:rsidR="00024C0A" w:rsidRDefault="00694C0F">
            <w:pPr>
              <w:pStyle w:val="TableBodyText"/>
            </w:pPr>
            <w:r>
              <w:t>07AD</w:t>
            </w:r>
          </w:p>
        </w:tc>
      </w:tr>
      <w:tr w:rsidR="00024C0A" w:rsidTr="00024C0A">
        <w:tc>
          <w:tcPr>
            <w:tcW w:w="0" w:type="auto"/>
            <w:vAlign w:val="center"/>
          </w:tcPr>
          <w:p w:rsidR="00024C0A" w:rsidRDefault="00694C0F">
            <w:pPr>
              <w:pStyle w:val="TableBodyText"/>
            </w:pPr>
            <w:r>
              <w:t>MenuSignaturesDocument</w:t>
            </w:r>
          </w:p>
        </w:tc>
        <w:tc>
          <w:tcPr>
            <w:tcW w:w="0" w:type="auto"/>
            <w:vAlign w:val="center"/>
          </w:tcPr>
          <w:p w:rsidR="00024C0A" w:rsidRDefault="00694C0F">
            <w:pPr>
              <w:pStyle w:val="TableBodyText"/>
            </w:pPr>
            <w:r>
              <w:t>0842</w:t>
            </w:r>
          </w:p>
        </w:tc>
      </w:tr>
      <w:tr w:rsidR="00024C0A" w:rsidTr="00024C0A">
        <w:tc>
          <w:tcPr>
            <w:tcW w:w="0" w:type="auto"/>
            <w:vAlign w:val="center"/>
          </w:tcPr>
          <w:p w:rsidR="00024C0A" w:rsidRDefault="00694C0F">
            <w:pPr>
              <w:pStyle w:val="TableBodyText"/>
            </w:pPr>
            <w:r>
              <w:t>MenuTable</w:t>
            </w:r>
          </w:p>
        </w:tc>
        <w:tc>
          <w:tcPr>
            <w:tcW w:w="0" w:type="auto"/>
            <w:vAlign w:val="center"/>
          </w:tcPr>
          <w:p w:rsidR="00024C0A" w:rsidRDefault="00694C0F">
            <w:pPr>
              <w:pStyle w:val="TableBodyText"/>
            </w:pPr>
            <w:r>
              <w:t>164A</w:t>
            </w:r>
          </w:p>
        </w:tc>
      </w:tr>
      <w:tr w:rsidR="00024C0A" w:rsidTr="00024C0A">
        <w:tc>
          <w:tcPr>
            <w:tcW w:w="0" w:type="auto"/>
            <w:vAlign w:val="center"/>
          </w:tcPr>
          <w:p w:rsidR="00024C0A" w:rsidRDefault="00694C0F">
            <w:pPr>
              <w:pStyle w:val="TableBodyText"/>
            </w:pPr>
            <w:r>
              <w:t>MenuTableAutoFitLong</w:t>
            </w:r>
          </w:p>
        </w:tc>
        <w:tc>
          <w:tcPr>
            <w:tcW w:w="0" w:type="auto"/>
            <w:vAlign w:val="center"/>
          </w:tcPr>
          <w:p w:rsidR="00024C0A" w:rsidRDefault="00694C0F">
            <w:pPr>
              <w:pStyle w:val="TableBodyText"/>
            </w:pPr>
            <w:r>
              <w:t>169B</w:t>
            </w:r>
          </w:p>
        </w:tc>
      </w:tr>
      <w:tr w:rsidR="00024C0A" w:rsidTr="00024C0A">
        <w:tc>
          <w:tcPr>
            <w:tcW w:w="0" w:type="auto"/>
            <w:vAlign w:val="center"/>
          </w:tcPr>
          <w:p w:rsidR="00024C0A" w:rsidRDefault="00694C0F">
            <w:pPr>
              <w:pStyle w:val="TableBodyText"/>
            </w:pPr>
            <w:r>
              <w:t>MenuTableAutoFitShort</w:t>
            </w:r>
          </w:p>
        </w:tc>
        <w:tc>
          <w:tcPr>
            <w:tcW w:w="0" w:type="auto"/>
            <w:vAlign w:val="center"/>
          </w:tcPr>
          <w:p w:rsidR="00024C0A" w:rsidRDefault="00694C0F">
            <w:pPr>
              <w:pStyle w:val="TableBodyText"/>
            </w:pPr>
            <w:r>
              <w:t>169A</w:t>
            </w:r>
          </w:p>
        </w:tc>
      </w:tr>
      <w:tr w:rsidR="00024C0A" w:rsidTr="00024C0A">
        <w:tc>
          <w:tcPr>
            <w:tcW w:w="0" w:type="auto"/>
            <w:vAlign w:val="center"/>
          </w:tcPr>
          <w:p w:rsidR="00024C0A" w:rsidRDefault="00694C0F">
            <w:pPr>
              <w:pStyle w:val="TableBodyText"/>
            </w:pPr>
            <w:r>
              <w:t>MenuTableConvert</w:t>
            </w:r>
          </w:p>
        </w:tc>
        <w:tc>
          <w:tcPr>
            <w:tcW w:w="0" w:type="auto"/>
            <w:vAlign w:val="center"/>
          </w:tcPr>
          <w:p w:rsidR="00024C0A" w:rsidRDefault="00694C0F">
            <w:pPr>
              <w:pStyle w:val="TableBodyText"/>
            </w:pPr>
            <w:r>
              <w:t>1697</w:t>
            </w:r>
          </w:p>
        </w:tc>
      </w:tr>
      <w:tr w:rsidR="00024C0A" w:rsidTr="00024C0A">
        <w:tc>
          <w:tcPr>
            <w:tcW w:w="0" w:type="auto"/>
            <w:vAlign w:val="center"/>
          </w:tcPr>
          <w:p w:rsidR="00024C0A" w:rsidRDefault="00694C0F">
            <w:pPr>
              <w:pStyle w:val="TableBodyText"/>
            </w:pPr>
            <w:r>
              <w:t>MenuTableDelete</w:t>
            </w:r>
          </w:p>
        </w:tc>
        <w:tc>
          <w:tcPr>
            <w:tcW w:w="0" w:type="auto"/>
            <w:vAlign w:val="center"/>
          </w:tcPr>
          <w:p w:rsidR="00024C0A" w:rsidRDefault="00694C0F">
            <w:pPr>
              <w:pStyle w:val="TableBodyText"/>
            </w:pPr>
            <w:r>
              <w:t>167C</w:t>
            </w:r>
          </w:p>
        </w:tc>
      </w:tr>
      <w:tr w:rsidR="00024C0A" w:rsidTr="00024C0A">
        <w:tc>
          <w:tcPr>
            <w:tcW w:w="0" w:type="auto"/>
            <w:vAlign w:val="center"/>
          </w:tcPr>
          <w:p w:rsidR="00024C0A" w:rsidRDefault="00694C0F">
            <w:pPr>
              <w:pStyle w:val="TableBodyText"/>
            </w:pPr>
            <w:r>
              <w:t>MenuTableInsert</w:t>
            </w:r>
          </w:p>
        </w:tc>
        <w:tc>
          <w:tcPr>
            <w:tcW w:w="0" w:type="auto"/>
            <w:vAlign w:val="center"/>
          </w:tcPr>
          <w:p w:rsidR="00024C0A" w:rsidRDefault="00694C0F">
            <w:pPr>
              <w:pStyle w:val="TableBodyText"/>
            </w:pPr>
            <w:r>
              <w:t>167B</w:t>
            </w:r>
          </w:p>
        </w:tc>
      </w:tr>
      <w:tr w:rsidR="00024C0A" w:rsidTr="00024C0A">
        <w:tc>
          <w:tcPr>
            <w:tcW w:w="0" w:type="auto"/>
            <w:vAlign w:val="center"/>
          </w:tcPr>
          <w:p w:rsidR="00024C0A" w:rsidRDefault="00694C0F">
            <w:pPr>
              <w:pStyle w:val="TableBodyText"/>
            </w:pPr>
            <w:r>
              <w:t>MenuTableInsertIntoTable</w:t>
            </w:r>
          </w:p>
        </w:tc>
        <w:tc>
          <w:tcPr>
            <w:tcW w:w="0" w:type="auto"/>
            <w:vAlign w:val="center"/>
          </w:tcPr>
          <w:p w:rsidR="00024C0A" w:rsidRDefault="00694C0F">
            <w:pPr>
              <w:pStyle w:val="TableBodyText"/>
            </w:pPr>
            <w:r>
              <w:t>16C5</w:t>
            </w:r>
          </w:p>
        </w:tc>
      </w:tr>
      <w:tr w:rsidR="00024C0A" w:rsidTr="00024C0A">
        <w:tc>
          <w:tcPr>
            <w:tcW w:w="0" w:type="auto"/>
            <w:vAlign w:val="center"/>
          </w:tcPr>
          <w:p w:rsidR="00024C0A" w:rsidRDefault="00694C0F">
            <w:pPr>
              <w:pStyle w:val="TableBodyText"/>
            </w:pPr>
            <w:r>
              <w:t>MenuTableInsertLong</w:t>
            </w:r>
          </w:p>
        </w:tc>
        <w:tc>
          <w:tcPr>
            <w:tcW w:w="0" w:type="auto"/>
            <w:vAlign w:val="center"/>
          </w:tcPr>
          <w:p w:rsidR="00024C0A" w:rsidRDefault="00694C0F">
            <w:pPr>
              <w:pStyle w:val="TableBodyText"/>
            </w:pPr>
            <w:r>
              <w:t>169D</w:t>
            </w:r>
          </w:p>
        </w:tc>
      </w:tr>
      <w:tr w:rsidR="00024C0A" w:rsidTr="00024C0A">
        <w:tc>
          <w:tcPr>
            <w:tcW w:w="0" w:type="auto"/>
            <w:vAlign w:val="center"/>
          </w:tcPr>
          <w:p w:rsidR="00024C0A" w:rsidRDefault="00694C0F">
            <w:pPr>
              <w:pStyle w:val="TableBodyText"/>
            </w:pPr>
            <w:r>
              <w:t>MenuTableInsertPalette</w:t>
            </w:r>
          </w:p>
        </w:tc>
        <w:tc>
          <w:tcPr>
            <w:tcW w:w="0" w:type="auto"/>
            <w:vAlign w:val="center"/>
          </w:tcPr>
          <w:p w:rsidR="00024C0A" w:rsidRDefault="00694C0F">
            <w:pPr>
              <w:pStyle w:val="TableBodyText"/>
            </w:pPr>
            <w:r>
              <w:t>1698</w:t>
            </w:r>
          </w:p>
        </w:tc>
      </w:tr>
      <w:tr w:rsidR="00024C0A" w:rsidTr="00024C0A">
        <w:tc>
          <w:tcPr>
            <w:tcW w:w="0" w:type="auto"/>
            <w:vAlign w:val="center"/>
          </w:tcPr>
          <w:p w:rsidR="00024C0A" w:rsidRDefault="00694C0F">
            <w:pPr>
              <w:pStyle w:val="TableBodyText"/>
            </w:pPr>
            <w:r>
              <w:t>MenuTableSelect</w:t>
            </w:r>
          </w:p>
        </w:tc>
        <w:tc>
          <w:tcPr>
            <w:tcW w:w="0" w:type="auto"/>
            <w:vAlign w:val="center"/>
          </w:tcPr>
          <w:p w:rsidR="00024C0A" w:rsidRDefault="00694C0F">
            <w:pPr>
              <w:pStyle w:val="TableBodyText"/>
            </w:pPr>
            <w:r>
              <w:t>1696</w:t>
            </w:r>
          </w:p>
        </w:tc>
      </w:tr>
      <w:tr w:rsidR="00024C0A" w:rsidTr="00024C0A">
        <w:tc>
          <w:tcPr>
            <w:tcW w:w="0" w:type="auto"/>
            <w:vAlign w:val="center"/>
          </w:tcPr>
          <w:p w:rsidR="00024C0A" w:rsidRDefault="00694C0F">
            <w:pPr>
              <w:pStyle w:val="TableBodyText"/>
            </w:pPr>
            <w:r>
              <w:t>MenuTools</w:t>
            </w:r>
          </w:p>
        </w:tc>
        <w:tc>
          <w:tcPr>
            <w:tcW w:w="0" w:type="auto"/>
            <w:vAlign w:val="center"/>
          </w:tcPr>
          <w:p w:rsidR="00024C0A" w:rsidRDefault="00694C0F">
            <w:pPr>
              <w:pStyle w:val="TableBodyText"/>
            </w:pPr>
            <w:r>
              <w:t>1649</w:t>
            </w:r>
          </w:p>
        </w:tc>
      </w:tr>
      <w:tr w:rsidR="00024C0A" w:rsidTr="00024C0A">
        <w:tc>
          <w:tcPr>
            <w:tcW w:w="0" w:type="auto"/>
            <w:vAlign w:val="center"/>
          </w:tcPr>
          <w:p w:rsidR="00024C0A" w:rsidRDefault="00694C0F">
            <w:pPr>
              <w:pStyle w:val="TableBodyText"/>
            </w:pPr>
            <w:r>
              <w:lastRenderedPageBreak/>
              <w:t>MenuVersion</w:t>
            </w:r>
          </w:p>
        </w:tc>
        <w:tc>
          <w:tcPr>
            <w:tcW w:w="0" w:type="auto"/>
            <w:vAlign w:val="center"/>
          </w:tcPr>
          <w:p w:rsidR="00024C0A" w:rsidRDefault="00694C0F">
            <w:pPr>
              <w:pStyle w:val="TableBodyText"/>
            </w:pPr>
            <w:r>
              <w:t>16BA</w:t>
            </w:r>
          </w:p>
        </w:tc>
      </w:tr>
      <w:tr w:rsidR="00024C0A" w:rsidTr="00024C0A">
        <w:tc>
          <w:tcPr>
            <w:tcW w:w="0" w:type="auto"/>
            <w:vAlign w:val="center"/>
          </w:tcPr>
          <w:p w:rsidR="00024C0A" w:rsidRDefault="00694C0F">
            <w:pPr>
              <w:pStyle w:val="TableBodyText"/>
            </w:pPr>
            <w:r>
              <w:t>MenuView</w:t>
            </w:r>
          </w:p>
        </w:tc>
        <w:tc>
          <w:tcPr>
            <w:tcW w:w="0" w:type="auto"/>
            <w:vAlign w:val="center"/>
          </w:tcPr>
          <w:p w:rsidR="00024C0A" w:rsidRDefault="00694C0F">
            <w:pPr>
              <w:pStyle w:val="TableBodyText"/>
            </w:pPr>
            <w:r>
              <w:t>1646</w:t>
            </w:r>
          </w:p>
        </w:tc>
      </w:tr>
      <w:tr w:rsidR="00024C0A" w:rsidTr="00024C0A">
        <w:tc>
          <w:tcPr>
            <w:tcW w:w="0" w:type="auto"/>
            <w:vAlign w:val="center"/>
          </w:tcPr>
          <w:p w:rsidR="00024C0A" w:rsidRDefault="00694C0F">
            <w:pPr>
              <w:pStyle w:val="TableBodyText"/>
            </w:pPr>
            <w:r>
              <w:t>MenuWebFavorites</w:t>
            </w:r>
          </w:p>
        </w:tc>
        <w:tc>
          <w:tcPr>
            <w:tcW w:w="0" w:type="auto"/>
            <w:vAlign w:val="center"/>
          </w:tcPr>
          <w:p w:rsidR="00024C0A" w:rsidRDefault="00694C0F">
            <w:pPr>
              <w:pStyle w:val="TableBodyText"/>
            </w:pPr>
            <w:r>
              <w:t>03A9</w:t>
            </w:r>
          </w:p>
        </w:tc>
      </w:tr>
      <w:tr w:rsidR="00024C0A" w:rsidTr="00024C0A">
        <w:tc>
          <w:tcPr>
            <w:tcW w:w="0" w:type="auto"/>
            <w:vAlign w:val="center"/>
          </w:tcPr>
          <w:p w:rsidR="00024C0A" w:rsidRDefault="00694C0F">
            <w:pPr>
              <w:pStyle w:val="TableBodyText"/>
            </w:pPr>
            <w:r>
              <w:t>MenuWebGo</w:t>
            </w:r>
          </w:p>
        </w:tc>
        <w:tc>
          <w:tcPr>
            <w:tcW w:w="0" w:type="auto"/>
            <w:vAlign w:val="center"/>
          </w:tcPr>
          <w:p w:rsidR="00024C0A" w:rsidRDefault="00694C0F">
            <w:pPr>
              <w:pStyle w:val="TableBodyText"/>
            </w:pPr>
            <w:r>
              <w:t>03E6</w:t>
            </w:r>
          </w:p>
        </w:tc>
      </w:tr>
      <w:tr w:rsidR="00024C0A" w:rsidTr="00024C0A">
        <w:tc>
          <w:tcPr>
            <w:tcW w:w="0" w:type="auto"/>
            <w:vAlign w:val="center"/>
          </w:tcPr>
          <w:p w:rsidR="00024C0A" w:rsidRDefault="00694C0F">
            <w:pPr>
              <w:pStyle w:val="TableBodyText"/>
            </w:pPr>
            <w:r>
              <w:t>MenuWindow</w:t>
            </w:r>
          </w:p>
        </w:tc>
        <w:tc>
          <w:tcPr>
            <w:tcW w:w="0" w:type="auto"/>
            <w:vAlign w:val="center"/>
          </w:tcPr>
          <w:p w:rsidR="00024C0A" w:rsidRDefault="00694C0F">
            <w:pPr>
              <w:pStyle w:val="TableBodyText"/>
            </w:pPr>
            <w:r>
              <w:t>164B</w:t>
            </w:r>
          </w:p>
        </w:tc>
      </w:tr>
      <w:tr w:rsidR="00024C0A" w:rsidTr="00024C0A">
        <w:tc>
          <w:tcPr>
            <w:tcW w:w="0" w:type="auto"/>
            <w:vAlign w:val="center"/>
          </w:tcPr>
          <w:p w:rsidR="00024C0A" w:rsidRDefault="00694C0F">
            <w:pPr>
              <w:pStyle w:val="TableBodyText"/>
            </w:pPr>
            <w:r>
              <w:t>MenuWordQFStyles</w:t>
            </w:r>
          </w:p>
        </w:tc>
        <w:tc>
          <w:tcPr>
            <w:tcW w:w="0" w:type="auto"/>
            <w:vAlign w:val="center"/>
          </w:tcPr>
          <w:p w:rsidR="00024C0A" w:rsidRDefault="00694C0F">
            <w:pPr>
              <w:pStyle w:val="TableBodyText"/>
            </w:pPr>
            <w:r>
              <w:t>16CB</w:t>
            </w:r>
          </w:p>
        </w:tc>
      </w:tr>
      <w:tr w:rsidR="00024C0A" w:rsidTr="00024C0A">
        <w:tc>
          <w:tcPr>
            <w:tcW w:w="0" w:type="auto"/>
            <w:vAlign w:val="center"/>
          </w:tcPr>
          <w:p w:rsidR="00024C0A" w:rsidRDefault="00694C0F">
            <w:pPr>
              <w:pStyle w:val="TableBodyText"/>
            </w:pPr>
            <w:r>
              <w:t>MenuWork</w:t>
            </w:r>
          </w:p>
        </w:tc>
        <w:tc>
          <w:tcPr>
            <w:tcW w:w="0" w:type="auto"/>
            <w:vAlign w:val="center"/>
          </w:tcPr>
          <w:p w:rsidR="00024C0A" w:rsidRDefault="00694C0F">
            <w:pPr>
              <w:pStyle w:val="TableBodyText"/>
            </w:pPr>
            <w:r>
              <w:t>164D</w:t>
            </w:r>
          </w:p>
        </w:tc>
      </w:tr>
      <w:tr w:rsidR="00024C0A" w:rsidTr="00024C0A">
        <w:tc>
          <w:tcPr>
            <w:tcW w:w="0" w:type="auto"/>
            <w:vAlign w:val="center"/>
          </w:tcPr>
          <w:p w:rsidR="00024C0A" w:rsidRDefault="00694C0F">
            <w:pPr>
              <w:pStyle w:val="TableBodyText"/>
            </w:pPr>
            <w:r>
              <w:t>MergeSplitGeneral</w:t>
            </w:r>
          </w:p>
        </w:tc>
        <w:tc>
          <w:tcPr>
            <w:tcW w:w="0" w:type="auto"/>
            <w:vAlign w:val="center"/>
          </w:tcPr>
          <w:p w:rsidR="00024C0A" w:rsidRDefault="00694C0F">
            <w:pPr>
              <w:pStyle w:val="TableBodyText"/>
            </w:pPr>
            <w:r>
              <w:t>0363</w:t>
            </w:r>
          </w:p>
        </w:tc>
      </w:tr>
      <w:tr w:rsidR="00024C0A" w:rsidTr="00024C0A">
        <w:tc>
          <w:tcPr>
            <w:tcW w:w="0" w:type="auto"/>
            <w:vAlign w:val="center"/>
          </w:tcPr>
          <w:p w:rsidR="00024C0A" w:rsidRDefault="00694C0F">
            <w:pPr>
              <w:pStyle w:val="TableBodyText"/>
            </w:pPr>
            <w:r>
              <w:t>MergeSubdocument</w:t>
            </w:r>
          </w:p>
        </w:tc>
        <w:tc>
          <w:tcPr>
            <w:tcW w:w="0" w:type="auto"/>
            <w:vAlign w:val="center"/>
          </w:tcPr>
          <w:p w:rsidR="00024C0A" w:rsidRDefault="00694C0F">
            <w:pPr>
              <w:pStyle w:val="TableBodyText"/>
            </w:pPr>
            <w:r>
              <w:t>0248</w:t>
            </w:r>
          </w:p>
        </w:tc>
      </w:tr>
      <w:tr w:rsidR="00024C0A" w:rsidTr="00024C0A">
        <w:tc>
          <w:tcPr>
            <w:tcW w:w="0" w:type="auto"/>
            <w:vAlign w:val="center"/>
          </w:tcPr>
          <w:p w:rsidR="00024C0A" w:rsidRDefault="00694C0F">
            <w:pPr>
              <w:pStyle w:val="TableBodyText"/>
            </w:pPr>
            <w:r>
              <w:t>MicrosoftAccess</w:t>
            </w:r>
          </w:p>
        </w:tc>
        <w:tc>
          <w:tcPr>
            <w:tcW w:w="0" w:type="auto"/>
            <w:vAlign w:val="center"/>
          </w:tcPr>
          <w:p w:rsidR="00024C0A" w:rsidRDefault="00694C0F">
            <w:pPr>
              <w:pStyle w:val="TableBodyText"/>
            </w:pPr>
            <w:r>
              <w:t>0292</w:t>
            </w:r>
          </w:p>
        </w:tc>
      </w:tr>
      <w:tr w:rsidR="00024C0A" w:rsidTr="00024C0A">
        <w:tc>
          <w:tcPr>
            <w:tcW w:w="0" w:type="auto"/>
            <w:vAlign w:val="center"/>
          </w:tcPr>
          <w:p w:rsidR="00024C0A" w:rsidRDefault="00694C0F">
            <w:pPr>
              <w:pStyle w:val="TableBodyText"/>
            </w:pPr>
            <w:r>
              <w:t>MicrosoftExcel</w:t>
            </w:r>
          </w:p>
        </w:tc>
        <w:tc>
          <w:tcPr>
            <w:tcW w:w="0" w:type="auto"/>
            <w:vAlign w:val="center"/>
          </w:tcPr>
          <w:p w:rsidR="00024C0A" w:rsidRDefault="00694C0F">
            <w:pPr>
              <w:pStyle w:val="TableBodyText"/>
            </w:pPr>
            <w:r>
              <w:t>0291</w:t>
            </w:r>
          </w:p>
        </w:tc>
      </w:tr>
      <w:tr w:rsidR="00024C0A" w:rsidTr="00024C0A">
        <w:tc>
          <w:tcPr>
            <w:tcW w:w="0" w:type="auto"/>
            <w:vAlign w:val="center"/>
          </w:tcPr>
          <w:p w:rsidR="00024C0A" w:rsidRDefault="00694C0F">
            <w:pPr>
              <w:pStyle w:val="TableBodyText"/>
            </w:pPr>
            <w:r>
              <w:t>MicrosoftFoxPro</w:t>
            </w:r>
          </w:p>
        </w:tc>
        <w:tc>
          <w:tcPr>
            <w:tcW w:w="0" w:type="auto"/>
            <w:vAlign w:val="center"/>
          </w:tcPr>
          <w:p w:rsidR="00024C0A" w:rsidRDefault="00694C0F">
            <w:pPr>
              <w:pStyle w:val="TableBodyText"/>
            </w:pPr>
            <w:r>
              <w:t>0294</w:t>
            </w:r>
          </w:p>
        </w:tc>
      </w:tr>
      <w:tr w:rsidR="00024C0A" w:rsidTr="00024C0A">
        <w:tc>
          <w:tcPr>
            <w:tcW w:w="0" w:type="auto"/>
            <w:vAlign w:val="center"/>
          </w:tcPr>
          <w:p w:rsidR="00024C0A" w:rsidRDefault="00694C0F">
            <w:pPr>
              <w:pStyle w:val="TableBodyText"/>
            </w:pPr>
            <w:r>
              <w:t>MicrosoftMail</w:t>
            </w:r>
          </w:p>
        </w:tc>
        <w:tc>
          <w:tcPr>
            <w:tcW w:w="0" w:type="auto"/>
            <w:vAlign w:val="center"/>
          </w:tcPr>
          <w:p w:rsidR="00024C0A" w:rsidRDefault="00694C0F">
            <w:pPr>
              <w:pStyle w:val="TableBodyText"/>
            </w:pPr>
            <w:r>
              <w:t>0290</w:t>
            </w:r>
          </w:p>
        </w:tc>
      </w:tr>
      <w:tr w:rsidR="00024C0A" w:rsidTr="00024C0A">
        <w:tc>
          <w:tcPr>
            <w:tcW w:w="0" w:type="auto"/>
            <w:vAlign w:val="center"/>
          </w:tcPr>
          <w:p w:rsidR="00024C0A" w:rsidRDefault="00694C0F">
            <w:pPr>
              <w:pStyle w:val="TableBodyText"/>
            </w:pPr>
            <w:r>
              <w:t>MicrosoftOnTheWeb1</w:t>
            </w:r>
          </w:p>
        </w:tc>
        <w:tc>
          <w:tcPr>
            <w:tcW w:w="0" w:type="auto"/>
            <w:vAlign w:val="center"/>
          </w:tcPr>
          <w:p w:rsidR="00024C0A" w:rsidRDefault="00694C0F">
            <w:pPr>
              <w:pStyle w:val="TableBodyText"/>
            </w:pPr>
            <w:r>
              <w:t>0FFE</w:t>
            </w:r>
          </w:p>
        </w:tc>
      </w:tr>
      <w:tr w:rsidR="00024C0A" w:rsidTr="00024C0A">
        <w:tc>
          <w:tcPr>
            <w:tcW w:w="0" w:type="auto"/>
            <w:vAlign w:val="center"/>
          </w:tcPr>
          <w:p w:rsidR="00024C0A" w:rsidRDefault="00694C0F">
            <w:pPr>
              <w:pStyle w:val="TableBodyText"/>
            </w:pPr>
            <w:r>
              <w:t>MicrosoftOnTheWeb10</w:t>
            </w:r>
          </w:p>
        </w:tc>
        <w:tc>
          <w:tcPr>
            <w:tcW w:w="0" w:type="auto"/>
            <w:vAlign w:val="center"/>
          </w:tcPr>
          <w:p w:rsidR="00024C0A" w:rsidRDefault="00694C0F">
            <w:pPr>
              <w:pStyle w:val="TableBodyText"/>
            </w:pPr>
            <w:r>
              <w:t>1007</w:t>
            </w:r>
          </w:p>
        </w:tc>
      </w:tr>
      <w:tr w:rsidR="00024C0A" w:rsidTr="00024C0A">
        <w:tc>
          <w:tcPr>
            <w:tcW w:w="0" w:type="auto"/>
            <w:vAlign w:val="center"/>
          </w:tcPr>
          <w:p w:rsidR="00024C0A" w:rsidRDefault="00694C0F">
            <w:pPr>
              <w:pStyle w:val="TableBodyText"/>
            </w:pPr>
            <w:r>
              <w:t>MicrosoftOnTheWeb11</w:t>
            </w:r>
          </w:p>
        </w:tc>
        <w:tc>
          <w:tcPr>
            <w:tcW w:w="0" w:type="auto"/>
            <w:vAlign w:val="center"/>
          </w:tcPr>
          <w:p w:rsidR="00024C0A" w:rsidRDefault="00694C0F">
            <w:pPr>
              <w:pStyle w:val="TableBodyText"/>
            </w:pPr>
            <w:r>
              <w:t>1008</w:t>
            </w:r>
          </w:p>
        </w:tc>
      </w:tr>
      <w:tr w:rsidR="00024C0A" w:rsidTr="00024C0A">
        <w:tc>
          <w:tcPr>
            <w:tcW w:w="0" w:type="auto"/>
            <w:vAlign w:val="center"/>
          </w:tcPr>
          <w:p w:rsidR="00024C0A" w:rsidRDefault="00694C0F">
            <w:pPr>
              <w:pStyle w:val="TableBodyText"/>
            </w:pPr>
            <w:r>
              <w:t>MicrosoftOnTheWeb12</w:t>
            </w:r>
          </w:p>
        </w:tc>
        <w:tc>
          <w:tcPr>
            <w:tcW w:w="0" w:type="auto"/>
            <w:vAlign w:val="center"/>
          </w:tcPr>
          <w:p w:rsidR="00024C0A" w:rsidRDefault="00694C0F">
            <w:pPr>
              <w:pStyle w:val="TableBodyText"/>
            </w:pPr>
            <w:r>
              <w:t>1009</w:t>
            </w:r>
          </w:p>
        </w:tc>
      </w:tr>
      <w:tr w:rsidR="00024C0A" w:rsidTr="00024C0A">
        <w:tc>
          <w:tcPr>
            <w:tcW w:w="0" w:type="auto"/>
            <w:vAlign w:val="center"/>
          </w:tcPr>
          <w:p w:rsidR="00024C0A" w:rsidRDefault="00694C0F">
            <w:pPr>
              <w:pStyle w:val="TableBodyText"/>
            </w:pPr>
            <w:r>
              <w:t>MicrosoftOnTheWeb13</w:t>
            </w:r>
          </w:p>
        </w:tc>
        <w:tc>
          <w:tcPr>
            <w:tcW w:w="0" w:type="auto"/>
            <w:vAlign w:val="center"/>
          </w:tcPr>
          <w:p w:rsidR="00024C0A" w:rsidRDefault="00694C0F">
            <w:pPr>
              <w:pStyle w:val="TableBodyText"/>
            </w:pPr>
            <w:r>
              <w:t>100A</w:t>
            </w:r>
          </w:p>
        </w:tc>
      </w:tr>
      <w:tr w:rsidR="00024C0A" w:rsidTr="00024C0A">
        <w:tc>
          <w:tcPr>
            <w:tcW w:w="0" w:type="auto"/>
            <w:vAlign w:val="center"/>
          </w:tcPr>
          <w:p w:rsidR="00024C0A" w:rsidRDefault="00694C0F">
            <w:pPr>
              <w:pStyle w:val="TableBodyText"/>
            </w:pPr>
            <w:r>
              <w:t>MicrosoftOnTheWeb14</w:t>
            </w:r>
          </w:p>
        </w:tc>
        <w:tc>
          <w:tcPr>
            <w:tcW w:w="0" w:type="auto"/>
            <w:vAlign w:val="center"/>
          </w:tcPr>
          <w:p w:rsidR="00024C0A" w:rsidRDefault="00694C0F">
            <w:pPr>
              <w:pStyle w:val="TableBodyText"/>
            </w:pPr>
            <w:r>
              <w:t>100B</w:t>
            </w:r>
          </w:p>
        </w:tc>
      </w:tr>
      <w:tr w:rsidR="00024C0A" w:rsidTr="00024C0A">
        <w:tc>
          <w:tcPr>
            <w:tcW w:w="0" w:type="auto"/>
            <w:vAlign w:val="center"/>
          </w:tcPr>
          <w:p w:rsidR="00024C0A" w:rsidRDefault="00694C0F">
            <w:pPr>
              <w:pStyle w:val="TableBodyText"/>
            </w:pPr>
            <w:r>
              <w:t>MicrosoftOnTheWeb15</w:t>
            </w:r>
          </w:p>
        </w:tc>
        <w:tc>
          <w:tcPr>
            <w:tcW w:w="0" w:type="auto"/>
            <w:vAlign w:val="center"/>
          </w:tcPr>
          <w:p w:rsidR="00024C0A" w:rsidRDefault="00694C0F">
            <w:pPr>
              <w:pStyle w:val="TableBodyText"/>
            </w:pPr>
            <w:r>
              <w:t>100C</w:t>
            </w:r>
          </w:p>
        </w:tc>
      </w:tr>
      <w:tr w:rsidR="00024C0A" w:rsidTr="00024C0A">
        <w:tc>
          <w:tcPr>
            <w:tcW w:w="0" w:type="auto"/>
            <w:vAlign w:val="center"/>
          </w:tcPr>
          <w:p w:rsidR="00024C0A" w:rsidRDefault="00694C0F">
            <w:pPr>
              <w:pStyle w:val="TableBodyText"/>
            </w:pPr>
            <w:r>
              <w:t>MicrosoftOnTheWeb16</w:t>
            </w:r>
          </w:p>
        </w:tc>
        <w:tc>
          <w:tcPr>
            <w:tcW w:w="0" w:type="auto"/>
            <w:vAlign w:val="center"/>
          </w:tcPr>
          <w:p w:rsidR="00024C0A" w:rsidRDefault="00694C0F">
            <w:pPr>
              <w:pStyle w:val="TableBodyText"/>
            </w:pPr>
            <w:r>
              <w:t>100D</w:t>
            </w:r>
          </w:p>
        </w:tc>
      </w:tr>
      <w:tr w:rsidR="00024C0A" w:rsidTr="00024C0A">
        <w:tc>
          <w:tcPr>
            <w:tcW w:w="0" w:type="auto"/>
            <w:vAlign w:val="center"/>
          </w:tcPr>
          <w:p w:rsidR="00024C0A" w:rsidRDefault="00694C0F">
            <w:pPr>
              <w:pStyle w:val="TableBodyText"/>
            </w:pPr>
            <w:r>
              <w:t>MicrosoftOnTheWeb17</w:t>
            </w:r>
          </w:p>
        </w:tc>
        <w:tc>
          <w:tcPr>
            <w:tcW w:w="0" w:type="auto"/>
            <w:vAlign w:val="center"/>
          </w:tcPr>
          <w:p w:rsidR="00024C0A" w:rsidRDefault="00694C0F">
            <w:pPr>
              <w:pStyle w:val="TableBodyText"/>
            </w:pPr>
            <w:r>
              <w:t>100E</w:t>
            </w:r>
          </w:p>
        </w:tc>
      </w:tr>
      <w:tr w:rsidR="00024C0A" w:rsidTr="00024C0A">
        <w:tc>
          <w:tcPr>
            <w:tcW w:w="0" w:type="auto"/>
            <w:vAlign w:val="center"/>
          </w:tcPr>
          <w:p w:rsidR="00024C0A" w:rsidRDefault="00694C0F">
            <w:pPr>
              <w:pStyle w:val="TableBodyText"/>
            </w:pPr>
            <w:r>
              <w:t>MicrosoftOnTheWeb2</w:t>
            </w:r>
          </w:p>
        </w:tc>
        <w:tc>
          <w:tcPr>
            <w:tcW w:w="0" w:type="auto"/>
            <w:vAlign w:val="center"/>
          </w:tcPr>
          <w:p w:rsidR="00024C0A" w:rsidRDefault="00694C0F">
            <w:pPr>
              <w:pStyle w:val="TableBodyText"/>
            </w:pPr>
            <w:r>
              <w:t>0FFF</w:t>
            </w:r>
          </w:p>
        </w:tc>
      </w:tr>
      <w:tr w:rsidR="00024C0A" w:rsidTr="00024C0A">
        <w:tc>
          <w:tcPr>
            <w:tcW w:w="0" w:type="auto"/>
            <w:vAlign w:val="center"/>
          </w:tcPr>
          <w:p w:rsidR="00024C0A" w:rsidRDefault="00694C0F">
            <w:pPr>
              <w:pStyle w:val="TableBodyText"/>
            </w:pPr>
            <w:r>
              <w:t>MicrosoftOnTheWeb3</w:t>
            </w:r>
          </w:p>
        </w:tc>
        <w:tc>
          <w:tcPr>
            <w:tcW w:w="0" w:type="auto"/>
            <w:vAlign w:val="center"/>
          </w:tcPr>
          <w:p w:rsidR="00024C0A" w:rsidRDefault="00694C0F">
            <w:pPr>
              <w:pStyle w:val="TableBodyText"/>
            </w:pPr>
            <w:r>
              <w:t>1000</w:t>
            </w:r>
          </w:p>
        </w:tc>
      </w:tr>
      <w:tr w:rsidR="00024C0A" w:rsidTr="00024C0A">
        <w:tc>
          <w:tcPr>
            <w:tcW w:w="0" w:type="auto"/>
            <w:vAlign w:val="center"/>
          </w:tcPr>
          <w:p w:rsidR="00024C0A" w:rsidRDefault="00694C0F">
            <w:pPr>
              <w:pStyle w:val="TableBodyText"/>
            </w:pPr>
            <w:r>
              <w:t>MicrosoftOnTheWeb4</w:t>
            </w:r>
          </w:p>
        </w:tc>
        <w:tc>
          <w:tcPr>
            <w:tcW w:w="0" w:type="auto"/>
            <w:vAlign w:val="center"/>
          </w:tcPr>
          <w:p w:rsidR="00024C0A" w:rsidRDefault="00694C0F">
            <w:pPr>
              <w:pStyle w:val="TableBodyText"/>
            </w:pPr>
            <w:r>
              <w:t>1001</w:t>
            </w:r>
          </w:p>
        </w:tc>
      </w:tr>
      <w:tr w:rsidR="00024C0A" w:rsidTr="00024C0A">
        <w:tc>
          <w:tcPr>
            <w:tcW w:w="0" w:type="auto"/>
            <w:vAlign w:val="center"/>
          </w:tcPr>
          <w:p w:rsidR="00024C0A" w:rsidRDefault="00694C0F">
            <w:pPr>
              <w:pStyle w:val="TableBodyText"/>
            </w:pPr>
            <w:r>
              <w:t>MicrosoftOnTheWeb5</w:t>
            </w:r>
          </w:p>
        </w:tc>
        <w:tc>
          <w:tcPr>
            <w:tcW w:w="0" w:type="auto"/>
            <w:vAlign w:val="center"/>
          </w:tcPr>
          <w:p w:rsidR="00024C0A" w:rsidRDefault="00694C0F">
            <w:pPr>
              <w:pStyle w:val="TableBodyText"/>
            </w:pPr>
            <w:r>
              <w:t>1002</w:t>
            </w:r>
          </w:p>
        </w:tc>
      </w:tr>
      <w:tr w:rsidR="00024C0A" w:rsidTr="00024C0A">
        <w:tc>
          <w:tcPr>
            <w:tcW w:w="0" w:type="auto"/>
            <w:vAlign w:val="center"/>
          </w:tcPr>
          <w:p w:rsidR="00024C0A" w:rsidRDefault="00694C0F">
            <w:pPr>
              <w:pStyle w:val="TableBodyText"/>
            </w:pPr>
            <w:r>
              <w:t>MicrosoftOnTheWeb6</w:t>
            </w:r>
          </w:p>
        </w:tc>
        <w:tc>
          <w:tcPr>
            <w:tcW w:w="0" w:type="auto"/>
            <w:vAlign w:val="center"/>
          </w:tcPr>
          <w:p w:rsidR="00024C0A" w:rsidRDefault="00694C0F">
            <w:pPr>
              <w:pStyle w:val="TableBodyText"/>
            </w:pPr>
            <w:r>
              <w:t>1003</w:t>
            </w:r>
          </w:p>
        </w:tc>
      </w:tr>
      <w:tr w:rsidR="00024C0A" w:rsidTr="00024C0A">
        <w:tc>
          <w:tcPr>
            <w:tcW w:w="0" w:type="auto"/>
            <w:vAlign w:val="center"/>
          </w:tcPr>
          <w:p w:rsidR="00024C0A" w:rsidRDefault="00694C0F">
            <w:pPr>
              <w:pStyle w:val="TableBodyText"/>
            </w:pPr>
            <w:r>
              <w:t>MicrosoftOnTheWeb7</w:t>
            </w:r>
          </w:p>
        </w:tc>
        <w:tc>
          <w:tcPr>
            <w:tcW w:w="0" w:type="auto"/>
            <w:vAlign w:val="center"/>
          </w:tcPr>
          <w:p w:rsidR="00024C0A" w:rsidRDefault="00694C0F">
            <w:pPr>
              <w:pStyle w:val="TableBodyText"/>
            </w:pPr>
            <w:r>
              <w:t>1004</w:t>
            </w:r>
          </w:p>
        </w:tc>
      </w:tr>
      <w:tr w:rsidR="00024C0A" w:rsidTr="00024C0A">
        <w:tc>
          <w:tcPr>
            <w:tcW w:w="0" w:type="auto"/>
            <w:vAlign w:val="center"/>
          </w:tcPr>
          <w:p w:rsidR="00024C0A" w:rsidRDefault="00694C0F">
            <w:pPr>
              <w:pStyle w:val="TableBodyText"/>
            </w:pPr>
            <w:r>
              <w:t>MicrosoftOnTheWeb8</w:t>
            </w:r>
          </w:p>
        </w:tc>
        <w:tc>
          <w:tcPr>
            <w:tcW w:w="0" w:type="auto"/>
            <w:vAlign w:val="center"/>
          </w:tcPr>
          <w:p w:rsidR="00024C0A" w:rsidRDefault="00694C0F">
            <w:pPr>
              <w:pStyle w:val="TableBodyText"/>
            </w:pPr>
            <w:r>
              <w:t>1005</w:t>
            </w:r>
          </w:p>
        </w:tc>
      </w:tr>
      <w:tr w:rsidR="00024C0A" w:rsidTr="00024C0A">
        <w:tc>
          <w:tcPr>
            <w:tcW w:w="0" w:type="auto"/>
            <w:vAlign w:val="center"/>
          </w:tcPr>
          <w:p w:rsidR="00024C0A" w:rsidRDefault="00694C0F">
            <w:pPr>
              <w:pStyle w:val="TableBodyText"/>
            </w:pPr>
            <w:r>
              <w:t>MicrosoftOnTheWeb9</w:t>
            </w:r>
          </w:p>
        </w:tc>
        <w:tc>
          <w:tcPr>
            <w:tcW w:w="0" w:type="auto"/>
            <w:vAlign w:val="center"/>
          </w:tcPr>
          <w:p w:rsidR="00024C0A" w:rsidRDefault="00694C0F">
            <w:pPr>
              <w:pStyle w:val="TableBodyText"/>
            </w:pPr>
            <w:r>
              <w:t>1006</w:t>
            </w:r>
          </w:p>
        </w:tc>
      </w:tr>
      <w:tr w:rsidR="00024C0A" w:rsidTr="00024C0A">
        <w:tc>
          <w:tcPr>
            <w:tcW w:w="0" w:type="auto"/>
            <w:vAlign w:val="center"/>
          </w:tcPr>
          <w:p w:rsidR="00024C0A" w:rsidRDefault="00694C0F">
            <w:pPr>
              <w:pStyle w:val="TableBodyText"/>
            </w:pPr>
            <w:r>
              <w:t>MicrosoftPowerPoint</w:t>
            </w:r>
          </w:p>
        </w:tc>
        <w:tc>
          <w:tcPr>
            <w:tcW w:w="0" w:type="auto"/>
            <w:vAlign w:val="center"/>
          </w:tcPr>
          <w:p w:rsidR="00024C0A" w:rsidRDefault="00694C0F">
            <w:pPr>
              <w:pStyle w:val="TableBodyText"/>
            </w:pPr>
            <w:r>
              <w:t>0295</w:t>
            </w:r>
          </w:p>
        </w:tc>
      </w:tr>
      <w:tr w:rsidR="00024C0A" w:rsidTr="00024C0A">
        <w:tc>
          <w:tcPr>
            <w:tcW w:w="0" w:type="auto"/>
            <w:vAlign w:val="center"/>
          </w:tcPr>
          <w:p w:rsidR="00024C0A" w:rsidRDefault="00694C0F">
            <w:pPr>
              <w:pStyle w:val="TableBodyText"/>
            </w:pPr>
            <w:r>
              <w:t>MicrosoftProject</w:t>
            </w:r>
          </w:p>
        </w:tc>
        <w:tc>
          <w:tcPr>
            <w:tcW w:w="0" w:type="auto"/>
            <w:vAlign w:val="center"/>
          </w:tcPr>
          <w:p w:rsidR="00024C0A" w:rsidRDefault="00694C0F">
            <w:pPr>
              <w:pStyle w:val="TableBodyText"/>
            </w:pPr>
            <w:r>
              <w:t>0297</w:t>
            </w:r>
          </w:p>
        </w:tc>
      </w:tr>
      <w:tr w:rsidR="00024C0A" w:rsidTr="00024C0A">
        <w:tc>
          <w:tcPr>
            <w:tcW w:w="0" w:type="auto"/>
            <w:vAlign w:val="center"/>
          </w:tcPr>
          <w:p w:rsidR="00024C0A" w:rsidRDefault="00694C0F">
            <w:pPr>
              <w:pStyle w:val="TableBodyText"/>
            </w:pPr>
            <w:r>
              <w:lastRenderedPageBreak/>
              <w:t>MicrosoftPublisher</w:t>
            </w:r>
          </w:p>
        </w:tc>
        <w:tc>
          <w:tcPr>
            <w:tcW w:w="0" w:type="auto"/>
            <w:vAlign w:val="center"/>
          </w:tcPr>
          <w:p w:rsidR="00024C0A" w:rsidRDefault="00694C0F">
            <w:pPr>
              <w:pStyle w:val="TableBodyText"/>
            </w:pPr>
            <w:r>
              <w:t>0296</w:t>
            </w:r>
          </w:p>
        </w:tc>
      </w:tr>
      <w:tr w:rsidR="00024C0A" w:rsidTr="00024C0A">
        <w:tc>
          <w:tcPr>
            <w:tcW w:w="0" w:type="auto"/>
            <w:vAlign w:val="center"/>
          </w:tcPr>
          <w:p w:rsidR="00024C0A" w:rsidRDefault="00694C0F">
            <w:pPr>
              <w:pStyle w:val="TableBodyText"/>
            </w:pPr>
            <w:r>
              <w:t>MicrosoftSchedule</w:t>
            </w:r>
          </w:p>
        </w:tc>
        <w:tc>
          <w:tcPr>
            <w:tcW w:w="0" w:type="auto"/>
            <w:vAlign w:val="center"/>
          </w:tcPr>
          <w:p w:rsidR="00024C0A" w:rsidRDefault="00694C0F">
            <w:pPr>
              <w:pStyle w:val="TableBodyText"/>
            </w:pPr>
            <w:r>
              <w:t>0293</w:t>
            </w:r>
          </w:p>
        </w:tc>
      </w:tr>
      <w:tr w:rsidR="00024C0A" w:rsidTr="00024C0A">
        <w:tc>
          <w:tcPr>
            <w:tcW w:w="0" w:type="auto"/>
            <w:vAlign w:val="center"/>
          </w:tcPr>
          <w:p w:rsidR="00024C0A" w:rsidRDefault="00694C0F">
            <w:pPr>
              <w:pStyle w:val="TableBodyText"/>
            </w:pPr>
            <w:r>
              <w:t>MicrosoftScriptEditor</w:t>
            </w:r>
          </w:p>
        </w:tc>
        <w:tc>
          <w:tcPr>
            <w:tcW w:w="0" w:type="auto"/>
            <w:vAlign w:val="center"/>
          </w:tcPr>
          <w:p w:rsidR="00024C0A" w:rsidRDefault="00694C0F">
            <w:pPr>
              <w:pStyle w:val="TableBodyText"/>
            </w:pPr>
            <w:r>
              <w:t>041C</w:t>
            </w:r>
          </w:p>
        </w:tc>
      </w:tr>
      <w:tr w:rsidR="00024C0A" w:rsidTr="00024C0A">
        <w:tc>
          <w:tcPr>
            <w:tcW w:w="0" w:type="auto"/>
            <w:vAlign w:val="center"/>
          </w:tcPr>
          <w:p w:rsidR="00024C0A" w:rsidRDefault="00694C0F">
            <w:pPr>
              <w:pStyle w:val="TableBodyText"/>
            </w:pPr>
            <w:r>
              <w:t>MicrosoftSystemInfo</w:t>
            </w:r>
          </w:p>
        </w:tc>
        <w:tc>
          <w:tcPr>
            <w:tcW w:w="0" w:type="auto"/>
            <w:vAlign w:val="center"/>
          </w:tcPr>
          <w:p w:rsidR="00024C0A" w:rsidRDefault="00694C0F">
            <w:pPr>
              <w:pStyle w:val="TableBodyText"/>
            </w:pPr>
            <w:r>
              <w:t>02C7</w:t>
            </w:r>
          </w:p>
        </w:tc>
      </w:tr>
      <w:tr w:rsidR="00024C0A" w:rsidTr="00024C0A">
        <w:tc>
          <w:tcPr>
            <w:tcW w:w="0" w:type="auto"/>
            <w:vAlign w:val="center"/>
          </w:tcPr>
          <w:p w:rsidR="00024C0A" w:rsidRDefault="00694C0F">
            <w:pPr>
              <w:pStyle w:val="TableBodyText"/>
            </w:pPr>
            <w:r>
              <w:t>MiddleCenterAlign</w:t>
            </w:r>
          </w:p>
        </w:tc>
        <w:tc>
          <w:tcPr>
            <w:tcW w:w="0" w:type="auto"/>
            <w:vAlign w:val="center"/>
          </w:tcPr>
          <w:p w:rsidR="00024C0A" w:rsidRDefault="00694C0F">
            <w:pPr>
              <w:pStyle w:val="TableBodyText"/>
            </w:pPr>
            <w:r>
              <w:t>047D</w:t>
            </w:r>
          </w:p>
        </w:tc>
      </w:tr>
      <w:tr w:rsidR="00024C0A" w:rsidTr="00024C0A">
        <w:tc>
          <w:tcPr>
            <w:tcW w:w="0" w:type="auto"/>
            <w:vAlign w:val="center"/>
          </w:tcPr>
          <w:p w:rsidR="00024C0A" w:rsidRDefault="00694C0F">
            <w:pPr>
              <w:pStyle w:val="TableBodyText"/>
            </w:pPr>
            <w:r>
              <w:t>MiddleLeftAlign</w:t>
            </w:r>
          </w:p>
        </w:tc>
        <w:tc>
          <w:tcPr>
            <w:tcW w:w="0" w:type="auto"/>
            <w:vAlign w:val="center"/>
          </w:tcPr>
          <w:p w:rsidR="00024C0A" w:rsidRDefault="00694C0F">
            <w:pPr>
              <w:pStyle w:val="TableBodyText"/>
            </w:pPr>
            <w:r>
              <w:t>047E</w:t>
            </w:r>
          </w:p>
        </w:tc>
      </w:tr>
      <w:tr w:rsidR="00024C0A" w:rsidTr="00024C0A">
        <w:tc>
          <w:tcPr>
            <w:tcW w:w="0" w:type="auto"/>
            <w:vAlign w:val="center"/>
          </w:tcPr>
          <w:p w:rsidR="00024C0A" w:rsidRDefault="00694C0F">
            <w:pPr>
              <w:pStyle w:val="TableBodyText"/>
            </w:pPr>
            <w:r>
              <w:t>MiddleRightAlign</w:t>
            </w:r>
          </w:p>
        </w:tc>
        <w:tc>
          <w:tcPr>
            <w:tcW w:w="0" w:type="auto"/>
            <w:vAlign w:val="center"/>
          </w:tcPr>
          <w:p w:rsidR="00024C0A" w:rsidRDefault="00694C0F">
            <w:pPr>
              <w:pStyle w:val="TableBodyText"/>
            </w:pPr>
            <w:r>
              <w:t>047C</w:t>
            </w:r>
          </w:p>
        </w:tc>
      </w:tr>
      <w:tr w:rsidR="00024C0A" w:rsidTr="00024C0A">
        <w:tc>
          <w:tcPr>
            <w:tcW w:w="0" w:type="auto"/>
            <w:vAlign w:val="center"/>
          </w:tcPr>
          <w:p w:rsidR="00024C0A" w:rsidRDefault="00694C0F">
            <w:pPr>
              <w:pStyle w:val="TableBodyText"/>
            </w:pPr>
            <w:r>
              <w:t>ModifyTableStyle</w:t>
            </w:r>
          </w:p>
        </w:tc>
        <w:tc>
          <w:tcPr>
            <w:tcW w:w="0" w:type="auto"/>
            <w:vAlign w:val="center"/>
          </w:tcPr>
          <w:p w:rsidR="00024C0A" w:rsidRDefault="00694C0F">
            <w:pPr>
              <w:pStyle w:val="TableBodyText"/>
            </w:pPr>
            <w:r>
              <w:t>08F8</w:t>
            </w:r>
          </w:p>
        </w:tc>
      </w:tr>
      <w:tr w:rsidR="00024C0A" w:rsidTr="00024C0A">
        <w:tc>
          <w:tcPr>
            <w:tcW w:w="0" w:type="auto"/>
            <w:vAlign w:val="center"/>
          </w:tcPr>
          <w:p w:rsidR="00024C0A" w:rsidRDefault="00694C0F">
            <w:pPr>
              <w:pStyle w:val="TableBodyText"/>
            </w:pPr>
            <w:r>
              <w:t>MoveText</w:t>
            </w:r>
          </w:p>
        </w:tc>
        <w:tc>
          <w:tcPr>
            <w:tcW w:w="0" w:type="auto"/>
            <w:vAlign w:val="center"/>
          </w:tcPr>
          <w:p w:rsidR="00024C0A" w:rsidRDefault="00694C0F">
            <w:pPr>
              <w:pStyle w:val="TableBodyText"/>
            </w:pPr>
            <w:r>
              <w:t>0012</w:t>
            </w:r>
          </w:p>
        </w:tc>
      </w:tr>
      <w:tr w:rsidR="00024C0A" w:rsidTr="00024C0A">
        <w:tc>
          <w:tcPr>
            <w:tcW w:w="0" w:type="auto"/>
            <w:vAlign w:val="center"/>
          </w:tcPr>
          <w:p w:rsidR="00024C0A" w:rsidRDefault="00694C0F">
            <w:pPr>
              <w:pStyle w:val="TableBodyText"/>
            </w:pPr>
            <w:r>
              <w:t>MyPermission</w:t>
            </w:r>
          </w:p>
        </w:tc>
        <w:tc>
          <w:tcPr>
            <w:tcW w:w="0" w:type="auto"/>
            <w:vAlign w:val="center"/>
          </w:tcPr>
          <w:p w:rsidR="00024C0A" w:rsidRDefault="00694C0F">
            <w:pPr>
              <w:pStyle w:val="TableBodyText"/>
            </w:pPr>
            <w:r>
              <w:t>059D</w:t>
            </w:r>
          </w:p>
        </w:tc>
      </w:tr>
      <w:tr w:rsidR="00024C0A" w:rsidTr="00024C0A">
        <w:tc>
          <w:tcPr>
            <w:tcW w:w="0" w:type="auto"/>
            <w:vAlign w:val="center"/>
          </w:tcPr>
          <w:p w:rsidR="00024C0A" w:rsidRDefault="00694C0F">
            <w:pPr>
              <w:pStyle w:val="TableBodyText"/>
            </w:pPr>
            <w:r>
              <w:t>NavBack</w:t>
            </w:r>
          </w:p>
        </w:tc>
        <w:tc>
          <w:tcPr>
            <w:tcW w:w="0" w:type="auto"/>
            <w:vAlign w:val="center"/>
          </w:tcPr>
          <w:p w:rsidR="00024C0A" w:rsidRDefault="00694C0F">
            <w:pPr>
              <w:pStyle w:val="TableBodyText"/>
            </w:pPr>
            <w:r>
              <w:t>083D</w:t>
            </w:r>
          </w:p>
        </w:tc>
      </w:tr>
      <w:tr w:rsidR="00024C0A" w:rsidTr="00024C0A">
        <w:tc>
          <w:tcPr>
            <w:tcW w:w="0" w:type="auto"/>
            <w:vAlign w:val="center"/>
          </w:tcPr>
          <w:p w:rsidR="00024C0A" w:rsidRDefault="00694C0F">
            <w:pPr>
              <w:pStyle w:val="TableBodyText"/>
            </w:pPr>
            <w:r>
              <w:t>NavBackMenu</w:t>
            </w:r>
          </w:p>
        </w:tc>
        <w:tc>
          <w:tcPr>
            <w:tcW w:w="0" w:type="auto"/>
            <w:vAlign w:val="center"/>
          </w:tcPr>
          <w:p w:rsidR="00024C0A" w:rsidRDefault="00694C0F">
            <w:pPr>
              <w:pStyle w:val="TableBodyText"/>
            </w:pPr>
            <w:r>
              <w:t>098B</w:t>
            </w:r>
          </w:p>
        </w:tc>
      </w:tr>
      <w:tr w:rsidR="00024C0A" w:rsidTr="00024C0A">
        <w:tc>
          <w:tcPr>
            <w:tcW w:w="0" w:type="auto"/>
            <w:vAlign w:val="center"/>
          </w:tcPr>
          <w:p w:rsidR="00024C0A" w:rsidRDefault="00694C0F">
            <w:pPr>
              <w:pStyle w:val="TableBodyText"/>
            </w:pPr>
            <w:r>
              <w:t>NavForward</w:t>
            </w:r>
          </w:p>
        </w:tc>
        <w:tc>
          <w:tcPr>
            <w:tcW w:w="0" w:type="auto"/>
            <w:vAlign w:val="center"/>
          </w:tcPr>
          <w:p w:rsidR="00024C0A" w:rsidRDefault="00694C0F">
            <w:pPr>
              <w:pStyle w:val="TableBodyText"/>
            </w:pPr>
            <w:r>
              <w:t>083E</w:t>
            </w:r>
          </w:p>
        </w:tc>
      </w:tr>
      <w:tr w:rsidR="00024C0A" w:rsidTr="00024C0A">
        <w:tc>
          <w:tcPr>
            <w:tcW w:w="0" w:type="auto"/>
            <w:vAlign w:val="center"/>
          </w:tcPr>
          <w:p w:rsidR="00024C0A" w:rsidRDefault="00694C0F">
            <w:pPr>
              <w:pStyle w:val="TableBodyText"/>
            </w:pPr>
            <w:r>
              <w:t>NavForwardMenu</w:t>
            </w:r>
          </w:p>
        </w:tc>
        <w:tc>
          <w:tcPr>
            <w:tcW w:w="0" w:type="auto"/>
            <w:vAlign w:val="center"/>
          </w:tcPr>
          <w:p w:rsidR="00024C0A" w:rsidRDefault="00694C0F">
            <w:pPr>
              <w:pStyle w:val="TableBodyText"/>
            </w:pPr>
            <w:r>
              <w:t>098C</w:t>
            </w:r>
          </w:p>
        </w:tc>
      </w:tr>
      <w:tr w:rsidR="00024C0A" w:rsidTr="00024C0A">
        <w:tc>
          <w:tcPr>
            <w:tcW w:w="0" w:type="auto"/>
            <w:vAlign w:val="center"/>
          </w:tcPr>
          <w:p w:rsidR="00024C0A" w:rsidRDefault="00694C0F">
            <w:pPr>
              <w:pStyle w:val="TableBodyText"/>
            </w:pPr>
            <w:r>
              <w:t>NavigateMove</w:t>
            </w:r>
          </w:p>
        </w:tc>
        <w:tc>
          <w:tcPr>
            <w:tcW w:w="0" w:type="auto"/>
            <w:vAlign w:val="center"/>
          </w:tcPr>
          <w:p w:rsidR="00024C0A" w:rsidRDefault="00694C0F">
            <w:pPr>
              <w:pStyle w:val="TableBodyText"/>
            </w:pPr>
            <w:r>
              <w:t>0949</w:t>
            </w:r>
          </w:p>
        </w:tc>
      </w:tr>
      <w:tr w:rsidR="00024C0A" w:rsidTr="00024C0A">
        <w:tc>
          <w:tcPr>
            <w:tcW w:w="0" w:type="auto"/>
            <w:vAlign w:val="center"/>
          </w:tcPr>
          <w:p w:rsidR="00024C0A" w:rsidRDefault="00694C0F">
            <w:pPr>
              <w:pStyle w:val="TableBodyText"/>
            </w:pPr>
            <w:r>
              <w:t>NeverUseBalloons</w:t>
            </w:r>
          </w:p>
        </w:tc>
        <w:tc>
          <w:tcPr>
            <w:tcW w:w="0" w:type="auto"/>
            <w:vAlign w:val="center"/>
          </w:tcPr>
          <w:p w:rsidR="00024C0A" w:rsidRDefault="00694C0F">
            <w:pPr>
              <w:pStyle w:val="TableBodyText"/>
            </w:pPr>
            <w:r>
              <w:t>05A8</w:t>
            </w:r>
          </w:p>
        </w:tc>
      </w:tr>
      <w:tr w:rsidR="00024C0A" w:rsidTr="00024C0A">
        <w:tc>
          <w:tcPr>
            <w:tcW w:w="0" w:type="auto"/>
            <w:vAlign w:val="center"/>
          </w:tcPr>
          <w:p w:rsidR="00024C0A" w:rsidRDefault="00694C0F">
            <w:pPr>
              <w:pStyle w:val="TableBodyText"/>
            </w:pPr>
            <w:r>
              <w:t>NewStyle</w:t>
            </w:r>
          </w:p>
        </w:tc>
        <w:tc>
          <w:tcPr>
            <w:tcW w:w="0" w:type="auto"/>
            <w:vAlign w:val="center"/>
          </w:tcPr>
          <w:p w:rsidR="00024C0A" w:rsidRDefault="00694C0F">
            <w:pPr>
              <w:pStyle w:val="TableBodyText"/>
            </w:pPr>
            <w:r>
              <w:t>079E</w:t>
            </w:r>
          </w:p>
        </w:tc>
      </w:tr>
      <w:tr w:rsidR="00024C0A" w:rsidTr="00024C0A">
        <w:tc>
          <w:tcPr>
            <w:tcW w:w="0" w:type="auto"/>
            <w:vAlign w:val="center"/>
          </w:tcPr>
          <w:p w:rsidR="00024C0A" w:rsidRDefault="00694C0F">
            <w:pPr>
              <w:pStyle w:val="TableBodyText"/>
            </w:pPr>
            <w:r>
              <w:t>NewToolbar</w:t>
            </w:r>
          </w:p>
        </w:tc>
        <w:tc>
          <w:tcPr>
            <w:tcW w:w="0" w:type="auto"/>
            <w:vAlign w:val="center"/>
          </w:tcPr>
          <w:p w:rsidR="00024C0A" w:rsidRDefault="00694C0F">
            <w:pPr>
              <w:pStyle w:val="TableBodyText"/>
            </w:pPr>
            <w:r>
              <w:t>024A</w:t>
            </w:r>
          </w:p>
        </w:tc>
      </w:tr>
      <w:tr w:rsidR="00024C0A" w:rsidTr="00024C0A">
        <w:tc>
          <w:tcPr>
            <w:tcW w:w="0" w:type="auto"/>
            <w:vAlign w:val="center"/>
          </w:tcPr>
          <w:p w:rsidR="00024C0A" w:rsidRDefault="00694C0F">
            <w:pPr>
              <w:pStyle w:val="TableBodyText"/>
            </w:pPr>
            <w:r>
              <w:t>NextCell</w:t>
            </w:r>
          </w:p>
        </w:tc>
        <w:tc>
          <w:tcPr>
            <w:tcW w:w="0" w:type="auto"/>
            <w:vAlign w:val="center"/>
          </w:tcPr>
          <w:p w:rsidR="00024C0A" w:rsidRDefault="00694C0F">
            <w:pPr>
              <w:pStyle w:val="TableBodyText"/>
            </w:pPr>
            <w:r>
              <w:t>010E</w:t>
            </w:r>
          </w:p>
        </w:tc>
      </w:tr>
      <w:tr w:rsidR="00024C0A" w:rsidTr="00024C0A">
        <w:tc>
          <w:tcPr>
            <w:tcW w:w="0" w:type="auto"/>
            <w:vAlign w:val="center"/>
          </w:tcPr>
          <w:p w:rsidR="00024C0A" w:rsidRDefault="00694C0F">
            <w:pPr>
              <w:pStyle w:val="TableBodyText"/>
            </w:pPr>
            <w:r>
              <w:t>NextChangeOrComment</w:t>
            </w:r>
          </w:p>
        </w:tc>
        <w:tc>
          <w:tcPr>
            <w:tcW w:w="0" w:type="auto"/>
            <w:vAlign w:val="center"/>
          </w:tcPr>
          <w:p w:rsidR="00024C0A" w:rsidRDefault="00694C0F">
            <w:pPr>
              <w:pStyle w:val="TableBodyText"/>
            </w:pPr>
            <w:r>
              <w:t>050E</w:t>
            </w:r>
          </w:p>
        </w:tc>
      </w:tr>
      <w:tr w:rsidR="00024C0A" w:rsidTr="00024C0A">
        <w:tc>
          <w:tcPr>
            <w:tcW w:w="0" w:type="auto"/>
            <w:vAlign w:val="center"/>
          </w:tcPr>
          <w:p w:rsidR="00024C0A" w:rsidRDefault="00694C0F">
            <w:pPr>
              <w:pStyle w:val="TableBodyText"/>
            </w:pPr>
            <w:r>
              <w:t>NextComment</w:t>
            </w:r>
          </w:p>
        </w:tc>
        <w:tc>
          <w:tcPr>
            <w:tcW w:w="0" w:type="auto"/>
            <w:vAlign w:val="center"/>
          </w:tcPr>
          <w:p w:rsidR="00024C0A" w:rsidRDefault="00694C0F">
            <w:pPr>
              <w:pStyle w:val="TableBodyText"/>
            </w:pPr>
            <w:r>
              <w:t>07DE</w:t>
            </w:r>
          </w:p>
        </w:tc>
      </w:tr>
      <w:tr w:rsidR="00024C0A" w:rsidTr="00024C0A">
        <w:tc>
          <w:tcPr>
            <w:tcW w:w="0" w:type="auto"/>
            <w:vAlign w:val="center"/>
          </w:tcPr>
          <w:p w:rsidR="00024C0A" w:rsidRDefault="00694C0F">
            <w:pPr>
              <w:pStyle w:val="TableBodyText"/>
            </w:pPr>
            <w:r>
              <w:t>NextField</w:t>
            </w:r>
          </w:p>
        </w:tc>
        <w:tc>
          <w:tcPr>
            <w:tcW w:w="0" w:type="auto"/>
            <w:vAlign w:val="center"/>
          </w:tcPr>
          <w:p w:rsidR="00024C0A" w:rsidRDefault="00694C0F">
            <w:pPr>
              <w:pStyle w:val="TableBodyText"/>
            </w:pPr>
            <w:r>
              <w:t>0019</w:t>
            </w:r>
          </w:p>
        </w:tc>
      </w:tr>
      <w:tr w:rsidR="00024C0A" w:rsidTr="00024C0A">
        <w:tc>
          <w:tcPr>
            <w:tcW w:w="0" w:type="auto"/>
            <w:vAlign w:val="center"/>
          </w:tcPr>
          <w:p w:rsidR="00024C0A" w:rsidRDefault="00694C0F">
            <w:pPr>
              <w:pStyle w:val="TableBodyText"/>
            </w:pPr>
            <w:r>
              <w:t>NextInsert</w:t>
            </w:r>
          </w:p>
        </w:tc>
        <w:tc>
          <w:tcPr>
            <w:tcW w:w="0" w:type="auto"/>
            <w:vAlign w:val="center"/>
          </w:tcPr>
          <w:p w:rsidR="00024C0A" w:rsidRDefault="00694C0F">
            <w:pPr>
              <w:pStyle w:val="TableBodyText"/>
            </w:pPr>
            <w:r>
              <w:t>0344</w:t>
            </w:r>
          </w:p>
        </w:tc>
      </w:tr>
      <w:tr w:rsidR="00024C0A" w:rsidTr="00024C0A">
        <w:tc>
          <w:tcPr>
            <w:tcW w:w="0" w:type="auto"/>
            <w:vAlign w:val="center"/>
          </w:tcPr>
          <w:p w:rsidR="00024C0A" w:rsidRDefault="00694C0F">
            <w:pPr>
              <w:pStyle w:val="TableBodyText"/>
            </w:pPr>
            <w:r>
              <w:t>NextMisspelling</w:t>
            </w:r>
          </w:p>
        </w:tc>
        <w:tc>
          <w:tcPr>
            <w:tcW w:w="0" w:type="auto"/>
            <w:vAlign w:val="center"/>
          </w:tcPr>
          <w:p w:rsidR="00024C0A" w:rsidRDefault="00694C0F">
            <w:pPr>
              <w:pStyle w:val="TableBodyText"/>
            </w:pPr>
            <w:r>
              <w:t>02F7</w:t>
            </w:r>
          </w:p>
        </w:tc>
      </w:tr>
      <w:tr w:rsidR="00024C0A" w:rsidTr="00024C0A">
        <w:tc>
          <w:tcPr>
            <w:tcW w:w="0" w:type="auto"/>
            <w:vAlign w:val="center"/>
          </w:tcPr>
          <w:p w:rsidR="00024C0A" w:rsidRDefault="00694C0F">
            <w:pPr>
              <w:pStyle w:val="TableBodyText"/>
            </w:pPr>
            <w:r>
              <w:t>NextObject</w:t>
            </w:r>
          </w:p>
        </w:tc>
        <w:tc>
          <w:tcPr>
            <w:tcW w:w="0" w:type="auto"/>
            <w:vAlign w:val="center"/>
          </w:tcPr>
          <w:p w:rsidR="00024C0A" w:rsidRDefault="00694C0F">
            <w:pPr>
              <w:pStyle w:val="TableBodyText"/>
            </w:pPr>
            <w:r>
              <w:t>004C</w:t>
            </w:r>
          </w:p>
        </w:tc>
      </w:tr>
      <w:tr w:rsidR="00024C0A" w:rsidTr="00024C0A">
        <w:tc>
          <w:tcPr>
            <w:tcW w:w="0" w:type="auto"/>
            <w:vAlign w:val="center"/>
          </w:tcPr>
          <w:p w:rsidR="00024C0A" w:rsidRDefault="00694C0F">
            <w:pPr>
              <w:pStyle w:val="TableBodyText"/>
            </w:pPr>
            <w:r>
              <w:t>NextPage</w:t>
            </w:r>
          </w:p>
        </w:tc>
        <w:tc>
          <w:tcPr>
            <w:tcW w:w="0" w:type="auto"/>
            <w:vAlign w:val="center"/>
          </w:tcPr>
          <w:p w:rsidR="00024C0A" w:rsidRDefault="00694C0F">
            <w:pPr>
              <w:pStyle w:val="TableBodyText"/>
            </w:pPr>
            <w:r>
              <w:t>004B</w:t>
            </w:r>
          </w:p>
        </w:tc>
      </w:tr>
      <w:tr w:rsidR="00024C0A" w:rsidTr="00024C0A">
        <w:tc>
          <w:tcPr>
            <w:tcW w:w="0" w:type="auto"/>
            <w:vAlign w:val="center"/>
          </w:tcPr>
          <w:p w:rsidR="00024C0A" w:rsidRDefault="00694C0F">
            <w:pPr>
              <w:pStyle w:val="TableBodyText"/>
            </w:pPr>
            <w:r>
              <w:t>NextPane</w:t>
            </w:r>
          </w:p>
        </w:tc>
        <w:tc>
          <w:tcPr>
            <w:tcW w:w="0" w:type="auto"/>
            <w:vAlign w:val="center"/>
          </w:tcPr>
          <w:p w:rsidR="00024C0A" w:rsidRDefault="00694C0F">
            <w:pPr>
              <w:pStyle w:val="TableBodyText"/>
            </w:pPr>
            <w:r>
              <w:t>0999</w:t>
            </w:r>
          </w:p>
        </w:tc>
      </w:tr>
      <w:tr w:rsidR="00024C0A" w:rsidTr="00024C0A">
        <w:tc>
          <w:tcPr>
            <w:tcW w:w="0" w:type="auto"/>
            <w:vAlign w:val="center"/>
          </w:tcPr>
          <w:p w:rsidR="00024C0A" w:rsidRDefault="00694C0F">
            <w:pPr>
              <w:pStyle w:val="TableBodyText"/>
            </w:pPr>
            <w:r>
              <w:t>NextWindow</w:t>
            </w:r>
          </w:p>
        </w:tc>
        <w:tc>
          <w:tcPr>
            <w:tcW w:w="0" w:type="auto"/>
            <w:vAlign w:val="center"/>
          </w:tcPr>
          <w:p w:rsidR="00024C0A" w:rsidRDefault="00694C0F">
            <w:pPr>
              <w:pStyle w:val="TableBodyText"/>
            </w:pPr>
            <w:r>
              <w:t>0016</w:t>
            </w:r>
          </w:p>
        </w:tc>
      </w:tr>
      <w:tr w:rsidR="00024C0A" w:rsidTr="00024C0A">
        <w:tc>
          <w:tcPr>
            <w:tcW w:w="0" w:type="auto"/>
            <w:vAlign w:val="center"/>
          </w:tcPr>
          <w:p w:rsidR="00024C0A" w:rsidRDefault="00694C0F">
            <w:pPr>
              <w:pStyle w:val="TableBodyText"/>
            </w:pPr>
            <w:r>
              <w:t>NoInsertionDeletionBalloons</w:t>
            </w:r>
          </w:p>
        </w:tc>
        <w:tc>
          <w:tcPr>
            <w:tcW w:w="0" w:type="auto"/>
            <w:vAlign w:val="center"/>
          </w:tcPr>
          <w:p w:rsidR="00024C0A" w:rsidRDefault="00694C0F">
            <w:pPr>
              <w:pStyle w:val="TableBodyText"/>
            </w:pPr>
            <w:r>
              <w:t>05A9</w:t>
            </w:r>
          </w:p>
        </w:tc>
      </w:tr>
      <w:tr w:rsidR="00024C0A" w:rsidTr="00024C0A">
        <w:tc>
          <w:tcPr>
            <w:tcW w:w="0" w:type="auto"/>
            <w:vAlign w:val="center"/>
          </w:tcPr>
          <w:p w:rsidR="00024C0A" w:rsidRDefault="00694C0F">
            <w:pPr>
              <w:pStyle w:val="TableBodyText"/>
            </w:pPr>
            <w:r>
              <w:t>NormalFontPosition</w:t>
            </w:r>
          </w:p>
        </w:tc>
        <w:tc>
          <w:tcPr>
            <w:tcW w:w="0" w:type="auto"/>
            <w:vAlign w:val="center"/>
          </w:tcPr>
          <w:p w:rsidR="00024C0A" w:rsidRDefault="00694C0F">
            <w:pPr>
              <w:pStyle w:val="TableBodyText"/>
            </w:pPr>
            <w:r>
              <w:t>023C</w:t>
            </w:r>
          </w:p>
        </w:tc>
      </w:tr>
      <w:tr w:rsidR="00024C0A" w:rsidTr="00024C0A">
        <w:tc>
          <w:tcPr>
            <w:tcW w:w="0" w:type="auto"/>
            <w:vAlign w:val="center"/>
          </w:tcPr>
          <w:p w:rsidR="00024C0A" w:rsidRDefault="00694C0F">
            <w:pPr>
              <w:pStyle w:val="TableBodyText"/>
            </w:pPr>
            <w:r>
              <w:t>NormalFontSpacing</w:t>
            </w:r>
          </w:p>
        </w:tc>
        <w:tc>
          <w:tcPr>
            <w:tcW w:w="0" w:type="auto"/>
            <w:vAlign w:val="center"/>
          </w:tcPr>
          <w:p w:rsidR="00024C0A" w:rsidRDefault="00694C0F">
            <w:pPr>
              <w:pStyle w:val="TableBodyText"/>
            </w:pPr>
            <w:r>
              <w:t>023B</w:t>
            </w:r>
          </w:p>
        </w:tc>
      </w:tr>
      <w:tr w:rsidR="00024C0A" w:rsidTr="00024C0A">
        <w:tc>
          <w:tcPr>
            <w:tcW w:w="0" w:type="auto"/>
            <w:vAlign w:val="center"/>
          </w:tcPr>
          <w:p w:rsidR="00024C0A" w:rsidRDefault="00694C0F">
            <w:pPr>
              <w:pStyle w:val="TableBodyText"/>
            </w:pPr>
            <w:r>
              <w:t>NormalStyle</w:t>
            </w:r>
          </w:p>
        </w:tc>
        <w:tc>
          <w:tcPr>
            <w:tcW w:w="0" w:type="auto"/>
            <w:vAlign w:val="center"/>
          </w:tcPr>
          <w:p w:rsidR="00024C0A" w:rsidRDefault="00694C0F">
            <w:pPr>
              <w:pStyle w:val="TableBodyText"/>
            </w:pPr>
            <w:r>
              <w:t>00F8</w:t>
            </w:r>
          </w:p>
        </w:tc>
      </w:tr>
      <w:tr w:rsidR="00024C0A" w:rsidTr="00024C0A">
        <w:tc>
          <w:tcPr>
            <w:tcW w:w="0" w:type="auto"/>
            <w:vAlign w:val="center"/>
          </w:tcPr>
          <w:p w:rsidR="00024C0A" w:rsidRDefault="00694C0F">
            <w:pPr>
              <w:pStyle w:val="TableBodyText"/>
            </w:pPr>
            <w:r>
              <w:lastRenderedPageBreak/>
              <w:t>NormalViewHeaderArea</w:t>
            </w:r>
          </w:p>
        </w:tc>
        <w:tc>
          <w:tcPr>
            <w:tcW w:w="0" w:type="auto"/>
            <w:vAlign w:val="center"/>
          </w:tcPr>
          <w:p w:rsidR="00024C0A" w:rsidRDefault="00694C0F">
            <w:pPr>
              <w:pStyle w:val="TableBodyText"/>
            </w:pPr>
            <w:r>
              <w:t>009B</w:t>
            </w:r>
          </w:p>
        </w:tc>
      </w:tr>
      <w:tr w:rsidR="00024C0A" w:rsidTr="00024C0A">
        <w:tc>
          <w:tcPr>
            <w:tcW w:w="0" w:type="auto"/>
            <w:vAlign w:val="center"/>
          </w:tcPr>
          <w:p w:rsidR="00024C0A" w:rsidRDefault="00694C0F">
            <w:pPr>
              <w:pStyle w:val="TableBodyText"/>
            </w:pPr>
            <w:r>
              <w:t>NormalizeText</w:t>
            </w:r>
          </w:p>
        </w:tc>
        <w:tc>
          <w:tcPr>
            <w:tcW w:w="0" w:type="auto"/>
            <w:vAlign w:val="center"/>
          </w:tcPr>
          <w:p w:rsidR="00024C0A" w:rsidRDefault="00694C0F">
            <w:pPr>
              <w:pStyle w:val="TableBodyText"/>
            </w:pPr>
            <w:r>
              <w:t>04F8</w:t>
            </w:r>
          </w:p>
        </w:tc>
      </w:tr>
      <w:tr w:rsidR="00024C0A" w:rsidTr="00024C0A">
        <w:tc>
          <w:tcPr>
            <w:tcW w:w="0" w:type="auto"/>
            <w:vAlign w:val="center"/>
          </w:tcPr>
          <w:p w:rsidR="00024C0A" w:rsidRDefault="00694C0F">
            <w:pPr>
              <w:pStyle w:val="TableBodyText"/>
            </w:pPr>
            <w:r>
              <w:t>NoteOptions</w:t>
            </w:r>
          </w:p>
        </w:tc>
        <w:tc>
          <w:tcPr>
            <w:tcW w:w="0" w:type="auto"/>
            <w:vAlign w:val="center"/>
          </w:tcPr>
          <w:p w:rsidR="00024C0A" w:rsidRDefault="00694C0F">
            <w:pPr>
              <w:pStyle w:val="TableBodyText"/>
            </w:pPr>
            <w:r>
              <w:t>0175</w:t>
            </w:r>
          </w:p>
        </w:tc>
      </w:tr>
      <w:tr w:rsidR="00024C0A" w:rsidTr="00024C0A">
        <w:tc>
          <w:tcPr>
            <w:tcW w:w="0" w:type="auto"/>
            <w:vAlign w:val="center"/>
          </w:tcPr>
          <w:p w:rsidR="00024C0A" w:rsidRDefault="00694C0F">
            <w:pPr>
              <w:pStyle w:val="TableBodyText"/>
            </w:pPr>
            <w:r>
              <w:t>NumberingGallery</w:t>
            </w:r>
          </w:p>
        </w:tc>
        <w:tc>
          <w:tcPr>
            <w:tcW w:w="0" w:type="auto"/>
            <w:vAlign w:val="center"/>
          </w:tcPr>
          <w:p w:rsidR="00024C0A" w:rsidRDefault="00694C0F">
            <w:pPr>
              <w:pStyle w:val="TableBodyText"/>
            </w:pPr>
            <w:r>
              <w:t>07AC</w:t>
            </w:r>
          </w:p>
        </w:tc>
      </w:tr>
      <w:tr w:rsidR="00024C0A" w:rsidTr="00024C0A">
        <w:tc>
          <w:tcPr>
            <w:tcW w:w="0" w:type="auto"/>
            <w:vAlign w:val="center"/>
          </w:tcPr>
          <w:p w:rsidR="00024C0A" w:rsidRDefault="00694C0F">
            <w:pPr>
              <w:pStyle w:val="TableBodyText"/>
            </w:pPr>
            <w:r>
              <w:t>OK</w:t>
            </w:r>
          </w:p>
        </w:tc>
        <w:tc>
          <w:tcPr>
            <w:tcW w:w="0" w:type="auto"/>
            <w:vAlign w:val="center"/>
          </w:tcPr>
          <w:p w:rsidR="00024C0A" w:rsidRDefault="00694C0F">
            <w:pPr>
              <w:pStyle w:val="TableBodyText"/>
            </w:pPr>
            <w:r>
              <w:t>0047</w:t>
            </w:r>
          </w:p>
        </w:tc>
      </w:tr>
      <w:tr w:rsidR="00024C0A" w:rsidTr="00024C0A">
        <w:tc>
          <w:tcPr>
            <w:tcW w:w="0" w:type="auto"/>
            <w:vAlign w:val="center"/>
          </w:tcPr>
          <w:p w:rsidR="00024C0A" w:rsidRDefault="00694C0F">
            <w:pPr>
              <w:pStyle w:val="TableBodyText"/>
            </w:pPr>
            <w:r>
              <w:t>OartCommand</w:t>
            </w:r>
          </w:p>
        </w:tc>
        <w:tc>
          <w:tcPr>
            <w:tcW w:w="0" w:type="auto"/>
            <w:vAlign w:val="center"/>
          </w:tcPr>
          <w:p w:rsidR="00024C0A" w:rsidRDefault="00694C0F">
            <w:pPr>
              <w:pStyle w:val="TableBodyText"/>
            </w:pPr>
            <w:r>
              <w:t>0812</w:t>
            </w:r>
          </w:p>
        </w:tc>
      </w:tr>
      <w:tr w:rsidR="00024C0A" w:rsidTr="00024C0A">
        <w:tc>
          <w:tcPr>
            <w:tcW w:w="0" w:type="auto"/>
            <w:vAlign w:val="center"/>
          </w:tcPr>
          <w:p w:rsidR="00024C0A" w:rsidRDefault="00694C0F">
            <w:pPr>
              <w:pStyle w:val="TableBodyText"/>
            </w:pPr>
            <w:r>
              <w:t>OfficeCenter</w:t>
            </w:r>
          </w:p>
        </w:tc>
        <w:tc>
          <w:tcPr>
            <w:tcW w:w="0" w:type="auto"/>
            <w:vAlign w:val="center"/>
          </w:tcPr>
          <w:p w:rsidR="00024C0A" w:rsidRDefault="00694C0F">
            <w:pPr>
              <w:pStyle w:val="TableBodyText"/>
            </w:pPr>
            <w:r>
              <w:t>17D0</w:t>
            </w:r>
          </w:p>
        </w:tc>
      </w:tr>
      <w:tr w:rsidR="00024C0A" w:rsidTr="00024C0A">
        <w:tc>
          <w:tcPr>
            <w:tcW w:w="0" w:type="auto"/>
            <w:vAlign w:val="center"/>
          </w:tcPr>
          <w:p w:rsidR="00024C0A" w:rsidRDefault="00694C0F">
            <w:pPr>
              <w:pStyle w:val="TableBodyText"/>
            </w:pPr>
            <w:r>
              <w:t>OfficeDrawingCommand</w:t>
            </w:r>
          </w:p>
        </w:tc>
        <w:tc>
          <w:tcPr>
            <w:tcW w:w="0" w:type="auto"/>
            <w:vAlign w:val="center"/>
          </w:tcPr>
          <w:p w:rsidR="00024C0A" w:rsidRDefault="00694C0F">
            <w:pPr>
              <w:pStyle w:val="TableBodyText"/>
            </w:pPr>
            <w:r>
              <w:t>0395</w:t>
            </w:r>
          </w:p>
        </w:tc>
      </w:tr>
      <w:tr w:rsidR="00024C0A" w:rsidTr="00024C0A">
        <w:tc>
          <w:tcPr>
            <w:tcW w:w="0" w:type="auto"/>
            <w:vAlign w:val="center"/>
          </w:tcPr>
          <w:p w:rsidR="00024C0A" w:rsidRDefault="00694C0F">
            <w:pPr>
              <w:pStyle w:val="TableBodyText"/>
            </w:pPr>
            <w:r>
              <w:t>OfficeOnTheWeb</w:t>
            </w:r>
          </w:p>
        </w:tc>
        <w:tc>
          <w:tcPr>
            <w:tcW w:w="0" w:type="auto"/>
            <w:vAlign w:val="center"/>
          </w:tcPr>
          <w:p w:rsidR="00024C0A" w:rsidRDefault="00694C0F">
            <w:pPr>
              <w:pStyle w:val="TableBodyText"/>
            </w:pPr>
            <w:r>
              <w:t>0243</w:t>
            </w:r>
          </w:p>
        </w:tc>
      </w:tr>
      <w:tr w:rsidR="00024C0A" w:rsidTr="00024C0A">
        <w:tc>
          <w:tcPr>
            <w:tcW w:w="0" w:type="auto"/>
            <w:vAlign w:val="center"/>
          </w:tcPr>
          <w:p w:rsidR="00024C0A" w:rsidRDefault="00694C0F">
            <w:pPr>
              <w:pStyle w:val="TableBodyText"/>
            </w:pPr>
            <w:r>
              <w:t>OnlineMeeting</w:t>
            </w:r>
          </w:p>
        </w:tc>
        <w:tc>
          <w:tcPr>
            <w:tcW w:w="0" w:type="auto"/>
            <w:vAlign w:val="center"/>
          </w:tcPr>
          <w:p w:rsidR="00024C0A" w:rsidRDefault="00694C0F">
            <w:pPr>
              <w:pStyle w:val="TableBodyText"/>
            </w:pPr>
            <w:r>
              <w:t>0470</w:t>
            </w:r>
          </w:p>
        </w:tc>
      </w:tr>
      <w:tr w:rsidR="00024C0A" w:rsidTr="00024C0A">
        <w:tc>
          <w:tcPr>
            <w:tcW w:w="0" w:type="auto"/>
            <w:vAlign w:val="center"/>
          </w:tcPr>
          <w:p w:rsidR="00024C0A" w:rsidRDefault="00694C0F">
            <w:pPr>
              <w:pStyle w:val="TableBodyText"/>
            </w:pPr>
            <w:r>
              <w:t>OpenOrCloseParaAbove</w:t>
            </w:r>
          </w:p>
        </w:tc>
        <w:tc>
          <w:tcPr>
            <w:tcW w:w="0" w:type="auto"/>
            <w:vAlign w:val="center"/>
          </w:tcPr>
          <w:p w:rsidR="00024C0A" w:rsidRDefault="00694C0F">
            <w:pPr>
              <w:pStyle w:val="TableBodyText"/>
            </w:pPr>
            <w:r>
              <w:t>0992</w:t>
            </w:r>
          </w:p>
        </w:tc>
      </w:tr>
      <w:tr w:rsidR="00024C0A" w:rsidTr="00024C0A">
        <w:tc>
          <w:tcPr>
            <w:tcW w:w="0" w:type="auto"/>
            <w:vAlign w:val="center"/>
          </w:tcPr>
          <w:p w:rsidR="00024C0A" w:rsidRDefault="00694C0F">
            <w:pPr>
              <w:pStyle w:val="TableBodyText"/>
            </w:pPr>
            <w:r>
              <w:t>OpenOrCloseParaBelow</w:t>
            </w:r>
          </w:p>
        </w:tc>
        <w:tc>
          <w:tcPr>
            <w:tcW w:w="0" w:type="auto"/>
            <w:vAlign w:val="center"/>
          </w:tcPr>
          <w:p w:rsidR="00024C0A" w:rsidRDefault="00694C0F">
            <w:pPr>
              <w:pStyle w:val="TableBodyText"/>
            </w:pPr>
            <w:r>
              <w:t>0993</w:t>
            </w:r>
          </w:p>
        </w:tc>
      </w:tr>
      <w:tr w:rsidR="00024C0A" w:rsidTr="00024C0A">
        <w:tc>
          <w:tcPr>
            <w:tcW w:w="0" w:type="auto"/>
            <w:vAlign w:val="center"/>
          </w:tcPr>
          <w:p w:rsidR="00024C0A" w:rsidRDefault="00694C0F">
            <w:pPr>
              <w:pStyle w:val="TableBodyText"/>
            </w:pPr>
            <w:r>
              <w:t>OpenOrCloseUpPara</w:t>
            </w:r>
          </w:p>
        </w:tc>
        <w:tc>
          <w:tcPr>
            <w:tcW w:w="0" w:type="auto"/>
            <w:vAlign w:val="center"/>
          </w:tcPr>
          <w:p w:rsidR="00024C0A" w:rsidRDefault="00694C0F">
            <w:pPr>
              <w:pStyle w:val="TableBodyText"/>
            </w:pPr>
            <w:r>
              <w:t>02BA</w:t>
            </w:r>
          </w:p>
        </w:tc>
      </w:tr>
      <w:tr w:rsidR="00024C0A" w:rsidTr="00024C0A">
        <w:tc>
          <w:tcPr>
            <w:tcW w:w="0" w:type="auto"/>
            <w:vAlign w:val="center"/>
          </w:tcPr>
          <w:p w:rsidR="00024C0A" w:rsidRDefault="00694C0F">
            <w:pPr>
              <w:pStyle w:val="TableBodyText"/>
            </w:pPr>
            <w:r>
              <w:t>OpenParaAbove</w:t>
            </w:r>
          </w:p>
        </w:tc>
        <w:tc>
          <w:tcPr>
            <w:tcW w:w="0" w:type="auto"/>
            <w:vAlign w:val="center"/>
          </w:tcPr>
          <w:p w:rsidR="00024C0A" w:rsidRDefault="00694C0F">
            <w:pPr>
              <w:pStyle w:val="TableBodyText"/>
            </w:pPr>
            <w:r>
              <w:t>0994</w:t>
            </w:r>
          </w:p>
        </w:tc>
      </w:tr>
      <w:tr w:rsidR="00024C0A" w:rsidTr="00024C0A">
        <w:tc>
          <w:tcPr>
            <w:tcW w:w="0" w:type="auto"/>
            <w:vAlign w:val="center"/>
          </w:tcPr>
          <w:p w:rsidR="00024C0A" w:rsidRDefault="00694C0F">
            <w:pPr>
              <w:pStyle w:val="TableBodyText"/>
            </w:pPr>
            <w:r>
              <w:t>OpenParaBelow</w:t>
            </w:r>
          </w:p>
        </w:tc>
        <w:tc>
          <w:tcPr>
            <w:tcW w:w="0" w:type="auto"/>
            <w:vAlign w:val="center"/>
          </w:tcPr>
          <w:p w:rsidR="00024C0A" w:rsidRDefault="00694C0F">
            <w:pPr>
              <w:pStyle w:val="TableBodyText"/>
            </w:pPr>
            <w:r>
              <w:t>0996</w:t>
            </w:r>
          </w:p>
        </w:tc>
      </w:tr>
      <w:tr w:rsidR="00024C0A" w:rsidTr="00024C0A">
        <w:tc>
          <w:tcPr>
            <w:tcW w:w="0" w:type="auto"/>
            <w:vAlign w:val="center"/>
          </w:tcPr>
          <w:p w:rsidR="00024C0A" w:rsidRDefault="00694C0F">
            <w:pPr>
              <w:pStyle w:val="TableBodyText"/>
            </w:pPr>
            <w:r>
              <w:t>OpenSubdocument</w:t>
            </w:r>
          </w:p>
        </w:tc>
        <w:tc>
          <w:tcPr>
            <w:tcW w:w="0" w:type="auto"/>
            <w:vAlign w:val="center"/>
          </w:tcPr>
          <w:p w:rsidR="00024C0A" w:rsidRDefault="00694C0F">
            <w:pPr>
              <w:pStyle w:val="TableBodyText"/>
            </w:pPr>
            <w:r>
              <w:t>0257</w:t>
            </w:r>
          </w:p>
        </w:tc>
      </w:tr>
      <w:tr w:rsidR="00024C0A" w:rsidTr="00024C0A">
        <w:tc>
          <w:tcPr>
            <w:tcW w:w="0" w:type="auto"/>
            <w:vAlign w:val="center"/>
          </w:tcPr>
          <w:p w:rsidR="00024C0A" w:rsidRDefault="00694C0F">
            <w:pPr>
              <w:pStyle w:val="TableBodyText"/>
            </w:pPr>
            <w:r>
              <w:t>OpenUpPara</w:t>
            </w:r>
          </w:p>
        </w:tc>
        <w:tc>
          <w:tcPr>
            <w:tcW w:w="0" w:type="auto"/>
            <w:vAlign w:val="center"/>
          </w:tcPr>
          <w:p w:rsidR="00024C0A" w:rsidRDefault="00694C0F">
            <w:pPr>
              <w:pStyle w:val="TableBodyText"/>
            </w:pPr>
            <w:r>
              <w:t>0042</w:t>
            </w:r>
          </w:p>
        </w:tc>
      </w:tr>
      <w:tr w:rsidR="00024C0A" w:rsidTr="00024C0A">
        <w:tc>
          <w:tcPr>
            <w:tcW w:w="0" w:type="auto"/>
            <w:vAlign w:val="center"/>
          </w:tcPr>
          <w:p w:rsidR="00024C0A" w:rsidRDefault="00694C0F">
            <w:pPr>
              <w:pStyle w:val="TableBodyText"/>
            </w:pPr>
            <w:r>
              <w:t>Organizer</w:t>
            </w:r>
          </w:p>
        </w:tc>
        <w:tc>
          <w:tcPr>
            <w:tcW w:w="0" w:type="auto"/>
            <w:vAlign w:val="center"/>
          </w:tcPr>
          <w:p w:rsidR="00024C0A" w:rsidRDefault="00694C0F">
            <w:pPr>
              <w:pStyle w:val="TableBodyText"/>
            </w:pPr>
            <w:r>
              <w:t>00DE</w:t>
            </w:r>
          </w:p>
        </w:tc>
      </w:tr>
      <w:tr w:rsidR="00024C0A" w:rsidTr="00024C0A">
        <w:tc>
          <w:tcPr>
            <w:tcW w:w="0" w:type="auto"/>
            <w:vAlign w:val="center"/>
          </w:tcPr>
          <w:p w:rsidR="00024C0A" w:rsidRDefault="00694C0F">
            <w:pPr>
              <w:pStyle w:val="TableBodyText"/>
            </w:pPr>
            <w:r>
              <w:t>OtherPane</w:t>
            </w:r>
          </w:p>
        </w:tc>
        <w:tc>
          <w:tcPr>
            <w:tcW w:w="0" w:type="auto"/>
            <w:vAlign w:val="center"/>
          </w:tcPr>
          <w:p w:rsidR="00024C0A" w:rsidRDefault="00694C0F">
            <w:pPr>
              <w:pStyle w:val="TableBodyText"/>
            </w:pPr>
            <w:r>
              <w:t>0015</w:t>
            </w:r>
          </w:p>
        </w:tc>
      </w:tr>
      <w:tr w:rsidR="00024C0A" w:rsidTr="00024C0A">
        <w:tc>
          <w:tcPr>
            <w:tcW w:w="0" w:type="auto"/>
            <w:vAlign w:val="center"/>
          </w:tcPr>
          <w:p w:rsidR="00024C0A" w:rsidRDefault="00694C0F">
            <w:pPr>
              <w:pStyle w:val="TableBodyText"/>
            </w:pPr>
            <w:r>
              <w:t>OutlineCollapse</w:t>
            </w:r>
          </w:p>
        </w:tc>
        <w:tc>
          <w:tcPr>
            <w:tcW w:w="0" w:type="auto"/>
            <w:vAlign w:val="center"/>
          </w:tcPr>
          <w:p w:rsidR="00024C0A" w:rsidRDefault="00694C0F">
            <w:pPr>
              <w:pStyle w:val="TableBodyText"/>
            </w:pPr>
            <w:r>
              <w:t>00FA</w:t>
            </w:r>
          </w:p>
        </w:tc>
      </w:tr>
      <w:tr w:rsidR="00024C0A" w:rsidTr="00024C0A">
        <w:tc>
          <w:tcPr>
            <w:tcW w:w="0" w:type="auto"/>
            <w:vAlign w:val="center"/>
          </w:tcPr>
          <w:p w:rsidR="00024C0A" w:rsidRDefault="00694C0F">
            <w:pPr>
              <w:pStyle w:val="TableBodyText"/>
            </w:pPr>
            <w:r>
              <w:t>OutlineDemote</w:t>
            </w:r>
          </w:p>
        </w:tc>
        <w:tc>
          <w:tcPr>
            <w:tcW w:w="0" w:type="auto"/>
            <w:vAlign w:val="center"/>
          </w:tcPr>
          <w:p w:rsidR="00024C0A" w:rsidRDefault="00694C0F">
            <w:pPr>
              <w:pStyle w:val="TableBodyText"/>
            </w:pPr>
            <w:r>
              <w:t>00F5</w:t>
            </w:r>
          </w:p>
        </w:tc>
      </w:tr>
      <w:tr w:rsidR="00024C0A" w:rsidTr="00024C0A">
        <w:tc>
          <w:tcPr>
            <w:tcW w:w="0" w:type="auto"/>
            <w:vAlign w:val="center"/>
          </w:tcPr>
          <w:p w:rsidR="00024C0A" w:rsidRDefault="00694C0F">
            <w:pPr>
              <w:pStyle w:val="TableBodyText"/>
            </w:pPr>
            <w:r>
              <w:t>OutlineExpand</w:t>
            </w:r>
          </w:p>
        </w:tc>
        <w:tc>
          <w:tcPr>
            <w:tcW w:w="0" w:type="auto"/>
            <w:vAlign w:val="center"/>
          </w:tcPr>
          <w:p w:rsidR="00024C0A" w:rsidRDefault="00694C0F">
            <w:pPr>
              <w:pStyle w:val="TableBodyText"/>
            </w:pPr>
            <w:r>
              <w:t>00F9</w:t>
            </w:r>
          </w:p>
        </w:tc>
      </w:tr>
      <w:tr w:rsidR="00024C0A" w:rsidTr="00024C0A">
        <w:tc>
          <w:tcPr>
            <w:tcW w:w="0" w:type="auto"/>
            <w:vAlign w:val="center"/>
          </w:tcPr>
          <w:p w:rsidR="00024C0A" w:rsidRDefault="00694C0F">
            <w:pPr>
              <w:pStyle w:val="TableBodyText"/>
            </w:pPr>
            <w:r>
              <w:t>OutlineLevel</w:t>
            </w:r>
          </w:p>
        </w:tc>
        <w:tc>
          <w:tcPr>
            <w:tcW w:w="0" w:type="auto"/>
            <w:vAlign w:val="center"/>
          </w:tcPr>
          <w:p w:rsidR="00024C0A" w:rsidRDefault="00694C0F">
            <w:pPr>
              <w:pStyle w:val="TableBodyText"/>
            </w:pPr>
            <w:r>
              <w:t>056F</w:t>
            </w:r>
          </w:p>
        </w:tc>
      </w:tr>
      <w:tr w:rsidR="00024C0A" w:rsidTr="00024C0A">
        <w:tc>
          <w:tcPr>
            <w:tcW w:w="0" w:type="auto"/>
            <w:vAlign w:val="center"/>
          </w:tcPr>
          <w:p w:rsidR="00024C0A" w:rsidRDefault="00694C0F">
            <w:pPr>
              <w:pStyle w:val="TableBodyText"/>
            </w:pPr>
            <w:r>
              <w:t>OutlineLevelGallery</w:t>
            </w:r>
          </w:p>
        </w:tc>
        <w:tc>
          <w:tcPr>
            <w:tcW w:w="0" w:type="auto"/>
            <w:vAlign w:val="center"/>
          </w:tcPr>
          <w:p w:rsidR="00024C0A" w:rsidRDefault="00694C0F">
            <w:pPr>
              <w:pStyle w:val="TableBodyText"/>
            </w:pPr>
            <w:r>
              <w:t>082F</w:t>
            </w:r>
          </w:p>
        </w:tc>
      </w:tr>
      <w:tr w:rsidR="00024C0A" w:rsidTr="00024C0A">
        <w:tc>
          <w:tcPr>
            <w:tcW w:w="0" w:type="auto"/>
            <w:vAlign w:val="center"/>
          </w:tcPr>
          <w:p w:rsidR="00024C0A" w:rsidRDefault="00694C0F">
            <w:pPr>
              <w:pStyle w:val="TableBodyText"/>
            </w:pPr>
            <w:r>
              <w:t>OutlineMoveDown</w:t>
            </w:r>
          </w:p>
        </w:tc>
        <w:tc>
          <w:tcPr>
            <w:tcW w:w="0" w:type="auto"/>
            <w:vAlign w:val="center"/>
          </w:tcPr>
          <w:p w:rsidR="00024C0A" w:rsidRDefault="00694C0F">
            <w:pPr>
              <w:pStyle w:val="TableBodyText"/>
            </w:pPr>
            <w:r>
              <w:t>00F7</w:t>
            </w:r>
          </w:p>
        </w:tc>
      </w:tr>
      <w:tr w:rsidR="00024C0A" w:rsidTr="00024C0A">
        <w:tc>
          <w:tcPr>
            <w:tcW w:w="0" w:type="auto"/>
            <w:vAlign w:val="center"/>
          </w:tcPr>
          <w:p w:rsidR="00024C0A" w:rsidRDefault="00694C0F">
            <w:pPr>
              <w:pStyle w:val="TableBodyText"/>
            </w:pPr>
            <w:r>
              <w:t>OutlineMoveUp</w:t>
            </w:r>
          </w:p>
        </w:tc>
        <w:tc>
          <w:tcPr>
            <w:tcW w:w="0" w:type="auto"/>
            <w:vAlign w:val="center"/>
          </w:tcPr>
          <w:p w:rsidR="00024C0A" w:rsidRDefault="00694C0F">
            <w:pPr>
              <w:pStyle w:val="TableBodyText"/>
            </w:pPr>
            <w:r>
              <w:t>00F6</w:t>
            </w:r>
          </w:p>
        </w:tc>
      </w:tr>
      <w:tr w:rsidR="00024C0A" w:rsidTr="00024C0A">
        <w:tc>
          <w:tcPr>
            <w:tcW w:w="0" w:type="auto"/>
            <w:vAlign w:val="center"/>
          </w:tcPr>
          <w:p w:rsidR="00024C0A" w:rsidRDefault="00694C0F">
            <w:pPr>
              <w:pStyle w:val="TableBodyText"/>
            </w:pPr>
            <w:r>
              <w:t>OutlineNumberingGallery</w:t>
            </w:r>
          </w:p>
        </w:tc>
        <w:tc>
          <w:tcPr>
            <w:tcW w:w="0" w:type="auto"/>
            <w:vAlign w:val="center"/>
          </w:tcPr>
          <w:p w:rsidR="00024C0A" w:rsidRDefault="00694C0F">
            <w:pPr>
              <w:pStyle w:val="TableBodyText"/>
            </w:pPr>
            <w:r>
              <w:t>0879</w:t>
            </w:r>
          </w:p>
        </w:tc>
      </w:tr>
      <w:tr w:rsidR="00024C0A" w:rsidTr="00024C0A">
        <w:tc>
          <w:tcPr>
            <w:tcW w:w="0" w:type="auto"/>
            <w:vAlign w:val="center"/>
          </w:tcPr>
          <w:p w:rsidR="00024C0A" w:rsidRDefault="00694C0F">
            <w:pPr>
              <w:pStyle w:val="TableBodyText"/>
            </w:pPr>
            <w:r>
              <w:t>OutlinePromote</w:t>
            </w:r>
          </w:p>
        </w:tc>
        <w:tc>
          <w:tcPr>
            <w:tcW w:w="0" w:type="auto"/>
            <w:vAlign w:val="center"/>
          </w:tcPr>
          <w:p w:rsidR="00024C0A" w:rsidRDefault="00694C0F">
            <w:pPr>
              <w:pStyle w:val="TableBodyText"/>
            </w:pPr>
            <w:r>
              <w:t>00F4</w:t>
            </w:r>
          </w:p>
        </w:tc>
      </w:tr>
      <w:tr w:rsidR="00024C0A" w:rsidTr="00024C0A">
        <w:tc>
          <w:tcPr>
            <w:tcW w:w="0" w:type="auto"/>
            <w:vAlign w:val="center"/>
          </w:tcPr>
          <w:p w:rsidR="00024C0A" w:rsidRDefault="00694C0F">
            <w:pPr>
              <w:pStyle w:val="TableBodyText"/>
            </w:pPr>
            <w:r>
              <w:t>OutlinePromoteHeading1</w:t>
            </w:r>
          </w:p>
        </w:tc>
        <w:tc>
          <w:tcPr>
            <w:tcW w:w="0" w:type="auto"/>
            <w:vAlign w:val="center"/>
          </w:tcPr>
          <w:p w:rsidR="00024C0A" w:rsidRDefault="00694C0F">
            <w:pPr>
              <w:pStyle w:val="TableBodyText"/>
            </w:pPr>
            <w:r>
              <w:t>0550</w:t>
            </w:r>
          </w:p>
        </w:tc>
      </w:tr>
      <w:tr w:rsidR="00024C0A" w:rsidTr="00024C0A">
        <w:tc>
          <w:tcPr>
            <w:tcW w:w="0" w:type="auto"/>
            <w:vAlign w:val="center"/>
          </w:tcPr>
          <w:p w:rsidR="00024C0A" w:rsidRDefault="00694C0F">
            <w:pPr>
              <w:pStyle w:val="TableBodyText"/>
            </w:pPr>
            <w:r>
              <w:t>OutlineShowFirstLine</w:t>
            </w:r>
          </w:p>
        </w:tc>
        <w:tc>
          <w:tcPr>
            <w:tcW w:w="0" w:type="auto"/>
            <w:vAlign w:val="center"/>
          </w:tcPr>
          <w:p w:rsidR="00024C0A" w:rsidRDefault="00694C0F">
            <w:pPr>
              <w:pStyle w:val="TableBodyText"/>
            </w:pPr>
            <w:r>
              <w:t>0105</w:t>
            </w:r>
          </w:p>
        </w:tc>
      </w:tr>
      <w:tr w:rsidR="00024C0A" w:rsidTr="00024C0A">
        <w:tc>
          <w:tcPr>
            <w:tcW w:w="0" w:type="auto"/>
            <w:vAlign w:val="center"/>
          </w:tcPr>
          <w:p w:rsidR="00024C0A" w:rsidRDefault="00694C0F">
            <w:pPr>
              <w:pStyle w:val="TableBodyText"/>
            </w:pPr>
            <w:r>
              <w:t>OutlineShowFormat</w:t>
            </w:r>
          </w:p>
        </w:tc>
        <w:tc>
          <w:tcPr>
            <w:tcW w:w="0" w:type="auto"/>
            <w:vAlign w:val="center"/>
          </w:tcPr>
          <w:p w:rsidR="00024C0A" w:rsidRDefault="00694C0F">
            <w:pPr>
              <w:pStyle w:val="TableBodyText"/>
            </w:pPr>
            <w:r>
              <w:t>0106</w:t>
            </w:r>
          </w:p>
        </w:tc>
      </w:tr>
      <w:tr w:rsidR="00024C0A" w:rsidTr="00024C0A">
        <w:tc>
          <w:tcPr>
            <w:tcW w:w="0" w:type="auto"/>
            <w:vAlign w:val="center"/>
          </w:tcPr>
          <w:p w:rsidR="00024C0A" w:rsidRDefault="00694C0F">
            <w:pPr>
              <w:pStyle w:val="TableBodyText"/>
            </w:pPr>
            <w:r>
              <w:t>OutlookInsertFile</w:t>
            </w:r>
          </w:p>
        </w:tc>
        <w:tc>
          <w:tcPr>
            <w:tcW w:w="0" w:type="auto"/>
            <w:vAlign w:val="center"/>
          </w:tcPr>
          <w:p w:rsidR="00024C0A" w:rsidRDefault="00694C0F">
            <w:pPr>
              <w:pStyle w:val="TableBodyText"/>
            </w:pPr>
            <w:r>
              <w:t>0869</w:t>
            </w:r>
          </w:p>
        </w:tc>
      </w:tr>
      <w:tr w:rsidR="00024C0A" w:rsidTr="00024C0A">
        <w:tc>
          <w:tcPr>
            <w:tcW w:w="0" w:type="auto"/>
            <w:vAlign w:val="center"/>
          </w:tcPr>
          <w:p w:rsidR="00024C0A" w:rsidRDefault="00694C0F">
            <w:pPr>
              <w:pStyle w:val="TableBodyText"/>
            </w:pPr>
            <w:r>
              <w:lastRenderedPageBreak/>
              <w:t>OutlookInsertFile2</w:t>
            </w:r>
          </w:p>
        </w:tc>
        <w:tc>
          <w:tcPr>
            <w:tcW w:w="0" w:type="auto"/>
            <w:vAlign w:val="center"/>
          </w:tcPr>
          <w:p w:rsidR="00024C0A" w:rsidRDefault="00694C0F">
            <w:pPr>
              <w:pStyle w:val="TableBodyText"/>
            </w:pPr>
            <w:r>
              <w:t>093F</w:t>
            </w:r>
          </w:p>
        </w:tc>
      </w:tr>
      <w:tr w:rsidR="00024C0A" w:rsidTr="00024C0A">
        <w:tc>
          <w:tcPr>
            <w:tcW w:w="0" w:type="auto"/>
            <w:vAlign w:val="center"/>
          </w:tcPr>
          <w:p w:rsidR="00024C0A" w:rsidRDefault="00694C0F">
            <w:pPr>
              <w:pStyle w:val="TableBodyText"/>
            </w:pPr>
            <w:r>
              <w:t>OutlookViewZoom</w:t>
            </w:r>
          </w:p>
        </w:tc>
        <w:tc>
          <w:tcPr>
            <w:tcW w:w="0" w:type="auto"/>
            <w:vAlign w:val="center"/>
          </w:tcPr>
          <w:p w:rsidR="00024C0A" w:rsidRDefault="00694C0F">
            <w:pPr>
              <w:pStyle w:val="TableBodyText"/>
            </w:pPr>
            <w:r>
              <w:t>0889</w:t>
            </w:r>
          </w:p>
        </w:tc>
      </w:tr>
      <w:tr w:rsidR="00024C0A" w:rsidTr="00024C0A">
        <w:tc>
          <w:tcPr>
            <w:tcW w:w="0" w:type="auto"/>
            <w:vAlign w:val="center"/>
          </w:tcPr>
          <w:p w:rsidR="00024C0A" w:rsidRDefault="00694C0F">
            <w:pPr>
              <w:pStyle w:val="TableBodyText"/>
            </w:pPr>
            <w:r>
              <w:t>Overtype</w:t>
            </w:r>
          </w:p>
        </w:tc>
        <w:tc>
          <w:tcPr>
            <w:tcW w:w="0" w:type="auto"/>
            <w:vAlign w:val="center"/>
          </w:tcPr>
          <w:p w:rsidR="00024C0A" w:rsidRDefault="00694C0F">
            <w:pPr>
              <w:pStyle w:val="TableBodyText"/>
            </w:pPr>
            <w:r>
              <w:t>000D</w:t>
            </w:r>
          </w:p>
        </w:tc>
      </w:tr>
      <w:tr w:rsidR="00024C0A" w:rsidTr="00024C0A">
        <w:tc>
          <w:tcPr>
            <w:tcW w:w="0" w:type="auto"/>
            <w:vAlign w:val="center"/>
          </w:tcPr>
          <w:p w:rsidR="00024C0A" w:rsidRDefault="00694C0F">
            <w:pPr>
              <w:pStyle w:val="TableBodyText"/>
            </w:pPr>
            <w:r>
              <w:t>PPPropertyEditorDlg</w:t>
            </w:r>
          </w:p>
        </w:tc>
        <w:tc>
          <w:tcPr>
            <w:tcW w:w="0" w:type="auto"/>
            <w:vAlign w:val="center"/>
          </w:tcPr>
          <w:p w:rsidR="00024C0A" w:rsidRDefault="00694C0F">
            <w:pPr>
              <w:pStyle w:val="TableBodyText"/>
            </w:pPr>
            <w:r>
              <w:t>1BE3</w:t>
            </w:r>
          </w:p>
        </w:tc>
      </w:tr>
      <w:tr w:rsidR="00024C0A" w:rsidTr="00024C0A">
        <w:tc>
          <w:tcPr>
            <w:tcW w:w="0" w:type="auto"/>
            <w:vAlign w:val="center"/>
          </w:tcPr>
          <w:p w:rsidR="00024C0A" w:rsidRDefault="00694C0F">
            <w:pPr>
              <w:pStyle w:val="TableBodyText"/>
            </w:pPr>
            <w:r>
              <w:t>PageDown</w:t>
            </w:r>
          </w:p>
        </w:tc>
        <w:tc>
          <w:tcPr>
            <w:tcW w:w="0" w:type="auto"/>
            <w:vAlign w:val="center"/>
          </w:tcPr>
          <w:p w:rsidR="00024C0A" w:rsidRDefault="00694C0F">
            <w:pPr>
              <w:pStyle w:val="TableBodyText"/>
            </w:pPr>
            <w:r>
              <w:t>0FAB</w:t>
            </w:r>
          </w:p>
        </w:tc>
      </w:tr>
      <w:tr w:rsidR="00024C0A" w:rsidTr="00024C0A">
        <w:tc>
          <w:tcPr>
            <w:tcW w:w="0" w:type="auto"/>
            <w:vAlign w:val="center"/>
          </w:tcPr>
          <w:p w:rsidR="00024C0A" w:rsidRDefault="00694C0F">
            <w:pPr>
              <w:pStyle w:val="TableBodyText"/>
            </w:pPr>
            <w:r>
              <w:t>PageDownExtend</w:t>
            </w:r>
          </w:p>
        </w:tc>
        <w:tc>
          <w:tcPr>
            <w:tcW w:w="0" w:type="auto"/>
            <w:vAlign w:val="center"/>
          </w:tcPr>
          <w:p w:rsidR="00024C0A" w:rsidRDefault="00694C0F">
            <w:pPr>
              <w:pStyle w:val="TableBodyText"/>
            </w:pPr>
            <w:r>
              <w:t>0FBD</w:t>
            </w:r>
          </w:p>
        </w:tc>
      </w:tr>
      <w:tr w:rsidR="00024C0A" w:rsidTr="00024C0A">
        <w:tc>
          <w:tcPr>
            <w:tcW w:w="0" w:type="auto"/>
            <w:vAlign w:val="center"/>
          </w:tcPr>
          <w:p w:rsidR="00024C0A" w:rsidRDefault="00694C0F">
            <w:pPr>
              <w:pStyle w:val="TableBodyText"/>
            </w:pPr>
            <w:r>
              <w:t>PageMarginsGallery</w:t>
            </w:r>
          </w:p>
        </w:tc>
        <w:tc>
          <w:tcPr>
            <w:tcW w:w="0" w:type="auto"/>
            <w:vAlign w:val="center"/>
          </w:tcPr>
          <w:p w:rsidR="00024C0A" w:rsidRDefault="00694C0F">
            <w:pPr>
              <w:pStyle w:val="TableBodyText"/>
            </w:pPr>
            <w:r>
              <w:t>07B1</w:t>
            </w:r>
          </w:p>
        </w:tc>
      </w:tr>
      <w:tr w:rsidR="00024C0A" w:rsidTr="00024C0A">
        <w:tc>
          <w:tcPr>
            <w:tcW w:w="0" w:type="auto"/>
            <w:vAlign w:val="center"/>
          </w:tcPr>
          <w:p w:rsidR="00024C0A" w:rsidRDefault="00694C0F">
            <w:pPr>
              <w:pStyle w:val="TableBodyText"/>
            </w:pPr>
            <w:r>
              <w:t>PageOrientationGallery</w:t>
            </w:r>
          </w:p>
        </w:tc>
        <w:tc>
          <w:tcPr>
            <w:tcW w:w="0" w:type="auto"/>
            <w:vAlign w:val="center"/>
          </w:tcPr>
          <w:p w:rsidR="00024C0A" w:rsidRDefault="00694C0F">
            <w:pPr>
              <w:pStyle w:val="TableBodyText"/>
            </w:pPr>
            <w:r>
              <w:t>079B</w:t>
            </w:r>
          </w:p>
        </w:tc>
      </w:tr>
      <w:tr w:rsidR="00024C0A" w:rsidTr="00024C0A">
        <w:tc>
          <w:tcPr>
            <w:tcW w:w="0" w:type="auto"/>
            <w:vAlign w:val="center"/>
          </w:tcPr>
          <w:p w:rsidR="00024C0A" w:rsidRDefault="00694C0F">
            <w:pPr>
              <w:pStyle w:val="TableBodyText"/>
            </w:pPr>
            <w:r>
              <w:t>PageSetupLayout</w:t>
            </w:r>
          </w:p>
        </w:tc>
        <w:tc>
          <w:tcPr>
            <w:tcW w:w="0" w:type="auto"/>
            <w:vAlign w:val="center"/>
          </w:tcPr>
          <w:p w:rsidR="00024C0A" w:rsidRDefault="00694C0F">
            <w:pPr>
              <w:pStyle w:val="TableBodyText"/>
            </w:pPr>
            <w:r>
              <w:t>10F7</w:t>
            </w:r>
          </w:p>
        </w:tc>
      </w:tr>
      <w:tr w:rsidR="00024C0A" w:rsidTr="00024C0A">
        <w:tc>
          <w:tcPr>
            <w:tcW w:w="0" w:type="auto"/>
            <w:vAlign w:val="center"/>
          </w:tcPr>
          <w:p w:rsidR="00024C0A" w:rsidRDefault="00694C0F">
            <w:pPr>
              <w:pStyle w:val="TableBodyText"/>
            </w:pPr>
            <w:r>
              <w:t>PageSetupMargins</w:t>
            </w:r>
          </w:p>
        </w:tc>
        <w:tc>
          <w:tcPr>
            <w:tcW w:w="0" w:type="auto"/>
            <w:vAlign w:val="center"/>
          </w:tcPr>
          <w:p w:rsidR="00024C0A" w:rsidRDefault="00694C0F">
            <w:pPr>
              <w:pStyle w:val="TableBodyText"/>
            </w:pPr>
            <w:r>
              <w:t>10F5</w:t>
            </w:r>
          </w:p>
        </w:tc>
      </w:tr>
      <w:tr w:rsidR="00024C0A" w:rsidTr="00024C0A">
        <w:tc>
          <w:tcPr>
            <w:tcW w:w="0" w:type="auto"/>
            <w:vAlign w:val="center"/>
          </w:tcPr>
          <w:p w:rsidR="00024C0A" w:rsidRDefault="00694C0F">
            <w:pPr>
              <w:pStyle w:val="TableBodyText"/>
            </w:pPr>
            <w:r>
              <w:t>PageSetupPaper</w:t>
            </w:r>
          </w:p>
        </w:tc>
        <w:tc>
          <w:tcPr>
            <w:tcW w:w="0" w:type="auto"/>
            <w:vAlign w:val="center"/>
          </w:tcPr>
          <w:p w:rsidR="00024C0A" w:rsidRDefault="00694C0F">
            <w:pPr>
              <w:pStyle w:val="TableBodyText"/>
            </w:pPr>
            <w:r>
              <w:t>10F6</w:t>
            </w:r>
          </w:p>
        </w:tc>
      </w:tr>
      <w:tr w:rsidR="00024C0A" w:rsidTr="00024C0A">
        <w:tc>
          <w:tcPr>
            <w:tcW w:w="0" w:type="auto"/>
            <w:vAlign w:val="center"/>
          </w:tcPr>
          <w:p w:rsidR="00024C0A" w:rsidRDefault="00694C0F">
            <w:pPr>
              <w:pStyle w:val="TableBodyText"/>
            </w:pPr>
            <w:r>
              <w:t>PageSizeGallery</w:t>
            </w:r>
          </w:p>
        </w:tc>
        <w:tc>
          <w:tcPr>
            <w:tcW w:w="0" w:type="auto"/>
            <w:vAlign w:val="center"/>
          </w:tcPr>
          <w:p w:rsidR="00024C0A" w:rsidRDefault="00694C0F">
            <w:pPr>
              <w:pStyle w:val="TableBodyText"/>
            </w:pPr>
            <w:r>
              <w:t>08D0</w:t>
            </w:r>
          </w:p>
        </w:tc>
      </w:tr>
      <w:tr w:rsidR="00024C0A" w:rsidTr="00024C0A">
        <w:tc>
          <w:tcPr>
            <w:tcW w:w="0" w:type="auto"/>
            <w:vAlign w:val="center"/>
          </w:tcPr>
          <w:p w:rsidR="00024C0A" w:rsidRDefault="00694C0F">
            <w:pPr>
              <w:pStyle w:val="TableBodyText"/>
            </w:pPr>
            <w:r>
              <w:t>PageUp</w:t>
            </w:r>
          </w:p>
        </w:tc>
        <w:tc>
          <w:tcPr>
            <w:tcW w:w="0" w:type="auto"/>
            <w:vAlign w:val="center"/>
          </w:tcPr>
          <w:p w:rsidR="00024C0A" w:rsidRDefault="00694C0F">
            <w:pPr>
              <w:pStyle w:val="TableBodyText"/>
            </w:pPr>
            <w:r>
              <w:t>0FAA</w:t>
            </w:r>
          </w:p>
        </w:tc>
      </w:tr>
      <w:tr w:rsidR="00024C0A" w:rsidTr="00024C0A">
        <w:tc>
          <w:tcPr>
            <w:tcW w:w="0" w:type="auto"/>
            <w:vAlign w:val="center"/>
          </w:tcPr>
          <w:p w:rsidR="00024C0A" w:rsidRDefault="00694C0F">
            <w:pPr>
              <w:pStyle w:val="TableBodyText"/>
            </w:pPr>
            <w:r>
              <w:t>PageUpExtend</w:t>
            </w:r>
          </w:p>
        </w:tc>
        <w:tc>
          <w:tcPr>
            <w:tcW w:w="0" w:type="auto"/>
            <w:vAlign w:val="center"/>
          </w:tcPr>
          <w:p w:rsidR="00024C0A" w:rsidRDefault="00694C0F">
            <w:pPr>
              <w:pStyle w:val="TableBodyText"/>
            </w:pPr>
            <w:r>
              <w:t>0FBC</w:t>
            </w:r>
          </w:p>
        </w:tc>
      </w:tr>
      <w:tr w:rsidR="00024C0A" w:rsidTr="00024C0A">
        <w:tc>
          <w:tcPr>
            <w:tcW w:w="0" w:type="auto"/>
            <w:vAlign w:val="center"/>
          </w:tcPr>
          <w:p w:rsidR="00024C0A" w:rsidRDefault="00694C0F">
            <w:pPr>
              <w:pStyle w:val="TableBodyText"/>
            </w:pPr>
            <w:r>
              <w:t>ParaDown</w:t>
            </w:r>
          </w:p>
        </w:tc>
        <w:tc>
          <w:tcPr>
            <w:tcW w:w="0" w:type="auto"/>
            <w:vAlign w:val="center"/>
          </w:tcPr>
          <w:p w:rsidR="00024C0A" w:rsidRDefault="00694C0F">
            <w:pPr>
              <w:pStyle w:val="TableBodyText"/>
            </w:pPr>
            <w:r>
              <w:t>0FA7</w:t>
            </w:r>
          </w:p>
        </w:tc>
      </w:tr>
      <w:tr w:rsidR="00024C0A" w:rsidTr="00024C0A">
        <w:tc>
          <w:tcPr>
            <w:tcW w:w="0" w:type="auto"/>
            <w:vAlign w:val="center"/>
          </w:tcPr>
          <w:p w:rsidR="00024C0A" w:rsidRDefault="00694C0F">
            <w:pPr>
              <w:pStyle w:val="TableBodyText"/>
            </w:pPr>
            <w:r>
              <w:t>ParaDownExtend</w:t>
            </w:r>
          </w:p>
        </w:tc>
        <w:tc>
          <w:tcPr>
            <w:tcW w:w="0" w:type="auto"/>
            <w:vAlign w:val="center"/>
          </w:tcPr>
          <w:p w:rsidR="00024C0A" w:rsidRDefault="00694C0F">
            <w:pPr>
              <w:pStyle w:val="TableBodyText"/>
            </w:pPr>
            <w:r>
              <w:t>0FB9</w:t>
            </w:r>
          </w:p>
        </w:tc>
      </w:tr>
      <w:tr w:rsidR="00024C0A" w:rsidTr="00024C0A">
        <w:tc>
          <w:tcPr>
            <w:tcW w:w="0" w:type="auto"/>
            <w:vAlign w:val="center"/>
          </w:tcPr>
          <w:p w:rsidR="00024C0A" w:rsidRDefault="00694C0F">
            <w:pPr>
              <w:pStyle w:val="TableBodyText"/>
            </w:pPr>
            <w:r>
              <w:t>ParaKeepLinesTogether</w:t>
            </w:r>
          </w:p>
        </w:tc>
        <w:tc>
          <w:tcPr>
            <w:tcW w:w="0" w:type="auto"/>
            <w:vAlign w:val="center"/>
          </w:tcPr>
          <w:p w:rsidR="00024C0A" w:rsidRDefault="00694C0F">
            <w:pPr>
              <w:pStyle w:val="TableBodyText"/>
            </w:pPr>
            <w:r>
              <w:t>026D</w:t>
            </w:r>
          </w:p>
        </w:tc>
      </w:tr>
      <w:tr w:rsidR="00024C0A" w:rsidTr="00024C0A">
        <w:tc>
          <w:tcPr>
            <w:tcW w:w="0" w:type="auto"/>
            <w:vAlign w:val="center"/>
          </w:tcPr>
          <w:p w:rsidR="00024C0A" w:rsidRDefault="00694C0F">
            <w:pPr>
              <w:pStyle w:val="TableBodyText"/>
            </w:pPr>
            <w:r>
              <w:t>ParaKeepWithNext</w:t>
            </w:r>
          </w:p>
        </w:tc>
        <w:tc>
          <w:tcPr>
            <w:tcW w:w="0" w:type="auto"/>
            <w:vAlign w:val="center"/>
          </w:tcPr>
          <w:p w:rsidR="00024C0A" w:rsidRDefault="00694C0F">
            <w:pPr>
              <w:pStyle w:val="TableBodyText"/>
            </w:pPr>
            <w:r>
              <w:t>026E</w:t>
            </w:r>
          </w:p>
        </w:tc>
      </w:tr>
      <w:tr w:rsidR="00024C0A" w:rsidTr="00024C0A">
        <w:tc>
          <w:tcPr>
            <w:tcW w:w="0" w:type="auto"/>
            <w:vAlign w:val="center"/>
          </w:tcPr>
          <w:p w:rsidR="00024C0A" w:rsidRDefault="00694C0F">
            <w:pPr>
              <w:pStyle w:val="TableBodyText"/>
            </w:pPr>
            <w:r>
              <w:t>ParaPageBreakBefore</w:t>
            </w:r>
          </w:p>
        </w:tc>
        <w:tc>
          <w:tcPr>
            <w:tcW w:w="0" w:type="auto"/>
            <w:vAlign w:val="center"/>
          </w:tcPr>
          <w:p w:rsidR="00024C0A" w:rsidRDefault="00694C0F">
            <w:pPr>
              <w:pStyle w:val="TableBodyText"/>
            </w:pPr>
            <w:r>
              <w:t>026F</w:t>
            </w:r>
          </w:p>
        </w:tc>
      </w:tr>
      <w:tr w:rsidR="00024C0A" w:rsidTr="00024C0A">
        <w:tc>
          <w:tcPr>
            <w:tcW w:w="0" w:type="auto"/>
            <w:vAlign w:val="center"/>
          </w:tcPr>
          <w:p w:rsidR="00024C0A" w:rsidRDefault="00694C0F">
            <w:pPr>
              <w:pStyle w:val="TableBodyText"/>
            </w:pPr>
            <w:r>
              <w:t>ParaUp</w:t>
            </w:r>
          </w:p>
        </w:tc>
        <w:tc>
          <w:tcPr>
            <w:tcW w:w="0" w:type="auto"/>
            <w:vAlign w:val="center"/>
          </w:tcPr>
          <w:p w:rsidR="00024C0A" w:rsidRDefault="00694C0F">
            <w:pPr>
              <w:pStyle w:val="TableBodyText"/>
            </w:pPr>
            <w:r>
              <w:t>0FA6</w:t>
            </w:r>
          </w:p>
        </w:tc>
      </w:tr>
      <w:tr w:rsidR="00024C0A" w:rsidTr="00024C0A">
        <w:tc>
          <w:tcPr>
            <w:tcW w:w="0" w:type="auto"/>
            <w:vAlign w:val="center"/>
          </w:tcPr>
          <w:p w:rsidR="00024C0A" w:rsidRDefault="00694C0F">
            <w:pPr>
              <w:pStyle w:val="TableBodyText"/>
            </w:pPr>
            <w:r>
              <w:t>ParaUpExtend</w:t>
            </w:r>
          </w:p>
        </w:tc>
        <w:tc>
          <w:tcPr>
            <w:tcW w:w="0" w:type="auto"/>
            <w:vAlign w:val="center"/>
          </w:tcPr>
          <w:p w:rsidR="00024C0A" w:rsidRDefault="00694C0F">
            <w:pPr>
              <w:pStyle w:val="TableBodyText"/>
            </w:pPr>
            <w:r>
              <w:t>0FB8</w:t>
            </w:r>
          </w:p>
        </w:tc>
      </w:tr>
      <w:tr w:rsidR="00024C0A" w:rsidTr="00024C0A">
        <w:tc>
          <w:tcPr>
            <w:tcW w:w="0" w:type="auto"/>
            <w:vAlign w:val="center"/>
          </w:tcPr>
          <w:p w:rsidR="00024C0A" w:rsidRDefault="00694C0F">
            <w:pPr>
              <w:pStyle w:val="TableBodyText"/>
            </w:pPr>
            <w:r>
              <w:t>ParaWidowOrphanControl</w:t>
            </w:r>
          </w:p>
        </w:tc>
        <w:tc>
          <w:tcPr>
            <w:tcW w:w="0" w:type="auto"/>
            <w:vAlign w:val="center"/>
          </w:tcPr>
          <w:p w:rsidR="00024C0A" w:rsidRDefault="00694C0F">
            <w:pPr>
              <w:pStyle w:val="TableBodyText"/>
            </w:pPr>
            <w:r>
              <w:t>0274</w:t>
            </w:r>
          </w:p>
        </w:tc>
      </w:tr>
      <w:tr w:rsidR="00024C0A" w:rsidTr="00024C0A">
        <w:tc>
          <w:tcPr>
            <w:tcW w:w="0" w:type="auto"/>
            <w:vAlign w:val="center"/>
          </w:tcPr>
          <w:p w:rsidR="00024C0A" w:rsidRDefault="00694C0F">
            <w:pPr>
              <w:pStyle w:val="TableBodyText"/>
            </w:pPr>
            <w:r>
              <w:t>ParagraphRemoveStyle</w:t>
            </w:r>
          </w:p>
        </w:tc>
        <w:tc>
          <w:tcPr>
            <w:tcW w:w="0" w:type="auto"/>
            <w:vAlign w:val="center"/>
          </w:tcPr>
          <w:p w:rsidR="00024C0A" w:rsidRDefault="00694C0F">
            <w:pPr>
              <w:pStyle w:val="TableBodyText"/>
            </w:pPr>
            <w:r>
              <w:t>092A</w:t>
            </w:r>
          </w:p>
        </w:tc>
      </w:tr>
      <w:tr w:rsidR="00024C0A" w:rsidTr="00024C0A">
        <w:tc>
          <w:tcPr>
            <w:tcW w:w="0" w:type="auto"/>
            <w:vAlign w:val="center"/>
          </w:tcPr>
          <w:p w:rsidR="00024C0A" w:rsidRDefault="00694C0F">
            <w:pPr>
              <w:pStyle w:val="TableBodyText"/>
            </w:pPr>
            <w:r>
              <w:t>PasteButtonImage</w:t>
            </w:r>
          </w:p>
        </w:tc>
        <w:tc>
          <w:tcPr>
            <w:tcW w:w="0" w:type="auto"/>
            <w:vAlign w:val="center"/>
          </w:tcPr>
          <w:p w:rsidR="00024C0A" w:rsidRDefault="00694C0F">
            <w:pPr>
              <w:pStyle w:val="TableBodyText"/>
            </w:pPr>
            <w:r>
              <w:t>020F</w:t>
            </w:r>
          </w:p>
        </w:tc>
      </w:tr>
      <w:tr w:rsidR="00024C0A" w:rsidTr="00024C0A">
        <w:tc>
          <w:tcPr>
            <w:tcW w:w="0" w:type="auto"/>
            <w:vAlign w:val="center"/>
          </w:tcPr>
          <w:p w:rsidR="00024C0A" w:rsidRDefault="00694C0F">
            <w:pPr>
              <w:pStyle w:val="TableBodyText"/>
            </w:pPr>
            <w:r>
              <w:t>PasteFormat</w:t>
            </w:r>
          </w:p>
        </w:tc>
        <w:tc>
          <w:tcPr>
            <w:tcW w:w="0" w:type="auto"/>
            <w:vAlign w:val="center"/>
          </w:tcPr>
          <w:p w:rsidR="00024C0A" w:rsidRDefault="00694C0F">
            <w:pPr>
              <w:pStyle w:val="TableBodyText"/>
            </w:pPr>
            <w:r>
              <w:t>01E6</w:t>
            </w:r>
          </w:p>
        </w:tc>
      </w:tr>
      <w:tr w:rsidR="00024C0A" w:rsidTr="00024C0A">
        <w:tc>
          <w:tcPr>
            <w:tcW w:w="0" w:type="auto"/>
            <w:vAlign w:val="center"/>
          </w:tcPr>
          <w:p w:rsidR="00024C0A" w:rsidRDefault="00694C0F">
            <w:pPr>
              <w:pStyle w:val="TableBodyText"/>
            </w:pPr>
            <w:r>
              <w:t>PauseRecorder</w:t>
            </w:r>
          </w:p>
        </w:tc>
        <w:tc>
          <w:tcPr>
            <w:tcW w:w="0" w:type="auto"/>
            <w:vAlign w:val="center"/>
          </w:tcPr>
          <w:p w:rsidR="00024C0A" w:rsidRDefault="00694C0F">
            <w:pPr>
              <w:pStyle w:val="TableBodyText"/>
            </w:pPr>
            <w:r>
              <w:t>00D8</w:t>
            </w:r>
          </w:p>
        </w:tc>
      </w:tr>
      <w:tr w:rsidR="00024C0A" w:rsidTr="00024C0A">
        <w:tc>
          <w:tcPr>
            <w:tcW w:w="0" w:type="auto"/>
            <w:vAlign w:val="center"/>
          </w:tcPr>
          <w:p w:rsidR="00024C0A" w:rsidRDefault="00694C0F">
            <w:pPr>
              <w:pStyle w:val="TableBodyText"/>
            </w:pPr>
            <w:r>
              <w:t>PicturePositionGallery</w:t>
            </w:r>
          </w:p>
        </w:tc>
        <w:tc>
          <w:tcPr>
            <w:tcW w:w="0" w:type="auto"/>
            <w:vAlign w:val="center"/>
          </w:tcPr>
          <w:p w:rsidR="00024C0A" w:rsidRDefault="00694C0F">
            <w:pPr>
              <w:pStyle w:val="TableBodyText"/>
            </w:pPr>
            <w:r>
              <w:t>08C3</w:t>
            </w:r>
          </w:p>
        </w:tc>
      </w:tr>
      <w:tr w:rsidR="00024C0A" w:rsidTr="00024C0A">
        <w:tc>
          <w:tcPr>
            <w:tcW w:w="0" w:type="auto"/>
            <w:vAlign w:val="center"/>
          </w:tcPr>
          <w:p w:rsidR="00024C0A" w:rsidRDefault="00694C0F">
            <w:pPr>
              <w:pStyle w:val="TableBodyText"/>
            </w:pPr>
            <w:r>
              <w:t>PostcardWizard</w:t>
            </w:r>
          </w:p>
        </w:tc>
        <w:tc>
          <w:tcPr>
            <w:tcW w:w="0" w:type="auto"/>
            <w:vAlign w:val="center"/>
          </w:tcPr>
          <w:p w:rsidR="00024C0A" w:rsidRDefault="00694C0F">
            <w:pPr>
              <w:pStyle w:val="TableBodyText"/>
            </w:pPr>
            <w:r>
              <w:t>03DC</w:t>
            </w:r>
          </w:p>
        </w:tc>
      </w:tr>
      <w:tr w:rsidR="00024C0A" w:rsidTr="00024C0A">
        <w:tc>
          <w:tcPr>
            <w:tcW w:w="0" w:type="auto"/>
            <w:vAlign w:val="center"/>
          </w:tcPr>
          <w:p w:rsidR="00024C0A" w:rsidRDefault="00694C0F">
            <w:pPr>
              <w:pStyle w:val="TableBodyText"/>
            </w:pPr>
            <w:r>
              <w:t>PresentIt</w:t>
            </w:r>
          </w:p>
        </w:tc>
        <w:tc>
          <w:tcPr>
            <w:tcW w:w="0" w:type="auto"/>
            <w:vAlign w:val="center"/>
          </w:tcPr>
          <w:p w:rsidR="00024C0A" w:rsidRDefault="00694C0F">
            <w:pPr>
              <w:pStyle w:val="TableBodyText"/>
            </w:pPr>
            <w:r>
              <w:t>03C9</w:t>
            </w:r>
          </w:p>
        </w:tc>
      </w:tr>
      <w:tr w:rsidR="00024C0A" w:rsidTr="00024C0A">
        <w:tc>
          <w:tcPr>
            <w:tcW w:w="0" w:type="auto"/>
            <w:vAlign w:val="center"/>
          </w:tcPr>
          <w:p w:rsidR="00024C0A" w:rsidRDefault="00694C0F">
            <w:pPr>
              <w:pStyle w:val="TableBodyText"/>
            </w:pPr>
            <w:r>
              <w:t>PrevCell</w:t>
            </w:r>
          </w:p>
        </w:tc>
        <w:tc>
          <w:tcPr>
            <w:tcW w:w="0" w:type="auto"/>
            <w:vAlign w:val="center"/>
          </w:tcPr>
          <w:p w:rsidR="00024C0A" w:rsidRDefault="00694C0F">
            <w:pPr>
              <w:pStyle w:val="TableBodyText"/>
            </w:pPr>
            <w:r>
              <w:t>010F</w:t>
            </w:r>
          </w:p>
        </w:tc>
      </w:tr>
      <w:tr w:rsidR="00024C0A" w:rsidTr="00024C0A">
        <w:tc>
          <w:tcPr>
            <w:tcW w:w="0" w:type="auto"/>
            <w:vAlign w:val="center"/>
          </w:tcPr>
          <w:p w:rsidR="00024C0A" w:rsidRDefault="00694C0F">
            <w:pPr>
              <w:pStyle w:val="TableBodyText"/>
            </w:pPr>
            <w:r>
              <w:t>PrevField</w:t>
            </w:r>
          </w:p>
        </w:tc>
        <w:tc>
          <w:tcPr>
            <w:tcW w:w="0" w:type="auto"/>
            <w:vAlign w:val="center"/>
          </w:tcPr>
          <w:p w:rsidR="00024C0A" w:rsidRDefault="00694C0F">
            <w:pPr>
              <w:pStyle w:val="TableBodyText"/>
            </w:pPr>
            <w:r>
              <w:t>001A</w:t>
            </w:r>
          </w:p>
        </w:tc>
      </w:tr>
      <w:tr w:rsidR="00024C0A" w:rsidTr="00024C0A">
        <w:tc>
          <w:tcPr>
            <w:tcW w:w="0" w:type="auto"/>
            <w:vAlign w:val="center"/>
          </w:tcPr>
          <w:p w:rsidR="00024C0A" w:rsidRDefault="00694C0F">
            <w:pPr>
              <w:pStyle w:val="TableBodyText"/>
            </w:pPr>
            <w:r>
              <w:t>PrevObject</w:t>
            </w:r>
          </w:p>
        </w:tc>
        <w:tc>
          <w:tcPr>
            <w:tcW w:w="0" w:type="auto"/>
            <w:vAlign w:val="center"/>
          </w:tcPr>
          <w:p w:rsidR="00024C0A" w:rsidRDefault="00694C0F">
            <w:pPr>
              <w:pStyle w:val="TableBodyText"/>
            </w:pPr>
            <w:r>
              <w:t>004D</w:t>
            </w:r>
          </w:p>
        </w:tc>
      </w:tr>
      <w:tr w:rsidR="00024C0A" w:rsidTr="00024C0A">
        <w:tc>
          <w:tcPr>
            <w:tcW w:w="0" w:type="auto"/>
            <w:vAlign w:val="center"/>
          </w:tcPr>
          <w:p w:rsidR="00024C0A" w:rsidRDefault="00694C0F">
            <w:pPr>
              <w:pStyle w:val="TableBodyText"/>
            </w:pPr>
            <w:r>
              <w:lastRenderedPageBreak/>
              <w:t>PrevPage</w:t>
            </w:r>
          </w:p>
        </w:tc>
        <w:tc>
          <w:tcPr>
            <w:tcW w:w="0" w:type="auto"/>
            <w:vAlign w:val="center"/>
          </w:tcPr>
          <w:p w:rsidR="00024C0A" w:rsidRDefault="00694C0F">
            <w:pPr>
              <w:pStyle w:val="TableBodyText"/>
            </w:pPr>
            <w:r>
              <w:t>004A</w:t>
            </w:r>
          </w:p>
        </w:tc>
      </w:tr>
      <w:tr w:rsidR="00024C0A" w:rsidTr="00024C0A">
        <w:tc>
          <w:tcPr>
            <w:tcW w:w="0" w:type="auto"/>
            <w:vAlign w:val="center"/>
          </w:tcPr>
          <w:p w:rsidR="00024C0A" w:rsidRDefault="00694C0F">
            <w:pPr>
              <w:pStyle w:val="TableBodyText"/>
            </w:pPr>
            <w:r>
              <w:t>PrevPane</w:t>
            </w:r>
          </w:p>
        </w:tc>
        <w:tc>
          <w:tcPr>
            <w:tcW w:w="0" w:type="auto"/>
            <w:vAlign w:val="center"/>
          </w:tcPr>
          <w:p w:rsidR="00024C0A" w:rsidRDefault="00694C0F">
            <w:pPr>
              <w:pStyle w:val="TableBodyText"/>
            </w:pPr>
            <w:r>
              <w:t>099A</w:t>
            </w:r>
          </w:p>
        </w:tc>
      </w:tr>
      <w:tr w:rsidR="00024C0A" w:rsidTr="00024C0A">
        <w:tc>
          <w:tcPr>
            <w:tcW w:w="0" w:type="auto"/>
            <w:vAlign w:val="center"/>
          </w:tcPr>
          <w:p w:rsidR="00024C0A" w:rsidRDefault="00694C0F">
            <w:pPr>
              <w:pStyle w:val="TableBodyText"/>
            </w:pPr>
            <w:r>
              <w:t>PrevWindow</w:t>
            </w:r>
          </w:p>
        </w:tc>
        <w:tc>
          <w:tcPr>
            <w:tcW w:w="0" w:type="auto"/>
            <w:vAlign w:val="center"/>
          </w:tcPr>
          <w:p w:rsidR="00024C0A" w:rsidRDefault="00694C0F">
            <w:pPr>
              <w:pStyle w:val="TableBodyText"/>
            </w:pPr>
            <w:r>
              <w:t>0017</w:t>
            </w:r>
          </w:p>
        </w:tc>
      </w:tr>
      <w:tr w:rsidR="00024C0A" w:rsidTr="00024C0A">
        <w:tc>
          <w:tcPr>
            <w:tcW w:w="0" w:type="auto"/>
            <w:vAlign w:val="center"/>
          </w:tcPr>
          <w:p w:rsidR="00024C0A" w:rsidRDefault="00694C0F">
            <w:pPr>
              <w:pStyle w:val="TableBodyText"/>
            </w:pPr>
            <w:r>
              <w:t>PreviousChangeOrComment</w:t>
            </w:r>
          </w:p>
        </w:tc>
        <w:tc>
          <w:tcPr>
            <w:tcW w:w="0" w:type="auto"/>
            <w:vAlign w:val="center"/>
          </w:tcPr>
          <w:p w:rsidR="00024C0A" w:rsidRDefault="00694C0F">
            <w:pPr>
              <w:pStyle w:val="TableBodyText"/>
            </w:pPr>
            <w:r>
              <w:t>050D</w:t>
            </w:r>
          </w:p>
        </w:tc>
      </w:tr>
      <w:tr w:rsidR="00024C0A" w:rsidTr="00024C0A">
        <w:tc>
          <w:tcPr>
            <w:tcW w:w="0" w:type="auto"/>
            <w:vAlign w:val="center"/>
          </w:tcPr>
          <w:p w:rsidR="00024C0A" w:rsidRDefault="00694C0F">
            <w:pPr>
              <w:pStyle w:val="TableBodyText"/>
            </w:pPr>
            <w:r>
              <w:t>PreviousComment</w:t>
            </w:r>
          </w:p>
        </w:tc>
        <w:tc>
          <w:tcPr>
            <w:tcW w:w="0" w:type="auto"/>
            <w:vAlign w:val="center"/>
          </w:tcPr>
          <w:p w:rsidR="00024C0A" w:rsidRDefault="00694C0F">
            <w:pPr>
              <w:pStyle w:val="TableBodyText"/>
            </w:pPr>
            <w:r>
              <w:t>07DF</w:t>
            </w:r>
          </w:p>
        </w:tc>
      </w:tr>
      <w:tr w:rsidR="00024C0A" w:rsidTr="00024C0A">
        <w:tc>
          <w:tcPr>
            <w:tcW w:w="0" w:type="auto"/>
            <w:vAlign w:val="center"/>
          </w:tcPr>
          <w:p w:rsidR="00024C0A" w:rsidRDefault="00694C0F">
            <w:pPr>
              <w:pStyle w:val="TableBodyText"/>
            </w:pPr>
            <w:r>
              <w:t>PrivFunctionkey1</w:t>
            </w:r>
          </w:p>
        </w:tc>
        <w:tc>
          <w:tcPr>
            <w:tcW w:w="0" w:type="auto"/>
            <w:vAlign w:val="center"/>
          </w:tcPr>
          <w:p w:rsidR="00024C0A" w:rsidRDefault="00694C0F">
            <w:pPr>
              <w:pStyle w:val="TableBodyText"/>
            </w:pPr>
            <w:r>
              <w:t>0449</w:t>
            </w:r>
          </w:p>
        </w:tc>
      </w:tr>
      <w:tr w:rsidR="00024C0A" w:rsidTr="00024C0A">
        <w:tc>
          <w:tcPr>
            <w:tcW w:w="0" w:type="auto"/>
            <w:vAlign w:val="center"/>
          </w:tcPr>
          <w:p w:rsidR="00024C0A" w:rsidRDefault="00694C0F">
            <w:pPr>
              <w:pStyle w:val="TableBodyText"/>
            </w:pPr>
            <w:r>
              <w:t>PrivFunctionkey10</w:t>
            </w:r>
          </w:p>
        </w:tc>
        <w:tc>
          <w:tcPr>
            <w:tcW w:w="0" w:type="auto"/>
            <w:vAlign w:val="center"/>
          </w:tcPr>
          <w:p w:rsidR="00024C0A" w:rsidRDefault="00694C0F">
            <w:pPr>
              <w:pStyle w:val="TableBodyText"/>
            </w:pPr>
            <w:r>
              <w:t>0452</w:t>
            </w:r>
          </w:p>
        </w:tc>
      </w:tr>
      <w:tr w:rsidR="00024C0A" w:rsidTr="00024C0A">
        <w:tc>
          <w:tcPr>
            <w:tcW w:w="0" w:type="auto"/>
            <w:vAlign w:val="center"/>
          </w:tcPr>
          <w:p w:rsidR="00024C0A" w:rsidRDefault="00694C0F">
            <w:pPr>
              <w:pStyle w:val="TableBodyText"/>
            </w:pPr>
            <w:r>
              <w:t>PrivFunctionkey11</w:t>
            </w:r>
          </w:p>
        </w:tc>
        <w:tc>
          <w:tcPr>
            <w:tcW w:w="0" w:type="auto"/>
            <w:vAlign w:val="center"/>
          </w:tcPr>
          <w:p w:rsidR="00024C0A" w:rsidRDefault="00694C0F">
            <w:pPr>
              <w:pStyle w:val="TableBodyText"/>
            </w:pPr>
            <w:r>
              <w:t>0453</w:t>
            </w:r>
          </w:p>
        </w:tc>
      </w:tr>
      <w:tr w:rsidR="00024C0A" w:rsidTr="00024C0A">
        <w:tc>
          <w:tcPr>
            <w:tcW w:w="0" w:type="auto"/>
            <w:vAlign w:val="center"/>
          </w:tcPr>
          <w:p w:rsidR="00024C0A" w:rsidRDefault="00694C0F">
            <w:pPr>
              <w:pStyle w:val="TableBodyText"/>
            </w:pPr>
            <w:r>
              <w:t>PrivFunctionkey12</w:t>
            </w:r>
          </w:p>
        </w:tc>
        <w:tc>
          <w:tcPr>
            <w:tcW w:w="0" w:type="auto"/>
            <w:vAlign w:val="center"/>
          </w:tcPr>
          <w:p w:rsidR="00024C0A" w:rsidRDefault="00694C0F">
            <w:pPr>
              <w:pStyle w:val="TableBodyText"/>
            </w:pPr>
            <w:r>
              <w:t>0454</w:t>
            </w:r>
          </w:p>
        </w:tc>
      </w:tr>
      <w:tr w:rsidR="00024C0A" w:rsidTr="00024C0A">
        <w:tc>
          <w:tcPr>
            <w:tcW w:w="0" w:type="auto"/>
            <w:vAlign w:val="center"/>
          </w:tcPr>
          <w:p w:rsidR="00024C0A" w:rsidRDefault="00694C0F">
            <w:pPr>
              <w:pStyle w:val="TableBodyText"/>
            </w:pPr>
            <w:r>
              <w:t>PrivFunctionkey2</w:t>
            </w:r>
          </w:p>
        </w:tc>
        <w:tc>
          <w:tcPr>
            <w:tcW w:w="0" w:type="auto"/>
            <w:vAlign w:val="center"/>
          </w:tcPr>
          <w:p w:rsidR="00024C0A" w:rsidRDefault="00694C0F">
            <w:pPr>
              <w:pStyle w:val="TableBodyText"/>
            </w:pPr>
            <w:r>
              <w:t>044A</w:t>
            </w:r>
          </w:p>
        </w:tc>
      </w:tr>
      <w:tr w:rsidR="00024C0A" w:rsidTr="00024C0A">
        <w:tc>
          <w:tcPr>
            <w:tcW w:w="0" w:type="auto"/>
            <w:vAlign w:val="center"/>
          </w:tcPr>
          <w:p w:rsidR="00024C0A" w:rsidRDefault="00694C0F">
            <w:pPr>
              <w:pStyle w:val="TableBodyText"/>
            </w:pPr>
            <w:r>
              <w:t>PrivFunctionkey3</w:t>
            </w:r>
          </w:p>
        </w:tc>
        <w:tc>
          <w:tcPr>
            <w:tcW w:w="0" w:type="auto"/>
            <w:vAlign w:val="center"/>
          </w:tcPr>
          <w:p w:rsidR="00024C0A" w:rsidRDefault="00694C0F">
            <w:pPr>
              <w:pStyle w:val="TableBodyText"/>
            </w:pPr>
            <w:r>
              <w:t>044B</w:t>
            </w:r>
          </w:p>
        </w:tc>
      </w:tr>
      <w:tr w:rsidR="00024C0A" w:rsidTr="00024C0A">
        <w:tc>
          <w:tcPr>
            <w:tcW w:w="0" w:type="auto"/>
            <w:vAlign w:val="center"/>
          </w:tcPr>
          <w:p w:rsidR="00024C0A" w:rsidRDefault="00694C0F">
            <w:pPr>
              <w:pStyle w:val="TableBodyText"/>
            </w:pPr>
            <w:r>
              <w:t>PrivFunctionkey4</w:t>
            </w:r>
          </w:p>
        </w:tc>
        <w:tc>
          <w:tcPr>
            <w:tcW w:w="0" w:type="auto"/>
            <w:vAlign w:val="center"/>
          </w:tcPr>
          <w:p w:rsidR="00024C0A" w:rsidRDefault="00694C0F">
            <w:pPr>
              <w:pStyle w:val="TableBodyText"/>
            </w:pPr>
            <w:r>
              <w:t>044C</w:t>
            </w:r>
          </w:p>
        </w:tc>
      </w:tr>
      <w:tr w:rsidR="00024C0A" w:rsidTr="00024C0A">
        <w:tc>
          <w:tcPr>
            <w:tcW w:w="0" w:type="auto"/>
            <w:vAlign w:val="center"/>
          </w:tcPr>
          <w:p w:rsidR="00024C0A" w:rsidRDefault="00694C0F">
            <w:pPr>
              <w:pStyle w:val="TableBodyText"/>
            </w:pPr>
            <w:r>
              <w:t>PrivFunctionkey5</w:t>
            </w:r>
          </w:p>
        </w:tc>
        <w:tc>
          <w:tcPr>
            <w:tcW w:w="0" w:type="auto"/>
            <w:vAlign w:val="center"/>
          </w:tcPr>
          <w:p w:rsidR="00024C0A" w:rsidRDefault="00694C0F">
            <w:pPr>
              <w:pStyle w:val="TableBodyText"/>
            </w:pPr>
            <w:r>
              <w:t>044D</w:t>
            </w:r>
          </w:p>
        </w:tc>
      </w:tr>
      <w:tr w:rsidR="00024C0A" w:rsidTr="00024C0A">
        <w:tc>
          <w:tcPr>
            <w:tcW w:w="0" w:type="auto"/>
            <w:vAlign w:val="center"/>
          </w:tcPr>
          <w:p w:rsidR="00024C0A" w:rsidRDefault="00694C0F">
            <w:pPr>
              <w:pStyle w:val="TableBodyText"/>
            </w:pPr>
            <w:r>
              <w:t>PrivFunctionkey6</w:t>
            </w:r>
          </w:p>
        </w:tc>
        <w:tc>
          <w:tcPr>
            <w:tcW w:w="0" w:type="auto"/>
            <w:vAlign w:val="center"/>
          </w:tcPr>
          <w:p w:rsidR="00024C0A" w:rsidRDefault="00694C0F">
            <w:pPr>
              <w:pStyle w:val="TableBodyText"/>
            </w:pPr>
            <w:r>
              <w:t>044E</w:t>
            </w:r>
          </w:p>
        </w:tc>
      </w:tr>
      <w:tr w:rsidR="00024C0A" w:rsidTr="00024C0A">
        <w:tc>
          <w:tcPr>
            <w:tcW w:w="0" w:type="auto"/>
            <w:vAlign w:val="center"/>
          </w:tcPr>
          <w:p w:rsidR="00024C0A" w:rsidRDefault="00694C0F">
            <w:pPr>
              <w:pStyle w:val="TableBodyText"/>
            </w:pPr>
            <w:r>
              <w:t>PrivFunctionkey7</w:t>
            </w:r>
          </w:p>
        </w:tc>
        <w:tc>
          <w:tcPr>
            <w:tcW w:w="0" w:type="auto"/>
            <w:vAlign w:val="center"/>
          </w:tcPr>
          <w:p w:rsidR="00024C0A" w:rsidRDefault="00694C0F">
            <w:pPr>
              <w:pStyle w:val="TableBodyText"/>
            </w:pPr>
            <w:r>
              <w:t>044F</w:t>
            </w:r>
          </w:p>
        </w:tc>
      </w:tr>
      <w:tr w:rsidR="00024C0A" w:rsidTr="00024C0A">
        <w:tc>
          <w:tcPr>
            <w:tcW w:w="0" w:type="auto"/>
            <w:vAlign w:val="center"/>
          </w:tcPr>
          <w:p w:rsidR="00024C0A" w:rsidRDefault="00694C0F">
            <w:pPr>
              <w:pStyle w:val="TableBodyText"/>
            </w:pPr>
            <w:r>
              <w:t>PrivFunctionkey8</w:t>
            </w:r>
          </w:p>
        </w:tc>
        <w:tc>
          <w:tcPr>
            <w:tcW w:w="0" w:type="auto"/>
            <w:vAlign w:val="center"/>
          </w:tcPr>
          <w:p w:rsidR="00024C0A" w:rsidRDefault="00694C0F">
            <w:pPr>
              <w:pStyle w:val="TableBodyText"/>
            </w:pPr>
            <w:r>
              <w:t>0450</w:t>
            </w:r>
          </w:p>
        </w:tc>
      </w:tr>
      <w:tr w:rsidR="00024C0A" w:rsidTr="00024C0A">
        <w:tc>
          <w:tcPr>
            <w:tcW w:w="0" w:type="auto"/>
            <w:vAlign w:val="center"/>
          </w:tcPr>
          <w:p w:rsidR="00024C0A" w:rsidRDefault="00694C0F">
            <w:pPr>
              <w:pStyle w:val="TableBodyText"/>
            </w:pPr>
            <w:r>
              <w:t>PrivFunctionkey9</w:t>
            </w:r>
          </w:p>
        </w:tc>
        <w:tc>
          <w:tcPr>
            <w:tcW w:w="0" w:type="auto"/>
            <w:vAlign w:val="center"/>
          </w:tcPr>
          <w:p w:rsidR="00024C0A" w:rsidRDefault="00694C0F">
            <w:pPr>
              <w:pStyle w:val="TableBodyText"/>
            </w:pPr>
            <w:r>
              <w:t>0451</w:t>
            </w:r>
          </w:p>
        </w:tc>
      </w:tr>
      <w:tr w:rsidR="00024C0A" w:rsidTr="00024C0A">
        <w:tc>
          <w:tcPr>
            <w:tcW w:w="0" w:type="auto"/>
            <w:vAlign w:val="center"/>
          </w:tcPr>
          <w:p w:rsidR="00024C0A" w:rsidRDefault="00694C0F">
            <w:pPr>
              <w:pStyle w:val="TableBodyText"/>
            </w:pPr>
            <w:r>
              <w:t>PromoteList</w:t>
            </w:r>
          </w:p>
        </w:tc>
        <w:tc>
          <w:tcPr>
            <w:tcW w:w="0" w:type="auto"/>
            <w:vAlign w:val="center"/>
          </w:tcPr>
          <w:p w:rsidR="00024C0A" w:rsidRDefault="00694C0F">
            <w:pPr>
              <w:pStyle w:val="TableBodyText"/>
            </w:pPr>
            <w:r>
              <w:t>024F</w:t>
            </w:r>
          </w:p>
        </w:tc>
      </w:tr>
      <w:tr w:rsidR="00024C0A" w:rsidTr="00024C0A">
        <w:tc>
          <w:tcPr>
            <w:tcW w:w="0" w:type="auto"/>
            <w:vAlign w:val="center"/>
          </w:tcPr>
          <w:p w:rsidR="00024C0A" w:rsidRDefault="00694C0F">
            <w:pPr>
              <w:pStyle w:val="TableBodyText"/>
            </w:pPr>
            <w:r>
              <w:t>PropertiesGallery</w:t>
            </w:r>
          </w:p>
        </w:tc>
        <w:tc>
          <w:tcPr>
            <w:tcW w:w="0" w:type="auto"/>
            <w:vAlign w:val="center"/>
          </w:tcPr>
          <w:p w:rsidR="00024C0A" w:rsidRDefault="00694C0F">
            <w:pPr>
              <w:pStyle w:val="TableBodyText"/>
            </w:pPr>
            <w:r>
              <w:t>087D</w:t>
            </w:r>
          </w:p>
        </w:tc>
      </w:tr>
      <w:tr w:rsidR="00024C0A" w:rsidTr="00024C0A">
        <w:tc>
          <w:tcPr>
            <w:tcW w:w="0" w:type="auto"/>
            <w:vAlign w:val="center"/>
          </w:tcPr>
          <w:p w:rsidR="00024C0A" w:rsidRDefault="00694C0F">
            <w:pPr>
              <w:pStyle w:val="TableBodyText"/>
            </w:pPr>
            <w:r>
              <w:t>ProtectForm</w:t>
            </w:r>
          </w:p>
        </w:tc>
        <w:tc>
          <w:tcPr>
            <w:tcW w:w="0" w:type="auto"/>
            <w:vAlign w:val="center"/>
          </w:tcPr>
          <w:p w:rsidR="00024C0A" w:rsidRDefault="00694C0F">
            <w:pPr>
              <w:pStyle w:val="TableBodyText"/>
            </w:pPr>
            <w:r>
              <w:t>0162</w:t>
            </w:r>
          </w:p>
        </w:tc>
      </w:tr>
      <w:tr w:rsidR="00024C0A" w:rsidTr="00024C0A">
        <w:tc>
          <w:tcPr>
            <w:tcW w:w="0" w:type="auto"/>
            <w:vAlign w:val="center"/>
          </w:tcPr>
          <w:p w:rsidR="00024C0A" w:rsidRDefault="00694C0F">
            <w:pPr>
              <w:pStyle w:val="TableBodyText"/>
            </w:pPr>
            <w:r>
              <w:t>QFSetAsDefault</w:t>
            </w:r>
          </w:p>
        </w:tc>
        <w:tc>
          <w:tcPr>
            <w:tcW w:w="0" w:type="auto"/>
            <w:vAlign w:val="center"/>
          </w:tcPr>
          <w:p w:rsidR="00024C0A" w:rsidRDefault="00694C0F">
            <w:pPr>
              <w:pStyle w:val="TableBodyText"/>
            </w:pPr>
            <w:r>
              <w:t>0986</w:t>
            </w:r>
          </w:p>
        </w:tc>
      </w:tr>
      <w:tr w:rsidR="00024C0A" w:rsidTr="00024C0A">
        <w:tc>
          <w:tcPr>
            <w:tcW w:w="0" w:type="auto"/>
            <w:vAlign w:val="center"/>
          </w:tcPr>
          <w:p w:rsidR="00024C0A" w:rsidRDefault="00694C0F">
            <w:pPr>
              <w:pStyle w:val="TableBodyText"/>
            </w:pPr>
            <w:r>
              <w:t>QuickFormatsGallery</w:t>
            </w:r>
          </w:p>
        </w:tc>
        <w:tc>
          <w:tcPr>
            <w:tcW w:w="0" w:type="auto"/>
            <w:vAlign w:val="center"/>
          </w:tcPr>
          <w:p w:rsidR="00024C0A" w:rsidRDefault="00694C0F">
            <w:pPr>
              <w:pStyle w:val="TableBodyText"/>
            </w:pPr>
            <w:r>
              <w:t>07A7</w:t>
            </w:r>
          </w:p>
        </w:tc>
      </w:tr>
      <w:tr w:rsidR="00024C0A" w:rsidTr="00024C0A">
        <w:tc>
          <w:tcPr>
            <w:tcW w:w="0" w:type="auto"/>
            <w:vAlign w:val="center"/>
          </w:tcPr>
          <w:p w:rsidR="00024C0A" w:rsidRDefault="00694C0F">
            <w:pPr>
              <w:pStyle w:val="TableBodyText"/>
            </w:pPr>
            <w:r>
              <w:t>QuickFormatsThemeGallery</w:t>
            </w:r>
          </w:p>
        </w:tc>
        <w:tc>
          <w:tcPr>
            <w:tcW w:w="0" w:type="auto"/>
            <w:vAlign w:val="center"/>
          </w:tcPr>
          <w:p w:rsidR="00024C0A" w:rsidRDefault="00694C0F">
            <w:pPr>
              <w:pStyle w:val="TableBodyText"/>
            </w:pPr>
            <w:r>
              <w:t>07A8</w:t>
            </w:r>
          </w:p>
        </w:tc>
      </w:tr>
      <w:tr w:rsidR="00024C0A" w:rsidTr="00024C0A">
        <w:tc>
          <w:tcPr>
            <w:tcW w:w="0" w:type="auto"/>
            <w:vAlign w:val="center"/>
          </w:tcPr>
          <w:p w:rsidR="00024C0A" w:rsidRDefault="00694C0F">
            <w:pPr>
              <w:pStyle w:val="TableBodyText"/>
            </w:pPr>
            <w:r>
              <w:t>RTLMacroDialogs</w:t>
            </w:r>
          </w:p>
        </w:tc>
        <w:tc>
          <w:tcPr>
            <w:tcW w:w="0" w:type="auto"/>
            <w:vAlign w:val="center"/>
          </w:tcPr>
          <w:p w:rsidR="00024C0A" w:rsidRDefault="00694C0F">
            <w:pPr>
              <w:pStyle w:val="TableBodyText"/>
            </w:pPr>
            <w:r>
              <w:t>0428</w:t>
            </w:r>
          </w:p>
        </w:tc>
      </w:tr>
      <w:tr w:rsidR="00024C0A" w:rsidTr="00024C0A">
        <w:tc>
          <w:tcPr>
            <w:tcW w:w="0" w:type="auto"/>
            <w:vAlign w:val="center"/>
          </w:tcPr>
          <w:p w:rsidR="00024C0A" w:rsidRDefault="00694C0F">
            <w:pPr>
              <w:pStyle w:val="TableBodyText"/>
            </w:pPr>
            <w:r>
              <w:t>RaiseTextBaseline</w:t>
            </w:r>
          </w:p>
        </w:tc>
        <w:tc>
          <w:tcPr>
            <w:tcW w:w="0" w:type="auto"/>
            <w:vAlign w:val="center"/>
          </w:tcPr>
          <w:p w:rsidR="00024C0A" w:rsidRDefault="00694C0F">
            <w:pPr>
              <w:pStyle w:val="TableBodyText"/>
            </w:pPr>
            <w:r>
              <w:t>099F</w:t>
            </w:r>
          </w:p>
        </w:tc>
      </w:tr>
      <w:tr w:rsidR="00024C0A" w:rsidTr="00024C0A">
        <w:tc>
          <w:tcPr>
            <w:tcW w:w="0" w:type="auto"/>
            <w:vAlign w:val="center"/>
          </w:tcPr>
          <w:p w:rsidR="00024C0A" w:rsidRDefault="00694C0F">
            <w:pPr>
              <w:pStyle w:val="TableBodyText"/>
            </w:pPr>
            <w:r>
              <w:t>Raised</w:t>
            </w:r>
          </w:p>
        </w:tc>
        <w:tc>
          <w:tcPr>
            <w:tcW w:w="0" w:type="auto"/>
            <w:vAlign w:val="center"/>
          </w:tcPr>
          <w:p w:rsidR="00024C0A" w:rsidRDefault="00694C0F">
            <w:pPr>
              <w:pStyle w:val="TableBodyText"/>
            </w:pPr>
            <w:r>
              <w:t>0217</w:t>
            </w:r>
          </w:p>
        </w:tc>
      </w:tr>
      <w:tr w:rsidR="00024C0A" w:rsidTr="00024C0A">
        <w:tc>
          <w:tcPr>
            <w:tcW w:w="0" w:type="auto"/>
            <w:vAlign w:val="center"/>
          </w:tcPr>
          <w:p w:rsidR="00024C0A" w:rsidRDefault="00694C0F">
            <w:pPr>
              <w:pStyle w:val="TableBodyText"/>
            </w:pPr>
            <w:r>
              <w:t>ReadModeMarkupFinal</w:t>
            </w:r>
          </w:p>
        </w:tc>
        <w:tc>
          <w:tcPr>
            <w:tcW w:w="0" w:type="auto"/>
            <w:vAlign w:val="center"/>
          </w:tcPr>
          <w:p w:rsidR="00024C0A" w:rsidRDefault="00694C0F">
            <w:pPr>
              <w:pStyle w:val="TableBodyText"/>
            </w:pPr>
            <w:r>
              <w:t>098E</w:t>
            </w:r>
          </w:p>
        </w:tc>
      </w:tr>
      <w:tr w:rsidR="00024C0A" w:rsidTr="00024C0A">
        <w:tc>
          <w:tcPr>
            <w:tcW w:w="0" w:type="auto"/>
            <w:vAlign w:val="center"/>
          </w:tcPr>
          <w:p w:rsidR="00024C0A" w:rsidRDefault="00694C0F">
            <w:pPr>
              <w:pStyle w:val="TableBodyText"/>
            </w:pPr>
            <w:r>
              <w:t>ReadModeMarkupFinalMarkup</w:t>
            </w:r>
          </w:p>
        </w:tc>
        <w:tc>
          <w:tcPr>
            <w:tcW w:w="0" w:type="auto"/>
            <w:vAlign w:val="center"/>
          </w:tcPr>
          <w:p w:rsidR="00024C0A" w:rsidRDefault="00694C0F">
            <w:pPr>
              <w:pStyle w:val="TableBodyText"/>
            </w:pPr>
            <w:r>
              <w:t>098F</w:t>
            </w:r>
          </w:p>
        </w:tc>
      </w:tr>
      <w:tr w:rsidR="00024C0A" w:rsidTr="00024C0A">
        <w:tc>
          <w:tcPr>
            <w:tcW w:w="0" w:type="auto"/>
            <w:vAlign w:val="center"/>
          </w:tcPr>
          <w:p w:rsidR="00024C0A" w:rsidRDefault="00694C0F">
            <w:pPr>
              <w:pStyle w:val="TableBodyText"/>
            </w:pPr>
            <w:r>
              <w:t>ReadModeMarkupOriginal</w:t>
            </w:r>
          </w:p>
        </w:tc>
        <w:tc>
          <w:tcPr>
            <w:tcW w:w="0" w:type="auto"/>
            <w:vAlign w:val="center"/>
          </w:tcPr>
          <w:p w:rsidR="00024C0A" w:rsidRDefault="00694C0F">
            <w:pPr>
              <w:pStyle w:val="TableBodyText"/>
            </w:pPr>
            <w:r>
              <w:t>0990</w:t>
            </w:r>
          </w:p>
        </w:tc>
      </w:tr>
      <w:tr w:rsidR="00024C0A" w:rsidTr="00024C0A">
        <w:tc>
          <w:tcPr>
            <w:tcW w:w="0" w:type="auto"/>
            <w:vAlign w:val="center"/>
          </w:tcPr>
          <w:p w:rsidR="00024C0A" w:rsidRDefault="00694C0F">
            <w:pPr>
              <w:pStyle w:val="TableBodyText"/>
            </w:pPr>
            <w:r>
              <w:t>ReadModeMarkupOriginalMarkup</w:t>
            </w:r>
          </w:p>
        </w:tc>
        <w:tc>
          <w:tcPr>
            <w:tcW w:w="0" w:type="auto"/>
            <w:vAlign w:val="center"/>
          </w:tcPr>
          <w:p w:rsidR="00024C0A" w:rsidRDefault="00694C0F">
            <w:pPr>
              <w:pStyle w:val="TableBodyText"/>
            </w:pPr>
            <w:r>
              <w:t>0991</w:t>
            </w:r>
          </w:p>
        </w:tc>
      </w:tr>
      <w:tr w:rsidR="00024C0A" w:rsidTr="00024C0A">
        <w:tc>
          <w:tcPr>
            <w:tcW w:w="0" w:type="auto"/>
            <w:vAlign w:val="center"/>
          </w:tcPr>
          <w:p w:rsidR="00024C0A" w:rsidRDefault="00694C0F">
            <w:pPr>
              <w:pStyle w:val="TableBodyText"/>
            </w:pPr>
            <w:r>
              <w:t>ReadModeShowMarkup</w:t>
            </w:r>
          </w:p>
        </w:tc>
        <w:tc>
          <w:tcPr>
            <w:tcW w:w="0" w:type="auto"/>
            <w:vAlign w:val="center"/>
          </w:tcPr>
          <w:p w:rsidR="00024C0A" w:rsidRDefault="00694C0F">
            <w:pPr>
              <w:pStyle w:val="TableBodyText"/>
            </w:pPr>
            <w:r>
              <w:t>098D</w:t>
            </w:r>
          </w:p>
        </w:tc>
      </w:tr>
      <w:tr w:rsidR="00024C0A" w:rsidTr="00024C0A">
        <w:tc>
          <w:tcPr>
            <w:tcW w:w="0" w:type="auto"/>
            <w:vAlign w:val="center"/>
          </w:tcPr>
          <w:p w:rsidR="00024C0A" w:rsidRDefault="00694C0F">
            <w:pPr>
              <w:pStyle w:val="TableBodyText"/>
            </w:pPr>
            <w:r>
              <w:t>ReadingFlyoutAnchorShowAcetateMarkup</w:t>
            </w:r>
          </w:p>
        </w:tc>
        <w:tc>
          <w:tcPr>
            <w:tcW w:w="0" w:type="auto"/>
            <w:vAlign w:val="center"/>
          </w:tcPr>
          <w:p w:rsidR="00024C0A" w:rsidRDefault="00694C0F">
            <w:pPr>
              <w:pStyle w:val="TableBodyText"/>
            </w:pPr>
            <w:r>
              <w:t>0927</w:t>
            </w:r>
          </w:p>
        </w:tc>
      </w:tr>
      <w:tr w:rsidR="00024C0A" w:rsidTr="00024C0A">
        <w:tc>
          <w:tcPr>
            <w:tcW w:w="0" w:type="auto"/>
            <w:vAlign w:val="center"/>
          </w:tcPr>
          <w:p w:rsidR="00024C0A" w:rsidRDefault="00694C0F">
            <w:pPr>
              <w:pStyle w:val="TableBodyText"/>
            </w:pPr>
            <w:r>
              <w:lastRenderedPageBreak/>
              <w:t>ReadingInkTools</w:t>
            </w:r>
          </w:p>
        </w:tc>
        <w:tc>
          <w:tcPr>
            <w:tcW w:w="0" w:type="auto"/>
            <w:vAlign w:val="center"/>
          </w:tcPr>
          <w:p w:rsidR="00024C0A" w:rsidRDefault="00694C0F">
            <w:pPr>
              <w:pStyle w:val="TableBodyText"/>
            </w:pPr>
            <w:r>
              <w:t>0928</w:t>
            </w:r>
          </w:p>
        </w:tc>
      </w:tr>
      <w:tr w:rsidR="00024C0A" w:rsidTr="00024C0A">
        <w:tc>
          <w:tcPr>
            <w:tcW w:w="0" w:type="auto"/>
            <w:vAlign w:val="center"/>
          </w:tcPr>
          <w:p w:rsidR="00024C0A" w:rsidRDefault="00694C0F">
            <w:pPr>
              <w:pStyle w:val="TableBodyText"/>
            </w:pPr>
            <w:r>
              <w:t>ReadingMode</w:t>
            </w:r>
          </w:p>
        </w:tc>
        <w:tc>
          <w:tcPr>
            <w:tcW w:w="0" w:type="auto"/>
            <w:vAlign w:val="center"/>
          </w:tcPr>
          <w:p w:rsidR="00024C0A" w:rsidRDefault="00694C0F">
            <w:pPr>
              <w:pStyle w:val="TableBodyText"/>
            </w:pPr>
            <w:r>
              <w:t>05B1</w:t>
            </w:r>
          </w:p>
        </w:tc>
      </w:tr>
      <w:tr w:rsidR="00024C0A" w:rsidTr="00024C0A">
        <w:tc>
          <w:tcPr>
            <w:tcW w:w="0" w:type="auto"/>
            <w:vAlign w:val="center"/>
          </w:tcPr>
          <w:p w:rsidR="00024C0A" w:rsidRDefault="00694C0F">
            <w:pPr>
              <w:pStyle w:val="TableBodyText"/>
            </w:pPr>
            <w:r>
              <w:t>ReadingMode1Page</w:t>
            </w:r>
          </w:p>
        </w:tc>
        <w:tc>
          <w:tcPr>
            <w:tcW w:w="0" w:type="auto"/>
            <w:vAlign w:val="center"/>
          </w:tcPr>
          <w:p w:rsidR="00024C0A" w:rsidRDefault="00694C0F">
            <w:pPr>
              <w:pStyle w:val="TableBodyText"/>
            </w:pPr>
            <w:r>
              <w:t>0894</w:t>
            </w:r>
          </w:p>
        </w:tc>
      </w:tr>
      <w:tr w:rsidR="00024C0A" w:rsidTr="00024C0A">
        <w:tc>
          <w:tcPr>
            <w:tcW w:w="0" w:type="auto"/>
            <w:vAlign w:val="center"/>
          </w:tcPr>
          <w:p w:rsidR="00024C0A" w:rsidRDefault="00694C0F">
            <w:pPr>
              <w:pStyle w:val="TableBodyText"/>
            </w:pPr>
            <w:r>
              <w:t>ReadingMode2Pages</w:t>
            </w:r>
          </w:p>
        </w:tc>
        <w:tc>
          <w:tcPr>
            <w:tcW w:w="0" w:type="auto"/>
            <w:vAlign w:val="center"/>
          </w:tcPr>
          <w:p w:rsidR="00024C0A" w:rsidRDefault="00694C0F">
            <w:pPr>
              <w:pStyle w:val="TableBodyText"/>
            </w:pPr>
            <w:r>
              <w:t>0895</w:t>
            </w:r>
          </w:p>
        </w:tc>
      </w:tr>
      <w:tr w:rsidR="00024C0A" w:rsidTr="00024C0A">
        <w:tc>
          <w:tcPr>
            <w:tcW w:w="0" w:type="auto"/>
            <w:vAlign w:val="center"/>
          </w:tcPr>
          <w:p w:rsidR="00024C0A" w:rsidRDefault="00694C0F">
            <w:pPr>
              <w:pStyle w:val="TableBodyText"/>
            </w:pPr>
            <w:r>
              <w:t>ReadingModeAllowEditing</w:t>
            </w:r>
          </w:p>
        </w:tc>
        <w:tc>
          <w:tcPr>
            <w:tcW w:w="0" w:type="auto"/>
            <w:vAlign w:val="center"/>
          </w:tcPr>
          <w:p w:rsidR="00024C0A" w:rsidRDefault="00694C0F">
            <w:pPr>
              <w:pStyle w:val="TableBodyText"/>
            </w:pPr>
            <w:r>
              <w:t>0795</w:t>
            </w:r>
          </w:p>
        </w:tc>
      </w:tr>
      <w:tr w:rsidR="00024C0A" w:rsidTr="00024C0A">
        <w:tc>
          <w:tcPr>
            <w:tcW w:w="0" w:type="auto"/>
            <w:vAlign w:val="center"/>
          </w:tcPr>
          <w:p w:rsidR="00024C0A" w:rsidRDefault="00694C0F">
            <w:pPr>
              <w:pStyle w:val="TableBodyText"/>
            </w:pPr>
            <w:r>
              <w:t>ReadingModeGrowFont</w:t>
            </w:r>
          </w:p>
        </w:tc>
        <w:tc>
          <w:tcPr>
            <w:tcW w:w="0" w:type="auto"/>
            <w:vAlign w:val="center"/>
          </w:tcPr>
          <w:p w:rsidR="00024C0A" w:rsidRDefault="00694C0F">
            <w:pPr>
              <w:pStyle w:val="TableBodyText"/>
            </w:pPr>
            <w:r>
              <w:t>05B9</w:t>
            </w:r>
          </w:p>
        </w:tc>
      </w:tr>
      <w:tr w:rsidR="00024C0A" w:rsidTr="00024C0A">
        <w:tc>
          <w:tcPr>
            <w:tcW w:w="0" w:type="auto"/>
            <w:vAlign w:val="center"/>
          </w:tcPr>
          <w:p w:rsidR="00024C0A" w:rsidRDefault="00694C0F">
            <w:pPr>
              <w:pStyle w:val="TableBodyText"/>
            </w:pPr>
            <w:r>
              <w:t>ReadingModeInkOff</w:t>
            </w:r>
          </w:p>
        </w:tc>
        <w:tc>
          <w:tcPr>
            <w:tcW w:w="0" w:type="auto"/>
            <w:vAlign w:val="center"/>
          </w:tcPr>
          <w:p w:rsidR="00024C0A" w:rsidRDefault="00694C0F">
            <w:pPr>
              <w:pStyle w:val="TableBodyText"/>
            </w:pPr>
            <w:r>
              <w:t>05A4</w:t>
            </w:r>
          </w:p>
        </w:tc>
      </w:tr>
      <w:tr w:rsidR="00024C0A" w:rsidTr="00024C0A">
        <w:tc>
          <w:tcPr>
            <w:tcW w:w="0" w:type="auto"/>
            <w:vAlign w:val="center"/>
          </w:tcPr>
          <w:p w:rsidR="00024C0A" w:rsidRDefault="00694C0F">
            <w:pPr>
              <w:pStyle w:val="TableBodyText"/>
            </w:pPr>
            <w:r>
              <w:t>ReadingModeLayout</w:t>
            </w:r>
          </w:p>
        </w:tc>
        <w:tc>
          <w:tcPr>
            <w:tcW w:w="0" w:type="auto"/>
            <w:vAlign w:val="center"/>
          </w:tcPr>
          <w:p w:rsidR="00024C0A" w:rsidRDefault="00694C0F">
            <w:pPr>
              <w:pStyle w:val="TableBodyText"/>
            </w:pPr>
            <w:r>
              <w:t>05BF</w:t>
            </w:r>
          </w:p>
        </w:tc>
      </w:tr>
      <w:tr w:rsidR="00024C0A" w:rsidTr="00024C0A">
        <w:tc>
          <w:tcPr>
            <w:tcW w:w="0" w:type="auto"/>
            <w:vAlign w:val="center"/>
          </w:tcPr>
          <w:p w:rsidR="00024C0A" w:rsidRDefault="00694C0F">
            <w:pPr>
              <w:pStyle w:val="TableBodyText"/>
            </w:pPr>
            <w:r>
              <w:t>ReadingModeLookup</w:t>
            </w:r>
          </w:p>
        </w:tc>
        <w:tc>
          <w:tcPr>
            <w:tcW w:w="0" w:type="auto"/>
            <w:vAlign w:val="center"/>
          </w:tcPr>
          <w:p w:rsidR="00024C0A" w:rsidRDefault="00694C0F">
            <w:pPr>
              <w:pStyle w:val="TableBodyText"/>
            </w:pPr>
            <w:r>
              <w:t>05B8</w:t>
            </w:r>
          </w:p>
        </w:tc>
      </w:tr>
      <w:tr w:rsidR="00024C0A" w:rsidTr="00024C0A">
        <w:tc>
          <w:tcPr>
            <w:tcW w:w="0" w:type="auto"/>
            <w:vAlign w:val="center"/>
          </w:tcPr>
          <w:p w:rsidR="00024C0A" w:rsidRDefault="00694C0F">
            <w:pPr>
              <w:pStyle w:val="TableBodyText"/>
            </w:pPr>
            <w:r>
              <w:t>ReadingModeMini</w:t>
            </w:r>
          </w:p>
        </w:tc>
        <w:tc>
          <w:tcPr>
            <w:tcW w:w="0" w:type="auto"/>
            <w:vAlign w:val="center"/>
          </w:tcPr>
          <w:p w:rsidR="00024C0A" w:rsidRDefault="00694C0F">
            <w:pPr>
              <w:pStyle w:val="TableBodyText"/>
            </w:pPr>
            <w:r>
              <w:t>05B7</w:t>
            </w:r>
          </w:p>
        </w:tc>
      </w:tr>
      <w:tr w:rsidR="00024C0A" w:rsidTr="00024C0A">
        <w:tc>
          <w:tcPr>
            <w:tcW w:w="0" w:type="auto"/>
            <w:vAlign w:val="center"/>
          </w:tcPr>
          <w:p w:rsidR="00024C0A" w:rsidRDefault="00694C0F">
            <w:pPr>
              <w:pStyle w:val="TableBodyText"/>
            </w:pPr>
            <w:r>
              <w:t>ReadingModePageAutoMargins</w:t>
            </w:r>
          </w:p>
        </w:tc>
        <w:tc>
          <w:tcPr>
            <w:tcW w:w="0" w:type="auto"/>
            <w:vAlign w:val="center"/>
          </w:tcPr>
          <w:p w:rsidR="00024C0A" w:rsidRDefault="00694C0F">
            <w:pPr>
              <w:pStyle w:val="TableBodyText"/>
            </w:pPr>
            <w:r>
              <w:t>089A</w:t>
            </w:r>
          </w:p>
        </w:tc>
      </w:tr>
      <w:tr w:rsidR="00024C0A" w:rsidTr="00024C0A">
        <w:tc>
          <w:tcPr>
            <w:tcW w:w="0" w:type="auto"/>
            <w:vAlign w:val="center"/>
          </w:tcPr>
          <w:p w:rsidR="00024C0A" w:rsidRDefault="00694C0F">
            <w:pPr>
              <w:pStyle w:val="TableBodyText"/>
            </w:pPr>
            <w:r>
              <w:t>ReadingModePageMargins</w:t>
            </w:r>
          </w:p>
        </w:tc>
        <w:tc>
          <w:tcPr>
            <w:tcW w:w="0" w:type="auto"/>
            <w:vAlign w:val="center"/>
          </w:tcPr>
          <w:p w:rsidR="00024C0A" w:rsidRDefault="00694C0F">
            <w:pPr>
              <w:pStyle w:val="TableBodyText"/>
            </w:pPr>
            <w:r>
              <w:t>0898</w:t>
            </w:r>
          </w:p>
        </w:tc>
      </w:tr>
      <w:tr w:rsidR="00024C0A" w:rsidTr="00024C0A">
        <w:tc>
          <w:tcPr>
            <w:tcW w:w="0" w:type="auto"/>
            <w:vAlign w:val="center"/>
          </w:tcPr>
          <w:p w:rsidR="00024C0A" w:rsidRDefault="00694C0F">
            <w:pPr>
              <w:pStyle w:val="TableBodyText"/>
            </w:pPr>
            <w:r>
              <w:t>ReadingModePageMarginsType</w:t>
            </w:r>
          </w:p>
        </w:tc>
        <w:tc>
          <w:tcPr>
            <w:tcW w:w="0" w:type="auto"/>
            <w:vAlign w:val="center"/>
          </w:tcPr>
          <w:p w:rsidR="00024C0A" w:rsidRDefault="00694C0F">
            <w:pPr>
              <w:pStyle w:val="TableBodyText"/>
            </w:pPr>
            <w:r>
              <w:t>0796</w:t>
            </w:r>
          </w:p>
        </w:tc>
      </w:tr>
      <w:tr w:rsidR="00024C0A" w:rsidTr="00024C0A">
        <w:tc>
          <w:tcPr>
            <w:tcW w:w="0" w:type="auto"/>
            <w:vAlign w:val="center"/>
          </w:tcPr>
          <w:p w:rsidR="00024C0A" w:rsidRDefault="00694C0F">
            <w:pPr>
              <w:pStyle w:val="TableBodyText"/>
            </w:pPr>
            <w:r>
              <w:t>ReadingModePageNoMargins</w:t>
            </w:r>
          </w:p>
        </w:tc>
        <w:tc>
          <w:tcPr>
            <w:tcW w:w="0" w:type="auto"/>
            <w:vAlign w:val="center"/>
          </w:tcPr>
          <w:p w:rsidR="00024C0A" w:rsidRDefault="00694C0F">
            <w:pPr>
              <w:pStyle w:val="TableBodyText"/>
            </w:pPr>
            <w:r>
              <w:t>0899</w:t>
            </w:r>
          </w:p>
        </w:tc>
      </w:tr>
      <w:tr w:rsidR="00024C0A" w:rsidTr="00024C0A">
        <w:tc>
          <w:tcPr>
            <w:tcW w:w="0" w:type="auto"/>
            <w:vAlign w:val="center"/>
          </w:tcPr>
          <w:p w:rsidR="00024C0A" w:rsidRDefault="00694C0F">
            <w:pPr>
              <w:pStyle w:val="TableBodyText"/>
            </w:pPr>
            <w:r>
              <w:t>ReadingModePageview</w:t>
            </w:r>
          </w:p>
        </w:tc>
        <w:tc>
          <w:tcPr>
            <w:tcW w:w="0" w:type="auto"/>
            <w:vAlign w:val="center"/>
          </w:tcPr>
          <w:p w:rsidR="00024C0A" w:rsidRDefault="00694C0F">
            <w:pPr>
              <w:pStyle w:val="TableBodyText"/>
            </w:pPr>
            <w:r>
              <w:t>0587</w:t>
            </w:r>
          </w:p>
        </w:tc>
      </w:tr>
      <w:tr w:rsidR="00024C0A" w:rsidTr="00024C0A">
        <w:tc>
          <w:tcPr>
            <w:tcW w:w="0" w:type="auto"/>
            <w:vAlign w:val="center"/>
          </w:tcPr>
          <w:p w:rsidR="00024C0A" w:rsidRDefault="00694C0F">
            <w:pPr>
              <w:pStyle w:val="TableBodyText"/>
            </w:pPr>
            <w:r>
              <w:t>ReadingModeShrinkFont</w:t>
            </w:r>
          </w:p>
        </w:tc>
        <w:tc>
          <w:tcPr>
            <w:tcW w:w="0" w:type="auto"/>
            <w:vAlign w:val="center"/>
          </w:tcPr>
          <w:p w:rsidR="00024C0A" w:rsidRDefault="00694C0F">
            <w:pPr>
              <w:pStyle w:val="TableBodyText"/>
            </w:pPr>
            <w:r>
              <w:t>05BA</w:t>
            </w:r>
          </w:p>
        </w:tc>
      </w:tr>
      <w:tr w:rsidR="00024C0A" w:rsidTr="00024C0A">
        <w:tc>
          <w:tcPr>
            <w:tcW w:w="0" w:type="auto"/>
            <w:vAlign w:val="center"/>
          </w:tcPr>
          <w:p w:rsidR="00024C0A" w:rsidRDefault="00694C0F">
            <w:pPr>
              <w:pStyle w:val="TableBodyText"/>
            </w:pPr>
            <w:r>
              <w:t>ReadingModeToPrintView</w:t>
            </w:r>
          </w:p>
        </w:tc>
        <w:tc>
          <w:tcPr>
            <w:tcW w:w="0" w:type="auto"/>
            <w:vAlign w:val="center"/>
          </w:tcPr>
          <w:p w:rsidR="00024C0A" w:rsidRDefault="00694C0F">
            <w:pPr>
              <w:pStyle w:val="TableBodyText"/>
            </w:pPr>
            <w:r>
              <w:t>0902</w:t>
            </w:r>
          </w:p>
        </w:tc>
      </w:tr>
      <w:tr w:rsidR="00024C0A" w:rsidTr="00024C0A">
        <w:tc>
          <w:tcPr>
            <w:tcW w:w="0" w:type="auto"/>
            <w:vAlign w:val="center"/>
          </w:tcPr>
          <w:p w:rsidR="00024C0A" w:rsidRDefault="00694C0F">
            <w:pPr>
              <w:pStyle w:val="TableBodyText"/>
            </w:pPr>
            <w:r>
              <w:t>ReadingModeViewAllMenu</w:t>
            </w:r>
          </w:p>
        </w:tc>
        <w:tc>
          <w:tcPr>
            <w:tcW w:w="0" w:type="auto"/>
            <w:vAlign w:val="center"/>
          </w:tcPr>
          <w:p w:rsidR="00024C0A" w:rsidRDefault="00694C0F">
            <w:pPr>
              <w:pStyle w:val="TableBodyText"/>
            </w:pPr>
            <w:r>
              <w:t>16C0</w:t>
            </w:r>
          </w:p>
        </w:tc>
      </w:tr>
      <w:tr w:rsidR="00024C0A" w:rsidTr="00024C0A">
        <w:tc>
          <w:tcPr>
            <w:tcW w:w="0" w:type="auto"/>
            <w:vAlign w:val="center"/>
          </w:tcPr>
          <w:p w:rsidR="00024C0A" w:rsidRDefault="00694C0F">
            <w:pPr>
              <w:pStyle w:val="TableBodyText"/>
            </w:pPr>
            <w:r>
              <w:t>ReadingTrackChanges</w:t>
            </w:r>
          </w:p>
        </w:tc>
        <w:tc>
          <w:tcPr>
            <w:tcW w:w="0" w:type="auto"/>
            <w:vAlign w:val="center"/>
          </w:tcPr>
          <w:p w:rsidR="00024C0A" w:rsidRDefault="00694C0F">
            <w:pPr>
              <w:pStyle w:val="TableBodyText"/>
            </w:pPr>
            <w:r>
              <w:t>0926</w:t>
            </w:r>
          </w:p>
        </w:tc>
      </w:tr>
      <w:tr w:rsidR="00024C0A" w:rsidTr="00024C0A">
        <w:tc>
          <w:tcPr>
            <w:tcW w:w="0" w:type="auto"/>
            <w:vAlign w:val="center"/>
          </w:tcPr>
          <w:p w:rsidR="00024C0A" w:rsidRDefault="00694C0F">
            <w:pPr>
              <w:pStyle w:val="TableBodyText"/>
            </w:pPr>
            <w:r>
              <w:t>ReapplyTableStyle</w:t>
            </w:r>
          </w:p>
        </w:tc>
        <w:tc>
          <w:tcPr>
            <w:tcW w:w="0" w:type="auto"/>
            <w:vAlign w:val="center"/>
          </w:tcPr>
          <w:p w:rsidR="00024C0A" w:rsidRDefault="00694C0F">
            <w:pPr>
              <w:pStyle w:val="TableBodyText"/>
            </w:pPr>
            <w:r>
              <w:t>095C</w:t>
            </w:r>
          </w:p>
        </w:tc>
      </w:tr>
      <w:tr w:rsidR="00024C0A" w:rsidTr="00024C0A">
        <w:tc>
          <w:tcPr>
            <w:tcW w:w="0" w:type="auto"/>
            <w:vAlign w:val="center"/>
          </w:tcPr>
          <w:p w:rsidR="00024C0A" w:rsidRDefault="00694C0F">
            <w:pPr>
              <w:pStyle w:val="TableBodyText"/>
            </w:pPr>
            <w:r>
              <w:t>RecolorGallery</w:t>
            </w:r>
          </w:p>
        </w:tc>
        <w:tc>
          <w:tcPr>
            <w:tcW w:w="0" w:type="auto"/>
            <w:vAlign w:val="center"/>
          </w:tcPr>
          <w:p w:rsidR="00024C0A" w:rsidRDefault="00694C0F">
            <w:pPr>
              <w:pStyle w:val="TableBodyText"/>
            </w:pPr>
            <w:r>
              <w:t>08C7</w:t>
            </w:r>
          </w:p>
        </w:tc>
      </w:tr>
      <w:tr w:rsidR="00024C0A" w:rsidTr="00024C0A">
        <w:tc>
          <w:tcPr>
            <w:tcW w:w="0" w:type="auto"/>
            <w:vAlign w:val="center"/>
          </w:tcPr>
          <w:p w:rsidR="00024C0A" w:rsidRDefault="00694C0F">
            <w:pPr>
              <w:pStyle w:val="TableBodyText"/>
            </w:pPr>
            <w:r>
              <w:t>RecordNextCommand</w:t>
            </w:r>
          </w:p>
        </w:tc>
        <w:tc>
          <w:tcPr>
            <w:tcW w:w="0" w:type="auto"/>
            <w:vAlign w:val="center"/>
          </w:tcPr>
          <w:p w:rsidR="00024C0A" w:rsidRDefault="00694C0F">
            <w:pPr>
              <w:pStyle w:val="TableBodyText"/>
            </w:pPr>
            <w:r>
              <w:t>00E2</w:t>
            </w:r>
          </w:p>
        </w:tc>
      </w:tr>
      <w:tr w:rsidR="00024C0A" w:rsidTr="00024C0A">
        <w:tc>
          <w:tcPr>
            <w:tcW w:w="0" w:type="auto"/>
            <w:vAlign w:val="center"/>
          </w:tcPr>
          <w:p w:rsidR="00024C0A" w:rsidRDefault="00694C0F">
            <w:pPr>
              <w:pStyle w:val="TableBodyText"/>
            </w:pPr>
            <w:r>
              <w:t>RedefineStyle</w:t>
            </w:r>
          </w:p>
        </w:tc>
        <w:tc>
          <w:tcPr>
            <w:tcW w:w="0" w:type="auto"/>
            <w:vAlign w:val="center"/>
          </w:tcPr>
          <w:p w:rsidR="00024C0A" w:rsidRDefault="00694C0F">
            <w:pPr>
              <w:pStyle w:val="TableBodyText"/>
            </w:pPr>
            <w:r>
              <w:t>0330</w:t>
            </w:r>
          </w:p>
        </w:tc>
      </w:tr>
      <w:tr w:rsidR="00024C0A" w:rsidTr="00024C0A">
        <w:tc>
          <w:tcPr>
            <w:tcW w:w="0" w:type="auto"/>
            <w:vAlign w:val="center"/>
          </w:tcPr>
          <w:p w:rsidR="00024C0A" w:rsidRDefault="00694C0F">
            <w:pPr>
              <w:pStyle w:val="TableBodyText"/>
            </w:pPr>
            <w:r>
              <w:t>RefTipLangGallery</w:t>
            </w:r>
          </w:p>
        </w:tc>
        <w:tc>
          <w:tcPr>
            <w:tcW w:w="0" w:type="auto"/>
            <w:vAlign w:val="center"/>
          </w:tcPr>
          <w:p w:rsidR="00024C0A" w:rsidRDefault="00694C0F">
            <w:pPr>
              <w:pStyle w:val="TableBodyText"/>
            </w:pPr>
            <w:r>
              <w:t>0828</w:t>
            </w:r>
          </w:p>
        </w:tc>
      </w:tr>
      <w:tr w:rsidR="00024C0A" w:rsidTr="00024C0A">
        <w:tc>
          <w:tcPr>
            <w:tcW w:w="0" w:type="auto"/>
            <w:vAlign w:val="center"/>
          </w:tcPr>
          <w:p w:rsidR="00024C0A" w:rsidRDefault="00694C0F">
            <w:pPr>
              <w:pStyle w:val="TableBodyText"/>
            </w:pPr>
            <w:r>
              <w:t>RefTipLangMenu</w:t>
            </w:r>
          </w:p>
        </w:tc>
        <w:tc>
          <w:tcPr>
            <w:tcW w:w="0" w:type="auto"/>
            <w:vAlign w:val="center"/>
          </w:tcPr>
          <w:p w:rsidR="00024C0A" w:rsidRDefault="00694C0F">
            <w:pPr>
              <w:pStyle w:val="TableBodyText"/>
            </w:pPr>
            <w:r>
              <w:t>16C4</w:t>
            </w:r>
          </w:p>
        </w:tc>
      </w:tr>
      <w:tr w:rsidR="00024C0A" w:rsidTr="00024C0A">
        <w:tc>
          <w:tcPr>
            <w:tcW w:w="0" w:type="auto"/>
            <w:vAlign w:val="center"/>
          </w:tcPr>
          <w:p w:rsidR="00024C0A" w:rsidRDefault="00694C0F">
            <w:pPr>
              <w:pStyle w:val="TableBodyText"/>
            </w:pPr>
            <w:r>
              <w:t>RefTipSelectLang</w:t>
            </w:r>
          </w:p>
        </w:tc>
        <w:tc>
          <w:tcPr>
            <w:tcW w:w="0" w:type="auto"/>
            <w:vAlign w:val="center"/>
          </w:tcPr>
          <w:p w:rsidR="00024C0A" w:rsidRDefault="00694C0F">
            <w:pPr>
              <w:pStyle w:val="TableBodyText"/>
            </w:pPr>
            <w:r>
              <w:t>0829</w:t>
            </w:r>
          </w:p>
        </w:tc>
      </w:tr>
      <w:tr w:rsidR="00024C0A" w:rsidTr="00024C0A">
        <w:tc>
          <w:tcPr>
            <w:tcW w:w="0" w:type="auto"/>
            <w:vAlign w:val="center"/>
          </w:tcPr>
          <w:p w:rsidR="00024C0A" w:rsidRDefault="00694C0F">
            <w:pPr>
              <w:pStyle w:val="TableBodyText"/>
            </w:pPr>
            <w:r>
              <w:t>RejectAllChangesInDoc</w:t>
            </w:r>
          </w:p>
        </w:tc>
        <w:tc>
          <w:tcPr>
            <w:tcW w:w="0" w:type="auto"/>
            <w:vAlign w:val="center"/>
          </w:tcPr>
          <w:p w:rsidR="00024C0A" w:rsidRDefault="00694C0F">
            <w:pPr>
              <w:pStyle w:val="TableBodyText"/>
            </w:pPr>
            <w:r>
              <w:t>0514</w:t>
            </w:r>
          </w:p>
        </w:tc>
      </w:tr>
      <w:tr w:rsidR="00024C0A" w:rsidTr="00024C0A">
        <w:tc>
          <w:tcPr>
            <w:tcW w:w="0" w:type="auto"/>
            <w:vAlign w:val="center"/>
          </w:tcPr>
          <w:p w:rsidR="00024C0A" w:rsidRDefault="00694C0F">
            <w:pPr>
              <w:pStyle w:val="TableBodyText"/>
            </w:pPr>
            <w:r>
              <w:t>RejectAllChangesShown</w:t>
            </w:r>
          </w:p>
        </w:tc>
        <w:tc>
          <w:tcPr>
            <w:tcW w:w="0" w:type="auto"/>
            <w:vAlign w:val="center"/>
          </w:tcPr>
          <w:p w:rsidR="00024C0A" w:rsidRDefault="00694C0F">
            <w:pPr>
              <w:pStyle w:val="TableBodyText"/>
            </w:pPr>
            <w:r>
              <w:t>0513</w:t>
            </w:r>
          </w:p>
        </w:tc>
      </w:tr>
      <w:tr w:rsidR="00024C0A" w:rsidTr="00024C0A">
        <w:tc>
          <w:tcPr>
            <w:tcW w:w="0" w:type="auto"/>
            <w:vAlign w:val="center"/>
          </w:tcPr>
          <w:p w:rsidR="00024C0A" w:rsidRDefault="00694C0F">
            <w:pPr>
              <w:pStyle w:val="TableBodyText"/>
            </w:pPr>
            <w:r>
              <w:t>RejectChangesAndAdvance</w:t>
            </w:r>
          </w:p>
        </w:tc>
        <w:tc>
          <w:tcPr>
            <w:tcW w:w="0" w:type="auto"/>
            <w:vAlign w:val="center"/>
          </w:tcPr>
          <w:p w:rsidR="00024C0A" w:rsidRDefault="00694C0F">
            <w:pPr>
              <w:pStyle w:val="TableBodyText"/>
            </w:pPr>
            <w:r>
              <w:t>0838</w:t>
            </w:r>
          </w:p>
        </w:tc>
      </w:tr>
      <w:tr w:rsidR="00024C0A" w:rsidTr="00024C0A">
        <w:tc>
          <w:tcPr>
            <w:tcW w:w="0" w:type="auto"/>
            <w:vAlign w:val="center"/>
          </w:tcPr>
          <w:p w:rsidR="00024C0A" w:rsidRDefault="00694C0F">
            <w:pPr>
              <w:pStyle w:val="TableBodyText"/>
            </w:pPr>
            <w:r>
              <w:t>RejectChangesOrAdvance</w:t>
            </w:r>
          </w:p>
        </w:tc>
        <w:tc>
          <w:tcPr>
            <w:tcW w:w="0" w:type="auto"/>
            <w:vAlign w:val="center"/>
          </w:tcPr>
          <w:p w:rsidR="00024C0A" w:rsidRDefault="00694C0F">
            <w:pPr>
              <w:pStyle w:val="TableBodyText"/>
            </w:pPr>
            <w:r>
              <w:t>098A</w:t>
            </w:r>
          </w:p>
        </w:tc>
      </w:tr>
      <w:tr w:rsidR="00024C0A" w:rsidTr="00024C0A">
        <w:tc>
          <w:tcPr>
            <w:tcW w:w="0" w:type="auto"/>
            <w:vAlign w:val="center"/>
          </w:tcPr>
          <w:p w:rsidR="00024C0A" w:rsidRDefault="00694C0F">
            <w:pPr>
              <w:pStyle w:val="TableBodyText"/>
            </w:pPr>
            <w:r>
              <w:t>RejectChangesSelected</w:t>
            </w:r>
          </w:p>
        </w:tc>
        <w:tc>
          <w:tcPr>
            <w:tcW w:w="0" w:type="auto"/>
            <w:vAlign w:val="center"/>
          </w:tcPr>
          <w:p w:rsidR="00024C0A" w:rsidRDefault="00694C0F">
            <w:pPr>
              <w:pStyle w:val="TableBodyText"/>
            </w:pPr>
            <w:r>
              <w:t>0512</w:t>
            </w:r>
          </w:p>
        </w:tc>
      </w:tr>
      <w:tr w:rsidR="00024C0A" w:rsidTr="00024C0A">
        <w:tc>
          <w:tcPr>
            <w:tcW w:w="0" w:type="auto"/>
            <w:vAlign w:val="center"/>
          </w:tcPr>
          <w:p w:rsidR="00024C0A" w:rsidRDefault="00694C0F">
            <w:pPr>
              <w:pStyle w:val="TableBodyText"/>
            </w:pPr>
            <w:r>
              <w:t>RemoveAllScripts</w:t>
            </w:r>
          </w:p>
        </w:tc>
        <w:tc>
          <w:tcPr>
            <w:tcW w:w="0" w:type="auto"/>
            <w:vAlign w:val="center"/>
          </w:tcPr>
          <w:p w:rsidR="00024C0A" w:rsidRDefault="00694C0F">
            <w:pPr>
              <w:pStyle w:val="TableBodyText"/>
            </w:pPr>
            <w:r>
              <w:t>041B</w:t>
            </w:r>
          </w:p>
        </w:tc>
      </w:tr>
      <w:tr w:rsidR="00024C0A" w:rsidTr="00024C0A">
        <w:tc>
          <w:tcPr>
            <w:tcW w:w="0" w:type="auto"/>
            <w:vAlign w:val="center"/>
          </w:tcPr>
          <w:p w:rsidR="00024C0A" w:rsidRDefault="00694C0F">
            <w:pPr>
              <w:pStyle w:val="TableBodyText"/>
            </w:pPr>
            <w:r>
              <w:lastRenderedPageBreak/>
              <w:t>RemoveBulletsNumbers</w:t>
            </w:r>
          </w:p>
        </w:tc>
        <w:tc>
          <w:tcPr>
            <w:tcW w:w="0" w:type="auto"/>
            <w:vAlign w:val="center"/>
          </w:tcPr>
          <w:p w:rsidR="00024C0A" w:rsidRDefault="00694C0F">
            <w:pPr>
              <w:pStyle w:val="TableBodyText"/>
            </w:pPr>
            <w:r>
              <w:t>020A</w:t>
            </w:r>
          </w:p>
        </w:tc>
      </w:tr>
      <w:tr w:rsidR="00024C0A" w:rsidTr="00024C0A">
        <w:tc>
          <w:tcPr>
            <w:tcW w:w="0" w:type="auto"/>
            <w:vAlign w:val="center"/>
          </w:tcPr>
          <w:p w:rsidR="00024C0A" w:rsidRDefault="00694C0F">
            <w:pPr>
              <w:pStyle w:val="TableBodyText"/>
            </w:pPr>
            <w:r>
              <w:t>RemoveCellPartition</w:t>
            </w:r>
          </w:p>
        </w:tc>
        <w:tc>
          <w:tcPr>
            <w:tcW w:w="0" w:type="auto"/>
            <w:vAlign w:val="center"/>
          </w:tcPr>
          <w:p w:rsidR="00024C0A" w:rsidRDefault="00694C0F">
            <w:pPr>
              <w:pStyle w:val="TableBodyText"/>
            </w:pPr>
            <w:r>
              <w:t>0378</w:t>
            </w:r>
          </w:p>
        </w:tc>
      </w:tr>
      <w:tr w:rsidR="00024C0A" w:rsidTr="00024C0A">
        <w:tc>
          <w:tcPr>
            <w:tcW w:w="0" w:type="auto"/>
            <w:vAlign w:val="center"/>
          </w:tcPr>
          <w:p w:rsidR="00024C0A" w:rsidRDefault="00694C0F">
            <w:pPr>
              <w:pStyle w:val="TableBodyText"/>
            </w:pPr>
            <w:r>
              <w:t>RemoveCitation</w:t>
            </w:r>
          </w:p>
        </w:tc>
        <w:tc>
          <w:tcPr>
            <w:tcW w:w="0" w:type="auto"/>
            <w:vAlign w:val="center"/>
          </w:tcPr>
          <w:p w:rsidR="00024C0A" w:rsidRDefault="00694C0F">
            <w:pPr>
              <w:pStyle w:val="TableBodyText"/>
            </w:pPr>
            <w:r>
              <w:t>0938</w:t>
            </w:r>
          </w:p>
        </w:tc>
      </w:tr>
      <w:tr w:rsidR="00024C0A" w:rsidTr="00024C0A">
        <w:tc>
          <w:tcPr>
            <w:tcW w:w="0" w:type="auto"/>
            <w:vAlign w:val="center"/>
          </w:tcPr>
          <w:p w:rsidR="00024C0A" w:rsidRDefault="00694C0F">
            <w:pPr>
              <w:pStyle w:val="TableBodyText"/>
            </w:pPr>
            <w:r>
              <w:t>RemoveCoverPage</w:t>
            </w:r>
          </w:p>
        </w:tc>
        <w:tc>
          <w:tcPr>
            <w:tcW w:w="0" w:type="auto"/>
            <w:vAlign w:val="center"/>
          </w:tcPr>
          <w:p w:rsidR="00024C0A" w:rsidRDefault="00694C0F">
            <w:pPr>
              <w:pStyle w:val="TableBodyText"/>
            </w:pPr>
            <w:r>
              <w:t>092F</w:t>
            </w:r>
          </w:p>
        </w:tc>
      </w:tr>
      <w:tr w:rsidR="00024C0A" w:rsidTr="00024C0A">
        <w:tc>
          <w:tcPr>
            <w:tcW w:w="0" w:type="auto"/>
            <w:vAlign w:val="center"/>
          </w:tcPr>
          <w:p w:rsidR="00024C0A" w:rsidRDefault="00694C0F">
            <w:pPr>
              <w:pStyle w:val="TableBodyText"/>
            </w:pPr>
            <w:r>
              <w:t>RemoveCurrentBuildingBlock</w:t>
            </w:r>
          </w:p>
        </w:tc>
        <w:tc>
          <w:tcPr>
            <w:tcW w:w="0" w:type="auto"/>
            <w:vAlign w:val="center"/>
          </w:tcPr>
          <w:p w:rsidR="00024C0A" w:rsidRDefault="00694C0F">
            <w:pPr>
              <w:pStyle w:val="TableBodyText"/>
            </w:pPr>
            <w:r>
              <w:t>0933</w:t>
            </w:r>
          </w:p>
        </w:tc>
      </w:tr>
      <w:tr w:rsidR="00024C0A" w:rsidTr="00024C0A">
        <w:tc>
          <w:tcPr>
            <w:tcW w:w="0" w:type="auto"/>
            <w:vAlign w:val="center"/>
          </w:tcPr>
          <w:p w:rsidR="00024C0A" w:rsidRDefault="00694C0F">
            <w:pPr>
              <w:pStyle w:val="TableBodyText"/>
            </w:pPr>
            <w:r>
              <w:t>RemoveFooter</w:t>
            </w:r>
          </w:p>
        </w:tc>
        <w:tc>
          <w:tcPr>
            <w:tcW w:w="0" w:type="auto"/>
            <w:vAlign w:val="center"/>
          </w:tcPr>
          <w:p w:rsidR="00024C0A" w:rsidRDefault="00694C0F">
            <w:pPr>
              <w:pStyle w:val="TableBodyText"/>
            </w:pPr>
            <w:r>
              <w:t>0931</w:t>
            </w:r>
          </w:p>
        </w:tc>
      </w:tr>
      <w:tr w:rsidR="00024C0A" w:rsidTr="00024C0A">
        <w:tc>
          <w:tcPr>
            <w:tcW w:w="0" w:type="auto"/>
            <w:vAlign w:val="center"/>
          </w:tcPr>
          <w:p w:rsidR="00024C0A" w:rsidRDefault="00694C0F">
            <w:pPr>
              <w:pStyle w:val="TableBodyText"/>
            </w:pPr>
            <w:r>
              <w:t>RemoveFrames</w:t>
            </w:r>
          </w:p>
        </w:tc>
        <w:tc>
          <w:tcPr>
            <w:tcW w:w="0" w:type="auto"/>
            <w:vAlign w:val="center"/>
          </w:tcPr>
          <w:p w:rsidR="00024C0A" w:rsidRDefault="00694C0F">
            <w:pPr>
              <w:pStyle w:val="TableBodyText"/>
            </w:pPr>
            <w:r>
              <w:t>0124</w:t>
            </w:r>
          </w:p>
        </w:tc>
      </w:tr>
      <w:tr w:rsidR="00024C0A" w:rsidTr="00024C0A">
        <w:tc>
          <w:tcPr>
            <w:tcW w:w="0" w:type="auto"/>
            <w:vAlign w:val="center"/>
          </w:tcPr>
          <w:p w:rsidR="00024C0A" w:rsidRDefault="00694C0F">
            <w:pPr>
              <w:pStyle w:val="TableBodyText"/>
            </w:pPr>
            <w:r>
              <w:t>RemoveHeader</w:t>
            </w:r>
          </w:p>
        </w:tc>
        <w:tc>
          <w:tcPr>
            <w:tcW w:w="0" w:type="auto"/>
            <w:vAlign w:val="center"/>
          </w:tcPr>
          <w:p w:rsidR="00024C0A" w:rsidRDefault="00694C0F">
            <w:pPr>
              <w:pStyle w:val="TableBodyText"/>
            </w:pPr>
            <w:r>
              <w:t>0930</w:t>
            </w:r>
          </w:p>
        </w:tc>
      </w:tr>
      <w:tr w:rsidR="00024C0A" w:rsidTr="00024C0A">
        <w:tc>
          <w:tcPr>
            <w:tcW w:w="0" w:type="auto"/>
            <w:vAlign w:val="center"/>
          </w:tcPr>
          <w:p w:rsidR="00024C0A" w:rsidRDefault="00694C0F">
            <w:pPr>
              <w:pStyle w:val="TableBodyText"/>
            </w:pPr>
            <w:r>
              <w:t>RemovePageNumbers</w:t>
            </w:r>
          </w:p>
        </w:tc>
        <w:tc>
          <w:tcPr>
            <w:tcW w:w="0" w:type="auto"/>
            <w:vAlign w:val="center"/>
          </w:tcPr>
          <w:p w:rsidR="00024C0A" w:rsidRDefault="00694C0F">
            <w:pPr>
              <w:pStyle w:val="TableBodyText"/>
            </w:pPr>
            <w:r>
              <w:t>0932</w:t>
            </w:r>
          </w:p>
        </w:tc>
      </w:tr>
      <w:tr w:rsidR="00024C0A" w:rsidTr="00024C0A">
        <w:tc>
          <w:tcPr>
            <w:tcW w:w="0" w:type="auto"/>
            <w:vAlign w:val="center"/>
          </w:tcPr>
          <w:p w:rsidR="00024C0A" w:rsidRDefault="00694C0F">
            <w:pPr>
              <w:pStyle w:val="TableBodyText"/>
            </w:pPr>
            <w:r>
              <w:t>RemoveSimilarFormatting</w:t>
            </w:r>
          </w:p>
        </w:tc>
        <w:tc>
          <w:tcPr>
            <w:tcW w:w="0" w:type="auto"/>
            <w:vAlign w:val="center"/>
          </w:tcPr>
          <w:p w:rsidR="00024C0A" w:rsidRDefault="00694C0F">
            <w:pPr>
              <w:pStyle w:val="TableBodyText"/>
            </w:pPr>
            <w:r>
              <w:t>082D</w:t>
            </w:r>
          </w:p>
        </w:tc>
      </w:tr>
      <w:tr w:rsidR="00024C0A" w:rsidTr="00024C0A">
        <w:tc>
          <w:tcPr>
            <w:tcW w:w="0" w:type="auto"/>
            <w:vAlign w:val="center"/>
          </w:tcPr>
          <w:p w:rsidR="00024C0A" w:rsidRDefault="00694C0F">
            <w:pPr>
              <w:pStyle w:val="TableBodyText"/>
            </w:pPr>
            <w:r>
              <w:t>RemoveSubdocument</w:t>
            </w:r>
          </w:p>
        </w:tc>
        <w:tc>
          <w:tcPr>
            <w:tcW w:w="0" w:type="auto"/>
            <w:vAlign w:val="center"/>
          </w:tcPr>
          <w:p w:rsidR="00024C0A" w:rsidRDefault="00694C0F">
            <w:pPr>
              <w:pStyle w:val="TableBodyText"/>
            </w:pPr>
            <w:r>
              <w:t>027F</w:t>
            </w:r>
          </w:p>
        </w:tc>
      </w:tr>
      <w:tr w:rsidR="00024C0A" w:rsidTr="00024C0A">
        <w:tc>
          <w:tcPr>
            <w:tcW w:w="0" w:type="auto"/>
            <w:vAlign w:val="center"/>
          </w:tcPr>
          <w:p w:rsidR="00024C0A" w:rsidRDefault="00694C0F">
            <w:pPr>
              <w:pStyle w:val="TableBodyText"/>
            </w:pPr>
            <w:r>
              <w:t>RemoveTableOfContents</w:t>
            </w:r>
          </w:p>
        </w:tc>
        <w:tc>
          <w:tcPr>
            <w:tcW w:w="0" w:type="auto"/>
            <w:vAlign w:val="center"/>
          </w:tcPr>
          <w:p w:rsidR="00024C0A" w:rsidRDefault="00694C0F">
            <w:pPr>
              <w:pStyle w:val="TableBodyText"/>
            </w:pPr>
            <w:r>
              <w:t>0934</w:t>
            </w:r>
          </w:p>
        </w:tc>
      </w:tr>
      <w:tr w:rsidR="00024C0A" w:rsidTr="00024C0A">
        <w:tc>
          <w:tcPr>
            <w:tcW w:w="0" w:type="auto"/>
            <w:vAlign w:val="center"/>
          </w:tcPr>
          <w:p w:rsidR="00024C0A" w:rsidRDefault="00694C0F">
            <w:pPr>
              <w:pStyle w:val="TableBodyText"/>
            </w:pPr>
            <w:r>
              <w:t>RemoveWatermark</w:t>
            </w:r>
          </w:p>
        </w:tc>
        <w:tc>
          <w:tcPr>
            <w:tcW w:w="0" w:type="auto"/>
            <w:vAlign w:val="center"/>
          </w:tcPr>
          <w:p w:rsidR="00024C0A" w:rsidRDefault="00694C0F">
            <w:pPr>
              <w:pStyle w:val="TableBodyText"/>
            </w:pPr>
            <w:r>
              <w:t>092E</w:t>
            </w:r>
          </w:p>
        </w:tc>
      </w:tr>
      <w:tr w:rsidR="00024C0A" w:rsidTr="00024C0A">
        <w:tc>
          <w:tcPr>
            <w:tcW w:w="0" w:type="auto"/>
            <w:vAlign w:val="center"/>
          </w:tcPr>
          <w:p w:rsidR="00024C0A" w:rsidRDefault="00694C0F">
            <w:pPr>
              <w:pStyle w:val="TableBodyText"/>
            </w:pPr>
            <w:r>
              <w:t>RenameStyle</w:t>
            </w:r>
          </w:p>
        </w:tc>
        <w:tc>
          <w:tcPr>
            <w:tcW w:w="0" w:type="auto"/>
            <w:vAlign w:val="center"/>
          </w:tcPr>
          <w:p w:rsidR="00024C0A" w:rsidRDefault="00694C0F">
            <w:pPr>
              <w:pStyle w:val="TableBodyText"/>
            </w:pPr>
            <w:r>
              <w:t>0556</w:t>
            </w:r>
          </w:p>
        </w:tc>
      </w:tr>
      <w:tr w:rsidR="00024C0A" w:rsidTr="00024C0A">
        <w:tc>
          <w:tcPr>
            <w:tcW w:w="0" w:type="auto"/>
            <w:vAlign w:val="center"/>
          </w:tcPr>
          <w:p w:rsidR="00024C0A" w:rsidRDefault="00694C0F">
            <w:pPr>
              <w:pStyle w:val="TableBodyText"/>
            </w:pPr>
            <w:r>
              <w:t>RepeatFind</w:t>
            </w:r>
          </w:p>
        </w:tc>
        <w:tc>
          <w:tcPr>
            <w:tcW w:w="0" w:type="auto"/>
            <w:vAlign w:val="center"/>
          </w:tcPr>
          <w:p w:rsidR="00024C0A" w:rsidRDefault="00694C0F">
            <w:pPr>
              <w:pStyle w:val="TableBodyText"/>
            </w:pPr>
            <w:r>
              <w:t>0018</w:t>
            </w:r>
          </w:p>
        </w:tc>
      </w:tr>
      <w:tr w:rsidR="00024C0A" w:rsidTr="00024C0A">
        <w:tc>
          <w:tcPr>
            <w:tcW w:w="0" w:type="auto"/>
            <w:vAlign w:val="center"/>
          </w:tcPr>
          <w:p w:rsidR="00024C0A" w:rsidRDefault="00694C0F">
            <w:pPr>
              <w:pStyle w:val="TableBodyText"/>
            </w:pPr>
            <w:r>
              <w:t>ReplaceEmailSignature</w:t>
            </w:r>
          </w:p>
        </w:tc>
        <w:tc>
          <w:tcPr>
            <w:tcW w:w="0" w:type="auto"/>
            <w:vAlign w:val="center"/>
          </w:tcPr>
          <w:p w:rsidR="00024C0A" w:rsidRDefault="00694C0F">
            <w:pPr>
              <w:pStyle w:val="TableBodyText"/>
            </w:pPr>
            <w:r>
              <w:t>053D</w:t>
            </w:r>
          </w:p>
        </w:tc>
      </w:tr>
      <w:tr w:rsidR="00024C0A" w:rsidTr="00024C0A">
        <w:tc>
          <w:tcPr>
            <w:tcW w:w="0" w:type="auto"/>
            <w:vAlign w:val="center"/>
          </w:tcPr>
          <w:p w:rsidR="00024C0A" w:rsidRDefault="00694C0F">
            <w:pPr>
              <w:pStyle w:val="TableBodyText"/>
            </w:pPr>
            <w:r>
              <w:t>ReplyToAnnotation</w:t>
            </w:r>
          </w:p>
        </w:tc>
        <w:tc>
          <w:tcPr>
            <w:tcW w:w="0" w:type="auto"/>
            <w:vAlign w:val="center"/>
          </w:tcPr>
          <w:p w:rsidR="00024C0A" w:rsidRDefault="00694C0F">
            <w:pPr>
              <w:pStyle w:val="TableBodyText"/>
            </w:pPr>
            <w:r>
              <w:t>0540</w:t>
            </w:r>
          </w:p>
        </w:tc>
      </w:tr>
      <w:tr w:rsidR="00024C0A" w:rsidTr="00024C0A">
        <w:tc>
          <w:tcPr>
            <w:tcW w:w="0" w:type="auto"/>
            <w:vAlign w:val="center"/>
          </w:tcPr>
          <w:p w:rsidR="00024C0A" w:rsidRDefault="00694C0F">
            <w:pPr>
              <w:pStyle w:val="TableBodyText"/>
            </w:pPr>
            <w:r>
              <w:t>Research</w:t>
            </w:r>
          </w:p>
        </w:tc>
        <w:tc>
          <w:tcPr>
            <w:tcW w:w="0" w:type="auto"/>
            <w:vAlign w:val="center"/>
          </w:tcPr>
          <w:p w:rsidR="00024C0A" w:rsidRDefault="00694C0F">
            <w:pPr>
              <w:pStyle w:val="TableBodyText"/>
            </w:pPr>
            <w:r>
              <w:t>05B3</w:t>
            </w:r>
          </w:p>
        </w:tc>
      </w:tr>
      <w:tr w:rsidR="00024C0A" w:rsidTr="00024C0A">
        <w:tc>
          <w:tcPr>
            <w:tcW w:w="0" w:type="auto"/>
            <w:vAlign w:val="center"/>
          </w:tcPr>
          <w:p w:rsidR="00024C0A" w:rsidRDefault="00694C0F">
            <w:pPr>
              <w:pStyle w:val="TableBodyText"/>
            </w:pPr>
            <w:r>
              <w:t>ResearchLookup</w:t>
            </w:r>
          </w:p>
        </w:tc>
        <w:tc>
          <w:tcPr>
            <w:tcW w:w="0" w:type="auto"/>
            <w:vAlign w:val="center"/>
          </w:tcPr>
          <w:p w:rsidR="00024C0A" w:rsidRDefault="00694C0F">
            <w:pPr>
              <w:pStyle w:val="TableBodyText"/>
            </w:pPr>
            <w:r>
              <w:t>058A</w:t>
            </w:r>
          </w:p>
        </w:tc>
      </w:tr>
      <w:tr w:rsidR="00024C0A" w:rsidTr="00024C0A">
        <w:tc>
          <w:tcPr>
            <w:tcW w:w="0" w:type="auto"/>
            <w:vAlign w:val="center"/>
          </w:tcPr>
          <w:p w:rsidR="00024C0A" w:rsidRDefault="00694C0F">
            <w:pPr>
              <w:pStyle w:val="TableBodyText"/>
            </w:pPr>
            <w:r>
              <w:t>ResetAdvanceToVBA</w:t>
            </w:r>
          </w:p>
        </w:tc>
        <w:tc>
          <w:tcPr>
            <w:tcW w:w="0" w:type="auto"/>
            <w:vAlign w:val="center"/>
          </w:tcPr>
          <w:p w:rsidR="00024C0A" w:rsidRDefault="00694C0F">
            <w:pPr>
              <w:pStyle w:val="TableBodyText"/>
            </w:pPr>
            <w:r>
              <w:t>07A1</w:t>
            </w:r>
          </w:p>
        </w:tc>
      </w:tr>
      <w:tr w:rsidR="00024C0A" w:rsidTr="00024C0A">
        <w:tc>
          <w:tcPr>
            <w:tcW w:w="0" w:type="auto"/>
            <w:vAlign w:val="center"/>
          </w:tcPr>
          <w:p w:rsidR="00024C0A" w:rsidRDefault="00694C0F">
            <w:pPr>
              <w:pStyle w:val="TableBodyText"/>
            </w:pPr>
            <w:r>
              <w:t>ResetButtonImage</w:t>
            </w:r>
          </w:p>
        </w:tc>
        <w:tc>
          <w:tcPr>
            <w:tcW w:w="0" w:type="auto"/>
            <w:vAlign w:val="center"/>
          </w:tcPr>
          <w:p w:rsidR="00024C0A" w:rsidRDefault="00694C0F">
            <w:pPr>
              <w:pStyle w:val="TableBodyText"/>
            </w:pPr>
            <w:r>
              <w:t>0210</w:t>
            </w:r>
          </w:p>
        </w:tc>
      </w:tr>
      <w:tr w:rsidR="00024C0A" w:rsidTr="00024C0A">
        <w:tc>
          <w:tcPr>
            <w:tcW w:w="0" w:type="auto"/>
            <w:vAlign w:val="center"/>
          </w:tcPr>
          <w:p w:rsidR="00024C0A" w:rsidRDefault="00694C0F">
            <w:pPr>
              <w:pStyle w:val="TableBodyText"/>
            </w:pPr>
            <w:r>
              <w:t>ResetChar</w:t>
            </w:r>
          </w:p>
        </w:tc>
        <w:tc>
          <w:tcPr>
            <w:tcW w:w="0" w:type="auto"/>
            <w:vAlign w:val="center"/>
          </w:tcPr>
          <w:p w:rsidR="00024C0A" w:rsidRDefault="00694C0F">
            <w:pPr>
              <w:pStyle w:val="TableBodyText"/>
            </w:pPr>
            <w:r>
              <w:t>0038</w:t>
            </w:r>
          </w:p>
        </w:tc>
      </w:tr>
      <w:tr w:rsidR="00024C0A" w:rsidTr="00024C0A">
        <w:tc>
          <w:tcPr>
            <w:tcW w:w="0" w:type="auto"/>
            <w:vAlign w:val="center"/>
          </w:tcPr>
          <w:p w:rsidR="00024C0A" w:rsidRDefault="00694C0F">
            <w:pPr>
              <w:pStyle w:val="TableBodyText"/>
            </w:pPr>
            <w:r>
              <w:t>ResetFormField</w:t>
            </w:r>
          </w:p>
        </w:tc>
        <w:tc>
          <w:tcPr>
            <w:tcW w:w="0" w:type="auto"/>
            <w:vAlign w:val="center"/>
          </w:tcPr>
          <w:p w:rsidR="00024C0A" w:rsidRDefault="00694C0F">
            <w:pPr>
              <w:pStyle w:val="TableBodyText"/>
            </w:pPr>
            <w:r>
              <w:t>0531</w:t>
            </w:r>
          </w:p>
        </w:tc>
      </w:tr>
      <w:tr w:rsidR="00024C0A" w:rsidTr="00024C0A">
        <w:tc>
          <w:tcPr>
            <w:tcW w:w="0" w:type="auto"/>
            <w:vAlign w:val="center"/>
          </w:tcPr>
          <w:p w:rsidR="00024C0A" w:rsidRDefault="00694C0F">
            <w:pPr>
              <w:pStyle w:val="TableBodyText"/>
            </w:pPr>
            <w:r>
              <w:t>ResetNoteSepOrNotice</w:t>
            </w:r>
          </w:p>
        </w:tc>
        <w:tc>
          <w:tcPr>
            <w:tcW w:w="0" w:type="auto"/>
            <w:vAlign w:val="center"/>
          </w:tcPr>
          <w:p w:rsidR="00024C0A" w:rsidRDefault="00694C0F">
            <w:pPr>
              <w:pStyle w:val="TableBodyText"/>
            </w:pPr>
            <w:r>
              <w:t>0184</w:t>
            </w:r>
          </w:p>
        </w:tc>
      </w:tr>
      <w:tr w:rsidR="00024C0A" w:rsidTr="00024C0A">
        <w:tc>
          <w:tcPr>
            <w:tcW w:w="0" w:type="auto"/>
            <w:vAlign w:val="center"/>
          </w:tcPr>
          <w:p w:rsidR="00024C0A" w:rsidRDefault="00694C0F">
            <w:pPr>
              <w:pStyle w:val="TableBodyText"/>
            </w:pPr>
            <w:r>
              <w:t>ResetPara</w:t>
            </w:r>
          </w:p>
        </w:tc>
        <w:tc>
          <w:tcPr>
            <w:tcW w:w="0" w:type="auto"/>
            <w:vAlign w:val="center"/>
          </w:tcPr>
          <w:p w:rsidR="00024C0A" w:rsidRDefault="00694C0F">
            <w:pPr>
              <w:pStyle w:val="TableBodyText"/>
            </w:pPr>
            <w:r>
              <w:t>0043</w:t>
            </w:r>
          </w:p>
        </w:tc>
      </w:tr>
      <w:tr w:rsidR="00024C0A" w:rsidTr="00024C0A">
        <w:tc>
          <w:tcPr>
            <w:tcW w:w="0" w:type="auto"/>
            <w:vAlign w:val="center"/>
          </w:tcPr>
          <w:p w:rsidR="00024C0A" w:rsidRDefault="00694C0F">
            <w:pPr>
              <w:pStyle w:val="TableBodyText"/>
            </w:pPr>
            <w:r>
              <w:t>ResetParagraphFormatting</w:t>
            </w:r>
          </w:p>
        </w:tc>
        <w:tc>
          <w:tcPr>
            <w:tcW w:w="0" w:type="auto"/>
            <w:vAlign w:val="center"/>
          </w:tcPr>
          <w:p w:rsidR="00024C0A" w:rsidRDefault="00694C0F">
            <w:pPr>
              <w:pStyle w:val="TableBodyText"/>
            </w:pPr>
            <w:r>
              <w:t>076C</w:t>
            </w:r>
          </w:p>
        </w:tc>
      </w:tr>
      <w:tr w:rsidR="00024C0A" w:rsidTr="00024C0A">
        <w:tc>
          <w:tcPr>
            <w:tcW w:w="0" w:type="auto"/>
            <w:vAlign w:val="center"/>
          </w:tcPr>
          <w:p w:rsidR="00024C0A" w:rsidRDefault="00694C0F">
            <w:pPr>
              <w:pStyle w:val="TableBodyText"/>
            </w:pPr>
            <w:r>
              <w:t>ResetSideBySide</w:t>
            </w:r>
          </w:p>
        </w:tc>
        <w:tc>
          <w:tcPr>
            <w:tcW w:w="0" w:type="auto"/>
            <w:vAlign w:val="center"/>
          </w:tcPr>
          <w:p w:rsidR="00024C0A" w:rsidRDefault="00694C0F">
            <w:pPr>
              <w:pStyle w:val="TableBodyText"/>
            </w:pPr>
            <w:r>
              <w:t>0590</w:t>
            </w:r>
          </w:p>
        </w:tc>
      </w:tr>
      <w:tr w:rsidR="00024C0A" w:rsidTr="00024C0A">
        <w:tc>
          <w:tcPr>
            <w:tcW w:w="0" w:type="auto"/>
            <w:vAlign w:val="center"/>
          </w:tcPr>
          <w:p w:rsidR="00024C0A" w:rsidRDefault="00694C0F">
            <w:pPr>
              <w:pStyle w:val="TableBodyText"/>
            </w:pPr>
            <w:r>
              <w:t>ResolveMenu</w:t>
            </w:r>
          </w:p>
        </w:tc>
        <w:tc>
          <w:tcPr>
            <w:tcW w:w="0" w:type="auto"/>
            <w:vAlign w:val="center"/>
          </w:tcPr>
          <w:p w:rsidR="00024C0A" w:rsidRDefault="00694C0F">
            <w:pPr>
              <w:pStyle w:val="TableBodyText"/>
            </w:pPr>
            <w:r>
              <w:t>16B5</w:t>
            </w:r>
          </w:p>
        </w:tc>
      </w:tr>
      <w:tr w:rsidR="00024C0A" w:rsidTr="00024C0A">
        <w:tc>
          <w:tcPr>
            <w:tcW w:w="0" w:type="auto"/>
            <w:vAlign w:val="center"/>
          </w:tcPr>
          <w:p w:rsidR="00024C0A" w:rsidRDefault="00694C0F">
            <w:pPr>
              <w:pStyle w:val="TableBodyText"/>
            </w:pPr>
            <w:r>
              <w:t>RestartNumbering</w:t>
            </w:r>
          </w:p>
        </w:tc>
        <w:tc>
          <w:tcPr>
            <w:tcW w:w="0" w:type="auto"/>
            <w:vAlign w:val="center"/>
          </w:tcPr>
          <w:p w:rsidR="00024C0A" w:rsidRDefault="00694C0F">
            <w:pPr>
              <w:pStyle w:val="TableBodyText"/>
            </w:pPr>
            <w:r>
              <w:t>0546</w:t>
            </w:r>
          </w:p>
        </w:tc>
      </w:tr>
      <w:tr w:rsidR="00024C0A" w:rsidTr="00024C0A">
        <w:tc>
          <w:tcPr>
            <w:tcW w:w="0" w:type="auto"/>
            <w:vAlign w:val="center"/>
          </w:tcPr>
          <w:p w:rsidR="00024C0A" w:rsidRDefault="00694C0F">
            <w:pPr>
              <w:pStyle w:val="TableBodyText"/>
            </w:pPr>
            <w:r>
              <w:t>RestoreCharacterStyle</w:t>
            </w:r>
          </w:p>
        </w:tc>
        <w:tc>
          <w:tcPr>
            <w:tcW w:w="0" w:type="auto"/>
            <w:vAlign w:val="center"/>
          </w:tcPr>
          <w:p w:rsidR="00024C0A" w:rsidRDefault="00694C0F">
            <w:pPr>
              <w:pStyle w:val="TableBodyText"/>
            </w:pPr>
            <w:r>
              <w:t>076E</w:t>
            </w:r>
          </w:p>
        </w:tc>
      </w:tr>
      <w:tr w:rsidR="00024C0A" w:rsidTr="00024C0A">
        <w:tc>
          <w:tcPr>
            <w:tcW w:w="0" w:type="auto"/>
            <w:vAlign w:val="center"/>
          </w:tcPr>
          <w:p w:rsidR="00024C0A" w:rsidRDefault="00694C0F">
            <w:pPr>
              <w:pStyle w:val="TableBodyText"/>
            </w:pPr>
            <w:r>
              <w:t>RestoreParagraphStyle</w:t>
            </w:r>
          </w:p>
        </w:tc>
        <w:tc>
          <w:tcPr>
            <w:tcW w:w="0" w:type="auto"/>
            <w:vAlign w:val="center"/>
          </w:tcPr>
          <w:p w:rsidR="00024C0A" w:rsidRDefault="00694C0F">
            <w:pPr>
              <w:pStyle w:val="TableBodyText"/>
            </w:pPr>
            <w:r>
              <w:t>092B</w:t>
            </w:r>
          </w:p>
        </w:tc>
      </w:tr>
      <w:tr w:rsidR="00024C0A" w:rsidTr="00024C0A">
        <w:tc>
          <w:tcPr>
            <w:tcW w:w="0" w:type="auto"/>
            <w:vAlign w:val="center"/>
          </w:tcPr>
          <w:p w:rsidR="00024C0A" w:rsidRDefault="00694C0F">
            <w:pPr>
              <w:pStyle w:val="TableBodyText"/>
            </w:pPr>
            <w:r>
              <w:t>ReturnReview</w:t>
            </w:r>
          </w:p>
        </w:tc>
        <w:tc>
          <w:tcPr>
            <w:tcW w:w="0" w:type="auto"/>
            <w:vAlign w:val="center"/>
          </w:tcPr>
          <w:p w:rsidR="00024C0A" w:rsidRDefault="00694C0F">
            <w:pPr>
              <w:pStyle w:val="TableBodyText"/>
            </w:pPr>
            <w:r>
              <w:t>04F4</w:t>
            </w:r>
          </w:p>
        </w:tc>
      </w:tr>
      <w:tr w:rsidR="00024C0A" w:rsidTr="00024C0A">
        <w:tc>
          <w:tcPr>
            <w:tcW w:w="0" w:type="auto"/>
            <w:vAlign w:val="center"/>
          </w:tcPr>
          <w:p w:rsidR="00024C0A" w:rsidRDefault="00694C0F">
            <w:pPr>
              <w:pStyle w:val="TableBodyText"/>
            </w:pPr>
            <w:r>
              <w:lastRenderedPageBreak/>
              <w:t>ReviewingPane</w:t>
            </w:r>
          </w:p>
        </w:tc>
        <w:tc>
          <w:tcPr>
            <w:tcW w:w="0" w:type="auto"/>
            <w:vAlign w:val="center"/>
          </w:tcPr>
          <w:p w:rsidR="00024C0A" w:rsidRDefault="00694C0F">
            <w:pPr>
              <w:pStyle w:val="TableBodyText"/>
            </w:pPr>
            <w:r>
              <w:t>054F</w:t>
            </w:r>
          </w:p>
        </w:tc>
      </w:tr>
      <w:tr w:rsidR="00024C0A" w:rsidTr="00024C0A">
        <w:tc>
          <w:tcPr>
            <w:tcW w:w="0" w:type="auto"/>
            <w:vAlign w:val="center"/>
          </w:tcPr>
          <w:p w:rsidR="00024C0A" w:rsidRDefault="00694C0F">
            <w:pPr>
              <w:pStyle w:val="TableBodyText"/>
            </w:pPr>
            <w:r>
              <w:t>ReviewingPaneHorizontal</w:t>
            </w:r>
          </w:p>
        </w:tc>
        <w:tc>
          <w:tcPr>
            <w:tcW w:w="0" w:type="auto"/>
            <w:vAlign w:val="center"/>
          </w:tcPr>
          <w:p w:rsidR="00024C0A" w:rsidRDefault="00694C0F">
            <w:pPr>
              <w:pStyle w:val="TableBodyText"/>
            </w:pPr>
            <w:r>
              <w:t>08D6</w:t>
            </w:r>
          </w:p>
        </w:tc>
      </w:tr>
      <w:tr w:rsidR="00024C0A" w:rsidTr="00024C0A">
        <w:tc>
          <w:tcPr>
            <w:tcW w:w="0" w:type="auto"/>
            <w:vAlign w:val="center"/>
          </w:tcPr>
          <w:p w:rsidR="00024C0A" w:rsidRDefault="00694C0F">
            <w:pPr>
              <w:pStyle w:val="TableBodyText"/>
            </w:pPr>
            <w:r>
              <w:t>ReviewingPaneVertical</w:t>
            </w:r>
          </w:p>
        </w:tc>
        <w:tc>
          <w:tcPr>
            <w:tcW w:w="0" w:type="auto"/>
            <w:vAlign w:val="center"/>
          </w:tcPr>
          <w:p w:rsidR="00024C0A" w:rsidRDefault="00694C0F">
            <w:pPr>
              <w:pStyle w:val="TableBodyText"/>
            </w:pPr>
            <w:r>
              <w:t>08D7</w:t>
            </w:r>
          </w:p>
        </w:tc>
      </w:tr>
      <w:tr w:rsidR="00024C0A" w:rsidTr="00024C0A">
        <w:tc>
          <w:tcPr>
            <w:tcW w:w="0" w:type="auto"/>
            <w:vAlign w:val="center"/>
          </w:tcPr>
          <w:p w:rsidR="00024C0A" w:rsidRDefault="00694C0F">
            <w:pPr>
              <w:pStyle w:val="TableBodyText"/>
            </w:pPr>
            <w:r>
              <w:t>RibbonFilePermissionMenu</w:t>
            </w:r>
          </w:p>
        </w:tc>
        <w:tc>
          <w:tcPr>
            <w:tcW w:w="0" w:type="auto"/>
            <w:vAlign w:val="center"/>
          </w:tcPr>
          <w:p w:rsidR="00024C0A" w:rsidRDefault="00694C0F">
            <w:pPr>
              <w:pStyle w:val="TableBodyText"/>
            </w:pPr>
            <w:r>
              <w:t>0921</w:t>
            </w:r>
          </w:p>
        </w:tc>
      </w:tr>
      <w:tr w:rsidR="00024C0A" w:rsidTr="00024C0A">
        <w:tc>
          <w:tcPr>
            <w:tcW w:w="0" w:type="auto"/>
            <w:vAlign w:val="center"/>
          </w:tcPr>
          <w:p w:rsidR="00024C0A" w:rsidRDefault="00694C0F">
            <w:pPr>
              <w:pStyle w:val="TableBodyText"/>
            </w:pPr>
            <w:r>
              <w:t>RibbonReviewProtectDocumentMenu</w:t>
            </w:r>
          </w:p>
        </w:tc>
        <w:tc>
          <w:tcPr>
            <w:tcW w:w="0" w:type="auto"/>
            <w:vAlign w:val="center"/>
          </w:tcPr>
          <w:p w:rsidR="00024C0A" w:rsidRDefault="00694C0F">
            <w:pPr>
              <w:pStyle w:val="TableBodyText"/>
            </w:pPr>
            <w:r>
              <w:t>09A7</w:t>
            </w:r>
          </w:p>
        </w:tc>
      </w:tr>
      <w:tr w:rsidR="00024C0A" w:rsidTr="00024C0A">
        <w:tc>
          <w:tcPr>
            <w:tcW w:w="0" w:type="auto"/>
            <w:vAlign w:val="center"/>
          </w:tcPr>
          <w:p w:rsidR="00024C0A" w:rsidRDefault="00694C0F">
            <w:pPr>
              <w:pStyle w:val="TableBodyText"/>
            </w:pPr>
            <w:r>
              <w:t>RibbonReviewRestrictFormatting</w:t>
            </w:r>
          </w:p>
        </w:tc>
        <w:tc>
          <w:tcPr>
            <w:tcW w:w="0" w:type="auto"/>
            <w:vAlign w:val="center"/>
          </w:tcPr>
          <w:p w:rsidR="00024C0A" w:rsidRDefault="00694C0F">
            <w:pPr>
              <w:pStyle w:val="TableBodyText"/>
            </w:pPr>
            <w:r>
              <w:t>09A8</w:t>
            </w:r>
          </w:p>
        </w:tc>
      </w:tr>
      <w:tr w:rsidR="00024C0A" w:rsidTr="00024C0A">
        <w:tc>
          <w:tcPr>
            <w:tcW w:w="0" w:type="auto"/>
            <w:vAlign w:val="center"/>
          </w:tcPr>
          <w:p w:rsidR="00024C0A" w:rsidRDefault="00694C0F">
            <w:pPr>
              <w:pStyle w:val="TableBodyText"/>
            </w:pPr>
            <w:r>
              <w:t>RightPara</w:t>
            </w:r>
          </w:p>
        </w:tc>
        <w:tc>
          <w:tcPr>
            <w:tcW w:w="0" w:type="auto"/>
            <w:vAlign w:val="center"/>
          </w:tcPr>
          <w:p w:rsidR="00024C0A" w:rsidRDefault="00694C0F">
            <w:pPr>
              <w:pStyle w:val="TableBodyText"/>
            </w:pPr>
            <w:r>
              <w:t>003C</w:t>
            </w:r>
          </w:p>
        </w:tc>
      </w:tr>
      <w:tr w:rsidR="00024C0A" w:rsidTr="00024C0A">
        <w:tc>
          <w:tcPr>
            <w:tcW w:w="0" w:type="auto"/>
            <w:vAlign w:val="center"/>
          </w:tcPr>
          <w:p w:rsidR="00024C0A" w:rsidRDefault="00694C0F">
            <w:pPr>
              <w:pStyle w:val="TableBodyText"/>
            </w:pPr>
            <w:r>
              <w:t>RotateObjectGallery</w:t>
            </w:r>
          </w:p>
        </w:tc>
        <w:tc>
          <w:tcPr>
            <w:tcW w:w="0" w:type="auto"/>
            <w:vAlign w:val="center"/>
          </w:tcPr>
          <w:p w:rsidR="00024C0A" w:rsidRDefault="00694C0F">
            <w:pPr>
              <w:pStyle w:val="TableBodyText"/>
            </w:pPr>
            <w:r>
              <w:t>07B5</w:t>
            </w:r>
          </w:p>
        </w:tc>
      </w:tr>
      <w:tr w:rsidR="00024C0A" w:rsidTr="00024C0A">
        <w:tc>
          <w:tcPr>
            <w:tcW w:w="0" w:type="auto"/>
            <w:vAlign w:val="center"/>
          </w:tcPr>
          <w:p w:rsidR="00024C0A" w:rsidRDefault="00694C0F">
            <w:pPr>
              <w:pStyle w:val="TableBodyText"/>
            </w:pPr>
            <w:r>
              <w:t>RtlPara</w:t>
            </w:r>
          </w:p>
        </w:tc>
        <w:tc>
          <w:tcPr>
            <w:tcW w:w="0" w:type="auto"/>
            <w:vAlign w:val="center"/>
          </w:tcPr>
          <w:p w:rsidR="00024C0A" w:rsidRDefault="00694C0F">
            <w:pPr>
              <w:pStyle w:val="TableBodyText"/>
            </w:pPr>
            <w:r>
              <w:t>041F</w:t>
            </w:r>
          </w:p>
        </w:tc>
      </w:tr>
      <w:tr w:rsidR="00024C0A" w:rsidTr="00024C0A">
        <w:tc>
          <w:tcPr>
            <w:tcW w:w="0" w:type="auto"/>
            <w:vAlign w:val="center"/>
          </w:tcPr>
          <w:p w:rsidR="00024C0A" w:rsidRDefault="00694C0F">
            <w:pPr>
              <w:pStyle w:val="TableBodyText"/>
            </w:pPr>
            <w:r>
              <w:t>RtlRun</w:t>
            </w:r>
          </w:p>
        </w:tc>
        <w:tc>
          <w:tcPr>
            <w:tcW w:w="0" w:type="auto"/>
            <w:vAlign w:val="center"/>
          </w:tcPr>
          <w:p w:rsidR="00024C0A" w:rsidRDefault="00694C0F">
            <w:pPr>
              <w:pStyle w:val="TableBodyText"/>
            </w:pPr>
            <w:r>
              <w:t>0422</w:t>
            </w:r>
          </w:p>
        </w:tc>
      </w:tr>
      <w:tr w:rsidR="00024C0A" w:rsidTr="00024C0A">
        <w:tc>
          <w:tcPr>
            <w:tcW w:w="0" w:type="auto"/>
            <w:vAlign w:val="center"/>
          </w:tcPr>
          <w:p w:rsidR="00024C0A" w:rsidRDefault="00694C0F">
            <w:pPr>
              <w:pStyle w:val="TableBodyText"/>
            </w:pPr>
            <w:r>
              <w:t>RunPrintManager</w:t>
            </w:r>
          </w:p>
        </w:tc>
        <w:tc>
          <w:tcPr>
            <w:tcW w:w="0" w:type="auto"/>
            <w:vAlign w:val="center"/>
          </w:tcPr>
          <w:p w:rsidR="00024C0A" w:rsidRDefault="00694C0F">
            <w:pPr>
              <w:pStyle w:val="TableBodyText"/>
            </w:pPr>
            <w:r>
              <w:t>02AC</w:t>
            </w:r>
          </w:p>
        </w:tc>
      </w:tr>
      <w:tr w:rsidR="00024C0A" w:rsidTr="00024C0A">
        <w:tc>
          <w:tcPr>
            <w:tcW w:w="0" w:type="auto"/>
            <w:vAlign w:val="center"/>
          </w:tcPr>
          <w:p w:rsidR="00024C0A" w:rsidRDefault="00694C0F">
            <w:pPr>
              <w:pStyle w:val="TableBodyText"/>
            </w:pPr>
            <w:r>
              <w:t>RunToggle</w:t>
            </w:r>
          </w:p>
        </w:tc>
        <w:tc>
          <w:tcPr>
            <w:tcW w:w="0" w:type="auto"/>
            <w:vAlign w:val="center"/>
          </w:tcPr>
          <w:p w:rsidR="00024C0A" w:rsidRDefault="00694C0F">
            <w:pPr>
              <w:pStyle w:val="TableBodyText"/>
            </w:pPr>
            <w:r>
              <w:t>041D</w:t>
            </w:r>
          </w:p>
        </w:tc>
      </w:tr>
      <w:tr w:rsidR="00024C0A" w:rsidTr="00024C0A">
        <w:tc>
          <w:tcPr>
            <w:tcW w:w="0" w:type="auto"/>
            <w:vAlign w:val="center"/>
          </w:tcPr>
          <w:p w:rsidR="00024C0A" w:rsidRDefault="00694C0F">
            <w:pPr>
              <w:pStyle w:val="TableBodyText"/>
            </w:pPr>
            <w:r>
              <w:t>SaveAsQuickFormatSet</w:t>
            </w:r>
          </w:p>
        </w:tc>
        <w:tc>
          <w:tcPr>
            <w:tcW w:w="0" w:type="auto"/>
            <w:vAlign w:val="center"/>
          </w:tcPr>
          <w:p w:rsidR="00024C0A" w:rsidRDefault="00694C0F">
            <w:pPr>
              <w:pStyle w:val="TableBodyText"/>
            </w:pPr>
            <w:r>
              <w:t>05D5</w:t>
            </w:r>
          </w:p>
        </w:tc>
      </w:tr>
      <w:tr w:rsidR="00024C0A" w:rsidTr="00024C0A">
        <w:tc>
          <w:tcPr>
            <w:tcW w:w="0" w:type="auto"/>
            <w:vAlign w:val="center"/>
          </w:tcPr>
          <w:p w:rsidR="00024C0A" w:rsidRDefault="00694C0F">
            <w:pPr>
              <w:pStyle w:val="TableBodyText"/>
            </w:pPr>
            <w:r>
              <w:t>SaveBibliographyBlock</w:t>
            </w:r>
          </w:p>
        </w:tc>
        <w:tc>
          <w:tcPr>
            <w:tcW w:w="0" w:type="auto"/>
            <w:vAlign w:val="center"/>
          </w:tcPr>
          <w:p w:rsidR="00024C0A" w:rsidRDefault="00694C0F">
            <w:pPr>
              <w:pStyle w:val="TableBodyText"/>
            </w:pPr>
            <w:r>
              <w:t>0972</w:t>
            </w:r>
          </w:p>
        </w:tc>
      </w:tr>
      <w:tr w:rsidR="00024C0A" w:rsidTr="00024C0A">
        <w:tc>
          <w:tcPr>
            <w:tcW w:w="0" w:type="auto"/>
            <w:vAlign w:val="center"/>
          </w:tcPr>
          <w:p w:rsidR="00024C0A" w:rsidRDefault="00694C0F">
            <w:pPr>
              <w:pStyle w:val="TableBodyText"/>
            </w:pPr>
            <w:r>
              <w:t>SaveCoverPageBlock</w:t>
            </w:r>
          </w:p>
        </w:tc>
        <w:tc>
          <w:tcPr>
            <w:tcW w:w="0" w:type="auto"/>
            <w:vAlign w:val="center"/>
          </w:tcPr>
          <w:p w:rsidR="00024C0A" w:rsidRDefault="00694C0F">
            <w:pPr>
              <w:pStyle w:val="TableBodyText"/>
            </w:pPr>
            <w:r>
              <w:t>08E4</w:t>
            </w:r>
          </w:p>
        </w:tc>
      </w:tr>
      <w:tr w:rsidR="00024C0A" w:rsidTr="00024C0A">
        <w:tc>
          <w:tcPr>
            <w:tcW w:w="0" w:type="auto"/>
            <w:vAlign w:val="center"/>
          </w:tcPr>
          <w:p w:rsidR="00024C0A" w:rsidRDefault="00694C0F">
            <w:pPr>
              <w:pStyle w:val="TableBodyText"/>
            </w:pPr>
            <w:r>
              <w:t>SaveCurrentTheme</w:t>
            </w:r>
          </w:p>
        </w:tc>
        <w:tc>
          <w:tcPr>
            <w:tcW w:w="0" w:type="auto"/>
            <w:vAlign w:val="center"/>
          </w:tcPr>
          <w:p w:rsidR="00024C0A" w:rsidRDefault="00694C0F">
            <w:pPr>
              <w:pStyle w:val="TableBodyText"/>
            </w:pPr>
            <w:r>
              <w:t>08DB</w:t>
            </w:r>
          </w:p>
        </w:tc>
      </w:tr>
      <w:tr w:rsidR="00024C0A" w:rsidTr="00024C0A">
        <w:tc>
          <w:tcPr>
            <w:tcW w:w="0" w:type="auto"/>
            <w:vAlign w:val="center"/>
          </w:tcPr>
          <w:p w:rsidR="00024C0A" w:rsidRDefault="00694C0F">
            <w:pPr>
              <w:pStyle w:val="TableBodyText"/>
            </w:pPr>
            <w:r>
              <w:t>SaveEquation</w:t>
            </w:r>
          </w:p>
        </w:tc>
        <w:tc>
          <w:tcPr>
            <w:tcW w:w="0" w:type="auto"/>
            <w:vAlign w:val="center"/>
          </w:tcPr>
          <w:p w:rsidR="00024C0A" w:rsidRDefault="00694C0F">
            <w:pPr>
              <w:pStyle w:val="TableBodyText"/>
            </w:pPr>
            <w:r>
              <w:t>090E</w:t>
            </w:r>
          </w:p>
        </w:tc>
      </w:tr>
      <w:tr w:rsidR="00024C0A" w:rsidTr="00024C0A">
        <w:tc>
          <w:tcPr>
            <w:tcW w:w="0" w:type="auto"/>
            <w:vAlign w:val="center"/>
          </w:tcPr>
          <w:p w:rsidR="00024C0A" w:rsidRDefault="00694C0F">
            <w:pPr>
              <w:pStyle w:val="TableBodyText"/>
            </w:pPr>
            <w:r>
              <w:t>SaveFooterBlock</w:t>
            </w:r>
          </w:p>
        </w:tc>
        <w:tc>
          <w:tcPr>
            <w:tcW w:w="0" w:type="auto"/>
            <w:vAlign w:val="center"/>
          </w:tcPr>
          <w:p w:rsidR="00024C0A" w:rsidRDefault="00694C0F">
            <w:pPr>
              <w:pStyle w:val="TableBodyText"/>
            </w:pPr>
            <w:r>
              <w:t>08E6</w:t>
            </w:r>
          </w:p>
        </w:tc>
      </w:tr>
      <w:tr w:rsidR="00024C0A" w:rsidTr="00024C0A">
        <w:tc>
          <w:tcPr>
            <w:tcW w:w="0" w:type="auto"/>
            <w:vAlign w:val="center"/>
          </w:tcPr>
          <w:p w:rsidR="00024C0A" w:rsidRDefault="00694C0F">
            <w:pPr>
              <w:pStyle w:val="TableBodyText"/>
            </w:pPr>
            <w:r>
              <w:t>SaveHeaderBlock</w:t>
            </w:r>
          </w:p>
        </w:tc>
        <w:tc>
          <w:tcPr>
            <w:tcW w:w="0" w:type="auto"/>
            <w:vAlign w:val="center"/>
          </w:tcPr>
          <w:p w:rsidR="00024C0A" w:rsidRDefault="00694C0F">
            <w:pPr>
              <w:pStyle w:val="TableBodyText"/>
            </w:pPr>
            <w:r>
              <w:t>08E5</w:t>
            </w:r>
          </w:p>
        </w:tc>
      </w:tr>
      <w:tr w:rsidR="00024C0A" w:rsidTr="00024C0A">
        <w:tc>
          <w:tcPr>
            <w:tcW w:w="0" w:type="auto"/>
            <w:vAlign w:val="center"/>
          </w:tcPr>
          <w:p w:rsidR="00024C0A" w:rsidRDefault="00694C0F">
            <w:pPr>
              <w:pStyle w:val="TableBodyText"/>
            </w:pPr>
            <w:r>
              <w:t>SaveOssThemeToTemplate</w:t>
            </w:r>
          </w:p>
        </w:tc>
        <w:tc>
          <w:tcPr>
            <w:tcW w:w="0" w:type="auto"/>
            <w:vAlign w:val="center"/>
          </w:tcPr>
          <w:p w:rsidR="00024C0A" w:rsidRDefault="00694C0F">
            <w:pPr>
              <w:pStyle w:val="TableBodyText"/>
            </w:pPr>
            <w:r>
              <w:t>093D</w:t>
            </w:r>
          </w:p>
        </w:tc>
      </w:tr>
      <w:tr w:rsidR="00024C0A" w:rsidTr="00024C0A">
        <w:tc>
          <w:tcPr>
            <w:tcW w:w="0" w:type="auto"/>
            <w:vAlign w:val="center"/>
          </w:tcPr>
          <w:p w:rsidR="00024C0A" w:rsidRDefault="00694C0F">
            <w:pPr>
              <w:pStyle w:val="TableBodyText"/>
            </w:pPr>
            <w:r>
              <w:t>SavePageNumBlock</w:t>
            </w:r>
          </w:p>
        </w:tc>
        <w:tc>
          <w:tcPr>
            <w:tcW w:w="0" w:type="auto"/>
            <w:vAlign w:val="center"/>
          </w:tcPr>
          <w:p w:rsidR="00024C0A" w:rsidRDefault="00694C0F">
            <w:pPr>
              <w:pStyle w:val="TableBodyText"/>
            </w:pPr>
            <w:r>
              <w:t>08E9</w:t>
            </w:r>
          </w:p>
        </w:tc>
      </w:tr>
      <w:tr w:rsidR="00024C0A" w:rsidTr="00024C0A">
        <w:tc>
          <w:tcPr>
            <w:tcW w:w="0" w:type="auto"/>
            <w:vAlign w:val="center"/>
          </w:tcPr>
          <w:p w:rsidR="00024C0A" w:rsidRDefault="00694C0F">
            <w:pPr>
              <w:pStyle w:val="TableBodyText"/>
            </w:pPr>
            <w:r>
              <w:t>SavePageNumBottomBlock</w:t>
            </w:r>
          </w:p>
        </w:tc>
        <w:tc>
          <w:tcPr>
            <w:tcW w:w="0" w:type="auto"/>
            <w:vAlign w:val="center"/>
          </w:tcPr>
          <w:p w:rsidR="00024C0A" w:rsidRDefault="00694C0F">
            <w:pPr>
              <w:pStyle w:val="TableBodyText"/>
            </w:pPr>
            <w:r>
              <w:t>08E8</w:t>
            </w:r>
          </w:p>
        </w:tc>
      </w:tr>
      <w:tr w:rsidR="00024C0A" w:rsidTr="00024C0A">
        <w:tc>
          <w:tcPr>
            <w:tcW w:w="0" w:type="auto"/>
            <w:vAlign w:val="center"/>
          </w:tcPr>
          <w:p w:rsidR="00024C0A" w:rsidRDefault="00694C0F">
            <w:pPr>
              <w:pStyle w:val="TableBodyText"/>
            </w:pPr>
            <w:r>
              <w:t>SavePageNumTopBlock</w:t>
            </w:r>
          </w:p>
        </w:tc>
        <w:tc>
          <w:tcPr>
            <w:tcW w:w="0" w:type="auto"/>
            <w:vAlign w:val="center"/>
          </w:tcPr>
          <w:p w:rsidR="00024C0A" w:rsidRDefault="00694C0F">
            <w:pPr>
              <w:pStyle w:val="TableBodyText"/>
            </w:pPr>
            <w:r>
              <w:t>08E7</w:t>
            </w:r>
          </w:p>
        </w:tc>
      </w:tr>
      <w:tr w:rsidR="00024C0A" w:rsidTr="00024C0A">
        <w:tc>
          <w:tcPr>
            <w:tcW w:w="0" w:type="auto"/>
            <w:vAlign w:val="center"/>
          </w:tcPr>
          <w:p w:rsidR="00024C0A" w:rsidRDefault="00694C0F">
            <w:pPr>
              <w:pStyle w:val="TableBodyText"/>
            </w:pPr>
            <w:r>
              <w:t>SaveTableOfContentsBlock</w:t>
            </w:r>
          </w:p>
        </w:tc>
        <w:tc>
          <w:tcPr>
            <w:tcW w:w="0" w:type="auto"/>
            <w:vAlign w:val="center"/>
          </w:tcPr>
          <w:p w:rsidR="00024C0A" w:rsidRDefault="00694C0F">
            <w:pPr>
              <w:pStyle w:val="TableBodyText"/>
            </w:pPr>
            <w:r>
              <w:t>0919</w:t>
            </w:r>
          </w:p>
        </w:tc>
      </w:tr>
      <w:tr w:rsidR="00024C0A" w:rsidTr="00024C0A">
        <w:tc>
          <w:tcPr>
            <w:tcW w:w="0" w:type="auto"/>
            <w:vAlign w:val="center"/>
          </w:tcPr>
          <w:p w:rsidR="00024C0A" w:rsidRDefault="00694C0F">
            <w:pPr>
              <w:pStyle w:val="TableBodyText"/>
            </w:pPr>
            <w:r>
              <w:t>SaveTemplate</w:t>
            </w:r>
          </w:p>
        </w:tc>
        <w:tc>
          <w:tcPr>
            <w:tcW w:w="0" w:type="auto"/>
            <w:vAlign w:val="center"/>
          </w:tcPr>
          <w:p w:rsidR="00024C0A" w:rsidRDefault="00694C0F">
            <w:pPr>
              <w:pStyle w:val="TableBodyText"/>
            </w:pPr>
            <w:r>
              <w:t>0046</w:t>
            </w:r>
          </w:p>
        </w:tc>
      </w:tr>
      <w:tr w:rsidR="00024C0A" w:rsidTr="00024C0A">
        <w:tc>
          <w:tcPr>
            <w:tcW w:w="0" w:type="auto"/>
            <w:vAlign w:val="center"/>
          </w:tcPr>
          <w:p w:rsidR="00024C0A" w:rsidRDefault="00694C0F">
            <w:pPr>
              <w:pStyle w:val="TableBodyText"/>
            </w:pPr>
            <w:r>
              <w:t>SaveToDocMgmtServer</w:t>
            </w:r>
          </w:p>
        </w:tc>
        <w:tc>
          <w:tcPr>
            <w:tcW w:w="0" w:type="auto"/>
            <w:vAlign w:val="center"/>
          </w:tcPr>
          <w:p w:rsidR="00024C0A" w:rsidRDefault="00694C0F">
            <w:pPr>
              <w:pStyle w:val="TableBodyText"/>
            </w:pPr>
            <w:r>
              <w:t>083A</w:t>
            </w:r>
          </w:p>
        </w:tc>
      </w:tr>
      <w:tr w:rsidR="00024C0A" w:rsidTr="00024C0A">
        <w:tc>
          <w:tcPr>
            <w:tcW w:w="0" w:type="auto"/>
            <w:vAlign w:val="center"/>
          </w:tcPr>
          <w:p w:rsidR="00024C0A" w:rsidRDefault="00694C0F">
            <w:pPr>
              <w:pStyle w:val="TableBodyText"/>
            </w:pPr>
            <w:r>
              <w:t>ScheduleMeeting</w:t>
            </w:r>
          </w:p>
        </w:tc>
        <w:tc>
          <w:tcPr>
            <w:tcW w:w="0" w:type="auto"/>
            <w:vAlign w:val="center"/>
          </w:tcPr>
          <w:p w:rsidR="00024C0A" w:rsidRDefault="00694C0F">
            <w:pPr>
              <w:pStyle w:val="TableBodyText"/>
            </w:pPr>
            <w:r>
              <w:t>049A</w:t>
            </w:r>
          </w:p>
        </w:tc>
      </w:tr>
      <w:tr w:rsidR="00024C0A" w:rsidTr="00024C0A">
        <w:tc>
          <w:tcPr>
            <w:tcW w:w="0" w:type="auto"/>
            <w:vAlign w:val="center"/>
          </w:tcPr>
          <w:p w:rsidR="00024C0A" w:rsidRDefault="00694C0F">
            <w:pPr>
              <w:pStyle w:val="TableBodyText"/>
            </w:pPr>
            <w:r>
              <w:t>SchemaLibrary</w:t>
            </w:r>
          </w:p>
        </w:tc>
        <w:tc>
          <w:tcPr>
            <w:tcW w:w="0" w:type="auto"/>
            <w:vAlign w:val="center"/>
          </w:tcPr>
          <w:p w:rsidR="00024C0A" w:rsidRDefault="00694C0F">
            <w:pPr>
              <w:pStyle w:val="TableBodyText"/>
            </w:pPr>
            <w:r>
              <w:t>0589</w:t>
            </w:r>
          </w:p>
        </w:tc>
      </w:tr>
      <w:tr w:rsidR="00024C0A" w:rsidTr="00024C0A">
        <w:tc>
          <w:tcPr>
            <w:tcW w:w="0" w:type="auto"/>
            <w:vAlign w:val="center"/>
          </w:tcPr>
          <w:p w:rsidR="00024C0A" w:rsidRDefault="00694C0F">
            <w:pPr>
              <w:pStyle w:val="TableBodyText"/>
            </w:pPr>
            <w:r>
              <w:t>ScreenRefresh</w:t>
            </w:r>
          </w:p>
        </w:tc>
        <w:tc>
          <w:tcPr>
            <w:tcW w:w="0" w:type="auto"/>
            <w:vAlign w:val="center"/>
          </w:tcPr>
          <w:p w:rsidR="00024C0A" w:rsidRDefault="00694C0F">
            <w:pPr>
              <w:pStyle w:val="TableBodyText"/>
            </w:pPr>
            <w:r>
              <w:t>0299</w:t>
            </w:r>
          </w:p>
        </w:tc>
      </w:tr>
      <w:tr w:rsidR="00024C0A" w:rsidTr="00024C0A">
        <w:tc>
          <w:tcPr>
            <w:tcW w:w="0" w:type="auto"/>
            <w:vAlign w:val="center"/>
          </w:tcPr>
          <w:p w:rsidR="00024C0A" w:rsidRDefault="00694C0F">
            <w:pPr>
              <w:pStyle w:val="TableBodyText"/>
            </w:pPr>
            <w:r>
              <w:t>ScrnNav</w:t>
            </w:r>
          </w:p>
        </w:tc>
        <w:tc>
          <w:tcPr>
            <w:tcW w:w="0" w:type="auto"/>
            <w:vAlign w:val="center"/>
          </w:tcPr>
          <w:p w:rsidR="00024C0A" w:rsidRDefault="00694C0F">
            <w:pPr>
              <w:pStyle w:val="TableBodyText"/>
            </w:pPr>
            <w:r>
              <w:t>0897</w:t>
            </w:r>
          </w:p>
        </w:tc>
      </w:tr>
      <w:tr w:rsidR="00024C0A" w:rsidTr="00024C0A">
        <w:tc>
          <w:tcPr>
            <w:tcW w:w="0" w:type="auto"/>
            <w:vAlign w:val="center"/>
          </w:tcPr>
          <w:p w:rsidR="00024C0A" w:rsidRDefault="00694C0F">
            <w:pPr>
              <w:pStyle w:val="TableBodyText"/>
            </w:pPr>
            <w:r>
              <w:t>SearchOfficeOnline</w:t>
            </w:r>
          </w:p>
        </w:tc>
        <w:tc>
          <w:tcPr>
            <w:tcW w:w="0" w:type="auto"/>
            <w:vAlign w:val="center"/>
          </w:tcPr>
          <w:p w:rsidR="00024C0A" w:rsidRDefault="00694C0F">
            <w:pPr>
              <w:pStyle w:val="TableBodyText"/>
            </w:pPr>
            <w:r>
              <w:t>0876</w:t>
            </w:r>
          </w:p>
        </w:tc>
      </w:tr>
      <w:tr w:rsidR="00024C0A" w:rsidTr="00024C0A">
        <w:tc>
          <w:tcPr>
            <w:tcW w:w="0" w:type="auto"/>
            <w:vAlign w:val="center"/>
          </w:tcPr>
          <w:p w:rsidR="00024C0A" w:rsidRDefault="00694C0F">
            <w:pPr>
              <w:pStyle w:val="TableBodyText"/>
            </w:pPr>
            <w:r>
              <w:t>SelectBibliographyStyle</w:t>
            </w:r>
          </w:p>
        </w:tc>
        <w:tc>
          <w:tcPr>
            <w:tcW w:w="0" w:type="auto"/>
            <w:vAlign w:val="center"/>
          </w:tcPr>
          <w:p w:rsidR="00024C0A" w:rsidRDefault="00694C0F">
            <w:pPr>
              <w:pStyle w:val="TableBodyText"/>
            </w:pPr>
            <w:r>
              <w:t>077E</w:t>
            </w:r>
          </w:p>
        </w:tc>
      </w:tr>
      <w:tr w:rsidR="00024C0A" w:rsidTr="00024C0A">
        <w:tc>
          <w:tcPr>
            <w:tcW w:w="0" w:type="auto"/>
            <w:vAlign w:val="center"/>
          </w:tcPr>
          <w:p w:rsidR="00024C0A" w:rsidRDefault="00694C0F">
            <w:pPr>
              <w:pStyle w:val="TableBodyText"/>
            </w:pPr>
            <w:r>
              <w:lastRenderedPageBreak/>
              <w:t>SelectCurAlignment</w:t>
            </w:r>
          </w:p>
        </w:tc>
        <w:tc>
          <w:tcPr>
            <w:tcW w:w="0" w:type="auto"/>
            <w:vAlign w:val="center"/>
          </w:tcPr>
          <w:p w:rsidR="00024C0A" w:rsidRDefault="00694C0F">
            <w:pPr>
              <w:pStyle w:val="TableBodyText"/>
            </w:pPr>
            <w:r>
              <w:t>011F</w:t>
            </w:r>
          </w:p>
        </w:tc>
      </w:tr>
      <w:tr w:rsidR="00024C0A" w:rsidTr="00024C0A">
        <w:tc>
          <w:tcPr>
            <w:tcW w:w="0" w:type="auto"/>
            <w:vAlign w:val="center"/>
          </w:tcPr>
          <w:p w:rsidR="00024C0A" w:rsidRDefault="00694C0F">
            <w:pPr>
              <w:pStyle w:val="TableBodyText"/>
            </w:pPr>
            <w:r>
              <w:t>SelectCurColor</w:t>
            </w:r>
          </w:p>
        </w:tc>
        <w:tc>
          <w:tcPr>
            <w:tcW w:w="0" w:type="auto"/>
            <w:vAlign w:val="center"/>
          </w:tcPr>
          <w:p w:rsidR="00024C0A" w:rsidRDefault="00694C0F">
            <w:pPr>
              <w:pStyle w:val="TableBodyText"/>
            </w:pPr>
            <w:r>
              <w:t>0123</w:t>
            </w:r>
          </w:p>
        </w:tc>
      </w:tr>
      <w:tr w:rsidR="00024C0A" w:rsidTr="00024C0A">
        <w:tc>
          <w:tcPr>
            <w:tcW w:w="0" w:type="auto"/>
            <w:vAlign w:val="center"/>
          </w:tcPr>
          <w:p w:rsidR="00024C0A" w:rsidRDefault="00694C0F">
            <w:pPr>
              <w:pStyle w:val="TableBodyText"/>
            </w:pPr>
            <w:r>
              <w:t>SelectCurFont</w:t>
            </w:r>
          </w:p>
        </w:tc>
        <w:tc>
          <w:tcPr>
            <w:tcW w:w="0" w:type="auto"/>
            <w:vAlign w:val="center"/>
          </w:tcPr>
          <w:p w:rsidR="00024C0A" w:rsidRDefault="00694C0F">
            <w:pPr>
              <w:pStyle w:val="TableBodyText"/>
            </w:pPr>
            <w:r>
              <w:t>011E</w:t>
            </w:r>
          </w:p>
        </w:tc>
      </w:tr>
      <w:tr w:rsidR="00024C0A" w:rsidTr="00024C0A">
        <w:tc>
          <w:tcPr>
            <w:tcW w:w="0" w:type="auto"/>
            <w:vAlign w:val="center"/>
          </w:tcPr>
          <w:p w:rsidR="00024C0A" w:rsidRDefault="00694C0F">
            <w:pPr>
              <w:pStyle w:val="TableBodyText"/>
            </w:pPr>
            <w:r>
              <w:t>SelectCurIndent</w:t>
            </w:r>
          </w:p>
        </w:tc>
        <w:tc>
          <w:tcPr>
            <w:tcW w:w="0" w:type="auto"/>
            <w:vAlign w:val="center"/>
          </w:tcPr>
          <w:p w:rsidR="00024C0A" w:rsidRDefault="00694C0F">
            <w:pPr>
              <w:pStyle w:val="TableBodyText"/>
            </w:pPr>
            <w:r>
              <w:t>0121</w:t>
            </w:r>
          </w:p>
        </w:tc>
      </w:tr>
      <w:tr w:rsidR="00024C0A" w:rsidTr="00024C0A">
        <w:tc>
          <w:tcPr>
            <w:tcW w:w="0" w:type="auto"/>
            <w:vAlign w:val="center"/>
          </w:tcPr>
          <w:p w:rsidR="00024C0A" w:rsidRDefault="00694C0F">
            <w:pPr>
              <w:pStyle w:val="TableBodyText"/>
            </w:pPr>
            <w:r>
              <w:t>SelectCurSpacing</w:t>
            </w:r>
          </w:p>
        </w:tc>
        <w:tc>
          <w:tcPr>
            <w:tcW w:w="0" w:type="auto"/>
            <w:vAlign w:val="center"/>
          </w:tcPr>
          <w:p w:rsidR="00024C0A" w:rsidRDefault="00694C0F">
            <w:pPr>
              <w:pStyle w:val="TableBodyText"/>
            </w:pPr>
            <w:r>
              <w:t>0120</w:t>
            </w:r>
          </w:p>
        </w:tc>
      </w:tr>
      <w:tr w:rsidR="00024C0A" w:rsidTr="00024C0A">
        <w:tc>
          <w:tcPr>
            <w:tcW w:w="0" w:type="auto"/>
            <w:vAlign w:val="center"/>
          </w:tcPr>
          <w:p w:rsidR="00024C0A" w:rsidRDefault="00694C0F">
            <w:pPr>
              <w:pStyle w:val="TableBodyText"/>
            </w:pPr>
            <w:r>
              <w:t>SelectCurTabs</w:t>
            </w:r>
          </w:p>
        </w:tc>
        <w:tc>
          <w:tcPr>
            <w:tcW w:w="0" w:type="auto"/>
            <w:vAlign w:val="center"/>
          </w:tcPr>
          <w:p w:rsidR="00024C0A" w:rsidRDefault="00694C0F">
            <w:pPr>
              <w:pStyle w:val="TableBodyText"/>
            </w:pPr>
            <w:r>
              <w:t>0122</w:t>
            </w:r>
          </w:p>
        </w:tc>
      </w:tr>
      <w:tr w:rsidR="00024C0A" w:rsidTr="00024C0A">
        <w:tc>
          <w:tcPr>
            <w:tcW w:w="0" w:type="auto"/>
            <w:vAlign w:val="center"/>
          </w:tcPr>
          <w:p w:rsidR="00024C0A" w:rsidRDefault="00694C0F">
            <w:pPr>
              <w:pStyle w:val="TableBodyText"/>
            </w:pPr>
            <w:r>
              <w:t>SelectDrawingObjects</w:t>
            </w:r>
          </w:p>
        </w:tc>
        <w:tc>
          <w:tcPr>
            <w:tcW w:w="0" w:type="auto"/>
            <w:vAlign w:val="center"/>
          </w:tcPr>
          <w:p w:rsidR="00024C0A" w:rsidRDefault="00694C0F">
            <w:pPr>
              <w:pStyle w:val="TableBodyText"/>
            </w:pPr>
            <w:r>
              <w:t>0221</w:t>
            </w:r>
          </w:p>
        </w:tc>
      </w:tr>
      <w:tr w:rsidR="00024C0A" w:rsidTr="00024C0A">
        <w:tc>
          <w:tcPr>
            <w:tcW w:w="0" w:type="auto"/>
            <w:vAlign w:val="center"/>
          </w:tcPr>
          <w:p w:rsidR="00024C0A" w:rsidRDefault="00694C0F">
            <w:pPr>
              <w:pStyle w:val="TableBodyText"/>
            </w:pPr>
            <w:r>
              <w:t>SelectNumber</w:t>
            </w:r>
          </w:p>
        </w:tc>
        <w:tc>
          <w:tcPr>
            <w:tcW w:w="0" w:type="auto"/>
            <w:vAlign w:val="center"/>
          </w:tcPr>
          <w:p w:rsidR="00024C0A" w:rsidRDefault="00694C0F">
            <w:pPr>
              <w:pStyle w:val="TableBodyText"/>
            </w:pPr>
            <w:r>
              <w:t>0545</w:t>
            </w:r>
          </w:p>
        </w:tc>
      </w:tr>
      <w:tr w:rsidR="00024C0A" w:rsidTr="00024C0A">
        <w:tc>
          <w:tcPr>
            <w:tcW w:w="0" w:type="auto"/>
            <w:vAlign w:val="center"/>
          </w:tcPr>
          <w:p w:rsidR="00024C0A" w:rsidRDefault="00694C0F">
            <w:pPr>
              <w:pStyle w:val="TableBodyText"/>
            </w:pPr>
            <w:r>
              <w:t>SelectSimilarFormatting</w:t>
            </w:r>
          </w:p>
        </w:tc>
        <w:tc>
          <w:tcPr>
            <w:tcW w:w="0" w:type="auto"/>
            <w:vAlign w:val="center"/>
          </w:tcPr>
          <w:p w:rsidR="00024C0A" w:rsidRDefault="00694C0F">
            <w:pPr>
              <w:pStyle w:val="TableBodyText"/>
            </w:pPr>
            <w:r>
              <w:t>04DC</w:t>
            </w:r>
          </w:p>
        </w:tc>
      </w:tr>
      <w:tr w:rsidR="00024C0A" w:rsidTr="00024C0A">
        <w:tc>
          <w:tcPr>
            <w:tcW w:w="0" w:type="auto"/>
            <w:vAlign w:val="center"/>
          </w:tcPr>
          <w:p w:rsidR="00024C0A" w:rsidRDefault="00694C0F">
            <w:pPr>
              <w:pStyle w:val="TableBodyText"/>
            </w:pPr>
            <w:r>
              <w:t>SendBackward</w:t>
            </w:r>
          </w:p>
        </w:tc>
        <w:tc>
          <w:tcPr>
            <w:tcW w:w="0" w:type="auto"/>
            <w:vAlign w:val="center"/>
          </w:tcPr>
          <w:p w:rsidR="00024C0A" w:rsidRDefault="00694C0F">
            <w:pPr>
              <w:pStyle w:val="TableBodyText"/>
            </w:pPr>
            <w:r>
              <w:t>0859</w:t>
            </w:r>
          </w:p>
        </w:tc>
      </w:tr>
      <w:tr w:rsidR="00024C0A" w:rsidTr="00024C0A">
        <w:tc>
          <w:tcPr>
            <w:tcW w:w="0" w:type="auto"/>
            <w:vAlign w:val="center"/>
          </w:tcPr>
          <w:p w:rsidR="00024C0A" w:rsidRDefault="00694C0F">
            <w:pPr>
              <w:pStyle w:val="TableBodyText"/>
            </w:pPr>
            <w:r>
              <w:t>SendForReview</w:t>
            </w:r>
          </w:p>
        </w:tc>
        <w:tc>
          <w:tcPr>
            <w:tcW w:w="0" w:type="auto"/>
            <w:vAlign w:val="center"/>
          </w:tcPr>
          <w:p w:rsidR="00024C0A" w:rsidRDefault="00694C0F">
            <w:pPr>
              <w:pStyle w:val="TableBodyText"/>
            </w:pPr>
            <w:r>
              <w:t>0563</w:t>
            </w:r>
          </w:p>
        </w:tc>
      </w:tr>
      <w:tr w:rsidR="00024C0A" w:rsidTr="00024C0A">
        <w:tc>
          <w:tcPr>
            <w:tcW w:w="0" w:type="auto"/>
            <w:vAlign w:val="center"/>
          </w:tcPr>
          <w:p w:rsidR="00024C0A" w:rsidRDefault="00694C0F">
            <w:pPr>
              <w:pStyle w:val="TableBodyText"/>
            </w:pPr>
            <w:r>
              <w:t>SendToBack</w:t>
            </w:r>
          </w:p>
        </w:tc>
        <w:tc>
          <w:tcPr>
            <w:tcW w:w="0" w:type="auto"/>
            <w:vAlign w:val="center"/>
          </w:tcPr>
          <w:p w:rsidR="00024C0A" w:rsidRDefault="00694C0F">
            <w:pPr>
              <w:pStyle w:val="TableBodyText"/>
            </w:pPr>
            <w:r>
              <w:t>085A</w:t>
            </w:r>
          </w:p>
        </w:tc>
      </w:tr>
      <w:tr w:rsidR="00024C0A" w:rsidTr="00024C0A">
        <w:tc>
          <w:tcPr>
            <w:tcW w:w="0" w:type="auto"/>
            <w:vAlign w:val="center"/>
          </w:tcPr>
          <w:p w:rsidR="00024C0A" w:rsidRDefault="00694C0F">
            <w:pPr>
              <w:pStyle w:val="TableBodyText"/>
            </w:pPr>
            <w:r>
              <w:t>SendToFax</w:t>
            </w:r>
          </w:p>
        </w:tc>
        <w:tc>
          <w:tcPr>
            <w:tcW w:w="0" w:type="auto"/>
            <w:vAlign w:val="center"/>
          </w:tcPr>
          <w:p w:rsidR="00024C0A" w:rsidRDefault="00694C0F">
            <w:pPr>
              <w:pStyle w:val="TableBodyText"/>
            </w:pPr>
            <w:r>
              <w:t>03AC</w:t>
            </w:r>
          </w:p>
        </w:tc>
      </w:tr>
      <w:tr w:rsidR="00024C0A" w:rsidTr="00024C0A">
        <w:tc>
          <w:tcPr>
            <w:tcW w:w="0" w:type="auto"/>
            <w:vAlign w:val="center"/>
          </w:tcPr>
          <w:p w:rsidR="00024C0A" w:rsidRDefault="00694C0F">
            <w:pPr>
              <w:pStyle w:val="TableBodyText"/>
            </w:pPr>
            <w:r>
              <w:t>SendToOnlineMeetingParticipants</w:t>
            </w:r>
          </w:p>
        </w:tc>
        <w:tc>
          <w:tcPr>
            <w:tcW w:w="0" w:type="auto"/>
            <w:vAlign w:val="center"/>
          </w:tcPr>
          <w:p w:rsidR="00024C0A" w:rsidRDefault="00694C0F">
            <w:pPr>
              <w:pStyle w:val="TableBodyText"/>
            </w:pPr>
            <w:r>
              <w:t>03CF</w:t>
            </w:r>
          </w:p>
        </w:tc>
      </w:tr>
      <w:tr w:rsidR="00024C0A" w:rsidTr="00024C0A">
        <w:tc>
          <w:tcPr>
            <w:tcW w:w="0" w:type="auto"/>
            <w:vAlign w:val="center"/>
          </w:tcPr>
          <w:p w:rsidR="00024C0A" w:rsidRDefault="00694C0F">
            <w:pPr>
              <w:pStyle w:val="TableBodyText"/>
            </w:pPr>
            <w:r>
              <w:t>SentLeft</w:t>
            </w:r>
          </w:p>
        </w:tc>
        <w:tc>
          <w:tcPr>
            <w:tcW w:w="0" w:type="auto"/>
            <w:vAlign w:val="center"/>
          </w:tcPr>
          <w:p w:rsidR="00024C0A" w:rsidRDefault="00694C0F">
            <w:pPr>
              <w:pStyle w:val="TableBodyText"/>
            </w:pPr>
            <w:r>
              <w:t>0FA4</w:t>
            </w:r>
          </w:p>
        </w:tc>
      </w:tr>
      <w:tr w:rsidR="00024C0A" w:rsidTr="00024C0A">
        <w:tc>
          <w:tcPr>
            <w:tcW w:w="0" w:type="auto"/>
            <w:vAlign w:val="center"/>
          </w:tcPr>
          <w:p w:rsidR="00024C0A" w:rsidRDefault="00694C0F">
            <w:pPr>
              <w:pStyle w:val="TableBodyText"/>
            </w:pPr>
            <w:r>
              <w:t>SentLeftExtend</w:t>
            </w:r>
          </w:p>
        </w:tc>
        <w:tc>
          <w:tcPr>
            <w:tcW w:w="0" w:type="auto"/>
            <w:vAlign w:val="center"/>
          </w:tcPr>
          <w:p w:rsidR="00024C0A" w:rsidRDefault="00694C0F">
            <w:pPr>
              <w:pStyle w:val="TableBodyText"/>
            </w:pPr>
            <w:r>
              <w:t>0FB6</w:t>
            </w:r>
          </w:p>
        </w:tc>
      </w:tr>
      <w:tr w:rsidR="00024C0A" w:rsidTr="00024C0A">
        <w:tc>
          <w:tcPr>
            <w:tcW w:w="0" w:type="auto"/>
            <w:vAlign w:val="center"/>
          </w:tcPr>
          <w:p w:rsidR="00024C0A" w:rsidRDefault="00694C0F">
            <w:pPr>
              <w:pStyle w:val="TableBodyText"/>
            </w:pPr>
            <w:r>
              <w:t>SentRight</w:t>
            </w:r>
          </w:p>
        </w:tc>
        <w:tc>
          <w:tcPr>
            <w:tcW w:w="0" w:type="auto"/>
            <w:vAlign w:val="center"/>
          </w:tcPr>
          <w:p w:rsidR="00024C0A" w:rsidRDefault="00694C0F">
            <w:pPr>
              <w:pStyle w:val="TableBodyText"/>
            </w:pPr>
            <w:r>
              <w:t>0FA5</w:t>
            </w:r>
          </w:p>
        </w:tc>
      </w:tr>
      <w:tr w:rsidR="00024C0A" w:rsidTr="00024C0A">
        <w:tc>
          <w:tcPr>
            <w:tcW w:w="0" w:type="auto"/>
            <w:vAlign w:val="center"/>
          </w:tcPr>
          <w:p w:rsidR="00024C0A" w:rsidRDefault="00694C0F">
            <w:pPr>
              <w:pStyle w:val="TableBodyText"/>
            </w:pPr>
            <w:r>
              <w:t>SentRightExtend</w:t>
            </w:r>
          </w:p>
        </w:tc>
        <w:tc>
          <w:tcPr>
            <w:tcW w:w="0" w:type="auto"/>
            <w:vAlign w:val="center"/>
          </w:tcPr>
          <w:p w:rsidR="00024C0A" w:rsidRDefault="00694C0F">
            <w:pPr>
              <w:pStyle w:val="TableBodyText"/>
            </w:pPr>
            <w:r>
              <w:t>0FB7</w:t>
            </w:r>
          </w:p>
        </w:tc>
      </w:tr>
      <w:tr w:rsidR="00024C0A" w:rsidTr="00024C0A">
        <w:tc>
          <w:tcPr>
            <w:tcW w:w="0" w:type="auto"/>
            <w:vAlign w:val="center"/>
          </w:tcPr>
          <w:p w:rsidR="00024C0A" w:rsidRDefault="00694C0F">
            <w:pPr>
              <w:pStyle w:val="TableBodyText"/>
            </w:pPr>
            <w:r>
              <w:t>SeparateList</w:t>
            </w:r>
          </w:p>
        </w:tc>
        <w:tc>
          <w:tcPr>
            <w:tcW w:w="0" w:type="auto"/>
            <w:vAlign w:val="center"/>
          </w:tcPr>
          <w:p w:rsidR="00024C0A" w:rsidRDefault="00694C0F">
            <w:pPr>
              <w:pStyle w:val="TableBodyText"/>
            </w:pPr>
            <w:r>
              <w:t>0770</w:t>
            </w:r>
          </w:p>
        </w:tc>
      </w:tr>
      <w:tr w:rsidR="00024C0A" w:rsidTr="00024C0A">
        <w:tc>
          <w:tcPr>
            <w:tcW w:w="0" w:type="auto"/>
            <w:vAlign w:val="center"/>
          </w:tcPr>
          <w:p w:rsidR="00024C0A" w:rsidRDefault="00694C0F">
            <w:pPr>
              <w:pStyle w:val="TableBodyText"/>
            </w:pPr>
            <w:r>
              <w:t>SetDrawingDefaults</w:t>
            </w:r>
          </w:p>
        </w:tc>
        <w:tc>
          <w:tcPr>
            <w:tcW w:w="0" w:type="auto"/>
            <w:vAlign w:val="center"/>
          </w:tcPr>
          <w:p w:rsidR="00024C0A" w:rsidRDefault="00694C0F">
            <w:pPr>
              <w:pStyle w:val="TableBodyText"/>
            </w:pPr>
            <w:r>
              <w:t>03E1</w:t>
            </w:r>
          </w:p>
        </w:tc>
      </w:tr>
      <w:tr w:rsidR="00024C0A" w:rsidTr="00024C0A">
        <w:tc>
          <w:tcPr>
            <w:tcW w:w="0" w:type="auto"/>
            <w:vAlign w:val="center"/>
          </w:tcPr>
          <w:p w:rsidR="00024C0A" w:rsidRDefault="00694C0F">
            <w:pPr>
              <w:pStyle w:val="TableBodyText"/>
            </w:pPr>
            <w:r>
              <w:t>SetListLevelVBA</w:t>
            </w:r>
          </w:p>
        </w:tc>
        <w:tc>
          <w:tcPr>
            <w:tcW w:w="0" w:type="auto"/>
            <w:vAlign w:val="center"/>
          </w:tcPr>
          <w:p w:rsidR="00024C0A" w:rsidRDefault="00694C0F">
            <w:pPr>
              <w:pStyle w:val="TableBodyText"/>
            </w:pPr>
            <w:r>
              <w:t>0885</w:t>
            </w:r>
          </w:p>
        </w:tc>
      </w:tr>
      <w:tr w:rsidR="00024C0A" w:rsidTr="00024C0A">
        <w:tc>
          <w:tcPr>
            <w:tcW w:w="0" w:type="auto"/>
            <w:vAlign w:val="center"/>
          </w:tcPr>
          <w:p w:rsidR="00024C0A" w:rsidRDefault="00694C0F">
            <w:pPr>
              <w:pStyle w:val="TableBodyText"/>
            </w:pPr>
            <w:r>
              <w:t>SetNumberingValue</w:t>
            </w:r>
          </w:p>
        </w:tc>
        <w:tc>
          <w:tcPr>
            <w:tcW w:w="0" w:type="auto"/>
            <w:vAlign w:val="center"/>
          </w:tcPr>
          <w:p w:rsidR="00024C0A" w:rsidRDefault="00694C0F">
            <w:pPr>
              <w:pStyle w:val="TableBodyText"/>
            </w:pPr>
            <w:r>
              <w:t>0774</w:t>
            </w:r>
          </w:p>
        </w:tc>
      </w:tr>
      <w:tr w:rsidR="00024C0A" w:rsidTr="00024C0A">
        <w:tc>
          <w:tcPr>
            <w:tcW w:w="0" w:type="auto"/>
            <w:vAlign w:val="center"/>
          </w:tcPr>
          <w:p w:rsidR="00024C0A" w:rsidRDefault="00694C0F">
            <w:pPr>
              <w:pStyle w:val="TableBodyText"/>
            </w:pPr>
            <w:r>
              <w:t>Shading</w:t>
            </w:r>
          </w:p>
        </w:tc>
        <w:tc>
          <w:tcPr>
            <w:tcW w:w="0" w:type="auto"/>
            <w:vAlign w:val="center"/>
          </w:tcPr>
          <w:p w:rsidR="00024C0A" w:rsidRDefault="00694C0F">
            <w:pPr>
              <w:pStyle w:val="TableBodyText"/>
            </w:pPr>
            <w:r>
              <w:t>0222</w:t>
            </w:r>
          </w:p>
        </w:tc>
      </w:tr>
      <w:tr w:rsidR="00024C0A" w:rsidTr="00024C0A">
        <w:tc>
          <w:tcPr>
            <w:tcW w:w="0" w:type="auto"/>
            <w:vAlign w:val="center"/>
          </w:tcPr>
          <w:p w:rsidR="00024C0A" w:rsidRDefault="00694C0F">
            <w:pPr>
              <w:pStyle w:val="TableBodyText"/>
            </w:pPr>
            <w:r>
              <w:t>ShadingColor</w:t>
            </w:r>
          </w:p>
        </w:tc>
        <w:tc>
          <w:tcPr>
            <w:tcW w:w="0" w:type="auto"/>
            <w:vAlign w:val="center"/>
          </w:tcPr>
          <w:p w:rsidR="00024C0A" w:rsidRDefault="00694C0F">
            <w:pPr>
              <w:pStyle w:val="TableBodyText"/>
            </w:pPr>
            <w:r>
              <w:t>0361</w:t>
            </w:r>
          </w:p>
        </w:tc>
      </w:tr>
      <w:tr w:rsidR="00024C0A" w:rsidTr="00024C0A">
        <w:tc>
          <w:tcPr>
            <w:tcW w:w="0" w:type="auto"/>
            <w:vAlign w:val="center"/>
          </w:tcPr>
          <w:p w:rsidR="00024C0A" w:rsidRDefault="00694C0F">
            <w:pPr>
              <w:pStyle w:val="TableBodyText"/>
            </w:pPr>
            <w:r>
              <w:t>ShadingColorPicker</w:t>
            </w:r>
          </w:p>
        </w:tc>
        <w:tc>
          <w:tcPr>
            <w:tcW w:w="0" w:type="auto"/>
            <w:vAlign w:val="center"/>
          </w:tcPr>
          <w:p w:rsidR="00024C0A" w:rsidRDefault="00694C0F">
            <w:pPr>
              <w:pStyle w:val="TableBodyText"/>
            </w:pPr>
            <w:r>
              <w:t>0856</w:t>
            </w:r>
          </w:p>
        </w:tc>
      </w:tr>
      <w:tr w:rsidR="00024C0A" w:rsidTr="00024C0A">
        <w:tc>
          <w:tcPr>
            <w:tcW w:w="0" w:type="auto"/>
            <w:vAlign w:val="center"/>
          </w:tcPr>
          <w:p w:rsidR="00024C0A" w:rsidRDefault="00694C0F">
            <w:pPr>
              <w:pStyle w:val="TableBodyText"/>
            </w:pPr>
            <w:r>
              <w:t>ShadingPattern</w:t>
            </w:r>
          </w:p>
        </w:tc>
        <w:tc>
          <w:tcPr>
            <w:tcW w:w="0" w:type="auto"/>
            <w:vAlign w:val="center"/>
          </w:tcPr>
          <w:p w:rsidR="00024C0A" w:rsidRDefault="00694C0F">
            <w:pPr>
              <w:pStyle w:val="TableBodyText"/>
            </w:pPr>
            <w:r>
              <w:t>01C4</w:t>
            </w:r>
          </w:p>
        </w:tc>
      </w:tr>
      <w:tr w:rsidR="00024C0A" w:rsidTr="00024C0A">
        <w:tc>
          <w:tcPr>
            <w:tcW w:w="0" w:type="auto"/>
            <w:vAlign w:val="center"/>
          </w:tcPr>
          <w:p w:rsidR="00024C0A" w:rsidRDefault="00694C0F">
            <w:pPr>
              <w:pStyle w:val="TableBodyText"/>
            </w:pPr>
            <w:r>
              <w:t>ShadowStyleGallery</w:t>
            </w:r>
          </w:p>
        </w:tc>
        <w:tc>
          <w:tcPr>
            <w:tcW w:w="0" w:type="auto"/>
            <w:vAlign w:val="center"/>
          </w:tcPr>
          <w:p w:rsidR="00024C0A" w:rsidRDefault="00694C0F">
            <w:pPr>
              <w:pStyle w:val="TableBodyText"/>
            </w:pPr>
            <w:r>
              <w:t>08C8</w:t>
            </w:r>
          </w:p>
        </w:tc>
      </w:tr>
      <w:tr w:rsidR="00024C0A" w:rsidTr="00024C0A">
        <w:tc>
          <w:tcPr>
            <w:tcW w:w="0" w:type="auto"/>
            <w:vAlign w:val="center"/>
          </w:tcPr>
          <w:p w:rsidR="00024C0A" w:rsidRDefault="00694C0F">
            <w:pPr>
              <w:pStyle w:val="TableBodyText"/>
            </w:pPr>
            <w:r>
              <w:t>ShapeHeightSpinner</w:t>
            </w:r>
          </w:p>
        </w:tc>
        <w:tc>
          <w:tcPr>
            <w:tcW w:w="0" w:type="auto"/>
            <w:vAlign w:val="center"/>
          </w:tcPr>
          <w:p w:rsidR="00024C0A" w:rsidRDefault="00694C0F">
            <w:pPr>
              <w:pStyle w:val="TableBodyText"/>
            </w:pPr>
            <w:r>
              <w:t>08B6</w:t>
            </w:r>
          </w:p>
        </w:tc>
      </w:tr>
      <w:tr w:rsidR="00024C0A" w:rsidTr="00024C0A">
        <w:tc>
          <w:tcPr>
            <w:tcW w:w="0" w:type="auto"/>
            <w:vAlign w:val="center"/>
          </w:tcPr>
          <w:p w:rsidR="00024C0A" w:rsidRDefault="00694C0F">
            <w:pPr>
              <w:pStyle w:val="TableBodyText"/>
            </w:pPr>
            <w:r>
              <w:t>ShapeStyleGallery</w:t>
            </w:r>
          </w:p>
        </w:tc>
        <w:tc>
          <w:tcPr>
            <w:tcW w:w="0" w:type="auto"/>
            <w:vAlign w:val="center"/>
          </w:tcPr>
          <w:p w:rsidR="00024C0A" w:rsidRDefault="00694C0F">
            <w:pPr>
              <w:pStyle w:val="TableBodyText"/>
            </w:pPr>
            <w:r>
              <w:t>08D2</w:t>
            </w:r>
          </w:p>
        </w:tc>
      </w:tr>
      <w:tr w:rsidR="00024C0A" w:rsidTr="00024C0A">
        <w:tc>
          <w:tcPr>
            <w:tcW w:w="0" w:type="auto"/>
            <w:vAlign w:val="center"/>
          </w:tcPr>
          <w:p w:rsidR="00024C0A" w:rsidRDefault="00694C0F">
            <w:pPr>
              <w:pStyle w:val="TableBodyText"/>
            </w:pPr>
            <w:r>
              <w:t>ShapeWidthSpinner</w:t>
            </w:r>
          </w:p>
        </w:tc>
        <w:tc>
          <w:tcPr>
            <w:tcW w:w="0" w:type="auto"/>
            <w:vAlign w:val="center"/>
          </w:tcPr>
          <w:p w:rsidR="00024C0A" w:rsidRDefault="00694C0F">
            <w:pPr>
              <w:pStyle w:val="TableBodyText"/>
            </w:pPr>
            <w:r>
              <w:t>08B7</w:t>
            </w:r>
          </w:p>
        </w:tc>
      </w:tr>
      <w:tr w:rsidR="00024C0A" w:rsidTr="00024C0A">
        <w:tc>
          <w:tcPr>
            <w:tcW w:w="0" w:type="auto"/>
            <w:vAlign w:val="center"/>
          </w:tcPr>
          <w:p w:rsidR="00024C0A" w:rsidRDefault="00694C0F">
            <w:pPr>
              <w:pStyle w:val="TableBodyText"/>
            </w:pPr>
            <w:r>
              <w:t>ShowAddInsXDialog</w:t>
            </w:r>
          </w:p>
        </w:tc>
        <w:tc>
          <w:tcPr>
            <w:tcW w:w="0" w:type="auto"/>
            <w:vAlign w:val="center"/>
          </w:tcPr>
          <w:p w:rsidR="00024C0A" w:rsidRDefault="00694C0F">
            <w:pPr>
              <w:pStyle w:val="TableBodyText"/>
            </w:pPr>
            <w:r>
              <w:t>03A8</w:t>
            </w:r>
          </w:p>
        </w:tc>
      </w:tr>
      <w:tr w:rsidR="00024C0A" w:rsidTr="00024C0A">
        <w:tc>
          <w:tcPr>
            <w:tcW w:w="0" w:type="auto"/>
            <w:vAlign w:val="center"/>
          </w:tcPr>
          <w:p w:rsidR="00024C0A" w:rsidRDefault="00694C0F">
            <w:pPr>
              <w:pStyle w:val="TableBodyText"/>
            </w:pPr>
            <w:r>
              <w:t>ShowAll</w:t>
            </w:r>
          </w:p>
        </w:tc>
        <w:tc>
          <w:tcPr>
            <w:tcW w:w="0" w:type="auto"/>
            <w:vAlign w:val="center"/>
          </w:tcPr>
          <w:p w:rsidR="00024C0A" w:rsidRDefault="00694C0F">
            <w:pPr>
              <w:pStyle w:val="TableBodyText"/>
            </w:pPr>
            <w:r>
              <w:t>0114</w:t>
            </w:r>
          </w:p>
        </w:tc>
      </w:tr>
      <w:tr w:rsidR="00024C0A" w:rsidTr="00024C0A">
        <w:tc>
          <w:tcPr>
            <w:tcW w:w="0" w:type="auto"/>
            <w:vAlign w:val="center"/>
          </w:tcPr>
          <w:p w:rsidR="00024C0A" w:rsidRDefault="00694C0F">
            <w:pPr>
              <w:pStyle w:val="TableBodyText"/>
            </w:pPr>
            <w:r>
              <w:lastRenderedPageBreak/>
              <w:t>ShowAllAuthors</w:t>
            </w:r>
          </w:p>
        </w:tc>
        <w:tc>
          <w:tcPr>
            <w:tcW w:w="0" w:type="auto"/>
            <w:vAlign w:val="center"/>
          </w:tcPr>
          <w:p w:rsidR="00024C0A" w:rsidRDefault="00694C0F">
            <w:pPr>
              <w:pStyle w:val="TableBodyText"/>
            </w:pPr>
            <w:r>
              <w:t>0539</w:t>
            </w:r>
          </w:p>
        </w:tc>
      </w:tr>
      <w:tr w:rsidR="00024C0A" w:rsidTr="00024C0A">
        <w:tc>
          <w:tcPr>
            <w:tcW w:w="0" w:type="auto"/>
            <w:vAlign w:val="center"/>
          </w:tcPr>
          <w:p w:rsidR="00024C0A" w:rsidRDefault="00694C0F">
            <w:pPr>
              <w:pStyle w:val="TableBodyText"/>
            </w:pPr>
            <w:r>
              <w:t>ShowAllConsistency</w:t>
            </w:r>
          </w:p>
        </w:tc>
        <w:tc>
          <w:tcPr>
            <w:tcW w:w="0" w:type="auto"/>
            <w:vAlign w:val="center"/>
          </w:tcPr>
          <w:p w:rsidR="00024C0A" w:rsidRDefault="00694C0F">
            <w:pPr>
              <w:pStyle w:val="TableBodyText"/>
            </w:pPr>
            <w:r>
              <w:t>0494</w:t>
            </w:r>
          </w:p>
        </w:tc>
      </w:tr>
      <w:tr w:rsidR="00024C0A" w:rsidTr="00024C0A">
        <w:tc>
          <w:tcPr>
            <w:tcW w:w="0" w:type="auto"/>
            <w:vAlign w:val="center"/>
          </w:tcPr>
          <w:p w:rsidR="00024C0A" w:rsidRDefault="00694C0F">
            <w:pPr>
              <w:pStyle w:val="TableBodyText"/>
            </w:pPr>
            <w:r>
              <w:t>ShowAllHeadings</w:t>
            </w:r>
          </w:p>
        </w:tc>
        <w:tc>
          <w:tcPr>
            <w:tcW w:w="0" w:type="auto"/>
            <w:vAlign w:val="center"/>
          </w:tcPr>
          <w:p w:rsidR="00024C0A" w:rsidRDefault="00694C0F">
            <w:pPr>
              <w:pStyle w:val="TableBodyText"/>
            </w:pPr>
            <w:r>
              <w:t>0104</w:t>
            </w:r>
          </w:p>
        </w:tc>
      </w:tr>
      <w:tr w:rsidR="00024C0A" w:rsidTr="00024C0A">
        <w:tc>
          <w:tcPr>
            <w:tcW w:w="0" w:type="auto"/>
            <w:vAlign w:val="center"/>
          </w:tcPr>
          <w:p w:rsidR="00024C0A" w:rsidRDefault="00694C0F">
            <w:pPr>
              <w:pStyle w:val="TableBodyText"/>
            </w:pPr>
            <w:r>
              <w:t>ShowChangesAndComments</w:t>
            </w:r>
          </w:p>
        </w:tc>
        <w:tc>
          <w:tcPr>
            <w:tcW w:w="0" w:type="auto"/>
            <w:vAlign w:val="center"/>
          </w:tcPr>
          <w:p w:rsidR="00024C0A" w:rsidRDefault="00694C0F">
            <w:pPr>
              <w:pStyle w:val="TableBodyText"/>
            </w:pPr>
            <w:r>
              <w:t>0508</w:t>
            </w:r>
          </w:p>
        </w:tc>
      </w:tr>
      <w:tr w:rsidR="00024C0A" w:rsidTr="00024C0A">
        <w:tc>
          <w:tcPr>
            <w:tcW w:w="0" w:type="auto"/>
            <w:vAlign w:val="center"/>
          </w:tcPr>
          <w:p w:rsidR="00024C0A" w:rsidRDefault="00694C0F">
            <w:pPr>
              <w:pStyle w:val="TableBodyText"/>
            </w:pPr>
            <w:r>
              <w:t>ShowComments</w:t>
            </w:r>
          </w:p>
        </w:tc>
        <w:tc>
          <w:tcPr>
            <w:tcW w:w="0" w:type="auto"/>
            <w:vAlign w:val="center"/>
          </w:tcPr>
          <w:p w:rsidR="00024C0A" w:rsidRDefault="00694C0F">
            <w:pPr>
              <w:pStyle w:val="TableBodyText"/>
            </w:pPr>
            <w:r>
              <w:t>0509</w:t>
            </w:r>
          </w:p>
        </w:tc>
      </w:tr>
      <w:tr w:rsidR="00024C0A" w:rsidTr="00024C0A">
        <w:tc>
          <w:tcPr>
            <w:tcW w:w="0" w:type="auto"/>
            <w:vAlign w:val="center"/>
          </w:tcPr>
          <w:p w:rsidR="00024C0A" w:rsidRDefault="00694C0F">
            <w:pPr>
              <w:pStyle w:val="TableBodyText"/>
            </w:pPr>
            <w:r>
              <w:t>ShowConsistency</w:t>
            </w:r>
          </w:p>
        </w:tc>
        <w:tc>
          <w:tcPr>
            <w:tcW w:w="0" w:type="auto"/>
            <w:vAlign w:val="center"/>
          </w:tcPr>
          <w:p w:rsidR="00024C0A" w:rsidRDefault="00694C0F">
            <w:pPr>
              <w:pStyle w:val="TableBodyText"/>
            </w:pPr>
            <w:r>
              <w:t>0461</w:t>
            </w:r>
          </w:p>
        </w:tc>
      </w:tr>
      <w:tr w:rsidR="00024C0A" w:rsidTr="00024C0A">
        <w:tc>
          <w:tcPr>
            <w:tcW w:w="0" w:type="auto"/>
            <w:vAlign w:val="center"/>
          </w:tcPr>
          <w:p w:rsidR="00024C0A" w:rsidRDefault="00694C0F">
            <w:pPr>
              <w:pStyle w:val="TableBodyText"/>
            </w:pPr>
            <w:r>
              <w:t>ShowFormatting</w:t>
            </w:r>
          </w:p>
        </w:tc>
        <w:tc>
          <w:tcPr>
            <w:tcW w:w="0" w:type="auto"/>
            <w:vAlign w:val="center"/>
          </w:tcPr>
          <w:p w:rsidR="00024C0A" w:rsidRDefault="00694C0F">
            <w:pPr>
              <w:pStyle w:val="TableBodyText"/>
            </w:pPr>
            <w:r>
              <w:t>050B</w:t>
            </w:r>
          </w:p>
        </w:tc>
      </w:tr>
      <w:tr w:rsidR="00024C0A" w:rsidTr="00024C0A">
        <w:tc>
          <w:tcPr>
            <w:tcW w:w="0" w:type="auto"/>
            <w:vAlign w:val="center"/>
          </w:tcPr>
          <w:p w:rsidR="00024C0A" w:rsidRDefault="00694C0F">
            <w:pPr>
              <w:pStyle w:val="TableBodyText"/>
            </w:pPr>
            <w:r>
              <w:t>ShowHeading1</w:t>
            </w:r>
          </w:p>
        </w:tc>
        <w:tc>
          <w:tcPr>
            <w:tcW w:w="0" w:type="auto"/>
            <w:vAlign w:val="center"/>
          </w:tcPr>
          <w:p w:rsidR="00024C0A" w:rsidRDefault="00694C0F">
            <w:pPr>
              <w:pStyle w:val="TableBodyText"/>
            </w:pPr>
            <w:r>
              <w:t>00FB</w:t>
            </w:r>
          </w:p>
        </w:tc>
      </w:tr>
      <w:tr w:rsidR="00024C0A" w:rsidTr="00024C0A">
        <w:tc>
          <w:tcPr>
            <w:tcW w:w="0" w:type="auto"/>
            <w:vAlign w:val="center"/>
          </w:tcPr>
          <w:p w:rsidR="00024C0A" w:rsidRDefault="00694C0F">
            <w:pPr>
              <w:pStyle w:val="TableBodyText"/>
            </w:pPr>
            <w:r>
              <w:t>ShowHeading2</w:t>
            </w:r>
          </w:p>
        </w:tc>
        <w:tc>
          <w:tcPr>
            <w:tcW w:w="0" w:type="auto"/>
            <w:vAlign w:val="center"/>
          </w:tcPr>
          <w:p w:rsidR="00024C0A" w:rsidRDefault="00694C0F">
            <w:pPr>
              <w:pStyle w:val="TableBodyText"/>
            </w:pPr>
            <w:r>
              <w:t>00FC</w:t>
            </w:r>
          </w:p>
        </w:tc>
      </w:tr>
      <w:tr w:rsidR="00024C0A" w:rsidTr="00024C0A">
        <w:tc>
          <w:tcPr>
            <w:tcW w:w="0" w:type="auto"/>
            <w:vAlign w:val="center"/>
          </w:tcPr>
          <w:p w:rsidR="00024C0A" w:rsidRDefault="00694C0F">
            <w:pPr>
              <w:pStyle w:val="TableBodyText"/>
            </w:pPr>
            <w:r>
              <w:t>ShowHeading3</w:t>
            </w:r>
          </w:p>
        </w:tc>
        <w:tc>
          <w:tcPr>
            <w:tcW w:w="0" w:type="auto"/>
            <w:vAlign w:val="center"/>
          </w:tcPr>
          <w:p w:rsidR="00024C0A" w:rsidRDefault="00694C0F">
            <w:pPr>
              <w:pStyle w:val="TableBodyText"/>
            </w:pPr>
            <w:r>
              <w:t>00FD</w:t>
            </w:r>
          </w:p>
        </w:tc>
      </w:tr>
      <w:tr w:rsidR="00024C0A" w:rsidTr="00024C0A">
        <w:tc>
          <w:tcPr>
            <w:tcW w:w="0" w:type="auto"/>
            <w:vAlign w:val="center"/>
          </w:tcPr>
          <w:p w:rsidR="00024C0A" w:rsidRDefault="00694C0F">
            <w:pPr>
              <w:pStyle w:val="TableBodyText"/>
            </w:pPr>
            <w:r>
              <w:t>ShowHeading4</w:t>
            </w:r>
          </w:p>
        </w:tc>
        <w:tc>
          <w:tcPr>
            <w:tcW w:w="0" w:type="auto"/>
            <w:vAlign w:val="center"/>
          </w:tcPr>
          <w:p w:rsidR="00024C0A" w:rsidRDefault="00694C0F">
            <w:pPr>
              <w:pStyle w:val="TableBodyText"/>
            </w:pPr>
            <w:r>
              <w:t>00FE</w:t>
            </w:r>
          </w:p>
        </w:tc>
      </w:tr>
      <w:tr w:rsidR="00024C0A" w:rsidTr="00024C0A">
        <w:tc>
          <w:tcPr>
            <w:tcW w:w="0" w:type="auto"/>
            <w:vAlign w:val="center"/>
          </w:tcPr>
          <w:p w:rsidR="00024C0A" w:rsidRDefault="00694C0F">
            <w:pPr>
              <w:pStyle w:val="TableBodyText"/>
            </w:pPr>
            <w:r>
              <w:t>ShowHeading5</w:t>
            </w:r>
          </w:p>
        </w:tc>
        <w:tc>
          <w:tcPr>
            <w:tcW w:w="0" w:type="auto"/>
            <w:vAlign w:val="center"/>
          </w:tcPr>
          <w:p w:rsidR="00024C0A" w:rsidRDefault="00694C0F">
            <w:pPr>
              <w:pStyle w:val="TableBodyText"/>
            </w:pPr>
            <w:r>
              <w:t>00FF</w:t>
            </w:r>
          </w:p>
        </w:tc>
      </w:tr>
      <w:tr w:rsidR="00024C0A" w:rsidTr="00024C0A">
        <w:tc>
          <w:tcPr>
            <w:tcW w:w="0" w:type="auto"/>
            <w:vAlign w:val="center"/>
          </w:tcPr>
          <w:p w:rsidR="00024C0A" w:rsidRDefault="00694C0F">
            <w:pPr>
              <w:pStyle w:val="TableBodyText"/>
            </w:pPr>
            <w:r>
              <w:t>ShowHeading6</w:t>
            </w:r>
          </w:p>
        </w:tc>
        <w:tc>
          <w:tcPr>
            <w:tcW w:w="0" w:type="auto"/>
            <w:vAlign w:val="center"/>
          </w:tcPr>
          <w:p w:rsidR="00024C0A" w:rsidRDefault="00694C0F">
            <w:pPr>
              <w:pStyle w:val="TableBodyText"/>
            </w:pPr>
            <w:r>
              <w:t>0100</w:t>
            </w:r>
          </w:p>
        </w:tc>
      </w:tr>
      <w:tr w:rsidR="00024C0A" w:rsidTr="00024C0A">
        <w:tc>
          <w:tcPr>
            <w:tcW w:w="0" w:type="auto"/>
            <w:vAlign w:val="center"/>
          </w:tcPr>
          <w:p w:rsidR="00024C0A" w:rsidRDefault="00694C0F">
            <w:pPr>
              <w:pStyle w:val="TableBodyText"/>
            </w:pPr>
            <w:r>
              <w:t>ShowHeading7</w:t>
            </w:r>
          </w:p>
        </w:tc>
        <w:tc>
          <w:tcPr>
            <w:tcW w:w="0" w:type="auto"/>
            <w:vAlign w:val="center"/>
          </w:tcPr>
          <w:p w:rsidR="00024C0A" w:rsidRDefault="00694C0F">
            <w:pPr>
              <w:pStyle w:val="TableBodyText"/>
            </w:pPr>
            <w:r>
              <w:t>0101</w:t>
            </w:r>
          </w:p>
        </w:tc>
      </w:tr>
      <w:tr w:rsidR="00024C0A" w:rsidTr="00024C0A">
        <w:tc>
          <w:tcPr>
            <w:tcW w:w="0" w:type="auto"/>
            <w:vAlign w:val="center"/>
          </w:tcPr>
          <w:p w:rsidR="00024C0A" w:rsidRDefault="00694C0F">
            <w:pPr>
              <w:pStyle w:val="TableBodyText"/>
            </w:pPr>
            <w:r>
              <w:t>ShowHeading8</w:t>
            </w:r>
          </w:p>
        </w:tc>
        <w:tc>
          <w:tcPr>
            <w:tcW w:w="0" w:type="auto"/>
            <w:vAlign w:val="center"/>
          </w:tcPr>
          <w:p w:rsidR="00024C0A" w:rsidRDefault="00694C0F">
            <w:pPr>
              <w:pStyle w:val="TableBodyText"/>
            </w:pPr>
            <w:r>
              <w:t>0102</w:t>
            </w:r>
          </w:p>
        </w:tc>
      </w:tr>
      <w:tr w:rsidR="00024C0A" w:rsidTr="00024C0A">
        <w:tc>
          <w:tcPr>
            <w:tcW w:w="0" w:type="auto"/>
            <w:vAlign w:val="center"/>
          </w:tcPr>
          <w:p w:rsidR="00024C0A" w:rsidRDefault="00694C0F">
            <w:pPr>
              <w:pStyle w:val="TableBodyText"/>
            </w:pPr>
            <w:r>
              <w:t>ShowHeading9</w:t>
            </w:r>
          </w:p>
        </w:tc>
        <w:tc>
          <w:tcPr>
            <w:tcW w:w="0" w:type="auto"/>
            <w:vAlign w:val="center"/>
          </w:tcPr>
          <w:p w:rsidR="00024C0A" w:rsidRDefault="00694C0F">
            <w:pPr>
              <w:pStyle w:val="TableBodyText"/>
            </w:pPr>
            <w:r>
              <w:t>0103</w:t>
            </w:r>
          </w:p>
        </w:tc>
      </w:tr>
      <w:tr w:rsidR="00024C0A" w:rsidTr="00024C0A">
        <w:tc>
          <w:tcPr>
            <w:tcW w:w="0" w:type="auto"/>
            <w:vAlign w:val="center"/>
          </w:tcPr>
          <w:p w:rsidR="00024C0A" w:rsidRDefault="00694C0F">
            <w:pPr>
              <w:pStyle w:val="TableBodyText"/>
            </w:pPr>
            <w:r>
              <w:t>ShowInkAnnotations</w:t>
            </w:r>
          </w:p>
        </w:tc>
        <w:tc>
          <w:tcPr>
            <w:tcW w:w="0" w:type="auto"/>
            <w:vAlign w:val="center"/>
          </w:tcPr>
          <w:p w:rsidR="00024C0A" w:rsidRDefault="00694C0F">
            <w:pPr>
              <w:pStyle w:val="TableBodyText"/>
            </w:pPr>
            <w:r>
              <w:t>05AA</w:t>
            </w:r>
          </w:p>
        </w:tc>
      </w:tr>
      <w:tr w:rsidR="00024C0A" w:rsidTr="00024C0A">
        <w:tc>
          <w:tcPr>
            <w:tcW w:w="0" w:type="auto"/>
            <w:vAlign w:val="center"/>
          </w:tcPr>
          <w:p w:rsidR="00024C0A" w:rsidRDefault="00694C0F">
            <w:pPr>
              <w:pStyle w:val="TableBodyText"/>
            </w:pPr>
            <w:r>
              <w:t>ShowInsertionsAndDeletions</w:t>
            </w:r>
          </w:p>
        </w:tc>
        <w:tc>
          <w:tcPr>
            <w:tcW w:w="0" w:type="auto"/>
            <w:vAlign w:val="center"/>
          </w:tcPr>
          <w:p w:rsidR="00024C0A" w:rsidRDefault="00694C0F">
            <w:pPr>
              <w:pStyle w:val="TableBodyText"/>
            </w:pPr>
            <w:r>
              <w:t>050A</w:t>
            </w:r>
          </w:p>
        </w:tc>
      </w:tr>
      <w:tr w:rsidR="00024C0A" w:rsidTr="00024C0A">
        <w:tc>
          <w:tcPr>
            <w:tcW w:w="0" w:type="auto"/>
            <w:vAlign w:val="center"/>
          </w:tcPr>
          <w:p w:rsidR="00024C0A" w:rsidRDefault="00694C0F">
            <w:pPr>
              <w:pStyle w:val="TableBodyText"/>
            </w:pPr>
            <w:r>
              <w:t>ShowLevel</w:t>
            </w:r>
          </w:p>
        </w:tc>
        <w:tc>
          <w:tcPr>
            <w:tcW w:w="0" w:type="auto"/>
            <w:vAlign w:val="center"/>
          </w:tcPr>
          <w:p w:rsidR="00024C0A" w:rsidRDefault="00694C0F">
            <w:pPr>
              <w:pStyle w:val="TableBodyText"/>
            </w:pPr>
            <w:r>
              <w:t>0570</w:t>
            </w:r>
          </w:p>
        </w:tc>
      </w:tr>
      <w:tr w:rsidR="00024C0A" w:rsidTr="00024C0A">
        <w:tc>
          <w:tcPr>
            <w:tcW w:w="0" w:type="auto"/>
            <w:vAlign w:val="center"/>
          </w:tcPr>
          <w:p w:rsidR="00024C0A" w:rsidRDefault="00694C0F">
            <w:pPr>
              <w:pStyle w:val="TableBodyText"/>
            </w:pPr>
            <w:r>
              <w:t>ShowMarkupArea</w:t>
            </w:r>
          </w:p>
        </w:tc>
        <w:tc>
          <w:tcPr>
            <w:tcW w:w="0" w:type="auto"/>
            <w:vAlign w:val="center"/>
          </w:tcPr>
          <w:p w:rsidR="00024C0A" w:rsidRDefault="00694C0F">
            <w:pPr>
              <w:pStyle w:val="TableBodyText"/>
            </w:pPr>
            <w:r>
              <w:t>0791</w:t>
            </w:r>
          </w:p>
        </w:tc>
      </w:tr>
      <w:tr w:rsidR="00024C0A" w:rsidTr="00024C0A">
        <w:tc>
          <w:tcPr>
            <w:tcW w:w="0" w:type="auto"/>
            <w:vAlign w:val="center"/>
          </w:tcPr>
          <w:p w:rsidR="00024C0A" w:rsidRDefault="00694C0F">
            <w:pPr>
              <w:pStyle w:val="TableBodyText"/>
            </w:pPr>
            <w:r>
              <w:t>ShowMe</w:t>
            </w:r>
          </w:p>
        </w:tc>
        <w:tc>
          <w:tcPr>
            <w:tcW w:w="0" w:type="auto"/>
            <w:vAlign w:val="center"/>
          </w:tcPr>
          <w:p w:rsidR="00024C0A" w:rsidRDefault="00694C0F">
            <w:pPr>
              <w:pStyle w:val="TableBodyText"/>
            </w:pPr>
            <w:r>
              <w:t>0FE4</w:t>
            </w:r>
          </w:p>
        </w:tc>
      </w:tr>
      <w:tr w:rsidR="00024C0A" w:rsidTr="00024C0A">
        <w:tc>
          <w:tcPr>
            <w:tcW w:w="0" w:type="auto"/>
            <w:vAlign w:val="center"/>
          </w:tcPr>
          <w:p w:rsidR="00024C0A" w:rsidRDefault="00694C0F">
            <w:pPr>
              <w:pStyle w:val="TableBodyText"/>
            </w:pPr>
            <w:r>
              <w:t>ShowNextHeaderFooter</w:t>
            </w:r>
          </w:p>
        </w:tc>
        <w:tc>
          <w:tcPr>
            <w:tcW w:w="0" w:type="auto"/>
            <w:vAlign w:val="center"/>
          </w:tcPr>
          <w:p w:rsidR="00024C0A" w:rsidRDefault="00694C0F">
            <w:pPr>
              <w:pStyle w:val="TableBodyText"/>
            </w:pPr>
            <w:r>
              <w:t>024D</w:t>
            </w:r>
          </w:p>
        </w:tc>
      </w:tr>
      <w:tr w:rsidR="00024C0A" w:rsidTr="00024C0A">
        <w:tc>
          <w:tcPr>
            <w:tcW w:w="0" w:type="auto"/>
            <w:vAlign w:val="center"/>
          </w:tcPr>
          <w:p w:rsidR="00024C0A" w:rsidRDefault="00694C0F">
            <w:pPr>
              <w:pStyle w:val="TableBodyText"/>
            </w:pPr>
            <w:r>
              <w:t>ShowPara</w:t>
            </w:r>
          </w:p>
        </w:tc>
        <w:tc>
          <w:tcPr>
            <w:tcW w:w="0" w:type="auto"/>
            <w:vAlign w:val="center"/>
          </w:tcPr>
          <w:p w:rsidR="00024C0A" w:rsidRDefault="00694C0F">
            <w:pPr>
              <w:pStyle w:val="TableBodyText"/>
            </w:pPr>
            <w:r>
              <w:t>037A</w:t>
            </w:r>
          </w:p>
        </w:tc>
      </w:tr>
      <w:tr w:rsidR="00024C0A" w:rsidTr="00024C0A">
        <w:tc>
          <w:tcPr>
            <w:tcW w:w="0" w:type="auto"/>
            <w:vAlign w:val="center"/>
          </w:tcPr>
          <w:p w:rsidR="00024C0A" w:rsidRDefault="00694C0F">
            <w:pPr>
              <w:pStyle w:val="TableBodyText"/>
            </w:pPr>
            <w:r>
              <w:t>ShowPictureTools</w:t>
            </w:r>
          </w:p>
        </w:tc>
        <w:tc>
          <w:tcPr>
            <w:tcW w:w="0" w:type="auto"/>
            <w:vAlign w:val="center"/>
          </w:tcPr>
          <w:p w:rsidR="00024C0A" w:rsidRDefault="00694C0F">
            <w:pPr>
              <w:pStyle w:val="TableBodyText"/>
            </w:pPr>
            <w:r>
              <w:t>04DB</w:t>
            </w:r>
          </w:p>
        </w:tc>
      </w:tr>
      <w:tr w:rsidR="00024C0A" w:rsidTr="00024C0A">
        <w:tc>
          <w:tcPr>
            <w:tcW w:w="0" w:type="auto"/>
            <w:vAlign w:val="center"/>
          </w:tcPr>
          <w:p w:rsidR="00024C0A" w:rsidRDefault="00694C0F">
            <w:pPr>
              <w:pStyle w:val="TableBodyText"/>
            </w:pPr>
            <w:r>
              <w:t>ShowPrevHeaderFooter</w:t>
            </w:r>
          </w:p>
        </w:tc>
        <w:tc>
          <w:tcPr>
            <w:tcW w:w="0" w:type="auto"/>
            <w:vAlign w:val="center"/>
          </w:tcPr>
          <w:p w:rsidR="00024C0A" w:rsidRDefault="00694C0F">
            <w:pPr>
              <w:pStyle w:val="TableBodyText"/>
            </w:pPr>
            <w:r>
              <w:t>024C</w:t>
            </w:r>
          </w:p>
        </w:tc>
      </w:tr>
      <w:tr w:rsidR="00024C0A" w:rsidTr="00024C0A">
        <w:tc>
          <w:tcPr>
            <w:tcW w:w="0" w:type="auto"/>
            <w:vAlign w:val="center"/>
          </w:tcPr>
          <w:p w:rsidR="00024C0A" w:rsidRDefault="00694C0F">
            <w:pPr>
              <w:pStyle w:val="TableBodyText"/>
            </w:pPr>
            <w:r>
              <w:t>ShowPropertyBrowser</w:t>
            </w:r>
          </w:p>
        </w:tc>
        <w:tc>
          <w:tcPr>
            <w:tcW w:w="0" w:type="auto"/>
            <w:vAlign w:val="center"/>
          </w:tcPr>
          <w:p w:rsidR="00024C0A" w:rsidRDefault="00694C0F">
            <w:pPr>
              <w:pStyle w:val="TableBodyText"/>
            </w:pPr>
            <w:r>
              <w:t>1BB0</w:t>
            </w:r>
          </w:p>
        </w:tc>
      </w:tr>
      <w:tr w:rsidR="00024C0A" w:rsidTr="00024C0A">
        <w:tc>
          <w:tcPr>
            <w:tcW w:w="0" w:type="auto"/>
            <w:vAlign w:val="center"/>
          </w:tcPr>
          <w:p w:rsidR="00024C0A" w:rsidRDefault="00694C0F">
            <w:pPr>
              <w:pStyle w:val="TableBodyText"/>
            </w:pPr>
            <w:r>
              <w:t>ShowRepairs</w:t>
            </w:r>
          </w:p>
        </w:tc>
        <w:tc>
          <w:tcPr>
            <w:tcW w:w="0" w:type="auto"/>
            <w:vAlign w:val="center"/>
          </w:tcPr>
          <w:p w:rsidR="00024C0A" w:rsidRDefault="00694C0F">
            <w:pPr>
              <w:pStyle w:val="TableBodyText"/>
            </w:pPr>
            <w:r>
              <w:t>0565</w:t>
            </w:r>
          </w:p>
        </w:tc>
      </w:tr>
      <w:tr w:rsidR="00024C0A" w:rsidTr="00024C0A">
        <w:tc>
          <w:tcPr>
            <w:tcW w:w="0" w:type="auto"/>
            <w:vAlign w:val="center"/>
          </w:tcPr>
          <w:p w:rsidR="00024C0A" w:rsidRDefault="00694C0F">
            <w:pPr>
              <w:pStyle w:val="TableBodyText"/>
            </w:pPr>
            <w:r>
              <w:t>ShowReviewerFilter</w:t>
            </w:r>
          </w:p>
        </w:tc>
        <w:tc>
          <w:tcPr>
            <w:tcW w:w="0" w:type="auto"/>
            <w:vAlign w:val="center"/>
          </w:tcPr>
          <w:p w:rsidR="00024C0A" w:rsidRDefault="00694C0F">
            <w:pPr>
              <w:pStyle w:val="TableBodyText"/>
            </w:pPr>
            <w:r>
              <w:t>0846</w:t>
            </w:r>
          </w:p>
        </w:tc>
      </w:tr>
      <w:tr w:rsidR="00024C0A" w:rsidTr="00024C0A">
        <w:tc>
          <w:tcPr>
            <w:tcW w:w="0" w:type="auto"/>
            <w:vAlign w:val="center"/>
          </w:tcPr>
          <w:p w:rsidR="00024C0A" w:rsidRDefault="00694C0F">
            <w:pPr>
              <w:pStyle w:val="TableBodyText"/>
            </w:pPr>
            <w:r>
              <w:t>ShowScriptAnchor</w:t>
            </w:r>
          </w:p>
        </w:tc>
        <w:tc>
          <w:tcPr>
            <w:tcW w:w="0" w:type="auto"/>
            <w:vAlign w:val="center"/>
          </w:tcPr>
          <w:p w:rsidR="00024C0A" w:rsidRDefault="00694C0F">
            <w:pPr>
              <w:pStyle w:val="TableBodyText"/>
            </w:pPr>
            <w:r>
              <w:t>0456</w:t>
            </w:r>
          </w:p>
        </w:tc>
      </w:tr>
      <w:tr w:rsidR="00024C0A" w:rsidTr="00024C0A">
        <w:tc>
          <w:tcPr>
            <w:tcW w:w="0" w:type="auto"/>
            <w:vAlign w:val="center"/>
          </w:tcPr>
          <w:p w:rsidR="00024C0A" w:rsidRDefault="00694C0F">
            <w:pPr>
              <w:pStyle w:val="TableBodyText"/>
            </w:pPr>
            <w:r>
              <w:t>ShowSmPane</w:t>
            </w:r>
          </w:p>
        </w:tc>
        <w:tc>
          <w:tcPr>
            <w:tcW w:w="0" w:type="auto"/>
            <w:vAlign w:val="center"/>
          </w:tcPr>
          <w:p w:rsidR="00024C0A" w:rsidRDefault="00694C0F">
            <w:pPr>
              <w:pStyle w:val="TableBodyText"/>
            </w:pPr>
            <w:r>
              <w:t>052F</w:t>
            </w:r>
          </w:p>
        </w:tc>
      </w:tr>
      <w:tr w:rsidR="00024C0A" w:rsidTr="00024C0A">
        <w:tc>
          <w:tcPr>
            <w:tcW w:w="0" w:type="auto"/>
            <w:vAlign w:val="center"/>
          </w:tcPr>
          <w:p w:rsidR="00024C0A" w:rsidRDefault="00694C0F">
            <w:pPr>
              <w:pStyle w:val="TableBodyText"/>
            </w:pPr>
            <w:r>
              <w:t>ShowTableGridlines</w:t>
            </w:r>
          </w:p>
        </w:tc>
        <w:tc>
          <w:tcPr>
            <w:tcW w:w="0" w:type="auto"/>
            <w:vAlign w:val="center"/>
          </w:tcPr>
          <w:p w:rsidR="00024C0A" w:rsidRDefault="00694C0F">
            <w:pPr>
              <w:pStyle w:val="TableBodyText"/>
            </w:pPr>
            <w:r>
              <w:t>0351</w:t>
            </w:r>
          </w:p>
        </w:tc>
      </w:tr>
      <w:tr w:rsidR="00024C0A" w:rsidTr="00024C0A">
        <w:tc>
          <w:tcPr>
            <w:tcW w:w="0" w:type="auto"/>
            <w:vAlign w:val="center"/>
          </w:tcPr>
          <w:p w:rsidR="00024C0A" w:rsidRDefault="00694C0F">
            <w:pPr>
              <w:pStyle w:val="TableBodyText"/>
            </w:pPr>
            <w:r>
              <w:t>ShowTableTools</w:t>
            </w:r>
          </w:p>
        </w:tc>
        <w:tc>
          <w:tcPr>
            <w:tcW w:w="0" w:type="auto"/>
            <w:vAlign w:val="center"/>
          </w:tcPr>
          <w:p w:rsidR="00024C0A" w:rsidRDefault="00694C0F">
            <w:pPr>
              <w:pStyle w:val="TableBodyText"/>
            </w:pPr>
            <w:r>
              <w:t>04DA</w:t>
            </w:r>
          </w:p>
        </w:tc>
      </w:tr>
      <w:tr w:rsidR="00024C0A" w:rsidTr="00024C0A">
        <w:tc>
          <w:tcPr>
            <w:tcW w:w="0" w:type="auto"/>
            <w:vAlign w:val="center"/>
          </w:tcPr>
          <w:p w:rsidR="00024C0A" w:rsidRDefault="00694C0F">
            <w:pPr>
              <w:pStyle w:val="TableBodyText"/>
            </w:pPr>
            <w:r>
              <w:lastRenderedPageBreak/>
              <w:t>ShowTasks</w:t>
            </w:r>
          </w:p>
        </w:tc>
        <w:tc>
          <w:tcPr>
            <w:tcW w:w="0" w:type="auto"/>
            <w:vAlign w:val="center"/>
          </w:tcPr>
          <w:p w:rsidR="00024C0A" w:rsidRDefault="00694C0F">
            <w:pPr>
              <w:pStyle w:val="TableBodyText"/>
            </w:pPr>
            <w:r>
              <w:t>0779</w:t>
            </w:r>
          </w:p>
        </w:tc>
      </w:tr>
      <w:tr w:rsidR="00024C0A" w:rsidTr="00024C0A">
        <w:tc>
          <w:tcPr>
            <w:tcW w:w="0" w:type="auto"/>
            <w:vAlign w:val="center"/>
          </w:tcPr>
          <w:p w:rsidR="00024C0A" w:rsidRDefault="00694C0F">
            <w:pPr>
              <w:pStyle w:val="TableBodyText"/>
            </w:pPr>
            <w:r>
              <w:t>ShowVars</w:t>
            </w:r>
          </w:p>
        </w:tc>
        <w:tc>
          <w:tcPr>
            <w:tcW w:w="0" w:type="auto"/>
            <w:vAlign w:val="center"/>
          </w:tcPr>
          <w:p w:rsidR="00024C0A" w:rsidRDefault="00694C0F">
            <w:pPr>
              <w:pStyle w:val="TableBodyText"/>
            </w:pPr>
            <w:r>
              <w:t>0107</w:t>
            </w:r>
          </w:p>
        </w:tc>
      </w:tr>
      <w:tr w:rsidR="00024C0A" w:rsidTr="00024C0A">
        <w:tc>
          <w:tcPr>
            <w:tcW w:w="0" w:type="auto"/>
            <w:vAlign w:val="center"/>
          </w:tcPr>
          <w:p w:rsidR="00024C0A" w:rsidRDefault="00694C0F">
            <w:pPr>
              <w:pStyle w:val="TableBodyText"/>
            </w:pPr>
            <w:r>
              <w:t>ShrinkFont</w:t>
            </w:r>
          </w:p>
        </w:tc>
        <w:tc>
          <w:tcPr>
            <w:tcW w:w="0" w:type="auto"/>
            <w:vAlign w:val="center"/>
          </w:tcPr>
          <w:p w:rsidR="00024C0A" w:rsidRDefault="00694C0F">
            <w:pPr>
              <w:pStyle w:val="TableBodyText"/>
            </w:pPr>
            <w:r>
              <w:t>000C</w:t>
            </w:r>
          </w:p>
        </w:tc>
      </w:tr>
      <w:tr w:rsidR="00024C0A" w:rsidTr="00024C0A">
        <w:tc>
          <w:tcPr>
            <w:tcW w:w="0" w:type="auto"/>
            <w:vAlign w:val="center"/>
          </w:tcPr>
          <w:p w:rsidR="00024C0A" w:rsidRDefault="00694C0F">
            <w:pPr>
              <w:pStyle w:val="TableBodyText"/>
            </w:pPr>
            <w:r>
              <w:t>ShrinkFontOnePoint</w:t>
            </w:r>
          </w:p>
        </w:tc>
        <w:tc>
          <w:tcPr>
            <w:tcW w:w="0" w:type="auto"/>
            <w:vAlign w:val="center"/>
          </w:tcPr>
          <w:p w:rsidR="00024C0A" w:rsidRDefault="00694C0F">
            <w:pPr>
              <w:pStyle w:val="TableBodyText"/>
            </w:pPr>
            <w:r>
              <w:t>0202</w:t>
            </w:r>
          </w:p>
        </w:tc>
      </w:tr>
      <w:tr w:rsidR="00024C0A" w:rsidTr="00024C0A">
        <w:tc>
          <w:tcPr>
            <w:tcW w:w="0" w:type="auto"/>
            <w:vAlign w:val="center"/>
          </w:tcPr>
          <w:p w:rsidR="00024C0A" w:rsidRDefault="00694C0F">
            <w:pPr>
              <w:pStyle w:val="TableBodyText"/>
            </w:pPr>
            <w:r>
              <w:t>ShrinkMultiSel</w:t>
            </w:r>
          </w:p>
        </w:tc>
        <w:tc>
          <w:tcPr>
            <w:tcW w:w="0" w:type="auto"/>
            <w:vAlign w:val="center"/>
          </w:tcPr>
          <w:p w:rsidR="00024C0A" w:rsidRDefault="00694C0F">
            <w:pPr>
              <w:pStyle w:val="TableBodyText"/>
            </w:pPr>
            <w:r>
              <w:t>04FB</w:t>
            </w:r>
          </w:p>
        </w:tc>
      </w:tr>
      <w:tr w:rsidR="00024C0A" w:rsidTr="00024C0A">
        <w:tc>
          <w:tcPr>
            <w:tcW w:w="0" w:type="auto"/>
            <w:vAlign w:val="center"/>
          </w:tcPr>
          <w:p w:rsidR="00024C0A" w:rsidRDefault="00694C0F">
            <w:pPr>
              <w:pStyle w:val="TableBodyText"/>
            </w:pPr>
            <w:r>
              <w:t>ShrinkSelection</w:t>
            </w:r>
          </w:p>
        </w:tc>
        <w:tc>
          <w:tcPr>
            <w:tcW w:w="0" w:type="auto"/>
            <w:vAlign w:val="center"/>
          </w:tcPr>
          <w:p w:rsidR="00024C0A" w:rsidRDefault="00694C0F">
            <w:pPr>
              <w:pStyle w:val="TableBodyText"/>
            </w:pPr>
            <w:r>
              <w:t>00EC</w:t>
            </w:r>
          </w:p>
        </w:tc>
      </w:tr>
      <w:tr w:rsidR="00024C0A" w:rsidTr="00024C0A">
        <w:tc>
          <w:tcPr>
            <w:tcW w:w="0" w:type="auto"/>
            <w:vAlign w:val="center"/>
          </w:tcPr>
          <w:p w:rsidR="00024C0A" w:rsidRDefault="00694C0F">
            <w:pPr>
              <w:pStyle w:val="TableBodyText"/>
            </w:pPr>
            <w:r>
              <w:t>SignDocument</w:t>
            </w:r>
          </w:p>
        </w:tc>
        <w:tc>
          <w:tcPr>
            <w:tcW w:w="0" w:type="auto"/>
            <w:vAlign w:val="center"/>
          </w:tcPr>
          <w:p w:rsidR="00024C0A" w:rsidRDefault="00694C0F">
            <w:pPr>
              <w:pStyle w:val="TableBodyText"/>
            </w:pPr>
            <w:r>
              <w:t>0844</w:t>
            </w:r>
          </w:p>
        </w:tc>
      </w:tr>
      <w:tr w:rsidR="00024C0A" w:rsidTr="00024C0A">
        <w:tc>
          <w:tcPr>
            <w:tcW w:w="0" w:type="auto"/>
            <w:vAlign w:val="center"/>
          </w:tcPr>
          <w:p w:rsidR="00024C0A" w:rsidRDefault="00694C0F">
            <w:pPr>
              <w:pStyle w:val="TableBodyText"/>
            </w:pPr>
            <w:r>
              <w:t>SignOutOfPassport</w:t>
            </w:r>
          </w:p>
        </w:tc>
        <w:tc>
          <w:tcPr>
            <w:tcW w:w="0" w:type="auto"/>
            <w:vAlign w:val="center"/>
          </w:tcPr>
          <w:p w:rsidR="00024C0A" w:rsidRDefault="00694C0F">
            <w:pPr>
              <w:pStyle w:val="TableBodyText"/>
            </w:pPr>
            <w:r>
              <w:t>0564</w:t>
            </w:r>
          </w:p>
        </w:tc>
      </w:tr>
      <w:tr w:rsidR="00024C0A" w:rsidTr="00024C0A">
        <w:tc>
          <w:tcPr>
            <w:tcW w:w="0" w:type="auto"/>
            <w:vAlign w:val="center"/>
          </w:tcPr>
          <w:p w:rsidR="00024C0A" w:rsidRDefault="00694C0F">
            <w:pPr>
              <w:pStyle w:val="TableBodyText"/>
            </w:pPr>
            <w:r>
              <w:t>SigningServices</w:t>
            </w:r>
          </w:p>
        </w:tc>
        <w:tc>
          <w:tcPr>
            <w:tcW w:w="0" w:type="auto"/>
            <w:vAlign w:val="center"/>
          </w:tcPr>
          <w:p w:rsidR="00024C0A" w:rsidRDefault="00694C0F">
            <w:pPr>
              <w:pStyle w:val="TableBodyText"/>
            </w:pPr>
            <w:r>
              <w:t>0847</w:t>
            </w:r>
          </w:p>
        </w:tc>
      </w:tr>
      <w:tr w:rsidR="00024C0A" w:rsidTr="00024C0A">
        <w:tc>
          <w:tcPr>
            <w:tcW w:w="0" w:type="auto"/>
            <w:vAlign w:val="center"/>
          </w:tcPr>
          <w:p w:rsidR="00024C0A" w:rsidRDefault="00694C0F">
            <w:pPr>
              <w:pStyle w:val="TableBodyText"/>
            </w:pPr>
            <w:r>
              <w:t>SkipNumbering</w:t>
            </w:r>
          </w:p>
        </w:tc>
        <w:tc>
          <w:tcPr>
            <w:tcW w:w="0" w:type="auto"/>
            <w:vAlign w:val="center"/>
          </w:tcPr>
          <w:p w:rsidR="00024C0A" w:rsidRDefault="00694C0F">
            <w:pPr>
              <w:pStyle w:val="TableBodyText"/>
            </w:pPr>
            <w:r>
              <w:t>01B6</w:t>
            </w:r>
          </w:p>
        </w:tc>
      </w:tr>
      <w:tr w:rsidR="00024C0A" w:rsidTr="00024C0A">
        <w:tc>
          <w:tcPr>
            <w:tcW w:w="0" w:type="auto"/>
            <w:vAlign w:val="center"/>
          </w:tcPr>
          <w:p w:rsidR="00024C0A" w:rsidRDefault="00694C0F">
            <w:pPr>
              <w:pStyle w:val="TableBodyText"/>
            </w:pPr>
            <w:r>
              <w:t>SmallCaps</w:t>
            </w:r>
          </w:p>
        </w:tc>
        <w:tc>
          <w:tcPr>
            <w:tcW w:w="0" w:type="auto"/>
            <w:vAlign w:val="center"/>
          </w:tcPr>
          <w:p w:rsidR="00024C0A" w:rsidRDefault="00694C0F">
            <w:pPr>
              <w:pStyle w:val="TableBodyText"/>
            </w:pPr>
            <w:r>
              <w:t>002F</w:t>
            </w:r>
          </w:p>
        </w:tc>
      </w:tr>
      <w:tr w:rsidR="00024C0A" w:rsidTr="00024C0A">
        <w:tc>
          <w:tcPr>
            <w:tcW w:w="0" w:type="auto"/>
            <w:vAlign w:val="center"/>
          </w:tcPr>
          <w:p w:rsidR="00024C0A" w:rsidRDefault="00694C0F">
            <w:pPr>
              <w:pStyle w:val="TableBodyText"/>
            </w:pPr>
            <w:r>
              <w:t>SpacePara1</w:t>
            </w:r>
          </w:p>
        </w:tc>
        <w:tc>
          <w:tcPr>
            <w:tcW w:w="0" w:type="auto"/>
            <w:vAlign w:val="center"/>
          </w:tcPr>
          <w:p w:rsidR="00024C0A" w:rsidRDefault="00694C0F">
            <w:pPr>
              <w:pStyle w:val="TableBodyText"/>
            </w:pPr>
            <w:r>
              <w:t>003E</w:t>
            </w:r>
          </w:p>
        </w:tc>
      </w:tr>
      <w:tr w:rsidR="00024C0A" w:rsidTr="00024C0A">
        <w:tc>
          <w:tcPr>
            <w:tcW w:w="0" w:type="auto"/>
            <w:vAlign w:val="center"/>
          </w:tcPr>
          <w:p w:rsidR="00024C0A" w:rsidRDefault="00694C0F">
            <w:pPr>
              <w:pStyle w:val="TableBodyText"/>
            </w:pPr>
            <w:r>
              <w:t>SpacePara15</w:t>
            </w:r>
          </w:p>
        </w:tc>
        <w:tc>
          <w:tcPr>
            <w:tcW w:w="0" w:type="auto"/>
            <w:vAlign w:val="center"/>
          </w:tcPr>
          <w:p w:rsidR="00024C0A" w:rsidRDefault="00694C0F">
            <w:pPr>
              <w:pStyle w:val="TableBodyText"/>
            </w:pPr>
            <w:r>
              <w:t>003F</w:t>
            </w:r>
          </w:p>
        </w:tc>
      </w:tr>
      <w:tr w:rsidR="00024C0A" w:rsidTr="00024C0A">
        <w:tc>
          <w:tcPr>
            <w:tcW w:w="0" w:type="auto"/>
            <w:vAlign w:val="center"/>
          </w:tcPr>
          <w:p w:rsidR="00024C0A" w:rsidRDefault="00694C0F">
            <w:pPr>
              <w:pStyle w:val="TableBodyText"/>
            </w:pPr>
            <w:r>
              <w:t>SpacePara2</w:t>
            </w:r>
          </w:p>
        </w:tc>
        <w:tc>
          <w:tcPr>
            <w:tcW w:w="0" w:type="auto"/>
            <w:vAlign w:val="center"/>
          </w:tcPr>
          <w:p w:rsidR="00024C0A" w:rsidRDefault="00694C0F">
            <w:pPr>
              <w:pStyle w:val="TableBodyText"/>
            </w:pPr>
            <w:r>
              <w:t>0040</w:t>
            </w:r>
          </w:p>
        </w:tc>
      </w:tr>
      <w:tr w:rsidR="00024C0A" w:rsidTr="00024C0A">
        <w:tc>
          <w:tcPr>
            <w:tcW w:w="0" w:type="auto"/>
            <w:vAlign w:val="center"/>
          </w:tcPr>
          <w:p w:rsidR="00024C0A" w:rsidRDefault="00694C0F">
            <w:pPr>
              <w:pStyle w:val="TableBodyText"/>
            </w:pPr>
            <w:r>
              <w:t>SpacingAfterSpinner</w:t>
            </w:r>
          </w:p>
        </w:tc>
        <w:tc>
          <w:tcPr>
            <w:tcW w:w="0" w:type="auto"/>
            <w:vAlign w:val="center"/>
          </w:tcPr>
          <w:p w:rsidR="00024C0A" w:rsidRDefault="00694C0F">
            <w:pPr>
              <w:pStyle w:val="TableBodyText"/>
            </w:pPr>
            <w:r>
              <w:t>08B0</w:t>
            </w:r>
          </w:p>
        </w:tc>
      </w:tr>
      <w:tr w:rsidR="00024C0A" w:rsidTr="00024C0A">
        <w:tc>
          <w:tcPr>
            <w:tcW w:w="0" w:type="auto"/>
            <w:vAlign w:val="center"/>
          </w:tcPr>
          <w:p w:rsidR="00024C0A" w:rsidRDefault="00694C0F">
            <w:pPr>
              <w:pStyle w:val="TableBodyText"/>
            </w:pPr>
            <w:r>
              <w:t>SpacingBeforeSpinner</w:t>
            </w:r>
          </w:p>
        </w:tc>
        <w:tc>
          <w:tcPr>
            <w:tcW w:w="0" w:type="auto"/>
            <w:vAlign w:val="center"/>
          </w:tcPr>
          <w:p w:rsidR="00024C0A" w:rsidRDefault="00694C0F">
            <w:pPr>
              <w:pStyle w:val="TableBodyText"/>
            </w:pPr>
            <w:r>
              <w:t>08AF</w:t>
            </w:r>
          </w:p>
        </w:tc>
      </w:tr>
      <w:tr w:rsidR="00024C0A" w:rsidTr="00024C0A">
        <w:tc>
          <w:tcPr>
            <w:tcW w:w="0" w:type="auto"/>
            <w:vAlign w:val="center"/>
          </w:tcPr>
          <w:p w:rsidR="00024C0A" w:rsidRDefault="00694C0F">
            <w:pPr>
              <w:pStyle w:val="TableBodyText"/>
            </w:pPr>
            <w:r>
              <w:t>SpacingLabel</w:t>
            </w:r>
          </w:p>
        </w:tc>
        <w:tc>
          <w:tcPr>
            <w:tcW w:w="0" w:type="auto"/>
            <w:vAlign w:val="center"/>
          </w:tcPr>
          <w:p w:rsidR="00024C0A" w:rsidRDefault="00694C0F">
            <w:pPr>
              <w:pStyle w:val="TableBodyText"/>
            </w:pPr>
            <w:r>
              <w:t>08B3</w:t>
            </w:r>
          </w:p>
        </w:tc>
      </w:tr>
      <w:tr w:rsidR="00024C0A" w:rsidTr="00024C0A">
        <w:tc>
          <w:tcPr>
            <w:tcW w:w="0" w:type="auto"/>
            <w:vAlign w:val="center"/>
          </w:tcPr>
          <w:p w:rsidR="00024C0A" w:rsidRDefault="00694C0F">
            <w:pPr>
              <w:pStyle w:val="TableBodyText"/>
            </w:pPr>
            <w:r>
              <w:t>SpellingAndAutoCorrect</w:t>
            </w:r>
          </w:p>
        </w:tc>
        <w:tc>
          <w:tcPr>
            <w:tcW w:w="0" w:type="auto"/>
            <w:vAlign w:val="center"/>
          </w:tcPr>
          <w:p w:rsidR="00024C0A" w:rsidRDefault="00694C0F">
            <w:pPr>
              <w:pStyle w:val="TableBodyText"/>
            </w:pPr>
            <w:r>
              <w:t>0387</w:t>
            </w:r>
          </w:p>
        </w:tc>
      </w:tr>
      <w:tr w:rsidR="00024C0A" w:rsidTr="00024C0A">
        <w:tc>
          <w:tcPr>
            <w:tcW w:w="0" w:type="auto"/>
            <w:vAlign w:val="center"/>
          </w:tcPr>
          <w:p w:rsidR="00024C0A" w:rsidRDefault="00694C0F">
            <w:pPr>
              <w:pStyle w:val="TableBodyText"/>
            </w:pPr>
            <w:r>
              <w:t>Spike</w:t>
            </w:r>
          </w:p>
        </w:tc>
        <w:tc>
          <w:tcPr>
            <w:tcW w:w="0" w:type="auto"/>
            <w:vAlign w:val="center"/>
          </w:tcPr>
          <w:p w:rsidR="00024C0A" w:rsidRDefault="00694C0F">
            <w:pPr>
              <w:pStyle w:val="TableBodyText"/>
            </w:pPr>
            <w:r>
              <w:t>000F</w:t>
            </w:r>
          </w:p>
        </w:tc>
      </w:tr>
      <w:tr w:rsidR="00024C0A" w:rsidTr="00024C0A">
        <w:tc>
          <w:tcPr>
            <w:tcW w:w="0" w:type="auto"/>
            <w:vAlign w:val="center"/>
          </w:tcPr>
          <w:p w:rsidR="00024C0A" w:rsidRDefault="00694C0F">
            <w:pPr>
              <w:pStyle w:val="TableBodyText"/>
            </w:pPr>
            <w:r>
              <w:t>SplitSubdocument</w:t>
            </w:r>
          </w:p>
        </w:tc>
        <w:tc>
          <w:tcPr>
            <w:tcW w:w="0" w:type="auto"/>
            <w:vAlign w:val="center"/>
          </w:tcPr>
          <w:p w:rsidR="00024C0A" w:rsidRDefault="00694C0F">
            <w:pPr>
              <w:pStyle w:val="TableBodyText"/>
            </w:pPr>
            <w:r>
              <w:t>0249</w:t>
            </w:r>
          </w:p>
        </w:tc>
      </w:tr>
      <w:tr w:rsidR="00024C0A" w:rsidTr="00024C0A">
        <w:tc>
          <w:tcPr>
            <w:tcW w:w="0" w:type="auto"/>
            <w:vAlign w:val="center"/>
          </w:tcPr>
          <w:p w:rsidR="00024C0A" w:rsidRDefault="00694C0F">
            <w:pPr>
              <w:pStyle w:val="TableBodyText"/>
            </w:pPr>
            <w:r>
              <w:t>SqmDialog</w:t>
            </w:r>
          </w:p>
        </w:tc>
        <w:tc>
          <w:tcPr>
            <w:tcW w:w="0" w:type="auto"/>
            <w:vAlign w:val="center"/>
          </w:tcPr>
          <w:p w:rsidR="00024C0A" w:rsidRDefault="00694C0F">
            <w:pPr>
              <w:pStyle w:val="TableBodyText"/>
            </w:pPr>
            <w:r>
              <w:t>058C</w:t>
            </w:r>
          </w:p>
        </w:tc>
      </w:tr>
      <w:tr w:rsidR="00024C0A" w:rsidTr="00024C0A">
        <w:tc>
          <w:tcPr>
            <w:tcW w:w="0" w:type="auto"/>
            <w:vAlign w:val="center"/>
          </w:tcPr>
          <w:p w:rsidR="00024C0A" w:rsidRDefault="00694C0F">
            <w:pPr>
              <w:pStyle w:val="TableBodyText"/>
            </w:pPr>
            <w:r>
              <w:t>StartMacro</w:t>
            </w:r>
          </w:p>
        </w:tc>
        <w:tc>
          <w:tcPr>
            <w:tcW w:w="0" w:type="auto"/>
            <w:vAlign w:val="center"/>
          </w:tcPr>
          <w:p w:rsidR="00024C0A" w:rsidRDefault="00694C0F">
            <w:pPr>
              <w:pStyle w:val="TableBodyText"/>
            </w:pPr>
            <w:r>
              <w:t>022A</w:t>
            </w:r>
          </w:p>
        </w:tc>
      </w:tr>
      <w:tr w:rsidR="00024C0A" w:rsidTr="00024C0A">
        <w:tc>
          <w:tcPr>
            <w:tcW w:w="0" w:type="auto"/>
            <w:vAlign w:val="center"/>
          </w:tcPr>
          <w:p w:rsidR="00024C0A" w:rsidRDefault="00694C0F">
            <w:pPr>
              <w:pStyle w:val="TableBodyText"/>
            </w:pPr>
            <w:r>
              <w:t>StartOfColumn</w:t>
            </w:r>
          </w:p>
        </w:tc>
        <w:tc>
          <w:tcPr>
            <w:tcW w:w="0" w:type="auto"/>
            <w:vAlign w:val="center"/>
          </w:tcPr>
          <w:p w:rsidR="00024C0A" w:rsidRDefault="00694C0F">
            <w:pPr>
              <w:pStyle w:val="TableBodyText"/>
            </w:pPr>
            <w:r>
              <w:t>0112</w:t>
            </w:r>
          </w:p>
        </w:tc>
      </w:tr>
      <w:tr w:rsidR="00024C0A" w:rsidTr="00024C0A">
        <w:tc>
          <w:tcPr>
            <w:tcW w:w="0" w:type="auto"/>
            <w:vAlign w:val="center"/>
          </w:tcPr>
          <w:p w:rsidR="00024C0A" w:rsidRDefault="00694C0F">
            <w:pPr>
              <w:pStyle w:val="TableBodyText"/>
            </w:pPr>
            <w:r>
              <w:t>StartOfDocExtend</w:t>
            </w:r>
          </w:p>
        </w:tc>
        <w:tc>
          <w:tcPr>
            <w:tcW w:w="0" w:type="auto"/>
            <w:vAlign w:val="center"/>
          </w:tcPr>
          <w:p w:rsidR="00024C0A" w:rsidRDefault="00694C0F">
            <w:pPr>
              <w:pStyle w:val="TableBodyText"/>
            </w:pPr>
            <w:r>
              <w:t>0FC2</w:t>
            </w:r>
          </w:p>
        </w:tc>
      </w:tr>
      <w:tr w:rsidR="00024C0A" w:rsidTr="00024C0A">
        <w:tc>
          <w:tcPr>
            <w:tcW w:w="0" w:type="auto"/>
            <w:vAlign w:val="center"/>
          </w:tcPr>
          <w:p w:rsidR="00024C0A" w:rsidRDefault="00694C0F">
            <w:pPr>
              <w:pStyle w:val="TableBodyText"/>
            </w:pPr>
            <w:r>
              <w:t>StartOfDocument</w:t>
            </w:r>
          </w:p>
        </w:tc>
        <w:tc>
          <w:tcPr>
            <w:tcW w:w="0" w:type="auto"/>
            <w:vAlign w:val="center"/>
          </w:tcPr>
          <w:p w:rsidR="00024C0A" w:rsidRDefault="00694C0F">
            <w:pPr>
              <w:pStyle w:val="TableBodyText"/>
            </w:pPr>
            <w:r>
              <w:t>0FB0</w:t>
            </w:r>
          </w:p>
        </w:tc>
      </w:tr>
      <w:tr w:rsidR="00024C0A" w:rsidTr="00024C0A">
        <w:tc>
          <w:tcPr>
            <w:tcW w:w="0" w:type="auto"/>
            <w:vAlign w:val="center"/>
          </w:tcPr>
          <w:p w:rsidR="00024C0A" w:rsidRDefault="00694C0F">
            <w:pPr>
              <w:pStyle w:val="TableBodyText"/>
            </w:pPr>
            <w:r>
              <w:t>StartOfLine</w:t>
            </w:r>
          </w:p>
        </w:tc>
        <w:tc>
          <w:tcPr>
            <w:tcW w:w="0" w:type="auto"/>
            <w:vAlign w:val="center"/>
          </w:tcPr>
          <w:p w:rsidR="00024C0A" w:rsidRDefault="00694C0F">
            <w:pPr>
              <w:pStyle w:val="TableBodyText"/>
            </w:pPr>
            <w:r>
              <w:t>0FAC</w:t>
            </w:r>
          </w:p>
        </w:tc>
      </w:tr>
      <w:tr w:rsidR="00024C0A" w:rsidTr="00024C0A">
        <w:tc>
          <w:tcPr>
            <w:tcW w:w="0" w:type="auto"/>
            <w:vAlign w:val="center"/>
          </w:tcPr>
          <w:p w:rsidR="00024C0A" w:rsidRDefault="00694C0F">
            <w:pPr>
              <w:pStyle w:val="TableBodyText"/>
            </w:pPr>
            <w:r>
              <w:t>StartOfLineExtend</w:t>
            </w:r>
          </w:p>
        </w:tc>
        <w:tc>
          <w:tcPr>
            <w:tcW w:w="0" w:type="auto"/>
            <w:vAlign w:val="center"/>
          </w:tcPr>
          <w:p w:rsidR="00024C0A" w:rsidRDefault="00694C0F">
            <w:pPr>
              <w:pStyle w:val="TableBodyText"/>
            </w:pPr>
            <w:r>
              <w:t>0FBE</w:t>
            </w:r>
          </w:p>
        </w:tc>
      </w:tr>
      <w:tr w:rsidR="00024C0A" w:rsidTr="00024C0A">
        <w:tc>
          <w:tcPr>
            <w:tcW w:w="0" w:type="auto"/>
            <w:vAlign w:val="center"/>
          </w:tcPr>
          <w:p w:rsidR="00024C0A" w:rsidRDefault="00694C0F">
            <w:pPr>
              <w:pStyle w:val="TableBodyText"/>
            </w:pPr>
            <w:r>
              <w:t>StartOfRow</w:t>
            </w:r>
          </w:p>
        </w:tc>
        <w:tc>
          <w:tcPr>
            <w:tcW w:w="0" w:type="auto"/>
            <w:vAlign w:val="center"/>
          </w:tcPr>
          <w:p w:rsidR="00024C0A" w:rsidRDefault="00694C0F">
            <w:pPr>
              <w:pStyle w:val="TableBodyText"/>
            </w:pPr>
            <w:r>
              <w:t>0110</w:t>
            </w:r>
          </w:p>
        </w:tc>
      </w:tr>
      <w:tr w:rsidR="00024C0A" w:rsidTr="00024C0A">
        <w:tc>
          <w:tcPr>
            <w:tcW w:w="0" w:type="auto"/>
            <w:vAlign w:val="center"/>
          </w:tcPr>
          <w:p w:rsidR="00024C0A" w:rsidRDefault="00694C0F">
            <w:pPr>
              <w:pStyle w:val="TableBodyText"/>
            </w:pPr>
            <w:r>
              <w:t>StartOfWindow</w:t>
            </w:r>
          </w:p>
        </w:tc>
        <w:tc>
          <w:tcPr>
            <w:tcW w:w="0" w:type="auto"/>
            <w:vAlign w:val="center"/>
          </w:tcPr>
          <w:p w:rsidR="00024C0A" w:rsidRDefault="00694C0F">
            <w:pPr>
              <w:pStyle w:val="TableBodyText"/>
            </w:pPr>
            <w:r>
              <w:t>0FAE</w:t>
            </w:r>
          </w:p>
        </w:tc>
      </w:tr>
      <w:tr w:rsidR="00024C0A" w:rsidTr="00024C0A">
        <w:tc>
          <w:tcPr>
            <w:tcW w:w="0" w:type="auto"/>
            <w:vAlign w:val="center"/>
          </w:tcPr>
          <w:p w:rsidR="00024C0A" w:rsidRDefault="00694C0F">
            <w:pPr>
              <w:pStyle w:val="TableBodyText"/>
            </w:pPr>
            <w:r>
              <w:t>StartOfWindowExtend</w:t>
            </w:r>
          </w:p>
        </w:tc>
        <w:tc>
          <w:tcPr>
            <w:tcW w:w="0" w:type="auto"/>
            <w:vAlign w:val="center"/>
          </w:tcPr>
          <w:p w:rsidR="00024C0A" w:rsidRDefault="00694C0F">
            <w:pPr>
              <w:pStyle w:val="TableBodyText"/>
            </w:pPr>
            <w:r>
              <w:t>0FC0</w:t>
            </w:r>
          </w:p>
        </w:tc>
      </w:tr>
      <w:tr w:rsidR="00024C0A" w:rsidTr="00024C0A">
        <w:tc>
          <w:tcPr>
            <w:tcW w:w="0" w:type="auto"/>
            <w:vAlign w:val="center"/>
          </w:tcPr>
          <w:p w:rsidR="00024C0A" w:rsidRDefault="00694C0F">
            <w:pPr>
              <w:pStyle w:val="TableBodyText"/>
            </w:pPr>
            <w:r>
              <w:t>StartWorkflow</w:t>
            </w:r>
          </w:p>
        </w:tc>
        <w:tc>
          <w:tcPr>
            <w:tcW w:w="0" w:type="auto"/>
            <w:vAlign w:val="center"/>
          </w:tcPr>
          <w:p w:rsidR="00024C0A" w:rsidRDefault="00694C0F">
            <w:pPr>
              <w:pStyle w:val="TableBodyText"/>
            </w:pPr>
            <w:r>
              <w:t>0798</w:t>
            </w:r>
          </w:p>
        </w:tc>
      </w:tr>
      <w:tr w:rsidR="00024C0A" w:rsidTr="00024C0A">
        <w:tc>
          <w:tcPr>
            <w:tcW w:w="0" w:type="auto"/>
            <w:vAlign w:val="center"/>
          </w:tcPr>
          <w:p w:rsidR="00024C0A" w:rsidRDefault="00694C0F">
            <w:pPr>
              <w:pStyle w:val="TableBodyText"/>
            </w:pPr>
            <w:r>
              <w:t>StepIn</w:t>
            </w:r>
          </w:p>
        </w:tc>
        <w:tc>
          <w:tcPr>
            <w:tcW w:w="0" w:type="auto"/>
            <w:vAlign w:val="center"/>
          </w:tcPr>
          <w:p w:rsidR="00024C0A" w:rsidRDefault="00694C0F">
            <w:pPr>
              <w:pStyle w:val="TableBodyText"/>
            </w:pPr>
            <w:r>
              <w:t>0109</w:t>
            </w:r>
          </w:p>
        </w:tc>
      </w:tr>
      <w:tr w:rsidR="00024C0A" w:rsidTr="00024C0A">
        <w:tc>
          <w:tcPr>
            <w:tcW w:w="0" w:type="auto"/>
            <w:vAlign w:val="center"/>
          </w:tcPr>
          <w:p w:rsidR="00024C0A" w:rsidRDefault="00694C0F">
            <w:pPr>
              <w:pStyle w:val="TableBodyText"/>
            </w:pPr>
            <w:r>
              <w:lastRenderedPageBreak/>
              <w:t>StepOver</w:t>
            </w:r>
          </w:p>
        </w:tc>
        <w:tc>
          <w:tcPr>
            <w:tcW w:w="0" w:type="auto"/>
            <w:vAlign w:val="center"/>
          </w:tcPr>
          <w:p w:rsidR="00024C0A" w:rsidRDefault="00694C0F">
            <w:pPr>
              <w:pStyle w:val="TableBodyText"/>
            </w:pPr>
            <w:r>
              <w:t>0108</w:t>
            </w:r>
          </w:p>
        </w:tc>
      </w:tr>
      <w:tr w:rsidR="00024C0A" w:rsidTr="00024C0A">
        <w:tc>
          <w:tcPr>
            <w:tcW w:w="0" w:type="auto"/>
            <w:vAlign w:val="center"/>
          </w:tcPr>
          <w:p w:rsidR="00024C0A" w:rsidRDefault="00694C0F">
            <w:pPr>
              <w:pStyle w:val="TableBodyText"/>
            </w:pPr>
            <w:r>
              <w:t>StopMacro</w:t>
            </w:r>
          </w:p>
        </w:tc>
        <w:tc>
          <w:tcPr>
            <w:tcW w:w="0" w:type="auto"/>
            <w:vAlign w:val="center"/>
          </w:tcPr>
          <w:p w:rsidR="00024C0A" w:rsidRDefault="00694C0F">
            <w:pPr>
              <w:pStyle w:val="TableBodyText"/>
            </w:pPr>
            <w:r>
              <w:t>029C</w:t>
            </w:r>
          </w:p>
        </w:tc>
      </w:tr>
      <w:tr w:rsidR="00024C0A" w:rsidTr="00024C0A">
        <w:tc>
          <w:tcPr>
            <w:tcW w:w="0" w:type="auto"/>
            <w:vAlign w:val="center"/>
          </w:tcPr>
          <w:p w:rsidR="00024C0A" w:rsidRDefault="00694C0F">
            <w:pPr>
              <w:pStyle w:val="TableBodyText"/>
            </w:pPr>
            <w:r>
              <w:t>StopMacroRunning</w:t>
            </w:r>
          </w:p>
        </w:tc>
        <w:tc>
          <w:tcPr>
            <w:tcW w:w="0" w:type="auto"/>
            <w:vAlign w:val="center"/>
          </w:tcPr>
          <w:p w:rsidR="00024C0A" w:rsidRDefault="00694C0F">
            <w:pPr>
              <w:pStyle w:val="TableBodyText"/>
            </w:pPr>
            <w:r>
              <w:t>0285</w:t>
            </w:r>
          </w:p>
        </w:tc>
      </w:tr>
      <w:tr w:rsidR="00024C0A" w:rsidTr="00024C0A">
        <w:tc>
          <w:tcPr>
            <w:tcW w:w="0" w:type="auto"/>
            <w:vAlign w:val="center"/>
          </w:tcPr>
          <w:p w:rsidR="00024C0A" w:rsidRDefault="00694C0F">
            <w:pPr>
              <w:pStyle w:val="TableBodyText"/>
            </w:pPr>
            <w:r>
              <w:t>Strikethrough</w:t>
            </w:r>
          </w:p>
        </w:tc>
        <w:tc>
          <w:tcPr>
            <w:tcW w:w="0" w:type="auto"/>
            <w:vAlign w:val="center"/>
          </w:tcPr>
          <w:p w:rsidR="00024C0A" w:rsidRDefault="00694C0F">
            <w:pPr>
              <w:pStyle w:val="TableBodyText"/>
            </w:pPr>
            <w:r>
              <w:t>0031</w:t>
            </w:r>
          </w:p>
        </w:tc>
      </w:tr>
      <w:tr w:rsidR="00024C0A" w:rsidTr="00024C0A">
        <w:tc>
          <w:tcPr>
            <w:tcW w:w="0" w:type="auto"/>
            <w:vAlign w:val="center"/>
          </w:tcPr>
          <w:p w:rsidR="00024C0A" w:rsidRDefault="00694C0F">
            <w:pPr>
              <w:pStyle w:val="TableBodyText"/>
            </w:pPr>
            <w:r>
              <w:t>Style</w:t>
            </w:r>
          </w:p>
        </w:tc>
        <w:tc>
          <w:tcPr>
            <w:tcW w:w="0" w:type="auto"/>
            <w:vAlign w:val="center"/>
          </w:tcPr>
          <w:p w:rsidR="00024C0A" w:rsidRDefault="00694C0F">
            <w:pPr>
              <w:pStyle w:val="TableBodyText"/>
            </w:pPr>
            <w:r>
              <w:t>0097</w:t>
            </w:r>
          </w:p>
        </w:tc>
      </w:tr>
      <w:tr w:rsidR="00024C0A" w:rsidTr="00024C0A">
        <w:tc>
          <w:tcPr>
            <w:tcW w:w="0" w:type="auto"/>
            <w:vAlign w:val="center"/>
          </w:tcPr>
          <w:p w:rsidR="00024C0A" w:rsidRDefault="00694C0F">
            <w:pPr>
              <w:pStyle w:val="TableBodyText"/>
            </w:pPr>
            <w:r>
              <w:t>Style3DGallery</w:t>
            </w:r>
          </w:p>
        </w:tc>
        <w:tc>
          <w:tcPr>
            <w:tcW w:w="0" w:type="auto"/>
            <w:vAlign w:val="center"/>
          </w:tcPr>
          <w:p w:rsidR="00024C0A" w:rsidRDefault="00694C0F">
            <w:pPr>
              <w:pStyle w:val="TableBodyText"/>
            </w:pPr>
            <w:r>
              <w:t>08C9</w:t>
            </w:r>
          </w:p>
        </w:tc>
      </w:tr>
      <w:tr w:rsidR="00024C0A" w:rsidTr="00024C0A">
        <w:tc>
          <w:tcPr>
            <w:tcW w:w="0" w:type="auto"/>
            <w:vAlign w:val="center"/>
          </w:tcPr>
          <w:p w:rsidR="00024C0A" w:rsidRDefault="00694C0F">
            <w:pPr>
              <w:pStyle w:val="TableBodyText"/>
            </w:pPr>
            <w:r>
              <w:t>StyleApplyPane</w:t>
            </w:r>
          </w:p>
        </w:tc>
        <w:tc>
          <w:tcPr>
            <w:tcW w:w="0" w:type="auto"/>
            <w:vAlign w:val="center"/>
          </w:tcPr>
          <w:p w:rsidR="00024C0A" w:rsidRDefault="00694C0F">
            <w:pPr>
              <w:pStyle w:val="TableBodyText"/>
            </w:pPr>
            <w:r>
              <w:t>087F</w:t>
            </w:r>
          </w:p>
        </w:tc>
      </w:tr>
      <w:tr w:rsidR="00024C0A" w:rsidTr="00024C0A">
        <w:tc>
          <w:tcPr>
            <w:tcW w:w="0" w:type="auto"/>
            <w:vAlign w:val="center"/>
          </w:tcPr>
          <w:p w:rsidR="00024C0A" w:rsidRDefault="00694C0F">
            <w:pPr>
              <w:pStyle w:val="TableBodyText"/>
            </w:pPr>
            <w:r>
              <w:t>StyleLockDown</w:t>
            </w:r>
          </w:p>
        </w:tc>
        <w:tc>
          <w:tcPr>
            <w:tcW w:w="0" w:type="auto"/>
            <w:vAlign w:val="center"/>
          </w:tcPr>
          <w:p w:rsidR="00024C0A" w:rsidRDefault="00694C0F">
            <w:pPr>
              <w:pStyle w:val="TableBodyText"/>
            </w:pPr>
            <w:r>
              <w:t>058E</w:t>
            </w:r>
          </w:p>
        </w:tc>
      </w:tr>
      <w:tr w:rsidR="00024C0A" w:rsidTr="00024C0A">
        <w:tc>
          <w:tcPr>
            <w:tcW w:w="0" w:type="auto"/>
            <w:vAlign w:val="center"/>
          </w:tcPr>
          <w:p w:rsidR="00024C0A" w:rsidRDefault="00694C0F">
            <w:pPr>
              <w:pStyle w:val="TableBodyText"/>
            </w:pPr>
            <w:r>
              <w:t>StyleMatrixPicker</w:t>
            </w:r>
          </w:p>
        </w:tc>
        <w:tc>
          <w:tcPr>
            <w:tcW w:w="0" w:type="auto"/>
            <w:vAlign w:val="center"/>
          </w:tcPr>
          <w:p w:rsidR="00024C0A" w:rsidRDefault="00694C0F">
            <w:pPr>
              <w:pStyle w:val="TableBodyText"/>
            </w:pPr>
            <w:r>
              <w:t>08FD</w:t>
            </w:r>
          </w:p>
        </w:tc>
      </w:tr>
      <w:tr w:rsidR="00024C0A" w:rsidTr="00024C0A">
        <w:tc>
          <w:tcPr>
            <w:tcW w:w="0" w:type="auto"/>
            <w:vAlign w:val="center"/>
          </w:tcPr>
          <w:p w:rsidR="00024C0A" w:rsidRDefault="00694C0F">
            <w:pPr>
              <w:pStyle w:val="TableBodyText"/>
            </w:pPr>
            <w:r>
              <w:t>StylePaneNewStyle</w:t>
            </w:r>
          </w:p>
        </w:tc>
        <w:tc>
          <w:tcPr>
            <w:tcW w:w="0" w:type="auto"/>
            <w:vAlign w:val="center"/>
          </w:tcPr>
          <w:p w:rsidR="00024C0A" w:rsidRDefault="00694C0F">
            <w:pPr>
              <w:pStyle w:val="TableBodyText"/>
            </w:pPr>
            <w:r>
              <w:t>094E</w:t>
            </w:r>
          </w:p>
        </w:tc>
      </w:tr>
      <w:tr w:rsidR="00024C0A" w:rsidTr="00024C0A">
        <w:tc>
          <w:tcPr>
            <w:tcW w:w="0" w:type="auto"/>
            <w:vAlign w:val="center"/>
          </w:tcPr>
          <w:p w:rsidR="00024C0A" w:rsidRDefault="00694C0F">
            <w:pPr>
              <w:pStyle w:val="TableBodyText"/>
            </w:pPr>
            <w:r>
              <w:t>StyleQuickFormat</w:t>
            </w:r>
          </w:p>
        </w:tc>
        <w:tc>
          <w:tcPr>
            <w:tcW w:w="0" w:type="auto"/>
            <w:vAlign w:val="center"/>
          </w:tcPr>
          <w:p w:rsidR="00024C0A" w:rsidRDefault="00694C0F">
            <w:pPr>
              <w:pStyle w:val="TableBodyText"/>
            </w:pPr>
            <w:r>
              <w:t>0827</w:t>
            </w:r>
          </w:p>
        </w:tc>
      </w:tr>
      <w:tr w:rsidR="00024C0A" w:rsidTr="00024C0A">
        <w:tc>
          <w:tcPr>
            <w:tcW w:w="0" w:type="auto"/>
            <w:vAlign w:val="center"/>
          </w:tcPr>
          <w:p w:rsidR="00024C0A" w:rsidRDefault="00694C0F">
            <w:pPr>
              <w:pStyle w:val="TableBodyText"/>
            </w:pPr>
            <w:r>
              <w:t>Subscript</w:t>
            </w:r>
          </w:p>
        </w:tc>
        <w:tc>
          <w:tcPr>
            <w:tcW w:w="0" w:type="auto"/>
            <w:vAlign w:val="center"/>
          </w:tcPr>
          <w:p w:rsidR="00024C0A" w:rsidRDefault="00694C0F">
            <w:pPr>
              <w:pStyle w:val="TableBodyText"/>
            </w:pPr>
            <w:r>
              <w:t>0037</w:t>
            </w:r>
          </w:p>
        </w:tc>
      </w:tr>
      <w:tr w:rsidR="00024C0A" w:rsidTr="00024C0A">
        <w:tc>
          <w:tcPr>
            <w:tcW w:w="0" w:type="auto"/>
            <w:vAlign w:val="center"/>
          </w:tcPr>
          <w:p w:rsidR="00024C0A" w:rsidRDefault="00694C0F">
            <w:pPr>
              <w:pStyle w:val="TableBodyText"/>
            </w:pPr>
            <w:r>
              <w:t>Superscript</w:t>
            </w:r>
          </w:p>
        </w:tc>
        <w:tc>
          <w:tcPr>
            <w:tcW w:w="0" w:type="auto"/>
            <w:vAlign w:val="center"/>
          </w:tcPr>
          <w:p w:rsidR="00024C0A" w:rsidRDefault="00694C0F">
            <w:pPr>
              <w:pStyle w:val="TableBodyText"/>
            </w:pPr>
            <w:r>
              <w:t>0036</w:t>
            </w:r>
          </w:p>
        </w:tc>
      </w:tr>
      <w:tr w:rsidR="00024C0A" w:rsidTr="00024C0A">
        <w:tc>
          <w:tcPr>
            <w:tcW w:w="0" w:type="auto"/>
            <w:vAlign w:val="center"/>
          </w:tcPr>
          <w:p w:rsidR="00024C0A" w:rsidRDefault="00694C0F">
            <w:pPr>
              <w:pStyle w:val="TableBodyText"/>
            </w:pPr>
            <w:r>
              <w:t>SurfaceMatGallery</w:t>
            </w:r>
          </w:p>
        </w:tc>
        <w:tc>
          <w:tcPr>
            <w:tcW w:w="0" w:type="auto"/>
            <w:vAlign w:val="center"/>
          </w:tcPr>
          <w:p w:rsidR="00024C0A" w:rsidRDefault="00694C0F">
            <w:pPr>
              <w:pStyle w:val="TableBodyText"/>
            </w:pPr>
            <w:r>
              <w:t>08CC</w:t>
            </w:r>
          </w:p>
        </w:tc>
      </w:tr>
      <w:tr w:rsidR="00024C0A" w:rsidTr="00024C0A">
        <w:tc>
          <w:tcPr>
            <w:tcW w:w="0" w:type="auto"/>
            <w:vAlign w:val="center"/>
          </w:tcPr>
          <w:p w:rsidR="00024C0A" w:rsidRDefault="00694C0F">
            <w:pPr>
              <w:pStyle w:val="TableBodyText"/>
            </w:pPr>
            <w:r>
              <w:t>SwitchNavigationWindow</w:t>
            </w:r>
          </w:p>
        </w:tc>
        <w:tc>
          <w:tcPr>
            <w:tcW w:w="0" w:type="auto"/>
            <w:vAlign w:val="center"/>
          </w:tcPr>
          <w:p w:rsidR="00024C0A" w:rsidRDefault="00694C0F">
            <w:pPr>
              <w:pStyle w:val="TableBodyText"/>
            </w:pPr>
            <w:r>
              <w:t>0793</w:t>
            </w:r>
          </w:p>
        </w:tc>
      </w:tr>
      <w:tr w:rsidR="00024C0A" w:rsidTr="00024C0A">
        <w:tc>
          <w:tcPr>
            <w:tcW w:w="0" w:type="auto"/>
            <w:vAlign w:val="center"/>
          </w:tcPr>
          <w:p w:rsidR="00024C0A" w:rsidRDefault="00694C0F">
            <w:pPr>
              <w:pStyle w:val="TableBodyText"/>
            </w:pPr>
            <w:r>
              <w:t>Symbol</w:t>
            </w:r>
          </w:p>
        </w:tc>
        <w:tc>
          <w:tcPr>
            <w:tcW w:w="0" w:type="auto"/>
            <w:vAlign w:val="center"/>
          </w:tcPr>
          <w:p w:rsidR="00024C0A" w:rsidRDefault="00694C0F">
            <w:pPr>
              <w:pStyle w:val="TableBodyText"/>
            </w:pPr>
            <w:r>
              <w:t>022B</w:t>
            </w:r>
          </w:p>
        </w:tc>
      </w:tr>
      <w:tr w:rsidR="00024C0A" w:rsidTr="00024C0A">
        <w:tc>
          <w:tcPr>
            <w:tcW w:w="0" w:type="auto"/>
            <w:vAlign w:val="center"/>
          </w:tcPr>
          <w:p w:rsidR="00024C0A" w:rsidRDefault="00694C0F">
            <w:pPr>
              <w:pStyle w:val="TableBodyText"/>
            </w:pPr>
            <w:r>
              <w:t>SymbolFont</w:t>
            </w:r>
          </w:p>
        </w:tc>
        <w:tc>
          <w:tcPr>
            <w:tcW w:w="0" w:type="auto"/>
            <w:vAlign w:val="center"/>
          </w:tcPr>
          <w:p w:rsidR="00024C0A" w:rsidRDefault="00694C0F">
            <w:pPr>
              <w:pStyle w:val="TableBodyText"/>
            </w:pPr>
            <w:r>
              <w:t>028B</w:t>
            </w:r>
          </w:p>
        </w:tc>
      </w:tr>
      <w:tr w:rsidR="00024C0A" w:rsidTr="00024C0A">
        <w:tc>
          <w:tcPr>
            <w:tcW w:w="0" w:type="auto"/>
            <w:vAlign w:val="center"/>
          </w:tcPr>
          <w:p w:rsidR="00024C0A" w:rsidRDefault="00694C0F">
            <w:pPr>
              <w:pStyle w:val="TableBodyText"/>
            </w:pPr>
            <w:r>
              <w:t>SymbolMRUGallery</w:t>
            </w:r>
          </w:p>
        </w:tc>
        <w:tc>
          <w:tcPr>
            <w:tcW w:w="0" w:type="auto"/>
            <w:vAlign w:val="center"/>
          </w:tcPr>
          <w:p w:rsidR="00024C0A" w:rsidRDefault="00694C0F">
            <w:pPr>
              <w:pStyle w:val="TableBodyText"/>
            </w:pPr>
            <w:r>
              <w:t>07A6</w:t>
            </w:r>
          </w:p>
        </w:tc>
      </w:tr>
      <w:tr w:rsidR="00024C0A" w:rsidTr="00024C0A">
        <w:tc>
          <w:tcPr>
            <w:tcW w:w="0" w:type="auto"/>
            <w:vAlign w:val="center"/>
          </w:tcPr>
          <w:p w:rsidR="00024C0A" w:rsidRDefault="00694C0F">
            <w:pPr>
              <w:pStyle w:val="TableBodyText"/>
            </w:pPr>
            <w:r>
              <w:t>SyncScrollSideBySide</w:t>
            </w:r>
          </w:p>
        </w:tc>
        <w:tc>
          <w:tcPr>
            <w:tcW w:w="0" w:type="auto"/>
            <w:vAlign w:val="center"/>
          </w:tcPr>
          <w:p w:rsidR="00024C0A" w:rsidRDefault="00694C0F">
            <w:pPr>
              <w:pStyle w:val="TableBodyText"/>
            </w:pPr>
            <w:r>
              <w:t>058F</w:t>
            </w:r>
          </w:p>
        </w:tc>
      </w:tr>
      <w:tr w:rsidR="00024C0A" w:rsidTr="00024C0A">
        <w:tc>
          <w:tcPr>
            <w:tcW w:w="0" w:type="auto"/>
            <w:vAlign w:val="center"/>
          </w:tcPr>
          <w:p w:rsidR="00024C0A" w:rsidRDefault="00694C0F">
            <w:pPr>
              <w:pStyle w:val="TableBodyText"/>
            </w:pPr>
            <w:r>
              <w:t>TOAGroup</w:t>
            </w:r>
          </w:p>
        </w:tc>
        <w:tc>
          <w:tcPr>
            <w:tcW w:w="0" w:type="auto"/>
            <w:vAlign w:val="center"/>
          </w:tcPr>
          <w:p w:rsidR="00024C0A" w:rsidRDefault="00694C0F">
            <w:pPr>
              <w:pStyle w:val="TableBodyText"/>
            </w:pPr>
            <w:r>
              <w:t>08A6</w:t>
            </w:r>
          </w:p>
        </w:tc>
      </w:tr>
      <w:tr w:rsidR="00024C0A" w:rsidTr="00024C0A">
        <w:tc>
          <w:tcPr>
            <w:tcW w:w="0" w:type="auto"/>
            <w:vAlign w:val="center"/>
          </w:tcPr>
          <w:p w:rsidR="00024C0A" w:rsidRDefault="00694C0F">
            <w:pPr>
              <w:pStyle w:val="TableBodyText"/>
            </w:pPr>
            <w:r>
              <w:t>TableAutoFormat</w:t>
            </w:r>
          </w:p>
        </w:tc>
        <w:tc>
          <w:tcPr>
            <w:tcW w:w="0" w:type="auto"/>
            <w:vAlign w:val="center"/>
          </w:tcPr>
          <w:p w:rsidR="00024C0A" w:rsidRDefault="00694C0F">
            <w:pPr>
              <w:pStyle w:val="TableBodyText"/>
            </w:pPr>
            <w:r>
              <w:t>0233</w:t>
            </w:r>
          </w:p>
        </w:tc>
      </w:tr>
      <w:tr w:rsidR="00024C0A" w:rsidTr="00024C0A">
        <w:tc>
          <w:tcPr>
            <w:tcW w:w="0" w:type="auto"/>
            <w:vAlign w:val="center"/>
          </w:tcPr>
          <w:p w:rsidR="00024C0A" w:rsidRDefault="00694C0F">
            <w:pPr>
              <w:pStyle w:val="TableBodyText"/>
            </w:pPr>
            <w:r>
              <w:t>TableAutoFormatStyle</w:t>
            </w:r>
          </w:p>
        </w:tc>
        <w:tc>
          <w:tcPr>
            <w:tcW w:w="0" w:type="auto"/>
            <w:vAlign w:val="center"/>
          </w:tcPr>
          <w:p w:rsidR="00024C0A" w:rsidRDefault="00694C0F">
            <w:pPr>
              <w:pStyle w:val="TableBodyText"/>
            </w:pPr>
            <w:r>
              <w:t>055F</w:t>
            </w:r>
          </w:p>
        </w:tc>
      </w:tr>
      <w:tr w:rsidR="00024C0A" w:rsidTr="00024C0A">
        <w:tc>
          <w:tcPr>
            <w:tcW w:w="0" w:type="auto"/>
            <w:vAlign w:val="center"/>
          </w:tcPr>
          <w:p w:rsidR="00024C0A" w:rsidRDefault="00694C0F">
            <w:pPr>
              <w:pStyle w:val="TableBodyText"/>
            </w:pPr>
            <w:r>
              <w:t>TableAutoSum</w:t>
            </w:r>
          </w:p>
        </w:tc>
        <w:tc>
          <w:tcPr>
            <w:tcW w:w="0" w:type="auto"/>
            <w:vAlign w:val="center"/>
          </w:tcPr>
          <w:p w:rsidR="00024C0A" w:rsidRDefault="00694C0F">
            <w:pPr>
              <w:pStyle w:val="TableBodyText"/>
            </w:pPr>
            <w:r>
              <w:t>0281</w:t>
            </w:r>
          </w:p>
        </w:tc>
      </w:tr>
      <w:tr w:rsidR="00024C0A" w:rsidTr="00024C0A">
        <w:tc>
          <w:tcPr>
            <w:tcW w:w="0" w:type="auto"/>
            <w:vAlign w:val="center"/>
          </w:tcPr>
          <w:p w:rsidR="00024C0A" w:rsidRDefault="00694C0F">
            <w:pPr>
              <w:pStyle w:val="TableBodyText"/>
            </w:pPr>
            <w:r>
              <w:t>TableColumnWidth</w:t>
            </w:r>
          </w:p>
        </w:tc>
        <w:tc>
          <w:tcPr>
            <w:tcW w:w="0" w:type="auto"/>
            <w:vAlign w:val="center"/>
          </w:tcPr>
          <w:p w:rsidR="00024C0A" w:rsidRDefault="00694C0F">
            <w:pPr>
              <w:pStyle w:val="TableBodyText"/>
            </w:pPr>
            <w:r>
              <w:t>008F</w:t>
            </w:r>
          </w:p>
        </w:tc>
      </w:tr>
      <w:tr w:rsidR="00024C0A" w:rsidTr="00024C0A">
        <w:tc>
          <w:tcPr>
            <w:tcW w:w="0" w:type="auto"/>
            <w:vAlign w:val="center"/>
          </w:tcPr>
          <w:p w:rsidR="00024C0A" w:rsidRDefault="00694C0F">
            <w:pPr>
              <w:pStyle w:val="TableBodyText"/>
            </w:pPr>
            <w:r>
              <w:t>TableColumnWidthSpinner</w:t>
            </w:r>
          </w:p>
        </w:tc>
        <w:tc>
          <w:tcPr>
            <w:tcW w:w="0" w:type="auto"/>
            <w:vAlign w:val="center"/>
          </w:tcPr>
          <w:p w:rsidR="00024C0A" w:rsidRDefault="00694C0F">
            <w:pPr>
              <w:pStyle w:val="TableBodyText"/>
            </w:pPr>
            <w:r>
              <w:t>091F</w:t>
            </w:r>
          </w:p>
        </w:tc>
      </w:tr>
      <w:tr w:rsidR="00024C0A" w:rsidTr="00024C0A">
        <w:tc>
          <w:tcPr>
            <w:tcW w:w="0" w:type="auto"/>
            <w:vAlign w:val="center"/>
          </w:tcPr>
          <w:p w:rsidR="00024C0A" w:rsidRDefault="00694C0F">
            <w:pPr>
              <w:pStyle w:val="TableBodyText"/>
            </w:pPr>
            <w:r>
              <w:t>TableDeleteCells</w:t>
            </w:r>
          </w:p>
        </w:tc>
        <w:tc>
          <w:tcPr>
            <w:tcW w:w="0" w:type="auto"/>
            <w:vAlign w:val="center"/>
          </w:tcPr>
          <w:p w:rsidR="00024C0A" w:rsidRDefault="00694C0F">
            <w:pPr>
              <w:pStyle w:val="TableBodyText"/>
            </w:pPr>
            <w:r>
              <w:t>0085</w:t>
            </w:r>
          </w:p>
        </w:tc>
      </w:tr>
      <w:tr w:rsidR="00024C0A" w:rsidTr="00024C0A">
        <w:tc>
          <w:tcPr>
            <w:tcW w:w="0" w:type="auto"/>
            <w:vAlign w:val="center"/>
          </w:tcPr>
          <w:p w:rsidR="00024C0A" w:rsidRDefault="00694C0F">
            <w:pPr>
              <w:pStyle w:val="TableBodyText"/>
            </w:pPr>
            <w:r>
              <w:t>TableDeleteColumn</w:t>
            </w:r>
          </w:p>
        </w:tc>
        <w:tc>
          <w:tcPr>
            <w:tcW w:w="0" w:type="auto"/>
            <w:vAlign w:val="center"/>
          </w:tcPr>
          <w:p w:rsidR="00024C0A" w:rsidRDefault="00694C0F">
            <w:pPr>
              <w:pStyle w:val="TableBodyText"/>
            </w:pPr>
            <w:r>
              <w:t>0087</w:t>
            </w:r>
          </w:p>
        </w:tc>
      </w:tr>
      <w:tr w:rsidR="00024C0A" w:rsidTr="00024C0A">
        <w:tc>
          <w:tcPr>
            <w:tcW w:w="0" w:type="auto"/>
            <w:vAlign w:val="center"/>
          </w:tcPr>
          <w:p w:rsidR="00024C0A" w:rsidRDefault="00694C0F">
            <w:pPr>
              <w:pStyle w:val="TableBodyText"/>
            </w:pPr>
            <w:r>
              <w:t>TableDeleteGeneral</w:t>
            </w:r>
          </w:p>
        </w:tc>
        <w:tc>
          <w:tcPr>
            <w:tcW w:w="0" w:type="auto"/>
            <w:vAlign w:val="center"/>
          </w:tcPr>
          <w:p w:rsidR="00024C0A" w:rsidRDefault="00694C0F">
            <w:pPr>
              <w:pStyle w:val="TableBodyText"/>
            </w:pPr>
            <w:r>
              <w:t>0145</w:t>
            </w:r>
          </w:p>
        </w:tc>
      </w:tr>
      <w:tr w:rsidR="00024C0A" w:rsidTr="00024C0A">
        <w:tc>
          <w:tcPr>
            <w:tcW w:w="0" w:type="auto"/>
            <w:vAlign w:val="center"/>
          </w:tcPr>
          <w:p w:rsidR="00024C0A" w:rsidRDefault="00694C0F">
            <w:pPr>
              <w:pStyle w:val="TableBodyText"/>
            </w:pPr>
            <w:r>
              <w:t>TableDeleteRow</w:t>
            </w:r>
          </w:p>
        </w:tc>
        <w:tc>
          <w:tcPr>
            <w:tcW w:w="0" w:type="auto"/>
            <w:vAlign w:val="center"/>
          </w:tcPr>
          <w:p w:rsidR="00024C0A" w:rsidRDefault="00694C0F">
            <w:pPr>
              <w:pStyle w:val="TableBodyText"/>
            </w:pPr>
            <w:r>
              <w:t>0086</w:t>
            </w:r>
          </w:p>
        </w:tc>
      </w:tr>
      <w:tr w:rsidR="00024C0A" w:rsidTr="00024C0A">
        <w:tc>
          <w:tcPr>
            <w:tcW w:w="0" w:type="auto"/>
            <w:vAlign w:val="center"/>
          </w:tcPr>
          <w:p w:rsidR="00024C0A" w:rsidRDefault="00694C0F">
            <w:pPr>
              <w:pStyle w:val="TableBodyText"/>
            </w:pPr>
            <w:r>
              <w:t>TableDeleteTable</w:t>
            </w:r>
          </w:p>
        </w:tc>
        <w:tc>
          <w:tcPr>
            <w:tcW w:w="0" w:type="auto"/>
            <w:vAlign w:val="center"/>
          </w:tcPr>
          <w:p w:rsidR="00024C0A" w:rsidRDefault="00694C0F">
            <w:pPr>
              <w:pStyle w:val="TableBodyText"/>
            </w:pPr>
            <w:r>
              <w:t>0436</w:t>
            </w:r>
          </w:p>
        </w:tc>
      </w:tr>
      <w:tr w:rsidR="00024C0A" w:rsidTr="00024C0A">
        <w:tc>
          <w:tcPr>
            <w:tcW w:w="0" w:type="auto"/>
            <w:vAlign w:val="center"/>
          </w:tcPr>
          <w:p w:rsidR="00024C0A" w:rsidRDefault="00694C0F">
            <w:pPr>
              <w:pStyle w:val="TableBodyText"/>
            </w:pPr>
            <w:r>
              <w:t>TableFormatCell</w:t>
            </w:r>
          </w:p>
        </w:tc>
        <w:tc>
          <w:tcPr>
            <w:tcW w:w="0" w:type="auto"/>
            <w:vAlign w:val="center"/>
          </w:tcPr>
          <w:p w:rsidR="00024C0A" w:rsidRDefault="00694C0F">
            <w:pPr>
              <w:pStyle w:val="TableBodyText"/>
            </w:pPr>
            <w:r>
              <w:t>0264</w:t>
            </w:r>
          </w:p>
        </w:tc>
      </w:tr>
      <w:tr w:rsidR="00024C0A" w:rsidTr="00024C0A">
        <w:tc>
          <w:tcPr>
            <w:tcW w:w="0" w:type="auto"/>
            <w:vAlign w:val="center"/>
          </w:tcPr>
          <w:p w:rsidR="00024C0A" w:rsidRDefault="00694C0F">
            <w:pPr>
              <w:pStyle w:val="TableBodyText"/>
            </w:pPr>
            <w:r>
              <w:t>TableFormula</w:t>
            </w:r>
          </w:p>
        </w:tc>
        <w:tc>
          <w:tcPr>
            <w:tcW w:w="0" w:type="auto"/>
            <w:vAlign w:val="center"/>
          </w:tcPr>
          <w:p w:rsidR="00024C0A" w:rsidRDefault="00694C0F">
            <w:pPr>
              <w:pStyle w:val="TableBodyText"/>
            </w:pPr>
            <w:r>
              <w:t>015C</w:t>
            </w:r>
          </w:p>
        </w:tc>
      </w:tr>
      <w:tr w:rsidR="00024C0A" w:rsidTr="00024C0A">
        <w:tc>
          <w:tcPr>
            <w:tcW w:w="0" w:type="auto"/>
            <w:vAlign w:val="center"/>
          </w:tcPr>
          <w:p w:rsidR="00024C0A" w:rsidRDefault="00694C0F">
            <w:pPr>
              <w:pStyle w:val="TableBodyText"/>
            </w:pPr>
            <w:r>
              <w:lastRenderedPageBreak/>
              <w:t>TableGridlines</w:t>
            </w:r>
          </w:p>
        </w:tc>
        <w:tc>
          <w:tcPr>
            <w:tcW w:w="0" w:type="auto"/>
            <w:vAlign w:val="center"/>
          </w:tcPr>
          <w:p w:rsidR="00024C0A" w:rsidRDefault="00694C0F">
            <w:pPr>
              <w:pStyle w:val="TableBodyText"/>
            </w:pPr>
            <w:r>
              <w:t>0090</w:t>
            </w:r>
          </w:p>
        </w:tc>
      </w:tr>
      <w:tr w:rsidR="00024C0A" w:rsidTr="00024C0A">
        <w:tc>
          <w:tcPr>
            <w:tcW w:w="0" w:type="auto"/>
            <w:vAlign w:val="center"/>
          </w:tcPr>
          <w:p w:rsidR="00024C0A" w:rsidRDefault="00694C0F">
            <w:pPr>
              <w:pStyle w:val="TableBodyText"/>
            </w:pPr>
            <w:r>
              <w:t>TableHeadings</w:t>
            </w:r>
          </w:p>
        </w:tc>
        <w:tc>
          <w:tcPr>
            <w:tcW w:w="0" w:type="auto"/>
            <w:vAlign w:val="center"/>
          </w:tcPr>
          <w:p w:rsidR="00024C0A" w:rsidRDefault="00694C0F">
            <w:pPr>
              <w:pStyle w:val="TableBodyText"/>
            </w:pPr>
            <w:r>
              <w:t>0256</w:t>
            </w:r>
          </w:p>
        </w:tc>
      </w:tr>
      <w:tr w:rsidR="00024C0A" w:rsidTr="00024C0A">
        <w:tc>
          <w:tcPr>
            <w:tcW w:w="0" w:type="auto"/>
            <w:vAlign w:val="center"/>
          </w:tcPr>
          <w:p w:rsidR="00024C0A" w:rsidRDefault="00694C0F">
            <w:pPr>
              <w:pStyle w:val="TableBodyText"/>
            </w:pPr>
            <w:r>
              <w:t>TableInsertCells</w:t>
            </w:r>
          </w:p>
        </w:tc>
        <w:tc>
          <w:tcPr>
            <w:tcW w:w="0" w:type="auto"/>
            <w:vAlign w:val="center"/>
          </w:tcPr>
          <w:p w:rsidR="00024C0A" w:rsidRDefault="00694C0F">
            <w:pPr>
              <w:pStyle w:val="TableBodyText"/>
            </w:pPr>
            <w:r>
              <w:t>0082</w:t>
            </w:r>
          </w:p>
        </w:tc>
      </w:tr>
      <w:tr w:rsidR="00024C0A" w:rsidTr="00024C0A">
        <w:tc>
          <w:tcPr>
            <w:tcW w:w="0" w:type="auto"/>
            <w:vAlign w:val="center"/>
          </w:tcPr>
          <w:p w:rsidR="00024C0A" w:rsidRDefault="00694C0F">
            <w:pPr>
              <w:pStyle w:val="TableBodyText"/>
            </w:pPr>
            <w:r>
              <w:t>TableInsertCells2</w:t>
            </w:r>
          </w:p>
        </w:tc>
        <w:tc>
          <w:tcPr>
            <w:tcW w:w="0" w:type="auto"/>
            <w:vAlign w:val="center"/>
          </w:tcPr>
          <w:p w:rsidR="00024C0A" w:rsidRDefault="00694C0F">
            <w:pPr>
              <w:pStyle w:val="TableBodyText"/>
            </w:pPr>
            <w:r>
              <w:t>0977</w:t>
            </w:r>
          </w:p>
        </w:tc>
      </w:tr>
      <w:tr w:rsidR="00024C0A" w:rsidTr="00024C0A">
        <w:tc>
          <w:tcPr>
            <w:tcW w:w="0" w:type="auto"/>
            <w:vAlign w:val="center"/>
          </w:tcPr>
          <w:p w:rsidR="00024C0A" w:rsidRDefault="00694C0F">
            <w:pPr>
              <w:pStyle w:val="TableBodyText"/>
            </w:pPr>
            <w:r>
              <w:t>TableInsertColumn</w:t>
            </w:r>
          </w:p>
        </w:tc>
        <w:tc>
          <w:tcPr>
            <w:tcW w:w="0" w:type="auto"/>
            <w:vAlign w:val="center"/>
          </w:tcPr>
          <w:p w:rsidR="00024C0A" w:rsidRDefault="00694C0F">
            <w:pPr>
              <w:pStyle w:val="TableBodyText"/>
            </w:pPr>
            <w:r>
              <w:t>0084</w:t>
            </w:r>
          </w:p>
        </w:tc>
      </w:tr>
      <w:tr w:rsidR="00024C0A" w:rsidTr="00024C0A">
        <w:tc>
          <w:tcPr>
            <w:tcW w:w="0" w:type="auto"/>
            <w:vAlign w:val="center"/>
          </w:tcPr>
          <w:p w:rsidR="00024C0A" w:rsidRDefault="00694C0F">
            <w:pPr>
              <w:pStyle w:val="TableBodyText"/>
            </w:pPr>
            <w:r>
              <w:t>TableInsertColumnRight</w:t>
            </w:r>
          </w:p>
        </w:tc>
        <w:tc>
          <w:tcPr>
            <w:tcW w:w="0" w:type="auto"/>
            <w:vAlign w:val="center"/>
          </w:tcPr>
          <w:p w:rsidR="00024C0A" w:rsidRDefault="00694C0F">
            <w:pPr>
              <w:pStyle w:val="TableBodyText"/>
            </w:pPr>
            <w:r>
              <w:t>0435</w:t>
            </w:r>
          </w:p>
        </w:tc>
      </w:tr>
      <w:tr w:rsidR="00024C0A" w:rsidTr="00024C0A">
        <w:tc>
          <w:tcPr>
            <w:tcW w:w="0" w:type="auto"/>
            <w:vAlign w:val="center"/>
          </w:tcPr>
          <w:p w:rsidR="00024C0A" w:rsidRDefault="00694C0F">
            <w:pPr>
              <w:pStyle w:val="TableBodyText"/>
            </w:pPr>
            <w:r>
              <w:t>TableInsertGeneral</w:t>
            </w:r>
          </w:p>
        </w:tc>
        <w:tc>
          <w:tcPr>
            <w:tcW w:w="0" w:type="auto"/>
            <w:vAlign w:val="center"/>
          </w:tcPr>
          <w:p w:rsidR="00024C0A" w:rsidRDefault="00694C0F">
            <w:pPr>
              <w:pStyle w:val="TableBodyText"/>
            </w:pPr>
            <w:r>
              <w:t>0144</w:t>
            </w:r>
          </w:p>
        </w:tc>
      </w:tr>
      <w:tr w:rsidR="00024C0A" w:rsidTr="00024C0A">
        <w:tc>
          <w:tcPr>
            <w:tcW w:w="0" w:type="auto"/>
            <w:vAlign w:val="center"/>
          </w:tcPr>
          <w:p w:rsidR="00024C0A" w:rsidRDefault="00694C0F">
            <w:pPr>
              <w:pStyle w:val="TableBodyText"/>
            </w:pPr>
            <w:r>
              <w:t>TableInsertRow</w:t>
            </w:r>
          </w:p>
        </w:tc>
        <w:tc>
          <w:tcPr>
            <w:tcW w:w="0" w:type="auto"/>
            <w:vAlign w:val="center"/>
          </w:tcPr>
          <w:p w:rsidR="00024C0A" w:rsidRDefault="00694C0F">
            <w:pPr>
              <w:pStyle w:val="TableBodyText"/>
            </w:pPr>
            <w:r>
              <w:t>0083</w:t>
            </w:r>
          </w:p>
        </w:tc>
      </w:tr>
      <w:tr w:rsidR="00024C0A" w:rsidTr="00024C0A">
        <w:tc>
          <w:tcPr>
            <w:tcW w:w="0" w:type="auto"/>
            <w:vAlign w:val="center"/>
          </w:tcPr>
          <w:p w:rsidR="00024C0A" w:rsidRDefault="00694C0F">
            <w:pPr>
              <w:pStyle w:val="TableBodyText"/>
            </w:pPr>
            <w:r>
              <w:t>TableInsertRowAbove</w:t>
            </w:r>
          </w:p>
        </w:tc>
        <w:tc>
          <w:tcPr>
            <w:tcW w:w="0" w:type="auto"/>
            <w:vAlign w:val="center"/>
          </w:tcPr>
          <w:p w:rsidR="00024C0A" w:rsidRDefault="00694C0F">
            <w:pPr>
              <w:pStyle w:val="TableBodyText"/>
            </w:pPr>
            <w:r>
              <w:t>0448</w:t>
            </w:r>
          </w:p>
        </w:tc>
      </w:tr>
      <w:tr w:rsidR="00024C0A" w:rsidTr="00024C0A">
        <w:tc>
          <w:tcPr>
            <w:tcW w:w="0" w:type="auto"/>
            <w:vAlign w:val="center"/>
          </w:tcPr>
          <w:p w:rsidR="00024C0A" w:rsidRDefault="00694C0F">
            <w:pPr>
              <w:pStyle w:val="TableBodyText"/>
            </w:pPr>
            <w:r>
              <w:t>TableInsertRowBelow</w:t>
            </w:r>
          </w:p>
        </w:tc>
        <w:tc>
          <w:tcPr>
            <w:tcW w:w="0" w:type="auto"/>
            <w:vAlign w:val="center"/>
          </w:tcPr>
          <w:p w:rsidR="00024C0A" w:rsidRDefault="00694C0F">
            <w:pPr>
              <w:pStyle w:val="TableBodyText"/>
            </w:pPr>
            <w:r>
              <w:t>0434</w:t>
            </w:r>
          </w:p>
        </w:tc>
      </w:tr>
      <w:tr w:rsidR="00024C0A" w:rsidTr="00024C0A">
        <w:tc>
          <w:tcPr>
            <w:tcW w:w="0" w:type="auto"/>
            <w:vAlign w:val="center"/>
          </w:tcPr>
          <w:p w:rsidR="00024C0A" w:rsidRDefault="00694C0F">
            <w:pPr>
              <w:pStyle w:val="TableBodyText"/>
            </w:pPr>
            <w:r>
              <w:t>TableInsertTable</w:t>
            </w:r>
          </w:p>
        </w:tc>
        <w:tc>
          <w:tcPr>
            <w:tcW w:w="0" w:type="auto"/>
            <w:vAlign w:val="center"/>
          </w:tcPr>
          <w:p w:rsidR="00024C0A" w:rsidRDefault="00694C0F">
            <w:pPr>
              <w:pStyle w:val="TableBodyText"/>
            </w:pPr>
            <w:r>
              <w:t>0081</w:t>
            </w:r>
          </w:p>
        </w:tc>
      </w:tr>
      <w:tr w:rsidR="00024C0A" w:rsidTr="00024C0A">
        <w:tc>
          <w:tcPr>
            <w:tcW w:w="0" w:type="auto"/>
            <w:vAlign w:val="center"/>
          </w:tcPr>
          <w:p w:rsidR="00024C0A" w:rsidRDefault="00694C0F">
            <w:pPr>
              <w:pStyle w:val="TableBodyText"/>
            </w:pPr>
            <w:r>
              <w:t>TableInsertTableEG</w:t>
            </w:r>
          </w:p>
        </w:tc>
        <w:tc>
          <w:tcPr>
            <w:tcW w:w="0" w:type="auto"/>
            <w:vAlign w:val="center"/>
          </w:tcPr>
          <w:p w:rsidR="00024C0A" w:rsidRDefault="00694C0F">
            <w:pPr>
              <w:pStyle w:val="TableBodyText"/>
            </w:pPr>
            <w:r>
              <w:t>0437</w:t>
            </w:r>
          </w:p>
        </w:tc>
      </w:tr>
      <w:tr w:rsidR="00024C0A" w:rsidTr="00024C0A">
        <w:tc>
          <w:tcPr>
            <w:tcW w:w="0" w:type="auto"/>
            <w:vAlign w:val="center"/>
          </w:tcPr>
          <w:p w:rsidR="00024C0A" w:rsidRDefault="00694C0F">
            <w:pPr>
              <w:pStyle w:val="TableBodyText"/>
            </w:pPr>
            <w:r>
              <w:t>TableMergeCells</w:t>
            </w:r>
          </w:p>
        </w:tc>
        <w:tc>
          <w:tcPr>
            <w:tcW w:w="0" w:type="auto"/>
            <w:vAlign w:val="center"/>
          </w:tcPr>
          <w:p w:rsidR="00024C0A" w:rsidRDefault="00694C0F">
            <w:pPr>
              <w:pStyle w:val="TableBodyText"/>
            </w:pPr>
            <w:r>
              <w:t>0088</w:t>
            </w:r>
          </w:p>
        </w:tc>
      </w:tr>
      <w:tr w:rsidR="00024C0A" w:rsidTr="00024C0A">
        <w:tc>
          <w:tcPr>
            <w:tcW w:w="0" w:type="auto"/>
            <w:vAlign w:val="center"/>
          </w:tcPr>
          <w:p w:rsidR="00024C0A" w:rsidRDefault="00694C0F">
            <w:pPr>
              <w:pStyle w:val="TableBodyText"/>
            </w:pPr>
            <w:r>
              <w:t>TableOfContentsGallery</w:t>
            </w:r>
          </w:p>
        </w:tc>
        <w:tc>
          <w:tcPr>
            <w:tcW w:w="0" w:type="auto"/>
            <w:vAlign w:val="center"/>
          </w:tcPr>
          <w:p w:rsidR="00024C0A" w:rsidRDefault="00694C0F">
            <w:pPr>
              <w:pStyle w:val="TableBodyText"/>
            </w:pPr>
            <w:r>
              <w:t>0911</w:t>
            </w:r>
          </w:p>
        </w:tc>
      </w:tr>
      <w:tr w:rsidR="00024C0A" w:rsidTr="00024C0A">
        <w:tc>
          <w:tcPr>
            <w:tcW w:w="0" w:type="auto"/>
            <w:vAlign w:val="center"/>
          </w:tcPr>
          <w:p w:rsidR="00024C0A" w:rsidRDefault="00694C0F">
            <w:pPr>
              <w:pStyle w:val="TableBodyText"/>
            </w:pPr>
            <w:r>
              <w:t>TableOptions</w:t>
            </w:r>
          </w:p>
        </w:tc>
        <w:tc>
          <w:tcPr>
            <w:tcW w:w="0" w:type="auto"/>
            <w:vAlign w:val="center"/>
          </w:tcPr>
          <w:p w:rsidR="00024C0A" w:rsidRDefault="00694C0F">
            <w:pPr>
              <w:pStyle w:val="TableBodyText"/>
            </w:pPr>
            <w:r>
              <w:t>0438</w:t>
            </w:r>
          </w:p>
        </w:tc>
      </w:tr>
      <w:tr w:rsidR="00024C0A" w:rsidTr="00024C0A">
        <w:tc>
          <w:tcPr>
            <w:tcW w:w="0" w:type="auto"/>
            <w:vAlign w:val="center"/>
          </w:tcPr>
          <w:p w:rsidR="00024C0A" w:rsidRDefault="00694C0F">
            <w:pPr>
              <w:pStyle w:val="TableBodyText"/>
            </w:pPr>
            <w:r>
              <w:t>TableProperties</w:t>
            </w:r>
          </w:p>
        </w:tc>
        <w:tc>
          <w:tcPr>
            <w:tcW w:w="0" w:type="auto"/>
            <w:vAlign w:val="center"/>
          </w:tcPr>
          <w:p w:rsidR="00024C0A" w:rsidRDefault="00694C0F">
            <w:pPr>
              <w:pStyle w:val="TableBodyText"/>
            </w:pPr>
            <w:r>
              <w:t>035D</w:t>
            </w:r>
          </w:p>
        </w:tc>
      </w:tr>
      <w:tr w:rsidR="00024C0A" w:rsidTr="00024C0A">
        <w:tc>
          <w:tcPr>
            <w:tcW w:w="0" w:type="auto"/>
            <w:vAlign w:val="center"/>
          </w:tcPr>
          <w:p w:rsidR="00024C0A" w:rsidRDefault="00694C0F">
            <w:pPr>
              <w:pStyle w:val="TableBodyText"/>
            </w:pPr>
            <w:r>
              <w:t>TableRowHeight</w:t>
            </w:r>
          </w:p>
        </w:tc>
        <w:tc>
          <w:tcPr>
            <w:tcW w:w="0" w:type="auto"/>
            <w:vAlign w:val="center"/>
          </w:tcPr>
          <w:p w:rsidR="00024C0A" w:rsidRDefault="00694C0F">
            <w:pPr>
              <w:pStyle w:val="TableBodyText"/>
            </w:pPr>
            <w:r>
              <w:t>008E</w:t>
            </w:r>
          </w:p>
        </w:tc>
      </w:tr>
      <w:tr w:rsidR="00024C0A" w:rsidTr="00024C0A">
        <w:tc>
          <w:tcPr>
            <w:tcW w:w="0" w:type="auto"/>
            <w:vAlign w:val="center"/>
          </w:tcPr>
          <w:p w:rsidR="00024C0A" w:rsidRDefault="00694C0F">
            <w:pPr>
              <w:pStyle w:val="TableBodyText"/>
            </w:pPr>
            <w:r>
              <w:t>TableRowHeightSpinner</w:t>
            </w:r>
          </w:p>
        </w:tc>
        <w:tc>
          <w:tcPr>
            <w:tcW w:w="0" w:type="auto"/>
            <w:vAlign w:val="center"/>
          </w:tcPr>
          <w:p w:rsidR="00024C0A" w:rsidRDefault="00694C0F">
            <w:pPr>
              <w:pStyle w:val="TableBodyText"/>
            </w:pPr>
            <w:r>
              <w:t>0920</w:t>
            </w:r>
          </w:p>
        </w:tc>
      </w:tr>
      <w:tr w:rsidR="00024C0A" w:rsidTr="00024C0A">
        <w:tc>
          <w:tcPr>
            <w:tcW w:w="0" w:type="auto"/>
            <w:vAlign w:val="center"/>
          </w:tcPr>
          <w:p w:rsidR="00024C0A" w:rsidRDefault="00694C0F">
            <w:pPr>
              <w:pStyle w:val="TableBodyText"/>
            </w:pPr>
            <w:r>
              <w:t>TableSelectCell</w:t>
            </w:r>
          </w:p>
        </w:tc>
        <w:tc>
          <w:tcPr>
            <w:tcW w:w="0" w:type="auto"/>
            <w:vAlign w:val="center"/>
          </w:tcPr>
          <w:p w:rsidR="00024C0A" w:rsidRDefault="00694C0F">
            <w:pPr>
              <w:pStyle w:val="TableBodyText"/>
            </w:pPr>
            <w:r>
              <w:t>0433</w:t>
            </w:r>
          </w:p>
        </w:tc>
      </w:tr>
      <w:tr w:rsidR="00024C0A" w:rsidTr="00024C0A">
        <w:tc>
          <w:tcPr>
            <w:tcW w:w="0" w:type="auto"/>
            <w:vAlign w:val="center"/>
          </w:tcPr>
          <w:p w:rsidR="00024C0A" w:rsidRDefault="00694C0F">
            <w:pPr>
              <w:pStyle w:val="TableBodyText"/>
            </w:pPr>
            <w:r>
              <w:t>TableSelectColumn</w:t>
            </w:r>
          </w:p>
        </w:tc>
        <w:tc>
          <w:tcPr>
            <w:tcW w:w="0" w:type="auto"/>
            <w:vAlign w:val="center"/>
          </w:tcPr>
          <w:p w:rsidR="00024C0A" w:rsidRDefault="00694C0F">
            <w:pPr>
              <w:pStyle w:val="TableBodyText"/>
            </w:pPr>
            <w:r>
              <w:t>008D</w:t>
            </w:r>
          </w:p>
        </w:tc>
      </w:tr>
      <w:tr w:rsidR="00024C0A" w:rsidTr="00024C0A">
        <w:tc>
          <w:tcPr>
            <w:tcW w:w="0" w:type="auto"/>
            <w:vAlign w:val="center"/>
          </w:tcPr>
          <w:p w:rsidR="00024C0A" w:rsidRDefault="00694C0F">
            <w:pPr>
              <w:pStyle w:val="TableBodyText"/>
            </w:pPr>
            <w:r>
              <w:t>TableSelectRow</w:t>
            </w:r>
          </w:p>
        </w:tc>
        <w:tc>
          <w:tcPr>
            <w:tcW w:w="0" w:type="auto"/>
            <w:vAlign w:val="center"/>
          </w:tcPr>
          <w:p w:rsidR="00024C0A" w:rsidRDefault="00694C0F">
            <w:pPr>
              <w:pStyle w:val="TableBodyText"/>
            </w:pPr>
            <w:r>
              <w:t>008C</w:t>
            </w:r>
          </w:p>
        </w:tc>
      </w:tr>
      <w:tr w:rsidR="00024C0A" w:rsidTr="00024C0A">
        <w:tc>
          <w:tcPr>
            <w:tcW w:w="0" w:type="auto"/>
            <w:vAlign w:val="center"/>
          </w:tcPr>
          <w:p w:rsidR="00024C0A" w:rsidRDefault="00694C0F">
            <w:pPr>
              <w:pStyle w:val="TableBodyText"/>
            </w:pPr>
            <w:r>
              <w:t>TableSelectTable</w:t>
            </w:r>
          </w:p>
        </w:tc>
        <w:tc>
          <w:tcPr>
            <w:tcW w:w="0" w:type="auto"/>
            <w:vAlign w:val="center"/>
          </w:tcPr>
          <w:p w:rsidR="00024C0A" w:rsidRDefault="00694C0F">
            <w:pPr>
              <w:pStyle w:val="TableBodyText"/>
            </w:pPr>
            <w:r>
              <w:t>008B</w:t>
            </w:r>
          </w:p>
        </w:tc>
      </w:tr>
      <w:tr w:rsidR="00024C0A" w:rsidTr="00024C0A">
        <w:tc>
          <w:tcPr>
            <w:tcW w:w="0" w:type="auto"/>
            <w:vAlign w:val="center"/>
          </w:tcPr>
          <w:p w:rsidR="00024C0A" w:rsidRDefault="00694C0F">
            <w:pPr>
              <w:pStyle w:val="TableBodyText"/>
            </w:pPr>
            <w:r>
              <w:t>TableSort</w:t>
            </w:r>
          </w:p>
        </w:tc>
        <w:tc>
          <w:tcPr>
            <w:tcW w:w="0" w:type="auto"/>
            <w:vAlign w:val="center"/>
          </w:tcPr>
          <w:p w:rsidR="00024C0A" w:rsidRDefault="00694C0F">
            <w:pPr>
              <w:pStyle w:val="TableBodyText"/>
            </w:pPr>
            <w:r>
              <w:t>00C7</w:t>
            </w:r>
          </w:p>
        </w:tc>
      </w:tr>
      <w:tr w:rsidR="00024C0A" w:rsidTr="00024C0A">
        <w:tc>
          <w:tcPr>
            <w:tcW w:w="0" w:type="auto"/>
            <w:vAlign w:val="center"/>
          </w:tcPr>
          <w:p w:rsidR="00024C0A" w:rsidRDefault="00694C0F">
            <w:pPr>
              <w:pStyle w:val="TableBodyText"/>
            </w:pPr>
            <w:r>
              <w:t>TableSortAToZ</w:t>
            </w:r>
          </w:p>
        </w:tc>
        <w:tc>
          <w:tcPr>
            <w:tcW w:w="0" w:type="auto"/>
            <w:vAlign w:val="center"/>
          </w:tcPr>
          <w:p w:rsidR="00024C0A" w:rsidRDefault="00694C0F">
            <w:pPr>
              <w:pStyle w:val="TableBodyText"/>
            </w:pPr>
            <w:r>
              <w:t>0189</w:t>
            </w:r>
          </w:p>
        </w:tc>
      </w:tr>
      <w:tr w:rsidR="00024C0A" w:rsidTr="00024C0A">
        <w:tc>
          <w:tcPr>
            <w:tcW w:w="0" w:type="auto"/>
            <w:vAlign w:val="center"/>
          </w:tcPr>
          <w:p w:rsidR="00024C0A" w:rsidRDefault="00694C0F">
            <w:pPr>
              <w:pStyle w:val="TableBodyText"/>
            </w:pPr>
            <w:r>
              <w:t>TableSortZToA</w:t>
            </w:r>
          </w:p>
        </w:tc>
        <w:tc>
          <w:tcPr>
            <w:tcW w:w="0" w:type="auto"/>
            <w:vAlign w:val="center"/>
          </w:tcPr>
          <w:p w:rsidR="00024C0A" w:rsidRDefault="00694C0F">
            <w:pPr>
              <w:pStyle w:val="TableBodyText"/>
            </w:pPr>
            <w:r>
              <w:t>018A</w:t>
            </w:r>
          </w:p>
        </w:tc>
      </w:tr>
      <w:tr w:rsidR="00024C0A" w:rsidTr="00024C0A">
        <w:tc>
          <w:tcPr>
            <w:tcW w:w="0" w:type="auto"/>
            <w:vAlign w:val="center"/>
          </w:tcPr>
          <w:p w:rsidR="00024C0A" w:rsidRDefault="00694C0F">
            <w:pPr>
              <w:pStyle w:val="TableBodyText"/>
            </w:pPr>
            <w:r>
              <w:t>TableSplit</w:t>
            </w:r>
          </w:p>
        </w:tc>
        <w:tc>
          <w:tcPr>
            <w:tcW w:w="0" w:type="auto"/>
            <w:vAlign w:val="center"/>
          </w:tcPr>
          <w:p w:rsidR="00024C0A" w:rsidRDefault="00694C0F">
            <w:pPr>
              <w:pStyle w:val="TableBodyText"/>
            </w:pPr>
            <w:r>
              <w:t>008A</w:t>
            </w:r>
          </w:p>
        </w:tc>
      </w:tr>
      <w:tr w:rsidR="00024C0A" w:rsidTr="00024C0A">
        <w:tc>
          <w:tcPr>
            <w:tcW w:w="0" w:type="auto"/>
            <w:vAlign w:val="center"/>
          </w:tcPr>
          <w:p w:rsidR="00024C0A" w:rsidRDefault="00694C0F">
            <w:pPr>
              <w:pStyle w:val="TableBodyText"/>
            </w:pPr>
            <w:r>
              <w:t>TableSplitCells</w:t>
            </w:r>
          </w:p>
        </w:tc>
        <w:tc>
          <w:tcPr>
            <w:tcW w:w="0" w:type="auto"/>
            <w:vAlign w:val="center"/>
          </w:tcPr>
          <w:p w:rsidR="00024C0A" w:rsidRDefault="00694C0F">
            <w:pPr>
              <w:pStyle w:val="TableBodyText"/>
            </w:pPr>
            <w:r>
              <w:t>0089</w:t>
            </w:r>
          </w:p>
        </w:tc>
      </w:tr>
      <w:tr w:rsidR="00024C0A" w:rsidTr="00024C0A">
        <w:tc>
          <w:tcPr>
            <w:tcW w:w="0" w:type="auto"/>
            <w:vAlign w:val="center"/>
          </w:tcPr>
          <w:p w:rsidR="00024C0A" w:rsidRDefault="00694C0F">
            <w:pPr>
              <w:pStyle w:val="TableBodyText"/>
            </w:pPr>
            <w:r>
              <w:t>TableStyleNew</w:t>
            </w:r>
          </w:p>
        </w:tc>
        <w:tc>
          <w:tcPr>
            <w:tcW w:w="0" w:type="auto"/>
            <w:vAlign w:val="center"/>
          </w:tcPr>
          <w:p w:rsidR="00024C0A" w:rsidRDefault="00694C0F">
            <w:pPr>
              <w:pStyle w:val="TableBodyText"/>
            </w:pPr>
            <w:r>
              <w:t>09A2</w:t>
            </w:r>
          </w:p>
        </w:tc>
      </w:tr>
      <w:tr w:rsidR="00024C0A" w:rsidTr="00024C0A">
        <w:tc>
          <w:tcPr>
            <w:tcW w:w="0" w:type="auto"/>
            <w:vAlign w:val="center"/>
          </w:tcPr>
          <w:p w:rsidR="00024C0A" w:rsidRDefault="00694C0F">
            <w:pPr>
              <w:pStyle w:val="TableBodyText"/>
            </w:pPr>
            <w:r>
              <w:t>TableToOrFromText</w:t>
            </w:r>
          </w:p>
        </w:tc>
        <w:tc>
          <w:tcPr>
            <w:tcW w:w="0" w:type="auto"/>
            <w:vAlign w:val="center"/>
          </w:tcPr>
          <w:p w:rsidR="00024C0A" w:rsidRDefault="00694C0F">
            <w:pPr>
              <w:pStyle w:val="TableBodyText"/>
            </w:pPr>
            <w:r>
              <w:t>0147</w:t>
            </w:r>
          </w:p>
        </w:tc>
      </w:tr>
      <w:tr w:rsidR="00024C0A" w:rsidTr="00024C0A">
        <w:tc>
          <w:tcPr>
            <w:tcW w:w="0" w:type="auto"/>
            <w:vAlign w:val="center"/>
          </w:tcPr>
          <w:p w:rsidR="00024C0A" w:rsidRDefault="00694C0F">
            <w:pPr>
              <w:pStyle w:val="TableBodyText"/>
            </w:pPr>
            <w:r>
              <w:t>TableToText</w:t>
            </w:r>
          </w:p>
        </w:tc>
        <w:tc>
          <w:tcPr>
            <w:tcW w:w="0" w:type="auto"/>
            <w:vAlign w:val="center"/>
          </w:tcPr>
          <w:p w:rsidR="00024C0A" w:rsidRDefault="00694C0F">
            <w:pPr>
              <w:pStyle w:val="TableBodyText"/>
            </w:pPr>
            <w:r>
              <w:t>0080</w:t>
            </w:r>
          </w:p>
        </w:tc>
      </w:tr>
      <w:tr w:rsidR="00024C0A" w:rsidTr="00024C0A">
        <w:tc>
          <w:tcPr>
            <w:tcW w:w="0" w:type="auto"/>
            <w:vAlign w:val="center"/>
          </w:tcPr>
          <w:p w:rsidR="00024C0A" w:rsidRDefault="00694C0F">
            <w:pPr>
              <w:pStyle w:val="TableBodyText"/>
            </w:pPr>
            <w:r>
              <w:t>TableUpdateAutoFormat</w:t>
            </w:r>
          </w:p>
        </w:tc>
        <w:tc>
          <w:tcPr>
            <w:tcW w:w="0" w:type="auto"/>
            <w:vAlign w:val="center"/>
          </w:tcPr>
          <w:p w:rsidR="00024C0A" w:rsidRDefault="00694C0F">
            <w:pPr>
              <w:pStyle w:val="TableBodyText"/>
            </w:pPr>
            <w:r>
              <w:t>0272</w:t>
            </w:r>
          </w:p>
        </w:tc>
      </w:tr>
      <w:tr w:rsidR="00024C0A" w:rsidTr="00024C0A">
        <w:tc>
          <w:tcPr>
            <w:tcW w:w="0" w:type="auto"/>
            <w:vAlign w:val="center"/>
          </w:tcPr>
          <w:p w:rsidR="00024C0A" w:rsidRDefault="00694C0F">
            <w:pPr>
              <w:pStyle w:val="TableBodyText"/>
            </w:pPr>
            <w:r>
              <w:t>TableWizard</w:t>
            </w:r>
          </w:p>
        </w:tc>
        <w:tc>
          <w:tcPr>
            <w:tcW w:w="0" w:type="auto"/>
            <w:vAlign w:val="center"/>
          </w:tcPr>
          <w:p w:rsidR="00024C0A" w:rsidRDefault="00694C0F">
            <w:pPr>
              <w:pStyle w:val="TableBodyText"/>
            </w:pPr>
            <w:r>
              <w:t>0485</w:t>
            </w:r>
          </w:p>
        </w:tc>
      </w:tr>
      <w:tr w:rsidR="00024C0A" w:rsidTr="00024C0A">
        <w:tc>
          <w:tcPr>
            <w:tcW w:w="0" w:type="auto"/>
            <w:vAlign w:val="center"/>
          </w:tcPr>
          <w:p w:rsidR="00024C0A" w:rsidRDefault="00694C0F">
            <w:pPr>
              <w:pStyle w:val="TableBodyText"/>
            </w:pPr>
            <w:r>
              <w:lastRenderedPageBreak/>
              <w:t>TableWrapping</w:t>
            </w:r>
          </w:p>
        </w:tc>
        <w:tc>
          <w:tcPr>
            <w:tcW w:w="0" w:type="auto"/>
            <w:vAlign w:val="center"/>
          </w:tcPr>
          <w:p w:rsidR="00024C0A" w:rsidRDefault="00694C0F">
            <w:pPr>
              <w:pStyle w:val="TableBodyText"/>
            </w:pPr>
            <w:r>
              <w:t>0356</w:t>
            </w:r>
          </w:p>
        </w:tc>
      </w:tr>
      <w:tr w:rsidR="00024C0A" w:rsidTr="00024C0A">
        <w:tc>
          <w:tcPr>
            <w:tcW w:w="0" w:type="auto"/>
            <w:vAlign w:val="center"/>
          </w:tcPr>
          <w:p w:rsidR="00024C0A" w:rsidRDefault="00694C0F">
            <w:pPr>
              <w:pStyle w:val="TableBodyText"/>
            </w:pPr>
            <w:r>
              <w:t>TextBoxGallery</w:t>
            </w:r>
          </w:p>
        </w:tc>
        <w:tc>
          <w:tcPr>
            <w:tcW w:w="0" w:type="auto"/>
            <w:vAlign w:val="center"/>
          </w:tcPr>
          <w:p w:rsidR="00024C0A" w:rsidRDefault="00694C0F">
            <w:pPr>
              <w:pStyle w:val="TableBodyText"/>
            </w:pPr>
            <w:r>
              <w:t>08DF</w:t>
            </w:r>
          </w:p>
        </w:tc>
      </w:tr>
      <w:tr w:rsidR="00024C0A" w:rsidTr="00024C0A">
        <w:tc>
          <w:tcPr>
            <w:tcW w:w="0" w:type="auto"/>
            <w:vAlign w:val="center"/>
          </w:tcPr>
          <w:p w:rsidR="00024C0A" w:rsidRDefault="00694C0F">
            <w:pPr>
              <w:pStyle w:val="TableBodyText"/>
            </w:pPr>
            <w:r>
              <w:t>TextBoxLinking</w:t>
            </w:r>
          </w:p>
        </w:tc>
        <w:tc>
          <w:tcPr>
            <w:tcW w:w="0" w:type="auto"/>
            <w:vAlign w:val="center"/>
          </w:tcPr>
          <w:p w:rsidR="00024C0A" w:rsidRDefault="00694C0F">
            <w:pPr>
              <w:pStyle w:val="TableBodyText"/>
            </w:pPr>
            <w:r>
              <w:t>0348</w:t>
            </w:r>
          </w:p>
        </w:tc>
      </w:tr>
      <w:tr w:rsidR="00024C0A" w:rsidTr="00024C0A">
        <w:tc>
          <w:tcPr>
            <w:tcW w:w="0" w:type="auto"/>
            <w:vAlign w:val="center"/>
          </w:tcPr>
          <w:p w:rsidR="00024C0A" w:rsidRDefault="00694C0F">
            <w:pPr>
              <w:pStyle w:val="TableBodyText"/>
            </w:pPr>
            <w:r>
              <w:t>TextBoxUnlinking</w:t>
            </w:r>
          </w:p>
        </w:tc>
        <w:tc>
          <w:tcPr>
            <w:tcW w:w="0" w:type="auto"/>
            <w:vAlign w:val="center"/>
          </w:tcPr>
          <w:p w:rsidR="00024C0A" w:rsidRDefault="00694C0F">
            <w:pPr>
              <w:pStyle w:val="TableBodyText"/>
            </w:pPr>
            <w:r>
              <w:t>0349</w:t>
            </w:r>
          </w:p>
        </w:tc>
      </w:tr>
      <w:tr w:rsidR="00024C0A" w:rsidTr="00024C0A">
        <w:tc>
          <w:tcPr>
            <w:tcW w:w="0" w:type="auto"/>
            <w:vAlign w:val="center"/>
          </w:tcPr>
          <w:p w:rsidR="00024C0A" w:rsidRDefault="00694C0F">
            <w:pPr>
              <w:pStyle w:val="TableBodyText"/>
            </w:pPr>
            <w:r>
              <w:t>TextFlowGallery</w:t>
            </w:r>
          </w:p>
        </w:tc>
        <w:tc>
          <w:tcPr>
            <w:tcW w:w="0" w:type="auto"/>
            <w:vAlign w:val="center"/>
          </w:tcPr>
          <w:p w:rsidR="00024C0A" w:rsidRDefault="00694C0F">
            <w:pPr>
              <w:pStyle w:val="TableBodyText"/>
            </w:pPr>
            <w:r>
              <w:t>08C1</w:t>
            </w:r>
          </w:p>
        </w:tc>
      </w:tr>
      <w:tr w:rsidR="00024C0A" w:rsidTr="00024C0A">
        <w:tc>
          <w:tcPr>
            <w:tcW w:w="0" w:type="auto"/>
            <w:vAlign w:val="center"/>
          </w:tcPr>
          <w:p w:rsidR="00024C0A" w:rsidRDefault="00694C0F">
            <w:pPr>
              <w:pStyle w:val="TableBodyText"/>
            </w:pPr>
            <w:r>
              <w:t>TextFormField</w:t>
            </w:r>
          </w:p>
        </w:tc>
        <w:tc>
          <w:tcPr>
            <w:tcW w:w="0" w:type="auto"/>
            <w:vAlign w:val="center"/>
          </w:tcPr>
          <w:p w:rsidR="00024C0A" w:rsidRDefault="00694C0F">
            <w:pPr>
              <w:pStyle w:val="TableBodyText"/>
            </w:pPr>
            <w:r>
              <w:t>015D</w:t>
            </w:r>
          </w:p>
        </w:tc>
      </w:tr>
      <w:tr w:rsidR="00024C0A" w:rsidTr="00024C0A">
        <w:tc>
          <w:tcPr>
            <w:tcW w:w="0" w:type="auto"/>
            <w:vAlign w:val="center"/>
          </w:tcPr>
          <w:p w:rsidR="00024C0A" w:rsidRDefault="00694C0F">
            <w:pPr>
              <w:pStyle w:val="TableBodyText"/>
            </w:pPr>
            <w:r>
              <w:t>TextToTable</w:t>
            </w:r>
          </w:p>
        </w:tc>
        <w:tc>
          <w:tcPr>
            <w:tcW w:w="0" w:type="auto"/>
            <w:vAlign w:val="center"/>
          </w:tcPr>
          <w:p w:rsidR="00024C0A" w:rsidRDefault="00694C0F">
            <w:pPr>
              <w:pStyle w:val="TableBodyText"/>
            </w:pPr>
            <w:r>
              <w:t>007F</w:t>
            </w:r>
          </w:p>
        </w:tc>
      </w:tr>
      <w:tr w:rsidR="00024C0A" w:rsidTr="00024C0A">
        <w:tc>
          <w:tcPr>
            <w:tcW w:w="0" w:type="auto"/>
            <w:vAlign w:val="center"/>
          </w:tcPr>
          <w:p w:rsidR="00024C0A" w:rsidRDefault="00694C0F">
            <w:pPr>
              <w:pStyle w:val="TableBodyText"/>
            </w:pPr>
            <w:r>
              <w:t>TextboxPositionGallery</w:t>
            </w:r>
          </w:p>
        </w:tc>
        <w:tc>
          <w:tcPr>
            <w:tcW w:w="0" w:type="auto"/>
            <w:vAlign w:val="center"/>
          </w:tcPr>
          <w:p w:rsidR="00024C0A" w:rsidRDefault="00694C0F">
            <w:pPr>
              <w:pStyle w:val="TableBodyText"/>
            </w:pPr>
            <w:r>
              <w:t>091D</w:t>
            </w:r>
          </w:p>
        </w:tc>
      </w:tr>
      <w:tr w:rsidR="00024C0A" w:rsidTr="00024C0A">
        <w:tc>
          <w:tcPr>
            <w:tcW w:w="0" w:type="auto"/>
            <w:vAlign w:val="center"/>
          </w:tcPr>
          <w:p w:rsidR="00024C0A" w:rsidRDefault="00694C0F">
            <w:pPr>
              <w:pStyle w:val="TableBodyText"/>
            </w:pPr>
            <w:r>
              <w:t>TextboxStyleGallery</w:t>
            </w:r>
          </w:p>
        </w:tc>
        <w:tc>
          <w:tcPr>
            <w:tcW w:w="0" w:type="auto"/>
            <w:vAlign w:val="center"/>
          </w:tcPr>
          <w:p w:rsidR="00024C0A" w:rsidRDefault="00694C0F">
            <w:pPr>
              <w:pStyle w:val="TableBodyText"/>
            </w:pPr>
            <w:r>
              <w:t>091E</w:t>
            </w:r>
          </w:p>
        </w:tc>
      </w:tr>
      <w:tr w:rsidR="00024C0A" w:rsidTr="00024C0A">
        <w:tc>
          <w:tcPr>
            <w:tcW w:w="0" w:type="auto"/>
            <w:vAlign w:val="center"/>
          </w:tcPr>
          <w:p w:rsidR="00024C0A" w:rsidRDefault="00694C0F">
            <w:pPr>
              <w:pStyle w:val="TableBodyText"/>
            </w:pPr>
            <w:r>
              <w:t>TexturesGallery</w:t>
            </w:r>
          </w:p>
        </w:tc>
        <w:tc>
          <w:tcPr>
            <w:tcW w:w="0" w:type="auto"/>
            <w:vAlign w:val="center"/>
          </w:tcPr>
          <w:p w:rsidR="00024C0A" w:rsidRDefault="00694C0F">
            <w:pPr>
              <w:pStyle w:val="TableBodyText"/>
            </w:pPr>
            <w:r>
              <w:t>07BA</w:t>
            </w:r>
          </w:p>
        </w:tc>
      </w:tr>
      <w:tr w:rsidR="00024C0A" w:rsidTr="00024C0A">
        <w:tc>
          <w:tcPr>
            <w:tcW w:w="0" w:type="auto"/>
            <w:vAlign w:val="center"/>
          </w:tcPr>
          <w:p w:rsidR="00024C0A" w:rsidRDefault="00694C0F">
            <w:pPr>
              <w:pStyle w:val="TableBodyText"/>
            </w:pPr>
            <w:r>
              <w:t>ThemeGallery</w:t>
            </w:r>
          </w:p>
        </w:tc>
        <w:tc>
          <w:tcPr>
            <w:tcW w:w="0" w:type="auto"/>
            <w:vAlign w:val="center"/>
          </w:tcPr>
          <w:p w:rsidR="00024C0A" w:rsidRDefault="00694C0F">
            <w:pPr>
              <w:pStyle w:val="TableBodyText"/>
            </w:pPr>
            <w:r>
              <w:t>08FE</w:t>
            </w:r>
          </w:p>
        </w:tc>
      </w:tr>
      <w:tr w:rsidR="00024C0A" w:rsidTr="00024C0A">
        <w:tc>
          <w:tcPr>
            <w:tcW w:w="0" w:type="auto"/>
            <w:vAlign w:val="center"/>
          </w:tcPr>
          <w:p w:rsidR="00024C0A" w:rsidRDefault="00694C0F">
            <w:pPr>
              <w:pStyle w:val="TableBodyText"/>
            </w:pPr>
            <w:r>
              <w:t>TocOutlineLevelGallery</w:t>
            </w:r>
          </w:p>
        </w:tc>
        <w:tc>
          <w:tcPr>
            <w:tcW w:w="0" w:type="auto"/>
            <w:vAlign w:val="center"/>
          </w:tcPr>
          <w:p w:rsidR="00024C0A" w:rsidRDefault="00694C0F">
            <w:pPr>
              <w:pStyle w:val="TableBodyText"/>
            </w:pPr>
            <w:r>
              <w:t>0836</w:t>
            </w:r>
          </w:p>
        </w:tc>
      </w:tr>
      <w:tr w:rsidR="00024C0A" w:rsidTr="00024C0A">
        <w:tc>
          <w:tcPr>
            <w:tcW w:w="0" w:type="auto"/>
            <w:vAlign w:val="center"/>
          </w:tcPr>
          <w:p w:rsidR="00024C0A" w:rsidRDefault="00694C0F">
            <w:pPr>
              <w:pStyle w:val="TableBodyText"/>
            </w:pPr>
            <w:r>
              <w:t>ToggleCharacterCode</w:t>
            </w:r>
          </w:p>
        </w:tc>
        <w:tc>
          <w:tcPr>
            <w:tcW w:w="0" w:type="auto"/>
            <w:vAlign w:val="center"/>
          </w:tcPr>
          <w:p w:rsidR="00024C0A" w:rsidRDefault="00694C0F">
            <w:pPr>
              <w:pStyle w:val="TableBodyText"/>
            </w:pPr>
            <w:r>
              <w:t>0571</w:t>
            </w:r>
          </w:p>
        </w:tc>
      </w:tr>
      <w:tr w:rsidR="00024C0A" w:rsidTr="00024C0A">
        <w:tc>
          <w:tcPr>
            <w:tcW w:w="0" w:type="auto"/>
            <w:vAlign w:val="center"/>
          </w:tcPr>
          <w:p w:rsidR="00024C0A" w:rsidRDefault="00694C0F">
            <w:pPr>
              <w:pStyle w:val="TableBodyText"/>
            </w:pPr>
            <w:r>
              <w:t>ToggleDocumentActionBar</w:t>
            </w:r>
          </w:p>
        </w:tc>
        <w:tc>
          <w:tcPr>
            <w:tcW w:w="0" w:type="auto"/>
            <w:vAlign w:val="center"/>
          </w:tcPr>
          <w:p w:rsidR="00024C0A" w:rsidRDefault="00694C0F">
            <w:pPr>
              <w:pStyle w:val="TableBodyText"/>
            </w:pPr>
            <w:r>
              <w:t>087E</w:t>
            </w:r>
          </w:p>
        </w:tc>
      </w:tr>
      <w:tr w:rsidR="00024C0A" w:rsidTr="00024C0A">
        <w:tc>
          <w:tcPr>
            <w:tcW w:w="0" w:type="auto"/>
            <w:vAlign w:val="center"/>
          </w:tcPr>
          <w:p w:rsidR="00024C0A" w:rsidRDefault="00694C0F">
            <w:pPr>
              <w:pStyle w:val="TableBodyText"/>
            </w:pPr>
            <w:r>
              <w:t>ToggleDocumentText</w:t>
            </w:r>
          </w:p>
        </w:tc>
        <w:tc>
          <w:tcPr>
            <w:tcW w:w="0" w:type="auto"/>
            <w:vAlign w:val="center"/>
          </w:tcPr>
          <w:p w:rsidR="00024C0A" w:rsidRDefault="00694C0F">
            <w:pPr>
              <w:pStyle w:val="TableBodyText"/>
            </w:pPr>
            <w:r>
              <w:t>084C</w:t>
            </w:r>
          </w:p>
        </w:tc>
      </w:tr>
      <w:tr w:rsidR="00024C0A" w:rsidTr="00024C0A">
        <w:tc>
          <w:tcPr>
            <w:tcW w:w="0" w:type="auto"/>
            <w:vAlign w:val="center"/>
          </w:tcPr>
          <w:p w:rsidR="00024C0A" w:rsidRDefault="00694C0F">
            <w:pPr>
              <w:pStyle w:val="TableBodyText"/>
            </w:pPr>
            <w:r>
              <w:t>ToggleDontOpenAttachInFullScreen</w:t>
            </w:r>
          </w:p>
        </w:tc>
        <w:tc>
          <w:tcPr>
            <w:tcW w:w="0" w:type="auto"/>
            <w:vAlign w:val="center"/>
          </w:tcPr>
          <w:p w:rsidR="00024C0A" w:rsidRDefault="00694C0F">
            <w:pPr>
              <w:pStyle w:val="TableBodyText"/>
            </w:pPr>
            <w:r>
              <w:t>089C</w:t>
            </w:r>
          </w:p>
        </w:tc>
      </w:tr>
      <w:tr w:rsidR="00024C0A" w:rsidTr="00024C0A">
        <w:tc>
          <w:tcPr>
            <w:tcW w:w="0" w:type="auto"/>
            <w:vAlign w:val="center"/>
          </w:tcPr>
          <w:p w:rsidR="00024C0A" w:rsidRDefault="00694C0F">
            <w:pPr>
              <w:pStyle w:val="TableBodyText"/>
            </w:pPr>
            <w:r>
              <w:t>ToggleFieldDisplay</w:t>
            </w:r>
          </w:p>
        </w:tc>
        <w:tc>
          <w:tcPr>
            <w:tcW w:w="0" w:type="auto"/>
            <w:vAlign w:val="center"/>
          </w:tcPr>
          <w:p w:rsidR="00024C0A" w:rsidRDefault="00694C0F">
            <w:pPr>
              <w:pStyle w:val="TableBodyText"/>
            </w:pPr>
            <w:r>
              <w:t>0022</w:t>
            </w:r>
          </w:p>
        </w:tc>
      </w:tr>
      <w:tr w:rsidR="00024C0A" w:rsidTr="00024C0A">
        <w:tc>
          <w:tcPr>
            <w:tcW w:w="0" w:type="auto"/>
            <w:vAlign w:val="center"/>
          </w:tcPr>
          <w:p w:rsidR="00024C0A" w:rsidRDefault="00694C0F">
            <w:pPr>
              <w:pStyle w:val="TableBodyText"/>
            </w:pPr>
            <w:r>
              <w:t>ToggleFormsDesign</w:t>
            </w:r>
          </w:p>
        </w:tc>
        <w:tc>
          <w:tcPr>
            <w:tcW w:w="0" w:type="auto"/>
            <w:vAlign w:val="center"/>
          </w:tcPr>
          <w:p w:rsidR="00024C0A" w:rsidRDefault="00694C0F">
            <w:pPr>
              <w:pStyle w:val="TableBodyText"/>
            </w:pPr>
            <w:r>
              <w:t>0369</w:t>
            </w:r>
          </w:p>
        </w:tc>
      </w:tr>
      <w:tr w:rsidR="00024C0A" w:rsidTr="00024C0A">
        <w:tc>
          <w:tcPr>
            <w:tcW w:w="0" w:type="auto"/>
            <w:vAlign w:val="center"/>
          </w:tcPr>
          <w:p w:rsidR="00024C0A" w:rsidRDefault="00694C0F">
            <w:pPr>
              <w:pStyle w:val="TableBodyText"/>
            </w:pPr>
            <w:r>
              <w:t>ToggleFull</w:t>
            </w:r>
          </w:p>
        </w:tc>
        <w:tc>
          <w:tcPr>
            <w:tcW w:w="0" w:type="auto"/>
            <w:vAlign w:val="center"/>
          </w:tcPr>
          <w:p w:rsidR="00024C0A" w:rsidRDefault="00694C0F">
            <w:pPr>
              <w:pStyle w:val="TableBodyText"/>
            </w:pPr>
            <w:r>
              <w:t>0246</w:t>
            </w:r>
          </w:p>
        </w:tc>
      </w:tr>
      <w:tr w:rsidR="00024C0A" w:rsidTr="00024C0A">
        <w:tc>
          <w:tcPr>
            <w:tcW w:w="0" w:type="auto"/>
            <w:vAlign w:val="center"/>
          </w:tcPr>
          <w:p w:rsidR="00024C0A" w:rsidRDefault="00694C0F">
            <w:pPr>
              <w:pStyle w:val="TableBodyText"/>
            </w:pPr>
            <w:r>
              <w:t>ToggleHeaderFooterLink</w:t>
            </w:r>
          </w:p>
        </w:tc>
        <w:tc>
          <w:tcPr>
            <w:tcW w:w="0" w:type="auto"/>
            <w:vAlign w:val="center"/>
          </w:tcPr>
          <w:p w:rsidR="00024C0A" w:rsidRDefault="00694C0F">
            <w:pPr>
              <w:pStyle w:val="TableBodyText"/>
            </w:pPr>
            <w:r>
              <w:t>028C</w:t>
            </w:r>
          </w:p>
        </w:tc>
      </w:tr>
      <w:tr w:rsidR="00024C0A" w:rsidTr="00024C0A">
        <w:tc>
          <w:tcPr>
            <w:tcW w:w="0" w:type="auto"/>
            <w:vAlign w:val="center"/>
          </w:tcPr>
          <w:p w:rsidR="00024C0A" w:rsidRDefault="00694C0F">
            <w:pPr>
              <w:pStyle w:val="TableBodyText"/>
            </w:pPr>
            <w:r>
              <w:t>ToggleMacroRun</w:t>
            </w:r>
          </w:p>
        </w:tc>
        <w:tc>
          <w:tcPr>
            <w:tcW w:w="0" w:type="auto"/>
            <w:vAlign w:val="center"/>
          </w:tcPr>
          <w:p w:rsidR="00024C0A" w:rsidRDefault="00694C0F">
            <w:pPr>
              <w:pStyle w:val="TableBodyText"/>
            </w:pPr>
            <w:r>
              <w:t>029D</w:t>
            </w:r>
          </w:p>
        </w:tc>
      </w:tr>
      <w:tr w:rsidR="00024C0A" w:rsidTr="00024C0A">
        <w:tc>
          <w:tcPr>
            <w:tcW w:w="0" w:type="auto"/>
            <w:vAlign w:val="center"/>
          </w:tcPr>
          <w:p w:rsidR="00024C0A" w:rsidRDefault="00694C0F">
            <w:pPr>
              <w:pStyle w:val="TableBodyText"/>
            </w:pPr>
            <w:r>
              <w:t>ToggleMainTextLayer</w:t>
            </w:r>
          </w:p>
        </w:tc>
        <w:tc>
          <w:tcPr>
            <w:tcW w:w="0" w:type="auto"/>
            <w:vAlign w:val="center"/>
          </w:tcPr>
          <w:p w:rsidR="00024C0A" w:rsidRDefault="00694C0F">
            <w:pPr>
              <w:pStyle w:val="TableBodyText"/>
            </w:pPr>
            <w:r>
              <w:t>024B</w:t>
            </w:r>
          </w:p>
        </w:tc>
      </w:tr>
      <w:tr w:rsidR="00024C0A" w:rsidTr="00024C0A">
        <w:tc>
          <w:tcPr>
            <w:tcW w:w="0" w:type="auto"/>
            <w:vAlign w:val="center"/>
          </w:tcPr>
          <w:p w:rsidR="00024C0A" w:rsidRDefault="00694C0F">
            <w:pPr>
              <w:pStyle w:val="TableBodyText"/>
            </w:pPr>
            <w:r>
              <w:t>ToggleMasterSubdocs</w:t>
            </w:r>
          </w:p>
        </w:tc>
        <w:tc>
          <w:tcPr>
            <w:tcW w:w="0" w:type="auto"/>
            <w:vAlign w:val="center"/>
          </w:tcPr>
          <w:p w:rsidR="00024C0A" w:rsidRDefault="00694C0F">
            <w:pPr>
              <w:pStyle w:val="TableBodyText"/>
            </w:pPr>
            <w:r>
              <w:t>0374</w:t>
            </w:r>
          </w:p>
        </w:tc>
      </w:tr>
      <w:tr w:rsidR="00024C0A" w:rsidTr="00024C0A">
        <w:tc>
          <w:tcPr>
            <w:tcW w:w="0" w:type="auto"/>
            <w:vAlign w:val="center"/>
          </w:tcPr>
          <w:p w:rsidR="00024C0A" w:rsidRDefault="00694C0F">
            <w:pPr>
              <w:pStyle w:val="TableBodyText"/>
            </w:pPr>
            <w:r>
              <w:t>ToggleOptimizeForLayout</w:t>
            </w:r>
          </w:p>
        </w:tc>
        <w:tc>
          <w:tcPr>
            <w:tcW w:w="0" w:type="auto"/>
            <w:vAlign w:val="center"/>
          </w:tcPr>
          <w:p w:rsidR="00024C0A" w:rsidRDefault="00694C0F">
            <w:pPr>
              <w:pStyle w:val="TableBodyText"/>
            </w:pPr>
            <w:r>
              <w:t>09A9</w:t>
            </w:r>
          </w:p>
        </w:tc>
      </w:tr>
      <w:tr w:rsidR="00024C0A" w:rsidTr="00024C0A">
        <w:tc>
          <w:tcPr>
            <w:tcW w:w="0" w:type="auto"/>
            <w:vAlign w:val="center"/>
          </w:tcPr>
          <w:p w:rsidR="00024C0A" w:rsidRDefault="00694C0F">
            <w:pPr>
              <w:pStyle w:val="TableBodyText"/>
            </w:pPr>
            <w:r>
              <w:t>TogglePanningHand</w:t>
            </w:r>
          </w:p>
        </w:tc>
        <w:tc>
          <w:tcPr>
            <w:tcW w:w="0" w:type="auto"/>
            <w:vAlign w:val="center"/>
          </w:tcPr>
          <w:p w:rsidR="00024C0A" w:rsidRDefault="00694C0F">
            <w:pPr>
              <w:pStyle w:val="TableBodyText"/>
            </w:pPr>
            <w:r>
              <w:t>07AA</w:t>
            </w:r>
          </w:p>
        </w:tc>
      </w:tr>
      <w:tr w:rsidR="00024C0A" w:rsidTr="00024C0A">
        <w:tc>
          <w:tcPr>
            <w:tcW w:w="0" w:type="auto"/>
            <w:vAlign w:val="center"/>
          </w:tcPr>
          <w:p w:rsidR="00024C0A" w:rsidRDefault="00694C0F">
            <w:pPr>
              <w:pStyle w:val="TableBodyText"/>
            </w:pPr>
            <w:r>
              <w:t>TogglePortrait</w:t>
            </w:r>
          </w:p>
        </w:tc>
        <w:tc>
          <w:tcPr>
            <w:tcW w:w="0" w:type="auto"/>
            <w:vAlign w:val="center"/>
          </w:tcPr>
          <w:p w:rsidR="00024C0A" w:rsidRDefault="00694C0F">
            <w:pPr>
              <w:pStyle w:val="TableBodyText"/>
            </w:pPr>
            <w:r>
              <w:t>0132</w:t>
            </w:r>
          </w:p>
        </w:tc>
      </w:tr>
      <w:tr w:rsidR="00024C0A" w:rsidTr="00024C0A">
        <w:tc>
          <w:tcPr>
            <w:tcW w:w="0" w:type="auto"/>
            <w:vAlign w:val="center"/>
          </w:tcPr>
          <w:p w:rsidR="00024C0A" w:rsidRDefault="00694C0F">
            <w:pPr>
              <w:pStyle w:val="TableBodyText"/>
            </w:pPr>
            <w:r>
              <w:t>TogglePropertyPanel</w:t>
            </w:r>
          </w:p>
        </w:tc>
        <w:tc>
          <w:tcPr>
            <w:tcW w:w="0" w:type="auto"/>
            <w:vAlign w:val="center"/>
          </w:tcPr>
          <w:p w:rsidR="00024C0A" w:rsidRDefault="00694C0F">
            <w:pPr>
              <w:pStyle w:val="TableBodyText"/>
            </w:pPr>
            <w:r>
              <w:t>082E</w:t>
            </w:r>
          </w:p>
        </w:tc>
      </w:tr>
      <w:tr w:rsidR="00024C0A" w:rsidTr="00024C0A">
        <w:tc>
          <w:tcPr>
            <w:tcW w:w="0" w:type="auto"/>
            <w:vAlign w:val="center"/>
          </w:tcPr>
          <w:p w:rsidR="00024C0A" w:rsidRDefault="00694C0F">
            <w:pPr>
              <w:pStyle w:val="TableBodyText"/>
            </w:pPr>
            <w:r>
              <w:t>ToggleReadingMode2Pages</w:t>
            </w:r>
          </w:p>
        </w:tc>
        <w:tc>
          <w:tcPr>
            <w:tcW w:w="0" w:type="auto"/>
            <w:vAlign w:val="center"/>
          </w:tcPr>
          <w:p w:rsidR="00024C0A" w:rsidRDefault="00694C0F">
            <w:pPr>
              <w:pStyle w:val="TableBodyText"/>
            </w:pPr>
            <w:r>
              <w:t>05A2</w:t>
            </w:r>
          </w:p>
        </w:tc>
      </w:tr>
      <w:tr w:rsidR="00024C0A" w:rsidTr="00024C0A">
        <w:tc>
          <w:tcPr>
            <w:tcW w:w="0" w:type="auto"/>
            <w:vAlign w:val="center"/>
          </w:tcPr>
          <w:p w:rsidR="00024C0A" w:rsidRDefault="00694C0F">
            <w:pPr>
              <w:pStyle w:val="TableBodyText"/>
            </w:pPr>
            <w:r>
              <w:t>ToggleReadingModeHelp</w:t>
            </w:r>
          </w:p>
        </w:tc>
        <w:tc>
          <w:tcPr>
            <w:tcW w:w="0" w:type="auto"/>
            <w:vAlign w:val="center"/>
          </w:tcPr>
          <w:p w:rsidR="00024C0A" w:rsidRDefault="00694C0F">
            <w:pPr>
              <w:pStyle w:val="TableBodyText"/>
            </w:pPr>
            <w:r>
              <w:t>05AC</w:t>
            </w:r>
          </w:p>
        </w:tc>
      </w:tr>
      <w:tr w:rsidR="00024C0A" w:rsidTr="00024C0A">
        <w:tc>
          <w:tcPr>
            <w:tcW w:w="0" w:type="auto"/>
            <w:vAlign w:val="center"/>
          </w:tcPr>
          <w:p w:rsidR="00024C0A" w:rsidRDefault="00694C0F">
            <w:pPr>
              <w:pStyle w:val="TableBodyText"/>
            </w:pPr>
            <w:r>
              <w:t>ToggleReadingModeInk</w:t>
            </w:r>
          </w:p>
        </w:tc>
        <w:tc>
          <w:tcPr>
            <w:tcW w:w="0" w:type="auto"/>
            <w:vAlign w:val="center"/>
          </w:tcPr>
          <w:p w:rsidR="00024C0A" w:rsidRDefault="00694C0F">
            <w:pPr>
              <w:pStyle w:val="TableBodyText"/>
            </w:pPr>
            <w:r>
              <w:t>05A3</w:t>
            </w:r>
          </w:p>
        </w:tc>
      </w:tr>
      <w:tr w:rsidR="00024C0A" w:rsidTr="00024C0A">
        <w:tc>
          <w:tcPr>
            <w:tcW w:w="0" w:type="auto"/>
            <w:vAlign w:val="center"/>
          </w:tcPr>
          <w:p w:rsidR="00024C0A" w:rsidRDefault="00694C0F">
            <w:pPr>
              <w:pStyle w:val="TableBodyText"/>
            </w:pPr>
            <w:r>
              <w:t>ToggleRibbon</w:t>
            </w:r>
          </w:p>
        </w:tc>
        <w:tc>
          <w:tcPr>
            <w:tcW w:w="0" w:type="auto"/>
            <w:vAlign w:val="center"/>
          </w:tcPr>
          <w:p w:rsidR="00024C0A" w:rsidRDefault="00694C0F">
            <w:pPr>
              <w:pStyle w:val="TableBodyText"/>
            </w:pPr>
            <w:r>
              <w:t>0956</w:t>
            </w:r>
          </w:p>
        </w:tc>
      </w:tr>
      <w:tr w:rsidR="00024C0A" w:rsidTr="00024C0A">
        <w:tc>
          <w:tcPr>
            <w:tcW w:w="0" w:type="auto"/>
            <w:vAlign w:val="center"/>
          </w:tcPr>
          <w:p w:rsidR="00024C0A" w:rsidRDefault="00694C0F">
            <w:pPr>
              <w:pStyle w:val="TableBodyText"/>
            </w:pPr>
            <w:r>
              <w:t>ToggleScribbleMode</w:t>
            </w:r>
          </w:p>
        </w:tc>
        <w:tc>
          <w:tcPr>
            <w:tcW w:w="0" w:type="auto"/>
            <w:vAlign w:val="center"/>
          </w:tcPr>
          <w:p w:rsidR="00024C0A" w:rsidRDefault="00694C0F">
            <w:pPr>
              <w:pStyle w:val="TableBodyText"/>
            </w:pPr>
            <w:r>
              <w:t>0134</w:t>
            </w:r>
          </w:p>
        </w:tc>
      </w:tr>
      <w:tr w:rsidR="00024C0A" w:rsidTr="00024C0A">
        <w:tc>
          <w:tcPr>
            <w:tcW w:w="0" w:type="auto"/>
            <w:vAlign w:val="center"/>
          </w:tcPr>
          <w:p w:rsidR="00024C0A" w:rsidRDefault="00694C0F">
            <w:pPr>
              <w:pStyle w:val="TableBodyText"/>
            </w:pPr>
            <w:r>
              <w:lastRenderedPageBreak/>
              <w:t>ToggleTextFlow</w:t>
            </w:r>
          </w:p>
        </w:tc>
        <w:tc>
          <w:tcPr>
            <w:tcW w:w="0" w:type="auto"/>
            <w:vAlign w:val="center"/>
          </w:tcPr>
          <w:p w:rsidR="00024C0A" w:rsidRDefault="00694C0F">
            <w:pPr>
              <w:pStyle w:val="TableBodyText"/>
            </w:pPr>
            <w:r>
              <w:t>03F1</w:t>
            </w:r>
          </w:p>
        </w:tc>
      </w:tr>
      <w:tr w:rsidR="00024C0A" w:rsidTr="00024C0A">
        <w:tc>
          <w:tcPr>
            <w:tcW w:w="0" w:type="auto"/>
            <w:vAlign w:val="center"/>
          </w:tcPr>
          <w:p w:rsidR="00024C0A" w:rsidRDefault="00694C0F">
            <w:pPr>
              <w:pStyle w:val="TableBodyText"/>
            </w:pPr>
            <w:r>
              <w:t>ToggleThumbnail</w:t>
            </w:r>
          </w:p>
        </w:tc>
        <w:tc>
          <w:tcPr>
            <w:tcW w:w="0" w:type="auto"/>
            <w:vAlign w:val="center"/>
          </w:tcPr>
          <w:p w:rsidR="00024C0A" w:rsidRDefault="00694C0F">
            <w:pPr>
              <w:pStyle w:val="TableBodyText"/>
            </w:pPr>
            <w:r>
              <w:t>059E</w:t>
            </w:r>
          </w:p>
        </w:tc>
      </w:tr>
      <w:tr w:rsidR="00024C0A" w:rsidTr="00024C0A">
        <w:tc>
          <w:tcPr>
            <w:tcW w:w="0" w:type="auto"/>
            <w:vAlign w:val="center"/>
          </w:tcPr>
          <w:p w:rsidR="00024C0A" w:rsidRDefault="00694C0F">
            <w:pPr>
              <w:pStyle w:val="TableBodyText"/>
            </w:pPr>
            <w:r>
              <w:t>ToggleToolbars</w:t>
            </w:r>
          </w:p>
        </w:tc>
        <w:tc>
          <w:tcPr>
            <w:tcW w:w="0" w:type="auto"/>
            <w:vAlign w:val="center"/>
          </w:tcPr>
          <w:p w:rsidR="00024C0A" w:rsidRDefault="00694C0F">
            <w:pPr>
              <w:pStyle w:val="TableBodyText"/>
            </w:pPr>
            <w:r>
              <w:t>05B0</w:t>
            </w:r>
          </w:p>
        </w:tc>
      </w:tr>
      <w:tr w:rsidR="00024C0A" w:rsidTr="00024C0A">
        <w:tc>
          <w:tcPr>
            <w:tcW w:w="0" w:type="auto"/>
            <w:vAlign w:val="center"/>
          </w:tcPr>
          <w:p w:rsidR="00024C0A" w:rsidRDefault="00694C0F">
            <w:pPr>
              <w:pStyle w:val="TableBodyText"/>
            </w:pPr>
            <w:r>
              <w:t>ToggleWebDesign</w:t>
            </w:r>
          </w:p>
        </w:tc>
        <w:tc>
          <w:tcPr>
            <w:tcW w:w="0" w:type="auto"/>
            <w:vAlign w:val="center"/>
          </w:tcPr>
          <w:p w:rsidR="00024C0A" w:rsidRDefault="00694C0F">
            <w:pPr>
              <w:pStyle w:val="TableBodyText"/>
            </w:pPr>
            <w:r>
              <w:t>045F</w:t>
            </w:r>
          </w:p>
        </w:tc>
      </w:tr>
      <w:tr w:rsidR="00024C0A" w:rsidTr="00024C0A">
        <w:tc>
          <w:tcPr>
            <w:tcW w:w="0" w:type="auto"/>
            <w:vAlign w:val="center"/>
          </w:tcPr>
          <w:p w:rsidR="00024C0A" w:rsidRDefault="00694C0F">
            <w:pPr>
              <w:pStyle w:val="TableBodyText"/>
            </w:pPr>
            <w:r>
              <w:t>ToggleXMLStructure</w:t>
            </w:r>
          </w:p>
        </w:tc>
        <w:tc>
          <w:tcPr>
            <w:tcW w:w="0" w:type="auto"/>
            <w:vAlign w:val="center"/>
          </w:tcPr>
          <w:p w:rsidR="00024C0A" w:rsidRDefault="00694C0F">
            <w:pPr>
              <w:pStyle w:val="TableBodyText"/>
            </w:pPr>
            <w:r>
              <w:t>080F</w:t>
            </w:r>
          </w:p>
        </w:tc>
      </w:tr>
      <w:tr w:rsidR="00024C0A" w:rsidTr="00024C0A">
        <w:tc>
          <w:tcPr>
            <w:tcW w:w="0" w:type="auto"/>
            <w:vAlign w:val="center"/>
          </w:tcPr>
          <w:p w:rsidR="00024C0A" w:rsidRDefault="00694C0F">
            <w:pPr>
              <w:pStyle w:val="TableBodyText"/>
            </w:pPr>
            <w:r>
              <w:t>ToggleXMLTagView</w:t>
            </w:r>
          </w:p>
        </w:tc>
        <w:tc>
          <w:tcPr>
            <w:tcW w:w="0" w:type="auto"/>
            <w:vAlign w:val="center"/>
          </w:tcPr>
          <w:p w:rsidR="00024C0A" w:rsidRDefault="00694C0F">
            <w:pPr>
              <w:pStyle w:val="TableBodyText"/>
            </w:pPr>
            <w:r>
              <w:t>0588</w:t>
            </w:r>
          </w:p>
        </w:tc>
      </w:tr>
      <w:tr w:rsidR="00024C0A" w:rsidTr="00024C0A">
        <w:tc>
          <w:tcPr>
            <w:tcW w:w="0" w:type="auto"/>
            <w:vAlign w:val="center"/>
          </w:tcPr>
          <w:p w:rsidR="00024C0A" w:rsidRDefault="00694C0F">
            <w:pPr>
              <w:pStyle w:val="TableBodyText"/>
            </w:pPr>
            <w:r>
              <w:t>ToolsAddRecordDefault</w:t>
            </w:r>
          </w:p>
        </w:tc>
        <w:tc>
          <w:tcPr>
            <w:tcW w:w="0" w:type="auto"/>
            <w:vAlign w:val="center"/>
          </w:tcPr>
          <w:p w:rsidR="00024C0A" w:rsidRDefault="00694C0F">
            <w:pPr>
              <w:pStyle w:val="TableBodyText"/>
            </w:pPr>
            <w:r>
              <w:t>0275</w:t>
            </w:r>
          </w:p>
        </w:tc>
      </w:tr>
      <w:tr w:rsidR="00024C0A" w:rsidTr="00024C0A">
        <w:tc>
          <w:tcPr>
            <w:tcW w:w="0" w:type="auto"/>
            <w:vAlign w:val="center"/>
          </w:tcPr>
          <w:p w:rsidR="00024C0A" w:rsidRDefault="00694C0F">
            <w:pPr>
              <w:pStyle w:val="TableBodyText"/>
            </w:pPr>
            <w:r>
              <w:t>ToolsAdvancedSettings</w:t>
            </w:r>
          </w:p>
        </w:tc>
        <w:tc>
          <w:tcPr>
            <w:tcW w:w="0" w:type="auto"/>
            <w:vAlign w:val="center"/>
          </w:tcPr>
          <w:p w:rsidR="00024C0A" w:rsidRDefault="00694C0F">
            <w:pPr>
              <w:pStyle w:val="TableBodyText"/>
            </w:pPr>
            <w:r>
              <w:t>00CE</w:t>
            </w:r>
          </w:p>
        </w:tc>
      </w:tr>
      <w:tr w:rsidR="00024C0A" w:rsidTr="00024C0A">
        <w:tc>
          <w:tcPr>
            <w:tcW w:w="0" w:type="auto"/>
            <w:vAlign w:val="center"/>
          </w:tcPr>
          <w:p w:rsidR="00024C0A" w:rsidRDefault="00694C0F">
            <w:pPr>
              <w:pStyle w:val="TableBodyText"/>
            </w:pPr>
            <w:r>
              <w:t>ToolsAutoCorrect</w:t>
            </w:r>
          </w:p>
        </w:tc>
        <w:tc>
          <w:tcPr>
            <w:tcW w:w="0" w:type="auto"/>
            <w:vAlign w:val="center"/>
          </w:tcPr>
          <w:p w:rsidR="00024C0A" w:rsidRDefault="00694C0F">
            <w:pPr>
              <w:pStyle w:val="TableBodyText"/>
            </w:pPr>
            <w:r>
              <w:t>017A</w:t>
            </w:r>
          </w:p>
        </w:tc>
      </w:tr>
      <w:tr w:rsidR="00024C0A" w:rsidTr="00024C0A">
        <w:tc>
          <w:tcPr>
            <w:tcW w:w="0" w:type="auto"/>
            <w:vAlign w:val="center"/>
          </w:tcPr>
          <w:p w:rsidR="00024C0A" w:rsidRDefault="00694C0F">
            <w:pPr>
              <w:pStyle w:val="TableBodyText"/>
            </w:pPr>
            <w:r>
              <w:t>ToolsAutoCorrectCapsLockOff</w:t>
            </w:r>
          </w:p>
        </w:tc>
        <w:tc>
          <w:tcPr>
            <w:tcW w:w="0" w:type="auto"/>
            <w:vAlign w:val="center"/>
          </w:tcPr>
          <w:p w:rsidR="00024C0A" w:rsidRDefault="00694C0F">
            <w:pPr>
              <w:pStyle w:val="TableBodyText"/>
            </w:pPr>
            <w:r>
              <w:t>02FF</w:t>
            </w:r>
          </w:p>
        </w:tc>
      </w:tr>
      <w:tr w:rsidR="00024C0A" w:rsidTr="00024C0A">
        <w:tc>
          <w:tcPr>
            <w:tcW w:w="0" w:type="auto"/>
            <w:vAlign w:val="center"/>
          </w:tcPr>
          <w:p w:rsidR="00024C0A" w:rsidRDefault="00694C0F">
            <w:pPr>
              <w:pStyle w:val="TableBodyText"/>
            </w:pPr>
            <w:r>
              <w:t>ToolsAutoCorrectDays</w:t>
            </w:r>
          </w:p>
        </w:tc>
        <w:tc>
          <w:tcPr>
            <w:tcW w:w="0" w:type="auto"/>
            <w:vAlign w:val="center"/>
          </w:tcPr>
          <w:p w:rsidR="00024C0A" w:rsidRDefault="00694C0F">
            <w:pPr>
              <w:pStyle w:val="TableBodyText"/>
            </w:pPr>
            <w:r>
              <w:t>0180</w:t>
            </w:r>
          </w:p>
        </w:tc>
      </w:tr>
      <w:tr w:rsidR="00024C0A" w:rsidTr="00024C0A">
        <w:tc>
          <w:tcPr>
            <w:tcW w:w="0" w:type="auto"/>
            <w:vAlign w:val="center"/>
          </w:tcPr>
          <w:p w:rsidR="00024C0A" w:rsidRDefault="00694C0F">
            <w:pPr>
              <w:pStyle w:val="TableBodyText"/>
            </w:pPr>
            <w:r>
              <w:t>ToolsAutoCorrectExceptions</w:t>
            </w:r>
          </w:p>
        </w:tc>
        <w:tc>
          <w:tcPr>
            <w:tcW w:w="0" w:type="auto"/>
            <w:vAlign w:val="center"/>
          </w:tcPr>
          <w:p w:rsidR="00024C0A" w:rsidRDefault="00694C0F">
            <w:pPr>
              <w:pStyle w:val="TableBodyText"/>
            </w:pPr>
            <w:r>
              <w:t>02FA</w:t>
            </w:r>
          </w:p>
        </w:tc>
      </w:tr>
      <w:tr w:rsidR="00024C0A" w:rsidTr="00024C0A">
        <w:tc>
          <w:tcPr>
            <w:tcW w:w="0" w:type="auto"/>
            <w:vAlign w:val="center"/>
          </w:tcPr>
          <w:p w:rsidR="00024C0A" w:rsidRDefault="00694C0F">
            <w:pPr>
              <w:pStyle w:val="TableBodyText"/>
            </w:pPr>
            <w:r>
              <w:t>ToolsAutoCorrectHECorrect</w:t>
            </w:r>
          </w:p>
        </w:tc>
        <w:tc>
          <w:tcPr>
            <w:tcW w:w="0" w:type="auto"/>
            <w:vAlign w:val="center"/>
          </w:tcPr>
          <w:p w:rsidR="00024C0A" w:rsidRDefault="00694C0F">
            <w:pPr>
              <w:pStyle w:val="TableBodyText"/>
            </w:pPr>
            <w:r>
              <w:t>03E9</w:t>
            </w:r>
          </w:p>
        </w:tc>
      </w:tr>
      <w:tr w:rsidR="00024C0A" w:rsidTr="00024C0A">
        <w:tc>
          <w:tcPr>
            <w:tcW w:w="0" w:type="auto"/>
            <w:vAlign w:val="center"/>
          </w:tcPr>
          <w:p w:rsidR="00024C0A" w:rsidRDefault="00694C0F">
            <w:pPr>
              <w:pStyle w:val="TableBodyText"/>
            </w:pPr>
            <w:r>
              <w:t>ToolsAutoCorrectInitialCaps</w:t>
            </w:r>
          </w:p>
        </w:tc>
        <w:tc>
          <w:tcPr>
            <w:tcW w:w="0" w:type="auto"/>
            <w:vAlign w:val="center"/>
          </w:tcPr>
          <w:p w:rsidR="00024C0A" w:rsidRDefault="00694C0F">
            <w:pPr>
              <w:pStyle w:val="TableBodyText"/>
            </w:pPr>
            <w:r>
              <w:t>017D</w:t>
            </w:r>
          </w:p>
        </w:tc>
      </w:tr>
      <w:tr w:rsidR="00024C0A" w:rsidTr="00024C0A">
        <w:tc>
          <w:tcPr>
            <w:tcW w:w="0" w:type="auto"/>
            <w:vAlign w:val="center"/>
          </w:tcPr>
          <w:p w:rsidR="00024C0A" w:rsidRDefault="00694C0F">
            <w:pPr>
              <w:pStyle w:val="TableBodyText"/>
            </w:pPr>
            <w:r>
              <w:t>ToolsAutoCorrectManager</w:t>
            </w:r>
          </w:p>
        </w:tc>
        <w:tc>
          <w:tcPr>
            <w:tcW w:w="0" w:type="auto"/>
            <w:vAlign w:val="center"/>
          </w:tcPr>
          <w:p w:rsidR="00024C0A" w:rsidRDefault="00694C0F">
            <w:pPr>
              <w:pStyle w:val="TableBodyText"/>
            </w:pPr>
            <w:r>
              <w:t>0794</w:t>
            </w:r>
          </w:p>
        </w:tc>
      </w:tr>
      <w:tr w:rsidR="00024C0A" w:rsidTr="00024C0A">
        <w:tc>
          <w:tcPr>
            <w:tcW w:w="0" w:type="auto"/>
            <w:vAlign w:val="center"/>
          </w:tcPr>
          <w:p w:rsidR="00024C0A" w:rsidRDefault="00694C0F">
            <w:pPr>
              <w:pStyle w:val="TableBodyText"/>
            </w:pPr>
            <w:r>
              <w:t>ToolsAutoCorrectReplaceText</w:t>
            </w:r>
          </w:p>
        </w:tc>
        <w:tc>
          <w:tcPr>
            <w:tcW w:w="0" w:type="auto"/>
            <w:vAlign w:val="center"/>
          </w:tcPr>
          <w:p w:rsidR="00024C0A" w:rsidRDefault="00694C0F">
            <w:pPr>
              <w:pStyle w:val="TableBodyText"/>
            </w:pPr>
            <w:r>
              <w:t>017C</w:t>
            </w:r>
          </w:p>
        </w:tc>
      </w:tr>
      <w:tr w:rsidR="00024C0A" w:rsidTr="00024C0A">
        <w:tc>
          <w:tcPr>
            <w:tcW w:w="0" w:type="auto"/>
            <w:vAlign w:val="center"/>
          </w:tcPr>
          <w:p w:rsidR="00024C0A" w:rsidRDefault="00694C0F">
            <w:pPr>
              <w:pStyle w:val="TableBodyText"/>
            </w:pPr>
            <w:r>
              <w:t>ToolsAutoCorrectSentenceCaps</w:t>
            </w:r>
          </w:p>
        </w:tc>
        <w:tc>
          <w:tcPr>
            <w:tcW w:w="0" w:type="auto"/>
            <w:vAlign w:val="center"/>
          </w:tcPr>
          <w:p w:rsidR="00024C0A" w:rsidRDefault="00694C0F">
            <w:pPr>
              <w:pStyle w:val="TableBodyText"/>
            </w:pPr>
            <w:r>
              <w:t>017F</w:t>
            </w:r>
          </w:p>
        </w:tc>
      </w:tr>
      <w:tr w:rsidR="00024C0A" w:rsidTr="00024C0A">
        <w:tc>
          <w:tcPr>
            <w:tcW w:w="0" w:type="auto"/>
            <w:vAlign w:val="center"/>
          </w:tcPr>
          <w:p w:rsidR="00024C0A" w:rsidRDefault="00694C0F">
            <w:pPr>
              <w:pStyle w:val="TableBodyText"/>
            </w:pPr>
            <w:r>
              <w:t>ToolsAutoCorrectSmartQuotes</w:t>
            </w:r>
          </w:p>
        </w:tc>
        <w:tc>
          <w:tcPr>
            <w:tcW w:w="0" w:type="auto"/>
            <w:vAlign w:val="center"/>
          </w:tcPr>
          <w:p w:rsidR="00024C0A" w:rsidRDefault="00694C0F">
            <w:pPr>
              <w:pStyle w:val="TableBodyText"/>
            </w:pPr>
            <w:r>
              <w:t>00E3</w:t>
            </w:r>
          </w:p>
        </w:tc>
      </w:tr>
      <w:tr w:rsidR="00024C0A" w:rsidTr="00024C0A">
        <w:tc>
          <w:tcPr>
            <w:tcW w:w="0" w:type="auto"/>
            <w:vAlign w:val="center"/>
          </w:tcPr>
          <w:p w:rsidR="00024C0A" w:rsidRDefault="00694C0F">
            <w:pPr>
              <w:pStyle w:val="TableBodyText"/>
            </w:pPr>
            <w:r>
              <w:t>ToolsAutoManager</w:t>
            </w:r>
          </w:p>
        </w:tc>
        <w:tc>
          <w:tcPr>
            <w:tcW w:w="0" w:type="auto"/>
            <w:vAlign w:val="center"/>
          </w:tcPr>
          <w:p w:rsidR="00024C0A" w:rsidRDefault="00694C0F">
            <w:pPr>
              <w:pStyle w:val="TableBodyText"/>
            </w:pPr>
            <w:r>
              <w:t>0393</w:t>
            </w:r>
          </w:p>
        </w:tc>
      </w:tr>
      <w:tr w:rsidR="00024C0A" w:rsidTr="00024C0A">
        <w:tc>
          <w:tcPr>
            <w:tcW w:w="0" w:type="auto"/>
            <w:vAlign w:val="center"/>
          </w:tcPr>
          <w:p w:rsidR="00024C0A" w:rsidRDefault="00694C0F">
            <w:pPr>
              <w:pStyle w:val="TableBodyText"/>
            </w:pPr>
            <w:r>
              <w:t>ToolsAutoSummarize</w:t>
            </w:r>
          </w:p>
        </w:tc>
        <w:tc>
          <w:tcPr>
            <w:tcW w:w="0" w:type="auto"/>
            <w:vAlign w:val="center"/>
          </w:tcPr>
          <w:p w:rsidR="00024C0A" w:rsidRDefault="00694C0F">
            <w:pPr>
              <w:pStyle w:val="TableBodyText"/>
            </w:pPr>
            <w:r>
              <w:t>0389</w:t>
            </w:r>
          </w:p>
        </w:tc>
      </w:tr>
      <w:tr w:rsidR="00024C0A" w:rsidTr="00024C0A">
        <w:tc>
          <w:tcPr>
            <w:tcW w:w="0" w:type="auto"/>
            <w:vAlign w:val="center"/>
          </w:tcPr>
          <w:p w:rsidR="00024C0A" w:rsidRDefault="00694C0F">
            <w:pPr>
              <w:pStyle w:val="TableBodyText"/>
            </w:pPr>
            <w:r>
              <w:t>ToolsAutoSummarizeBegin</w:t>
            </w:r>
          </w:p>
        </w:tc>
        <w:tc>
          <w:tcPr>
            <w:tcW w:w="0" w:type="auto"/>
            <w:vAlign w:val="center"/>
          </w:tcPr>
          <w:p w:rsidR="00024C0A" w:rsidRDefault="00694C0F">
            <w:pPr>
              <w:pStyle w:val="TableBodyText"/>
            </w:pPr>
            <w:r>
              <w:t>036A</w:t>
            </w:r>
          </w:p>
        </w:tc>
      </w:tr>
      <w:tr w:rsidR="00024C0A" w:rsidTr="00024C0A">
        <w:tc>
          <w:tcPr>
            <w:tcW w:w="0" w:type="auto"/>
            <w:vAlign w:val="center"/>
          </w:tcPr>
          <w:p w:rsidR="00024C0A" w:rsidRDefault="00694C0F">
            <w:pPr>
              <w:pStyle w:val="TableBodyText"/>
            </w:pPr>
            <w:r>
              <w:t>ToolsBookshelfDefineReference</w:t>
            </w:r>
          </w:p>
        </w:tc>
        <w:tc>
          <w:tcPr>
            <w:tcW w:w="0" w:type="auto"/>
            <w:vAlign w:val="center"/>
          </w:tcPr>
          <w:p w:rsidR="00024C0A" w:rsidRDefault="00694C0F">
            <w:pPr>
              <w:pStyle w:val="TableBodyText"/>
            </w:pPr>
            <w:r>
              <w:t>03BE</w:t>
            </w:r>
          </w:p>
        </w:tc>
      </w:tr>
      <w:tr w:rsidR="00024C0A" w:rsidTr="00024C0A">
        <w:tc>
          <w:tcPr>
            <w:tcW w:w="0" w:type="auto"/>
            <w:vAlign w:val="center"/>
          </w:tcPr>
          <w:p w:rsidR="00024C0A" w:rsidRDefault="00694C0F">
            <w:pPr>
              <w:pStyle w:val="TableBodyText"/>
            </w:pPr>
            <w:r>
              <w:t>ToolsBookshelfLookupReference</w:t>
            </w:r>
          </w:p>
        </w:tc>
        <w:tc>
          <w:tcPr>
            <w:tcW w:w="0" w:type="auto"/>
            <w:vAlign w:val="center"/>
          </w:tcPr>
          <w:p w:rsidR="00024C0A" w:rsidRDefault="00694C0F">
            <w:pPr>
              <w:pStyle w:val="TableBodyText"/>
            </w:pPr>
            <w:r>
              <w:t>03BD</w:t>
            </w:r>
          </w:p>
        </w:tc>
      </w:tr>
      <w:tr w:rsidR="00024C0A" w:rsidTr="00024C0A">
        <w:tc>
          <w:tcPr>
            <w:tcW w:w="0" w:type="auto"/>
            <w:vAlign w:val="center"/>
          </w:tcPr>
          <w:p w:rsidR="00024C0A" w:rsidRDefault="00694C0F">
            <w:pPr>
              <w:pStyle w:val="TableBodyText"/>
            </w:pPr>
            <w:r>
              <w:t>ToolsBulletListDefault</w:t>
            </w:r>
          </w:p>
        </w:tc>
        <w:tc>
          <w:tcPr>
            <w:tcW w:w="0" w:type="auto"/>
            <w:vAlign w:val="center"/>
          </w:tcPr>
          <w:p w:rsidR="00024C0A" w:rsidRDefault="00694C0F">
            <w:pPr>
              <w:pStyle w:val="TableBodyText"/>
            </w:pPr>
            <w:r>
              <w:t>0133</w:t>
            </w:r>
          </w:p>
        </w:tc>
      </w:tr>
      <w:tr w:rsidR="00024C0A" w:rsidTr="00024C0A">
        <w:tc>
          <w:tcPr>
            <w:tcW w:w="0" w:type="auto"/>
            <w:vAlign w:val="center"/>
          </w:tcPr>
          <w:p w:rsidR="00024C0A" w:rsidRDefault="00694C0F">
            <w:pPr>
              <w:pStyle w:val="TableBodyText"/>
            </w:pPr>
            <w:r>
              <w:t>ToolsBulletsNumbers</w:t>
            </w:r>
          </w:p>
        </w:tc>
        <w:tc>
          <w:tcPr>
            <w:tcW w:w="0" w:type="auto"/>
            <w:vAlign w:val="center"/>
          </w:tcPr>
          <w:p w:rsidR="00024C0A" w:rsidRDefault="00694C0F">
            <w:pPr>
              <w:pStyle w:val="TableBodyText"/>
            </w:pPr>
            <w:r>
              <w:t>00C4</w:t>
            </w:r>
          </w:p>
        </w:tc>
      </w:tr>
      <w:tr w:rsidR="00024C0A" w:rsidTr="00024C0A">
        <w:tc>
          <w:tcPr>
            <w:tcW w:w="0" w:type="auto"/>
            <w:vAlign w:val="center"/>
          </w:tcPr>
          <w:p w:rsidR="00024C0A" w:rsidRDefault="00694C0F">
            <w:pPr>
              <w:pStyle w:val="TableBodyText"/>
            </w:pPr>
            <w:r>
              <w:t>ToolsBusu</w:t>
            </w:r>
          </w:p>
        </w:tc>
        <w:tc>
          <w:tcPr>
            <w:tcW w:w="0" w:type="auto"/>
            <w:vAlign w:val="center"/>
          </w:tcPr>
          <w:p w:rsidR="00024C0A" w:rsidRDefault="00694C0F">
            <w:pPr>
              <w:pStyle w:val="TableBodyText"/>
            </w:pPr>
            <w:r>
              <w:t>03AB</w:t>
            </w:r>
          </w:p>
        </w:tc>
      </w:tr>
      <w:tr w:rsidR="00024C0A" w:rsidTr="00024C0A">
        <w:tc>
          <w:tcPr>
            <w:tcW w:w="0" w:type="auto"/>
            <w:vAlign w:val="center"/>
          </w:tcPr>
          <w:p w:rsidR="00024C0A" w:rsidRDefault="00694C0F">
            <w:pPr>
              <w:pStyle w:val="TableBodyText"/>
            </w:pPr>
            <w:r>
              <w:t>ToolsCalculate</w:t>
            </w:r>
          </w:p>
        </w:tc>
        <w:tc>
          <w:tcPr>
            <w:tcW w:w="0" w:type="auto"/>
            <w:vAlign w:val="center"/>
          </w:tcPr>
          <w:p w:rsidR="00024C0A" w:rsidRDefault="00694C0F">
            <w:pPr>
              <w:pStyle w:val="TableBodyText"/>
            </w:pPr>
            <w:r>
              <w:t>00C8</w:t>
            </w:r>
          </w:p>
        </w:tc>
      </w:tr>
      <w:tr w:rsidR="00024C0A" w:rsidTr="00024C0A">
        <w:tc>
          <w:tcPr>
            <w:tcW w:w="0" w:type="auto"/>
            <w:vAlign w:val="center"/>
          </w:tcPr>
          <w:p w:rsidR="00024C0A" w:rsidRDefault="00694C0F">
            <w:pPr>
              <w:pStyle w:val="TableBodyText"/>
            </w:pPr>
            <w:r>
              <w:t>ToolsCompareVersions</w:t>
            </w:r>
          </w:p>
        </w:tc>
        <w:tc>
          <w:tcPr>
            <w:tcW w:w="0" w:type="auto"/>
            <w:vAlign w:val="center"/>
          </w:tcPr>
          <w:p w:rsidR="00024C0A" w:rsidRDefault="00694C0F">
            <w:pPr>
              <w:pStyle w:val="TableBodyText"/>
            </w:pPr>
            <w:r>
              <w:t>00C6</w:t>
            </w:r>
          </w:p>
        </w:tc>
      </w:tr>
      <w:tr w:rsidR="00024C0A" w:rsidTr="00024C0A">
        <w:tc>
          <w:tcPr>
            <w:tcW w:w="0" w:type="auto"/>
            <w:vAlign w:val="center"/>
          </w:tcPr>
          <w:p w:rsidR="00024C0A" w:rsidRDefault="00694C0F">
            <w:pPr>
              <w:pStyle w:val="TableBodyText"/>
            </w:pPr>
            <w:r>
              <w:t>ToolsConsistency</w:t>
            </w:r>
          </w:p>
        </w:tc>
        <w:tc>
          <w:tcPr>
            <w:tcW w:w="0" w:type="auto"/>
            <w:vAlign w:val="center"/>
          </w:tcPr>
          <w:p w:rsidR="00024C0A" w:rsidRDefault="00694C0F">
            <w:pPr>
              <w:pStyle w:val="TableBodyText"/>
            </w:pPr>
            <w:r>
              <w:t>03E0</w:t>
            </w:r>
          </w:p>
        </w:tc>
      </w:tr>
      <w:tr w:rsidR="00024C0A" w:rsidTr="00024C0A">
        <w:tc>
          <w:tcPr>
            <w:tcW w:w="0" w:type="auto"/>
            <w:vAlign w:val="center"/>
          </w:tcPr>
          <w:p w:rsidR="00024C0A" w:rsidRDefault="00694C0F">
            <w:pPr>
              <w:pStyle w:val="TableBodyText"/>
            </w:pPr>
            <w:r>
              <w:t>ToolsCreateDirectory</w:t>
            </w:r>
          </w:p>
        </w:tc>
        <w:tc>
          <w:tcPr>
            <w:tcW w:w="0" w:type="auto"/>
            <w:vAlign w:val="center"/>
          </w:tcPr>
          <w:p w:rsidR="00024C0A" w:rsidRDefault="00694C0F">
            <w:pPr>
              <w:pStyle w:val="TableBodyText"/>
            </w:pPr>
            <w:r>
              <w:t>0341</w:t>
            </w:r>
          </w:p>
        </w:tc>
      </w:tr>
      <w:tr w:rsidR="00024C0A" w:rsidTr="00024C0A">
        <w:tc>
          <w:tcPr>
            <w:tcW w:w="0" w:type="auto"/>
            <w:vAlign w:val="center"/>
          </w:tcPr>
          <w:p w:rsidR="00024C0A" w:rsidRDefault="00694C0F">
            <w:pPr>
              <w:pStyle w:val="TableBodyText"/>
            </w:pPr>
            <w:r>
              <w:t>ToolsCreateEnvelope</w:t>
            </w:r>
          </w:p>
        </w:tc>
        <w:tc>
          <w:tcPr>
            <w:tcW w:w="0" w:type="auto"/>
            <w:vAlign w:val="center"/>
          </w:tcPr>
          <w:p w:rsidR="00024C0A" w:rsidRDefault="00694C0F">
            <w:pPr>
              <w:pStyle w:val="TableBodyText"/>
            </w:pPr>
            <w:r>
              <w:t>00AD</w:t>
            </w:r>
          </w:p>
        </w:tc>
      </w:tr>
      <w:tr w:rsidR="00024C0A" w:rsidTr="00024C0A">
        <w:tc>
          <w:tcPr>
            <w:tcW w:w="0" w:type="auto"/>
            <w:vAlign w:val="center"/>
          </w:tcPr>
          <w:p w:rsidR="00024C0A" w:rsidRDefault="00694C0F">
            <w:pPr>
              <w:pStyle w:val="TableBodyText"/>
            </w:pPr>
            <w:r>
              <w:t>ToolsCreateLabels</w:t>
            </w:r>
          </w:p>
        </w:tc>
        <w:tc>
          <w:tcPr>
            <w:tcW w:w="0" w:type="auto"/>
            <w:vAlign w:val="center"/>
          </w:tcPr>
          <w:p w:rsidR="00024C0A" w:rsidRDefault="00694C0F">
            <w:pPr>
              <w:pStyle w:val="TableBodyText"/>
            </w:pPr>
            <w:r>
              <w:t>01E9</w:t>
            </w:r>
          </w:p>
        </w:tc>
      </w:tr>
      <w:tr w:rsidR="00024C0A" w:rsidTr="00024C0A">
        <w:tc>
          <w:tcPr>
            <w:tcW w:w="0" w:type="auto"/>
            <w:vAlign w:val="center"/>
          </w:tcPr>
          <w:p w:rsidR="00024C0A" w:rsidRDefault="00694C0F">
            <w:pPr>
              <w:pStyle w:val="TableBodyText"/>
            </w:pPr>
            <w:r>
              <w:lastRenderedPageBreak/>
              <w:t>ToolsCustomize</w:t>
            </w:r>
          </w:p>
        </w:tc>
        <w:tc>
          <w:tcPr>
            <w:tcW w:w="0" w:type="auto"/>
            <w:vAlign w:val="center"/>
          </w:tcPr>
          <w:p w:rsidR="00024C0A" w:rsidRDefault="00694C0F">
            <w:pPr>
              <w:pStyle w:val="TableBodyText"/>
            </w:pPr>
            <w:r>
              <w:t>0098</w:t>
            </w:r>
          </w:p>
        </w:tc>
      </w:tr>
      <w:tr w:rsidR="00024C0A" w:rsidTr="00024C0A">
        <w:tc>
          <w:tcPr>
            <w:tcW w:w="0" w:type="auto"/>
            <w:vAlign w:val="center"/>
          </w:tcPr>
          <w:p w:rsidR="00024C0A" w:rsidRDefault="00694C0F">
            <w:pPr>
              <w:pStyle w:val="TableBodyText"/>
            </w:pPr>
            <w:r>
              <w:t>ToolsCustomizeAddMenuShortcut</w:t>
            </w:r>
          </w:p>
        </w:tc>
        <w:tc>
          <w:tcPr>
            <w:tcW w:w="0" w:type="auto"/>
            <w:vAlign w:val="center"/>
          </w:tcPr>
          <w:p w:rsidR="00024C0A" w:rsidRDefault="00694C0F">
            <w:pPr>
              <w:pStyle w:val="TableBodyText"/>
            </w:pPr>
            <w:r>
              <w:t>022E</w:t>
            </w:r>
          </w:p>
        </w:tc>
      </w:tr>
      <w:tr w:rsidR="00024C0A" w:rsidTr="00024C0A">
        <w:tc>
          <w:tcPr>
            <w:tcW w:w="0" w:type="auto"/>
            <w:vAlign w:val="center"/>
          </w:tcPr>
          <w:p w:rsidR="00024C0A" w:rsidRDefault="00694C0F">
            <w:pPr>
              <w:pStyle w:val="TableBodyText"/>
            </w:pPr>
            <w:r>
              <w:t>ToolsCustomizeKeyboard</w:t>
            </w:r>
          </w:p>
        </w:tc>
        <w:tc>
          <w:tcPr>
            <w:tcW w:w="0" w:type="auto"/>
            <w:vAlign w:val="center"/>
          </w:tcPr>
          <w:p w:rsidR="00024C0A" w:rsidRDefault="00694C0F">
            <w:pPr>
              <w:pStyle w:val="TableBodyText"/>
            </w:pPr>
            <w:r>
              <w:t>01B0</w:t>
            </w:r>
          </w:p>
        </w:tc>
      </w:tr>
      <w:tr w:rsidR="00024C0A" w:rsidTr="00024C0A">
        <w:tc>
          <w:tcPr>
            <w:tcW w:w="0" w:type="auto"/>
            <w:vAlign w:val="center"/>
          </w:tcPr>
          <w:p w:rsidR="00024C0A" w:rsidRDefault="00694C0F">
            <w:pPr>
              <w:pStyle w:val="TableBodyText"/>
            </w:pPr>
            <w:r>
              <w:t>ToolsCustomizeKeyboardShortcut</w:t>
            </w:r>
          </w:p>
        </w:tc>
        <w:tc>
          <w:tcPr>
            <w:tcW w:w="0" w:type="auto"/>
            <w:vAlign w:val="center"/>
          </w:tcPr>
          <w:p w:rsidR="00024C0A" w:rsidRDefault="00694C0F">
            <w:pPr>
              <w:pStyle w:val="TableBodyText"/>
            </w:pPr>
            <w:r>
              <w:t>022D</w:t>
            </w:r>
          </w:p>
        </w:tc>
      </w:tr>
      <w:tr w:rsidR="00024C0A" w:rsidTr="00024C0A">
        <w:tc>
          <w:tcPr>
            <w:tcW w:w="0" w:type="auto"/>
            <w:vAlign w:val="center"/>
          </w:tcPr>
          <w:p w:rsidR="00024C0A" w:rsidRDefault="00694C0F">
            <w:pPr>
              <w:pStyle w:val="TableBodyText"/>
            </w:pPr>
            <w:r>
              <w:t>ToolsCustomizeMenuBar</w:t>
            </w:r>
          </w:p>
        </w:tc>
        <w:tc>
          <w:tcPr>
            <w:tcW w:w="0" w:type="auto"/>
            <w:vAlign w:val="center"/>
          </w:tcPr>
          <w:p w:rsidR="00024C0A" w:rsidRDefault="00694C0F">
            <w:pPr>
              <w:pStyle w:val="TableBodyText"/>
            </w:pPr>
            <w:r>
              <w:t>0267</w:t>
            </w:r>
          </w:p>
        </w:tc>
      </w:tr>
      <w:tr w:rsidR="00024C0A" w:rsidTr="00024C0A">
        <w:tc>
          <w:tcPr>
            <w:tcW w:w="0" w:type="auto"/>
            <w:vAlign w:val="center"/>
          </w:tcPr>
          <w:p w:rsidR="00024C0A" w:rsidRDefault="00694C0F">
            <w:pPr>
              <w:pStyle w:val="TableBodyText"/>
            </w:pPr>
            <w:r>
              <w:t>ToolsCustomizeMenus</w:t>
            </w:r>
          </w:p>
        </w:tc>
        <w:tc>
          <w:tcPr>
            <w:tcW w:w="0" w:type="auto"/>
            <w:vAlign w:val="center"/>
          </w:tcPr>
          <w:p w:rsidR="00024C0A" w:rsidRDefault="00694C0F">
            <w:pPr>
              <w:pStyle w:val="TableBodyText"/>
            </w:pPr>
            <w:r>
              <w:t>01B1</w:t>
            </w:r>
          </w:p>
        </w:tc>
      </w:tr>
      <w:tr w:rsidR="00024C0A" w:rsidTr="00024C0A">
        <w:tc>
          <w:tcPr>
            <w:tcW w:w="0" w:type="auto"/>
            <w:vAlign w:val="center"/>
          </w:tcPr>
          <w:p w:rsidR="00024C0A" w:rsidRDefault="00694C0F">
            <w:pPr>
              <w:pStyle w:val="TableBodyText"/>
            </w:pPr>
            <w:r>
              <w:t>ToolsCustomizeRemoveMenuShortcut</w:t>
            </w:r>
          </w:p>
        </w:tc>
        <w:tc>
          <w:tcPr>
            <w:tcW w:w="0" w:type="auto"/>
            <w:vAlign w:val="center"/>
          </w:tcPr>
          <w:p w:rsidR="00024C0A" w:rsidRDefault="00694C0F">
            <w:pPr>
              <w:pStyle w:val="TableBodyText"/>
            </w:pPr>
            <w:r>
              <w:t>0259</w:t>
            </w:r>
          </w:p>
        </w:tc>
      </w:tr>
      <w:tr w:rsidR="00024C0A" w:rsidTr="00024C0A">
        <w:tc>
          <w:tcPr>
            <w:tcW w:w="0" w:type="auto"/>
            <w:vAlign w:val="center"/>
          </w:tcPr>
          <w:p w:rsidR="00024C0A" w:rsidRDefault="00694C0F">
            <w:pPr>
              <w:pStyle w:val="TableBodyText"/>
            </w:pPr>
            <w:r>
              <w:t>ToolsCustomizeToolbar</w:t>
            </w:r>
          </w:p>
        </w:tc>
        <w:tc>
          <w:tcPr>
            <w:tcW w:w="0" w:type="auto"/>
            <w:vAlign w:val="center"/>
          </w:tcPr>
          <w:p w:rsidR="00024C0A" w:rsidRDefault="00694C0F">
            <w:pPr>
              <w:pStyle w:val="TableBodyText"/>
            </w:pPr>
            <w:r>
              <w:t>02CC</w:t>
            </w:r>
          </w:p>
        </w:tc>
      </w:tr>
      <w:tr w:rsidR="00024C0A" w:rsidTr="00024C0A">
        <w:tc>
          <w:tcPr>
            <w:tcW w:w="0" w:type="auto"/>
            <w:vAlign w:val="center"/>
          </w:tcPr>
          <w:p w:rsidR="00024C0A" w:rsidRDefault="00694C0F">
            <w:pPr>
              <w:pStyle w:val="TableBodyText"/>
            </w:pPr>
            <w:r>
              <w:t>ToolsDictionary</w:t>
            </w:r>
          </w:p>
        </w:tc>
        <w:tc>
          <w:tcPr>
            <w:tcW w:w="0" w:type="auto"/>
            <w:vAlign w:val="center"/>
          </w:tcPr>
          <w:p w:rsidR="00024C0A" w:rsidRDefault="00694C0F">
            <w:pPr>
              <w:pStyle w:val="TableBodyText"/>
            </w:pPr>
            <w:r>
              <w:t>03DD</w:t>
            </w:r>
          </w:p>
        </w:tc>
      </w:tr>
      <w:tr w:rsidR="00024C0A" w:rsidTr="00024C0A">
        <w:tc>
          <w:tcPr>
            <w:tcW w:w="0" w:type="auto"/>
            <w:vAlign w:val="center"/>
          </w:tcPr>
          <w:p w:rsidR="00024C0A" w:rsidRDefault="00694C0F">
            <w:pPr>
              <w:pStyle w:val="TableBodyText"/>
            </w:pPr>
            <w:r>
              <w:t>ToolsEServices</w:t>
            </w:r>
          </w:p>
        </w:tc>
        <w:tc>
          <w:tcPr>
            <w:tcW w:w="0" w:type="auto"/>
            <w:vAlign w:val="center"/>
          </w:tcPr>
          <w:p w:rsidR="00024C0A" w:rsidRDefault="00694C0F">
            <w:pPr>
              <w:pStyle w:val="TableBodyText"/>
            </w:pPr>
            <w:r>
              <w:t>0567</w:t>
            </w:r>
          </w:p>
        </w:tc>
      </w:tr>
      <w:tr w:rsidR="00024C0A" w:rsidTr="00024C0A">
        <w:tc>
          <w:tcPr>
            <w:tcW w:w="0" w:type="auto"/>
            <w:vAlign w:val="center"/>
          </w:tcPr>
          <w:p w:rsidR="00024C0A" w:rsidRDefault="00694C0F">
            <w:pPr>
              <w:pStyle w:val="TableBodyText"/>
            </w:pPr>
            <w:r>
              <w:t>ToolsEnvelopesAndLabels</w:t>
            </w:r>
          </w:p>
        </w:tc>
        <w:tc>
          <w:tcPr>
            <w:tcW w:w="0" w:type="auto"/>
            <w:vAlign w:val="center"/>
          </w:tcPr>
          <w:p w:rsidR="00024C0A" w:rsidRDefault="00694C0F">
            <w:pPr>
              <w:pStyle w:val="TableBodyText"/>
            </w:pPr>
            <w:r>
              <w:t>025F</w:t>
            </w:r>
          </w:p>
        </w:tc>
      </w:tr>
      <w:tr w:rsidR="00024C0A" w:rsidTr="00024C0A">
        <w:tc>
          <w:tcPr>
            <w:tcW w:w="0" w:type="auto"/>
            <w:vAlign w:val="center"/>
          </w:tcPr>
          <w:p w:rsidR="00024C0A" w:rsidRDefault="00694C0F">
            <w:pPr>
              <w:pStyle w:val="TableBodyText"/>
            </w:pPr>
            <w:r>
              <w:t>ToolsFixHHC</w:t>
            </w:r>
          </w:p>
        </w:tc>
        <w:tc>
          <w:tcPr>
            <w:tcW w:w="0" w:type="auto"/>
            <w:vAlign w:val="center"/>
          </w:tcPr>
          <w:p w:rsidR="00024C0A" w:rsidRDefault="00694C0F">
            <w:pPr>
              <w:pStyle w:val="TableBodyText"/>
            </w:pPr>
            <w:r>
              <w:t>04EE</w:t>
            </w:r>
          </w:p>
        </w:tc>
      </w:tr>
      <w:tr w:rsidR="00024C0A" w:rsidTr="00024C0A">
        <w:tc>
          <w:tcPr>
            <w:tcW w:w="0" w:type="auto"/>
            <w:vAlign w:val="center"/>
          </w:tcPr>
          <w:p w:rsidR="00024C0A" w:rsidRDefault="00694C0F">
            <w:pPr>
              <w:pStyle w:val="TableBodyText"/>
            </w:pPr>
            <w:r>
              <w:t>ToolsGramSettings</w:t>
            </w:r>
          </w:p>
        </w:tc>
        <w:tc>
          <w:tcPr>
            <w:tcW w:w="0" w:type="auto"/>
            <w:vAlign w:val="center"/>
          </w:tcPr>
          <w:p w:rsidR="00024C0A" w:rsidRDefault="00694C0F">
            <w:pPr>
              <w:pStyle w:val="TableBodyText"/>
            </w:pPr>
            <w:r>
              <w:t>0375</w:t>
            </w:r>
          </w:p>
        </w:tc>
      </w:tr>
      <w:tr w:rsidR="00024C0A" w:rsidTr="00024C0A">
        <w:tc>
          <w:tcPr>
            <w:tcW w:w="0" w:type="auto"/>
            <w:vAlign w:val="center"/>
          </w:tcPr>
          <w:p w:rsidR="00024C0A" w:rsidRDefault="00694C0F">
            <w:pPr>
              <w:pStyle w:val="TableBodyText"/>
            </w:pPr>
            <w:r>
              <w:t>ToolsGrammar</w:t>
            </w:r>
          </w:p>
        </w:tc>
        <w:tc>
          <w:tcPr>
            <w:tcW w:w="0" w:type="auto"/>
            <w:vAlign w:val="center"/>
          </w:tcPr>
          <w:p w:rsidR="00024C0A" w:rsidRDefault="00694C0F">
            <w:pPr>
              <w:pStyle w:val="TableBodyText"/>
            </w:pPr>
            <w:r>
              <w:t>00C1</w:t>
            </w:r>
          </w:p>
        </w:tc>
      </w:tr>
      <w:tr w:rsidR="00024C0A" w:rsidTr="00024C0A">
        <w:tc>
          <w:tcPr>
            <w:tcW w:w="0" w:type="auto"/>
            <w:vAlign w:val="center"/>
          </w:tcPr>
          <w:p w:rsidR="00024C0A" w:rsidRDefault="00694C0F">
            <w:pPr>
              <w:pStyle w:val="TableBodyText"/>
            </w:pPr>
            <w:r>
              <w:t>ToolsGrammarHide</w:t>
            </w:r>
          </w:p>
        </w:tc>
        <w:tc>
          <w:tcPr>
            <w:tcW w:w="0" w:type="auto"/>
            <w:vAlign w:val="center"/>
          </w:tcPr>
          <w:p w:rsidR="00024C0A" w:rsidRDefault="00694C0F">
            <w:pPr>
              <w:pStyle w:val="TableBodyText"/>
            </w:pPr>
            <w:r>
              <w:t>03D3</w:t>
            </w:r>
          </w:p>
        </w:tc>
      </w:tr>
      <w:tr w:rsidR="00024C0A" w:rsidTr="00024C0A">
        <w:tc>
          <w:tcPr>
            <w:tcW w:w="0" w:type="auto"/>
            <w:vAlign w:val="center"/>
          </w:tcPr>
          <w:p w:rsidR="00024C0A" w:rsidRDefault="00694C0F">
            <w:pPr>
              <w:pStyle w:val="TableBodyText"/>
            </w:pPr>
            <w:r>
              <w:t>ToolsGrammarRange</w:t>
            </w:r>
          </w:p>
        </w:tc>
        <w:tc>
          <w:tcPr>
            <w:tcW w:w="0" w:type="auto"/>
            <w:vAlign w:val="center"/>
          </w:tcPr>
          <w:p w:rsidR="00024C0A" w:rsidRDefault="00694C0F">
            <w:pPr>
              <w:pStyle w:val="TableBodyText"/>
            </w:pPr>
            <w:r>
              <w:t>034F</w:t>
            </w:r>
          </w:p>
        </w:tc>
      </w:tr>
      <w:tr w:rsidR="00024C0A" w:rsidTr="00024C0A">
        <w:tc>
          <w:tcPr>
            <w:tcW w:w="0" w:type="auto"/>
            <w:vAlign w:val="center"/>
          </w:tcPr>
          <w:p w:rsidR="00024C0A" w:rsidRDefault="00694C0F">
            <w:pPr>
              <w:pStyle w:val="TableBodyText"/>
            </w:pPr>
            <w:r>
              <w:t>ToolsHHC</w:t>
            </w:r>
          </w:p>
        </w:tc>
        <w:tc>
          <w:tcPr>
            <w:tcW w:w="0" w:type="auto"/>
            <w:vAlign w:val="center"/>
          </w:tcPr>
          <w:p w:rsidR="00024C0A" w:rsidRDefault="00694C0F">
            <w:pPr>
              <w:pStyle w:val="TableBodyText"/>
            </w:pPr>
            <w:r>
              <w:t>0310</w:t>
            </w:r>
          </w:p>
        </w:tc>
      </w:tr>
      <w:tr w:rsidR="00024C0A" w:rsidTr="00024C0A">
        <w:tc>
          <w:tcPr>
            <w:tcW w:w="0" w:type="auto"/>
            <w:vAlign w:val="center"/>
          </w:tcPr>
          <w:p w:rsidR="00024C0A" w:rsidRDefault="00694C0F">
            <w:pPr>
              <w:pStyle w:val="TableBodyText"/>
            </w:pPr>
            <w:r>
              <w:t>ToolsHyphenation</w:t>
            </w:r>
          </w:p>
        </w:tc>
        <w:tc>
          <w:tcPr>
            <w:tcW w:w="0" w:type="auto"/>
            <w:vAlign w:val="center"/>
          </w:tcPr>
          <w:p w:rsidR="00024C0A" w:rsidRDefault="00694C0F">
            <w:pPr>
              <w:pStyle w:val="TableBodyText"/>
            </w:pPr>
            <w:r>
              <w:t>00C3</w:t>
            </w:r>
          </w:p>
        </w:tc>
      </w:tr>
      <w:tr w:rsidR="00024C0A" w:rsidTr="00024C0A">
        <w:tc>
          <w:tcPr>
            <w:tcW w:w="0" w:type="auto"/>
            <w:vAlign w:val="center"/>
          </w:tcPr>
          <w:p w:rsidR="00024C0A" w:rsidRDefault="00694C0F">
            <w:pPr>
              <w:pStyle w:val="TableBodyText"/>
            </w:pPr>
            <w:r>
              <w:t>ToolsHyphenationAutoOff</w:t>
            </w:r>
          </w:p>
        </w:tc>
        <w:tc>
          <w:tcPr>
            <w:tcW w:w="0" w:type="auto"/>
            <w:vAlign w:val="center"/>
          </w:tcPr>
          <w:p w:rsidR="00024C0A" w:rsidRDefault="00694C0F">
            <w:pPr>
              <w:pStyle w:val="TableBodyText"/>
            </w:pPr>
            <w:r>
              <w:t>081D</w:t>
            </w:r>
          </w:p>
        </w:tc>
      </w:tr>
      <w:tr w:rsidR="00024C0A" w:rsidTr="00024C0A">
        <w:tc>
          <w:tcPr>
            <w:tcW w:w="0" w:type="auto"/>
            <w:vAlign w:val="center"/>
          </w:tcPr>
          <w:p w:rsidR="00024C0A" w:rsidRDefault="00694C0F">
            <w:pPr>
              <w:pStyle w:val="TableBodyText"/>
            </w:pPr>
            <w:r>
              <w:t>ToolsHyphenationAutoOn</w:t>
            </w:r>
          </w:p>
        </w:tc>
        <w:tc>
          <w:tcPr>
            <w:tcW w:w="0" w:type="auto"/>
            <w:vAlign w:val="center"/>
          </w:tcPr>
          <w:p w:rsidR="00024C0A" w:rsidRDefault="00694C0F">
            <w:pPr>
              <w:pStyle w:val="TableBodyText"/>
            </w:pPr>
            <w:r>
              <w:t>081C</w:t>
            </w:r>
          </w:p>
        </w:tc>
      </w:tr>
      <w:tr w:rsidR="00024C0A" w:rsidTr="00024C0A">
        <w:tc>
          <w:tcPr>
            <w:tcW w:w="0" w:type="auto"/>
            <w:vAlign w:val="center"/>
          </w:tcPr>
          <w:p w:rsidR="00024C0A" w:rsidRDefault="00694C0F">
            <w:pPr>
              <w:pStyle w:val="TableBodyText"/>
            </w:pPr>
            <w:r>
              <w:t>ToolsHyphenationManual</w:t>
            </w:r>
          </w:p>
        </w:tc>
        <w:tc>
          <w:tcPr>
            <w:tcW w:w="0" w:type="auto"/>
            <w:vAlign w:val="center"/>
          </w:tcPr>
          <w:p w:rsidR="00024C0A" w:rsidRDefault="00694C0F">
            <w:pPr>
              <w:pStyle w:val="TableBodyText"/>
            </w:pPr>
            <w:r>
              <w:t>02C0</w:t>
            </w:r>
          </w:p>
        </w:tc>
      </w:tr>
      <w:tr w:rsidR="00024C0A" w:rsidTr="00024C0A">
        <w:tc>
          <w:tcPr>
            <w:tcW w:w="0" w:type="auto"/>
            <w:vAlign w:val="center"/>
          </w:tcPr>
          <w:p w:rsidR="00024C0A" w:rsidRDefault="00694C0F">
            <w:pPr>
              <w:pStyle w:val="TableBodyText"/>
            </w:pPr>
            <w:r>
              <w:t>ToolsInsertScript</w:t>
            </w:r>
          </w:p>
        </w:tc>
        <w:tc>
          <w:tcPr>
            <w:tcW w:w="0" w:type="auto"/>
            <w:vAlign w:val="center"/>
          </w:tcPr>
          <w:p w:rsidR="00024C0A" w:rsidRDefault="00694C0F">
            <w:pPr>
              <w:pStyle w:val="TableBodyText"/>
            </w:pPr>
            <w:r>
              <w:t>041A</w:t>
            </w:r>
          </w:p>
        </w:tc>
      </w:tr>
      <w:tr w:rsidR="00024C0A" w:rsidTr="00024C0A">
        <w:tc>
          <w:tcPr>
            <w:tcW w:w="0" w:type="auto"/>
            <w:vAlign w:val="center"/>
          </w:tcPr>
          <w:p w:rsidR="00024C0A" w:rsidRDefault="00694C0F">
            <w:pPr>
              <w:pStyle w:val="TableBodyText"/>
            </w:pPr>
            <w:r>
              <w:t>ToolsLanguage</w:t>
            </w:r>
          </w:p>
        </w:tc>
        <w:tc>
          <w:tcPr>
            <w:tcW w:w="0" w:type="auto"/>
            <w:vAlign w:val="center"/>
          </w:tcPr>
          <w:p w:rsidR="00024C0A" w:rsidRDefault="00694C0F">
            <w:pPr>
              <w:pStyle w:val="TableBodyText"/>
            </w:pPr>
            <w:r>
              <w:t>00BC</w:t>
            </w:r>
          </w:p>
        </w:tc>
      </w:tr>
      <w:tr w:rsidR="00024C0A" w:rsidTr="00024C0A">
        <w:tc>
          <w:tcPr>
            <w:tcW w:w="0" w:type="auto"/>
            <w:vAlign w:val="center"/>
          </w:tcPr>
          <w:p w:rsidR="00024C0A" w:rsidRDefault="00694C0F">
            <w:pPr>
              <w:pStyle w:val="TableBodyText"/>
            </w:pPr>
            <w:r>
              <w:t>ToolsLineNumContinuous</w:t>
            </w:r>
          </w:p>
        </w:tc>
        <w:tc>
          <w:tcPr>
            <w:tcW w:w="0" w:type="auto"/>
            <w:vAlign w:val="center"/>
          </w:tcPr>
          <w:p w:rsidR="00024C0A" w:rsidRDefault="00694C0F">
            <w:pPr>
              <w:pStyle w:val="TableBodyText"/>
            </w:pPr>
            <w:r>
              <w:t>0832</w:t>
            </w:r>
          </w:p>
        </w:tc>
      </w:tr>
      <w:tr w:rsidR="00024C0A" w:rsidTr="00024C0A">
        <w:tc>
          <w:tcPr>
            <w:tcW w:w="0" w:type="auto"/>
            <w:vAlign w:val="center"/>
          </w:tcPr>
          <w:p w:rsidR="00024C0A" w:rsidRDefault="00694C0F">
            <w:pPr>
              <w:pStyle w:val="TableBodyText"/>
            </w:pPr>
            <w:r>
              <w:t>ToolsLineNumOff</w:t>
            </w:r>
          </w:p>
        </w:tc>
        <w:tc>
          <w:tcPr>
            <w:tcW w:w="0" w:type="auto"/>
            <w:vAlign w:val="center"/>
          </w:tcPr>
          <w:p w:rsidR="00024C0A" w:rsidRDefault="00694C0F">
            <w:pPr>
              <w:pStyle w:val="TableBodyText"/>
            </w:pPr>
            <w:r>
              <w:t>0831</w:t>
            </w:r>
          </w:p>
        </w:tc>
      </w:tr>
      <w:tr w:rsidR="00024C0A" w:rsidTr="00024C0A">
        <w:tc>
          <w:tcPr>
            <w:tcW w:w="0" w:type="auto"/>
            <w:vAlign w:val="center"/>
          </w:tcPr>
          <w:p w:rsidR="00024C0A" w:rsidRDefault="00694C0F">
            <w:pPr>
              <w:pStyle w:val="TableBodyText"/>
            </w:pPr>
            <w:r>
              <w:t>ToolsLineNumResetSection</w:t>
            </w:r>
          </w:p>
        </w:tc>
        <w:tc>
          <w:tcPr>
            <w:tcW w:w="0" w:type="auto"/>
            <w:vAlign w:val="center"/>
          </w:tcPr>
          <w:p w:rsidR="00024C0A" w:rsidRDefault="00694C0F">
            <w:pPr>
              <w:pStyle w:val="TableBodyText"/>
            </w:pPr>
            <w:r>
              <w:t>0834</w:t>
            </w:r>
          </w:p>
        </w:tc>
      </w:tr>
      <w:tr w:rsidR="00024C0A" w:rsidTr="00024C0A">
        <w:tc>
          <w:tcPr>
            <w:tcW w:w="0" w:type="auto"/>
            <w:vAlign w:val="center"/>
          </w:tcPr>
          <w:p w:rsidR="00024C0A" w:rsidRDefault="00694C0F">
            <w:pPr>
              <w:pStyle w:val="TableBodyText"/>
            </w:pPr>
            <w:r>
              <w:t>ToolsLineNumRestPage</w:t>
            </w:r>
          </w:p>
        </w:tc>
        <w:tc>
          <w:tcPr>
            <w:tcW w:w="0" w:type="auto"/>
            <w:vAlign w:val="center"/>
          </w:tcPr>
          <w:p w:rsidR="00024C0A" w:rsidRDefault="00694C0F">
            <w:pPr>
              <w:pStyle w:val="TableBodyText"/>
            </w:pPr>
            <w:r>
              <w:t>0833</w:t>
            </w:r>
          </w:p>
        </w:tc>
      </w:tr>
      <w:tr w:rsidR="00024C0A" w:rsidTr="00024C0A">
        <w:tc>
          <w:tcPr>
            <w:tcW w:w="0" w:type="auto"/>
            <w:vAlign w:val="center"/>
          </w:tcPr>
          <w:p w:rsidR="00024C0A" w:rsidRDefault="00694C0F">
            <w:pPr>
              <w:pStyle w:val="TableBodyText"/>
            </w:pPr>
            <w:r>
              <w:t>ToolsLineNumSuppress</w:t>
            </w:r>
          </w:p>
        </w:tc>
        <w:tc>
          <w:tcPr>
            <w:tcW w:w="0" w:type="auto"/>
            <w:vAlign w:val="center"/>
          </w:tcPr>
          <w:p w:rsidR="00024C0A" w:rsidRDefault="00694C0F">
            <w:pPr>
              <w:pStyle w:val="TableBodyText"/>
            </w:pPr>
            <w:r>
              <w:t>0835</w:t>
            </w:r>
          </w:p>
        </w:tc>
      </w:tr>
      <w:tr w:rsidR="00024C0A" w:rsidTr="00024C0A">
        <w:tc>
          <w:tcPr>
            <w:tcW w:w="0" w:type="auto"/>
            <w:vAlign w:val="center"/>
          </w:tcPr>
          <w:p w:rsidR="00024C0A" w:rsidRDefault="00694C0F">
            <w:pPr>
              <w:pStyle w:val="TableBodyText"/>
            </w:pPr>
            <w:r>
              <w:t>ToolsMacro</w:t>
            </w:r>
          </w:p>
        </w:tc>
        <w:tc>
          <w:tcPr>
            <w:tcW w:w="0" w:type="auto"/>
            <w:vAlign w:val="center"/>
          </w:tcPr>
          <w:p w:rsidR="00024C0A" w:rsidRDefault="00694C0F">
            <w:pPr>
              <w:pStyle w:val="TableBodyText"/>
            </w:pPr>
            <w:r>
              <w:t>00D7</w:t>
            </w:r>
          </w:p>
        </w:tc>
      </w:tr>
      <w:tr w:rsidR="00024C0A" w:rsidTr="00024C0A">
        <w:tc>
          <w:tcPr>
            <w:tcW w:w="0" w:type="auto"/>
            <w:vAlign w:val="center"/>
          </w:tcPr>
          <w:p w:rsidR="00024C0A" w:rsidRDefault="00694C0F">
            <w:pPr>
              <w:pStyle w:val="TableBodyText"/>
            </w:pPr>
            <w:r>
              <w:t>ToolsManageFields</w:t>
            </w:r>
          </w:p>
        </w:tc>
        <w:tc>
          <w:tcPr>
            <w:tcW w:w="0" w:type="auto"/>
            <w:vAlign w:val="center"/>
          </w:tcPr>
          <w:p w:rsidR="00024C0A" w:rsidRDefault="00694C0F">
            <w:pPr>
              <w:pStyle w:val="TableBodyText"/>
            </w:pPr>
            <w:r>
              <w:t>0277</w:t>
            </w:r>
          </w:p>
        </w:tc>
      </w:tr>
      <w:tr w:rsidR="00024C0A" w:rsidTr="00024C0A">
        <w:tc>
          <w:tcPr>
            <w:tcW w:w="0" w:type="auto"/>
            <w:vAlign w:val="center"/>
          </w:tcPr>
          <w:p w:rsidR="00024C0A" w:rsidRDefault="00694C0F">
            <w:pPr>
              <w:pStyle w:val="TableBodyText"/>
            </w:pPr>
            <w:r>
              <w:t>ToolsMergeRevisions</w:t>
            </w:r>
          </w:p>
        </w:tc>
        <w:tc>
          <w:tcPr>
            <w:tcW w:w="0" w:type="auto"/>
            <w:vAlign w:val="center"/>
          </w:tcPr>
          <w:p w:rsidR="00024C0A" w:rsidRDefault="00694C0F">
            <w:pPr>
              <w:pStyle w:val="TableBodyText"/>
            </w:pPr>
            <w:r>
              <w:t>01B3</w:t>
            </w:r>
          </w:p>
        </w:tc>
      </w:tr>
      <w:tr w:rsidR="00024C0A" w:rsidTr="00024C0A">
        <w:tc>
          <w:tcPr>
            <w:tcW w:w="0" w:type="auto"/>
            <w:vAlign w:val="center"/>
          </w:tcPr>
          <w:p w:rsidR="00024C0A" w:rsidRDefault="00694C0F">
            <w:pPr>
              <w:pStyle w:val="TableBodyText"/>
            </w:pPr>
            <w:r>
              <w:t>ToolsNumberListDefault</w:t>
            </w:r>
          </w:p>
        </w:tc>
        <w:tc>
          <w:tcPr>
            <w:tcW w:w="0" w:type="auto"/>
            <w:vAlign w:val="center"/>
          </w:tcPr>
          <w:p w:rsidR="00024C0A" w:rsidRDefault="00694C0F">
            <w:pPr>
              <w:pStyle w:val="TableBodyText"/>
            </w:pPr>
            <w:r>
              <w:t>0135</w:t>
            </w:r>
          </w:p>
        </w:tc>
      </w:tr>
      <w:tr w:rsidR="00024C0A" w:rsidTr="00024C0A">
        <w:tc>
          <w:tcPr>
            <w:tcW w:w="0" w:type="auto"/>
            <w:vAlign w:val="center"/>
          </w:tcPr>
          <w:p w:rsidR="00024C0A" w:rsidRDefault="00694C0F">
            <w:pPr>
              <w:pStyle w:val="TableBodyText"/>
            </w:pPr>
            <w:r>
              <w:lastRenderedPageBreak/>
              <w:t>ToolsOptions</w:t>
            </w:r>
          </w:p>
        </w:tc>
        <w:tc>
          <w:tcPr>
            <w:tcW w:w="0" w:type="auto"/>
            <w:vAlign w:val="center"/>
          </w:tcPr>
          <w:p w:rsidR="00024C0A" w:rsidRDefault="00694C0F">
            <w:pPr>
              <w:pStyle w:val="TableBodyText"/>
            </w:pPr>
            <w:r>
              <w:t>03CE</w:t>
            </w:r>
          </w:p>
        </w:tc>
      </w:tr>
      <w:tr w:rsidR="00024C0A" w:rsidTr="00024C0A">
        <w:tc>
          <w:tcPr>
            <w:tcW w:w="0" w:type="auto"/>
            <w:vAlign w:val="center"/>
          </w:tcPr>
          <w:p w:rsidR="00024C0A" w:rsidRDefault="00694C0F">
            <w:pPr>
              <w:pStyle w:val="TableBodyText"/>
            </w:pPr>
            <w:r>
              <w:t>ToolsOptionsAutoFormat</w:t>
            </w:r>
          </w:p>
        </w:tc>
        <w:tc>
          <w:tcPr>
            <w:tcW w:w="0" w:type="auto"/>
            <w:vAlign w:val="center"/>
          </w:tcPr>
          <w:p w:rsidR="00024C0A" w:rsidRDefault="00694C0F">
            <w:pPr>
              <w:pStyle w:val="TableBodyText"/>
            </w:pPr>
            <w:r>
              <w:t>03BF</w:t>
            </w:r>
          </w:p>
        </w:tc>
      </w:tr>
      <w:tr w:rsidR="00024C0A" w:rsidTr="00024C0A">
        <w:tc>
          <w:tcPr>
            <w:tcW w:w="0" w:type="auto"/>
            <w:vAlign w:val="center"/>
          </w:tcPr>
          <w:p w:rsidR="00024C0A" w:rsidRDefault="00694C0F">
            <w:pPr>
              <w:pStyle w:val="TableBodyText"/>
            </w:pPr>
            <w:r>
              <w:t>ToolsOptionsAutoFormatAsYouType</w:t>
            </w:r>
          </w:p>
        </w:tc>
        <w:tc>
          <w:tcPr>
            <w:tcW w:w="0" w:type="auto"/>
            <w:vAlign w:val="center"/>
          </w:tcPr>
          <w:p w:rsidR="00024C0A" w:rsidRDefault="00694C0F">
            <w:pPr>
              <w:pStyle w:val="TableBodyText"/>
            </w:pPr>
            <w:r>
              <w:t>030A</w:t>
            </w:r>
          </w:p>
        </w:tc>
      </w:tr>
      <w:tr w:rsidR="00024C0A" w:rsidTr="00024C0A">
        <w:tc>
          <w:tcPr>
            <w:tcW w:w="0" w:type="auto"/>
            <w:vAlign w:val="center"/>
          </w:tcPr>
          <w:p w:rsidR="00024C0A" w:rsidRDefault="00694C0F">
            <w:pPr>
              <w:pStyle w:val="TableBodyText"/>
            </w:pPr>
            <w:r>
              <w:t>ToolsOptionsBidi</w:t>
            </w:r>
          </w:p>
        </w:tc>
        <w:tc>
          <w:tcPr>
            <w:tcW w:w="0" w:type="auto"/>
            <w:vAlign w:val="center"/>
          </w:tcPr>
          <w:p w:rsidR="00024C0A" w:rsidRDefault="00694C0F">
            <w:pPr>
              <w:pStyle w:val="TableBodyText"/>
            </w:pPr>
            <w:r>
              <w:t>0405</w:t>
            </w:r>
          </w:p>
        </w:tc>
      </w:tr>
      <w:tr w:rsidR="00024C0A" w:rsidTr="00024C0A">
        <w:tc>
          <w:tcPr>
            <w:tcW w:w="0" w:type="auto"/>
            <w:vAlign w:val="center"/>
          </w:tcPr>
          <w:p w:rsidR="00024C0A" w:rsidRDefault="00694C0F">
            <w:pPr>
              <w:pStyle w:val="TableBodyText"/>
            </w:pPr>
            <w:r>
              <w:t>ToolsOptionsCompatibility</w:t>
            </w:r>
          </w:p>
        </w:tc>
        <w:tc>
          <w:tcPr>
            <w:tcW w:w="0" w:type="auto"/>
            <w:vAlign w:val="center"/>
          </w:tcPr>
          <w:p w:rsidR="00024C0A" w:rsidRDefault="00694C0F">
            <w:pPr>
              <w:pStyle w:val="TableBodyText"/>
            </w:pPr>
            <w:r>
              <w:t>020D</w:t>
            </w:r>
          </w:p>
        </w:tc>
      </w:tr>
      <w:tr w:rsidR="00024C0A" w:rsidTr="00024C0A">
        <w:tc>
          <w:tcPr>
            <w:tcW w:w="0" w:type="auto"/>
            <w:vAlign w:val="center"/>
          </w:tcPr>
          <w:p w:rsidR="00024C0A" w:rsidRDefault="00694C0F">
            <w:pPr>
              <w:pStyle w:val="TableBodyText"/>
            </w:pPr>
            <w:r>
              <w:t>ToolsOptionsEdit</w:t>
            </w:r>
          </w:p>
        </w:tc>
        <w:tc>
          <w:tcPr>
            <w:tcW w:w="0" w:type="auto"/>
            <w:vAlign w:val="center"/>
          </w:tcPr>
          <w:p w:rsidR="00024C0A" w:rsidRDefault="00694C0F">
            <w:pPr>
              <w:pStyle w:val="TableBodyText"/>
            </w:pPr>
            <w:r>
              <w:t>00E0</w:t>
            </w:r>
          </w:p>
        </w:tc>
      </w:tr>
      <w:tr w:rsidR="00024C0A" w:rsidTr="00024C0A">
        <w:tc>
          <w:tcPr>
            <w:tcW w:w="0" w:type="auto"/>
            <w:vAlign w:val="center"/>
          </w:tcPr>
          <w:p w:rsidR="00024C0A" w:rsidRDefault="00694C0F">
            <w:pPr>
              <w:pStyle w:val="TableBodyText"/>
            </w:pPr>
            <w:r>
              <w:t>ToolsOptionsEditCopyPaste</w:t>
            </w:r>
          </w:p>
        </w:tc>
        <w:tc>
          <w:tcPr>
            <w:tcW w:w="0" w:type="auto"/>
            <w:vAlign w:val="center"/>
          </w:tcPr>
          <w:p w:rsidR="00024C0A" w:rsidRDefault="00694C0F">
            <w:pPr>
              <w:pStyle w:val="TableBodyText"/>
            </w:pPr>
            <w:r>
              <w:t>054C</w:t>
            </w:r>
          </w:p>
        </w:tc>
      </w:tr>
      <w:tr w:rsidR="00024C0A" w:rsidTr="00024C0A">
        <w:tc>
          <w:tcPr>
            <w:tcW w:w="0" w:type="auto"/>
            <w:vAlign w:val="center"/>
          </w:tcPr>
          <w:p w:rsidR="00024C0A" w:rsidRDefault="00694C0F">
            <w:pPr>
              <w:pStyle w:val="TableBodyText"/>
            </w:pPr>
            <w:r>
              <w:t>ToolsOptionsFileLocations</w:t>
            </w:r>
          </w:p>
        </w:tc>
        <w:tc>
          <w:tcPr>
            <w:tcW w:w="0" w:type="auto"/>
            <w:vAlign w:val="center"/>
          </w:tcPr>
          <w:p w:rsidR="00024C0A" w:rsidRDefault="00694C0F">
            <w:pPr>
              <w:pStyle w:val="TableBodyText"/>
            </w:pPr>
            <w:r>
              <w:t>00E1</w:t>
            </w:r>
          </w:p>
        </w:tc>
      </w:tr>
      <w:tr w:rsidR="00024C0A" w:rsidTr="00024C0A">
        <w:tc>
          <w:tcPr>
            <w:tcW w:w="0" w:type="auto"/>
            <w:vAlign w:val="center"/>
          </w:tcPr>
          <w:p w:rsidR="00024C0A" w:rsidRDefault="00694C0F">
            <w:pPr>
              <w:pStyle w:val="TableBodyText"/>
            </w:pPr>
            <w:r>
              <w:t>ToolsOptionsFuzzy</w:t>
            </w:r>
          </w:p>
        </w:tc>
        <w:tc>
          <w:tcPr>
            <w:tcW w:w="0" w:type="auto"/>
            <w:vAlign w:val="center"/>
          </w:tcPr>
          <w:p w:rsidR="00024C0A" w:rsidRDefault="00694C0F">
            <w:pPr>
              <w:pStyle w:val="TableBodyText"/>
            </w:pPr>
            <w:r>
              <w:t>0316</w:t>
            </w:r>
          </w:p>
        </w:tc>
      </w:tr>
      <w:tr w:rsidR="00024C0A" w:rsidTr="00024C0A">
        <w:tc>
          <w:tcPr>
            <w:tcW w:w="0" w:type="auto"/>
            <w:vAlign w:val="center"/>
          </w:tcPr>
          <w:p w:rsidR="00024C0A" w:rsidRDefault="00694C0F">
            <w:pPr>
              <w:pStyle w:val="TableBodyText"/>
            </w:pPr>
            <w:r>
              <w:t>ToolsOptionsGeneral</w:t>
            </w:r>
          </w:p>
        </w:tc>
        <w:tc>
          <w:tcPr>
            <w:tcW w:w="0" w:type="auto"/>
            <w:vAlign w:val="center"/>
          </w:tcPr>
          <w:p w:rsidR="00024C0A" w:rsidRDefault="00694C0F">
            <w:pPr>
              <w:pStyle w:val="TableBodyText"/>
            </w:pPr>
            <w:r>
              <w:t>00CB</w:t>
            </w:r>
          </w:p>
        </w:tc>
      </w:tr>
      <w:tr w:rsidR="00024C0A" w:rsidTr="00024C0A">
        <w:tc>
          <w:tcPr>
            <w:tcW w:w="0" w:type="auto"/>
            <w:vAlign w:val="center"/>
          </w:tcPr>
          <w:p w:rsidR="00024C0A" w:rsidRDefault="00694C0F">
            <w:pPr>
              <w:pStyle w:val="TableBodyText"/>
            </w:pPr>
            <w:r>
              <w:t>ToolsOptionsGrammar</w:t>
            </w:r>
          </w:p>
        </w:tc>
        <w:tc>
          <w:tcPr>
            <w:tcW w:w="0" w:type="auto"/>
            <w:vAlign w:val="center"/>
          </w:tcPr>
          <w:p w:rsidR="00024C0A" w:rsidRDefault="00694C0F">
            <w:pPr>
              <w:pStyle w:val="TableBodyText"/>
            </w:pPr>
            <w:r>
              <w:t>00D4</w:t>
            </w:r>
          </w:p>
        </w:tc>
      </w:tr>
      <w:tr w:rsidR="00024C0A" w:rsidTr="00024C0A">
        <w:tc>
          <w:tcPr>
            <w:tcW w:w="0" w:type="auto"/>
            <w:vAlign w:val="center"/>
          </w:tcPr>
          <w:p w:rsidR="00024C0A" w:rsidRDefault="00694C0F">
            <w:pPr>
              <w:pStyle w:val="TableBodyText"/>
            </w:pPr>
            <w:r>
              <w:t>ToolsOptionsHHC</w:t>
            </w:r>
          </w:p>
        </w:tc>
        <w:tc>
          <w:tcPr>
            <w:tcW w:w="0" w:type="auto"/>
            <w:vAlign w:val="center"/>
          </w:tcPr>
          <w:p w:rsidR="00024C0A" w:rsidRDefault="00694C0F">
            <w:pPr>
              <w:pStyle w:val="TableBodyText"/>
            </w:pPr>
            <w:r>
              <w:t>0312</w:t>
            </w:r>
          </w:p>
        </w:tc>
      </w:tr>
      <w:tr w:rsidR="00024C0A" w:rsidTr="00024C0A">
        <w:tc>
          <w:tcPr>
            <w:tcW w:w="0" w:type="auto"/>
            <w:vAlign w:val="center"/>
          </w:tcPr>
          <w:p w:rsidR="00024C0A" w:rsidRDefault="00694C0F">
            <w:pPr>
              <w:pStyle w:val="TableBodyText"/>
            </w:pPr>
            <w:r>
              <w:t>ToolsOptionsPrint</w:t>
            </w:r>
          </w:p>
        </w:tc>
        <w:tc>
          <w:tcPr>
            <w:tcW w:w="0" w:type="auto"/>
            <w:vAlign w:val="center"/>
          </w:tcPr>
          <w:p w:rsidR="00024C0A" w:rsidRDefault="00694C0F">
            <w:pPr>
              <w:pStyle w:val="TableBodyText"/>
            </w:pPr>
            <w:r>
              <w:t>00D0</w:t>
            </w:r>
          </w:p>
        </w:tc>
      </w:tr>
      <w:tr w:rsidR="00024C0A" w:rsidTr="00024C0A">
        <w:tc>
          <w:tcPr>
            <w:tcW w:w="0" w:type="auto"/>
            <w:vAlign w:val="center"/>
          </w:tcPr>
          <w:p w:rsidR="00024C0A" w:rsidRDefault="00694C0F">
            <w:pPr>
              <w:pStyle w:val="TableBodyText"/>
            </w:pPr>
            <w:r>
              <w:t>ToolsOptionsRevisions</w:t>
            </w:r>
          </w:p>
        </w:tc>
        <w:tc>
          <w:tcPr>
            <w:tcW w:w="0" w:type="auto"/>
            <w:vAlign w:val="center"/>
          </w:tcPr>
          <w:p w:rsidR="00024C0A" w:rsidRDefault="00694C0F">
            <w:pPr>
              <w:pStyle w:val="TableBodyText"/>
            </w:pPr>
            <w:r>
              <w:t>0182</w:t>
            </w:r>
          </w:p>
        </w:tc>
      </w:tr>
      <w:tr w:rsidR="00024C0A" w:rsidTr="00024C0A">
        <w:tc>
          <w:tcPr>
            <w:tcW w:w="0" w:type="auto"/>
            <w:vAlign w:val="center"/>
          </w:tcPr>
          <w:p w:rsidR="00024C0A" w:rsidRDefault="00694C0F">
            <w:pPr>
              <w:pStyle w:val="TableBodyText"/>
            </w:pPr>
            <w:r>
              <w:t>ToolsOptionsSave</w:t>
            </w:r>
          </w:p>
        </w:tc>
        <w:tc>
          <w:tcPr>
            <w:tcW w:w="0" w:type="auto"/>
            <w:vAlign w:val="center"/>
          </w:tcPr>
          <w:p w:rsidR="00024C0A" w:rsidRDefault="00694C0F">
            <w:pPr>
              <w:pStyle w:val="TableBodyText"/>
            </w:pPr>
            <w:r>
              <w:t>00D1</w:t>
            </w:r>
          </w:p>
        </w:tc>
      </w:tr>
      <w:tr w:rsidR="00024C0A" w:rsidTr="00024C0A">
        <w:tc>
          <w:tcPr>
            <w:tcW w:w="0" w:type="auto"/>
            <w:vAlign w:val="center"/>
          </w:tcPr>
          <w:p w:rsidR="00024C0A" w:rsidRDefault="00694C0F">
            <w:pPr>
              <w:pStyle w:val="TableBodyText"/>
            </w:pPr>
            <w:r>
              <w:t>ToolsOptionsSecurity</w:t>
            </w:r>
          </w:p>
        </w:tc>
        <w:tc>
          <w:tcPr>
            <w:tcW w:w="0" w:type="auto"/>
            <w:vAlign w:val="center"/>
          </w:tcPr>
          <w:p w:rsidR="00024C0A" w:rsidRDefault="00694C0F">
            <w:pPr>
              <w:pStyle w:val="TableBodyText"/>
            </w:pPr>
            <w:r>
              <w:t>0551</w:t>
            </w:r>
          </w:p>
        </w:tc>
      </w:tr>
      <w:tr w:rsidR="00024C0A" w:rsidTr="00024C0A">
        <w:tc>
          <w:tcPr>
            <w:tcW w:w="0" w:type="auto"/>
            <w:vAlign w:val="center"/>
          </w:tcPr>
          <w:p w:rsidR="00024C0A" w:rsidRDefault="00694C0F">
            <w:pPr>
              <w:pStyle w:val="TableBodyText"/>
            </w:pPr>
            <w:r>
              <w:t>ToolsOptionsSmartTag</w:t>
            </w:r>
          </w:p>
        </w:tc>
        <w:tc>
          <w:tcPr>
            <w:tcW w:w="0" w:type="auto"/>
            <w:vAlign w:val="center"/>
          </w:tcPr>
          <w:p w:rsidR="00024C0A" w:rsidRDefault="00694C0F">
            <w:pPr>
              <w:pStyle w:val="TableBodyText"/>
            </w:pPr>
            <w:r>
              <w:t>0573</w:t>
            </w:r>
          </w:p>
        </w:tc>
      </w:tr>
      <w:tr w:rsidR="00024C0A" w:rsidTr="00024C0A">
        <w:tc>
          <w:tcPr>
            <w:tcW w:w="0" w:type="auto"/>
            <w:vAlign w:val="center"/>
          </w:tcPr>
          <w:p w:rsidR="00024C0A" w:rsidRDefault="00694C0F">
            <w:pPr>
              <w:pStyle w:val="TableBodyText"/>
            </w:pPr>
            <w:r>
              <w:t>ToolsOptionsSpelling</w:t>
            </w:r>
          </w:p>
        </w:tc>
        <w:tc>
          <w:tcPr>
            <w:tcW w:w="0" w:type="auto"/>
            <w:vAlign w:val="center"/>
          </w:tcPr>
          <w:p w:rsidR="00024C0A" w:rsidRDefault="00694C0F">
            <w:pPr>
              <w:pStyle w:val="TableBodyText"/>
            </w:pPr>
            <w:r>
              <w:t>00D3</w:t>
            </w:r>
          </w:p>
        </w:tc>
      </w:tr>
      <w:tr w:rsidR="00024C0A" w:rsidTr="00024C0A">
        <w:tc>
          <w:tcPr>
            <w:tcW w:w="0" w:type="auto"/>
            <w:vAlign w:val="center"/>
          </w:tcPr>
          <w:p w:rsidR="00024C0A" w:rsidRDefault="00694C0F">
            <w:pPr>
              <w:pStyle w:val="TableBodyText"/>
            </w:pPr>
            <w:r>
              <w:t>ToolsOptionsTypography</w:t>
            </w:r>
          </w:p>
        </w:tc>
        <w:tc>
          <w:tcPr>
            <w:tcW w:w="0" w:type="auto"/>
            <w:vAlign w:val="center"/>
          </w:tcPr>
          <w:p w:rsidR="00024C0A" w:rsidRDefault="00694C0F">
            <w:pPr>
              <w:pStyle w:val="TableBodyText"/>
            </w:pPr>
            <w:r>
              <w:t>02E3</w:t>
            </w:r>
          </w:p>
        </w:tc>
      </w:tr>
      <w:tr w:rsidR="00024C0A" w:rsidTr="00024C0A">
        <w:tc>
          <w:tcPr>
            <w:tcW w:w="0" w:type="auto"/>
            <w:vAlign w:val="center"/>
          </w:tcPr>
          <w:p w:rsidR="00024C0A" w:rsidRDefault="00694C0F">
            <w:pPr>
              <w:pStyle w:val="TableBodyText"/>
            </w:pPr>
            <w:r>
              <w:t>ToolsOptionsUserInfo</w:t>
            </w:r>
          </w:p>
        </w:tc>
        <w:tc>
          <w:tcPr>
            <w:tcW w:w="0" w:type="auto"/>
            <w:vAlign w:val="center"/>
          </w:tcPr>
          <w:p w:rsidR="00024C0A" w:rsidRDefault="00694C0F">
            <w:pPr>
              <w:pStyle w:val="TableBodyText"/>
            </w:pPr>
            <w:r>
              <w:t>00D5</w:t>
            </w:r>
          </w:p>
        </w:tc>
      </w:tr>
      <w:tr w:rsidR="00024C0A" w:rsidTr="00024C0A">
        <w:tc>
          <w:tcPr>
            <w:tcW w:w="0" w:type="auto"/>
            <w:vAlign w:val="center"/>
          </w:tcPr>
          <w:p w:rsidR="00024C0A" w:rsidRDefault="00694C0F">
            <w:pPr>
              <w:pStyle w:val="TableBodyText"/>
            </w:pPr>
            <w:r>
              <w:t>ToolsOptionsView</w:t>
            </w:r>
          </w:p>
        </w:tc>
        <w:tc>
          <w:tcPr>
            <w:tcW w:w="0" w:type="auto"/>
            <w:vAlign w:val="center"/>
          </w:tcPr>
          <w:p w:rsidR="00024C0A" w:rsidRDefault="00694C0F">
            <w:pPr>
              <w:pStyle w:val="TableBodyText"/>
            </w:pPr>
            <w:r>
              <w:t>00CC</w:t>
            </w:r>
          </w:p>
        </w:tc>
      </w:tr>
      <w:tr w:rsidR="00024C0A" w:rsidTr="00024C0A">
        <w:tc>
          <w:tcPr>
            <w:tcW w:w="0" w:type="auto"/>
            <w:vAlign w:val="center"/>
          </w:tcPr>
          <w:p w:rsidR="00024C0A" w:rsidRDefault="00694C0F">
            <w:pPr>
              <w:pStyle w:val="TableBodyText"/>
            </w:pPr>
            <w:r>
              <w:t>ToolsProofing</w:t>
            </w:r>
          </w:p>
        </w:tc>
        <w:tc>
          <w:tcPr>
            <w:tcW w:w="0" w:type="auto"/>
            <w:vAlign w:val="center"/>
          </w:tcPr>
          <w:p w:rsidR="00024C0A" w:rsidRDefault="00694C0F">
            <w:pPr>
              <w:pStyle w:val="TableBodyText"/>
            </w:pPr>
            <w:r>
              <w:t>033C</w:t>
            </w:r>
          </w:p>
        </w:tc>
      </w:tr>
      <w:tr w:rsidR="00024C0A" w:rsidTr="00024C0A">
        <w:tc>
          <w:tcPr>
            <w:tcW w:w="0" w:type="auto"/>
            <w:vAlign w:val="center"/>
          </w:tcPr>
          <w:p w:rsidR="00024C0A" w:rsidRDefault="00694C0F">
            <w:pPr>
              <w:pStyle w:val="TableBodyText"/>
            </w:pPr>
            <w:r>
              <w:t>ToolsProtect</w:t>
            </w:r>
          </w:p>
        </w:tc>
        <w:tc>
          <w:tcPr>
            <w:tcW w:w="0" w:type="auto"/>
            <w:vAlign w:val="center"/>
          </w:tcPr>
          <w:p w:rsidR="00024C0A" w:rsidRDefault="00694C0F">
            <w:pPr>
              <w:pStyle w:val="TableBodyText"/>
            </w:pPr>
            <w:r>
              <w:t>04D8</w:t>
            </w:r>
          </w:p>
        </w:tc>
      </w:tr>
      <w:tr w:rsidR="00024C0A" w:rsidTr="00024C0A">
        <w:tc>
          <w:tcPr>
            <w:tcW w:w="0" w:type="auto"/>
            <w:vAlign w:val="center"/>
          </w:tcPr>
          <w:p w:rsidR="00024C0A" w:rsidRDefault="00694C0F">
            <w:pPr>
              <w:pStyle w:val="TableBodyText"/>
            </w:pPr>
            <w:r>
              <w:t>ToolsProtectDocument</w:t>
            </w:r>
          </w:p>
        </w:tc>
        <w:tc>
          <w:tcPr>
            <w:tcW w:w="0" w:type="auto"/>
            <w:vAlign w:val="center"/>
          </w:tcPr>
          <w:p w:rsidR="00024C0A" w:rsidRDefault="00694C0F">
            <w:pPr>
              <w:pStyle w:val="TableBodyText"/>
            </w:pPr>
            <w:r>
              <w:t>01F7</w:t>
            </w:r>
          </w:p>
        </w:tc>
      </w:tr>
      <w:tr w:rsidR="00024C0A" w:rsidTr="00024C0A">
        <w:tc>
          <w:tcPr>
            <w:tcW w:w="0" w:type="auto"/>
            <w:vAlign w:val="center"/>
          </w:tcPr>
          <w:p w:rsidR="00024C0A" w:rsidRDefault="00694C0F">
            <w:pPr>
              <w:pStyle w:val="TableBodyText"/>
            </w:pPr>
            <w:r>
              <w:t>ToolsProtectSection</w:t>
            </w:r>
          </w:p>
        </w:tc>
        <w:tc>
          <w:tcPr>
            <w:tcW w:w="0" w:type="auto"/>
            <w:vAlign w:val="center"/>
          </w:tcPr>
          <w:p w:rsidR="00024C0A" w:rsidRDefault="00694C0F">
            <w:pPr>
              <w:pStyle w:val="TableBodyText"/>
            </w:pPr>
            <w:r>
              <w:t>0242</w:t>
            </w:r>
          </w:p>
        </w:tc>
      </w:tr>
      <w:tr w:rsidR="00024C0A" w:rsidTr="00024C0A">
        <w:tc>
          <w:tcPr>
            <w:tcW w:w="0" w:type="auto"/>
            <w:vAlign w:val="center"/>
          </w:tcPr>
          <w:p w:rsidR="00024C0A" w:rsidRDefault="00694C0F">
            <w:pPr>
              <w:pStyle w:val="TableBodyText"/>
            </w:pPr>
            <w:r>
              <w:t>ToolsProtectUnprotectDocument</w:t>
            </w:r>
          </w:p>
        </w:tc>
        <w:tc>
          <w:tcPr>
            <w:tcW w:w="0" w:type="auto"/>
            <w:vAlign w:val="center"/>
          </w:tcPr>
          <w:p w:rsidR="00024C0A" w:rsidRDefault="00694C0F">
            <w:pPr>
              <w:pStyle w:val="TableBodyText"/>
            </w:pPr>
            <w:r>
              <w:t>0208</w:t>
            </w:r>
          </w:p>
        </w:tc>
      </w:tr>
      <w:tr w:rsidR="00024C0A" w:rsidTr="00024C0A">
        <w:tc>
          <w:tcPr>
            <w:tcW w:w="0" w:type="auto"/>
            <w:vAlign w:val="center"/>
          </w:tcPr>
          <w:p w:rsidR="00024C0A" w:rsidRDefault="00694C0F">
            <w:pPr>
              <w:pStyle w:val="TableBodyText"/>
            </w:pPr>
            <w:r>
              <w:t>ToolsRecordMacroStart</w:t>
            </w:r>
          </w:p>
        </w:tc>
        <w:tc>
          <w:tcPr>
            <w:tcW w:w="0" w:type="auto"/>
            <w:vAlign w:val="center"/>
          </w:tcPr>
          <w:p w:rsidR="00024C0A" w:rsidRDefault="00694C0F">
            <w:pPr>
              <w:pStyle w:val="TableBodyText"/>
            </w:pPr>
            <w:r>
              <w:t>029A</w:t>
            </w:r>
          </w:p>
        </w:tc>
      </w:tr>
      <w:tr w:rsidR="00024C0A" w:rsidTr="00024C0A">
        <w:tc>
          <w:tcPr>
            <w:tcW w:w="0" w:type="auto"/>
            <w:vAlign w:val="center"/>
          </w:tcPr>
          <w:p w:rsidR="00024C0A" w:rsidRDefault="00694C0F">
            <w:pPr>
              <w:pStyle w:val="TableBodyText"/>
            </w:pPr>
            <w:r>
              <w:t>ToolsRecordMacroStop</w:t>
            </w:r>
          </w:p>
        </w:tc>
        <w:tc>
          <w:tcPr>
            <w:tcW w:w="0" w:type="auto"/>
            <w:vAlign w:val="center"/>
          </w:tcPr>
          <w:p w:rsidR="00024C0A" w:rsidRDefault="00694C0F">
            <w:pPr>
              <w:pStyle w:val="TableBodyText"/>
            </w:pPr>
            <w:r>
              <w:t>029B</w:t>
            </w:r>
          </w:p>
        </w:tc>
      </w:tr>
      <w:tr w:rsidR="00024C0A" w:rsidTr="00024C0A">
        <w:tc>
          <w:tcPr>
            <w:tcW w:w="0" w:type="auto"/>
            <w:vAlign w:val="center"/>
          </w:tcPr>
          <w:p w:rsidR="00024C0A" w:rsidRDefault="00694C0F">
            <w:pPr>
              <w:pStyle w:val="TableBodyText"/>
            </w:pPr>
            <w:r>
              <w:t>ToolsRecordMacroToggle</w:t>
            </w:r>
          </w:p>
        </w:tc>
        <w:tc>
          <w:tcPr>
            <w:tcW w:w="0" w:type="auto"/>
            <w:vAlign w:val="center"/>
          </w:tcPr>
          <w:p w:rsidR="00024C0A" w:rsidRDefault="00694C0F">
            <w:pPr>
              <w:pStyle w:val="TableBodyText"/>
            </w:pPr>
            <w:r>
              <w:t>00D6</w:t>
            </w:r>
          </w:p>
        </w:tc>
      </w:tr>
      <w:tr w:rsidR="00024C0A" w:rsidTr="00024C0A">
        <w:tc>
          <w:tcPr>
            <w:tcW w:w="0" w:type="auto"/>
            <w:vAlign w:val="center"/>
          </w:tcPr>
          <w:p w:rsidR="00024C0A" w:rsidRDefault="00694C0F">
            <w:pPr>
              <w:pStyle w:val="TableBodyText"/>
            </w:pPr>
            <w:r>
              <w:t>ToolsRemoveRecordDefault</w:t>
            </w:r>
          </w:p>
        </w:tc>
        <w:tc>
          <w:tcPr>
            <w:tcW w:w="0" w:type="auto"/>
            <w:vAlign w:val="center"/>
          </w:tcPr>
          <w:p w:rsidR="00024C0A" w:rsidRDefault="00694C0F">
            <w:pPr>
              <w:pStyle w:val="TableBodyText"/>
            </w:pPr>
            <w:r>
              <w:t>0276</w:t>
            </w:r>
          </w:p>
        </w:tc>
      </w:tr>
      <w:tr w:rsidR="00024C0A" w:rsidTr="00024C0A">
        <w:tc>
          <w:tcPr>
            <w:tcW w:w="0" w:type="auto"/>
            <w:vAlign w:val="center"/>
          </w:tcPr>
          <w:p w:rsidR="00024C0A" w:rsidRDefault="00694C0F">
            <w:pPr>
              <w:pStyle w:val="TableBodyText"/>
            </w:pPr>
            <w:r>
              <w:t>ToolsRepaginate</w:t>
            </w:r>
          </w:p>
        </w:tc>
        <w:tc>
          <w:tcPr>
            <w:tcW w:w="0" w:type="auto"/>
            <w:vAlign w:val="center"/>
          </w:tcPr>
          <w:p w:rsidR="00024C0A" w:rsidRDefault="00694C0F">
            <w:pPr>
              <w:pStyle w:val="TableBodyText"/>
            </w:pPr>
            <w:r>
              <w:t>00C9</w:t>
            </w:r>
          </w:p>
        </w:tc>
      </w:tr>
      <w:tr w:rsidR="00024C0A" w:rsidTr="00024C0A">
        <w:tc>
          <w:tcPr>
            <w:tcW w:w="0" w:type="auto"/>
            <w:vAlign w:val="center"/>
          </w:tcPr>
          <w:p w:rsidR="00024C0A" w:rsidRDefault="00694C0F">
            <w:pPr>
              <w:pStyle w:val="TableBodyText"/>
            </w:pPr>
            <w:r>
              <w:t>ToolsReviewRevisions</w:t>
            </w:r>
          </w:p>
        </w:tc>
        <w:tc>
          <w:tcPr>
            <w:tcW w:w="0" w:type="auto"/>
            <w:vAlign w:val="center"/>
          </w:tcPr>
          <w:p w:rsidR="00024C0A" w:rsidRDefault="00694C0F">
            <w:pPr>
              <w:pStyle w:val="TableBodyText"/>
            </w:pPr>
            <w:r>
              <w:t>01FA</w:t>
            </w:r>
          </w:p>
        </w:tc>
      </w:tr>
      <w:tr w:rsidR="00024C0A" w:rsidTr="00024C0A">
        <w:tc>
          <w:tcPr>
            <w:tcW w:w="0" w:type="auto"/>
            <w:vAlign w:val="center"/>
          </w:tcPr>
          <w:p w:rsidR="00024C0A" w:rsidRDefault="00694C0F">
            <w:pPr>
              <w:pStyle w:val="TableBodyText"/>
            </w:pPr>
            <w:r>
              <w:lastRenderedPageBreak/>
              <w:t>ToolsRevisionMarksAccept</w:t>
            </w:r>
          </w:p>
        </w:tc>
        <w:tc>
          <w:tcPr>
            <w:tcW w:w="0" w:type="auto"/>
            <w:vAlign w:val="center"/>
          </w:tcPr>
          <w:p w:rsidR="00024C0A" w:rsidRDefault="00694C0F">
            <w:pPr>
              <w:pStyle w:val="TableBodyText"/>
            </w:pPr>
            <w:r>
              <w:t>03AE</w:t>
            </w:r>
          </w:p>
        </w:tc>
      </w:tr>
      <w:tr w:rsidR="00024C0A" w:rsidTr="00024C0A">
        <w:tc>
          <w:tcPr>
            <w:tcW w:w="0" w:type="auto"/>
            <w:vAlign w:val="center"/>
          </w:tcPr>
          <w:p w:rsidR="00024C0A" w:rsidRDefault="00694C0F">
            <w:pPr>
              <w:pStyle w:val="TableBodyText"/>
            </w:pPr>
            <w:r>
              <w:t>ToolsRevisionMarksNext</w:t>
            </w:r>
          </w:p>
        </w:tc>
        <w:tc>
          <w:tcPr>
            <w:tcW w:w="0" w:type="auto"/>
            <w:vAlign w:val="center"/>
          </w:tcPr>
          <w:p w:rsidR="00024C0A" w:rsidRDefault="00694C0F">
            <w:pPr>
              <w:pStyle w:val="TableBodyText"/>
            </w:pPr>
            <w:r>
              <w:t>03CB</w:t>
            </w:r>
          </w:p>
        </w:tc>
      </w:tr>
      <w:tr w:rsidR="00024C0A" w:rsidTr="00024C0A">
        <w:tc>
          <w:tcPr>
            <w:tcW w:w="0" w:type="auto"/>
            <w:vAlign w:val="center"/>
          </w:tcPr>
          <w:p w:rsidR="00024C0A" w:rsidRDefault="00694C0F">
            <w:pPr>
              <w:pStyle w:val="TableBodyText"/>
            </w:pPr>
            <w:r>
              <w:t>ToolsRevisionMarksPrev</w:t>
            </w:r>
          </w:p>
        </w:tc>
        <w:tc>
          <w:tcPr>
            <w:tcW w:w="0" w:type="auto"/>
            <w:vAlign w:val="center"/>
          </w:tcPr>
          <w:p w:rsidR="00024C0A" w:rsidRDefault="00694C0F">
            <w:pPr>
              <w:pStyle w:val="TableBodyText"/>
            </w:pPr>
            <w:r>
              <w:t>03CA</w:t>
            </w:r>
          </w:p>
        </w:tc>
      </w:tr>
      <w:tr w:rsidR="00024C0A" w:rsidTr="00024C0A">
        <w:tc>
          <w:tcPr>
            <w:tcW w:w="0" w:type="auto"/>
            <w:vAlign w:val="center"/>
          </w:tcPr>
          <w:p w:rsidR="00024C0A" w:rsidRDefault="00694C0F">
            <w:pPr>
              <w:pStyle w:val="TableBodyText"/>
            </w:pPr>
            <w:r>
              <w:t>ToolsRevisionMarksReject</w:t>
            </w:r>
          </w:p>
        </w:tc>
        <w:tc>
          <w:tcPr>
            <w:tcW w:w="0" w:type="auto"/>
            <w:vAlign w:val="center"/>
          </w:tcPr>
          <w:p w:rsidR="00024C0A" w:rsidRDefault="00694C0F">
            <w:pPr>
              <w:pStyle w:val="TableBodyText"/>
            </w:pPr>
            <w:r>
              <w:t>03AF</w:t>
            </w:r>
          </w:p>
        </w:tc>
      </w:tr>
      <w:tr w:rsidR="00024C0A" w:rsidTr="00024C0A">
        <w:tc>
          <w:tcPr>
            <w:tcW w:w="0" w:type="auto"/>
            <w:vAlign w:val="center"/>
          </w:tcPr>
          <w:p w:rsidR="00024C0A" w:rsidRDefault="00694C0F">
            <w:pPr>
              <w:pStyle w:val="TableBodyText"/>
            </w:pPr>
            <w:r>
              <w:t>ToolsRevisionMarksToggle</w:t>
            </w:r>
          </w:p>
        </w:tc>
        <w:tc>
          <w:tcPr>
            <w:tcW w:w="0" w:type="auto"/>
            <w:vAlign w:val="center"/>
          </w:tcPr>
          <w:p w:rsidR="00024C0A" w:rsidRDefault="00694C0F">
            <w:pPr>
              <w:pStyle w:val="TableBodyText"/>
            </w:pPr>
            <w:r>
              <w:t>03BC</w:t>
            </w:r>
          </w:p>
        </w:tc>
      </w:tr>
      <w:tr w:rsidR="00024C0A" w:rsidTr="00024C0A">
        <w:tc>
          <w:tcPr>
            <w:tcW w:w="0" w:type="auto"/>
            <w:vAlign w:val="center"/>
          </w:tcPr>
          <w:p w:rsidR="00024C0A" w:rsidRDefault="00694C0F">
            <w:pPr>
              <w:pStyle w:val="TableBodyText"/>
            </w:pPr>
            <w:r>
              <w:t>ToolsRevisions</w:t>
            </w:r>
          </w:p>
        </w:tc>
        <w:tc>
          <w:tcPr>
            <w:tcW w:w="0" w:type="auto"/>
            <w:vAlign w:val="center"/>
          </w:tcPr>
          <w:p w:rsidR="00024C0A" w:rsidRDefault="00694C0F">
            <w:pPr>
              <w:pStyle w:val="TableBodyText"/>
            </w:pPr>
            <w:r>
              <w:t>00C5</w:t>
            </w:r>
          </w:p>
        </w:tc>
      </w:tr>
      <w:tr w:rsidR="00024C0A" w:rsidTr="00024C0A">
        <w:tc>
          <w:tcPr>
            <w:tcW w:w="0" w:type="auto"/>
            <w:vAlign w:val="center"/>
          </w:tcPr>
          <w:p w:rsidR="00024C0A" w:rsidRDefault="00694C0F">
            <w:pPr>
              <w:pStyle w:val="TableBodyText"/>
            </w:pPr>
            <w:r>
              <w:t>ToolsSCTCTranslate</w:t>
            </w:r>
          </w:p>
        </w:tc>
        <w:tc>
          <w:tcPr>
            <w:tcW w:w="0" w:type="auto"/>
            <w:vAlign w:val="center"/>
          </w:tcPr>
          <w:p w:rsidR="00024C0A" w:rsidRDefault="00694C0F">
            <w:pPr>
              <w:pStyle w:val="TableBodyText"/>
            </w:pPr>
            <w:r>
              <w:t>0492</w:t>
            </w:r>
          </w:p>
        </w:tc>
      </w:tr>
      <w:tr w:rsidR="00024C0A" w:rsidTr="00024C0A">
        <w:tc>
          <w:tcPr>
            <w:tcW w:w="0" w:type="auto"/>
            <w:vAlign w:val="center"/>
          </w:tcPr>
          <w:p w:rsidR="00024C0A" w:rsidRDefault="00694C0F">
            <w:pPr>
              <w:pStyle w:val="TableBodyText"/>
            </w:pPr>
            <w:r>
              <w:t>ToolsShrinkToFit</w:t>
            </w:r>
          </w:p>
        </w:tc>
        <w:tc>
          <w:tcPr>
            <w:tcW w:w="0" w:type="auto"/>
            <w:vAlign w:val="center"/>
          </w:tcPr>
          <w:p w:rsidR="00024C0A" w:rsidRDefault="00694C0F">
            <w:pPr>
              <w:pStyle w:val="TableBodyText"/>
            </w:pPr>
            <w:r>
              <w:t>01F8</w:t>
            </w:r>
          </w:p>
        </w:tc>
      </w:tr>
      <w:tr w:rsidR="00024C0A" w:rsidTr="00024C0A">
        <w:tc>
          <w:tcPr>
            <w:tcW w:w="0" w:type="auto"/>
            <w:vAlign w:val="center"/>
          </w:tcPr>
          <w:p w:rsidR="00024C0A" w:rsidRDefault="00694C0F">
            <w:pPr>
              <w:pStyle w:val="TableBodyText"/>
            </w:pPr>
            <w:r>
              <w:t>ToolsSpellSelection</w:t>
            </w:r>
          </w:p>
        </w:tc>
        <w:tc>
          <w:tcPr>
            <w:tcW w:w="0" w:type="auto"/>
            <w:vAlign w:val="center"/>
          </w:tcPr>
          <w:p w:rsidR="00024C0A" w:rsidRDefault="00694C0F">
            <w:pPr>
              <w:pStyle w:val="TableBodyText"/>
            </w:pPr>
            <w:r>
              <w:t>00C0</w:t>
            </w:r>
          </w:p>
        </w:tc>
      </w:tr>
      <w:tr w:rsidR="00024C0A" w:rsidTr="00024C0A">
        <w:tc>
          <w:tcPr>
            <w:tcW w:w="0" w:type="auto"/>
            <w:vAlign w:val="center"/>
          </w:tcPr>
          <w:p w:rsidR="00024C0A" w:rsidRDefault="00694C0F">
            <w:pPr>
              <w:pStyle w:val="TableBodyText"/>
            </w:pPr>
            <w:r>
              <w:t>ToolsSpelling</w:t>
            </w:r>
          </w:p>
        </w:tc>
        <w:tc>
          <w:tcPr>
            <w:tcW w:w="0" w:type="auto"/>
            <w:vAlign w:val="center"/>
          </w:tcPr>
          <w:p w:rsidR="00024C0A" w:rsidRDefault="00694C0F">
            <w:pPr>
              <w:pStyle w:val="TableBodyText"/>
            </w:pPr>
            <w:r>
              <w:t>00BF</w:t>
            </w:r>
          </w:p>
        </w:tc>
      </w:tr>
      <w:tr w:rsidR="00024C0A" w:rsidTr="00024C0A">
        <w:tc>
          <w:tcPr>
            <w:tcW w:w="0" w:type="auto"/>
            <w:vAlign w:val="center"/>
          </w:tcPr>
          <w:p w:rsidR="00024C0A" w:rsidRDefault="00694C0F">
            <w:pPr>
              <w:pStyle w:val="TableBodyText"/>
            </w:pPr>
            <w:r>
              <w:t>ToolsSpellingHide</w:t>
            </w:r>
          </w:p>
        </w:tc>
        <w:tc>
          <w:tcPr>
            <w:tcW w:w="0" w:type="auto"/>
            <w:vAlign w:val="center"/>
          </w:tcPr>
          <w:p w:rsidR="00024C0A" w:rsidRDefault="00694C0F">
            <w:pPr>
              <w:pStyle w:val="TableBodyText"/>
            </w:pPr>
            <w:r>
              <w:t>03D2</w:t>
            </w:r>
          </w:p>
        </w:tc>
      </w:tr>
      <w:tr w:rsidR="00024C0A" w:rsidTr="00024C0A">
        <w:tc>
          <w:tcPr>
            <w:tcW w:w="0" w:type="auto"/>
            <w:vAlign w:val="center"/>
          </w:tcPr>
          <w:p w:rsidR="00024C0A" w:rsidRDefault="00694C0F">
            <w:pPr>
              <w:pStyle w:val="TableBodyText"/>
            </w:pPr>
            <w:r>
              <w:t>ToolsSpellingRange</w:t>
            </w:r>
          </w:p>
        </w:tc>
        <w:tc>
          <w:tcPr>
            <w:tcW w:w="0" w:type="auto"/>
            <w:vAlign w:val="center"/>
          </w:tcPr>
          <w:p w:rsidR="00024C0A" w:rsidRDefault="00694C0F">
            <w:pPr>
              <w:pStyle w:val="TableBodyText"/>
            </w:pPr>
            <w:r>
              <w:t>034E</w:t>
            </w:r>
          </w:p>
        </w:tc>
      </w:tr>
      <w:tr w:rsidR="00024C0A" w:rsidTr="00024C0A">
        <w:tc>
          <w:tcPr>
            <w:tcW w:w="0" w:type="auto"/>
            <w:vAlign w:val="center"/>
          </w:tcPr>
          <w:p w:rsidR="00024C0A" w:rsidRDefault="00694C0F">
            <w:pPr>
              <w:pStyle w:val="TableBodyText"/>
            </w:pPr>
            <w:r>
              <w:t>ToolsSpellingRecheckDocument</w:t>
            </w:r>
          </w:p>
        </w:tc>
        <w:tc>
          <w:tcPr>
            <w:tcW w:w="0" w:type="auto"/>
            <w:vAlign w:val="center"/>
          </w:tcPr>
          <w:p w:rsidR="00024C0A" w:rsidRDefault="00694C0F">
            <w:pPr>
              <w:pStyle w:val="TableBodyText"/>
            </w:pPr>
            <w:r>
              <w:t>0309</w:t>
            </w:r>
          </w:p>
        </w:tc>
      </w:tr>
      <w:tr w:rsidR="00024C0A" w:rsidTr="00024C0A">
        <w:tc>
          <w:tcPr>
            <w:tcW w:w="0" w:type="auto"/>
            <w:vAlign w:val="center"/>
          </w:tcPr>
          <w:p w:rsidR="00024C0A" w:rsidRDefault="00694C0F">
            <w:pPr>
              <w:pStyle w:val="TableBodyText"/>
            </w:pPr>
            <w:r>
              <w:t>ToolsTCSCTranslate</w:t>
            </w:r>
          </w:p>
        </w:tc>
        <w:tc>
          <w:tcPr>
            <w:tcW w:w="0" w:type="auto"/>
            <w:vAlign w:val="center"/>
          </w:tcPr>
          <w:p w:rsidR="00024C0A" w:rsidRDefault="00694C0F">
            <w:pPr>
              <w:pStyle w:val="TableBodyText"/>
            </w:pPr>
            <w:r>
              <w:t>0491</w:t>
            </w:r>
          </w:p>
        </w:tc>
      </w:tr>
      <w:tr w:rsidR="00024C0A" w:rsidTr="00024C0A">
        <w:tc>
          <w:tcPr>
            <w:tcW w:w="0" w:type="auto"/>
            <w:vAlign w:val="center"/>
          </w:tcPr>
          <w:p w:rsidR="00024C0A" w:rsidRDefault="00694C0F">
            <w:pPr>
              <w:pStyle w:val="TableBodyText"/>
            </w:pPr>
            <w:r>
              <w:t>ToolsTCSCTranslation</w:t>
            </w:r>
          </w:p>
        </w:tc>
        <w:tc>
          <w:tcPr>
            <w:tcW w:w="0" w:type="auto"/>
            <w:vAlign w:val="center"/>
          </w:tcPr>
          <w:p w:rsidR="00024C0A" w:rsidRDefault="00694C0F">
            <w:pPr>
              <w:pStyle w:val="TableBodyText"/>
            </w:pPr>
            <w:r>
              <w:t>0484</w:t>
            </w:r>
          </w:p>
        </w:tc>
      </w:tr>
      <w:tr w:rsidR="00024C0A" w:rsidTr="00024C0A">
        <w:tc>
          <w:tcPr>
            <w:tcW w:w="0" w:type="auto"/>
            <w:vAlign w:val="center"/>
          </w:tcPr>
          <w:p w:rsidR="00024C0A" w:rsidRDefault="00694C0F">
            <w:pPr>
              <w:pStyle w:val="TableBodyText"/>
            </w:pPr>
            <w:r>
              <w:t>ToolsThesaurus</w:t>
            </w:r>
          </w:p>
        </w:tc>
        <w:tc>
          <w:tcPr>
            <w:tcW w:w="0" w:type="auto"/>
            <w:vAlign w:val="center"/>
          </w:tcPr>
          <w:p w:rsidR="00024C0A" w:rsidRDefault="00694C0F">
            <w:pPr>
              <w:pStyle w:val="TableBodyText"/>
            </w:pPr>
            <w:r>
              <w:t>00C2</w:t>
            </w:r>
          </w:p>
        </w:tc>
      </w:tr>
      <w:tr w:rsidR="00024C0A" w:rsidTr="00024C0A">
        <w:tc>
          <w:tcPr>
            <w:tcW w:w="0" w:type="auto"/>
            <w:vAlign w:val="center"/>
          </w:tcPr>
          <w:p w:rsidR="00024C0A" w:rsidRDefault="00694C0F">
            <w:pPr>
              <w:pStyle w:val="TableBodyText"/>
            </w:pPr>
            <w:r>
              <w:t>ToolsThesaurusRR</w:t>
            </w:r>
          </w:p>
        </w:tc>
        <w:tc>
          <w:tcPr>
            <w:tcW w:w="0" w:type="auto"/>
            <w:vAlign w:val="center"/>
          </w:tcPr>
          <w:p w:rsidR="00024C0A" w:rsidRDefault="00694C0F">
            <w:pPr>
              <w:pStyle w:val="TableBodyText"/>
            </w:pPr>
            <w:r>
              <w:t>059F</w:t>
            </w:r>
          </w:p>
        </w:tc>
      </w:tr>
      <w:tr w:rsidR="00024C0A" w:rsidTr="00024C0A">
        <w:tc>
          <w:tcPr>
            <w:tcW w:w="0" w:type="auto"/>
            <w:vAlign w:val="center"/>
          </w:tcPr>
          <w:p w:rsidR="00024C0A" w:rsidRDefault="00694C0F">
            <w:pPr>
              <w:pStyle w:val="TableBodyText"/>
            </w:pPr>
            <w:r>
              <w:t>ToolsTranslateChinese</w:t>
            </w:r>
          </w:p>
        </w:tc>
        <w:tc>
          <w:tcPr>
            <w:tcW w:w="0" w:type="auto"/>
            <w:vAlign w:val="center"/>
          </w:tcPr>
          <w:p w:rsidR="00024C0A" w:rsidRDefault="00694C0F">
            <w:pPr>
              <w:pStyle w:val="TableBodyText"/>
            </w:pPr>
            <w:r>
              <w:t>0493</w:t>
            </w:r>
          </w:p>
        </w:tc>
      </w:tr>
      <w:tr w:rsidR="00024C0A" w:rsidTr="00024C0A">
        <w:tc>
          <w:tcPr>
            <w:tcW w:w="0" w:type="auto"/>
            <w:vAlign w:val="center"/>
          </w:tcPr>
          <w:p w:rsidR="00024C0A" w:rsidRDefault="00694C0F">
            <w:pPr>
              <w:pStyle w:val="TableBodyText"/>
            </w:pPr>
            <w:r>
              <w:t>ToolsUnprotectDocument</w:t>
            </w:r>
          </w:p>
        </w:tc>
        <w:tc>
          <w:tcPr>
            <w:tcW w:w="0" w:type="auto"/>
            <w:vAlign w:val="center"/>
          </w:tcPr>
          <w:p w:rsidR="00024C0A" w:rsidRDefault="00694C0F">
            <w:pPr>
              <w:pStyle w:val="TableBodyText"/>
            </w:pPr>
            <w:r>
              <w:t>0209</w:t>
            </w:r>
          </w:p>
        </w:tc>
      </w:tr>
      <w:tr w:rsidR="00024C0A" w:rsidTr="00024C0A">
        <w:tc>
          <w:tcPr>
            <w:tcW w:w="0" w:type="auto"/>
            <w:vAlign w:val="center"/>
          </w:tcPr>
          <w:p w:rsidR="00024C0A" w:rsidRDefault="00694C0F">
            <w:pPr>
              <w:pStyle w:val="TableBodyText"/>
            </w:pPr>
            <w:r>
              <w:t>ToolsWordCount</w:t>
            </w:r>
          </w:p>
        </w:tc>
        <w:tc>
          <w:tcPr>
            <w:tcW w:w="0" w:type="auto"/>
            <w:vAlign w:val="center"/>
          </w:tcPr>
          <w:p w:rsidR="00024C0A" w:rsidRDefault="00694C0F">
            <w:pPr>
              <w:pStyle w:val="TableBodyText"/>
            </w:pPr>
            <w:r>
              <w:t>00E4</w:t>
            </w:r>
          </w:p>
        </w:tc>
      </w:tr>
      <w:tr w:rsidR="00024C0A" w:rsidTr="00024C0A">
        <w:tc>
          <w:tcPr>
            <w:tcW w:w="0" w:type="auto"/>
            <w:vAlign w:val="center"/>
          </w:tcPr>
          <w:p w:rsidR="00024C0A" w:rsidRDefault="00694C0F">
            <w:pPr>
              <w:pStyle w:val="TableBodyText"/>
            </w:pPr>
            <w:r>
              <w:t>ToolsWordCountList</w:t>
            </w:r>
          </w:p>
        </w:tc>
        <w:tc>
          <w:tcPr>
            <w:tcW w:w="0" w:type="auto"/>
            <w:vAlign w:val="center"/>
          </w:tcPr>
          <w:p w:rsidR="00024C0A" w:rsidRDefault="00694C0F">
            <w:pPr>
              <w:pStyle w:val="TableBodyText"/>
            </w:pPr>
            <w:r>
              <w:t>0542</w:t>
            </w:r>
          </w:p>
        </w:tc>
      </w:tr>
      <w:tr w:rsidR="00024C0A" w:rsidTr="00024C0A">
        <w:tc>
          <w:tcPr>
            <w:tcW w:w="0" w:type="auto"/>
            <w:vAlign w:val="center"/>
          </w:tcPr>
          <w:p w:rsidR="00024C0A" w:rsidRDefault="00694C0F">
            <w:pPr>
              <w:pStyle w:val="TableBodyText"/>
            </w:pPr>
            <w:r>
              <w:t>ToolsWordCountRecount</w:t>
            </w:r>
          </w:p>
        </w:tc>
        <w:tc>
          <w:tcPr>
            <w:tcW w:w="0" w:type="auto"/>
            <w:vAlign w:val="center"/>
          </w:tcPr>
          <w:p w:rsidR="00024C0A" w:rsidRDefault="00694C0F">
            <w:pPr>
              <w:pStyle w:val="TableBodyText"/>
            </w:pPr>
            <w:r>
              <w:t>0541</w:t>
            </w:r>
          </w:p>
        </w:tc>
      </w:tr>
      <w:tr w:rsidR="00024C0A" w:rsidTr="00024C0A">
        <w:tc>
          <w:tcPr>
            <w:tcW w:w="0" w:type="auto"/>
            <w:vAlign w:val="center"/>
          </w:tcPr>
          <w:p w:rsidR="00024C0A" w:rsidRDefault="00694C0F">
            <w:pPr>
              <w:pStyle w:val="TableBodyText"/>
            </w:pPr>
            <w:r>
              <w:t>TopAlign</w:t>
            </w:r>
          </w:p>
        </w:tc>
        <w:tc>
          <w:tcPr>
            <w:tcW w:w="0" w:type="auto"/>
            <w:vAlign w:val="center"/>
          </w:tcPr>
          <w:p w:rsidR="00024C0A" w:rsidRDefault="00694C0F">
            <w:pPr>
              <w:pStyle w:val="TableBodyText"/>
            </w:pPr>
            <w:r>
              <w:t>031F</w:t>
            </w:r>
          </w:p>
        </w:tc>
      </w:tr>
      <w:tr w:rsidR="00024C0A" w:rsidTr="00024C0A">
        <w:tc>
          <w:tcPr>
            <w:tcW w:w="0" w:type="auto"/>
            <w:vAlign w:val="center"/>
          </w:tcPr>
          <w:p w:rsidR="00024C0A" w:rsidRDefault="00694C0F">
            <w:pPr>
              <w:pStyle w:val="TableBodyText"/>
            </w:pPr>
            <w:r>
              <w:t>TopCenterAlign</w:t>
            </w:r>
          </w:p>
        </w:tc>
        <w:tc>
          <w:tcPr>
            <w:tcW w:w="0" w:type="auto"/>
            <w:vAlign w:val="center"/>
          </w:tcPr>
          <w:p w:rsidR="00024C0A" w:rsidRDefault="00694C0F">
            <w:pPr>
              <w:pStyle w:val="TableBodyText"/>
            </w:pPr>
            <w:r>
              <w:t>047A</w:t>
            </w:r>
          </w:p>
        </w:tc>
      </w:tr>
      <w:tr w:rsidR="00024C0A" w:rsidTr="00024C0A">
        <w:tc>
          <w:tcPr>
            <w:tcW w:w="0" w:type="auto"/>
            <w:vAlign w:val="center"/>
          </w:tcPr>
          <w:p w:rsidR="00024C0A" w:rsidRDefault="00694C0F">
            <w:pPr>
              <w:pStyle w:val="TableBodyText"/>
            </w:pPr>
            <w:r>
              <w:t>TopLeftAlign</w:t>
            </w:r>
          </w:p>
        </w:tc>
        <w:tc>
          <w:tcPr>
            <w:tcW w:w="0" w:type="auto"/>
            <w:vAlign w:val="center"/>
          </w:tcPr>
          <w:p w:rsidR="00024C0A" w:rsidRDefault="00694C0F">
            <w:pPr>
              <w:pStyle w:val="TableBodyText"/>
            </w:pPr>
            <w:r>
              <w:t>047B</w:t>
            </w:r>
          </w:p>
        </w:tc>
      </w:tr>
      <w:tr w:rsidR="00024C0A" w:rsidTr="00024C0A">
        <w:tc>
          <w:tcPr>
            <w:tcW w:w="0" w:type="auto"/>
            <w:vAlign w:val="center"/>
          </w:tcPr>
          <w:p w:rsidR="00024C0A" w:rsidRDefault="00694C0F">
            <w:pPr>
              <w:pStyle w:val="TableBodyText"/>
            </w:pPr>
            <w:r>
              <w:t>TopRightAlign</w:t>
            </w:r>
          </w:p>
        </w:tc>
        <w:tc>
          <w:tcPr>
            <w:tcW w:w="0" w:type="auto"/>
            <w:vAlign w:val="center"/>
          </w:tcPr>
          <w:p w:rsidR="00024C0A" w:rsidRDefault="00694C0F">
            <w:pPr>
              <w:pStyle w:val="TableBodyText"/>
            </w:pPr>
            <w:r>
              <w:t>0479</w:t>
            </w:r>
          </w:p>
        </w:tc>
      </w:tr>
      <w:tr w:rsidR="00024C0A" w:rsidTr="00024C0A">
        <w:tc>
          <w:tcPr>
            <w:tcW w:w="0" w:type="auto"/>
            <w:vAlign w:val="center"/>
          </w:tcPr>
          <w:p w:rsidR="00024C0A" w:rsidRDefault="00694C0F">
            <w:pPr>
              <w:pStyle w:val="TableBodyText"/>
            </w:pPr>
            <w:r>
              <w:t>TraceMacro</w:t>
            </w:r>
          </w:p>
        </w:tc>
        <w:tc>
          <w:tcPr>
            <w:tcW w:w="0" w:type="auto"/>
            <w:vAlign w:val="center"/>
          </w:tcPr>
          <w:p w:rsidR="00024C0A" w:rsidRDefault="00694C0F">
            <w:pPr>
              <w:pStyle w:val="TableBodyText"/>
            </w:pPr>
            <w:r>
              <w:t>010B</w:t>
            </w:r>
          </w:p>
        </w:tc>
      </w:tr>
      <w:tr w:rsidR="00024C0A" w:rsidTr="00024C0A">
        <w:tc>
          <w:tcPr>
            <w:tcW w:w="0" w:type="auto"/>
            <w:vAlign w:val="center"/>
          </w:tcPr>
          <w:p w:rsidR="00024C0A" w:rsidRDefault="00694C0F">
            <w:pPr>
              <w:pStyle w:val="TableBodyText"/>
            </w:pPr>
            <w:r>
              <w:t>TrackChangesOptions</w:t>
            </w:r>
          </w:p>
        </w:tc>
        <w:tc>
          <w:tcPr>
            <w:tcW w:w="0" w:type="auto"/>
            <w:vAlign w:val="center"/>
          </w:tcPr>
          <w:p w:rsidR="00024C0A" w:rsidRDefault="00694C0F">
            <w:pPr>
              <w:pStyle w:val="TableBodyText"/>
            </w:pPr>
            <w:r>
              <w:t>089F</w:t>
            </w:r>
          </w:p>
        </w:tc>
      </w:tr>
      <w:tr w:rsidR="00024C0A" w:rsidTr="00024C0A">
        <w:tc>
          <w:tcPr>
            <w:tcW w:w="0" w:type="auto"/>
            <w:vAlign w:val="center"/>
          </w:tcPr>
          <w:p w:rsidR="00024C0A" w:rsidRDefault="00694C0F">
            <w:pPr>
              <w:pStyle w:val="TableBodyText"/>
            </w:pPr>
            <w:r>
              <w:t>Translate</w:t>
            </w:r>
          </w:p>
        </w:tc>
        <w:tc>
          <w:tcPr>
            <w:tcW w:w="0" w:type="auto"/>
            <w:vAlign w:val="center"/>
          </w:tcPr>
          <w:p w:rsidR="00024C0A" w:rsidRDefault="00694C0F">
            <w:pPr>
              <w:pStyle w:val="TableBodyText"/>
            </w:pPr>
            <w:r>
              <w:t>053A</w:t>
            </w:r>
          </w:p>
        </w:tc>
      </w:tr>
      <w:tr w:rsidR="00024C0A" w:rsidTr="00024C0A">
        <w:tc>
          <w:tcPr>
            <w:tcW w:w="0" w:type="auto"/>
            <w:vAlign w:val="center"/>
          </w:tcPr>
          <w:p w:rsidR="00024C0A" w:rsidRDefault="00694C0F">
            <w:pPr>
              <w:pStyle w:val="TableBodyText"/>
            </w:pPr>
            <w:r>
              <w:t>TranslatePane</w:t>
            </w:r>
          </w:p>
        </w:tc>
        <w:tc>
          <w:tcPr>
            <w:tcW w:w="0" w:type="auto"/>
            <w:vAlign w:val="center"/>
          </w:tcPr>
          <w:p w:rsidR="00024C0A" w:rsidRDefault="00694C0F">
            <w:pPr>
              <w:pStyle w:val="TableBodyText"/>
            </w:pPr>
            <w:r>
              <w:t>04E6</w:t>
            </w:r>
          </w:p>
        </w:tc>
      </w:tr>
      <w:tr w:rsidR="00024C0A" w:rsidTr="00024C0A">
        <w:tc>
          <w:tcPr>
            <w:tcW w:w="0" w:type="auto"/>
            <w:vAlign w:val="center"/>
          </w:tcPr>
          <w:p w:rsidR="00024C0A" w:rsidRDefault="00694C0F">
            <w:pPr>
              <w:pStyle w:val="TableBodyText"/>
            </w:pPr>
            <w:r>
              <w:t>TrustCenter</w:t>
            </w:r>
          </w:p>
        </w:tc>
        <w:tc>
          <w:tcPr>
            <w:tcW w:w="0" w:type="auto"/>
            <w:vAlign w:val="center"/>
          </w:tcPr>
          <w:p w:rsidR="00024C0A" w:rsidRDefault="00694C0F">
            <w:pPr>
              <w:pStyle w:val="TableBodyText"/>
            </w:pPr>
            <w:r>
              <w:t>17C7</w:t>
            </w:r>
          </w:p>
        </w:tc>
      </w:tr>
      <w:tr w:rsidR="00024C0A" w:rsidTr="00024C0A">
        <w:tc>
          <w:tcPr>
            <w:tcW w:w="0" w:type="auto"/>
            <w:vAlign w:val="center"/>
          </w:tcPr>
          <w:p w:rsidR="00024C0A" w:rsidRDefault="00694C0F">
            <w:pPr>
              <w:pStyle w:val="TableBodyText"/>
            </w:pPr>
            <w:r>
              <w:t>TxbxAutosize</w:t>
            </w:r>
          </w:p>
        </w:tc>
        <w:tc>
          <w:tcPr>
            <w:tcW w:w="0" w:type="auto"/>
            <w:vAlign w:val="center"/>
          </w:tcPr>
          <w:p w:rsidR="00024C0A" w:rsidRDefault="00694C0F">
            <w:pPr>
              <w:pStyle w:val="TableBodyText"/>
            </w:pPr>
            <w:r>
              <w:t>054D</w:t>
            </w:r>
          </w:p>
        </w:tc>
      </w:tr>
      <w:tr w:rsidR="00024C0A" w:rsidTr="00024C0A">
        <w:tc>
          <w:tcPr>
            <w:tcW w:w="0" w:type="auto"/>
            <w:vAlign w:val="center"/>
          </w:tcPr>
          <w:p w:rsidR="00024C0A" w:rsidRDefault="00694C0F">
            <w:pPr>
              <w:pStyle w:val="TableBodyText"/>
            </w:pPr>
            <w:r>
              <w:lastRenderedPageBreak/>
              <w:t>UIMCorrectionUI</w:t>
            </w:r>
          </w:p>
        </w:tc>
        <w:tc>
          <w:tcPr>
            <w:tcW w:w="0" w:type="auto"/>
            <w:vAlign w:val="center"/>
          </w:tcPr>
          <w:p w:rsidR="00024C0A" w:rsidRDefault="00694C0F">
            <w:pPr>
              <w:pStyle w:val="TableBodyText"/>
            </w:pPr>
            <w:r>
              <w:t>0548</w:t>
            </w:r>
          </w:p>
        </w:tc>
      </w:tr>
      <w:tr w:rsidR="00024C0A" w:rsidTr="00024C0A">
        <w:tc>
          <w:tcPr>
            <w:tcW w:w="0" w:type="auto"/>
            <w:vAlign w:val="center"/>
          </w:tcPr>
          <w:p w:rsidR="00024C0A" w:rsidRDefault="00694C0F">
            <w:pPr>
              <w:pStyle w:val="TableBodyText"/>
            </w:pPr>
            <w:r>
              <w:t>UnHang</w:t>
            </w:r>
          </w:p>
        </w:tc>
        <w:tc>
          <w:tcPr>
            <w:tcW w:w="0" w:type="auto"/>
            <w:vAlign w:val="center"/>
          </w:tcPr>
          <w:p w:rsidR="00024C0A" w:rsidRDefault="00694C0F">
            <w:pPr>
              <w:pStyle w:val="TableBodyText"/>
            </w:pPr>
            <w:r>
              <w:t>0029</w:t>
            </w:r>
          </w:p>
        </w:tc>
      </w:tr>
      <w:tr w:rsidR="00024C0A" w:rsidTr="00024C0A">
        <w:tc>
          <w:tcPr>
            <w:tcW w:w="0" w:type="auto"/>
            <w:vAlign w:val="center"/>
          </w:tcPr>
          <w:p w:rsidR="00024C0A" w:rsidRDefault="00694C0F">
            <w:pPr>
              <w:pStyle w:val="TableBodyText"/>
            </w:pPr>
            <w:r>
              <w:t>UnIndent</w:t>
            </w:r>
          </w:p>
        </w:tc>
        <w:tc>
          <w:tcPr>
            <w:tcW w:w="0" w:type="auto"/>
            <w:vAlign w:val="center"/>
          </w:tcPr>
          <w:p w:rsidR="00024C0A" w:rsidRDefault="00694C0F">
            <w:pPr>
              <w:pStyle w:val="TableBodyText"/>
            </w:pPr>
            <w:r>
              <w:t>0027</w:t>
            </w:r>
          </w:p>
        </w:tc>
      </w:tr>
      <w:tr w:rsidR="00024C0A" w:rsidTr="00024C0A">
        <w:tc>
          <w:tcPr>
            <w:tcW w:w="0" w:type="auto"/>
            <w:vAlign w:val="center"/>
          </w:tcPr>
          <w:p w:rsidR="00024C0A" w:rsidRDefault="00694C0F">
            <w:pPr>
              <w:pStyle w:val="TableBodyText"/>
            </w:pPr>
            <w:r>
              <w:t>UnIndentChar</w:t>
            </w:r>
          </w:p>
        </w:tc>
        <w:tc>
          <w:tcPr>
            <w:tcW w:w="0" w:type="auto"/>
            <w:vAlign w:val="center"/>
          </w:tcPr>
          <w:p w:rsidR="00024C0A" w:rsidRDefault="00694C0F">
            <w:pPr>
              <w:pStyle w:val="TableBodyText"/>
            </w:pPr>
            <w:r>
              <w:t>02D0</w:t>
            </w:r>
          </w:p>
        </w:tc>
      </w:tr>
      <w:tr w:rsidR="00024C0A" w:rsidTr="00024C0A">
        <w:tc>
          <w:tcPr>
            <w:tcW w:w="0" w:type="auto"/>
            <w:vAlign w:val="center"/>
          </w:tcPr>
          <w:p w:rsidR="00024C0A" w:rsidRDefault="00694C0F">
            <w:pPr>
              <w:pStyle w:val="TableBodyText"/>
            </w:pPr>
            <w:r>
              <w:t>UnIndentFirstChar</w:t>
            </w:r>
          </w:p>
        </w:tc>
        <w:tc>
          <w:tcPr>
            <w:tcW w:w="0" w:type="auto"/>
            <w:vAlign w:val="center"/>
          </w:tcPr>
          <w:p w:rsidR="00024C0A" w:rsidRDefault="00694C0F">
            <w:pPr>
              <w:pStyle w:val="TableBodyText"/>
            </w:pPr>
            <w:r>
              <w:t>02D2</w:t>
            </w:r>
          </w:p>
        </w:tc>
      </w:tr>
      <w:tr w:rsidR="00024C0A" w:rsidTr="00024C0A">
        <w:tc>
          <w:tcPr>
            <w:tcW w:w="0" w:type="auto"/>
            <w:vAlign w:val="center"/>
          </w:tcPr>
          <w:p w:rsidR="00024C0A" w:rsidRDefault="00694C0F">
            <w:pPr>
              <w:pStyle w:val="TableBodyText"/>
            </w:pPr>
            <w:r>
              <w:t>UnIndentFirstLine</w:t>
            </w:r>
          </w:p>
        </w:tc>
        <w:tc>
          <w:tcPr>
            <w:tcW w:w="0" w:type="auto"/>
            <w:vAlign w:val="center"/>
          </w:tcPr>
          <w:p w:rsidR="00024C0A" w:rsidRDefault="00694C0F">
            <w:pPr>
              <w:pStyle w:val="TableBodyText"/>
            </w:pPr>
            <w:r>
              <w:t>02F3</w:t>
            </w:r>
          </w:p>
        </w:tc>
      </w:tr>
      <w:tr w:rsidR="00024C0A" w:rsidTr="00024C0A">
        <w:tc>
          <w:tcPr>
            <w:tcW w:w="0" w:type="auto"/>
            <w:vAlign w:val="center"/>
          </w:tcPr>
          <w:p w:rsidR="00024C0A" w:rsidRDefault="00694C0F">
            <w:pPr>
              <w:pStyle w:val="TableBodyText"/>
            </w:pPr>
            <w:r>
              <w:t>UnIndentLine</w:t>
            </w:r>
          </w:p>
        </w:tc>
        <w:tc>
          <w:tcPr>
            <w:tcW w:w="0" w:type="auto"/>
            <w:vAlign w:val="center"/>
          </w:tcPr>
          <w:p w:rsidR="00024C0A" w:rsidRDefault="00694C0F">
            <w:pPr>
              <w:pStyle w:val="TableBodyText"/>
            </w:pPr>
            <w:r>
              <w:t>02F5</w:t>
            </w:r>
          </w:p>
        </w:tc>
      </w:tr>
      <w:tr w:rsidR="00024C0A" w:rsidTr="00024C0A">
        <w:tc>
          <w:tcPr>
            <w:tcW w:w="0" w:type="auto"/>
            <w:vAlign w:val="center"/>
          </w:tcPr>
          <w:p w:rsidR="00024C0A" w:rsidRDefault="00694C0F">
            <w:pPr>
              <w:pStyle w:val="TableBodyText"/>
            </w:pPr>
            <w:r>
              <w:t>Underline</w:t>
            </w:r>
          </w:p>
        </w:tc>
        <w:tc>
          <w:tcPr>
            <w:tcW w:w="0" w:type="auto"/>
            <w:vAlign w:val="center"/>
          </w:tcPr>
          <w:p w:rsidR="00024C0A" w:rsidRDefault="00694C0F">
            <w:pPr>
              <w:pStyle w:val="TableBodyText"/>
            </w:pPr>
            <w:r>
              <w:t>0033</w:t>
            </w:r>
          </w:p>
        </w:tc>
      </w:tr>
      <w:tr w:rsidR="00024C0A" w:rsidTr="00024C0A">
        <w:tc>
          <w:tcPr>
            <w:tcW w:w="0" w:type="auto"/>
            <w:vAlign w:val="center"/>
          </w:tcPr>
          <w:p w:rsidR="00024C0A" w:rsidRDefault="00694C0F">
            <w:pPr>
              <w:pStyle w:val="TableBodyText"/>
            </w:pPr>
            <w:r>
              <w:t>UnderlineColor</w:t>
            </w:r>
          </w:p>
        </w:tc>
        <w:tc>
          <w:tcPr>
            <w:tcW w:w="0" w:type="auto"/>
            <w:vAlign w:val="center"/>
          </w:tcPr>
          <w:p w:rsidR="00024C0A" w:rsidRDefault="00694C0F">
            <w:pPr>
              <w:pStyle w:val="TableBodyText"/>
            </w:pPr>
            <w:r>
              <w:t>0311</w:t>
            </w:r>
          </w:p>
        </w:tc>
      </w:tr>
      <w:tr w:rsidR="00024C0A" w:rsidTr="00024C0A">
        <w:tc>
          <w:tcPr>
            <w:tcW w:w="0" w:type="auto"/>
            <w:vAlign w:val="center"/>
          </w:tcPr>
          <w:p w:rsidR="00024C0A" w:rsidRDefault="00694C0F">
            <w:pPr>
              <w:pStyle w:val="TableBodyText"/>
            </w:pPr>
            <w:r>
              <w:t>UnderlineColorPicker</w:t>
            </w:r>
          </w:p>
        </w:tc>
        <w:tc>
          <w:tcPr>
            <w:tcW w:w="0" w:type="auto"/>
            <w:vAlign w:val="center"/>
          </w:tcPr>
          <w:p w:rsidR="00024C0A" w:rsidRDefault="00694C0F">
            <w:pPr>
              <w:pStyle w:val="TableBodyText"/>
            </w:pPr>
            <w:r>
              <w:t>08C0</w:t>
            </w:r>
          </w:p>
        </w:tc>
      </w:tr>
      <w:tr w:rsidR="00024C0A" w:rsidTr="00024C0A">
        <w:tc>
          <w:tcPr>
            <w:tcW w:w="0" w:type="auto"/>
            <w:vAlign w:val="center"/>
          </w:tcPr>
          <w:p w:rsidR="00024C0A" w:rsidRDefault="00694C0F">
            <w:pPr>
              <w:pStyle w:val="TableBodyText"/>
            </w:pPr>
            <w:r>
              <w:t>UnderlineGallery</w:t>
            </w:r>
          </w:p>
        </w:tc>
        <w:tc>
          <w:tcPr>
            <w:tcW w:w="0" w:type="auto"/>
            <w:vAlign w:val="center"/>
          </w:tcPr>
          <w:p w:rsidR="00024C0A" w:rsidRDefault="00694C0F">
            <w:pPr>
              <w:pStyle w:val="TableBodyText"/>
            </w:pPr>
            <w:r>
              <w:t>08BF</w:t>
            </w:r>
          </w:p>
        </w:tc>
      </w:tr>
      <w:tr w:rsidR="00024C0A" w:rsidTr="00024C0A">
        <w:tc>
          <w:tcPr>
            <w:tcW w:w="0" w:type="auto"/>
            <w:vAlign w:val="center"/>
          </w:tcPr>
          <w:p w:rsidR="00024C0A" w:rsidRDefault="00694C0F">
            <w:pPr>
              <w:pStyle w:val="TableBodyText"/>
            </w:pPr>
            <w:r>
              <w:t>UnderlineStyle</w:t>
            </w:r>
          </w:p>
        </w:tc>
        <w:tc>
          <w:tcPr>
            <w:tcW w:w="0" w:type="auto"/>
            <w:vAlign w:val="center"/>
          </w:tcPr>
          <w:p w:rsidR="00024C0A" w:rsidRDefault="00694C0F">
            <w:pPr>
              <w:pStyle w:val="TableBodyText"/>
            </w:pPr>
            <w:r>
              <w:t>048B</w:t>
            </w:r>
          </w:p>
        </w:tc>
      </w:tr>
      <w:tr w:rsidR="00024C0A" w:rsidTr="00024C0A">
        <w:tc>
          <w:tcPr>
            <w:tcW w:w="0" w:type="auto"/>
            <w:vAlign w:val="center"/>
          </w:tcPr>
          <w:p w:rsidR="00024C0A" w:rsidRDefault="00694C0F">
            <w:pPr>
              <w:pStyle w:val="TableBodyText"/>
            </w:pPr>
            <w:r>
              <w:t>UnlinkFields</w:t>
            </w:r>
          </w:p>
        </w:tc>
        <w:tc>
          <w:tcPr>
            <w:tcW w:w="0" w:type="auto"/>
            <w:vAlign w:val="center"/>
          </w:tcPr>
          <w:p w:rsidR="00024C0A" w:rsidRDefault="00694C0F">
            <w:pPr>
              <w:pStyle w:val="TableBodyText"/>
            </w:pPr>
            <w:r>
              <w:t>0021</w:t>
            </w:r>
          </w:p>
        </w:tc>
      </w:tr>
      <w:tr w:rsidR="00024C0A" w:rsidTr="00024C0A">
        <w:tc>
          <w:tcPr>
            <w:tcW w:w="0" w:type="auto"/>
            <w:vAlign w:val="center"/>
          </w:tcPr>
          <w:p w:rsidR="00024C0A" w:rsidRDefault="00694C0F">
            <w:pPr>
              <w:pStyle w:val="TableBodyText"/>
            </w:pPr>
            <w:r>
              <w:t>UnlinkFieldsVBA</w:t>
            </w:r>
          </w:p>
        </w:tc>
        <w:tc>
          <w:tcPr>
            <w:tcW w:w="0" w:type="auto"/>
            <w:vAlign w:val="center"/>
          </w:tcPr>
          <w:p w:rsidR="00024C0A" w:rsidRDefault="00694C0F">
            <w:pPr>
              <w:pStyle w:val="TableBodyText"/>
            </w:pPr>
            <w:r>
              <w:t>0373</w:t>
            </w:r>
          </w:p>
        </w:tc>
      </w:tr>
      <w:tr w:rsidR="00024C0A" w:rsidTr="00024C0A">
        <w:tc>
          <w:tcPr>
            <w:tcW w:w="0" w:type="auto"/>
            <w:vAlign w:val="center"/>
          </w:tcPr>
          <w:p w:rsidR="00024C0A" w:rsidRDefault="00694C0F">
            <w:pPr>
              <w:pStyle w:val="TableBodyText"/>
            </w:pPr>
            <w:r>
              <w:t>UnlockFields</w:t>
            </w:r>
          </w:p>
        </w:tc>
        <w:tc>
          <w:tcPr>
            <w:tcW w:w="0" w:type="auto"/>
            <w:vAlign w:val="center"/>
          </w:tcPr>
          <w:p w:rsidR="00024C0A" w:rsidRDefault="00694C0F">
            <w:pPr>
              <w:pStyle w:val="TableBodyText"/>
            </w:pPr>
            <w:r>
              <w:t>0024</w:t>
            </w:r>
          </w:p>
        </w:tc>
      </w:tr>
      <w:tr w:rsidR="00024C0A" w:rsidTr="00024C0A">
        <w:tc>
          <w:tcPr>
            <w:tcW w:w="0" w:type="auto"/>
            <w:vAlign w:val="center"/>
          </w:tcPr>
          <w:p w:rsidR="00024C0A" w:rsidRDefault="00694C0F">
            <w:pPr>
              <w:pStyle w:val="TableBodyText"/>
            </w:pPr>
            <w:r>
              <w:t>UnlockPolicyLabel</w:t>
            </w:r>
          </w:p>
        </w:tc>
        <w:tc>
          <w:tcPr>
            <w:tcW w:w="0" w:type="auto"/>
            <w:vAlign w:val="center"/>
          </w:tcPr>
          <w:p w:rsidR="00024C0A" w:rsidRDefault="00694C0F">
            <w:pPr>
              <w:pStyle w:val="TableBodyText"/>
            </w:pPr>
            <w:r>
              <w:t>0784</w:t>
            </w:r>
          </w:p>
        </w:tc>
      </w:tr>
      <w:tr w:rsidR="00024C0A" w:rsidTr="00024C0A">
        <w:tc>
          <w:tcPr>
            <w:tcW w:w="0" w:type="auto"/>
            <w:vAlign w:val="center"/>
          </w:tcPr>
          <w:p w:rsidR="00024C0A" w:rsidRDefault="00694C0F">
            <w:pPr>
              <w:pStyle w:val="TableBodyText"/>
            </w:pPr>
            <w:r>
              <w:t>UpdateBibliography</w:t>
            </w:r>
          </w:p>
        </w:tc>
        <w:tc>
          <w:tcPr>
            <w:tcW w:w="0" w:type="auto"/>
            <w:vAlign w:val="center"/>
          </w:tcPr>
          <w:p w:rsidR="00024C0A" w:rsidRDefault="00694C0F">
            <w:pPr>
              <w:pStyle w:val="TableBodyText"/>
            </w:pPr>
            <w:r>
              <w:t>09A6</w:t>
            </w:r>
          </w:p>
        </w:tc>
      </w:tr>
      <w:tr w:rsidR="00024C0A" w:rsidTr="00024C0A">
        <w:tc>
          <w:tcPr>
            <w:tcW w:w="0" w:type="auto"/>
            <w:vAlign w:val="center"/>
          </w:tcPr>
          <w:p w:rsidR="00024C0A" w:rsidRDefault="00694C0F">
            <w:pPr>
              <w:pStyle w:val="TableBodyText"/>
            </w:pPr>
            <w:r>
              <w:t>UpdateFields</w:t>
            </w:r>
          </w:p>
        </w:tc>
        <w:tc>
          <w:tcPr>
            <w:tcW w:w="0" w:type="auto"/>
            <w:vAlign w:val="center"/>
          </w:tcPr>
          <w:p w:rsidR="00024C0A" w:rsidRDefault="00694C0F">
            <w:pPr>
              <w:pStyle w:val="TableBodyText"/>
            </w:pPr>
            <w:r>
              <w:t>0020</w:t>
            </w:r>
          </w:p>
        </w:tc>
      </w:tr>
      <w:tr w:rsidR="00024C0A" w:rsidTr="00024C0A">
        <w:tc>
          <w:tcPr>
            <w:tcW w:w="0" w:type="auto"/>
            <w:vAlign w:val="center"/>
          </w:tcPr>
          <w:p w:rsidR="00024C0A" w:rsidRDefault="00694C0F">
            <w:pPr>
              <w:pStyle w:val="TableBodyText"/>
            </w:pPr>
            <w:r>
              <w:t>UpdateFieldsIndex</w:t>
            </w:r>
          </w:p>
        </w:tc>
        <w:tc>
          <w:tcPr>
            <w:tcW w:w="0" w:type="auto"/>
            <w:vAlign w:val="center"/>
          </w:tcPr>
          <w:p w:rsidR="00024C0A" w:rsidRDefault="00694C0F">
            <w:pPr>
              <w:pStyle w:val="TableBodyText"/>
            </w:pPr>
            <w:r>
              <w:t>081B</w:t>
            </w:r>
          </w:p>
        </w:tc>
      </w:tr>
      <w:tr w:rsidR="00024C0A" w:rsidTr="00024C0A">
        <w:tc>
          <w:tcPr>
            <w:tcW w:w="0" w:type="auto"/>
            <w:vAlign w:val="center"/>
          </w:tcPr>
          <w:p w:rsidR="00024C0A" w:rsidRDefault="00694C0F">
            <w:pPr>
              <w:pStyle w:val="TableBodyText"/>
            </w:pPr>
            <w:r>
              <w:t>UpdateFieldsTable</w:t>
            </w:r>
          </w:p>
        </w:tc>
        <w:tc>
          <w:tcPr>
            <w:tcW w:w="0" w:type="auto"/>
            <w:vAlign w:val="center"/>
          </w:tcPr>
          <w:p w:rsidR="00024C0A" w:rsidRDefault="00694C0F">
            <w:pPr>
              <w:pStyle w:val="TableBodyText"/>
            </w:pPr>
            <w:r>
              <w:t>081A</w:t>
            </w:r>
          </w:p>
        </w:tc>
      </w:tr>
      <w:tr w:rsidR="00024C0A" w:rsidTr="00024C0A">
        <w:tc>
          <w:tcPr>
            <w:tcW w:w="0" w:type="auto"/>
            <w:vAlign w:val="center"/>
          </w:tcPr>
          <w:p w:rsidR="00024C0A" w:rsidRDefault="00694C0F">
            <w:pPr>
              <w:pStyle w:val="TableBodyText"/>
            </w:pPr>
            <w:r>
              <w:t>UpdateFieldsToa</w:t>
            </w:r>
          </w:p>
        </w:tc>
        <w:tc>
          <w:tcPr>
            <w:tcW w:w="0" w:type="auto"/>
            <w:vAlign w:val="center"/>
          </w:tcPr>
          <w:p w:rsidR="00024C0A" w:rsidRDefault="00694C0F">
            <w:pPr>
              <w:pStyle w:val="TableBodyText"/>
            </w:pPr>
            <w:r>
              <w:t>0947</w:t>
            </w:r>
          </w:p>
        </w:tc>
      </w:tr>
      <w:tr w:rsidR="00024C0A" w:rsidTr="00024C0A">
        <w:tc>
          <w:tcPr>
            <w:tcW w:w="0" w:type="auto"/>
            <w:vAlign w:val="center"/>
          </w:tcPr>
          <w:p w:rsidR="00024C0A" w:rsidRDefault="00694C0F">
            <w:pPr>
              <w:pStyle w:val="TableBodyText"/>
            </w:pPr>
            <w:r>
              <w:t>UpdateFieldsTof</w:t>
            </w:r>
          </w:p>
        </w:tc>
        <w:tc>
          <w:tcPr>
            <w:tcW w:w="0" w:type="auto"/>
            <w:vAlign w:val="center"/>
          </w:tcPr>
          <w:p w:rsidR="00024C0A" w:rsidRDefault="00694C0F">
            <w:pPr>
              <w:pStyle w:val="TableBodyText"/>
            </w:pPr>
            <w:r>
              <w:t>0948</w:t>
            </w:r>
          </w:p>
        </w:tc>
      </w:tr>
      <w:tr w:rsidR="00024C0A" w:rsidTr="00024C0A">
        <w:tc>
          <w:tcPr>
            <w:tcW w:w="0" w:type="auto"/>
            <w:vAlign w:val="center"/>
          </w:tcPr>
          <w:p w:rsidR="00024C0A" w:rsidRDefault="00694C0F">
            <w:pPr>
              <w:pStyle w:val="TableBodyText"/>
            </w:pPr>
            <w:r>
              <w:t>UpdateFieldsVBA</w:t>
            </w:r>
          </w:p>
        </w:tc>
        <w:tc>
          <w:tcPr>
            <w:tcW w:w="0" w:type="auto"/>
            <w:vAlign w:val="center"/>
          </w:tcPr>
          <w:p w:rsidR="00024C0A" w:rsidRDefault="00694C0F">
            <w:pPr>
              <w:pStyle w:val="TableBodyText"/>
            </w:pPr>
            <w:r>
              <w:t>0370</w:t>
            </w:r>
          </w:p>
        </w:tc>
      </w:tr>
      <w:tr w:rsidR="00024C0A" w:rsidTr="00024C0A">
        <w:tc>
          <w:tcPr>
            <w:tcW w:w="0" w:type="auto"/>
            <w:vAlign w:val="center"/>
          </w:tcPr>
          <w:p w:rsidR="00024C0A" w:rsidRDefault="00694C0F">
            <w:pPr>
              <w:pStyle w:val="TableBodyText"/>
            </w:pPr>
            <w:r>
              <w:t>UpdatePolicyLabels</w:t>
            </w:r>
          </w:p>
        </w:tc>
        <w:tc>
          <w:tcPr>
            <w:tcW w:w="0" w:type="auto"/>
            <w:vAlign w:val="center"/>
          </w:tcPr>
          <w:p w:rsidR="00024C0A" w:rsidRDefault="00694C0F">
            <w:pPr>
              <w:pStyle w:val="TableBodyText"/>
            </w:pPr>
            <w:r>
              <w:t>0825</w:t>
            </w:r>
          </w:p>
        </w:tc>
      </w:tr>
      <w:tr w:rsidR="00024C0A" w:rsidTr="00024C0A">
        <w:tc>
          <w:tcPr>
            <w:tcW w:w="0" w:type="auto"/>
            <w:vAlign w:val="center"/>
          </w:tcPr>
          <w:p w:rsidR="00024C0A" w:rsidRDefault="00694C0F">
            <w:pPr>
              <w:pStyle w:val="TableBodyText"/>
            </w:pPr>
            <w:r>
              <w:t>UpdateSource</w:t>
            </w:r>
          </w:p>
        </w:tc>
        <w:tc>
          <w:tcPr>
            <w:tcW w:w="0" w:type="auto"/>
            <w:vAlign w:val="center"/>
          </w:tcPr>
          <w:p w:rsidR="00024C0A" w:rsidRDefault="00694C0F">
            <w:pPr>
              <w:pStyle w:val="TableBodyText"/>
            </w:pPr>
            <w:r>
              <w:t>0025</w:t>
            </w:r>
          </w:p>
        </w:tc>
      </w:tr>
      <w:tr w:rsidR="00024C0A" w:rsidTr="00024C0A">
        <w:tc>
          <w:tcPr>
            <w:tcW w:w="0" w:type="auto"/>
            <w:vAlign w:val="center"/>
          </w:tcPr>
          <w:p w:rsidR="00024C0A" w:rsidRDefault="00694C0F">
            <w:pPr>
              <w:pStyle w:val="TableBodyText"/>
            </w:pPr>
            <w:r>
              <w:t>UpdateStyle</w:t>
            </w:r>
          </w:p>
        </w:tc>
        <w:tc>
          <w:tcPr>
            <w:tcW w:w="0" w:type="auto"/>
            <w:vAlign w:val="center"/>
          </w:tcPr>
          <w:p w:rsidR="00024C0A" w:rsidRDefault="00694C0F">
            <w:pPr>
              <w:pStyle w:val="TableBodyText"/>
            </w:pPr>
            <w:r>
              <w:t>079D</w:t>
            </w:r>
          </w:p>
        </w:tc>
      </w:tr>
      <w:tr w:rsidR="00024C0A" w:rsidTr="00024C0A">
        <w:tc>
          <w:tcPr>
            <w:tcW w:w="0" w:type="auto"/>
            <w:vAlign w:val="center"/>
          </w:tcPr>
          <w:p w:rsidR="00024C0A" w:rsidRDefault="00694C0F">
            <w:pPr>
              <w:pStyle w:val="TableBodyText"/>
            </w:pPr>
            <w:r>
              <w:t>UpdateTableOfContents</w:t>
            </w:r>
          </w:p>
        </w:tc>
        <w:tc>
          <w:tcPr>
            <w:tcW w:w="0" w:type="auto"/>
            <w:vAlign w:val="center"/>
          </w:tcPr>
          <w:p w:rsidR="00024C0A" w:rsidRDefault="00694C0F">
            <w:pPr>
              <w:pStyle w:val="TableBodyText"/>
            </w:pPr>
            <w:r>
              <w:t>056E</w:t>
            </w:r>
          </w:p>
        </w:tc>
      </w:tr>
      <w:tr w:rsidR="00024C0A" w:rsidTr="00024C0A">
        <w:tc>
          <w:tcPr>
            <w:tcW w:w="0" w:type="auto"/>
            <w:vAlign w:val="center"/>
          </w:tcPr>
          <w:p w:rsidR="00024C0A" w:rsidRDefault="00694C0F">
            <w:pPr>
              <w:pStyle w:val="TableBodyText"/>
            </w:pPr>
            <w:r>
              <w:t>UpdateToc</w:t>
            </w:r>
          </w:p>
        </w:tc>
        <w:tc>
          <w:tcPr>
            <w:tcW w:w="0" w:type="auto"/>
            <w:vAlign w:val="center"/>
          </w:tcPr>
          <w:p w:rsidR="00024C0A" w:rsidRDefault="00694C0F">
            <w:pPr>
              <w:pStyle w:val="TableBodyText"/>
            </w:pPr>
            <w:r>
              <w:t>014B</w:t>
            </w:r>
          </w:p>
        </w:tc>
      </w:tr>
      <w:tr w:rsidR="00024C0A" w:rsidTr="00024C0A">
        <w:tc>
          <w:tcPr>
            <w:tcW w:w="0" w:type="auto"/>
            <w:vAlign w:val="center"/>
          </w:tcPr>
          <w:p w:rsidR="00024C0A" w:rsidRDefault="00694C0F">
            <w:pPr>
              <w:pStyle w:val="TableBodyText"/>
            </w:pPr>
            <w:r>
              <w:t>UpdateTocFull</w:t>
            </w:r>
          </w:p>
        </w:tc>
        <w:tc>
          <w:tcPr>
            <w:tcW w:w="0" w:type="auto"/>
            <w:vAlign w:val="center"/>
          </w:tcPr>
          <w:p w:rsidR="00024C0A" w:rsidRDefault="00694C0F">
            <w:pPr>
              <w:pStyle w:val="TableBodyText"/>
            </w:pPr>
            <w:r>
              <w:t>03AD</w:t>
            </w:r>
          </w:p>
        </w:tc>
      </w:tr>
      <w:tr w:rsidR="00024C0A" w:rsidTr="00024C0A">
        <w:tc>
          <w:tcPr>
            <w:tcW w:w="0" w:type="auto"/>
            <w:vAlign w:val="center"/>
          </w:tcPr>
          <w:p w:rsidR="00024C0A" w:rsidRDefault="00694C0F">
            <w:pPr>
              <w:pStyle w:val="TableBodyText"/>
            </w:pPr>
            <w:r>
              <w:t>UpgradeDocument</w:t>
            </w:r>
          </w:p>
        </w:tc>
        <w:tc>
          <w:tcPr>
            <w:tcW w:w="0" w:type="auto"/>
            <w:vAlign w:val="center"/>
          </w:tcPr>
          <w:p w:rsidR="00024C0A" w:rsidRDefault="00694C0F">
            <w:pPr>
              <w:pStyle w:val="TableBodyText"/>
            </w:pPr>
            <w:r>
              <w:t>0940</w:t>
            </w:r>
          </w:p>
        </w:tc>
      </w:tr>
      <w:tr w:rsidR="00024C0A" w:rsidTr="00024C0A">
        <w:tc>
          <w:tcPr>
            <w:tcW w:w="0" w:type="auto"/>
            <w:vAlign w:val="center"/>
          </w:tcPr>
          <w:p w:rsidR="00024C0A" w:rsidRDefault="00694C0F">
            <w:pPr>
              <w:pStyle w:val="TableBodyText"/>
            </w:pPr>
            <w:r>
              <w:t>UseBalloons</w:t>
            </w:r>
          </w:p>
        </w:tc>
        <w:tc>
          <w:tcPr>
            <w:tcW w:w="0" w:type="auto"/>
            <w:vAlign w:val="center"/>
          </w:tcPr>
          <w:p w:rsidR="00024C0A" w:rsidRDefault="00694C0F">
            <w:pPr>
              <w:pStyle w:val="TableBodyText"/>
            </w:pPr>
            <w:r>
              <w:t>05A7</w:t>
            </w:r>
          </w:p>
        </w:tc>
      </w:tr>
      <w:tr w:rsidR="00024C0A" w:rsidTr="00024C0A">
        <w:tc>
          <w:tcPr>
            <w:tcW w:w="0" w:type="auto"/>
            <w:vAlign w:val="center"/>
          </w:tcPr>
          <w:p w:rsidR="00024C0A" w:rsidRDefault="00694C0F">
            <w:pPr>
              <w:pStyle w:val="TableBodyText"/>
            </w:pPr>
            <w:r>
              <w:t>UserDialog</w:t>
            </w:r>
          </w:p>
        </w:tc>
        <w:tc>
          <w:tcPr>
            <w:tcW w:w="0" w:type="auto"/>
            <w:vAlign w:val="center"/>
          </w:tcPr>
          <w:p w:rsidR="00024C0A" w:rsidRDefault="00694C0F">
            <w:pPr>
              <w:pStyle w:val="TableBodyText"/>
            </w:pPr>
            <w:r>
              <w:t>0129</w:t>
            </w:r>
          </w:p>
        </w:tc>
      </w:tr>
      <w:tr w:rsidR="00024C0A" w:rsidTr="00024C0A">
        <w:tc>
          <w:tcPr>
            <w:tcW w:w="0" w:type="auto"/>
            <w:vAlign w:val="center"/>
          </w:tcPr>
          <w:p w:rsidR="00024C0A" w:rsidRDefault="00694C0F">
            <w:pPr>
              <w:pStyle w:val="TableBodyText"/>
            </w:pPr>
            <w:r>
              <w:lastRenderedPageBreak/>
              <w:t>UxGalWordTableStyles</w:t>
            </w:r>
          </w:p>
        </w:tc>
        <w:tc>
          <w:tcPr>
            <w:tcW w:w="0" w:type="auto"/>
            <w:vAlign w:val="center"/>
          </w:tcPr>
          <w:p w:rsidR="00024C0A" w:rsidRDefault="00694C0F">
            <w:pPr>
              <w:pStyle w:val="TableBodyText"/>
            </w:pPr>
            <w:r>
              <w:t>08EF</w:t>
            </w:r>
          </w:p>
        </w:tc>
      </w:tr>
      <w:tr w:rsidR="00024C0A" w:rsidTr="00024C0A">
        <w:tc>
          <w:tcPr>
            <w:tcW w:w="0" w:type="auto"/>
            <w:vAlign w:val="center"/>
          </w:tcPr>
          <w:p w:rsidR="00024C0A" w:rsidRDefault="00694C0F">
            <w:pPr>
              <w:pStyle w:val="TableBodyText"/>
            </w:pPr>
            <w:r>
              <w:t>ViewAnnotations</w:t>
            </w:r>
          </w:p>
        </w:tc>
        <w:tc>
          <w:tcPr>
            <w:tcW w:w="0" w:type="auto"/>
            <w:vAlign w:val="center"/>
          </w:tcPr>
          <w:p w:rsidR="00024C0A" w:rsidRDefault="00694C0F">
            <w:pPr>
              <w:pStyle w:val="TableBodyText"/>
            </w:pPr>
            <w:r>
              <w:t>009D</w:t>
            </w:r>
          </w:p>
        </w:tc>
      </w:tr>
      <w:tr w:rsidR="00024C0A" w:rsidTr="00024C0A">
        <w:tc>
          <w:tcPr>
            <w:tcW w:w="0" w:type="auto"/>
            <w:vAlign w:val="center"/>
          </w:tcPr>
          <w:p w:rsidR="00024C0A" w:rsidRDefault="00694C0F">
            <w:pPr>
              <w:pStyle w:val="TableBodyText"/>
            </w:pPr>
            <w:r>
              <w:t>ViewBorderToolbar</w:t>
            </w:r>
          </w:p>
        </w:tc>
        <w:tc>
          <w:tcPr>
            <w:tcW w:w="0" w:type="auto"/>
            <w:vAlign w:val="center"/>
          </w:tcPr>
          <w:p w:rsidR="00024C0A" w:rsidRDefault="00694C0F">
            <w:pPr>
              <w:pStyle w:val="TableBodyText"/>
            </w:pPr>
            <w:r>
              <w:t>025C</w:t>
            </w:r>
          </w:p>
        </w:tc>
      </w:tr>
      <w:tr w:rsidR="00024C0A" w:rsidTr="00024C0A">
        <w:tc>
          <w:tcPr>
            <w:tcW w:w="0" w:type="auto"/>
            <w:vAlign w:val="center"/>
          </w:tcPr>
          <w:p w:rsidR="00024C0A" w:rsidRDefault="00694C0F">
            <w:pPr>
              <w:pStyle w:val="TableBodyText"/>
            </w:pPr>
            <w:r>
              <w:t>ViewChanges</w:t>
            </w:r>
          </w:p>
        </w:tc>
        <w:tc>
          <w:tcPr>
            <w:tcW w:w="0" w:type="auto"/>
            <w:vAlign w:val="center"/>
          </w:tcPr>
          <w:p w:rsidR="00024C0A" w:rsidRDefault="00694C0F">
            <w:pPr>
              <w:pStyle w:val="TableBodyText"/>
            </w:pPr>
            <w:r>
              <w:t>0504</w:t>
            </w:r>
          </w:p>
        </w:tc>
      </w:tr>
      <w:tr w:rsidR="00024C0A" w:rsidTr="00024C0A">
        <w:tc>
          <w:tcPr>
            <w:tcW w:w="0" w:type="auto"/>
            <w:vAlign w:val="center"/>
          </w:tcPr>
          <w:p w:rsidR="00024C0A" w:rsidRDefault="00694C0F">
            <w:pPr>
              <w:pStyle w:val="TableBodyText"/>
            </w:pPr>
            <w:r>
              <w:t>ViewCode</w:t>
            </w:r>
          </w:p>
        </w:tc>
        <w:tc>
          <w:tcPr>
            <w:tcW w:w="0" w:type="auto"/>
            <w:vAlign w:val="center"/>
          </w:tcPr>
          <w:p w:rsidR="00024C0A" w:rsidRDefault="00694C0F">
            <w:pPr>
              <w:pStyle w:val="TableBodyText"/>
            </w:pPr>
            <w:r>
              <w:t>036E</w:t>
            </w:r>
          </w:p>
        </w:tc>
      </w:tr>
      <w:tr w:rsidR="00024C0A" w:rsidTr="00024C0A">
        <w:tc>
          <w:tcPr>
            <w:tcW w:w="0" w:type="auto"/>
            <w:vAlign w:val="center"/>
          </w:tcPr>
          <w:p w:rsidR="00024C0A" w:rsidRDefault="00694C0F">
            <w:pPr>
              <w:pStyle w:val="TableBodyText"/>
            </w:pPr>
            <w:r>
              <w:t>ViewControlToolbox</w:t>
            </w:r>
          </w:p>
        </w:tc>
        <w:tc>
          <w:tcPr>
            <w:tcW w:w="0" w:type="auto"/>
            <w:vAlign w:val="center"/>
          </w:tcPr>
          <w:p w:rsidR="00024C0A" w:rsidRDefault="00694C0F">
            <w:pPr>
              <w:pStyle w:val="TableBodyText"/>
            </w:pPr>
            <w:r>
              <w:t>1BAF</w:t>
            </w:r>
          </w:p>
        </w:tc>
      </w:tr>
      <w:tr w:rsidR="00024C0A" w:rsidTr="00024C0A">
        <w:tc>
          <w:tcPr>
            <w:tcW w:w="0" w:type="auto"/>
            <w:vAlign w:val="center"/>
          </w:tcPr>
          <w:p w:rsidR="00024C0A" w:rsidRDefault="00694C0F">
            <w:pPr>
              <w:pStyle w:val="TableBodyText"/>
            </w:pPr>
            <w:r>
              <w:t>ViewDocumentMap</w:t>
            </w:r>
          </w:p>
        </w:tc>
        <w:tc>
          <w:tcPr>
            <w:tcW w:w="0" w:type="auto"/>
            <w:vAlign w:val="center"/>
          </w:tcPr>
          <w:p w:rsidR="00024C0A" w:rsidRDefault="00694C0F">
            <w:pPr>
              <w:pStyle w:val="TableBodyText"/>
            </w:pPr>
            <w:r>
              <w:t>03B0</w:t>
            </w:r>
          </w:p>
        </w:tc>
      </w:tr>
      <w:tr w:rsidR="00024C0A" w:rsidTr="00024C0A">
        <w:tc>
          <w:tcPr>
            <w:tcW w:w="0" w:type="auto"/>
            <w:vAlign w:val="center"/>
          </w:tcPr>
          <w:p w:rsidR="00024C0A" w:rsidRDefault="00694C0F">
            <w:pPr>
              <w:pStyle w:val="TableBodyText"/>
            </w:pPr>
            <w:r>
              <w:t>ViewDocumentMapReadingMode</w:t>
            </w:r>
          </w:p>
        </w:tc>
        <w:tc>
          <w:tcPr>
            <w:tcW w:w="0" w:type="auto"/>
            <w:vAlign w:val="center"/>
          </w:tcPr>
          <w:p w:rsidR="00024C0A" w:rsidRDefault="00694C0F">
            <w:pPr>
              <w:pStyle w:val="TableBodyText"/>
            </w:pPr>
            <w:r>
              <w:t>05B6</w:t>
            </w:r>
          </w:p>
        </w:tc>
      </w:tr>
      <w:tr w:rsidR="00024C0A" w:rsidTr="00024C0A">
        <w:tc>
          <w:tcPr>
            <w:tcW w:w="0" w:type="auto"/>
            <w:vAlign w:val="center"/>
          </w:tcPr>
          <w:p w:rsidR="00024C0A" w:rsidRDefault="00694C0F">
            <w:pPr>
              <w:pStyle w:val="TableBodyText"/>
            </w:pPr>
            <w:r>
              <w:t>ViewDraft</w:t>
            </w:r>
          </w:p>
        </w:tc>
        <w:tc>
          <w:tcPr>
            <w:tcW w:w="0" w:type="auto"/>
            <w:vAlign w:val="center"/>
          </w:tcPr>
          <w:p w:rsidR="00024C0A" w:rsidRDefault="00694C0F">
            <w:pPr>
              <w:pStyle w:val="TableBodyText"/>
            </w:pPr>
            <w:r>
              <w:t>0095</w:t>
            </w:r>
          </w:p>
        </w:tc>
      </w:tr>
      <w:tr w:rsidR="00024C0A" w:rsidTr="00024C0A">
        <w:tc>
          <w:tcPr>
            <w:tcW w:w="0" w:type="auto"/>
            <w:vAlign w:val="center"/>
          </w:tcPr>
          <w:p w:rsidR="00024C0A" w:rsidRDefault="00694C0F">
            <w:pPr>
              <w:pStyle w:val="TableBodyText"/>
            </w:pPr>
            <w:r>
              <w:t>ViewDrawingToolbar</w:t>
            </w:r>
          </w:p>
        </w:tc>
        <w:tc>
          <w:tcPr>
            <w:tcW w:w="0" w:type="auto"/>
            <w:vAlign w:val="center"/>
          </w:tcPr>
          <w:p w:rsidR="00024C0A" w:rsidRDefault="00694C0F">
            <w:pPr>
              <w:pStyle w:val="TableBodyText"/>
            </w:pPr>
            <w:r>
              <w:t>025D</w:t>
            </w:r>
          </w:p>
        </w:tc>
      </w:tr>
      <w:tr w:rsidR="00024C0A" w:rsidTr="00024C0A">
        <w:tc>
          <w:tcPr>
            <w:tcW w:w="0" w:type="auto"/>
            <w:vAlign w:val="center"/>
          </w:tcPr>
          <w:p w:rsidR="00024C0A" w:rsidRDefault="00694C0F">
            <w:pPr>
              <w:pStyle w:val="TableBodyText"/>
            </w:pPr>
            <w:r>
              <w:t>ViewEmailSource</w:t>
            </w:r>
          </w:p>
        </w:tc>
        <w:tc>
          <w:tcPr>
            <w:tcW w:w="0" w:type="auto"/>
            <w:vAlign w:val="center"/>
          </w:tcPr>
          <w:p w:rsidR="00024C0A" w:rsidRDefault="00694C0F">
            <w:pPr>
              <w:pStyle w:val="TableBodyText"/>
            </w:pPr>
            <w:r>
              <w:t>0929</w:t>
            </w:r>
          </w:p>
        </w:tc>
      </w:tr>
      <w:tr w:rsidR="00024C0A" w:rsidTr="00024C0A">
        <w:tc>
          <w:tcPr>
            <w:tcW w:w="0" w:type="auto"/>
            <w:vAlign w:val="center"/>
          </w:tcPr>
          <w:p w:rsidR="00024C0A" w:rsidRDefault="00694C0F">
            <w:pPr>
              <w:pStyle w:val="TableBodyText"/>
            </w:pPr>
            <w:r>
              <w:t>ViewEndnoteArea</w:t>
            </w:r>
          </w:p>
        </w:tc>
        <w:tc>
          <w:tcPr>
            <w:tcW w:w="0" w:type="auto"/>
            <w:vAlign w:val="center"/>
          </w:tcPr>
          <w:p w:rsidR="00024C0A" w:rsidRDefault="00694C0F">
            <w:pPr>
              <w:pStyle w:val="TableBodyText"/>
            </w:pPr>
            <w:r>
              <w:t>0152</w:t>
            </w:r>
          </w:p>
        </w:tc>
      </w:tr>
      <w:tr w:rsidR="00024C0A" w:rsidTr="00024C0A">
        <w:tc>
          <w:tcPr>
            <w:tcW w:w="0" w:type="auto"/>
            <w:vAlign w:val="center"/>
          </w:tcPr>
          <w:p w:rsidR="00024C0A" w:rsidRDefault="00694C0F">
            <w:pPr>
              <w:pStyle w:val="TableBodyText"/>
            </w:pPr>
            <w:r>
              <w:t>ViewEndnoteContNotice</w:t>
            </w:r>
          </w:p>
        </w:tc>
        <w:tc>
          <w:tcPr>
            <w:tcW w:w="0" w:type="auto"/>
            <w:vAlign w:val="center"/>
          </w:tcPr>
          <w:p w:rsidR="00024C0A" w:rsidRDefault="00694C0F">
            <w:pPr>
              <w:pStyle w:val="TableBodyText"/>
            </w:pPr>
            <w:r>
              <w:t>01F2</w:t>
            </w:r>
          </w:p>
        </w:tc>
      </w:tr>
      <w:tr w:rsidR="00024C0A" w:rsidTr="00024C0A">
        <w:tc>
          <w:tcPr>
            <w:tcW w:w="0" w:type="auto"/>
            <w:vAlign w:val="center"/>
          </w:tcPr>
          <w:p w:rsidR="00024C0A" w:rsidRDefault="00694C0F">
            <w:pPr>
              <w:pStyle w:val="TableBodyText"/>
            </w:pPr>
            <w:r>
              <w:t>ViewEndnoteContSeparator</w:t>
            </w:r>
          </w:p>
        </w:tc>
        <w:tc>
          <w:tcPr>
            <w:tcW w:w="0" w:type="auto"/>
            <w:vAlign w:val="center"/>
          </w:tcPr>
          <w:p w:rsidR="00024C0A" w:rsidRDefault="00694C0F">
            <w:pPr>
              <w:pStyle w:val="TableBodyText"/>
            </w:pPr>
            <w:r>
              <w:t>01F1</w:t>
            </w:r>
          </w:p>
        </w:tc>
      </w:tr>
      <w:tr w:rsidR="00024C0A" w:rsidTr="00024C0A">
        <w:tc>
          <w:tcPr>
            <w:tcW w:w="0" w:type="auto"/>
            <w:vAlign w:val="center"/>
          </w:tcPr>
          <w:p w:rsidR="00024C0A" w:rsidRDefault="00694C0F">
            <w:pPr>
              <w:pStyle w:val="TableBodyText"/>
            </w:pPr>
            <w:r>
              <w:t>ViewEndnoteSeparator</w:t>
            </w:r>
          </w:p>
        </w:tc>
        <w:tc>
          <w:tcPr>
            <w:tcW w:w="0" w:type="auto"/>
            <w:vAlign w:val="center"/>
          </w:tcPr>
          <w:p w:rsidR="00024C0A" w:rsidRDefault="00694C0F">
            <w:pPr>
              <w:pStyle w:val="TableBodyText"/>
            </w:pPr>
            <w:r>
              <w:t>01F0</w:t>
            </w:r>
          </w:p>
        </w:tc>
      </w:tr>
      <w:tr w:rsidR="00024C0A" w:rsidTr="00024C0A">
        <w:tc>
          <w:tcPr>
            <w:tcW w:w="0" w:type="auto"/>
            <w:vAlign w:val="center"/>
          </w:tcPr>
          <w:p w:rsidR="00024C0A" w:rsidRDefault="00694C0F">
            <w:pPr>
              <w:pStyle w:val="TableBodyText"/>
            </w:pPr>
            <w:r>
              <w:t>ViewFieldCodes</w:t>
            </w:r>
          </w:p>
        </w:tc>
        <w:tc>
          <w:tcPr>
            <w:tcW w:w="0" w:type="auto"/>
            <w:vAlign w:val="center"/>
          </w:tcPr>
          <w:p w:rsidR="00024C0A" w:rsidRDefault="00694C0F">
            <w:pPr>
              <w:pStyle w:val="TableBodyText"/>
            </w:pPr>
            <w:r>
              <w:t>0096</w:t>
            </w:r>
          </w:p>
        </w:tc>
      </w:tr>
      <w:tr w:rsidR="00024C0A" w:rsidTr="00024C0A">
        <w:tc>
          <w:tcPr>
            <w:tcW w:w="0" w:type="auto"/>
            <w:vAlign w:val="center"/>
          </w:tcPr>
          <w:p w:rsidR="00024C0A" w:rsidRDefault="00694C0F">
            <w:pPr>
              <w:pStyle w:val="TableBodyText"/>
            </w:pPr>
            <w:r>
              <w:t>ViewFooter</w:t>
            </w:r>
          </w:p>
        </w:tc>
        <w:tc>
          <w:tcPr>
            <w:tcW w:w="0" w:type="auto"/>
            <w:vAlign w:val="center"/>
          </w:tcPr>
          <w:p w:rsidR="00024C0A" w:rsidRDefault="00694C0F">
            <w:pPr>
              <w:pStyle w:val="TableBodyText"/>
            </w:pPr>
            <w:r>
              <w:t>028E</w:t>
            </w:r>
          </w:p>
        </w:tc>
      </w:tr>
      <w:tr w:rsidR="00024C0A" w:rsidTr="00024C0A">
        <w:tc>
          <w:tcPr>
            <w:tcW w:w="0" w:type="auto"/>
            <w:vAlign w:val="center"/>
          </w:tcPr>
          <w:p w:rsidR="00024C0A" w:rsidRDefault="00694C0F">
            <w:pPr>
              <w:pStyle w:val="TableBodyText"/>
            </w:pPr>
            <w:r>
              <w:t>ViewFooterOnly</w:t>
            </w:r>
          </w:p>
        </w:tc>
        <w:tc>
          <w:tcPr>
            <w:tcW w:w="0" w:type="auto"/>
            <w:vAlign w:val="center"/>
          </w:tcPr>
          <w:p w:rsidR="00024C0A" w:rsidRDefault="00694C0F">
            <w:pPr>
              <w:pStyle w:val="TableBodyText"/>
            </w:pPr>
            <w:r>
              <w:t>090F</w:t>
            </w:r>
          </w:p>
        </w:tc>
      </w:tr>
      <w:tr w:rsidR="00024C0A" w:rsidTr="00024C0A">
        <w:tc>
          <w:tcPr>
            <w:tcW w:w="0" w:type="auto"/>
            <w:vAlign w:val="center"/>
          </w:tcPr>
          <w:p w:rsidR="00024C0A" w:rsidRDefault="00694C0F">
            <w:pPr>
              <w:pStyle w:val="TableBodyText"/>
            </w:pPr>
            <w:r>
              <w:t>ViewFootnoteArea</w:t>
            </w:r>
          </w:p>
        </w:tc>
        <w:tc>
          <w:tcPr>
            <w:tcW w:w="0" w:type="auto"/>
            <w:vAlign w:val="center"/>
          </w:tcPr>
          <w:p w:rsidR="00024C0A" w:rsidRDefault="00694C0F">
            <w:pPr>
              <w:pStyle w:val="TableBodyText"/>
            </w:pPr>
            <w:r>
              <w:t>009C</w:t>
            </w:r>
          </w:p>
        </w:tc>
      </w:tr>
      <w:tr w:rsidR="00024C0A" w:rsidTr="00024C0A">
        <w:tc>
          <w:tcPr>
            <w:tcW w:w="0" w:type="auto"/>
            <w:vAlign w:val="center"/>
          </w:tcPr>
          <w:p w:rsidR="00024C0A" w:rsidRDefault="00694C0F">
            <w:pPr>
              <w:pStyle w:val="TableBodyText"/>
            </w:pPr>
            <w:r>
              <w:t>ViewFootnoteContNotice</w:t>
            </w:r>
          </w:p>
        </w:tc>
        <w:tc>
          <w:tcPr>
            <w:tcW w:w="0" w:type="auto"/>
            <w:vAlign w:val="center"/>
          </w:tcPr>
          <w:p w:rsidR="00024C0A" w:rsidRDefault="00694C0F">
            <w:pPr>
              <w:pStyle w:val="TableBodyText"/>
            </w:pPr>
            <w:r>
              <w:t>01EF</w:t>
            </w:r>
          </w:p>
        </w:tc>
      </w:tr>
      <w:tr w:rsidR="00024C0A" w:rsidTr="00024C0A">
        <w:tc>
          <w:tcPr>
            <w:tcW w:w="0" w:type="auto"/>
            <w:vAlign w:val="center"/>
          </w:tcPr>
          <w:p w:rsidR="00024C0A" w:rsidRDefault="00694C0F">
            <w:pPr>
              <w:pStyle w:val="TableBodyText"/>
            </w:pPr>
            <w:r>
              <w:t>ViewFootnoteContSeparator</w:t>
            </w:r>
          </w:p>
        </w:tc>
        <w:tc>
          <w:tcPr>
            <w:tcW w:w="0" w:type="auto"/>
            <w:vAlign w:val="center"/>
          </w:tcPr>
          <w:p w:rsidR="00024C0A" w:rsidRDefault="00694C0F">
            <w:pPr>
              <w:pStyle w:val="TableBodyText"/>
            </w:pPr>
            <w:r>
              <w:t>01EE</w:t>
            </w:r>
          </w:p>
        </w:tc>
      </w:tr>
      <w:tr w:rsidR="00024C0A" w:rsidTr="00024C0A">
        <w:tc>
          <w:tcPr>
            <w:tcW w:w="0" w:type="auto"/>
            <w:vAlign w:val="center"/>
          </w:tcPr>
          <w:p w:rsidR="00024C0A" w:rsidRDefault="00694C0F">
            <w:pPr>
              <w:pStyle w:val="TableBodyText"/>
            </w:pPr>
            <w:r>
              <w:t>ViewFootnoteSeparator</w:t>
            </w:r>
          </w:p>
        </w:tc>
        <w:tc>
          <w:tcPr>
            <w:tcW w:w="0" w:type="auto"/>
            <w:vAlign w:val="center"/>
          </w:tcPr>
          <w:p w:rsidR="00024C0A" w:rsidRDefault="00694C0F">
            <w:pPr>
              <w:pStyle w:val="TableBodyText"/>
            </w:pPr>
            <w:r>
              <w:t>01ED</w:t>
            </w:r>
          </w:p>
        </w:tc>
      </w:tr>
      <w:tr w:rsidR="00024C0A" w:rsidTr="00024C0A">
        <w:tc>
          <w:tcPr>
            <w:tcW w:w="0" w:type="auto"/>
            <w:vAlign w:val="center"/>
          </w:tcPr>
          <w:p w:rsidR="00024C0A" w:rsidRDefault="00694C0F">
            <w:pPr>
              <w:pStyle w:val="TableBodyText"/>
            </w:pPr>
            <w:r>
              <w:t>ViewFootnotes</w:t>
            </w:r>
          </w:p>
        </w:tc>
        <w:tc>
          <w:tcPr>
            <w:tcW w:w="0" w:type="auto"/>
            <w:vAlign w:val="center"/>
          </w:tcPr>
          <w:p w:rsidR="00024C0A" w:rsidRDefault="00694C0F">
            <w:pPr>
              <w:pStyle w:val="TableBodyText"/>
            </w:pPr>
            <w:r>
              <w:t>01F6</w:t>
            </w:r>
          </w:p>
        </w:tc>
      </w:tr>
      <w:tr w:rsidR="00024C0A" w:rsidTr="00024C0A">
        <w:tc>
          <w:tcPr>
            <w:tcW w:w="0" w:type="auto"/>
            <w:vAlign w:val="center"/>
          </w:tcPr>
          <w:p w:rsidR="00024C0A" w:rsidRDefault="00694C0F">
            <w:pPr>
              <w:pStyle w:val="TableBodyText"/>
            </w:pPr>
            <w:r>
              <w:t>ViewFormatExToolbar</w:t>
            </w:r>
          </w:p>
        </w:tc>
        <w:tc>
          <w:tcPr>
            <w:tcW w:w="0" w:type="auto"/>
            <w:vAlign w:val="center"/>
          </w:tcPr>
          <w:p w:rsidR="00024C0A" w:rsidRDefault="00694C0F">
            <w:pPr>
              <w:pStyle w:val="TableBodyText"/>
            </w:pPr>
            <w:r>
              <w:t>032B</w:t>
            </w:r>
          </w:p>
        </w:tc>
      </w:tr>
      <w:tr w:rsidR="00024C0A" w:rsidTr="00024C0A">
        <w:tc>
          <w:tcPr>
            <w:tcW w:w="0" w:type="auto"/>
            <w:vAlign w:val="center"/>
          </w:tcPr>
          <w:p w:rsidR="00024C0A" w:rsidRDefault="00694C0F">
            <w:pPr>
              <w:pStyle w:val="TableBodyText"/>
            </w:pPr>
            <w:r>
              <w:t>ViewGridlines</w:t>
            </w:r>
          </w:p>
        </w:tc>
        <w:tc>
          <w:tcPr>
            <w:tcW w:w="0" w:type="auto"/>
            <w:vAlign w:val="center"/>
          </w:tcPr>
          <w:p w:rsidR="00024C0A" w:rsidRDefault="00694C0F">
            <w:pPr>
              <w:pStyle w:val="TableBodyText"/>
            </w:pPr>
            <w:r>
              <w:t>02E5</w:t>
            </w:r>
          </w:p>
        </w:tc>
      </w:tr>
      <w:tr w:rsidR="00024C0A" w:rsidTr="00024C0A">
        <w:tc>
          <w:tcPr>
            <w:tcW w:w="0" w:type="auto"/>
            <w:vAlign w:val="center"/>
          </w:tcPr>
          <w:p w:rsidR="00024C0A" w:rsidRDefault="00694C0F">
            <w:pPr>
              <w:pStyle w:val="TableBodyText"/>
            </w:pPr>
            <w:r>
              <w:t>ViewHTMLSource</w:t>
            </w:r>
          </w:p>
        </w:tc>
        <w:tc>
          <w:tcPr>
            <w:tcW w:w="0" w:type="auto"/>
            <w:vAlign w:val="center"/>
          </w:tcPr>
          <w:p w:rsidR="00024C0A" w:rsidRDefault="00694C0F">
            <w:pPr>
              <w:pStyle w:val="TableBodyText"/>
            </w:pPr>
            <w:r>
              <w:t>0482</w:t>
            </w:r>
          </w:p>
        </w:tc>
      </w:tr>
      <w:tr w:rsidR="00024C0A" w:rsidTr="00024C0A">
        <w:tc>
          <w:tcPr>
            <w:tcW w:w="0" w:type="auto"/>
            <w:vAlign w:val="center"/>
          </w:tcPr>
          <w:p w:rsidR="00024C0A" w:rsidRDefault="00694C0F">
            <w:pPr>
              <w:pStyle w:val="TableBodyText"/>
            </w:pPr>
            <w:r>
              <w:t>ViewHeader</w:t>
            </w:r>
          </w:p>
        </w:tc>
        <w:tc>
          <w:tcPr>
            <w:tcW w:w="0" w:type="auto"/>
            <w:vAlign w:val="center"/>
          </w:tcPr>
          <w:p w:rsidR="00024C0A" w:rsidRDefault="00694C0F">
            <w:pPr>
              <w:pStyle w:val="TableBodyText"/>
            </w:pPr>
            <w:r>
              <w:t>01E4</w:t>
            </w:r>
          </w:p>
        </w:tc>
      </w:tr>
      <w:tr w:rsidR="00024C0A" w:rsidTr="00024C0A">
        <w:tc>
          <w:tcPr>
            <w:tcW w:w="0" w:type="auto"/>
            <w:vAlign w:val="center"/>
          </w:tcPr>
          <w:p w:rsidR="00024C0A" w:rsidRDefault="00694C0F">
            <w:pPr>
              <w:pStyle w:val="TableBodyText"/>
            </w:pPr>
            <w:r>
              <w:t>ViewHeaderOnly</w:t>
            </w:r>
          </w:p>
        </w:tc>
        <w:tc>
          <w:tcPr>
            <w:tcW w:w="0" w:type="auto"/>
            <w:vAlign w:val="center"/>
          </w:tcPr>
          <w:p w:rsidR="00024C0A" w:rsidRDefault="00694C0F">
            <w:pPr>
              <w:pStyle w:val="TableBodyText"/>
            </w:pPr>
            <w:r>
              <w:t>08EA</w:t>
            </w:r>
          </w:p>
        </w:tc>
      </w:tr>
      <w:tr w:rsidR="00024C0A" w:rsidTr="00024C0A">
        <w:tc>
          <w:tcPr>
            <w:tcW w:w="0" w:type="auto"/>
            <w:vAlign w:val="center"/>
          </w:tcPr>
          <w:p w:rsidR="00024C0A" w:rsidRDefault="00694C0F">
            <w:pPr>
              <w:pStyle w:val="TableBodyText"/>
            </w:pPr>
            <w:r>
              <w:t>ViewMasterDocument</w:t>
            </w:r>
          </w:p>
        </w:tc>
        <w:tc>
          <w:tcPr>
            <w:tcW w:w="0" w:type="auto"/>
            <w:vAlign w:val="center"/>
          </w:tcPr>
          <w:p w:rsidR="00024C0A" w:rsidRDefault="00694C0F">
            <w:pPr>
              <w:pStyle w:val="TableBodyText"/>
            </w:pPr>
            <w:r>
              <w:t>01EA</w:t>
            </w:r>
          </w:p>
        </w:tc>
      </w:tr>
      <w:tr w:rsidR="00024C0A" w:rsidTr="00024C0A">
        <w:tc>
          <w:tcPr>
            <w:tcW w:w="0" w:type="auto"/>
            <w:vAlign w:val="center"/>
          </w:tcPr>
          <w:p w:rsidR="00024C0A" w:rsidRDefault="00694C0F">
            <w:pPr>
              <w:pStyle w:val="TableBodyText"/>
            </w:pPr>
            <w:r>
              <w:t>ViewNormal</w:t>
            </w:r>
          </w:p>
        </w:tc>
        <w:tc>
          <w:tcPr>
            <w:tcW w:w="0" w:type="auto"/>
            <w:vAlign w:val="center"/>
          </w:tcPr>
          <w:p w:rsidR="00024C0A" w:rsidRDefault="00694C0F">
            <w:pPr>
              <w:pStyle w:val="TableBodyText"/>
            </w:pPr>
            <w:r>
              <w:t>0091</w:t>
            </w:r>
          </w:p>
        </w:tc>
      </w:tr>
      <w:tr w:rsidR="00024C0A" w:rsidTr="00024C0A">
        <w:tc>
          <w:tcPr>
            <w:tcW w:w="0" w:type="auto"/>
            <w:vAlign w:val="center"/>
          </w:tcPr>
          <w:p w:rsidR="00024C0A" w:rsidRDefault="00694C0F">
            <w:pPr>
              <w:pStyle w:val="TableBodyText"/>
            </w:pPr>
            <w:r>
              <w:t>ViewOnline</w:t>
            </w:r>
          </w:p>
        </w:tc>
        <w:tc>
          <w:tcPr>
            <w:tcW w:w="0" w:type="auto"/>
            <w:vAlign w:val="center"/>
          </w:tcPr>
          <w:p w:rsidR="00024C0A" w:rsidRDefault="00694C0F">
            <w:pPr>
              <w:pStyle w:val="TableBodyText"/>
            </w:pPr>
            <w:r>
              <w:t>0334</w:t>
            </w:r>
          </w:p>
        </w:tc>
      </w:tr>
      <w:tr w:rsidR="00024C0A" w:rsidTr="00024C0A">
        <w:tc>
          <w:tcPr>
            <w:tcW w:w="0" w:type="auto"/>
            <w:vAlign w:val="center"/>
          </w:tcPr>
          <w:p w:rsidR="00024C0A" w:rsidRDefault="00694C0F">
            <w:pPr>
              <w:pStyle w:val="TableBodyText"/>
            </w:pPr>
            <w:r>
              <w:t>ViewOutline</w:t>
            </w:r>
          </w:p>
        </w:tc>
        <w:tc>
          <w:tcPr>
            <w:tcW w:w="0" w:type="auto"/>
            <w:vAlign w:val="center"/>
          </w:tcPr>
          <w:p w:rsidR="00024C0A" w:rsidRDefault="00694C0F">
            <w:pPr>
              <w:pStyle w:val="TableBodyText"/>
            </w:pPr>
            <w:r>
              <w:t>0092</w:t>
            </w:r>
          </w:p>
        </w:tc>
      </w:tr>
      <w:tr w:rsidR="00024C0A" w:rsidTr="00024C0A">
        <w:tc>
          <w:tcPr>
            <w:tcW w:w="0" w:type="auto"/>
            <w:vAlign w:val="center"/>
          </w:tcPr>
          <w:p w:rsidR="00024C0A" w:rsidRDefault="00694C0F">
            <w:pPr>
              <w:pStyle w:val="TableBodyText"/>
            </w:pPr>
            <w:r>
              <w:lastRenderedPageBreak/>
              <w:t>ViewOutlineMaster</w:t>
            </w:r>
          </w:p>
        </w:tc>
        <w:tc>
          <w:tcPr>
            <w:tcW w:w="0" w:type="auto"/>
            <w:vAlign w:val="center"/>
          </w:tcPr>
          <w:p w:rsidR="00024C0A" w:rsidRDefault="00694C0F">
            <w:pPr>
              <w:pStyle w:val="TableBodyText"/>
            </w:pPr>
            <w:r>
              <w:t>0499</w:t>
            </w:r>
          </w:p>
        </w:tc>
      </w:tr>
      <w:tr w:rsidR="00024C0A" w:rsidTr="00024C0A">
        <w:tc>
          <w:tcPr>
            <w:tcW w:w="0" w:type="auto"/>
            <w:vAlign w:val="center"/>
          </w:tcPr>
          <w:p w:rsidR="00024C0A" w:rsidRDefault="00694C0F">
            <w:pPr>
              <w:pStyle w:val="TableBodyText"/>
            </w:pPr>
            <w:r>
              <w:t>ViewOutlineSplitToolbar</w:t>
            </w:r>
          </w:p>
        </w:tc>
        <w:tc>
          <w:tcPr>
            <w:tcW w:w="0" w:type="auto"/>
            <w:vAlign w:val="center"/>
          </w:tcPr>
          <w:p w:rsidR="00024C0A" w:rsidRDefault="00694C0F">
            <w:pPr>
              <w:pStyle w:val="TableBodyText"/>
            </w:pPr>
            <w:r>
              <w:t>0324</w:t>
            </w:r>
          </w:p>
        </w:tc>
      </w:tr>
      <w:tr w:rsidR="00024C0A" w:rsidTr="00024C0A">
        <w:tc>
          <w:tcPr>
            <w:tcW w:w="0" w:type="auto"/>
            <w:vAlign w:val="center"/>
          </w:tcPr>
          <w:p w:rsidR="00024C0A" w:rsidRDefault="00694C0F">
            <w:pPr>
              <w:pStyle w:val="TableBodyText"/>
            </w:pPr>
            <w:r>
              <w:t>ViewPage</w:t>
            </w:r>
          </w:p>
        </w:tc>
        <w:tc>
          <w:tcPr>
            <w:tcW w:w="0" w:type="auto"/>
            <w:vAlign w:val="center"/>
          </w:tcPr>
          <w:p w:rsidR="00024C0A" w:rsidRDefault="00694C0F">
            <w:pPr>
              <w:pStyle w:val="TableBodyText"/>
            </w:pPr>
            <w:r>
              <w:t>0093</w:t>
            </w:r>
          </w:p>
        </w:tc>
      </w:tr>
      <w:tr w:rsidR="00024C0A" w:rsidTr="00024C0A">
        <w:tc>
          <w:tcPr>
            <w:tcW w:w="0" w:type="auto"/>
            <w:vAlign w:val="center"/>
          </w:tcPr>
          <w:p w:rsidR="00024C0A" w:rsidRDefault="00694C0F">
            <w:pPr>
              <w:pStyle w:val="TableBodyText"/>
            </w:pPr>
            <w:r>
              <w:t>ViewPageFromOutline</w:t>
            </w:r>
          </w:p>
        </w:tc>
        <w:tc>
          <w:tcPr>
            <w:tcW w:w="0" w:type="auto"/>
            <w:vAlign w:val="center"/>
          </w:tcPr>
          <w:p w:rsidR="00024C0A" w:rsidRDefault="00694C0F">
            <w:pPr>
              <w:pStyle w:val="TableBodyText"/>
            </w:pPr>
            <w:r>
              <w:t>094D</w:t>
            </w:r>
          </w:p>
        </w:tc>
      </w:tr>
      <w:tr w:rsidR="00024C0A" w:rsidTr="00024C0A">
        <w:tc>
          <w:tcPr>
            <w:tcW w:w="0" w:type="auto"/>
            <w:vAlign w:val="center"/>
          </w:tcPr>
          <w:p w:rsidR="00024C0A" w:rsidRDefault="00694C0F">
            <w:pPr>
              <w:pStyle w:val="TableBodyText"/>
            </w:pPr>
            <w:r>
              <w:t>ViewRuler</w:t>
            </w:r>
          </w:p>
        </w:tc>
        <w:tc>
          <w:tcPr>
            <w:tcW w:w="0" w:type="auto"/>
            <w:vAlign w:val="center"/>
          </w:tcPr>
          <w:p w:rsidR="00024C0A" w:rsidRDefault="00694C0F">
            <w:pPr>
              <w:pStyle w:val="TableBodyText"/>
            </w:pPr>
            <w:r>
              <w:t>0099</w:t>
            </w:r>
          </w:p>
        </w:tc>
      </w:tr>
      <w:tr w:rsidR="00024C0A" w:rsidTr="00024C0A">
        <w:tc>
          <w:tcPr>
            <w:tcW w:w="0" w:type="auto"/>
            <w:vAlign w:val="center"/>
          </w:tcPr>
          <w:p w:rsidR="00024C0A" w:rsidRDefault="00694C0F">
            <w:pPr>
              <w:pStyle w:val="TableBodyText"/>
            </w:pPr>
            <w:r>
              <w:t>ViewSecurity</w:t>
            </w:r>
          </w:p>
        </w:tc>
        <w:tc>
          <w:tcPr>
            <w:tcW w:w="0" w:type="auto"/>
            <w:vAlign w:val="center"/>
          </w:tcPr>
          <w:p w:rsidR="00024C0A" w:rsidRDefault="00694C0F">
            <w:pPr>
              <w:pStyle w:val="TableBodyText"/>
            </w:pPr>
            <w:r>
              <w:t>0419</w:t>
            </w:r>
          </w:p>
        </w:tc>
      </w:tr>
      <w:tr w:rsidR="00024C0A" w:rsidTr="00024C0A">
        <w:tc>
          <w:tcPr>
            <w:tcW w:w="0" w:type="auto"/>
            <w:vAlign w:val="center"/>
          </w:tcPr>
          <w:p w:rsidR="00024C0A" w:rsidRDefault="00694C0F">
            <w:pPr>
              <w:pStyle w:val="TableBodyText"/>
            </w:pPr>
            <w:r>
              <w:t>ViewSignatures</w:t>
            </w:r>
          </w:p>
        </w:tc>
        <w:tc>
          <w:tcPr>
            <w:tcW w:w="0" w:type="auto"/>
            <w:vAlign w:val="center"/>
          </w:tcPr>
          <w:p w:rsidR="00024C0A" w:rsidRDefault="00694C0F">
            <w:pPr>
              <w:pStyle w:val="TableBodyText"/>
            </w:pPr>
            <w:r>
              <w:t>04F3</w:t>
            </w:r>
          </w:p>
        </w:tc>
      </w:tr>
      <w:tr w:rsidR="00024C0A" w:rsidTr="00024C0A">
        <w:tc>
          <w:tcPr>
            <w:tcW w:w="0" w:type="auto"/>
            <w:vAlign w:val="center"/>
          </w:tcPr>
          <w:p w:rsidR="00024C0A" w:rsidRDefault="00694C0F">
            <w:pPr>
              <w:pStyle w:val="TableBodyText"/>
            </w:pPr>
            <w:r>
              <w:t>ViewStatusBar</w:t>
            </w:r>
          </w:p>
        </w:tc>
        <w:tc>
          <w:tcPr>
            <w:tcW w:w="0" w:type="auto"/>
            <w:vAlign w:val="center"/>
          </w:tcPr>
          <w:p w:rsidR="00024C0A" w:rsidRDefault="00694C0F">
            <w:pPr>
              <w:pStyle w:val="TableBodyText"/>
            </w:pPr>
            <w:r>
              <w:t>009A</w:t>
            </w:r>
          </w:p>
        </w:tc>
      </w:tr>
      <w:tr w:rsidR="00024C0A" w:rsidTr="00024C0A">
        <w:tc>
          <w:tcPr>
            <w:tcW w:w="0" w:type="auto"/>
            <w:vAlign w:val="center"/>
          </w:tcPr>
          <w:p w:rsidR="00024C0A" w:rsidRDefault="00694C0F">
            <w:pPr>
              <w:pStyle w:val="TableBodyText"/>
            </w:pPr>
            <w:r>
              <w:t>ViewTaskPane</w:t>
            </w:r>
          </w:p>
        </w:tc>
        <w:tc>
          <w:tcPr>
            <w:tcW w:w="0" w:type="auto"/>
            <w:vAlign w:val="center"/>
          </w:tcPr>
          <w:p w:rsidR="00024C0A" w:rsidRDefault="00694C0F">
            <w:pPr>
              <w:pStyle w:val="TableBodyText"/>
            </w:pPr>
            <w:r>
              <w:t>0521</w:t>
            </w:r>
          </w:p>
        </w:tc>
      </w:tr>
      <w:tr w:rsidR="00024C0A" w:rsidTr="00024C0A">
        <w:tc>
          <w:tcPr>
            <w:tcW w:w="0" w:type="auto"/>
            <w:vAlign w:val="center"/>
          </w:tcPr>
          <w:p w:rsidR="00024C0A" w:rsidRDefault="00694C0F">
            <w:pPr>
              <w:pStyle w:val="TableBodyText"/>
            </w:pPr>
            <w:r>
              <w:t>ViewToggleMasterDocument</w:t>
            </w:r>
          </w:p>
        </w:tc>
        <w:tc>
          <w:tcPr>
            <w:tcW w:w="0" w:type="auto"/>
            <w:vAlign w:val="center"/>
          </w:tcPr>
          <w:p w:rsidR="00024C0A" w:rsidRDefault="00694C0F">
            <w:pPr>
              <w:pStyle w:val="TableBodyText"/>
            </w:pPr>
            <w:r>
              <w:t>0278</w:t>
            </w:r>
          </w:p>
        </w:tc>
      </w:tr>
      <w:tr w:rsidR="00024C0A" w:rsidTr="00024C0A">
        <w:tc>
          <w:tcPr>
            <w:tcW w:w="0" w:type="auto"/>
            <w:vAlign w:val="center"/>
          </w:tcPr>
          <w:p w:rsidR="00024C0A" w:rsidRDefault="00694C0F">
            <w:pPr>
              <w:pStyle w:val="TableBodyText"/>
            </w:pPr>
            <w:r>
              <w:t>ViewTogglePageBoundaries</w:t>
            </w:r>
          </w:p>
        </w:tc>
        <w:tc>
          <w:tcPr>
            <w:tcW w:w="0" w:type="auto"/>
            <w:vAlign w:val="center"/>
          </w:tcPr>
          <w:p w:rsidR="00024C0A" w:rsidRDefault="00694C0F">
            <w:pPr>
              <w:pStyle w:val="TableBodyText"/>
            </w:pPr>
            <w:r>
              <w:t>0367</w:t>
            </w:r>
          </w:p>
        </w:tc>
      </w:tr>
      <w:tr w:rsidR="00024C0A" w:rsidTr="00024C0A">
        <w:tc>
          <w:tcPr>
            <w:tcW w:w="0" w:type="auto"/>
            <w:vAlign w:val="center"/>
          </w:tcPr>
          <w:p w:rsidR="00024C0A" w:rsidRDefault="00694C0F">
            <w:pPr>
              <w:pStyle w:val="TableBodyText"/>
            </w:pPr>
            <w:r>
              <w:t>ViewToolbars</w:t>
            </w:r>
          </w:p>
        </w:tc>
        <w:tc>
          <w:tcPr>
            <w:tcW w:w="0" w:type="auto"/>
            <w:vAlign w:val="center"/>
          </w:tcPr>
          <w:p w:rsidR="00024C0A" w:rsidRDefault="00694C0F">
            <w:pPr>
              <w:pStyle w:val="TableBodyText"/>
            </w:pPr>
            <w:r>
              <w:t>0143</w:t>
            </w:r>
          </w:p>
        </w:tc>
      </w:tr>
      <w:tr w:rsidR="00024C0A" w:rsidTr="00024C0A">
        <w:tc>
          <w:tcPr>
            <w:tcW w:w="0" w:type="auto"/>
            <w:vAlign w:val="center"/>
          </w:tcPr>
          <w:p w:rsidR="00024C0A" w:rsidRDefault="00694C0F">
            <w:pPr>
              <w:pStyle w:val="TableBodyText"/>
            </w:pPr>
            <w:r>
              <w:t>ViewVBCode</w:t>
            </w:r>
          </w:p>
        </w:tc>
        <w:tc>
          <w:tcPr>
            <w:tcW w:w="0" w:type="auto"/>
            <w:vAlign w:val="center"/>
          </w:tcPr>
          <w:p w:rsidR="00024C0A" w:rsidRDefault="00694C0F">
            <w:pPr>
              <w:pStyle w:val="TableBodyText"/>
            </w:pPr>
            <w:r>
              <w:t>03B4</w:t>
            </w:r>
          </w:p>
        </w:tc>
      </w:tr>
      <w:tr w:rsidR="00024C0A" w:rsidTr="00024C0A">
        <w:tc>
          <w:tcPr>
            <w:tcW w:w="0" w:type="auto"/>
            <w:vAlign w:val="center"/>
          </w:tcPr>
          <w:p w:rsidR="00024C0A" w:rsidRDefault="00694C0F">
            <w:pPr>
              <w:pStyle w:val="TableBodyText"/>
            </w:pPr>
            <w:r>
              <w:t>ViewWeb</w:t>
            </w:r>
          </w:p>
        </w:tc>
        <w:tc>
          <w:tcPr>
            <w:tcW w:w="0" w:type="auto"/>
            <w:vAlign w:val="center"/>
          </w:tcPr>
          <w:p w:rsidR="00024C0A" w:rsidRDefault="00694C0F">
            <w:pPr>
              <w:pStyle w:val="TableBodyText"/>
            </w:pPr>
            <w:r>
              <w:t>0350</w:t>
            </w:r>
          </w:p>
        </w:tc>
      </w:tr>
      <w:tr w:rsidR="00024C0A" w:rsidTr="00024C0A">
        <w:tc>
          <w:tcPr>
            <w:tcW w:w="0" w:type="auto"/>
            <w:vAlign w:val="center"/>
          </w:tcPr>
          <w:p w:rsidR="00024C0A" w:rsidRDefault="00694C0F">
            <w:pPr>
              <w:pStyle w:val="TableBodyText"/>
            </w:pPr>
            <w:r>
              <w:t>ViewWebToolbox</w:t>
            </w:r>
          </w:p>
        </w:tc>
        <w:tc>
          <w:tcPr>
            <w:tcW w:w="0" w:type="auto"/>
            <w:vAlign w:val="center"/>
          </w:tcPr>
          <w:p w:rsidR="00024C0A" w:rsidRDefault="00694C0F">
            <w:pPr>
              <w:pStyle w:val="TableBodyText"/>
            </w:pPr>
            <w:r>
              <w:t>1BC4</w:t>
            </w:r>
          </w:p>
        </w:tc>
      </w:tr>
      <w:tr w:rsidR="00024C0A" w:rsidTr="00024C0A">
        <w:tc>
          <w:tcPr>
            <w:tcW w:w="0" w:type="auto"/>
            <w:vAlign w:val="center"/>
          </w:tcPr>
          <w:p w:rsidR="00024C0A" w:rsidRDefault="00694C0F">
            <w:pPr>
              <w:pStyle w:val="TableBodyText"/>
            </w:pPr>
            <w:r>
              <w:t>ViewXMLStructure</w:t>
            </w:r>
          </w:p>
        </w:tc>
        <w:tc>
          <w:tcPr>
            <w:tcW w:w="0" w:type="auto"/>
            <w:vAlign w:val="center"/>
          </w:tcPr>
          <w:p w:rsidR="00024C0A" w:rsidRDefault="00694C0F">
            <w:pPr>
              <w:pStyle w:val="TableBodyText"/>
            </w:pPr>
            <w:r>
              <w:t>056C</w:t>
            </w:r>
          </w:p>
        </w:tc>
      </w:tr>
      <w:tr w:rsidR="00024C0A" w:rsidTr="00024C0A">
        <w:tc>
          <w:tcPr>
            <w:tcW w:w="0" w:type="auto"/>
            <w:vAlign w:val="center"/>
          </w:tcPr>
          <w:p w:rsidR="00024C0A" w:rsidRDefault="00694C0F">
            <w:pPr>
              <w:pStyle w:val="TableBodyText"/>
            </w:pPr>
            <w:r>
              <w:t>ViewZoom</w:t>
            </w:r>
          </w:p>
        </w:tc>
        <w:tc>
          <w:tcPr>
            <w:tcW w:w="0" w:type="auto"/>
            <w:vAlign w:val="center"/>
          </w:tcPr>
          <w:p w:rsidR="00024C0A" w:rsidRDefault="00694C0F">
            <w:pPr>
              <w:pStyle w:val="TableBodyText"/>
            </w:pPr>
            <w:r>
              <w:t>0241</w:t>
            </w:r>
          </w:p>
        </w:tc>
      </w:tr>
      <w:tr w:rsidR="00024C0A" w:rsidTr="00024C0A">
        <w:tc>
          <w:tcPr>
            <w:tcW w:w="0" w:type="auto"/>
            <w:vAlign w:val="center"/>
          </w:tcPr>
          <w:p w:rsidR="00024C0A" w:rsidRDefault="00694C0F">
            <w:pPr>
              <w:pStyle w:val="TableBodyText"/>
            </w:pPr>
            <w:r>
              <w:t>ViewZoom100</w:t>
            </w:r>
          </w:p>
        </w:tc>
        <w:tc>
          <w:tcPr>
            <w:tcW w:w="0" w:type="auto"/>
            <w:vAlign w:val="center"/>
          </w:tcPr>
          <w:p w:rsidR="00024C0A" w:rsidRDefault="00694C0F">
            <w:pPr>
              <w:pStyle w:val="TableBodyText"/>
            </w:pPr>
            <w:r>
              <w:t>0131</w:t>
            </w:r>
          </w:p>
        </w:tc>
      </w:tr>
      <w:tr w:rsidR="00024C0A" w:rsidTr="00024C0A">
        <w:tc>
          <w:tcPr>
            <w:tcW w:w="0" w:type="auto"/>
            <w:vAlign w:val="center"/>
          </w:tcPr>
          <w:p w:rsidR="00024C0A" w:rsidRDefault="00694C0F">
            <w:pPr>
              <w:pStyle w:val="TableBodyText"/>
            </w:pPr>
            <w:r>
              <w:t>ViewZoom200</w:t>
            </w:r>
          </w:p>
        </w:tc>
        <w:tc>
          <w:tcPr>
            <w:tcW w:w="0" w:type="auto"/>
            <w:vAlign w:val="center"/>
          </w:tcPr>
          <w:p w:rsidR="00024C0A" w:rsidRDefault="00694C0F">
            <w:pPr>
              <w:pStyle w:val="TableBodyText"/>
            </w:pPr>
            <w:r>
              <w:t>023D</w:t>
            </w:r>
          </w:p>
        </w:tc>
      </w:tr>
      <w:tr w:rsidR="00024C0A" w:rsidTr="00024C0A">
        <w:tc>
          <w:tcPr>
            <w:tcW w:w="0" w:type="auto"/>
            <w:vAlign w:val="center"/>
          </w:tcPr>
          <w:p w:rsidR="00024C0A" w:rsidRDefault="00694C0F">
            <w:pPr>
              <w:pStyle w:val="TableBodyText"/>
            </w:pPr>
            <w:r>
              <w:t>ViewZoom75</w:t>
            </w:r>
          </w:p>
        </w:tc>
        <w:tc>
          <w:tcPr>
            <w:tcW w:w="0" w:type="auto"/>
            <w:vAlign w:val="center"/>
          </w:tcPr>
          <w:p w:rsidR="00024C0A" w:rsidRDefault="00694C0F">
            <w:pPr>
              <w:pStyle w:val="TableBodyText"/>
            </w:pPr>
            <w:r>
              <w:t>023E</w:t>
            </w:r>
          </w:p>
        </w:tc>
      </w:tr>
      <w:tr w:rsidR="00024C0A" w:rsidTr="00024C0A">
        <w:tc>
          <w:tcPr>
            <w:tcW w:w="0" w:type="auto"/>
            <w:vAlign w:val="center"/>
          </w:tcPr>
          <w:p w:rsidR="00024C0A" w:rsidRDefault="00694C0F">
            <w:pPr>
              <w:pStyle w:val="TableBodyText"/>
            </w:pPr>
            <w:r>
              <w:t>ViewZoomPageWidth</w:t>
            </w:r>
          </w:p>
        </w:tc>
        <w:tc>
          <w:tcPr>
            <w:tcW w:w="0" w:type="auto"/>
            <w:vAlign w:val="center"/>
          </w:tcPr>
          <w:p w:rsidR="00024C0A" w:rsidRDefault="00694C0F">
            <w:pPr>
              <w:pStyle w:val="TableBodyText"/>
            </w:pPr>
            <w:r>
              <w:t>0130</w:t>
            </w:r>
          </w:p>
        </w:tc>
      </w:tr>
      <w:tr w:rsidR="00024C0A" w:rsidTr="00024C0A">
        <w:tc>
          <w:tcPr>
            <w:tcW w:w="0" w:type="auto"/>
            <w:vAlign w:val="center"/>
          </w:tcPr>
          <w:p w:rsidR="00024C0A" w:rsidRDefault="00694C0F">
            <w:pPr>
              <w:pStyle w:val="TableBodyText"/>
            </w:pPr>
            <w:r>
              <w:t>ViewZoomTwoPage</w:t>
            </w:r>
          </w:p>
        </w:tc>
        <w:tc>
          <w:tcPr>
            <w:tcW w:w="0" w:type="auto"/>
            <w:vAlign w:val="center"/>
          </w:tcPr>
          <w:p w:rsidR="00024C0A" w:rsidRDefault="00694C0F">
            <w:pPr>
              <w:pStyle w:val="TableBodyText"/>
            </w:pPr>
            <w:r>
              <w:t>07A3</w:t>
            </w:r>
          </w:p>
        </w:tc>
      </w:tr>
      <w:tr w:rsidR="00024C0A" w:rsidTr="00024C0A">
        <w:tc>
          <w:tcPr>
            <w:tcW w:w="0" w:type="auto"/>
            <w:vAlign w:val="center"/>
          </w:tcPr>
          <w:p w:rsidR="00024C0A" w:rsidRDefault="00694C0F">
            <w:pPr>
              <w:pStyle w:val="TableBodyText"/>
            </w:pPr>
            <w:r>
              <w:t>ViewZoomWholePage</w:t>
            </w:r>
          </w:p>
        </w:tc>
        <w:tc>
          <w:tcPr>
            <w:tcW w:w="0" w:type="auto"/>
            <w:vAlign w:val="center"/>
          </w:tcPr>
          <w:p w:rsidR="00024C0A" w:rsidRDefault="00694C0F">
            <w:pPr>
              <w:pStyle w:val="TableBodyText"/>
            </w:pPr>
            <w:r>
              <w:t>012F</w:t>
            </w:r>
          </w:p>
        </w:tc>
      </w:tr>
      <w:tr w:rsidR="00024C0A" w:rsidTr="00024C0A">
        <w:tc>
          <w:tcPr>
            <w:tcW w:w="0" w:type="auto"/>
            <w:vAlign w:val="center"/>
          </w:tcPr>
          <w:p w:rsidR="00024C0A" w:rsidRDefault="00694C0F">
            <w:pPr>
              <w:pStyle w:val="TableBodyText"/>
            </w:pPr>
            <w:r>
              <w:t>WW2_ChangeRulerMode</w:t>
            </w:r>
          </w:p>
        </w:tc>
        <w:tc>
          <w:tcPr>
            <w:tcW w:w="0" w:type="auto"/>
            <w:vAlign w:val="center"/>
          </w:tcPr>
          <w:p w:rsidR="00024C0A" w:rsidRDefault="00694C0F">
            <w:pPr>
              <w:pStyle w:val="TableBodyText"/>
            </w:pPr>
            <w:r>
              <w:t>0127</w:t>
            </w:r>
          </w:p>
        </w:tc>
      </w:tr>
      <w:tr w:rsidR="00024C0A" w:rsidTr="00024C0A">
        <w:tc>
          <w:tcPr>
            <w:tcW w:w="0" w:type="auto"/>
            <w:vAlign w:val="center"/>
          </w:tcPr>
          <w:p w:rsidR="00024C0A" w:rsidRDefault="00694C0F">
            <w:pPr>
              <w:pStyle w:val="TableBodyText"/>
            </w:pPr>
            <w:r>
              <w:t>WW2_EditFind</w:t>
            </w:r>
          </w:p>
        </w:tc>
        <w:tc>
          <w:tcPr>
            <w:tcW w:w="0" w:type="auto"/>
            <w:vAlign w:val="center"/>
          </w:tcPr>
          <w:p w:rsidR="00024C0A" w:rsidRDefault="00694C0F">
            <w:pPr>
              <w:pStyle w:val="TableBodyText"/>
            </w:pPr>
            <w:r>
              <w:t>01A5</w:t>
            </w:r>
          </w:p>
        </w:tc>
      </w:tr>
      <w:tr w:rsidR="00024C0A" w:rsidTr="00024C0A">
        <w:tc>
          <w:tcPr>
            <w:tcW w:w="0" w:type="auto"/>
            <w:vAlign w:val="center"/>
          </w:tcPr>
          <w:p w:rsidR="00024C0A" w:rsidRDefault="00694C0F">
            <w:pPr>
              <w:pStyle w:val="TableBodyText"/>
            </w:pPr>
            <w:r>
              <w:t>WW2_EditFindChar</w:t>
            </w:r>
          </w:p>
        </w:tc>
        <w:tc>
          <w:tcPr>
            <w:tcW w:w="0" w:type="auto"/>
            <w:vAlign w:val="center"/>
          </w:tcPr>
          <w:p w:rsidR="00024C0A" w:rsidRDefault="00694C0F">
            <w:pPr>
              <w:pStyle w:val="TableBodyText"/>
            </w:pPr>
            <w:r>
              <w:t>019F</w:t>
            </w:r>
          </w:p>
        </w:tc>
      </w:tr>
      <w:tr w:rsidR="00024C0A" w:rsidTr="00024C0A">
        <w:tc>
          <w:tcPr>
            <w:tcW w:w="0" w:type="auto"/>
            <w:vAlign w:val="center"/>
          </w:tcPr>
          <w:p w:rsidR="00024C0A" w:rsidRDefault="00694C0F">
            <w:pPr>
              <w:pStyle w:val="TableBodyText"/>
            </w:pPr>
            <w:r>
              <w:t>WW2_EditReplace</w:t>
            </w:r>
          </w:p>
        </w:tc>
        <w:tc>
          <w:tcPr>
            <w:tcW w:w="0" w:type="auto"/>
            <w:vAlign w:val="center"/>
          </w:tcPr>
          <w:p w:rsidR="00024C0A" w:rsidRDefault="00694C0F">
            <w:pPr>
              <w:pStyle w:val="TableBodyText"/>
            </w:pPr>
            <w:r>
              <w:t>01A6</w:t>
            </w:r>
          </w:p>
        </w:tc>
      </w:tr>
      <w:tr w:rsidR="00024C0A" w:rsidTr="00024C0A">
        <w:tc>
          <w:tcPr>
            <w:tcW w:w="0" w:type="auto"/>
            <w:vAlign w:val="center"/>
          </w:tcPr>
          <w:p w:rsidR="00024C0A" w:rsidRDefault="00694C0F">
            <w:pPr>
              <w:pStyle w:val="TableBodyText"/>
            </w:pPr>
            <w:r>
              <w:t>WW2_EditReplaceChar</w:t>
            </w:r>
          </w:p>
        </w:tc>
        <w:tc>
          <w:tcPr>
            <w:tcW w:w="0" w:type="auto"/>
            <w:vAlign w:val="center"/>
          </w:tcPr>
          <w:p w:rsidR="00024C0A" w:rsidRDefault="00694C0F">
            <w:pPr>
              <w:pStyle w:val="TableBodyText"/>
            </w:pPr>
            <w:r>
              <w:t>01A0</w:t>
            </w:r>
          </w:p>
        </w:tc>
      </w:tr>
      <w:tr w:rsidR="00024C0A" w:rsidTr="00024C0A">
        <w:tc>
          <w:tcPr>
            <w:tcW w:w="0" w:type="auto"/>
            <w:vAlign w:val="center"/>
          </w:tcPr>
          <w:p w:rsidR="00024C0A" w:rsidRDefault="00694C0F">
            <w:pPr>
              <w:pStyle w:val="TableBodyText"/>
            </w:pPr>
            <w:r>
              <w:t>WW2_FileTemplates</w:t>
            </w:r>
          </w:p>
        </w:tc>
        <w:tc>
          <w:tcPr>
            <w:tcW w:w="0" w:type="auto"/>
            <w:vAlign w:val="center"/>
          </w:tcPr>
          <w:p w:rsidR="00024C0A" w:rsidRDefault="00694C0F">
            <w:pPr>
              <w:pStyle w:val="TableBodyText"/>
            </w:pPr>
            <w:r>
              <w:t>17A6</w:t>
            </w:r>
          </w:p>
        </w:tc>
      </w:tr>
      <w:tr w:rsidR="00024C0A" w:rsidTr="00024C0A">
        <w:tc>
          <w:tcPr>
            <w:tcW w:w="0" w:type="auto"/>
            <w:vAlign w:val="center"/>
          </w:tcPr>
          <w:p w:rsidR="00024C0A" w:rsidRDefault="00694C0F">
            <w:pPr>
              <w:pStyle w:val="TableBodyText"/>
            </w:pPr>
            <w:r>
              <w:t>WW2_FootnoteOptions</w:t>
            </w:r>
          </w:p>
        </w:tc>
        <w:tc>
          <w:tcPr>
            <w:tcW w:w="0" w:type="auto"/>
            <w:vAlign w:val="center"/>
          </w:tcPr>
          <w:p w:rsidR="00024C0A" w:rsidRDefault="00694C0F">
            <w:pPr>
              <w:pStyle w:val="TableBodyText"/>
            </w:pPr>
            <w:r>
              <w:t>012B</w:t>
            </w:r>
          </w:p>
        </w:tc>
      </w:tr>
      <w:tr w:rsidR="00024C0A" w:rsidTr="00024C0A">
        <w:tc>
          <w:tcPr>
            <w:tcW w:w="0" w:type="auto"/>
            <w:vAlign w:val="center"/>
          </w:tcPr>
          <w:p w:rsidR="00024C0A" w:rsidRDefault="00694C0F">
            <w:pPr>
              <w:pStyle w:val="TableBodyText"/>
            </w:pPr>
            <w:r>
              <w:t>WW2_FormatBordersAndShading</w:t>
            </w:r>
          </w:p>
        </w:tc>
        <w:tc>
          <w:tcPr>
            <w:tcW w:w="0" w:type="auto"/>
            <w:vAlign w:val="center"/>
          </w:tcPr>
          <w:p w:rsidR="00024C0A" w:rsidRDefault="00694C0F">
            <w:pPr>
              <w:pStyle w:val="TableBodyText"/>
            </w:pPr>
            <w:r>
              <w:t>02B9</w:t>
            </w:r>
          </w:p>
        </w:tc>
      </w:tr>
      <w:tr w:rsidR="00024C0A" w:rsidTr="00024C0A">
        <w:tc>
          <w:tcPr>
            <w:tcW w:w="0" w:type="auto"/>
            <w:vAlign w:val="center"/>
          </w:tcPr>
          <w:p w:rsidR="00024C0A" w:rsidRDefault="00694C0F">
            <w:pPr>
              <w:pStyle w:val="TableBodyText"/>
            </w:pPr>
            <w:r>
              <w:t>WW2_FormatCharacter</w:t>
            </w:r>
          </w:p>
        </w:tc>
        <w:tc>
          <w:tcPr>
            <w:tcW w:w="0" w:type="auto"/>
            <w:vAlign w:val="center"/>
          </w:tcPr>
          <w:p w:rsidR="00024C0A" w:rsidRDefault="00694C0F">
            <w:pPr>
              <w:pStyle w:val="TableBodyText"/>
            </w:pPr>
            <w:r>
              <w:t>0176</w:t>
            </w:r>
          </w:p>
        </w:tc>
      </w:tr>
      <w:tr w:rsidR="00024C0A" w:rsidTr="00024C0A">
        <w:tc>
          <w:tcPr>
            <w:tcW w:w="0" w:type="auto"/>
            <w:vAlign w:val="center"/>
          </w:tcPr>
          <w:p w:rsidR="00024C0A" w:rsidRDefault="00694C0F">
            <w:pPr>
              <w:pStyle w:val="TableBodyText"/>
            </w:pPr>
            <w:r>
              <w:lastRenderedPageBreak/>
              <w:t>WW2_FormatDefineStyleChar</w:t>
            </w:r>
          </w:p>
        </w:tc>
        <w:tc>
          <w:tcPr>
            <w:tcW w:w="0" w:type="auto"/>
            <w:vAlign w:val="center"/>
          </w:tcPr>
          <w:p w:rsidR="00024C0A" w:rsidRDefault="00694C0F">
            <w:pPr>
              <w:pStyle w:val="TableBodyText"/>
            </w:pPr>
            <w:r>
              <w:t>019E</w:t>
            </w:r>
          </w:p>
        </w:tc>
      </w:tr>
      <w:tr w:rsidR="00024C0A" w:rsidTr="00024C0A">
        <w:tc>
          <w:tcPr>
            <w:tcW w:w="0" w:type="auto"/>
            <w:vAlign w:val="center"/>
          </w:tcPr>
          <w:p w:rsidR="00024C0A" w:rsidRDefault="00694C0F">
            <w:pPr>
              <w:pStyle w:val="TableBodyText"/>
            </w:pPr>
            <w:r>
              <w:t>WW2_InsertFootnote</w:t>
            </w:r>
          </w:p>
        </w:tc>
        <w:tc>
          <w:tcPr>
            <w:tcW w:w="0" w:type="auto"/>
            <w:vAlign w:val="center"/>
          </w:tcPr>
          <w:p w:rsidR="00024C0A" w:rsidRDefault="00694C0F">
            <w:pPr>
              <w:pStyle w:val="TableBodyText"/>
            </w:pPr>
            <w:r>
              <w:t>00A0</w:t>
            </w:r>
          </w:p>
        </w:tc>
      </w:tr>
      <w:tr w:rsidR="00024C0A" w:rsidTr="00024C0A">
        <w:tc>
          <w:tcPr>
            <w:tcW w:w="0" w:type="auto"/>
            <w:vAlign w:val="center"/>
          </w:tcPr>
          <w:p w:rsidR="00024C0A" w:rsidRDefault="00694C0F">
            <w:pPr>
              <w:pStyle w:val="TableBodyText"/>
            </w:pPr>
            <w:r>
              <w:t>WW2_InsertIndex</w:t>
            </w:r>
          </w:p>
        </w:tc>
        <w:tc>
          <w:tcPr>
            <w:tcW w:w="0" w:type="auto"/>
            <w:vAlign w:val="center"/>
          </w:tcPr>
          <w:p w:rsidR="00024C0A" w:rsidRDefault="00694C0F">
            <w:pPr>
              <w:pStyle w:val="TableBodyText"/>
            </w:pPr>
            <w:r>
              <w:t>02B7</w:t>
            </w:r>
          </w:p>
        </w:tc>
      </w:tr>
      <w:tr w:rsidR="00024C0A" w:rsidTr="00024C0A">
        <w:tc>
          <w:tcPr>
            <w:tcW w:w="0" w:type="auto"/>
            <w:vAlign w:val="center"/>
          </w:tcPr>
          <w:p w:rsidR="00024C0A" w:rsidRDefault="00694C0F">
            <w:pPr>
              <w:pStyle w:val="TableBodyText"/>
            </w:pPr>
            <w:r>
              <w:t>WW2_InsertSymbol</w:t>
            </w:r>
          </w:p>
        </w:tc>
        <w:tc>
          <w:tcPr>
            <w:tcW w:w="0" w:type="auto"/>
            <w:vAlign w:val="center"/>
          </w:tcPr>
          <w:p w:rsidR="00024C0A" w:rsidRDefault="00694C0F">
            <w:pPr>
              <w:pStyle w:val="TableBodyText"/>
            </w:pPr>
            <w:r>
              <w:t>02B5</w:t>
            </w:r>
          </w:p>
        </w:tc>
      </w:tr>
      <w:tr w:rsidR="00024C0A" w:rsidTr="00024C0A">
        <w:tc>
          <w:tcPr>
            <w:tcW w:w="0" w:type="auto"/>
            <w:vAlign w:val="center"/>
          </w:tcPr>
          <w:p w:rsidR="00024C0A" w:rsidRDefault="00694C0F">
            <w:pPr>
              <w:pStyle w:val="TableBodyText"/>
            </w:pPr>
            <w:r>
              <w:t>WW2_InsertTableOfContents</w:t>
            </w:r>
          </w:p>
        </w:tc>
        <w:tc>
          <w:tcPr>
            <w:tcW w:w="0" w:type="auto"/>
            <w:vAlign w:val="center"/>
          </w:tcPr>
          <w:p w:rsidR="00024C0A" w:rsidRDefault="00694C0F">
            <w:pPr>
              <w:pStyle w:val="TableBodyText"/>
            </w:pPr>
            <w:r>
              <w:t>0158</w:t>
            </w:r>
          </w:p>
        </w:tc>
      </w:tr>
      <w:tr w:rsidR="00024C0A" w:rsidTr="00024C0A">
        <w:tc>
          <w:tcPr>
            <w:tcW w:w="0" w:type="auto"/>
            <w:vAlign w:val="center"/>
          </w:tcPr>
          <w:p w:rsidR="00024C0A" w:rsidRDefault="00694C0F">
            <w:pPr>
              <w:pStyle w:val="TableBodyText"/>
            </w:pPr>
            <w:r>
              <w:t>WW2_PrintMerge</w:t>
            </w:r>
          </w:p>
        </w:tc>
        <w:tc>
          <w:tcPr>
            <w:tcW w:w="0" w:type="auto"/>
            <w:vAlign w:val="center"/>
          </w:tcPr>
          <w:p w:rsidR="00024C0A" w:rsidRDefault="00694C0F">
            <w:pPr>
              <w:pStyle w:val="TableBodyText"/>
            </w:pPr>
            <w:r>
              <w:t>005A</w:t>
            </w:r>
          </w:p>
        </w:tc>
      </w:tr>
      <w:tr w:rsidR="00024C0A" w:rsidTr="00024C0A">
        <w:tc>
          <w:tcPr>
            <w:tcW w:w="0" w:type="auto"/>
            <w:vAlign w:val="center"/>
          </w:tcPr>
          <w:p w:rsidR="00024C0A" w:rsidRDefault="00694C0F">
            <w:pPr>
              <w:pStyle w:val="TableBodyText"/>
            </w:pPr>
            <w:r>
              <w:t>WW2_PrintMergeCheck</w:t>
            </w:r>
          </w:p>
        </w:tc>
        <w:tc>
          <w:tcPr>
            <w:tcW w:w="0" w:type="auto"/>
            <w:vAlign w:val="center"/>
          </w:tcPr>
          <w:p w:rsidR="00024C0A" w:rsidRDefault="00694C0F">
            <w:pPr>
              <w:pStyle w:val="TableBodyText"/>
            </w:pPr>
            <w:r>
              <w:t>005B</w:t>
            </w:r>
          </w:p>
        </w:tc>
      </w:tr>
      <w:tr w:rsidR="00024C0A" w:rsidTr="00024C0A">
        <w:tc>
          <w:tcPr>
            <w:tcW w:w="0" w:type="auto"/>
            <w:vAlign w:val="center"/>
          </w:tcPr>
          <w:p w:rsidR="00024C0A" w:rsidRDefault="00694C0F">
            <w:pPr>
              <w:pStyle w:val="TableBodyText"/>
            </w:pPr>
            <w:r>
              <w:t>WW2_PrintMergeCreateDataSource</w:t>
            </w:r>
          </w:p>
        </w:tc>
        <w:tc>
          <w:tcPr>
            <w:tcW w:w="0" w:type="auto"/>
            <w:vAlign w:val="center"/>
          </w:tcPr>
          <w:p w:rsidR="00024C0A" w:rsidRDefault="00694C0F">
            <w:pPr>
              <w:pStyle w:val="TableBodyText"/>
            </w:pPr>
            <w:r>
              <w:t>0069</w:t>
            </w:r>
          </w:p>
        </w:tc>
      </w:tr>
      <w:tr w:rsidR="00024C0A" w:rsidTr="00024C0A">
        <w:tc>
          <w:tcPr>
            <w:tcW w:w="0" w:type="auto"/>
            <w:vAlign w:val="center"/>
          </w:tcPr>
          <w:p w:rsidR="00024C0A" w:rsidRDefault="00694C0F">
            <w:pPr>
              <w:pStyle w:val="TableBodyText"/>
            </w:pPr>
            <w:r>
              <w:t>WW2_PrintMergeCreateHeaderSource</w:t>
            </w:r>
          </w:p>
        </w:tc>
        <w:tc>
          <w:tcPr>
            <w:tcW w:w="0" w:type="auto"/>
            <w:vAlign w:val="center"/>
          </w:tcPr>
          <w:p w:rsidR="00024C0A" w:rsidRDefault="00694C0F">
            <w:pPr>
              <w:pStyle w:val="TableBodyText"/>
            </w:pPr>
            <w:r>
              <w:t>006A</w:t>
            </w:r>
          </w:p>
        </w:tc>
      </w:tr>
      <w:tr w:rsidR="00024C0A" w:rsidTr="00024C0A">
        <w:tc>
          <w:tcPr>
            <w:tcW w:w="0" w:type="auto"/>
            <w:vAlign w:val="center"/>
          </w:tcPr>
          <w:p w:rsidR="00024C0A" w:rsidRDefault="00694C0F">
            <w:pPr>
              <w:pStyle w:val="TableBodyText"/>
            </w:pPr>
            <w:r>
              <w:t>WW2_PrintMergeHelper</w:t>
            </w:r>
          </w:p>
        </w:tc>
        <w:tc>
          <w:tcPr>
            <w:tcW w:w="0" w:type="auto"/>
            <w:vAlign w:val="center"/>
          </w:tcPr>
          <w:p w:rsidR="00024C0A" w:rsidRDefault="00694C0F">
            <w:pPr>
              <w:pStyle w:val="TableBodyText"/>
            </w:pPr>
            <w:r>
              <w:t>005F</w:t>
            </w:r>
          </w:p>
        </w:tc>
      </w:tr>
      <w:tr w:rsidR="00024C0A" w:rsidTr="00024C0A">
        <w:tc>
          <w:tcPr>
            <w:tcW w:w="0" w:type="auto"/>
            <w:vAlign w:val="center"/>
          </w:tcPr>
          <w:p w:rsidR="00024C0A" w:rsidRDefault="00694C0F">
            <w:pPr>
              <w:pStyle w:val="TableBodyText"/>
            </w:pPr>
            <w:r>
              <w:t>WW2_PrintMergeSelection</w:t>
            </w:r>
          </w:p>
        </w:tc>
        <w:tc>
          <w:tcPr>
            <w:tcW w:w="0" w:type="auto"/>
            <w:vAlign w:val="center"/>
          </w:tcPr>
          <w:p w:rsidR="00024C0A" w:rsidRDefault="00694C0F">
            <w:pPr>
              <w:pStyle w:val="TableBodyText"/>
            </w:pPr>
            <w:r>
              <w:t>005E</w:t>
            </w:r>
          </w:p>
        </w:tc>
      </w:tr>
      <w:tr w:rsidR="00024C0A" w:rsidTr="00024C0A">
        <w:tc>
          <w:tcPr>
            <w:tcW w:w="0" w:type="auto"/>
            <w:vAlign w:val="center"/>
          </w:tcPr>
          <w:p w:rsidR="00024C0A" w:rsidRDefault="00694C0F">
            <w:pPr>
              <w:pStyle w:val="TableBodyText"/>
            </w:pPr>
            <w:r>
              <w:t>WW2_PrintMergeToDoc</w:t>
            </w:r>
          </w:p>
        </w:tc>
        <w:tc>
          <w:tcPr>
            <w:tcW w:w="0" w:type="auto"/>
            <w:vAlign w:val="center"/>
          </w:tcPr>
          <w:p w:rsidR="00024C0A" w:rsidRDefault="00694C0F">
            <w:pPr>
              <w:pStyle w:val="TableBodyText"/>
            </w:pPr>
            <w:r>
              <w:t>005C</w:t>
            </w:r>
          </w:p>
        </w:tc>
      </w:tr>
      <w:tr w:rsidR="00024C0A" w:rsidTr="00024C0A">
        <w:tc>
          <w:tcPr>
            <w:tcW w:w="0" w:type="auto"/>
            <w:vAlign w:val="center"/>
          </w:tcPr>
          <w:p w:rsidR="00024C0A" w:rsidRDefault="00694C0F">
            <w:pPr>
              <w:pStyle w:val="TableBodyText"/>
            </w:pPr>
            <w:r>
              <w:t>WW2_PrintMergeToPrinter</w:t>
            </w:r>
          </w:p>
        </w:tc>
        <w:tc>
          <w:tcPr>
            <w:tcW w:w="0" w:type="auto"/>
            <w:vAlign w:val="center"/>
          </w:tcPr>
          <w:p w:rsidR="00024C0A" w:rsidRDefault="00694C0F">
            <w:pPr>
              <w:pStyle w:val="TableBodyText"/>
            </w:pPr>
            <w:r>
              <w:t>005D</w:t>
            </w:r>
          </w:p>
        </w:tc>
      </w:tr>
      <w:tr w:rsidR="00024C0A" w:rsidTr="00024C0A">
        <w:tc>
          <w:tcPr>
            <w:tcW w:w="0" w:type="auto"/>
            <w:vAlign w:val="center"/>
          </w:tcPr>
          <w:p w:rsidR="00024C0A" w:rsidRDefault="00694C0F">
            <w:pPr>
              <w:pStyle w:val="TableBodyText"/>
            </w:pPr>
            <w:r>
              <w:t>WW2_RulerMode</w:t>
            </w:r>
          </w:p>
        </w:tc>
        <w:tc>
          <w:tcPr>
            <w:tcW w:w="0" w:type="auto"/>
            <w:vAlign w:val="center"/>
          </w:tcPr>
          <w:p w:rsidR="00024C0A" w:rsidRDefault="00694C0F">
            <w:pPr>
              <w:pStyle w:val="TableBodyText"/>
            </w:pPr>
            <w:r>
              <w:t>002C</w:t>
            </w:r>
          </w:p>
        </w:tc>
      </w:tr>
      <w:tr w:rsidR="00024C0A" w:rsidTr="00024C0A">
        <w:tc>
          <w:tcPr>
            <w:tcW w:w="0" w:type="auto"/>
            <w:vAlign w:val="center"/>
          </w:tcPr>
          <w:p w:rsidR="00024C0A" w:rsidRDefault="00694C0F">
            <w:pPr>
              <w:pStyle w:val="TableBodyText"/>
            </w:pPr>
            <w:r>
              <w:t>WW2_TableColumnWidth</w:t>
            </w:r>
          </w:p>
        </w:tc>
        <w:tc>
          <w:tcPr>
            <w:tcW w:w="0" w:type="auto"/>
            <w:vAlign w:val="center"/>
          </w:tcPr>
          <w:p w:rsidR="00024C0A" w:rsidRDefault="00694C0F">
            <w:pPr>
              <w:pStyle w:val="TableBodyText"/>
            </w:pPr>
            <w:r>
              <w:t>00DF</w:t>
            </w:r>
          </w:p>
        </w:tc>
      </w:tr>
      <w:tr w:rsidR="00024C0A" w:rsidTr="00024C0A">
        <w:tc>
          <w:tcPr>
            <w:tcW w:w="0" w:type="auto"/>
            <w:vAlign w:val="center"/>
          </w:tcPr>
          <w:p w:rsidR="00024C0A" w:rsidRDefault="00694C0F">
            <w:pPr>
              <w:pStyle w:val="TableBodyText"/>
            </w:pPr>
            <w:r>
              <w:t>WW2_TableRowHeight</w:t>
            </w:r>
          </w:p>
        </w:tc>
        <w:tc>
          <w:tcPr>
            <w:tcW w:w="0" w:type="auto"/>
            <w:vAlign w:val="center"/>
          </w:tcPr>
          <w:p w:rsidR="00024C0A" w:rsidRDefault="00694C0F">
            <w:pPr>
              <w:pStyle w:val="TableBodyText"/>
            </w:pPr>
            <w:r>
              <w:t>0146</w:t>
            </w:r>
          </w:p>
        </w:tc>
      </w:tr>
      <w:tr w:rsidR="00024C0A" w:rsidTr="00024C0A">
        <w:tc>
          <w:tcPr>
            <w:tcW w:w="0" w:type="auto"/>
            <w:vAlign w:val="center"/>
          </w:tcPr>
          <w:p w:rsidR="00024C0A" w:rsidRDefault="00694C0F">
            <w:pPr>
              <w:pStyle w:val="TableBodyText"/>
            </w:pPr>
            <w:r>
              <w:t>WW2_ToolsHyphenation</w:t>
            </w:r>
          </w:p>
        </w:tc>
        <w:tc>
          <w:tcPr>
            <w:tcW w:w="0" w:type="auto"/>
            <w:vAlign w:val="center"/>
          </w:tcPr>
          <w:p w:rsidR="00024C0A" w:rsidRDefault="00694C0F">
            <w:pPr>
              <w:pStyle w:val="TableBodyText"/>
            </w:pPr>
            <w:r>
              <w:t>0159</w:t>
            </w:r>
          </w:p>
        </w:tc>
      </w:tr>
      <w:tr w:rsidR="00024C0A" w:rsidTr="00024C0A">
        <w:tc>
          <w:tcPr>
            <w:tcW w:w="0" w:type="auto"/>
            <w:vAlign w:val="center"/>
          </w:tcPr>
          <w:p w:rsidR="00024C0A" w:rsidRDefault="00694C0F">
            <w:pPr>
              <w:pStyle w:val="TableBodyText"/>
            </w:pPr>
            <w:r>
              <w:t>WW2_ToolsMacro</w:t>
            </w:r>
          </w:p>
        </w:tc>
        <w:tc>
          <w:tcPr>
            <w:tcW w:w="0" w:type="auto"/>
            <w:vAlign w:val="center"/>
          </w:tcPr>
          <w:p w:rsidR="00024C0A" w:rsidRDefault="00694C0F">
            <w:pPr>
              <w:pStyle w:val="TableBodyText"/>
            </w:pPr>
            <w:r>
              <w:t>02A2</w:t>
            </w:r>
          </w:p>
        </w:tc>
      </w:tr>
      <w:tr w:rsidR="00024C0A" w:rsidTr="00024C0A">
        <w:tc>
          <w:tcPr>
            <w:tcW w:w="0" w:type="auto"/>
            <w:vAlign w:val="center"/>
          </w:tcPr>
          <w:p w:rsidR="00024C0A" w:rsidRDefault="00694C0F">
            <w:pPr>
              <w:pStyle w:val="TableBodyText"/>
            </w:pPr>
            <w:r>
              <w:t>WW2_ToolsOptionsGeneral</w:t>
            </w:r>
          </w:p>
        </w:tc>
        <w:tc>
          <w:tcPr>
            <w:tcW w:w="0" w:type="auto"/>
            <w:vAlign w:val="center"/>
          </w:tcPr>
          <w:p w:rsidR="00024C0A" w:rsidRDefault="00694C0F">
            <w:pPr>
              <w:pStyle w:val="TableBodyText"/>
            </w:pPr>
            <w:r>
              <w:t>0183</w:t>
            </w:r>
          </w:p>
        </w:tc>
      </w:tr>
      <w:tr w:rsidR="00024C0A" w:rsidTr="00024C0A">
        <w:tc>
          <w:tcPr>
            <w:tcW w:w="0" w:type="auto"/>
            <w:vAlign w:val="center"/>
          </w:tcPr>
          <w:p w:rsidR="00024C0A" w:rsidRDefault="00694C0F">
            <w:pPr>
              <w:pStyle w:val="TableBodyText"/>
            </w:pPr>
            <w:r>
              <w:t>WW2_ToolsOptionsKeyboard</w:t>
            </w:r>
          </w:p>
        </w:tc>
        <w:tc>
          <w:tcPr>
            <w:tcW w:w="0" w:type="auto"/>
            <w:vAlign w:val="center"/>
          </w:tcPr>
          <w:p w:rsidR="00024C0A" w:rsidRDefault="00694C0F">
            <w:pPr>
              <w:pStyle w:val="TableBodyText"/>
            </w:pPr>
            <w:r>
              <w:t>01B2</w:t>
            </w:r>
          </w:p>
        </w:tc>
      </w:tr>
      <w:tr w:rsidR="00024C0A" w:rsidTr="00024C0A">
        <w:tc>
          <w:tcPr>
            <w:tcW w:w="0" w:type="auto"/>
            <w:vAlign w:val="center"/>
          </w:tcPr>
          <w:p w:rsidR="00024C0A" w:rsidRDefault="00694C0F">
            <w:pPr>
              <w:pStyle w:val="TableBodyText"/>
            </w:pPr>
            <w:r>
              <w:t>WW2_ToolsOptionsMenus</w:t>
            </w:r>
          </w:p>
        </w:tc>
        <w:tc>
          <w:tcPr>
            <w:tcW w:w="0" w:type="auto"/>
            <w:vAlign w:val="center"/>
          </w:tcPr>
          <w:p w:rsidR="00024C0A" w:rsidRDefault="00694C0F">
            <w:pPr>
              <w:pStyle w:val="TableBodyText"/>
            </w:pPr>
            <w:r>
              <w:t>01E7</w:t>
            </w:r>
          </w:p>
        </w:tc>
      </w:tr>
      <w:tr w:rsidR="00024C0A" w:rsidTr="00024C0A">
        <w:tc>
          <w:tcPr>
            <w:tcW w:w="0" w:type="auto"/>
            <w:vAlign w:val="center"/>
          </w:tcPr>
          <w:p w:rsidR="00024C0A" w:rsidRDefault="00694C0F">
            <w:pPr>
              <w:pStyle w:val="TableBodyText"/>
            </w:pPr>
            <w:r>
              <w:t>WW2_ToolsOptionsPrint</w:t>
            </w:r>
          </w:p>
        </w:tc>
        <w:tc>
          <w:tcPr>
            <w:tcW w:w="0" w:type="auto"/>
            <w:vAlign w:val="center"/>
          </w:tcPr>
          <w:p w:rsidR="00024C0A" w:rsidRDefault="00694C0F">
            <w:pPr>
              <w:pStyle w:val="TableBodyText"/>
            </w:pPr>
            <w:r>
              <w:t>015B</w:t>
            </w:r>
          </w:p>
        </w:tc>
      </w:tr>
      <w:tr w:rsidR="00024C0A" w:rsidTr="00024C0A">
        <w:tc>
          <w:tcPr>
            <w:tcW w:w="0" w:type="auto"/>
            <w:vAlign w:val="center"/>
          </w:tcPr>
          <w:p w:rsidR="00024C0A" w:rsidRDefault="00694C0F">
            <w:pPr>
              <w:pStyle w:val="TableBodyText"/>
            </w:pPr>
            <w:r>
              <w:t>WW2_ToolsOptionsToolbar</w:t>
            </w:r>
          </w:p>
        </w:tc>
        <w:tc>
          <w:tcPr>
            <w:tcW w:w="0" w:type="auto"/>
            <w:vAlign w:val="center"/>
          </w:tcPr>
          <w:p w:rsidR="00024C0A" w:rsidRDefault="00694C0F">
            <w:pPr>
              <w:pStyle w:val="TableBodyText"/>
            </w:pPr>
            <w:r>
              <w:t>00D2</w:t>
            </w:r>
          </w:p>
        </w:tc>
      </w:tr>
      <w:tr w:rsidR="00024C0A" w:rsidTr="00024C0A">
        <w:tc>
          <w:tcPr>
            <w:tcW w:w="0" w:type="auto"/>
            <w:vAlign w:val="center"/>
          </w:tcPr>
          <w:p w:rsidR="00024C0A" w:rsidRDefault="00694C0F">
            <w:pPr>
              <w:pStyle w:val="TableBodyText"/>
            </w:pPr>
            <w:r>
              <w:t>WW2_ToolsOptionsView</w:t>
            </w:r>
          </w:p>
        </w:tc>
        <w:tc>
          <w:tcPr>
            <w:tcW w:w="0" w:type="auto"/>
            <w:vAlign w:val="center"/>
          </w:tcPr>
          <w:p w:rsidR="00024C0A" w:rsidRDefault="00694C0F">
            <w:pPr>
              <w:pStyle w:val="TableBodyText"/>
            </w:pPr>
            <w:r>
              <w:t>01F3</w:t>
            </w:r>
          </w:p>
        </w:tc>
      </w:tr>
      <w:tr w:rsidR="00024C0A" w:rsidTr="00024C0A">
        <w:tc>
          <w:tcPr>
            <w:tcW w:w="0" w:type="auto"/>
            <w:vAlign w:val="center"/>
          </w:tcPr>
          <w:p w:rsidR="00024C0A" w:rsidRDefault="00694C0F">
            <w:pPr>
              <w:pStyle w:val="TableBodyText"/>
            </w:pPr>
            <w:r>
              <w:t>WW2_ToolsRevisionsMark</w:t>
            </w:r>
          </w:p>
        </w:tc>
        <w:tc>
          <w:tcPr>
            <w:tcW w:w="0" w:type="auto"/>
            <w:vAlign w:val="center"/>
          </w:tcPr>
          <w:p w:rsidR="00024C0A" w:rsidRDefault="00694C0F">
            <w:pPr>
              <w:pStyle w:val="TableBodyText"/>
            </w:pPr>
            <w:r>
              <w:t>01D0</w:t>
            </w:r>
          </w:p>
        </w:tc>
      </w:tr>
      <w:tr w:rsidR="00024C0A" w:rsidTr="00024C0A">
        <w:tc>
          <w:tcPr>
            <w:tcW w:w="0" w:type="auto"/>
            <w:vAlign w:val="center"/>
          </w:tcPr>
          <w:p w:rsidR="00024C0A" w:rsidRDefault="00694C0F">
            <w:pPr>
              <w:pStyle w:val="TableBodyText"/>
            </w:pPr>
            <w:r>
              <w:t>WW2_ViewZoom</w:t>
            </w:r>
          </w:p>
        </w:tc>
        <w:tc>
          <w:tcPr>
            <w:tcW w:w="0" w:type="auto"/>
            <w:vAlign w:val="center"/>
          </w:tcPr>
          <w:p w:rsidR="00024C0A" w:rsidRDefault="00694C0F">
            <w:pPr>
              <w:pStyle w:val="TableBodyText"/>
            </w:pPr>
            <w:r>
              <w:t>0094</w:t>
            </w:r>
          </w:p>
        </w:tc>
      </w:tr>
      <w:tr w:rsidR="00024C0A" w:rsidTr="00024C0A">
        <w:tc>
          <w:tcPr>
            <w:tcW w:w="0" w:type="auto"/>
            <w:vAlign w:val="center"/>
          </w:tcPr>
          <w:p w:rsidR="00024C0A" w:rsidRDefault="00694C0F">
            <w:pPr>
              <w:pStyle w:val="TableBodyText"/>
            </w:pPr>
            <w:r>
              <w:t>WW7_DecreaseIndent</w:t>
            </w:r>
          </w:p>
        </w:tc>
        <w:tc>
          <w:tcPr>
            <w:tcW w:w="0" w:type="auto"/>
            <w:vAlign w:val="center"/>
          </w:tcPr>
          <w:p w:rsidR="00024C0A" w:rsidRDefault="00694C0F">
            <w:pPr>
              <w:pStyle w:val="TableBodyText"/>
            </w:pPr>
            <w:r>
              <w:t>028A</w:t>
            </w:r>
          </w:p>
        </w:tc>
      </w:tr>
      <w:tr w:rsidR="00024C0A" w:rsidTr="00024C0A">
        <w:tc>
          <w:tcPr>
            <w:tcW w:w="0" w:type="auto"/>
            <w:vAlign w:val="center"/>
          </w:tcPr>
          <w:p w:rsidR="00024C0A" w:rsidRDefault="00694C0F">
            <w:pPr>
              <w:pStyle w:val="TableBodyText"/>
            </w:pPr>
            <w:r>
              <w:t>WW7_DrawTextBox</w:t>
            </w:r>
          </w:p>
        </w:tc>
        <w:tc>
          <w:tcPr>
            <w:tcW w:w="0" w:type="auto"/>
            <w:vAlign w:val="center"/>
          </w:tcPr>
          <w:p w:rsidR="00024C0A" w:rsidRDefault="00694C0F">
            <w:pPr>
              <w:pStyle w:val="TableBodyText"/>
            </w:pPr>
            <w:r>
              <w:t>016B</w:t>
            </w:r>
          </w:p>
        </w:tc>
      </w:tr>
      <w:tr w:rsidR="00024C0A" w:rsidTr="00024C0A">
        <w:tc>
          <w:tcPr>
            <w:tcW w:w="0" w:type="auto"/>
            <w:vAlign w:val="center"/>
          </w:tcPr>
          <w:p w:rsidR="00024C0A" w:rsidRDefault="00694C0F">
            <w:pPr>
              <w:pStyle w:val="TableBodyText"/>
            </w:pPr>
            <w:r>
              <w:t>WW7_DrawVerticalTextBox</w:t>
            </w:r>
          </w:p>
        </w:tc>
        <w:tc>
          <w:tcPr>
            <w:tcW w:w="0" w:type="auto"/>
            <w:vAlign w:val="center"/>
          </w:tcPr>
          <w:p w:rsidR="00024C0A" w:rsidRDefault="00694C0F">
            <w:pPr>
              <w:pStyle w:val="TableBodyText"/>
            </w:pPr>
            <w:r>
              <w:t>02E2</w:t>
            </w:r>
          </w:p>
        </w:tc>
      </w:tr>
      <w:tr w:rsidR="00024C0A" w:rsidTr="00024C0A">
        <w:tc>
          <w:tcPr>
            <w:tcW w:w="0" w:type="auto"/>
            <w:vAlign w:val="center"/>
          </w:tcPr>
          <w:p w:rsidR="00024C0A" w:rsidRDefault="00694C0F">
            <w:pPr>
              <w:pStyle w:val="TableBodyText"/>
            </w:pPr>
            <w:r>
              <w:t>WW7_EditAutoText</w:t>
            </w:r>
          </w:p>
        </w:tc>
        <w:tc>
          <w:tcPr>
            <w:tcW w:w="0" w:type="auto"/>
            <w:vAlign w:val="center"/>
          </w:tcPr>
          <w:p w:rsidR="00024C0A" w:rsidRDefault="00694C0F">
            <w:pPr>
              <w:pStyle w:val="TableBodyText"/>
            </w:pPr>
            <w:r>
              <w:t>007B</w:t>
            </w:r>
          </w:p>
        </w:tc>
      </w:tr>
      <w:tr w:rsidR="00024C0A" w:rsidTr="00024C0A">
        <w:tc>
          <w:tcPr>
            <w:tcW w:w="0" w:type="auto"/>
            <w:vAlign w:val="center"/>
          </w:tcPr>
          <w:p w:rsidR="00024C0A" w:rsidRDefault="00694C0F">
            <w:pPr>
              <w:pStyle w:val="TableBodyText"/>
            </w:pPr>
            <w:r>
              <w:t>WW7_EditGoTo</w:t>
            </w:r>
          </w:p>
        </w:tc>
        <w:tc>
          <w:tcPr>
            <w:tcW w:w="0" w:type="auto"/>
            <w:vAlign w:val="center"/>
          </w:tcPr>
          <w:p w:rsidR="00024C0A" w:rsidRDefault="00694C0F">
            <w:pPr>
              <w:pStyle w:val="TableBodyText"/>
            </w:pPr>
            <w:r>
              <w:t>007A</w:t>
            </w:r>
          </w:p>
        </w:tc>
      </w:tr>
      <w:tr w:rsidR="00024C0A" w:rsidTr="00024C0A">
        <w:tc>
          <w:tcPr>
            <w:tcW w:w="0" w:type="auto"/>
            <w:vAlign w:val="center"/>
          </w:tcPr>
          <w:p w:rsidR="00024C0A" w:rsidRDefault="00694C0F">
            <w:pPr>
              <w:pStyle w:val="TableBodyText"/>
            </w:pPr>
            <w:r>
              <w:t>WW7_FormatBulletsAndNumbering</w:t>
            </w:r>
          </w:p>
        </w:tc>
        <w:tc>
          <w:tcPr>
            <w:tcW w:w="0" w:type="auto"/>
            <w:vAlign w:val="center"/>
          </w:tcPr>
          <w:p w:rsidR="00024C0A" w:rsidRDefault="00694C0F">
            <w:pPr>
              <w:pStyle w:val="TableBodyText"/>
            </w:pPr>
            <w:r>
              <w:t>018D</w:t>
            </w:r>
          </w:p>
        </w:tc>
      </w:tr>
      <w:tr w:rsidR="00024C0A" w:rsidTr="00024C0A">
        <w:tc>
          <w:tcPr>
            <w:tcW w:w="0" w:type="auto"/>
            <w:vAlign w:val="center"/>
          </w:tcPr>
          <w:p w:rsidR="00024C0A" w:rsidRDefault="00694C0F">
            <w:pPr>
              <w:pStyle w:val="TableBodyText"/>
            </w:pPr>
            <w:r>
              <w:lastRenderedPageBreak/>
              <w:t>WW7_FormatDrawingObject</w:t>
            </w:r>
          </w:p>
        </w:tc>
        <w:tc>
          <w:tcPr>
            <w:tcW w:w="0" w:type="auto"/>
            <w:vAlign w:val="center"/>
          </w:tcPr>
          <w:p w:rsidR="00024C0A" w:rsidRDefault="00694C0F">
            <w:pPr>
              <w:pStyle w:val="TableBodyText"/>
            </w:pPr>
            <w:r>
              <w:t>0235</w:t>
            </w:r>
          </w:p>
        </w:tc>
      </w:tr>
      <w:tr w:rsidR="00024C0A" w:rsidTr="00024C0A">
        <w:tc>
          <w:tcPr>
            <w:tcW w:w="0" w:type="auto"/>
            <w:vAlign w:val="center"/>
          </w:tcPr>
          <w:p w:rsidR="00024C0A" w:rsidRDefault="00694C0F">
            <w:pPr>
              <w:pStyle w:val="TableBodyText"/>
            </w:pPr>
            <w:r>
              <w:t>WW7_IncreaseIndent</w:t>
            </w:r>
          </w:p>
        </w:tc>
        <w:tc>
          <w:tcPr>
            <w:tcW w:w="0" w:type="auto"/>
            <w:vAlign w:val="center"/>
          </w:tcPr>
          <w:p w:rsidR="00024C0A" w:rsidRDefault="00694C0F">
            <w:pPr>
              <w:pStyle w:val="TableBodyText"/>
            </w:pPr>
            <w:r>
              <w:t>0289</w:t>
            </w:r>
          </w:p>
        </w:tc>
      </w:tr>
      <w:tr w:rsidR="00024C0A" w:rsidTr="00024C0A">
        <w:tc>
          <w:tcPr>
            <w:tcW w:w="0" w:type="auto"/>
            <w:vAlign w:val="center"/>
          </w:tcPr>
          <w:p w:rsidR="00024C0A" w:rsidRDefault="00694C0F">
            <w:pPr>
              <w:pStyle w:val="TableBodyText"/>
            </w:pPr>
            <w:r>
              <w:t>WW7_InsertColumnBreak</w:t>
            </w:r>
          </w:p>
        </w:tc>
        <w:tc>
          <w:tcPr>
            <w:tcW w:w="0" w:type="auto"/>
            <w:vAlign w:val="center"/>
          </w:tcPr>
          <w:p w:rsidR="00024C0A" w:rsidRDefault="00694C0F">
            <w:pPr>
              <w:pStyle w:val="TableBodyText"/>
            </w:pPr>
            <w:r>
              <w:t>0116</w:t>
            </w:r>
          </w:p>
        </w:tc>
      </w:tr>
      <w:tr w:rsidR="00024C0A" w:rsidTr="00024C0A">
        <w:tc>
          <w:tcPr>
            <w:tcW w:w="0" w:type="auto"/>
            <w:vAlign w:val="center"/>
          </w:tcPr>
          <w:p w:rsidR="00024C0A" w:rsidRDefault="00694C0F">
            <w:pPr>
              <w:pStyle w:val="TableBodyText"/>
            </w:pPr>
            <w:r>
              <w:t>WW7_InsertPageBreak</w:t>
            </w:r>
          </w:p>
        </w:tc>
        <w:tc>
          <w:tcPr>
            <w:tcW w:w="0" w:type="auto"/>
            <w:vAlign w:val="center"/>
          </w:tcPr>
          <w:p w:rsidR="00024C0A" w:rsidRDefault="00694C0F">
            <w:pPr>
              <w:pStyle w:val="TableBodyText"/>
            </w:pPr>
            <w:r>
              <w:t>0115</w:t>
            </w:r>
          </w:p>
        </w:tc>
      </w:tr>
      <w:tr w:rsidR="00024C0A" w:rsidTr="00024C0A">
        <w:tc>
          <w:tcPr>
            <w:tcW w:w="0" w:type="auto"/>
            <w:vAlign w:val="center"/>
          </w:tcPr>
          <w:p w:rsidR="00024C0A" w:rsidRDefault="00694C0F">
            <w:pPr>
              <w:pStyle w:val="TableBodyText"/>
            </w:pPr>
            <w:r>
              <w:t>WW7_ToolsGrammar</w:t>
            </w:r>
          </w:p>
        </w:tc>
        <w:tc>
          <w:tcPr>
            <w:tcW w:w="0" w:type="auto"/>
            <w:vAlign w:val="center"/>
          </w:tcPr>
          <w:p w:rsidR="00024C0A" w:rsidRDefault="00694C0F">
            <w:pPr>
              <w:pStyle w:val="TableBodyText"/>
            </w:pPr>
            <w:r>
              <w:t>03E8</w:t>
            </w:r>
          </w:p>
        </w:tc>
      </w:tr>
      <w:tr w:rsidR="00024C0A" w:rsidTr="00024C0A">
        <w:tc>
          <w:tcPr>
            <w:tcW w:w="0" w:type="auto"/>
            <w:vAlign w:val="center"/>
          </w:tcPr>
          <w:p w:rsidR="00024C0A" w:rsidRDefault="00694C0F">
            <w:pPr>
              <w:pStyle w:val="TableBodyText"/>
            </w:pPr>
            <w:r>
              <w:t>WW7_ToolsOptions</w:t>
            </w:r>
          </w:p>
        </w:tc>
        <w:tc>
          <w:tcPr>
            <w:tcW w:w="0" w:type="auto"/>
            <w:vAlign w:val="center"/>
          </w:tcPr>
          <w:p w:rsidR="00024C0A" w:rsidRDefault="00694C0F">
            <w:pPr>
              <w:pStyle w:val="TableBodyText"/>
            </w:pPr>
            <w:r>
              <w:t>00CA</w:t>
            </w:r>
          </w:p>
        </w:tc>
      </w:tr>
      <w:tr w:rsidR="00024C0A" w:rsidTr="00024C0A">
        <w:tc>
          <w:tcPr>
            <w:tcW w:w="0" w:type="auto"/>
            <w:vAlign w:val="center"/>
          </w:tcPr>
          <w:p w:rsidR="00024C0A" w:rsidRDefault="00694C0F">
            <w:pPr>
              <w:pStyle w:val="TableBodyText"/>
            </w:pPr>
            <w:r>
              <w:t>WW7_ToolsOptionsAutoFormat</w:t>
            </w:r>
          </w:p>
        </w:tc>
        <w:tc>
          <w:tcPr>
            <w:tcW w:w="0" w:type="auto"/>
            <w:vAlign w:val="center"/>
          </w:tcPr>
          <w:p w:rsidR="00024C0A" w:rsidRDefault="00694C0F">
            <w:pPr>
              <w:pStyle w:val="TableBodyText"/>
            </w:pPr>
            <w:r>
              <w:t>016D</w:t>
            </w:r>
          </w:p>
        </w:tc>
      </w:tr>
      <w:tr w:rsidR="00024C0A" w:rsidTr="00024C0A">
        <w:tc>
          <w:tcPr>
            <w:tcW w:w="0" w:type="auto"/>
            <w:vAlign w:val="center"/>
          </w:tcPr>
          <w:p w:rsidR="00024C0A" w:rsidRDefault="00694C0F">
            <w:pPr>
              <w:pStyle w:val="TableBodyText"/>
            </w:pPr>
            <w:r>
              <w:t>WebAddHyperlnkToFavorites</w:t>
            </w:r>
          </w:p>
        </w:tc>
        <w:tc>
          <w:tcPr>
            <w:tcW w:w="0" w:type="auto"/>
            <w:vAlign w:val="center"/>
          </w:tcPr>
          <w:p w:rsidR="00024C0A" w:rsidRDefault="00694C0F">
            <w:pPr>
              <w:pStyle w:val="TableBodyText"/>
            </w:pPr>
            <w:r>
              <w:t>03EA</w:t>
            </w:r>
          </w:p>
        </w:tc>
      </w:tr>
      <w:tr w:rsidR="00024C0A" w:rsidTr="00024C0A">
        <w:tc>
          <w:tcPr>
            <w:tcW w:w="0" w:type="auto"/>
            <w:vAlign w:val="center"/>
          </w:tcPr>
          <w:p w:rsidR="00024C0A" w:rsidRDefault="00694C0F">
            <w:pPr>
              <w:pStyle w:val="TableBodyText"/>
            </w:pPr>
            <w:r>
              <w:t>WebAddToFavorites</w:t>
            </w:r>
          </w:p>
        </w:tc>
        <w:tc>
          <w:tcPr>
            <w:tcW w:w="0" w:type="auto"/>
            <w:vAlign w:val="center"/>
          </w:tcPr>
          <w:p w:rsidR="00024C0A" w:rsidRDefault="00694C0F">
            <w:pPr>
              <w:pStyle w:val="TableBodyText"/>
            </w:pPr>
            <w:r>
              <w:t>039C</w:t>
            </w:r>
          </w:p>
        </w:tc>
      </w:tr>
      <w:tr w:rsidR="00024C0A" w:rsidTr="00024C0A">
        <w:tc>
          <w:tcPr>
            <w:tcW w:w="0" w:type="auto"/>
            <w:vAlign w:val="center"/>
          </w:tcPr>
          <w:p w:rsidR="00024C0A" w:rsidRDefault="00694C0F">
            <w:pPr>
              <w:pStyle w:val="TableBodyText"/>
            </w:pPr>
            <w:r>
              <w:t>WebAddress</w:t>
            </w:r>
          </w:p>
        </w:tc>
        <w:tc>
          <w:tcPr>
            <w:tcW w:w="0" w:type="auto"/>
            <w:vAlign w:val="center"/>
          </w:tcPr>
          <w:p w:rsidR="00024C0A" w:rsidRDefault="00694C0F">
            <w:pPr>
              <w:pStyle w:val="TableBodyText"/>
            </w:pPr>
            <w:r>
              <w:t>03AA</w:t>
            </w:r>
          </w:p>
        </w:tc>
      </w:tr>
      <w:tr w:rsidR="00024C0A" w:rsidTr="00024C0A">
        <w:tc>
          <w:tcPr>
            <w:tcW w:w="0" w:type="auto"/>
            <w:vAlign w:val="center"/>
          </w:tcPr>
          <w:p w:rsidR="00024C0A" w:rsidRDefault="00694C0F">
            <w:pPr>
              <w:pStyle w:val="TableBodyText"/>
            </w:pPr>
            <w:r>
              <w:t>WebCopyHyperlink</w:t>
            </w:r>
          </w:p>
        </w:tc>
        <w:tc>
          <w:tcPr>
            <w:tcW w:w="0" w:type="auto"/>
            <w:vAlign w:val="center"/>
          </w:tcPr>
          <w:p w:rsidR="00024C0A" w:rsidRDefault="00694C0F">
            <w:pPr>
              <w:pStyle w:val="TableBodyText"/>
            </w:pPr>
            <w:r>
              <w:t>039B</w:t>
            </w:r>
          </w:p>
        </w:tc>
      </w:tr>
      <w:tr w:rsidR="00024C0A" w:rsidTr="00024C0A">
        <w:tc>
          <w:tcPr>
            <w:tcW w:w="0" w:type="auto"/>
            <w:vAlign w:val="center"/>
          </w:tcPr>
          <w:p w:rsidR="00024C0A" w:rsidRDefault="00694C0F">
            <w:pPr>
              <w:pStyle w:val="TableBodyText"/>
            </w:pPr>
            <w:r>
              <w:t>WebDiscussions</w:t>
            </w:r>
          </w:p>
        </w:tc>
        <w:tc>
          <w:tcPr>
            <w:tcW w:w="0" w:type="auto"/>
            <w:vAlign w:val="center"/>
          </w:tcPr>
          <w:p w:rsidR="00024C0A" w:rsidRDefault="00694C0F">
            <w:pPr>
              <w:pStyle w:val="TableBodyText"/>
            </w:pPr>
            <w:r>
              <w:t>049B</w:t>
            </w:r>
          </w:p>
        </w:tc>
      </w:tr>
      <w:tr w:rsidR="00024C0A" w:rsidTr="00024C0A">
        <w:tc>
          <w:tcPr>
            <w:tcW w:w="0" w:type="auto"/>
            <w:vAlign w:val="center"/>
          </w:tcPr>
          <w:p w:rsidR="00024C0A" w:rsidRDefault="00694C0F">
            <w:pPr>
              <w:pStyle w:val="TableBodyText"/>
            </w:pPr>
            <w:r>
              <w:t>WebGoBack</w:t>
            </w:r>
          </w:p>
        </w:tc>
        <w:tc>
          <w:tcPr>
            <w:tcW w:w="0" w:type="auto"/>
            <w:vAlign w:val="center"/>
          </w:tcPr>
          <w:p w:rsidR="00024C0A" w:rsidRDefault="00694C0F">
            <w:pPr>
              <w:pStyle w:val="TableBodyText"/>
            </w:pPr>
            <w:r>
              <w:t>03A3</w:t>
            </w:r>
          </w:p>
        </w:tc>
      </w:tr>
      <w:tr w:rsidR="00024C0A" w:rsidTr="00024C0A">
        <w:tc>
          <w:tcPr>
            <w:tcW w:w="0" w:type="auto"/>
            <w:vAlign w:val="center"/>
          </w:tcPr>
          <w:p w:rsidR="00024C0A" w:rsidRDefault="00694C0F">
            <w:pPr>
              <w:pStyle w:val="TableBodyText"/>
            </w:pPr>
            <w:r>
              <w:t>WebGoForward</w:t>
            </w:r>
          </w:p>
        </w:tc>
        <w:tc>
          <w:tcPr>
            <w:tcW w:w="0" w:type="auto"/>
            <w:vAlign w:val="center"/>
          </w:tcPr>
          <w:p w:rsidR="00024C0A" w:rsidRDefault="00694C0F">
            <w:pPr>
              <w:pStyle w:val="TableBodyText"/>
            </w:pPr>
            <w:r>
              <w:t>03A5</w:t>
            </w:r>
          </w:p>
        </w:tc>
      </w:tr>
      <w:tr w:rsidR="00024C0A" w:rsidTr="00024C0A">
        <w:tc>
          <w:tcPr>
            <w:tcW w:w="0" w:type="auto"/>
            <w:vAlign w:val="center"/>
          </w:tcPr>
          <w:p w:rsidR="00024C0A" w:rsidRDefault="00694C0F">
            <w:pPr>
              <w:pStyle w:val="TableBodyText"/>
            </w:pPr>
            <w:r>
              <w:t>WebHideToolbars</w:t>
            </w:r>
          </w:p>
        </w:tc>
        <w:tc>
          <w:tcPr>
            <w:tcW w:w="0" w:type="auto"/>
            <w:vAlign w:val="center"/>
          </w:tcPr>
          <w:p w:rsidR="00024C0A" w:rsidRDefault="00694C0F">
            <w:pPr>
              <w:pStyle w:val="TableBodyText"/>
            </w:pPr>
            <w:r>
              <w:t>03A1</w:t>
            </w:r>
          </w:p>
        </w:tc>
      </w:tr>
      <w:tr w:rsidR="00024C0A" w:rsidTr="00024C0A">
        <w:tc>
          <w:tcPr>
            <w:tcW w:w="0" w:type="auto"/>
            <w:vAlign w:val="center"/>
          </w:tcPr>
          <w:p w:rsidR="00024C0A" w:rsidRDefault="00694C0F">
            <w:pPr>
              <w:pStyle w:val="TableBodyText"/>
            </w:pPr>
            <w:r>
              <w:t>WebOpenFavorites</w:t>
            </w:r>
          </w:p>
        </w:tc>
        <w:tc>
          <w:tcPr>
            <w:tcW w:w="0" w:type="auto"/>
            <w:vAlign w:val="center"/>
          </w:tcPr>
          <w:p w:rsidR="00024C0A" w:rsidRDefault="00694C0F">
            <w:pPr>
              <w:pStyle w:val="TableBodyText"/>
            </w:pPr>
            <w:r>
              <w:t>03A0</w:t>
            </w:r>
          </w:p>
        </w:tc>
      </w:tr>
      <w:tr w:rsidR="00024C0A" w:rsidTr="00024C0A">
        <w:tc>
          <w:tcPr>
            <w:tcW w:w="0" w:type="auto"/>
            <w:vAlign w:val="center"/>
          </w:tcPr>
          <w:p w:rsidR="00024C0A" w:rsidRDefault="00694C0F">
            <w:pPr>
              <w:pStyle w:val="TableBodyText"/>
            </w:pPr>
            <w:r>
              <w:t>WebOpenHyperlink</w:t>
            </w:r>
          </w:p>
        </w:tc>
        <w:tc>
          <w:tcPr>
            <w:tcW w:w="0" w:type="auto"/>
            <w:vAlign w:val="center"/>
          </w:tcPr>
          <w:p w:rsidR="00024C0A" w:rsidRDefault="00694C0F">
            <w:pPr>
              <w:pStyle w:val="TableBodyText"/>
            </w:pPr>
            <w:r>
              <w:t>0399</w:t>
            </w:r>
          </w:p>
        </w:tc>
      </w:tr>
      <w:tr w:rsidR="00024C0A" w:rsidTr="00024C0A">
        <w:tc>
          <w:tcPr>
            <w:tcW w:w="0" w:type="auto"/>
            <w:vAlign w:val="center"/>
          </w:tcPr>
          <w:p w:rsidR="00024C0A" w:rsidRDefault="00694C0F">
            <w:pPr>
              <w:pStyle w:val="TableBodyText"/>
            </w:pPr>
            <w:r>
              <w:t>WebOpenInNewWindow</w:t>
            </w:r>
          </w:p>
        </w:tc>
        <w:tc>
          <w:tcPr>
            <w:tcW w:w="0" w:type="auto"/>
            <w:vAlign w:val="center"/>
          </w:tcPr>
          <w:p w:rsidR="00024C0A" w:rsidRDefault="00694C0F">
            <w:pPr>
              <w:pStyle w:val="TableBodyText"/>
            </w:pPr>
            <w:r>
              <w:t>039A</w:t>
            </w:r>
          </w:p>
        </w:tc>
      </w:tr>
      <w:tr w:rsidR="00024C0A" w:rsidTr="00024C0A">
        <w:tc>
          <w:tcPr>
            <w:tcW w:w="0" w:type="auto"/>
            <w:vAlign w:val="center"/>
          </w:tcPr>
          <w:p w:rsidR="00024C0A" w:rsidRDefault="00694C0F">
            <w:pPr>
              <w:pStyle w:val="TableBodyText"/>
            </w:pPr>
            <w:r>
              <w:t>WebOpenSearchPage</w:t>
            </w:r>
          </w:p>
        </w:tc>
        <w:tc>
          <w:tcPr>
            <w:tcW w:w="0" w:type="auto"/>
            <w:vAlign w:val="center"/>
          </w:tcPr>
          <w:p w:rsidR="00024C0A" w:rsidRDefault="00694C0F">
            <w:pPr>
              <w:pStyle w:val="TableBodyText"/>
            </w:pPr>
            <w:r>
              <w:t>03C8</w:t>
            </w:r>
          </w:p>
        </w:tc>
      </w:tr>
      <w:tr w:rsidR="00024C0A" w:rsidTr="00024C0A">
        <w:tc>
          <w:tcPr>
            <w:tcW w:w="0" w:type="auto"/>
            <w:vAlign w:val="center"/>
          </w:tcPr>
          <w:p w:rsidR="00024C0A" w:rsidRDefault="00694C0F">
            <w:pPr>
              <w:pStyle w:val="TableBodyText"/>
            </w:pPr>
            <w:r>
              <w:t>WebOpenStartPage</w:t>
            </w:r>
          </w:p>
        </w:tc>
        <w:tc>
          <w:tcPr>
            <w:tcW w:w="0" w:type="auto"/>
            <w:vAlign w:val="center"/>
          </w:tcPr>
          <w:p w:rsidR="00024C0A" w:rsidRDefault="00694C0F">
            <w:pPr>
              <w:pStyle w:val="TableBodyText"/>
            </w:pPr>
            <w:r>
              <w:t>03A2</w:t>
            </w:r>
          </w:p>
        </w:tc>
      </w:tr>
      <w:tr w:rsidR="00024C0A" w:rsidTr="00024C0A">
        <w:tc>
          <w:tcPr>
            <w:tcW w:w="0" w:type="auto"/>
            <w:vAlign w:val="center"/>
          </w:tcPr>
          <w:p w:rsidR="00024C0A" w:rsidRDefault="00694C0F">
            <w:pPr>
              <w:pStyle w:val="TableBodyText"/>
            </w:pPr>
            <w:r>
              <w:t>WebOptions</w:t>
            </w:r>
          </w:p>
        </w:tc>
        <w:tc>
          <w:tcPr>
            <w:tcW w:w="0" w:type="auto"/>
            <w:vAlign w:val="center"/>
          </w:tcPr>
          <w:p w:rsidR="00024C0A" w:rsidRDefault="00694C0F">
            <w:pPr>
              <w:pStyle w:val="TableBodyText"/>
            </w:pPr>
            <w:r>
              <w:t>0382</w:t>
            </w:r>
          </w:p>
        </w:tc>
      </w:tr>
      <w:tr w:rsidR="00024C0A" w:rsidTr="00024C0A">
        <w:tc>
          <w:tcPr>
            <w:tcW w:w="0" w:type="auto"/>
            <w:vAlign w:val="center"/>
          </w:tcPr>
          <w:p w:rsidR="00024C0A" w:rsidRDefault="00694C0F">
            <w:pPr>
              <w:pStyle w:val="TableBodyText"/>
            </w:pPr>
            <w:r>
              <w:t>WebPagePreview</w:t>
            </w:r>
          </w:p>
        </w:tc>
        <w:tc>
          <w:tcPr>
            <w:tcW w:w="0" w:type="auto"/>
            <w:vAlign w:val="center"/>
          </w:tcPr>
          <w:p w:rsidR="00024C0A" w:rsidRDefault="00694C0F">
            <w:pPr>
              <w:pStyle w:val="TableBodyText"/>
            </w:pPr>
            <w:r>
              <w:t>0445</w:t>
            </w:r>
          </w:p>
        </w:tc>
      </w:tr>
      <w:tr w:rsidR="00024C0A" w:rsidTr="00024C0A">
        <w:tc>
          <w:tcPr>
            <w:tcW w:w="0" w:type="auto"/>
            <w:vAlign w:val="center"/>
          </w:tcPr>
          <w:p w:rsidR="00024C0A" w:rsidRDefault="00694C0F">
            <w:pPr>
              <w:pStyle w:val="TableBodyText"/>
            </w:pPr>
            <w:r>
              <w:t>WebRefresh</w:t>
            </w:r>
          </w:p>
        </w:tc>
        <w:tc>
          <w:tcPr>
            <w:tcW w:w="0" w:type="auto"/>
            <w:vAlign w:val="center"/>
          </w:tcPr>
          <w:p w:rsidR="00024C0A" w:rsidRDefault="00694C0F">
            <w:pPr>
              <w:pStyle w:val="TableBodyText"/>
            </w:pPr>
            <w:r>
              <w:t>03A7</w:t>
            </w:r>
          </w:p>
        </w:tc>
      </w:tr>
      <w:tr w:rsidR="00024C0A" w:rsidTr="00024C0A">
        <w:tc>
          <w:tcPr>
            <w:tcW w:w="0" w:type="auto"/>
            <w:vAlign w:val="center"/>
          </w:tcPr>
          <w:p w:rsidR="00024C0A" w:rsidRDefault="00694C0F">
            <w:pPr>
              <w:pStyle w:val="TableBodyText"/>
            </w:pPr>
            <w:r>
              <w:t>WebSelectHyperlink</w:t>
            </w:r>
          </w:p>
        </w:tc>
        <w:tc>
          <w:tcPr>
            <w:tcW w:w="0" w:type="auto"/>
            <w:vAlign w:val="center"/>
          </w:tcPr>
          <w:p w:rsidR="00024C0A" w:rsidRDefault="00694C0F">
            <w:pPr>
              <w:pStyle w:val="TableBodyText"/>
            </w:pPr>
            <w:r>
              <w:t>039F</w:t>
            </w:r>
          </w:p>
        </w:tc>
      </w:tr>
      <w:tr w:rsidR="00024C0A" w:rsidTr="00024C0A">
        <w:tc>
          <w:tcPr>
            <w:tcW w:w="0" w:type="auto"/>
            <w:vAlign w:val="center"/>
          </w:tcPr>
          <w:p w:rsidR="00024C0A" w:rsidRDefault="00694C0F">
            <w:pPr>
              <w:pStyle w:val="TableBodyText"/>
            </w:pPr>
            <w:r>
              <w:t>WebStopLoading</w:t>
            </w:r>
          </w:p>
        </w:tc>
        <w:tc>
          <w:tcPr>
            <w:tcW w:w="0" w:type="auto"/>
            <w:vAlign w:val="center"/>
          </w:tcPr>
          <w:p w:rsidR="00024C0A" w:rsidRDefault="00694C0F">
            <w:pPr>
              <w:pStyle w:val="TableBodyText"/>
            </w:pPr>
            <w:r>
              <w:t>03A6</w:t>
            </w:r>
          </w:p>
        </w:tc>
      </w:tr>
      <w:tr w:rsidR="00024C0A" w:rsidTr="00024C0A">
        <w:tc>
          <w:tcPr>
            <w:tcW w:w="0" w:type="auto"/>
            <w:vAlign w:val="center"/>
          </w:tcPr>
          <w:p w:rsidR="00024C0A" w:rsidRDefault="00694C0F">
            <w:pPr>
              <w:pStyle w:val="TableBodyText"/>
            </w:pPr>
            <w:r>
              <w:t>WebToolbar</w:t>
            </w:r>
          </w:p>
        </w:tc>
        <w:tc>
          <w:tcPr>
            <w:tcW w:w="0" w:type="auto"/>
            <w:vAlign w:val="center"/>
          </w:tcPr>
          <w:p w:rsidR="00024C0A" w:rsidRDefault="00694C0F">
            <w:pPr>
              <w:pStyle w:val="TableBodyText"/>
            </w:pPr>
            <w:r>
              <w:t>03F0</w:t>
            </w:r>
          </w:p>
        </w:tc>
      </w:tr>
      <w:tr w:rsidR="00024C0A" w:rsidTr="00024C0A">
        <w:tc>
          <w:tcPr>
            <w:tcW w:w="0" w:type="auto"/>
            <w:vAlign w:val="center"/>
          </w:tcPr>
          <w:p w:rsidR="00024C0A" w:rsidRDefault="00694C0F">
            <w:pPr>
              <w:pStyle w:val="TableBodyText"/>
            </w:pPr>
            <w:r>
              <w:t>WindowArrangeAll</w:t>
            </w:r>
          </w:p>
        </w:tc>
        <w:tc>
          <w:tcPr>
            <w:tcW w:w="0" w:type="auto"/>
            <w:vAlign w:val="center"/>
          </w:tcPr>
          <w:p w:rsidR="00024C0A" w:rsidRDefault="00694C0F">
            <w:pPr>
              <w:pStyle w:val="TableBodyText"/>
            </w:pPr>
            <w:r>
              <w:t>00DA</w:t>
            </w:r>
          </w:p>
        </w:tc>
      </w:tr>
      <w:tr w:rsidR="00024C0A" w:rsidTr="00024C0A">
        <w:tc>
          <w:tcPr>
            <w:tcW w:w="0" w:type="auto"/>
            <w:vAlign w:val="center"/>
          </w:tcPr>
          <w:p w:rsidR="00024C0A" w:rsidRDefault="00694C0F">
            <w:pPr>
              <w:pStyle w:val="TableBodyText"/>
            </w:pPr>
            <w:r>
              <w:t>WindowArrangeSideBySide</w:t>
            </w:r>
          </w:p>
        </w:tc>
        <w:tc>
          <w:tcPr>
            <w:tcW w:w="0" w:type="auto"/>
            <w:vAlign w:val="center"/>
          </w:tcPr>
          <w:p w:rsidR="00024C0A" w:rsidRDefault="00694C0F">
            <w:pPr>
              <w:pStyle w:val="TableBodyText"/>
            </w:pPr>
            <w:r>
              <w:t>058B</w:t>
            </w:r>
          </w:p>
        </w:tc>
      </w:tr>
      <w:tr w:rsidR="00024C0A" w:rsidTr="00024C0A">
        <w:tc>
          <w:tcPr>
            <w:tcW w:w="0" w:type="auto"/>
            <w:vAlign w:val="center"/>
          </w:tcPr>
          <w:p w:rsidR="00024C0A" w:rsidRDefault="00694C0F">
            <w:pPr>
              <w:pStyle w:val="TableBodyText"/>
            </w:pPr>
            <w:r>
              <w:t>WindowList</w:t>
            </w:r>
          </w:p>
        </w:tc>
        <w:tc>
          <w:tcPr>
            <w:tcW w:w="0" w:type="auto"/>
            <w:vAlign w:val="center"/>
          </w:tcPr>
          <w:p w:rsidR="00024C0A" w:rsidRDefault="00694C0F">
            <w:pPr>
              <w:pStyle w:val="TableBodyText"/>
            </w:pPr>
            <w:r>
              <w:t>00DC</w:t>
            </w:r>
          </w:p>
        </w:tc>
      </w:tr>
      <w:tr w:rsidR="00024C0A" w:rsidTr="00024C0A">
        <w:tc>
          <w:tcPr>
            <w:tcW w:w="0" w:type="auto"/>
            <w:vAlign w:val="center"/>
          </w:tcPr>
          <w:p w:rsidR="00024C0A" w:rsidRDefault="00694C0F">
            <w:pPr>
              <w:pStyle w:val="TableBodyText"/>
            </w:pPr>
            <w:r>
              <w:t>WindowNewWindow</w:t>
            </w:r>
          </w:p>
        </w:tc>
        <w:tc>
          <w:tcPr>
            <w:tcW w:w="0" w:type="auto"/>
            <w:vAlign w:val="center"/>
          </w:tcPr>
          <w:p w:rsidR="00024C0A" w:rsidRDefault="00694C0F">
            <w:pPr>
              <w:pStyle w:val="TableBodyText"/>
            </w:pPr>
            <w:r>
              <w:t>00D9</w:t>
            </w:r>
          </w:p>
        </w:tc>
      </w:tr>
      <w:tr w:rsidR="00024C0A" w:rsidTr="00024C0A">
        <w:tc>
          <w:tcPr>
            <w:tcW w:w="0" w:type="auto"/>
            <w:vAlign w:val="center"/>
          </w:tcPr>
          <w:p w:rsidR="00024C0A" w:rsidRDefault="00694C0F">
            <w:pPr>
              <w:pStyle w:val="TableBodyText"/>
            </w:pPr>
            <w:r>
              <w:t>WordArtGallery</w:t>
            </w:r>
          </w:p>
        </w:tc>
        <w:tc>
          <w:tcPr>
            <w:tcW w:w="0" w:type="auto"/>
            <w:vAlign w:val="center"/>
          </w:tcPr>
          <w:p w:rsidR="00024C0A" w:rsidRDefault="00694C0F">
            <w:pPr>
              <w:pStyle w:val="TableBodyText"/>
            </w:pPr>
            <w:r>
              <w:t>08CE</w:t>
            </w:r>
          </w:p>
        </w:tc>
      </w:tr>
      <w:tr w:rsidR="00024C0A" w:rsidTr="00024C0A">
        <w:tc>
          <w:tcPr>
            <w:tcW w:w="0" w:type="auto"/>
            <w:vAlign w:val="center"/>
          </w:tcPr>
          <w:p w:rsidR="00024C0A" w:rsidRDefault="00694C0F">
            <w:pPr>
              <w:pStyle w:val="TableBodyText"/>
            </w:pPr>
            <w:r>
              <w:t>WordArtShapeGallery</w:t>
            </w:r>
          </w:p>
        </w:tc>
        <w:tc>
          <w:tcPr>
            <w:tcW w:w="0" w:type="auto"/>
            <w:vAlign w:val="center"/>
          </w:tcPr>
          <w:p w:rsidR="00024C0A" w:rsidRDefault="00694C0F">
            <w:pPr>
              <w:pStyle w:val="TableBodyText"/>
            </w:pPr>
            <w:r>
              <w:t>08D3</w:t>
            </w:r>
          </w:p>
        </w:tc>
      </w:tr>
      <w:tr w:rsidR="00024C0A" w:rsidTr="00024C0A">
        <w:tc>
          <w:tcPr>
            <w:tcW w:w="0" w:type="auto"/>
            <w:vAlign w:val="center"/>
          </w:tcPr>
          <w:p w:rsidR="00024C0A" w:rsidRDefault="00694C0F">
            <w:pPr>
              <w:pStyle w:val="TableBodyText"/>
            </w:pPr>
            <w:r>
              <w:lastRenderedPageBreak/>
              <w:t>WordLeft</w:t>
            </w:r>
          </w:p>
        </w:tc>
        <w:tc>
          <w:tcPr>
            <w:tcW w:w="0" w:type="auto"/>
            <w:vAlign w:val="center"/>
          </w:tcPr>
          <w:p w:rsidR="00024C0A" w:rsidRDefault="00694C0F">
            <w:pPr>
              <w:pStyle w:val="TableBodyText"/>
            </w:pPr>
            <w:r>
              <w:t>0FA2</w:t>
            </w:r>
          </w:p>
        </w:tc>
      </w:tr>
      <w:tr w:rsidR="00024C0A" w:rsidTr="00024C0A">
        <w:tc>
          <w:tcPr>
            <w:tcW w:w="0" w:type="auto"/>
            <w:vAlign w:val="center"/>
          </w:tcPr>
          <w:p w:rsidR="00024C0A" w:rsidRDefault="00694C0F">
            <w:pPr>
              <w:pStyle w:val="TableBodyText"/>
            </w:pPr>
            <w:r>
              <w:t>WordLeftExtend</w:t>
            </w:r>
          </w:p>
        </w:tc>
        <w:tc>
          <w:tcPr>
            <w:tcW w:w="0" w:type="auto"/>
            <w:vAlign w:val="center"/>
          </w:tcPr>
          <w:p w:rsidR="00024C0A" w:rsidRDefault="00694C0F">
            <w:pPr>
              <w:pStyle w:val="TableBodyText"/>
            </w:pPr>
            <w:r>
              <w:t>0FB4</w:t>
            </w:r>
          </w:p>
        </w:tc>
      </w:tr>
      <w:tr w:rsidR="00024C0A" w:rsidTr="00024C0A">
        <w:tc>
          <w:tcPr>
            <w:tcW w:w="0" w:type="auto"/>
            <w:vAlign w:val="center"/>
          </w:tcPr>
          <w:p w:rsidR="00024C0A" w:rsidRDefault="00694C0F">
            <w:pPr>
              <w:pStyle w:val="TableBodyText"/>
            </w:pPr>
            <w:r>
              <w:t>WordRight</w:t>
            </w:r>
          </w:p>
        </w:tc>
        <w:tc>
          <w:tcPr>
            <w:tcW w:w="0" w:type="auto"/>
            <w:vAlign w:val="center"/>
          </w:tcPr>
          <w:p w:rsidR="00024C0A" w:rsidRDefault="00694C0F">
            <w:pPr>
              <w:pStyle w:val="TableBodyText"/>
            </w:pPr>
            <w:r>
              <w:t>0FA3</w:t>
            </w:r>
          </w:p>
        </w:tc>
      </w:tr>
      <w:tr w:rsidR="00024C0A" w:rsidTr="00024C0A">
        <w:tc>
          <w:tcPr>
            <w:tcW w:w="0" w:type="auto"/>
            <w:vAlign w:val="center"/>
          </w:tcPr>
          <w:p w:rsidR="00024C0A" w:rsidRDefault="00694C0F">
            <w:pPr>
              <w:pStyle w:val="TableBodyText"/>
            </w:pPr>
            <w:r>
              <w:t>WordRightExtend</w:t>
            </w:r>
          </w:p>
        </w:tc>
        <w:tc>
          <w:tcPr>
            <w:tcW w:w="0" w:type="auto"/>
            <w:vAlign w:val="center"/>
          </w:tcPr>
          <w:p w:rsidR="00024C0A" w:rsidRDefault="00694C0F">
            <w:pPr>
              <w:pStyle w:val="TableBodyText"/>
            </w:pPr>
            <w:r>
              <w:t>0FB5</w:t>
            </w:r>
          </w:p>
        </w:tc>
      </w:tr>
      <w:tr w:rsidR="00024C0A" w:rsidTr="00024C0A">
        <w:tc>
          <w:tcPr>
            <w:tcW w:w="0" w:type="auto"/>
            <w:vAlign w:val="center"/>
          </w:tcPr>
          <w:p w:rsidR="00024C0A" w:rsidRDefault="00694C0F">
            <w:pPr>
              <w:pStyle w:val="TableBodyText"/>
            </w:pPr>
            <w:r>
              <w:t>WordSearchLibraries</w:t>
            </w:r>
          </w:p>
        </w:tc>
        <w:tc>
          <w:tcPr>
            <w:tcW w:w="0" w:type="auto"/>
            <w:vAlign w:val="center"/>
          </w:tcPr>
          <w:p w:rsidR="00024C0A" w:rsidRDefault="00694C0F">
            <w:pPr>
              <w:pStyle w:val="TableBodyText"/>
            </w:pPr>
            <w:r>
              <w:t>080D</w:t>
            </w:r>
          </w:p>
        </w:tc>
      </w:tr>
      <w:tr w:rsidR="00024C0A" w:rsidTr="00024C0A">
        <w:tc>
          <w:tcPr>
            <w:tcW w:w="0" w:type="auto"/>
            <w:vAlign w:val="center"/>
          </w:tcPr>
          <w:p w:rsidR="00024C0A" w:rsidRDefault="00694C0F">
            <w:pPr>
              <w:pStyle w:val="TableBodyText"/>
            </w:pPr>
            <w:r>
              <w:t>WordSetDefaultPaste</w:t>
            </w:r>
          </w:p>
        </w:tc>
        <w:tc>
          <w:tcPr>
            <w:tcW w:w="0" w:type="auto"/>
            <w:vAlign w:val="center"/>
          </w:tcPr>
          <w:p w:rsidR="00024C0A" w:rsidRDefault="00694C0F">
            <w:pPr>
              <w:pStyle w:val="TableBodyText"/>
            </w:pPr>
            <w:r>
              <w:t>0924</w:t>
            </w:r>
          </w:p>
        </w:tc>
      </w:tr>
      <w:tr w:rsidR="00024C0A" w:rsidTr="00024C0A">
        <w:tc>
          <w:tcPr>
            <w:tcW w:w="0" w:type="auto"/>
            <w:vAlign w:val="center"/>
          </w:tcPr>
          <w:p w:rsidR="00024C0A" w:rsidRDefault="00694C0F">
            <w:pPr>
              <w:pStyle w:val="TableBodyText"/>
            </w:pPr>
            <w:r>
              <w:t>WordTableStylesBandedColumns</w:t>
            </w:r>
          </w:p>
        </w:tc>
        <w:tc>
          <w:tcPr>
            <w:tcW w:w="0" w:type="auto"/>
            <w:vAlign w:val="center"/>
          </w:tcPr>
          <w:p w:rsidR="00024C0A" w:rsidRDefault="00694C0F">
            <w:pPr>
              <w:pStyle w:val="TableBodyText"/>
            </w:pPr>
            <w:r>
              <w:t>08F5</w:t>
            </w:r>
          </w:p>
        </w:tc>
      </w:tr>
      <w:tr w:rsidR="00024C0A" w:rsidTr="00024C0A">
        <w:tc>
          <w:tcPr>
            <w:tcW w:w="0" w:type="auto"/>
            <w:vAlign w:val="center"/>
          </w:tcPr>
          <w:p w:rsidR="00024C0A" w:rsidRDefault="00694C0F">
            <w:pPr>
              <w:pStyle w:val="TableBodyText"/>
            </w:pPr>
            <w:r>
              <w:t>WordTableStylesBandedRows</w:t>
            </w:r>
          </w:p>
        </w:tc>
        <w:tc>
          <w:tcPr>
            <w:tcW w:w="0" w:type="auto"/>
            <w:vAlign w:val="center"/>
          </w:tcPr>
          <w:p w:rsidR="00024C0A" w:rsidRDefault="00694C0F">
            <w:pPr>
              <w:pStyle w:val="TableBodyText"/>
            </w:pPr>
            <w:r>
              <w:t>08F4</w:t>
            </w:r>
          </w:p>
        </w:tc>
      </w:tr>
      <w:tr w:rsidR="00024C0A" w:rsidTr="00024C0A">
        <w:tc>
          <w:tcPr>
            <w:tcW w:w="0" w:type="auto"/>
            <w:vAlign w:val="center"/>
          </w:tcPr>
          <w:p w:rsidR="00024C0A" w:rsidRDefault="00694C0F">
            <w:pPr>
              <w:pStyle w:val="TableBodyText"/>
            </w:pPr>
            <w:r>
              <w:t>WordTableStylesFirstColumn</w:t>
            </w:r>
          </w:p>
        </w:tc>
        <w:tc>
          <w:tcPr>
            <w:tcW w:w="0" w:type="auto"/>
            <w:vAlign w:val="center"/>
          </w:tcPr>
          <w:p w:rsidR="00024C0A" w:rsidRDefault="00694C0F">
            <w:pPr>
              <w:pStyle w:val="TableBodyText"/>
            </w:pPr>
            <w:r>
              <w:t>08F2</w:t>
            </w:r>
          </w:p>
        </w:tc>
      </w:tr>
      <w:tr w:rsidR="00024C0A" w:rsidTr="00024C0A">
        <w:tc>
          <w:tcPr>
            <w:tcW w:w="0" w:type="auto"/>
            <w:vAlign w:val="center"/>
          </w:tcPr>
          <w:p w:rsidR="00024C0A" w:rsidRDefault="00694C0F">
            <w:pPr>
              <w:pStyle w:val="TableBodyText"/>
            </w:pPr>
            <w:r>
              <w:t>WordTableStylesHeaderRow</w:t>
            </w:r>
          </w:p>
        </w:tc>
        <w:tc>
          <w:tcPr>
            <w:tcW w:w="0" w:type="auto"/>
            <w:vAlign w:val="center"/>
          </w:tcPr>
          <w:p w:rsidR="00024C0A" w:rsidRDefault="00694C0F">
            <w:pPr>
              <w:pStyle w:val="TableBodyText"/>
            </w:pPr>
            <w:r>
              <w:t>08F0</w:t>
            </w:r>
          </w:p>
        </w:tc>
      </w:tr>
      <w:tr w:rsidR="00024C0A" w:rsidTr="00024C0A">
        <w:tc>
          <w:tcPr>
            <w:tcW w:w="0" w:type="auto"/>
            <w:vAlign w:val="center"/>
          </w:tcPr>
          <w:p w:rsidR="00024C0A" w:rsidRDefault="00694C0F">
            <w:pPr>
              <w:pStyle w:val="TableBodyText"/>
            </w:pPr>
            <w:r>
              <w:t>WordTableStylesLastColumn</w:t>
            </w:r>
          </w:p>
        </w:tc>
        <w:tc>
          <w:tcPr>
            <w:tcW w:w="0" w:type="auto"/>
            <w:vAlign w:val="center"/>
          </w:tcPr>
          <w:p w:rsidR="00024C0A" w:rsidRDefault="00694C0F">
            <w:pPr>
              <w:pStyle w:val="TableBodyText"/>
            </w:pPr>
            <w:r>
              <w:t>08F3</w:t>
            </w:r>
          </w:p>
        </w:tc>
      </w:tr>
      <w:tr w:rsidR="00024C0A" w:rsidTr="00024C0A">
        <w:tc>
          <w:tcPr>
            <w:tcW w:w="0" w:type="auto"/>
            <w:vAlign w:val="center"/>
          </w:tcPr>
          <w:p w:rsidR="00024C0A" w:rsidRDefault="00694C0F">
            <w:pPr>
              <w:pStyle w:val="TableBodyText"/>
            </w:pPr>
            <w:r>
              <w:t>WordTableStylesTotalRow</w:t>
            </w:r>
          </w:p>
        </w:tc>
        <w:tc>
          <w:tcPr>
            <w:tcW w:w="0" w:type="auto"/>
            <w:vAlign w:val="center"/>
          </w:tcPr>
          <w:p w:rsidR="00024C0A" w:rsidRDefault="00694C0F">
            <w:pPr>
              <w:pStyle w:val="TableBodyText"/>
            </w:pPr>
            <w:r>
              <w:t>08F1</w:t>
            </w:r>
          </w:p>
        </w:tc>
      </w:tr>
      <w:tr w:rsidR="00024C0A" w:rsidTr="00024C0A">
        <w:tc>
          <w:tcPr>
            <w:tcW w:w="0" w:type="auto"/>
            <w:vAlign w:val="center"/>
          </w:tcPr>
          <w:p w:rsidR="00024C0A" w:rsidRDefault="00694C0F">
            <w:pPr>
              <w:pStyle w:val="TableBodyText"/>
            </w:pPr>
            <w:r>
              <w:t>WordUnderline</w:t>
            </w:r>
          </w:p>
        </w:tc>
        <w:tc>
          <w:tcPr>
            <w:tcW w:w="0" w:type="auto"/>
            <w:vAlign w:val="center"/>
          </w:tcPr>
          <w:p w:rsidR="00024C0A" w:rsidRDefault="00694C0F">
            <w:pPr>
              <w:pStyle w:val="TableBodyText"/>
            </w:pPr>
            <w:r>
              <w:t>0035</w:t>
            </w:r>
          </w:p>
        </w:tc>
      </w:tr>
      <w:tr w:rsidR="00024C0A" w:rsidTr="00024C0A">
        <w:tc>
          <w:tcPr>
            <w:tcW w:w="0" w:type="auto"/>
            <w:vAlign w:val="center"/>
          </w:tcPr>
          <w:p w:rsidR="00024C0A" w:rsidRDefault="00694C0F">
            <w:pPr>
              <w:pStyle w:val="TableBodyText"/>
            </w:pPr>
            <w:r>
              <w:t>XMLDocument</w:t>
            </w:r>
          </w:p>
        </w:tc>
        <w:tc>
          <w:tcPr>
            <w:tcW w:w="0" w:type="auto"/>
            <w:vAlign w:val="center"/>
          </w:tcPr>
          <w:p w:rsidR="00024C0A" w:rsidRDefault="00694C0F">
            <w:pPr>
              <w:pStyle w:val="TableBodyText"/>
            </w:pPr>
            <w:r>
              <w:t>0592</w:t>
            </w:r>
          </w:p>
        </w:tc>
      </w:tr>
      <w:tr w:rsidR="00024C0A" w:rsidTr="00024C0A">
        <w:tc>
          <w:tcPr>
            <w:tcW w:w="0" w:type="auto"/>
            <w:vAlign w:val="center"/>
          </w:tcPr>
          <w:p w:rsidR="00024C0A" w:rsidRDefault="00694C0F">
            <w:pPr>
              <w:pStyle w:val="TableBodyText"/>
            </w:pPr>
            <w:r>
              <w:t>XMLGroup</w:t>
            </w:r>
          </w:p>
        </w:tc>
        <w:tc>
          <w:tcPr>
            <w:tcW w:w="0" w:type="auto"/>
            <w:vAlign w:val="center"/>
          </w:tcPr>
          <w:p w:rsidR="00024C0A" w:rsidRDefault="00694C0F">
            <w:pPr>
              <w:pStyle w:val="TableBodyText"/>
            </w:pPr>
            <w:r>
              <w:t>08D4</w:t>
            </w:r>
          </w:p>
        </w:tc>
      </w:tr>
      <w:tr w:rsidR="00024C0A" w:rsidTr="00024C0A">
        <w:tc>
          <w:tcPr>
            <w:tcW w:w="0" w:type="auto"/>
            <w:vAlign w:val="center"/>
          </w:tcPr>
          <w:p w:rsidR="00024C0A" w:rsidRDefault="00694C0F">
            <w:pPr>
              <w:pStyle w:val="TableBodyText"/>
            </w:pPr>
            <w:r>
              <w:t>XMLOptions</w:t>
            </w:r>
          </w:p>
        </w:tc>
        <w:tc>
          <w:tcPr>
            <w:tcW w:w="0" w:type="auto"/>
            <w:vAlign w:val="center"/>
          </w:tcPr>
          <w:p w:rsidR="00024C0A" w:rsidRDefault="00694C0F">
            <w:pPr>
              <w:pStyle w:val="TableBodyText"/>
            </w:pPr>
            <w:r>
              <w:t>0591</w:t>
            </w:r>
          </w:p>
        </w:tc>
      </w:tr>
      <w:tr w:rsidR="00024C0A" w:rsidTr="00024C0A">
        <w:tc>
          <w:tcPr>
            <w:tcW w:w="0" w:type="auto"/>
            <w:vAlign w:val="center"/>
          </w:tcPr>
          <w:p w:rsidR="00024C0A" w:rsidRDefault="00694C0F">
            <w:pPr>
              <w:pStyle w:val="TableBodyText"/>
            </w:pPr>
            <w:r>
              <w:t>XmlAttr</w:t>
            </w:r>
          </w:p>
        </w:tc>
        <w:tc>
          <w:tcPr>
            <w:tcW w:w="0" w:type="auto"/>
            <w:vAlign w:val="center"/>
          </w:tcPr>
          <w:p w:rsidR="00024C0A" w:rsidRDefault="00694C0F">
            <w:pPr>
              <w:pStyle w:val="TableBodyText"/>
            </w:pPr>
            <w:r>
              <w:t>05B4</w:t>
            </w:r>
          </w:p>
        </w:tc>
      </w:tr>
      <w:tr w:rsidR="00024C0A" w:rsidTr="00024C0A">
        <w:tc>
          <w:tcPr>
            <w:tcW w:w="0" w:type="auto"/>
            <w:vAlign w:val="center"/>
          </w:tcPr>
          <w:p w:rsidR="00024C0A" w:rsidRDefault="00694C0F">
            <w:pPr>
              <w:pStyle w:val="TableBodyText"/>
            </w:pPr>
            <w:r>
              <w:t>XmlExpansionPacks</w:t>
            </w:r>
          </w:p>
        </w:tc>
        <w:tc>
          <w:tcPr>
            <w:tcW w:w="0" w:type="auto"/>
            <w:vAlign w:val="center"/>
          </w:tcPr>
          <w:p w:rsidR="00024C0A" w:rsidRDefault="00694C0F">
            <w:pPr>
              <w:pStyle w:val="TableBodyText"/>
            </w:pPr>
            <w:r>
              <w:t>0811</w:t>
            </w:r>
          </w:p>
        </w:tc>
      </w:tr>
      <w:tr w:rsidR="00024C0A" w:rsidTr="00024C0A">
        <w:tc>
          <w:tcPr>
            <w:tcW w:w="0" w:type="auto"/>
            <w:vAlign w:val="center"/>
          </w:tcPr>
          <w:p w:rsidR="00024C0A" w:rsidRDefault="00694C0F">
            <w:pPr>
              <w:pStyle w:val="TableBodyText"/>
            </w:pPr>
            <w:r>
              <w:t>XmlSchema</w:t>
            </w:r>
          </w:p>
        </w:tc>
        <w:tc>
          <w:tcPr>
            <w:tcW w:w="0" w:type="auto"/>
            <w:vAlign w:val="center"/>
          </w:tcPr>
          <w:p w:rsidR="00024C0A" w:rsidRDefault="00694C0F">
            <w:pPr>
              <w:pStyle w:val="TableBodyText"/>
            </w:pPr>
            <w:r>
              <w:t>0810</w:t>
            </w:r>
          </w:p>
        </w:tc>
      </w:tr>
      <w:tr w:rsidR="00024C0A" w:rsidTr="00024C0A">
        <w:tc>
          <w:tcPr>
            <w:tcW w:w="0" w:type="auto"/>
            <w:vAlign w:val="center"/>
          </w:tcPr>
          <w:p w:rsidR="00024C0A" w:rsidRDefault="00694C0F">
            <w:pPr>
              <w:pStyle w:val="TableBodyText"/>
            </w:pPr>
            <w:r>
              <w:t>Zoom100</w:t>
            </w:r>
          </w:p>
        </w:tc>
        <w:tc>
          <w:tcPr>
            <w:tcW w:w="0" w:type="auto"/>
            <w:vAlign w:val="center"/>
          </w:tcPr>
          <w:p w:rsidR="00024C0A" w:rsidRDefault="00694C0F">
            <w:pPr>
              <w:pStyle w:val="TableBodyText"/>
            </w:pPr>
            <w:r>
              <w:t>09A3</w:t>
            </w:r>
          </w:p>
        </w:tc>
      </w:tr>
    </w:tbl>
    <w:p w:rsidR="00024C0A" w:rsidRDefault="00024C0A"/>
    <w:p w:rsidR="00024C0A" w:rsidRDefault="00694C0F">
      <w:pPr>
        <w:pStyle w:val="Heading5"/>
      </w:pPr>
      <w:bookmarkStart w:id="3849" w:name="section_c1f7dc7261034817b86d301051daeb73"/>
      <w:bookmarkStart w:id="3850" w:name="_Toc12261985"/>
      <w:r>
        <w:t>Statements</w:t>
      </w:r>
      <w:bookmarkEnd w:id="3849"/>
      <w:bookmarkEnd w:id="3850"/>
      <w:r>
        <w:fldChar w:fldCharType="begin"/>
      </w:r>
      <w:r>
        <w:instrText xml:space="preserve"> XE "Statements" </w:instrText>
      </w:r>
      <w:r>
        <w:fldChar w:fldCharType="end"/>
      </w:r>
    </w:p>
    <w:p w:rsidR="00024C0A" w:rsidRDefault="00694C0F">
      <w:r>
        <w:t>Statements can only be identified by name for key mapping purposes.</w:t>
      </w:r>
    </w:p>
    <w:tbl>
      <w:tblPr>
        <w:tblStyle w:val="Table-ShadedHeader"/>
        <w:tblW w:w="0" w:type="auto"/>
        <w:tblLook w:val="04A0" w:firstRow="1" w:lastRow="0" w:firstColumn="1" w:lastColumn="0" w:noHBand="0" w:noVBand="1"/>
      </w:tblPr>
      <w:tblGrid>
        <w:gridCol w:w="4285"/>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Statement Name</w:t>
            </w:r>
          </w:p>
        </w:tc>
      </w:tr>
      <w:tr w:rsidR="00024C0A" w:rsidTr="00024C0A">
        <w:tc>
          <w:tcPr>
            <w:tcW w:w="0" w:type="auto"/>
            <w:vAlign w:val="center"/>
          </w:tcPr>
          <w:p w:rsidR="00024C0A" w:rsidRDefault="00694C0F">
            <w:pPr>
              <w:pStyle w:val="TableBodyText"/>
            </w:pPr>
            <w:r>
              <w:t>AOCEAddRecipient</w:t>
            </w:r>
          </w:p>
        </w:tc>
      </w:tr>
      <w:tr w:rsidR="00024C0A" w:rsidTr="00024C0A">
        <w:tc>
          <w:tcPr>
            <w:tcW w:w="0" w:type="auto"/>
            <w:vAlign w:val="center"/>
          </w:tcPr>
          <w:p w:rsidR="00024C0A" w:rsidRDefault="00694C0F">
            <w:pPr>
              <w:pStyle w:val="TableBodyText"/>
            </w:pPr>
            <w:r>
              <w:t>AOCEAuthenticateUser</w:t>
            </w:r>
          </w:p>
        </w:tc>
      </w:tr>
      <w:tr w:rsidR="00024C0A" w:rsidTr="00024C0A">
        <w:tc>
          <w:tcPr>
            <w:tcW w:w="0" w:type="auto"/>
            <w:vAlign w:val="center"/>
          </w:tcPr>
          <w:p w:rsidR="00024C0A" w:rsidRDefault="00694C0F">
            <w:pPr>
              <w:pStyle w:val="TableBodyText"/>
            </w:pPr>
            <w:r>
              <w:t>AOCEClearMailerField</w:t>
            </w:r>
          </w:p>
        </w:tc>
      </w:tr>
      <w:tr w:rsidR="00024C0A" w:rsidTr="00024C0A">
        <w:tc>
          <w:tcPr>
            <w:tcW w:w="0" w:type="auto"/>
            <w:vAlign w:val="center"/>
          </w:tcPr>
          <w:p w:rsidR="00024C0A" w:rsidRDefault="00694C0F">
            <w:pPr>
              <w:pStyle w:val="TableBodyText"/>
            </w:pPr>
            <w:r>
              <w:t>AOCECountRecipients</w:t>
            </w:r>
          </w:p>
        </w:tc>
      </w:tr>
      <w:tr w:rsidR="00024C0A" w:rsidTr="00024C0A">
        <w:tc>
          <w:tcPr>
            <w:tcW w:w="0" w:type="auto"/>
            <w:vAlign w:val="center"/>
          </w:tcPr>
          <w:p w:rsidR="00024C0A" w:rsidRDefault="00694C0F">
            <w:pPr>
              <w:pStyle w:val="TableBodyText"/>
            </w:pPr>
            <w:r>
              <w:t>AOCESendMail</w:t>
            </w:r>
          </w:p>
        </w:tc>
      </w:tr>
      <w:tr w:rsidR="00024C0A" w:rsidTr="00024C0A">
        <w:tc>
          <w:tcPr>
            <w:tcW w:w="0" w:type="auto"/>
            <w:vAlign w:val="center"/>
          </w:tcPr>
          <w:p w:rsidR="00024C0A" w:rsidRDefault="00694C0F">
            <w:pPr>
              <w:pStyle w:val="TableBodyText"/>
            </w:pPr>
            <w:r>
              <w:t>AOCESetSubject</w:t>
            </w:r>
          </w:p>
        </w:tc>
      </w:tr>
      <w:tr w:rsidR="00024C0A" w:rsidTr="00024C0A">
        <w:tc>
          <w:tcPr>
            <w:tcW w:w="0" w:type="auto"/>
            <w:vAlign w:val="center"/>
          </w:tcPr>
          <w:p w:rsidR="00024C0A" w:rsidRDefault="00694C0F">
            <w:pPr>
              <w:pStyle w:val="TableBodyText"/>
            </w:pPr>
            <w:r>
              <w:t>Abs</w:t>
            </w:r>
          </w:p>
        </w:tc>
      </w:tr>
      <w:tr w:rsidR="00024C0A" w:rsidTr="00024C0A">
        <w:tc>
          <w:tcPr>
            <w:tcW w:w="0" w:type="auto"/>
            <w:vAlign w:val="center"/>
          </w:tcPr>
          <w:p w:rsidR="00024C0A" w:rsidRDefault="00694C0F">
            <w:pPr>
              <w:pStyle w:val="TableBodyText"/>
            </w:pPr>
            <w:r>
              <w:lastRenderedPageBreak/>
              <w:t>Activate</w:t>
            </w:r>
          </w:p>
        </w:tc>
      </w:tr>
      <w:tr w:rsidR="00024C0A" w:rsidTr="00024C0A">
        <w:tc>
          <w:tcPr>
            <w:tcW w:w="0" w:type="auto"/>
            <w:vAlign w:val="center"/>
          </w:tcPr>
          <w:p w:rsidR="00024C0A" w:rsidRDefault="00694C0F">
            <w:pPr>
              <w:pStyle w:val="TableBodyText"/>
            </w:pPr>
            <w:r>
              <w:t>AddAddIn</w:t>
            </w:r>
          </w:p>
        </w:tc>
      </w:tr>
      <w:tr w:rsidR="00024C0A" w:rsidTr="00024C0A">
        <w:tc>
          <w:tcPr>
            <w:tcW w:w="0" w:type="auto"/>
            <w:vAlign w:val="center"/>
          </w:tcPr>
          <w:p w:rsidR="00024C0A" w:rsidRDefault="00694C0F">
            <w:pPr>
              <w:pStyle w:val="TableBodyText"/>
            </w:pPr>
            <w:r>
              <w:t>AddAddress</w:t>
            </w:r>
          </w:p>
        </w:tc>
      </w:tr>
      <w:tr w:rsidR="00024C0A" w:rsidTr="00024C0A">
        <w:tc>
          <w:tcPr>
            <w:tcW w:w="0" w:type="auto"/>
            <w:vAlign w:val="center"/>
          </w:tcPr>
          <w:p w:rsidR="00024C0A" w:rsidRDefault="00694C0F">
            <w:pPr>
              <w:pStyle w:val="TableBodyText"/>
            </w:pPr>
            <w:r>
              <w:t>AddAutoText</w:t>
            </w:r>
          </w:p>
        </w:tc>
      </w:tr>
      <w:tr w:rsidR="00024C0A" w:rsidTr="00024C0A">
        <w:tc>
          <w:tcPr>
            <w:tcW w:w="0" w:type="auto"/>
            <w:vAlign w:val="center"/>
          </w:tcPr>
          <w:p w:rsidR="00024C0A" w:rsidRDefault="00694C0F">
            <w:pPr>
              <w:pStyle w:val="TableBodyText"/>
            </w:pPr>
            <w:r>
              <w:t>AddButton</w:t>
            </w:r>
          </w:p>
        </w:tc>
      </w:tr>
      <w:tr w:rsidR="00024C0A" w:rsidTr="00024C0A">
        <w:tc>
          <w:tcPr>
            <w:tcW w:w="0" w:type="auto"/>
            <w:vAlign w:val="center"/>
          </w:tcPr>
          <w:p w:rsidR="00024C0A" w:rsidRDefault="00694C0F">
            <w:pPr>
              <w:pStyle w:val="TableBodyText"/>
            </w:pPr>
            <w:r>
              <w:t>AddDropDownItem</w:t>
            </w:r>
          </w:p>
        </w:tc>
      </w:tr>
      <w:tr w:rsidR="00024C0A" w:rsidTr="00024C0A">
        <w:tc>
          <w:tcPr>
            <w:tcW w:w="0" w:type="auto"/>
            <w:vAlign w:val="center"/>
          </w:tcPr>
          <w:p w:rsidR="00024C0A" w:rsidRDefault="00694C0F">
            <w:pPr>
              <w:pStyle w:val="TableBodyText"/>
            </w:pPr>
            <w:r>
              <w:t>AddInState</w:t>
            </w:r>
          </w:p>
        </w:tc>
      </w:tr>
      <w:tr w:rsidR="00024C0A" w:rsidTr="00024C0A">
        <w:tc>
          <w:tcPr>
            <w:tcW w:w="0" w:type="auto"/>
            <w:vAlign w:val="center"/>
          </w:tcPr>
          <w:p w:rsidR="00024C0A" w:rsidRDefault="00694C0F">
            <w:pPr>
              <w:pStyle w:val="TableBodyText"/>
            </w:pPr>
            <w:r>
              <w:t>AllCaps</w:t>
            </w:r>
          </w:p>
        </w:tc>
      </w:tr>
      <w:tr w:rsidR="00024C0A" w:rsidTr="00024C0A">
        <w:tc>
          <w:tcPr>
            <w:tcW w:w="0" w:type="auto"/>
            <w:vAlign w:val="center"/>
          </w:tcPr>
          <w:p w:rsidR="00024C0A" w:rsidRDefault="00694C0F">
            <w:pPr>
              <w:pStyle w:val="TableBodyText"/>
            </w:pPr>
            <w:r>
              <w:t>AppActivate</w:t>
            </w:r>
          </w:p>
        </w:tc>
      </w:tr>
      <w:tr w:rsidR="00024C0A" w:rsidTr="00024C0A">
        <w:tc>
          <w:tcPr>
            <w:tcW w:w="0" w:type="auto"/>
            <w:vAlign w:val="center"/>
          </w:tcPr>
          <w:p w:rsidR="00024C0A" w:rsidRDefault="00694C0F">
            <w:pPr>
              <w:pStyle w:val="TableBodyText"/>
            </w:pPr>
            <w:r>
              <w:t>AppClose</w:t>
            </w:r>
          </w:p>
        </w:tc>
      </w:tr>
      <w:tr w:rsidR="00024C0A" w:rsidTr="00024C0A">
        <w:tc>
          <w:tcPr>
            <w:tcW w:w="0" w:type="auto"/>
            <w:vAlign w:val="center"/>
          </w:tcPr>
          <w:p w:rsidR="00024C0A" w:rsidRDefault="00694C0F">
            <w:pPr>
              <w:pStyle w:val="TableBodyText"/>
            </w:pPr>
            <w:r>
              <w:t>AppCount</w:t>
            </w:r>
          </w:p>
        </w:tc>
      </w:tr>
      <w:tr w:rsidR="00024C0A" w:rsidTr="00024C0A">
        <w:tc>
          <w:tcPr>
            <w:tcW w:w="0" w:type="auto"/>
            <w:vAlign w:val="center"/>
          </w:tcPr>
          <w:p w:rsidR="00024C0A" w:rsidRDefault="00694C0F">
            <w:pPr>
              <w:pStyle w:val="TableBodyText"/>
            </w:pPr>
            <w:r>
              <w:t>AppGetNames</w:t>
            </w:r>
          </w:p>
        </w:tc>
      </w:tr>
      <w:tr w:rsidR="00024C0A" w:rsidTr="00024C0A">
        <w:tc>
          <w:tcPr>
            <w:tcW w:w="0" w:type="auto"/>
            <w:vAlign w:val="center"/>
          </w:tcPr>
          <w:p w:rsidR="00024C0A" w:rsidRDefault="00694C0F">
            <w:pPr>
              <w:pStyle w:val="TableBodyText"/>
            </w:pPr>
            <w:r>
              <w:t>AppHide</w:t>
            </w:r>
          </w:p>
        </w:tc>
      </w:tr>
      <w:tr w:rsidR="00024C0A" w:rsidTr="00024C0A">
        <w:tc>
          <w:tcPr>
            <w:tcW w:w="0" w:type="auto"/>
            <w:vAlign w:val="center"/>
          </w:tcPr>
          <w:p w:rsidR="00024C0A" w:rsidRDefault="00694C0F">
            <w:pPr>
              <w:pStyle w:val="TableBodyText"/>
            </w:pPr>
            <w:r>
              <w:t>AppIsRunning</w:t>
            </w:r>
          </w:p>
        </w:tc>
      </w:tr>
      <w:tr w:rsidR="00024C0A" w:rsidTr="00024C0A">
        <w:tc>
          <w:tcPr>
            <w:tcW w:w="0" w:type="auto"/>
            <w:vAlign w:val="center"/>
          </w:tcPr>
          <w:p w:rsidR="00024C0A" w:rsidRDefault="00694C0F">
            <w:pPr>
              <w:pStyle w:val="TableBodyText"/>
            </w:pPr>
            <w:r>
              <w:t>AppMaximize</w:t>
            </w:r>
          </w:p>
        </w:tc>
      </w:tr>
      <w:tr w:rsidR="00024C0A" w:rsidTr="00024C0A">
        <w:tc>
          <w:tcPr>
            <w:tcW w:w="0" w:type="auto"/>
            <w:vAlign w:val="center"/>
          </w:tcPr>
          <w:p w:rsidR="00024C0A" w:rsidRDefault="00694C0F">
            <w:pPr>
              <w:pStyle w:val="TableBodyText"/>
            </w:pPr>
            <w:r>
              <w:t>AppMinimize</w:t>
            </w:r>
          </w:p>
        </w:tc>
      </w:tr>
      <w:tr w:rsidR="00024C0A" w:rsidTr="00024C0A">
        <w:tc>
          <w:tcPr>
            <w:tcW w:w="0" w:type="auto"/>
            <w:vAlign w:val="center"/>
          </w:tcPr>
          <w:p w:rsidR="00024C0A" w:rsidRDefault="00694C0F">
            <w:pPr>
              <w:pStyle w:val="TableBodyText"/>
            </w:pPr>
            <w:r>
              <w:t>AppMove</w:t>
            </w:r>
          </w:p>
        </w:tc>
      </w:tr>
      <w:tr w:rsidR="00024C0A" w:rsidTr="00024C0A">
        <w:tc>
          <w:tcPr>
            <w:tcW w:w="0" w:type="auto"/>
            <w:vAlign w:val="center"/>
          </w:tcPr>
          <w:p w:rsidR="00024C0A" w:rsidRDefault="00694C0F">
            <w:pPr>
              <w:pStyle w:val="TableBodyText"/>
            </w:pPr>
            <w:r>
              <w:t>AppRestore</w:t>
            </w:r>
          </w:p>
        </w:tc>
      </w:tr>
      <w:tr w:rsidR="00024C0A" w:rsidTr="00024C0A">
        <w:tc>
          <w:tcPr>
            <w:tcW w:w="0" w:type="auto"/>
            <w:vAlign w:val="center"/>
          </w:tcPr>
          <w:p w:rsidR="00024C0A" w:rsidRDefault="00694C0F">
            <w:pPr>
              <w:pStyle w:val="TableBodyText"/>
            </w:pPr>
            <w:r>
              <w:t>AppSendMessage</w:t>
            </w:r>
          </w:p>
        </w:tc>
      </w:tr>
      <w:tr w:rsidR="00024C0A" w:rsidTr="00024C0A">
        <w:tc>
          <w:tcPr>
            <w:tcW w:w="0" w:type="auto"/>
            <w:vAlign w:val="center"/>
          </w:tcPr>
          <w:p w:rsidR="00024C0A" w:rsidRDefault="00694C0F">
            <w:pPr>
              <w:pStyle w:val="TableBodyText"/>
            </w:pPr>
            <w:r>
              <w:t>AppShow</w:t>
            </w:r>
          </w:p>
        </w:tc>
      </w:tr>
      <w:tr w:rsidR="00024C0A" w:rsidTr="00024C0A">
        <w:tc>
          <w:tcPr>
            <w:tcW w:w="0" w:type="auto"/>
            <w:vAlign w:val="center"/>
          </w:tcPr>
          <w:p w:rsidR="00024C0A" w:rsidRDefault="00694C0F">
            <w:pPr>
              <w:pStyle w:val="TableBodyText"/>
            </w:pPr>
            <w:r>
              <w:t>AppSize</w:t>
            </w:r>
          </w:p>
        </w:tc>
      </w:tr>
      <w:tr w:rsidR="00024C0A" w:rsidTr="00024C0A">
        <w:tc>
          <w:tcPr>
            <w:tcW w:w="0" w:type="auto"/>
            <w:vAlign w:val="center"/>
          </w:tcPr>
          <w:p w:rsidR="00024C0A" w:rsidRDefault="00694C0F">
            <w:pPr>
              <w:pStyle w:val="TableBodyText"/>
            </w:pPr>
            <w:r>
              <w:t>AppWindowHeight</w:t>
            </w:r>
          </w:p>
        </w:tc>
      </w:tr>
      <w:tr w:rsidR="00024C0A" w:rsidTr="00024C0A">
        <w:tc>
          <w:tcPr>
            <w:tcW w:w="0" w:type="auto"/>
            <w:vAlign w:val="center"/>
          </w:tcPr>
          <w:p w:rsidR="00024C0A" w:rsidRDefault="00694C0F">
            <w:pPr>
              <w:pStyle w:val="TableBodyText"/>
            </w:pPr>
            <w:r>
              <w:t>AppWindowPosLeft</w:t>
            </w:r>
          </w:p>
        </w:tc>
      </w:tr>
      <w:tr w:rsidR="00024C0A" w:rsidTr="00024C0A">
        <w:tc>
          <w:tcPr>
            <w:tcW w:w="0" w:type="auto"/>
            <w:vAlign w:val="center"/>
          </w:tcPr>
          <w:p w:rsidR="00024C0A" w:rsidRDefault="00694C0F">
            <w:pPr>
              <w:pStyle w:val="TableBodyText"/>
            </w:pPr>
            <w:r>
              <w:t>AppWindowPosTop</w:t>
            </w:r>
          </w:p>
        </w:tc>
      </w:tr>
      <w:tr w:rsidR="00024C0A" w:rsidTr="00024C0A">
        <w:tc>
          <w:tcPr>
            <w:tcW w:w="0" w:type="auto"/>
            <w:vAlign w:val="center"/>
          </w:tcPr>
          <w:p w:rsidR="00024C0A" w:rsidRDefault="00694C0F">
            <w:pPr>
              <w:pStyle w:val="TableBodyText"/>
            </w:pPr>
            <w:r>
              <w:t>AppWindowWidth</w:t>
            </w:r>
          </w:p>
        </w:tc>
      </w:tr>
      <w:tr w:rsidR="00024C0A" w:rsidTr="00024C0A">
        <w:tc>
          <w:tcPr>
            <w:tcW w:w="0" w:type="auto"/>
            <w:vAlign w:val="center"/>
          </w:tcPr>
          <w:p w:rsidR="00024C0A" w:rsidRDefault="00694C0F">
            <w:pPr>
              <w:pStyle w:val="TableBodyText"/>
            </w:pPr>
            <w:r>
              <w:t>Asc</w:t>
            </w:r>
          </w:p>
        </w:tc>
      </w:tr>
      <w:tr w:rsidR="00024C0A" w:rsidTr="00024C0A">
        <w:tc>
          <w:tcPr>
            <w:tcW w:w="0" w:type="auto"/>
            <w:vAlign w:val="center"/>
          </w:tcPr>
          <w:p w:rsidR="00024C0A" w:rsidRDefault="00694C0F">
            <w:pPr>
              <w:pStyle w:val="TableBodyText"/>
            </w:pPr>
            <w:r>
              <w:t>AssertOutput</w:t>
            </w:r>
          </w:p>
        </w:tc>
      </w:tr>
      <w:tr w:rsidR="00024C0A" w:rsidTr="00024C0A">
        <w:tc>
          <w:tcPr>
            <w:tcW w:w="0" w:type="auto"/>
            <w:vAlign w:val="center"/>
          </w:tcPr>
          <w:p w:rsidR="00024C0A" w:rsidRDefault="00694C0F">
            <w:pPr>
              <w:pStyle w:val="TableBodyText"/>
            </w:pPr>
            <w:r>
              <w:t>AtEndOfDocument</w:t>
            </w:r>
          </w:p>
        </w:tc>
      </w:tr>
      <w:tr w:rsidR="00024C0A" w:rsidTr="00024C0A">
        <w:tc>
          <w:tcPr>
            <w:tcW w:w="0" w:type="auto"/>
            <w:vAlign w:val="center"/>
          </w:tcPr>
          <w:p w:rsidR="00024C0A" w:rsidRDefault="00694C0F">
            <w:pPr>
              <w:pStyle w:val="TableBodyText"/>
            </w:pPr>
            <w:r>
              <w:t>AtStartOfDocument</w:t>
            </w:r>
          </w:p>
        </w:tc>
      </w:tr>
      <w:tr w:rsidR="00024C0A" w:rsidTr="00024C0A">
        <w:tc>
          <w:tcPr>
            <w:tcW w:w="0" w:type="auto"/>
            <w:vAlign w:val="center"/>
          </w:tcPr>
          <w:p w:rsidR="00024C0A" w:rsidRDefault="00694C0F">
            <w:pPr>
              <w:pStyle w:val="TableBodyText"/>
            </w:pPr>
            <w:r>
              <w:t>AutoMarkIndexEntries</w:t>
            </w:r>
          </w:p>
        </w:tc>
      </w:tr>
      <w:tr w:rsidR="00024C0A" w:rsidTr="00024C0A">
        <w:tc>
          <w:tcPr>
            <w:tcW w:w="0" w:type="auto"/>
            <w:vAlign w:val="center"/>
          </w:tcPr>
          <w:p w:rsidR="00024C0A" w:rsidRDefault="00694C0F">
            <w:pPr>
              <w:pStyle w:val="TableBodyText"/>
            </w:pPr>
            <w:r>
              <w:t>BatchMode</w:t>
            </w:r>
          </w:p>
        </w:tc>
      </w:tr>
      <w:tr w:rsidR="00024C0A" w:rsidTr="00024C0A">
        <w:tc>
          <w:tcPr>
            <w:tcW w:w="0" w:type="auto"/>
            <w:vAlign w:val="center"/>
          </w:tcPr>
          <w:p w:rsidR="00024C0A" w:rsidRDefault="00694C0F">
            <w:pPr>
              <w:pStyle w:val="TableBodyText"/>
            </w:pPr>
            <w:r>
              <w:t>Beep</w:t>
            </w:r>
          </w:p>
        </w:tc>
      </w:tr>
      <w:tr w:rsidR="00024C0A" w:rsidTr="00024C0A">
        <w:tc>
          <w:tcPr>
            <w:tcW w:w="0" w:type="auto"/>
            <w:vAlign w:val="center"/>
          </w:tcPr>
          <w:p w:rsidR="00024C0A" w:rsidRDefault="00694C0F">
            <w:pPr>
              <w:pStyle w:val="TableBodyText"/>
            </w:pPr>
            <w:r>
              <w:lastRenderedPageBreak/>
              <w:t>Bold</w:t>
            </w:r>
          </w:p>
        </w:tc>
      </w:tr>
      <w:tr w:rsidR="00024C0A" w:rsidTr="00024C0A">
        <w:tc>
          <w:tcPr>
            <w:tcW w:w="0" w:type="auto"/>
            <w:vAlign w:val="center"/>
          </w:tcPr>
          <w:p w:rsidR="00024C0A" w:rsidRDefault="00694C0F">
            <w:pPr>
              <w:pStyle w:val="TableBodyText"/>
            </w:pPr>
            <w:r>
              <w:t>BoldRun</w:t>
            </w:r>
          </w:p>
        </w:tc>
      </w:tr>
      <w:tr w:rsidR="00024C0A" w:rsidTr="00024C0A">
        <w:tc>
          <w:tcPr>
            <w:tcW w:w="0" w:type="auto"/>
            <w:vAlign w:val="center"/>
          </w:tcPr>
          <w:p w:rsidR="00024C0A" w:rsidRDefault="00694C0F">
            <w:pPr>
              <w:pStyle w:val="TableBodyText"/>
            </w:pPr>
            <w:r>
              <w:t>BorderAll</w:t>
            </w:r>
          </w:p>
        </w:tc>
      </w:tr>
      <w:tr w:rsidR="00024C0A" w:rsidTr="00024C0A">
        <w:tc>
          <w:tcPr>
            <w:tcW w:w="0" w:type="auto"/>
            <w:vAlign w:val="center"/>
          </w:tcPr>
          <w:p w:rsidR="00024C0A" w:rsidRDefault="00694C0F">
            <w:pPr>
              <w:pStyle w:val="TableBodyText"/>
            </w:pPr>
            <w:r>
              <w:t>BorderBottom</w:t>
            </w:r>
          </w:p>
        </w:tc>
      </w:tr>
      <w:tr w:rsidR="00024C0A" w:rsidTr="00024C0A">
        <w:tc>
          <w:tcPr>
            <w:tcW w:w="0" w:type="auto"/>
            <w:vAlign w:val="center"/>
          </w:tcPr>
          <w:p w:rsidR="00024C0A" w:rsidRDefault="00694C0F">
            <w:pPr>
              <w:pStyle w:val="TableBodyText"/>
            </w:pPr>
            <w:r>
              <w:t>BorderInside</w:t>
            </w:r>
          </w:p>
        </w:tc>
      </w:tr>
      <w:tr w:rsidR="00024C0A" w:rsidTr="00024C0A">
        <w:tc>
          <w:tcPr>
            <w:tcW w:w="0" w:type="auto"/>
            <w:vAlign w:val="center"/>
          </w:tcPr>
          <w:p w:rsidR="00024C0A" w:rsidRDefault="00694C0F">
            <w:pPr>
              <w:pStyle w:val="TableBodyText"/>
            </w:pPr>
            <w:r>
              <w:t>BorderLeft</w:t>
            </w:r>
          </w:p>
        </w:tc>
      </w:tr>
      <w:tr w:rsidR="00024C0A" w:rsidTr="00024C0A">
        <w:tc>
          <w:tcPr>
            <w:tcW w:w="0" w:type="auto"/>
            <w:vAlign w:val="center"/>
          </w:tcPr>
          <w:p w:rsidR="00024C0A" w:rsidRDefault="00694C0F">
            <w:pPr>
              <w:pStyle w:val="TableBodyText"/>
            </w:pPr>
            <w:r>
              <w:t>BorderLineStyle</w:t>
            </w:r>
          </w:p>
        </w:tc>
      </w:tr>
      <w:tr w:rsidR="00024C0A" w:rsidTr="00024C0A">
        <w:tc>
          <w:tcPr>
            <w:tcW w:w="0" w:type="auto"/>
            <w:vAlign w:val="center"/>
          </w:tcPr>
          <w:p w:rsidR="00024C0A" w:rsidRDefault="00694C0F">
            <w:pPr>
              <w:pStyle w:val="TableBodyText"/>
            </w:pPr>
            <w:r>
              <w:t>BorderLineWeight</w:t>
            </w:r>
          </w:p>
        </w:tc>
      </w:tr>
      <w:tr w:rsidR="00024C0A" w:rsidTr="00024C0A">
        <w:tc>
          <w:tcPr>
            <w:tcW w:w="0" w:type="auto"/>
            <w:vAlign w:val="center"/>
          </w:tcPr>
          <w:p w:rsidR="00024C0A" w:rsidRDefault="00694C0F">
            <w:pPr>
              <w:pStyle w:val="TableBodyText"/>
            </w:pPr>
            <w:r>
              <w:t>BorderNone</w:t>
            </w:r>
          </w:p>
        </w:tc>
      </w:tr>
      <w:tr w:rsidR="00024C0A" w:rsidTr="00024C0A">
        <w:tc>
          <w:tcPr>
            <w:tcW w:w="0" w:type="auto"/>
            <w:vAlign w:val="center"/>
          </w:tcPr>
          <w:p w:rsidR="00024C0A" w:rsidRDefault="00694C0F">
            <w:pPr>
              <w:pStyle w:val="TableBodyText"/>
            </w:pPr>
            <w:r>
              <w:t>BorderOutside</w:t>
            </w:r>
          </w:p>
        </w:tc>
      </w:tr>
      <w:tr w:rsidR="00024C0A" w:rsidTr="00024C0A">
        <w:tc>
          <w:tcPr>
            <w:tcW w:w="0" w:type="auto"/>
            <w:vAlign w:val="center"/>
          </w:tcPr>
          <w:p w:rsidR="00024C0A" w:rsidRDefault="00694C0F">
            <w:pPr>
              <w:pStyle w:val="TableBodyText"/>
            </w:pPr>
            <w:r>
              <w:t>BorderRight</w:t>
            </w:r>
          </w:p>
        </w:tc>
      </w:tr>
      <w:tr w:rsidR="00024C0A" w:rsidTr="00024C0A">
        <w:tc>
          <w:tcPr>
            <w:tcW w:w="0" w:type="auto"/>
            <w:vAlign w:val="center"/>
          </w:tcPr>
          <w:p w:rsidR="00024C0A" w:rsidRDefault="00694C0F">
            <w:pPr>
              <w:pStyle w:val="TableBodyText"/>
            </w:pPr>
            <w:r>
              <w:t>BorderTLtoBR</w:t>
            </w:r>
          </w:p>
        </w:tc>
      </w:tr>
      <w:tr w:rsidR="00024C0A" w:rsidTr="00024C0A">
        <w:tc>
          <w:tcPr>
            <w:tcW w:w="0" w:type="auto"/>
            <w:vAlign w:val="center"/>
          </w:tcPr>
          <w:p w:rsidR="00024C0A" w:rsidRDefault="00694C0F">
            <w:pPr>
              <w:pStyle w:val="TableBodyText"/>
            </w:pPr>
            <w:r>
              <w:t>BorderTRtoBL</w:t>
            </w:r>
          </w:p>
        </w:tc>
      </w:tr>
      <w:tr w:rsidR="00024C0A" w:rsidTr="00024C0A">
        <w:tc>
          <w:tcPr>
            <w:tcW w:w="0" w:type="auto"/>
            <w:vAlign w:val="center"/>
          </w:tcPr>
          <w:p w:rsidR="00024C0A" w:rsidRDefault="00694C0F">
            <w:pPr>
              <w:pStyle w:val="TableBodyText"/>
            </w:pPr>
            <w:r>
              <w:t>BorderTop</w:t>
            </w:r>
          </w:p>
        </w:tc>
      </w:tr>
      <w:tr w:rsidR="00024C0A" w:rsidTr="00024C0A">
        <w:tc>
          <w:tcPr>
            <w:tcW w:w="0" w:type="auto"/>
            <w:vAlign w:val="center"/>
          </w:tcPr>
          <w:p w:rsidR="00024C0A" w:rsidRDefault="00694C0F">
            <w:pPr>
              <w:pStyle w:val="TableBodyText"/>
            </w:pPr>
            <w:r>
              <w:t>BytePos</w:t>
            </w:r>
          </w:p>
        </w:tc>
      </w:tr>
      <w:tr w:rsidR="00024C0A" w:rsidTr="00024C0A">
        <w:tc>
          <w:tcPr>
            <w:tcW w:w="0" w:type="auto"/>
            <w:vAlign w:val="center"/>
          </w:tcPr>
          <w:p w:rsidR="00024C0A" w:rsidRDefault="00694C0F">
            <w:pPr>
              <w:pStyle w:val="TableBodyText"/>
            </w:pPr>
            <w:r>
              <w:t>CInsertDateField</w:t>
            </w:r>
          </w:p>
        </w:tc>
      </w:tr>
      <w:tr w:rsidR="00024C0A" w:rsidTr="00024C0A">
        <w:tc>
          <w:tcPr>
            <w:tcW w:w="0" w:type="auto"/>
            <w:vAlign w:val="center"/>
          </w:tcPr>
          <w:p w:rsidR="00024C0A" w:rsidRDefault="00694C0F">
            <w:pPr>
              <w:pStyle w:val="TableBodyText"/>
            </w:pPr>
            <w:r>
              <w:t>CInsertTimeField</w:t>
            </w:r>
          </w:p>
        </w:tc>
      </w:tr>
      <w:tr w:rsidR="00024C0A" w:rsidTr="00024C0A">
        <w:tc>
          <w:tcPr>
            <w:tcW w:w="0" w:type="auto"/>
            <w:vAlign w:val="center"/>
          </w:tcPr>
          <w:p w:rsidR="00024C0A" w:rsidRDefault="00694C0F">
            <w:pPr>
              <w:pStyle w:val="TableBodyText"/>
            </w:pPr>
            <w:r>
              <w:t>CancelButton</w:t>
            </w:r>
          </w:p>
        </w:tc>
      </w:tr>
      <w:tr w:rsidR="00024C0A" w:rsidTr="00024C0A">
        <w:tc>
          <w:tcPr>
            <w:tcW w:w="0" w:type="auto"/>
            <w:vAlign w:val="center"/>
          </w:tcPr>
          <w:p w:rsidR="00024C0A" w:rsidRDefault="00694C0F">
            <w:pPr>
              <w:pStyle w:val="TableBodyText"/>
            </w:pPr>
            <w:r>
              <w:t>CenterPara</w:t>
            </w:r>
          </w:p>
        </w:tc>
      </w:tr>
      <w:tr w:rsidR="00024C0A" w:rsidTr="00024C0A">
        <w:tc>
          <w:tcPr>
            <w:tcW w:w="0" w:type="auto"/>
            <w:vAlign w:val="center"/>
          </w:tcPr>
          <w:p w:rsidR="00024C0A" w:rsidRDefault="00694C0F">
            <w:pPr>
              <w:pStyle w:val="TableBodyText"/>
            </w:pPr>
            <w:r>
              <w:t>ChDefaultDir</w:t>
            </w:r>
          </w:p>
        </w:tc>
      </w:tr>
      <w:tr w:rsidR="00024C0A" w:rsidTr="00024C0A">
        <w:tc>
          <w:tcPr>
            <w:tcW w:w="0" w:type="auto"/>
            <w:vAlign w:val="center"/>
          </w:tcPr>
          <w:p w:rsidR="00024C0A" w:rsidRDefault="00694C0F">
            <w:pPr>
              <w:pStyle w:val="TableBodyText"/>
            </w:pPr>
            <w:r>
              <w:t>ChDir</w:t>
            </w:r>
          </w:p>
        </w:tc>
      </w:tr>
      <w:tr w:rsidR="00024C0A" w:rsidTr="00024C0A">
        <w:tc>
          <w:tcPr>
            <w:tcW w:w="0" w:type="auto"/>
            <w:vAlign w:val="center"/>
          </w:tcPr>
          <w:p w:rsidR="00024C0A" w:rsidRDefault="00694C0F">
            <w:pPr>
              <w:pStyle w:val="TableBodyText"/>
            </w:pPr>
            <w:r>
              <w:t>ChangeByte</w:t>
            </w:r>
          </w:p>
        </w:tc>
      </w:tr>
      <w:tr w:rsidR="00024C0A" w:rsidTr="00024C0A">
        <w:tc>
          <w:tcPr>
            <w:tcW w:w="0" w:type="auto"/>
            <w:vAlign w:val="center"/>
          </w:tcPr>
          <w:p w:rsidR="00024C0A" w:rsidRDefault="00694C0F">
            <w:pPr>
              <w:pStyle w:val="TableBodyText"/>
            </w:pPr>
            <w:r>
              <w:t>ChangeCase</w:t>
            </w:r>
          </w:p>
        </w:tc>
      </w:tr>
      <w:tr w:rsidR="00024C0A" w:rsidTr="00024C0A">
        <w:tc>
          <w:tcPr>
            <w:tcW w:w="0" w:type="auto"/>
            <w:vAlign w:val="center"/>
          </w:tcPr>
          <w:p w:rsidR="00024C0A" w:rsidRDefault="00694C0F">
            <w:pPr>
              <w:pStyle w:val="TableBodyText"/>
            </w:pPr>
            <w:r>
              <w:t>ChangeKana</w:t>
            </w:r>
          </w:p>
        </w:tc>
      </w:tr>
      <w:tr w:rsidR="00024C0A" w:rsidTr="00024C0A">
        <w:tc>
          <w:tcPr>
            <w:tcW w:w="0" w:type="auto"/>
            <w:vAlign w:val="center"/>
          </w:tcPr>
          <w:p w:rsidR="00024C0A" w:rsidRDefault="00694C0F">
            <w:pPr>
              <w:pStyle w:val="TableBodyText"/>
            </w:pPr>
            <w:r>
              <w:t>CharColor</w:t>
            </w:r>
          </w:p>
        </w:tc>
      </w:tr>
      <w:tr w:rsidR="00024C0A" w:rsidTr="00024C0A">
        <w:tc>
          <w:tcPr>
            <w:tcW w:w="0" w:type="auto"/>
            <w:vAlign w:val="center"/>
          </w:tcPr>
          <w:p w:rsidR="00024C0A" w:rsidRDefault="00694C0F">
            <w:pPr>
              <w:pStyle w:val="TableBodyText"/>
            </w:pPr>
            <w:r>
              <w:t>CharColorRGB</w:t>
            </w:r>
          </w:p>
        </w:tc>
      </w:tr>
      <w:tr w:rsidR="00024C0A" w:rsidTr="00024C0A">
        <w:tc>
          <w:tcPr>
            <w:tcW w:w="0" w:type="auto"/>
            <w:vAlign w:val="center"/>
          </w:tcPr>
          <w:p w:rsidR="00024C0A" w:rsidRDefault="00694C0F">
            <w:pPr>
              <w:pStyle w:val="TableBodyText"/>
            </w:pPr>
            <w:r>
              <w:t>CharLeft</w:t>
            </w:r>
          </w:p>
        </w:tc>
      </w:tr>
      <w:tr w:rsidR="00024C0A" w:rsidTr="00024C0A">
        <w:tc>
          <w:tcPr>
            <w:tcW w:w="0" w:type="auto"/>
            <w:vAlign w:val="center"/>
          </w:tcPr>
          <w:p w:rsidR="00024C0A" w:rsidRDefault="00694C0F">
            <w:pPr>
              <w:pStyle w:val="TableBodyText"/>
            </w:pPr>
            <w:r>
              <w:t>CharRight</w:t>
            </w:r>
          </w:p>
        </w:tc>
      </w:tr>
      <w:tr w:rsidR="00024C0A" w:rsidTr="00024C0A">
        <w:tc>
          <w:tcPr>
            <w:tcW w:w="0" w:type="auto"/>
            <w:vAlign w:val="center"/>
          </w:tcPr>
          <w:p w:rsidR="00024C0A" w:rsidRDefault="00694C0F">
            <w:pPr>
              <w:pStyle w:val="TableBodyText"/>
            </w:pPr>
            <w:r>
              <w:t>CharScale</w:t>
            </w:r>
          </w:p>
        </w:tc>
      </w:tr>
      <w:tr w:rsidR="00024C0A" w:rsidTr="00024C0A">
        <w:tc>
          <w:tcPr>
            <w:tcW w:w="0" w:type="auto"/>
            <w:vAlign w:val="center"/>
          </w:tcPr>
          <w:p w:rsidR="00024C0A" w:rsidRDefault="00694C0F">
            <w:pPr>
              <w:pStyle w:val="TableBodyText"/>
            </w:pPr>
            <w:r>
              <w:t>CheckBox</w:t>
            </w:r>
          </w:p>
        </w:tc>
      </w:tr>
      <w:tr w:rsidR="00024C0A" w:rsidTr="00024C0A">
        <w:tc>
          <w:tcPr>
            <w:tcW w:w="0" w:type="auto"/>
            <w:vAlign w:val="center"/>
          </w:tcPr>
          <w:p w:rsidR="00024C0A" w:rsidRDefault="00694C0F">
            <w:pPr>
              <w:pStyle w:val="TableBodyText"/>
            </w:pPr>
            <w:r>
              <w:t>ClearAddIns</w:t>
            </w:r>
          </w:p>
        </w:tc>
      </w:tr>
      <w:tr w:rsidR="00024C0A" w:rsidTr="00024C0A">
        <w:tc>
          <w:tcPr>
            <w:tcW w:w="0" w:type="auto"/>
            <w:vAlign w:val="center"/>
          </w:tcPr>
          <w:p w:rsidR="00024C0A" w:rsidRDefault="00694C0F">
            <w:pPr>
              <w:pStyle w:val="TableBodyText"/>
            </w:pPr>
            <w:r>
              <w:t>CloseUpPara</w:t>
            </w:r>
          </w:p>
        </w:tc>
      </w:tr>
      <w:tr w:rsidR="00024C0A" w:rsidTr="00024C0A">
        <w:tc>
          <w:tcPr>
            <w:tcW w:w="0" w:type="auto"/>
            <w:vAlign w:val="center"/>
          </w:tcPr>
          <w:p w:rsidR="00024C0A" w:rsidRDefault="00694C0F">
            <w:pPr>
              <w:pStyle w:val="TableBodyText"/>
            </w:pPr>
            <w:r>
              <w:lastRenderedPageBreak/>
              <w:t>CmpBookmarks</w:t>
            </w:r>
          </w:p>
        </w:tc>
      </w:tr>
      <w:tr w:rsidR="00024C0A" w:rsidTr="00024C0A">
        <w:tc>
          <w:tcPr>
            <w:tcW w:w="0" w:type="auto"/>
            <w:vAlign w:val="center"/>
          </w:tcPr>
          <w:p w:rsidR="00024C0A" w:rsidRDefault="00694C0F">
            <w:pPr>
              <w:pStyle w:val="TableBodyText"/>
            </w:pPr>
            <w:r>
              <w:t>ColumnSelect</w:t>
            </w:r>
          </w:p>
        </w:tc>
      </w:tr>
      <w:tr w:rsidR="00024C0A" w:rsidTr="00024C0A">
        <w:tc>
          <w:tcPr>
            <w:tcW w:w="0" w:type="auto"/>
            <w:vAlign w:val="center"/>
          </w:tcPr>
          <w:p w:rsidR="00024C0A" w:rsidRDefault="00694C0F">
            <w:pPr>
              <w:pStyle w:val="TableBodyText"/>
            </w:pPr>
            <w:r>
              <w:t>ComboBox</w:t>
            </w:r>
          </w:p>
        </w:tc>
      </w:tr>
      <w:tr w:rsidR="00024C0A" w:rsidTr="00024C0A">
        <w:tc>
          <w:tcPr>
            <w:tcW w:w="0" w:type="auto"/>
            <w:vAlign w:val="center"/>
          </w:tcPr>
          <w:p w:rsidR="00024C0A" w:rsidRDefault="00694C0F">
            <w:pPr>
              <w:pStyle w:val="TableBodyText"/>
            </w:pPr>
            <w:r>
              <w:t>CommaAccent</w:t>
            </w:r>
          </w:p>
        </w:tc>
      </w:tr>
      <w:tr w:rsidR="00024C0A" w:rsidTr="00024C0A">
        <w:tc>
          <w:tcPr>
            <w:tcW w:w="0" w:type="auto"/>
            <w:vAlign w:val="center"/>
          </w:tcPr>
          <w:p w:rsidR="00024C0A" w:rsidRDefault="00694C0F">
            <w:pPr>
              <w:pStyle w:val="TableBodyText"/>
            </w:pPr>
            <w:r>
              <w:t>CommandValid</w:t>
            </w:r>
          </w:p>
        </w:tc>
      </w:tr>
      <w:tr w:rsidR="00024C0A" w:rsidTr="00024C0A">
        <w:tc>
          <w:tcPr>
            <w:tcW w:w="0" w:type="auto"/>
            <w:vAlign w:val="center"/>
          </w:tcPr>
          <w:p w:rsidR="00024C0A" w:rsidRDefault="00694C0F">
            <w:pPr>
              <w:pStyle w:val="TableBodyText"/>
            </w:pPr>
            <w:r>
              <w:t>ContextHelp</w:t>
            </w:r>
          </w:p>
        </w:tc>
      </w:tr>
      <w:tr w:rsidR="00024C0A" w:rsidTr="00024C0A">
        <w:tc>
          <w:tcPr>
            <w:tcW w:w="0" w:type="auto"/>
            <w:vAlign w:val="center"/>
          </w:tcPr>
          <w:p w:rsidR="00024C0A" w:rsidRDefault="00694C0F">
            <w:pPr>
              <w:pStyle w:val="TableBodyText"/>
            </w:pPr>
            <w:r>
              <w:t>ConverterLookup</w:t>
            </w:r>
          </w:p>
        </w:tc>
      </w:tr>
      <w:tr w:rsidR="00024C0A" w:rsidTr="00024C0A">
        <w:tc>
          <w:tcPr>
            <w:tcW w:w="0" w:type="auto"/>
            <w:vAlign w:val="center"/>
          </w:tcPr>
          <w:p w:rsidR="00024C0A" w:rsidRDefault="00694C0F">
            <w:pPr>
              <w:pStyle w:val="TableBodyText"/>
            </w:pPr>
            <w:r>
              <w:t>CopyBookmark</w:t>
            </w:r>
          </w:p>
        </w:tc>
      </w:tr>
      <w:tr w:rsidR="00024C0A" w:rsidTr="00024C0A">
        <w:tc>
          <w:tcPr>
            <w:tcW w:w="0" w:type="auto"/>
            <w:vAlign w:val="center"/>
          </w:tcPr>
          <w:p w:rsidR="00024C0A" w:rsidRDefault="00694C0F">
            <w:pPr>
              <w:pStyle w:val="TableBodyText"/>
            </w:pPr>
            <w:r>
              <w:t>CopyButtonImage</w:t>
            </w:r>
          </w:p>
        </w:tc>
      </w:tr>
      <w:tr w:rsidR="00024C0A" w:rsidTr="00024C0A">
        <w:tc>
          <w:tcPr>
            <w:tcW w:w="0" w:type="auto"/>
            <w:vAlign w:val="center"/>
          </w:tcPr>
          <w:p w:rsidR="00024C0A" w:rsidRDefault="00694C0F">
            <w:pPr>
              <w:pStyle w:val="TableBodyText"/>
            </w:pPr>
            <w:r>
              <w:t>CountAddIns</w:t>
            </w:r>
          </w:p>
        </w:tc>
      </w:tr>
      <w:tr w:rsidR="00024C0A" w:rsidTr="00024C0A">
        <w:tc>
          <w:tcPr>
            <w:tcW w:w="0" w:type="auto"/>
            <w:vAlign w:val="center"/>
          </w:tcPr>
          <w:p w:rsidR="00024C0A" w:rsidRDefault="00694C0F">
            <w:pPr>
              <w:pStyle w:val="TableBodyText"/>
            </w:pPr>
            <w:r>
              <w:t>CountAutoCorrectExceptions</w:t>
            </w:r>
          </w:p>
        </w:tc>
      </w:tr>
      <w:tr w:rsidR="00024C0A" w:rsidTr="00024C0A">
        <w:tc>
          <w:tcPr>
            <w:tcW w:w="0" w:type="auto"/>
            <w:vAlign w:val="center"/>
          </w:tcPr>
          <w:p w:rsidR="00024C0A" w:rsidRDefault="00694C0F">
            <w:pPr>
              <w:pStyle w:val="TableBodyText"/>
            </w:pPr>
            <w:r>
              <w:t>CountAutoTextEntries</w:t>
            </w:r>
          </w:p>
        </w:tc>
      </w:tr>
      <w:tr w:rsidR="00024C0A" w:rsidTr="00024C0A">
        <w:tc>
          <w:tcPr>
            <w:tcW w:w="0" w:type="auto"/>
            <w:vAlign w:val="center"/>
          </w:tcPr>
          <w:p w:rsidR="00024C0A" w:rsidRDefault="00694C0F">
            <w:pPr>
              <w:pStyle w:val="TableBodyText"/>
            </w:pPr>
            <w:r>
              <w:t>CountBookmarks</w:t>
            </w:r>
          </w:p>
        </w:tc>
      </w:tr>
      <w:tr w:rsidR="00024C0A" w:rsidTr="00024C0A">
        <w:tc>
          <w:tcPr>
            <w:tcW w:w="0" w:type="auto"/>
            <w:vAlign w:val="center"/>
          </w:tcPr>
          <w:p w:rsidR="00024C0A" w:rsidRDefault="00694C0F">
            <w:pPr>
              <w:pStyle w:val="TableBodyText"/>
            </w:pPr>
            <w:r>
              <w:t>CountDirectories</w:t>
            </w:r>
          </w:p>
        </w:tc>
      </w:tr>
      <w:tr w:rsidR="00024C0A" w:rsidTr="00024C0A">
        <w:tc>
          <w:tcPr>
            <w:tcW w:w="0" w:type="auto"/>
            <w:vAlign w:val="center"/>
          </w:tcPr>
          <w:p w:rsidR="00024C0A" w:rsidRDefault="00694C0F">
            <w:pPr>
              <w:pStyle w:val="TableBodyText"/>
            </w:pPr>
            <w:r>
              <w:t>CountDocumentProperties</w:t>
            </w:r>
          </w:p>
        </w:tc>
      </w:tr>
      <w:tr w:rsidR="00024C0A" w:rsidTr="00024C0A">
        <w:tc>
          <w:tcPr>
            <w:tcW w:w="0" w:type="auto"/>
            <w:vAlign w:val="center"/>
          </w:tcPr>
          <w:p w:rsidR="00024C0A" w:rsidRDefault="00694C0F">
            <w:pPr>
              <w:pStyle w:val="TableBodyText"/>
            </w:pPr>
            <w:r>
              <w:t>CountDocumentVars</w:t>
            </w:r>
          </w:p>
        </w:tc>
      </w:tr>
      <w:tr w:rsidR="00024C0A" w:rsidTr="00024C0A">
        <w:tc>
          <w:tcPr>
            <w:tcW w:w="0" w:type="auto"/>
            <w:vAlign w:val="center"/>
          </w:tcPr>
          <w:p w:rsidR="00024C0A" w:rsidRDefault="00694C0F">
            <w:pPr>
              <w:pStyle w:val="TableBodyText"/>
            </w:pPr>
            <w:r>
              <w:t>CountFiles</w:t>
            </w:r>
          </w:p>
        </w:tc>
      </w:tr>
      <w:tr w:rsidR="00024C0A" w:rsidTr="00024C0A">
        <w:tc>
          <w:tcPr>
            <w:tcW w:w="0" w:type="auto"/>
            <w:vAlign w:val="center"/>
          </w:tcPr>
          <w:p w:rsidR="00024C0A" w:rsidRDefault="00694C0F">
            <w:pPr>
              <w:pStyle w:val="TableBodyText"/>
            </w:pPr>
            <w:r>
              <w:t>CountFonts</w:t>
            </w:r>
          </w:p>
        </w:tc>
      </w:tr>
      <w:tr w:rsidR="00024C0A" w:rsidTr="00024C0A">
        <w:tc>
          <w:tcPr>
            <w:tcW w:w="0" w:type="auto"/>
            <w:vAlign w:val="center"/>
          </w:tcPr>
          <w:p w:rsidR="00024C0A" w:rsidRDefault="00694C0F">
            <w:pPr>
              <w:pStyle w:val="TableBodyText"/>
            </w:pPr>
            <w:r>
              <w:t>CountFoundFiles</w:t>
            </w:r>
          </w:p>
        </w:tc>
      </w:tr>
      <w:tr w:rsidR="00024C0A" w:rsidTr="00024C0A">
        <w:tc>
          <w:tcPr>
            <w:tcW w:w="0" w:type="auto"/>
            <w:vAlign w:val="center"/>
          </w:tcPr>
          <w:p w:rsidR="00024C0A" w:rsidRDefault="00694C0F">
            <w:pPr>
              <w:pStyle w:val="TableBodyText"/>
            </w:pPr>
            <w:r>
              <w:t>CountKeys</w:t>
            </w:r>
          </w:p>
        </w:tc>
      </w:tr>
      <w:tr w:rsidR="00024C0A" w:rsidTr="00024C0A">
        <w:tc>
          <w:tcPr>
            <w:tcW w:w="0" w:type="auto"/>
            <w:vAlign w:val="center"/>
          </w:tcPr>
          <w:p w:rsidR="00024C0A" w:rsidRDefault="00694C0F">
            <w:pPr>
              <w:pStyle w:val="TableBodyText"/>
            </w:pPr>
            <w:r>
              <w:t>CountLanguages</w:t>
            </w:r>
          </w:p>
        </w:tc>
      </w:tr>
      <w:tr w:rsidR="00024C0A" w:rsidTr="00024C0A">
        <w:tc>
          <w:tcPr>
            <w:tcW w:w="0" w:type="auto"/>
            <w:vAlign w:val="center"/>
          </w:tcPr>
          <w:p w:rsidR="00024C0A" w:rsidRDefault="00694C0F">
            <w:pPr>
              <w:pStyle w:val="TableBodyText"/>
            </w:pPr>
            <w:r>
              <w:t>CountMacros</w:t>
            </w:r>
          </w:p>
        </w:tc>
      </w:tr>
      <w:tr w:rsidR="00024C0A" w:rsidTr="00024C0A">
        <w:tc>
          <w:tcPr>
            <w:tcW w:w="0" w:type="auto"/>
            <w:vAlign w:val="center"/>
          </w:tcPr>
          <w:p w:rsidR="00024C0A" w:rsidRDefault="00694C0F">
            <w:pPr>
              <w:pStyle w:val="TableBodyText"/>
            </w:pPr>
            <w:r>
              <w:t>CountMenuItems</w:t>
            </w:r>
          </w:p>
        </w:tc>
      </w:tr>
      <w:tr w:rsidR="00024C0A" w:rsidTr="00024C0A">
        <w:tc>
          <w:tcPr>
            <w:tcW w:w="0" w:type="auto"/>
            <w:vAlign w:val="center"/>
          </w:tcPr>
          <w:p w:rsidR="00024C0A" w:rsidRDefault="00694C0F">
            <w:pPr>
              <w:pStyle w:val="TableBodyText"/>
            </w:pPr>
            <w:r>
              <w:t>CountMenus</w:t>
            </w:r>
          </w:p>
        </w:tc>
      </w:tr>
      <w:tr w:rsidR="00024C0A" w:rsidTr="00024C0A">
        <w:tc>
          <w:tcPr>
            <w:tcW w:w="0" w:type="auto"/>
            <w:vAlign w:val="center"/>
          </w:tcPr>
          <w:p w:rsidR="00024C0A" w:rsidRDefault="00694C0F">
            <w:pPr>
              <w:pStyle w:val="TableBodyText"/>
            </w:pPr>
            <w:r>
              <w:t>CountMergeFields</w:t>
            </w:r>
          </w:p>
        </w:tc>
      </w:tr>
      <w:tr w:rsidR="00024C0A" w:rsidTr="00024C0A">
        <w:tc>
          <w:tcPr>
            <w:tcW w:w="0" w:type="auto"/>
            <w:vAlign w:val="center"/>
          </w:tcPr>
          <w:p w:rsidR="00024C0A" w:rsidRDefault="00694C0F">
            <w:pPr>
              <w:pStyle w:val="TableBodyText"/>
            </w:pPr>
            <w:r>
              <w:t>CountSdAlloc</w:t>
            </w:r>
          </w:p>
        </w:tc>
      </w:tr>
      <w:tr w:rsidR="00024C0A" w:rsidTr="00024C0A">
        <w:tc>
          <w:tcPr>
            <w:tcW w:w="0" w:type="auto"/>
            <w:vAlign w:val="center"/>
          </w:tcPr>
          <w:p w:rsidR="00024C0A" w:rsidRDefault="00694C0F">
            <w:pPr>
              <w:pStyle w:val="TableBodyText"/>
            </w:pPr>
            <w:r>
              <w:t>CountStyles</w:t>
            </w:r>
          </w:p>
        </w:tc>
      </w:tr>
      <w:tr w:rsidR="00024C0A" w:rsidTr="00024C0A">
        <w:tc>
          <w:tcPr>
            <w:tcW w:w="0" w:type="auto"/>
            <w:vAlign w:val="center"/>
          </w:tcPr>
          <w:p w:rsidR="00024C0A" w:rsidRDefault="00694C0F">
            <w:pPr>
              <w:pStyle w:val="TableBodyText"/>
            </w:pPr>
            <w:r>
              <w:t>CountToolbarButtons</w:t>
            </w:r>
          </w:p>
        </w:tc>
      </w:tr>
      <w:tr w:rsidR="00024C0A" w:rsidTr="00024C0A">
        <w:tc>
          <w:tcPr>
            <w:tcW w:w="0" w:type="auto"/>
            <w:vAlign w:val="center"/>
          </w:tcPr>
          <w:p w:rsidR="00024C0A" w:rsidRDefault="00694C0F">
            <w:pPr>
              <w:pStyle w:val="TableBodyText"/>
            </w:pPr>
            <w:r>
              <w:t>CountToolbars</w:t>
            </w:r>
          </w:p>
        </w:tc>
      </w:tr>
      <w:tr w:rsidR="00024C0A" w:rsidTr="00024C0A">
        <w:tc>
          <w:tcPr>
            <w:tcW w:w="0" w:type="auto"/>
            <w:vAlign w:val="center"/>
          </w:tcPr>
          <w:p w:rsidR="00024C0A" w:rsidRDefault="00694C0F">
            <w:pPr>
              <w:pStyle w:val="TableBodyText"/>
            </w:pPr>
            <w:r>
              <w:t>CountToolsGrammarStatistics</w:t>
            </w:r>
          </w:p>
        </w:tc>
      </w:tr>
      <w:tr w:rsidR="00024C0A" w:rsidTr="00024C0A">
        <w:tc>
          <w:tcPr>
            <w:tcW w:w="0" w:type="auto"/>
            <w:vAlign w:val="center"/>
          </w:tcPr>
          <w:p w:rsidR="00024C0A" w:rsidRDefault="00694C0F">
            <w:pPr>
              <w:pStyle w:val="TableBodyText"/>
            </w:pPr>
            <w:r>
              <w:t>CountWindows</w:t>
            </w:r>
          </w:p>
        </w:tc>
      </w:tr>
      <w:tr w:rsidR="00024C0A" w:rsidTr="00024C0A">
        <w:tc>
          <w:tcPr>
            <w:tcW w:w="0" w:type="auto"/>
            <w:vAlign w:val="center"/>
          </w:tcPr>
          <w:p w:rsidR="00024C0A" w:rsidRDefault="00694C0F">
            <w:pPr>
              <w:pStyle w:val="TableBodyText"/>
            </w:pPr>
            <w:r>
              <w:t>CrashOnNextEmailDisplay</w:t>
            </w:r>
          </w:p>
        </w:tc>
      </w:tr>
      <w:tr w:rsidR="00024C0A" w:rsidTr="00024C0A">
        <w:tc>
          <w:tcPr>
            <w:tcW w:w="0" w:type="auto"/>
            <w:vAlign w:val="center"/>
          </w:tcPr>
          <w:p w:rsidR="00024C0A" w:rsidRDefault="00694C0F">
            <w:pPr>
              <w:pStyle w:val="TableBodyText"/>
            </w:pPr>
            <w:r>
              <w:lastRenderedPageBreak/>
              <w:t>CrashOnNextEmailLayout</w:t>
            </w:r>
          </w:p>
        </w:tc>
      </w:tr>
      <w:tr w:rsidR="00024C0A" w:rsidTr="00024C0A">
        <w:tc>
          <w:tcPr>
            <w:tcW w:w="0" w:type="auto"/>
            <w:vAlign w:val="center"/>
          </w:tcPr>
          <w:p w:rsidR="00024C0A" w:rsidRDefault="00694C0F">
            <w:pPr>
              <w:pStyle w:val="TableBodyText"/>
            </w:pPr>
            <w:r>
              <w:t>CrashOnNextEmailLoad</w:t>
            </w:r>
          </w:p>
        </w:tc>
      </w:tr>
      <w:tr w:rsidR="00024C0A" w:rsidTr="00024C0A">
        <w:tc>
          <w:tcPr>
            <w:tcW w:w="0" w:type="auto"/>
            <w:vAlign w:val="center"/>
          </w:tcPr>
          <w:p w:rsidR="00024C0A" w:rsidRDefault="00694C0F">
            <w:pPr>
              <w:pStyle w:val="TableBodyText"/>
            </w:pPr>
            <w:r>
              <w:t>DDEExecute</w:t>
            </w:r>
          </w:p>
        </w:tc>
      </w:tr>
      <w:tr w:rsidR="00024C0A" w:rsidTr="00024C0A">
        <w:tc>
          <w:tcPr>
            <w:tcW w:w="0" w:type="auto"/>
            <w:vAlign w:val="center"/>
          </w:tcPr>
          <w:p w:rsidR="00024C0A" w:rsidRDefault="00694C0F">
            <w:pPr>
              <w:pStyle w:val="TableBodyText"/>
            </w:pPr>
            <w:r>
              <w:t>DDEInitiate</w:t>
            </w:r>
          </w:p>
        </w:tc>
      </w:tr>
      <w:tr w:rsidR="00024C0A" w:rsidTr="00024C0A">
        <w:tc>
          <w:tcPr>
            <w:tcW w:w="0" w:type="auto"/>
            <w:vAlign w:val="center"/>
          </w:tcPr>
          <w:p w:rsidR="00024C0A" w:rsidRDefault="00694C0F">
            <w:pPr>
              <w:pStyle w:val="TableBodyText"/>
            </w:pPr>
            <w:r>
              <w:t>DDEPoke</w:t>
            </w:r>
          </w:p>
        </w:tc>
      </w:tr>
      <w:tr w:rsidR="00024C0A" w:rsidTr="00024C0A">
        <w:tc>
          <w:tcPr>
            <w:tcW w:w="0" w:type="auto"/>
            <w:vAlign w:val="center"/>
          </w:tcPr>
          <w:p w:rsidR="00024C0A" w:rsidRDefault="00694C0F">
            <w:pPr>
              <w:pStyle w:val="TableBodyText"/>
            </w:pPr>
            <w:r>
              <w:t>DDETerminate</w:t>
            </w:r>
          </w:p>
        </w:tc>
      </w:tr>
      <w:tr w:rsidR="00024C0A" w:rsidTr="00024C0A">
        <w:tc>
          <w:tcPr>
            <w:tcW w:w="0" w:type="auto"/>
            <w:vAlign w:val="center"/>
          </w:tcPr>
          <w:p w:rsidR="00024C0A" w:rsidRDefault="00694C0F">
            <w:pPr>
              <w:pStyle w:val="TableBodyText"/>
            </w:pPr>
            <w:r>
              <w:t>DDETerminateAll</w:t>
            </w:r>
          </w:p>
        </w:tc>
      </w:tr>
      <w:tr w:rsidR="00024C0A" w:rsidTr="00024C0A">
        <w:tc>
          <w:tcPr>
            <w:tcW w:w="0" w:type="auto"/>
            <w:vAlign w:val="center"/>
          </w:tcPr>
          <w:p w:rsidR="00024C0A" w:rsidRDefault="00694C0F">
            <w:pPr>
              <w:pStyle w:val="TableBodyText"/>
            </w:pPr>
            <w:r>
              <w:t>DateSerial</w:t>
            </w:r>
          </w:p>
        </w:tc>
      </w:tr>
      <w:tr w:rsidR="00024C0A" w:rsidTr="00024C0A">
        <w:tc>
          <w:tcPr>
            <w:tcW w:w="0" w:type="auto"/>
            <w:vAlign w:val="center"/>
          </w:tcPr>
          <w:p w:rsidR="00024C0A" w:rsidRDefault="00694C0F">
            <w:pPr>
              <w:pStyle w:val="TableBodyText"/>
            </w:pPr>
            <w:r>
              <w:t>DateValue</w:t>
            </w:r>
          </w:p>
        </w:tc>
      </w:tr>
      <w:tr w:rsidR="00024C0A" w:rsidTr="00024C0A">
        <w:tc>
          <w:tcPr>
            <w:tcW w:w="0" w:type="auto"/>
            <w:vAlign w:val="center"/>
          </w:tcPr>
          <w:p w:rsidR="00024C0A" w:rsidRDefault="00694C0F">
            <w:pPr>
              <w:pStyle w:val="TableBodyText"/>
            </w:pPr>
            <w:r>
              <w:t>Day</w:t>
            </w:r>
          </w:p>
        </w:tc>
      </w:tr>
      <w:tr w:rsidR="00024C0A" w:rsidTr="00024C0A">
        <w:tc>
          <w:tcPr>
            <w:tcW w:w="0" w:type="auto"/>
            <w:vAlign w:val="center"/>
          </w:tcPr>
          <w:p w:rsidR="00024C0A" w:rsidRDefault="00694C0F">
            <w:pPr>
              <w:pStyle w:val="TableBodyText"/>
            </w:pPr>
            <w:r>
              <w:t>Days360</w:t>
            </w:r>
          </w:p>
        </w:tc>
      </w:tr>
      <w:tr w:rsidR="00024C0A" w:rsidTr="00024C0A">
        <w:tc>
          <w:tcPr>
            <w:tcW w:w="0" w:type="auto"/>
            <w:vAlign w:val="center"/>
          </w:tcPr>
          <w:p w:rsidR="00024C0A" w:rsidRDefault="00694C0F">
            <w:pPr>
              <w:pStyle w:val="TableBodyText"/>
            </w:pPr>
            <w:r>
              <w:t>DeleteAddIn</w:t>
            </w:r>
          </w:p>
        </w:tc>
      </w:tr>
      <w:tr w:rsidR="00024C0A" w:rsidTr="00024C0A">
        <w:tc>
          <w:tcPr>
            <w:tcW w:w="0" w:type="auto"/>
            <w:vAlign w:val="center"/>
          </w:tcPr>
          <w:p w:rsidR="00024C0A" w:rsidRDefault="00694C0F">
            <w:pPr>
              <w:pStyle w:val="TableBodyText"/>
            </w:pPr>
            <w:r>
              <w:t>DeleteButton</w:t>
            </w:r>
          </w:p>
        </w:tc>
      </w:tr>
      <w:tr w:rsidR="00024C0A" w:rsidTr="00024C0A">
        <w:tc>
          <w:tcPr>
            <w:tcW w:w="0" w:type="auto"/>
            <w:vAlign w:val="center"/>
          </w:tcPr>
          <w:p w:rsidR="00024C0A" w:rsidRDefault="00694C0F">
            <w:pPr>
              <w:pStyle w:val="TableBodyText"/>
            </w:pPr>
            <w:r>
              <w:t>DeleteDocumentProperty</w:t>
            </w:r>
          </w:p>
        </w:tc>
      </w:tr>
      <w:tr w:rsidR="00024C0A" w:rsidTr="00024C0A">
        <w:tc>
          <w:tcPr>
            <w:tcW w:w="0" w:type="auto"/>
            <w:vAlign w:val="center"/>
          </w:tcPr>
          <w:p w:rsidR="00024C0A" w:rsidRDefault="00694C0F">
            <w:pPr>
              <w:pStyle w:val="TableBodyText"/>
            </w:pPr>
            <w:r>
              <w:t>DisableAutoMacros</w:t>
            </w:r>
          </w:p>
        </w:tc>
      </w:tr>
      <w:tr w:rsidR="00024C0A" w:rsidTr="00024C0A">
        <w:tc>
          <w:tcPr>
            <w:tcW w:w="0" w:type="auto"/>
            <w:vAlign w:val="center"/>
          </w:tcPr>
          <w:p w:rsidR="00024C0A" w:rsidRDefault="00694C0F">
            <w:pPr>
              <w:pStyle w:val="TableBodyText"/>
            </w:pPr>
            <w:r>
              <w:t>DisableInput</w:t>
            </w:r>
          </w:p>
        </w:tc>
      </w:tr>
      <w:tr w:rsidR="00024C0A" w:rsidTr="00024C0A">
        <w:tc>
          <w:tcPr>
            <w:tcW w:w="0" w:type="auto"/>
            <w:vAlign w:val="center"/>
          </w:tcPr>
          <w:p w:rsidR="00024C0A" w:rsidRDefault="00694C0F">
            <w:pPr>
              <w:pStyle w:val="TableBodyText"/>
            </w:pPr>
            <w:r>
              <w:t>DistributePara</w:t>
            </w:r>
          </w:p>
        </w:tc>
      </w:tr>
      <w:tr w:rsidR="00024C0A" w:rsidTr="00024C0A">
        <w:tc>
          <w:tcPr>
            <w:tcW w:w="0" w:type="auto"/>
            <w:vAlign w:val="center"/>
          </w:tcPr>
          <w:p w:rsidR="00024C0A" w:rsidRDefault="00694C0F">
            <w:pPr>
              <w:pStyle w:val="TableBodyText"/>
            </w:pPr>
            <w:r>
              <w:t>DistributeRow</w:t>
            </w:r>
          </w:p>
        </w:tc>
      </w:tr>
      <w:tr w:rsidR="00024C0A" w:rsidTr="00024C0A">
        <w:tc>
          <w:tcPr>
            <w:tcW w:w="0" w:type="auto"/>
            <w:vAlign w:val="center"/>
          </w:tcPr>
          <w:p w:rsidR="00024C0A" w:rsidRDefault="00694C0F">
            <w:pPr>
              <w:pStyle w:val="TableBodyText"/>
            </w:pPr>
            <w:r>
              <w:t>DlgControlId</w:t>
            </w:r>
          </w:p>
        </w:tc>
      </w:tr>
      <w:tr w:rsidR="00024C0A" w:rsidTr="00024C0A">
        <w:tc>
          <w:tcPr>
            <w:tcW w:w="0" w:type="auto"/>
            <w:vAlign w:val="center"/>
          </w:tcPr>
          <w:p w:rsidR="00024C0A" w:rsidRDefault="00694C0F">
            <w:pPr>
              <w:pStyle w:val="TableBodyText"/>
            </w:pPr>
            <w:r>
              <w:t>DlgEnable</w:t>
            </w:r>
          </w:p>
        </w:tc>
      </w:tr>
      <w:tr w:rsidR="00024C0A" w:rsidTr="00024C0A">
        <w:tc>
          <w:tcPr>
            <w:tcW w:w="0" w:type="auto"/>
            <w:vAlign w:val="center"/>
          </w:tcPr>
          <w:p w:rsidR="00024C0A" w:rsidRDefault="00694C0F">
            <w:pPr>
              <w:pStyle w:val="TableBodyText"/>
            </w:pPr>
            <w:r>
              <w:t>DlgFilePreview</w:t>
            </w:r>
          </w:p>
        </w:tc>
      </w:tr>
      <w:tr w:rsidR="00024C0A" w:rsidTr="00024C0A">
        <w:tc>
          <w:tcPr>
            <w:tcW w:w="0" w:type="auto"/>
            <w:vAlign w:val="center"/>
          </w:tcPr>
          <w:p w:rsidR="00024C0A" w:rsidRDefault="00694C0F">
            <w:pPr>
              <w:pStyle w:val="TableBodyText"/>
            </w:pPr>
            <w:r>
              <w:t>DlgFocus</w:t>
            </w:r>
          </w:p>
        </w:tc>
      </w:tr>
      <w:tr w:rsidR="00024C0A" w:rsidTr="00024C0A">
        <w:tc>
          <w:tcPr>
            <w:tcW w:w="0" w:type="auto"/>
            <w:vAlign w:val="center"/>
          </w:tcPr>
          <w:p w:rsidR="00024C0A" w:rsidRDefault="00694C0F">
            <w:pPr>
              <w:pStyle w:val="TableBodyText"/>
            </w:pPr>
            <w:r>
              <w:t>DlgListBoxArray</w:t>
            </w:r>
          </w:p>
        </w:tc>
      </w:tr>
      <w:tr w:rsidR="00024C0A" w:rsidTr="00024C0A">
        <w:tc>
          <w:tcPr>
            <w:tcW w:w="0" w:type="auto"/>
            <w:vAlign w:val="center"/>
          </w:tcPr>
          <w:p w:rsidR="00024C0A" w:rsidRDefault="00694C0F">
            <w:pPr>
              <w:pStyle w:val="TableBodyText"/>
            </w:pPr>
            <w:r>
              <w:t>DlgLoadValues</w:t>
            </w:r>
          </w:p>
        </w:tc>
      </w:tr>
      <w:tr w:rsidR="00024C0A" w:rsidTr="00024C0A">
        <w:tc>
          <w:tcPr>
            <w:tcW w:w="0" w:type="auto"/>
            <w:vAlign w:val="center"/>
          </w:tcPr>
          <w:p w:rsidR="00024C0A" w:rsidRDefault="00694C0F">
            <w:pPr>
              <w:pStyle w:val="TableBodyText"/>
            </w:pPr>
            <w:r>
              <w:t>DlgSetPicture</w:t>
            </w:r>
          </w:p>
        </w:tc>
      </w:tr>
      <w:tr w:rsidR="00024C0A" w:rsidTr="00024C0A">
        <w:tc>
          <w:tcPr>
            <w:tcW w:w="0" w:type="auto"/>
            <w:vAlign w:val="center"/>
          </w:tcPr>
          <w:p w:rsidR="00024C0A" w:rsidRDefault="00694C0F">
            <w:pPr>
              <w:pStyle w:val="TableBodyText"/>
            </w:pPr>
            <w:r>
              <w:t>DlgStoreValues</w:t>
            </w:r>
          </w:p>
        </w:tc>
      </w:tr>
      <w:tr w:rsidR="00024C0A" w:rsidTr="00024C0A">
        <w:tc>
          <w:tcPr>
            <w:tcW w:w="0" w:type="auto"/>
            <w:vAlign w:val="center"/>
          </w:tcPr>
          <w:p w:rsidR="00024C0A" w:rsidRDefault="00694C0F">
            <w:pPr>
              <w:pStyle w:val="TableBodyText"/>
            </w:pPr>
            <w:r>
              <w:t>DlgText</w:t>
            </w:r>
          </w:p>
        </w:tc>
      </w:tr>
      <w:tr w:rsidR="00024C0A" w:rsidTr="00024C0A">
        <w:tc>
          <w:tcPr>
            <w:tcW w:w="0" w:type="auto"/>
            <w:vAlign w:val="center"/>
          </w:tcPr>
          <w:p w:rsidR="00024C0A" w:rsidRDefault="00694C0F">
            <w:pPr>
              <w:pStyle w:val="TableBodyText"/>
            </w:pPr>
            <w:r>
              <w:t>DlgUpdateFilePreview</w:t>
            </w:r>
          </w:p>
        </w:tc>
      </w:tr>
      <w:tr w:rsidR="00024C0A" w:rsidTr="00024C0A">
        <w:tc>
          <w:tcPr>
            <w:tcW w:w="0" w:type="auto"/>
            <w:vAlign w:val="center"/>
          </w:tcPr>
          <w:p w:rsidR="00024C0A" w:rsidRDefault="00694C0F">
            <w:pPr>
              <w:pStyle w:val="TableBodyText"/>
            </w:pPr>
            <w:r>
              <w:t>DlgValue</w:t>
            </w:r>
          </w:p>
        </w:tc>
      </w:tr>
      <w:tr w:rsidR="00024C0A" w:rsidTr="00024C0A">
        <w:tc>
          <w:tcPr>
            <w:tcW w:w="0" w:type="auto"/>
            <w:vAlign w:val="center"/>
          </w:tcPr>
          <w:p w:rsidR="00024C0A" w:rsidRDefault="00694C0F">
            <w:pPr>
              <w:pStyle w:val="TableBodyText"/>
            </w:pPr>
            <w:r>
              <w:t>DlgVisible</w:t>
            </w:r>
          </w:p>
        </w:tc>
      </w:tr>
      <w:tr w:rsidR="00024C0A" w:rsidTr="00024C0A">
        <w:tc>
          <w:tcPr>
            <w:tcW w:w="0" w:type="auto"/>
            <w:vAlign w:val="center"/>
          </w:tcPr>
          <w:p w:rsidR="00024C0A" w:rsidRDefault="00694C0F">
            <w:pPr>
              <w:pStyle w:val="TableBodyText"/>
            </w:pPr>
            <w:r>
              <w:t>DocClose</w:t>
            </w:r>
          </w:p>
        </w:tc>
      </w:tr>
      <w:tr w:rsidR="00024C0A" w:rsidTr="00024C0A">
        <w:tc>
          <w:tcPr>
            <w:tcW w:w="0" w:type="auto"/>
            <w:vAlign w:val="center"/>
          </w:tcPr>
          <w:p w:rsidR="00024C0A" w:rsidRDefault="00694C0F">
            <w:pPr>
              <w:pStyle w:val="TableBodyText"/>
            </w:pPr>
            <w:r>
              <w:t>DocMaximize</w:t>
            </w:r>
          </w:p>
        </w:tc>
      </w:tr>
      <w:tr w:rsidR="00024C0A" w:rsidTr="00024C0A">
        <w:tc>
          <w:tcPr>
            <w:tcW w:w="0" w:type="auto"/>
            <w:vAlign w:val="center"/>
          </w:tcPr>
          <w:p w:rsidR="00024C0A" w:rsidRDefault="00694C0F">
            <w:pPr>
              <w:pStyle w:val="TableBodyText"/>
            </w:pPr>
            <w:r>
              <w:lastRenderedPageBreak/>
              <w:t>DocMinimize</w:t>
            </w:r>
          </w:p>
        </w:tc>
      </w:tr>
      <w:tr w:rsidR="00024C0A" w:rsidTr="00024C0A">
        <w:tc>
          <w:tcPr>
            <w:tcW w:w="0" w:type="auto"/>
            <w:vAlign w:val="center"/>
          </w:tcPr>
          <w:p w:rsidR="00024C0A" w:rsidRDefault="00694C0F">
            <w:pPr>
              <w:pStyle w:val="TableBodyText"/>
            </w:pPr>
            <w:r>
              <w:t>DocMove</w:t>
            </w:r>
          </w:p>
        </w:tc>
      </w:tr>
      <w:tr w:rsidR="00024C0A" w:rsidTr="00024C0A">
        <w:tc>
          <w:tcPr>
            <w:tcW w:w="0" w:type="auto"/>
            <w:vAlign w:val="center"/>
          </w:tcPr>
          <w:p w:rsidR="00024C0A" w:rsidRDefault="00694C0F">
            <w:pPr>
              <w:pStyle w:val="TableBodyText"/>
            </w:pPr>
            <w:r>
              <w:t>DocSize</w:t>
            </w:r>
          </w:p>
        </w:tc>
      </w:tr>
      <w:tr w:rsidR="00024C0A" w:rsidTr="00024C0A">
        <w:tc>
          <w:tcPr>
            <w:tcW w:w="0" w:type="auto"/>
            <w:vAlign w:val="center"/>
          </w:tcPr>
          <w:p w:rsidR="00024C0A" w:rsidRDefault="00694C0F">
            <w:pPr>
              <w:pStyle w:val="TableBodyText"/>
            </w:pPr>
            <w:r>
              <w:t>DocSplit</w:t>
            </w:r>
          </w:p>
        </w:tc>
      </w:tr>
      <w:tr w:rsidR="00024C0A" w:rsidTr="00024C0A">
        <w:tc>
          <w:tcPr>
            <w:tcW w:w="0" w:type="auto"/>
            <w:vAlign w:val="center"/>
          </w:tcPr>
          <w:p w:rsidR="00024C0A" w:rsidRDefault="00694C0F">
            <w:pPr>
              <w:pStyle w:val="TableBodyText"/>
            </w:pPr>
            <w:r>
              <w:t>DocWindowHeight</w:t>
            </w:r>
          </w:p>
        </w:tc>
      </w:tr>
      <w:tr w:rsidR="00024C0A" w:rsidTr="00024C0A">
        <w:tc>
          <w:tcPr>
            <w:tcW w:w="0" w:type="auto"/>
            <w:vAlign w:val="center"/>
          </w:tcPr>
          <w:p w:rsidR="00024C0A" w:rsidRDefault="00694C0F">
            <w:pPr>
              <w:pStyle w:val="TableBodyText"/>
            </w:pPr>
            <w:r>
              <w:t>DocWindowPosLeft</w:t>
            </w:r>
          </w:p>
        </w:tc>
      </w:tr>
      <w:tr w:rsidR="00024C0A" w:rsidTr="00024C0A">
        <w:tc>
          <w:tcPr>
            <w:tcW w:w="0" w:type="auto"/>
            <w:vAlign w:val="center"/>
          </w:tcPr>
          <w:p w:rsidR="00024C0A" w:rsidRDefault="00694C0F">
            <w:pPr>
              <w:pStyle w:val="TableBodyText"/>
            </w:pPr>
            <w:r>
              <w:t>DocWindowPosTop</w:t>
            </w:r>
          </w:p>
        </w:tc>
      </w:tr>
      <w:tr w:rsidR="00024C0A" w:rsidTr="00024C0A">
        <w:tc>
          <w:tcPr>
            <w:tcW w:w="0" w:type="auto"/>
            <w:vAlign w:val="center"/>
          </w:tcPr>
          <w:p w:rsidR="00024C0A" w:rsidRDefault="00694C0F">
            <w:pPr>
              <w:pStyle w:val="TableBodyText"/>
            </w:pPr>
            <w:r>
              <w:t>DocWindowWidth</w:t>
            </w:r>
          </w:p>
        </w:tc>
      </w:tr>
      <w:tr w:rsidR="00024C0A" w:rsidTr="00024C0A">
        <w:tc>
          <w:tcPr>
            <w:tcW w:w="0" w:type="auto"/>
            <w:vAlign w:val="center"/>
          </w:tcPr>
          <w:p w:rsidR="00024C0A" w:rsidRDefault="00694C0F">
            <w:pPr>
              <w:pStyle w:val="TableBodyText"/>
            </w:pPr>
            <w:r>
              <w:t>DocumentHasMisspellings</w:t>
            </w:r>
          </w:p>
        </w:tc>
      </w:tr>
      <w:tr w:rsidR="00024C0A" w:rsidTr="00024C0A">
        <w:tc>
          <w:tcPr>
            <w:tcW w:w="0" w:type="auto"/>
            <w:vAlign w:val="center"/>
          </w:tcPr>
          <w:p w:rsidR="00024C0A" w:rsidRDefault="00694C0F">
            <w:pPr>
              <w:pStyle w:val="TableBodyText"/>
            </w:pPr>
            <w:r>
              <w:t>DocumentPropertyExists</w:t>
            </w:r>
          </w:p>
        </w:tc>
      </w:tr>
      <w:tr w:rsidR="00024C0A" w:rsidTr="00024C0A">
        <w:tc>
          <w:tcPr>
            <w:tcW w:w="0" w:type="auto"/>
            <w:vAlign w:val="center"/>
          </w:tcPr>
          <w:p w:rsidR="00024C0A" w:rsidRDefault="00694C0F">
            <w:pPr>
              <w:pStyle w:val="TableBodyText"/>
            </w:pPr>
            <w:r>
              <w:t>DocumentPropertyType</w:t>
            </w:r>
          </w:p>
        </w:tc>
      </w:tr>
      <w:tr w:rsidR="00024C0A" w:rsidTr="00024C0A">
        <w:tc>
          <w:tcPr>
            <w:tcW w:w="0" w:type="auto"/>
            <w:vAlign w:val="center"/>
          </w:tcPr>
          <w:p w:rsidR="00024C0A" w:rsidRDefault="00694C0F">
            <w:pPr>
              <w:pStyle w:val="TableBodyText"/>
            </w:pPr>
            <w:r>
              <w:t>DocumentProtection</w:t>
            </w:r>
          </w:p>
        </w:tc>
      </w:tr>
      <w:tr w:rsidR="00024C0A" w:rsidTr="00024C0A">
        <w:tc>
          <w:tcPr>
            <w:tcW w:w="0" w:type="auto"/>
            <w:vAlign w:val="center"/>
          </w:tcPr>
          <w:p w:rsidR="00024C0A" w:rsidRDefault="00694C0F">
            <w:pPr>
              <w:pStyle w:val="TableBodyText"/>
            </w:pPr>
            <w:r>
              <w:t>DotAccent</w:t>
            </w:r>
          </w:p>
        </w:tc>
      </w:tr>
      <w:tr w:rsidR="00024C0A" w:rsidTr="00024C0A">
        <w:tc>
          <w:tcPr>
            <w:tcW w:w="0" w:type="auto"/>
            <w:vAlign w:val="center"/>
          </w:tcPr>
          <w:p w:rsidR="00024C0A" w:rsidRDefault="00694C0F">
            <w:pPr>
              <w:pStyle w:val="TableBodyText"/>
            </w:pPr>
            <w:r>
              <w:t>DottedUnderline</w:t>
            </w:r>
          </w:p>
        </w:tc>
      </w:tr>
      <w:tr w:rsidR="00024C0A" w:rsidTr="00024C0A">
        <w:tc>
          <w:tcPr>
            <w:tcW w:w="0" w:type="auto"/>
            <w:vAlign w:val="center"/>
          </w:tcPr>
          <w:p w:rsidR="00024C0A" w:rsidRDefault="00694C0F">
            <w:pPr>
              <w:pStyle w:val="TableBodyText"/>
            </w:pPr>
            <w:r>
              <w:t>DoubleStrikethrough</w:t>
            </w:r>
          </w:p>
        </w:tc>
      </w:tr>
      <w:tr w:rsidR="00024C0A" w:rsidTr="00024C0A">
        <w:tc>
          <w:tcPr>
            <w:tcW w:w="0" w:type="auto"/>
            <w:vAlign w:val="center"/>
          </w:tcPr>
          <w:p w:rsidR="00024C0A" w:rsidRDefault="00694C0F">
            <w:pPr>
              <w:pStyle w:val="TableBodyText"/>
            </w:pPr>
            <w:r>
              <w:t>DoubleUnderline</w:t>
            </w:r>
          </w:p>
        </w:tc>
      </w:tr>
      <w:tr w:rsidR="00024C0A" w:rsidTr="00024C0A">
        <w:tc>
          <w:tcPr>
            <w:tcW w:w="0" w:type="auto"/>
            <w:vAlign w:val="center"/>
          </w:tcPr>
          <w:p w:rsidR="00024C0A" w:rsidRDefault="00694C0F">
            <w:pPr>
              <w:pStyle w:val="TableBodyText"/>
            </w:pPr>
            <w:r>
              <w:t>DrawClearRange</w:t>
            </w:r>
          </w:p>
        </w:tc>
      </w:tr>
      <w:tr w:rsidR="00024C0A" w:rsidTr="00024C0A">
        <w:tc>
          <w:tcPr>
            <w:tcW w:w="0" w:type="auto"/>
            <w:vAlign w:val="center"/>
          </w:tcPr>
          <w:p w:rsidR="00024C0A" w:rsidRDefault="00694C0F">
            <w:pPr>
              <w:pStyle w:val="TableBodyText"/>
            </w:pPr>
            <w:r>
              <w:t>DrawCount</w:t>
            </w:r>
          </w:p>
        </w:tc>
      </w:tr>
      <w:tr w:rsidR="00024C0A" w:rsidTr="00024C0A">
        <w:tc>
          <w:tcPr>
            <w:tcW w:w="0" w:type="auto"/>
            <w:vAlign w:val="center"/>
          </w:tcPr>
          <w:p w:rsidR="00024C0A" w:rsidRDefault="00694C0F">
            <w:pPr>
              <w:pStyle w:val="TableBodyText"/>
            </w:pPr>
            <w:r>
              <w:t>DrawCountPolyPoints</w:t>
            </w:r>
          </w:p>
        </w:tc>
      </w:tr>
      <w:tr w:rsidR="00024C0A" w:rsidTr="00024C0A">
        <w:tc>
          <w:tcPr>
            <w:tcW w:w="0" w:type="auto"/>
            <w:vAlign w:val="center"/>
          </w:tcPr>
          <w:p w:rsidR="00024C0A" w:rsidRDefault="00694C0F">
            <w:pPr>
              <w:pStyle w:val="TableBodyText"/>
            </w:pPr>
            <w:r>
              <w:t>DrawExtendSelect</w:t>
            </w:r>
          </w:p>
        </w:tc>
      </w:tr>
      <w:tr w:rsidR="00024C0A" w:rsidTr="00024C0A">
        <w:tc>
          <w:tcPr>
            <w:tcW w:w="0" w:type="auto"/>
            <w:vAlign w:val="center"/>
          </w:tcPr>
          <w:p w:rsidR="00024C0A" w:rsidRDefault="00694C0F">
            <w:pPr>
              <w:pStyle w:val="TableBodyText"/>
            </w:pPr>
            <w:r>
              <w:t>DrawGetCalloutTextbox</w:t>
            </w:r>
          </w:p>
        </w:tc>
      </w:tr>
      <w:tr w:rsidR="00024C0A" w:rsidTr="00024C0A">
        <w:tc>
          <w:tcPr>
            <w:tcW w:w="0" w:type="auto"/>
            <w:vAlign w:val="center"/>
          </w:tcPr>
          <w:p w:rsidR="00024C0A" w:rsidRDefault="00694C0F">
            <w:pPr>
              <w:pStyle w:val="TableBodyText"/>
            </w:pPr>
            <w:r>
              <w:t>DrawGetPolyPoints</w:t>
            </w:r>
          </w:p>
        </w:tc>
      </w:tr>
      <w:tr w:rsidR="00024C0A" w:rsidTr="00024C0A">
        <w:tc>
          <w:tcPr>
            <w:tcW w:w="0" w:type="auto"/>
            <w:vAlign w:val="center"/>
          </w:tcPr>
          <w:p w:rsidR="00024C0A" w:rsidRDefault="00694C0F">
            <w:pPr>
              <w:pStyle w:val="TableBodyText"/>
            </w:pPr>
            <w:r>
              <w:t>DrawGetType</w:t>
            </w:r>
          </w:p>
        </w:tc>
      </w:tr>
      <w:tr w:rsidR="00024C0A" w:rsidTr="00024C0A">
        <w:tc>
          <w:tcPr>
            <w:tcW w:w="0" w:type="auto"/>
            <w:vAlign w:val="center"/>
          </w:tcPr>
          <w:p w:rsidR="00024C0A" w:rsidRDefault="00694C0F">
            <w:pPr>
              <w:pStyle w:val="TableBodyText"/>
            </w:pPr>
            <w:r>
              <w:t>DrawSelect</w:t>
            </w:r>
          </w:p>
        </w:tc>
      </w:tr>
      <w:tr w:rsidR="00024C0A" w:rsidTr="00024C0A">
        <w:tc>
          <w:tcPr>
            <w:tcW w:w="0" w:type="auto"/>
            <w:vAlign w:val="center"/>
          </w:tcPr>
          <w:p w:rsidR="00024C0A" w:rsidRDefault="00694C0F">
            <w:pPr>
              <w:pStyle w:val="TableBodyText"/>
            </w:pPr>
            <w:r>
              <w:t>DrawSetCalloutTextbox</w:t>
            </w:r>
          </w:p>
        </w:tc>
      </w:tr>
      <w:tr w:rsidR="00024C0A" w:rsidTr="00024C0A">
        <w:tc>
          <w:tcPr>
            <w:tcW w:w="0" w:type="auto"/>
            <w:vAlign w:val="center"/>
          </w:tcPr>
          <w:p w:rsidR="00024C0A" w:rsidRDefault="00694C0F">
            <w:pPr>
              <w:pStyle w:val="TableBodyText"/>
            </w:pPr>
            <w:r>
              <w:t>DrawSetInsertToAnchor</w:t>
            </w:r>
          </w:p>
        </w:tc>
      </w:tr>
      <w:tr w:rsidR="00024C0A" w:rsidTr="00024C0A">
        <w:tc>
          <w:tcPr>
            <w:tcW w:w="0" w:type="auto"/>
            <w:vAlign w:val="center"/>
          </w:tcPr>
          <w:p w:rsidR="00024C0A" w:rsidRDefault="00694C0F">
            <w:pPr>
              <w:pStyle w:val="TableBodyText"/>
            </w:pPr>
            <w:r>
              <w:t>DrawSetInsertToTextbox</w:t>
            </w:r>
          </w:p>
        </w:tc>
      </w:tr>
      <w:tr w:rsidR="00024C0A" w:rsidTr="00024C0A">
        <w:tc>
          <w:tcPr>
            <w:tcW w:w="0" w:type="auto"/>
            <w:vAlign w:val="center"/>
          </w:tcPr>
          <w:p w:rsidR="00024C0A" w:rsidRDefault="00694C0F">
            <w:pPr>
              <w:pStyle w:val="TableBodyText"/>
            </w:pPr>
            <w:r>
              <w:t>DrawSetPolyPoints</w:t>
            </w:r>
          </w:p>
        </w:tc>
      </w:tr>
      <w:tr w:rsidR="00024C0A" w:rsidTr="00024C0A">
        <w:tc>
          <w:tcPr>
            <w:tcW w:w="0" w:type="auto"/>
            <w:vAlign w:val="center"/>
          </w:tcPr>
          <w:p w:rsidR="00024C0A" w:rsidRDefault="00694C0F">
            <w:pPr>
              <w:pStyle w:val="TableBodyText"/>
            </w:pPr>
            <w:r>
              <w:t>DrawSetRange</w:t>
            </w:r>
          </w:p>
        </w:tc>
      </w:tr>
      <w:tr w:rsidR="00024C0A" w:rsidTr="00024C0A">
        <w:tc>
          <w:tcPr>
            <w:tcW w:w="0" w:type="auto"/>
            <w:vAlign w:val="center"/>
          </w:tcPr>
          <w:p w:rsidR="00024C0A" w:rsidRDefault="00694C0F">
            <w:pPr>
              <w:pStyle w:val="TableBodyText"/>
            </w:pPr>
            <w:r>
              <w:t>DropListBox</w:t>
            </w:r>
          </w:p>
        </w:tc>
      </w:tr>
      <w:tr w:rsidR="00024C0A" w:rsidTr="00024C0A">
        <w:tc>
          <w:tcPr>
            <w:tcW w:w="0" w:type="auto"/>
            <w:vAlign w:val="center"/>
          </w:tcPr>
          <w:p w:rsidR="00024C0A" w:rsidRDefault="00694C0F">
            <w:pPr>
              <w:pStyle w:val="TableBodyText"/>
            </w:pPr>
            <w:r>
              <w:t>EditButtonImage</w:t>
            </w:r>
          </w:p>
        </w:tc>
      </w:tr>
      <w:tr w:rsidR="00024C0A" w:rsidTr="00024C0A">
        <w:tc>
          <w:tcPr>
            <w:tcW w:w="0" w:type="auto"/>
            <w:vAlign w:val="center"/>
          </w:tcPr>
          <w:p w:rsidR="00024C0A" w:rsidRDefault="00694C0F">
            <w:pPr>
              <w:pStyle w:val="TableBodyText"/>
            </w:pPr>
            <w:r>
              <w:t>EditClear</w:t>
            </w:r>
          </w:p>
        </w:tc>
      </w:tr>
      <w:tr w:rsidR="00024C0A" w:rsidTr="00024C0A">
        <w:tc>
          <w:tcPr>
            <w:tcW w:w="0" w:type="auto"/>
            <w:vAlign w:val="center"/>
          </w:tcPr>
          <w:p w:rsidR="00024C0A" w:rsidRDefault="00694C0F">
            <w:pPr>
              <w:pStyle w:val="TableBodyText"/>
            </w:pPr>
            <w:r>
              <w:lastRenderedPageBreak/>
              <w:t>EditFindFound</w:t>
            </w:r>
          </w:p>
        </w:tc>
      </w:tr>
      <w:tr w:rsidR="00024C0A" w:rsidTr="00024C0A">
        <w:tc>
          <w:tcPr>
            <w:tcW w:w="0" w:type="auto"/>
            <w:vAlign w:val="center"/>
          </w:tcPr>
          <w:p w:rsidR="00024C0A" w:rsidRDefault="00694C0F">
            <w:pPr>
              <w:pStyle w:val="TableBodyText"/>
            </w:pPr>
            <w:r>
              <w:t>EditRedo</w:t>
            </w:r>
          </w:p>
        </w:tc>
      </w:tr>
      <w:tr w:rsidR="00024C0A" w:rsidTr="00024C0A">
        <w:tc>
          <w:tcPr>
            <w:tcW w:w="0" w:type="auto"/>
            <w:vAlign w:val="center"/>
          </w:tcPr>
          <w:p w:rsidR="00024C0A" w:rsidRDefault="00694C0F">
            <w:pPr>
              <w:pStyle w:val="TableBodyText"/>
            </w:pPr>
            <w:r>
              <w:t>EditUndo</w:t>
            </w:r>
          </w:p>
        </w:tc>
      </w:tr>
      <w:tr w:rsidR="00024C0A" w:rsidTr="00024C0A">
        <w:tc>
          <w:tcPr>
            <w:tcW w:w="0" w:type="auto"/>
            <w:vAlign w:val="center"/>
          </w:tcPr>
          <w:p w:rsidR="00024C0A" w:rsidRDefault="00694C0F">
            <w:pPr>
              <w:pStyle w:val="TableBodyText"/>
            </w:pPr>
            <w:r>
              <w:t>EmptyBookmark</w:t>
            </w:r>
          </w:p>
        </w:tc>
      </w:tr>
      <w:tr w:rsidR="00024C0A" w:rsidTr="00024C0A">
        <w:tc>
          <w:tcPr>
            <w:tcW w:w="0" w:type="auto"/>
            <w:vAlign w:val="center"/>
          </w:tcPr>
          <w:p w:rsidR="00024C0A" w:rsidRDefault="00694C0F">
            <w:pPr>
              <w:pStyle w:val="TableBodyText"/>
            </w:pPr>
            <w:r>
              <w:t>EnableFormField</w:t>
            </w:r>
          </w:p>
        </w:tc>
      </w:tr>
      <w:tr w:rsidR="00024C0A" w:rsidTr="00024C0A">
        <w:tc>
          <w:tcPr>
            <w:tcW w:w="0" w:type="auto"/>
            <w:vAlign w:val="center"/>
          </w:tcPr>
          <w:p w:rsidR="00024C0A" w:rsidRDefault="00694C0F">
            <w:pPr>
              <w:pStyle w:val="TableBodyText"/>
            </w:pPr>
            <w:r>
              <w:t>EndOfColumn</w:t>
            </w:r>
          </w:p>
        </w:tc>
      </w:tr>
      <w:tr w:rsidR="00024C0A" w:rsidTr="00024C0A">
        <w:tc>
          <w:tcPr>
            <w:tcW w:w="0" w:type="auto"/>
            <w:vAlign w:val="center"/>
          </w:tcPr>
          <w:p w:rsidR="00024C0A" w:rsidRDefault="00694C0F">
            <w:pPr>
              <w:pStyle w:val="TableBodyText"/>
            </w:pPr>
            <w:r>
              <w:t>EndOfDocument</w:t>
            </w:r>
          </w:p>
        </w:tc>
      </w:tr>
      <w:tr w:rsidR="00024C0A" w:rsidTr="00024C0A">
        <w:tc>
          <w:tcPr>
            <w:tcW w:w="0" w:type="auto"/>
            <w:vAlign w:val="center"/>
          </w:tcPr>
          <w:p w:rsidR="00024C0A" w:rsidRDefault="00694C0F">
            <w:pPr>
              <w:pStyle w:val="TableBodyText"/>
            </w:pPr>
            <w:r>
              <w:t>EndOfLine</w:t>
            </w:r>
          </w:p>
        </w:tc>
      </w:tr>
      <w:tr w:rsidR="00024C0A" w:rsidTr="00024C0A">
        <w:tc>
          <w:tcPr>
            <w:tcW w:w="0" w:type="auto"/>
            <w:vAlign w:val="center"/>
          </w:tcPr>
          <w:p w:rsidR="00024C0A" w:rsidRDefault="00694C0F">
            <w:pPr>
              <w:pStyle w:val="TableBodyText"/>
            </w:pPr>
            <w:r>
              <w:t>EndOfRow</w:t>
            </w:r>
          </w:p>
        </w:tc>
      </w:tr>
      <w:tr w:rsidR="00024C0A" w:rsidTr="00024C0A">
        <w:tc>
          <w:tcPr>
            <w:tcW w:w="0" w:type="auto"/>
            <w:vAlign w:val="center"/>
          </w:tcPr>
          <w:p w:rsidR="00024C0A" w:rsidRDefault="00694C0F">
            <w:pPr>
              <w:pStyle w:val="TableBodyText"/>
            </w:pPr>
            <w:r>
              <w:t>EndOfWindow</w:t>
            </w:r>
          </w:p>
        </w:tc>
      </w:tr>
      <w:tr w:rsidR="00024C0A" w:rsidTr="00024C0A">
        <w:tc>
          <w:tcPr>
            <w:tcW w:w="0" w:type="auto"/>
            <w:vAlign w:val="center"/>
          </w:tcPr>
          <w:p w:rsidR="00024C0A" w:rsidRDefault="00694C0F">
            <w:pPr>
              <w:pStyle w:val="TableBodyText"/>
            </w:pPr>
            <w:r>
              <w:t>Eof</w:t>
            </w:r>
          </w:p>
        </w:tc>
      </w:tr>
      <w:tr w:rsidR="00024C0A" w:rsidTr="00024C0A">
        <w:tc>
          <w:tcPr>
            <w:tcW w:w="0" w:type="auto"/>
            <w:vAlign w:val="center"/>
          </w:tcPr>
          <w:p w:rsidR="00024C0A" w:rsidRDefault="00694C0F">
            <w:pPr>
              <w:pStyle w:val="TableBodyText"/>
            </w:pPr>
            <w:r>
              <w:t>ExistingBookmark</w:t>
            </w:r>
          </w:p>
        </w:tc>
      </w:tr>
      <w:tr w:rsidR="00024C0A" w:rsidTr="00024C0A">
        <w:tc>
          <w:tcPr>
            <w:tcW w:w="0" w:type="auto"/>
            <w:vAlign w:val="center"/>
          </w:tcPr>
          <w:p w:rsidR="00024C0A" w:rsidRDefault="00694C0F">
            <w:pPr>
              <w:pStyle w:val="TableBodyText"/>
            </w:pPr>
            <w:r>
              <w:t>ExitWindows</w:t>
            </w:r>
          </w:p>
        </w:tc>
      </w:tr>
      <w:tr w:rsidR="00024C0A" w:rsidTr="00024C0A">
        <w:tc>
          <w:tcPr>
            <w:tcW w:w="0" w:type="auto"/>
            <w:vAlign w:val="center"/>
          </w:tcPr>
          <w:p w:rsidR="00024C0A" w:rsidRDefault="00694C0F">
            <w:pPr>
              <w:pStyle w:val="TableBodyText"/>
            </w:pPr>
            <w:r>
              <w:t>ExtendMode</w:t>
            </w:r>
          </w:p>
        </w:tc>
      </w:tr>
      <w:tr w:rsidR="00024C0A" w:rsidTr="00024C0A">
        <w:tc>
          <w:tcPr>
            <w:tcW w:w="0" w:type="auto"/>
            <w:vAlign w:val="center"/>
          </w:tcPr>
          <w:p w:rsidR="00024C0A" w:rsidRDefault="00694C0F">
            <w:pPr>
              <w:pStyle w:val="TableBodyText"/>
            </w:pPr>
            <w:r>
              <w:t>ExtendSelection</w:t>
            </w:r>
          </w:p>
        </w:tc>
      </w:tr>
      <w:tr w:rsidR="00024C0A" w:rsidTr="00024C0A">
        <w:tc>
          <w:tcPr>
            <w:tcW w:w="0" w:type="auto"/>
            <w:vAlign w:val="center"/>
          </w:tcPr>
          <w:p w:rsidR="00024C0A" w:rsidRDefault="00694C0F">
            <w:pPr>
              <w:pStyle w:val="TableBodyText"/>
            </w:pPr>
            <w:r>
              <w:t>File1</w:t>
            </w:r>
          </w:p>
        </w:tc>
      </w:tr>
      <w:tr w:rsidR="00024C0A" w:rsidTr="00024C0A">
        <w:tc>
          <w:tcPr>
            <w:tcW w:w="0" w:type="auto"/>
            <w:vAlign w:val="center"/>
          </w:tcPr>
          <w:p w:rsidR="00024C0A" w:rsidRDefault="00694C0F">
            <w:pPr>
              <w:pStyle w:val="TableBodyText"/>
            </w:pPr>
            <w:r>
              <w:t>File2</w:t>
            </w:r>
          </w:p>
        </w:tc>
      </w:tr>
      <w:tr w:rsidR="00024C0A" w:rsidTr="00024C0A">
        <w:tc>
          <w:tcPr>
            <w:tcW w:w="0" w:type="auto"/>
            <w:vAlign w:val="center"/>
          </w:tcPr>
          <w:p w:rsidR="00024C0A" w:rsidRDefault="00694C0F">
            <w:pPr>
              <w:pStyle w:val="TableBodyText"/>
            </w:pPr>
            <w:r>
              <w:t>File3</w:t>
            </w:r>
          </w:p>
        </w:tc>
      </w:tr>
      <w:tr w:rsidR="00024C0A" w:rsidTr="00024C0A">
        <w:tc>
          <w:tcPr>
            <w:tcW w:w="0" w:type="auto"/>
            <w:vAlign w:val="center"/>
          </w:tcPr>
          <w:p w:rsidR="00024C0A" w:rsidRDefault="00694C0F">
            <w:pPr>
              <w:pStyle w:val="TableBodyText"/>
            </w:pPr>
            <w:r>
              <w:t>File4</w:t>
            </w:r>
          </w:p>
        </w:tc>
      </w:tr>
      <w:tr w:rsidR="00024C0A" w:rsidTr="00024C0A">
        <w:tc>
          <w:tcPr>
            <w:tcW w:w="0" w:type="auto"/>
            <w:vAlign w:val="center"/>
          </w:tcPr>
          <w:p w:rsidR="00024C0A" w:rsidRDefault="00694C0F">
            <w:pPr>
              <w:pStyle w:val="TableBodyText"/>
            </w:pPr>
            <w:r>
              <w:t>File5</w:t>
            </w:r>
          </w:p>
        </w:tc>
      </w:tr>
      <w:tr w:rsidR="00024C0A" w:rsidTr="00024C0A">
        <w:tc>
          <w:tcPr>
            <w:tcW w:w="0" w:type="auto"/>
            <w:vAlign w:val="center"/>
          </w:tcPr>
          <w:p w:rsidR="00024C0A" w:rsidRDefault="00694C0F">
            <w:pPr>
              <w:pStyle w:val="TableBodyText"/>
            </w:pPr>
            <w:r>
              <w:t>File6</w:t>
            </w:r>
          </w:p>
        </w:tc>
      </w:tr>
      <w:tr w:rsidR="00024C0A" w:rsidTr="00024C0A">
        <w:tc>
          <w:tcPr>
            <w:tcW w:w="0" w:type="auto"/>
            <w:vAlign w:val="center"/>
          </w:tcPr>
          <w:p w:rsidR="00024C0A" w:rsidRDefault="00694C0F">
            <w:pPr>
              <w:pStyle w:val="TableBodyText"/>
            </w:pPr>
            <w:r>
              <w:t>File7</w:t>
            </w:r>
          </w:p>
        </w:tc>
      </w:tr>
      <w:tr w:rsidR="00024C0A" w:rsidTr="00024C0A">
        <w:tc>
          <w:tcPr>
            <w:tcW w:w="0" w:type="auto"/>
            <w:vAlign w:val="center"/>
          </w:tcPr>
          <w:p w:rsidR="00024C0A" w:rsidRDefault="00694C0F">
            <w:pPr>
              <w:pStyle w:val="TableBodyText"/>
            </w:pPr>
            <w:r>
              <w:t>File8</w:t>
            </w:r>
          </w:p>
        </w:tc>
      </w:tr>
      <w:tr w:rsidR="00024C0A" w:rsidTr="00024C0A">
        <w:tc>
          <w:tcPr>
            <w:tcW w:w="0" w:type="auto"/>
            <w:vAlign w:val="center"/>
          </w:tcPr>
          <w:p w:rsidR="00024C0A" w:rsidRDefault="00694C0F">
            <w:pPr>
              <w:pStyle w:val="TableBodyText"/>
            </w:pPr>
            <w:r>
              <w:t>File9</w:t>
            </w:r>
          </w:p>
        </w:tc>
      </w:tr>
      <w:tr w:rsidR="00024C0A" w:rsidTr="00024C0A">
        <w:tc>
          <w:tcPr>
            <w:tcW w:w="0" w:type="auto"/>
            <w:vAlign w:val="center"/>
          </w:tcPr>
          <w:p w:rsidR="00024C0A" w:rsidRDefault="00694C0F">
            <w:pPr>
              <w:pStyle w:val="TableBodyText"/>
            </w:pPr>
            <w:r>
              <w:t>FileClose</w:t>
            </w:r>
          </w:p>
        </w:tc>
      </w:tr>
      <w:tr w:rsidR="00024C0A" w:rsidTr="00024C0A">
        <w:tc>
          <w:tcPr>
            <w:tcW w:w="0" w:type="auto"/>
            <w:vAlign w:val="center"/>
          </w:tcPr>
          <w:p w:rsidR="00024C0A" w:rsidRDefault="00694C0F">
            <w:pPr>
              <w:pStyle w:val="TableBodyText"/>
            </w:pPr>
            <w:r>
              <w:t>FileCloseAll</w:t>
            </w:r>
          </w:p>
        </w:tc>
      </w:tr>
      <w:tr w:rsidR="00024C0A" w:rsidTr="00024C0A">
        <w:tc>
          <w:tcPr>
            <w:tcW w:w="0" w:type="auto"/>
            <w:vAlign w:val="center"/>
          </w:tcPr>
          <w:p w:rsidR="00024C0A" w:rsidRDefault="00694C0F">
            <w:pPr>
              <w:pStyle w:val="TableBodyText"/>
            </w:pPr>
            <w:r>
              <w:t>FileConfirmConversions</w:t>
            </w:r>
          </w:p>
        </w:tc>
      </w:tr>
      <w:tr w:rsidR="00024C0A" w:rsidTr="00024C0A">
        <w:tc>
          <w:tcPr>
            <w:tcW w:w="0" w:type="auto"/>
            <w:vAlign w:val="center"/>
          </w:tcPr>
          <w:p w:rsidR="00024C0A" w:rsidRDefault="00694C0F">
            <w:pPr>
              <w:pStyle w:val="TableBodyText"/>
            </w:pPr>
            <w:r>
              <w:t>FileExit</w:t>
            </w:r>
          </w:p>
        </w:tc>
      </w:tr>
      <w:tr w:rsidR="00024C0A" w:rsidTr="00024C0A">
        <w:tc>
          <w:tcPr>
            <w:tcW w:w="0" w:type="auto"/>
            <w:vAlign w:val="center"/>
          </w:tcPr>
          <w:p w:rsidR="00024C0A" w:rsidRDefault="00694C0F">
            <w:pPr>
              <w:pStyle w:val="TableBodyText"/>
            </w:pPr>
            <w:r>
              <w:t>FileList</w:t>
            </w:r>
          </w:p>
        </w:tc>
      </w:tr>
      <w:tr w:rsidR="00024C0A" w:rsidTr="00024C0A">
        <w:tc>
          <w:tcPr>
            <w:tcW w:w="0" w:type="auto"/>
            <w:vAlign w:val="center"/>
          </w:tcPr>
          <w:p w:rsidR="00024C0A" w:rsidRDefault="00694C0F">
            <w:pPr>
              <w:pStyle w:val="TableBodyText"/>
            </w:pPr>
            <w:r>
              <w:t>FileNFib</w:t>
            </w:r>
          </w:p>
        </w:tc>
      </w:tr>
      <w:tr w:rsidR="00024C0A" w:rsidTr="00024C0A">
        <w:tc>
          <w:tcPr>
            <w:tcW w:w="0" w:type="auto"/>
            <w:vAlign w:val="center"/>
          </w:tcPr>
          <w:p w:rsidR="00024C0A" w:rsidRDefault="00694C0F">
            <w:pPr>
              <w:pStyle w:val="TableBodyText"/>
            </w:pPr>
            <w:r>
              <w:t>FilePost</w:t>
            </w:r>
          </w:p>
        </w:tc>
      </w:tr>
      <w:tr w:rsidR="00024C0A" w:rsidTr="00024C0A">
        <w:tc>
          <w:tcPr>
            <w:tcW w:w="0" w:type="auto"/>
            <w:vAlign w:val="center"/>
          </w:tcPr>
          <w:p w:rsidR="00024C0A" w:rsidRDefault="00694C0F">
            <w:pPr>
              <w:pStyle w:val="TableBodyText"/>
            </w:pPr>
            <w:r>
              <w:t>FilePreview</w:t>
            </w:r>
          </w:p>
        </w:tc>
      </w:tr>
      <w:tr w:rsidR="00024C0A" w:rsidTr="00024C0A">
        <w:tc>
          <w:tcPr>
            <w:tcW w:w="0" w:type="auto"/>
            <w:vAlign w:val="center"/>
          </w:tcPr>
          <w:p w:rsidR="00024C0A" w:rsidRDefault="00694C0F">
            <w:pPr>
              <w:pStyle w:val="TableBodyText"/>
            </w:pPr>
            <w:r>
              <w:lastRenderedPageBreak/>
              <w:t>FilePrintPreview</w:t>
            </w:r>
          </w:p>
        </w:tc>
      </w:tr>
      <w:tr w:rsidR="00024C0A" w:rsidTr="00024C0A">
        <w:tc>
          <w:tcPr>
            <w:tcW w:w="0" w:type="auto"/>
            <w:vAlign w:val="center"/>
          </w:tcPr>
          <w:p w:rsidR="00024C0A" w:rsidRDefault="00694C0F">
            <w:pPr>
              <w:pStyle w:val="TableBodyText"/>
            </w:pPr>
            <w:r>
              <w:t>FilePrintPreviewPages</w:t>
            </w:r>
          </w:p>
        </w:tc>
      </w:tr>
      <w:tr w:rsidR="00024C0A" w:rsidTr="00024C0A">
        <w:tc>
          <w:tcPr>
            <w:tcW w:w="0" w:type="auto"/>
            <w:vAlign w:val="center"/>
          </w:tcPr>
          <w:p w:rsidR="00024C0A" w:rsidRDefault="00694C0F">
            <w:pPr>
              <w:pStyle w:val="TableBodyText"/>
            </w:pPr>
            <w:r>
              <w:t>FileQuit</w:t>
            </w:r>
          </w:p>
        </w:tc>
      </w:tr>
      <w:tr w:rsidR="00024C0A" w:rsidTr="00024C0A">
        <w:tc>
          <w:tcPr>
            <w:tcW w:w="0" w:type="auto"/>
            <w:vAlign w:val="center"/>
          </w:tcPr>
          <w:p w:rsidR="00024C0A" w:rsidRDefault="00694C0F">
            <w:pPr>
              <w:pStyle w:val="TableBodyText"/>
            </w:pPr>
            <w:r>
              <w:t>FileSaveAll</w:t>
            </w:r>
          </w:p>
        </w:tc>
      </w:tr>
      <w:tr w:rsidR="00024C0A" w:rsidTr="00024C0A">
        <w:tc>
          <w:tcPr>
            <w:tcW w:w="0" w:type="auto"/>
            <w:vAlign w:val="center"/>
          </w:tcPr>
          <w:p w:rsidR="00024C0A" w:rsidRDefault="00694C0F">
            <w:pPr>
              <w:pStyle w:val="TableBodyText"/>
            </w:pPr>
            <w:r>
              <w:t>Font</w:t>
            </w:r>
          </w:p>
        </w:tc>
      </w:tr>
      <w:tr w:rsidR="00024C0A" w:rsidTr="00024C0A">
        <w:tc>
          <w:tcPr>
            <w:tcW w:w="0" w:type="auto"/>
            <w:vAlign w:val="center"/>
          </w:tcPr>
          <w:p w:rsidR="00024C0A" w:rsidRDefault="00694C0F">
            <w:pPr>
              <w:pStyle w:val="TableBodyText"/>
            </w:pPr>
            <w:r>
              <w:t>FontSize</w:t>
            </w:r>
          </w:p>
        </w:tc>
      </w:tr>
      <w:tr w:rsidR="00024C0A" w:rsidTr="00024C0A">
        <w:tc>
          <w:tcPr>
            <w:tcW w:w="0" w:type="auto"/>
            <w:vAlign w:val="center"/>
          </w:tcPr>
          <w:p w:rsidR="00024C0A" w:rsidRDefault="00694C0F">
            <w:pPr>
              <w:pStyle w:val="TableBodyText"/>
            </w:pPr>
            <w:r>
              <w:t>FormShading</w:t>
            </w:r>
          </w:p>
        </w:tc>
      </w:tr>
      <w:tr w:rsidR="00024C0A" w:rsidTr="00024C0A">
        <w:tc>
          <w:tcPr>
            <w:tcW w:w="0" w:type="auto"/>
            <w:vAlign w:val="center"/>
          </w:tcPr>
          <w:p w:rsidR="00024C0A" w:rsidRDefault="00694C0F">
            <w:pPr>
              <w:pStyle w:val="TableBodyText"/>
            </w:pPr>
            <w:r>
              <w:t>FormatBulletDefault</w:t>
            </w:r>
          </w:p>
        </w:tc>
      </w:tr>
      <w:tr w:rsidR="00024C0A" w:rsidTr="00024C0A">
        <w:tc>
          <w:tcPr>
            <w:tcW w:w="0" w:type="auto"/>
            <w:vAlign w:val="center"/>
          </w:tcPr>
          <w:p w:rsidR="00024C0A" w:rsidRDefault="00694C0F">
            <w:pPr>
              <w:pStyle w:val="TableBodyText"/>
            </w:pPr>
            <w:r>
              <w:t>FormatNumberDefault</w:t>
            </w:r>
          </w:p>
        </w:tc>
      </w:tr>
      <w:tr w:rsidR="00024C0A" w:rsidTr="00024C0A">
        <w:tc>
          <w:tcPr>
            <w:tcW w:w="0" w:type="auto"/>
            <w:vAlign w:val="center"/>
          </w:tcPr>
          <w:p w:rsidR="00024C0A" w:rsidRDefault="00694C0F">
            <w:pPr>
              <w:pStyle w:val="TableBodyText"/>
            </w:pPr>
            <w:r>
              <w:t>FuzzyCompare</w:t>
            </w:r>
          </w:p>
        </w:tc>
      </w:tr>
      <w:tr w:rsidR="00024C0A" w:rsidTr="00024C0A">
        <w:tc>
          <w:tcPr>
            <w:tcW w:w="0" w:type="auto"/>
            <w:vAlign w:val="center"/>
          </w:tcPr>
          <w:p w:rsidR="00024C0A" w:rsidRDefault="00694C0F">
            <w:pPr>
              <w:pStyle w:val="TableBodyText"/>
            </w:pPr>
            <w:r>
              <w:t>GetAddInId</w:t>
            </w:r>
          </w:p>
        </w:tc>
      </w:tr>
      <w:tr w:rsidR="00024C0A" w:rsidTr="00024C0A">
        <w:tc>
          <w:tcPr>
            <w:tcW w:w="0" w:type="auto"/>
            <w:vAlign w:val="center"/>
          </w:tcPr>
          <w:p w:rsidR="00024C0A" w:rsidRDefault="00694C0F">
            <w:pPr>
              <w:pStyle w:val="TableBodyText"/>
            </w:pPr>
            <w:r>
              <w:t>GetAttr</w:t>
            </w:r>
          </w:p>
        </w:tc>
      </w:tr>
      <w:tr w:rsidR="00024C0A" w:rsidTr="00024C0A">
        <w:tc>
          <w:tcPr>
            <w:tcW w:w="0" w:type="auto"/>
            <w:vAlign w:val="center"/>
          </w:tcPr>
          <w:p w:rsidR="00024C0A" w:rsidRDefault="00694C0F">
            <w:pPr>
              <w:pStyle w:val="TableBodyText"/>
            </w:pPr>
            <w:r>
              <w:t>GetDocumentProperty</w:t>
            </w:r>
          </w:p>
        </w:tc>
      </w:tr>
      <w:tr w:rsidR="00024C0A" w:rsidTr="00024C0A">
        <w:tc>
          <w:tcPr>
            <w:tcW w:w="0" w:type="auto"/>
            <w:vAlign w:val="center"/>
          </w:tcPr>
          <w:p w:rsidR="00024C0A" w:rsidRDefault="00694C0F">
            <w:pPr>
              <w:pStyle w:val="TableBodyText"/>
            </w:pPr>
            <w:r>
              <w:t>GetFormResult</w:t>
            </w:r>
          </w:p>
        </w:tc>
      </w:tr>
      <w:tr w:rsidR="00024C0A" w:rsidTr="00024C0A">
        <w:tc>
          <w:tcPr>
            <w:tcW w:w="0" w:type="auto"/>
            <w:vAlign w:val="center"/>
          </w:tcPr>
          <w:p w:rsidR="00024C0A" w:rsidRDefault="00694C0F">
            <w:pPr>
              <w:pStyle w:val="TableBodyText"/>
            </w:pPr>
            <w:r>
              <w:t>GetSelEndPos</w:t>
            </w:r>
          </w:p>
        </w:tc>
      </w:tr>
      <w:tr w:rsidR="00024C0A" w:rsidTr="00024C0A">
        <w:tc>
          <w:tcPr>
            <w:tcW w:w="0" w:type="auto"/>
            <w:vAlign w:val="center"/>
          </w:tcPr>
          <w:p w:rsidR="00024C0A" w:rsidRDefault="00694C0F">
            <w:pPr>
              <w:pStyle w:val="TableBodyText"/>
            </w:pPr>
            <w:r>
              <w:t>GetSelStartPos</w:t>
            </w:r>
          </w:p>
        </w:tc>
      </w:tr>
      <w:tr w:rsidR="00024C0A" w:rsidTr="00024C0A">
        <w:tc>
          <w:tcPr>
            <w:tcW w:w="0" w:type="auto"/>
            <w:vAlign w:val="center"/>
          </w:tcPr>
          <w:p w:rsidR="00024C0A" w:rsidRDefault="00694C0F">
            <w:pPr>
              <w:pStyle w:val="TableBodyText"/>
            </w:pPr>
            <w:r>
              <w:t>GetSystemInfo</w:t>
            </w:r>
          </w:p>
        </w:tc>
      </w:tr>
      <w:tr w:rsidR="00024C0A" w:rsidTr="00024C0A">
        <w:tc>
          <w:tcPr>
            <w:tcW w:w="0" w:type="auto"/>
            <w:vAlign w:val="center"/>
          </w:tcPr>
          <w:p w:rsidR="00024C0A" w:rsidRDefault="00694C0F">
            <w:pPr>
              <w:pStyle w:val="TableBodyText"/>
            </w:pPr>
            <w:r>
              <w:t>GoToNextSubdocument</w:t>
            </w:r>
          </w:p>
        </w:tc>
      </w:tr>
      <w:tr w:rsidR="00024C0A" w:rsidTr="00024C0A">
        <w:tc>
          <w:tcPr>
            <w:tcW w:w="0" w:type="auto"/>
            <w:vAlign w:val="center"/>
          </w:tcPr>
          <w:p w:rsidR="00024C0A" w:rsidRDefault="00694C0F">
            <w:pPr>
              <w:pStyle w:val="TableBodyText"/>
            </w:pPr>
            <w:r>
              <w:t>GoToPreviousSubdocument</w:t>
            </w:r>
          </w:p>
        </w:tc>
      </w:tr>
      <w:tr w:rsidR="00024C0A" w:rsidTr="00024C0A">
        <w:tc>
          <w:tcPr>
            <w:tcW w:w="0" w:type="auto"/>
            <w:vAlign w:val="center"/>
          </w:tcPr>
          <w:p w:rsidR="00024C0A" w:rsidRDefault="00694C0F">
            <w:pPr>
              <w:pStyle w:val="TableBodyText"/>
            </w:pPr>
            <w:r>
              <w:t>GroupBox</w:t>
            </w:r>
          </w:p>
        </w:tc>
      </w:tr>
      <w:tr w:rsidR="00024C0A" w:rsidTr="00024C0A">
        <w:tc>
          <w:tcPr>
            <w:tcW w:w="0" w:type="auto"/>
            <w:vAlign w:val="center"/>
          </w:tcPr>
          <w:p w:rsidR="00024C0A" w:rsidRDefault="00694C0F">
            <w:pPr>
              <w:pStyle w:val="TableBodyText"/>
            </w:pPr>
            <w:r>
              <w:t>HLine</w:t>
            </w:r>
          </w:p>
        </w:tc>
      </w:tr>
      <w:tr w:rsidR="00024C0A" w:rsidTr="00024C0A">
        <w:tc>
          <w:tcPr>
            <w:tcW w:w="0" w:type="auto"/>
            <w:vAlign w:val="center"/>
          </w:tcPr>
          <w:p w:rsidR="00024C0A" w:rsidRDefault="00694C0F">
            <w:pPr>
              <w:pStyle w:val="TableBodyText"/>
            </w:pPr>
            <w:r>
              <w:t>HPage</w:t>
            </w:r>
          </w:p>
        </w:tc>
      </w:tr>
      <w:tr w:rsidR="00024C0A" w:rsidTr="00024C0A">
        <w:tc>
          <w:tcPr>
            <w:tcW w:w="0" w:type="auto"/>
            <w:vAlign w:val="center"/>
          </w:tcPr>
          <w:p w:rsidR="00024C0A" w:rsidRDefault="00694C0F">
            <w:pPr>
              <w:pStyle w:val="TableBodyText"/>
            </w:pPr>
            <w:r>
              <w:t>HScroll</w:t>
            </w:r>
          </w:p>
        </w:tc>
      </w:tr>
      <w:tr w:rsidR="00024C0A" w:rsidTr="00024C0A">
        <w:tc>
          <w:tcPr>
            <w:tcW w:w="0" w:type="auto"/>
            <w:vAlign w:val="center"/>
          </w:tcPr>
          <w:p w:rsidR="00024C0A" w:rsidRDefault="00694C0F">
            <w:pPr>
              <w:pStyle w:val="TableBodyText"/>
            </w:pPr>
            <w:r>
              <w:t>Hidden</w:t>
            </w:r>
          </w:p>
        </w:tc>
      </w:tr>
      <w:tr w:rsidR="00024C0A" w:rsidTr="00024C0A">
        <w:tc>
          <w:tcPr>
            <w:tcW w:w="0" w:type="auto"/>
            <w:vAlign w:val="center"/>
          </w:tcPr>
          <w:p w:rsidR="00024C0A" w:rsidRDefault="00694C0F">
            <w:pPr>
              <w:pStyle w:val="TableBodyText"/>
            </w:pPr>
            <w:r>
              <w:t>HighlightColor</w:t>
            </w:r>
          </w:p>
        </w:tc>
      </w:tr>
      <w:tr w:rsidR="00024C0A" w:rsidTr="00024C0A">
        <w:tc>
          <w:tcPr>
            <w:tcW w:w="0" w:type="auto"/>
            <w:vAlign w:val="center"/>
          </w:tcPr>
          <w:p w:rsidR="00024C0A" w:rsidRDefault="00694C0F">
            <w:pPr>
              <w:pStyle w:val="TableBodyText"/>
            </w:pPr>
            <w:r>
              <w:t>Hour</w:t>
            </w:r>
          </w:p>
        </w:tc>
      </w:tr>
      <w:tr w:rsidR="00024C0A" w:rsidTr="00024C0A">
        <w:tc>
          <w:tcPr>
            <w:tcW w:w="0" w:type="auto"/>
            <w:vAlign w:val="center"/>
          </w:tcPr>
          <w:p w:rsidR="00024C0A" w:rsidRDefault="00694C0F">
            <w:pPr>
              <w:pStyle w:val="TableBodyText"/>
            </w:pPr>
            <w:r>
              <w:t>IMEControl</w:t>
            </w:r>
          </w:p>
        </w:tc>
      </w:tr>
      <w:tr w:rsidR="00024C0A" w:rsidTr="00024C0A">
        <w:tc>
          <w:tcPr>
            <w:tcW w:w="0" w:type="auto"/>
            <w:vAlign w:val="center"/>
          </w:tcPr>
          <w:p w:rsidR="00024C0A" w:rsidRDefault="00694C0F">
            <w:pPr>
              <w:pStyle w:val="TableBodyText"/>
            </w:pPr>
            <w:r>
              <w:t>InStr</w:t>
            </w:r>
          </w:p>
        </w:tc>
      </w:tr>
      <w:tr w:rsidR="00024C0A" w:rsidTr="00024C0A">
        <w:tc>
          <w:tcPr>
            <w:tcW w:w="0" w:type="auto"/>
            <w:vAlign w:val="center"/>
          </w:tcPr>
          <w:p w:rsidR="00024C0A" w:rsidRDefault="00694C0F">
            <w:pPr>
              <w:pStyle w:val="TableBodyText"/>
            </w:pPr>
            <w:r>
              <w:t>InStrB</w:t>
            </w:r>
          </w:p>
        </w:tc>
      </w:tr>
      <w:tr w:rsidR="00024C0A" w:rsidTr="00024C0A">
        <w:tc>
          <w:tcPr>
            <w:tcW w:w="0" w:type="auto"/>
            <w:vAlign w:val="center"/>
          </w:tcPr>
          <w:p w:rsidR="00024C0A" w:rsidRDefault="00694C0F">
            <w:pPr>
              <w:pStyle w:val="TableBodyText"/>
            </w:pPr>
            <w:r>
              <w:t>Insert</w:t>
            </w:r>
          </w:p>
        </w:tc>
      </w:tr>
      <w:tr w:rsidR="00024C0A" w:rsidTr="00024C0A">
        <w:tc>
          <w:tcPr>
            <w:tcW w:w="0" w:type="auto"/>
            <w:vAlign w:val="center"/>
          </w:tcPr>
          <w:p w:rsidR="00024C0A" w:rsidRDefault="00694C0F">
            <w:pPr>
              <w:pStyle w:val="TableBodyText"/>
            </w:pPr>
            <w:r>
              <w:t>InsertPara</w:t>
            </w:r>
          </w:p>
        </w:tc>
      </w:tr>
      <w:tr w:rsidR="00024C0A" w:rsidTr="00024C0A">
        <w:tc>
          <w:tcPr>
            <w:tcW w:w="0" w:type="auto"/>
            <w:vAlign w:val="center"/>
          </w:tcPr>
          <w:p w:rsidR="00024C0A" w:rsidRDefault="00694C0F">
            <w:pPr>
              <w:pStyle w:val="TableBodyText"/>
            </w:pPr>
            <w:r>
              <w:t>Int</w:t>
            </w:r>
          </w:p>
        </w:tc>
      </w:tr>
      <w:tr w:rsidR="00024C0A" w:rsidTr="00024C0A">
        <w:tc>
          <w:tcPr>
            <w:tcW w:w="0" w:type="auto"/>
            <w:vAlign w:val="center"/>
          </w:tcPr>
          <w:p w:rsidR="00024C0A" w:rsidRDefault="00694C0F">
            <w:pPr>
              <w:pStyle w:val="TableBodyText"/>
            </w:pPr>
            <w:r>
              <w:lastRenderedPageBreak/>
              <w:t>InvalAllDocs</w:t>
            </w:r>
          </w:p>
        </w:tc>
      </w:tr>
      <w:tr w:rsidR="00024C0A" w:rsidTr="00024C0A">
        <w:tc>
          <w:tcPr>
            <w:tcW w:w="0" w:type="auto"/>
            <w:vAlign w:val="center"/>
          </w:tcPr>
          <w:p w:rsidR="00024C0A" w:rsidRDefault="00694C0F">
            <w:pPr>
              <w:pStyle w:val="TableBodyText"/>
            </w:pPr>
            <w:r>
              <w:t>InvalAllDocsRepagOnly</w:t>
            </w:r>
          </w:p>
        </w:tc>
      </w:tr>
      <w:tr w:rsidR="00024C0A" w:rsidTr="00024C0A">
        <w:tc>
          <w:tcPr>
            <w:tcW w:w="0" w:type="auto"/>
            <w:vAlign w:val="center"/>
          </w:tcPr>
          <w:p w:rsidR="00024C0A" w:rsidRDefault="00694C0F">
            <w:pPr>
              <w:pStyle w:val="TableBodyText"/>
            </w:pPr>
            <w:r>
              <w:t>IsAutoCorrectException</w:t>
            </w:r>
          </w:p>
        </w:tc>
      </w:tr>
      <w:tr w:rsidR="00024C0A" w:rsidTr="00024C0A">
        <w:tc>
          <w:tcPr>
            <w:tcW w:w="0" w:type="auto"/>
            <w:vAlign w:val="center"/>
          </w:tcPr>
          <w:p w:rsidR="00024C0A" w:rsidRDefault="00694C0F">
            <w:pPr>
              <w:pStyle w:val="TableBodyText"/>
            </w:pPr>
            <w:r>
              <w:t>IsCustomDocumentProperty</w:t>
            </w:r>
          </w:p>
        </w:tc>
      </w:tr>
      <w:tr w:rsidR="00024C0A" w:rsidTr="00024C0A">
        <w:tc>
          <w:tcPr>
            <w:tcW w:w="0" w:type="auto"/>
            <w:vAlign w:val="center"/>
          </w:tcPr>
          <w:p w:rsidR="00024C0A" w:rsidRDefault="00694C0F">
            <w:pPr>
              <w:pStyle w:val="TableBodyText"/>
            </w:pPr>
            <w:r>
              <w:t>IsDocumentDirty</w:t>
            </w:r>
          </w:p>
        </w:tc>
      </w:tr>
      <w:tr w:rsidR="00024C0A" w:rsidTr="00024C0A">
        <w:tc>
          <w:tcPr>
            <w:tcW w:w="0" w:type="auto"/>
            <w:vAlign w:val="center"/>
          </w:tcPr>
          <w:p w:rsidR="00024C0A" w:rsidRDefault="00694C0F">
            <w:pPr>
              <w:pStyle w:val="TableBodyText"/>
            </w:pPr>
            <w:r>
              <w:t>IsDocumentPropertyReadOnly</w:t>
            </w:r>
          </w:p>
        </w:tc>
      </w:tr>
      <w:tr w:rsidR="00024C0A" w:rsidTr="00024C0A">
        <w:tc>
          <w:tcPr>
            <w:tcW w:w="0" w:type="auto"/>
            <w:vAlign w:val="center"/>
          </w:tcPr>
          <w:p w:rsidR="00024C0A" w:rsidRDefault="00694C0F">
            <w:pPr>
              <w:pStyle w:val="TableBodyText"/>
            </w:pPr>
            <w:r>
              <w:t>IsExecuteOnly</w:t>
            </w:r>
          </w:p>
        </w:tc>
      </w:tr>
      <w:tr w:rsidR="00024C0A" w:rsidTr="00024C0A">
        <w:tc>
          <w:tcPr>
            <w:tcW w:w="0" w:type="auto"/>
            <w:vAlign w:val="center"/>
          </w:tcPr>
          <w:p w:rsidR="00024C0A" w:rsidRDefault="00694C0F">
            <w:pPr>
              <w:pStyle w:val="TableBodyText"/>
            </w:pPr>
            <w:r>
              <w:t>IsMacro</w:t>
            </w:r>
          </w:p>
        </w:tc>
      </w:tr>
      <w:tr w:rsidR="00024C0A" w:rsidTr="00024C0A">
        <w:tc>
          <w:tcPr>
            <w:tcW w:w="0" w:type="auto"/>
            <w:vAlign w:val="center"/>
          </w:tcPr>
          <w:p w:rsidR="00024C0A" w:rsidRDefault="00694C0F">
            <w:pPr>
              <w:pStyle w:val="TableBodyText"/>
            </w:pPr>
            <w:r>
              <w:t>IsTemplateDirty</w:t>
            </w:r>
          </w:p>
        </w:tc>
      </w:tr>
      <w:tr w:rsidR="00024C0A" w:rsidTr="00024C0A">
        <w:tc>
          <w:tcPr>
            <w:tcW w:w="0" w:type="auto"/>
            <w:vAlign w:val="center"/>
          </w:tcPr>
          <w:p w:rsidR="00024C0A" w:rsidRDefault="00694C0F">
            <w:pPr>
              <w:pStyle w:val="TableBodyText"/>
            </w:pPr>
            <w:r>
              <w:t>Italic</w:t>
            </w:r>
          </w:p>
        </w:tc>
      </w:tr>
      <w:tr w:rsidR="00024C0A" w:rsidTr="00024C0A">
        <w:tc>
          <w:tcPr>
            <w:tcW w:w="0" w:type="auto"/>
            <w:vAlign w:val="center"/>
          </w:tcPr>
          <w:p w:rsidR="00024C0A" w:rsidRDefault="00694C0F">
            <w:pPr>
              <w:pStyle w:val="TableBodyText"/>
            </w:pPr>
            <w:r>
              <w:t>ItalicRun</w:t>
            </w:r>
          </w:p>
        </w:tc>
      </w:tr>
      <w:tr w:rsidR="00024C0A" w:rsidTr="00024C0A">
        <w:tc>
          <w:tcPr>
            <w:tcW w:w="0" w:type="auto"/>
            <w:vAlign w:val="center"/>
          </w:tcPr>
          <w:p w:rsidR="00024C0A" w:rsidRDefault="00694C0F">
            <w:pPr>
              <w:pStyle w:val="TableBodyText"/>
            </w:pPr>
            <w:r>
              <w:t>JustifyPara</w:t>
            </w:r>
          </w:p>
        </w:tc>
      </w:tr>
      <w:tr w:rsidR="00024C0A" w:rsidTr="00024C0A">
        <w:tc>
          <w:tcPr>
            <w:tcW w:w="0" w:type="auto"/>
            <w:vAlign w:val="center"/>
          </w:tcPr>
          <w:p w:rsidR="00024C0A" w:rsidRDefault="00694C0F">
            <w:pPr>
              <w:pStyle w:val="TableBodyText"/>
            </w:pPr>
            <w:r>
              <w:t>KeyCode</w:t>
            </w:r>
          </w:p>
        </w:tc>
      </w:tr>
      <w:tr w:rsidR="00024C0A" w:rsidTr="00024C0A">
        <w:tc>
          <w:tcPr>
            <w:tcW w:w="0" w:type="auto"/>
            <w:vAlign w:val="center"/>
          </w:tcPr>
          <w:p w:rsidR="00024C0A" w:rsidRDefault="00694C0F">
            <w:pPr>
              <w:pStyle w:val="TableBodyText"/>
            </w:pPr>
            <w:r>
              <w:t>Kill</w:t>
            </w:r>
          </w:p>
        </w:tc>
      </w:tr>
      <w:tr w:rsidR="00024C0A" w:rsidTr="00024C0A">
        <w:tc>
          <w:tcPr>
            <w:tcW w:w="0" w:type="auto"/>
            <w:vAlign w:val="center"/>
          </w:tcPr>
          <w:p w:rsidR="00024C0A" w:rsidRDefault="00694C0F">
            <w:pPr>
              <w:pStyle w:val="TableBodyText"/>
            </w:pPr>
            <w:r>
              <w:t>Language</w:t>
            </w:r>
          </w:p>
        </w:tc>
      </w:tr>
      <w:tr w:rsidR="00024C0A" w:rsidTr="00024C0A">
        <w:tc>
          <w:tcPr>
            <w:tcW w:w="0" w:type="auto"/>
            <w:vAlign w:val="center"/>
          </w:tcPr>
          <w:p w:rsidR="00024C0A" w:rsidRDefault="00694C0F">
            <w:pPr>
              <w:pStyle w:val="TableBodyText"/>
            </w:pPr>
            <w:r>
              <w:t>LeftPara</w:t>
            </w:r>
          </w:p>
        </w:tc>
      </w:tr>
      <w:tr w:rsidR="00024C0A" w:rsidTr="00024C0A">
        <w:tc>
          <w:tcPr>
            <w:tcW w:w="0" w:type="auto"/>
            <w:vAlign w:val="center"/>
          </w:tcPr>
          <w:p w:rsidR="00024C0A" w:rsidRDefault="00694C0F">
            <w:pPr>
              <w:pStyle w:val="TableBodyText"/>
            </w:pPr>
            <w:r>
              <w:t>Len</w:t>
            </w:r>
          </w:p>
        </w:tc>
      </w:tr>
      <w:tr w:rsidR="00024C0A" w:rsidTr="00024C0A">
        <w:tc>
          <w:tcPr>
            <w:tcW w:w="0" w:type="auto"/>
            <w:vAlign w:val="center"/>
          </w:tcPr>
          <w:p w:rsidR="00024C0A" w:rsidRDefault="00694C0F">
            <w:pPr>
              <w:pStyle w:val="TableBodyText"/>
            </w:pPr>
            <w:r>
              <w:t>LenB</w:t>
            </w:r>
          </w:p>
        </w:tc>
      </w:tr>
      <w:tr w:rsidR="00024C0A" w:rsidTr="00024C0A">
        <w:tc>
          <w:tcPr>
            <w:tcW w:w="0" w:type="auto"/>
            <w:vAlign w:val="center"/>
          </w:tcPr>
          <w:p w:rsidR="00024C0A" w:rsidRDefault="00694C0F">
            <w:pPr>
              <w:pStyle w:val="TableBodyText"/>
            </w:pPr>
            <w:r>
              <w:t>LineDown</w:t>
            </w:r>
          </w:p>
        </w:tc>
      </w:tr>
      <w:tr w:rsidR="00024C0A" w:rsidTr="00024C0A">
        <w:tc>
          <w:tcPr>
            <w:tcW w:w="0" w:type="auto"/>
            <w:vAlign w:val="center"/>
          </w:tcPr>
          <w:p w:rsidR="00024C0A" w:rsidRDefault="00694C0F">
            <w:pPr>
              <w:pStyle w:val="TableBodyText"/>
            </w:pPr>
            <w:r>
              <w:t>LineSpacing</w:t>
            </w:r>
          </w:p>
        </w:tc>
      </w:tr>
      <w:tr w:rsidR="00024C0A" w:rsidTr="00024C0A">
        <w:tc>
          <w:tcPr>
            <w:tcW w:w="0" w:type="auto"/>
            <w:vAlign w:val="center"/>
          </w:tcPr>
          <w:p w:rsidR="00024C0A" w:rsidRDefault="00694C0F">
            <w:pPr>
              <w:pStyle w:val="TableBodyText"/>
            </w:pPr>
            <w:r>
              <w:t>LineUp</w:t>
            </w:r>
          </w:p>
        </w:tc>
      </w:tr>
      <w:tr w:rsidR="00024C0A" w:rsidTr="00024C0A">
        <w:tc>
          <w:tcPr>
            <w:tcW w:w="0" w:type="auto"/>
            <w:vAlign w:val="center"/>
          </w:tcPr>
          <w:p w:rsidR="00024C0A" w:rsidRDefault="00694C0F">
            <w:pPr>
              <w:pStyle w:val="TableBodyText"/>
            </w:pPr>
            <w:r>
              <w:t>ListBox</w:t>
            </w:r>
          </w:p>
        </w:tc>
      </w:tr>
      <w:tr w:rsidR="00024C0A" w:rsidTr="00024C0A">
        <w:tc>
          <w:tcPr>
            <w:tcW w:w="0" w:type="auto"/>
            <w:vAlign w:val="center"/>
          </w:tcPr>
          <w:p w:rsidR="00024C0A" w:rsidRDefault="00694C0F">
            <w:pPr>
              <w:pStyle w:val="TableBodyText"/>
            </w:pPr>
            <w:r>
              <w:t>LockDocument</w:t>
            </w:r>
          </w:p>
        </w:tc>
      </w:tr>
      <w:tr w:rsidR="00024C0A" w:rsidTr="00024C0A">
        <w:tc>
          <w:tcPr>
            <w:tcW w:w="0" w:type="auto"/>
            <w:vAlign w:val="center"/>
          </w:tcPr>
          <w:p w:rsidR="00024C0A" w:rsidRDefault="00694C0F">
            <w:pPr>
              <w:pStyle w:val="TableBodyText"/>
            </w:pPr>
            <w:r>
              <w:t>Lof</w:t>
            </w:r>
          </w:p>
        </w:tc>
      </w:tr>
      <w:tr w:rsidR="00024C0A" w:rsidTr="00024C0A">
        <w:tc>
          <w:tcPr>
            <w:tcW w:w="0" w:type="auto"/>
            <w:vAlign w:val="center"/>
          </w:tcPr>
          <w:p w:rsidR="00024C0A" w:rsidRDefault="00694C0F">
            <w:pPr>
              <w:pStyle w:val="TableBodyText"/>
            </w:pPr>
            <w:r>
              <w:t>LtrKeyb</w:t>
            </w:r>
          </w:p>
        </w:tc>
      </w:tr>
      <w:tr w:rsidR="00024C0A" w:rsidTr="00024C0A">
        <w:tc>
          <w:tcPr>
            <w:tcW w:w="0" w:type="auto"/>
            <w:vAlign w:val="center"/>
          </w:tcPr>
          <w:p w:rsidR="00024C0A" w:rsidRDefault="00694C0F">
            <w:pPr>
              <w:pStyle w:val="TableBodyText"/>
            </w:pPr>
            <w:r>
              <w:t>LtrPara</w:t>
            </w:r>
          </w:p>
        </w:tc>
      </w:tr>
      <w:tr w:rsidR="00024C0A" w:rsidTr="00024C0A">
        <w:tc>
          <w:tcPr>
            <w:tcW w:w="0" w:type="auto"/>
            <w:vAlign w:val="center"/>
          </w:tcPr>
          <w:p w:rsidR="00024C0A" w:rsidRDefault="00694C0F">
            <w:pPr>
              <w:pStyle w:val="TableBodyText"/>
            </w:pPr>
            <w:r>
              <w:t>LtrRun</w:t>
            </w:r>
          </w:p>
        </w:tc>
      </w:tr>
      <w:tr w:rsidR="00024C0A" w:rsidTr="00024C0A">
        <w:tc>
          <w:tcPr>
            <w:tcW w:w="0" w:type="auto"/>
            <w:vAlign w:val="center"/>
          </w:tcPr>
          <w:p w:rsidR="00024C0A" w:rsidRDefault="00694C0F">
            <w:pPr>
              <w:pStyle w:val="TableBodyText"/>
            </w:pPr>
            <w:r>
              <w:t>MacScript</w:t>
            </w:r>
          </w:p>
        </w:tc>
      </w:tr>
      <w:tr w:rsidR="00024C0A" w:rsidTr="00024C0A">
        <w:tc>
          <w:tcPr>
            <w:tcW w:w="0" w:type="auto"/>
            <w:vAlign w:val="center"/>
          </w:tcPr>
          <w:p w:rsidR="00024C0A" w:rsidRDefault="00694C0F">
            <w:pPr>
              <w:pStyle w:val="TableBodyText"/>
            </w:pPr>
            <w:r>
              <w:t>MacroCopy</w:t>
            </w:r>
          </w:p>
        </w:tc>
      </w:tr>
      <w:tr w:rsidR="00024C0A" w:rsidTr="00024C0A">
        <w:tc>
          <w:tcPr>
            <w:tcW w:w="0" w:type="auto"/>
            <w:vAlign w:val="center"/>
          </w:tcPr>
          <w:p w:rsidR="00024C0A" w:rsidRDefault="00694C0F">
            <w:pPr>
              <w:pStyle w:val="TableBodyText"/>
            </w:pPr>
            <w:r>
              <w:t>Magnifier</w:t>
            </w:r>
          </w:p>
        </w:tc>
      </w:tr>
      <w:tr w:rsidR="00024C0A" w:rsidTr="00024C0A">
        <w:tc>
          <w:tcPr>
            <w:tcW w:w="0" w:type="auto"/>
            <w:vAlign w:val="center"/>
          </w:tcPr>
          <w:p w:rsidR="00024C0A" w:rsidRDefault="00694C0F">
            <w:pPr>
              <w:pStyle w:val="TableBodyText"/>
            </w:pPr>
            <w:r>
              <w:t>MailMergeAskToConvertChevrons</w:t>
            </w:r>
          </w:p>
        </w:tc>
      </w:tr>
      <w:tr w:rsidR="00024C0A" w:rsidTr="00024C0A">
        <w:tc>
          <w:tcPr>
            <w:tcW w:w="0" w:type="auto"/>
            <w:vAlign w:val="center"/>
          </w:tcPr>
          <w:p w:rsidR="00024C0A" w:rsidRDefault="00694C0F">
            <w:pPr>
              <w:pStyle w:val="TableBodyText"/>
            </w:pPr>
            <w:r>
              <w:t>MailMergeConvertChevrons</w:t>
            </w:r>
          </w:p>
        </w:tc>
      </w:tr>
      <w:tr w:rsidR="00024C0A" w:rsidTr="00024C0A">
        <w:tc>
          <w:tcPr>
            <w:tcW w:w="0" w:type="auto"/>
            <w:vAlign w:val="center"/>
          </w:tcPr>
          <w:p w:rsidR="00024C0A" w:rsidRDefault="00694C0F">
            <w:pPr>
              <w:pStyle w:val="TableBodyText"/>
            </w:pPr>
            <w:r>
              <w:lastRenderedPageBreak/>
              <w:t>MailMergeFoundRecord</w:t>
            </w:r>
          </w:p>
        </w:tc>
      </w:tr>
      <w:tr w:rsidR="00024C0A" w:rsidTr="00024C0A">
        <w:tc>
          <w:tcPr>
            <w:tcW w:w="0" w:type="auto"/>
            <w:vAlign w:val="center"/>
          </w:tcPr>
          <w:p w:rsidR="00024C0A" w:rsidRDefault="00694C0F">
            <w:pPr>
              <w:pStyle w:val="TableBodyText"/>
            </w:pPr>
            <w:r>
              <w:t>MailMergeGoToRecord</w:t>
            </w:r>
          </w:p>
        </w:tc>
      </w:tr>
      <w:tr w:rsidR="00024C0A" w:rsidTr="00024C0A">
        <w:tc>
          <w:tcPr>
            <w:tcW w:w="0" w:type="auto"/>
            <w:vAlign w:val="center"/>
          </w:tcPr>
          <w:p w:rsidR="00024C0A" w:rsidRDefault="00694C0F">
            <w:pPr>
              <w:pStyle w:val="TableBodyText"/>
            </w:pPr>
            <w:r>
              <w:t>MailMergeMainDocumentType</w:t>
            </w:r>
          </w:p>
        </w:tc>
      </w:tr>
      <w:tr w:rsidR="00024C0A" w:rsidTr="00024C0A">
        <w:tc>
          <w:tcPr>
            <w:tcW w:w="0" w:type="auto"/>
            <w:vAlign w:val="center"/>
          </w:tcPr>
          <w:p w:rsidR="00024C0A" w:rsidRDefault="00694C0F">
            <w:pPr>
              <w:pStyle w:val="TableBodyText"/>
            </w:pPr>
            <w:r>
              <w:t>MailMergeState</w:t>
            </w:r>
          </w:p>
        </w:tc>
      </w:tr>
      <w:tr w:rsidR="00024C0A" w:rsidTr="00024C0A">
        <w:tc>
          <w:tcPr>
            <w:tcW w:w="0" w:type="auto"/>
            <w:vAlign w:val="center"/>
          </w:tcPr>
          <w:p w:rsidR="00024C0A" w:rsidRDefault="00694C0F">
            <w:pPr>
              <w:pStyle w:val="TableBodyText"/>
            </w:pPr>
            <w:r>
              <w:t>MailMergeViewData</w:t>
            </w:r>
          </w:p>
        </w:tc>
      </w:tr>
      <w:tr w:rsidR="00024C0A" w:rsidTr="00024C0A">
        <w:tc>
          <w:tcPr>
            <w:tcW w:w="0" w:type="auto"/>
            <w:vAlign w:val="center"/>
          </w:tcPr>
          <w:p w:rsidR="00024C0A" w:rsidRDefault="00694C0F">
            <w:pPr>
              <w:pStyle w:val="TableBodyText"/>
            </w:pPr>
            <w:r>
              <w:t>MainTextFlow</w:t>
            </w:r>
          </w:p>
        </w:tc>
      </w:tr>
      <w:tr w:rsidR="00024C0A" w:rsidTr="00024C0A">
        <w:tc>
          <w:tcPr>
            <w:tcW w:w="0" w:type="auto"/>
            <w:vAlign w:val="center"/>
          </w:tcPr>
          <w:p w:rsidR="00024C0A" w:rsidRDefault="00694C0F">
            <w:pPr>
              <w:pStyle w:val="TableBodyText"/>
            </w:pPr>
            <w:r>
              <w:t>MemAllocFail</w:t>
            </w:r>
          </w:p>
        </w:tc>
      </w:tr>
      <w:tr w:rsidR="00024C0A" w:rsidTr="00024C0A">
        <w:tc>
          <w:tcPr>
            <w:tcW w:w="0" w:type="auto"/>
            <w:vAlign w:val="center"/>
          </w:tcPr>
          <w:p w:rsidR="00024C0A" w:rsidRDefault="00694C0F">
            <w:pPr>
              <w:pStyle w:val="TableBodyText"/>
            </w:pPr>
            <w:r>
              <w:t>MenuDirection</w:t>
            </w:r>
          </w:p>
        </w:tc>
      </w:tr>
      <w:tr w:rsidR="00024C0A" w:rsidTr="00024C0A">
        <w:tc>
          <w:tcPr>
            <w:tcW w:w="0" w:type="auto"/>
            <w:vAlign w:val="center"/>
          </w:tcPr>
          <w:p w:rsidR="00024C0A" w:rsidRDefault="00694C0F">
            <w:pPr>
              <w:pStyle w:val="TableBodyText"/>
            </w:pPr>
            <w:r>
              <w:t>Minute</w:t>
            </w:r>
          </w:p>
        </w:tc>
      </w:tr>
      <w:tr w:rsidR="00024C0A" w:rsidTr="00024C0A">
        <w:tc>
          <w:tcPr>
            <w:tcW w:w="0" w:type="auto"/>
            <w:vAlign w:val="center"/>
          </w:tcPr>
          <w:p w:rsidR="00024C0A" w:rsidRDefault="00694C0F">
            <w:pPr>
              <w:pStyle w:val="TableBodyText"/>
            </w:pPr>
            <w:r>
              <w:t>MkDir</w:t>
            </w:r>
          </w:p>
        </w:tc>
      </w:tr>
      <w:tr w:rsidR="00024C0A" w:rsidTr="00024C0A">
        <w:tc>
          <w:tcPr>
            <w:tcW w:w="0" w:type="auto"/>
            <w:vAlign w:val="center"/>
          </w:tcPr>
          <w:p w:rsidR="00024C0A" w:rsidRDefault="00694C0F">
            <w:pPr>
              <w:pStyle w:val="TableBodyText"/>
            </w:pPr>
            <w:r>
              <w:t>Month</w:t>
            </w:r>
          </w:p>
        </w:tc>
      </w:tr>
      <w:tr w:rsidR="00024C0A" w:rsidTr="00024C0A">
        <w:tc>
          <w:tcPr>
            <w:tcW w:w="0" w:type="auto"/>
            <w:vAlign w:val="center"/>
          </w:tcPr>
          <w:p w:rsidR="00024C0A" w:rsidRDefault="00694C0F">
            <w:pPr>
              <w:pStyle w:val="TableBodyText"/>
            </w:pPr>
            <w:r>
              <w:t>MountVolume</w:t>
            </w:r>
          </w:p>
        </w:tc>
      </w:tr>
      <w:tr w:rsidR="00024C0A" w:rsidTr="00024C0A">
        <w:tc>
          <w:tcPr>
            <w:tcW w:w="0" w:type="auto"/>
            <w:vAlign w:val="center"/>
          </w:tcPr>
          <w:p w:rsidR="00024C0A" w:rsidRDefault="00694C0F">
            <w:pPr>
              <w:pStyle w:val="TableBodyText"/>
            </w:pPr>
            <w:r>
              <w:t>MoveButton</w:t>
            </w:r>
          </w:p>
        </w:tc>
      </w:tr>
      <w:tr w:rsidR="00024C0A" w:rsidTr="00024C0A">
        <w:tc>
          <w:tcPr>
            <w:tcW w:w="0" w:type="auto"/>
            <w:vAlign w:val="center"/>
          </w:tcPr>
          <w:p w:rsidR="00024C0A" w:rsidRDefault="00694C0F">
            <w:pPr>
              <w:pStyle w:val="TableBodyText"/>
            </w:pPr>
            <w:r>
              <w:t>MoveToolbar</w:t>
            </w:r>
          </w:p>
        </w:tc>
      </w:tr>
      <w:tr w:rsidR="00024C0A" w:rsidTr="00024C0A">
        <w:tc>
          <w:tcPr>
            <w:tcW w:w="0" w:type="auto"/>
            <w:vAlign w:val="center"/>
          </w:tcPr>
          <w:p w:rsidR="00024C0A" w:rsidRDefault="00694C0F">
            <w:pPr>
              <w:pStyle w:val="TableBodyText"/>
            </w:pPr>
            <w:r>
              <w:t>MsgBox</w:t>
            </w:r>
          </w:p>
        </w:tc>
      </w:tr>
      <w:tr w:rsidR="00024C0A" w:rsidTr="00024C0A">
        <w:tc>
          <w:tcPr>
            <w:tcW w:w="0" w:type="auto"/>
            <w:vAlign w:val="center"/>
          </w:tcPr>
          <w:p w:rsidR="00024C0A" w:rsidRDefault="00694C0F">
            <w:pPr>
              <w:pStyle w:val="TableBodyText"/>
            </w:pPr>
            <w:r>
              <w:t>NextCell</w:t>
            </w:r>
          </w:p>
        </w:tc>
      </w:tr>
      <w:tr w:rsidR="00024C0A" w:rsidTr="00024C0A">
        <w:tc>
          <w:tcPr>
            <w:tcW w:w="0" w:type="auto"/>
            <w:vAlign w:val="center"/>
          </w:tcPr>
          <w:p w:rsidR="00024C0A" w:rsidRDefault="00694C0F">
            <w:pPr>
              <w:pStyle w:val="TableBodyText"/>
            </w:pPr>
            <w:r>
              <w:t>NextField</w:t>
            </w:r>
          </w:p>
        </w:tc>
      </w:tr>
      <w:tr w:rsidR="00024C0A" w:rsidTr="00024C0A">
        <w:tc>
          <w:tcPr>
            <w:tcW w:w="0" w:type="auto"/>
            <w:vAlign w:val="center"/>
          </w:tcPr>
          <w:p w:rsidR="00024C0A" w:rsidRDefault="00694C0F">
            <w:pPr>
              <w:pStyle w:val="TableBodyText"/>
            </w:pPr>
            <w:r>
              <w:t>NextObject</w:t>
            </w:r>
          </w:p>
        </w:tc>
      </w:tr>
      <w:tr w:rsidR="00024C0A" w:rsidTr="00024C0A">
        <w:tc>
          <w:tcPr>
            <w:tcW w:w="0" w:type="auto"/>
            <w:vAlign w:val="center"/>
          </w:tcPr>
          <w:p w:rsidR="00024C0A" w:rsidRDefault="00694C0F">
            <w:pPr>
              <w:pStyle w:val="TableBodyText"/>
            </w:pPr>
            <w:r>
              <w:t>NextPage</w:t>
            </w:r>
          </w:p>
        </w:tc>
      </w:tr>
      <w:tr w:rsidR="00024C0A" w:rsidTr="00024C0A">
        <w:tc>
          <w:tcPr>
            <w:tcW w:w="0" w:type="auto"/>
            <w:vAlign w:val="center"/>
          </w:tcPr>
          <w:p w:rsidR="00024C0A" w:rsidRDefault="00694C0F">
            <w:pPr>
              <w:pStyle w:val="TableBodyText"/>
            </w:pPr>
            <w:r>
              <w:t>NextTab</w:t>
            </w:r>
          </w:p>
        </w:tc>
      </w:tr>
      <w:tr w:rsidR="00024C0A" w:rsidTr="00024C0A">
        <w:tc>
          <w:tcPr>
            <w:tcW w:w="0" w:type="auto"/>
            <w:vAlign w:val="center"/>
          </w:tcPr>
          <w:p w:rsidR="00024C0A" w:rsidRDefault="00694C0F">
            <w:pPr>
              <w:pStyle w:val="TableBodyText"/>
            </w:pPr>
            <w:r>
              <w:t>Now</w:t>
            </w:r>
          </w:p>
        </w:tc>
      </w:tr>
      <w:tr w:rsidR="00024C0A" w:rsidTr="00024C0A">
        <w:tc>
          <w:tcPr>
            <w:tcW w:w="0" w:type="auto"/>
            <w:vAlign w:val="center"/>
          </w:tcPr>
          <w:p w:rsidR="00024C0A" w:rsidRDefault="00694C0F">
            <w:pPr>
              <w:pStyle w:val="TableBodyText"/>
            </w:pPr>
            <w:r>
              <w:t>OKButton</w:t>
            </w:r>
          </w:p>
        </w:tc>
      </w:tr>
      <w:tr w:rsidR="00024C0A" w:rsidTr="00024C0A">
        <w:tc>
          <w:tcPr>
            <w:tcW w:w="0" w:type="auto"/>
            <w:vAlign w:val="center"/>
          </w:tcPr>
          <w:p w:rsidR="00024C0A" w:rsidRDefault="00694C0F">
            <w:pPr>
              <w:pStyle w:val="TableBodyText"/>
            </w:pPr>
            <w:r>
              <w:t>OnTime</w:t>
            </w:r>
          </w:p>
        </w:tc>
      </w:tr>
      <w:tr w:rsidR="00024C0A" w:rsidTr="00024C0A">
        <w:tc>
          <w:tcPr>
            <w:tcW w:w="0" w:type="auto"/>
            <w:vAlign w:val="center"/>
          </w:tcPr>
          <w:p w:rsidR="00024C0A" w:rsidRDefault="00694C0F">
            <w:pPr>
              <w:pStyle w:val="TableBodyText"/>
            </w:pPr>
            <w:r>
              <w:t>OpenUpPara</w:t>
            </w:r>
          </w:p>
        </w:tc>
      </w:tr>
      <w:tr w:rsidR="00024C0A" w:rsidTr="00024C0A">
        <w:tc>
          <w:tcPr>
            <w:tcW w:w="0" w:type="auto"/>
            <w:vAlign w:val="center"/>
          </w:tcPr>
          <w:p w:rsidR="00024C0A" w:rsidRDefault="00694C0F">
            <w:pPr>
              <w:pStyle w:val="TableBodyText"/>
            </w:pPr>
            <w:r>
              <w:t>OptionButton</w:t>
            </w:r>
          </w:p>
        </w:tc>
      </w:tr>
      <w:tr w:rsidR="00024C0A" w:rsidTr="00024C0A">
        <w:tc>
          <w:tcPr>
            <w:tcW w:w="0" w:type="auto"/>
            <w:vAlign w:val="center"/>
          </w:tcPr>
          <w:p w:rsidR="00024C0A" w:rsidRDefault="00694C0F">
            <w:pPr>
              <w:pStyle w:val="TableBodyText"/>
            </w:pPr>
            <w:r>
              <w:t>OptionGroup</w:t>
            </w:r>
          </w:p>
        </w:tc>
      </w:tr>
      <w:tr w:rsidR="00024C0A" w:rsidTr="00024C0A">
        <w:tc>
          <w:tcPr>
            <w:tcW w:w="0" w:type="auto"/>
            <w:vAlign w:val="center"/>
          </w:tcPr>
          <w:p w:rsidR="00024C0A" w:rsidRDefault="00694C0F">
            <w:pPr>
              <w:pStyle w:val="TableBodyText"/>
            </w:pPr>
            <w:r>
              <w:t>Outline</w:t>
            </w:r>
          </w:p>
        </w:tc>
      </w:tr>
      <w:tr w:rsidR="00024C0A" w:rsidTr="00024C0A">
        <w:tc>
          <w:tcPr>
            <w:tcW w:w="0" w:type="auto"/>
            <w:vAlign w:val="center"/>
          </w:tcPr>
          <w:p w:rsidR="00024C0A" w:rsidRDefault="00694C0F">
            <w:pPr>
              <w:pStyle w:val="TableBodyText"/>
            </w:pPr>
            <w:r>
              <w:t>OutlineLevel</w:t>
            </w:r>
          </w:p>
        </w:tc>
      </w:tr>
      <w:tr w:rsidR="00024C0A" w:rsidTr="00024C0A">
        <w:tc>
          <w:tcPr>
            <w:tcW w:w="0" w:type="auto"/>
            <w:vAlign w:val="center"/>
          </w:tcPr>
          <w:p w:rsidR="00024C0A" w:rsidRDefault="00694C0F">
            <w:pPr>
              <w:pStyle w:val="TableBodyText"/>
            </w:pPr>
            <w:r>
              <w:t>OutlineShowFirstLine</w:t>
            </w:r>
          </w:p>
        </w:tc>
      </w:tr>
      <w:tr w:rsidR="00024C0A" w:rsidTr="00024C0A">
        <w:tc>
          <w:tcPr>
            <w:tcW w:w="0" w:type="auto"/>
            <w:vAlign w:val="center"/>
          </w:tcPr>
          <w:p w:rsidR="00024C0A" w:rsidRDefault="00694C0F">
            <w:pPr>
              <w:pStyle w:val="TableBodyText"/>
            </w:pPr>
            <w:r>
              <w:t>Overtype</w:t>
            </w:r>
          </w:p>
        </w:tc>
      </w:tr>
      <w:tr w:rsidR="00024C0A" w:rsidTr="00024C0A">
        <w:tc>
          <w:tcPr>
            <w:tcW w:w="0" w:type="auto"/>
            <w:vAlign w:val="center"/>
          </w:tcPr>
          <w:p w:rsidR="00024C0A" w:rsidRDefault="00694C0F">
            <w:pPr>
              <w:pStyle w:val="TableBodyText"/>
            </w:pPr>
            <w:r>
              <w:t>PageDown</w:t>
            </w:r>
          </w:p>
        </w:tc>
      </w:tr>
      <w:tr w:rsidR="00024C0A" w:rsidTr="00024C0A">
        <w:tc>
          <w:tcPr>
            <w:tcW w:w="0" w:type="auto"/>
            <w:vAlign w:val="center"/>
          </w:tcPr>
          <w:p w:rsidR="00024C0A" w:rsidRDefault="00694C0F">
            <w:pPr>
              <w:pStyle w:val="TableBodyText"/>
            </w:pPr>
            <w:r>
              <w:t>PageUp</w:t>
            </w:r>
          </w:p>
        </w:tc>
      </w:tr>
      <w:tr w:rsidR="00024C0A" w:rsidTr="00024C0A">
        <w:tc>
          <w:tcPr>
            <w:tcW w:w="0" w:type="auto"/>
            <w:vAlign w:val="center"/>
          </w:tcPr>
          <w:p w:rsidR="00024C0A" w:rsidRDefault="00694C0F">
            <w:pPr>
              <w:pStyle w:val="TableBodyText"/>
            </w:pPr>
            <w:r>
              <w:lastRenderedPageBreak/>
              <w:t>ParaDown</w:t>
            </w:r>
          </w:p>
        </w:tc>
      </w:tr>
      <w:tr w:rsidR="00024C0A" w:rsidTr="00024C0A">
        <w:tc>
          <w:tcPr>
            <w:tcW w:w="0" w:type="auto"/>
            <w:vAlign w:val="center"/>
          </w:tcPr>
          <w:p w:rsidR="00024C0A" w:rsidRDefault="00694C0F">
            <w:pPr>
              <w:pStyle w:val="TableBodyText"/>
            </w:pPr>
            <w:r>
              <w:t>ParaKeepLinesTogether</w:t>
            </w:r>
          </w:p>
        </w:tc>
      </w:tr>
      <w:tr w:rsidR="00024C0A" w:rsidTr="00024C0A">
        <w:tc>
          <w:tcPr>
            <w:tcW w:w="0" w:type="auto"/>
            <w:vAlign w:val="center"/>
          </w:tcPr>
          <w:p w:rsidR="00024C0A" w:rsidRDefault="00694C0F">
            <w:pPr>
              <w:pStyle w:val="TableBodyText"/>
            </w:pPr>
            <w:r>
              <w:t>ParaKeepWithNext</w:t>
            </w:r>
          </w:p>
        </w:tc>
      </w:tr>
      <w:tr w:rsidR="00024C0A" w:rsidTr="00024C0A">
        <w:tc>
          <w:tcPr>
            <w:tcW w:w="0" w:type="auto"/>
            <w:vAlign w:val="center"/>
          </w:tcPr>
          <w:p w:rsidR="00024C0A" w:rsidRDefault="00694C0F">
            <w:pPr>
              <w:pStyle w:val="TableBodyText"/>
            </w:pPr>
            <w:r>
              <w:t>ParaPageBreakBefore</w:t>
            </w:r>
          </w:p>
        </w:tc>
      </w:tr>
      <w:tr w:rsidR="00024C0A" w:rsidTr="00024C0A">
        <w:tc>
          <w:tcPr>
            <w:tcW w:w="0" w:type="auto"/>
            <w:vAlign w:val="center"/>
          </w:tcPr>
          <w:p w:rsidR="00024C0A" w:rsidRDefault="00694C0F">
            <w:pPr>
              <w:pStyle w:val="TableBodyText"/>
            </w:pPr>
            <w:r>
              <w:t>ParaUp</w:t>
            </w:r>
          </w:p>
        </w:tc>
      </w:tr>
      <w:tr w:rsidR="00024C0A" w:rsidTr="00024C0A">
        <w:tc>
          <w:tcPr>
            <w:tcW w:w="0" w:type="auto"/>
            <w:vAlign w:val="center"/>
          </w:tcPr>
          <w:p w:rsidR="00024C0A" w:rsidRDefault="00694C0F">
            <w:pPr>
              <w:pStyle w:val="TableBodyText"/>
            </w:pPr>
            <w:r>
              <w:t>ParaWidowOrphanControl</w:t>
            </w:r>
          </w:p>
        </w:tc>
      </w:tr>
      <w:tr w:rsidR="00024C0A" w:rsidTr="00024C0A">
        <w:tc>
          <w:tcPr>
            <w:tcW w:w="0" w:type="auto"/>
            <w:vAlign w:val="center"/>
          </w:tcPr>
          <w:p w:rsidR="00024C0A" w:rsidRDefault="00694C0F">
            <w:pPr>
              <w:pStyle w:val="TableBodyText"/>
            </w:pPr>
            <w:r>
              <w:t>PasteButtonImage</w:t>
            </w:r>
          </w:p>
        </w:tc>
      </w:tr>
      <w:tr w:rsidR="00024C0A" w:rsidTr="00024C0A">
        <w:tc>
          <w:tcPr>
            <w:tcW w:w="0" w:type="auto"/>
            <w:vAlign w:val="center"/>
          </w:tcPr>
          <w:p w:rsidR="00024C0A" w:rsidRDefault="00694C0F">
            <w:pPr>
              <w:pStyle w:val="TableBodyText"/>
            </w:pPr>
            <w:r>
              <w:t>Picture</w:t>
            </w:r>
          </w:p>
        </w:tc>
      </w:tr>
      <w:tr w:rsidR="00024C0A" w:rsidTr="00024C0A">
        <w:tc>
          <w:tcPr>
            <w:tcW w:w="0" w:type="auto"/>
            <w:vAlign w:val="center"/>
          </w:tcPr>
          <w:p w:rsidR="00024C0A" w:rsidRDefault="00694C0F">
            <w:pPr>
              <w:pStyle w:val="TableBodyText"/>
            </w:pPr>
            <w:r>
              <w:t>PrevCell</w:t>
            </w:r>
          </w:p>
        </w:tc>
      </w:tr>
      <w:tr w:rsidR="00024C0A" w:rsidTr="00024C0A">
        <w:tc>
          <w:tcPr>
            <w:tcW w:w="0" w:type="auto"/>
            <w:vAlign w:val="center"/>
          </w:tcPr>
          <w:p w:rsidR="00024C0A" w:rsidRDefault="00694C0F">
            <w:pPr>
              <w:pStyle w:val="TableBodyText"/>
            </w:pPr>
            <w:r>
              <w:t>PrevField</w:t>
            </w:r>
          </w:p>
        </w:tc>
      </w:tr>
      <w:tr w:rsidR="00024C0A" w:rsidTr="00024C0A">
        <w:tc>
          <w:tcPr>
            <w:tcW w:w="0" w:type="auto"/>
            <w:vAlign w:val="center"/>
          </w:tcPr>
          <w:p w:rsidR="00024C0A" w:rsidRDefault="00694C0F">
            <w:pPr>
              <w:pStyle w:val="TableBodyText"/>
            </w:pPr>
            <w:r>
              <w:t>PrevObject</w:t>
            </w:r>
          </w:p>
        </w:tc>
      </w:tr>
      <w:tr w:rsidR="00024C0A" w:rsidTr="00024C0A">
        <w:tc>
          <w:tcPr>
            <w:tcW w:w="0" w:type="auto"/>
            <w:vAlign w:val="center"/>
          </w:tcPr>
          <w:p w:rsidR="00024C0A" w:rsidRDefault="00694C0F">
            <w:pPr>
              <w:pStyle w:val="TableBodyText"/>
            </w:pPr>
            <w:r>
              <w:t>PrevPage</w:t>
            </w:r>
          </w:p>
        </w:tc>
      </w:tr>
      <w:tr w:rsidR="00024C0A" w:rsidTr="00024C0A">
        <w:tc>
          <w:tcPr>
            <w:tcW w:w="0" w:type="auto"/>
            <w:vAlign w:val="center"/>
          </w:tcPr>
          <w:p w:rsidR="00024C0A" w:rsidRDefault="00694C0F">
            <w:pPr>
              <w:pStyle w:val="TableBodyText"/>
            </w:pPr>
            <w:r>
              <w:t>PrevTab</w:t>
            </w:r>
          </w:p>
        </w:tc>
      </w:tr>
      <w:tr w:rsidR="00024C0A" w:rsidTr="00024C0A">
        <w:tc>
          <w:tcPr>
            <w:tcW w:w="0" w:type="auto"/>
            <w:vAlign w:val="center"/>
          </w:tcPr>
          <w:p w:rsidR="00024C0A" w:rsidRDefault="00694C0F">
            <w:pPr>
              <w:pStyle w:val="TableBodyText"/>
            </w:pPr>
            <w:r>
              <w:t>PushButton</w:t>
            </w:r>
          </w:p>
        </w:tc>
      </w:tr>
      <w:tr w:rsidR="00024C0A" w:rsidTr="00024C0A">
        <w:tc>
          <w:tcPr>
            <w:tcW w:w="0" w:type="auto"/>
            <w:vAlign w:val="center"/>
          </w:tcPr>
          <w:p w:rsidR="00024C0A" w:rsidRDefault="00694C0F">
            <w:pPr>
              <w:pStyle w:val="TableBodyText"/>
            </w:pPr>
            <w:r>
              <w:t>PutFieldData</w:t>
            </w:r>
          </w:p>
        </w:tc>
      </w:tr>
      <w:tr w:rsidR="00024C0A" w:rsidTr="00024C0A">
        <w:tc>
          <w:tcPr>
            <w:tcW w:w="0" w:type="auto"/>
            <w:vAlign w:val="center"/>
          </w:tcPr>
          <w:p w:rsidR="00024C0A" w:rsidRDefault="00694C0F">
            <w:pPr>
              <w:pStyle w:val="TableBodyText"/>
            </w:pPr>
            <w:r>
              <w:t>RefreshRate</w:t>
            </w:r>
          </w:p>
        </w:tc>
      </w:tr>
      <w:tr w:rsidR="00024C0A" w:rsidTr="00024C0A">
        <w:tc>
          <w:tcPr>
            <w:tcW w:w="0" w:type="auto"/>
            <w:vAlign w:val="center"/>
          </w:tcPr>
          <w:p w:rsidR="00024C0A" w:rsidRDefault="00694C0F">
            <w:pPr>
              <w:pStyle w:val="TableBodyText"/>
            </w:pPr>
            <w:r>
              <w:t>RemoveAllDropDownItems</w:t>
            </w:r>
          </w:p>
        </w:tc>
      </w:tr>
      <w:tr w:rsidR="00024C0A" w:rsidTr="00024C0A">
        <w:tc>
          <w:tcPr>
            <w:tcW w:w="0" w:type="auto"/>
            <w:vAlign w:val="center"/>
          </w:tcPr>
          <w:p w:rsidR="00024C0A" w:rsidRDefault="00694C0F">
            <w:pPr>
              <w:pStyle w:val="TableBodyText"/>
            </w:pPr>
            <w:r>
              <w:t>RemoveDropDownItem</w:t>
            </w:r>
          </w:p>
        </w:tc>
      </w:tr>
      <w:tr w:rsidR="00024C0A" w:rsidTr="00024C0A">
        <w:tc>
          <w:tcPr>
            <w:tcW w:w="0" w:type="auto"/>
            <w:vAlign w:val="center"/>
          </w:tcPr>
          <w:p w:rsidR="00024C0A" w:rsidRDefault="00694C0F">
            <w:pPr>
              <w:pStyle w:val="TableBodyText"/>
            </w:pPr>
            <w:r>
              <w:t>Rename</w:t>
            </w:r>
          </w:p>
        </w:tc>
      </w:tr>
      <w:tr w:rsidR="00024C0A" w:rsidTr="00024C0A">
        <w:tc>
          <w:tcPr>
            <w:tcW w:w="0" w:type="auto"/>
            <w:vAlign w:val="center"/>
          </w:tcPr>
          <w:p w:rsidR="00024C0A" w:rsidRDefault="00694C0F">
            <w:pPr>
              <w:pStyle w:val="TableBodyText"/>
            </w:pPr>
            <w:r>
              <w:t>RenameMenu</w:t>
            </w:r>
          </w:p>
        </w:tc>
      </w:tr>
      <w:tr w:rsidR="00024C0A" w:rsidTr="00024C0A">
        <w:tc>
          <w:tcPr>
            <w:tcW w:w="0" w:type="auto"/>
            <w:vAlign w:val="center"/>
          </w:tcPr>
          <w:p w:rsidR="00024C0A" w:rsidRDefault="00694C0F">
            <w:pPr>
              <w:pStyle w:val="TableBodyText"/>
            </w:pPr>
            <w:r>
              <w:t>ResetButtonImage</w:t>
            </w:r>
          </w:p>
        </w:tc>
      </w:tr>
      <w:tr w:rsidR="00024C0A" w:rsidTr="00024C0A">
        <w:tc>
          <w:tcPr>
            <w:tcW w:w="0" w:type="auto"/>
            <w:vAlign w:val="center"/>
          </w:tcPr>
          <w:p w:rsidR="00024C0A" w:rsidRDefault="00694C0F">
            <w:pPr>
              <w:pStyle w:val="TableBodyText"/>
            </w:pPr>
            <w:r>
              <w:t>ResetChar</w:t>
            </w:r>
          </w:p>
        </w:tc>
      </w:tr>
      <w:tr w:rsidR="00024C0A" w:rsidTr="00024C0A">
        <w:tc>
          <w:tcPr>
            <w:tcW w:w="0" w:type="auto"/>
            <w:vAlign w:val="center"/>
          </w:tcPr>
          <w:p w:rsidR="00024C0A" w:rsidRDefault="00694C0F">
            <w:pPr>
              <w:pStyle w:val="TableBodyText"/>
            </w:pPr>
            <w:r>
              <w:t>ResetPara</w:t>
            </w:r>
          </w:p>
        </w:tc>
      </w:tr>
      <w:tr w:rsidR="00024C0A" w:rsidTr="00024C0A">
        <w:tc>
          <w:tcPr>
            <w:tcW w:w="0" w:type="auto"/>
            <w:vAlign w:val="center"/>
          </w:tcPr>
          <w:p w:rsidR="00024C0A" w:rsidRDefault="00694C0F">
            <w:pPr>
              <w:pStyle w:val="TableBodyText"/>
            </w:pPr>
            <w:r>
              <w:t>RightPara</w:t>
            </w:r>
          </w:p>
        </w:tc>
      </w:tr>
      <w:tr w:rsidR="00024C0A" w:rsidTr="00024C0A">
        <w:tc>
          <w:tcPr>
            <w:tcW w:w="0" w:type="auto"/>
            <w:vAlign w:val="center"/>
          </w:tcPr>
          <w:p w:rsidR="00024C0A" w:rsidRDefault="00694C0F">
            <w:pPr>
              <w:pStyle w:val="TableBodyText"/>
            </w:pPr>
            <w:r>
              <w:t>RmDir</w:t>
            </w:r>
          </w:p>
        </w:tc>
      </w:tr>
      <w:tr w:rsidR="00024C0A" w:rsidTr="00024C0A">
        <w:tc>
          <w:tcPr>
            <w:tcW w:w="0" w:type="auto"/>
            <w:vAlign w:val="center"/>
          </w:tcPr>
          <w:p w:rsidR="00024C0A" w:rsidRDefault="00694C0F">
            <w:pPr>
              <w:pStyle w:val="TableBodyText"/>
            </w:pPr>
            <w:r>
              <w:t>Rnd</w:t>
            </w:r>
          </w:p>
        </w:tc>
      </w:tr>
      <w:tr w:rsidR="00024C0A" w:rsidTr="00024C0A">
        <w:tc>
          <w:tcPr>
            <w:tcW w:w="0" w:type="auto"/>
            <w:vAlign w:val="center"/>
          </w:tcPr>
          <w:p w:rsidR="00024C0A" w:rsidRDefault="00694C0F">
            <w:pPr>
              <w:pStyle w:val="TableBodyText"/>
            </w:pPr>
            <w:r>
              <w:t>RtlKeyb</w:t>
            </w:r>
          </w:p>
        </w:tc>
      </w:tr>
      <w:tr w:rsidR="00024C0A" w:rsidTr="00024C0A">
        <w:tc>
          <w:tcPr>
            <w:tcW w:w="0" w:type="auto"/>
            <w:vAlign w:val="center"/>
          </w:tcPr>
          <w:p w:rsidR="00024C0A" w:rsidRDefault="00694C0F">
            <w:pPr>
              <w:pStyle w:val="TableBodyText"/>
            </w:pPr>
            <w:r>
              <w:t>RtlPara</w:t>
            </w:r>
          </w:p>
        </w:tc>
      </w:tr>
      <w:tr w:rsidR="00024C0A" w:rsidTr="00024C0A">
        <w:tc>
          <w:tcPr>
            <w:tcW w:w="0" w:type="auto"/>
            <w:vAlign w:val="center"/>
          </w:tcPr>
          <w:p w:rsidR="00024C0A" w:rsidRDefault="00694C0F">
            <w:pPr>
              <w:pStyle w:val="TableBodyText"/>
            </w:pPr>
            <w:r>
              <w:t>RtlRun</w:t>
            </w:r>
          </w:p>
        </w:tc>
      </w:tr>
      <w:tr w:rsidR="00024C0A" w:rsidTr="00024C0A">
        <w:tc>
          <w:tcPr>
            <w:tcW w:w="0" w:type="auto"/>
            <w:vAlign w:val="center"/>
          </w:tcPr>
          <w:p w:rsidR="00024C0A" w:rsidRDefault="00694C0F">
            <w:pPr>
              <w:pStyle w:val="TableBodyText"/>
            </w:pPr>
            <w:r>
              <w:t>ScreenUpdating</w:t>
            </w:r>
          </w:p>
        </w:tc>
      </w:tr>
      <w:tr w:rsidR="00024C0A" w:rsidTr="00024C0A">
        <w:tc>
          <w:tcPr>
            <w:tcW w:w="0" w:type="auto"/>
            <w:vAlign w:val="center"/>
          </w:tcPr>
          <w:p w:rsidR="00024C0A" w:rsidRDefault="00694C0F">
            <w:pPr>
              <w:pStyle w:val="TableBodyText"/>
            </w:pPr>
            <w:r>
              <w:t>Second</w:t>
            </w:r>
          </w:p>
        </w:tc>
      </w:tr>
      <w:tr w:rsidR="00024C0A" w:rsidTr="00024C0A">
        <w:tc>
          <w:tcPr>
            <w:tcW w:w="0" w:type="auto"/>
            <w:vAlign w:val="center"/>
          </w:tcPr>
          <w:p w:rsidR="00024C0A" w:rsidRDefault="00694C0F">
            <w:pPr>
              <w:pStyle w:val="TableBodyText"/>
            </w:pPr>
            <w:r>
              <w:t>Seek</w:t>
            </w:r>
          </w:p>
        </w:tc>
      </w:tr>
      <w:tr w:rsidR="00024C0A" w:rsidTr="00024C0A">
        <w:tc>
          <w:tcPr>
            <w:tcW w:w="0" w:type="auto"/>
            <w:vAlign w:val="center"/>
          </w:tcPr>
          <w:p w:rsidR="00024C0A" w:rsidRDefault="00694C0F">
            <w:pPr>
              <w:pStyle w:val="TableBodyText"/>
            </w:pPr>
            <w:r>
              <w:lastRenderedPageBreak/>
              <w:t>SelInfo</w:t>
            </w:r>
          </w:p>
        </w:tc>
      </w:tr>
      <w:tr w:rsidR="00024C0A" w:rsidTr="00024C0A">
        <w:tc>
          <w:tcPr>
            <w:tcW w:w="0" w:type="auto"/>
            <w:vAlign w:val="center"/>
          </w:tcPr>
          <w:p w:rsidR="00024C0A" w:rsidRDefault="00694C0F">
            <w:pPr>
              <w:pStyle w:val="TableBodyText"/>
            </w:pPr>
            <w:r>
              <w:t>SelType</w:t>
            </w:r>
          </w:p>
        </w:tc>
      </w:tr>
      <w:tr w:rsidR="00024C0A" w:rsidTr="00024C0A">
        <w:tc>
          <w:tcPr>
            <w:tcW w:w="0" w:type="auto"/>
            <w:vAlign w:val="center"/>
          </w:tcPr>
          <w:p w:rsidR="00024C0A" w:rsidRDefault="00694C0F">
            <w:pPr>
              <w:pStyle w:val="TableBodyText"/>
            </w:pPr>
            <w:r>
              <w:t>SelectCurLine</w:t>
            </w:r>
          </w:p>
        </w:tc>
      </w:tr>
      <w:tr w:rsidR="00024C0A" w:rsidTr="00024C0A">
        <w:tc>
          <w:tcPr>
            <w:tcW w:w="0" w:type="auto"/>
            <w:vAlign w:val="center"/>
          </w:tcPr>
          <w:p w:rsidR="00024C0A" w:rsidRDefault="00694C0F">
            <w:pPr>
              <w:pStyle w:val="TableBodyText"/>
            </w:pPr>
            <w:r>
              <w:t>SelectCurPara</w:t>
            </w:r>
          </w:p>
        </w:tc>
      </w:tr>
      <w:tr w:rsidR="00024C0A" w:rsidTr="00024C0A">
        <w:tc>
          <w:tcPr>
            <w:tcW w:w="0" w:type="auto"/>
            <w:vAlign w:val="center"/>
          </w:tcPr>
          <w:p w:rsidR="00024C0A" w:rsidRDefault="00694C0F">
            <w:pPr>
              <w:pStyle w:val="TableBodyText"/>
            </w:pPr>
            <w:r>
              <w:t>SelectCurSentence</w:t>
            </w:r>
          </w:p>
        </w:tc>
      </w:tr>
      <w:tr w:rsidR="00024C0A" w:rsidTr="00024C0A">
        <w:tc>
          <w:tcPr>
            <w:tcW w:w="0" w:type="auto"/>
            <w:vAlign w:val="center"/>
          </w:tcPr>
          <w:p w:rsidR="00024C0A" w:rsidRDefault="00694C0F">
            <w:pPr>
              <w:pStyle w:val="TableBodyText"/>
            </w:pPr>
            <w:r>
              <w:t>SelectCurWord</w:t>
            </w:r>
          </w:p>
        </w:tc>
      </w:tr>
      <w:tr w:rsidR="00024C0A" w:rsidTr="00024C0A">
        <w:tc>
          <w:tcPr>
            <w:tcW w:w="0" w:type="auto"/>
            <w:vAlign w:val="center"/>
          </w:tcPr>
          <w:p w:rsidR="00024C0A" w:rsidRDefault="00694C0F">
            <w:pPr>
              <w:pStyle w:val="TableBodyText"/>
            </w:pPr>
            <w:r>
              <w:t>SendKeys</w:t>
            </w:r>
          </w:p>
        </w:tc>
      </w:tr>
      <w:tr w:rsidR="00024C0A" w:rsidTr="00024C0A">
        <w:tc>
          <w:tcPr>
            <w:tcW w:w="0" w:type="auto"/>
            <w:vAlign w:val="center"/>
          </w:tcPr>
          <w:p w:rsidR="00024C0A" w:rsidRDefault="00694C0F">
            <w:pPr>
              <w:pStyle w:val="TableBodyText"/>
            </w:pPr>
            <w:r>
              <w:t>SentLeft</w:t>
            </w:r>
          </w:p>
        </w:tc>
      </w:tr>
      <w:tr w:rsidR="00024C0A" w:rsidTr="00024C0A">
        <w:tc>
          <w:tcPr>
            <w:tcW w:w="0" w:type="auto"/>
            <w:vAlign w:val="center"/>
          </w:tcPr>
          <w:p w:rsidR="00024C0A" w:rsidRDefault="00694C0F">
            <w:pPr>
              <w:pStyle w:val="TableBodyText"/>
            </w:pPr>
            <w:r>
              <w:t>SentRight</w:t>
            </w:r>
          </w:p>
        </w:tc>
      </w:tr>
      <w:tr w:rsidR="00024C0A" w:rsidTr="00024C0A">
        <w:tc>
          <w:tcPr>
            <w:tcW w:w="0" w:type="auto"/>
            <w:vAlign w:val="center"/>
          </w:tcPr>
          <w:p w:rsidR="00024C0A" w:rsidRDefault="00694C0F">
            <w:pPr>
              <w:pStyle w:val="TableBodyText"/>
            </w:pPr>
            <w:r>
              <w:t>SetAttr</w:t>
            </w:r>
          </w:p>
        </w:tc>
      </w:tr>
      <w:tr w:rsidR="00024C0A" w:rsidTr="00024C0A">
        <w:tc>
          <w:tcPr>
            <w:tcW w:w="0" w:type="auto"/>
            <w:vAlign w:val="center"/>
          </w:tcPr>
          <w:p w:rsidR="00024C0A" w:rsidRDefault="00694C0F">
            <w:pPr>
              <w:pStyle w:val="TableBodyText"/>
            </w:pPr>
            <w:r>
              <w:t>SetAutoText</w:t>
            </w:r>
          </w:p>
        </w:tc>
      </w:tr>
      <w:tr w:rsidR="00024C0A" w:rsidTr="00024C0A">
        <w:tc>
          <w:tcPr>
            <w:tcW w:w="0" w:type="auto"/>
            <w:vAlign w:val="center"/>
          </w:tcPr>
          <w:p w:rsidR="00024C0A" w:rsidRDefault="00694C0F">
            <w:pPr>
              <w:pStyle w:val="TableBodyText"/>
            </w:pPr>
            <w:r>
              <w:t>SetDocumentDirty</w:t>
            </w:r>
          </w:p>
        </w:tc>
      </w:tr>
      <w:tr w:rsidR="00024C0A" w:rsidTr="00024C0A">
        <w:tc>
          <w:tcPr>
            <w:tcW w:w="0" w:type="auto"/>
            <w:vAlign w:val="center"/>
          </w:tcPr>
          <w:p w:rsidR="00024C0A" w:rsidRDefault="00694C0F">
            <w:pPr>
              <w:pStyle w:val="TableBodyText"/>
            </w:pPr>
            <w:r>
              <w:t>SetDocumentProperty</w:t>
            </w:r>
          </w:p>
        </w:tc>
      </w:tr>
      <w:tr w:rsidR="00024C0A" w:rsidTr="00024C0A">
        <w:tc>
          <w:tcPr>
            <w:tcW w:w="0" w:type="auto"/>
            <w:vAlign w:val="center"/>
          </w:tcPr>
          <w:p w:rsidR="00024C0A" w:rsidRDefault="00694C0F">
            <w:pPr>
              <w:pStyle w:val="TableBodyText"/>
            </w:pPr>
            <w:r>
              <w:t>SetDocumentPropertyLink</w:t>
            </w:r>
          </w:p>
        </w:tc>
      </w:tr>
      <w:tr w:rsidR="00024C0A" w:rsidTr="00024C0A">
        <w:tc>
          <w:tcPr>
            <w:tcW w:w="0" w:type="auto"/>
            <w:vAlign w:val="center"/>
          </w:tcPr>
          <w:p w:rsidR="00024C0A" w:rsidRDefault="00694C0F">
            <w:pPr>
              <w:pStyle w:val="TableBodyText"/>
            </w:pPr>
            <w:r>
              <w:t>SetDocumentVar</w:t>
            </w:r>
          </w:p>
        </w:tc>
      </w:tr>
      <w:tr w:rsidR="00024C0A" w:rsidTr="00024C0A">
        <w:tc>
          <w:tcPr>
            <w:tcW w:w="0" w:type="auto"/>
            <w:vAlign w:val="center"/>
          </w:tcPr>
          <w:p w:rsidR="00024C0A" w:rsidRDefault="00694C0F">
            <w:pPr>
              <w:pStyle w:val="TableBodyText"/>
            </w:pPr>
            <w:r>
              <w:t>SetEndOfBookmark</w:t>
            </w:r>
          </w:p>
        </w:tc>
      </w:tr>
      <w:tr w:rsidR="00024C0A" w:rsidTr="00024C0A">
        <w:tc>
          <w:tcPr>
            <w:tcW w:w="0" w:type="auto"/>
            <w:vAlign w:val="center"/>
          </w:tcPr>
          <w:p w:rsidR="00024C0A" w:rsidRDefault="00694C0F">
            <w:pPr>
              <w:pStyle w:val="TableBodyText"/>
            </w:pPr>
            <w:r>
              <w:t>SetFileCreatorAndType</w:t>
            </w:r>
          </w:p>
        </w:tc>
      </w:tr>
      <w:tr w:rsidR="00024C0A" w:rsidTr="00024C0A">
        <w:tc>
          <w:tcPr>
            <w:tcW w:w="0" w:type="auto"/>
            <w:vAlign w:val="center"/>
          </w:tcPr>
          <w:p w:rsidR="00024C0A" w:rsidRDefault="00694C0F">
            <w:pPr>
              <w:pStyle w:val="TableBodyText"/>
            </w:pPr>
            <w:r>
              <w:t>SetFormResult</w:t>
            </w:r>
          </w:p>
        </w:tc>
      </w:tr>
      <w:tr w:rsidR="00024C0A" w:rsidTr="00024C0A">
        <w:tc>
          <w:tcPr>
            <w:tcW w:w="0" w:type="auto"/>
            <w:vAlign w:val="center"/>
          </w:tcPr>
          <w:p w:rsidR="00024C0A" w:rsidRDefault="00694C0F">
            <w:pPr>
              <w:pStyle w:val="TableBodyText"/>
            </w:pPr>
            <w:r>
              <w:t>SetPrivateProfileString</w:t>
            </w:r>
          </w:p>
        </w:tc>
      </w:tr>
      <w:tr w:rsidR="00024C0A" w:rsidTr="00024C0A">
        <w:tc>
          <w:tcPr>
            <w:tcW w:w="0" w:type="auto"/>
            <w:vAlign w:val="center"/>
          </w:tcPr>
          <w:p w:rsidR="00024C0A" w:rsidRDefault="00694C0F">
            <w:pPr>
              <w:pStyle w:val="TableBodyText"/>
            </w:pPr>
            <w:r>
              <w:t>SetProfileString</w:t>
            </w:r>
          </w:p>
        </w:tc>
      </w:tr>
      <w:tr w:rsidR="00024C0A" w:rsidTr="00024C0A">
        <w:tc>
          <w:tcPr>
            <w:tcW w:w="0" w:type="auto"/>
            <w:vAlign w:val="center"/>
          </w:tcPr>
          <w:p w:rsidR="00024C0A" w:rsidRDefault="00694C0F">
            <w:pPr>
              <w:pStyle w:val="TableBodyText"/>
            </w:pPr>
            <w:r>
              <w:t>SetSelRange</w:t>
            </w:r>
          </w:p>
        </w:tc>
      </w:tr>
      <w:tr w:rsidR="00024C0A" w:rsidTr="00024C0A">
        <w:tc>
          <w:tcPr>
            <w:tcW w:w="0" w:type="auto"/>
            <w:vAlign w:val="center"/>
          </w:tcPr>
          <w:p w:rsidR="00024C0A" w:rsidRDefault="00694C0F">
            <w:pPr>
              <w:pStyle w:val="TableBodyText"/>
            </w:pPr>
            <w:r>
              <w:t>SetStartOfBookmark</w:t>
            </w:r>
          </w:p>
        </w:tc>
      </w:tr>
      <w:tr w:rsidR="00024C0A" w:rsidTr="00024C0A">
        <w:tc>
          <w:tcPr>
            <w:tcW w:w="0" w:type="auto"/>
            <w:vAlign w:val="center"/>
          </w:tcPr>
          <w:p w:rsidR="00024C0A" w:rsidRDefault="00694C0F">
            <w:pPr>
              <w:pStyle w:val="TableBodyText"/>
            </w:pPr>
            <w:r>
              <w:t>SetTemplateDirty</w:t>
            </w:r>
          </w:p>
        </w:tc>
      </w:tr>
      <w:tr w:rsidR="00024C0A" w:rsidTr="00024C0A">
        <w:tc>
          <w:tcPr>
            <w:tcW w:w="0" w:type="auto"/>
            <w:vAlign w:val="center"/>
          </w:tcPr>
          <w:p w:rsidR="00024C0A" w:rsidRDefault="00694C0F">
            <w:pPr>
              <w:pStyle w:val="TableBodyText"/>
            </w:pPr>
            <w:r>
              <w:t>Sgn</w:t>
            </w:r>
          </w:p>
        </w:tc>
      </w:tr>
      <w:tr w:rsidR="00024C0A" w:rsidTr="00024C0A">
        <w:tc>
          <w:tcPr>
            <w:tcW w:w="0" w:type="auto"/>
            <w:vAlign w:val="center"/>
          </w:tcPr>
          <w:p w:rsidR="00024C0A" w:rsidRDefault="00694C0F">
            <w:pPr>
              <w:pStyle w:val="TableBodyText"/>
            </w:pPr>
            <w:r>
              <w:t>ShadingPattern</w:t>
            </w:r>
          </w:p>
        </w:tc>
      </w:tr>
      <w:tr w:rsidR="00024C0A" w:rsidTr="00024C0A">
        <w:tc>
          <w:tcPr>
            <w:tcW w:w="0" w:type="auto"/>
            <w:vAlign w:val="center"/>
          </w:tcPr>
          <w:p w:rsidR="00024C0A" w:rsidRDefault="00694C0F">
            <w:pPr>
              <w:pStyle w:val="TableBodyText"/>
            </w:pPr>
            <w:r>
              <w:t>Shadow</w:t>
            </w:r>
          </w:p>
        </w:tc>
      </w:tr>
      <w:tr w:rsidR="00024C0A" w:rsidTr="00024C0A">
        <w:tc>
          <w:tcPr>
            <w:tcW w:w="0" w:type="auto"/>
            <w:vAlign w:val="center"/>
          </w:tcPr>
          <w:p w:rsidR="00024C0A" w:rsidRDefault="00694C0F">
            <w:pPr>
              <w:pStyle w:val="TableBodyText"/>
            </w:pPr>
            <w:r>
              <w:t>Shell</w:t>
            </w:r>
          </w:p>
        </w:tc>
      </w:tr>
      <w:tr w:rsidR="00024C0A" w:rsidTr="00024C0A">
        <w:tc>
          <w:tcPr>
            <w:tcW w:w="0" w:type="auto"/>
            <w:vAlign w:val="center"/>
          </w:tcPr>
          <w:p w:rsidR="00024C0A" w:rsidRDefault="00694C0F">
            <w:pPr>
              <w:pStyle w:val="TableBodyText"/>
            </w:pPr>
            <w:r>
              <w:t>ShowAlerts</w:t>
            </w:r>
          </w:p>
        </w:tc>
      </w:tr>
      <w:tr w:rsidR="00024C0A" w:rsidTr="00024C0A">
        <w:tc>
          <w:tcPr>
            <w:tcW w:w="0" w:type="auto"/>
            <w:vAlign w:val="center"/>
          </w:tcPr>
          <w:p w:rsidR="00024C0A" w:rsidRDefault="00694C0F">
            <w:pPr>
              <w:pStyle w:val="TableBodyText"/>
            </w:pPr>
            <w:r>
              <w:t>ShowAll</w:t>
            </w:r>
          </w:p>
        </w:tc>
      </w:tr>
      <w:tr w:rsidR="00024C0A" w:rsidTr="00024C0A">
        <w:tc>
          <w:tcPr>
            <w:tcW w:w="0" w:type="auto"/>
            <w:vAlign w:val="center"/>
          </w:tcPr>
          <w:p w:rsidR="00024C0A" w:rsidRDefault="00694C0F">
            <w:pPr>
              <w:pStyle w:val="TableBodyText"/>
            </w:pPr>
            <w:r>
              <w:t>ShowAnnotationBy</w:t>
            </w:r>
          </w:p>
        </w:tc>
      </w:tr>
      <w:tr w:rsidR="00024C0A" w:rsidTr="00024C0A">
        <w:tc>
          <w:tcPr>
            <w:tcW w:w="0" w:type="auto"/>
            <w:vAlign w:val="center"/>
          </w:tcPr>
          <w:p w:rsidR="00024C0A" w:rsidRDefault="00694C0F">
            <w:pPr>
              <w:pStyle w:val="TableBodyText"/>
            </w:pPr>
            <w:r>
              <w:t>SizeToolbar</w:t>
            </w:r>
          </w:p>
        </w:tc>
      </w:tr>
      <w:tr w:rsidR="00024C0A" w:rsidTr="00024C0A">
        <w:tc>
          <w:tcPr>
            <w:tcW w:w="0" w:type="auto"/>
            <w:vAlign w:val="center"/>
          </w:tcPr>
          <w:p w:rsidR="00024C0A" w:rsidRDefault="00694C0F">
            <w:pPr>
              <w:pStyle w:val="TableBodyText"/>
            </w:pPr>
            <w:r>
              <w:t>SkipNumbering</w:t>
            </w:r>
          </w:p>
        </w:tc>
      </w:tr>
      <w:tr w:rsidR="00024C0A" w:rsidTr="00024C0A">
        <w:tc>
          <w:tcPr>
            <w:tcW w:w="0" w:type="auto"/>
            <w:vAlign w:val="center"/>
          </w:tcPr>
          <w:p w:rsidR="00024C0A" w:rsidRDefault="00694C0F">
            <w:pPr>
              <w:pStyle w:val="TableBodyText"/>
            </w:pPr>
            <w:r>
              <w:lastRenderedPageBreak/>
              <w:t>SmallCaps</w:t>
            </w:r>
          </w:p>
        </w:tc>
      </w:tr>
      <w:tr w:rsidR="00024C0A" w:rsidTr="00024C0A">
        <w:tc>
          <w:tcPr>
            <w:tcW w:w="0" w:type="auto"/>
            <w:vAlign w:val="center"/>
          </w:tcPr>
          <w:p w:rsidR="00024C0A" w:rsidRDefault="00694C0F">
            <w:pPr>
              <w:pStyle w:val="TableBodyText"/>
            </w:pPr>
            <w:r>
              <w:t>SortArray</w:t>
            </w:r>
          </w:p>
        </w:tc>
      </w:tr>
      <w:tr w:rsidR="00024C0A" w:rsidTr="00024C0A">
        <w:tc>
          <w:tcPr>
            <w:tcW w:w="0" w:type="auto"/>
            <w:vAlign w:val="center"/>
          </w:tcPr>
          <w:p w:rsidR="00024C0A" w:rsidRDefault="00694C0F">
            <w:pPr>
              <w:pStyle w:val="TableBodyText"/>
            </w:pPr>
            <w:r>
              <w:t>SpacePara1</w:t>
            </w:r>
          </w:p>
        </w:tc>
      </w:tr>
      <w:tr w:rsidR="00024C0A" w:rsidTr="00024C0A">
        <w:tc>
          <w:tcPr>
            <w:tcW w:w="0" w:type="auto"/>
            <w:vAlign w:val="center"/>
          </w:tcPr>
          <w:p w:rsidR="00024C0A" w:rsidRDefault="00694C0F">
            <w:pPr>
              <w:pStyle w:val="TableBodyText"/>
            </w:pPr>
            <w:r>
              <w:t>SpacePara15</w:t>
            </w:r>
          </w:p>
        </w:tc>
      </w:tr>
      <w:tr w:rsidR="00024C0A" w:rsidTr="00024C0A">
        <w:tc>
          <w:tcPr>
            <w:tcW w:w="0" w:type="auto"/>
            <w:vAlign w:val="center"/>
          </w:tcPr>
          <w:p w:rsidR="00024C0A" w:rsidRDefault="00694C0F">
            <w:pPr>
              <w:pStyle w:val="TableBodyText"/>
            </w:pPr>
            <w:r>
              <w:t>SpacePara2</w:t>
            </w:r>
          </w:p>
        </w:tc>
      </w:tr>
      <w:tr w:rsidR="00024C0A" w:rsidTr="00024C0A">
        <w:tc>
          <w:tcPr>
            <w:tcW w:w="0" w:type="auto"/>
            <w:vAlign w:val="center"/>
          </w:tcPr>
          <w:p w:rsidR="00024C0A" w:rsidRDefault="00694C0F">
            <w:pPr>
              <w:pStyle w:val="TableBodyText"/>
            </w:pPr>
            <w:r>
              <w:t>SpellChecked</w:t>
            </w:r>
          </w:p>
        </w:tc>
      </w:tr>
      <w:tr w:rsidR="00024C0A" w:rsidTr="00024C0A">
        <w:tc>
          <w:tcPr>
            <w:tcW w:w="0" w:type="auto"/>
            <w:vAlign w:val="center"/>
          </w:tcPr>
          <w:p w:rsidR="00024C0A" w:rsidRDefault="00694C0F">
            <w:pPr>
              <w:pStyle w:val="TableBodyText"/>
            </w:pPr>
            <w:r>
              <w:t>StartOfColumn</w:t>
            </w:r>
          </w:p>
        </w:tc>
      </w:tr>
      <w:tr w:rsidR="00024C0A" w:rsidTr="00024C0A">
        <w:tc>
          <w:tcPr>
            <w:tcW w:w="0" w:type="auto"/>
            <w:vAlign w:val="center"/>
          </w:tcPr>
          <w:p w:rsidR="00024C0A" w:rsidRDefault="00694C0F">
            <w:pPr>
              <w:pStyle w:val="TableBodyText"/>
            </w:pPr>
            <w:r>
              <w:t>StartOfDocument</w:t>
            </w:r>
          </w:p>
        </w:tc>
      </w:tr>
      <w:tr w:rsidR="00024C0A" w:rsidTr="00024C0A">
        <w:tc>
          <w:tcPr>
            <w:tcW w:w="0" w:type="auto"/>
            <w:vAlign w:val="center"/>
          </w:tcPr>
          <w:p w:rsidR="00024C0A" w:rsidRDefault="00694C0F">
            <w:pPr>
              <w:pStyle w:val="TableBodyText"/>
            </w:pPr>
            <w:r>
              <w:t>StartOfLine</w:t>
            </w:r>
          </w:p>
        </w:tc>
      </w:tr>
      <w:tr w:rsidR="00024C0A" w:rsidTr="00024C0A">
        <w:tc>
          <w:tcPr>
            <w:tcW w:w="0" w:type="auto"/>
            <w:vAlign w:val="center"/>
          </w:tcPr>
          <w:p w:rsidR="00024C0A" w:rsidRDefault="00694C0F">
            <w:pPr>
              <w:pStyle w:val="TableBodyText"/>
            </w:pPr>
            <w:r>
              <w:t>StartOfRow</w:t>
            </w:r>
          </w:p>
        </w:tc>
      </w:tr>
      <w:tr w:rsidR="00024C0A" w:rsidTr="00024C0A">
        <w:tc>
          <w:tcPr>
            <w:tcW w:w="0" w:type="auto"/>
            <w:vAlign w:val="center"/>
          </w:tcPr>
          <w:p w:rsidR="00024C0A" w:rsidRDefault="00694C0F">
            <w:pPr>
              <w:pStyle w:val="TableBodyText"/>
            </w:pPr>
            <w:r>
              <w:t>StartOfWindow</w:t>
            </w:r>
          </w:p>
        </w:tc>
      </w:tr>
      <w:tr w:rsidR="00024C0A" w:rsidTr="00024C0A">
        <w:tc>
          <w:tcPr>
            <w:tcW w:w="0" w:type="auto"/>
            <w:vAlign w:val="center"/>
          </w:tcPr>
          <w:p w:rsidR="00024C0A" w:rsidRDefault="00694C0F">
            <w:pPr>
              <w:pStyle w:val="TableBodyText"/>
            </w:pPr>
            <w:r>
              <w:t>Stop</w:t>
            </w:r>
          </w:p>
        </w:tc>
      </w:tr>
      <w:tr w:rsidR="00024C0A" w:rsidTr="00024C0A">
        <w:tc>
          <w:tcPr>
            <w:tcW w:w="0" w:type="auto"/>
            <w:vAlign w:val="center"/>
          </w:tcPr>
          <w:p w:rsidR="00024C0A" w:rsidRDefault="00694C0F">
            <w:pPr>
              <w:pStyle w:val="TableBodyText"/>
            </w:pPr>
            <w:r>
              <w:t>Strikethrough</w:t>
            </w:r>
          </w:p>
        </w:tc>
      </w:tr>
      <w:tr w:rsidR="00024C0A" w:rsidTr="00024C0A">
        <w:tc>
          <w:tcPr>
            <w:tcW w:w="0" w:type="auto"/>
            <w:vAlign w:val="center"/>
          </w:tcPr>
          <w:p w:rsidR="00024C0A" w:rsidRDefault="00694C0F">
            <w:pPr>
              <w:pStyle w:val="TableBodyText"/>
            </w:pPr>
            <w:r>
              <w:t>Style</w:t>
            </w:r>
          </w:p>
        </w:tc>
      </w:tr>
      <w:tr w:rsidR="00024C0A" w:rsidTr="00024C0A">
        <w:tc>
          <w:tcPr>
            <w:tcW w:w="0" w:type="auto"/>
            <w:vAlign w:val="center"/>
          </w:tcPr>
          <w:p w:rsidR="00024C0A" w:rsidRDefault="00694C0F">
            <w:pPr>
              <w:pStyle w:val="TableBodyText"/>
            </w:pPr>
            <w:r>
              <w:t>Subscript</w:t>
            </w:r>
          </w:p>
        </w:tc>
      </w:tr>
      <w:tr w:rsidR="00024C0A" w:rsidTr="00024C0A">
        <w:tc>
          <w:tcPr>
            <w:tcW w:w="0" w:type="auto"/>
            <w:vAlign w:val="center"/>
          </w:tcPr>
          <w:p w:rsidR="00024C0A" w:rsidRDefault="00694C0F">
            <w:pPr>
              <w:pStyle w:val="TableBodyText"/>
            </w:pPr>
            <w:r>
              <w:t>Superscript</w:t>
            </w:r>
          </w:p>
        </w:tc>
      </w:tr>
      <w:tr w:rsidR="00024C0A" w:rsidTr="00024C0A">
        <w:tc>
          <w:tcPr>
            <w:tcW w:w="0" w:type="auto"/>
            <w:vAlign w:val="center"/>
          </w:tcPr>
          <w:p w:rsidR="00024C0A" w:rsidRDefault="00694C0F">
            <w:pPr>
              <w:pStyle w:val="TableBodyText"/>
            </w:pPr>
            <w:r>
              <w:t>SymbolFont</w:t>
            </w:r>
          </w:p>
        </w:tc>
      </w:tr>
      <w:tr w:rsidR="00024C0A" w:rsidTr="00024C0A">
        <w:tc>
          <w:tcPr>
            <w:tcW w:w="0" w:type="auto"/>
            <w:vAlign w:val="center"/>
          </w:tcPr>
          <w:p w:rsidR="00024C0A" w:rsidRDefault="00694C0F">
            <w:pPr>
              <w:pStyle w:val="TableBodyText"/>
            </w:pPr>
            <w:r>
              <w:t>TabType</w:t>
            </w:r>
          </w:p>
        </w:tc>
      </w:tr>
      <w:tr w:rsidR="00024C0A" w:rsidTr="00024C0A">
        <w:tc>
          <w:tcPr>
            <w:tcW w:w="0" w:type="auto"/>
            <w:vAlign w:val="center"/>
          </w:tcPr>
          <w:p w:rsidR="00024C0A" w:rsidRDefault="00694C0F">
            <w:pPr>
              <w:pStyle w:val="TableBodyText"/>
            </w:pPr>
            <w:r>
              <w:t>TableGridlines</w:t>
            </w:r>
          </w:p>
        </w:tc>
      </w:tr>
      <w:tr w:rsidR="00024C0A" w:rsidTr="00024C0A">
        <w:tc>
          <w:tcPr>
            <w:tcW w:w="0" w:type="auto"/>
            <w:vAlign w:val="center"/>
          </w:tcPr>
          <w:p w:rsidR="00024C0A" w:rsidRDefault="00694C0F">
            <w:pPr>
              <w:pStyle w:val="TableBodyText"/>
            </w:pPr>
            <w:r>
              <w:t>TableHeadings</w:t>
            </w:r>
          </w:p>
        </w:tc>
      </w:tr>
      <w:tr w:rsidR="00024C0A" w:rsidTr="00024C0A">
        <w:tc>
          <w:tcPr>
            <w:tcW w:w="0" w:type="auto"/>
            <w:vAlign w:val="center"/>
          </w:tcPr>
          <w:p w:rsidR="00024C0A" w:rsidRDefault="00694C0F">
            <w:pPr>
              <w:pStyle w:val="TableBodyText"/>
            </w:pPr>
            <w:r>
              <w:t>Text</w:t>
            </w:r>
          </w:p>
        </w:tc>
      </w:tr>
      <w:tr w:rsidR="00024C0A" w:rsidTr="00024C0A">
        <w:tc>
          <w:tcPr>
            <w:tcW w:w="0" w:type="auto"/>
            <w:vAlign w:val="center"/>
          </w:tcPr>
          <w:p w:rsidR="00024C0A" w:rsidRDefault="00694C0F">
            <w:pPr>
              <w:pStyle w:val="TableBodyText"/>
            </w:pPr>
            <w:r>
              <w:t>TextBox</w:t>
            </w:r>
          </w:p>
        </w:tc>
      </w:tr>
      <w:tr w:rsidR="00024C0A" w:rsidTr="00024C0A">
        <w:tc>
          <w:tcPr>
            <w:tcW w:w="0" w:type="auto"/>
            <w:vAlign w:val="center"/>
          </w:tcPr>
          <w:p w:rsidR="00024C0A" w:rsidRDefault="00694C0F">
            <w:pPr>
              <w:pStyle w:val="TableBodyText"/>
            </w:pPr>
            <w:r>
              <w:t>TimeSerial</w:t>
            </w:r>
          </w:p>
        </w:tc>
      </w:tr>
      <w:tr w:rsidR="00024C0A" w:rsidTr="00024C0A">
        <w:tc>
          <w:tcPr>
            <w:tcW w:w="0" w:type="auto"/>
            <w:vAlign w:val="center"/>
          </w:tcPr>
          <w:p w:rsidR="00024C0A" w:rsidRDefault="00694C0F">
            <w:pPr>
              <w:pStyle w:val="TableBodyText"/>
            </w:pPr>
            <w:r>
              <w:t>TimeValue</w:t>
            </w:r>
          </w:p>
        </w:tc>
      </w:tr>
      <w:tr w:rsidR="00024C0A" w:rsidTr="00024C0A">
        <w:tc>
          <w:tcPr>
            <w:tcW w:w="0" w:type="auto"/>
            <w:vAlign w:val="center"/>
          </w:tcPr>
          <w:p w:rsidR="00024C0A" w:rsidRDefault="00694C0F">
            <w:pPr>
              <w:pStyle w:val="TableBodyText"/>
            </w:pPr>
            <w:r>
              <w:t>Today</w:t>
            </w:r>
          </w:p>
        </w:tc>
      </w:tr>
      <w:tr w:rsidR="00024C0A" w:rsidTr="00024C0A">
        <w:tc>
          <w:tcPr>
            <w:tcW w:w="0" w:type="auto"/>
            <w:vAlign w:val="center"/>
          </w:tcPr>
          <w:p w:rsidR="00024C0A" w:rsidRDefault="00694C0F">
            <w:pPr>
              <w:pStyle w:val="TableBodyText"/>
            </w:pPr>
            <w:r>
              <w:t>ToolbarState</w:t>
            </w:r>
          </w:p>
        </w:tc>
      </w:tr>
      <w:tr w:rsidR="00024C0A" w:rsidTr="00024C0A">
        <w:tc>
          <w:tcPr>
            <w:tcW w:w="0" w:type="auto"/>
            <w:vAlign w:val="center"/>
          </w:tcPr>
          <w:p w:rsidR="00024C0A" w:rsidRDefault="00694C0F">
            <w:pPr>
              <w:pStyle w:val="TableBodyText"/>
            </w:pPr>
            <w:r>
              <w:t>ToolsAutoCorrectCapsLockOff</w:t>
            </w:r>
          </w:p>
        </w:tc>
      </w:tr>
      <w:tr w:rsidR="00024C0A" w:rsidTr="00024C0A">
        <w:tc>
          <w:tcPr>
            <w:tcW w:w="0" w:type="auto"/>
            <w:vAlign w:val="center"/>
          </w:tcPr>
          <w:p w:rsidR="00024C0A" w:rsidRDefault="00694C0F">
            <w:pPr>
              <w:pStyle w:val="TableBodyText"/>
            </w:pPr>
            <w:r>
              <w:t>ToolsAutoCorrectDays</w:t>
            </w:r>
          </w:p>
        </w:tc>
      </w:tr>
      <w:tr w:rsidR="00024C0A" w:rsidTr="00024C0A">
        <w:tc>
          <w:tcPr>
            <w:tcW w:w="0" w:type="auto"/>
            <w:vAlign w:val="center"/>
          </w:tcPr>
          <w:p w:rsidR="00024C0A" w:rsidRDefault="00694C0F">
            <w:pPr>
              <w:pStyle w:val="TableBodyText"/>
            </w:pPr>
            <w:r>
              <w:t>ToolsAutoCorrectInitialCaps</w:t>
            </w:r>
          </w:p>
        </w:tc>
      </w:tr>
      <w:tr w:rsidR="00024C0A" w:rsidTr="00024C0A">
        <w:tc>
          <w:tcPr>
            <w:tcW w:w="0" w:type="auto"/>
            <w:vAlign w:val="center"/>
          </w:tcPr>
          <w:p w:rsidR="00024C0A" w:rsidRDefault="00694C0F">
            <w:pPr>
              <w:pStyle w:val="TableBodyText"/>
            </w:pPr>
            <w:r>
              <w:t>ToolsAutoCorrectReplaceText</w:t>
            </w:r>
          </w:p>
        </w:tc>
      </w:tr>
      <w:tr w:rsidR="00024C0A" w:rsidTr="00024C0A">
        <w:tc>
          <w:tcPr>
            <w:tcW w:w="0" w:type="auto"/>
            <w:vAlign w:val="center"/>
          </w:tcPr>
          <w:p w:rsidR="00024C0A" w:rsidRDefault="00694C0F">
            <w:pPr>
              <w:pStyle w:val="TableBodyText"/>
            </w:pPr>
            <w:r>
              <w:t>ToolsAutoCorrectReplaceTextFromSpellingChecker</w:t>
            </w:r>
          </w:p>
        </w:tc>
      </w:tr>
      <w:tr w:rsidR="00024C0A" w:rsidTr="00024C0A">
        <w:tc>
          <w:tcPr>
            <w:tcW w:w="0" w:type="auto"/>
            <w:vAlign w:val="center"/>
          </w:tcPr>
          <w:p w:rsidR="00024C0A" w:rsidRDefault="00694C0F">
            <w:pPr>
              <w:pStyle w:val="TableBodyText"/>
            </w:pPr>
            <w:r>
              <w:t>ToolsAutoCorrectSentenceCaps</w:t>
            </w:r>
          </w:p>
        </w:tc>
      </w:tr>
      <w:tr w:rsidR="00024C0A" w:rsidTr="00024C0A">
        <w:tc>
          <w:tcPr>
            <w:tcW w:w="0" w:type="auto"/>
            <w:vAlign w:val="center"/>
          </w:tcPr>
          <w:p w:rsidR="00024C0A" w:rsidRDefault="00694C0F">
            <w:pPr>
              <w:pStyle w:val="TableBodyText"/>
            </w:pPr>
            <w:r>
              <w:lastRenderedPageBreak/>
              <w:t>ToolsAutoCorrectSmartQuotes</w:t>
            </w:r>
          </w:p>
        </w:tc>
      </w:tr>
      <w:tr w:rsidR="00024C0A" w:rsidTr="00024C0A">
        <w:tc>
          <w:tcPr>
            <w:tcW w:w="0" w:type="auto"/>
            <w:vAlign w:val="center"/>
          </w:tcPr>
          <w:p w:rsidR="00024C0A" w:rsidRDefault="00694C0F">
            <w:pPr>
              <w:pStyle w:val="TableBodyText"/>
            </w:pPr>
            <w:r>
              <w:t>ToolsCalculate</w:t>
            </w:r>
          </w:p>
        </w:tc>
      </w:tr>
      <w:tr w:rsidR="00024C0A" w:rsidTr="00024C0A">
        <w:tc>
          <w:tcPr>
            <w:tcW w:w="0" w:type="auto"/>
            <w:vAlign w:val="center"/>
          </w:tcPr>
          <w:p w:rsidR="00024C0A" w:rsidRDefault="00694C0F">
            <w:pPr>
              <w:pStyle w:val="TableBodyText"/>
            </w:pPr>
            <w:r>
              <w:t>ToolsGrammarStatisticsArray</w:t>
            </w:r>
          </w:p>
        </w:tc>
      </w:tr>
      <w:tr w:rsidR="00024C0A" w:rsidTr="00024C0A">
        <w:tc>
          <w:tcPr>
            <w:tcW w:w="0" w:type="auto"/>
            <w:vAlign w:val="center"/>
          </w:tcPr>
          <w:p w:rsidR="00024C0A" w:rsidRDefault="00694C0F">
            <w:pPr>
              <w:pStyle w:val="TableBodyText"/>
            </w:pPr>
            <w:r>
              <w:t>ToolsRevisionDate</w:t>
            </w:r>
          </w:p>
        </w:tc>
      </w:tr>
      <w:tr w:rsidR="00024C0A" w:rsidTr="00024C0A">
        <w:tc>
          <w:tcPr>
            <w:tcW w:w="0" w:type="auto"/>
            <w:vAlign w:val="center"/>
          </w:tcPr>
          <w:p w:rsidR="00024C0A" w:rsidRDefault="00694C0F">
            <w:pPr>
              <w:pStyle w:val="TableBodyText"/>
            </w:pPr>
            <w:r>
              <w:t>ToolsRevisionType</w:t>
            </w:r>
          </w:p>
        </w:tc>
      </w:tr>
      <w:tr w:rsidR="00024C0A" w:rsidTr="00024C0A">
        <w:tc>
          <w:tcPr>
            <w:tcW w:w="0" w:type="auto"/>
            <w:vAlign w:val="center"/>
          </w:tcPr>
          <w:p w:rsidR="00024C0A" w:rsidRDefault="00694C0F">
            <w:pPr>
              <w:pStyle w:val="TableBodyText"/>
            </w:pPr>
            <w:r>
              <w:t>Underline</w:t>
            </w:r>
          </w:p>
        </w:tc>
      </w:tr>
      <w:tr w:rsidR="00024C0A" w:rsidTr="00024C0A">
        <w:tc>
          <w:tcPr>
            <w:tcW w:w="0" w:type="auto"/>
            <w:vAlign w:val="center"/>
          </w:tcPr>
          <w:p w:rsidR="00024C0A" w:rsidRDefault="00694C0F">
            <w:pPr>
              <w:pStyle w:val="TableBodyText"/>
            </w:pPr>
            <w:r>
              <w:t>UnderlineColor</w:t>
            </w:r>
          </w:p>
        </w:tc>
      </w:tr>
      <w:tr w:rsidR="00024C0A" w:rsidTr="00024C0A">
        <w:tc>
          <w:tcPr>
            <w:tcW w:w="0" w:type="auto"/>
            <w:vAlign w:val="center"/>
          </w:tcPr>
          <w:p w:rsidR="00024C0A" w:rsidRDefault="00694C0F">
            <w:pPr>
              <w:pStyle w:val="TableBodyText"/>
            </w:pPr>
            <w:r>
              <w:t>UnderlineStyle</w:t>
            </w:r>
          </w:p>
        </w:tc>
      </w:tr>
      <w:tr w:rsidR="00024C0A" w:rsidTr="00024C0A">
        <w:tc>
          <w:tcPr>
            <w:tcW w:w="0" w:type="auto"/>
            <w:vAlign w:val="center"/>
          </w:tcPr>
          <w:p w:rsidR="00024C0A" w:rsidRDefault="00694C0F">
            <w:pPr>
              <w:pStyle w:val="TableBodyText"/>
            </w:pPr>
            <w:r>
              <w:t>VLine</w:t>
            </w:r>
          </w:p>
        </w:tc>
      </w:tr>
      <w:tr w:rsidR="00024C0A" w:rsidTr="00024C0A">
        <w:tc>
          <w:tcPr>
            <w:tcW w:w="0" w:type="auto"/>
            <w:vAlign w:val="center"/>
          </w:tcPr>
          <w:p w:rsidR="00024C0A" w:rsidRDefault="00694C0F">
            <w:pPr>
              <w:pStyle w:val="TableBodyText"/>
            </w:pPr>
            <w:r>
              <w:t>VPage</w:t>
            </w:r>
          </w:p>
        </w:tc>
      </w:tr>
      <w:tr w:rsidR="00024C0A" w:rsidTr="00024C0A">
        <w:tc>
          <w:tcPr>
            <w:tcW w:w="0" w:type="auto"/>
            <w:vAlign w:val="center"/>
          </w:tcPr>
          <w:p w:rsidR="00024C0A" w:rsidRDefault="00694C0F">
            <w:pPr>
              <w:pStyle w:val="TableBodyText"/>
            </w:pPr>
            <w:r>
              <w:t>VScroll</w:t>
            </w:r>
          </w:p>
        </w:tc>
      </w:tr>
      <w:tr w:rsidR="00024C0A" w:rsidTr="00024C0A">
        <w:tc>
          <w:tcPr>
            <w:tcW w:w="0" w:type="auto"/>
            <w:vAlign w:val="center"/>
          </w:tcPr>
          <w:p w:rsidR="00024C0A" w:rsidRDefault="00694C0F">
            <w:pPr>
              <w:pStyle w:val="TableBodyText"/>
            </w:pPr>
            <w:r>
              <w:t>Val</w:t>
            </w:r>
          </w:p>
        </w:tc>
      </w:tr>
      <w:tr w:rsidR="00024C0A" w:rsidTr="00024C0A">
        <w:tc>
          <w:tcPr>
            <w:tcW w:w="0" w:type="auto"/>
            <w:vAlign w:val="center"/>
          </w:tcPr>
          <w:p w:rsidR="00024C0A" w:rsidRDefault="00694C0F">
            <w:pPr>
              <w:pStyle w:val="TableBodyText"/>
            </w:pPr>
            <w:r>
              <w:t>ViewAnnotations</w:t>
            </w:r>
          </w:p>
        </w:tc>
      </w:tr>
      <w:tr w:rsidR="00024C0A" w:rsidTr="00024C0A">
        <w:tc>
          <w:tcPr>
            <w:tcW w:w="0" w:type="auto"/>
            <w:vAlign w:val="center"/>
          </w:tcPr>
          <w:p w:rsidR="00024C0A" w:rsidRDefault="00694C0F">
            <w:pPr>
              <w:pStyle w:val="TableBodyText"/>
            </w:pPr>
            <w:r>
              <w:t>ViewDraft</w:t>
            </w:r>
          </w:p>
        </w:tc>
      </w:tr>
      <w:tr w:rsidR="00024C0A" w:rsidTr="00024C0A">
        <w:tc>
          <w:tcPr>
            <w:tcW w:w="0" w:type="auto"/>
            <w:vAlign w:val="center"/>
          </w:tcPr>
          <w:p w:rsidR="00024C0A" w:rsidRDefault="00694C0F">
            <w:pPr>
              <w:pStyle w:val="TableBodyText"/>
            </w:pPr>
            <w:r>
              <w:t>ViewEndnoteArea</w:t>
            </w:r>
          </w:p>
        </w:tc>
      </w:tr>
      <w:tr w:rsidR="00024C0A" w:rsidTr="00024C0A">
        <w:tc>
          <w:tcPr>
            <w:tcW w:w="0" w:type="auto"/>
            <w:vAlign w:val="center"/>
          </w:tcPr>
          <w:p w:rsidR="00024C0A" w:rsidRDefault="00694C0F">
            <w:pPr>
              <w:pStyle w:val="TableBodyText"/>
            </w:pPr>
            <w:r>
              <w:t>ViewFieldCodes</w:t>
            </w:r>
          </w:p>
        </w:tc>
      </w:tr>
      <w:tr w:rsidR="00024C0A" w:rsidTr="00024C0A">
        <w:tc>
          <w:tcPr>
            <w:tcW w:w="0" w:type="auto"/>
            <w:vAlign w:val="center"/>
          </w:tcPr>
          <w:p w:rsidR="00024C0A" w:rsidRDefault="00694C0F">
            <w:pPr>
              <w:pStyle w:val="TableBodyText"/>
            </w:pPr>
            <w:r>
              <w:t>ViewFooter</w:t>
            </w:r>
          </w:p>
        </w:tc>
      </w:tr>
      <w:tr w:rsidR="00024C0A" w:rsidTr="00024C0A">
        <w:tc>
          <w:tcPr>
            <w:tcW w:w="0" w:type="auto"/>
            <w:vAlign w:val="center"/>
          </w:tcPr>
          <w:p w:rsidR="00024C0A" w:rsidRDefault="00694C0F">
            <w:pPr>
              <w:pStyle w:val="TableBodyText"/>
            </w:pPr>
            <w:r>
              <w:t>ViewFootnoteArea</w:t>
            </w:r>
          </w:p>
        </w:tc>
      </w:tr>
      <w:tr w:rsidR="00024C0A" w:rsidTr="00024C0A">
        <w:tc>
          <w:tcPr>
            <w:tcW w:w="0" w:type="auto"/>
            <w:vAlign w:val="center"/>
          </w:tcPr>
          <w:p w:rsidR="00024C0A" w:rsidRDefault="00694C0F">
            <w:pPr>
              <w:pStyle w:val="TableBodyText"/>
            </w:pPr>
            <w:r>
              <w:t>ViewFootnotes</w:t>
            </w:r>
          </w:p>
        </w:tc>
      </w:tr>
      <w:tr w:rsidR="00024C0A" w:rsidTr="00024C0A">
        <w:tc>
          <w:tcPr>
            <w:tcW w:w="0" w:type="auto"/>
            <w:vAlign w:val="center"/>
          </w:tcPr>
          <w:p w:rsidR="00024C0A" w:rsidRDefault="00694C0F">
            <w:pPr>
              <w:pStyle w:val="TableBodyText"/>
            </w:pPr>
            <w:r>
              <w:t>ViewGridlines</w:t>
            </w:r>
          </w:p>
        </w:tc>
      </w:tr>
      <w:tr w:rsidR="00024C0A" w:rsidTr="00024C0A">
        <w:tc>
          <w:tcPr>
            <w:tcW w:w="0" w:type="auto"/>
            <w:vAlign w:val="center"/>
          </w:tcPr>
          <w:p w:rsidR="00024C0A" w:rsidRDefault="00694C0F">
            <w:pPr>
              <w:pStyle w:val="TableBodyText"/>
            </w:pPr>
            <w:r>
              <w:t>ViewHeader</w:t>
            </w:r>
          </w:p>
        </w:tc>
      </w:tr>
      <w:tr w:rsidR="00024C0A" w:rsidTr="00024C0A">
        <w:tc>
          <w:tcPr>
            <w:tcW w:w="0" w:type="auto"/>
            <w:vAlign w:val="center"/>
          </w:tcPr>
          <w:p w:rsidR="00024C0A" w:rsidRDefault="00694C0F">
            <w:pPr>
              <w:pStyle w:val="TableBodyText"/>
            </w:pPr>
            <w:r>
              <w:t>ViewMasterDocument</w:t>
            </w:r>
          </w:p>
        </w:tc>
      </w:tr>
      <w:tr w:rsidR="00024C0A" w:rsidTr="00024C0A">
        <w:tc>
          <w:tcPr>
            <w:tcW w:w="0" w:type="auto"/>
            <w:vAlign w:val="center"/>
          </w:tcPr>
          <w:p w:rsidR="00024C0A" w:rsidRDefault="00694C0F">
            <w:pPr>
              <w:pStyle w:val="TableBodyText"/>
            </w:pPr>
            <w:r>
              <w:t>ViewMenus</w:t>
            </w:r>
          </w:p>
        </w:tc>
      </w:tr>
      <w:tr w:rsidR="00024C0A" w:rsidTr="00024C0A">
        <w:tc>
          <w:tcPr>
            <w:tcW w:w="0" w:type="auto"/>
            <w:vAlign w:val="center"/>
          </w:tcPr>
          <w:p w:rsidR="00024C0A" w:rsidRDefault="00694C0F">
            <w:pPr>
              <w:pStyle w:val="TableBodyText"/>
            </w:pPr>
            <w:r>
              <w:t>ViewNormal</w:t>
            </w:r>
          </w:p>
        </w:tc>
      </w:tr>
      <w:tr w:rsidR="00024C0A" w:rsidTr="00024C0A">
        <w:tc>
          <w:tcPr>
            <w:tcW w:w="0" w:type="auto"/>
            <w:vAlign w:val="center"/>
          </w:tcPr>
          <w:p w:rsidR="00024C0A" w:rsidRDefault="00694C0F">
            <w:pPr>
              <w:pStyle w:val="TableBodyText"/>
            </w:pPr>
            <w:r>
              <w:t>ViewOutline</w:t>
            </w:r>
          </w:p>
        </w:tc>
      </w:tr>
      <w:tr w:rsidR="00024C0A" w:rsidTr="00024C0A">
        <w:tc>
          <w:tcPr>
            <w:tcW w:w="0" w:type="auto"/>
            <w:vAlign w:val="center"/>
          </w:tcPr>
          <w:p w:rsidR="00024C0A" w:rsidRDefault="00694C0F">
            <w:pPr>
              <w:pStyle w:val="TableBodyText"/>
            </w:pPr>
            <w:r>
              <w:t>ViewPage</w:t>
            </w:r>
          </w:p>
        </w:tc>
      </w:tr>
      <w:tr w:rsidR="00024C0A" w:rsidTr="00024C0A">
        <w:tc>
          <w:tcPr>
            <w:tcW w:w="0" w:type="auto"/>
            <w:vAlign w:val="center"/>
          </w:tcPr>
          <w:p w:rsidR="00024C0A" w:rsidRDefault="00694C0F">
            <w:pPr>
              <w:pStyle w:val="TableBodyText"/>
            </w:pPr>
            <w:r>
              <w:t>ViewRibbon</w:t>
            </w:r>
          </w:p>
        </w:tc>
      </w:tr>
      <w:tr w:rsidR="00024C0A" w:rsidTr="00024C0A">
        <w:tc>
          <w:tcPr>
            <w:tcW w:w="0" w:type="auto"/>
            <w:vAlign w:val="center"/>
          </w:tcPr>
          <w:p w:rsidR="00024C0A" w:rsidRDefault="00694C0F">
            <w:pPr>
              <w:pStyle w:val="TableBodyText"/>
            </w:pPr>
            <w:r>
              <w:t>ViewRuler</w:t>
            </w:r>
          </w:p>
        </w:tc>
      </w:tr>
      <w:tr w:rsidR="00024C0A" w:rsidTr="00024C0A">
        <w:tc>
          <w:tcPr>
            <w:tcW w:w="0" w:type="auto"/>
            <w:vAlign w:val="center"/>
          </w:tcPr>
          <w:p w:rsidR="00024C0A" w:rsidRDefault="00694C0F">
            <w:pPr>
              <w:pStyle w:val="TableBodyText"/>
            </w:pPr>
            <w:r>
              <w:t>ViewStatusBar</w:t>
            </w:r>
          </w:p>
        </w:tc>
      </w:tr>
      <w:tr w:rsidR="00024C0A" w:rsidTr="00024C0A">
        <w:tc>
          <w:tcPr>
            <w:tcW w:w="0" w:type="auto"/>
            <w:vAlign w:val="center"/>
          </w:tcPr>
          <w:p w:rsidR="00024C0A" w:rsidRDefault="00694C0F">
            <w:pPr>
              <w:pStyle w:val="TableBodyText"/>
            </w:pPr>
            <w:r>
              <w:t>ViewToolbar</w:t>
            </w:r>
          </w:p>
        </w:tc>
      </w:tr>
      <w:tr w:rsidR="00024C0A" w:rsidTr="00024C0A">
        <w:tc>
          <w:tcPr>
            <w:tcW w:w="0" w:type="auto"/>
            <w:vAlign w:val="center"/>
          </w:tcPr>
          <w:p w:rsidR="00024C0A" w:rsidRDefault="00694C0F">
            <w:pPr>
              <w:pStyle w:val="TableBodyText"/>
            </w:pPr>
            <w:r>
              <w:t>WW1_InsertPara</w:t>
            </w:r>
          </w:p>
        </w:tc>
      </w:tr>
      <w:tr w:rsidR="00024C0A" w:rsidTr="00024C0A">
        <w:tc>
          <w:tcPr>
            <w:tcW w:w="0" w:type="auto"/>
            <w:vAlign w:val="center"/>
          </w:tcPr>
          <w:p w:rsidR="00024C0A" w:rsidRDefault="00694C0F">
            <w:pPr>
              <w:pStyle w:val="TableBodyText"/>
            </w:pPr>
            <w:r>
              <w:t>WW2CallingConvention</w:t>
            </w:r>
          </w:p>
        </w:tc>
      </w:tr>
      <w:tr w:rsidR="00024C0A" w:rsidTr="00024C0A">
        <w:tc>
          <w:tcPr>
            <w:tcW w:w="0" w:type="auto"/>
            <w:vAlign w:val="center"/>
          </w:tcPr>
          <w:p w:rsidR="00024C0A" w:rsidRDefault="00694C0F">
            <w:pPr>
              <w:pStyle w:val="TableBodyText"/>
            </w:pPr>
            <w:r>
              <w:lastRenderedPageBreak/>
              <w:t>WW2_Asc</w:t>
            </w:r>
          </w:p>
        </w:tc>
      </w:tr>
      <w:tr w:rsidR="00024C0A" w:rsidTr="00024C0A">
        <w:tc>
          <w:tcPr>
            <w:tcW w:w="0" w:type="auto"/>
            <w:vAlign w:val="center"/>
          </w:tcPr>
          <w:p w:rsidR="00024C0A" w:rsidRDefault="00694C0F">
            <w:pPr>
              <w:pStyle w:val="TableBodyText"/>
            </w:pPr>
            <w:r>
              <w:t>WW2_ChangeCase</w:t>
            </w:r>
          </w:p>
        </w:tc>
      </w:tr>
      <w:tr w:rsidR="00024C0A" w:rsidTr="00024C0A">
        <w:tc>
          <w:tcPr>
            <w:tcW w:w="0" w:type="auto"/>
            <w:vAlign w:val="center"/>
          </w:tcPr>
          <w:p w:rsidR="00024C0A" w:rsidRDefault="00694C0F">
            <w:pPr>
              <w:pStyle w:val="TableBodyText"/>
            </w:pPr>
            <w:r>
              <w:t>WW2_CountMenuItems</w:t>
            </w:r>
          </w:p>
        </w:tc>
      </w:tr>
      <w:tr w:rsidR="00024C0A" w:rsidTr="00024C0A">
        <w:tc>
          <w:tcPr>
            <w:tcW w:w="0" w:type="auto"/>
            <w:vAlign w:val="center"/>
          </w:tcPr>
          <w:p w:rsidR="00024C0A" w:rsidRDefault="00694C0F">
            <w:pPr>
              <w:pStyle w:val="TableBodyText"/>
            </w:pPr>
            <w:r>
              <w:t>WW2_GetToolButton</w:t>
            </w:r>
          </w:p>
        </w:tc>
      </w:tr>
      <w:tr w:rsidR="00024C0A" w:rsidTr="00024C0A">
        <w:tc>
          <w:tcPr>
            <w:tcW w:w="0" w:type="auto"/>
            <w:vAlign w:val="center"/>
          </w:tcPr>
          <w:p w:rsidR="00024C0A" w:rsidRDefault="00694C0F">
            <w:pPr>
              <w:pStyle w:val="TableBodyText"/>
            </w:pPr>
            <w:r>
              <w:t>WW2_Insert</w:t>
            </w:r>
          </w:p>
        </w:tc>
      </w:tr>
      <w:tr w:rsidR="00024C0A" w:rsidTr="00024C0A">
        <w:tc>
          <w:tcPr>
            <w:tcW w:w="0" w:type="auto"/>
            <w:vAlign w:val="center"/>
          </w:tcPr>
          <w:p w:rsidR="00024C0A" w:rsidRDefault="00694C0F">
            <w:pPr>
              <w:pStyle w:val="TableBodyText"/>
            </w:pPr>
            <w:r>
              <w:t>WW2_KeyCode</w:t>
            </w:r>
          </w:p>
        </w:tc>
      </w:tr>
      <w:tr w:rsidR="00024C0A" w:rsidTr="00024C0A">
        <w:tc>
          <w:tcPr>
            <w:tcW w:w="0" w:type="auto"/>
            <w:vAlign w:val="center"/>
          </w:tcPr>
          <w:p w:rsidR="00024C0A" w:rsidRDefault="00694C0F">
            <w:pPr>
              <w:pStyle w:val="TableBodyText"/>
            </w:pPr>
            <w:r>
              <w:t>WW2_RenameMenu</w:t>
            </w:r>
          </w:p>
        </w:tc>
      </w:tr>
      <w:tr w:rsidR="00024C0A" w:rsidTr="00024C0A">
        <w:tc>
          <w:tcPr>
            <w:tcW w:w="0" w:type="auto"/>
            <w:vAlign w:val="center"/>
          </w:tcPr>
          <w:p w:rsidR="00024C0A" w:rsidRDefault="00694C0F">
            <w:pPr>
              <w:pStyle w:val="TableBodyText"/>
            </w:pPr>
            <w:r>
              <w:t>WW2_Underlines</w:t>
            </w:r>
          </w:p>
        </w:tc>
      </w:tr>
      <w:tr w:rsidR="00024C0A" w:rsidTr="00024C0A">
        <w:tc>
          <w:tcPr>
            <w:tcW w:w="0" w:type="auto"/>
            <w:vAlign w:val="center"/>
          </w:tcPr>
          <w:p w:rsidR="00024C0A" w:rsidRDefault="00694C0F">
            <w:pPr>
              <w:pStyle w:val="TableBodyText"/>
            </w:pPr>
            <w:r>
              <w:t>WW6_EditClear</w:t>
            </w:r>
          </w:p>
        </w:tc>
      </w:tr>
      <w:tr w:rsidR="00024C0A" w:rsidTr="00024C0A">
        <w:tc>
          <w:tcPr>
            <w:tcW w:w="0" w:type="auto"/>
            <w:vAlign w:val="center"/>
          </w:tcPr>
          <w:p w:rsidR="00024C0A" w:rsidRDefault="00694C0F">
            <w:pPr>
              <w:pStyle w:val="TableBodyText"/>
            </w:pPr>
            <w:r>
              <w:t>WaitCursor</w:t>
            </w:r>
          </w:p>
        </w:tc>
      </w:tr>
      <w:tr w:rsidR="00024C0A" w:rsidTr="00024C0A">
        <w:tc>
          <w:tcPr>
            <w:tcW w:w="0" w:type="auto"/>
            <w:vAlign w:val="center"/>
          </w:tcPr>
          <w:p w:rsidR="00024C0A" w:rsidRDefault="00694C0F">
            <w:pPr>
              <w:pStyle w:val="TableBodyText"/>
            </w:pPr>
            <w:r>
              <w:t>Weekday</w:t>
            </w:r>
          </w:p>
        </w:tc>
      </w:tr>
      <w:tr w:rsidR="00024C0A" w:rsidTr="00024C0A">
        <w:tc>
          <w:tcPr>
            <w:tcW w:w="0" w:type="auto"/>
            <w:vAlign w:val="center"/>
          </w:tcPr>
          <w:p w:rsidR="00024C0A" w:rsidRDefault="00694C0F">
            <w:pPr>
              <w:pStyle w:val="TableBodyText"/>
            </w:pPr>
            <w:r>
              <w:t>WinAllocFail</w:t>
            </w:r>
          </w:p>
        </w:tc>
      </w:tr>
      <w:tr w:rsidR="00024C0A" w:rsidTr="00024C0A">
        <w:tc>
          <w:tcPr>
            <w:tcW w:w="0" w:type="auto"/>
            <w:vAlign w:val="center"/>
          </w:tcPr>
          <w:p w:rsidR="00024C0A" w:rsidRDefault="00694C0F">
            <w:pPr>
              <w:pStyle w:val="TableBodyText"/>
            </w:pPr>
            <w:r>
              <w:t>Window</w:t>
            </w:r>
          </w:p>
        </w:tc>
      </w:tr>
      <w:tr w:rsidR="00024C0A" w:rsidTr="00024C0A">
        <w:tc>
          <w:tcPr>
            <w:tcW w:w="0" w:type="auto"/>
            <w:vAlign w:val="center"/>
          </w:tcPr>
          <w:p w:rsidR="00024C0A" w:rsidRDefault="00694C0F">
            <w:pPr>
              <w:pStyle w:val="TableBodyText"/>
            </w:pPr>
            <w:r>
              <w:t>Window1</w:t>
            </w:r>
          </w:p>
        </w:tc>
      </w:tr>
      <w:tr w:rsidR="00024C0A" w:rsidTr="00024C0A">
        <w:tc>
          <w:tcPr>
            <w:tcW w:w="0" w:type="auto"/>
            <w:vAlign w:val="center"/>
          </w:tcPr>
          <w:p w:rsidR="00024C0A" w:rsidRDefault="00694C0F">
            <w:pPr>
              <w:pStyle w:val="TableBodyText"/>
            </w:pPr>
            <w:r>
              <w:t>Window2</w:t>
            </w:r>
          </w:p>
        </w:tc>
      </w:tr>
      <w:tr w:rsidR="00024C0A" w:rsidTr="00024C0A">
        <w:tc>
          <w:tcPr>
            <w:tcW w:w="0" w:type="auto"/>
            <w:vAlign w:val="center"/>
          </w:tcPr>
          <w:p w:rsidR="00024C0A" w:rsidRDefault="00694C0F">
            <w:pPr>
              <w:pStyle w:val="TableBodyText"/>
            </w:pPr>
            <w:r>
              <w:t>Window3</w:t>
            </w:r>
          </w:p>
        </w:tc>
      </w:tr>
      <w:tr w:rsidR="00024C0A" w:rsidTr="00024C0A">
        <w:tc>
          <w:tcPr>
            <w:tcW w:w="0" w:type="auto"/>
            <w:vAlign w:val="center"/>
          </w:tcPr>
          <w:p w:rsidR="00024C0A" w:rsidRDefault="00694C0F">
            <w:pPr>
              <w:pStyle w:val="TableBodyText"/>
            </w:pPr>
            <w:r>
              <w:t>Window4</w:t>
            </w:r>
          </w:p>
        </w:tc>
      </w:tr>
      <w:tr w:rsidR="00024C0A" w:rsidTr="00024C0A">
        <w:tc>
          <w:tcPr>
            <w:tcW w:w="0" w:type="auto"/>
            <w:vAlign w:val="center"/>
          </w:tcPr>
          <w:p w:rsidR="00024C0A" w:rsidRDefault="00694C0F">
            <w:pPr>
              <w:pStyle w:val="TableBodyText"/>
            </w:pPr>
            <w:r>
              <w:t>Window5</w:t>
            </w:r>
          </w:p>
        </w:tc>
      </w:tr>
      <w:tr w:rsidR="00024C0A" w:rsidTr="00024C0A">
        <w:tc>
          <w:tcPr>
            <w:tcW w:w="0" w:type="auto"/>
            <w:vAlign w:val="center"/>
          </w:tcPr>
          <w:p w:rsidR="00024C0A" w:rsidRDefault="00694C0F">
            <w:pPr>
              <w:pStyle w:val="TableBodyText"/>
            </w:pPr>
            <w:r>
              <w:t>Window6</w:t>
            </w:r>
          </w:p>
        </w:tc>
      </w:tr>
      <w:tr w:rsidR="00024C0A" w:rsidTr="00024C0A">
        <w:tc>
          <w:tcPr>
            <w:tcW w:w="0" w:type="auto"/>
            <w:vAlign w:val="center"/>
          </w:tcPr>
          <w:p w:rsidR="00024C0A" w:rsidRDefault="00694C0F">
            <w:pPr>
              <w:pStyle w:val="TableBodyText"/>
            </w:pPr>
            <w:r>
              <w:t>Window7</w:t>
            </w:r>
          </w:p>
        </w:tc>
      </w:tr>
      <w:tr w:rsidR="00024C0A" w:rsidTr="00024C0A">
        <w:tc>
          <w:tcPr>
            <w:tcW w:w="0" w:type="auto"/>
            <w:vAlign w:val="center"/>
          </w:tcPr>
          <w:p w:rsidR="00024C0A" w:rsidRDefault="00694C0F">
            <w:pPr>
              <w:pStyle w:val="TableBodyText"/>
            </w:pPr>
            <w:r>
              <w:t>Window8</w:t>
            </w:r>
          </w:p>
        </w:tc>
      </w:tr>
      <w:tr w:rsidR="00024C0A" w:rsidTr="00024C0A">
        <w:tc>
          <w:tcPr>
            <w:tcW w:w="0" w:type="auto"/>
            <w:vAlign w:val="center"/>
          </w:tcPr>
          <w:p w:rsidR="00024C0A" w:rsidRDefault="00694C0F">
            <w:pPr>
              <w:pStyle w:val="TableBodyText"/>
            </w:pPr>
            <w:r>
              <w:t>Window9</w:t>
            </w:r>
          </w:p>
        </w:tc>
      </w:tr>
      <w:tr w:rsidR="00024C0A" w:rsidTr="00024C0A">
        <w:tc>
          <w:tcPr>
            <w:tcW w:w="0" w:type="auto"/>
            <w:vAlign w:val="center"/>
          </w:tcPr>
          <w:p w:rsidR="00024C0A" w:rsidRDefault="00694C0F">
            <w:pPr>
              <w:pStyle w:val="TableBodyText"/>
            </w:pPr>
            <w:r>
              <w:t>WindowList</w:t>
            </w:r>
          </w:p>
        </w:tc>
      </w:tr>
      <w:tr w:rsidR="00024C0A" w:rsidTr="00024C0A">
        <w:tc>
          <w:tcPr>
            <w:tcW w:w="0" w:type="auto"/>
            <w:vAlign w:val="center"/>
          </w:tcPr>
          <w:p w:rsidR="00024C0A" w:rsidRDefault="00694C0F">
            <w:pPr>
              <w:pStyle w:val="TableBodyText"/>
            </w:pPr>
            <w:r>
              <w:t>WindowPane</w:t>
            </w:r>
          </w:p>
        </w:tc>
      </w:tr>
      <w:tr w:rsidR="00024C0A" w:rsidTr="00024C0A">
        <w:tc>
          <w:tcPr>
            <w:tcW w:w="0" w:type="auto"/>
            <w:vAlign w:val="center"/>
          </w:tcPr>
          <w:p w:rsidR="00024C0A" w:rsidRDefault="00694C0F">
            <w:pPr>
              <w:pStyle w:val="TableBodyText"/>
            </w:pPr>
            <w:r>
              <w:t>WordLeft</w:t>
            </w:r>
          </w:p>
        </w:tc>
      </w:tr>
      <w:tr w:rsidR="00024C0A" w:rsidTr="00024C0A">
        <w:tc>
          <w:tcPr>
            <w:tcW w:w="0" w:type="auto"/>
            <w:vAlign w:val="center"/>
          </w:tcPr>
          <w:p w:rsidR="00024C0A" w:rsidRDefault="00694C0F">
            <w:pPr>
              <w:pStyle w:val="TableBodyText"/>
            </w:pPr>
            <w:r>
              <w:t>WordRight</w:t>
            </w:r>
          </w:p>
        </w:tc>
      </w:tr>
      <w:tr w:rsidR="00024C0A" w:rsidTr="00024C0A">
        <w:tc>
          <w:tcPr>
            <w:tcW w:w="0" w:type="auto"/>
            <w:vAlign w:val="center"/>
          </w:tcPr>
          <w:p w:rsidR="00024C0A" w:rsidRDefault="00694C0F">
            <w:pPr>
              <w:pStyle w:val="TableBodyText"/>
            </w:pPr>
            <w:r>
              <w:t>WordUnderline</w:t>
            </w:r>
          </w:p>
        </w:tc>
      </w:tr>
      <w:tr w:rsidR="00024C0A" w:rsidTr="00024C0A">
        <w:tc>
          <w:tcPr>
            <w:tcW w:w="0" w:type="auto"/>
            <w:vAlign w:val="center"/>
          </w:tcPr>
          <w:p w:rsidR="00024C0A" w:rsidRDefault="00694C0F">
            <w:pPr>
              <w:pStyle w:val="TableBodyText"/>
            </w:pPr>
            <w:r>
              <w:t>WriteDBS</w:t>
            </w:r>
          </w:p>
        </w:tc>
      </w:tr>
      <w:tr w:rsidR="00024C0A" w:rsidTr="00024C0A">
        <w:tc>
          <w:tcPr>
            <w:tcW w:w="0" w:type="auto"/>
            <w:vAlign w:val="center"/>
          </w:tcPr>
          <w:p w:rsidR="00024C0A" w:rsidRDefault="00694C0F">
            <w:pPr>
              <w:pStyle w:val="TableBodyText"/>
            </w:pPr>
            <w:r>
              <w:t>XAsc</w:t>
            </w:r>
          </w:p>
        </w:tc>
      </w:tr>
      <w:tr w:rsidR="00024C0A" w:rsidTr="00024C0A">
        <w:tc>
          <w:tcPr>
            <w:tcW w:w="0" w:type="auto"/>
            <w:vAlign w:val="center"/>
          </w:tcPr>
          <w:p w:rsidR="00024C0A" w:rsidRDefault="00694C0F">
            <w:pPr>
              <w:pStyle w:val="TableBodyText"/>
            </w:pPr>
            <w:r>
              <w:t>Year</w:t>
            </w:r>
          </w:p>
        </w:tc>
      </w:tr>
      <w:tr w:rsidR="00024C0A" w:rsidTr="00024C0A">
        <w:tc>
          <w:tcPr>
            <w:tcW w:w="0" w:type="auto"/>
            <w:vAlign w:val="center"/>
          </w:tcPr>
          <w:p w:rsidR="00024C0A" w:rsidRDefault="00694C0F">
            <w:pPr>
              <w:pStyle w:val="TableBodyText"/>
            </w:pPr>
            <w:r>
              <w:t>ZoomMouseSettings</w:t>
            </w:r>
          </w:p>
        </w:tc>
      </w:tr>
      <w:tr w:rsidR="00024C0A" w:rsidTr="00024C0A">
        <w:tc>
          <w:tcPr>
            <w:tcW w:w="0" w:type="auto"/>
            <w:vAlign w:val="center"/>
          </w:tcPr>
          <w:p w:rsidR="00024C0A" w:rsidRDefault="00694C0F">
            <w:pPr>
              <w:pStyle w:val="TableBodyText"/>
            </w:pPr>
            <w:r>
              <w:t>wdAddCommand</w:t>
            </w:r>
          </w:p>
        </w:tc>
      </w:tr>
      <w:tr w:rsidR="00024C0A" w:rsidTr="00024C0A">
        <w:tc>
          <w:tcPr>
            <w:tcW w:w="0" w:type="auto"/>
            <w:vAlign w:val="center"/>
          </w:tcPr>
          <w:p w:rsidR="00024C0A" w:rsidRDefault="00694C0F">
            <w:pPr>
              <w:pStyle w:val="TableBodyText"/>
            </w:pPr>
            <w:r>
              <w:lastRenderedPageBreak/>
              <w:t>wdCaptureKeyDown</w:t>
            </w:r>
          </w:p>
        </w:tc>
      </w:tr>
      <w:tr w:rsidR="00024C0A" w:rsidTr="00024C0A">
        <w:tc>
          <w:tcPr>
            <w:tcW w:w="0" w:type="auto"/>
            <w:vAlign w:val="center"/>
          </w:tcPr>
          <w:p w:rsidR="00024C0A" w:rsidRDefault="00694C0F">
            <w:pPr>
              <w:pStyle w:val="TableBodyText"/>
            </w:pPr>
            <w:r>
              <w:t>wdCloseWindow</w:t>
            </w:r>
          </w:p>
        </w:tc>
      </w:tr>
      <w:tr w:rsidR="00024C0A" w:rsidTr="00024C0A">
        <w:tc>
          <w:tcPr>
            <w:tcW w:w="0" w:type="auto"/>
            <w:vAlign w:val="center"/>
          </w:tcPr>
          <w:p w:rsidR="00024C0A" w:rsidRDefault="00694C0F">
            <w:pPr>
              <w:pStyle w:val="TableBodyText"/>
            </w:pPr>
            <w:r>
              <w:t>wdEndDialog</w:t>
            </w:r>
          </w:p>
        </w:tc>
      </w:tr>
      <w:tr w:rsidR="00024C0A" w:rsidTr="00024C0A">
        <w:tc>
          <w:tcPr>
            <w:tcW w:w="0" w:type="auto"/>
            <w:vAlign w:val="center"/>
          </w:tcPr>
          <w:p w:rsidR="00024C0A" w:rsidRDefault="00694C0F">
            <w:pPr>
              <w:pStyle w:val="TableBodyText"/>
            </w:pPr>
            <w:r>
              <w:t>wdFontWidth</w:t>
            </w:r>
          </w:p>
        </w:tc>
      </w:tr>
      <w:tr w:rsidR="00024C0A" w:rsidTr="00024C0A">
        <w:tc>
          <w:tcPr>
            <w:tcW w:w="0" w:type="auto"/>
            <w:vAlign w:val="center"/>
          </w:tcPr>
          <w:p w:rsidR="00024C0A" w:rsidRDefault="00694C0F">
            <w:pPr>
              <w:pStyle w:val="TableBodyText"/>
            </w:pPr>
            <w:r>
              <w:t>wdGetHwnd</w:t>
            </w:r>
          </w:p>
        </w:tc>
      </w:tr>
      <w:tr w:rsidR="00024C0A" w:rsidTr="00024C0A">
        <w:tc>
          <w:tcPr>
            <w:tcW w:w="0" w:type="auto"/>
            <w:vAlign w:val="center"/>
          </w:tcPr>
          <w:p w:rsidR="00024C0A" w:rsidRDefault="00694C0F">
            <w:pPr>
              <w:pStyle w:val="TableBodyText"/>
            </w:pPr>
            <w:r>
              <w:t>wdGetInst</w:t>
            </w:r>
          </w:p>
        </w:tc>
      </w:tr>
      <w:tr w:rsidR="00024C0A" w:rsidTr="00024C0A">
        <w:tc>
          <w:tcPr>
            <w:tcW w:w="0" w:type="auto"/>
            <w:vAlign w:val="center"/>
          </w:tcPr>
          <w:p w:rsidR="00024C0A" w:rsidRDefault="00694C0F">
            <w:pPr>
              <w:pStyle w:val="TableBodyText"/>
            </w:pPr>
            <w:r>
              <w:t>wdOpenWindow</w:t>
            </w:r>
          </w:p>
        </w:tc>
      </w:tr>
      <w:tr w:rsidR="00024C0A" w:rsidTr="00024C0A">
        <w:tc>
          <w:tcPr>
            <w:tcW w:w="0" w:type="auto"/>
            <w:vAlign w:val="center"/>
          </w:tcPr>
          <w:p w:rsidR="00024C0A" w:rsidRDefault="00694C0F">
            <w:pPr>
              <w:pStyle w:val="TableBodyText"/>
            </w:pPr>
            <w:r>
              <w:t>wdPrint</w:t>
            </w:r>
          </w:p>
        </w:tc>
      </w:tr>
      <w:tr w:rsidR="00024C0A" w:rsidTr="00024C0A">
        <w:tc>
          <w:tcPr>
            <w:tcW w:w="0" w:type="auto"/>
            <w:vAlign w:val="center"/>
          </w:tcPr>
          <w:p w:rsidR="00024C0A" w:rsidRDefault="00694C0F">
            <w:pPr>
              <w:pStyle w:val="TableBodyText"/>
            </w:pPr>
            <w:r>
              <w:t>wdReleaseKeyDown</w:t>
            </w:r>
          </w:p>
        </w:tc>
      </w:tr>
      <w:tr w:rsidR="00024C0A" w:rsidTr="00024C0A">
        <w:tc>
          <w:tcPr>
            <w:tcW w:w="0" w:type="auto"/>
            <w:vAlign w:val="center"/>
          </w:tcPr>
          <w:p w:rsidR="00024C0A" w:rsidRDefault="00694C0F">
            <w:pPr>
              <w:pStyle w:val="TableBodyText"/>
            </w:pPr>
            <w:r>
              <w:t>wdSetTimer</w:t>
            </w:r>
          </w:p>
        </w:tc>
      </w:tr>
      <w:tr w:rsidR="00024C0A" w:rsidTr="00024C0A">
        <w:tc>
          <w:tcPr>
            <w:tcW w:w="0" w:type="auto"/>
            <w:vAlign w:val="center"/>
          </w:tcPr>
          <w:p w:rsidR="00024C0A" w:rsidRDefault="00694C0F">
            <w:pPr>
              <w:pStyle w:val="TableBodyText"/>
            </w:pPr>
            <w:r>
              <w:t>wdToolsGetHHC</w:t>
            </w:r>
          </w:p>
        </w:tc>
      </w:tr>
      <w:tr w:rsidR="00024C0A" w:rsidTr="00024C0A">
        <w:tc>
          <w:tcPr>
            <w:tcW w:w="0" w:type="auto"/>
            <w:vAlign w:val="center"/>
          </w:tcPr>
          <w:p w:rsidR="00024C0A" w:rsidRDefault="00694C0F">
            <w:pPr>
              <w:pStyle w:val="TableBodyText"/>
            </w:pPr>
            <w:r>
              <w:t>wdToolsGetSpelling</w:t>
            </w:r>
          </w:p>
        </w:tc>
      </w:tr>
      <w:tr w:rsidR="00024C0A" w:rsidTr="00024C0A">
        <w:tc>
          <w:tcPr>
            <w:tcW w:w="0" w:type="auto"/>
            <w:vAlign w:val="center"/>
          </w:tcPr>
          <w:p w:rsidR="00024C0A" w:rsidRDefault="00694C0F">
            <w:pPr>
              <w:pStyle w:val="TableBodyText"/>
            </w:pPr>
            <w:r>
              <w:t>wdToolsGetSpellingXtra</w:t>
            </w:r>
          </w:p>
        </w:tc>
      </w:tr>
      <w:tr w:rsidR="00024C0A" w:rsidTr="00024C0A">
        <w:tc>
          <w:tcPr>
            <w:tcW w:w="0" w:type="auto"/>
            <w:vAlign w:val="center"/>
          </w:tcPr>
          <w:p w:rsidR="00024C0A" w:rsidRDefault="00694C0F">
            <w:pPr>
              <w:pStyle w:val="TableBodyText"/>
            </w:pPr>
            <w:r>
              <w:t>wdToolsGetSynonyms</w:t>
            </w:r>
          </w:p>
        </w:tc>
      </w:tr>
    </w:tbl>
    <w:p w:rsidR="00024C0A" w:rsidRDefault="00024C0A"/>
    <w:p w:rsidR="00024C0A" w:rsidRDefault="00694C0F">
      <w:pPr>
        <w:pStyle w:val="Heading4"/>
      </w:pPr>
      <w:bookmarkStart w:id="3851" w:name="section_f6ef0c485e3542599919c0351df4ad37"/>
      <w:bookmarkStart w:id="3852" w:name="_Toc12261986"/>
      <w:r>
        <w:t>Mail Merge</w:t>
      </w:r>
      <w:bookmarkEnd w:id="3851"/>
      <w:bookmarkEnd w:id="3852"/>
      <w:r>
        <w:fldChar w:fldCharType="begin"/>
      </w:r>
      <w:r>
        <w:instrText xml:space="preserve"> XE "Mail Merge" </w:instrText>
      </w:r>
      <w:r>
        <w:fldChar w:fldCharType="end"/>
      </w:r>
    </w:p>
    <w:p w:rsidR="00024C0A" w:rsidRDefault="00694C0F">
      <w:r>
        <w:t>The following clauses specify the semantics used to facilitate the mail merge feature in Word.</w:t>
      </w:r>
    </w:p>
    <w:p w:rsidR="00024C0A" w:rsidRDefault="00694C0F">
      <w:pPr>
        <w:pStyle w:val="Heading5"/>
      </w:pPr>
      <w:bookmarkStart w:id="3853" w:name="section_4d80b565c0b44930b0c2e350f8f1237c"/>
      <w:bookmarkStart w:id="3854" w:name="_Toc12261987"/>
      <w:r>
        <w:t>Elements</w:t>
      </w:r>
      <w:bookmarkEnd w:id="3853"/>
      <w:bookmarkEnd w:id="3854"/>
    </w:p>
    <w:p w:rsidR="00024C0A" w:rsidRDefault="00694C0F">
      <w:pPr>
        <w:pStyle w:val="Heading6"/>
      </w:pPr>
      <w:bookmarkStart w:id="3855" w:name="section_b1588c0913964016a2ea78ce84a81a8e"/>
      <w:bookmarkStart w:id="3856" w:name="_Toc12261988"/>
      <w:r>
        <w:t>hash (Hash Code for Record)</w:t>
      </w:r>
      <w:bookmarkEnd w:id="3855"/>
      <w:bookmarkEnd w:id="3856"/>
      <w:r>
        <w:fldChar w:fldCharType="begin"/>
      </w:r>
      <w:r>
        <w:instrText xml:space="preserve"> XE "hash (Hash Code for Record)" </w:instrText>
      </w:r>
      <w:r>
        <w:fldChar w:fldCharType="end"/>
      </w:r>
    </w:p>
    <w:p w:rsidR="00024C0A" w:rsidRDefault="00694C0F">
      <w:r>
        <w:t>This element specifies the unique hash value of a given record within the specified external data source. This element is used to maintain a relationship between the records within an external</w:t>
      </w:r>
      <w:r>
        <w:t xml:space="preserve"> data source and a given source WordprocessingML document.</w:t>
      </w:r>
    </w:p>
    <w:p w:rsidR="00024C0A" w:rsidRDefault="00694C0F">
      <w:r>
        <w:t xml:space="preserve">The contents of this element's </w:t>
      </w:r>
      <w:r>
        <w:rPr>
          <w:b/>
        </w:rPr>
        <w:t>val</w:t>
      </w:r>
      <w:r>
        <w:t xml:space="preserve"> attribute shall be a hash value that will uniquely identify the record in the external data source.  The hash value for a record is computed using the following a</w:t>
      </w:r>
      <w:r>
        <w:t>lgorithm:</w:t>
      </w:r>
    </w:p>
    <w:p w:rsidR="00024C0A" w:rsidRDefault="00694C0F">
      <w:r>
        <w:t>Utility function 1:</w:t>
      </w:r>
    </w:p>
    <w:p w:rsidR="00024C0A" w:rsidRDefault="00694C0F">
      <w:r>
        <w:t>#define nPrimeLast 4294967291</w:t>
      </w:r>
    </w:p>
    <w:p w:rsidR="00024C0A" w:rsidRDefault="00694C0F">
      <w:r>
        <w:t>__int32 LHashMM( __int32 l, __int32 dl )</w:t>
      </w:r>
    </w:p>
    <w:p w:rsidR="00024C0A" w:rsidRDefault="00694C0F">
      <w:r>
        <w:t>{</w:t>
      </w:r>
    </w:p>
    <w:p w:rsidR="00024C0A" w:rsidRDefault="00694C0F">
      <w:r>
        <w:t xml:space="preserve">        l = 131 * l + dl;</w:t>
      </w:r>
    </w:p>
    <w:p w:rsidR="00024C0A" w:rsidRDefault="00694C0F">
      <w:r>
        <w:t xml:space="preserve">        if (l &gt;= nPrimeLast) {</w:t>
      </w:r>
    </w:p>
    <w:p w:rsidR="00024C0A" w:rsidRDefault="00694C0F">
      <w:r>
        <w:t xml:space="preserve">                l -= nPrimeLast;</w:t>
      </w:r>
    </w:p>
    <w:p w:rsidR="00024C0A" w:rsidRDefault="00694C0F">
      <w:r>
        <w:t xml:space="preserve">        }</w:t>
      </w:r>
    </w:p>
    <w:p w:rsidR="00024C0A" w:rsidRDefault="00694C0F">
      <w:r>
        <w:lastRenderedPageBreak/>
        <w:t xml:space="preserve">        return l;</w:t>
      </w:r>
    </w:p>
    <w:p w:rsidR="00024C0A" w:rsidRDefault="00694C0F">
      <w:r>
        <w:t>}</w:t>
      </w:r>
    </w:p>
    <w:p w:rsidR="00024C0A" w:rsidRDefault="00694C0F">
      <w:r>
        <w:t>Utility function 2:</w:t>
      </w:r>
    </w:p>
    <w:p w:rsidR="00024C0A" w:rsidRDefault="00694C0F">
      <w:r>
        <w:t>__int32 LGetH</w:t>
      </w:r>
      <w:r>
        <w:t>ashWz(const WCHAR *wzText)</w:t>
      </w:r>
    </w:p>
    <w:p w:rsidR="00024C0A" w:rsidRDefault="00694C0F">
      <w:r>
        <w:t>{</w:t>
      </w:r>
    </w:p>
    <w:p w:rsidR="00024C0A" w:rsidRDefault="00694C0F">
      <w:r>
        <w:t xml:space="preserve">        int cch = lstrlen(wzText);</w:t>
      </w:r>
    </w:p>
    <w:p w:rsidR="00024C0A" w:rsidRDefault="00694C0F">
      <w:r>
        <w:t xml:space="preserve">        __int32 lhash = 0L;</w:t>
      </w:r>
    </w:p>
    <w:p w:rsidR="00024C0A" w:rsidRDefault="00694C0F">
      <w:r>
        <w:t xml:space="preserve">        for (int i = 0; i &lt; cch; i++) {</w:t>
      </w:r>
    </w:p>
    <w:p w:rsidR="00024C0A" w:rsidRDefault="00694C0F">
      <w:r>
        <w:t xml:space="preserve">                lhash = LHashMM(lhash, wzText[i]);</w:t>
      </w:r>
    </w:p>
    <w:p w:rsidR="00024C0A" w:rsidRDefault="00694C0F">
      <w:r>
        <w:t xml:space="preserve">        }</w:t>
      </w:r>
    </w:p>
    <w:p w:rsidR="00024C0A" w:rsidRDefault="00694C0F">
      <w:r>
        <w:t xml:space="preserve">        return lhash;</w:t>
      </w:r>
    </w:p>
    <w:p w:rsidR="00024C0A" w:rsidRDefault="00694C0F">
      <w:r>
        <w:t>}</w:t>
      </w:r>
    </w:p>
    <w:p w:rsidR="00024C0A" w:rsidRDefault="00694C0F">
      <w:r>
        <w:t>Hash Algorithm:</w:t>
      </w:r>
    </w:p>
    <w:p w:rsidR="00024C0A" w:rsidRDefault="00694C0F">
      <w:r>
        <w:t>__int32 lwHash = 0L;</w:t>
      </w:r>
    </w:p>
    <w:p w:rsidR="00024C0A" w:rsidRDefault="00694C0F">
      <w:r>
        <w:t>for(int i = 0; i &lt; TotalNumberOfColumnsInTheDataSource; i++) {</w:t>
      </w:r>
    </w:p>
    <w:p w:rsidR="00024C0A" w:rsidRDefault="00694C0F">
      <w:r>
        <w:t xml:space="preserve">        Retrieve the value in the i-th column of this record as a Unicode String wzData;</w:t>
      </w:r>
    </w:p>
    <w:p w:rsidR="00024C0A" w:rsidRDefault="00694C0F">
      <w:r>
        <w:t xml:space="preserve">        __int32 l = LGetHashWz(wzData);</w:t>
      </w:r>
    </w:p>
    <w:p w:rsidR="00024C0A" w:rsidRDefault="00694C0F">
      <w:r>
        <w:t xml:space="preserve">        if(l) {</w:t>
      </w:r>
    </w:p>
    <w:p w:rsidR="00024C0A" w:rsidRDefault="00694C0F">
      <w:r>
        <w:t xml:space="preserve">                lwHash = LHashMM(lwHash, l);</w:t>
      </w:r>
    </w:p>
    <w:p w:rsidR="00024C0A" w:rsidRDefault="00694C0F">
      <w:r>
        <w:t xml:space="preserve">   </w:t>
      </w:r>
      <w:r>
        <w:t xml:space="preserve">     }</w:t>
      </w:r>
    </w:p>
    <w:p w:rsidR="00024C0A" w:rsidRDefault="00694C0F">
      <w:r>
        <w:t>}</w:t>
      </w:r>
    </w:p>
    <w:p w:rsidR="00024C0A" w:rsidRDefault="00694C0F">
      <w:r>
        <w:t>return lwHash as the computed hash for this record;</w:t>
      </w:r>
    </w:p>
    <w:p w:rsidR="00024C0A" w:rsidRDefault="00694C0F">
      <w:r>
        <w:t>[Note: This information is necessary as part of a mail merge because records may be added or deleted from external data sources, and a means must be provided to maintain record-specific inclusion</w:t>
      </w:r>
      <w:r>
        <w:t xml:space="preserve"> or exclusion data using the </w:t>
      </w:r>
      <w:r>
        <w:rPr>
          <w:b/>
        </w:rPr>
        <w:t>active</w:t>
      </w:r>
      <w:r>
        <w:t xml:space="preserve"> element (§</w:t>
      </w:r>
      <w:hyperlink w:anchor="Section_7bbd9fb16181481db29c63842301455d">
        <w:r>
          <w:rPr>
            <w:rStyle w:val="Hyperlink"/>
          </w:rPr>
          <w:t>3.1.2.1.1.6, active</w:t>
        </w:r>
      </w:hyperlink>
      <w:r>
        <w:t>) and the affected external data record when the WordprocessingML document is reconnected to the external data source irrespecti</w:t>
      </w:r>
      <w:r>
        <w:t xml:space="preserve">ve of the ordering of the records within the external data source. end note] </w:t>
      </w:r>
    </w:p>
    <w:p w:rsidR="00024C0A" w:rsidRDefault="00694C0F">
      <w:r>
        <w:t>[Example: Consider the following WordprocessingML fragment for the information about a single record in a source document for a mail merge:</w:t>
      </w:r>
    </w:p>
    <w:p w:rsidR="00024C0A" w:rsidRDefault="00694C0F">
      <w:pPr>
        <w:pStyle w:val="Code"/>
      </w:pPr>
      <w:r>
        <w:t>&lt;w:recipientData&gt;</w:t>
      </w:r>
    </w:p>
    <w:p w:rsidR="00024C0A" w:rsidRDefault="00694C0F">
      <w:pPr>
        <w:pStyle w:val="Code"/>
      </w:pPr>
      <w:r>
        <w:t>  &lt;w:active w:val="0</w:t>
      </w:r>
      <w:r>
        <w:t>" /&gt;</w:t>
      </w:r>
    </w:p>
    <w:p w:rsidR="00024C0A" w:rsidRDefault="00694C0F">
      <w:pPr>
        <w:pStyle w:val="Code"/>
      </w:pPr>
      <w:r>
        <w:t xml:space="preserve">  &lt;w:hash w:val="258865469" /&gt; </w:t>
      </w:r>
    </w:p>
    <w:p w:rsidR="00024C0A" w:rsidRDefault="00694C0F">
      <w:pPr>
        <w:pStyle w:val="Code"/>
      </w:pPr>
      <w:r>
        <w:t>&lt;/w:recipientData&gt;</w:t>
      </w:r>
    </w:p>
    <w:p w:rsidR="00024C0A" w:rsidRDefault="00694C0F">
      <w:r>
        <w:t xml:space="preserve">The external data record associated with this information is specified via the hash value 258865469. This record will not be imported into the merged WordprocessingML document because the </w:t>
      </w:r>
      <w:r>
        <w:rPr>
          <w:b/>
        </w:rPr>
        <w:t>active</w:t>
      </w:r>
      <w:r>
        <w:t xml:space="preserve"> element (§3.1.2.1.1.6, active) associated with the given external data record has a </w:t>
      </w:r>
      <w:r>
        <w:rPr>
          <w:b/>
        </w:rPr>
        <w:t>val</w:t>
      </w:r>
      <w:r>
        <w:t xml:space="preserve"> attribute equal </w:t>
      </w:r>
      <w:r>
        <w:lastRenderedPageBreak/>
        <w:t xml:space="preserve">to </w:t>
      </w:r>
      <w:r>
        <w:rPr>
          <w:i/>
        </w:rPr>
        <w:t>0</w:t>
      </w:r>
      <w:r>
        <w:t xml:space="preserve">; for example, when the specified external data source is connected, the record that has the hash value </w:t>
      </w:r>
      <w:r>
        <w:rPr>
          <w:i/>
        </w:rPr>
        <w:t>258865469</w:t>
      </w:r>
      <w:r>
        <w:t xml:space="preserve"> will not be used to populate mapp</w:t>
      </w:r>
      <w:r>
        <w:t>ed fields in a merged document with data from that record. end example]</w:t>
      </w:r>
    </w:p>
    <w:tbl>
      <w:tblPr>
        <w:tblStyle w:val="Table-ShadedHeader"/>
        <w:tblW w:w="0" w:type="auto"/>
        <w:tblLook w:val="04A0" w:firstRow="1" w:lastRow="0" w:firstColumn="1" w:lastColumn="0" w:noHBand="0" w:noVBand="1"/>
      </w:tblPr>
      <w:tblGrid>
        <w:gridCol w:w="383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recipientData</w:t>
            </w:r>
            <w:r>
              <w:t xml:space="preserve"> (§</w:t>
            </w:r>
            <w:hyperlink w:anchor="Section_cae9abfd7956464e9f841af5c3c4433d">
              <w:r>
                <w:rPr>
                  <w:rStyle w:val="Hyperlink"/>
                </w:rPr>
                <w:t>3.1.2.2.1.2, recipientData</w:t>
              </w:r>
            </w:hyperlink>
            <w:r>
              <w: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1135"/>
        <w:gridCol w:w="8340"/>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Attributes</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val</w:t>
            </w:r>
            <w:r>
              <w:t xml:space="preserve"> ()</w:t>
            </w:r>
          </w:p>
        </w:tc>
        <w:tc>
          <w:tcPr>
            <w:tcW w:w="0" w:type="auto"/>
            <w:vAlign w:val="center"/>
          </w:tcPr>
          <w:p w:rsidR="00024C0A" w:rsidRDefault="00024C0A">
            <w:pPr>
              <w:pStyle w:val="TableBodyText"/>
            </w:pPr>
          </w:p>
          <w:p w:rsidR="00024C0A" w:rsidRDefault="00694C0F">
            <w:pPr>
              <w:pStyle w:val="TableBodyText"/>
            </w:pPr>
            <w:r>
              <w:t xml:space="preserve">The possible values for </w:t>
            </w:r>
            <w:r>
              <w:t>this attribute are defined by the ST_DecimalNumber simple type (§</w:t>
            </w:r>
            <w:hyperlink w:anchor="Section_9168633928aa4e54acbd77bc5c69d9d2">
              <w:r>
                <w:rPr>
                  <w:rStyle w:val="Hyperlink"/>
                </w:rPr>
                <w:t>3.1.2.3.1, ST_DecimalNumber</w:t>
              </w:r>
            </w:hyperlink>
            <w:r>
              <w:t>).</w:t>
            </w:r>
          </w:p>
        </w:tc>
      </w:tr>
    </w:tbl>
    <w:p w:rsidR="00024C0A" w:rsidRDefault="00024C0A"/>
    <w:p w:rsidR="00024C0A" w:rsidRDefault="00694C0F">
      <w:r>
        <w:t>The following XML Schema fragment defines the contents of this element:</w:t>
      </w:r>
    </w:p>
    <w:p w:rsidR="00024C0A" w:rsidRDefault="00694C0F">
      <w:pPr>
        <w:pStyle w:val="Code"/>
      </w:pPr>
      <w:r>
        <w:t>&lt;complexType name="CT_De</w:t>
      </w:r>
      <w:r>
        <w:t>cimalNumber"&gt;</w:t>
      </w:r>
    </w:p>
    <w:p w:rsidR="00024C0A" w:rsidRDefault="00694C0F">
      <w:pPr>
        <w:pStyle w:val="Code"/>
      </w:pPr>
      <w:r>
        <w:t xml:space="preserve">  &lt;attribute name="val" type="ST_DecimalNumber" use="required"/&gt;</w:t>
      </w:r>
    </w:p>
    <w:p w:rsidR="00024C0A" w:rsidRDefault="00694C0F">
      <w:pPr>
        <w:pStyle w:val="Code"/>
      </w:pPr>
      <w:r>
        <w:t>&lt;/complexType&gt;</w:t>
      </w:r>
    </w:p>
    <w:p w:rsidR="00024C0A" w:rsidRDefault="00694C0F">
      <w:pPr>
        <w:pStyle w:val="Heading6"/>
      </w:pPr>
      <w:bookmarkStart w:id="3857" w:name="section_cae9abfd7956464e9f841af5c3c4433d"/>
      <w:bookmarkStart w:id="3858" w:name="_Toc12261989"/>
      <w:r>
        <w:t>recipientData (Data About Single Data Source Record)</w:t>
      </w:r>
      <w:bookmarkEnd w:id="3857"/>
      <w:bookmarkEnd w:id="3858"/>
      <w:r>
        <w:fldChar w:fldCharType="begin"/>
      </w:r>
      <w:r>
        <w:instrText xml:space="preserve"> XE "recipientData (Data About Single Data Source Record)" </w:instrText>
      </w:r>
      <w:r>
        <w:fldChar w:fldCharType="end"/>
      </w:r>
    </w:p>
    <w:p w:rsidR="00024C0A" w:rsidRDefault="00694C0F">
      <w:r>
        <w:t>This element specifies information about a single record within an external data source. If a record shall be merged into a merged document, then no information is needed about the record within this part. However, if a record shall not be merged into a me</w:t>
      </w:r>
      <w:r>
        <w:t xml:space="preserve">rged document, then the hash value for the record shall be stored within the </w:t>
      </w:r>
      <w:r>
        <w:rPr>
          <w:b/>
        </w:rPr>
        <w:t>hash</w:t>
      </w:r>
      <w:r>
        <w:t xml:space="preserve"> element as a child of this element, along with the </w:t>
      </w:r>
      <w:r>
        <w:rPr>
          <w:b/>
        </w:rPr>
        <w:t>active</w:t>
      </w:r>
      <w:r>
        <w:t xml:space="preserve"> element, to indicate this exclusion.</w:t>
      </w:r>
    </w:p>
    <w:p w:rsidR="00024C0A" w:rsidRDefault="00694C0F">
      <w:r>
        <w:t xml:space="preserve">[Note: This mapping is necessary in place of simply using the element order to </w:t>
      </w:r>
      <w:r>
        <w:t xml:space="preserve">correspond to the record indices in the external data source because records may be added or deleted from external data sources, and a means must be provided to maintain specific external record WordprocessingML data, like that specified in the </w:t>
      </w:r>
      <w:r>
        <w:rPr>
          <w:b/>
        </w:rPr>
        <w:t>active</w:t>
      </w:r>
      <w:r>
        <w:t xml:space="preserve"> elem</w:t>
      </w:r>
      <w:r>
        <w:t>ent (§</w:t>
      </w:r>
      <w:hyperlink w:anchor="Section_7bbd9fb16181481db29c63842301455d">
        <w:r>
          <w:rPr>
            <w:rStyle w:val="Hyperlink"/>
          </w:rPr>
          <w:t>3.1.2.1.1.6, active</w:t>
        </w:r>
      </w:hyperlink>
      <w:r>
        <w:t>) and the corresponding external data record, when the WordprocessingML document is reconnected to the external data source, irrespective of the ordering of the records</w:t>
      </w:r>
      <w:r>
        <w:t xml:space="preserve"> within the external data source. In other words, this element, and its child elements enable merged WordprocessingML documents to maintain the relationship between the records within an external data and record-specific WordprocessingML parameters. end no</w:t>
      </w:r>
      <w:r>
        <w:t>te]</w:t>
      </w:r>
    </w:p>
    <w:p w:rsidR="00024C0A" w:rsidRDefault="00694C0F">
      <w:r>
        <w:t>[Example: Consider a mail merge source WordprocessingML document that:</w:t>
      </w:r>
    </w:p>
    <w:p w:rsidR="00024C0A" w:rsidRDefault="00694C0F">
      <w:r>
        <w:t xml:space="preserve">Has been connected to a specified external data source containing three records; and </w:t>
      </w:r>
    </w:p>
    <w:p w:rsidR="00024C0A" w:rsidRDefault="00694C0F">
      <w:r>
        <w:t>Has been configured by the hosting application to not populate a merged document with the recor</w:t>
      </w:r>
      <w:r>
        <w:t xml:space="preserve">d pertaining to </w:t>
      </w:r>
      <w:r>
        <w:rPr>
          <w:i/>
        </w:rPr>
        <w:t>John Smith</w:t>
      </w:r>
      <w:r>
        <w:t xml:space="preserve"> in the external data source.</w:t>
      </w:r>
    </w:p>
    <w:p w:rsidR="00024C0A" w:rsidRDefault="00694C0F">
      <w:r>
        <w:t xml:space="preserve">Consider also that the first time the given WordprocessingML document was connected to the external data source, </w:t>
      </w:r>
      <w:r>
        <w:rPr>
          <w:i/>
        </w:rPr>
        <w:t>John Smith</w:t>
      </w:r>
      <w:r>
        <w:t xml:space="preserve">'s record was in the second record in the data source. </w:t>
      </w:r>
    </w:p>
    <w:p w:rsidR="00024C0A" w:rsidRDefault="00694C0F">
      <w:r>
        <w:t>When this merged docu</w:t>
      </w:r>
      <w:r>
        <w:t xml:space="preserve">ment is connected to the external data source the </w:t>
      </w:r>
      <w:r>
        <w:rPr>
          <w:b/>
        </w:rPr>
        <w:t>recipientData</w:t>
      </w:r>
      <w:r>
        <w:t xml:space="preserve"> element may be used to store the hash value for each data record in the external data source, including </w:t>
      </w:r>
      <w:r>
        <w:rPr>
          <w:i/>
        </w:rPr>
        <w:t>John Smith</w:t>
      </w:r>
      <w:r>
        <w:t>'s. This setting is represented using the following WordprocessingML to use th</w:t>
      </w:r>
      <w:r>
        <w:t xml:space="preserve">e hash codes </w:t>
      </w:r>
      <w:r>
        <w:lastRenderedPageBreak/>
        <w:t xml:space="preserve">within the </w:t>
      </w:r>
      <w:r>
        <w:rPr>
          <w:b/>
        </w:rPr>
        <w:t>recipientData</w:t>
      </w:r>
      <w:r>
        <w:t xml:space="preserve"> element to uniquely identify the three records within the external data source.</w:t>
      </w:r>
    </w:p>
    <w:p w:rsidR="00024C0A" w:rsidRDefault="00694C0F">
      <w:pPr>
        <w:pStyle w:val="Code"/>
      </w:pPr>
      <w:r>
        <w:t>&lt;w:recipientData&gt;</w:t>
      </w:r>
    </w:p>
    <w:p w:rsidR="00024C0A" w:rsidRDefault="00694C0F">
      <w:pPr>
        <w:pStyle w:val="Code"/>
      </w:pPr>
      <w:r>
        <w:t xml:space="preserve">  &lt;w:hash w:val="1408613399" /&gt; </w:t>
      </w:r>
    </w:p>
    <w:p w:rsidR="00024C0A" w:rsidRDefault="00694C0F">
      <w:pPr>
        <w:pStyle w:val="Code"/>
      </w:pPr>
      <w:r>
        <w:t>&lt;/w:recipientData&gt;</w:t>
      </w:r>
    </w:p>
    <w:p w:rsidR="00024C0A" w:rsidRDefault="00694C0F">
      <w:pPr>
        <w:pStyle w:val="Code"/>
      </w:pPr>
      <w:r>
        <w:t>&lt;w:recipientData&gt;</w:t>
      </w:r>
    </w:p>
    <w:p w:rsidR="00024C0A" w:rsidRDefault="00694C0F">
      <w:pPr>
        <w:pStyle w:val="Code"/>
      </w:pPr>
      <w:r>
        <w:t xml:space="preserve">  &lt;w:active w:val="0" /&gt;</w:t>
      </w:r>
    </w:p>
    <w:p w:rsidR="00024C0A" w:rsidRDefault="00694C0F">
      <w:pPr>
        <w:pStyle w:val="Code"/>
      </w:pPr>
      <w:r>
        <w:t>  &lt;w:hash w:val="87025469</w:t>
      </w:r>
      <w:r>
        <w:t xml:space="preserve">1" /&gt; </w:t>
      </w:r>
    </w:p>
    <w:p w:rsidR="00024C0A" w:rsidRDefault="00694C0F">
      <w:pPr>
        <w:pStyle w:val="Code"/>
      </w:pPr>
      <w:r>
        <w:t>&lt;/w:recipientData&gt;</w:t>
      </w:r>
    </w:p>
    <w:p w:rsidR="00024C0A" w:rsidRDefault="00694C0F">
      <w:pPr>
        <w:pStyle w:val="Code"/>
      </w:pPr>
      <w:r>
        <w:t>&lt;w:recipientData&gt;</w:t>
      </w:r>
    </w:p>
    <w:p w:rsidR="00024C0A" w:rsidRDefault="00694C0F">
      <w:pPr>
        <w:pStyle w:val="Code"/>
      </w:pPr>
      <w:r>
        <w:t xml:space="preserve">  &lt;w:hash w:val="1107777181" /&gt; </w:t>
      </w:r>
    </w:p>
    <w:p w:rsidR="00024C0A" w:rsidRDefault="00694C0F">
      <w:pPr>
        <w:pStyle w:val="Code"/>
      </w:pPr>
      <w:r>
        <w:t>&lt;/w:recipientData&gt;</w:t>
      </w:r>
    </w:p>
    <w:p w:rsidR="00024C0A" w:rsidRDefault="00694C0F">
      <w:r>
        <w:t xml:space="preserve">Here, the first, second (John Smith record), and third records within the specified data source whose hash values are </w:t>
      </w:r>
      <w:r>
        <w:rPr>
          <w:i/>
        </w:rPr>
        <w:t>1408613399</w:t>
      </w:r>
      <w:r>
        <w:t xml:space="preserve">, </w:t>
      </w:r>
      <w:r>
        <w:rPr>
          <w:i/>
        </w:rPr>
        <w:t>870254691</w:t>
      </w:r>
      <w:r>
        <w:t xml:space="preserve">, and </w:t>
      </w:r>
      <w:r>
        <w:rPr>
          <w:i/>
        </w:rPr>
        <w:t>1107777181</w:t>
      </w:r>
      <w:r>
        <w:t xml:space="preserve"> have been associated with recipient data via the </w:t>
      </w:r>
      <w:r>
        <w:rPr>
          <w:b/>
        </w:rPr>
        <w:t>active</w:t>
      </w:r>
      <w:r>
        <w:t xml:space="preserve"> element to specify that the record associated with the given record (</w:t>
      </w:r>
      <w:r>
        <w:rPr>
          <w:i/>
        </w:rPr>
        <w:t>John Smith</w:t>
      </w:r>
      <w:r>
        <w:t xml:space="preserve">'s record) shall not be used to populate a merged WordprocessingML document. </w:t>
      </w:r>
    </w:p>
    <w:p w:rsidR="00024C0A" w:rsidRDefault="00694C0F">
      <w:r>
        <w:t>With these associations in place, if a fou</w:t>
      </w:r>
      <w:r>
        <w:t>rth record is added to the given external data source and that record precedes John Smith's record, when the given merged WordprocessingML document is reconnected to the external data source, the hosting application will still know that John Smith's record</w:t>
      </w:r>
      <w:r>
        <w:t xml:space="preserve"> shall not be used to populate a merged WordprocessingML document as it is associated via its hash value and is not dependent on the given record's ordinal position within the external data source. end example]</w:t>
      </w:r>
    </w:p>
    <w:tbl>
      <w:tblPr>
        <w:tblStyle w:val="Table-ShadedHeader"/>
        <w:tblW w:w="0" w:type="auto"/>
        <w:tblLook w:val="04A0" w:firstRow="1" w:lastRow="0" w:firstColumn="1" w:lastColumn="0" w:noHBand="0" w:noVBand="1"/>
      </w:tblPr>
      <w:tblGrid>
        <w:gridCol w:w="321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recipients</w:t>
            </w:r>
            <w:r>
              <w:t xml:space="preserve"> (§</w:t>
            </w:r>
            <w:hyperlink w:anchor="Section_bf48d2d283e747cfa5e797caf8346fd8">
              <w:r>
                <w:rPr>
                  <w:rStyle w:val="Hyperlink"/>
                </w:rPr>
                <w:t>3.1.2.2.1.3, recipients</w:t>
              </w:r>
            </w:hyperlink>
            <w:r>
              <w: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3607"/>
        <w:gridCol w:w="1824"/>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Child Elements</w:t>
            </w:r>
          </w:p>
        </w:tc>
        <w:tc>
          <w:tcPr>
            <w:tcW w:w="0" w:type="auto"/>
            <w:vAlign w:val="center"/>
          </w:tcPr>
          <w:p w:rsidR="00024C0A" w:rsidRDefault="00694C0F">
            <w:pPr>
              <w:pStyle w:val="TableHeaderText"/>
            </w:pPr>
            <w:r>
              <w:t>Subclause</w:t>
            </w:r>
          </w:p>
        </w:tc>
      </w:tr>
      <w:tr w:rsidR="00024C0A" w:rsidTr="00024C0A">
        <w:tc>
          <w:tcPr>
            <w:tcW w:w="0" w:type="auto"/>
            <w:vAlign w:val="center"/>
          </w:tcPr>
          <w:p w:rsidR="00024C0A" w:rsidRDefault="00694C0F">
            <w:pPr>
              <w:pStyle w:val="TableBodyText"/>
            </w:pPr>
            <w:r>
              <w:rPr>
                <w:b/>
              </w:rPr>
              <w:t>active</w:t>
            </w:r>
            <w:r>
              <w:t xml:space="preserve"> (Record Is Included in Mail Merge)</w:t>
            </w:r>
          </w:p>
        </w:tc>
        <w:tc>
          <w:tcPr>
            <w:tcW w:w="0" w:type="auto"/>
            <w:vAlign w:val="center"/>
          </w:tcPr>
          <w:p w:rsidR="00024C0A" w:rsidRDefault="00694C0F">
            <w:pPr>
              <w:pStyle w:val="TableBodyText"/>
            </w:pPr>
            <w:r>
              <w:t>§3.1.2.1.1.6, active</w:t>
            </w:r>
          </w:p>
        </w:tc>
      </w:tr>
      <w:tr w:rsidR="00024C0A" w:rsidTr="00024C0A">
        <w:tc>
          <w:tcPr>
            <w:tcW w:w="0" w:type="auto"/>
            <w:vAlign w:val="center"/>
          </w:tcPr>
          <w:p w:rsidR="00024C0A" w:rsidRDefault="00694C0F">
            <w:pPr>
              <w:pStyle w:val="TableBodyText"/>
            </w:pPr>
            <w:r>
              <w:rPr>
                <w:b/>
              </w:rPr>
              <w:t>hash</w:t>
            </w:r>
            <w:r>
              <w:t xml:space="preserve"> (Hash Code for Record)</w:t>
            </w:r>
          </w:p>
        </w:tc>
        <w:tc>
          <w:tcPr>
            <w:tcW w:w="0" w:type="auto"/>
            <w:vAlign w:val="center"/>
          </w:tcPr>
          <w:p w:rsidR="00024C0A" w:rsidRDefault="00694C0F">
            <w:pPr>
              <w:pStyle w:val="TableBodyText"/>
            </w:pPr>
            <w:r>
              <w:t>§</w:t>
            </w:r>
            <w:hyperlink w:anchor="Section_b1588c0913964016a2ea78ce84a81a8e">
              <w:r>
                <w:rPr>
                  <w:rStyle w:val="Hyperlink"/>
                </w:rPr>
                <w:t>3.1.2.2.1.1, hash</w:t>
              </w:r>
            </w:hyperlink>
          </w:p>
        </w:tc>
      </w:tr>
    </w:tbl>
    <w:p w:rsidR="00024C0A" w:rsidRDefault="00024C0A"/>
    <w:p w:rsidR="00024C0A" w:rsidRDefault="00694C0F">
      <w:r>
        <w:t>The following XML Schema fragment defines the contents of this element:</w:t>
      </w:r>
    </w:p>
    <w:p w:rsidR="00024C0A" w:rsidRDefault="00694C0F">
      <w:pPr>
        <w:pStyle w:val="Code"/>
      </w:pPr>
      <w:r>
        <w:t>&lt;complexType name="CT_HashedRecipientData"&gt;</w:t>
      </w:r>
    </w:p>
    <w:p w:rsidR="00024C0A" w:rsidRDefault="00694C0F">
      <w:pPr>
        <w:pStyle w:val="Code"/>
      </w:pPr>
      <w:r>
        <w:t xml:space="preserve">  &lt;sequence&gt;</w:t>
      </w:r>
    </w:p>
    <w:p w:rsidR="00024C0A" w:rsidRDefault="00694C0F">
      <w:pPr>
        <w:pStyle w:val="Code"/>
      </w:pPr>
      <w:r>
        <w:t xml:space="preserve">    &lt;element name="active" type="CT_OnOff" minOccurs="0"/&gt;</w:t>
      </w:r>
    </w:p>
    <w:p w:rsidR="00024C0A" w:rsidRDefault="00694C0F">
      <w:pPr>
        <w:pStyle w:val="Code"/>
      </w:pPr>
      <w:r>
        <w:t xml:space="preserve">    &lt;</w:t>
      </w:r>
      <w:r>
        <w:t>element name="hash" type="CT_DecimalNumber" minOccurs="1"/&gt;</w:t>
      </w:r>
    </w:p>
    <w:p w:rsidR="00024C0A" w:rsidRDefault="00694C0F">
      <w:pPr>
        <w:pStyle w:val="Code"/>
      </w:pPr>
      <w:r>
        <w:t xml:space="preserve">  &lt;/sequence&gt;</w:t>
      </w:r>
    </w:p>
    <w:p w:rsidR="00024C0A" w:rsidRDefault="00694C0F">
      <w:pPr>
        <w:pStyle w:val="Code"/>
      </w:pPr>
      <w:r>
        <w:t>&lt;/complexType&gt;</w:t>
      </w:r>
    </w:p>
    <w:p w:rsidR="00024C0A" w:rsidRDefault="00694C0F">
      <w:pPr>
        <w:pStyle w:val="Heading6"/>
      </w:pPr>
      <w:bookmarkStart w:id="3859" w:name="section_bf48d2d283e747cfa5e797caf8346fd8"/>
      <w:bookmarkStart w:id="3860" w:name="_Toc12261990"/>
      <w:r>
        <w:t>recipients (Inclusion/Exclusion Data for Data Source)</w:t>
      </w:r>
      <w:bookmarkEnd w:id="3859"/>
      <w:bookmarkEnd w:id="3860"/>
      <w:r>
        <w:fldChar w:fldCharType="begin"/>
      </w:r>
      <w:r>
        <w:instrText xml:space="preserve"> XE "recipients (Inclusion/Exclusion Data for Data Source)" </w:instrText>
      </w:r>
      <w:r>
        <w:fldChar w:fldCharType="end"/>
      </w:r>
    </w:p>
    <w:p w:rsidR="00024C0A" w:rsidRDefault="00694C0F">
      <w:r>
        <w:t>This element specifies all of the inclusion/exclusi</w:t>
      </w:r>
      <w:r>
        <w:t>on data for the contents of the specified mail merge data source. It is the root element for the Mail Merge Recipient Data part.</w:t>
      </w:r>
    </w:p>
    <w:p w:rsidR="00024C0A" w:rsidRDefault="00694C0F">
      <w:r>
        <w:t>[Example: Consider a document which is the source document for a mail merge operation. If two records of the three specified by</w:t>
      </w:r>
      <w:r>
        <w:t xml:space="preserve"> the data source were excluded from the mail merge, the resulting recipient data part would appear as follows:</w:t>
      </w:r>
    </w:p>
    <w:p w:rsidR="00024C0A" w:rsidRDefault="00694C0F">
      <w:pPr>
        <w:pStyle w:val="Code"/>
      </w:pPr>
      <w:r>
        <w:lastRenderedPageBreak/>
        <w:t>&lt;w:recipients&gt;</w:t>
      </w:r>
    </w:p>
    <w:p w:rsidR="00024C0A" w:rsidRDefault="00694C0F">
      <w:pPr>
        <w:pStyle w:val="Code"/>
      </w:pPr>
      <w:r>
        <w:t xml:space="preserve">  &lt;w:recipientData&gt;</w:t>
      </w:r>
    </w:p>
    <w:p w:rsidR="00024C0A" w:rsidRDefault="00694C0F">
      <w:pPr>
        <w:pStyle w:val="Code"/>
      </w:pPr>
      <w:r>
        <w:t xml:space="preserve">    &lt;w:active w:val="false"/&gt;</w:t>
      </w:r>
    </w:p>
    <w:p w:rsidR="00024C0A" w:rsidRDefault="00694C0F">
      <w:pPr>
        <w:pStyle w:val="Code"/>
      </w:pPr>
      <w:r>
        <w:t xml:space="preserve">    …</w:t>
      </w:r>
    </w:p>
    <w:p w:rsidR="00024C0A" w:rsidRDefault="00694C0F">
      <w:pPr>
        <w:pStyle w:val="Code"/>
      </w:pPr>
      <w:r>
        <w:t xml:space="preserve">  &lt;/w:recipientData&gt;</w:t>
      </w:r>
    </w:p>
    <w:p w:rsidR="00024C0A" w:rsidRDefault="00694C0F">
      <w:pPr>
        <w:pStyle w:val="Code"/>
      </w:pPr>
      <w:r>
        <w:t xml:space="preserve">  &lt;w:recipientData&gt;</w:t>
      </w:r>
    </w:p>
    <w:p w:rsidR="00024C0A" w:rsidRDefault="00694C0F">
      <w:pPr>
        <w:pStyle w:val="Code"/>
      </w:pPr>
      <w:r>
        <w:t xml:space="preserve">    &lt;w:active w:val="false"/&gt;</w:t>
      </w:r>
    </w:p>
    <w:p w:rsidR="00024C0A" w:rsidRDefault="00694C0F">
      <w:pPr>
        <w:pStyle w:val="Code"/>
      </w:pPr>
      <w:r>
        <w:t xml:space="preserve">   </w:t>
      </w:r>
      <w:r>
        <w:t xml:space="preserve"> …</w:t>
      </w:r>
    </w:p>
    <w:p w:rsidR="00024C0A" w:rsidRDefault="00694C0F">
      <w:pPr>
        <w:pStyle w:val="Code"/>
      </w:pPr>
      <w:r>
        <w:t xml:space="preserve">  &lt;/w:recipientData&gt;</w:t>
      </w:r>
    </w:p>
    <w:p w:rsidR="00024C0A" w:rsidRDefault="00694C0F">
      <w:pPr>
        <w:pStyle w:val="Code"/>
      </w:pPr>
      <w:r>
        <w:t xml:space="preserve">  &lt;w:recipientData&gt;</w:t>
      </w:r>
    </w:p>
    <w:p w:rsidR="00024C0A" w:rsidRDefault="00694C0F">
      <w:pPr>
        <w:pStyle w:val="Code"/>
      </w:pPr>
      <w:r>
        <w:t xml:space="preserve">    …</w:t>
      </w:r>
    </w:p>
    <w:p w:rsidR="00024C0A" w:rsidRDefault="00694C0F">
      <w:pPr>
        <w:pStyle w:val="Code"/>
      </w:pPr>
      <w:r>
        <w:t xml:space="preserve">  &lt;/w:recipientData&gt;</w:t>
      </w:r>
    </w:p>
    <w:p w:rsidR="00024C0A" w:rsidRDefault="00694C0F">
      <w:pPr>
        <w:pStyle w:val="Code"/>
      </w:pPr>
      <w:r>
        <w:t>&lt;/w:recipients&gt;</w:t>
      </w:r>
    </w:p>
    <w:p w:rsidR="00024C0A" w:rsidRDefault="00694C0F">
      <w:r>
        <w:t xml:space="preserve">The </w:t>
      </w:r>
      <w:r>
        <w:rPr>
          <w:b/>
        </w:rPr>
        <w:t>recipients</w:t>
      </w:r>
      <w:r>
        <w:t xml:space="preserve"> element contains all of the recipient inclusion/exclusion data for this mail merge document. end example]</w:t>
      </w:r>
    </w:p>
    <w:tbl>
      <w:tblPr>
        <w:tblStyle w:val="Table-ShadedHeader"/>
        <w:tblW w:w="0" w:type="auto"/>
        <w:tblLook w:val="04A0" w:firstRow="1" w:lastRow="0" w:firstColumn="1" w:lastColumn="0" w:noHBand="0" w:noVBand="1"/>
      </w:tblPr>
      <w:tblGrid>
        <w:gridCol w:w="4758"/>
        <w:gridCol w:w="242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Child Elements</w:t>
            </w:r>
          </w:p>
        </w:tc>
        <w:tc>
          <w:tcPr>
            <w:tcW w:w="0" w:type="auto"/>
            <w:vAlign w:val="center"/>
          </w:tcPr>
          <w:p w:rsidR="00024C0A" w:rsidRDefault="00694C0F">
            <w:pPr>
              <w:pStyle w:val="TableHeaderText"/>
            </w:pPr>
            <w:r>
              <w:t>Subclause</w:t>
            </w:r>
          </w:p>
        </w:tc>
      </w:tr>
      <w:tr w:rsidR="00024C0A" w:rsidTr="00024C0A">
        <w:tc>
          <w:tcPr>
            <w:tcW w:w="0" w:type="auto"/>
            <w:vAlign w:val="center"/>
          </w:tcPr>
          <w:p w:rsidR="00024C0A" w:rsidRDefault="00694C0F">
            <w:pPr>
              <w:pStyle w:val="TableBodyText"/>
            </w:pPr>
            <w:r>
              <w:rPr>
                <w:b/>
              </w:rPr>
              <w:t>recipientData</w:t>
            </w:r>
            <w:r>
              <w:t xml:space="preserve"> (Data About Single Data Source Record)</w:t>
            </w:r>
          </w:p>
        </w:tc>
        <w:tc>
          <w:tcPr>
            <w:tcW w:w="0" w:type="auto"/>
            <w:vAlign w:val="center"/>
          </w:tcPr>
          <w:p w:rsidR="00024C0A" w:rsidRDefault="00694C0F">
            <w:pPr>
              <w:pStyle w:val="TableBodyText"/>
            </w:pPr>
            <w:r>
              <w:t>§</w:t>
            </w:r>
            <w:hyperlink w:anchor="Section_cae9abfd7956464e9f841af5c3c4433d">
              <w:r>
                <w:rPr>
                  <w:rStyle w:val="Hyperlink"/>
                </w:rPr>
                <w:t>3.1.2.2.1.2, recipientData</w:t>
              </w:r>
            </w:hyperlink>
          </w:p>
        </w:tc>
      </w:tr>
    </w:tbl>
    <w:p w:rsidR="00024C0A" w:rsidRDefault="00024C0A"/>
    <w:p w:rsidR="00024C0A" w:rsidRDefault="00694C0F">
      <w:r>
        <w:t>The following XML Schema fragment defines the contents of this element:</w:t>
      </w:r>
    </w:p>
    <w:p w:rsidR="00024C0A" w:rsidRDefault="00694C0F">
      <w:pPr>
        <w:pStyle w:val="Code"/>
      </w:pPr>
      <w:r>
        <w:t>&lt;complexType name="CT_HashedRecipients"&gt;</w:t>
      </w:r>
    </w:p>
    <w:p w:rsidR="00024C0A" w:rsidRDefault="00694C0F">
      <w:pPr>
        <w:pStyle w:val="Code"/>
      </w:pPr>
      <w:r>
        <w:t xml:space="preserve">  &lt;sequenc</w:t>
      </w:r>
      <w:r>
        <w:t>e&gt;</w:t>
      </w:r>
    </w:p>
    <w:p w:rsidR="00024C0A" w:rsidRDefault="00694C0F">
      <w:pPr>
        <w:pStyle w:val="Code"/>
      </w:pPr>
      <w:r>
        <w:t xml:space="preserve">    &lt;element name="recipientData" type="CT_HashedRecipientData" minOccurs="1" maxOccurs="unbounded"/&gt;</w:t>
      </w:r>
    </w:p>
    <w:p w:rsidR="00024C0A" w:rsidRDefault="00694C0F">
      <w:pPr>
        <w:pStyle w:val="Code"/>
      </w:pPr>
      <w:r>
        <w:t xml:space="preserve">  &lt;/sequence&gt;</w:t>
      </w:r>
    </w:p>
    <w:p w:rsidR="00024C0A" w:rsidRDefault="00694C0F">
      <w:pPr>
        <w:pStyle w:val="Code"/>
      </w:pPr>
      <w:r>
        <w:t>&lt;/complexType&gt;</w:t>
      </w:r>
    </w:p>
    <w:p w:rsidR="00024C0A" w:rsidRDefault="00694C0F">
      <w:pPr>
        <w:pStyle w:val="Heading4"/>
      </w:pPr>
      <w:bookmarkStart w:id="3861" w:name="section_176bd1fdfd4a4524a75256b44c1e2eac"/>
      <w:bookmarkStart w:id="3862" w:name="_Toc12261991"/>
      <w:r>
        <w:t>Simple Types</w:t>
      </w:r>
      <w:bookmarkEnd w:id="3861"/>
      <w:bookmarkEnd w:id="3862"/>
      <w:r>
        <w:fldChar w:fldCharType="begin"/>
      </w:r>
      <w:r>
        <w:instrText xml:space="preserve"> XE "Simple Types" </w:instrText>
      </w:r>
      <w:r>
        <w:fldChar w:fldCharType="end"/>
      </w:r>
    </w:p>
    <w:p w:rsidR="00024C0A" w:rsidRDefault="00694C0F">
      <w:r>
        <w:t>This is the complete list of simple types in the http://schemas.microsoft.com/office/wor</w:t>
      </w:r>
      <w:r>
        <w:t>d/2006/wordml namespace.</w:t>
      </w:r>
    </w:p>
    <w:p w:rsidR="00024C0A" w:rsidRDefault="00694C0F">
      <w:pPr>
        <w:pStyle w:val="Heading5"/>
      </w:pPr>
      <w:bookmarkStart w:id="3863" w:name="section_9168633928aa4e54acbd77bc5c69d9d2"/>
      <w:bookmarkStart w:id="3864" w:name="_Toc12261992"/>
      <w:r>
        <w:t>ST_DecimalNumber (Decimal Number Value)</w:t>
      </w:r>
      <w:bookmarkEnd w:id="3863"/>
      <w:bookmarkEnd w:id="3864"/>
      <w:r>
        <w:fldChar w:fldCharType="begin"/>
      </w:r>
      <w:r>
        <w:instrText xml:space="preserve"> XE "ST_DecimalNumber (Decimal Number Value)" </w:instrText>
      </w:r>
      <w:r>
        <w:fldChar w:fldCharType="end"/>
      </w:r>
    </w:p>
    <w:p w:rsidR="00024C0A" w:rsidRDefault="00694C0F">
      <w:r>
        <w:t>This simple type specifies that its contents will contain a whole decimal number (positive or negative), whose contents are interpreted based o</w:t>
      </w:r>
      <w:r>
        <w:t>n the context of the parent XML element.</w:t>
      </w:r>
    </w:p>
    <w:p w:rsidR="00024C0A" w:rsidRDefault="00694C0F">
      <w:r>
        <w:t>[Example: Consider the following WordprocessingML fragment:</w:t>
      </w:r>
    </w:p>
    <w:p w:rsidR="00024C0A" w:rsidRDefault="00694C0F">
      <w:pPr>
        <w:pStyle w:val="Code"/>
      </w:pPr>
      <w:r>
        <w:t>&lt;w:pPr&gt;</w:t>
      </w:r>
    </w:p>
    <w:p w:rsidR="00024C0A" w:rsidRDefault="00694C0F">
      <w:pPr>
        <w:pStyle w:val="Code"/>
      </w:pPr>
      <w:r>
        <w:t xml:space="preserve">  &lt;w:divId w:val="1512645511" /&gt; </w:t>
      </w:r>
    </w:p>
    <w:p w:rsidR="00024C0A" w:rsidRDefault="00694C0F">
      <w:pPr>
        <w:pStyle w:val="Code"/>
      </w:pPr>
      <w:r>
        <w:t>&lt;/w:pPr&gt;</w:t>
      </w:r>
    </w:p>
    <w:p w:rsidR="00024C0A" w:rsidRDefault="00694C0F">
      <w:r>
        <w:t xml:space="preserve">The value of the </w:t>
      </w:r>
      <w:r>
        <w:rPr>
          <w:b/>
        </w:rPr>
        <w:t>val</w:t>
      </w:r>
      <w:r>
        <w:t xml:space="preserve"> attribute is the ID of the associated HTML </w:t>
      </w:r>
      <w:r>
        <w:rPr>
          <w:rStyle w:val="InlineCode"/>
        </w:rPr>
        <w:t>div</w:t>
      </w:r>
      <w:r>
        <w:t xml:space="preserve">. </w:t>
      </w:r>
    </w:p>
    <w:p w:rsidR="00024C0A" w:rsidRDefault="00694C0F">
      <w:r>
        <w:t xml:space="preserve">However, consider the following </w:t>
      </w:r>
      <w:r>
        <w:t>fragment:</w:t>
      </w:r>
    </w:p>
    <w:p w:rsidR="00024C0A" w:rsidRDefault="00694C0F">
      <w:pPr>
        <w:pStyle w:val="Code"/>
      </w:pPr>
      <w:r>
        <w:t>&lt;w:ilvl w:val="1"&gt;</w:t>
      </w:r>
    </w:p>
    <w:p w:rsidR="00024C0A" w:rsidRDefault="00694C0F">
      <w:pPr>
        <w:pStyle w:val="Code"/>
      </w:pPr>
      <w:r>
        <w:t xml:space="preserve">  ...</w:t>
      </w:r>
    </w:p>
    <w:p w:rsidR="00024C0A" w:rsidRDefault="00694C0F">
      <w:pPr>
        <w:pStyle w:val="Code"/>
      </w:pPr>
      <w:r>
        <w:t>&lt;/w:ilvl&gt;</w:t>
      </w:r>
    </w:p>
    <w:p w:rsidR="00024C0A" w:rsidRDefault="00694C0F">
      <w:r>
        <w:lastRenderedPageBreak/>
        <w:t xml:space="preserve">In this case, the decimal number in the </w:t>
      </w:r>
      <w:r>
        <w:rPr>
          <w:b/>
        </w:rPr>
        <w:t>val</w:t>
      </w:r>
      <w:r>
        <w:t xml:space="preserve"> attribute is the ID of the associated numbering level. In each case, the value is interpreted in the context of the parent element. end example]</w:t>
      </w:r>
    </w:p>
    <w:p w:rsidR="00024C0A" w:rsidRDefault="00694C0F">
      <w:r>
        <w:t>This simple type's con</w:t>
      </w:r>
      <w:r>
        <w:t>tents are a restriction of the XML Schema int datatype.</w:t>
      </w:r>
    </w:p>
    <w:tbl>
      <w:tblPr>
        <w:tblStyle w:val="Table-ShadedHeader"/>
        <w:tblW w:w="0" w:type="auto"/>
        <w:tblLook w:val="04A0" w:firstRow="1" w:lastRow="0" w:firstColumn="1" w:lastColumn="0" w:noHBand="0" w:noVBand="1"/>
      </w:tblPr>
      <w:tblGrid>
        <w:gridCol w:w="278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Referenced By</w:t>
            </w:r>
          </w:p>
        </w:tc>
      </w:tr>
      <w:tr w:rsidR="00024C0A" w:rsidTr="00024C0A">
        <w:tc>
          <w:tcPr>
            <w:tcW w:w="0" w:type="auto"/>
            <w:vAlign w:val="center"/>
          </w:tcPr>
          <w:p w:rsidR="00024C0A" w:rsidRDefault="00694C0F">
            <w:pPr>
              <w:pStyle w:val="TableBodyText"/>
            </w:pPr>
            <w:r>
              <w:rPr>
                <w:b/>
              </w:rPr>
              <w:t>hash@val</w:t>
            </w:r>
            <w:r>
              <w:t xml:space="preserve"> (§</w:t>
            </w:r>
            <w:hyperlink w:anchor="Section_b1588c0913964016a2ea78ce84a81a8e">
              <w:r>
                <w:rPr>
                  <w:rStyle w:val="Hyperlink"/>
                </w:rPr>
                <w:t>3.1.2.2.1.1, hash</w:t>
              </w:r>
            </w:hyperlink>
            <w:r>
              <w:t>)</w:t>
            </w:r>
          </w:p>
        </w:tc>
      </w:tr>
    </w:tbl>
    <w:p w:rsidR="00024C0A" w:rsidRDefault="00024C0A"/>
    <w:p w:rsidR="00024C0A" w:rsidRDefault="00694C0F">
      <w:r>
        <w:t>The following XML Schema fragment defines the contents of this simple type:</w:t>
      </w:r>
    </w:p>
    <w:p w:rsidR="00024C0A" w:rsidRDefault="00694C0F">
      <w:pPr>
        <w:pStyle w:val="Code"/>
      </w:pPr>
      <w:r>
        <w:t>&lt;simpleType na</w:t>
      </w:r>
      <w:r>
        <w:t>me="ST_DecimalNumber"&gt;</w:t>
      </w:r>
    </w:p>
    <w:p w:rsidR="00024C0A" w:rsidRDefault="00694C0F">
      <w:pPr>
        <w:pStyle w:val="Code"/>
      </w:pPr>
      <w:r>
        <w:t xml:space="preserve">  &lt;restriction base="xsd:int"/&gt;</w:t>
      </w:r>
    </w:p>
    <w:p w:rsidR="00024C0A" w:rsidRDefault="00694C0F">
      <w:pPr>
        <w:pStyle w:val="Code"/>
      </w:pPr>
      <w:r>
        <w:t>&lt;/simpleType&gt;</w:t>
      </w:r>
    </w:p>
    <w:p w:rsidR="00024C0A" w:rsidRDefault="00694C0F">
      <w:pPr>
        <w:pStyle w:val="Heading5"/>
      </w:pPr>
      <w:bookmarkStart w:id="3865" w:name="section_3050d73125fe410bb51ffd10c3d03b78"/>
      <w:bookmarkStart w:id="3866" w:name="_Toc12261993"/>
      <w:r>
        <w:t>ST_LongHexNumber (Four Digit Hexadecimal Number Value)</w:t>
      </w:r>
      <w:bookmarkEnd w:id="3865"/>
      <w:bookmarkEnd w:id="3866"/>
      <w:r>
        <w:fldChar w:fldCharType="begin"/>
      </w:r>
      <w:r>
        <w:instrText xml:space="preserve"> XE "ST_LongHexNumber (Four Digit Hexadecimal Number Value)" </w:instrText>
      </w:r>
      <w:r>
        <w:fldChar w:fldCharType="end"/>
      </w:r>
    </w:p>
    <w:p w:rsidR="00024C0A" w:rsidRDefault="00694C0F">
      <w:r>
        <w:t>This simple type specifies a number value specified as a four-octet (</w:t>
      </w:r>
      <w:r>
        <w:t>eight-digit) hexadecimal number), whose contents are interpreted based on the context of the parent XML element.</w:t>
      </w:r>
    </w:p>
    <w:p w:rsidR="00024C0A" w:rsidRDefault="00694C0F">
      <w:r>
        <w:t xml:space="preserve">[Example: Consider the following value for a node of type </w:t>
      </w:r>
      <w:r>
        <w:rPr>
          <w:b/>
        </w:rPr>
        <w:t>ST_LongHexNumber</w:t>
      </w:r>
      <w:r>
        <w:t xml:space="preserve">: </w:t>
      </w:r>
      <w:r>
        <w:rPr>
          <w:i/>
        </w:rPr>
        <w:t>00BE2C6C</w:t>
      </w:r>
      <w:r>
        <w:t xml:space="preserve">. </w:t>
      </w:r>
    </w:p>
    <w:p w:rsidR="00024C0A" w:rsidRDefault="00694C0F">
      <w:r>
        <w:t xml:space="preserve">This value is valid, as it contains four hexadecimal </w:t>
      </w:r>
      <w:r>
        <w:t>octets, each an encoding of an octet of the actual decimal number value. end example]</w:t>
      </w:r>
    </w:p>
    <w:p w:rsidR="00024C0A" w:rsidRDefault="00694C0F">
      <w:r>
        <w:t>This simple type's contents are a restriction of the XML Schema hexBinary datatype.</w:t>
      </w:r>
    </w:p>
    <w:p w:rsidR="00024C0A" w:rsidRDefault="00694C0F">
      <w:r>
        <w:t>This simple type also specifies the following restrictions:</w:t>
      </w:r>
    </w:p>
    <w:p w:rsidR="00024C0A" w:rsidRDefault="00694C0F">
      <w:pPr>
        <w:pStyle w:val="ListParagraph"/>
        <w:numPr>
          <w:ilvl w:val="0"/>
          <w:numId w:val="193"/>
        </w:numPr>
      </w:pPr>
      <w:r>
        <w:t>This simple type's content</w:t>
      </w:r>
      <w:r>
        <w:t>s have a length of exactly 8 hexadecimal digit(s).</w:t>
      </w:r>
    </w:p>
    <w:tbl>
      <w:tblPr>
        <w:tblStyle w:val="Table-ShadedHeader"/>
        <w:tblW w:w="0" w:type="auto"/>
        <w:tblLook w:val="04A0" w:firstRow="1" w:lastRow="0" w:firstColumn="1" w:lastColumn="0" w:noHBand="0" w:noVBand="1"/>
      </w:tblPr>
      <w:tblGrid>
        <w:gridCol w:w="275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Referenced By</w:t>
            </w:r>
          </w:p>
        </w:tc>
      </w:tr>
      <w:tr w:rsidR="00024C0A" w:rsidTr="00024C0A">
        <w:tc>
          <w:tcPr>
            <w:tcW w:w="0" w:type="auto"/>
            <w:vAlign w:val="center"/>
          </w:tcPr>
          <w:p w:rsidR="00024C0A" w:rsidRDefault="00694C0F">
            <w:pPr>
              <w:pStyle w:val="TableBodyText"/>
            </w:pPr>
            <w:r>
              <w:rPr>
                <w:b/>
              </w:rPr>
              <w:t>wch@val</w:t>
            </w:r>
            <w:r>
              <w:t xml:space="preserve"> (§</w:t>
            </w:r>
            <w:hyperlink w:anchor="Section_342bac6cb42c45d7aae0b30f39357bc9">
              <w:r>
                <w:rPr>
                  <w:rStyle w:val="Hyperlink"/>
                </w:rPr>
                <w:t>3.1.2.1.1.15, wch</w:t>
              </w:r>
            </w:hyperlink>
            <w:r>
              <w:t>)</w:t>
            </w:r>
          </w:p>
        </w:tc>
      </w:tr>
    </w:tbl>
    <w:p w:rsidR="00024C0A" w:rsidRDefault="00024C0A"/>
    <w:p w:rsidR="00024C0A" w:rsidRDefault="00694C0F">
      <w:r>
        <w:t>The following XML Schema fragment defines the contents of this simple type:</w:t>
      </w:r>
    </w:p>
    <w:p w:rsidR="00024C0A" w:rsidRDefault="00694C0F">
      <w:pPr>
        <w:pStyle w:val="Code"/>
      </w:pPr>
      <w:r>
        <w:t>&lt;simpleType name="ST</w:t>
      </w:r>
      <w:r>
        <w:t>_LongHexNumber"&gt;</w:t>
      </w:r>
    </w:p>
    <w:p w:rsidR="00024C0A" w:rsidRDefault="00694C0F">
      <w:pPr>
        <w:pStyle w:val="Code"/>
      </w:pPr>
      <w:r>
        <w:t xml:space="preserve">  &lt;restriction base="xsd:hexBinary"&gt;</w:t>
      </w:r>
    </w:p>
    <w:p w:rsidR="00024C0A" w:rsidRDefault="00694C0F">
      <w:pPr>
        <w:pStyle w:val="Code"/>
      </w:pPr>
      <w:r>
        <w:t xml:space="preserve">    &lt;length value="4"/&gt;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5"/>
      </w:pPr>
      <w:bookmarkStart w:id="3867" w:name="section_815fcc39dc6c44f8ad2787b1d9f21571"/>
      <w:bookmarkStart w:id="3868" w:name="_Toc12261994"/>
      <w:r>
        <w:t>ST_OnOff (On/Off Value)</w:t>
      </w:r>
      <w:bookmarkEnd w:id="3867"/>
      <w:bookmarkEnd w:id="3868"/>
      <w:r>
        <w:fldChar w:fldCharType="begin"/>
      </w:r>
      <w:r>
        <w:instrText xml:space="preserve"> XE "ST_OnOff (On/Off Value)" </w:instrText>
      </w:r>
      <w:r>
        <w:fldChar w:fldCharType="end"/>
      </w:r>
    </w:p>
    <w:p w:rsidR="00024C0A" w:rsidRDefault="00694C0F">
      <w:r>
        <w:t>This simple type specifies a set of values for any binary (on or off) property defined in a</w:t>
      </w:r>
      <w:r>
        <w:t xml:space="preserve"> WordprocessingML document.</w:t>
      </w:r>
    </w:p>
    <w:p w:rsidR="00024C0A" w:rsidRDefault="00694C0F">
      <w:r>
        <w:t xml:space="preserve">A value of </w:t>
      </w:r>
      <w:r>
        <w:rPr>
          <w:i/>
        </w:rPr>
        <w:t>on</w:t>
      </w:r>
      <w:r>
        <w:t xml:space="preserve">, </w:t>
      </w:r>
      <w:r>
        <w:rPr>
          <w:i/>
        </w:rPr>
        <w:t>1</w:t>
      </w:r>
      <w:r>
        <w:t xml:space="preserve">, or </w:t>
      </w:r>
      <w:r>
        <w:rPr>
          <w:i/>
        </w:rPr>
        <w:t>true</w:t>
      </w:r>
      <w:r>
        <w:t xml:space="preserve"> specifies that the property shall be turned on.</w:t>
      </w:r>
    </w:p>
    <w:p w:rsidR="00024C0A" w:rsidRDefault="00694C0F">
      <w:r>
        <w:t xml:space="preserve">A value of </w:t>
      </w:r>
      <w:r>
        <w:rPr>
          <w:i/>
        </w:rPr>
        <w:t>off</w:t>
      </w:r>
      <w:r>
        <w:t xml:space="preserve">, </w:t>
      </w:r>
      <w:r>
        <w:rPr>
          <w:i/>
        </w:rPr>
        <w:t>0</w:t>
      </w:r>
      <w:r>
        <w:t xml:space="preserve">, or </w:t>
      </w:r>
      <w:r>
        <w:rPr>
          <w:i/>
        </w:rPr>
        <w:t>false</w:t>
      </w:r>
      <w:r>
        <w:t xml:space="preserve"> specifies that the property shall be explicitly turned off.</w:t>
      </w:r>
    </w:p>
    <w:p w:rsidR="00024C0A" w:rsidRDefault="00694C0F">
      <w:r>
        <w:t>This simple type's contents are a restriction of the XML Schema st</w:t>
      </w:r>
      <w:r>
        <w:t>ring datatype.</w:t>
      </w:r>
    </w:p>
    <w:p w:rsidR="00024C0A" w:rsidRDefault="00694C0F">
      <w:r>
        <w:lastRenderedPageBreak/>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Enumeration Value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0</w:t>
            </w:r>
            <w:r>
              <w:t xml:space="preserve"> ()</w:t>
            </w:r>
          </w:p>
        </w:tc>
        <w:tc>
          <w:tcPr>
            <w:tcW w:w="0" w:type="auto"/>
            <w:vAlign w:val="center"/>
          </w:tcPr>
          <w:p w:rsidR="00024C0A" w:rsidRDefault="00694C0F">
            <w:pPr>
              <w:pStyle w:val="TableBodyText"/>
            </w:pPr>
            <w:r>
              <w:t>Specifies that the binary state of this property is off (parent property is explicitly not applied).</w:t>
            </w:r>
          </w:p>
        </w:tc>
      </w:tr>
      <w:tr w:rsidR="00024C0A" w:rsidTr="00024C0A">
        <w:tc>
          <w:tcPr>
            <w:tcW w:w="0" w:type="auto"/>
            <w:vAlign w:val="center"/>
          </w:tcPr>
          <w:p w:rsidR="00024C0A" w:rsidRDefault="00694C0F">
            <w:pPr>
              <w:pStyle w:val="TableBodyText"/>
            </w:pPr>
            <w:r>
              <w:rPr>
                <w:b/>
              </w:rPr>
              <w:t>1</w:t>
            </w:r>
            <w:r>
              <w:t xml:space="preserve"> ()</w:t>
            </w:r>
          </w:p>
        </w:tc>
        <w:tc>
          <w:tcPr>
            <w:tcW w:w="0" w:type="auto"/>
            <w:vAlign w:val="center"/>
          </w:tcPr>
          <w:p w:rsidR="00024C0A" w:rsidRDefault="00694C0F">
            <w:pPr>
              <w:pStyle w:val="TableBodyText"/>
            </w:pPr>
            <w:r>
              <w:t>Specifies that the binary state of th</w:t>
            </w:r>
            <w:r>
              <w:t>is property is on (parent property is explicitly applied).</w:t>
            </w:r>
          </w:p>
        </w:tc>
      </w:tr>
      <w:tr w:rsidR="00024C0A" w:rsidTr="00024C0A">
        <w:tc>
          <w:tcPr>
            <w:tcW w:w="0" w:type="auto"/>
            <w:vAlign w:val="center"/>
          </w:tcPr>
          <w:p w:rsidR="00024C0A" w:rsidRDefault="00694C0F">
            <w:pPr>
              <w:pStyle w:val="TableBodyText"/>
            </w:pPr>
            <w:r>
              <w:rPr>
                <w:b/>
              </w:rPr>
              <w:t>false</w:t>
            </w:r>
            <w:r>
              <w:t xml:space="preserve"> ()</w:t>
            </w:r>
          </w:p>
        </w:tc>
        <w:tc>
          <w:tcPr>
            <w:tcW w:w="0" w:type="auto"/>
            <w:vAlign w:val="center"/>
          </w:tcPr>
          <w:p w:rsidR="00024C0A" w:rsidRDefault="00694C0F">
            <w:pPr>
              <w:pStyle w:val="TableBodyText"/>
            </w:pPr>
            <w:r>
              <w:t>Specifies that the binary state of this property is off (parent property is explicitly not applied).</w:t>
            </w:r>
          </w:p>
        </w:tc>
      </w:tr>
      <w:tr w:rsidR="00024C0A" w:rsidTr="00024C0A">
        <w:tc>
          <w:tcPr>
            <w:tcW w:w="0" w:type="auto"/>
            <w:vAlign w:val="center"/>
          </w:tcPr>
          <w:p w:rsidR="00024C0A" w:rsidRDefault="00694C0F">
            <w:pPr>
              <w:pStyle w:val="TableBodyText"/>
            </w:pPr>
            <w:r>
              <w:rPr>
                <w:b/>
              </w:rPr>
              <w:t>off</w:t>
            </w:r>
            <w:r>
              <w:t xml:space="preserve"> ()</w:t>
            </w:r>
          </w:p>
        </w:tc>
        <w:tc>
          <w:tcPr>
            <w:tcW w:w="0" w:type="auto"/>
            <w:vAlign w:val="center"/>
          </w:tcPr>
          <w:p w:rsidR="00024C0A" w:rsidRDefault="00694C0F">
            <w:pPr>
              <w:pStyle w:val="TableBodyText"/>
            </w:pPr>
            <w:r>
              <w:t xml:space="preserve">Specifies that the binary state of this property is off (parent property is </w:t>
            </w:r>
            <w:r>
              <w:t>explicitly not applied).</w:t>
            </w:r>
          </w:p>
        </w:tc>
      </w:tr>
      <w:tr w:rsidR="00024C0A" w:rsidTr="00024C0A">
        <w:tc>
          <w:tcPr>
            <w:tcW w:w="0" w:type="auto"/>
            <w:vAlign w:val="center"/>
          </w:tcPr>
          <w:p w:rsidR="00024C0A" w:rsidRDefault="00694C0F">
            <w:pPr>
              <w:pStyle w:val="TableBodyText"/>
            </w:pPr>
            <w:r>
              <w:rPr>
                <w:b/>
              </w:rPr>
              <w:t>on</w:t>
            </w:r>
            <w:r>
              <w:t xml:space="preserve"> ()</w:t>
            </w:r>
          </w:p>
        </w:tc>
        <w:tc>
          <w:tcPr>
            <w:tcW w:w="0" w:type="auto"/>
            <w:vAlign w:val="center"/>
          </w:tcPr>
          <w:p w:rsidR="00024C0A" w:rsidRDefault="00694C0F">
            <w:pPr>
              <w:pStyle w:val="TableBodyText"/>
            </w:pPr>
            <w:r>
              <w:t>Specifies that the binary state of this property is on (parent property is explicitly applied).</w:t>
            </w:r>
          </w:p>
        </w:tc>
      </w:tr>
      <w:tr w:rsidR="00024C0A" w:rsidTr="00024C0A">
        <w:tc>
          <w:tcPr>
            <w:tcW w:w="0" w:type="auto"/>
            <w:vAlign w:val="center"/>
          </w:tcPr>
          <w:p w:rsidR="00024C0A" w:rsidRDefault="00694C0F">
            <w:pPr>
              <w:pStyle w:val="TableBodyText"/>
            </w:pPr>
            <w:r>
              <w:rPr>
                <w:b/>
              </w:rPr>
              <w:t>true</w:t>
            </w:r>
            <w:r>
              <w:t xml:space="preserve"> ()</w:t>
            </w:r>
          </w:p>
        </w:tc>
        <w:tc>
          <w:tcPr>
            <w:tcW w:w="0" w:type="auto"/>
            <w:vAlign w:val="center"/>
          </w:tcPr>
          <w:p w:rsidR="00024C0A" w:rsidRDefault="00694C0F">
            <w:pPr>
              <w:pStyle w:val="TableBodyText"/>
            </w:pPr>
            <w:r>
              <w:t>Specifies that the binary state of this property is on (parent property is explicitly applied).</w:t>
            </w:r>
          </w:p>
        </w:tc>
      </w:tr>
    </w:tbl>
    <w:p w:rsidR="00024C0A" w:rsidRDefault="00024C0A"/>
    <w:p w:rsidR="00024C0A" w:rsidRDefault="00024C0A"/>
    <w:tbl>
      <w:tblPr>
        <w:tblStyle w:val="Table-ShadedHeader"/>
        <w:tblW w:w="0" w:type="auto"/>
        <w:tblLook w:val="04A0" w:firstRow="1" w:lastRow="0" w:firstColumn="1" w:lastColumn="0" w:noHBand="0" w:noVBand="1"/>
      </w:tblPr>
      <w:tblGrid>
        <w:gridCol w:w="6407"/>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Referenced By</w:t>
            </w:r>
          </w:p>
        </w:tc>
      </w:tr>
      <w:tr w:rsidR="00024C0A" w:rsidTr="00024C0A">
        <w:tc>
          <w:tcPr>
            <w:tcW w:w="0" w:type="auto"/>
            <w:vAlign w:val="center"/>
          </w:tcPr>
          <w:p w:rsidR="00024C0A" w:rsidRDefault="00694C0F">
            <w:pPr>
              <w:pStyle w:val="TableBodyText"/>
            </w:pPr>
            <w:r>
              <w:rPr>
                <w:b/>
              </w:rPr>
              <w:t>activ</w:t>
            </w:r>
            <w:r>
              <w:rPr>
                <w:b/>
              </w:rPr>
              <w:t>e@val</w:t>
            </w:r>
            <w:r>
              <w:t xml:space="preserve"> (§</w:t>
            </w:r>
            <w:hyperlink w:anchor="Section_7bbd9fb16181481db29c63842301455d">
              <w:r>
                <w:rPr>
                  <w:rStyle w:val="Hyperlink"/>
                </w:rPr>
                <w:t>3.1.2.1.1.6, active</w:t>
              </w:r>
            </w:hyperlink>
            <w:r>
              <w:t xml:space="preserve">); </w:t>
            </w:r>
            <w:r>
              <w:rPr>
                <w:b/>
              </w:rPr>
              <w:t>keymap@mask</w:t>
            </w:r>
            <w:r>
              <w:t xml:space="preserve"> (§</w:t>
            </w:r>
            <w:hyperlink w:anchor="Section_d44dbd45cbbb4efba0903a85141d00fc">
              <w:r>
                <w:rPr>
                  <w:rStyle w:val="Hyperlink"/>
                </w:rPr>
                <w:t>3.1.2.1.1.8, keymap</w:t>
              </w:r>
            </w:hyperlink>
            <w:r>
              <w:t>)</w:t>
            </w:r>
          </w:p>
        </w:tc>
      </w:tr>
    </w:tbl>
    <w:p w:rsidR="00024C0A" w:rsidRDefault="00024C0A"/>
    <w:p w:rsidR="00024C0A" w:rsidRDefault="00694C0F">
      <w:r>
        <w:t xml:space="preserve">The following XML Schema fragment defines the contents of this </w:t>
      </w:r>
      <w:r>
        <w:t>simple type:</w:t>
      </w:r>
    </w:p>
    <w:p w:rsidR="00024C0A" w:rsidRDefault="00694C0F">
      <w:pPr>
        <w:pStyle w:val="Code"/>
      </w:pPr>
      <w:r>
        <w:t>&lt;simpleType name="ST_OnOff"&gt;</w:t>
      </w:r>
    </w:p>
    <w:p w:rsidR="00024C0A" w:rsidRDefault="00694C0F">
      <w:pPr>
        <w:pStyle w:val="Code"/>
      </w:pPr>
      <w:r>
        <w:t xml:space="preserve">  &lt;restriction base="xsd:string"&gt;</w:t>
      </w:r>
    </w:p>
    <w:p w:rsidR="00024C0A" w:rsidRDefault="00694C0F">
      <w:pPr>
        <w:pStyle w:val="Code"/>
      </w:pPr>
      <w:r>
        <w:t xml:space="preserve">    &lt;enumeration value="true"/&gt;</w:t>
      </w:r>
    </w:p>
    <w:p w:rsidR="00024C0A" w:rsidRDefault="00694C0F">
      <w:pPr>
        <w:pStyle w:val="Code"/>
      </w:pPr>
      <w:r>
        <w:t xml:space="preserve">    &lt;enumeration value="false"/&gt;</w:t>
      </w:r>
    </w:p>
    <w:p w:rsidR="00024C0A" w:rsidRDefault="00694C0F">
      <w:pPr>
        <w:pStyle w:val="Code"/>
      </w:pPr>
      <w:r>
        <w:t xml:space="preserve">    &lt;enumeration value="on"/&gt;</w:t>
      </w:r>
    </w:p>
    <w:p w:rsidR="00024C0A" w:rsidRDefault="00694C0F">
      <w:pPr>
        <w:pStyle w:val="Code"/>
      </w:pPr>
      <w:r>
        <w:t xml:space="preserve">    &lt;enumeration value="off"/&gt;</w:t>
      </w:r>
    </w:p>
    <w:p w:rsidR="00024C0A" w:rsidRDefault="00694C0F">
      <w:pPr>
        <w:pStyle w:val="Code"/>
      </w:pPr>
      <w:r>
        <w:t xml:space="preserve">    &lt;enumeration value="0"/&gt;</w:t>
      </w:r>
    </w:p>
    <w:p w:rsidR="00024C0A" w:rsidRDefault="00694C0F">
      <w:pPr>
        <w:pStyle w:val="Code"/>
      </w:pPr>
      <w:r>
        <w:t xml:space="preserve">    &lt;enumeration value="1</w:t>
      </w:r>
      <w:r>
        <w:t>"/&gt;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5"/>
      </w:pPr>
      <w:bookmarkStart w:id="3869" w:name="section_b12e8ea4e85d4b4c94bf98db8427fcaa"/>
      <w:bookmarkStart w:id="3870" w:name="_Toc12261995"/>
      <w:r>
        <w:t>ST_ShortHexNumber (Two Digit Hexadecimal Number Value)</w:t>
      </w:r>
      <w:bookmarkEnd w:id="3869"/>
      <w:bookmarkEnd w:id="3870"/>
      <w:r>
        <w:fldChar w:fldCharType="begin"/>
      </w:r>
      <w:r>
        <w:instrText xml:space="preserve"> XE "ST_ShortHexNumber (Two Digit Hexadecimal Number Value)" </w:instrText>
      </w:r>
      <w:r>
        <w:fldChar w:fldCharType="end"/>
      </w:r>
    </w:p>
    <w:p w:rsidR="00024C0A" w:rsidRDefault="00694C0F">
      <w:r>
        <w:t>This simple type specifies a two-octet hexadecimal number whose value is interpreted based on the conte</w:t>
      </w:r>
      <w:r>
        <w:t>xt of the parent XML element.</w:t>
      </w:r>
    </w:p>
    <w:p w:rsidR="00024C0A" w:rsidRDefault="00694C0F">
      <w:r>
        <w:t xml:space="preserve">[Example: Consider the following value for a node of type </w:t>
      </w:r>
      <w:r>
        <w:rPr>
          <w:b/>
        </w:rPr>
        <w:t>ST_ShortHexNumber</w:t>
      </w:r>
      <w:r>
        <w:t xml:space="preserve">: </w:t>
      </w:r>
      <w:r>
        <w:rPr>
          <w:i/>
        </w:rPr>
        <w:t>2F6C</w:t>
      </w:r>
      <w:r>
        <w:t xml:space="preserve">. </w:t>
      </w:r>
    </w:p>
    <w:p w:rsidR="00024C0A" w:rsidRDefault="00694C0F">
      <w:r>
        <w:t>This value is valid, as it contains two hexadecimal octets, each an encoding of an octet of the actual decimal number value. end example]</w:t>
      </w:r>
    </w:p>
    <w:p w:rsidR="00024C0A" w:rsidRDefault="00694C0F">
      <w:r>
        <w:t>This</w:t>
      </w:r>
      <w:r>
        <w:t xml:space="preserve"> simple type's contents are a restriction of the XML Schema hexBinary datatype.</w:t>
      </w:r>
    </w:p>
    <w:p w:rsidR="00024C0A" w:rsidRDefault="00694C0F">
      <w:r>
        <w:t>This simple type also specifies the following restrictions:</w:t>
      </w:r>
    </w:p>
    <w:p w:rsidR="00024C0A" w:rsidRDefault="00694C0F">
      <w:pPr>
        <w:pStyle w:val="ListParagraph"/>
        <w:numPr>
          <w:ilvl w:val="0"/>
          <w:numId w:val="194"/>
        </w:numPr>
      </w:pPr>
      <w:r>
        <w:t>This simple type's contents have a length of exactly 4 hexadecimal digit(s).</w:t>
      </w:r>
    </w:p>
    <w:tbl>
      <w:tblPr>
        <w:tblStyle w:val="Table-ShadedHeader"/>
        <w:tblW w:w="0" w:type="auto"/>
        <w:tblLook w:val="04A0" w:firstRow="1" w:lastRow="0" w:firstColumn="1" w:lastColumn="0" w:noHBand="0" w:noVBand="1"/>
      </w:tblPr>
      <w:tblGrid>
        <w:gridCol w:w="9475"/>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lastRenderedPageBreak/>
              <w:t>Referenced By</w:t>
            </w:r>
          </w:p>
        </w:tc>
      </w:tr>
      <w:tr w:rsidR="00024C0A" w:rsidTr="00024C0A">
        <w:tc>
          <w:tcPr>
            <w:tcW w:w="0" w:type="auto"/>
            <w:vAlign w:val="center"/>
          </w:tcPr>
          <w:p w:rsidR="00024C0A" w:rsidRDefault="00694C0F">
            <w:pPr>
              <w:pStyle w:val="TableBodyText"/>
            </w:pPr>
            <w:r>
              <w:rPr>
                <w:b/>
              </w:rPr>
              <w:t>acd@fciIndexBasedOn</w:t>
            </w:r>
            <w:r>
              <w:t xml:space="preserve"> (§</w:t>
            </w:r>
            <w:hyperlink w:anchor="Section_9bd9f7443f3a4ce88c48371c1bb6cd67">
              <w:r>
                <w:rPr>
                  <w:rStyle w:val="Hyperlink"/>
                </w:rPr>
                <w:t>3.1.2.1.1.1, acd</w:t>
              </w:r>
            </w:hyperlink>
            <w:r>
              <w:t xml:space="preserve">); </w:t>
            </w:r>
            <w:r>
              <w:rPr>
                <w:b/>
              </w:rPr>
              <w:t>fci@fciIndex</w:t>
            </w:r>
            <w:r>
              <w:t xml:space="preserve"> (§</w:t>
            </w:r>
            <w:hyperlink w:anchor="Section_e7fbfaec48a0443e91cc16c53cefbd44">
              <w:r>
                <w:rPr>
                  <w:rStyle w:val="Hyperlink"/>
                </w:rPr>
                <w:t>3.1.2.1.1.7, fci</w:t>
              </w:r>
            </w:hyperlink>
            <w:r>
              <w:t xml:space="preserve">); </w:t>
            </w:r>
            <w:r>
              <w:rPr>
                <w:b/>
              </w:rPr>
              <w:t>fci@swArg</w:t>
            </w:r>
            <w:r>
              <w:t xml:space="preserve"> (§3.1.2.1.1.7, fci); </w:t>
            </w:r>
            <w:r>
              <w:rPr>
                <w:b/>
              </w:rPr>
              <w:t>keymap@chmPrimary</w:t>
            </w:r>
            <w:r>
              <w:t xml:space="preserve"> (§</w:t>
            </w:r>
            <w:hyperlink w:anchor="Section_d44dbd45cbbb4efba0903a85141d00fc">
              <w:r>
                <w:rPr>
                  <w:rStyle w:val="Hyperlink"/>
                </w:rPr>
                <w:t>3.1.2.1.1.8, keymap</w:t>
              </w:r>
            </w:hyperlink>
            <w:r>
              <w:t xml:space="preserve">); </w:t>
            </w:r>
            <w:r>
              <w:rPr>
                <w:b/>
              </w:rPr>
              <w:t>keymap@chmSecondary</w:t>
            </w:r>
            <w:r>
              <w:t xml:space="preserve"> (§3.1.2.1.1.8, keymap); </w:t>
            </w:r>
            <w:r>
              <w:rPr>
                <w:b/>
              </w:rPr>
              <w:t>keymap@kcmPrimary</w:t>
            </w:r>
            <w:r>
              <w:t xml:space="preserve"> (§3.1.2.1.1.8, keymap); </w:t>
            </w:r>
            <w:r>
              <w:rPr>
                <w:b/>
              </w:rPr>
              <w:t>keymap@kcmSecondary</w:t>
            </w:r>
            <w:r>
              <w:t xml:space="preserve"> (§3.1.2.1.1.8, keymap)</w:t>
            </w:r>
          </w:p>
        </w:tc>
      </w:tr>
    </w:tbl>
    <w:p w:rsidR="00024C0A" w:rsidRDefault="00024C0A"/>
    <w:p w:rsidR="00024C0A" w:rsidRDefault="00694C0F">
      <w:r>
        <w:t>The following XML Schema fragment defines the contents of this simpl</w:t>
      </w:r>
      <w:r>
        <w:t>e type:</w:t>
      </w:r>
    </w:p>
    <w:p w:rsidR="00024C0A" w:rsidRDefault="00694C0F">
      <w:pPr>
        <w:pStyle w:val="Code"/>
      </w:pPr>
      <w:r>
        <w:t>&lt;simpleType name="ST_ShortHexNumber"&gt;</w:t>
      </w:r>
    </w:p>
    <w:p w:rsidR="00024C0A" w:rsidRDefault="00694C0F">
      <w:pPr>
        <w:pStyle w:val="Code"/>
      </w:pPr>
      <w:r>
        <w:t xml:space="preserve">  &lt;restriction base="xsd:hexBinary"&gt;</w:t>
      </w:r>
    </w:p>
    <w:p w:rsidR="00024C0A" w:rsidRDefault="00694C0F">
      <w:pPr>
        <w:pStyle w:val="Code"/>
      </w:pPr>
      <w:r>
        <w:t xml:space="preserve">    &lt;length value="2"/&gt;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5"/>
      </w:pPr>
      <w:bookmarkStart w:id="3871" w:name="section_6af92020a61a492793209436f448f276"/>
      <w:bookmarkStart w:id="3872" w:name="_Toc12261996"/>
      <w:r>
        <w:t>ST_String (String)</w:t>
      </w:r>
      <w:bookmarkEnd w:id="3871"/>
      <w:bookmarkEnd w:id="3872"/>
      <w:r>
        <w:fldChar w:fldCharType="begin"/>
      </w:r>
      <w:r>
        <w:instrText xml:space="preserve"> XE "ST_String (String)" </w:instrText>
      </w:r>
      <w:r>
        <w:fldChar w:fldCharType="end"/>
      </w:r>
    </w:p>
    <w:p w:rsidR="00024C0A" w:rsidRDefault="00694C0F">
      <w:r>
        <w:t xml:space="preserve">This simple type specifies that its contents will contain a string. The </w:t>
      </w:r>
      <w:r>
        <w:t>contents of this string are interpreted based on the context of the parent XML element.</w:t>
      </w:r>
    </w:p>
    <w:p w:rsidR="00024C0A" w:rsidRDefault="00694C0F">
      <w:r>
        <w:t>[Example: Consider the following WordprocessingML fragment:</w:t>
      </w:r>
    </w:p>
    <w:p w:rsidR="00024C0A" w:rsidRDefault="00694C0F">
      <w:pPr>
        <w:pStyle w:val="Code"/>
      </w:pPr>
      <w:r>
        <w:t>&lt;w:pPr&gt;</w:t>
      </w:r>
    </w:p>
    <w:p w:rsidR="00024C0A" w:rsidRDefault="00694C0F">
      <w:pPr>
        <w:pStyle w:val="Code"/>
      </w:pPr>
      <w:r>
        <w:t xml:space="preserve">  &lt;w:pStyle w:val="heading1" /&gt; </w:t>
      </w:r>
    </w:p>
    <w:p w:rsidR="00024C0A" w:rsidRDefault="00694C0F">
      <w:pPr>
        <w:pStyle w:val="Code"/>
      </w:pPr>
      <w:r>
        <w:t>&lt;/w:pPr&gt;</w:t>
      </w:r>
    </w:p>
    <w:p w:rsidR="00024C0A" w:rsidRDefault="00694C0F">
      <w:r>
        <w:t xml:space="preserve">The value of the </w:t>
      </w:r>
      <w:r>
        <w:rPr>
          <w:b/>
        </w:rPr>
        <w:t>val</w:t>
      </w:r>
      <w:r>
        <w:t xml:space="preserve"> attribute is the ID of the associated</w:t>
      </w:r>
      <w:r>
        <w:t xml:space="preserve"> paragraph style's </w:t>
      </w:r>
      <w:r>
        <w:rPr>
          <w:rStyle w:val="InlineCode"/>
        </w:rPr>
        <w:t>styleId</w:t>
      </w:r>
      <w:r>
        <w:t>. However, consider the following fragment:</w:t>
      </w:r>
    </w:p>
    <w:p w:rsidR="00024C0A" w:rsidRDefault="00694C0F">
      <w:pPr>
        <w:pStyle w:val="Code"/>
      </w:pPr>
      <w:r>
        <w:t>&lt;w:sdtPr&gt;</w:t>
      </w:r>
    </w:p>
    <w:p w:rsidR="00024C0A" w:rsidRDefault="00694C0F">
      <w:pPr>
        <w:pStyle w:val="Code"/>
      </w:pPr>
      <w:r>
        <w:t xml:space="preserve">  &lt;w:alias w:val="SDT Title Example" /&gt;</w:t>
      </w:r>
    </w:p>
    <w:p w:rsidR="00024C0A" w:rsidRDefault="00694C0F">
      <w:pPr>
        <w:pStyle w:val="Code"/>
      </w:pPr>
      <w:r>
        <w:t xml:space="preserve">  ...</w:t>
      </w:r>
    </w:p>
    <w:p w:rsidR="00024C0A" w:rsidRDefault="00694C0F">
      <w:pPr>
        <w:pStyle w:val="Code"/>
      </w:pPr>
      <w:r>
        <w:t>&lt;/w:sdtPr&gt;</w:t>
      </w:r>
    </w:p>
    <w:p w:rsidR="00024C0A" w:rsidRDefault="00694C0F">
      <w:r>
        <w:t xml:space="preserve">In this case, the decimal number in the </w:t>
      </w:r>
      <w:r>
        <w:rPr>
          <w:b/>
        </w:rPr>
        <w:t>val</w:t>
      </w:r>
      <w:r>
        <w:t xml:space="preserve"> attribute is the caption of the parent-structured document tag. In each cas</w:t>
      </w:r>
      <w:r>
        <w:t xml:space="preserve">e, the value is of type </w:t>
      </w:r>
      <w:r>
        <w:rPr>
          <w:b/>
        </w:rPr>
        <w:t>ST_String</w:t>
      </w:r>
      <w:r>
        <w:t>, and therefore must be interpreted in the context of the parent element. end example]</w:t>
      </w:r>
    </w:p>
    <w:p w:rsidR="00024C0A" w:rsidRDefault="00694C0F">
      <w:r>
        <w:t>This simple type's contents are a restriction of the XML Schema string datatype.</w:t>
      </w:r>
    </w:p>
    <w:tbl>
      <w:tblPr>
        <w:tblStyle w:val="Table-ShadedHeader"/>
        <w:tblW w:w="0" w:type="auto"/>
        <w:tblLook w:val="04A0" w:firstRow="1" w:lastRow="0" w:firstColumn="1" w:lastColumn="0" w:noHBand="0" w:noVBand="1"/>
      </w:tblPr>
      <w:tblGrid>
        <w:gridCol w:w="9475"/>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Referenced By</w:t>
            </w:r>
          </w:p>
        </w:tc>
      </w:tr>
      <w:tr w:rsidR="00024C0A" w:rsidTr="00024C0A">
        <w:tc>
          <w:tcPr>
            <w:tcW w:w="0" w:type="auto"/>
            <w:vAlign w:val="center"/>
          </w:tcPr>
          <w:p w:rsidR="00024C0A" w:rsidRDefault="00694C0F">
            <w:pPr>
              <w:pStyle w:val="TableBodyText"/>
            </w:pPr>
            <w:r>
              <w:rPr>
                <w:b/>
              </w:rPr>
              <w:t>acd@acdName</w:t>
            </w:r>
            <w:r>
              <w:t xml:space="preserve"> (§</w:t>
            </w:r>
            <w:hyperlink w:anchor="Section_9bd9f7443f3a4ce88c48371c1bb6cd67">
              <w:r>
                <w:rPr>
                  <w:rStyle w:val="Hyperlink"/>
                </w:rPr>
                <w:t>3.1.2.1.1.1, acd</w:t>
              </w:r>
            </w:hyperlink>
            <w:r>
              <w:t xml:space="preserve">); </w:t>
            </w:r>
            <w:r>
              <w:rPr>
                <w:b/>
              </w:rPr>
              <w:t>acd@acdName</w:t>
            </w:r>
            <w:r>
              <w:t xml:space="preserve"> (§</w:t>
            </w:r>
            <w:hyperlink w:anchor="Section_03e658016a2147d093503528064826ad">
              <w:r>
                <w:rPr>
                  <w:rStyle w:val="Hyperlink"/>
                </w:rPr>
                <w:t>3.1.2.1.1.2, acd</w:t>
              </w:r>
            </w:hyperlink>
            <w:r>
              <w:t xml:space="preserve">); </w:t>
            </w:r>
            <w:r>
              <w:rPr>
                <w:b/>
              </w:rPr>
              <w:t>acd@argValue</w:t>
            </w:r>
            <w:r>
              <w:t xml:space="preserve"> (§3.1.2.1.1.1, acd); </w:t>
            </w:r>
            <w:r>
              <w:rPr>
                <w:b/>
              </w:rPr>
              <w:t>acd@fciBasedOn</w:t>
            </w:r>
            <w:r>
              <w:t xml:space="preserve"> (§3.1.2.1.1.1, acd); </w:t>
            </w:r>
            <w:r>
              <w:rPr>
                <w:b/>
              </w:rPr>
              <w:t>acdEntry@a</w:t>
            </w:r>
            <w:r>
              <w:rPr>
                <w:b/>
              </w:rPr>
              <w:t>cdName</w:t>
            </w:r>
            <w:r>
              <w:t xml:space="preserve"> (§</w:t>
            </w:r>
            <w:hyperlink w:anchor="Section_030e50dc59a54f3f8f6c41168047f641">
              <w:r>
                <w:rPr>
                  <w:rStyle w:val="Hyperlink"/>
                </w:rPr>
                <w:t>3.1.2.1.1.3, acdEntry</w:t>
              </w:r>
            </w:hyperlink>
            <w:r>
              <w:t xml:space="preserve">); </w:t>
            </w:r>
            <w:r>
              <w:rPr>
                <w:b/>
              </w:rPr>
              <w:t>fci@fciName</w:t>
            </w:r>
            <w:r>
              <w:t xml:space="preserve"> (§</w:t>
            </w:r>
            <w:hyperlink w:anchor="Section_e7fbfaec48a0443e91cc16c53cefbd44">
              <w:r>
                <w:rPr>
                  <w:rStyle w:val="Hyperlink"/>
                </w:rPr>
                <w:t>3.1.2.1.1.7, fci</w:t>
              </w:r>
            </w:hyperlink>
            <w:r>
              <w:t xml:space="preserve">); </w:t>
            </w:r>
            <w:r>
              <w:rPr>
                <w:b/>
              </w:rPr>
              <w:t>macro@macroName</w:t>
            </w:r>
            <w:r>
              <w:t xml:space="preserve"> (§</w:t>
            </w:r>
            <w:hyperlink w:anchor="Section_0ab7a8b6842d4bda8c7262ac9dd16b0d">
              <w:r>
                <w:rPr>
                  <w:rStyle w:val="Hyperlink"/>
                </w:rPr>
                <w:t>3.1.2.1.1.11, macro</w:t>
              </w:r>
            </w:hyperlink>
            <w:r>
              <w:t xml:space="preserve">); </w:t>
            </w:r>
            <w:r>
              <w:rPr>
                <w:b/>
              </w:rPr>
              <w:t>wll@macroName</w:t>
            </w:r>
            <w:r>
              <w:t xml:space="preserve"> (§</w:t>
            </w:r>
            <w:hyperlink w:anchor="Section_bba0329034324d19ba214baa0944d9de">
              <w:r>
                <w:rPr>
                  <w:rStyle w:val="Hyperlink"/>
                </w:rPr>
                <w:t>3.1.2.1.1.16, wll</w:t>
              </w:r>
            </w:hyperlink>
            <w:r>
              <w:t>)</w:t>
            </w:r>
          </w:p>
        </w:tc>
      </w:tr>
    </w:tbl>
    <w:p w:rsidR="00024C0A" w:rsidRDefault="00024C0A"/>
    <w:p w:rsidR="00024C0A" w:rsidRDefault="00694C0F">
      <w:r>
        <w:t>The following XML Schema fragment defines the contents of this simple type:</w:t>
      </w:r>
    </w:p>
    <w:p w:rsidR="00024C0A" w:rsidRDefault="00694C0F">
      <w:pPr>
        <w:pStyle w:val="Code"/>
      </w:pPr>
      <w:r>
        <w:t>&lt;simpleType name="ST_String"&gt;</w:t>
      </w:r>
    </w:p>
    <w:p w:rsidR="00024C0A" w:rsidRDefault="00694C0F">
      <w:pPr>
        <w:pStyle w:val="Code"/>
      </w:pPr>
      <w:r>
        <w:t xml:space="preserve">  &lt;restrict</w:t>
      </w:r>
      <w:r>
        <w:t>ion base="xsd:string"/&gt;</w:t>
      </w:r>
    </w:p>
    <w:p w:rsidR="00024C0A" w:rsidRDefault="00694C0F">
      <w:pPr>
        <w:pStyle w:val="Code"/>
      </w:pPr>
      <w:r>
        <w:t>&lt;/simpleType&gt;</w:t>
      </w:r>
    </w:p>
    <w:p w:rsidR="00024C0A" w:rsidRDefault="00694C0F">
      <w:pPr>
        <w:pStyle w:val="Heading3"/>
      </w:pPr>
      <w:bookmarkStart w:id="3873" w:name="section_f8e3c239322c488594094c0acc06b609"/>
      <w:bookmarkStart w:id="3874" w:name="_Toc12261997"/>
      <w:r>
        <w:lastRenderedPageBreak/>
        <w:t>Additional WordprocessingML Schema</w:t>
      </w:r>
      <w:bookmarkEnd w:id="3873"/>
      <w:bookmarkEnd w:id="3874"/>
      <w:r>
        <w:fldChar w:fldCharType="begin"/>
      </w:r>
      <w:r>
        <w:instrText xml:space="preserve"> XE "Additional WordprocessingML Schema" </w:instrText>
      </w:r>
      <w:r>
        <w:fldChar w:fldCharType="end"/>
      </w:r>
    </w:p>
    <w:p w:rsidR="00024C0A" w:rsidRDefault="00694C0F">
      <w:r>
        <w:t xml:space="preserve">The subordinate clauses define additional information in the WordprocessingML schema used by Word.  </w:t>
      </w:r>
    </w:p>
    <w:p w:rsidR="00024C0A" w:rsidRDefault="00694C0F">
      <w:pPr>
        <w:pStyle w:val="Heading4"/>
      </w:pPr>
      <w:bookmarkStart w:id="3875" w:name="section_83539449567440628f04a27990446e24"/>
      <w:bookmarkStart w:id="3876" w:name="_Toc12261998"/>
      <w:r>
        <w:t>Additional Elements</w:t>
      </w:r>
      <w:bookmarkEnd w:id="3875"/>
      <w:bookmarkEnd w:id="3876"/>
    </w:p>
    <w:p w:rsidR="00024C0A" w:rsidRDefault="00694C0F">
      <w:pPr>
        <w:pStyle w:val="Heading5"/>
      </w:pPr>
      <w:bookmarkStart w:id="3877" w:name="section_d188da3eb34b4445b3a0118155f75ff3"/>
      <w:bookmarkStart w:id="3878" w:name="_Toc12261999"/>
      <w:r>
        <w:t>customXml (Ruby Inline-Level Custom XML Element)</w:t>
      </w:r>
      <w:bookmarkEnd w:id="3877"/>
      <w:bookmarkEnd w:id="3878"/>
      <w:r>
        <w:fldChar w:fldCharType="begin"/>
      </w:r>
      <w:r>
        <w:instrText xml:space="preserve"> XE "customXml (Ruby Inline-Level Custom XML Element)" </w:instrText>
      </w:r>
      <w:r>
        <w:fldChar w:fldCharType="end"/>
      </w:r>
    </w:p>
    <w:p w:rsidR="00024C0A" w:rsidRDefault="00694C0F">
      <w:r>
        <w:t>This element specifies the presence of a custom XML element around one or more inline-level structures (runs, images, fields, and so on) within a para</w:t>
      </w:r>
      <w:r>
        <w:t>graph. The attributes on this element shall be used to specify the name and namespace URI of the current custom XML element.</w:t>
      </w:r>
    </w:p>
    <w:p w:rsidR="00024C0A" w:rsidRDefault="00694C0F">
      <w:r>
        <w:t xml:space="preserve">[Example: Consider a custom XML element with the name </w:t>
      </w:r>
      <w:r>
        <w:rPr>
          <w:i/>
        </w:rPr>
        <w:t>firstName</w:t>
      </w:r>
      <w:r>
        <w:t xml:space="preserve"> that shall be located around two text runs in a WordprocessingML do</w:t>
      </w:r>
      <w:r>
        <w:t>cument. This requirement would be specified as follows in the WordprocessingML:</w:t>
      </w:r>
    </w:p>
    <w:p w:rsidR="00024C0A" w:rsidRDefault="00694C0F">
      <w:pPr>
        <w:pStyle w:val="Code"/>
      </w:pPr>
      <w:r>
        <w:t>&lt;w:p&gt;</w:t>
      </w:r>
    </w:p>
    <w:p w:rsidR="00024C0A" w:rsidRDefault="00694C0F">
      <w:pPr>
        <w:pStyle w:val="Code"/>
      </w:pPr>
      <w:r>
        <w:t xml:space="preserve">  &lt;w:customXml w:element="firstName" … &gt;</w:t>
      </w:r>
    </w:p>
    <w:p w:rsidR="00024C0A" w:rsidRDefault="00694C0F">
      <w:pPr>
        <w:pStyle w:val="Code"/>
      </w:pPr>
      <w:r>
        <w:t xml:space="preserve">    &lt;w:r&gt;</w:t>
      </w:r>
    </w:p>
    <w:p w:rsidR="00024C0A" w:rsidRDefault="00694C0F">
      <w:pPr>
        <w:pStyle w:val="Code"/>
      </w:pPr>
      <w:r>
        <w:t xml:space="preserve">      …</w:t>
      </w:r>
    </w:p>
    <w:p w:rsidR="00024C0A" w:rsidRDefault="00694C0F">
      <w:pPr>
        <w:pStyle w:val="Code"/>
      </w:pPr>
      <w:r>
        <w:t xml:space="preserve">    &lt;/w:r&gt;</w:t>
      </w:r>
    </w:p>
    <w:p w:rsidR="00024C0A" w:rsidRDefault="00694C0F">
      <w:pPr>
        <w:pStyle w:val="Code"/>
      </w:pPr>
      <w:r>
        <w:t xml:space="preserve">    &lt;w:r&gt;</w:t>
      </w:r>
    </w:p>
    <w:p w:rsidR="00024C0A" w:rsidRDefault="00694C0F">
      <w:pPr>
        <w:pStyle w:val="Code"/>
      </w:pPr>
      <w:r>
        <w:t xml:space="preserve">      …</w:t>
      </w:r>
    </w:p>
    <w:p w:rsidR="00024C0A" w:rsidRDefault="00694C0F">
      <w:pPr>
        <w:pStyle w:val="Code"/>
      </w:pPr>
      <w:r>
        <w:t xml:space="preserve">    &lt;/w:r&gt;</w:t>
      </w:r>
    </w:p>
    <w:p w:rsidR="00024C0A" w:rsidRDefault="00694C0F">
      <w:pPr>
        <w:pStyle w:val="Code"/>
      </w:pPr>
      <w:r>
        <w:t xml:space="preserve">  &lt;/w:customXml&gt;</w:t>
      </w:r>
    </w:p>
    <w:p w:rsidR="00024C0A" w:rsidRDefault="00694C0F">
      <w:pPr>
        <w:pStyle w:val="Code"/>
      </w:pPr>
      <w:r>
        <w:t xml:space="preserve">  …</w:t>
      </w:r>
    </w:p>
    <w:p w:rsidR="00024C0A" w:rsidRDefault="00694C0F">
      <w:pPr>
        <w:pStyle w:val="Code"/>
      </w:pPr>
      <w:r>
        <w:t>&lt;/w:p&gt;</w:t>
      </w:r>
    </w:p>
    <w:p w:rsidR="00024C0A" w:rsidRDefault="00694C0F">
      <w:r>
        <w:t xml:space="preserve">The </w:t>
      </w:r>
      <w:r>
        <w:rPr>
          <w:b/>
        </w:rPr>
        <w:t>customXml</w:t>
      </w:r>
      <w:r>
        <w:t xml:space="preserve"> element specifies that the name of the custom XML element is </w:t>
      </w:r>
      <w:r>
        <w:rPr>
          <w:i/>
        </w:rPr>
        <w:t>firstName</w:t>
      </w:r>
      <w:r>
        <w:t>, and the custom XML element contains two text runs (it is an inline-level element). end example]</w:t>
      </w:r>
    </w:p>
    <w:tbl>
      <w:tblPr>
        <w:tblStyle w:val="Table-ShadedHeader"/>
        <w:tblW w:w="0" w:type="auto"/>
        <w:tblLook w:val="04A0" w:firstRow="1" w:lastRow="0" w:firstColumn="1" w:lastColumn="0" w:noHBand="0" w:noVBand="1"/>
      </w:tblPr>
      <w:tblGrid>
        <w:gridCol w:w="9475"/>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customXml</w:t>
            </w:r>
            <w:r>
              <w:t xml:space="preserve"> (§3.1.3.1.1, customXml);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82">
              <w:r>
                <w:rPr>
                  <w:rStyle w:val="Hyperlink"/>
                </w:rPr>
                <w:t>[ISO/IEC-29500-1]</w:t>
              </w:r>
            </w:hyperlink>
            <w:r>
              <w:t xml:space="preserve"> §17.3.</w:t>
            </w:r>
            <w:r>
              <w:t xml:space="preserve">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6758"/>
        <w:gridCol w:w="2717"/>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Child Elements</w:t>
            </w:r>
          </w:p>
        </w:tc>
        <w:tc>
          <w:tcPr>
            <w:tcW w:w="0" w:type="auto"/>
            <w:vAlign w:val="center"/>
          </w:tcPr>
          <w:p w:rsidR="00024C0A" w:rsidRDefault="00694C0F">
            <w:pPr>
              <w:pStyle w:val="TableHeaderText"/>
            </w:pPr>
            <w:r>
              <w:t>Subclause</w:t>
            </w:r>
          </w:p>
        </w:tc>
      </w:tr>
      <w:tr w:rsidR="00024C0A" w:rsidTr="00024C0A">
        <w:tc>
          <w:tcPr>
            <w:tcW w:w="0" w:type="auto"/>
            <w:vAlign w:val="center"/>
          </w:tcPr>
          <w:p w:rsidR="00024C0A" w:rsidRDefault="00694C0F">
            <w:pPr>
              <w:pStyle w:val="TableBodyText"/>
            </w:pPr>
            <w:r>
              <w:rPr>
                <w:b/>
              </w:rPr>
              <w:t>acc</w:t>
            </w:r>
            <w:r>
              <w:t xml:space="preserve"> (Accent)</w:t>
            </w:r>
          </w:p>
        </w:tc>
        <w:tc>
          <w:tcPr>
            <w:tcW w:w="0" w:type="auto"/>
            <w:vAlign w:val="center"/>
          </w:tcPr>
          <w:p w:rsidR="00024C0A" w:rsidRDefault="00694C0F">
            <w:pPr>
              <w:pStyle w:val="TableBodyText"/>
            </w:pPr>
            <w:r>
              <w:t>"[ISO/IEC-29500-1] §22.1.2.1"</w:t>
            </w:r>
          </w:p>
        </w:tc>
      </w:tr>
      <w:tr w:rsidR="00024C0A" w:rsidTr="00024C0A">
        <w:tc>
          <w:tcPr>
            <w:tcW w:w="0" w:type="auto"/>
            <w:vAlign w:val="center"/>
          </w:tcPr>
          <w:p w:rsidR="00024C0A" w:rsidRDefault="00694C0F">
            <w:pPr>
              <w:pStyle w:val="TableBodyText"/>
            </w:pPr>
            <w:r>
              <w:rPr>
                <w:b/>
              </w:rPr>
              <w:t>bar</w:t>
            </w:r>
            <w:r>
              <w:t xml:space="preserve"> (Bar)</w:t>
            </w:r>
          </w:p>
        </w:tc>
        <w:tc>
          <w:tcPr>
            <w:tcW w:w="0" w:type="auto"/>
            <w:vAlign w:val="center"/>
          </w:tcPr>
          <w:p w:rsidR="00024C0A" w:rsidRDefault="00694C0F">
            <w:pPr>
              <w:pStyle w:val="TableBodyText"/>
            </w:pPr>
            <w:r>
              <w:t>"[ISO/IEC-29500-1]</w:t>
            </w:r>
            <w:r>
              <w:t xml:space="preserve"> §22.1.2.7"</w:t>
            </w:r>
          </w:p>
        </w:tc>
      </w:tr>
      <w:tr w:rsidR="00024C0A" w:rsidTr="00024C0A">
        <w:tc>
          <w:tcPr>
            <w:tcW w:w="0" w:type="auto"/>
            <w:vAlign w:val="center"/>
          </w:tcPr>
          <w:p w:rsidR="00024C0A" w:rsidRDefault="00694C0F">
            <w:pPr>
              <w:pStyle w:val="TableBodyText"/>
            </w:pPr>
            <w:r>
              <w:rPr>
                <w:b/>
              </w:rPr>
              <w:t>bookmarkEnd</w:t>
            </w:r>
            <w:r>
              <w:t xml:space="preserve"> (Bookmark End)</w:t>
            </w:r>
          </w:p>
        </w:tc>
        <w:tc>
          <w:tcPr>
            <w:tcW w:w="0" w:type="auto"/>
            <w:vAlign w:val="center"/>
          </w:tcPr>
          <w:p w:rsidR="00024C0A" w:rsidRDefault="00694C0F">
            <w:pPr>
              <w:pStyle w:val="TableBodyText"/>
            </w:pPr>
            <w:r>
              <w:t>"[ISO/IEC-29500-1] §17.13.6.1"</w:t>
            </w:r>
          </w:p>
        </w:tc>
      </w:tr>
      <w:tr w:rsidR="00024C0A" w:rsidTr="00024C0A">
        <w:tc>
          <w:tcPr>
            <w:tcW w:w="0" w:type="auto"/>
            <w:vAlign w:val="center"/>
          </w:tcPr>
          <w:p w:rsidR="00024C0A" w:rsidRDefault="00694C0F">
            <w:pPr>
              <w:pStyle w:val="TableBodyText"/>
            </w:pPr>
            <w:r>
              <w:rPr>
                <w:b/>
              </w:rPr>
              <w:t>bookmarkStart</w:t>
            </w:r>
            <w:r>
              <w:t xml:space="preserve"> (Bookmark Start)</w:t>
            </w:r>
          </w:p>
        </w:tc>
        <w:tc>
          <w:tcPr>
            <w:tcW w:w="0" w:type="auto"/>
            <w:vAlign w:val="center"/>
          </w:tcPr>
          <w:p w:rsidR="00024C0A" w:rsidRDefault="00694C0F">
            <w:pPr>
              <w:pStyle w:val="TableBodyText"/>
            </w:pPr>
            <w:r>
              <w:t>"[ISO/IEC-29500-1] §17.13.6.2"</w:t>
            </w:r>
          </w:p>
        </w:tc>
      </w:tr>
      <w:tr w:rsidR="00024C0A" w:rsidTr="00024C0A">
        <w:tc>
          <w:tcPr>
            <w:tcW w:w="0" w:type="auto"/>
            <w:vAlign w:val="center"/>
          </w:tcPr>
          <w:p w:rsidR="00024C0A" w:rsidRDefault="00694C0F">
            <w:pPr>
              <w:pStyle w:val="TableBodyText"/>
            </w:pPr>
            <w:r>
              <w:rPr>
                <w:b/>
              </w:rPr>
              <w:t>borderBox</w:t>
            </w:r>
            <w:r>
              <w:t xml:space="preserve"> (Border-Box Object)</w:t>
            </w:r>
          </w:p>
        </w:tc>
        <w:tc>
          <w:tcPr>
            <w:tcW w:w="0" w:type="auto"/>
            <w:vAlign w:val="center"/>
          </w:tcPr>
          <w:p w:rsidR="00024C0A" w:rsidRDefault="00694C0F">
            <w:pPr>
              <w:pStyle w:val="TableBodyText"/>
            </w:pPr>
            <w:r>
              <w:t>"[ISO/IEC-29500-1] §22.1.2.11"</w:t>
            </w:r>
          </w:p>
        </w:tc>
      </w:tr>
      <w:tr w:rsidR="00024C0A" w:rsidTr="00024C0A">
        <w:tc>
          <w:tcPr>
            <w:tcW w:w="0" w:type="auto"/>
            <w:vAlign w:val="center"/>
          </w:tcPr>
          <w:p w:rsidR="00024C0A" w:rsidRDefault="00694C0F">
            <w:pPr>
              <w:pStyle w:val="TableBodyText"/>
            </w:pPr>
            <w:r>
              <w:rPr>
                <w:b/>
              </w:rPr>
              <w:t>box</w:t>
            </w:r>
            <w:r>
              <w:t xml:space="preserve"> (Box Object)</w:t>
            </w:r>
          </w:p>
        </w:tc>
        <w:tc>
          <w:tcPr>
            <w:tcW w:w="0" w:type="auto"/>
            <w:vAlign w:val="center"/>
          </w:tcPr>
          <w:p w:rsidR="00024C0A" w:rsidRDefault="00694C0F">
            <w:pPr>
              <w:pStyle w:val="TableBodyText"/>
            </w:pPr>
            <w:r>
              <w:t>"[ISO/IEC-29500-1] §22.1.2.13"</w:t>
            </w:r>
          </w:p>
        </w:tc>
      </w:tr>
      <w:tr w:rsidR="00024C0A" w:rsidTr="00024C0A">
        <w:tc>
          <w:tcPr>
            <w:tcW w:w="0" w:type="auto"/>
            <w:vAlign w:val="center"/>
          </w:tcPr>
          <w:p w:rsidR="00024C0A" w:rsidRDefault="00694C0F">
            <w:pPr>
              <w:pStyle w:val="TableBodyText"/>
            </w:pPr>
            <w:r>
              <w:rPr>
                <w:b/>
              </w:rPr>
              <w:lastRenderedPageBreak/>
              <w:t>commentRangeEnd</w:t>
            </w:r>
            <w:r>
              <w:t xml:space="preserve"> (Comment Anchor Range End)</w:t>
            </w:r>
          </w:p>
        </w:tc>
        <w:tc>
          <w:tcPr>
            <w:tcW w:w="0" w:type="auto"/>
            <w:vAlign w:val="center"/>
          </w:tcPr>
          <w:p w:rsidR="00024C0A" w:rsidRDefault="00694C0F">
            <w:pPr>
              <w:pStyle w:val="TableBodyText"/>
            </w:pPr>
            <w:r>
              <w:t>"[ISO/IEC-29500-1] §17.13.4.3"</w:t>
            </w:r>
          </w:p>
        </w:tc>
      </w:tr>
      <w:tr w:rsidR="00024C0A" w:rsidTr="00024C0A">
        <w:tc>
          <w:tcPr>
            <w:tcW w:w="0" w:type="auto"/>
            <w:vAlign w:val="center"/>
          </w:tcPr>
          <w:p w:rsidR="00024C0A" w:rsidRDefault="00694C0F">
            <w:pPr>
              <w:pStyle w:val="TableBodyText"/>
            </w:pPr>
            <w:r>
              <w:rPr>
                <w:b/>
              </w:rPr>
              <w:t>commentRangeStart</w:t>
            </w:r>
            <w:r>
              <w:t xml:space="preserve"> (Comment Anchor Range Start)</w:t>
            </w:r>
          </w:p>
        </w:tc>
        <w:tc>
          <w:tcPr>
            <w:tcW w:w="0" w:type="auto"/>
            <w:vAlign w:val="center"/>
          </w:tcPr>
          <w:p w:rsidR="00024C0A" w:rsidRDefault="00694C0F">
            <w:pPr>
              <w:pStyle w:val="TableBodyText"/>
            </w:pPr>
            <w:r>
              <w:t>"[ISO/IEC-29500-1] §17.13.4.4"</w:t>
            </w:r>
          </w:p>
        </w:tc>
      </w:tr>
      <w:tr w:rsidR="00024C0A" w:rsidTr="00024C0A">
        <w:tc>
          <w:tcPr>
            <w:tcW w:w="0" w:type="auto"/>
            <w:vAlign w:val="center"/>
          </w:tcPr>
          <w:p w:rsidR="00024C0A" w:rsidRDefault="00694C0F">
            <w:pPr>
              <w:pStyle w:val="TableBodyText"/>
            </w:pPr>
            <w:r>
              <w:rPr>
                <w:b/>
              </w:rPr>
              <w:t>customXml</w:t>
            </w:r>
            <w:r>
              <w:t xml:space="preserve"> (Ruby Inline-Level Custom XML Element)</w:t>
            </w:r>
          </w:p>
        </w:tc>
        <w:tc>
          <w:tcPr>
            <w:tcW w:w="0" w:type="auto"/>
            <w:vAlign w:val="center"/>
          </w:tcPr>
          <w:p w:rsidR="00024C0A" w:rsidRDefault="00694C0F">
            <w:pPr>
              <w:pStyle w:val="TableBodyText"/>
            </w:pPr>
            <w:r>
              <w:t>§3.1.3.1.1, customXml</w:t>
            </w:r>
          </w:p>
        </w:tc>
      </w:tr>
      <w:tr w:rsidR="00024C0A" w:rsidTr="00024C0A">
        <w:tc>
          <w:tcPr>
            <w:tcW w:w="0" w:type="auto"/>
            <w:vAlign w:val="center"/>
          </w:tcPr>
          <w:p w:rsidR="00024C0A" w:rsidRDefault="00694C0F">
            <w:pPr>
              <w:pStyle w:val="TableBodyText"/>
            </w:pPr>
            <w:r>
              <w:rPr>
                <w:b/>
              </w:rPr>
              <w:t>customXmlDelRangeEnd</w:t>
            </w:r>
            <w:r>
              <w:t xml:space="preserve"> (Custom XML Markup Deletion End)</w:t>
            </w:r>
          </w:p>
        </w:tc>
        <w:tc>
          <w:tcPr>
            <w:tcW w:w="0" w:type="auto"/>
            <w:vAlign w:val="center"/>
          </w:tcPr>
          <w:p w:rsidR="00024C0A" w:rsidRDefault="00694C0F">
            <w:pPr>
              <w:pStyle w:val="TableBodyText"/>
            </w:pPr>
            <w:r>
              <w:t>"[ISO/IEC-29500-1] §17.13.5.4"</w:t>
            </w:r>
          </w:p>
        </w:tc>
      </w:tr>
      <w:tr w:rsidR="00024C0A" w:rsidTr="00024C0A">
        <w:tc>
          <w:tcPr>
            <w:tcW w:w="0" w:type="auto"/>
            <w:vAlign w:val="center"/>
          </w:tcPr>
          <w:p w:rsidR="00024C0A" w:rsidRDefault="00694C0F">
            <w:pPr>
              <w:pStyle w:val="TableBodyText"/>
            </w:pPr>
            <w:r>
              <w:rPr>
                <w:b/>
              </w:rPr>
              <w:t>customXmlDelRangeStart</w:t>
            </w:r>
            <w:r>
              <w:t xml:space="preserve"> (Custom XML Markup Deletion Start)</w:t>
            </w:r>
          </w:p>
        </w:tc>
        <w:tc>
          <w:tcPr>
            <w:tcW w:w="0" w:type="auto"/>
            <w:vAlign w:val="center"/>
          </w:tcPr>
          <w:p w:rsidR="00024C0A" w:rsidRDefault="00694C0F">
            <w:pPr>
              <w:pStyle w:val="TableBodyText"/>
            </w:pPr>
            <w:r>
              <w:t>"[ISO/IEC-29500-1] §17.13.5.5"</w:t>
            </w:r>
          </w:p>
        </w:tc>
      </w:tr>
      <w:tr w:rsidR="00024C0A" w:rsidTr="00024C0A">
        <w:tc>
          <w:tcPr>
            <w:tcW w:w="0" w:type="auto"/>
            <w:vAlign w:val="center"/>
          </w:tcPr>
          <w:p w:rsidR="00024C0A" w:rsidRDefault="00694C0F">
            <w:pPr>
              <w:pStyle w:val="TableBodyText"/>
            </w:pPr>
            <w:r>
              <w:rPr>
                <w:b/>
              </w:rPr>
              <w:t>customXmlInsRangeEnd</w:t>
            </w:r>
            <w:r>
              <w:t xml:space="preserve"> (Custom XML Markup Insertion End)</w:t>
            </w:r>
          </w:p>
        </w:tc>
        <w:tc>
          <w:tcPr>
            <w:tcW w:w="0" w:type="auto"/>
            <w:vAlign w:val="center"/>
          </w:tcPr>
          <w:p w:rsidR="00024C0A" w:rsidRDefault="00694C0F">
            <w:pPr>
              <w:pStyle w:val="TableBodyText"/>
            </w:pPr>
            <w:r>
              <w:t>"[ISO/IEC-29500-1] §17.13.5.6"</w:t>
            </w:r>
          </w:p>
        </w:tc>
      </w:tr>
      <w:tr w:rsidR="00024C0A" w:rsidTr="00024C0A">
        <w:tc>
          <w:tcPr>
            <w:tcW w:w="0" w:type="auto"/>
            <w:vAlign w:val="center"/>
          </w:tcPr>
          <w:p w:rsidR="00024C0A" w:rsidRDefault="00694C0F">
            <w:pPr>
              <w:pStyle w:val="TableBodyText"/>
            </w:pPr>
            <w:r>
              <w:rPr>
                <w:b/>
              </w:rPr>
              <w:t>customXmlInsR</w:t>
            </w:r>
            <w:r>
              <w:rPr>
                <w:b/>
              </w:rPr>
              <w:t>angeStart</w:t>
            </w:r>
            <w:r>
              <w:t xml:space="preserve"> (Custom XML Markup Insertion Start)</w:t>
            </w:r>
          </w:p>
        </w:tc>
        <w:tc>
          <w:tcPr>
            <w:tcW w:w="0" w:type="auto"/>
            <w:vAlign w:val="center"/>
          </w:tcPr>
          <w:p w:rsidR="00024C0A" w:rsidRDefault="00694C0F">
            <w:pPr>
              <w:pStyle w:val="TableBodyText"/>
            </w:pPr>
            <w:r>
              <w:t>"[ISO/IEC-29500-1] §17.13.5.7"</w:t>
            </w:r>
          </w:p>
        </w:tc>
      </w:tr>
      <w:tr w:rsidR="00024C0A" w:rsidTr="00024C0A">
        <w:tc>
          <w:tcPr>
            <w:tcW w:w="0" w:type="auto"/>
            <w:vAlign w:val="center"/>
          </w:tcPr>
          <w:p w:rsidR="00024C0A" w:rsidRDefault="00694C0F">
            <w:pPr>
              <w:pStyle w:val="TableBodyText"/>
            </w:pPr>
            <w:r>
              <w:rPr>
                <w:b/>
              </w:rPr>
              <w:t>customXmlMoveFromRangeEnd</w:t>
            </w:r>
            <w:r>
              <w:t xml:space="preserve"> (Custom XML Markup Move Source End)</w:t>
            </w:r>
          </w:p>
        </w:tc>
        <w:tc>
          <w:tcPr>
            <w:tcW w:w="0" w:type="auto"/>
            <w:vAlign w:val="center"/>
          </w:tcPr>
          <w:p w:rsidR="00024C0A" w:rsidRDefault="00694C0F">
            <w:pPr>
              <w:pStyle w:val="TableBodyText"/>
            </w:pPr>
            <w:r>
              <w:t>"[ISO/IEC-29500-1] §17.13.5.8"</w:t>
            </w:r>
          </w:p>
        </w:tc>
      </w:tr>
      <w:tr w:rsidR="00024C0A" w:rsidTr="00024C0A">
        <w:tc>
          <w:tcPr>
            <w:tcW w:w="0" w:type="auto"/>
            <w:vAlign w:val="center"/>
          </w:tcPr>
          <w:p w:rsidR="00024C0A" w:rsidRDefault="00694C0F">
            <w:pPr>
              <w:pStyle w:val="TableBodyText"/>
            </w:pPr>
            <w:r>
              <w:rPr>
                <w:b/>
              </w:rPr>
              <w:t>customXmlMoveFromRangeStart</w:t>
            </w:r>
            <w:r>
              <w:t xml:space="preserve"> (Custom XML Markup Move Source Start)</w:t>
            </w:r>
          </w:p>
        </w:tc>
        <w:tc>
          <w:tcPr>
            <w:tcW w:w="0" w:type="auto"/>
            <w:vAlign w:val="center"/>
          </w:tcPr>
          <w:p w:rsidR="00024C0A" w:rsidRDefault="00694C0F">
            <w:pPr>
              <w:pStyle w:val="TableBodyText"/>
            </w:pPr>
            <w:r>
              <w:t>"[ISO/IEC-29500-1]</w:t>
            </w:r>
            <w:r>
              <w:t xml:space="preserve"> §17.13.5.9"</w:t>
            </w:r>
          </w:p>
        </w:tc>
      </w:tr>
      <w:tr w:rsidR="00024C0A" w:rsidTr="00024C0A">
        <w:tc>
          <w:tcPr>
            <w:tcW w:w="0" w:type="auto"/>
            <w:vAlign w:val="center"/>
          </w:tcPr>
          <w:p w:rsidR="00024C0A" w:rsidRDefault="00694C0F">
            <w:pPr>
              <w:pStyle w:val="TableBodyText"/>
            </w:pPr>
            <w:r>
              <w:rPr>
                <w:b/>
              </w:rPr>
              <w:t>customXmlMoveToRangeEnd</w:t>
            </w:r>
            <w:r>
              <w:t xml:space="preserve"> (Custom XML Markup Move Destination Location End)</w:t>
            </w:r>
          </w:p>
        </w:tc>
        <w:tc>
          <w:tcPr>
            <w:tcW w:w="0" w:type="auto"/>
            <w:vAlign w:val="center"/>
          </w:tcPr>
          <w:p w:rsidR="00024C0A" w:rsidRDefault="00694C0F">
            <w:pPr>
              <w:pStyle w:val="TableBodyText"/>
            </w:pPr>
            <w:r>
              <w:t>"[ISO/IEC-29500-1] §17.13.5.10"</w:t>
            </w:r>
          </w:p>
        </w:tc>
      </w:tr>
      <w:tr w:rsidR="00024C0A" w:rsidTr="00024C0A">
        <w:tc>
          <w:tcPr>
            <w:tcW w:w="0" w:type="auto"/>
            <w:vAlign w:val="center"/>
          </w:tcPr>
          <w:p w:rsidR="00024C0A" w:rsidRDefault="00694C0F">
            <w:pPr>
              <w:pStyle w:val="TableBodyText"/>
            </w:pPr>
            <w:r>
              <w:rPr>
                <w:b/>
              </w:rPr>
              <w:t>customXmlMoveToRangeStart</w:t>
            </w:r>
            <w:r>
              <w:t xml:space="preserve"> (Custom XML Markup Move Destination Location Start)</w:t>
            </w:r>
          </w:p>
        </w:tc>
        <w:tc>
          <w:tcPr>
            <w:tcW w:w="0" w:type="auto"/>
            <w:vAlign w:val="center"/>
          </w:tcPr>
          <w:p w:rsidR="00024C0A" w:rsidRDefault="00694C0F">
            <w:pPr>
              <w:pStyle w:val="TableBodyText"/>
            </w:pPr>
            <w:r>
              <w:t>"[ISO/IEC-29500-1] §17.13.5.11"</w:t>
            </w:r>
          </w:p>
        </w:tc>
      </w:tr>
      <w:tr w:rsidR="00024C0A" w:rsidTr="00024C0A">
        <w:tc>
          <w:tcPr>
            <w:tcW w:w="0" w:type="auto"/>
            <w:vAlign w:val="center"/>
          </w:tcPr>
          <w:p w:rsidR="00024C0A" w:rsidRDefault="00694C0F">
            <w:pPr>
              <w:pStyle w:val="TableBodyText"/>
            </w:pPr>
            <w:r>
              <w:rPr>
                <w:b/>
              </w:rPr>
              <w:t>customXmlPr</w:t>
            </w:r>
            <w:r>
              <w:t xml:space="preserve"> (Custom XML </w:t>
            </w:r>
            <w:r>
              <w:t>Element Properties)</w:t>
            </w:r>
          </w:p>
        </w:tc>
        <w:tc>
          <w:tcPr>
            <w:tcW w:w="0" w:type="auto"/>
            <w:vAlign w:val="center"/>
          </w:tcPr>
          <w:p w:rsidR="00024C0A" w:rsidRDefault="00694C0F">
            <w:pPr>
              <w:pStyle w:val="TableBodyText"/>
            </w:pPr>
            <w:r>
              <w:t>"[ISO/IEC-29500-1] §17.5.1.7"</w:t>
            </w:r>
          </w:p>
        </w:tc>
      </w:tr>
      <w:tr w:rsidR="00024C0A" w:rsidTr="00024C0A">
        <w:tc>
          <w:tcPr>
            <w:tcW w:w="0" w:type="auto"/>
            <w:vAlign w:val="center"/>
          </w:tcPr>
          <w:p w:rsidR="00024C0A" w:rsidRDefault="00694C0F">
            <w:pPr>
              <w:pStyle w:val="TableBodyText"/>
            </w:pPr>
            <w:r>
              <w:rPr>
                <w:b/>
              </w:rPr>
              <w:t>d</w:t>
            </w:r>
            <w:r>
              <w:t xml:space="preserve"> (Delimiter Object)</w:t>
            </w:r>
          </w:p>
        </w:tc>
        <w:tc>
          <w:tcPr>
            <w:tcW w:w="0" w:type="auto"/>
            <w:vAlign w:val="center"/>
          </w:tcPr>
          <w:p w:rsidR="00024C0A" w:rsidRDefault="00694C0F">
            <w:pPr>
              <w:pStyle w:val="TableBodyText"/>
            </w:pPr>
            <w:r>
              <w:t>"[ISO/IEC-29500-1] §22.1.2.24"</w:t>
            </w:r>
          </w:p>
        </w:tc>
      </w:tr>
      <w:tr w:rsidR="00024C0A" w:rsidTr="00024C0A">
        <w:tc>
          <w:tcPr>
            <w:tcW w:w="0" w:type="auto"/>
            <w:vAlign w:val="center"/>
          </w:tcPr>
          <w:p w:rsidR="00024C0A" w:rsidRDefault="00694C0F">
            <w:pPr>
              <w:pStyle w:val="TableBodyText"/>
            </w:pPr>
            <w:r>
              <w:rPr>
                <w:b/>
              </w:rPr>
              <w:t>del</w:t>
            </w:r>
            <w:r>
              <w:t xml:space="preserve"> (Deleted Run Content)</w:t>
            </w:r>
          </w:p>
        </w:tc>
        <w:tc>
          <w:tcPr>
            <w:tcW w:w="0" w:type="auto"/>
            <w:vAlign w:val="center"/>
          </w:tcPr>
          <w:p w:rsidR="00024C0A" w:rsidRDefault="00694C0F">
            <w:pPr>
              <w:pStyle w:val="TableBodyText"/>
            </w:pPr>
            <w:r>
              <w:t>"[ISO/IEC-29500-1] §17.13.5.14"</w:t>
            </w:r>
          </w:p>
        </w:tc>
      </w:tr>
      <w:tr w:rsidR="00024C0A" w:rsidTr="00024C0A">
        <w:tc>
          <w:tcPr>
            <w:tcW w:w="0" w:type="auto"/>
            <w:vAlign w:val="center"/>
          </w:tcPr>
          <w:p w:rsidR="00024C0A" w:rsidRDefault="00694C0F">
            <w:pPr>
              <w:pStyle w:val="TableBodyText"/>
            </w:pPr>
            <w:r>
              <w:rPr>
                <w:b/>
              </w:rPr>
              <w:t>eqArr</w:t>
            </w:r>
            <w:r>
              <w:t xml:space="preserve"> (Array Object)</w:t>
            </w:r>
          </w:p>
        </w:tc>
        <w:tc>
          <w:tcPr>
            <w:tcW w:w="0" w:type="auto"/>
            <w:vAlign w:val="center"/>
          </w:tcPr>
          <w:p w:rsidR="00024C0A" w:rsidRDefault="00694C0F">
            <w:pPr>
              <w:pStyle w:val="TableBodyText"/>
            </w:pPr>
            <w:r>
              <w:t>"[ISO/IEC-29500-1] §22.1.2.34"</w:t>
            </w:r>
          </w:p>
        </w:tc>
      </w:tr>
      <w:tr w:rsidR="00024C0A" w:rsidTr="00024C0A">
        <w:tc>
          <w:tcPr>
            <w:tcW w:w="0" w:type="auto"/>
            <w:vAlign w:val="center"/>
          </w:tcPr>
          <w:p w:rsidR="00024C0A" w:rsidRDefault="00694C0F">
            <w:pPr>
              <w:pStyle w:val="TableBodyText"/>
            </w:pPr>
            <w:r>
              <w:rPr>
                <w:b/>
              </w:rPr>
              <w:t>f</w:t>
            </w:r>
            <w:r>
              <w:t xml:space="preserve"> (Fraction Object)</w:t>
            </w:r>
          </w:p>
        </w:tc>
        <w:tc>
          <w:tcPr>
            <w:tcW w:w="0" w:type="auto"/>
            <w:vAlign w:val="center"/>
          </w:tcPr>
          <w:p w:rsidR="00024C0A" w:rsidRDefault="00694C0F">
            <w:pPr>
              <w:pStyle w:val="TableBodyText"/>
            </w:pPr>
            <w:r>
              <w:t>"[ISO/IEC-29500-1]</w:t>
            </w:r>
            <w:r>
              <w:t xml:space="preserve"> §22.1.2.36"</w:t>
            </w:r>
          </w:p>
        </w:tc>
      </w:tr>
      <w:tr w:rsidR="00024C0A" w:rsidTr="00024C0A">
        <w:tc>
          <w:tcPr>
            <w:tcW w:w="0" w:type="auto"/>
            <w:vAlign w:val="center"/>
          </w:tcPr>
          <w:p w:rsidR="00024C0A" w:rsidRDefault="00694C0F">
            <w:pPr>
              <w:pStyle w:val="TableBodyText"/>
            </w:pPr>
            <w:r>
              <w:rPr>
                <w:b/>
              </w:rPr>
              <w:t>fldSimple</w:t>
            </w:r>
            <w:r>
              <w:t xml:space="preserve"> (Ruby Simple Field)</w:t>
            </w:r>
          </w:p>
        </w:tc>
        <w:tc>
          <w:tcPr>
            <w:tcW w:w="0" w:type="auto"/>
            <w:vAlign w:val="center"/>
          </w:tcPr>
          <w:p w:rsidR="00024C0A" w:rsidRDefault="00694C0F">
            <w:pPr>
              <w:pStyle w:val="TableBodyText"/>
            </w:pPr>
            <w:r>
              <w:t>§3.1.3.1.2, fldSimple</w:t>
            </w:r>
          </w:p>
        </w:tc>
      </w:tr>
      <w:tr w:rsidR="00024C0A" w:rsidTr="00024C0A">
        <w:tc>
          <w:tcPr>
            <w:tcW w:w="0" w:type="auto"/>
            <w:vAlign w:val="center"/>
          </w:tcPr>
          <w:p w:rsidR="00024C0A" w:rsidRDefault="00694C0F">
            <w:pPr>
              <w:pStyle w:val="TableBodyText"/>
            </w:pPr>
            <w:r>
              <w:rPr>
                <w:b/>
              </w:rPr>
              <w:t>func</w:t>
            </w:r>
            <w:r>
              <w:t xml:space="preserve"> (Function Apply Object)</w:t>
            </w:r>
          </w:p>
        </w:tc>
        <w:tc>
          <w:tcPr>
            <w:tcW w:w="0" w:type="auto"/>
            <w:vAlign w:val="center"/>
          </w:tcPr>
          <w:p w:rsidR="00024C0A" w:rsidRDefault="00694C0F">
            <w:pPr>
              <w:pStyle w:val="TableBodyText"/>
            </w:pPr>
            <w:r>
              <w:t>"[ISO/IEC-29500-1] §22.1.2.39"</w:t>
            </w:r>
          </w:p>
        </w:tc>
      </w:tr>
      <w:tr w:rsidR="00024C0A" w:rsidTr="00024C0A">
        <w:tc>
          <w:tcPr>
            <w:tcW w:w="0" w:type="auto"/>
            <w:vAlign w:val="center"/>
          </w:tcPr>
          <w:p w:rsidR="00024C0A" w:rsidRDefault="00694C0F">
            <w:pPr>
              <w:pStyle w:val="TableBodyText"/>
            </w:pPr>
            <w:r>
              <w:rPr>
                <w:b/>
              </w:rPr>
              <w:t>groupChr</w:t>
            </w:r>
            <w:r>
              <w:t xml:space="preserve"> (Group-Character Object)</w:t>
            </w:r>
          </w:p>
        </w:tc>
        <w:tc>
          <w:tcPr>
            <w:tcW w:w="0" w:type="auto"/>
            <w:vAlign w:val="center"/>
          </w:tcPr>
          <w:p w:rsidR="00024C0A" w:rsidRDefault="00694C0F">
            <w:pPr>
              <w:pStyle w:val="TableBodyText"/>
            </w:pPr>
            <w:r>
              <w:t>"[ISO/IEC-29500-1] §22.1.2.41"</w:t>
            </w:r>
          </w:p>
        </w:tc>
      </w:tr>
      <w:tr w:rsidR="00024C0A" w:rsidTr="00024C0A">
        <w:tc>
          <w:tcPr>
            <w:tcW w:w="0" w:type="auto"/>
            <w:vAlign w:val="center"/>
          </w:tcPr>
          <w:p w:rsidR="00024C0A" w:rsidRDefault="00694C0F">
            <w:pPr>
              <w:pStyle w:val="TableBodyText"/>
            </w:pPr>
            <w:r>
              <w:rPr>
                <w:b/>
              </w:rPr>
              <w:t>hyperlink</w:t>
            </w:r>
            <w:r>
              <w:t xml:space="preserve"> (Ruby Hyperlink)</w:t>
            </w:r>
          </w:p>
        </w:tc>
        <w:tc>
          <w:tcPr>
            <w:tcW w:w="0" w:type="auto"/>
            <w:vAlign w:val="center"/>
          </w:tcPr>
          <w:p w:rsidR="00024C0A" w:rsidRDefault="00694C0F">
            <w:pPr>
              <w:pStyle w:val="TableBodyText"/>
            </w:pPr>
            <w:r>
              <w:t>§3.1.3.1.3, hyperlink</w:t>
            </w:r>
          </w:p>
        </w:tc>
      </w:tr>
      <w:tr w:rsidR="00024C0A" w:rsidTr="00024C0A">
        <w:tc>
          <w:tcPr>
            <w:tcW w:w="0" w:type="auto"/>
            <w:vAlign w:val="center"/>
          </w:tcPr>
          <w:p w:rsidR="00024C0A" w:rsidRDefault="00694C0F">
            <w:pPr>
              <w:pStyle w:val="TableBodyText"/>
            </w:pPr>
            <w:r>
              <w:rPr>
                <w:b/>
              </w:rPr>
              <w:t>ins</w:t>
            </w:r>
            <w:r>
              <w:t xml:space="preserve"> (Inserted Run Content)</w:t>
            </w:r>
          </w:p>
        </w:tc>
        <w:tc>
          <w:tcPr>
            <w:tcW w:w="0" w:type="auto"/>
            <w:vAlign w:val="center"/>
          </w:tcPr>
          <w:p w:rsidR="00024C0A" w:rsidRDefault="00694C0F">
            <w:pPr>
              <w:pStyle w:val="TableBodyText"/>
            </w:pPr>
            <w:r>
              <w:t>"[ISO/IEC-29500-1] §17.13.5.18"</w:t>
            </w:r>
          </w:p>
        </w:tc>
      </w:tr>
      <w:tr w:rsidR="00024C0A" w:rsidTr="00024C0A">
        <w:tc>
          <w:tcPr>
            <w:tcW w:w="0" w:type="auto"/>
            <w:vAlign w:val="center"/>
          </w:tcPr>
          <w:p w:rsidR="00024C0A" w:rsidRDefault="00694C0F">
            <w:pPr>
              <w:pStyle w:val="TableBodyText"/>
            </w:pPr>
            <w:r>
              <w:rPr>
                <w:b/>
              </w:rPr>
              <w:t>limLow</w:t>
            </w:r>
            <w:r>
              <w:t xml:space="preserve"> (Lower-Limit Object)</w:t>
            </w:r>
          </w:p>
        </w:tc>
        <w:tc>
          <w:tcPr>
            <w:tcW w:w="0" w:type="auto"/>
            <w:vAlign w:val="center"/>
          </w:tcPr>
          <w:p w:rsidR="00024C0A" w:rsidRDefault="00694C0F">
            <w:pPr>
              <w:pStyle w:val="TableBodyText"/>
            </w:pPr>
            <w:r>
              <w:t>"[ISO/IEC-29500-1] §22.1.2.54"</w:t>
            </w:r>
          </w:p>
        </w:tc>
      </w:tr>
      <w:tr w:rsidR="00024C0A" w:rsidTr="00024C0A">
        <w:tc>
          <w:tcPr>
            <w:tcW w:w="0" w:type="auto"/>
            <w:vAlign w:val="center"/>
          </w:tcPr>
          <w:p w:rsidR="00024C0A" w:rsidRDefault="00694C0F">
            <w:pPr>
              <w:pStyle w:val="TableBodyText"/>
            </w:pPr>
            <w:r>
              <w:rPr>
                <w:b/>
              </w:rPr>
              <w:lastRenderedPageBreak/>
              <w:t>limUpp</w:t>
            </w:r>
            <w:r>
              <w:t xml:space="preserve"> (Upper-Limit Object)</w:t>
            </w:r>
          </w:p>
        </w:tc>
        <w:tc>
          <w:tcPr>
            <w:tcW w:w="0" w:type="auto"/>
            <w:vAlign w:val="center"/>
          </w:tcPr>
          <w:p w:rsidR="00024C0A" w:rsidRDefault="00694C0F">
            <w:pPr>
              <w:pStyle w:val="TableBodyText"/>
            </w:pPr>
            <w:r>
              <w:t>"[ISO/IEC-29500-1] §22.1.2.56"</w:t>
            </w:r>
          </w:p>
        </w:tc>
      </w:tr>
      <w:tr w:rsidR="00024C0A" w:rsidTr="00024C0A">
        <w:tc>
          <w:tcPr>
            <w:tcW w:w="0" w:type="auto"/>
            <w:vAlign w:val="center"/>
          </w:tcPr>
          <w:p w:rsidR="00024C0A" w:rsidRDefault="00694C0F">
            <w:pPr>
              <w:pStyle w:val="TableBodyText"/>
            </w:pPr>
            <w:r>
              <w:rPr>
                <w:b/>
              </w:rPr>
              <w:t>m</w:t>
            </w:r>
            <w:r>
              <w:t xml:space="preserve"> (Matrix Object)</w:t>
            </w:r>
          </w:p>
        </w:tc>
        <w:tc>
          <w:tcPr>
            <w:tcW w:w="0" w:type="auto"/>
            <w:vAlign w:val="center"/>
          </w:tcPr>
          <w:p w:rsidR="00024C0A" w:rsidRDefault="00694C0F">
            <w:pPr>
              <w:pStyle w:val="TableBodyText"/>
            </w:pPr>
            <w:r>
              <w:t>"[ISO/IEC-29500-1] §22.1.2.60"</w:t>
            </w:r>
          </w:p>
        </w:tc>
      </w:tr>
      <w:tr w:rsidR="00024C0A" w:rsidTr="00024C0A">
        <w:tc>
          <w:tcPr>
            <w:tcW w:w="0" w:type="auto"/>
            <w:vAlign w:val="center"/>
          </w:tcPr>
          <w:p w:rsidR="00024C0A" w:rsidRDefault="00694C0F">
            <w:pPr>
              <w:pStyle w:val="TableBodyText"/>
            </w:pPr>
            <w:r>
              <w:rPr>
                <w:b/>
              </w:rPr>
              <w:t>moveFrom</w:t>
            </w:r>
            <w:r>
              <w:t xml:space="preserve"> (Move Source Run Con</w:t>
            </w:r>
            <w:r>
              <w:t>tent)</w:t>
            </w:r>
          </w:p>
        </w:tc>
        <w:tc>
          <w:tcPr>
            <w:tcW w:w="0" w:type="auto"/>
            <w:vAlign w:val="center"/>
          </w:tcPr>
          <w:p w:rsidR="00024C0A" w:rsidRDefault="00694C0F">
            <w:pPr>
              <w:pStyle w:val="TableBodyText"/>
            </w:pPr>
            <w:r>
              <w:t>"[ISO/IEC-29500-1] §17.13.5.22"</w:t>
            </w:r>
          </w:p>
        </w:tc>
      </w:tr>
      <w:tr w:rsidR="00024C0A" w:rsidTr="00024C0A">
        <w:tc>
          <w:tcPr>
            <w:tcW w:w="0" w:type="auto"/>
            <w:vAlign w:val="center"/>
          </w:tcPr>
          <w:p w:rsidR="00024C0A" w:rsidRDefault="00694C0F">
            <w:pPr>
              <w:pStyle w:val="TableBodyText"/>
            </w:pPr>
            <w:r>
              <w:rPr>
                <w:b/>
              </w:rPr>
              <w:t>moveFromRangeEnd</w:t>
            </w:r>
            <w:r>
              <w:t xml:space="preserve"> (Move Source Location Container - End)</w:t>
            </w:r>
          </w:p>
        </w:tc>
        <w:tc>
          <w:tcPr>
            <w:tcW w:w="0" w:type="auto"/>
            <w:vAlign w:val="center"/>
          </w:tcPr>
          <w:p w:rsidR="00024C0A" w:rsidRDefault="00694C0F">
            <w:pPr>
              <w:pStyle w:val="TableBodyText"/>
            </w:pPr>
            <w:r>
              <w:t>"[ISO/IEC-29500-1] §17.13.5.23"</w:t>
            </w:r>
          </w:p>
        </w:tc>
      </w:tr>
      <w:tr w:rsidR="00024C0A" w:rsidTr="00024C0A">
        <w:tc>
          <w:tcPr>
            <w:tcW w:w="0" w:type="auto"/>
            <w:vAlign w:val="center"/>
          </w:tcPr>
          <w:p w:rsidR="00024C0A" w:rsidRDefault="00694C0F">
            <w:pPr>
              <w:pStyle w:val="TableBodyText"/>
            </w:pPr>
            <w:r>
              <w:rPr>
                <w:b/>
              </w:rPr>
              <w:t>moveFromRangeStart</w:t>
            </w:r>
            <w:r>
              <w:t xml:space="preserve"> (Move Source Location Container - Start)</w:t>
            </w:r>
          </w:p>
        </w:tc>
        <w:tc>
          <w:tcPr>
            <w:tcW w:w="0" w:type="auto"/>
            <w:vAlign w:val="center"/>
          </w:tcPr>
          <w:p w:rsidR="00024C0A" w:rsidRDefault="00694C0F">
            <w:pPr>
              <w:pStyle w:val="TableBodyText"/>
            </w:pPr>
            <w:r>
              <w:t>"[ISO/IEC-29500-1] §17.13.5.24"</w:t>
            </w:r>
          </w:p>
        </w:tc>
      </w:tr>
      <w:tr w:rsidR="00024C0A" w:rsidTr="00024C0A">
        <w:tc>
          <w:tcPr>
            <w:tcW w:w="0" w:type="auto"/>
            <w:vAlign w:val="center"/>
          </w:tcPr>
          <w:p w:rsidR="00024C0A" w:rsidRDefault="00694C0F">
            <w:pPr>
              <w:pStyle w:val="TableBodyText"/>
            </w:pPr>
            <w:r>
              <w:rPr>
                <w:b/>
              </w:rPr>
              <w:t>moveTo</w:t>
            </w:r>
            <w:r>
              <w:t xml:space="preserve"> (Move Destination Run Content)</w:t>
            </w:r>
          </w:p>
        </w:tc>
        <w:tc>
          <w:tcPr>
            <w:tcW w:w="0" w:type="auto"/>
            <w:vAlign w:val="center"/>
          </w:tcPr>
          <w:p w:rsidR="00024C0A" w:rsidRDefault="00694C0F">
            <w:pPr>
              <w:pStyle w:val="TableBodyText"/>
            </w:pPr>
            <w:r>
              <w:t>"[ISO/IEC-29500-1] §17.13.5.25"</w:t>
            </w:r>
          </w:p>
        </w:tc>
      </w:tr>
      <w:tr w:rsidR="00024C0A" w:rsidTr="00024C0A">
        <w:tc>
          <w:tcPr>
            <w:tcW w:w="0" w:type="auto"/>
            <w:vAlign w:val="center"/>
          </w:tcPr>
          <w:p w:rsidR="00024C0A" w:rsidRDefault="00694C0F">
            <w:pPr>
              <w:pStyle w:val="TableBodyText"/>
            </w:pPr>
            <w:r>
              <w:rPr>
                <w:b/>
              </w:rPr>
              <w:t>moveToRangeEnd</w:t>
            </w:r>
            <w:r>
              <w:t xml:space="preserve"> (Move Destination Location Container - End)</w:t>
            </w:r>
          </w:p>
        </w:tc>
        <w:tc>
          <w:tcPr>
            <w:tcW w:w="0" w:type="auto"/>
            <w:vAlign w:val="center"/>
          </w:tcPr>
          <w:p w:rsidR="00024C0A" w:rsidRDefault="00694C0F">
            <w:pPr>
              <w:pStyle w:val="TableBodyText"/>
            </w:pPr>
            <w:r>
              <w:t>"[ISO/IEC-29500-1] §17.13.5.27"</w:t>
            </w:r>
          </w:p>
        </w:tc>
      </w:tr>
      <w:tr w:rsidR="00024C0A" w:rsidTr="00024C0A">
        <w:tc>
          <w:tcPr>
            <w:tcW w:w="0" w:type="auto"/>
            <w:vAlign w:val="center"/>
          </w:tcPr>
          <w:p w:rsidR="00024C0A" w:rsidRDefault="00694C0F">
            <w:pPr>
              <w:pStyle w:val="TableBodyText"/>
            </w:pPr>
            <w:r>
              <w:rPr>
                <w:b/>
              </w:rPr>
              <w:t>moveToRangeStart</w:t>
            </w:r>
            <w:r>
              <w:t xml:space="preserve"> (Move Destination Location Container - Start)</w:t>
            </w:r>
          </w:p>
        </w:tc>
        <w:tc>
          <w:tcPr>
            <w:tcW w:w="0" w:type="auto"/>
            <w:vAlign w:val="center"/>
          </w:tcPr>
          <w:p w:rsidR="00024C0A" w:rsidRDefault="00694C0F">
            <w:pPr>
              <w:pStyle w:val="TableBodyText"/>
            </w:pPr>
            <w:r>
              <w:t>"[ISO/IEC-29500-1] §17.13.5.28"</w:t>
            </w:r>
          </w:p>
        </w:tc>
      </w:tr>
      <w:tr w:rsidR="00024C0A" w:rsidTr="00024C0A">
        <w:tc>
          <w:tcPr>
            <w:tcW w:w="0" w:type="auto"/>
            <w:vAlign w:val="center"/>
          </w:tcPr>
          <w:p w:rsidR="00024C0A" w:rsidRDefault="00694C0F">
            <w:pPr>
              <w:pStyle w:val="TableBodyText"/>
            </w:pPr>
            <w:r>
              <w:rPr>
                <w:b/>
              </w:rPr>
              <w:t>nar</w:t>
            </w:r>
            <w:r>
              <w:rPr>
                <w:b/>
              </w:rPr>
              <w:t>y</w:t>
            </w:r>
            <w:r>
              <w:t xml:space="preserve"> (n-ary Operator Object)</w:t>
            </w:r>
          </w:p>
        </w:tc>
        <w:tc>
          <w:tcPr>
            <w:tcW w:w="0" w:type="auto"/>
            <w:vAlign w:val="center"/>
          </w:tcPr>
          <w:p w:rsidR="00024C0A" w:rsidRDefault="00694C0F">
            <w:pPr>
              <w:pStyle w:val="TableBodyText"/>
            </w:pPr>
            <w:r>
              <w:t>"[ISO/IEC-29500-1] §22.1.2.70"</w:t>
            </w:r>
          </w:p>
        </w:tc>
      </w:tr>
      <w:tr w:rsidR="00024C0A" w:rsidTr="00024C0A">
        <w:tc>
          <w:tcPr>
            <w:tcW w:w="0" w:type="auto"/>
            <w:vAlign w:val="center"/>
          </w:tcPr>
          <w:p w:rsidR="00024C0A" w:rsidRDefault="00694C0F">
            <w:pPr>
              <w:pStyle w:val="TableBodyText"/>
            </w:pPr>
            <w:r>
              <w:rPr>
                <w:b/>
              </w:rPr>
              <w:t>oMath</w:t>
            </w:r>
            <w:r>
              <w:t xml:space="preserve"> (Office Math)</w:t>
            </w:r>
          </w:p>
        </w:tc>
        <w:tc>
          <w:tcPr>
            <w:tcW w:w="0" w:type="auto"/>
            <w:vAlign w:val="center"/>
          </w:tcPr>
          <w:p w:rsidR="00024C0A" w:rsidRDefault="00694C0F">
            <w:pPr>
              <w:pStyle w:val="TableBodyText"/>
            </w:pPr>
            <w:r>
              <w:t>"[ISO/IEC-29500-1] §22.1.2.77"</w:t>
            </w:r>
          </w:p>
        </w:tc>
      </w:tr>
      <w:tr w:rsidR="00024C0A" w:rsidTr="00024C0A">
        <w:tc>
          <w:tcPr>
            <w:tcW w:w="0" w:type="auto"/>
            <w:vAlign w:val="center"/>
          </w:tcPr>
          <w:p w:rsidR="00024C0A" w:rsidRDefault="00694C0F">
            <w:pPr>
              <w:pStyle w:val="TableBodyText"/>
            </w:pPr>
            <w:r>
              <w:rPr>
                <w:b/>
              </w:rPr>
              <w:t>oMathPara</w:t>
            </w:r>
            <w:r>
              <w:t xml:space="preserve"> (Office Math Paragraph)</w:t>
            </w:r>
          </w:p>
        </w:tc>
        <w:tc>
          <w:tcPr>
            <w:tcW w:w="0" w:type="auto"/>
            <w:vAlign w:val="center"/>
          </w:tcPr>
          <w:p w:rsidR="00024C0A" w:rsidRDefault="00694C0F">
            <w:pPr>
              <w:pStyle w:val="TableBodyText"/>
            </w:pPr>
            <w:r>
              <w:t>"[ISO/IEC-29500-1] §22.1.2.78"</w:t>
            </w:r>
          </w:p>
        </w:tc>
      </w:tr>
      <w:tr w:rsidR="00024C0A" w:rsidTr="00024C0A">
        <w:tc>
          <w:tcPr>
            <w:tcW w:w="0" w:type="auto"/>
            <w:vAlign w:val="center"/>
          </w:tcPr>
          <w:p w:rsidR="00024C0A" w:rsidRDefault="00694C0F">
            <w:pPr>
              <w:pStyle w:val="TableBodyText"/>
            </w:pPr>
            <w:r>
              <w:rPr>
                <w:b/>
              </w:rPr>
              <w:t>permEnd</w:t>
            </w:r>
            <w:r>
              <w:t xml:space="preserve"> (Range Permission End)</w:t>
            </w:r>
          </w:p>
        </w:tc>
        <w:tc>
          <w:tcPr>
            <w:tcW w:w="0" w:type="auto"/>
            <w:vAlign w:val="center"/>
          </w:tcPr>
          <w:p w:rsidR="00024C0A" w:rsidRDefault="00694C0F">
            <w:pPr>
              <w:pStyle w:val="TableBodyText"/>
            </w:pPr>
            <w:r>
              <w:t>"[ISO/IEC-29500-1] §17.13.7.1"</w:t>
            </w:r>
          </w:p>
        </w:tc>
      </w:tr>
      <w:tr w:rsidR="00024C0A" w:rsidTr="00024C0A">
        <w:tc>
          <w:tcPr>
            <w:tcW w:w="0" w:type="auto"/>
            <w:vAlign w:val="center"/>
          </w:tcPr>
          <w:p w:rsidR="00024C0A" w:rsidRDefault="00694C0F">
            <w:pPr>
              <w:pStyle w:val="TableBodyText"/>
            </w:pPr>
            <w:r>
              <w:rPr>
                <w:b/>
              </w:rPr>
              <w:t>permStart</w:t>
            </w:r>
            <w:r>
              <w:t xml:space="preserve"> (Range Permission Start)</w:t>
            </w:r>
          </w:p>
        </w:tc>
        <w:tc>
          <w:tcPr>
            <w:tcW w:w="0" w:type="auto"/>
            <w:vAlign w:val="center"/>
          </w:tcPr>
          <w:p w:rsidR="00024C0A" w:rsidRDefault="00694C0F">
            <w:pPr>
              <w:pStyle w:val="TableBodyText"/>
            </w:pPr>
            <w:r>
              <w:t>"[ISO/IEC-29500-1] §17.13.7.2"</w:t>
            </w:r>
          </w:p>
        </w:tc>
      </w:tr>
      <w:tr w:rsidR="00024C0A" w:rsidTr="00024C0A">
        <w:tc>
          <w:tcPr>
            <w:tcW w:w="0" w:type="auto"/>
            <w:vAlign w:val="center"/>
          </w:tcPr>
          <w:p w:rsidR="00024C0A" w:rsidRDefault="00694C0F">
            <w:pPr>
              <w:pStyle w:val="TableBodyText"/>
            </w:pPr>
            <w:r>
              <w:rPr>
                <w:b/>
              </w:rPr>
              <w:t>phant</w:t>
            </w:r>
            <w:r>
              <w:t xml:space="preserve"> (Phantom Object)</w:t>
            </w:r>
          </w:p>
        </w:tc>
        <w:tc>
          <w:tcPr>
            <w:tcW w:w="0" w:type="auto"/>
            <w:vAlign w:val="center"/>
          </w:tcPr>
          <w:p w:rsidR="00024C0A" w:rsidRDefault="00694C0F">
            <w:pPr>
              <w:pStyle w:val="TableBodyText"/>
            </w:pPr>
            <w:r>
              <w:t>"[ISO/IEC-29500-1] §22.1.2.81"</w:t>
            </w:r>
          </w:p>
        </w:tc>
      </w:tr>
      <w:tr w:rsidR="00024C0A" w:rsidTr="00024C0A">
        <w:tc>
          <w:tcPr>
            <w:tcW w:w="0" w:type="auto"/>
            <w:vAlign w:val="center"/>
          </w:tcPr>
          <w:p w:rsidR="00024C0A" w:rsidRDefault="00694C0F">
            <w:pPr>
              <w:pStyle w:val="TableBodyText"/>
            </w:pPr>
            <w:r>
              <w:rPr>
                <w:b/>
              </w:rPr>
              <w:t>proofErr</w:t>
            </w:r>
            <w:r>
              <w:t xml:space="preserve"> (Proofing Error Anchor)</w:t>
            </w:r>
          </w:p>
        </w:tc>
        <w:tc>
          <w:tcPr>
            <w:tcW w:w="0" w:type="auto"/>
            <w:vAlign w:val="center"/>
          </w:tcPr>
          <w:p w:rsidR="00024C0A" w:rsidRDefault="00694C0F">
            <w:pPr>
              <w:pStyle w:val="TableBodyText"/>
            </w:pPr>
            <w:r>
              <w:t>"[ISO/IEC-29500-1] §17.13.8.1"</w:t>
            </w:r>
          </w:p>
        </w:tc>
      </w:tr>
      <w:tr w:rsidR="00024C0A" w:rsidTr="00024C0A">
        <w:tc>
          <w:tcPr>
            <w:tcW w:w="0" w:type="auto"/>
            <w:vAlign w:val="center"/>
          </w:tcPr>
          <w:p w:rsidR="00024C0A" w:rsidRDefault="00694C0F">
            <w:pPr>
              <w:pStyle w:val="TableBodyText"/>
            </w:pPr>
            <w:r>
              <w:rPr>
                <w:b/>
              </w:rPr>
              <w:t>r</w:t>
            </w:r>
            <w:r>
              <w:t xml:space="preserve"> (Run)</w:t>
            </w:r>
          </w:p>
        </w:tc>
        <w:tc>
          <w:tcPr>
            <w:tcW w:w="0" w:type="auto"/>
            <w:vAlign w:val="center"/>
          </w:tcPr>
          <w:p w:rsidR="00024C0A" w:rsidRDefault="00694C0F">
            <w:pPr>
              <w:pStyle w:val="TableBodyText"/>
            </w:pPr>
            <w:r>
              <w:t>"[ISO/IEC-29500-1] §22.1.2.87"</w:t>
            </w:r>
          </w:p>
        </w:tc>
      </w:tr>
      <w:tr w:rsidR="00024C0A" w:rsidTr="00024C0A">
        <w:tc>
          <w:tcPr>
            <w:tcW w:w="0" w:type="auto"/>
            <w:vAlign w:val="center"/>
          </w:tcPr>
          <w:p w:rsidR="00024C0A" w:rsidRDefault="00694C0F">
            <w:pPr>
              <w:pStyle w:val="TableBodyText"/>
            </w:pPr>
            <w:r>
              <w:rPr>
                <w:b/>
              </w:rPr>
              <w:t>r</w:t>
            </w:r>
            <w:r>
              <w:t xml:space="preserve"> (Text Run)</w:t>
            </w:r>
          </w:p>
        </w:tc>
        <w:tc>
          <w:tcPr>
            <w:tcW w:w="0" w:type="auto"/>
            <w:vAlign w:val="center"/>
          </w:tcPr>
          <w:p w:rsidR="00024C0A" w:rsidRDefault="00694C0F">
            <w:pPr>
              <w:pStyle w:val="TableBodyText"/>
            </w:pPr>
            <w:r>
              <w:t>"[ISO/IEC-29500-1]</w:t>
            </w:r>
            <w:r>
              <w:t xml:space="preserve"> §17.3.2.25"</w:t>
            </w:r>
          </w:p>
        </w:tc>
      </w:tr>
      <w:tr w:rsidR="00024C0A" w:rsidTr="00024C0A">
        <w:tc>
          <w:tcPr>
            <w:tcW w:w="0" w:type="auto"/>
            <w:vAlign w:val="center"/>
          </w:tcPr>
          <w:p w:rsidR="00024C0A" w:rsidRDefault="00694C0F">
            <w:pPr>
              <w:pStyle w:val="TableBodyText"/>
            </w:pPr>
            <w:r>
              <w:rPr>
                <w:b/>
              </w:rPr>
              <w:t>rad</w:t>
            </w:r>
            <w:r>
              <w:t xml:space="preserve"> (Radical Object)</w:t>
            </w:r>
          </w:p>
        </w:tc>
        <w:tc>
          <w:tcPr>
            <w:tcW w:w="0" w:type="auto"/>
            <w:vAlign w:val="center"/>
          </w:tcPr>
          <w:p w:rsidR="00024C0A" w:rsidRDefault="00694C0F">
            <w:pPr>
              <w:pStyle w:val="TableBodyText"/>
            </w:pPr>
            <w:r>
              <w:t>"[ISO/IEC-29500-1] §22.1.2.88"</w:t>
            </w:r>
          </w:p>
        </w:tc>
      </w:tr>
      <w:tr w:rsidR="00024C0A" w:rsidTr="00024C0A">
        <w:tc>
          <w:tcPr>
            <w:tcW w:w="0" w:type="auto"/>
            <w:vAlign w:val="center"/>
          </w:tcPr>
          <w:p w:rsidR="00024C0A" w:rsidRDefault="00694C0F">
            <w:pPr>
              <w:pStyle w:val="TableBodyText"/>
            </w:pPr>
            <w:r>
              <w:rPr>
                <w:b/>
              </w:rPr>
              <w:t>sdt</w:t>
            </w:r>
            <w:r>
              <w:t xml:space="preserve"> (Ruby Inline-Level Structured Document Tag)</w:t>
            </w:r>
          </w:p>
        </w:tc>
        <w:tc>
          <w:tcPr>
            <w:tcW w:w="0" w:type="auto"/>
            <w:vAlign w:val="center"/>
          </w:tcPr>
          <w:p w:rsidR="00024C0A" w:rsidRDefault="00694C0F">
            <w:pPr>
              <w:pStyle w:val="TableBodyText"/>
            </w:pPr>
            <w:r>
              <w:t>§</w:t>
            </w:r>
            <w:hyperlink w:anchor="Section_808b32d8ad644c849fb585ad68be54b9">
              <w:r>
                <w:rPr>
                  <w:rStyle w:val="Hyperlink"/>
                </w:rPr>
                <w:t>3.1.3.1.6, sdt</w:t>
              </w:r>
            </w:hyperlink>
          </w:p>
        </w:tc>
      </w:tr>
      <w:tr w:rsidR="00024C0A" w:rsidTr="00024C0A">
        <w:tc>
          <w:tcPr>
            <w:tcW w:w="0" w:type="auto"/>
            <w:vAlign w:val="center"/>
          </w:tcPr>
          <w:p w:rsidR="00024C0A" w:rsidRDefault="00694C0F">
            <w:pPr>
              <w:pStyle w:val="TableBodyText"/>
            </w:pPr>
            <w:r>
              <w:rPr>
                <w:b/>
              </w:rPr>
              <w:t>sPre</w:t>
            </w:r>
            <w:r>
              <w:t xml:space="preserve"> (Pre-Sub-Superscript Object)</w:t>
            </w:r>
          </w:p>
        </w:tc>
        <w:tc>
          <w:tcPr>
            <w:tcW w:w="0" w:type="auto"/>
            <w:vAlign w:val="center"/>
          </w:tcPr>
          <w:p w:rsidR="00024C0A" w:rsidRDefault="00694C0F">
            <w:pPr>
              <w:pStyle w:val="TableBodyText"/>
            </w:pPr>
            <w:r>
              <w:t>"[ISO/IEC-29500-1]</w:t>
            </w:r>
            <w:r>
              <w:t xml:space="preserve"> §22.1.2.99"</w:t>
            </w:r>
          </w:p>
        </w:tc>
      </w:tr>
      <w:tr w:rsidR="00024C0A" w:rsidTr="00024C0A">
        <w:tc>
          <w:tcPr>
            <w:tcW w:w="0" w:type="auto"/>
            <w:vAlign w:val="center"/>
          </w:tcPr>
          <w:p w:rsidR="00024C0A" w:rsidRDefault="00694C0F">
            <w:pPr>
              <w:pStyle w:val="TableBodyText"/>
            </w:pPr>
            <w:r>
              <w:rPr>
                <w:b/>
              </w:rPr>
              <w:t>sSub</w:t>
            </w:r>
            <w:r>
              <w:t xml:space="preserve"> (Subscript Object)</w:t>
            </w:r>
          </w:p>
        </w:tc>
        <w:tc>
          <w:tcPr>
            <w:tcW w:w="0" w:type="auto"/>
            <w:vAlign w:val="center"/>
          </w:tcPr>
          <w:p w:rsidR="00024C0A" w:rsidRDefault="00694C0F">
            <w:pPr>
              <w:pStyle w:val="TableBodyText"/>
            </w:pPr>
            <w:r>
              <w:t>"[ISO/IEC-29500-1] §22.1.2.101"</w:t>
            </w:r>
          </w:p>
        </w:tc>
      </w:tr>
      <w:tr w:rsidR="00024C0A" w:rsidTr="00024C0A">
        <w:tc>
          <w:tcPr>
            <w:tcW w:w="0" w:type="auto"/>
            <w:vAlign w:val="center"/>
          </w:tcPr>
          <w:p w:rsidR="00024C0A" w:rsidRDefault="00694C0F">
            <w:pPr>
              <w:pStyle w:val="TableBodyText"/>
            </w:pPr>
            <w:r>
              <w:rPr>
                <w:b/>
              </w:rPr>
              <w:t>sSubSup</w:t>
            </w:r>
            <w:r>
              <w:t xml:space="preserve"> (Sub-Superscript Object)</w:t>
            </w:r>
          </w:p>
        </w:tc>
        <w:tc>
          <w:tcPr>
            <w:tcW w:w="0" w:type="auto"/>
            <w:vAlign w:val="center"/>
          </w:tcPr>
          <w:p w:rsidR="00024C0A" w:rsidRDefault="00694C0F">
            <w:pPr>
              <w:pStyle w:val="TableBodyText"/>
            </w:pPr>
            <w:r>
              <w:t xml:space="preserve">"[ISO/IEC-29500-1] </w:t>
            </w:r>
            <w:r>
              <w:lastRenderedPageBreak/>
              <w:t>§22.1.2.103"</w:t>
            </w:r>
          </w:p>
        </w:tc>
      </w:tr>
      <w:tr w:rsidR="00024C0A" w:rsidTr="00024C0A">
        <w:tc>
          <w:tcPr>
            <w:tcW w:w="0" w:type="auto"/>
            <w:vAlign w:val="center"/>
          </w:tcPr>
          <w:p w:rsidR="00024C0A" w:rsidRDefault="00694C0F">
            <w:pPr>
              <w:pStyle w:val="TableBodyText"/>
            </w:pPr>
            <w:r>
              <w:rPr>
                <w:b/>
              </w:rPr>
              <w:lastRenderedPageBreak/>
              <w:t>sSup</w:t>
            </w:r>
            <w:r>
              <w:t xml:space="preserve"> (Superscript Object)</w:t>
            </w:r>
          </w:p>
        </w:tc>
        <w:tc>
          <w:tcPr>
            <w:tcW w:w="0" w:type="auto"/>
            <w:vAlign w:val="center"/>
          </w:tcPr>
          <w:p w:rsidR="00024C0A" w:rsidRDefault="00694C0F">
            <w:pPr>
              <w:pStyle w:val="TableBodyText"/>
            </w:pPr>
            <w:r>
              <w:t>"[ISO/IEC-29500-1] §22.1.2.105"</w:t>
            </w:r>
          </w:p>
        </w:tc>
      </w:tr>
    </w:tbl>
    <w:p w:rsidR="00024C0A" w:rsidRDefault="00024C0A"/>
    <w:p w:rsidR="00024C0A" w:rsidRDefault="00024C0A"/>
    <w:tbl>
      <w:tblPr>
        <w:tblStyle w:val="Table-ShadedHeader"/>
        <w:tblW w:w="0" w:type="auto"/>
        <w:tblLook w:val="04A0" w:firstRow="1" w:lastRow="0" w:firstColumn="1" w:lastColumn="0" w:noHBand="0" w:noVBand="1"/>
      </w:tblPr>
      <w:tblGrid>
        <w:gridCol w:w="1999"/>
        <w:gridCol w:w="747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Attributes</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element</w:t>
            </w:r>
            <w:r>
              <w:t xml:space="preserve"> (Custom XML Element)</w:t>
            </w:r>
          </w:p>
        </w:tc>
        <w:tc>
          <w:tcPr>
            <w:tcW w:w="0" w:type="auto"/>
            <w:vAlign w:val="center"/>
          </w:tcPr>
          <w:p w:rsidR="00024C0A" w:rsidRDefault="00694C0F">
            <w:pPr>
              <w:pStyle w:val="TableBodyText"/>
            </w:pPr>
            <w:r>
              <w:t>Specifies the name of the current custom XML element or smart tag within the document.</w:t>
            </w:r>
          </w:p>
          <w:p w:rsidR="00024C0A" w:rsidRDefault="00024C0A">
            <w:pPr>
              <w:pStyle w:val="TableBodyText"/>
            </w:pPr>
          </w:p>
          <w:p w:rsidR="00024C0A" w:rsidRDefault="00694C0F">
            <w:pPr>
              <w:pStyle w:val="TableBodyText"/>
            </w:pPr>
            <w:r>
              <w:t xml:space="preserve">[Example: Consider a custom XML element which shall have a name of </w:t>
            </w:r>
            <w:r>
              <w:rPr>
                <w:i/>
              </w:rPr>
              <w:t>companyName</w:t>
            </w:r>
            <w:r>
              <w:t>. This requirement would be specified using the following WordprocessingML:</w:t>
            </w:r>
          </w:p>
          <w:p w:rsidR="00024C0A" w:rsidRDefault="00024C0A">
            <w:pPr>
              <w:pStyle w:val="TableBodyText"/>
            </w:pPr>
          </w:p>
          <w:p w:rsidR="00024C0A" w:rsidRDefault="00694C0F">
            <w:pPr>
              <w:pStyle w:val="Code"/>
            </w:pPr>
            <w:r>
              <w:t xml:space="preserve">&lt;w:customXml </w:t>
            </w:r>
            <w:r>
              <w:t>w:element="companyName" … &gt;</w:t>
            </w:r>
          </w:p>
          <w:p w:rsidR="00024C0A" w:rsidRDefault="00694C0F">
            <w:pPr>
              <w:pStyle w:val="Code"/>
            </w:pPr>
            <w:r>
              <w:t xml:space="preserve">  …</w:t>
            </w:r>
          </w:p>
          <w:p w:rsidR="00024C0A" w:rsidRDefault="00694C0F">
            <w:pPr>
              <w:pStyle w:val="Code"/>
            </w:pPr>
            <w:r>
              <w:t>&lt;/w:customXml&gt;</w:t>
            </w:r>
          </w:p>
          <w:p w:rsidR="00024C0A" w:rsidRDefault="00024C0A">
            <w:pPr>
              <w:pStyle w:val="TableBodyText"/>
            </w:pPr>
          </w:p>
          <w:p w:rsidR="00024C0A" w:rsidRDefault="00694C0F">
            <w:pPr>
              <w:pStyle w:val="TableBodyText"/>
            </w:pPr>
            <w:r>
              <w:t xml:space="preserve">The </w:t>
            </w:r>
            <w:r>
              <w:rPr>
                <w:b/>
              </w:rPr>
              <w:t>element</w:t>
            </w:r>
            <w:r>
              <w:t xml:space="preserve"> attribute specifies that the name for this element shall be </w:t>
            </w:r>
            <w:r>
              <w:rPr>
                <w:i/>
              </w:rPr>
              <w:t>companyName</w:t>
            </w:r>
            <w:r>
              <w:t>. end example]</w:t>
            </w:r>
          </w:p>
          <w:p w:rsidR="00024C0A" w:rsidRDefault="00024C0A">
            <w:pPr>
              <w:pStyle w:val="TableBodyText"/>
            </w:pPr>
          </w:p>
          <w:p w:rsidR="00024C0A" w:rsidRDefault="00694C0F">
            <w:pPr>
              <w:pStyle w:val="TableBodyText"/>
            </w:pPr>
            <w:r>
              <w:t>The possible values for this attribute are defined by the ST_NcName255 simple type (§</w:t>
            </w:r>
            <w:hyperlink w:anchor="Section_8ddb0e2037f84cb9a2e083d20de6fe2c">
              <w:r>
                <w:rPr>
                  <w:rStyle w:val="Hyperlink"/>
                </w:rPr>
                <w:t>3.1.3.3.4, ST_NcName255</w:t>
              </w:r>
            </w:hyperlink>
            <w:r>
              <w:t>).</w:t>
            </w:r>
          </w:p>
        </w:tc>
      </w:tr>
      <w:tr w:rsidR="00024C0A" w:rsidTr="00024C0A">
        <w:tc>
          <w:tcPr>
            <w:tcW w:w="0" w:type="auto"/>
            <w:vAlign w:val="center"/>
          </w:tcPr>
          <w:p w:rsidR="00024C0A" w:rsidRDefault="00694C0F">
            <w:pPr>
              <w:pStyle w:val="TableBodyText"/>
            </w:pPr>
            <w:r>
              <w:rPr>
                <w:b/>
              </w:rPr>
              <w:t>uri</w:t>
            </w:r>
            <w:r>
              <w:t xml:space="preserve"> (Custom XML Element Namespace)</w:t>
            </w:r>
          </w:p>
        </w:tc>
        <w:tc>
          <w:tcPr>
            <w:tcW w:w="0" w:type="auto"/>
            <w:vAlign w:val="center"/>
          </w:tcPr>
          <w:p w:rsidR="00024C0A" w:rsidRDefault="00694C0F">
            <w:pPr>
              <w:pStyle w:val="TableBodyText"/>
            </w:pPr>
            <w:r>
              <w:t>Specifies the namespace URI of the current custom XML element or smart tag.</w:t>
            </w:r>
          </w:p>
          <w:p w:rsidR="00024C0A" w:rsidRDefault="00024C0A">
            <w:pPr>
              <w:pStyle w:val="TableBodyText"/>
            </w:pPr>
          </w:p>
          <w:p w:rsidR="00024C0A" w:rsidRDefault="00694C0F">
            <w:pPr>
              <w:pStyle w:val="TableBodyText"/>
            </w:pPr>
            <w:r>
              <w:t>If this attribute is omitted, the URI shall be assumed to be null (no associat</w:t>
            </w:r>
            <w:r>
              <w:t>ed URI).</w:t>
            </w:r>
          </w:p>
          <w:p w:rsidR="00024C0A" w:rsidRDefault="00024C0A">
            <w:pPr>
              <w:pStyle w:val="TableBodyText"/>
            </w:pPr>
          </w:p>
          <w:p w:rsidR="00024C0A" w:rsidRDefault="00694C0F">
            <w:pPr>
              <w:pStyle w:val="TableBodyText"/>
            </w:pPr>
            <w:r>
              <w:t>[Example: Consider a custom XML element which shall have a namespace URI of</w:t>
            </w:r>
            <w:r>
              <w:rPr>
                <w:i/>
              </w:rPr>
              <w:t xml:space="preserve"> urn:customXmlExample</w:t>
            </w:r>
            <w:r>
              <w:t>. This requirement would be specified using the following WordprocessingML:</w:t>
            </w:r>
          </w:p>
          <w:p w:rsidR="00024C0A" w:rsidRDefault="00024C0A">
            <w:pPr>
              <w:pStyle w:val="TableBodyText"/>
            </w:pPr>
          </w:p>
          <w:p w:rsidR="00024C0A" w:rsidRDefault="00694C0F">
            <w:pPr>
              <w:pStyle w:val="Code"/>
            </w:pPr>
            <w:r>
              <w:t>&lt;w:customXml … w:uri="urn:customXmlExample" /&gt;</w:t>
            </w:r>
          </w:p>
          <w:p w:rsidR="00024C0A" w:rsidRDefault="00694C0F">
            <w:pPr>
              <w:pStyle w:val="Code"/>
            </w:pPr>
            <w:r>
              <w:t xml:space="preserve">  …</w:t>
            </w:r>
          </w:p>
          <w:p w:rsidR="00024C0A" w:rsidRDefault="00694C0F">
            <w:pPr>
              <w:pStyle w:val="Code"/>
            </w:pPr>
            <w:r>
              <w:t>&lt;/w:customXml&gt;</w:t>
            </w:r>
          </w:p>
          <w:p w:rsidR="00024C0A" w:rsidRDefault="00024C0A">
            <w:pPr>
              <w:pStyle w:val="TableBodyText"/>
            </w:pPr>
          </w:p>
          <w:p w:rsidR="00024C0A" w:rsidRDefault="00694C0F">
            <w:pPr>
              <w:pStyle w:val="TableBodyText"/>
            </w:pPr>
            <w:r>
              <w:t xml:space="preserve">The </w:t>
            </w:r>
            <w:r>
              <w:rPr>
                <w:b/>
              </w:rPr>
              <w:t>uri</w:t>
            </w:r>
            <w:r>
              <w:t xml:space="preserve"> attribute specifies that the namespace for this element shall be </w:t>
            </w:r>
            <w:r>
              <w:rPr>
                <w:i/>
              </w:rPr>
              <w:t>urn:customXmlExample</w:t>
            </w:r>
            <w:r>
              <w:t>. end example]</w:t>
            </w:r>
          </w:p>
          <w:p w:rsidR="00024C0A" w:rsidRDefault="00024C0A">
            <w:pPr>
              <w:pStyle w:val="TableBodyText"/>
            </w:pPr>
          </w:p>
          <w:p w:rsidR="00024C0A" w:rsidRDefault="00694C0F">
            <w:pPr>
              <w:pStyle w:val="TableBodyText"/>
            </w:pPr>
            <w:r>
              <w:t>The possible values for this attribute are defined by the ST_CustomXmlURI simple type (§</w:t>
            </w:r>
            <w:hyperlink w:anchor="Section_04197af53c824a9d81393f1cec2b78eb">
              <w:r>
                <w:rPr>
                  <w:rStyle w:val="Hyperlink"/>
                </w:rPr>
                <w:t>3.1.3.3.1, ST_CustomXmlURI</w:t>
              </w:r>
            </w:hyperlink>
            <w:r>
              <w:t>).</w:t>
            </w:r>
          </w:p>
        </w:tc>
      </w:tr>
    </w:tbl>
    <w:p w:rsidR="00024C0A" w:rsidRDefault="00024C0A"/>
    <w:p w:rsidR="00024C0A" w:rsidRDefault="00694C0F">
      <w:r>
        <w:t>The following XML Schema fragment defines the contents of this element:</w:t>
      </w:r>
    </w:p>
    <w:p w:rsidR="00024C0A" w:rsidRDefault="00694C0F">
      <w:pPr>
        <w:pStyle w:val="Code"/>
      </w:pPr>
      <w:r>
        <w:t>&lt;complexType name="CT_CustomXmlRuby"&gt;</w:t>
      </w:r>
    </w:p>
    <w:p w:rsidR="00024C0A" w:rsidRDefault="00694C0F">
      <w:pPr>
        <w:pStyle w:val="Code"/>
      </w:pPr>
      <w:r>
        <w:t xml:space="preserve">  &lt;sequence&gt;</w:t>
      </w:r>
    </w:p>
    <w:p w:rsidR="00024C0A" w:rsidRDefault="00694C0F">
      <w:pPr>
        <w:pStyle w:val="Code"/>
      </w:pPr>
      <w:r>
        <w:lastRenderedPageBreak/>
        <w:t xml:space="preserve">    &lt;element name="customXmlPr" type="CT_CustomXmlPr" minOccurs="0" maxOccurs="1"/&gt;</w:t>
      </w:r>
    </w:p>
    <w:p w:rsidR="00024C0A" w:rsidRDefault="00694C0F">
      <w:pPr>
        <w:pStyle w:val="Code"/>
      </w:pPr>
      <w:r>
        <w:t xml:space="preserve">    &lt;group ref="EG</w:t>
      </w:r>
      <w:r>
        <w:t>_RubyContent" minOccurs="0" maxOccurs="unbounded"/&gt;</w:t>
      </w:r>
    </w:p>
    <w:p w:rsidR="00024C0A" w:rsidRDefault="00694C0F">
      <w:pPr>
        <w:pStyle w:val="Code"/>
      </w:pPr>
      <w:r>
        <w:t xml:space="preserve">  &lt;/sequence&gt;</w:t>
      </w:r>
    </w:p>
    <w:p w:rsidR="00024C0A" w:rsidRDefault="00694C0F">
      <w:pPr>
        <w:pStyle w:val="Code"/>
      </w:pPr>
      <w:r>
        <w:t xml:space="preserve">  &lt;attribute name="uri" type="ST_CustomXmlURI"/&gt;</w:t>
      </w:r>
    </w:p>
    <w:p w:rsidR="00024C0A" w:rsidRDefault="00694C0F">
      <w:pPr>
        <w:pStyle w:val="Code"/>
      </w:pPr>
      <w:r>
        <w:t xml:space="preserve">  &lt;attribute name="element" type="ST_NcName255" use="required"/&gt;</w:t>
      </w:r>
    </w:p>
    <w:p w:rsidR="00024C0A" w:rsidRDefault="00694C0F">
      <w:pPr>
        <w:pStyle w:val="Code"/>
      </w:pPr>
      <w:r>
        <w:t>&lt;/complexType&gt;</w:t>
      </w:r>
    </w:p>
    <w:p w:rsidR="00024C0A" w:rsidRDefault="00694C0F">
      <w:pPr>
        <w:pStyle w:val="Heading5"/>
      </w:pPr>
      <w:bookmarkStart w:id="3879" w:name="section_34477fff355a497ea2bf4b9c3f80b093"/>
      <w:bookmarkStart w:id="3880" w:name="_Toc12262000"/>
      <w:r>
        <w:t>fldSimple (Ruby Simple Field)</w:t>
      </w:r>
      <w:bookmarkEnd w:id="3879"/>
      <w:bookmarkEnd w:id="3880"/>
      <w:r>
        <w:fldChar w:fldCharType="begin"/>
      </w:r>
      <w:r>
        <w:instrText xml:space="preserve"> XE "fldSimple (Ruby Simple Fiel</w:instrText>
      </w:r>
      <w:r>
        <w:instrText xml:space="preserve">d)" </w:instrText>
      </w:r>
      <w:r>
        <w:fldChar w:fldCharType="end"/>
      </w:r>
    </w:p>
    <w:p w:rsidR="00024C0A" w:rsidRDefault="00694C0F">
      <w:r>
        <w:t>This element specifies the presence of a simple field at the current location in the document. The semantics of this field are defined via its field codes ("</w:t>
      </w:r>
      <w:hyperlink r:id="rId283">
        <w:r>
          <w:rPr>
            <w:rStyle w:val="Hyperlink"/>
          </w:rPr>
          <w:t>[ISO/IEC-29500-1]</w:t>
        </w:r>
      </w:hyperlink>
      <w:r>
        <w:t xml:space="preserve"> §17.16.5</w:t>
      </w:r>
      <w:r>
        <w:t>").</w:t>
      </w:r>
    </w:p>
    <w:p w:rsidR="00024C0A" w:rsidRDefault="00694C0F">
      <w:r>
        <w:t>[Example: Consider the following WordprocessingML fragment for a simple field:</w:t>
      </w:r>
    </w:p>
    <w:p w:rsidR="00024C0A" w:rsidRDefault="00694C0F">
      <w:pPr>
        <w:pStyle w:val="Code"/>
      </w:pPr>
      <w:r>
        <w:t>&lt;w:fldSimple w:instr="FILENAME"&gt;</w:t>
      </w:r>
    </w:p>
    <w:p w:rsidR="00024C0A" w:rsidRDefault="00694C0F">
      <w:pPr>
        <w:pStyle w:val="Code"/>
      </w:pPr>
      <w:r>
        <w:t xml:space="preserve">  &lt;w:r&gt;</w:t>
      </w:r>
    </w:p>
    <w:p w:rsidR="00024C0A" w:rsidRDefault="00694C0F">
      <w:pPr>
        <w:pStyle w:val="Code"/>
      </w:pPr>
      <w:r>
        <w:t xml:space="preserve">    &lt;w:t&gt;Example Document.docx&lt;/w:t&gt;</w:t>
      </w:r>
    </w:p>
    <w:p w:rsidR="00024C0A" w:rsidRDefault="00694C0F">
      <w:pPr>
        <w:pStyle w:val="Code"/>
      </w:pPr>
      <w:r>
        <w:t xml:space="preserve">  &lt;/w:r&gt;</w:t>
      </w:r>
    </w:p>
    <w:p w:rsidR="00024C0A" w:rsidRDefault="00694C0F">
      <w:pPr>
        <w:pStyle w:val="Code"/>
      </w:pPr>
      <w:r>
        <w:t>&lt;/w:fldSimple&gt;</w:t>
      </w:r>
    </w:p>
    <w:p w:rsidR="00024C0A" w:rsidRDefault="00694C0F">
      <w:r>
        <w:t xml:space="preserve">The </w:t>
      </w:r>
      <w:r>
        <w:rPr>
          <w:b/>
        </w:rPr>
        <w:t>fldSimple</w:t>
      </w:r>
      <w:r>
        <w:t xml:space="preserve"> element defines a </w:t>
      </w:r>
      <w:r>
        <w:rPr>
          <w:i/>
        </w:rPr>
        <w:t>FILENAME</w:t>
      </w:r>
      <w:r>
        <w:t xml:space="preserve"> field ("[ISO/IEC-29500-1]</w:t>
      </w:r>
      <w:r>
        <w:t xml:space="preserve"> §17.16.5.17; FILENAME") using the simple field syntax. The current field result for the field is </w:t>
      </w:r>
      <w:r>
        <w:rPr>
          <w:i/>
        </w:rPr>
        <w:t>Example Document.docx</w:t>
      </w:r>
      <w:r>
        <w:t>. end example]</w:t>
      </w:r>
    </w:p>
    <w:tbl>
      <w:tblPr>
        <w:tblStyle w:val="Table-ShadedHeader"/>
        <w:tblW w:w="0" w:type="auto"/>
        <w:tblLook w:val="04A0" w:firstRow="1" w:lastRow="0" w:firstColumn="1" w:lastColumn="0" w:noHBand="0" w:noVBand="1"/>
      </w:tblPr>
      <w:tblGrid>
        <w:gridCol w:w="9475"/>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w:t>
            </w:r>
            <w:r>
              <w:rPr>
                <w:b/>
              </w:rPr>
              <w:t>le</w:t>
            </w:r>
            <w:r>
              <w:t xml:space="preserve"> (§3.1.3.1.2, fldSimple); </w:t>
            </w:r>
            <w:r>
              <w:rPr>
                <w:b/>
              </w:rPr>
              <w:t>hyperlink</w:t>
            </w:r>
            <w:r>
              <w:t xml:space="preserve"> (§</w:t>
            </w:r>
            <w:hyperlink w:anchor="Section_cc9e4bbd134f4d35b2c795fde8c633a7">
              <w:r>
                <w:rPr>
                  <w:rStyle w:val="Hyperlink"/>
                </w:rPr>
                <w:t>3.1.3.1.3, hyperlink</w:t>
              </w:r>
            </w:hyperlink>
            <w:r>
              <w:t xml:space="preserve">); </w:t>
            </w:r>
            <w:r>
              <w:rPr>
                <w:b/>
              </w:rPr>
              <w:t>rt</w:t>
            </w:r>
            <w:r>
              <w:t xml:space="preserve"> ("[ISO/IEC-29500-1]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6758"/>
        <w:gridCol w:w="2717"/>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Child Elements</w:t>
            </w:r>
          </w:p>
        </w:tc>
        <w:tc>
          <w:tcPr>
            <w:tcW w:w="0" w:type="auto"/>
            <w:vAlign w:val="center"/>
          </w:tcPr>
          <w:p w:rsidR="00024C0A" w:rsidRDefault="00694C0F">
            <w:pPr>
              <w:pStyle w:val="TableHeaderText"/>
            </w:pPr>
            <w:r>
              <w:t>Subclause</w:t>
            </w:r>
          </w:p>
        </w:tc>
      </w:tr>
      <w:tr w:rsidR="00024C0A" w:rsidTr="00024C0A">
        <w:tc>
          <w:tcPr>
            <w:tcW w:w="0" w:type="auto"/>
            <w:vAlign w:val="center"/>
          </w:tcPr>
          <w:p w:rsidR="00024C0A" w:rsidRDefault="00694C0F">
            <w:pPr>
              <w:pStyle w:val="TableBodyText"/>
            </w:pPr>
            <w:r>
              <w:rPr>
                <w:b/>
              </w:rPr>
              <w:t>acc</w:t>
            </w:r>
            <w:r>
              <w:t xml:space="preserve"> (Accent)</w:t>
            </w:r>
          </w:p>
        </w:tc>
        <w:tc>
          <w:tcPr>
            <w:tcW w:w="0" w:type="auto"/>
            <w:vAlign w:val="center"/>
          </w:tcPr>
          <w:p w:rsidR="00024C0A" w:rsidRDefault="00694C0F">
            <w:pPr>
              <w:pStyle w:val="TableBodyText"/>
            </w:pPr>
            <w:r>
              <w:t>"[ISO/IEC-29500-1] §22.1.2.1"</w:t>
            </w:r>
          </w:p>
        </w:tc>
      </w:tr>
      <w:tr w:rsidR="00024C0A" w:rsidTr="00024C0A">
        <w:tc>
          <w:tcPr>
            <w:tcW w:w="0" w:type="auto"/>
            <w:vAlign w:val="center"/>
          </w:tcPr>
          <w:p w:rsidR="00024C0A" w:rsidRDefault="00694C0F">
            <w:pPr>
              <w:pStyle w:val="TableBodyText"/>
            </w:pPr>
            <w:r>
              <w:rPr>
                <w:b/>
              </w:rPr>
              <w:t>bar</w:t>
            </w:r>
            <w:r>
              <w:t xml:space="preserve"> (Bar)</w:t>
            </w:r>
          </w:p>
        </w:tc>
        <w:tc>
          <w:tcPr>
            <w:tcW w:w="0" w:type="auto"/>
            <w:vAlign w:val="center"/>
          </w:tcPr>
          <w:p w:rsidR="00024C0A" w:rsidRDefault="00694C0F">
            <w:pPr>
              <w:pStyle w:val="TableBodyText"/>
            </w:pPr>
            <w:r>
              <w:t>"[ISO/IEC-29500-1] §22.1.2.7"</w:t>
            </w:r>
          </w:p>
        </w:tc>
      </w:tr>
      <w:tr w:rsidR="00024C0A" w:rsidTr="00024C0A">
        <w:tc>
          <w:tcPr>
            <w:tcW w:w="0" w:type="auto"/>
            <w:vAlign w:val="center"/>
          </w:tcPr>
          <w:p w:rsidR="00024C0A" w:rsidRDefault="00694C0F">
            <w:pPr>
              <w:pStyle w:val="TableBodyText"/>
            </w:pPr>
            <w:r>
              <w:rPr>
                <w:b/>
              </w:rPr>
              <w:t>bookmarkEnd</w:t>
            </w:r>
            <w:r>
              <w:t xml:space="preserve"> (Bookmark End)</w:t>
            </w:r>
          </w:p>
        </w:tc>
        <w:tc>
          <w:tcPr>
            <w:tcW w:w="0" w:type="auto"/>
            <w:vAlign w:val="center"/>
          </w:tcPr>
          <w:p w:rsidR="00024C0A" w:rsidRDefault="00694C0F">
            <w:pPr>
              <w:pStyle w:val="TableBodyText"/>
            </w:pPr>
            <w:r>
              <w:t>"[ISO/IEC-29500-1] §17.13.6.1"</w:t>
            </w:r>
          </w:p>
        </w:tc>
      </w:tr>
      <w:tr w:rsidR="00024C0A" w:rsidTr="00024C0A">
        <w:tc>
          <w:tcPr>
            <w:tcW w:w="0" w:type="auto"/>
            <w:vAlign w:val="center"/>
          </w:tcPr>
          <w:p w:rsidR="00024C0A" w:rsidRDefault="00694C0F">
            <w:pPr>
              <w:pStyle w:val="TableBodyText"/>
            </w:pPr>
            <w:r>
              <w:rPr>
                <w:b/>
              </w:rPr>
              <w:t>bookmarkStart</w:t>
            </w:r>
            <w:r>
              <w:t xml:space="preserve"> (Bookmark Start)</w:t>
            </w:r>
          </w:p>
        </w:tc>
        <w:tc>
          <w:tcPr>
            <w:tcW w:w="0" w:type="auto"/>
            <w:vAlign w:val="center"/>
          </w:tcPr>
          <w:p w:rsidR="00024C0A" w:rsidRDefault="00694C0F">
            <w:pPr>
              <w:pStyle w:val="TableBodyText"/>
            </w:pPr>
            <w:r>
              <w:t>"</w:t>
            </w:r>
            <w:r>
              <w:t>[ISO/IEC-29500-1] §17.13.6.2"</w:t>
            </w:r>
          </w:p>
        </w:tc>
      </w:tr>
      <w:tr w:rsidR="00024C0A" w:rsidTr="00024C0A">
        <w:tc>
          <w:tcPr>
            <w:tcW w:w="0" w:type="auto"/>
            <w:vAlign w:val="center"/>
          </w:tcPr>
          <w:p w:rsidR="00024C0A" w:rsidRDefault="00694C0F">
            <w:pPr>
              <w:pStyle w:val="TableBodyText"/>
            </w:pPr>
            <w:r>
              <w:rPr>
                <w:b/>
              </w:rPr>
              <w:t>borderBox</w:t>
            </w:r>
            <w:r>
              <w:t xml:space="preserve"> (Border-Box Object)</w:t>
            </w:r>
          </w:p>
        </w:tc>
        <w:tc>
          <w:tcPr>
            <w:tcW w:w="0" w:type="auto"/>
            <w:vAlign w:val="center"/>
          </w:tcPr>
          <w:p w:rsidR="00024C0A" w:rsidRDefault="00694C0F">
            <w:pPr>
              <w:pStyle w:val="TableBodyText"/>
            </w:pPr>
            <w:r>
              <w:t>"[ISO/IEC-29500-1] §22.1.2.11"</w:t>
            </w:r>
          </w:p>
        </w:tc>
      </w:tr>
      <w:tr w:rsidR="00024C0A" w:rsidTr="00024C0A">
        <w:tc>
          <w:tcPr>
            <w:tcW w:w="0" w:type="auto"/>
            <w:vAlign w:val="center"/>
          </w:tcPr>
          <w:p w:rsidR="00024C0A" w:rsidRDefault="00694C0F">
            <w:pPr>
              <w:pStyle w:val="TableBodyText"/>
            </w:pPr>
            <w:r>
              <w:rPr>
                <w:b/>
              </w:rPr>
              <w:t>box</w:t>
            </w:r>
            <w:r>
              <w:t xml:space="preserve"> (Box Object)</w:t>
            </w:r>
          </w:p>
        </w:tc>
        <w:tc>
          <w:tcPr>
            <w:tcW w:w="0" w:type="auto"/>
            <w:vAlign w:val="center"/>
          </w:tcPr>
          <w:p w:rsidR="00024C0A" w:rsidRDefault="00694C0F">
            <w:pPr>
              <w:pStyle w:val="TableBodyText"/>
            </w:pPr>
            <w:r>
              <w:t>"[ISO/IEC-29500-1] §22.1.2.13"</w:t>
            </w:r>
          </w:p>
        </w:tc>
      </w:tr>
      <w:tr w:rsidR="00024C0A" w:rsidTr="00024C0A">
        <w:tc>
          <w:tcPr>
            <w:tcW w:w="0" w:type="auto"/>
            <w:vAlign w:val="center"/>
          </w:tcPr>
          <w:p w:rsidR="00024C0A" w:rsidRDefault="00694C0F">
            <w:pPr>
              <w:pStyle w:val="TableBodyText"/>
            </w:pPr>
            <w:r>
              <w:rPr>
                <w:b/>
              </w:rPr>
              <w:t>commentRangeEnd</w:t>
            </w:r>
            <w:r>
              <w:t xml:space="preserve"> (Comment Anchor Range End)</w:t>
            </w:r>
          </w:p>
        </w:tc>
        <w:tc>
          <w:tcPr>
            <w:tcW w:w="0" w:type="auto"/>
            <w:vAlign w:val="center"/>
          </w:tcPr>
          <w:p w:rsidR="00024C0A" w:rsidRDefault="00694C0F">
            <w:pPr>
              <w:pStyle w:val="TableBodyText"/>
            </w:pPr>
            <w:r>
              <w:t>"[ISO/IEC-29500-1] §17.13.4.3"</w:t>
            </w:r>
          </w:p>
        </w:tc>
      </w:tr>
      <w:tr w:rsidR="00024C0A" w:rsidTr="00024C0A">
        <w:tc>
          <w:tcPr>
            <w:tcW w:w="0" w:type="auto"/>
            <w:vAlign w:val="center"/>
          </w:tcPr>
          <w:p w:rsidR="00024C0A" w:rsidRDefault="00694C0F">
            <w:pPr>
              <w:pStyle w:val="TableBodyText"/>
            </w:pPr>
            <w:r>
              <w:rPr>
                <w:b/>
              </w:rPr>
              <w:t>commentRangeStart</w:t>
            </w:r>
            <w:r>
              <w:t xml:space="preserve"> (Comment Anchor Range Start)</w:t>
            </w:r>
          </w:p>
        </w:tc>
        <w:tc>
          <w:tcPr>
            <w:tcW w:w="0" w:type="auto"/>
            <w:vAlign w:val="center"/>
          </w:tcPr>
          <w:p w:rsidR="00024C0A" w:rsidRDefault="00694C0F">
            <w:pPr>
              <w:pStyle w:val="TableBodyText"/>
            </w:pPr>
            <w:r>
              <w:t>"[ISO/IEC-29500-1] §17.13.4.4"</w:t>
            </w:r>
          </w:p>
        </w:tc>
      </w:tr>
      <w:tr w:rsidR="00024C0A" w:rsidTr="00024C0A">
        <w:tc>
          <w:tcPr>
            <w:tcW w:w="0" w:type="auto"/>
            <w:vAlign w:val="center"/>
          </w:tcPr>
          <w:p w:rsidR="00024C0A" w:rsidRDefault="00694C0F">
            <w:pPr>
              <w:pStyle w:val="TableBodyText"/>
            </w:pPr>
            <w:r>
              <w:rPr>
                <w:b/>
              </w:rPr>
              <w:lastRenderedPageBreak/>
              <w:t>customXml</w:t>
            </w:r>
            <w:r>
              <w:t xml:space="preserve"> (Ruby Inline-Level Custom XML Element)</w:t>
            </w:r>
          </w:p>
        </w:tc>
        <w:tc>
          <w:tcPr>
            <w:tcW w:w="0" w:type="auto"/>
            <w:vAlign w:val="center"/>
          </w:tcPr>
          <w:p w:rsidR="00024C0A" w:rsidRDefault="00694C0F">
            <w:pPr>
              <w:pStyle w:val="TableBodyText"/>
            </w:pPr>
            <w:r>
              <w:t>§3.1.3.1.1, customXml</w:t>
            </w:r>
          </w:p>
        </w:tc>
      </w:tr>
      <w:tr w:rsidR="00024C0A" w:rsidTr="00024C0A">
        <w:tc>
          <w:tcPr>
            <w:tcW w:w="0" w:type="auto"/>
            <w:vAlign w:val="center"/>
          </w:tcPr>
          <w:p w:rsidR="00024C0A" w:rsidRDefault="00694C0F">
            <w:pPr>
              <w:pStyle w:val="TableBodyText"/>
            </w:pPr>
            <w:r>
              <w:rPr>
                <w:b/>
              </w:rPr>
              <w:t>customXmlDelRangeEnd</w:t>
            </w:r>
            <w:r>
              <w:t xml:space="preserve"> (Custom XML Markup Deletion End)</w:t>
            </w:r>
          </w:p>
        </w:tc>
        <w:tc>
          <w:tcPr>
            <w:tcW w:w="0" w:type="auto"/>
            <w:vAlign w:val="center"/>
          </w:tcPr>
          <w:p w:rsidR="00024C0A" w:rsidRDefault="00694C0F">
            <w:pPr>
              <w:pStyle w:val="TableBodyText"/>
            </w:pPr>
            <w:r>
              <w:t>"[ISO/IEC-29500-1] §17.13.5.4"</w:t>
            </w:r>
          </w:p>
        </w:tc>
      </w:tr>
      <w:tr w:rsidR="00024C0A" w:rsidTr="00024C0A">
        <w:tc>
          <w:tcPr>
            <w:tcW w:w="0" w:type="auto"/>
            <w:vAlign w:val="center"/>
          </w:tcPr>
          <w:p w:rsidR="00024C0A" w:rsidRDefault="00694C0F">
            <w:pPr>
              <w:pStyle w:val="TableBodyText"/>
            </w:pPr>
            <w:r>
              <w:rPr>
                <w:b/>
              </w:rPr>
              <w:t>customXmlDelRangeStart</w:t>
            </w:r>
            <w:r>
              <w:t xml:space="preserve"> (Custom XML M</w:t>
            </w:r>
            <w:r>
              <w:t>arkup Deletion Start)</w:t>
            </w:r>
          </w:p>
        </w:tc>
        <w:tc>
          <w:tcPr>
            <w:tcW w:w="0" w:type="auto"/>
            <w:vAlign w:val="center"/>
          </w:tcPr>
          <w:p w:rsidR="00024C0A" w:rsidRDefault="00694C0F">
            <w:pPr>
              <w:pStyle w:val="TableBodyText"/>
            </w:pPr>
            <w:r>
              <w:t>"[ISO/IEC-29500-1] §17.13.5.5"</w:t>
            </w:r>
          </w:p>
        </w:tc>
      </w:tr>
      <w:tr w:rsidR="00024C0A" w:rsidTr="00024C0A">
        <w:tc>
          <w:tcPr>
            <w:tcW w:w="0" w:type="auto"/>
            <w:vAlign w:val="center"/>
          </w:tcPr>
          <w:p w:rsidR="00024C0A" w:rsidRDefault="00694C0F">
            <w:pPr>
              <w:pStyle w:val="TableBodyText"/>
            </w:pPr>
            <w:r>
              <w:rPr>
                <w:b/>
              </w:rPr>
              <w:t>customXmlInsRangeEnd</w:t>
            </w:r>
            <w:r>
              <w:t xml:space="preserve"> (Custom XML Markup Insertion End)</w:t>
            </w:r>
          </w:p>
        </w:tc>
        <w:tc>
          <w:tcPr>
            <w:tcW w:w="0" w:type="auto"/>
            <w:vAlign w:val="center"/>
          </w:tcPr>
          <w:p w:rsidR="00024C0A" w:rsidRDefault="00694C0F">
            <w:pPr>
              <w:pStyle w:val="TableBodyText"/>
            </w:pPr>
            <w:r>
              <w:t>"[ISO/IEC-29500-1] §17.13.5.6"</w:t>
            </w:r>
          </w:p>
        </w:tc>
      </w:tr>
      <w:tr w:rsidR="00024C0A" w:rsidTr="00024C0A">
        <w:tc>
          <w:tcPr>
            <w:tcW w:w="0" w:type="auto"/>
            <w:vAlign w:val="center"/>
          </w:tcPr>
          <w:p w:rsidR="00024C0A" w:rsidRDefault="00694C0F">
            <w:pPr>
              <w:pStyle w:val="TableBodyText"/>
            </w:pPr>
            <w:r>
              <w:rPr>
                <w:b/>
              </w:rPr>
              <w:t>customXmlInsRangeStart</w:t>
            </w:r>
            <w:r>
              <w:t xml:space="preserve"> (Custom XML Markup Insertion Start)</w:t>
            </w:r>
          </w:p>
        </w:tc>
        <w:tc>
          <w:tcPr>
            <w:tcW w:w="0" w:type="auto"/>
            <w:vAlign w:val="center"/>
          </w:tcPr>
          <w:p w:rsidR="00024C0A" w:rsidRDefault="00694C0F">
            <w:pPr>
              <w:pStyle w:val="TableBodyText"/>
            </w:pPr>
            <w:r>
              <w:t>"[ISO/IEC-29500-1] §17.13.5.7"</w:t>
            </w:r>
          </w:p>
        </w:tc>
      </w:tr>
      <w:tr w:rsidR="00024C0A" w:rsidTr="00024C0A">
        <w:tc>
          <w:tcPr>
            <w:tcW w:w="0" w:type="auto"/>
            <w:vAlign w:val="center"/>
          </w:tcPr>
          <w:p w:rsidR="00024C0A" w:rsidRDefault="00694C0F">
            <w:pPr>
              <w:pStyle w:val="TableBodyText"/>
            </w:pPr>
            <w:r>
              <w:rPr>
                <w:b/>
              </w:rPr>
              <w:t>customXmlMoveFromRangeEn</w:t>
            </w:r>
            <w:r>
              <w:rPr>
                <w:b/>
              </w:rPr>
              <w:t>d</w:t>
            </w:r>
            <w:r>
              <w:t xml:space="preserve"> (Custom XML Markup Move Source End)</w:t>
            </w:r>
          </w:p>
        </w:tc>
        <w:tc>
          <w:tcPr>
            <w:tcW w:w="0" w:type="auto"/>
            <w:vAlign w:val="center"/>
          </w:tcPr>
          <w:p w:rsidR="00024C0A" w:rsidRDefault="00694C0F">
            <w:pPr>
              <w:pStyle w:val="TableBodyText"/>
            </w:pPr>
            <w:r>
              <w:t>"[ISO/IEC-29500-1] §17.13.5.8"</w:t>
            </w:r>
          </w:p>
        </w:tc>
      </w:tr>
      <w:tr w:rsidR="00024C0A" w:rsidTr="00024C0A">
        <w:tc>
          <w:tcPr>
            <w:tcW w:w="0" w:type="auto"/>
            <w:vAlign w:val="center"/>
          </w:tcPr>
          <w:p w:rsidR="00024C0A" w:rsidRDefault="00694C0F">
            <w:pPr>
              <w:pStyle w:val="TableBodyText"/>
            </w:pPr>
            <w:r>
              <w:rPr>
                <w:b/>
              </w:rPr>
              <w:t>customXmlMoveFromRangeStart</w:t>
            </w:r>
            <w:r>
              <w:t xml:space="preserve"> (Custom XML Markup Move Source Start)</w:t>
            </w:r>
          </w:p>
        </w:tc>
        <w:tc>
          <w:tcPr>
            <w:tcW w:w="0" w:type="auto"/>
            <w:vAlign w:val="center"/>
          </w:tcPr>
          <w:p w:rsidR="00024C0A" w:rsidRDefault="00694C0F">
            <w:pPr>
              <w:pStyle w:val="TableBodyText"/>
            </w:pPr>
            <w:r>
              <w:t>"[ISO/IEC-29500-1] §17.13.5.9"</w:t>
            </w:r>
          </w:p>
        </w:tc>
      </w:tr>
      <w:tr w:rsidR="00024C0A" w:rsidTr="00024C0A">
        <w:tc>
          <w:tcPr>
            <w:tcW w:w="0" w:type="auto"/>
            <w:vAlign w:val="center"/>
          </w:tcPr>
          <w:p w:rsidR="00024C0A" w:rsidRDefault="00694C0F">
            <w:pPr>
              <w:pStyle w:val="TableBodyText"/>
            </w:pPr>
            <w:r>
              <w:rPr>
                <w:b/>
              </w:rPr>
              <w:t>customXmlMoveToRangeEnd</w:t>
            </w:r>
            <w:r>
              <w:t xml:space="preserve"> (Custom XML Markup Move Destination Location End)</w:t>
            </w:r>
          </w:p>
        </w:tc>
        <w:tc>
          <w:tcPr>
            <w:tcW w:w="0" w:type="auto"/>
            <w:vAlign w:val="center"/>
          </w:tcPr>
          <w:p w:rsidR="00024C0A" w:rsidRDefault="00694C0F">
            <w:pPr>
              <w:pStyle w:val="TableBodyText"/>
            </w:pPr>
            <w:r>
              <w:t>"</w:t>
            </w:r>
            <w:r>
              <w:t>[ISO/IEC-29500-1] §17.13.5.10"</w:t>
            </w:r>
          </w:p>
        </w:tc>
      </w:tr>
      <w:tr w:rsidR="00024C0A" w:rsidTr="00024C0A">
        <w:tc>
          <w:tcPr>
            <w:tcW w:w="0" w:type="auto"/>
            <w:vAlign w:val="center"/>
          </w:tcPr>
          <w:p w:rsidR="00024C0A" w:rsidRDefault="00694C0F">
            <w:pPr>
              <w:pStyle w:val="TableBodyText"/>
            </w:pPr>
            <w:r>
              <w:rPr>
                <w:b/>
              </w:rPr>
              <w:t>customXmlMoveToRangeStart</w:t>
            </w:r>
            <w:r>
              <w:t xml:space="preserve"> (Custom XML Markup Move Destination Location Start)</w:t>
            </w:r>
          </w:p>
        </w:tc>
        <w:tc>
          <w:tcPr>
            <w:tcW w:w="0" w:type="auto"/>
            <w:vAlign w:val="center"/>
          </w:tcPr>
          <w:p w:rsidR="00024C0A" w:rsidRDefault="00694C0F">
            <w:pPr>
              <w:pStyle w:val="TableBodyText"/>
            </w:pPr>
            <w:r>
              <w:t>"[ISO/IEC-29500-1] §17.13.5.11"</w:t>
            </w:r>
          </w:p>
        </w:tc>
      </w:tr>
      <w:tr w:rsidR="00024C0A" w:rsidTr="00024C0A">
        <w:tc>
          <w:tcPr>
            <w:tcW w:w="0" w:type="auto"/>
            <w:vAlign w:val="center"/>
          </w:tcPr>
          <w:p w:rsidR="00024C0A" w:rsidRDefault="00694C0F">
            <w:pPr>
              <w:pStyle w:val="TableBodyText"/>
            </w:pPr>
            <w:r>
              <w:rPr>
                <w:b/>
              </w:rPr>
              <w:t>d</w:t>
            </w:r>
            <w:r>
              <w:t xml:space="preserve"> (Delimiter Object)</w:t>
            </w:r>
          </w:p>
        </w:tc>
        <w:tc>
          <w:tcPr>
            <w:tcW w:w="0" w:type="auto"/>
            <w:vAlign w:val="center"/>
          </w:tcPr>
          <w:p w:rsidR="00024C0A" w:rsidRDefault="00694C0F">
            <w:pPr>
              <w:pStyle w:val="TableBodyText"/>
            </w:pPr>
            <w:r>
              <w:t>"[ISO/IEC-29500-1] §22.1.2.24"</w:t>
            </w:r>
          </w:p>
        </w:tc>
      </w:tr>
      <w:tr w:rsidR="00024C0A" w:rsidTr="00024C0A">
        <w:tc>
          <w:tcPr>
            <w:tcW w:w="0" w:type="auto"/>
            <w:vAlign w:val="center"/>
          </w:tcPr>
          <w:p w:rsidR="00024C0A" w:rsidRDefault="00694C0F">
            <w:pPr>
              <w:pStyle w:val="TableBodyText"/>
            </w:pPr>
            <w:r>
              <w:rPr>
                <w:b/>
              </w:rPr>
              <w:t>del</w:t>
            </w:r>
            <w:r>
              <w:t xml:space="preserve"> (Deleted Run Content)</w:t>
            </w:r>
          </w:p>
        </w:tc>
        <w:tc>
          <w:tcPr>
            <w:tcW w:w="0" w:type="auto"/>
            <w:vAlign w:val="center"/>
          </w:tcPr>
          <w:p w:rsidR="00024C0A" w:rsidRDefault="00694C0F">
            <w:pPr>
              <w:pStyle w:val="TableBodyText"/>
            </w:pPr>
            <w:r>
              <w:t>"[ISO/IEC-29500-1] §17.13.5.14"</w:t>
            </w:r>
          </w:p>
        </w:tc>
      </w:tr>
      <w:tr w:rsidR="00024C0A" w:rsidTr="00024C0A">
        <w:tc>
          <w:tcPr>
            <w:tcW w:w="0" w:type="auto"/>
            <w:vAlign w:val="center"/>
          </w:tcPr>
          <w:p w:rsidR="00024C0A" w:rsidRDefault="00694C0F">
            <w:pPr>
              <w:pStyle w:val="TableBodyText"/>
            </w:pPr>
            <w:r>
              <w:rPr>
                <w:b/>
              </w:rPr>
              <w:t>eqArr</w:t>
            </w:r>
            <w:r>
              <w:t xml:space="preserve"> (Array Object)</w:t>
            </w:r>
          </w:p>
        </w:tc>
        <w:tc>
          <w:tcPr>
            <w:tcW w:w="0" w:type="auto"/>
            <w:vAlign w:val="center"/>
          </w:tcPr>
          <w:p w:rsidR="00024C0A" w:rsidRDefault="00694C0F">
            <w:pPr>
              <w:pStyle w:val="TableBodyText"/>
            </w:pPr>
            <w:r>
              <w:t>"[ISO/IEC-29500-1] §22.1.2.34"</w:t>
            </w:r>
          </w:p>
        </w:tc>
      </w:tr>
      <w:tr w:rsidR="00024C0A" w:rsidTr="00024C0A">
        <w:tc>
          <w:tcPr>
            <w:tcW w:w="0" w:type="auto"/>
            <w:vAlign w:val="center"/>
          </w:tcPr>
          <w:p w:rsidR="00024C0A" w:rsidRDefault="00694C0F">
            <w:pPr>
              <w:pStyle w:val="TableBodyText"/>
            </w:pPr>
            <w:r>
              <w:rPr>
                <w:b/>
              </w:rPr>
              <w:t>f</w:t>
            </w:r>
            <w:r>
              <w:t xml:space="preserve"> (Fraction Object)</w:t>
            </w:r>
          </w:p>
        </w:tc>
        <w:tc>
          <w:tcPr>
            <w:tcW w:w="0" w:type="auto"/>
            <w:vAlign w:val="center"/>
          </w:tcPr>
          <w:p w:rsidR="00024C0A" w:rsidRDefault="00694C0F">
            <w:pPr>
              <w:pStyle w:val="TableBodyText"/>
            </w:pPr>
            <w:r>
              <w:t>"[ISO/IEC-29500-1] §22.1.2.36"</w:t>
            </w:r>
          </w:p>
        </w:tc>
      </w:tr>
      <w:tr w:rsidR="00024C0A" w:rsidTr="00024C0A">
        <w:tc>
          <w:tcPr>
            <w:tcW w:w="0" w:type="auto"/>
            <w:vAlign w:val="center"/>
          </w:tcPr>
          <w:p w:rsidR="00024C0A" w:rsidRDefault="00694C0F">
            <w:pPr>
              <w:pStyle w:val="TableBodyText"/>
            </w:pPr>
            <w:r>
              <w:rPr>
                <w:b/>
              </w:rPr>
              <w:t>fldData</w:t>
            </w:r>
            <w:r>
              <w:t xml:space="preserve"> (Custom Field Data)</w:t>
            </w:r>
          </w:p>
        </w:tc>
        <w:tc>
          <w:tcPr>
            <w:tcW w:w="0" w:type="auto"/>
            <w:vAlign w:val="center"/>
          </w:tcPr>
          <w:p w:rsidR="00024C0A" w:rsidRDefault="00694C0F">
            <w:pPr>
              <w:pStyle w:val="TableBodyText"/>
            </w:pPr>
            <w:r>
              <w:t>"</w:t>
            </w:r>
            <w:hyperlink r:id="rId284">
              <w:r>
                <w:rPr>
                  <w:rStyle w:val="Hyperlink"/>
                </w:rPr>
                <w:t>[ISO/IEC-29500-4]</w:t>
              </w:r>
            </w:hyperlink>
            <w:r>
              <w:t xml:space="preserve"> §14.9.6"</w:t>
            </w:r>
          </w:p>
        </w:tc>
      </w:tr>
      <w:tr w:rsidR="00024C0A" w:rsidTr="00024C0A">
        <w:tc>
          <w:tcPr>
            <w:tcW w:w="0" w:type="auto"/>
            <w:vAlign w:val="center"/>
          </w:tcPr>
          <w:p w:rsidR="00024C0A" w:rsidRDefault="00694C0F">
            <w:pPr>
              <w:pStyle w:val="TableBodyText"/>
            </w:pPr>
            <w:r>
              <w:rPr>
                <w:b/>
              </w:rPr>
              <w:t>fldSimple</w:t>
            </w:r>
            <w:r>
              <w:t xml:space="preserve"> (Ruby Simple Field</w:t>
            </w:r>
            <w:r>
              <w:t>)</w:t>
            </w:r>
          </w:p>
        </w:tc>
        <w:tc>
          <w:tcPr>
            <w:tcW w:w="0" w:type="auto"/>
            <w:vAlign w:val="center"/>
          </w:tcPr>
          <w:p w:rsidR="00024C0A" w:rsidRDefault="00694C0F">
            <w:pPr>
              <w:pStyle w:val="TableBodyText"/>
            </w:pPr>
            <w:r>
              <w:t>§3.1.3.1.2, fldSimple</w:t>
            </w:r>
          </w:p>
        </w:tc>
      </w:tr>
      <w:tr w:rsidR="00024C0A" w:rsidTr="00024C0A">
        <w:tc>
          <w:tcPr>
            <w:tcW w:w="0" w:type="auto"/>
            <w:vAlign w:val="center"/>
          </w:tcPr>
          <w:p w:rsidR="00024C0A" w:rsidRDefault="00694C0F">
            <w:pPr>
              <w:pStyle w:val="TableBodyText"/>
            </w:pPr>
            <w:r>
              <w:rPr>
                <w:b/>
              </w:rPr>
              <w:t>func</w:t>
            </w:r>
            <w:r>
              <w:t xml:space="preserve"> (Function Apply Object)</w:t>
            </w:r>
          </w:p>
        </w:tc>
        <w:tc>
          <w:tcPr>
            <w:tcW w:w="0" w:type="auto"/>
            <w:vAlign w:val="center"/>
          </w:tcPr>
          <w:p w:rsidR="00024C0A" w:rsidRDefault="00694C0F">
            <w:pPr>
              <w:pStyle w:val="TableBodyText"/>
            </w:pPr>
            <w:r>
              <w:t>"[ISO/IEC-29500-1] §22.1.2.39"</w:t>
            </w:r>
          </w:p>
        </w:tc>
      </w:tr>
      <w:tr w:rsidR="00024C0A" w:rsidTr="00024C0A">
        <w:tc>
          <w:tcPr>
            <w:tcW w:w="0" w:type="auto"/>
            <w:vAlign w:val="center"/>
          </w:tcPr>
          <w:p w:rsidR="00024C0A" w:rsidRDefault="00694C0F">
            <w:pPr>
              <w:pStyle w:val="TableBodyText"/>
            </w:pPr>
            <w:r>
              <w:rPr>
                <w:b/>
              </w:rPr>
              <w:t>groupChr</w:t>
            </w:r>
            <w:r>
              <w:t xml:space="preserve"> (Group-Character Object)</w:t>
            </w:r>
          </w:p>
        </w:tc>
        <w:tc>
          <w:tcPr>
            <w:tcW w:w="0" w:type="auto"/>
            <w:vAlign w:val="center"/>
          </w:tcPr>
          <w:p w:rsidR="00024C0A" w:rsidRDefault="00694C0F">
            <w:pPr>
              <w:pStyle w:val="TableBodyText"/>
            </w:pPr>
            <w:r>
              <w:t>"[ISO/IEC-29500-1] §22.1.2.41"</w:t>
            </w:r>
          </w:p>
        </w:tc>
      </w:tr>
      <w:tr w:rsidR="00024C0A" w:rsidTr="00024C0A">
        <w:tc>
          <w:tcPr>
            <w:tcW w:w="0" w:type="auto"/>
            <w:vAlign w:val="center"/>
          </w:tcPr>
          <w:p w:rsidR="00024C0A" w:rsidRDefault="00694C0F">
            <w:pPr>
              <w:pStyle w:val="TableBodyText"/>
            </w:pPr>
            <w:r>
              <w:rPr>
                <w:b/>
              </w:rPr>
              <w:t>hyperlink</w:t>
            </w:r>
            <w:r>
              <w:t xml:space="preserve"> (Ruby Hyperlink)</w:t>
            </w:r>
          </w:p>
        </w:tc>
        <w:tc>
          <w:tcPr>
            <w:tcW w:w="0" w:type="auto"/>
            <w:vAlign w:val="center"/>
          </w:tcPr>
          <w:p w:rsidR="00024C0A" w:rsidRDefault="00694C0F">
            <w:pPr>
              <w:pStyle w:val="TableBodyText"/>
            </w:pPr>
            <w:r>
              <w:t>§3.1.3.1.3, hyperlink</w:t>
            </w:r>
          </w:p>
        </w:tc>
      </w:tr>
      <w:tr w:rsidR="00024C0A" w:rsidTr="00024C0A">
        <w:tc>
          <w:tcPr>
            <w:tcW w:w="0" w:type="auto"/>
            <w:vAlign w:val="center"/>
          </w:tcPr>
          <w:p w:rsidR="00024C0A" w:rsidRDefault="00694C0F">
            <w:pPr>
              <w:pStyle w:val="TableBodyText"/>
            </w:pPr>
            <w:r>
              <w:rPr>
                <w:b/>
              </w:rPr>
              <w:t>ins</w:t>
            </w:r>
            <w:r>
              <w:t xml:space="preserve"> (Inserted Run Content)</w:t>
            </w:r>
          </w:p>
        </w:tc>
        <w:tc>
          <w:tcPr>
            <w:tcW w:w="0" w:type="auto"/>
            <w:vAlign w:val="center"/>
          </w:tcPr>
          <w:p w:rsidR="00024C0A" w:rsidRDefault="00694C0F">
            <w:pPr>
              <w:pStyle w:val="TableBodyText"/>
            </w:pPr>
            <w:r>
              <w:t>"[ISO/IEC-29500-1]</w:t>
            </w:r>
            <w:r>
              <w:t xml:space="preserve"> §17.13.5.18"</w:t>
            </w:r>
          </w:p>
        </w:tc>
      </w:tr>
      <w:tr w:rsidR="00024C0A" w:rsidTr="00024C0A">
        <w:tc>
          <w:tcPr>
            <w:tcW w:w="0" w:type="auto"/>
            <w:vAlign w:val="center"/>
          </w:tcPr>
          <w:p w:rsidR="00024C0A" w:rsidRDefault="00694C0F">
            <w:pPr>
              <w:pStyle w:val="TableBodyText"/>
            </w:pPr>
            <w:r>
              <w:rPr>
                <w:b/>
              </w:rPr>
              <w:t>limLow</w:t>
            </w:r>
            <w:r>
              <w:t xml:space="preserve"> (Lower-Limit Object)</w:t>
            </w:r>
          </w:p>
        </w:tc>
        <w:tc>
          <w:tcPr>
            <w:tcW w:w="0" w:type="auto"/>
            <w:vAlign w:val="center"/>
          </w:tcPr>
          <w:p w:rsidR="00024C0A" w:rsidRDefault="00694C0F">
            <w:pPr>
              <w:pStyle w:val="TableBodyText"/>
            </w:pPr>
            <w:r>
              <w:t>"[ISO/IEC-29500-1] §22.1.2.54"</w:t>
            </w:r>
          </w:p>
        </w:tc>
      </w:tr>
      <w:tr w:rsidR="00024C0A" w:rsidTr="00024C0A">
        <w:tc>
          <w:tcPr>
            <w:tcW w:w="0" w:type="auto"/>
            <w:vAlign w:val="center"/>
          </w:tcPr>
          <w:p w:rsidR="00024C0A" w:rsidRDefault="00694C0F">
            <w:pPr>
              <w:pStyle w:val="TableBodyText"/>
            </w:pPr>
            <w:r>
              <w:rPr>
                <w:b/>
              </w:rPr>
              <w:t>limUpp</w:t>
            </w:r>
            <w:r>
              <w:t xml:space="preserve"> (Upper-Limit Object)</w:t>
            </w:r>
          </w:p>
        </w:tc>
        <w:tc>
          <w:tcPr>
            <w:tcW w:w="0" w:type="auto"/>
            <w:vAlign w:val="center"/>
          </w:tcPr>
          <w:p w:rsidR="00024C0A" w:rsidRDefault="00694C0F">
            <w:pPr>
              <w:pStyle w:val="TableBodyText"/>
            </w:pPr>
            <w:r>
              <w:t>"[ISO/IEC-29500-1] §22.1.2.56"</w:t>
            </w:r>
          </w:p>
        </w:tc>
      </w:tr>
      <w:tr w:rsidR="00024C0A" w:rsidTr="00024C0A">
        <w:tc>
          <w:tcPr>
            <w:tcW w:w="0" w:type="auto"/>
            <w:vAlign w:val="center"/>
          </w:tcPr>
          <w:p w:rsidR="00024C0A" w:rsidRDefault="00694C0F">
            <w:pPr>
              <w:pStyle w:val="TableBodyText"/>
            </w:pPr>
            <w:r>
              <w:rPr>
                <w:b/>
              </w:rPr>
              <w:t>m</w:t>
            </w:r>
            <w:r>
              <w:t xml:space="preserve"> (Matrix Object)</w:t>
            </w:r>
          </w:p>
        </w:tc>
        <w:tc>
          <w:tcPr>
            <w:tcW w:w="0" w:type="auto"/>
            <w:vAlign w:val="center"/>
          </w:tcPr>
          <w:p w:rsidR="00024C0A" w:rsidRDefault="00694C0F">
            <w:pPr>
              <w:pStyle w:val="TableBodyText"/>
            </w:pPr>
            <w:r>
              <w:t>"[ISO/IEC-29500-1] §22.1.2.60"</w:t>
            </w:r>
          </w:p>
        </w:tc>
      </w:tr>
      <w:tr w:rsidR="00024C0A" w:rsidTr="00024C0A">
        <w:tc>
          <w:tcPr>
            <w:tcW w:w="0" w:type="auto"/>
            <w:vAlign w:val="center"/>
          </w:tcPr>
          <w:p w:rsidR="00024C0A" w:rsidRDefault="00694C0F">
            <w:pPr>
              <w:pStyle w:val="TableBodyText"/>
            </w:pPr>
            <w:r>
              <w:rPr>
                <w:b/>
              </w:rPr>
              <w:t>moveFrom</w:t>
            </w:r>
            <w:r>
              <w:t xml:space="preserve"> (Move Source Run Content)</w:t>
            </w:r>
          </w:p>
        </w:tc>
        <w:tc>
          <w:tcPr>
            <w:tcW w:w="0" w:type="auto"/>
            <w:vAlign w:val="center"/>
          </w:tcPr>
          <w:p w:rsidR="00024C0A" w:rsidRDefault="00694C0F">
            <w:pPr>
              <w:pStyle w:val="TableBodyText"/>
            </w:pPr>
            <w:r>
              <w:t xml:space="preserve">"[ISO/IEC-29500-1] </w:t>
            </w:r>
            <w:r>
              <w:lastRenderedPageBreak/>
              <w:t>§17.13.5.22"</w:t>
            </w:r>
          </w:p>
        </w:tc>
      </w:tr>
      <w:tr w:rsidR="00024C0A" w:rsidTr="00024C0A">
        <w:tc>
          <w:tcPr>
            <w:tcW w:w="0" w:type="auto"/>
            <w:vAlign w:val="center"/>
          </w:tcPr>
          <w:p w:rsidR="00024C0A" w:rsidRDefault="00694C0F">
            <w:pPr>
              <w:pStyle w:val="TableBodyText"/>
            </w:pPr>
            <w:r>
              <w:rPr>
                <w:b/>
              </w:rPr>
              <w:lastRenderedPageBreak/>
              <w:t>moveFromRangeEnd</w:t>
            </w:r>
            <w:r>
              <w:t xml:space="preserve"> (Move Source Location Container - End)</w:t>
            </w:r>
          </w:p>
        </w:tc>
        <w:tc>
          <w:tcPr>
            <w:tcW w:w="0" w:type="auto"/>
            <w:vAlign w:val="center"/>
          </w:tcPr>
          <w:p w:rsidR="00024C0A" w:rsidRDefault="00694C0F">
            <w:pPr>
              <w:pStyle w:val="TableBodyText"/>
            </w:pPr>
            <w:r>
              <w:t>"[ISO/IEC-29500-1] §17.13.5.23"</w:t>
            </w:r>
          </w:p>
        </w:tc>
      </w:tr>
      <w:tr w:rsidR="00024C0A" w:rsidTr="00024C0A">
        <w:tc>
          <w:tcPr>
            <w:tcW w:w="0" w:type="auto"/>
            <w:vAlign w:val="center"/>
          </w:tcPr>
          <w:p w:rsidR="00024C0A" w:rsidRDefault="00694C0F">
            <w:pPr>
              <w:pStyle w:val="TableBodyText"/>
            </w:pPr>
            <w:r>
              <w:rPr>
                <w:b/>
              </w:rPr>
              <w:t>moveFromRangeStart</w:t>
            </w:r>
            <w:r>
              <w:t xml:space="preserve"> (Move Source Location Container - Start)</w:t>
            </w:r>
          </w:p>
        </w:tc>
        <w:tc>
          <w:tcPr>
            <w:tcW w:w="0" w:type="auto"/>
            <w:vAlign w:val="center"/>
          </w:tcPr>
          <w:p w:rsidR="00024C0A" w:rsidRDefault="00694C0F">
            <w:pPr>
              <w:pStyle w:val="TableBodyText"/>
            </w:pPr>
            <w:r>
              <w:t>"[ISO/IEC-29500-1] §17.13.5.24"</w:t>
            </w:r>
          </w:p>
        </w:tc>
      </w:tr>
      <w:tr w:rsidR="00024C0A" w:rsidTr="00024C0A">
        <w:tc>
          <w:tcPr>
            <w:tcW w:w="0" w:type="auto"/>
            <w:vAlign w:val="center"/>
          </w:tcPr>
          <w:p w:rsidR="00024C0A" w:rsidRDefault="00694C0F">
            <w:pPr>
              <w:pStyle w:val="TableBodyText"/>
            </w:pPr>
            <w:r>
              <w:rPr>
                <w:b/>
              </w:rPr>
              <w:t>moveTo</w:t>
            </w:r>
            <w:r>
              <w:t xml:space="preserve"> (Move Destination Run Content)</w:t>
            </w:r>
          </w:p>
        </w:tc>
        <w:tc>
          <w:tcPr>
            <w:tcW w:w="0" w:type="auto"/>
            <w:vAlign w:val="center"/>
          </w:tcPr>
          <w:p w:rsidR="00024C0A" w:rsidRDefault="00694C0F">
            <w:pPr>
              <w:pStyle w:val="TableBodyText"/>
            </w:pPr>
            <w:r>
              <w:t>"[ISO/IEC-29500-1] §17.13.5.25"</w:t>
            </w:r>
          </w:p>
        </w:tc>
      </w:tr>
      <w:tr w:rsidR="00024C0A" w:rsidTr="00024C0A">
        <w:tc>
          <w:tcPr>
            <w:tcW w:w="0" w:type="auto"/>
            <w:vAlign w:val="center"/>
          </w:tcPr>
          <w:p w:rsidR="00024C0A" w:rsidRDefault="00694C0F">
            <w:pPr>
              <w:pStyle w:val="TableBodyText"/>
            </w:pPr>
            <w:r>
              <w:rPr>
                <w:b/>
              </w:rPr>
              <w:t>mov</w:t>
            </w:r>
            <w:r>
              <w:rPr>
                <w:b/>
              </w:rPr>
              <w:t>eToRangeEnd</w:t>
            </w:r>
            <w:r>
              <w:t xml:space="preserve"> (Move Destination Location Container - End)</w:t>
            </w:r>
          </w:p>
        </w:tc>
        <w:tc>
          <w:tcPr>
            <w:tcW w:w="0" w:type="auto"/>
            <w:vAlign w:val="center"/>
          </w:tcPr>
          <w:p w:rsidR="00024C0A" w:rsidRDefault="00694C0F">
            <w:pPr>
              <w:pStyle w:val="TableBodyText"/>
            </w:pPr>
            <w:r>
              <w:t>"[ISO/IEC-29500-1] §17.13.5.27"</w:t>
            </w:r>
          </w:p>
        </w:tc>
      </w:tr>
      <w:tr w:rsidR="00024C0A" w:rsidTr="00024C0A">
        <w:tc>
          <w:tcPr>
            <w:tcW w:w="0" w:type="auto"/>
            <w:vAlign w:val="center"/>
          </w:tcPr>
          <w:p w:rsidR="00024C0A" w:rsidRDefault="00694C0F">
            <w:pPr>
              <w:pStyle w:val="TableBodyText"/>
            </w:pPr>
            <w:r>
              <w:rPr>
                <w:b/>
              </w:rPr>
              <w:t>moveToRangeStart</w:t>
            </w:r>
            <w:r>
              <w:t xml:space="preserve"> (Move Destination Location Container - Start)</w:t>
            </w:r>
          </w:p>
        </w:tc>
        <w:tc>
          <w:tcPr>
            <w:tcW w:w="0" w:type="auto"/>
            <w:vAlign w:val="center"/>
          </w:tcPr>
          <w:p w:rsidR="00024C0A" w:rsidRDefault="00694C0F">
            <w:pPr>
              <w:pStyle w:val="TableBodyText"/>
            </w:pPr>
            <w:r>
              <w:t>"[ISO/IEC-29500-1] §17.13.5.28"</w:t>
            </w:r>
          </w:p>
        </w:tc>
      </w:tr>
      <w:tr w:rsidR="00024C0A" w:rsidTr="00024C0A">
        <w:tc>
          <w:tcPr>
            <w:tcW w:w="0" w:type="auto"/>
            <w:vAlign w:val="center"/>
          </w:tcPr>
          <w:p w:rsidR="00024C0A" w:rsidRDefault="00694C0F">
            <w:pPr>
              <w:pStyle w:val="TableBodyText"/>
            </w:pPr>
            <w:r>
              <w:rPr>
                <w:b/>
              </w:rPr>
              <w:t>nary</w:t>
            </w:r>
            <w:r>
              <w:t xml:space="preserve"> (n-ary Operator Object)</w:t>
            </w:r>
          </w:p>
        </w:tc>
        <w:tc>
          <w:tcPr>
            <w:tcW w:w="0" w:type="auto"/>
            <w:vAlign w:val="center"/>
          </w:tcPr>
          <w:p w:rsidR="00024C0A" w:rsidRDefault="00694C0F">
            <w:pPr>
              <w:pStyle w:val="TableBodyText"/>
            </w:pPr>
            <w:r>
              <w:t>"[ISO/IEC-29500-1] §22.1.2.70"</w:t>
            </w:r>
          </w:p>
        </w:tc>
      </w:tr>
      <w:tr w:rsidR="00024C0A" w:rsidTr="00024C0A">
        <w:tc>
          <w:tcPr>
            <w:tcW w:w="0" w:type="auto"/>
            <w:vAlign w:val="center"/>
          </w:tcPr>
          <w:p w:rsidR="00024C0A" w:rsidRDefault="00694C0F">
            <w:pPr>
              <w:pStyle w:val="TableBodyText"/>
            </w:pPr>
            <w:r>
              <w:rPr>
                <w:b/>
              </w:rPr>
              <w:t>oMath</w:t>
            </w:r>
            <w:r>
              <w:t xml:space="preserve"> (Office Math)</w:t>
            </w:r>
          </w:p>
        </w:tc>
        <w:tc>
          <w:tcPr>
            <w:tcW w:w="0" w:type="auto"/>
            <w:vAlign w:val="center"/>
          </w:tcPr>
          <w:p w:rsidR="00024C0A" w:rsidRDefault="00694C0F">
            <w:pPr>
              <w:pStyle w:val="TableBodyText"/>
            </w:pPr>
            <w:r>
              <w:t>"[ISO/IEC-29500-1] §22.1.2.77"</w:t>
            </w:r>
          </w:p>
        </w:tc>
      </w:tr>
      <w:tr w:rsidR="00024C0A" w:rsidTr="00024C0A">
        <w:tc>
          <w:tcPr>
            <w:tcW w:w="0" w:type="auto"/>
            <w:vAlign w:val="center"/>
          </w:tcPr>
          <w:p w:rsidR="00024C0A" w:rsidRDefault="00694C0F">
            <w:pPr>
              <w:pStyle w:val="TableBodyText"/>
            </w:pPr>
            <w:r>
              <w:rPr>
                <w:b/>
              </w:rPr>
              <w:t>oMathPara</w:t>
            </w:r>
            <w:r>
              <w:t xml:space="preserve"> (Office Math Paragraph)</w:t>
            </w:r>
          </w:p>
        </w:tc>
        <w:tc>
          <w:tcPr>
            <w:tcW w:w="0" w:type="auto"/>
            <w:vAlign w:val="center"/>
          </w:tcPr>
          <w:p w:rsidR="00024C0A" w:rsidRDefault="00694C0F">
            <w:pPr>
              <w:pStyle w:val="TableBodyText"/>
            </w:pPr>
            <w:r>
              <w:t>"[ISO/IEC-29500-1] §22.1.2.78"</w:t>
            </w:r>
          </w:p>
        </w:tc>
      </w:tr>
      <w:tr w:rsidR="00024C0A" w:rsidTr="00024C0A">
        <w:tc>
          <w:tcPr>
            <w:tcW w:w="0" w:type="auto"/>
            <w:vAlign w:val="center"/>
          </w:tcPr>
          <w:p w:rsidR="00024C0A" w:rsidRDefault="00694C0F">
            <w:pPr>
              <w:pStyle w:val="TableBodyText"/>
            </w:pPr>
            <w:r>
              <w:rPr>
                <w:b/>
              </w:rPr>
              <w:t>permEnd</w:t>
            </w:r>
            <w:r>
              <w:t xml:space="preserve"> (Range Permission End)</w:t>
            </w:r>
          </w:p>
        </w:tc>
        <w:tc>
          <w:tcPr>
            <w:tcW w:w="0" w:type="auto"/>
            <w:vAlign w:val="center"/>
          </w:tcPr>
          <w:p w:rsidR="00024C0A" w:rsidRDefault="00694C0F">
            <w:pPr>
              <w:pStyle w:val="TableBodyText"/>
            </w:pPr>
            <w:r>
              <w:t>"[ISO/IEC-29500-1] §17.13.7.1"</w:t>
            </w:r>
          </w:p>
        </w:tc>
      </w:tr>
      <w:tr w:rsidR="00024C0A" w:rsidTr="00024C0A">
        <w:tc>
          <w:tcPr>
            <w:tcW w:w="0" w:type="auto"/>
            <w:vAlign w:val="center"/>
          </w:tcPr>
          <w:p w:rsidR="00024C0A" w:rsidRDefault="00694C0F">
            <w:pPr>
              <w:pStyle w:val="TableBodyText"/>
            </w:pPr>
            <w:r>
              <w:rPr>
                <w:b/>
              </w:rPr>
              <w:t>permStart</w:t>
            </w:r>
            <w:r>
              <w:t xml:space="preserve"> (Range Permission Start)</w:t>
            </w:r>
          </w:p>
        </w:tc>
        <w:tc>
          <w:tcPr>
            <w:tcW w:w="0" w:type="auto"/>
            <w:vAlign w:val="center"/>
          </w:tcPr>
          <w:p w:rsidR="00024C0A" w:rsidRDefault="00694C0F">
            <w:pPr>
              <w:pStyle w:val="TableBodyText"/>
            </w:pPr>
            <w:r>
              <w:t>"[ISO/IEC-29500-1] §17.13.7.2"</w:t>
            </w:r>
          </w:p>
        </w:tc>
      </w:tr>
      <w:tr w:rsidR="00024C0A" w:rsidTr="00024C0A">
        <w:tc>
          <w:tcPr>
            <w:tcW w:w="0" w:type="auto"/>
            <w:vAlign w:val="center"/>
          </w:tcPr>
          <w:p w:rsidR="00024C0A" w:rsidRDefault="00694C0F">
            <w:pPr>
              <w:pStyle w:val="TableBodyText"/>
            </w:pPr>
            <w:r>
              <w:rPr>
                <w:b/>
              </w:rPr>
              <w:t>phant</w:t>
            </w:r>
            <w:r>
              <w:t xml:space="preserve"> (Phantom Object)</w:t>
            </w:r>
          </w:p>
        </w:tc>
        <w:tc>
          <w:tcPr>
            <w:tcW w:w="0" w:type="auto"/>
            <w:vAlign w:val="center"/>
          </w:tcPr>
          <w:p w:rsidR="00024C0A" w:rsidRDefault="00694C0F">
            <w:pPr>
              <w:pStyle w:val="TableBodyText"/>
            </w:pPr>
            <w:r>
              <w:t>"[ISO/IEC-29500-1] §22.1.2.81"</w:t>
            </w:r>
          </w:p>
        </w:tc>
      </w:tr>
      <w:tr w:rsidR="00024C0A" w:rsidTr="00024C0A">
        <w:tc>
          <w:tcPr>
            <w:tcW w:w="0" w:type="auto"/>
            <w:vAlign w:val="center"/>
          </w:tcPr>
          <w:p w:rsidR="00024C0A" w:rsidRDefault="00694C0F">
            <w:pPr>
              <w:pStyle w:val="TableBodyText"/>
            </w:pPr>
            <w:r>
              <w:rPr>
                <w:b/>
              </w:rPr>
              <w:t>proofErr</w:t>
            </w:r>
            <w:r>
              <w:t xml:space="preserve"> (Proofing Error Anchor)</w:t>
            </w:r>
          </w:p>
        </w:tc>
        <w:tc>
          <w:tcPr>
            <w:tcW w:w="0" w:type="auto"/>
            <w:vAlign w:val="center"/>
          </w:tcPr>
          <w:p w:rsidR="00024C0A" w:rsidRDefault="00694C0F">
            <w:pPr>
              <w:pStyle w:val="TableBodyText"/>
            </w:pPr>
            <w:r>
              <w:t>"[ISO/IEC-29500-1] §17.13.8.1"</w:t>
            </w:r>
          </w:p>
        </w:tc>
      </w:tr>
      <w:tr w:rsidR="00024C0A" w:rsidTr="00024C0A">
        <w:tc>
          <w:tcPr>
            <w:tcW w:w="0" w:type="auto"/>
            <w:vAlign w:val="center"/>
          </w:tcPr>
          <w:p w:rsidR="00024C0A" w:rsidRDefault="00694C0F">
            <w:pPr>
              <w:pStyle w:val="TableBodyText"/>
            </w:pPr>
            <w:r>
              <w:rPr>
                <w:b/>
              </w:rPr>
              <w:t>r</w:t>
            </w:r>
            <w:r>
              <w:t xml:space="preserve"> (Run)</w:t>
            </w:r>
          </w:p>
        </w:tc>
        <w:tc>
          <w:tcPr>
            <w:tcW w:w="0" w:type="auto"/>
            <w:vAlign w:val="center"/>
          </w:tcPr>
          <w:p w:rsidR="00024C0A" w:rsidRDefault="00694C0F">
            <w:pPr>
              <w:pStyle w:val="TableBodyText"/>
            </w:pPr>
            <w:r>
              <w:t>"[ISO/IEC-29500-1] §22.1.2.87"</w:t>
            </w:r>
          </w:p>
        </w:tc>
      </w:tr>
      <w:tr w:rsidR="00024C0A" w:rsidTr="00024C0A">
        <w:tc>
          <w:tcPr>
            <w:tcW w:w="0" w:type="auto"/>
            <w:vAlign w:val="center"/>
          </w:tcPr>
          <w:p w:rsidR="00024C0A" w:rsidRDefault="00694C0F">
            <w:pPr>
              <w:pStyle w:val="TableBodyText"/>
            </w:pPr>
            <w:r>
              <w:rPr>
                <w:b/>
              </w:rPr>
              <w:t>r</w:t>
            </w:r>
            <w:r>
              <w:t xml:space="preserve"> (Text Run)</w:t>
            </w:r>
          </w:p>
        </w:tc>
        <w:tc>
          <w:tcPr>
            <w:tcW w:w="0" w:type="auto"/>
            <w:vAlign w:val="center"/>
          </w:tcPr>
          <w:p w:rsidR="00024C0A" w:rsidRDefault="00694C0F">
            <w:pPr>
              <w:pStyle w:val="TableBodyText"/>
            </w:pPr>
            <w:r>
              <w:t>"[ISO/IEC-29500-1] §17.3.2.25"</w:t>
            </w:r>
          </w:p>
        </w:tc>
      </w:tr>
      <w:tr w:rsidR="00024C0A" w:rsidTr="00024C0A">
        <w:tc>
          <w:tcPr>
            <w:tcW w:w="0" w:type="auto"/>
            <w:vAlign w:val="center"/>
          </w:tcPr>
          <w:p w:rsidR="00024C0A" w:rsidRDefault="00694C0F">
            <w:pPr>
              <w:pStyle w:val="TableBodyText"/>
            </w:pPr>
            <w:r>
              <w:rPr>
                <w:b/>
              </w:rPr>
              <w:t>rad</w:t>
            </w:r>
            <w:r>
              <w:t xml:space="preserve"> (Radical Object)</w:t>
            </w:r>
          </w:p>
        </w:tc>
        <w:tc>
          <w:tcPr>
            <w:tcW w:w="0" w:type="auto"/>
            <w:vAlign w:val="center"/>
          </w:tcPr>
          <w:p w:rsidR="00024C0A" w:rsidRDefault="00694C0F">
            <w:pPr>
              <w:pStyle w:val="TableBodyText"/>
            </w:pPr>
            <w:r>
              <w:t>"[ISO/IEC-29500-1] §22.1.2.88"</w:t>
            </w:r>
          </w:p>
        </w:tc>
      </w:tr>
      <w:tr w:rsidR="00024C0A" w:rsidTr="00024C0A">
        <w:tc>
          <w:tcPr>
            <w:tcW w:w="0" w:type="auto"/>
            <w:vAlign w:val="center"/>
          </w:tcPr>
          <w:p w:rsidR="00024C0A" w:rsidRDefault="00694C0F">
            <w:pPr>
              <w:pStyle w:val="TableBodyText"/>
            </w:pPr>
            <w:r>
              <w:rPr>
                <w:b/>
              </w:rPr>
              <w:t>sdt</w:t>
            </w:r>
            <w:r>
              <w:t xml:space="preserve"> (Ruby Inline-Level Structured Document Tag)</w:t>
            </w:r>
          </w:p>
        </w:tc>
        <w:tc>
          <w:tcPr>
            <w:tcW w:w="0" w:type="auto"/>
            <w:vAlign w:val="center"/>
          </w:tcPr>
          <w:p w:rsidR="00024C0A" w:rsidRDefault="00694C0F">
            <w:pPr>
              <w:pStyle w:val="TableBodyText"/>
            </w:pPr>
            <w:r>
              <w:t>§</w:t>
            </w:r>
            <w:hyperlink w:anchor="Section_808b32d8ad644c849fb585ad68be54b9">
              <w:r>
                <w:rPr>
                  <w:rStyle w:val="Hyperlink"/>
                </w:rPr>
                <w:t>3.1.3.1.6, sdt</w:t>
              </w:r>
            </w:hyperlink>
          </w:p>
        </w:tc>
      </w:tr>
      <w:tr w:rsidR="00024C0A" w:rsidTr="00024C0A">
        <w:tc>
          <w:tcPr>
            <w:tcW w:w="0" w:type="auto"/>
            <w:vAlign w:val="center"/>
          </w:tcPr>
          <w:p w:rsidR="00024C0A" w:rsidRDefault="00694C0F">
            <w:pPr>
              <w:pStyle w:val="TableBodyText"/>
            </w:pPr>
            <w:r>
              <w:rPr>
                <w:b/>
              </w:rPr>
              <w:t>sPre</w:t>
            </w:r>
            <w:r>
              <w:t xml:space="preserve"> (Pre-Sub-Superscript Object)</w:t>
            </w:r>
          </w:p>
        </w:tc>
        <w:tc>
          <w:tcPr>
            <w:tcW w:w="0" w:type="auto"/>
            <w:vAlign w:val="center"/>
          </w:tcPr>
          <w:p w:rsidR="00024C0A" w:rsidRDefault="00694C0F">
            <w:pPr>
              <w:pStyle w:val="TableBodyText"/>
            </w:pPr>
            <w:r>
              <w:t>"[ISO/IEC-29500-1] §22.1.2.99"</w:t>
            </w:r>
          </w:p>
        </w:tc>
      </w:tr>
      <w:tr w:rsidR="00024C0A" w:rsidTr="00024C0A">
        <w:tc>
          <w:tcPr>
            <w:tcW w:w="0" w:type="auto"/>
            <w:vAlign w:val="center"/>
          </w:tcPr>
          <w:p w:rsidR="00024C0A" w:rsidRDefault="00694C0F">
            <w:pPr>
              <w:pStyle w:val="TableBodyText"/>
            </w:pPr>
            <w:r>
              <w:rPr>
                <w:b/>
              </w:rPr>
              <w:t>sSub</w:t>
            </w:r>
            <w:r>
              <w:t xml:space="preserve"> (Subscript Object)</w:t>
            </w:r>
          </w:p>
        </w:tc>
        <w:tc>
          <w:tcPr>
            <w:tcW w:w="0" w:type="auto"/>
            <w:vAlign w:val="center"/>
          </w:tcPr>
          <w:p w:rsidR="00024C0A" w:rsidRDefault="00694C0F">
            <w:pPr>
              <w:pStyle w:val="TableBodyText"/>
            </w:pPr>
            <w:r>
              <w:t>"[ISO/IEC-29500-1] §22.1.2.101"</w:t>
            </w:r>
          </w:p>
        </w:tc>
      </w:tr>
      <w:tr w:rsidR="00024C0A" w:rsidTr="00024C0A">
        <w:tc>
          <w:tcPr>
            <w:tcW w:w="0" w:type="auto"/>
            <w:vAlign w:val="center"/>
          </w:tcPr>
          <w:p w:rsidR="00024C0A" w:rsidRDefault="00694C0F">
            <w:pPr>
              <w:pStyle w:val="TableBodyText"/>
            </w:pPr>
            <w:r>
              <w:rPr>
                <w:b/>
              </w:rPr>
              <w:t>sSubSup</w:t>
            </w:r>
            <w:r>
              <w:t xml:space="preserve"> (Sub-Superscript Object)</w:t>
            </w:r>
          </w:p>
        </w:tc>
        <w:tc>
          <w:tcPr>
            <w:tcW w:w="0" w:type="auto"/>
            <w:vAlign w:val="center"/>
          </w:tcPr>
          <w:p w:rsidR="00024C0A" w:rsidRDefault="00694C0F">
            <w:pPr>
              <w:pStyle w:val="TableBodyText"/>
            </w:pPr>
            <w:r>
              <w:t>"[ISO/IEC-29500-1] §22.1.2.103"</w:t>
            </w:r>
          </w:p>
        </w:tc>
      </w:tr>
      <w:tr w:rsidR="00024C0A" w:rsidTr="00024C0A">
        <w:tc>
          <w:tcPr>
            <w:tcW w:w="0" w:type="auto"/>
            <w:vAlign w:val="center"/>
          </w:tcPr>
          <w:p w:rsidR="00024C0A" w:rsidRDefault="00694C0F">
            <w:pPr>
              <w:pStyle w:val="TableBodyText"/>
            </w:pPr>
            <w:r>
              <w:rPr>
                <w:b/>
              </w:rPr>
              <w:t>sSup</w:t>
            </w:r>
            <w:r>
              <w:t xml:space="preserve"> (Superscript Object)</w:t>
            </w:r>
          </w:p>
        </w:tc>
        <w:tc>
          <w:tcPr>
            <w:tcW w:w="0" w:type="auto"/>
            <w:vAlign w:val="center"/>
          </w:tcPr>
          <w:p w:rsidR="00024C0A" w:rsidRDefault="00694C0F">
            <w:pPr>
              <w:pStyle w:val="TableBodyText"/>
            </w:pPr>
            <w:r>
              <w:t>"[ISO/IEC-29500-1] §22.1.2.105"</w:t>
            </w:r>
          </w:p>
        </w:tc>
      </w:tr>
    </w:tbl>
    <w:p w:rsidR="00024C0A" w:rsidRDefault="00024C0A"/>
    <w:p w:rsidR="00024C0A" w:rsidRDefault="00024C0A"/>
    <w:tbl>
      <w:tblPr>
        <w:tblStyle w:val="Table-ShadedHeader"/>
        <w:tblW w:w="0" w:type="auto"/>
        <w:tblLook w:val="04A0" w:firstRow="1" w:lastRow="0" w:firstColumn="1" w:lastColumn="0" w:noHBand="0" w:noVBand="1"/>
      </w:tblPr>
      <w:tblGrid>
        <w:gridCol w:w="1906"/>
        <w:gridCol w:w="7569"/>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Attributes</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dirty</w:t>
            </w:r>
            <w:r>
              <w:t xml:space="preserve"> (Field Result Invalidated)</w:t>
            </w:r>
          </w:p>
        </w:tc>
        <w:tc>
          <w:tcPr>
            <w:tcW w:w="0" w:type="auto"/>
            <w:vAlign w:val="center"/>
          </w:tcPr>
          <w:p w:rsidR="00024C0A" w:rsidRDefault="00694C0F">
            <w:pPr>
              <w:pStyle w:val="TableBodyText"/>
            </w:pPr>
            <w:r>
              <w:t xml:space="preserve">Specifies that this field has been flagged by an application to indicate that </w:t>
            </w:r>
            <w:r>
              <w:t>its current results are invalid (stale) due to other modifications made to the document, and these contents should be updated before they are displayed if this functionality is supported by the next processing application.</w:t>
            </w:r>
          </w:p>
          <w:p w:rsidR="00024C0A" w:rsidRDefault="00024C0A">
            <w:pPr>
              <w:pStyle w:val="TableBodyText"/>
            </w:pPr>
          </w:p>
          <w:p w:rsidR="00024C0A" w:rsidRDefault="00694C0F">
            <w:pPr>
              <w:pStyle w:val="TableBodyText"/>
            </w:pPr>
            <w:r>
              <w:t>[Rationale: This functionality a</w:t>
            </w:r>
            <w:r>
              <w:t xml:space="preserve">llows applications with limited subsets of the full functionality of ISO/IEC-29500 Office Open XML File Formats </w:t>
            </w:r>
            <w:hyperlink r:id="rId285">
              <w:r>
                <w:rPr>
                  <w:rStyle w:val="Hyperlink"/>
                </w:rPr>
                <w:t>[ISO/IEC29500:2012]</w:t>
              </w:r>
            </w:hyperlink>
            <w:r>
              <w:t xml:space="preserve"> to process documents without needing to understand and upd</w:t>
            </w:r>
            <w:r>
              <w:t>ate all fields based on the semantics for their field codes.</w:t>
            </w:r>
          </w:p>
          <w:p w:rsidR="00024C0A" w:rsidRDefault="00024C0A">
            <w:pPr>
              <w:pStyle w:val="TableBodyText"/>
            </w:pPr>
          </w:p>
          <w:p w:rsidR="00024C0A" w:rsidRDefault="00694C0F">
            <w:pPr>
              <w:pStyle w:val="TableBodyText"/>
            </w:pPr>
            <w:r>
              <w:t>For example, an application can add a new paragraph and flag the table of contents as dirty, without needing to understand anything about how to recalculate that field's content. end rationale]</w:t>
            </w:r>
          </w:p>
          <w:p w:rsidR="00024C0A" w:rsidRDefault="00024C0A">
            <w:pPr>
              <w:pStyle w:val="TableBodyText"/>
            </w:pPr>
          </w:p>
          <w:p w:rsidR="00024C0A" w:rsidRDefault="00694C0F">
            <w:pPr>
              <w:pStyle w:val="TableBodyText"/>
            </w:pPr>
            <w:r>
              <w:t xml:space="preserve">If this attribute is omitted, then its value shall be assumed to be </w:t>
            </w:r>
            <w:r>
              <w:rPr>
                <w:i/>
              </w:rPr>
              <w:t>false</w:t>
            </w:r>
            <w:r>
              <w:t>.</w:t>
            </w:r>
          </w:p>
          <w:p w:rsidR="00024C0A" w:rsidRDefault="00024C0A">
            <w:pPr>
              <w:pStyle w:val="TableBodyText"/>
            </w:pPr>
          </w:p>
          <w:p w:rsidR="00024C0A" w:rsidRDefault="00694C0F">
            <w:pPr>
              <w:pStyle w:val="TableBodyText"/>
            </w:pPr>
            <w:r>
              <w:t>[Example: Consider the following WordprocessingML for a simple field:</w:t>
            </w:r>
          </w:p>
          <w:p w:rsidR="00024C0A" w:rsidRDefault="00024C0A">
            <w:pPr>
              <w:pStyle w:val="TableBodyText"/>
            </w:pPr>
          </w:p>
          <w:p w:rsidR="00024C0A" w:rsidRDefault="00694C0F">
            <w:pPr>
              <w:pStyle w:val="Code"/>
            </w:pPr>
            <w:r>
              <w:t>&lt;w:fldSimple w:instr="AUTHOR" w:dirty="true"/&gt;</w:t>
            </w:r>
          </w:p>
          <w:p w:rsidR="00024C0A" w:rsidRDefault="00024C0A">
            <w:pPr>
              <w:pStyle w:val="Code"/>
            </w:pPr>
          </w:p>
          <w:p w:rsidR="00024C0A" w:rsidRDefault="00694C0F">
            <w:pPr>
              <w:pStyle w:val="TableBodyText"/>
            </w:pPr>
            <w:r>
              <w:t xml:space="preserve">The </w:t>
            </w:r>
            <w:r>
              <w:rPr>
                <w:b/>
              </w:rPr>
              <w:t>dirty</w:t>
            </w:r>
            <w:r>
              <w:t xml:space="preserve"> attribute value of </w:t>
            </w:r>
            <w:r>
              <w:rPr>
                <w:i/>
              </w:rPr>
              <w:t>true</w:t>
            </w:r>
            <w:r>
              <w:t xml:space="preserve"> specifies that the contents of this field are no longer current based on the contents of the document, and should be recalculated whenever an application with this functionality reads the document. end example]</w:t>
            </w:r>
          </w:p>
          <w:p w:rsidR="00024C0A" w:rsidRDefault="00024C0A">
            <w:pPr>
              <w:pStyle w:val="TableBodyText"/>
            </w:pPr>
          </w:p>
          <w:p w:rsidR="00024C0A" w:rsidRDefault="00694C0F">
            <w:pPr>
              <w:pStyle w:val="TableBodyText"/>
            </w:pPr>
            <w:r>
              <w:t xml:space="preserve">The possible values for this attribute are </w:t>
            </w:r>
            <w:r>
              <w:t>defined by the ST_OnOff simple type (§</w:t>
            </w:r>
            <w:hyperlink w:anchor="Section_79cbec698430479d88c056dd44369074">
              <w:r>
                <w:rPr>
                  <w:rStyle w:val="Hyperlink"/>
                </w:rPr>
                <w:t>3.1.3.3.6, ST_OnOff</w:t>
              </w:r>
            </w:hyperlink>
            <w:r>
              <w:t>).</w:t>
            </w:r>
          </w:p>
        </w:tc>
      </w:tr>
      <w:tr w:rsidR="00024C0A" w:rsidTr="00024C0A">
        <w:tc>
          <w:tcPr>
            <w:tcW w:w="0" w:type="auto"/>
            <w:vAlign w:val="center"/>
          </w:tcPr>
          <w:p w:rsidR="00024C0A" w:rsidRDefault="00694C0F">
            <w:pPr>
              <w:pStyle w:val="TableBodyText"/>
            </w:pPr>
            <w:r>
              <w:rPr>
                <w:b/>
              </w:rPr>
              <w:t>fldLock</w:t>
            </w:r>
            <w:r>
              <w:t xml:space="preserve"> (Field Should Not be Recalculated)</w:t>
            </w:r>
          </w:p>
        </w:tc>
        <w:tc>
          <w:tcPr>
            <w:tcW w:w="0" w:type="auto"/>
            <w:vAlign w:val="center"/>
          </w:tcPr>
          <w:p w:rsidR="00024C0A" w:rsidRDefault="00694C0F">
            <w:pPr>
              <w:pStyle w:val="TableBodyText"/>
            </w:pPr>
            <w:r>
              <w:t xml:space="preserve">Specifies that the parent field shall not have its field result recalculated, even if an </w:t>
            </w:r>
            <w:r>
              <w:t>application attempts to recalculate the results of all fields in the document or a recalculation is explicitly requested.</w:t>
            </w:r>
          </w:p>
          <w:p w:rsidR="00024C0A" w:rsidRDefault="00024C0A">
            <w:pPr>
              <w:pStyle w:val="TableBodyText"/>
            </w:pPr>
          </w:p>
          <w:p w:rsidR="00024C0A" w:rsidRDefault="00694C0F">
            <w:pPr>
              <w:pStyle w:val="TableBodyText"/>
            </w:pPr>
            <w:r>
              <w:t xml:space="preserve">If this attribute is omitted, then its value shall be assumed to be </w:t>
            </w:r>
            <w:r>
              <w:rPr>
                <w:i/>
              </w:rPr>
              <w:t>false</w:t>
            </w:r>
            <w:r>
              <w:t>.</w:t>
            </w:r>
          </w:p>
          <w:p w:rsidR="00024C0A" w:rsidRDefault="00024C0A">
            <w:pPr>
              <w:pStyle w:val="TableBodyText"/>
            </w:pPr>
          </w:p>
          <w:p w:rsidR="00024C0A" w:rsidRDefault="00694C0F">
            <w:pPr>
              <w:pStyle w:val="TableBodyText"/>
            </w:pPr>
            <w:r>
              <w:t>[Example: Consider the following WordprocessingML for a s</w:t>
            </w:r>
            <w:r>
              <w:t>imple field:</w:t>
            </w:r>
          </w:p>
          <w:p w:rsidR="00024C0A" w:rsidRDefault="00024C0A">
            <w:pPr>
              <w:pStyle w:val="TableBodyText"/>
            </w:pPr>
          </w:p>
          <w:p w:rsidR="00024C0A" w:rsidRDefault="00694C0F">
            <w:pPr>
              <w:pStyle w:val="Code"/>
            </w:pPr>
            <w:r>
              <w:t>&lt;w:fldSimple w:instr="AUTHOR" w:fldLock="true"&gt;</w:t>
            </w:r>
          </w:p>
          <w:p w:rsidR="00024C0A" w:rsidRDefault="00694C0F">
            <w:pPr>
              <w:pStyle w:val="Code"/>
            </w:pPr>
            <w:r>
              <w:t xml:space="preserve">  &lt;w:r&gt;</w:t>
            </w:r>
          </w:p>
          <w:p w:rsidR="00024C0A" w:rsidRDefault="00694C0F">
            <w:pPr>
              <w:pStyle w:val="Code"/>
            </w:pPr>
            <w:r>
              <w:t xml:space="preserve">    &lt;w:t&gt;Rex Jaeschke&lt;/w:t&gt;</w:t>
            </w:r>
          </w:p>
          <w:p w:rsidR="00024C0A" w:rsidRDefault="00694C0F">
            <w:pPr>
              <w:pStyle w:val="Code"/>
            </w:pPr>
            <w:r>
              <w:t xml:space="preserve">  &lt;/w:r&gt;</w:t>
            </w:r>
          </w:p>
          <w:p w:rsidR="00024C0A" w:rsidRDefault="00694C0F">
            <w:pPr>
              <w:pStyle w:val="Code"/>
            </w:pPr>
            <w:r>
              <w:t>&lt;/w:fldSimple&gt;</w:t>
            </w:r>
          </w:p>
          <w:p w:rsidR="00024C0A" w:rsidRDefault="00024C0A">
            <w:pPr>
              <w:pStyle w:val="TableBodyText"/>
            </w:pPr>
          </w:p>
          <w:p w:rsidR="00024C0A" w:rsidRDefault="00694C0F">
            <w:pPr>
              <w:pStyle w:val="TableBodyText"/>
            </w:pPr>
            <w:r>
              <w:t xml:space="preserve">The </w:t>
            </w:r>
            <w:r>
              <w:rPr>
                <w:b/>
              </w:rPr>
              <w:t>fldLock</w:t>
            </w:r>
            <w:r>
              <w:t xml:space="preserve"> attribute value of </w:t>
            </w:r>
            <w:r>
              <w:rPr>
                <w:i/>
              </w:rPr>
              <w:t>true</w:t>
            </w:r>
            <w:r>
              <w:t xml:space="preserve"> specifies that the contents of this field shall remain </w:t>
            </w:r>
            <w:r>
              <w:rPr>
                <w:i/>
              </w:rPr>
              <w:t>Rex Jaeschke</w:t>
            </w:r>
            <w:r>
              <w:t xml:space="preserve"> regardless of the actual resu</w:t>
            </w:r>
            <w:r>
              <w:t>lt of the current field codes. end example]</w:t>
            </w:r>
          </w:p>
          <w:p w:rsidR="00024C0A" w:rsidRDefault="00024C0A">
            <w:pPr>
              <w:pStyle w:val="TableBodyText"/>
            </w:pPr>
          </w:p>
          <w:p w:rsidR="00024C0A" w:rsidRDefault="00694C0F">
            <w:pPr>
              <w:pStyle w:val="TableBodyText"/>
            </w:pPr>
            <w:r>
              <w:t>The possible values for this attribute are defined by the ST_OnOff simple type (§3.1.3.3.6, ST_OnOff).</w:t>
            </w:r>
          </w:p>
        </w:tc>
      </w:tr>
      <w:tr w:rsidR="00024C0A" w:rsidTr="00024C0A">
        <w:tc>
          <w:tcPr>
            <w:tcW w:w="0" w:type="auto"/>
            <w:vAlign w:val="center"/>
          </w:tcPr>
          <w:p w:rsidR="00024C0A" w:rsidRDefault="00694C0F">
            <w:pPr>
              <w:pStyle w:val="TableBodyText"/>
            </w:pPr>
            <w:r>
              <w:rPr>
                <w:b/>
              </w:rPr>
              <w:t>instr</w:t>
            </w:r>
            <w:r>
              <w:t xml:space="preserve"> (Field Codes)</w:t>
            </w:r>
          </w:p>
        </w:tc>
        <w:tc>
          <w:tcPr>
            <w:tcW w:w="0" w:type="auto"/>
            <w:vAlign w:val="center"/>
          </w:tcPr>
          <w:p w:rsidR="00024C0A" w:rsidRDefault="00694C0F">
            <w:pPr>
              <w:pStyle w:val="TableBodyText"/>
            </w:pPr>
            <w:r>
              <w:t>Specifies the field codes for the simple field. The possible field codes are defined in</w:t>
            </w:r>
            <w:r>
              <w:t xml:space="preserve"> "[ISO/IEC-29500-1] §17.16.5".</w:t>
            </w:r>
          </w:p>
          <w:p w:rsidR="00024C0A" w:rsidRDefault="00024C0A">
            <w:pPr>
              <w:pStyle w:val="TableBodyText"/>
            </w:pPr>
          </w:p>
          <w:p w:rsidR="00024C0A" w:rsidRDefault="00694C0F">
            <w:pPr>
              <w:pStyle w:val="TableBodyText"/>
            </w:pPr>
            <w:r>
              <w:t>[Example: Consider the following WordprocessingML for a simple field:</w:t>
            </w:r>
          </w:p>
          <w:p w:rsidR="00024C0A" w:rsidRDefault="00024C0A">
            <w:pPr>
              <w:pStyle w:val="TableBodyText"/>
            </w:pPr>
          </w:p>
          <w:p w:rsidR="00024C0A" w:rsidRDefault="00694C0F">
            <w:pPr>
              <w:pStyle w:val="Code"/>
            </w:pPr>
            <w:r>
              <w:t>&lt;w:fldSimple w:instr="AUTHOR" w:fldLock="true"&gt;</w:t>
            </w:r>
          </w:p>
          <w:p w:rsidR="00024C0A" w:rsidRDefault="00694C0F">
            <w:pPr>
              <w:pStyle w:val="Code"/>
            </w:pPr>
            <w:r>
              <w:t xml:space="preserve">  &lt;w:r&gt;</w:t>
            </w:r>
          </w:p>
          <w:p w:rsidR="00024C0A" w:rsidRDefault="00694C0F">
            <w:pPr>
              <w:pStyle w:val="Code"/>
            </w:pPr>
            <w:r>
              <w:t xml:space="preserve">    &lt;w:t&gt;Rex Jaeschke&lt;/w:t&gt;</w:t>
            </w:r>
          </w:p>
          <w:p w:rsidR="00024C0A" w:rsidRDefault="00694C0F">
            <w:pPr>
              <w:pStyle w:val="Code"/>
            </w:pPr>
            <w:r>
              <w:t xml:space="preserve">  &lt;/w:r&gt;</w:t>
            </w:r>
          </w:p>
          <w:p w:rsidR="00024C0A" w:rsidRDefault="00694C0F">
            <w:pPr>
              <w:pStyle w:val="Code"/>
            </w:pPr>
            <w:r>
              <w:t>&lt;/w:fldSimple&gt;</w:t>
            </w:r>
          </w:p>
          <w:p w:rsidR="00024C0A" w:rsidRDefault="00024C0A">
            <w:pPr>
              <w:pStyle w:val="TableBodyText"/>
            </w:pPr>
          </w:p>
          <w:p w:rsidR="00024C0A" w:rsidRDefault="00694C0F">
            <w:pPr>
              <w:pStyle w:val="TableBodyText"/>
            </w:pPr>
            <w:r>
              <w:t xml:space="preserve">The </w:t>
            </w:r>
            <w:r>
              <w:rPr>
                <w:b/>
              </w:rPr>
              <w:t>instr</w:t>
            </w:r>
            <w:r>
              <w:t xml:space="preserve"> attribute specifies the field codes for this simple field to be </w:t>
            </w:r>
            <w:r>
              <w:rPr>
                <w:i/>
              </w:rPr>
              <w:t>AUTHOR</w:t>
            </w:r>
            <w:r>
              <w:t>. end example]</w:t>
            </w:r>
          </w:p>
          <w:p w:rsidR="00024C0A" w:rsidRDefault="00024C0A">
            <w:pPr>
              <w:pStyle w:val="TableBodyText"/>
            </w:pPr>
          </w:p>
          <w:p w:rsidR="00024C0A" w:rsidRDefault="00694C0F">
            <w:pPr>
              <w:pStyle w:val="TableBodyText"/>
            </w:pPr>
            <w:r>
              <w:t>The possible values for this attribute are defined by the ST_String simple type (§</w:t>
            </w:r>
            <w:hyperlink w:anchor="Section_ed68652a69334080ac59a443946fa732">
              <w:r>
                <w:rPr>
                  <w:rStyle w:val="Hyperlink"/>
                </w:rPr>
                <w:t>3.1.3.3.8, ST_String</w:t>
              </w:r>
            </w:hyperlink>
            <w:r>
              <w:t>).</w:t>
            </w:r>
          </w:p>
        </w:tc>
      </w:tr>
    </w:tbl>
    <w:p w:rsidR="00024C0A" w:rsidRDefault="00024C0A"/>
    <w:p w:rsidR="00024C0A" w:rsidRDefault="00694C0F">
      <w:r>
        <w:t>The following XML Schema fragment defines the contents of this element:</w:t>
      </w:r>
    </w:p>
    <w:p w:rsidR="00024C0A" w:rsidRDefault="00694C0F">
      <w:pPr>
        <w:pStyle w:val="Code"/>
      </w:pPr>
      <w:r>
        <w:t>&lt;complexType name="CT_SimpleFieldRuby"&gt;</w:t>
      </w:r>
    </w:p>
    <w:p w:rsidR="00024C0A" w:rsidRDefault="00694C0F">
      <w:pPr>
        <w:pStyle w:val="Code"/>
      </w:pPr>
      <w:r>
        <w:t xml:space="preserve">  &lt;sequence&gt;</w:t>
      </w:r>
    </w:p>
    <w:p w:rsidR="00024C0A" w:rsidRDefault="00694C0F">
      <w:pPr>
        <w:pStyle w:val="Code"/>
      </w:pPr>
      <w:r>
        <w:t xml:space="preserve">    &lt;element name="fldData" type="CT_Text" minOccurs="0" maxOccurs="1"/&gt;</w:t>
      </w:r>
    </w:p>
    <w:p w:rsidR="00024C0A" w:rsidRDefault="00694C0F">
      <w:pPr>
        <w:pStyle w:val="Code"/>
      </w:pPr>
      <w:r>
        <w:t xml:space="preserve">    &lt;group ref="EG_RubyContent" minOccurs="0" maxOccurs="</w:t>
      </w:r>
      <w:r>
        <w:t>unbounded"/&gt;</w:t>
      </w:r>
    </w:p>
    <w:p w:rsidR="00024C0A" w:rsidRDefault="00694C0F">
      <w:pPr>
        <w:pStyle w:val="Code"/>
      </w:pPr>
      <w:r>
        <w:t xml:space="preserve">  &lt;/sequence&gt;</w:t>
      </w:r>
    </w:p>
    <w:p w:rsidR="00024C0A" w:rsidRDefault="00694C0F">
      <w:pPr>
        <w:pStyle w:val="Code"/>
      </w:pPr>
      <w:r>
        <w:t xml:space="preserve">  &lt;attribute name="instr" type="ST_String" use="required"/&gt;</w:t>
      </w:r>
    </w:p>
    <w:p w:rsidR="00024C0A" w:rsidRDefault="00694C0F">
      <w:pPr>
        <w:pStyle w:val="Code"/>
      </w:pPr>
      <w:r>
        <w:t xml:space="preserve">  &lt;attribute name="fldLock" type="ST_OnOff"/&gt;</w:t>
      </w:r>
    </w:p>
    <w:p w:rsidR="00024C0A" w:rsidRDefault="00694C0F">
      <w:pPr>
        <w:pStyle w:val="Code"/>
      </w:pPr>
      <w:r>
        <w:t xml:space="preserve">  &lt;attribute name="dirty" type="ST_OnOff"/&gt;</w:t>
      </w:r>
    </w:p>
    <w:p w:rsidR="00024C0A" w:rsidRDefault="00694C0F">
      <w:pPr>
        <w:pStyle w:val="Code"/>
      </w:pPr>
      <w:r>
        <w:t>&lt;/complexType&gt;</w:t>
      </w:r>
    </w:p>
    <w:p w:rsidR="00024C0A" w:rsidRDefault="00694C0F">
      <w:pPr>
        <w:pStyle w:val="Heading5"/>
      </w:pPr>
      <w:bookmarkStart w:id="3881" w:name="section_cc9e4bbd134f4d35b2c795fde8c633a7"/>
      <w:bookmarkStart w:id="3882" w:name="_Toc12262001"/>
      <w:r>
        <w:t>hyperlink (Ruby Hyperlink)</w:t>
      </w:r>
      <w:bookmarkEnd w:id="3881"/>
      <w:bookmarkEnd w:id="3882"/>
      <w:r>
        <w:fldChar w:fldCharType="begin"/>
      </w:r>
      <w:r>
        <w:instrText xml:space="preserve"> XE "hyperlink (Ruby Hyperlink)" </w:instrText>
      </w:r>
      <w:r>
        <w:fldChar w:fldCharType="end"/>
      </w:r>
    </w:p>
    <w:p w:rsidR="00024C0A" w:rsidRDefault="00694C0F">
      <w:r>
        <w:t>This element specifies the presence of a hyperlink at the current location in the document.</w:t>
      </w:r>
    </w:p>
    <w:p w:rsidR="00024C0A" w:rsidRDefault="00694C0F">
      <w:r>
        <w:t>[Example: Consider the following WordprocessingML fragment for a hyperlink:</w:t>
      </w:r>
    </w:p>
    <w:p w:rsidR="00024C0A" w:rsidRDefault="00694C0F">
      <w:pPr>
        <w:pStyle w:val="Code"/>
      </w:pPr>
      <w:r>
        <w:t>&lt;w:hyperlink r:id="rId10"&gt;</w:t>
      </w:r>
    </w:p>
    <w:p w:rsidR="00024C0A" w:rsidRDefault="00694C0F">
      <w:pPr>
        <w:pStyle w:val="Code"/>
      </w:pPr>
      <w:r>
        <w:t xml:space="preserve">  &lt;w:r&gt;</w:t>
      </w:r>
    </w:p>
    <w:p w:rsidR="00024C0A" w:rsidRDefault="00694C0F">
      <w:pPr>
        <w:pStyle w:val="Code"/>
      </w:pPr>
      <w:r>
        <w:t xml:space="preserve">    &lt;w:t&gt;Click here&lt;/w:t&gt;</w:t>
      </w:r>
    </w:p>
    <w:p w:rsidR="00024C0A" w:rsidRDefault="00694C0F">
      <w:pPr>
        <w:pStyle w:val="Code"/>
      </w:pPr>
      <w:r>
        <w:t xml:space="preserve">  &lt;/w:r&gt;</w:t>
      </w:r>
    </w:p>
    <w:p w:rsidR="00024C0A" w:rsidRDefault="00694C0F">
      <w:pPr>
        <w:pStyle w:val="Code"/>
      </w:pPr>
      <w:r>
        <w:t>&lt;/w:hyperlink&gt;</w:t>
      </w:r>
    </w:p>
    <w:p w:rsidR="00024C0A" w:rsidRDefault="00694C0F">
      <w:r>
        <w:t xml:space="preserve">The </w:t>
      </w:r>
      <w:r>
        <w:rPr>
          <w:b/>
        </w:rPr>
        <w:t>hyperlink</w:t>
      </w:r>
      <w:r>
        <w:t xml:space="preserve"> element defines a hyperlink whose display text is </w:t>
      </w:r>
      <w:r>
        <w:rPr>
          <w:i/>
        </w:rPr>
        <w:t>Click here</w:t>
      </w:r>
      <w:r>
        <w:t xml:space="preserve">, and whose target is specified by the relationship with an </w:t>
      </w:r>
      <w:r>
        <w:rPr>
          <w:b/>
        </w:rPr>
        <w:t>Id</w:t>
      </w:r>
      <w:r>
        <w:t xml:space="preserve"> attribute value of </w:t>
      </w:r>
      <w:r>
        <w:rPr>
          <w:i/>
        </w:rPr>
        <w:t>rId10</w:t>
      </w:r>
      <w:r>
        <w:t>. end example]</w:t>
      </w:r>
    </w:p>
    <w:tbl>
      <w:tblPr>
        <w:tblStyle w:val="Table-ShadedHeader"/>
        <w:tblW w:w="0" w:type="auto"/>
        <w:tblLook w:val="04A0" w:firstRow="1" w:lastRow="0" w:firstColumn="1" w:lastColumn="0" w:noHBand="0" w:noVBand="1"/>
      </w:tblPr>
      <w:tblGrid>
        <w:gridCol w:w="9475"/>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(§3.1.3.1.3, hyperlink); </w:t>
            </w:r>
            <w:r>
              <w:rPr>
                <w:b/>
              </w:rPr>
              <w:t>rt</w:t>
            </w:r>
            <w:r>
              <w:t xml:space="preserve"> ("</w:t>
            </w:r>
            <w:hyperlink r:id="rId286">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6758"/>
        <w:gridCol w:w="2717"/>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lastRenderedPageBreak/>
              <w:t>Child Elements</w:t>
            </w:r>
          </w:p>
        </w:tc>
        <w:tc>
          <w:tcPr>
            <w:tcW w:w="0" w:type="auto"/>
            <w:vAlign w:val="center"/>
          </w:tcPr>
          <w:p w:rsidR="00024C0A" w:rsidRDefault="00694C0F">
            <w:pPr>
              <w:pStyle w:val="TableHeaderText"/>
            </w:pPr>
            <w:r>
              <w:t>Subclause</w:t>
            </w:r>
          </w:p>
        </w:tc>
      </w:tr>
      <w:tr w:rsidR="00024C0A" w:rsidTr="00024C0A">
        <w:tc>
          <w:tcPr>
            <w:tcW w:w="0" w:type="auto"/>
            <w:vAlign w:val="center"/>
          </w:tcPr>
          <w:p w:rsidR="00024C0A" w:rsidRDefault="00694C0F">
            <w:pPr>
              <w:pStyle w:val="TableBodyText"/>
            </w:pPr>
            <w:r>
              <w:rPr>
                <w:b/>
              </w:rPr>
              <w:t>acc</w:t>
            </w:r>
            <w:r>
              <w:t xml:space="preserve"> (Accent)</w:t>
            </w:r>
          </w:p>
        </w:tc>
        <w:tc>
          <w:tcPr>
            <w:tcW w:w="0" w:type="auto"/>
            <w:vAlign w:val="center"/>
          </w:tcPr>
          <w:p w:rsidR="00024C0A" w:rsidRDefault="00694C0F">
            <w:pPr>
              <w:pStyle w:val="TableBodyText"/>
            </w:pPr>
            <w:r>
              <w:t>"[ISO/IEC-29500-1] §22.1.2.1"</w:t>
            </w:r>
          </w:p>
        </w:tc>
      </w:tr>
      <w:tr w:rsidR="00024C0A" w:rsidTr="00024C0A">
        <w:tc>
          <w:tcPr>
            <w:tcW w:w="0" w:type="auto"/>
            <w:vAlign w:val="center"/>
          </w:tcPr>
          <w:p w:rsidR="00024C0A" w:rsidRDefault="00694C0F">
            <w:pPr>
              <w:pStyle w:val="TableBodyText"/>
            </w:pPr>
            <w:r>
              <w:rPr>
                <w:b/>
              </w:rPr>
              <w:t>bar</w:t>
            </w:r>
            <w:r>
              <w:t xml:space="preserve"> (Bar)</w:t>
            </w:r>
          </w:p>
        </w:tc>
        <w:tc>
          <w:tcPr>
            <w:tcW w:w="0" w:type="auto"/>
            <w:vAlign w:val="center"/>
          </w:tcPr>
          <w:p w:rsidR="00024C0A" w:rsidRDefault="00694C0F">
            <w:pPr>
              <w:pStyle w:val="TableBodyText"/>
            </w:pPr>
            <w:r>
              <w:t>"</w:t>
            </w:r>
            <w:r>
              <w:t>[ISO/IEC-29500-1] §22.1.2.7"</w:t>
            </w:r>
          </w:p>
        </w:tc>
      </w:tr>
      <w:tr w:rsidR="00024C0A" w:rsidTr="00024C0A">
        <w:tc>
          <w:tcPr>
            <w:tcW w:w="0" w:type="auto"/>
            <w:vAlign w:val="center"/>
          </w:tcPr>
          <w:p w:rsidR="00024C0A" w:rsidRDefault="00694C0F">
            <w:pPr>
              <w:pStyle w:val="TableBodyText"/>
            </w:pPr>
            <w:r>
              <w:rPr>
                <w:b/>
              </w:rPr>
              <w:t>bookmarkEnd</w:t>
            </w:r>
            <w:r>
              <w:t xml:space="preserve"> (Bookmark End)</w:t>
            </w:r>
          </w:p>
        </w:tc>
        <w:tc>
          <w:tcPr>
            <w:tcW w:w="0" w:type="auto"/>
            <w:vAlign w:val="center"/>
          </w:tcPr>
          <w:p w:rsidR="00024C0A" w:rsidRDefault="00694C0F">
            <w:pPr>
              <w:pStyle w:val="TableBodyText"/>
            </w:pPr>
            <w:r>
              <w:t>"[ISO/IEC-29500-1] §17.13.6.1"</w:t>
            </w:r>
          </w:p>
        </w:tc>
      </w:tr>
      <w:tr w:rsidR="00024C0A" w:rsidTr="00024C0A">
        <w:tc>
          <w:tcPr>
            <w:tcW w:w="0" w:type="auto"/>
            <w:vAlign w:val="center"/>
          </w:tcPr>
          <w:p w:rsidR="00024C0A" w:rsidRDefault="00694C0F">
            <w:pPr>
              <w:pStyle w:val="TableBodyText"/>
            </w:pPr>
            <w:r>
              <w:rPr>
                <w:b/>
              </w:rPr>
              <w:t>bookmarkStart</w:t>
            </w:r>
            <w:r>
              <w:t xml:space="preserve"> (Bookmark Start)</w:t>
            </w:r>
          </w:p>
        </w:tc>
        <w:tc>
          <w:tcPr>
            <w:tcW w:w="0" w:type="auto"/>
            <w:vAlign w:val="center"/>
          </w:tcPr>
          <w:p w:rsidR="00024C0A" w:rsidRDefault="00694C0F">
            <w:pPr>
              <w:pStyle w:val="TableBodyText"/>
            </w:pPr>
            <w:r>
              <w:t>"[ISO/IEC-29500-1] §17.13.6.2"</w:t>
            </w:r>
          </w:p>
        </w:tc>
      </w:tr>
      <w:tr w:rsidR="00024C0A" w:rsidTr="00024C0A">
        <w:tc>
          <w:tcPr>
            <w:tcW w:w="0" w:type="auto"/>
            <w:vAlign w:val="center"/>
          </w:tcPr>
          <w:p w:rsidR="00024C0A" w:rsidRDefault="00694C0F">
            <w:pPr>
              <w:pStyle w:val="TableBodyText"/>
            </w:pPr>
            <w:r>
              <w:rPr>
                <w:b/>
              </w:rPr>
              <w:t>borderBox</w:t>
            </w:r>
            <w:r>
              <w:t xml:space="preserve"> (Border-Box Object)</w:t>
            </w:r>
          </w:p>
        </w:tc>
        <w:tc>
          <w:tcPr>
            <w:tcW w:w="0" w:type="auto"/>
            <w:vAlign w:val="center"/>
          </w:tcPr>
          <w:p w:rsidR="00024C0A" w:rsidRDefault="00694C0F">
            <w:pPr>
              <w:pStyle w:val="TableBodyText"/>
            </w:pPr>
            <w:r>
              <w:t>"[ISO/IEC-29500-1] §22.1.2.11"</w:t>
            </w:r>
          </w:p>
        </w:tc>
      </w:tr>
      <w:tr w:rsidR="00024C0A" w:rsidTr="00024C0A">
        <w:tc>
          <w:tcPr>
            <w:tcW w:w="0" w:type="auto"/>
            <w:vAlign w:val="center"/>
          </w:tcPr>
          <w:p w:rsidR="00024C0A" w:rsidRDefault="00694C0F">
            <w:pPr>
              <w:pStyle w:val="TableBodyText"/>
            </w:pPr>
            <w:r>
              <w:rPr>
                <w:b/>
              </w:rPr>
              <w:t>box</w:t>
            </w:r>
            <w:r>
              <w:t xml:space="preserve"> (Box Object)</w:t>
            </w:r>
          </w:p>
        </w:tc>
        <w:tc>
          <w:tcPr>
            <w:tcW w:w="0" w:type="auto"/>
            <w:vAlign w:val="center"/>
          </w:tcPr>
          <w:p w:rsidR="00024C0A" w:rsidRDefault="00694C0F">
            <w:pPr>
              <w:pStyle w:val="TableBodyText"/>
            </w:pPr>
            <w:r>
              <w:t>"[ISO/IEC-29500-1]</w:t>
            </w:r>
            <w:r>
              <w:t xml:space="preserve"> §22.1.2.13"</w:t>
            </w:r>
          </w:p>
        </w:tc>
      </w:tr>
      <w:tr w:rsidR="00024C0A" w:rsidTr="00024C0A">
        <w:tc>
          <w:tcPr>
            <w:tcW w:w="0" w:type="auto"/>
            <w:vAlign w:val="center"/>
          </w:tcPr>
          <w:p w:rsidR="00024C0A" w:rsidRDefault="00694C0F">
            <w:pPr>
              <w:pStyle w:val="TableBodyText"/>
            </w:pPr>
            <w:r>
              <w:rPr>
                <w:b/>
              </w:rPr>
              <w:t>commentRangeEnd</w:t>
            </w:r>
            <w:r>
              <w:t xml:space="preserve"> (Comment Anchor Range End)</w:t>
            </w:r>
          </w:p>
        </w:tc>
        <w:tc>
          <w:tcPr>
            <w:tcW w:w="0" w:type="auto"/>
            <w:vAlign w:val="center"/>
          </w:tcPr>
          <w:p w:rsidR="00024C0A" w:rsidRDefault="00694C0F">
            <w:pPr>
              <w:pStyle w:val="TableBodyText"/>
            </w:pPr>
            <w:r>
              <w:t>"[ISO/IEC-29500-1] §17.13.4.3"</w:t>
            </w:r>
          </w:p>
        </w:tc>
      </w:tr>
      <w:tr w:rsidR="00024C0A" w:rsidTr="00024C0A">
        <w:tc>
          <w:tcPr>
            <w:tcW w:w="0" w:type="auto"/>
            <w:vAlign w:val="center"/>
          </w:tcPr>
          <w:p w:rsidR="00024C0A" w:rsidRDefault="00694C0F">
            <w:pPr>
              <w:pStyle w:val="TableBodyText"/>
            </w:pPr>
            <w:r>
              <w:rPr>
                <w:b/>
              </w:rPr>
              <w:t>commentRangeStart</w:t>
            </w:r>
            <w:r>
              <w:t xml:space="preserve"> (Comment Anchor Range Start)</w:t>
            </w:r>
          </w:p>
        </w:tc>
        <w:tc>
          <w:tcPr>
            <w:tcW w:w="0" w:type="auto"/>
            <w:vAlign w:val="center"/>
          </w:tcPr>
          <w:p w:rsidR="00024C0A" w:rsidRDefault="00694C0F">
            <w:pPr>
              <w:pStyle w:val="TableBodyText"/>
            </w:pPr>
            <w:r>
              <w:t>"[ISO/IEC-29500-1] §17.13.4.4"</w:t>
            </w:r>
          </w:p>
        </w:tc>
      </w:tr>
      <w:tr w:rsidR="00024C0A" w:rsidTr="00024C0A">
        <w:tc>
          <w:tcPr>
            <w:tcW w:w="0" w:type="auto"/>
            <w:vAlign w:val="center"/>
          </w:tcPr>
          <w:p w:rsidR="00024C0A" w:rsidRDefault="00694C0F">
            <w:pPr>
              <w:pStyle w:val="TableBodyText"/>
            </w:pPr>
            <w:r>
              <w:rPr>
                <w:b/>
              </w:rPr>
              <w:t>customXml</w:t>
            </w:r>
            <w:r>
              <w:t xml:space="preserve"> (Ruby Inline-Level Custom XML Element)</w:t>
            </w:r>
          </w:p>
        </w:tc>
        <w:tc>
          <w:tcPr>
            <w:tcW w:w="0" w:type="auto"/>
            <w:vAlign w:val="center"/>
          </w:tcPr>
          <w:p w:rsidR="00024C0A" w:rsidRDefault="00694C0F">
            <w:pPr>
              <w:pStyle w:val="TableBodyText"/>
            </w:pPr>
            <w:r>
              <w:t>§3.1.3.1.1, customXml</w:t>
            </w:r>
          </w:p>
        </w:tc>
      </w:tr>
      <w:tr w:rsidR="00024C0A" w:rsidTr="00024C0A">
        <w:tc>
          <w:tcPr>
            <w:tcW w:w="0" w:type="auto"/>
            <w:vAlign w:val="center"/>
          </w:tcPr>
          <w:p w:rsidR="00024C0A" w:rsidRDefault="00694C0F">
            <w:pPr>
              <w:pStyle w:val="TableBodyText"/>
            </w:pPr>
            <w:r>
              <w:rPr>
                <w:b/>
              </w:rPr>
              <w:t>customXmlDelRangeEnd</w:t>
            </w:r>
            <w:r>
              <w:t xml:space="preserve"> (Custom XML Markup Deletion End)</w:t>
            </w:r>
          </w:p>
        </w:tc>
        <w:tc>
          <w:tcPr>
            <w:tcW w:w="0" w:type="auto"/>
            <w:vAlign w:val="center"/>
          </w:tcPr>
          <w:p w:rsidR="00024C0A" w:rsidRDefault="00694C0F">
            <w:pPr>
              <w:pStyle w:val="TableBodyText"/>
            </w:pPr>
            <w:r>
              <w:t>"[ISO/IEC-29500-1] §17.13.5.4"</w:t>
            </w:r>
          </w:p>
        </w:tc>
      </w:tr>
      <w:tr w:rsidR="00024C0A" w:rsidTr="00024C0A">
        <w:tc>
          <w:tcPr>
            <w:tcW w:w="0" w:type="auto"/>
            <w:vAlign w:val="center"/>
          </w:tcPr>
          <w:p w:rsidR="00024C0A" w:rsidRDefault="00694C0F">
            <w:pPr>
              <w:pStyle w:val="TableBodyText"/>
            </w:pPr>
            <w:r>
              <w:rPr>
                <w:b/>
              </w:rPr>
              <w:t>customXmlDelRangeStart</w:t>
            </w:r>
            <w:r>
              <w:t xml:space="preserve"> (Custom XML Markup Deletion Start)</w:t>
            </w:r>
          </w:p>
        </w:tc>
        <w:tc>
          <w:tcPr>
            <w:tcW w:w="0" w:type="auto"/>
            <w:vAlign w:val="center"/>
          </w:tcPr>
          <w:p w:rsidR="00024C0A" w:rsidRDefault="00694C0F">
            <w:pPr>
              <w:pStyle w:val="TableBodyText"/>
            </w:pPr>
            <w:r>
              <w:t>"[ISO/IEC-29500-1] §17.13.5.5"</w:t>
            </w:r>
          </w:p>
        </w:tc>
      </w:tr>
      <w:tr w:rsidR="00024C0A" w:rsidTr="00024C0A">
        <w:tc>
          <w:tcPr>
            <w:tcW w:w="0" w:type="auto"/>
            <w:vAlign w:val="center"/>
          </w:tcPr>
          <w:p w:rsidR="00024C0A" w:rsidRDefault="00694C0F">
            <w:pPr>
              <w:pStyle w:val="TableBodyText"/>
            </w:pPr>
            <w:r>
              <w:rPr>
                <w:b/>
              </w:rPr>
              <w:t>customXmlInsRangeEnd</w:t>
            </w:r>
            <w:r>
              <w:t xml:space="preserve"> (Custom XML Markup Insertion End)</w:t>
            </w:r>
          </w:p>
        </w:tc>
        <w:tc>
          <w:tcPr>
            <w:tcW w:w="0" w:type="auto"/>
            <w:vAlign w:val="center"/>
          </w:tcPr>
          <w:p w:rsidR="00024C0A" w:rsidRDefault="00694C0F">
            <w:pPr>
              <w:pStyle w:val="TableBodyText"/>
            </w:pPr>
            <w:r>
              <w:t>"[ISO/IEC-29500-1] §17.13</w:t>
            </w:r>
            <w:r>
              <w:t>.5.6"</w:t>
            </w:r>
          </w:p>
        </w:tc>
      </w:tr>
      <w:tr w:rsidR="00024C0A" w:rsidTr="00024C0A">
        <w:tc>
          <w:tcPr>
            <w:tcW w:w="0" w:type="auto"/>
            <w:vAlign w:val="center"/>
          </w:tcPr>
          <w:p w:rsidR="00024C0A" w:rsidRDefault="00694C0F">
            <w:pPr>
              <w:pStyle w:val="TableBodyText"/>
            </w:pPr>
            <w:r>
              <w:rPr>
                <w:b/>
              </w:rPr>
              <w:t>customXmlInsRangeStart</w:t>
            </w:r>
            <w:r>
              <w:t xml:space="preserve"> (Custom XML Markup Insertion Start)</w:t>
            </w:r>
          </w:p>
        </w:tc>
        <w:tc>
          <w:tcPr>
            <w:tcW w:w="0" w:type="auto"/>
            <w:vAlign w:val="center"/>
          </w:tcPr>
          <w:p w:rsidR="00024C0A" w:rsidRDefault="00694C0F">
            <w:pPr>
              <w:pStyle w:val="TableBodyText"/>
            </w:pPr>
            <w:r>
              <w:t>"[ISO/IEC-29500-1] §17.13.5.7"</w:t>
            </w:r>
          </w:p>
        </w:tc>
      </w:tr>
      <w:tr w:rsidR="00024C0A" w:rsidTr="00024C0A">
        <w:tc>
          <w:tcPr>
            <w:tcW w:w="0" w:type="auto"/>
            <w:vAlign w:val="center"/>
          </w:tcPr>
          <w:p w:rsidR="00024C0A" w:rsidRDefault="00694C0F">
            <w:pPr>
              <w:pStyle w:val="TableBodyText"/>
            </w:pPr>
            <w:r>
              <w:rPr>
                <w:b/>
              </w:rPr>
              <w:t>customXmlMoveFromRangeEnd</w:t>
            </w:r>
            <w:r>
              <w:t xml:space="preserve"> (Custom XML Markup Move Source End)</w:t>
            </w:r>
          </w:p>
        </w:tc>
        <w:tc>
          <w:tcPr>
            <w:tcW w:w="0" w:type="auto"/>
            <w:vAlign w:val="center"/>
          </w:tcPr>
          <w:p w:rsidR="00024C0A" w:rsidRDefault="00694C0F">
            <w:pPr>
              <w:pStyle w:val="TableBodyText"/>
            </w:pPr>
            <w:r>
              <w:t>"[ISO/IEC-29500-1] §17.13.5.8"</w:t>
            </w:r>
          </w:p>
        </w:tc>
      </w:tr>
      <w:tr w:rsidR="00024C0A" w:rsidTr="00024C0A">
        <w:tc>
          <w:tcPr>
            <w:tcW w:w="0" w:type="auto"/>
            <w:vAlign w:val="center"/>
          </w:tcPr>
          <w:p w:rsidR="00024C0A" w:rsidRDefault="00694C0F">
            <w:pPr>
              <w:pStyle w:val="TableBodyText"/>
            </w:pPr>
            <w:r>
              <w:rPr>
                <w:b/>
              </w:rPr>
              <w:t>customXmlMoveFromRangeStart</w:t>
            </w:r>
            <w:r>
              <w:t xml:space="preserve"> (Custom XML Markup Move Source Start</w:t>
            </w:r>
            <w:r>
              <w:t>)</w:t>
            </w:r>
          </w:p>
        </w:tc>
        <w:tc>
          <w:tcPr>
            <w:tcW w:w="0" w:type="auto"/>
            <w:vAlign w:val="center"/>
          </w:tcPr>
          <w:p w:rsidR="00024C0A" w:rsidRDefault="00694C0F">
            <w:pPr>
              <w:pStyle w:val="TableBodyText"/>
            </w:pPr>
            <w:r>
              <w:t>"[ISO/IEC-29500-1] §17.13.5.9"</w:t>
            </w:r>
          </w:p>
        </w:tc>
      </w:tr>
      <w:tr w:rsidR="00024C0A" w:rsidTr="00024C0A">
        <w:tc>
          <w:tcPr>
            <w:tcW w:w="0" w:type="auto"/>
            <w:vAlign w:val="center"/>
          </w:tcPr>
          <w:p w:rsidR="00024C0A" w:rsidRDefault="00694C0F">
            <w:pPr>
              <w:pStyle w:val="TableBodyText"/>
            </w:pPr>
            <w:r>
              <w:rPr>
                <w:b/>
              </w:rPr>
              <w:t>customXmlMoveToRangeEnd</w:t>
            </w:r>
            <w:r>
              <w:t xml:space="preserve"> (Custom XML Markup Move Destination Location End)</w:t>
            </w:r>
          </w:p>
        </w:tc>
        <w:tc>
          <w:tcPr>
            <w:tcW w:w="0" w:type="auto"/>
            <w:vAlign w:val="center"/>
          </w:tcPr>
          <w:p w:rsidR="00024C0A" w:rsidRDefault="00694C0F">
            <w:pPr>
              <w:pStyle w:val="TableBodyText"/>
            </w:pPr>
            <w:r>
              <w:t>"[ISO/IEC-29500-1] §17.13.5.10"</w:t>
            </w:r>
          </w:p>
        </w:tc>
      </w:tr>
      <w:tr w:rsidR="00024C0A" w:rsidTr="00024C0A">
        <w:tc>
          <w:tcPr>
            <w:tcW w:w="0" w:type="auto"/>
            <w:vAlign w:val="center"/>
          </w:tcPr>
          <w:p w:rsidR="00024C0A" w:rsidRDefault="00694C0F">
            <w:pPr>
              <w:pStyle w:val="TableBodyText"/>
            </w:pPr>
            <w:r>
              <w:rPr>
                <w:b/>
              </w:rPr>
              <w:t>customXmlMoveToRangeStart</w:t>
            </w:r>
            <w:r>
              <w:t xml:space="preserve"> (Custom XML Markup Move Destination Location Start)</w:t>
            </w:r>
          </w:p>
        </w:tc>
        <w:tc>
          <w:tcPr>
            <w:tcW w:w="0" w:type="auto"/>
            <w:vAlign w:val="center"/>
          </w:tcPr>
          <w:p w:rsidR="00024C0A" w:rsidRDefault="00694C0F">
            <w:pPr>
              <w:pStyle w:val="TableBodyText"/>
            </w:pPr>
            <w:r>
              <w:t>"[ISO/IEC-29500-1] §17.13.5.11"</w:t>
            </w:r>
          </w:p>
        </w:tc>
      </w:tr>
      <w:tr w:rsidR="00024C0A" w:rsidTr="00024C0A">
        <w:tc>
          <w:tcPr>
            <w:tcW w:w="0" w:type="auto"/>
            <w:vAlign w:val="center"/>
          </w:tcPr>
          <w:p w:rsidR="00024C0A" w:rsidRDefault="00694C0F">
            <w:pPr>
              <w:pStyle w:val="TableBodyText"/>
            </w:pPr>
            <w:r>
              <w:rPr>
                <w:b/>
              </w:rPr>
              <w:t>d</w:t>
            </w:r>
            <w:r>
              <w:t xml:space="preserve"> (Delimiter Object)</w:t>
            </w:r>
          </w:p>
        </w:tc>
        <w:tc>
          <w:tcPr>
            <w:tcW w:w="0" w:type="auto"/>
            <w:vAlign w:val="center"/>
          </w:tcPr>
          <w:p w:rsidR="00024C0A" w:rsidRDefault="00694C0F">
            <w:pPr>
              <w:pStyle w:val="TableBodyText"/>
            </w:pPr>
            <w:r>
              <w:t>"[ISO/IEC-29500-1] §22.1.2.24"</w:t>
            </w:r>
          </w:p>
        </w:tc>
      </w:tr>
      <w:tr w:rsidR="00024C0A" w:rsidTr="00024C0A">
        <w:tc>
          <w:tcPr>
            <w:tcW w:w="0" w:type="auto"/>
            <w:vAlign w:val="center"/>
          </w:tcPr>
          <w:p w:rsidR="00024C0A" w:rsidRDefault="00694C0F">
            <w:pPr>
              <w:pStyle w:val="TableBodyText"/>
            </w:pPr>
            <w:r>
              <w:rPr>
                <w:b/>
              </w:rPr>
              <w:t>del</w:t>
            </w:r>
            <w:r>
              <w:t xml:space="preserve"> (Deleted Run Content)</w:t>
            </w:r>
          </w:p>
        </w:tc>
        <w:tc>
          <w:tcPr>
            <w:tcW w:w="0" w:type="auto"/>
            <w:vAlign w:val="center"/>
          </w:tcPr>
          <w:p w:rsidR="00024C0A" w:rsidRDefault="00694C0F">
            <w:pPr>
              <w:pStyle w:val="TableBodyText"/>
            </w:pPr>
            <w:r>
              <w:t>"[ISO/IEC-29500-1] §17.13.5.14"</w:t>
            </w:r>
          </w:p>
        </w:tc>
      </w:tr>
      <w:tr w:rsidR="00024C0A" w:rsidTr="00024C0A">
        <w:tc>
          <w:tcPr>
            <w:tcW w:w="0" w:type="auto"/>
            <w:vAlign w:val="center"/>
          </w:tcPr>
          <w:p w:rsidR="00024C0A" w:rsidRDefault="00694C0F">
            <w:pPr>
              <w:pStyle w:val="TableBodyText"/>
            </w:pPr>
            <w:r>
              <w:rPr>
                <w:b/>
              </w:rPr>
              <w:t>eqArr</w:t>
            </w:r>
            <w:r>
              <w:t xml:space="preserve"> (Array Object)</w:t>
            </w:r>
          </w:p>
        </w:tc>
        <w:tc>
          <w:tcPr>
            <w:tcW w:w="0" w:type="auto"/>
            <w:vAlign w:val="center"/>
          </w:tcPr>
          <w:p w:rsidR="00024C0A" w:rsidRDefault="00694C0F">
            <w:pPr>
              <w:pStyle w:val="TableBodyText"/>
            </w:pPr>
            <w:r>
              <w:t>"[ISO/IEC-29500-1] §22.1.2.34"</w:t>
            </w:r>
          </w:p>
        </w:tc>
      </w:tr>
      <w:tr w:rsidR="00024C0A" w:rsidTr="00024C0A">
        <w:tc>
          <w:tcPr>
            <w:tcW w:w="0" w:type="auto"/>
            <w:vAlign w:val="center"/>
          </w:tcPr>
          <w:p w:rsidR="00024C0A" w:rsidRDefault="00694C0F">
            <w:pPr>
              <w:pStyle w:val="TableBodyText"/>
            </w:pPr>
            <w:r>
              <w:rPr>
                <w:b/>
              </w:rPr>
              <w:t>f</w:t>
            </w:r>
            <w:r>
              <w:t xml:space="preserve"> (Fraction Object)</w:t>
            </w:r>
          </w:p>
        </w:tc>
        <w:tc>
          <w:tcPr>
            <w:tcW w:w="0" w:type="auto"/>
            <w:vAlign w:val="center"/>
          </w:tcPr>
          <w:p w:rsidR="00024C0A" w:rsidRDefault="00694C0F">
            <w:pPr>
              <w:pStyle w:val="TableBodyText"/>
            </w:pPr>
            <w:r>
              <w:t>"[ISO/IEC-29500-1] §22.1.2.36"</w:t>
            </w:r>
          </w:p>
        </w:tc>
      </w:tr>
      <w:tr w:rsidR="00024C0A" w:rsidTr="00024C0A">
        <w:tc>
          <w:tcPr>
            <w:tcW w:w="0" w:type="auto"/>
            <w:vAlign w:val="center"/>
          </w:tcPr>
          <w:p w:rsidR="00024C0A" w:rsidRDefault="00694C0F">
            <w:pPr>
              <w:pStyle w:val="TableBodyText"/>
            </w:pPr>
            <w:r>
              <w:rPr>
                <w:b/>
              </w:rPr>
              <w:t>fldSimple</w:t>
            </w:r>
            <w:r>
              <w:t xml:space="preserve"> (Ruby Simple Field)</w:t>
            </w:r>
          </w:p>
        </w:tc>
        <w:tc>
          <w:tcPr>
            <w:tcW w:w="0" w:type="auto"/>
            <w:vAlign w:val="center"/>
          </w:tcPr>
          <w:p w:rsidR="00024C0A" w:rsidRDefault="00694C0F">
            <w:pPr>
              <w:pStyle w:val="TableBodyText"/>
            </w:pPr>
            <w:r>
              <w:t>§3.1.3.1.2</w:t>
            </w:r>
            <w:r>
              <w:t>, fldSimple</w:t>
            </w:r>
          </w:p>
        </w:tc>
      </w:tr>
      <w:tr w:rsidR="00024C0A" w:rsidTr="00024C0A">
        <w:tc>
          <w:tcPr>
            <w:tcW w:w="0" w:type="auto"/>
            <w:vAlign w:val="center"/>
          </w:tcPr>
          <w:p w:rsidR="00024C0A" w:rsidRDefault="00694C0F">
            <w:pPr>
              <w:pStyle w:val="TableBodyText"/>
            </w:pPr>
            <w:r>
              <w:rPr>
                <w:b/>
              </w:rPr>
              <w:lastRenderedPageBreak/>
              <w:t>func</w:t>
            </w:r>
            <w:r>
              <w:t xml:space="preserve"> (Function Apply Object)</w:t>
            </w:r>
          </w:p>
        </w:tc>
        <w:tc>
          <w:tcPr>
            <w:tcW w:w="0" w:type="auto"/>
            <w:vAlign w:val="center"/>
          </w:tcPr>
          <w:p w:rsidR="00024C0A" w:rsidRDefault="00694C0F">
            <w:pPr>
              <w:pStyle w:val="TableBodyText"/>
            </w:pPr>
            <w:r>
              <w:t>"[ISO/IEC-29500-1] §22.1.2.39"</w:t>
            </w:r>
          </w:p>
        </w:tc>
      </w:tr>
      <w:tr w:rsidR="00024C0A" w:rsidTr="00024C0A">
        <w:tc>
          <w:tcPr>
            <w:tcW w:w="0" w:type="auto"/>
            <w:vAlign w:val="center"/>
          </w:tcPr>
          <w:p w:rsidR="00024C0A" w:rsidRDefault="00694C0F">
            <w:pPr>
              <w:pStyle w:val="TableBodyText"/>
            </w:pPr>
            <w:r>
              <w:rPr>
                <w:b/>
              </w:rPr>
              <w:t>groupChr</w:t>
            </w:r>
            <w:r>
              <w:t xml:space="preserve"> (Group-Character Object)</w:t>
            </w:r>
          </w:p>
        </w:tc>
        <w:tc>
          <w:tcPr>
            <w:tcW w:w="0" w:type="auto"/>
            <w:vAlign w:val="center"/>
          </w:tcPr>
          <w:p w:rsidR="00024C0A" w:rsidRDefault="00694C0F">
            <w:pPr>
              <w:pStyle w:val="TableBodyText"/>
            </w:pPr>
            <w:r>
              <w:t>"[ISO/IEC-29500-1] §22.1.2.41"</w:t>
            </w:r>
          </w:p>
        </w:tc>
      </w:tr>
      <w:tr w:rsidR="00024C0A" w:rsidTr="00024C0A">
        <w:tc>
          <w:tcPr>
            <w:tcW w:w="0" w:type="auto"/>
            <w:vAlign w:val="center"/>
          </w:tcPr>
          <w:p w:rsidR="00024C0A" w:rsidRDefault="00694C0F">
            <w:pPr>
              <w:pStyle w:val="TableBodyText"/>
            </w:pPr>
            <w:r>
              <w:rPr>
                <w:b/>
              </w:rPr>
              <w:t>hyperlink</w:t>
            </w:r>
            <w:r>
              <w:t xml:space="preserve"> (Ruby Hyperlink)</w:t>
            </w:r>
          </w:p>
        </w:tc>
        <w:tc>
          <w:tcPr>
            <w:tcW w:w="0" w:type="auto"/>
            <w:vAlign w:val="center"/>
          </w:tcPr>
          <w:p w:rsidR="00024C0A" w:rsidRDefault="00694C0F">
            <w:pPr>
              <w:pStyle w:val="TableBodyText"/>
            </w:pPr>
            <w:r>
              <w:t>§3.1.3.1.3, hyperlink</w:t>
            </w:r>
          </w:p>
        </w:tc>
      </w:tr>
      <w:tr w:rsidR="00024C0A" w:rsidTr="00024C0A">
        <w:tc>
          <w:tcPr>
            <w:tcW w:w="0" w:type="auto"/>
            <w:vAlign w:val="center"/>
          </w:tcPr>
          <w:p w:rsidR="00024C0A" w:rsidRDefault="00694C0F">
            <w:pPr>
              <w:pStyle w:val="TableBodyText"/>
            </w:pPr>
            <w:r>
              <w:rPr>
                <w:b/>
              </w:rPr>
              <w:t>ins</w:t>
            </w:r>
            <w:r>
              <w:t xml:space="preserve"> (Inserted Run Content)</w:t>
            </w:r>
          </w:p>
        </w:tc>
        <w:tc>
          <w:tcPr>
            <w:tcW w:w="0" w:type="auto"/>
            <w:vAlign w:val="center"/>
          </w:tcPr>
          <w:p w:rsidR="00024C0A" w:rsidRDefault="00694C0F">
            <w:pPr>
              <w:pStyle w:val="TableBodyText"/>
            </w:pPr>
            <w:r>
              <w:t>"[ISO/IEC-29500-1] §17.13.5.18"</w:t>
            </w:r>
          </w:p>
        </w:tc>
      </w:tr>
      <w:tr w:rsidR="00024C0A" w:rsidTr="00024C0A">
        <w:tc>
          <w:tcPr>
            <w:tcW w:w="0" w:type="auto"/>
            <w:vAlign w:val="center"/>
          </w:tcPr>
          <w:p w:rsidR="00024C0A" w:rsidRDefault="00694C0F">
            <w:pPr>
              <w:pStyle w:val="TableBodyText"/>
            </w:pPr>
            <w:r>
              <w:rPr>
                <w:b/>
              </w:rPr>
              <w:t>limLow</w:t>
            </w:r>
            <w:r>
              <w:t xml:space="preserve"> (Lower-Limit Object)</w:t>
            </w:r>
          </w:p>
        </w:tc>
        <w:tc>
          <w:tcPr>
            <w:tcW w:w="0" w:type="auto"/>
            <w:vAlign w:val="center"/>
          </w:tcPr>
          <w:p w:rsidR="00024C0A" w:rsidRDefault="00694C0F">
            <w:pPr>
              <w:pStyle w:val="TableBodyText"/>
            </w:pPr>
            <w:r>
              <w:t>"[ISO/IEC-29500-1] §22.1.2.54"</w:t>
            </w:r>
          </w:p>
        </w:tc>
      </w:tr>
      <w:tr w:rsidR="00024C0A" w:rsidTr="00024C0A">
        <w:tc>
          <w:tcPr>
            <w:tcW w:w="0" w:type="auto"/>
            <w:vAlign w:val="center"/>
          </w:tcPr>
          <w:p w:rsidR="00024C0A" w:rsidRDefault="00694C0F">
            <w:pPr>
              <w:pStyle w:val="TableBodyText"/>
            </w:pPr>
            <w:r>
              <w:rPr>
                <w:b/>
              </w:rPr>
              <w:t>limUpp</w:t>
            </w:r>
            <w:r>
              <w:t xml:space="preserve"> (Upper-Limit Object)</w:t>
            </w:r>
          </w:p>
        </w:tc>
        <w:tc>
          <w:tcPr>
            <w:tcW w:w="0" w:type="auto"/>
            <w:vAlign w:val="center"/>
          </w:tcPr>
          <w:p w:rsidR="00024C0A" w:rsidRDefault="00694C0F">
            <w:pPr>
              <w:pStyle w:val="TableBodyText"/>
            </w:pPr>
            <w:r>
              <w:t>"[ISO/IEC-29500-1] §22.1.2.56"</w:t>
            </w:r>
          </w:p>
        </w:tc>
      </w:tr>
      <w:tr w:rsidR="00024C0A" w:rsidTr="00024C0A">
        <w:tc>
          <w:tcPr>
            <w:tcW w:w="0" w:type="auto"/>
            <w:vAlign w:val="center"/>
          </w:tcPr>
          <w:p w:rsidR="00024C0A" w:rsidRDefault="00694C0F">
            <w:pPr>
              <w:pStyle w:val="TableBodyText"/>
            </w:pPr>
            <w:r>
              <w:rPr>
                <w:b/>
              </w:rPr>
              <w:t>m</w:t>
            </w:r>
            <w:r>
              <w:t xml:space="preserve"> (Matrix Object)</w:t>
            </w:r>
          </w:p>
        </w:tc>
        <w:tc>
          <w:tcPr>
            <w:tcW w:w="0" w:type="auto"/>
            <w:vAlign w:val="center"/>
          </w:tcPr>
          <w:p w:rsidR="00024C0A" w:rsidRDefault="00694C0F">
            <w:pPr>
              <w:pStyle w:val="TableBodyText"/>
            </w:pPr>
            <w:r>
              <w:t>"[ISO/IEC-29500-1] §22.1.2.60"</w:t>
            </w:r>
          </w:p>
        </w:tc>
      </w:tr>
      <w:tr w:rsidR="00024C0A" w:rsidTr="00024C0A">
        <w:tc>
          <w:tcPr>
            <w:tcW w:w="0" w:type="auto"/>
            <w:vAlign w:val="center"/>
          </w:tcPr>
          <w:p w:rsidR="00024C0A" w:rsidRDefault="00694C0F">
            <w:pPr>
              <w:pStyle w:val="TableBodyText"/>
            </w:pPr>
            <w:r>
              <w:rPr>
                <w:b/>
              </w:rPr>
              <w:t>moveFrom</w:t>
            </w:r>
            <w:r>
              <w:t xml:space="preserve"> (Move Source Run Content)</w:t>
            </w:r>
          </w:p>
        </w:tc>
        <w:tc>
          <w:tcPr>
            <w:tcW w:w="0" w:type="auto"/>
            <w:vAlign w:val="center"/>
          </w:tcPr>
          <w:p w:rsidR="00024C0A" w:rsidRDefault="00694C0F">
            <w:pPr>
              <w:pStyle w:val="TableBodyText"/>
            </w:pPr>
            <w:r>
              <w:t>"[ISO/IEC-29500-1] §17.13.5.22"</w:t>
            </w:r>
          </w:p>
        </w:tc>
      </w:tr>
      <w:tr w:rsidR="00024C0A" w:rsidTr="00024C0A">
        <w:tc>
          <w:tcPr>
            <w:tcW w:w="0" w:type="auto"/>
            <w:vAlign w:val="center"/>
          </w:tcPr>
          <w:p w:rsidR="00024C0A" w:rsidRDefault="00694C0F">
            <w:pPr>
              <w:pStyle w:val="TableBodyText"/>
            </w:pPr>
            <w:r>
              <w:rPr>
                <w:b/>
              </w:rPr>
              <w:t>moveFromRangeEnd</w:t>
            </w:r>
            <w:r>
              <w:t xml:space="preserve"> (Move S</w:t>
            </w:r>
            <w:r>
              <w:t>ource Location Container - End)</w:t>
            </w:r>
          </w:p>
        </w:tc>
        <w:tc>
          <w:tcPr>
            <w:tcW w:w="0" w:type="auto"/>
            <w:vAlign w:val="center"/>
          </w:tcPr>
          <w:p w:rsidR="00024C0A" w:rsidRDefault="00694C0F">
            <w:pPr>
              <w:pStyle w:val="TableBodyText"/>
            </w:pPr>
            <w:r>
              <w:t>"[ISO/IEC-29500-1] §17.13.5.23"</w:t>
            </w:r>
          </w:p>
        </w:tc>
      </w:tr>
      <w:tr w:rsidR="00024C0A" w:rsidTr="00024C0A">
        <w:tc>
          <w:tcPr>
            <w:tcW w:w="0" w:type="auto"/>
            <w:vAlign w:val="center"/>
          </w:tcPr>
          <w:p w:rsidR="00024C0A" w:rsidRDefault="00694C0F">
            <w:pPr>
              <w:pStyle w:val="TableBodyText"/>
            </w:pPr>
            <w:r>
              <w:rPr>
                <w:b/>
              </w:rPr>
              <w:t>moveFromRangeStart</w:t>
            </w:r>
            <w:r>
              <w:t xml:space="preserve"> (Move Source Location Container - Start)</w:t>
            </w:r>
          </w:p>
        </w:tc>
        <w:tc>
          <w:tcPr>
            <w:tcW w:w="0" w:type="auto"/>
            <w:vAlign w:val="center"/>
          </w:tcPr>
          <w:p w:rsidR="00024C0A" w:rsidRDefault="00694C0F">
            <w:pPr>
              <w:pStyle w:val="TableBodyText"/>
            </w:pPr>
            <w:r>
              <w:t>"[ISO/IEC-29500-1] §17.13.5.24"</w:t>
            </w:r>
          </w:p>
        </w:tc>
      </w:tr>
      <w:tr w:rsidR="00024C0A" w:rsidTr="00024C0A">
        <w:tc>
          <w:tcPr>
            <w:tcW w:w="0" w:type="auto"/>
            <w:vAlign w:val="center"/>
          </w:tcPr>
          <w:p w:rsidR="00024C0A" w:rsidRDefault="00694C0F">
            <w:pPr>
              <w:pStyle w:val="TableBodyText"/>
            </w:pPr>
            <w:r>
              <w:rPr>
                <w:b/>
              </w:rPr>
              <w:t>moveTo</w:t>
            </w:r>
            <w:r>
              <w:t xml:space="preserve"> (Move Destination Run Content)</w:t>
            </w:r>
          </w:p>
        </w:tc>
        <w:tc>
          <w:tcPr>
            <w:tcW w:w="0" w:type="auto"/>
            <w:vAlign w:val="center"/>
          </w:tcPr>
          <w:p w:rsidR="00024C0A" w:rsidRDefault="00694C0F">
            <w:pPr>
              <w:pStyle w:val="TableBodyText"/>
            </w:pPr>
            <w:r>
              <w:t>"[ISO/IEC-29500-1] §17.13.5.25"</w:t>
            </w:r>
          </w:p>
        </w:tc>
      </w:tr>
      <w:tr w:rsidR="00024C0A" w:rsidTr="00024C0A">
        <w:tc>
          <w:tcPr>
            <w:tcW w:w="0" w:type="auto"/>
            <w:vAlign w:val="center"/>
          </w:tcPr>
          <w:p w:rsidR="00024C0A" w:rsidRDefault="00694C0F">
            <w:pPr>
              <w:pStyle w:val="TableBodyText"/>
            </w:pPr>
            <w:r>
              <w:rPr>
                <w:b/>
              </w:rPr>
              <w:t>moveToRangeEnd</w:t>
            </w:r>
            <w:r>
              <w:t xml:space="preserve"> (Move Destination Location Container - End)</w:t>
            </w:r>
          </w:p>
        </w:tc>
        <w:tc>
          <w:tcPr>
            <w:tcW w:w="0" w:type="auto"/>
            <w:vAlign w:val="center"/>
          </w:tcPr>
          <w:p w:rsidR="00024C0A" w:rsidRDefault="00694C0F">
            <w:pPr>
              <w:pStyle w:val="TableBodyText"/>
            </w:pPr>
            <w:r>
              <w:t>"[ISO/IEC-29500-1] §17.13.5.27"</w:t>
            </w:r>
          </w:p>
        </w:tc>
      </w:tr>
      <w:tr w:rsidR="00024C0A" w:rsidTr="00024C0A">
        <w:tc>
          <w:tcPr>
            <w:tcW w:w="0" w:type="auto"/>
            <w:vAlign w:val="center"/>
          </w:tcPr>
          <w:p w:rsidR="00024C0A" w:rsidRDefault="00694C0F">
            <w:pPr>
              <w:pStyle w:val="TableBodyText"/>
            </w:pPr>
            <w:r>
              <w:rPr>
                <w:b/>
              </w:rPr>
              <w:t>moveToRangeStart</w:t>
            </w:r>
            <w:r>
              <w:t xml:space="preserve"> (Move Destination Location Container - Start)</w:t>
            </w:r>
          </w:p>
        </w:tc>
        <w:tc>
          <w:tcPr>
            <w:tcW w:w="0" w:type="auto"/>
            <w:vAlign w:val="center"/>
          </w:tcPr>
          <w:p w:rsidR="00024C0A" w:rsidRDefault="00694C0F">
            <w:pPr>
              <w:pStyle w:val="TableBodyText"/>
            </w:pPr>
            <w:r>
              <w:t>"[ISO/IEC-29500-1] §17.13.5.28"</w:t>
            </w:r>
          </w:p>
        </w:tc>
      </w:tr>
      <w:tr w:rsidR="00024C0A" w:rsidTr="00024C0A">
        <w:tc>
          <w:tcPr>
            <w:tcW w:w="0" w:type="auto"/>
            <w:vAlign w:val="center"/>
          </w:tcPr>
          <w:p w:rsidR="00024C0A" w:rsidRDefault="00694C0F">
            <w:pPr>
              <w:pStyle w:val="TableBodyText"/>
            </w:pPr>
            <w:r>
              <w:rPr>
                <w:b/>
              </w:rPr>
              <w:t>nary</w:t>
            </w:r>
            <w:r>
              <w:t xml:space="preserve"> (n-ary Operator Object)</w:t>
            </w:r>
          </w:p>
        </w:tc>
        <w:tc>
          <w:tcPr>
            <w:tcW w:w="0" w:type="auto"/>
            <w:vAlign w:val="center"/>
          </w:tcPr>
          <w:p w:rsidR="00024C0A" w:rsidRDefault="00694C0F">
            <w:pPr>
              <w:pStyle w:val="TableBodyText"/>
            </w:pPr>
            <w:r>
              <w:t>"[ISO/IEC-29500-1] §22.1.2.70"</w:t>
            </w:r>
          </w:p>
        </w:tc>
      </w:tr>
      <w:tr w:rsidR="00024C0A" w:rsidTr="00024C0A">
        <w:tc>
          <w:tcPr>
            <w:tcW w:w="0" w:type="auto"/>
            <w:vAlign w:val="center"/>
          </w:tcPr>
          <w:p w:rsidR="00024C0A" w:rsidRDefault="00694C0F">
            <w:pPr>
              <w:pStyle w:val="TableBodyText"/>
            </w:pPr>
            <w:r>
              <w:rPr>
                <w:b/>
              </w:rPr>
              <w:t>oMath</w:t>
            </w:r>
            <w:r>
              <w:t xml:space="preserve"> (Office Math)</w:t>
            </w:r>
          </w:p>
        </w:tc>
        <w:tc>
          <w:tcPr>
            <w:tcW w:w="0" w:type="auto"/>
            <w:vAlign w:val="center"/>
          </w:tcPr>
          <w:p w:rsidR="00024C0A" w:rsidRDefault="00694C0F">
            <w:pPr>
              <w:pStyle w:val="TableBodyText"/>
            </w:pPr>
            <w:r>
              <w:t>"</w:t>
            </w:r>
            <w:r>
              <w:t>[ISO/IEC-29500-1] §22.1.2.77"</w:t>
            </w:r>
          </w:p>
        </w:tc>
      </w:tr>
      <w:tr w:rsidR="00024C0A" w:rsidTr="00024C0A">
        <w:tc>
          <w:tcPr>
            <w:tcW w:w="0" w:type="auto"/>
            <w:vAlign w:val="center"/>
          </w:tcPr>
          <w:p w:rsidR="00024C0A" w:rsidRDefault="00694C0F">
            <w:pPr>
              <w:pStyle w:val="TableBodyText"/>
            </w:pPr>
            <w:r>
              <w:rPr>
                <w:b/>
              </w:rPr>
              <w:t>oMathPara</w:t>
            </w:r>
            <w:r>
              <w:t xml:space="preserve"> (Office Math Paragraph)</w:t>
            </w:r>
          </w:p>
        </w:tc>
        <w:tc>
          <w:tcPr>
            <w:tcW w:w="0" w:type="auto"/>
            <w:vAlign w:val="center"/>
          </w:tcPr>
          <w:p w:rsidR="00024C0A" w:rsidRDefault="00694C0F">
            <w:pPr>
              <w:pStyle w:val="TableBodyText"/>
            </w:pPr>
            <w:r>
              <w:t>"[ISO/IEC-29500-1] §22.1.2.78"</w:t>
            </w:r>
          </w:p>
        </w:tc>
      </w:tr>
      <w:tr w:rsidR="00024C0A" w:rsidTr="00024C0A">
        <w:tc>
          <w:tcPr>
            <w:tcW w:w="0" w:type="auto"/>
            <w:vAlign w:val="center"/>
          </w:tcPr>
          <w:p w:rsidR="00024C0A" w:rsidRDefault="00694C0F">
            <w:pPr>
              <w:pStyle w:val="TableBodyText"/>
            </w:pPr>
            <w:r>
              <w:rPr>
                <w:b/>
              </w:rPr>
              <w:t>permEnd</w:t>
            </w:r>
            <w:r>
              <w:t xml:space="preserve"> (Range Permission End)</w:t>
            </w:r>
          </w:p>
        </w:tc>
        <w:tc>
          <w:tcPr>
            <w:tcW w:w="0" w:type="auto"/>
            <w:vAlign w:val="center"/>
          </w:tcPr>
          <w:p w:rsidR="00024C0A" w:rsidRDefault="00694C0F">
            <w:pPr>
              <w:pStyle w:val="TableBodyText"/>
            </w:pPr>
            <w:r>
              <w:t>"[ISO/IEC-29500-1] §17.13.7.1"</w:t>
            </w:r>
          </w:p>
        </w:tc>
      </w:tr>
      <w:tr w:rsidR="00024C0A" w:rsidTr="00024C0A">
        <w:tc>
          <w:tcPr>
            <w:tcW w:w="0" w:type="auto"/>
            <w:vAlign w:val="center"/>
          </w:tcPr>
          <w:p w:rsidR="00024C0A" w:rsidRDefault="00694C0F">
            <w:pPr>
              <w:pStyle w:val="TableBodyText"/>
            </w:pPr>
            <w:r>
              <w:rPr>
                <w:b/>
              </w:rPr>
              <w:t>permStart</w:t>
            </w:r>
            <w:r>
              <w:t xml:space="preserve"> (Range Permission Start)</w:t>
            </w:r>
          </w:p>
        </w:tc>
        <w:tc>
          <w:tcPr>
            <w:tcW w:w="0" w:type="auto"/>
            <w:vAlign w:val="center"/>
          </w:tcPr>
          <w:p w:rsidR="00024C0A" w:rsidRDefault="00694C0F">
            <w:pPr>
              <w:pStyle w:val="TableBodyText"/>
            </w:pPr>
            <w:r>
              <w:t>"[ISO/IEC-29500-1] §17.13.7.2"</w:t>
            </w:r>
          </w:p>
        </w:tc>
      </w:tr>
      <w:tr w:rsidR="00024C0A" w:rsidTr="00024C0A">
        <w:tc>
          <w:tcPr>
            <w:tcW w:w="0" w:type="auto"/>
            <w:vAlign w:val="center"/>
          </w:tcPr>
          <w:p w:rsidR="00024C0A" w:rsidRDefault="00694C0F">
            <w:pPr>
              <w:pStyle w:val="TableBodyText"/>
            </w:pPr>
            <w:r>
              <w:rPr>
                <w:b/>
              </w:rPr>
              <w:t>phant</w:t>
            </w:r>
            <w:r>
              <w:t xml:space="preserve"> (Phantom Object)</w:t>
            </w:r>
          </w:p>
        </w:tc>
        <w:tc>
          <w:tcPr>
            <w:tcW w:w="0" w:type="auto"/>
            <w:vAlign w:val="center"/>
          </w:tcPr>
          <w:p w:rsidR="00024C0A" w:rsidRDefault="00694C0F">
            <w:pPr>
              <w:pStyle w:val="TableBodyText"/>
            </w:pPr>
            <w:r>
              <w:t>"</w:t>
            </w:r>
            <w:r>
              <w:t>[ISO/IEC-29500-1] §22.1.2.81"</w:t>
            </w:r>
          </w:p>
        </w:tc>
      </w:tr>
      <w:tr w:rsidR="00024C0A" w:rsidTr="00024C0A">
        <w:tc>
          <w:tcPr>
            <w:tcW w:w="0" w:type="auto"/>
            <w:vAlign w:val="center"/>
          </w:tcPr>
          <w:p w:rsidR="00024C0A" w:rsidRDefault="00694C0F">
            <w:pPr>
              <w:pStyle w:val="TableBodyText"/>
            </w:pPr>
            <w:r>
              <w:rPr>
                <w:b/>
              </w:rPr>
              <w:t>proofErr</w:t>
            </w:r>
            <w:r>
              <w:t xml:space="preserve"> (Proofing Error Anchor)</w:t>
            </w:r>
          </w:p>
        </w:tc>
        <w:tc>
          <w:tcPr>
            <w:tcW w:w="0" w:type="auto"/>
            <w:vAlign w:val="center"/>
          </w:tcPr>
          <w:p w:rsidR="00024C0A" w:rsidRDefault="00694C0F">
            <w:pPr>
              <w:pStyle w:val="TableBodyText"/>
            </w:pPr>
            <w:r>
              <w:t>"[ISO/IEC-29500-1] §17.13.8.1"</w:t>
            </w:r>
          </w:p>
        </w:tc>
      </w:tr>
      <w:tr w:rsidR="00024C0A" w:rsidTr="00024C0A">
        <w:tc>
          <w:tcPr>
            <w:tcW w:w="0" w:type="auto"/>
            <w:vAlign w:val="center"/>
          </w:tcPr>
          <w:p w:rsidR="00024C0A" w:rsidRDefault="00694C0F">
            <w:pPr>
              <w:pStyle w:val="TableBodyText"/>
            </w:pPr>
            <w:r>
              <w:rPr>
                <w:b/>
              </w:rPr>
              <w:t>r</w:t>
            </w:r>
            <w:r>
              <w:t xml:space="preserve"> (Run)</w:t>
            </w:r>
          </w:p>
        </w:tc>
        <w:tc>
          <w:tcPr>
            <w:tcW w:w="0" w:type="auto"/>
            <w:vAlign w:val="center"/>
          </w:tcPr>
          <w:p w:rsidR="00024C0A" w:rsidRDefault="00694C0F">
            <w:pPr>
              <w:pStyle w:val="TableBodyText"/>
            </w:pPr>
            <w:r>
              <w:t>"[ISO/IEC-29500-1] §22.1.2.87"</w:t>
            </w:r>
          </w:p>
        </w:tc>
      </w:tr>
      <w:tr w:rsidR="00024C0A" w:rsidTr="00024C0A">
        <w:tc>
          <w:tcPr>
            <w:tcW w:w="0" w:type="auto"/>
            <w:vAlign w:val="center"/>
          </w:tcPr>
          <w:p w:rsidR="00024C0A" w:rsidRDefault="00694C0F">
            <w:pPr>
              <w:pStyle w:val="TableBodyText"/>
            </w:pPr>
            <w:r>
              <w:rPr>
                <w:b/>
              </w:rPr>
              <w:t>r</w:t>
            </w:r>
            <w:r>
              <w:t xml:space="preserve"> (Text Run)</w:t>
            </w:r>
          </w:p>
        </w:tc>
        <w:tc>
          <w:tcPr>
            <w:tcW w:w="0" w:type="auto"/>
            <w:vAlign w:val="center"/>
          </w:tcPr>
          <w:p w:rsidR="00024C0A" w:rsidRDefault="00694C0F">
            <w:pPr>
              <w:pStyle w:val="TableBodyText"/>
            </w:pPr>
            <w:r>
              <w:t xml:space="preserve">"[ISO/IEC-29500-1] </w:t>
            </w:r>
            <w:r>
              <w:lastRenderedPageBreak/>
              <w:t>§17.3.2.25"</w:t>
            </w:r>
          </w:p>
        </w:tc>
      </w:tr>
      <w:tr w:rsidR="00024C0A" w:rsidTr="00024C0A">
        <w:tc>
          <w:tcPr>
            <w:tcW w:w="0" w:type="auto"/>
            <w:vAlign w:val="center"/>
          </w:tcPr>
          <w:p w:rsidR="00024C0A" w:rsidRDefault="00694C0F">
            <w:pPr>
              <w:pStyle w:val="TableBodyText"/>
            </w:pPr>
            <w:r>
              <w:rPr>
                <w:b/>
              </w:rPr>
              <w:lastRenderedPageBreak/>
              <w:t>rad</w:t>
            </w:r>
            <w:r>
              <w:t xml:space="preserve"> (Radical Object)</w:t>
            </w:r>
          </w:p>
        </w:tc>
        <w:tc>
          <w:tcPr>
            <w:tcW w:w="0" w:type="auto"/>
            <w:vAlign w:val="center"/>
          </w:tcPr>
          <w:p w:rsidR="00024C0A" w:rsidRDefault="00694C0F">
            <w:pPr>
              <w:pStyle w:val="TableBodyText"/>
            </w:pPr>
            <w:r>
              <w:t>"[ISO/IEC-29500-1] §22.1.2.88"</w:t>
            </w:r>
          </w:p>
        </w:tc>
      </w:tr>
      <w:tr w:rsidR="00024C0A" w:rsidTr="00024C0A">
        <w:tc>
          <w:tcPr>
            <w:tcW w:w="0" w:type="auto"/>
            <w:vAlign w:val="center"/>
          </w:tcPr>
          <w:p w:rsidR="00024C0A" w:rsidRDefault="00694C0F">
            <w:pPr>
              <w:pStyle w:val="TableBodyText"/>
            </w:pPr>
            <w:r>
              <w:rPr>
                <w:b/>
              </w:rPr>
              <w:t>sdt</w:t>
            </w:r>
            <w:r>
              <w:t xml:space="preserve"> (Ruby Inline-Level Structured Document Tag)</w:t>
            </w:r>
          </w:p>
        </w:tc>
        <w:tc>
          <w:tcPr>
            <w:tcW w:w="0" w:type="auto"/>
            <w:vAlign w:val="center"/>
          </w:tcPr>
          <w:p w:rsidR="00024C0A" w:rsidRDefault="00694C0F">
            <w:pPr>
              <w:pStyle w:val="TableBodyText"/>
            </w:pPr>
            <w:r>
              <w:t>§</w:t>
            </w:r>
            <w:hyperlink w:anchor="Section_808b32d8ad644c849fb585ad68be54b9">
              <w:r>
                <w:rPr>
                  <w:rStyle w:val="Hyperlink"/>
                </w:rPr>
                <w:t>3.1.3.1.6, sdt</w:t>
              </w:r>
            </w:hyperlink>
          </w:p>
        </w:tc>
      </w:tr>
      <w:tr w:rsidR="00024C0A" w:rsidTr="00024C0A">
        <w:tc>
          <w:tcPr>
            <w:tcW w:w="0" w:type="auto"/>
            <w:vAlign w:val="center"/>
          </w:tcPr>
          <w:p w:rsidR="00024C0A" w:rsidRDefault="00694C0F">
            <w:pPr>
              <w:pStyle w:val="TableBodyText"/>
            </w:pPr>
            <w:r>
              <w:rPr>
                <w:b/>
              </w:rPr>
              <w:t>sPre</w:t>
            </w:r>
            <w:r>
              <w:t xml:space="preserve"> (Pre-Sub-Superscript Object)</w:t>
            </w:r>
          </w:p>
        </w:tc>
        <w:tc>
          <w:tcPr>
            <w:tcW w:w="0" w:type="auto"/>
            <w:vAlign w:val="center"/>
          </w:tcPr>
          <w:p w:rsidR="00024C0A" w:rsidRDefault="00694C0F">
            <w:pPr>
              <w:pStyle w:val="TableBodyText"/>
            </w:pPr>
            <w:r>
              <w:t>"[ISO/IEC-29500-1] §22.1.2.99"</w:t>
            </w:r>
          </w:p>
        </w:tc>
      </w:tr>
      <w:tr w:rsidR="00024C0A" w:rsidTr="00024C0A">
        <w:tc>
          <w:tcPr>
            <w:tcW w:w="0" w:type="auto"/>
            <w:vAlign w:val="center"/>
          </w:tcPr>
          <w:p w:rsidR="00024C0A" w:rsidRDefault="00694C0F">
            <w:pPr>
              <w:pStyle w:val="TableBodyText"/>
            </w:pPr>
            <w:r>
              <w:rPr>
                <w:b/>
              </w:rPr>
              <w:t>sSub</w:t>
            </w:r>
            <w:r>
              <w:t xml:space="preserve"> (Subscript Object)</w:t>
            </w:r>
          </w:p>
        </w:tc>
        <w:tc>
          <w:tcPr>
            <w:tcW w:w="0" w:type="auto"/>
            <w:vAlign w:val="center"/>
          </w:tcPr>
          <w:p w:rsidR="00024C0A" w:rsidRDefault="00694C0F">
            <w:pPr>
              <w:pStyle w:val="TableBodyText"/>
            </w:pPr>
            <w:r>
              <w:t>"[ISO/IEC-29500-1] §22.1.2.101"</w:t>
            </w:r>
          </w:p>
        </w:tc>
      </w:tr>
      <w:tr w:rsidR="00024C0A" w:rsidTr="00024C0A">
        <w:tc>
          <w:tcPr>
            <w:tcW w:w="0" w:type="auto"/>
            <w:vAlign w:val="center"/>
          </w:tcPr>
          <w:p w:rsidR="00024C0A" w:rsidRDefault="00694C0F">
            <w:pPr>
              <w:pStyle w:val="TableBodyText"/>
            </w:pPr>
            <w:r>
              <w:rPr>
                <w:b/>
              </w:rPr>
              <w:t>sSubSup</w:t>
            </w:r>
            <w:r>
              <w:t xml:space="preserve"> (Sub-Superscript Object)</w:t>
            </w:r>
          </w:p>
        </w:tc>
        <w:tc>
          <w:tcPr>
            <w:tcW w:w="0" w:type="auto"/>
            <w:vAlign w:val="center"/>
          </w:tcPr>
          <w:p w:rsidR="00024C0A" w:rsidRDefault="00694C0F">
            <w:pPr>
              <w:pStyle w:val="TableBodyText"/>
            </w:pPr>
            <w:r>
              <w:t>"[ISO/IEC-29500-1] §22.1.2.103"</w:t>
            </w:r>
          </w:p>
        </w:tc>
      </w:tr>
      <w:tr w:rsidR="00024C0A" w:rsidTr="00024C0A">
        <w:tc>
          <w:tcPr>
            <w:tcW w:w="0" w:type="auto"/>
            <w:vAlign w:val="center"/>
          </w:tcPr>
          <w:p w:rsidR="00024C0A" w:rsidRDefault="00694C0F">
            <w:pPr>
              <w:pStyle w:val="TableBodyText"/>
            </w:pPr>
            <w:r>
              <w:rPr>
                <w:b/>
              </w:rPr>
              <w:t>sSup</w:t>
            </w:r>
            <w:r>
              <w:t xml:space="preserve"> (Superscript Object)</w:t>
            </w:r>
          </w:p>
        </w:tc>
        <w:tc>
          <w:tcPr>
            <w:tcW w:w="0" w:type="auto"/>
            <w:vAlign w:val="center"/>
          </w:tcPr>
          <w:p w:rsidR="00024C0A" w:rsidRDefault="00694C0F">
            <w:pPr>
              <w:pStyle w:val="TableBodyText"/>
            </w:pPr>
            <w:r>
              <w:t>"[ISO/IEC-29500-1] §22.1.2.105"</w:t>
            </w:r>
          </w:p>
        </w:tc>
      </w:tr>
    </w:tbl>
    <w:p w:rsidR="00024C0A" w:rsidRDefault="00024C0A"/>
    <w:p w:rsidR="00024C0A" w:rsidRDefault="00024C0A"/>
    <w:tbl>
      <w:tblPr>
        <w:tblStyle w:val="Table-ShadedHeader"/>
        <w:tblW w:w="0" w:type="auto"/>
        <w:tblLook w:val="04A0" w:firstRow="1" w:lastRow="0" w:firstColumn="1" w:lastColumn="0" w:noHBand="0" w:noVBand="1"/>
      </w:tblPr>
      <w:tblGrid>
        <w:gridCol w:w="3414"/>
        <w:gridCol w:w="606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Attributes</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anchor</w:t>
            </w:r>
            <w:r>
              <w:t xml:space="preserve"> (Hyperlink Anchor)</w:t>
            </w:r>
          </w:p>
        </w:tc>
        <w:tc>
          <w:tcPr>
            <w:tcW w:w="0" w:type="auto"/>
            <w:vAlign w:val="center"/>
          </w:tcPr>
          <w:p w:rsidR="00024C0A" w:rsidRDefault="00694C0F">
            <w:pPr>
              <w:pStyle w:val="TableBodyText"/>
            </w:pPr>
            <w:r>
              <w:t xml:space="preserve">Specifies the name of a bookmark in the current document which shall be the target of </w:t>
            </w:r>
            <w:r>
              <w:t xml:space="preserve">this hyperlink. </w:t>
            </w:r>
          </w:p>
          <w:p w:rsidR="00024C0A" w:rsidRDefault="00024C0A">
            <w:pPr>
              <w:pStyle w:val="TableBodyText"/>
            </w:pPr>
          </w:p>
          <w:p w:rsidR="00024C0A" w:rsidRDefault="00694C0F">
            <w:pPr>
              <w:pStyle w:val="TableBodyText"/>
            </w:pPr>
            <w:r>
              <w:t xml:space="preserve">If this attribute is omitted, then the default behavior shall be to navigate to the start of the document. If a hyperlink target is also specified using the </w:t>
            </w:r>
            <w:r>
              <w:rPr>
                <w:b/>
              </w:rPr>
              <w:t>r:id</w:t>
            </w:r>
            <w:r>
              <w:t xml:space="preserve"> attribute, then this attribute shall be ignored. If no bookmark exists in the current document with the given bookmark name, then the default behavior shall be to navigate to the start of the document.</w:t>
            </w:r>
          </w:p>
          <w:p w:rsidR="00024C0A" w:rsidRDefault="00024C0A">
            <w:pPr>
              <w:pStyle w:val="TableBodyText"/>
            </w:pPr>
          </w:p>
          <w:p w:rsidR="00024C0A" w:rsidRDefault="00694C0F">
            <w:pPr>
              <w:pStyle w:val="TableBodyText"/>
            </w:pPr>
            <w:r>
              <w:t>[Example: Consider the following WordprocessingML fr</w:t>
            </w:r>
            <w:r>
              <w:t>agment for a hyperlink:</w:t>
            </w:r>
          </w:p>
          <w:p w:rsidR="00024C0A" w:rsidRDefault="00024C0A">
            <w:pPr>
              <w:pStyle w:val="TableBodyText"/>
            </w:pPr>
          </w:p>
          <w:p w:rsidR="00024C0A" w:rsidRDefault="00694C0F">
            <w:pPr>
              <w:pStyle w:val="Code"/>
            </w:pPr>
            <w:r>
              <w:t>&lt;w:hyperlink w:anchor="chapter3"&gt;</w:t>
            </w:r>
          </w:p>
          <w:p w:rsidR="00024C0A" w:rsidRDefault="00694C0F">
            <w:pPr>
              <w:pStyle w:val="Code"/>
            </w:pPr>
            <w:r>
              <w:t xml:space="preserve">  &lt;w:r&gt;</w:t>
            </w:r>
          </w:p>
          <w:p w:rsidR="00024C0A" w:rsidRDefault="00694C0F">
            <w:pPr>
              <w:pStyle w:val="Code"/>
            </w:pPr>
            <w:r>
              <w:t xml:space="preserve">    &lt;w:t&gt;Go to Chapter Three&lt;/w:t&gt;</w:t>
            </w:r>
          </w:p>
          <w:p w:rsidR="00024C0A" w:rsidRDefault="00694C0F">
            <w:pPr>
              <w:pStyle w:val="Code"/>
            </w:pPr>
            <w:r>
              <w:t xml:space="preserve">  &lt;/w:r&gt;</w:t>
            </w:r>
          </w:p>
          <w:p w:rsidR="00024C0A" w:rsidRDefault="00694C0F">
            <w:pPr>
              <w:pStyle w:val="Code"/>
            </w:pPr>
            <w:r>
              <w:t>&lt;/w:hyperlink&gt;</w:t>
            </w:r>
          </w:p>
          <w:p w:rsidR="00024C0A" w:rsidRDefault="00024C0A">
            <w:pPr>
              <w:pStyle w:val="TableBodyText"/>
            </w:pPr>
          </w:p>
          <w:p w:rsidR="00024C0A" w:rsidRDefault="00694C0F">
            <w:pPr>
              <w:pStyle w:val="TableBodyText"/>
            </w:pPr>
            <w:r>
              <w:t xml:space="preserve">The </w:t>
            </w:r>
            <w:r>
              <w:rPr>
                <w:b/>
              </w:rPr>
              <w:t>anchor</w:t>
            </w:r>
            <w:r>
              <w:t xml:space="preserve"> attribute specifies that the target of the current hyperlink shall be the text contained within the bookmark </w:t>
            </w:r>
            <w:r>
              <w:rPr>
                <w:i/>
              </w:rPr>
              <w:t>chapter3</w:t>
            </w:r>
            <w:r>
              <w:t xml:space="preserve"> </w:t>
            </w:r>
            <w:r>
              <w:t>within the document. end example]</w:t>
            </w:r>
          </w:p>
          <w:p w:rsidR="00024C0A" w:rsidRDefault="00024C0A">
            <w:pPr>
              <w:pStyle w:val="TableBodyText"/>
            </w:pPr>
          </w:p>
          <w:p w:rsidR="00024C0A" w:rsidRDefault="00694C0F">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024C0A" w:rsidTr="00024C0A">
        <w:tc>
          <w:tcPr>
            <w:tcW w:w="0" w:type="auto"/>
            <w:vAlign w:val="center"/>
          </w:tcPr>
          <w:p w:rsidR="00024C0A" w:rsidRDefault="00694C0F">
            <w:pPr>
              <w:pStyle w:val="TableBodyText"/>
            </w:pPr>
            <w:r>
              <w:rPr>
                <w:b/>
              </w:rPr>
              <w:t>docLocation</w:t>
            </w:r>
            <w:r>
              <w:t xml:space="preserve"> (Location in Target Document)</w:t>
            </w:r>
          </w:p>
        </w:tc>
        <w:tc>
          <w:tcPr>
            <w:tcW w:w="0" w:type="auto"/>
            <w:vAlign w:val="center"/>
          </w:tcPr>
          <w:p w:rsidR="00024C0A" w:rsidRDefault="00694C0F">
            <w:pPr>
              <w:pStyle w:val="TableBodyText"/>
            </w:pPr>
            <w:r>
              <w:t>Spec</w:t>
            </w:r>
            <w:r>
              <w:t>ifies a location in the target of the hyperlink that has no bookmarks.</w:t>
            </w:r>
          </w:p>
          <w:p w:rsidR="00024C0A" w:rsidRDefault="00024C0A">
            <w:pPr>
              <w:pStyle w:val="TableBodyText"/>
            </w:pPr>
          </w:p>
          <w:p w:rsidR="00024C0A" w:rsidRDefault="00694C0F">
            <w:pPr>
              <w:pStyle w:val="TableBodyText"/>
            </w:pPr>
            <w:r>
              <w:t xml:space="preserve">If this attribute is omitted, then no location shall be associated with the parent hyperlink. If the </w:t>
            </w:r>
            <w:r>
              <w:rPr>
                <w:b/>
              </w:rPr>
              <w:t>anchor</w:t>
            </w:r>
            <w:r>
              <w:t xml:space="preserve"> attribute is also specified, then this </w:t>
            </w:r>
            <w:r>
              <w:lastRenderedPageBreak/>
              <w:t>attribute may be ignored when the hyp</w:t>
            </w:r>
            <w:r>
              <w:t>erlink is invoked.</w:t>
            </w:r>
          </w:p>
          <w:p w:rsidR="00024C0A" w:rsidRDefault="00024C0A">
            <w:pPr>
              <w:pStyle w:val="TableBodyText"/>
            </w:pPr>
          </w:p>
          <w:p w:rsidR="00024C0A" w:rsidRDefault="00694C0F">
            <w:pPr>
              <w:pStyle w:val="TableBodyText"/>
            </w:pPr>
            <w:r>
              <w:t>[Example: Consider the following WordprocessingML fragment for a hyperlink:</w:t>
            </w:r>
          </w:p>
          <w:p w:rsidR="00024C0A" w:rsidRDefault="00024C0A">
            <w:pPr>
              <w:pStyle w:val="TableBodyText"/>
            </w:pPr>
          </w:p>
          <w:p w:rsidR="00024C0A" w:rsidRDefault="00694C0F">
            <w:pPr>
              <w:pStyle w:val="Code"/>
            </w:pPr>
            <w:r>
              <w:t>&lt;w:hyperlink r:id="rId9" w:docLocation="table"&gt;</w:t>
            </w:r>
          </w:p>
          <w:p w:rsidR="00024C0A" w:rsidRDefault="00694C0F">
            <w:pPr>
              <w:pStyle w:val="Code"/>
            </w:pPr>
            <w:r>
              <w:t xml:space="preserve">  &lt;w:r&gt;</w:t>
            </w:r>
          </w:p>
          <w:p w:rsidR="00024C0A" w:rsidRDefault="00694C0F">
            <w:pPr>
              <w:pStyle w:val="Code"/>
            </w:pPr>
            <w:r>
              <w:t xml:space="preserve">    &lt;w:t&gt;Click Here&lt;/w:t&gt;</w:t>
            </w:r>
          </w:p>
          <w:p w:rsidR="00024C0A" w:rsidRDefault="00694C0F">
            <w:pPr>
              <w:pStyle w:val="Code"/>
            </w:pPr>
            <w:r>
              <w:t xml:space="preserve">  &lt;/w:r&gt;</w:t>
            </w:r>
          </w:p>
          <w:p w:rsidR="00024C0A" w:rsidRDefault="00694C0F">
            <w:pPr>
              <w:pStyle w:val="Code"/>
            </w:pPr>
            <w:r>
              <w:t>&lt;/w:hyperlink&gt;</w:t>
            </w:r>
          </w:p>
          <w:p w:rsidR="00024C0A" w:rsidRDefault="00024C0A">
            <w:pPr>
              <w:pStyle w:val="TableBodyText"/>
            </w:pPr>
          </w:p>
          <w:p w:rsidR="00024C0A" w:rsidRDefault="00694C0F">
            <w:pPr>
              <w:pStyle w:val="TableBodyText"/>
            </w:pPr>
            <w:r>
              <w:t xml:space="preserve">The </w:t>
            </w:r>
            <w:r>
              <w:rPr>
                <w:b/>
              </w:rPr>
              <w:t>docLocation</w:t>
            </w:r>
            <w:r>
              <w:t xml:space="preserve"> attribute specifies that the target of the current hyperlink shall be a region targeted by the string </w:t>
            </w:r>
            <w:r>
              <w:rPr>
                <w:i/>
              </w:rPr>
              <w:t>table</w:t>
            </w:r>
            <w:r>
              <w:t xml:space="preserve"> within the target document. end example]</w:t>
            </w:r>
          </w:p>
          <w:p w:rsidR="00024C0A" w:rsidRDefault="00024C0A">
            <w:pPr>
              <w:pStyle w:val="TableBodyText"/>
            </w:pPr>
          </w:p>
          <w:p w:rsidR="00024C0A" w:rsidRDefault="00694C0F">
            <w:pPr>
              <w:pStyle w:val="TableBodyText"/>
            </w:pPr>
            <w:r>
              <w:t>The possible values for this attribute are defined by the ST_String255 simple type (§3.1.3.3.9, ST_String</w:t>
            </w:r>
            <w:r>
              <w:t>255).</w:t>
            </w:r>
          </w:p>
        </w:tc>
      </w:tr>
      <w:tr w:rsidR="00024C0A" w:rsidTr="00024C0A">
        <w:tc>
          <w:tcPr>
            <w:tcW w:w="0" w:type="auto"/>
            <w:vAlign w:val="center"/>
          </w:tcPr>
          <w:p w:rsidR="00024C0A" w:rsidRDefault="00694C0F">
            <w:pPr>
              <w:pStyle w:val="TableBodyText"/>
            </w:pPr>
            <w:r>
              <w:rPr>
                <w:b/>
              </w:rPr>
              <w:lastRenderedPageBreak/>
              <w:t>history</w:t>
            </w:r>
            <w:r>
              <w:t xml:space="preserve"> (Add to Viewed Hyperlinks)</w:t>
            </w:r>
          </w:p>
        </w:tc>
        <w:tc>
          <w:tcPr>
            <w:tcW w:w="0" w:type="auto"/>
            <w:vAlign w:val="center"/>
          </w:tcPr>
          <w:p w:rsidR="00024C0A" w:rsidRDefault="00694C0F">
            <w:pPr>
              <w:pStyle w:val="TableBodyText"/>
            </w:pPr>
            <w:r>
              <w:t xml:space="preserve">Specifies whether the target of the parent hyperlink (as specified via the </w:t>
            </w:r>
            <w:r>
              <w:rPr>
                <w:b/>
              </w:rPr>
              <w:t>r:id</w:t>
            </w:r>
            <w:r>
              <w:t xml:space="preserve"> attribute) shall be added to a list of viewed hyperlinks when it is invoked.</w:t>
            </w:r>
          </w:p>
          <w:p w:rsidR="00024C0A" w:rsidRDefault="00024C0A">
            <w:pPr>
              <w:pStyle w:val="TableBodyText"/>
            </w:pPr>
          </w:p>
          <w:p w:rsidR="00024C0A" w:rsidRDefault="00694C0F">
            <w:pPr>
              <w:pStyle w:val="TableBodyText"/>
            </w:pPr>
            <w:r>
              <w:t>If this attribute is omitted, then its value shall be as</w:t>
            </w:r>
            <w:r>
              <w:t xml:space="preserve">sumed to be </w:t>
            </w:r>
            <w:r>
              <w:rPr>
                <w:i/>
              </w:rPr>
              <w:t>false</w:t>
            </w:r>
            <w:r>
              <w:t>.</w:t>
            </w:r>
          </w:p>
          <w:p w:rsidR="00024C0A" w:rsidRDefault="00024C0A">
            <w:pPr>
              <w:pStyle w:val="TableBodyText"/>
            </w:pPr>
          </w:p>
          <w:p w:rsidR="00024C0A" w:rsidRDefault="00694C0F">
            <w:pPr>
              <w:pStyle w:val="TableBodyText"/>
            </w:pPr>
            <w:r>
              <w:t>[Example: Consider the following WordprocessingML fragment for a hyperlink:</w:t>
            </w:r>
          </w:p>
          <w:p w:rsidR="00024C0A" w:rsidRDefault="00024C0A">
            <w:pPr>
              <w:pStyle w:val="TableBodyText"/>
            </w:pPr>
          </w:p>
          <w:p w:rsidR="00024C0A" w:rsidRDefault="00694C0F">
            <w:pPr>
              <w:pStyle w:val="Code"/>
            </w:pPr>
            <w:r>
              <w:t>&lt;w:hyperlink r:id="rId9" w:history="true"&gt;</w:t>
            </w:r>
          </w:p>
          <w:p w:rsidR="00024C0A" w:rsidRDefault="00694C0F">
            <w:pPr>
              <w:pStyle w:val="Code"/>
            </w:pPr>
            <w:r>
              <w:t xml:space="preserve">  &lt;w:r&gt;</w:t>
            </w:r>
          </w:p>
          <w:p w:rsidR="00024C0A" w:rsidRDefault="00694C0F">
            <w:pPr>
              <w:pStyle w:val="Code"/>
            </w:pPr>
            <w:r>
              <w:t xml:space="preserve">    &lt;w:t&gt;http://example.com&lt;/w:t&gt;</w:t>
            </w:r>
          </w:p>
          <w:p w:rsidR="00024C0A" w:rsidRDefault="00694C0F">
            <w:pPr>
              <w:pStyle w:val="Code"/>
            </w:pPr>
            <w:r>
              <w:t xml:space="preserve">  &lt;/w:r&gt;</w:t>
            </w:r>
          </w:p>
          <w:p w:rsidR="00024C0A" w:rsidRDefault="00694C0F">
            <w:pPr>
              <w:pStyle w:val="Code"/>
            </w:pPr>
            <w:r>
              <w:t>&lt;/w:hyperlink&gt;</w:t>
            </w:r>
          </w:p>
          <w:p w:rsidR="00024C0A" w:rsidRDefault="00024C0A">
            <w:pPr>
              <w:pStyle w:val="TableBodyText"/>
            </w:pPr>
          </w:p>
          <w:p w:rsidR="00024C0A" w:rsidRDefault="00694C0F">
            <w:pPr>
              <w:pStyle w:val="TableBodyText"/>
            </w:pPr>
            <w:r>
              <w:t xml:space="preserve">The </w:t>
            </w:r>
            <w:r>
              <w:rPr>
                <w:b/>
              </w:rPr>
              <w:t>history</w:t>
            </w:r>
            <w:r>
              <w:t xml:space="preserve"> attribute value of </w:t>
            </w:r>
            <w:r>
              <w:rPr>
                <w:i/>
              </w:rPr>
              <w:t>true</w:t>
            </w:r>
            <w:r>
              <w:t xml:space="preserve"> specifies tha</w:t>
            </w:r>
            <w:r>
              <w:t>t the target of the current hyperlink shall be added to a list of visited hyperlinks when invoked within the document. end example]</w:t>
            </w:r>
          </w:p>
          <w:p w:rsidR="00024C0A" w:rsidRDefault="00024C0A">
            <w:pPr>
              <w:pStyle w:val="TableBodyText"/>
            </w:pPr>
          </w:p>
          <w:p w:rsidR="00024C0A" w:rsidRDefault="00694C0F">
            <w:pPr>
              <w:pStyle w:val="TableBodyText"/>
            </w:pPr>
            <w:r>
              <w:t>The possible values for this attribute are defined by the ST_OnOff simple type (§</w:t>
            </w:r>
            <w:hyperlink w:anchor="Section_79cbec698430479d88c056dd44369074">
              <w:r>
                <w:rPr>
                  <w:rStyle w:val="Hyperlink"/>
                </w:rPr>
                <w:t>3.1.3.3.6, ST_OnOff</w:t>
              </w:r>
            </w:hyperlink>
            <w:r>
              <w:t>).</w:t>
            </w:r>
          </w:p>
        </w:tc>
      </w:tr>
      <w:tr w:rsidR="00024C0A" w:rsidTr="00024C0A">
        <w:tc>
          <w:tcPr>
            <w:tcW w:w="0" w:type="auto"/>
            <w:vAlign w:val="center"/>
          </w:tcPr>
          <w:p w:rsidR="00024C0A" w:rsidRDefault="00694C0F">
            <w:pPr>
              <w:pStyle w:val="TableBodyText"/>
            </w:pPr>
            <w:r>
              <w:rPr>
                <w:b/>
              </w:rPr>
              <w:t>id</w:t>
            </w:r>
            <w:r>
              <w:t xml:space="preserve"> (Hyperlink Target)</w:t>
            </w:r>
          </w:p>
          <w:p w:rsidR="00024C0A" w:rsidRDefault="00024C0A">
            <w:pPr>
              <w:pStyle w:val="TableBodyText"/>
            </w:pPr>
          </w:p>
          <w:p w:rsidR="00024C0A" w:rsidRDefault="00694C0F">
            <w:pPr>
              <w:pStyle w:val="TableBodyText"/>
            </w:pPr>
            <w:r>
              <w:t>Namespace: .../officeDocument/2006/relationships</w:t>
            </w:r>
          </w:p>
        </w:tc>
        <w:tc>
          <w:tcPr>
            <w:tcW w:w="0" w:type="auto"/>
            <w:vAlign w:val="center"/>
          </w:tcPr>
          <w:p w:rsidR="00024C0A" w:rsidRDefault="00694C0F">
            <w:pPr>
              <w:pStyle w:val="TableBodyText"/>
            </w:pPr>
            <w:r>
              <w:t>Specifies the ID of the relationship whose target shall be used as the target for this hyperlink.</w:t>
            </w:r>
          </w:p>
          <w:p w:rsidR="00024C0A" w:rsidRDefault="00024C0A">
            <w:pPr>
              <w:pStyle w:val="TableBodyText"/>
            </w:pPr>
          </w:p>
          <w:p w:rsidR="00024C0A" w:rsidRDefault="00694C0F">
            <w:pPr>
              <w:pStyle w:val="TableBodyText"/>
            </w:pPr>
            <w:r>
              <w:t>I</w:t>
            </w:r>
            <w:r>
              <w:t xml:space="preserve">f the </w:t>
            </w:r>
            <w:r>
              <w:rPr>
                <w:b/>
              </w:rPr>
              <w:t>id</w:t>
            </w:r>
            <w:r>
              <w:t xml:space="preserve"> attribute is omitted, then there shall be no external target for the current hyperlink, although a location in the current document may still be specified as a target via the </w:t>
            </w:r>
            <w:r>
              <w:rPr>
                <w:b/>
              </w:rPr>
              <w:t>anchor</w:t>
            </w:r>
            <w:r>
              <w:t xml:space="preserve"> attribute. If the </w:t>
            </w:r>
            <w:r>
              <w:rPr>
                <w:b/>
              </w:rPr>
              <w:t>id</w:t>
            </w:r>
            <w:r>
              <w:t xml:space="preserve"> attribute exists, it shall supersede the val</w:t>
            </w:r>
            <w:r>
              <w:t xml:space="preserve">ue in the </w:t>
            </w:r>
            <w:r>
              <w:rPr>
                <w:b/>
              </w:rPr>
              <w:t>anchor</w:t>
            </w:r>
            <w:r>
              <w:t xml:space="preserve"> attribute.</w:t>
            </w:r>
          </w:p>
          <w:p w:rsidR="00024C0A" w:rsidRDefault="00024C0A">
            <w:pPr>
              <w:pStyle w:val="TableBodyText"/>
            </w:pPr>
          </w:p>
          <w:p w:rsidR="00024C0A" w:rsidRDefault="00694C0F">
            <w:pPr>
              <w:pStyle w:val="TableBodyText"/>
            </w:pPr>
            <w:r>
              <w:t>[Example: Consider the following WordprocessingML fragment for a hyperlink:</w:t>
            </w:r>
          </w:p>
          <w:p w:rsidR="00024C0A" w:rsidRDefault="00024C0A">
            <w:pPr>
              <w:pStyle w:val="TableBodyText"/>
            </w:pPr>
          </w:p>
          <w:p w:rsidR="00024C0A" w:rsidRDefault="00694C0F">
            <w:pPr>
              <w:pStyle w:val="Code"/>
            </w:pPr>
            <w:r>
              <w:lastRenderedPageBreak/>
              <w:t>&lt;w:hyperlink r:id="rId9"&gt;</w:t>
            </w:r>
          </w:p>
          <w:p w:rsidR="00024C0A" w:rsidRDefault="00694C0F">
            <w:pPr>
              <w:pStyle w:val="Code"/>
            </w:pPr>
            <w:r>
              <w:t xml:space="preserve">  &lt;w:r&gt;</w:t>
            </w:r>
          </w:p>
          <w:p w:rsidR="00024C0A" w:rsidRDefault="00694C0F">
            <w:pPr>
              <w:pStyle w:val="Code"/>
            </w:pPr>
            <w:r>
              <w:t xml:space="preserve">    &lt;w:t&gt;http://example.com&lt;/w:t&gt;</w:t>
            </w:r>
          </w:p>
          <w:p w:rsidR="00024C0A" w:rsidRDefault="00694C0F">
            <w:pPr>
              <w:pStyle w:val="Code"/>
            </w:pPr>
            <w:r>
              <w:t xml:space="preserve">  &lt;/w:r&gt;</w:t>
            </w:r>
          </w:p>
          <w:p w:rsidR="00024C0A" w:rsidRDefault="00694C0F">
            <w:pPr>
              <w:pStyle w:val="Code"/>
            </w:pPr>
            <w:r>
              <w:t>&lt;/w:hyperlink&gt;</w:t>
            </w:r>
          </w:p>
          <w:p w:rsidR="00024C0A" w:rsidRDefault="00024C0A">
            <w:pPr>
              <w:pStyle w:val="TableBodyText"/>
            </w:pPr>
          </w:p>
          <w:p w:rsidR="00024C0A" w:rsidRDefault="00694C0F">
            <w:pPr>
              <w:pStyle w:val="TableBodyText"/>
            </w:pPr>
            <w:r>
              <w:t xml:space="preserve">An </w:t>
            </w:r>
            <w:r>
              <w:rPr>
                <w:b/>
              </w:rPr>
              <w:t>id</w:t>
            </w:r>
            <w:r>
              <w:t xml:space="preserve"> attribute value of </w:t>
            </w:r>
            <w:r>
              <w:rPr>
                <w:i/>
              </w:rPr>
              <w:t>rId9</w:t>
            </w:r>
            <w:r>
              <w:t xml:space="preserve"> specifies that the relation</w:t>
            </w:r>
            <w:r>
              <w:t xml:space="preserve">ship in the associated relationship part item with a corresponding </w:t>
            </w:r>
            <w:r>
              <w:rPr>
                <w:b/>
              </w:rPr>
              <w:t>Id</w:t>
            </w:r>
            <w:r>
              <w:t xml:space="preserve"> attribute value shall be navigated to when this hyperlink is invoked. For example, if the following XML is present in the associated relationship part item:</w:t>
            </w:r>
          </w:p>
          <w:p w:rsidR="00024C0A" w:rsidRDefault="00024C0A">
            <w:pPr>
              <w:pStyle w:val="TableBodyText"/>
            </w:pPr>
          </w:p>
          <w:p w:rsidR="00024C0A" w:rsidRDefault="00694C0F">
            <w:pPr>
              <w:pStyle w:val="Code"/>
            </w:pPr>
            <w:r>
              <w:t>&lt;Relationships xmlns="…"&gt;</w:t>
            </w:r>
          </w:p>
          <w:p w:rsidR="00024C0A" w:rsidRDefault="00694C0F">
            <w:pPr>
              <w:pStyle w:val="Code"/>
            </w:pPr>
            <w:r>
              <w:t xml:space="preserve">  </w:t>
            </w:r>
            <w:r>
              <w:t>&lt;Relationship Id="rId9" Mode="External" Target=http://www.contoso.com /&gt;</w:t>
            </w:r>
          </w:p>
          <w:p w:rsidR="00024C0A" w:rsidRDefault="00694C0F">
            <w:pPr>
              <w:pStyle w:val="Code"/>
            </w:pPr>
            <w:r>
              <w:t>&lt;/Relationships&gt;</w:t>
            </w:r>
          </w:p>
          <w:p w:rsidR="00024C0A" w:rsidRDefault="00024C0A">
            <w:pPr>
              <w:pStyle w:val="TableBodyText"/>
            </w:pPr>
          </w:p>
          <w:p w:rsidR="00024C0A" w:rsidRDefault="00694C0F">
            <w:pPr>
              <w:pStyle w:val="TableBodyText"/>
            </w:pPr>
            <w:r>
              <w:t xml:space="preserve">The target of this hyperlink would therefore be the target of relationship </w:t>
            </w:r>
            <w:r>
              <w:rPr>
                <w:i/>
              </w:rPr>
              <w:t>rId9</w:t>
            </w:r>
            <w:r>
              <w:t xml:space="preserve"> - in this case, </w:t>
            </w:r>
            <w:r>
              <w:rPr>
                <w:i/>
              </w:rPr>
              <w:t>http://www.contoso.com</w:t>
            </w:r>
            <w:r>
              <w:t>. end example]</w:t>
            </w:r>
          </w:p>
          <w:p w:rsidR="00024C0A" w:rsidRDefault="00024C0A">
            <w:pPr>
              <w:pStyle w:val="TableBodyText"/>
            </w:pPr>
          </w:p>
          <w:p w:rsidR="00024C0A" w:rsidRDefault="00694C0F">
            <w:pPr>
              <w:pStyle w:val="TableBodyText"/>
            </w:pPr>
            <w:r>
              <w:t xml:space="preserve">The possible values for this </w:t>
            </w:r>
            <w:r>
              <w:t>attribute are defined by the ST_RelationshipId simple type ("[ISO/IEC-29500-1] §22.8.2.1").</w:t>
            </w:r>
          </w:p>
        </w:tc>
      </w:tr>
      <w:tr w:rsidR="00024C0A" w:rsidTr="00024C0A">
        <w:tc>
          <w:tcPr>
            <w:tcW w:w="0" w:type="auto"/>
            <w:vAlign w:val="center"/>
          </w:tcPr>
          <w:p w:rsidR="00024C0A" w:rsidRDefault="00694C0F">
            <w:pPr>
              <w:pStyle w:val="TableBodyText"/>
            </w:pPr>
            <w:r>
              <w:rPr>
                <w:b/>
              </w:rPr>
              <w:lastRenderedPageBreak/>
              <w:t>tgtFrame</w:t>
            </w:r>
            <w:r>
              <w:t xml:space="preserve"> (Hyperlink Target Frame)</w:t>
            </w:r>
          </w:p>
        </w:tc>
        <w:tc>
          <w:tcPr>
            <w:tcW w:w="0" w:type="auto"/>
            <w:vAlign w:val="center"/>
          </w:tcPr>
          <w:p w:rsidR="00024C0A" w:rsidRDefault="00694C0F">
            <w:pPr>
              <w:pStyle w:val="TableBodyText"/>
            </w:pPr>
            <w:r>
              <w:t>Specifies a frame within the parent HTML frameset for the target of the parent hyperlink when one exists. Values shall be handled</w:t>
            </w:r>
            <w:r>
              <w:t xml:space="preserve"> as follows:</w:t>
            </w:r>
          </w:p>
          <w:p w:rsidR="00024C0A" w:rsidRDefault="00024C0A">
            <w:pPr>
              <w:pStyle w:val="TableBodyText"/>
            </w:pPr>
          </w:p>
          <w:p w:rsidR="00024C0A" w:rsidRDefault="00694C0F">
            <w:pPr>
              <w:pStyle w:val="TableBodyText"/>
            </w:pPr>
            <w:r>
              <w:rPr>
                <w:rStyle w:val="InlineCode"/>
              </w:rPr>
              <w:t>_top</w:t>
            </w:r>
          </w:p>
          <w:p w:rsidR="00024C0A" w:rsidRDefault="00694C0F">
            <w:pPr>
              <w:pStyle w:val="TableBodyText"/>
            </w:pPr>
            <w:r>
              <w:t>Open hyperlink target in the full region of the current window.</w:t>
            </w:r>
          </w:p>
          <w:p w:rsidR="00024C0A" w:rsidRDefault="00694C0F">
            <w:pPr>
              <w:pStyle w:val="TableBodyText"/>
            </w:pPr>
            <w:r>
              <w:rPr>
                <w:rStyle w:val="InlineCode"/>
              </w:rPr>
              <w:t>_self</w:t>
            </w:r>
          </w:p>
          <w:p w:rsidR="00024C0A" w:rsidRDefault="00694C0F">
            <w:pPr>
              <w:pStyle w:val="TableBodyText"/>
            </w:pPr>
            <w:r>
              <w:t>Open hyperlink target in the same frame as the hyperlink appears.</w:t>
            </w:r>
          </w:p>
          <w:p w:rsidR="00024C0A" w:rsidRDefault="00694C0F">
            <w:pPr>
              <w:pStyle w:val="TableBodyText"/>
            </w:pPr>
            <w:r>
              <w:rPr>
                <w:rStyle w:val="InlineCode"/>
              </w:rPr>
              <w:t>_parent</w:t>
            </w:r>
          </w:p>
          <w:p w:rsidR="00024C0A" w:rsidRDefault="00694C0F">
            <w:pPr>
              <w:pStyle w:val="TableBodyText"/>
            </w:pPr>
            <w:r>
              <w:t xml:space="preserve">Open hyperlink target in the parent of the current frame, or the current frame if this frame </w:t>
            </w:r>
            <w:r>
              <w:t>has no parent.</w:t>
            </w:r>
          </w:p>
          <w:p w:rsidR="00024C0A" w:rsidRDefault="00694C0F">
            <w:pPr>
              <w:pStyle w:val="TableBodyText"/>
            </w:pPr>
            <w:r>
              <w:rPr>
                <w:rStyle w:val="InlineCode"/>
              </w:rPr>
              <w:t>_blank</w:t>
            </w:r>
          </w:p>
          <w:p w:rsidR="00024C0A" w:rsidRDefault="00694C0F">
            <w:pPr>
              <w:pStyle w:val="TableBodyText"/>
            </w:pPr>
            <w:r>
              <w:t>Open hyperlink target in a new window.</w:t>
            </w:r>
          </w:p>
          <w:p w:rsidR="00024C0A" w:rsidRDefault="00694C0F">
            <w:pPr>
              <w:pStyle w:val="TableBodyText"/>
            </w:pPr>
            <w:r>
              <w:t>all other values</w:t>
            </w:r>
          </w:p>
          <w:p w:rsidR="00024C0A" w:rsidRDefault="00694C0F">
            <w:pPr>
              <w:pStyle w:val="TableBodyText"/>
            </w:pPr>
            <w:r>
              <w:t>Open hyperlink target in the frame with the specified name. If no frame exists with this name, open in the current frame.</w:t>
            </w:r>
          </w:p>
          <w:p w:rsidR="00024C0A" w:rsidRDefault="00024C0A">
            <w:pPr>
              <w:pStyle w:val="TableBodyText"/>
            </w:pPr>
          </w:p>
          <w:p w:rsidR="00024C0A" w:rsidRDefault="00694C0F">
            <w:pPr>
              <w:pStyle w:val="TableBodyText"/>
            </w:pPr>
            <w:r>
              <w:t>If this string does not begin with an alphabetic charac</w:t>
            </w:r>
            <w:r>
              <w:t>ter, it shall be ignored.</w:t>
            </w:r>
          </w:p>
          <w:p w:rsidR="00024C0A" w:rsidRDefault="00694C0F">
            <w:pPr>
              <w:pStyle w:val="TableBodyText"/>
            </w:pPr>
            <w:r>
              <w:t>If this attribute is omitted, then no target frame information shall be associated with the parent hyperlink. If the current document is not part of a frameset, then this information may be ignored.</w:t>
            </w:r>
          </w:p>
          <w:p w:rsidR="00024C0A" w:rsidRDefault="00024C0A">
            <w:pPr>
              <w:pStyle w:val="TableBodyText"/>
            </w:pPr>
          </w:p>
          <w:p w:rsidR="00024C0A" w:rsidRDefault="00694C0F">
            <w:pPr>
              <w:pStyle w:val="TableBodyText"/>
            </w:pPr>
            <w:r>
              <w:t>[Example: Consider the followi</w:t>
            </w:r>
            <w:r>
              <w:t>ng WordprocessingML fragment for a hyperlink:</w:t>
            </w:r>
          </w:p>
          <w:p w:rsidR="00024C0A" w:rsidRDefault="00024C0A">
            <w:pPr>
              <w:pStyle w:val="TableBodyText"/>
            </w:pPr>
          </w:p>
          <w:p w:rsidR="00024C0A" w:rsidRDefault="00694C0F">
            <w:pPr>
              <w:pStyle w:val="Code"/>
            </w:pPr>
            <w:r>
              <w:t>&lt;w:hyperlink r:id="rId9" w:tgtFrame="_top"&gt;</w:t>
            </w:r>
          </w:p>
          <w:p w:rsidR="00024C0A" w:rsidRDefault="00694C0F">
            <w:pPr>
              <w:pStyle w:val="Code"/>
            </w:pPr>
            <w:r>
              <w:t xml:space="preserve">  &lt;w:r&gt;</w:t>
            </w:r>
          </w:p>
          <w:p w:rsidR="00024C0A" w:rsidRDefault="00694C0F">
            <w:pPr>
              <w:pStyle w:val="Code"/>
            </w:pPr>
            <w:r>
              <w:lastRenderedPageBreak/>
              <w:t xml:space="preserve">    &lt;w:t&gt;http://example.com&lt;/w:t&gt;</w:t>
            </w:r>
          </w:p>
          <w:p w:rsidR="00024C0A" w:rsidRDefault="00694C0F">
            <w:pPr>
              <w:pStyle w:val="Code"/>
            </w:pPr>
            <w:r>
              <w:t xml:space="preserve">  &lt;/w:r&gt;</w:t>
            </w:r>
          </w:p>
          <w:p w:rsidR="00024C0A" w:rsidRDefault="00694C0F">
            <w:pPr>
              <w:pStyle w:val="Code"/>
            </w:pPr>
            <w:r>
              <w:t>&lt;/w:hyperlink&gt;</w:t>
            </w:r>
          </w:p>
          <w:p w:rsidR="00024C0A" w:rsidRDefault="00024C0A">
            <w:pPr>
              <w:pStyle w:val="TableBodyText"/>
            </w:pPr>
          </w:p>
          <w:p w:rsidR="00024C0A" w:rsidRDefault="00694C0F">
            <w:pPr>
              <w:pStyle w:val="TableBodyText"/>
            </w:pPr>
            <w:r>
              <w:t xml:space="preserve">The </w:t>
            </w:r>
            <w:r>
              <w:rPr>
                <w:b/>
              </w:rPr>
              <w:t>tgtFrame</w:t>
            </w:r>
            <w:r>
              <w:t xml:space="preserve"> attribute value of </w:t>
            </w:r>
            <w:r>
              <w:rPr>
                <w:i/>
              </w:rPr>
              <w:t>_top</w:t>
            </w:r>
            <w:r>
              <w:t xml:space="preserve"> specifies that the target of this hyperlink shall be displayed in the full extents of the current window. end example]</w:t>
            </w:r>
          </w:p>
          <w:p w:rsidR="00024C0A" w:rsidRDefault="00024C0A">
            <w:pPr>
              <w:pStyle w:val="TableBodyText"/>
            </w:pPr>
          </w:p>
          <w:p w:rsidR="00024C0A" w:rsidRDefault="00694C0F">
            <w:pPr>
              <w:pStyle w:val="TableBodyText"/>
            </w:pPr>
            <w:r>
              <w:t>The possible values for this attribute are defined by the ST_String255 simple type (§3.1.3.3.9, ST_String255).</w:t>
            </w:r>
          </w:p>
        </w:tc>
      </w:tr>
      <w:tr w:rsidR="00024C0A" w:rsidTr="00024C0A">
        <w:tc>
          <w:tcPr>
            <w:tcW w:w="0" w:type="auto"/>
            <w:vAlign w:val="center"/>
          </w:tcPr>
          <w:p w:rsidR="00024C0A" w:rsidRDefault="00694C0F">
            <w:pPr>
              <w:pStyle w:val="TableBodyText"/>
            </w:pPr>
            <w:r>
              <w:rPr>
                <w:b/>
              </w:rPr>
              <w:lastRenderedPageBreak/>
              <w:t>tooltip</w:t>
            </w:r>
            <w:r>
              <w:t xml:space="preserve"> (Associated Str</w:t>
            </w:r>
            <w:r>
              <w:t>ing)</w:t>
            </w:r>
          </w:p>
        </w:tc>
        <w:tc>
          <w:tcPr>
            <w:tcW w:w="0" w:type="auto"/>
            <w:vAlign w:val="center"/>
          </w:tcPr>
          <w:p w:rsidR="00024C0A" w:rsidRDefault="00694C0F">
            <w:pPr>
              <w:pStyle w:val="TableBodyText"/>
            </w:pPr>
            <w:r>
              <w:t>Specifies a string that may be surfaced in a user interface as associated with the parent hyperlink.</w:t>
            </w:r>
          </w:p>
          <w:p w:rsidR="00024C0A" w:rsidRDefault="00024C0A">
            <w:pPr>
              <w:pStyle w:val="TableBodyText"/>
            </w:pPr>
          </w:p>
          <w:p w:rsidR="00024C0A" w:rsidRDefault="00694C0F">
            <w:pPr>
              <w:pStyle w:val="TableBodyText"/>
            </w:pPr>
            <w:r>
              <w:t>If this attribute is omitted, then no associated string shall be linked to the parent hyperlink in the document.</w:t>
            </w:r>
          </w:p>
          <w:p w:rsidR="00024C0A" w:rsidRDefault="00024C0A">
            <w:pPr>
              <w:pStyle w:val="TableBodyText"/>
            </w:pPr>
          </w:p>
          <w:p w:rsidR="00024C0A" w:rsidRDefault="00694C0F">
            <w:pPr>
              <w:pStyle w:val="TableBodyText"/>
            </w:pPr>
            <w:r>
              <w:t>[Example: Consider the following Wo</w:t>
            </w:r>
            <w:r>
              <w:t>rdprocessingML fragment for a hyperlink:</w:t>
            </w:r>
          </w:p>
          <w:p w:rsidR="00024C0A" w:rsidRDefault="00024C0A">
            <w:pPr>
              <w:pStyle w:val="TableBodyText"/>
            </w:pPr>
          </w:p>
          <w:p w:rsidR="00024C0A" w:rsidRDefault="00694C0F">
            <w:pPr>
              <w:pStyle w:val="Code"/>
            </w:pPr>
            <w:r>
              <w:t>&lt;w:hyperlink r:id="rId9" w:tooltip="Click here!"&gt;</w:t>
            </w:r>
          </w:p>
          <w:p w:rsidR="00024C0A" w:rsidRDefault="00694C0F">
            <w:pPr>
              <w:pStyle w:val="Code"/>
            </w:pPr>
            <w:r>
              <w:t xml:space="preserve">  &lt;w:r&gt;</w:t>
            </w:r>
          </w:p>
          <w:p w:rsidR="00024C0A" w:rsidRDefault="00694C0F">
            <w:pPr>
              <w:pStyle w:val="Code"/>
            </w:pPr>
            <w:r>
              <w:t xml:space="preserve">    &lt;w:t&gt;http://example.com&lt;/w:t&gt;</w:t>
            </w:r>
          </w:p>
          <w:p w:rsidR="00024C0A" w:rsidRDefault="00694C0F">
            <w:pPr>
              <w:pStyle w:val="Code"/>
            </w:pPr>
            <w:r>
              <w:t xml:space="preserve">  &lt;/w:r&gt;</w:t>
            </w:r>
          </w:p>
          <w:p w:rsidR="00024C0A" w:rsidRDefault="00694C0F">
            <w:pPr>
              <w:pStyle w:val="Code"/>
            </w:pPr>
            <w:r>
              <w:t>&lt;/w:hyperlink&gt;</w:t>
            </w:r>
          </w:p>
          <w:p w:rsidR="00024C0A" w:rsidRDefault="00024C0A">
            <w:pPr>
              <w:pStyle w:val="TableBodyText"/>
            </w:pPr>
          </w:p>
          <w:p w:rsidR="00024C0A" w:rsidRDefault="00694C0F">
            <w:pPr>
              <w:pStyle w:val="TableBodyText"/>
            </w:pPr>
            <w:r>
              <w:t xml:space="preserve">The value of this attribute specifies that the parent hyperlink has the associated string of </w:t>
            </w:r>
            <w:r>
              <w:rPr>
                <w:i/>
              </w:rPr>
              <w:t>Click here!</w:t>
            </w:r>
            <w:r>
              <w:t>, which may be used as desired. end example]</w:t>
            </w:r>
          </w:p>
          <w:p w:rsidR="00024C0A" w:rsidRDefault="00024C0A">
            <w:pPr>
              <w:pStyle w:val="TableBodyText"/>
            </w:pPr>
          </w:p>
          <w:p w:rsidR="00024C0A" w:rsidRDefault="00694C0F">
            <w:pPr>
              <w:pStyle w:val="TableBodyText"/>
            </w:pPr>
            <w:r>
              <w:t>The possible values for this attribute are defined by the ST_String260 simple type (§</w:t>
            </w:r>
            <w:hyperlink w:anchor="Section_b74c454c6c644828955971894d36105b">
              <w:r>
                <w:rPr>
                  <w:rStyle w:val="Hyperlink"/>
                </w:rPr>
                <w:t>3.1.3.3.10, ST_String260</w:t>
              </w:r>
            </w:hyperlink>
            <w:r>
              <w:t>).</w:t>
            </w:r>
          </w:p>
        </w:tc>
      </w:tr>
    </w:tbl>
    <w:p w:rsidR="00024C0A" w:rsidRDefault="00024C0A"/>
    <w:p w:rsidR="00024C0A" w:rsidRDefault="00694C0F">
      <w:r>
        <w:t>The following XML Sche</w:t>
      </w:r>
      <w:r>
        <w:t>ma fragment defines the contents of this element:</w:t>
      </w:r>
    </w:p>
    <w:p w:rsidR="00024C0A" w:rsidRDefault="00694C0F">
      <w:pPr>
        <w:pStyle w:val="Code"/>
      </w:pPr>
      <w:r>
        <w:t>&lt;complexType name="CT_HyperlinkRuby"&gt;</w:t>
      </w:r>
    </w:p>
    <w:p w:rsidR="00024C0A" w:rsidRDefault="00694C0F">
      <w:pPr>
        <w:pStyle w:val="Code"/>
      </w:pPr>
      <w:r>
        <w:t xml:space="preserve">  &lt;group ref="EG_RubyContent" minOccurs="0" maxOccurs="unbounded"/&gt;</w:t>
      </w:r>
    </w:p>
    <w:p w:rsidR="00024C0A" w:rsidRDefault="00694C0F">
      <w:pPr>
        <w:pStyle w:val="Code"/>
      </w:pPr>
      <w:r>
        <w:t xml:space="preserve">  &lt;attribute name="tgtFrame" type="ST_String255" use="optional"/&gt;</w:t>
      </w:r>
    </w:p>
    <w:p w:rsidR="00024C0A" w:rsidRDefault="00694C0F">
      <w:pPr>
        <w:pStyle w:val="Code"/>
      </w:pPr>
      <w:r>
        <w:t xml:space="preserve">  &lt;attribute name="tooltip" type="</w:t>
      </w:r>
      <w:r>
        <w:t>ST_String260" use="optional"/&gt;</w:t>
      </w:r>
    </w:p>
    <w:p w:rsidR="00024C0A" w:rsidRDefault="00694C0F">
      <w:pPr>
        <w:pStyle w:val="Code"/>
      </w:pPr>
      <w:r>
        <w:t xml:space="preserve">  &lt;attribute name="docLocation" type="ST_String255" use="optional"/&gt;</w:t>
      </w:r>
    </w:p>
    <w:p w:rsidR="00024C0A" w:rsidRDefault="00694C0F">
      <w:pPr>
        <w:pStyle w:val="Code"/>
      </w:pPr>
      <w:r>
        <w:t xml:space="preserve">  &lt;attribute name="history" type="ST_OnOff" use="optional"/&gt;</w:t>
      </w:r>
    </w:p>
    <w:p w:rsidR="00024C0A" w:rsidRDefault="00694C0F">
      <w:pPr>
        <w:pStyle w:val="Code"/>
      </w:pPr>
      <w:r>
        <w:t xml:space="preserve">  &lt;attribute name="anchor" type="ST_String255" use="optional"/&gt;</w:t>
      </w:r>
    </w:p>
    <w:p w:rsidR="00024C0A" w:rsidRDefault="00694C0F">
      <w:pPr>
        <w:pStyle w:val="Code"/>
      </w:pPr>
      <w:r>
        <w:t xml:space="preserve">  &lt;attribute ref="r:id"/&gt;</w:t>
      </w:r>
    </w:p>
    <w:p w:rsidR="00024C0A" w:rsidRDefault="00694C0F">
      <w:pPr>
        <w:pStyle w:val="Code"/>
      </w:pPr>
      <w:r>
        <w:t>&lt;</w:t>
      </w:r>
      <w:r>
        <w:t>/complexType&gt;</w:t>
      </w:r>
    </w:p>
    <w:p w:rsidR="00024C0A" w:rsidRDefault="00694C0F">
      <w:pPr>
        <w:pStyle w:val="Heading5"/>
      </w:pPr>
      <w:bookmarkStart w:id="3883" w:name="section_dcbcb32823db42abbb8081992b8e429e"/>
      <w:bookmarkStart w:id="3884" w:name="_Toc12262002"/>
      <w:r>
        <w:t>moveFrom (Move Source Math Control Character)</w:t>
      </w:r>
      <w:bookmarkEnd w:id="3883"/>
      <w:bookmarkEnd w:id="3884"/>
      <w:r>
        <w:fldChar w:fldCharType="begin"/>
      </w:r>
      <w:r>
        <w:instrText xml:space="preserve"> XE "moveFrom (Move Source Math Control Character)" </w:instrText>
      </w:r>
      <w:r>
        <w:fldChar w:fldCharType="end"/>
      </w:r>
    </w:p>
    <w:p w:rsidR="00024C0A" w:rsidRDefault="00694C0F">
      <w:r>
        <w:t>This element specifies that the Office Open XML Math control character contained within it shall be treated as content that has been moved awa</w:t>
      </w:r>
      <w:r>
        <w:t>y from this location and tracked as a revision.</w:t>
      </w:r>
    </w:p>
    <w:p w:rsidR="00024C0A" w:rsidRDefault="00694C0F">
      <w:r>
        <w:t>The following restrictions shall be applied to this content:</w:t>
      </w:r>
    </w:p>
    <w:p w:rsidR="00024C0A" w:rsidRDefault="00694C0F">
      <w:pPr>
        <w:pStyle w:val="ListParagraph"/>
        <w:numPr>
          <w:ilvl w:val="0"/>
          <w:numId w:val="195"/>
        </w:numPr>
      </w:pPr>
      <w:r>
        <w:lastRenderedPageBreak/>
        <w:t>If this element occurs outside of a valid move source container (§"</w:t>
      </w:r>
      <w:hyperlink r:id="rId287">
        <w:r>
          <w:rPr>
            <w:rStyle w:val="Hyperlink"/>
          </w:rPr>
          <w:t>[ISO/IEC-29500</w:t>
        </w:r>
        <w:r>
          <w:rPr>
            <w:rStyle w:val="Hyperlink"/>
          </w:rPr>
          <w:t>-1]</w:t>
        </w:r>
      </w:hyperlink>
      <w:r>
        <w:t xml:space="preserve"> §17.13.5.24; moveFromRangeStart"; §"[ISO/IEC-29500-1] §17.13.5.23; moveFromRangeEnd") for which a matching move destination container (§"[ISO/IEC-29500-1] §17.13.5.28; moveToRangeStart"; §"[ISO/IEC-29500-1] §17.13.5.27; moveToRangeEnd") exists in the d</w:t>
      </w:r>
      <w:r>
        <w:t>ocument, then the math control character shall be treated as deleted, rather than moved.</w:t>
      </w:r>
    </w:p>
    <w:p w:rsidR="00024C0A" w:rsidRDefault="00694C0F">
      <w:r>
        <w:t>Word ignores this element.</w:t>
      </w:r>
    </w:p>
    <w:tbl>
      <w:tblPr>
        <w:tblStyle w:val="Table-ShadedHeader"/>
        <w:tblW w:w="0" w:type="auto"/>
        <w:tblLook w:val="04A0" w:firstRow="1" w:lastRow="0" w:firstColumn="1" w:lastColumn="0" w:noHBand="0" w:noVBand="1"/>
      </w:tblPr>
      <w:tblGrid>
        <w:gridCol w:w="357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ctrlPr</w:t>
            </w:r>
            <w:r>
              <w:t xml:space="preserve"> ("[ISO/IEC-29500-1] §22.1.2.23")</w:t>
            </w:r>
          </w:p>
        </w:tc>
      </w:tr>
    </w:tbl>
    <w:p w:rsidR="00024C0A" w:rsidRDefault="00024C0A"/>
    <w:p w:rsidR="00024C0A" w:rsidRDefault="00024C0A"/>
    <w:tbl>
      <w:tblPr>
        <w:tblStyle w:val="Table-ShadedHeader"/>
        <w:tblW w:w="0" w:type="auto"/>
        <w:tblLook w:val="04A0" w:firstRow="1" w:lastRow="0" w:firstColumn="1" w:lastColumn="0" w:noHBand="0" w:noVBand="1"/>
      </w:tblPr>
      <w:tblGrid>
        <w:gridCol w:w="3299"/>
        <w:gridCol w:w="2978"/>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Child Elements</w:t>
            </w:r>
          </w:p>
        </w:tc>
        <w:tc>
          <w:tcPr>
            <w:tcW w:w="0" w:type="auto"/>
            <w:vAlign w:val="center"/>
          </w:tcPr>
          <w:p w:rsidR="00024C0A" w:rsidRDefault="00694C0F">
            <w:pPr>
              <w:pStyle w:val="TableHeaderText"/>
            </w:pPr>
            <w:r>
              <w:t>Subclause</w:t>
            </w:r>
          </w:p>
        </w:tc>
      </w:tr>
      <w:tr w:rsidR="00024C0A" w:rsidTr="00024C0A">
        <w:tc>
          <w:tcPr>
            <w:tcW w:w="0" w:type="auto"/>
            <w:vAlign w:val="center"/>
          </w:tcPr>
          <w:p w:rsidR="00024C0A" w:rsidRDefault="00694C0F">
            <w:pPr>
              <w:pStyle w:val="TableBodyText"/>
            </w:pPr>
            <w:r>
              <w:rPr>
                <w:b/>
              </w:rPr>
              <w:t>del</w:t>
            </w:r>
            <w:r>
              <w:t xml:space="preserve"> (Deleted Math Control Character)</w:t>
            </w:r>
          </w:p>
        </w:tc>
        <w:tc>
          <w:tcPr>
            <w:tcW w:w="0" w:type="auto"/>
            <w:vAlign w:val="center"/>
          </w:tcPr>
          <w:p w:rsidR="00024C0A" w:rsidRDefault="00694C0F">
            <w:pPr>
              <w:pStyle w:val="TableBodyText"/>
            </w:pPr>
            <w:r>
              <w:t>"</w:t>
            </w:r>
            <w:r>
              <w:t>[ISO/IEC-29500-1] §17.13.5.13"</w:t>
            </w:r>
          </w:p>
        </w:tc>
      </w:tr>
      <w:tr w:rsidR="00024C0A" w:rsidTr="00024C0A">
        <w:tc>
          <w:tcPr>
            <w:tcW w:w="0" w:type="auto"/>
            <w:vAlign w:val="center"/>
          </w:tcPr>
          <w:p w:rsidR="00024C0A" w:rsidRDefault="00694C0F">
            <w:pPr>
              <w:pStyle w:val="TableBodyText"/>
            </w:pPr>
            <w:r>
              <w:rPr>
                <w:b/>
              </w:rPr>
              <w:t>ins</w:t>
            </w:r>
            <w:r>
              <w:t xml:space="preserve"> (Inserted Math Control Character)</w:t>
            </w:r>
          </w:p>
        </w:tc>
        <w:tc>
          <w:tcPr>
            <w:tcW w:w="0" w:type="auto"/>
            <w:vAlign w:val="center"/>
          </w:tcPr>
          <w:p w:rsidR="00024C0A" w:rsidRDefault="00694C0F">
            <w:pPr>
              <w:pStyle w:val="TableBodyText"/>
            </w:pPr>
            <w:r>
              <w:t>"[ISO/IEC-29500-1] §17.13.5.16"</w:t>
            </w:r>
          </w:p>
        </w:tc>
      </w:tr>
      <w:tr w:rsidR="00024C0A" w:rsidTr="00024C0A">
        <w:tc>
          <w:tcPr>
            <w:tcW w:w="0" w:type="auto"/>
            <w:vAlign w:val="center"/>
          </w:tcPr>
          <w:p w:rsidR="00024C0A" w:rsidRDefault="00694C0F">
            <w:pPr>
              <w:pStyle w:val="TableBodyText"/>
            </w:pPr>
            <w:r>
              <w:rPr>
                <w:b/>
              </w:rPr>
              <w:t>rPr</w:t>
            </w:r>
            <w:r>
              <w:t xml:space="preserve"> (Run Properties)</w:t>
            </w:r>
          </w:p>
        </w:tc>
        <w:tc>
          <w:tcPr>
            <w:tcW w:w="0" w:type="auto"/>
            <w:vAlign w:val="center"/>
          </w:tcPr>
          <w:p w:rsidR="00024C0A" w:rsidRDefault="00694C0F">
            <w:pPr>
              <w:pStyle w:val="TableBodyText"/>
            </w:pPr>
            <w:r>
              <w:t>"[ISO/IEC-29500-1] §17.3.2.28"</w:t>
            </w:r>
          </w:p>
        </w:tc>
      </w:tr>
    </w:tbl>
    <w:p w:rsidR="00024C0A" w:rsidRDefault="00024C0A"/>
    <w:p w:rsidR="00024C0A" w:rsidRDefault="00024C0A"/>
    <w:tbl>
      <w:tblPr>
        <w:tblStyle w:val="Table-ShadedHeader"/>
        <w:tblW w:w="0" w:type="auto"/>
        <w:tblLook w:val="04A0" w:firstRow="1" w:lastRow="0" w:firstColumn="1" w:lastColumn="0" w:noHBand="0" w:noVBand="1"/>
      </w:tblPr>
      <w:tblGrid>
        <w:gridCol w:w="1800"/>
        <w:gridCol w:w="7675"/>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Attributes</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author</w:t>
            </w:r>
            <w:r>
              <w:t xml:space="preserve"> (Annotation Author)</w:t>
            </w:r>
          </w:p>
        </w:tc>
        <w:tc>
          <w:tcPr>
            <w:tcW w:w="0" w:type="auto"/>
            <w:vAlign w:val="center"/>
          </w:tcPr>
          <w:p w:rsidR="00024C0A" w:rsidRDefault="00694C0F">
            <w:pPr>
              <w:pStyle w:val="TableBodyText"/>
            </w:pPr>
            <w:r>
              <w:t>Specifies the author for an annotation within a</w:t>
            </w:r>
            <w:r>
              <w:t xml:space="preserve"> WordprocessingML document.</w:t>
            </w:r>
          </w:p>
          <w:p w:rsidR="00024C0A" w:rsidRDefault="00024C0A">
            <w:pPr>
              <w:pStyle w:val="TableBodyText"/>
            </w:pPr>
          </w:p>
          <w:p w:rsidR="00024C0A" w:rsidRDefault="00694C0F">
            <w:pPr>
              <w:pStyle w:val="TableBodyText"/>
            </w:pPr>
            <w:r>
              <w:t xml:space="preserve"> [Example: Consider a comment represented using the following WordprocessingML fragment:</w:t>
            </w:r>
          </w:p>
          <w:p w:rsidR="00024C0A" w:rsidRDefault="00024C0A">
            <w:pPr>
              <w:pStyle w:val="TableBodyText"/>
            </w:pPr>
          </w:p>
          <w:p w:rsidR="00024C0A" w:rsidRDefault="00694C0F">
            <w:pPr>
              <w:pStyle w:val="Code"/>
            </w:pPr>
            <w:r>
              <w:t>&lt;w:… w:id="1" w:author="Example Author"&gt;</w:t>
            </w:r>
          </w:p>
          <w:p w:rsidR="00024C0A" w:rsidRDefault="00694C0F">
            <w:pPr>
              <w:pStyle w:val="Code"/>
            </w:pPr>
            <w:r>
              <w:t xml:space="preserve">  …</w:t>
            </w:r>
          </w:p>
          <w:p w:rsidR="00024C0A" w:rsidRDefault="00694C0F">
            <w:pPr>
              <w:pStyle w:val="Code"/>
            </w:pPr>
            <w:r>
              <w:t>&lt;/w:…&gt;</w:t>
            </w:r>
          </w:p>
          <w:p w:rsidR="00024C0A" w:rsidRDefault="00024C0A">
            <w:pPr>
              <w:pStyle w:val="TableBodyText"/>
            </w:pPr>
          </w:p>
          <w:p w:rsidR="00024C0A" w:rsidRDefault="00694C0F">
            <w:pPr>
              <w:pStyle w:val="TableBodyText"/>
            </w:pPr>
            <w:r>
              <w:t xml:space="preserve">The </w:t>
            </w:r>
            <w:r>
              <w:rPr>
                <w:b/>
              </w:rPr>
              <w:t>author</w:t>
            </w:r>
            <w:r>
              <w:t xml:space="preserve"> attribute specifies that the author of the current annotation is </w:t>
            </w:r>
            <w:r>
              <w:rPr>
                <w:i/>
              </w:rPr>
              <w:t xml:space="preserve">Example </w:t>
            </w:r>
            <w:r>
              <w:rPr>
                <w:i/>
              </w:rPr>
              <w:t>Author</w:t>
            </w:r>
            <w:r>
              <w:t>, which may be used as desired. end example]</w:t>
            </w:r>
          </w:p>
          <w:p w:rsidR="00024C0A" w:rsidRDefault="00024C0A">
            <w:pPr>
              <w:pStyle w:val="TableBodyText"/>
            </w:pPr>
          </w:p>
          <w:p w:rsidR="00024C0A" w:rsidRDefault="00694C0F">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024C0A" w:rsidTr="00024C0A">
        <w:tc>
          <w:tcPr>
            <w:tcW w:w="0" w:type="auto"/>
            <w:vAlign w:val="center"/>
          </w:tcPr>
          <w:p w:rsidR="00024C0A" w:rsidRDefault="00694C0F">
            <w:pPr>
              <w:pStyle w:val="TableBodyText"/>
            </w:pPr>
            <w:r>
              <w:rPr>
                <w:b/>
              </w:rPr>
              <w:t>date</w:t>
            </w:r>
            <w:r>
              <w:t xml:space="preserve"> (Annotation Date)</w:t>
            </w:r>
          </w:p>
        </w:tc>
        <w:tc>
          <w:tcPr>
            <w:tcW w:w="0" w:type="auto"/>
            <w:vAlign w:val="center"/>
          </w:tcPr>
          <w:p w:rsidR="00024C0A" w:rsidRDefault="00694C0F">
            <w:pPr>
              <w:pStyle w:val="TableBodyText"/>
            </w:pPr>
            <w:r>
              <w:t>Specif</w:t>
            </w:r>
            <w:r>
              <w:t>ies the date information for an annotation within a WordprocessingML document.</w:t>
            </w:r>
          </w:p>
          <w:p w:rsidR="00024C0A" w:rsidRDefault="00024C0A">
            <w:pPr>
              <w:pStyle w:val="TableBodyText"/>
            </w:pPr>
          </w:p>
          <w:p w:rsidR="00024C0A" w:rsidRDefault="00694C0F">
            <w:pPr>
              <w:pStyle w:val="TableBodyText"/>
            </w:pPr>
            <w:r>
              <w:t>If this attribute is omitted, then no date information shall be associated with the parent annotation type.</w:t>
            </w:r>
          </w:p>
          <w:p w:rsidR="00024C0A" w:rsidRDefault="00024C0A">
            <w:pPr>
              <w:pStyle w:val="TableBodyText"/>
            </w:pPr>
          </w:p>
          <w:p w:rsidR="00024C0A" w:rsidRDefault="00694C0F">
            <w:pPr>
              <w:pStyle w:val="TableBodyText"/>
            </w:pPr>
            <w:r>
              <w:t>[Example: Consider a comment represented using the following Wordpr</w:t>
            </w:r>
            <w:r>
              <w:t>ocessingML fragment:</w:t>
            </w:r>
          </w:p>
          <w:p w:rsidR="00024C0A" w:rsidRDefault="00024C0A">
            <w:pPr>
              <w:pStyle w:val="TableBodyText"/>
            </w:pPr>
          </w:p>
          <w:p w:rsidR="00024C0A" w:rsidRDefault="00694C0F">
            <w:pPr>
              <w:pStyle w:val="Code"/>
            </w:pPr>
            <w:r>
              <w:t>&lt;w:… w:id="1" w:date="2006-01-01T10:00:00"&gt;</w:t>
            </w:r>
          </w:p>
          <w:p w:rsidR="00024C0A" w:rsidRDefault="00694C0F">
            <w:pPr>
              <w:pStyle w:val="Code"/>
            </w:pPr>
            <w:r>
              <w:t xml:space="preserve">  …</w:t>
            </w:r>
          </w:p>
          <w:p w:rsidR="00024C0A" w:rsidRDefault="00694C0F">
            <w:pPr>
              <w:pStyle w:val="Code"/>
            </w:pPr>
            <w:r>
              <w:lastRenderedPageBreak/>
              <w:t>&lt;/w:…&gt;</w:t>
            </w:r>
          </w:p>
          <w:p w:rsidR="00024C0A" w:rsidRDefault="00024C0A">
            <w:pPr>
              <w:pStyle w:val="TableBodyText"/>
            </w:pPr>
          </w:p>
          <w:p w:rsidR="00024C0A" w:rsidRDefault="00694C0F">
            <w:pPr>
              <w:pStyle w:val="TableBodyText"/>
            </w:pPr>
            <w:r>
              <w:t xml:space="preserve">The </w:t>
            </w:r>
            <w:r>
              <w:rPr>
                <w:b/>
              </w:rPr>
              <w:t>date</w:t>
            </w:r>
            <w:r>
              <w:t xml:space="preserve"> attribute specifies that the date of the current annotation is January 1st 2006 at 10:00 AM, which may be used as desired. end example]</w:t>
            </w:r>
          </w:p>
          <w:p w:rsidR="00024C0A" w:rsidRDefault="00024C0A">
            <w:pPr>
              <w:pStyle w:val="TableBodyText"/>
            </w:pPr>
          </w:p>
          <w:p w:rsidR="00024C0A" w:rsidRDefault="00694C0F">
            <w:pPr>
              <w:pStyle w:val="TableBodyText"/>
            </w:pPr>
            <w:r>
              <w:t>The possible values for this att</w:t>
            </w:r>
            <w:r>
              <w:t>ribute are defined by the ST_DateTime simple type (§</w:t>
            </w:r>
            <w:hyperlink w:anchor="Section_67feb752f108441eaca363fc2717117a">
              <w:r>
                <w:rPr>
                  <w:rStyle w:val="Hyperlink"/>
                </w:rPr>
                <w:t>3.1.3.3.2, ST_DateTime</w:t>
              </w:r>
            </w:hyperlink>
            <w:r>
              <w:t>).</w:t>
            </w:r>
          </w:p>
        </w:tc>
      </w:tr>
      <w:tr w:rsidR="00024C0A" w:rsidTr="00024C0A">
        <w:tc>
          <w:tcPr>
            <w:tcW w:w="0" w:type="auto"/>
            <w:vAlign w:val="center"/>
          </w:tcPr>
          <w:p w:rsidR="00024C0A" w:rsidRDefault="00694C0F">
            <w:pPr>
              <w:pStyle w:val="TableBodyText"/>
            </w:pPr>
            <w:r>
              <w:rPr>
                <w:b/>
              </w:rPr>
              <w:lastRenderedPageBreak/>
              <w:t>id</w:t>
            </w:r>
            <w:r>
              <w:t xml:space="preserve"> (Annotation Identifier)</w:t>
            </w:r>
          </w:p>
        </w:tc>
        <w:tc>
          <w:tcPr>
            <w:tcW w:w="0" w:type="auto"/>
            <w:vAlign w:val="center"/>
          </w:tcPr>
          <w:p w:rsidR="00024C0A" w:rsidRDefault="00694C0F">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024C0A" w:rsidRDefault="00024C0A">
            <w:pPr>
              <w:pStyle w:val="TableBodyText"/>
            </w:pPr>
          </w:p>
          <w:p w:rsidR="00024C0A" w:rsidRDefault="00694C0F">
            <w:pPr>
              <w:pStyle w:val="TableBodyText"/>
            </w:pPr>
            <w:r>
              <w:t>If this attribute is omitted, then the document is non-conformant.</w:t>
            </w:r>
          </w:p>
          <w:p w:rsidR="00024C0A" w:rsidRDefault="00024C0A">
            <w:pPr>
              <w:pStyle w:val="TableBodyText"/>
            </w:pPr>
          </w:p>
          <w:p w:rsidR="00024C0A" w:rsidRDefault="00694C0F">
            <w:pPr>
              <w:pStyle w:val="TableBodyText"/>
            </w:pPr>
            <w:r>
              <w:t>[Example: Consider</w:t>
            </w:r>
            <w:r>
              <w:t xml:space="preserve"> an annotation represented using the following WordprocessingML fragment:</w:t>
            </w:r>
          </w:p>
          <w:p w:rsidR="00024C0A" w:rsidRDefault="00024C0A">
            <w:pPr>
              <w:pStyle w:val="TableBodyText"/>
            </w:pPr>
          </w:p>
          <w:p w:rsidR="00024C0A" w:rsidRDefault="00694C0F">
            <w:pPr>
              <w:pStyle w:val="Code"/>
            </w:pPr>
            <w:r>
              <w:t>&lt;w:… w:id="1" … &gt;</w:t>
            </w:r>
          </w:p>
          <w:p w:rsidR="00024C0A" w:rsidRDefault="00694C0F">
            <w:pPr>
              <w:pStyle w:val="Code"/>
            </w:pPr>
            <w:r>
              <w:t xml:space="preserve">  …</w:t>
            </w:r>
          </w:p>
          <w:p w:rsidR="00024C0A" w:rsidRDefault="00694C0F">
            <w:pPr>
              <w:pStyle w:val="Code"/>
            </w:pPr>
            <w:r>
              <w:t>&lt;/w:…&gt;</w:t>
            </w:r>
          </w:p>
          <w:p w:rsidR="00024C0A" w:rsidRDefault="00024C0A">
            <w:pPr>
              <w:pStyle w:val="TableBodyText"/>
            </w:pPr>
          </w:p>
          <w:p w:rsidR="00024C0A" w:rsidRDefault="00694C0F">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w:t>
            </w:r>
            <w:r>
              <w:t>ent. end example]</w:t>
            </w:r>
          </w:p>
          <w:p w:rsidR="00024C0A" w:rsidRDefault="00024C0A">
            <w:pPr>
              <w:pStyle w:val="TableBodyText"/>
            </w:pPr>
          </w:p>
          <w:p w:rsidR="00024C0A" w:rsidRDefault="00694C0F">
            <w:pPr>
              <w:pStyle w:val="TableBodyText"/>
            </w:pPr>
            <w:r>
              <w:t>The possible values for this attribute are defined by the ST_MarkupId simple type (§</w:t>
            </w:r>
            <w:hyperlink w:anchor="Section_205e43f89d014953a67fd7c91ccd6ffd">
              <w:r>
                <w:rPr>
                  <w:rStyle w:val="Hyperlink"/>
                </w:rPr>
                <w:t>3.1.3.3.3, ST_MarkupId</w:t>
              </w:r>
            </w:hyperlink>
            <w:r>
              <w:t>).</w:t>
            </w:r>
          </w:p>
        </w:tc>
      </w:tr>
    </w:tbl>
    <w:p w:rsidR="00024C0A" w:rsidRDefault="00024C0A"/>
    <w:p w:rsidR="00024C0A" w:rsidRDefault="00694C0F">
      <w:r>
        <w:t xml:space="preserve">The following XML Schema fragment defines the contents of this </w:t>
      </w:r>
      <w:r>
        <w:t>element:</w:t>
      </w:r>
    </w:p>
    <w:p w:rsidR="00024C0A" w:rsidRDefault="00694C0F">
      <w:pPr>
        <w:pStyle w:val="Code"/>
      </w:pPr>
      <w:r>
        <w:t>&lt;complexType name="CT_MathCtrlMove"&gt;</w:t>
      </w:r>
    </w:p>
    <w:p w:rsidR="00024C0A" w:rsidRDefault="00694C0F">
      <w:pPr>
        <w:pStyle w:val="Code"/>
      </w:pPr>
      <w:r>
        <w:t xml:space="preserve">  &lt;complexContent&gt;</w:t>
      </w:r>
    </w:p>
    <w:p w:rsidR="00024C0A" w:rsidRDefault="00694C0F">
      <w:pPr>
        <w:pStyle w:val="Code"/>
      </w:pPr>
      <w:r>
        <w:t xml:space="preserve">    &lt;extension base="CT_TrackChange"&gt;</w:t>
      </w:r>
    </w:p>
    <w:p w:rsidR="00024C0A" w:rsidRDefault="00694C0F">
      <w:pPr>
        <w:pStyle w:val="Code"/>
      </w:pPr>
      <w:r>
        <w:t xml:space="preserve">      &lt;choice minOccurs="0"&gt;</w:t>
      </w:r>
    </w:p>
    <w:p w:rsidR="00024C0A" w:rsidRDefault="00694C0F">
      <w:pPr>
        <w:pStyle w:val="Code"/>
      </w:pPr>
      <w:r>
        <w:t xml:space="preserve">        &lt;group ref="EG_RPr"/&gt;</w:t>
      </w:r>
    </w:p>
    <w:p w:rsidR="00024C0A" w:rsidRDefault="00694C0F">
      <w:pPr>
        <w:pStyle w:val="Code"/>
      </w:pPr>
      <w:r>
        <w:t xml:space="preserve">        &lt;group ref="EG_MathCtrlIns"/&gt;</w:t>
      </w:r>
    </w:p>
    <w:p w:rsidR="00024C0A" w:rsidRDefault="00694C0F">
      <w:pPr>
        <w:pStyle w:val="Code"/>
      </w:pPr>
      <w:r>
        <w:t xml:space="preserve">        &lt;group ref="EG_MathCtrlDel"/&gt;</w:t>
      </w:r>
    </w:p>
    <w:p w:rsidR="00024C0A" w:rsidRDefault="00694C0F">
      <w:pPr>
        <w:pStyle w:val="Code"/>
      </w:pPr>
      <w:r>
        <w:t xml:space="preserve">      &lt;/choice&gt;</w:t>
      </w:r>
    </w:p>
    <w:p w:rsidR="00024C0A" w:rsidRDefault="00694C0F">
      <w:pPr>
        <w:pStyle w:val="Code"/>
      </w:pPr>
      <w:r>
        <w:t xml:space="preserve">    &lt;/extension&gt;</w:t>
      </w:r>
    </w:p>
    <w:p w:rsidR="00024C0A" w:rsidRDefault="00694C0F">
      <w:pPr>
        <w:pStyle w:val="Code"/>
      </w:pPr>
      <w:r>
        <w:t xml:space="preserve">  &lt;/complexContent&gt;</w:t>
      </w:r>
    </w:p>
    <w:p w:rsidR="00024C0A" w:rsidRDefault="00694C0F">
      <w:pPr>
        <w:pStyle w:val="Code"/>
      </w:pPr>
      <w:r>
        <w:t>&lt;/complexType&gt;</w:t>
      </w:r>
    </w:p>
    <w:p w:rsidR="00024C0A" w:rsidRDefault="00694C0F">
      <w:pPr>
        <w:pStyle w:val="Heading5"/>
      </w:pPr>
      <w:bookmarkStart w:id="3885" w:name="section_9d27b8e63f8f4cf7a6e356e2fbf140b8"/>
      <w:bookmarkStart w:id="3886" w:name="_Toc12262003"/>
      <w:r>
        <w:t>moveTo (Move Destination Math Control Character)</w:t>
      </w:r>
      <w:bookmarkEnd w:id="3885"/>
      <w:bookmarkEnd w:id="3886"/>
      <w:r>
        <w:fldChar w:fldCharType="begin"/>
      </w:r>
      <w:r>
        <w:instrText xml:space="preserve"> XE "moveTo (Move Destination Math Control Character)" </w:instrText>
      </w:r>
      <w:r>
        <w:fldChar w:fldCharType="end"/>
      </w:r>
    </w:p>
    <w:p w:rsidR="00024C0A" w:rsidRDefault="00694C0F">
      <w:r>
        <w:t>This element specifies that the Office Open XML Math control character contained within it shall b</w:t>
      </w:r>
      <w:r>
        <w:t>e treated as content that has been moved to this location and tracked as a revision.</w:t>
      </w:r>
    </w:p>
    <w:p w:rsidR="00024C0A" w:rsidRDefault="00694C0F">
      <w:r>
        <w:t>The following restrictions shall be applied to this content:</w:t>
      </w:r>
    </w:p>
    <w:p w:rsidR="00024C0A" w:rsidRDefault="00694C0F">
      <w:pPr>
        <w:pStyle w:val="ListParagraph"/>
        <w:numPr>
          <w:ilvl w:val="0"/>
          <w:numId w:val="196"/>
        </w:numPr>
      </w:pPr>
      <w:r>
        <w:t>If this element occurs outside of a valid move destination container (§"</w:t>
      </w:r>
      <w:hyperlink r:id="rId288">
        <w:r>
          <w:rPr>
            <w:rStyle w:val="Hyperlink"/>
          </w:rPr>
          <w:t>[ISO/IEC-29500-1]</w:t>
        </w:r>
      </w:hyperlink>
      <w:r>
        <w:t xml:space="preserve"> §17.13.5.28; moveToRangeStart"; §"[ISO/IEC-29500-1] §17.13.5.27; moveToRangeEnd") for which a matching move source container (§"[ISO/IEC-29500-1] §17.13.5.24; </w:t>
      </w:r>
      <w:r>
        <w:lastRenderedPageBreak/>
        <w:t>moveFromRangeStart"; §"[ISO/IEC-29500-1] §17.13.5.2</w:t>
      </w:r>
      <w:r>
        <w:t>3; moveFromRangeEnd") exists in the document, then content in this region shall be treated as inserted, rather than moved.</w:t>
      </w:r>
    </w:p>
    <w:p w:rsidR="00024C0A" w:rsidRDefault="00694C0F">
      <w:r>
        <w:t>Word ignores this element.</w:t>
      </w:r>
    </w:p>
    <w:tbl>
      <w:tblPr>
        <w:tblStyle w:val="Table-ShadedHeader"/>
        <w:tblW w:w="0" w:type="auto"/>
        <w:tblLook w:val="04A0" w:firstRow="1" w:lastRow="0" w:firstColumn="1" w:lastColumn="0" w:noHBand="0" w:noVBand="1"/>
      </w:tblPr>
      <w:tblGrid>
        <w:gridCol w:w="357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ctrlPr</w:t>
            </w:r>
            <w:r>
              <w:t xml:space="preserve"> ("[ISO/IEC-29500-1] §22.1.2.23")</w:t>
            </w:r>
          </w:p>
        </w:tc>
      </w:tr>
    </w:tbl>
    <w:p w:rsidR="00024C0A" w:rsidRDefault="00024C0A"/>
    <w:p w:rsidR="00024C0A" w:rsidRDefault="00024C0A"/>
    <w:tbl>
      <w:tblPr>
        <w:tblStyle w:val="Table-ShadedHeader"/>
        <w:tblW w:w="0" w:type="auto"/>
        <w:tblLook w:val="04A0" w:firstRow="1" w:lastRow="0" w:firstColumn="1" w:lastColumn="0" w:noHBand="0" w:noVBand="1"/>
      </w:tblPr>
      <w:tblGrid>
        <w:gridCol w:w="3299"/>
        <w:gridCol w:w="2978"/>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Child Elements</w:t>
            </w:r>
          </w:p>
        </w:tc>
        <w:tc>
          <w:tcPr>
            <w:tcW w:w="0" w:type="auto"/>
            <w:vAlign w:val="center"/>
          </w:tcPr>
          <w:p w:rsidR="00024C0A" w:rsidRDefault="00694C0F">
            <w:pPr>
              <w:pStyle w:val="TableHeaderText"/>
            </w:pPr>
            <w:r>
              <w:t>Subclause</w:t>
            </w:r>
          </w:p>
        </w:tc>
      </w:tr>
      <w:tr w:rsidR="00024C0A" w:rsidTr="00024C0A">
        <w:tc>
          <w:tcPr>
            <w:tcW w:w="0" w:type="auto"/>
            <w:vAlign w:val="center"/>
          </w:tcPr>
          <w:p w:rsidR="00024C0A" w:rsidRDefault="00694C0F">
            <w:pPr>
              <w:pStyle w:val="TableBodyText"/>
            </w:pPr>
            <w:r>
              <w:rPr>
                <w:b/>
              </w:rPr>
              <w:t>del</w:t>
            </w:r>
            <w:r>
              <w:t xml:space="preserve"> (Deleted Math Control Character)</w:t>
            </w:r>
          </w:p>
        </w:tc>
        <w:tc>
          <w:tcPr>
            <w:tcW w:w="0" w:type="auto"/>
            <w:vAlign w:val="center"/>
          </w:tcPr>
          <w:p w:rsidR="00024C0A" w:rsidRDefault="00694C0F">
            <w:pPr>
              <w:pStyle w:val="TableBodyText"/>
            </w:pPr>
            <w:r>
              <w:t>"[ISO/IEC-29500-1] §17.13.5.13"</w:t>
            </w:r>
          </w:p>
        </w:tc>
      </w:tr>
      <w:tr w:rsidR="00024C0A" w:rsidTr="00024C0A">
        <w:tc>
          <w:tcPr>
            <w:tcW w:w="0" w:type="auto"/>
            <w:vAlign w:val="center"/>
          </w:tcPr>
          <w:p w:rsidR="00024C0A" w:rsidRDefault="00694C0F">
            <w:pPr>
              <w:pStyle w:val="TableBodyText"/>
            </w:pPr>
            <w:r>
              <w:rPr>
                <w:b/>
              </w:rPr>
              <w:t>ins</w:t>
            </w:r>
            <w:r>
              <w:t xml:space="preserve"> (Inserted Math Control Character)</w:t>
            </w:r>
          </w:p>
        </w:tc>
        <w:tc>
          <w:tcPr>
            <w:tcW w:w="0" w:type="auto"/>
            <w:vAlign w:val="center"/>
          </w:tcPr>
          <w:p w:rsidR="00024C0A" w:rsidRDefault="00694C0F">
            <w:pPr>
              <w:pStyle w:val="TableBodyText"/>
            </w:pPr>
            <w:r>
              <w:t>"[ISO/IEC-29500-1] §17.13.5.16"</w:t>
            </w:r>
          </w:p>
        </w:tc>
      </w:tr>
      <w:tr w:rsidR="00024C0A" w:rsidTr="00024C0A">
        <w:tc>
          <w:tcPr>
            <w:tcW w:w="0" w:type="auto"/>
            <w:vAlign w:val="center"/>
          </w:tcPr>
          <w:p w:rsidR="00024C0A" w:rsidRDefault="00694C0F">
            <w:pPr>
              <w:pStyle w:val="TableBodyText"/>
            </w:pPr>
            <w:r>
              <w:rPr>
                <w:b/>
              </w:rPr>
              <w:t>rPr</w:t>
            </w:r>
            <w:r>
              <w:t xml:space="preserve"> (Run Properties)</w:t>
            </w:r>
          </w:p>
        </w:tc>
        <w:tc>
          <w:tcPr>
            <w:tcW w:w="0" w:type="auto"/>
            <w:vAlign w:val="center"/>
          </w:tcPr>
          <w:p w:rsidR="00024C0A" w:rsidRDefault="00694C0F">
            <w:pPr>
              <w:pStyle w:val="TableBodyText"/>
            </w:pPr>
            <w:r>
              <w:t>"[ISO/IEC-29500-1] §17.3.2.28"</w:t>
            </w:r>
          </w:p>
        </w:tc>
      </w:tr>
    </w:tbl>
    <w:p w:rsidR="00024C0A" w:rsidRDefault="00024C0A"/>
    <w:p w:rsidR="00024C0A" w:rsidRDefault="00024C0A"/>
    <w:tbl>
      <w:tblPr>
        <w:tblStyle w:val="Table-ShadedHeader"/>
        <w:tblW w:w="0" w:type="auto"/>
        <w:tblLook w:val="04A0" w:firstRow="1" w:lastRow="0" w:firstColumn="1" w:lastColumn="0" w:noHBand="0" w:noVBand="1"/>
      </w:tblPr>
      <w:tblGrid>
        <w:gridCol w:w="1800"/>
        <w:gridCol w:w="7675"/>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Attributes</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author</w:t>
            </w:r>
            <w:r>
              <w:t xml:space="preserve"> (Annotation Author)</w:t>
            </w:r>
          </w:p>
        </w:tc>
        <w:tc>
          <w:tcPr>
            <w:tcW w:w="0" w:type="auto"/>
            <w:vAlign w:val="center"/>
          </w:tcPr>
          <w:p w:rsidR="00024C0A" w:rsidRDefault="00694C0F">
            <w:pPr>
              <w:pStyle w:val="TableBodyText"/>
            </w:pPr>
            <w:r>
              <w:t xml:space="preserve">Specifies </w:t>
            </w:r>
            <w:r>
              <w:t>the author for an annotation within a WordprocessingML document.</w:t>
            </w:r>
          </w:p>
          <w:p w:rsidR="00024C0A" w:rsidRDefault="00024C0A">
            <w:pPr>
              <w:pStyle w:val="TableBodyText"/>
            </w:pPr>
          </w:p>
          <w:p w:rsidR="00024C0A" w:rsidRDefault="00694C0F">
            <w:pPr>
              <w:pStyle w:val="TableBodyText"/>
            </w:pPr>
            <w:r>
              <w:t xml:space="preserve"> [Example: Consider a comment represented using the following WordprocessingML fragment:</w:t>
            </w:r>
          </w:p>
          <w:p w:rsidR="00024C0A" w:rsidRDefault="00024C0A">
            <w:pPr>
              <w:pStyle w:val="TableBodyText"/>
            </w:pPr>
          </w:p>
          <w:p w:rsidR="00024C0A" w:rsidRDefault="00694C0F">
            <w:pPr>
              <w:pStyle w:val="Code"/>
            </w:pPr>
            <w:r>
              <w:t>&lt;w:… w:id="1" w:author="Example Author"&gt;</w:t>
            </w:r>
          </w:p>
          <w:p w:rsidR="00024C0A" w:rsidRDefault="00694C0F">
            <w:pPr>
              <w:pStyle w:val="Code"/>
            </w:pPr>
            <w:r>
              <w:t xml:space="preserve">  …</w:t>
            </w:r>
          </w:p>
          <w:p w:rsidR="00024C0A" w:rsidRDefault="00694C0F">
            <w:pPr>
              <w:pStyle w:val="Code"/>
            </w:pPr>
            <w:r>
              <w:t>&lt;/w:…&gt;</w:t>
            </w:r>
          </w:p>
          <w:p w:rsidR="00024C0A" w:rsidRDefault="00024C0A">
            <w:pPr>
              <w:pStyle w:val="TableBodyText"/>
            </w:pPr>
          </w:p>
          <w:p w:rsidR="00024C0A" w:rsidRDefault="00694C0F">
            <w:pPr>
              <w:pStyle w:val="TableBodyText"/>
            </w:pPr>
            <w:r>
              <w:t xml:space="preserve">The </w:t>
            </w:r>
            <w:r>
              <w:rPr>
                <w:b/>
              </w:rPr>
              <w:t>author</w:t>
            </w:r>
            <w:r>
              <w:t xml:space="preserve"> attribute specifies that the author </w:t>
            </w:r>
            <w:r>
              <w:t xml:space="preserve">of the current annotation is </w:t>
            </w:r>
            <w:r>
              <w:rPr>
                <w:i/>
              </w:rPr>
              <w:t>Example Author</w:t>
            </w:r>
            <w:r>
              <w:t>, which may be used as desired. end example]</w:t>
            </w:r>
          </w:p>
          <w:p w:rsidR="00024C0A" w:rsidRDefault="00024C0A">
            <w:pPr>
              <w:pStyle w:val="TableBodyText"/>
            </w:pPr>
          </w:p>
          <w:p w:rsidR="00024C0A" w:rsidRDefault="00694C0F">
            <w:pPr>
              <w:pStyle w:val="TableBodyText"/>
            </w:pPr>
            <w:r>
              <w:t>The possible values for this attribute are defined by the ST_String255 simple type (§</w:t>
            </w:r>
            <w:hyperlink w:anchor="Section_73f2382235094ce4a27391e7e5a80c27">
              <w:r>
                <w:rPr>
                  <w:rStyle w:val="Hyperlink"/>
                </w:rPr>
                <w:t>3.1.3.3.9, ST_Strin</w:t>
              </w:r>
              <w:r>
                <w:rPr>
                  <w:rStyle w:val="Hyperlink"/>
                </w:rPr>
                <w:t>g255</w:t>
              </w:r>
            </w:hyperlink>
            <w:r>
              <w:t>).</w:t>
            </w:r>
          </w:p>
        </w:tc>
      </w:tr>
      <w:tr w:rsidR="00024C0A" w:rsidTr="00024C0A">
        <w:tc>
          <w:tcPr>
            <w:tcW w:w="0" w:type="auto"/>
            <w:vAlign w:val="center"/>
          </w:tcPr>
          <w:p w:rsidR="00024C0A" w:rsidRDefault="00694C0F">
            <w:pPr>
              <w:pStyle w:val="TableBodyText"/>
            </w:pPr>
            <w:r>
              <w:rPr>
                <w:b/>
              </w:rPr>
              <w:t>date</w:t>
            </w:r>
            <w:r>
              <w:t xml:space="preserve"> (Annotation Date)</w:t>
            </w:r>
          </w:p>
        </w:tc>
        <w:tc>
          <w:tcPr>
            <w:tcW w:w="0" w:type="auto"/>
            <w:vAlign w:val="center"/>
          </w:tcPr>
          <w:p w:rsidR="00024C0A" w:rsidRDefault="00694C0F">
            <w:pPr>
              <w:pStyle w:val="TableBodyText"/>
            </w:pPr>
            <w:r>
              <w:t>Specifies the date information for an annotation within a WordprocessingML document.</w:t>
            </w:r>
          </w:p>
          <w:p w:rsidR="00024C0A" w:rsidRDefault="00024C0A">
            <w:pPr>
              <w:pStyle w:val="TableBodyText"/>
            </w:pPr>
          </w:p>
          <w:p w:rsidR="00024C0A" w:rsidRDefault="00694C0F">
            <w:pPr>
              <w:pStyle w:val="TableBodyText"/>
            </w:pPr>
            <w:r>
              <w:t>If this attribute is omitted, then no date information shall be associated with the parent annotation type.</w:t>
            </w:r>
          </w:p>
          <w:p w:rsidR="00024C0A" w:rsidRDefault="00024C0A">
            <w:pPr>
              <w:pStyle w:val="TableBodyText"/>
            </w:pPr>
          </w:p>
          <w:p w:rsidR="00024C0A" w:rsidRDefault="00694C0F">
            <w:pPr>
              <w:pStyle w:val="TableBodyText"/>
            </w:pPr>
            <w:r>
              <w:t>[Example: Consider a comment r</w:t>
            </w:r>
            <w:r>
              <w:t>epresented using the following WordprocessingML fragment:</w:t>
            </w:r>
          </w:p>
          <w:p w:rsidR="00024C0A" w:rsidRDefault="00024C0A">
            <w:pPr>
              <w:pStyle w:val="TableBodyText"/>
            </w:pPr>
          </w:p>
          <w:p w:rsidR="00024C0A" w:rsidRDefault="00694C0F">
            <w:pPr>
              <w:pStyle w:val="Code"/>
            </w:pPr>
            <w:r>
              <w:t>&lt;w:… w:id="1" w:date="2006-01-01T10:00:00"&gt;</w:t>
            </w:r>
          </w:p>
          <w:p w:rsidR="00024C0A" w:rsidRDefault="00694C0F">
            <w:pPr>
              <w:pStyle w:val="Code"/>
            </w:pPr>
            <w:r>
              <w:t xml:space="preserve">  …</w:t>
            </w:r>
          </w:p>
          <w:p w:rsidR="00024C0A" w:rsidRDefault="00694C0F">
            <w:pPr>
              <w:pStyle w:val="Code"/>
            </w:pPr>
            <w:r>
              <w:t>&lt;/w:…&gt;</w:t>
            </w:r>
          </w:p>
          <w:p w:rsidR="00024C0A" w:rsidRDefault="00024C0A">
            <w:pPr>
              <w:pStyle w:val="TableBodyText"/>
            </w:pPr>
          </w:p>
          <w:p w:rsidR="00024C0A" w:rsidRDefault="00694C0F">
            <w:pPr>
              <w:pStyle w:val="TableBodyText"/>
            </w:pPr>
            <w:r>
              <w:t xml:space="preserve">The </w:t>
            </w:r>
            <w:r>
              <w:rPr>
                <w:b/>
              </w:rPr>
              <w:t>date</w:t>
            </w:r>
            <w:r>
              <w:t xml:space="preserve"> attribute specifies that the date of the current annotation is January 1st 2006 at 10:00 AM, which may be used as desired. end example]</w:t>
            </w:r>
          </w:p>
          <w:p w:rsidR="00024C0A" w:rsidRDefault="00024C0A">
            <w:pPr>
              <w:pStyle w:val="TableBodyText"/>
            </w:pPr>
          </w:p>
          <w:p w:rsidR="00024C0A" w:rsidRDefault="00694C0F">
            <w:pPr>
              <w:pStyle w:val="TableBodyText"/>
            </w:pPr>
            <w:r>
              <w:t>The possible values for this attribute are defined by the ST_DateTime simple type (§</w:t>
            </w:r>
            <w:hyperlink w:anchor="Section_67feb752f108441eaca363fc2717117a">
              <w:r>
                <w:rPr>
                  <w:rStyle w:val="Hyperlink"/>
                </w:rPr>
                <w:t>3.1.3.3.2, ST_DateTime</w:t>
              </w:r>
            </w:hyperlink>
            <w:r>
              <w:t>).</w:t>
            </w:r>
          </w:p>
        </w:tc>
      </w:tr>
      <w:tr w:rsidR="00024C0A" w:rsidTr="00024C0A">
        <w:tc>
          <w:tcPr>
            <w:tcW w:w="0" w:type="auto"/>
            <w:vAlign w:val="center"/>
          </w:tcPr>
          <w:p w:rsidR="00024C0A" w:rsidRDefault="00694C0F">
            <w:pPr>
              <w:pStyle w:val="TableBodyText"/>
            </w:pPr>
            <w:r>
              <w:rPr>
                <w:b/>
              </w:rPr>
              <w:lastRenderedPageBreak/>
              <w:t>id</w:t>
            </w:r>
            <w:r>
              <w:t xml:space="preserve"> (Annotation Identifier)</w:t>
            </w:r>
          </w:p>
        </w:tc>
        <w:tc>
          <w:tcPr>
            <w:tcW w:w="0" w:type="auto"/>
            <w:vAlign w:val="center"/>
          </w:tcPr>
          <w:p w:rsidR="00024C0A" w:rsidRDefault="00694C0F">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024C0A" w:rsidRDefault="00024C0A">
            <w:pPr>
              <w:pStyle w:val="TableBodyText"/>
            </w:pPr>
          </w:p>
          <w:p w:rsidR="00024C0A" w:rsidRDefault="00694C0F">
            <w:pPr>
              <w:pStyle w:val="TableBodyText"/>
            </w:pPr>
            <w:r>
              <w:t>If t</w:t>
            </w:r>
            <w:r>
              <w:t>his attribute is omitted, then the document is non-conformant.</w:t>
            </w:r>
          </w:p>
          <w:p w:rsidR="00024C0A" w:rsidRDefault="00024C0A">
            <w:pPr>
              <w:pStyle w:val="TableBodyText"/>
            </w:pPr>
          </w:p>
          <w:p w:rsidR="00024C0A" w:rsidRDefault="00694C0F">
            <w:pPr>
              <w:pStyle w:val="TableBodyText"/>
            </w:pPr>
            <w:r>
              <w:t>[Example: Consider an annotation represented using the following WordprocessingML fragment:</w:t>
            </w:r>
          </w:p>
          <w:p w:rsidR="00024C0A" w:rsidRDefault="00024C0A">
            <w:pPr>
              <w:pStyle w:val="TableBodyText"/>
            </w:pPr>
          </w:p>
          <w:p w:rsidR="00024C0A" w:rsidRDefault="00694C0F">
            <w:pPr>
              <w:pStyle w:val="Code"/>
            </w:pPr>
            <w:r>
              <w:t>&lt;w:… w:id="1" … &gt;</w:t>
            </w:r>
          </w:p>
          <w:p w:rsidR="00024C0A" w:rsidRDefault="00694C0F">
            <w:pPr>
              <w:pStyle w:val="Code"/>
            </w:pPr>
            <w:r>
              <w:t xml:space="preserve">  …</w:t>
            </w:r>
          </w:p>
          <w:p w:rsidR="00024C0A" w:rsidRDefault="00694C0F">
            <w:pPr>
              <w:pStyle w:val="Code"/>
            </w:pPr>
            <w:r>
              <w:t>&lt;/w:…&gt;</w:t>
            </w:r>
          </w:p>
          <w:p w:rsidR="00024C0A" w:rsidRDefault="00024C0A">
            <w:pPr>
              <w:pStyle w:val="TableBodyText"/>
            </w:pPr>
          </w:p>
          <w:p w:rsidR="00024C0A" w:rsidRDefault="00694C0F">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content. end example]</w:t>
            </w:r>
          </w:p>
          <w:p w:rsidR="00024C0A" w:rsidRDefault="00024C0A">
            <w:pPr>
              <w:pStyle w:val="TableBodyText"/>
            </w:pPr>
          </w:p>
          <w:p w:rsidR="00024C0A" w:rsidRDefault="00694C0F">
            <w:pPr>
              <w:pStyle w:val="TableBodyText"/>
            </w:pPr>
            <w:r>
              <w:t>The possible values for this attribute are defined by the ST_MarkupId simple type (§</w:t>
            </w:r>
            <w:hyperlink w:anchor="Section_205e43f89d014953a67fd7c91ccd6ffd">
              <w:r>
                <w:rPr>
                  <w:rStyle w:val="Hyperlink"/>
                </w:rPr>
                <w:t>3.1.3.3.</w:t>
              </w:r>
              <w:r>
                <w:rPr>
                  <w:rStyle w:val="Hyperlink"/>
                </w:rPr>
                <w:t>3, ST_MarkupId</w:t>
              </w:r>
            </w:hyperlink>
            <w:r>
              <w:t>).</w:t>
            </w:r>
          </w:p>
        </w:tc>
      </w:tr>
    </w:tbl>
    <w:p w:rsidR="00024C0A" w:rsidRDefault="00024C0A"/>
    <w:p w:rsidR="00024C0A" w:rsidRDefault="00694C0F">
      <w:r>
        <w:t>The following XML Schema fragment defines the contents of this element:</w:t>
      </w:r>
    </w:p>
    <w:p w:rsidR="00024C0A" w:rsidRDefault="00694C0F">
      <w:pPr>
        <w:pStyle w:val="Code"/>
      </w:pPr>
      <w:r>
        <w:t>&lt;complexType name="CT_MathCtrlMove"&gt;</w:t>
      </w:r>
    </w:p>
    <w:p w:rsidR="00024C0A" w:rsidRDefault="00694C0F">
      <w:pPr>
        <w:pStyle w:val="Code"/>
      </w:pPr>
      <w:r>
        <w:t xml:space="preserve">  &lt;complexContent&gt;</w:t>
      </w:r>
    </w:p>
    <w:p w:rsidR="00024C0A" w:rsidRDefault="00694C0F">
      <w:pPr>
        <w:pStyle w:val="Code"/>
      </w:pPr>
      <w:r>
        <w:t xml:space="preserve">    &lt;extension base="CT_TrackChange"&gt;</w:t>
      </w:r>
    </w:p>
    <w:p w:rsidR="00024C0A" w:rsidRDefault="00694C0F">
      <w:pPr>
        <w:pStyle w:val="Code"/>
      </w:pPr>
      <w:r>
        <w:t xml:space="preserve">      &lt;choice minOccurs="0"&gt;</w:t>
      </w:r>
    </w:p>
    <w:p w:rsidR="00024C0A" w:rsidRDefault="00694C0F">
      <w:pPr>
        <w:pStyle w:val="Code"/>
      </w:pPr>
      <w:r>
        <w:t xml:space="preserve">        &lt;group ref="EG_RPr"/&gt;</w:t>
      </w:r>
    </w:p>
    <w:p w:rsidR="00024C0A" w:rsidRDefault="00694C0F">
      <w:pPr>
        <w:pStyle w:val="Code"/>
      </w:pPr>
      <w:r>
        <w:t xml:space="preserve">        &lt;</w:t>
      </w:r>
      <w:r>
        <w:t>group ref="EG_MathCtrlIns"/&gt;</w:t>
      </w:r>
    </w:p>
    <w:p w:rsidR="00024C0A" w:rsidRDefault="00694C0F">
      <w:pPr>
        <w:pStyle w:val="Code"/>
      </w:pPr>
      <w:r>
        <w:t xml:space="preserve">        &lt;group ref="EG_MathCtrlDel"/&gt;</w:t>
      </w:r>
    </w:p>
    <w:p w:rsidR="00024C0A" w:rsidRDefault="00694C0F">
      <w:pPr>
        <w:pStyle w:val="Code"/>
      </w:pPr>
      <w:r>
        <w:t xml:space="preserve">      &lt;/choice&gt;</w:t>
      </w:r>
    </w:p>
    <w:p w:rsidR="00024C0A" w:rsidRDefault="00694C0F">
      <w:pPr>
        <w:pStyle w:val="Code"/>
      </w:pPr>
      <w:r>
        <w:t xml:space="preserve">    &lt;/extension&gt;</w:t>
      </w:r>
    </w:p>
    <w:p w:rsidR="00024C0A" w:rsidRDefault="00694C0F">
      <w:pPr>
        <w:pStyle w:val="Code"/>
      </w:pPr>
      <w:r>
        <w:t xml:space="preserve">  &lt;/complexContent&gt;</w:t>
      </w:r>
    </w:p>
    <w:p w:rsidR="00024C0A" w:rsidRDefault="00694C0F">
      <w:pPr>
        <w:pStyle w:val="Code"/>
      </w:pPr>
      <w:r>
        <w:t>&lt;/complexType&gt;</w:t>
      </w:r>
    </w:p>
    <w:p w:rsidR="00024C0A" w:rsidRDefault="00694C0F">
      <w:pPr>
        <w:pStyle w:val="Heading5"/>
      </w:pPr>
      <w:bookmarkStart w:id="3887" w:name="section_808b32d8ad644c849fb585ad68be54b9"/>
      <w:bookmarkStart w:id="3888" w:name="_Toc12262004"/>
      <w:r>
        <w:t>sdt (Ruby Inline-Level Structured Document Tag)</w:t>
      </w:r>
      <w:bookmarkEnd w:id="3887"/>
      <w:bookmarkEnd w:id="3888"/>
      <w:r>
        <w:fldChar w:fldCharType="begin"/>
      </w:r>
      <w:r>
        <w:instrText xml:space="preserve"> XE "sdt (Ruby Inline-Level Structured Document Tag)" </w:instrText>
      </w:r>
      <w:r>
        <w:fldChar w:fldCharType="end"/>
      </w:r>
    </w:p>
    <w:p w:rsidR="00024C0A" w:rsidRDefault="00694C0F">
      <w:r>
        <w:t>This element spec</w:t>
      </w:r>
      <w:r>
        <w:t xml:space="preserve">ifies the presence of a structured document tag around one or more inline-level structures (runs, DrawingML objects, fields, and so on) in the current paragraph. The two child elements of this element shall be used to specify the properties and content of </w:t>
      </w:r>
      <w:r>
        <w:t xml:space="preserve">the current structured document tag via the </w:t>
      </w:r>
      <w:r>
        <w:rPr>
          <w:b/>
        </w:rPr>
        <w:t>sdtPr</w:t>
      </w:r>
      <w:r>
        <w:t xml:space="preserve"> and </w:t>
      </w:r>
      <w:r>
        <w:rPr>
          <w:b/>
        </w:rPr>
        <w:t>sdtContent</w:t>
      </w:r>
      <w:r>
        <w:t xml:space="preserve"> elements, respectively.</w:t>
      </w:r>
    </w:p>
    <w:p w:rsidR="00024C0A" w:rsidRDefault="00694C0F">
      <w:r>
        <w:t xml:space="preserve">[Example: Consider a structured document tag with the friendly name </w:t>
      </w:r>
      <w:r>
        <w:rPr>
          <w:i/>
        </w:rPr>
        <w:t>firstName</w:t>
      </w:r>
      <w:r>
        <w:t xml:space="preserve"> that shall be located around two runs in a WordprocessingML document. This requirement wo</w:t>
      </w:r>
      <w:r>
        <w:t>uld be specified as follows in the WordprocessingML:</w:t>
      </w:r>
    </w:p>
    <w:p w:rsidR="00024C0A" w:rsidRDefault="00694C0F">
      <w:pPr>
        <w:pStyle w:val="Code"/>
      </w:pPr>
      <w:r>
        <w:t>&lt;w:p&gt;</w:t>
      </w:r>
    </w:p>
    <w:p w:rsidR="00024C0A" w:rsidRDefault="00694C0F">
      <w:pPr>
        <w:pStyle w:val="Code"/>
      </w:pPr>
      <w:r>
        <w:t xml:space="preserve">  &lt;w:sdt&gt;</w:t>
      </w:r>
    </w:p>
    <w:p w:rsidR="00024C0A" w:rsidRDefault="00694C0F">
      <w:pPr>
        <w:pStyle w:val="Code"/>
      </w:pPr>
      <w:r>
        <w:lastRenderedPageBreak/>
        <w:t xml:space="preserve">    &lt;w:sdtPr&gt;</w:t>
      </w:r>
    </w:p>
    <w:p w:rsidR="00024C0A" w:rsidRDefault="00694C0F">
      <w:pPr>
        <w:pStyle w:val="Code"/>
      </w:pPr>
      <w:r>
        <w:t xml:space="preserve">      &lt;w:alias w:val="firstName"/&gt;</w:t>
      </w:r>
    </w:p>
    <w:p w:rsidR="00024C0A" w:rsidRDefault="00694C0F">
      <w:pPr>
        <w:pStyle w:val="Code"/>
      </w:pPr>
      <w:r>
        <w:t xml:space="preserve">    &lt;/w:sdtPr&gt;</w:t>
      </w:r>
    </w:p>
    <w:p w:rsidR="00024C0A" w:rsidRDefault="00694C0F">
      <w:pPr>
        <w:pStyle w:val="Code"/>
      </w:pPr>
      <w:r>
        <w:t xml:space="preserve">    &lt;w:sdtContent&gt;</w:t>
      </w:r>
    </w:p>
    <w:p w:rsidR="00024C0A" w:rsidRDefault="00694C0F">
      <w:pPr>
        <w:pStyle w:val="Code"/>
      </w:pPr>
      <w:r>
        <w:t xml:space="preserve">      &lt;w:r&gt;</w:t>
      </w:r>
    </w:p>
    <w:p w:rsidR="00024C0A" w:rsidRDefault="00694C0F">
      <w:pPr>
        <w:pStyle w:val="Code"/>
      </w:pPr>
      <w:r>
        <w:t xml:space="preserve">        …</w:t>
      </w:r>
    </w:p>
    <w:p w:rsidR="00024C0A" w:rsidRDefault="00694C0F">
      <w:pPr>
        <w:pStyle w:val="Code"/>
      </w:pPr>
      <w:r>
        <w:t xml:space="preserve">      &lt;/w:r&gt;</w:t>
      </w:r>
    </w:p>
    <w:p w:rsidR="00024C0A" w:rsidRDefault="00694C0F">
      <w:pPr>
        <w:pStyle w:val="Code"/>
      </w:pPr>
      <w:r>
        <w:t xml:space="preserve">      &lt;w:r&gt;</w:t>
      </w:r>
    </w:p>
    <w:p w:rsidR="00024C0A" w:rsidRDefault="00694C0F">
      <w:pPr>
        <w:pStyle w:val="Code"/>
      </w:pPr>
      <w:r>
        <w:t xml:space="preserve">        …</w:t>
      </w:r>
    </w:p>
    <w:p w:rsidR="00024C0A" w:rsidRDefault="00694C0F">
      <w:pPr>
        <w:pStyle w:val="Code"/>
      </w:pPr>
      <w:r>
        <w:t xml:space="preserve">      &lt;/w:r&gt;</w:t>
      </w:r>
    </w:p>
    <w:p w:rsidR="00024C0A" w:rsidRDefault="00694C0F">
      <w:pPr>
        <w:pStyle w:val="Code"/>
      </w:pPr>
      <w:r>
        <w:t xml:space="preserve">    &lt;/w:sdtContent&gt;</w:t>
      </w:r>
    </w:p>
    <w:p w:rsidR="00024C0A" w:rsidRDefault="00694C0F">
      <w:pPr>
        <w:pStyle w:val="Code"/>
      </w:pPr>
      <w:r>
        <w:t xml:space="preserve">  &lt;/w:sdt&gt;</w:t>
      </w:r>
    </w:p>
    <w:p w:rsidR="00024C0A" w:rsidRDefault="00694C0F">
      <w:pPr>
        <w:pStyle w:val="Code"/>
      </w:pPr>
      <w:r>
        <w:t xml:space="preserve">  …</w:t>
      </w:r>
    </w:p>
    <w:p w:rsidR="00024C0A" w:rsidRDefault="00694C0F">
      <w:pPr>
        <w:pStyle w:val="Code"/>
      </w:pPr>
      <w:r>
        <w:t>&lt;/w:tr&gt;</w:t>
      </w:r>
    </w:p>
    <w:p w:rsidR="00024C0A" w:rsidRDefault="00694C0F">
      <w:r>
        <w:t xml:space="preserve">The </w:t>
      </w:r>
      <w:r>
        <w:rPr>
          <w:b/>
        </w:rPr>
        <w:t>sdt</w:t>
      </w:r>
      <w:r>
        <w:t xml:space="preserve"> element specifies the structured document tag, the child </w:t>
      </w:r>
      <w:r>
        <w:rPr>
          <w:b/>
        </w:rPr>
        <w:t>sdtPr</w:t>
      </w:r>
      <w:r>
        <w:t xml:space="preserve"> element contains the friendly name property set to </w:t>
      </w:r>
      <w:r>
        <w:rPr>
          <w:i/>
        </w:rPr>
        <w:t>firstName</w:t>
      </w:r>
      <w:r>
        <w:t xml:space="preserve">, and the </w:t>
      </w:r>
      <w:r>
        <w:rPr>
          <w:b/>
        </w:rPr>
        <w:t>sdtContent</w:t>
      </w:r>
      <w:r>
        <w:t xml:space="preserve"> element contains two runs (it is an inline-level structured document tag). end example]</w:t>
      </w:r>
    </w:p>
    <w:tbl>
      <w:tblPr>
        <w:tblStyle w:val="Table-ShadedHeader"/>
        <w:tblW w:w="0" w:type="auto"/>
        <w:tblLook w:val="04A0" w:firstRow="1" w:lastRow="0" w:firstColumn="1" w:lastColumn="0" w:noHBand="0" w:noVBand="1"/>
      </w:tblPr>
      <w:tblGrid>
        <w:gridCol w:w="9475"/>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 xml:space="preserve">Parent </w:t>
            </w:r>
            <w:r>
              <w:t>Elements</w:t>
            </w:r>
          </w:p>
        </w:tc>
      </w:tr>
      <w:tr w:rsidR="00024C0A" w:rsidTr="00024C0A">
        <w:tc>
          <w:tcPr>
            <w:tcW w:w="0" w:type="auto"/>
            <w:vAlign w:val="center"/>
          </w:tcPr>
          <w:p w:rsidR="00024C0A" w:rsidRDefault="00694C0F">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89">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6758"/>
        <w:gridCol w:w="2717"/>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Child Elements</w:t>
            </w:r>
          </w:p>
        </w:tc>
        <w:tc>
          <w:tcPr>
            <w:tcW w:w="0" w:type="auto"/>
            <w:vAlign w:val="center"/>
          </w:tcPr>
          <w:p w:rsidR="00024C0A" w:rsidRDefault="00694C0F">
            <w:pPr>
              <w:pStyle w:val="TableHeaderText"/>
            </w:pPr>
            <w:r>
              <w:t>Subclause</w:t>
            </w:r>
          </w:p>
        </w:tc>
      </w:tr>
      <w:tr w:rsidR="00024C0A" w:rsidTr="00024C0A">
        <w:tc>
          <w:tcPr>
            <w:tcW w:w="0" w:type="auto"/>
            <w:vAlign w:val="center"/>
          </w:tcPr>
          <w:p w:rsidR="00024C0A" w:rsidRDefault="00694C0F">
            <w:pPr>
              <w:pStyle w:val="TableBodyText"/>
            </w:pPr>
            <w:r>
              <w:rPr>
                <w:b/>
              </w:rPr>
              <w:t>bookmarkEnd</w:t>
            </w:r>
            <w:r>
              <w:t xml:space="preserve"> (Bookmark End)</w:t>
            </w:r>
          </w:p>
        </w:tc>
        <w:tc>
          <w:tcPr>
            <w:tcW w:w="0" w:type="auto"/>
            <w:vAlign w:val="center"/>
          </w:tcPr>
          <w:p w:rsidR="00024C0A" w:rsidRDefault="00694C0F">
            <w:pPr>
              <w:pStyle w:val="TableBodyText"/>
            </w:pPr>
            <w:r>
              <w:t>"[ISO/IEC-29500-1] §17.13.6.1"</w:t>
            </w:r>
          </w:p>
        </w:tc>
      </w:tr>
      <w:tr w:rsidR="00024C0A" w:rsidTr="00024C0A">
        <w:tc>
          <w:tcPr>
            <w:tcW w:w="0" w:type="auto"/>
            <w:vAlign w:val="center"/>
          </w:tcPr>
          <w:p w:rsidR="00024C0A" w:rsidRDefault="00694C0F">
            <w:pPr>
              <w:pStyle w:val="TableBodyText"/>
            </w:pPr>
            <w:r>
              <w:rPr>
                <w:b/>
              </w:rPr>
              <w:t>bookmarkStart</w:t>
            </w:r>
            <w:r>
              <w:t xml:space="preserve"> (Bookmark Start)</w:t>
            </w:r>
          </w:p>
        </w:tc>
        <w:tc>
          <w:tcPr>
            <w:tcW w:w="0" w:type="auto"/>
            <w:vAlign w:val="center"/>
          </w:tcPr>
          <w:p w:rsidR="00024C0A" w:rsidRDefault="00694C0F">
            <w:pPr>
              <w:pStyle w:val="TableBodyText"/>
            </w:pPr>
            <w:r>
              <w:t>"[ISO/IEC-29500-1] §17.13.6.2"</w:t>
            </w:r>
          </w:p>
        </w:tc>
      </w:tr>
      <w:tr w:rsidR="00024C0A" w:rsidTr="00024C0A">
        <w:tc>
          <w:tcPr>
            <w:tcW w:w="0" w:type="auto"/>
            <w:vAlign w:val="center"/>
          </w:tcPr>
          <w:p w:rsidR="00024C0A" w:rsidRDefault="00694C0F">
            <w:pPr>
              <w:pStyle w:val="TableBodyText"/>
            </w:pPr>
            <w:r>
              <w:rPr>
                <w:b/>
              </w:rPr>
              <w:t>commentRangeEnd</w:t>
            </w:r>
            <w:r>
              <w:t xml:space="preserve"> (Comment Anchor Range End)</w:t>
            </w:r>
          </w:p>
        </w:tc>
        <w:tc>
          <w:tcPr>
            <w:tcW w:w="0" w:type="auto"/>
            <w:vAlign w:val="center"/>
          </w:tcPr>
          <w:p w:rsidR="00024C0A" w:rsidRDefault="00694C0F">
            <w:pPr>
              <w:pStyle w:val="TableBodyText"/>
            </w:pPr>
            <w:r>
              <w:t>"[ISO/IEC-29500-1] §17.13.4.3"</w:t>
            </w:r>
          </w:p>
        </w:tc>
      </w:tr>
      <w:tr w:rsidR="00024C0A" w:rsidTr="00024C0A">
        <w:tc>
          <w:tcPr>
            <w:tcW w:w="0" w:type="auto"/>
            <w:vAlign w:val="center"/>
          </w:tcPr>
          <w:p w:rsidR="00024C0A" w:rsidRDefault="00694C0F">
            <w:pPr>
              <w:pStyle w:val="TableBodyText"/>
            </w:pPr>
            <w:r>
              <w:rPr>
                <w:b/>
              </w:rPr>
              <w:t>commentRangeStart</w:t>
            </w:r>
            <w:r>
              <w:t xml:space="preserve"> (Comment Anchor Range Start)</w:t>
            </w:r>
          </w:p>
        </w:tc>
        <w:tc>
          <w:tcPr>
            <w:tcW w:w="0" w:type="auto"/>
            <w:vAlign w:val="center"/>
          </w:tcPr>
          <w:p w:rsidR="00024C0A" w:rsidRDefault="00694C0F">
            <w:pPr>
              <w:pStyle w:val="TableBodyText"/>
            </w:pPr>
            <w:r>
              <w:t>"[ISO/IEC-29500-1] §17.13.4.4"</w:t>
            </w:r>
          </w:p>
        </w:tc>
      </w:tr>
      <w:tr w:rsidR="00024C0A" w:rsidTr="00024C0A">
        <w:tc>
          <w:tcPr>
            <w:tcW w:w="0" w:type="auto"/>
            <w:vAlign w:val="center"/>
          </w:tcPr>
          <w:p w:rsidR="00024C0A" w:rsidRDefault="00694C0F">
            <w:pPr>
              <w:pStyle w:val="TableBodyText"/>
            </w:pPr>
            <w:r>
              <w:rPr>
                <w:b/>
              </w:rPr>
              <w:t>customXmlDelRangeEnd</w:t>
            </w:r>
            <w:r>
              <w:t xml:space="preserve"> (Custom XML Markup Deletion End)</w:t>
            </w:r>
          </w:p>
        </w:tc>
        <w:tc>
          <w:tcPr>
            <w:tcW w:w="0" w:type="auto"/>
            <w:vAlign w:val="center"/>
          </w:tcPr>
          <w:p w:rsidR="00024C0A" w:rsidRDefault="00694C0F">
            <w:pPr>
              <w:pStyle w:val="TableBodyText"/>
            </w:pPr>
            <w:r>
              <w:t>"[ISO/IEC-29500-1] §17.13.5.4"</w:t>
            </w:r>
          </w:p>
        </w:tc>
      </w:tr>
      <w:tr w:rsidR="00024C0A" w:rsidTr="00024C0A">
        <w:tc>
          <w:tcPr>
            <w:tcW w:w="0" w:type="auto"/>
            <w:vAlign w:val="center"/>
          </w:tcPr>
          <w:p w:rsidR="00024C0A" w:rsidRDefault="00694C0F">
            <w:pPr>
              <w:pStyle w:val="TableBodyText"/>
            </w:pPr>
            <w:r>
              <w:rPr>
                <w:b/>
              </w:rPr>
              <w:t>customXmlDelRangeStart</w:t>
            </w:r>
            <w:r>
              <w:t xml:space="preserve"> (Custom </w:t>
            </w:r>
            <w:r>
              <w:t>XML Markup Deletion Start)</w:t>
            </w:r>
          </w:p>
        </w:tc>
        <w:tc>
          <w:tcPr>
            <w:tcW w:w="0" w:type="auto"/>
            <w:vAlign w:val="center"/>
          </w:tcPr>
          <w:p w:rsidR="00024C0A" w:rsidRDefault="00694C0F">
            <w:pPr>
              <w:pStyle w:val="TableBodyText"/>
            </w:pPr>
            <w:r>
              <w:t>"[ISO/IEC-29500-1] §17.13.5.5"</w:t>
            </w:r>
          </w:p>
        </w:tc>
      </w:tr>
      <w:tr w:rsidR="00024C0A" w:rsidTr="00024C0A">
        <w:tc>
          <w:tcPr>
            <w:tcW w:w="0" w:type="auto"/>
            <w:vAlign w:val="center"/>
          </w:tcPr>
          <w:p w:rsidR="00024C0A" w:rsidRDefault="00694C0F">
            <w:pPr>
              <w:pStyle w:val="TableBodyText"/>
            </w:pPr>
            <w:r>
              <w:rPr>
                <w:b/>
              </w:rPr>
              <w:t>customXmlInsRangeEnd</w:t>
            </w:r>
            <w:r>
              <w:t xml:space="preserve"> (Custom XML Markup Insertion End)</w:t>
            </w:r>
          </w:p>
        </w:tc>
        <w:tc>
          <w:tcPr>
            <w:tcW w:w="0" w:type="auto"/>
            <w:vAlign w:val="center"/>
          </w:tcPr>
          <w:p w:rsidR="00024C0A" w:rsidRDefault="00694C0F">
            <w:pPr>
              <w:pStyle w:val="TableBodyText"/>
            </w:pPr>
            <w:r>
              <w:t>"[ISO/IEC-29500-1] §17.13.5.6"</w:t>
            </w:r>
          </w:p>
        </w:tc>
      </w:tr>
      <w:tr w:rsidR="00024C0A" w:rsidTr="00024C0A">
        <w:tc>
          <w:tcPr>
            <w:tcW w:w="0" w:type="auto"/>
            <w:vAlign w:val="center"/>
          </w:tcPr>
          <w:p w:rsidR="00024C0A" w:rsidRDefault="00694C0F">
            <w:pPr>
              <w:pStyle w:val="TableBodyText"/>
            </w:pPr>
            <w:r>
              <w:rPr>
                <w:b/>
              </w:rPr>
              <w:t>customXmlInsRangeStart</w:t>
            </w:r>
            <w:r>
              <w:t xml:space="preserve"> (Custom XML Markup Insertion Start)</w:t>
            </w:r>
          </w:p>
        </w:tc>
        <w:tc>
          <w:tcPr>
            <w:tcW w:w="0" w:type="auto"/>
            <w:vAlign w:val="center"/>
          </w:tcPr>
          <w:p w:rsidR="00024C0A" w:rsidRDefault="00694C0F">
            <w:pPr>
              <w:pStyle w:val="TableBodyText"/>
            </w:pPr>
            <w:r>
              <w:t>"[ISO/IEC-29500-1] §17.13.5.7"</w:t>
            </w:r>
          </w:p>
        </w:tc>
      </w:tr>
      <w:tr w:rsidR="00024C0A" w:rsidTr="00024C0A">
        <w:tc>
          <w:tcPr>
            <w:tcW w:w="0" w:type="auto"/>
            <w:vAlign w:val="center"/>
          </w:tcPr>
          <w:p w:rsidR="00024C0A" w:rsidRDefault="00694C0F">
            <w:pPr>
              <w:pStyle w:val="TableBodyText"/>
            </w:pPr>
            <w:r>
              <w:rPr>
                <w:b/>
              </w:rPr>
              <w:t>customXmlMoveFromRa</w:t>
            </w:r>
            <w:r>
              <w:rPr>
                <w:b/>
              </w:rPr>
              <w:t>ngeEnd</w:t>
            </w:r>
            <w:r>
              <w:t xml:space="preserve"> (Custom XML Markup Move Source End)</w:t>
            </w:r>
          </w:p>
        </w:tc>
        <w:tc>
          <w:tcPr>
            <w:tcW w:w="0" w:type="auto"/>
            <w:vAlign w:val="center"/>
          </w:tcPr>
          <w:p w:rsidR="00024C0A" w:rsidRDefault="00694C0F">
            <w:pPr>
              <w:pStyle w:val="TableBodyText"/>
            </w:pPr>
            <w:r>
              <w:t>"[ISO/IEC-29500-1] §17.13.5.8"</w:t>
            </w:r>
          </w:p>
        </w:tc>
      </w:tr>
      <w:tr w:rsidR="00024C0A" w:rsidTr="00024C0A">
        <w:tc>
          <w:tcPr>
            <w:tcW w:w="0" w:type="auto"/>
            <w:vAlign w:val="center"/>
          </w:tcPr>
          <w:p w:rsidR="00024C0A" w:rsidRDefault="00694C0F">
            <w:pPr>
              <w:pStyle w:val="TableBodyText"/>
            </w:pPr>
            <w:r>
              <w:rPr>
                <w:b/>
              </w:rPr>
              <w:t>customXmlMoveFromRangeStart</w:t>
            </w:r>
            <w:r>
              <w:t xml:space="preserve"> (Custom XML Markup Move Source Start)</w:t>
            </w:r>
          </w:p>
        </w:tc>
        <w:tc>
          <w:tcPr>
            <w:tcW w:w="0" w:type="auto"/>
            <w:vAlign w:val="center"/>
          </w:tcPr>
          <w:p w:rsidR="00024C0A" w:rsidRDefault="00694C0F">
            <w:pPr>
              <w:pStyle w:val="TableBodyText"/>
            </w:pPr>
            <w:r>
              <w:t>"[ISO/IEC-29500-1] §17.13.5.9"</w:t>
            </w:r>
          </w:p>
        </w:tc>
      </w:tr>
      <w:tr w:rsidR="00024C0A" w:rsidTr="00024C0A">
        <w:tc>
          <w:tcPr>
            <w:tcW w:w="0" w:type="auto"/>
            <w:vAlign w:val="center"/>
          </w:tcPr>
          <w:p w:rsidR="00024C0A" w:rsidRDefault="00694C0F">
            <w:pPr>
              <w:pStyle w:val="TableBodyText"/>
            </w:pPr>
            <w:r>
              <w:rPr>
                <w:b/>
              </w:rPr>
              <w:t>customXmlMoveToRangeEnd</w:t>
            </w:r>
            <w:r>
              <w:t xml:space="preserve"> (Custom XML Markup Move Destination </w:t>
            </w:r>
            <w:r>
              <w:lastRenderedPageBreak/>
              <w:t>Location End)</w:t>
            </w:r>
          </w:p>
        </w:tc>
        <w:tc>
          <w:tcPr>
            <w:tcW w:w="0" w:type="auto"/>
            <w:vAlign w:val="center"/>
          </w:tcPr>
          <w:p w:rsidR="00024C0A" w:rsidRDefault="00694C0F">
            <w:pPr>
              <w:pStyle w:val="TableBodyText"/>
            </w:pPr>
            <w:r>
              <w:lastRenderedPageBreak/>
              <w:t>"</w:t>
            </w:r>
            <w:r>
              <w:t xml:space="preserve">[ISO/IEC-29500-1] </w:t>
            </w:r>
            <w:r>
              <w:lastRenderedPageBreak/>
              <w:t>§17.13.5.10"</w:t>
            </w:r>
          </w:p>
        </w:tc>
      </w:tr>
      <w:tr w:rsidR="00024C0A" w:rsidTr="00024C0A">
        <w:tc>
          <w:tcPr>
            <w:tcW w:w="0" w:type="auto"/>
            <w:vAlign w:val="center"/>
          </w:tcPr>
          <w:p w:rsidR="00024C0A" w:rsidRDefault="00694C0F">
            <w:pPr>
              <w:pStyle w:val="TableBodyText"/>
            </w:pPr>
            <w:r>
              <w:rPr>
                <w:b/>
              </w:rPr>
              <w:lastRenderedPageBreak/>
              <w:t>customXmlMoveToRangeStart</w:t>
            </w:r>
            <w:r>
              <w:t xml:space="preserve"> (Custom XML Markup Move Destination Location Start)</w:t>
            </w:r>
          </w:p>
        </w:tc>
        <w:tc>
          <w:tcPr>
            <w:tcW w:w="0" w:type="auto"/>
            <w:vAlign w:val="center"/>
          </w:tcPr>
          <w:p w:rsidR="00024C0A" w:rsidRDefault="00694C0F">
            <w:pPr>
              <w:pStyle w:val="TableBodyText"/>
            </w:pPr>
            <w:r>
              <w:t>"[ISO/IEC-29500-1] §17.13.5.11"</w:t>
            </w:r>
          </w:p>
        </w:tc>
      </w:tr>
      <w:tr w:rsidR="00024C0A" w:rsidTr="00024C0A">
        <w:tc>
          <w:tcPr>
            <w:tcW w:w="0" w:type="auto"/>
            <w:vAlign w:val="center"/>
          </w:tcPr>
          <w:p w:rsidR="00024C0A" w:rsidRDefault="00694C0F">
            <w:pPr>
              <w:pStyle w:val="TableBodyText"/>
            </w:pPr>
            <w:r>
              <w:rPr>
                <w:b/>
              </w:rPr>
              <w:t>moveFromRangeEnd</w:t>
            </w:r>
            <w:r>
              <w:t xml:space="preserve"> (Move Source Location Container - End)</w:t>
            </w:r>
          </w:p>
        </w:tc>
        <w:tc>
          <w:tcPr>
            <w:tcW w:w="0" w:type="auto"/>
            <w:vAlign w:val="center"/>
          </w:tcPr>
          <w:p w:rsidR="00024C0A" w:rsidRDefault="00694C0F">
            <w:pPr>
              <w:pStyle w:val="TableBodyText"/>
            </w:pPr>
            <w:r>
              <w:t>"[ISO/IEC-29500-1] §17.13.5.23"</w:t>
            </w:r>
          </w:p>
        </w:tc>
      </w:tr>
      <w:tr w:rsidR="00024C0A" w:rsidTr="00024C0A">
        <w:tc>
          <w:tcPr>
            <w:tcW w:w="0" w:type="auto"/>
            <w:vAlign w:val="center"/>
          </w:tcPr>
          <w:p w:rsidR="00024C0A" w:rsidRDefault="00694C0F">
            <w:pPr>
              <w:pStyle w:val="TableBodyText"/>
            </w:pPr>
            <w:r>
              <w:rPr>
                <w:b/>
              </w:rPr>
              <w:t>moveFromRangeStart</w:t>
            </w:r>
            <w:r>
              <w:t xml:space="preserve"> (Move</w:t>
            </w:r>
            <w:r>
              <w:t xml:space="preserve"> Source Location Container - Start)</w:t>
            </w:r>
          </w:p>
        </w:tc>
        <w:tc>
          <w:tcPr>
            <w:tcW w:w="0" w:type="auto"/>
            <w:vAlign w:val="center"/>
          </w:tcPr>
          <w:p w:rsidR="00024C0A" w:rsidRDefault="00694C0F">
            <w:pPr>
              <w:pStyle w:val="TableBodyText"/>
            </w:pPr>
            <w:r>
              <w:t>"[ISO/IEC-29500-1] §17.13.5.24"</w:t>
            </w:r>
          </w:p>
        </w:tc>
      </w:tr>
      <w:tr w:rsidR="00024C0A" w:rsidTr="00024C0A">
        <w:tc>
          <w:tcPr>
            <w:tcW w:w="0" w:type="auto"/>
            <w:vAlign w:val="center"/>
          </w:tcPr>
          <w:p w:rsidR="00024C0A" w:rsidRDefault="00694C0F">
            <w:pPr>
              <w:pStyle w:val="TableBodyText"/>
            </w:pPr>
            <w:r>
              <w:rPr>
                <w:b/>
              </w:rPr>
              <w:t>moveToRangeEnd</w:t>
            </w:r>
            <w:r>
              <w:t xml:space="preserve"> (Move Destination Location Container - End)</w:t>
            </w:r>
          </w:p>
        </w:tc>
        <w:tc>
          <w:tcPr>
            <w:tcW w:w="0" w:type="auto"/>
            <w:vAlign w:val="center"/>
          </w:tcPr>
          <w:p w:rsidR="00024C0A" w:rsidRDefault="00694C0F">
            <w:pPr>
              <w:pStyle w:val="TableBodyText"/>
            </w:pPr>
            <w:r>
              <w:t>"[ISO/IEC-29500-1] §17.13.5.27"</w:t>
            </w:r>
          </w:p>
        </w:tc>
      </w:tr>
      <w:tr w:rsidR="00024C0A" w:rsidTr="00024C0A">
        <w:tc>
          <w:tcPr>
            <w:tcW w:w="0" w:type="auto"/>
            <w:vAlign w:val="center"/>
          </w:tcPr>
          <w:p w:rsidR="00024C0A" w:rsidRDefault="00694C0F">
            <w:pPr>
              <w:pStyle w:val="TableBodyText"/>
            </w:pPr>
            <w:r>
              <w:rPr>
                <w:b/>
              </w:rPr>
              <w:t>moveToRangeStart</w:t>
            </w:r>
            <w:r>
              <w:t xml:space="preserve"> (Move Destination Location Container - Start)</w:t>
            </w:r>
          </w:p>
        </w:tc>
        <w:tc>
          <w:tcPr>
            <w:tcW w:w="0" w:type="auto"/>
            <w:vAlign w:val="center"/>
          </w:tcPr>
          <w:p w:rsidR="00024C0A" w:rsidRDefault="00694C0F">
            <w:pPr>
              <w:pStyle w:val="TableBodyText"/>
            </w:pPr>
            <w:r>
              <w:t>"[ISO/IEC-29500-1] §17.13.5.28"</w:t>
            </w:r>
          </w:p>
        </w:tc>
      </w:tr>
      <w:tr w:rsidR="00024C0A" w:rsidTr="00024C0A">
        <w:tc>
          <w:tcPr>
            <w:tcW w:w="0" w:type="auto"/>
            <w:vAlign w:val="center"/>
          </w:tcPr>
          <w:p w:rsidR="00024C0A" w:rsidRDefault="00694C0F">
            <w:pPr>
              <w:pStyle w:val="TableBodyText"/>
            </w:pPr>
            <w:r>
              <w:rPr>
                <w:b/>
              </w:rPr>
              <w:t>sdtContent</w:t>
            </w:r>
            <w:r>
              <w:t xml:space="preserve"> (Ruby Inline-Level Structured Document Tag Content)</w:t>
            </w:r>
          </w:p>
        </w:tc>
        <w:tc>
          <w:tcPr>
            <w:tcW w:w="0" w:type="auto"/>
            <w:vAlign w:val="center"/>
          </w:tcPr>
          <w:p w:rsidR="00024C0A" w:rsidRDefault="00694C0F">
            <w:pPr>
              <w:pStyle w:val="TableBodyText"/>
            </w:pPr>
            <w:r>
              <w:t>§3.1.3.1.7, sdtContent</w:t>
            </w:r>
          </w:p>
        </w:tc>
      </w:tr>
      <w:tr w:rsidR="00024C0A" w:rsidTr="00024C0A">
        <w:tc>
          <w:tcPr>
            <w:tcW w:w="0" w:type="auto"/>
            <w:vAlign w:val="center"/>
          </w:tcPr>
          <w:p w:rsidR="00024C0A" w:rsidRDefault="00694C0F">
            <w:pPr>
              <w:pStyle w:val="TableBodyText"/>
            </w:pPr>
            <w:r>
              <w:rPr>
                <w:b/>
              </w:rPr>
              <w:t>sdtEndPr</w:t>
            </w:r>
            <w:r>
              <w:t xml:space="preserve"> (Structured Document Tag End Character Properties)</w:t>
            </w:r>
          </w:p>
        </w:tc>
        <w:tc>
          <w:tcPr>
            <w:tcW w:w="0" w:type="auto"/>
            <w:vAlign w:val="center"/>
          </w:tcPr>
          <w:p w:rsidR="00024C0A" w:rsidRDefault="00694C0F">
            <w:pPr>
              <w:pStyle w:val="TableBodyText"/>
            </w:pPr>
            <w:r>
              <w:t>"[ISO/IEC-29500-1] §17.5.2.37"</w:t>
            </w:r>
          </w:p>
        </w:tc>
      </w:tr>
      <w:tr w:rsidR="00024C0A" w:rsidTr="00024C0A">
        <w:tc>
          <w:tcPr>
            <w:tcW w:w="0" w:type="auto"/>
            <w:vAlign w:val="center"/>
          </w:tcPr>
          <w:p w:rsidR="00024C0A" w:rsidRDefault="00694C0F">
            <w:pPr>
              <w:pStyle w:val="TableBodyText"/>
            </w:pPr>
            <w:r>
              <w:rPr>
                <w:b/>
              </w:rPr>
              <w:t>sdtPr</w:t>
            </w:r>
            <w:r>
              <w:t xml:space="preserve"> (Structured Document Tag Properties)</w:t>
            </w:r>
          </w:p>
        </w:tc>
        <w:tc>
          <w:tcPr>
            <w:tcW w:w="0" w:type="auto"/>
            <w:vAlign w:val="center"/>
          </w:tcPr>
          <w:p w:rsidR="00024C0A" w:rsidRDefault="00694C0F">
            <w:pPr>
              <w:pStyle w:val="TableBodyText"/>
            </w:pPr>
            <w:r>
              <w:t>"[ISO/IEC-29500-1] §17.5.2.38"</w:t>
            </w:r>
          </w:p>
        </w:tc>
      </w:tr>
    </w:tbl>
    <w:p w:rsidR="00024C0A" w:rsidRDefault="00024C0A"/>
    <w:p w:rsidR="00024C0A" w:rsidRDefault="00694C0F">
      <w:r>
        <w:t>The following XML Schema fragment defines the contents of this element:</w:t>
      </w:r>
    </w:p>
    <w:p w:rsidR="00024C0A" w:rsidRDefault="00694C0F">
      <w:pPr>
        <w:pStyle w:val="Code"/>
      </w:pPr>
      <w:r>
        <w:t>&lt;complexType name="CT_SdtRunRuby"&gt;</w:t>
      </w:r>
    </w:p>
    <w:p w:rsidR="00024C0A" w:rsidRDefault="00694C0F">
      <w:pPr>
        <w:pStyle w:val="Code"/>
      </w:pPr>
      <w:r>
        <w:t xml:space="preserve">  &lt;sequence&gt;</w:t>
      </w:r>
    </w:p>
    <w:p w:rsidR="00024C0A" w:rsidRDefault="00694C0F">
      <w:pPr>
        <w:pStyle w:val="Code"/>
      </w:pPr>
      <w:r>
        <w:t xml:space="preserve">    &lt;element name="sdtPr" type="CT_SdtPr" minOccurs="0" maxOccurs="1"/&gt;</w:t>
      </w:r>
    </w:p>
    <w:p w:rsidR="00024C0A" w:rsidRDefault="00694C0F">
      <w:pPr>
        <w:pStyle w:val="Code"/>
      </w:pPr>
      <w:r>
        <w:t xml:space="preserve">    &lt;element name="sdtEndPr" type="CT_SdtEndPr" minOccurs="0" ma</w:t>
      </w:r>
      <w:r>
        <w:t>xOccurs="1"/&gt;</w:t>
      </w:r>
    </w:p>
    <w:p w:rsidR="00024C0A" w:rsidRDefault="00694C0F">
      <w:pPr>
        <w:pStyle w:val="Code"/>
      </w:pPr>
      <w:r>
        <w:t xml:space="preserve">    &lt;element name="sdtContent" type="CT_SdtContentRunRuby" minOccurs="0" maxOccurs="1"/&gt;</w:t>
      </w:r>
    </w:p>
    <w:p w:rsidR="00024C0A" w:rsidRDefault="00694C0F">
      <w:pPr>
        <w:pStyle w:val="Code"/>
      </w:pPr>
      <w:r>
        <w:t xml:space="preserve">    &lt;group ref="EG_RangeMarkupElements" minOccurs="0" maxOccurs="unbounded"/&gt;</w:t>
      </w:r>
    </w:p>
    <w:p w:rsidR="00024C0A" w:rsidRDefault="00694C0F">
      <w:pPr>
        <w:pStyle w:val="Code"/>
      </w:pPr>
      <w:r>
        <w:t xml:space="preserve">  &lt;/sequence&gt;</w:t>
      </w:r>
    </w:p>
    <w:p w:rsidR="00024C0A" w:rsidRDefault="00694C0F">
      <w:pPr>
        <w:pStyle w:val="Code"/>
      </w:pPr>
      <w:r>
        <w:t>&lt;/complexType&gt;</w:t>
      </w:r>
    </w:p>
    <w:p w:rsidR="00024C0A" w:rsidRDefault="00694C0F">
      <w:pPr>
        <w:pStyle w:val="Heading5"/>
      </w:pPr>
      <w:bookmarkStart w:id="3889" w:name="section_a3757e691f9b4322b17edee4d308d29e"/>
      <w:bookmarkStart w:id="3890" w:name="_Toc12262005"/>
      <w:r>
        <w:t>sdtContent (Ruby Inline-Level Structured Docum</w:t>
      </w:r>
      <w:r>
        <w:t>ent Tag Content)</w:t>
      </w:r>
      <w:bookmarkEnd w:id="3889"/>
      <w:bookmarkEnd w:id="3890"/>
      <w:r>
        <w:fldChar w:fldCharType="begin"/>
      </w:r>
      <w:r>
        <w:instrText xml:space="preserve"> XE "sdtContent (Ruby Inline-Level Structured Document Tag Content)" </w:instrText>
      </w:r>
      <w:r>
        <w:fldChar w:fldCharType="end"/>
      </w:r>
    </w:p>
    <w:p w:rsidR="00024C0A" w:rsidRDefault="00694C0F">
      <w:r>
        <w:t>This element specifies the last known contents of a structured document tag around one or more inline-level structures (runs, DrawingML objects, fields, and so on). Thi</w:t>
      </w:r>
      <w:r>
        <w:t>s element's contents shall be treated as a cache of the contents to be displayed in the structured document tag for the following reasons:</w:t>
      </w:r>
    </w:p>
    <w:p w:rsidR="00024C0A" w:rsidRDefault="00694C0F">
      <w:pPr>
        <w:pStyle w:val="ListParagraph"/>
        <w:numPr>
          <w:ilvl w:val="0"/>
          <w:numId w:val="197"/>
        </w:numPr>
        <w:contextualSpacing/>
      </w:pPr>
      <w:r>
        <w:t xml:space="preserve">If the structured document tag specifies an XML mapping via the </w:t>
      </w:r>
      <w:r>
        <w:rPr>
          <w:b/>
        </w:rPr>
        <w:t>dataBinding</w:t>
      </w:r>
      <w:r>
        <w:t xml:space="preserve"> element (§"</w:t>
      </w:r>
      <w:hyperlink r:id="rId290">
        <w:r>
          <w:rPr>
            <w:rStyle w:val="Hyperlink"/>
          </w:rPr>
          <w:t>[ISO/IEC-29500-1]</w:t>
        </w:r>
      </w:hyperlink>
      <w:r>
        <w:t xml:space="preserve"> §17.5.2.6; dataBinding"), changes to the custom XML data part shall be reflected in the structured document tag as needed</w:t>
      </w:r>
    </w:p>
    <w:p w:rsidR="00024C0A" w:rsidRDefault="00694C0F">
      <w:pPr>
        <w:pStyle w:val="ListParagraph"/>
        <w:numPr>
          <w:ilvl w:val="0"/>
          <w:numId w:val="197"/>
        </w:numPr>
      </w:pPr>
      <w:r>
        <w:t xml:space="preserve">If the contents of the structured document tag are placeholder text via the </w:t>
      </w:r>
      <w:r>
        <w:rPr>
          <w:b/>
        </w:rPr>
        <w:t>show</w:t>
      </w:r>
      <w:r>
        <w:rPr>
          <w:b/>
        </w:rPr>
        <w:t>ingPlcHdr</w:t>
      </w:r>
      <w:r>
        <w:t xml:space="preserve"> element (§"[ISO/IEC-29500-1] §17.5.2.39; showingPlcHdr"), then this content may be updated with the placeholder text stored in the Glossary Document part</w:t>
      </w:r>
    </w:p>
    <w:p w:rsidR="00024C0A" w:rsidRDefault="00694C0F">
      <w:r>
        <w:t xml:space="preserve">[Example: Consider a structured document tag with the friendly name </w:t>
      </w:r>
      <w:r>
        <w:rPr>
          <w:i/>
        </w:rPr>
        <w:t>firstName</w:t>
      </w:r>
      <w:r>
        <w:t xml:space="preserve"> that shall be </w:t>
      </w:r>
      <w:r>
        <w:t>located around two runs in a WordprocessingML document. This requirement would be specified as follows in the WordprocessingML:</w:t>
      </w:r>
    </w:p>
    <w:p w:rsidR="00024C0A" w:rsidRDefault="00694C0F">
      <w:pPr>
        <w:pStyle w:val="Code"/>
      </w:pPr>
      <w:r>
        <w:t>&lt;w:p&gt;</w:t>
      </w:r>
    </w:p>
    <w:p w:rsidR="00024C0A" w:rsidRDefault="00694C0F">
      <w:pPr>
        <w:pStyle w:val="Code"/>
      </w:pPr>
      <w:r>
        <w:t xml:space="preserve">  &lt;w:sdt&gt;</w:t>
      </w:r>
    </w:p>
    <w:p w:rsidR="00024C0A" w:rsidRDefault="00694C0F">
      <w:pPr>
        <w:pStyle w:val="Code"/>
      </w:pPr>
      <w:r>
        <w:t xml:space="preserve">    &lt;w:sdtPr&gt;</w:t>
      </w:r>
    </w:p>
    <w:p w:rsidR="00024C0A" w:rsidRDefault="00694C0F">
      <w:pPr>
        <w:pStyle w:val="Code"/>
      </w:pPr>
      <w:r>
        <w:lastRenderedPageBreak/>
        <w:t xml:space="preserve">      &lt;w:alias w:val="firstName"/&gt;</w:t>
      </w:r>
    </w:p>
    <w:p w:rsidR="00024C0A" w:rsidRDefault="00694C0F">
      <w:pPr>
        <w:pStyle w:val="Code"/>
      </w:pPr>
      <w:r>
        <w:t xml:space="preserve">    &lt;/w:sdtPr&gt;</w:t>
      </w:r>
    </w:p>
    <w:p w:rsidR="00024C0A" w:rsidRDefault="00694C0F">
      <w:pPr>
        <w:pStyle w:val="Code"/>
      </w:pPr>
      <w:r>
        <w:t xml:space="preserve">    &lt;w:sdtContent&gt;</w:t>
      </w:r>
    </w:p>
    <w:p w:rsidR="00024C0A" w:rsidRDefault="00694C0F">
      <w:pPr>
        <w:pStyle w:val="Code"/>
      </w:pPr>
      <w:r>
        <w:t xml:space="preserve">      &lt;w:r&gt;</w:t>
      </w:r>
    </w:p>
    <w:p w:rsidR="00024C0A" w:rsidRDefault="00694C0F">
      <w:pPr>
        <w:pStyle w:val="Code"/>
      </w:pPr>
      <w:r>
        <w:t xml:space="preserve">        …</w:t>
      </w:r>
    </w:p>
    <w:p w:rsidR="00024C0A" w:rsidRDefault="00694C0F">
      <w:pPr>
        <w:pStyle w:val="Code"/>
      </w:pPr>
      <w:r>
        <w:t xml:space="preserve">      &lt;</w:t>
      </w:r>
      <w:r>
        <w:t>/w:r&gt;</w:t>
      </w:r>
    </w:p>
    <w:p w:rsidR="00024C0A" w:rsidRDefault="00694C0F">
      <w:pPr>
        <w:pStyle w:val="Code"/>
      </w:pPr>
      <w:r>
        <w:t xml:space="preserve">      &lt;w:r&gt;</w:t>
      </w:r>
    </w:p>
    <w:p w:rsidR="00024C0A" w:rsidRDefault="00694C0F">
      <w:pPr>
        <w:pStyle w:val="Code"/>
      </w:pPr>
      <w:r>
        <w:t xml:space="preserve">        …</w:t>
      </w:r>
    </w:p>
    <w:p w:rsidR="00024C0A" w:rsidRDefault="00694C0F">
      <w:pPr>
        <w:pStyle w:val="Code"/>
      </w:pPr>
      <w:r>
        <w:t xml:space="preserve">      &lt;/w:r&gt;</w:t>
      </w:r>
    </w:p>
    <w:p w:rsidR="00024C0A" w:rsidRDefault="00694C0F">
      <w:pPr>
        <w:pStyle w:val="Code"/>
      </w:pPr>
      <w:r>
        <w:t xml:space="preserve">    &lt;/w:sdtContent&gt;</w:t>
      </w:r>
    </w:p>
    <w:p w:rsidR="00024C0A" w:rsidRDefault="00694C0F">
      <w:pPr>
        <w:pStyle w:val="Code"/>
      </w:pPr>
      <w:r>
        <w:t xml:space="preserve">  &lt;/w:sdt&gt;</w:t>
      </w:r>
    </w:p>
    <w:p w:rsidR="00024C0A" w:rsidRDefault="00694C0F">
      <w:pPr>
        <w:pStyle w:val="Code"/>
      </w:pPr>
      <w:r>
        <w:t xml:space="preserve">  …</w:t>
      </w:r>
    </w:p>
    <w:p w:rsidR="00024C0A" w:rsidRDefault="00694C0F">
      <w:pPr>
        <w:pStyle w:val="Code"/>
      </w:pPr>
      <w:r>
        <w:t>&lt;/w:p&gt;</w:t>
      </w:r>
    </w:p>
    <w:p w:rsidR="00024C0A" w:rsidRDefault="00694C0F">
      <w:r>
        <w:t xml:space="preserve">The </w:t>
      </w:r>
      <w:r>
        <w:rPr>
          <w:b/>
        </w:rPr>
        <w:t>sdtContent</w:t>
      </w:r>
      <w:r>
        <w:t xml:space="preserve"> element contains two adjacent runs (it is an inline-level structured document tag content container). end example]</w:t>
      </w:r>
    </w:p>
    <w:tbl>
      <w:tblPr>
        <w:tblStyle w:val="Table-ShadedHeader"/>
        <w:tblW w:w="0" w:type="auto"/>
        <w:tblLook w:val="04A0" w:firstRow="1" w:lastRow="0" w:firstColumn="1" w:lastColumn="0" w:noHBand="0" w:noVBand="1"/>
      </w:tblPr>
      <w:tblGrid>
        <w:gridCol w:w="1915"/>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sdt</w:t>
            </w:r>
            <w:r>
              <w:t xml:space="preserve"> (§</w:t>
            </w:r>
            <w:hyperlink w:anchor="Section_808b32d8ad644c849fb585ad68be54b9">
              <w:r>
                <w:rPr>
                  <w:rStyle w:val="Hyperlink"/>
                </w:rPr>
                <w:t>3.1.3.1.6, sdt</w:t>
              </w:r>
            </w:hyperlink>
            <w:r>
              <w: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6758"/>
        <w:gridCol w:w="2717"/>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Child Elements</w:t>
            </w:r>
          </w:p>
        </w:tc>
        <w:tc>
          <w:tcPr>
            <w:tcW w:w="0" w:type="auto"/>
            <w:vAlign w:val="center"/>
          </w:tcPr>
          <w:p w:rsidR="00024C0A" w:rsidRDefault="00694C0F">
            <w:pPr>
              <w:pStyle w:val="TableHeaderText"/>
            </w:pPr>
            <w:r>
              <w:t>Subclause</w:t>
            </w:r>
          </w:p>
        </w:tc>
      </w:tr>
      <w:tr w:rsidR="00024C0A" w:rsidTr="00024C0A">
        <w:tc>
          <w:tcPr>
            <w:tcW w:w="0" w:type="auto"/>
            <w:vAlign w:val="center"/>
          </w:tcPr>
          <w:p w:rsidR="00024C0A" w:rsidRDefault="00694C0F">
            <w:pPr>
              <w:pStyle w:val="TableBodyText"/>
            </w:pPr>
            <w:r>
              <w:rPr>
                <w:b/>
              </w:rPr>
              <w:t>acc</w:t>
            </w:r>
            <w:r>
              <w:t xml:space="preserve"> (Accent)</w:t>
            </w:r>
          </w:p>
        </w:tc>
        <w:tc>
          <w:tcPr>
            <w:tcW w:w="0" w:type="auto"/>
            <w:vAlign w:val="center"/>
          </w:tcPr>
          <w:p w:rsidR="00024C0A" w:rsidRDefault="00694C0F">
            <w:pPr>
              <w:pStyle w:val="TableBodyText"/>
            </w:pPr>
            <w:r>
              <w:t>"[ISO/IEC-29500-1] §22.1.2.1"</w:t>
            </w:r>
          </w:p>
        </w:tc>
      </w:tr>
      <w:tr w:rsidR="00024C0A" w:rsidTr="00024C0A">
        <w:tc>
          <w:tcPr>
            <w:tcW w:w="0" w:type="auto"/>
            <w:vAlign w:val="center"/>
          </w:tcPr>
          <w:p w:rsidR="00024C0A" w:rsidRDefault="00694C0F">
            <w:pPr>
              <w:pStyle w:val="TableBodyText"/>
            </w:pPr>
            <w:r>
              <w:rPr>
                <w:b/>
              </w:rPr>
              <w:t>bar</w:t>
            </w:r>
            <w:r>
              <w:t xml:space="preserve"> (Bar)</w:t>
            </w:r>
          </w:p>
        </w:tc>
        <w:tc>
          <w:tcPr>
            <w:tcW w:w="0" w:type="auto"/>
            <w:vAlign w:val="center"/>
          </w:tcPr>
          <w:p w:rsidR="00024C0A" w:rsidRDefault="00694C0F">
            <w:pPr>
              <w:pStyle w:val="TableBodyText"/>
            </w:pPr>
            <w:r>
              <w:t>"[ISO/IEC-29500-1] §22.1.2.7"</w:t>
            </w:r>
          </w:p>
        </w:tc>
      </w:tr>
      <w:tr w:rsidR="00024C0A" w:rsidTr="00024C0A">
        <w:tc>
          <w:tcPr>
            <w:tcW w:w="0" w:type="auto"/>
            <w:vAlign w:val="center"/>
          </w:tcPr>
          <w:p w:rsidR="00024C0A" w:rsidRDefault="00694C0F">
            <w:pPr>
              <w:pStyle w:val="TableBodyText"/>
            </w:pPr>
            <w:r>
              <w:rPr>
                <w:b/>
              </w:rPr>
              <w:t>bookmarkEnd</w:t>
            </w:r>
            <w:r>
              <w:t xml:space="preserve"> (Bookmark End)</w:t>
            </w:r>
          </w:p>
        </w:tc>
        <w:tc>
          <w:tcPr>
            <w:tcW w:w="0" w:type="auto"/>
            <w:vAlign w:val="center"/>
          </w:tcPr>
          <w:p w:rsidR="00024C0A" w:rsidRDefault="00694C0F">
            <w:pPr>
              <w:pStyle w:val="TableBodyText"/>
            </w:pPr>
            <w:r>
              <w:t>"[ISO/IEC-29500-1] §17.13.6.1"</w:t>
            </w:r>
          </w:p>
        </w:tc>
      </w:tr>
      <w:tr w:rsidR="00024C0A" w:rsidTr="00024C0A">
        <w:tc>
          <w:tcPr>
            <w:tcW w:w="0" w:type="auto"/>
            <w:vAlign w:val="center"/>
          </w:tcPr>
          <w:p w:rsidR="00024C0A" w:rsidRDefault="00694C0F">
            <w:pPr>
              <w:pStyle w:val="TableBodyText"/>
            </w:pPr>
            <w:r>
              <w:rPr>
                <w:b/>
              </w:rPr>
              <w:t>bookmarkStart</w:t>
            </w:r>
            <w:r>
              <w:t xml:space="preserve"> (Bookmark Start)</w:t>
            </w:r>
          </w:p>
        </w:tc>
        <w:tc>
          <w:tcPr>
            <w:tcW w:w="0" w:type="auto"/>
            <w:vAlign w:val="center"/>
          </w:tcPr>
          <w:p w:rsidR="00024C0A" w:rsidRDefault="00694C0F">
            <w:pPr>
              <w:pStyle w:val="TableBodyText"/>
            </w:pPr>
            <w:r>
              <w:t>"[ISO/IEC-29500-1] §17.13.6.2"</w:t>
            </w:r>
          </w:p>
        </w:tc>
      </w:tr>
      <w:tr w:rsidR="00024C0A" w:rsidTr="00024C0A">
        <w:tc>
          <w:tcPr>
            <w:tcW w:w="0" w:type="auto"/>
            <w:vAlign w:val="center"/>
          </w:tcPr>
          <w:p w:rsidR="00024C0A" w:rsidRDefault="00694C0F">
            <w:pPr>
              <w:pStyle w:val="TableBodyText"/>
            </w:pPr>
            <w:r>
              <w:rPr>
                <w:b/>
              </w:rPr>
              <w:t>borderBox</w:t>
            </w:r>
            <w:r>
              <w:t xml:space="preserve"> (Border-Box Object)</w:t>
            </w:r>
          </w:p>
        </w:tc>
        <w:tc>
          <w:tcPr>
            <w:tcW w:w="0" w:type="auto"/>
            <w:vAlign w:val="center"/>
          </w:tcPr>
          <w:p w:rsidR="00024C0A" w:rsidRDefault="00694C0F">
            <w:pPr>
              <w:pStyle w:val="TableBodyText"/>
            </w:pPr>
            <w:r>
              <w:t>"[ISO/IEC-29500-1] §22.1.2.11"</w:t>
            </w:r>
          </w:p>
        </w:tc>
      </w:tr>
      <w:tr w:rsidR="00024C0A" w:rsidTr="00024C0A">
        <w:tc>
          <w:tcPr>
            <w:tcW w:w="0" w:type="auto"/>
            <w:vAlign w:val="center"/>
          </w:tcPr>
          <w:p w:rsidR="00024C0A" w:rsidRDefault="00694C0F">
            <w:pPr>
              <w:pStyle w:val="TableBodyText"/>
            </w:pPr>
            <w:r>
              <w:rPr>
                <w:b/>
              </w:rPr>
              <w:t>box</w:t>
            </w:r>
            <w:r>
              <w:t xml:space="preserve"> (Box Object)</w:t>
            </w:r>
          </w:p>
        </w:tc>
        <w:tc>
          <w:tcPr>
            <w:tcW w:w="0" w:type="auto"/>
            <w:vAlign w:val="center"/>
          </w:tcPr>
          <w:p w:rsidR="00024C0A" w:rsidRDefault="00694C0F">
            <w:pPr>
              <w:pStyle w:val="TableBodyText"/>
            </w:pPr>
            <w:r>
              <w:t>"[ISO/IEC-29500-1] §22.1.2.13"</w:t>
            </w:r>
          </w:p>
        </w:tc>
      </w:tr>
      <w:tr w:rsidR="00024C0A" w:rsidTr="00024C0A">
        <w:tc>
          <w:tcPr>
            <w:tcW w:w="0" w:type="auto"/>
            <w:vAlign w:val="center"/>
          </w:tcPr>
          <w:p w:rsidR="00024C0A" w:rsidRDefault="00694C0F">
            <w:pPr>
              <w:pStyle w:val="TableBodyText"/>
            </w:pPr>
            <w:r>
              <w:rPr>
                <w:b/>
              </w:rPr>
              <w:t>commentRangeEnd</w:t>
            </w:r>
            <w:r>
              <w:t xml:space="preserve"> (Comment Anchor Range End)</w:t>
            </w:r>
          </w:p>
        </w:tc>
        <w:tc>
          <w:tcPr>
            <w:tcW w:w="0" w:type="auto"/>
            <w:vAlign w:val="center"/>
          </w:tcPr>
          <w:p w:rsidR="00024C0A" w:rsidRDefault="00694C0F">
            <w:pPr>
              <w:pStyle w:val="TableBodyText"/>
            </w:pPr>
            <w:r>
              <w:t>"[ISO/IEC-29500-1] §17.13.4.3"</w:t>
            </w:r>
          </w:p>
        </w:tc>
      </w:tr>
      <w:tr w:rsidR="00024C0A" w:rsidTr="00024C0A">
        <w:tc>
          <w:tcPr>
            <w:tcW w:w="0" w:type="auto"/>
            <w:vAlign w:val="center"/>
          </w:tcPr>
          <w:p w:rsidR="00024C0A" w:rsidRDefault="00694C0F">
            <w:pPr>
              <w:pStyle w:val="TableBodyText"/>
            </w:pPr>
            <w:r>
              <w:rPr>
                <w:b/>
              </w:rPr>
              <w:t>comment</w:t>
            </w:r>
            <w:r>
              <w:rPr>
                <w:b/>
              </w:rPr>
              <w:t>RangeStart</w:t>
            </w:r>
            <w:r>
              <w:t xml:space="preserve"> (Comment Anchor Range Start)</w:t>
            </w:r>
          </w:p>
        </w:tc>
        <w:tc>
          <w:tcPr>
            <w:tcW w:w="0" w:type="auto"/>
            <w:vAlign w:val="center"/>
          </w:tcPr>
          <w:p w:rsidR="00024C0A" w:rsidRDefault="00694C0F">
            <w:pPr>
              <w:pStyle w:val="TableBodyText"/>
            </w:pPr>
            <w:r>
              <w:t>"[ISO/IEC-29500-1] §17.13.4.4"</w:t>
            </w:r>
          </w:p>
        </w:tc>
      </w:tr>
      <w:tr w:rsidR="00024C0A" w:rsidTr="00024C0A">
        <w:tc>
          <w:tcPr>
            <w:tcW w:w="0" w:type="auto"/>
            <w:vAlign w:val="center"/>
          </w:tcPr>
          <w:p w:rsidR="00024C0A" w:rsidRDefault="00694C0F">
            <w:pPr>
              <w:pStyle w:val="TableBodyText"/>
            </w:pPr>
            <w:r>
              <w:rPr>
                <w:b/>
              </w:rPr>
              <w:t>customXml</w:t>
            </w:r>
            <w:r>
              <w:t xml:space="preserve"> (Ruby Inline-Level Custom XML Element)</w:t>
            </w:r>
          </w:p>
        </w:tc>
        <w:tc>
          <w:tcPr>
            <w:tcW w:w="0" w:type="auto"/>
            <w:vAlign w:val="center"/>
          </w:tcPr>
          <w:p w:rsidR="00024C0A" w:rsidRDefault="00694C0F">
            <w:pPr>
              <w:pStyle w:val="TableBodyText"/>
            </w:pPr>
            <w:r>
              <w:t>§</w:t>
            </w:r>
            <w:hyperlink w:anchor="Section_d188da3eb34b4445b3a0118155f75ff3">
              <w:r>
                <w:rPr>
                  <w:rStyle w:val="Hyperlink"/>
                </w:rPr>
                <w:t>3.1.3.1.1, customXml</w:t>
              </w:r>
            </w:hyperlink>
          </w:p>
        </w:tc>
      </w:tr>
      <w:tr w:rsidR="00024C0A" w:rsidTr="00024C0A">
        <w:tc>
          <w:tcPr>
            <w:tcW w:w="0" w:type="auto"/>
            <w:vAlign w:val="center"/>
          </w:tcPr>
          <w:p w:rsidR="00024C0A" w:rsidRDefault="00694C0F">
            <w:pPr>
              <w:pStyle w:val="TableBodyText"/>
            </w:pPr>
            <w:r>
              <w:rPr>
                <w:b/>
              </w:rPr>
              <w:t>customXmlDelRangeEnd</w:t>
            </w:r>
            <w:r>
              <w:t xml:space="preserve"> (Custom XML Markup Deletion </w:t>
            </w:r>
            <w:r>
              <w:t>End)</w:t>
            </w:r>
          </w:p>
        </w:tc>
        <w:tc>
          <w:tcPr>
            <w:tcW w:w="0" w:type="auto"/>
            <w:vAlign w:val="center"/>
          </w:tcPr>
          <w:p w:rsidR="00024C0A" w:rsidRDefault="00694C0F">
            <w:pPr>
              <w:pStyle w:val="TableBodyText"/>
            </w:pPr>
            <w:r>
              <w:t>"[ISO/IEC-29500-1] §17.13.5.4"</w:t>
            </w:r>
          </w:p>
        </w:tc>
      </w:tr>
      <w:tr w:rsidR="00024C0A" w:rsidTr="00024C0A">
        <w:tc>
          <w:tcPr>
            <w:tcW w:w="0" w:type="auto"/>
            <w:vAlign w:val="center"/>
          </w:tcPr>
          <w:p w:rsidR="00024C0A" w:rsidRDefault="00694C0F">
            <w:pPr>
              <w:pStyle w:val="TableBodyText"/>
            </w:pPr>
            <w:r>
              <w:rPr>
                <w:b/>
              </w:rPr>
              <w:t>customXmlDelRangeStart</w:t>
            </w:r>
            <w:r>
              <w:t xml:space="preserve"> (Custom XML Markup Deletion Start)</w:t>
            </w:r>
          </w:p>
        </w:tc>
        <w:tc>
          <w:tcPr>
            <w:tcW w:w="0" w:type="auto"/>
            <w:vAlign w:val="center"/>
          </w:tcPr>
          <w:p w:rsidR="00024C0A" w:rsidRDefault="00694C0F">
            <w:pPr>
              <w:pStyle w:val="TableBodyText"/>
            </w:pPr>
            <w:r>
              <w:t>"[ISO/IEC-29500-1] §17.13.5.5"</w:t>
            </w:r>
          </w:p>
        </w:tc>
      </w:tr>
      <w:tr w:rsidR="00024C0A" w:rsidTr="00024C0A">
        <w:tc>
          <w:tcPr>
            <w:tcW w:w="0" w:type="auto"/>
            <w:vAlign w:val="center"/>
          </w:tcPr>
          <w:p w:rsidR="00024C0A" w:rsidRDefault="00694C0F">
            <w:pPr>
              <w:pStyle w:val="TableBodyText"/>
            </w:pPr>
            <w:r>
              <w:rPr>
                <w:b/>
              </w:rPr>
              <w:t>customXmlInsRangeEnd</w:t>
            </w:r>
            <w:r>
              <w:t xml:space="preserve"> (Custom XML Markup Insertion End)</w:t>
            </w:r>
          </w:p>
        </w:tc>
        <w:tc>
          <w:tcPr>
            <w:tcW w:w="0" w:type="auto"/>
            <w:vAlign w:val="center"/>
          </w:tcPr>
          <w:p w:rsidR="00024C0A" w:rsidRDefault="00694C0F">
            <w:pPr>
              <w:pStyle w:val="TableBodyText"/>
            </w:pPr>
            <w:r>
              <w:t>"[ISO/IEC-29500-1] §17.13.5.6"</w:t>
            </w:r>
          </w:p>
        </w:tc>
      </w:tr>
      <w:tr w:rsidR="00024C0A" w:rsidTr="00024C0A">
        <w:tc>
          <w:tcPr>
            <w:tcW w:w="0" w:type="auto"/>
            <w:vAlign w:val="center"/>
          </w:tcPr>
          <w:p w:rsidR="00024C0A" w:rsidRDefault="00694C0F">
            <w:pPr>
              <w:pStyle w:val="TableBodyText"/>
            </w:pPr>
            <w:r>
              <w:rPr>
                <w:b/>
              </w:rPr>
              <w:lastRenderedPageBreak/>
              <w:t>customXmlInsRangeStart</w:t>
            </w:r>
            <w:r>
              <w:t xml:space="preserve"> (Custom XML Markup Insertion Start)</w:t>
            </w:r>
          </w:p>
        </w:tc>
        <w:tc>
          <w:tcPr>
            <w:tcW w:w="0" w:type="auto"/>
            <w:vAlign w:val="center"/>
          </w:tcPr>
          <w:p w:rsidR="00024C0A" w:rsidRDefault="00694C0F">
            <w:pPr>
              <w:pStyle w:val="TableBodyText"/>
            </w:pPr>
            <w:r>
              <w:t>"[ISO/IEC-29500-1] §17.13.5.7"</w:t>
            </w:r>
          </w:p>
        </w:tc>
      </w:tr>
      <w:tr w:rsidR="00024C0A" w:rsidTr="00024C0A">
        <w:tc>
          <w:tcPr>
            <w:tcW w:w="0" w:type="auto"/>
            <w:vAlign w:val="center"/>
          </w:tcPr>
          <w:p w:rsidR="00024C0A" w:rsidRDefault="00694C0F">
            <w:pPr>
              <w:pStyle w:val="TableBodyText"/>
            </w:pPr>
            <w:r>
              <w:rPr>
                <w:b/>
              </w:rPr>
              <w:t>customXmlMoveFromRangeEnd</w:t>
            </w:r>
            <w:r>
              <w:t xml:space="preserve"> (Custom XML Markup Move Source End)</w:t>
            </w:r>
          </w:p>
        </w:tc>
        <w:tc>
          <w:tcPr>
            <w:tcW w:w="0" w:type="auto"/>
            <w:vAlign w:val="center"/>
          </w:tcPr>
          <w:p w:rsidR="00024C0A" w:rsidRDefault="00694C0F">
            <w:pPr>
              <w:pStyle w:val="TableBodyText"/>
            </w:pPr>
            <w:r>
              <w:t>"[ISO/IEC-29500-1] §17.13.5.8"</w:t>
            </w:r>
          </w:p>
        </w:tc>
      </w:tr>
      <w:tr w:rsidR="00024C0A" w:rsidTr="00024C0A">
        <w:tc>
          <w:tcPr>
            <w:tcW w:w="0" w:type="auto"/>
            <w:vAlign w:val="center"/>
          </w:tcPr>
          <w:p w:rsidR="00024C0A" w:rsidRDefault="00694C0F">
            <w:pPr>
              <w:pStyle w:val="TableBodyText"/>
            </w:pPr>
            <w:r>
              <w:rPr>
                <w:b/>
              </w:rPr>
              <w:t>customXmlMoveFromRangeStart</w:t>
            </w:r>
            <w:r>
              <w:t xml:space="preserve"> (Custom XML Markup Move Source Start)</w:t>
            </w:r>
          </w:p>
        </w:tc>
        <w:tc>
          <w:tcPr>
            <w:tcW w:w="0" w:type="auto"/>
            <w:vAlign w:val="center"/>
          </w:tcPr>
          <w:p w:rsidR="00024C0A" w:rsidRDefault="00694C0F">
            <w:pPr>
              <w:pStyle w:val="TableBodyText"/>
            </w:pPr>
            <w:r>
              <w:t>"[ISO/IEC-29500-1]</w:t>
            </w:r>
            <w:r>
              <w:t xml:space="preserve"> §17.13.5.9"</w:t>
            </w:r>
          </w:p>
        </w:tc>
      </w:tr>
      <w:tr w:rsidR="00024C0A" w:rsidTr="00024C0A">
        <w:tc>
          <w:tcPr>
            <w:tcW w:w="0" w:type="auto"/>
            <w:vAlign w:val="center"/>
          </w:tcPr>
          <w:p w:rsidR="00024C0A" w:rsidRDefault="00694C0F">
            <w:pPr>
              <w:pStyle w:val="TableBodyText"/>
            </w:pPr>
            <w:r>
              <w:rPr>
                <w:b/>
              </w:rPr>
              <w:t>customXmlMoveToRangeEnd</w:t>
            </w:r>
            <w:r>
              <w:t xml:space="preserve"> (Custom XML Markup Move Destination Location End)</w:t>
            </w:r>
          </w:p>
        </w:tc>
        <w:tc>
          <w:tcPr>
            <w:tcW w:w="0" w:type="auto"/>
            <w:vAlign w:val="center"/>
          </w:tcPr>
          <w:p w:rsidR="00024C0A" w:rsidRDefault="00694C0F">
            <w:pPr>
              <w:pStyle w:val="TableBodyText"/>
            </w:pPr>
            <w:r>
              <w:t>"[ISO/IEC-29500-1] §17.13.5.10"</w:t>
            </w:r>
          </w:p>
        </w:tc>
      </w:tr>
      <w:tr w:rsidR="00024C0A" w:rsidTr="00024C0A">
        <w:tc>
          <w:tcPr>
            <w:tcW w:w="0" w:type="auto"/>
            <w:vAlign w:val="center"/>
          </w:tcPr>
          <w:p w:rsidR="00024C0A" w:rsidRDefault="00694C0F">
            <w:pPr>
              <w:pStyle w:val="TableBodyText"/>
            </w:pPr>
            <w:r>
              <w:rPr>
                <w:b/>
              </w:rPr>
              <w:t>customXmlMoveToRangeStart</w:t>
            </w:r>
            <w:r>
              <w:t xml:space="preserve"> (Custom XML Markup Move Destination Location Start)</w:t>
            </w:r>
          </w:p>
        </w:tc>
        <w:tc>
          <w:tcPr>
            <w:tcW w:w="0" w:type="auto"/>
            <w:vAlign w:val="center"/>
          </w:tcPr>
          <w:p w:rsidR="00024C0A" w:rsidRDefault="00694C0F">
            <w:pPr>
              <w:pStyle w:val="TableBodyText"/>
            </w:pPr>
            <w:r>
              <w:t>"[ISO/IEC-29500-1] §17.13.5.11"</w:t>
            </w:r>
          </w:p>
        </w:tc>
      </w:tr>
      <w:tr w:rsidR="00024C0A" w:rsidTr="00024C0A">
        <w:tc>
          <w:tcPr>
            <w:tcW w:w="0" w:type="auto"/>
            <w:vAlign w:val="center"/>
          </w:tcPr>
          <w:p w:rsidR="00024C0A" w:rsidRDefault="00694C0F">
            <w:pPr>
              <w:pStyle w:val="TableBodyText"/>
            </w:pPr>
            <w:r>
              <w:rPr>
                <w:b/>
              </w:rPr>
              <w:t>d</w:t>
            </w:r>
            <w:r>
              <w:t xml:space="preserve"> (Delimiter Object)</w:t>
            </w:r>
          </w:p>
        </w:tc>
        <w:tc>
          <w:tcPr>
            <w:tcW w:w="0" w:type="auto"/>
            <w:vAlign w:val="center"/>
          </w:tcPr>
          <w:p w:rsidR="00024C0A" w:rsidRDefault="00694C0F">
            <w:pPr>
              <w:pStyle w:val="TableBodyText"/>
            </w:pPr>
            <w:r>
              <w:t>"[I</w:t>
            </w:r>
            <w:r>
              <w:t>SO/IEC-29500-1] §22.1.2.24"</w:t>
            </w:r>
          </w:p>
        </w:tc>
      </w:tr>
      <w:tr w:rsidR="00024C0A" w:rsidTr="00024C0A">
        <w:tc>
          <w:tcPr>
            <w:tcW w:w="0" w:type="auto"/>
            <w:vAlign w:val="center"/>
          </w:tcPr>
          <w:p w:rsidR="00024C0A" w:rsidRDefault="00694C0F">
            <w:pPr>
              <w:pStyle w:val="TableBodyText"/>
            </w:pPr>
            <w:r>
              <w:rPr>
                <w:b/>
              </w:rPr>
              <w:t>del</w:t>
            </w:r>
            <w:r>
              <w:t xml:space="preserve"> (Deleted Run Content)</w:t>
            </w:r>
          </w:p>
        </w:tc>
        <w:tc>
          <w:tcPr>
            <w:tcW w:w="0" w:type="auto"/>
            <w:vAlign w:val="center"/>
          </w:tcPr>
          <w:p w:rsidR="00024C0A" w:rsidRDefault="00694C0F">
            <w:pPr>
              <w:pStyle w:val="TableBodyText"/>
            </w:pPr>
            <w:r>
              <w:t>"[ISO/IEC-29500-1] §17.13.5.14"</w:t>
            </w:r>
          </w:p>
        </w:tc>
      </w:tr>
      <w:tr w:rsidR="00024C0A" w:rsidTr="00024C0A">
        <w:tc>
          <w:tcPr>
            <w:tcW w:w="0" w:type="auto"/>
            <w:vAlign w:val="center"/>
          </w:tcPr>
          <w:p w:rsidR="00024C0A" w:rsidRDefault="00694C0F">
            <w:pPr>
              <w:pStyle w:val="TableBodyText"/>
            </w:pPr>
            <w:r>
              <w:rPr>
                <w:b/>
              </w:rPr>
              <w:t>eqArr</w:t>
            </w:r>
            <w:r>
              <w:t xml:space="preserve"> (Array Object)</w:t>
            </w:r>
          </w:p>
        </w:tc>
        <w:tc>
          <w:tcPr>
            <w:tcW w:w="0" w:type="auto"/>
            <w:vAlign w:val="center"/>
          </w:tcPr>
          <w:p w:rsidR="00024C0A" w:rsidRDefault="00694C0F">
            <w:pPr>
              <w:pStyle w:val="TableBodyText"/>
            </w:pPr>
            <w:r>
              <w:t>"[ISO/IEC-29500-1] §22.1.2.34"</w:t>
            </w:r>
          </w:p>
        </w:tc>
      </w:tr>
      <w:tr w:rsidR="00024C0A" w:rsidTr="00024C0A">
        <w:tc>
          <w:tcPr>
            <w:tcW w:w="0" w:type="auto"/>
            <w:vAlign w:val="center"/>
          </w:tcPr>
          <w:p w:rsidR="00024C0A" w:rsidRDefault="00694C0F">
            <w:pPr>
              <w:pStyle w:val="TableBodyText"/>
            </w:pPr>
            <w:r>
              <w:rPr>
                <w:b/>
              </w:rPr>
              <w:t>f</w:t>
            </w:r>
            <w:r>
              <w:t xml:space="preserve"> (Fraction Object)</w:t>
            </w:r>
          </w:p>
        </w:tc>
        <w:tc>
          <w:tcPr>
            <w:tcW w:w="0" w:type="auto"/>
            <w:vAlign w:val="center"/>
          </w:tcPr>
          <w:p w:rsidR="00024C0A" w:rsidRDefault="00694C0F">
            <w:pPr>
              <w:pStyle w:val="TableBodyText"/>
            </w:pPr>
            <w:r>
              <w:t>"[ISO/IEC-29500-1] §22.1.2.36"</w:t>
            </w:r>
          </w:p>
        </w:tc>
      </w:tr>
      <w:tr w:rsidR="00024C0A" w:rsidTr="00024C0A">
        <w:tc>
          <w:tcPr>
            <w:tcW w:w="0" w:type="auto"/>
            <w:vAlign w:val="center"/>
          </w:tcPr>
          <w:p w:rsidR="00024C0A" w:rsidRDefault="00694C0F">
            <w:pPr>
              <w:pStyle w:val="TableBodyText"/>
            </w:pPr>
            <w:r>
              <w:rPr>
                <w:b/>
              </w:rPr>
              <w:t>fldSimple</w:t>
            </w:r>
            <w:r>
              <w:t xml:space="preserve"> (Ruby Simple Field)</w:t>
            </w:r>
          </w:p>
        </w:tc>
        <w:tc>
          <w:tcPr>
            <w:tcW w:w="0" w:type="auto"/>
            <w:vAlign w:val="center"/>
          </w:tcPr>
          <w:p w:rsidR="00024C0A" w:rsidRDefault="00694C0F">
            <w:pPr>
              <w:pStyle w:val="TableBodyText"/>
            </w:pPr>
            <w:r>
              <w:t>§</w:t>
            </w:r>
            <w:hyperlink w:anchor="Section_34477fff355a497ea2bf4b9c3f80b093">
              <w:r>
                <w:rPr>
                  <w:rStyle w:val="Hyperlink"/>
                </w:rPr>
                <w:t>3.1.3.1.2, fldSimple</w:t>
              </w:r>
            </w:hyperlink>
          </w:p>
        </w:tc>
      </w:tr>
      <w:tr w:rsidR="00024C0A" w:rsidTr="00024C0A">
        <w:tc>
          <w:tcPr>
            <w:tcW w:w="0" w:type="auto"/>
            <w:vAlign w:val="center"/>
          </w:tcPr>
          <w:p w:rsidR="00024C0A" w:rsidRDefault="00694C0F">
            <w:pPr>
              <w:pStyle w:val="TableBodyText"/>
            </w:pPr>
            <w:r>
              <w:rPr>
                <w:b/>
              </w:rPr>
              <w:t>func</w:t>
            </w:r>
            <w:r>
              <w:t xml:space="preserve"> (Function Apply Object)</w:t>
            </w:r>
          </w:p>
        </w:tc>
        <w:tc>
          <w:tcPr>
            <w:tcW w:w="0" w:type="auto"/>
            <w:vAlign w:val="center"/>
          </w:tcPr>
          <w:p w:rsidR="00024C0A" w:rsidRDefault="00694C0F">
            <w:pPr>
              <w:pStyle w:val="TableBodyText"/>
            </w:pPr>
            <w:r>
              <w:t>"[ISO/IEC-29500-1] §22.1.2.39"</w:t>
            </w:r>
          </w:p>
        </w:tc>
      </w:tr>
      <w:tr w:rsidR="00024C0A" w:rsidTr="00024C0A">
        <w:tc>
          <w:tcPr>
            <w:tcW w:w="0" w:type="auto"/>
            <w:vAlign w:val="center"/>
          </w:tcPr>
          <w:p w:rsidR="00024C0A" w:rsidRDefault="00694C0F">
            <w:pPr>
              <w:pStyle w:val="TableBodyText"/>
            </w:pPr>
            <w:r>
              <w:rPr>
                <w:b/>
              </w:rPr>
              <w:t>groupChr</w:t>
            </w:r>
            <w:r>
              <w:t xml:space="preserve"> (Group-Character Object)</w:t>
            </w:r>
          </w:p>
        </w:tc>
        <w:tc>
          <w:tcPr>
            <w:tcW w:w="0" w:type="auto"/>
            <w:vAlign w:val="center"/>
          </w:tcPr>
          <w:p w:rsidR="00024C0A" w:rsidRDefault="00694C0F">
            <w:pPr>
              <w:pStyle w:val="TableBodyText"/>
            </w:pPr>
            <w:r>
              <w:t>"[ISO/IEC-29500-1] §22.1.2.41"</w:t>
            </w:r>
          </w:p>
        </w:tc>
      </w:tr>
      <w:tr w:rsidR="00024C0A" w:rsidTr="00024C0A">
        <w:tc>
          <w:tcPr>
            <w:tcW w:w="0" w:type="auto"/>
            <w:vAlign w:val="center"/>
          </w:tcPr>
          <w:p w:rsidR="00024C0A" w:rsidRDefault="00694C0F">
            <w:pPr>
              <w:pStyle w:val="TableBodyText"/>
            </w:pPr>
            <w:r>
              <w:rPr>
                <w:b/>
              </w:rPr>
              <w:t>hyperlink</w:t>
            </w:r>
            <w:r>
              <w:t xml:space="preserve"> (Ruby Hyperlink)</w:t>
            </w:r>
          </w:p>
        </w:tc>
        <w:tc>
          <w:tcPr>
            <w:tcW w:w="0" w:type="auto"/>
            <w:vAlign w:val="center"/>
          </w:tcPr>
          <w:p w:rsidR="00024C0A" w:rsidRDefault="00694C0F">
            <w:pPr>
              <w:pStyle w:val="TableBodyText"/>
            </w:pPr>
            <w:r>
              <w:t>§</w:t>
            </w:r>
            <w:hyperlink w:anchor="Section_cc9e4bbd134f4d35b2c795fde8c633a7">
              <w:r>
                <w:rPr>
                  <w:rStyle w:val="Hyperlink"/>
                </w:rPr>
                <w:t>3.1.3.1.3, hyperlink</w:t>
              </w:r>
            </w:hyperlink>
          </w:p>
        </w:tc>
      </w:tr>
      <w:tr w:rsidR="00024C0A" w:rsidTr="00024C0A">
        <w:tc>
          <w:tcPr>
            <w:tcW w:w="0" w:type="auto"/>
            <w:vAlign w:val="center"/>
          </w:tcPr>
          <w:p w:rsidR="00024C0A" w:rsidRDefault="00694C0F">
            <w:pPr>
              <w:pStyle w:val="TableBodyText"/>
            </w:pPr>
            <w:r>
              <w:rPr>
                <w:b/>
              </w:rPr>
              <w:t>ins</w:t>
            </w:r>
            <w:r>
              <w:t xml:space="preserve"> (Inserted Run Content)</w:t>
            </w:r>
          </w:p>
        </w:tc>
        <w:tc>
          <w:tcPr>
            <w:tcW w:w="0" w:type="auto"/>
            <w:vAlign w:val="center"/>
          </w:tcPr>
          <w:p w:rsidR="00024C0A" w:rsidRDefault="00694C0F">
            <w:pPr>
              <w:pStyle w:val="TableBodyText"/>
            </w:pPr>
            <w:r>
              <w:t>"[ISO/IEC-29500-1] §17.13.5.18"</w:t>
            </w:r>
          </w:p>
        </w:tc>
      </w:tr>
      <w:tr w:rsidR="00024C0A" w:rsidTr="00024C0A">
        <w:tc>
          <w:tcPr>
            <w:tcW w:w="0" w:type="auto"/>
            <w:vAlign w:val="center"/>
          </w:tcPr>
          <w:p w:rsidR="00024C0A" w:rsidRDefault="00694C0F">
            <w:pPr>
              <w:pStyle w:val="TableBodyText"/>
            </w:pPr>
            <w:r>
              <w:rPr>
                <w:b/>
              </w:rPr>
              <w:t>limLow</w:t>
            </w:r>
            <w:r>
              <w:t xml:space="preserve"> (Lower-Limit Object)</w:t>
            </w:r>
          </w:p>
        </w:tc>
        <w:tc>
          <w:tcPr>
            <w:tcW w:w="0" w:type="auto"/>
            <w:vAlign w:val="center"/>
          </w:tcPr>
          <w:p w:rsidR="00024C0A" w:rsidRDefault="00694C0F">
            <w:pPr>
              <w:pStyle w:val="TableBodyText"/>
            </w:pPr>
            <w:r>
              <w:t>"[ISO/IEC-29500-1] §22.1.2.54"</w:t>
            </w:r>
          </w:p>
        </w:tc>
      </w:tr>
      <w:tr w:rsidR="00024C0A" w:rsidTr="00024C0A">
        <w:tc>
          <w:tcPr>
            <w:tcW w:w="0" w:type="auto"/>
            <w:vAlign w:val="center"/>
          </w:tcPr>
          <w:p w:rsidR="00024C0A" w:rsidRDefault="00694C0F">
            <w:pPr>
              <w:pStyle w:val="TableBodyText"/>
            </w:pPr>
            <w:r>
              <w:rPr>
                <w:b/>
              </w:rPr>
              <w:t>limUpp</w:t>
            </w:r>
            <w:r>
              <w:t xml:space="preserve"> (Upper-Limit Object)</w:t>
            </w:r>
          </w:p>
        </w:tc>
        <w:tc>
          <w:tcPr>
            <w:tcW w:w="0" w:type="auto"/>
            <w:vAlign w:val="center"/>
          </w:tcPr>
          <w:p w:rsidR="00024C0A" w:rsidRDefault="00694C0F">
            <w:pPr>
              <w:pStyle w:val="TableBodyText"/>
            </w:pPr>
            <w:r>
              <w:t>"[ISO/IEC-29500-1] §22.1.2.56"</w:t>
            </w:r>
          </w:p>
        </w:tc>
      </w:tr>
      <w:tr w:rsidR="00024C0A" w:rsidTr="00024C0A">
        <w:tc>
          <w:tcPr>
            <w:tcW w:w="0" w:type="auto"/>
            <w:vAlign w:val="center"/>
          </w:tcPr>
          <w:p w:rsidR="00024C0A" w:rsidRDefault="00694C0F">
            <w:pPr>
              <w:pStyle w:val="TableBodyText"/>
            </w:pPr>
            <w:r>
              <w:rPr>
                <w:b/>
              </w:rPr>
              <w:t>m</w:t>
            </w:r>
            <w:r>
              <w:t xml:space="preserve"> (Matrix Object)</w:t>
            </w:r>
          </w:p>
        </w:tc>
        <w:tc>
          <w:tcPr>
            <w:tcW w:w="0" w:type="auto"/>
            <w:vAlign w:val="center"/>
          </w:tcPr>
          <w:p w:rsidR="00024C0A" w:rsidRDefault="00694C0F">
            <w:pPr>
              <w:pStyle w:val="TableBodyText"/>
            </w:pPr>
            <w:r>
              <w:t>"[ISO/IEC-29500-1] §22.1.2.60"</w:t>
            </w:r>
          </w:p>
        </w:tc>
      </w:tr>
      <w:tr w:rsidR="00024C0A" w:rsidTr="00024C0A">
        <w:tc>
          <w:tcPr>
            <w:tcW w:w="0" w:type="auto"/>
            <w:vAlign w:val="center"/>
          </w:tcPr>
          <w:p w:rsidR="00024C0A" w:rsidRDefault="00694C0F">
            <w:pPr>
              <w:pStyle w:val="TableBodyText"/>
            </w:pPr>
            <w:r>
              <w:rPr>
                <w:b/>
              </w:rPr>
              <w:t>moveFrom</w:t>
            </w:r>
            <w:r>
              <w:t xml:space="preserve"> (Move Source Run Content)</w:t>
            </w:r>
          </w:p>
        </w:tc>
        <w:tc>
          <w:tcPr>
            <w:tcW w:w="0" w:type="auto"/>
            <w:vAlign w:val="center"/>
          </w:tcPr>
          <w:p w:rsidR="00024C0A" w:rsidRDefault="00694C0F">
            <w:pPr>
              <w:pStyle w:val="TableBodyText"/>
            </w:pPr>
            <w:r>
              <w:t>"[ISO/IEC-29500-1] §17.13.5.22"</w:t>
            </w:r>
          </w:p>
        </w:tc>
      </w:tr>
      <w:tr w:rsidR="00024C0A" w:rsidTr="00024C0A">
        <w:tc>
          <w:tcPr>
            <w:tcW w:w="0" w:type="auto"/>
            <w:vAlign w:val="center"/>
          </w:tcPr>
          <w:p w:rsidR="00024C0A" w:rsidRDefault="00694C0F">
            <w:pPr>
              <w:pStyle w:val="TableBodyText"/>
            </w:pPr>
            <w:r>
              <w:rPr>
                <w:b/>
              </w:rPr>
              <w:t>moveFromRangeEnd</w:t>
            </w:r>
            <w:r>
              <w:t xml:space="preserve"> (Move Source Location Container - End)</w:t>
            </w:r>
          </w:p>
        </w:tc>
        <w:tc>
          <w:tcPr>
            <w:tcW w:w="0" w:type="auto"/>
            <w:vAlign w:val="center"/>
          </w:tcPr>
          <w:p w:rsidR="00024C0A" w:rsidRDefault="00694C0F">
            <w:pPr>
              <w:pStyle w:val="TableBodyText"/>
            </w:pPr>
            <w:r>
              <w:t>"[ISO/IEC-29500-1] §17.13.5.23"</w:t>
            </w:r>
          </w:p>
        </w:tc>
      </w:tr>
      <w:tr w:rsidR="00024C0A" w:rsidTr="00024C0A">
        <w:tc>
          <w:tcPr>
            <w:tcW w:w="0" w:type="auto"/>
            <w:vAlign w:val="center"/>
          </w:tcPr>
          <w:p w:rsidR="00024C0A" w:rsidRDefault="00694C0F">
            <w:pPr>
              <w:pStyle w:val="TableBodyText"/>
            </w:pPr>
            <w:r>
              <w:rPr>
                <w:b/>
              </w:rPr>
              <w:t>moveFromRangeStart</w:t>
            </w:r>
            <w:r>
              <w:t xml:space="preserve"> (Move Source Location Container</w:t>
            </w:r>
            <w:r>
              <w:t xml:space="preserve"> - Start)</w:t>
            </w:r>
          </w:p>
        </w:tc>
        <w:tc>
          <w:tcPr>
            <w:tcW w:w="0" w:type="auto"/>
            <w:vAlign w:val="center"/>
          </w:tcPr>
          <w:p w:rsidR="00024C0A" w:rsidRDefault="00694C0F">
            <w:pPr>
              <w:pStyle w:val="TableBodyText"/>
            </w:pPr>
            <w:r>
              <w:t>"[ISO/IEC-29500-1] §17.13.5.24"</w:t>
            </w:r>
          </w:p>
        </w:tc>
      </w:tr>
      <w:tr w:rsidR="00024C0A" w:rsidTr="00024C0A">
        <w:tc>
          <w:tcPr>
            <w:tcW w:w="0" w:type="auto"/>
            <w:vAlign w:val="center"/>
          </w:tcPr>
          <w:p w:rsidR="00024C0A" w:rsidRDefault="00694C0F">
            <w:pPr>
              <w:pStyle w:val="TableBodyText"/>
            </w:pPr>
            <w:r>
              <w:rPr>
                <w:b/>
              </w:rPr>
              <w:t>moveTo</w:t>
            </w:r>
            <w:r>
              <w:t xml:space="preserve"> (Move Destination Run Content)</w:t>
            </w:r>
          </w:p>
        </w:tc>
        <w:tc>
          <w:tcPr>
            <w:tcW w:w="0" w:type="auto"/>
            <w:vAlign w:val="center"/>
          </w:tcPr>
          <w:p w:rsidR="00024C0A" w:rsidRDefault="00694C0F">
            <w:pPr>
              <w:pStyle w:val="TableBodyText"/>
            </w:pPr>
            <w:r>
              <w:t>"[ISO/IEC-29500-1] §17.13.5.25"</w:t>
            </w:r>
          </w:p>
        </w:tc>
      </w:tr>
      <w:tr w:rsidR="00024C0A" w:rsidTr="00024C0A">
        <w:tc>
          <w:tcPr>
            <w:tcW w:w="0" w:type="auto"/>
            <w:vAlign w:val="center"/>
          </w:tcPr>
          <w:p w:rsidR="00024C0A" w:rsidRDefault="00694C0F">
            <w:pPr>
              <w:pStyle w:val="TableBodyText"/>
            </w:pPr>
            <w:r>
              <w:rPr>
                <w:b/>
              </w:rPr>
              <w:t>moveToRangeEnd</w:t>
            </w:r>
            <w:r>
              <w:t xml:space="preserve"> (Move Destination Location Container - End)</w:t>
            </w:r>
          </w:p>
        </w:tc>
        <w:tc>
          <w:tcPr>
            <w:tcW w:w="0" w:type="auto"/>
            <w:vAlign w:val="center"/>
          </w:tcPr>
          <w:p w:rsidR="00024C0A" w:rsidRDefault="00694C0F">
            <w:pPr>
              <w:pStyle w:val="TableBodyText"/>
            </w:pPr>
            <w:r>
              <w:t>"[ISO/IEC-29500-1] §17.13.5.27"</w:t>
            </w:r>
          </w:p>
        </w:tc>
      </w:tr>
      <w:tr w:rsidR="00024C0A" w:rsidTr="00024C0A">
        <w:tc>
          <w:tcPr>
            <w:tcW w:w="0" w:type="auto"/>
            <w:vAlign w:val="center"/>
          </w:tcPr>
          <w:p w:rsidR="00024C0A" w:rsidRDefault="00694C0F">
            <w:pPr>
              <w:pStyle w:val="TableBodyText"/>
            </w:pPr>
            <w:r>
              <w:rPr>
                <w:b/>
              </w:rPr>
              <w:lastRenderedPageBreak/>
              <w:t>moveToRangeStart</w:t>
            </w:r>
            <w:r>
              <w:t xml:space="preserve"> (Move Destination Location Container - Start)</w:t>
            </w:r>
          </w:p>
        </w:tc>
        <w:tc>
          <w:tcPr>
            <w:tcW w:w="0" w:type="auto"/>
            <w:vAlign w:val="center"/>
          </w:tcPr>
          <w:p w:rsidR="00024C0A" w:rsidRDefault="00694C0F">
            <w:pPr>
              <w:pStyle w:val="TableBodyText"/>
            </w:pPr>
            <w:r>
              <w:t>"[ISO/IEC-29500-1] §17.13.5.28"</w:t>
            </w:r>
          </w:p>
        </w:tc>
      </w:tr>
      <w:tr w:rsidR="00024C0A" w:rsidTr="00024C0A">
        <w:tc>
          <w:tcPr>
            <w:tcW w:w="0" w:type="auto"/>
            <w:vAlign w:val="center"/>
          </w:tcPr>
          <w:p w:rsidR="00024C0A" w:rsidRDefault="00694C0F">
            <w:pPr>
              <w:pStyle w:val="TableBodyText"/>
            </w:pPr>
            <w:r>
              <w:rPr>
                <w:b/>
              </w:rPr>
              <w:t>nary</w:t>
            </w:r>
            <w:r>
              <w:t xml:space="preserve"> (n-ary Operator Object)</w:t>
            </w:r>
          </w:p>
        </w:tc>
        <w:tc>
          <w:tcPr>
            <w:tcW w:w="0" w:type="auto"/>
            <w:vAlign w:val="center"/>
          </w:tcPr>
          <w:p w:rsidR="00024C0A" w:rsidRDefault="00694C0F">
            <w:pPr>
              <w:pStyle w:val="TableBodyText"/>
            </w:pPr>
            <w:r>
              <w:t>"[ISO/IEC-29500-1] §22.1.2.70"</w:t>
            </w:r>
          </w:p>
        </w:tc>
      </w:tr>
      <w:tr w:rsidR="00024C0A" w:rsidTr="00024C0A">
        <w:tc>
          <w:tcPr>
            <w:tcW w:w="0" w:type="auto"/>
            <w:vAlign w:val="center"/>
          </w:tcPr>
          <w:p w:rsidR="00024C0A" w:rsidRDefault="00694C0F">
            <w:pPr>
              <w:pStyle w:val="TableBodyText"/>
            </w:pPr>
            <w:r>
              <w:rPr>
                <w:b/>
              </w:rPr>
              <w:t>oMath</w:t>
            </w:r>
            <w:r>
              <w:t xml:space="preserve"> (Office Math)</w:t>
            </w:r>
          </w:p>
        </w:tc>
        <w:tc>
          <w:tcPr>
            <w:tcW w:w="0" w:type="auto"/>
            <w:vAlign w:val="center"/>
          </w:tcPr>
          <w:p w:rsidR="00024C0A" w:rsidRDefault="00694C0F">
            <w:pPr>
              <w:pStyle w:val="TableBodyText"/>
            </w:pPr>
            <w:r>
              <w:t>"[ISO/IEC-29500-1] §22.1.2.77"</w:t>
            </w:r>
          </w:p>
        </w:tc>
      </w:tr>
      <w:tr w:rsidR="00024C0A" w:rsidTr="00024C0A">
        <w:tc>
          <w:tcPr>
            <w:tcW w:w="0" w:type="auto"/>
            <w:vAlign w:val="center"/>
          </w:tcPr>
          <w:p w:rsidR="00024C0A" w:rsidRDefault="00694C0F">
            <w:pPr>
              <w:pStyle w:val="TableBodyText"/>
            </w:pPr>
            <w:r>
              <w:rPr>
                <w:b/>
              </w:rPr>
              <w:t>oMathPara</w:t>
            </w:r>
            <w:r>
              <w:t xml:space="preserve"> (Office Math Paragraph)</w:t>
            </w:r>
          </w:p>
        </w:tc>
        <w:tc>
          <w:tcPr>
            <w:tcW w:w="0" w:type="auto"/>
            <w:vAlign w:val="center"/>
          </w:tcPr>
          <w:p w:rsidR="00024C0A" w:rsidRDefault="00694C0F">
            <w:pPr>
              <w:pStyle w:val="TableBodyText"/>
            </w:pPr>
            <w:r>
              <w:t>"[ISO/IEC-29500-1]</w:t>
            </w:r>
            <w:r>
              <w:t xml:space="preserve"> §22.1.2.78"</w:t>
            </w:r>
          </w:p>
        </w:tc>
      </w:tr>
      <w:tr w:rsidR="00024C0A" w:rsidTr="00024C0A">
        <w:tc>
          <w:tcPr>
            <w:tcW w:w="0" w:type="auto"/>
            <w:vAlign w:val="center"/>
          </w:tcPr>
          <w:p w:rsidR="00024C0A" w:rsidRDefault="00694C0F">
            <w:pPr>
              <w:pStyle w:val="TableBodyText"/>
            </w:pPr>
            <w:r>
              <w:rPr>
                <w:b/>
              </w:rPr>
              <w:t>permEnd</w:t>
            </w:r>
            <w:r>
              <w:t xml:space="preserve"> (Range Permission End)</w:t>
            </w:r>
          </w:p>
        </w:tc>
        <w:tc>
          <w:tcPr>
            <w:tcW w:w="0" w:type="auto"/>
            <w:vAlign w:val="center"/>
          </w:tcPr>
          <w:p w:rsidR="00024C0A" w:rsidRDefault="00694C0F">
            <w:pPr>
              <w:pStyle w:val="TableBodyText"/>
            </w:pPr>
            <w:r>
              <w:t>"[ISO/IEC-29500-1] §17.13.7.1"</w:t>
            </w:r>
          </w:p>
        </w:tc>
      </w:tr>
      <w:tr w:rsidR="00024C0A" w:rsidTr="00024C0A">
        <w:tc>
          <w:tcPr>
            <w:tcW w:w="0" w:type="auto"/>
            <w:vAlign w:val="center"/>
          </w:tcPr>
          <w:p w:rsidR="00024C0A" w:rsidRDefault="00694C0F">
            <w:pPr>
              <w:pStyle w:val="TableBodyText"/>
            </w:pPr>
            <w:r>
              <w:rPr>
                <w:b/>
              </w:rPr>
              <w:t>permStart</w:t>
            </w:r>
            <w:r>
              <w:t xml:space="preserve"> (Range Permission Start)</w:t>
            </w:r>
          </w:p>
        </w:tc>
        <w:tc>
          <w:tcPr>
            <w:tcW w:w="0" w:type="auto"/>
            <w:vAlign w:val="center"/>
          </w:tcPr>
          <w:p w:rsidR="00024C0A" w:rsidRDefault="00694C0F">
            <w:pPr>
              <w:pStyle w:val="TableBodyText"/>
            </w:pPr>
            <w:r>
              <w:t>"[ISO/IEC-29500-1] §17.13.7.2"</w:t>
            </w:r>
          </w:p>
        </w:tc>
      </w:tr>
      <w:tr w:rsidR="00024C0A" w:rsidTr="00024C0A">
        <w:tc>
          <w:tcPr>
            <w:tcW w:w="0" w:type="auto"/>
            <w:vAlign w:val="center"/>
          </w:tcPr>
          <w:p w:rsidR="00024C0A" w:rsidRDefault="00694C0F">
            <w:pPr>
              <w:pStyle w:val="TableBodyText"/>
            </w:pPr>
            <w:r>
              <w:rPr>
                <w:b/>
              </w:rPr>
              <w:t>phant</w:t>
            </w:r>
            <w:r>
              <w:t xml:space="preserve"> (Phantom Object)</w:t>
            </w:r>
          </w:p>
        </w:tc>
        <w:tc>
          <w:tcPr>
            <w:tcW w:w="0" w:type="auto"/>
            <w:vAlign w:val="center"/>
          </w:tcPr>
          <w:p w:rsidR="00024C0A" w:rsidRDefault="00694C0F">
            <w:pPr>
              <w:pStyle w:val="TableBodyText"/>
            </w:pPr>
            <w:r>
              <w:t>"[ISO/IEC-29500-1] §22.1.2.81"</w:t>
            </w:r>
          </w:p>
        </w:tc>
      </w:tr>
      <w:tr w:rsidR="00024C0A" w:rsidTr="00024C0A">
        <w:tc>
          <w:tcPr>
            <w:tcW w:w="0" w:type="auto"/>
            <w:vAlign w:val="center"/>
          </w:tcPr>
          <w:p w:rsidR="00024C0A" w:rsidRDefault="00694C0F">
            <w:pPr>
              <w:pStyle w:val="TableBodyText"/>
            </w:pPr>
            <w:r>
              <w:rPr>
                <w:b/>
              </w:rPr>
              <w:t>proofErr</w:t>
            </w:r>
            <w:r>
              <w:t xml:space="preserve"> (Proofing Error Anchor)</w:t>
            </w:r>
          </w:p>
        </w:tc>
        <w:tc>
          <w:tcPr>
            <w:tcW w:w="0" w:type="auto"/>
            <w:vAlign w:val="center"/>
          </w:tcPr>
          <w:p w:rsidR="00024C0A" w:rsidRDefault="00694C0F">
            <w:pPr>
              <w:pStyle w:val="TableBodyText"/>
            </w:pPr>
            <w:r>
              <w:t>"[ISO/IEC-29500-1] §17.1</w:t>
            </w:r>
            <w:r>
              <w:t>3.8.1"</w:t>
            </w:r>
          </w:p>
        </w:tc>
      </w:tr>
      <w:tr w:rsidR="00024C0A" w:rsidTr="00024C0A">
        <w:tc>
          <w:tcPr>
            <w:tcW w:w="0" w:type="auto"/>
            <w:vAlign w:val="center"/>
          </w:tcPr>
          <w:p w:rsidR="00024C0A" w:rsidRDefault="00694C0F">
            <w:pPr>
              <w:pStyle w:val="TableBodyText"/>
            </w:pPr>
            <w:r>
              <w:rPr>
                <w:b/>
              </w:rPr>
              <w:t>r</w:t>
            </w:r>
            <w:r>
              <w:t xml:space="preserve"> (Run)</w:t>
            </w:r>
          </w:p>
        </w:tc>
        <w:tc>
          <w:tcPr>
            <w:tcW w:w="0" w:type="auto"/>
            <w:vAlign w:val="center"/>
          </w:tcPr>
          <w:p w:rsidR="00024C0A" w:rsidRDefault="00694C0F">
            <w:pPr>
              <w:pStyle w:val="TableBodyText"/>
            </w:pPr>
            <w:r>
              <w:t>"[ISO/IEC-29500-1] §22.1.2.87"</w:t>
            </w:r>
          </w:p>
        </w:tc>
      </w:tr>
      <w:tr w:rsidR="00024C0A" w:rsidTr="00024C0A">
        <w:tc>
          <w:tcPr>
            <w:tcW w:w="0" w:type="auto"/>
            <w:vAlign w:val="center"/>
          </w:tcPr>
          <w:p w:rsidR="00024C0A" w:rsidRDefault="00694C0F">
            <w:pPr>
              <w:pStyle w:val="TableBodyText"/>
            </w:pPr>
            <w:r>
              <w:rPr>
                <w:b/>
              </w:rPr>
              <w:t>r</w:t>
            </w:r>
            <w:r>
              <w:t xml:space="preserve"> (Text Run)</w:t>
            </w:r>
          </w:p>
        </w:tc>
        <w:tc>
          <w:tcPr>
            <w:tcW w:w="0" w:type="auto"/>
            <w:vAlign w:val="center"/>
          </w:tcPr>
          <w:p w:rsidR="00024C0A" w:rsidRDefault="00694C0F">
            <w:pPr>
              <w:pStyle w:val="TableBodyText"/>
            </w:pPr>
            <w:r>
              <w:t>"[ISO/IEC-29500-1] §17.3.2.25"</w:t>
            </w:r>
          </w:p>
        </w:tc>
      </w:tr>
      <w:tr w:rsidR="00024C0A" w:rsidTr="00024C0A">
        <w:tc>
          <w:tcPr>
            <w:tcW w:w="0" w:type="auto"/>
            <w:vAlign w:val="center"/>
          </w:tcPr>
          <w:p w:rsidR="00024C0A" w:rsidRDefault="00694C0F">
            <w:pPr>
              <w:pStyle w:val="TableBodyText"/>
            </w:pPr>
            <w:r>
              <w:rPr>
                <w:b/>
              </w:rPr>
              <w:t>rad</w:t>
            </w:r>
            <w:r>
              <w:t xml:space="preserve"> (Radical Object)</w:t>
            </w:r>
          </w:p>
        </w:tc>
        <w:tc>
          <w:tcPr>
            <w:tcW w:w="0" w:type="auto"/>
            <w:vAlign w:val="center"/>
          </w:tcPr>
          <w:p w:rsidR="00024C0A" w:rsidRDefault="00694C0F">
            <w:pPr>
              <w:pStyle w:val="TableBodyText"/>
            </w:pPr>
            <w:r>
              <w:t>"[ISO/IEC-29500-1] §22.1.2.88"</w:t>
            </w:r>
          </w:p>
        </w:tc>
      </w:tr>
      <w:tr w:rsidR="00024C0A" w:rsidTr="00024C0A">
        <w:tc>
          <w:tcPr>
            <w:tcW w:w="0" w:type="auto"/>
            <w:vAlign w:val="center"/>
          </w:tcPr>
          <w:p w:rsidR="00024C0A" w:rsidRDefault="00694C0F">
            <w:pPr>
              <w:pStyle w:val="TableBodyText"/>
            </w:pPr>
            <w:r>
              <w:rPr>
                <w:b/>
              </w:rPr>
              <w:t>sdt</w:t>
            </w:r>
            <w:r>
              <w:t xml:space="preserve"> (Ruby Inline-Level Structured Document Tag)</w:t>
            </w:r>
          </w:p>
        </w:tc>
        <w:tc>
          <w:tcPr>
            <w:tcW w:w="0" w:type="auto"/>
            <w:vAlign w:val="center"/>
          </w:tcPr>
          <w:p w:rsidR="00024C0A" w:rsidRDefault="00694C0F">
            <w:pPr>
              <w:pStyle w:val="TableBodyText"/>
            </w:pPr>
            <w:r>
              <w:t>§3.1.3.1.6, sdt</w:t>
            </w:r>
          </w:p>
        </w:tc>
      </w:tr>
      <w:tr w:rsidR="00024C0A" w:rsidTr="00024C0A">
        <w:tc>
          <w:tcPr>
            <w:tcW w:w="0" w:type="auto"/>
            <w:vAlign w:val="center"/>
          </w:tcPr>
          <w:p w:rsidR="00024C0A" w:rsidRDefault="00694C0F">
            <w:pPr>
              <w:pStyle w:val="TableBodyText"/>
            </w:pPr>
            <w:r>
              <w:rPr>
                <w:b/>
              </w:rPr>
              <w:t>sPre</w:t>
            </w:r>
            <w:r>
              <w:t xml:space="preserve"> (Pre-Sub-Superscript Object)</w:t>
            </w:r>
          </w:p>
        </w:tc>
        <w:tc>
          <w:tcPr>
            <w:tcW w:w="0" w:type="auto"/>
            <w:vAlign w:val="center"/>
          </w:tcPr>
          <w:p w:rsidR="00024C0A" w:rsidRDefault="00694C0F">
            <w:pPr>
              <w:pStyle w:val="TableBodyText"/>
            </w:pPr>
            <w:r>
              <w:t>"</w:t>
            </w:r>
            <w:r>
              <w:t>[ISO/IEC-29500-1] §22.1.2.99"</w:t>
            </w:r>
          </w:p>
        </w:tc>
      </w:tr>
      <w:tr w:rsidR="00024C0A" w:rsidTr="00024C0A">
        <w:tc>
          <w:tcPr>
            <w:tcW w:w="0" w:type="auto"/>
            <w:vAlign w:val="center"/>
          </w:tcPr>
          <w:p w:rsidR="00024C0A" w:rsidRDefault="00694C0F">
            <w:pPr>
              <w:pStyle w:val="TableBodyText"/>
            </w:pPr>
            <w:r>
              <w:rPr>
                <w:b/>
              </w:rPr>
              <w:t>sSub</w:t>
            </w:r>
            <w:r>
              <w:t xml:space="preserve"> (Subscript Object)</w:t>
            </w:r>
          </w:p>
        </w:tc>
        <w:tc>
          <w:tcPr>
            <w:tcW w:w="0" w:type="auto"/>
            <w:vAlign w:val="center"/>
          </w:tcPr>
          <w:p w:rsidR="00024C0A" w:rsidRDefault="00694C0F">
            <w:pPr>
              <w:pStyle w:val="TableBodyText"/>
            </w:pPr>
            <w:r>
              <w:t>"[ISO/IEC-29500-1] §22.1.2.101"</w:t>
            </w:r>
          </w:p>
        </w:tc>
      </w:tr>
      <w:tr w:rsidR="00024C0A" w:rsidTr="00024C0A">
        <w:tc>
          <w:tcPr>
            <w:tcW w:w="0" w:type="auto"/>
            <w:vAlign w:val="center"/>
          </w:tcPr>
          <w:p w:rsidR="00024C0A" w:rsidRDefault="00694C0F">
            <w:pPr>
              <w:pStyle w:val="TableBodyText"/>
            </w:pPr>
            <w:r>
              <w:rPr>
                <w:b/>
              </w:rPr>
              <w:t>sSubSup</w:t>
            </w:r>
            <w:r>
              <w:t xml:space="preserve"> (Sub-Superscript Object)</w:t>
            </w:r>
          </w:p>
        </w:tc>
        <w:tc>
          <w:tcPr>
            <w:tcW w:w="0" w:type="auto"/>
            <w:vAlign w:val="center"/>
          </w:tcPr>
          <w:p w:rsidR="00024C0A" w:rsidRDefault="00694C0F">
            <w:pPr>
              <w:pStyle w:val="TableBodyText"/>
            </w:pPr>
            <w:r>
              <w:t>"[ISO/IEC-29500-1] §22.1.2.103"</w:t>
            </w:r>
          </w:p>
        </w:tc>
      </w:tr>
      <w:tr w:rsidR="00024C0A" w:rsidTr="00024C0A">
        <w:tc>
          <w:tcPr>
            <w:tcW w:w="0" w:type="auto"/>
            <w:vAlign w:val="center"/>
          </w:tcPr>
          <w:p w:rsidR="00024C0A" w:rsidRDefault="00694C0F">
            <w:pPr>
              <w:pStyle w:val="TableBodyText"/>
            </w:pPr>
            <w:r>
              <w:rPr>
                <w:b/>
              </w:rPr>
              <w:t>sSup</w:t>
            </w:r>
            <w:r>
              <w:t xml:space="preserve"> (Superscript Object)</w:t>
            </w:r>
          </w:p>
        </w:tc>
        <w:tc>
          <w:tcPr>
            <w:tcW w:w="0" w:type="auto"/>
            <w:vAlign w:val="center"/>
          </w:tcPr>
          <w:p w:rsidR="00024C0A" w:rsidRDefault="00694C0F">
            <w:pPr>
              <w:pStyle w:val="TableBodyText"/>
            </w:pPr>
            <w:r>
              <w:t>"[ISO/IEC-29500-1] §22.1.2.105"</w:t>
            </w:r>
          </w:p>
        </w:tc>
      </w:tr>
    </w:tbl>
    <w:p w:rsidR="00024C0A" w:rsidRDefault="00024C0A"/>
    <w:p w:rsidR="00024C0A" w:rsidRDefault="00694C0F">
      <w:r>
        <w:t xml:space="preserve">The following XML Schema fragment defines </w:t>
      </w:r>
      <w:r>
        <w:t>the contents of this element:</w:t>
      </w:r>
    </w:p>
    <w:p w:rsidR="00024C0A" w:rsidRDefault="00694C0F">
      <w:pPr>
        <w:pStyle w:val="Code"/>
      </w:pPr>
      <w:r>
        <w:t>&lt;complexType name="CT_SdtContentRunRuby"&gt;</w:t>
      </w:r>
    </w:p>
    <w:p w:rsidR="00024C0A" w:rsidRDefault="00694C0F">
      <w:pPr>
        <w:pStyle w:val="Code"/>
      </w:pPr>
      <w:r>
        <w:t xml:space="preserve">  &lt;group ref="EG_RubyContent" minOccurs="0" maxOccurs="unbounded"/&gt;</w:t>
      </w:r>
    </w:p>
    <w:p w:rsidR="00024C0A" w:rsidRDefault="00694C0F">
      <w:pPr>
        <w:pStyle w:val="Code"/>
      </w:pPr>
      <w:r>
        <w:t>&lt;/complexType&gt;</w:t>
      </w:r>
    </w:p>
    <w:p w:rsidR="00024C0A" w:rsidRDefault="00694C0F">
      <w:pPr>
        <w:pStyle w:val="Heading4"/>
      </w:pPr>
      <w:bookmarkStart w:id="3891" w:name="section_0f6b31f54bcc47ba918420810cfc304f"/>
      <w:bookmarkStart w:id="3892" w:name="_Toc12262006"/>
      <w:r>
        <w:t>Additional Fields</w:t>
      </w:r>
      <w:bookmarkEnd w:id="3891"/>
      <w:bookmarkEnd w:id="3892"/>
    </w:p>
    <w:p w:rsidR="00024C0A" w:rsidRDefault="00694C0F">
      <w:pPr>
        <w:pStyle w:val="Heading5"/>
      </w:pPr>
      <w:bookmarkStart w:id="3893" w:name="section_a2c3a25a1dba40dabe7a47cf63c78d55"/>
      <w:bookmarkStart w:id="3894" w:name="_Toc12262007"/>
      <w:r>
        <w:t>DDE</w:t>
      </w:r>
      <w:bookmarkEnd w:id="3893"/>
      <w:bookmarkEnd w:id="3894"/>
      <w:r>
        <w:fldChar w:fldCharType="begin"/>
      </w:r>
      <w:r>
        <w:instrText xml:space="preserve"> XE "DDE" </w:instrText>
      </w:r>
      <w:r>
        <w:fldChar w:fldCharType="end"/>
      </w:r>
    </w:p>
    <w:p w:rsidR="00024C0A" w:rsidRDefault="00694C0F">
      <w:r>
        <w:rPr>
          <w:b/>
        </w:rPr>
        <w:t>Syntax</w:t>
      </w:r>
      <w:r>
        <w:t>:</w:t>
      </w:r>
    </w:p>
    <w:p w:rsidR="00024C0A" w:rsidRDefault="00694C0F">
      <w:r>
        <w:lastRenderedPageBreak/>
        <w:t xml:space="preserve">DDE field-argument-1  field-argument-2  [ field-argument-3 </w:t>
      </w:r>
      <w:r>
        <w:t>]  [ switches ]</w:t>
      </w:r>
    </w:p>
    <w:p w:rsidR="00024C0A" w:rsidRDefault="00694C0F">
      <w:r>
        <w:t>field-argument-1:</w:t>
      </w:r>
    </w:p>
    <w:p w:rsidR="00024C0A" w:rsidRDefault="00694C0F">
      <w:r>
        <w:t>field-argument</w:t>
      </w:r>
    </w:p>
    <w:p w:rsidR="00024C0A" w:rsidRDefault="00694C0F">
      <w:r>
        <w:t>field-argument-2:</w:t>
      </w:r>
    </w:p>
    <w:p w:rsidR="00024C0A" w:rsidRDefault="00694C0F">
      <w:r>
        <w:t>field-argument</w:t>
      </w:r>
    </w:p>
    <w:p w:rsidR="00024C0A" w:rsidRDefault="00694C0F">
      <w:r>
        <w:t>field-argument-3:</w:t>
      </w:r>
    </w:p>
    <w:p w:rsidR="00024C0A" w:rsidRDefault="00694C0F">
      <w:r>
        <w:t>field-argument</w:t>
      </w:r>
    </w:p>
    <w:p w:rsidR="00024C0A" w:rsidRDefault="00694C0F">
      <w:r>
        <w:rPr>
          <w:b/>
        </w:rPr>
        <w:t>Description:</w:t>
      </w:r>
      <w:r>
        <w:t xml:space="preserve"> For information copied from another application, this field links that information to its original source file using DDE. The ap</w:t>
      </w:r>
      <w:r>
        <w:t>plication name shall be specified by field-argument-1; this application shall be running. The name and location of the source file is specified by field-argument-2. The portion of the source file that is being linked is specified by field-argument-3. [Note</w:t>
      </w:r>
      <w:r>
        <w:t xml:space="preserve">: This field is supported for legacy reasons, and it is recommended that </w:t>
      </w:r>
      <w:r>
        <w:rPr>
          <w:rStyle w:val="InlineCode"/>
        </w:rPr>
        <w:t>LINK</w:t>
      </w:r>
      <w:r>
        <w:t xml:space="preserve"> ("</w:t>
      </w:r>
      <w:hyperlink r:id="rId291">
        <w:r>
          <w:rPr>
            <w:rStyle w:val="Hyperlink"/>
          </w:rPr>
          <w:t>[ISO/IEC-29500-1]</w:t>
        </w:r>
      </w:hyperlink>
      <w:r>
        <w:t xml:space="preserve"> §17.16.5.32; LINK") be used instead. end note]</w:t>
      </w:r>
    </w:p>
    <w:p w:rsidR="00024C0A" w:rsidRDefault="00694C0F">
      <w:r>
        <w:t>[Example: If the source file is a Spreadsheet</w:t>
      </w:r>
      <w:r>
        <w:t>ML document, the reference might be to a cell reference or a named range. For a WordprocessingML document, it might be a bookmark. end example]</w:t>
      </w:r>
    </w:p>
    <w:p w:rsidR="00024C0A" w:rsidRDefault="00694C0F">
      <w:r>
        <w:rPr>
          <w:b/>
        </w:rPr>
        <w:t>Field Value</w:t>
      </w:r>
      <w:r>
        <w:t>: The DDE object representation of the linked file, or the contents of the file itself depending on t</w:t>
      </w:r>
      <w:r>
        <w:t>he switches used.</w:t>
      </w:r>
    </w:p>
    <w:p w:rsidR="00024C0A" w:rsidRDefault="00694C0F">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024C0A" w:rsidRDefault="00694C0F">
            <w:pPr>
              <w:pStyle w:val="TableHeaderText"/>
            </w:pPr>
            <w:r>
              <w:t>Field specific switches</w:t>
            </w:r>
          </w:p>
        </w:tc>
      </w:tr>
      <w:tr w:rsidR="00024C0A" w:rsidTr="00024C0A">
        <w:tc>
          <w:tcPr>
            <w:tcW w:w="0" w:type="auto"/>
            <w:vAlign w:val="center"/>
          </w:tcPr>
          <w:p w:rsidR="00024C0A" w:rsidRDefault="00694C0F">
            <w:pPr>
              <w:pStyle w:val="TableBodyText"/>
            </w:pPr>
            <w:r>
              <w:rPr>
                <w:rStyle w:val="InlineCode"/>
              </w:rPr>
              <w:t>\a</w:t>
            </w:r>
          </w:p>
        </w:tc>
        <w:tc>
          <w:tcPr>
            <w:tcW w:w="0" w:type="auto"/>
            <w:vAlign w:val="center"/>
          </w:tcPr>
          <w:p w:rsidR="00024C0A" w:rsidRDefault="00694C0F">
            <w:pPr>
              <w:pStyle w:val="TableBodyText"/>
            </w:pPr>
            <w:r>
              <w:t>Causes this field to be updated automatically.</w:t>
            </w:r>
          </w:p>
          <w:p w:rsidR="00024C0A" w:rsidRDefault="00694C0F">
            <w:pPr>
              <w:pStyle w:val="TableBodyText"/>
            </w:pPr>
            <w:r>
              <w:t>Word does not support this switch.</w:t>
            </w:r>
          </w:p>
        </w:tc>
      </w:tr>
      <w:tr w:rsidR="00024C0A" w:rsidTr="00024C0A">
        <w:tc>
          <w:tcPr>
            <w:tcW w:w="0" w:type="auto"/>
            <w:vAlign w:val="center"/>
          </w:tcPr>
          <w:p w:rsidR="00024C0A" w:rsidRDefault="00694C0F">
            <w:pPr>
              <w:pStyle w:val="TableBodyText"/>
            </w:pPr>
            <w:r>
              <w:rPr>
                <w:rStyle w:val="InlineCode"/>
              </w:rPr>
              <w:t>\b</w:t>
            </w:r>
          </w:p>
        </w:tc>
        <w:tc>
          <w:tcPr>
            <w:tcW w:w="0" w:type="auto"/>
            <w:vAlign w:val="center"/>
          </w:tcPr>
          <w:p w:rsidR="00024C0A" w:rsidRDefault="00694C0F">
            <w:pPr>
              <w:pStyle w:val="TableBodyText"/>
            </w:pPr>
            <w:r>
              <w:t xml:space="preserve">Requests the linked object as a bitmap. This switch shall not be used in conjunction with any field-specific switches other than </w:t>
            </w:r>
            <w:r>
              <w:rPr>
                <w:rStyle w:val="InlineCode"/>
              </w:rPr>
              <w:t>\a</w:t>
            </w:r>
            <w:r>
              <w:t>.</w:t>
            </w:r>
          </w:p>
        </w:tc>
      </w:tr>
      <w:tr w:rsidR="00024C0A" w:rsidTr="00024C0A">
        <w:tc>
          <w:tcPr>
            <w:tcW w:w="0" w:type="auto"/>
            <w:vAlign w:val="center"/>
          </w:tcPr>
          <w:p w:rsidR="00024C0A" w:rsidRDefault="00694C0F">
            <w:pPr>
              <w:pStyle w:val="TableBodyText"/>
            </w:pPr>
            <w:r>
              <w:rPr>
                <w:rStyle w:val="InlineCode"/>
              </w:rPr>
              <w:t>\d</w:t>
            </w:r>
          </w:p>
        </w:tc>
        <w:tc>
          <w:tcPr>
            <w:tcW w:w="0" w:type="auto"/>
            <w:vAlign w:val="center"/>
          </w:tcPr>
          <w:p w:rsidR="00024C0A" w:rsidRDefault="00694C0F">
            <w:pPr>
              <w:pStyle w:val="TableBodyText"/>
            </w:pPr>
            <w:r>
              <w:t>Specifies that the graphic data shall not be stored with the document, thus reducing the file size. This switch shall n</w:t>
            </w:r>
            <w:r>
              <w:t xml:space="preserve">ot be used in conjunction with any field-specific switches other than </w:t>
            </w:r>
            <w:r>
              <w:rPr>
                <w:rStyle w:val="InlineCode"/>
              </w:rPr>
              <w:t>\a</w:t>
            </w:r>
            <w:r>
              <w:t>.</w:t>
            </w:r>
          </w:p>
          <w:p w:rsidR="00024C0A" w:rsidRDefault="00694C0F">
            <w:pPr>
              <w:pStyle w:val="TableBodyText"/>
            </w:pPr>
            <w:r>
              <w:t>Word does not support this switch.</w:t>
            </w:r>
          </w:p>
        </w:tc>
      </w:tr>
      <w:tr w:rsidR="00024C0A" w:rsidTr="00024C0A">
        <w:tc>
          <w:tcPr>
            <w:tcW w:w="0" w:type="auto"/>
            <w:vAlign w:val="center"/>
          </w:tcPr>
          <w:p w:rsidR="00024C0A" w:rsidRDefault="00694C0F">
            <w:pPr>
              <w:pStyle w:val="TableBodyText"/>
            </w:pPr>
            <w:r>
              <w:rPr>
                <w:rStyle w:val="InlineCode"/>
              </w:rPr>
              <w:t>\h</w:t>
            </w:r>
          </w:p>
        </w:tc>
        <w:tc>
          <w:tcPr>
            <w:tcW w:w="0" w:type="auto"/>
            <w:vAlign w:val="center"/>
          </w:tcPr>
          <w:p w:rsidR="00024C0A" w:rsidRDefault="00694C0F">
            <w:pPr>
              <w:pStyle w:val="TableBodyText"/>
            </w:pPr>
            <w:r>
              <w:t xml:space="preserve">Requests the linked object as HTML-formatted text. This switch shall not be used in conjunction with any field-specific switches other than </w:t>
            </w:r>
            <w:r>
              <w:rPr>
                <w:rStyle w:val="InlineCode"/>
              </w:rPr>
              <w:t>\a</w:t>
            </w:r>
            <w:r>
              <w:t>.</w:t>
            </w:r>
          </w:p>
        </w:tc>
      </w:tr>
      <w:tr w:rsidR="00024C0A" w:rsidTr="00024C0A">
        <w:tc>
          <w:tcPr>
            <w:tcW w:w="0" w:type="auto"/>
            <w:vAlign w:val="center"/>
          </w:tcPr>
          <w:p w:rsidR="00024C0A" w:rsidRDefault="00694C0F">
            <w:pPr>
              <w:pStyle w:val="TableBodyText"/>
            </w:pPr>
            <w:r>
              <w:rPr>
                <w:rStyle w:val="InlineCode"/>
              </w:rPr>
              <w:t>\p</w:t>
            </w:r>
          </w:p>
        </w:tc>
        <w:tc>
          <w:tcPr>
            <w:tcW w:w="0" w:type="auto"/>
            <w:vAlign w:val="center"/>
          </w:tcPr>
          <w:p w:rsidR="00024C0A" w:rsidRDefault="00694C0F">
            <w:pPr>
              <w:pStyle w:val="TableBodyText"/>
            </w:pPr>
            <w:r>
              <w:t xml:space="preserve">Requests the linked object as a picture. This switch shall not be used in conjunction with any field-specific switches other than </w:t>
            </w:r>
            <w:r>
              <w:rPr>
                <w:rStyle w:val="InlineCode"/>
              </w:rPr>
              <w:t>\a</w:t>
            </w:r>
            <w:r>
              <w:t>.</w:t>
            </w:r>
          </w:p>
        </w:tc>
      </w:tr>
      <w:tr w:rsidR="00024C0A" w:rsidTr="00024C0A">
        <w:tc>
          <w:tcPr>
            <w:tcW w:w="0" w:type="auto"/>
            <w:vAlign w:val="center"/>
          </w:tcPr>
          <w:p w:rsidR="00024C0A" w:rsidRDefault="00694C0F">
            <w:pPr>
              <w:pStyle w:val="TableBodyText"/>
            </w:pPr>
            <w:r>
              <w:rPr>
                <w:rStyle w:val="InlineCode"/>
              </w:rPr>
              <w:t>\r</w:t>
            </w:r>
          </w:p>
        </w:tc>
        <w:tc>
          <w:tcPr>
            <w:tcW w:w="0" w:type="auto"/>
            <w:vAlign w:val="center"/>
          </w:tcPr>
          <w:p w:rsidR="00024C0A" w:rsidRDefault="00694C0F">
            <w:pPr>
              <w:pStyle w:val="TableBodyText"/>
            </w:pPr>
            <w:r>
              <w:t>Requests the linked object in rich-text format (RTF). This switch shall not be used in conjunction with any field</w:t>
            </w:r>
            <w:r>
              <w:t xml:space="preserve">-specific switches other than </w:t>
            </w:r>
            <w:r>
              <w:rPr>
                <w:rStyle w:val="InlineCode"/>
              </w:rPr>
              <w:t>\a</w:t>
            </w:r>
            <w:r>
              <w:t>.</w:t>
            </w:r>
          </w:p>
        </w:tc>
      </w:tr>
      <w:tr w:rsidR="00024C0A" w:rsidTr="00024C0A">
        <w:tc>
          <w:tcPr>
            <w:tcW w:w="0" w:type="auto"/>
            <w:vAlign w:val="center"/>
          </w:tcPr>
          <w:p w:rsidR="00024C0A" w:rsidRDefault="00694C0F">
            <w:pPr>
              <w:pStyle w:val="TableBodyText"/>
            </w:pPr>
            <w:r>
              <w:rPr>
                <w:rStyle w:val="InlineCode"/>
              </w:rPr>
              <w:t>\t</w:t>
            </w:r>
          </w:p>
        </w:tc>
        <w:tc>
          <w:tcPr>
            <w:tcW w:w="0" w:type="auto"/>
            <w:vAlign w:val="center"/>
          </w:tcPr>
          <w:p w:rsidR="00024C0A" w:rsidRDefault="00694C0F">
            <w:pPr>
              <w:pStyle w:val="TableBodyText"/>
            </w:pPr>
            <w:r>
              <w:t xml:space="preserve">Requests the linked object in text-only format. This switch shall not be used in conjunction with any field-specific switches other than </w:t>
            </w:r>
            <w:r>
              <w:rPr>
                <w:rStyle w:val="InlineCode"/>
              </w:rPr>
              <w:t>\a</w:t>
            </w:r>
            <w:r>
              <w:t>.</w:t>
            </w:r>
          </w:p>
        </w:tc>
      </w:tr>
      <w:tr w:rsidR="00024C0A" w:rsidTr="00024C0A">
        <w:tc>
          <w:tcPr>
            <w:tcW w:w="0" w:type="auto"/>
            <w:vAlign w:val="center"/>
          </w:tcPr>
          <w:p w:rsidR="00024C0A" w:rsidRDefault="00694C0F">
            <w:pPr>
              <w:pStyle w:val="TableBodyText"/>
            </w:pPr>
            <w:r>
              <w:rPr>
                <w:rStyle w:val="InlineCode"/>
              </w:rPr>
              <w:t>\u</w:t>
            </w:r>
          </w:p>
        </w:tc>
        <w:tc>
          <w:tcPr>
            <w:tcW w:w="0" w:type="auto"/>
            <w:vAlign w:val="center"/>
          </w:tcPr>
          <w:p w:rsidR="00024C0A" w:rsidRDefault="00694C0F">
            <w:pPr>
              <w:pStyle w:val="TableBodyText"/>
            </w:pPr>
            <w:r>
              <w:t>Requests the linked object as Unicode text. This switch shall not be used</w:t>
            </w:r>
            <w:r>
              <w:t xml:space="preserve"> in conjunction with any field-specific switches other than </w:t>
            </w:r>
            <w:r>
              <w:rPr>
                <w:rStyle w:val="InlineCode"/>
              </w:rPr>
              <w:t>\a</w:t>
            </w:r>
            <w:r>
              <w:t>.</w:t>
            </w:r>
          </w:p>
          <w:p w:rsidR="00024C0A" w:rsidRDefault="00694C0F">
            <w:pPr>
              <w:pStyle w:val="TableBodyText"/>
            </w:pPr>
            <w:r>
              <w:t>Word does not support this switch.</w:t>
            </w:r>
          </w:p>
        </w:tc>
      </w:tr>
    </w:tbl>
    <w:p w:rsidR="00024C0A" w:rsidRDefault="00024C0A"/>
    <w:p w:rsidR="00024C0A" w:rsidRDefault="00694C0F">
      <w:r>
        <w:t>[Example: The following example inserts a range of cells from a SpreadsheetML worksheet.</w:t>
      </w:r>
    </w:p>
    <w:p w:rsidR="00024C0A" w:rsidRDefault="00694C0F">
      <w:pPr>
        <w:pStyle w:val="Code"/>
      </w:pPr>
      <w:r>
        <w:lastRenderedPageBreak/>
        <w:t>{ DDE excel "C:\\My Documents\\Profits.xls"</w:t>
      </w:r>
    </w:p>
    <w:p w:rsidR="00024C0A" w:rsidRDefault="00694C0F">
      <w:pPr>
        <w:pStyle w:val="Code"/>
      </w:pPr>
      <w:r>
        <w:t xml:space="preserve">   "Sheet1!R1C1:R4C4" \a \p } </w:t>
      </w:r>
    </w:p>
    <w:p w:rsidR="00024C0A" w:rsidRDefault="00694C0F">
      <w:r>
        <w:t>end example]</w:t>
      </w:r>
    </w:p>
    <w:p w:rsidR="00024C0A" w:rsidRDefault="00694C0F">
      <w:pPr>
        <w:pStyle w:val="Heading5"/>
      </w:pPr>
      <w:bookmarkStart w:id="3895" w:name="section_4fe6d033f0d44d73ac81a7128522c5ff"/>
      <w:bookmarkStart w:id="3896" w:name="_Toc12262008"/>
      <w:r>
        <w:t>DDEAUTO</w:t>
      </w:r>
      <w:bookmarkEnd w:id="3895"/>
      <w:bookmarkEnd w:id="3896"/>
      <w:r>
        <w:fldChar w:fldCharType="begin"/>
      </w:r>
      <w:r>
        <w:instrText xml:space="preserve"> XE "DDEAUTO" </w:instrText>
      </w:r>
      <w:r>
        <w:fldChar w:fldCharType="end"/>
      </w:r>
    </w:p>
    <w:p w:rsidR="00024C0A" w:rsidRDefault="00694C0F">
      <w:r>
        <w:rPr>
          <w:b/>
        </w:rPr>
        <w:t>Syntax</w:t>
      </w:r>
      <w:r>
        <w:t>:</w:t>
      </w:r>
    </w:p>
    <w:p w:rsidR="00024C0A" w:rsidRDefault="00694C0F">
      <w:r>
        <w:t>DDEAUTO field-argument-1  field-argument-2  [ field-argument-3 ]  [ switches ]</w:t>
      </w:r>
    </w:p>
    <w:p w:rsidR="00024C0A" w:rsidRDefault="00694C0F">
      <w:r>
        <w:t>field-argument-1:</w:t>
      </w:r>
    </w:p>
    <w:p w:rsidR="00024C0A" w:rsidRDefault="00694C0F">
      <w:r>
        <w:t>field-argument</w:t>
      </w:r>
    </w:p>
    <w:p w:rsidR="00024C0A" w:rsidRDefault="00694C0F">
      <w:r>
        <w:t>field-argument-2:</w:t>
      </w:r>
    </w:p>
    <w:p w:rsidR="00024C0A" w:rsidRDefault="00694C0F">
      <w:r>
        <w:t>field-argument</w:t>
      </w:r>
    </w:p>
    <w:p w:rsidR="00024C0A" w:rsidRDefault="00694C0F">
      <w:r>
        <w:t>field-argument-3:</w:t>
      </w:r>
    </w:p>
    <w:p w:rsidR="00024C0A" w:rsidRDefault="00694C0F">
      <w:r>
        <w:t>field-argument</w:t>
      </w:r>
    </w:p>
    <w:p w:rsidR="00024C0A" w:rsidRDefault="00694C0F">
      <w:r>
        <w:rPr>
          <w:b/>
        </w:rPr>
        <w:t>De</w:t>
      </w:r>
      <w:r>
        <w:rPr>
          <w:b/>
        </w:rPr>
        <w:t>scription:</w:t>
      </w:r>
      <w:r>
        <w:t xml:space="preserve"> For information copied from another application, this field links that information to its original source file using DDE and is updated automatically. The application name shall be specified in field-argument-1; this application must be running.</w:t>
      </w:r>
      <w:r>
        <w:t xml:space="preserve"> The name and location of the source file is specified by field-argument-2. The portion of the source file that is being linked is specified by field-argument-3. [Note: This field is supported for legacy reasons, and it is recommended that </w:t>
      </w:r>
      <w:r>
        <w:rPr>
          <w:rStyle w:val="InlineCode"/>
        </w:rPr>
        <w:t>LINK</w:t>
      </w:r>
      <w:r>
        <w:t xml:space="preserve"> ("</w:t>
      </w:r>
      <w:hyperlink r:id="rId292">
        <w:r>
          <w:rPr>
            <w:rStyle w:val="Hyperlink"/>
          </w:rPr>
          <w:t>[ISO/IEC-29500-1]</w:t>
        </w:r>
      </w:hyperlink>
      <w:r>
        <w:t xml:space="preserve"> §17.16.5.32; LINK") be used instead. end note] [Example: If the source file is a SpreadsheetML document, the reference might be to a cell reference or a named range. For a Wordproce</w:t>
      </w:r>
      <w:r>
        <w:t>ssingML document, it might be a bookmark. end example]</w:t>
      </w:r>
    </w:p>
    <w:p w:rsidR="00024C0A" w:rsidRDefault="00694C0F">
      <w:r>
        <w:rPr>
          <w:b/>
        </w:rPr>
        <w:t>Field Value</w:t>
      </w:r>
      <w:r>
        <w:t>: The DDE object representation of the linked file or the contents of the file itself, depending on the switches used.</w:t>
      </w:r>
    </w:p>
    <w:p w:rsidR="00024C0A" w:rsidRDefault="00694C0F">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024C0A" w:rsidRDefault="00694C0F">
            <w:pPr>
              <w:pStyle w:val="TableHeaderText"/>
            </w:pPr>
            <w:r>
              <w:t xml:space="preserve">Field </w:t>
            </w:r>
            <w:r>
              <w:t>specific switches</w:t>
            </w:r>
          </w:p>
        </w:tc>
      </w:tr>
      <w:tr w:rsidR="00024C0A" w:rsidTr="00024C0A">
        <w:tc>
          <w:tcPr>
            <w:tcW w:w="0" w:type="auto"/>
            <w:vAlign w:val="center"/>
          </w:tcPr>
          <w:p w:rsidR="00024C0A" w:rsidRDefault="00694C0F">
            <w:pPr>
              <w:pStyle w:val="TableBodyText"/>
            </w:pPr>
            <w:r>
              <w:rPr>
                <w:rStyle w:val="InlineCode"/>
              </w:rPr>
              <w:t>\b</w:t>
            </w:r>
          </w:p>
        </w:tc>
        <w:tc>
          <w:tcPr>
            <w:tcW w:w="0" w:type="auto"/>
            <w:vAlign w:val="center"/>
          </w:tcPr>
          <w:p w:rsidR="00024C0A" w:rsidRDefault="00694C0F">
            <w:pPr>
              <w:pStyle w:val="TableBodyText"/>
            </w:pPr>
            <w:r>
              <w:t>Requests the linked object as a bitmap. This switch shall not be used in conjunction with any field-specific switches.</w:t>
            </w:r>
          </w:p>
        </w:tc>
      </w:tr>
      <w:tr w:rsidR="00024C0A" w:rsidTr="00024C0A">
        <w:tc>
          <w:tcPr>
            <w:tcW w:w="0" w:type="auto"/>
            <w:vAlign w:val="center"/>
          </w:tcPr>
          <w:p w:rsidR="00024C0A" w:rsidRDefault="00694C0F">
            <w:pPr>
              <w:pStyle w:val="TableBodyText"/>
            </w:pPr>
            <w:r>
              <w:rPr>
                <w:rStyle w:val="InlineCode"/>
              </w:rPr>
              <w:t>\d</w:t>
            </w:r>
          </w:p>
        </w:tc>
        <w:tc>
          <w:tcPr>
            <w:tcW w:w="0" w:type="auto"/>
            <w:vAlign w:val="center"/>
          </w:tcPr>
          <w:p w:rsidR="00024C0A" w:rsidRDefault="00694C0F">
            <w:pPr>
              <w:pStyle w:val="TableBodyText"/>
            </w:pPr>
            <w:r>
              <w:t>Specifies that the graphic data shall not be stored with the document, thus reducing the file size. This switch</w:t>
            </w:r>
            <w:r>
              <w:t xml:space="preserve"> shall not be used in conjunction with any field-specific switches.</w:t>
            </w:r>
          </w:p>
          <w:p w:rsidR="00024C0A" w:rsidRDefault="00694C0F">
            <w:pPr>
              <w:pStyle w:val="TableBodyText"/>
            </w:pPr>
            <w:r>
              <w:t>Word does not support this switch.</w:t>
            </w:r>
          </w:p>
        </w:tc>
      </w:tr>
      <w:tr w:rsidR="00024C0A" w:rsidTr="00024C0A">
        <w:tc>
          <w:tcPr>
            <w:tcW w:w="0" w:type="auto"/>
            <w:vAlign w:val="center"/>
          </w:tcPr>
          <w:p w:rsidR="00024C0A" w:rsidRDefault="00694C0F">
            <w:pPr>
              <w:pStyle w:val="TableBodyText"/>
            </w:pPr>
            <w:r>
              <w:rPr>
                <w:rStyle w:val="InlineCode"/>
              </w:rPr>
              <w:t>\h</w:t>
            </w:r>
          </w:p>
        </w:tc>
        <w:tc>
          <w:tcPr>
            <w:tcW w:w="0" w:type="auto"/>
            <w:vAlign w:val="center"/>
          </w:tcPr>
          <w:p w:rsidR="00024C0A" w:rsidRDefault="00694C0F">
            <w:pPr>
              <w:pStyle w:val="TableBodyText"/>
            </w:pPr>
            <w:r>
              <w:t>Requests the linked object as HTML-formatted text. This switch shall not be used in conjunction with any field-specific switches.</w:t>
            </w:r>
          </w:p>
        </w:tc>
      </w:tr>
      <w:tr w:rsidR="00024C0A" w:rsidTr="00024C0A">
        <w:tc>
          <w:tcPr>
            <w:tcW w:w="0" w:type="auto"/>
            <w:vAlign w:val="center"/>
          </w:tcPr>
          <w:p w:rsidR="00024C0A" w:rsidRDefault="00694C0F">
            <w:pPr>
              <w:pStyle w:val="TableBodyText"/>
            </w:pPr>
            <w:r>
              <w:rPr>
                <w:rStyle w:val="InlineCode"/>
              </w:rPr>
              <w:t>\p</w:t>
            </w:r>
          </w:p>
        </w:tc>
        <w:tc>
          <w:tcPr>
            <w:tcW w:w="0" w:type="auto"/>
            <w:vAlign w:val="center"/>
          </w:tcPr>
          <w:p w:rsidR="00024C0A" w:rsidRDefault="00694C0F">
            <w:pPr>
              <w:pStyle w:val="TableBodyText"/>
            </w:pPr>
            <w:r>
              <w:t>Requests the li</w:t>
            </w:r>
            <w:r>
              <w:t>nked object as a picture. This switch shall not be used in conjunction with any field-specific switches.</w:t>
            </w:r>
          </w:p>
        </w:tc>
      </w:tr>
      <w:tr w:rsidR="00024C0A" w:rsidTr="00024C0A">
        <w:tc>
          <w:tcPr>
            <w:tcW w:w="0" w:type="auto"/>
            <w:vAlign w:val="center"/>
          </w:tcPr>
          <w:p w:rsidR="00024C0A" w:rsidRDefault="00694C0F">
            <w:pPr>
              <w:pStyle w:val="TableBodyText"/>
            </w:pPr>
            <w:r>
              <w:rPr>
                <w:rStyle w:val="InlineCode"/>
              </w:rPr>
              <w:t>\r</w:t>
            </w:r>
          </w:p>
        </w:tc>
        <w:tc>
          <w:tcPr>
            <w:tcW w:w="0" w:type="auto"/>
            <w:vAlign w:val="center"/>
          </w:tcPr>
          <w:p w:rsidR="00024C0A" w:rsidRDefault="00694C0F">
            <w:pPr>
              <w:pStyle w:val="TableBodyText"/>
            </w:pPr>
            <w:r>
              <w:t>Requests the linked object in rich-text format (RTF). This switch shall not be used in conjunction with any field-specific switches.</w:t>
            </w:r>
          </w:p>
        </w:tc>
      </w:tr>
      <w:tr w:rsidR="00024C0A" w:rsidTr="00024C0A">
        <w:tc>
          <w:tcPr>
            <w:tcW w:w="0" w:type="auto"/>
            <w:vAlign w:val="center"/>
          </w:tcPr>
          <w:p w:rsidR="00024C0A" w:rsidRDefault="00694C0F">
            <w:pPr>
              <w:pStyle w:val="TableBodyText"/>
            </w:pPr>
            <w:r>
              <w:rPr>
                <w:rStyle w:val="InlineCode"/>
              </w:rPr>
              <w:t>\t</w:t>
            </w:r>
          </w:p>
        </w:tc>
        <w:tc>
          <w:tcPr>
            <w:tcW w:w="0" w:type="auto"/>
            <w:vAlign w:val="center"/>
          </w:tcPr>
          <w:p w:rsidR="00024C0A" w:rsidRDefault="00694C0F">
            <w:pPr>
              <w:pStyle w:val="TableBodyText"/>
            </w:pPr>
            <w:r>
              <w:t>Requests t</w:t>
            </w:r>
            <w:r>
              <w:t>he linked object in text-only format. This switch shall not be used in conjunction with any field-specific switches.</w:t>
            </w:r>
          </w:p>
        </w:tc>
      </w:tr>
      <w:tr w:rsidR="00024C0A" w:rsidTr="00024C0A">
        <w:tc>
          <w:tcPr>
            <w:tcW w:w="0" w:type="auto"/>
            <w:vAlign w:val="center"/>
          </w:tcPr>
          <w:p w:rsidR="00024C0A" w:rsidRDefault="00694C0F">
            <w:pPr>
              <w:pStyle w:val="TableBodyText"/>
            </w:pPr>
            <w:r>
              <w:rPr>
                <w:rStyle w:val="InlineCode"/>
              </w:rPr>
              <w:t>\u</w:t>
            </w:r>
          </w:p>
        </w:tc>
        <w:tc>
          <w:tcPr>
            <w:tcW w:w="0" w:type="auto"/>
            <w:vAlign w:val="center"/>
          </w:tcPr>
          <w:p w:rsidR="00024C0A" w:rsidRDefault="00694C0F">
            <w:pPr>
              <w:pStyle w:val="TableBodyText"/>
            </w:pPr>
            <w:r>
              <w:t>Requests the linked object as Unicode text. This switch shall not be used in conjunction with any field-specific switches.</w:t>
            </w:r>
          </w:p>
          <w:p w:rsidR="00024C0A" w:rsidRDefault="00694C0F">
            <w:pPr>
              <w:pStyle w:val="TableBodyText"/>
            </w:pPr>
            <w:r>
              <w:lastRenderedPageBreak/>
              <w:t>Word does no</w:t>
            </w:r>
            <w:r>
              <w:t>t support this switch.</w:t>
            </w:r>
          </w:p>
        </w:tc>
      </w:tr>
    </w:tbl>
    <w:p w:rsidR="00024C0A" w:rsidRDefault="00024C0A"/>
    <w:p w:rsidR="00024C0A" w:rsidRDefault="00694C0F">
      <w:r>
        <w:t xml:space="preserve">[Example: The following example inserts a range of cells from a SpreadsheetML worksheet. </w:t>
      </w:r>
    </w:p>
    <w:p w:rsidR="00024C0A" w:rsidRDefault="00694C0F">
      <w:pPr>
        <w:pStyle w:val="Code"/>
      </w:pPr>
      <w:r>
        <w:t>{ DDEAUTO excel "C:\\My Documents\\Profits.xls"</w:t>
      </w:r>
    </w:p>
    <w:p w:rsidR="00024C0A" w:rsidRDefault="00694C0F">
      <w:pPr>
        <w:pStyle w:val="Code"/>
      </w:pPr>
      <w:r>
        <w:t xml:space="preserve">   "Sheet1!R1C1:R4C4" \p } </w:t>
      </w:r>
    </w:p>
    <w:p w:rsidR="00024C0A" w:rsidRDefault="00694C0F">
      <w:r>
        <w:t>end example]</w:t>
      </w:r>
    </w:p>
    <w:p w:rsidR="00024C0A" w:rsidRDefault="00694C0F">
      <w:pPr>
        <w:pStyle w:val="Heading5"/>
      </w:pPr>
      <w:bookmarkStart w:id="3897" w:name="section_911a353b274e487b86d29c8271f7a2b5"/>
      <w:bookmarkStart w:id="3898" w:name="_Toc12262009"/>
      <w:r>
        <w:t>GLOSSARY</w:t>
      </w:r>
      <w:bookmarkEnd w:id="3897"/>
      <w:bookmarkEnd w:id="3898"/>
      <w:r>
        <w:fldChar w:fldCharType="begin"/>
      </w:r>
      <w:r>
        <w:instrText xml:space="preserve"> XE "GLOSSARY" </w:instrText>
      </w:r>
      <w:r>
        <w:fldChar w:fldCharType="end"/>
      </w:r>
    </w:p>
    <w:p w:rsidR="00024C0A" w:rsidRDefault="00694C0F">
      <w:r>
        <w:rPr>
          <w:b/>
        </w:rPr>
        <w:t>Syntax</w:t>
      </w:r>
      <w:r>
        <w:t>:</w:t>
      </w:r>
    </w:p>
    <w:p w:rsidR="00024C0A" w:rsidRDefault="00694C0F">
      <w:r>
        <w:t xml:space="preserve">GLOSSARY </w:t>
      </w:r>
      <w:r>
        <w:t>field-argument</w:t>
      </w:r>
    </w:p>
    <w:p w:rsidR="00024C0A" w:rsidRDefault="00694C0F">
      <w:r>
        <w:rPr>
          <w:b/>
        </w:rPr>
        <w:t>Description:</w:t>
      </w:r>
      <w:r>
        <w:t xml:space="preserve"> Inserts the glossary entry whose name is specified by text in field-argument. </w:t>
      </w:r>
    </w:p>
    <w:p w:rsidR="00024C0A" w:rsidRDefault="00694C0F">
      <w:r>
        <w:t>Regarding XML generation, the field result is the value of the glossary. [Note: This can be arbitrarily complex and involve VML. end note]</w:t>
      </w:r>
    </w:p>
    <w:p w:rsidR="00024C0A" w:rsidRDefault="00694C0F">
      <w:r>
        <w:rPr>
          <w:b/>
        </w:rPr>
        <w:t xml:space="preserve">Field </w:t>
      </w:r>
      <w:r>
        <w:rPr>
          <w:b/>
        </w:rPr>
        <w:t>Value</w:t>
      </w:r>
      <w:r>
        <w:t>: The specified glossary entry.</w:t>
      </w:r>
    </w:p>
    <w:p w:rsidR="00024C0A" w:rsidRDefault="00694C0F">
      <w:r>
        <w:rPr>
          <w:b/>
        </w:rPr>
        <w:t>Switches</w:t>
      </w:r>
      <w:r>
        <w:t>: None.</w:t>
      </w:r>
    </w:p>
    <w:p w:rsidR="00024C0A" w:rsidRDefault="00694C0F">
      <w:r>
        <w:t>[Example: Assume the following entries are defined with values of current page number, salutation, and a notice:</w:t>
      </w:r>
    </w:p>
    <w:p w:rsidR="00024C0A" w:rsidRDefault="00694C0F">
      <w:pPr>
        <w:pStyle w:val="Code"/>
      </w:pPr>
      <w:r>
        <w:t>GLOSSARY "- PAGE -"</w:t>
      </w:r>
    </w:p>
    <w:p w:rsidR="00024C0A" w:rsidRDefault="00694C0F">
      <w:pPr>
        <w:pStyle w:val="Code"/>
      </w:pPr>
      <w:r>
        <w:t xml:space="preserve">GLOSSARY "Yours truly," </w:t>
      </w:r>
    </w:p>
    <w:p w:rsidR="00024C0A" w:rsidRDefault="00694C0F">
      <w:pPr>
        <w:pStyle w:val="Code"/>
      </w:pPr>
      <w:r>
        <w:t>GLOSSARY Confidential</w:t>
      </w:r>
    </w:p>
    <w:p w:rsidR="00024C0A" w:rsidRDefault="00694C0F">
      <w:r>
        <w:t>When evaluated, they mi</w:t>
      </w:r>
      <w:r>
        <w:t>ght produce the following results:</w:t>
      </w:r>
    </w:p>
    <w:p w:rsidR="00024C0A" w:rsidRDefault="00694C0F">
      <w:pPr>
        <w:pStyle w:val="Code"/>
      </w:pPr>
      <w:r>
        <w:t xml:space="preserve"> - 13 -</w:t>
      </w:r>
    </w:p>
    <w:p w:rsidR="00024C0A" w:rsidRDefault="00694C0F">
      <w:pPr>
        <w:pStyle w:val="Code"/>
      </w:pPr>
      <w:r>
        <w:t>Yours truly,</w:t>
      </w:r>
    </w:p>
    <w:p w:rsidR="00024C0A" w:rsidRDefault="00694C0F">
      <w:pPr>
        <w:pStyle w:val="Code"/>
      </w:pPr>
      <w:r>
        <w:t>CONFIDENTIAL</w:t>
      </w:r>
    </w:p>
    <w:p w:rsidR="00024C0A" w:rsidRDefault="00694C0F">
      <w:r>
        <w:t>end example]</w:t>
      </w:r>
    </w:p>
    <w:p w:rsidR="00024C0A" w:rsidRDefault="00694C0F">
      <w:pPr>
        <w:pStyle w:val="Heading5"/>
      </w:pPr>
      <w:bookmarkStart w:id="3899" w:name="section_abc02456ec344da29bd1fccd0bee1ee0"/>
      <w:bookmarkStart w:id="3900" w:name="_Toc12262010"/>
      <w:r>
        <w:t>IMPORT</w:t>
      </w:r>
      <w:bookmarkEnd w:id="3899"/>
      <w:bookmarkEnd w:id="3900"/>
      <w:r>
        <w:fldChar w:fldCharType="begin"/>
      </w:r>
      <w:r>
        <w:instrText xml:space="preserve"> XE "IMPORT" </w:instrText>
      </w:r>
      <w:r>
        <w:fldChar w:fldCharType="end"/>
      </w:r>
    </w:p>
    <w:p w:rsidR="00024C0A" w:rsidRDefault="00694C0F">
      <w:r>
        <w:rPr>
          <w:b/>
        </w:rPr>
        <w:t>Syntax</w:t>
      </w:r>
      <w:r>
        <w:t>:</w:t>
      </w:r>
    </w:p>
    <w:p w:rsidR="00024C0A" w:rsidRDefault="00694C0F">
      <w:r>
        <w:t>IMPORT  field-argument  [ switches ]</w:t>
      </w:r>
    </w:p>
    <w:p w:rsidR="00024C0A" w:rsidRDefault="00694C0F">
      <w:r>
        <w:rPr>
          <w:b/>
        </w:rPr>
        <w:t>Description:</w:t>
      </w:r>
      <w:r>
        <w:t xml:space="preserve"> Retrieves the picture contained in the document named by field-argument.</w:t>
      </w:r>
    </w:p>
    <w:p w:rsidR="00024C0A" w:rsidRDefault="00694C0F">
      <w:r>
        <w:rPr>
          <w:b/>
        </w:rPr>
        <w:t>Field Value</w:t>
      </w:r>
      <w:r>
        <w:t>: The spec</w:t>
      </w:r>
      <w:r>
        <w:t>ified picture.</w:t>
      </w:r>
    </w:p>
    <w:p w:rsidR="00024C0A" w:rsidRDefault="00694C0F">
      <w:r>
        <w:rPr>
          <w:b/>
        </w:rPr>
        <w:t>Switches</w:t>
      </w:r>
      <w:r>
        <w:t>: Zero or more of the following field-specific-switches.</w:t>
      </w:r>
    </w:p>
    <w:tbl>
      <w:tblPr>
        <w:tblStyle w:val="Table-ShadedHeader"/>
        <w:tblW w:w="0" w:type="auto"/>
        <w:tblLook w:val="04A0" w:firstRow="1" w:lastRow="0" w:firstColumn="1" w:lastColumn="0" w:noHBand="0" w:noVBand="1"/>
      </w:tblPr>
      <w:tblGrid>
        <w:gridCol w:w="1747"/>
        <w:gridCol w:w="643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024C0A" w:rsidRDefault="00694C0F">
            <w:pPr>
              <w:pStyle w:val="TableHeaderText"/>
            </w:pPr>
            <w:r>
              <w:lastRenderedPageBreak/>
              <w:t>Field specific switches</w:t>
            </w:r>
          </w:p>
        </w:tc>
      </w:tr>
      <w:tr w:rsidR="00024C0A" w:rsidTr="00024C0A">
        <w:tc>
          <w:tcPr>
            <w:tcW w:w="0" w:type="auto"/>
            <w:vAlign w:val="center"/>
          </w:tcPr>
          <w:p w:rsidR="00024C0A" w:rsidRDefault="00694C0F">
            <w:pPr>
              <w:pStyle w:val="TableBodyText"/>
            </w:pPr>
            <w:r>
              <w:rPr>
                <w:rStyle w:val="InlineCode"/>
              </w:rPr>
              <w:t xml:space="preserve">\c </w:t>
            </w:r>
            <w:r>
              <w:t>field-argument</w:t>
            </w:r>
          </w:p>
        </w:tc>
        <w:tc>
          <w:tcPr>
            <w:tcW w:w="0" w:type="auto"/>
            <w:vAlign w:val="center"/>
          </w:tcPr>
          <w:p w:rsidR="00024C0A" w:rsidRDefault="00694C0F">
            <w:pPr>
              <w:pStyle w:val="TableBodyText"/>
            </w:pPr>
            <w:r>
              <w:t>If text in this switch's field-argument identifies the graphics filter to be used.</w:t>
            </w:r>
          </w:p>
        </w:tc>
      </w:tr>
      <w:tr w:rsidR="00024C0A" w:rsidTr="00024C0A">
        <w:tc>
          <w:tcPr>
            <w:tcW w:w="0" w:type="auto"/>
            <w:vAlign w:val="center"/>
          </w:tcPr>
          <w:p w:rsidR="00024C0A" w:rsidRDefault="00694C0F">
            <w:pPr>
              <w:pStyle w:val="TableBodyText"/>
            </w:pPr>
            <w:r>
              <w:rPr>
                <w:rStyle w:val="InlineCode"/>
              </w:rPr>
              <w:t>\d</w:t>
            </w:r>
          </w:p>
        </w:tc>
        <w:tc>
          <w:tcPr>
            <w:tcW w:w="0" w:type="auto"/>
            <w:vAlign w:val="center"/>
          </w:tcPr>
          <w:p w:rsidR="00024C0A" w:rsidRDefault="00694C0F">
            <w:pPr>
              <w:pStyle w:val="TableBodyText"/>
            </w:pPr>
            <w:r>
              <w:t xml:space="preserve">Reduce the file size by not storing graphics </w:t>
            </w:r>
            <w:r>
              <w:t>data with the document.</w:t>
            </w:r>
          </w:p>
        </w:tc>
      </w:tr>
    </w:tbl>
    <w:p w:rsidR="00024C0A" w:rsidRDefault="00024C0A"/>
    <w:p w:rsidR="00024C0A" w:rsidRDefault="00694C0F">
      <w:r>
        <w:t xml:space="preserve">[Example: </w:t>
      </w:r>
    </w:p>
    <w:p w:rsidR="00024C0A" w:rsidRDefault="00694C0F">
      <w:pPr>
        <w:pStyle w:val="Code"/>
      </w:pPr>
      <w:r>
        <w:t>IMPORT "G:\\Photos\\Ellen in Oslo.jpg"</w:t>
      </w:r>
    </w:p>
    <w:p w:rsidR="00024C0A" w:rsidRDefault="00694C0F">
      <w:r>
        <w:t>end example]</w:t>
      </w:r>
    </w:p>
    <w:p w:rsidR="00024C0A" w:rsidRDefault="00694C0F">
      <w:pPr>
        <w:pStyle w:val="Heading5"/>
      </w:pPr>
      <w:bookmarkStart w:id="3901" w:name="section_163bafc130cd4c6bb324326da7b283c7"/>
      <w:bookmarkStart w:id="3902" w:name="_Toc12262011"/>
      <w:r>
        <w:t>INCLUDE</w:t>
      </w:r>
      <w:bookmarkEnd w:id="3901"/>
      <w:bookmarkEnd w:id="3902"/>
      <w:r>
        <w:fldChar w:fldCharType="begin"/>
      </w:r>
      <w:r>
        <w:instrText xml:space="preserve"> XE "INCLUDE" </w:instrText>
      </w:r>
      <w:r>
        <w:fldChar w:fldCharType="end"/>
      </w:r>
    </w:p>
    <w:p w:rsidR="00024C0A" w:rsidRDefault="00694C0F">
      <w:r>
        <w:rPr>
          <w:b/>
        </w:rPr>
        <w:t>Syntax</w:t>
      </w:r>
      <w:r>
        <w:t>:</w:t>
      </w:r>
    </w:p>
    <w:p w:rsidR="00024C0A" w:rsidRDefault="00694C0F">
      <w:r>
        <w:t>INCLUDE  field-argument-1  [ field-argument-2 ]  [ switches ]</w:t>
      </w:r>
    </w:p>
    <w:p w:rsidR="00024C0A" w:rsidRDefault="00694C0F">
      <w:r>
        <w:t>field-argument-1:</w:t>
      </w:r>
    </w:p>
    <w:p w:rsidR="00024C0A" w:rsidRDefault="00694C0F">
      <w:r>
        <w:t>field-argument</w:t>
      </w:r>
    </w:p>
    <w:p w:rsidR="00024C0A" w:rsidRDefault="00694C0F">
      <w:r>
        <w:t>field-argument-2:</w:t>
      </w:r>
    </w:p>
    <w:p w:rsidR="00024C0A" w:rsidRDefault="00694C0F">
      <w:r>
        <w:t>field-argument</w:t>
      </w:r>
    </w:p>
    <w:p w:rsidR="00024C0A" w:rsidRDefault="00694C0F">
      <w:r>
        <w:rPr>
          <w:b/>
        </w:rPr>
        <w:t>Descrip</w:t>
      </w:r>
      <w:r>
        <w:rPr>
          <w:b/>
        </w:rPr>
        <w:t>tion:</w:t>
      </w:r>
      <w:r>
        <w:t xml:space="preserve"> Inserts all or part of the text and graphics contained in the document named by field-argument-1. If the document is a WordprocessingML document, the portion marked by the optional bookmark field-argument-2 is inserted. If no such bookmark is specifi</w:t>
      </w:r>
      <w:r>
        <w:t xml:space="preserve">ed here, the whole document is inserted. </w:t>
      </w:r>
    </w:p>
    <w:p w:rsidR="00024C0A" w:rsidRDefault="00694C0F">
      <w:r>
        <w:rPr>
          <w:b/>
        </w:rPr>
        <w:t>Field Value</w:t>
      </w:r>
      <w:r>
        <w:t>: The specified text and graphics.</w:t>
      </w:r>
    </w:p>
    <w:p w:rsidR="00024C0A" w:rsidRDefault="00694C0F">
      <w:r>
        <w:rPr>
          <w:b/>
        </w:rPr>
        <w:t>Switches</w:t>
      </w:r>
      <w:r>
        <w:t>: Zero or more of the following field-specific-switches.</w:t>
      </w:r>
    </w:p>
    <w:tbl>
      <w:tblPr>
        <w:tblStyle w:val="Table-ShadedHeader"/>
        <w:tblW w:w="0" w:type="auto"/>
        <w:tblLook w:val="04A0" w:firstRow="1" w:lastRow="0" w:firstColumn="1" w:lastColumn="0" w:noHBand="0" w:noVBand="1"/>
      </w:tblPr>
      <w:tblGrid>
        <w:gridCol w:w="1315"/>
        <w:gridCol w:w="8160"/>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024C0A" w:rsidRDefault="00694C0F">
            <w:pPr>
              <w:pStyle w:val="TableHeaderText"/>
            </w:pPr>
            <w:r>
              <w:t>Field specific switches</w:t>
            </w:r>
          </w:p>
        </w:tc>
      </w:tr>
      <w:tr w:rsidR="00024C0A" w:rsidTr="00024C0A">
        <w:tc>
          <w:tcPr>
            <w:tcW w:w="0" w:type="auto"/>
            <w:vAlign w:val="center"/>
          </w:tcPr>
          <w:p w:rsidR="00024C0A" w:rsidRDefault="00694C0F">
            <w:pPr>
              <w:pStyle w:val="TableBodyText"/>
            </w:pPr>
            <w:r>
              <w:rPr>
                <w:rStyle w:val="InlineCode"/>
              </w:rPr>
              <w:t>\!</w:t>
            </w:r>
          </w:p>
        </w:tc>
        <w:tc>
          <w:tcPr>
            <w:tcW w:w="0" w:type="auto"/>
            <w:vAlign w:val="center"/>
          </w:tcPr>
          <w:p w:rsidR="00024C0A" w:rsidRDefault="00694C0F">
            <w:pPr>
              <w:pStyle w:val="TableBodyText"/>
            </w:pPr>
            <w:r>
              <w:t xml:space="preserve">Prevents this field from being updated unless all fields in the inserted </w:t>
            </w:r>
            <w:r>
              <w:t>text are first updated in their original document.</w:t>
            </w:r>
          </w:p>
        </w:tc>
      </w:tr>
      <w:tr w:rsidR="00024C0A" w:rsidTr="00024C0A">
        <w:tc>
          <w:tcPr>
            <w:tcW w:w="0" w:type="auto"/>
            <w:vAlign w:val="center"/>
          </w:tcPr>
          <w:p w:rsidR="00024C0A" w:rsidRDefault="00694C0F">
            <w:pPr>
              <w:pStyle w:val="TableBodyText"/>
            </w:pPr>
            <w:r>
              <w:rPr>
                <w:rStyle w:val="InlineCode"/>
              </w:rPr>
              <w:t xml:space="preserve">\c </w:t>
            </w:r>
            <w:r>
              <w:t>field-argument</w:t>
            </w:r>
          </w:p>
        </w:tc>
        <w:tc>
          <w:tcPr>
            <w:tcW w:w="0" w:type="auto"/>
            <w:vAlign w:val="center"/>
          </w:tcPr>
          <w:p w:rsidR="00024C0A" w:rsidRDefault="00694C0F">
            <w:pPr>
              <w:pStyle w:val="TableBodyText"/>
            </w:pPr>
            <w:r>
              <w:t xml:space="preserve">Specifies that the file specified by field-argument-2 shall be processed by a document filter whose name matches the corresponding field-argument value. Possible field-argument values </w:t>
            </w:r>
            <w:r>
              <w:t>are implementation-defined.</w:t>
            </w:r>
          </w:p>
        </w:tc>
      </w:tr>
    </w:tbl>
    <w:p w:rsidR="00024C0A" w:rsidRDefault="00024C0A"/>
    <w:p w:rsidR="00024C0A" w:rsidRDefault="00694C0F">
      <w:r>
        <w:t xml:space="preserve">[Example: The following field inserts the portion of the WordprocessingML document referred to by the bookmark </w:t>
      </w:r>
      <w:r>
        <w:rPr>
          <w:rStyle w:val="InlineCode"/>
        </w:rPr>
        <w:t>Summary</w:t>
      </w:r>
      <w:r>
        <w:t>:</w:t>
      </w:r>
    </w:p>
    <w:p w:rsidR="00024C0A" w:rsidRDefault="00694C0F">
      <w:pPr>
        <w:pStyle w:val="Code"/>
      </w:pPr>
      <w:r>
        <w:t>INCLUDE "C:\\Winword\\Port Development RFP" Summary</w:t>
      </w:r>
    </w:p>
    <w:p w:rsidR="00024C0A" w:rsidRDefault="00694C0F">
      <w:r>
        <w:t>end example]</w:t>
      </w:r>
    </w:p>
    <w:p w:rsidR="00024C0A" w:rsidRDefault="00694C0F">
      <w:pPr>
        <w:pStyle w:val="Heading5"/>
      </w:pPr>
      <w:bookmarkStart w:id="3903" w:name="section_a93caf1bfbe84ab38e3631b069f35d60"/>
      <w:bookmarkStart w:id="3904" w:name="_Toc12262012"/>
      <w:r>
        <w:t>SHAPE</w:t>
      </w:r>
      <w:bookmarkEnd w:id="3903"/>
      <w:bookmarkEnd w:id="3904"/>
      <w:r>
        <w:fldChar w:fldCharType="begin"/>
      </w:r>
      <w:r>
        <w:instrText xml:space="preserve"> XE "SHAPE" </w:instrText>
      </w:r>
      <w:r>
        <w:fldChar w:fldCharType="end"/>
      </w:r>
    </w:p>
    <w:p w:rsidR="00024C0A" w:rsidRDefault="00694C0F">
      <w:r>
        <w:rPr>
          <w:b/>
        </w:rPr>
        <w:lastRenderedPageBreak/>
        <w:t>Syntax</w:t>
      </w:r>
      <w:r>
        <w:t>:</w:t>
      </w:r>
    </w:p>
    <w:p w:rsidR="00024C0A" w:rsidRDefault="00694C0F">
      <w:r>
        <w:t>SHAPE field-a</w:t>
      </w:r>
      <w:r>
        <w:t>rgument</w:t>
      </w:r>
    </w:p>
    <w:p w:rsidR="00024C0A" w:rsidRDefault="00694C0F">
      <w:r>
        <w:rPr>
          <w:b/>
        </w:rPr>
        <w:t>Description:</w:t>
      </w:r>
      <w:r>
        <w:t xml:space="preserve"> Retrieves the text specified by text in field-argument. The text may specify a character whose code point value is specified in decimal or hexadecimal. Three digits shall be used to specify a character using decimal numbers. Up to four</w:t>
      </w:r>
      <w:r>
        <w:t xml:space="preserve"> digits shall be used to specify a character using hexadecimal (leading 0x or 0X).</w:t>
      </w:r>
    </w:p>
    <w:p w:rsidR="00024C0A" w:rsidRDefault="00694C0F">
      <w:r>
        <w:t>Word does not allow insertion of the code point 13.</w:t>
      </w:r>
    </w:p>
    <w:p w:rsidR="00024C0A" w:rsidRDefault="00694C0F">
      <w:r>
        <w:t xml:space="preserve">[Note: This field is supported for legacy reasons, and it is recommended that </w:t>
      </w:r>
      <w:r>
        <w:rPr>
          <w:rStyle w:val="InlineCode"/>
        </w:rPr>
        <w:t>QUOTE</w:t>
      </w:r>
      <w:r>
        <w:t xml:space="preserve"> ("</w:t>
      </w:r>
      <w:hyperlink r:id="rId293">
        <w:r>
          <w:rPr>
            <w:rStyle w:val="Hyperlink"/>
          </w:rPr>
          <w:t>[ISO/IEC-29500-1]</w:t>
        </w:r>
      </w:hyperlink>
      <w:r>
        <w:t xml:space="preserve"> §17.16.5.49; QUOTE") be used instead. end note]</w:t>
      </w:r>
    </w:p>
    <w:p w:rsidR="00024C0A" w:rsidRDefault="00694C0F">
      <w:r>
        <w:rPr>
          <w:b/>
        </w:rPr>
        <w:t>Field Value</w:t>
      </w:r>
      <w:r>
        <w:t>: The specified text or character.</w:t>
      </w:r>
    </w:p>
    <w:p w:rsidR="00024C0A" w:rsidRDefault="00694C0F">
      <w:r>
        <w:rPr>
          <w:b/>
        </w:rPr>
        <w:t>Switches</w:t>
      </w:r>
      <w:r>
        <w:t>: Zero or more of the date-and-time-formatting-switch, general-formattin</w:t>
      </w:r>
      <w:r>
        <w:t>g-switch, or numeric-formatting-switches, depending on the type of field-argument.</w:t>
      </w:r>
    </w:p>
    <w:p w:rsidR="00024C0A" w:rsidRDefault="00694C0F">
      <w:r>
        <w:t>[Example: When the current month is January and the following field is updated:</w:t>
      </w:r>
    </w:p>
    <w:p w:rsidR="00024C0A" w:rsidRDefault="00694C0F">
      <w:pPr>
        <w:pStyle w:val="Code"/>
      </w:pPr>
      <w:r>
        <w:t>Last month was SHAPE IF DATE \@ "M" = 1 "12" "= DATE \@ "M" - 1"/1/2000 \@ "MMMM".</w:t>
      </w:r>
    </w:p>
    <w:p w:rsidR="00024C0A" w:rsidRDefault="00694C0F">
      <w:r>
        <w:t>the result</w:t>
      </w:r>
      <w:r>
        <w:t xml:space="preserve"> is:</w:t>
      </w:r>
    </w:p>
    <w:p w:rsidR="00024C0A" w:rsidRDefault="00694C0F">
      <w:pPr>
        <w:pStyle w:val="Code"/>
      </w:pPr>
      <w:r>
        <w:t>Last month was December end example]</w:t>
      </w:r>
    </w:p>
    <w:p w:rsidR="00024C0A" w:rsidRDefault="00694C0F">
      <w:r>
        <w:t>[Example: When the following field is updated:</w:t>
      </w:r>
    </w:p>
    <w:p w:rsidR="00024C0A" w:rsidRDefault="00694C0F">
      <w:pPr>
        <w:pStyle w:val="Code"/>
      </w:pPr>
      <w:r>
        <w:t>SHAPE 063 " is code point 63."</w:t>
      </w:r>
    </w:p>
    <w:p w:rsidR="00024C0A" w:rsidRDefault="00694C0F">
      <w:r>
        <w:t>the result is:</w:t>
      </w:r>
    </w:p>
    <w:p w:rsidR="00024C0A" w:rsidRDefault="00694C0F">
      <w:pPr>
        <w:pStyle w:val="Code"/>
      </w:pPr>
      <w:r>
        <w:t>? is code point 63. end example]</w:t>
      </w:r>
    </w:p>
    <w:p w:rsidR="00024C0A" w:rsidRDefault="00694C0F">
      <w:pPr>
        <w:pStyle w:val="Heading5"/>
      </w:pPr>
      <w:bookmarkStart w:id="3905" w:name="section_cbc893c09683416d84c6407a92451c19"/>
      <w:bookmarkStart w:id="3906" w:name="_Toc12262013"/>
      <w:r>
        <w:t>DISPLAYBARCODE</w:t>
      </w:r>
      <w:bookmarkEnd w:id="3905"/>
      <w:bookmarkEnd w:id="3906"/>
      <w:r>
        <w:fldChar w:fldCharType="begin"/>
      </w:r>
      <w:r>
        <w:instrText xml:space="preserve"> XE "DISPLAYBARCODE" </w:instrText>
      </w:r>
      <w:r>
        <w:fldChar w:fldCharType="end"/>
      </w:r>
    </w:p>
    <w:p w:rsidR="00024C0A" w:rsidRDefault="00694C0F">
      <w:r>
        <w:rPr>
          <w:b/>
        </w:rPr>
        <w:t xml:space="preserve">NOTE: </w:t>
      </w:r>
      <w:r>
        <w:t>This section is not applicable to Word 2010.</w:t>
      </w:r>
    </w:p>
    <w:p w:rsidR="00024C0A" w:rsidRDefault="00694C0F">
      <w:r>
        <w:rPr>
          <w:b/>
        </w:rPr>
        <w:t>Syntax:</w:t>
      </w:r>
    </w:p>
    <w:p w:rsidR="00024C0A" w:rsidRDefault="00694C0F">
      <w:r>
        <w:t>DISPLAYBARCODE field-argument-1 field-argument-2 [ switches ]</w:t>
      </w:r>
    </w:p>
    <w:p w:rsidR="00024C0A" w:rsidRDefault="00694C0F">
      <w:r>
        <w:t>field-argument-1:</w:t>
      </w:r>
    </w:p>
    <w:p w:rsidR="00024C0A" w:rsidRDefault="00694C0F">
      <w:r>
        <w:t>field-argument</w:t>
      </w:r>
    </w:p>
    <w:p w:rsidR="00024C0A" w:rsidRDefault="00694C0F">
      <w:r>
        <w:t>field-argument-2:</w:t>
      </w:r>
    </w:p>
    <w:p w:rsidR="00024C0A" w:rsidRDefault="00694C0F">
      <w:r>
        <w:t>field-argument</w:t>
      </w:r>
    </w:p>
    <w:p w:rsidR="00024C0A" w:rsidRDefault="00694C0F">
      <w:r>
        <w:rPr>
          <w:b/>
        </w:rPr>
        <w:t xml:space="preserve">Description: </w:t>
      </w:r>
      <w:r>
        <w:t xml:space="preserve">Renders a generated barcode symbol using the data in this display field. </w:t>
      </w:r>
    </w:p>
    <w:p w:rsidR="00024C0A" w:rsidRDefault="00694C0F">
      <w:r>
        <w:rPr>
          <w:i/>
        </w:rPr>
        <w:t xml:space="preserve">field-argument-1 </w:t>
      </w:r>
      <w:r>
        <w:t>is a quoted str</w:t>
      </w:r>
      <w:r>
        <w:t>ing containing the data (barcode-data) used to generate the barcode symbol.</w:t>
      </w:r>
    </w:p>
    <w:p w:rsidR="00024C0A" w:rsidRDefault="00694C0F">
      <w:r>
        <w:rPr>
          <w:i/>
        </w:rPr>
        <w:lastRenderedPageBreak/>
        <w:t xml:space="preserve">field-argument-2 </w:t>
      </w:r>
      <w:r>
        <w:t>is a text string containing the type of barcode (barcode-type) that will be generated.  The valid values (case-insensitive) are:  UPCA|UPCE|JAN13|JAN8|EAN13|EAN8|C</w:t>
      </w:r>
      <w:r>
        <w:t xml:space="preserve">ASE|ITF14|NW7|CODE39|CODE128|JPPOST|QR </w:t>
      </w:r>
    </w:p>
    <w:p w:rsidR="00024C0A" w:rsidRDefault="00694C0F">
      <w:r>
        <w:t>The meanings of these values are described in the following table:</w:t>
      </w:r>
    </w:p>
    <w:tbl>
      <w:tblPr>
        <w:tblStyle w:val="Table-ShadedHeader"/>
        <w:tblW w:w="0" w:type="auto"/>
        <w:tblLook w:val="04A0" w:firstRow="1" w:lastRow="0" w:firstColumn="1" w:lastColumn="0" w:noHBand="0" w:noVBand="1"/>
      </w:tblPr>
      <w:tblGrid>
        <w:gridCol w:w="1623"/>
        <w:gridCol w:w="7852"/>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rPr>
                <w:i/>
              </w:rPr>
              <w:t>Field-argument-2</w:t>
            </w:r>
          </w:p>
        </w:tc>
        <w:tc>
          <w:tcPr>
            <w:tcW w:w="0" w:type="auto"/>
            <w:vAlign w:val="center"/>
          </w:tcPr>
          <w:p w:rsidR="00024C0A" w:rsidRDefault="00694C0F">
            <w:pPr>
              <w:pStyle w:val="TableHeaderText"/>
            </w:pPr>
            <w:r>
              <w:t>Barcode Type Description</w:t>
            </w:r>
          </w:p>
        </w:tc>
      </w:tr>
      <w:tr w:rsidR="00024C0A" w:rsidTr="00024C0A">
        <w:tc>
          <w:tcPr>
            <w:tcW w:w="0" w:type="auto"/>
            <w:vAlign w:val="center"/>
          </w:tcPr>
          <w:p w:rsidR="00024C0A" w:rsidRDefault="00694C0F">
            <w:pPr>
              <w:pStyle w:val="TableBodyText"/>
            </w:pPr>
            <w:r>
              <w:t>QR</w:t>
            </w:r>
          </w:p>
        </w:tc>
        <w:tc>
          <w:tcPr>
            <w:tcW w:w="0" w:type="auto"/>
            <w:vAlign w:val="center"/>
          </w:tcPr>
          <w:p w:rsidR="00024C0A" w:rsidRDefault="00694C0F">
            <w:pPr>
              <w:pStyle w:val="TableBodyText"/>
            </w:pPr>
            <w:r>
              <w:t xml:space="preserve">A QR 2D bar code as specified by </w:t>
            </w:r>
            <w:hyperlink r:id="rId294">
              <w:r>
                <w:rPr>
                  <w:rStyle w:val="Hyperlink"/>
                </w:rPr>
                <w:t>[ISO/IEC18004:2006]</w:t>
              </w:r>
            </w:hyperlink>
            <w:r>
              <w:t>.</w:t>
            </w:r>
          </w:p>
        </w:tc>
      </w:tr>
      <w:tr w:rsidR="00024C0A" w:rsidTr="00024C0A">
        <w:tc>
          <w:tcPr>
            <w:tcW w:w="0" w:type="auto"/>
            <w:vAlign w:val="center"/>
          </w:tcPr>
          <w:p w:rsidR="00024C0A" w:rsidRDefault="00694C0F">
            <w:pPr>
              <w:pStyle w:val="TableBodyText"/>
            </w:pPr>
            <w:r>
              <w:t>CODE128</w:t>
            </w:r>
          </w:p>
        </w:tc>
        <w:tc>
          <w:tcPr>
            <w:tcW w:w="0" w:type="auto"/>
            <w:vAlign w:val="center"/>
          </w:tcPr>
          <w:p w:rsidR="00024C0A" w:rsidRDefault="00694C0F">
            <w:pPr>
              <w:pStyle w:val="TableBodyText"/>
            </w:pPr>
            <w:r>
              <w:t xml:space="preserve">A Code 128 linear bar code as specified by </w:t>
            </w:r>
            <w:hyperlink r:id="rId295">
              <w:r>
                <w:rPr>
                  <w:rStyle w:val="Hyperlink"/>
                </w:rPr>
                <w:t>[AIM-BC4-1995-Code128]</w:t>
              </w:r>
            </w:hyperlink>
            <w:r>
              <w:t>.</w:t>
            </w:r>
          </w:p>
        </w:tc>
      </w:tr>
      <w:tr w:rsidR="00024C0A" w:rsidTr="00024C0A">
        <w:tc>
          <w:tcPr>
            <w:tcW w:w="0" w:type="auto"/>
            <w:vAlign w:val="center"/>
          </w:tcPr>
          <w:p w:rsidR="00024C0A" w:rsidRDefault="00694C0F">
            <w:pPr>
              <w:pStyle w:val="TableBodyText"/>
            </w:pPr>
            <w:r>
              <w:t>CODE39</w:t>
            </w:r>
          </w:p>
        </w:tc>
        <w:tc>
          <w:tcPr>
            <w:tcW w:w="0" w:type="auto"/>
            <w:vAlign w:val="center"/>
          </w:tcPr>
          <w:p w:rsidR="00024C0A" w:rsidRDefault="00694C0F">
            <w:pPr>
              <w:pStyle w:val="TableBodyText"/>
            </w:pPr>
            <w:r>
              <w:t xml:space="preserve">A Code 39 linear bar code as specified by </w:t>
            </w:r>
            <w:hyperlink r:id="rId296">
              <w:r>
                <w:rPr>
                  <w:rStyle w:val="Hyperlink"/>
                </w:rPr>
                <w:t>[AIM-BC1-1995-Code39]</w:t>
              </w:r>
            </w:hyperlink>
            <w:r>
              <w:t>.</w:t>
            </w:r>
          </w:p>
        </w:tc>
      </w:tr>
      <w:tr w:rsidR="00024C0A" w:rsidTr="00024C0A">
        <w:tc>
          <w:tcPr>
            <w:tcW w:w="0" w:type="auto"/>
            <w:vAlign w:val="center"/>
          </w:tcPr>
          <w:p w:rsidR="00024C0A" w:rsidRDefault="00694C0F">
            <w:pPr>
              <w:pStyle w:val="TableBodyText"/>
            </w:pPr>
            <w:r>
              <w:t>JPPOST</w:t>
            </w:r>
          </w:p>
        </w:tc>
        <w:tc>
          <w:tcPr>
            <w:tcW w:w="0" w:type="auto"/>
            <w:vAlign w:val="center"/>
          </w:tcPr>
          <w:p w:rsidR="00024C0A" w:rsidRDefault="00694C0F">
            <w:pPr>
              <w:pStyle w:val="TableBodyText"/>
            </w:pPr>
            <w:r>
              <w:t>A Japanese Postal Service Customer barcode. JPPost is compliant with CBC (Customer Bar Code), which is also known as RM4SCC.</w:t>
            </w:r>
          </w:p>
        </w:tc>
      </w:tr>
      <w:tr w:rsidR="00024C0A" w:rsidTr="00024C0A">
        <w:tc>
          <w:tcPr>
            <w:tcW w:w="0" w:type="auto"/>
            <w:vAlign w:val="center"/>
          </w:tcPr>
          <w:p w:rsidR="00024C0A" w:rsidRDefault="00694C0F">
            <w:pPr>
              <w:pStyle w:val="TableBodyText"/>
            </w:pPr>
            <w:r>
              <w:t>EAN8|EAN13</w:t>
            </w:r>
          </w:p>
        </w:tc>
        <w:tc>
          <w:tcPr>
            <w:tcW w:w="0" w:type="auto"/>
            <w:vAlign w:val="center"/>
          </w:tcPr>
          <w:p w:rsidR="00024C0A" w:rsidRDefault="00694C0F">
            <w:pPr>
              <w:pStyle w:val="TableBodyText"/>
            </w:pPr>
            <w:r>
              <w:t>An EAN - International Article Number worldwide bar code for prod</w:t>
            </w:r>
            <w:r>
              <w:t xml:space="preserve">uct ID’s (8 digit/13 digit) as specified in </w:t>
            </w:r>
            <w:hyperlink r:id="rId297">
              <w:r>
                <w:rPr>
                  <w:rStyle w:val="Hyperlink"/>
                </w:rPr>
                <w:t>[GS1-BARCODE]</w:t>
              </w:r>
            </w:hyperlink>
            <w:r>
              <w:t>.</w:t>
            </w:r>
          </w:p>
        </w:tc>
      </w:tr>
      <w:tr w:rsidR="00024C0A" w:rsidTr="00024C0A">
        <w:tc>
          <w:tcPr>
            <w:tcW w:w="0" w:type="auto"/>
            <w:vAlign w:val="center"/>
          </w:tcPr>
          <w:p w:rsidR="00024C0A" w:rsidRDefault="00694C0F">
            <w:pPr>
              <w:pStyle w:val="TableBodyText"/>
            </w:pPr>
            <w:r>
              <w:t>JAN8|JAN13</w:t>
            </w:r>
          </w:p>
        </w:tc>
        <w:tc>
          <w:tcPr>
            <w:tcW w:w="0" w:type="auto"/>
            <w:vAlign w:val="center"/>
          </w:tcPr>
          <w:p w:rsidR="00024C0A" w:rsidRDefault="00694C0F">
            <w:pPr>
              <w:pStyle w:val="TableBodyText"/>
            </w:pPr>
            <w:r>
              <w:t>A JAN: Japanese barcode for product ID’s (8 digit/13 digit). JAN8 is an alias of EAN8. JAN13 is an alias of EAN13.</w:t>
            </w:r>
          </w:p>
        </w:tc>
      </w:tr>
      <w:tr w:rsidR="00024C0A" w:rsidTr="00024C0A">
        <w:tc>
          <w:tcPr>
            <w:tcW w:w="0" w:type="auto"/>
            <w:vAlign w:val="center"/>
          </w:tcPr>
          <w:p w:rsidR="00024C0A" w:rsidRDefault="00694C0F">
            <w:pPr>
              <w:pStyle w:val="TableBodyText"/>
            </w:pPr>
            <w:r>
              <w:t>UPCA|UPCE</w:t>
            </w:r>
          </w:p>
        </w:tc>
        <w:tc>
          <w:tcPr>
            <w:tcW w:w="0" w:type="auto"/>
            <w:vAlign w:val="center"/>
          </w:tcPr>
          <w:p w:rsidR="00024C0A" w:rsidRDefault="00694C0F">
            <w:pPr>
              <w:pStyle w:val="TableBodyText"/>
            </w:pPr>
            <w:r>
              <w:t>A UPC (A&amp;E): US barcode for product ID’s as specified in [GS1-BARCODE].</w:t>
            </w:r>
          </w:p>
        </w:tc>
      </w:tr>
      <w:tr w:rsidR="00024C0A" w:rsidTr="00024C0A">
        <w:tc>
          <w:tcPr>
            <w:tcW w:w="0" w:type="auto"/>
            <w:vAlign w:val="center"/>
          </w:tcPr>
          <w:p w:rsidR="00024C0A" w:rsidRDefault="00694C0F">
            <w:pPr>
              <w:pStyle w:val="TableBodyText"/>
            </w:pPr>
            <w:r>
              <w:t>ITF14</w:t>
            </w:r>
          </w:p>
        </w:tc>
        <w:tc>
          <w:tcPr>
            <w:tcW w:w="0" w:type="auto"/>
            <w:vAlign w:val="center"/>
          </w:tcPr>
          <w:p w:rsidR="00024C0A" w:rsidRDefault="00694C0F">
            <w:pPr>
              <w:pStyle w:val="TableBodyText"/>
            </w:pPr>
            <w:r>
              <w:t>An ITF-14 item-tracking barcode for shipping as specified in [GS1-BARCODE].</w:t>
            </w:r>
          </w:p>
        </w:tc>
      </w:tr>
      <w:tr w:rsidR="00024C0A" w:rsidTr="00024C0A">
        <w:tc>
          <w:tcPr>
            <w:tcW w:w="0" w:type="auto"/>
            <w:vAlign w:val="center"/>
          </w:tcPr>
          <w:p w:rsidR="00024C0A" w:rsidRDefault="00694C0F">
            <w:pPr>
              <w:pStyle w:val="TableBodyText"/>
            </w:pPr>
            <w:r>
              <w:t>NW7</w:t>
            </w:r>
          </w:p>
        </w:tc>
        <w:tc>
          <w:tcPr>
            <w:tcW w:w="0" w:type="auto"/>
            <w:vAlign w:val="center"/>
          </w:tcPr>
          <w:p w:rsidR="00024C0A" w:rsidRDefault="00694C0F">
            <w:pPr>
              <w:pStyle w:val="TableBodyText"/>
            </w:pPr>
            <w:r>
              <w:t xml:space="preserve">A NW-7 (CODABAR) serial number bar code as specified by </w:t>
            </w:r>
            <w:hyperlink r:id="rId298">
              <w:r>
                <w:rPr>
                  <w:rStyle w:val="Hyperlink"/>
                </w:rPr>
                <w:t>[AIM-BC3-1995-Codabar]</w:t>
              </w:r>
            </w:hyperlink>
            <w:r>
              <w:t>.</w:t>
            </w:r>
          </w:p>
        </w:tc>
      </w:tr>
      <w:tr w:rsidR="00024C0A" w:rsidTr="00024C0A">
        <w:tc>
          <w:tcPr>
            <w:tcW w:w="0" w:type="auto"/>
            <w:vAlign w:val="center"/>
          </w:tcPr>
          <w:p w:rsidR="00024C0A" w:rsidRDefault="00694C0F">
            <w:pPr>
              <w:pStyle w:val="TableBodyText"/>
            </w:pPr>
            <w:r>
              <w:t>CASE</w:t>
            </w:r>
          </w:p>
        </w:tc>
        <w:tc>
          <w:tcPr>
            <w:tcW w:w="0" w:type="auto"/>
            <w:vAlign w:val="center"/>
          </w:tcPr>
          <w:p w:rsidR="00024C0A" w:rsidRDefault="00694C0F">
            <w:pPr>
              <w:pStyle w:val="TableBodyText"/>
            </w:pPr>
            <w:r>
              <w:t xml:space="preserve">USPS barcode – FIM/POSTNET (*2) - barcode for tracking USPS mail. CASE is an alias of ITF14. </w:t>
            </w:r>
          </w:p>
        </w:tc>
      </w:tr>
    </w:tbl>
    <w:p w:rsidR="00024C0A" w:rsidRDefault="00024C0A"/>
    <w:p w:rsidR="00024C0A" w:rsidRDefault="00694C0F">
      <w:r>
        <w:rPr>
          <w:b/>
        </w:rPr>
        <w:t xml:space="preserve">Switches: </w:t>
      </w:r>
      <w:r>
        <w:t xml:space="preserve">Zero or more of the following </w:t>
      </w:r>
      <w:r>
        <w:rPr>
          <w:i/>
        </w:rPr>
        <w:t>field-specific-switches:</w:t>
      </w:r>
    </w:p>
    <w:tbl>
      <w:tblPr>
        <w:tblStyle w:val="Table-ShadedHeader"/>
        <w:tblW w:w="0" w:type="auto"/>
        <w:tblLook w:val="04A0" w:firstRow="1" w:lastRow="0" w:firstColumn="1" w:lastColumn="0" w:noHBand="0" w:noVBand="1"/>
      </w:tblPr>
      <w:tblGrid>
        <w:gridCol w:w="1288"/>
        <w:gridCol w:w="8187"/>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Field Switch</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t xml:space="preserve">\h </w:t>
            </w:r>
            <w:r>
              <w:rPr>
                <w:i/>
              </w:rPr>
              <w:t>field-argument</w:t>
            </w:r>
          </w:p>
        </w:tc>
        <w:tc>
          <w:tcPr>
            <w:tcW w:w="0" w:type="auto"/>
            <w:vAlign w:val="center"/>
          </w:tcPr>
          <w:p w:rsidR="00024C0A" w:rsidRDefault="00694C0F">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024C0A" w:rsidTr="00024C0A">
        <w:tc>
          <w:tcPr>
            <w:tcW w:w="0" w:type="auto"/>
            <w:vAlign w:val="center"/>
          </w:tcPr>
          <w:p w:rsidR="00024C0A" w:rsidRDefault="00694C0F">
            <w:pPr>
              <w:pStyle w:val="TableBodyText"/>
            </w:pPr>
            <w:r>
              <w:t xml:space="preserve">\s </w:t>
            </w:r>
            <w:r>
              <w:rPr>
                <w:i/>
              </w:rPr>
              <w:t>field-argument</w:t>
            </w:r>
          </w:p>
        </w:tc>
        <w:tc>
          <w:tcPr>
            <w:tcW w:w="0" w:type="auto"/>
            <w:vAlign w:val="center"/>
          </w:tcPr>
          <w:p w:rsidR="00024C0A" w:rsidRDefault="00694C0F">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024C0A" w:rsidTr="00024C0A">
        <w:tc>
          <w:tcPr>
            <w:tcW w:w="0" w:type="auto"/>
            <w:vAlign w:val="center"/>
          </w:tcPr>
          <w:p w:rsidR="00024C0A" w:rsidRDefault="00694C0F">
            <w:pPr>
              <w:pStyle w:val="TableBodyText"/>
            </w:pPr>
            <w:r>
              <w:t xml:space="preserve">\q </w:t>
            </w:r>
            <w:r>
              <w:rPr>
                <w:i/>
              </w:rPr>
              <w:t>field-argument</w:t>
            </w:r>
          </w:p>
        </w:tc>
        <w:tc>
          <w:tcPr>
            <w:tcW w:w="0" w:type="auto"/>
            <w:vAlign w:val="center"/>
          </w:tcPr>
          <w:p w:rsidR="00024C0A" w:rsidRDefault="00694C0F">
            <w:pPr>
              <w:pStyle w:val="TableBodyText"/>
            </w:pPr>
            <w:r>
              <w:t xml:space="preserve">The </w:t>
            </w:r>
            <w:r>
              <w:rPr>
                <w:i/>
              </w:rPr>
              <w:t>text</w:t>
            </w:r>
            <w:r>
              <w:t xml:space="preserve"> in this switch's </w:t>
            </w:r>
            <w:r>
              <w:rPr>
                <w:i/>
              </w:rPr>
              <w:t>field-argument</w:t>
            </w:r>
            <w:r>
              <w:t xml:space="preserve"> is an integer that specifies the error correction level o</w:t>
            </w:r>
            <w:r>
              <w:t>f QR Code.  Valid values are [0, 3]</w:t>
            </w:r>
          </w:p>
          <w:p w:rsidR="00024C0A" w:rsidRDefault="00024C0A">
            <w:pPr>
              <w:pStyle w:val="TableBodyText"/>
            </w:pPr>
          </w:p>
        </w:tc>
      </w:tr>
      <w:tr w:rsidR="00024C0A" w:rsidTr="00024C0A">
        <w:tc>
          <w:tcPr>
            <w:tcW w:w="0" w:type="auto"/>
            <w:vAlign w:val="center"/>
          </w:tcPr>
          <w:p w:rsidR="00024C0A" w:rsidRDefault="00694C0F">
            <w:pPr>
              <w:pStyle w:val="TableBodyText"/>
            </w:pPr>
            <w:r>
              <w:t xml:space="preserve">\p </w:t>
            </w:r>
            <w:r>
              <w:rPr>
                <w:i/>
              </w:rPr>
              <w:t>field-argument</w:t>
            </w:r>
          </w:p>
        </w:tc>
        <w:tc>
          <w:tcPr>
            <w:tcW w:w="0" w:type="auto"/>
            <w:vAlign w:val="center"/>
          </w:tcPr>
          <w:p w:rsidR="00024C0A" w:rsidRDefault="00694C0F">
            <w:pPr>
              <w:pStyle w:val="TableBodyText"/>
            </w:pPr>
            <w:r>
              <w:t xml:space="preserve">The </w:t>
            </w:r>
            <w:r>
              <w:rPr>
                <w:i/>
              </w:rPr>
              <w:t>text</w:t>
            </w:r>
            <w:r>
              <w:t xml:space="preserve"> in this switch's </w:t>
            </w:r>
            <w:r>
              <w:rPr>
                <w:i/>
              </w:rPr>
              <w:t>field-argument</w:t>
            </w:r>
            <w:r>
              <w:t xml:space="preserve"> specifies the style of a Point of Sale barcode (barcode types UPCA|UPCE|EAN13|EAN8).  The valid values (case insensitive) are [STD|SUP2|SUP5|CASE].</w:t>
            </w:r>
          </w:p>
          <w:p w:rsidR="00024C0A" w:rsidRDefault="00024C0A">
            <w:pPr>
              <w:pStyle w:val="TableBodyText"/>
            </w:pPr>
          </w:p>
        </w:tc>
      </w:tr>
      <w:tr w:rsidR="00024C0A" w:rsidTr="00024C0A">
        <w:tc>
          <w:tcPr>
            <w:tcW w:w="0" w:type="auto"/>
            <w:vAlign w:val="center"/>
          </w:tcPr>
          <w:p w:rsidR="00024C0A" w:rsidRDefault="00694C0F">
            <w:pPr>
              <w:pStyle w:val="TableBodyText"/>
            </w:pPr>
            <w:r>
              <w:t>\x</w:t>
            </w:r>
          </w:p>
        </w:tc>
        <w:tc>
          <w:tcPr>
            <w:tcW w:w="0" w:type="auto"/>
            <w:vAlign w:val="center"/>
          </w:tcPr>
          <w:p w:rsidR="00024C0A" w:rsidRDefault="00694C0F">
            <w:pPr>
              <w:pStyle w:val="TableBodyText"/>
            </w:pPr>
            <w:r>
              <w:t xml:space="preserve">Fixes </w:t>
            </w:r>
            <w:r>
              <w:t>the check digit if it’s invalid.</w:t>
            </w:r>
          </w:p>
          <w:p w:rsidR="00024C0A" w:rsidRDefault="00024C0A">
            <w:pPr>
              <w:pStyle w:val="TableBodyText"/>
            </w:pPr>
          </w:p>
        </w:tc>
      </w:tr>
      <w:tr w:rsidR="00024C0A" w:rsidTr="00024C0A">
        <w:tc>
          <w:tcPr>
            <w:tcW w:w="0" w:type="auto"/>
            <w:vAlign w:val="center"/>
          </w:tcPr>
          <w:p w:rsidR="00024C0A" w:rsidRDefault="00694C0F">
            <w:pPr>
              <w:pStyle w:val="TableBodyText"/>
            </w:pPr>
            <w:r>
              <w:t>\d</w:t>
            </w:r>
          </w:p>
        </w:tc>
        <w:tc>
          <w:tcPr>
            <w:tcW w:w="0" w:type="auto"/>
            <w:vAlign w:val="center"/>
          </w:tcPr>
          <w:p w:rsidR="00024C0A" w:rsidRDefault="00694C0F">
            <w:pPr>
              <w:pStyle w:val="TableBodyText"/>
            </w:pPr>
            <w:r>
              <w:t>Adds Start/Stop characters for barcode types NW7 and CODE39</w:t>
            </w:r>
          </w:p>
          <w:p w:rsidR="00024C0A" w:rsidRDefault="00024C0A">
            <w:pPr>
              <w:pStyle w:val="TableBodyText"/>
            </w:pPr>
          </w:p>
        </w:tc>
      </w:tr>
      <w:tr w:rsidR="00024C0A" w:rsidTr="00024C0A">
        <w:tc>
          <w:tcPr>
            <w:tcW w:w="0" w:type="auto"/>
            <w:vAlign w:val="center"/>
          </w:tcPr>
          <w:p w:rsidR="00024C0A" w:rsidRDefault="00694C0F">
            <w:pPr>
              <w:pStyle w:val="TableBodyText"/>
            </w:pPr>
            <w:r>
              <w:t xml:space="preserve">\c </w:t>
            </w:r>
            <w:r>
              <w:rPr>
                <w:i/>
              </w:rPr>
              <w:t>field-argument</w:t>
            </w:r>
          </w:p>
        </w:tc>
        <w:tc>
          <w:tcPr>
            <w:tcW w:w="0" w:type="auto"/>
            <w:vAlign w:val="center"/>
          </w:tcPr>
          <w:p w:rsidR="00024C0A" w:rsidRDefault="00694C0F">
            <w:pPr>
              <w:pStyle w:val="TableBodyText"/>
            </w:pPr>
            <w:r>
              <w:t xml:space="preserve">The </w:t>
            </w:r>
            <w:r>
              <w:rPr>
                <w:i/>
              </w:rPr>
              <w:t>text</w:t>
            </w:r>
            <w:r>
              <w:t xml:space="preserve"> in this switch's </w:t>
            </w:r>
            <w:r>
              <w:rPr>
                <w:i/>
              </w:rPr>
              <w:t>field-argument</w:t>
            </w:r>
            <w:r>
              <w:t xml:space="preserve"> specifies the style of a Case Code for barcode type ITF14.   The valid values are [STD|EXT|ADD]</w:t>
            </w:r>
          </w:p>
          <w:p w:rsidR="00024C0A" w:rsidRDefault="00024C0A">
            <w:pPr>
              <w:pStyle w:val="TableBodyText"/>
            </w:pPr>
          </w:p>
        </w:tc>
      </w:tr>
      <w:tr w:rsidR="00024C0A" w:rsidTr="00024C0A">
        <w:tc>
          <w:tcPr>
            <w:tcW w:w="0" w:type="auto"/>
            <w:vAlign w:val="center"/>
          </w:tcPr>
          <w:p w:rsidR="00024C0A" w:rsidRDefault="00694C0F">
            <w:pPr>
              <w:pStyle w:val="TableBodyText"/>
            </w:pPr>
            <w:r>
              <w:lastRenderedPageBreak/>
              <w:t xml:space="preserve">\r </w:t>
            </w:r>
            <w:r>
              <w:rPr>
                <w:i/>
              </w:rPr>
              <w:t>field-argument</w:t>
            </w:r>
          </w:p>
        </w:tc>
        <w:tc>
          <w:tcPr>
            <w:tcW w:w="0" w:type="auto"/>
            <w:vAlign w:val="center"/>
          </w:tcPr>
          <w:p w:rsidR="00024C0A" w:rsidRDefault="00694C0F">
            <w:pPr>
              <w:pStyle w:val="TableBodyText"/>
            </w:pPr>
            <w:r>
              <w:t xml:space="preserve">The </w:t>
            </w:r>
            <w:r>
              <w:rPr>
                <w:i/>
              </w:rPr>
              <w:t>text</w:t>
            </w:r>
            <w:r>
              <w:t xml:space="preserve"> in this switch's </w:t>
            </w:r>
            <w:r>
              <w:rPr>
                <w:i/>
              </w:rPr>
              <w:t>field-argument</w:t>
            </w:r>
            <w:r>
              <w:t xml:space="preserve"> is an integer that specifies the rotation of the barcode symbol.  Valid values are [0, 3]</w:t>
            </w:r>
          </w:p>
          <w:p w:rsidR="00024C0A" w:rsidRDefault="00024C0A">
            <w:pPr>
              <w:pStyle w:val="TableBodyText"/>
            </w:pPr>
          </w:p>
        </w:tc>
      </w:tr>
      <w:tr w:rsidR="00024C0A" w:rsidTr="00024C0A">
        <w:tc>
          <w:tcPr>
            <w:tcW w:w="0" w:type="auto"/>
            <w:vAlign w:val="center"/>
          </w:tcPr>
          <w:p w:rsidR="00024C0A" w:rsidRDefault="00694C0F">
            <w:pPr>
              <w:pStyle w:val="TableBodyText"/>
            </w:pPr>
            <w:r>
              <w:t xml:space="preserve">\f </w:t>
            </w:r>
            <w:r>
              <w:rPr>
                <w:i/>
              </w:rPr>
              <w:t>field-argument</w:t>
            </w:r>
          </w:p>
        </w:tc>
        <w:tc>
          <w:tcPr>
            <w:tcW w:w="0" w:type="auto"/>
            <w:vAlign w:val="center"/>
          </w:tcPr>
          <w:p w:rsidR="00024C0A" w:rsidRDefault="00694C0F">
            <w:pPr>
              <w:pStyle w:val="TableBodyText"/>
            </w:pPr>
            <w:r>
              <w:t xml:space="preserve">The </w:t>
            </w:r>
            <w:r>
              <w:rPr>
                <w:i/>
              </w:rPr>
              <w:t>text</w:t>
            </w:r>
            <w:r>
              <w:t xml:space="preserve"> in this switch's </w:t>
            </w:r>
            <w:r>
              <w:rPr>
                <w:i/>
              </w:rPr>
              <w:t>field-argument</w:t>
            </w:r>
            <w:r>
              <w:t xml:space="preserve"> is an integer that specifies the foreground c</w:t>
            </w:r>
            <w:r>
              <w:t>olor of the barcode symbol.  Valid values are in the range [0, 0xFFFFFF]</w:t>
            </w:r>
          </w:p>
          <w:p w:rsidR="00024C0A" w:rsidRDefault="00024C0A">
            <w:pPr>
              <w:pStyle w:val="TableBodyText"/>
            </w:pPr>
          </w:p>
        </w:tc>
      </w:tr>
      <w:tr w:rsidR="00024C0A" w:rsidTr="00024C0A">
        <w:tc>
          <w:tcPr>
            <w:tcW w:w="0" w:type="auto"/>
            <w:vAlign w:val="center"/>
          </w:tcPr>
          <w:p w:rsidR="00024C0A" w:rsidRDefault="00694C0F">
            <w:pPr>
              <w:pStyle w:val="TableBodyText"/>
            </w:pPr>
            <w:r>
              <w:t xml:space="preserve">\b </w:t>
            </w:r>
            <w:r>
              <w:rPr>
                <w:i/>
              </w:rPr>
              <w:t>field-argument</w:t>
            </w:r>
          </w:p>
        </w:tc>
        <w:tc>
          <w:tcPr>
            <w:tcW w:w="0" w:type="auto"/>
            <w:vAlign w:val="center"/>
          </w:tcPr>
          <w:p w:rsidR="00024C0A" w:rsidRDefault="00694C0F">
            <w:pPr>
              <w:pStyle w:val="TableBodyText"/>
            </w:pPr>
            <w:r>
              <w:t xml:space="preserve">The </w:t>
            </w:r>
            <w:r>
              <w:rPr>
                <w:i/>
              </w:rPr>
              <w:t>text</w:t>
            </w:r>
            <w:r>
              <w:t xml:space="preserve"> in this switch's </w:t>
            </w:r>
            <w:r>
              <w:rPr>
                <w:i/>
              </w:rPr>
              <w:t>field-argument</w:t>
            </w:r>
            <w:r>
              <w:t xml:space="preserve"> is an integer that specifies the background color of the barcode symbol.  Valid values are in the range [0, 0xFFFFFF]</w:t>
            </w:r>
          </w:p>
          <w:p w:rsidR="00024C0A" w:rsidRDefault="00024C0A">
            <w:pPr>
              <w:pStyle w:val="TableBodyText"/>
            </w:pPr>
          </w:p>
        </w:tc>
      </w:tr>
      <w:tr w:rsidR="00024C0A" w:rsidTr="00024C0A">
        <w:tc>
          <w:tcPr>
            <w:tcW w:w="0" w:type="auto"/>
            <w:vAlign w:val="center"/>
          </w:tcPr>
          <w:p w:rsidR="00024C0A" w:rsidRDefault="00694C0F">
            <w:pPr>
              <w:pStyle w:val="TableBodyText"/>
            </w:pPr>
            <w:r>
              <w:t>\t</w:t>
            </w:r>
          </w:p>
        </w:tc>
        <w:tc>
          <w:tcPr>
            <w:tcW w:w="0" w:type="auto"/>
            <w:vAlign w:val="center"/>
          </w:tcPr>
          <w:p w:rsidR="00024C0A" w:rsidRDefault="00694C0F">
            <w:pPr>
              <w:pStyle w:val="TableBodyText"/>
            </w:pPr>
            <w:r>
              <w:t>Display barcode data (text) along with image</w:t>
            </w:r>
          </w:p>
          <w:p w:rsidR="00024C0A" w:rsidRDefault="00024C0A">
            <w:pPr>
              <w:pStyle w:val="TableBodyText"/>
            </w:pPr>
          </w:p>
        </w:tc>
      </w:tr>
    </w:tbl>
    <w:p w:rsidR="00024C0A" w:rsidRDefault="00024C0A"/>
    <w:p w:rsidR="00024C0A" w:rsidRDefault="00694C0F">
      <w:r>
        <w:t xml:space="preserve"> [Example: The following field encodes 490123456789 into an EAN-13 barcode symbol:</w:t>
      </w:r>
    </w:p>
    <w:p w:rsidR="00024C0A" w:rsidRDefault="00694C0F">
      <w:pPr>
        <w:pStyle w:val="Code"/>
      </w:pPr>
      <w:r>
        <w:t>DISPLAYBARCODE “490123456789” EAN13</w:t>
      </w:r>
    </w:p>
    <w:p w:rsidR="00024C0A" w:rsidRDefault="00694C0F">
      <w:r>
        <w:t>end example]</w:t>
      </w:r>
    </w:p>
    <w:p w:rsidR="00024C0A" w:rsidRDefault="00694C0F">
      <w:r>
        <w:t xml:space="preserve">[Example: The following field encodes “http://www.microsoft.com” into a QR </w:t>
      </w:r>
      <w:r>
        <w:t>Code symbol with highest error correction level:</w:t>
      </w:r>
    </w:p>
    <w:p w:rsidR="00024C0A" w:rsidRDefault="00694C0F">
      <w:pPr>
        <w:pStyle w:val="Code"/>
      </w:pPr>
      <w:r>
        <w:t>DISPLAYBARCODE “http://www.microsoft.com” QR \q 3</w:t>
      </w:r>
    </w:p>
    <w:p w:rsidR="00024C0A" w:rsidRDefault="00694C0F">
      <w:r>
        <w:t>end example]</w:t>
      </w:r>
    </w:p>
    <w:p w:rsidR="00024C0A" w:rsidRDefault="00694C0F">
      <w:pPr>
        <w:pStyle w:val="Heading5"/>
      </w:pPr>
      <w:bookmarkStart w:id="3907" w:name="section_cc4b13c2c09b4545a6ae4509d943233e"/>
      <w:bookmarkStart w:id="3908" w:name="_Toc12262014"/>
      <w:r>
        <w:t>MERGEBARCODE</w:t>
      </w:r>
      <w:bookmarkEnd w:id="3907"/>
      <w:bookmarkEnd w:id="3908"/>
      <w:r>
        <w:fldChar w:fldCharType="begin"/>
      </w:r>
      <w:r>
        <w:instrText xml:space="preserve"> XE "MERGEBARCODE" </w:instrText>
      </w:r>
      <w:r>
        <w:fldChar w:fldCharType="end"/>
      </w:r>
    </w:p>
    <w:p w:rsidR="00024C0A" w:rsidRDefault="00694C0F">
      <w:r>
        <w:rPr>
          <w:b/>
        </w:rPr>
        <w:t>NOTE:</w:t>
      </w:r>
      <w:r>
        <w:t xml:space="preserve"> This section is not applicable to Word 2010.</w:t>
      </w:r>
    </w:p>
    <w:p w:rsidR="00024C0A" w:rsidRDefault="00694C0F">
      <w:r>
        <w:rPr>
          <w:b/>
        </w:rPr>
        <w:t>Syntax:</w:t>
      </w:r>
    </w:p>
    <w:p w:rsidR="00024C0A" w:rsidRDefault="00694C0F">
      <w:r>
        <w:t xml:space="preserve">MERGEBARCODE field-argument-1 field-argument-2 [ </w:t>
      </w:r>
      <w:r>
        <w:t>switches ]</w:t>
      </w:r>
    </w:p>
    <w:p w:rsidR="00024C0A" w:rsidRDefault="00694C0F">
      <w:r>
        <w:t>field-argument-1:</w:t>
      </w:r>
    </w:p>
    <w:p w:rsidR="00024C0A" w:rsidRDefault="00694C0F">
      <w:r>
        <w:t>field-argument</w:t>
      </w:r>
    </w:p>
    <w:p w:rsidR="00024C0A" w:rsidRDefault="00694C0F">
      <w:r>
        <w:t>field-argument-2:</w:t>
      </w:r>
    </w:p>
    <w:p w:rsidR="00024C0A" w:rsidRDefault="00694C0F">
      <w:r>
        <w:t>field-argument</w:t>
      </w:r>
    </w:p>
    <w:p w:rsidR="00024C0A" w:rsidRDefault="00694C0F">
      <w:r>
        <w:rPr>
          <w:b/>
        </w:rPr>
        <w:t>Description:</w:t>
      </w:r>
    </w:p>
    <w:p w:rsidR="00024C0A" w:rsidRDefault="00694C0F">
      <w:r>
        <w:t xml:space="preserve">This field is analogous to the field code, MERGEFIELD. The main difference is that MERGEBARCODE generates a DISPLAYBARCODE field based on the merge result instead of </w:t>
      </w:r>
      <w:r>
        <w:t>showing it directly. The syntax of field instruction and supported switches is also different.</w:t>
      </w:r>
    </w:p>
    <w:p w:rsidR="00024C0A" w:rsidRDefault="00694C0F">
      <w:r>
        <w:t>The use of field-argument-1</w:t>
      </w:r>
      <w:r>
        <w:rPr>
          <w:i/>
        </w:rPr>
        <w:t xml:space="preserve"> </w:t>
      </w:r>
      <w:r>
        <w:t xml:space="preserve">is the same as the data field in the MERGEFIELD field. </w:t>
      </w:r>
    </w:p>
    <w:p w:rsidR="00024C0A" w:rsidRDefault="00694C0F">
      <w:r>
        <w:lastRenderedPageBreak/>
        <w:t>field-argument-2</w:t>
      </w:r>
      <w:r>
        <w:rPr>
          <w:i/>
        </w:rPr>
        <w:t xml:space="preserve"> </w:t>
      </w:r>
      <w:r>
        <w:t xml:space="preserve">is a text string containing the type of barcode (barcode-type) that will be generated.  The valid values (case-insensitive) are:  UPCA|UPCE|JAN13|JAN8|EAN13|EAN8|CASE|ITF14|NW7|CODE39|CODE128|JPPOST|QR </w:t>
      </w:r>
    </w:p>
    <w:p w:rsidR="00024C0A" w:rsidRDefault="00694C0F">
      <w:r>
        <w:t>The meanings of these values are described in the fol</w:t>
      </w:r>
      <w:r>
        <w:t>lowing table:</w:t>
      </w:r>
    </w:p>
    <w:tbl>
      <w:tblPr>
        <w:tblStyle w:val="Table-ShadedHeader"/>
        <w:tblW w:w="0" w:type="auto"/>
        <w:tblLook w:val="04A0" w:firstRow="1" w:lastRow="0" w:firstColumn="1" w:lastColumn="0" w:noHBand="0" w:noVBand="1"/>
      </w:tblPr>
      <w:tblGrid>
        <w:gridCol w:w="1630"/>
        <w:gridCol w:w="7845"/>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rPr>
                <w:i/>
              </w:rPr>
              <w:t>Field-argument-2</w:t>
            </w:r>
          </w:p>
        </w:tc>
        <w:tc>
          <w:tcPr>
            <w:tcW w:w="0" w:type="auto"/>
            <w:vAlign w:val="center"/>
          </w:tcPr>
          <w:p w:rsidR="00024C0A" w:rsidRDefault="00694C0F">
            <w:pPr>
              <w:pStyle w:val="TableHeaderText"/>
            </w:pPr>
            <w:r>
              <w:t>Barcode Type Description</w:t>
            </w:r>
          </w:p>
        </w:tc>
      </w:tr>
      <w:tr w:rsidR="00024C0A" w:rsidTr="00024C0A">
        <w:tc>
          <w:tcPr>
            <w:tcW w:w="0" w:type="auto"/>
            <w:vAlign w:val="center"/>
          </w:tcPr>
          <w:p w:rsidR="00024C0A" w:rsidRDefault="00694C0F">
            <w:pPr>
              <w:pStyle w:val="TableBodyText"/>
            </w:pPr>
            <w:r>
              <w:t>QR</w:t>
            </w:r>
          </w:p>
        </w:tc>
        <w:tc>
          <w:tcPr>
            <w:tcW w:w="0" w:type="auto"/>
            <w:vAlign w:val="center"/>
          </w:tcPr>
          <w:p w:rsidR="00024C0A" w:rsidRDefault="00694C0F">
            <w:pPr>
              <w:pStyle w:val="TableBodyText"/>
            </w:pPr>
            <w:r>
              <w:t xml:space="preserve">A QR 2D bar code as specified by </w:t>
            </w:r>
            <w:hyperlink r:id="rId299">
              <w:r>
                <w:rPr>
                  <w:rStyle w:val="Hyperlink"/>
                </w:rPr>
                <w:t>[ISO/IEC18004:2006]</w:t>
              </w:r>
            </w:hyperlink>
            <w:r>
              <w:t>.</w:t>
            </w:r>
          </w:p>
        </w:tc>
      </w:tr>
      <w:tr w:rsidR="00024C0A" w:rsidTr="00024C0A">
        <w:tc>
          <w:tcPr>
            <w:tcW w:w="0" w:type="auto"/>
            <w:vAlign w:val="center"/>
          </w:tcPr>
          <w:p w:rsidR="00024C0A" w:rsidRDefault="00694C0F">
            <w:pPr>
              <w:pStyle w:val="TableBodyText"/>
            </w:pPr>
            <w:r>
              <w:t>CODE128</w:t>
            </w:r>
          </w:p>
        </w:tc>
        <w:tc>
          <w:tcPr>
            <w:tcW w:w="0" w:type="auto"/>
            <w:vAlign w:val="center"/>
          </w:tcPr>
          <w:p w:rsidR="00024C0A" w:rsidRDefault="00694C0F">
            <w:pPr>
              <w:pStyle w:val="TableBodyText"/>
            </w:pPr>
            <w:r>
              <w:t xml:space="preserve">A Code 128 linear bar code as specified by </w:t>
            </w:r>
            <w:hyperlink r:id="rId300">
              <w:r>
                <w:rPr>
                  <w:rStyle w:val="Hyperlink"/>
                </w:rPr>
                <w:t>[AIM-BC4-1995-Code128]</w:t>
              </w:r>
            </w:hyperlink>
            <w:r>
              <w:t>.</w:t>
            </w:r>
          </w:p>
        </w:tc>
      </w:tr>
      <w:tr w:rsidR="00024C0A" w:rsidTr="00024C0A">
        <w:tc>
          <w:tcPr>
            <w:tcW w:w="0" w:type="auto"/>
            <w:vAlign w:val="center"/>
          </w:tcPr>
          <w:p w:rsidR="00024C0A" w:rsidRDefault="00694C0F">
            <w:pPr>
              <w:pStyle w:val="TableBodyText"/>
            </w:pPr>
            <w:r>
              <w:t>CODE39</w:t>
            </w:r>
          </w:p>
        </w:tc>
        <w:tc>
          <w:tcPr>
            <w:tcW w:w="0" w:type="auto"/>
            <w:vAlign w:val="center"/>
          </w:tcPr>
          <w:p w:rsidR="00024C0A" w:rsidRDefault="00694C0F">
            <w:pPr>
              <w:pStyle w:val="TableBodyText"/>
            </w:pPr>
            <w:r>
              <w:t xml:space="preserve">A Code 39 linear bar code as specified by </w:t>
            </w:r>
            <w:hyperlink r:id="rId301">
              <w:r>
                <w:rPr>
                  <w:rStyle w:val="Hyperlink"/>
                </w:rPr>
                <w:t>[AIM-BC1-1995-Code39]</w:t>
              </w:r>
            </w:hyperlink>
            <w:r>
              <w:t>.</w:t>
            </w:r>
          </w:p>
        </w:tc>
      </w:tr>
      <w:tr w:rsidR="00024C0A" w:rsidTr="00024C0A">
        <w:tc>
          <w:tcPr>
            <w:tcW w:w="0" w:type="auto"/>
            <w:vAlign w:val="center"/>
          </w:tcPr>
          <w:p w:rsidR="00024C0A" w:rsidRDefault="00694C0F">
            <w:pPr>
              <w:pStyle w:val="TableBodyText"/>
            </w:pPr>
            <w:r>
              <w:t>JPPOST</w:t>
            </w:r>
          </w:p>
        </w:tc>
        <w:tc>
          <w:tcPr>
            <w:tcW w:w="0" w:type="auto"/>
            <w:vAlign w:val="center"/>
          </w:tcPr>
          <w:p w:rsidR="00024C0A" w:rsidRDefault="00694C0F">
            <w:pPr>
              <w:pStyle w:val="TableBodyText"/>
            </w:pPr>
            <w:r>
              <w:t>Japanese Postal Servi</w:t>
            </w:r>
            <w:r>
              <w:t>ce Customer barcode. JPPost is compliant with CBC (Customer Bar Code), which is also known as RM4SCC.</w:t>
            </w:r>
          </w:p>
        </w:tc>
      </w:tr>
      <w:tr w:rsidR="00024C0A" w:rsidTr="00024C0A">
        <w:tc>
          <w:tcPr>
            <w:tcW w:w="0" w:type="auto"/>
            <w:vAlign w:val="center"/>
          </w:tcPr>
          <w:p w:rsidR="00024C0A" w:rsidRDefault="00694C0F">
            <w:pPr>
              <w:pStyle w:val="TableBodyText"/>
            </w:pPr>
            <w:r>
              <w:t>EAN8|EAN13</w:t>
            </w:r>
          </w:p>
        </w:tc>
        <w:tc>
          <w:tcPr>
            <w:tcW w:w="0" w:type="auto"/>
            <w:vAlign w:val="center"/>
          </w:tcPr>
          <w:p w:rsidR="00024C0A" w:rsidRDefault="00694C0F">
            <w:pPr>
              <w:pStyle w:val="TableBodyText"/>
            </w:pPr>
            <w:r>
              <w:t xml:space="preserve">An EAN - International Article Number worldwide bar code for product ID’s (8 digit/13 digit) as specified in </w:t>
            </w:r>
            <w:hyperlink r:id="rId302">
              <w:r>
                <w:rPr>
                  <w:rStyle w:val="Hyperlink"/>
                </w:rPr>
                <w:t>[GS1-BARCODE]</w:t>
              </w:r>
            </w:hyperlink>
            <w:r>
              <w:t>.</w:t>
            </w:r>
          </w:p>
        </w:tc>
      </w:tr>
      <w:tr w:rsidR="00024C0A" w:rsidTr="00024C0A">
        <w:tc>
          <w:tcPr>
            <w:tcW w:w="0" w:type="auto"/>
            <w:vAlign w:val="center"/>
          </w:tcPr>
          <w:p w:rsidR="00024C0A" w:rsidRDefault="00694C0F">
            <w:pPr>
              <w:pStyle w:val="TableBodyText"/>
            </w:pPr>
            <w:r>
              <w:t>JAN8|JAN13</w:t>
            </w:r>
          </w:p>
        </w:tc>
        <w:tc>
          <w:tcPr>
            <w:tcW w:w="0" w:type="auto"/>
            <w:vAlign w:val="center"/>
          </w:tcPr>
          <w:p w:rsidR="00024C0A" w:rsidRDefault="00694C0F">
            <w:pPr>
              <w:pStyle w:val="TableBodyText"/>
            </w:pPr>
            <w:r>
              <w:t>A JAN: Japanese barcode for product ID’s (8 digit/13 digit). JAN8 is an alias of EAN8. JAN13 is an alias of EAN13.</w:t>
            </w:r>
          </w:p>
        </w:tc>
      </w:tr>
      <w:tr w:rsidR="00024C0A" w:rsidTr="00024C0A">
        <w:tc>
          <w:tcPr>
            <w:tcW w:w="0" w:type="auto"/>
            <w:vAlign w:val="center"/>
          </w:tcPr>
          <w:p w:rsidR="00024C0A" w:rsidRDefault="00694C0F">
            <w:pPr>
              <w:pStyle w:val="TableBodyText"/>
            </w:pPr>
            <w:r>
              <w:t>UPCA|UPCE</w:t>
            </w:r>
          </w:p>
        </w:tc>
        <w:tc>
          <w:tcPr>
            <w:tcW w:w="0" w:type="auto"/>
            <w:vAlign w:val="center"/>
          </w:tcPr>
          <w:p w:rsidR="00024C0A" w:rsidRDefault="00694C0F">
            <w:pPr>
              <w:pStyle w:val="TableBodyText"/>
            </w:pPr>
            <w:r>
              <w:t>A UPC (A&amp;E): US barcode for product ID’s as specified in [GS1-BARCODE]</w:t>
            </w:r>
            <w:r>
              <w:t>.</w:t>
            </w:r>
          </w:p>
        </w:tc>
      </w:tr>
      <w:tr w:rsidR="00024C0A" w:rsidTr="00024C0A">
        <w:tc>
          <w:tcPr>
            <w:tcW w:w="0" w:type="auto"/>
            <w:vAlign w:val="center"/>
          </w:tcPr>
          <w:p w:rsidR="00024C0A" w:rsidRDefault="00694C0F">
            <w:pPr>
              <w:pStyle w:val="TableBodyText"/>
            </w:pPr>
            <w:r>
              <w:t>ITF14</w:t>
            </w:r>
          </w:p>
        </w:tc>
        <w:tc>
          <w:tcPr>
            <w:tcW w:w="0" w:type="auto"/>
            <w:vAlign w:val="center"/>
          </w:tcPr>
          <w:p w:rsidR="00024C0A" w:rsidRDefault="00694C0F">
            <w:pPr>
              <w:pStyle w:val="TableBodyText"/>
            </w:pPr>
            <w:r>
              <w:t>An ITF-14 item-tracking barcode for shipping as specified in [GS1-BARCODE].</w:t>
            </w:r>
          </w:p>
        </w:tc>
      </w:tr>
      <w:tr w:rsidR="00024C0A" w:rsidTr="00024C0A">
        <w:tc>
          <w:tcPr>
            <w:tcW w:w="0" w:type="auto"/>
            <w:vAlign w:val="center"/>
          </w:tcPr>
          <w:p w:rsidR="00024C0A" w:rsidRDefault="00694C0F">
            <w:pPr>
              <w:pStyle w:val="TableBodyText"/>
            </w:pPr>
            <w:r>
              <w:t>NW7</w:t>
            </w:r>
          </w:p>
        </w:tc>
        <w:tc>
          <w:tcPr>
            <w:tcW w:w="0" w:type="auto"/>
            <w:vAlign w:val="center"/>
          </w:tcPr>
          <w:p w:rsidR="00024C0A" w:rsidRDefault="00694C0F">
            <w:pPr>
              <w:pStyle w:val="TableBodyText"/>
            </w:pPr>
            <w:r>
              <w:t xml:space="preserve">A NW-7 (CODABAR) serial number bar code as specified by </w:t>
            </w:r>
            <w:hyperlink r:id="rId303">
              <w:r>
                <w:rPr>
                  <w:rStyle w:val="Hyperlink"/>
                </w:rPr>
                <w:t>[AIM-BC3-1995-Codabar]</w:t>
              </w:r>
            </w:hyperlink>
            <w:r>
              <w:t>.</w:t>
            </w:r>
          </w:p>
        </w:tc>
      </w:tr>
      <w:tr w:rsidR="00024C0A" w:rsidTr="00024C0A">
        <w:tc>
          <w:tcPr>
            <w:tcW w:w="0" w:type="auto"/>
            <w:vAlign w:val="center"/>
          </w:tcPr>
          <w:p w:rsidR="00024C0A" w:rsidRDefault="00694C0F">
            <w:pPr>
              <w:pStyle w:val="TableBodyText"/>
            </w:pPr>
            <w:r>
              <w:t>CASE</w:t>
            </w:r>
          </w:p>
        </w:tc>
        <w:tc>
          <w:tcPr>
            <w:tcW w:w="0" w:type="auto"/>
            <w:vAlign w:val="center"/>
          </w:tcPr>
          <w:p w:rsidR="00024C0A" w:rsidRDefault="00694C0F">
            <w:pPr>
              <w:pStyle w:val="TableBodyText"/>
            </w:pPr>
            <w:r>
              <w:t>USPS barcode –</w:t>
            </w:r>
            <w:r>
              <w:t xml:space="preserve"> FIM/POSTNET (*2) - barcode for tracking USPS mail. CASE is an alias of ITF14.</w:t>
            </w:r>
          </w:p>
        </w:tc>
      </w:tr>
    </w:tbl>
    <w:p w:rsidR="00024C0A" w:rsidRDefault="00024C0A"/>
    <w:p w:rsidR="00024C0A" w:rsidRDefault="00694C0F">
      <w:r>
        <w:rPr>
          <w:b/>
        </w:rPr>
        <w:t xml:space="preserve">Switches: </w:t>
      </w:r>
      <w:r>
        <w:t>Zero or more of the following field-specific-switches</w:t>
      </w:r>
      <w:r>
        <w:rPr>
          <w:i/>
        </w:rPr>
        <w:t xml:space="preserve">. </w:t>
      </w:r>
    </w:p>
    <w:tbl>
      <w:tblPr>
        <w:tblStyle w:val="Table-ShadedHeader"/>
        <w:tblW w:w="0" w:type="auto"/>
        <w:tblLook w:val="04A0" w:firstRow="1" w:lastRow="0" w:firstColumn="1" w:lastColumn="0" w:noHBand="0" w:noVBand="1"/>
      </w:tblPr>
      <w:tblGrid>
        <w:gridCol w:w="1278"/>
        <w:gridCol w:w="8197"/>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Field Switch</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t xml:space="preserve">\h </w:t>
            </w:r>
            <w:r>
              <w:rPr>
                <w:i/>
              </w:rPr>
              <w:t>field-argument</w:t>
            </w:r>
          </w:p>
        </w:tc>
        <w:tc>
          <w:tcPr>
            <w:tcW w:w="0" w:type="auto"/>
            <w:vAlign w:val="center"/>
          </w:tcPr>
          <w:p w:rsidR="00024C0A" w:rsidRDefault="00694C0F">
            <w:pPr>
              <w:pStyle w:val="TableBodyText"/>
            </w:pPr>
            <w:r>
              <w:t xml:space="preserve">The </w:t>
            </w:r>
            <w:r>
              <w:rPr>
                <w:i/>
              </w:rPr>
              <w:t>text</w:t>
            </w:r>
            <w:r>
              <w:t xml:space="preserve"> in this switch's </w:t>
            </w:r>
            <w:r>
              <w:rPr>
                <w:i/>
              </w:rPr>
              <w:t>field-argument</w:t>
            </w:r>
            <w:r>
              <w:t xml:space="preserve"> is an integer that speci</w:t>
            </w:r>
            <w:r>
              <w:t>fies the height of the symbol.  The units are in TWIPS (1/1440 inch).</w:t>
            </w:r>
          </w:p>
        </w:tc>
      </w:tr>
      <w:tr w:rsidR="00024C0A" w:rsidTr="00024C0A">
        <w:tc>
          <w:tcPr>
            <w:tcW w:w="0" w:type="auto"/>
            <w:vAlign w:val="center"/>
          </w:tcPr>
          <w:p w:rsidR="00024C0A" w:rsidRDefault="00694C0F">
            <w:pPr>
              <w:pStyle w:val="TableBodyText"/>
            </w:pPr>
            <w:r>
              <w:t xml:space="preserve">\s </w:t>
            </w:r>
            <w:r>
              <w:rPr>
                <w:i/>
              </w:rPr>
              <w:t>field-argument</w:t>
            </w:r>
          </w:p>
        </w:tc>
        <w:tc>
          <w:tcPr>
            <w:tcW w:w="0" w:type="auto"/>
            <w:vAlign w:val="center"/>
          </w:tcPr>
          <w:p w:rsidR="00024C0A" w:rsidRDefault="00694C0F">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024C0A" w:rsidTr="00024C0A">
        <w:tc>
          <w:tcPr>
            <w:tcW w:w="0" w:type="auto"/>
            <w:vAlign w:val="center"/>
          </w:tcPr>
          <w:p w:rsidR="00024C0A" w:rsidRDefault="00694C0F">
            <w:pPr>
              <w:pStyle w:val="TableBodyText"/>
            </w:pPr>
            <w:r>
              <w:t xml:space="preserve">\q </w:t>
            </w:r>
            <w:r>
              <w:rPr>
                <w:i/>
              </w:rPr>
              <w:t>field-argument</w:t>
            </w:r>
          </w:p>
        </w:tc>
        <w:tc>
          <w:tcPr>
            <w:tcW w:w="0" w:type="auto"/>
            <w:vAlign w:val="center"/>
          </w:tcPr>
          <w:p w:rsidR="00024C0A" w:rsidRDefault="00694C0F">
            <w:pPr>
              <w:pStyle w:val="TableBodyText"/>
            </w:pPr>
            <w:r>
              <w:t xml:space="preserve">The </w:t>
            </w:r>
            <w:r>
              <w:rPr>
                <w:i/>
              </w:rPr>
              <w:t>text</w:t>
            </w:r>
            <w:r>
              <w:t xml:space="preserve"> in this switch's </w:t>
            </w:r>
            <w:r>
              <w:rPr>
                <w:i/>
              </w:rPr>
              <w:t>field-argument</w:t>
            </w:r>
            <w:r>
              <w:t xml:space="preserve"> is an integer that specifies the error correction level o</w:t>
            </w:r>
            <w:r>
              <w:t>f QR Code.  Valid values are [0, 3]</w:t>
            </w:r>
          </w:p>
          <w:p w:rsidR="00024C0A" w:rsidRDefault="00024C0A">
            <w:pPr>
              <w:pStyle w:val="TableBodyText"/>
            </w:pPr>
          </w:p>
        </w:tc>
      </w:tr>
      <w:tr w:rsidR="00024C0A" w:rsidTr="00024C0A">
        <w:tc>
          <w:tcPr>
            <w:tcW w:w="0" w:type="auto"/>
            <w:vAlign w:val="center"/>
          </w:tcPr>
          <w:p w:rsidR="00024C0A" w:rsidRDefault="00694C0F">
            <w:pPr>
              <w:pStyle w:val="TableBodyText"/>
            </w:pPr>
            <w:r>
              <w:t xml:space="preserve">\p </w:t>
            </w:r>
            <w:r>
              <w:rPr>
                <w:i/>
              </w:rPr>
              <w:t>field-argument</w:t>
            </w:r>
          </w:p>
        </w:tc>
        <w:tc>
          <w:tcPr>
            <w:tcW w:w="0" w:type="auto"/>
            <w:vAlign w:val="center"/>
          </w:tcPr>
          <w:p w:rsidR="00024C0A" w:rsidRDefault="00694C0F">
            <w:pPr>
              <w:pStyle w:val="TableBodyText"/>
            </w:pPr>
            <w:r>
              <w:t xml:space="preserve">The </w:t>
            </w:r>
            <w:r>
              <w:rPr>
                <w:i/>
              </w:rPr>
              <w:t>text</w:t>
            </w:r>
            <w:r>
              <w:t xml:space="preserve"> in this switch's </w:t>
            </w:r>
            <w:r>
              <w:rPr>
                <w:i/>
              </w:rPr>
              <w:t>field-argument</w:t>
            </w:r>
            <w:r>
              <w:t xml:space="preserve"> specifies the style of a POS barcode (barcode types UPCA|UPCE|EAN13|EAN8).  The valid values are [STD|SUP2|SUP5|CASE].</w:t>
            </w:r>
          </w:p>
          <w:p w:rsidR="00024C0A" w:rsidRDefault="00024C0A">
            <w:pPr>
              <w:pStyle w:val="TableBodyText"/>
            </w:pPr>
          </w:p>
        </w:tc>
      </w:tr>
      <w:tr w:rsidR="00024C0A" w:rsidTr="00024C0A">
        <w:tc>
          <w:tcPr>
            <w:tcW w:w="0" w:type="auto"/>
            <w:vAlign w:val="center"/>
          </w:tcPr>
          <w:p w:rsidR="00024C0A" w:rsidRDefault="00694C0F">
            <w:pPr>
              <w:pStyle w:val="TableBodyText"/>
            </w:pPr>
            <w:r>
              <w:t>\x</w:t>
            </w:r>
          </w:p>
        </w:tc>
        <w:tc>
          <w:tcPr>
            <w:tcW w:w="0" w:type="auto"/>
            <w:vAlign w:val="center"/>
          </w:tcPr>
          <w:p w:rsidR="00024C0A" w:rsidRDefault="00694C0F">
            <w:pPr>
              <w:pStyle w:val="TableBodyText"/>
            </w:pPr>
            <w:r>
              <w:t>Fixes the check digit if it’s inval</w:t>
            </w:r>
            <w:r>
              <w:t>id.</w:t>
            </w:r>
          </w:p>
          <w:p w:rsidR="00024C0A" w:rsidRDefault="00024C0A">
            <w:pPr>
              <w:pStyle w:val="TableBodyText"/>
            </w:pPr>
          </w:p>
        </w:tc>
      </w:tr>
      <w:tr w:rsidR="00024C0A" w:rsidTr="00024C0A">
        <w:tc>
          <w:tcPr>
            <w:tcW w:w="0" w:type="auto"/>
            <w:vAlign w:val="center"/>
          </w:tcPr>
          <w:p w:rsidR="00024C0A" w:rsidRDefault="00694C0F">
            <w:pPr>
              <w:pStyle w:val="TableBodyText"/>
            </w:pPr>
            <w:r>
              <w:t>\d</w:t>
            </w:r>
          </w:p>
        </w:tc>
        <w:tc>
          <w:tcPr>
            <w:tcW w:w="0" w:type="auto"/>
            <w:vAlign w:val="center"/>
          </w:tcPr>
          <w:p w:rsidR="00024C0A" w:rsidRDefault="00694C0F">
            <w:pPr>
              <w:pStyle w:val="TableBodyText"/>
            </w:pPr>
            <w:r>
              <w:t>Adds Start/Stop characters for barcode types NW7 and CODE39</w:t>
            </w:r>
          </w:p>
          <w:p w:rsidR="00024C0A" w:rsidRDefault="00024C0A">
            <w:pPr>
              <w:pStyle w:val="TableBodyText"/>
            </w:pPr>
          </w:p>
        </w:tc>
      </w:tr>
      <w:tr w:rsidR="00024C0A" w:rsidTr="00024C0A">
        <w:tc>
          <w:tcPr>
            <w:tcW w:w="0" w:type="auto"/>
            <w:vAlign w:val="center"/>
          </w:tcPr>
          <w:p w:rsidR="00024C0A" w:rsidRDefault="00694C0F">
            <w:pPr>
              <w:pStyle w:val="TableBodyText"/>
            </w:pPr>
            <w:r>
              <w:t xml:space="preserve">\c </w:t>
            </w:r>
            <w:r>
              <w:rPr>
                <w:i/>
              </w:rPr>
              <w:t>field-argument</w:t>
            </w:r>
          </w:p>
        </w:tc>
        <w:tc>
          <w:tcPr>
            <w:tcW w:w="0" w:type="auto"/>
            <w:vAlign w:val="center"/>
          </w:tcPr>
          <w:p w:rsidR="00024C0A" w:rsidRDefault="00694C0F">
            <w:pPr>
              <w:pStyle w:val="TableBodyText"/>
            </w:pPr>
            <w:r>
              <w:t xml:space="preserve">The </w:t>
            </w:r>
            <w:r>
              <w:rPr>
                <w:i/>
              </w:rPr>
              <w:t>text</w:t>
            </w:r>
            <w:r>
              <w:t xml:space="preserve"> in this switch's </w:t>
            </w:r>
            <w:r>
              <w:rPr>
                <w:i/>
              </w:rPr>
              <w:t>field-argument</w:t>
            </w:r>
            <w:r>
              <w:t xml:space="preserve"> specifies the style of a Case Code for barcode type ITF14.   The valid values are [STD|EXT|ADD]</w:t>
            </w:r>
          </w:p>
          <w:p w:rsidR="00024C0A" w:rsidRDefault="00024C0A">
            <w:pPr>
              <w:pStyle w:val="TableBodyText"/>
            </w:pPr>
          </w:p>
        </w:tc>
      </w:tr>
      <w:tr w:rsidR="00024C0A" w:rsidTr="00024C0A">
        <w:tc>
          <w:tcPr>
            <w:tcW w:w="0" w:type="auto"/>
            <w:vAlign w:val="center"/>
          </w:tcPr>
          <w:p w:rsidR="00024C0A" w:rsidRDefault="00694C0F">
            <w:pPr>
              <w:pStyle w:val="TableBodyText"/>
            </w:pPr>
            <w:r>
              <w:lastRenderedPageBreak/>
              <w:t xml:space="preserve">\r </w:t>
            </w:r>
            <w:r>
              <w:rPr>
                <w:i/>
              </w:rPr>
              <w:t>field-argument</w:t>
            </w:r>
          </w:p>
        </w:tc>
        <w:tc>
          <w:tcPr>
            <w:tcW w:w="0" w:type="auto"/>
            <w:vAlign w:val="center"/>
          </w:tcPr>
          <w:p w:rsidR="00024C0A" w:rsidRDefault="00694C0F">
            <w:pPr>
              <w:pStyle w:val="TableBodyText"/>
            </w:pPr>
            <w:r>
              <w:t xml:space="preserve">The </w:t>
            </w:r>
            <w:r>
              <w:rPr>
                <w:i/>
              </w:rPr>
              <w:t>text</w:t>
            </w:r>
            <w:r>
              <w:t xml:space="preserve"> i</w:t>
            </w:r>
            <w:r>
              <w:t xml:space="preserve">n this switch's </w:t>
            </w:r>
            <w:r>
              <w:rPr>
                <w:i/>
              </w:rPr>
              <w:t>field-argument</w:t>
            </w:r>
            <w:r>
              <w:t xml:space="preserve"> is an integer that specifies the rotation of the barcode symbol.  Valid values are [0, 3]</w:t>
            </w:r>
          </w:p>
          <w:p w:rsidR="00024C0A" w:rsidRDefault="00024C0A">
            <w:pPr>
              <w:pStyle w:val="TableBodyText"/>
            </w:pPr>
          </w:p>
        </w:tc>
      </w:tr>
      <w:tr w:rsidR="00024C0A" w:rsidTr="00024C0A">
        <w:tc>
          <w:tcPr>
            <w:tcW w:w="0" w:type="auto"/>
            <w:vAlign w:val="center"/>
          </w:tcPr>
          <w:p w:rsidR="00024C0A" w:rsidRDefault="00694C0F">
            <w:pPr>
              <w:pStyle w:val="TableBodyText"/>
            </w:pPr>
            <w:r>
              <w:t xml:space="preserve">\f </w:t>
            </w:r>
            <w:r>
              <w:rPr>
                <w:i/>
              </w:rPr>
              <w:t>field-argument</w:t>
            </w:r>
          </w:p>
        </w:tc>
        <w:tc>
          <w:tcPr>
            <w:tcW w:w="0" w:type="auto"/>
            <w:vAlign w:val="center"/>
          </w:tcPr>
          <w:p w:rsidR="00024C0A" w:rsidRDefault="00694C0F">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[0, 0xFFFFFF]</w:t>
            </w:r>
          </w:p>
          <w:p w:rsidR="00024C0A" w:rsidRDefault="00024C0A">
            <w:pPr>
              <w:pStyle w:val="TableBodyText"/>
            </w:pPr>
          </w:p>
        </w:tc>
      </w:tr>
      <w:tr w:rsidR="00024C0A" w:rsidTr="00024C0A">
        <w:tc>
          <w:tcPr>
            <w:tcW w:w="0" w:type="auto"/>
            <w:vAlign w:val="center"/>
          </w:tcPr>
          <w:p w:rsidR="00024C0A" w:rsidRDefault="00694C0F">
            <w:pPr>
              <w:pStyle w:val="TableBodyText"/>
            </w:pPr>
            <w:r>
              <w:t xml:space="preserve">\b </w:t>
            </w:r>
            <w:r>
              <w:rPr>
                <w:i/>
              </w:rPr>
              <w:t>field-argument</w:t>
            </w:r>
          </w:p>
        </w:tc>
        <w:tc>
          <w:tcPr>
            <w:tcW w:w="0" w:type="auto"/>
            <w:vAlign w:val="center"/>
          </w:tcPr>
          <w:p w:rsidR="00024C0A" w:rsidRDefault="00694C0F">
            <w:pPr>
              <w:pStyle w:val="TableBodyText"/>
            </w:pPr>
            <w:r>
              <w:t xml:space="preserve">The </w:t>
            </w:r>
            <w:r>
              <w:rPr>
                <w:i/>
              </w:rPr>
              <w:t>text</w:t>
            </w:r>
            <w:r>
              <w:t xml:space="preserve"> in this switch's </w:t>
            </w:r>
            <w:r>
              <w:rPr>
                <w:i/>
              </w:rPr>
              <w:t>field-argument</w:t>
            </w:r>
            <w:r>
              <w:t xml:space="preserve"> is an integer that specifies the background color of the barcode symbol.  Va</w:t>
            </w:r>
            <w:r>
              <w:t>lid values are in the range [0, 0xFFFFFF]</w:t>
            </w:r>
          </w:p>
          <w:p w:rsidR="00024C0A" w:rsidRDefault="00024C0A">
            <w:pPr>
              <w:pStyle w:val="TableBodyText"/>
            </w:pPr>
          </w:p>
        </w:tc>
      </w:tr>
      <w:tr w:rsidR="00024C0A" w:rsidTr="00024C0A">
        <w:tc>
          <w:tcPr>
            <w:tcW w:w="0" w:type="auto"/>
            <w:vAlign w:val="center"/>
          </w:tcPr>
          <w:p w:rsidR="00024C0A" w:rsidRDefault="00694C0F">
            <w:pPr>
              <w:pStyle w:val="TableBodyText"/>
            </w:pPr>
            <w:r>
              <w:t>\t</w:t>
            </w:r>
          </w:p>
        </w:tc>
        <w:tc>
          <w:tcPr>
            <w:tcW w:w="0" w:type="auto"/>
            <w:vAlign w:val="center"/>
          </w:tcPr>
          <w:p w:rsidR="00024C0A" w:rsidRDefault="00694C0F">
            <w:pPr>
              <w:pStyle w:val="TableBodyText"/>
            </w:pPr>
            <w:r>
              <w:t>Display barcode data (text) along with image</w:t>
            </w:r>
          </w:p>
          <w:p w:rsidR="00024C0A" w:rsidRDefault="00024C0A">
            <w:pPr>
              <w:pStyle w:val="TableBodyText"/>
            </w:pPr>
          </w:p>
        </w:tc>
      </w:tr>
      <w:tr w:rsidR="00024C0A" w:rsidTr="00024C0A">
        <w:tc>
          <w:tcPr>
            <w:tcW w:w="0" w:type="auto"/>
            <w:vAlign w:val="center"/>
          </w:tcPr>
          <w:p w:rsidR="00024C0A" w:rsidRDefault="00694C0F">
            <w:pPr>
              <w:pStyle w:val="TableBodyText"/>
            </w:pPr>
            <w:r>
              <w:t>\a</w:t>
            </w:r>
          </w:p>
        </w:tc>
        <w:tc>
          <w:tcPr>
            <w:tcW w:w="0" w:type="auto"/>
            <w:vAlign w:val="center"/>
          </w:tcPr>
          <w:p w:rsidR="00024C0A" w:rsidRDefault="00694C0F">
            <w:pPr>
              <w:pStyle w:val="TableBodyText"/>
            </w:pPr>
            <w:r>
              <w:t xml:space="preserve">Concatenate all mapped address fields to generate a Japanese Postal Customer Barcode. The </w:t>
            </w:r>
            <w:r>
              <w:rPr>
                <w:i/>
              </w:rPr>
              <w:t>field-argument</w:t>
            </w:r>
            <w:r>
              <w:t xml:space="preserve"> and </w:t>
            </w:r>
            <w:r>
              <w:rPr>
                <w:i/>
              </w:rPr>
              <w:t>Barcode-Type</w:t>
            </w:r>
            <w:r>
              <w:t xml:space="preserve"> arguments and all other switches are </w:t>
            </w:r>
            <w:r>
              <w:t>ignored when this switch is used.</w:t>
            </w:r>
          </w:p>
          <w:p w:rsidR="00024C0A" w:rsidRDefault="00024C0A">
            <w:pPr>
              <w:pStyle w:val="TableBodyText"/>
            </w:pPr>
          </w:p>
        </w:tc>
      </w:tr>
    </w:tbl>
    <w:p w:rsidR="00024C0A" w:rsidRDefault="00024C0A"/>
    <w:p w:rsidR="00024C0A" w:rsidRDefault="00694C0F">
      <w:r>
        <w:t xml:space="preserve"> [Example: The following field uses the data in BarcodeData to generate an EAN-13 barcode with default style:</w:t>
      </w:r>
    </w:p>
    <w:p w:rsidR="00024C0A" w:rsidRDefault="00694C0F">
      <w:pPr>
        <w:pStyle w:val="Code"/>
      </w:pPr>
      <w:r>
        <w:t>MERGEBARCODE BarcodeData EAN13</w:t>
      </w:r>
    </w:p>
    <w:p w:rsidR="00024C0A" w:rsidRDefault="00694C0F">
      <w:r>
        <w:t>end example]</w:t>
      </w:r>
    </w:p>
    <w:p w:rsidR="00024C0A" w:rsidRDefault="00694C0F">
      <w:r>
        <w:t xml:space="preserve">[Example: The following field uses the data in URL to generate a </w:t>
      </w:r>
      <w:r>
        <w:t>QR Code with highest error correction level:</w:t>
      </w:r>
    </w:p>
    <w:p w:rsidR="00024C0A" w:rsidRDefault="00694C0F">
      <w:pPr>
        <w:pStyle w:val="Code"/>
      </w:pPr>
      <w:r>
        <w:t>MERGEBARCODE URL QR \q 4</w:t>
      </w:r>
    </w:p>
    <w:p w:rsidR="00024C0A" w:rsidRDefault="00694C0F">
      <w:r>
        <w:t>end example]</w:t>
      </w:r>
    </w:p>
    <w:p w:rsidR="00024C0A" w:rsidRDefault="00694C0F">
      <w:r>
        <w:t>[Example: The following field concatenates all mapped address fields and uses that data to generate a Japanese Postal Customer Barcode:</w:t>
      </w:r>
    </w:p>
    <w:p w:rsidR="00024C0A" w:rsidRDefault="00694C0F">
      <w:pPr>
        <w:pStyle w:val="Code"/>
      </w:pPr>
      <w:r>
        <w:t>MERGEBARCODE PLACEHOLDER JPPOST \a</w:t>
      </w:r>
    </w:p>
    <w:p w:rsidR="00024C0A" w:rsidRDefault="00694C0F">
      <w:r>
        <w:t>end example]</w:t>
      </w:r>
    </w:p>
    <w:p w:rsidR="00024C0A" w:rsidRDefault="00694C0F">
      <w:pPr>
        <w:pStyle w:val="Heading4"/>
      </w:pPr>
      <w:bookmarkStart w:id="3909" w:name="section_86f6d7c756104b598a6be11314b01c3c"/>
      <w:bookmarkStart w:id="3910" w:name="_Toc12262015"/>
      <w:r>
        <w:t>Simple Types</w:t>
      </w:r>
      <w:bookmarkEnd w:id="3909"/>
      <w:bookmarkEnd w:id="3910"/>
      <w:r>
        <w:fldChar w:fldCharType="begin"/>
      </w:r>
      <w:r>
        <w:instrText xml:space="preserve"> XE "Simple Types" </w:instrText>
      </w:r>
      <w:r>
        <w:fldChar w:fldCharType="end"/>
      </w:r>
    </w:p>
    <w:p w:rsidR="00024C0A" w:rsidRDefault="00694C0F">
      <w:r>
        <w:t>This is the complete list of simple types in the http://schemas.openxmlformats.org/wordprocessingml/2006/main namespace.</w:t>
      </w:r>
    </w:p>
    <w:p w:rsidR="00024C0A" w:rsidRDefault="00694C0F">
      <w:pPr>
        <w:pStyle w:val="Heading5"/>
      </w:pPr>
      <w:bookmarkStart w:id="3911" w:name="section_04197af53c824a9d81393f1cec2b78eb"/>
      <w:bookmarkStart w:id="3912" w:name="_Toc12262016"/>
      <w:r>
        <w:t>ST_CustomXmlURI (URI for Custom XML)</w:t>
      </w:r>
      <w:bookmarkEnd w:id="3911"/>
      <w:bookmarkEnd w:id="3912"/>
      <w:r>
        <w:fldChar w:fldCharType="begin"/>
      </w:r>
      <w:r>
        <w:instrText xml:space="preserve"> XE "ST_CustomXmlURI (URI for Custom XML)" </w:instrText>
      </w:r>
      <w:r>
        <w:fldChar w:fldCharType="end"/>
      </w:r>
    </w:p>
    <w:p w:rsidR="00024C0A" w:rsidRDefault="00694C0F">
      <w:r>
        <w:lastRenderedPageBreak/>
        <w:t xml:space="preserve">This simple type specifies the URI of the current custom XML element. Word fails to load the document if the URI is not declared in any of the attached schemas via the element </w:t>
      </w:r>
      <w:r>
        <w:rPr>
          <w:b/>
        </w:rPr>
        <w:t>attachedSchema</w:t>
      </w:r>
      <w:r>
        <w:t xml:space="preserve"> ("</w:t>
      </w:r>
      <w:hyperlink r:id="rId304">
        <w:r>
          <w:rPr>
            <w:rStyle w:val="Hyperlink"/>
          </w:rPr>
          <w:t>[ISO/IEC-29500-1]</w:t>
        </w:r>
      </w:hyperlink>
      <w:r>
        <w:t xml:space="preserve"> §17.15.1.5; attachedSchema").</w:t>
      </w:r>
    </w:p>
    <w:p w:rsidR="00024C0A" w:rsidRDefault="00694C0F">
      <w:r>
        <w:t>This simple type's contents are a restriction of the XML Schema string datatype.</w:t>
      </w:r>
    </w:p>
    <w:tbl>
      <w:tblPr>
        <w:tblStyle w:val="Table-ShadedHeader"/>
        <w:tblW w:w="0" w:type="auto"/>
        <w:tblLook w:val="04A0" w:firstRow="1" w:lastRow="0" w:firstColumn="1" w:lastColumn="0" w:noHBand="0" w:noVBand="1"/>
      </w:tblPr>
      <w:tblGrid>
        <w:gridCol w:w="368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Referenced By</w:t>
            </w:r>
          </w:p>
        </w:tc>
      </w:tr>
      <w:tr w:rsidR="00024C0A" w:rsidTr="00024C0A">
        <w:tc>
          <w:tcPr>
            <w:tcW w:w="0" w:type="auto"/>
            <w:vAlign w:val="center"/>
          </w:tcPr>
          <w:p w:rsidR="00024C0A" w:rsidRDefault="00694C0F">
            <w:pPr>
              <w:pStyle w:val="TableBodyText"/>
            </w:pPr>
            <w:r>
              <w:rPr>
                <w:b/>
              </w:rPr>
              <w:t>customXml@uri</w:t>
            </w:r>
            <w:r>
              <w:t xml:space="preserve"> (§</w:t>
            </w:r>
            <w:hyperlink w:anchor="Section_d188da3eb34b4445b3a0118155f75ff3">
              <w:r>
                <w:rPr>
                  <w:rStyle w:val="Hyperlink"/>
                </w:rPr>
                <w:t>3.1.3.1.1, customXml</w:t>
              </w:r>
            </w:hyperlink>
            <w:r>
              <w:t>)</w:t>
            </w:r>
          </w:p>
        </w:tc>
      </w:tr>
    </w:tbl>
    <w:p w:rsidR="00024C0A" w:rsidRDefault="00024C0A"/>
    <w:p w:rsidR="00024C0A" w:rsidRDefault="00694C0F">
      <w:r>
        <w:t>The fo</w:t>
      </w:r>
      <w:r>
        <w:t>llowing XML Schema fragment defines the contents of this simple type:</w:t>
      </w:r>
    </w:p>
    <w:p w:rsidR="00024C0A" w:rsidRDefault="00694C0F">
      <w:pPr>
        <w:pStyle w:val="Code"/>
      </w:pPr>
      <w:r>
        <w:t>&lt;simpleType name="ST_CustomXmlURI"&gt;</w:t>
      </w:r>
    </w:p>
    <w:p w:rsidR="00024C0A" w:rsidRDefault="00694C0F">
      <w:pPr>
        <w:pStyle w:val="Code"/>
      </w:pPr>
      <w:r>
        <w:t xml:space="preserve">  &lt;restriction base="xsd:string"/&gt;</w:t>
      </w:r>
    </w:p>
    <w:p w:rsidR="00024C0A" w:rsidRDefault="00694C0F">
      <w:pPr>
        <w:pStyle w:val="Code"/>
      </w:pPr>
      <w:r>
        <w:t>&lt;/simpleType&gt;</w:t>
      </w:r>
    </w:p>
    <w:p w:rsidR="00024C0A" w:rsidRDefault="00694C0F">
      <w:pPr>
        <w:pStyle w:val="Heading5"/>
      </w:pPr>
      <w:bookmarkStart w:id="3913" w:name="section_67feb752f108441eaca363fc2717117a"/>
      <w:bookmarkStart w:id="3914" w:name="_Toc12262017"/>
      <w:r>
        <w:t>ST_DateTime (Standard Date and Time Storage Format)</w:t>
      </w:r>
      <w:bookmarkEnd w:id="3913"/>
      <w:bookmarkEnd w:id="3914"/>
      <w:r>
        <w:fldChar w:fldCharType="begin"/>
      </w:r>
      <w:r>
        <w:instrText xml:space="preserve"> XE "ST_DateTime (Standard Date and Time Storage Format)" </w:instrText>
      </w:r>
      <w:r>
        <w:fldChar w:fldCharType="end"/>
      </w:r>
    </w:p>
    <w:p w:rsidR="00024C0A" w:rsidRDefault="00694C0F">
      <w:r>
        <w:t>This simple type specifies that its contents will contain a date in the standard XML Schema xsd:dateTime format, whose contents are interpreted based on the context of the parent XML element.</w:t>
      </w:r>
    </w:p>
    <w:p w:rsidR="00024C0A" w:rsidRDefault="00694C0F">
      <w:r>
        <w:t>[Ex</w:t>
      </w:r>
      <w:r>
        <w:t>ample: Consider the following WordprocessingML fragment:</w:t>
      </w:r>
    </w:p>
    <w:p w:rsidR="00024C0A" w:rsidRDefault="00694C0F">
      <w:pPr>
        <w:pStyle w:val="Code"/>
      </w:pPr>
      <w:r>
        <w:t>&lt;w:date w:realDate="01-01-2006T12:00:00Z"&gt;</w:t>
      </w:r>
    </w:p>
    <w:p w:rsidR="00024C0A" w:rsidRDefault="00694C0F">
      <w:pPr>
        <w:pStyle w:val="Code"/>
      </w:pPr>
      <w:r>
        <w:t xml:space="preserve">  …</w:t>
      </w:r>
    </w:p>
    <w:p w:rsidR="00024C0A" w:rsidRDefault="00694C0F">
      <w:pPr>
        <w:pStyle w:val="Code"/>
      </w:pPr>
      <w:r>
        <w:t>&lt;/w:date&gt;</w:t>
      </w:r>
    </w:p>
    <w:p w:rsidR="00024C0A" w:rsidRDefault="00694C0F">
      <w:r>
        <w:t xml:space="preserve">In this case, the date in the </w:t>
      </w:r>
      <w:r>
        <w:rPr>
          <w:b/>
        </w:rPr>
        <w:t>realDate</w:t>
      </w:r>
      <w:r>
        <w:t xml:space="preserve"> attribute is the full date associated with the parent date-picker structured document. In every case, t</w:t>
      </w:r>
      <w:r>
        <w:t>he value of this type is interpreted in the context of the parent element or attribute. end example]</w:t>
      </w:r>
    </w:p>
    <w:p w:rsidR="00024C0A" w:rsidRDefault="00694C0F">
      <w:r>
        <w:t>This simple type's contents are a restriction of the XML Schema dateTime datatype.</w:t>
      </w:r>
    </w:p>
    <w:tbl>
      <w:tblPr>
        <w:tblStyle w:val="Table-ShadedHeader"/>
        <w:tblW w:w="0" w:type="auto"/>
        <w:tblLook w:val="04A0" w:firstRow="1" w:lastRow="0" w:firstColumn="1" w:lastColumn="0" w:noHBand="0" w:noVBand="1"/>
      </w:tblPr>
      <w:tblGrid>
        <w:gridCol w:w="693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Referenced By</w:t>
            </w:r>
          </w:p>
        </w:tc>
      </w:tr>
      <w:tr w:rsidR="00024C0A" w:rsidTr="00024C0A">
        <w:tc>
          <w:tcPr>
            <w:tcW w:w="0" w:type="auto"/>
            <w:vAlign w:val="center"/>
          </w:tcPr>
          <w:p w:rsidR="00024C0A" w:rsidRDefault="00694C0F">
            <w:pPr>
              <w:pStyle w:val="TableBodyText"/>
            </w:pPr>
            <w:r>
              <w:rPr>
                <w:b/>
              </w:rPr>
              <w:t>moveFrom@date</w:t>
            </w:r>
            <w:r>
              <w:t xml:space="preserve"> (§</w:t>
            </w:r>
            <w:hyperlink w:anchor="Section_dcbcb32823db42abbb8081992b8e429e">
              <w:r>
                <w:rPr>
                  <w:rStyle w:val="Hyperlink"/>
                </w:rPr>
                <w:t>3.1.3.1.4, moveFrom</w:t>
              </w:r>
            </w:hyperlink>
            <w:r>
              <w:t xml:space="preserve">); </w:t>
            </w:r>
            <w:r>
              <w:rPr>
                <w:b/>
              </w:rPr>
              <w:t>moveTo@date</w:t>
            </w:r>
            <w:r>
              <w:t xml:space="preserve"> (§</w:t>
            </w:r>
            <w:hyperlink w:anchor="Section_9d27b8e63f8f4cf7a6e356e2fbf140b8">
              <w:r>
                <w:rPr>
                  <w:rStyle w:val="Hyperlink"/>
                </w:rPr>
                <w:t>3.1.3.1.5, moveTo</w:t>
              </w:r>
            </w:hyperlink>
            <w:r>
              <w:t>)</w:t>
            </w:r>
          </w:p>
        </w:tc>
      </w:tr>
    </w:tbl>
    <w:p w:rsidR="00024C0A" w:rsidRDefault="00024C0A"/>
    <w:p w:rsidR="00024C0A" w:rsidRDefault="00694C0F">
      <w:r>
        <w:t>The following XML Schema fragment defines the contents of this simple type:</w:t>
      </w:r>
    </w:p>
    <w:p w:rsidR="00024C0A" w:rsidRDefault="00694C0F">
      <w:pPr>
        <w:pStyle w:val="Code"/>
      </w:pPr>
      <w:r>
        <w:t>&lt;simpleType name="ST_DateTime"&gt;</w:t>
      </w:r>
    </w:p>
    <w:p w:rsidR="00024C0A" w:rsidRDefault="00694C0F">
      <w:pPr>
        <w:pStyle w:val="Code"/>
      </w:pPr>
      <w:r>
        <w:t xml:space="preserve">  &lt;res</w:t>
      </w:r>
      <w:r>
        <w:t>triction base="xsd:dateTime"/&gt;</w:t>
      </w:r>
    </w:p>
    <w:p w:rsidR="00024C0A" w:rsidRDefault="00694C0F">
      <w:pPr>
        <w:pStyle w:val="Code"/>
      </w:pPr>
      <w:r>
        <w:t>&lt;/simpleType&gt;</w:t>
      </w:r>
    </w:p>
    <w:p w:rsidR="00024C0A" w:rsidRDefault="00694C0F">
      <w:pPr>
        <w:pStyle w:val="Heading5"/>
      </w:pPr>
      <w:bookmarkStart w:id="3915" w:name="section_205e43f89d014953a67fd7c91ccd6ffd"/>
      <w:bookmarkStart w:id="3916" w:name="_Toc12262018"/>
      <w:r>
        <w:t>ST_MarkupId (Annotation Identifier)</w:t>
      </w:r>
      <w:bookmarkEnd w:id="3915"/>
      <w:bookmarkEnd w:id="3916"/>
      <w:r>
        <w:fldChar w:fldCharType="begin"/>
      </w:r>
      <w:r>
        <w:instrText xml:space="preserve"> XE "ST_MarkupId (Annotation Identifier)" </w:instrText>
      </w:r>
      <w:r>
        <w:fldChar w:fldCharType="end"/>
      </w:r>
    </w:p>
    <w:p w:rsidR="00024C0A" w:rsidRDefault="00694C0F">
      <w:r>
        <w:t xml:space="preserve">This simple type specifies that its contents shall contain a whole number, whose contents are used to uniquely identify an </w:t>
      </w:r>
      <w:r>
        <w:t>annotation.</w:t>
      </w:r>
    </w:p>
    <w:p w:rsidR="00024C0A" w:rsidRDefault="00694C0F">
      <w:r>
        <w:t xml:space="preserve">The contents of this identifier are interpreted based on the context of the parent XML element. </w:t>
      </w:r>
    </w:p>
    <w:p w:rsidR="00024C0A" w:rsidRDefault="00694C0F">
      <w:r>
        <w:t>This simple type is a union of the following types:</w:t>
      </w:r>
    </w:p>
    <w:p w:rsidR="00024C0A" w:rsidRDefault="00694C0F">
      <w:pPr>
        <w:pStyle w:val="ListParagraph"/>
        <w:numPr>
          <w:ilvl w:val="0"/>
          <w:numId w:val="198"/>
        </w:numPr>
        <w:contextualSpacing/>
      </w:pPr>
      <w:r>
        <w:lastRenderedPageBreak/>
        <w:t>The ST_NonNegativeDecimalNumber simple type (§</w:t>
      </w:r>
      <w:hyperlink w:anchor="Section_9613ebd34b174f35b1931665d0e3b8a5">
        <w:r>
          <w:rPr>
            <w:rStyle w:val="Hyperlink"/>
          </w:rPr>
          <w:t>3.1.3.3.5, ST_NonNegativeDecimalNumber</w:t>
        </w:r>
      </w:hyperlink>
      <w:r>
        <w:t>).</w:t>
      </w:r>
    </w:p>
    <w:p w:rsidR="00024C0A" w:rsidRDefault="00694C0F">
      <w:pPr>
        <w:pStyle w:val="ListParagraph"/>
        <w:numPr>
          <w:ilvl w:val="0"/>
          <w:numId w:val="198"/>
        </w:numPr>
      </w:pPr>
      <w:r>
        <w:t>The ST_SignedDecimalNumberMax-2 simple type (§</w:t>
      </w:r>
      <w:hyperlink w:anchor="Section_e9dec6c502ac46a4941bbe63ccf1bbe2">
        <w:r>
          <w:rPr>
            <w:rStyle w:val="Hyperlink"/>
          </w:rPr>
          <w:t>3.1.3.3.7, ST_SignedDecimalNumberMax-2</w:t>
        </w:r>
      </w:hyperlink>
      <w:r>
        <w:t>).</w:t>
      </w:r>
    </w:p>
    <w:tbl>
      <w:tblPr>
        <w:tblStyle w:val="Table-ShadedHeader"/>
        <w:tblW w:w="0" w:type="auto"/>
        <w:tblLook w:val="04A0" w:firstRow="1" w:lastRow="0" w:firstColumn="1" w:lastColumn="0" w:noHBand="0" w:noVBand="1"/>
      </w:tblPr>
      <w:tblGrid>
        <w:gridCol w:w="6474"/>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Referenced By</w:t>
            </w:r>
          </w:p>
        </w:tc>
      </w:tr>
      <w:tr w:rsidR="00024C0A" w:rsidTr="00024C0A">
        <w:tc>
          <w:tcPr>
            <w:tcW w:w="0" w:type="auto"/>
            <w:vAlign w:val="center"/>
          </w:tcPr>
          <w:p w:rsidR="00024C0A" w:rsidRDefault="00694C0F">
            <w:pPr>
              <w:pStyle w:val="TableBodyText"/>
            </w:pPr>
            <w:r>
              <w:rPr>
                <w:b/>
              </w:rPr>
              <w:t>moveFrom@id</w:t>
            </w:r>
            <w:r>
              <w:t xml:space="preserve"> (§</w:t>
            </w:r>
            <w:hyperlink w:anchor="Section_dcbcb32823db42abbb8081992b8e429e">
              <w:r>
                <w:rPr>
                  <w:rStyle w:val="Hyperlink"/>
                </w:rPr>
                <w:t>3.1.3.1.4, moveFrom</w:t>
              </w:r>
            </w:hyperlink>
            <w:r>
              <w:t xml:space="preserve">); </w:t>
            </w:r>
            <w:r>
              <w:rPr>
                <w:b/>
              </w:rPr>
              <w:t>moveTo@id</w:t>
            </w:r>
            <w:r>
              <w:t xml:space="preserve"> (§</w:t>
            </w:r>
            <w:hyperlink w:anchor="Section_9d27b8e63f8f4cf7a6e356e2fbf140b8">
              <w:r>
                <w:rPr>
                  <w:rStyle w:val="Hyperlink"/>
                </w:rPr>
                <w:t>3.1.3.1.5, moveTo</w:t>
              </w:r>
            </w:hyperlink>
            <w:r>
              <w:t>)</w:t>
            </w:r>
          </w:p>
        </w:tc>
      </w:tr>
    </w:tbl>
    <w:p w:rsidR="00024C0A" w:rsidRDefault="00024C0A"/>
    <w:p w:rsidR="00024C0A" w:rsidRDefault="00694C0F">
      <w:r>
        <w:t>The following XML Schema fragment defines the contents of this simple type:</w:t>
      </w:r>
    </w:p>
    <w:p w:rsidR="00024C0A" w:rsidRDefault="00694C0F">
      <w:pPr>
        <w:pStyle w:val="Code"/>
      </w:pPr>
      <w:r>
        <w:t>&lt;</w:t>
      </w:r>
      <w:r>
        <w:t>simpleType name="ST_MarkupId"&gt;</w:t>
      </w:r>
    </w:p>
    <w:p w:rsidR="00024C0A" w:rsidRDefault="00694C0F">
      <w:pPr>
        <w:pStyle w:val="Code"/>
      </w:pPr>
      <w:r>
        <w:t xml:space="preserve">  &lt;union memberTypes="ST_NonNegativeDecimalNumber ST_SignedDecimalNumberMax-2"/&gt;</w:t>
      </w:r>
    </w:p>
    <w:p w:rsidR="00024C0A" w:rsidRDefault="00694C0F">
      <w:pPr>
        <w:pStyle w:val="Code"/>
      </w:pPr>
      <w:r>
        <w:t>&lt;/simpleType&gt;</w:t>
      </w:r>
    </w:p>
    <w:p w:rsidR="00024C0A" w:rsidRDefault="00694C0F">
      <w:pPr>
        <w:pStyle w:val="Heading5"/>
      </w:pPr>
      <w:bookmarkStart w:id="3917" w:name="section_8ddb0e2037f84cb9a2e083d20de6fe2c"/>
      <w:bookmarkStart w:id="3918" w:name="_Toc12262019"/>
      <w:r>
        <w:t>ST_NcName255 (Non-colonized Name)</w:t>
      </w:r>
      <w:bookmarkEnd w:id="3917"/>
      <w:bookmarkEnd w:id="3918"/>
      <w:r>
        <w:fldChar w:fldCharType="begin"/>
      </w:r>
      <w:r>
        <w:instrText xml:space="preserve"> XE "ST_NcName255 (Non-colonized Name)" </w:instrText>
      </w:r>
      <w:r>
        <w:fldChar w:fldCharType="end"/>
      </w:r>
    </w:p>
    <w:p w:rsidR="00024C0A" w:rsidRDefault="00694C0F">
      <w:r>
        <w:t xml:space="preserve">This simple type specifies that its content shall </w:t>
      </w:r>
      <w:r>
        <w:t>contain a namespace name. The contents of this name are interpreted based on the context of the parent element.</w:t>
      </w:r>
    </w:p>
    <w:p w:rsidR="00024C0A" w:rsidRDefault="00694C0F">
      <w:r>
        <w:t>This simple type's contents are a restriction of the XML Schema NCName datatype.</w:t>
      </w:r>
    </w:p>
    <w:p w:rsidR="00024C0A" w:rsidRDefault="00694C0F">
      <w:r>
        <w:t>This simple type also specifies the following restrictions:</w:t>
      </w:r>
    </w:p>
    <w:p w:rsidR="00024C0A" w:rsidRDefault="00694C0F">
      <w:pPr>
        <w:pStyle w:val="ListParagraph"/>
        <w:numPr>
          <w:ilvl w:val="0"/>
          <w:numId w:val="199"/>
        </w:numPr>
      </w:pPr>
      <w:r>
        <w:t>Thi</w:t>
      </w:r>
      <w:r>
        <w:t>s simple type's contents have a maximum length of 255 characters.</w:t>
      </w:r>
    </w:p>
    <w:tbl>
      <w:tblPr>
        <w:tblStyle w:val="Table-ShadedHeader"/>
        <w:tblW w:w="0" w:type="auto"/>
        <w:tblLook w:val="04A0" w:firstRow="1" w:lastRow="0" w:firstColumn="1" w:lastColumn="0" w:noHBand="0" w:noVBand="1"/>
      </w:tblPr>
      <w:tblGrid>
        <w:gridCol w:w="4168"/>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Referenced By</w:t>
            </w:r>
          </w:p>
        </w:tc>
      </w:tr>
      <w:tr w:rsidR="00024C0A" w:rsidTr="00024C0A">
        <w:tc>
          <w:tcPr>
            <w:tcW w:w="0" w:type="auto"/>
            <w:vAlign w:val="center"/>
          </w:tcPr>
          <w:p w:rsidR="00024C0A" w:rsidRDefault="00694C0F">
            <w:pPr>
              <w:pStyle w:val="TableBodyText"/>
            </w:pPr>
            <w:r>
              <w:rPr>
                <w:b/>
              </w:rPr>
              <w:t>customXml@element</w:t>
            </w:r>
            <w:r>
              <w:t xml:space="preserve"> (§</w:t>
            </w:r>
            <w:hyperlink w:anchor="Section_d188da3eb34b4445b3a0118155f75ff3">
              <w:r>
                <w:rPr>
                  <w:rStyle w:val="Hyperlink"/>
                </w:rPr>
                <w:t>3.1.3.1.1, customXml</w:t>
              </w:r>
            </w:hyperlink>
            <w:r>
              <w:t>)</w:t>
            </w:r>
          </w:p>
        </w:tc>
      </w:tr>
    </w:tbl>
    <w:p w:rsidR="00024C0A" w:rsidRDefault="00024C0A"/>
    <w:p w:rsidR="00024C0A" w:rsidRDefault="00694C0F">
      <w:r>
        <w:t>The following XML Schema fragment defines the contents of this simpl</w:t>
      </w:r>
      <w:r>
        <w:t>e type:</w:t>
      </w:r>
    </w:p>
    <w:p w:rsidR="00024C0A" w:rsidRDefault="00694C0F">
      <w:pPr>
        <w:pStyle w:val="Code"/>
      </w:pPr>
      <w:r>
        <w:t>&lt;simpleType name="ST_NcName255"&gt;</w:t>
      </w:r>
    </w:p>
    <w:p w:rsidR="00024C0A" w:rsidRDefault="00694C0F">
      <w:pPr>
        <w:pStyle w:val="Code"/>
      </w:pPr>
      <w:r>
        <w:t xml:space="preserve">  &lt;restriction base="xsd:NCName"&gt;</w:t>
      </w:r>
    </w:p>
    <w:p w:rsidR="00024C0A" w:rsidRDefault="00694C0F">
      <w:pPr>
        <w:pStyle w:val="Code"/>
      </w:pPr>
      <w:r>
        <w:t xml:space="preserve">    &lt;maxLength value="255"/&gt;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5"/>
      </w:pPr>
      <w:bookmarkStart w:id="3919" w:name="section_9613ebd34b174f35b1931665d0e3b8a5"/>
      <w:bookmarkStart w:id="3920" w:name="_Toc12262020"/>
      <w:r>
        <w:t>ST_NonNegativeDecimalNumber (Non-Negative Decimal Number Value)</w:t>
      </w:r>
      <w:bookmarkEnd w:id="3919"/>
      <w:bookmarkEnd w:id="3920"/>
      <w:r>
        <w:fldChar w:fldCharType="begin"/>
      </w:r>
      <w:r>
        <w:instrText xml:space="preserve"> XE "ST_NonNegativeDecimalNumber (Non-Negative Decimal Num</w:instrText>
      </w:r>
      <w:r>
        <w:instrText xml:space="preserve">ber Value)" </w:instrText>
      </w:r>
      <w:r>
        <w:fldChar w:fldCharType="end"/>
      </w:r>
    </w:p>
    <w:p w:rsidR="00024C0A" w:rsidRDefault="00694C0F">
      <w:r>
        <w:t>This simple type specifies that its contents shall contain a number, whose contents are interpreted based on the context of the parent XML element.</w:t>
      </w:r>
    </w:p>
    <w:p w:rsidR="00024C0A" w:rsidRDefault="00694C0F">
      <w:r>
        <w:t>This simple type's contents are a restriction of the XML Schema int datatype.</w:t>
      </w:r>
    </w:p>
    <w:p w:rsidR="00024C0A" w:rsidRDefault="00694C0F">
      <w:r>
        <w:t xml:space="preserve">This simple </w:t>
      </w:r>
      <w:r>
        <w:t>type also specifies the following restrictions:</w:t>
      </w:r>
    </w:p>
    <w:p w:rsidR="00024C0A" w:rsidRDefault="00694C0F">
      <w:pPr>
        <w:pStyle w:val="ListParagraph"/>
        <w:numPr>
          <w:ilvl w:val="0"/>
          <w:numId w:val="200"/>
        </w:numPr>
      </w:pPr>
      <w:r>
        <w:t>This simple type has a minimum value of greater than or equal to 0.</w:t>
      </w:r>
    </w:p>
    <w:tbl>
      <w:tblPr>
        <w:tblStyle w:val="Table-ShadedHeader"/>
        <w:tblW w:w="0" w:type="auto"/>
        <w:tblLook w:val="04A0" w:firstRow="1" w:lastRow="0" w:firstColumn="1" w:lastColumn="0" w:noHBand="0" w:noVBand="1"/>
      </w:tblPr>
      <w:tblGrid>
        <w:gridCol w:w="3668"/>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Referenced By</w:t>
            </w:r>
          </w:p>
        </w:tc>
      </w:tr>
      <w:tr w:rsidR="00024C0A" w:rsidTr="00024C0A">
        <w:tc>
          <w:tcPr>
            <w:tcW w:w="0" w:type="auto"/>
            <w:vAlign w:val="center"/>
          </w:tcPr>
          <w:p w:rsidR="00024C0A" w:rsidRDefault="00694C0F">
            <w:pPr>
              <w:pStyle w:val="TableBodyText"/>
            </w:pPr>
            <w:r>
              <w:rPr>
                <w:b/>
              </w:rPr>
              <w:t>ST_MarkupId</w:t>
            </w:r>
            <w:r>
              <w:t xml:space="preserve"> (§</w:t>
            </w:r>
            <w:hyperlink w:anchor="Section_205e43f89d014953a67fd7c91ccd6ffd">
              <w:r>
                <w:rPr>
                  <w:rStyle w:val="Hyperlink"/>
                </w:rPr>
                <w:t>3.1.3.3.3, ST_MarkupId</w:t>
              </w:r>
            </w:hyperlink>
            <w:r>
              <w:t>)</w:t>
            </w:r>
          </w:p>
        </w:tc>
      </w:tr>
    </w:tbl>
    <w:p w:rsidR="00024C0A" w:rsidRDefault="00024C0A"/>
    <w:p w:rsidR="00024C0A" w:rsidRDefault="00694C0F">
      <w:r>
        <w:t>The following XML Sche</w:t>
      </w:r>
      <w:r>
        <w:t>ma fragment defines the contents of this simple type:</w:t>
      </w:r>
    </w:p>
    <w:p w:rsidR="00024C0A" w:rsidRDefault="00694C0F">
      <w:pPr>
        <w:pStyle w:val="Code"/>
      </w:pPr>
      <w:r>
        <w:lastRenderedPageBreak/>
        <w:t>&lt;simpleType name="ST_NonNegativeDecimalNumber"&gt;</w:t>
      </w:r>
    </w:p>
    <w:p w:rsidR="00024C0A" w:rsidRDefault="00694C0F">
      <w:pPr>
        <w:pStyle w:val="Code"/>
      </w:pPr>
      <w:r>
        <w:t xml:space="preserve">  &lt;restriction base="xsd:int"&gt;</w:t>
      </w:r>
    </w:p>
    <w:p w:rsidR="00024C0A" w:rsidRDefault="00694C0F">
      <w:pPr>
        <w:pStyle w:val="Code"/>
      </w:pPr>
      <w:r>
        <w:t xml:space="preserve">    &lt;minInclusive value="0"/&gt;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5"/>
      </w:pPr>
      <w:bookmarkStart w:id="3921" w:name="section_79cbec698430479d88c056dd44369074"/>
      <w:bookmarkStart w:id="3922" w:name="_Toc12262021"/>
      <w:r>
        <w:t>ST_OnOff (On/Off Value)</w:t>
      </w:r>
      <w:bookmarkEnd w:id="3921"/>
      <w:bookmarkEnd w:id="3922"/>
      <w:r>
        <w:fldChar w:fldCharType="begin"/>
      </w:r>
      <w:r>
        <w:instrText xml:space="preserve"> XE "ST_OnOff (On/Off Value)" </w:instrText>
      </w:r>
      <w:r>
        <w:fldChar w:fldCharType="end"/>
      </w:r>
    </w:p>
    <w:p w:rsidR="00024C0A" w:rsidRDefault="00694C0F">
      <w:r>
        <w:t xml:space="preserve">This </w:t>
      </w:r>
      <w:r>
        <w:t>simple type specifies a set of values for any binary (on or off) property defined in a WordprocessingML document.</w:t>
      </w:r>
    </w:p>
    <w:p w:rsidR="00024C0A" w:rsidRDefault="00694C0F">
      <w:r>
        <w:t xml:space="preserve">A value of </w:t>
      </w:r>
      <w:r>
        <w:rPr>
          <w:i/>
        </w:rPr>
        <w:t>on</w:t>
      </w:r>
      <w:r>
        <w:t xml:space="preserve">, </w:t>
      </w:r>
      <w:r>
        <w:rPr>
          <w:i/>
        </w:rPr>
        <w:t>1</w:t>
      </w:r>
      <w:r>
        <w:t xml:space="preserve">, or </w:t>
      </w:r>
      <w:r>
        <w:rPr>
          <w:i/>
        </w:rPr>
        <w:t>true</w:t>
      </w:r>
      <w:r>
        <w:t xml:space="preserve"> specifies that the property shall be turned on.</w:t>
      </w:r>
    </w:p>
    <w:p w:rsidR="00024C0A" w:rsidRDefault="00694C0F">
      <w:r>
        <w:t xml:space="preserve">A value of </w:t>
      </w:r>
      <w:r>
        <w:rPr>
          <w:i/>
        </w:rPr>
        <w:t>off</w:t>
      </w:r>
      <w:r>
        <w:t xml:space="preserve">, </w:t>
      </w:r>
      <w:r>
        <w:rPr>
          <w:i/>
        </w:rPr>
        <w:t>0</w:t>
      </w:r>
      <w:r>
        <w:t xml:space="preserve">, or </w:t>
      </w:r>
      <w:r>
        <w:rPr>
          <w:i/>
        </w:rPr>
        <w:t>false</w:t>
      </w:r>
      <w:r>
        <w:t xml:space="preserve"> specifies that the property shall be explicitly turned off.</w:t>
      </w:r>
    </w:p>
    <w:p w:rsidR="00024C0A" w:rsidRDefault="00694C0F">
      <w:r>
        <w:t>This simple type's contents are a restriction of the XML Schema string datatype.</w:t>
      </w:r>
    </w:p>
    <w:p w:rsidR="00024C0A" w:rsidRDefault="00694C0F">
      <w:r>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Enumeration Value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0</w:t>
            </w:r>
            <w:r>
              <w:t xml:space="preserve"> (False)</w:t>
            </w:r>
          </w:p>
        </w:tc>
        <w:tc>
          <w:tcPr>
            <w:tcW w:w="0" w:type="auto"/>
            <w:vAlign w:val="center"/>
          </w:tcPr>
          <w:p w:rsidR="00024C0A" w:rsidRDefault="00694C0F">
            <w:pPr>
              <w:pStyle w:val="TableBodyText"/>
            </w:pPr>
            <w:r>
              <w:t>Specifies th</w:t>
            </w:r>
            <w:r>
              <w:t>at the binary state of this property is off (parent property is explicitly not applied).</w:t>
            </w:r>
          </w:p>
        </w:tc>
      </w:tr>
      <w:tr w:rsidR="00024C0A" w:rsidTr="00024C0A">
        <w:tc>
          <w:tcPr>
            <w:tcW w:w="0" w:type="auto"/>
            <w:vAlign w:val="center"/>
          </w:tcPr>
          <w:p w:rsidR="00024C0A" w:rsidRDefault="00694C0F">
            <w:pPr>
              <w:pStyle w:val="TableBodyText"/>
            </w:pPr>
            <w:r>
              <w:rPr>
                <w:b/>
              </w:rPr>
              <w:t>1</w:t>
            </w:r>
            <w:r>
              <w:t xml:space="preserve"> (True)</w:t>
            </w:r>
          </w:p>
        </w:tc>
        <w:tc>
          <w:tcPr>
            <w:tcW w:w="0" w:type="auto"/>
            <w:vAlign w:val="center"/>
          </w:tcPr>
          <w:p w:rsidR="00024C0A" w:rsidRDefault="00694C0F">
            <w:pPr>
              <w:pStyle w:val="TableBodyText"/>
            </w:pPr>
            <w:r>
              <w:t>Specifies that the binary state of this property is on (parent property is explicitly applied).</w:t>
            </w:r>
          </w:p>
        </w:tc>
      </w:tr>
      <w:tr w:rsidR="00024C0A" w:rsidTr="00024C0A">
        <w:tc>
          <w:tcPr>
            <w:tcW w:w="0" w:type="auto"/>
            <w:vAlign w:val="center"/>
          </w:tcPr>
          <w:p w:rsidR="00024C0A" w:rsidRDefault="00694C0F">
            <w:pPr>
              <w:pStyle w:val="TableBodyText"/>
            </w:pPr>
            <w:r>
              <w:rPr>
                <w:b/>
              </w:rPr>
              <w:t>false</w:t>
            </w:r>
            <w:r>
              <w:t xml:space="preserve"> (False)</w:t>
            </w:r>
          </w:p>
        </w:tc>
        <w:tc>
          <w:tcPr>
            <w:tcW w:w="0" w:type="auto"/>
            <w:vAlign w:val="center"/>
          </w:tcPr>
          <w:p w:rsidR="00024C0A" w:rsidRDefault="00694C0F">
            <w:pPr>
              <w:pStyle w:val="TableBodyText"/>
            </w:pPr>
            <w:r>
              <w:t>Specifies that the binary state of this proper</w:t>
            </w:r>
            <w:r>
              <w:t>ty is off (parent property is explicitly not applied).</w:t>
            </w:r>
          </w:p>
        </w:tc>
      </w:tr>
      <w:tr w:rsidR="00024C0A" w:rsidTr="00024C0A">
        <w:tc>
          <w:tcPr>
            <w:tcW w:w="0" w:type="auto"/>
            <w:vAlign w:val="center"/>
          </w:tcPr>
          <w:p w:rsidR="00024C0A" w:rsidRDefault="00694C0F">
            <w:pPr>
              <w:pStyle w:val="TableBodyText"/>
            </w:pPr>
            <w:r>
              <w:rPr>
                <w:b/>
              </w:rPr>
              <w:t>off</w:t>
            </w:r>
            <w:r>
              <w:t xml:space="preserve"> (False)</w:t>
            </w:r>
          </w:p>
        </w:tc>
        <w:tc>
          <w:tcPr>
            <w:tcW w:w="0" w:type="auto"/>
            <w:vAlign w:val="center"/>
          </w:tcPr>
          <w:p w:rsidR="00024C0A" w:rsidRDefault="00694C0F">
            <w:pPr>
              <w:pStyle w:val="TableBodyText"/>
            </w:pPr>
            <w:r>
              <w:t>Specifies that the binary state of this property is off (parent property is explicitly not applied).</w:t>
            </w:r>
          </w:p>
        </w:tc>
      </w:tr>
      <w:tr w:rsidR="00024C0A" w:rsidTr="00024C0A">
        <w:tc>
          <w:tcPr>
            <w:tcW w:w="0" w:type="auto"/>
            <w:vAlign w:val="center"/>
          </w:tcPr>
          <w:p w:rsidR="00024C0A" w:rsidRDefault="00694C0F">
            <w:pPr>
              <w:pStyle w:val="TableBodyText"/>
            </w:pPr>
            <w:r>
              <w:rPr>
                <w:b/>
              </w:rPr>
              <w:t>on</w:t>
            </w:r>
            <w:r>
              <w:t xml:space="preserve"> (True)</w:t>
            </w:r>
          </w:p>
        </w:tc>
        <w:tc>
          <w:tcPr>
            <w:tcW w:w="0" w:type="auto"/>
            <w:vAlign w:val="center"/>
          </w:tcPr>
          <w:p w:rsidR="00024C0A" w:rsidRDefault="00694C0F">
            <w:pPr>
              <w:pStyle w:val="TableBodyText"/>
            </w:pPr>
            <w:r>
              <w:t xml:space="preserve">Specifies that the binary state of this property is on (parent property is </w:t>
            </w:r>
            <w:r>
              <w:t>explicitly applied).</w:t>
            </w:r>
          </w:p>
        </w:tc>
      </w:tr>
      <w:tr w:rsidR="00024C0A" w:rsidTr="00024C0A">
        <w:tc>
          <w:tcPr>
            <w:tcW w:w="0" w:type="auto"/>
            <w:vAlign w:val="center"/>
          </w:tcPr>
          <w:p w:rsidR="00024C0A" w:rsidRDefault="00694C0F">
            <w:pPr>
              <w:pStyle w:val="TableBodyText"/>
            </w:pPr>
            <w:r>
              <w:rPr>
                <w:b/>
              </w:rPr>
              <w:t>true</w:t>
            </w:r>
            <w:r>
              <w:t xml:space="preserve"> (True)</w:t>
            </w:r>
          </w:p>
        </w:tc>
        <w:tc>
          <w:tcPr>
            <w:tcW w:w="0" w:type="auto"/>
            <w:vAlign w:val="center"/>
          </w:tcPr>
          <w:p w:rsidR="00024C0A" w:rsidRDefault="00694C0F">
            <w:pPr>
              <w:pStyle w:val="TableBodyText"/>
            </w:pPr>
            <w:r>
              <w:t>Specifies that the binary state of this property is on (parent property is explicitly applied).</w:t>
            </w:r>
          </w:p>
        </w:tc>
      </w:tr>
    </w:tbl>
    <w:p w:rsidR="00024C0A" w:rsidRDefault="00024C0A"/>
    <w:p w:rsidR="00024C0A" w:rsidRDefault="00024C0A"/>
    <w:tbl>
      <w:tblPr>
        <w:tblStyle w:val="Table-ShadedHeader"/>
        <w:tblW w:w="0" w:type="auto"/>
        <w:tblLook w:val="04A0" w:firstRow="1" w:lastRow="0" w:firstColumn="1" w:lastColumn="0" w:noHBand="0" w:noVBand="1"/>
      </w:tblPr>
      <w:tblGrid>
        <w:gridCol w:w="9475"/>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Referenced By</w:t>
            </w:r>
          </w:p>
        </w:tc>
      </w:tr>
      <w:tr w:rsidR="00024C0A" w:rsidTr="00024C0A">
        <w:tc>
          <w:tcPr>
            <w:tcW w:w="0" w:type="auto"/>
            <w:vAlign w:val="center"/>
          </w:tcPr>
          <w:p w:rsidR="00024C0A" w:rsidRDefault="00694C0F">
            <w:pPr>
              <w:pStyle w:val="TableBodyText"/>
            </w:pPr>
            <w:r>
              <w:rPr>
                <w:b/>
              </w:rPr>
              <w:t>fldSimple@dirty</w:t>
            </w:r>
            <w:r>
              <w:t xml:space="preserve"> (§</w:t>
            </w:r>
            <w:hyperlink w:anchor="Section_34477fff355a497ea2bf4b9c3f80b093">
              <w:r>
                <w:rPr>
                  <w:rStyle w:val="Hyperlink"/>
                </w:rPr>
                <w:t>3.1.3.1.2, fldSimple</w:t>
              </w:r>
            </w:hyperlink>
            <w:r>
              <w:t xml:space="preserve">); </w:t>
            </w:r>
            <w:r>
              <w:rPr>
                <w:b/>
              </w:rPr>
              <w:t>fldS</w:t>
            </w:r>
            <w:r>
              <w:rPr>
                <w:b/>
              </w:rPr>
              <w:t>imple@fldLock</w:t>
            </w:r>
            <w:r>
              <w:t xml:space="preserve"> (§3.1.3.1.2, fldSimple); </w:t>
            </w:r>
            <w:r>
              <w:rPr>
                <w:b/>
              </w:rPr>
              <w:t>hyperlink@history</w:t>
            </w:r>
            <w:r>
              <w:t xml:space="preserve"> (§</w:t>
            </w:r>
            <w:hyperlink w:anchor="Section_cc9e4bbd134f4d35b2c795fde8c633a7">
              <w:r>
                <w:rPr>
                  <w:rStyle w:val="Hyperlink"/>
                </w:rPr>
                <w:t>3.1.3.1.3, hyperlink</w:t>
              </w:r>
            </w:hyperlink>
            <w:r>
              <w:t>)</w:t>
            </w:r>
          </w:p>
        </w:tc>
      </w:tr>
    </w:tbl>
    <w:p w:rsidR="00024C0A" w:rsidRDefault="00024C0A"/>
    <w:p w:rsidR="00024C0A" w:rsidRDefault="00694C0F">
      <w:r>
        <w:t>The following XML Schema fragment defines the contents of this simple type:</w:t>
      </w:r>
    </w:p>
    <w:p w:rsidR="00024C0A" w:rsidRDefault="00694C0F">
      <w:pPr>
        <w:pStyle w:val="Code"/>
      </w:pPr>
      <w:r>
        <w:t>&lt;simpleType name="ST_OnOff"&gt;</w:t>
      </w:r>
    </w:p>
    <w:p w:rsidR="00024C0A" w:rsidRDefault="00694C0F">
      <w:pPr>
        <w:pStyle w:val="Code"/>
      </w:pPr>
      <w:r>
        <w:t xml:space="preserve">  &lt;</w:t>
      </w:r>
      <w:r>
        <w:t>restriction base="xsd:string"&gt;</w:t>
      </w:r>
    </w:p>
    <w:p w:rsidR="00024C0A" w:rsidRDefault="00694C0F">
      <w:pPr>
        <w:pStyle w:val="Code"/>
      </w:pPr>
      <w:r>
        <w:t xml:space="preserve">    &lt;enumeration value="true"/&gt;</w:t>
      </w:r>
    </w:p>
    <w:p w:rsidR="00024C0A" w:rsidRDefault="00694C0F">
      <w:pPr>
        <w:pStyle w:val="Code"/>
      </w:pPr>
      <w:r>
        <w:t xml:space="preserve">    &lt;enumeration value="false"/&gt;</w:t>
      </w:r>
    </w:p>
    <w:p w:rsidR="00024C0A" w:rsidRDefault="00694C0F">
      <w:pPr>
        <w:pStyle w:val="Code"/>
      </w:pPr>
      <w:r>
        <w:t xml:space="preserve">    &lt;enumeration value="on"/&gt;</w:t>
      </w:r>
    </w:p>
    <w:p w:rsidR="00024C0A" w:rsidRDefault="00694C0F">
      <w:pPr>
        <w:pStyle w:val="Code"/>
      </w:pPr>
      <w:r>
        <w:t xml:space="preserve">    &lt;enumeration value="off"/&gt;</w:t>
      </w:r>
    </w:p>
    <w:p w:rsidR="00024C0A" w:rsidRDefault="00694C0F">
      <w:pPr>
        <w:pStyle w:val="Code"/>
      </w:pPr>
      <w:r>
        <w:t xml:space="preserve">    &lt;enumeration value="0"/&gt;</w:t>
      </w:r>
    </w:p>
    <w:p w:rsidR="00024C0A" w:rsidRDefault="00694C0F">
      <w:pPr>
        <w:pStyle w:val="Code"/>
      </w:pPr>
      <w:r>
        <w:t xml:space="preserve">    &lt;enumeration value="1"/&gt;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5"/>
      </w:pPr>
      <w:bookmarkStart w:id="3923" w:name="section_e9dec6c502ac46a4941bbe63ccf1bbe2"/>
      <w:bookmarkStart w:id="3924" w:name="_Toc12262022"/>
      <w:r>
        <w:lastRenderedPageBreak/>
        <w:t>ST_SignedDecimalNumberMax-2 (Decimal Number Value Max -2)</w:t>
      </w:r>
      <w:bookmarkEnd w:id="3923"/>
      <w:bookmarkEnd w:id="3924"/>
      <w:r>
        <w:fldChar w:fldCharType="begin"/>
      </w:r>
      <w:r>
        <w:instrText xml:space="preserve"> XE "ST_SignedDecimalNumberMax-2 (Decimal Number Value Max -2)" </w:instrText>
      </w:r>
      <w:r>
        <w:fldChar w:fldCharType="end"/>
      </w:r>
    </w:p>
    <w:p w:rsidR="00024C0A" w:rsidRDefault="00694C0F">
      <w:r>
        <w:t>This simple type specifies that its contents shall contain a number, whose contents are interpreted based on the context of the pare</w:t>
      </w:r>
      <w:r>
        <w:t>nt XML element.</w:t>
      </w:r>
    </w:p>
    <w:p w:rsidR="00024C0A" w:rsidRDefault="00694C0F">
      <w:r>
        <w:t>This simple type's contents are a restriction of the XML Schema int datatype.</w:t>
      </w:r>
    </w:p>
    <w:p w:rsidR="00024C0A" w:rsidRDefault="00694C0F">
      <w:r>
        <w:t>This simple type also specifies the following restrictions:</w:t>
      </w:r>
    </w:p>
    <w:p w:rsidR="00024C0A" w:rsidRDefault="00694C0F">
      <w:pPr>
        <w:pStyle w:val="ListParagraph"/>
        <w:numPr>
          <w:ilvl w:val="0"/>
          <w:numId w:val="201"/>
        </w:numPr>
      </w:pPr>
      <w:r>
        <w:t>This simple type has a maximum value of less than or equal to -2.</w:t>
      </w:r>
    </w:p>
    <w:tbl>
      <w:tblPr>
        <w:tblStyle w:val="Table-ShadedHeader"/>
        <w:tblW w:w="0" w:type="auto"/>
        <w:tblLook w:val="04A0" w:firstRow="1" w:lastRow="0" w:firstColumn="1" w:lastColumn="0" w:noHBand="0" w:noVBand="1"/>
      </w:tblPr>
      <w:tblGrid>
        <w:gridCol w:w="3668"/>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Referenced By</w:t>
            </w:r>
          </w:p>
        </w:tc>
      </w:tr>
      <w:tr w:rsidR="00024C0A" w:rsidTr="00024C0A">
        <w:tc>
          <w:tcPr>
            <w:tcW w:w="0" w:type="auto"/>
            <w:vAlign w:val="center"/>
          </w:tcPr>
          <w:p w:rsidR="00024C0A" w:rsidRDefault="00694C0F">
            <w:pPr>
              <w:pStyle w:val="TableBodyText"/>
            </w:pPr>
            <w:r>
              <w:rPr>
                <w:b/>
              </w:rPr>
              <w:t>ST_MarkupId</w:t>
            </w:r>
            <w:r>
              <w:t xml:space="preserve"> (§</w:t>
            </w:r>
            <w:hyperlink w:anchor="Section_205e43f89d014953a67fd7c91ccd6ffd">
              <w:r>
                <w:rPr>
                  <w:rStyle w:val="Hyperlink"/>
                </w:rPr>
                <w:t>3.1.3.3.3, ST_MarkupId</w:t>
              </w:r>
            </w:hyperlink>
            <w:r>
              <w:t>)</w:t>
            </w:r>
          </w:p>
        </w:tc>
      </w:tr>
    </w:tbl>
    <w:p w:rsidR="00024C0A" w:rsidRDefault="00024C0A"/>
    <w:p w:rsidR="00024C0A" w:rsidRDefault="00694C0F">
      <w:r>
        <w:t>The following XML Schema fragment defines the contents of this simple type:</w:t>
      </w:r>
    </w:p>
    <w:p w:rsidR="00024C0A" w:rsidRDefault="00694C0F">
      <w:pPr>
        <w:pStyle w:val="Code"/>
      </w:pPr>
      <w:r>
        <w:t>&lt;simpleType name="ST_SignedDecimalNumberMax-2"&gt;</w:t>
      </w:r>
    </w:p>
    <w:p w:rsidR="00024C0A" w:rsidRDefault="00694C0F">
      <w:pPr>
        <w:pStyle w:val="Code"/>
      </w:pPr>
      <w:r>
        <w:t xml:space="preserve">  &lt;restriction base="xsd:int"&gt;</w:t>
      </w:r>
    </w:p>
    <w:p w:rsidR="00024C0A" w:rsidRDefault="00694C0F">
      <w:pPr>
        <w:pStyle w:val="Code"/>
      </w:pPr>
      <w:r>
        <w:t xml:space="preserve">    &lt;</w:t>
      </w:r>
      <w:r>
        <w:t>maxInclusive value="-2"/&gt;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5"/>
      </w:pPr>
      <w:bookmarkStart w:id="3925" w:name="section_ed68652a69334080ac59a443946fa732"/>
      <w:bookmarkStart w:id="3926" w:name="_Toc12262023"/>
      <w:r>
        <w:t>ST_String (String)</w:t>
      </w:r>
      <w:bookmarkEnd w:id="3925"/>
      <w:bookmarkEnd w:id="3926"/>
      <w:r>
        <w:fldChar w:fldCharType="begin"/>
      </w:r>
      <w:r>
        <w:instrText xml:space="preserve"> XE "ST_String (String)" </w:instrText>
      </w:r>
      <w:r>
        <w:fldChar w:fldCharType="end"/>
      </w:r>
    </w:p>
    <w:p w:rsidR="00024C0A" w:rsidRDefault="00694C0F">
      <w:r>
        <w:t>This simple type specifies that its contents will contain a string. The contents of this string are interpreted based on the context of the parent XML el</w:t>
      </w:r>
      <w:r>
        <w:t>ement.</w:t>
      </w:r>
    </w:p>
    <w:p w:rsidR="00024C0A" w:rsidRDefault="00694C0F">
      <w:r>
        <w:t>[Example: Consider the following WordprocessingML fragment:</w:t>
      </w:r>
    </w:p>
    <w:p w:rsidR="00024C0A" w:rsidRDefault="00694C0F">
      <w:pPr>
        <w:pStyle w:val="Code"/>
      </w:pPr>
      <w:r>
        <w:t>&lt;w:pPr&gt;</w:t>
      </w:r>
    </w:p>
    <w:p w:rsidR="00024C0A" w:rsidRDefault="00694C0F">
      <w:pPr>
        <w:pStyle w:val="Code"/>
      </w:pPr>
      <w:r>
        <w:t xml:space="preserve">  &lt;w:pStyle w:val="heading1" /&gt; </w:t>
      </w:r>
    </w:p>
    <w:p w:rsidR="00024C0A" w:rsidRDefault="00694C0F">
      <w:pPr>
        <w:pStyle w:val="Code"/>
      </w:pPr>
      <w:r>
        <w:t>&lt;/w:pPr&gt;</w:t>
      </w:r>
    </w:p>
    <w:p w:rsidR="00024C0A" w:rsidRDefault="00694C0F">
      <w:r>
        <w:t xml:space="preserve">The value of the </w:t>
      </w:r>
      <w:r>
        <w:rPr>
          <w:b/>
        </w:rPr>
        <w:t>val</w:t>
      </w:r>
      <w:r>
        <w:t xml:space="preserve"> attribute is the ID of the associated paragraph style's </w:t>
      </w:r>
      <w:r>
        <w:rPr>
          <w:rStyle w:val="InlineCode"/>
        </w:rPr>
        <w:t>styleId</w:t>
      </w:r>
      <w:r>
        <w:t>. However, consider the following fragment:</w:t>
      </w:r>
    </w:p>
    <w:p w:rsidR="00024C0A" w:rsidRDefault="00694C0F">
      <w:pPr>
        <w:pStyle w:val="Code"/>
      </w:pPr>
      <w:r>
        <w:t>&lt;w:sdtPr&gt;</w:t>
      </w:r>
    </w:p>
    <w:p w:rsidR="00024C0A" w:rsidRDefault="00694C0F">
      <w:pPr>
        <w:pStyle w:val="Code"/>
      </w:pPr>
      <w:r>
        <w:t xml:space="preserve"> </w:t>
      </w:r>
      <w:r>
        <w:t xml:space="preserve"> &lt;w:alias w:val="SDT Title Example" /&gt;</w:t>
      </w:r>
    </w:p>
    <w:p w:rsidR="00024C0A" w:rsidRDefault="00694C0F">
      <w:pPr>
        <w:pStyle w:val="Code"/>
      </w:pPr>
      <w:r>
        <w:t xml:space="preserve">  ...</w:t>
      </w:r>
    </w:p>
    <w:p w:rsidR="00024C0A" w:rsidRDefault="00694C0F">
      <w:pPr>
        <w:pStyle w:val="Code"/>
      </w:pPr>
      <w:r>
        <w:t>&lt;/w:sdtPr&gt;</w:t>
      </w:r>
    </w:p>
    <w:p w:rsidR="00024C0A" w:rsidRDefault="00694C0F">
      <w:r>
        <w:t xml:space="preserve">In this case, the decimal number in the </w:t>
      </w:r>
      <w:r>
        <w:rPr>
          <w:b/>
        </w:rPr>
        <w:t>val</w:t>
      </w:r>
      <w:r>
        <w:t xml:space="preserve"> attribute is the caption of the parent structured document tag. In each case, the value is of type </w:t>
      </w:r>
      <w:r>
        <w:rPr>
          <w:b/>
        </w:rPr>
        <w:t>ST_String</w:t>
      </w:r>
      <w:r>
        <w:t>, and therefore must be interpreted in the conte</w:t>
      </w:r>
      <w:r>
        <w:t>xt of the parent element. end example]</w:t>
      </w:r>
    </w:p>
    <w:p w:rsidR="00024C0A" w:rsidRDefault="00694C0F">
      <w:r>
        <w:t>This simple type's contents are a restriction of the XML Schema string datatype.</w:t>
      </w:r>
    </w:p>
    <w:tbl>
      <w:tblPr>
        <w:tblStyle w:val="Table-ShadedHeader"/>
        <w:tblW w:w="0" w:type="auto"/>
        <w:tblLook w:val="04A0" w:firstRow="1" w:lastRow="0" w:firstColumn="1" w:lastColumn="0" w:noHBand="0" w:noVBand="1"/>
      </w:tblPr>
      <w:tblGrid>
        <w:gridCol w:w="3552"/>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Referenced By</w:t>
            </w:r>
          </w:p>
        </w:tc>
      </w:tr>
      <w:tr w:rsidR="00024C0A" w:rsidTr="00024C0A">
        <w:tc>
          <w:tcPr>
            <w:tcW w:w="0" w:type="auto"/>
            <w:vAlign w:val="center"/>
          </w:tcPr>
          <w:p w:rsidR="00024C0A" w:rsidRDefault="00694C0F">
            <w:pPr>
              <w:pStyle w:val="TableBodyText"/>
            </w:pPr>
            <w:r>
              <w:rPr>
                <w:b/>
              </w:rPr>
              <w:t>fldSimple@instr</w:t>
            </w:r>
            <w:r>
              <w:t xml:space="preserve"> (§</w:t>
            </w:r>
            <w:hyperlink w:anchor="Section_34477fff355a497ea2bf4b9c3f80b093">
              <w:r>
                <w:rPr>
                  <w:rStyle w:val="Hyperlink"/>
                </w:rPr>
                <w:t>3.1.3.1.2, fldSimple</w:t>
              </w:r>
            </w:hyperlink>
            <w:r>
              <w:t>)</w:t>
            </w:r>
          </w:p>
        </w:tc>
      </w:tr>
    </w:tbl>
    <w:p w:rsidR="00024C0A" w:rsidRDefault="00024C0A"/>
    <w:p w:rsidR="00024C0A" w:rsidRDefault="00694C0F">
      <w:r>
        <w:t xml:space="preserve">The following </w:t>
      </w:r>
      <w:r>
        <w:t>XML Schema fragment defines the contents of this simple type:</w:t>
      </w:r>
    </w:p>
    <w:p w:rsidR="00024C0A" w:rsidRDefault="00694C0F">
      <w:pPr>
        <w:pStyle w:val="Code"/>
      </w:pPr>
      <w:r>
        <w:lastRenderedPageBreak/>
        <w:t>&lt;simpleType name="ST_String"&gt;</w:t>
      </w:r>
    </w:p>
    <w:p w:rsidR="00024C0A" w:rsidRDefault="00694C0F">
      <w:pPr>
        <w:pStyle w:val="Code"/>
      </w:pPr>
      <w:r>
        <w:t xml:space="preserve">  &lt;restriction base="xsd:string"/&gt;</w:t>
      </w:r>
    </w:p>
    <w:p w:rsidR="00024C0A" w:rsidRDefault="00694C0F">
      <w:pPr>
        <w:pStyle w:val="Code"/>
      </w:pPr>
      <w:r>
        <w:t>&lt;/simpleType&gt;</w:t>
      </w:r>
    </w:p>
    <w:p w:rsidR="00024C0A" w:rsidRDefault="00694C0F">
      <w:pPr>
        <w:pStyle w:val="Heading5"/>
      </w:pPr>
      <w:bookmarkStart w:id="3927" w:name="section_73f2382235094ce4a27391e7e5a80c27"/>
      <w:bookmarkStart w:id="3928" w:name="_Toc12262024"/>
      <w:r>
        <w:t>ST_String255 (String)</w:t>
      </w:r>
      <w:bookmarkEnd w:id="3927"/>
      <w:bookmarkEnd w:id="3928"/>
      <w:r>
        <w:fldChar w:fldCharType="begin"/>
      </w:r>
      <w:r>
        <w:instrText xml:space="preserve"> XE "ST_String255 (String)" </w:instrText>
      </w:r>
      <w:r>
        <w:fldChar w:fldCharType="end"/>
      </w:r>
    </w:p>
    <w:p w:rsidR="00024C0A" w:rsidRDefault="00694C0F">
      <w:r>
        <w:t xml:space="preserve">This simple type specifies that its contents shall contain a </w:t>
      </w:r>
      <w:r>
        <w:t>string. The contents of this string are interpreted based on the context of the parent XML element.</w:t>
      </w:r>
    </w:p>
    <w:p w:rsidR="00024C0A" w:rsidRDefault="00694C0F">
      <w:r>
        <w:t>This simple type's contents are a restriction of the XML Schema string datatype.</w:t>
      </w:r>
    </w:p>
    <w:p w:rsidR="00024C0A" w:rsidRDefault="00694C0F">
      <w:r>
        <w:t>This simple type also specifies the following restrictions:</w:t>
      </w:r>
    </w:p>
    <w:p w:rsidR="00024C0A" w:rsidRDefault="00694C0F">
      <w:pPr>
        <w:pStyle w:val="ListParagraph"/>
        <w:numPr>
          <w:ilvl w:val="0"/>
          <w:numId w:val="202"/>
        </w:numPr>
      </w:pPr>
      <w:r>
        <w:t>This simple typ</w:t>
      </w:r>
      <w:r>
        <w:t>e's contents have a maximum length of 255 characters.</w:t>
      </w:r>
    </w:p>
    <w:tbl>
      <w:tblPr>
        <w:tblStyle w:val="Table-ShadedHeader"/>
        <w:tblW w:w="0" w:type="auto"/>
        <w:tblLook w:val="04A0" w:firstRow="1" w:lastRow="0" w:firstColumn="1" w:lastColumn="0" w:noHBand="0" w:noVBand="1"/>
      </w:tblPr>
      <w:tblGrid>
        <w:gridCol w:w="9475"/>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Referenced By</w:t>
            </w:r>
          </w:p>
        </w:tc>
      </w:tr>
      <w:tr w:rsidR="00024C0A" w:rsidTr="00024C0A">
        <w:tc>
          <w:tcPr>
            <w:tcW w:w="0" w:type="auto"/>
            <w:vAlign w:val="center"/>
          </w:tcPr>
          <w:p w:rsidR="00024C0A" w:rsidRDefault="00694C0F">
            <w:pPr>
              <w:pStyle w:val="TableBodyText"/>
            </w:pPr>
            <w:r>
              <w:rPr>
                <w:b/>
              </w:rPr>
              <w:t>hyperlink@anchor</w:t>
            </w:r>
            <w:r>
              <w:t xml:space="preserve"> (§</w:t>
            </w:r>
            <w:hyperlink w:anchor="Section_cc9e4bbd134f4d35b2c795fde8c633a7">
              <w:r>
                <w:rPr>
                  <w:rStyle w:val="Hyperlink"/>
                </w:rPr>
                <w:t>3.1.3.1.3, hyperlink</w:t>
              </w:r>
            </w:hyperlink>
            <w:r>
              <w:t xml:space="preserve">); </w:t>
            </w:r>
            <w:r>
              <w:rPr>
                <w:b/>
              </w:rPr>
              <w:t>hyperlink@docLocation</w:t>
            </w:r>
            <w:r>
              <w:t xml:space="preserve"> (§3.1.3.1.3, hyperlink); </w:t>
            </w:r>
            <w:r>
              <w:rPr>
                <w:b/>
              </w:rPr>
              <w:t>hyperlink@tgtFrame</w:t>
            </w:r>
            <w:r>
              <w:t xml:space="preserve"> (§3.1.3.1.3, hyp</w:t>
            </w:r>
            <w:r>
              <w:t xml:space="preserve">erlink); </w:t>
            </w:r>
            <w:r>
              <w:rPr>
                <w:b/>
              </w:rPr>
              <w:t>moveFrom@author</w:t>
            </w:r>
            <w:r>
              <w:t xml:space="preserve"> (§</w:t>
            </w:r>
            <w:hyperlink w:anchor="Section_dcbcb32823db42abbb8081992b8e429e">
              <w:r>
                <w:rPr>
                  <w:rStyle w:val="Hyperlink"/>
                </w:rPr>
                <w:t>3.1.3.1.4, moveFrom</w:t>
              </w:r>
            </w:hyperlink>
            <w:r>
              <w:t xml:space="preserve">); </w:t>
            </w:r>
            <w:r>
              <w:rPr>
                <w:b/>
              </w:rPr>
              <w:t>moveTo@author</w:t>
            </w:r>
            <w:r>
              <w:t xml:space="preserve"> (§</w:t>
            </w:r>
            <w:hyperlink w:anchor="Section_9d27b8e63f8f4cf7a6e356e2fbf140b8">
              <w:r>
                <w:rPr>
                  <w:rStyle w:val="Hyperlink"/>
                </w:rPr>
                <w:t>3.1.3.1.5, moveTo</w:t>
              </w:r>
            </w:hyperlink>
            <w:r>
              <w:t>)</w:t>
            </w:r>
          </w:p>
        </w:tc>
      </w:tr>
    </w:tbl>
    <w:p w:rsidR="00024C0A" w:rsidRDefault="00024C0A"/>
    <w:p w:rsidR="00024C0A" w:rsidRDefault="00694C0F">
      <w:r>
        <w:t xml:space="preserve">The following XML Schema fragment defines </w:t>
      </w:r>
      <w:r>
        <w:t>the contents of this simple type:</w:t>
      </w:r>
    </w:p>
    <w:p w:rsidR="00024C0A" w:rsidRDefault="00694C0F">
      <w:pPr>
        <w:pStyle w:val="Code"/>
      </w:pPr>
      <w:r>
        <w:t>&lt;simpleType name="ST_String255"&gt;</w:t>
      </w:r>
    </w:p>
    <w:p w:rsidR="00024C0A" w:rsidRDefault="00694C0F">
      <w:pPr>
        <w:pStyle w:val="Code"/>
      </w:pPr>
      <w:r>
        <w:t xml:space="preserve">  &lt;restriction base="xsd:string"&gt;</w:t>
      </w:r>
    </w:p>
    <w:p w:rsidR="00024C0A" w:rsidRDefault="00694C0F">
      <w:pPr>
        <w:pStyle w:val="Code"/>
      </w:pPr>
      <w:r>
        <w:t xml:space="preserve">    &lt;maxLength value="255"/&gt;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5"/>
      </w:pPr>
      <w:bookmarkStart w:id="3929" w:name="section_b74c454c6c644828955971894d36105b"/>
      <w:bookmarkStart w:id="3930" w:name="_Toc12262025"/>
      <w:r>
        <w:t>ST_String260 (String)</w:t>
      </w:r>
      <w:bookmarkEnd w:id="3929"/>
      <w:bookmarkEnd w:id="3930"/>
      <w:r>
        <w:fldChar w:fldCharType="begin"/>
      </w:r>
      <w:r>
        <w:instrText xml:space="preserve"> XE "ST_String260 (String)" </w:instrText>
      </w:r>
      <w:r>
        <w:fldChar w:fldCharType="end"/>
      </w:r>
    </w:p>
    <w:p w:rsidR="00024C0A" w:rsidRDefault="00694C0F">
      <w:r>
        <w:t>This simple type specifies that its content</w:t>
      </w:r>
      <w:r>
        <w:t>s shall contain a string. The contents of this string are interpreted based on the context of the parent XML element.</w:t>
      </w:r>
    </w:p>
    <w:p w:rsidR="00024C0A" w:rsidRDefault="00694C0F">
      <w:r>
        <w:t>This simple type's contents are a restriction of the XML Schema string datatype.</w:t>
      </w:r>
    </w:p>
    <w:p w:rsidR="00024C0A" w:rsidRDefault="00694C0F">
      <w:r>
        <w:t>This simple type also specifies the following restriction</w:t>
      </w:r>
      <w:r>
        <w:t>s:</w:t>
      </w:r>
    </w:p>
    <w:p w:rsidR="00024C0A" w:rsidRDefault="00694C0F">
      <w:pPr>
        <w:pStyle w:val="ListParagraph"/>
        <w:numPr>
          <w:ilvl w:val="0"/>
          <w:numId w:val="203"/>
        </w:numPr>
      </w:pPr>
      <w:r>
        <w:t>This simple type's contents have a maximum length of 260 characters.</w:t>
      </w:r>
    </w:p>
    <w:tbl>
      <w:tblPr>
        <w:tblStyle w:val="Table-ShadedHeader"/>
        <w:tblW w:w="0" w:type="auto"/>
        <w:tblLook w:val="04A0" w:firstRow="1" w:lastRow="0" w:firstColumn="1" w:lastColumn="0" w:noHBand="0" w:noVBand="1"/>
      </w:tblPr>
      <w:tblGrid>
        <w:gridCol w:w="3720"/>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Referenced By</w:t>
            </w:r>
          </w:p>
        </w:tc>
      </w:tr>
      <w:tr w:rsidR="00024C0A" w:rsidTr="00024C0A">
        <w:tc>
          <w:tcPr>
            <w:tcW w:w="0" w:type="auto"/>
            <w:vAlign w:val="center"/>
          </w:tcPr>
          <w:p w:rsidR="00024C0A" w:rsidRDefault="00694C0F">
            <w:pPr>
              <w:pStyle w:val="TableBodyText"/>
            </w:pPr>
            <w:r>
              <w:rPr>
                <w:b/>
              </w:rPr>
              <w:t>hyperlink@tooltip</w:t>
            </w:r>
            <w:r>
              <w:t xml:space="preserve"> (§</w:t>
            </w:r>
            <w:hyperlink w:anchor="Section_cc9e4bbd134f4d35b2c795fde8c633a7">
              <w:r>
                <w:rPr>
                  <w:rStyle w:val="Hyperlink"/>
                </w:rPr>
                <w:t>3.1.3.1.3, hyperlink</w:t>
              </w:r>
            </w:hyperlink>
            <w:r>
              <w:t>)</w:t>
            </w:r>
          </w:p>
        </w:tc>
      </w:tr>
    </w:tbl>
    <w:p w:rsidR="00024C0A" w:rsidRDefault="00024C0A"/>
    <w:p w:rsidR="00024C0A" w:rsidRDefault="00694C0F">
      <w:r>
        <w:t>The following XML Schema fragment defines the contents of this</w:t>
      </w:r>
      <w:r>
        <w:t xml:space="preserve"> simple type:</w:t>
      </w:r>
    </w:p>
    <w:p w:rsidR="00024C0A" w:rsidRDefault="00694C0F">
      <w:pPr>
        <w:pStyle w:val="Code"/>
      </w:pPr>
      <w:r>
        <w:t>&lt;simpleType name="ST_String260"&gt;</w:t>
      </w:r>
    </w:p>
    <w:p w:rsidR="00024C0A" w:rsidRDefault="00694C0F">
      <w:pPr>
        <w:pStyle w:val="Code"/>
      </w:pPr>
      <w:r>
        <w:t xml:space="preserve">  &lt;restriction base="xsd:string"&gt;</w:t>
      </w:r>
    </w:p>
    <w:p w:rsidR="00024C0A" w:rsidRDefault="00694C0F">
      <w:pPr>
        <w:pStyle w:val="Code"/>
      </w:pPr>
      <w:r>
        <w:t xml:space="preserve">    &lt;maxLength value="260"/&gt;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3"/>
      </w:pPr>
      <w:bookmarkStart w:id="3931" w:name="section_5f22f80d39f24ed6a6eb2dd92581ef97"/>
      <w:bookmarkStart w:id="3932" w:name="_Toc12262026"/>
      <w:r>
        <w:lastRenderedPageBreak/>
        <w:t>DrawingML Persistence Part</w:t>
      </w:r>
      <w:bookmarkEnd w:id="3931"/>
      <w:bookmarkEnd w:id="3932"/>
      <w:r>
        <w:fldChar w:fldCharType="begin"/>
      </w:r>
      <w:r>
        <w:instrText xml:space="preserve"> XE "DrawingML Persistence Part" </w:instrText>
      </w:r>
      <w:r>
        <w:fldChar w:fldCharType="end"/>
      </w:r>
    </w:p>
    <w:p w:rsidR="00024C0A" w:rsidRDefault="00694C0F">
      <w:r>
        <w:t>When Word creates a legacy shape from an OfficeArt ob</w:t>
      </w:r>
      <w:r>
        <w:t xml:space="preserve">ject, additional information will be stored in the legacy shape to allow Word to reconstruct the original OfficeArt object at a later time.  This information is stored in the </w:t>
      </w:r>
      <w:r>
        <w:rPr>
          <w:b/>
        </w:rPr>
        <w:t>gfxdata</w:t>
      </w:r>
      <w:r>
        <w:t xml:space="preserve"> attribute ("</w:t>
      </w:r>
      <w:hyperlink r:id="rId305">
        <w:r>
          <w:rPr>
            <w:rStyle w:val="Hyperlink"/>
          </w:rPr>
          <w:t>[ISO/IEC-29500-4]</w:t>
        </w:r>
      </w:hyperlink>
      <w:r>
        <w:t xml:space="preserve"> §19.1.2.19; shape (Shape Definition)").</w:t>
      </w:r>
    </w:p>
    <w:p w:rsidR="00024C0A" w:rsidRDefault="00694C0F">
      <w:r>
        <w:t>All this information will be deleted in case the legacy shape is modified after it is loaded by Office.</w:t>
      </w:r>
    </w:p>
    <w:p w:rsidR="00024C0A" w:rsidRDefault="00694C0F">
      <w:r>
        <w:t xml:space="preserve">The contents of the </w:t>
      </w:r>
      <w:r>
        <w:rPr>
          <w:b/>
        </w:rPr>
        <w:t>gfxdata</w:t>
      </w:r>
      <w:r>
        <w:t xml:space="preserve"> attribute is an xsd:base64Binary representation of a Package ("</w:t>
      </w:r>
      <w:hyperlink r:id="rId306">
        <w:r>
          <w:rPr>
            <w:rStyle w:val="Hyperlink"/>
          </w:rPr>
          <w:t>[ISO/IEC-29500-2]</w:t>
        </w:r>
      </w:hyperlink>
      <w:r>
        <w:t xml:space="preserve"> Open Packaging Conventions").  This package contains information about the original OfficeArt object as well</w:t>
      </w:r>
      <w:r>
        <w:t xml:space="preserve"> as information about the characteristics of the legacy shape as it was originally created to represent the OfficeArt object.</w:t>
      </w:r>
    </w:p>
    <w:p w:rsidR="00024C0A" w:rsidRDefault="00694C0F">
      <w:pPr>
        <w:pStyle w:val="Heading4"/>
      </w:pPr>
      <w:bookmarkStart w:id="3933" w:name="section_c98431745ffc464f8a9e408fcacb65b5"/>
      <w:bookmarkStart w:id="3934" w:name="_Toc12262027"/>
      <w:r>
        <w:t>DrawingML Persistence Parts</w:t>
      </w:r>
      <w:bookmarkEnd w:id="3933"/>
      <w:bookmarkEnd w:id="3934"/>
      <w:r>
        <w:fldChar w:fldCharType="begin"/>
      </w:r>
      <w:r>
        <w:instrText xml:space="preserve"> XE "DrawingML Persistence Parts" </w:instrText>
      </w:r>
      <w:r>
        <w:fldChar w:fldCharType="end"/>
      </w:r>
    </w:p>
    <w:p w:rsidR="00024C0A" w:rsidRDefault="00694C0F">
      <w:r>
        <w:t>The DrawingML Persistence Package can contain any part described i</w:t>
      </w:r>
      <w:r>
        <w:t>n Office Open XML File Formats (</w:t>
      </w:r>
      <w:hyperlink r:id="rId307">
        <w:r>
          <w:rPr>
            <w:rStyle w:val="Hyperlink"/>
          </w:rPr>
          <w:t>[ISO/IEC29500:2012]</w:t>
        </w:r>
      </w:hyperlink>
      <w:r>
        <w:t>) as well as the parts described in the subclauses subordinate to this clause.</w:t>
      </w:r>
    </w:p>
    <w:p w:rsidR="00024C0A" w:rsidRDefault="00694C0F">
      <w:r>
        <w:t>[Note: For convenience, information from those subclauses is</w:t>
      </w:r>
      <w:r>
        <w:t xml:space="preserve"> summarized in the following table:</w:t>
      </w:r>
    </w:p>
    <w:tbl>
      <w:tblPr>
        <w:tblStyle w:val="Table-ShadedHeader"/>
        <w:tblW w:w="0" w:type="auto"/>
        <w:tblLook w:val="04A0" w:firstRow="1" w:lastRow="0" w:firstColumn="1" w:lastColumn="0" w:noHBand="0" w:noVBand="1"/>
      </w:tblPr>
      <w:tblGrid>
        <w:gridCol w:w="1771"/>
        <w:gridCol w:w="2801"/>
        <w:gridCol w:w="1436"/>
        <w:gridCol w:w="2350"/>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Part</w:t>
            </w:r>
          </w:p>
        </w:tc>
        <w:tc>
          <w:tcPr>
            <w:tcW w:w="0" w:type="auto"/>
            <w:vAlign w:val="center"/>
          </w:tcPr>
          <w:p w:rsidR="00024C0A" w:rsidRDefault="00694C0F">
            <w:pPr>
              <w:pStyle w:val="TableHeaderText"/>
            </w:pPr>
            <w:r>
              <w:t>Relationship Target of</w:t>
            </w:r>
          </w:p>
        </w:tc>
        <w:tc>
          <w:tcPr>
            <w:tcW w:w="0" w:type="auto"/>
            <w:vAlign w:val="center"/>
          </w:tcPr>
          <w:p w:rsidR="00024C0A" w:rsidRDefault="00694C0F">
            <w:pPr>
              <w:pStyle w:val="TableHeaderText"/>
            </w:pPr>
            <w:r>
              <w:t>Root Element</w:t>
            </w:r>
          </w:p>
        </w:tc>
        <w:tc>
          <w:tcPr>
            <w:tcW w:w="0" w:type="auto"/>
            <w:vAlign w:val="center"/>
          </w:tcPr>
          <w:p w:rsidR="00024C0A" w:rsidRDefault="00694C0F">
            <w:pPr>
              <w:pStyle w:val="TableHeaderText"/>
            </w:pPr>
            <w:r>
              <w:t>Ref.</w:t>
            </w:r>
          </w:p>
        </w:tc>
      </w:tr>
      <w:tr w:rsidR="00024C0A" w:rsidTr="00024C0A">
        <w:tc>
          <w:tcPr>
            <w:tcW w:w="0" w:type="auto"/>
            <w:vAlign w:val="center"/>
          </w:tcPr>
          <w:p w:rsidR="00024C0A" w:rsidRDefault="00694C0F">
            <w:pPr>
              <w:pStyle w:val="TableBodyText"/>
            </w:pPr>
            <w:r>
              <w:t>Graphic Frame Doc</w:t>
            </w:r>
          </w:p>
        </w:tc>
        <w:tc>
          <w:tcPr>
            <w:tcW w:w="0" w:type="auto"/>
            <w:vAlign w:val="center"/>
          </w:tcPr>
          <w:p w:rsidR="00024C0A" w:rsidRDefault="00694C0F">
            <w:pPr>
              <w:pStyle w:val="TableBodyText"/>
            </w:pPr>
            <w:r>
              <w:t>DrawingML Persistence Package</w:t>
            </w:r>
          </w:p>
        </w:tc>
        <w:tc>
          <w:tcPr>
            <w:tcW w:w="0" w:type="auto"/>
            <w:vAlign w:val="center"/>
          </w:tcPr>
          <w:p w:rsidR="00024C0A" w:rsidRDefault="00694C0F">
            <w:pPr>
              <w:pStyle w:val="TableBodyText"/>
            </w:pPr>
            <w:r>
              <w:t>e2oholder</w:t>
            </w:r>
          </w:p>
        </w:tc>
        <w:tc>
          <w:tcPr>
            <w:tcW w:w="0" w:type="auto"/>
            <w:vAlign w:val="center"/>
          </w:tcPr>
          <w:p w:rsidR="00024C0A" w:rsidRDefault="00694C0F">
            <w:pPr>
              <w:pStyle w:val="TableBodyText"/>
            </w:pPr>
            <w:hyperlink w:anchor="Section_093801fe80854aaaa44a78583b640385">
              <w:r>
                <w:rPr>
                  <w:rStyle w:val="Hyperlink"/>
                </w:rPr>
                <w:t>§3.1.4.3.1.1, e2oholder</w:t>
              </w:r>
            </w:hyperlink>
          </w:p>
        </w:tc>
      </w:tr>
      <w:tr w:rsidR="00024C0A" w:rsidTr="00024C0A">
        <w:tc>
          <w:tcPr>
            <w:tcW w:w="0" w:type="auto"/>
            <w:vAlign w:val="center"/>
          </w:tcPr>
          <w:p w:rsidR="00024C0A" w:rsidRDefault="00694C0F">
            <w:pPr>
              <w:pStyle w:val="TableBodyText"/>
            </w:pPr>
            <w:r>
              <w:t>Downrev Storage</w:t>
            </w:r>
          </w:p>
        </w:tc>
        <w:tc>
          <w:tcPr>
            <w:tcW w:w="0" w:type="auto"/>
            <w:vAlign w:val="center"/>
          </w:tcPr>
          <w:p w:rsidR="00024C0A" w:rsidRDefault="00694C0F">
            <w:pPr>
              <w:pStyle w:val="TableBodyText"/>
            </w:pPr>
            <w:r>
              <w:t xml:space="preserve">DrawingML </w:t>
            </w:r>
            <w:r>
              <w:t>Persistence Package</w:t>
            </w:r>
          </w:p>
        </w:tc>
        <w:tc>
          <w:tcPr>
            <w:tcW w:w="0" w:type="auto"/>
            <w:vAlign w:val="center"/>
          </w:tcPr>
          <w:p w:rsidR="00024C0A" w:rsidRDefault="00694C0F">
            <w:pPr>
              <w:pStyle w:val="TableBodyText"/>
            </w:pPr>
            <w:r>
              <w:t>downRevStg</w:t>
            </w:r>
          </w:p>
        </w:tc>
        <w:tc>
          <w:tcPr>
            <w:tcW w:w="0" w:type="auto"/>
            <w:vAlign w:val="center"/>
          </w:tcPr>
          <w:p w:rsidR="00024C0A" w:rsidRDefault="00694C0F">
            <w:pPr>
              <w:pStyle w:val="TableBodyText"/>
            </w:pPr>
            <w:hyperlink w:anchor="Section_28f2957da97840c8bc855a32ed0ae8e1">
              <w:r>
                <w:rPr>
                  <w:rStyle w:val="Hyperlink"/>
                </w:rPr>
                <w:t>§3.1.4.2.1.2, downRevStg</w:t>
              </w:r>
            </w:hyperlink>
          </w:p>
        </w:tc>
      </w:tr>
    </w:tbl>
    <w:p w:rsidR="00024C0A" w:rsidRDefault="00024C0A"/>
    <w:p w:rsidR="00024C0A" w:rsidRDefault="00694C0F">
      <w:r>
        <w:t>end note]</w:t>
      </w:r>
    </w:p>
    <w:p w:rsidR="00024C0A" w:rsidRDefault="00694C0F">
      <w:pPr>
        <w:pStyle w:val="Heading5"/>
      </w:pPr>
      <w:bookmarkStart w:id="3935" w:name="section_a76a4974881b4ca598fea758cda15e82"/>
      <w:bookmarkStart w:id="3936" w:name="_Toc12262028"/>
      <w:r>
        <w:t>Graphic Frame Doc</w:t>
      </w:r>
      <w:bookmarkEnd w:id="3935"/>
      <w:bookmarkEnd w:id="3936"/>
      <w:r>
        <w:fldChar w:fldCharType="begin"/>
      </w:r>
      <w:r>
        <w:instrText xml:space="preserve"> XE "Graphic Frame Doc" </w:instrText>
      </w:r>
      <w:r>
        <w:fldChar w:fldCharType="end"/>
      </w:r>
    </w:p>
    <w:p w:rsidR="00024C0A" w:rsidRDefault="00694C0F">
      <w:r>
        <w:rPr>
          <w:b/>
          <w:i/>
        </w:rPr>
        <w:t>Content Type</w:t>
      </w:r>
    </w:p>
    <w:p w:rsidR="00024C0A" w:rsidRDefault="00694C0F">
      <w:r>
        <w:rPr>
          <w:i/>
        </w:rPr>
        <w:t>application/vnd.ms-office.DrsE2oDoc+xml</w:t>
      </w:r>
    </w:p>
    <w:p w:rsidR="00024C0A" w:rsidRDefault="00694C0F">
      <w:r>
        <w:rPr>
          <w:b/>
          <w:i/>
        </w:rPr>
        <w:t>Root Namespace</w:t>
      </w:r>
    </w:p>
    <w:p w:rsidR="00024C0A" w:rsidRDefault="00694C0F">
      <w:r>
        <w:rPr>
          <w:i/>
        </w:rPr>
        <w:t>http://schema</w:t>
      </w:r>
      <w:r>
        <w:rPr>
          <w:i/>
        </w:rPr>
        <w:t>s.openxmlformats.org/drawingml/2006/wordprocessingDrawing</w:t>
      </w:r>
    </w:p>
    <w:p w:rsidR="00024C0A" w:rsidRDefault="00694C0F">
      <w:r>
        <w:rPr>
          <w:b/>
          <w:i/>
        </w:rPr>
        <w:t>Source Relationship</w:t>
      </w:r>
    </w:p>
    <w:p w:rsidR="00024C0A" w:rsidRDefault="00694C0F">
      <w:r>
        <w:rPr>
          <w:i/>
        </w:rPr>
        <w:t>http://schemas.microsoft.com/office/2006/relationships/graphicFrameDoc</w:t>
      </w:r>
    </w:p>
    <w:p w:rsidR="00024C0A" w:rsidRDefault="00694C0F">
      <w:r>
        <w:t>An instance of this part type contains the information about an OfficeArt object and its effects.</w:t>
      </w:r>
    </w:p>
    <w:p w:rsidR="00024C0A" w:rsidRDefault="00694C0F">
      <w:r>
        <w:t>A Drawing</w:t>
      </w:r>
      <w:r>
        <w:t>ML Persistence Package shall contain only 1 Graphic Frame Doc part.</w:t>
      </w:r>
    </w:p>
    <w:p w:rsidR="00024C0A" w:rsidRDefault="00694C0F">
      <w:r>
        <w:t>The root element for a Graphic Frame Doc part shall be e2oholder (</w:t>
      </w:r>
      <w:hyperlink w:anchor="Section_093801fe80854aaaa44a78583b640385">
        <w:r>
          <w:rPr>
            <w:rStyle w:val="Hyperlink"/>
          </w:rPr>
          <w:t>§3.1.4.3.1.1, e2oholder</w:t>
        </w:r>
      </w:hyperlink>
      <w:r>
        <w:t xml:space="preserve">). </w:t>
      </w:r>
    </w:p>
    <w:p w:rsidR="00024C0A" w:rsidRDefault="00694C0F">
      <w:r>
        <w:t xml:space="preserve">[Example: The following Graphic </w:t>
      </w:r>
      <w:r>
        <w:t>Frame Doc part contains information about a Diagram Object</w:t>
      </w:r>
    </w:p>
    <w:p w:rsidR="00024C0A" w:rsidRDefault="00694C0F">
      <w:pPr>
        <w:pStyle w:val="Code"/>
      </w:pPr>
      <w:r>
        <w:t>&lt;wp:e2oholder …&gt;</w:t>
      </w:r>
    </w:p>
    <w:p w:rsidR="00024C0A" w:rsidRDefault="00694C0F">
      <w:pPr>
        <w:pStyle w:val="Code"/>
      </w:pPr>
      <w:r>
        <w:t xml:space="preserve">    &lt;wp:effectOffset l="18288" t="0" r="12887" b="0"/&gt;</w:t>
      </w:r>
    </w:p>
    <w:p w:rsidR="00024C0A" w:rsidRDefault="00694C0F">
      <w:pPr>
        <w:pStyle w:val="Code"/>
      </w:pPr>
      <w:r>
        <w:t xml:space="preserve">    &lt;a:graphic …&gt;</w:t>
      </w:r>
    </w:p>
    <w:p w:rsidR="00024C0A" w:rsidRDefault="00694C0F">
      <w:pPr>
        <w:pStyle w:val="Code"/>
      </w:pPr>
      <w:r>
        <w:t xml:space="preserve">        &lt;a:graphicData uri="http://schemas.openxmlformats.org/drawingml/2006/diagram"&gt;</w:t>
      </w:r>
    </w:p>
    <w:p w:rsidR="00024C0A" w:rsidRDefault="00694C0F">
      <w:pPr>
        <w:pStyle w:val="Code"/>
      </w:pPr>
      <w:r>
        <w:t xml:space="preserve">            &lt;</w:t>
      </w:r>
      <w:r>
        <w:t>dgm:relIds r:dm="rId1" r:lo="rId2" r:qs="rId3" r:cs="rId4" …/&gt;</w:t>
      </w:r>
    </w:p>
    <w:p w:rsidR="00024C0A" w:rsidRDefault="00694C0F">
      <w:pPr>
        <w:pStyle w:val="Code"/>
      </w:pPr>
      <w:r>
        <w:t xml:space="preserve">        &lt;/a:graphicData&gt;</w:t>
      </w:r>
    </w:p>
    <w:p w:rsidR="00024C0A" w:rsidRDefault="00694C0F">
      <w:pPr>
        <w:pStyle w:val="Code"/>
      </w:pPr>
      <w:r>
        <w:t xml:space="preserve">    &lt;/a:graphic&gt;</w:t>
      </w:r>
    </w:p>
    <w:p w:rsidR="00024C0A" w:rsidRDefault="00694C0F">
      <w:pPr>
        <w:pStyle w:val="Code"/>
      </w:pPr>
      <w:r>
        <w:lastRenderedPageBreak/>
        <w:t>&lt;/wp:e2oholder&gt;</w:t>
      </w:r>
    </w:p>
    <w:p w:rsidR="00024C0A" w:rsidRDefault="00694C0F">
      <w:r>
        <w:t>end example]</w:t>
      </w:r>
    </w:p>
    <w:p w:rsidR="00024C0A" w:rsidRDefault="00694C0F">
      <w:r>
        <w:t xml:space="preserve">A Graphic Frame Doc part is permitted to contain explicit relationships to the following parts defined by Office Open XML File Formats </w:t>
      </w:r>
      <w:hyperlink r:id="rId308">
        <w:r>
          <w:rPr>
            <w:rStyle w:val="Hyperlink"/>
          </w:rPr>
          <w:t>[ISO/IEC29500:2012]</w:t>
        </w:r>
      </w:hyperlink>
      <w:r>
        <w:t>:</w:t>
      </w:r>
    </w:p>
    <w:p w:rsidR="00024C0A" w:rsidRDefault="00694C0F">
      <w:pPr>
        <w:pStyle w:val="ListParagraph"/>
        <w:numPr>
          <w:ilvl w:val="0"/>
          <w:numId w:val="204"/>
        </w:numPr>
        <w:contextualSpacing/>
      </w:pPr>
      <w:r>
        <w:t>Chart ("</w:t>
      </w:r>
      <w:hyperlink r:id="rId309">
        <w:r>
          <w:rPr>
            <w:rStyle w:val="Hyperlink"/>
          </w:rPr>
          <w:t>[ISO/IEC-29500-1]</w:t>
        </w:r>
      </w:hyperlink>
      <w:r>
        <w:t xml:space="preserve"> §14.2.1")</w:t>
      </w:r>
    </w:p>
    <w:p w:rsidR="00024C0A" w:rsidRDefault="00694C0F">
      <w:pPr>
        <w:pStyle w:val="ListParagraph"/>
        <w:numPr>
          <w:ilvl w:val="0"/>
          <w:numId w:val="204"/>
        </w:numPr>
        <w:contextualSpacing/>
      </w:pPr>
      <w:r>
        <w:t>Diagrams: Diagram Colors ("[ISO/IEC-29500-1] §14.2.3"), Diagram Data ("[ISO/IEC-29500-1] §14.2.4"), Diagram Layout Definition ("[ISO/IEC-29500-1] §14.2.5"), and Diagram Styles ("[ISO/IEC-2</w:t>
      </w:r>
      <w:r>
        <w:t>9500-1] §14.2.6")</w:t>
      </w:r>
    </w:p>
    <w:p w:rsidR="00024C0A" w:rsidRDefault="00694C0F">
      <w:pPr>
        <w:pStyle w:val="ListParagraph"/>
        <w:numPr>
          <w:ilvl w:val="0"/>
          <w:numId w:val="204"/>
        </w:numPr>
      </w:pPr>
      <w:r>
        <w:t>Images ("[ISO/IEC-29500-1] §15.2.13")</w:t>
      </w:r>
    </w:p>
    <w:p w:rsidR="00024C0A" w:rsidRDefault="00694C0F">
      <w:r>
        <w:t>A Graphic Frame Doc part shall not have any implicit or explicit relationships to any other part defined by Office Open XML File Formats [ISO/IEC29500:2012].</w:t>
      </w:r>
    </w:p>
    <w:p w:rsidR="00024C0A" w:rsidRDefault="00694C0F">
      <w:pPr>
        <w:pStyle w:val="Heading5"/>
      </w:pPr>
      <w:bookmarkStart w:id="3937" w:name="section_36f807adabe04525a208004943cb6847"/>
      <w:bookmarkStart w:id="3938" w:name="_Toc12262029"/>
      <w:r>
        <w:t>Downrev Storage</w:t>
      </w:r>
      <w:bookmarkEnd w:id="3937"/>
      <w:bookmarkEnd w:id="3938"/>
      <w:r>
        <w:fldChar w:fldCharType="begin"/>
      </w:r>
      <w:r>
        <w:instrText xml:space="preserve"> XE "Downrev Storage" </w:instrText>
      </w:r>
      <w:r>
        <w:fldChar w:fldCharType="end"/>
      </w:r>
    </w:p>
    <w:p w:rsidR="00024C0A" w:rsidRDefault="00694C0F">
      <w:r>
        <w:rPr>
          <w:b/>
          <w:i/>
        </w:rPr>
        <w:t>Co</w:t>
      </w:r>
      <w:r>
        <w:rPr>
          <w:b/>
          <w:i/>
        </w:rPr>
        <w:t>ntent Type</w:t>
      </w:r>
    </w:p>
    <w:p w:rsidR="00024C0A" w:rsidRDefault="00694C0F">
      <w:r>
        <w:rPr>
          <w:i/>
        </w:rPr>
        <w:t>application/vnd.ms-office.DrsDownRev+xml</w:t>
      </w:r>
    </w:p>
    <w:p w:rsidR="00024C0A" w:rsidRDefault="00694C0F">
      <w:r>
        <w:rPr>
          <w:b/>
          <w:i/>
        </w:rPr>
        <w:t>Root Namespace</w:t>
      </w:r>
    </w:p>
    <w:p w:rsidR="00024C0A" w:rsidRDefault="00694C0F">
      <w:r>
        <w:rPr>
          <w:i/>
        </w:rPr>
        <w:t>http://schemas.openxmlformats.org/drawingml/2006/main</w:t>
      </w:r>
    </w:p>
    <w:p w:rsidR="00024C0A" w:rsidRDefault="00694C0F">
      <w:r>
        <w:rPr>
          <w:b/>
          <w:i/>
        </w:rPr>
        <w:t>Source Relationship</w:t>
      </w:r>
    </w:p>
    <w:p w:rsidR="00024C0A" w:rsidRDefault="00694C0F">
      <w:r>
        <w:rPr>
          <w:i/>
        </w:rPr>
        <w:t>http://schemas.microsoft.com/office/2006/relationships/downRev</w:t>
      </w:r>
    </w:p>
    <w:p w:rsidR="00024C0A" w:rsidRDefault="00694C0F">
      <w:r>
        <w:t>An instance of this part type contains the informati</w:t>
      </w:r>
      <w:r>
        <w:t>on about an OfficeArt object’s bounds and checksum information for the original legacy shape representation of the OfficeArt object represented in the Graphic Frame Doc part.</w:t>
      </w:r>
    </w:p>
    <w:p w:rsidR="00024C0A" w:rsidRDefault="00694C0F">
      <w:r>
        <w:t>A DrawingML Persistence Package shall contain only 1 Downrev Storage part.</w:t>
      </w:r>
    </w:p>
    <w:p w:rsidR="00024C0A" w:rsidRDefault="00694C0F">
      <w:r>
        <w:t>The ro</w:t>
      </w:r>
      <w:r>
        <w:t>ot element for a Downrev Storage part shall be downRevStg (</w:t>
      </w:r>
      <w:hyperlink w:anchor="Section_28f2957da97840c8bc855a32ed0ae8e1">
        <w:r>
          <w:rPr>
            <w:rStyle w:val="Hyperlink"/>
          </w:rPr>
          <w:t>§3.1.4.2.1.2, downRevStg</w:t>
        </w:r>
      </w:hyperlink>
      <w:r>
        <w:t xml:space="preserve">). </w:t>
      </w:r>
    </w:p>
    <w:p w:rsidR="00024C0A" w:rsidRDefault="00694C0F">
      <w:r>
        <w:t>[Example: The following Downrev Storage part contains information about a Diagram Object with no text</w:t>
      </w:r>
    </w:p>
    <w:p w:rsidR="00024C0A" w:rsidRDefault="00694C0F">
      <w:pPr>
        <w:pStyle w:val="Code"/>
      </w:pPr>
      <w:r>
        <w:t>&lt;a:d</w:t>
      </w:r>
      <w:r>
        <w:t>ownRevStg shapeCheckSum="gcmnapp+jq1ZXL5rE1CguF==&amp;#xA;" textCheckSum="" ver="1" …&gt;</w:t>
      </w:r>
    </w:p>
    <w:p w:rsidR="00024C0A" w:rsidRDefault="00694C0F">
      <w:pPr>
        <w:pStyle w:val="Code"/>
      </w:pPr>
      <w:r>
        <w:t xml:space="preserve">    &lt;a:bounds l="0" t="0" r="3405" b="3855"/&gt;</w:t>
      </w:r>
    </w:p>
    <w:p w:rsidR="00024C0A" w:rsidRDefault="00694C0F">
      <w:pPr>
        <w:pStyle w:val="Code"/>
      </w:pPr>
      <w:r>
        <w:t>&lt;/a:downRevStg&gt;</w:t>
      </w:r>
    </w:p>
    <w:p w:rsidR="00024C0A" w:rsidRDefault="00694C0F">
      <w:r>
        <w:t>end example]</w:t>
      </w:r>
    </w:p>
    <w:p w:rsidR="00024C0A" w:rsidRDefault="00694C0F">
      <w:r>
        <w:t xml:space="preserve">A Downrev Storage part shall not have any implicit or explicit relationships to any parts defined </w:t>
      </w:r>
      <w:r>
        <w:t xml:space="preserve">by Office Open XML File Formats </w:t>
      </w:r>
      <w:hyperlink r:id="rId310">
        <w:r>
          <w:rPr>
            <w:rStyle w:val="Hyperlink"/>
          </w:rPr>
          <w:t>[ISO/IEC29500:2012]</w:t>
        </w:r>
      </w:hyperlink>
      <w:r>
        <w:t>.</w:t>
      </w:r>
    </w:p>
    <w:p w:rsidR="00024C0A" w:rsidRDefault="00694C0F">
      <w:pPr>
        <w:pStyle w:val="Heading4"/>
      </w:pPr>
      <w:bookmarkStart w:id="3939" w:name="section_7ead7b1f2e7849cda5bd28b9560e7e71"/>
      <w:bookmarkStart w:id="3940" w:name="_Toc12262030"/>
      <w:r>
        <w:t>Additional DrawingML - Main Schema</w:t>
      </w:r>
      <w:bookmarkEnd w:id="3939"/>
      <w:bookmarkEnd w:id="3940"/>
    </w:p>
    <w:p w:rsidR="00024C0A" w:rsidRDefault="00694C0F">
      <w:pPr>
        <w:pStyle w:val="Heading5"/>
      </w:pPr>
      <w:bookmarkStart w:id="3941" w:name="section_d822cddcbd7648b0911684c6009ebb96"/>
      <w:bookmarkStart w:id="3942" w:name="_Toc12262031"/>
      <w:r>
        <w:t>Additional Elements</w:t>
      </w:r>
      <w:bookmarkEnd w:id="3941"/>
      <w:bookmarkEnd w:id="3942"/>
      <w:r>
        <w:fldChar w:fldCharType="begin"/>
      </w:r>
      <w:r>
        <w:instrText xml:space="preserve"> XE "Additional Elements" </w:instrText>
      </w:r>
      <w:r>
        <w:fldChar w:fldCharType="end"/>
      </w:r>
    </w:p>
    <w:p w:rsidR="00024C0A" w:rsidRDefault="00694C0F">
      <w:r>
        <w:t xml:space="preserve">This section specifies the structure of the VML embedded DrawingML (see also </w:t>
      </w:r>
      <w:r>
        <w:rPr>
          <w:b/>
        </w:rPr>
        <w:t>gfxdata</w:t>
      </w:r>
      <w:r>
        <w:t xml:space="preserve"> attribute ([ "</w:t>
      </w:r>
      <w:hyperlink r:id="rId311">
        <w:r>
          <w:rPr>
            <w:rStyle w:val="Hyperlink"/>
          </w:rPr>
          <w:t>[ISO/IEC-29500-4]</w:t>
        </w:r>
      </w:hyperlink>
      <w:r>
        <w:t xml:space="preserve"> §19.1.2.19; shape (Shape Definition)" ])).</w:t>
      </w:r>
    </w:p>
    <w:p w:rsidR="00024C0A" w:rsidRDefault="00694C0F">
      <w:pPr>
        <w:pStyle w:val="Heading6"/>
      </w:pPr>
      <w:bookmarkStart w:id="3943" w:name="section_6c82f95eeec145d1ac3a8e4a19eb716f"/>
      <w:bookmarkStart w:id="3944" w:name="_Toc12262032"/>
      <w:r>
        <w:lastRenderedPageBreak/>
        <w:t>bounds (Bounds)</w:t>
      </w:r>
      <w:bookmarkEnd w:id="3943"/>
      <w:bookmarkEnd w:id="3944"/>
      <w:r>
        <w:fldChar w:fldCharType="begin"/>
      </w:r>
      <w:r>
        <w:instrText xml:space="preserve"> XE "bounds (Bo</w:instrText>
      </w:r>
      <w:r>
        <w:instrText xml:space="preserve">unds)" </w:instrText>
      </w:r>
      <w:r>
        <w:fldChar w:fldCharType="end"/>
      </w:r>
    </w:p>
    <w:p w:rsidR="00024C0A" w:rsidRDefault="00694C0F">
      <w:r>
        <w:t>This element defines the size and position of the DrawingML graphical object (OfficeArt object). If the OfficeArt object has an inline text wrapping mode, then the bounds shall be relative to the top-left corner of the OfficeArt object itself and</w:t>
      </w:r>
      <w:r>
        <w:t xml:space="preserve"> the absolute position of the OfficeArt object is determined by its position in the text run. For floating text-wrapping modes, the bounds shall be relative to the top-left corner of the page. </w:t>
      </w:r>
    </w:p>
    <w:p w:rsidR="00024C0A" w:rsidRDefault="00694C0F">
      <w:r>
        <w:t>While the range of possible values is defined by the ST_Coordi</w:t>
      </w:r>
      <w:r>
        <w:t>nate simple type, in Office the unit of measure for the attributes of this element is the twip. A twip is equivalent to 1/1440th of an inch (or one-twentieth of a point).</w:t>
      </w:r>
    </w:p>
    <w:tbl>
      <w:tblPr>
        <w:tblStyle w:val="Table-ShadedHeader"/>
        <w:tblW w:w="0" w:type="auto"/>
        <w:tblLook w:val="04A0" w:firstRow="1" w:lastRow="0" w:firstColumn="1" w:lastColumn="0" w:noHBand="0" w:noVBand="1"/>
      </w:tblPr>
      <w:tblGrid>
        <w:gridCol w:w="3678"/>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downRevStg</w:t>
            </w:r>
            <w:r>
              <w:t xml:space="preserve"> (§</w:t>
            </w:r>
            <w:hyperlink w:anchor="Section_28f2957da97840c8bc855a32ed0ae8e1">
              <w:r>
                <w:rPr>
                  <w:rStyle w:val="Hyperlink"/>
                </w:rPr>
                <w:t>3.1.4.2.1.2, downRevStg</w:t>
              </w:r>
            </w:hyperlink>
            <w:r>
              <w: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1135"/>
        <w:gridCol w:w="8340"/>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Attributes</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b</w:t>
            </w:r>
            <w:r>
              <w:t xml:space="preserve"> (Bottom)</w:t>
            </w:r>
          </w:p>
        </w:tc>
        <w:tc>
          <w:tcPr>
            <w:tcW w:w="0" w:type="auto"/>
            <w:vAlign w:val="center"/>
          </w:tcPr>
          <w:p w:rsidR="00024C0A" w:rsidRDefault="00694C0F">
            <w:pPr>
              <w:pStyle w:val="TableBodyText"/>
            </w:pPr>
            <w:r>
              <w:t>The position of the bottom side of the OfficeArt object.</w:t>
            </w:r>
          </w:p>
          <w:p w:rsidR="00024C0A" w:rsidRDefault="00024C0A">
            <w:pPr>
              <w:pStyle w:val="TableBodyText"/>
            </w:pPr>
          </w:p>
          <w:p w:rsidR="00024C0A" w:rsidRDefault="00694C0F">
            <w:pPr>
              <w:pStyle w:val="TableBodyText"/>
            </w:pPr>
            <w:r>
              <w:t xml:space="preserve">The possible values for this attribute are defined by the </w:t>
            </w:r>
            <w:r>
              <w:t>ST_CoordinateUnqualified simple type (§</w:t>
            </w:r>
            <w:hyperlink w:anchor="Section_afb7e140b25949018af4d4a514f50db9">
              <w:r>
                <w:rPr>
                  <w:rStyle w:val="Hyperlink"/>
                </w:rPr>
                <w:t>3.1.4.2.2.1, ST_CoordinateUnqualified</w:t>
              </w:r>
            </w:hyperlink>
            <w:r>
              <w:t>).</w:t>
            </w:r>
          </w:p>
        </w:tc>
      </w:tr>
      <w:tr w:rsidR="00024C0A" w:rsidTr="00024C0A">
        <w:tc>
          <w:tcPr>
            <w:tcW w:w="0" w:type="auto"/>
            <w:vAlign w:val="center"/>
          </w:tcPr>
          <w:p w:rsidR="00024C0A" w:rsidRDefault="00694C0F">
            <w:pPr>
              <w:pStyle w:val="TableBodyText"/>
            </w:pPr>
            <w:r>
              <w:rPr>
                <w:b/>
              </w:rPr>
              <w:t>l</w:t>
            </w:r>
            <w:r>
              <w:t xml:space="preserve"> (Left)</w:t>
            </w:r>
          </w:p>
        </w:tc>
        <w:tc>
          <w:tcPr>
            <w:tcW w:w="0" w:type="auto"/>
            <w:vAlign w:val="center"/>
          </w:tcPr>
          <w:p w:rsidR="00024C0A" w:rsidRDefault="00694C0F">
            <w:pPr>
              <w:pStyle w:val="TableBodyText"/>
            </w:pPr>
            <w:r>
              <w:t xml:space="preserve">The position of the left side of the OfficeArt object. </w:t>
            </w:r>
          </w:p>
          <w:p w:rsidR="00024C0A" w:rsidRDefault="00024C0A">
            <w:pPr>
              <w:pStyle w:val="TableBodyText"/>
            </w:pPr>
          </w:p>
          <w:p w:rsidR="00024C0A" w:rsidRDefault="00694C0F">
            <w:pPr>
              <w:pStyle w:val="TableBodyText"/>
            </w:pPr>
            <w:r>
              <w:t>The possible values for this attribute are defi</w:t>
            </w:r>
            <w:r>
              <w:t>ned by the ST_CoordinateUnqualified simple type (§3.1.4.2.2.1, ST_CoordinateUnqualified).</w:t>
            </w:r>
          </w:p>
        </w:tc>
      </w:tr>
      <w:tr w:rsidR="00024C0A" w:rsidTr="00024C0A">
        <w:tc>
          <w:tcPr>
            <w:tcW w:w="0" w:type="auto"/>
            <w:vAlign w:val="center"/>
          </w:tcPr>
          <w:p w:rsidR="00024C0A" w:rsidRDefault="00694C0F">
            <w:pPr>
              <w:pStyle w:val="TableBodyText"/>
            </w:pPr>
            <w:r>
              <w:rPr>
                <w:b/>
              </w:rPr>
              <w:t>r</w:t>
            </w:r>
            <w:r>
              <w:t xml:space="preserve"> (Right)</w:t>
            </w:r>
          </w:p>
        </w:tc>
        <w:tc>
          <w:tcPr>
            <w:tcW w:w="0" w:type="auto"/>
            <w:vAlign w:val="center"/>
          </w:tcPr>
          <w:p w:rsidR="00024C0A" w:rsidRDefault="00694C0F">
            <w:pPr>
              <w:pStyle w:val="TableBodyText"/>
            </w:pPr>
            <w:r>
              <w:t xml:space="preserve">The position of the right side of the OfficeArt object. </w:t>
            </w:r>
          </w:p>
          <w:p w:rsidR="00024C0A" w:rsidRDefault="00024C0A">
            <w:pPr>
              <w:pStyle w:val="TableBodyText"/>
            </w:pPr>
          </w:p>
          <w:p w:rsidR="00024C0A" w:rsidRDefault="00694C0F">
            <w:pPr>
              <w:pStyle w:val="TableBodyText"/>
            </w:pPr>
            <w:r>
              <w:t>The possible values for this attribute are defined by the ST_CoordinateUnqualified simple type (§</w:t>
            </w:r>
            <w:r>
              <w:t>3.1.4.2.2.1, ST_CoordinateUnqualified).</w:t>
            </w:r>
          </w:p>
        </w:tc>
      </w:tr>
      <w:tr w:rsidR="00024C0A" w:rsidTr="00024C0A">
        <w:tc>
          <w:tcPr>
            <w:tcW w:w="0" w:type="auto"/>
            <w:vAlign w:val="center"/>
          </w:tcPr>
          <w:p w:rsidR="00024C0A" w:rsidRDefault="00694C0F">
            <w:pPr>
              <w:pStyle w:val="TableBodyText"/>
            </w:pPr>
            <w:r>
              <w:rPr>
                <w:b/>
              </w:rPr>
              <w:t>t</w:t>
            </w:r>
            <w:r>
              <w:t xml:space="preserve"> (Top)</w:t>
            </w:r>
          </w:p>
        </w:tc>
        <w:tc>
          <w:tcPr>
            <w:tcW w:w="0" w:type="auto"/>
            <w:vAlign w:val="center"/>
          </w:tcPr>
          <w:p w:rsidR="00024C0A" w:rsidRDefault="00694C0F">
            <w:pPr>
              <w:pStyle w:val="TableBodyText"/>
            </w:pPr>
            <w:r>
              <w:t xml:space="preserve">The position of the top side of the OfficeArt object. </w:t>
            </w:r>
          </w:p>
          <w:p w:rsidR="00024C0A" w:rsidRDefault="00024C0A">
            <w:pPr>
              <w:pStyle w:val="TableBodyText"/>
            </w:pPr>
          </w:p>
          <w:p w:rsidR="00024C0A" w:rsidRDefault="00694C0F">
            <w:pPr>
              <w:pStyle w:val="TableBodyText"/>
            </w:pPr>
            <w:r>
              <w:t>The possible values for this attribute are defined by the ST_CoordinateUnqualified simple type (§3.1.4.2.2.1, ST_CoordinateUnqualified).</w:t>
            </w:r>
          </w:p>
        </w:tc>
      </w:tr>
    </w:tbl>
    <w:p w:rsidR="00024C0A" w:rsidRDefault="00024C0A"/>
    <w:p w:rsidR="00024C0A" w:rsidRDefault="00694C0F">
      <w:r>
        <w:t>The followin</w:t>
      </w:r>
      <w:r>
        <w:t>g XML Schema fragment defines the contents of this element:</w:t>
      </w:r>
    </w:p>
    <w:p w:rsidR="00024C0A" w:rsidRDefault="00694C0F">
      <w:pPr>
        <w:pStyle w:val="Code"/>
      </w:pPr>
      <w:r>
        <w:t>&lt;complexType name="CT_BoundRect"&gt;</w:t>
      </w:r>
    </w:p>
    <w:p w:rsidR="00024C0A" w:rsidRDefault="00694C0F">
      <w:pPr>
        <w:pStyle w:val="Code"/>
      </w:pPr>
      <w:r>
        <w:t xml:space="preserve">  &lt;attribute name="l" type="ST_Coordinate" use="required"/&gt;</w:t>
      </w:r>
    </w:p>
    <w:p w:rsidR="00024C0A" w:rsidRDefault="00694C0F">
      <w:pPr>
        <w:pStyle w:val="Code"/>
      </w:pPr>
      <w:r>
        <w:t xml:space="preserve">  &lt;attribute name="t" type="ST_Coordinate" use="required"/&gt;</w:t>
      </w:r>
    </w:p>
    <w:p w:rsidR="00024C0A" w:rsidRDefault="00694C0F">
      <w:pPr>
        <w:pStyle w:val="Code"/>
      </w:pPr>
      <w:r>
        <w:t xml:space="preserve">  &lt;</w:t>
      </w:r>
      <w:r>
        <w:t>attribute name="r" type="ST_Coordinate" use="required"/&gt;</w:t>
      </w:r>
    </w:p>
    <w:p w:rsidR="00024C0A" w:rsidRDefault="00694C0F">
      <w:pPr>
        <w:pStyle w:val="Code"/>
      </w:pPr>
      <w:r>
        <w:t xml:space="preserve">  &lt;attribute name="b" type="ST_Coordinate" use="required"/&gt;</w:t>
      </w:r>
    </w:p>
    <w:p w:rsidR="00024C0A" w:rsidRDefault="00694C0F">
      <w:pPr>
        <w:pStyle w:val="Code"/>
      </w:pPr>
      <w:r>
        <w:t>&lt;/complexType&gt;</w:t>
      </w:r>
    </w:p>
    <w:p w:rsidR="00024C0A" w:rsidRDefault="00694C0F">
      <w:pPr>
        <w:pStyle w:val="Heading6"/>
      </w:pPr>
      <w:bookmarkStart w:id="3945" w:name="section_28f2957da97840c8bc855a32ed0ae8e1"/>
      <w:bookmarkStart w:id="3946" w:name="_Toc12262033"/>
      <w:r>
        <w:t>downRevStg (DownRev Storage)</w:t>
      </w:r>
      <w:bookmarkEnd w:id="3945"/>
      <w:bookmarkEnd w:id="3946"/>
      <w:r>
        <w:fldChar w:fldCharType="begin"/>
      </w:r>
      <w:r>
        <w:instrText xml:space="preserve"> XE "downRevStg (DownRev Storage)" </w:instrText>
      </w:r>
      <w:r>
        <w:fldChar w:fldCharType="end"/>
      </w:r>
    </w:p>
    <w:p w:rsidR="00024C0A" w:rsidRDefault="00694C0F">
      <w:r>
        <w:t>This is the root element of the VML embedded DrawingML, do</w:t>
      </w:r>
      <w:r>
        <w:t>wnrev part. It contains anchoring and other miscellaneous information for the embedded OfficeArt object.</w:t>
      </w:r>
    </w:p>
    <w:p w:rsidR="00024C0A" w:rsidRDefault="00694C0F">
      <w:r>
        <w:lastRenderedPageBreak/>
        <w:t>All this information will be deleted in case the VML shape is modified after it is loaded by Office.</w:t>
      </w:r>
    </w:p>
    <w:tbl>
      <w:tblPr>
        <w:tblStyle w:val="Table-ShadedHeader"/>
        <w:tblW w:w="0" w:type="auto"/>
        <w:tblLook w:val="04A0" w:firstRow="1" w:lastRow="0" w:firstColumn="1" w:lastColumn="0" w:noHBand="0" w:noVBand="1"/>
      </w:tblPr>
      <w:tblGrid>
        <w:gridCol w:w="1681"/>
        <w:gridCol w:w="1930"/>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Child Elements</w:t>
            </w:r>
          </w:p>
        </w:tc>
        <w:tc>
          <w:tcPr>
            <w:tcW w:w="0" w:type="auto"/>
            <w:vAlign w:val="center"/>
          </w:tcPr>
          <w:p w:rsidR="00024C0A" w:rsidRDefault="00694C0F">
            <w:pPr>
              <w:pStyle w:val="TableHeaderText"/>
            </w:pPr>
            <w:r>
              <w:t>Subclause</w:t>
            </w:r>
          </w:p>
        </w:tc>
      </w:tr>
      <w:tr w:rsidR="00024C0A" w:rsidTr="00024C0A">
        <w:tc>
          <w:tcPr>
            <w:tcW w:w="0" w:type="auto"/>
            <w:vAlign w:val="center"/>
          </w:tcPr>
          <w:p w:rsidR="00024C0A" w:rsidRDefault="00694C0F">
            <w:pPr>
              <w:pStyle w:val="TableBodyText"/>
            </w:pPr>
            <w:r>
              <w:rPr>
                <w:b/>
              </w:rPr>
              <w:t>bounds</w:t>
            </w:r>
            <w:r>
              <w:t xml:space="preserve"> (Bounds)</w:t>
            </w:r>
          </w:p>
        </w:tc>
        <w:tc>
          <w:tcPr>
            <w:tcW w:w="0" w:type="auto"/>
            <w:vAlign w:val="center"/>
          </w:tcPr>
          <w:p w:rsidR="00024C0A" w:rsidRDefault="00694C0F">
            <w:pPr>
              <w:pStyle w:val="TableBodyText"/>
            </w:pPr>
            <w:r>
              <w:t>§</w:t>
            </w:r>
            <w:hyperlink w:anchor="Section_6c82f95eeec145d1ac3a8e4a19eb716f">
              <w:r>
                <w:rPr>
                  <w:rStyle w:val="Hyperlink"/>
                </w:rPr>
                <w:t>3.1.4.2.1.1, bounds</w:t>
              </w:r>
            </w:hyperlink>
          </w:p>
        </w:tc>
      </w:tr>
    </w:tbl>
    <w:p w:rsidR="00024C0A" w:rsidRDefault="00024C0A"/>
    <w:p w:rsidR="00024C0A" w:rsidRDefault="00024C0A"/>
    <w:tbl>
      <w:tblPr>
        <w:tblStyle w:val="Table-ShadedHeader"/>
        <w:tblW w:w="0" w:type="auto"/>
        <w:tblLook w:val="04A0" w:firstRow="1" w:lastRow="0" w:firstColumn="1" w:lastColumn="0" w:noHBand="0" w:noVBand="1"/>
      </w:tblPr>
      <w:tblGrid>
        <w:gridCol w:w="2413"/>
        <w:gridCol w:w="7062"/>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Attributes</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shapeCheckSum</w:t>
            </w:r>
            <w:r>
              <w:t xml:space="preserve"> (Shape Checksum)</w:t>
            </w:r>
          </w:p>
        </w:tc>
        <w:tc>
          <w:tcPr>
            <w:tcW w:w="0" w:type="auto"/>
            <w:vAlign w:val="center"/>
          </w:tcPr>
          <w:p w:rsidR="00024C0A" w:rsidRDefault="00694C0F">
            <w:pPr>
              <w:pStyle w:val="TableBodyText"/>
            </w:pPr>
            <w:r>
              <w:t xml:space="preserve">Contains a base-64 encoded value of the MD4 hash of the shape properties. This value can be used to determine whether the </w:t>
            </w:r>
            <w:r>
              <w:t>associated VML shape has been modified.</w:t>
            </w:r>
          </w:p>
          <w:p w:rsidR="00024C0A" w:rsidRDefault="00024C0A">
            <w:pPr>
              <w:pStyle w:val="TableBodyText"/>
            </w:pPr>
          </w:p>
          <w:p w:rsidR="00024C0A" w:rsidRDefault="00694C0F">
            <w:pPr>
              <w:pStyle w:val="TableBodyText"/>
            </w:pPr>
            <w:r>
              <w:t>If shapeCheckSum is empty Office will ignore the VML shape.</w:t>
            </w:r>
          </w:p>
          <w:p w:rsidR="00024C0A" w:rsidRDefault="00024C0A">
            <w:pPr>
              <w:pStyle w:val="TableBodyText"/>
            </w:pPr>
          </w:p>
          <w:p w:rsidR="00024C0A" w:rsidRDefault="00694C0F">
            <w:pPr>
              <w:pStyle w:val="TableBodyText"/>
            </w:pPr>
            <w:r>
              <w:t>The possible values for this attribute are defined by the XML Schema string datatype.</w:t>
            </w:r>
          </w:p>
        </w:tc>
      </w:tr>
      <w:tr w:rsidR="00024C0A" w:rsidTr="00024C0A">
        <w:tc>
          <w:tcPr>
            <w:tcW w:w="0" w:type="auto"/>
            <w:vAlign w:val="center"/>
          </w:tcPr>
          <w:p w:rsidR="00024C0A" w:rsidRDefault="00694C0F">
            <w:pPr>
              <w:pStyle w:val="TableBodyText"/>
            </w:pPr>
            <w:r>
              <w:rPr>
                <w:b/>
              </w:rPr>
              <w:t>textCheckSum</w:t>
            </w:r>
            <w:r>
              <w:t xml:space="preserve"> (Text Checksum)</w:t>
            </w:r>
          </w:p>
        </w:tc>
        <w:tc>
          <w:tcPr>
            <w:tcW w:w="0" w:type="auto"/>
            <w:vAlign w:val="center"/>
          </w:tcPr>
          <w:p w:rsidR="00024C0A" w:rsidRDefault="00694C0F">
            <w:pPr>
              <w:pStyle w:val="TableBodyText"/>
            </w:pPr>
            <w:r>
              <w:t xml:space="preserve">Contains a base-64 encoded value of </w:t>
            </w:r>
            <w:r>
              <w:t>the MD4 hash of the text in the OfficeArt object.</w:t>
            </w:r>
          </w:p>
          <w:p w:rsidR="00024C0A" w:rsidRDefault="00024C0A">
            <w:pPr>
              <w:pStyle w:val="TableBodyText"/>
            </w:pPr>
          </w:p>
          <w:p w:rsidR="00024C0A" w:rsidRDefault="00694C0F">
            <w:pPr>
              <w:pStyle w:val="TableBodyText"/>
            </w:pPr>
            <w:r>
              <w:t xml:space="preserve">Office always writes an empty string and ignores this attribute on load. </w:t>
            </w:r>
          </w:p>
          <w:p w:rsidR="00024C0A" w:rsidRDefault="00024C0A">
            <w:pPr>
              <w:pStyle w:val="TableBodyText"/>
            </w:pPr>
          </w:p>
          <w:p w:rsidR="00024C0A" w:rsidRDefault="00694C0F">
            <w:pPr>
              <w:pStyle w:val="TableBodyText"/>
            </w:pPr>
            <w:r>
              <w:t>The possible values for this attribute are defined by the XML Schema string datatype.</w:t>
            </w:r>
          </w:p>
        </w:tc>
      </w:tr>
      <w:tr w:rsidR="00024C0A" w:rsidTr="00024C0A">
        <w:tc>
          <w:tcPr>
            <w:tcW w:w="0" w:type="auto"/>
            <w:vAlign w:val="center"/>
          </w:tcPr>
          <w:p w:rsidR="00024C0A" w:rsidRDefault="00694C0F">
            <w:pPr>
              <w:pStyle w:val="TableBodyText"/>
            </w:pPr>
            <w:r>
              <w:rPr>
                <w:b/>
              </w:rPr>
              <w:t>ver</w:t>
            </w:r>
            <w:r>
              <w:t xml:space="preserve"> (Version Number)</w:t>
            </w:r>
          </w:p>
        </w:tc>
        <w:tc>
          <w:tcPr>
            <w:tcW w:w="0" w:type="auto"/>
            <w:vAlign w:val="center"/>
          </w:tcPr>
          <w:p w:rsidR="00024C0A" w:rsidRDefault="00694C0F">
            <w:pPr>
              <w:pStyle w:val="TableBodyText"/>
            </w:pPr>
            <w:r>
              <w:t>Version number of this</w:t>
            </w:r>
            <w:r>
              <w:t xml:space="preserve"> OfficeArt object. The value of this attribute is application-defined.</w:t>
            </w:r>
          </w:p>
          <w:p w:rsidR="00024C0A" w:rsidRDefault="00024C0A">
            <w:pPr>
              <w:pStyle w:val="TableBodyText"/>
            </w:pPr>
          </w:p>
          <w:p w:rsidR="00024C0A" w:rsidRDefault="00694C0F">
            <w:pPr>
              <w:pStyle w:val="TableBodyText"/>
            </w:pPr>
            <w:r>
              <w:t xml:space="preserve">Office expects a value of 0 for Beta 2 files, and a value of 1 for RTM and subsequent versions. </w:t>
            </w:r>
          </w:p>
          <w:p w:rsidR="00024C0A" w:rsidRDefault="00024C0A">
            <w:pPr>
              <w:pStyle w:val="TableBodyText"/>
            </w:pPr>
          </w:p>
          <w:p w:rsidR="00024C0A" w:rsidRDefault="00694C0F">
            <w:pPr>
              <w:pStyle w:val="TableBodyText"/>
            </w:pPr>
            <w:r>
              <w:t>The possible values for this attribute are defined by the XML Schema unsignedInt datat</w:t>
            </w:r>
            <w:r>
              <w:t>ype.</w:t>
            </w:r>
          </w:p>
        </w:tc>
      </w:tr>
    </w:tbl>
    <w:p w:rsidR="00024C0A" w:rsidRDefault="00024C0A"/>
    <w:p w:rsidR="00024C0A" w:rsidRDefault="00694C0F">
      <w:r>
        <w:t>The following XML Schema fragment defines the contents of this element:</w:t>
      </w:r>
    </w:p>
    <w:p w:rsidR="00024C0A" w:rsidRDefault="00694C0F">
      <w:pPr>
        <w:pStyle w:val="Code"/>
      </w:pPr>
      <w:r>
        <w:t>&lt;complexType name="CT_DownRevStg"&gt;</w:t>
      </w:r>
    </w:p>
    <w:p w:rsidR="00024C0A" w:rsidRDefault="00694C0F">
      <w:pPr>
        <w:pStyle w:val="Code"/>
      </w:pPr>
      <w:r>
        <w:t xml:space="preserve">  &lt;sequence&gt;</w:t>
      </w:r>
    </w:p>
    <w:p w:rsidR="00024C0A" w:rsidRDefault="00694C0F">
      <w:pPr>
        <w:pStyle w:val="Code"/>
      </w:pPr>
      <w:r>
        <w:t xml:space="preserve">    &lt;choice minOccurs="0" maxOccurs="1"&gt;</w:t>
      </w:r>
    </w:p>
    <w:p w:rsidR="00024C0A" w:rsidRDefault="00694C0F">
      <w:pPr>
        <w:pStyle w:val="Code"/>
      </w:pPr>
      <w:r>
        <w:t xml:space="preserve">      &lt;element name="bounds" type="CT_BoundRect"/&gt;</w:t>
      </w:r>
    </w:p>
    <w:p w:rsidR="00024C0A" w:rsidRDefault="00694C0F">
      <w:pPr>
        <w:pStyle w:val="Code"/>
      </w:pPr>
      <w:r>
        <w:t xml:space="preserve">    &lt;/choice&gt;</w:t>
      </w:r>
    </w:p>
    <w:p w:rsidR="00024C0A" w:rsidRDefault="00694C0F">
      <w:pPr>
        <w:pStyle w:val="Code"/>
      </w:pPr>
      <w:r>
        <w:t xml:space="preserve">  &lt;/sequence&gt;</w:t>
      </w:r>
    </w:p>
    <w:p w:rsidR="00024C0A" w:rsidRDefault="00694C0F">
      <w:pPr>
        <w:pStyle w:val="Code"/>
      </w:pPr>
      <w:r>
        <w:t xml:space="preserve">  &lt;</w:t>
      </w:r>
      <w:r>
        <w:t>attribute name="shapeCheckSum" type="xsd:string" use="required"/&gt;</w:t>
      </w:r>
    </w:p>
    <w:p w:rsidR="00024C0A" w:rsidRDefault="00694C0F">
      <w:pPr>
        <w:pStyle w:val="Code"/>
      </w:pPr>
      <w:r>
        <w:t xml:space="preserve">  &lt;attribute name="textCheckSum" type="xsd:string" use="optional"/&gt;</w:t>
      </w:r>
    </w:p>
    <w:p w:rsidR="00024C0A" w:rsidRDefault="00694C0F">
      <w:pPr>
        <w:pStyle w:val="Code"/>
      </w:pPr>
      <w:r>
        <w:t xml:space="preserve">  &lt;attribute name="ver" type="xsd:unsignedInt" use="optional" default="0"/&gt;</w:t>
      </w:r>
    </w:p>
    <w:p w:rsidR="00024C0A" w:rsidRDefault="00694C0F">
      <w:pPr>
        <w:pStyle w:val="Code"/>
      </w:pPr>
      <w:r>
        <w:t>&lt;/complexType&gt;</w:t>
      </w:r>
    </w:p>
    <w:p w:rsidR="00024C0A" w:rsidRDefault="00694C0F">
      <w:pPr>
        <w:pStyle w:val="Heading5"/>
      </w:pPr>
      <w:bookmarkStart w:id="3947" w:name="section_a20f5177ac074c6292bf74b5c06124a7"/>
      <w:bookmarkStart w:id="3948" w:name="_Toc12262034"/>
      <w:r>
        <w:t>Simple Types</w:t>
      </w:r>
      <w:bookmarkEnd w:id="3947"/>
      <w:bookmarkEnd w:id="3948"/>
      <w:r>
        <w:fldChar w:fldCharType="begin"/>
      </w:r>
      <w:r>
        <w:instrText xml:space="preserve"> XE "Simple Types" </w:instrText>
      </w:r>
      <w:r>
        <w:fldChar w:fldCharType="end"/>
      </w:r>
    </w:p>
    <w:p w:rsidR="00024C0A" w:rsidRDefault="00694C0F">
      <w:r>
        <w:t>This is the complete list of simple types in the http://schemas.openxmlformats.org/drawingml/2006/main namespace.</w:t>
      </w:r>
    </w:p>
    <w:p w:rsidR="00024C0A" w:rsidRDefault="00694C0F">
      <w:pPr>
        <w:pStyle w:val="Heading6"/>
      </w:pPr>
      <w:bookmarkStart w:id="3949" w:name="section_afb7e140b25949018af4d4a514f50db9"/>
      <w:bookmarkStart w:id="3950" w:name="_Toc12262035"/>
      <w:r>
        <w:lastRenderedPageBreak/>
        <w:t>ST_CoordinateUnqualified (Coordinate)</w:t>
      </w:r>
      <w:bookmarkEnd w:id="3949"/>
      <w:bookmarkEnd w:id="3950"/>
      <w:r>
        <w:fldChar w:fldCharType="begin"/>
      </w:r>
      <w:r>
        <w:instrText xml:space="preserve"> XE "ST_CoordinateUnqualified (Coordinate)" </w:instrText>
      </w:r>
      <w:r>
        <w:fldChar w:fldCharType="end"/>
      </w:r>
    </w:p>
    <w:p w:rsidR="00024C0A" w:rsidRDefault="00694C0F">
      <w:r>
        <w:t xml:space="preserve">This simple type represents a one dimensional position </w:t>
      </w:r>
      <w:r>
        <w:t>or length in EMUs. EMUs (English Metric Units) are a high precision coordinate space (914400 dpi / 360000 dpc).</w:t>
      </w:r>
    </w:p>
    <w:p w:rsidR="00024C0A" w:rsidRDefault="00694C0F">
      <w:r>
        <w:t>The restrictions specified in the following section apply only to Excel® 2007. For Word 2007 and PowerPoint® 2007, the simple type has a minimum</w:t>
      </w:r>
      <w:r>
        <w:t xml:space="preserve"> value of greater than or equal to -2147483648 and a maximum value of less than or equal to 2147483647.</w:t>
      </w:r>
    </w:p>
    <w:p w:rsidR="00024C0A" w:rsidRDefault="00694C0F">
      <w:r>
        <w:t>This simple type's contents are a restriction of the XML Schema long datatype.</w:t>
      </w:r>
    </w:p>
    <w:p w:rsidR="00024C0A" w:rsidRDefault="00694C0F">
      <w:r>
        <w:t>This simple type also specifies the following restrictions:</w:t>
      </w:r>
    </w:p>
    <w:p w:rsidR="00024C0A" w:rsidRDefault="00694C0F">
      <w:pPr>
        <w:pStyle w:val="ListParagraph"/>
        <w:numPr>
          <w:ilvl w:val="0"/>
          <w:numId w:val="205"/>
        </w:numPr>
        <w:contextualSpacing/>
      </w:pPr>
      <w:r>
        <w:t>This simple t</w:t>
      </w:r>
      <w:r>
        <w:t>ype has a minimum value of greater than or equal to -27273042329600.</w:t>
      </w:r>
    </w:p>
    <w:p w:rsidR="00024C0A" w:rsidRDefault="00694C0F">
      <w:pPr>
        <w:pStyle w:val="ListParagraph"/>
        <w:numPr>
          <w:ilvl w:val="0"/>
          <w:numId w:val="205"/>
        </w:numPr>
      </w:pPr>
      <w:r>
        <w:t>This simple type has a maximum value of less than or equal to 27273042316900.</w:t>
      </w:r>
    </w:p>
    <w:tbl>
      <w:tblPr>
        <w:tblStyle w:val="Table-ShadedHeader"/>
        <w:tblW w:w="0" w:type="auto"/>
        <w:tblLook w:val="04A0" w:firstRow="1" w:lastRow="0" w:firstColumn="1" w:lastColumn="0" w:noHBand="0" w:noVBand="1"/>
      </w:tblPr>
      <w:tblGrid>
        <w:gridCol w:w="9475"/>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Referenced By</w:t>
            </w:r>
          </w:p>
        </w:tc>
      </w:tr>
      <w:tr w:rsidR="00024C0A" w:rsidTr="00024C0A">
        <w:tc>
          <w:tcPr>
            <w:tcW w:w="0" w:type="auto"/>
            <w:vAlign w:val="center"/>
          </w:tcPr>
          <w:p w:rsidR="00024C0A" w:rsidRDefault="00694C0F">
            <w:pPr>
              <w:pStyle w:val="TableBodyText"/>
            </w:pPr>
            <w:r>
              <w:rPr>
                <w:b/>
              </w:rPr>
              <w:t>bounds@b</w:t>
            </w:r>
            <w:r>
              <w:t xml:space="preserve"> (§</w:t>
            </w:r>
            <w:hyperlink w:anchor="Section_6c82f95eeec145d1ac3a8e4a19eb716f">
              <w:r>
                <w:rPr>
                  <w:rStyle w:val="Hyperlink"/>
                </w:rPr>
                <w:t>3.1.4.2.1.1, bounds</w:t>
              </w:r>
            </w:hyperlink>
            <w:r>
              <w:t xml:space="preserve">); </w:t>
            </w:r>
            <w:r>
              <w:rPr>
                <w:b/>
              </w:rPr>
              <w:t>bounds@l</w:t>
            </w:r>
            <w:r>
              <w:t xml:space="preserve"> (§3.1.4.2.1.1, bounds); </w:t>
            </w:r>
            <w:r>
              <w:rPr>
                <w:b/>
              </w:rPr>
              <w:t>bounds@r</w:t>
            </w:r>
            <w:r>
              <w:t xml:space="preserve"> (§3.1.4.2.1.1, bounds); </w:t>
            </w:r>
            <w:r>
              <w:rPr>
                <w:b/>
              </w:rPr>
              <w:t>bounds@t</w:t>
            </w:r>
            <w:r>
              <w:t xml:space="preserve"> (§3.1.4.2.1.1, bounds); </w:t>
            </w:r>
            <w:r>
              <w:rPr>
                <w:b/>
              </w:rPr>
              <w:t>effectOffset@b</w:t>
            </w:r>
            <w:r>
              <w:t xml:space="preserve"> (§</w:t>
            </w:r>
            <w:hyperlink w:anchor="Section_597fd3303f3a4f689f1394e06acddbe0">
              <w:r>
                <w:rPr>
                  <w:rStyle w:val="Hyperlink"/>
                </w:rPr>
                <w:t>3.1.4.3.1.2, effectOffset</w:t>
              </w:r>
            </w:hyperlink>
            <w:r>
              <w:t xml:space="preserve">); </w:t>
            </w:r>
            <w:r>
              <w:rPr>
                <w:b/>
              </w:rPr>
              <w:t>effectOffset@l</w:t>
            </w:r>
            <w:r>
              <w:t xml:space="preserve"> (§3.1.4.3.1.2, effectOffset); </w:t>
            </w:r>
            <w:r>
              <w:rPr>
                <w:b/>
              </w:rPr>
              <w:t>e</w:t>
            </w:r>
            <w:r>
              <w:rPr>
                <w:b/>
              </w:rPr>
              <w:t>ffectOffset@r</w:t>
            </w:r>
            <w:r>
              <w:t xml:space="preserve"> (§3.1.4.3.1.2, effectOffset); </w:t>
            </w:r>
            <w:r>
              <w:rPr>
                <w:b/>
              </w:rPr>
              <w:t>effectOffset@t</w:t>
            </w:r>
            <w:r>
              <w:t xml:space="preserve"> (§3.1.4.3.1.2, effectOffset)</w:t>
            </w:r>
          </w:p>
        </w:tc>
      </w:tr>
    </w:tbl>
    <w:p w:rsidR="00024C0A" w:rsidRDefault="00024C0A"/>
    <w:p w:rsidR="00024C0A" w:rsidRDefault="00694C0F">
      <w:r>
        <w:t>The following XML Schema fragment defines the contents of this simple type:</w:t>
      </w:r>
    </w:p>
    <w:p w:rsidR="00024C0A" w:rsidRDefault="00694C0F">
      <w:pPr>
        <w:pStyle w:val="Code"/>
      </w:pPr>
      <w:r>
        <w:t>&lt;simpleType name="ST_Coordinate"&gt;</w:t>
      </w:r>
    </w:p>
    <w:p w:rsidR="00024C0A" w:rsidRDefault="00694C0F">
      <w:pPr>
        <w:pStyle w:val="Code"/>
      </w:pPr>
      <w:r>
        <w:t xml:space="preserve">  &lt;restriction base="xsd:long"&gt;</w:t>
      </w:r>
    </w:p>
    <w:p w:rsidR="00024C0A" w:rsidRDefault="00694C0F">
      <w:pPr>
        <w:pStyle w:val="Code"/>
      </w:pPr>
      <w:r>
        <w:t xml:space="preserve">    &lt;minInclusive value=</w:t>
      </w:r>
      <w:r>
        <w:t>"-27273042329600"/&gt;</w:t>
      </w:r>
    </w:p>
    <w:p w:rsidR="00024C0A" w:rsidRDefault="00694C0F">
      <w:pPr>
        <w:pStyle w:val="Code"/>
      </w:pPr>
      <w:r>
        <w:t xml:space="preserve">    &lt;maxInclusive value="27273042316900"/&gt;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4"/>
      </w:pPr>
      <w:bookmarkStart w:id="3951" w:name="section_40c407b0705f4b09a49472666a6e0d47"/>
      <w:bookmarkStart w:id="3952" w:name="_Toc12262036"/>
      <w:r>
        <w:t>Additional DrawingML - WordprocessingML Schema</w:t>
      </w:r>
      <w:bookmarkEnd w:id="3951"/>
      <w:bookmarkEnd w:id="3952"/>
    </w:p>
    <w:p w:rsidR="00024C0A" w:rsidRDefault="00694C0F">
      <w:pPr>
        <w:pStyle w:val="Heading5"/>
      </w:pPr>
      <w:bookmarkStart w:id="3953" w:name="section_9835e3800b30448a98bdf016c6a8b8d7"/>
      <w:bookmarkStart w:id="3954" w:name="_Toc12262037"/>
      <w:r>
        <w:t>Additional Elements</w:t>
      </w:r>
      <w:bookmarkEnd w:id="3953"/>
      <w:bookmarkEnd w:id="3954"/>
      <w:r>
        <w:fldChar w:fldCharType="begin"/>
      </w:r>
      <w:r>
        <w:instrText xml:space="preserve"> XE "Additional Elements" </w:instrText>
      </w:r>
      <w:r>
        <w:fldChar w:fldCharType="end"/>
      </w:r>
    </w:p>
    <w:p w:rsidR="00024C0A" w:rsidRDefault="00694C0F">
      <w:r>
        <w:t xml:space="preserve">This section specifies the structure of the VML embedded DrawingML </w:t>
      </w:r>
      <w:r>
        <w:t>(see also gfxdata attribute ("</w:t>
      </w:r>
      <w:hyperlink r:id="rId312">
        <w:r>
          <w:rPr>
            <w:rStyle w:val="Hyperlink"/>
          </w:rPr>
          <w:t>[ISO/IEC-29500-4]</w:t>
        </w:r>
      </w:hyperlink>
      <w:r>
        <w:t xml:space="preserve"> §19.1.2.19; shape (Shape Definition)").</w:t>
      </w:r>
    </w:p>
    <w:p w:rsidR="00024C0A" w:rsidRDefault="00694C0F">
      <w:pPr>
        <w:pStyle w:val="Heading6"/>
      </w:pPr>
      <w:bookmarkStart w:id="3955" w:name="section_093801fe80854aaaa44a78583b640385"/>
      <w:bookmarkStart w:id="3956" w:name="_Toc12262038"/>
      <w:r>
        <w:t>e2oholder (E2o Holder)</w:t>
      </w:r>
      <w:bookmarkEnd w:id="3955"/>
      <w:bookmarkEnd w:id="3956"/>
      <w:r>
        <w:fldChar w:fldCharType="begin"/>
      </w:r>
      <w:r>
        <w:instrText xml:space="preserve"> XE "e2oholder (E2o Holder)" </w:instrText>
      </w:r>
      <w:r>
        <w:fldChar w:fldCharType="end"/>
      </w:r>
    </w:p>
    <w:p w:rsidR="00024C0A" w:rsidRDefault="00694C0F">
      <w:r>
        <w:t>This is the root element of the VML embedded Dra</w:t>
      </w:r>
      <w:r>
        <w:t>wingML, Graphic Frame Doc part. It contains the actual DrawingML graphical object (OfficeArt object) data.</w:t>
      </w:r>
    </w:p>
    <w:tbl>
      <w:tblPr>
        <w:tblStyle w:val="Table-ShadedHeader"/>
        <w:tblW w:w="0" w:type="auto"/>
        <w:tblLook w:val="04A0" w:firstRow="1" w:lastRow="0" w:firstColumn="1" w:lastColumn="0" w:noHBand="0" w:noVBand="1"/>
      </w:tblPr>
      <w:tblGrid>
        <w:gridCol w:w="2484"/>
        <w:gridCol w:w="3037"/>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Child Elements</w:t>
            </w:r>
          </w:p>
        </w:tc>
        <w:tc>
          <w:tcPr>
            <w:tcW w:w="0" w:type="auto"/>
            <w:vAlign w:val="center"/>
          </w:tcPr>
          <w:p w:rsidR="00024C0A" w:rsidRDefault="00694C0F">
            <w:pPr>
              <w:pStyle w:val="TableHeaderText"/>
            </w:pPr>
            <w:r>
              <w:t>Subclause</w:t>
            </w:r>
          </w:p>
        </w:tc>
      </w:tr>
      <w:tr w:rsidR="00024C0A" w:rsidTr="00024C0A">
        <w:tc>
          <w:tcPr>
            <w:tcW w:w="0" w:type="auto"/>
            <w:vAlign w:val="center"/>
          </w:tcPr>
          <w:p w:rsidR="00024C0A" w:rsidRDefault="00694C0F">
            <w:pPr>
              <w:pStyle w:val="TableBodyText"/>
            </w:pPr>
            <w:r>
              <w:rPr>
                <w:b/>
              </w:rPr>
              <w:t>effectOffset</w:t>
            </w:r>
            <w:r>
              <w:t xml:space="preserve"> (Effect Offset)</w:t>
            </w:r>
          </w:p>
        </w:tc>
        <w:tc>
          <w:tcPr>
            <w:tcW w:w="0" w:type="auto"/>
            <w:vAlign w:val="center"/>
          </w:tcPr>
          <w:p w:rsidR="00024C0A" w:rsidRDefault="00694C0F">
            <w:pPr>
              <w:pStyle w:val="TableBodyText"/>
            </w:pPr>
            <w:r>
              <w:t>§</w:t>
            </w:r>
            <w:hyperlink w:anchor="Section_597fd3303f3a4f689f1394e06acddbe0">
              <w:r>
                <w:rPr>
                  <w:rStyle w:val="Hyperlink"/>
                </w:rPr>
                <w:t>3.1.4.3.1.2, effectOffset</w:t>
              </w:r>
            </w:hyperlink>
          </w:p>
        </w:tc>
      </w:tr>
      <w:tr w:rsidR="00024C0A" w:rsidTr="00024C0A">
        <w:tc>
          <w:tcPr>
            <w:tcW w:w="0" w:type="auto"/>
            <w:vAlign w:val="center"/>
          </w:tcPr>
          <w:p w:rsidR="00024C0A" w:rsidRDefault="00694C0F">
            <w:pPr>
              <w:pStyle w:val="TableBodyText"/>
            </w:pPr>
            <w:r>
              <w:rPr>
                <w:b/>
              </w:rPr>
              <w:t>graphic</w:t>
            </w:r>
            <w:r>
              <w:t xml:space="preserve"> (Graphic Object)</w:t>
            </w:r>
          </w:p>
        </w:tc>
        <w:tc>
          <w:tcPr>
            <w:tcW w:w="0" w:type="auto"/>
            <w:vAlign w:val="center"/>
          </w:tcPr>
          <w:p w:rsidR="00024C0A" w:rsidRDefault="00694C0F">
            <w:pPr>
              <w:pStyle w:val="TableBodyText"/>
            </w:pPr>
            <w:r>
              <w:t>"</w:t>
            </w:r>
            <w:hyperlink r:id="rId313">
              <w:r>
                <w:rPr>
                  <w:rStyle w:val="Hyperlink"/>
                </w:rPr>
                <w:t>[ISO/IEC-29500-1]</w:t>
              </w:r>
            </w:hyperlink>
            <w:r>
              <w:t xml:space="preserve"> §20.1.2.2.16"</w:t>
            </w:r>
          </w:p>
        </w:tc>
      </w:tr>
    </w:tbl>
    <w:p w:rsidR="00024C0A" w:rsidRDefault="00024C0A"/>
    <w:p w:rsidR="00024C0A" w:rsidRDefault="00694C0F">
      <w:r>
        <w:t>The following XML Schema fragment defines the contents of this element:</w:t>
      </w:r>
    </w:p>
    <w:p w:rsidR="00024C0A" w:rsidRDefault="00694C0F">
      <w:pPr>
        <w:pStyle w:val="Code"/>
      </w:pPr>
      <w:r>
        <w:t>&lt;complexType name="CT_GraphicalObjectWrapper"&gt;</w:t>
      </w:r>
    </w:p>
    <w:p w:rsidR="00024C0A" w:rsidRDefault="00694C0F">
      <w:pPr>
        <w:pStyle w:val="Code"/>
      </w:pPr>
      <w:r>
        <w:t xml:space="preserve">  &lt;sequence</w:t>
      </w:r>
      <w:r>
        <w:t>&gt;</w:t>
      </w:r>
    </w:p>
    <w:p w:rsidR="00024C0A" w:rsidRDefault="00694C0F">
      <w:pPr>
        <w:pStyle w:val="Code"/>
      </w:pPr>
      <w:r>
        <w:t xml:space="preserve">    &lt;element name="effectOffset" type="CT_EffectOffsetStg" minOccurs="1" maxOccurs="1"/&gt;</w:t>
      </w:r>
    </w:p>
    <w:p w:rsidR="00024C0A" w:rsidRDefault="00694C0F">
      <w:pPr>
        <w:pStyle w:val="Code"/>
      </w:pPr>
      <w:r>
        <w:lastRenderedPageBreak/>
        <w:t xml:space="preserve">    &lt;element ref="a:graphic" minOccurs="1" maxOccurs="1"/&gt;</w:t>
      </w:r>
    </w:p>
    <w:p w:rsidR="00024C0A" w:rsidRDefault="00694C0F">
      <w:pPr>
        <w:pStyle w:val="Code"/>
      </w:pPr>
      <w:r>
        <w:t xml:space="preserve">  &lt;/sequence&gt;</w:t>
      </w:r>
    </w:p>
    <w:p w:rsidR="00024C0A" w:rsidRDefault="00694C0F">
      <w:pPr>
        <w:pStyle w:val="Code"/>
      </w:pPr>
      <w:r>
        <w:t>&lt;/complexType&gt;</w:t>
      </w:r>
    </w:p>
    <w:p w:rsidR="00024C0A" w:rsidRDefault="00694C0F">
      <w:pPr>
        <w:pStyle w:val="Heading6"/>
      </w:pPr>
      <w:bookmarkStart w:id="3957" w:name="section_597fd3303f3a4f689f1394e06acddbe0"/>
      <w:bookmarkStart w:id="3958" w:name="_Toc12262039"/>
      <w:r>
        <w:t>effectOffset (Effect Offset)</w:t>
      </w:r>
      <w:bookmarkEnd w:id="3957"/>
      <w:bookmarkEnd w:id="3958"/>
      <w:r>
        <w:fldChar w:fldCharType="begin"/>
      </w:r>
      <w:r>
        <w:instrText xml:space="preserve"> XE "effectOffset (Effect Offset)" </w:instrText>
      </w:r>
      <w:r>
        <w:fldChar w:fldCharType="end"/>
      </w:r>
    </w:p>
    <w:p w:rsidR="00024C0A" w:rsidRDefault="00694C0F">
      <w:r>
        <w:t>This elemen</w:t>
      </w:r>
      <w:r>
        <w:t xml:space="preserve">t specifies the offset between the OfficeArt object bounds and the bounds of the total area of its visual effects. </w:t>
      </w:r>
    </w:p>
    <w:tbl>
      <w:tblPr>
        <w:tblStyle w:val="Table-ShadedHeader"/>
        <w:tblW w:w="0" w:type="auto"/>
        <w:tblLook w:val="04A0" w:firstRow="1" w:lastRow="0" w:firstColumn="1" w:lastColumn="0" w:noHBand="0" w:noVBand="1"/>
      </w:tblPr>
      <w:tblGrid>
        <w:gridCol w:w="3255"/>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e2oholder</w:t>
            </w:r>
            <w:r>
              <w:t xml:space="preserve"> (§</w:t>
            </w:r>
            <w:hyperlink w:anchor="Section_093801fe80854aaaa44a78583b640385">
              <w:r>
                <w:rPr>
                  <w:rStyle w:val="Hyperlink"/>
                </w:rPr>
                <w:t>3.1.4.3.1.1, e2oholder</w:t>
              </w:r>
            </w:hyperlink>
            <w:r>
              <w: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1488"/>
        <w:gridCol w:w="7987"/>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Attributes</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b</w:t>
            </w:r>
            <w:r>
              <w:t xml:space="preserve"> (Bottom Offset)</w:t>
            </w:r>
          </w:p>
        </w:tc>
        <w:tc>
          <w:tcPr>
            <w:tcW w:w="0" w:type="auto"/>
            <w:vAlign w:val="center"/>
          </w:tcPr>
          <w:p w:rsidR="00024C0A" w:rsidRDefault="00694C0F">
            <w:pPr>
              <w:pStyle w:val="TableBodyText"/>
            </w:pPr>
            <w:r>
              <w:t>The difference between the bottom border of the effect area and the bottom border of the OfficeArt object.</w:t>
            </w:r>
          </w:p>
          <w:p w:rsidR="00024C0A" w:rsidRDefault="00024C0A">
            <w:pPr>
              <w:pStyle w:val="TableBodyText"/>
            </w:pPr>
          </w:p>
          <w:p w:rsidR="00024C0A" w:rsidRDefault="00694C0F">
            <w:pPr>
              <w:pStyle w:val="TableBodyText"/>
            </w:pPr>
            <w:r>
              <w:t>The possible values for this attribute are defined by the ST_CoordinateUnqualified simple type ("</w:t>
            </w:r>
            <w:hyperlink r:id="rId314">
              <w:r>
                <w:rPr>
                  <w:rStyle w:val="Hyperlink"/>
                </w:rPr>
                <w:t>[ISO/IEC-29500-1]</w:t>
              </w:r>
            </w:hyperlink>
            <w:r>
              <w:t xml:space="preserve"> §20.1.10.19").</w:t>
            </w:r>
          </w:p>
        </w:tc>
      </w:tr>
      <w:tr w:rsidR="00024C0A" w:rsidTr="00024C0A">
        <w:tc>
          <w:tcPr>
            <w:tcW w:w="0" w:type="auto"/>
            <w:vAlign w:val="center"/>
          </w:tcPr>
          <w:p w:rsidR="00024C0A" w:rsidRDefault="00694C0F">
            <w:pPr>
              <w:pStyle w:val="TableBodyText"/>
            </w:pPr>
            <w:r>
              <w:rPr>
                <w:b/>
              </w:rPr>
              <w:t>l</w:t>
            </w:r>
            <w:r>
              <w:t xml:space="preserve"> (Left Offset)</w:t>
            </w:r>
          </w:p>
        </w:tc>
        <w:tc>
          <w:tcPr>
            <w:tcW w:w="0" w:type="auto"/>
            <w:vAlign w:val="center"/>
          </w:tcPr>
          <w:p w:rsidR="00024C0A" w:rsidRDefault="00694C0F">
            <w:pPr>
              <w:pStyle w:val="TableBodyText"/>
            </w:pPr>
            <w:r>
              <w:t>The difference between left border of the OfficeArt object and the left border of the effect area.</w:t>
            </w:r>
          </w:p>
          <w:p w:rsidR="00024C0A" w:rsidRDefault="00024C0A">
            <w:pPr>
              <w:pStyle w:val="TableBodyText"/>
            </w:pPr>
          </w:p>
          <w:p w:rsidR="00024C0A" w:rsidRDefault="00694C0F">
            <w:pPr>
              <w:pStyle w:val="TableBodyText"/>
            </w:pPr>
            <w:r>
              <w:t xml:space="preserve">The possible values for this attribute are defined by the </w:t>
            </w:r>
            <w:r>
              <w:t>ST_CoordinateUnqualified simple type ("[ISO/IEC-29500-1] §20.1.10.19").</w:t>
            </w:r>
          </w:p>
        </w:tc>
      </w:tr>
      <w:tr w:rsidR="00024C0A" w:rsidTr="00024C0A">
        <w:tc>
          <w:tcPr>
            <w:tcW w:w="0" w:type="auto"/>
            <w:vAlign w:val="center"/>
          </w:tcPr>
          <w:p w:rsidR="00024C0A" w:rsidRDefault="00694C0F">
            <w:pPr>
              <w:pStyle w:val="TableBodyText"/>
            </w:pPr>
            <w:r>
              <w:rPr>
                <w:b/>
              </w:rPr>
              <w:t>r</w:t>
            </w:r>
            <w:r>
              <w:t xml:space="preserve"> (Right Offset)</w:t>
            </w:r>
          </w:p>
        </w:tc>
        <w:tc>
          <w:tcPr>
            <w:tcW w:w="0" w:type="auto"/>
            <w:vAlign w:val="center"/>
          </w:tcPr>
          <w:p w:rsidR="00024C0A" w:rsidRDefault="00694C0F">
            <w:pPr>
              <w:pStyle w:val="TableBodyText"/>
            </w:pPr>
            <w:r>
              <w:t>The difference between the right border of the effect area and the right border of the OfficeArt object.</w:t>
            </w:r>
          </w:p>
          <w:p w:rsidR="00024C0A" w:rsidRDefault="00024C0A">
            <w:pPr>
              <w:pStyle w:val="TableBodyText"/>
            </w:pPr>
          </w:p>
          <w:p w:rsidR="00024C0A" w:rsidRDefault="00694C0F">
            <w:pPr>
              <w:pStyle w:val="TableBodyText"/>
            </w:pPr>
            <w:r>
              <w:t xml:space="preserve">The possible values for this attribute are defined by the </w:t>
            </w:r>
            <w:r>
              <w:t>ST_CoordinateUnqualified simple type ("[ISO/IEC-29500-1] §20.1.10.19").</w:t>
            </w:r>
          </w:p>
        </w:tc>
      </w:tr>
      <w:tr w:rsidR="00024C0A" w:rsidTr="00024C0A">
        <w:tc>
          <w:tcPr>
            <w:tcW w:w="0" w:type="auto"/>
            <w:vAlign w:val="center"/>
          </w:tcPr>
          <w:p w:rsidR="00024C0A" w:rsidRDefault="00694C0F">
            <w:pPr>
              <w:pStyle w:val="TableBodyText"/>
            </w:pPr>
            <w:r>
              <w:rPr>
                <w:b/>
              </w:rPr>
              <w:t>t</w:t>
            </w:r>
            <w:r>
              <w:t xml:space="preserve"> (Top Offset)</w:t>
            </w:r>
          </w:p>
        </w:tc>
        <w:tc>
          <w:tcPr>
            <w:tcW w:w="0" w:type="auto"/>
            <w:vAlign w:val="center"/>
          </w:tcPr>
          <w:p w:rsidR="00024C0A" w:rsidRDefault="00694C0F">
            <w:pPr>
              <w:pStyle w:val="TableBodyText"/>
            </w:pPr>
            <w:r>
              <w:t>The difference between the top border of the OfficeArt object and the top border of the effect area.</w:t>
            </w:r>
          </w:p>
          <w:p w:rsidR="00024C0A" w:rsidRDefault="00024C0A">
            <w:pPr>
              <w:pStyle w:val="TableBodyText"/>
            </w:pPr>
          </w:p>
          <w:p w:rsidR="00024C0A" w:rsidRDefault="00694C0F">
            <w:pPr>
              <w:pStyle w:val="TableBodyText"/>
            </w:pPr>
            <w:r>
              <w:t>The possible values for this attribute are defined by the ST_Coord</w:t>
            </w:r>
            <w:r>
              <w:t>inateUnqualified simple type ("[ISO/IEC-29500-1] §20.1.10.19").</w:t>
            </w:r>
          </w:p>
        </w:tc>
      </w:tr>
    </w:tbl>
    <w:p w:rsidR="00024C0A" w:rsidRDefault="00024C0A"/>
    <w:p w:rsidR="00024C0A" w:rsidRDefault="00694C0F">
      <w:r>
        <w:t>The following XML Schema fragment defines the contents of this element:</w:t>
      </w:r>
    </w:p>
    <w:p w:rsidR="00024C0A" w:rsidRDefault="00694C0F">
      <w:pPr>
        <w:pStyle w:val="Code"/>
      </w:pPr>
      <w:r>
        <w:t>&lt;complexType name="CT_EffectOffsetStg"&gt;</w:t>
      </w:r>
    </w:p>
    <w:p w:rsidR="00024C0A" w:rsidRDefault="00694C0F">
      <w:pPr>
        <w:pStyle w:val="Code"/>
      </w:pPr>
      <w:r>
        <w:t xml:space="preserve">  &lt;attribute name="l" type="a:ST_Coordinate" use="required"/&gt;</w:t>
      </w:r>
    </w:p>
    <w:p w:rsidR="00024C0A" w:rsidRDefault="00694C0F">
      <w:pPr>
        <w:pStyle w:val="Code"/>
      </w:pPr>
      <w:r>
        <w:t xml:space="preserve">  &lt;attribute nam</w:t>
      </w:r>
      <w:r>
        <w:t>e="t" type="a:ST_Coordinate" use="required"/&gt;</w:t>
      </w:r>
    </w:p>
    <w:p w:rsidR="00024C0A" w:rsidRDefault="00694C0F">
      <w:pPr>
        <w:pStyle w:val="Code"/>
      </w:pPr>
      <w:r>
        <w:t xml:space="preserve">  &lt;attribute name="r" type="a:ST_Coordinate" use="required"/&gt;</w:t>
      </w:r>
    </w:p>
    <w:p w:rsidR="00024C0A" w:rsidRDefault="00694C0F">
      <w:pPr>
        <w:pStyle w:val="Code"/>
      </w:pPr>
      <w:r>
        <w:t xml:space="preserve">  &lt;attribute name="b" type="a:ST_Coordinate" use="required"/&gt;</w:t>
      </w:r>
    </w:p>
    <w:p w:rsidR="00024C0A" w:rsidRDefault="00694C0F">
      <w:pPr>
        <w:pStyle w:val="Code"/>
      </w:pPr>
      <w:r>
        <w:t>&lt;/complexType&gt;</w:t>
      </w:r>
    </w:p>
    <w:p w:rsidR="00024C0A" w:rsidRDefault="00694C0F">
      <w:pPr>
        <w:pStyle w:val="Heading2"/>
      </w:pPr>
      <w:bookmarkStart w:id="3959" w:name="section_b1446808a7f94a6cac4a1ae8175a5705"/>
      <w:bookmarkStart w:id="3960" w:name="_Toc12262040"/>
      <w:r>
        <w:t>Excel</w:t>
      </w:r>
      <w:bookmarkEnd w:id="3959"/>
      <w:bookmarkEnd w:id="3960"/>
      <w:r>
        <w:fldChar w:fldCharType="begin"/>
      </w:r>
      <w:r>
        <w:instrText xml:space="preserve"> XE "Excel (Additional Information)" </w:instrText>
      </w:r>
      <w:r>
        <w:fldChar w:fldCharType="end"/>
      </w:r>
    </w:p>
    <w:p w:rsidR="00024C0A" w:rsidRDefault="00694C0F">
      <w:r>
        <w:t xml:space="preserve">This section contains additional information used to more fully describe how Excel implements Office Open XML File Formats </w:t>
      </w:r>
      <w:hyperlink r:id="rId315">
        <w:r>
          <w:rPr>
            <w:rStyle w:val="Hyperlink"/>
          </w:rPr>
          <w:t>[ISO/IEC29500:2012]</w:t>
        </w:r>
      </w:hyperlink>
      <w:r>
        <w:t>.</w:t>
      </w:r>
    </w:p>
    <w:p w:rsidR="00024C0A" w:rsidRDefault="00694C0F">
      <w:pPr>
        <w:pStyle w:val="Heading3"/>
      </w:pPr>
      <w:bookmarkStart w:id="3961" w:name="section_8ce3f967210d4181927892e3411ebfc7"/>
      <w:bookmarkStart w:id="3962" w:name="_Toc12262041"/>
      <w:r>
        <w:lastRenderedPageBreak/>
        <w:t>Additional Parts</w:t>
      </w:r>
      <w:bookmarkEnd w:id="3961"/>
      <w:bookmarkEnd w:id="3962"/>
      <w:r>
        <w:fldChar w:fldCharType="begin"/>
      </w:r>
      <w:r>
        <w:instrText xml:space="preserve"> XE "Additional Parts" </w:instrText>
      </w:r>
      <w:r>
        <w:fldChar w:fldCharType="end"/>
      </w:r>
    </w:p>
    <w:p w:rsidR="00024C0A" w:rsidRDefault="00694C0F">
      <w:r>
        <w:t xml:space="preserve">The </w:t>
      </w:r>
      <w:r>
        <w:t>subclauses subordinate to this one describe in detail each of the part types specific to Excel in addition to those listed as part of Office Open XML File Formats ("</w:t>
      </w:r>
      <w:hyperlink r:id="rId316">
        <w:r>
          <w:rPr>
            <w:rStyle w:val="Hyperlink"/>
          </w:rPr>
          <w:t>[ISO/IEC-29500-1]</w:t>
        </w:r>
      </w:hyperlink>
      <w:r>
        <w:t xml:space="preserve"> §12").</w:t>
      </w:r>
    </w:p>
    <w:p w:rsidR="00024C0A" w:rsidRDefault="00694C0F">
      <w:pPr>
        <w:pStyle w:val="Heading4"/>
      </w:pPr>
      <w:bookmarkStart w:id="3963" w:name="section_693389eed71540f89ef4055de69fd6a8"/>
      <w:bookmarkStart w:id="3964" w:name="_Toc12262042"/>
      <w:r>
        <w:t>Excel Attached Toolbars Part</w:t>
      </w:r>
      <w:bookmarkEnd w:id="3963"/>
      <w:bookmarkEnd w:id="3964"/>
      <w:r>
        <w:fldChar w:fldCharType="begin"/>
      </w:r>
      <w:r>
        <w:instrText xml:space="preserve"> XE "Excel Attached Toolbars Part" </w:instrText>
      </w:r>
      <w:r>
        <w:fldChar w:fldCharType="end"/>
      </w:r>
    </w:p>
    <w:p w:rsidR="00024C0A" w:rsidRDefault="00694C0F">
      <w:r>
        <w:rPr>
          <w:b/>
          <w:i/>
        </w:rPr>
        <w:t>Content Type</w:t>
      </w:r>
    </w:p>
    <w:p w:rsidR="00024C0A" w:rsidRDefault="00694C0F">
      <w:r>
        <w:rPr>
          <w:i/>
        </w:rPr>
        <w:t>application/vnd.ms-excel.attachedToolbars</w:t>
      </w:r>
    </w:p>
    <w:p w:rsidR="00024C0A" w:rsidRDefault="00694C0F">
      <w:r>
        <w:rPr>
          <w:b/>
          <w:i/>
        </w:rPr>
        <w:t>Root Namespace</w:t>
      </w:r>
    </w:p>
    <w:p w:rsidR="00024C0A" w:rsidRDefault="00694C0F">
      <w:r>
        <w:rPr>
          <w:i/>
        </w:rPr>
        <w:t>Not applicable</w:t>
      </w:r>
    </w:p>
    <w:p w:rsidR="00024C0A" w:rsidRDefault="00694C0F">
      <w:r>
        <w:rPr>
          <w:b/>
          <w:i/>
        </w:rPr>
        <w:t>Source Relationship</w:t>
      </w:r>
    </w:p>
    <w:p w:rsidR="00024C0A" w:rsidRDefault="00694C0F">
      <w:r>
        <w:rPr>
          <w:i/>
        </w:rPr>
        <w:t>http://schemas.microsoft.com/office/2006/relationships/attachedToolbars</w:t>
      </w:r>
    </w:p>
    <w:p w:rsidR="00024C0A" w:rsidRDefault="00694C0F">
      <w:r>
        <w:t>This binary p</w:t>
      </w:r>
      <w:r>
        <w:t>art supports the storage of custom toolbars created by the user.</w:t>
      </w:r>
    </w:p>
    <w:p w:rsidR="00024C0A" w:rsidRDefault="00694C0F">
      <w:r>
        <w:t>A package shall contain at most one Attached Toolbars part, and that part shall be the target of an implicit relationship from the Workbook part ("</w:t>
      </w:r>
      <w:hyperlink r:id="rId317">
        <w:r>
          <w:rPr>
            <w:rStyle w:val="Hyperlink"/>
          </w:rPr>
          <w:t>[ISO/IEC-29500-1]</w:t>
        </w:r>
      </w:hyperlink>
      <w:r>
        <w:t xml:space="preserve"> §12.3.23").</w:t>
      </w:r>
    </w:p>
    <w:p w:rsidR="00024C0A" w:rsidRDefault="00694C0F">
      <w:r>
        <w:t>[Example: The following Workbook part-relationship item contains a relationship to the Attached Toolbars part, which is stored in the ZIP item attachedToolbars.bin:</w:t>
      </w:r>
    </w:p>
    <w:p w:rsidR="00024C0A" w:rsidRDefault="00694C0F">
      <w:pPr>
        <w:pStyle w:val="Code"/>
      </w:pPr>
      <w:r>
        <w:t>&lt;Relationships xmlns="…"&gt;</w:t>
      </w:r>
    </w:p>
    <w:p w:rsidR="00024C0A" w:rsidRDefault="00694C0F">
      <w:pPr>
        <w:pStyle w:val="Code"/>
      </w:pPr>
      <w:r>
        <w:t xml:space="preserve">  &lt;Relationsh</w:t>
      </w:r>
      <w:r>
        <w:t xml:space="preserve">ip Id="rId6" </w:t>
      </w:r>
    </w:p>
    <w:p w:rsidR="00024C0A" w:rsidRDefault="00694C0F">
      <w:pPr>
        <w:pStyle w:val="Code"/>
      </w:pPr>
      <w:r>
        <w:t xml:space="preserve">    Type="http://…/attachedToolbars" Target="attachedToolbars.bin"/&gt;</w:t>
      </w:r>
    </w:p>
    <w:p w:rsidR="00024C0A" w:rsidRDefault="00694C0F">
      <w:pPr>
        <w:pStyle w:val="Code"/>
      </w:pPr>
      <w:r>
        <w:t>&lt;/Relationships&gt;</w:t>
      </w:r>
    </w:p>
    <w:p w:rsidR="00024C0A" w:rsidRDefault="00694C0F">
      <w:r>
        <w:t>end example]</w:t>
      </w:r>
    </w:p>
    <w:p w:rsidR="00024C0A" w:rsidRDefault="00694C0F">
      <w:r>
        <w:t xml:space="preserve">An Attached Toolbars part shall be located within the package containing the source relationship (expressed syntactically, the </w:t>
      </w:r>
      <w:r>
        <w:rPr>
          <w:b/>
        </w:rPr>
        <w:t>TargetMode</w:t>
      </w:r>
      <w:r>
        <w:t xml:space="preserve"> attri</w:t>
      </w:r>
      <w:r>
        <w:t xml:space="preserve">bute of the </w:t>
      </w:r>
      <w:r>
        <w:rPr>
          <w:b/>
        </w:rPr>
        <w:t>Relationship</w:t>
      </w:r>
      <w:r>
        <w:t xml:space="preserve"> element shall be </w:t>
      </w:r>
      <w:r>
        <w:rPr>
          <w:i/>
        </w:rPr>
        <w:t>Internal</w:t>
      </w:r>
      <w:r>
        <w:t>).</w:t>
      </w:r>
    </w:p>
    <w:p w:rsidR="00024C0A" w:rsidRDefault="00694C0F">
      <w:r>
        <w:t xml:space="preserve">An Attached Toolbars part shall not have implicit or explicit relationships to any part defined by Office Open XML File Formats </w:t>
      </w:r>
      <w:hyperlink r:id="rId318">
        <w:r>
          <w:rPr>
            <w:rStyle w:val="Hyperlink"/>
          </w:rPr>
          <w:t>[ISO/IEC29500:2012]</w:t>
        </w:r>
      </w:hyperlink>
      <w:r>
        <w:t>.</w:t>
      </w:r>
    </w:p>
    <w:p w:rsidR="00024C0A" w:rsidRDefault="00694C0F">
      <w:r>
        <w:t xml:space="preserve">The internal structure of the ZIP item attachedToolbars.bin is specified in the XCB section of the Excel 97-2003 Binary File Format (.xls) Structure Specification </w:t>
      </w:r>
      <w:hyperlink r:id="rId319" w:anchor="Section_cd03cb5fca024934a391bb674cb8aa06">
        <w:r>
          <w:rPr>
            <w:rStyle w:val="Hyperlink"/>
          </w:rPr>
          <w:t>[MS-XLS]</w:t>
        </w:r>
      </w:hyperlink>
      <w:r>
        <w:t xml:space="preserve"> book.</w:t>
      </w:r>
    </w:p>
    <w:p w:rsidR="00024C0A" w:rsidRDefault="00694C0F">
      <w:pPr>
        <w:pStyle w:val="Heading4"/>
      </w:pPr>
      <w:bookmarkStart w:id="3965" w:name="section_c004bb57aaa44a8c9eca2cab3f574fe2"/>
      <w:bookmarkStart w:id="3966" w:name="_Toc12262043"/>
      <w:r>
        <w:t>Worksheet Sort Map Part</w:t>
      </w:r>
      <w:bookmarkEnd w:id="3965"/>
      <w:bookmarkEnd w:id="3966"/>
      <w:r>
        <w:fldChar w:fldCharType="begin"/>
      </w:r>
      <w:r>
        <w:instrText xml:space="preserve"> XE "Worksheet Sort Map Part" </w:instrText>
      </w:r>
      <w:r>
        <w:fldChar w:fldCharType="end"/>
      </w:r>
    </w:p>
    <w:p w:rsidR="00024C0A" w:rsidRDefault="00694C0F">
      <w:r>
        <w:rPr>
          <w:b/>
          <w:i/>
        </w:rPr>
        <w:t>Content Type</w:t>
      </w:r>
    </w:p>
    <w:p w:rsidR="00024C0A" w:rsidRDefault="00694C0F">
      <w:r>
        <w:rPr>
          <w:i/>
        </w:rPr>
        <w:t>application/vnd.ms-excel.wsSortMap+xml</w:t>
      </w:r>
    </w:p>
    <w:p w:rsidR="00024C0A" w:rsidRDefault="00694C0F">
      <w:r>
        <w:rPr>
          <w:b/>
          <w:i/>
        </w:rPr>
        <w:t>Root Namespace</w:t>
      </w:r>
    </w:p>
    <w:p w:rsidR="00024C0A" w:rsidRDefault="00694C0F">
      <w:r>
        <w:rPr>
          <w:i/>
        </w:rPr>
        <w:t>http://schemas.microsoft.com/office/excel/2006/main</w:t>
      </w:r>
    </w:p>
    <w:p w:rsidR="00024C0A" w:rsidRDefault="00694C0F">
      <w:r>
        <w:rPr>
          <w:b/>
          <w:i/>
        </w:rPr>
        <w:t>Source Relationship</w:t>
      </w:r>
    </w:p>
    <w:p w:rsidR="00024C0A" w:rsidRDefault="00694C0F">
      <w:r>
        <w:rPr>
          <w:i/>
        </w:rPr>
        <w:t>http://schemas.microsoft.com/office/2006/relationships/wsSortMap</w:t>
      </w:r>
    </w:p>
    <w:p w:rsidR="00024C0A" w:rsidRDefault="00694C0F">
      <w:r>
        <w:lastRenderedPageBreak/>
        <w:t>An instance of this part contains information about a series of before and after row or column mapping to resolve different sort operations performed on the same range by different users when</w:t>
      </w:r>
      <w:r>
        <w:t xml:space="preserve"> the workbook is shared.</w:t>
      </w:r>
    </w:p>
    <w:p w:rsidR="00024C0A" w:rsidRDefault="00694C0F">
      <w:r>
        <w:t>A package is permitted to contain zero or one Worksheet Sort Map part for each worksheet, and that part shall be the target of an implicit relationship from the Worksheet part ("</w:t>
      </w:r>
      <w:hyperlink r:id="rId320">
        <w:r>
          <w:rPr>
            <w:rStyle w:val="Hyperlink"/>
          </w:rPr>
          <w:t>[ISO/IEC-29500-1]</w:t>
        </w:r>
      </w:hyperlink>
      <w:r>
        <w:t xml:space="preserve"> §12.3.24").</w:t>
      </w:r>
    </w:p>
    <w:p w:rsidR="00024C0A" w:rsidRDefault="00694C0F">
      <w:r>
        <w:t>[Example: The following Worksheet part-relationship item contains a relationship to the Worksheet Sort Map part, which is stored in the ZIP item wsSortMap1.xml:</w:t>
      </w:r>
    </w:p>
    <w:p w:rsidR="00024C0A" w:rsidRDefault="00694C0F">
      <w:pPr>
        <w:pStyle w:val="Code"/>
      </w:pPr>
      <w:r>
        <w:t>&lt;Relationships xmlns="…"&gt;</w:t>
      </w:r>
    </w:p>
    <w:p w:rsidR="00024C0A" w:rsidRDefault="00694C0F">
      <w:pPr>
        <w:pStyle w:val="Code"/>
      </w:pPr>
      <w:r>
        <w:t xml:space="preserve">  &lt;Relationship Id="rId1" </w:t>
      </w:r>
    </w:p>
    <w:p w:rsidR="00024C0A" w:rsidRDefault="00694C0F">
      <w:pPr>
        <w:pStyle w:val="Code"/>
      </w:pPr>
      <w:r>
        <w:t xml:space="preserve">    Type="http://…/wsSortMap" Target="wsSortMap1.xml"/&gt;</w:t>
      </w:r>
    </w:p>
    <w:p w:rsidR="00024C0A" w:rsidRDefault="00694C0F">
      <w:pPr>
        <w:pStyle w:val="Code"/>
      </w:pPr>
      <w:r>
        <w:t>&lt;/Relationships&gt;</w:t>
      </w:r>
    </w:p>
    <w:p w:rsidR="00024C0A" w:rsidRDefault="00694C0F">
      <w:r>
        <w:t>end example]</w:t>
      </w:r>
    </w:p>
    <w:p w:rsidR="00024C0A" w:rsidRDefault="00694C0F">
      <w:r>
        <w:t xml:space="preserve">The root element for a part of this content type shall be </w:t>
      </w:r>
      <w:r>
        <w:rPr>
          <w:b/>
        </w:rPr>
        <w:t>worksheetSortMap</w:t>
      </w:r>
      <w:r>
        <w:t>.</w:t>
      </w:r>
    </w:p>
    <w:p w:rsidR="00024C0A" w:rsidRDefault="00694C0F">
      <w:r>
        <w:t>[Example: This Worksheet Sort Map part results from a row sort on a range containing 3 rows:</w:t>
      </w:r>
    </w:p>
    <w:p w:rsidR="00024C0A" w:rsidRDefault="00694C0F">
      <w:pPr>
        <w:pStyle w:val="Code"/>
      </w:pPr>
      <w:r>
        <w:t>&lt;worksheetSortMap xmlns:st="…"&gt;</w:t>
      </w:r>
    </w:p>
    <w:p w:rsidR="00024C0A" w:rsidRDefault="00694C0F">
      <w:pPr>
        <w:pStyle w:val="Code"/>
      </w:pPr>
      <w:r>
        <w:t xml:space="preserve">  &lt;rowSortMap ref="A1:XFD3" count="3"&gt;</w:t>
      </w:r>
    </w:p>
    <w:p w:rsidR="00024C0A" w:rsidRDefault="00694C0F">
      <w:pPr>
        <w:pStyle w:val="Code"/>
      </w:pPr>
      <w:r>
        <w:t xml:space="preserve">    &lt;row newVal="0" oldVal="1"/&gt;</w:t>
      </w:r>
    </w:p>
    <w:p w:rsidR="00024C0A" w:rsidRDefault="00694C0F">
      <w:pPr>
        <w:pStyle w:val="Code"/>
      </w:pPr>
      <w:r>
        <w:t xml:space="preserve">    &lt;row newVal="1" oldVal="2"/&gt;</w:t>
      </w:r>
    </w:p>
    <w:p w:rsidR="00024C0A" w:rsidRDefault="00694C0F">
      <w:pPr>
        <w:pStyle w:val="Code"/>
      </w:pPr>
      <w:r>
        <w:t xml:space="preserve">    &lt;row newVal="2" oldVal="0"/&gt;</w:t>
      </w:r>
    </w:p>
    <w:p w:rsidR="00024C0A" w:rsidRDefault="00694C0F">
      <w:pPr>
        <w:pStyle w:val="Code"/>
      </w:pPr>
      <w:r>
        <w:t xml:space="preserve">  &lt;/rowSortMap&gt;</w:t>
      </w:r>
    </w:p>
    <w:p w:rsidR="00024C0A" w:rsidRDefault="00694C0F">
      <w:pPr>
        <w:pStyle w:val="Code"/>
      </w:pPr>
      <w:r>
        <w:t>&lt;/worksheetSortMap&gt;</w:t>
      </w:r>
    </w:p>
    <w:p w:rsidR="00024C0A" w:rsidRDefault="00694C0F">
      <w:r>
        <w:t>end example]</w:t>
      </w:r>
    </w:p>
    <w:p w:rsidR="00024C0A" w:rsidRDefault="00694C0F">
      <w:r>
        <w:t>A Worksheet Sort Map part shall be lo</w:t>
      </w:r>
      <w:r>
        <w:t xml:space="preserve">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024C0A" w:rsidRDefault="00694C0F">
      <w:r>
        <w:t>A Worksheet Sort Map part shall not have implicit or explicit relationships to any part defined b</w:t>
      </w:r>
      <w:r>
        <w:t xml:space="preserve">y Office Open XML File Formats </w:t>
      </w:r>
      <w:hyperlink r:id="rId321">
        <w:r>
          <w:rPr>
            <w:rStyle w:val="Hyperlink"/>
          </w:rPr>
          <w:t>[ISO/IEC29500:2012]</w:t>
        </w:r>
      </w:hyperlink>
      <w:r>
        <w:t xml:space="preserve">. </w:t>
      </w:r>
    </w:p>
    <w:p w:rsidR="00024C0A" w:rsidRDefault="00694C0F">
      <w:pPr>
        <w:pStyle w:val="Heading3"/>
      </w:pPr>
      <w:bookmarkStart w:id="3967" w:name="section_a24b67311ed74c89ab5828431df113ee"/>
      <w:bookmarkStart w:id="3968" w:name="_Toc12262044"/>
      <w:r>
        <w:t>Microsoft Office Excel Sortmap</w:t>
      </w:r>
      <w:bookmarkEnd w:id="3967"/>
      <w:bookmarkEnd w:id="3968"/>
      <w:r>
        <w:fldChar w:fldCharType="begin"/>
      </w:r>
      <w:r>
        <w:instrText xml:space="preserve"> XE "Microsoft Office Excel Sortmap" </w:instrText>
      </w:r>
      <w:r>
        <w:fldChar w:fldCharType="end"/>
      </w:r>
    </w:p>
    <w:p w:rsidR="00024C0A" w:rsidRDefault="00694C0F">
      <w:r>
        <w:t>This part specifies a Sort Map used by Excel to recalculate a share</w:t>
      </w:r>
      <w:r>
        <w:t>d workbook. This part is present only in files created by Excel SP1 and later.</w:t>
      </w:r>
    </w:p>
    <w:p w:rsidR="00024C0A" w:rsidRDefault="00694C0F">
      <w:pPr>
        <w:pStyle w:val="Heading4"/>
      </w:pPr>
      <w:bookmarkStart w:id="3969" w:name="section_e69cb44829e64c02bc6be920b0c46513"/>
      <w:bookmarkStart w:id="3970" w:name="_Toc12262045"/>
      <w:r>
        <w:t>Sortmap Elements</w:t>
      </w:r>
      <w:bookmarkEnd w:id="3969"/>
      <w:bookmarkEnd w:id="3970"/>
      <w:r>
        <w:fldChar w:fldCharType="begin"/>
      </w:r>
      <w:r>
        <w:instrText xml:space="preserve"> XE "Sortmap Elements" </w:instrText>
      </w:r>
      <w:r>
        <w:fldChar w:fldCharType="end"/>
      </w:r>
    </w:p>
    <w:p w:rsidR="00024C0A" w:rsidRDefault="00694C0F">
      <w:r>
        <w:t xml:space="preserve">This subclause specifies the elements and simple types that comprise the Sort Map. </w:t>
      </w:r>
    </w:p>
    <w:p w:rsidR="00024C0A" w:rsidRDefault="00694C0F">
      <w:r>
        <w:t xml:space="preserve">A sort map is used in the context of a shared </w:t>
      </w:r>
      <w:r>
        <w:t>workbook to record the sort order of a range of cells. This information is used to correctly update cells and formulas that depend on the sort order when revision information is applied. There is one sort map per worksheet.</w:t>
      </w:r>
    </w:p>
    <w:p w:rsidR="00024C0A" w:rsidRDefault="00694C0F">
      <w:r>
        <w:t>The sort map consists of two com</w:t>
      </w:r>
      <w:r>
        <w:t>ponents:  The row sort map and the column sort map. The row sort map contains a list of row indices that need to be adjusted when revision information is applied. The row sort map is created when a range of cells is sorted top down or bottom up. The column</w:t>
      </w:r>
      <w:r>
        <w:t xml:space="preserve"> sort map contains a list of column indices that need to be adjusted when revision information is applied. The column sort map is created when a range of cells is sorted left to right or right to left.</w:t>
      </w:r>
    </w:p>
    <w:p w:rsidR="00024C0A" w:rsidRDefault="00694C0F">
      <w:r>
        <w:t>[Example: Consider the following shared workbook:</w:t>
      </w:r>
    </w:p>
    <w:p w:rsidR="00024C0A" w:rsidRDefault="00694C0F">
      <w:r>
        <w:rPr>
          <w:noProof/>
        </w:rPr>
        <w:lastRenderedPageBreak/>
        <w:drawing>
          <wp:inline distT="0" distB="0" distL="0" distR="0">
            <wp:extent cx="1428750" cy="1085850"/>
            <wp:effectExtent l="0" t="0" r="0" b="0"/>
            <wp:docPr id="342015725" name="Picture 1" descr="Table showing 4 unsorted rows of data in one column. Cell A2 contains number 5, A3 contains number 6, A4 contains number 7, A5 contains number 8" title="Table showing 4 unsorted rows of data in on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f-0000-0000-0000-000000000000" descr="Table showing 4 unsorted rows of data in one column. Cell A2 contains number 5, A3 contains number 6, A4 contains number 7, A5 contains number 8" title="Table showing 4 unsorted rows of data in one column"/>
                    <pic:cNvPicPr>
                      <a:picLocks noChangeAspect="1" noChangeArrowheads="1"/>
                    </pic:cNvPicPr>
                  </pic:nvPicPr>
                  <pic:blipFill>
                    <a:blip r:embed="rId322" cstate="print"/>
                    <a:srcRect/>
                    <a:stretch>
                      <a:fillRect/>
                    </a:stretch>
                  </pic:blipFill>
                  <pic:spPr bwMode="auto">
                    <a:xfrm>
                      <a:off x="0" y="0"/>
                      <a:ext cx="1428750" cy="1085850"/>
                    </a:xfrm>
                    <a:prstGeom prst="rect">
                      <a:avLst/>
                    </a:prstGeom>
                    <a:noFill/>
                    <a:ln w="9525">
                      <a:noFill/>
                      <a:miter lim="800000"/>
                      <a:headEnd/>
                      <a:tailEnd/>
                    </a:ln>
                  </pic:spPr>
                </pic:pic>
              </a:graphicData>
            </a:graphic>
          </wp:inline>
        </w:drawing>
      </w:r>
    </w:p>
    <w:p w:rsidR="00024C0A" w:rsidRDefault="00694C0F">
      <w:r>
        <w:t>The worksheet contains four rows of data. Once the data is sorted in descending order, the worksheet looks as follows:</w:t>
      </w:r>
    </w:p>
    <w:p w:rsidR="00024C0A" w:rsidRDefault="00694C0F">
      <w:r>
        <w:rPr>
          <w:noProof/>
        </w:rPr>
        <w:drawing>
          <wp:inline distT="0" distB="0" distL="0" distR="0">
            <wp:extent cx="1485900" cy="1095375"/>
            <wp:effectExtent l="0" t="0" r="0" b="0"/>
            <wp:docPr id="342015726" name="Picture 1" descr="Table with 4 rows of data in one column sorted descending. Cell A2 contains number 8, cell A3 contains number 7, cell A4 contains num er 6, cell A6 contains number 5" title="Table with 4 rows of data in one column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a0-0000-0000-0000-000000000000" descr="Table with 4 rows of data in one column sorted descending. Cell A2 contains number 8, cell A3 contains number 7, cell A4 contains num er 6, cell A6 contains number 5" title="Table with 4 rows of data in one column sorted descending"/>
                    <pic:cNvPicPr>
                      <a:picLocks noChangeAspect="1" noChangeArrowheads="1"/>
                    </pic:cNvPicPr>
                  </pic:nvPicPr>
                  <pic:blipFill>
                    <a:blip r:embed="rId323" cstate="print"/>
                    <a:srcRect/>
                    <a:stretch>
                      <a:fillRect/>
                    </a:stretch>
                  </pic:blipFill>
                  <pic:spPr bwMode="auto">
                    <a:xfrm>
                      <a:off x="0" y="0"/>
                      <a:ext cx="1485900" cy="1095375"/>
                    </a:xfrm>
                    <a:prstGeom prst="rect">
                      <a:avLst/>
                    </a:prstGeom>
                    <a:noFill/>
                    <a:ln w="9525">
                      <a:noFill/>
                      <a:miter lim="800000"/>
                      <a:headEnd/>
                      <a:tailEnd/>
                    </a:ln>
                  </pic:spPr>
                </pic:pic>
              </a:graphicData>
            </a:graphic>
          </wp:inline>
        </w:drawing>
      </w:r>
    </w:p>
    <w:p w:rsidR="00024C0A" w:rsidRDefault="00694C0F">
      <w:r>
        <w:t>When this worksheet is saved, the following sort map should be created and saved to the file:</w:t>
      </w:r>
    </w:p>
    <w:p w:rsidR="00024C0A" w:rsidRDefault="00694C0F">
      <w:pPr>
        <w:pStyle w:val="Code"/>
      </w:pPr>
      <w:r>
        <w:t>&lt;worksheetSortMap xmlns="http://schemas.m</w:t>
      </w:r>
      <w:r>
        <w:t>icrosoft.com/office/excel/2006/main"&gt;</w:t>
      </w:r>
    </w:p>
    <w:p w:rsidR="00024C0A" w:rsidRDefault="00694C0F">
      <w:pPr>
        <w:pStyle w:val="Code"/>
      </w:pPr>
      <w:r>
        <w:t xml:space="preserve">   &lt;rowSortMap ref="A2:XFD5" count="4"&gt;</w:t>
      </w:r>
    </w:p>
    <w:p w:rsidR="00024C0A" w:rsidRDefault="00694C0F">
      <w:pPr>
        <w:pStyle w:val="Code"/>
      </w:pPr>
      <w:r>
        <w:t xml:space="preserve">      &lt;row newVal="1" oldVal="4"/&gt;</w:t>
      </w:r>
    </w:p>
    <w:p w:rsidR="00024C0A" w:rsidRDefault="00694C0F">
      <w:pPr>
        <w:pStyle w:val="Code"/>
      </w:pPr>
      <w:r>
        <w:t xml:space="preserve">      &lt;row newVal="2" oldVal="3"/&gt;</w:t>
      </w:r>
    </w:p>
    <w:p w:rsidR="00024C0A" w:rsidRDefault="00694C0F">
      <w:pPr>
        <w:pStyle w:val="Code"/>
      </w:pPr>
      <w:r>
        <w:t xml:space="preserve">      &lt;row newVal="3" oldVal="2"/&gt;</w:t>
      </w:r>
    </w:p>
    <w:p w:rsidR="00024C0A" w:rsidRDefault="00694C0F">
      <w:pPr>
        <w:pStyle w:val="Code"/>
      </w:pPr>
      <w:r>
        <w:t xml:space="preserve">      &lt;row newVal="4" oldVal="1"/&gt;</w:t>
      </w:r>
    </w:p>
    <w:p w:rsidR="00024C0A" w:rsidRDefault="00694C0F">
      <w:pPr>
        <w:pStyle w:val="Code"/>
      </w:pPr>
      <w:r>
        <w:t xml:space="preserve">   &lt;/rowSortMap&gt;</w:t>
      </w:r>
    </w:p>
    <w:p w:rsidR="00024C0A" w:rsidRDefault="00694C0F">
      <w:pPr>
        <w:pStyle w:val="Code"/>
      </w:pPr>
      <w:r>
        <w:t>&lt;/worksheetSortMap&gt;</w:t>
      </w:r>
    </w:p>
    <w:p w:rsidR="00024C0A" w:rsidRDefault="00694C0F">
      <w:r>
        <w:t>I</w:t>
      </w:r>
      <w:r>
        <w:t xml:space="preserve">n the context of this example, the sort map implies that the contents of the second row should be replaced with the contents of the fifth row; contents of the third row should be replaced with the contents of the fourth row; and so on. </w:t>
      </w:r>
    </w:p>
    <w:p w:rsidR="00024C0A" w:rsidRDefault="00694C0F">
      <w:r>
        <w:t>Now consider the fo</w:t>
      </w:r>
      <w:r>
        <w:t>llowing worksheet:</w:t>
      </w:r>
    </w:p>
    <w:p w:rsidR="00024C0A" w:rsidRDefault="00694C0F">
      <w:r>
        <w:rPr>
          <w:noProof/>
        </w:rPr>
        <w:drawing>
          <wp:inline distT="0" distB="0" distL="0" distR="0">
            <wp:extent cx="2705100" cy="752475"/>
            <wp:effectExtent l="0" t="0" r="0" b="0"/>
            <wp:docPr id="342015727" name="Picture 1" descr="Table with 4 columns of data in one row. Cell A2 contains number 5, cell B2 contains number 6, cell C3 contains number 7, cell D2 contains number 8" title="Table with 4 columns of unsorted data in one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d7abd05-0000-0000-0000-000000000000" descr="Table with 4 columns of data in one row. Cell A2 contains number 5, cell B2 contains number 6, cell C3 contains number 7, cell D2 contains number 8" title="Table with 4 columns of unsorted data in one row"/>
                    <pic:cNvPicPr>
                      <a:picLocks noChangeAspect="1" noChangeArrowheads="1"/>
                    </pic:cNvPicPr>
                  </pic:nvPicPr>
                  <pic:blipFill>
                    <a:blip r:embed="rId324" cstate="print"/>
                    <a:srcRect/>
                    <a:stretch>
                      <a:fillRect/>
                    </a:stretch>
                  </pic:blipFill>
                  <pic:spPr bwMode="auto">
                    <a:xfrm>
                      <a:off x="0" y="0"/>
                      <a:ext cx="2705100" cy="752475"/>
                    </a:xfrm>
                    <a:prstGeom prst="rect">
                      <a:avLst/>
                    </a:prstGeom>
                    <a:noFill/>
                    <a:ln w="9525">
                      <a:noFill/>
                      <a:miter lim="800000"/>
                      <a:headEnd/>
                      <a:tailEnd/>
                    </a:ln>
                  </pic:spPr>
                </pic:pic>
              </a:graphicData>
            </a:graphic>
          </wp:inline>
        </w:drawing>
      </w:r>
    </w:p>
    <w:p w:rsidR="00024C0A" w:rsidRDefault="00694C0F">
      <w:r>
        <w:t>This worksheet contains four columns of data. Once the data is sorted left to right in descending order, the worksheet looks as follows:</w:t>
      </w:r>
    </w:p>
    <w:p w:rsidR="00024C0A" w:rsidRDefault="00694C0F">
      <w:r>
        <w:rPr>
          <w:noProof/>
        </w:rPr>
        <w:drawing>
          <wp:inline distT="0" distB="0" distL="0" distR="0">
            <wp:extent cx="2695575" cy="742950"/>
            <wp:effectExtent l="0" t="0" r="0" b="0"/>
            <wp:docPr id="342015728" name="Picture 1" descr="Table with 4 columns of data in one row sorted descending. Cell A2 contains number 8, cell B2 contains number 7, cell C2 contains number 6, cell D2 contains number 5" title="Table with 4 columns of data in one row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3575fe-0000-0000-0000-000000000000" descr="Table with 4 columns of data in one row sorted descending. Cell A2 contains number 8, cell B2 contains number 7, cell C2 contains number 6, cell D2 contains number 5" title="Table with 4 columns of data in one row sorted descending"/>
                    <pic:cNvPicPr>
                      <a:picLocks noChangeAspect="1" noChangeArrowheads="1"/>
                    </pic:cNvPicPr>
                  </pic:nvPicPr>
                  <pic:blipFill>
                    <a:blip r:embed="rId325" cstate="print"/>
                    <a:srcRect/>
                    <a:stretch>
                      <a:fillRect/>
                    </a:stretch>
                  </pic:blipFill>
                  <pic:spPr bwMode="auto">
                    <a:xfrm>
                      <a:off x="0" y="0"/>
                      <a:ext cx="2695575" cy="742950"/>
                    </a:xfrm>
                    <a:prstGeom prst="rect">
                      <a:avLst/>
                    </a:prstGeom>
                    <a:noFill/>
                    <a:ln w="9525">
                      <a:noFill/>
                      <a:miter lim="800000"/>
                      <a:headEnd/>
                      <a:tailEnd/>
                    </a:ln>
                  </pic:spPr>
                </pic:pic>
              </a:graphicData>
            </a:graphic>
          </wp:inline>
        </w:drawing>
      </w:r>
    </w:p>
    <w:p w:rsidR="00024C0A" w:rsidRDefault="00694C0F">
      <w:r>
        <w:t>When this worksheet is saved, the following sort map should be created and saved to the file:</w:t>
      </w:r>
    </w:p>
    <w:p w:rsidR="00024C0A" w:rsidRDefault="00694C0F">
      <w:pPr>
        <w:pStyle w:val="Code"/>
      </w:pPr>
      <w:r>
        <w:t>&lt;w</w:t>
      </w:r>
      <w:r>
        <w:t>orksheetSortMap xmlns="http://schemas.microsoft.com/office/excel/2006/main"&gt;</w:t>
      </w:r>
    </w:p>
    <w:p w:rsidR="00024C0A" w:rsidRDefault="00694C0F">
      <w:pPr>
        <w:pStyle w:val="Code"/>
      </w:pPr>
      <w:r>
        <w:t xml:space="preserve">   &lt;colSortMap ref="A1:D1048576" count="4"&gt;</w:t>
      </w:r>
    </w:p>
    <w:p w:rsidR="00024C0A" w:rsidRDefault="00694C0F">
      <w:pPr>
        <w:pStyle w:val="Code"/>
      </w:pPr>
      <w:r>
        <w:t xml:space="preserve">      &lt;col newVal="0" oldVal="3"/&gt;</w:t>
      </w:r>
    </w:p>
    <w:p w:rsidR="00024C0A" w:rsidRDefault="00694C0F">
      <w:pPr>
        <w:pStyle w:val="Code"/>
      </w:pPr>
      <w:r>
        <w:t xml:space="preserve">      &lt;col newVal="1" oldVal="2"/&gt;</w:t>
      </w:r>
    </w:p>
    <w:p w:rsidR="00024C0A" w:rsidRDefault="00694C0F">
      <w:pPr>
        <w:pStyle w:val="Code"/>
      </w:pPr>
      <w:r>
        <w:lastRenderedPageBreak/>
        <w:t xml:space="preserve">      &lt;col newVal="2" oldVal="1"/&gt;</w:t>
      </w:r>
    </w:p>
    <w:p w:rsidR="00024C0A" w:rsidRDefault="00694C0F">
      <w:pPr>
        <w:pStyle w:val="Code"/>
      </w:pPr>
      <w:r>
        <w:t xml:space="preserve">      &lt;col newVal="3" oldVal="</w:t>
      </w:r>
      <w:r>
        <w:t>0"/&gt;</w:t>
      </w:r>
    </w:p>
    <w:p w:rsidR="00024C0A" w:rsidRDefault="00694C0F">
      <w:pPr>
        <w:pStyle w:val="Code"/>
      </w:pPr>
      <w:r>
        <w:t xml:space="preserve">   &lt;/colSortMap&gt;</w:t>
      </w:r>
    </w:p>
    <w:p w:rsidR="00024C0A" w:rsidRDefault="00694C0F">
      <w:pPr>
        <w:pStyle w:val="Code"/>
      </w:pPr>
      <w:r>
        <w:t>&lt;/worksheetSortMap&gt;</w:t>
      </w:r>
    </w:p>
    <w:p w:rsidR="00024C0A" w:rsidRDefault="00694C0F">
      <w:r>
        <w:t>In the context of this example, the sort map implies that the contents of the first column should be replaced with the contents of the fourth column; contents of the second column should be replaced with the conten</w:t>
      </w:r>
      <w:r>
        <w:t>ts of the third column; and so on.</w:t>
      </w:r>
    </w:p>
    <w:p w:rsidR="00024C0A" w:rsidRDefault="00694C0F">
      <w:r>
        <w:t>End Example]</w:t>
      </w:r>
    </w:p>
    <w:p w:rsidR="00024C0A" w:rsidRDefault="00694C0F">
      <w:pPr>
        <w:pStyle w:val="Heading5"/>
      </w:pPr>
      <w:bookmarkStart w:id="3971" w:name="section_c8cc77d990164b81bc5c3afbeb39d0c9"/>
      <w:bookmarkStart w:id="3972" w:name="_Toc12262046"/>
      <w:r>
        <w:t>col (Column)</w:t>
      </w:r>
      <w:bookmarkEnd w:id="3971"/>
      <w:bookmarkEnd w:id="3972"/>
      <w:r>
        <w:fldChar w:fldCharType="begin"/>
      </w:r>
      <w:r>
        <w:instrText xml:space="preserve"> XE "col (Column)" </w:instrText>
      </w:r>
      <w:r>
        <w:fldChar w:fldCharType="end"/>
      </w:r>
    </w:p>
    <w:p w:rsidR="00024C0A" w:rsidRDefault="00694C0F">
      <w:r>
        <w:t>This element represents a single column mapping in the sort map.</w:t>
      </w:r>
    </w:p>
    <w:tbl>
      <w:tblPr>
        <w:tblStyle w:val="Table-ShadedHeader"/>
        <w:tblW w:w="0" w:type="auto"/>
        <w:tblLook w:val="04A0" w:firstRow="1" w:lastRow="0" w:firstColumn="1" w:lastColumn="0" w:noHBand="0" w:noVBand="1"/>
      </w:tblPr>
      <w:tblGrid>
        <w:gridCol w:w="3287"/>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colSortMap</w:t>
            </w:r>
            <w:r>
              <w:t xml:space="preserve"> (§</w:t>
            </w:r>
            <w:hyperlink w:anchor="Section_73bbbbb0df814eccbc7a3e365fbe5fce">
              <w:r>
                <w:rPr>
                  <w:rStyle w:val="Hyperlink"/>
                </w:rPr>
                <w:t xml:space="preserve">3.2.2.1.2, </w:t>
              </w:r>
              <w:r>
                <w:rPr>
                  <w:rStyle w:val="Hyperlink"/>
                </w:rPr>
                <w:t>colSortMap</w:t>
              </w:r>
            </w:hyperlink>
            <w:r>
              <w: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1900"/>
        <w:gridCol w:w="7575"/>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Attributes</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newVal</w:t>
            </w:r>
            <w:r>
              <w:t xml:space="preserve"> (New Value)</w:t>
            </w:r>
          </w:p>
        </w:tc>
        <w:tc>
          <w:tcPr>
            <w:tcW w:w="0" w:type="auto"/>
            <w:vAlign w:val="center"/>
          </w:tcPr>
          <w:p w:rsidR="00024C0A" w:rsidRDefault="00694C0F">
            <w:pPr>
              <w:pStyle w:val="TableBodyText"/>
            </w:pPr>
            <w:r>
              <w:t>Specifies the zero-based index of the column or row that contains data after a sort operation.</w:t>
            </w:r>
          </w:p>
          <w:p w:rsidR="00024C0A" w:rsidRDefault="00024C0A">
            <w:pPr>
              <w:pStyle w:val="TableBodyText"/>
            </w:pPr>
          </w:p>
          <w:p w:rsidR="00024C0A" w:rsidRDefault="00694C0F">
            <w:pPr>
              <w:pStyle w:val="TableBodyText"/>
            </w:pPr>
            <w:r>
              <w:t xml:space="preserve">In the context of a </w:t>
            </w:r>
            <w:r>
              <w:rPr>
                <w:b/>
              </w:rPr>
              <w:t>row</w:t>
            </w:r>
            <w:r>
              <w:t xml:space="preserve"> element, the value of this attribute shall be less than </w:t>
            </w:r>
            <w:r>
              <w:rPr>
                <w:i/>
              </w:rPr>
              <w:t>1048576</w:t>
            </w:r>
            <w:r>
              <w:t>.</w:t>
            </w:r>
          </w:p>
          <w:p w:rsidR="00024C0A" w:rsidRDefault="00024C0A">
            <w:pPr>
              <w:pStyle w:val="TableBodyText"/>
            </w:pPr>
          </w:p>
          <w:p w:rsidR="00024C0A" w:rsidRDefault="00694C0F">
            <w:pPr>
              <w:pStyle w:val="TableBodyText"/>
            </w:pPr>
            <w:r>
              <w:t xml:space="preserve">In the context of a </w:t>
            </w:r>
            <w:r>
              <w:rPr>
                <w:b/>
              </w:rPr>
              <w:t>col</w:t>
            </w:r>
            <w:r>
              <w:t xml:space="preserve"> element, the value of this attribute shall be less than </w:t>
            </w:r>
            <w:r>
              <w:rPr>
                <w:i/>
              </w:rPr>
              <w:t>16384</w:t>
            </w:r>
            <w:r>
              <w:t>.</w:t>
            </w:r>
          </w:p>
          <w:p w:rsidR="00024C0A" w:rsidRDefault="00024C0A">
            <w:pPr>
              <w:pStyle w:val="TableBodyText"/>
            </w:pPr>
          </w:p>
          <w:p w:rsidR="00024C0A" w:rsidRDefault="00694C0F">
            <w:pPr>
              <w:pStyle w:val="TableBodyText"/>
            </w:pPr>
            <w:r>
              <w:t>The possible values for this attribute are defined by the XML Schema unsignedInt datatype.</w:t>
            </w:r>
          </w:p>
        </w:tc>
      </w:tr>
      <w:tr w:rsidR="00024C0A" w:rsidTr="00024C0A">
        <w:tc>
          <w:tcPr>
            <w:tcW w:w="0" w:type="auto"/>
            <w:vAlign w:val="center"/>
          </w:tcPr>
          <w:p w:rsidR="00024C0A" w:rsidRDefault="00694C0F">
            <w:pPr>
              <w:pStyle w:val="TableBodyText"/>
            </w:pPr>
            <w:r>
              <w:rPr>
                <w:b/>
              </w:rPr>
              <w:t>oldVal</w:t>
            </w:r>
            <w:r>
              <w:t xml:space="preserve"> (Old Value)</w:t>
            </w:r>
          </w:p>
        </w:tc>
        <w:tc>
          <w:tcPr>
            <w:tcW w:w="0" w:type="auto"/>
            <w:vAlign w:val="center"/>
          </w:tcPr>
          <w:p w:rsidR="00024C0A" w:rsidRDefault="00694C0F">
            <w:pPr>
              <w:pStyle w:val="TableBodyText"/>
            </w:pPr>
            <w:r>
              <w:t xml:space="preserve">Specifies the zero-based index of the column or row that </w:t>
            </w:r>
            <w:r>
              <w:t>contains data before a sort operation.</w:t>
            </w:r>
          </w:p>
          <w:p w:rsidR="00024C0A" w:rsidRDefault="00024C0A">
            <w:pPr>
              <w:pStyle w:val="TableBodyText"/>
            </w:pPr>
          </w:p>
          <w:p w:rsidR="00024C0A" w:rsidRDefault="00694C0F">
            <w:pPr>
              <w:pStyle w:val="TableBodyText"/>
            </w:pPr>
            <w:r>
              <w:t xml:space="preserve">In the context of a </w:t>
            </w:r>
            <w:r>
              <w:rPr>
                <w:b/>
              </w:rPr>
              <w:t>row</w:t>
            </w:r>
            <w:r>
              <w:t xml:space="preserve"> element, the value of this attribute shall be less than </w:t>
            </w:r>
            <w:r>
              <w:rPr>
                <w:i/>
              </w:rPr>
              <w:t>1048576</w:t>
            </w:r>
            <w:r>
              <w:t>.</w:t>
            </w:r>
          </w:p>
          <w:p w:rsidR="00024C0A" w:rsidRDefault="00024C0A">
            <w:pPr>
              <w:pStyle w:val="TableBodyText"/>
            </w:pPr>
          </w:p>
          <w:p w:rsidR="00024C0A" w:rsidRDefault="00694C0F">
            <w:pPr>
              <w:pStyle w:val="TableBodyText"/>
            </w:pPr>
            <w:r>
              <w:t xml:space="preserve">In the context of a </w:t>
            </w:r>
            <w:r>
              <w:rPr>
                <w:b/>
              </w:rPr>
              <w:t>col</w:t>
            </w:r>
            <w:r>
              <w:t xml:space="preserve"> element, the value of this attribute shall be less than </w:t>
            </w:r>
            <w:r>
              <w:rPr>
                <w:i/>
              </w:rPr>
              <w:t>16384</w:t>
            </w:r>
            <w:r>
              <w:t>.</w:t>
            </w:r>
          </w:p>
          <w:p w:rsidR="00024C0A" w:rsidRDefault="00024C0A">
            <w:pPr>
              <w:pStyle w:val="TableBodyText"/>
            </w:pPr>
          </w:p>
          <w:p w:rsidR="00024C0A" w:rsidRDefault="00694C0F">
            <w:pPr>
              <w:pStyle w:val="TableBodyText"/>
            </w:pPr>
            <w:r>
              <w:t>The possible values for this attribute</w:t>
            </w:r>
            <w:r>
              <w:t xml:space="preserve"> are defined by the XML Schema unsignedInt datatype.</w:t>
            </w:r>
          </w:p>
        </w:tc>
      </w:tr>
    </w:tbl>
    <w:p w:rsidR="00024C0A" w:rsidRDefault="00024C0A"/>
    <w:p w:rsidR="00024C0A" w:rsidRDefault="00694C0F">
      <w:r>
        <w:t>The following XML Schema fragment defines the contents of this element:</w:t>
      </w:r>
    </w:p>
    <w:p w:rsidR="00024C0A" w:rsidRDefault="00694C0F">
      <w:pPr>
        <w:pStyle w:val="Code"/>
      </w:pPr>
      <w:r>
        <w:t>&lt;complexType name="CT_SortMapItem"&gt;</w:t>
      </w:r>
    </w:p>
    <w:p w:rsidR="00024C0A" w:rsidRDefault="00694C0F">
      <w:pPr>
        <w:pStyle w:val="Code"/>
      </w:pPr>
      <w:r>
        <w:t xml:space="preserve">  &lt;attribute name="newVal" type="xsd:unsignedInt" use="required"/&gt;</w:t>
      </w:r>
    </w:p>
    <w:p w:rsidR="00024C0A" w:rsidRDefault="00694C0F">
      <w:pPr>
        <w:pStyle w:val="Code"/>
      </w:pPr>
      <w:r>
        <w:t xml:space="preserve">  &lt;attribute name="oldVal"</w:t>
      </w:r>
      <w:r>
        <w:t xml:space="preserve"> type="xsd:unsignedInt" use="required"/&gt;</w:t>
      </w:r>
    </w:p>
    <w:p w:rsidR="00024C0A" w:rsidRDefault="00694C0F">
      <w:pPr>
        <w:pStyle w:val="Code"/>
      </w:pPr>
      <w:r>
        <w:t>&lt;/complexType&gt;</w:t>
      </w:r>
    </w:p>
    <w:p w:rsidR="00024C0A" w:rsidRDefault="00694C0F">
      <w:pPr>
        <w:pStyle w:val="Heading5"/>
      </w:pPr>
      <w:bookmarkStart w:id="3973" w:name="section_73bbbbb0df814eccbc7a3e365fbe5fce"/>
      <w:bookmarkStart w:id="3974" w:name="_Toc12262047"/>
      <w:r>
        <w:t>colSortMap (Column Sort Map)</w:t>
      </w:r>
      <w:bookmarkEnd w:id="3973"/>
      <w:bookmarkEnd w:id="3974"/>
      <w:r>
        <w:fldChar w:fldCharType="begin"/>
      </w:r>
      <w:r>
        <w:instrText xml:space="preserve"> XE "colSortMap (Column Sort Map)" </w:instrText>
      </w:r>
      <w:r>
        <w:fldChar w:fldCharType="end"/>
      </w:r>
    </w:p>
    <w:p w:rsidR="00024C0A" w:rsidRDefault="00694C0F">
      <w:r>
        <w:lastRenderedPageBreak/>
        <w:t xml:space="preserve">This element represents the list of column mappings of the sort map. </w:t>
      </w:r>
    </w:p>
    <w:tbl>
      <w:tblPr>
        <w:tblStyle w:val="Table-ShadedHeader"/>
        <w:tblW w:w="0" w:type="auto"/>
        <w:tblLook w:val="04A0" w:firstRow="1" w:lastRow="0" w:firstColumn="1" w:lastColumn="0" w:noHBand="0" w:noVBand="1"/>
      </w:tblPr>
      <w:tblGrid>
        <w:gridCol w:w="458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worksheetSortMap</w:t>
            </w:r>
            <w:r>
              <w:t xml:space="preserve"> (§</w:t>
            </w:r>
            <w:hyperlink w:anchor="Section_04defc35b52c443181a649ed63fe943f">
              <w:r>
                <w:rPr>
                  <w:rStyle w:val="Hyperlink"/>
                </w:rPr>
                <w:t>3.2.2.1.5, worksheetSortMap</w:t>
              </w:r>
            </w:hyperlink>
            <w:r>
              <w: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1564"/>
        <w:gridCol w:w="1412"/>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Child Elements</w:t>
            </w:r>
          </w:p>
        </w:tc>
        <w:tc>
          <w:tcPr>
            <w:tcW w:w="0" w:type="auto"/>
            <w:vAlign w:val="center"/>
          </w:tcPr>
          <w:p w:rsidR="00024C0A" w:rsidRDefault="00694C0F">
            <w:pPr>
              <w:pStyle w:val="TableHeaderText"/>
            </w:pPr>
            <w:r>
              <w:t>Subclause</w:t>
            </w:r>
          </w:p>
        </w:tc>
      </w:tr>
      <w:tr w:rsidR="00024C0A" w:rsidTr="00024C0A">
        <w:tc>
          <w:tcPr>
            <w:tcW w:w="0" w:type="auto"/>
            <w:vAlign w:val="center"/>
          </w:tcPr>
          <w:p w:rsidR="00024C0A" w:rsidRDefault="00694C0F">
            <w:pPr>
              <w:pStyle w:val="TableBodyText"/>
            </w:pPr>
            <w:r>
              <w:rPr>
                <w:b/>
              </w:rPr>
              <w:t>col</w:t>
            </w:r>
            <w:r>
              <w:t xml:space="preserve"> (Column)</w:t>
            </w:r>
          </w:p>
        </w:tc>
        <w:tc>
          <w:tcPr>
            <w:tcW w:w="0" w:type="auto"/>
            <w:vAlign w:val="center"/>
          </w:tcPr>
          <w:p w:rsidR="00024C0A" w:rsidRDefault="00694C0F">
            <w:pPr>
              <w:pStyle w:val="TableBodyText"/>
            </w:pPr>
            <w:r>
              <w:t>§</w:t>
            </w:r>
            <w:hyperlink w:anchor="Section_c8cc77d990164b81bc5c3afbeb39d0c9">
              <w:r>
                <w:rPr>
                  <w:rStyle w:val="Hyperlink"/>
                </w:rPr>
                <w:t>3.2.2.1.1, col</w:t>
              </w:r>
            </w:hyperlink>
          </w:p>
        </w:tc>
      </w:tr>
    </w:tbl>
    <w:p w:rsidR="00024C0A" w:rsidRDefault="00024C0A"/>
    <w:p w:rsidR="00024C0A" w:rsidRDefault="00024C0A"/>
    <w:tbl>
      <w:tblPr>
        <w:tblStyle w:val="Table-ShadedHeader"/>
        <w:tblW w:w="0" w:type="auto"/>
        <w:tblLook w:val="04A0" w:firstRow="1" w:lastRow="0" w:firstColumn="1" w:lastColumn="0" w:noHBand="0" w:noVBand="1"/>
      </w:tblPr>
      <w:tblGrid>
        <w:gridCol w:w="1417"/>
        <w:gridCol w:w="8058"/>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Attributes</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count</w:t>
            </w:r>
            <w:r>
              <w:t xml:space="preserve"> (Count)</w:t>
            </w:r>
          </w:p>
        </w:tc>
        <w:tc>
          <w:tcPr>
            <w:tcW w:w="0" w:type="auto"/>
            <w:vAlign w:val="center"/>
          </w:tcPr>
          <w:p w:rsidR="00024C0A" w:rsidRDefault="00694C0F">
            <w:pPr>
              <w:pStyle w:val="TableBodyText"/>
            </w:pPr>
            <w:r>
              <w:t xml:space="preserve">Specifies the number of </w:t>
            </w:r>
            <w:r>
              <w:rPr>
                <w:b/>
              </w:rPr>
              <w:t>col</w:t>
            </w:r>
            <w:r>
              <w:t xml:space="preserve"> elements. The value of this attribute shall match the number of </w:t>
            </w:r>
            <w:r>
              <w:rPr>
                <w:b/>
              </w:rPr>
              <w:t>col</w:t>
            </w:r>
            <w:r>
              <w:t xml:space="preserve"> elements. </w:t>
            </w:r>
          </w:p>
          <w:p w:rsidR="00024C0A" w:rsidRDefault="00024C0A">
            <w:pPr>
              <w:pStyle w:val="TableBodyText"/>
            </w:pPr>
          </w:p>
          <w:p w:rsidR="00024C0A" w:rsidRDefault="00694C0F">
            <w:pPr>
              <w:pStyle w:val="TableBodyText"/>
            </w:pPr>
            <w:r>
              <w:t>The possible values for this attribute are defined by the ST_SortMapCount simple type (§</w:t>
            </w:r>
            <w:hyperlink w:anchor="Section_7ed66a4ca69b4613b5fc70a7cd17e3ca">
              <w:r>
                <w:rPr>
                  <w:rStyle w:val="Hyperlink"/>
                </w:rPr>
                <w:t>3.2.2.2.1, ST_SortMapCount</w:t>
              </w:r>
            </w:hyperlink>
            <w:r>
              <w:t>).</w:t>
            </w:r>
          </w:p>
        </w:tc>
      </w:tr>
      <w:tr w:rsidR="00024C0A" w:rsidTr="00024C0A">
        <w:tc>
          <w:tcPr>
            <w:tcW w:w="0" w:type="auto"/>
            <w:vAlign w:val="center"/>
          </w:tcPr>
          <w:p w:rsidR="00024C0A" w:rsidRDefault="00694C0F">
            <w:pPr>
              <w:pStyle w:val="TableBodyText"/>
            </w:pPr>
            <w:r>
              <w:rPr>
                <w:b/>
              </w:rPr>
              <w:t>ref</w:t>
            </w:r>
            <w:r>
              <w:t xml:space="preserve"> (Reference)</w:t>
            </w:r>
          </w:p>
        </w:tc>
        <w:tc>
          <w:tcPr>
            <w:tcW w:w="0" w:type="auto"/>
            <w:vAlign w:val="center"/>
          </w:tcPr>
          <w:p w:rsidR="00024C0A" w:rsidRDefault="00694C0F">
            <w:pPr>
              <w:pStyle w:val="TableBodyText"/>
            </w:pPr>
            <w:r>
              <w:t>Specifies the row and column bounds of the sort map.</w:t>
            </w:r>
          </w:p>
          <w:p w:rsidR="00024C0A" w:rsidRDefault="00024C0A">
            <w:pPr>
              <w:pStyle w:val="TableBodyText"/>
            </w:pPr>
          </w:p>
          <w:p w:rsidR="00024C0A" w:rsidRDefault="00694C0F">
            <w:pPr>
              <w:pStyle w:val="TableBodyText"/>
            </w:pPr>
            <w:r>
              <w:t>The possible values for this attribute are defined by the ST_Ref simple type ("</w:t>
            </w:r>
            <w:hyperlink r:id="rId326">
              <w:r>
                <w:rPr>
                  <w:rStyle w:val="Hyperlink"/>
                </w:rPr>
                <w:t>[ISO/IEC-29500-1]</w:t>
              </w:r>
            </w:hyperlink>
            <w:r>
              <w:t xml:space="preserve"> §18.18.62").</w:t>
            </w:r>
          </w:p>
        </w:tc>
      </w:tr>
    </w:tbl>
    <w:p w:rsidR="00024C0A" w:rsidRDefault="00024C0A"/>
    <w:p w:rsidR="00024C0A" w:rsidRDefault="00694C0F">
      <w:r>
        <w:t>The following XML Schema fragment defines the contents of this element:</w:t>
      </w:r>
    </w:p>
    <w:p w:rsidR="00024C0A" w:rsidRDefault="00694C0F">
      <w:pPr>
        <w:pStyle w:val="Code"/>
      </w:pPr>
      <w:r>
        <w:t>&lt;complexType name="CT_ColSortMap"&gt;</w:t>
      </w:r>
    </w:p>
    <w:p w:rsidR="00024C0A" w:rsidRDefault="00694C0F">
      <w:pPr>
        <w:pStyle w:val="Code"/>
      </w:pPr>
      <w:r>
        <w:t xml:space="preserve">  &lt;sequence&gt;</w:t>
      </w:r>
    </w:p>
    <w:p w:rsidR="00024C0A" w:rsidRDefault="00694C0F">
      <w:pPr>
        <w:pStyle w:val="Code"/>
      </w:pPr>
      <w:r>
        <w:t xml:space="preserve">    &lt;element name="col" type="CT_SortMapItem" minOccurs="1" maxOccurs="536870910"/&gt;</w:t>
      </w:r>
    </w:p>
    <w:p w:rsidR="00024C0A" w:rsidRDefault="00694C0F">
      <w:pPr>
        <w:pStyle w:val="Code"/>
      </w:pPr>
      <w:r>
        <w:t xml:space="preserve">  &lt;/sequence&gt;</w:t>
      </w:r>
    </w:p>
    <w:p w:rsidR="00024C0A" w:rsidRDefault="00694C0F">
      <w:pPr>
        <w:pStyle w:val="Code"/>
      </w:pPr>
      <w:r>
        <w:t xml:space="preserve">  &lt;</w:t>
      </w:r>
      <w:r>
        <w:t>attribute name="ref" type="x:ST_Ref" use="required"/&gt;</w:t>
      </w:r>
    </w:p>
    <w:p w:rsidR="00024C0A" w:rsidRDefault="00694C0F">
      <w:pPr>
        <w:pStyle w:val="Code"/>
      </w:pPr>
      <w:r>
        <w:t xml:space="preserve">  &lt;attribute name="count" type="ST_SortMapCount" use="optional" default="20"/&gt;</w:t>
      </w:r>
    </w:p>
    <w:p w:rsidR="00024C0A" w:rsidRDefault="00694C0F">
      <w:pPr>
        <w:pStyle w:val="Code"/>
      </w:pPr>
      <w:r>
        <w:t>&lt;/complexType&gt;</w:t>
      </w:r>
    </w:p>
    <w:p w:rsidR="00024C0A" w:rsidRDefault="00694C0F">
      <w:pPr>
        <w:pStyle w:val="Heading5"/>
      </w:pPr>
      <w:bookmarkStart w:id="3975" w:name="section_4af995e554c94df0af2f9eeb39d61f58"/>
      <w:bookmarkStart w:id="3976" w:name="_Toc12262048"/>
      <w:r>
        <w:t>row (Row)</w:t>
      </w:r>
      <w:bookmarkEnd w:id="3975"/>
      <w:bookmarkEnd w:id="3976"/>
      <w:r>
        <w:fldChar w:fldCharType="begin"/>
      </w:r>
      <w:r>
        <w:instrText xml:space="preserve"> XE "row (Row)" </w:instrText>
      </w:r>
      <w:r>
        <w:fldChar w:fldCharType="end"/>
      </w:r>
    </w:p>
    <w:p w:rsidR="00024C0A" w:rsidRDefault="00694C0F">
      <w:r>
        <w:t>This element represents a single row mapping in the sort map.</w:t>
      </w:r>
    </w:p>
    <w:tbl>
      <w:tblPr>
        <w:tblStyle w:val="Table-ShadedHeader"/>
        <w:tblW w:w="0" w:type="auto"/>
        <w:tblLook w:val="04A0" w:firstRow="1" w:lastRow="0" w:firstColumn="1" w:lastColumn="0" w:noHBand="0" w:noVBand="1"/>
      </w:tblPr>
      <w:tblGrid>
        <w:gridCol w:w="3447"/>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r</w:t>
            </w:r>
            <w:r>
              <w:rPr>
                <w:b/>
              </w:rPr>
              <w:t>owSortMap</w:t>
            </w:r>
            <w:r>
              <w:t xml:space="preserve"> (§</w:t>
            </w:r>
            <w:hyperlink w:anchor="Section_72e63f852b6b4fa1ad68fe0187826156">
              <w:r>
                <w:rPr>
                  <w:rStyle w:val="Hyperlink"/>
                </w:rPr>
                <w:t>3.2.2.1.4, rowSortMap</w:t>
              </w:r>
            </w:hyperlink>
            <w:r>
              <w: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1900"/>
        <w:gridCol w:w="7575"/>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Attributes</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newVal</w:t>
            </w:r>
            <w:r>
              <w:t xml:space="preserve"> (New </w:t>
            </w:r>
            <w:r>
              <w:lastRenderedPageBreak/>
              <w:t>Value)</w:t>
            </w:r>
          </w:p>
        </w:tc>
        <w:tc>
          <w:tcPr>
            <w:tcW w:w="0" w:type="auto"/>
            <w:vAlign w:val="center"/>
          </w:tcPr>
          <w:p w:rsidR="00024C0A" w:rsidRDefault="00694C0F">
            <w:pPr>
              <w:pStyle w:val="TableBodyText"/>
            </w:pPr>
            <w:r>
              <w:lastRenderedPageBreak/>
              <w:t xml:space="preserve">Specifies the zero-based index of the column or row that contains data after a sort </w:t>
            </w:r>
            <w:r>
              <w:lastRenderedPageBreak/>
              <w:t>operation.</w:t>
            </w:r>
          </w:p>
          <w:p w:rsidR="00024C0A" w:rsidRDefault="00024C0A">
            <w:pPr>
              <w:pStyle w:val="TableBodyText"/>
            </w:pPr>
          </w:p>
          <w:p w:rsidR="00024C0A" w:rsidRDefault="00694C0F">
            <w:pPr>
              <w:pStyle w:val="TableBodyText"/>
            </w:pPr>
            <w:r>
              <w:t xml:space="preserve">In the context of a </w:t>
            </w:r>
            <w:r>
              <w:rPr>
                <w:b/>
              </w:rPr>
              <w:t>row</w:t>
            </w:r>
            <w:r>
              <w:t xml:space="preserve"> element, the value of this attribute shall be less than </w:t>
            </w:r>
            <w:r>
              <w:rPr>
                <w:i/>
              </w:rPr>
              <w:t>1048576</w:t>
            </w:r>
            <w:r>
              <w:t>.</w:t>
            </w:r>
          </w:p>
          <w:p w:rsidR="00024C0A" w:rsidRDefault="00024C0A">
            <w:pPr>
              <w:pStyle w:val="TableBodyText"/>
            </w:pPr>
          </w:p>
          <w:p w:rsidR="00024C0A" w:rsidRDefault="00694C0F">
            <w:pPr>
              <w:pStyle w:val="TableBodyText"/>
            </w:pPr>
            <w:r>
              <w:t xml:space="preserve">In the context of a </w:t>
            </w:r>
            <w:r>
              <w:rPr>
                <w:b/>
              </w:rPr>
              <w:t>col</w:t>
            </w:r>
            <w:r>
              <w:t xml:space="preserve"> element, the value of this attribute shall be less than </w:t>
            </w:r>
            <w:r>
              <w:rPr>
                <w:i/>
              </w:rPr>
              <w:t>16384</w:t>
            </w:r>
            <w:r>
              <w:t>.</w:t>
            </w:r>
          </w:p>
          <w:p w:rsidR="00024C0A" w:rsidRDefault="00024C0A">
            <w:pPr>
              <w:pStyle w:val="TableBodyText"/>
            </w:pPr>
          </w:p>
          <w:p w:rsidR="00024C0A" w:rsidRDefault="00694C0F">
            <w:pPr>
              <w:pStyle w:val="TableBodyText"/>
            </w:pPr>
            <w:r>
              <w:t>The possible values for this attribute are defined by the XML Schema unsignedI</w:t>
            </w:r>
            <w:r>
              <w:t>nt datatype.</w:t>
            </w:r>
          </w:p>
        </w:tc>
      </w:tr>
      <w:tr w:rsidR="00024C0A" w:rsidTr="00024C0A">
        <w:tc>
          <w:tcPr>
            <w:tcW w:w="0" w:type="auto"/>
            <w:vAlign w:val="center"/>
          </w:tcPr>
          <w:p w:rsidR="00024C0A" w:rsidRDefault="00694C0F">
            <w:pPr>
              <w:pStyle w:val="TableBodyText"/>
            </w:pPr>
            <w:r>
              <w:rPr>
                <w:b/>
              </w:rPr>
              <w:lastRenderedPageBreak/>
              <w:t>oldVal</w:t>
            </w:r>
            <w:r>
              <w:t xml:space="preserve"> (Old Value)</w:t>
            </w:r>
          </w:p>
        </w:tc>
        <w:tc>
          <w:tcPr>
            <w:tcW w:w="0" w:type="auto"/>
            <w:vAlign w:val="center"/>
          </w:tcPr>
          <w:p w:rsidR="00024C0A" w:rsidRDefault="00694C0F">
            <w:pPr>
              <w:pStyle w:val="TableBodyText"/>
            </w:pPr>
            <w:r>
              <w:t>Specifies the zero-based index of the column or row that contains data before a sort operation.</w:t>
            </w:r>
          </w:p>
          <w:p w:rsidR="00024C0A" w:rsidRDefault="00024C0A">
            <w:pPr>
              <w:pStyle w:val="TableBodyText"/>
            </w:pPr>
          </w:p>
          <w:p w:rsidR="00024C0A" w:rsidRDefault="00694C0F">
            <w:pPr>
              <w:pStyle w:val="TableBodyText"/>
            </w:pPr>
            <w:r>
              <w:t xml:space="preserve">In the context of a </w:t>
            </w:r>
            <w:r>
              <w:rPr>
                <w:b/>
              </w:rPr>
              <w:t>row</w:t>
            </w:r>
            <w:r>
              <w:t xml:space="preserve"> element, the value of this attribute shall be less than </w:t>
            </w:r>
            <w:r>
              <w:rPr>
                <w:i/>
              </w:rPr>
              <w:t>1048576</w:t>
            </w:r>
            <w:r>
              <w:t>.</w:t>
            </w:r>
          </w:p>
          <w:p w:rsidR="00024C0A" w:rsidRDefault="00024C0A">
            <w:pPr>
              <w:pStyle w:val="TableBodyText"/>
            </w:pPr>
          </w:p>
          <w:p w:rsidR="00024C0A" w:rsidRDefault="00694C0F">
            <w:pPr>
              <w:pStyle w:val="TableBodyText"/>
            </w:pPr>
            <w:r>
              <w:t xml:space="preserve">In the context of a </w:t>
            </w:r>
            <w:r>
              <w:rPr>
                <w:b/>
              </w:rPr>
              <w:t>col</w:t>
            </w:r>
            <w:r>
              <w:t xml:space="preserve"> element, the</w:t>
            </w:r>
            <w:r>
              <w:t xml:space="preserve"> value of this attribute shall be less than </w:t>
            </w:r>
            <w:r>
              <w:rPr>
                <w:i/>
              </w:rPr>
              <w:t>16384</w:t>
            </w:r>
            <w:r>
              <w:t>.</w:t>
            </w:r>
          </w:p>
          <w:p w:rsidR="00024C0A" w:rsidRDefault="00024C0A">
            <w:pPr>
              <w:pStyle w:val="TableBodyText"/>
            </w:pPr>
          </w:p>
          <w:p w:rsidR="00024C0A" w:rsidRDefault="00694C0F">
            <w:pPr>
              <w:pStyle w:val="TableBodyText"/>
            </w:pPr>
            <w:r>
              <w:t>The possible values for this attribute are defined by the XML Schema unsignedInt datatype.</w:t>
            </w:r>
          </w:p>
        </w:tc>
      </w:tr>
    </w:tbl>
    <w:p w:rsidR="00024C0A" w:rsidRDefault="00024C0A"/>
    <w:p w:rsidR="00024C0A" w:rsidRDefault="00694C0F">
      <w:r>
        <w:t>The following XML Schema fragment defines the contents of this element:</w:t>
      </w:r>
    </w:p>
    <w:p w:rsidR="00024C0A" w:rsidRDefault="00694C0F">
      <w:pPr>
        <w:pStyle w:val="Code"/>
      </w:pPr>
      <w:r>
        <w:t>&lt;complexType name="CT_SortMapItem"&gt;</w:t>
      </w:r>
    </w:p>
    <w:p w:rsidR="00024C0A" w:rsidRDefault="00694C0F">
      <w:pPr>
        <w:pStyle w:val="Code"/>
      </w:pPr>
      <w:r>
        <w:t xml:space="preserve">  &lt;</w:t>
      </w:r>
      <w:r>
        <w:t>attribute name="newVal" type="xsd:unsignedInt" use="required"/&gt;</w:t>
      </w:r>
    </w:p>
    <w:p w:rsidR="00024C0A" w:rsidRDefault="00694C0F">
      <w:pPr>
        <w:pStyle w:val="Code"/>
      </w:pPr>
      <w:r>
        <w:t xml:space="preserve">  &lt;attribute name="oldVal" type="xsd:unsignedInt" use="required"/&gt;</w:t>
      </w:r>
    </w:p>
    <w:p w:rsidR="00024C0A" w:rsidRDefault="00694C0F">
      <w:pPr>
        <w:pStyle w:val="Code"/>
      </w:pPr>
      <w:r>
        <w:t>&lt;/complexType&gt;</w:t>
      </w:r>
    </w:p>
    <w:p w:rsidR="00024C0A" w:rsidRDefault="00694C0F">
      <w:pPr>
        <w:pStyle w:val="Heading5"/>
      </w:pPr>
      <w:bookmarkStart w:id="3977" w:name="section_72e63f852b6b4fa1ad68fe0187826156"/>
      <w:bookmarkStart w:id="3978" w:name="_Toc12262049"/>
      <w:r>
        <w:t>rowSortMap (Row Sort Map)</w:t>
      </w:r>
      <w:bookmarkEnd w:id="3977"/>
      <w:bookmarkEnd w:id="3978"/>
      <w:r>
        <w:fldChar w:fldCharType="begin"/>
      </w:r>
      <w:r>
        <w:instrText xml:space="preserve"> XE "rowSortMap (Row Sort Map)" </w:instrText>
      </w:r>
      <w:r>
        <w:fldChar w:fldCharType="end"/>
      </w:r>
    </w:p>
    <w:p w:rsidR="00024C0A" w:rsidRDefault="00694C0F">
      <w:r>
        <w:t xml:space="preserve">This element represents a list of row mappings of </w:t>
      </w:r>
      <w:r>
        <w:t>the sort map.</w:t>
      </w:r>
    </w:p>
    <w:tbl>
      <w:tblPr>
        <w:tblStyle w:val="Table-ShadedHeader"/>
        <w:tblW w:w="0" w:type="auto"/>
        <w:tblLook w:val="04A0" w:firstRow="1" w:lastRow="0" w:firstColumn="1" w:lastColumn="0" w:noHBand="0" w:noVBand="1"/>
      </w:tblPr>
      <w:tblGrid>
        <w:gridCol w:w="458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worksheetSortMap</w:t>
            </w:r>
            <w:r>
              <w:t xml:space="preserve"> (§</w:t>
            </w:r>
            <w:hyperlink w:anchor="Section_04defc35b52c443181a649ed63fe943f">
              <w:r>
                <w:rPr>
                  <w:rStyle w:val="Hyperlink"/>
                </w:rPr>
                <w:t>3.2.2.1.5, worksheetSortMap</w:t>
              </w:r>
            </w:hyperlink>
            <w:r>
              <w: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1564"/>
        <w:gridCol w:w="1484"/>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Child Elements</w:t>
            </w:r>
          </w:p>
        </w:tc>
        <w:tc>
          <w:tcPr>
            <w:tcW w:w="0" w:type="auto"/>
            <w:vAlign w:val="center"/>
          </w:tcPr>
          <w:p w:rsidR="00024C0A" w:rsidRDefault="00694C0F">
            <w:pPr>
              <w:pStyle w:val="TableHeaderText"/>
            </w:pPr>
            <w:r>
              <w:t>Subclause</w:t>
            </w:r>
          </w:p>
        </w:tc>
      </w:tr>
      <w:tr w:rsidR="00024C0A" w:rsidTr="00024C0A">
        <w:tc>
          <w:tcPr>
            <w:tcW w:w="0" w:type="auto"/>
            <w:vAlign w:val="center"/>
          </w:tcPr>
          <w:p w:rsidR="00024C0A" w:rsidRDefault="00694C0F">
            <w:pPr>
              <w:pStyle w:val="TableBodyText"/>
            </w:pPr>
            <w:r>
              <w:rPr>
                <w:b/>
              </w:rPr>
              <w:t>row</w:t>
            </w:r>
            <w:r>
              <w:t xml:space="preserve"> (Row)</w:t>
            </w:r>
          </w:p>
        </w:tc>
        <w:tc>
          <w:tcPr>
            <w:tcW w:w="0" w:type="auto"/>
            <w:vAlign w:val="center"/>
          </w:tcPr>
          <w:p w:rsidR="00024C0A" w:rsidRDefault="00694C0F">
            <w:pPr>
              <w:pStyle w:val="TableBodyText"/>
            </w:pPr>
            <w:r>
              <w:t>§</w:t>
            </w:r>
            <w:hyperlink w:anchor="Section_4af995e554c94df0af2f9eeb39d61f58">
              <w:r>
                <w:rPr>
                  <w:rStyle w:val="Hyperlink"/>
                </w:rPr>
                <w:t xml:space="preserve">3.2.2.1.3, </w:t>
              </w:r>
              <w:r>
                <w:rPr>
                  <w:rStyle w:val="Hyperlink"/>
                </w:rPr>
                <w:t>row</w:t>
              </w:r>
            </w:hyperlink>
          </w:p>
        </w:tc>
      </w:tr>
    </w:tbl>
    <w:p w:rsidR="00024C0A" w:rsidRDefault="00024C0A"/>
    <w:p w:rsidR="00024C0A" w:rsidRDefault="00024C0A"/>
    <w:tbl>
      <w:tblPr>
        <w:tblStyle w:val="Table-ShadedHeader"/>
        <w:tblW w:w="0" w:type="auto"/>
        <w:tblLook w:val="04A0" w:firstRow="1" w:lastRow="0" w:firstColumn="1" w:lastColumn="0" w:noHBand="0" w:noVBand="1"/>
      </w:tblPr>
      <w:tblGrid>
        <w:gridCol w:w="1417"/>
        <w:gridCol w:w="8058"/>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Attributes</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count</w:t>
            </w:r>
            <w:r>
              <w:t xml:space="preserve"> (Count)</w:t>
            </w:r>
          </w:p>
        </w:tc>
        <w:tc>
          <w:tcPr>
            <w:tcW w:w="0" w:type="auto"/>
            <w:vAlign w:val="center"/>
          </w:tcPr>
          <w:p w:rsidR="00024C0A" w:rsidRDefault="00694C0F">
            <w:pPr>
              <w:pStyle w:val="TableBodyText"/>
            </w:pPr>
            <w:r>
              <w:t xml:space="preserve">Specifies the number of </w:t>
            </w:r>
            <w:r>
              <w:rPr>
                <w:b/>
              </w:rPr>
              <w:t>row</w:t>
            </w:r>
            <w:r>
              <w:t xml:space="preserve"> elements. The value of this attribute shall match the number of </w:t>
            </w:r>
            <w:r>
              <w:rPr>
                <w:b/>
              </w:rPr>
              <w:t>row</w:t>
            </w:r>
            <w:r>
              <w:t xml:space="preserve"> elements.</w:t>
            </w:r>
          </w:p>
          <w:p w:rsidR="00024C0A" w:rsidRDefault="00024C0A">
            <w:pPr>
              <w:pStyle w:val="TableBodyText"/>
            </w:pPr>
          </w:p>
          <w:p w:rsidR="00024C0A" w:rsidRDefault="00694C0F">
            <w:pPr>
              <w:pStyle w:val="TableBodyText"/>
            </w:pPr>
            <w:r>
              <w:t xml:space="preserve">The possible values for this attribute are defined by the ST_SortMapCount simple type </w:t>
            </w:r>
            <w:r>
              <w:lastRenderedPageBreak/>
              <w:t>(§</w:t>
            </w:r>
            <w:hyperlink w:anchor="Section_7ed66a4ca69b4613b5fc70a7cd17e3ca">
              <w:r>
                <w:rPr>
                  <w:rStyle w:val="Hyperlink"/>
                </w:rPr>
                <w:t>3.2.2.2.1, ST_SortMapCount</w:t>
              </w:r>
            </w:hyperlink>
            <w:r>
              <w:t>).</w:t>
            </w:r>
          </w:p>
        </w:tc>
      </w:tr>
      <w:tr w:rsidR="00024C0A" w:rsidTr="00024C0A">
        <w:tc>
          <w:tcPr>
            <w:tcW w:w="0" w:type="auto"/>
            <w:vAlign w:val="center"/>
          </w:tcPr>
          <w:p w:rsidR="00024C0A" w:rsidRDefault="00694C0F">
            <w:pPr>
              <w:pStyle w:val="TableBodyText"/>
            </w:pPr>
            <w:r>
              <w:rPr>
                <w:b/>
              </w:rPr>
              <w:lastRenderedPageBreak/>
              <w:t>ref</w:t>
            </w:r>
            <w:r>
              <w:t xml:space="preserve"> (Reference)</w:t>
            </w:r>
          </w:p>
        </w:tc>
        <w:tc>
          <w:tcPr>
            <w:tcW w:w="0" w:type="auto"/>
            <w:vAlign w:val="center"/>
          </w:tcPr>
          <w:p w:rsidR="00024C0A" w:rsidRDefault="00694C0F">
            <w:pPr>
              <w:pStyle w:val="TableBodyText"/>
            </w:pPr>
            <w:r>
              <w:t>Specifies the row and column bounds of the sort map.</w:t>
            </w:r>
          </w:p>
          <w:p w:rsidR="00024C0A" w:rsidRDefault="00024C0A">
            <w:pPr>
              <w:pStyle w:val="TableBodyText"/>
            </w:pPr>
          </w:p>
          <w:p w:rsidR="00024C0A" w:rsidRDefault="00694C0F">
            <w:pPr>
              <w:pStyle w:val="TableBodyText"/>
            </w:pPr>
            <w:r>
              <w:t>The possible values for this attribute are defined by the ST_Ref simple type ("</w:t>
            </w:r>
            <w:hyperlink r:id="rId327">
              <w:r>
                <w:rPr>
                  <w:rStyle w:val="Hyperlink"/>
                </w:rPr>
                <w:t>[ISO/IEC-29500-1]</w:t>
              </w:r>
            </w:hyperlink>
            <w:r>
              <w:t xml:space="preserve"> §18.18.62").</w:t>
            </w:r>
          </w:p>
        </w:tc>
      </w:tr>
    </w:tbl>
    <w:p w:rsidR="00024C0A" w:rsidRDefault="00024C0A"/>
    <w:p w:rsidR="00024C0A" w:rsidRDefault="00694C0F">
      <w:r>
        <w:t>The following XML Schema fragment defines the contents of this element:</w:t>
      </w:r>
    </w:p>
    <w:p w:rsidR="00024C0A" w:rsidRDefault="00694C0F">
      <w:pPr>
        <w:pStyle w:val="Code"/>
      </w:pPr>
      <w:r>
        <w:t>&lt;complexType name="CT_RowSortMap"&gt;</w:t>
      </w:r>
    </w:p>
    <w:p w:rsidR="00024C0A" w:rsidRDefault="00694C0F">
      <w:pPr>
        <w:pStyle w:val="Code"/>
      </w:pPr>
      <w:r>
        <w:t xml:space="preserve">  &lt;sequence&gt;</w:t>
      </w:r>
    </w:p>
    <w:p w:rsidR="00024C0A" w:rsidRDefault="00694C0F">
      <w:pPr>
        <w:pStyle w:val="Code"/>
      </w:pPr>
      <w:r>
        <w:t xml:space="preserve">    &lt;</w:t>
      </w:r>
      <w:r>
        <w:t>element name="row" type="CT_SortMapItem" minOccurs="1" maxOccurs="536870910"/&gt;</w:t>
      </w:r>
    </w:p>
    <w:p w:rsidR="00024C0A" w:rsidRDefault="00694C0F">
      <w:pPr>
        <w:pStyle w:val="Code"/>
      </w:pPr>
      <w:r>
        <w:t xml:space="preserve">  &lt;/sequence&gt;</w:t>
      </w:r>
    </w:p>
    <w:p w:rsidR="00024C0A" w:rsidRDefault="00694C0F">
      <w:pPr>
        <w:pStyle w:val="Code"/>
      </w:pPr>
      <w:r>
        <w:t xml:space="preserve">  &lt;attribute name="ref" type="x:ST_Ref" use="required"/&gt;</w:t>
      </w:r>
    </w:p>
    <w:p w:rsidR="00024C0A" w:rsidRDefault="00694C0F">
      <w:pPr>
        <w:pStyle w:val="Code"/>
      </w:pPr>
      <w:r>
        <w:t xml:space="preserve">  &lt;attribute name="count" type="ST_SortMapCount" use="optional" default="20"/&gt;</w:t>
      </w:r>
    </w:p>
    <w:p w:rsidR="00024C0A" w:rsidRDefault="00694C0F">
      <w:pPr>
        <w:pStyle w:val="Code"/>
      </w:pPr>
      <w:r>
        <w:t>&lt;/complexType&gt;</w:t>
      </w:r>
    </w:p>
    <w:p w:rsidR="00024C0A" w:rsidRDefault="00694C0F">
      <w:pPr>
        <w:pStyle w:val="Heading5"/>
      </w:pPr>
      <w:bookmarkStart w:id="3979" w:name="section_04defc35b52c443181a649ed63fe943f"/>
      <w:bookmarkStart w:id="3980" w:name="_Toc12262050"/>
      <w:r>
        <w:t>worksheetSor</w:t>
      </w:r>
      <w:r>
        <w:t>tMap (Worksheet Sort Map)</w:t>
      </w:r>
      <w:bookmarkEnd w:id="3979"/>
      <w:bookmarkEnd w:id="3980"/>
      <w:r>
        <w:fldChar w:fldCharType="begin"/>
      </w:r>
      <w:r>
        <w:instrText xml:space="preserve"> XE "worksheetSortMap (Worksheet Sort Map)" </w:instrText>
      </w:r>
      <w:r>
        <w:fldChar w:fldCharType="end"/>
      </w:r>
    </w:p>
    <w:p w:rsidR="00024C0A" w:rsidRDefault="00694C0F">
      <w:r>
        <w:t>This element represents the row and column sort mappings associated with a worksheet.</w:t>
      </w:r>
    </w:p>
    <w:tbl>
      <w:tblPr>
        <w:tblStyle w:val="Table-ShadedHeader"/>
        <w:tblW w:w="0" w:type="auto"/>
        <w:tblLook w:val="04A0" w:firstRow="1" w:lastRow="0" w:firstColumn="1" w:lastColumn="0" w:noHBand="0" w:noVBand="1"/>
      </w:tblPr>
      <w:tblGrid>
        <w:gridCol w:w="2829"/>
        <w:gridCol w:w="2153"/>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Child Elements</w:t>
            </w:r>
          </w:p>
        </w:tc>
        <w:tc>
          <w:tcPr>
            <w:tcW w:w="0" w:type="auto"/>
            <w:vAlign w:val="center"/>
          </w:tcPr>
          <w:p w:rsidR="00024C0A" w:rsidRDefault="00694C0F">
            <w:pPr>
              <w:pStyle w:val="TableHeaderText"/>
            </w:pPr>
            <w:r>
              <w:t>Subclause</w:t>
            </w:r>
          </w:p>
        </w:tc>
      </w:tr>
      <w:tr w:rsidR="00024C0A" w:rsidTr="00024C0A">
        <w:tc>
          <w:tcPr>
            <w:tcW w:w="0" w:type="auto"/>
            <w:vAlign w:val="center"/>
          </w:tcPr>
          <w:p w:rsidR="00024C0A" w:rsidRDefault="00694C0F">
            <w:pPr>
              <w:pStyle w:val="TableBodyText"/>
            </w:pPr>
            <w:r>
              <w:rPr>
                <w:b/>
              </w:rPr>
              <w:t>colSortMap</w:t>
            </w:r>
            <w:r>
              <w:t xml:space="preserve"> (Column Sort Map)</w:t>
            </w:r>
          </w:p>
        </w:tc>
        <w:tc>
          <w:tcPr>
            <w:tcW w:w="0" w:type="auto"/>
            <w:vAlign w:val="center"/>
          </w:tcPr>
          <w:p w:rsidR="00024C0A" w:rsidRDefault="00694C0F">
            <w:pPr>
              <w:pStyle w:val="TableBodyText"/>
            </w:pPr>
            <w:r>
              <w:t>§</w:t>
            </w:r>
            <w:hyperlink w:anchor="Section_73bbbbb0df814eccbc7a3e365fbe5fce">
              <w:r>
                <w:rPr>
                  <w:rStyle w:val="Hyperlink"/>
                </w:rPr>
                <w:t>3.2.2.1.2, colSortMap</w:t>
              </w:r>
            </w:hyperlink>
          </w:p>
        </w:tc>
      </w:tr>
      <w:tr w:rsidR="00024C0A" w:rsidTr="00024C0A">
        <w:tc>
          <w:tcPr>
            <w:tcW w:w="0" w:type="auto"/>
            <w:vAlign w:val="center"/>
          </w:tcPr>
          <w:p w:rsidR="00024C0A" w:rsidRDefault="00694C0F">
            <w:pPr>
              <w:pStyle w:val="TableBodyText"/>
            </w:pPr>
            <w:r>
              <w:rPr>
                <w:b/>
              </w:rPr>
              <w:t>rowSortMap</w:t>
            </w:r>
            <w:r>
              <w:t xml:space="preserve"> (Row Sort Map)</w:t>
            </w:r>
          </w:p>
        </w:tc>
        <w:tc>
          <w:tcPr>
            <w:tcW w:w="0" w:type="auto"/>
            <w:vAlign w:val="center"/>
          </w:tcPr>
          <w:p w:rsidR="00024C0A" w:rsidRDefault="00694C0F">
            <w:pPr>
              <w:pStyle w:val="TableBodyText"/>
            </w:pPr>
            <w:r>
              <w:t>§</w:t>
            </w:r>
            <w:hyperlink w:anchor="Section_72e63f852b6b4fa1ad68fe0187826156">
              <w:r>
                <w:rPr>
                  <w:rStyle w:val="Hyperlink"/>
                </w:rPr>
                <w:t>3.2.2.1.4, rowSortMap</w:t>
              </w:r>
            </w:hyperlink>
          </w:p>
        </w:tc>
      </w:tr>
    </w:tbl>
    <w:p w:rsidR="00024C0A" w:rsidRDefault="00024C0A"/>
    <w:p w:rsidR="00024C0A" w:rsidRDefault="00694C0F">
      <w:r>
        <w:t>The following XML Schema fragment defines the contents of this element:</w:t>
      </w:r>
    </w:p>
    <w:p w:rsidR="00024C0A" w:rsidRDefault="00694C0F">
      <w:pPr>
        <w:pStyle w:val="Code"/>
      </w:pPr>
      <w:r>
        <w:t xml:space="preserve">&lt;complexType </w:t>
      </w:r>
      <w:r>
        <w:t>name="CT_WorksheetSortMap"&gt;</w:t>
      </w:r>
    </w:p>
    <w:p w:rsidR="00024C0A" w:rsidRDefault="00694C0F">
      <w:pPr>
        <w:pStyle w:val="Code"/>
      </w:pPr>
      <w:r>
        <w:t xml:space="preserve">  &lt;sequence&gt;</w:t>
      </w:r>
    </w:p>
    <w:p w:rsidR="00024C0A" w:rsidRDefault="00694C0F">
      <w:pPr>
        <w:pStyle w:val="Code"/>
      </w:pPr>
      <w:r>
        <w:t xml:space="preserve">    &lt;element name="rowSortMap" type="CT_RowSortMap" minOccurs="0" maxOccurs="1"/&gt;</w:t>
      </w:r>
    </w:p>
    <w:p w:rsidR="00024C0A" w:rsidRDefault="00694C0F">
      <w:pPr>
        <w:pStyle w:val="Code"/>
      </w:pPr>
      <w:r>
        <w:t xml:space="preserve">    &lt;element name="colSortMap" type="CT_ColSortMap" minOccurs="0" maxOccurs="1"/&gt;</w:t>
      </w:r>
    </w:p>
    <w:p w:rsidR="00024C0A" w:rsidRDefault="00694C0F">
      <w:pPr>
        <w:pStyle w:val="Code"/>
      </w:pPr>
      <w:r>
        <w:t xml:space="preserve">  &lt;/sequence&gt;</w:t>
      </w:r>
    </w:p>
    <w:p w:rsidR="00024C0A" w:rsidRDefault="00694C0F">
      <w:pPr>
        <w:pStyle w:val="Code"/>
      </w:pPr>
      <w:r>
        <w:t>&lt;/complexType&gt;</w:t>
      </w:r>
    </w:p>
    <w:p w:rsidR="00024C0A" w:rsidRDefault="00694C0F">
      <w:pPr>
        <w:pStyle w:val="Heading4"/>
      </w:pPr>
      <w:bookmarkStart w:id="3981" w:name="section_da76a61047af4705a9fd865189332ca7"/>
      <w:bookmarkStart w:id="3982" w:name="_Toc12262051"/>
      <w:r>
        <w:t>Simple Types</w:t>
      </w:r>
      <w:bookmarkEnd w:id="3981"/>
      <w:bookmarkEnd w:id="3982"/>
      <w:r>
        <w:fldChar w:fldCharType="begin"/>
      </w:r>
      <w:r>
        <w:instrText xml:space="preserve"> XE "Simpl</w:instrText>
      </w:r>
      <w:r>
        <w:instrText xml:space="preserve">e Types" </w:instrText>
      </w:r>
      <w:r>
        <w:fldChar w:fldCharType="end"/>
      </w:r>
    </w:p>
    <w:p w:rsidR="00024C0A" w:rsidRDefault="00694C0F">
      <w:r>
        <w:t>This is the complete list of simple types in the http://schemas.microsoft.com/office/excel/2006/main namespace.</w:t>
      </w:r>
    </w:p>
    <w:p w:rsidR="00024C0A" w:rsidRDefault="00694C0F">
      <w:pPr>
        <w:pStyle w:val="Heading5"/>
      </w:pPr>
      <w:bookmarkStart w:id="3983" w:name="section_7ed66a4ca69b4613b5fc70a7cd17e3ca"/>
      <w:bookmarkStart w:id="3984" w:name="_Toc12262052"/>
      <w:r>
        <w:t>ST_SortMapCount (Sort Map Count)</w:t>
      </w:r>
      <w:bookmarkEnd w:id="3983"/>
      <w:bookmarkEnd w:id="3984"/>
      <w:r>
        <w:fldChar w:fldCharType="begin"/>
      </w:r>
      <w:r>
        <w:instrText xml:space="preserve"> XE "ST_SortMapCount (Sort Map Count)" </w:instrText>
      </w:r>
      <w:r>
        <w:fldChar w:fldCharType="end"/>
      </w:r>
    </w:p>
    <w:p w:rsidR="00024C0A" w:rsidRDefault="00694C0F">
      <w:r>
        <w:t>This simple type represents the count of row or column sor</w:t>
      </w:r>
      <w:r>
        <w:t>t map entries.</w:t>
      </w:r>
    </w:p>
    <w:p w:rsidR="00024C0A" w:rsidRDefault="00694C0F">
      <w:r>
        <w:t>This simple type's contents are a restriction of the XML Schema unsignedInt datatype.</w:t>
      </w:r>
    </w:p>
    <w:p w:rsidR="00024C0A" w:rsidRDefault="00694C0F">
      <w:r>
        <w:t>This simple type also specifies the following restrictions:</w:t>
      </w:r>
    </w:p>
    <w:p w:rsidR="00024C0A" w:rsidRDefault="00694C0F">
      <w:pPr>
        <w:pStyle w:val="ListParagraph"/>
        <w:numPr>
          <w:ilvl w:val="0"/>
          <w:numId w:val="206"/>
        </w:numPr>
      </w:pPr>
      <w:r>
        <w:t>This simple type has a maximum value of less than or equal to 536870910.</w:t>
      </w:r>
    </w:p>
    <w:tbl>
      <w:tblPr>
        <w:tblStyle w:val="Table-ShadedHeader"/>
        <w:tblW w:w="0" w:type="auto"/>
        <w:tblLook w:val="04A0" w:firstRow="1" w:lastRow="0" w:firstColumn="1" w:lastColumn="0" w:noHBand="0" w:noVBand="1"/>
      </w:tblPr>
      <w:tblGrid>
        <w:gridCol w:w="795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lastRenderedPageBreak/>
              <w:t>Referenced By</w:t>
            </w:r>
          </w:p>
        </w:tc>
      </w:tr>
      <w:tr w:rsidR="00024C0A" w:rsidTr="00024C0A">
        <w:tc>
          <w:tcPr>
            <w:tcW w:w="0" w:type="auto"/>
            <w:vAlign w:val="center"/>
          </w:tcPr>
          <w:p w:rsidR="00024C0A" w:rsidRDefault="00694C0F">
            <w:pPr>
              <w:pStyle w:val="TableBodyText"/>
            </w:pPr>
            <w:r>
              <w:rPr>
                <w:b/>
              </w:rPr>
              <w:t>colSortMap@count</w:t>
            </w:r>
            <w:r>
              <w:t xml:space="preserve"> (§</w:t>
            </w:r>
            <w:hyperlink w:anchor="Section_73bbbbb0df814eccbc7a3e365fbe5fce">
              <w:r>
                <w:rPr>
                  <w:rStyle w:val="Hyperlink"/>
                </w:rPr>
                <w:t>3.2.2.1.2, colSortMap</w:t>
              </w:r>
            </w:hyperlink>
            <w:r>
              <w:t xml:space="preserve">); </w:t>
            </w:r>
            <w:r>
              <w:rPr>
                <w:b/>
              </w:rPr>
              <w:t>rowSortMap@count</w:t>
            </w:r>
            <w:r>
              <w:t xml:space="preserve"> (§</w:t>
            </w:r>
            <w:hyperlink w:anchor="Section_72e63f852b6b4fa1ad68fe0187826156">
              <w:r>
                <w:rPr>
                  <w:rStyle w:val="Hyperlink"/>
                </w:rPr>
                <w:t>3.2.2.1.4, rowSortMap</w:t>
              </w:r>
            </w:hyperlink>
            <w:r>
              <w:t>)</w:t>
            </w:r>
          </w:p>
        </w:tc>
      </w:tr>
    </w:tbl>
    <w:p w:rsidR="00024C0A" w:rsidRDefault="00024C0A"/>
    <w:p w:rsidR="00024C0A" w:rsidRDefault="00694C0F">
      <w:r>
        <w:t>The following XML Schema fragment defines t</w:t>
      </w:r>
      <w:r>
        <w:t>he contents of this simple type:</w:t>
      </w:r>
    </w:p>
    <w:p w:rsidR="00024C0A" w:rsidRDefault="00694C0F">
      <w:pPr>
        <w:pStyle w:val="Code"/>
      </w:pPr>
      <w:r>
        <w:t>&lt;simpleType name="ST_SortMapCount"&gt;</w:t>
      </w:r>
    </w:p>
    <w:p w:rsidR="00024C0A" w:rsidRDefault="00694C0F">
      <w:pPr>
        <w:pStyle w:val="Code"/>
      </w:pPr>
      <w:r>
        <w:t xml:space="preserve">  &lt;restriction base="xsd:unsignedInt"&gt;</w:t>
      </w:r>
    </w:p>
    <w:p w:rsidR="00024C0A" w:rsidRDefault="00694C0F">
      <w:pPr>
        <w:pStyle w:val="Code"/>
      </w:pPr>
      <w:r>
        <w:t xml:space="preserve">    &lt;maxInclusive value="536870910"/&gt;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3"/>
      </w:pPr>
      <w:bookmarkStart w:id="3985" w:name="section_96a4842c5e4940e1b9ac0c524e8b68e0"/>
      <w:bookmarkStart w:id="3986" w:name="_Toc12262053"/>
      <w:r>
        <w:t>Additional SpreadsheetML Schema</w:t>
      </w:r>
      <w:bookmarkEnd w:id="3985"/>
      <w:bookmarkEnd w:id="3986"/>
      <w:r>
        <w:fldChar w:fldCharType="begin"/>
      </w:r>
      <w:r>
        <w:instrText xml:space="preserve"> XE "Additional SpreadsheetML Schema" </w:instrText>
      </w:r>
      <w:r>
        <w:fldChar w:fldCharType="end"/>
      </w:r>
    </w:p>
    <w:p w:rsidR="00024C0A" w:rsidRDefault="00694C0F">
      <w:r>
        <w:t>The sub</w:t>
      </w:r>
      <w:r>
        <w:t xml:space="preserve">ordinate clauses define additional information in the SpreadsheetML schema used by Excel.  </w:t>
      </w:r>
    </w:p>
    <w:p w:rsidR="00024C0A" w:rsidRDefault="00694C0F">
      <w:pPr>
        <w:pStyle w:val="Heading4"/>
      </w:pPr>
      <w:bookmarkStart w:id="3987" w:name="section_c53a9d05871f46f28ced6a59ab434fda"/>
      <w:bookmarkStart w:id="3988" w:name="_Toc12262054"/>
      <w:r>
        <w:t>Formulas</w:t>
      </w:r>
      <w:bookmarkEnd w:id="3987"/>
      <w:bookmarkEnd w:id="3988"/>
    </w:p>
    <w:p w:rsidR="00024C0A" w:rsidRDefault="00694C0F">
      <w:pPr>
        <w:pStyle w:val="Heading5"/>
      </w:pPr>
      <w:bookmarkStart w:id="3989" w:name="section_089fbdefed494a149509794c95651b17"/>
      <w:bookmarkStart w:id="3990" w:name="_Toc12262055"/>
      <w:r>
        <w:t>Structure References</w:t>
      </w:r>
      <w:bookmarkEnd w:id="3989"/>
      <w:bookmarkEnd w:id="3990"/>
      <w:r>
        <w:fldChar w:fldCharType="begin"/>
      </w:r>
      <w:r>
        <w:instrText xml:space="preserve"> XE "Structure References" </w:instrText>
      </w:r>
      <w:r>
        <w:fldChar w:fldCharType="end"/>
      </w:r>
    </w:p>
    <w:p w:rsidR="00024C0A" w:rsidRDefault="00694C0F">
      <w:r>
        <w:t xml:space="preserve">A structure reference has the following form: </w:t>
      </w:r>
    </w:p>
    <w:p w:rsidR="00024C0A" w:rsidRDefault="00694C0F">
      <w:pPr>
        <w:pStyle w:val="Code"/>
      </w:pPr>
      <w:r>
        <w:t xml:space="preserve">structure-reference= </w:t>
      </w:r>
    </w:p>
    <w:p w:rsidR="00024C0A" w:rsidRDefault="00694C0F">
      <w:pPr>
        <w:pStyle w:val="Code"/>
      </w:pPr>
      <w:r>
        <w:t>[table-identifier], intra-table-refe</w:t>
      </w:r>
      <w:r>
        <w:t>rence ;</w:t>
      </w:r>
    </w:p>
    <w:p w:rsidR="00024C0A" w:rsidRDefault="00694C0F">
      <w:pPr>
        <w:pStyle w:val="Code"/>
      </w:pPr>
      <w:r>
        <w:t>table-identifier=</w:t>
      </w:r>
    </w:p>
    <w:p w:rsidR="00024C0A" w:rsidRDefault="00694C0F">
      <w:pPr>
        <w:pStyle w:val="Code"/>
      </w:pPr>
      <w:r>
        <w:t>[book-prefix], table-name ;</w:t>
      </w:r>
    </w:p>
    <w:p w:rsidR="00024C0A" w:rsidRDefault="00694C0F">
      <w:pPr>
        <w:pStyle w:val="Code"/>
      </w:pPr>
      <w:r>
        <w:t>table-name=</w:t>
      </w:r>
    </w:p>
    <w:p w:rsidR="00024C0A" w:rsidRDefault="00694C0F">
      <w:pPr>
        <w:pStyle w:val="Code"/>
      </w:pPr>
      <w:r>
        <w:t>name ;</w:t>
      </w:r>
    </w:p>
    <w:p w:rsidR="00024C0A" w:rsidRDefault="00694C0F">
      <w:pPr>
        <w:pStyle w:val="Code"/>
      </w:pPr>
      <w:r>
        <w:t>intra-table-reference=</w:t>
      </w:r>
    </w:p>
    <w:p w:rsidR="00024C0A" w:rsidRDefault="00694C0F">
      <w:pPr>
        <w:pStyle w:val="Code"/>
      </w:pPr>
      <w:r>
        <w:t>spaced-lbracket, inner-reference, spaced-rbracket |</w:t>
      </w:r>
    </w:p>
    <w:p w:rsidR="00024C0A" w:rsidRDefault="00694C0F">
      <w:pPr>
        <w:pStyle w:val="Code"/>
      </w:pPr>
      <w:r>
        <w:t>keyword |</w:t>
      </w:r>
    </w:p>
    <w:p w:rsidR="00024C0A" w:rsidRDefault="00694C0F">
      <w:pPr>
        <w:pStyle w:val="Code"/>
      </w:pPr>
      <w:r>
        <w:t>'[', [simple-column-name], ']' ;</w:t>
      </w:r>
    </w:p>
    <w:p w:rsidR="00024C0A" w:rsidRDefault="00694C0F">
      <w:pPr>
        <w:pStyle w:val="Code"/>
      </w:pPr>
      <w:r>
        <w:t>inner-reference=</w:t>
      </w:r>
    </w:p>
    <w:p w:rsidR="00024C0A" w:rsidRDefault="00694C0F">
      <w:pPr>
        <w:pStyle w:val="Code"/>
      </w:pPr>
      <w:r>
        <w:t>keyword-list |</w:t>
      </w:r>
    </w:p>
    <w:p w:rsidR="00024C0A" w:rsidRDefault="00694C0F">
      <w:pPr>
        <w:pStyle w:val="Code"/>
      </w:pPr>
      <w:r>
        <w:t xml:space="preserve">[keyword-list, spaced-comma], </w:t>
      </w:r>
      <w:r>
        <w:t>column-range ;</w:t>
      </w:r>
    </w:p>
    <w:p w:rsidR="00024C0A" w:rsidRDefault="00694C0F">
      <w:pPr>
        <w:pStyle w:val="Code"/>
      </w:pPr>
      <w:r>
        <w:t>keyword=</w:t>
      </w:r>
    </w:p>
    <w:p w:rsidR="00024C0A" w:rsidRDefault="00694C0F">
      <w:pPr>
        <w:pStyle w:val="Code"/>
      </w:pPr>
      <w:r>
        <w:t>"[#All]" | "[#Data]" | "[#Headers]" | "[#Totals]" | "[#This Row]" ;</w:t>
      </w:r>
    </w:p>
    <w:p w:rsidR="00024C0A" w:rsidRDefault="00694C0F">
      <w:pPr>
        <w:pStyle w:val="Code"/>
      </w:pPr>
      <w:r>
        <w:t>keyword-list=</w:t>
      </w:r>
    </w:p>
    <w:p w:rsidR="00024C0A" w:rsidRDefault="00694C0F">
      <w:pPr>
        <w:pStyle w:val="Code"/>
      </w:pPr>
      <w:r>
        <w:t>keyword |</w:t>
      </w:r>
    </w:p>
    <w:p w:rsidR="00024C0A" w:rsidRDefault="00694C0F">
      <w:pPr>
        <w:pStyle w:val="Code"/>
      </w:pPr>
      <w:r>
        <w:t>"[#Headers]", spaced-comma, "[#Data]" |</w:t>
      </w:r>
    </w:p>
    <w:p w:rsidR="00024C0A" w:rsidRDefault="00694C0F">
      <w:pPr>
        <w:pStyle w:val="Code"/>
      </w:pPr>
      <w:r>
        <w:t>"[#Data]", spaced-comma, "[#Totals]" ;</w:t>
      </w:r>
    </w:p>
    <w:p w:rsidR="00024C0A" w:rsidRDefault="00694C0F">
      <w:pPr>
        <w:pStyle w:val="Code"/>
      </w:pPr>
      <w:r>
        <w:t>column-range=</w:t>
      </w:r>
    </w:p>
    <w:p w:rsidR="00024C0A" w:rsidRDefault="00694C0F">
      <w:pPr>
        <w:pStyle w:val="Code"/>
      </w:pPr>
      <w:r>
        <w:t>column, [":", column] ;</w:t>
      </w:r>
    </w:p>
    <w:p w:rsidR="00024C0A" w:rsidRDefault="00694C0F">
      <w:pPr>
        <w:pStyle w:val="Code"/>
      </w:pPr>
      <w:r>
        <w:t>column=</w:t>
      </w:r>
    </w:p>
    <w:p w:rsidR="00024C0A" w:rsidRDefault="00694C0F">
      <w:pPr>
        <w:pStyle w:val="Code"/>
      </w:pPr>
      <w:r>
        <w:t>simple-column-n</w:t>
      </w:r>
      <w:r>
        <w:t>ame |</w:t>
      </w:r>
    </w:p>
    <w:p w:rsidR="00024C0A" w:rsidRDefault="00694C0F">
      <w:pPr>
        <w:pStyle w:val="Code"/>
      </w:pPr>
      <w:r>
        <w:t>spaced-lbracket, {space}, simple-column-name, {space}, spaced-rbracket ;</w:t>
      </w:r>
    </w:p>
    <w:p w:rsidR="00024C0A" w:rsidRDefault="00694C0F">
      <w:pPr>
        <w:pStyle w:val="Code"/>
      </w:pPr>
      <w:r>
        <w:t>simple-column-name=</w:t>
      </w:r>
    </w:p>
    <w:p w:rsidR="00024C0A" w:rsidRDefault="00694C0F">
      <w:pPr>
        <w:pStyle w:val="Code"/>
      </w:pPr>
      <w:r>
        <w:t>[any-nospace-column-character, {any-column-character }], any-nospace-column-character ;</w:t>
      </w:r>
    </w:p>
    <w:p w:rsidR="00024C0A" w:rsidRDefault="00694C0F">
      <w:pPr>
        <w:pStyle w:val="Code"/>
      </w:pPr>
      <w:r>
        <w:t>escape-column-character=</w:t>
      </w:r>
    </w:p>
    <w:p w:rsidR="00024C0A" w:rsidRDefault="00694C0F">
      <w:pPr>
        <w:pStyle w:val="Code"/>
      </w:pPr>
      <w:r>
        <w:t>"'" | "[" | "]" | "#" ;</w:t>
      </w:r>
    </w:p>
    <w:p w:rsidR="00024C0A" w:rsidRDefault="00694C0F">
      <w:pPr>
        <w:pStyle w:val="Code"/>
      </w:pPr>
      <w:r>
        <w:t>any-column-character</w:t>
      </w:r>
      <w:r>
        <w:t>=</w:t>
      </w:r>
    </w:p>
    <w:p w:rsidR="00024C0A" w:rsidRDefault="00694C0F">
      <w:pPr>
        <w:pStyle w:val="Code"/>
      </w:pPr>
      <w:r>
        <w:t xml:space="preserve">character - escape-column-character | </w:t>
      </w:r>
    </w:p>
    <w:p w:rsidR="00024C0A" w:rsidRDefault="00694C0F">
      <w:pPr>
        <w:pStyle w:val="Code"/>
      </w:pPr>
      <w:r>
        <w:t>"'", escape-column-character ;</w:t>
      </w:r>
    </w:p>
    <w:p w:rsidR="00024C0A" w:rsidRDefault="00694C0F">
      <w:pPr>
        <w:pStyle w:val="Code"/>
      </w:pPr>
      <w:r>
        <w:t>any-nospace-column-character=</w:t>
      </w:r>
    </w:p>
    <w:p w:rsidR="00024C0A" w:rsidRDefault="00694C0F">
      <w:pPr>
        <w:pStyle w:val="Code"/>
      </w:pPr>
      <w:r>
        <w:t>any-column-character – space ;</w:t>
      </w:r>
    </w:p>
    <w:p w:rsidR="00024C0A" w:rsidRDefault="00694C0F">
      <w:pPr>
        <w:pStyle w:val="Code"/>
      </w:pPr>
      <w:r>
        <w:t>spaced-comma=</w:t>
      </w:r>
    </w:p>
    <w:p w:rsidR="00024C0A" w:rsidRDefault="00694C0F">
      <w:pPr>
        <w:pStyle w:val="Code"/>
      </w:pPr>
      <w:r>
        <w:t>[space], ",", [space] ;</w:t>
      </w:r>
    </w:p>
    <w:p w:rsidR="00024C0A" w:rsidRDefault="00694C0F">
      <w:pPr>
        <w:pStyle w:val="Code"/>
      </w:pPr>
      <w:r>
        <w:t>spaced-lbracket=</w:t>
      </w:r>
    </w:p>
    <w:p w:rsidR="00024C0A" w:rsidRDefault="00694C0F">
      <w:pPr>
        <w:pStyle w:val="Code"/>
      </w:pPr>
      <w:r>
        <w:t>"[", [space] ;</w:t>
      </w:r>
    </w:p>
    <w:p w:rsidR="00024C0A" w:rsidRDefault="00694C0F">
      <w:pPr>
        <w:pStyle w:val="Code"/>
      </w:pPr>
      <w:r>
        <w:t>spaced-rbracket=</w:t>
      </w:r>
    </w:p>
    <w:p w:rsidR="00024C0A" w:rsidRDefault="00694C0F">
      <w:pPr>
        <w:pStyle w:val="Code"/>
      </w:pPr>
      <w:r>
        <w:lastRenderedPageBreak/>
        <w:t>[space], "]" ;</w:t>
      </w:r>
    </w:p>
    <w:p w:rsidR="00024C0A" w:rsidRDefault="00694C0F">
      <w:r>
        <w:t xml:space="preserve">Structure references </w:t>
      </w:r>
      <w:r>
        <w:t>define rectangular sections of tables using special syntax, table column names, and reserved keywords instead of relative or absolute references. Structure references do not need adjustment if tables they refer to have been modified. They also provide a me</w:t>
      </w:r>
      <w:r>
        <w:t>chanism to define areas using meaningful table column names instead of less helpful cell references.</w:t>
      </w:r>
    </w:p>
    <w:p w:rsidR="00024C0A" w:rsidRDefault="00694C0F">
      <w:r>
        <w:t>table-name is the name of the table the structure reference refers to. If it is missing, then the formula containing the structure reference must be entere</w:t>
      </w:r>
      <w:r>
        <w:t>d into a cell that belongs to a table, and that table’s name is used as the table-name. table-name must be a name of a table. It must not be any other user-defined name.</w:t>
      </w:r>
    </w:p>
    <w:p w:rsidR="00024C0A" w:rsidRDefault="00694C0F">
      <w:r>
        <w:t>table-name[] refers to all cells in table-name except Header Row and Total Row.</w:t>
      </w:r>
    </w:p>
    <w:p w:rsidR="00024C0A" w:rsidRDefault="00694C0F">
      <w:r>
        <w:t>table-</w:t>
      </w:r>
      <w:r>
        <w:t>name[#Data] refers to all table-name’s cells except Header Row and Total Row. It is equivalent to the form table-name[].</w:t>
      </w:r>
    </w:p>
    <w:p w:rsidR="00024C0A" w:rsidRDefault="00694C0F">
      <w:r>
        <w:t>table-name[#Headers] refers to all cells in table-name’s Header Row.</w:t>
      </w:r>
    </w:p>
    <w:p w:rsidR="00024C0A" w:rsidRDefault="00694C0F">
      <w:r>
        <w:t>table-name[#Total Row] refers to all cells in the table-name’s Tot</w:t>
      </w:r>
      <w:r>
        <w:t>al Row</w:t>
      </w:r>
    </w:p>
    <w:p w:rsidR="00024C0A" w:rsidRDefault="00694C0F">
      <w:r>
        <w:t>table-name[#All] refers to the entire table area. table-name[#All] is the union of table-name[#Headers], table-name[#Data], and table-name[#Total Row]</w:t>
      </w:r>
    </w:p>
    <w:p w:rsidR="00024C0A" w:rsidRDefault="00694C0F">
      <w:r>
        <w:t xml:space="preserve">table-name[column-name] refers to all cells in the column named column-name except the cells from </w:t>
      </w:r>
      <w:r>
        <w:t>Header Row and Total Row.</w:t>
      </w:r>
    </w:p>
    <w:p w:rsidR="00024C0A" w:rsidRDefault="00694C0F">
      <w:r>
        <w:t>table-name[[column-name]] refers to all cells in the column named column-name except the cells from Header Row and Total Row.</w:t>
      </w:r>
    </w:p>
    <w:p w:rsidR="00024C0A" w:rsidRDefault="00694C0F">
      <w:r>
        <w:t>table-name[[column-name1]:[column-name2]] refers to all cells from column named column-name1 through col</w:t>
      </w:r>
      <w:r>
        <w:t>umn named column-name2 except the cells from Header Row and Total Row.</w:t>
      </w:r>
    </w:p>
    <w:p w:rsidR="00024C0A" w:rsidRDefault="00694C0F">
      <w:r>
        <w:t xml:space="preserve">table-name[[keyword],[column-name]], where keyword is one of #Headers, #Total Row, #Data, #All, refers to the intersection of the area defined by table-name[keyword] and all cells from </w:t>
      </w:r>
      <w:r>
        <w:t>the column named column-name.</w:t>
      </w:r>
    </w:p>
    <w:p w:rsidR="00024C0A" w:rsidRDefault="00694C0F">
      <w:r>
        <w:t>table-name[[#Data],[column-name]] is equivalent to table-name[column-name]</w:t>
      </w:r>
    </w:p>
    <w:p w:rsidR="00024C0A" w:rsidRDefault="00694C0F">
      <w:r>
        <w:t xml:space="preserve">table-name[[keyword],[column-name1]:[column-name2]], where keyword is one of #Headers, #Total Row, #Data, #All, refers to the intersection of the area </w:t>
      </w:r>
      <w:r>
        <w:t>defined by table-name[keyword] and all cells from the table from column named column-name1 through column named coumn-name2.</w:t>
      </w:r>
    </w:p>
    <w:p w:rsidR="00024C0A" w:rsidRDefault="00694C0F">
      <w:r>
        <w:t>table-name[[#Headers],[#Data],[column-name]] is the union of table-name[[#Headers],[column-name]] and table-name[[#Data],[column-na</w:t>
      </w:r>
      <w:r>
        <w:t>me]]</w:t>
      </w:r>
    </w:p>
    <w:p w:rsidR="00024C0A" w:rsidRDefault="00694C0F">
      <w:r>
        <w:t>table-name[[#Data],[#Total Row],[column-name]] is the union of table-name[[#Data],[column-name]] and table-name[[#Total Row],[column-name]]</w:t>
      </w:r>
    </w:p>
    <w:p w:rsidR="00024C0A" w:rsidRDefault="00694C0F">
      <w:r>
        <w:t>table-name[[#Headers],[#Data],[column-name1]:[column-name2]] is the union of table-name[[#Headers], [column-nam</w:t>
      </w:r>
      <w:r>
        <w:t>e1]:[column-name2]] and table-name[[#Data], [column-name1]:[column-name2]]</w:t>
      </w:r>
    </w:p>
    <w:p w:rsidR="00024C0A" w:rsidRDefault="00694C0F">
      <w:r>
        <w:t>table-name[[#Data],[#Total Row], [column-name1]:[column-name2]] is the union of table-name[[#Data], [column-name1]:[column-name2]] and table-name[[#Total Row], [column-name1]:[colum</w:t>
      </w:r>
      <w:r>
        <w:t>n-name2]]</w:t>
      </w:r>
    </w:p>
    <w:p w:rsidR="00024C0A" w:rsidRDefault="00694C0F">
      <w:r>
        <w:t xml:space="preserve">table-name[[#This Row],[column-name]] refers to the cell in the intersection of table-name[column-name] and the current row; for example, the row of the cell that contains the formula with the </w:t>
      </w:r>
      <w:r>
        <w:lastRenderedPageBreak/>
        <w:t>structure reference. table-name[[#This Row],[column-n</w:t>
      </w:r>
      <w:r>
        <w:t>ame1]:[column-name2]]refers to the cells in the intersection of table-name[[column-name]:[column-name2]] and the current row; for example, the row of the cell that contains the formula with such structure reference. These two forms allow formulas to perfor</w:t>
      </w:r>
      <w:r>
        <w:t xml:space="preserve">m implicit intersection using structure references. </w:t>
      </w:r>
    </w:p>
    <w:p w:rsidR="00024C0A" w:rsidRDefault="00694C0F">
      <w:r>
        <w:t>#This Row must not be combined with any of #Headers, #Total Row, #Data, #All.</w:t>
      </w:r>
    </w:p>
    <w:p w:rsidR="00024C0A" w:rsidRDefault="00694C0F">
      <w:pPr>
        <w:pStyle w:val="Heading5"/>
      </w:pPr>
      <w:bookmarkStart w:id="3991" w:name="section_ed5fc677a2444bfca1488ac15a6a97db"/>
      <w:bookmarkStart w:id="3992" w:name="_Toc12262056"/>
      <w:r>
        <w:t>Conditional Formatting Formulas</w:t>
      </w:r>
      <w:bookmarkEnd w:id="3991"/>
      <w:bookmarkEnd w:id="3992"/>
      <w:r>
        <w:fldChar w:fldCharType="begin"/>
      </w:r>
      <w:r>
        <w:instrText xml:space="preserve"> XE "Conditional Formatting Formulas" </w:instrText>
      </w:r>
      <w:r>
        <w:fldChar w:fldCharType="end"/>
      </w:r>
    </w:p>
    <w:p w:rsidR="00024C0A" w:rsidRDefault="00694C0F">
      <w:r>
        <w:t>Conditional formatting formulas are part of condition</w:t>
      </w:r>
      <w:r>
        <w:t>al formatting rules.</w:t>
      </w:r>
    </w:p>
    <w:p w:rsidR="00024C0A" w:rsidRDefault="00694C0F">
      <w:r>
        <w:t>A conditional formatting formula shall not use array constants.</w:t>
      </w:r>
    </w:p>
    <w:p w:rsidR="00024C0A" w:rsidRDefault="00694C0F">
      <w:r>
        <w:t>A conditional formatting formula shall not use structure references.</w:t>
      </w:r>
    </w:p>
    <w:p w:rsidR="00024C0A" w:rsidRDefault="00694C0F">
      <w:r>
        <w:t>A conditional formatting formula shall not use union and intersection binary operators.</w:t>
      </w:r>
    </w:p>
    <w:p w:rsidR="00024C0A" w:rsidRDefault="00694C0F">
      <w:r>
        <w:t xml:space="preserve">A conditional formatting formula shall not use 3-D references. </w:t>
      </w:r>
    </w:p>
    <w:p w:rsidR="00024C0A" w:rsidRDefault="00694C0F">
      <w:pPr>
        <w:pStyle w:val="Code"/>
      </w:pPr>
      <w:r>
        <w:t>CF-formula=</w:t>
      </w:r>
    </w:p>
    <w:p w:rsidR="00024C0A" w:rsidRDefault="00694C0F">
      <w:pPr>
        <w:pStyle w:val="Code"/>
      </w:pPr>
      <w:r>
        <w:t>CF-expression ;</w:t>
      </w:r>
    </w:p>
    <w:p w:rsidR="00024C0A" w:rsidRDefault="00694C0F">
      <w:pPr>
        <w:pStyle w:val="Code"/>
      </w:pPr>
      <w:r>
        <w:t>CF-expression= {space}, CF-nospace-expression, {space} ;</w:t>
      </w:r>
    </w:p>
    <w:p w:rsidR="00024C0A" w:rsidRDefault="00694C0F">
      <w:pPr>
        <w:pStyle w:val="Code"/>
      </w:pPr>
      <w:r>
        <w:t xml:space="preserve">CF-nospace-expression= </w:t>
      </w:r>
    </w:p>
    <w:p w:rsidR="00024C0A" w:rsidRDefault="00694C0F">
      <w:pPr>
        <w:pStyle w:val="Code"/>
      </w:pPr>
      <w:r>
        <w:t xml:space="preserve">"(", CF-expression, ")" | </w:t>
      </w:r>
    </w:p>
    <w:p w:rsidR="00024C0A" w:rsidRDefault="00694C0F">
      <w:pPr>
        <w:pStyle w:val="Code"/>
      </w:pPr>
      <w:r>
        <w:t xml:space="preserve">CF-constant | </w:t>
      </w:r>
    </w:p>
    <w:p w:rsidR="00024C0A" w:rsidRDefault="00694C0F">
      <w:pPr>
        <w:pStyle w:val="Code"/>
      </w:pPr>
      <w:r>
        <w:t xml:space="preserve">prefix-operator, CF-expression | </w:t>
      </w:r>
    </w:p>
    <w:p w:rsidR="00024C0A" w:rsidRDefault="00694C0F">
      <w:pPr>
        <w:pStyle w:val="Code"/>
      </w:pPr>
      <w:r>
        <w:t>CF-expr</w:t>
      </w:r>
      <w:r>
        <w:t xml:space="preserve">ession, CF-infix-operator, CF-expression | </w:t>
      </w:r>
    </w:p>
    <w:p w:rsidR="00024C0A" w:rsidRDefault="00694C0F">
      <w:pPr>
        <w:pStyle w:val="Code"/>
      </w:pPr>
      <w:r>
        <w:t xml:space="preserve">CF-expression, postfix-operator | </w:t>
      </w:r>
    </w:p>
    <w:p w:rsidR="00024C0A" w:rsidRDefault="00694C0F">
      <w:pPr>
        <w:pStyle w:val="Code"/>
      </w:pPr>
      <w:r>
        <w:t>A1-reference |</w:t>
      </w:r>
    </w:p>
    <w:p w:rsidR="00024C0A" w:rsidRDefault="00694C0F">
      <w:pPr>
        <w:pStyle w:val="Code"/>
      </w:pPr>
      <w:r>
        <w:t xml:space="preserve">CF-function-call | </w:t>
      </w:r>
    </w:p>
    <w:p w:rsidR="00024C0A" w:rsidRDefault="00694C0F">
      <w:pPr>
        <w:pStyle w:val="Code"/>
      </w:pPr>
      <w:r>
        <w:t>name ;</w:t>
      </w:r>
    </w:p>
    <w:p w:rsidR="00024C0A" w:rsidRDefault="00694C0F">
      <w:pPr>
        <w:pStyle w:val="Code"/>
      </w:pPr>
      <w:r>
        <w:t>CF-constant=</w:t>
      </w:r>
    </w:p>
    <w:p w:rsidR="00024C0A" w:rsidRDefault="00694C0F">
      <w:pPr>
        <w:pStyle w:val="Code"/>
      </w:pPr>
      <w:r>
        <w:t xml:space="preserve">constant – array-constant ; </w:t>
      </w:r>
    </w:p>
    <w:p w:rsidR="00024C0A" w:rsidRDefault="00694C0F">
      <w:pPr>
        <w:pStyle w:val="Code"/>
      </w:pPr>
      <w:r>
        <w:t>CF-infix-operator=</w:t>
      </w:r>
    </w:p>
    <w:p w:rsidR="00024C0A" w:rsidRDefault="00694C0F">
      <w:pPr>
        <w:pStyle w:val="Code"/>
      </w:pPr>
      <w:r>
        <w:t xml:space="preserve">":" | "^" | "*" | "/" | "+" | "-" | "&amp;"| </w:t>
      </w:r>
    </w:p>
    <w:p w:rsidR="00024C0A" w:rsidRDefault="00694C0F">
      <w:pPr>
        <w:pStyle w:val="Code"/>
      </w:pPr>
      <w:r>
        <w:t xml:space="preserve">"=" | "&lt;&gt;" | "&lt;" | "&lt;=" | "&gt;" | </w:t>
      </w:r>
      <w:r>
        <w:t>"&gt;=" ;</w:t>
      </w:r>
    </w:p>
    <w:p w:rsidR="00024C0A" w:rsidRDefault="00694C0F">
      <w:pPr>
        <w:pStyle w:val="Code"/>
      </w:pPr>
      <w:r>
        <w:t>CF-function-call=</w:t>
      </w:r>
    </w:p>
    <w:p w:rsidR="00024C0A" w:rsidRDefault="00694C0F">
      <w:pPr>
        <w:pStyle w:val="Code"/>
      </w:pPr>
      <w:r>
        <w:t>CF-function-name, "(", CF-function-argument-list, ")" ;</w:t>
      </w:r>
    </w:p>
    <w:p w:rsidR="00024C0A" w:rsidRDefault="00694C0F">
      <w:pPr>
        <w:pStyle w:val="Code"/>
      </w:pPr>
      <w:r>
        <w:t>CF-function-name=</w:t>
      </w:r>
    </w:p>
    <w:p w:rsidR="00024C0A" w:rsidRDefault="00694C0F">
      <w:pPr>
        <w:pStyle w:val="Code"/>
      </w:pPr>
      <w:r>
        <w:t xml:space="preserve">predefined-function-name | </w:t>
      </w:r>
    </w:p>
    <w:p w:rsidR="00024C0A" w:rsidRDefault="00694C0F">
      <w:pPr>
        <w:pStyle w:val="Code"/>
      </w:pPr>
      <w:r>
        <w:t>name ;</w:t>
      </w:r>
    </w:p>
    <w:p w:rsidR="00024C0A" w:rsidRDefault="00694C0F">
      <w:pPr>
        <w:pStyle w:val="Code"/>
      </w:pPr>
      <w:r>
        <w:t>CF-function-argument-list =</w:t>
      </w:r>
    </w:p>
    <w:p w:rsidR="00024C0A" w:rsidRDefault="00694C0F">
      <w:pPr>
        <w:pStyle w:val="Code"/>
      </w:pPr>
      <w:r>
        <w:t>[CF-expression], { comma, CF-function-argument-list } ;</w:t>
      </w:r>
    </w:p>
    <w:p w:rsidR="00024C0A" w:rsidRDefault="00694C0F">
      <w:pPr>
        <w:pStyle w:val="Heading5"/>
      </w:pPr>
      <w:bookmarkStart w:id="3993" w:name="section_26e0ceb25b9342dc838c9e15c1a8cd8b"/>
      <w:bookmarkStart w:id="3994" w:name="_Toc12262057"/>
      <w:r>
        <w:t>Data Validation Formulas</w:t>
      </w:r>
      <w:bookmarkEnd w:id="3993"/>
      <w:bookmarkEnd w:id="3994"/>
      <w:r>
        <w:fldChar w:fldCharType="begin"/>
      </w:r>
      <w:r>
        <w:instrText xml:space="preserve"> XE "Data Vali</w:instrText>
      </w:r>
      <w:r>
        <w:instrText xml:space="preserve">dation Formulas" </w:instrText>
      </w:r>
      <w:r>
        <w:fldChar w:fldCharType="end"/>
      </w:r>
    </w:p>
    <w:p w:rsidR="00024C0A" w:rsidRDefault="00694C0F">
      <w:r>
        <w:t xml:space="preserve">Data validation formulas are part of Data Validation rules.  They shall not use array constants, structure references, or union or intersection binary operators. </w:t>
      </w:r>
    </w:p>
    <w:p w:rsidR="00024C0A" w:rsidRDefault="00694C0F">
      <w:pPr>
        <w:pStyle w:val="Code"/>
      </w:pPr>
      <w:r>
        <w:t>DV-formula=</w:t>
      </w:r>
    </w:p>
    <w:p w:rsidR="00024C0A" w:rsidRDefault="00694C0F">
      <w:pPr>
        <w:pStyle w:val="Code"/>
      </w:pPr>
      <w:r>
        <w:t>DV-expression ;</w:t>
      </w:r>
    </w:p>
    <w:p w:rsidR="00024C0A" w:rsidRDefault="00694C0F">
      <w:pPr>
        <w:pStyle w:val="Code"/>
      </w:pPr>
      <w:r>
        <w:t xml:space="preserve">DV-expression= {space}, </w:t>
      </w:r>
      <w:r>
        <w:t>DV-nospace-expression, {space} ;</w:t>
      </w:r>
    </w:p>
    <w:p w:rsidR="00024C0A" w:rsidRDefault="00694C0F">
      <w:pPr>
        <w:pStyle w:val="Code"/>
      </w:pPr>
      <w:r>
        <w:t>DV-nospace-expression=</w:t>
      </w:r>
    </w:p>
    <w:p w:rsidR="00024C0A" w:rsidRDefault="00694C0F">
      <w:pPr>
        <w:pStyle w:val="Code"/>
      </w:pPr>
      <w:r>
        <w:t xml:space="preserve">"(", DV-expression, ")" | </w:t>
      </w:r>
    </w:p>
    <w:p w:rsidR="00024C0A" w:rsidRDefault="00694C0F">
      <w:pPr>
        <w:pStyle w:val="Code"/>
      </w:pPr>
      <w:r>
        <w:t xml:space="preserve">DV-constant | </w:t>
      </w:r>
    </w:p>
    <w:p w:rsidR="00024C0A" w:rsidRDefault="00694C0F">
      <w:pPr>
        <w:pStyle w:val="Code"/>
      </w:pPr>
      <w:r>
        <w:t xml:space="preserve">prefix-operator, DV-expression | </w:t>
      </w:r>
    </w:p>
    <w:p w:rsidR="00024C0A" w:rsidRDefault="00694C0F">
      <w:pPr>
        <w:pStyle w:val="Code"/>
      </w:pPr>
      <w:r>
        <w:t xml:space="preserve">DV-expression, DV-infix-operator, DV-expression | </w:t>
      </w:r>
    </w:p>
    <w:p w:rsidR="00024C0A" w:rsidRDefault="00694C0F">
      <w:pPr>
        <w:pStyle w:val="Code"/>
      </w:pPr>
      <w:r>
        <w:t xml:space="preserve">DV-expression, postfix-operator | </w:t>
      </w:r>
    </w:p>
    <w:p w:rsidR="00024C0A" w:rsidRDefault="00694C0F">
      <w:pPr>
        <w:pStyle w:val="Code"/>
      </w:pPr>
      <w:r>
        <w:t>A1-reference |</w:t>
      </w:r>
    </w:p>
    <w:p w:rsidR="00024C0A" w:rsidRDefault="00694C0F">
      <w:pPr>
        <w:pStyle w:val="Code"/>
      </w:pPr>
      <w:r>
        <w:t xml:space="preserve">function-call | </w:t>
      </w:r>
    </w:p>
    <w:p w:rsidR="00024C0A" w:rsidRDefault="00694C0F">
      <w:pPr>
        <w:pStyle w:val="Code"/>
      </w:pPr>
      <w:r>
        <w:t>name ;</w:t>
      </w:r>
    </w:p>
    <w:p w:rsidR="00024C0A" w:rsidRDefault="00694C0F">
      <w:pPr>
        <w:pStyle w:val="Code"/>
      </w:pPr>
      <w:r>
        <w:t>DV-constant=</w:t>
      </w:r>
    </w:p>
    <w:p w:rsidR="00024C0A" w:rsidRDefault="00694C0F">
      <w:pPr>
        <w:pStyle w:val="Code"/>
      </w:pPr>
      <w:r>
        <w:t>constant – array-constant ;</w:t>
      </w:r>
    </w:p>
    <w:p w:rsidR="00024C0A" w:rsidRDefault="00694C0F">
      <w:pPr>
        <w:pStyle w:val="Code"/>
      </w:pPr>
      <w:r>
        <w:t>DV-infix-operator=</w:t>
      </w:r>
    </w:p>
    <w:p w:rsidR="00024C0A" w:rsidRDefault="00694C0F">
      <w:pPr>
        <w:pStyle w:val="Code"/>
      </w:pPr>
      <w:r>
        <w:lastRenderedPageBreak/>
        <w:t xml:space="preserve">":" | "^" | "*" | "/" | "+" | "-" | "&amp;"| </w:t>
      </w:r>
    </w:p>
    <w:p w:rsidR="00024C0A" w:rsidRDefault="00694C0F">
      <w:pPr>
        <w:pStyle w:val="Code"/>
      </w:pPr>
      <w:r>
        <w:t xml:space="preserve">"=" | "&lt;&gt;" | "&lt;" | "&lt;=" | "&gt;" | "&gt;=" ; </w:t>
      </w:r>
    </w:p>
    <w:p w:rsidR="00024C0A" w:rsidRDefault="00694C0F">
      <w:pPr>
        <w:pStyle w:val="Code"/>
      </w:pPr>
      <w:r>
        <w:t>DV-function-call=</w:t>
      </w:r>
    </w:p>
    <w:p w:rsidR="00024C0A" w:rsidRDefault="00694C0F">
      <w:pPr>
        <w:pStyle w:val="Code"/>
      </w:pPr>
      <w:r>
        <w:t>DV-function-name, "(", DV-function-argument-list, ")" ;</w:t>
      </w:r>
    </w:p>
    <w:p w:rsidR="00024C0A" w:rsidRDefault="00694C0F">
      <w:pPr>
        <w:pStyle w:val="Code"/>
      </w:pPr>
      <w:r>
        <w:t>DV-function-name=</w:t>
      </w:r>
    </w:p>
    <w:p w:rsidR="00024C0A" w:rsidRDefault="00694C0F">
      <w:pPr>
        <w:pStyle w:val="Code"/>
      </w:pPr>
      <w:r>
        <w:t xml:space="preserve">predefined-function-name | </w:t>
      </w:r>
    </w:p>
    <w:p w:rsidR="00024C0A" w:rsidRDefault="00694C0F">
      <w:pPr>
        <w:pStyle w:val="Code"/>
      </w:pPr>
      <w:r>
        <w:t>name ;</w:t>
      </w:r>
    </w:p>
    <w:p w:rsidR="00024C0A" w:rsidRDefault="00694C0F">
      <w:pPr>
        <w:pStyle w:val="Code"/>
      </w:pPr>
      <w:r>
        <w:t>DV-function-argument-list=</w:t>
      </w:r>
    </w:p>
    <w:p w:rsidR="00024C0A" w:rsidRDefault="00694C0F">
      <w:pPr>
        <w:pStyle w:val="Code"/>
      </w:pPr>
      <w:r>
        <w:t>[DV-expression], { comma, DV-function-argument-list } ;</w:t>
      </w:r>
    </w:p>
    <w:p w:rsidR="00024C0A" w:rsidRDefault="00694C0F">
      <w:pPr>
        <w:pStyle w:val="Heading5"/>
      </w:pPr>
      <w:bookmarkStart w:id="3995" w:name="section_da7f42ad0083451a98cfb475b578d91d"/>
      <w:bookmarkStart w:id="3996" w:name="_Toc12262058"/>
      <w:r>
        <w:t>Name Formulas</w:t>
      </w:r>
      <w:bookmarkEnd w:id="3995"/>
      <w:bookmarkEnd w:id="3996"/>
      <w:r>
        <w:fldChar w:fldCharType="begin"/>
      </w:r>
      <w:r>
        <w:instrText xml:space="preserve"> XE "Name Formulas" </w:instrText>
      </w:r>
      <w:r>
        <w:fldChar w:fldCharType="end"/>
      </w:r>
    </w:p>
    <w:p w:rsidR="00024C0A" w:rsidRDefault="00694C0F">
      <w:r>
        <w:t>If a name is defined as an alias for a formula then that formula shall contain 3-D references only.</w:t>
      </w:r>
    </w:p>
    <w:p w:rsidR="00024C0A" w:rsidRDefault="00694C0F">
      <w:pPr>
        <w:pStyle w:val="Code"/>
      </w:pPr>
      <w:r>
        <w:t>na</w:t>
      </w:r>
      <w:r>
        <w:t>me-formula=</w:t>
      </w:r>
    </w:p>
    <w:p w:rsidR="00024C0A" w:rsidRDefault="00694C0F">
      <w:pPr>
        <w:pStyle w:val="Code"/>
      </w:pPr>
      <w:r>
        <w:t xml:space="preserve">name-expression ; </w:t>
      </w:r>
    </w:p>
    <w:p w:rsidR="00024C0A" w:rsidRDefault="00694C0F">
      <w:pPr>
        <w:pStyle w:val="Code"/>
      </w:pPr>
      <w:r>
        <w:t>name-expression= {space}, name-nospace-expression, {space} ;</w:t>
      </w:r>
    </w:p>
    <w:p w:rsidR="00024C0A" w:rsidRDefault="00694C0F">
      <w:pPr>
        <w:pStyle w:val="Code"/>
      </w:pPr>
      <w:r>
        <w:t>name-nospace-expression=</w:t>
      </w:r>
    </w:p>
    <w:p w:rsidR="00024C0A" w:rsidRDefault="00694C0F">
      <w:pPr>
        <w:pStyle w:val="Code"/>
      </w:pPr>
      <w:r>
        <w:t xml:space="preserve">"(", name-expression, ")" | </w:t>
      </w:r>
    </w:p>
    <w:p w:rsidR="00024C0A" w:rsidRDefault="00694C0F">
      <w:pPr>
        <w:pStyle w:val="Code"/>
      </w:pPr>
      <w:r>
        <w:t xml:space="preserve">constant | </w:t>
      </w:r>
    </w:p>
    <w:p w:rsidR="00024C0A" w:rsidRDefault="00694C0F">
      <w:pPr>
        <w:pStyle w:val="Code"/>
      </w:pPr>
      <w:r>
        <w:t xml:space="preserve">prefix-operator, name-expression | </w:t>
      </w:r>
    </w:p>
    <w:p w:rsidR="00024C0A" w:rsidRDefault="00694C0F">
      <w:pPr>
        <w:pStyle w:val="Code"/>
      </w:pPr>
      <w:r>
        <w:t xml:space="preserve">name-expression, infix-operator, name-expression | </w:t>
      </w:r>
    </w:p>
    <w:p w:rsidR="00024C0A" w:rsidRDefault="00694C0F">
      <w:pPr>
        <w:pStyle w:val="Code"/>
      </w:pPr>
      <w:r>
        <w:t xml:space="preserve">name-expression, postfix-operator | </w:t>
      </w:r>
    </w:p>
    <w:p w:rsidR="00024C0A" w:rsidRDefault="00694C0F">
      <w:pPr>
        <w:pStyle w:val="Code"/>
      </w:pPr>
      <w:r>
        <w:t>external-cell-reference |</w:t>
      </w:r>
    </w:p>
    <w:p w:rsidR="00024C0A" w:rsidRDefault="00694C0F">
      <w:pPr>
        <w:pStyle w:val="Code"/>
      </w:pPr>
      <w:r>
        <w:t>"!", A1-reference |</w:t>
      </w:r>
    </w:p>
    <w:p w:rsidR="00024C0A" w:rsidRDefault="00694C0F">
      <w:pPr>
        <w:pStyle w:val="Code"/>
      </w:pPr>
      <w:r>
        <w:t xml:space="preserve">name-function-call | </w:t>
      </w:r>
    </w:p>
    <w:p w:rsidR="00024C0A" w:rsidRDefault="00694C0F">
      <w:pPr>
        <w:pStyle w:val="Code"/>
      </w:pPr>
      <w:r>
        <w:t>name-reference |</w:t>
      </w:r>
    </w:p>
    <w:p w:rsidR="00024C0A" w:rsidRDefault="00694C0F">
      <w:pPr>
        <w:pStyle w:val="Code"/>
      </w:pPr>
      <w:r>
        <w:t>"!", name |</w:t>
      </w:r>
    </w:p>
    <w:p w:rsidR="00024C0A" w:rsidRDefault="00694C0F">
      <w:pPr>
        <w:pStyle w:val="Code"/>
      </w:pPr>
      <w:r>
        <w:t>structure-reference ;</w:t>
      </w:r>
    </w:p>
    <w:p w:rsidR="00024C0A" w:rsidRDefault="00694C0F">
      <w:pPr>
        <w:pStyle w:val="Code"/>
      </w:pPr>
      <w:r>
        <w:t>name-function-call=</w:t>
      </w:r>
    </w:p>
    <w:p w:rsidR="00024C0A" w:rsidRDefault="00694C0F">
      <w:pPr>
        <w:pStyle w:val="Code"/>
      </w:pPr>
      <w:r>
        <w:t>function-name, "(", name-function-argument-list, ")" ;</w:t>
      </w:r>
    </w:p>
    <w:p w:rsidR="00024C0A" w:rsidRDefault="00694C0F">
      <w:pPr>
        <w:pStyle w:val="Code"/>
      </w:pPr>
      <w:r>
        <w:t>name-function-argument-li</w:t>
      </w:r>
      <w:r>
        <w:t>st=</w:t>
      </w:r>
    </w:p>
    <w:p w:rsidR="00024C0A" w:rsidRDefault="00694C0F">
      <w:pPr>
        <w:pStyle w:val="Code"/>
      </w:pPr>
      <w:r>
        <w:t>[name-expression], { comma, name-function-argument-list } ;</w:t>
      </w:r>
    </w:p>
    <w:p w:rsidR="00024C0A" w:rsidRDefault="00694C0F">
      <w:pPr>
        <w:pStyle w:val="Heading5"/>
      </w:pPr>
      <w:bookmarkStart w:id="3997" w:name="section_8a1616b2936d416fa5dee155de223008"/>
      <w:bookmarkStart w:id="3998" w:name="_Toc12262059"/>
      <w:r>
        <w:t>External Name Formulas</w:t>
      </w:r>
      <w:bookmarkEnd w:id="3997"/>
      <w:bookmarkEnd w:id="3998"/>
      <w:r>
        <w:fldChar w:fldCharType="begin"/>
      </w:r>
      <w:r>
        <w:instrText xml:space="preserve"> XE "External Name Formulas" </w:instrText>
      </w:r>
      <w:r>
        <w:fldChar w:fldCharType="end"/>
      </w:r>
    </w:p>
    <w:p w:rsidR="00024C0A" w:rsidRDefault="00694C0F">
      <w:r>
        <w:t>External name formulas are restricted to cell references within the same external book.</w:t>
      </w:r>
    </w:p>
    <w:p w:rsidR="00024C0A" w:rsidRDefault="00694C0F">
      <w:pPr>
        <w:pStyle w:val="Code"/>
      </w:pPr>
      <w:r>
        <w:t>external-name-formula=</w:t>
      </w:r>
    </w:p>
    <w:p w:rsidR="00024C0A" w:rsidRDefault="00694C0F">
      <w:pPr>
        <w:pStyle w:val="Code"/>
      </w:pPr>
      <w:r>
        <w:t>["="], external-name-expres</w:t>
      </w:r>
      <w:r>
        <w:t xml:space="preserve">sion ; </w:t>
      </w:r>
    </w:p>
    <w:p w:rsidR="00024C0A" w:rsidRDefault="00694C0F">
      <w:pPr>
        <w:pStyle w:val="Code"/>
      </w:pPr>
      <w:r>
        <w:t>external-name-expression=</w:t>
      </w:r>
    </w:p>
    <w:p w:rsidR="00024C0A" w:rsidRDefault="00694C0F">
      <w:pPr>
        <w:pStyle w:val="Code"/>
      </w:pPr>
      <w:r>
        <w:t>same-book-prefix, A1-reference |</w:t>
      </w:r>
    </w:p>
    <w:p w:rsidR="00024C0A" w:rsidRDefault="00694C0F">
      <w:pPr>
        <w:pStyle w:val="Code"/>
      </w:pPr>
      <w:r>
        <w:t>external-name-error-constant ;</w:t>
      </w:r>
    </w:p>
    <w:p w:rsidR="00024C0A" w:rsidRDefault="00694C0F">
      <w:pPr>
        <w:pStyle w:val="Code"/>
      </w:pPr>
      <w:r>
        <w:t>same-book-prefix= same-book-single-sheet, "!" |</w:t>
      </w:r>
    </w:p>
    <w:p w:rsidR="00024C0A" w:rsidRDefault="00694C0F">
      <w:pPr>
        <w:pStyle w:val="Code"/>
      </w:pPr>
      <w:r>
        <w:t xml:space="preserve">  same-book-sheet-range, "!" ; </w:t>
      </w:r>
    </w:p>
    <w:p w:rsidR="00024C0A" w:rsidRDefault="00694C0F">
      <w:pPr>
        <w:pStyle w:val="Code"/>
      </w:pPr>
      <w:r>
        <w:t>same-book-single-sheet= sheet-name |</w:t>
      </w:r>
    </w:p>
    <w:p w:rsidR="00024C0A" w:rsidRDefault="00694C0F">
      <w:pPr>
        <w:pStyle w:val="Code"/>
      </w:pPr>
      <w:r>
        <w:t xml:space="preserve">  apostrophe,  sheet-name-special,  apost</w:t>
      </w:r>
      <w:r>
        <w:t>rophe ;</w:t>
      </w:r>
    </w:p>
    <w:p w:rsidR="00024C0A" w:rsidRDefault="00694C0F">
      <w:pPr>
        <w:pStyle w:val="Code"/>
      </w:pPr>
      <w:r>
        <w:t>same-book-sheet-range= sheet-name, ":", sheet-name |</w:t>
      </w:r>
    </w:p>
    <w:p w:rsidR="00024C0A" w:rsidRDefault="00694C0F">
      <w:pPr>
        <w:pStyle w:val="Code"/>
      </w:pPr>
      <w:r>
        <w:t xml:space="preserve">apostrophe, sheet-name-special, ":", sheet-name-special,  apostrophe ; </w:t>
      </w:r>
    </w:p>
    <w:p w:rsidR="00024C0A" w:rsidRDefault="00024C0A">
      <w:pPr>
        <w:pStyle w:val="Code"/>
      </w:pPr>
    </w:p>
    <w:p w:rsidR="00024C0A" w:rsidRDefault="00694C0F">
      <w:pPr>
        <w:pStyle w:val="Code"/>
      </w:pPr>
      <w:r>
        <w:t>external-name-error-constant=</w:t>
      </w:r>
    </w:p>
    <w:p w:rsidR="00024C0A" w:rsidRDefault="00694C0F">
      <w:pPr>
        <w:pStyle w:val="Code"/>
      </w:pPr>
      <w:r>
        <w:t>"#REF!" ;</w:t>
      </w:r>
    </w:p>
    <w:p w:rsidR="00024C0A" w:rsidRDefault="00694C0F">
      <w:pPr>
        <w:pStyle w:val="Heading5"/>
      </w:pPr>
      <w:bookmarkStart w:id="3999" w:name="section_a7f5e690608d4293affbcbe334eb4b62"/>
      <w:bookmarkStart w:id="4000" w:name="_Toc12262060"/>
      <w:r>
        <w:t>Chart formulas</w:t>
      </w:r>
      <w:bookmarkEnd w:id="3999"/>
      <w:bookmarkEnd w:id="4000"/>
      <w:r>
        <w:fldChar w:fldCharType="begin"/>
      </w:r>
      <w:r>
        <w:instrText xml:space="preserve"> XE "Chart formulas" </w:instrText>
      </w:r>
      <w:r>
        <w:fldChar w:fldCharType="end"/>
      </w:r>
    </w:p>
    <w:p w:rsidR="00024C0A" w:rsidRDefault="00694C0F">
      <w:r>
        <w:t>Chart formulas define data ranges and values</w:t>
      </w:r>
      <w:r>
        <w:t xml:space="preserve"> used by charts, such as chart ranges, series ranges, series titles, and axis titles.</w:t>
      </w:r>
    </w:p>
    <w:p w:rsidR="00024C0A" w:rsidRDefault="00694C0F">
      <w:r>
        <w:t>A chart formula shall be either a 3-D reference or a constant.</w:t>
      </w:r>
    </w:p>
    <w:p w:rsidR="00024C0A" w:rsidRDefault="00694C0F">
      <w:pPr>
        <w:pStyle w:val="Code"/>
      </w:pPr>
      <w:r>
        <w:t>chart-formula=</w:t>
      </w:r>
    </w:p>
    <w:p w:rsidR="00024C0A" w:rsidRDefault="00694C0F">
      <w:pPr>
        <w:pStyle w:val="Code"/>
      </w:pPr>
      <w:r>
        <w:lastRenderedPageBreak/>
        <w:t>chart_ref |</w:t>
      </w:r>
    </w:p>
    <w:p w:rsidR="00024C0A" w:rsidRDefault="00694C0F">
      <w:pPr>
        <w:pStyle w:val="Code"/>
      </w:pPr>
      <w:r>
        <w:t>"(", chart-ref, ",", chart-ref, {",", chart-ref}, ")"</w:t>
      </w:r>
    </w:p>
    <w:p w:rsidR="00024C0A" w:rsidRDefault="00694C0F">
      <w:pPr>
        <w:pStyle w:val="Code"/>
      </w:pPr>
      <w:r>
        <w:t xml:space="preserve">chart_ref = </w:t>
      </w:r>
    </w:p>
    <w:p w:rsidR="00024C0A" w:rsidRDefault="00694C0F">
      <w:pPr>
        <w:pStyle w:val="Code"/>
      </w:pPr>
      <w:r>
        <w:t>external-cell-reference |</w:t>
      </w:r>
    </w:p>
    <w:p w:rsidR="00024C0A" w:rsidRDefault="00694C0F">
      <w:pPr>
        <w:pStyle w:val="Code"/>
      </w:pPr>
      <w:r>
        <w:t>external-name ;</w:t>
      </w:r>
    </w:p>
    <w:p w:rsidR="00024C0A" w:rsidRDefault="00694C0F">
      <w:pPr>
        <w:pStyle w:val="Heading5"/>
      </w:pPr>
      <w:bookmarkStart w:id="4001" w:name="section_85f4d41ff3d649c987c1d570f55b03cb"/>
      <w:bookmarkStart w:id="4002" w:name="_Toc12262061"/>
      <w:r>
        <w:t>R1C1 formulas</w:t>
      </w:r>
      <w:bookmarkEnd w:id="4001"/>
      <w:bookmarkEnd w:id="4002"/>
      <w:r>
        <w:fldChar w:fldCharType="begin"/>
      </w:r>
      <w:r>
        <w:instrText xml:space="preserve"> XE "R1C1 formulas" </w:instrText>
      </w:r>
      <w:r>
        <w:fldChar w:fldCharType="end"/>
      </w:r>
    </w:p>
    <w:p w:rsidR="00024C0A" w:rsidRDefault="00694C0F">
      <w:r>
        <w:t>In R1C1 formulas, R1C1-style references shall be used instead of A1-style references.</w:t>
      </w:r>
    </w:p>
    <w:p w:rsidR="00024C0A" w:rsidRDefault="00694C0F">
      <w:r>
        <w:t>An R1C1 formula has the following form:</w:t>
      </w:r>
    </w:p>
    <w:p w:rsidR="00024C0A" w:rsidRDefault="00694C0F">
      <w:pPr>
        <w:pStyle w:val="Code"/>
      </w:pPr>
      <w:r>
        <w:t>R1C1-formula=</w:t>
      </w:r>
    </w:p>
    <w:p w:rsidR="00024C0A" w:rsidRDefault="00694C0F">
      <w:pPr>
        <w:pStyle w:val="Code"/>
      </w:pPr>
      <w:r>
        <w:t>R1C1-expression ;</w:t>
      </w:r>
    </w:p>
    <w:p w:rsidR="00024C0A" w:rsidRDefault="00694C0F">
      <w:pPr>
        <w:pStyle w:val="Code"/>
      </w:pPr>
      <w:r>
        <w:t>R1C1-expression=</w:t>
      </w:r>
    </w:p>
    <w:p w:rsidR="00024C0A" w:rsidRDefault="00694C0F">
      <w:pPr>
        <w:pStyle w:val="Code"/>
      </w:pPr>
      <w:r>
        <w:t>{sp</w:t>
      </w:r>
      <w:r>
        <w:t>ace}, nospace-R1C1-expression, {space};</w:t>
      </w:r>
    </w:p>
    <w:p w:rsidR="00024C0A" w:rsidRDefault="00694C0F">
      <w:pPr>
        <w:pStyle w:val="Code"/>
      </w:pPr>
      <w:r>
        <w:t>nospace-R1C1-expression=</w:t>
      </w:r>
    </w:p>
    <w:p w:rsidR="00024C0A" w:rsidRDefault="00694C0F">
      <w:pPr>
        <w:pStyle w:val="Code"/>
      </w:pPr>
      <w:r>
        <w:t xml:space="preserve">"(", R1C1-expression,  ")"  | </w:t>
      </w:r>
    </w:p>
    <w:p w:rsidR="00024C0A" w:rsidRDefault="00694C0F">
      <w:pPr>
        <w:pStyle w:val="Code"/>
      </w:pPr>
      <w:r>
        <w:t xml:space="preserve">constant  | </w:t>
      </w:r>
    </w:p>
    <w:p w:rsidR="00024C0A" w:rsidRDefault="00694C0F">
      <w:pPr>
        <w:pStyle w:val="Code"/>
      </w:pPr>
      <w:r>
        <w:t xml:space="preserve">prefix-operator, R1C1-expression  | </w:t>
      </w:r>
    </w:p>
    <w:p w:rsidR="00024C0A" w:rsidRDefault="00694C0F">
      <w:pPr>
        <w:pStyle w:val="Code"/>
      </w:pPr>
      <w:r>
        <w:t xml:space="preserve">R1C1-expression,  infix-operator, R1C1-expression  | </w:t>
      </w:r>
    </w:p>
    <w:p w:rsidR="00024C0A" w:rsidRDefault="00694C0F">
      <w:pPr>
        <w:pStyle w:val="Code"/>
      </w:pPr>
      <w:r>
        <w:t xml:space="preserve">R1C1-expression,  postfix-operator  | </w:t>
      </w:r>
    </w:p>
    <w:p w:rsidR="00024C0A" w:rsidRDefault="00694C0F">
      <w:pPr>
        <w:pStyle w:val="Code"/>
      </w:pPr>
      <w:r>
        <w:t>R1C1-cell-referen</w:t>
      </w:r>
      <w:r>
        <w:t>ce  |</w:t>
      </w:r>
    </w:p>
    <w:p w:rsidR="00024C0A" w:rsidRDefault="00694C0F">
      <w:pPr>
        <w:pStyle w:val="Code"/>
      </w:pPr>
      <w:r>
        <w:t xml:space="preserve">R1C1-function-call  | </w:t>
      </w:r>
    </w:p>
    <w:p w:rsidR="00024C0A" w:rsidRDefault="00694C0F">
      <w:pPr>
        <w:pStyle w:val="Code"/>
      </w:pPr>
      <w:r>
        <w:t>name-reference  |</w:t>
      </w:r>
    </w:p>
    <w:p w:rsidR="00024C0A" w:rsidRDefault="00694C0F">
      <w:pPr>
        <w:pStyle w:val="Code"/>
      </w:pPr>
      <w:r>
        <w:t>structure-reference ;</w:t>
      </w:r>
    </w:p>
    <w:p w:rsidR="00024C0A" w:rsidRDefault="00694C0F">
      <w:pPr>
        <w:pStyle w:val="Code"/>
      </w:pPr>
      <w:r>
        <w:t>R1C1-function-call=</w:t>
      </w:r>
    </w:p>
    <w:p w:rsidR="00024C0A" w:rsidRDefault="00694C0F">
      <w:pPr>
        <w:pStyle w:val="Code"/>
      </w:pPr>
      <w:r>
        <w:t xml:space="preserve">  function-name,  "(",  R1C1-argument-list,  ")" ;</w:t>
      </w:r>
    </w:p>
    <w:p w:rsidR="00024C0A" w:rsidRDefault="00694C0F">
      <w:pPr>
        <w:pStyle w:val="Code"/>
      </w:pPr>
      <w:r>
        <w:t>R1C1-argument-list=</w:t>
      </w:r>
    </w:p>
    <w:p w:rsidR="00024C0A" w:rsidRDefault="00694C0F">
      <w:pPr>
        <w:pStyle w:val="Code"/>
      </w:pPr>
      <w:r>
        <w:t>R1C1-argument,  {  comma,  R1C1-argument  } ;</w:t>
      </w:r>
    </w:p>
    <w:p w:rsidR="00024C0A" w:rsidRDefault="00694C0F">
      <w:pPr>
        <w:pStyle w:val="Code"/>
      </w:pPr>
      <w:r>
        <w:t>R1C1-argument=</w:t>
      </w:r>
    </w:p>
    <w:p w:rsidR="00024C0A" w:rsidRDefault="00694C0F">
      <w:pPr>
        <w:pStyle w:val="Code"/>
      </w:pPr>
      <w:r>
        <w:t>[R1C1-expression] ;</w:t>
      </w:r>
    </w:p>
    <w:p w:rsidR="00024C0A" w:rsidRDefault="00694C0F">
      <w:pPr>
        <w:pStyle w:val="Code"/>
      </w:pPr>
      <w:r>
        <w:t>R1C1-cell-reference=</w:t>
      </w:r>
    </w:p>
    <w:p w:rsidR="00024C0A" w:rsidRDefault="00694C0F">
      <w:pPr>
        <w:pStyle w:val="Code"/>
      </w:pPr>
      <w:r>
        <w:t>[sheets-prefix]  R1C1-reference ;</w:t>
      </w:r>
    </w:p>
    <w:p w:rsidR="00024C0A" w:rsidRDefault="00024C0A">
      <w:pPr>
        <w:pStyle w:val="Code"/>
      </w:pPr>
    </w:p>
    <w:p w:rsidR="00024C0A" w:rsidRDefault="00694C0F">
      <w:pPr>
        <w:pStyle w:val="Heading5"/>
      </w:pPr>
      <w:bookmarkStart w:id="4003" w:name="section_b23ed080d4e143a58259332e1bf85d08"/>
      <w:bookmarkStart w:id="4004" w:name="_Toc12262062"/>
      <w:r>
        <w:t>Pivot Formulas</w:t>
      </w:r>
      <w:bookmarkEnd w:id="4003"/>
      <w:bookmarkEnd w:id="4004"/>
      <w:r>
        <w:fldChar w:fldCharType="begin"/>
      </w:r>
      <w:r>
        <w:instrText xml:space="preserve"> XE "Pivot Formulas" </w:instrText>
      </w:r>
      <w:r>
        <w:fldChar w:fldCharType="end"/>
      </w:r>
    </w:p>
    <w:p w:rsidR="00024C0A" w:rsidRDefault="00694C0F">
      <w:r>
        <w:t>Pivot formulas are used to define calculated items or calculated fields for PivotTables.</w:t>
      </w:r>
    </w:p>
    <w:p w:rsidR="00024C0A" w:rsidRDefault="00694C0F">
      <w:r>
        <w:t xml:space="preserve">Pivot formulas shall not use user-defined names. </w:t>
      </w:r>
    </w:p>
    <w:p w:rsidR="00024C0A" w:rsidRDefault="00694C0F">
      <w:r>
        <w:t>A pivot formula shall n</w:t>
      </w:r>
      <w:r>
        <w:t>ot use array constants.</w:t>
      </w:r>
    </w:p>
    <w:p w:rsidR="00024C0A" w:rsidRDefault="00694C0F">
      <w:r>
        <w:t>A pivot formula shall not use cell references.</w:t>
      </w:r>
    </w:p>
    <w:p w:rsidR="00024C0A" w:rsidRDefault="00694C0F">
      <w:r>
        <w:t>A pivot formula shall not use structure references.</w:t>
      </w:r>
    </w:p>
    <w:p w:rsidR="00024C0A" w:rsidRDefault="00694C0F">
      <w:r>
        <w:t xml:space="preserve">A pivot formula shall not use calls to the following worksheet functions: GETPIVOTDATA, DCOUNT, DCOUNTA, DSUM, DAVERAGE, DMIN, DMAX, </w:t>
      </w:r>
      <w:r>
        <w:t xml:space="preserve">DPRODUCT, DSTDEV, DSTDEVP, DVAR, DVARP, INDEX, RAND, NOW, AREAS, ROWS, COLUMNS, OFFSET, CELL, INDIRECT, TODAY, INFO, and RANDBETWEEN. </w:t>
      </w:r>
    </w:p>
    <w:p w:rsidR="00024C0A" w:rsidRDefault="00694C0F">
      <w:r>
        <w:t>A pivot formula shall not use calls to user-defined functions.</w:t>
      </w:r>
    </w:p>
    <w:p w:rsidR="00024C0A" w:rsidRDefault="00694C0F">
      <w:pPr>
        <w:pStyle w:val="Heading6"/>
      </w:pPr>
      <w:bookmarkStart w:id="4005" w:name="section_4ab53f1cccd94ab282254a85dca99917"/>
      <w:bookmarkStart w:id="4006" w:name="_Toc12262063"/>
      <w:r>
        <w:t>Calculated Field Formulas</w:t>
      </w:r>
      <w:bookmarkEnd w:id="4005"/>
      <w:bookmarkEnd w:id="4006"/>
      <w:r>
        <w:fldChar w:fldCharType="begin"/>
      </w:r>
      <w:r>
        <w:instrText xml:space="preserve"> XE "Calculated Field Formulas" </w:instrText>
      </w:r>
      <w:r>
        <w:fldChar w:fldCharType="end"/>
      </w:r>
    </w:p>
    <w:p w:rsidR="00024C0A" w:rsidRDefault="00694C0F">
      <w:r>
        <w:t xml:space="preserve">A calculated field formula defines calculations using the contents of fields in a PivotTable. </w:t>
      </w:r>
    </w:p>
    <w:p w:rsidR="00024C0A" w:rsidRDefault="00694C0F">
      <w:r>
        <w:t>The only names a calculated field formula shall use are names of fields defined within the PivotTable the formula is used for.</w:t>
      </w:r>
    </w:p>
    <w:p w:rsidR="00024C0A" w:rsidRDefault="00694C0F">
      <w:r>
        <w:lastRenderedPageBreak/>
        <w:t>A calculated field formula has t</w:t>
      </w:r>
      <w:r>
        <w:t xml:space="preserve">he following form: </w:t>
      </w:r>
    </w:p>
    <w:p w:rsidR="00024C0A" w:rsidRDefault="00694C0F">
      <w:pPr>
        <w:pStyle w:val="Code"/>
      </w:pPr>
      <w:r>
        <w:t>pivot-field-formula=</w:t>
      </w:r>
    </w:p>
    <w:p w:rsidR="00024C0A" w:rsidRDefault="00694C0F">
      <w:pPr>
        <w:pStyle w:val="Code"/>
      </w:pPr>
      <w:r>
        <w:t>pivot-field-expression ;</w:t>
      </w:r>
    </w:p>
    <w:p w:rsidR="00024C0A" w:rsidRDefault="00694C0F">
      <w:pPr>
        <w:pStyle w:val="Code"/>
      </w:pPr>
      <w:r>
        <w:t xml:space="preserve">pivot-field-expression= </w:t>
      </w:r>
    </w:p>
    <w:p w:rsidR="00024C0A" w:rsidRDefault="00694C0F">
      <w:pPr>
        <w:pStyle w:val="Code"/>
      </w:pPr>
      <w:r>
        <w:t>{space}, pivot-nospace-field-expression, {space} ;</w:t>
      </w:r>
    </w:p>
    <w:p w:rsidR="00024C0A" w:rsidRDefault="00694C0F">
      <w:pPr>
        <w:pStyle w:val="Code"/>
      </w:pPr>
      <w:r>
        <w:t>pivot-nospace-field-expression=</w:t>
      </w:r>
    </w:p>
    <w:p w:rsidR="00024C0A" w:rsidRDefault="00694C0F">
      <w:pPr>
        <w:pStyle w:val="Code"/>
      </w:pPr>
      <w:r>
        <w:t xml:space="preserve">"(", pivot-field-expression, ")" | </w:t>
      </w:r>
    </w:p>
    <w:p w:rsidR="00024C0A" w:rsidRDefault="00694C0F">
      <w:pPr>
        <w:pStyle w:val="Code"/>
      </w:pPr>
      <w:r>
        <w:t xml:space="preserve">pivot-constant | </w:t>
      </w:r>
    </w:p>
    <w:p w:rsidR="00024C0A" w:rsidRDefault="00694C0F">
      <w:pPr>
        <w:pStyle w:val="Code"/>
      </w:pPr>
      <w:r>
        <w:t xml:space="preserve">prefix-operator, pivot-field-expression | </w:t>
      </w:r>
    </w:p>
    <w:p w:rsidR="00024C0A" w:rsidRDefault="00694C0F">
      <w:pPr>
        <w:pStyle w:val="Code"/>
      </w:pPr>
      <w:r>
        <w:t xml:space="preserve">pivot-field-expression, pivot-infix-operator, pivot-field-expression | </w:t>
      </w:r>
    </w:p>
    <w:p w:rsidR="00024C0A" w:rsidRDefault="00694C0F">
      <w:pPr>
        <w:pStyle w:val="Code"/>
      </w:pPr>
      <w:r>
        <w:t xml:space="preserve">pivot-field-expression, postfix-operator | </w:t>
      </w:r>
    </w:p>
    <w:p w:rsidR="00024C0A" w:rsidRDefault="00694C0F">
      <w:pPr>
        <w:pStyle w:val="Code"/>
      </w:pPr>
      <w:r>
        <w:t xml:space="preserve">pivot-field-function-call | </w:t>
      </w:r>
    </w:p>
    <w:p w:rsidR="00024C0A" w:rsidRDefault="00694C0F">
      <w:pPr>
        <w:pStyle w:val="Code"/>
      </w:pPr>
      <w:r>
        <w:t>pivot-field-name ;</w:t>
      </w:r>
    </w:p>
    <w:p w:rsidR="00024C0A" w:rsidRDefault="00694C0F">
      <w:pPr>
        <w:pStyle w:val="Code"/>
      </w:pPr>
      <w:r>
        <w:t>pivot-constant=</w:t>
      </w:r>
    </w:p>
    <w:p w:rsidR="00024C0A" w:rsidRDefault="00694C0F">
      <w:pPr>
        <w:pStyle w:val="Code"/>
      </w:pPr>
      <w:r>
        <w:t>constant – array-constant ;</w:t>
      </w:r>
    </w:p>
    <w:p w:rsidR="00024C0A" w:rsidRDefault="00694C0F">
      <w:pPr>
        <w:pStyle w:val="Code"/>
      </w:pPr>
      <w:r>
        <w:t>pivot-infix-operator=</w:t>
      </w:r>
    </w:p>
    <w:p w:rsidR="00024C0A" w:rsidRDefault="00694C0F">
      <w:pPr>
        <w:pStyle w:val="Code"/>
      </w:pPr>
      <w:r>
        <w:t xml:space="preserve">"^" | "*" | "/" | "+" | "-" | "&amp;"| </w:t>
      </w:r>
    </w:p>
    <w:p w:rsidR="00024C0A" w:rsidRDefault="00694C0F">
      <w:pPr>
        <w:pStyle w:val="Code"/>
      </w:pPr>
      <w:r>
        <w:t>"=" | "&lt;&gt;" | "&lt;" | "&lt;=" | "&gt;" | "&gt;=" ;</w:t>
      </w:r>
    </w:p>
    <w:p w:rsidR="00024C0A" w:rsidRDefault="00694C0F">
      <w:pPr>
        <w:pStyle w:val="Code"/>
      </w:pPr>
      <w:r>
        <w:t>pivot-field-function-call=</w:t>
      </w:r>
    </w:p>
    <w:p w:rsidR="00024C0A" w:rsidRDefault="00694C0F">
      <w:pPr>
        <w:pStyle w:val="Code"/>
      </w:pPr>
      <w:r>
        <w:t>pivot-function-name, "(", pivot-field-function-argument-list, ")" ;</w:t>
      </w:r>
    </w:p>
    <w:p w:rsidR="00024C0A" w:rsidRDefault="00694C0F">
      <w:pPr>
        <w:pStyle w:val="Code"/>
      </w:pPr>
      <w:r>
        <w:t>pivot-field-function-argument-list =</w:t>
      </w:r>
    </w:p>
    <w:p w:rsidR="00024C0A" w:rsidRDefault="00694C0F">
      <w:pPr>
        <w:pStyle w:val="Code"/>
      </w:pPr>
      <w:r>
        <w:t>[pivot-field-expression], {</w:t>
      </w:r>
      <w:r>
        <w:t xml:space="preserve"> comma, pivot-field-function-argument-list} ;</w:t>
      </w:r>
    </w:p>
    <w:p w:rsidR="00024C0A" w:rsidRDefault="00694C0F">
      <w:pPr>
        <w:pStyle w:val="Code"/>
      </w:pPr>
      <w:r>
        <w:t xml:space="preserve">pivot-function-name= </w:t>
      </w:r>
    </w:p>
    <w:p w:rsidR="00024C0A" w:rsidRDefault="00694C0F">
      <w:pPr>
        <w:pStyle w:val="Code"/>
      </w:pPr>
      <w:r>
        <w:t>predefined-function-name - pivot-function-invalid-name;</w:t>
      </w:r>
    </w:p>
    <w:p w:rsidR="00024C0A" w:rsidRDefault="00694C0F">
      <w:pPr>
        <w:pStyle w:val="Code"/>
      </w:pPr>
      <w:r>
        <w:t>pivot-function-invalid-name=</w:t>
      </w:r>
    </w:p>
    <w:p w:rsidR="00024C0A" w:rsidRDefault="00694C0F">
      <w:pPr>
        <w:pStyle w:val="Code"/>
      </w:pPr>
      <w:r>
        <w:t xml:space="preserve">"GETPIVOTDATA" | "DCOUNT" | "DCOUNTA" | "DSUM" | "DAVERAGE" | </w:t>
      </w:r>
    </w:p>
    <w:p w:rsidR="00024C0A" w:rsidRDefault="00694C0F">
      <w:pPr>
        <w:pStyle w:val="Code"/>
      </w:pPr>
      <w:r>
        <w:t>"DMIN" | "MAX" | "DPRODUCT" | "DSTDEV" |</w:t>
      </w:r>
      <w:r>
        <w:t xml:space="preserve"> "DSTDEVP" | "DVAR" | </w:t>
      </w:r>
    </w:p>
    <w:p w:rsidR="00024C0A" w:rsidRDefault="00694C0F">
      <w:pPr>
        <w:pStyle w:val="Code"/>
      </w:pPr>
      <w:r>
        <w:t xml:space="preserve">"DVARP" | "INDEX" | "RAND" | "NOW" | "AREAS" | "ROWS" | "COLUMNS" | </w:t>
      </w:r>
    </w:p>
    <w:p w:rsidR="00024C0A" w:rsidRDefault="00694C0F">
      <w:pPr>
        <w:pStyle w:val="Code"/>
      </w:pPr>
      <w:r>
        <w:t>"OFFSET" | "CELL" | "INDIRECT" | "TODAY" | "INFO" | "RANDBETWEEN" ;</w:t>
      </w:r>
    </w:p>
    <w:p w:rsidR="00024C0A" w:rsidRDefault="00694C0F">
      <w:pPr>
        <w:pStyle w:val="Code"/>
      </w:pPr>
      <w:r>
        <w:t>pivot-field-name=</w:t>
      </w:r>
    </w:p>
    <w:p w:rsidR="00024C0A" w:rsidRDefault="00694C0F">
      <w:pPr>
        <w:pStyle w:val="Code"/>
      </w:pPr>
      <w:r>
        <w:t>name – pivot-invalid-name |</w:t>
      </w:r>
    </w:p>
    <w:p w:rsidR="00024C0A" w:rsidRDefault="00694C0F">
      <w:pPr>
        <w:pStyle w:val="Code"/>
      </w:pPr>
      <w:r>
        <w:t xml:space="preserve">"’" [pivot-field-string-chars] "’" ; </w:t>
      </w:r>
    </w:p>
    <w:p w:rsidR="00024C0A" w:rsidRDefault="00694C0F">
      <w:pPr>
        <w:pStyle w:val="Code"/>
      </w:pPr>
      <w:r>
        <w:t>pivot-invali</w:t>
      </w:r>
      <w:r>
        <w:t>d-name=</w:t>
      </w:r>
    </w:p>
    <w:p w:rsidR="00024C0A" w:rsidRDefault="00694C0F">
      <w:pPr>
        <w:pStyle w:val="Code"/>
      </w:pPr>
      <w:r>
        <w:t>"All" | "Blank" ;</w:t>
      </w:r>
    </w:p>
    <w:p w:rsidR="00024C0A" w:rsidRDefault="00694C0F">
      <w:pPr>
        <w:pStyle w:val="Code"/>
      </w:pPr>
      <w:r>
        <w:t>pivot-field-string-chars=</w:t>
      </w:r>
    </w:p>
    <w:p w:rsidR="00024C0A" w:rsidRDefault="00694C0F">
      <w:pPr>
        <w:pStyle w:val="Code"/>
      </w:pPr>
      <w:r>
        <w:t>pivot-field-string-char, { pivot-field-string-chars} ;</w:t>
      </w:r>
    </w:p>
    <w:p w:rsidR="00024C0A" w:rsidRDefault="00694C0F">
      <w:pPr>
        <w:pStyle w:val="Code"/>
      </w:pPr>
      <w:r>
        <w:t>pivot-field-string-char=</w:t>
      </w:r>
    </w:p>
    <w:p w:rsidR="00024C0A" w:rsidRDefault="00694C0F">
      <w:pPr>
        <w:pStyle w:val="Code"/>
      </w:pPr>
      <w:r>
        <w:t>"’’" |</w:t>
      </w:r>
    </w:p>
    <w:p w:rsidR="00024C0A" w:rsidRDefault="00694C0F">
      <w:pPr>
        <w:pStyle w:val="Code"/>
      </w:pPr>
      <w:r>
        <w:t xml:space="preserve">character - "’" ; </w:t>
      </w:r>
    </w:p>
    <w:p w:rsidR="00024C0A" w:rsidRDefault="00694C0F">
      <w:pPr>
        <w:pStyle w:val="Heading6"/>
      </w:pPr>
      <w:bookmarkStart w:id="4007" w:name="section_4f7eca6a309a4694aad918b5e4e30124"/>
      <w:bookmarkStart w:id="4008" w:name="_Toc12262064"/>
      <w:r>
        <w:t>Calculated Item Formulas</w:t>
      </w:r>
      <w:bookmarkEnd w:id="4007"/>
      <w:bookmarkEnd w:id="4008"/>
      <w:r>
        <w:fldChar w:fldCharType="begin"/>
      </w:r>
      <w:r>
        <w:instrText xml:space="preserve"> XE "Calculated Item Formulas" </w:instrText>
      </w:r>
      <w:r>
        <w:fldChar w:fldCharType="end"/>
      </w:r>
    </w:p>
    <w:p w:rsidR="00024C0A" w:rsidRDefault="00694C0F">
      <w:r>
        <w:t xml:space="preserve">A calculated item formula defines </w:t>
      </w:r>
      <w:r>
        <w:t>calculations using the contents of items in a PivotTable.</w:t>
      </w:r>
    </w:p>
    <w:p w:rsidR="00024C0A" w:rsidRDefault="00694C0F">
      <w:r>
        <w:t>The only names calculated item formula shall use are names of fields and items defined within the PivotTable the formula is used for.</w:t>
      </w:r>
    </w:p>
    <w:p w:rsidR="00024C0A" w:rsidRDefault="00694C0F">
      <w:r>
        <w:t>A calculated item formula has the following form:</w:t>
      </w:r>
    </w:p>
    <w:p w:rsidR="00024C0A" w:rsidRDefault="00694C0F">
      <w:pPr>
        <w:pStyle w:val="Code"/>
      </w:pPr>
      <w:r>
        <w:t>pivot-item-for</w:t>
      </w:r>
      <w:r>
        <w:t>mula=</w:t>
      </w:r>
    </w:p>
    <w:p w:rsidR="00024C0A" w:rsidRDefault="00694C0F">
      <w:pPr>
        <w:pStyle w:val="Code"/>
      </w:pPr>
      <w:r>
        <w:t>pivot-item-expression ;</w:t>
      </w:r>
    </w:p>
    <w:p w:rsidR="00024C0A" w:rsidRDefault="00694C0F">
      <w:pPr>
        <w:pStyle w:val="Code"/>
      </w:pPr>
      <w:r>
        <w:t>pivot-item-expression= {space}, pivot-nospace-item-expression, {space} ;</w:t>
      </w:r>
    </w:p>
    <w:p w:rsidR="00024C0A" w:rsidRDefault="00694C0F">
      <w:pPr>
        <w:pStyle w:val="Code"/>
      </w:pPr>
      <w:r>
        <w:t>pivot-nospace-item-expression=</w:t>
      </w:r>
    </w:p>
    <w:p w:rsidR="00024C0A" w:rsidRDefault="00694C0F">
      <w:pPr>
        <w:pStyle w:val="Code"/>
      </w:pPr>
      <w:r>
        <w:t xml:space="preserve">"(", pivot-item-expression, ")" | </w:t>
      </w:r>
    </w:p>
    <w:p w:rsidR="00024C0A" w:rsidRDefault="00694C0F">
      <w:pPr>
        <w:pStyle w:val="Code"/>
      </w:pPr>
      <w:r>
        <w:t xml:space="preserve">pivot-constant | </w:t>
      </w:r>
    </w:p>
    <w:p w:rsidR="00024C0A" w:rsidRDefault="00694C0F">
      <w:pPr>
        <w:pStyle w:val="Code"/>
      </w:pPr>
      <w:r>
        <w:t xml:space="preserve">prefix-operator, pivot-item-expression | </w:t>
      </w:r>
    </w:p>
    <w:p w:rsidR="00024C0A" w:rsidRDefault="00694C0F">
      <w:pPr>
        <w:pStyle w:val="Code"/>
      </w:pPr>
      <w:r>
        <w:t>pivot-item-expression, pivo</w:t>
      </w:r>
      <w:r>
        <w:t xml:space="preserve">t-infix-operator, pivot-item-expression | </w:t>
      </w:r>
    </w:p>
    <w:p w:rsidR="00024C0A" w:rsidRDefault="00694C0F">
      <w:pPr>
        <w:pStyle w:val="Code"/>
      </w:pPr>
      <w:r>
        <w:t xml:space="preserve">pivot-item-expression, postfix-operator | </w:t>
      </w:r>
    </w:p>
    <w:p w:rsidR="00024C0A" w:rsidRDefault="00694C0F">
      <w:pPr>
        <w:pStyle w:val="Code"/>
      </w:pPr>
      <w:r>
        <w:t xml:space="preserve">pivot-item-function-call | </w:t>
      </w:r>
    </w:p>
    <w:p w:rsidR="00024C0A" w:rsidRDefault="00694C0F">
      <w:pPr>
        <w:pStyle w:val="Code"/>
      </w:pPr>
      <w:r>
        <w:t>pivot-items ;</w:t>
      </w:r>
    </w:p>
    <w:p w:rsidR="00024C0A" w:rsidRDefault="00694C0F">
      <w:pPr>
        <w:pStyle w:val="Code"/>
      </w:pPr>
      <w:r>
        <w:t>pivot-item-function-call=</w:t>
      </w:r>
    </w:p>
    <w:p w:rsidR="00024C0A" w:rsidRDefault="00694C0F">
      <w:pPr>
        <w:pStyle w:val="Code"/>
      </w:pPr>
      <w:r>
        <w:t>pivot-function-name, "(", pivot-item-function-argument-list, ")" ;</w:t>
      </w:r>
    </w:p>
    <w:p w:rsidR="00024C0A" w:rsidRDefault="00694C0F">
      <w:pPr>
        <w:pStyle w:val="Code"/>
      </w:pPr>
      <w:r>
        <w:t>pivot-item-function-argument-list=</w:t>
      </w:r>
    </w:p>
    <w:p w:rsidR="00024C0A" w:rsidRDefault="00694C0F">
      <w:pPr>
        <w:pStyle w:val="Code"/>
      </w:pPr>
      <w:r>
        <w:t>[pivot-item-expression], { comma, pivot-item-function-argument-list} ;</w:t>
      </w:r>
    </w:p>
    <w:p w:rsidR="00024C0A" w:rsidRDefault="00694C0F">
      <w:pPr>
        <w:pStyle w:val="Code"/>
      </w:pPr>
      <w:r>
        <w:t>pivot-items=</w:t>
      </w:r>
    </w:p>
    <w:p w:rsidR="00024C0A" w:rsidRDefault="00694C0F">
      <w:pPr>
        <w:pStyle w:val="Code"/>
      </w:pPr>
      <w:r>
        <w:lastRenderedPageBreak/>
        <w:t>pivot_item, [ space, {space}, pivot-items] ;</w:t>
      </w:r>
    </w:p>
    <w:p w:rsidR="00024C0A" w:rsidRDefault="00694C0F">
      <w:pPr>
        <w:pStyle w:val="Code"/>
      </w:pPr>
      <w:r>
        <w:t>pivot-item=</w:t>
      </w:r>
    </w:p>
    <w:p w:rsidR="00024C0A" w:rsidRDefault="00694C0F">
      <w:pPr>
        <w:pStyle w:val="Code"/>
      </w:pPr>
      <w:r>
        <w:t>pivot-item-name |</w:t>
      </w:r>
    </w:p>
    <w:p w:rsidR="00024C0A" w:rsidRDefault="00694C0F">
      <w:pPr>
        <w:pStyle w:val="Code"/>
      </w:pPr>
      <w:r>
        <w:t>pivot-field-name, "[", pivot-item-value, "]" ;</w:t>
      </w:r>
    </w:p>
    <w:p w:rsidR="00024C0A" w:rsidRDefault="00694C0F">
      <w:pPr>
        <w:pStyle w:val="Code"/>
      </w:pPr>
      <w:r>
        <w:t>pivot-item-name=</w:t>
      </w:r>
    </w:p>
    <w:p w:rsidR="00024C0A" w:rsidRDefault="00694C0F">
      <w:pPr>
        <w:pStyle w:val="Code"/>
      </w:pPr>
      <w:r>
        <w:t>pivot-field-name</w:t>
      </w:r>
    </w:p>
    <w:p w:rsidR="00024C0A" w:rsidRDefault="00694C0F">
      <w:pPr>
        <w:pStyle w:val="Code"/>
      </w:pPr>
      <w:r>
        <w:t>pivot-item-value</w:t>
      </w:r>
      <w:r>
        <w:t>=</w:t>
      </w:r>
    </w:p>
    <w:p w:rsidR="00024C0A" w:rsidRDefault="00694C0F">
      <w:pPr>
        <w:pStyle w:val="Code"/>
      </w:pPr>
      <w:r>
        <w:t xml:space="preserve">pivot-item-name | </w:t>
      </w:r>
    </w:p>
    <w:p w:rsidR="00024C0A" w:rsidRDefault="00694C0F">
      <w:pPr>
        <w:pStyle w:val="Code"/>
      </w:pPr>
      <w:r>
        <w:t>[sign], whole-number-part</w:t>
      </w:r>
    </w:p>
    <w:p w:rsidR="00024C0A" w:rsidRDefault="00694C0F">
      <w:r>
        <w:t xml:space="preserve">pivot-item refers to an item either by its name or by position. </w:t>
      </w:r>
    </w:p>
    <w:p w:rsidR="00024C0A" w:rsidRDefault="00694C0F">
      <w:r>
        <w:t>pivot-item-name refers to an item by its name.</w:t>
      </w:r>
    </w:p>
    <w:p w:rsidR="00024C0A" w:rsidRDefault="00694C0F">
      <w:r>
        <w:t xml:space="preserve">pivot-field-name [pivot-item-name] refers to an item by its field name and its own name. This </w:t>
      </w:r>
      <w:r>
        <w:t>notation shall be used to avoid #NAME? errors when two items in two different fields have the same name.</w:t>
      </w:r>
    </w:p>
    <w:p w:rsidR="00024C0A" w:rsidRDefault="00694C0F">
      <w:r>
        <w:t>pivot-field-name[whole-number-part] refers to an item by its position in the PivotTable as currently sorted and displayed. The item referred to in this</w:t>
      </w:r>
      <w:r>
        <w:t xml:space="preserve"> way can change whenever the positions of items change or different items are displayed or hidden. Hidden items are not counted in this index. </w:t>
      </w:r>
    </w:p>
    <w:p w:rsidR="00024C0A" w:rsidRDefault="00694C0F">
      <w:r>
        <w:t>pivot-field-name [sign whole-number-part] refers to an item using relative positions. The positions are determin</w:t>
      </w:r>
      <w:r>
        <w:t xml:space="preserve">ed relative to the calculated item that contains the formula. </w:t>
      </w:r>
    </w:p>
    <w:p w:rsidR="00024C0A" w:rsidRDefault="00694C0F">
      <w:pPr>
        <w:pStyle w:val="Heading5"/>
      </w:pPr>
      <w:bookmarkStart w:id="4009" w:name="section_9892ca2173c94655b488f146c6dd5a94"/>
      <w:bookmarkStart w:id="4010" w:name="_Toc12262065"/>
      <w:r>
        <w:t>OLE Link Formulas</w:t>
      </w:r>
      <w:bookmarkEnd w:id="4009"/>
      <w:bookmarkEnd w:id="4010"/>
      <w:r>
        <w:fldChar w:fldCharType="begin"/>
      </w:r>
      <w:r>
        <w:instrText xml:space="preserve"> XE "OLE Link Formulas" </w:instrText>
      </w:r>
      <w:r>
        <w:fldChar w:fldCharType="end"/>
      </w:r>
    </w:p>
    <w:p w:rsidR="00024C0A" w:rsidRDefault="00694C0F">
      <w:r>
        <w:t xml:space="preserve">An OLE Link formula is a </w:t>
      </w:r>
      <w:r>
        <w:rPr>
          <w:rStyle w:val="InlineCode"/>
        </w:rPr>
        <w:t>name-reference</w:t>
      </w:r>
      <w:r>
        <w:t xml:space="preserve"> to an </w:t>
      </w:r>
      <w:r>
        <w:rPr>
          <w:b/>
        </w:rPr>
        <w:t>oleItem</w:t>
      </w:r>
      <w:r>
        <w:t xml:space="preserve"> ("</w:t>
      </w:r>
      <w:hyperlink r:id="rId328">
        <w:r>
          <w:rPr>
            <w:rStyle w:val="Hyperlink"/>
          </w:rPr>
          <w:t>[ISO/IEC-29500-1]</w:t>
        </w:r>
      </w:hyperlink>
      <w:r>
        <w:t xml:space="preserve"> §18.14.9;</w:t>
      </w:r>
      <w:r>
        <w:t xml:space="preserve"> oleItem"). The </w:t>
      </w:r>
      <w:r>
        <w:rPr>
          <w:b/>
        </w:rPr>
        <w:t>name</w:t>
      </w:r>
      <w:r>
        <w:t xml:space="preserve"> attribute of the </w:t>
      </w:r>
      <w:r>
        <w:rPr>
          <w:b/>
        </w:rPr>
        <w:t>oleItem</w:t>
      </w:r>
      <w:r>
        <w:t xml:space="preserve"> element shall be "</w:t>
      </w:r>
      <w:r>
        <w:rPr>
          <w:i/>
        </w:rPr>
        <w:t>'</w:t>
      </w:r>
      <w:r>
        <w:t>" (apostrophe, 0x0027).</w:t>
      </w:r>
    </w:p>
    <w:p w:rsidR="00024C0A" w:rsidRDefault="00694C0F">
      <w:pPr>
        <w:pStyle w:val="Code"/>
      </w:pPr>
      <w:r>
        <w:t>book-prefix, apostrophe, apostrophe, apostrophe, apostrophe ;</w:t>
      </w:r>
    </w:p>
    <w:p w:rsidR="00024C0A" w:rsidRDefault="00694C0F">
      <w:r>
        <w:rPr>
          <w:rStyle w:val="InlineCode"/>
        </w:rPr>
        <w:t>book-prefix</w:t>
      </w:r>
      <w:r>
        <w:t xml:space="preserve"> refers to an </w:t>
      </w:r>
      <w:r>
        <w:rPr>
          <w:b/>
        </w:rPr>
        <w:t>externalLink</w:t>
      </w:r>
      <w:r>
        <w:t xml:space="preserve"> ("[ISO/IEC-29500-1] §18.14.8; externalLink") part containing the </w:t>
      </w:r>
      <w:r>
        <w:rPr>
          <w:b/>
        </w:rPr>
        <w:t>ol</w:t>
      </w:r>
      <w:r>
        <w:rPr>
          <w:b/>
        </w:rPr>
        <w:t>eItem</w:t>
      </w:r>
      <w:r>
        <w:t xml:space="preserve"> element.</w:t>
      </w:r>
    </w:p>
    <w:p w:rsidR="00024C0A" w:rsidRDefault="00694C0F">
      <w:pPr>
        <w:pStyle w:val="Heading2"/>
      </w:pPr>
      <w:bookmarkStart w:id="4011" w:name="section_e1dbdf0a99d84eb886db8675dfc45826"/>
      <w:bookmarkStart w:id="4012" w:name="_Toc12262066"/>
      <w:r>
        <w:t>PowerPoint</w:t>
      </w:r>
      <w:bookmarkEnd w:id="4011"/>
      <w:bookmarkEnd w:id="4012"/>
      <w:r>
        <w:fldChar w:fldCharType="begin"/>
      </w:r>
      <w:r>
        <w:instrText xml:space="preserve"> XE "PowerPoint (Additional Information)" </w:instrText>
      </w:r>
      <w:r>
        <w:fldChar w:fldCharType="end"/>
      </w:r>
    </w:p>
    <w:p w:rsidR="00024C0A" w:rsidRDefault="00694C0F">
      <w:r>
        <w:t xml:space="preserve">This section contains additional information used to more fully describe how PowerPoint implements Office Open XML File Formats </w:t>
      </w:r>
      <w:hyperlink r:id="rId329">
        <w:r>
          <w:rPr>
            <w:rStyle w:val="Hyperlink"/>
          </w:rPr>
          <w:t>[ISO/IEC29500:2012]</w:t>
        </w:r>
      </w:hyperlink>
      <w:r>
        <w:t>.</w:t>
      </w:r>
    </w:p>
    <w:p w:rsidR="00024C0A" w:rsidRDefault="00694C0F">
      <w:pPr>
        <w:pStyle w:val="Heading3"/>
      </w:pPr>
      <w:bookmarkStart w:id="4013" w:name="section_f38134c7bd874b8fb4d48fc5c2b1ec2a"/>
      <w:bookmarkStart w:id="4014" w:name="_Toc12262067"/>
      <w:r>
        <w:t>Additional Parts</w:t>
      </w:r>
      <w:bookmarkEnd w:id="4013"/>
      <w:bookmarkEnd w:id="4014"/>
      <w:r>
        <w:fldChar w:fldCharType="begin"/>
      </w:r>
      <w:r>
        <w:instrText xml:space="preserve"> XE "Additional Parts" </w:instrText>
      </w:r>
      <w:r>
        <w:fldChar w:fldCharType="end"/>
      </w:r>
    </w:p>
    <w:p w:rsidR="00024C0A" w:rsidRDefault="00694C0F">
      <w:r>
        <w:t>The subclauses subordinate to this one describe in detail each of the part types specific to PowerPoint in addition to those listed as part of Office Open XML File Formats ("</w:t>
      </w:r>
      <w:hyperlink r:id="rId330">
        <w:r>
          <w:rPr>
            <w:rStyle w:val="Hyperlink"/>
          </w:rPr>
          <w:t>[ISO/IEC-29500-1]</w:t>
        </w:r>
      </w:hyperlink>
      <w:r>
        <w:t xml:space="preserve"> §13").</w:t>
      </w:r>
    </w:p>
    <w:p w:rsidR="00024C0A" w:rsidRDefault="00694C0F">
      <w:pPr>
        <w:pStyle w:val="Heading4"/>
      </w:pPr>
      <w:bookmarkStart w:id="4015" w:name="section_40b7fcb52a8347efb0a42ac4d13aa6e1"/>
      <w:bookmarkStart w:id="4016" w:name="_Toc12262068"/>
      <w:r>
        <w:t>Legacy Diagram Text part</w:t>
      </w:r>
      <w:bookmarkEnd w:id="4015"/>
      <w:bookmarkEnd w:id="4016"/>
      <w:r>
        <w:fldChar w:fldCharType="begin"/>
      </w:r>
      <w:r>
        <w:instrText xml:space="preserve"> XE "Legacy Diagram Text part" </w:instrText>
      </w:r>
      <w:r>
        <w:fldChar w:fldCharType="end"/>
      </w:r>
    </w:p>
    <w:p w:rsidR="00024C0A" w:rsidRDefault="00694C0F">
      <w:r>
        <w:rPr>
          <w:b/>
          <w:i/>
        </w:rPr>
        <w:t>Content Type</w:t>
      </w:r>
    </w:p>
    <w:p w:rsidR="00024C0A" w:rsidRDefault="00694C0F">
      <w:r>
        <w:rPr>
          <w:i/>
        </w:rPr>
        <w:t>application/vnd.ms-office.legacyDiagramText</w:t>
      </w:r>
    </w:p>
    <w:p w:rsidR="00024C0A" w:rsidRDefault="00694C0F">
      <w:r>
        <w:rPr>
          <w:b/>
          <w:i/>
        </w:rPr>
        <w:t>Root Namespace</w:t>
      </w:r>
    </w:p>
    <w:p w:rsidR="00024C0A" w:rsidRDefault="00694C0F">
      <w:r>
        <w:rPr>
          <w:i/>
        </w:rPr>
        <w:t>not applicable</w:t>
      </w:r>
    </w:p>
    <w:p w:rsidR="00024C0A" w:rsidRDefault="00694C0F">
      <w:r>
        <w:rPr>
          <w:b/>
          <w:i/>
        </w:rPr>
        <w:t>Source Relationship</w:t>
      </w:r>
    </w:p>
    <w:p w:rsidR="00024C0A" w:rsidRDefault="00694C0F">
      <w:r>
        <w:rPr>
          <w:i/>
        </w:rPr>
        <w:lastRenderedPageBreak/>
        <w:t>http://schemas.microsoft.com/office/2006/relationships/legacyDiagramText</w:t>
      </w:r>
    </w:p>
    <w:p w:rsidR="00024C0A" w:rsidRDefault="00694C0F">
      <w:r>
        <w:t>An instance of this part type contains a portion of text within a legacy diagram. Each instance of this part type shall uniquely represent a portion of text within a single diagram co</w:t>
      </w:r>
      <w:r>
        <w:t>ntained within the presentation.</w:t>
      </w:r>
    </w:p>
    <w:p w:rsidR="00024C0A" w:rsidRDefault="00694C0F">
      <w:r>
        <w:t>A package shall contain one Legacy Diagram Text part for each portion of legacy diagram text within the presentation. If they exist, those parts shall each be the target of an explicit relationship from the corresponding VM</w:t>
      </w:r>
      <w:r>
        <w:t>L Drawing part ("</w:t>
      </w:r>
      <w:hyperlink r:id="rId331">
        <w:r>
          <w:rPr>
            <w:rStyle w:val="Hyperlink"/>
          </w:rPr>
          <w:t>[ISO/IEC-29500-4]</w:t>
        </w:r>
      </w:hyperlink>
      <w:r>
        <w:t xml:space="preserve"> §8.1; VML Drawing Part").</w:t>
      </w:r>
    </w:p>
    <w:p w:rsidR="00024C0A" w:rsidRDefault="00694C0F">
      <w:r>
        <w:t xml:space="preserve">The Legacy Diagram Text part is binary information that is defined in the PowerPoint 97-2003 Binary File Format (.ppt) Structure </w:t>
      </w:r>
      <w:r>
        <w:t>Specification (“</w:t>
      </w:r>
      <w:hyperlink r:id="rId332" w:anchor="Section_6be79dde33c14c1b8ccc4b2301c08662">
        <w:r>
          <w:rPr>
            <w:rStyle w:val="Hyperlink"/>
          </w:rPr>
          <w:t>[MS-PPT]</w:t>
        </w:r>
      </w:hyperlink>
      <w:r>
        <w:t xml:space="preserve"> Section 2.9.76; OfficeArtClientTextbox”).</w:t>
      </w:r>
    </w:p>
    <w:p w:rsidR="00024C0A" w:rsidRDefault="00694C0F">
      <w:r>
        <w:t>A Legacy Diagram Text part shall be located within the package containing the source relationship (expressed sy</w:t>
      </w:r>
      <w:r>
        <w:t xml:space="preserve">ntactically, the </w:t>
      </w:r>
      <w:r>
        <w:rPr>
          <w:b/>
        </w:rPr>
        <w:t>TargetMode</w:t>
      </w:r>
      <w:r>
        <w:t xml:space="preserve"> attribute of the </w:t>
      </w:r>
      <w:r>
        <w:rPr>
          <w:b/>
        </w:rPr>
        <w:t>Relationship</w:t>
      </w:r>
      <w:r>
        <w:t xml:space="preserve"> element shall be </w:t>
      </w:r>
      <w:r>
        <w:rPr>
          <w:i/>
        </w:rPr>
        <w:t>Internal</w:t>
      </w:r>
      <w:r>
        <w:t>).</w:t>
      </w:r>
    </w:p>
    <w:p w:rsidR="00024C0A" w:rsidRDefault="00694C0F">
      <w:r>
        <w:t xml:space="preserve">A Legacy Diagram Text part shall not have implicit or explicit relationships to any other part defined by Office Open XML File Formats </w:t>
      </w:r>
      <w:hyperlink r:id="rId333">
        <w:r>
          <w:rPr>
            <w:rStyle w:val="Hyperlink"/>
          </w:rPr>
          <w:t>[ISO/IEC29500:2012]</w:t>
        </w:r>
      </w:hyperlink>
      <w:r>
        <w:t>.</w:t>
      </w:r>
    </w:p>
    <w:p w:rsidR="00024C0A" w:rsidRDefault="00694C0F">
      <w:pPr>
        <w:pStyle w:val="Heading4"/>
      </w:pPr>
      <w:bookmarkStart w:id="4017" w:name="section_7add4897f6cd429f8e0504ad5a270def"/>
      <w:bookmarkStart w:id="4018" w:name="_Toc12262069"/>
      <w:r>
        <w:t>Legacy Diagram Text Info part</w:t>
      </w:r>
      <w:bookmarkEnd w:id="4017"/>
      <w:bookmarkEnd w:id="4018"/>
      <w:r>
        <w:fldChar w:fldCharType="begin"/>
      </w:r>
      <w:r>
        <w:instrText xml:space="preserve"> XE "Legacy Diagram Text Info part" </w:instrText>
      </w:r>
      <w:r>
        <w:fldChar w:fldCharType="end"/>
      </w:r>
    </w:p>
    <w:p w:rsidR="00024C0A" w:rsidRDefault="00694C0F">
      <w:r>
        <w:rPr>
          <w:b/>
          <w:i/>
        </w:rPr>
        <w:t>Content Type</w:t>
      </w:r>
    </w:p>
    <w:p w:rsidR="00024C0A" w:rsidRDefault="00694C0F">
      <w:r>
        <w:rPr>
          <w:i/>
        </w:rPr>
        <w:t>application/vnd.ms-office.legacyDocTextInfo</w:t>
      </w:r>
    </w:p>
    <w:p w:rsidR="00024C0A" w:rsidRDefault="00694C0F">
      <w:r>
        <w:rPr>
          <w:b/>
          <w:i/>
        </w:rPr>
        <w:t>Root Namespace</w:t>
      </w:r>
    </w:p>
    <w:p w:rsidR="00024C0A" w:rsidRDefault="00694C0F">
      <w:r>
        <w:rPr>
          <w:i/>
        </w:rPr>
        <w:t>not applicable</w:t>
      </w:r>
    </w:p>
    <w:p w:rsidR="00024C0A" w:rsidRDefault="00694C0F">
      <w:r>
        <w:rPr>
          <w:b/>
          <w:i/>
        </w:rPr>
        <w:t>Source Relationship</w:t>
      </w:r>
    </w:p>
    <w:p w:rsidR="00024C0A" w:rsidRDefault="00694C0F">
      <w:r>
        <w:rPr>
          <w:i/>
        </w:rPr>
        <w:t>http://schemas.microsoft.com/office/2006/relationships/legacyDocTextInfo</w:t>
      </w:r>
    </w:p>
    <w:p w:rsidR="00024C0A" w:rsidRDefault="00694C0F">
      <w:r>
        <w:t>An instance of this part type contains the text styling information for all legacy diagram text contained within the presentation.</w:t>
      </w:r>
    </w:p>
    <w:p w:rsidR="00024C0A" w:rsidRDefault="00694C0F">
      <w:r>
        <w:t>A package shall contain at most one Legacy Diagram T</w:t>
      </w:r>
      <w:r>
        <w:t>ext Info part, and that part shall be the target of an implicit relationship from the Presentation part ("</w:t>
      </w:r>
      <w:hyperlink r:id="rId334">
        <w:r>
          <w:rPr>
            <w:rStyle w:val="Hyperlink"/>
          </w:rPr>
          <w:t>[ISO/IEC-29500-1]</w:t>
        </w:r>
      </w:hyperlink>
      <w:r>
        <w:t xml:space="preserve"> §13.3.6").</w:t>
      </w:r>
    </w:p>
    <w:p w:rsidR="00024C0A" w:rsidRDefault="00694C0F">
      <w:r>
        <w:t>The Legacy Diagram Text Info part is binary information</w:t>
      </w:r>
      <w:r>
        <w:t xml:space="preserve"> that is defined in the PowerPoint 97-2003 Binary File Format (.ppt) Structure Specification (“</w:t>
      </w:r>
      <w:hyperlink r:id="rId335" w:anchor="Section_6be79dde33c14c1b8ccc4b2301c08662">
        <w:r>
          <w:rPr>
            <w:rStyle w:val="Hyperlink"/>
          </w:rPr>
          <w:t>[MS-PPT]</w:t>
        </w:r>
      </w:hyperlink>
      <w:r>
        <w:t xml:space="preserve"> Section 2.9.1; DocumentTextInfoContainer”).</w:t>
      </w:r>
    </w:p>
    <w:p w:rsidR="00024C0A" w:rsidRDefault="00694C0F">
      <w:r>
        <w:t>A Legacy Diagram Text part sha</w:t>
      </w:r>
      <w:r>
        <w:t xml:space="preserve">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024C0A" w:rsidRDefault="00694C0F">
      <w:r>
        <w:t>A Legacy Diagram Text part shall not have implicit or explicit relationships to any other</w:t>
      </w:r>
      <w:r>
        <w:t xml:space="preserve"> part defined by Office Open XML File Formats </w:t>
      </w:r>
      <w:hyperlink r:id="rId336">
        <w:r>
          <w:rPr>
            <w:rStyle w:val="Hyperlink"/>
          </w:rPr>
          <w:t>[ISO/IEC29500:2012]</w:t>
        </w:r>
      </w:hyperlink>
      <w:r>
        <w:t>.</w:t>
      </w:r>
    </w:p>
    <w:p w:rsidR="00024C0A" w:rsidRDefault="00694C0F">
      <w:pPr>
        <w:pStyle w:val="Heading4"/>
      </w:pPr>
      <w:bookmarkStart w:id="4019" w:name="section_adb4ca1d99144d6aaf38755990ac9427"/>
      <w:bookmarkStart w:id="4020" w:name="_Toc12262070"/>
      <w:r>
        <w:t>SmartTags part</w:t>
      </w:r>
      <w:bookmarkEnd w:id="4019"/>
      <w:bookmarkEnd w:id="4020"/>
      <w:r>
        <w:fldChar w:fldCharType="begin"/>
      </w:r>
      <w:r>
        <w:instrText xml:space="preserve"> XE "SmartTags part" </w:instrText>
      </w:r>
      <w:r>
        <w:fldChar w:fldCharType="end"/>
      </w:r>
    </w:p>
    <w:p w:rsidR="00024C0A" w:rsidRDefault="00694C0F">
      <w:r>
        <w:rPr>
          <w:b/>
          <w:i/>
        </w:rPr>
        <w:t>Content Type</w:t>
      </w:r>
    </w:p>
    <w:p w:rsidR="00024C0A" w:rsidRDefault="00694C0F">
      <w:r>
        <w:rPr>
          <w:i/>
        </w:rPr>
        <w:t>application/vnd.ms-powerpoint.smartTags</w:t>
      </w:r>
    </w:p>
    <w:p w:rsidR="00024C0A" w:rsidRDefault="00694C0F">
      <w:r>
        <w:rPr>
          <w:b/>
          <w:i/>
        </w:rPr>
        <w:t>Root Namespace</w:t>
      </w:r>
    </w:p>
    <w:p w:rsidR="00024C0A" w:rsidRDefault="00694C0F">
      <w:r>
        <w:rPr>
          <w:i/>
        </w:rPr>
        <w:t>not applicable</w:t>
      </w:r>
    </w:p>
    <w:p w:rsidR="00024C0A" w:rsidRDefault="00694C0F">
      <w:r>
        <w:rPr>
          <w:b/>
          <w:i/>
        </w:rPr>
        <w:t>Source Relationship</w:t>
      </w:r>
    </w:p>
    <w:p w:rsidR="00024C0A" w:rsidRDefault="00694C0F">
      <w:r>
        <w:rPr>
          <w:i/>
        </w:rPr>
        <w:lastRenderedPageBreak/>
        <w:t>http://schemas.microsoft.com/office/2006/relationships/smartTags</w:t>
      </w:r>
    </w:p>
    <w:p w:rsidR="00024C0A" w:rsidRDefault="00694C0F">
      <w:r>
        <w:t>An instance of this part type contains the smart data information for all smart tag-referring text contained within the presentation.</w:t>
      </w:r>
    </w:p>
    <w:p w:rsidR="00024C0A" w:rsidRDefault="00694C0F">
      <w:r>
        <w:t>A package shall contain at most one S</w:t>
      </w:r>
      <w:r>
        <w:t>martTag part, and that part shall be the target of an explicit relationship from the Presentation part ("</w:t>
      </w:r>
      <w:hyperlink r:id="rId337">
        <w:r>
          <w:rPr>
            <w:rStyle w:val="Hyperlink"/>
          </w:rPr>
          <w:t>[ISO/IEC-29500-1]</w:t>
        </w:r>
      </w:hyperlink>
      <w:r>
        <w:t xml:space="preserve"> §13.3.6").</w:t>
      </w:r>
    </w:p>
    <w:p w:rsidR="00024C0A" w:rsidRDefault="00694C0F">
      <w:r>
        <w:t>The SmartTags part is binary information that is defined</w:t>
      </w:r>
      <w:r>
        <w:t xml:space="preserve"> in the PowerPoint 97-2003 Binary File Format (.ppt) Structure Specification (“</w:t>
      </w:r>
      <w:hyperlink r:id="rId338" w:anchor="Section_6be79dde33c14c1b8ccc4b2301c08662">
        <w:r>
          <w:rPr>
            <w:rStyle w:val="Hyperlink"/>
          </w:rPr>
          <w:t>[MS-PPT]</w:t>
        </w:r>
      </w:hyperlink>
      <w:r>
        <w:t xml:space="preserve"> Section 2.11.28; SmartTagStore11Container”).</w:t>
      </w:r>
    </w:p>
    <w:p w:rsidR="00024C0A" w:rsidRDefault="00694C0F">
      <w:r>
        <w:t xml:space="preserve">A SmartTags part shall be located within the </w:t>
      </w:r>
      <w:r>
        <w:t xml:space="preserve">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024C0A" w:rsidRDefault="00694C0F">
      <w:r>
        <w:t>A SmartTags part shall not have implicit or explicit relationships to any other part defined by Office Open XML Fi</w:t>
      </w:r>
      <w:r>
        <w:t xml:space="preserve">le Formats </w:t>
      </w:r>
      <w:hyperlink r:id="rId339">
        <w:r>
          <w:rPr>
            <w:rStyle w:val="Hyperlink"/>
          </w:rPr>
          <w:t>[ISO/IEC29500:2012]</w:t>
        </w:r>
      </w:hyperlink>
      <w:r>
        <w:t>.</w:t>
      </w:r>
    </w:p>
    <w:p w:rsidR="00024C0A" w:rsidRDefault="00694C0F">
      <w:pPr>
        <w:pStyle w:val="Heading2"/>
      </w:pPr>
      <w:bookmarkStart w:id="4021" w:name="section_e06f6ba680494bd3ae632fa63cd0536c"/>
      <w:bookmarkStart w:id="4022" w:name="_Toc12262071"/>
      <w:r>
        <w:t>Shared</w:t>
      </w:r>
      <w:bookmarkEnd w:id="4021"/>
      <w:bookmarkEnd w:id="4022"/>
      <w:r>
        <w:fldChar w:fldCharType="begin"/>
      </w:r>
      <w:r>
        <w:instrText xml:space="preserve"> XE "Shared (Additional Information)" </w:instrText>
      </w:r>
      <w:r>
        <w:fldChar w:fldCharType="end"/>
      </w:r>
    </w:p>
    <w:p w:rsidR="00024C0A" w:rsidRDefault="00694C0F">
      <w:r>
        <w:t xml:space="preserve">This section contains additional information used to more fully describe how Office implements Office Open XML </w:t>
      </w:r>
      <w:r>
        <w:t xml:space="preserve">File Formats </w:t>
      </w:r>
      <w:hyperlink r:id="rId340">
        <w:r>
          <w:rPr>
            <w:rStyle w:val="Hyperlink"/>
          </w:rPr>
          <w:t>[ISO/IEC29500:2012]</w:t>
        </w:r>
      </w:hyperlink>
      <w:r>
        <w:t>.</w:t>
      </w:r>
    </w:p>
    <w:p w:rsidR="00024C0A" w:rsidRDefault="00694C0F">
      <w:pPr>
        <w:pStyle w:val="Heading3"/>
      </w:pPr>
      <w:bookmarkStart w:id="4023" w:name="section_5c1cca76e68e452b921dd7e83877de45"/>
      <w:bookmarkStart w:id="4024" w:name="_Toc12262072"/>
      <w:r>
        <w:t>Additional Parts</w:t>
      </w:r>
      <w:bookmarkEnd w:id="4023"/>
      <w:bookmarkEnd w:id="4024"/>
      <w:r>
        <w:fldChar w:fldCharType="begin"/>
      </w:r>
      <w:r>
        <w:instrText xml:space="preserve"> XE "Additional Parts" </w:instrText>
      </w:r>
      <w:r>
        <w:fldChar w:fldCharType="end"/>
      </w:r>
    </w:p>
    <w:p w:rsidR="00024C0A" w:rsidRDefault="00694C0F">
      <w:r>
        <w:t>The subclauses subordinate to this one describe in detail each of the shared part types in addition to those liste</w:t>
      </w:r>
      <w:r>
        <w:t>d in Office Open XML File Formats ("</w:t>
      </w:r>
      <w:hyperlink r:id="rId341">
        <w:r>
          <w:rPr>
            <w:rStyle w:val="Hyperlink"/>
          </w:rPr>
          <w:t>[ISO/IEC-29500-1]</w:t>
        </w:r>
      </w:hyperlink>
      <w:r>
        <w:t xml:space="preserve"> §15").</w:t>
      </w:r>
    </w:p>
    <w:p w:rsidR="00024C0A" w:rsidRDefault="00694C0F">
      <w:pPr>
        <w:pStyle w:val="Heading4"/>
      </w:pPr>
      <w:bookmarkStart w:id="4025" w:name="section_2c6688debe084ffaac5432d19ebc4ca3"/>
      <w:bookmarkStart w:id="4026" w:name="_Toc12262073"/>
      <w:r>
        <w:t>Embedded Control Persistence Binary Data Part</w:t>
      </w:r>
      <w:bookmarkEnd w:id="4025"/>
      <w:bookmarkEnd w:id="4026"/>
      <w:r>
        <w:fldChar w:fldCharType="begin"/>
      </w:r>
      <w:r>
        <w:instrText xml:space="preserve"> XE "Embedded Control Persistence Binary Data Part" </w:instrText>
      </w:r>
      <w:r>
        <w:fldChar w:fldCharType="end"/>
      </w:r>
    </w:p>
    <w:p w:rsidR="00024C0A" w:rsidRDefault="00694C0F">
      <w:r>
        <w:rPr>
          <w:b/>
          <w:i/>
        </w:rPr>
        <w:t>Content Type</w:t>
      </w:r>
    </w:p>
    <w:p w:rsidR="00024C0A" w:rsidRDefault="00694C0F">
      <w:r>
        <w:rPr>
          <w:i/>
        </w:rPr>
        <w:t xml:space="preserve">Binary data </w:t>
      </w:r>
      <w:r>
        <w:rPr>
          <w:i/>
        </w:rPr>
        <w:t>representing various properties of an ActiveX control, a standard COM picture object, or a standard COM font object which are persisted using persistStorage, persistStream, or persistStreamInit, as indicated by the persistence attribute of the correspondin</w:t>
      </w:r>
      <w:r>
        <w:rPr>
          <w:i/>
        </w:rPr>
        <w:t>g Embedded Control Persistence part ("</w:t>
      </w:r>
      <w:hyperlink r:id="rId342">
        <w:r>
          <w:rPr>
            <w:rStyle w:val="Hyperlink"/>
          </w:rPr>
          <w:t>[ISO/IEC-29500-1]</w:t>
        </w:r>
      </w:hyperlink>
      <w:r>
        <w:rPr>
          <w:i/>
        </w:rPr>
        <w:t xml:space="preserve"> §15.2.9").</w:t>
      </w:r>
    </w:p>
    <w:p w:rsidR="00024C0A" w:rsidRDefault="00694C0F">
      <w:r>
        <w:rPr>
          <w:i/>
        </w:rPr>
        <w:t>[Note: The content of the binary data shall be solely determined by the corresponding object. end note]</w:t>
      </w:r>
    </w:p>
    <w:p w:rsidR="00024C0A" w:rsidRDefault="00694C0F">
      <w:r>
        <w:rPr>
          <w:b/>
          <w:i/>
        </w:rPr>
        <w:t>Root Namespace</w:t>
      </w:r>
    </w:p>
    <w:p w:rsidR="00024C0A" w:rsidRDefault="00694C0F">
      <w:r>
        <w:rPr>
          <w:i/>
        </w:rPr>
        <w:t xml:space="preserve">not </w:t>
      </w:r>
      <w:r>
        <w:rPr>
          <w:i/>
        </w:rPr>
        <w:t>applicable</w:t>
      </w:r>
    </w:p>
    <w:p w:rsidR="00024C0A" w:rsidRDefault="00694C0F">
      <w:r>
        <w:rPr>
          <w:b/>
          <w:i/>
        </w:rPr>
        <w:t>Source Relationship</w:t>
      </w:r>
    </w:p>
    <w:p w:rsidR="00024C0A" w:rsidRDefault="00694C0F">
      <w:r>
        <w:rPr>
          <w:i/>
        </w:rPr>
        <w:t>http://schemas.microsoft.com/office/2006/relationships/activeXControlBinary</w:t>
      </w:r>
    </w:p>
    <w:p w:rsidR="00024C0A" w:rsidRDefault="00694C0F">
      <w:r>
        <w:t>An instance of this part contains information about an embedded control in the package. This information is provided by the specified control when as</w:t>
      </w:r>
      <w:r>
        <w:t>ked to persist.</w:t>
      </w:r>
    </w:p>
    <w:p w:rsidR="00024C0A" w:rsidRDefault="00694C0F">
      <w:r>
        <w:t>A package is permitted to contain one or more Embedded Control Persistence Binary Data parts, and each such part shall be the target of an explicit relationship in an Embedded Control Persistence ("[ISO/IEC-29500-1] §15.2.9") part-relations</w:t>
      </w:r>
      <w:r>
        <w:t>hip item in a WordprocessingML package; a Worksheet part ("[ISO/IEC-29500-1] §12.3.24") in a SpreadsheetML package; or a Handout Master ("[ISO/IEC-29500-1] §13.3.3"), Notes Master ("[ISO/IEC-29500-1] §13.3.4"), Notes Slide ("[ISO/IEC-29500-1] §13.3.5"), Sl</w:t>
      </w:r>
      <w:r>
        <w:t>ide ("[ISO/IEC-29500-1] §13.3.8"), Slide Layout ("[ISO/IEC-29500-1] §13.3.9"), or Slide Master ("[ISO/IEC-29500-1] §13.3.10") part-relationship item in a PresentationML package.</w:t>
      </w:r>
    </w:p>
    <w:p w:rsidR="00024C0A" w:rsidRDefault="00694C0F">
      <w:r>
        <w:lastRenderedPageBreak/>
        <w:t>The content type of this part shall determine the internal format and contents</w:t>
      </w:r>
      <w:r>
        <w:t xml:space="preserve"> of the embedded control.</w:t>
      </w:r>
    </w:p>
    <w:p w:rsidR="00024C0A" w:rsidRDefault="00694C0F">
      <w:r>
        <w:t>[Example: The following example shows the persistence that could be used for an embedded ActiveX control within a WordprocessingML document:</w:t>
      </w:r>
    </w:p>
    <w:p w:rsidR="00024C0A" w:rsidRDefault="00694C0F">
      <w:pPr>
        <w:pStyle w:val="Code"/>
      </w:pPr>
      <w:r>
        <w:t>&lt;ax:ocx ax:classid="{C74190B6-8589-11D1-B16A-00C0F0283628}" ax:license="9368265E-85FE-11d</w:t>
      </w:r>
      <w:r>
        <w:t>1-8BE3-0000F8754DA1" ax:persistence="persistStorage" r:id="rId1" xmlns:ax="http://schemas.microsoft.com/office/2006/activeX" xmlns:r="http://schemas.openxmlformats.org/officeDocument/2006/relationships"/&gt;</w:t>
      </w:r>
    </w:p>
    <w:p w:rsidR="00024C0A" w:rsidRDefault="00694C0F">
      <w:r>
        <w:t xml:space="preserve"> The relationship type for rId1 is: </w:t>
      </w:r>
      <w:r>
        <w:rPr>
          <w:rStyle w:val="InlineCode"/>
        </w:rPr>
        <w:t>http://schemas.</w:t>
      </w:r>
      <w:r>
        <w:rPr>
          <w:rStyle w:val="InlineCode"/>
        </w:rPr>
        <w:t>microsoft.com/office/2006/relationships/activeXControlBinary</w:t>
      </w:r>
    </w:p>
    <w:p w:rsidR="00024C0A" w:rsidRDefault="00694C0F">
      <w:r>
        <w:t>The content of the part referenced by rId1 could be any binary data that can be interpreted by the corresponding control. end example]</w:t>
      </w:r>
    </w:p>
    <w:p w:rsidR="00024C0A" w:rsidRDefault="00694C0F">
      <w:r>
        <w:t xml:space="preserve">An Embedded Control Persistence Binary Data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024C0A" w:rsidRDefault="00694C0F">
      <w:r>
        <w:t>An Embedded Control Persistence Binar</w:t>
      </w:r>
      <w:r>
        <w:t xml:space="preserve">y Data part shall not have any implicit or explicit relationships to other parts defined by Office Open XML File Formats </w:t>
      </w:r>
      <w:hyperlink r:id="rId343">
        <w:r>
          <w:rPr>
            <w:rStyle w:val="Hyperlink"/>
          </w:rPr>
          <w:t>[ISO/IEC29500:2012]</w:t>
        </w:r>
      </w:hyperlink>
      <w:r>
        <w:t>.</w:t>
      </w:r>
    </w:p>
    <w:p w:rsidR="00024C0A" w:rsidRDefault="00694C0F">
      <w:pPr>
        <w:pStyle w:val="Heading4"/>
      </w:pPr>
      <w:bookmarkStart w:id="4027" w:name="section_55d273e4770e48bc883fc66dc2816d30"/>
      <w:bookmarkStart w:id="4028" w:name="_Toc12262074"/>
      <w:r>
        <w:t>Quick Access Toolbar Customizations Part</w:t>
      </w:r>
      <w:bookmarkEnd w:id="4027"/>
      <w:bookmarkEnd w:id="4028"/>
      <w:r>
        <w:fldChar w:fldCharType="begin"/>
      </w:r>
      <w:r>
        <w:instrText xml:space="preserve"> XE "Qui</w:instrText>
      </w:r>
      <w:r>
        <w:instrText xml:space="preserve">ck Access Toolbar Customizations Part" </w:instrText>
      </w:r>
      <w:r>
        <w:fldChar w:fldCharType="end"/>
      </w:r>
    </w:p>
    <w:p w:rsidR="00024C0A" w:rsidRDefault="00694C0F">
      <w:r>
        <w:rPr>
          <w:b/>
          <w:i/>
        </w:rPr>
        <w:t>Content Type</w:t>
      </w:r>
    </w:p>
    <w:p w:rsidR="00024C0A" w:rsidRDefault="00694C0F">
      <w:r>
        <w:rPr>
          <w:i/>
        </w:rPr>
        <w:t>application/xml</w:t>
      </w:r>
    </w:p>
    <w:p w:rsidR="00024C0A" w:rsidRDefault="00694C0F">
      <w:r>
        <w:rPr>
          <w:b/>
          <w:i/>
        </w:rPr>
        <w:t>Root Namespace</w:t>
      </w:r>
    </w:p>
    <w:p w:rsidR="00024C0A" w:rsidRDefault="00694C0F">
      <w:r>
        <w:rPr>
          <w:i/>
        </w:rPr>
        <w:t>http://schemas.microsoft.com/office/2006/01/customui</w:t>
      </w:r>
    </w:p>
    <w:p w:rsidR="00024C0A" w:rsidRDefault="00694C0F">
      <w:r>
        <w:rPr>
          <w:b/>
          <w:i/>
        </w:rPr>
        <w:t>Source Relationship</w:t>
      </w:r>
    </w:p>
    <w:p w:rsidR="00024C0A" w:rsidRDefault="00694C0F">
      <w:r>
        <w:rPr>
          <w:i/>
        </w:rPr>
        <w:t>http://schemas.microsoft.com/office/2006/relationships/ui/userCustomization</w:t>
      </w:r>
    </w:p>
    <w:p w:rsidR="00024C0A" w:rsidRDefault="00694C0F">
      <w:r>
        <w:t>An instance of this p</w:t>
      </w:r>
      <w:r>
        <w:t>art type contains information about the quick access toolbar customizations (</w:t>
      </w:r>
      <w:hyperlink r:id="rId344" w:anchor="Section_31f152d62a5d4b50a8679dbc6d01aa43">
        <w:r>
          <w:rPr>
            <w:rStyle w:val="Hyperlink"/>
          </w:rPr>
          <w:t>[MS-CUSTOMUI]</w:t>
        </w:r>
      </w:hyperlink>
      <w:r>
        <w:t xml:space="preserve">) specific to this package. </w:t>
      </w:r>
    </w:p>
    <w:p w:rsidR="00024C0A" w:rsidRDefault="00694C0F">
      <w:r>
        <w:t>[Example: A user customized the quick access toolbar f</w:t>
      </w:r>
      <w:r>
        <w:t>or his WordProcessingML document to contain the UI controls that they commonly use. end example]</w:t>
      </w:r>
    </w:p>
    <w:p w:rsidR="00024C0A" w:rsidRDefault="00694C0F">
      <w:r>
        <w:t>A package is permitted to contain at most one Quick Access Toolbar Customizations part, and that part shall be the target of a relationship in the package-rela</w:t>
      </w:r>
      <w:r>
        <w:t>tionship item for the document.</w:t>
      </w:r>
    </w:p>
    <w:p w:rsidR="00024C0A" w:rsidRDefault="00694C0F">
      <w:r>
        <w:t>[Example: The following package part-relationship item contains a relationship to a Quick Access Toolbar Customizations part, which is stored in the ZIP item /userCustomization/customUI.xml:</w:t>
      </w:r>
    </w:p>
    <w:p w:rsidR="00024C0A" w:rsidRDefault="00694C0F">
      <w:pPr>
        <w:pStyle w:val="Code"/>
      </w:pPr>
      <w:r>
        <w:t>&lt;Relationships xmlns="…"&gt;</w:t>
      </w:r>
    </w:p>
    <w:p w:rsidR="00024C0A" w:rsidRDefault="00694C0F">
      <w:pPr>
        <w:pStyle w:val="Code"/>
      </w:pPr>
      <w:r>
        <w:t>&lt;Relati</w:t>
      </w:r>
      <w:r>
        <w:t xml:space="preserve">onship Id="rId2" </w:t>
      </w:r>
    </w:p>
    <w:p w:rsidR="00024C0A" w:rsidRDefault="00694C0F">
      <w:pPr>
        <w:pStyle w:val="Code"/>
      </w:pPr>
      <w:r>
        <w:t>Type="http://…/2006/relationships/ui/userCustomization"</w:t>
      </w:r>
    </w:p>
    <w:p w:rsidR="00024C0A" w:rsidRDefault="00694C0F">
      <w:pPr>
        <w:pStyle w:val="Code"/>
      </w:pPr>
      <w:r>
        <w:t>Target="/userCustomization/customUI.xml" /&gt;</w:t>
      </w:r>
    </w:p>
    <w:p w:rsidR="00024C0A" w:rsidRDefault="00694C0F">
      <w:pPr>
        <w:pStyle w:val="Code"/>
      </w:pPr>
      <w:r>
        <w:t>&lt;/Relationships&gt;</w:t>
      </w:r>
    </w:p>
    <w:p w:rsidR="00024C0A" w:rsidRDefault="00694C0F">
      <w:r>
        <w:t>end example]</w:t>
      </w:r>
    </w:p>
    <w:p w:rsidR="00024C0A" w:rsidRDefault="00694C0F">
      <w:r>
        <w:t xml:space="preserve">The root element for a part of this content type shall be </w:t>
      </w:r>
      <w:r>
        <w:rPr>
          <w:b/>
        </w:rPr>
        <w:t>customUI</w:t>
      </w:r>
      <w:r>
        <w:t>.</w:t>
      </w:r>
    </w:p>
    <w:p w:rsidR="00024C0A" w:rsidRDefault="00694C0F">
      <w:r>
        <w:lastRenderedPageBreak/>
        <w:t xml:space="preserve">[Example: The following Quick Access Toolbar Customizations content markup would specify that the control with ID </w:t>
      </w:r>
      <w:r>
        <w:rPr>
          <w:i/>
        </w:rPr>
        <w:t xml:space="preserve">SpellingAndGrammar </w:t>
      </w:r>
      <w:r>
        <w:t>should be added to the quick access toolbar for the package:</w:t>
      </w:r>
    </w:p>
    <w:p w:rsidR="00024C0A" w:rsidRDefault="00694C0F">
      <w:pPr>
        <w:pStyle w:val="Code"/>
      </w:pPr>
      <w:r>
        <w:t>&lt;mso:customUI xmlns:mso="http://schemas.microsoft.com/office/2</w:t>
      </w:r>
      <w:r>
        <w:t>006/01/customui"&gt;</w:t>
      </w:r>
    </w:p>
    <w:p w:rsidR="00024C0A" w:rsidRDefault="00694C0F">
      <w:pPr>
        <w:pStyle w:val="Code"/>
      </w:pPr>
      <w:r>
        <w:t>&lt;mso:ribbon&gt;</w:t>
      </w:r>
    </w:p>
    <w:p w:rsidR="00024C0A" w:rsidRDefault="00694C0F">
      <w:pPr>
        <w:pStyle w:val="Code"/>
      </w:pPr>
      <w:r>
        <w:t>&lt;mso:qat&gt;</w:t>
      </w:r>
    </w:p>
    <w:p w:rsidR="00024C0A" w:rsidRDefault="00694C0F">
      <w:pPr>
        <w:pStyle w:val="Code"/>
      </w:pPr>
      <w:r>
        <w:t>&lt;mso:documentControls&gt;</w:t>
      </w:r>
    </w:p>
    <w:p w:rsidR="00024C0A" w:rsidRDefault="00694C0F">
      <w:pPr>
        <w:pStyle w:val="Code"/>
      </w:pPr>
      <w:r>
        <w:t>&lt;mso:control idQ="mso:SpellingAndGrammar" visible="true" /&gt;</w:t>
      </w:r>
    </w:p>
    <w:p w:rsidR="00024C0A" w:rsidRDefault="00694C0F">
      <w:pPr>
        <w:pStyle w:val="Code"/>
      </w:pPr>
      <w:r>
        <w:t>&lt;/mso:documentControls&gt;</w:t>
      </w:r>
    </w:p>
    <w:p w:rsidR="00024C0A" w:rsidRDefault="00694C0F">
      <w:pPr>
        <w:pStyle w:val="Code"/>
      </w:pPr>
      <w:r>
        <w:t>&lt;/mso:qat&gt;</w:t>
      </w:r>
    </w:p>
    <w:p w:rsidR="00024C0A" w:rsidRDefault="00694C0F">
      <w:pPr>
        <w:pStyle w:val="Code"/>
      </w:pPr>
      <w:r>
        <w:t>&lt;/mso:ribbon&gt;</w:t>
      </w:r>
    </w:p>
    <w:p w:rsidR="00024C0A" w:rsidRDefault="00694C0F">
      <w:pPr>
        <w:pStyle w:val="Code"/>
      </w:pPr>
      <w:r>
        <w:t>&lt;/mso:customUI&gt;</w:t>
      </w:r>
    </w:p>
    <w:p w:rsidR="00024C0A" w:rsidRDefault="00694C0F">
      <w:r>
        <w:t>end example]</w:t>
      </w:r>
    </w:p>
    <w:p w:rsidR="00024C0A" w:rsidRDefault="00694C0F">
      <w:r>
        <w:t>A Quick Access Toolbar Customizations part shall be lo</w:t>
      </w:r>
      <w:r>
        <w:t xml:space="preserve">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024C0A" w:rsidRDefault="00694C0F">
      <w:r>
        <w:t>A Quick Access Toolbar Customizations part shall not have implicit or explicit relationships to a</w:t>
      </w:r>
      <w:r>
        <w:t xml:space="preserve">ny other part defined by Office Open XML File Formats </w:t>
      </w:r>
      <w:hyperlink r:id="rId345">
        <w:r>
          <w:rPr>
            <w:rStyle w:val="Hyperlink"/>
          </w:rPr>
          <w:t>[ISO/IEC29500:2012]</w:t>
        </w:r>
      </w:hyperlink>
      <w:r>
        <w:t>.</w:t>
      </w:r>
    </w:p>
    <w:p w:rsidR="00024C0A" w:rsidRDefault="00694C0F">
      <w:pPr>
        <w:pStyle w:val="Heading4"/>
      </w:pPr>
      <w:bookmarkStart w:id="4029" w:name="section_2d3ee2da8f774b08bc2b651e568af3ab"/>
      <w:bookmarkStart w:id="4030" w:name="_Toc12262075"/>
      <w:r>
        <w:t>CustomUI Part</w:t>
      </w:r>
      <w:bookmarkEnd w:id="4029"/>
      <w:bookmarkEnd w:id="4030"/>
      <w:r>
        <w:fldChar w:fldCharType="begin"/>
      </w:r>
      <w:r>
        <w:instrText xml:space="preserve"> XE "CustomUI Part" </w:instrText>
      </w:r>
      <w:r>
        <w:fldChar w:fldCharType="end"/>
      </w:r>
    </w:p>
    <w:p w:rsidR="00024C0A" w:rsidRDefault="00694C0F">
      <w:r>
        <w:rPr>
          <w:b/>
          <w:i/>
        </w:rPr>
        <w:t>Content Type</w:t>
      </w:r>
    </w:p>
    <w:p w:rsidR="00024C0A" w:rsidRDefault="00694C0F">
      <w:r>
        <w:rPr>
          <w:i/>
        </w:rPr>
        <w:t>application/xml</w:t>
      </w:r>
    </w:p>
    <w:p w:rsidR="00024C0A" w:rsidRDefault="00694C0F">
      <w:r>
        <w:rPr>
          <w:b/>
          <w:i/>
        </w:rPr>
        <w:t>Root Namespace</w:t>
      </w:r>
    </w:p>
    <w:p w:rsidR="00024C0A" w:rsidRDefault="00694C0F">
      <w:r>
        <w:rPr>
          <w:i/>
        </w:rPr>
        <w:t>http://schemas.microsoft.com/office/2006/01/customui</w:t>
      </w:r>
    </w:p>
    <w:p w:rsidR="00024C0A" w:rsidRDefault="00694C0F">
      <w:r>
        <w:rPr>
          <w:b/>
          <w:i/>
        </w:rPr>
        <w:t>Source Relationship</w:t>
      </w:r>
    </w:p>
    <w:p w:rsidR="00024C0A" w:rsidRDefault="00694C0F">
      <w:r>
        <w:rPr>
          <w:i/>
        </w:rPr>
        <w:t>http://schemas.microsoft.com/office/2006/relationships/ui/extensibility</w:t>
      </w:r>
    </w:p>
    <w:p w:rsidR="00024C0A" w:rsidRDefault="00694C0F">
      <w:r>
        <w:t>An instance of this part type contains information about the Ribbon customizations (</w:t>
      </w:r>
      <w:hyperlink r:id="rId346" w:anchor="Section_31f152d62a5d4b50a8679dbc6d01aa43">
        <w:r>
          <w:rPr>
            <w:rStyle w:val="Hyperlink"/>
          </w:rPr>
          <w:t>[MS-CUSTOMUI]</w:t>
        </w:r>
      </w:hyperlink>
      <w:r>
        <w:t xml:space="preserve">) specific to this package. </w:t>
      </w:r>
    </w:p>
    <w:p w:rsidR="00024C0A" w:rsidRDefault="00694C0F">
      <w:r>
        <w:t>[Example: A SpreadsheetML document that represents a timecard could contain custom UI controls to guide the user in filling out the timecard. end example]</w:t>
      </w:r>
    </w:p>
    <w:p w:rsidR="00024C0A" w:rsidRDefault="00694C0F">
      <w:r>
        <w:t>A p</w:t>
      </w:r>
      <w:r>
        <w:t>ackage is permitted to contain at most one CustomUI part, and that part shall be the target of a relationship in the package-relationship item for the document.</w:t>
      </w:r>
    </w:p>
    <w:p w:rsidR="00024C0A" w:rsidRDefault="00694C0F">
      <w:r>
        <w:t>[Example: The following package part-relationship item contains a relationship to a CustomUI pa</w:t>
      </w:r>
      <w:r>
        <w:t>rt, which is stored in the ZIP item /customUI/customUI.xml:</w:t>
      </w:r>
    </w:p>
    <w:p w:rsidR="00024C0A" w:rsidRDefault="00694C0F">
      <w:pPr>
        <w:pStyle w:val="Code"/>
      </w:pPr>
      <w:r>
        <w:t>&lt;Relationships xmlns="…"&gt;</w:t>
      </w:r>
    </w:p>
    <w:p w:rsidR="00024C0A" w:rsidRDefault="00694C0F">
      <w:pPr>
        <w:pStyle w:val="Code"/>
      </w:pPr>
      <w:r>
        <w:t xml:space="preserve">&lt;Relationship Id="rId5"  </w:t>
      </w:r>
    </w:p>
    <w:p w:rsidR="00024C0A" w:rsidRDefault="00694C0F">
      <w:pPr>
        <w:pStyle w:val="Code"/>
      </w:pPr>
      <w:r>
        <w:t>Type="http://…/2006/relationships/ui/extensibility"</w:t>
      </w:r>
    </w:p>
    <w:p w:rsidR="00024C0A" w:rsidRDefault="00694C0F">
      <w:pPr>
        <w:pStyle w:val="Code"/>
      </w:pPr>
      <w:r>
        <w:t>Target="/customUI/customUI.xml" /&gt;</w:t>
      </w:r>
    </w:p>
    <w:p w:rsidR="00024C0A" w:rsidRDefault="00694C0F">
      <w:pPr>
        <w:pStyle w:val="Code"/>
      </w:pPr>
      <w:r>
        <w:t>&lt;/Relationships&gt;</w:t>
      </w:r>
    </w:p>
    <w:p w:rsidR="00024C0A" w:rsidRDefault="00694C0F">
      <w:r>
        <w:t>end example]</w:t>
      </w:r>
    </w:p>
    <w:p w:rsidR="00024C0A" w:rsidRDefault="00694C0F">
      <w:r>
        <w:t xml:space="preserve">The root element for a part of this content type shall be </w:t>
      </w:r>
      <w:r>
        <w:rPr>
          <w:b/>
        </w:rPr>
        <w:t>customUI</w:t>
      </w:r>
      <w:r>
        <w:t>.</w:t>
      </w:r>
    </w:p>
    <w:p w:rsidR="00024C0A" w:rsidRDefault="00694C0F">
      <w:r>
        <w:lastRenderedPageBreak/>
        <w:t xml:space="preserve">[Example: The following CustomUI content markup would specify that the ribbon tab with ID </w:t>
      </w:r>
      <w:r>
        <w:rPr>
          <w:i/>
        </w:rPr>
        <w:t>TabHome</w:t>
      </w:r>
      <w:r>
        <w:t xml:space="preserve"> should be hidden for the containing package:</w:t>
      </w:r>
    </w:p>
    <w:p w:rsidR="00024C0A" w:rsidRDefault="00694C0F">
      <w:pPr>
        <w:pStyle w:val="Code"/>
      </w:pPr>
      <w:r>
        <w:t>&lt;customUI xmlns="http://schemas.microsoft.com</w:t>
      </w:r>
      <w:r>
        <w:t>/office/2006/01/customui"&gt;</w:t>
      </w:r>
    </w:p>
    <w:p w:rsidR="00024C0A" w:rsidRDefault="00694C0F">
      <w:pPr>
        <w:pStyle w:val="Code"/>
      </w:pPr>
      <w:r>
        <w:t>&lt;ribbon&gt;</w:t>
      </w:r>
    </w:p>
    <w:p w:rsidR="00024C0A" w:rsidRDefault="00694C0F">
      <w:pPr>
        <w:pStyle w:val="Code"/>
      </w:pPr>
      <w:r>
        <w:t>&lt;tabs&gt;</w:t>
      </w:r>
    </w:p>
    <w:p w:rsidR="00024C0A" w:rsidRDefault="00694C0F">
      <w:pPr>
        <w:pStyle w:val="Code"/>
      </w:pPr>
      <w:r>
        <w:t>&lt;tab idMso="TabHome" visible="false" /&gt;</w:t>
      </w:r>
    </w:p>
    <w:p w:rsidR="00024C0A" w:rsidRDefault="00694C0F">
      <w:pPr>
        <w:pStyle w:val="Code"/>
      </w:pPr>
      <w:r>
        <w:t>&lt;/tabs&gt;</w:t>
      </w:r>
    </w:p>
    <w:p w:rsidR="00024C0A" w:rsidRDefault="00694C0F">
      <w:pPr>
        <w:pStyle w:val="Code"/>
      </w:pPr>
      <w:r>
        <w:t>&lt;/ribbon&gt;</w:t>
      </w:r>
    </w:p>
    <w:p w:rsidR="00024C0A" w:rsidRDefault="00694C0F">
      <w:pPr>
        <w:pStyle w:val="Code"/>
      </w:pPr>
      <w:r>
        <w:t>&lt;/customUI&gt;</w:t>
      </w:r>
    </w:p>
    <w:p w:rsidR="00024C0A" w:rsidRDefault="00694C0F">
      <w:r>
        <w:t>end example]</w:t>
      </w:r>
    </w:p>
    <w:p w:rsidR="00024C0A" w:rsidRDefault="00694C0F">
      <w:r>
        <w:t xml:space="preserve">A CustomUI part shall be located within the package containing the source relationship (expressed syntactically, the </w:t>
      </w:r>
      <w:r>
        <w:rPr>
          <w:b/>
        </w:rPr>
        <w:t>TargetMode</w:t>
      </w:r>
      <w:r>
        <w:t xml:space="preserve"> at</w:t>
      </w:r>
      <w:r>
        <w:t xml:space="preserve">tribute of the </w:t>
      </w:r>
      <w:r>
        <w:rPr>
          <w:b/>
        </w:rPr>
        <w:t>Relationship</w:t>
      </w:r>
      <w:r>
        <w:t xml:space="preserve"> element shall be </w:t>
      </w:r>
      <w:r>
        <w:rPr>
          <w:i/>
        </w:rPr>
        <w:t>Internal</w:t>
      </w:r>
      <w:r>
        <w:t>).</w:t>
      </w:r>
    </w:p>
    <w:p w:rsidR="00024C0A" w:rsidRDefault="00694C0F">
      <w:r>
        <w:t xml:space="preserve">A CustomUI part is permitted to have explicit relationships to the following parts defined by Office Open XML File Formats </w:t>
      </w:r>
      <w:hyperlink r:id="rId347">
        <w:r>
          <w:rPr>
            <w:rStyle w:val="Hyperlink"/>
          </w:rPr>
          <w:t>[ISO/IEC295</w:t>
        </w:r>
        <w:r>
          <w:rPr>
            <w:rStyle w:val="Hyperlink"/>
          </w:rPr>
          <w:t>00:2012]</w:t>
        </w:r>
      </w:hyperlink>
      <w:r>
        <w:t>:</w:t>
      </w:r>
    </w:p>
    <w:p w:rsidR="00024C0A" w:rsidRDefault="00694C0F">
      <w:pPr>
        <w:pStyle w:val="ListParagraph"/>
        <w:numPr>
          <w:ilvl w:val="0"/>
          <w:numId w:val="207"/>
        </w:numPr>
      </w:pPr>
      <w:r>
        <w:t>Image Part ("</w:t>
      </w:r>
      <w:hyperlink r:id="rId348">
        <w:r>
          <w:rPr>
            <w:rStyle w:val="Hyperlink"/>
          </w:rPr>
          <w:t>[ISO/IEC-29500-1]</w:t>
        </w:r>
      </w:hyperlink>
      <w:r>
        <w:t xml:space="preserve"> §15.2.14")</w:t>
      </w:r>
    </w:p>
    <w:p w:rsidR="00024C0A" w:rsidRDefault="00694C0F">
      <w:pPr>
        <w:pStyle w:val="Heading4"/>
      </w:pPr>
      <w:bookmarkStart w:id="4031" w:name="section_12409b35ead94ff8a0815b6ffa64cc0f"/>
      <w:bookmarkStart w:id="4032" w:name="_Toc12262076"/>
      <w:r>
        <w:t>CustomUI2 Part</w:t>
      </w:r>
      <w:bookmarkEnd w:id="4031"/>
      <w:bookmarkEnd w:id="4032"/>
      <w:r>
        <w:fldChar w:fldCharType="begin"/>
      </w:r>
      <w:r>
        <w:instrText xml:space="preserve"> XE "CustomUI2 Part" </w:instrText>
      </w:r>
      <w:r>
        <w:fldChar w:fldCharType="end"/>
      </w:r>
    </w:p>
    <w:p w:rsidR="00024C0A" w:rsidRDefault="00694C0F">
      <w:r>
        <w:rPr>
          <w:b/>
          <w:i/>
        </w:rPr>
        <w:t>Content Type</w:t>
      </w:r>
    </w:p>
    <w:p w:rsidR="00024C0A" w:rsidRDefault="00694C0F">
      <w:r>
        <w:rPr>
          <w:i/>
        </w:rPr>
        <w:t>application/xml</w:t>
      </w:r>
    </w:p>
    <w:p w:rsidR="00024C0A" w:rsidRDefault="00694C0F">
      <w:r>
        <w:rPr>
          <w:b/>
          <w:i/>
        </w:rPr>
        <w:t>Root Namespace</w:t>
      </w:r>
    </w:p>
    <w:p w:rsidR="00024C0A" w:rsidRDefault="00694C0F">
      <w:r>
        <w:rPr>
          <w:i/>
        </w:rPr>
        <w:t>http://schemas.microsoft.com/office/2007/10/customui</w:t>
      </w:r>
    </w:p>
    <w:p w:rsidR="00024C0A" w:rsidRDefault="00694C0F">
      <w:r>
        <w:rPr>
          <w:b/>
          <w:i/>
        </w:rPr>
        <w:t>Source Relationship</w:t>
      </w:r>
    </w:p>
    <w:p w:rsidR="00024C0A" w:rsidRDefault="00694C0F">
      <w:r>
        <w:rPr>
          <w:i/>
        </w:rPr>
        <w:t>http://schemas.microsoft.com/office/2007/relationships/ui/extensibility</w:t>
      </w:r>
    </w:p>
    <w:p w:rsidR="00024C0A" w:rsidRDefault="00694C0F">
      <w:r>
        <w:t>An instance of this part type contains information about the Ribbon and Backstage(TM) view customizations (</w:t>
      </w:r>
      <w:hyperlink r:id="rId349" w:anchor="Section_bad56c217b1541bcaf328b5afe6e922e">
        <w:r>
          <w:rPr>
            <w:rStyle w:val="Hyperlink"/>
          </w:rPr>
          <w:t>[MS-CUSTOMUI2]</w:t>
        </w:r>
      </w:hyperlink>
      <w:r>
        <w:t xml:space="preserve">) specific to this package. </w:t>
      </w:r>
    </w:p>
    <w:p w:rsidR="00024C0A" w:rsidRDefault="00694C0F">
      <w:r>
        <w:t>[Example: A SpreadsheetML document that is part of a document management system could contain Backstage controls to guide the user in the document workflow process. end example]</w:t>
      </w:r>
    </w:p>
    <w:p w:rsidR="00024C0A" w:rsidRDefault="00694C0F">
      <w:r>
        <w:t>A packag</w:t>
      </w:r>
      <w:r>
        <w:t xml:space="preserve">e is permitted to contain at most one CustomUI2 part, and that part shall be the target of a relationship in the package-relationship item for the document.  If a package contains both a CustomUI and CustomUI2 part then only the CustomUI2 part is applied. </w:t>
      </w:r>
      <w:r>
        <w:t xml:space="preserve"> If a package contains a CustomUI part and does not contain a CustomUI2 part then the CustomUI part is applied.</w:t>
      </w:r>
    </w:p>
    <w:p w:rsidR="00024C0A" w:rsidRDefault="00694C0F">
      <w:r>
        <w:t xml:space="preserve">[Example: The following package part-relationship item contains a relationship to a CustomUI2 part, which is stored in the ZIP item </w:t>
      </w:r>
      <w:r>
        <w:t>/customUI/customUI2.xml:</w:t>
      </w:r>
    </w:p>
    <w:p w:rsidR="00024C0A" w:rsidRDefault="00694C0F">
      <w:pPr>
        <w:pStyle w:val="Code"/>
      </w:pPr>
      <w:r>
        <w:t>&lt;Relationships xmlns="…"&gt;</w:t>
      </w:r>
    </w:p>
    <w:p w:rsidR="00024C0A" w:rsidRDefault="00694C0F">
      <w:pPr>
        <w:pStyle w:val="Code"/>
      </w:pPr>
      <w:r>
        <w:t xml:space="preserve">&lt;Relationship Id="rId6"  </w:t>
      </w:r>
    </w:p>
    <w:p w:rsidR="00024C0A" w:rsidRDefault="00694C0F">
      <w:pPr>
        <w:pStyle w:val="Code"/>
      </w:pPr>
      <w:r>
        <w:t>Type="http://…/2007/relationships/ui/extensibility"</w:t>
      </w:r>
    </w:p>
    <w:p w:rsidR="00024C0A" w:rsidRDefault="00694C0F">
      <w:pPr>
        <w:pStyle w:val="Code"/>
      </w:pPr>
      <w:r>
        <w:t>Target="/customUI/customUI2.xml" /&gt;</w:t>
      </w:r>
    </w:p>
    <w:p w:rsidR="00024C0A" w:rsidRDefault="00694C0F">
      <w:pPr>
        <w:pStyle w:val="Code"/>
      </w:pPr>
      <w:r>
        <w:t>&lt;/Relationships&gt;</w:t>
      </w:r>
    </w:p>
    <w:p w:rsidR="00024C0A" w:rsidRDefault="00694C0F">
      <w:r>
        <w:t>end example]</w:t>
      </w:r>
    </w:p>
    <w:p w:rsidR="00024C0A" w:rsidRDefault="00694C0F">
      <w:r>
        <w:t xml:space="preserve">The root element for a part of this content type shall be </w:t>
      </w:r>
      <w:r>
        <w:rPr>
          <w:b/>
        </w:rPr>
        <w:t>cus</w:t>
      </w:r>
      <w:r>
        <w:rPr>
          <w:b/>
        </w:rPr>
        <w:t>tomUI</w:t>
      </w:r>
      <w:r>
        <w:t>.</w:t>
      </w:r>
    </w:p>
    <w:p w:rsidR="00024C0A" w:rsidRDefault="00694C0F">
      <w:r>
        <w:lastRenderedPageBreak/>
        <w:t xml:space="preserve">[Example: The following CustomUI2 content markup would specify that the print tab in the Backstage view with ID </w:t>
      </w:r>
      <w:r>
        <w:rPr>
          <w:i/>
        </w:rPr>
        <w:t>PlacePrint</w:t>
      </w:r>
      <w:r>
        <w:t xml:space="preserve"> should be hidden for the containing package:</w:t>
      </w:r>
    </w:p>
    <w:p w:rsidR="00024C0A" w:rsidRDefault="00694C0F">
      <w:pPr>
        <w:pStyle w:val="Code"/>
      </w:pPr>
      <w:r>
        <w:t>&lt;customUI xmlns="http://schemas.microsoft.com/office/2007/10/customui"&gt;</w:t>
      </w:r>
    </w:p>
    <w:p w:rsidR="00024C0A" w:rsidRDefault="00694C0F">
      <w:pPr>
        <w:pStyle w:val="Code"/>
      </w:pPr>
      <w:r>
        <w:t>&lt;outSpace</w:t>
      </w:r>
      <w:r>
        <w:t>&gt;</w:t>
      </w:r>
    </w:p>
    <w:p w:rsidR="00024C0A" w:rsidRDefault="00694C0F">
      <w:pPr>
        <w:pStyle w:val="Code"/>
      </w:pPr>
      <w:r>
        <w:t>&lt;place idMso="PlacePrint" visible="false" /&gt;</w:t>
      </w:r>
    </w:p>
    <w:p w:rsidR="00024C0A" w:rsidRDefault="00694C0F">
      <w:pPr>
        <w:pStyle w:val="Code"/>
      </w:pPr>
      <w:r>
        <w:t>&lt;/outSpace&gt;</w:t>
      </w:r>
    </w:p>
    <w:p w:rsidR="00024C0A" w:rsidRDefault="00694C0F">
      <w:pPr>
        <w:pStyle w:val="Code"/>
      </w:pPr>
      <w:r>
        <w:t>&lt;/customUI&gt;</w:t>
      </w:r>
    </w:p>
    <w:p w:rsidR="00024C0A" w:rsidRDefault="00694C0F">
      <w:r>
        <w:t>end example]</w:t>
      </w:r>
    </w:p>
    <w:p w:rsidR="00024C0A" w:rsidRDefault="00694C0F">
      <w:r>
        <w:t xml:space="preserve">A CustomUI2 part shall be located within the package containing the source relationship (expressed syntactically, the </w:t>
      </w:r>
      <w:r>
        <w:rPr>
          <w:b/>
        </w:rPr>
        <w:t>TargetMode</w:t>
      </w:r>
      <w:r>
        <w:t xml:space="preserve"> attribute of the </w:t>
      </w:r>
      <w:r>
        <w:rPr>
          <w:b/>
        </w:rPr>
        <w:t>Relationship</w:t>
      </w:r>
      <w:r>
        <w:t xml:space="preserve"> element shall</w:t>
      </w:r>
      <w:r>
        <w:t xml:space="preserve"> be </w:t>
      </w:r>
      <w:r>
        <w:rPr>
          <w:i/>
        </w:rPr>
        <w:t>Internal</w:t>
      </w:r>
      <w:r>
        <w:t>).</w:t>
      </w:r>
    </w:p>
    <w:p w:rsidR="00024C0A" w:rsidRDefault="00694C0F">
      <w:r>
        <w:t xml:space="preserve">A CustomUI2 part is permitted to have explicit relationships to the following parts defined by Office Open XML File Formats </w:t>
      </w:r>
      <w:hyperlink r:id="rId350">
        <w:r>
          <w:rPr>
            <w:rStyle w:val="Hyperlink"/>
          </w:rPr>
          <w:t>[ISO/IEC29500:2012]</w:t>
        </w:r>
      </w:hyperlink>
      <w:r>
        <w:t>:</w:t>
      </w:r>
    </w:p>
    <w:p w:rsidR="00024C0A" w:rsidRDefault="00694C0F">
      <w:pPr>
        <w:pStyle w:val="ListParagraph"/>
        <w:numPr>
          <w:ilvl w:val="0"/>
          <w:numId w:val="208"/>
        </w:numPr>
      </w:pPr>
      <w:r>
        <w:t>Image Part ("</w:t>
      </w:r>
      <w:hyperlink r:id="rId351">
        <w:r>
          <w:rPr>
            <w:rStyle w:val="Hyperlink"/>
          </w:rPr>
          <w:t>[ISO/IEC-29500-1]</w:t>
        </w:r>
      </w:hyperlink>
      <w:r>
        <w:t xml:space="preserve"> §15.2.14")</w:t>
      </w:r>
    </w:p>
    <w:p w:rsidR="00024C0A" w:rsidRDefault="00694C0F">
      <w:pPr>
        <w:pStyle w:val="Heading2"/>
      </w:pPr>
      <w:bookmarkStart w:id="4033" w:name="section_b5ea004721194ae594a163c27af037dd"/>
      <w:bookmarkStart w:id="4034" w:name="_Toc12262077"/>
      <w:r>
        <w:t>Office Well Defined Custom XML Parts</w:t>
      </w:r>
      <w:bookmarkEnd w:id="4033"/>
      <w:bookmarkEnd w:id="4034"/>
      <w:r>
        <w:fldChar w:fldCharType="begin"/>
      </w:r>
      <w:r>
        <w:instrText xml:space="preserve"> XE "Office Well Defined Custom XML Parts (Additional Information)" </w:instrText>
      </w:r>
      <w:r>
        <w:fldChar w:fldCharType="end"/>
      </w:r>
    </w:p>
    <w:p w:rsidR="00024C0A" w:rsidRDefault="00694C0F">
      <w:r>
        <w:t>Office reads and writes a set of well-defined Custom XML Parts.  Custom</w:t>
      </w:r>
      <w:r>
        <w:t xml:space="preserve"> XML Parts, in general, are described in Custom XML Data Storage Part ("</w:t>
      </w:r>
      <w:hyperlink r:id="rId352">
        <w:r>
          <w:rPr>
            <w:rStyle w:val="Hyperlink"/>
          </w:rPr>
          <w:t>[ISO/IEC-29500-1]</w:t>
        </w:r>
      </w:hyperlink>
      <w:r>
        <w:t xml:space="preserve"> §15.2.5") and Custom XML Data Properties ("[ISO/IEC-29500-1] §22.5"). In addition to implementing th</w:t>
      </w:r>
      <w:r>
        <w:t xml:space="preserve">e relevant portions of Office Open XML File Formats </w:t>
      </w:r>
      <w:hyperlink r:id="rId353">
        <w:r>
          <w:rPr>
            <w:rStyle w:val="Hyperlink"/>
          </w:rPr>
          <w:t>[ISO/IEC29500:2012]</w:t>
        </w:r>
      </w:hyperlink>
      <w:r>
        <w:t>, Office understands a predefined set of schemas when applied to Custom XML Parts.</w:t>
      </w:r>
    </w:p>
    <w:p w:rsidR="00024C0A" w:rsidRDefault="00694C0F">
      <w:r>
        <w:t xml:space="preserve">This clause and its subordinate subclauses describe the structure and content of these well-defined parts.  </w:t>
      </w:r>
    </w:p>
    <w:p w:rsidR="00024C0A" w:rsidRDefault="00694C0F">
      <w:r>
        <w:t>[Note: For convenience, information from those subclauses is summarized in the following table:</w:t>
      </w:r>
    </w:p>
    <w:tbl>
      <w:tblPr>
        <w:tblStyle w:val="Table-ShadedHeader"/>
        <w:tblW w:w="0" w:type="auto"/>
        <w:tblLook w:val="04A0" w:firstRow="1" w:lastRow="0" w:firstColumn="1" w:lastColumn="0" w:noHBand="0" w:noVBand="1"/>
      </w:tblPr>
      <w:tblGrid>
        <w:gridCol w:w="1686"/>
        <w:gridCol w:w="2054"/>
        <w:gridCol w:w="3890"/>
        <w:gridCol w:w="1845"/>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Part</w:t>
            </w:r>
          </w:p>
        </w:tc>
        <w:tc>
          <w:tcPr>
            <w:tcW w:w="0" w:type="auto"/>
            <w:vAlign w:val="center"/>
          </w:tcPr>
          <w:p w:rsidR="00024C0A" w:rsidRDefault="00694C0F">
            <w:pPr>
              <w:pStyle w:val="TableHeaderText"/>
            </w:pPr>
            <w:r>
              <w:t>Root Element</w:t>
            </w:r>
          </w:p>
        </w:tc>
        <w:tc>
          <w:tcPr>
            <w:tcW w:w="0" w:type="auto"/>
            <w:vAlign w:val="center"/>
          </w:tcPr>
          <w:p w:rsidR="00024C0A" w:rsidRDefault="00694C0F">
            <w:pPr>
              <w:pStyle w:val="TableHeaderText"/>
            </w:pPr>
            <w:r>
              <w:t>Namespace</w:t>
            </w:r>
          </w:p>
        </w:tc>
        <w:tc>
          <w:tcPr>
            <w:tcW w:w="0" w:type="auto"/>
            <w:vAlign w:val="center"/>
          </w:tcPr>
          <w:p w:rsidR="00024C0A" w:rsidRDefault="00694C0F">
            <w:pPr>
              <w:pStyle w:val="TableHeaderText"/>
            </w:pPr>
            <w:r>
              <w:t>Ref</w:t>
            </w:r>
          </w:p>
        </w:tc>
      </w:tr>
      <w:tr w:rsidR="00024C0A" w:rsidTr="00024C0A">
        <w:tc>
          <w:tcPr>
            <w:tcW w:w="0" w:type="auto"/>
            <w:vAlign w:val="center"/>
          </w:tcPr>
          <w:p w:rsidR="00024C0A" w:rsidRDefault="00694C0F">
            <w:pPr>
              <w:pStyle w:val="TableBodyText"/>
            </w:pPr>
            <w:r>
              <w:t xml:space="preserve">Cover Page </w:t>
            </w:r>
            <w:r>
              <w:t>Properties</w:t>
            </w:r>
          </w:p>
        </w:tc>
        <w:tc>
          <w:tcPr>
            <w:tcW w:w="0" w:type="auto"/>
            <w:vAlign w:val="center"/>
          </w:tcPr>
          <w:p w:rsidR="00024C0A" w:rsidRDefault="00694C0F">
            <w:pPr>
              <w:pStyle w:val="TableBodyText"/>
            </w:pPr>
            <w:r>
              <w:t>coverPageProperties</w:t>
            </w:r>
          </w:p>
        </w:tc>
        <w:tc>
          <w:tcPr>
            <w:tcW w:w="0" w:type="auto"/>
            <w:vAlign w:val="center"/>
          </w:tcPr>
          <w:p w:rsidR="00024C0A" w:rsidRDefault="00694C0F">
            <w:pPr>
              <w:pStyle w:val="TableBodyText"/>
            </w:pPr>
            <w:r>
              <w:t>http://schemas.microsoft.com/‌office/‌2006/‌coverPageProps</w:t>
            </w:r>
          </w:p>
        </w:tc>
        <w:tc>
          <w:tcPr>
            <w:tcW w:w="0" w:type="auto"/>
            <w:vAlign w:val="center"/>
          </w:tcPr>
          <w:p w:rsidR="00024C0A" w:rsidRDefault="00694C0F">
            <w:pPr>
              <w:pStyle w:val="TableBodyText"/>
            </w:pPr>
            <w:hyperlink w:anchor="Section_f13db469a7624a039fbbb4d0fc4affc7">
              <w:r>
                <w:rPr>
                  <w:rStyle w:val="Hyperlink"/>
                </w:rPr>
                <w:t>§3.5.1, Cover Page Properties</w:t>
              </w:r>
            </w:hyperlink>
          </w:p>
        </w:tc>
      </w:tr>
      <w:tr w:rsidR="00024C0A" w:rsidTr="00024C0A">
        <w:tc>
          <w:tcPr>
            <w:tcW w:w="0" w:type="auto"/>
            <w:vAlign w:val="center"/>
          </w:tcPr>
          <w:p w:rsidR="00024C0A" w:rsidRDefault="00694C0F">
            <w:pPr>
              <w:pStyle w:val="TableBodyText"/>
            </w:pPr>
            <w:r>
              <w:t>Content Type Schema</w:t>
            </w:r>
          </w:p>
        </w:tc>
        <w:tc>
          <w:tcPr>
            <w:tcW w:w="0" w:type="auto"/>
            <w:vAlign w:val="center"/>
          </w:tcPr>
          <w:p w:rsidR="00024C0A" w:rsidRDefault="00694C0F">
            <w:pPr>
              <w:pStyle w:val="TableBodyText"/>
            </w:pPr>
            <w:r>
              <w:t>contentTypeSchema</w:t>
            </w:r>
          </w:p>
        </w:tc>
        <w:tc>
          <w:tcPr>
            <w:tcW w:w="0" w:type="auto"/>
            <w:vAlign w:val="center"/>
          </w:tcPr>
          <w:p w:rsidR="00024C0A" w:rsidRDefault="00694C0F">
            <w:pPr>
              <w:pStyle w:val="TableBodyText"/>
            </w:pPr>
            <w:r>
              <w:t>http://schemas.microsoft.com/‌offi</w:t>
            </w:r>
            <w:r>
              <w:t>ce/‌2006/‌metadata/‌contentType</w:t>
            </w:r>
          </w:p>
        </w:tc>
        <w:tc>
          <w:tcPr>
            <w:tcW w:w="0" w:type="auto"/>
            <w:vAlign w:val="center"/>
          </w:tcPr>
          <w:p w:rsidR="00024C0A" w:rsidRDefault="00694C0F">
            <w:pPr>
              <w:pStyle w:val="TableBodyText"/>
            </w:pPr>
            <w:hyperlink w:anchor="Section_ccefd82e29684f0ca2db6b109fe3353c">
              <w:r>
                <w:rPr>
                  <w:rStyle w:val="Hyperlink"/>
                </w:rPr>
                <w:t>§3.5.2, Content Type Schemas</w:t>
              </w:r>
            </w:hyperlink>
          </w:p>
        </w:tc>
      </w:tr>
      <w:tr w:rsidR="00024C0A" w:rsidTr="00024C0A">
        <w:tc>
          <w:tcPr>
            <w:tcW w:w="0" w:type="auto"/>
            <w:vAlign w:val="center"/>
          </w:tcPr>
          <w:p w:rsidR="00024C0A" w:rsidRDefault="00694C0F">
            <w:pPr>
              <w:pStyle w:val="TableBodyText"/>
            </w:pPr>
            <w:r>
              <w:t>Custom Document Information Panel</w:t>
            </w:r>
          </w:p>
        </w:tc>
        <w:tc>
          <w:tcPr>
            <w:tcW w:w="0" w:type="auto"/>
            <w:vAlign w:val="center"/>
          </w:tcPr>
          <w:p w:rsidR="00024C0A" w:rsidRDefault="00694C0F">
            <w:pPr>
              <w:pStyle w:val="TableBodyText"/>
            </w:pPr>
            <w:r>
              <w:t>customPropertyEditors</w:t>
            </w:r>
          </w:p>
        </w:tc>
        <w:tc>
          <w:tcPr>
            <w:tcW w:w="0" w:type="auto"/>
            <w:vAlign w:val="center"/>
          </w:tcPr>
          <w:p w:rsidR="00024C0A" w:rsidRDefault="00694C0F">
            <w:pPr>
              <w:pStyle w:val="TableBodyText"/>
            </w:pPr>
            <w:r>
              <w:t>http://schemas.microsoft.com/‌office/‌2006/‌customDocumentInformationPanel</w:t>
            </w:r>
          </w:p>
        </w:tc>
        <w:tc>
          <w:tcPr>
            <w:tcW w:w="0" w:type="auto"/>
            <w:vAlign w:val="center"/>
          </w:tcPr>
          <w:p w:rsidR="00024C0A" w:rsidRDefault="00694C0F">
            <w:pPr>
              <w:pStyle w:val="TableBodyText"/>
            </w:pPr>
            <w:hyperlink w:anchor="Section_115a2521c18a49df82edf87e7941c25f">
              <w:r>
                <w:rPr>
                  <w:rStyle w:val="Hyperlink"/>
                </w:rPr>
                <w:t>§3.5.3, Custom Document Information Panel</w:t>
              </w:r>
            </w:hyperlink>
          </w:p>
        </w:tc>
      </w:tr>
      <w:tr w:rsidR="00024C0A" w:rsidTr="00024C0A">
        <w:tc>
          <w:tcPr>
            <w:tcW w:w="0" w:type="auto"/>
            <w:vAlign w:val="center"/>
          </w:tcPr>
          <w:p w:rsidR="00024C0A" w:rsidRDefault="00694C0F">
            <w:pPr>
              <w:pStyle w:val="TableBodyText"/>
            </w:pPr>
            <w:r>
              <w:t>Custom XSN</w:t>
            </w:r>
          </w:p>
        </w:tc>
        <w:tc>
          <w:tcPr>
            <w:tcW w:w="0" w:type="auto"/>
            <w:vAlign w:val="center"/>
          </w:tcPr>
          <w:p w:rsidR="00024C0A" w:rsidRDefault="00694C0F">
            <w:pPr>
              <w:pStyle w:val="TableBodyText"/>
            </w:pPr>
            <w:r>
              <w:t>customXsn</w:t>
            </w:r>
          </w:p>
        </w:tc>
        <w:tc>
          <w:tcPr>
            <w:tcW w:w="0" w:type="auto"/>
            <w:vAlign w:val="center"/>
          </w:tcPr>
          <w:p w:rsidR="00024C0A" w:rsidRDefault="00694C0F">
            <w:pPr>
              <w:pStyle w:val="TableBodyText"/>
            </w:pPr>
            <w:r>
              <w:t>http://schemas.microsoft.com/‌office/‌2006/‌metadata/‌customXsn</w:t>
            </w:r>
          </w:p>
        </w:tc>
        <w:tc>
          <w:tcPr>
            <w:tcW w:w="0" w:type="auto"/>
            <w:vAlign w:val="center"/>
          </w:tcPr>
          <w:p w:rsidR="00024C0A" w:rsidRDefault="00694C0F">
            <w:pPr>
              <w:pStyle w:val="TableBodyText"/>
            </w:pPr>
            <w:hyperlink w:anchor="Section_c26a68bdb8164d2eb84258bc92e4f6a2">
              <w:r>
                <w:rPr>
                  <w:rStyle w:val="Hyperlink"/>
                </w:rPr>
                <w:t>§3</w:t>
              </w:r>
              <w:r>
                <w:rPr>
                  <w:rStyle w:val="Hyperlink"/>
                </w:rPr>
                <w:t>.5.4, Custom XSN</w:t>
              </w:r>
            </w:hyperlink>
          </w:p>
        </w:tc>
      </w:tr>
      <w:tr w:rsidR="00024C0A" w:rsidTr="00024C0A">
        <w:tc>
          <w:tcPr>
            <w:tcW w:w="0" w:type="auto"/>
            <w:vAlign w:val="center"/>
          </w:tcPr>
          <w:p w:rsidR="00024C0A" w:rsidRDefault="00694C0F">
            <w:pPr>
              <w:pStyle w:val="TableBodyText"/>
            </w:pPr>
            <w:r>
              <w:t>Long Properties</w:t>
            </w:r>
          </w:p>
        </w:tc>
        <w:tc>
          <w:tcPr>
            <w:tcW w:w="0" w:type="auto"/>
            <w:vAlign w:val="center"/>
          </w:tcPr>
          <w:p w:rsidR="00024C0A" w:rsidRDefault="00694C0F">
            <w:pPr>
              <w:pStyle w:val="TableBodyText"/>
            </w:pPr>
            <w:r>
              <w:t>longProperties</w:t>
            </w:r>
          </w:p>
        </w:tc>
        <w:tc>
          <w:tcPr>
            <w:tcW w:w="0" w:type="auto"/>
            <w:vAlign w:val="center"/>
          </w:tcPr>
          <w:p w:rsidR="00024C0A" w:rsidRDefault="00694C0F">
            <w:pPr>
              <w:pStyle w:val="TableBodyText"/>
            </w:pPr>
            <w:r>
              <w:t>http://schemas.microsoft.com/‌office/‌2006/‌metadata/longProperties</w:t>
            </w:r>
          </w:p>
        </w:tc>
        <w:tc>
          <w:tcPr>
            <w:tcW w:w="0" w:type="auto"/>
            <w:vAlign w:val="center"/>
          </w:tcPr>
          <w:p w:rsidR="00024C0A" w:rsidRDefault="00694C0F">
            <w:pPr>
              <w:pStyle w:val="TableBodyText"/>
            </w:pPr>
            <w:hyperlink w:anchor="Section_78d73854b7934cd682ef994e57d303db">
              <w:r>
                <w:rPr>
                  <w:rStyle w:val="Hyperlink"/>
                </w:rPr>
                <w:t>§3.5.5, Long Properties</w:t>
              </w:r>
            </w:hyperlink>
          </w:p>
        </w:tc>
      </w:tr>
    </w:tbl>
    <w:p w:rsidR="00024C0A" w:rsidRDefault="00024C0A"/>
    <w:p w:rsidR="00024C0A" w:rsidRDefault="00694C0F">
      <w:r>
        <w:t>end note]</w:t>
      </w:r>
    </w:p>
    <w:p w:rsidR="00024C0A" w:rsidRDefault="00694C0F">
      <w:pPr>
        <w:pStyle w:val="Heading3"/>
      </w:pPr>
      <w:bookmarkStart w:id="4035" w:name="section_f13db469a7624a039fbbb4d0fc4affc7"/>
      <w:bookmarkStart w:id="4036" w:name="_Toc12262078"/>
      <w:r>
        <w:t>Cover Page Properties</w:t>
      </w:r>
      <w:bookmarkEnd w:id="4035"/>
      <w:bookmarkEnd w:id="4036"/>
      <w:r>
        <w:fldChar w:fldCharType="begin"/>
      </w:r>
      <w:r>
        <w:instrText xml:space="preserve"> XE "Cover Page Properties" </w:instrText>
      </w:r>
      <w:r>
        <w:fldChar w:fldCharType="end"/>
      </w:r>
    </w:p>
    <w:p w:rsidR="00024C0A" w:rsidRDefault="00694C0F">
      <w:r>
        <w:t>The Cover Page Properties is comprised of a Custom XML Data Storage Part ("</w:t>
      </w:r>
      <w:hyperlink r:id="rId354">
        <w:r>
          <w:rPr>
            <w:rStyle w:val="Hyperlink"/>
          </w:rPr>
          <w:t>[ISO/IEC-29500-1]</w:t>
        </w:r>
      </w:hyperlink>
      <w:r>
        <w:t xml:space="preserve"> §15.2.5") which contains the Cover Page Properties information, an</w:t>
      </w:r>
      <w:r>
        <w:t xml:space="preserve">d a Custom XML Data Storage </w:t>
      </w:r>
      <w:r>
        <w:lastRenderedPageBreak/>
        <w:t xml:space="preserve">Properties Part ("[ISO/IEC-29500-1] §15.2.6") which contains the set of properties for the custom XML data. </w:t>
      </w:r>
    </w:p>
    <w:p w:rsidR="00024C0A" w:rsidRDefault="00694C0F">
      <w:r>
        <w:t xml:space="preserve"> The XML contents of the data storage part conform to the schema defined in Cover Page Properties Schema (</w:t>
      </w:r>
      <w:hyperlink w:anchor="Section_f4d50e0ddbdb493d9c1f5e94acf656a1">
        <w:r>
          <w:rPr>
            <w:rStyle w:val="Hyperlink"/>
          </w:rPr>
          <w:t>§3.5.1.1, Cover Page Properties Schema</w:t>
        </w:r>
      </w:hyperlink>
      <w:r>
        <w:t>).</w:t>
      </w:r>
    </w:p>
    <w:p w:rsidR="00024C0A" w:rsidRDefault="00694C0F">
      <w:r>
        <w:t>The root element of the Custom XML Data Storage Part shall be CoverPageProperties (</w:t>
      </w:r>
      <w:hyperlink w:anchor="Section_81e7ee1c4eea44838a713ae2974e2a74">
        <w:r>
          <w:rPr>
            <w:rStyle w:val="Hyperlink"/>
          </w:rPr>
          <w:t>§3.5.1.1.1.6, Cover</w:t>
        </w:r>
        <w:r>
          <w:rPr>
            <w:rStyle w:val="Hyperlink"/>
          </w:rPr>
          <w:t>PageProperties</w:t>
        </w:r>
      </w:hyperlink>
      <w:r>
        <w:t>).</w:t>
      </w:r>
    </w:p>
    <w:p w:rsidR="00024C0A" w:rsidRDefault="00694C0F">
      <w:r>
        <w:t xml:space="preserve">The Associated XML Schema ("[ISO/IEC-29500-1] §22.5.2.2; schemaRef") for this Custom XML Data Storage Part shall be “http://schemas.microsoft.com/office/2006/coverPageProps”. </w:t>
      </w:r>
    </w:p>
    <w:p w:rsidR="00024C0A" w:rsidRDefault="00694C0F">
      <w:pPr>
        <w:pStyle w:val="Heading4"/>
      </w:pPr>
      <w:bookmarkStart w:id="4037" w:name="section_f4d50e0ddbdb493d9c1f5e94acf656a1"/>
      <w:bookmarkStart w:id="4038" w:name="_Toc12262079"/>
      <w:r>
        <w:t>Cover Page Properties Schema</w:t>
      </w:r>
      <w:bookmarkEnd w:id="4037"/>
      <w:bookmarkEnd w:id="4038"/>
      <w:r>
        <w:fldChar w:fldCharType="begin"/>
      </w:r>
      <w:r>
        <w:instrText xml:space="preserve"> XE "Cover Page Properties Schema" </w:instrText>
      </w:r>
      <w:r>
        <w:fldChar w:fldCharType="end"/>
      </w:r>
    </w:p>
    <w:p w:rsidR="00024C0A" w:rsidRDefault="00694C0F">
      <w:r>
        <w:t>Cover page properties define a set of document properties available for use on a Word cover page.</w:t>
      </w:r>
    </w:p>
    <w:p w:rsidR="00024C0A" w:rsidRDefault="00694C0F">
      <w:pPr>
        <w:pStyle w:val="Heading5"/>
      </w:pPr>
      <w:bookmarkStart w:id="4039" w:name="section_38d5c877b2044464883f6498cb7bc3e6"/>
      <w:bookmarkStart w:id="4040" w:name="_Toc12262080"/>
      <w:r>
        <w:t>Elements</w:t>
      </w:r>
      <w:bookmarkEnd w:id="4039"/>
      <w:bookmarkEnd w:id="4040"/>
    </w:p>
    <w:p w:rsidR="00024C0A" w:rsidRDefault="00694C0F">
      <w:pPr>
        <w:pStyle w:val="Heading6"/>
      </w:pPr>
      <w:bookmarkStart w:id="4041" w:name="section_93eba06791a84e518377d509424e042a"/>
      <w:bookmarkStart w:id="4042" w:name="_Toc12262081"/>
      <w:r>
        <w:t>Abstract (Document Abstract)</w:t>
      </w:r>
      <w:bookmarkEnd w:id="4041"/>
      <w:bookmarkEnd w:id="4042"/>
      <w:r>
        <w:fldChar w:fldCharType="begin"/>
      </w:r>
      <w:r>
        <w:instrText xml:space="preserve"> XE "Abstract (Document Abstract)" </w:instrText>
      </w:r>
      <w:r>
        <w:fldChar w:fldCharType="end"/>
      </w:r>
    </w:p>
    <w:p w:rsidR="00024C0A" w:rsidRDefault="00694C0F">
      <w:r>
        <w:t>This element specifies an abstract of the document content.</w:t>
      </w:r>
    </w:p>
    <w:tbl>
      <w:tblPr>
        <w:tblStyle w:val="Table-ShadedHeader"/>
        <w:tblW w:w="0" w:type="auto"/>
        <w:tblLook w:val="04A0" w:firstRow="1" w:lastRow="0" w:firstColumn="1" w:lastColumn="0" w:noHBand="0" w:noVBand="1"/>
      </w:tblPr>
      <w:tblGrid>
        <w:gridCol w:w="510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024C0A" w:rsidRDefault="00024C0A"/>
    <w:p w:rsidR="00024C0A" w:rsidRDefault="00694C0F">
      <w:pPr>
        <w:pStyle w:val="Heading6"/>
      </w:pPr>
      <w:bookmarkStart w:id="4043" w:name="section_4c06a3856e234dcbad867332f5fe073b"/>
      <w:bookmarkStart w:id="4044" w:name="_Toc12262082"/>
      <w:r>
        <w:t>CompanyAddress (Company Address)</w:t>
      </w:r>
      <w:bookmarkEnd w:id="4043"/>
      <w:bookmarkEnd w:id="4044"/>
      <w:r>
        <w:fldChar w:fldCharType="begin"/>
      </w:r>
      <w:r>
        <w:instrText xml:space="preserve"> XE "CompanyAddress (Company Address)" </w:instrText>
      </w:r>
      <w:r>
        <w:fldChar w:fldCharType="end"/>
      </w:r>
    </w:p>
    <w:p w:rsidR="00024C0A" w:rsidRDefault="00694C0F">
      <w:r>
        <w:t xml:space="preserve">This element specifies the address of the company to be used </w:t>
      </w:r>
      <w:r>
        <w:t>in the document.</w:t>
      </w:r>
    </w:p>
    <w:tbl>
      <w:tblPr>
        <w:tblStyle w:val="Table-ShadedHeader"/>
        <w:tblW w:w="0" w:type="auto"/>
        <w:tblLook w:val="04A0" w:firstRow="1" w:lastRow="0" w:firstColumn="1" w:lastColumn="0" w:noHBand="0" w:noVBand="1"/>
      </w:tblPr>
      <w:tblGrid>
        <w:gridCol w:w="510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024C0A" w:rsidRDefault="00024C0A"/>
    <w:p w:rsidR="00024C0A" w:rsidRDefault="00694C0F">
      <w:pPr>
        <w:pStyle w:val="Heading6"/>
      </w:pPr>
      <w:bookmarkStart w:id="4045" w:name="section_a8ab7bdd714d4758b667a5a5bed5ae28"/>
      <w:bookmarkStart w:id="4046" w:name="_Toc12262083"/>
      <w:r>
        <w:t>CompanyEmail (Company Email Address)</w:t>
      </w:r>
      <w:bookmarkEnd w:id="4045"/>
      <w:bookmarkEnd w:id="4046"/>
      <w:r>
        <w:fldChar w:fldCharType="begin"/>
      </w:r>
      <w:r>
        <w:instrText xml:space="preserve"> XE "CompanyEmail (Company Email Address)" </w:instrText>
      </w:r>
      <w:r>
        <w:fldChar w:fldCharType="end"/>
      </w:r>
    </w:p>
    <w:p w:rsidR="00024C0A" w:rsidRDefault="00694C0F">
      <w:r>
        <w:t>This element specif</w:t>
      </w:r>
      <w:r>
        <w:t>ies the e-mail address of the company to be used in the document.</w:t>
      </w:r>
    </w:p>
    <w:tbl>
      <w:tblPr>
        <w:tblStyle w:val="Table-ShadedHeader"/>
        <w:tblW w:w="0" w:type="auto"/>
        <w:tblLook w:val="04A0" w:firstRow="1" w:lastRow="0" w:firstColumn="1" w:lastColumn="0" w:noHBand="0" w:noVBand="1"/>
      </w:tblPr>
      <w:tblGrid>
        <w:gridCol w:w="510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024C0A" w:rsidRDefault="00024C0A"/>
    <w:p w:rsidR="00024C0A" w:rsidRDefault="00694C0F">
      <w:pPr>
        <w:pStyle w:val="Heading6"/>
      </w:pPr>
      <w:bookmarkStart w:id="4047" w:name="section_a0ebde1b8d544dbebcbc8276d74f784a"/>
      <w:bookmarkStart w:id="4048" w:name="_Toc12262084"/>
      <w:r>
        <w:t>CompanyFax (Company Fax Number)</w:t>
      </w:r>
      <w:bookmarkEnd w:id="4047"/>
      <w:bookmarkEnd w:id="4048"/>
      <w:r>
        <w:fldChar w:fldCharType="begin"/>
      </w:r>
      <w:r>
        <w:instrText xml:space="preserve"> XE "CompanyFax (Company Fax Number)" </w:instrText>
      </w:r>
      <w:r>
        <w:fldChar w:fldCharType="end"/>
      </w:r>
    </w:p>
    <w:p w:rsidR="00024C0A" w:rsidRDefault="00694C0F">
      <w:r>
        <w:t>This element specifies the fax number of the company to be used in the document.</w:t>
      </w:r>
    </w:p>
    <w:tbl>
      <w:tblPr>
        <w:tblStyle w:val="Table-ShadedHeader"/>
        <w:tblW w:w="0" w:type="auto"/>
        <w:tblLook w:val="04A0" w:firstRow="1" w:lastRow="0" w:firstColumn="1" w:lastColumn="0" w:noHBand="0" w:noVBand="1"/>
      </w:tblPr>
      <w:tblGrid>
        <w:gridCol w:w="510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024C0A" w:rsidRDefault="00024C0A"/>
    <w:p w:rsidR="00024C0A" w:rsidRDefault="00694C0F">
      <w:pPr>
        <w:pStyle w:val="Heading6"/>
      </w:pPr>
      <w:bookmarkStart w:id="4049" w:name="section_dc6bac686d824d31abafa4729eaba587"/>
      <w:bookmarkStart w:id="4050" w:name="_Toc12262085"/>
      <w:r>
        <w:lastRenderedPageBreak/>
        <w:t>CompanyPhone (Company Phone Number)</w:t>
      </w:r>
      <w:bookmarkEnd w:id="4049"/>
      <w:bookmarkEnd w:id="4050"/>
      <w:r>
        <w:fldChar w:fldCharType="begin"/>
      </w:r>
      <w:r>
        <w:instrText xml:space="preserve"> XE "CompanyPhone (Company Phone Number)" </w:instrText>
      </w:r>
      <w:r>
        <w:fldChar w:fldCharType="end"/>
      </w:r>
    </w:p>
    <w:p w:rsidR="00024C0A" w:rsidRDefault="00694C0F">
      <w:r>
        <w:t>This element specifies the phone number of the company to be used in the document.</w:t>
      </w:r>
    </w:p>
    <w:tbl>
      <w:tblPr>
        <w:tblStyle w:val="Table-ShadedHeader"/>
        <w:tblW w:w="0" w:type="auto"/>
        <w:tblLook w:val="04A0" w:firstRow="1" w:lastRow="0" w:firstColumn="1" w:lastColumn="0" w:noHBand="0" w:noVBand="1"/>
      </w:tblPr>
      <w:tblGrid>
        <w:gridCol w:w="510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024C0A" w:rsidRDefault="00024C0A"/>
    <w:p w:rsidR="00024C0A" w:rsidRDefault="00694C0F">
      <w:pPr>
        <w:pStyle w:val="Heading6"/>
      </w:pPr>
      <w:bookmarkStart w:id="4051" w:name="section_81e7ee1c4eea44838a713ae2974e2a74"/>
      <w:bookmarkStart w:id="4052" w:name="_Toc12262086"/>
      <w:r>
        <w:t>CoverPageProperties (Cover Page Properties)</w:t>
      </w:r>
      <w:bookmarkEnd w:id="4051"/>
      <w:bookmarkEnd w:id="4052"/>
      <w:r>
        <w:fldChar w:fldCharType="begin"/>
      </w:r>
      <w:r>
        <w:instrText xml:space="preserve"> XE "CoverPageProperties (Cover Page Properties)" </w:instrText>
      </w:r>
      <w:r>
        <w:fldChar w:fldCharType="end"/>
      </w:r>
    </w:p>
    <w:p w:rsidR="00024C0A" w:rsidRDefault="00694C0F">
      <w:r>
        <w:t xml:space="preserve">This element is the parent element of properties that are typically used for a document cover page. </w:t>
      </w:r>
    </w:p>
    <w:tbl>
      <w:tblPr>
        <w:tblStyle w:val="Table-ShadedHeader"/>
        <w:tblW w:w="0" w:type="auto"/>
        <w:tblLook w:val="04A0" w:firstRow="1" w:lastRow="0" w:firstColumn="1" w:lastColumn="0" w:noHBand="0" w:noVBand="1"/>
      </w:tblPr>
      <w:tblGrid>
        <w:gridCol w:w="3825"/>
        <w:gridCol w:w="2743"/>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Child Elem</w:t>
            </w:r>
            <w:r>
              <w:t>ents</w:t>
            </w:r>
          </w:p>
        </w:tc>
        <w:tc>
          <w:tcPr>
            <w:tcW w:w="0" w:type="auto"/>
            <w:vAlign w:val="center"/>
          </w:tcPr>
          <w:p w:rsidR="00024C0A" w:rsidRDefault="00694C0F">
            <w:pPr>
              <w:pStyle w:val="TableHeaderText"/>
            </w:pPr>
            <w:r>
              <w:t>Subclause</w:t>
            </w:r>
          </w:p>
        </w:tc>
      </w:tr>
      <w:tr w:rsidR="00024C0A" w:rsidTr="00024C0A">
        <w:tc>
          <w:tcPr>
            <w:tcW w:w="0" w:type="auto"/>
            <w:vAlign w:val="center"/>
          </w:tcPr>
          <w:p w:rsidR="00024C0A" w:rsidRDefault="00694C0F">
            <w:pPr>
              <w:pStyle w:val="TableBodyText"/>
            </w:pPr>
            <w:r>
              <w:rPr>
                <w:b/>
              </w:rPr>
              <w:t>Abstract</w:t>
            </w:r>
            <w:r>
              <w:t xml:space="preserve"> (Document Abstract)</w:t>
            </w:r>
          </w:p>
        </w:tc>
        <w:tc>
          <w:tcPr>
            <w:tcW w:w="0" w:type="auto"/>
            <w:vAlign w:val="center"/>
          </w:tcPr>
          <w:p w:rsidR="00024C0A" w:rsidRDefault="00694C0F">
            <w:pPr>
              <w:pStyle w:val="TableBodyText"/>
            </w:pPr>
            <w:r>
              <w:t>§</w:t>
            </w:r>
            <w:hyperlink w:anchor="Section_93eba06791a84e518377d509424e042a">
              <w:r>
                <w:rPr>
                  <w:rStyle w:val="Hyperlink"/>
                </w:rPr>
                <w:t>3.5.1.1.1.1, Abstract</w:t>
              </w:r>
            </w:hyperlink>
          </w:p>
        </w:tc>
      </w:tr>
      <w:tr w:rsidR="00024C0A" w:rsidTr="00024C0A">
        <w:tc>
          <w:tcPr>
            <w:tcW w:w="0" w:type="auto"/>
            <w:vAlign w:val="center"/>
          </w:tcPr>
          <w:p w:rsidR="00024C0A" w:rsidRDefault="00694C0F">
            <w:pPr>
              <w:pStyle w:val="TableBodyText"/>
            </w:pPr>
            <w:r>
              <w:rPr>
                <w:b/>
              </w:rPr>
              <w:t>CompanyAddress</w:t>
            </w:r>
            <w:r>
              <w:t xml:space="preserve"> (Company Address)</w:t>
            </w:r>
          </w:p>
        </w:tc>
        <w:tc>
          <w:tcPr>
            <w:tcW w:w="0" w:type="auto"/>
            <w:vAlign w:val="center"/>
          </w:tcPr>
          <w:p w:rsidR="00024C0A" w:rsidRDefault="00694C0F">
            <w:pPr>
              <w:pStyle w:val="TableBodyText"/>
            </w:pPr>
            <w:r>
              <w:t>§</w:t>
            </w:r>
            <w:hyperlink w:anchor="Section_4c06a3856e234dcbad867332f5fe073b">
              <w:r>
                <w:rPr>
                  <w:rStyle w:val="Hyperlink"/>
                </w:rPr>
                <w:t>3.5.1.1.1.2, CompanyAddress</w:t>
              </w:r>
            </w:hyperlink>
          </w:p>
        </w:tc>
      </w:tr>
      <w:tr w:rsidR="00024C0A" w:rsidTr="00024C0A">
        <w:tc>
          <w:tcPr>
            <w:tcW w:w="0" w:type="auto"/>
            <w:vAlign w:val="center"/>
          </w:tcPr>
          <w:p w:rsidR="00024C0A" w:rsidRDefault="00694C0F">
            <w:pPr>
              <w:pStyle w:val="TableBodyText"/>
            </w:pPr>
            <w:r>
              <w:rPr>
                <w:b/>
              </w:rPr>
              <w:t>CompanyEmail</w:t>
            </w:r>
            <w:r>
              <w:t xml:space="preserve"> (Company Email Address)</w:t>
            </w:r>
          </w:p>
        </w:tc>
        <w:tc>
          <w:tcPr>
            <w:tcW w:w="0" w:type="auto"/>
            <w:vAlign w:val="center"/>
          </w:tcPr>
          <w:p w:rsidR="00024C0A" w:rsidRDefault="00694C0F">
            <w:pPr>
              <w:pStyle w:val="TableBodyText"/>
            </w:pPr>
            <w:r>
              <w:t>§</w:t>
            </w:r>
            <w:hyperlink w:anchor="Section_a8ab7bdd714d4758b667a5a5bed5ae28">
              <w:r>
                <w:rPr>
                  <w:rStyle w:val="Hyperlink"/>
                </w:rPr>
                <w:t>3.5.1.1.1.3, CompanyEmail</w:t>
              </w:r>
            </w:hyperlink>
          </w:p>
        </w:tc>
      </w:tr>
      <w:tr w:rsidR="00024C0A" w:rsidTr="00024C0A">
        <w:tc>
          <w:tcPr>
            <w:tcW w:w="0" w:type="auto"/>
            <w:vAlign w:val="center"/>
          </w:tcPr>
          <w:p w:rsidR="00024C0A" w:rsidRDefault="00694C0F">
            <w:pPr>
              <w:pStyle w:val="TableBodyText"/>
            </w:pPr>
            <w:r>
              <w:rPr>
                <w:b/>
              </w:rPr>
              <w:t>CompanyFax</w:t>
            </w:r>
            <w:r>
              <w:t xml:space="preserve"> (Company Fax Number)</w:t>
            </w:r>
          </w:p>
        </w:tc>
        <w:tc>
          <w:tcPr>
            <w:tcW w:w="0" w:type="auto"/>
            <w:vAlign w:val="center"/>
          </w:tcPr>
          <w:p w:rsidR="00024C0A" w:rsidRDefault="00694C0F">
            <w:pPr>
              <w:pStyle w:val="TableBodyText"/>
            </w:pPr>
            <w:r>
              <w:t>§</w:t>
            </w:r>
            <w:hyperlink w:anchor="Section_a0ebde1b8d544dbebcbc8276d74f784a">
              <w:r>
                <w:rPr>
                  <w:rStyle w:val="Hyperlink"/>
                </w:rPr>
                <w:t>3.5.1.1.1.4, CompanyFax</w:t>
              </w:r>
            </w:hyperlink>
          </w:p>
        </w:tc>
      </w:tr>
      <w:tr w:rsidR="00024C0A" w:rsidTr="00024C0A">
        <w:tc>
          <w:tcPr>
            <w:tcW w:w="0" w:type="auto"/>
            <w:vAlign w:val="center"/>
          </w:tcPr>
          <w:p w:rsidR="00024C0A" w:rsidRDefault="00694C0F">
            <w:pPr>
              <w:pStyle w:val="TableBodyText"/>
            </w:pPr>
            <w:r>
              <w:rPr>
                <w:b/>
              </w:rPr>
              <w:t>Compa</w:t>
            </w:r>
            <w:r>
              <w:rPr>
                <w:b/>
              </w:rPr>
              <w:t>nyPhone</w:t>
            </w:r>
            <w:r>
              <w:t xml:space="preserve"> (Company Phone Number)</w:t>
            </w:r>
          </w:p>
        </w:tc>
        <w:tc>
          <w:tcPr>
            <w:tcW w:w="0" w:type="auto"/>
            <w:vAlign w:val="center"/>
          </w:tcPr>
          <w:p w:rsidR="00024C0A" w:rsidRDefault="00694C0F">
            <w:pPr>
              <w:pStyle w:val="TableBodyText"/>
            </w:pPr>
            <w:r>
              <w:t>§</w:t>
            </w:r>
            <w:hyperlink w:anchor="Section_dc6bac686d824d31abafa4729eaba587">
              <w:r>
                <w:rPr>
                  <w:rStyle w:val="Hyperlink"/>
                </w:rPr>
                <w:t>3.5.1.1.1.5, CompanyPhone</w:t>
              </w:r>
            </w:hyperlink>
          </w:p>
        </w:tc>
      </w:tr>
      <w:tr w:rsidR="00024C0A" w:rsidTr="00024C0A">
        <w:tc>
          <w:tcPr>
            <w:tcW w:w="0" w:type="auto"/>
            <w:vAlign w:val="center"/>
          </w:tcPr>
          <w:p w:rsidR="00024C0A" w:rsidRDefault="00694C0F">
            <w:pPr>
              <w:pStyle w:val="TableBodyText"/>
            </w:pPr>
            <w:r>
              <w:rPr>
                <w:b/>
              </w:rPr>
              <w:t>PublishDate</w:t>
            </w:r>
            <w:r>
              <w:t xml:space="preserve"> (Document Publish Date)</w:t>
            </w:r>
          </w:p>
        </w:tc>
        <w:tc>
          <w:tcPr>
            <w:tcW w:w="0" w:type="auto"/>
            <w:vAlign w:val="center"/>
          </w:tcPr>
          <w:p w:rsidR="00024C0A" w:rsidRDefault="00694C0F">
            <w:pPr>
              <w:pStyle w:val="TableBodyText"/>
            </w:pPr>
            <w:r>
              <w:t>§</w:t>
            </w:r>
            <w:hyperlink w:anchor="Section_f7742a9e6b754404a61378ac041b7765">
              <w:r>
                <w:rPr>
                  <w:rStyle w:val="Hyperlink"/>
                </w:rPr>
                <w:t>3.5.1.1.1.7, PublishDate</w:t>
              </w:r>
            </w:hyperlink>
          </w:p>
        </w:tc>
      </w:tr>
    </w:tbl>
    <w:p w:rsidR="00024C0A" w:rsidRDefault="00024C0A"/>
    <w:p w:rsidR="00024C0A" w:rsidRDefault="00694C0F">
      <w:r>
        <w:t xml:space="preserve">The </w:t>
      </w:r>
      <w:r>
        <w:t>following XML Schema fragment defines the contents of this element:</w:t>
      </w:r>
    </w:p>
    <w:p w:rsidR="00024C0A" w:rsidRDefault="00694C0F">
      <w:pPr>
        <w:pStyle w:val="Code"/>
      </w:pPr>
      <w:r>
        <w:t>&lt;complexType name="CT_CoverPageProperties"&gt;</w:t>
      </w:r>
    </w:p>
    <w:p w:rsidR="00024C0A" w:rsidRDefault="00694C0F">
      <w:pPr>
        <w:pStyle w:val="Code"/>
      </w:pPr>
      <w:r>
        <w:t xml:space="preserve">  &lt;sequence&gt;</w:t>
      </w:r>
    </w:p>
    <w:p w:rsidR="00024C0A" w:rsidRDefault="00694C0F">
      <w:pPr>
        <w:pStyle w:val="Code"/>
      </w:pPr>
      <w:r>
        <w:t xml:space="preserve">    &lt;element name="PublishDate" type="ST_PublishDate"/&gt;</w:t>
      </w:r>
    </w:p>
    <w:p w:rsidR="00024C0A" w:rsidRDefault="00694C0F">
      <w:pPr>
        <w:pStyle w:val="Code"/>
      </w:pPr>
      <w:r>
        <w:t xml:space="preserve">    &lt;element name="Abstract" type="xsd:string"/&gt;</w:t>
      </w:r>
    </w:p>
    <w:p w:rsidR="00024C0A" w:rsidRDefault="00694C0F">
      <w:pPr>
        <w:pStyle w:val="Code"/>
      </w:pPr>
      <w:r>
        <w:t xml:space="preserve">    &lt;element name="Company</w:t>
      </w:r>
      <w:r>
        <w:t>Address" type="xsd:string"/&gt;</w:t>
      </w:r>
    </w:p>
    <w:p w:rsidR="00024C0A" w:rsidRDefault="00694C0F">
      <w:pPr>
        <w:pStyle w:val="Code"/>
      </w:pPr>
      <w:r>
        <w:t xml:space="preserve">    &lt;element name="CompanyPhone" type="xsd:string"/&gt;</w:t>
      </w:r>
    </w:p>
    <w:p w:rsidR="00024C0A" w:rsidRDefault="00694C0F">
      <w:pPr>
        <w:pStyle w:val="Code"/>
      </w:pPr>
      <w:r>
        <w:t xml:space="preserve">    &lt;element name="CompanyFax" type="xsd:string"/&gt;</w:t>
      </w:r>
    </w:p>
    <w:p w:rsidR="00024C0A" w:rsidRDefault="00694C0F">
      <w:pPr>
        <w:pStyle w:val="Code"/>
      </w:pPr>
      <w:r>
        <w:t xml:space="preserve">    &lt;element name="CompanyEmail" type="xsd:string"/&gt;</w:t>
      </w:r>
    </w:p>
    <w:p w:rsidR="00024C0A" w:rsidRDefault="00694C0F">
      <w:pPr>
        <w:pStyle w:val="Code"/>
      </w:pPr>
      <w:r>
        <w:t xml:space="preserve">  &lt;/sequence&gt;</w:t>
      </w:r>
    </w:p>
    <w:p w:rsidR="00024C0A" w:rsidRDefault="00694C0F">
      <w:pPr>
        <w:pStyle w:val="Code"/>
      </w:pPr>
      <w:r>
        <w:t>&lt;/complexType&gt;</w:t>
      </w:r>
    </w:p>
    <w:p w:rsidR="00024C0A" w:rsidRDefault="00694C0F">
      <w:pPr>
        <w:pStyle w:val="Heading6"/>
      </w:pPr>
      <w:bookmarkStart w:id="4053" w:name="section_f7742a9e6b754404a61378ac041b7765"/>
      <w:bookmarkStart w:id="4054" w:name="_Toc12262087"/>
      <w:r>
        <w:t>PublishDate (Document Publish Date)</w:t>
      </w:r>
      <w:bookmarkEnd w:id="4053"/>
      <w:bookmarkEnd w:id="4054"/>
      <w:r>
        <w:fldChar w:fldCharType="begin"/>
      </w:r>
      <w:r>
        <w:instrText xml:space="preserve"> XE "P</w:instrText>
      </w:r>
      <w:r>
        <w:instrText xml:space="preserve">ublishDate (Document Publish Date)" </w:instrText>
      </w:r>
      <w:r>
        <w:fldChar w:fldCharType="end"/>
      </w:r>
    </w:p>
    <w:p w:rsidR="00024C0A" w:rsidRDefault="00694C0F">
      <w:r>
        <w:t xml:space="preserve">Specifies the date this document was published. </w:t>
      </w:r>
    </w:p>
    <w:p w:rsidR="00024C0A" w:rsidRDefault="00694C0F">
      <w:r>
        <w:t>The possible values for this element are defined by the ST_PublishDate simple type (§</w:t>
      </w:r>
      <w:hyperlink w:anchor="Section_64a6c4180f5541f386f657565be81008">
        <w:r>
          <w:rPr>
            <w:rStyle w:val="Hyperlink"/>
          </w:rPr>
          <w:t>3.5.1.1.2.1, ST_Publ</w:t>
        </w:r>
        <w:r>
          <w:rPr>
            <w:rStyle w:val="Hyperlink"/>
          </w:rPr>
          <w:t>ishDate</w:t>
        </w:r>
      </w:hyperlink>
      <w:r>
        <w:t>).</w:t>
      </w:r>
    </w:p>
    <w:tbl>
      <w:tblPr>
        <w:tblStyle w:val="Table-ShadedHeader"/>
        <w:tblW w:w="0" w:type="auto"/>
        <w:tblLook w:val="04A0" w:firstRow="1" w:lastRow="0" w:firstColumn="1" w:lastColumn="0" w:noHBand="0" w:noVBand="1"/>
      </w:tblPr>
      <w:tblGrid>
        <w:gridCol w:w="510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024C0A" w:rsidRDefault="00024C0A"/>
    <w:p w:rsidR="00024C0A" w:rsidRDefault="00694C0F">
      <w:r>
        <w:t>The following XML Schema fragment defines the contents of this element:</w:t>
      </w:r>
    </w:p>
    <w:p w:rsidR="00024C0A" w:rsidRDefault="00694C0F">
      <w:pPr>
        <w:pStyle w:val="Code"/>
      </w:pPr>
      <w:r>
        <w:t>&lt;simpleType name="ST_PublishDate"&gt;</w:t>
      </w:r>
    </w:p>
    <w:p w:rsidR="00024C0A" w:rsidRDefault="00694C0F">
      <w:pPr>
        <w:pStyle w:val="Code"/>
      </w:pPr>
      <w:r>
        <w:lastRenderedPageBreak/>
        <w:t xml:space="preserve">  &lt;union memberTypes="xsd:date xsd:dateTime xsd:string"/&gt;</w:t>
      </w:r>
    </w:p>
    <w:p w:rsidR="00024C0A" w:rsidRDefault="00694C0F">
      <w:pPr>
        <w:pStyle w:val="Code"/>
      </w:pPr>
      <w:r>
        <w:t>&lt;/simpleType&gt;</w:t>
      </w:r>
    </w:p>
    <w:p w:rsidR="00024C0A" w:rsidRDefault="00694C0F">
      <w:pPr>
        <w:pStyle w:val="Heading5"/>
      </w:pPr>
      <w:bookmarkStart w:id="4055" w:name="section_e02f27204f8f4058bf5810a906dbfbdd"/>
      <w:bookmarkStart w:id="4056" w:name="_Toc12262088"/>
      <w:r>
        <w:t>Simple Types</w:t>
      </w:r>
      <w:bookmarkEnd w:id="4055"/>
      <w:bookmarkEnd w:id="4056"/>
      <w:r>
        <w:fldChar w:fldCharType="begin"/>
      </w:r>
      <w:r>
        <w:instrText xml:space="preserve"> XE "Simple Types" </w:instrText>
      </w:r>
      <w:r>
        <w:fldChar w:fldCharType="end"/>
      </w:r>
    </w:p>
    <w:p w:rsidR="00024C0A" w:rsidRDefault="00694C0F">
      <w:r>
        <w:t>This is the complete list of simple types in the http://schemas.microsoft.com/office/2006/coverPageProps namespace.</w:t>
      </w:r>
    </w:p>
    <w:p w:rsidR="00024C0A" w:rsidRDefault="00694C0F">
      <w:pPr>
        <w:pStyle w:val="Heading6"/>
      </w:pPr>
      <w:bookmarkStart w:id="4057" w:name="section_64a6c4180f5541f386f657565be81008"/>
      <w:bookmarkStart w:id="4058" w:name="_Toc12262089"/>
      <w:r>
        <w:t>ST_PublishDate (Publish Date Value</w:t>
      </w:r>
      <w:r>
        <w:t>)</w:t>
      </w:r>
      <w:bookmarkEnd w:id="4057"/>
      <w:bookmarkEnd w:id="4058"/>
      <w:r>
        <w:fldChar w:fldCharType="begin"/>
      </w:r>
      <w:r>
        <w:instrText xml:space="preserve"> XE "ST_PublishDate (Publish Date Value)" </w:instrText>
      </w:r>
      <w:r>
        <w:fldChar w:fldCharType="end"/>
      </w:r>
    </w:p>
    <w:p w:rsidR="00024C0A" w:rsidRDefault="00694C0F">
      <w:r>
        <w:t>The publish date may be specified in either the XML Schema Date format, the XML Schema DateTime format, or simply as a string.</w:t>
      </w:r>
    </w:p>
    <w:p w:rsidR="00024C0A" w:rsidRDefault="00694C0F">
      <w:r>
        <w:t>This simple type is a union of the following types:</w:t>
      </w:r>
    </w:p>
    <w:p w:rsidR="00024C0A" w:rsidRDefault="00694C0F">
      <w:pPr>
        <w:pStyle w:val="ListParagraph"/>
        <w:numPr>
          <w:ilvl w:val="0"/>
          <w:numId w:val="209"/>
        </w:numPr>
        <w:contextualSpacing/>
      </w:pPr>
      <w:r>
        <w:t>The XML Schema date datatype.</w:t>
      </w:r>
    </w:p>
    <w:p w:rsidR="00024C0A" w:rsidRDefault="00694C0F">
      <w:pPr>
        <w:pStyle w:val="ListParagraph"/>
        <w:numPr>
          <w:ilvl w:val="0"/>
          <w:numId w:val="209"/>
        </w:numPr>
        <w:contextualSpacing/>
      </w:pPr>
      <w:r>
        <w:t>T</w:t>
      </w:r>
      <w:r>
        <w:t>he XML Schema dateTime datatype.</w:t>
      </w:r>
    </w:p>
    <w:p w:rsidR="00024C0A" w:rsidRDefault="00694C0F">
      <w:pPr>
        <w:pStyle w:val="ListParagraph"/>
        <w:numPr>
          <w:ilvl w:val="0"/>
          <w:numId w:val="209"/>
        </w:numPr>
      </w:pPr>
      <w:r>
        <w:t>The XML Schema string datatype.</w:t>
      </w:r>
    </w:p>
    <w:tbl>
      <w:tblPr>
        <w:tblStyle w:val="Table-ShadedHeader"/>
        <w:tblW w:w="0" w:type="auto"/>
        <w:tblLook w:val="04A0" w:firstRow="1" w:lastRow="0" w:firstColumn="1" w:lastColumn="0" w:noHBand="0" w:noVBand="1"/>
      </w:tblPr>
      <w:tblGrid>
        <w:gridCol w:w="3577"/>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Referenced By</w:t>
            </w:r>
          </w:p>
        </w:tc>
      </w:tr>
      <w:tr w:rsidR="00024C0A" w:rsidTr="00024C0A">
        <w:tc>
          <w:tcPr>
            <w:tcW w:w="0" w:type="auto"/>
            <w:vAlign w:val="center"/>
          </w:tcPr>
          <w:p w:rsidR="00024C0A" w:rsidRDefault="00694C0F">
            <w:pPr>
              <w:pStyle w:val="TableBodyText"/>
            </w:pPr>
            <w:r>
              <w:rPr>
                <w:b/>
              </w:rPr>
              <w:t>PublishDate</w:t>
            </w:r>
            <w:r>
              <w:t xml:space="preserve"> (§</w:t>
            </w:r>
            <w:hyperlink w:anchor="Section_f7742a9e6b754404a61378ac041b7765">
              <w:r>
                <w:rPr>
                  <w:rStyle w:val="Hyperlink"/>
                </w:rPr>
                <w:t>3.5.1.1.1.7, PublishDate</w:t>
              </w:r>
            </w:hyperlink>
            <w:r>
              <w:t>)</w:t>
            </w:r>
          </w:p>
        </w:tc>
      </w:tr>
    </w:tbl>
    <w:p w:rsidR="00024C0A" w:rsidRDefault="00024C0A"/>
    <w:p w:rsidR="00024C0A" w:rsidRDefault="00694C0F">
      <w:r>
        <w:t xml:space="preserve">The following XML Schema fragment defines the contents of this simple </w:t>
      </w:r>
      <w:r>
        <w:t>type:</w:t>
      </w:r>
    </w:p>
    <w:p w:rsidR="00024C0A" w:rsidRDefault="00694C0F">
      <w:pPr>
        <w:pStyle w:val="Code"/>
      </w:pPr>
      <w:r>
        <w:t>&lt;simpleType name="ST_PublishDate"&gt;</w:t>
      </w:r>
    </w:p>
    <w:p w:rsidR="00024C0A" w:rsidRDefault="00694C0F">
      <w:pPr>
        <w:pStyle w:val="Code"/>
      </w:pPr>
      <w:r>
        <w:t xml:space="preserve">  &lt;union memberTypes="xsd:date xsd:dateTime xsd:string"/&gt;</w:t>
      </w:r>
    </w:p>
    <w:p w:rsidR="00024C0A" w:rsidRDefault="00694C0F">
      <w:pPr>
        <w:pStyle w:val="Code"/>
      </w:pPr>
      <w:r>
        <w:t>&lt;/simpleType&gt;</w:t>
      </w:r>
    </w:p>
    <w:p w:rsidR="00024C0A" w:rsidRDefault="00694C0F">
      <w:pPr>
        <w:pStyle w:val="Heading3"/>
      </w:pPr>
      <w:bookmarkStart w:id="4059" w:name="section_ccefd82e29684f0ca2db6b109fe3353c"/>
      <w:bookmarkStart w:id="4060" w:name="_Toc12262090"/>
      <w:r>
        <w:t>Content Type Schemas</w:t>
      </w:r>
      <w:bookmarkEnd w:id="4059"/>
      <w:bookmarkEnd w:id="4060"/>
      <w:r>
        <w:fldChar w:fldCharType="begin"/>
      </w:r>
      <w:r>
        <w:instrText xml:space="preserve"> XE "Content Type Schemas" </w:instrText>
      </w:r>
      <w:r>
        <w:fldChar w:fldCharType="end"/>
      </w:r>
    </w:p>
    <w:p w:rsidR="00024C0A" w:rsidRDefault="00694C0F">
      <w:r>
        <w:t>The Content Type Schemas is comprised of a Custom XML Data Storage Part ("</w:t>
      </w:r>
      <w:hyperlink r:id="rId355">
        <w:r>
          <w:rPr>
            <w:rStyle w:val="Hyperlink"/>
          </w:rPr>
          <w:t>[ISO/IEC-29500-1]</w:t>
        </w:r>
      </w:hyperlink>
      <w:r>
        <w:t xml:space="preserve"> §15.2.5") which contains the Content Type Schemas information, and a Custom XML Data Storage Properties Part ("[ISO/IEC-29500-1] §15.2.6") which contains the set of properties for the custom </w:t>
      </w:r>
      <w:r>
        <w:t xml:space="preserve">XML data. </w:t>
      </w:r>
    </w:p>
    <w:p w:rsidR="00024C0A" w:rsidRDefault="00694C0F">
      <w:r>
        <w:t xml:space="preserve"> The XML contents of the data storage part conform to the schema defined in Content Type Schemas Schema (</w:t>
      </w:r>
      <w:hyperlink w:anchor="Section_acb43eb342e64ae998cacd04346b080a">
        <w:r>
          <w:rPr>
            <w:rStyle w:val="Hyperlink"/>
          </w:rPr>
          <w:t>§3.5.2.1, Content Type Schemas Schema</w:t>
        </w:r>
      </w:hyperlink>
      <w:r>
        <w:t>).</w:t>
      </w:r>
    </w:p>
    <w:p w:rsidR="00024C0A" w:rsidRDefault="00694C0F">
      <w:r>
        <w:t>The root element of the Custom XML Da</w:t>
      </w:r>
      <w:r>
        <w:t>ta Storage Part shall be contentTypeSchema (</w:t>
      </w:r>
      <w:hyperlink w:anchor="Section_0365ee65da5b44769eaa73f1dda94db8">
        <w:r>
          <w:rPr>
            <w:rStyle w:val="Hyperlink"/>
          </w:rPr>
          <w:t>§3.5.2.1.1.1, contentTypeSchema</w:t>
        </w:r>
      </w:hyperlink>
      <w:r>
        <w:t>).</w:t>
      </w:r>
    </w:p>
    <w:p w:rsidR="00024C0A" w:rsidRDefault="00694C0F">
      <w:r>
        <w:t>The Associated XML Schema ("[ISO/IEC-29500-1] §22.5.2.2; schemaRef") for this Custom XML Data Storage Part shall be</w:t>
      </w:r>
      <w:r>
        <w:t xml:space="preserve"> “http://schemas.microsoft.com/‌office/‌2006/‌metadata/‌contentType”. </w:t>
      </w:r>
    </w:p>
    <w:p w:rsidR="00024C0A" w:rsidRDefault="00694C0F">
      <w:pPr>
        <w:pStyle w:val="Heading4"/>
      </w:pPr>
      <w:bookmarkStart w:id="4061" w:name="section_acb43eb342e64ae998cacd04346b080a"/>
      <w:bookmarkStart w:id="4062" w:name="_Toc12262091"/>
      <w:r>
        <w:t>Content Type Schemas Schema</w:t>
      </w:r>
      <w:bookmarkEnd w:id="4061"/>
      <w:bookmarkEnd w:id="4062"/>
      <w:r>
        <w:fldChar w:fldCharType="begin"/>
      </w:r>
      <w:r>
        <w:instrText xml:space="preserve"> XE "Content Type Schemas Schema" </w:instrText>
      </w:r>
      <w:r>
        <w:fldChar w:fldCharType="end"/>
      </w:r>
    </w:p>
    <w:p w:rsidR="00024C0A" w:rsidRDefault="00694C0F">
      <w:r>
        <w:t>Content Type Schemas define the general look and composition of UI elements presented in a Document Information Panel. In</w:t>
      </w:r>
      <w:r>
        <w:t>formation in the content type schema is derived from a content type associated with documents on Windows SharePoint Services. A Content Type Schema is used in conjunction with a CustomXSN element (§</w:t>
      </w:r>
      <w:hyperlink w:anchor="Section_dff741e5b6874a57a0ea91144bd69a9c">
        <w:r>
          <w:rPr>
            <w:rStyle w:val="Hyperlink"/>
          </w:rPr>
          <w:t>3.5.4.1.1.2, customXsn</w:t>
        </w:r>
      </w:hyperlink>
      <w:r>
        <w:t>) data to fully define the behaviors of the Document Information Panel.</w:t>
      </w:r>
    </w:p>
    <w:p w:rsidR="00024C0A" w:rsidRDefault="00694C0F">
      <w:pPr>
        <w:pStyle w:val="Heading5"/>
      </w:pPr>
      <w:bookmarkStart w:id="4063" w:name="section_21462389b3c94d13a07d6cf86d4fb4e5"/>
      <w:bookmarkStart w:id="4064" w:name="_Toc12262092"/>
      <w:r>
        <w:t>Elements</w:t>
      </w:r>
      <w:bookmarkEnd w:id="4063"/>
      <w:bookmarkEnd w:id="4064"/>
    </w:p>
    <w:p w:rsidR="00024C0A" w:rsidRDefault="00694C0F">
      <w:pPr>
        <w:pStyle w:val="Heading6"/>
      </w:pPr>
      <w:bookmarkStart w:id="4065" w:name="section_0365ee65da5b44769eaa73f1dda94db8"/>
      <w:bookmarkStart w:id="4066" w:name="_Toc12262093"/>
      <w:r>
        <w:lastRenderedPageBreak/>
        <w:t>contentTypeSchema (Schema for Content Type)</w:t>
      </w:r>
      <w:bookmarkEnd w:id="4065"/>
      <w:bookmarkEnd w:id="4066"/>
      <w:r>
        <w:fldChar w:fldCharType="begin"/>
      </w:r>
      <w:r>
        <w:instrText xml:space="preserve"> XE "contentTypeSchema (Schema for Content Type)" </w:instrText>
      </w:r>
      <w:r>
        <w:fldChar w:fldCharType="end"/>
      </w:r>
    </w:p>
    <w:p w:rsidR="00024C0A" w:rsidRDefault="00694C0F">
      <w:r>
        <w:t>The attributes and children of this element collecti</w:t>
      </w:r>
      <w:r>
        <w:t>vely specify a schema for the custom XML data part that specifies properties related to the content type associated with the document on Windows SharePoint Services. Each child of this element is an xsd:schema element, possibly decorated with attributes fr</w:t>
      </w:r>
      <w:r>
        <w:t xml:space="preserve">om the http://schemas.microsoft.com/office/2006/metadata/properties/metaAttributes namespace, that describes one or more elements that appear in that custom XML data part. </w:t>
      </w:r>
    </w:p>
    <w:p w:rsidR="00024C0A" w:rsidRDefault="00694C0F">
      <w:r>
        <w:t>In the following description, let the term 'content type' refer specifically to the</w:t>
      </w:r>
      <w:r>
        <w:t xml:space="preserve"> root element of the Content Type Definition Type as described in Collaborative Application Markup Language (CAML) Structure Specification (</w:t>
      </w:r>
      <w:hyperlink r:id="rId356" w:anchor="Section_8d6156fd646842949594644a946ed6a6">
        <w:r>
          <w:rPr>
            <w:rStyle w:val="Hyperlink"/>
          </w:rPr>
          <w:t>[MS-WSSCAML]</w:t>
        </w:r>
      </w:hyperlink>
      <w:r>
        <w:t xml:space="preserve"> Subclause 2.4.1.1).</w:t>
      </w:r>
    </w:p>
    <w:p w:rsidR="00024C0A" w:rsidRDefault="00694C0F">
      <w:r>
        <w:t>T</w:t>
      </w:r>
      <w:r>
        <w:t xml:space="preserve">he </w:t>
      </w:r>
      <w:r>
        <w:rPr>
          <w:b/>
        </w:rPr>
        <w:t>contentTypeSchema</w:t>
      </w:r>
      <w:r>
        <w:t xml:space="preserve"> element shall contain an </w:t>
      </w:r>
      <w:r>
        <w:rPr>
          <w:b/>
        </w:rPr>
        <w:t>xsd:schema</w:t>
      </w:r>
      <w:r>
        <w:t xml:space="preserve"> child element which has an </w:t>
      </w:r>
      <w:r>
        <w:rPr>
          <w:b/>
        </w:rPr>
        <w:t>ma:root</w:t>
      </w:r>
      <w:r>
        <w:t xml:space="preserve"> attribute (</w:t>
      </w:r>
      <w:hyperlink w:anchor="Section_83c200b15a6944308fe6adc3583034a2">
        <w:r>
          <w:rPr>
            <w:rStyle w:val="Hyperlink"/>
          </w:rPr>
          <w:t>§3.5.2.2.1, Shared Attributes</w:t>
        </w:r>
      </w:hyperlink>
      <w:r>
        <w:t xml:space="preserve">) with a value of </w:t>
      </w:r>
      <w:r>
        <w:rPr>
          <w:i/>
        </w:rPr>
        <w:t>true</w:t>
      </w:r>
      <w:r>
        <w:t xml:space="preserve">. This </w:t>
      </w:r>
      <w:r>
        <w:rPr>
          <w:b/>
        </w:rPr>
        <w:t>xsd:schema</w:t>
      </w:r>
      <w:r>
        <w:t xml:space="preserve"> must have a </w:t>
      </w:r>
      <w:r>
        <w:rPr>
          <w:b/>
        </w:rPr>
        <w:t>targetNamespace</w:t>
      </w:r>
      <w:r>
        <w:t xml:space="preserve"> attribute whose value is set to </w:t>
      </w:r>
      <w:r>
        <w:rPr>
          <w:i/>
        </w:rPr>
        <w:t>http://schemas.microsoft.com/office/2006/metadata/properties</w:t>
      </w:r>
      <w:r>
        <w:t xml:space="preserve">. The </w:t>
      </w:r>
      <w:r>
        <w:rPr>
          <w:b/>
        </w:rPr>
        <w:t>xsd:schema</w:t>
      </w:r>
      <w:r>
        <w:t xml:space="preserve"> must declare and import any namespaces used by its child elements. It must also have an </w:t>
      </w:r>
      <w:r>
        <w:rPr>
          <w:b/>
        </w:rPr>
        <w:t>ma:fieldsID</w:t>
      </w:r>
      <w:r>
        <w:t xml:space="preserve"> attribute (§3.5.2.2.1, Shared A</w:t>
      </w:r>
      <w:r>
        <w:t>ttributes).</w:t>
      </w:r>
    </w:p>
    <w:p w:rsidR="00024C0A" w:rsidRDefault="00694C0F">
      <w:r>
        <w:t xml:space="preserve">Additionally, this </w:t>
      </w:r>
      <w:r>
        <w:rPr>
          <w:b/>
        </w:rPr>
        <w:t>xsd:schema</w:t>
      </w:r>
      <w:r>
        <w:t xml:space="preserve"> element must declare an element with a </w:t>
      </w:r>
      <w:r>
        <w:rPr>
          <w:b/>
        </w:rPr>
        <w:t>name</w:t>
      </w:r>
      <w:r>
        <w:t xml:space="preserve"> attribute whose value is </w:t>
      </w:r>
      <w:r>
        <w:rPr>
          <w:i/>
        </w:rPr>
        <w:t>properties</w:t>
      </w:r>
      <w:r>
        <w:t xml:space="preserve"> and which uses the following structure. The children of the </w:t>
      </w:r>
      <w:r>
        <w:rPr>
          <w:b/>
        </w:rPr>
        <w:t>xsd:all</w:t>
      </w:r>
      <w:r>
        <w:t xml:space="preserve"> element are not shown, but instead described by the text that foll</w:t>
      </w:r>
      <w:r>
        <w:t>ows.</w:t>
      </w:r>
    </w:p>
    <w:p w:rsidR="00024C0A" w:rsidRDefault="00694C0F">
      <w:pPr>
        <w:pStyle w:val="Code"/>
      </w:pPr>
      <w:r>
        <w:t>&lt;xsd:element name="properties"&gt;</w:t>
      </w:r>
    </w:p>
    <w:p w:rsidR="00024C0A" w:rsidRDefault="00694C0F">
      <w:pPr>
        <w:pStyle w:val="Code"/>
      </w:pPr>
      <w:r>
        <w:t xml:space="preserve">  &lt;xsd:complexType&gt;</w:t>
      </w:r>
    </w:p>
    <w:p w:rsidR="00024C0A" w:rsidRDefault="00694C0F">
      <w:pPr>
        <w:pStyle w:val="Code"/>
      </w:pPr>
      <w:r>
        <w:t xml:space="preserve">    &lt;xsd:sequence&gt;</w:t>
      </w:r>
    </w:p>
    <w:p w:rsidR="00024C0A" w:rsidRDefault="00694C0F">
      <w:pPr>
        <w:pStyle w:val="Code"/>
      </w:pPr>
      <w:r>
        <w:t xml:space="preserve">      &lt;xsd:element name="documentManagement"&gt;</w:t>
      </w:r>
    </w:p>
    <w:p w:rsidR="00024C0A" w:rsidRDefault="00694C0F">
      <w:pPr>
        <w:pStyle w:val="Code"/>
      </w:pPr>
      <w:r>
        <w:t xml:space="preserve">        &lt;xsd:complexType&gt;</w:t>
      </w:r>
    </w:p>
    <w:p w:rsidR="00024C0A" w:rsidRDefault="00694C0F">
      <w:pPr>
        <w:pStyle w:val="Code"/>
      </w:pPr>
      <w:r>
        <w:t xml:space="preserve">          &lt;xsd:all&gt;</w:t>
      </w:r>
    </w:p>
    <w:p w:rsidR="00024C0A" w:rsidRDefault="00694C0F">
      <w:pPr>
        <w:pStyle w:val="Code"/>
      </w:pPr>
      <w:r>
        <w:t xml:space="preserve">            ...</w:t>
      </w:r>
    </w:p>
    <w:p w:rsidR="00024C0A" w:rsidRDefault="00694C0F">
      <w:pPr>
        <w:pStyle w:val="Code"/>
      </w:pPr>
      <w:r>
        <w:t xml:space="preserve">          &lt;/xsd:all&gt;</w:t>
      </w:r>
    </w:p>
    <w:p w:rsidR="00024C0A" w:rsidRDefault="00694C0F">
      <w:pPr>
        <w:pStyle w:val="Code"/>
      </w:pPr>
      <w:r>
        <w:t xml:space="preserve">        &lt;/xsd:complexType&gt;</w:t>
      </w:r>
    </w:p>
    <w:p w:rsidR="00024C0A" w:rsidRDefault="00694C0F">
      <w:pPr>
        <w:pStyle w:val="Code"/>
      </w:pPr>
      <w:r>
        <w:t xml:space="preserve">      &lt;/xsd:element&gt;</w:t>
      </w:r>
    </w:p>
    <w:p w:rsidR="00024C0A" w:rsidRDefault="00694C0F">
      <w:pPr>
        <w:pStyle w:val="Code"/>
      </w:pPr>
      <w:r>
        <w:t xml:space="preserve">    &lt;/xsd:sequence&gt;</w:t>
      </w:r>
    </w:p>
    <w:p w:rsidR="00024C0A" w:rsidRDefault="00694C0F">
      <w:pPr>
        <w:pStyle w:val="Code"/>
      </w:pPr>
      <w:r>
        <w:t xml:space="preserve">  &lt;/xsd:complexType&gt;</w:t>
      </w:r>
    </w:p>
    <w:p w:rsidR="00024C0A" w:rsidRDefault="00694C0F">
      <w:pPr>
        <w:pStyle w:val="Code"/>
      </w:pPr>
      <w:r>
        <w:t>&lt;/xsd:element&gt;</w:t>
      </w:r>
    </w:p>
    <w:p w:rsidR="00024C0A" w:rsidRDefault="00694C0F">
      <w:r>
        <w:t xml:space="preserve">Let the term "fields" denote the list of all </w:t>
      </w:r>
      <w:r>
        <w:rPr>
          <w:b/>
        </w:rPr>
        <w:t>Field</w:t>
      </w:r>
      <w:r>
        <w:t xml:space="preserve"> elements that are children of the </w:t>
      </w:r>
      <w:r>
        <w:rPr>
          <w:b/>
        </w:rPr>
        <w:t>Fields</w:t>
      </w:r>
      <w:r>
        <w:t xml:space="preserve"> element, which is in turn a child of the </w:t>
      </w:r>
      <w:r>
        <w:rPr>
          <w:b/>
        </w:rPr>
        <w:t>ContentType</w:t>
      </w:r>
      <w:r>
        <w:t xml:space="preserve"> element in the content type. The </w:t>
      </w:r>
      <w:r>
        <w:rPr>
          <w:b/>
        </w:rPr>
        <w:t>Field</w:t>
      </w:r>
      <w:r>
        <w:t xml:space="preserve"> elements are the</w:t>
      </w:r>
      <w:r>
        <w:t xml:space="preserve"> fields used in the content type, as described in Collaborative Application Markup Language (CAML) Structure Specification ([MS-WSSCAML] Subclause 2.3.2.6). Furthermore, let the term "filtered fields" denote the list of all filtered fields to be those </w:t>
      </w:r>
      <w:r>
        <w:rPr>
          <w:b/>
        </w:rPr>
        <w:t>Fiel</w:t>
      </w:r>
      <w:r>
        <w:rPr>
          <w:b/>
        </w:rPr>
        <w:t>d</w:t>
      </w:r>
      <w:r>
        <w:t xml:space="preserve"> elements from the fields that satisfy all of the following conditions:</w:t>
      </w:r>
    </w:p>
    <w:p w:rsidR="00024C0A" w:rsidRDefault="00694C0F">
      <w:r>
        <w:t xml:space="preserve">The value of the </w:t>
      </w:r>
      <w:r>
        <w:rPr>
          <w:b/>
        </w:rPr>
        <w:t>Type</w:t>
      </w:r>
      <w:r>
        <w:t xml:space="preserve"> attribute is not </w:t>
      </w:r>
      <w:r>
        <w:rPr>
          <w:i/>
        </w:rPr>
        <w:t>Computed</w:t>
      </w:r>
      <w:r>
        <w:t xml:space="preserve">, </w:t>
      </w:r>
      <w:r>
        <w:rPr>
          <w:i/>
        </w:rPr>
        <w:t>Calculated</w:t>
      </w:r>
      <w:r>
        <w:t xml:space="preserve">, or </w:t>
      </w:r>
      <w:r>
        <w:rPr>
          <w:i/>
        </w:rPr>
        <w:t>WorkflowStatus</w:t>
      </w:r>
      <w:r>
        <w:t>.</w:t>
      </w:r>
    </w:p>
    <w:p w:rsidR="00024C0A" w:rsidRDefault="00694C0F">
      <w:r>
        <w:t xml:space="preserve">The value of the </w:t>
      </w:r>
      <w:r>
        <w:rPr>
          <w:b/>
        </w:rPr>
        <w:t>Name</w:t>
      </w:r>
      <w:r>
        <w:t xml:space="preserve"> attribute is not </w:t>
      </w:r>
      <w:r>
        <w:rPr>
          <w:i/>
        </w:rPr>
        <w:t>Modified_x0020_By</w:t>
      </w:r>
      <w:r>
        <w:t xml:space="preserve">, </w:t>
      </w:r>
      <w:r>
        <w:rPr>
          <w:i/>
        </w:rPr>
        <w:t>Created_x0020_By</w:t>
      </w:r>
      <w:r>
        <w:t xml:space="preserve">, </w:t>
      </w:r>
      <w:r>
        <w:rPr>
          <w:i/>
        </w:rPr>
        <w:t>Modified</w:t>
      </w:r>
      <w:r>
        <w:t xml:space="preserve">, </w:t>
      </w:r>
      <w:r>
        <w:rPr>
          <w:i/>
        </w:rPr>
        <w:t>Created</w:t>
      </w:r>
      <w:r>
        <w:t xml:space="preserve"> or </w:t>
      </w:r>
      <w:r>
        <w:rPr>
          <w:i/>
        </w:rPr>
        <w:t>FileLe</w:t>
      </w:r>
      <w:r>
        <w:rPr>
          <w:i/>
        </w:rPr>
        <w:t>afRef</w:t>
      </w:r>
      <w:r>
        <w:t>.</w:t>
      </w:r>
    </w:p>
    <w:p w:rsidR="00024C0A" w:rsidRDefault="00694C0F">
      <w:r>
        <w:t xml:space="preserve">The value of the </w:t>
      </w:r>
      <w:r>
        <w:rPr>
          <w:b/>
        </w:rPr>
        <w:t>StaticName</w:t>
      </w:r>
      <w:r>
        <w:t xml:space="preserve"> attribute is not </w:t>
      </w:r>
      <w:r>
        <w:rPr>
          <w:i/>
        </w:rPr>
        <w:t>Title</w:t>
      </w:r>
      <w:r>
        <w:t xml:space="preserve">, </w:t>
      </w:r>
      <w:r>
        <w:rPr>
          <w:i/>
        </w:rPr>
        <w:t>Subject</w:t>
      </w:r>
      <w:r>
        <w:t xml:space="preserve">, </w:t>
      </w:r>
      <w:r>
        <w:rPr>
          <w:i/>
        </w:rPr>
        <w:t>_Author</w:t>
      </w:r>
      <w:r>
        <w:t xml:space="preserve">, </w:t>
      </w:r>
      <w:r>
        <w:rPr>
          <w:i/>
        </w:rPr>
        <w:t>Keywords</w:t>
      </w:r>
      <w:r>
        <w:t xml:space="preserve">, </w:t>
      </w:r>
      <w:r>
        <w:rPr>
          <w:i/>
        </w:rPr>
        <w:t>_Comments</w:t>
      </w:r>
      <w:r>
        <w:t xml:space="preserve">, </w:t>
      </w:r>
      <w:r>
        <w:rPr>
          <w:i/>
        </w:rPr>
        <w:t>_Category</w:t>
      </w:r>
      <w:r>
        <w:t xml:space="preserve">, or </w:t>
      </w:r>
      <w:r>
        <w:rPr>
          <w:i/>
        </w:rPr>
        <w:t>ContentType</w:t>
      </w:r>
      <w:r>
        <w:t xml:space="preserve">. </w:t>
      </w:r>
    </w:p>
    <w:p w:rsidR="00024C0A" w:rsidRDefault="00694C0F">
      <w:r>
        <w:t xml:space="preserve">The xsd:all element from the preceding structure must contain an </w:t>
      </w:r>
      <w:r>
        <w:rPr>
          <w:b/>
        </w:rPr>
        <w:t>xsd:element</w:t>
      </w:r>
      <w:r>
        <w:t xml:space="preserve"> element for each </w:t>
      </w:r>
      <w:r>
        <w:rPr>
          <w:b/>
        </w:rPr>
        <w:t>Field</w:t>
      </w:r>
      <w:r>
        <w:t xml:space="preserve"> element in the filtered fields set. This </w:t>
      </w:r>
      <w:r>
        <w:rPr>
          <w:b/>
        </w:rPr>
        <w:t>xsd:element</w:t>
      </w:r>
      <w:r>
        <w:t xml:space="preserve"> must have a </w:t>
      </w:r>
      <w:r>
        <w:rPr>
          <w:b/>
        </w:rPr>
        <w:t>ref</w:t>
      </w:r>
      <w:r>
        <w:t xml:space="preserve"> attribute. The value of the </w:t>
      </w:r>
      <w:r>
        <w:rPr>
          <w:b/>
        </w:rPr>
        <w:t>ref</w:t>
      </w:r>
      <w:r>
        <w:t xml:space="preserve"> attribute must be a qualified reference to a type whose name is the value of the </w:t>
      </w:r>
      <w:r>
        <w:rPr>
          <w:b/>
        </w:rPr>
        <w:t>StaticName</w:t>
      </w:r>
      <w:r>
        <w:t xml:space="preserve"> attribute of the </w:t>
      </w:r>
      <w:r>
        <w:rPr>
          <w:b/>
        </w:rPr>
        <w:t>Field</w:t>
      </w:r>
      <w:r>
        <w:t xml:space="preserve"> element and which resides in the namesp</w:t>
      </w:r>
      <w:r>
        <w:t xml:space="preserve">ace identified by the SourceID attribute of the </w:t>
      </w:r>
      <w:r>
        <w:rPr>
          <w:b/>
        </w:rPr>
        <w:t>Field</w:t>
      </w:r>
      <w:r>
        <w:t xml:space="preserve"> element. Furthermore, if the </w:t>
      </w:r>
      <w:r>
        <w:rPr>
          <w:b/>
        </w:rPr>
        <w:t>Required</w:t>
      </w:r>
      <w:r>
        <w:t xml:space="preserve"> attribute is not present on the </w:t>
      </w:r>
      <w:r>
        <w:rPr>
          <w:b/>
        </w:rPr>
        <w:t>Field</w:t>
      </w:r>
      <w:r>
        <w:t xml:space="preserve"> element; or if the attribute is present but its value is not </w:t>
      </w:r>
      <w:r>
        <w:rPr>
          <w:i/>
        </w:rPr>
        <w:t>TRUE</w:t>
      </w:r>
      <w:r>
        <w:t xml:space="preserve">; or if the value of the Type attribute is </w:t>
      </w:r>
      <w:r>
        <w:rPr>
          <w:i/>
        </w:rPr>
        <w:t>MultiChoice</w:t>
      </w:r>
      <w:r>
        <w:t xml:space="preserve"> or </w:t>
      </w:r>
      <w:r>
        <w:rPr>
          <w:i/>
        </w:rPr>
        <w:t>Loo</w:t>
      </w:r>
      <w:r>
        <w:rPr>
          <w:i/>
        </w:rPr>
        <w:t>kupMulti</w:t>
      </w:r>
      <w:r>
        <w:t xml:space="preserve">, then a </w:t>
      </w:r>
      <w:r>
        <w:rPr>
          <w:b/>
        </w:rPr>
        <w:t>minOccurs</w:t>
      </w:r>
      <w:r>
        <w:t xml:space="preserve"> attribute with value of </w:t>
      </w:r>
      <w:r>
        <w:rPr>
          <w:i/>
        </w:rPr>
        <w:t>0</w:t>
      </w:r>
      <w:r>
        <w:t xml:space="preserve"> must be present on the </w:t>
      </w:r>
      <w:r>
        <w:rPr>
          <w:b/>
        </w:rPr>
        <w:t>xsd:element</w:t>
      </w:r>
      <w:r>
        <w:t xml:space="preserve"> element.</w:t>
      </w:r>
    </w:p>
    <w:p w:rsidR="00024C0A" w:rsidRDefault="00694C0F">
      <w:r>
        <w:lastRenderedPageBreak/>
        <w:t xml:space="preserve">For each unique string that appears as the value of the </w:t>
      </w:r>
      <w:r>
        <w:rPr>
          <w:b/>
        </w:rPr>
        <w:t>SourceID</w:t>
      </w:r>
      <w:r>
        <w:t xml:space="preserve"> attribute on a </w:t>
      </w:r>
      <w:r>
        <w:rPr>
          <w:b/>
        </w:rPr>
        <w:t>Field</w:t>
      </w:r>
      <w:r>
        <w:t xml:space="preserve"> element in the fields, the </w:t>
      </w:r>
      <w:r>
        <w:rPr>
          <w:b/>
        </w:rPr>
        <w:t>contentTypeSchema</w:t>
      </w:r>
      <w:r>
        <w:t xml:space="preserve"> element must contain an </w:t>
      </w:r>
      <w:r>
        <w:rPr>
          <w:b/>
        </w:rPr>
        <w:t>xsd:</w:t>
      </w:r>
      <w:r>
        <w:rPr>
          <w:b/>
        </w:rPr>
        <w:t>schema</w:t>
      </w:r>
      <w:r>
        <w:t xml:space="preserve"> child whose </w:t>
      </w:r>
      <w:r>
        <w:rPr>
          <w:b/>
        </w:rPr>
        <w:t>targetNamespace</w:t>
      </w:r>
      <w:r>
        <w:t xml:space="preserve"> attribute has that same value. Each </w:t>
      </w:r>
      <w:r>
        <w:rPr>
          <w:b/>
        </w:rPr>
        <w:t>xsd:schema</w:t>
      </w:r>
      <w:r>
        <w:t xml:space="preserve"> must contain one </w:t>
      </w:r>
      <w:r>
        <w:rPr>
          <w:b/>
        </w:rPr>
        <w:t>xsd:element</w:t>
      </w:r>
      <w:r>
        <w:t xml:space="preserve"> element for each </w:t>
      </w:r>
      <w:r>
        <w:rPr>
          <w:b/>
        </w:rPr>
        <w:t>Field</w:t>
      </w:r>
      <w:r>
        <w:t xml:space="preserve"> whose </w:t>
      </w:r>
      <w:r>
        <w:rPr>
          <w:b/>
        </w:rPr>
        <w:t>SourceID</w:t>
      </w:r>
      <w:r>
        <w:t xml:space="preserve"> attribute matches the </w:t>
      </w:r>
      <w:r>
        <w:rPr>
          <w:b/>
        </w:rPr>
        <w:t>targetNamespace</w:t>
      </w:r>
      <w:r>
        <w:t xml:space="preserve"> attribute of the </w:t>
      </w:r>
      <w:r>
        <w:rPr>
          <w:b/>
        </w:rPr>
        <w:t>xsd:schema</w:t>
      </w:r>
      <w:r>
        <w:t xml:space="preserve">. </w:t>
      </w:r>
    </w:p>
    <w:p w:rsidR="00024C0A" w:rsidRDefault="00694C0F">
      <w:r>
        <w:t xml:space="preserve">Each </w:t>
      </w:r>
      <w:r>
        <w:rPr>
          <w:b/>
        </w:rPr>
        <w:t>xsd:element</w:t>
      </w:r>
      <w:r>
        <w:t xml:space="preserve"> element must have a </w:t>
      </w:r>
      <w:r>
        <w:rPr>
          <w:b/>
        </w:rPr>
        <w:t>na</w:t>
      </w:r>
      <w:r>
        <w:rPr>
          <w:b/>
        </w:rPr>
        <w:t>me</w:t>
      </w:r>
      <w:r>
        <w:t xml:space="preserve"> attribute whose value is the value of the </w:t>
      </w:r>
      <w:r>
        <w:rPr>
          <w:b/>
        </w:rPr>
        <w:t>StaticName</w:t>
      </w:r>
      <w:r>
        <w:t xml:space="preserve"> attribute on the corresponding </w:t>
      </w:r>
      <w:r>
        <w:rPr>
          <w:b/>
        </w:rPr>
        <w:t>Field</w:t>
      </w:r>
      <w:r>
        <w:t xml:space="preserve"> element. Each </w:t>
      </w:r>
      <w:r>
        <w:rPr>
          <w:b/>
        </w:rPr>
        <w:t>xsd:element</w:t>
      </w:r>
      <w:r>
        <w:t xml:space="preserve"> element must have an </w:t>
      </w:r>
      <w:r>
        <w:rPr>
          <w:b/>
        </w:rPr>
        <w:t>ma:index</w:t>
      </w:r>
      <w:r>
        <w:t xml:space="preserve"> attribute (§</w:t>
      </w:r>
      <w:hyperlink w:anchor="Section_e784c18d69eb486996da0afdd0001ef4">
        <w:r>
          <w:rPr>
            <w:rStyle w:val="Hyperlink"/>
          </w:rPr>
          <w:t>3.5.2.2, Metadata Attributes</w:t>
        </w:r>
      </w:hyperlink>
      <w:r>
        <w:t>) wh</w:t>
      </w:r>
      <w:r>
        <w:t xml:space="preserve">ose value is the number of </w:t>
      </w:r>
      <w:r>
        <w:rPr>
          <w:b/>
        </w:rPr>
        <w:t>Field</w:t>
      </w:r>
      <w:r>
        <w:t xml:space="preserve"> elements that appear before the corresponding </w:t>
      </w:r>
      <w:r>
        <w:rPr>
          <w:b/>
        </w:rPr>
        <w:t>Field</w:t>
      </w:r>
      <w:r>
        <w:t xml:space="preserve"> element within the </w:t>
      </w:r>
      <w:r>
        <w:rPr>
          <w:b/>
        </w:rPr>
        <w:t>Fields</w:t>
      </w:r>
      <w:r>
        <w:t xml:space="preserve"> element in the content type. If the </w:t>
      </w:r>
      <w:r>
        <w:rPr>
          <w:b/>
        </w:rPr>
        <w:t>Required</w:t>
      </w:r>
      <w:r>
        <w:t xml:space="preserve"> attribute is not present on the corresponding </w:t>
      </w:r>
      <w:r>
        <w:rPr>
          <w:b/>
        </w:rPr>
        <w:t>Field</w:t>
      </w:r>
      <w:r>
        <w:t xml:space="preserve"> element; the </w:t>
      </w:r>
      <w:r>
        <w:rPr>
          <w:b/>
        </w:rPr>
        <w:t>Required</w:t>
      </w:r>
      <w:r>
        <w:t xml:space="preserve"> attribute is present but its value is not </w:t>
      </w:r>
      <w:r>
        <w:rPr>
          <w:i/>
        </w:rPr>
        <w:t>TRUE</w:t>
      </w:r>
      <w:r>
        <w:t xml:space="preserve">; or the value of the </w:t>
      </w:r>
      <w:r>
        <w:rPr>
          <w:b/>
        </w:rPr>
        <w:t>Type</w:t>
      </w:r>
      <w:r>
        <w:t xml:space="preserve"> attribute is </w:t>
      </w:r>
      <w:r>
        <w:rPr>
          <w:i/>
        </w:rPr>
        <w:t>MultiChoice</w:t>
      </w:r>
      <w:r>
        <w:t xml:space="preserve"> or </w:t>
      </w:r>
      <w:r>
        <w:rPr>
          <w:i/>
        </w:rPr>
        <w:t>LookupMulti</w:t>
      </w:r>
      <w:r>
        <w:t xml:space="preserve">, then a nullable attribute with value of </w:t>
      </w:r>
      <w:r>
        <w:rPr>
          <w:i/>
        </w:rPr>
        <w:t>true</w:t>
      </w:r>
      <w:r>
        <w:t xml:space="preserve"> must be present on the </w:t>
      </w:r>
      <w:r>
        <w:rPr>
          <w:b/>
        </w:rPr>
        <w:t xml:space="preserve">xsd:element </w:t>
      </w:r>
      <w:r>
        <w:t xml:space="preserve">element. </w:t>
      </w:r>
    </w:p>
    <w:p w:rsidR="00024C0A" w:rsidRDefault="00694C0F">
      <w:r>
        <w:t xml:space="preserve">The following attributes can appear on each </w:t>
      </w:r>
      <w:r>
        <w:rPr>
          <w:b/>
        </w:rPr>
        <w:t>xsd:ele</w:t>
      </w:r>
      <w:r>
        <w:rPr>
          <w:b/>
        </w:rPr>
        <w:t>ment</w:t>
      </w:r>
      <w:r>
        <w:t xml:space="preserve"> element: </w:t>
      </w:r>
      <w:r>
        <w:rPr>
          <w:b/>
        </w:rPr>
        <w:t>ma:displayName</w:t>
      </w:r>
      <w:r>
        <w:t xml:space="preserve"> (§3.5.2.2, Metadata Attributes); </w:t>
      </w:r>
      <w:r>
        <w:rPr>
          <w:b/>
        </w:rPr>
        <w:t>ma:decimals</w:t>
      </w:r>
      <w:r>
        <w:t xml:space="preserve"> (§3.5.2.2, Metadata Attributes); </w:t>
      </w:r>
      <w:r>
        <w:rPr>
          <w:b/>
        </w:rPr>
        <w:t>ma:default</w:t>
      </w:r>
      <w:r>
        <w:t xml:space="preserve"> (§3.5.2.2, Metadata Attributes); </w:t>
      </w:r>
      <w:r>
        <w:rPr>
          <w:b/>
        </w:rPr>
        <w:t>ma:description</w:t>
      </w:r>
      <w:r>
        <w:t xml:space="preserve"> (§3.5.2.2, Metadata Attributes); </w:t>
      </w:r>
      <w:r>
        <w:rPr>
          <w:b/>
        </w:rPr>
        <w:t>ma:format</w:t>
      </w:r>
      <w:r>
        <w:t xml:space="preserve"> (§3.5.2.2, Metadata Attributes); </w:t>
      </w:r>
      <w:r>
        <w:rPr>
          <w:b/>
        </w:rPr>
        <w:t>ma:hidden</w:t>
      </w:r>
      <w:r>
        <w:t xml:space="preserve"> (§3.</w:t>
      </w:r>
      <w:r>
        <w:t xml:space="preserve">5.2.2, Metadata Attributes); ma:LCID (§3.5.2.2, Metadata Attributes); ma:list (§3.5.2.2, Metadata Attributes); </w:t>
      </w:r>
      <w:r>
        <w:rPr>
          <w:b/>
        </w:rPr>
        <w:t>ma:internalName</w:t>
      </w:r>
      <w:r>
        <w:t xml:space="preserve"> (§3.5.2.2, Metadata Attributes); </w:t>
      </w:r>
      <w:r>
        <w:rPr>
          <w:b/>
        </w:rPr>
        <w:t>ma:readOnly</w:t>
      </w:r>
      <w:r>
        <w:t xml:space="preserve"> (§3.5.2.2, Metadata Attributes); </w:t>
      </w:r>
      <w:r>
        <w:rPr>
          <w:b/>
        </w:rPr>
        <w:t>ma:showField</w:t>
      </w:r>
      <w:r>
        <w:t xml:space="preserve"> (§3.5.2.2, Metadata Attributes); </w:t>
      </w:r>
      <w:r>
        <w:rPr>
          <w:b/>
        </w:rPr>
        <w:t>ma:pe</w:t>
      </w:r>
      <w:r>
        <w:rPr>
          <w:b/>
        </w:rPr>
        <w:t>rcentage</w:t>
      </w:r>
      <w:r>
        <w:t xml:space="preserve"> (§3.5.2.2, Metadata Attributes); </w:t>
      </w:r>
      <w:r>
        <w:rPr>
          <w:b/>
        </w:rPr>
        <w:t>ma:web</w:t>
      </w:r>
      <w:r>
        <w:t xml:space="preserve"> (§3.5.2.2, Metadata Attributes); </w:t>
      </w:r>
      <w:r>
        <w:rPr>
          <w:b/>
        </w:rPr>
        <w:t>ma:requiredMultiChoice</w:t>
      </w:r>
      <w:r>
        <w:t xml:space="preserve"> (§3.5.2.2, Metadata Attributes).</w:t>
      </w:r>
    </w:p>
    <w:p w:rsidR="00024C0A" w:rsidRDefault="00694C0F">
      <w:r>
        <w:t xml:space="preserve">The </w:t>
      </w:r>
      <w:r>
        <w:rPr>
          <w:b/>
        </w:rPr>
        <w:t>contentTypeSchema</w:t>
      </w:r>
      <w:r>
        <w:t xml:space="preserve"> element must have an </w:t>
      </w:r>
      <w:r>
        <w:rPr>
          <w:b/>
        </w:rPr>
        <w:t>xsd:schema</w:t>
      </w:r>
      <w:r>
        <w:t xml:space="preserve"> child whose </w:t>
      </w:r>
      <w:r>
        <w:rPr>
          <w:b/>
        </w:rPr>
        <w:t>targetNamespace</w:t>
      </w:r>
      <w:r>
        <w:t xml:space="preserve"> attribute has the value </w:t>
      </w:r>
      <w:r>
        <w:rPr>
          <w:i/>
        </w:rPr>
        <w:t>http://schem</w:t>
      </w:r>
      <w:r>
        <w:rPr>
          <w:i/>
        </w:rPr>
        <w:t>as.openxmlformats.org/package/2006/metadata/core-properties</w:t>
      </w:r>
      <w:r>
        <w:t xml:space="preserve">. </w:t>
      </w:r>
    </w:p>
    <w:tbl>
      <w:tblPr>
        <w:tblStyle w:val="Table-ShadedHeader"/>
        <w:tblW w:w="0" w:type="auto"/>
        <w:tblLook w:val="04A0" w:firstRow="1" w:lastRow="0" w:firstColumn="1" w:lastColumn="0" w:noHBand="0" w:noVBand="1"/>
      </w:tblPr>
      <w:tblGrid>
        <w:gridCol w:w="6693"/>
        <w:gridCol w:w="2782"/>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Attributes</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_</w:t>
            </w:r>
            <w:r>
              <w:t xml:space="preserve"> (Reserved)</w:t>
            </w:r>
          </w:p>
        </w:tc>
        <w:tc>
          <w:tcPr>
            <w:tcW w:w="0" w:type="auto"/>
            <w:vAlign w:val="center"/>
          </w:tcPr>
          <w:p w:rsidR="00024C0A" w:rsidRDefault="00694C0F">
            <w:pPr>
              <w:pStyle w:val="TableBodyText"/>
            </w:pPr>
            <w:r>
              <w:t>Shall be empty.</w:t>
            </w:r>
          </w:p>
          <w:p w:rsidR="00024C0A" w:rsidRDefault="00024C0A">
            <w:pPr>
              <w:pStyle w:val="TableBodyText"/>
            </w:pPr>
          </w:p>
          <w:p w:rsidR="00024C0A" w:rsidRDefault="00694C0F">
            <w:pPr>
              <w:pStyle w:val="TableBodyText"/>
            </w:pPr>
            <w:r>
              <w:t>The possible values for this attribute are defined by the XML Schema anySimpleType datatype.</w:t>
            </w:r>
          </w:p>
        </w:tc>
      </w:tr>
      <w:tr w:rsidR="00024C0A" w:rsidTr="00024C0A">
        <w:tc>
          <w:tcPr>
            <w:tcW w:w="0" w:type="auto"/>
            <w:vAlign w:val="center"/>
          </w:tcPr>
          <w:p w:rsidR="00024C0A" w:rsidRDefault="00694C0F">
            <w:pPr>
              <w:pStyle w:val="TableBodyText"/>
            </w:pPr>
            <w:r>
              <w:rPr>
                <w:b/>
              </w:rPr>
              <w:t>_</w:t>
            </w:r>
            <w:r>
              <w:t xml:space="preserve"> (Reserved)</w:t>
            </w:r>
          </w:p>
          <w:p w:rsidR="00024C0A" w:rsidRDefault="00024C0A">
            <w:pPr>
              <w:pStyle w:val="TableBodyText"/>
            </w:pPr>
          </w:p>
          <w:p w:rsidR="00024C0A" w:rsidRDefault="00694C0F">
            <w:pPr>
              <w:pStyle w:val="TableBodyText"/>
            </w:pPr>
            <w:r>
              <w:t xml:space="preserve">Namespace: </w:t>
            </w:r>
            <w:r>
              <w:t>http://schemas.microsoft.com/office/2006/metadata/properties/metaAttributes</w:t>
            </w:r>
          </w:p>
        </w:tc>
        <w:tc>
          <w:tcPr>
            <w:tcW w:w="0" w:type="auto"/>
            <w:vAlign w:val="center"/>
          </w:tcPr>
          <w:p w:rsidR="00024C0A" w:rsidRDefault="00694C0F">
            <w:pPr>
              <w:pStyle w:val="TableBodyText"/>
            </w:pPr>
            <w:r>
              <w:t>Shall be empty.</w:t>
            </w:r>
          </w:p>
          <w:p w:rsidR="00024C0A" w:rsidRDefault="00024C0A">
            <w:pPr>
              <w:pStyle w:val="TableBodyText"/>
            </w:pPr>
          </w:p>
          <w:p w:rsidR="00024C0A" w:rsidRDefault="00694C0F">
            <w:pPr>
              <w:pStyle w:val="TableBodyText"/>
            </w:pPr>
            <w:r>
              <w:t>The possible values for this attribute are defined by the XML Schema anySimpleType datatype.</w:t>
            </w:r>
          </w:p>
        </w:tc>
      </w:tr>
      <w:tr w:rsidR="00024C0A" w:rsidTr="00024C0A">
        <w:tc>
          <w:tcPr>
            <w:tcW w:w="0" w:type="auto"/>
            <w:vAlign w:val="center"/>
          </w:tcPr>
          <w:p w:rsidR="00024C0A" w:rsidRDefault="00694C0F">
            <w:pPr>
              <w:pStyle w:val="TableBodyText"/>
            </w:pPr>
            <w:r>
              <w:rPr>
                <w:b/>
              </w:rPr>
              <w:t>contentTypeDescription</w:t>
            </w:r>
            <w:r>
              <w:t xml:space="preserve"> (Content Type Description)</w:t>
            </w:r>
          </w:p>
          <w:p w:rsidR="00024C0A" w:rsidRDefault="00024C0A">
            <w:pPr>
              <w:pStyle w:val="TableBodyText"/>
            </w:pPr>
          </w:p>
          <w:p w:rsidR="00024C0A" w:rsidRDefault="00694C0F">
            <w:pPr>
              <w:pStyle w:val="TableBodyText"/>
            </w:pPr>
            <w:r>
              <w:t>Namespace: http://</w:t>
            </w:r>
            <w:r>
              <w:t>schemas.microsoft.com/office/2006/metadata/properties/metaAttributes</w:t>
            </w:r>
          </w:p>
        </w:tc>
        <w:tc>
          <w:tcPr>
            <w:tcW w:w="0" w:type="auto"/>
            <w:vAlign w:val="center"/>
          </w:tcPr>
          <w:p w:rsidR="00024C0A" w:rsidRDefault="00694C0F">
            <w:pPr>
              <w:pStyle w:val="TableBodyText"/>
            </w:pPr>
            <w:r>
              <w:t xml:space="preserve">Shall be the same value as the </w:t>
            </w:r>
            <w:r>
              <w:rPr>
                <w:b/>
              </w:rPr>
              <w:t>Description</w:t>
            </w:r>
            <w:r>
              <w:t xml:space="preserve"> attribute of the </w:t>
            </w:r>
            <w:r>
              <w:rPr>
                <w:b/>
              </w:rPr>
              <w:t>ContentType</w:t>
            </w:r>
            <w:r>
              <w:t xml:space="preserve"> element (as described in Collaborative Application Markup Language (CAML) Structure Specification ([MS-WSSCAML] Sub</w:t>
            </w:r>
            <w:r>
              <w:t>clause 2.4.1.1) for the content type associated with this document.</w:t>
            </w:r>
          </w:p>
          <w:p w:rsidR="00024C0A" w:rsidRDefault="00024C0A">
            <w:pPr>
              <w:pStyle w:val="TableBodyText"/>
            </w:pPr>
          </w:p>
          <w:p w:rsidR="00024C0A" w:rsidRDefault="00694C0F">
            <w:pPr>
              <w:pStyle w:val="TableBodyText"/>
            </w:pPr>
            <w:r>
              <w:t>The possible values for this attribute are defined by the XML Schema string datatype.</w:t>
            </w:r>
          </w:p>
        </w:tc>
      </w:tr>
      <w:tr w:rsidR="00024C0A" w:rsidTr="00024C0A">
        <w:tc>
          <w:tcPr>
            <w:tcW w:w="0" w:type="auto"/>
            <w:vAlign w:val="center"/>
          </w:tcPr>
          <w:p w:rsidR="00024C0A" w:rsidRDefault="00694C0F">
            <w:pPr>
              <w:pStyle w:val="TableBodyText"/>
            </w:pPr>
            <w:r>
              <w:rPr>
                <w:b/>
              </w:rPr>
              <w:t>contentTypeID</w:t>
            </w:r>
            <w:r>
              <w:t xml:space="preserve"> (Content Type ID)</w:t>
            </w:r>
          </w:p>
          <w:p w:rsidR="00024C0A" w:rsidRDefault="00024C0A">
            <w:pPr>
              <w:pStyle w:val="TableBodyText"/>
            </w:pPr>
          </w:p>
          <w:p w:rsidR="00024C0A" w:rsidRDefault="00694C0F">
            <w:pPr>
              <w:pStyle w:val="TableBodyText"/>
            </w:pPr>
            <w:r>
              <w:t xml:space="preserve">Namespace: </w:t>
            </w:r>
            <w:r>
              <w:lastRenderedPageBreak/>
              <w:t>http://schemas.microsoft.com/office/2006/metadata/properties/metaAttributes</w:t>
            </w:r>
          </w:p>
        </w:tc>
        <w:tc>
          <w:tcPr>
            <w:tcW w:w="0" w:type="auto"/>
            <w:vAlign w:val="center"/>
          </w:tcPr>
          <w:p w:rsidR="00024C0A" w:rsidRDefault="00694C0F">
            <w:pPr>
              <w:pStyle w:val="TableBodyText"/>
            </w:pPr>
            <w:r>
              <w:lastRenderedPageBreak/>
              <w:t>Identifies the content type associated with this document.</w:t>
            </w:r>
          </w:p>
          <w:p w:rsidR="00024C0A" w:rsidRDefault="00024C0A">
            <w:pPr>
              <w:pStyle w:val="TableBodyText"/>
            </w:pPr>
          </w:p>
          <w:p w:rsidR="00024C0A" w:rsidRDefault="00694C0F">
            <w:pPr>
              <w:pStyle w:val="TableBodyText"/>
            </w:pPr>
            <w:r>
              <w:t xml:space="preserve">The possible values for this </w:t>
            </w:r>
            <w:r>
              <w:lastRenderedPageBreak/>
              <w:t>attribute are defined by the ST_ContentTypeId simple type (§</w:t>
            </w:r>
            <w:hyperlink w:anchor="Section_786223f9b8ff46fdade3b42236e6297f">
              <w:r>
                <w:rPr>
                  <w:rStyle w:val="Hyperlink"/>
                </w:rPr>
                <w:t>3.5.2.2.2.1, ST_ContentTypeId</w:t>
              </w:r>
            </w:hyperlink>
            <w:r>
              <w:t>).</w:t>
            </w:r>
          </w:p>
        </w:tc>
      </w:tr>
      <w:tr w:rsidR="00024C0A" w:rsidTr="00024C0A">
        <w:tc>
          <w:tcPr>
            <w:tcW w:w="0" w:type="auto"/>
            <w:vAlign w:val="center"/>
          </w:tcPr>
          <w:p w:rsidR="00024C0A" w:rsidRDefault="00694C0F">
            <w:pPr>
              <w:pStyle w:val="TableBodyText"/>
            </w:pPr>
            <w:r>
              <w:rPr>
                <w:b/>
              </w:rPr>
              <w:lastRenderedPageBreak/>
              <w:t>contentTypeName</w:t>
            </w:r>
            <w:r>
              <w:t xml:space="preserve"> (Content Type Name)</w:t>
            </w:r>
          </w:p>
          <w:p w:rsidR="00024C0A" w:rsidRDefault="00024C0A">
            <w:pPr>
              <w:pStyle w:val="TableBodyText"/>
            </w:pPr>
          </w:p>
          <w:p w:rsidR="00024C0A" w:rsidRDefault="00694C0F">
            <w:pPr>
              <w:pStyle w:val="TableBodyText"/>
            </w:pPr>
            <w:r>
              <w:t>Namespace: http://schemas.microsoft.com/office/2006/metadata/properties/metaAttributes</w:t>
            </w:r>
          </w:p>
        </w:tc>
        <w:tc>
          <w:tcPr>
            <w:tcW w:w="0" w:type="auto"/>
            <w:vAlign w:val="center"/>
          </w:tcPr>
          <w:p w:rsidR="00024C0A" w:rsidRDefault="00694C0F">
            <w:pPr>
              <w:pStyle w:val="TableBodyText"/>
            </w:pPr>
            <w:r>
              <w:t xml:space="preserve">Must be the same value as the </w:t>
            </w:r>
            <w:r>
              <w:rPr>
                <w:b/>
              </w:rPr>
              <w:t>Name</w:t>
            </w:r>
            <w:r>
              <w:t xml:space="preserve"> attribute of the </w:t>
            </w:r>
            <w:r>
              <w:rPr>
                <w:b/>
              </w:rPr>
              <w:t>ContentType</w:t>
            </w:r>
            <w:r>
              <w:t xml:space="preserve"> element (as described in Collaborative Application Markup Language (CAML) Structure Specification ([MS-WSSCAML] Subclause 2.4.1.1)) for the content type associated with this document.</w:t>
            </w:r>
          </w:p>
          <w:p w:rsidR="00024C0A" w:rsidRDefault="00024C0A">
            <w:pPr>
              <w:pStyle w:val="TableBodyText"/>
            </w:pPr>
          </w:p>
          <w:p w:rsidR="00024C0A" w:rsidRDefault="00694C0F">
            <w:pPr>
              <w:pStyle w:val="TableBodyText"/>
            </w:pPr>
            <w:r>
              <w:t>The possible values for this attribute are defined by the XML Schema s</w:t>
            </w:r>
            <w:r>
              <w:t>tring datatype.</w:t>
            </w:r>
          </w:p>
        </w:tc>
      </w:tr>
      <w:tr w:rsidR="00024C0A" w:rsidTr="00024C0A">
        <w:tc>
          <w:tcPr>
            <w:tcW w:w="0" w:type="auto"/>
            <w:vAlign w:val="center"/>
          </w:tcPr>
          <w:p w:rsidR="00024C0A" w:rsidRDefault="00694C0F">
            <w:pPr>
              <w:pStyle w:val="TableBodyText"/>
            </w:pPr>
            <w:r>
              <w:rPr>
                <w:b/>
              </w:rPr>
              <w:t>contentTypeScope</w:t>
            </w:r>
            <w:r>
              <w:t xml:space="preserve"> (Content Type Scope)</w:t>
            </w:r>
          </w:p>
          <w:p w:rsidR="00024C0A" w:rsidRDefault="00024C0A">
            <w:pPr>
              <w:pStyle w:val="TableBodyText"/>
            </w:pPr>
          </w:p>
          <w:p w:rsidR="00024C0A" w:rsidRDefault="00694C0F">
            <w:pPr>
              <w:pStyle w:val="TableBodyText"/>
            </w:pPr>
            <w:r>
              <w:t>Namespace: http://schemas.microsoft.com/office/2006/metadata/properties/metaAttributes</w:t>
            </w:r>
          </w:p>
        </w:tc>
        <w:tc>
          <w:tcPr>
            <w:tcW w:w="0" w:type="auto"/>
            <w:vAlign w:val="center"/>
          </w:tcPr>
          <w:p w:rsidR="00024C0A" w:rsidRDefault="00694C0F">
            <w:pPr>
              <w:pStyle w:val="TableBodyText"/>
            </w:pPr>
            <w:r>
              <w:t>Shall be empty.</w:t>
            </w:r>
          </w:p>
          <w:p w:rsidR="00024C0A" w:rsidRDefault="00024C0A">
            <w:pPr>
              <w:pStyle w:val="TableBodyText"/>
            </w:pPr>
          </w:p>
          <w:p w:rsidR="00024C0A" w:rsidRDefault="00694C0F">
            <w:pPr>
              <w:pStyle w:val="TableBodyText"/>
            </w:pPr>
            <w:r>
              <w:t>The possible values for this attribute are defined by the XML Schema string datatype.</w:t>
            </w:r>
          </w:p>
        </w:tc>
      </w:tr>
      <w:tr w:rsidR="00024C0A" w:rsidTr="00024C0A">
        <w:tc>
          <w:tcPr>
            <w:tcW w:w="0" w:type="auto"/>
            <w:vAlign w:val="center"/>
          </w:tcPr>
          <w:p w:rsidR="00024C0A" w:rsidRDefault="00694C0F">
            <w:pPr>
              <w:pStyle w:val="TableBodyText"/>
            </w:pPr>
            <w:r>
              <w:rPr>
                <w:b/>
              </w:rPr>
              <w:t>contentTy</w:t>
            </w:r>
            <w:r>
              <w:rPr>
                <w:b/>
              </w:rPr>
              <w:t>peVersion</w:t>
            </w:r>
            <w:r>
              <w:t xml:space="preserve"> (Content Type Version)</w:t>
            </w:r>
          </w:p>
          <w:p w:rsidR="00024C0A" w:rsidRDefault="00024C0A">
            <w:pPr>
              <w:pStyle w:val="TableBodyText"/>
            </w:pPr>
          </w:p>
          <w:p w:rsidR="00024C0A" w:rsidRDefault="00694C0F">
            <w:pPr>
              <w:pStyle w:val="TableBodyText"/>
            </w:pPr>
            <w:r>
              <w:t>Namespace: http://schemas.microsoft.com/office/2006/metadata/properties/metaAttributes</w:t>
            </w:r>
          </w:p>
        </w:tc>
        <w:tc>
          <w:tcPr>
            <w:tcW w:w="0" w:type="auto"/>
            <w:vAlign w:val="center"/>
          </w:tcPr>
          <w:p w:rsidR="00024C0A" w:rsidRDefault="00694C0F">
            <w:pPr>
              <w:pStyle w:val="TableBodyText"/>
            </w:pPr>
            <w:r>
              <w:t xml:space="preserve">Shall be the same value as the </w:t>
            </w:r>
            <w:r>
              <w:rPr>
                <w:b/>
              </w:rPr>
              <w:t>Version</w:t>
            </w:r>
            <w:r>
              <w:t xml:space="preserve"> attribute of the </w:t>
            </w:r>
            <w:r>
              <w:rPr>
                <w:b/>
              </w:rPr>
              <w:t>ContentType</w:t>
            </w:r>
            <w:r>
              <w:t xml:space="preserve"> element (as described in Collaborative Application Markup Language </w:t>
            </w:r>
            <w:r>
              <w:t>(CAML) Structure Specification ([MS-WSSCAML] Subclause 2.4.1.1) for the content type associated with this document.</w:t>
            </w:r>
          </w:p>
          <w:p w:rsidR="00024C0A" w:rsidRDefault="00024C0A">
            <w:pPr>
              <w:pStyle w:val="TableBodyText"/>
            </w:pPr>
          </w:p>
          <w:p w:rsidR="00024C0A" w:rsidRDefault="00694C0F">
            <w:pPr>
              <w:pStyle w:val="TableBodyText"/>
            </w:pPr>
            <w:r>
              <w:t>The possible values for this attribute are defined by the ST_IntNonNegative simple type (§</w:t>
            </w:r>
            <w:hyperlink w:anchor="Section_fc63ec620566496f8ec8cb3ee90bdd9a">
              <w:r>
                <w:rPr>
                  <w:rStyle w:val="Hyperlink"/>
                </w:rPr>
                <w:t>3.5.2.2.2.2, ST_IntNonNegative</w:t>
              </w:r>
            </w:hyperlink>
            <w:r>
              <w:t>).</w:t>
            </w:r>
          </w:p>
        </w:tc>
      </w:tr>
      <w:tr w:rsidR="00024C0A" w:rsidTr="00024C0A">
        <w:tc>
          <w:tcPr>
            <w:tcW w:w="0" w:type="auto"/>
            <w:vAlign w:val="center"/>
          </w:tcPr>
          <w:p w:rsidR="00024C0A" w:rsidRDefault="00694C0F">
            <w:pPr>
              <w:pStyle w:val="TableBodyText"/>
            </w:pPr>
            <w:r>
              <w:rPr>
                <w:b/>
              </w:rPr>
              <w:t>versionID</w:t>
            </w:r>
            <w:r>
              <w:t xml:space="preserve"> (Version ID)</w:t>
            </w:r>
          </w:p>
          <w:p w:rsidR="00024C0A" w:rsidRDefault="00024C0A">
            <w:pPr>
              <w:pStyle w:val="TableBodyText"/>
            </w:pPr>
          </w:p>
          <w:p w:rsidR="00024C0A" w:rsidRDefault="00694C0F">
            <w:pPr>
              <w:pStyle w:val="TableBodyText"/>
            </w:pPr>
            <w:r>
              <w:t>Namespace: http://schemas.microsoft.com/office/2006/metadata/properties/metaAttributes</w:t>
            </w:r>
          </w:p>
        </w:tc>
        <w:tc>
          <w:tcPr>
            <w:tcW w:w="0" w:type="auto"/>
            <w:vAlign w:val="center"/>
          </w:tcPr>
          <w:p w:rsidR="00024C0A" w:rsidRDefault="00694C0F">
            <w:pPr>
              <w:pStyle w:val="TableBodyText"/>
            </w:pPr>
            <w:r>
              <w:t xml:space="preserve">A string hash used to determine if the definition of the content type associated with this </w:t>
            </w:r>
            <w:r>
              <w:t>document has changed since the last time the content type was applied to the document.</w:t>
            </w:r>
          </w:p>
          <w:p w:rsidR="00024C0A" w:rsidRDefault="00024C0A">
            <w:pPr>
              <w:pStyle w:val="TableBodyText"/>
            </w:pPr>
          </w:p>
          <w:p w:rsidR="00024C0A" w:rsidRDefault="00694C0F">
            <w:pPr>
              <w:pStyle w:val="TableBodyText"/>
            </w:pPr>
            <w:r>
              <w:t xml:space="preserve">The value is computed as an MD5 hash of the substring that represents the </w:t>
            </w:r>
            <w:r>
              <w:rPr>
                <w:b/>
              </w:rPr>
              <w:t>ContentType</w:t>
            </w:r>
            <w:r>
              <w:t xml:space="preserve"> element (from </w:t>
            </w:r>
            <w:r>
              <w:rPr>
                <w:rStyle w:val="InlineCode"/>
              </w:rPr>
              <w:t>&lt;ContentType&gt;</w:t>
            </w:r>
            <w:r>
              <w:t xml:space="preserve"> to </w:t>
            </w:r>
            <w:r>
              <w:rPr>
                <w:rStyle w:val="InlineCode"/>
              </w:rPr>
              <w:t>&lt;/ContentType&gt;</w:t>
            </w:r>
            <w:r>
              <w:t>, inclusive) within the SOAP result o</w:t>
            </w:r>
            <w:r>
              <w:t>f the GetListContentType Web service request, as described in Lists Web Service Protocol Specification (</w:t>
            </w:r>
            <w:hyperlink r:id="rId357" w:anchor="Section_30b364cc38374e839ce81963292e2ee5">
              <w:r>
                <w:rPr>
                  <w:rStyle w:val="Hyperlink"/>
                </w:rPr>
                <w:t>[MS-LISTSWS]</w:t>
              </w:r>
            </w:hyperlink>
            <w:r>
              <w:t xml:space="preserve"> </w:t>
            </w:r>
            <w:r>
              <w:lastRenderedPageBreak/>
              <w:t>Subclause 3.1.4.17).</w:t>
            </w:r>
          </w:p>
          <w:p w:rsidR="00024C0A" w:rsidRDefault="00024C0A">
            <w:pPr>
              <w:pStyle w:val="TableBodyText"/>
            </w:pPr>
          </w:p>
          <w:p w:rsidR="00024C0A" w:rsidRDefault="00694C0F">
            <w:pPr>
              <w:pStyle w:val="TableBodyText"/>
            </w:pPr>
            <w:r>
              <w:t>The possible values for this attrib</w:t>
            </w:r>
            <w:r>
              <w:t>ute are defined by the XML Schema string datatype.</w:t>
            </w:r>
          </w:p>
        </w:tc>
      </w:tr>
    </w:tbl>
    <w:p w:rsidR="00024C0A" w:rsidRDefault="00024C0A"/>
    <w:p w:rsidR="00024C0A" w:rsidRDefault="00694C0F">
      <w:r>
        <w:t>The following XML Schema fragment defines the contents of this element:</w:t>
      </w:r>
    </w:p>
    <w:p w:rsidR="00024C0A" w:rsidRDefault="00694C0F">
      <w:pPr>
        <w:pStyle w:val="Code"/>
      </w:pPr>
      <w:r>
        <w:t>&lt;complexType name="CT_ContentTypeSchema"&gt;</w:t>
      </w:r>
    </w:p>
    <w:p w:rsidR="00024C0A" w:rsidRDefault="00694C0F">
      <w:pPr>
        <w:pStyle w:val="Code"/>
      </w:pPr>
      <w:r>
        <w:t xml:space="preserve">  &lt;sequence&gt;</w:t>
      </w:r>
    </w:p>
    <w:p w:rsidR="00024C0A" w:rsidRDefault="00694C0F">
      <w:pPr>
        <w:pStyle w:val="Code"/>
      </w:pPr>
      <w:r>
        <w:t xml:space="preserve">    &lt;element ref="xsd:schema" maxOccurs="unbounded"/&gt;</w:t>
      </w:r>
    </w:p>
    <w:p w:rsidR="00024C0A" w:rsidRDefault="00694C0F">
      <w:pPr>
        <w:pStyle w:val="Code"/>
      </w:pPr>
      <w:r>
        <w:t xml:space="preserve">  &lt;/sequence&gt;</w:t>
      </w:r>
    </w:p>
    <w:p w:rsidR="00024C0A" w:rsidRDefault="00694C0F">
      <w:pPr>
        <w:pStyle w:val="Code"/>
      </w:pPr>
      <w:r>
        <w:t xml:space="preserve">  &lt;attri</w:t>
      </w:r>
      <w:r>
        <w:t>bute name="_"/&gt;</w:t>
      </w:r>
    </w:p>
    <w:p w:rsidR="00024C0A" w:rsidRDefault="00694C0F">
      <w:pPr>
        <w:pStyle w:val="Code"/>
      </w:pPr>
      <w:r>
        <w:t xml:space="preserve">  &lt;attribute ref="ma:_"/&gt;</w:t>
      </w:r>
    </w:p>
    <w:p w:rsidR="00024C0A" w:rsidRDefault="00694C0F">
      <w:pPr>
        <w:pStyle w:val="Code"/>
      </w:pPr>
      <w:r>
        <w:t xml:space="preserve">  &lt;attribute ref="ma:contentTypeName"/&gt;</w:t>
      </w:r>
    </w:p>
    <w:p w:rsidR="00024C0A" w:rsidRDefault="00694C0F">
      <w:pPr>
        <w:pStyle w:val="Code"/>
      </w:pPr>
      <w:r>
        <w:t xml:space="preserve">  &lt;attribute ref="ma:contentTypeID"/&gt;</w:t>
      </w:r>
    </w:p>
    <w:p w:rsidR="00024C0A" w:rsidRDefault="00694C0F">
      <w:pPr>
        <w:pStyle w:val="Code"/>
      </w:pPr>
      <w:r>
        <w:t xml:space="preserve">  &lt;attribute ref="ma:contentTypeVersion"/&gt;</w:t>
      </w:r>
    </w:p>
    <w:p w:rsidR="00024C0A" w:rsidRDefault="00694C0F">
      <w:pPr>
        <w:pStyle w:val="Code"/>
      </w:pPr>
      <w:r>
        <w:t xml:space="preserve">  &lt;attribute ref="ma:contentTypeDescription"/&gt;</w:t>
      </w:r>
    </w:p>
    <w:p w:rsidR="00024C0A" w:rsidRDefault="00694C0F">
      <w:pPr>
        <w:pStyle w:val="Code"/>
      </w:pPr>
      <w:r>
        <w:t xml:space="preserve">  &lt;attribute ref="ma:contentTypeScope"/&gt;</w:t>
      </w:r>
    </w:p>
    <w:p w:rsidR="00024C0A" w:rsidRDefault="00694C0F">
      <w:pPr>
        <w:pStyle w:val="Code"/>
      </w:pPr>
      <w:r>
        <w:t xml:space="preserve">  &lt;</w:t>
      </w:r>
      <w:r>
        <w:t>attribute ref="ma:versionID"/&gt;</w:t>
      </w:r>
    </w:p>
    <w:p w:rsidR="00024C0A" w:rsidRDefault="00694C0F">
      <w:pPr>
        <w:pStyle w:val="Code"/>
      </w:pPr>
      <w:r>
        <w:t>&lt;/complexType&gt;</w:t>
      </w:r>
    </w:p>
    <w:p w:rsidR="00024C0A" w:rsidRDefault="00694C0F">
      <w:pPr>
        <w:pStyle w:val="Heading4"/>
      </w:pPr>
      <w:bookmarkStart w:id="4067" w:name="section_e784c18d69eb486996da0afdd0001ef4"/>
      <w:bookmarkStart w:id="4068" w:name="_Toc12262094"/>
      <w:r>
        <w:t>Metadata Attributes</w:t>
      </w:r>
      <w:bookmarkEnd w:id="4067"/>
      <w:bookmarkEnd w:id="4068"/>
      <w:r>
        <w:fldChar w:fldCharType="begin"/>
      </w:r>
      <w:r>
        <w:instrText xml:space="preserve"> XE "Metadata Attributes" </w:instrText>
      </w:r>
      <w:r>
        <w:fldChar w:fldCharType="end"/>
      </w:r>
    </w:p>
    <w:p w:rsidR="00024C0A" w:rsidRDefault="00694C0F">
      <w:r>
        <w:t>Metadata attributes are used to provide additional information for each of the schema children of the Content Type Schemas (</w:t>
      </w:r>
      <w:hyperlink w:anchor="Section_acb43eb342e64ae998cacd04346b080a">
        <w:r>
          <w:rPr>
            <w:rStyle w:val="Hyperlink"/>
          </w:rPr>
          <w:t>§3.5.2.1, Content Type Schemas Schema</w:t>
        </w:r>
      </w:hyperlink>
      <w:r>
        <w:t>).</w:t>
      </w:r>
    </w:p>
    <w:p w:rsidR="00024C0A" w:rsidRDefault="00694C0F">
      <w:pPr>
        <w:pStyle w:val="Heading5"/>
      </w:pPr>
      <w:bookmarkStart w:id="4069" w:name="section_83c200b15a6944308fe6adc3583034a2"/>
      <w:bookmarkStart w:id="4070" w:name="_Toc12262095"/>
      <w:r>
        <w:t>Shared Attributes (Content Type Schemas)</w:t>
      </w:r>
      <w:bookmarkEnd w:id="4069"/>
      <w:bookmarkEnd w:id="4070"/>
      <w:r>
        <w:fldChar w:fldCharType="begin"/>
      </w:r>
      <w:r>
        <w:instrText xml:space="preserve"> XE "Shared Attributes (Content Type Schemas)" </w:instrText>
      </w:r>
      <w:r>
        <w:fldChar w:fldCharType="end"/>
      </w:r>
    </w:p>
    <w:p w:rsidR="00024C0A" w:rsidRDefault="00694C0F">
      <w:r>
        <w:t xml:space="preserve">The schemas referred to here (including the root schema and core schema) are the child schemas </w:t>
      </w:r>
      <w:r>
        <w:t>described in Content Type Schemas (§</w:t>
      </w:r>
      <w:hyperlink w:anchor="Section_acb43eb342e64ae998cacd04346b080a">
        <w:r>
          <w:rPr>
            <w:rStyle w:val="Hyperlink"/>
          </w:rPr>
          <w:t>3.5.2.1, Content Type Schemas Schema</w:t>
        </w:r>
      </w:hyperlink>
      <w:r>
        <w:t>, 3.5.2.1, Content Type Schemas Schema).</w:t>
      </w:r>
    </w:p>
    <w:tbl>
      <w:tblPr>
        <w:tblStyle w:val="Table-ShadedHeader"/>
        <w:tblW w:w="0" w:type="auto"/>
        <w:tblLook w:val="04A0" w:firstRow="1" w:lastRow="0" w:firstColumn="1" w:lastColumn="0" w:noHBand="0" w:noVBand="1"/>
      </w:tblPr>
      <w:tblGrid>
        <w:gridCol w:w="1989"/>
        <w:gridCol w:w="748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Attributes</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anchorId</w:t>
            </w:r>
            <w:r>
              <w:t xml:space="preserve"> (Anchor Term ID)</w:t>
            </w:r>
          </w:p>
        </w:tc>
        <w:tc>
          <w:tcPr>
            <w:tcW w:w="0" w:type="auto"/>
            <w:vAlign w:val="center"/>
          </w:tcPr>
          <w:p w:rsidR="00024C0A" w:rsidRDefault="00694C0F">
            <w:pPr>
              <w:pStyle w:val="TableBodyText"/>
            </w:pPr>
            <w:r>
              <w:t>Specifies the term which paren</w:t>
            </w:r>
            <w:r>
              <w:t>ts all terms that may be selected as a valid value for the property corresponding to this xsd:element.</w:t>
            </w:r>
          </w:p>
          <w:p w:rsidR="00024C0A" w:rsidRDefault="00024C0A">
            <w:pPr>
              <w:pStyle w:val="TableBodyText"/>
            </w:pPr>
          </w:p>
          <w:p w:rsidR="00024C0A" w:rsidRDefault="00694C0F">
            <w:pPr>
              <w:pStyle w:val="TableBodyText"/>
            </w:pPr>
            <w:r>
              <w:t>If set to "00000000-0000-0000-0000-000000000000", specifies that all terms in the term set specified by the termSetId attribute MUST be treated as valid</w:t>
            </w:r>
            <w:r>
              <w:t xml:space="preserve"> values for the property corresponding to this xsd:element.</w:t>
            </w:r>
          </w:p>
          <w:p w:rsidR="00024C0A" w:rsidRDefault="00024C0A">
            <w:pPr>
              <w:pStyle w:val="TableBodyText"/>
            </w:pPr>
          </w:p>
          <w:p w:rsidR="00024C0A" w:rsidRDefault="00694C0F">
            <w:pPr>
              <w:pStyle w:val="TableBodyText"/>
            </w:pPr>
            <w:r>
              <w:t>MUST be present on xsd:elements for which the taxonomy attribute is set to "true".</w:t>
            </w:r>
          </w:p>
          <w:p w:rsidR="00024C0A" w:rsidRDefault="00694C0F">
            <w:pPr>
              <w:pStyle w:val="TableBodyText"/>
            </w:pPr>
            <w:r>
              <w:t xml:space="preserve">If applied to any other element, this attribute MUST be ignored. </w:t>
            </w:r>
          </w:p>
          <w:p w:rsidR="00024C0A" w:rsidRDefault="00024C0A">
            <w:pPr>
              <w:pStyle w:val="TableBodyText"/>
            </w:pPr>
          </w:p>
          <w:p w:rsidR="00024C0A" w:rsidRDefault="00694C0F">
            <w:pPr>
              <w:pStyle w:val="TableBodyText"/>
            </w:pPr>
            <w:r>
              <w:t>The possible values for this attribute are de</w:t>
            </w:r>
            <w:r>
              <w:t>fined by the ST_UniqueIdentifierWithoutBraces simple type (§</w:t>
            </w:r>
            <w:hyperlink w:anchor="Section_ab99726155c24ba4b3b99819b200389d">
              <w:r>
                <w:rPr>
                  <w:rStyle w:val="Hyperlink"/>
                </w:rPr>
                <w:t>3.5.2.2.2.5, ST_UniqueIdentifierWithoutBraces</w:t>
              </w:r>
            </w:hyperlink>
            <w:r>
              <w:t>).</w:t>
            </w:r>
          </w:p>
        </w:tc>
      </w:tr>
      <w:tr w:rsidR="00024C0A" w:rsidTr="00024C0A">
        <w:tc>
          <w:tcPr>
            <w:tcW w:w="0" w:type="auto"/>
            <w:vAlign w:val="center"/>
          </w:tcPr>
          <w:p w:rsidR="00024C0A" w:rsidRDefault="00694C0F">
            <w:pPr>
              <w:pStyle w:val="TableBodyText"/>
            </w:pPr>
            <w:r>
              <w:rPr>
                <w:b/>
              </w:rPr>
              <w:t>decimals</w:t>
            </w:r>
            <w:r>
              <w:t xml:space="preserve"> (Decimal Digits)</w:t>
            </w:r>
          </w:p>
        </w:tc>
        <w:tc>
          <w:tcPr>
            <w:tcW w:w="0" w:type="auto"/>
            <w:vAlign w:val="center"/>
          </w:tcPr>
          <w:p w:rsidR="00024C0A" w:rsidRDefault="00694C0F">
            <w:pPr>
              <w:pStyle w:val="TableBodyText"/>
            </w:pPr>
            <w:r>
              <w:t>Specifies the number of fractional digits to display on th</w:t>
            </w:r>
            <w:r>
              <w:t xml:space="preserve">e property editing surface for the property corresponding to an </w:t>
            </w:r>
            <w:r>
              <w:rPr>
                <w:b/>
              </w:rPr>
              <w:t>xsd:element</w:t>
            </w:r>
            <w:r>
              <w:t xml:space="preserve"> in a schema other than the root schema whose content model is an </w:t>
            </w:r>
            <w:r>
              <w:rPr>
                <w:b/>
              </w:rPr>
              <w:t>xsd:restriction</w:t>
            </w:r>
            <w:r>
              <w:t xml:space="preserve"> based on {http://schemas.microsoft.com/office/2006/documentManagement/types}Currency or {http://sch</w:t>
            </w:r>
            <w:r>
              <w:t>emas.microsoft.com/office/2006/documentManagement/types}Number.</w:t>
            </w:r>
          </w:p>
          <w:p w:rsidR="00024C0A" w:rsidRDefault="00024C0A">
            <w:pPr>
              <w:pStyle w:val="TableBodyText"/>
            </w:pPr>
          </w:p>
          <w:p w:rsidR="00024C0A" w:rsidRDefault="00694C0F">
            <w:pPr>
              <w:pStyle w:val="TableBodyText"/>
            </w:pPr>
            <w:r>
              <w:t xml:space="preserve">Office handles the integer values </w:t>
            </w:r>
            <w:r>
              <w:rPr>
                <w:i/>
              </w:rPr>
              <w:t>0</w:t>
            </w:r>
            <w:r>
              <w:t>-</w:t>
            </w:r>
            <w:r>
              <w:rPr>
                <w:i/>
              </w:rPr>
              <w:t>9</w:t>
            </w:r>
            <w:r>
              <w:t xml:space="preserve"> and </w:t>
            </w:r>
            <w:r>
              <w:rPr>
                <w:i/>
              </w:rPr>
              <w:t>auto</w:t>
            </w:r>
            <w:r>
              <w:t>.</w:t>
            </w:r>
          </w:p>
          <w:p w:rsidR="00024C0A" w:rsidRDefault="00024C0A">
            <w:pPr>
              <w:pStyle w:val="TableBodyText"/>
            </w:pPr>
          </w:p>
          <w:p w:rsidR="00024C0A" w:rsidRDefault="00694C0F">
            <w:pPr>
              <w:pStyle w:val="TableBodyText"/>
            </w:pPr>
            <w:r>
              <w:t>If applied to any other element, this attribute should be ignored.</w:t>
            </w:r>
          </w:p>
          <w:p w:rsidR="00024C0A" w:rsidRDefault="00024C0A">
            <w:pPr>
              <w:pStyle w:val="TableBodyText"/>
            </w:pPr>
          </w:p>
          <w:p w:rsidR="00024C0A" w:rsidRDefault="00694C0F">
            <w:pPr>
              <w:pStyle w:val="TableBodyText"/>
            </w:pPr>
            <w:r>
              <w:t xml:space="preserve">The possible values for this attribute are defined by the XML Schema </w:t>
            </w:r>
            <w:r>
              <w:t>string datatype.</w:t>
            </w:r>
          </w:p>
        </w:tc>
      </w:tr>
      <w:tr w:rsidR="00024C0A" w:rsidTr="00024C0A">
        <w:tc>
          <w:tcPr>
            <w:tcW w:w="0" w:type="auto"/>
            <w:vAlign w:val="center"/>
          </w:tcPr>
          <w:p w:rsidR="00024C0A" w:rsidRDefault="00694C0F">
            <w:pPr>
              <w:pStyle w:val="TableBodyText"/>
            </w:pPr>
            <w:r>
              <w:rPr>
                <w:b/>
              </w:rPr>
              <w:lastRenderedPageBreak/>
              <w:t>default</w:t>
            </w:r>
            <w:r>
              <w:t xml:space="preserve"> (Default Value)</w:t>
            </w:r>
          </w:p>
        </w:tc>
        <w:tc>
          <w:tcPr>
            <w:tcW w:w="0" w:type="auto"/>
            <w:vAlign w:val="center"/>
          </w:tcPr>
          <w:p w:rsidR="00024C0A" w:rsidRDefault="00694C0F">
            <w:pPr>
              <w:pStyle w:val="TableBodyText"/>
            </w:pPr>
            <w:r>
              <w:t xml:space="preserve">When applied to an </w:t>
            </w:r>
            <w:r>
              <w:rPr>
                <w:b/>
              </w:rPr>
              <w:t>xsd:element</w:t>
            </w:r>
            <w:r>
              <w:t xml:space="preserve"> in a schema other than the root schema or the core schema, specifies the initial value of the property corresponding to the </w:t>
            </w:r>
            <w:r>
              <w:rPr>
                <w:b/>
              </w:rPr>
              <w:t>xsd:element</w:t>
            </w:r>
            <w:r>
              <w:t>.</w:t>
            </w:r>
          </w:p>
          <w:p w:rsidR="00024C0A" w:rsidRDefault="00024C0A">
            <w:pPr>
              <w:pStyle w:val="TableBodyText"/>
            </w:pPr>
          </w:p>
          <w:p w:rsidR="00024C0A" w:rsidRDefault="00694C0F">
            <w:pPr>
              <w:pStyle w:val="TableBodyText"/>
            </w:pPr>
            <w:r>
              <w:t xml:space="preserve">When applied to an </w:t>
            </w:r>
            <w:r>
              <w:rPr>
                <w:b/>
              </w:rPr>
              <w:t>xsd:element</w:t>
            </w:r>
            <w:r>
              <w:t xml:space="preserve"> in a schema ot</w:t>
            </w:r>
            <w:r>
              <w:t xml:space="preserve">her than the root schema or core schema whose content model is an </w:t>
            </w:r>
            <w:r>
              <w:rPr>
                <w:b/>
              </w:rPr>
              <w:t>xsd:restriction</w:t>
            </w:r>
            <w:r>
              <w:t xml:space="preserve"> based on {http://schemas.microsoft.com/office/2006/documentManagement/types}DateTime, if set to </w:t>
            </w:r>
            <w:r>
              <w:rPr>
                <w:i/>
              </w:rPr>
              <w:t>[today]</w:t>
            </w:r>
            <w:r>
              <w:t>, specifies that the initial value of the property corresponding to the</w:t>
            </w:r>
            <w:r>
              <w:t xml:space="preserve"> </w:t>
            </w:r>
            <w:r>
              <w:rPr>
                <w:b/>
              </w:rPr>
              <w:t>xsd:element</w:t>
            </w:r>
            <w:r>
              <w:t xml:space="preserve"> should be set to the current date and time. </w:t>
            </w:r>
          </w:p>
          <w:p w:rsidR="00024C0A" w:rsidRDefault="00024C0A">
            <w:pPr>
              <w:pStyle w:val="TableBodyText"/>
            </w:pPr>
          </w:p>
          <w:p w:rsidR="00024C0A" w:rsidRDefault="00694C0F">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w:t>
            </w:r>
            <w:r>
              <w:t xml:space="preserve">types}Boolean, Office interprets </w:t>
            </w:r>
            <w:r>
              <w:rPr>
                <w:i/>
              </w:rPr>
              <w:t>1</w:t>
            </w:r>
            <w:r>
              <w:t xml:space="preserve"> as logical true and all other values as logical false in determining the initial value of the property corresponding to this xsd:element.</w:t>
            </w:r>
          </w:p>
          <w:p w:rsidR="00024C0A" w:rsidRDefault="00024C0A">
            <w:pPr>
              <w:pStyle w:val="TableBodyText"/>
            </w:pPr>
          </w:p>
          <w:p w:rsidR="00024C0A" w:rsidRDefault="00694C0F">
            <w:pPr>
              <w:pStyle w:val="TableBodyText"/>
            </w:pPr>
            <w:r>
              <w:t>If applied to any other element, this attribute should be ignored.</w:t>
            </w:r>
          </w:p>
          <w:p w:rsidR="00024C0A" w:rsidRDefault="00024C0A">
            <w:pPr>
              <w:pStyle w:val="TableBodyText"/>
            </w:pPr>
          </w:p>
          <w:p w:rsidR="00024C0A" w:rsidRDefault="00694C0F">
            <w:pPr>
              <w:pStyle w:val="TableBodyText"/>
            </w:pPr>
            <w:r>
              <w:t xml:space="preserve">The possible </w:t>
            </w:r>
            <w:r>
              <w:t>values for this attribute are defined by the XML Schema string datatype.</w:t>
            </w:r>
          </w:p>
        </w:tc>
      </w:tr>
      <w:tr w:rsidR="00024C0A" w:rsidTr="00024C0A">
        <w:tc>
          <w:tcPr>
            <w:tcW w:w="0" w:type="auto"/>
            <w:vAlign w:val="center"/>
          </w:tcPr>
          <w:p w:rsidR="00024C0A" w:rsidRDefault="00694C0F">
            <w:pPr>
              <w:pStyle w:val="TableBodyText"/>
            </w:pPr>
            <w:r>
              <w:rPr>
                <w:b/>
              </w:rPr>
              <w:t>description</w:t>
            </w:r>
            <w:r>
              <w:t xml:space="preserve"> (Description)</w:t>
            </w:r>
          </w:p>
        </w:tc>
        <w:tc>
          <w:tcPr>
            <w:tcW w:w="0" w:type="auto"/>
            <w:vAlign w:val="center"/>
          </w:tcPr>
          <w:p w:rsidR="00024C0A" w:rsidRDefault="00694C0F">
            <w:pPr>
              <w:pStyle w:val="TableBodyText"/>
            </w:pPr>
            <w:r>
              <w:t xml:space="preserve">When applied to an </w:t>
            </w:r>
            <w:r>
              <w:rPr>
                <w:b/>
              </w:rPr>
              <w:t>xsd:element</w:t>
            </w:r>
            <w:r>
              <w:t xml:space="preserve"> in a schema other than the root schema, specifies information displayed as a part of the tooltip on the property editing surf</w:t>
            </w:r>
            <w:r>
              <w:t xml:space="preserve">ace for the property corresponding to this </w:t>
            </w:r>
            <w:r>
              <w:rPr>
                <w:b/>
              </w:rPr>
              <w:t>xsd:element</w:t>
            </w:r>
            <w:r>
              <w:t>.</w:t>
            </w:r>
          </w:p>
          <w:p w:rsidR="00024C0A" w:rsidRDefault="00024C0A">
            <w:pPr>
              <w:pStyle w:val="TableBodyText"/>
            </w:pPr>
          </w:p>
          <w:p w:rsidR="00024C0A" w:rsidRDefault="00694C0F">
            <w:pPr>
              <w:pStyle w:val="TableBodyText"/>
            </w:pPr>
            <w:r>
              <w:t>Office displays the first 512 characters of the concatenation of the property name, the ": " delimiter, and the description as the tooltip.</w:t>
            </w:r>
          </w:p>
          <w:p w:rsidR="00024C0A" w:rsidRDefault="00024C0A">
            <w:pPr>
              <w:pStyle w:val="TableBodyText"/>
            </w:pPr>
          </w:p>
          <w:p w:rsidR="00024C0A" w:rsidRDefault="00694C0F">
            <w:pPr>
              <w:pStyle w:val="TableBodyText"/>
            </w:pPr>
            <w:r>
              <w:t xml:space="preserve">If applied to any other element, this attribute should be </w:t>
            </w:r>
            <w:r>
              <w:t>ignored.</w:t>
            </w:r>
          </w:p>
          <w:p w:rsidR="00024C0A" w:rsidRDefault="00024C0A">
            <w:pPr>
              <w:pStyle w:val="TableBodyText"/>
            </w:pPr>
          </w:p>
          <w:p w:rsidR="00024C0A" w:rsidRDefault="00694C0F">
            <w:pPr>
              <w:pStyle w:val="TableBodyText"/>
            </w:pPr>
            <w:r>
              <w:t>The possible values for this attribute are defined by the XML Schema string datatype.</w:t>
            </w:r>
          </w:p>
        </w:tc>
      </w:tr>
      <w:tr w:rsidR="00024C0A" w:rsidTr="00024C0A">
        <w:tc>
          <w:tcPr>
            <w:tcW w:w="0" w:type="auto"/>
            <w:vAlign w:val="center"/>
          </w:tcPr>
          <w:p w:rsidR="00024C0A" w:rsidRDefault="00694C0F">
            <w:pPr>
              <w:pStyle w:val="TableBodyText"/>
            </w:pPr>
            <w:r>
              <w:rPr>
                <w:b/>
              </w:rPr>
              <w:t>displayName</w:t>
            </w:r>
            <w:r>
              <w:t xml:space="preserve"> (Display Name)</w:t>
            </w:r>
          </w:p>
        </w:tc>
        <w:tc>
          <w:tcPr>
            <w:tcW w:w="0" w:type="auto"/>
            <w:vAlign w:val="center"/>
          </w:tcPr>
          <w:p w:rsidR="00024C0A" w:rsidRDefault="00694C0F">
            <w:pPr>
              <w:pStyle w:val="TableBodyText"/>
            </w:pPr>
            <w:r>
              <w:t xml:space="preserve">When applied to an </w:t>
            </w:r>
            <w:r>
              <w:rPr>
                <w:b/>
              </w:rPr>
              <w:t>xsd:element</w:t>
            </w:r>
            <w:r>
              <w:t xml:space="preserve"> in a schema other than the root schema or core schema, specifies the text displayed on the property editing surface and as a part of the tooltip for the property corresponding to the </w:t>
            </w:r>
            <w:r>
              <w:rPr>
                <w:b/>
              </w:rPr>
              <w:t>xsd:element</w:t>
            </w:r>
            <w:r>
              <w:t>.</w:t>
            </w:r>
          </w:p>
          <w:p w:rsidR="00024C0A" w:rsidRDefault="00024C0A">
            <w:pPr>
              <w:pStyle w:val="TableBodyText"/>
            </w:pPr>
          </w:p>
          <w:p w:rsidR="00024C0A" w:rsidRDefault="00694C0F">
            <w:pPr>
              <w:pStyle w:val="TableBodyText"/>
            </w:pPr>
            <w:r>
              <w:t xml:space="preserve">If applied to any other element, this attribute should be </w:t>
            </w:r>
            <w:r>
              <w:t>ignored.</w:t>
            </w:r>
          </w:p>
          <w:p w:rsidR="00024C0A" w:rsidRDefault="00024C0A">
            <w:pPr>
              <w:pStyle w:val="TableBodyText"/>
            </w:pPr>
          </w:p>
          <w:p w:rsidR="00024C0A" w:rsidRDefault="00694C0F">
            <w:pPr>
              <w:pStyle w:val="TableBodyText"/>
            </w:pPr>
            <w:r>
              <w:t>The possible values for this attribute are defined by the XML Schema string datatype.</w:t>
            </w:r>
          </w:p>
        </w:tc>
      </w:tr>
      <w:tr w:rsidR="00024C0A" w:rsidTr="00024C0A">
        <w:tc>
          <w:tcPr>
            <w:tcW w:w="0" w:type="auto"/>
            <w:vAlign w:val="center"/>
          </w:tcPr>
          <w:p w:rsidR="00024C0A" w:rsidRDefault="00694C0F">
            <w:pPr>
              <w:pStyle w:val="TableBodyText"/>
            </w:pPr>
            <w:r>
              <w:rPr>
                <w:b/>
              </w:rPr>
              <w:t>fieldId</w:t>
            </w:r>
            <w:r>
              <w:t xml:space="preserve"> (Taxonomy Field ID)</w:t>
            </w:r>
          </w:p>
        </w:tc>
        <w:tc>
          <w:tcPr>
            <w:tcW w:w="0" w:type="auto"/>
            <w:vAlign w:val="center"/>
          </w:tcPr>
          <w:p w:rsidR="00024C0A" w:rsidRDefault="00694C0F">
            <w:pPr>
              <w:pStyle w:val="TableBodyText"/>
            </w:pPr>
            <w:r>
              <w:t>Specifies a unique identifier for the field.</w:t>
            </w:r>
          </w:p>
          <w:p w:rsidR="00024C0A" w:rsidRDefault="00024C0A">
            <w:pPr>
              <w:pStyle w:val="TableBodyText"/>
            </w:pPr>
          </w:p>
          <w:p w:rsidR="00024C0A" w:rsidRDefault="00694C0F">
            <w:pPr>
              <w:pStyle w:val="TableBodyText"/>
            </w:pPr>
            <w:r>
              <w:t>MUST be present on xsd:elements for which the taxonomy attribute is set to "true".</w:t>
            </w:r>
          </w:p>
          <w:p w:rsidR="00024C0A" w:rsidRDefault="00024C0A">
            <w:pPr>
              <w:pStyle w:val="TableBodyText"/>
            </w:pPr>
          </w:p>
          <w:p w:rsidR="00024C0A" w:rsidRDefault="00694C0F">
            <w:pPr>
              <w:pStyle w:val="TableBodyText"/>
            </w:pPr>
            <w:r>
              <w:t>I</w:t>
            </w:r>
            <w:r>
              <w:t>f applied to any other element, this attribute MUST be ignored.</w:t>
            </w:r>
          </w:p>
          <w:p w:rsidR="00024C0A" w:rsidRDefault="00024C0A">
            <w:pPr>
              <w:pStyle w:val="TableBodyText"/>
            </w:pPr>
          </w:p>
          <w:p w:rsidR="00024C0A" w:rsidRDefault="00694C0F">
            <w:pPr>
              <w:pStyle w:val="TableBodyText"/>
            </w:pPr>
            <w:r>
              <w:t>The possible values for this attribute are defined by the ST_UniqueIdentifier simple type (§</w:t>
            </w:r>
            <w:hyperlink w:anchor="Section_248f1259824c4068a4ed5c90c1b17f5f">
              <w:r>
                <w:rPr>
                  <w:rStyle w:val="Hyperlink"/>
                </w:rPr>
                <w:t>3.5.2.2.2.4, ST_UniqueIdentifier ()</w:t>
              </w:r>
            </w:hyperlink>
            <w:r>
              <w:t>)</w:t>
            </w:r>
            <w:r>
              <w:t>.</w:t>
            </w:r>
          </w:p>
        </w:tc>
      </w:tr>
      <w:tr w:rsidR="00024C0A" w:rsidTr="00024C0A">
        <w:tc>
          <w:tcPr>
            <w:tcW w:w="0" w:type="auto"/>
            <w:vAlign w:val="center"/>
          </w:tcPr>
          <w:p w:rsidR="00024C0A" w:rsidRDefault="00694C0F">
            <w:pPr>
              <w:pStyle w:val="TableBodyText"/>
            </w:pPr>
            <w:r>
              <w:rPr>
                <w:b/>
              </w:rPr>
              <w:lastRenderedPageBreak/>
              <w:t>fieldsID</w:t>
            </w:r>
            <w:r>
              <w:t xml:space="preserve"> (Fields ID)</w:t>
            </w:r>
          </w:p>
        </w:tc>
        <w:tc>
          <w:tcPr>
            <w:tcW w:w="0" w:type="auto"/>
            <w:vAlign w:val="center"/>
          </w:tcPr>
          <w:p w:rsidR="00024C0A" w:rsidRDefault="00694C0F">
            <w:pPr>
              <w:pStyle w:val="TableBodyText"/>
            </w:pPr>
            <w:r>
              <w:t>This attribute should be ignored.</w:t>
            </w:r>
          </w:p>
          <w:p w:rsidR="00024C0A" w:rsidRDefault="00024C0A">
            <w:pPr>
              <w:pStyle w:val="TableBodyText"/>
            </w:pPr>
          </w:p>
          <w:p w:rsidR="00024C0A" w:rsidRDefault="00694C0F">
            <w:pPr>
              <w:pStyle w:val="TableBodyText"/>
            </w:pPr>
            <w:r>
              <w:t>The possible values for this attribute are defined by the XML Schema string datatype.</w:t>
            </w:r>
          </w:p>
        </w:tc>
      </w:tr>
      <w:tr w:rsidR="00024C0A" w:rsidTr="00024C0A">
        <w:tc>
          <w:tcPr>
            <w:tcW w:w="0" w:type="auto"/>
            <w:vAlign w:val="center"/>
          </w:tcPr>
          <w:p w:rsidR="00024C0A" w:rsidRDefault="00694C0F">
            <w:pPr>
              <w:pStyle w:val="TableBodyText"/>
            </w:pPr>
            <w:r>
              <w:rPr>
                <w:b/>
              </w:rPr>
              <w:t>format</w:t>
            </w:r>
            <w:r>
              <w:t xml:space="preserve"> (Format)</w:t>
            </w:r>
          </w:p>
        </w:tc>
        <w:tc>
          <w:tcPr>
            <w:tcW w:w="0" w:type="auto"/>
            <w:vAlign w:val="center"/>
          </w:tcPr>
          <w:p w:rsidR="00024C0A" w:rsidRDefault="00694C0F">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{http://schemas.microsoft.com/office/2006/documentManagement/types}DateTime, if set to </w:t>
            </w:r>
            <w:r>
              <w:rPr>
                <w:i/>
              </w:rPr>
              <w:t>DateTime</w:t>
            </w:r>
            <w:r>
              <w:t>, specifies that the property value displayed in the pr</w:t>
            </w:r>
            <w:r>
              <w:t xml:space="preserve">operty editing surface for the property corresponding to this </w:t>
            </w:r>
            <w:r>
              <w:rPr>
                <w:b/>
              </w:rPr>
              <w:t>xsd:element</w:t>
            </w:r>
            <w:r>
              <w:t xml:space="preserve"> should include both the date and time, and if not present or set to any other value, specifies that the property value displayed in the property editing surface for the property corr</w:t>
            </w:r>
            <w:r>
              <w:t xml:space="preserve">esponding to this </w:t>
            </w:r>
            <w:r>
              <w:rPr>
                <w:b/>
              </w:rPr>
              <w:t>xsd:element</w:t>
            </w:r>
            <w:r>
              <w:t xml:space="preserve"> should include only the date. </w:t>
            </w:r>
          </w:p>
          <w:p w:rsidR="00024C0A" w:rsidRDefault="00024C0A">
            <w:pPr>
              <w:pStyle w:val="TableBodyText"/>
            </w:pPr>
          </w:p>
          <w:p w:rsidR="00024C0A" w:rsidRDefault="00694C0F">
            <w:pPr>
              <w:pStyle w:val="TableBodyText"/>
            </w:pPr>
            <w:r>
              <w:t>If applied to any other element, this attribute should be ignored.</w:t>
            </w:r>
          </w:p>
          <w:p w:rsidR="00024C0A" w:rsidRDefault="00024C0A">
            <w:pPr>
              <w:pStyle w:val="TableBodyText"/>
            </w:pPr>
          </w:p>
          <w:p w:rsidR="00024C0A" w:rsidRDefault="00694C0F">
            <w:pPr>
              <w:pStyle w:val="TableBodyText"/>
            </w:pPr>
            <w:r>
              <w:t>The possible values for this attribute are defined by the XML Schema string datatype.</w:t>
            </w:r>
          </w:p>
        </w:tc>
      </w:tr>
      <w:tr w:rsidR="00024C0A" w:rsidTr="00024C0A">
        <w:tc>
          <w:tcPr>
            <w:tcW w:w="0" w:type="auto"/>
            <w:vAlign w:val="center"/>
          </w:tcPr>
          <w:p w:rsidR="00024C0A" w:rsidRDefault="00694C0F">
            <w:pPr>
              <w:pStyle w:val="TableBodyText"/>
            </w:pPr>
            <w:r>
              <w:rPr>
                <w:b/>
              </w:rPr>
              <w:t>hidden</w:t>
            </w:r>
            <w:r>
              <w:t xml:space="preserve"> (Hidden)</w:t>
            </w:r>
          </w:p>
        </w:tc>
        <w:tc>
          <w:tcPr>
            <w:tcW w:w="0" w:type="auto"/>
            <w:vAlign w:val="center"/>
          </w:tcPr>
          <w:p w:rsidR="00024C0A" w:rsidRDefault="00694C0F">
            <w:pPr>
              <w:pStyle w:val="TableBodyText"/>
            </w:pPr>
            <w:r>
              <w:t xml:space="preserve">When applied to an </w:t>
            </w:r>
            <w:r>
              <w:rPr>
                <w:b/>
              </w:rPr>
              <w:t>xsd:</w:t>
            </w:r>
            <w:r>
              <w:rPr>
                <w:b/>
              </w:rPr>
              <w:t>element</w:t>
            </w:r>
            <w:r>
              <w:t xml:space="preserve"> in a schema other than the root schema or core schema, if set to </w:t>
            </w:r>
            <w:r>
              <w:rPr>
                <w:i/>
              </w:rPr>
              <w:t>true</w:t>
            </w:r>
            <w:r>
              <w:t xml:space="preserve">, specifies that the property corresponding to this </w:t>
            </w:r>
            <w:r>
              <w:rPr>
                <w:b/>
              </w:rPr>
              <w:t>xsd:element</w:t>
            </w:r>
            <w:r>
              <w:t xml:space="preserve"> should not be presented for editing on the property editing surface.</w:t>
            </w:r>
          </w:p>
          <w:p w:rsidR="00024C0A" w:rsidRDefault="00024C0A">
            <w:pPr>
              <w:pStyle w:val="TableBodyText"/>
            </w:pPr>
          </w:p>
          <w:p w:rsidR="00024C0A" w:rsidRDefault="00694C0F">
            <w:pPr>
              <w:pStyle w:val="TableBodyText"/>
            </w:pPr>
            <w:r>
              <w:t>If applied to any other element, this attribu</w:t>
            </w:r>
            <w:r>
              <w:t>te should be ignored.</w:t>
            </w:r>
          </w:p>
          <w:p w:rsidR="00024C0A" w:rsidRDefault="00024C0A">
            <w:pPr>
              <w:pStyle w:val="TableBodyText"/>
            </w:pPr>
          </w:p>
          <w:p w:rsidR="00024C0A" w:rsidRDefault="00694C0F">
            <w:pPr>
              <w:pStyle w:val="TableBodyText"/>
            </w:pPr>
            <w:r>
              <w:t>The possible values for this attribute are defined by the XML Schema string datatype.</w:t>
            </w:r>
          </w:p>
        </w:tc>
      </w:tr>
      <w:tr w:rsidR="00024C0A" w:rsidTr="00024C0A">
        <w:tc>
          <w:tcPr>
            <w:tcW w:w="0" w:type="auto"/>
            <w:vAlign w:val="center"/>
          </w:tcPr>
          <w:p w:rsidR="00024C0A" w:rsidRDefault="00694C0F">
            <w:pPr>
              <w:pStyle w:val="TableBodyText"/>
            </w:pPr>
            <w:r>
              <w:rPr>
                <w:b/>
              </w:rPr>
              <w:t>index</w:t>
            </w:r>
            <w:r>
              <w:t xml:space="preserve"> (Ordering Index)</w:t>
            </w:r>
          </w:p>
        </w:tc>
        <w:tc>
          <w:tcPr>
            <w:tcW w:w="0" w:type="auto"/>
            <w:vAlign w:val="center"/>
          </w:tcPr>
          <w:p w:rsidR="00024C0A" w:rsidRDefault="00694C0F">
            <w:pPr>
              <w:pStyle w:val="TableBodyText"/>
            </w:pPr>
            <w:r>
              <w:t xml:space="preserve">The value of this attribute is used to determine the ordering on a property editing surface of </w:t>
            </w:r>
            <w:r>
              <w:rPr>
                <w:b/>
              </w:rPr>
              <w:t>xsd:element</w:t>
            </w:r>
            <w:r>
              <w:t xml:space="preserve">s bearing this attribute from schemas other than the root schema. First, the </w:t>
            </w:r>
            <w:r>
              <w:rPr>
                <w:b/>
              </w:rPr>
              <w:t>xsd:element</w:t>
            </w:r>
            <w:r>
              <w:t xml:space="preserve">s are broken into groups, as follows. The first group is composed of any </w:t>
            </w:r>
            <w:r>
              <w:rPr>
                <w:b/>
              </w:rPr>
              <w:t>xsd:element</w:t>
            </w:r>
            <w:r>
              <w:t xml:space="preserve"> that:</w:t>
            </w:r>
          </w:p>
          <w:p w:rsidR="00024C0A" w:rsidRDefault="00694C0F">
            <w:pPr>
              <w:pStyle w:val="ListParagraph"/>
              <w:numPr>
                <w:ilvl w:val="0"/>
                <w:numId w:val="210"/>
              </w:numPr>
            </w:pPr>
            <w:r>
              <w:t xml:space="preserve">is not the </w:t>
            </w:r>
            <w:r>
              <w:rPr>
                <w:b/>
              </w:rPr>
              <w:t>description</w:t>
            </w:r>
            <w:r>
              <w:t xml:space="preserve"> element in the core properties, and</w:t>
            </w:r>
          </w:p>
          <w:p w:rsidR="00024C0A" w:rsidRDefault="00694C0F">
            <w:pPr>
              <w:pStyle w:val="ListParagraph"/>
              <w:numPr>
                <w:ilvl w:val="0"/>
                <w:numId w:val="211"/>
              </w:numPr>
            </w:pPr>
            <w:r>
              <w:t>is not a simpleTyp</w:t>
            </w:r>
            <w:r>
              <w:t>e restriction based on {http://schemas.microsoft.com/office/2006/documentManagement/types}Note, and</w:t>
            </w:r>
          </w:p>
          <w:p w:rsidR="00024C0A" w:rsidRDefault="00694C0F">
            <w:pPr>
              <w:pStyle w:val="ListParagraph"/>
              <w:numPr>
                <w:ilvl w:val="0"/>
                <w:numId w:val="212"/>
              </w:numPr>
            </w:pPr>
            <w:r>
              <w:t xml:space="preserve">is not a complex content based on any of {http://schemas.microsoft.com/office/2006/documentManagement/types}MultiChoice, </w:t>
            </w:r>
            <w:r>
              <w:t>{http://schemas.microsoft.com/office/2006/documentManagement/types}MultiChoiceFillIn, or {http://schemas.microsoft.com/office/2006/documentManagement/types}MultiChoiceLookup.</w:t>
            </w:r>
          </w:p>
          <w:p w:rsidR="00024C0A" w:rsidRDefault="00694C0F">
            <w:pPr>
              <w:pStyle w:val="TableBodyText"/>
            </w:pPr>
            <w:r>
              <w:t xml:space="preserve">The second group is composed of the remaining </w:t>
            </w:r>
            <w:r>
              <w:rPr>
                <w:b/>
              </w:rPr>
              <w:t>xsd:element</w:t>
            </w:r>
            <w:r>
              <w:t>s bearing this attribute</w:t>
            </w:r>
            <w:r>
              <w:t xml:space="preserve"> from schemas other than the root schema. Within each group the order of the index attribute values is ascending.</w:t>
            </w:r>
          </w:p>
          <w:p w:rsidR="00024C0A" w:rsidRDefault="00024C0A">
            <w:pPr>
              <w:pStyle w:val="TableBodyText"/>
            </w:pPr>
          </w:p>
          <w:p w:rsidR="00024C0A" w:rsidRDefault="00694C0F">
            <w:pPr>
              <w:pStyle w:val="TableBodyText"/>
            </w:pPr>
            <w:r>
              <w:t xml:space="preserve">If an </w:t>
            </w:r>
            <w:r>
              <w:rPr>
                <w:b/>
              </w:rPr>
              <w:t>xsd:element</w:t>
            </w:r>
            <w:r>
              <w:t xml:space="preserve"> in a schema other than the root schema or core schema does not have this attribute, it will not be presented to the user fo</w:t>
            </w:r>
            <w:r>
              <w:t>r editing on the property editing surface.</w:t>
            </w:r>
          </w:p>
          <w:p w:rsidR="00024C0A" w:rsidRDefault="00024C0A">
            <w:pPr>
              <w:pStyle w:val="TableBodyText"/>
            </w:pPr>
          </w:p>
          <w:p w:rsidR="00024C0A" w:rsidRDefault="00694C0F">
            <w:pPr>
              <w:pStyle w:val="TableBodyText"/>
            </w:pPr>
            <w:r>
              <w:t>If applied to any other element, this attribute should be ignored.</w:t>
            </w:r>
          </w:p>
          <w:p w:rsidR="00024C0A" w:rsidRDefault="00024C0A">
            <w:pPr>
              <w:pStyle w:val="TableBodyText"/>
            </w:pPr>
          </w:p>
          <w:p w:rsidR="00024C0A" w:rsidRDefault="00694C0F">
            <w:pPr>
              <w:pStyle w:val="TableBodyText"/>
            </w:pPr>
            <w:r>
              <w:t>The possible values for this attribute are defined by the ST_IntNonNegative simple type (§</w:t>
            </w:r>
            <w:hyperlink w:anchor="Section_fc63ec620566496f8ec8cb3ee90bdd9a">
              <w:r>
                <w:rPr>
                  <w:rStyle w:val="Hyperlink"/>
                </w:rPr>
                <w:t>3.5.2.2.2.2, ST_IntNonNegative</w:t>
              </w:r>
            </w:hyperlink>
            <w:r>
              <w:t>).</w:t>
            </w:r>
          </w:p>
        </w:tc>
      </w:tr>
      <w:tr w:rsidR="00024C0A" w:rsidTr="00024C0A">
        <w:tc>
          <w:tcPr>
            <w:tcW w:w="0" w:type="auto"/>
            <w:vAlign w:val="center"/>
          </w:tcPr>
          <w:p w:rsidR="00024C0A" w:rsidRDefault="00694C0F">
            <w:pPr>
              <w:pStyle w:val="TableBodyText"/>
            </w:pPr>
            <w:r>
              <w:rPr>
                <w:b/>
              </w:rPr>
              <w:t>indexed</w:t>
            </w:r>
            <w:r>
              <w:t xml:space="preserve"> (Default Visibility of </w:t>
            </w:r>
            <w:r>
              <w:lastRenderedPageBreak/>
              <w:t>Taxonomy Field)</w:t>
            </w:r>
          </w:p>
        </w:tc>
        <w:tc>
          <w:tcPr>
            <w:tcW w:w="0" w:type="auto"/>
            <w:vAlign w:val="center"/>
          </w:tcPr>
          <w:p w:rsidR="00024C0A" w:rsidRDefault="00694C0F">
            <w:pPr>
              <w:pStyle w:val="TableBodyText"/>
            </w:pPr>
            <w:r>
              <w:lastRenderedPageBreak/>
              <w:t>When applied to an xsd:element for which neither the hidden nor readOnly attributes are set to "true" in a schema other than the root schema or core schema, if set to</w:t>
            </w:r>
            <w:r>
              <w:t xml:space="preserve"> "true”, </w:t>
            </w:r>
            <w:r>
              <w:lastRenderedPageBreak/>
              <w:t>specifies that the property corresponding to this xsd:element MUST be presented for editing.</w:t>
            </w:r>
          </w:p>
          <w:p w:rsidR="00024C0A" w:rsidRDefault="00024C0A">
            <w:pPr>
              <w:pStyle w:val="TableBodyText"/>
            </w:pPr>
          </w:p>
          <w:p w:rsidR="00024C0A" w:rsidRDefault="00694C0F">
            <w:pPr>
              <w:pStyle w:val="TableBodyText"/>
            </w:pPr>
            <w:r>
              <w:t>If applied to any other element, this attribute MUST be ignored.</w:t>
            </w:r>
          </w:p>
          <w:p w:rsidR="00024C0A" w:rsidRDefault="00024C0A">
            <w:pPr>
              <w:pStyle w:val="TableBodyText"/>
            </w:pPr>
          </w:p>
          <w:p w:rsidR="00024C0A" w:rsidRDefault="00694C0F">
            <w:pPr>
              <w:pStyle w:val="TableBodyText"/>
            </w:pPr>
            <w:r>
              <w:t>The possible values for this attribute are defined by the XML Schema string datatype.</w:t>
            </w:r>
          </w:p>
        </w:tc>
      </w:tr>
      <w:tr w:rsidR="00024C0A" w:rsidTr="00024C0A">
        <w:tc>
          <w:tcPr>
            <w:tcW w:w="0" w:type="auto"/>
            <w:vAlign w:val="center"/>
          </w:tcPr>
          <w:p w:rsidR="00024C0A" w:rsidRDefault="00694C0F">
            <w:pPr>
              <w:pStyle w:val="TableBodyText"/>
            </w:pPr>
            <w:r>
              <w:rPr>
                <w:b/>
              </w:rPr>
              <w:lastRenderedPageBreak/>
              <w:t>internalName</w:t>
            </w:r>
            <w:r>
              <w:t xml:space="preserve"> (Internal Name)</w:t>
            </w:r>
          </w:p>
        </w:tc>
        <w:tc>
          <w:tcPr>
            <w:tcW w:w="0" w:type="auto"/>
            <w:vAlign w:val="center"/>
          </w:tcPr>
          <w:p w:rsidR="00024C0A" w:rsidRDefault="00694C0F">
            <w:pPr>
              <w:pStyle w:val="TableBodyText"/>
            </w:pPr>
            <w:r>
              <w:t>Specifies an internal name.</w:t>
            </w:r>
          </w:p>
          <w:p w:rsidR="00024C0A" w:rsidRDefault="00024C0A">
            <w:pPr>
              <w:pStyle w:val="TableBodyText"/>
            </w:pPr>
          </w:p>
          <w:p w:rsidR="00024C0A" w:rsidRDefault="00694C0F">
            <w:pPr>
              <w:pStyle w:val="TableBodyText"/>
            </w:pPr>
            <w:r>
              <w:t xml:space="preserve">This attribute shall be present on </w:t>
            </w:r>
            <w:r>
              <w:rPr>
                <w:b/>
              </w:rPr>
              <w:t>xsd:element</w:t>
            </w:r>
            <w:r>
              <w:t>s in a schema other than the root schema or core schema.  If applied to any other element, this attribute should be ignored.</w:t>
            </w:r>
          </w:p>
          <w:p w:rsidR="00024C0A" w:rsidRDefault="00024C0A">
            <w:pPr>
              <w:pStyle w:val="TableBodyText"/>
            </w:pPr>
          </w:p>
          <w:p w:rsidR="00024C0A" w:rsidRDefault="00694C0F">
            <w:pPr>
              <w:pStyle w:val="TableBodyText"/>
            </w:pPr>
            <w:r>
              <w:t>The possible values for th</w:t>
            </w:r>
            <w:r>
              <w:t>is attribute are defined by the XML Schema string datatype.</w:t>
            </w:r>
          </w:p>
        </w:tc>
      </w:tr>
      <w:tr w:rsidR="00024C0A" w:rsidTr="00024C0A">
        <w:tc>
          <w:tcPr>
            <w:tcW w:w="0" w:type="auto"/>
            <w:vAlign w:val="center"/>
          </w:tcPr>
          <w:p w:rsidR="00024C0A" w:rsidRDefault="00694C0F">
            <w:pPr>
              <w:pStyle w:val="TableBodyText"/>
            </w:pPr>
            <w:r>
              <w:rPr>
                <w:b/>
              </w:rPr>
              <w:t>isKeyword</w:t>
            </w:r>
            <w:r>
              <w:t xml:space="preserve"> (Keyword Flag)</w:t>
            </w:r>
          </w:p>
        </w:tc>
        <w:tc>
          <w:tcPr>
            <w:tcW w:w="0" w:type="auto"/>
            <w:vAlign w:val="center"/>
          </w:tcPr>
          <w:p w:rsidR="00024C0A" w:rsidRDefault="00694C0F">
            <w:pPr>
              <w:pStyle w:val="TableBodyText"/>
            </w:pPr>
            <w:r>
              <w:t xml:space="preserve">If set to "true", specifies that the property editing UI for the property corresponding to this xsd:element uses all available term stores and term sets. If set to </w:t>
            </w:r>
            <w:r>
              <w:t>"false", specifies that the property editing UI for the property corresponding to this xsd:element uses the term set specified by the termSetId attribute.</w:t>
            </w:r>
          </w:p>
          <w:p w:rsidR="00024C0A" w:rsidRDefault="00024C0A">
            <w:pPr>
              <w:pStyle w:val="TableBodyText"/>
            </w:pPr>
          </w:p>
          <w:p w:rsidR="00024C0A" w:rsidRDefault="00694C0F">
            <w:pPr>
              <w:pStyle w:val="TableBodyText"/>
            </w:pPr>
            <w:r>
              <w:t>MUST be present on xsd:elements for which the taxonomy attribute is set to "true".</w:t>
            </w:r>
          </w:p>
          <w:p w:rsidR="00024C0A" w:rsidRDefault="00024C0A">
            <w:pPr>
              <w:pStyle w:val="TableBodyText"/>
            </w:pPr>
          </w:p>
          <w:p w:rsidR="00024C0A" w:rsidRDefault="00694C0F">
            <w:pPr>
              <w:pStyle w:val="TableBodyText"/>
            </w:pPr>
            <w:r>
              <w:t>If applied to an</w:t>
            </w:r>
            <w:r>
              <w:t xml:space="preserve">y other element, this attribute MUST be ignored. </w:t>
            </w:r>
          </w:p>
          <w:p w:rsidR="00024C0A" w:rsidRDefault="00024C0A">
            <w:pPr>
              <w:pStyle w:val="TableBodyText"/>
            </w:pPr>
          </w:p>
          <w:p w:rsidR="00024C0A" w:rsidRDefault="00694C0F">
            <w:pPr>
              <w:pStyle w:val="TableBodyText"/>
            </w:pPr>
            <w:r>
              <w:t>The possible values for this attribute are defined by the XML Schema string datatype.</w:t>
            </w:r>
          </w:p>
        </w:tc>
      </w:tr>
      <w:tr w:rsidR="00024C0A" w:rsidTr="00024C0A">
        <w:tc>
          <w:tcPr>
            <w:tcW w:w="0" w:type="auto"/>
            <w:vAlign w:val="center"/>
          </w:tcPr>
          <w:p w:rsidR="00024C0A" w:rsidRDefault="00694C0F">
            <w:pPr>
              <w:pStyle w:val="TableBodyText"/>
            </w:pPr>
            <w:r>
              <w:rPr>
                <w:b/>
              </w:rPr>
              <w:t>LCID</w:t>
            </w:r>
            <w:r>
              <w:t xml:space="preserve"> (LCID)</w:t>
            </w:r>
          </w:p>
        </w:tc>
        <w:tc>
          <w:tcPr>
            <w:tcW w:w="0" w:type="auto"/>
            <w:vAlign w:val="center"/>
          </w:tcPr>
          <w:p w:rsidR="00024C0A" w:rsidRDefault="00694C0F">
            <w:pPr>
              <w:pStyle w:val="TableBodyText"/>
            </w:pPr>
            <w:r>
              <w:t xml:space="preserve">When applied to an </w:t>
            </w:r>
            <w:r>
              <w:rPr>
                <w:b/>
              </w:rPr>
              <w:t>xsd:element</w:t>
            </w:r>
            <w:r>
              <w:t xml:space="preserve"> in a schema other than the root schema or core schema whose content model i</w:t>
            </w:r>
            <w:r>
              <w:t xml:space="preserve">s an </w:t>
            </w:r>
            <w:r>
              <w:rPr>
                <w:b/>
              </w:rPr>
              <w:t>xsd:restriction</w:t>
            </w:r>
            <w:r>
              <w:t xml:space="preserve"> based on {http://schemas.microsoft.com/office/2006/documentManagement/types}Currency, specifies the locale identifier as specified in the Windows Language Code Identifier (LCID) Reference </w:t>
            </w:r>
            <w:hyperlink r:id="rId358" w:anchor="Section_70feba9f294e491eb6eb56532684c37f">
              <w:r>
                <w:rPr>
                  <w:rStyle w:val="Hyperlink"/>
                </w:rPr>
                <w:t>[MS-LCID]</w:t>
              </w:r>
            </w:hyperlink>
            <w:r>
              <w:t xml:space="preserve"> to determine the currency symbol used in the display of the property corresponding to this </w:t>
            </w:r>
            <w:r>
              <w:rPr>
                <w:b/>
              </w:rPr>
              <w:t>xsd:element</w:t>
            </w:r>
            <w:r>
              <w:t xml:space="preserve"> in the property editing surface.</w:t>
            </w:r>
          </w:p>
          <w:p w:rsidR="00024C0A" w:rsidRDefault="00024C0A">
            <w:pPr>
              <w:pStyle w:val="TableBodyText"/>
            </w:pPr>
          </w:p>
          <w:p w:rsidR="00024C0A" w:rsidRDefault="00694C0F">
            <w:pPr>
              <w:pStyle w:val="TableBodyText"/>
            </w:pPr>
            <w:r>
              <w:t>If applied to any other element, this attribute should be ignored.</w:t>
            </w:r>
          </w:p>
          <w:p w:rsidR="00024C0A" w:rsidRDefault="00024C0A">
            <w:pPr>
              <w:pStyle w:val="TableBodyText"/>
            </w:pPr>
          </w:p>
          <w:p w:rsidR="00024C0A" w:rsidRDefault="00694C0F">
            <w:pPr>
              <w:pStyle w:val="TableBodyText"/>
            </w:pPr>
            <w:r>
              <w:t>The possi</w:t>
            </w:r>
            <w:r>
              <w:t>ble values for this attribute are defined by the XML Schema int datatype.</w:t>
            </w:r>
          </w:p>
        </w:tc>
      </w:tr>
      <w:tr w:rsidR="00024C0A" w:rsidTr="00024C0A">
        <w:tc>
          <w:tcPr>
            <w:tcW w:w="0" w:type="auto"/>
            <w:vAlign w:val="center"/>
          </w:tcPr>
          <w:p w:rsidR="00024C0A" w:rsidRDefault="00694C0F">
            <w:pPr>
              <w:pStyle w:val="TableBodyText"/>
            </w:pPr>
            <w:r>
              <w:rPr>
                <w:b/>
              </w:rPr>
              <w:t>list</w:t>
            </w:r>
            <w:r>
              <w:t xml:space="preserve"> (List Identifier)</w:t>
            </w:r>
          </w:p>
        </w:tc>
        <w:tc>
          <w:tcPr>
            <w:tcW w:w="0" w:type="auto"/>
            <w:vAlign w:val="center"/>
          </w:tcPr>
          <w:p w:rsidR="00024C0A" w:rsidRDefault="00694C0F">
            <w:pPr>
              <w:pStyle w:val="TableBodyText"/>
            </w:pPr>
            <w:r>
              <w:t xml:space="preserve">Shall be present on </w:t>
            </w:r>
            <w:r>
              <w:rPr>
                <w:b/>
              </w:rPr>
              <w:t>xsd:element</w:t>
            </w:r>
            <w:r>
              <w:t xml:space="preserve">s for which neither the hidden nor read-only attributes are set to </w:t>
            </w:r>
            <w:r>
              <w:rPr>
                <w:i/>
              </w:rPr>
              <w:t>true</w:t>
            </w:r>
            <w:r>
              <w:t xml:space="preserve"> in a schema other than the root schema or core schema w</w:t>
            </w:r>
            <w:r>
              <w:t xml:space="preserve">hose content model is an </w:t>
            </w:r>
            <w:r>
              <w:rPr>
                <w:b/>
              </w:rPr>
              <w:t>xsd:restriction</w:t>
            </w:r>
            <w:r>
              <w:t xml:space="preserve"> based on {http://schemas.microsoft.com/office/2006/documentManagement/types}Lookup or {http://schemas.microsoft.com/office/2006/documentManagement/types}MultiLookup.When present on such an element, specifies the lis</w:t>
            </w:r>
            <w:r>
              <w:t xml:space="preserve">t from which to get data for display of the property corresponding to this </w:t>
            </w:r>
            <w:r>
              <w:rPr>
                <w:b/>
              </w:rPr>
              <w:t>xsd:element</w:t>
            </w:r>
            <w:r>
              <w:t xml:space="preserve"> in the property editing surface.</w:t>
            </w:r>
          </w:p>
          <w:p w:rsidR="00024C0A" w:rsidRDefault="00024C0A">
            <w:pPr>
              <w:pStyle w:val="TableBodyText"/>
            </w:pPr>
          </w:p>
          <w:p w:rsidR="00024C0A" w:rsidRDefault="00694C0F">
            <w:pPr>
              <w:pStyle w:val="TableBodyText"/>
            </w:pPr>
            <w:r>
              <w:t xml:space="preserve">Office will populate this data when the save location of the document is a site that implements the Lists Web Service Protocol Specification </w:t>
            </w:r>
            <w:hyperlink r:id="rId359" w:anchor="Section_30b364cc38374e839ce81963292e2ee5">
              <w:r>
                <w:rPr>
                  <w:rStyle w:val="Hyperlink"/>
                </w:rPr>
                <w:t>[MS-LISTSWS]</w:t>
              </w:r>
            </w:hyperlink>
            <w:r>
              <w:t xml:space="preserve"> and the value of thi</w:t>
            </w:r>
            <w:r>
              <w:t xml:space="preserve">s attribute is a valid GUID enclosed in braces corresponding to the ID of a list on the site. </w:t>
            </w:r>
          </w:p>
          <w:p w:rsidR="00024C0A" w:rsidRDefault="00024C0A">
            <w:pPr>
              <w:pStyle w:val="TableBodyText"/>
            </w:pPr>
          </w:p>
          <w:p w:rsidR="00024C0A" w:rsidRDefault="00694C0F">
            <w:pPr>
              <w:pStyle w:val="TableBodyText"/>
            </w:pPr>
            <w:r>
              <w:t>If applied to any other element, this attribute should be ignored.</w:t>
            </w:r>
          </w:p>
          <w:p w:rsidR="00024C0A" w:rsidRDefault="00024C0A">
            <w:pPr>
              <w:pStyle w:val="TableBodyText"/>
            </w:pPr>
          </w:p>
          <w:p w:rsidR="00024C0A" w:rsidRDefault="00694C0F">
            <w:pPr>
              <w:pStyle w:val="TableBodyText"/>
            </w:pPr>
            <w:r>
              <w:t>The possible values for this attribute are defined by the XML Schema string datatype.</w:t>
            </w:r>
          </w:p>
        </w:tc>
      </w:tr>
      <w:tr w:rsidR="00024C0A" w:rsidTr="00024C0A">
        <w:tc>
          <w:tcPr>
            <w:tcW w:w="0" w:type="auto"/>
            <w:vAlign w:val="center"/>
          </w:tcPr>
          <w:p w:rsidR="00024C0A" w:rsidRDefault="00694C0F">
            <w:pPr>
              <w:pStyle w:val="TableBodyText"/>
            </w:pPr>
            <w:r>
              <w:rPr>
                <w:b/>
              </w:rPr>
              <w:t>open</w:t>
            </w:r>
            <w:r>
              <w:t xml:space="preserve"> (Term Set Open for Addition </w:t>
            </w:r>
            <w:r>
              <w:lastRenderedPageBreak/>
              <w:t>Flag)</w:t>
            </w:r>
          </w:p>
        </w:tc>
        <w:tc>
          <w:tcPr>
            <w:tcW w:w="0" w:type="auto"/>
            <w:vAlign w:val="center"/>
          </w:tcPr>
          <w:p w:rsidR="00024C0A" w:rsidRDefault="00694C0F">
            <w:pPr>
              <w:pStyle w:val="TableBodyText"/>
            </w:pPr>
            <w:r>
              <w:lastRenderedPageBreak/>
              <w:t xml:space="preserve">If set to "true", specifies that new terms are allowed to be added to the term set specified by the termSetId attribute. If set to "false", the property editing UI MUST NOT </w:t>
            </w:r>
            <w:r>
              <w:lastRenderedPageBreak/>
              <w:t>allow new terms to be added to the term set spec</w:t>
            </w:r>
            <w:r>
              <w:t>ified by the termSetId attribute.</w:t>
            </w:r>
          </w:p>
          <w:p w:rsidR="00024C0A" w:rsidRDefault="00024C0A">
            <w:pPr>
              <w:pStyle w:val="TableBodyText"/>
            </w:pPr>
          </w:p>
          <w:p w:rsidR="00024C0A" w:rsidRDefault="00694C0F">
            <w:pPr>
              <w:pStyle w:val="TableBodyText"/>
            </w:pPr>
            <w:r>
              <w:t>MUST be present on xsd:elements for which the taxonomy attribute is set to "true", and MUST be set to "true" if new terms are allowed to be added to the term set specified by the termSetId attribute.  MUST be set to "fals</w:t>
            </w:r>
            <w:r>
              <w:t>e" otherwise.</w:t>
            </w:r>
          </w:p>
          <w:p w:rsidR="00024C0A" w:rsidRDefault="00024C0A">
            <w:pPr>
              <w:pStyle w:val="TableBodyText"/>
            </w:pPr>
          </w:p>
          <w:p w:rsidR="00024C0A" w:rsidRDefault="00694C0F">
            <w:pPr>
              <w:pStyle w:val="TableBodyText"/>
            </w:pPr>
            <w:r>
              <w:t>If applied to any other element, this attribute MUST be ignored.</w:t>
            </w:r>
          </w:p>
          <w:p w:rsidR="00024C0A" w:rsidRDefault="00024C0A">
            <w:pPr>
              <w:pStyle w:val="TableBodyText"/>
            </w:pPr>
          </w:p>
          <w:p w:rsidR="00024C0A" w:rsidRDefault="00694C0F">
            <w:pPr>
              <w:pStyle w:val="TableBodyText"/>
            </w:pPr>
            <w:r>
              <w:t>The possible values for this attribute are defined by the XML Schema string datatype.</w:t>
            </w:r>
          </w:p>
        </w:tc>
      </w:tr>
      <w:tr w:rsidR="00024C0A" w:rsidTr="00024C0A">
        <w:tc>
          <w:tcPr>
            <w:tcW w:w="0" w:type="auto"/>
            <w:vAlign w:val="center"/>
          </w:tcPr>
          <w:p w:rsidR="00024C0A" w:rsidRDefault="00694C0F">
            <w:pPr>
              <w:pStyle w:val="TableBodyText"/>
            </w:pPr>
            <w:r>
              <w:rPr>
                <w:b/>
              </w:rPr>
              <w:lastRenderedPageBreak/>
              <w:t>percentage</w:t>
            </w:r>
            <w:r>
              <w:t xml:space="preserve"> (Show as Percentage)</w:t>
            </w:r>
          </w:p>
        </w:tc>
        <w:tc>
          <w:tcPr>
            <w:tcW w:w="0" w:type="auto"/>
            <w:vAlign w:val="center"/>
          </w:tcPr>
          <w:p w:rsidR="00024C0A" w:rsidRDefault="00694C0F">
            <w:pPr>
              <w:pStyle w:val="TableBodyText"/>
            </w:pPr>
            <w:r>
              <w:t xml:space="preserve">When applied to an </w:t>
            </w:r>
            <w:r>
              <w:rPr>
                <w:b/>
              </w:rPr>
              <w:t>xsd:element</w:t>
            </w:r>
            <w:r>
              <w:t xml:space="preserve"> in a schema other than th</w:t>
            </w:r>
            <w:r>
              <w:t xml:space="preserve">e root schema or core schema whose content model is an </w:t>
            </w:r>
            <w:r>
              <w:rPr>
                <w:b/>
              </w:rPr>
              <w:t>xsd:restriction</w:t>
            </w:r>
            <w:r>
              <w:t xml:space="preserve"> based on {http://schemas.microsoft.com/office/2006/documentManagement/types}Currency or {http://schemas.microsoft.com/office/2006/documentManagement/types}Number, if set to </w:t>
            </w:r>
            <w:r>
              <w:rPr>
                <w:i/>
              </w:rPr>
              <w:t>TRUE</w:t>
            </w:r>
            <w:r>
              <w:t>, specif</w:t>
            </w:r>
            <w:r>
              <w:t xml:space="preserve">ies that the property corresponding to this </w:t>
            </w:r>
            <w:r>
              <w:rPr>
                <w:b/>
              </w:rPr>
              <w:t>xsd:element</w:t>
            </w:r>
            <w:r>
              <w:t xml:space="preserve"> should be displayed as a percentage in the property editing surface, and if not present or set to any other value, specifies that the property corresponding to this </w:t>
            </w:r>
            <w:r>
              <w:rPr>
                <w:b/>
              </w:rPr>
              <w:t>xsd:element</w:t>
            </w:r>
            <w:r>
              <w:t xml:space="preserve"> should not be displayed</w:t>
            </w:r>
            <w:r>
              <w:t xml:space="preserve"> as a percentage in the property editing surface.</w:t>
            </w:r>
          </w:p>
          <w:p w:rsidR="00024C0A" w:rsidRDefault="00024C0A">
            <w:pPr>
              <w:pStyle w:val="TableBodyText"/>
            </w:pPr>
          </w:p>
          <w:p w:rsidR="00024C0A" w:rsidRDefault="00694C0F">
            <w:pPr>
              <w:pStyle w:val="TableBodyText"/>
            </w:pPr>
            <w:r>
              <w:t>If applied to any other element, this attribute should be ignored.</w:t>
            </w:r>
          </w:p>
          <w:p w:rsidR="00024C0A" w:rsidRDefault="00024C0A">
            <w:pPr>
              <w:pStyle w:val="TableBodyText"/>
            </w:pPr>
          </w:p>
          <w:p w:rsidR="00024C0A" w:rsidRDefault="00694C0F">
            <w:pPr>
              <w:pStyle w:val="TableBodyText"/>
            </w:pPr>
            <w:r>
              <w:t>The possible values for this attribute are defined by the XML Schema string datatype.</w:t>
            </w:r>
          </w:p>
        </w:tc>
      </w:tr>
      <w:tr w:rsidR="00024C0A" w:rsidTr="00024C0A">
        <w:tc>
          <w:tcPr>
            <w:tcW w:w="0" w:type="auto"/>
            <w:vAlign w:val="center"/>
          </w:tcPr>
          <w:p w:rsidR="00024C0A" w:rsidRDefault="00694C0F">
            <w:pPr>
              <w:pStyle w:val="TableBodyText"/>
            </w:pPr>
            <w:r>
              <w:rPr>
                <w:b/>
              </w:rPr>
              <w:t>readOnly</w:t>
            </w:r>
            <w:r>
              <w:t xml:space="preserve"> (Read Only)</w:t>
            </w:r>
          </w:p>
        </w:tc>
        <w:tc>
          <w:tcPr>
            <w:tcW w:w="0" w:type="auto"/>
            <w:vAlign w:val="center"/>
          </w:tcPr>
          <w:p w:rsidR="00024C0A" w:rsidRDefault="00694C0F">
            <w:pPr>
              <w:pStyle w:val="TableBodyText"/>
            </w:pPr>
            <w:r>
              <w:t xml:space="preserve">When applied to an </w:t>
            </w:r>
            <w:r>
              <w:rPr>
                <w:b/>
              </w:rPr>
              <w:t>xsd:elemen</w:t>
            </w:r>
            <w:r>
              <w:rPr>
                <w:b/>
              </w:rPr>
              <w:t>t</w:t>
            </w:r>
            <w:r>
              <w:t xml:space="preserve"> in a schema other than the root schema or core schema, if set to </w:t>
            </w:r>
            <w:r>
              <w:rPr>
                <w:i/>
              </w:rPr>
              <w:t>true</w:t>
            </w:r>
            <w:r>
              <w:t xml:space="preserve">, specifies that the property corresponding to this </w:t>
            </w:r>
            <w:r>
              <w:rPr>
                <w:b/>
              </w:rPr>
              <w:t>xsd:element</w:t>
            </w:r>
            <w:r>
              <w:t xml:space="preserve"> should not be presented for editing on the property editing surface.</w:t>
            </w:r>
          </w:p>
          <w:p w:rsidR="00024C0A" w:rsidRDefault="00024C0A">
            <w:pPr>
              <w:pStyle w:val="TableBodyText"/>
            </w:pPr>
          </w:p>
          <w:p w:rsidR="00024C0A" w:rsidRDefault="00694C0F">
            <w:pPr>
              <w:pStyle w:val="TableBodyText"/>
            </w:pPr>
            <w:r>
              <w:t>If applied to any other element, this attribute sho</w:t>
            </w:r>
            <w:r>
              <w:t>uld be ignored.</w:t>
            </w:r>
          </w:p>
          <w:p w:rsidR="00024C0A" w:rsidRDefault="00024C0A">
            <w:pPr>
              <w:pStyle w:val="TableBodyText"/>
            </w:pPr>
          </w:p>
          <w:p w:rsidR="00024C0A" w:rsidRDefault="00694C0F">
            <w:pPr>
              <w:pStyle w:val="TableBodyText"/>
            </w:pPr>
            <w:r>
              <w:t>The possible values for this attribute are defined by the XML Schema string datatype.</w:t>
            </w:r>
          </w:p>
        </w:tc>
      </w:tr>
      <w:tr w:rsidR="00024C0A" w:rsidTr="00024C0A">
        <w:tc>
          <w:tcPr>
            <w:tcW w:w="0" w:type="auto"/>
            <w:vAlign w:val="center"/>
          </w:tcPr>
          <w:p w:rsidR="00024C0A" w:rsidRDefault="00694C0F">
            <w:pPr>
              <w:pStyle w:val="TableBodyText"/>
            </w:pPr>
            <w:r>
              <w:rPr>
                <w:b/>
              </w:rPr>
              <w:t>requiredMultiChoice</w:t>
            </w:r>
            <w:r>
              <w:t xml:space="preserve"> (Required Multiple Choice)</w:t>
            </w:r>
          </w:p>
        </w:tc>
        <w:tc>
          <w:tcPr>
            <w:tcW w:w="0" w:type="auto"/>
            <w:vAlign w:val="center"/>
          </w:tcPr>
          <w:p w:rsidR="00024C0A" w:rsidRDefault="00694C0F">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{http://schemas.microsoft.com/office/2006/documentManagement/types}MultiChoice, {http://schemas.microsoft.com/office/2006/documentManagement/types}Mu</w:t>
            </w:r>
            <w:r>
              <w:t xml:space="preserve">ltiChoiceFillIn, or {http://schemas.microsoft.com/office/2006/documentManagement/types}MultiChoiceLookup, if set to true, specifies that the property editing surface should indicate an error if no choices are selected for the property corresponding to the </w:t>
            </w:r>
            <w:r>
              <w:rPr>
                <w:b/>
              </w:rPr>
              <w:t>xsd:element</w:t>
            </w:r>
            <w:r>
              <w:t>.</w:t>
            </w:r>
          </w:p>
          <w:p w:rsidR="00024C0A" w:rsidRDefault="00024C0A">
            <w:pPr>
              <w:pStyle w:val="TableBodyText"/>
            </w:pPr>
          </w:p>
          <w:p w:rsidR="00024C0A" w:rsidRDefault="00694C0F">
            <w:pPr>
              <w:pStyle w:val="TableBodyText"/>
            </w:pPr>
            <w:r>
              <w:t>If applied to any other element, this attribute should be ignored.</w:t>
            </w:r>
          </w:p>
          <w:p w:rsidR="00024C0A" w:rsidRDefault="00024C0A">
            <w:pPr>
              <w:pStyle w:val="TableBodyText"/>
            </w:pPr>
          </w:p>
          <w:p w:rsidR="00024C0A" w:rsidRDefault="00694C0F">
            <w:pPr>
              <w:pStyle w:val="TableBodyText"/>
            </w:pPr>
            <w:r>
              <w:t>The possible values for this attribute are defined by the XML Schema string datatype.</w:t>
            </w:r>
          </w:p>
        </w:tc>
      </w:tr>
      <w:tr w:rsidR="00024C0A" w:rsidTr="00024C0A">
        <w:tc>
          <w:tcPr>
            <w:tcW w:w="0" w:type="auto"/>
            <w:vAlign w:val="center"/>
          </w:tcPr>
          <w:p w:rsidR="00024C0A" w:rsidRDefault="00694C0F">
            <w:pPr>
              <w:pStyle w:val="TableBodyText"/>
            </w:pPr>
            <w:r>
              <w:rPr>
                <w:b/>
              </w:rPr>
              <w:t>root</w:t>
            </w:r>
            <w:r>
              <w:t xml:space="preserve"> (Root Schema)</w:t>
            </w:r>
          </w:p>
        </w:tc>
        <w:tc>
          <w:tcPr>
            <w:tcW w:w="0" w:type="auto"/>
            <w:vAlign w:val="center"/>
          </w:tcPr>
          <w:p w:rsidR="00024C0A" w:rsidRDefault="00694C0F">
            <w:pPr>
              <w:pStyle w:val="TableBodyText"/>
            </w:pPr>
            <w:r>
              <w:t xml:space="preserve">Shall be set to </w:t>
            </w:r>
            <w:r>
              <w:rPr>
                <w:i/>
              </w:rPr>
              <w:t>true</w:t>
            </w:r>
            <w:r>
              <w:t xml:space="preserve"> on the root schema element described in Content</w:t>
            </w:r>
            <w:r>
              <w:t xml:space="preserve"> Type Schemas (§3.5.2.1, Content Type Schemas Schema, 3.5.2.1, Content Type Schemas Schema) for the http://schemas.microsoft.com/office/2006/contentTypeSchema namespace and shall not be applied to any other element.</w:t>
            </w:r>
          </w:p>
          <w:p w:rsidR="00024C0A" w:rsidRDefault="00024C0A">
            <w:pPr>
              <w:pStyle w:val="TableBodyText"/>
            </w:pPr>
          </w:p>
          <w:p w:rsidR="00024C0A" w:rsidRDefault="00694C0F">
            <w:pPr>
              <w:pStyle w:val="TableBodyText"/>
            </w:pPr>
            <w:r>
              <w:t xml:space="preserve">The possible values for this attribute </w:t>
            </w:r>
            <w:r>
              <w:t>are defined by the ST_TrueOnly simple type (§</w:t>
            </w:r>
            <w:hyperlink w:anchor="Section_f2dd832362924b9bbc07123e1aad7cc1">
              <w:r>
                <w:rPr>
                  <w:rStyle w:val="Hyperlink"/>
                </w:rPr>
                <w:t>3.5.2.2.2.3, ST_TrueOnly</w:t>
              </w:r>
            </w:hyperlink>
            <w:r>
              <w:t>).</w:t>
            </w:r>
          </w:p>
        </w:tc>
      </w:tr>
      <w:tr w:rsidR="00024C0A" w:rsidTr="00024C0A">
        <w:tc>
          <w:tcPr>
            <w:tcW w:w="0" w:type="auto"/>
            <w:vAlign w:val="center"/>
          </w:tcPr>
          <w:p w:rsidR="00024C0A" w:rsidRDefault="00694C0F">
            <w:pPr>
              <w:pStyle w:val="TableBodyText"/>
            </w:pPr>
            <w:r>
              <w:rPr>
                <w:b/>
              </w:rPr>
              <w:t>showField</w:t>
            </w:r>
            <w:r>
              <w:t xml:space="preserve"> (Displayed Field)</w:t>
            </w:r>
          </w:p>
        </w:tc>
        <w:tc>
          <w:tcPr>
            <w:tcW w:w="0" w:type="auto"/>
            <w:vAlign w:val="center"/>
          </w:tcPr>
          <w:p w:rsidR="00024C0A" w:rsidRDefault="00694C0F">
            <w:pPr>
              <w:pStyle w:val="TableBodyText"/>
            </w:pPr>
            <w:r>
              <w:t xml:space="preserve">Shall be present on </w:t>
            </w:r>
            <w:r>
              <w:rPr>
                <w:b/>
              </w:rPr>
              <w:t>xsd:element</w:t>
            </w:r>
            <w:r>
              <w:t>s for which neither the hidden nor read-only attributes are s</w:t>
            </w:r>
            <w:r>
              <w:t xml:space="preserve">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{http://schemas.microsoft.com/office/2006/documentManagement/types}MultiLookup. </w:t>
            </w:r>
            <w:r>
              <w:lastRenderedPageBreak/>
              <w:t>When applied to such an element, specifies the text displayed for the lookup options in t</w:t>
            </w:r>
            <w:r>
              <w:t xml:space="preserve">he property editing surface for the property corresponding to the </w:t>
            </w:r>
            <w:r>
              <w:rPr>
                <w:b/>
              </w:rPr>
              <w:t>xsd:element</w:t>
            </w:r>
            <w:r>
              <w:t>.</w:t>
            </w:r>
          </w:p>
          <w:p w:rsidR="00024C0A" w:rsidRDefault="00024C0A">
            <w:pPr>
              <w:pStyle w:val="TableBodyText"/>
            </w:pPr>
          </w:p>
          <w:p w:rsidR="00024C0A" w:rsidRDefault="00694C0F">
            <w:pPr>
              <w:pStyle w:val="TableBodyText"/>
            </w:pPr>
            <w:r>
              <w:t xml:space="preserve">Office handles values corresponding to the </w:t>
            </w:r>
            <w:r>
              <w:rPr>
                <w:b/>
              </w:rPr>
              <w:t>Name</w:t>
            </w:r>
            <w:r>
              <w:t xml:space="preserve"> attribute of a field as specified in the response from a GetList request as specified in the Lists Web Service Protocol Specific</w:t>
            </w:r>
            <w:r>
              <w:t>ation ([MS-LISTSWS] Subclause 3.1.4.14).</w:t>
            </w:r>
          </w:p>
          <w:p w:rsidR="00024C0A" w:rsidRDefault="00024C0A">
            <w:pPr>
              <w:pStyle w:val="TableBodyText"/>
            </w:pPr>
          </w:p>
          <w:p w:rsidR="00024C0A" w:rsidRDefault="00694C0F">
            <w:pPr>
              <w:pStyle w:val="TableBodyText"/>
            </w:pPr>
            <w:r>
              <w:t>If applied to any other element, this attribute should be ignored.</w:t>
            </w:r>
          </w:p>
          <w:p w:rsidR="00024C0A" w:rsidRDefault="00024C0A">
            <w:pPr>
              <w:pStyle w:val="TableBodyText"/>
            </w:pPr>
          </w:p>
          <w:p w:rsidR="00024C0A" w:rsidRDefault="00694C0F">
            <w:pPr>
              <w:pStyle w:val="TableBodyText"/>
            </w:pPr>
            <w:r>
              <w:t>The possible values for this attribute are defined by the XML Schema string datatype.</w:t>
            </w:r>
          </w:p>
        </w:tc>
      </w:tr>
      <w:tr w:rsidR="00024C0A" w:rsidTr="00024C0A">
        <w:tc>
          <w:tcPr>
            <w:tcW w:w="0" w:type="auto"/>
            <w:vAlign w:val="center"/>
          </w:tcPr>
          <w:p w:rsidR="00024C0A" w:rsidRDefault="00694C0F">
            <w:pPr>
              <w:pStyle w:val="TableBodyText"/>
            </w:pPr>
            <w:r>
              <w:rPr>
                <w:b/>
              </w:rPr>
              <w:lastRenderedPageBreak/>
              <w:t>sspId</w:t>
            </w:r>
            <w:r>
              <w:t xml:space="preserve"> (Term Store ID)</w:t>
            </w:r>
          </w:p>
        </w:tc>
        <w:tc>
          <w:tcPr>
            <w:tcW w:w="0" w:type="auto"/>
            <w:vAlign w:val="center"/>
          </w:tcPr>
          <w:p w:rsidR="00024C0A" w:rsidRDefault="00694C0F">
            <w:pPr>
              <w:pStyle w:val="TableBodyText"/>
            </w:pPr>
            <w:r>
              <w:t>Specifies the term store partition us</w:t>
            </w:r>
            <w:r>
              <w:t>ed in the property editing UI for the property corresponding to this xsd:element.</w:t>
            </w:r>
          </w:p>
          <w:p w:rsidR="00024C0A" w:rsidRDefault="00024C0A">
            <w:pPr>
              <w:pStyle w:val="TableBodyText"/>
            </w:pPr>
          </w:p>
          <w:p w:rsidR="00024C0A" w:rsidRDefault="00694C0F">
            <w:pPr>
              <w:pStyle w:val="TableBodyText"/>
            </w:pPr>
            <w:r>
              <w:t xml:space="preserve">MUST be present on xsd:elements for which the taxonomy attribute is set to "true", and MUST be set to "00000000-0000-0000-0000-000000000000" on xsd:elements for which the </w:t>
            </w:r>
            <w:r>
              <w:t>isKeyword attribute is set to "true".</w:t>
            </w:r>
          </w:p>
          <w:p w:rsidR="00024C0A" w:rsidRDefault="00024C0A">
            <w:pPr>
              <w:pStyle w:val="TableBodyText"/>
            </w:pPr>
          </w:p>
          <w:p w:rsidR="00024C0A" w:rsidRDefault="00694C0F">
            <w:pPr>
              <w:pStyle w:val="TableBodyText"/>
            </w:pPr>
            <w:r>
              <w:t>If applied to any other element, this attribute MUST be ignored.</w:t>
            </w:r>
          </w:p>
          <w:p w:rsidR="00024C0A" w:rsidRDefault="00024C0A">
            <w:pPr>
              <w:pStyle w:val="TableBodyText"/>
            </w:pPr>
          </w:p>
          <w:p w:rsidR="00024C0A" w:rsidRDefault="00694C0F">
            <w:pPr>
              <w:pStyle w:val="TableBodyText"/>
            </w:pPr>
            <w:r>
              <w:t>The possible values for this attribute are defined by the ST_UniqueIdentifierWithoutBraces simple type (§3.5.2.2.2.5, ST_UniqueIdentifierWithoutBraces)</w:t>
            </w:r>
            <w:r>
              <w:t>.</w:t>
            </w:r>
          </w:p>
        </w:tc>
      </w:tr>
      <w:tr w:rsidR="00024C0A" w:rsidTr="00024C0A">
        <w:tc>
          <w:tcPr>
            <w:tcW w:w="0" w:type="auto"/>
            <w:vAlign w:val="center"/>
          </w:tcPr>
          <w:p w:rsidR="00024C0A" w:rsidRDefault="00694C0F">
            <w:pPr>
              <w:pStyle w:val="TableBodyText"/>
            </w:pPr>
            <w:r>
              <w:rPr>
                <w:b/>
              </w:rPr>
              <w:t>taxonomy</w:t>
            </w:r>
            <w:r>
              <w:t xml:space="preserve"> (Taxonomy Field Flag)</w:t>
            </w:r>
          </w:p>
        </w:tc>
        <w:tc>
          <w:tcPr>
            <w:tcW w:w="0" w:type="auto"/>
            <w:vAlign w:val="center"/>
          </w:tcPr>
          <w:p w:rsidR="00024C0A" w:rsidRDefault="00694C0F">
            <w:pPr>
              <w:pStyle w:val="TableBodyText"/>
            </w:pPr>
            <w:r>
              <w:t>MUST be set to "true" on xsd:elements in a schema other than the root schema or core schema whose content model has the following structure.</w:t>
            </w:r>
          </w:p>
          <w:p w:rsidR="00024C0A" w:rsidRDefault="00024C0A">
            <w:pPr>
              <w:pStyle w:val="TableBodyText"/>
            </w:pPr>
          </w:p>
          <w:p w:rsidR="00024C0A" w:rsidRDefault="00694C0F">
            <w:pPr>
              <w:pStyle w:val="TableBodyText"/>
            </w:pPr>
            <w:r>
              <w:t>&lt;xsd:complexType&gt;</w:t>
            </w:r>
          </w:p>
          <w:p w:rsidR="00024C0A" w:rsidRDefault="00694C0F">
            <w:pPr>
              <w:pStyle w:val="TableBodyText"/>
            </w:pPr>
            <w:r>
              <w:t>&lt;xsd:sequence&gt;</w:t>
            </w:r>
          </w:p>
          <w:p w:rsidR="00024C0A" w:rsidRDefault="00694C0F">
            <w:pPr>
              <w:pStyle w:val="TableBodyText"/>
            </w:pPr>
            <w:r>
              <w:t>&lt;xsd:element ref="pc:Terms" minOccurs="0" maxOc</w:t>
            </w:r>
            <w:r>
              <w:t>curs="1"&gt;</w:t>
            </w:r>
          </w:p>
          <w:p w:rsidR="00024C0A" w:rsidRDefault="00694C0F">
            <w:pPr>
              <w:pStyle w:val="TableBodyText"/>
            </w:pPr>
            <w:r>
              <w:t>&lt;/xsd:element&gt;</w:t>
            </w:r>
          </w:p>
          <w:p w:rsidR="00024C0A" w:rsidRDefault="00694C0F">
            <w:pPr>
              <w:pStyle w:val="TableBodyText"/>
            </w:pPr>
            <w:r>
              <w:t>&lt;/xsd:sequence&gt;</w:t>
            </w:r>
          </w:p>
          <w:p w:rsidR="00024C0A" w:rsidRDefault="00694C0F">
            <w:pPr>
              <w:pStyle w:val="TableBodyText"/>
            </w:pPr>
            <w:r>
              <w:t>&lt;/xsd:complexType&gt;</w:t>
            </w:r>
          </w:p>
          <w:p w:rsidR="00024C0A" w:rsidRDefault="00024C0A">
            <w:pPr>
              <w:pStyle w:val="TableBodyText"/>
            </w:pPr>
          </w:p>
          <w:p w:rsidR="00024C0A" w:rsidRDefault="00694C0F">
            <w:pPr>
              <w:pStyle w:val="TableBodyText"/>
            </w:pPr>
            <w:r>
              <w:t>It MUST NOT be applied to any other element.</w:t>
            </w:r>
          </w:p>
          <w:p w:rsidR="00024C0A" w:rsidRDefault="00024C0A">
            <w:pPr>
              <w:pStyle w:val="TableBodyText"/>
            </w:pPr>
          </w:p>
          <w:p w:rsidR="00024C0A" w:rsidRDefault="00694C0F">
            <w:pPr>
              <w:pStyle w:val="TableBodyText"/>
            </w:pPr>
            <w:r>
              <w:t>The possible values for this attribute are defined by the XML Schema boolean datatype.</w:t>
            </w:r>
          </w:p>
        </w:tc>
      </w:tr>
      <w:tr w:rsidR="00024C0A" w:rsidTr="00024C0A">
        <w:tc>
          <w:tcPr>
            <w:tcW w:w="0" w:type="auto"/>
            <w:vAlign w:val="center"/>
          </w:tcPr>
          <w:p w:rsidR="00024C0A" w:rsidRDefault="00694C0F">
            <w:pPr>
              <w:pStyle w:val="TableBodyText"/>
            </w:pPr>
            <w:r>
              <w:rPr>
                <w:b/>
              </w:rPr>
              <w:t>taxonomyFieldName</w:t>
            </w:r>
            <w:r>
              <w:t xml:space="preserve"> (Taxonomy Field Name)</w:t>
            </w:r>
          </w:p>
        </w:tc>
        <w:tc>
          <w:tcPr>
            <w:tcW w:w="0" w:type="auto"/>
            <w:vAlign w:val="center"/>
          </w:tcPr>
          <w:p w:rsidR="00024C0A" w:rsidRDefault="00694C0F">
            <w:pPr>
              <w:pStyle w:val="TableBodyText"/>
            </w:pPr>
            <w:r>
              <w:t>Specifies the name of</w:t>
            </w:r>
            <w:r>
              <w:t xml:space="preserve"> a taxonomy field. </w:t>
            </w:r>
          </w:p>
          <w:p w:rsidR="00024C0A" w:rsidRDefault="00024C0A">
            <w:pPr>
              <w:pStyle w:val="TableBodyText"/>
            </w:pPr>
          </w:p>
          <w:p w:rsidR="00024C0A" w:rsidRDefault="00694C0F">
            <w:pPr>
              <w:pStyle w:val="TableBodyText"/>
            </w:pPr>
            <w:r>
              <w:t>MUST be present on xsd:elements for which the taxonomy attribute is set to "true".</w:t>
            </w:r>
          </w:p>
          <w:p w:rsidR="00024C0A" w:rsidRDefault="00024C0A">
            <w:pPr>
              <w:pStyle w:val="TableBodyText"/>
            </w:pPr>
          </w:p>
          <w:p w:rsidR="00024C0A" w:rsidRDefault="00694C0F">
            <w:pPr>
              <w:pStyle w:val="TableBodyText"/>
            </w:pPr>
            <w:r>
              <w:t>If applied to any other element, this attribute MUST be ignored.</w:t>
            </w:r>
          </w:p>
          <w:p w:rsidR="00024C0A" w:rsidRDefault="00024C0A">
            <w:pPr>
              <w:pStyle w:val="TableBodyText"/>
            </w:pPr>
          </w:p>
          <w:p w:rsidR="00024C0A" w:rsidRDefault="00694C0F">
            <w:pPr>
              <w:pStyle w:val="TableBodyText"/>
            </w:pPr>
            <w:r>
              <w:t>The possible values for this attribute are defined by the XML Schema string datatype.</w:t>
            </w:r>
          </w:p>
        </w:tc>
      </w:tr>
      <w:tr w:rsidR="00024C0A" w:rsidTr="00024C0A">
        <w:tc>
          <w:tcPr>
            <w:tcW w:w="0" w:type="auto"/>
            <w:vAlign w:val="center"/>
          </w:tcPr>
          <w:p w:rsidR="00024C0A" w:rsidRDefault="00694C0F">
            <w:pPr>
              <w:pStyle w:val="TableBodyText"/>
            </w:pPr>
            <w:r>
              <w:rPr>
                <w:b/>
              </w:rPr>
              <w:t>taxonomyMulti</w:t>
            </w:r>
            <w:r>
              <w:t xml:space="preserve"> (Allow Multiple Value Flag)</w:t>
            </w:r>
          </w:p>
        </w:tc>
        <w:tc>
          <w:tcPr>
            <w:tcW w:w="0" w:type="auto"/>
            <w:vAlign w:val="center"/>
          </w:tcPr>
          <w:p w:rsidR="00024C0A" w:rsidRDefault="00694C0F">
            <w:pPr>
              <w:pStyle w:val="TableBodyText"/>
            </w:pPr>
            <w:r>
              <w:t>If set to "false", specifies that only single values are displayed as valid in the property editing UI for the property corresponding to this xsd:element.</w:t>
            </w:r>
          </w:p>
          <w:p w:rsidR="00024C0A" w:rsidRDefault="00024C0A">
            <w:pPr>
              <w:pStyle w:val="TableBodyText"/>
            </w:pPr>
          </w:p>
          <w:p w:rsidR="00024C0A" w:rsidRDefault="00694C0F">
            <w:pPr>
              <w:pStyle w:val="TableBodyText"/>
            </w:pPr>
            <w:r>
              <w:t>MUST be present on xsd:elements for which the taxonomy a</w:t>
            </w:r>
            <w:r>
              <w:t>ttribute is set to "true".</w:t>
            </w:r>
          </w:p>
          <w:p w:rsidR="00024C0A" w:rsidRDefault="00024C0A">
            <w:pPr>
              <w:pStyle w:val="TableBodyText"/>
            </w:pPr>
          </w:p>
          <w:p w:rsidR="00024C0A" w:rsidRDefault="00694C0F">
            <w:pPr>
              <w:pStyle w:val="TableBodyText"/>
            </w:pPr>
            <w:r>
              <w:t>If applied to any other element, this attribute MUST be ignored.</w:t>
            </w:r>
          </w:p>
          <w:p w:rsidR="00024C0A" w:rsidRDefault="00024C0A">
            <w:pPr>
              <w:pStyle w:val="TableBodyText"/>
            </w:pPr>
          </w:p>
          <w:p w:rsidR="00024C0A" w:rsidRDefault="00694C0F">
            <w:pPr>
              <w:pStyle w:val="TableBodyText"/>
            </w:pPr>
            <w:r>
              <w:t>The possible values for this attribute are defined by the XML Schema boolean datatype.</w:t>
            </w:r>
          </w:p>
        </w:tc>
      </w:tr>
      <w:tr w:rsidR="00024C0A" w:rsidTr="00024C0A">
        <w:tc>
          <w:tcPr>
            <w:tcW w:w="0" w:type="auto"/>
            <w:vAlign w:val="center"/>
          </w:tcPr>
          <w:p w:rsidR="00024C0A" w:rsidRDefault="00694C0F">
            <w:pPr>
              <w:pStyle w:val="TableBodyText"/>
            </w:pPr>
            <w:r>
              <w:rPr>
                <w:b/>
              </w:rPr>
              <w:lastRenderedPageBreak/>
              <w:t>termSetId</w:t>
            </w:r>
            <w:r>
              <w:t xml:space="preserve"> (Term Set ID)</w:t>
            </w:r>
          </w:p>
        </w:tc>
        <w:tc>
          <w:tcPr>
            <w:tcW w:w="0" w:type="auto"/>
            <w:vAlign w:val="center"/>
          </w:tcPr>
          <w:p w:rsidR="00024C0A" w:rsidRDefault="00694C0F">
            <w:pPr>
              <w:pStyle w:val="TableBodyText"/>
            </w:pPr>
            <w:r>
              <w:t>Specifies the term set used in the property editin</w:t>
            </w:r>
            <w:r>
              <w:t>g UI for the property corresponding to this xsd:element.</w:t>
            </w:r>
          </w:p>
          <w:p w:rsidR="00024C0A" w:rsidRDefault="00024C0A">
            <w:pPr>
              <w:pStyle w:val="TableBodyText"/>
            </w:pPr>
          </w:p>
          <w:p w:rsidR="00024C0A" w:rsidRDefault="00694C0F">
            <w:pPr>
              <w:pStyle w:val="TableBodyText"/>
            </w:pPr>
            <w:r>
              <w:t xml:space="preserve">MUST be present on xsd:elements for which the taxonomy attribute is set to "true", and MUST be set to "00000000-0000-0000-0000-000000000000" on xsd:elements for which the isKeyword attribute is set </w:t>
            </w:r>
            <w:r>
              <w:t>to "true".</w:t>
            </w:r>
          </w:p>
          <w:p w:rsidR="00024C0A" w:rsidRDefault="00024C0A">
            <w:pPr>
              <w:pStyle w:val="TableBodyText"/>
            </w:pPr>
          </w:p>
          <w:p w:rsidR="00024C0A" w:rsidRDefault="00694C0F">
            <w:pPr>
              <w:pStyle w:val="TableBodyText"/>
            </w:pPr>
            <w:r>
              <w:t>If applied to any other element, this attribute MUST be ignored.</w:t>
            </w:r>
          </w:p>
          <w:p w:rsidR="00024C0A" w:rsidRDefault="00024C0A">
            <w:pPr>
              <w:pStyle w:val="TableBodyText"/>
            </w:pPr>
          </w:p>
          <w:p w:rsidR="00024C0A" w:rsidRDefault="00694C0F">
            <w:pPr>
              <w:pStyle w:val="TableBodyText"/>
            </w:pPr>
            <w:r>
              <w:t>The possible values for this attribute are defined by the ST_UniqueIdentifierWithoutBraces simple type (§3.5.2.2.2.5, ST_UniqueIdentifierWithoutBraces).</w:t>
            </w:r>
          </w:p>
        </w:tc>
      </w:tr>
      <w:tr w:rsidR="00024C0A" w:rsidTr="00024C0A">
        <w:tc>
          <w:tcPr>
            <w:tcW w:w="0" w:type="auto"/>
            <w:vAlign w:val="center"/>
          </w:tcPr>
          <w:p w:rsidR="00024C0A" w:rsidRDefault="00694C0F">
            <w:pPr>
              <w:pStyle w:val="TableBodyText"/>
            </w:pPr>
            <w:r>
              <w:rPr>
                <w:b/>
              </w:rPr>
              <w:t>web</w:t>
            </w:r>
            <w:r>
              <w:t xml:space="preserve"> (Site Identifier)</w:t>
            </w:r>
          </w:p>
        </w:tc>
        <w:tc>
          <w:tcPr>
            <w:tcW w:w="0" w:type="auto"/>
            <w:vAlign w:val="center"/>
          </w:tcPr>
          <w:p w:rsidR="00024C0A" w:rsidRDefault="00694C0F">
            <w:pPr>
              <w:pStyle w:val="TableBodyText"/>
            </w:pPr>
            <w:r>
              <w:t xml:space="preserve">When applied to an </w:t>
            </w:r>
            <w:r>
              <w:rPr>
                <w:b/>
              </w:rPr>
              <w:t>xsd:element</w:t>
            </w:r>
            <w:r>
              <w:t xml:space="preserve">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w:t>
            </w:r>
            <w:r>
              <w:t xml:space="preserve">Management/types}Lookup or {http://schemas.microsoft.com/office/2006/documentManagement/types}MultiLookup, specifies the site of the list from which to get data for display of the property corresponding to this </w:t>
            </w:r>
            <w:r>
              <w:rPr>
                <w:b/>
              </w:rPr>
              <w:t>xsd:element</w:t>
            </w:r>
            <w:r>
              <w:t xml:space="preserve"> in the property editing surface.</w:t>
            </w:r>
          </w:p>
          <w:p w:rsidR="00024C0A" w:rsidRDefault="00024C0A">
            <w:pPr>
              <w:pStyle w:val="TableBodyText"/>
            </w:pPr>
          </w:p>
          <w:p w:rsidR="00024C0A" w:rsidRDefault="00694C0F">
            <w:pPr>
              <w:pStyle w:val="TableBodyText"/>
            </w:pPr>
            <w:r>
              <w:t>If applied to any other element, this attribute should be ignored.</w:t>
            </w:r>
          </w:p>
          <w:p w:rsidR="00024C0A" w:rsidRDefault="00024C0A">
            <w:pPr>
              <w:pStyle w:val="TableBodyText"/>
            </w:pPr>
          </w:p>
          <w:p w:rsidR="00024C0A" w:rsidRDefault="00694C0F">
            <w:pPr>
              <w:pStyle w:val="TableBodyText"/>
            </w:pPr>
            <w:r>
              <w:t>The possible values for this attribute are defined by the ST_UniqueIdentifierWithoutBraces simple type (§3.5.2.2.2.5, ST_UniqueIdentifierWithoutBraces).</w:t>
            </w:r>
          </w:p>
        </w:tc>
      </w:tr>
    </w:tbl>
    <w:p w:rsidR="00024C0A" w:rsidRDefault="00024C0A"/>
    <w:p w:rsidR="00024C0A" w:rsidRDefault="00694C0F">
      <w:r>
        <w:t>The following XML Schema fragmen</w:t>
      </w:r>
      <w:r>
        <w:t>t defines the contents of this element:</w:t>
      </w:r>
    </w:p>
    <w:p w:rsidR="00024C0A" w:rsidRDefault="00694C0F">
      <w:pPr>
        <w:pStyle w:val="Code"/>
      </w:pPr>
      <w:r>
        <w:t>&lt;complexType name="CT_Dummy"&gt;</w:t>
      </w:r>
    </w:p>
    <w:p w:rsidR="00024C0A" w:rsidRDefault="00694C0F">
      <w:pPr>
        <w:pStyle w:val="Code"/>
      </w:pPr>
      <w:r>
        <w:t xml:space="preserve">  &lt;attribute name="anchorId" type="ST_UniqueIdentifierWithoutBraces"/&gt;</w:t>
      </w:r>
    </w:p>
    <w:p w:rsidR="00024C0A" w:rsidRDefault="00694C0F">
      <w:pPr>
        <w:pStyle w:val="Code"/>
      </w:pPr>
      <w:r>
        <w:t xml:space="preserve">  &lt;attribute name="decimals" type="xsd:string"/&gt;</w:t>
      </w:r>
    </w:p>
    <w:p w:rsidR="00024C0A" w:rsidRDefault="00694C0F">
      <w:pPr>
        <w:pStyle w:val="Code"/>
      </w:pPr>
      <w:r>
        <w:t xml:space="preserve">  &lt;attribute name="default" type="xsd:string"/&gt;</w:t>
      </w:r>
    </w:p>
    <w:p w:rsidR="00024C0A" w:rsidRDefault="00694C0F">
      <w:pPr>
        <w:pStyle w:val="Code"/>
      </w:pPr>
      <w:r>
        <w:t xml:space="preserve">  &lt;</w:t>
      </w:r>
      <w:r>
        <w:t>attribute name="description" type="xsd:string"/&gt;</w:t>
      </w:r>
    </w:p>
    <w:p w:rsidR="00024C0A" w:rsidRDefault="00694C0F">
      <w:pPr>
        <w:pStyle w:val="Code"/>
      </w:pPr>
      <w:r>
        <w:t xml:space="preserve">  &lt;attribute name="displayName" type="xsd:string"/&gt;</w:t>
      </w:r>
    </w:p>
    <w:p w:rsidR="00024C0A" w:rsidRDefault="00694C0F">
      <w:pPr>
        <w:pStyle w:val="Code"/>
      </w:pPr>
      <w:r>
        <w:t xml:space="preserve">  &lt;attribute name="fieldId" type="ST_UniqueIdentifier"/&gt;</w:t>
      </w:r>
    </w:p>
    <w:p w:rsidR="00024C0A" w:rsidRDefault="00694C0F">
      <w:pPr>
        <w:pStyle w:val="Code"/>
      </w:pPr>
      <w:r>
        <w:t xml:space="preserve">  &lt;attribute name="fieldsID" type="xsd:string"/&gt;</w:t>
      </w:r>
    </w:p>
    <w:p w:rsidR="00024C0A" w:rsidRDefault="00694C0F">
      <w:pPr>
        <w:pStyle w:val="Code"/>
      </w:pPr>
      <w:r>
        <w:t xml:space="preserve">  &lt;attribute name="format" type="xsd:string"/&gt;</w:t>
      </w:r>
    </w:p>
    <w:p w:rsidR="00024C0A" w:rsidRDefault="00694C0F">
      <w:pPr>
        <w:pStyle w:val="Code"/>
      </w:pPr>
      <w:r>
        <w:t xml:space="preserve">  </w:t>
      </w:r>
      <w:r>
        <w:t>&lt;attribute name="hidden" type="xsd:string"/&gt;</w:t>
      </w:r>
    </w:p>
    <w:p w:rsidR="00024C0A" w:rsidRDefault="00694C0F">
      <w:pPr>
        <w:pStyle w:val="Code"/>
      </w:pPr>
      <w:r>
        <w:t xml:space="preserve">  &lt;attribute name="index" type="ST_IntNonNegative"/&gt;</w:t>
      </w:r>
    </w:p>
    <w:p w:rsidR="00024C0A" w:rsidRDefault="00694C0F">
      <w:pPr>
        <w:pStyle w:val="Code"/>
      </w:pPr>
      <w:r>
        <w:t xml:space="preserve">  &lt;attribute name="indexed" type="xsd:string"/&gt;</w:t>
      </w:r>
    </w:p>
    <w:p w:rsidR="00024C0A" w:rsidRDefault="00694C0F">
      <w:pPr>
        <w:pStyle w:val="Code"/>
      </w:pPr>
      <w:r>
        <w:t xml:space="preserve">  &lt;attribute name="internalName" type="xsd:string"/&gt;</w:t>
      </w:r>
    </w:p>
    <w:p w:rsidR="00024C0A" w:rsidRDefault="00694C0F">
      <w:pPr>
        <w:pStyle w:val="Code"/>
      </w:pPr>
      <w:r>
        <w:t xml:space="preserve">  &lt;attribute name="isKeyword" type="xsd:string"/&gt;</w:t>
      </w:r>
    </w:p>
    <w:p w:rsidR="00024C0A" w:rsidRDefault="00694C0F">
      <w:pPr>
        <w:pStyle w:val="Code"/>
      </w:pPr>
      <w:r>
        <w:t xml:space="preserve">  &lt;</w:t>
      </w:r>
      <w:r>
        <w:t>attribute name="LCID" type="xsd:int"/&gt;</w:t>
      </w:r>
    </w:p>
    <w:p w:rsidR="00024C0A" w:rsidRDefault="00694C0F">
      <w:pPr>
        <w:pStyle w:val="Code"/>
      </w:pPr>
      <w:r>
        <w:t xml:space="preserve">  &lt;attribute name="list" type="xsd:string"/&gt;</w:t>
      </w:r>
    </w:p>
    <w:p w:rsidR="00024C0A" w:rsidRDefault="00694C0F">
      <w:pPr>
        <w:pStyle w:val="Code"/>
      </w:pPr>
      <w:r>
        <w:t xml:space="preserve">  &lt;attribute name="open" type="xsd:string"/&gt;</w:t>
      </w:r>
    </w:p>
    <w:p w:rsidR="00024C0A" w:rsidRDefault="00694C0F">
      <w:pPr>
        <w:pStyle w:val="Code"/>
      </w:pPr>
      <w:r>
        <w:t xml:space="preserve">  &lt;attribute name="percentage" type="xsd:string"/&gt;</w:t>
      </w:r>
    </w:p>
    <w:p w:rsidR="00024C0A" w:rsidRDefault="00694C0F">
      <w:pPr>
        <w:pStyle w:val="Code"/>
      </w:pPr>
      <w:r>
        <w:t xml:space="preserve">  &lt;attribute name="readOnly" type="xsd:string"/&gt;</w:t>
      </w:r>
    </w:p>
    <w:p w:rsidR="00024C0A" w:rsidRDefault="00694C0F">
      <w:pPr>
        <w:pStyle w:val="Code"/>
      </w:pPr>
      <w:r>
        <w:t xml:space="preserve">  &lt;attribute name="required</w:t>
      </w:r>
      <w:r>
        <w:t>MultiChoice" type="xsd:string"/&gt;</w:t>
      </w:r>
    </w:p>
    <w:p w:rsidR="00024C0A" w:rsidRDefault="00694C0F">
      <w:pPr>
        <w:pStyle w:val="Code"/>
      </w:pPr>
      <w:r>
        <w:t xml:space="preserve">  &lt;attribute name="root" type="ST_TrueOnly"/&gt;</w:t>
      </w:r>
    </w:p>
    <w:p w:rsidR="00024C0A" w:rsidRDefault="00694C0F">
      <w:pPr>
        <w:pStyle w:val="Code"/>
      </w:pPr>
      <w:r>
        <w:t xml:space="preserve">  &lt;attribute name="showField" type="xsd:string"/&gt;</w:t>
      </w:r>
    </w:p>
    <w:p w:rsidR="00024C0A" w:rsidRDefault="00694C0F">
      <w:pPr>
        <w:pStyle w:val="Code"/>
      </w:pPr>
      <w:r>
        <w:t xml:space="preserve">  &lt;attribute name="sspId" type="ST_UniqueIdentifierWithoutBraces"/&gt;</w:t>
      </w:r>
    </w:p>
    <w:p w:rsidR="00024C0A" w:rsidRDefault="00694C0F">
      <w:pPr>
        <w:pStyle w:val="Code"/>
      </w:pPr>
      <w:r>
        <w:t xml:space="preserve">  &lt;attribute name="taxonomy" type="xsd:boolean"/&gt;</w:t>
      </w:r>
    </w:p>
    <w:p w:rsidR="00024C0A" w:rsidRDefault="00694C0F">
      <w:pPr>
        <w:pStyle w:val="Code"/>
      </w:pPr>
      <w:r>
        <w:t xml:space="preserve">  &lt;attrib</w:t>
      </w:r>
      <w:r>
        <w:t>ute name="taxonomyFieldName" type="xsd:string"/&gt;</w:t>
      </w:r>
    </w:p>
    <w:p w:rsidR="00024C0A" w:rsidRDefault="00694C0F">
      <w:pPr>
        <w:pStyle w:val="Code"/>
      </w:pPr>
      <w:r>
        <w:t xml:space="preserve">  &lt;attribute name="taxonomyMulti" type="xsd:boolean"/&gt;</w:t>
      </w:r>
    </w:p>
    <w:p w:rsidR="00024C0A" w:rsidRDefault="00694C0F">
      <w:pPr>
        <w:pStyle w:val="Code"/>
      </w:pPr>
      <w:r>
        <w:lastRenderedPageBreak/>
        <w:t xml:space="preserve">  &lt;attribute name="termSetId" type="ST_UniqueIdentifierWithoutBraces"/&gt;</w:t>
      </w:r>
    </w:p>
    <w:p w:rsidR="00024C0A" w:rsidRDefault="00694C0F">
      <w:pPr>
        <w:pStyle w:val="Code"/>
      </w:pPr>
      <w:r>
        <w:t xml:space="preserve">  &lt;attribute name="web" type="ST_UniqueIdentifierWithoutBraces"/&gt;</w:t>
      </w:r>
    </w:p>
    <w:p w:rsidR="00024C0A" w:rsidRDefault="00694C0F">
      <w:pPr>
        <w:pStyle w:val="Code"/>
      </w:pPr>
      <w:r>
        <w:t>&lt;/complexType&gt;</w:t>
      </w:r>
    </w:p>
    <w:p w:rsidR="00024C0A" w:rsidRDefault="00694C0F">
      <w:pPr>
        <w:pStyle w:val="Heading5"/>
      </w:pPr>
      <w:bookmarkStart w:id="4071" w:name="section_93cad72f9088475cad522414313896bd"/>
      <w:bookmarkStart w:id="4072" w:name="_Toc12262096"/>
      <w:r>
        <w:t>Simple Types</w:t>
      </w:r>
      <w:bookmarkEnd w:id="4071"/>
      <w:bookmarkEnd w:id="4072"/>
      <w:r>
        <w:fldChar w:fldCharType="begin"/>
      </w:r>
      <w:r>
        <w:instrText xml:space="preserve"> XE "Simple Types" </w:instrText>
      </w:r>
      <w:r>
        <w:fldChar w:fldCharType="end"/>
      </w:r>
    </w:p>
    <w:p w:rsidR="00024C0A" w:rsidRDefault="00694C0F">
      <w:r>
        <w:t>This is the complete list of simple types in the http://schemas.microsoft.com/office/2006/metadata/properties/metaAttributes namespace.</w:t>
      </w:r>
    </w:p>
    <w:p w:rsidR="00024C0A" w:rsidRDefault="00694C0F">
      <w:pPr>
        <w:pStyle w:val="Heading6"/>
      </w:pPr>
      <w:bookmarkStart w:id="4073" w:name="section_786223f9b8ff46fdade3b42236e6297f"/>
      <w:bookmarkStart w:id="4074" w:name="_Toc12262097"/>
      <w:r>
        <w:t>ST_ContentTypeId (Content Type ID)</w:t>
      </w:r>
      <w:bookmarkEnd w:id="4073"/>
      <w:bookmarkEnd w:id="4074"/>
      <w:r>
        <w:fldChar w:fldCharType="begin"/>
      </w:r>
      <w:r>
        <w:instrText xml:space="preserve"> XE "ST_ContentTypeId (Content Type ID)" </w:instrText>
      </w:r>
      <w:r>
        <w:fldChar w:fldCharType="end"/>
      </w:r>
    </w:p>
    <w:p w:rsidR="00024C0A" w:rsidRDefault="00694C0F">
      <w:r>
        <w:t>This si</w:t>
      </w:r>
      <w:r>
        <w:t>mple type's contents are a restriction of the XML Schema string datatype.</w:t>
      </w:r>
    </w:p>
    <w:p w:rsidR="00024C0A" w:rsidRDefault="00694C0F">
      <w:r>
        <w:t>This simple type also specifies the following restrictions:</w:t>
      </w:r>
    </w:p>
    <w:p w:rsidR="00024C0A" w:rsidRDefault="00694C0F">
      <w:pPr>
        <w:pStyle w:val="ListParagraph"/>
        <w:numPr>
          <w:ilvl w:val="0"/>
          <w:numId w:val="213"/>
        </w:numPr>
        <w:contextualSpacing/>
      </w:pPr>
      <w:r>
        <w:t>This simple type's contents shall match the following regular expression pattern: 0x([0-9A-Fa-f][1-9A-Fa-f]|[1-9A-Fa-f][0-</w:t>
      </w:r>
      <w:r>
        <w:t>9A-Fa-f]|00[0-9A-Fa-f]{32})*.</w:t>
      </w:r>
    </w:p>
    <w:p w:rsidR="00024C0A" w:rsidRDefault="00694C0F">
      <w:pPr>
        <w:pStyle w:val="ListParagraph"/>
        <w:numPr>
          <w:ilvl w:val="0"/>
          <w:numId w:val="213"/>
        </w:numPr>
        <w:contextualSpacing/>
      </w:pPr>
      <w:r>
        <w:t>This simple type's contents have a maximum length of 1026 characters.</w:t>
      </w:r>
    </w:p>
    <w:p w:rsidR="00024C0A" w:rsidRDefault="00694C0F">
      <w:pPr>
        <w:pStyle w:val="ListParagraph"/>
        <w:numPr>
          <w:ilvl w:val="0"/>
          <w:numId w:val="213"/>
        </w:numPr>
      </w:pPr>
      <w:r>
        <w:t>This simple type's contents have a minimum length of 2 characters.</w:t>
      </w:r>
    </w:p>
    <w:tbl>
      <w:tblPr>
        <w:tblStyle w:val="Table-ShadedHeader"/>
        <w:tblW w:w="0" w:type="auto"/>
        <w:tblLook w:val="04A0" w:firstRow="1" w:lastRow="0" w:firstColumn="1" w:lastColumn="0" w:noHBand="0" w:noVBand="1"/>
      </w:tblPr>
      <w:tblGrid>
        <w:gridCol w:w="6492"/>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Referenced By</w:t>
            </w:r>
          </w:p>
        </w:tc>
      </w:tr>
      <w:tr w:rsidR="00024C0A" w:rsidTr="00024C0A">
        <w:tc>
          <w:tcPr>
            <w:tcW w:w="0" w:type="auto"/>
            <w:vAlign w:val="center"/>
          </w:tcPr>
          <w:p w:rsidR="00024C0A" w:rsidRDefault="00694C0F">
            <w:pPr>
              <w:pStyle w:val="TableBodyText"/>
            </w:pPr>
            <w:r>
              <w:rPr>
                <w:b/>
              </w:rPr>
              <w:t>contentTypeSchema@contentTypeID</w:t>
            </w:r>
            <w:r>
              <w:t xml:space="preserve"> (§</w:t>
            </w:r>
            <w:hyperlink w:anchor="Section_0365ee65da5b44769eaa73f1dda94db8">
              <w:r>
                <w:rPr>
                  <w:rStyle w:val="Hyperlink"/>
                </w:rPr>
                <w:t>3.5.2.1.1.1, contentTypeSchema</w:t>
              </w:r>
            </w:hyperlink>
            <w:r>
              <w:t>)</w:t>
            </w:r>
          </w:p>
        </w:tc>
      </w:tr>
    </w:tbl>
    <w:p w:rsidR="00024C0A" w:rsidRDefault="00024C0A"/>
    <w:p w:rsidR="00024C0A" w:rsidRDefault="00694C0F">
      <w:r>
        <w:t>The following XML Schema fragment defines the contents of this simple type:</w:t>
      </w:r>
    </w:p>
    <w:p w:rsidR="00024C0A" w:rsidRDefault="00694C0F">
      <w:pPr>
        <w:pStyle w:val="Code"/>
      </w:pPr>
      <w:r>
        <w:t>&lt;simpleType name="ST_ContentTypeId"&gt;</w:t>
      </w:r>
    </w:p>
    <w:p w:rsidR="00024C0A" w:rsidRDefault="00694C0F">
      <w:pPr>
        <w:pStyle w:val="Code"/>
      </w:pPr>
      <w:r>
        <w:t xml:space="preserve">  &lt;restriction base="xsd:string"&gt;</w:t>
      </w:r>
    </w:p>
    <w:p w:rsidR="00024C0A" w:rsidRDefault="00694C0F">
      <w:pPr>
        <w:pStyle w:val="Code"/>
      </w:pPr>
      <w:r>
        <w:t xml:space="preserve">    &lt;pattern v</w:t>
      </w:r>
      <w:r>
        <w:t>alue="0x([0-9A-Fa-f][1-9A-Fa-f]|[1-9A-Fa-f][0-9A-Fa-f]|00[0-9A-Fa-f]{32})*"/&gt;</w:t>
      </w:r>
    </w:p>
    <w:p w:rsidR="00024C0A" w:rsidRDefault="00694C0F">
      <w:pPr>
        <w:pStyle w:val="Code"/>
      </w:pPr>
      <w:r>
        <w:t xml:space="preserve">    &lt;minLength value="2"/&gt;</w:t>
      </w:r>
    </w:p>
    <w:p w:rsidR="00024C0A" w:rsidRDefault="00694C0F">
      <w:pPr>
        <w:pStyle w:val="Code"/>
      </w:pPr>
      <w:r>
        <w:t xml:space="preserve">    &lt;maxLength value="1026"/&gt;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6"/>
      </w:pPr>
      <w:bookmarkStart w:id="4075" w:name="section_fc63ec620566496f8ec8cb3ee90bdd9a"/>
      <w:bookmarkStart w:id="4076" w:name="_Toc12262098"/>
      <w:r>
        <w:t>ST_IntNonNegative (Non-Negative Integer)</w:t>
      </w:r>
      <w:bookmarkEnd w:id="4075"/>
      <w:bookmarkEnd w:id="4076"/>
      <w:r>
        <w:fldChar w:fldCharType="begin"/>
      </w:r>
      <w:r>
        <w:instrText xml:space="preserve"> XE "ST_IntNonNegative (Non-Negative Integer)" </w:instrText>
      </w:r>
      <w:r>
        <w:fldChar w:fldCharType="end"/>
      </w:r>
    </w:p>
    <w:p w:rsidR="00024C0A" w:rsidRDefault="00694C0F">
      <w:r>
        <w:t>This simple type's contents are a restriction of the XML Schema int datatype.</w:t>
      </w:r>
    </w:p>
    <w:p w:rsidR="00024C0A" w:rsidRDefault="00694C0F">
      <w:r>
        <w:t>This simple type also specifies the following restrictions:</w:t>
      </w:r>
    </w:p>
    <w:p w:rsidR="00024C0A" w:rsidRDefault="00694C0F">
      <w:pPr>
        <w:pStyle w:val="ListParagraph"/>
        <w:numPr>
          <w:ilvl w:val="0"/>
          <w:numId w:val="214"/>
        </w:numPr>
      </w:pPr>
      <w:r>
        <w:t>This simple type has a minimum value of greater than or equal to 0.</w:t>
      </w:r>
    </w:p>
    <w:tbl>
      <w:tblPr>
        <w:tblStyle w:val="Table-ShadedHeader"/>
        <w:tblW w:w="0" w:type="auto"/>
        <w:tblLook w:val="04A0" w:firstRow="1" w:lastRow="0" w:firstColumn="1" w:lastColumn="0" w:noHBand="0" w:noVBand="1"/>
      </w:tblPr>
      <w:tblGrid>
        <w:gridCol w:w="9475"/>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Referenced By</w:t>
            </w:r>
          </w:p>
        </w:tc>
      </w:tr>
      <w:tr w:rsidR="00024C0A" w:rsidTr="00024C0A">
        <w:tc>
          <w:tcPr>
            <w:tcW w:w="0" w:type="auto"/>
            <w:vAlign w:val="center"/>
          </w:tcPr>
          <w:p w:rsidR="00024C0A" w:rsidRDefault="00694C0F">
            <w:pPr>
              <w:pStyle w:val="TableBodyText"/>
            </w:pPr>
            <w:r>
              <w:rPr>
                <w:b/>
              </w:rPr>
              <w:t>contentTypeSchema@contentTypeVersion</w:t>
            </w:r>
            <w:r>
              <w:t xml:space="preserve"> (§</w:t>
            </w:r>
            <w:hyperlink w:anchor="Section_0365ee65da5b44769eaa73f1dda94db8">
              <w:r>
                <w:rPr>
                  <w:rStyle w:val="Hyperlink"/>
                </w:rPr>
                <w:t>3.5.2.1.1.1, contentTypeSchema</w:t>
              </w:r>
            </w:hyperlink>
            <w:r>
              <w:t xml:space="preserve">); </w:t>
            </w:r>
            <w:r>
              <w:rPr>
                <w:b/>
              </w:rPr>
              <w:t>Shared Attributes@index</w:t>
            </w:r>
            <w:r>
              <w:t xml:space="preserve"> (§</w:t>
            </w:r>
            <w:hyperlink w:anchor="Section_83c200b15a6944308fe6adc3583034a2">
              <w:r>
                <w:rPr>
                  <w:rStyle w:val="Hyperlink"/>
                </w:rPr>
                <w:t>3.5.2.2.1, Shared Attributes</w:t>
              </w:r>
            </w:hyperlink>
            <w:r>
              <w:t>)</w:t>
            </w:r>
          </w:p>
        </w:tc>
      </w:tr>
    </w:tbl>
    <w:p w:rsidR="00024C0A" w:rsidRDefault="00024C0A"/>
    <w:p w:rsidR="00024C0A" w:rsidRDefault="00694C0F">
      <w:r>
        <w:t>The following XML Schema fragment defines the contents of this simple type:</w:t>
      </w:r>
    </w:p>
    <w:p w:rsidR="00024C0A" w:rsidRDefault="00694C0F">
      <w:pPr>
        <w:pStyle w:val="Code"/>
      </w:pPr>
      <w:r>
        <w:t>&lt;simpleType name="ST_IntNonNegative"&gt;</w:t>
      </w:r>
    </w:p>
    <w:p w:rsidR="00024C0A" w:rsidRDefault="00694C0F">
      <w:pPr>
        <w:pStyle w:val="Code"/>
      </w:pPr>
      <w:r>
        <w:t xml:space="preserve">  &lt;restriction base="xsd:int"&gt;</w:t>
      </w:r>
    </w:p>
    <w:p w:rsidR="00024C0A" w:rsidRDefault="00694C0F">
      <w:pPr>
        <w:pStyle w:val="Code"/>
      </w:pPr>
      <w:r>
        <w:t xml:space="preserve">    &lt;minInclusive value="0"/&gt;</w:t>
      </w:r>
    </w:p>
    <w:p w:rsidR="00024C0A" w:rsidRDefault="00694C0F">
      <w:pPr>
        <w:pStyle w:val="Code"/>
      </w:pPr>
      <w:r>
        <w:t xml:space="preserve">  &lt;/restriction&gt;</w:t>
      </w:r>
    </w:p>
    <w:p w:rsidR="00024C0A" w:rsidRDefault="00694C0F">
      <w:pPr>
        <w:pStyle w:val="Code"/>
      </w:pPr>
      <w:r>
        <w:lastRenderedPageBreak/>
        <w:t>&lt;/simpleType&gt;</w:t>
      </w:r>
    </w:p>
    <w:p w:rsidR="00024C0A" w:rsidRDefault="00694C0F">
      <w:pPr>
        <w:pStyle w:val="Heading6"/>
      </w:pPr>
      <w:bookmarkStart w:id="4077" w:name="section_f2dd832362924b9bbc07123e1aad7cc1"/>
      <w:bookmarkStart w:id="4078" w:name="_Toc12262099"/>
      <w:r>
        <w:t>ST_TrueOnly (True Only)</w:t>
      </w:r>
      <w:bookmarkEnd w:id="4077"/>
      <w:bookmarkEnd w:id="4078"/>
      <w:r>
        <w:fldChar w:fldCharType="begin"/>
      </w:r>
      <w:r>
        <w:instrText xml:space="preserve"> XE "ST_TrueOnly (True Only</w:instrText>
      </w:r>
      <w:r>
        <w:instrText xml:space="preserve">)" </w:instrText>
      </w:r>
      <w:r>
        <w:fldChar w:fldCharType="end"/>
      </w:r>
    </w:p>
    <w:p w:rsidR="00024C0A" w:rsidRDefault="00694C0F">
      <w:r>
        <w:t>This simple type's contents are a restriction of the XML Schema string datatype.</w:t>
      </w:r>
    </w:p>
    <w:p w:rsidR="00024C0A" w:rsidRDefault="00694C0F">
      <w:r>
        <w:t>The following are possible enumeration values for this type:</w:t>
      </w:r>
    </w:p>
    <w:tbl>
      <w:tblPr>
        <w:tblStyle w:val="Table-ShadedHeader"/>
        <w:tblW w:w="0" w:type="auto"/>
        <w:tblLook w:val="04A0" w:firstRow="1" w:lastRow="0" w:firstColumn="1" w:lastColumn="0" w:noHBand="0" w:noVBand="1"/>
      </w:tblPr>
      <w:tblGrid>
        <w:gridCol w:w="1940"/>
        <w:gridCol w:w="125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Enumeration Value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true</w:t>
            </w:r>
            <w:r>
              <w:t xml:space="preserve"> ()</w:t>
            </w:r>
          </w:p>
        </w:tc>
        <w:tc>
          <w:tcPr>
            <w:tcW w:w="0" w:type="auto"/>
            <w:vAlign w:val="center"/>
          </w:tcPr>
          <w:p w:rsidR="00024C0A" w:rsidRDefault="00024C0A">
            <w:pPr>
              <w:pStyle w:val="TableBodyText"/>
            </w:pPr>
          </w:p>
        </w:tc>
      </w:tr>
    </w:tbl>
    <w:p w:rsidR="00024C0A" w:rsidRDefault="00024C0A"/>
    <w:p w:rsidR="00024C0A" w:rsidRDefault="00024C0A"/>
    <w:tbl>
      <w:tblPr>
        <w:tblStyle w:val="Table-ShadedHeader"/>
        <w:tblW w:w="0" w:type="auto"/>
        <w:tblLook w:val="04A0" w:firstRow="1" w:lastRow="0" w:firstColumn="1" w:lastColumn="0" w:noHBand="0" w:noVBand="1"/>
      </w:tblPr>
      <w:tblGrid>
        <w:gridCol w:w="4924"/>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Referenced By</w:t>
            </w:r>
          </w:p>
        </w:tc>
      </w:tr>
      <w:tr w:rsidR="00024C0A" w:rsidTr="00024C0A">
        <w:tc>
          <w:tcPr>
            <w:tcW w:w="0" w:type="auto"/>
            <w:vAlign w:val="center"/>
          </w:tcPr>
          <w:p w:rsidR="00024C0A" w:rsidRDefault="00694C0F">
            <w:pPr>
              <w:pStyle w:val="TableBodyText"/>
            </w:pPr>
            <w:r>
              <w:rPr>
                <w:b/>
              </w:rPr>
              <w:t>Shared Attributes@root</w:t>
            </w:r>
            <w:r>
              <w:t xml:space="preserve"> (§</w:t>
            </w:r>
            <w:hyperlink w:anchor="Section_83c200b15a6944308fe6adc3583034a2">
              <w:r>
                <w:rPr>
                  <w:rStyle w:val="Hyperlink"/>
                </w:rPr>
                <w:t>3.5.2.2.1, Shared Attributes</w:t>
              </w:r>
            </w:hyperlink>
            <w:r>
              <w:t>)</w:t>
            </w:r>
          </w:p>
        </w:tc>
      </w:tr>
    </w:tbl>
    <w:p w:rsidR="00024C0A" w:rsidRDefault="00024C0A"/>
    <w:p w:rsidR="00024C0A" w:rsidRDefault="00694C0F">
      <w:r>
        <w:t>The following XML Schema fragment defines the contents of this simple type:</w:t>
      </w:r>
    </w:p>
    <w:p w:rsidR="00024C0A" w:rsidRDefault="00694C0F">
      <w:pPr>
        <w:pStyle w:val="Code"/>
      </w:pPr>
      <w:r>
        <w:t>&lt;simpleType name="ST_TrueOnly"&gt;</w:t>
      </w:r>
    </w:p>
    <w:p w:rsidR="00024C0A" w:rsidRDefault="00694C0F">
      <w:pPr>
        <w:pStyle w:val="Code"/>
      </w:pPr>
      <w:r>
        <w:t xml:space="preserve">  &lt;restriction base="xsd:string"&gt;</w:t>
      </w:r>
    </w:p>
    <w:p w:rsidR="00024C0A" w:rsidRDefault="00694C0F">
      <w:pPr>
        <w:pStyle w:val="Code"/>
      </w:pPr>
      <w:r>
        <w:t xml:space="preserve">    &lt;</w:t>
      </w:r>
      <w:r>
        <w:t>enumeration value="true"/&gt;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6"/>
      </w:pPr>
      <w:bookmarkStart w:id="4079" w:name="section_248f1259824c4068a4ed5c90c1b17f5f"/>
      <w:bookmarkStart w:id="4080" w:name="_Toc12262100"/>
      <w:r>
        <w:t>ST_UniqueIdentifier ()</w:t>
      </w:r>
      <w:bookmarkEnd w:id="4079"/>
      <w:bookmarkEnd w:id="4080"/>
      <w:r>
        <w:fldChar w:fldCharType="begin"/>
      </w:r>
      <w:r>
        <w:instrText xml:space="preserve"> XE "ST_UniqueIdentifier ()" </w:instrText>
      </w:r>
      <w:r>
        <w:fldChar w:fldCharType="end"/>
      </w:r>
    </w:p>
    <w:p w:rsidR="00024C0A" w:rsidRDefault="00694C0F">
      <w:r>
        <w:t>This simple type's contents are a restriction of the XML Schema string datatype.</w:t>
      </w:r>
    </w:p>
    <w:p w:rsidR="00024C0A" w:rsidRDefault="00694C0F">
      <w:r>
        <w:t>This simple type also specifies the following restrictions:</w:t>
      </w:r>
    </w:p>
    <w:p w:rsidR="00024C0A" w:rsidRDefault="00694C0F">
      <w:pPr>
        <w:pStyle w:val="ListParagraph"/>
        <w:numPr>
          <w:ilvl w:val="0"/>
          <w:numId w:val="215"/>
        </w:numPr>
      </w:pPr>
      <w:r>
        <w:t>Thi</w:t>
      </w:r>
      <w:r>
        <w:t>s simple type's contents shall match the following regular expression pattern: \{[0-9a-fA-F]{8}\-[0-9a-fA-F]{4}\-[0-9a-fA-F]{4}\-[0-9a-fA-F]{4}\-[0-9a-fA-F]{12}\}.</w:t>
      </w:r>
    </w:p>
    <w:tbl>
      <w:tblPr>
        <w:tblStyle w:val="Table-ShadedHeader"/>
        <w:tblW w:w="0" w:type="auto"/>
        <w:tblLook w:val="04A0" w:firstRow="1" w:lastRow="0" w:firstColumn="1" w:lastColumn="0" w:noHBand="0" w:noVBand="1"/>
      </w:tblPr>
      <w:tblGrid>
        <w:gridCol w:w="514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Referenced By</w:t>
            </w:r>
          </w:p>
        </w:tc>
      </w:tr>
      <w:tr w:rsidR="00024C0A" w:rsidTr="00024C0A">
        <w:tc>
          <w:tcPr>
            <w:tcW w:w="0" w:type="auto"/>
            <w:vAlign w:val="center"/>
          </w:tcPr>
          <w:p w:rsidR="00024C0A" w:rsidRDefault="00694C0F">
            <w:pPr>
              <w:pStyle w:val="TableBodyText"/>
            </w:pPr>
            <w:r>
              <w:rPr>
                <w:b/>
              </w:rPr>
              <w:t>Shared Attributes@fieldId</w:t>
            </w:r>
            <w:r>
              <w:t xml:space="preserve"> (§</w:t>
            </w:r>
            <w:hyperlink w:anchor="Section_83c200b15a6944308fe6adc3583034a2">
              <w:r>
                <w:rPr>
                  <w:rStyle w:val="Hyperlink"/>
                </w:rPr>
                <w:t>3.5.2.2.1, Shared Attributes</w:t>
              </w:r>
            </w:hyperlink>
            <w:r>
              <w:t>)</w:t>
            </w:r>
          </w:p>
        </w:tc>
      </w:tr>
    </w:tbl>
    <w:p w:rsidR="00024C0A" w:rsidRDefault="00024C0A"/>
    <w:p w:rsidR="00024C0A" w:rsidRDefault="00694C0F">
      <w:r>
        <w:t>The following XML Schema fragment defines the contents of this simple type:</w:t>
      </w:r>
    </w:p>
    <w:p w:rsidR="00024C0A" w:rsidRDefault="00694C0F">
      <w:pPr>
        <w:pStyle w:val="Code"/>
      </w:pPr>
      <w:r>
        <w:t>&lt;simpleType name="ST_UniqueIdentifier"&gt;</w:t>
      </w:r>
    </w:p>
    <w:p w:rsidR="00024C0A" w:rsidRDefault="00694C0F">
      <w:pPr>
        <w:pStyle w:val="Code"/>
      </w:pPr>
      <w:r>
        <w:t xml:space="preserve">  &lt;restriction base="xsd:string"&gt;</w:t>
      </w:r>
    </w:p>
    <w:p w:rsidR="00024C0A" w:rsidRDefault="00694C0F">
      <w:pPr>
        <w:pStyle w:val="Code"/>
      </w:pPr>
      <w:r>
        <w:t xml:space="preserve">    &lt;</w:t>
      </w:r>
      <w:r>
        <w:t>pattern value="\{[0-9a-fA-F]{8}\-[0-9a-fA-F]{4}\-[0-9a-fA-F]{4}\-[0-9a-fA-F]{4}\-[0-9a-fA-F]{12}\}"/&gt;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6"/>
      </w:pPr>
      <w:bookmarkStart w:id="4081" w:name="section_ab99726155c24ba4b3b99819b200389d"/>
      <w:bookmarkStart w:id="4082" w:name="_Toc12262101"/>
      <w:r>
        <w:t>ST_UniqueIdentifierWithoutBraces (Unique Identifier without Braces)</w:t>
      </w:r>
      <w:bookmarkEnd w:id="4081"/>
      <w:bookmarkEnd w:id="4082"/>
      <w:r>
        <w:fldChar w:fldCharType="begin"/>
      </w:r>
      <w:r>
        <w:instrText xml:space="preserve"> XE "ST_UniqueIdentifierWithoutBraces (Unique Identifier</w:instrText>
      </w:r>
      <w:r>
        <w:instrText xml:space="preserve"> without Braces)" </w:instrText>
      </w:r>
      <w:r>
        <w:fldChar w:fldCharType="end"/>
      </w:r>
    </w:p>
    <w:p w:rsidR="00024C0A" w:rsidRDefault="00694C0F">
      <w:r>
        <w:lastRenderedPageBreak/>
        <w:t>This simple type's contents are a restriction of the XML Schema string datatype.</w:t>
      </w:r>
    </w:p>
    <w:p w:rsidR="00024C0A" w:rsidRDefault="00694C0F">
      <w:r>
        <w:t>This simple type also specifies the following restrictions:</w:t>
      </w:r>
    </w:p>
    <w:p w:rsidR="00024C0A" w:rsidRDefault="00694C0F">
      <w:pPr>
        <w:pStyle w:val="ListParagraph"/>
        <w:numPr>
          <w:ilvl w:val="0"/>
          <w:numId w:val="216"/>
        </w:numPr>
      </w:pPr>
      <w:r>
        <w:t>This simple type's contents shall match the following regular expression pattern: [0-9a-fA-F]{</w:t>
      </w:r>
      <w:r>
        <w:t>8}\-[0-9a-fA-F]{4}\-[0-9a-fA-F]{4}\-[0-9a-fA-F]{4}\-[0-9a-fA-F]{12}.</w:t>
      </w:r>
    </w:p>
    <w:tbl>
      <w:tblPr>
        <w:tblStyle w:val="Table-ShadedHeader"/>
        <w:tblW w:w="0" w:type="auto"/>
        <w:tblLook w:val="04A0" w:firstRow="1" w:lastRow="0" w:firstColumn="1" w:lastColumn="0" w:noHBand="0" w:noVBand="1"/>
      </w:tblPr>
      <w:tblGrid>
        <w:gridCol w:w="9475"/>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Referenced By</w:t>
            </w:r>
          </w:p>
        </w:tc>
      </w:tr>
      <w:tr w:rsidR="00024C0A" w:rsidTr="00024C0A">
        <w:tc>
          <w:tcPr>
            <w:tcW w:w="0" w:type="auto"/>
            <w:vAlign w:val="center"/>
          </w:tcPr>
          <w:p w:rsidR="00024C0A" w:rsidRDefault="00694C0F">
            <w:pPr>
              <w:pStyle w:val="TableBodyText"/>
            </w:pPr>
            <w:r>
              <w:rPr>
                <w:b/>
              </w:rPr>
              <w:t>Shared Attributes@anchorId</w:t>
            </w:r>
            <w:r>
              <w:t xml:space="preserve"> (§</w:t>
            </w:r>
            <w:hyperlink w:anchor="Section_83c200b15a6944308fe6adc3583034a2">
              <w:r>
                <w:rPr>
                  <w:rStyle w:val="Hyperlink"/>
                </w:rPr>
                <w:t>3.5.2.2.1, Shared Attributes</w:t>
              </w:r>
            </w:hyperlink>
            <w:r>
              <w:t xml:space="preserve">); </w:t>
            </w:r>
            <w:r>
              <w:rPr>
                <w:b/>
              </w:rPr>
              <w:t>Shared Attributes@sspId</w:t>
            </w:r>
            <w:r>
              <w:t xml:space="preserve"> (§3.5.2.2.1, Shared Attri</w:t>
            </w:r>
            <w:r>
              <w:t xml:space="preserve">butes); </w:t>
            </w:r>
            <w:r>
              <w:rPr>
                <w:b/>
              </w:rPr>
              <w:t>Shared Attributes@termSetId</w:t>
            </w:r>
            <w:r>
              <w:t xml:space="preserve"> (§3.5.2.2.1, Shared Attributes); </w:t>
            </w:r>
            <w:r>
              <w:rPr>
                <w:b/>
              </w:rPr>
              <w:t>Shared Attributes@web</w:t>
            </w:r>
            <w:r>
              <w:t xml:space="preserve"> (§3.5.2.2.1, Shared Attributes)</w:t>
            </w:r>
          </w:p>
        </w:tc>
      </w:tr>
    </w:tbl>
    <w:p w:rsidR="00024C0A" w:rsidRDefault="00024C0A"/>
    <w:p w:rsidR="00024C0A" w:rsidRDefault="00694C0F">
      <w:r>
        <w:t>The following XML Schema fragment defines the contents of this simple type:</w:t>
      </w:r>
    </w:p>
    <w:p w:rsidR="00024C0A" w:rsidRDefault="00694C0F">
      <w:pPr>
        <w:pStyle w:val="Code"/>
      </w:pPr>
      <w:r>
        <w:t>&lt;simpleType name="ST_UniqueIdentifierWithoutBraces"&gt;</w:t>
      </w:r>
    </w:p>
    <w:p w:rsidR="00024C0A" w:rsidRDefault="00694C0F">
      <w:pPr>
        <w:pStyle w:val="Code"/>
      </w:pPr>
      <w:r>
        <w:t xml:space="preserve">  </w:t>
      </w:r>
      <w:r>
        <w:t>&lt;restriction base="xsd:string"&gt;</w:t>
      </w:r>
    </w:p>
    <w:p w:rsidR="00024C0A" w:rsidRDefault="00694C0F">
      <w:pPr>
        <w:pStyle w:val="Code"/>
      </w:pPr>
      <w:r>
        <w:t xml:space="preserve">    &lt;pattern value="[0-9a-fA-F]{8}\-[0-9a-fA-F]{4}\-[0-9a-fA-F]{4}\-[0-9a-fA-F]{4}\-[0-9a-fA-F]{12}"/&gt;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3"/>
      </w:pPr>
      <w:bookmarkStart w:id="4083" w:name="section_115a2521c18a49df82edf87e7941c25f"/>
      <w:bookmarkStart w:id="4084" w:name="_Toc12262102"/>
      <w:r>
        <w:t>Custom Document Information Panel</w:t>
      </w:r>
      <w:bookmarkEnd w:id="4083"/>
      <w:bookmarkEnd w:id="4084"/>
      <w:r>
        <w:fldChar w:fldCharType="begin"/>
      </w:r>
      <w:r>
        <w:instrText xml:space="preserve"> XE "Custom Document Information Panel" </w:instrText>
      </w:r>
      <w:r>
        <w:fldChar w:fldCharType="end"/>
      </w:r>
    </w:p>
    <w:p w:rsidR="00024C0A" w:rsidRDefault="00694C0F">
      <w:r>
        <w:t xml:space="preserve">The Custom </w:t>
      </w:r>
      <w:r>
        <w:t>Document Information Panel is comprised of a Custom XML Data Storage Part ("</w:t>
      </w:r>
      <w:hyperlink r:id="rId360">
        <w:r>
          <w:rPr>
            <w:rStyle w:val="Hyperlink"/>
          </w:rPr>
          <w:t>[ISO/IEC-29500-1]</w:t>
        </w:r>
      </w:hyperlink>
      <w:r>
        <w:t xml:space="preserve"> §15.2.5") which contains the Custom Document Information Panel information, and a Custom XML Dat</w:t>
      </w:r>
      <w:r>
        <w:t xml:space="preserve">a Storage Properties Part ("[ISO/IEC-29500-1] §15.2.6") which contains the set of properties for the custom XML data. </w:t>
      </w:r>
    </w:p>
    <w:p w:rsidR="00024C0A" w:rsidRDefault="00694C0F">
      <w:r>
        <w:t xml:space="preserve"> The XML contents of the data storage part conform to the schema defined in Custom Document Information Panel Schema (</w:t>
      </w:r>
      <w:hyperlink w:anchor="Section_471bacba8a3243149825ae9d444e1af9">
        <w:r>
          <w:rPr>
            <w:rStyle w:val="Hyperlink"/>
          </w:rPr>
          <w:t>§3.5.3.1, Custom Document Information Panel Schema</w:t>
        </w:r>
      </w:hyperlink>
      <w:r>
        <w:t>).</w:t>
      </w:r>
    </w:p>
    <w:p w:rsidR="00024C0A" w:rsidRDefault="00694C0F">
      <w:r>
        <w:t>The root element of the Custom XML Data Storage Part shall be customPropertyEditors (</w:t>
      </w:r>
      <w:hyperlink w:anchor="Section_995299bfabca4268b73dcea9be1ff684">
        <w:r>
          <w:rPr>
            <w:rStyle w:val="Hyperlink"/>
          </w:rPr>
          <w:t>§3.5.3.1.1.</w:t>
        </w:r>
        <w:r>
          <w:rPr>
            <w:rStyle w:val="Hyperlink"/>
          </w:rPr>
          <w:t>2, customPropertyEditors</w:t>
        </w:r>
      </w:hyperlink>
      <w:r>
        <w:t>).</w:t>
      </w:r>
    </w:p>
    <w:p w:rsidR="00024C0A" w:rsidRDefault="00694C0F">
      <w:r>
        <w:t xml:space="preserve">The Associated XML Schema ("[ISO/IEC-29500-1] §22.5.2.2; schemaRef") for this Custom XML Data Storage Part shall be “http://schemas.microsoft.com/‌office/‌2006/‌customDocumentInformationPanel”. </w:t>
      </w:r>
    </w:p>
    <w:p w:rsidR="00024C0A" w:rsidRDefault="00694C0F">
      <w:pPr>
        <w:pStyle w:val="Heading4"/>
      </w:pPr>
      <w:bookmarkStart w:id="4085" w:name="section_471bacba8a3243149825ae9d444e1af9"/>
      <w:bookmarkStart w:id="4086" w:name="_Toc12262103"/>
      <w:r>
        <w:t xml:space="preserve">Custom Document Information Panel </w:t>
      </w:r>
      <w:r>
        <w:t>Schema</w:t>
      </w:r>
      <w:bookmarkEnd w:id="4085"/>
      <w:bookmarkEnd w:id="4086"/>
      <w:r>
        <w:fldChar w:fldCharType="begin"/>
      </w:r>
      <w:r>
        <w:instrText xml:space="preserve"> XE "Custom Document Information Panel Schema" </w:instrText>
      </w:r>
      <w:r>
        <w:fldChar w:fldCharType="end"/>
      </w:r>
    </w:p>
    <w:p w:rsidR="00024C0A" w:rsidRDefault="00694C0F">
      <w:r>
        <w:t>Custom Document Information Panel information defines the location and behaviors for a customized Document Information Panel based on a standalone XSN file. Unlike a Document Information Panel defined</w:t>
      </w:r>
      <w:r>
        <w:t xml:space="preserve"> by a Content Type Schema (§</w:t>
      </w:r>
      <w:hyperlink w:anchor="Section_acb43eb342e64ae998cacd04346b080a">
        <w:r>
          <w:rPr>
            <w:rStyle w:val="Hyperlink"/>
          </w:rPr>
          <w:t>3.5.2.1, Content Type Schemas Schema</w:t>
        </w:r>
      </w:hyperlink>
      <w:r>
        <w:t>) and a CustomXSN (§</w:t>
      </w:r>
      <w:hyperlink w:anchor="Section_d9b4ba0ebe664084a162d0eac8fa85e9">
        <w:r>
          <w:rPr>
            <w:rStyle w:val="Hyperlink"/>
          </w:rPr>
          <w:t>3.5.4.1, Custom XSN Schema</w:t>
        </w:r>
      </w:hyperlink>
      <w:r>
        <w:t>), Custom Document I</w:t>
      </w:r>
      <w:r>
        <w:t>nformation Panels need not be associated directly with a server.</w:t>
      </w:r>
    </w:p>
    <w:p w:rsidR="00024C0A" w:rsidRDefault="00694C0F">
      <w:pPr>
        <w:pStyle w:val="Heading5"/>
      </w:pPr>
      <w:bookmarkStart w:id="4087" w:name="section_84dab41e82ce484c80c4da334e583c62"/>
      <w:bookmarkStart w:id="4088" w:name="_Toc12262104"/>
      <w:r>
        <w:t>Elements</w:t>
      </w:r>
      <w:bookmarkEnd w:id="4087"/>
      <w:bookmarkEnd w:id="4088"/>
    </w:p>
    <w:p w:rsidR="00024C0A" w:rsidRDefault="00694C0F">
      <w:pPr>
        <w:pStyle w:val="Heading6"/>
      </w:pPr>
      <w:bookmarkStart w:id="4089" w:name="section_518b6e0dd6114ebbbc77dda2706b18fb"/>
      <w:bookmarkStart w:id="4090" w:name="_Toc12262105"/>
      <w:r>
        <w:t>customPropertyEditor (Custom Property Editor)</w:t>
      </w:r>
      <w:bookmarkEnd w:id="4089"/>
      <w:bookmarkEnd w:id="4090"/>
      <w:r>
        <w:fldChar w:fldCharType="begin"/>
      </w:r>
      <w:r>
        <w:instrText xml:space="preserve"> XE "customPropertyEditor (Custom Property Editor)" </w:instrText>
      </w:r>
      <w:r>
        <w:fldChar w:fldCharType="end"/>
      </w:r>
    </w:p>
    <w:p w:rsidR="00024C0A" w:rsidRDefault="00694C0F">
      <w:r>
        <w:t xml:space="preserve">This element associates a namespace with the location of an XSN file (as specified by InfoPath Form Template Format Structure Specification </w:t>
      </w:r>
      <w:hyperlink r:id="rId361" w:anchor="Section_93482ffc8be24c288de5324a835e66b1">
        <w:r>
          <w:rPr>
            <w:rStyle w:val="Hyperlink"/>
          </w:rPr>
          <w:t>[MS-IPFF]</w:t>
        </w:r>
      </w:hyperlink>
      <w:r>
        <w:t>). The specified XSN file ca</w:t>
      </w:r>
      <w:r>
        <w:t xml:space="preserve">n be used to visually edit the information in a custom XML data part in this document. The XMLNamespace child specifies which custom xml data parts are suitable for editing; the XSNLocation child specifies a path to the XSN file. </w:t>
      </w:r>
    </w:p>
    <w:tbl>
      <w:tblPr>
        <w:tblStyle w:val="Table-ShadedHeader"/>
        <w:tblW w:w="0" w:type="auto"/>
        <w:tblLook w:val="04A0" w:firstRow="1" w:lastRow="0" w:firstColumn="1" w:lastColumn="0" w:noHBand="0" w:noVBand="1"/>
      </w:tblPr>
      <w:tblGrid>
        <w:gridCol w:w="5442"/>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lastRenderedPageBreak/>
              <w:t>Parent Elements</w:t>
            </w:r>
          </w:p>
        </w:tc>
      </w:tr>
      <w:tr w:rsidR="00024C0A" w:rsidTr="00024C0A">
        <w:tc>
          <w:tcPr>
            <w:tcW w:w="0" w:type="auto"/>
            <w:vAlign w:val="center"/>
          </w:tcPr>
          <w:p w:rsidR="00024C0A" w:rsidRDefault="00694C0F">
            <w:pPr>
              <w:pStyle w:val="TableBodyText"/>
            </w:pPr>
            <w:r>
              <w:rPr>
                <w:b/>
              </w:rPr>
              <w:t>customPr</w:t>
            </w:r>
            <w:r>
              <w:rPr>
                <w:b/>
              </w:rPr>
              <w:t>opertyEditors</w:t>
            </w:r>
            <w:r>
              <w:t xml:space="preserve"> (§</w:t>
            </w:r>
            <w:hyperlink w:anchor="Section_995299bfabca4268b73dcea9be1ff684">
              <w:r>
                <w:rPr>
                  <w:rStyle w:val="Hyperlink"/>
                </w:rPr>
                <w:t>3.5.3.1.1.2, customPropertyEditors</w:t>
              </w:r>
            </w:hyperlink>
            <w:r>
              <w: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4311"/>
        <w:gridCol w:w="260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Child Elements</w:t>
            </w:r>
          </w:p>
        </w:tc>
        <w:tc>
          <w:tcPr>
            <w:tcW w:w="0" w:type="auto"/>
            <w:vAlign w:val="center"/>
          </w:tcPr>
          <w:p w:rsidR="00024C0A" w:rsidRDefault="00694C0F">
            <w:pPr>
              <w:pStyle w:val="TableHeaderText"/>
            </w:pPr>
            <w:r>
              <w:t>Subclause</w:t>
            </w:r>
          </w:p>
        </w:tc>
      </w:tr>
      <w:tr w:rsidR="00024C0A" w:rsidTr="00024C0A">
        <w:tc>
          <w:tcPr>
            <w:tcW w:w="0" w:type="auto"/>
            <w:vAlign w:val="center"/>
          </w:tcPr>
          <w:p w:rsidR="00024C0A" w:rsidRDefault="00694C0F">
            <w:pPr>
              <w:pStyle w:val="TableBodyText"/>
            </w:pPr>
            <w:r>
              <w:rPr>
                <w:b/>
              </w:rPr>
              <w:t>XMLNamespace</w:t>
            </w:r>
            <w:r>
              <w:t xml:space="preserve"> (Namespace for Property Editor)</w:t>
            </w:r>
          </w:p>
        </w:tc>
        <w:tc>
          <w:tcPr>
            <w:tcW w:w="0" w:type="auto"/>
            <w:vAlign w:val="center"/>
          </w:tcPr>
          <w:p w:rsidR="00024C0A" w:rsidRDefault="00694C0F">
            <w:pPr>
              <w:pStyle w:val="TableBodyText"/>
            </w:pPr>
            <w:r>
              <w:t>§</w:t>
            </w:r>
            <w:hyperlink w:anchor="Section_de9b88626c554161908f55ad7955eb6f">
              <w:r>
                <w:rPr>
                  <w:rStyle w:val="Hyperlink"/>
                </w:rPr>
                <w:t>3.5.3.1.1.5, XMLNamespace</w:t>
              </w:r>
            </w:hyperlink>
          </w:p>
        </w:tc>
      </w:tr>
      <w:tr w:rsidR="00024C0A" w:rsidTr="00024C0A">
        <w:tc>
          <w:tcPr>
            <w:tcW w:w="0" w:type="auto"/>
            <w:vAlign w:val="center"/>
          </w:tcPr>
          <w:p w:rsidR="00024C0A" w:rsidRDefault="00694C0F">
            <w:pPr>
              <w:pStyle w:val="TableBodyText"/>
            </w:pPr>
            <w:r>
              <w:rPr>
                <w:b/>
              </w:rPr>
              <w:t>XSNLocation</w:t>
            </w:r>
            <w:r>
              <w:t xml:space="preserve"> (Location of XSN File)</w:t>
            </w:r>
          </w:p>
        </w:tc>
        <w:tc>
          <w:tcPr>
            <w:tcW w:w="0" w:type="auto"/>
            <w:vAlign w:val="center"/>
          </w:tcPr>
          <w:p w:rsidR="00024C0A" w:rsidRDefault="00694C0F">
            <w:pPr>
              <w:pStyle w:val="TableBodyText"/>
            </w:pPr>
            <w:r>
              <w:t>§</w:t>
            </w:r>
            <w:hyperlink w:anchor="Section_60042665e00a4f749f86ad8bd478a614">
              <w:r>
                <w:rPr>
                  <w:rStyle w:val="Hyperlink"/>
                </w:rPr>
                <w:t>3.5.3.1.1.6, XSNLocation</w:t>
              </w:r>
            </w:hyperlink>
          </w:p>
        </w:tc>
      </w:tr>
    </w:tbl>
    <w:p w:rsidR="00024C0A" w:rsidRDefault="00024C0A"/>
    <w:p w:rsidR="00024C0A" w:rsidRDefault="00694C0F">
      <w:r>
        <w:t>The following XML Schema fragment defines the contents of this element:</w:t>
      </w:r>
    </w:p>
    <w:p w:rsidR="00024C0A" w:rsidRDefault="00694C0F">
      <w:pPr>
        <w:pStyle w:val="Code"/>
      </w:pPr>
      <w:r>
        <w:t>&lt;complexType name="CT_CustomPro</w:t>
      </w:r>
      <w:r>
        <w:t>pertyEditor"&gt;</w:t>
      </w:r>
    </w:p>
    <w:p w:rsidR="00024C0A" w:rsidRDefault="00694C0F">
      <w:pPr>
        <w:pStyle w:val="Code"/>
      </w:pPr>
      <w:r>
        <w:t xml:space="preserve">  &lt;sequence&gt;</w:t>
      </w:r>
    </w:p>
    <w:p w:rsidR="00024C0A" w:rsidRDefault="00694C0F">
      <w:pPr>
        <w:pStyle w:val="Code"/>
      </w:pPr>
      <w:r>
        <w:t xml:space="preserve">    &lt;element name="XMLNamespace" type="xsd:anyURI"/&gt;</w:t>
      </w:r>
    </w:p>
    <w:p w:rsidR="00024C0A" w:rsidRDefault="00694C0F">
      <w:pPr>
        <w:pStyle w:val="Code"/>
      </w:pPr>
      <w:r>
        <w:t xml:space="preserve">    &lt;element name="XSNLocation" type="xsd:string"/&gt;</w:t>
      </w:r>
    </w:p>
    <w:p w:rsidR="00024C0A" w:rsidRDefault="00694C0F">
      <w:pPr>
        <w:pStyle w:val="Code"/>
      </w:pPr>
      <w:r>
        <w:t xml:space="preserve">  &lt;/sequence&gt;</w:t>
      </w:r>
    </w:p>
    <w:p w:rsidR="00024C0A" w:rsidRDefault="00694C0F">
      <w:pPr>
        <w:pStyle w:val="Code"/>
      </w:pPr>
      <w:r>
        <w:t>&lt;/complexType&gt;</w:t>
      </w:r>
    </w:p>
    <w:p w:rsidR="00024C0A" w:rsidRDefault="00694C0F">
      <w:pPr>
        <w:pStyle w:val="Heading6"/>
      </w:pPr>
      <w:bookmarkStart w:id="4091" w:name="section_995299bfabca4268b73dcea9be1ff684"/>
      <w:bookmarkStart w:id="4092" w:name="_Toc12262106"/>
      <w:r>
        <w:t>customPropertyEditors (Custom Property Editors List)</w:t>
      </w:r>
      <w:bookmarkEnd w:id="4091"/>
      <w:bookmarkEnd w:id="4092"/>
      <w:r>
        <w:fldChar w:fldCharType="begin"/>
      </w:r>
      <w:r>
        <w:instrText xml:space="preserve"> XE "customPropertyEditors (Custom Property Editors List)" </w:instrText>
      </w:r>
      <w:r>
        <w:fldChar w:fldCharType="end"/>
      </w:r>
    </w:p>
    <w:p w:rsidR="00024C0A" w:rsidRDefault="00694C0F">
      <w:r>
        <w:t xml:space="preserve">This element specifies the list of (and settings for) any XSN files (as specified by InfoPath Form Template Format Structure Specification </w:t>
      </w:r>
      <w:hyperlink r:id="rId362" w:anchor="Section_93482ffc8be24c288de5324a835e66b1">
        <w:r>
          <w:rPr>
            <w:rStyle w:val="Hyperlink"/>
          </w:rPr>
          <w:t>[MS-IPFF]</w:t>
        </w:r>
      </w:hyperlink>
      <w:r>
        <w:t>) that may be associated with this document to edit information in its custom XML data parts.</w:t>
      </w:r>
    </w:p>
    <w:tbl>
      <w:tblPr>
        <w:tblStyle w:val="Table-ShadedHeader"/>
        <w:tblW w:w="0" w:type="auto"/>
        <w:tblLook w:val="04A0" w:firstRow="1" w:lastRow="0" w:firstColumn="1" w:lastColumn="0" w:noHBand="0" w:noVBand="1"/>
      </w:tblPr>
      <w:tblGrid>
        <w:gridCol w:w="4978"/>
        <w:gridCol w:w="3984"/>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Child Elements</w:t>
            </w:r>
          </w:p>
        </w:tc>
        <w:tc>
          <w:tcPr>
            <w:tcW w:w="0" w:type="auto"/>
            <w:vAlign w:val="center"/>
          </w:tcPr>
          <w:p w:rsidR="00024C0A" w:rsidRDefault="00694C0F">
            <w:pPr>
              <w:pStyle w:val="TableHeaderText"/>
            </w:pPr>
            <w:r>
              <w:t>Subclause</w:t>
            </w:r>
          </w:p>
        </w:tc>
      </w:tr>
      <w:tr w:rsidR="00024C0A" w:rsidTr="00024C0A">
        <w:tc>
          <w:tcPr>
            <w:tcW w:w="0" w:type="auto"/>
            <w:vAlign w:val="center"/>
          </w:tcPr>
          <w:p w:rsidR="00024C0A" w:rsidRDefault="00694C0F">
            <w:pPr>
              <w:pStyle w:val="TableBodyText"/>
            </w:pPr>
            <w:r>
              <w:rPr>
                <w:b/>
              </w:rPr>
              <w:t>customPropertyEditor</w:t>
            </w:r>
            <w:r>
              <w:t xml:space="preserve"> (Custom Property Editor)</w:t>
            </w:r>
          </w:p>
        </w:tc>
        <w:tc>
          <w:tcPr>
            <w:tcW w:w="0" w:type="auto"/>
            <w:vAlign w:val="center"/>
          </w:tcPr>
          <w:p w:rsidR="00024C0A" w:rsidRDefault="00694C0F">
            <w:pPr>
              <w:pStyle w:val="TableBodyText"/>
            </w:pPr>
            <w:r>
              <w:t>§</w:t>
            </w:r>
            <w:hyperlink w:anchor="Section_518b6e0dd6114ebbbc77dda2706b18fb">
              <w:r>
                <w:rPr>
                  <w:rStyle w:val="Hyperlink"/>
                </w:rPr>
                <w:t>3.5.3.1.1.1, customPropertyEditor</w:t>
              </w:r>
            </w:hyperlink>
          </w:p>
        </w:tc>
      </w:tr>
      <w:tr w:rsidR="00024C0A" w:rsidTr="00024C0A">
        <w:tc>
          <w:tcPr>
            <w:tcW w:w="0" w:type="auto"/>
            <w:vAlign w:val="center"/>
          </w:tcPr>
          <w:p w:rsidR="00024C0A" w:rsidRDefault="00694C0F">
            <w:pPr>
              <w:pStyle w:val="TableBodyText"/>
            </w:pPr>
            <w:r>
              <w:rPr>
                <w:b/>
              </w:rPr>
              <w:t>defaultPropertyEditorNamespace</w:t>
            </w:r>
            <w:r>
              <w:t xml:space="preserve"> (Default Namespace)</w:t>
            </w:r>
          </w:p>
        </w:tc>
        <w:tc>
          <w:tcPr>
            <w:tcW w:w="0" w:type="auto"/>
            <w:vAlign w:val="center"/>
          </w:tcPr>
          <w:p w:rsidR="00024C0A" w:rsidRDefault="00694C0F">
            <w:pPr>
              <w:pStyle w:val="TableBodyText"/>
            </w:pPr>
            <w:r>
              <w:t>§</w:t>
            </w:r>
            <w:hyperlink w:anchor="Section_38b8d62c52f54927aba536320bff74e8">
              <w:r>
                <w:rPr>
                  <w:rStyle w:val="Hyperlink"/>
                </w:rPr>
                <w:t>3.5.3.1.1.3, defaultPropertyEditorNamespace</w:t>
              </w:r>
            </w:hyperlink>
          </w:p>
        </w:tc>
      </w:tr>
      <w:tr w:rsidR="00024C0A" w:rsidTr="00024C0A">
        <w:tc>
          <w:tcPr>
            <w:tcW w:w="0" w:type="auto"/>
            <w:vAlign w:val="center"/>
          </w:tcPr>
          <w:p w:rsidR="00024C0A" w:rsidRDefault="00694C0F">
            <w:pPr>
              <w:pStyle w:val="TableBodyText"/>
            </w:pPr>
            <w:r>
              <w:rPr>
                <w:b/>
              </w:rPr>
              <w:t>showOnOpen</w:t>
            </w:r>
            <w:r>
              <w:t xml:space="preserve"> (Show On Open)</w:t>
            </w:r>
          </w:p>
        </w:tc>
        <w:tc>
          <w:tcPr>
            <w:tcW w:w="0" w:type="auto"/>
            <w:vAlign w:val="center"/>
          </w:tcPr>
          <w:p w:rsidR="00024C0A" w:rsidRDefault="00694C0F">
            <w:pPr>
              <w:pStyle w:val="TableBodyText"/>
            </w:pPr>
            <w:r>
              <w:t>§</w:t>
            </w:r>
            <w:hyperlink w:anchor="Section_d80518f15c614cbabc0b467b7b9cdd95">
              <w:r>
                <w:rPr>
                  <w:rStyle w:val="Hyperlink"/>
                </w:rPr>
                <w:t>3.5.3.1.1.4, showOnOpen</w:t>
              </w:r>
            </w:hyperlink>
          </w:p>
        </w:tc>
      </w:tr>
    </w:tbl>
    <w:p w:rsidR="00024C0A" w:rsidRDefault="00024C0A"/>
    <w:p w:rsidR="00024C0A" w:rsidRDefault="00694C0F">
      <w:r>
        <w:t>The following XML Schema fragment defines the contents of this element:</w:t>
      </w:r>
    </w:p>
    <w:p w:rsidR="00024C0A" w:rsidRDefault="00694C0F">
      <w:pPr>
        <w:pStyle w:val="Code"/>
      </w:pPr>
      <w:r>
        <w:t>&lt;complexType name="CT_CustomPropertyEditors"&gt;</w:t>
      </w:r>
    </w:p>
    <w:p w:rsidR="00024C0A" w:rsidRDefault="00694C0F">
      <w:pPr>
        <w:pStyle w:val="Code"/>
      </w:pPr>
      <w:r>
        <w:t xml:space="preserve">  &lt;sequence&gt;</w:t>
      </w:r>
    </w:p>
    <w:p w:rsidR="00024C0A" w:rsidRDefault="00694C0F">
      <w:pPr>
        <w:pStyle w:val="Code"/>
      </w:pPr>
      <w:r>
        <w:t xml:space="preserve">    &lt;element name="showOnOpen" type="xsd:boolean"/&gt;</w:t>
      </w:r>
    </w:p>
    <w:p w:rsidR="00024C0A" w:rsidRDefault="00694C0F">
      <w:pPr>
        <w:pStyle w:val="Code"/>
      </w:pPr>
      <w:r>
        <w:t xml:space="preserve">    &lt;</w:t>
      </w:r>
      <w:r>
        <w:t>element name="defaultPropertyEditorNamespace" type="xsd:anyURI"/&gt;</w:t>
      </w:r>
    </w:p>
    <w:p w:rsidR="00024C0A" w:rsidRDefault="00694C0F">
      <w:pPr>
        <w:pStyle w:val="Code"/>
      </w:pPr>
      <w:r>
        <w:t xml:space="preserve">    &lt;element name="customPropertyEditor" type="CT_CustomPropertyEditor" maxOccurs="unbounded"/&gt;</w:t>
      </w:r>
    </w:p>
    <w:p w:rsidR="00024C0A" w:rsidRDefault="00694C0F">
      <w:pPr>
        <w:pStyle w:val="Code"/>
      </w:pPr>
      <w:r>
        <w:t xml:space="preserve">  &lt;/sequence&gt;</w:t>
      </w:r>
    </w:p>
    <w:p w:rsidR="00024C0A" w:rsidRDefault="00694C0F">
      <w:pPr>
        <w:pStyle w:val="Code"/>
      </w:pPr>
      <w:r>
        <w:t>&lt;/complexType&gt;</w:t>
      </w:r>
    </w:p>
    <w:p w:rsidR="00024C0A" w:rsidRDefault="00694C0F">
      <w:pPr>
        <w:pStyle w:val="Heading6"/>
      </w:pPr>
      <w:bookmarkStart w:id="4093" w:name="section_38b8d62c52f54927aba536320bff74e8"/>
      <w:bookmarkStart w:id="4094" w:name="_Toc12262107"/>
      <w:r>
        <w:t>defaultPropertyEditorNamespace (Default Namespace)</w:t>
      </w:r>
      <w:bookmarkEnd w:id="4093"/>
      <w:bookmarkEnd w:id="4094"/>
      <w:r>
        <w:fldChar w:fldCharType="begin"/>
      </w:r>
      <w:r>
        <w:instrText xml:space="preserve"> XE "defaultPro</w:instrText>
      </w:r>
      <w:r>
        <w:instrText xml:space="preserve">pertyEditorNamespace (Default Namespace)" </w:instrText>
      </w:r>
      <w:r>
        <w:fldChar w:fldCharType="end"/>
      </w:r>
    </w:p>
    <w:p w:rsidR="00024C0A" w:rsidRDefault="00694C0F">
      <w:r>
        <w:t>This element specifies the XML namespace that identifies which XSN is shown by default if the user chooses to edit properties contained in the custom XML data parts of this document. If this element is not prese</w:t>
      </w:r>
      <w:r>
        <w:t xml:space="preserve">nt, or if the value of this element does not equal the namespace specified in the </w:t>
      </w:r>
      <w:r>
        <w:lastRenderedPageBreak/>
        <w:t>XmlNamespace element (§</w:t>
      </w:r>
      <w:hyperlink w:anchor="Section_de9b88626c554161908f55ad7955eb6f">
        <w:r>
          <w:rPr>
            <w:rStyle w:val="Hyperlink"/>
          </w:rPr>
          <w:t>3.5.3.1.1.5, XMLNamespace</w:t>
        </w:r>
      </w:hyperlink>
      <w:r>
        <w:t xml:space="preserve">), the application may choose to display the core properties. </w:t>
      </w:r>
    </w:p>
    <w:tbl>
      <w:tblPr>
        <w:tblStyle w:val="Table-ShadedHeader"/>
        <w:tblW w:w="0" w:type="auto"/>
        <w:tblLook w:val="04A0" w:firstRow="1" w:lastRow="0" w:firstColumn="1" w:lastColumn="0" w:noHBand="0" w:noVBand="1"/>
      </w:tblPr>
      <w:tblGrid>
        <w:gridCol w:w="5442"/>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024C0A" w:rsidRDefault="00024C0A"/>
    <w:p w:rsidR="00024C0A" w:rsidRDefault="00694C0F">
      <w:pPr>
        <w:pStyle w:val="Heading6"/>
      </w:pPr>
      <w:bookmarkStart w:id="4095" w:name="section_d80518f15c614cbabc0b467b7b9cdd95"/>
      <w:bookmarkStart w:id="4096" w:name="_Toc12262108"/>
      <w:r>
        <w:t>showOnOpen (Show On Open)</w:t>
      </w:r>
      <w:bookmarkEnd w:id="4095"/>
      <w:bookmarkEnd w:id="4096"/>
      <w:r>
        <w:fldChar w:fldCharType="begin"/>
      </w:r>
      <w:r>
        <w:instrText xml:space="preserve"> XE "showOnOpen (Show On Open)" </w:instrText>
      </w:r>
      <w:r>
        <w:fldChar w:fldCharType="end"/>
      </w:r>
    </w:p>
    <w:p w:rsidR="00024C0A" w:rsidRDefault="00694C0F">
      <w:r>
        <w:t>This element specifies whether the user should be pres</w:t>
      </w:r>
      <w:r>
        <w:t xml:space="preserve">ented with a surface to edit either the core properties or properties in one of the custom xml data parts in this document, as informed by the defaultPropertyEditorNamespace. A value of </w:t>
      </w:r>
      <w:r>
        <w:rPr>
          <w:i/>
        </w:rPr>
        <w:t>true</w:t>
      </w:r>
      <w:r>
        <w:t xml:space="preserve"> indicates that such a surface shall be provided; any other value </w:t>
      </w:r>
      <w:r>
        <w:t xml:space="preserve">indicates such a surface shall not be provided. If this element is not present, a surface shall not be provided. </w:t>
      </w:r>
    </w:p>
    <w:tbl>
      <w:tblPr>
        <w:tblStyle w:val="Table-ShadedHeader"/>
        <w:tblW w:w="0" w:type="auto"/>
        <w:tblLook w:val="04A0" w:firstRow="1" w:lastRow="0" w:firstColumn="1" w:lastColumn="0" w:noHBand="0" w:noVBand="1"/>
      </w:tblPr>
      <w:tblGrid>
        <w:gridCol w:w="5442"/>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024C0A" w:rsidRDefault="00024C0A"/>
    <w:p w:rsidR="00024C0A" w:rsidRDefault="00694C0F">
      <w:pPr>
        <w:pStyle w:val="Heading6"/>
      </w:pPr>
      <w:bookmarkStart w:id="4097" w:name="section_de9b88626c554161908f55ad7955eb6f"/>
      <w:bookmarkStart w:id="4098" w:name="_Toc12262109"/>
      <w:r>
        <w:t>XMLNamespace (Namespace for Property Editor)</w:t>
      </w:r>
      <w:bookmarkEnd w:id="4097"/>
      <w:bookmarkEnd w:id="4098"/>
      <w:r>
        <w:fldChar w:fldCharType="begin"/>
      </w:r>
      <w:r>
        <w:instrText xml:space="preserve"> XE "XMLNamespace (Namespace for Property Editor)" </w:instrText>
      </w:r>
      <w:r>
        <w:fldChar w:fldCharType="end"/>
      </w:r>
    </w:p>
    <w:p w:rsidR="00024C0A" w:rsidRDefault="00694C0F">
      <w:r>
        <w:t>Specifies the root namespace of custom XML data parts that are appropriate for editing by the XSN specified in XSNLocation.</w:t>
      </w:r>
    </w:p>
    <w:tbl>
      <w:tblPr>
        <w:tblStyle w:val="Table-ShadedHeader"/>
        <w:tblW w:w="0" w:type="auto"/>
        <w:tblLook w:val="04A0" w:firstRow="1" w:lastRow="0" w:firstColumn="1" w:lastColumn="0" w:noHBand="0" w:noVBand="1"/>
      </w:tblPr>
      <w:tblGrid>
        <w:gridCol w:w="5264"/>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customPropertyEdi</w:t>
            </w:r>
            <w:r>
              <w:rPr>
                <w:b/>
              </w:rPr>
              <w:t>tor</w:t>
            </w:r>
            <w:r>
              <w:t xml:space="preserve"> (§</w:t>
            </w:r>
            <w:hyperlink w:anchor="Section_518b6e0dd6114ebbbc77dda2706b18fb">
              <w:r>
                <w:rPr>
                  <w:rStyle w:val="Hyperlink"/>
                </w:rPr>
                <w:t>3.5.3.1.1.1, customPropertyEditor</w:t>
              </w:r>
            </w:hyperlink>
            <w:r>
              <w:t>)</w:t>
            </w:r>
          </w:p>
        </w:tc>
      </w:tr>
    </w:tbl>
    <w:p w:rsidR="00024C0A" w:rsidRDefault="00024C0A"/>
    <w:p w:rsidR="00024C0A" w:rsidRDefault="00694C0F">
      <w:pPr>
        <w:pStyle w:val="Heading6"/>
      </w:pPr>
      <w:bookmarkStart w:id="4099" w:name="section_60042665e00a4f749f86ad8bd478a614"/>
      <w:bookmarkStart w:id="4100" w:name="_Toc12262110"/>
      <w:r>
        <w:t>XSNLocation (Location of XSN File)</w:t>
      </w:r>
      <w:bookmarkEnd w:id="4099"/>
      <w:bookmarkEnd w:id="4100"/>
      <w:r>
        <w:fldChar w:fldCharType="begin"/>
      </w:r>
      <w:r>
        <w:instrText xml:space="preserve"> XE "XSNLocation (Location of XSN File)" </w:instrText>
      </w:r>
      <w:r>
        <w:fldChar w:fldCharType="end"/>
      </w:r>
    </w:p>
    <w:p w:rsidR="00024C0A" w:rsidRDefault="00694C0F">
      <w:r>
        <w:t>Specifies the path to the XSN file.</w:t>
      </w:r>
    </w:p>
    <w:tbl>
      <w:tblPr>
        <w:tblStyle w:val="Table-ShadedHeader"/>
        <w:tblW w:w="0" w:type="auto"/>
        <w:tblLook w:val="04A0" w:firstRow="1" w:lastRow="0" w:firstColumn="1" w:lastColumn="0" w:noHBand="0" w:noVBand="1"/>
      </w:tblPr>
      <w:tblGrid>
        <w:gridCol w:w="5264"/>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customPropertyEdito</w:t>
            </w:r>
            <w:r>
              <w:rPr>
                <w:b/>
              </w:rPr>
              <w:t>r</w:t>
            </w:r>
            <w:r>
              <w:t xml:space="preserve"> (§</w:t>
            </w:r>
            <w:hyperlink w:anchor="Section_518b6e0dd6114ebbbc77dda2706b18fb">
              <w:r>
                <w:rPr>
                  <w:rStyle w:val="Hyperlink"/>
                </w:rPr>
                <w:t>3.5.3.1.1.1, customPropertyEditor</w:t>
              </w:r>
            </w:hyperlink>
            <w:r>
              <w:t>)</w:t>
            </w:r>
          </w:p>
        </w:tc>
      </w:tr>
    </w:tbl>
    <w:p w:rsidR="00024C0A" w:rsidRDefault="00024C0A"/>
    <w:p w:rsidR="00024C0A" w:rsidRDefault="00694C0F">
      <w:pPr>
        <w:pStyle w:val="Heading3"/>
      </w:pPr>
      <w:bookmarkStart w:id="4101" w:name="section_c26a68bdb8164d2eb84258bc92e4f6a2"/>
      <w:bookmarkStart w:id="4102" w:name="_Toc12262111"/>
      <w:r>
        <w:t>Custom XSN</w:t>
      </w:r>
      <w:bookmarkEnd w:id="4101"/>
      <w:bookmarkEnd w:id="4102"/>
      <w:r>
        <w:fldChar w:fldCharType="begin"/>
      </w:r>
      <w:r>
        <w:instrText xml:space="preserve"> XE "Custom XSN" </w:instrText>
      </w:r>
      <w:r>
        <w:fldChar w:fldCharType="end"/>
      </w:r>
    </w:p>
    <w:p w:rsidR="00024C0A" w:rsidRDefault="00694C0F">
      <w:r>
        <w:t>The Custom XSN is comprised of a Custom XML Data Storage Part ("</w:t>
      </w:r>
      <w:hyperlink r:id="rId363">
        <w:r>
          <w:rPr>
            <w:rStyle w:val="Hyperlink"/>
          </w:rPr>
          <w:t>[ISO/IEC-29500-1]</w:t>
        </w:r>
      </w:hyperlink>
      <w:r>
        <w:t xml:space="preserve"> §15.2.5") which contains the Custom XSN information, and a Custom XML Data Storage Properties Part ("[ISO/IEC-29500-1] §15.2.6") which contains the set of properties for the custom XML data. </w:t>
      </w:r>
    </w:p>
    <w:p w:rsidR="00024C0A" w:rsidRDefault="00694C0F">
      <w:r>
        <w:t xml:space="preserve"> The XML contents of the data storage part conform to the schema defined in Custom XSN Schema (</w:t>
      </w:r>
      <w:hyperlink w:anchor="Section_d9b4ba0ebe664084a162d0eac8fa85e9">
        <w:r>
          <w:rPr>
            <w:rStyle w:val="Hyperlink"/>
          </w:rPr>
          <w:t>§3.5.4.1, Custom XSN Schema</w:t>
        </w:r>
      </w:hyperlink>
      <w:r>
        <w:t>).</w:t>
      </w:r>
    </w:p>
    <w:p w:rsidR="00024C0A" w:rsidRDefault="00694C0F">
      <w:r>
        <w:t xml:space="preserve">The root element of the Custom XML Data Storage Part shall be </w:t>
      </w:r>
      <w:r>
        <w:t>customXsn (</w:t>
      </w:r>
      <w:hyperlink w:anchor="Section_dff741e5b6874a57a0ea91144bd69a9c">
        <w:r>
          <w:rPr>
            <w:rStyle w:val="Hyperlink"/>
          </w:rPr>
          <w:t>§3.5.4.1.1.2, customXsn</w:t>
        </w:r>
      </w:hyperlink>
      <w:r>
        <w:t>).</w:t>
      </w:r>
    </w:p>
    <w:p w:rsidR="00024C0A" w:rsidRDefault="00694C0F">
      <w:r>
        <w:lastRenderedPageBreak/>
        <w:t>The Associated XML Schema ("[ISO/IEC-29500-1] §22.5.2.2; schemaRef") for this Custom XML Data Storage Part shall be “http://schemas.microsoft.com/‌office/‌2</w:t>
      </w:r>
      <w:r>
        <w:t>006/‌metadata/‌customXsn”.</w:t>
      </w:r>
    </w:p>
    <w:p w:rsidR="00024C0A" w:rsidRDefault="00694C0F">
      <w:pPr>
        <w:pStyle w:val="Heading4"/>
      </w:pPr>
      <w:bookmarkStart w:id="4103" w:name="section_d9b4ba0ebe664084a162d0eac8fa85e9"/>
      <w:bookmarkStart w:id="4104" w:name="_Toc12262112"/>
      <w:r>
        <w:t>Custom XSN Schema</w:t>
      </w:r>
      <w:bookmarkEnd w:id="4103"/>
      <w:bookmarkEnd w:id="4104"/>
      <w:r>
        <w:fldChar w:fldCharType="begin"/>
      </w:r>
      <w:r>
        <w:instrText xml:space="preserve"> XE "Custom XSN Schema" </w:instrText>
      </w:r>
      <w:r>
        <w:fldChar w:fldCharType="end"/>
      </w:r>
    </w:p>
    <w:p w:rsidR="00024C0A" w:rsidRDefault="00694C0F">
      <w:r>
        <w:t>A CustomXSN defines the source location and Document Information Panel behaviors for the document. CustomXSN is used in conjunction with Content Type Schema (</w:t>
      </w:r>
      <w:hyperlink w:anchor="Section_acb43eb342e64ae998cacd04346b080a">
        <w:r>
          <w:rPr>
            <w:rStyle w:val="Hyperlink"/>
          </w:rPr>
          <w:t>§3.5.2.1, Content Type Schemas Schema</w:t>
        </w:r>
      </w:hyperlink>
      <w:r>
        <w:t>) to fully define the behaviors of the Document Information Panel.</w:t>
      </w:r>
    </w:p>
    <w:p w:rsidR="00024C0A" w:rsidRDefault="00694C0F">
      <w:pPr>
        <w:pStyle w:val="Heading5"/>
      </w:pPr>
      <w:bookmarkStart w:id="4105" w:name="section_b5a5efac3fa447d881a473bad4c79d71"/>
      <w:bookmarkStart w:id="4106" w:name="_Toc12262113"/>
      <w:r>
        <w:t>Elements</w:t>
      </w:r>
      <w:bookmarkEnd w:id="4105"/>
      <w:bookmarkEnd w:id="4106"/>
    </w:p>
    <w:p w:rsidR="00024C0A" w:rsidRDefault="00694C0F">
      <w:pPr>
        <w:pStyle w:val="Heading6"/>
      </w:pPr>
      <w:bookmarkStart w:id="4107" w:name="section_845c830c9d3b4d99be5cf95219b7e3ed"/>
      <w:bookmarkStart w:id="4108" w:name="_Toc12262114"/>
      <w:r>
        <w:t>cached (Cached View)</w:t>
      </w:r>
      <w:bookmarkEnd w:id="4107"/>
      <w:bookmarkEnd w:id="4108"/>
      <w:r>
        <w:fldChar w:fldCharType="begin"/>
      </w:r>
      <w:r>
        <w:instrText xml:space="preserve"> XE "cached (Cached View)" </w:instrText>
      </w:r>
      <w:r>
        <w:fldChar w:fldCharType="end"/>
      </w:r>
    </w:p>
    <w:p w:rsidR="00024C0A" w:rsidRDefault="00694C0F">
      <w:r>
        <w:t>This element indicates whether the XSN specified by xsnLo</w:t>
      </w:r>
      <w:r>
        <w:t xml:space="preserve">cation should be used to edit properties in this document. A value of </w:t>
      </w:r>
      <w:r>
        <w:rPr>
          <w:i/>
        </w:rPr>
        <w:t>true</w:t>
      </w:r>
      <w:r>
        <w:t xml:space="preserve"> indicates that the XSN shall not be used.</w:t>
      </w:r>
    </w:p>
    <w:tbl>
      <w:tblPr>
        <w:tblStyle w:val="Table-ShadedHeader"/>
        <w:tblW w:w="0" w:type="auto"/>
        <w:tblLook w:val="04A0" w:firstRow="1" w:lastRow="0" w:firstColumn="1" w:lastColumn="0" w:noHBand="0" w:noVBand="1"/>
      </w:tblPr>
      <w:tblGrid>
        <w:gridCol w:w="3414"/>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customXsn</w:t>
            </w:r>
            <w:r>
              <w:t xml:space="preserve"> (§</w:t>
            </w:r>
            <w:hyperlink w:anchor="Section_dff741e5b6874a57a0ea91144bd69a9c">
              <w:r>
                <w:rPr>
                  <w:rStyle w:val="Hyperlink"/>
                </w:rPr>
                <w:t>3.5.4.1.1.2, customXsn</w:t>
              </w:r>
            </w:hyperlink>
            <w:r>
              <w:t>)</w:t>
            </w:r>
          </w:p>
        </w:tc>
      </w:tr>
    </w:tbl>
    <w:p w:rsidR="00024C0A" w:rsidRDefault="00024C0A"/>
    <w:p w:rsidR="00024C0A" w:rsidRDefault="00694C0F">
      <w:pPr>
        <w:pStyle w:val="Heading6"/>
      </w:pPr>
      <w:bookmarkStart w:id="4109" w:name="section_dff741e5b6874a57a0ea91144bd69a9c"/>
      <w:bookmarkStart w:id="4110" w:name="_Toc12262115"/>
      <w:r>
        <w:t>customXsn (Custom XSN</w:t>
      </w:r>
      <w:r>
        <w:t>)</w:t>
      </w:r>
      <w:bookmarkEnd w:id="4109"/>
      <w:bookmarkEnd w:id="4110"/>
      <w:r>
        <w:fldChar w:fldCharType="begin"/>
      </w:r>
      <w:r>
        <w:instrText xml:space="preserve"> XE "customXsn (Custom XSN)" </w:instrText>
      </w:r>
      <w:r>
        <w:fldChar w:fldCharType="end"/>
      </w:r>
    </w:p>
    <w:p w:rsidR="00024C0A" w:rsidRDefault="00694C0F">
      <w:r>
        <w:t xml:space="preserve">This element specifies that an XSN file (as specified by InfoPath Form Template Format Structure Specification </w:t>
      </w:r>
      <w:hyperlink r:id="rId364" w:anchor="Section_93482ffc8be24c288de5324a835e66b1">
        <w:r>
          <w:rPr>
            <w:rStyle w:val="Hyperlink"/>
          </w:rPr>
          <w:t>[MS-IPFF]</w:t>
        </w:r>
      </w:hyperlink>
      <w:r>
        <w:t>) should be presented to</w:t>
      </w:r>
      <w:r>
        <w:t xml:space="preserve"> the user for editing properties of this document. </w:t>
      </w:r>
    </w:p>
    <w:tbl>
      <w:tblPr>
        <w:tblStyle w:val="Table-ShadedHeader"/>
        <w:tblW w:w="0" w:type="auto"/>
        <w:tblLook w:val="04A0" w:firstRow="1" w:lastRow="0" w:firstColumn="1" w:lastColumn="0" w:noHBand="0" w:noVBand="1"/>
      </w:tblPr>
      <w:tblGrid>
        <w:gridCol w:w="3073"/>
        <w:gridCol w:w="2525"/>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Child Elements</w:t>
            </w:r>
          </w:p>
        </w:tc>
        <w:tc>
          <w:tcPr>
            <w:tcW w:w="0" w:type="auto"/>
            <w:vAlign w:val="center"/>
          </w:tcPr>
          <w:p w:rsidR="00024C0A" w:rsidRDefault="00694C0F">
            <w:pPr>
              <w:pStyle w:val="TableHeaderText"/>
            </w:pPr>
            <w:r>
              <w:t>Subclause</w:t>
            </w:r>
          </w:p>
        </w:tc>
      </w:tr>
      <w:tr w:rsidR="00024C0A" w:rsidTr="00024C0A">
        <w:tc>
          <w:tcPr>
            <w:tcW w:w="0" w:type="auto"/>
            <w:vAlign w:val="center"/>
          </w:tcPr>
          <w:p w:rsidR="00024C0A" w:rsidRDefault="00694C0F">
            <w:pPr>
              <w:pStyle w:val="TableBodyText"/>
            </w:pPr>
            <w:r>
              <w:rPr>
                <w:b/>
              </w:rPr>
              <w:t>cached</w:t>
            </w:r>
            <w:r>
              <w:t xml:space="preserve"> (Cached View)</w:t>
            </w:r>
          </w:p>
        </w:tc>
        <w:tc>
          <w:tcPr>
            <w:tcW w:w="0" w:type="auto"/>
            <w:vAlign w:val="center"/>
          </w:tcPr>
          <w:p w:rsidR="00024C0A" w:rsidRDefault="00694C0F">
            <w:pPr>
              <w:pStyle w:val="TableBodyText"/>
            </w:pPr>
            <w:r>
              <w:t>§</w:t>
            </w:r>
            <w:hyperlink w:anchor="Section_845c830c9d3b4d99be5cf95219b7e3ed">
              <w:r>
                <w:rPr>
                  <w:rStyle w:val="Hyperlink"/>
                </w:rPr>
                <w:t>3.5.4.1.1.1, cached</w:t>
              </w:r>
            </w:hyperlink>
          </w:p>
        </w:tc>
      </w:tr>
      <w:tr w:rsidR="00024C0A" w:rsidTr="00024C0A">
        <w:tc>
          <w:tcPr>
            <w:tcW w:w="0" w:type="auto"/>
            <w:vAlign w:val="center"/>
          </w:tcPr>
          <w:p w:rsidR="00024C0A" w:rsidRDefault="00694C0F">
            <w:pPr>
              <w:pStyle w:val="TableBodyText"/>
            </w:pPr>
            <w:r>
              <w:rPr>
                <w:b/>
              </w:rPr>
              <w:t>openByDefault</w:t>
            </w:r>
            <w:r>
              <w:t xml:space="preserve"> (Open By Default)</w:t>
            </w:r>
          </w:p>
        </w:tc>
        <w:tc>
          <w:tcPr>
            <w:tcW w:w="0" w:type="auto"/>
            <w:vAlign w:val="center"/>
          </w:tcPr>
          <w:p w:rsidR="00024C0A" w:rsidRDefault="00694C0F">
            <w:pPr>
              <w:pStyle w:val="TableBodyText"/>
            </w:pPr>
            <w:r>
              <w:t>§</w:t>
            </w:r>
            <w:hyperlink w:anchor="Section_a0fa9f9b49fb4e7198b7164aa6c8cb79">
              <w:r>
                <w:rPr>
                  <w:rStyle w:val="Hyperlink"/>
                </w:rPr>
                <w:t>3.5.4.1.1.3, openByDefault</w:t>
              </w:r>
            </w:hyperlink>
          </w:p>
        </w:tc>
      </w:tr>
      <w:tr w:rsidR="00024C0A" w:rsidTr="00024C0A">
        <w:tc>
          <w:tcPr>
            <w:tcW w:w="0" w:type="auto"/>
            <w:vAlign w:val="center"/>
          </w:tcPr>
          <w:p w:rsidR="00024C0A" w:rsidRDefault="00694C0F">
            <w:pPr>
              <w:pStyle w:val="TableBodyText"/>
            </w:pPr>
            <w:r>
              <w:rPr>
                <w:b/>
              </w:rPr>
              <w:t>xsnLocation</w:t>
            </w:r>
            <w:r>
              <w:t xml:space="preserve"> (XSN Location)</w:t>
            </w:r>
          </w:p>
        </w:tc>
        <w:tc>
          <w:tcPr>
            <w:tcW w:w="0" w:type="auto"/>
            <w:vAlign w:val="center"/>
          </w:tcPr>
          <w:p w:rsidR="00024C0A" w:rsidRDefault="00694C0F">
            <w:pPr>
              <w:pStyle w:val="TableBodyText"/>
            </w:pPr>
            <w:r>
              <w:t>§</w:t>
            </w:r>
            <w:hyperlink w:anchor="Section_1c088624367d43958dfe029913c009e8">
              <w:r>
                <w:rPr>
                  <w:rStyle w:val="Hyperlink"/>
                </w:rPr>
                <w:t>3.5.4.1.1.4, xsnLocation</w:t>
              </w:r>
            </w:hyperlink>
          </w:p>
        </w:tc>
      </w:tr>
      <w:tr w:rsidR="00024C0A" w:rsidTr="00024C0A">
        <w:tc>
          <w:tcPr>
            <w:tcW w:w="0" w:type="auto"/>
            <w:vAlign w:val="center"/>
          </w:tcPr>
          <w:p w:rsidR="00024C0A" w:rsidRDefault="00694C0F">
            <w:pPr>
              <w:pStyle w:val="TableBodyText"/>
            </w:pPr>
            <w:r>
              <w:rPr>
                <w:b/>
              </w:rPr>
              <w:t>xsnScope</w:t>
            </w:r>
            <w:r>
              <w:t xml:space="preserve"> (Scope)</w:t>
            </w:r>
          </w:p>
        </w:tc>
        <w:tc>
          <w:tcPr>
            <w:tcW w:w="0" w:type="auto"/>
            <w:vAlign w:val="center"/>
          </w:tcPr>
          <w:p w:rsidR="00024C0A" w:rsidRDefault="00694C0F">
            <w:pPr>
              <w:pStyle w:val="TableBodyText"/>
            </w:pPr>
            <w:r>
              <w:t>§</w:t>
            </w:r>
            <w:hyperlink w:anchor="Section_83b1d48efcc64adaaf9bba113335dc9c">
              <w:r>
                <w:rPr>
                  <w:rStyle w:val="Hyperlink"/>
                </w:rPr>
                <w:t>3.5.4.1.1.5, xsnScope</w:t>
              </w:r>
            </w:hyperlink>
          </w:p>
        </w:tc>
      </w:tr>
    </w:tbl>
    <w:p w:rsidR="00024C0A" w:rsidRDefault="00024C0A"/>
    <w:p w:rsidR="00024C0A" w:rsidRDefault="00694C0F">
      <w:r>
        <w:t>The following XML Schema fragment defines the contents of this element:</w:t>
      </w:r>
    </w:p>
    <w:p w:rsidR="00024C0A" w:rsidRDefault="00694C0F">
      <w:pPr>
        <w:pStyle w:val="Code"/>
      </w:pPr>
      <w:r>
        <w:t>&lt;complexType name="CT_CustomXsn"&gt;</w:t>
      </w:r>
    </w:p>
    <w:p w:rsidR="00024C0A" w:rsidRDefault="00694C0F">
      <w:pPr>
        <w:pStyle w:val="Code"/>
      </w:pPr>
      <w:r>
        <w:t xml:space="preserve">  &lt;sequence&gt;</w:t>
      </w:r>
    </w:p>
    <w:p w:rsidR="00024C0A" w:rsidRDefault="00694C0F">
      <w:pPr>
        <w:pStyle w:val="Code"/>
      </w:pPr>
      <w:r>
        <w:t xml:space="preserve">    &lt;element name="xsnLocation" type="xsd:string"/&gt;</w:t>
      </w:r>
    </w:p>
    <w:p w:rsidR="00024C0A" w:rsidRDefault="00694C0F">
      <w:pPr>
        <w:pStyle w:val="Code"/>
      </w:pPr>
      <w:r>
        <w:t xml:space="preserve">    &lt;</w:t>
      </w:r>
      <w:r>
        <w:t>element name="cached" type="xsd:string"/&gt;</w:t>
      </w:r>
    </w:p>
    <w:p w:rsidR="00024C0A" w:rsidRDefault="00694C0F">
      <w:pPr>
        <w:pStyle w:val="Code"/>
      </w:pPr>
      <w:r>
        <w:t xml:space="preserve">    &lt;element name="openByDefault" type="xsd:string"/&gt;</w:t>
      </w:r>
    </w:p>
    <w:p w:rsidR="00024C0A" w:rsidRDefault="00694C0F">
      <w:pPr>
        <w:pStyle w:val="Code"/>
      </w:pPr>
      <w:r>
        <w:t xml:space="preserve">    &lt;element name="xsnScope" type="xsd:string"/&gt;</w:t>
      </w:r>
    </w:p>
    <w:p w:rsidR="00024C0A" w:rsidRDefault="00694C0F">
      <w:pPr>
        <w:pStyle w:val="Code"/>
      </w:pPr>
      <w:r>
        <w:t xml:space="preserve">  &lt;/sequence&gt;</w:t>
      </w:r>
    </w:p>
    <w:p w:rsidR="00024C0A" w:rsidRDefault="00694C0F">
      <w:pPr>
        <w:pStyle w:val="Code"/>
      </w:pPr>
      <w:r>
        <w:t>&lt;/complexType&gt;</w:t>
      </w:r>
    </w:p>
    <w:p w:rsidR="00024C0A" w:rsidRDefault="00694C0F">
      <w:pPr>
        <w:pStyle w:val="Heading6"/>
      </w:pPr>
      <w:bookmarkStart w:id="4111" w:name="section_a0fa9f9b49fb4e7198b7164aa6c8cb79"/>
      <w:bookmarkStart w:id="4112" w:name="_Toc12262116"/>
      <w:r>
        <w:t>openByDefault (Open By Default)</w:t>
      </w:r>
      <w:bookmarkEnd w:id="4111"/>
      <w:bookmarkEnd w:id="4112"/>
      <w:r>
        <w:fldChar w:fldCharType="begin"/>
      </w:r>
      <w:r>
        <w:instrText xml:space="preserve"> XE "openByDefault (Open By Default)" </w:instrText>
      </w:r>
      <w:r>
        <w:fldChar w:fldCharType="end"/>
      </w:r>
    </w:p>
    <w:p w:rsidR="00024C0A" w:rsidRDefault="00694C0F">
      <w:r>
        <w:t xml:space="preserve">This element specifies whether the user should be presented with a surface to edit properties of this document, immediately after opening it. A value of </w:t>
      </w:r>
      <w:r>
        <w:rPr>
          <w:i/>
        </w:rPr>
        <w:t>true</w:t>
      </w:r>
      <w:r>
        <w:t xml:space="preserve"> indicates that such a surface shall be provided; any other value indicates such a surface shall no</w:t>
      </w:r>
      <w:r>
        <w:t>t be provided.  If this element is not present, a surface shall not be provided.</w:t>
      </w:r>
    </w:p>
    <w:tbl>
      <w:tblPr>
        <w:tblStyle w:val="Table-ShadedHeader"/>
        <w:tblW w:w="0" w:type="auto"/>
        <w:tblLook w:val="04A0" w:firstRow="1" w:lastRow="0" w:firstColumn="1" w:lastColumn="0" w:noHBand="0" w:noVBand="1"/>
      </w:tblPr>
      <w:tblGrid>
        <w:gridCol w:w="3414"/>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lastRenderedPageBreak/>
              <w:t>Parent Elements</w:t>
            </w:r>
          </w:p>
        </w:tc>
      </w:tr>
      <w:tr w:rsidR="00024C0A" w:rsidTr="00024C0A">
        <w:tc>
          <w:tcPr>
            <w:tcW w:w="0" w:type="auto"/>
            <w:vAlign w:val="center"/>
          </w:tcPr>
          <w:p w:rsidR="00024C0A" w:rsidRDefault="00694C0F">
            <w:pPr>
              <w:pStyle w:val="TableBodyText"/>
            </w:pPr>
            <w:r>
              <w:rPr>
                <w:b/>
              </w:rPr>
              <w:t>customXsn</w:t>
            </w:r>
            <w:r>
              <w:t xml:space="preserve"> (§</w:t>
            </w:r>
            <w:hyperlink w:anchor="Section_dff741e5b6874a57a0ea91144bd69a9c">
              <w:r>
                <w:rPr>
                  <w:rStyle w:val="Hyperlink"/>
                </w:rPr>
                <w:t>3.5.4.1.1.2, customXsn</w:t>
              </w:r>
            </w:hyperlink>
            <w:r>
              <w:t>)</w:t>
            </w:r>
          </w:p>
        </w:tc>
      </w:tr>
    </w:tbl>
    <w:p w:rsidR="00024C0A" w:rsidRDefault="00024C0A"/>
    <w:p w:rsidR="00024C0A" w:rsidRDefault="00694C0F">
      <w:pPr>
        <w:pStyle w:val="Heading6"/>
      </w:pPr>
      <w:bookmarkStart w:id="4113" w:name="section_1c088624367d43958dfe029913c009e8"/>
      <w:bookmarkStart w:id="4114" w:name="_Toc12262117"/>
      <w:r>
        <w:t>xsnLocation (XSN Location)</w:t>
      </w:r>
      <w:bookmarkEnd w:id="4113"/>
      <w:bookmarkEnd w:id="4114"/>
      <w:r>
        <w:fldChar w:fldCharType="begin"/>
      </w:r>
      <w:r>
        <w:instrText xml:space="preserve"> XE "xsnLocation (XSN Location)</w:instrText>
      </w:r>
      <w:r>
        <w:instrText xml:space="preserve">" </w:instrText>
      </w:r>
      <w:r>
        <w:fldChar w:fldCharType="end"/>
      </w:r>
    </w:p>
    <w:p w:rsidR="00024C0A" w:rsidRDefault="00694C0F">
      <w:r>
        <w:t xml:space="preserve">This element specifies the location of an XSN file (as specified by InfoPath Form Template Format Structure Specification </w:t>
      </w:r>
      <w:hyperlink r:id="rId365" w:anchor="Section_93482ffc8be24c288de5324a835e66b1">
        <w:r>
          <w:rPr>
            <w:rStyle w:val="Hyperlink"/>
          </w:rPr>
          <w:t>[MS-IPFF]</w:t>
        </w:r>
      </w:hyperlink>
      <w:r>
        <w:t>) to use for editing properties of this d</w:t>
      </w:r>
      <w:r>
        <w:t>ocument</w:t>
      </w:r>
    </w:p>
    <w:tbl>
      <w:tblPr>
        <w:tblStyle w:val="Table-ShadedHeader"/>
        <w:tblW w:w="0" w:type="auto"/>
        <w:tblLook w:val="04A0" w:firstRow="1" w:lastRow="0" w:firstColumn="1" w:lastColumn="0" w:noHBand="0" w:noVBand="1"/>
      </w:tblPr>
      <w:tblGrid>
        <w:gridCol w:w="3414"/>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customXsn</w:t>
            </w:r>
            <w:r>
              <w:t xml:space="preserve"> (§</w:t>
            </w:r>
            <w:hyperlink w:anchor="Section_dff741e5b6874a57a0ea91144bd69a9c">
              <w:r>
                <w:rPr>
                  <w:rStyle w:val="Hyperlink"/>
                </w:rPr>
                <w:t>3.5.4.1.1.2, customXsn</w:t>
              </w:r>
            </w:hyperlink>
            <w:r>
              <w:t>)</w:t>
            </w:r>
          </w:p>
        </w:tc>
      </w:tr>
    </w:tbl>
    <w:p w:rsidR="00024C0A" w:rsidRDefault="00024C0A"/>
    <w:p w:rsidR="00024C0A" w:rsidRDefault="00694C0F">
      <w:pPr>
        <w:pStyle w:val="Heading6"/>
      </w:pPr>
      <w:bookmarkStart w:id="4115" w:name="section_83b1d48efcc64adaaf9bba113335dc9c"/>
      <w:bookmarkStart w:id="4116" w:name="_Toc12262118"/>
      <w:r>
        <w:t>xsnScope (Scope)</w:t>
      </w:r>
      <w:bookmarkEnd w:id="4115"/>
      <w:bookmarkEnd w:id="4116"/>
      <w:r>
        <w:fldChar w:fldCharType="begin"/>
      </w:r>
      <w:r>
        <w:instrText xml:space="preserve"> XE "xsnScope (Scope)" </w:instrText>
      </w:r>
      <w:r>
        <w:fldChar w:fldCharType="end"/>
      </w:r>
    </w:p>
    <w:p w:rsidR="00024C0A" w:rsidRDefault="00694C0F">
      <w:r>
        <w:t xml:space="preserve">Specifies a path to use when resolving any relative paths that appear within the </w:t>
      </w:r>
      <w:r>
        <w:t>specified XSN.</w:t>
      </w:r>
    </w:p>
    <w:tbl>
      <w:tblPr>
        <w:tblStyle w:val="Table-ShadedHeader"/>
        <w:tblW w:w="0" w:type="auto"/>
        <w:tblLook w:val="04A0" w:firstRow="1" w:lastRow="0" w:firstColumn="1" w:lastColumn="0" w:noHBand="0" w:noVBand="1"/>
      </w:tblPr>
      <w:tblGrid>
        <w:gridCol w:w="3414"/>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customXsn</w:t>
            </w:r>
            <w:r>
              <w:t xml:space="preserve"> (§</w:t>
            </w:r>
            <w:hyperlink w:anchor="Section_dff741e5b6874a57a0ea91144bd69a9c">
              <w:r>
                <w:rPr>
                  <w:rStyle w:val="Hyperlink"/>
                </w:rPr>
                <w:t>3.5.4.1.1.2, customXsn</w:t>
              </w:r>
            </w:hyperlink>
            <w:r>
              <w:t>)</w:t>
            </w:r>
          </w:p>
        </w:tc>
      </w:tr>
    </w:tbl>
    <w:p w:rsidR="00024C0A" w:rsidRDefault="00024C0A"/>
    <w:p w:rsidR="00024C0A" w:rsidRDefault="00694C0F">
      <w:pPr>
        <w:pStyle w:val="Heading3"/>
      </w:pPr>
      <w:bookmarkStart w:id="4117" w:name="section_78d73854b7934cd682ef994e57d303db"/>
      <w:bookmarkStart w:id="4118" w:name="_Toc12262119"/>
      <w:r>
        <w:t>Long Properties</w:t>
      </w:r>
      <w:bookmarkEnd w:id="4117"/>
      <w:bookmarkEnd w:id="4118"/>
      <w:r>
        <w:fldChar w:fldCharType="begin"/>
      </w:r>
      <w:r>
        <w:instrText xml:space="preserve"> XE "Long Properties" </w:instrText>
      </w:r>
      <w:r>
        <w:fldChar w:fldCharType="end"/>
      </w:r>
    </w:p>
    <w:p w:rsidR="00024C0A" w:rsidRDefault="00694C0F">
      <w:r>
        <w:t>The Long Properties is comprised of a Custom XML Data Storage Part ("</w:t>
      </w:r>
      <w:hyperlink r:id="rId366">
        <w:r>
          <w:rPr>
            <w:rStyle w:val="Hyperlink"/>
          </w:rPr>
          <w:t>[ISO/IEC-29500-1]</w:t>
        </w:r>
      </w:hyperlink>
      <w:r>
        <w:t xml:space="preserve"> §15.2.5") which contains the Long Properties information, and a Custom XML Data Storage Properties Part ("[ISO/IEC-29500-1] §15.2.6") which contains the set of properties for the custom </w:t>
      </w:r>
      <w:r>
        <w:t xml:space="preserve">XML data. </w:t>
      </w:r>
    </w:p>
    <w:p w:rsidR="00024C0A" w:rsidRDefault="00694C0F">
      <w:r>
        <w:t xml:space="preserve"> The XML contents of the data storage part conform to the schema defined in Long Properties Schema (</w:t>
      </w:r>
      <w:hyperlink w:anchor="Section_03e16b150a6b4dc88574f27a056f37e5">
        <w:r>
          <w:rPr>
            <w:rStyle w:val="Hyperlink"/>
          </w:rPr>
          <w:t>§3.5.5.1, Long Properties Schema</w:t>
        </w:r>
      </w:hyperlink>
      <w:r>
        <w:t>).</w:t>
      </w:r>
    </w:p>
    <w:p w:rsidR="00024C0A" w:rsidRDefault="00694C0F">
      <w:r>
        <w:t>The root element of the Custom XML Data Storage</w:t>
      </w:r>
      <w:r>
        <w:t xml:space="preserve"> Part shall be LongProperties (</w:t>
      </w:r>
      <w:hyperlink w:anchor="Section_e142bd7e59954bcfaaa84317a6eb9396">
        <w:r>
          <w:rPr>
            <w:rStyle w:val="Hyperlink"/>
          </w:rPr>
          <w:t>§3.5.5.1.1.2, LongProperties</w:t>
        </w:r>
      </w:hyperlink>
      <w:r>
        <w:t>).</w:t>
      </w:r>
    </w:p>
    <w:p w:rsidR="00024C0A" w:rsidRDefault="00694C0F">
      <w:r>
        <w:t>The Associated XML Schema ("[ISO/IEC-29500-1] §22.5.2.2; schemaRef") for this Custom XML Data Storage Part shall be “http://schemas</w:t>
      </w:r>
      <w:r>
        <w:t>.microsoft.com/‌office/‌2006/‌metadata/longProperties”.</w:t>
      </w:r>
    </w:p>
    <w:p w:rsidR="00024C0A" w:rsidRDefault="00694C0F">
      <w:pPr>
        <w:pStyle w:val="Heading4"/>
      </w:pPr>
      <w:bookmarkStart w:id="4119" w:name="section_03e16b150a6b4dc88574f27a056f37e5"/>
      <w:bookmarkStart w:id="4120" w:name="_Toc12262120"/>
      <w:r>
        <w:t>Long Properties Schema</w:t>
      </w:r>
      <w:bookmarkEnd w:id="4119"/>
      <w:bookmarkEnd w:id="4120"/>
      <w:r>
        <w:fldChar w:fldCharType="begin"/>
      </w:r>
      <w:r>
        <w:instrText xml:space="preserve"> XE "Long Properties Schema" </w:instrText>
      </w:r>
      <w:r>
        <w:fldChar w:fldCharType="end"/>
      </w:r>
    </w:p>
    <w:p w:rsidR="00024C0A" w:rsidRDefault="00694C0F">
      <w:r>
        <w:t>Long properties define a set of properties used to store server property values exceeding 255 characters in length.</w:t>
      </w:r>
    </w:p>
    <w:p w:rsidR="00024C0A" w:rsidRDefault="00694C0F">
      <w:pPr>
        <w:pStyle w:val="Heading5"/>
      </w:pPr>
      <w:bookmarkStart w:id="4121" w:name="section_d93aeb76c0144e47837cc9c7d33b5151"/>
      <w:bookmarkStart w:id="4122" w:name="_Toc12262121"/>
      <w:r>
        <w:t>Elements</w:t>
      </w:r>
      <w:bookmarkEnd w:id="4121"/>
      <w:bookmarkEnd w:id="4122"/>
    </w:p>
    <w:p w:rsidR="00024C0A" w:rsidRDefault="00694C0F">
      <w:pPr>
        <w:pStyle w:val="Heading6"/>
      </w:pPr>
      <w:bookmarkStart w:id="4123" w:name="section_8f665f8d316b4f9b83d330a8520fb932"/>
      <w:bookmarkStart w:id="4124" w:name="_Toc12262122"/>
      <w:r>
        <w:t>LongProp (Custom XML Server Property - Long Property)</w:t>
      </w:r>
      <w:bookmarkEnd w:id="4123"/>
      <w:bookmarkEnd w:id="4124"/>
      <w:r>
        <w:fldChar w:fldCharType="begin"/>
      </w:r>
      <w:r>
        <w:instrText xml:space="preserve"> XE "LongProp (Custom XML Server Property - Long Property)" </w:instrText>
      </w:r>
      <w:r>
        <w:fldChar w:fldCharType="end"/>
      </w:r>
    </w:p>
    <w:p w:rsidR="00024C0A" w:rsidRDefault="00694C0F">
      <w:r>
        <w:t xml:space="preserve">This element specifies the full value of a custom server property that exceeds 255 characters. This property is written out when a document </w:t>
      </w:r>
      <w:r>
        <w:t xml:space="preserve">is roundtripped to binary and back, to ensure that the full value of the custom property is not lost. When the first 255 characters of the value of the </w:t>
      </w:r>
      <w:r>
        <w:rPr>
          <w:b/>
        </w:rPr>
        <w:t>LongProp</w:t>
      </w:r>
      <w:r>
        <w:t xml:space="preserve"> agrees with the value of the custom property with the corresponding name, it is assumed that th</w:t>
      </w:r>
      <w:r>
        <w:t xml:space="preserve">e custom property was not modified when roundtripped; in that case, the </w:t>
      </w:r>
      <w:r>
        <w:rPr>
          <w:b/>
        </w:rPr>
        <w:t>LongProp</w:t>
      </w:r>
      <w:r>
        <w:t xml:space="preserve"> is considered to </w:t>
      </w:r>
      <w:r>
        <w:lastRenderedPageBreak/>
        <w:t xml:space="preserve">contain the correct, full property value.  If instead the first 255 characters of the value of the </w:t>
      </w:r>
      <w:r>
        <w:rPr>
          <w:b/>
        </w:rPr>
        <w:t>LongProp</w:t>
      </w:r>
      <w:r>
        <w:t xml:space="preserve"> and the custom property of the same name differ, t</w:t>
      </w:r>
      <w:r>
        <w:t>he custom property is assumed to have the more current (and therefore accurate) value for the property.</w:t>
      </w:r>
    </w:p>
    <w:tbl>
      <w:tblPr>
        <w:tblStyle w:val="Table-ShadedHeader"/>
        <w:tblW w:w="0" w:type="auto"/>
        <w:tblLook w:val="04A0" w:firstRow="1" w:lastRow="0" w:firstColumn="1" w:lastColumn="0" w:noHBand="0" w:noVBand="1"/>
      </w:tblPr>
      <w:tblGrid>
        <w:gridCol w:w="4118"/>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LongProperties</w:t>
            </w:r>
            <w:r>
              <w:t xml:space="preserve"> (§</w:t>
            </w:r>
            <w:hyperlink w:anchor="Section_e142bd7e59954bcfaaa84317a6eb9396">
              <w:r>
                <w:rPr>
                  <w:rStyle w:val="Hyperlink"/>
                </w:rPr>
                <w:t>3.5.5.1.1.2, LongProperties</w:t>
              </w:r>
            </w:hyperlink>
            <w:r>
              <w: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3334"/>
        <w:gridCol w:w="614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Attributes</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name</w:t>
            </w:r>
            <w:r>
              <w:t xml:space="preserve"> (Custom XML Server Property Name)</w:t>
            </w:r>
          </w:p>
        </w:tc>
        <w:tc>
          <w:tcPr>
            <w:tcW w:w="0" w:type="auto"/>
            <w:vAlign w:val="center"/>
          </w:tcPr>
          <w:p w:rsidR="00024C0A" w:rsidRDefault="00694C0F">
            <w:pPr>
              <w:pStyle w:val="TableBodyText"/>
            </w:pPr>
            <w:r>
              <w:t>Specifies the name of the custom property.</w:t>
            </w:r>
          </w:p>
          <w:p w:rsidR="00024C0A" w:rsidRDefault="00024C0A">
            <w:pPr>
              <w:pStyle w:val="TableBodyText"/>
            </w:pPr>
          </w:p>
          <w:p w:rsidR="00024C0A" w:rsidRDefault="00694C0F">
            <w:pPr>
              <w:pStyle w:val="TableBodyText"/>
            </w:pPr>
            <w:r>
              <w:t>The possible values for this attribute are defined by the XML Schema string datatype.</w:t>
            </w:r>
          </w:p>
        </w:tc>
      </w:tr>
    </w:tbl>
    <w:p w:rsidR="00024C0A" w:rsidRDefault="00024C0A"/>
    <w:p w:rsidR="00024C0A" w:rsidRDefault="00694C0F">
      <w:pPr>
        <w:pStyle w:val="Heading6"/>
      </w:pPr>
      <w:bookmarkStart w:id="4125" w:name="section_e142bd7e59954bcfaaa84317a6eb9396"/>
      <w:bookmarkStart w:id="4126" w:name="_Toc12262123"/>
      <w:r>
        <w:t>LongProperties (Custom XML Server Properties - Long Properties)</w:t>
      </w:r>
      <w:bookmarkEnd w:id="4125"/>
      <w:bookmarkEnd w:id="4126"/>
      <w:r>
        <w:fldChar w:fldCharType="begin"/>
      </w:r>
      <w:r>
        <w:instrText xml:space="preserve"> XE "LongProperties (Custom XML Server Properties - Long Properties)" </w:instrText>
      </w:r>
      <w:r>
        <w:fldChar w:fldCharType="end"/>
      </w:r>
    </w:p>
    <w:p w:rsidR="00024C0A" w:rsidRDefault="00694C0F">
      <w:r>
        <w:t xml:space="preserve">This element specifies the full content of custom server properties whose values exceed 255 characters.  When a document containing custom server properties is roundtripped to binary </w:t>
      </w:r>
      <w:r>
        <w:t xml:space="preserve">and back, any server properties whose values exceed 255 characters can be written out as </w:t>
      </w:r>
      <w:r>
        <w:rPr>
          <w:b/>
        </w:rPr>
        <w:t>LongProperties</w:t>
      </w:r>
      <w:r>
        <w:t xml:space="preserve"> to ensure that no data are lost. These long properties are first written when the document is saved to binary (where the custom property values can be t</w:t>
      </w:r>
      <w:r>
        <w:t>runcated).</w:t>
      </w:r>
    </w:p>
    <w:tbl>
      <w:tblPr>
        <w:tblStyle w:val="Table-ShadedHeader"/>
        <w:tblW w:w="0" w:type="auto"/>
        <w:tblLook w:val="04A0" w:firstRow="1" w:lastRow="0" w:firstColumn="1" w:lastColumn="0" w:noHBand="0" w:noVBand="1"/>
      </w:tblPr>
      <w:tblGrid>
        <w:gridCol w:w="4928"/>
        <w:gridCol w:w="2097"/>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Child Elements</w:t>
            </w:r>
          </w:p>
        </w:tc>
        <w:tc>
          <w:tcPr>
            <w:tcW w:w="0" w:type="auto"/>
            <w:vAlign w:val="center"/>
          </w:tcPr>
          <w:p w:rsidR="00024C0A" w:rsidRDefault="00694C0F">
            <w:pPr>
              <w:pStyle w:val="TableHeaderText"/>
            </w:pPr>
            <w:r>
              <w:t>Subclause</w:t>
            </w:r>
          </w:p>
        </w:tc>
      </w:tr>
      <w:tr w:rsidR="00024C0A" w:rsidTr="00024C0A">
        <w:tc>
          <w:tcPr>
            <w:tcW w:w="0" w:type="auto"/>
            <w:vAlign w:val="center"/>
          </w:tcPr>
          <w:p w:rsidR="00024C0A" w:rsidRDefault="00694C0F">
            <w:pPr>
              <w:pStyle w:val="TableBodyText"/>
            </w:pPr>
            <w:r>
              <w:rPr>
                <w:b/>
              </w:rPr>
              <w:t>LongProp</w:t>
            </w:r>
            <w:r>
              <w:t xml:space="preserve"> (Custom XML Server Property - Long Property)</w:t>
            </w:r>
          </w:p>
        </w:tc>
        <w:tc>
          <w:tcPr>
            <w:tcW w:w="0" w:type="auto"/>
            <w:vAlign w:val="center"/>
          </w:tcPr>
          <w:p w:rsidR="00024C0A" w:rsidRDefault="00694C0F">
            <w:pPr>
              <w:pStyle w:val="TableBodyText"/>
            </w:pPr>
            <w:r>
              <w:t>§</w:t>
            </w:r>
            <w:hyperlink w:anchor="Section_8f665f8d316b4f9b83d330a8520fb932">
              <w:r>
                <w:rPr>
                  <w:rStyle w:val="Hyperlink"/>
                </w:rPr>
                <w:t>3.5.5.1.1.1, LongProp</w:t>
              </w:r>
            </w:hyperlink>
          </w:p>
        </w:tc>
      </w:tr>
    </w:tbl>
    <w:p w:rsidR="00024C0A" w:rsidRDefault="00024C0A"/>
    <w:p w:rsidR="00024C0A" w:rsidRDefault="00694C0F">
      <w:r>
        <w:t>The following XML Schema fragment defines the contents of this element:</w:t>
      </w:r>
    </w:p>
    <w:p w:rsidR="00024C0A" w:rsidRDefault="00694C0F">
      <w:pPr>
        <w:pStyle w:val="Code"/>
      </w:pPr>
      <w:r>
        <w:t>&lt;comp</w:t>
      </w:r>
      <w:r>
        <w:t>lexType name="CT_LongProperties"&gt;</w:t>
      </w:r>
    </w:p>
    <w:p w:rsidR="00024C0A" w:rsidRDefault="00694C0F">
      <w:pPr>
        <w:pStyle w:val="Code"/>
      </w:pPr>
      <w:r>
        <w:t xml:space="preserve">  &lt;sequence&gt;</w:t>
      </w:r>
    </w:p>
    <w:p w:rsidR="00024C0A" w:rsidRDefault="00694C0F">
      <w:pPr>
        <w:pStyle w:val="Code"/>
      </w:pPr>
      <w:r>
        <w:t xml:space="preserve">    &lt;element name="LongProp" minOccurs="0" maxOccurs="unbounded"&gt;</w:t>
      </w:r>
    </w:p>
    <w:p w:rsidR="00024C0A" w:rsidRDefault="00694C0F">
      <w:pPr>
        <w:pStyle w:val="Code"/>
      </w:pPr>
      <w:r>
        <w:t xml:space="preserve">      &lt;complexType&gt;</w:t>
      </w:r>
    </w:p>
    <w:p w:rsidR="00024C0A" w:rsidRDefault="00694C0F">
      <w:pPr>
        <w:pStyle w:val="Code"/>
      </w:pPr>
      <w:r>
        <w:t xml:space="preserve">        &lt;simpleContent&gt;</w:t>
      </w:r>
    </w:p>
    <w:p w:rsidR="00024C0A" w:rsidRDefault="00694C0F">
      <w:pPr>
        <w:pStyle w:val="Code"/>
      </w:pPr>
      <w:r>
        <w:t xml:space="preserve">          &lt;extension base="xsd:string"&gt;</w:t>
      </w:r>
    </w:p>
    <w:p w:rsidR="00024C0A" w:rsidRDefault="00694C0F">
      <w:pPr>
        <w:pStyle w:val="Code"/>
      </w:pPr>
      <w:r>
        <w:t xml:space="preserve">            &lt;attribute name="name" type="xsd:string"/&gt;</w:t>
      </w:r>
    </w:p>
    <w:p w:rsidR="00024C0A" w:rsidRDefault="00694C0F">
      <w:pPr>
        <w:pStyle w:val="Code"/>
      </w:pPr>
      <w:r>
        <w:t xml:space="preserve">          &lt;/extension&gt;</w:t>
      </w:r>
    </w:p>
    <w:p w:rsidR="00024C0A" w:rsidRDefault="00694C0F">
      <w:pPr>
        <w:pStyle w:val="Code"/>
      </w:pPr>
      <w:r>
        <w:t xml:space="preserve">        &lt;/simpleContent&gt;</w:t>
      </w:r>
    </w:p>
    <w:p w:rsidR="00024C0A" w:rsidRDefault="00694C0F">
      <w:pPr>
        <w:pStyle w:val="Code"/>
      </w:pPr>
      <w:r>
        <w:t xml:space="preserve">      &lt;/complexType&gt;</w:t>
      </w:r>
    </w:p>
    <w:p w:rsidR="00024C0A" w:rsidRDefault="00694C0F">
      <w:pPr>
        <w:pStyle w:val="Code"/>
      </w:pPr>
      <w:r>
        <w:t xml:space="preserve">    &lt;/element&gt;</w:t>
      </w:r>
    </w:p>
    <w:p w:rsidR="00024C0A" w:rsidRDefault="00694C0F">
      <w:pPr>
        <w:pStyle w:val="Code"/>
      </w:pPr>
      <w:r>
        <w:t xml:space="preserve">  &lt;/sequence&gt;</w:t>
      </w:r>
    </w:p>
    <w:p w:rsidR="00024C0A" w:rsidRDefault="00694C0F">
      <w:pPr>
        <w:pStyle w:val="Code"/>
      </w:pPr>
      <w:r>
        <w:t>&lt;/complexType&gt;</w:t>
      </w:r>
    </w:p>
    <w:p w:rsidR="00024C0A" w:rsidRDefault="00694C0F">
      <w:pPr>
        <w:pStyle w:val="Heading2"/>
      </w:pPr>
      <w:bookmarkStart w:id="4127" w:name="section_346f264b6403401a899a6e0d513f7313"/>
      <w:bookmarkStart w:id="4128" w:name="_Toc12262124"/>
      <w:r>
        <w:t>Office ActiveX Supplemental Information</w:t>
      </w:r>
      <w:bookmarkEnd w:id="4127"/>
      <w:bookmarkEnd w:id="4128"/>
      <w:r>
        <w:fldChar w:fldCharType="begin"/>
      </w:r>
      <w:r>
        <w:instrText xml:space="preserve"> XE "Office ActiveX Supplemental Information (Additional Information)" </w:instrText>
      </w:r>
      <w:r>
        <w:fldChar w:fldCharType="end"/>
      </w:r>
    </w:p>
    <w:p w:rsidR="00024C0A" w:rsidRDefault="00694C0F">
      <w:r>
        <w:t>The subordinate subclauses spe</w:t>
      </w:r>
      <w:r>
        <w:t>cify additional semantics written into the Embedded Control Persistence Part ("</w:t>
      </w:r>
      <w:hyperlink r:id="rId367">
        <w:r>
          <w:rPr>
            <w:rStyle w:val="Hyperlink"/>
          </w:rPr>
          <w:t>[ISO/IEC-29500-1]</w:t>
        </w:r>
      </w:hyperlink>
      <w:r>
        <w:t xml:space="preserve"> §15.2.9") used to implement ActiveX controls in a Word document.</w:t>
      </w:r>
    </w:p>
    <w:p w:rsidR="00024C0A" w:rsidRDefault="00694C0F">
      <w:pPr>
        <w:pStyle w:val="Heading3"/>
      </w:pPr>
      <w:bookmarkStart w:id="4129" w:name="section_c6c425b5812d4a51a2733da7f078c036"/>
      <w:bookmarkStart w:id="4130" w:name="_Toc12262125"/>
      <w:r>
        <w:lastRenderedPageBreak/>
        <w:t>Elements</w:t>
      </w:r>
      <w:bookmarkEnd w:id="4129"/>
      <w:bookmarkEnd w:id="4130"/>
    </w:p>
    <w:p w:rsidR="00024C0A" w:rsidRDefault="00694C0F">
      <w:pPr>
        <w:pStyle w:val="Heading4"/>
      </w:pPr>
      <w:bookmarkStart w:id="4131" w:name="section_22725205d8b548e98079c6cf815e6213"/>
      <w:bookmarkStart w:id="4132" w:name="_Toc12262126"/>
      <w:r>
        <w:t>font (Standard COM Font Object)</w:t>
      </w:r>
      <w:bookmarkEnd w:id="4131"/>
      <w:bookmarkEnd w:id="4132"/>
      <w:r>
        <w:fldChar w:fldCharType="begin"/>
      </w:r>
      <w:r>
        <w:instrText xml:space="preserve"> XE "font (Standard COM Font Object)" </w:instrText>
      </w:r>
      <w:r>
        <w:fldChar w:fldCharType="end"/>
      </w:r>
    </w:p>
    <w:p w:rsidR="00024C0A" w:rsidRDefault="00694C0F">
      <w:r>
        <w:t>This element specifies the details of StdFont object (classid CLSID_StdFont, interface IFont) embedded in the property bag (IPersistPropertyBag interface) of an ActiveX control.</w:t>
      </w:r>
    </w:p>
    <w:p w:rsidR="00024C0A" w:rsidRDefault="00694C0F">
      <w:r>
        <w:t>[Examp</w:t>
      </w:r>
      <w:r>
        <w:t xml:space="preserve">le: Consider a font object named "FontPropName" embedded in an ActiveX control. </w:t>
      </w:r>
    </w:p>
    <w:p w:rsidR="00024C0A" w:rsidRDefault="00694C0F">
      <w:r>
        <w:t>&lt;ax:ocx ....&gt;</w:t>
      </w:r>
    </w:p>
    <w:p w:rsidR="00024C0A" w:rsidRDefault="00694C0F">
      <w:r>
        <w:t xml:space="preserve">    &lt;ax:ocxPr name="FontPropName"&gt;</w:t>
      </w:r>
    </w:p>
    <w:p w:rsidR="00024C0A" w:rsidRDefault="00694C0F">
      <w:r>
        <w:t xml:space="preserve">        &lt;ax:font ax:persistence="persistPropertyBag"&gt;</w:t>
      </w:r>
    </w:p>
    <w:p w:rsidR="00024C0A" w:rsidRDefault="00694C0F">
      <w:r>
        <w:t xml:space="preserve">            &lt;ax:ocxPr ax:name="Name" ax:value="MS Shell Dlg"/&gt;</w:t>
      </w:r>
    </w:p>
    <w:p w:rsidR="00024C0A" w:rsidRDefault="00694C0F">
      <w:r>
        <w:t xml:space="preserve">         </w:t>
      </w:r>
      <w:r>
        <w:t xml:space="preserve">   &lt;ax:ocxPr ax:name="Size" ax:value="12"/&gt;</w:t>
      </w:r>
    </w:p>
    <w:p w:rsidR="00024C0A" w:rsidRDefault="00694C0F">
      <w:r>
        <w:t xml:space="preserve">            &lt;ax:ocxPr ax:name="Charset" ax:value="0"/&gt;</w:t>
      </w:r>
    </w:p>
    <w:p w:rsidR="00024C0A" w:rsidRDefault="00694C0F">
      <w:r>
        <w:t xml:space="preserve">            &lt;ax:ocxPr ax:name="Weight" ax:value="400"/&gt;</w:t>
      </w:r>
    </w:p>
    <w:p w:rsidR="00024C0A" w:rsidRDefault="00694C0F">
      <w:r>
        <w:t xml:space="preserve">            &lt;ax:ocxPr ax:name="Underline" ax:value="0"/&gt;</w:t>
      </w:r>
    </w:p>
    <w:p w:rsidR="00024C0A" w:rsidRDefault="00694C0F">
      <w:r>
        <w:t xml:space="preserve">            &lt;ax:ocxPr ax:name="Italic" ax:va</w:t>
      </w:r>
      <w:r>
        <w:t>lue="0"/&gt;</w:t>
      </w:r>
    </w:p>
    <w:p w:rsidR="00024C0A" w:rsidRDefault="00694C0F">
      <w:r>
        <w:t xml:space="preserve">            &lt;ax:ocxPr ax:name="Strikethrough" ax:value="0"/&gt;</w:t>
      </w:r>
    </w:p>
    <w:p w:rsidR="00024C0A" w:rsidRDefault="00694C0F">
      <w:r>
        <w:t xml:space="preserve">        &lt;/ax:font&gt;</w:t>
      </w:r>
    </w:p>
    <w:p w:rsidR="00024C0A" w:rsidRDefault="00694C0F">
      <w:r>
        <w:t xml:space="preserve">    &lt;/ax:ocxPr&gt;    </w:t>
      </w:r>
    </w:p>
    <w:p w:rsidR="00024C0A" w:rsidRDefault="00694C0F">
      <w:r>
        <w:t>&lt;/ax:ocx&gt;</w:t>
      </w:r>
    </w:p>
    <w:p w:rsidR="00024C0A" w:rsidRDefault="00694C0F">
      <w:r>
        <w:t xml:space="preserve">In this example, the </w:t>
      </w:r>
      <w:r>
        <w:rPr>
          <w:b/>
        </w:rPr>
        <w:t>persistence</w:t>
      </w:r>
      <w:r>
        <w:t xml:space="preserve"> attribute specifies that various properties of the embedded font object are stored using the method per</w:t>
      </w:r>
      <w:r>
        <w:t xml:space="preserve">sistPropertyBag. The property bag is stored as a collection of child </w:t>
      </w:r>
      <w:r>
        <w:rPr>
          <w:b/>
        </w:rPr>
        <w:t>ocxPr</w:t>
      </w:r>
      <w:r>
        <w:t xml:space="preserve"> elements. Each </w:t>
      </w:r>
      <w:r>
        <w:rPr>
          <w:b/>
        </w:rPr>
        <w:t>ocxPr</w:t>
      </w:r>
      <w:r>
        <w:t xml:space="preserve"> element contains a single property. end example]</w:t>
      </w:r>
    </w:p>
    <w:p w:rsidR="00024C0A" w:rsidRDefault="00694C0F">
      <w:r>
        <w:t>More information about the details of StdFont object can be found in the Office Forms Binary File Format Struct</w:t>
      </w:r>
      <w:r>
        <w:t>ure Specification ("</w:t>
      </w:r>
      <w:hyperlink r:id="rId368" w:anchor="Section_9c79701a8c3e4429a139b60ac3a1d50a">
        <w:r>
          <w:rPr>
            <w:rStyle w:val="Hyperlink"/>
          </w:rPr>
          <w:t>[MS-OFORMS]</w:t>
        </w:r>
      </w:hyperlink>
      <w:r>
        <w:t xml:space="preserve"> Section 2.4.9").</w:t>
      </w:r>
    </w:p>
    <w:tbl>
      <w:tblPr>
        <w:tblStyle w:val="Table-ShadedHeader"/>
        <w:tblW w:w="0" w:type="auto"/>
        <w:tblLook w:val="04A0" w:firstRow="1" w:lastRow="0" w:firstColumn="1" w:lastColumn="0" w:noHBand="0" w:noVBand="1"/>
      </w:tblPr>
      <w:tblGrid>
        <w:gridCol w:w="2177"/>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ocxPr</w:t>
            </w:r>
            <w:r>
              <w:t xml:space="preserve"> (§</w:t>
            </w:r>
            <w:hyperlink w:anchor="Section_8d4ab600549c4dc7922c46ece32123ed">
              <w:r>
                <w:rPr>
                  <w:rStyle w:val="Hyperlink"/>
                </w:rPr>
                <w:t>3.6.1.3, ocxPr</w:t>
              </w:r>
            </w:hyperlink>
            <w:r>
              <w: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2201"/>
        <w:gridCol w:w="1468"/>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Child Elements</w:t>
            </w:r>
          </w:p>
        </w:tc>
        <w:tc>
          <w:tcPr>
            <w:tcW w:w="0" w:type="auto"/>
            <w:vAlign w:val="center"/>
          </w:tcPr>
          <w:p w:rsidR="00024C0A" w:rsidRDefault="00694C0F">
            <w:pPr>
              <w:pStyle w:val="TableHeaderText"/>
            </w:pPr>
            <w:r>
              <w:t>Subclause</w:t>
            </w:r>
          </w:p>
        </w:tc>
      </w:tr>
      <w:tr w:rsidR="00024C0A" w:rsidTr="00024C0A">
        <w:tc>
          <w:tcPr>
            <w:tcW w:w="0" w:type="auto"/>
            <w:vAlign w:val="center"/>
          </w:tcPr>
          <w:p w:rsidR="00024C0A" w:rsidRDefault="00694C0F">
            <w:pPr>
              <w:pStyle w:val="TableBodyText"/>
            </w:pPr>
            <w:r>
              <w:rPr>
                <w:b/>
              </w:rPr>
              <w:t>ocxPr</w:t>
            </w:r>
            <w:r>
              <w:t xml:space="preserve"> (Object Property)</w:t>
            </w:r>
          </w:p>
        </w:tc>
        <w:tc>
          <w:tcPr>
            <w:tcW w:w="0" w:type="auto"/>
            <w:vAlign w:val="center"/>
          </w:tcPr>
          <w:p w:rsidR="00024C0A" w:rsidRDefault="00694C0F">
            <w:pPr>
              <w:pStyle w:val="TableBodyText"/>
            </w:pPr>
            <w:r>
              <w:t>§3.6.1.3, ocxPr</w:t>
            </w:r>
          </w:p>
        </w:tc>
      </w:tr>
    </w:tbl>
    <w:p w:rsidR="00024C0A" w:rsidRDefault="00024C0A"/>
    <w:p w:rsidR="00024C0A" w:rsidRDefault="00024C0A"/>
    <w:tbl>
      <w:tblPr>
        <w:tblStyle w:val="Table-ShadedHeader"/>
        <w:tblW w:w="0" w:type="auto"/>
        <w:tblLook w:val="04A0" w:firstRow="1" w:lastRow="0" w:firstColumn="1" w:lastColumn="0" w:noHBand="0" w:noVBand="1"/>
      </w:tblPr>
      <w:tblGrid>
        <w:gridCol w:w="3175"/>
        <w:gridCol w:w="6300"/>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lastRenderedPageBreak/>
              <w:t>Attributes</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persistence</w:t>
            </w:r>
            <w:r>
              <w:t xml:space="preserve"> (Font Object Property Persistence Style (optional))</w:t>
            </w:r>
          </w:p>
        </w:tc>
        <w:tc>
          <w:tcPr>
            <w:tcW w:w="0" w:type="auto"/>
            <w:vAlign w:val="center"/>
          </w:tcPr>
          <w:p w:rsidR="00024C0A" w:rsidRDefault="00694C0F">
            <w:pPr>
              <w:pStyle w:val="TableBodyText"/>
            </w:pPr>
            <w:r>
              <w:t>Specifies the method used to store properties of the parent element.</w:t>
            </w:r>
          </w:p>
          <w:p w:rsidR="00024C0A" w:rsidRDefault="00024C0A">
            <w:pPr>
              <w:pStyle w:val="TableBodyText"/>
            </w:pPr>
          </w:p>
          <w:p w:rsidR="00024C0A" w:rsidRDefault="00694C0F">
            <w:pPr>
              <w:pStyle w:val="TableBodyText"/>
            </w:pPr>
            <w:r>
              <w:t xml:space="preserve">The possible values for this attribute are </w:t>
            </w:r>
            <w:r>
              <w:t>defined by the ST_Persistence simple type (§</w:t>
            </w:r>
            <w:hyperlink w:anchor="Section_6b964c2deff640fcbecc6116a4ad1458">
              <w:r>
                <w:rPr>
                  <w:rStyle w:val="Hyperlink"/>
                </w:rPr>
                <w:t>3.6.2.1, ST_Persistence</w:t>
              </w:r>
            </w:hyperlink>
            <w:r>
              <w:t>).</w:t>
            </w:r>
          </w:p>
        </w:tc>
      </w:tr>
      <w:tr w:rsidR="00024C0A" w:rsidTr="00024C0A">
        <w:tc>
          <w:tcPr>
            <w:tcW w:w="0" w:type="auto"/>
            <w:vAlign w:val="center"/>
          </w:tcPr>
          <w:p w:rsidR="00024C0A" w:rsidRDefault="00694C0F">
            <w:pPr>
              <w:pStyle w:val="TableBodyText"/>
            </w:pPr>
            <w:r>
              <w:rPr>
                <w:b/>
              </w:rPr>
              <w:t>id</w:t>
            </w:r>
            <w:r>
              <w:t xml:space="preserve"> ()</w:t>
            </w:r>
          </w:p>
          <w:p w:rsidR="00024C0A" w:rsidRDefault="00024C0A">
            <w:pPr>
              <w:pStyle w:val="TableBodyText"/>
            </w:pPr>
          </w:p>
          <w:p w:rsidR="00024C0A" w:rsidRDefault="00694C0F">
            <w:pPr>
              <w:pStyle w:val="TableBodyText"/>
            </w:pPr>
            <w:r>
              <w:t>Namespace: .../officeDocument/2006/relationships</w:t>
            </w:r>
          </w:p>
        </w:tc>
        <w:tc>
          <w:tcPr>
            <w:tcW w:w="0" w:type="auto"/>
            <w:vAlign w:val="center"/>
          </w:tcPr>
          <w:p w:rsidR="00024C0A" w:rsidRDefault="00694C0F">
            <w:pPr>
              <w:pStyle w:val="TableBodyText"/>
            </w:pPr>
            <w:r>
              <w:t>Specifies the relationship ID of the relationship to the font obje</w:t>
            </w:r>
            <w:r>
              <w:t>ct. The specified relationship shall be of type http://schemas.microsoft.com/office/2006/relationships/activeXControlBinary.</w:t>
            </w:r>
          </w:p>
          <w:p w:rsidR="00024C0A" w:rsidRDefault="00024C0A">
            <w:pPr>
              <w:pStyle w:val="TableBodyText"/>
            </w:pPr>
          </w:p>
          <w:p w:rsidR="00024C0A" w:rsidRDefault="00694C0F">
            <w:pPr>
              <w:pStyle w:val="TableBodyText"/>
            </w:pPr>
            <w:r>
              <w:t>The target of the relationship points to the internal location where the persisted font data is stored using the IPersistStream, I</w:t>
            </w:r>
            <w:r>
              <w:t xml:space="preserve">PersistStreamInit, or IPersistStorage interface, as indicated by the </w:t>
            </w:r>
            <w:r>
              <w:rPr>
                <w:b/>
              </w:rPr>
              <w:t>persistence attribute or as determined by the default interface query sequence.</w:t>
            </w:r>
          </w:p>
          <w:p w:rsidR="00024C0A" w:rsidRDefault="00024C0A">
            <w:pPr>
              <w:pStyle w:val="TableBodyText"/>
            </w:pPr>
          </w:p>
          <w:p w:rsidR="00024C0A" w:rsidRDefault="00694C0F">
            <w:pPr>
              <w:pStyle w:val="TableBodyText"/>
            </w:pPr>
            <w:r>
              <w:t>The possible values for this attribute are defined by the ST_RelationshipId simple type ("</w:t>
            </w:r>
            <w:hyperlink r:id="rId369">
              <w:r>
                <w:rPr>
                  <w:rStyle w:val="Hyperlink"/>
                </w:rPr>
                <w:t>[ISO/IEC-29500-1]</w:t>
              </w:r>
            </w:hyperlink>
            <w:r>
              <w:t xml:space="preserve"> §22.8.2.1").</w:t>
            </w:r>
          </w:p>
        </w:tc>
      </w:tr>
    </w:tbl>
    <w:p w:rsidR="00024C0A" w:rsidRDefault="00024C0A"/>
    <w:p w:rsidR="00024C0A" w:rsidRDefault="00694C0F">
      <w:r>
        <w:t>The following XML Schema fragment defines the contents of this element:</w:t>
      </w:r>
    </w:p>
    <w:p w:rsidR="00024C0A" w:rsidRDefault="00694C0F">
      <w:pPr>
        <w:pStyle w:val="Code"/>
      </w:pPr>
      <w:r>
        <w:t>&lt;complexType name="CT_Font"&gt;</w:t>
      </w:r>
    </w:p>
    <w:p w:rsidR="00024C0A" w:rsidRDefault="00694C0F">
      <w:pPr>
        <w:pStyle w:val="Code"/>
      </w:pPr>
      <w:r>
        <w:t xml:space="preserve">  &lt;sequence&gt;</w:t>
      </w:r>
    </w:p>
    <w:p w:rsidR="00024C0A" w:rsidRDefault="00694C0F">
      <w:pPr>
        <w:pStyle w:val="Code"/>
      </w:pPr>
      <w:r>
        <w:t xml:space="preserve">    &lt;element name="ocxPr" type="CT_OcxPr" min</w:t>
      </w:r>
      <w:r>
        <w:t>Occurs="0" maxOccurs="unbounded"/&gt;</w:t>
      </w:r>
    </w:p>
    <w:p w:rsidR="00024C0A" w:rsidRDefault="00694C0F">
      <w:pPr>
        <w:pStyle w:val="Code"/>
      </w:pPr>
      <w:r>
        <w:t xml:space="preserve">  &lt;/sequence&gt;</w:t>
      </w:r>
    </w:p>
    <w:p w:rsidR="00024C0A" w:rsidRDefault="00694C0F">
      <w:pPr>
        <w:pStyle w:val="Code"/>
      </w:pPr>
      <w:r>
        <w:t xml:space="preserve">  &lt;attribute name="persistence" type="ST_Persistence"/&gt;</w:t>
      </w:r>
    </w:p>
    <w:p w:rsidR="00024C0A" w:rsidRDefault="00694C0F">
      <w:pPr>
        <w:pStyle w:val="Code"/>
      </w:pPr>
      <w:r>
        <w:t xml:space="preserve">  &lt;attribute ref="r:id" use="optional"/&gt;</w:t>
      </w:r>
    </w:p>
    <w:p w:rsidR="00024C0A" w:rsidRDefault="00694C0F">
      <w:pPr>
        <w:pStyle w:val="Code"/>
      </w:pPr>
      <w:r>
        <w:t>&lt;/complexType&gt;</w:t>
      </w:r>
    </w:p>
    <w:p w:rsidR="00024C0A" w:rsidRDefault="00694C0F">
      <w:pPr>
        <w:pStyle w:val="Heading4"/>
      </w:pPr>
      <w:bookmarkStart w:id="4133" w:name="section_48c990726cf74e6984b13bea64f0ee3a"/>
      <w:bookmarkStart w:id="4134" w:name="_Toc12262127"/>
      <w:r>
        <w:t>ocx (ActiveX Control Data)</w:t>
      </w:r>
      <w:bookmarkEnd w:id="4133"/>
      <w:bookmarkEnd w:id="4134"/>
      <w:r>
        <w:fldChar w:fldCharType="begin"/>
      </w:r>
      <w:r>
        <w:instrText xml:space="preserve"> XE "ocx (ActiveX Control Data)" </w:instrText>
      </w:r>
      <w:r>
        <w:fldChar w:fldCharType="end"/>
      </w:r>
    </w:p>
    <w:p w:rsidR="00024C0A" w:rsidRDefault="00694C0F">
      <w:r>
        <w:t>This element specifies various in</w:t>
      </w:r>
      <w:r>
        <w:t xml:space="preserve">formation of an ActiveX control embedded in a document. </w:t>
      </w:r>
    </w:p>
    <w:p w:rsidR="00024C0A" w:rsidRDefault="00694C0F">
      <w:r>
        <w:t>[Note: This element does not contain placement or application extended properties. The properties stored in this element are those that the ActiveX control can use regardless of container. end note]</w:t>
      </w:r>
    </w:p>
    <w:p w:rsidR="00024C0A" w:rsidRDefault="00694C0F">
      <w:r>
        <w:t>[Example: Consider an ActiveX control embedded in a WordprocessingML. Various pieces of information about that control will be specified using the following WordprocessingML:</w:t>
      </w:r>
    </w:p>
    <w:p w:rsidR="00024C0A" w:rsidRDefault="00694C0F">
      <w:r>
        <w:t>&lt;ax:ocx ax:classid="{FDD0D569-5B7A-4E3D-820C-5C487DB7796C}" ax:persistence="persi</w:t>
      </w:r>
      <w:r>
        <w:t>stPropertyBag" …&gt;</w:t>
      </w:r>
    </w:p>
    <w:p w:rsidR="00024C0A" w:rsidRDefault="00694C0F">
      <w:r>
        <w:t xml:space="preserve">    &lt;ax:ocxPr ax:name="_Version" ax:value="65536"/&gt;</w:t>
      </w:r>
    </w:p>
    <w:p w:rsidR="00024C0A" w:rsidRDefault="00694C0F">
      <w:r>
        <w:t xml:space="preserve">    &lt;ax:ocxPr ax:name="_ExtentX" ax:value="2646"/&gt;</w:t>
      </w:r>
    </w:p>
    <w:p w:rsidR="00024C0A" w:rsidRDefault="00694C0F">
      <w:r>
        <w:t xml:space="preserve">    &lt;ax:ocxPr ax:name="_ExtentY" ax:value="1323"/&gt;</w:t>
      </w:r>
    </w:p>
    <w:p w:rsidR="00024C0A" w:rsidRDefault="00694C0F">
      <w:r>
        <w:t xml:space="preserve">    &lt;ax:ocxPr ax:name="_StockProps" ax:value="0"/&gt;</w:t>
      </w:r>
    </w:p>
    <w:p w:rsidR="00024C0A" w:rsidRDefault="00694C0F">
      <w:r>
        <w:t xml:space="preserve">    …</w:t>
      </w:r>
    </w:p>
    <w:p w:rsidR="00024C0A" w:rsidRDefault="00694C0F">
      <w:r>
        <w:t>&lt;/ax:ocx&gt;</w:t>
      </w:r>
    </w:p>
    <w:p w:rsidR="00024C0A" w:rsidRDefault="00694C0F">
      <w:r>
        <w:t xml:space="preserve">Here, the </w:t>
      </w:r>
      <w:r>
        <w:rPr>
          <w:b/>
        </w:rPr>
        <w:t>classid</w:t>
      </w:r>
      <w:r>
        <w:t xml:space="preserve"> attribute holds the class ID of the ActiveX control, </w:t>
      </w:r>
      <w:r>
        <w:rPr>
          <w:i/>
        </w:rPr>
        <w:t>{FDD0D569-5B7A-4E3D-820C-5C487DB7796C}</w:t>
      </w:r>
      <w:r>
        <w:t xml:space="preserve">.  In this example, the </w:t>
      </w:r>
      <w:r>
        <w:rPr>
          <w:b/>
        </w:rPr>
        <w:t>persistence</w:t>
      </w:r>
      <w:r>
        <w:t xml:space="preserve"> attribute indicates the persistPropertyBag </w:t>
      </w:r>
      <w:r>
        <w:lastRenderedPageBreak/>
        <w:t>method for persisting various properties of the control. The property bag is stored a</w:t>
      </w:r>
      <w:r>
        <w:t xml:space="preserve">s a collection of child </w:t>
      </w:r>
      <w:r>
        <w:rPr>
          <w:b/>
        </w:rPr>
        <w:t>ocxPr</w:t>
      </w:r>
      <w:r>
        <w:t xml:space="preserve"> elements. Each </w:t>
      </w:r>
      <w:r>
        <w:rPr>
          <w:b/>
        </w:rPr>
        <w:t>ocxPr</w:t>
      </w:r>
      <w:r>
        <w:t xml:space="preserve"> element contains a single property. end example]</w:t>
      </w:r>
    </w:p>
    <w:tbl>
      <w:tblPr>
        <w:tblStyle w:val="Table-ShadedHeader"/>
        <w:tblW w:w="0" w:type="auto"/>
        <w:tblLook w:val="04A0" w:firstRow="1" w:lastRow="0" w:firstColumn="1" w:lastColumn="0" w:noHBand="0" w:noVBand="1"/>
      </w:tblPr>
      <w:tblGrid>
        <w:gridCol w:w="2201"/>
        <w:gridCol w:w="1468"/>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Child Elements</w:t>
            </w:r>
          </w:p>
        </w:tc>
        <w:tc>
          <w:tcPr>
            <w:tcW w:w="0" w:type="auto"/>
            <w:vAlign w:val="center"/>
          </w:tcPr>
          <w:p w:rsidR="00024C0A" w:rsidRDefault="00694C0F">
            <w:pPr>
              <w:pStyle w:val="TableHeaderText"/>
            </w:pPr>
            <w:r>
              <w:t>Subclause</w:t>
            </w:r>
          </w:p>
        </w:tc>
      </w:tr>
      <w:tr w:rsidR="00024C0A" w:rsidTr="00024C0A">
        <w:tc>
          <w:tcPr>
            <w:tcW w:w="0" w:type="auto"/>
            <w:vAlign w:val="center"/>
          </w:tcPr>
          <w:p w:rsidR="00024C0A" w:rsidRDefault="00694C0F">
            <w:pPr>
              <w:pStyle w:val="TableBodyText"/>
            </w:pPr>
            <w:r>
              <w:rPr>
                <w:b/>
              </w:rPr>
              <w:t>ocxPr</w:t>
            </w:r>
            <w:r>
              <w:t xml:space="preserve"> (Object Property)</w:t>
            </w:r>
          </w:p>
        </w:tc>
        <w:tc>
          <w:tcPr>
            <w:tcW w:w="0" w:type="auto"/>
            <w:vAlign w:val="center"/>
          </w:tcPr>
          <w:p w:rsidR="00024C0A" w:rsidRDefault="00694C0F">
            <w:pPr>
              <w:pStyle w:val="TableBodyText"/>
            </w:pPr>
            <w:r>
              <w:t>§</w:t>
            </w:r>
            <w:hyperlink w:anchor="Section_8d4ab600549c4dc7922c46ece32123ed">
              <w:r>
                <w:rPr>
                  <w:rStyle w:val="Hyperlink"/>
                </w:rPr>
                <w:t>3.6.1.3, ocxPr</w:t>
              </w:r>
            </w:hyperlink>
          </w:p>
        </w:tc>
      </w:tr>
    </w:tbl>
    <w:p w:rsidR="00024C0A" w:rsidRDefault="00024C0A"/>
    <w:p w:rsidR="00024C0A" w:rsidRDefault="00024C0A"/>
    <w:tbl>
      <w:tblPr>
        <w:tblStyle w:val="Table-ShadedHeader"/>
        <w:tblW w:w="0" w:type="auto"/>
        <w:tblLook w:val="04A0" w:firstRow="1" w:lastRow="0" w:firstColumn="1" w:lastColumn="0" w:noHBand="0" w:noVBand="1"/>
      </w:tblPr>
      <w:tblGrid>
        <w:gridCol w:w="3175"/>
        <w:gridCol w:w="6300"/>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Attributes</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classid</w:t>
            </w:r>
            <w:r>
              <w:t xml:space="preserve"> (ActiveX Control CLSID)</w:t>
            </w:r>
          </w:p>
        </w:tc>
        <w:tc>
          <w:tcPr>
            <w:tcW w:w="0" w:type="auto"/>
            <w:vAlign w:val="center"/>
          </w:tcPr>
          <w:p w:rsidR="00024C0A" w:rsidRDefault="00694C0F">
            <w:pPr>
              <w:pStyle w:val="TableBodyText"/>
            </w:pPr>
            <w:r>
              <w:t>Specifies the GUID of the ClassID of the ActiveX control.</w:t>
            </w:r>
          </w:p>
          <w:p w:rsidR="00024C0A" w:rsidRDefault="00024C0A">
            <w:pPr>
              <w:pStyle w:val="TableBodyText"/>
            </w:pPr>
          </w:p>
          <w:p w:rsidR="00024C0A" w:rsidRDefault="00694C0F">
            <w:pPr>
              <w:pStyle w:val="TableBodyText"/>
            </w:pPr>
            <w:r>
              <w:t>The possible values for this attribute are defined by the ST_String simple type (§</w:t>
            </w:r>
            <w:hyperlink w:anchor="Section_41d18506311343d991c44b4bb652115c">
              <w:r>
                <w:rPr>
                  <w:rStyle w:val="Hyperlink"/>
                </w:rPr>
                <w:t>3.6.2.2, ST_String</w:t>
              </w:r>
            </w:hyperlink>
            <w:r>
              <w:t>).</w:t>
            </w:r>
          </w:p>
        </w:tc>
      </w:tr>
      <w:tr w:rsidR="00024C0A" w:rsidTr="00024C0A">
        <w:tc>
          <w:tcPr>
            <w:tcW w:w="0" w:type="auto"/>
            <w:vAlign w:val="center"/>
          </w:tcPr>
          <w:p w:rsidR="00024C0A" w:rsidRDefault="00694C0F">
            <w:pPr>
              <w:pStyle w:val="TableBodyText"/>
            </w:pPr>
            <w:r>
              <w:rPr>
                <w:b/>
              </w:rPr>
              <w:t>license</w:t>
            </w:r>
            <w:r>
              <w:t xml:space="preserve"> (ActiveX Control License)</w:t>
            </w:r>
          </w:p>
        </w:tc>
        <w:tc>
          <w:tcPr>
            <w:tcW w:w="0" w:type="auto"/>
            <w:vAlign w:val="center"/>
          </w:tcPr>
          <w:p w:rsidR="00024C0A" w:rsidRDefault="00694C0F">
            <w:pPr>
              <w:pStyle w:val="TableBodyText"/>
            </w:pPr>
            <w:r>
              <w:t>Specifies the license string for the ActiveX control. This string is retrieved from the IClassFactory2 interface of the control.</w:t>
            </w:r>
          </w:p>
          <w:p w:rsidR="00024C0A" w:rsidRDefault="00024C0A">
            <w:pPr>
              <w:pStyle w:val="TableBodyText"/>
            </w:pPr>
          </w:p>
          <w:p w:rsidR="00024C0A" w:rsidRDefault="00694C0F">
            <w:pPr>
              <w:pStyle w:val="TableBodyText"/>
            </w:pPr>
            <w:r>
              <w:t>The possible values for this attribute are defined by the ST_String simple type (§3.6.2.2,</w:t>
            </w:r>
            <w:r>
              <w:t xml:space="preserve"> ST_String).</w:t>
            </w:r>
          </w:p>
        </w:tc>
      </w:tr>
      <w:tr w:rsidR="00024C0A" w:rsidTr="00024C0A">
        <w:tc>
          <w:tcPr>
            <w:tcW w:w="0" w:type="auto"/>
            <w:vAlign w:val="center"/>
          </w:tcPr>
          <w:p w:rsidR="00024C0A" w:rsidRDefault="00694C0F">
            <w:pPr>
              <w:pStyle w:val="TableBodyText"/>
            </w:pPr>
            <w:r>
              <w:rPr>
                <w:b/>
              </w:rPr>
              <w:t>persistence</w:t>
            </w:r>
            <w:r>
              <w:t xml:space="preserve"> (ActiveX Control Property Persistence Style)</w:t>
            </w:r>
          </w:p>
        </w:tc>
        <w:tc>
          <w:tcPr>
            <w:tcW w:w="0" w:type="auto"/>
            <w:vAlign w:val="center"/>
          </w:tcPr>
          <w:p w:rsidR="00024C0A" w:rsidRDefault="00694C0F">
            <w:pPr>
              <w:pStyle w:val="TableBodyText"/>
            </w:pPr>
            <w:r>
              <w:t xml:space="preserve">Specifies the explicit method used to persist the properties of the ActiveX control. </w:t>
            </w:r>
          </w:p>
          <w:p w:rsidR="00024C0A" w:rsidRDefault="00024C0A">
            <w:pPr>
              <w:pStyle w:val="TableBodyText"/>
            </w:pPr>
          </w:p>
          <w:p w:rsidR="00024C0A" w:rsidRDefault="00694C0F">
            <w:pPr>
              <w:pStyle w:val="TableBodyText"/>
            </w:pPr>
            <w:r>
              <w:t>The possible values for this attribute are defined by the ST_Persistence simple type (§</w:t>
            </w:r>
            <w:hyperlink w:anchor="Section_6b964c2deff640fcbecc6116a4ad1458">
              <w:r>
                <w:rPr>
                  <w:rStyle w:val="Hyperlink"/>
                </w:rPr>
                <w:t>3.6.2.1, ST_Persistence</w:t>
              </w:r>
            </w:hyperlink>
            <w:r>
              <w:t>).</w:t>
            </w:r>
          </w:p>
        </w:tc>
      </w:tr>
      <w:tr w:rsidR="00024C0A" w:rsidTr="00024C0A">
        <w:tc>
          <w:tcPr>
            <w:tcW w:w="0" w:type="auto"/>
            <w:vAlign w:val="center"/>
          </w:tcPr>
          <w:p w:rsidR="00024C0A" w:rsidRDefault="00694C0F">
            <w:pPr>
              <w:pStyle w:val="TableBodyText"/>
            </w:pPr>
            <w:r>
              <w:rPr>
                <w:b/>
              </w:rPr>
              <w:t>id</w:t>
            </w:r>
            <w:r>
              <w:t xml:space="preserve"> (ActiveX Control Binary Data)</w:t>
            </w:r>
          </w:p>
          <w:p w:rsidR="00024C0A" w:rsidRDefault="00024C0A">
            <w:pPr>
              <w:pStyle w:val="TableBodyText"/>
            </w:pPr>
          </w:p>
          <w:p w:rsidR="00024C0A" w:rsidRDefault="00694C0F">
            <w:pPr>
              <w:pStyle w:val="TableBodyText"/>
            </w:pPr>
            <w:r>
              <w:t>Namespace: .../officeDocument/2006/relationships</w:t>
            </w:r>
          </w:p>
        </w:tc>
        <w:tc>
          <w:tcPr>
            <w:tcW w:w="0" w:type="auto"/>
            <w:vAlign w:val="center"/>
          </w:tcPr>
          <w:p w:rsidR="00024C0A" w:rsidRDefault="00694C0F">
            <w:pPr>
              <w:pStyle w:val="TableBodyText"/>
            </w:pPr>
            <w:r>
              <w:t>Specifies the relationship ID, the target of which points to the internal location wh</w:t>
            </w:r>
            <w:r>
              <w:t xml:space="preserve">ere the binary data part representing various properties of the ActiveX control is persisted using the </w:t>
            </w:r>
            <w:r>
              <w:rPr>
                <w:b/>
              </w:rPr>
              <w:t>persistStorage,</w:t>
            </w:r>
            <w:r>
              <w:t xml:space="preserve"> </w:t>
            </w:r>
            <w:r>
              <w:rPr>
                <w:b/>
              </w:rPr>
              <w:t>persistStream, or</w:t>
            </w:r>
            <w:r>
              <w:t xml:space="preserve"> </w:t>
            </w:r>
            <w:r>
              <w:rPr>
                <w:b/>
              </w:rPr>
              <w:t>persistStream</w:t>
            </w:r>
            <w:r>
              <w:t xml:space="preserve">Init method, as indicated by the </w:t>
            </w:r>
            <w:r>
              <w:rPr>
                <w:b/>
              </w:rPr>
              <w:t>persistence</w:t>
            </w:r>
            <w:r>
              <w:t xml:space="preserve"> attribute of the parent </w:t>
            </w:r>
            <w:r>
              <w:rPr>
                <w:b/>
              </w:rPr>
              <w:t>ocx</w:t>
            </w:r>
            <w:r>
              <w:t xml:space="preserve"> element.</w:t>
            </w:r>
          </w:p>
          <w:p w:rsidR="00024C0A" w:rsidRDefault="00024C0A">
            <w:pPr>
              <w:pStyle w:val="TableBodyText"/>
            </w:pPr>
          </w:p>
          <w:p w:rsidR="00024C0A" w:rsidRDefault="00694C0F">
            <w:pPr>
              <w:pStyle w:val="TableBodyText"/>
            </w:pPr>
            <w:r>
              <w:t>The specified relations</w:t>
            </w:r>
            <w:r>
              <w:t>hip shall be of type http://schemas.microsoft.com/office/2006/relationships/activeXControlBinary.</w:t>
            </w:r>
          </w:p>
          <w:p w:rsidR="00024C0A" w:rsidRDefault="00024C0A">
            <w:pPr>
              <w:pStyle w:val="TableBodyText"/>
            </w:pPr>
          </w:p>
          <w:p w:rsidR="00024C0A" w:rsidRDefault="00694C0F">
            <w:pPr>
              <w:pStyle w:val="TableBodyText"/>
            </w:pPr>
            <w:r>
              <w:t xml:space="preserve">[Note: The use of this attribute is mutually exclusive with the use of </w:t>
            </w:r>
            <w:r>
              <w:rPr>
                <w:b/>
              </w:rPr>
              <w:t>ocxPr</w:t>
            </w:r>
            <w:r>
              <w:t xml:space="preserve"> child elements. end note]</w:t>
            </w:r>
          </w:p>
          <w:p w:rsidR="00024C0A" w:rsidRDefault="00024C0A">
            <w:pPr>
              <w:pStyle w:val="TableBodyText"/>
            </w:pPr>
          </w:p>
          <w:p w:rsidR="00024C0A" w:rsidRDefault="00694C0F">
            <w:pPr>
              <w:pStyle w:val="TableBodyText"/>
            </w:pPr>
            <w:r>
              <w:t>The possible values for this attribute are defined by</w:t>
            </w:r>
            <w:r>
              <w:t xml:space="preserve"> the ST_RelationshipId simple type ("</w:t>
            </w:r>
            <w:hyperlink r:id="rId370">
              <w:r>
                <w:rPr>
                  <w:rStyle w:val="Hyperlink"/>
                </w:rPr>
                <w:t>[ISO/IEC-29500-1]</w:t>
              </w:r>
            </w:hyperlink>
            <w:r>
              <w:t xml:space="preserve"> §22.8.2.1").</w:t>
            </w:r>
          </w:p>
        </w:tc>
      </w:tr>
    </w:tbl>
    <w:p w:rsidR="00024C0A" w:rsidRDefault="00024C0A"/>
    <w:p w:rsidR="00024C0A" w:rsidRDefault="00694C0F">
      <w:r>
        <w:t>The following XML Schema fragment defines the contents of this element:</w:t>
      </w:r>
    </w:p>
    <w:p w:rsidR="00024C0A" w:rsidRDefault="00694C0F">
      <w:pPr>
        <w:pStyle w:val="Code"/>
      </w:pPr>
      <w:r>
        <w:t>&lt;complexType name="CT_Ocx"&gt;</w:t>
      </w:r>
    </w:p>
    <w:p w:rsidR="00024C0A" w:rsidRDefault="00694C0F">
      <w:pPr>
        <w:pStyle w:val="Code"/>
      </w:pPr>
      <w:r>
        <w:t xml:space="preserve">  &lt;sequence&gt;</w:t>
      </w:r>
    </w:p>
    <w:p w:rsidR="00024C0A" w:rsidRDefault="00694C0F">
      <w:pPr>
        <w:pStyle w:val="Code"/>
      </w:pPr>
      <w:r>
        <w:t xml:space="preserve">    &lt;el</w:t>
      </w:r>
      <w:r>
        <w:t>ement name="ocxPr" type="CT_OcxPr" minOccurs="0" maxOccurs="unbounded"/&gt;</w:t>
      </w:r>
    </w:p>
    <w:p w:rsidR="00024C0A" w:rsidRDefault="00694C0F">
      <w:pPr>
        <w:pStyle w:val="Code"/>
      </w:pPr>
      <w:r>
        <w:t xml:space="preserve">  &lt;/sequence&gt;</w:t>
      </w:r>
    </w:p>
    <w:p w:rsidR="00024C0A" w:rsidRDefault="00694C0F">
      <w:pPr>
        <w:pStyle w:val="Code"/>
      </w:pPr>
      <w:r>
        <w:t xml:space="preserve">  &lt;attribute name="classid" type="ST_String" use="required"/&gt;</w:t>
      </w:r>
    </w:p>
    <w:p w:rsidR="00024C0A" w:rsidRDefault="00694C0F">
      <w:pPr>
        <w:pStyle w:val="Code"/>
      </w:pPr>
      <w:r>
        <w:t xml:space="preserve">  &lt;attribute name="license" type="ST_String"/&gt;</w:t>
      </w:r>
    </w:p>
    <w:p w:rsidR="00024C0A" w:rsidRDefault="00694C0F">
      <w:pPr>
        <w:pStyle w:val="Code"/>
      </w:pPr>
      <w:r>
        <w:t xml:space="preserve">  &lt;attribute ref="r:id" use="optional"/&gt;</w:t>
      </w:r>
    </w:p>
    <w:p w:rsidR="00024C0A" w:rsidRDefault="00694C0F">
      <w:pPr>
        <w:pStyle w:val="Code"/>
      </w:pPr>
      <w:r>
        <w:t xml:space="preserve">  &lt;</w:t>
      </w:r>
      <w:r>
        <w:t>attribute name="persistence" use="required" type="ST_Persistence"/&gt;</w:t>
      </w:r>
    </w:p>
    <w:p w:rsidR="00024C0A" w:rsidRDefault="00694C0F">
      <w:pPr>
        <w:pStyle w:val="Code"/>
      </w:pPr>
      <w:r>
        <w:lastRenderedPageBreak/>
        <w:t>&lt;/complexType&gt;</w:t>
      </w:r>
    </w:p>
    <w:p w:rsidR="00024C0A" w:rsidRDefault="00694C0F">
      <w:pPr>
        <w:pStyle w:val="Heading4"/>
      </w:pPr>
      <w:bookmarkStart w:id="4135" w:name="section_8d4ab600549c4dc7922c46ece32123ed"/>
      <w:bookmarkStart w:id="4136" w:name="_Toc12262128"/>
      <w:r>
        <w:t>ocxPr (Object Property)</w:t>
      </w:r>
      <w:bookmarkEnd w:id="4135"/>
      <w:bookmarkEnd w:id="4136"/>
      <w:r>
        <w:fldChar w:fldCharType="begin"/>
      </w:r>
      <w:r>
        <w:instrText xml:space="preserve"> XE "ocxPr (Object Property)" </w:instrText>
      </w:r>
      <w:r>
        <w:fldChar w:fldCharType="end"/>
      </w:r>
    </w:p>
    <w:p w:rsidR="00024C0A" w:rsidRDefault="00694C0F">
      <w:r>
        <w:t xml:space="preserve">This element specifies the name and value of a persisting property of the parent object persisted using the method </w:t>
      </w:r>
      <w:r>
        <w:rPr>
          <w:b/>
        </w:rPr>
        <w:t>pe</w:t>
      </w:r>
      <w:r>
        <w:rPr>
          <w:b/>
        </w:rPr>
        <w:t xml:space="preserve">rsistPropertyBag. Property values are converted into VT_BSTR using the Windows OLE API VariantChangeType() before getting stored in this element. </w:t>
      </w:r>
    </w:p>
    <w:tbl>
      <w:tblPr>
        <w:tblStyle w:val="Table-ShadedHeader"/>
        <w:tblW w:w="0" w:type="auto"/>
        <w:tblLook w:val="04A0" w:firstRow="1" w:lastRow="0" w:firstColumn="1" w:lastColumn="0" w:noHBand="0" w:noVBand="1"/>
      </w:tblPr>
      <w:tblGrid>
        <w:gridCol w:w="362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font</w:t>
            </w:r>
            <w:r>
              <w:t xml:space="preserve"> (§</w:t>
            </w:r>
            <w:hyperlink w:anchor="Section_22725205d8b548e98079c6cf815e6213">
              <w:r>
                <w:rPr>
                  <w:rStyle w:val="Hyperlink"/>
                </w:rPr>
                <w:t>3.6.1.1, font</w:t>
              </w:r>
            </w:hyperlink>
            <w:r>
              <w:t xml:space="preserve">); </w:t>
            </w:r>
            <w:r>
              <w:rPr>
                <w:b/>
              </w:rPr>
              <w:t>ocx</w:t>
            </w:r>
            <w:r>
              <w:t xml:space="preserve"> (§</w:t>
            </w:r>
            <w:hyperlink w:anchor="Section_48c990726cf74e6984b13bea64f0ee3a">
              <w:r>
                <w:rPr>
                  <w:rStyle w:val="Hyperlink"/>
                </w:rPr>
                <w:t>3.6.1.2, ocx</w:t>
              </w:r>
            </w:hyperlink>
            <w:r>
              <w: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3414"/>
        <w:gridCol w:w="1583"/>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Child Elements</w:t>
            </w:r>
          </w:p>
        </w:tc>
        <w:tc>
          <w:tcPr>
            <w:tcW w:w="0" w:type="auto"/>
            <w:vAlign w:val="center"/>
          </w:tcPr>
          <w:p w:rsidR="00024C0A" w:rsidRDefault="00694C0F">
            <w:pPr>
              <w:pStyle w:val="TableHeaderText"/>
            </w:pPr>
            <w:r>
              <w:t>Subclause</w:t>
            </w:r>
          </w:p>
        </w:tc>
      </w:tr>
      <w:tr w:rsidR="00024C0A" w:rsidTr="00024C0A">
        <w:tc>
          <w:tcPr>
            <w:tcW w:w="0" w:type="auto"/>
            <w:vAlign w:val="center"/>
          </w:tcPr>
          <w:p w:rsidR="00024C0A" w:rsidRDefault="00694C0F">
            <w:pPr>
              <w:pStyle w:val="TableBodyText"/>
            </w:pPr>
            <w:r>
              <w:rPr>
                <w:b/>
              </w:rPr>
              <w:t>font</w:t>
            </w:r>
            <w:r>
              <w:t xml:space="preserve"> (Standard COM Font Object)</w:t>
            </w:r>
          </w:p>
        </w:tc>
        <w:tc>
          <w:tcPr>
            <w:tcW w:w="0" w:type="auto"/>
            <w:vAlign w:val="center"/>
          </w:tcPr>
          <w:p w:rsidR="00024C0A" w:rsidRDefault="00694C0F">
            <w:pPr>
              <w:pStyle w:val="TableBodyText"/>
            </w:pPr>
            <w:r>
              <w:t>§3.6.1.1, font</w:t>
            </w:r>
          </w:p>
        </w:tc>
      </w:tr>
      <w:tr w:rsidR="00024C0A" w:rsidTr="00024C0A">
        <w:tc>
          <w:tcPr>
            <w:tcW w:w="0" w:type="auto"/>
            <w:vAlign w:val="center"/>
          </w:tcPr>
          <w:p w:rsidR="00024C0A" w:rsidRDefault="00694C0F">
            <w:pPr>
              <w:pStyle w:val="TableBodyText"/>
            </w:pPr>
            <w:r>
              <w:rPr>
                <w:b/>
              </w:rPr>
              <w:t>picture</w:t>
            </w:r>
            <w:r>
              <w:t xml:space="preserve"> (Standard COM Picture Object)</w:t>
            </w:r>
          </w:p>
        </w:tc>
        <w:tc>
          <w:tcPr>
            <w:tcW w:w="0" w:type="auto"/>
            <w:vAlign w:val="center"/>
          </w:tcPr>
          <w:p w:rsidR="00024C0A" w:rsidRDefault="00694C0F">
            <w:pPr>
              <w:pStyle w:val="TableBodyText"/>
            </w:pPr>
            <w:r>
              <w:t>§</w:t>
            </w:r>
            <w:hyperlink w:anchor="Section_5499d4e25dcc4a22ab780ea8a5bb50ee">
              <w:r>
                <w:rPr>
                  <w:rStyle w:val="Hyperlink"/>
                </w:rPr>
                <w:t>3.6.1.4, picture</w:t>
              </w:r>
            </w:hyperlink>
          </w:p>
        </w:tc>
      </w:tr>
    </w:tbl>
    <w:p w:rsidR="00024C0A" w:rsidRDefault="00024C0A"/>
    <w:p w:rsidR="00024C0A" w:rsidRDefault="00024C0A"/>
    <w:tbl>
      <w:tblPr>
        <w:tblStyle w:val="Table-ShadedHeader"/>
        <w:tblW w:w="0" w:type="auto"/>
        <w:tblLook w:val="04A0" w:firstRow="1" w:lastRow="0" w:firstColumn="1" w:lastColumn="0" w:noHBand="0" w:noVBand="1"/>
      </w:tblPr>
      <w:tblGrid>
        <w:gridCol w:w="1828"/>
        <w:gridCol w:w="7647"/>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Attributes</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name</w:t>
            </w:r>
            <w:r>
              <w:t xml:space="preserve"> (ActiveX Control Property Name)</w:t>
            </w:r>
          </w:p>
        </w:tc>
        <w:tc>
          <w:tcPr>
            <w:tcW w:w="0" w:type="auto"/>
            <w:vAlign w:val="center"/>
          </w:tcPr>
          <w:p w:rsidR="00024C0A" w:rsidRDefault="00694C0F">
            <w:pPr>
              <w:pStyle w:val="TableBodyText"/>
            </w:pPr>
            <w:r>
              <w:t>Specifies the name of the property. This name shall be unique in its collection.</w:t>
            </w:r>
          </w:p>
          <w:p w:rsidR="00024C0A" w:rsidRDefault="00024C0A">
            <w:pPr>
              <w:pStyle w:val="TableBodyText"/>
            </w:pPr>
          </w:p>
          <w:p w:rsidR="00024C0A" w:rsidRDefault="00694C0F">
            <w:pPr>
              <w:pStyle w:val="TableBodyText"/>
            </w:pPr>
            <w:r>
              <w:t>The possible values for this attribute are defined by the ST_String simple type (§</w:t>
            </w:r>
            <w:hyperlink w:anchor="Section_41d18506311343d991c44b4bb652115c">
              <w:r>
                <w:rPr>
                  <w:rStyle w:val="Hyperlink"/>
                </w:rPr>
                <w:t>3.6.2.2, ST_String</w:t>
              </w:r>
            </w:hyperlink>
            <w:r>
              <w:t>).</w:t>
            </w:r>
          </w:p>
        </w:tc>
      </w:tr>
      <w:tr w:rsidR="00024C0A" w:rsidTr="00024C0A">
        <w:tc>
          <w:tcPr>
            <w:tcW w:w="0" w:type="auto"/>
            <w:vAlign w:val="center"/>
          </w:tcPr>
          <w:p w:rsidR="00024C0A" w:rsidRDefault="00694C0F">
            <w:pPr>
              <w:pStyle w:val="TableBodyText"/>
            </w:pPr>
            <w:r>
              <w:rPr>
                <w:b/>
              </w:rPr>
              <w:t>value</w:t>
            </w:r>
            <w:r>
              <w:t xml:space="preserve"> (ActiveX Control Property Value)</w:t>
            </w:r>
          </w:p>
        </w:tc>
        <w:tc>
          <w:tcPr>
            <w:tcW w:w="0" w:type="auto"/>
            <w:vAlign w:val="center"/>
          </w:tcPr>
          <w:p w:rsidR="00024C0A" w:rsidRDefault="00694C0F">
            <w:pPr>
              <w:pStyle w:val="TableBodyText"/>
            </w:pPr>
            <w:r>
              <w:t>Specifies the value of the property. The actual p</w:t>
            </w:r>
            <w:r>
              <w:rPr>
                <w:b/>
              </w:rPr>
              <w:t>roperty values are converted into VT_BSTR using the Windows OLE API VariantChangeType() before</w:t>
            </w:r>
            <w:r>
              <w:rPr>
                <w:b/>
              </w:rPr>
              <w:t xml:space="preserve"> getting stored in this element. And corresponding string is stored as the value.</w:t>
            </w:r>
          </w:p>
          <w:p w:rsidR="00024C0A" w:rsidRDefault="00024C0A">
            <w:pPr>
              <w:pStyle w:val="TableBodyText"/>
            </w:pPr>
          </w:p>
          <w:p w:rsidR="00024C0A" w:rsidRDefault="00694C0F">
            <w:pPr>
              <w:pStyle w:val="TableBodyText"/>
            </w:pPr>
            <w:r>
              <w:t>This is attribute is only permitted for ocxPr elements (§3.6.1.3, ocxPr) without a font (§3.6.1.1, font) or picture sub-element (§3.6.1.4, picture).</w:t>
            </w:r>
          </w:p>
          <w:p w:rsidR="00024C0A" w:rsidRDefault="00024C0A">
            <w:pPr>
              <w:pStyle w:val="TableBodyText"/>
            </w:pPr>
          </w:p>
          <w:p w:rsidR="00024C0A" w:rsidRDefault="00694C0F">
            <w:pPr>
              <w:pStyle w:val="TableBodyText"/>
            </w:pPr>
            <w:r>
              <w:t>The possible values for</w:t>
            </w:r>
            <w:r>
              <w:t xml:space="preserve"> this attribute are defined by the ST_String simple type (§3.6.2.2, ST_String).</w:t>
            </w:r>
          </w:p>
        </w:tc>
      </w:tr>
    </w:tbl>
    <w:p w:rsidR="00024C0A" w:rsidRDefault="00024C0A"/>
    <w:p w:rsidR="00024C0A" w:rsidRDefault="00694C0F">
      <w:r>
        <w:t>The following XML Schema fragment defines the contents of this element:</w:t>
      </w:r>
    </w:p>
    <w:p w:rsidR="00024C0A" w:rsidRDefault="00694C0F">
      <w:pPr>
        <w:pStyle w:val="Code"/>
      </w:pPr>
      <w:r>
        <w:t>&lt;complexType name="CT_OcxPr"&gt;</w:t>
      </w:r>
    </w:p>
    <w:p w:rsidR="00024C0A" w:rsidRDefault="00694C0F">
      <w:pPr>
        <w:pStyle w:val="Code"/>
      </w:pPr>
      <w:r>
        <w:t xml:space="preserve">  &lt;sequence&gt;</w:t>
      </w:r>
    </w:p>
    <w:p w:rsidR="00024C0A" w:rsidRDefault="00694C0F">
      <w:pPr>
        <w:pStyle w:val="Code"/>
      </w:pPr>
      <w:r>
        <w:t xml:space="preserve">    &lt;choice&gt;</w:t>
      </w:r>
    </w:p>
    <w:p w:rsidR="00024C0A" w:rsidRDefault="00694C0F">
      <w:pPr>
        <w:pStyle w:val="Code"/>
      </w:pPr>
      <w:r>
        <w:t xml:space="preserve">      &lt;element name="font" type="CT_Font" maxO</w:t>
      </w:r>
      <w:r>
        <w:t>ccurs="1" minOccurs="0"/&gt;</w:t>
      </w:r>
    </w:p>
    <w:p w:rsidR="00024C0A" w:rsidRDefault="00694C0F">
      <w:pPr>
        <w:pStyle w:val="Code"/>
      </w:pPr>
      <w:r>
        <w:t xml:space="preserve">      &lt;element name="picture" type="CT_Picture" maxOccurs="1" minOccurs="0"/&gt;</w:t>
      </w:r>
    </w:p>
    <w:p w:rsidR="00024C0A" w:rsidRDefault="00694C0F">
      <w:pPr>
        <w:pStyle w:val="Code"/>
      </w:pPr>
      <w:r>
        <w:t xml:space="preserve">    &lt;/choice&gt;</w:t>
      </w:r>
    </w:p>
    <w:p w:rsidR="00024C0A" w:rsidRDefault="00694C0F">
      <w:pPr>
        <w:pStyle w:val="Code"/>
      </w:pPr>
      <w:r>
        <w:t xml:space="preserve">  &lt;/sequence&gt;</w:t>
      </w:r>
    </w:p>
    <w:p w:rsidR="00024C0A" w:rsidRDefault="00694C0F">
      <w:pPr>
        <w:pStyle w:val="Code"/>
      </w:pPr>
      <w:r>
        <w:t xml:space="preserve">  &lt;attribute name="name" type="ST_String" use="required"/&gt;</w:t>
      </w:r>
    </w:p>
    <w:p w:rsidR="00024C0A" w:rsidRDefault="00694C0F">
      <w:pPr>
        <w:pStyle w:val="Code"/>
      </w:pPr>
      <w:r>
        <w:t xml:space="preserve">  &lt;attribute name="value" type="ST_String"/&gt;</w:t>
      </w:r>
    </w:p>
    <w:p w:rsidR="00024C0A" w:rsidRDefault="00694C0F">
      <w:pPr>
        <w:pStyle w:val="Code"/>
      </w:pPr>
      <w:r>
        <w:t>&lt;/complexType&gt;</w:t>
      </w:r>
    </w:p>
    <w:p w:rsidR="00024C0A" w:rsidRDefault="00694C0F">
      <w:pPr>
        <w:pStyle w:val="Heading4"/>
      </w:pPr>
      <w:bookmarkStart w:id="4137" w:name="section_5499d4e25dcc4a22ab780ea8a5bb50ee"/>
      <w:bookmarkStart w:id="4138" w:name="_Toc12262129"/>
      <w:r>
        <w:lastRenderedPageBreak/>
        <w:t>pictu</w:t>
      </w:r>
      <w:r>
        <w:t>re (Standard COM Picture Object)</w:t>
      </w:r>
      <w:bookmarkEnd w:id="4137"/>
      <w:bookmarkEnd w:id="4138"/>
      <w:r>
        <w:fldChar w:fldCharType="begin"/>
      </w:r>
      <w:r>
        <w:instrText xml:space="preserve"> XE "picture (Standard COM Picture Object)" </w:instrText>
      </w:r>
      <w:r>
        <w:fldChar w:fldCharType="end"/>
      </w:r>
    </w:p>
    <w:p w:rsidR="00024C0A" w:rsidRDefault="00694C0F">
      <w:r>
        <w:t xml:space="preserve">This element specifies the properties of the StdPicture (classid CLSID_StdPicture, interface IPicture) object embedded in the property bag (IPersistPropertyBag interface) of an </w:t>
      </w:r>
      <w:r>
        <w:t>ActiveX control.</w:t>
      </w:r>
    </w:p>
    <w:p w:rsidR="00024C0A" w:rsidRDefault="00694C0F">
      <w:r>
        <w:t xml:space="preserve"> [Example: Consider an embedded picture object named "PicturePropName" embedded in an ActiveX control. </w:t>
      </w:r>
    </w:p>
    <w:p w:rsidR="00024C0A" w:rsidRDefault="00694C0F">
      <w:r>
        <w:t>&lt;ax:ocx ...&gt;</w:t>
      </w:r>
    </w:p>
    <w:p w:rsidR="00024C0A" w:rsidRDefault="00694C0F">
      <w:r>
        <w:t xml:space="preserve">    &lt;ax:ocxPr ax:name="PicturePropName"&gt;</w:t>
      </w:r>
    </w:p>
    <w:p w:rsidR="00024C0A" w:rsidRDefault="00694C0F">
      <w:r>
        <w:t xml:space="preserve">        &lt;ax:picture r:id="rId1"/&gt;</w:t>
      </w:r>
    </w:p>
    <w:p w:rsidR="00024C0A" w:rsidRDefault="00694C0F">
      <w:r>
        <w:t xml:space="preserve">    &lt;/ax:ocxPr&gt;</w:t>
      </w:r>
    </w:p>
    <w:p w:rsidR="00024C0A" w:rsidRDefault="00694C0F">
      <w:r>
        <w:t>&lt;/ax:ocx&gt;</w:t>
      </w:r>
    </w:p>
    <w:p w:rsidR="00024C0A" w:rsidRDefault="00694C0F">
      <w:r>
        <w:t xml:space="preserve">This example specifies that binary data representing the picture object can be found at the internal location pointed to by the relation </w:t>
      </w:r>
      <w:r>
        <w:rPr>
          <w:i/>
        </w:rPr>
        <w:t>rID1</w:t>
      </w:r>
      <w:r>
        <w:t>, and the data is persisted using an IPersist-derived interface. end example]</w:t>
      </w:r>
    </w:p>
    <w:p w:rsidR="00024C0A" w:rsidRDefault="00694C0F">
      <w:r>
        <w:t>More information about the details of</w:t>
      </w:r>
      <w:r>
        <w:t xml:space="preserve"> the StdPicture object can be found in the Office Forms Binary File Format Structure Specification ("</w:t>
      </w:r>
      <w:hyperlink r:id="rId371" w:anchor="Section_9c79701a8c3e4429a139b60ac3a1d50a">
        <w:r>
          <w:rPr>
            <w:rStyle w:val="Hyperlink"/>
          </w:rPr>
          <w:t>[MS-OFORMS]</w:t>
        </w:r>
      </w:hyperlink>
      <w:r>
        <w:t xml:space="preserve"> Section 2.4.5").</w:t>
      </w:r>
    </w:p>
    <w:tbl>
      <w:tblPr>
        <w:tblStyle w:val="Table-ShadedHeader"/>
        <w:tblW w:w="0" w:type="auto"/>
        <w:tblLook w:val="04A0" w:firstRow="1" w:lastRow="0" w:firstColumn="1" w:lastColumn="0" w:noHBand="0" w:noVBand="1"/>
      </w:tblPr>
      <w:tblGrid>
        <w:gridCol w:w="2177"/>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ocxPr</w:t>
            </w:r>
            <w:r>
              <w:t xml:space="preserve"> (§</w:t>
            </w:r>
            <w:hyperlink w:anchor="Section_8d4ab600549c4dc7922c46ece32123ed">
              <w:r>
                <w:rPr>
                  <w:rStyle w:val="Hyperlink"/>
                </w:rPr>
                <w:t>3.6.1.3, ocxPr</w:t>
              </w:r>
            </w:hyperlink>
            <w:r>
              <w: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3175"/>
        <w:gridCol w:w="6300"/>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Attributes</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id</w:t>
            </w:r>
            <w:r>
              <w:t xml:space="preserve"> ()</w:t>
            </w:r>
          </w:p>
          <w:p w:rsidR="00024C0A" w:rsidRDefault="00024C0A">
            <w:pPr>
              <w:pStyle w:val="TableBodyText"/>
            </w:pPr>
          </w:p>
          <w:p w:rsidR="00024C0A" w:rsidRDefault="00694C0F">
            <w:pPr>
              <w:pStyle w:val="TableBodyText"/>
            </w:pPr>
            <w:r>
              <w:t>Namespace: .../officeDocument/2006/relationships</w:t>
            </w:r>
          </w:p>
        </w:tc>
        <w:tc>
          <w:tcPr>
            <w:tcW w:w="0" w:type="auto"/>
            <w:vAlign w:val="center"/>
          </w:tcPr>
          <w:p w:rsidR="00024C0A" w:rsidRDefault="00694C0F">
            <w:pPr>
              <w:pStyle w:val="TableBodyText"/>
            </w:pPr>
            <w:r>
              <w:t xml:space="preserve">Specifies the relationship ID of the relationship to the picture. The specified relationship shall be of type </w:t>
            </w:r>
            <w:r>
              <w:t>http://schemas.microsoft.com/office/2006/relationships/activeXControlBinary.</w:t>
            </w:r>
          </w:p>
          <w:p w:rsidR="00024C0A" w:rsidRDefault="00024C0A">
            <w:pPr>
              <w:pStyle w:val="TableBodyText"/>
            </w:pPr>
          </w:p>
          <w:p w:rsidR="00024C0A" w:rsidRDefault="00694C0F">
            <w:pPr>
              <w:pStyle w:val="TableBodyText"/>
            </w:pPr>
            <w:r>
              <w:t>The target of the relationship point to the internal location where the persisted picture data is stored using the IPersist interface.</w:t>
            </w:r>
          </w:p>
          <w:p w:rsidR="00024C0A" w:rsidRDefault="00024C0A">
            <w:pPr>
              <w:pStyle w:val="TableBodyText"/>
            </w:pPr>
          </w:p>
          <w:p w:rsidR="00024C0A" w:rsidRDefault="00694C0F">
            <w:pPr>
              <w:pStyle w:val="TableBodyText"/>
            </w:pPr>
            <w:r>
              <w:t>The possible values for this attribute are</w:t>
            </w:r>
            <w:r>
              <w:t xml:space="preserve"> defined by the ST_RelationshipId simple type ("</w:t>
            </w:r>
            <w:hyperlink r:id="rId372">
              <w:r>
                <w:rPr>
                  <w:rStyle w:val="Hyperlink"/>
                </w:rPr>
                <w:t>[ISO/IEC-29500-1]</w:t>
              </w:r>
            </w:hyperlink>
            <w:r>
              <w:t xml:space="preserve"> §22.8.2.1").</w:t>
            </w:r>
          </w:p>
        </w:tc>
      </w:tr>
    </w:tbl>
    <w:p w:rsidR="00024C0A" w:rsidRDefault="00024C0A"/>
    <w:p w:rsidR="00024C0A" w:rsidRDefault="00694C0F">
      <w:r>
        <w:t>The following XML Schema fragment defines the contents of this element:</w:t>
      </w:r>
    </w:p>
    <w:p w:rsidR="00024C0A" w:rsidRDefault="00694C0F">
      <w:pPr>
        <w:pStyle w:val="Code"/>
      </w:pPr>
      <w:r>
        <w:t>&lt;complexType name="CT_Picture"&gt;</w:t>
      </w:r>
    </w:p>
    <w:p w:rsidR="00024C0A" w:rsidRDefault="00694C0F">
      <w:pPr>
        <w:pStyle w:val="Code"/>
      </w:pPr>
      <w:r>
        <w:t xml:space="preserve">  &lt;at</w:t>
      </w:r>
      <w:r>
        <w:t>tribute ref="r:id"/&gt;</w:t>
      </w:r>
    </w:p>
    <w:p w:rsidR="00024C0A" w:rsidRDefault="00694C0F">
      <w:pPr>
        <w:pStyle w:val="Code"/>
      </w:pPr>
      <w:r>
        <w:t>&lt;/complexType&gt;</w:t>
      </w:r>
    </w:p>
    <w:p w:rsidR="00024C0A" w:rsidRDefault="00694C0F">
      <w:pPr>
        <w:pStyle w:val="Heading3"/>
      </w:pPr>
      <w:bookmarkStart w:id="4139" w:name="section_400616b7500d47efae7ea5970329dfe1"/>
      <w:bookmarkStart w:id="4140" w:name="_Toc12262130"/>
      <w:r>
        <w:t>Simple Types</w:t>
      </w:r>
      <w:bookmarkEnd w:id="4139"/>
      <w:bookmarkEnd w:id="4140"/>
      <w:r>
        <w:fldChar w:fldCharType="begin"/>
      </w:r>
      <w:r>
        <w:instrText xml:space="preserve"> XE "Simple Types" </w:instrText>
      </w:r>
      <w:r>
        <w:fldChar w:fldCharType="end"/>
      </w:r>
    </w:p>
    <w:p w:rsidR="00024C0A" w:rsidRDefault="00694C0F">
      <w:r>
        <w:t>This is the complete list of simple types in the http://schemas.microsoft.com/office/2006/activeX namespace.</w:t>
      </w:r>
    </w:p>
    <w:p w:rsidR="00024C0A" w:rsidRDefault="00694C0F">
      <w:pPr>
        <w:pStyle w:val="Heading4"/>
      </w:pPr>
      <w:bookmarkStart w:id="4141" w:name="section_6b964c2deff640fcbecc6116a4ad1458"/>
      <w:bookmarkStart w:id="4142" w:name="_Toc12262131"/>
      <w:r>
        <w:lastRenderedPageBreak/>
        <w:t>ST_Persistence (Control Persistence Attribute Contents)</w:t>
      </w:r>
      <w:bookmarkEnd w:id="4141"/>
      <w:bookmarkEnd w:id="4142"/>
      <w:r>
        <w:fldChar w:fldCharType="begin"/>
      </w:r>
      <w:r>
        <w:instrText xml:space="preserve"> XE "ST_Persistence (C</w:instrText>
      </w:r>
      <w:r>
        <w:instrText xml:space="preserve">ontrol Persistence Attribute Contents)" </w:instrText>
      </w:r>
      <w:r>
        <w:fldChar w:fldCharType="end"/>
      </w:r>
    </w:p>
    <w:p w:rsidR="00024C0A" w:rsidRDefault="00694C0F">
      <w:r>
        <w:t>This simple type specifies the persistence method to persist an ActiveX control.</w:t>
      </w:r>
    </w:p>
    <w:p w:rsidR="00024C0A" w:rsidRDefault="00694C0F">
      <w:r>
        <w:t>This simple type's contents are a restriction of the ST_String datatype (§</w:t>
      </w:r>
      <w:hyperlink w:anchor="Section_41d18506311343d991c44b4bb652115c">
        <w:r>
          <w:rPr>
            <w:rStyle w:val="Hyperlink"/>
          </w:rPr>
          <w:t>3.6.2.2, ST_String</w:t>
        </w:r>
      </w:hyperlink>
      <w:r>
        <w:t>).</w:t>
      </w:r>
    </w:p>
    <w:p w:rsidR="00024C0A" w:rsidRDefault="00694C0F">
      <w:r>
        <w:t>The following are possible enumeration values for this type:</w:t>
      </w:r>
    </w:p>
    <w:tbl>
      <w:tblPr>
        <w:tblStyle w:val="Table-ShadedHeader"/>
        <w:tblW w:w="0" w:type="auto"/>
        <w:tblLook w:val="04A0" w:firstRow="1" w:lastRow="0" w:firstColumn="1" w:lastColumn="0" w:noHBand="0" w:noVBand="1"/>
      </w:tblPr>
      <w:tblGrid>
        <w:gridCol w:w="3413"/>
        <w:gridCol w:w="6062"/>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Enumeration Value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persistPropertyBag</w:t>
            </w:r>
            <w:r>
              <w:t xml:space="preserve"> (Control uses IPersistPropertyBag)</w:t>
            </w:r>
          </w:p>
        </w:tc>
        <w:tc>
          <w:tcPr>
            <w:tcW w:w="0" w:type="auto"/>
            <w:vAlign w:val="center"/>
          </w:tcPr>
          <w:p w:rsidR="00024C0A" w:rsidRDefault="00694C0F">
            <w:pPr>
              <w:pStyle w:val="TableBodyText"/>
            </w:pPr>
            <w:r>
              <w:t>Specifies that the data is stored using the IPersistPropertyBag interface.</w:t>
            </w:r>
          </w:p>
          <w:p w:rsidR="00024C0A" w:rsidRDefault="00024C0A">
            <w:pPr>
              <w:pStyle w:val="TableBodyText"/>
            </w:pPr>
          </w:p>
          <w:p w:rsidR="00024C0A" w:rsidRDefault="00694C0F">
            <w:pPr>
              <w:pStyle w:val="TableBodyText"/>
            </w:pPr>
            <w:r>
              <w:t xml:space="preserve">If this value is used, then a child </w:t>
            </w:r>
            <w:r>
              <w:rPr>
                <w:b/>
              </w:rPr>
              <w:t>ocxPr</w:t>
            </w:r>
            <w:r>
              <w:t xml:space="preserve"> element shall appear within the parent element.</w:t>
            </w:r>
          </w:p>
        </w:tc>
      </w:tr>
      <w:tr w:rsidR="00024C0A" w:rsidTr="00024C0A">
        <w:tc>
          <w:tcPr>
            <w:tcW w:w="0" w:type="auto"/>
            <w:vAlign w:val="center"/>
          </w:tcPr>
          <w:p w:rsidR="00024C0A" w:rsidRDefault="00694C0F">
            <w:pPr>
              <w:pStyle w:val="TableBodyText"/>
            </w:pPr>
            <w:r>
              <w:rPr>
                <w:b/>
              </w:rPr>
              <w:t>persistStorage</w:t>
            </w:r>
            <w:r>
              <w:t xml:space="preserve"> (Control uses IPersistStorage)</w:t>
            </w:r>
          </w:p>
        </w:tc>
        <w:tc>
          <w:tcPr>
            <w:tcW w:w="0" w:type="auto"/>
            <w:vAlign w:val="center"/>
          </w:tcPr>
          <w:p w:rsidR="00024C0A" w:rsidRDefault="00694C0F">
            <w:pPr>
              <w:pStyle w:val="TableBodyText"/>
            </w:pPr>
            <w:r>
              <w:t>Specifies that the data is stored using the IPersistStorage interface.</w:t>
            </w:r>
          </w:p>
          <w:p w:rsidR="00024C0A" w:rsidRDefault="00024C0A">
            <w:pPr>
              <w:pStyle w:val="TableBodyText"/>
            </w:pPr>
          </w:p>
          <w:p w:rsidR="00024C0A" w:rsidRDefault="00694C0F">
            <w:pPr>
              <w:pStyle w:val="TableBodyText"/>
            </w:pPr>
            <w:r>
              <w:t>If this value is used, then the parent element'</w:t>
            </w:r>
            <w:r>
              <w:t xml:space="preserve">s </w:t>
            </w:r>
            <w:r>
              <w:rPr>
                <w:b/>
              </w:rPr>
              <w:t>id</w:t>
            </w:r>
            <w:r>
              <w:t xml:space="preserve"> attribute shall reference a relationship storing the necessary binary data. </w:t>
            </w:r>
          </w:p>
        </w:tc>
      </w:tr>
      <w:tr w:rsidR="00024C0A" w:rsidTr="00024C0A">
        <w:tc>
          <w:tcPr>
            <w:tcW w:w="0" w:type="auto"/>
            <w:vAlign w:val="center"/>
          </w:tcPr>
          <w:p w:rsidR="00024C0A" w:rsidRDefault="00694C0F">
            <w:pPr>
              <w:pStyle w:val="TableBodyText"/>
            </w:pPr>
            <w:r>
              <w:rPr>
                <w:b/>
              </w:rPr>
              <w:t>persistStream</w:t>
            </w:r>
            <w:r>
              <w:t xml:space="preserve"> (Control uses IPersistStream)</w:t>
            </w:r>
          </w:p>
        </w:tc>
        <w:tc>
          <w:tcPr>
            <w:tcW w:w="0" w:type="auto"/>
            <w:vAlign w:val="center"/>
          </w:tcPr>
          <w:p w:rsidR="00024C0A" w:rsidRDefault="00694C0F">
            <w:pPr>
              <w:pStyle w:val="TableBodyText"/>
            </w:pPr>
            <w:r>
              <w:t>Specifies that the data is stored using the IPersistStream interface.</w:t>
            </w:r>
          </w:p>
          <w:p w:rsidR="00024C0A" w:rsidRDefault="00024C0A">
            <w:pPr>
              <w:pStyle w:val="TableBodyText"/>
            </w:pPr>
          </w:p>
          <w:p w:rsidR="00024C0A" w:rsidRDefault="00694C0F">
            <w:pPr>
              <w:pStyle w:val="TableBodyText"/>
            </w:pPr>
            <w:r>
              <w:t xml:space="preserve">If this value is used, then the parent element's </w:t>
            </w:r>
            <w:r>
              <w:rPr>
                <w:b/>
              </w:rPr>
              <w:t>id</w:t>
            </w:r>
            <w:r>
              <w:t xml:space="preserve"> attrib</w:t>
            </w:r>
            <w:r>
              <w:t>ute shall reference a relationship storing the necessary binary data.</w:t>
            </w:r>
          </w:p>
        </w:tc>
      </w:tr>
      <w:tr w:rsidR="00024C0A" w:rsidTr="00024C0A">
        <w:tc>
          <w:tcPr>
            <w:tcW w:w="0" w:type="auto"/>
            <w:vAlign w:val="center"/>
          </w:tcPr>
          <w:p w:rsidR="00024C0A" w:rsidRDefault="00694C0F">
            <w:pPr>
              <w:pStyle w:val="TableBodyText"/>
            </w:pPr>
            <w:r>
              <w:rPr>
                <w:b/>
              </w:rPr>
              <w:t>persistStreamInit</w:t>
            </w:r>
            <w:r>
              <w:t xml:space="preserve"> (Control uses IPersistStreamInit)</w:t>
            </w:r>
          </w:p>
        </w:tc>
        <w:tc>
          <w:tcPr>
            <w:tcW w:w="0" w:type="auto"/>
            <w:vAlign w:val="center"/>
          </w:tcPr>
          <w:p w:rsidR="00024C0A" w:rsidRDefault="00694C0F">
            <w:pPr>
              <w:pStyle w:val="TableBodyText"/>
            </w:pPr>
            <w:r>
              <w:t>Specifies that the data is stored using the IPersistStreamInit interface.</w:t>
            </w:r>
          </w:p>
          <w:p w:rsidR="00024C0A" w:rsidRDefault="00024C0A">
            <w:pPr>
              <w:pStyle w:val="TableBodyText"/>
            </w:pPr>
          </w:p>
          <w:p w:rsidR="00024C0A" w:rsidRDefault="00694C0F">
            <w:pPr>
              <w:pStyle w:val="TableBodyText"/>
            </w:pPr>
            <w:r>
              <w:t xml:space="preserve">If this value is used, then the parent element's </w:t>
            </w:r>
            <w:r>
              <w:rPr>
                <w:b/>
              </w:rPr>
              <w:t>id</w:t>
            </w:r>
            <w:r>
              <w:t xml:space="preserve"> attrib</w:t>
            </w:r>
            <w:r>
              <w:t>ute shall reference a relationship storing the necessary binary data.</w:t>
            </w:r>
          </w:p>
        </w:tc>
      </w:tr>
    </w:tbl>
    <w:p w:rsidR="00024C0A" w:rsidRDefault="00024C0A"/>
    <w:p w:rsidR="00024C0A" w:rsidRDefault="00024C0A"/>
    <w:tbl>
      <w:tblPr>
        <w:tblStyle w:val="Table-ShadedHeader"/>
        <w:tblW w:w="0" w:type="auto"/>
        <w:tblLook w:val="04A0" w:firstRow="1" w:lastRow="0" w:firstColumn="1" w:lastColumn="0" w:noHBand="0" w:noVBand="1"/>
      </w:tblPr>
      <w:tblGrid>
        <w:gridCol w:w="600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Referenced By</w:t>
            </w:r>
          </w:p>
        </w:tc>
      </w:tr>
      <w:tr w:rsidR="00024C0A" w:rsidTr="00024C0A">
        <w:tc>
          <w:tcPr>
            <w:tcW w:w="0" w:type="auto"/>
            <w:vAlign w:val="center"/>
          </w:tcPr>
          <w:p w:rsidR="00024C0A" w:rsidRDefault="00694C0F">
            <w:pPr>
              <w:pStyle w:val="TableBodyText"/>
            </w:pPr>
            <w:r>
              <w:rPr>
                <w:b/>
              </w:rPr>
              <w:t>font@persistence</w:t>
            </w:r>
            <w:r>
              <w:t xml:space="preserve"> (§</w:t>
            </w:r>
            <w:hyperlink w:anchor="Section_22725205d8b548e98079c6cf815e6213">
              <w:r>
                <w:rPr>
                  <w:rStyle w:val="Hyperlink"/>
                </w:rPr>
                <w:t>3.6.1.1, font</w:t>
              </w:r>
            </w:hyperlink>
            <w:r>
              <w:t xml:space="preserve">); </w:t>
            </w:r>
            <w:r>
              <w:rPr>
                <w:b/>
              </w:rPr>
              <w:t>ocx@persistence</w:t>
            </w:r>
            <w:r>
              <w:t xml:space="preserve"> (§</w:t>
            </w:r>
            <w:hyperlink w:anchor="Section_48c990726cf74e6984b13bea64f0ee3a">
              <w:r>
                <w:rPr>
                  <w:rStyle w:val="Hyperlink"/>
                </w:rPr>
                <w:t>3.6.1.2, ocx</w:t>
              </w:r>
            </w:hyperlink>
            <w:r>
              <w:t>)</w:t>
            </w:r>
          </w:p>
        </w:tc>
      </w:tr>
    </w:tbl>
    <w:p w:rsidR="00024C0A" w:rsidRDefault="00024C0A"/>
    <w:p w:rsidR="00024C0A" w:rsidRDefault="00694C0F">
      <w:r>
        <w:t>The following XML Schema fragment defines the contents of this simple type:</w:t>
      </w:r>
    </w:p>
    <w:p w:rsidR="00024C0A" w:rsidRDefault="00694C0F">
      <w:pPr>
        <w:pStyle w:val="Code"/>
      </w:pPr>
      <w:r>
        <w:t>&lt;simpleType name="ST_Persistence"&gt;</w:t>
      </w:r>
    </w:p>
    <w:p w:rsidR="00024C0A" w:rsidRDefault="00694C0F">
      <w:pPr>
        <w:pStyle w:val="Code"/>
      </w:pPr>
      <w:r>
        <w:t xml:space="preserve">  &lt;restriction base="ST_String"&gt;</w:t>
      </w:r>
    </w:p>
    <w:p w:rsidR="00024C0A" w:rsidRDefault="00694C0F">
      <w:pPr>
        <w:pStyle w:val="Code"/>
      </w:pPr>
      <w:r>
        <w:t xml:space="preserve">    &lt;enumeration value="persistProp</w:t>
      </w:r>
      <w:r>
        <w:t>ertyBag"/&gt;</w:t>
      </w:r>
    </w:p>
    <w:p w:rsidR="00024C0A" w:rsidRDefault="00694C0F">
      <w:pPr>
        <w:pStyle w:val="Code"/>
      </w:pPr>
      <w:r>
        <w:t xml:space="preserve">    &lt;enumeration value="persistStream"/&gt;</w:t>
      </w:r>
    </w:p>
    <w:p w:rsidR="00024C0A" w:rsidRDefault="00694C0F">
      <w:pPr>
        <w:pStyle w:val="Code"/>
      </w:pPr>
      <w:r>
        <w:t xml:space="preserve">    &lt;enumeration value="persistStreamInit"/&gt;</w:t>
      </w:r>
    </w:p>
    <w:p w:rsidR="00024C0A" w:rsidRDefault="00694C0F">
      <w:pPr>
        <w:pStyle w:val="Code"/>
      </w:pPr>
      <w:r>
        <w:t xml:space="preserve">    &lt;enumeration value="persistStorage"/&gt;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4"/>
      </w:pPr>
      <w:bookmarkStart w:id="4143" w:name="section_41d18506311343d991c44b4bb652115c"/>
      <w:bookmarkStart w:id="4144" w:name="_Toc12262132"/>
      <w:r>
        <w:t>ST_String (String Type)</w:t>
      </w:r>
      <w:bookmarkEnd w:id="4143"/>
      <w:bookmarkEnd w:id="4144"/>
      <w:r>
        <w:fldChar w:fldCharType="begin"/>
      </w:r>
      <w:r>
        <w:instrText xml:space="preserve"> XE "ST_String (String Type)" </w:instrText>
      </w:r>
      <w:r>
        <w:fldChar w:fldCharType="end"/>
      </w:r>
    </w:p>
    <w:p w:rsidR="00024C0A" w:rsidRDefault="00694C0F">
      <w:r>
        <w:t xml:space="preserve">This simple type specifies </w:t>
      </w:r>
      <w:r>
        <w:t>that its contents will contain a string. The contents of this string are interpreted based on the context of the parent XML element.</w:t>
      </w:r>
    </w:p>
    <w:p w:rsidR="00024C0A" w:rsidRDefault="00694C0F">
      <w:r>
        <w:t>[Example: Consider the following WordprocessingML fragment:</w:t>
      </w:r>
    </w:p>
    <w:p w:rsidR="00024C0A" w:rsidRDefault="00694C0F">
      <w:pPr>
        <w:pStyle w:val="Code"/>
      </w:pPr>
      <w:r>
        <w:lastRenderedPageBreak/>
        <w:t>&lt;w:pPr&gt;</w:t>
      </w:r>
    </w:p>
    <w:p w:rsidR="00024C0A" w:rsidRDefault="00694C0F">
      <w:pPr>
        <w:pStyle w:val="Code"/>
      </w:pPr>
      <w:r>
        <w:t xml:space="preserve">  &lt;w:pStyle w:val="heading1" /&gt; </w:t>
      </w:r>
    </w:p>
    <w:p w:rsidR="00024C0A" w:rsidRDefault="00694C0F">
      <w:pPr>
        <w:pStyle w:val="Code"/>
      </w:pPr>
      <w:r>
        <w:t>&lt;/w:pPr&gt;</w:t>
      </w:r>
    </w:p>
    <w:p w:rsidR="00024C0A" w:rsidRDefault="00694C0F">
      <w:r>
        <w:t xml:space="preserve">The value of </w:t>
      </w:r>
      <w:r>
        <w:t xml:space="preserve">the </w:t>
      </w:r>
      <w:r>
        <w:rPr>
          <w:b/>
        </w:rPr>
        <w:t>val</w:t>
      </w:r>
      <w:r>
        <w:t xml:space="preserve"> attribute is the ID of the associated paragraph style's </w:t>
      </w:r>
      <w:r>
        <w:rPr>
          <w:b/>
        </w:rPr>
        <w:t>styleId</w:t>
      </w:r>
      <w:r>
        <w:t>. However, consider the following fragment:</w:t>
      </w:r>
    </w:p>
    <w:p w:rsidR="00024C0A" w:rsidRDefault="00694C0F">
      <w:pPr>
        <w:pStyle w:val="Code"/>
      </w:pPr>
      <w:r>
        <w:t>&lt;w:sdtPr&gt;</w:t>
      </w:r>
    </w:p>
    <w:p w:rsidR="00024C0A" w:rsidRDefault="00694C0F">
      <w:pPr>
        <w:pStyle w:val="Code"/>
      </w:pPr>
      <w:r>
        <w:t xml:space="preserve">  &lt;w:alias w:val="SDT Title Example" /&gt;</w:t>
      </w:r>
    </w:p>
    <w:p w:rsidR="00024C0A" w:rsidRDefault="00694C0F">
      <w:pPr>
        <w:pStyle w:val="Code"/>
      </w:pPr>
      <w:r>
        <w:t xml:space="preserve">  ...</w:t>
      </w:r>
    </w:p>
    <w:p w:rsidR="00024C0A" w:rsidRDefault="00694C0F">
      <w:pPr>
        <w:pStyle w:val="Code"/>
      </w:pPr>
      <w:r>
        <w:t>&lt;/w:sdtPr&gt;</w:t>
      </w:r>
    </w:p>
    <w:p w:rsidR="00024C0A" w:rsidRDefault="00694C0F">
      <w:r>
        <w:t xml:space="preserve">In this case, the decimal number in the </w:t>
      </w:r>
      <w:r>
        <w:rPr>
          <w:b/>
        </w:rPr>
        <w:t>val</w:t>
      </w:r>
      <w:r>
        <w:t xml:space="preserve"> attribute is the caption of th</w:t>
      </w:r>
      <w:r>
        <w:t xml:space="preserve">e parent-structured document tag. In each case, the value is of type </w:t>
      </w:r>
      <w:r>
        <w:rPr>
          <w:b/>
        </w:rPr>
        <w:t>ST_String</w:t>
      </w:r>
      <w:r>
        <w:t>, and therefore must be interpreted in the context of the parent element. end example]</w:t>
      </w:r>
    </w:p>
    <w:p w:rsidR="00024C0A" w:rsidRDefault="00694C0F">
      <w:r>
        <w:t>This simple type's contents are a restriction of the XML Schema string datatype.</w:t>
      </w:r>
    </w:p>
    <w:tbl>
      <w:tblPr>
        <w:tblStyle w:val="Table-ShadedHeader"/>
        <w:tblW w:w="0" w:type="auto"/>
        <w:tblLook w:val="04A0" w:firstRow="1" w:lastRow="0" w:firstColumn="1" w:lastColumn="0" w:noHBand="0" w:noVBand="1"/>
      </w:tblPr>
      <w:tblGrid>
        <w:gridCol w:w="9475"/>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Referenced</w:t>
            </w:r>
            <w:r>
              <w:t xml:space="preserve"> By</w:t>
            </w:r>
          </w:p>
        </w:tc>
      </w:tr>
      <w:tr w:rsidR="00024C0A" w:rsidTr="00024C0A">
        <w:tc>
          <w:tcPr>
            <w:tcW w:w="0" w:type="auto"/>
            <w:vAlign w:val="center"/>
          </w:tcPr>
          <w:p w:rsidR="00024C0A" w:rsidRDefault="00694C0F">
            <w:pPr>
              <w:pStyle w:val="TableBodyText"/>
            </w:pPr>
            <w:r>
              <w:rPr>
                <w:b/>
              </w:rPr>
              <w:t>ocx@classid</w:t>
            </w:r>
            <w:r>
              <w:t xml:space="preserve"> (§</w:t>
            </w:r>
            <w:hyperlink w:anchor="Section_48c990726cf74e6984b13bea64f0ee3a">
              <w:r>
                <w:rPr>
                  <w:rStyle w:val="Hyperlink"/>
                </w:rPr>
                <w:t>3.6.1.2, ocx</w:t>
              </w:r>
            </w:hyperlink>
            <w:r>
              <w:t xml:space="preserve">); </w:t>
            </w:r>
            <w:r>
              <w:rPr>
                <w:b/>
              </w:rPr>
              <w:t>ocx@license</w:t>
            </w:r>
            <w:r>
              <w:t xml:space="preserve"> (§3.6.1.2, ocx); </w:t>
            </w:r>
            <w:r>
              <w:rPr>
                <w:b/>
              </w:rPr>
              <w:t>ocxPr@name</w:t>
            </w:r>
            <w:r>
              <w:t xml:space="preserve"> (§</w:t>
            </w:r>
            <w:hyperlink w:anchor="Section_8d4ab600549c4dc7922c46ece32123ed">
              <w:r>
                <w:rPr>
                  <w:rStyle w:val="Hyperlink"/>
                </w:rPr>
                <w:t>3.6.1.3, ocxPr</w:t>
              </w:r>
            </w:hyperlink>
            <w:r>
              <w:t xml:space="preserve">); </w:t>
            </w:r>
            <w:r>
              <w:rPr>
                <w:b/>
              </w:rPr>
              <w:t>ocxPr@value</w:t>
            </w:r>
            <w:r>
              <w:t xml:space="preserve"> (§3.6.1.3, ocxPr); </w:t>
            </w:r>
            <w:r>
              <w:rPr>
                <w:b/>
              </w:rPr>
              <w:t>ST_Per</w:t>
            </w:r>
            <w:r>
              <w:rPr>
                <w:b/>
              </w:rPr>
              <w:t>sistence</w:t>
            </w:r>
            <w:r>
              <w:t xml:space="preserve"> (§</w:t>
            </w:r>
            <w:hyperlink w:anchor="Section_6b964c2deff640fcbecc6116a4ad1458">
              <w:r>
                <w:rPr>
                  <w:rStyle w:val="Hyperlink"/>
                </w:rPr>
                <w:t>3.6.2.1, ST_Persistence</w:t>
              </w:r>
            </w:hyperlink>
            <w:r>
              <w:t>)</w:t>
            </w:r>
          </w:p>
        </w:tc>
      </w:tr>
    </w:tbl>
    <w:p w:rsidR="00024C0A" w:rsidRDefault="00024C0A"/>
    <w:p w:rsidR="00024C0A" w:rsidRDefault="00694C0F">
      <w:r>
        <w:t>The following XML Schema fragment defines the contents of this simple type:</w:t>
      </w:r>
    </w:p>
    <w:p w:rsidR="00024C0A" w:rsidRDefault="00694C0F">
      <w:pPr>
        <w:pStyle w:val="Code"/>
      </w:pPr>
      <w:r>
        <w:t>&lt;simpleType name="ST_String"&gt;</w:t>
      </w:r>
    </w:p>
    <w:p w:rsidR="00024C0A" w:rsidRDefault="00694C0F">
      <w:pPr>
        <w:pStyle w:val="Code"/>
      </w:pPr>
      <w:r>
        <w:t xml:space="preserve">  &lt;restriction base="xsd:string"/&gt;</w:t>
      </w:r>
    </w:p>
    <w:p w:rsidR="00024C0A" w:rsidRDefault="00694C0F">
      <w:pPr>
        <w:pStyle w:val="Code"/>
      </w:pPr>
      <w:r>
        <w:t>&lt;/simpleType&gt;</w:t>
      </w:r>
    </w:p>
    <w:p w:rsidR="00024C0A" w:rsidRDefault="00694C0F">
      <w:pPr>
        <w:pStyle w:val="Heading2"/>
      </w:pPr>
      <w:bookmarkStart w:id="4145" w:name="section_e8dafc63570a444fa0aedd1af1966d76"/>
      <w:bookmarkStart w:id="4146" w:name="_Toc12262133"/>
      <w:r>
        <w:t>Office Digital Signature</w:t>
      </w:r>
      <w:bookmarkEnd w:id="4145"/>
      <w:bookmarkEnd w:id="4146"/>
      <w:r>
        <w:fldChar w:fldCharType="begin"/>
      </w:r>
      <w:r>
        <w:instrText xml:space="preserve"> XE "Office Digital Signature (Additional Information)" </w:instrText>
      </w:r>
      <w:r>
        <w:fldChar w:fldCharType="end"/>
      </w:r>
    </w:p>
    <w:p w:rsidR="00024C0A" w:rsidRDefault="00694C0F">
      <w:r>
        <w:t>The Office Digital Signature is a digital signature used by Office to certify the content of a document and to verify the authenticity of its creator or sender.</w:t>
      </w:r>
    </w:p>
    <w:p w:rsidR="00024C0A" w:rsidRDefault="00694C0F">
      <w:pPr>
        <w:pStyle w:val="Heading3"/>
      </w:pPr>
      <w:bookmarkStart w:id="4147" w:name="section_9b1199772ec9455a98aecb60f7bb0ed8"/>
      <w:bookmarkStart w:id="4148" w:name="_Toc12262134"/>
      <w:r>
        <w:t>Elements</w:t>
      </w:r>
      <w:bookmarkEnd w:id="4147"/>
      <w:bookmarkEnd w:id="4148"/>
      <w:r>
        <w:fldChar w:fldCharType="begin"/>
      </w:r>
      <w:r>
        <w:instrText xml:space="preserve"> XE </w:instrText>
      </w:r>
      <w:r>
        <w:instrText xml:space="preserve">"Elements" </w:instrText>
      </w:r>
      <w:r>
        <w:fldChar w:fldCharType="end"/>
      </w:r>
    </w:p>
    <w:p w:rsidR="00024C0A" w:rsidRDefault="00694C0F">
      <w:r>
        <w:t xml:space="preserve">Office reserves the </w:t>
      </w:r>
      <w:r>
        <w:rPr>
          <w:b/>
        </w:rPr>
        <w:t>Object</w:t>
      </w:r>
      <w:r>
        <w:t xml:space="preserve"> </w:t>
      </w:r>
      <w:r>
        <w:rPr>
          <w:b/>
        </w:rPr>
        <w:t>Id</w:t>
      </w:r>
      <w:r>
        <w:t xml:space="preserve"> of </w:t>
      </w:r>
      <w:r>
        <w:rPr>
          <w:i/>
        </w:rPr>
        <w:t>idOfficeObject</w:t>
      </w:r>
      <w:r>
        <w:t xml:space="preserve"> for its digital signature.  The child of the </w:t>
      </w:r>
      <w:r>
        <w:rPr>
          <w:b/>
        </w:rPr>
        <w:t>SignatureProperty</w:t>
      </w:r>
      <w:r>
        <w:t xml:space="preserve"> in this object shall be a </w:t>
      </w:r>
      <w:r>
        <w:rPr>
          <w:b/>
        </w:rPr>
        <w:t>SignatureInfoV1</w:t>
      </w:r>
      <w:r>
        <w:t xml:space="preserve"> element.</w:t>
      </w:r>
    </w:p>
    <w:p w:rsidR="00024C0A" w:rsidRDefault="00694C0F">
      <w:pPr>
        <w:pStyle w:val="Heading4"/>
      </w:pPr>
      <w:bookmarkStart w:id="4149" w:name="section_38917d35404040a79ad61d6b07d983f4"/>
      <w:bookmarkStart w:id="4150" w:name="_Toc12262135"/>
      <w:r>
        <w:t>ApplicationVersion (Application Version)</w:t>
      </w:r>
      <w:bookmarkEnd w:id="4149"/>
      <w:bookmarkEnd w:id="4150"/>
      <w:r>
        <w:fldChar w:fldCharType="begin"/>
      </w:r>
      <w:r>
        <w:instrText xml:space="preserve"> XE "ApplicationVersion (Application Ver</w:instrText>
      </w:r>
      <w:r>
        <w:instrText xml:space="preserve">sion)" </w:instrText>
      </w:r>
      <w:r>
        <w:fldChar w:fldCharType="end"/>
      </w:r>
    </w:p>
    <w:p w:rsidR="00024C0A" w:rsidRDefault="00694C0F">
      <w:r>
        <w:t>Specifies the version of the application which created the digital signature.</w:t>
      </w:r>
    </w:p>
    <w:p w:rsidR="00024C0A" w:rsidRDefault="00694C0F">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w:t>
            </w:r>
            <w:r>
              <w:t>rent Elements</w:t>
            </w:r>
          </w:p>
        </w:tc>
      </w:tr>
      <w:tr w:rsidR="00024C0A" w:rsidTr="00024C0A">
        <w:tc>
          <w:tcPr>
            <w:tcW w:w="0" w:type="auto"/>
            <w:vAlign w:val="center"/>
          </w:tcPr>
          <w:p w:rsidR="00024C0A" w:rsidRDefault="00694C0F">
            <w:pPr>
              <w:pStyle w:val="TableBodyText"/>
            </w:pPr>
            <w:r>
              <w:rPr>
                <w:b/>
              </w:rPr>
              <w:t>SignatureInfoV1</w:t>
            </w:r>
            <w:r>
              <w:t xml:space="preserve"> (§</w:t>
            </w:r>
            <w:hyperlink w:anchor="Section_e1d590674b8849f19da10255d76b4ffa">
              <w:r>
                <w:rPr>
                  <w:rStyle w:val="Hyperlink"/>
                </w:rPr>
                <w:t>3.7.1.13, SignatureInfoV1</w:t>
              </w:r>
            </w:hyperlink>
            <w:r>
              <w:t>)</w:t>
            </w:r>
          </w:p>
        </w:tc>
      </w:tr>
    </w:tbl>
    <w:p w:rsidR="00024C0A" w:rsidRDefault="00024C0A"/>
    <w:p w:rsidR="00024C0A" w:rsidRDefault="00694C0F">
      <w:r>
        <w:t>The following XML Schema fragment defines the contents of this element:</w:t>
      </w:r>
    </w:p>
    <w:p w:rsidR="00024C0A" w:rsidRDefault="00694C0F">
      <w:pPr>
        <w:pStyle w:val="Code"/>
      </w:pPr>
      <w:r>
        <w:lastRenderedPageBreak/>
        <w:t>&lt;simpleType name="ST_Version"&gt;</w:t>
      </w:r>
    </w:p>
    <w:p w:rsidR="00024C0A" w:rsidRDefault="00694C0F">
      <w:pPr>
        <w:pStyle w:val="Code"/>
      </w:pPr>
      <w:r>
        <w:t xml:space="preserve">  &lt;</w:t>
      </w:r>
      <w:r>
        <w:t>restriction base="xsd:string"&gt;</w:t>
      </w:r>
    </w:p>
    <w:p w:rsidR="00024C0A" w:rsidRDefault="00694C0F">
      <w:pPr>
        <w:pStyle w:val="Code"/>
      </w:pPr>
      <w:r>
        <w:t xml:space="preserve">    &lt;maxLength value="64"/&gt;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4"/>
      </w:pPr>
      <w:bookmarkStart w:id="4151" w:name="section_6011f8a6fcf4490385398e0bae26b7e7"/>
      <w:bookmarkStart w:id="4152" w:name="_Toc12262136"/>
      <w:r>
        <w:t>ColorDepth (Color Depth)</w:t>
      </w:r>
      <w:bookmarkEnd w:id="4151"/>
      <w:bookmarkEnd w:id="4152"/>
      <w:r>
        <w:fldChar w:fldCharType="begin"/>
      </w:r>
      <w:r>
        <w:instrText xml:space="preserve"> XE "ColorDepth (Color Depth)" </w:instrText>
      </w:r>
      <w:r>
        <w:fldChar w:fldCharType="end"/>
      </w:r>
    </w:p>
    <w:p w:rsidR="00024C0A" w:rsidRDefault="00694C0F">
      <w:r>
        <w:t>Specifies the color depth of the primary monitor of the machine on which the digital signature was created.</w:t>
      </w:r>
    </w:p>
    <w:p w:rsidR="00024C0A" w:rsidRDefault="00694C0F">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SignatureInfoV1</w:t>
            </w:r>
            <w:r>
              <w:t xml:space="preserve"> (§</w:t>
            </w:r>
            <w:hyperlink w:anchor="Section_e1d590674b8849f19da10255d76b4ffa">
              <w:r>
                <w:rPr>
                  <w:rStyle w:val="Hyperlink"/>
                </w:rPr>
                <w:t>3.7.1.13, SignatureInfoV1</w:t>
              </w:r>
            </w:hyperlink>
            <w:r>
              <w:t>)</w:t>
            </w:r>
          </w:p>
        </w:tc>
      </w:tr>
    </w:tbl>
    <w:p w:rsidR="00024C0A" w:rsidRDefault="00024C0A"/>
    <w:p w:rsidR="00024C0A" w:rsidRDefault="00694C0F">
      <w:r>
        <w:t>The following XML Schema fragment defines the contents of this element:</w:t>
      </w:r>
    </w:p>
    <w:p w:rsidR="00024C0A" w:rsidRDefault="00694C0F">
      <w:pPr>
        <w:pStyle w:val="Code"/>
      </w:pPr>
      <w:r>
        <w:t>&lt;simpleType name="ST_PositiveInteger"&gt;</w:t>
      </w:r>
    </w:p>
    <w:p w:rsidR="00024C0A" w:rsidRDefault="00694C0F">
      <w:pPr>
        <w:pStyle w:val="Code"/>
      </w:pPr>
      <w:r>
        <w:t xml:space="preserve">  &lt;restriction base="xsd:int"&gt;</w:t>
      </w:r>
    </w:p>
    <w:p w:rsidR="00024C0A" w:rsidRDefault="00694C0F">
      <w:pPr>
        <w:pStyle w:val="Code"/>
      </w:pPr>
      <w:r>
        <w:t xml:space="preserve">    &lt;minExclusive value="0"/&gt;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4"/>
      </w:pPr>
      <w:bookmarkStart w:id="4153" w:name="section_d88dc6d4480149dd842c429174b8837e"/>
      <w:bookmarkStart w:id="4154" w:name="_Toc12262137"/>
      <w:r>
        <w:t>DelegateSuggestedSigner (Delegate Suggested Signer)</w:t>
      </w:r>
      <w:bookmarkEnd w:id="4153"/>
      <w:bookmarkEnd w:id="4154"/>
      <w:r>
        <w:fldChar w:fldCharType="begin"/>
      </w:r>
      <w:r>
        <w:instrText xml:space="preserve"> XE "DelegateSuggestedSigner (Delegate Suggested Signer)" </w:instrText>
      </w:r>
      <w:r>
        <w:fldChar w:fldCharType="end"/>
      </w:r>
    </w:p>
    <w:p w:rsidR="00024C0A" w:rsidRDefault="00694C0F">
      <w:r>
        <w:t>Specifies the name of a person to whom the signature has been delegated.</w:t>
      </w:r>
    </w:p>
    <w:tbl>
      <w:tblPr>
        <w:tblStyle w:val="Table-ShadedHeader"/>
        <w:tblW w:w="0" w:type="auto"/>
        <w:tblLook w:val="04A0" w:firstRow="1" w:lastRow="0" w:firstColumn="1" w:lastColumn="0" w:noHBand="0" w:noVBand="1"/>
      </w:tblPr>
      <w:tblGrid>
        <w:gridCol w:w="413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SignatureInfoV1</w:t>
            </w:r>
            <w:r>
              <w:t xml:space="preserve"> (§</w:t>
            </w:r>
            <w:hyperlink w:anchor="Section_e1d590674b8849f19da10255d76b4ffa">
              <w:r>
                <w:rPr>
                  <w:rStyle w:val="Hyperlink"/>
                </w:rPr>
                <w:t>3.7.1.13, SignatureInfoV1</w:t>
              </w:r>
            </w:hyperlink>
            <w:r>
              <w:t>)</w:t>
            </w:r>
          </w:p>
        </w:tc>
      </w:tr>
    </w:tbl>
    <w:p w:rsidR="00024C0A" w:rsidRDefault="00024C0A"/>
    <w:p w:rsidR="00024C0A" w:rsidRDefault="00694C0F">
      <w:pPr>
        <w:pStyle w:val="Heading4"/>
      </w:pPr>
      <w:bookmarkStart w:id="4155" w:name="section_841efc82d17b435cbc74a986769fdf50"/>
      <w:bookmarkStart w:id="4156" w:name="_Toc12262138"/>
      <w:r>
        <w:t>DelegateSuggestedSigner2 (Delegate Suggested Signer)</w:t>
      </w:r>
      <w:bookmarkEnd w:id="4155"/>
      <w:bookmarkEnd w:id="4156"/>
      <w:r>
        <w:fldChar w:fldCharType="begin"/>
      </w:r>
      <w:r>
        <w:instrText xml:space="preserve"> XE "DelegateSuggestedSigner2 (Delegate Suggested Signer)" </w:instrText>
      </w:r>
      <w:r>
        <w:fldChar w:fldCharType="end"/>
      </w:r>
    </w:p>
    <w:p w:rsidR="00024C0A" w:rsidRDefault="00694C0F">
      <w:r>
        <w:t>Specifies the title of a person to whom the signatur</w:t>
      </w:r>
      <w:r>
        <w:t>e has been delegated.</w:t>
      </w:r>
    </w:p>
    <w:tbl>
      <w:tblPr>
        <w:tblStyle w:val="Table-ShadedHeader"/>
        <w:tblW w:w="0" w:type="auto"/>
        <w:tblLook w:val="04A0" w:firstRow="1" w:lastRow="0" w:firstColumn="1" w:lastColumn="0" w:noHBand="0" w:noVBand="1"/>
      </w:tblPr>
      <w:tblGrid>
        <w:gridCol w:w="413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SignatureInfoV1</w:t>
            </w:r>
            <w:r>
              <w:t xml:space="preserve"> (§</w:t>
            </w:r>
            <w:hyperlink w:anchor="Section_e1d590674b8849f19da10255d76b4ffa">
              <w:r>
                <w:rPr>
                  <w:rStyle w:val="Hyperlink"/>
                </w:rPr>
                <w:t>3.7.1.13, SignatureInfoV1</w:t>
              </w:r>
            </w:hyperlink>
            <w:r>
              <w:t>)</w:t>
            </w:r>
          </w:p>
        </w:tc>
      </w:tr>
    </w:tbl>
    <w:p w:rsidR="00024C0A" w:rsidRDefault="00024C0A"/>
    <w:p w:rsidR="00024C0A" w:rsidRDefault="00694C0F">
      <w:pPr>
        <w:pStyle w:val="Heading4"/>
      </w:pPr>
      <w:bookmarkStart w:id="4157" w:name="section_3615f32e2a2f49c7853b03b56fc48212"/>
      <w:bookmarkStart w:id="4158" w:name="_Toc12262139"/>
      <w:r>
        <w:t>DelegateSuggestedSignerEmail (Delegate Suggested Signer E-mail Address)</w:t>
      </w:r>
      <w:bookmarkEnd w:id="4157"/>
      <w:bookmarkEnd w:id="4158"/>
      <w:r>
        <w:fldChar w:fldCharType="begin"/>
      </w:r>
      <w:r>
        <w:instrText xml:space="preserve"> XE "DelegateSuggestedSignerEmail (D</w:instrText>
      </w:r>
      <w:r>
        <w:instrText xml:space="preserve">elegate Suggested Signer E-mail Address)" </w:instrText>
      </w:r>
      <w:r>
        <w:fldChar w:fldCharType="end"/>
      </w:r>
    </w:p>
    <w:p w:rsidR="00024C0A" w:rsidRDefault="00694C0F">
      <w:r>
        <w:t>Specifies the e-mail address of a person to whom the signature has been delegated.</w:t>
      </w:r>
    </w:p>
    <w:tbl>
      <w:tblPr>
        <w:tblStyle w:val="Table-ShadedHeader"/>
        <w:tblW w:w="0" w:type="auto"/>
        <w:tblLook w:val="04A0" w:firstRow="1" w:lastRow="0" w:firstColumn="1" w:lastColumn="0" w:noHBand="0" w:noVBand="1"/>
      </w:tblPr>
      <w:tblGrid>
        <w:gridCol w:w="413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SignatureInfoV1</w:t>
            </w:r>
            <w:r>
              <w:t xml:space="preserve"> (§</w:t>
            </w:r>
            <w:hyperlink w:anchor="Section_e1d590674b8849f19da10255d76b4ffa">
              <w:r>
                <w:rPr>
                  <w:rStyle w:val="Hyperlink"/>
                </w:rPr>
                <w:t>3.7.1.13, SignatureInfoV1</w:t>
              </w:r>
            </w:hyperlink>
            <w:r>
              <w:t>)</w:t>
            </w:r>
          </w:p>
        </w:tc>
      </w:tr>
    </w:tbl>
    <w:p w:rsidR="00024C0A" w:rsidRDefault="00024C0A"/>
    <w:p w:rsidR="00024C0A" w:rsidRDefault="00694C0F">
      <w:pPr>
        <w:pStyle w:val="Heading4"/>
      </w:pPr>
      <w:bookmarkStart w:id="4159" w:name="section_ee1023c3257842ec982b0963e5328487"/>
      <w:bookmarkStart w:id="4160" w:name="_Toc12262140"/>
      <w:r>
        <w:t>HorizontalResolution (Horizontal Resolution)</w:t>
      </w:r>
      <w:bookmarkEnd w:id="4159"/>
      <w:bookmarkEnd w:id="4160"/>
      <w:r>
        <w:fldChar w:fldCharType="begin"/>
      </w:r>
      <w:r>
        <w:instrText xml:space="preserve"> XE "HorizontalResolution (Horizontal Resolution)" </w:instrText>
      </w:r>
      <w:r>
        <w:fldChar w:fldCharType="end"/>
      </w:r>
    </w:p>
    <w:p w:rsidR="00024C0A" w:rsidRDefault="00694C0F">
      <w:r>
        <w:t xml:space="preserve">Specifies the horizontal resolution of the primary monitor of the machine on which the digital signature was created. </w:t>
      </w:r>
    </w:p>
    <w:p w:rsidR="00024C0A" w:rsidRDefault="00694C0F">
      <w:r>
        <w:t>The possible values for this element ar</w:t>
      </w:r>
      <w:r>
        <w:t>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SignatureInfoV1</w:t>
            </w:r>
            <w:r>
              <w:t xml:space="preserve"> (§</w:t>
            </w:r>
            <w:hyperlink w:anchor="Section_e1d590674b8849f19da10255d76b4ffa">
              <w:r>
                <w:rPr>
                  <w:rStyle w:val="Hyperlink"/>
                </w:rPr>
                <w:t>3.7.1.13, Signa</w:t>
              </w:r>
              <w:r>
                <w:rPr>
                  <w:rStyle w:val="Hyperlink"/>
                </w:rPr>
                <w:t>tureInfoV1</w:t>
              </w:r>
            </w:hyperlink>
            <w:r>
              <w:t>)</w:t>
            </w:r>
          </w:p>
        </w:tc>
      </w:tr>
    </w:tbl>
    <w:p w:rsidR="00024C0A" w:rsidRDefault="00024C0A"/>
    <w:p w:rsidR="00024C0A" w:rsidRDefault="00694C0F">
      <w:r>
        <w:t>The following XML Schema fragment defines the contents of this element:</w:t>
      </w:r>
    </w:p>
    <w:p w:rsidR="00024C0A" w:rsidRDefault="00694C0F">
      <w:pPr>
        <w:pStyle w:val="Code"/>
      </w:pPr>
      <w:r>
        <w:t>&lt;simpleType name="ST_PositiveInteger"&gt;</w:t>
      </w:r>
    </w:p>
    <w:p w:rsidR="00024C0A" w:rsidRDefault="00694C0F">
      <w:pPr>
        <w:pStyle w:val="Code"/>
      </w:pPr>
      <w:r>
        <w:t xml:space="preserve">  &lt;restriction base="xsd:int"&gt;</w:t>
      </w:r>
    </w:p>
    <w:p w:rsidR="00024C0A" w:rsidRDefault="00694C0F">
      <w:pPr>
        <w:pStyle w:val="Code"/>
      </w:pPr>
      <w:r>
        <w:t xml:space="preserve">    &lt;minExclusive value="0"/&gt;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4"/>
      </w:pPr>
      <w:bookmarkStart w:id="4161" w:name="section_72a51ea393964453ad0b70388cc87aaf"/>
      <w:bookmarkStart w:id="4162" w:name="_Toc12262141"/>
      <w:r>
        <w:t>ManifestHashAlgorithm (Manifest Hash Algorithm)</w:t>
      </w:r>
      <w:bookmarkEnd w:id="4161"/>
      <w:bookmarkEnd w:id="4162"/>
      <w:r>
        <w:fldChar w:fldCharType="begin"/>
      </w:r>
      <w:r>
        <w:instrText xml:space="preserve"> XE "ManifestHashAlgorithm (Manifest Hash Algorithm)" </w:instrText>
      </w:r>
      <w:r>
        <w:fldChar w:fldCharType="end"/>
      </w:r>
    </w:p>
    <w:p w:rsidR="00024C0A" w:rsidRDefault="00694C0F">
      <w:r>
        <w:t xml:space="preserve">Specifies a URI that identifies the particular hash algorithm for the signature.  If the signature provider is Office, the algorithm shall be </w:t>
      </w:r>
      <w:r>
        <w:rPr>
          <w:i/>
        </w:rPr>
        <w:t>http://www</w:t>
      </w:r>
      <w:r>
        <w:rPr>
          <w:i/>
        </w:rPr>
        <w:t>.w3.org/2000/09/xmldsig#sha1</w:t>
      </w:r>
      <w:r>
        <w:t>.</w:t>
      </w:r>
    </w:p>
    <w:tbl>
      <w:tblPr>
        <w:tblStyle w:val="Table-ShadedHeader"/>
        <w:tblW w:w="0" w:type="auto"/>
        <w:tblLook w:val="04A0" w:firstRow="1" w:lastRow="0" w:firstColumn="1" w:lastColumn="0" w:noHBand="0" w:noVBand="1"/>
      </w:tblPr>
      <w:tblGrid>
        <w:gridCol w:w="413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SignatureInfoV1</w:t>
            </w:r>
            <w:r>
              <w:t xml:space="preserve"> (§</w:t>
            </w:r>
            <w:hyperlink w:anchor="Section_e1d590674b8849f19da10255d76b4ffa">
              <w:r>
                <w:rPr>
                  <w:rStyle w:val="Hyperlink"/>
                </w:rPr>
                <w:t>3.7.1.13, SignatureInfoV1</w:t>
              </w:r>
            </w:hyperlink>
            <w:r>
              <w:t>)</w:t>
            </w:r>
          </w:p>
        </w:tc>
      </w:tr>
    </w:tbl>
    <w:p w:rsidR="00024C0A" w:rsidRDefault="00024C0A"/>
    <w:p w:rsidR="00024C0A" w:rsidRDefault="00694C0F">
      <w:pPr>
        <w:pStyle w:val="Heading4"/>
      </w:pPr>
      <w:bookmarkStart w:id="4163" w:name="section_60d0016ce96e44b9907fad464b6d07c7"/>
      <w:bookmarkStart w:id="4164" w:name="_Toc12262142"/>
      <w:r>
        <w:t>Monitors (Monitor Count)</w:t>
      </w:r>
      <w:bookmarkEnd w:id="4163"/>
      <w:bookmarkEnd w:id="4164"/>
      <w:r>
        <w:fldChar w:fldCharType="begin"/>
      </w:r>
      <w:r>
        <w:instrText xml:space="preserve"> XE "Monitors (Monitor Count)" </w:instrText>
      </w:r>
      <w:r>
        <w:fldChar w:fldCharType="end"/>
      </w:r>
    </w:p>
    <w:p w:rsidR="00024C0A" w:rsidRDefault="00694C0F">
      <w:r>
        <w:t>Specifies the count of monitors on the ma</w:t>
      </w:r>
      <w:r>
        <w:t>chine where the digital signature was created.</w:t>
      </w:r>
    </w:p>
    <w:p w:rsidR="00024C0A" w:rsidRDefault="00694C0F">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SignatureInfoV1</w:t>
            </w:r>
            <w:r>
              <w:t xml:space="preserve"> (§</w:t>
            </w:r>
            <w:hyperlink w:anchor="Section_e1d590674b8849f19da10255d76b4ffa">
              <w:r>
                <w:rPr>
                  <w:rStyle w:val="Hyperlink"/>
                </w:rPr>
                <w:t>3.7.1.13, SignatureInfoV1</w:t>
              </w:r>
            </w:hyperlink>
            <w:r>
              <w:t>)</w:t>
            </w:r>
          </w:p>
        </w:tc>
      </w:tr>
    </w:tbl>
    <w:p w:rsidR="00024C0A" w:rsidRDefault="00024C0A"/>
    <w:p w:rsidR="00024C0A" w:rsidRDefault="00694C0F">
      <w:r>
        <w:t>The following XML Schema fragment defines the contents of this element:</w:t>
      </w:r>
    </w:p>
    <w:p w:rsidR="00024C0A" w:rsidRDefault="00694C0F">
      <w:pPr>
        <w:pStyle w:val="Code"/>
      </w:pPr>
      <w:r>
        <w:t>&lt;simpleType name="ST_PositiveInteger"&gt;</w:t>
      </w:r>
    </w:p>
    <w:p w:rsidR="00024C0A" w:rsidRDefault="00694C0F">
      <w:pPr>
        <w:pStyle w:val="Code"/>
      </w:pPr>
      <w:r>
        <w:t xml:space="preserve">  &lt;restriction base="xsd:int"&gt;</w:t>
      </w:r>
    </w:p>
    <w:p w:rsidR="00024C0A" w:rsidRDefault="00694C0F">
      <w:pPr>
        <w:pStyle w:val="Code"/>
      </w:pPr>
      <w:r>
        <w:t xml:space="preserve">    </w:t>
      </w:r>
      <w:r>
        <w:t>&lt;minExclusive value="0"/&gt;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4"/>
      </w:pPr>
      <w:bookmarkStart w:id="4165" w:name="section_23222e735ee349129a22bfb0fc14d075"/>
      <w:bookmarkStart w:id="4166" w:name="_Toc12262143"/>
      <w:r>
        <w:lastRenderedPageBreak/>
        <w:t>OfficeVersion (Office Version)</w:t>
      </w:r>
      <w:bookmarkEnd w:id="4165"/>
      <w:bookmarkEnd w:id="4166"/>
      <w:r>
        <w:fldChar w:fldCharType="begin"/>
      </w:r>
      <w:r>
        <w:instrText xml:space="preserve"> XE "OfficeVersion (Office Version)" </w:instrText>
      </w:r>
      <w:r>
        <w:fldChar w:fldCharType="end"/>
      </w:r>
    </w:p>
    <w:p w:rsidR="00024C0A" w:rsidRDefault="00694C0F">
      <w:r>
        <w:t>Specifies the version of the application suite which created the digital signature.</w:t>
      </w:r>
    </w:p>
    <w:p w:rsidR="00024C0A" w:rsidRDefault="00694C0F">
      <w:r>
        <w:t>The possible values for this element are defi</w:t>
      </w:r>
      <w:r>
        <w:t>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SignatureInfoV1</w:t>
            </w:r>
            <w:r>
              <w:t xml:space="preserve"> (§</w:t>
            </w:r>
            <w:hyperlink w:anchor="Section_e1d590674b8849f19da10255d76b4ffa">
              <w:r>
                <w:rPr>
                  <w:rStyle w:val="Hyperlink"/>
                </w:rPr>
                <w:t>3.7.1.13, SignatureInfoV1</w:t>
              </w:r>
            </w:hyperlink>
            <w:r>
              <w:t>)</w:t>
            </w:r>
          </w:p>
        </w:tc>
      </w:tr>
    </w:tbl>
    <w:p w:rsidR="00024C0A" w:rsidRDefault="00024C0A"/>
    <w:p w:rsidR="00024C0A" w:rsidRDefault="00694C0F">
      <w:r>
        <w:t>The foll</w:t>
      </w:r>
      <w:r>
        <w:t>owing XML Schema fragment defines the contents of this element:</w:t>
      </w:r>
    </w:p>
    <w:p w:rsidR="00024C0A" w:rsidRDefault="00694C0F">
      <w:pPr>
        <w:pStyle w:val="Code"/>
      </w:pPr>
      <w:r>
        <w:t>&lt;simpleType name="ST_Version"&gt;</w:t>
      </w:r>
    </w:p>
    <w:p w:rsidR="00024C0A" w:rsidRDefault="00694C0F">
      <w:pPr>
        <w:pStyle w:val="Code"/>
      </w:pPr>
      <w:r>
        <w:t xml:space="preserve">  &lt;restriction base="xsd:string"&gt;</w:t>
      </w:r>
    </w:p>
    <w:p w:rsidR="00024C0A" w:rsidRDefault="00694C0F">
      <w:pPr>
        <w:pStyle w:val="Code"/>
      </w:pPr>
      <w:r>
        <w:t xml:space="preserve">    &lt;maxLength value="64"/&gt;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4"/>
      </w:pPr>
      <w:bookmarkStart w:id="4167" w:name="section_0bc6416855b2438bb0db2ffc5bb065de"/>
      <w:bookmarkStart w:id="4168" w:name="_Toc12262144"/>
      <w:r>
        <w:t>SetupID (Setup ID)</w:t>
      </w:r>
      <w:bookmarkEnd w:id="4167"/>
      <w:bookmarkEnd w:id="4168"/>
      <w:r>
        <w:fldChar w:fldCharType="begin"/>
      </w:r>
      <w:r>
        <w:instrText xml:space="preserve"> XE "SetupID (Setup ID)" </w:instrText>
      </w:r>
      <w:r>
        <w:fldChar w:fldCharType="end"/>
      </w:r>
    </w:p>
    <w:p w:rsidR="00024C0A" w:rsidRDefault="00694C0F">
      <w:r>
        <w:t>Specifies a GUID which</w:t>
      </w:r>
      <w:r>
        <w:t xml:space="preserve"> can be cross-referenced with the GUID of the signature line stored in the document content.</w:t>
      </w:r>
    </w:p>
    <w:p w:rsidR="00024C0A" w:rsidRDefault="00694C0F">
      <w:r>
        <w:t>The possible values for this element are defined by the ST_UniqueIdentifierWithBraces simple type (§</w:t>
      </w:r>
      <w:hyperlink w:anchor="Section_6478af0db7b4409889c50d291a9cf0ce">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SignatureInfoV1</w:t>
            </w:r>
            <w:r>
              <w:t xml:space="preserve"> (§</w:t>
            </w:r>
            <w:hyperlink w:anchor="Section_e1d590674b8849f19da10255d76b4ffa">
              <w:r>
                <w:rPr>
                  <w:rStyle w:val="Hyperlink"/>
                </w:rPr>
                <w:t>3.7.1.13, SignatureInfoV1</w:t>
              </w:r>
            </w:hyperlink>
            <w:r>
              <w:t>)</w:t>
            </w:r>
          </w:p>
        </w:tc>
      </w:tr>
    </w:tbl>
    <w:p w:rsidR="00024C0A" w:rsidRDefault="00024C0A"/>
    <w:p w:rsidR="00024C0A" w:rsidRDefault="00694C0F">
      <w:r>
        <w:t>The following XML Schema fragment defines the contents of this element:</w:t>
      </w:r>
    </w:p>
    <w:p w:rsidR="00024C0A" w:rsidRDefault="00694C0F">
      <w:pPr>
        <w:pStyle w:val="Code"/>
      </w:pPr>
      <w:r>
        <w:t>&lt;simpleType name</w:t>
      </w:r>
      <w:r>
        <w:t>="ST_UniqueIdentifierWithBraces"&gt;</w:t>
      </w:r>
    </w:p>
    <w:p w:rsidR="00024C0A" w:rsidRDefault="00694C0F">
      <w:pPr>
        <w:pStyle w:val="Code"/>
      </w:pPr>
      <w:r>
        <w:t xml:space="preserve">  &lt;restriction base="xsd:string"&gt;</w:t>
      </w:r>
    </w:p>
    <w:p w:rsidR="00024C0A" w:rsidRDefault="00694C0F">
      <w:pPr>
        <w:pStyle w:val="Code"/>
      </w:pPr>
      <w:r>
        <w:t xml:space="preserve">    &lt;pattern value="\{[0-9a-fA-F]{8}\-[0-9a-fA-F]{4}\-[0-9a-fA-F]{4}\-[0-9a-fA-F]{4}\-[0-9a-fA-F]{12}\}|"/&gt;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4"/>
      </w:pPr>
      <w:bookmarkStart w:id="4169" w:name="section_ccba739517034b508c1eecb83dfa792b"/>
      <w:bookmarkStart w:id="4170" w:name="_Toc12262145"/>
      <w:r>
        <w:t>SignatureComments (Signature Comments)</w:t>
      </w:r>
      <w:bookmarkEnd w:id="4169"/>
      <w:bookmarkEnd w:id="4170"/>
      <w:r>
        <w:fldChar w:fldCharType="begin"/>
      </w:r>
      <w:r>
        <w:instrText xml:space="preserve"> XE "SignatureComments (Signature Comments)" </w:instrText>
      </w:r>
      <w:r>
        <w:fldChar w:fldCharType="end"/>
      </w:r>
    </w:p>
    <w:p w:rsidR="00024C0A" w:rsidRDefault="00694C0F">
      <w:r>
        <w:t>Specifies comments on the digital signature.</w:t>
      </w:r>
    </w:p>
    <w:p w:rsidR="00024C0A" w:rsidRDefault="00694C0F">
      <w:r>
        <w:t>The possible values for this element are defined by the ST_SignatureComments simple type (§</w:t>
      </w:r>
      <w:hyperlink w:anchor="Section_4e92419771bc4dd7a396a223845eba27">
        <w:r>
          <w:rPr>
            <w:rStyle w:val="Hyperlink"/>
          </w:rPr>
          <w:t xml:space="preserve">3.7.2.2, </w:t>
        </w:r>
        <w:r>
          <w:rPr>
            <w:rStyle w:val="Hyperlink"/>
          </w:rPr>
          <w:t>ST_SignatureComments</w:t>
        </w:r>
      </w:hyperlink>
      <w:r>
        <w:t>).</w:t>
      </w:r>
    </w:p>
    <w:tbl>
      <w:tblPr>
        <w:tblStyle w:val="Table-ShadedHeader"/>
        <w:tblW w:w="0" w:type="auto"/>
        <w:tblLook w:val="04A0" w:firstRow="1" w:lastRow="0" w:firstColumn="1" w:lastColumn="0" w:noHBand="0" w:noVBand="1"/>
      </w:tblPr>
      <w:tblGrid>
        <w:gridCol w:w="413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SignatureInfoV1</w:t>
            </w:r>
            <w:r>
              <w:t xml:space="preserve"> (§</w:t>
            </w:r>
            <w:hyperlink w:anchor="Section_e1d590674b8849f19da10255d76b4ffa">
              <w:r>
                <w:rPr>
                  <w:rStyle w:val="Hyperlink"/>
                </w:rPr>
                <w:t>3.7.1.13, SignatureInfoV1</w:t>
              </w:r>
            </w:hyperlink>
            <w:r>
              <w:t>)</w:t>
            </w:r>
          </w:p>
        </w:tc>
      </w:tr>
    </w:tbl>
    <w:p w:rsidR="00024C0A" w:rsidRDefault="00024C0A"/>
    <w:p w:rsidR="00024C0A" w:rsidRDefault="00694C0F">
      <w:r>
        <w:lastRenderedPageBreak/>
        <w:t>The following XML Schema fragment defines the contents of this element:</w:t>
      </w:r>
    </w:p>
    <w:p w:rsidR="00024C0A" w:rsidRDefault="00694C0F">
      <w:pPr>
        <w:pStyle w:val="Code"/>
      </w:pPr>
      <w:r>
        <w:t xml:space="preserve">&lt;simpleType </w:t>
      </w:r>
      <w:r>
        <w:t>name="ST_SignatureComments"&gt;</w:t>
      </w:r>
    </w:p>
    <w:p w:rsidR="00024C0A" w:rsidRDefault="00694C0F">
      <w:pPr>
        <w:pStyle w:val="Code"/>
      </w:pPr>
      <w:r>
        <w:t xml:space="preserve">  &lt;restriction base="xsd:string"&gt;</w:t>
      </w:r>
    </w:p>
    <w:p w:rsidR="00024C0A" w:rsidRDefault="00694C0F">
      <w:pPr>
        <w:pStyle w:val="Code"/>
      </w:pPr>
      <w:r>
        <w:t xml:space="preserve">    &lt;maxLength value="255"/&gt;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4"/>
      </w:pPr>
      <w:bookmarkStart w:id="4171" w:name="section_0e70da4046be4ddab93009c8e7e5f116"/>
      <w:bookmarkStart w:id="4172" w:name="_Toc12262146"/>
      <w:r>
        <w:t>SignatureImage (Signature Image)</w:t>
      </w:r>
      <w:bookmarkEnd w:id="4171"/>
      <w:bookmarkEnd w:id="4172"/>
      <w:r>
        <w:fldChar w:fldCharType="begin"/>
      </w:r>
      <w:r>
        <w:instrText xml:space="preserve"> XE "SignatureImage (Signature Image)" </w:instrText>
      </w:r>
      <w:r>
        <w:fldChar w:fldCharType="end"/>
      </w:r>
    </w:p>
    <w:p w:rsidR="00024C0A" w:rsidRDefault="00694C0F">
      <w:r>
        <w:t>Specifies an image for the digital signature.</w:t>
      </w:r>
    </w:p>
    <w:tbl>
      <w:tblPr>
        <w:tblStyle w:val="Table-ShadedHeader"/>
        <w:tblW w:w="0" w:type="auto"/>
        <w:tblLook w:val="04A0" w:firstRow="1" w:lastRow="0" w:firstColumn="1" w:lastColumn="0" w:noHBand="0" w:noVBand="1"/>
      </w:tblPr>
      <w:tblGrid>
        <w:gridCol w:w="413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w:t>
            </w:r>
            <w:r>
              <w:t>ts</w:t>
            </w:r>
          </w:p>
        </w:tc>
      </w:tr>
      <w:tr w:rsidR="00024C0A" w:rsidTr="00024C0A">
        <w:tc>
          <w:tcPr>
            <w:tcW w:w="0" w:type="auto"/>
            <w:vAlign w:val="center"/>
          </w:tcPr>
          <w:p w:rsidR="00024C0A" w:rsidRDefault="00694C0F">
            <w:pPr>
              <w:pStyle w:val="TableBodyText"/>
            </w:pPr>
            <w:r>
              <w:rPr>
                <w:b/>
              </w:rPr>
              <w:t>SignatureInfoV1</w:t>
            </w:r>
            <w:r>
              <w:t xml:space="preserve"> (§</w:t>
            </w:r>
            <w:hyperlink w:anchor="Section_e1d590674b8849f19da10255d76b4ffa">
              <w:r>
                <w:rPr>
                  <w:rStyle w:val="Hyperlink"/>
                </w:rPr>
                <w:t>3.7.1.13, SignatureInfoV1</w:t>
              </w:r>
            </w:hyperlink>
            <w:r>
              <w:t>)</w:t>
            </w:r>
          </w:p>
        </w:tc>
      </w:tr>
    </w:tbl>
    <w:p w:rsidR="00024C0A" w:rsidRDefault="00024C0A"/>
    <w:p w:rsidR="00024C0A" w:rsidRDefault="00694C0F">
      <w:pPr>
        <w:pStyle w:val="Heading4"/>
      </w:pPr>
      <w:bookmarkStart w:id="4173" w:name="section_e1d590674b8849f19da10255d76b4ffa"/>
      <w:bookmarkStart w:id="4174" w:name="_Toc12262147"/>
      <w:r>
        <w:t>SignatureInfoV1 (Office Digital Signature V1 Info)</w:t>
      </w:r>
      <w:bookmarkEnd w:id="4173"/>
      <w:bookmarkEnd w:id="4174"/>
      <w:r>
        <w:fldChar w:fldCharType="begin"/>
      </w:r>
      <w:r>
        <w:instrText xml:space="preserve"> XE "SignatureInfoV1 (Office Digital Signature V1 Info)" </w:instrText>
      </w:r>
      <w:r>
        <w:fldChar w:fldCharType="end"/>
      </w:r>
    </w:p>
    <w:p w:rsidR="00024C0A" w:rsidRDefault="00694C0F">
      <w:r>
        <w:t xml:space="preserve">Provides details on a digital </w:t>
      </w:r>
      <w:r>
        <w:t>signature in a document.</w:t>
      </w:r>
    </w:p>
    <w:tbl>
      <w:tblPr>
        <w:tblStyle w:val="Table-ShadedHeader"/>
        <w:tblW w:w="0" w:type="auto"/>
        <w:tblLook w:val="04A0" w:firstRow="1" w:lastRow="0" w:firstColumn="1" w:lastColumn="0" w:noHBand="0" w:noVBand="1"/>
      </w:tblPr>
      <w:tblGrid>
        <w:gridCol w:w="6068"/>
        <w:gridCol w:w="3407"/>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Child Elements</w:t>
            </w:r>
          </w:p>
        </w:tc>
        <w:tc>
          <w:tcPr>
            <w:tcW w:w="0" w:type="auto"/>
            <w:vAlign w:val="center"/>
          </w:tcPr>
          <w:p w:rsidR="00024C0A" w:rsidRDefault="00694C0F">
            <w:pPr>
              <w:pStyle w:val="TableHeaderText"/>
            </w:pPr>
            <w:r>
              <w:t>Subclause</w:t>
            </w:r>
          </w:p>
        </w:tc>
      </w:tr>
      <w:tr w:rsidR="00024C0A" w:rsidTr="00024C0A">
        <w:tc>
          <w:tcPr>
            <w:tcW w:w="0" w:type="auto"/>
            <w:vAlign w:val="center"/>
          </w:tcPr>
          <w:p w:rsidR="00024C0A" w:rsidRDefault="00694C0F">
            <w:pPr>
              <w:pStyle w:val="TableBodyText"/>
            </w:pPr>
            <w:r>
              <w:rPr>
                <w:b/>
              </w:rPr>
              <w:t>ApplicationVersion</w:t>
            </w:r>
            <w:r>
              <w:t xml:space="preserve"> (Application Version)</w:t>
            </w:r>
          </w:p>
        </w:tc>
        <w:tc>
          <w:tcPr>
            <w:tcW w:w="0" w:type="auto"/>
            <w:vAlign w:val="center"/>
          </w:tcPr>
          <w:p w:rsidR="00024C0A" w:rsidRDefault="00694C0F">
            <w:pPr>
              <w:pStyle w:val="TableBodyText"/>
            </w:pPr>
            <w:r>
              <w:t>§</w:t>
            </w:r>
            <w:hyperlink w:anchor="Section_38917d35404040a79ad61d6b07d983f4">
              <w:r>
                <w:rPr>
                  <w:rStyle w:val="Hyperlink"/>
                </w:rPr>
                <w:t>3.7.1.1, ApplicationVersion</w:t>
              </w:r>
            </w:hyperlink>
          </w:p>
        </w:tc>
      </w:tr>
      <w:tr w:rsidR="00024C0A" w:rsidTr="00024C0A">
        <w:tc>
          <w:tcPr>
            <w:tcW w:w="0" w:type="auto"/>
            <w:vAlign w:val="center"/>
          </w:tcPr>
          <w:p w:rsidR="00024C0A" w:rsidRDefault="00694C0F">
            <w:pPr>
              <w:pStyle w:val="TableBodyText"/>
            </w:pPr>
            <w:r>
              <w:rPr>
                <w:b/>
              </w:rPr>
              <w:t>ColorDepth</w:t>
            </w:r>
            <w:r>
              <w:t xml:space="preserve"> (Color Depth)</w:t>
            </w:r>
          </w:p>
        </w:tc>
        <w:tc>
          <w:tcPr>
            <w:tcW w:w="0" w:type="auto"/>
            <w:vAlign w:val="center"/>
          </w:tcPr>
          <w:p w:rsidR="00024C0A" w:rsidRDefault="00694C0F">
            <w:pPr>
              <w:pStyle w:val="TableBodyText"/>
            </w:pPr>
            <w:r>
              <w:t>§</w:t>
            </w:r>
            <w:hyperlink w:anchor="Section_6011f8a6fcf4490385398e0bae26b7e7">
              <w:r>
                <w:rPr>
                  <w:rStyle w:val="Hyperlink"/>
                </w:rPr>
                <w:t>3.7.1.2, ColorDepth</w:t>
              </w:r>
            </w:hyperlink>
          </w:p>
        </w:tc>
      </w:tr>
      <w:tr w:rsidR="00024C0A" w:rsidTr="00024C0A">
        <w:tc>
          <w:tcPr>
            <w:tcW w:w="0" w:type="auto"/>
            <w:vAlign w:val="center"/>
          </w:tcPr>
          <w:p w:rsidR="00024C0A" w:rsidRDefault="00694C0F">
            <w:pPr>
              <w:pStyle w:val="TableBodyText"/>
            </w:pPr>
            <w:r>
              <w:rPr>
                <w:b/>
              </w:rPr>
              <w:t>DelegateSuggestedSigner</w:t>
            </w:r>
            <w:r>
              <w:t xml:space="preserve"> (Delegate Suggested Signer)</w:t>
            </w:r>
          </w:p>
        </w:tc>
        <w:tc>
          <w:tcPr>
            <w:tcW w:w="0" w:type="auto"/>
            <w:vAlign w:val="center"/>
          </w:tcPr>
          <w:p w:rsidR="00024C0A" w:rsidRDefault="00694C0F">
            <w:pPr>
              <w:pStyle w:val="TableBodyText"/>
            </w:pPr>
            <w:r>
              <w:t>§</w:t>
            </w:r>
            <w:hyperlink w:anchor="Section_d88dc6d4480149dd842c429174b8837e">
              <w:r>
                <w:rPr>
                  <w:rStyle w:val="Hyperlink"/>
                </w:rPr>
                <w:t>3.7.1.3, DelegateSuggestedSigner</w:t>
              </w:r>
            </w:hyperlink>
          </w:p>
        </w:tc>
      </w:tr>
      <w:tr w:rsidR="00024C0A" w:rsidTr="00024C0A">
        <w:tc>
          <w:tcPr>
            <w:tcW w:w="0" w:type="auto"/>
            <w:vAlign w:val="center"/>
          </w:tcPr>
          <w:p w:rsidR="00024C0A" w:rsidRDefault="00694C0F">
            <w:pPr>
              <w:pStyle w:val="TableBodyText"/>
            </w:pPr>
            <w:r>
              <w:rPr>
                <w:b/>
              </w:rPr>
              <w:t>DelegateSuggestedSigner2</w:t>
            </w:r>
            <w:r>
              <w:t xml:space="preserve"> (Delegate Suggested Signer)</w:t>
            </w:r>
          </w:p>
        </w:tc>
        <w:tc>
          <w:tcPr>
            <w:tcW w:w="0" w:type="auto"/>
            <w:vAlign w:val="center"/>
          </w:tcPr>
          <w:p w:rsidR="00024C0A" w:rsidRDefault="00694C0F">
            <w:pPr>
              <w:pStyle w:val="TableBodyText"/>
            </w:pPr>
            <w:r>
              <w:t>§</w:t>
            </w:r>
            <w:hyperlink w:anchor="Section_841efc82d17b435cbc74a986769fdf50">
              <w:r>
                <w:rPr>
                  <w:rStyle w:val="Hyperlink"/>
                </w:rPr>
                <w:t>3.7.1.4, DelegateSuggestedSigner2</w:t>
              </w:r>
            </w:hyperlink>
          </w:p>
        </w:tc>
      </w:tr>
      <w:tr w:rsidR="00024C0A" w:rsidTr="00024C0A">
        <w:tc>
          <w:tcPr>
            <w:tcW w:w="0" w:type="auto"/>
            <w:vAlign w:val="center"/>
          </w:tcPr>
          <w:p w:rsidR="00024C0A" w:rsidRDefault="00694C0F">
            <w:pPr>
              <w:pStyle w:val="TableBodyText"/>
            </w:pPr>
            <w:r>
              <w:rPr>
                <w:b/>
              </w:rPr>
              <w:t>DelegateSuggestedSignerEmail</w:t>
            </w:r>
            <w:r>
              <w:t xml:space="preserve"> (Delegate Suggested Signer E-mail Address)</w:t>
            </w:r>
          </w:p>
        </w:tc>
        <w:tc>
          <w:tcPr>
            <w:tcW w:w="0" w:type="auto"/>
            <w:vAlign w:val="center"/>
          </w:tcPr>
          <w:p w:rsidR="00024C0A" w:rsidRDefault="00694C0F">
            <w:pPr>
              <w:pStyle w:val="TableBodyText"/>
            </w:pPr>
            <w:r>
              <w:t>§</w:t>
            </w:r>
            <w:hyperlink w:anchor="Section_3615f32e2a2f49c7853b03b56fc48212">
              <w:r>
                <w:rPr>
                  <w:rStyle w:val="Hyperlink"/>
                </w:rPr>
                <w:t xml:space="preserve">3.7.1.5, </w:t>
              </w:r>
              <w:r>
                <w:rPr>
                  <w:rStyle w:val="Hyperlink"/>
                </w:rPr>
                <w:t>DelegateSuggestedSignerEmail</w:t>
              </w:r>
            </w:hyperlink>
          </w:p>
        </w:tc>
      </w:tr>
      <w:tr w:rsidR="00024C0A" w:rsidTr="00024C0A">
        <w:tc>
          <w:tcPr>
            <w:tcW w:w="0" w:type="auto"/>
            <w:vAlign w:val="center"/>
          </w:tcPr>
          <w:p w:rsidR="00024C0A" w:rsidRDefault="00694C0F">
            <w:pPr>
              <w:pStyle w:val="TableBodyText"/>
            </w:pPr>
            <w:r>
              <w:rPr>
                <w:b/>
              </w:rPr>
              <w:t>HorizontalResolution</w:t>
            </w:r>
            <w:r>
              <w:t xml:space="preserve"> (Horizontal Resolution)</w:t>
            </w:r>
          </w:p>
        </w:tc>
        <w:tc>
          <w:tcPr>
            <w:tcW w:w="0" w:type="auto"/>
            <w:vAlign w:val="center"/>
          </w:tcPr>
          <w:p w:rsidR="00024C0A" w:rsidRDefault="00694C0F">
            <w:pPr>
              <w:pStyle w:val="TableBodyText"/>
            </w:pPr>
            <w:r>
              <w:t>§</w:t>
            </w:r>
            <w:hyperlink w:anchor="Section_ee1023c3257842ec982b0963e5328487">
              <w:r>
                <w:rPr>
                  <w:rStyle w:val="Hyperlink"/>
                </w:rPr>
                <w:t>3.7.1.6, HorizontalResolution</w:t>
              </w:r>
            </w:hyperlink>
          </w:p>
        </w:tc>
      </w:tr>
      <w:tr w:rsidR="00024C0A" w:rsidTr="00024C0A">
        <w:tc>
          <w:tcPr>
            <w:tcW w:w="0" w:type="auto"/>
            <w:vAlign w:val="center"/>
          </w:tcPr>
          <w:p w:rsidR="00024C0A" w:rsidRDefault="00694C0F">
            <w:pPr>
              <w:pStyle w:val="TableBodyText"/>
            </w:pPr>
            <w:r>
              <w:rPr>
                <w:b/>
              </w:rPr>
              <w:t>ManifestHashAlgorithm</w:t>
            </w:r>
            <w:r>
              <w:t xml:space="preserve"> (Manifest Hash Algorithm)</w:t>
            </w:r>
          </w:p>
        </w:tc>
        <w:tc>
          <w:tcPr>
            <w:tcW w:w="0" w:type="auto"/>
            <w:vAlign w:val="center"/>
          </w:tcPr>
          <w:p w:rsidR="00024C0A" w:rsidRDefault="00694C0F">
            <w:pPr>
              <w:pStyle w:val="TableBodyText"/>
            </w:pPr>
            <w:r>
              <w:t>§</w:t>
            </w:r>
            <w:hyperlink w:anchor="Section_72a51ea393964453ad0b70388cc87aaf">
              <w:r>
                <w:rPr>
                  <w:rStyle w:val="Hyperlink"/>
                </w:rPr>
                <w:t>3.7.1.7, ManifestHashAlgorithm</w:t>
              </w:r>
            </w:hyperlink>
          </w:p>
        </w:tc>
      </w:tr>
      <w:tr w:rsidR="00024C0A" w:rsidTr="00024C0A">
        <w:tc>
          <w:tcPr>
            <w:tcW w:w="0" w:type="auto"/>
            <w:vAlign w:val="center"/>
          </w:tcPr>
          <w:p w:rsidR="00024C0A" w:rsidRDefault="00694C0F">
            <w:pPr>
              <w:pStyle w:val="TableBodyText"/>
            </w:pPr>
            <w:r>
              <w:rPr>
                <w:b/>
              </w:rPr>
              <w:t>Monitors</w:t>
            </w:r>
            <w:r>
              <w:t xml:space="preserve"> (Monitor Count)</w:t>
            </w:r>
          </w:p>
        </w:tc>
        <w:tc>
          <w:tcPr>
            <w:tcW w:w="0" w:type="auto"/>
            <w:vAlign w:val="center"/>
          </w:tcPr>
          <w:p w:rsidR="00024C0A" w:rsidRDefault="00694C0F">
            <w:pPr>
              <w:pStyle w:val="TableBodyText"/>
            </w:pPr>
            <w:r>
              <w:t>§</w:t>
            </w:r>
            <w:hyperlink w:anchor="Section_60d0016ce96e44b9907fad464b6d07c7">
              <w:r>
                <w:rPr>
                  <w:rStyle w:val="Hyperlink"/>
                </w:rPr>
                <w:t>3.7.1.8, Monitors</w:t>
              </w:r>
            </w:hyperlink>
          </w:p>
        </w:tc>
      </w:tr>
      <w:tr w:rsidR="00024C0A" w:rsidTr="00024C0A">
        <w:tc>
          <w:tcPr>
            <w:tcW w:w="0" w:type="auto"/>
            <w:vAlign w:val="center"/>
          </w:tcPr>
          <w:p w:rsidR="00024C0A" w:rsidRDefault="00694C0F">
            <w:pPr>
              <w:pStyle w:val="TableBodyText"/>
            </w:pPr>
            <w:r>
              <w:rPr>
                <w:b/>
              </w:rPr>
              <w:t>OfficeVersion</w:t>
            </w:r>
            <w:r>
              <w:t xml:space="preserve"> (Office Version)</w:t>
            </w:r>
          </w:p>
        </w:tc>
        <w:tc>
          <w:tcPr>
            <w:tcW w:w="0" w:type="auto"/>
            <w:vAlign w:val="center"/>
          </w:tcPr>
          <w:p w:rsidR="00024C0A" w:rsidRDefault="00694C0F">
            <w:pPr>
              <w:pStyle w:val="TableBodyText"/>
            </w:pPr>
            <w:r>
              <w:t>§</w:t>
            </w:r>
            <w:hyperlink w:anchor="Section_23222e735ee349129a22bfb0fc14d075">
              <w:r>
                <w:rPr>
                  <w:rStyle w:val="Hyperlink"/>
                </w:rPr>
                <w:t>3.7.1.9, OfficeVersion</w:t>
              </w:r>
            </w:hyperlink>
          </w:p>
        </w:tc>
      </w:tr>
      <w:tr w:rsidR="00024C0A" w:rsidTr="00024C0A">
        <w:tc>
          <w:tcPr>
            <w:tcW w:w="0" w:type="auto"/>
            <w:vAlign w:val="center"/>
          </w:tcPr>
          <w:p w:rsidR="00024C0A" w:rsidRDefault="00694C0F">
            <w:pPr>
              <w:pStyle w:val="TableBodyText"/>
            </w:pPr>
            <w:r>
              <w:rPr>
                <w:b/>
              </w:rPr>
              <w:t>SetupID</w:t>
            </w:r>
            <w:r>
              <w:t xml:space="preserve"> (Setup ID)</w:t>
            </w:r>
          </w:p>
        </w:tc>
        <w:tc>
          <w:tcPr>
            <w:tcW w:w="0" w:type="auto"/>
            <w:vAlign w:val="center"/>
          </w:tcPr>
          <w:p w:rsidR="00024C0A" w:rsidRDefault="00694C0F">
            <w:pPr>
              <w:pStyle w:val="TableBodyText"/>
            </w:pPr>
            <w:r>
              <w:t>§</w:t>
            </w:r>
            <w:hyperlink w:anchor="Section_0bc6416855b2438bb0db2ffc5bb065de">
              <w:r>
                <w:rPr>
                  <w:rStyle w:val="Hyperlink"/>
                </w:rPr>
                <w:t>3.7.1.10, SetupID</w:t>
              </w:r>
            </w:hyperlink>
          </w:p>
        </w:tc>
      </w:tr>
      <w:tr w:rsidR="00024C0A" w:rsidTr="00024C0A">
        <w:tc>
          <w:tcPr>
            <w:tcW w:w="0" w:type="auto"/>
            <w:vAlign w:val="center"/>
          </w:tcPr>
          <w:p w:rsidR="00024C0A" w:rsidRDefault="00694C0F">
            <w:pPr>
              <w:pStyle w:val="TableBodyText"/>
            </w:pPr>
            <w:r>
              <w:rPr>
                <w:b/>
              </w:rPr>
              <w:t>SignatureComments</w:t>
            </w:r>
            <w:r>
              <w:t xml:space="preserve"> (Signature Comments)</w:t>
            </w:r>
          </w:p>
        </w:tc>
        <w:tc>
          <w:tcPr>
            <w:tcW w:w="0" w:type="auto"/>
            <w:vAlign w:val="center"/>
          </w:tcPr>
          <w:p w:rsidR="00024C0A" w:rsidRDefault="00694C0F">
            <w:pPr>
              <w:pStyle w:val="TableBodyText"/>
            </w:pPr>
            <w:r>
              <w:t>§</w:t>
            </w:r>
            <w:hyperlink w:anchor="Section_ccba739517034b508c1eecb83dfa792b">
              <w:r>
                <w:rPr>
                  <w:rStyle w:val="Hyperlink"/>
                </w:rPr>
                <w:t>3.7.1.11, SignatureCom</w:t>
              </w:r>
              <w:r>
                <w:rPr>
                  <w:rStyle w:val="Hyperlink"/>
                </w:rPr>
                <w:t>ments</w:t>
              </w:r>
            </w:hyperlink>
          </w:p>
        </w:tc>
      </w:tr>
      <w:tr w:rsidR="00024C0A" w:rsidTr="00024C0A">
        <w:tc>
          <w:tcPr>
            <w:tcW w:w="0" w:type="auto"/>
            <w:vAlign w:val="center"/>
          </w:tcPr>
          <w:p w:rsidR="00024C0A" w:rsidRDefault="00694C0F">
            <w:pPr>
              <w:pStyle w:val="TableBodyText"/>
            </w:pPr>
            <w:r>
              <w:rPr>
                <w:b/>
              </w:rPr>
              <w:t>SignatureImage</w:t>
            </w:r>
            <w:r>
              <w:t xml:space="preserve"> (Signature Image)</w:t>
            </w:r>
          </w:p>
        </w:tc>
        <w:tc>
          <w:tcPr>
            <w:tcW w:w="0" w:type="auto"/>
            <w:vAlign w:val="center"/>
          </w:tcPr>
          <w:p w:rsidR="00024C0A" w:rsidRDefault="00694C0F">
            <w:pPr>
              <w:pStyle w:val="TableBodyText"/>
            </w:pPr>
            <w:r>
              <w:t>§</w:t>
            </w:r>
            <w:hyperlink w:anchor="Section_0e70da4046be4ddab93009c8e7e5f116">
              <w:r>
                <w:rPr>
                  <w:rStyle w:val="Hyperlink"/>
                </w:rPr>
                <w:t>3.7.1.12, SignatureImage</w:t>
              </w:r>
            </w:hyperlink>
          </w:p>
        </w:tc>
      </w:tr>
      <w:tr w:rsidR="00024C0A" w:rsidTr="00024C0A">
        <w:tc>
          <w:tcPr>
            <w:tcW w:w="0" w:type="auto"/>
            <w:vAlign w:val="center"/>
          </w:tcPr>
          <w:p w:rsidR="00024C0A" w:rsidRDefault="00694C0F">
            <w:pPr>
              <w:pStyle w:val="TableBodyText"/>
            </w:pPr>
            <w:r>
              <w:rPr>
                <w:b/>
              </w:rPr>
              <w:t>SignatureProviderDetails</w:t>
            </w:r>
            <w:r>
              <w:t xml:space="preserve"> (Signature Provider Details)</w:t>
            </w:r>
          </w:p>
        </w:tc>
        <w:tc>
          <w:tcPr>
            <w:tcW w:w="0" w:type="auto"/>
            <w:vAlign w:val="center"/>
          </w:tcPr>
          <w:p w:rsidR="00024C0A" w:rsidRDefault="00694C0F">
            <w:pPr>
              <w:pStyle w:val="TableBodyText"/>
            </w:pPr>
            <w:r>
              <w:t>§</w:t>
            </w:r>
            <w:hyperlink w:anchor="Section_817e07a284144dd8af897daef5636490">
              <w:r>
                <w:rPr>
                  <w:rStyle w:val="Hyperlink"/>
                </w:rPr>
                <w:t>3.7.1.14, SignatureProviderDetails</w:t>
              </w:r>
            </w:hyperlink>
          </w:p>
        </w:tc>
      </w:tr>
      <w:tr w:rsidR="00024C0A" w:rsidTr="00024C0A">
        <w:tc>
          <w:tcPr>
            <w:tcW w:w="0" w:type="auto"/>
            <w:vAlign w:val="center"/>
          </w:tcPr>
          <w:p w:rsidR="00024C0A" w:rsidRDefault="00694C0F">
            <w:pPr>
              <w:pStyle w:val="TableBodyText"/>
            </w:pPr>
            <w:r>
              <w:rPr>
                <w:b/>
              </w:rPr>
              <w:t>SignatureProviderId</w:t>
            </w:r>
            <w:r>
              <w:t xml:space="preserve"> (Signature Provider ID)</w:t>
            </w:r>
          </w:p>
        </w:tc>
        <w:tc>
          <w:tcPr>
            <w:tcW w:w="0" w:type="auto"/>
            <w:vAlign w:val="center"/>
          </w:tcPr>
          <w:p w:rsidR="00024C0A" w:rsidRDefault="00694C0F">
            <w:pPr>
              <w:pStyle w:val="TableBodyText"/>
            </w:pPr>
            <w:r>
              <w:t>§</w:t>
            </w:r>
            <w:hyperlink w:anchor="Section_67ad36eae0d24df6b7e1c3dc0d6b32ea">
              <w:r>
                <w:rPr>
                  <w:rStyle w:val="Hyperlink"/>
                </w:rPr>
                <w:t>3.7.1.15, SignatureProviderId</w:t>
              </w:r>
            </w:hyperlink>
          </w:p>
        </w:tc>
      </w:tr>
      <w:tr w:rsidR="00024C0A" w:rsidTr="00024C0A">
        <w:tc>
          <w:tcPr>
            <w:tcW w:w="0" w:type="auto"/>
            <w:vAlign w:val="center"/>
          </w:tcPr>
          <w:p w:rsidR="00024C0A" w:rsidRDefault="00694C0F">
            <w:pPr>
              <w:pStyle w:val="TableBodyText"/>
            </w:pPr>
            <w:r>
              <w:rPr>
                <w:b/>
              </w:rPr>
              <w:t>SignatureProviderUrl</w:t>
            </w:r>
            <w:r>
              <w:t xml:space="preserve"> (Signature Provider URL)</w:t>
            </w:r>
          </w:p>
        </w:tc>
        <w:tc>
          <w:tcPr>
            <w:tcW w:w="0" w:type="auto"/>
            <w:vAlign w:val="center"/>
          </w:tcPr>
          <w:p w:rsidR="00024C0A" w:rsidRDefault="00694C0F">
            <w:pPr>
              <w:pStyle w:val="TableBodyText"/>
            </w:pPr>
            <w:r>
              <w:t>§</w:t>
            </w:r>
            <w:hyperlink w:anchor="Section_74b29f9a7df748178e172d784aadffe9">
              <w:r>
                <w:rPr>
                  <w:rStyle w:val="Hyperlink"/>
                </w:rPr>
                <w:t>3.7.1.16, SignatureProviderUrl</w:t>
              </w:r>
            </w:hyperlink>
          </w:p>
        </w:tc>
      </w:tr>
      <w:tr w:rsidR="00024C0A" w:rsidTr="00024C0A">
        <w:tc>
          <w:tcPr>
            <w:tcW w:w="0" w:type="auto"/>
            <w:vAlign w:val="center"/>
          </w:tcPr>
          <w:p w:rsidR="00024C0A" w:rsidRDefault="00694C0F">
            <w:pPr>
              <w:pStyle w:val="TableBodyText"/>
            </w:pPr>
            <w:r>
              <w:rPr>
                <w:b/>
              </w:rPr>
              <w:t>SignatureText</w:t>
            </w:r>
            <w:r>
              <w:t xml:space="preserve"> (Signature Text)</w:t>
            </w:r>
          </w:p>
        </w:tc>
        <w:tc>
          <w:tcPr>
            <w:tcW w:w="0" w:type="auto"/>
            <w:vAlign w:val="center"/>
          </w:tcPr>
          <w:p w:rsidR="00024C0A" w:rsidRDefault="00694C0F">
            <w:pPr>
              <w:pStyle w:val="TableBodyText"/>
            </w:pPr>
            <w:r>
              <w:t>§</w:t>
            </w:r>
            <w:hyperlink w:anchor="Section_1821e4f974df4c2f83261b8cfbf05832">
              <w:r>
                <w:rPr>
                  <w:rStyle w:val="Hyperlink"/>
                </w:rPr>
                <w:t>3.7.1.17, SignatureText</w:t>
              </w:r>
            </w:hyperlink>
          </w:p>
        </w:tc>
      </w:tr>
      <w:tr w:rsidR="00024C0A" w:rsidTr="00024C0A">
        <w:tc>
          <w:tcPr>
            <w:tcW w:w="0" w:type="auto"/>
            <w:vAlign w:val="center"/>
          </w:tcPr>
          <w:p w:rsidR="00024C0A" w:rsidRDefault="00694C0F">
            <w:pPr>
              <w:pStyle w:val="TableBodyText"/>
            </w:pPr>
            <w:r>
              <w:rPr>
                <w:b/>
              </w:rPr>
              <w:t>SignatureType</w:t>
            </w:r>
            <w:r>
              <w:t xml:space="preserve"> (Signature Type)</w:t>
            </w:r>
          </w:p>
        </w:tc>
        <w:tc>
          <w:tcPr>
            <w:tcW w:w="0" w:type="auto"/>
            <w:vAlign w:val="center"/>
          </w:tcPr>
          <w:p w:rsidR="00024C0A" w:rsidRDefault="00694C0F">
            <w:pPr>
              <w:pStyle w:val="TableBodyText"/>
            </w:pPr>
            <w:r>
              <w:t>§</w:t>
            </w:r>
            <w:hyperlink w:anchor="Section_f57f4e24eab6408c9e521bdd530a42f2">
              <w:r>
                <w:rPr>
                  <w:rStyle w:val="Hyperlink"/>
                </w:rPr>
                <w:t>3.7.1.18, SignatureType</w:t>
              </w:r>
            </w:hyperlink>
          </w:p>
        </w:tc>
      </w:tr>
      <w:tr w:rsidR="00024C0A" w:rsidTr="00024C0A">
        <w:tc>
          <w:tcPr>
            <w:tcW w:w="0" w:type="auto"/>
            <w:vAlign w:val="center"/>
          </w:tcPr>
          <w:p w:rsidR="00024C0A" w:rsidRDefault="00694C0F">
            <w:pPr>
              <w:pStyle w:val="TableBodyText"/>
            </w:pPr>
            <w:r>
              <w:rPr>
                <w:b/>
              </w:rPr>
              <w:t>VerticalResolution</w:t>
            </w:r>
            <w:r>
              <w:t xml:space="preserve"> (Vertical Resolution)</w:t>
            </w:r>
          </w:p>
        </w:tc>
        <w:tc>
          <w:tcPr>
            <w:tcW w:w="0" w:type="auto"/>
            <w:vAlign w:val="center"/>
          </w:tcPr>
          <w:p w:rsidR="00024C0A" w:rsidRDefault="00694C0F">
            <w:pPr>
              <w:pStyle w:val="TableBodyText"/>
            </w:pPr>
            <w:r>
              <w:t>§</w:t>
            </w:r>
            <w:hyperlink w:anchor="Section_893fb101ec9d4f8c9153f02e1ab6312b">
              <w:r>
                <w:rPr>
                  <w:rStyle w:val="Hyperlink"/>
                </w:rPr>
                <w:t>3.7.1.19, VerticalResolution</w:t>
              </w:r>
            </w:hyperlink>
          </w:p>
        </w:tc>
      </w:tr>
      <w:tr w:rsidR="00024C0A" w:rsidTr="00024C0A">
        <w:tc>
          <w:tcPr>
            <w:tcW w:w="0" w:type="auto"/>
            <w:vAlign w:val="center"/>
          </w:tcPr>
          <w:p w:rsidR="00024C0A" w:rsidRDefault="00694C0F">
            <w:pPr>
              <w:pStyle w:val="TableBodyText"/>
            </w:pPr>
            <w:r>
              <w:rPr>
                <w:b/>
              </w:rPr>
              <w:lastRenderedPageBreak/>
              <w:t>WindowsVersion</w:t>
            </w:r>
            <w:r>
              <w:t xml:space="preserve"> (Windows Version)</w:t>
            </w:r>
          </w:p>
        </w:tc>
        <w:tc>
          <w:tcPr>
            <w:tcW w:w="0" w:type="auto"/>
            <w:vAlign w:val="center"/>
          </w:tcPr>
          <w:p w:rsidR="00024C0A" w:rsidRDefault="00694C0F">
            <w:pPr>
              <w:pStyle w:val="TableBodyText"/>
            </w:pPr>
            <w:r>
              <w:t>§</w:t>
            </w:r>
            <w:hyperlink w:anchor="Section_ae87853684e54213896f28ec7f70b4aa">
              <w:r>
                <w:rPr>
                  <w:rStyle w:val="Hyperlink"/>
                </w:rPr>
                <w:t>3.7.1.20, WindowsVersion</w:t>
              </w:r>
            </w:hyperlink>
          </w:p>
        </w:tc>
      </w:tr>
    </w:tbl>
    <w:p w:rsidR="00024C0A" w:rsidRDefault="00024C0A"/>
    <w:p w:rsidR="00024C0A" w:rsidRDefault="00694C0F">
      <w:r>
        <w:t>The following XML Schema fragment defines the contents of this element:</w:t>
      </w:r>
    </w:p>
    <w:p w:rsidR="00024C0A" w:rsidRDefault="00694C0F">
      <w:pPr>
        <w:pStyle w:val="Code"/>
      </w:pPr>
      <w:r>
        <w:t>&lt;complexType name="CT_SignatureInfoV1"&gt;</w:t>
      </w:r>
    </w:p>
    <w:p w:rsidR="00024C0A" w:rsidRDefault="00694C0F">
      <w:pPr>
        <w:pStyle w:val="Code"/>
      </w:pPr>
      <w:r>
        <w:t xml:space="preserve">  &lt;sequence&gt;</w:t>
      </w:r>
    </w:p>
    <w:p w:rsidR="00024C0A" w:rsidRDefault="00694C0F">
      <w:pPr>
        <w:pStyle w:val="Code"/>
      </w:pPr>
      <w:r>
        <w:t xml:space="preserve">    &lt;group ref="EG_RequiredChildren"/&gt;</w:t>
      </w:r>
    </w:p>
    <w:p w:rsidR="00024C0A" w:rsidRDefault="00694C0F">
      <w:pPr>
        <w:pStyle w:val="Code"/>
      </w:pPr>
      <w:r>
        <w:t xml:space="preserve">    &lt;group ref="EG_OptionalChildren" minOccurs="0"/&gt;</w:t>
      </w:r>
    </w:p>
    <w:p w:rsidR="00024C0A" w:rsidRDefault="00694C0F">
      <w:pPr>
        <w:pStyle w:val="Code"/>
      </w:pPr>
      <w:r>
        <w:t xml:space="preserve">  &lt;/sequence&gt;</w:t>
      </w:r>
    </w:p>
    <w:p w:rsidR="00024C0A" w:rsidRDefault="00694C0F">
      <w:pPr>
        <w:pStyle w:val="Code"/>
      </w:pPr>
      <w:r>
        <w:t>&lt;/complexType&gt;</w:t>
      </w:r>
    </w:p>
    <w:p w:rsidR="00024C0A" w:rsidRDefault="00694C0F">
      <w:pPr>
        <w:pStyle w:val="Heading4"/>
      </w:pPr>
      <w:bookmarkStart w:id="4175" w:name="section_817e07a284144dd8af897daef5636490"/>
      <w:bookmarkStart w:id="4176" w:name="_Toc12262148"/>
      <w:r>
        <w:t>SignatureProviderDetails (Signature Provider Details)</w:t>
      </w:r>
      <w:bookmarkEnd w:id="4175"/>
      <w:bookmarkEnd w:id="4176"/>
      <w:r>
        <w:fldChar w:fldCharType="begin"/>
      </w:r>
      <w:r>
        <w:instrText xml:space="preserve"> XE "SignatureProviderDetails (Signature Provider Details)" </w:instrText>
      </w:r>
      <w:r>
        <w:fldChar w:fldCharType="end"/>
      </w:r>
    </w:p>
    <w:p w:rsidR="00024C0A" w:rsidRDefault="00694C0F">
      <w:r>
        <w:t>Specifies details of the signature provider.  The value sh</w:t>
      </w:r>
      <w:r>
        <w:t>all be an integer computed from a bitmask of the following flags:</w:t>
      </w:r>
    </w:p>
    <w:tbl>
      <w:tblPr>
        <w:tblStyle w:val="Table-ShadedHeader"/>
        <w:tblW w:w="0" w:type="auto"/>
        <w:tblLook w:val="04A0" w:firstRow="1" w:lastRow="0" w:firstColumn="1" w:lastColumn="0" w:noHBand="0" w:noVBand="1"/>
      </w:tblPr>
      <w:tblGrid>
        <w:gridCol w:w="1241"/>
        <w:gridCol w:w="5799"/>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Value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t>0x00000000</w:t>
            </w:r>
          </w:p>
        </w:tc>
        <w:tc>
          <w:tcPr>
            <w:tcW w:w="0" w:type="auto"/>
            <w:vAlign w:val="center"/>
          </w:tcPr>
          <w:p w:rsidR="00024C0A" w:rsidRDefault="00694C0F">
            <w:pPr>
              <w:pStyle w:val="TableBodyText"/>
            </w:pPr>
            <w:r>
              <w:t>Specifies that there are no restrictions on the provider's usage.</w:t>
            </w:r>
          </w:p>
        </w:tc>
      </w:tr>
      <w:tr w:rsidR="00024C0A" w:rsidTr="00024C0A">
        <w:tc>
          <w:tcPr>
            <w:tcW w:w="0" w:type="auto"/>
            <w:vAlign w:val="center"/>
          </w:tcPr>
          <w:p w:rsidR="00024C0A" w:rsidRDefault="00694C0F">
            <w:pPr>
              <w:pStyle w:val="TableBodyText"/>
            </w:pPr>
            <w:r>
              <w:t>0x00000001</w:t>
            </w:r>
          </w:p>
        </w:tc>
        <w:tc>
          <w:tcPr>
            <w:tcW w:w="0" w:type="auto"/>
            <w:vAlign w:val="center"/>
          </w:tcPr>
          <w:p w:rsidR="00024C0A" w:rsidRDefault="00694C0F">
            <w:pPr>
              <w:pStyle w:val="TableBodyText"/>
            </w:pPr>
            <w:r>
              <w:t>Specifies that the provider shall only be used for the UI.</w:t>
            </w:r>
          </w:p>
        </w:tc>
      </w:tr>
      <w:tr w:rsidR="00024C0A" w:rsidTr="00024C0A">
        <w:tc>
          <w:tcPr>
            <w:tcW w:w="0" w:type="auto"/>
            <w:vAlign w:val="center"/>
          </w:tcPr>
          <w:p w:rsidR="00024C0A" w:rsidRDefault="00694C0F">
            <w:pPr>
              <w:pStyle w:val="TableBodyText"/>
            </w:pPr>
            <w:r>
              <w:t>0x00000002</w:t>
            </w:r>
          </w:p>
        </w:tc>
        <w:tc>
          <w:tcPr>
            <w:tcW w:w="0" w:type="auto"/>
            <w:vAlign w:val="center"/>
          </w:tcPr>
          <w:p w:rsidR="00024C0A" w:rsidRDefault="00694C0F">
            <w:pPr>
              <w:pStyle w:val="TableBodyText"/>
            </w:pPr>
            <w:r>
              <w:t>Specifies t</w:t>
            </w:r>
            <w:r>
              <w:t xml:space="preserve">hat the provider shall only be used for invisible signatures. </w:t>
            </w:r>
          </w:p>
        </w:tc>
      </w:tr>
      <w:tr w:rsidR="00024C0A" w:rsidTr="00024C0A">
        <w:tc>
          <w:tcPr>
            <w:tcW w:w="0" w:type="auto"/>
            <w:vAlign w:val="center"/>
          </w:tcPr>
          <w:p w:rsidR="00024C0A" w:rsidRDefault="00694C0F">
            <w:pPr>
              <w:pStyle w:val="TableBodyText"/>
            </w:pPr>
            <w:r>
              <w:t>0x00000004</w:t>
            </w:r>
          </w:p>
        </w:tc>
        <w:tc>
          <w:tcPr>
            <w:tcW w:w="0" w:type="auto"/>
            <w:vAlign w:val="center"/>
          </w:tcPr>
          <w:p w:rsidR="00024C0A" w:rsidRDefault="00694C0F">
            <w:pPr>
              <w:pStyle w:val="TableBodyText"/>
            </w:pPr>
            <w:r>
              <w:t>Specifies that the provider shall only be used for visible signatures.</w:t>
            </w:r>
          </w:p>
        </w:tc>
      </w:tr>
      <w:tr w:rsidR="00024C0A" w:rsidTr="00024C0A">
        <w:tc>
          <w:tcPr>
            <w:tcW w:w="0" w:type="auto"/>
            <w:vAlign w:val="center"/>
          </w:tcPr>
          <w:p w:rsidR="00024C0A" w:rsidRDefault="00694C0F">
            <w:pPr>
              <w:pStyle w:val="TableBodyText"/>
            </w:pPr>
            <w:r>
              <w:t>0x00000008</w:t>
            </w:r>
          </w:p>
        </w:tc>
        <w:tc>
          <w:tcPr>
            <w:tcW w:w="0" w:type="auto"/>
            <w:vAlign w:val="center"/>
          </w:tcPr>
          <w:p w:rsidR="00024C0A" w:rsidRDefault="00694C0F">
            <w:pPr>
              <w:pStyle w:val="TableBodyText"/>
            </w:pPr>
            <w:r>
              <w:t>Specifies that Office UI shall be used for the provider.</w:t>
            </w:r>
          </w:p>
        </w:tc>
      </w:tr>
      <w:tr w:rsidR="00024C0A" w:rsidTr="00024C0A">
        <w:tc>
          <w:tcPr>
            <w:tcW w:w="0" w:type="auto"/>
            <w:vAlign w:val="center"/>
          </w:tcPr>
          <w:p w:rsidR="00024C0A" w:rsidRDefault="00694C0F">
            <w:pPr>
              <w:pStyle w:val="TableBodyText"/>
            </w:pPr>
            <w:r>
              <w:t>0x00000010</w:t>
            </w:r>
          </w:p>
        </w:tc>
        <w:tc>
          <w:tcPr>
            <w:tcW w:w="0" w:type="auto"/>
            <w:vAlign w:val="center"/>
          </w:tcPr>
          <w:p w:rsidR="00024C0A" w:rsidRDefault="00694C0F">
            <w:pPr>
              <w:pStyle w:val="TableBodyText"/>
            </w:pPr>
            <w:r>
              <w:t xml:space="preserve">Specifies that Office stamp </w:t>
            </w:r>
            <w:r>
              <w:t>UI shall be used for the provider.</w:t>
            </w:r>
          </w:p>
        </w:tc>
      </w:tr>
    </w:tbl>
    <w:p w:rsidR="00024C0A" w:rsidRDefault="00024C0A"/>
    <w:p w:rsidR="00024C0A" w:rsidRDefault="00024C0A"/>
    <w:tbl>
      <w:tblPr>
        <w:tblStyle w:val="Table-ShadedHeader"/>
        <w:tblW w:w="0" w:type="auto"/>
        <w:tblLook w:val="04A0" w:firstRow="1" w:lastRow="0" w:firstColumn="1" w:lastColumn="0" w:noHBand="0" w:noVBand="1"/>
      </w:tblPr>
      <w:tblGrid>
        <w:gridCol w:w="413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SignatureInfoV1</w:t>
            </w:r>
            <w:r>
              <w:t xml:space="preserve"> (§</w:t>
            </w:r>
            <w:hyperlink w:anchor="Section_e1d590674b8849f19da10255d76b4ffa">
              <w:r>
                <w:rPr>
                  <w:rStyle w:val="Hyperlink"/>
                </w:rPr>
                <w:t>3.7.1.13, SignatureInfoV1</w:t>
              </w:r>
            </w:hyperlink>
            <w:r>
              <w:t>)</w:t>
            </w:r>
          </w:p>
        </w:tc>
      </w:tr>
    </w:tbl>
    <w:p w:rsidR="00024C0A" w:rsidRDefault="00024C0A"/>
    <w:p w:rsidR="00024C0A" w:rsidRDefault="00694C0F">
      <w:pPr>
        <w:pStyle w:val="Heading4"/>
      </w:pPr>
      <w:bookmarkStart w:id="4177" w:name="section_67ad36eae0d24df6b7e1c3dc0d6b32ea"/>
      <w:bookmarkStart w:id="4178" w:name="_Toc12262149"/>
      <w:r>
        <w:t>SignatureProviderId (Signature Provider ID)</w:t>
      </w:r>
      <w:bookmarkEnd w:id="4177"/>
      <w:bookmarkEnd w:id="4178"/>
      <w:r>
        <w:fldChar w:fldCharType="begin"/>
      </w:r>
      <w:r>
        <w:instrText xml:space="preserve"> XE "SignatureProviderId (Signature Provider ID)" </w:instrText>
      </w:r>
      <w:r>
        <w:fldChar w:fldCharType="end"/>
      </w:r>
    </w:p>
    <w:p w:rsidR="00024C0A" w:rsidRDefault="00694C0F">
      <w:r>
        <w:t xml:space="preserve">Specifies the class ID of the signature provider. Office reserves the value of </w:t>
      </w:r>
      <w:r>
        <w:rPr>
          <w:i/>
        </w:rPr>
        <w:t xml:space="preserve">{00000000-0000-0000-0000-000000000000} </w:t>
      </w:r>
      <w:r>
        <w:t xml:space="preserve">for its default signature provider and </w:t>
      </w:r>
      <w:r>
        <w:rPr>
          <w:i/>
        </w:rPr>
        <w:t xml:space="preserve">{000CD6A4-0000-0000-C000-000000000046} </w:t>
      </w:r>
      <w:r>
        <w:t>for its</w:t>
      </w:r>
      <w:r>
        <w:t xml:space="preserve"> East Asian signature provider.</w:t>
      </w:r>
    </w:p>
    <w:p w:rsidR="00024C0A" w:rsidRDefault="00694C0F">
      <w:r>
        <w:t>The possible values for this element are defined by the ST_UniqueIdentifierWithBraces simple type (§</w:t>
      </w:r>
      <w:hyperlink w:anchor="Section_6478af0db7b4409889c50d291a9cf0ce">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Sig</w:t>
            </w:r>
            <w:r>
              <w:rPr>
                <w:b/>
              </w:rPr>
              <w:t>natureInfoV1</w:t>
            </w:r>
            <w:r>
              <w:t xml:space="preserve"> (§</w:t>
            </w:r>
            <w:hyperlink w:anchor="Section_e1d590674b8849f19da10255d76b4ffa">
              <w:r>
                <w:rPr>
                  <w:rStyle w:val="Hyperlink"/>
                </w:rPr>
                <w:t>3.7.1.13, SignatureInfoV1</w:t>
              </w:r>
            </w:hyperlink>
            <w:r>
              <w:t>)</w:t>
            </w:r>
          </w:p>
        </w:tc>
      </w:tr>
    </w:tbl>
    <w:p w:rsidR="00024C0A" w:rsidRDefault="00024C0A"/>
    <w:p w:rsidR="00024C0A" w:rsidRDefault="00694C0F">
      <w:r>
        <w:lastRenderedPageBreak/>
        <w:t>The following XML Schema fragment defines the contents of this element:</w:t>
      </w:r>
    </w:p>
    <w:p w:rsidR="00024C0A" w:rsidRDefault="00694C0F">
      <w:pPr>
        <w:pStyle w:val="Code"/>
      </w:pPr>
      <w:r>
        <w:t>&lt;simpleType name="ST_UniqueIdentifierWithBraces"&gt;</w:t>
      </w:r>
    </w:p>
    <w:p w:rsidR="00024C0A" w:rsidRDefault="00694C0F">
      <w:pPr>
        <w:pStyle w:val="Code"/>
      </w:pPr>
      <w:r>
        <w:t xml:space="preserve">  &lt;restriction base="xsd:st</w:t>
      </w:r>
      <w:r>
        <w:t>ring"&gt;</w:t>
      </w:r>
    </w:p>
    <w:p w:rsidR="00024C0A" w:rsidRDefault="00694C0F">
      <w:pPr>
        <w:pStyle w:val="Code"/>
      </w:pPr>
      <w:r>
        <w:t xml:space="preserve">    &lt;pattern value="\{[0-9a-fA-F]{8}\-[0-9a-fA-F]{4}\-[0-9a-fA-F]{4}\-[0-9a-fA-F]{4}\-[0-9a-fA-F]{12}\}|"/&gt;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4"/>
      </w:pPr>
      <w:bookmarkStart w:id="4179" w:name="section_74b29f9a7df748178e172d784aadffe9"/>
      <w:bookmarkStart w:id="4180" w:name="_Toc12262150"/>
      <w:r>
        <w:t>SignatureProviderUrl (Signature Provider URL)</w:t>
      </w:r>
      <w:bookmarkEnd w:id="4179"/>
      <w:bookmarkEnd w:id="4180"/>
      <w:r>
        <w:fldChar w:fldCharType="begin"/>
      </w:r>
      <w:r>
        <w:instrText xml:space="preserve"> XE "SignatureProviderUrl (Signature Provider URL)" </w:instrText>
      </w:r>
      <w:r>
        <w:fldChar w:fldCharType="end"/>
      </w:r>
    </w:p>
    <w:p w:rsidR="00024C0A" w:rsidRDefault="00694C0F">
      <w:r>
        <w:t xml:space="preserve">Specifies </w:t>
      </w:r>
      <w:r>
        <w:t>the URL of the software used to generate the digital signature.</w:t>
      </w:r>
    </w:p>
    <w:p w:rsidR="00024C0A" w:rsidRDefault="00694C0F">
      <w:r>
        <w:t>The possible values for this element are defined by the ST_SignatureProviderUrl simple type (§</w:t>
      </w:r>
      <w:hyperlink w:anchor="Section_2fdd7f10d23a40ee9431d04ec89bb73c">
        <w:r>
          <w:rPr>
            <w:rStyle w:val="Hyperlink"/>
          </w:rPr>
          <w:t>3.7.2.3, ST_SignatureProviderUrl</w:t>
        </w:r>
      </w:hyperlink>
      <w:r>
        <w:t>).</w:t>
      </w:r>
    </w:p>
    <w:tbl>
      <w:tblPr>
        <w:tblStyle w:val="Table-ShadedHeader"/>
        <w:tblW w:w="0" w:type="auto"/>
        <w:tblLook w:val="04A0" w:firstRow="1" w:lastRow="0" w:firstColumn="1" w:lastColumn="0" w:noHBand="0" w:noVBand="1"/>
      </w:tblPr>
      <w:tblGrid>
        <w:gridCol w:w="413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SignatureInfoV1</w:t>
            </w:r>
            <w:r>
              <w:t xml:space="preserve"> (§</w:t>
            </w:r>
            <w:hyperlink w:anchor="Section_e1d590674b8849f19da10255d76b4ffa">
              <w:r>
                <w:rPr>
                  <w:rStyle w:val="Hyperlink"/>
                </w:rPr>
                <w:t>3.7.1.13, SignatureInfoV1</w:t>
              </w:r>
            </w:hyperlink>
            <w:r>
              <w:t>)</w:t>
            </w:r>
          </w:p>
        </w:tc>
      </w:tr>
    </w:tbl>
    <w:p w:rsidR="00024C0A" w:rsidRDefault="00024C0A"/>
    <w:p w:rsidR="00024C0A" w:rsidRDefault="00694C0F">
      <w:r>
        <w:t>The following XML Schema fragment defines the contents of this element:</w:t>
      </w:r>
    </w:p>
    <w:p w:rsidR="00024C0A" w:rsidRDefault="00694C0F">
      <w:pPr>
        <w:pStyle w:val="Code"/>
      </w:pPr>
      <w:r>
        <w:t>&lt;simpleType name="ST_SignatureProviderUrl"&gt;</w:t>
      </w:r>
    </w:p>
    <w:p w:rsidR="00024C0A" w:rsidRDefault="00694C0F">
      <w:pPr>
        <w:pStyle w:val="Code"/>
      </w:pPr>
      <w:r>
        <w:t xml:space="preserve">  &lt;restrictio</w:t>
      </w:r>
      <w:r>
        <w:t>n base="xsd:string"&gt;</w:t>
      </w:r>
    </w:p>
    <w:p w:rsidR="00024C0A" w:rsidRDefault="00694C0F">
      <w:pPr>
        <w:pStyle w:val="Code"/>
      </w:pPr>
      <w:r>
        <w:t xml:space="preserve">    &lt;maxLength value="2083"/&gt;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4"/>
      </w:pPr>
      <w:bookmarkStart w:id="4181" w:name="section_1821e4f974df4c2f83261b8cfbf05832"/>
      <w:bookmarkStart w:id="4182" w:name="_Toc12262151"/>
      <w:r>
        <w:t>SignatureText (Signature Text)</w:t>
      </w:r>
      <w:bookmarkEnd w:id="4181"/>
      <w:bookmarkEnd w:id="4182"/>
      <w:r>
        <w:fldChar w:fldCharType="begin"/>
      </w:r>
      <w:r>
        <w:instrText xml:space="preserve"> XE "SignatureText (Signature Text)" </w:instrText>
      </w:r>
      <w:r>
        <w:fldChar w:fldCharType="end"/>
      </w:r>
    </w:p>
    <w:p w:rsidR="00024C0A" w:rsidRDefault="00694C0F">
      <w:r>
        <w:t>Specifies the text of actual signature in the digital signature.</w:t>
      </w:r>
    </w:p>
    <w:p w:rsidR="00024C0A" w:rsidRDefault="00694C0F">
      <w:r>
        <w:t>The possible values for this element ar</w:t>
      </w:r>
      <w:r>
        <w:t>e defined by the ST_SignatureText simple type (§</w:t>
      </w:r>
      <w:hyperlink w:anchor="Section_4bac229a77b34557aa4ce93641da133d">
        <w:r>
          <w:rPr>
            <w:rStyle w:val="Hyperlink"/>
          </w:rPr>
          <w:t>3.7.2.4, ST_SignatureText</w:t>
        </w:r>
      </w:hyperlink>
      <w:r>
        <w:t>).</w:t>
      </w:r>
    </w:p>
    <w:tbl>
      <w:tblPr>
        <w:tblStyle w:val="Table-ShadedHeader"/>
        <w:tblW w:w="0" w:type="auto"/>
        <w:tblLook w:val="04A0" w:firstRow="1" w:lastRow="0" w:firstColumn="1" w:lastColumn="0" w:noHBand="0" w:noVBand="1"/>
      </w:tblPr>
      <w:tblGrid>
        <w:gridCol w:w="413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SignatureInfoV1</w:t>
            </w:r>
            <w:r>
              <w:t xml:space="preserve"> (§</w:t>
            </w:r>
            <w:hyperlink w:anchor="Section_e1d590674b8849f19da10255d76b4ffa">
              <w:r>
                <w:rPr>
                  <w:rStyle w:val="Hyperlink"/>
                </w:rPr>
                <w:t>3.7.1.13, Signature</w:t>
              </w:r>
              <w:r>
                <w:rPr>
                  <w:rStyle w:val="Hyperlink"/>
                </w:rPr>
                <w:t>InfoV1</w:t>
              </w:r>
            </w:hyperlink>
            <w:r>
              <w:t>)</w:t>
            </w:r>
          </w:p>
        </w:tc>
      </w:tr>
    </w:tbl>
    <w:p w:rsidR="00024C0A" w:rsidRDefault="00024C0A"/>
    <w:p w:rsidR="00024C0A" w:rsidRDefault="00694C0F">
      <w:r>
        <w:t>The following XML Schema fragment defines the contents of this element:</w:t>
      </w:r>
    </w:p>
    <w:p w:rsidR="00024C0A" w:rsidRDefault="00694C0F">
      <w:pPr>
        <w:pStyle w:val="Code"/>
      </w:pPr>
      <w:r>
        <w:t>&lt;simpleType name="ST_SignatureText"&gt;</w:t>
      </w:r>
    </w:p>
    <w:p w:rsidR="00024C0A" w:rsidRDefault="00694C0F">
      <w:pPr>
        <w:pStyle w:val="Code"/>
      </w:pPr>
      <w:r>
        <w:t xml:space="preserve">  &lt;restriction base="xsd:string"&gt;</w:t>
      </w:r>
    </w:p>
    <w:p w:rsidR="00024C0A" w:rsidRDefault="00694C0F">
      <w:pPr>
        <w:pStyle w:val="Code"/>
      </w:pPr>
      <w:r>
        <w:t xml:space="preserve">    &lt;maxLength value="100"/&gt;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4"/>
      </w:pPr>
      <w:bookmarkStart w:id="4183" w:name="section_f57f4e24eab6408c9e521bdd530a42f2"/>
      <w:bookmarkStart w:id="4184" w:name="_Toc12262152"/>
      <w:r>
        <w:t>SignatureType (Signature Type)</w:t>
      </w:r>
      <w:bookmarkEnd w:id="4183"/>
      <w:bookmarkEnd w:id="4184"/>
      <w:r>
        <w:fldChar w:fldCharType="begin"/>
      </w:r>
      <w:r>
        <w:instrText xml:space="preserve"> XE "SignatureType (Signature Type)" </w:instrText>
      </w:r>
      <w:r>
        <w:fldChar w:fldCharType="end"/>
      </w:r>
    </w:p>
    <w:p w:rsidR="00024C0A" w:rsidRDefault="00694C0F">
      <w:r>
        <w:t>Specifies the type of the digital signature.</w:t>
      </w:r>
    </w:p>
    <w:p w:rsidR="00024C0A" w:rsidRDefault="00694C0F">
      <w:r>
        <w:lastRenderedPageBreak/>
        <w:t xml:space="preserve">When this signature is of type </w:t>
      </w:r>
      <w:r>
        <w:rPr>
          <w:i/>
        </w:rPr>
        <w:t>2</w:t>
      </w:r>
      <w:r>
        <w:t xml:space="preserve"> (Signature Line), there shall be two additional objects in the signature:  One with an </w:t>
      </w:r>
      <w:r>
        <w:rPr>
          <w:b/>
        </w:rPr>
        <w:t xml:space="preserve">Id </w:t>
      </w:r>
      <w:r>
        <w:t xml:space="preserve">value of </w:t>
      </w:r>
      <w:r>
        <w:rPr>
          <w:i/>
        </w:rPr>
        <w:t>idValidSigLnImg</w:t>
      </w:r>
      <w:r>
        <w:t>, whose value shall defi</w:t>
      </w:r>
      <w:r>
        <w:t xml:space="preserve">ne the image of a valid signature; and one with an Id value of </w:t>
      </w:r>
      <w:r>
        <w:rPr>
          <w:i/>
        </w:rPr>
        <w:t>idInvalidSigLnImg</w:t>
      </w:r>
      <w:r>
        <w:t>, whose value shall define the image of an invalid signature.</w:t>
      </w:r>
    </w:p>
    <w:p w:rsidR="00024C0A" w:rsidRDefault="00694C0F">
      <w:r>
        <w:t>The possible values for this element are defined by the ST_SignatureType simple type (§</w:t>
      </w:r>
      <w:hyperlink w:anchor="Section_65d1befb272a48f59a5b3896300299ee">
        <w:r>
          <w:rPr>
            <w:rStyle w:val="Hyperlink"/>
          </w:rPr>
          <w:t>3.7.2.5, ST_SignatureType</w:t>
        </w:r>
      </w:hyperlink>
      <w:r>
        <w:t>).</w:t>
      </w:r>
    </w:p>
    <w:tbl>
      <w:tblPr>
        <w:tblStyle w:val="Table-ShadedHeader"/>
        <w:tblW w:w="0" w:type="auto"/>
        <w:tblLook w:val="04A0" w:firstRow="1" w:lastRow="0" w:firstColumn="1" w:lastColumn="0" w:noHBand="0" w:noVBand="1"/>
      </w:tblPr>
      <w:tblGrid>
        <w:gridCol w:w="413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SignatureInfoV1</w:t>
            </w:r>
            <w:r>
              <w:t xml:space="preserve"> (§</w:t>
            </w:r>
            <w:hyperlink w:anchor="Section_e1d590674b8849f19da10255d76b4ffa">
              <w:r>
                <w:rPr>
                  <w:rStyle w:val="Hyperlink"/>
                </w:rPr>
                <w:t>3.7.1.13, SignatureInfoV1</w:t>
              </w:r>
            </w:hyperlink>
            <w:r>
              <w:t>)</w:t>
            </w:r>
          </w:p>
        </w:tc>
      </w:tr>
    </w:tbl>
    <w:p w:rsidR="00024C0A" w:rsidRDefault="00024C0A"/>
    <w:p w:rsidR="00024C0A" w:rsidRDefault="00694C0F">
      <w:r>
        <w:t>The following XML Schema fragment defines the contents of this el</w:t>
      </w:r>
      <w:r>
        <w:t>ement:</w:t>
      </w:r>
    </w:p>
    <w:p w:rsidR="00024C0A" w:rsidRDefault="00694C0F">
      <w:pPr>
        <w:pStyle w:val="Code"/>
      </w:pPr>
      <w:r>
        <w:t>&lt;simpleType name="ST_SignatureType"&gt;</w:t>
      </w:r>
    </w:p>
    <w:p w:rsidR="00024C0A" w:rsidRDefault="00694C0F">
      <w:pPr>
        <w:pStyle w:val="Code"/>
      </w:pPr>
      <w:r>
        <w:t xml:space="preserve">  &lt;restriction base="xsd:int"&gt;</w:t>
      </w:r>
    </w:p>
    <w:p w:rsidR="00024C0A" w:rsidRDefault="00694C0F">
      <w:pPr>
        <w:pStyle w:val="Code"/>
      </w:pPr>
      <w:r>
        <w:t xml:space="preserve">    &lt;enumeration value="1"/&gt;</w:t>
      </w:r>
    </w:p>
    <w:p w:rsidR="00024C0A" w:rsidRDefault="00694C0F">
      <w:pPr>
        <w:pStyle w:val="Code"/>
      </w:pPr>
      <w:r>
        <w:t xml:space="preserve">    &lt;enumeration value="2"/&gt;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4"/>
      </w:pPr>
      <w:bookmarkStart w:id="4185" w:name="section_893fb101ec9d4f8c9153f02e1ab6312b"/>
      <w:bookmarkStart w:id="4186" w:name="_Toc12262153"/>
      <w:r>
        <w:t>VerticalResolution (Vertical Resolution)</w:t>
      </w:r>
      <w:bookmarkEnd w:id="4185"/>
      <w:bookmarkEnd w:id="4186"/>
      <w:r>
        <w:fldChar w:fldCharType="begin"/>
      </w:r>
      <w:r>
        <w:instrText xml:space="preserve"> XE "VerticalResolution (Vertical Resolution)" </w:instrText>
      </w:r>
      <w:r>
        <w:fldChar w:fldCharType="end"/>
      </w:r>
    </w:p>
    <w:p w:rsidR="00024C0A" w:rsidRDefault="00694C0F">
      <w:r>
        <w:t>Specifies the vertical resolution of the primary monitor of the machine on which the digital signature was created.</w:t>
      </w:r>
    </w:p>
    <w:p w:rsidR="00024C0A" w:rsidRDefault="00694C0F">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SignatureInfoV1</w:t>
            </w:r>
            <w:r>
              <w:t xml:space="preserve"> (§</w:t>
            </w:r>
            <w:hyperlink w:anchor="Section_e1d590674b8849f19da10255d76b4ffa">
              <w:r>
                <w:rPr>
                  <w:rStyle w:val="Hyperlink"/>
                </w:rPr>
                <w:t>3.7.1.13, SignatureInfoV1</w:t>
              </w:r>
            </w:hyperlink>
            <w:r>
              <w:t>)</w:t>
            </w:r>
          </w:p>
        </w:tc>
      </w:tr>
    </w:tbl>
    <w:p w:rsidR="00024C0A" w:rsidRDefault="00024C0A"/>
    <w:p w:rsidR="00024C0A" w:rsidRDefault="00694C0F">
      <w:r>
        <w:t>The following XML Schema fragment defines the contents of this element:</w:t>
      </w:r>
    </w:p>
    <w:p w:rsidR="00024C0A" w:rsidRDefault="00694C0F">
      <w:pPr>
        <w:pStyle w:val="Code"/>
      </w:pPr>
      <w:r>
        <w:t>&lt;simpleType nam</w:t>
      </w:r>
      <w:r>
        <w:t>e="ST_PositiveInteger"&gt;</w:t>
      </w:r>
    </w:p>
    <w:p w:rsidR="00024C0A" w:rsidRDefault="00694C0F">
      <w:pPr>
        <w:pStyle w:val="Code"/>
      </w:pPr>
      <w:r>
        <w:t xml:space="preserve">  &lt;restriction base="xsd:int"&gt;</w:t>
      </w:r>
    </w:p>
    <w:p w:rsidR="00024C0A" w:rsidRDefault="00694C0F">
      <w:pPr>
        <w:pStyle w:val="Code"/>
      </w:pPr>
      <w:r>
        <w:t xml:space="preserve">    &lt;minExclusive value="0"/&gt;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4"/>
      </w:pPr>
      <w:bookmarkStart w:id="4187" w:name="section_ae87853684e54213896f28ec7f70b4aa"/>
      <w:bookmarkStart w:id="4188" w:name="_Toc12262154"/>
      <w:r>
        <w:t>WindowsVersion (Windows Version)</w:t>
      </w:r>
      <w:bookmarkEnd w:id="4187"/>
      <w:bookmarkEnd w:id="4188"/>
      <w:r>
        <w:fldChar w:fldCharType="begin"/>
      </w:r>
      <w:r>
        <w:instrText xml:space="preserve"> XE "WindowsVersion (Windows Version)" </w:instrText>
      </w:r>
      <w:r>
        <w:fldChar w:fldCharType="end"/>
      </w:r>
    </w:p>
    <w:p w:rsidR="00024C0A" w:rsidRDefault="00694C0F">
      <w:r>
        <w:t>Specifies the version of the operating system on which the digital</w:t>
      </w:r>
      <w:r>
        <w:t xml:space="preserve"> signature was created.</w:t>
      </w:r>
    </w:p>
    <w:p w:rsidR="00024C0A" w:rsidRDefault="00694C0F">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Parent Elements</w:t>
            </w:r>
          </w:p>
        </w:tc>
      </w:tr>
      <w:tr w:rsidR="00024C0A" w:rsidTr="00024C0A">
        <w:tc>
          <w:tcPr>
            <w:tcW w:w="0" w:type="auto"/>
            <w:vAlign w:val="center"/>
          </w:tcPr>
          <w:p w:rsidR="00024C0A" w:rsidRDefault="00694C0F">
            <w:pPr>
              <w:pStyle w:val="TableBodyText"/>
            </w:pPr>
            <w:r>
              <w:rPr>
                <w:b/>
              </w:rPr>
              <w:t>SignatureInfoV1</w:t>
            </w:r>
            <w:r>
              <w:t xml:space="preserve"> (§</w:t>
            </w:r>
            <w:hyperlink w:anchor="Section_e1d590674b8849f19da10255d76b4ffa">
              <w:r>
                <w:rPr>
                  <w:rStyle w:val="Hyperlink"/>
                </w:rPr>
                <w:t>3.7.1.13, SignatureInfoV1</w:t>
              </w:r>
            </w:hyperlink>
            <w:r>
              <w:t>)</w:t>
            </w:r>
          </w:p>
        </w:tc>
      </w:tr>
    </w:tbl>
    <w:p w:rsidR="00024C0A" w:rsidRDefault="00024C0A"/>
    <w:p w:rsidR="00024C0A" w:rsidRDefault="00694C0F">
      <w:r>
        <w:lastRenderedPageBreak/>
        <w:t>The following XML Schema fragment defines the contents of this element:</w:t>
      </w:r>
    </w:p>
    <w:p w:rsidR="00024C0A" w:rsidRDefault="00694C0F">
      <w:pPr>
        <w:pStyle w:val="Code"/>
      </w:pPr>
      <w:r>
        <w:t>&lt;simpleType name="ST_Version"&gt;</w:t>
      </w:r>
    </w:p>
    <w:p w:rsidR="00024C0A" w:rsidRDefault="00694C0F">
      <w:pPr>
        <w:pStyle w:val="Code"/>
      </w:pPr>
      <w:r>
        <w:t xml:space="preserve">  &lt;restriction base="xsd:string"&gt;</w:t>
      </w:r>
    </w:p>
    <w:p w:rsidR="00024C0A" w:rsidRDefault="00694C0F">
      <w:pPr>
        <w:pStyle w:val="Code"/>
      </w:pPr>
      <w:r>
        <w:t xml:space="preserve">    &lt;maxLength value="64"/&gt;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3"/>
      </w:pPr>
      <w:bookmarkStart w:id="4189" w:name="section_b4881ca5844b40749239281e24d3de66"/>
      <w:bookmarkStart w:id="4190" w:name="_Toc12262155"/>
      <w:r>
        <w:t>Simple Types</w:t>
      </w:r>
      <w:bookmarkEnd w:id="4189"/>
      <w:bookmarkEnd w:id="4190"/>
      <w:r>
        <w:fldChar w:fldCharType="begin"/>
      </w:r>
      <w:r>
        <w:instrText xml:space="preserve"> XE "Simple Types" </w:instrText>
      </w:r>
      <w:r>
        <w:fldChar w:fldCharType="end"/>
      </w:r>
    </w:p>
    <w:p w:rsidR="00024C0A" w:rsidRDefault="00694C0F">
      <w:r>
        <w:t>This is the complete list of simple types in the http://schemas.microsoft.com/office/2006/digsig namespace.</w:t>
      </w:r>
    </w:p>
    <w:p w:rsidR="00024C0A" w:rsidRDefault="00694C0F">
      <w:pPr>
        <w:pStyle w:val="Heading4"/>
      </w:pPr>
      <w:bookmarkStart w:id="4191" w:name="section_03aa848c942d469c817522d4948e0eb2"/>
      <w:bookmarkStart w:id="4192" w:name="_Toc12262156"/>
      <w:r>
        <w:t>ST_PositiveInteger (Positive Integer)</w:t>
      </w:r>
      <w:bookmarkEnd w:id="4191"/>
      <w:bookmarkEnd w:id="4192"/>
      <w:r>
        <w:fldChar w:fldCharType="begin"/>
      </w:r>
      <w:r>
        <w:instrText xml:space="preserve"> XE "ST_PositiveInteger (Positive Integer)" </w:instrText>
      </w:r>
      <w:r>
        <w:fldChar w:fldCharType="end"/>
      </w:r>
    </w:p>
    <w:p w:rsidR="00024C0A" w:rsidRDefault="00694C0F">
      <w:r>
        <w:t xml:space="preserve">This simple type's contents </w:t>
      </w:r>
      <w:r>
        <w:t>are a restriction of the XML Schema int datatype.</w:t>
      </w:r>
    </w:p>
    <w:p w:rsidR="00024C0A" w:rsidRDefault="00694C0F">
      <w:r>
        <w:t>This simple type also specifies the following restrictions:</w:t>
      </w:r>
    </w:p>
    <w:p w:rsidR="00024C0A" w:rsidRDefault="00694C0F">
      <w:pPr>
        <w:pStyle w:val="ListParagraph"/>
        <w:numPr>
          <w:ilvl w:val="0"/>
          <w:numId w:val="217"/>
        </w:numPr>
      </w:pPr>
      <w:r>
        <w:t>This simple type has a minimum value of greater than 0.</w:t>
      </w:r>
    </w:p>
    <w:tbl>
      <w:tblPr>
        <w:tblStyle w:val="Table-ShadedHeader"/>
        <w:tblW w:w="0" w:type="auto"/>
        <w:tblLook w:val="04A0" w:firstRow="1" w:lastRow="0" w:firstColumn="1" w:lastColumn="0" w:noHBand="0" w:noVBand="1"/>
      </w:tblPr>
      <w:tblGrid>
        <w:gridCol w:w="9475"/>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Referenced By</w:t>
            </w:r>
          </w:p>
        </w:tc>
      </w:tr>
      <w:tr w:rsidR="00024C0A" w:rsidTr="00024C0A">
        <w:tc>
          <w:tcPr>
            <w:tcW w:w="0" w:type="auto"/>
            <w:vAlign w:val="center"/>
          </w:tcPr>
          <w:p w:rsidR="00024C0A" w:rsidRDefault="00694C0F">
            <w:pPr>
              <w:pStyle w:val="TableBodyText"/>
            </w:pPr>
            <w:r>
              <w:rPr>
                <w:b/>
              </w:rPr>
              <w:t>ColorDepth</w:t>
            </w:r>
            <w:r>
              <w:t xml:space="preserve"> (§</w:t>
            </w:r>
            <w:hyperlink w:anchor="Section_6011f8a6fcf4490385398e0bae26b7e7">
              <w:r>
                <w:rPr>
                  <w:rStyle w:val="Hyperlink"/>
                </w:rPr>
                <w:t>3.7.1.2, ColorDepth</w:t>
              </w:r>
            </w:hyperlink>
            <w:r>
              <w:t xml:space="preserve">); </w:t>
            </w:r>
            <w:r>
              <w:rPr>
                <w:b/>
              </w:rPr>
              <w:t>HorizontalResolution</w:t>
            </w:r>
            <w:r>
              <w:t xml:space="preserve"> (§</w:t>
            </w:r>
            <w:hyperlink w:anchor="Section_ee1023c3257842ec982b0963e5328487">
              <w:r>
                <w:rPr>
                  <w:rStyle w:val="Hyperlink"/>
                </w:rPr>
                <w:t>3.7.1.6, HorizontalResolution</w:t>
              </w:r>
            </w:hyperlink>
            <w:r>
              <w:t xml:space="preserve">); </w:t>
            </w:r>
            <w:r>
              <w:rPr>
                <w:b/>
              </w:rPr>
              <w:t>Monitors</w:t>
            </w:r>
            <w:r>
              <w:t xml:space="preserve"> (§</w:t>
            </w:r>
            <w:hyperlink w:anchor="Section_60d0016ce96e44b9907fad464b6d07c7">
              <w:r>
                <w:rPr>
                  <w:rStyle w:val="Hyperlink"/>
                </w:rPr>
                <w:t>3.7.1.8, Monitors</w:t>
              </w:r>
            </w:hyperlink>
            <w:r>
              <w:t xml:space="preserve">); </w:t>
            </w:r>
            <w:r>
              <w:rPr>
                <w:b/>
              </w:rPr>
              <w:t>VerticalResolution</w:t>
            </w:r>
            <w:r>
              <w:t xml:space="preserve"> (§</w:t>
            </w:r>
            <w:hyperlink w:anchor="Section_893fb101ec9d4f8c9153f02e1ab6312b">
              <w:r>
                <w:rPr>
                  <w:rStyle w:val="Hyperlink"/>
                </w:rPr>
                <w:t>3.7.1.19, VerticalResolution</w:t>
              </w:r>
            </w:hyperlink>
            <w:r>
              <w:t>)</w:t>
            </w:r>
          </w:p>
        </w:tc>
      </w:tr>
    </w:tbl>
    <w:p w:rsidR="00024C0A" w:rsidRDefault="00024C0A"/>
    <w:p w:rsidR="00024C0A" w:rsidRDefault="00694C0F">
      <w:r>
        <w:t>The following XML Schema fragment defines the contents of this simple type:</w:t>
      </w:r>
    </w:p>
    <w:p w:rsidR="00024C0A" w:rsidRDefault="00694C0F">
      <w:pPr>
        <w:pStyle w:val="Code"/>
      </w:pPr>
      <w:r>
        <w:t>&lt;simpleType name="ST_PositiveInteger"&gt;</w:t>
      </w:r>
    </w:p>
    <w:p w:rsidR="00024C0A" w:rsidRDefault="00694C0F">
      <w:pPr>
        <w:pStyle w:val="Code"/>
      </w:pPr>
      <w:r>
        <w:t xml:space="preserve">  &lt;restriction base="xsd:int"&gt;</w:t>
      </w:r>
    </w:p>
    <w:p w:rsidR="00024C0A" w:rsidRDefault="00694C0F">
      <w:pPr>
        <w:pStyle w:val="Code"/>
      </w:pPr>
      <w:r>
        <w:t xml:space="preserve">    &lt;minExclusi</w:t>
      </w:r>
      <w:r>
        <w:t>ve value="0"/&gt;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4"/>
      </w:pPr>
      <w:bookmarkStart w:id="4193" w:name="section_4e92419771bc4dd7a396a223845eba27"/>
      <w:bookmarkStart w:id="4194" w:name="_Toc12262157"/>
      <w:r>
        <w:t>ST_SignatureComments (Signature Comments)</w:t>
      </w:r>
      <w:bookmarkEnd w:id="4193"/>
      <w:bookmarkEnd w:id="4194"/>
      <w:r>
        <w:fldChar w:fldCharType="begin"/>
      </w:r>
      <w:r>
        <w:instrText xml:space="preserve"> XE "ST_SignatureComments (Signature Comments)" </w:instrText>
      </w:r>
      <w:r>
        <w:fldChar w:fldCharType="end"/>
      </w:r>
    </w:p>
    <w:p w:rsidR="00024C0A" w:rsidRDefault="00694C0F">
      <w:r>
        <w:t>This simple type's contents are a restriction of the XML Schema string datatype.</w:t>
      </w:r>
    </w:p>
    <w:p w:rsidR="00024C0A" w:rsidRDefault="00694C0F">
      <w:r>
        <w:t xml:space="preserve">This simple type also specifies the </w:t>
      </w:r>
      <w:r>
        <w:t>following restrictions:</w:t>
      </w:r>
    </w:p>
    <w:p w:rsidR="00024C0A" w:rsidRDefault="00694C0F">
      <w:pPr>
        <w:pStyle w:val="ListParagraph"/>
        <w:numPr>
          <w:ilvl w:val="0"/>
          <w:numId w:val="218"/>
        </w:numPr>
      </w:pPr>
      <w:r>
        <w:t>This simple type's contents have a maximum length of 255 characters.</w:t>
      </w:r>
    </w:p>
    <w:tbl>
      <w:tblPr>
        <w:tblStyle w:val="Table-ShadedHeader"/>
        <w:tblW w:w="0" w:type="auto"/>
        <w:tblLook w:val="04A0" w:firstRow="1" w:lastRow="0" w:firstColumn="1" w:lastColumn="0" w:noHBand="0" w:noVBand="1"/>
      </w:tblPr>
      <w:tblGrid>
        <w:gridCol w:w="4799"/>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Referenced By</w:t>
            </w:r>
          </w:p>
        </w:tc>
      </w:tr>
      <w:tr w:rsidR="00024C0A" w:rsidTr="00024C0A">
        <w:tc>
          <w:tcPr>
            <w:tcW w:w="0" w:type="auto"/>
            <w:vAlign w:val="center"/>
          </w:tcPr>
          <w:p w:rsidR="00024C0A" w:rsidRDefault="00694C0F">
            <w:pPr>
              <w:pStyle w:val="TableBodyText"/>
            </w:pPr>
            <w:r>
              <w:rPr>
                <w:b/>
              </w:rPr>
              <w:t>SignatureComments</w:t>
            </w:r>
            <w:r>
              <w:t xml:space="preserve"> (§</w:t>
            </w:r>
            <w:hyperlink w:anchor="Section_ccba739517034b508c1eecb83dfa792b">
              <w:r>
                <w:rPr>
                  <w:rStyle w:val="Hyperlink"/>
                </w:rPr>
                <w:t>3.7.1.11, SignatureComments</w:t>
              </w:r>
            </w:hyperlink>
            <w:r>
              <w:t>)</w:t>
            </w:r>
          </w:p>
        </w:tc>
      </w:tr>
    </w:tbl>
    <w:p w:rsidR="00024C0A" w:rsidRDefault="00024C0A"/>
    <w:p w:rsidR="00024C0A" w:rsidRDefault="00694C0F">
      <w:r>
        <w:t xml:space="preserve">The following XML Schema fragment </w:t>
      </w:r>
      <w:r>
        <w:t>defines the contents of this simple type:</w:t>
      </w:r>
    </w:p>
    <w:p w:rsidR="00024C0A" w:rsidRDefault="00694C0F">
      <w:pPr>
        <w:pStyle w:val="Code"/>
      </w:pPr>
      <w:r>
        <w:t>&lt;simpleType name="ST_SignatureComments"&gt;</w:t>
      </w:r>
    </w:p>
    <w:p w:rsidR="00024C0A" w:rsidRDefault="00694C0F">
      <w:pPr>
        <w:pStyle w:val="Code"/>
      </w:pPr>
      <w:r>
        <w:t xml:space="preserve">  &lt;restriction base="xsd:string"&gt;</w:t>
      </w:r>
    </w:p>
    <w:p w:rsidR="00024C0A" w:rsidRDefault="00694C0F">
      <w:pPr>
        <w:pStyle w:val="Code"/>
      </w:pPr>
      <w:r>
        <w:t xml:space="preserve">    &lt;maxLength value="255"/&gt;</w:t>
      </w:r>
    </w:p>
    <w:p w:rsidR="00024C0A" w:rsidRDefault="00694C0F">
      <w:pPr>
        <w:pStyle w:val="Code"/>
      </w:pPr>
      <w:r>
        <w:t xml:space="preserve">  &lt;/restriction&gt;</w:t>
      </w:r>
    </w:p>
    <w:p w:rsidR="00024C0A" w:rsidRDefault="00694C0F">
      <w:pPr>
        <w:pStyle w:val="Code"/>
      </w:pPr>
      <w:r>
        <w:lastRenderedPageBreak/>
        <w:t>&lt;/simpleType&gt;</w:t>
      </w:r>
    </w:p>
    <w:p w:rsidR="00024C0A" w:rsidRDefault="00694C0F">
      <w:pPr>
        <w:pStyle w:val="Heading4"/>
      </w:pPr>
      <w:bookmarkStart w:id="4195" w:name="section_2fdd7f10d23a40ee9431d04ec89bb73c"/>
      <w:bookmarkStart w:id="4196" w:name="_Toc12262158"/>
      <w:r>
        <w:t>ST_SignatureProviderUrl (Signature Provider URL)</w:t>
      </w:r>
      <w:bookmarkEnd w:id="4195"/>
      <w:bookmarkEnd w:id="4196"/>
      <w:r>
        <w:fldChar w:fldCharType="begin"/>
      </w:r>
      <w:r>
        <w:instrText xml:space="preserve"> XE "ST_SignatureProviderUrl (S</w:instrText>
      </w:r>
      <w:r>
        <w:instrText xml:space="preserve">ignature Provider URL)" </w:instrText>
      </w:r>
      <w:r>
        <w:fldChar w:fldCharType="end"/>
      </w:r>
    </w:p>
    <w:p w:rsidR="00024C0A" w:rsidRDefault="00694C0F">
      <w:r>
        <w:t>This simple type's contents are a restriction of the XML Schema string datatype.</w:t>
      </w:r>
    </w:p>
    <w:p w:rsidR="00024C0A" w:rsidRDefault="00694C0F">
      <w:r>
        <w:t>This simple type also specifies the following restrictions:</w:t>
      </w:r>
    </w:p>
    <w:p w:rsidR="00024C0A" w:rsidRDefault="00694C0F">
      <w:pPr>
        <w:pStyle w:val="ListParagraph"/>
        <w:numPr>
          <w:ilvl w:val="0"/>
          <w:numId w:val="219"/>
        </w:numPr>
      </w:pPr>
      <w:r>
        <w:t>This simple type's contents have a maximum length of 2083 characters.</w:t>
      </w:r>
    </w:p>
    <w:tbl>
      <w:tblPr>
        <w:tblStyle w:val="Table-ShadedHeader"/>
        <w:tblW w:w="0" w:type="auto"/>
        <w:tblLook w:val="04A0" w:firstRow="1" w:lastRow="0" w:firstColumn="1" w:lastColumn="0" w:noHBand="0" w:noVBand="1"/>
      </w:tblPr>
      <w:tblGrid>
        <w:gridCol w:w="4904"/>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Referenced By</w:t>
            </w:r>
          </w:p>
        </w:tc>
      </w:tr>
      <w:tr w:rsidR="00024C0A" w:rsidTr="00024C0A">
        <w:tc>
          <w:tcPr>
            <w:tcW w:w="0" w:type="auto"/>
            <w:vAlign w:val="center"/>
          </w:tcPr>
          <w:p w:rsidR="00024C0A" w:rsidRDefault="00694C0F">
            <w:pPr>
              <w:pStyle w:val="TableBodyText"/>
            </w:pPr>
            <w:r>
              <w:rPr>
                <w:b/>
              </w:rPr>
              <w:t>SignatureProviderUrl</w:t>
            </w:r>
            <w:r>
              <w:t xml:space="preserve"> (§</w:t>
            </w:r>
            <w:hyperlink w:anchor="Section_74b29f9a7df748178e172d784aadffe9">
              <w:r>
                <w:rPr>
                  <w:rStyle w:val="Hyperlink"/>
                </w:rPr>
                <w:t>3.7.1.16, SignatureProviderUrl</w:t>
              </w:r>
            </w:hyperlink>
            <w:r>
              <w:t>)</w:t>
            </w:r>
          </w:p>
        </w:tc>
      </w:tr>
    </w:tbl>
    <w:p w:rsidR="00024C0A" w:rsidRDefault="00024C0A"/>
    <w:p w:rsidR="00024C0A" w:rsidRDefault="00694C0F">
      <w:r>
        <w:t>The following XML Schema fragment defines the contents of this simple type:</w:t>
      </w:r>
    </w:p>
    <w:p w:rsidR="00024C0A" w:rsidRDefault="00694C0F">
      <w:pPr>
        <w:pStyle w:val="Code"/>
      </w:pPr>
      <w:r>
        <w:t>&lt;simpleType name="ST_SignatureProviderUrl"&gt;</w:t>
      </w:r>
    </w:p>
    <w:p w:rsidR="00024C0A" w:rsidRDefault="00694C0F">
      <w:pPr>
        <w:pStyle w:val="Code"/>
      </w:pPr>
      <w:r>
        <w:t xml:space="preserve">  &lt;restriction b</w:t>
      </w:r>
      <w:r>
        <w:t>ase="xsd:string"&gt;</w:t>
      </w:r>
    </w:p>
    <w:p w:rsidR="00024C0A" w:rsidRDefault="00694C0F">
      <w:pPr>
        <w:pStyle w:val="Code"/>
      </w:pPr>
      <w:r>
        <w:t xml:space="preserve">    &lt;maxLength value="2083"/&gt;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4"/>
      </w:pPr>
      <w:bookmarkStart w:id="4197" w:name="section_4bac229a77b34557aa4ce93641da133d"/>
      <w:bookmarkStart w:id="4198" w:name="_Toc12262159"/>
      <w:r>
        <w:t>ST_SignatureText (Signature Text)</w:t>
      </w:r>
      <w:bookmarkEnd w:id="4197"/>
      <w:bookmarkEnd w:id="4198"/>
      <w:r>
        <w:fldChar w:fldCharType="begin"/>
      </w:r>
      <w:r>
        <w:instrText xml:space="preserve"> XE "ST_SignatureText (Signature Text)" </w:instrText>
      </w:r>
      <w:r>
        <w:fldChar w:fldCharType="end"/>
      </w:r>
    </w:p>
    <w:p w:rsidR="00024C0A" w:rsidRDefault="00694C0F">
      <w:r>
        <w:t>This simple type's contents are a restriction of the XML Schema string datatype.</w:t>
      </w:r>
    </w:p>
    <w:p w:rsidR="00024C0A" w:rsidRDefault="00694C0F">
      <w:r>
        <w:t>This simple type als</w:t>
      </w:r>
      <w:r>
        <w:t>o specifies the following restrictions:</w:t>
      </w:r>
    </w:p>
    <w:p w:rsidR="00024C0A" w:rsidRDefault="00694C0F">
      <w:pPr>
        <w:pStyle w:val="ListParagraph"/>
        <w:numPr>
          <w:ilvl w:val="0"/>
          <w:numId w:val="220"/>
        </w:numPr>
      </w:pPr>
      <w:r>
        <w:t>This simple type's contents have a maximum length of 100 characters.</w:t>
      </w:r>
    </w:p>
    <w:tbl>
      <w:tblPr>
        <w:tblStyle w:val="Table-ShadedHeader"/>
        <w:tblW w:w="0" w:type="auto"/>
        <w:tblLook w:val="04A0" w:firstRow="1" w:lastRow="0" w:firstColumn="1" w:lastColumn="0" w:noHBand="0" w:noVBand="1"/>
      </w:tblPr>
      <w:tblGrid>
        <w:gridCol w:w="3730"/>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Referenced By</w:t>
            </w:r>
          </w:p>
        </w:tc>
      </w:tr>
      <w:tr w:rsidR="00024C0A" w:rsidTr="00024C0A">
        <w:tc>
          <w:tcPr>
            <w:tcW w:w="0" w:type="auto"/>
            <w:vAlign w:val="center"/>
          </w:tcPr>
          <w:p w:rsidR="00024C0A" w:rsidRDefault="00694C0F">
            <w:pPr>
              <w:pStyle w:val="TableBodyText"/>
            </w:pPr>
            <w:r>
              <w:rPr>
                <w:b/>
              </w:rPr>
              <w:t>SignatureText</w:t>
            </w:r>
            <w:r>
              <w:t xml:space="preserve"> (§</w:t>
            </w:r>
            <w:hyperlink w:anchor="Section_1821e4f974df4c2f83261b8cfbf05832">
              <w:r>
                <w:rPr>
                  <w:rStyle w:val="Hyperlink"/>
                </w:rPr>
                <w:t>3.7.1.17, SignatureText</w:t>
              </w:r>
            </w:hyperlink>
            <w:r>
              <w:t>)</w:t>
            </w:r>
          </w:p>
        </w:tc>
      </w:tr>
    </w:tbl>
    <w:p w:rsidR="00024C0A" w:rsidRDefault="00024C0A"/>
    <w:p w:rsidR="00024C0A" w:rsidRDefault="00694C0F">
      <w:r>
        <w:t xml:space="preserve">The following XML Schema </w:t>
      </w:r>
      <w:r>
        <w:t>fragment defines the contents of this simple type:</w:t>
      </w:r>
    </w:p>
    <w:p w:rsidR="00024C0A" w:rsidRDefault="00694C0F">
      <w:pPr>
        <w:pStyle w:val="Code"/>
      </w:pPr>
      <w:r>
        <w:t>&lt;simpleType name="ST_SignatureText"&gt;</w:t>
      </w:r>
    </w:p>
    <w:p w:rsidR="00024C0A" w:rsidRDefault="00694C0F">
      <w:pPr>
        <w:pStyle w:val="Code"/>
      </w:pPr>
      <w:r>
        <w:t xml:space="preserve">  &lt;restriction base="xsd:string"&gt;</w:t>
      </w:r>
    </w:p>
    <w:p w:rsidR="00024C0A" w:rsidRDefault="00694C0F">
      <w:pPr>
        <w:pStyle w:val="Code"/>
      </w:pPr>
      <w:r>
        <w:t xml:space="preserve">    &lt;maxLength value="100"/&gt;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4"/>
      </w:pPr>
      <w:bookmarkStart w:id="4199" w:name="section_65d1befb272a48f59a5b3896300299ee"/>
      <w:bookmarkStart w:id="4200" w:name="_Toc12262160"/>
      <w:r>
        <w:t>ST_SignatureType (Signature Type)</w:t>
      </w:r>
      <w:bookmarkEnd w:id="4199"/>
      <w:bookmarkEnd w:id="4200"/>
      <w:r>
        <w:fldChar w:fldCharType="begin"/>
      </w:r>
      <w:r>
        <w:instrText xml:space="preserve"> XE "ST_SignatureType (Signature Type)" </w:instrText>
      </w:r>
      <w:r>
        <w:fldChar w:fldCharType="end"/>
      </w:r>
    </w:p>
    <w:p w:rsidR="00024C0A" w:rsidRDefault="00694C0F">
      <w:r>
        <w:t>This simple type's contents are a restriction of the XML Schema int datatype.</w:t>
      </w:r>
    </w:p>
    <w:p w:rsidR="00024C0A" w:rsidRDefault="00694C0F">
      <w:r>
        <w:t>The following are possible enumeration values for this type:</w:t>
      </w:r>
    </w:p>
    <w:tbl>
      <w:tblPr>
        <w:tblStyle w:val="Table-ShadedHeader"/>
        <w:tblW w:w="0" w:type="auto"/>
        <w:tblLook w:val="04A0" w:firstRow="1" w:lastRow="0" w:firstColumn="1" w:lastColumn="0" w:noHBand="0" w:noVBand="1"/>
      </w:tblPr>
      <w:tblGrid>
        <w:gridCol w:w="1598"/>
        <w:gridCol w:w="7877"/>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lastRenderedPageBreak/>
              <w:t>Enumeration Value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b/>
              </w:rPr>
              <w:t>1</w:t>
            </w:r>
            <w:r>
              <w:t xml:space="preserve"> (Invisible)</w:t>
            </w:r>
          </w:p>
        </w:tc>
        <w:tc>
          <w:tcPr>
            <w:tcW w:w="0" w:type="auto"/>
            <w:vAlign w:val="center"/>
          </w:tcPr>
          <w:p w:rsidR="00024C0A" w:rsidRDefault="00694C0F">
            <w:pPr>
              <w:pStyle w:val="TableBodyText"/>
            </w:pPr>
            <w:r>
              <w:t xml:space="preserve">Specifies that there shall not be a visible representation of the </w:t>
            </w:r>
            <w:r>
              <w:t>digital signature.</w:t>
            </w:r>
          </w:p>
        </w:tc>
      </w:tr>
      <w:tr w:rsidR="00024C0A" w:rsidTr="00024C0A">
        <w:tc>
          <w:tcPr>
            <w:tcW w:w="0" w:type="auto"/>
            <w:vAlign w:val="center"/>
          </w:tcPr>
          <w:p w:rsidR="00024C0A" w:rsidRDefault="00694C0F">
            <w:pPr>
              <w:pStyle w:val="TableBodyText"/>
            </w:pPr>
            <w:r>
              <w:rPr>
                <w:b/>
              </w:rPr>
              <w:t>2</w:t>
            </w:r>
            <w:r>
              <w:t xml:space="preserve"> (Signature Line)</w:t>
            </w:r>
          </w:p>
        </w:tc>
        <w:tc>
          <w:tcPr>
            <w:tcW w:w="0" w:type="auto"/>
            <w:vAlign w:val="center"/>
          </w:tcPr>
          <w:p w:rsidR="00024C0A" w:rsidRDefault="00694C0F">
            <w:pPr>
              <w:pStyle w:val="TableBodyText"/>
            </w:pPr>
            <w:r>
              <w:t xml:space="preserve">Specifies that there shall be a visible representation of the digital signature, where the </w:t>
            </w:r>
            <w:r>
              <w:rPr>
                <w:b/>
              </w:rPr>
              <w:t xml:space="preserve">GUID </w:t>
            </w:r>
            <w:r>
              <w:t xml:space="preserve">of the visible representation (the signature line stored in the document content) shall match the value of the </w:t>
            </w:r>
            <w:r>
              <w:rPr>
                <w:b/>
              </w:rPr>
              <w:t>SetupId</w:t>
            </w:r>
            <w:r>
              <w:t xml:space="preserve"> element.</w:t>
            </w:r>
          </w:p>
        </w:tc>
      </w:tr>
    </w:tbl>
    <w:p w:rsidR="00024C0A" w:rsidRDefault="00024C0A"/>
    <w:p w:rsidR="00024C0A" w:rsidRDefault="00024C0A"/>
    <w:tbl>
      <w:tblPr>
        <w:tblStyle w:val="Table-ShadedHeader"/>
        <w:tblW w:w="0" w:type="auto"/>
        <w:tblLook w:val="04A0" w:firstRow="1" w:lastRow="0" w:firstColumn="1" w:lastColumn="0" w:noHBand="0" w:noVBand="1"/>
      </w:tblPr>
      <w:tblGrid>
        <w:gridCol w:w="3803"/>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Referenced By</w:t>
            </w:r>
          </w:p>
        </w:tc>
      </w:tr>
      <w:tr w:rsidR="00024C0A" w:rsidTr="00024C0A">
        <w:tc>
          <w:tcPr>
            <w:tcW w:w="0" w:type="auto"/>
            <w:vAlign w:val="center"/>
          </w:tcPr>
          <w:p w:rsidR="00024C0A" w:rsidRDefault="00694C0F">
            <w:pPr>
              <w:pStyle w:val="TableBodyText"/>
            </w:pPr>
            <w:r>
              <w:rPr>
                <w:b/>
              </w:rPr>
              <w:t>SignatureType</w:t>
            </w:r>
            <w:r>
              <w:t xml:space="preserve"> (§</w:t>
            </w:r>
            <w:hyperlink w:anchor="Section_f57f4e24eab6408c9e521bdd530a42f2">
              <w:r>
                <w:rPr>
                  <w:rStyle w:val="Hyperlink"/>
                </w:rPr>
                <w:t>3.7.1.18, SignatureType</w:t>
              </w:r>
            </w:hyperlink>
            <w:r>
              <w:t>)</w:t>
            </w:r>
          </w:p>
        </w:tc>
      </w:tr>
    </w:tbl>
    <w:p w:rsidR="00024C0A" w:rsidRDefault="00024C0A"/>
    <w:p w:rsidR="00024C0A" w:rsidRDefault="00694C0F">
      <w:r>
        <w:t>The following XML Schema fragment defines the contents of this simple type:</w:t>
      </w:r>
    </w:p>
    <w:p w:rsidR="00024C0A" w:rsidRDefault="00694C0F">
      <w:pPr>
        <w:pStyle w:val="Code"/>
      </w:pPr>
      <w:r>
        <w:t>&lt;simpleType name="ST_SignatureType"&gt;</w:t>
      </w:r>
    </w:p>
    <w:p w:rsidR="00024C0A" w:rsidRDefault="00694C0F">
      <w:pPr>
        <w:pStyle w:val="Code"/>
      </w:pPr>
      <w:r>
        <w:t xml:space="preserve">  &lt;restri</w:t>
      </w:r>
      <w:r>
        <w:t>ction base="xsd:int"&gt;</w:t>
      </w:r>
    </w:p>
    <w:p w:rsidR="00024C0A" w:rsidRDefault="00694C0F">
      <w:pPr>
        <w:pStyle w:val="Code"/>
      </w:pPr>
      <w:r>
        <w:t xml:space="preserve">    &lt;enumeration value="1"/&gt;</w:t>
      </w:r>
    </w:p>
    <w:p w:rsidR="00024C0A" w:rsidRDefault="00694C0F">
      <w:pPr>
        <w:pStyle w:val="Code"/>
      </w:pPr>
      <w:r>
        <w:t xml:space="preserve">    &lt;enumeration value="2"/&gt;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4"/>
      </w:pPr>
      <w:bookmarkStart w:id="4201" w:name="section_6478af0db7b4409889c50d291a9cf0ce"/>
      <w:bookmarkStart w:id="4202" w:name="_Toc12262161"/>
      <w:r>
        <w:t>ST_UniqueIdentifierWithBraces (Unique Identifier with Braces)</w:t>
      </w:r>
      <w:bookmarkEnd w:id="4201"/>
      <w:bookmarkEnd w:id="4202"/>
      <w:r>
        <w:fldChar w:fldCharType="begin"/>
      </w:r>
      <w:r>
        <w:instrText xml:space="preserve"> XE "ST_UniqueIdentifierWithBraces (Unique Identifier with Braces)" </w:instrText>
      </w:r>
      <w:r>
        <w:fldChar w:fldCharType="end"/>
      </w:r>
    </w:p>
    <w:p w:rsidR="00024C0A" w:rsidRDefault="00694C0F">
      <w:r>
        <w:t xml:space="preserve">This simple </w:t>
      </w:r>
      <w:r>
        <w:t>type's contents are a restriction of the XML Schema string datatype.</w:t>
      </w:r>
    </w:p>
    <w:p w:rsidR="00024C0A" w:rsidRDefault="00694C0F">
      <w:r>
        <w:t>This simple type also specifies the following restrictions:</w:t>
      </w:r>
    </w:p>
    <w:p w:rsidR="00024C0A" w:rsidRDefault="00694C0F">
      <w:pPr>
        <w:pStyle w:val="ListParagraph"/>
        <w:numPr>
          <w:ilvl w:val="0"/>
          <w:numId w:val="221"/>
        </w:numPr>
      </w:pPr>
      <w:r>
        <w:t>This simple type's contents shall match the following regular expression pattern: \{[0-9a-fA-F]{8}\-[0-9a-fA-F]{4}\-[0-9a-fA-F]</w:t>
      </w:r>
      <w:r>
        <w:t>{4}\-[0-9a-fA-F]{4}\-[0-9a-fA-F]{12}\}|.</w:t>
      </w:r>
    </w:p>
    <w:tbl>
      <w:tblPr>
        <w:tblStyle w:val="Table-ShadedHeader"/>
        <w:tblW w:w="0" w:type="auto"/>
        <w:tblLook w:val="04A0" w:firstRow="1" w:lastRow="0" w:firstColumn="1" w:lastColumn="0" w:noHBand="0" w:noVBand="1"/>
      </w:tblPr>
      <w:tblGrid>
        <w:gridCol w:w="7404"/>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Referenced By</w:t>
            </w:r>
          </w:p>
        </w:tc>
      </w:tr>
      <w:tr w:rsidR="00024C0A" w:rsidTr="00024C0A">
        <w:tc>
          <w:tcPr>
            <w:tcW w:w="0" w:type="auto"/>
            <w:vAlign w:val="center"/>
          </w:tcPr>
          <w:p w:rsidR="00024C0A" w:rsidRDefault="00694C0F">
            <w:pPr>
              <w:pStyle w:val="TableBodyText"/>
            </w:pPr>
            <w:r>
              <w:rPr>
                <w:b/>
              </w:rPr>
              <w:t>SetupID</w:t>
            </w:r>
            <w:r>
              <w:t xml:space="preserve"> (§</w:t>
            </w:r>
            <w:hyperlink w:anchor="Section_0bc6416855b2438bb0db2ffc5bb065de">
              <w:r>
                <w:rPr>
                  <w:rStyle w:val="Hyperlink"/>
                </w:rPr>
                <w:t>3.7.1.10, SetupID</w:t>
              </w:r>
            </w:hyperlink>
            <w:r>
              <w:t xml:space="preserve">); </w:t>
            </w:r>
            <w:r>
              <w:rPr>
                <w:b/>
              </w:rPr>
              <w:t>SignatureProviderId</w:t>
            </w:r>
            <w:r>
              <w:t xml:space="preserve"> (§</w:t>
            </w:r>
            <w:hyperlink w:anchor="Section_67ad36eae0d24df6b7e1c3dc0d6b32ea">
              <w:r>
                <w:rPr>
                  <w:rStyle w:val="Hyperlink"/>
                </w:rPr>
                <w:t>3.7.1.15, SignaturePro</w:t>
              </w:r>
              <w:r>
                <w:rPr>
                  <w:rStyle w:val="Hyperlink"/>
                </w:rPr>
                <w:t>viderId</w:t>
              </w:r>
            </w:hyperlink>
            <w:r>
              <w:t>)</w:t>
            </w:r>
          </w:p>
        </w:tc>
      </w:tr>
    </w:tbl>
    <w:p w:rsidR="00024C0A" w:rsidRDefault="00024C0A"/>
    <w:p w:rsidR="00024C0A" w:rsidRDefault="00694C0F">
      <w:r>
        <w:t>The following XML Schema fragment defines the contents of this simple type:</w:t>
      </w:r>
    </w:p>
    <w:p w:rsidR="00024C0A" w:rsidRDefault="00694C0F">
      <w:pPr>
        <w:pStyle w:val="Code"/>
      </w:pPr>
      <w:r>
        <w:t>&lt;simpleType name="ST_UniqueIdentifierWithBraces"&gt;</w:t>
      </w:r>
    </w:p>
    <w:p w:rsidR="00024C0A" w:rsidRDefault="00694C0F">
      <w:pPr>
        <w:pStyle w:val="Code"/>
      </w:pPr>
      <w:r>
        <w:t xml:space="preserve">  &lt;restriction base="xsd:string"&gt;</w:t>
      </w:r>
    </w:p>
    <w:p w:rsidR="00024C0A" w:rsidRDefault="00694C0F">
      <w:pPr>
        <w:pStyle w:val="Code"/>
      </w:pPr>
      <w:r>
        <w:t xml:space="preserve">    &lt;pattern value="\{[0-9a-fA-F]{8}\-[0-9a-fA-F]{4}\-[0-9a-fA-F]{4}\-[0-9a-fA-F]{4}\</w:t>
      </w:r>
      <w:r>
        <w:t>-[0-9a-fA-F]{12}\}|"/&gt;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4"/>
      </w:pPr>
      <w:bookmarkStart w:id="4203" w:name="section_9c80c836e9844ac89c825d2d5bf63221"/>
      <w:bookmarkStart w:id="4204" w:name="_Toc12262162"/>
      <w:r>
        <w:t>ST_Version (Version)</w:t>
      </w:r>
      <w:bookmarkEnd w:id="4203"/>
      <w:bookmarkEnd w:id="4204"/>
      <w:r>
        <w:fldChar w:fldCharType="begin"/>
      </w:r>
      <w:r>
        <w:instrText xml:space="preserve"> XE "ST_Version (Version)" </w:instrText>
      </w:r>
      <w:r>
        <w:fldChar w:fldCharType="end"/>
      </w:r>
    </w:p>
    <w:p w:rsidR="00024C0A" w:rsidRDefault="00694C0F">
      <w:r>
        <w:t xml:space="preserve">Specifies a version number in the form </w:t>
      </w:r>
      <w:r>
        <w:rPr>
          <w:i/>
        </w:rPr>
        <w:t>X.Y</w:t>
      </w:r>
      <w:r>
        <w:t xml:space="preserve">, where </w:t>
      </w:r>
      <w:r>
        <w:rPr>
          <w:i/>
        </w:rPr>
        <w:t>X</w:t>
      </w:r>
      <w:r>
        <w:t xml:space="preserve"> is the major version number and </w:t>
      </w:r>
      <w:r>
        <w:rPr>
          <w:i/>
        </w:rPr>
        <w:t>Y</w:t>
      </w:r>
      <w:r>
        <w:t xml:space="preserve"> is the minor version number.</w:t>
      </w:r>
    </w:p>
    <w:p w:rsidR="00024C0A" w:rsidRDefault="00694C0F">
      <w:r>
        <w:t xml:space="preserve">This simple type's contents are a </w:t>
      </w:r>
      <w:r>
        <w:t>restriction of the XML Schema string datatype.</w:t>
      </w:r>
    </w:p>
    <w:p w:rsidR="00024C0A" w:rsidRDefault="00694C0F">
      <w:r>
        <w:lastRenderedPageBreak/>
        <w:t>This simple type also specifies the following restrictions:</w:t>
      </w:r>
    </w:p>
    <w:p w:rsidR="00024C0A" w:rsidRDefault="00694C0F">
      <w:pPr>
        <w:pStyle w:val="ListParagraph"/>
        <w:numPr>
          <w:ilvl w:val="0"/>
          <w:numId w:val="222"/>
        </w:numPr>
      </w:pPr>
      <w:r>
        <w:t>This simple type's contents have a maximum length of 64 characters.</w:t>
      </w:r>
    </w:p>
    <w:tbl>
      <w:tblPr>
        <w:tblStyle w:val="Table-ShadedHeader"/>
        <w:tblW w:w="0" w:type="auto"/>
        <w:tblLook w:val="04A0" w:firstRow="1" w:lastRow="0" w:firstColumn="1" w:lastColumn="0" w:noHBand="0" w:noVBand="1"/>
      </w:tblPr>
      <w:tblGrid>
        <w:gridCol w:w="9475"/>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Referenced By</w:t>
            </w:r>
          </w:p>
        </w:tc>
      </w:tr>
      <w:tr w:rsidR="00024C0A" w:rsidTr="00024C0A">
        <w:tc>
          <w:tcPr>
            <w:tcW w:w="0" w:type="auto"/>
            <w:vAlign w:val="center"/>
          </w:tcPr>
          <w:p w:rsidR="00024C0A" w:rsidRDefault="00694C0F">
            <w:pPr>
              <w:pStyle w:val="TableBodyText"/>
            </w:pPr>
            <w:r>
              <w:rPr>
                <w:b/>
              </w:rPr>
              <w:t>ApplicationVersion</w:t>
            </w:r>
            <w:r>
              <w:t xml:space="preserve"> (§</w:t>
            </w:r>
            <w:hyperlink w:anchor="Section_38917d35404040a79ad61d6b07d983f4">
              <w:r>
                <w:rPr>
                  <w:rStyle w:val="Hyperlink"/>
                </w:rPr>
                <w:t>3.7.1.1, ApplicationVersion</w:t>
              </w:r>
            </w:hyperlink>
            <w:r>
              <w:t xml:space="preserve">); </w:t>
            </w:r>
            <w:r>
              <w:rPr>
                <w:b/>
              </w:rPr>
              <w:t>OfficeVersion</w:t>
            </w:r>
            <w:r>
              <w:t xml:space="preserve"> (§</w:t>
            </w:r>
            <w:hyperlink w:anchor="Section_23222e735ee349129a22bfb0fc14d075">
              <w:r>
                <w:rPr>
                  <w:rStyle w:val="Hyperlink"/>
                </w:rPr>
                <w:t>3.7.1.9, OfficeVersion</w:t>
              </w:r>
            </w:hyperlink>
            <w:r>
              <w:t xml:space="preserve">); </w:t>
            </w:r>
            <w:r>
              <w:rPr>
                <w:b/>
              </w:rPr>
              <w:t>WindowsVersion</w:t>
            </w:r>
            <w:r>
              <w:t xml:space="preserve"> (§</w:t>
            </w:r>
            <w:hyperlink w:anchor="Section_ae87853684e54213896f28ec7f70b4aa">
              <w:r>
                <w:rPr>
                  <w:rStyle w:val="Hyperlink"/>
                </w:rPr>
                <w:t>3.7.1.20, WindowsVersion</w:t>
              </w:r>
            </w:hyperlink>
            <w:r>
              <w:t>)</w:t>
            </w:r>
          </w:p>
        </w:tc>
      </w:tr>
    </w:tbl>
    <w:p w:rsidR="00024C0A" w:rsidRDefault="00024C0A"/>
    <w:p w:rsidR="00024C0A" w:rsidRDefault="00694C0F">
      <w:r>
        <w:t>The following XML Schema fragment defines the contents of this simple type:</w:t>
      </w:r>
    </w:p>
    <w:p w:rsidR="00024C0A" w:rsidRDefault="00694C0F">
      <w:pPr>
        <w:pStyle w:val="Code"/>
      </w:pPr>
      <w:r>
        <w:t>&lt;simpleType name="ST_Version"&gt;</w:t>
      </w:r>
    </w:p>
    <w:p w:rsidR="00024C0A" w:rsidRDefault="00694C0F">
      <w:pPr>
        <w:pStyle w:val="Code"/>
      </w:pPr>
      <w:r>
        <w:t xml:space="preserve">  &lt;restriction base="xsd:string"&gt;</w:t>
      </w:r>
    </w:p>
    <w:p w:rsidR="00024C0A" w:rsidRDefault="00694C0F">
      <w:pPr>
        <w:pStyle w:val="Code"/>
      </w:pPr>
      <w:r>
        <w:t xml:space="preserve">    &lt;maxLength value="64"/&gt;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2"/>
      </w:pPr>
      <w:bookmarkStart w:id="4205" w:name="section_f6bb45e674ca4e37a30b13a40d6ea3ff"/>
      <w:bookmarkStart w:id="4206" w:name="_Toc12262163"/>
      <w:r>
        <w:t>Equation XML</w:t>
      </w:r>
      <w:bookmarkEnd w:id="4205"/>
      <w:bookmarkEnd w:id="4206"/>
    </w:p>
    <w:p w:rsidR="00024C0A" w:rsidRDefault="00694C0F">
      <w:pPr>
        <w:pStyle w:val="Heading3"/>
      </w:pPr>
      <w:bookmarkStart w:id="4207" w:name="section_d107771466614178b6dfaa3272635214"/>
      <w:bookmarkStart w:id="4208" w:name="_Toc12262164"/>
      <w:r>
        <w:t>Introduction</w:t>
      </w:r>
      <w:bookmarkEnd w:id="4207"/>
      <w:bookmarkEnd w:id="4208"/>
      <w:r>
        <w:fldChar w:fldCharType="begin"/>
      </w:r>
      <w:r>
        <w:instrText xml:space="preserve"> XE "Introduction" </w:instrText>
      </w:r>
      <w:r>
        <w:fldChar w:fldCharType="end"/>
      </w:r>
    </w:p>
    <w:p w:rsidR="00024C0A" w:rsidRDefault="00694C0F">
      <w:r>
        <w:t>Word supports a Compatibility Mode in which it disables functionality not compatible with earlier versions of Word. Versions of Word prior to Word 2007 do not have native support for displaying Office Open XML</w:t>
      </w:r>
      <w:r>
        <w:t xml:space="preserve"> Math.  Instances of Office Open XML Math in Word documents are converted to pictures to preserve their visual fidelity when opened in versions of Word earlier than Word 2007. To do this, Word adds additional information to those pictures, using the </w:t>
      </w:r>
      <w:r>
        <w:rPr>
          <w:b/>
        </w:rPr>
        <w:t>equati</w:t>
      </w:r>
      <w:r>
        <w:rPr>
          <w:b/>
        </w:rPr>
        <w:t>onxml</w:t>
      </w:r>
      <w:r>
        <w:t xml:space="preserve"> attribute present on the </w:t>
      </w:r>
      <w:r>
        <w:rPr>
          <w:b/>
        </w:rPr>
        <w:t>shape</w:t>
      </w:r>
      <w:r>
        <w:t xml:space="preserve"> element ("</w:t>
      </w:r>
      <w:hyperlink r:id="rId373">
        <w:r>
          <w:rPr>
            <w:rStyle w:val="Hyperlink"/>
          </w:rPr>
          <w:t>[ISO/IEC-29500-4]</w:t>
        </w:r>
      </w:hyperlink>
      <w:r>
        <w:t xml:space="preserve"> §19.1.2.19; shape (Shape Definition)"), to store the Office Open XML Math which represents the original equation/expression. </w:t>
      </w:r>
      <w:r>
        <w:t>If the document is removed from Compatibility Mode, the contents of this attribute are then used to replace the image with the specified equation/expression.</w:t>
      </w:r>
    </w:p>
    <w:p w:rsidR="00024C0A" w:rsidRDefault="00694C0F">
      <w:r>
        <w:t>This document describes the format in which Word 2007, Word 2010, or earlier versions of Word with</w:t>
      </w:r>
      <w:r>
        <w:t xml:space="preserve"> the Compatibility Pack, store Office Open XML Math content inside the </w:t>
      </w:r>
      <w:r>
        <w:rPr>
          <w:b/>
        </w:rPr>
        <w:t>equationxml</w:t>
      </w:r>
      <w:r>
        <w:t xml:space="preserve"> attribute.</w:t>
      </w:r>
    </w:p>
    <w:p w:rsidR="00024C0A" w:rsidRDefault="00694C0F">
      <w:pPr>
        <w:pStyle w:val="Heading3"/>
      </w:pPr>
      <w:bookmarkStart w:id="4209" w:name="section_3c14676e4afc4b11a492ca6c326c60c6"/>
      <w:bookmarkStart w:id="4210" w:name="_Toc12262165"/>
      <w:r>
        <w:t>Basic Format</w:t>
      </w:r>
      <w:bookmarkEnd w:id="4209"/>
      <w:bookmarkEnd w:id="4210"/>
      <w:r>
        <w:fldChar w:fldCharType="begin"/>
      </w:r>
      <w:r>
        <w:instrText xml:space="preserve"> XE "Basic Format" </w:instrText>
      </w:r>
      <w:r>
        <w:fldChar w:fldCharType="end"/>
      </w:r>
    </w:p>
    <w:p w:rsidR="00024C0A" w:rsidRDefault="00694C0F">
      <w:r>
        <w:t xml:space="preserve">The </w:t>
      </w:r>
      <w:r>
        <w:rPr>
          <w:b/>
        </w:rPr>
        <w:t>equationXml</w:t>
      </w:r>
      <w:r>
        <w:t xml:space="preserve"> attribute’s content is a complete Word 2003 XML document (defined here: http://msdn.microsoft.com/en-us/library/</w:t>
      </w:r>
      <w:r>
        <w:t>aa272680(office.11).aspx) containing Office Open XML Math elements ("</w:t>
      </w:r>
      <w:hyperlink r:id="rId374">
        <w:r>
          <w:rPr>
            <w:rStyle w:val="Hyperlink"/>
          </w:rPr>
          <w:t>[ISO/IEC-29500-1]</w:t>
        </w:r>
      </w:hyperlink>
      <w:r>
        <w:t xml:space="preserve"> §22.1"), and properly escaped as needed to be stored within an attribute value. </w:t>
      </w:r>
    </w:p>
    <w:p w:rsidR="00024C0A" w:rsidRDefault="00694C0F">
      <w:r>
        <w:t>This document is subje</w:t>
      </w:r>
      <w:r>
        <w:t>ct to the following restrictions:</w:t>
      </w:r>
    </w:p>
    <w:p w:rsidR="00024C0A" w:rsidRDefault="00694C0F">
      <w:pPr>
        <w:pStyle w:val="ListParagraph"/>
        <w:numPr>
          <w:ilvl w:val="0"/>
          <w:numId w:val="223"/>
        </w:numPr>
        <w:contextualSpacing/>
      </w:pPr>
      <w:r>
        <w:t>This Word 2003 XML document must not contain any comments, headers, footers, endnotes, footnotes, or textboxes.</w:t>
      </w:r>
    </w:p>
    <w:p w:rsidR="00024C0A" w:rsidRDefault="00694C0F">
      <w:pPr>
        <w:pStyle w:val="ListParagraph"/>
        <w:numPr>
          <w:ilvl w:val="0"/>
          <w:numId w:val="223"/>
        </w:numPr>
      </w:pPr>
      <w:r>
        <w:t>This Word 2003 XML document must contains a single paragraph (</w:t>
      </w:r>
      <w:r>
        <w:rPr>
          <w:b/>
        </w:rPr>
        <w:t>p element</w:t>
      </w:r>
      <w:r>
        <w:t>).</w:t>
      </w:r>
    </w:p>
    <w:p w:rsidR="00024C0A" w:rsidRDefault="00694C0F">
      <w:r>
        <w:t>That p element must contain a single</w:t>
      </w:r>
      <w:r>
        <w:t xml:space="preserve"> </w:t>
      </w:r>
      <w:r>
        <w:rPr>
          <w:b/>
        </w:rPr>
        <w:t>oMathPara</w:t>
      </w:r>
      <w:r>
        <w:t xml:space="preserve"> element ("[ISO/IEC-29500-1] §22.1.2.78; oMathPara") which in turn must contain a single </w:t>
      </w:r>
      <w:r>
        <w:rPr>
          <w:b/>
        </w:rPr>
        <w:t>oMath</w:t>
      </w:r>
      <w:r>
        <w:t xml:space="preserve"> element ("[ISO/IEC-29500-1] §22.1.2.77; oMath").</w:t>
      </w:r>
    </w:p>
    <w:p w:rsidR="00024C0A" w:rsidRDefault="00694C0F">
      <w:r>
        <w:t xml:space="preserve">The oMathPara element can contain any valid XML from the Office Open XML Math namespace, but must not </w:t>
      </w:r>
      <w:r>
        <w:t xml:space="preserve">contain any markup from any other Office Open XML namespace. Instead, it can contain various elements from the Word 2003 XML namespace (§3.8.5, Office Open XML Math elements which can contain Word </w:t>
      </w:r>
      <w:hyperlink w:anchor="Section_3919289d82cf4eea9be62c8b176a267e">
        <w:r>
          <w:rPr>
            <w:rStyle w:val="Hyperlink"/>
          </w:rPr>
          <w:t>2003</w:t>
        </w:r>
      </w:hyperlink>
      <w:r>
        <w:t xml:space="preserve"> XML elements).</w:t>
      </w:r>
    </w:p>
    <w:p w:rsidR="00024C0A" w:rsidRDefault="00694C0F">
      <w:r>
        <w:lastRenderedPageBreak/>
        <w:t xml:space="preserve">[Example: The following string value represents the encoded contents of the </w:t>
      </w:r>
      <w:r>
        <w:rPr>
          <w:b/>
        </w:rPr>
        <w:t>equationXml</w:t>
      </w:r>
      <w:r>
        <w:t xml:space="preserve"> attribute when it contains a mathematic al expression containing only the character x:</w:t>
      </w:r>
    </w:p>
    <w:p w:rsidR="00024C0A" w:rsidRDefault="00694C0F">
      <w:pPr>
        <w:pStyle w:val="Code"/>
      </w:pPr>
      <w:r>
        <w:t>&amp;lt;w:wordDocument xmlns:m= &amp;quot;http://schemas.openxmlf</w:t>
      </w:r>
      <w:r>
        <w:t>ormats.org/officeDocument/2006/math&amp;quot; xmlns:w=&amp;quot;http://schemas.microsoft.com/office/word/2003/wordml&amp;quot; &amp;gt;&amp;lt;w:body&amp;gt;&amp;lt;w:p&amp;gt;&amp;lt;m:oMathPara&amp;gt;&amp;lt;m:oMath&amp;gt;&amp;lt;m:r&amp;gt; &amp;lt;w:rPr&amp;gt;&amp;lt;w:rFonts w:ascii=&amp;quot;Cambria Math&amp;quot; w:h-ans</w:t>
      </w:r>
      <w:r>
        <w:t>i= &amp;quot;Cambria Math&amp;quot;/&amp;gt;&amp;lt;w:i/&amp;gt;&amp;lt;/w:rPr&amp;gt;&amp;lt;m:t&amp;gt;x&amp;lt;/m:t &amp;gt;&amp;lt;/m:r&amp;gt;&amp;lt;/m:oMath&amp;gt;&amp;lt;/m:oMathPara&amp;gt;&amp;lt;/w:p &amp;gt;&amp;lt;/w:body&amp;gt;&amp;lt;/w:wordDocument&amp;gt;</w:t>
      </w:r>
    </w:p>
    <w:p w:rsidR="00024C0A" w:rsidRDefault="00694C0F">
      <w:r>
        <w:t>end example]</w:t>
      </w:r>
    </w:p>
    <w:p w:rsidR="00024C0A" w:rsidRDefault="00694C0F">
      <w:r>
        <w:t xml:space="preserve">The syntax and semantics of elements from Word 2003 XML and </w:t>
      </w:r>
      <w:r>
        <w:t>of Office Open XML Math are those specified in the corresponding file formats, with the following exceptions:</w:t>
      </w:r>
    </w:p>
    <w:p w:rsidR="00024C0A" w:rsidRDefault="00694C0F">
      <w:pPr>
        <w:pStyle w:val="ListParagraph"/>
        <w:numPr>
          <w:ilvl w:val="0"/>
          <w:numId w:val="224"/>
        </w:numPr>
        <w:contextualSpacing/>
      </w:pPr>
      <w:r>
        <w:t xml:space="preserve">There is a specific list of elements from Word 2003 XML which are each allowed to contain a specific set of elements from Office Open XML Math (§3.8.4, Word </w:t>
      </w:r>
      <w:hyperlink w:anchor="Section_bb90684b1471458ba752ef4f10560cfb">
        <w:r>
          <w:rPr>
            <w:rStyle w:val="Hyperlink"/>
          </w:rPr>
          <w:t>2003</w:t>
        </w:r>
      </w:hyperlink>
      <w:r>
        <w:t xml:space="preserve"> XML elements which can contain </w:t>
      </w:r>
      <w:r>
        <w:t>Office Open XML Math elements).</w:t>
      </w:r>
    </w:p>
    <w:p w:rsidR="00024C0A" w:rsidRDefault="00694C0F">
      <w:pPr>
        <w:pStyle w:val="ListParagraph"/>
        <w:numPr>
          <w:ilvl w:val="0"/>
          <w:numId w:val="224"/>
        </w:numPr>
      </w:pPr>
      <w:r>
        <w:t>Office Open XML Math elements are not allowed to contain any markup from any other Office Open XML namespace. Instead, a specific set of elements from Office Open XML Math are allowed to contain a specific set of elements fr</w:t>
      </w:r>
      <w:r>
        <w:t>om Word 2003 XML (§3.8.5, Office Open XML Math elements which can contain Word 2003 XML elements).</w:t>
      </w:r>
    </w:p>
    <w:p w:rsidR="00024C0A" w:rsidRDefault="00694C0F">
      <w:pPr>
        <w:pStyle w:val="Heading3"/>
      </w:pPr>
      <w:bookmarkStart w:id="4211" w:name="section_4f1a80c7cc9d4b2f8b038d89bc95662a"/>
      <w:bookmarkStart w:id="4212" w:name="_Toc12262166"/>
      <w:r>
        <w:t>Reading the equationXml attribute</w:t>
      </w:r>
      <w:bookmarkEnd w:id="4211"/>
      <w:bookmarkEnd w:id="4212"/>
      <w:r>
        <w:fldChar w:fldCharType="begin"/>
      </w:r>
      <w:r>
        <w:instrText xml:space="preserve"> XE "Reading the equationXml attribute" </w:instrText>
      </w:r>
      <w:r>
        <w:fldChar w:fldCharType="end"/>
      </w:r>
    </w:p>
    <w:p w:rsidR="00024C0A" w:rsidRDefault="00694C0F">
      <w:r>
        <w:t xml:space="preserve">The contents of the </w:t>
      </w:r>
      <w:r>
        <w:rPr>
          <w:b/>
        </w:rPr>
        <w:t>equationXml</w:t>
      </w:r>
      <w:r>
        <w:t xml:space="preserve"> attribute, as written by Word 2007, Word 2010, or</w:t>
      </w:r>
      <w:r>
        <w:t xml:space="preserve"> earlier versions of Word with the Compatibility Pack, can be read in two different ways to determine the mathematical equation associated with the image: </w:t>
      </w:r>
    </w:p>
    <w:p w:rsidR="00024C0A" w:rsidRDefault="00694C0F">
      <w:r>
        <w:t>To determine the associated equation/expression, read only the Office Open XML Math elements and ign</w:t>
      </w:r>
      <w:r>
        <w:t>ore all other elements.</w:t>
      </w:r>
    </w:p>
    <w:p w:rsidR="00024C0A" w:rsidRDefault="00694C0F">
      <w:r>
        <w:t>To determine the associated equation/expression including any additional WordprocessingML formatting (the addition of a bookmark, for example), read all elements.</w:t>
      </w:r>
    </w:p>
    <w:p w:rsidR="00024C0A" w:rsidRDefault="00694C0F">
      <w:r>
        <w:t xml:space="preserve">[Example: The following XML represents the value of the </w:t>
      </w:r>
      <w:r>
        <w:rPr>
          <w:b/>
        </w:rPr>
        <w:t>equationXml</w:t>
      </w:r>
      <w:r>
        <w:t xml:space="preserve"> a</w:t>
      </w:r>
      <w:r>
        <w:t>ttribute representing a mathematical equation containing a fraction with numerator x and denominator y where the numerator is formatted red and the denominator is enclosed in a bookmark with the name “bookmark_name”:</w:t>
      </w:r>
    </w:p>
    <w:p w:rsidR="00024C0A" w:rsidRDefault="00694C0F">
      <w:pPr>
        <w:pStyle w:val="Code"/>
      </w:pPr>
      <w:r>
        <w:t>&amp;lt;w:wordDocument xmlns:aml=&amp;quot;http</w:t>
      </w:r>
      <w:r>
        <w:t>://schemas.microsoft.com/aml/2001/core&amp;quot; xmlns:m= &amp;quot;http://schemas.openxmlformats.org/officeDocument/2006/math&amp;quot; xmlns:w=&amp;quot;http://schemas.microsoft.com/office/word/2003/wordml&amp;quot; &amp;gt;&amp;lt;w:body&amp;gt;&amp;lt;w:p&amp;gt;&amp;lt;m:oMathPara&amp;gt;&amp;lt;m:oMat</w:t>
      </w:r>
      <w:r>
        <w:t>h&amp;gt;&amp;lt;m:f &amp;gt;&amp;lt;m:fPr&amp;gt;&amp;lt;m:ctrlPr&amp;gt;&amp;lt;w:rPr&amp;gt;&amp;lt;w:rFonts w:ascii=&amp;quot;Cambria Math&amp;quot; w:h-ansi=&amp;quot;Cambria Math&amp;quot;/&amp;gt;&amp;lt;w:i/&amp;gt;&amp;lt;/w:rPr&amp;gt;&amp;lt;/m:ctrlPr &amp;gt;&amp;lt;/m:fPr&amp;gt;&amp;lt;m:num&amp;gt;&amp;lt;m:r&amp;gt;&amp;lt;w:rPr &amp;gt;&amp;lt;w:rFonts w:as</w:t>
      </w:r>
      <w:r>
        <w:t>cii=&amp;quot;Cambria Math&amp;quot; w:h-ansi=&amp;quot;Cambria Math&amp;quot;/&amp;gt;&amp;lt;w:i/&amp;gt;&amp;lt;w:color w:val=&amp;quot;FF0000&amp;quot;/&amp;gt;&amp;lt;/w:rPr&amp;gt;&amp;lt;m:t&amp;gt;x&amp;lt;/m:t &amp;gt;&amp;lt;/m:r&amp;gt;&amp;lt;/m:num&amp;gt;&amp;lt;m:den&amp;gt;&amp;lt;aml:annotation aml:id=&amp;quot;0&amp;quot; w:type=&amp;quot;Word.</w:t>
      </w:r>
      <w:r>
        <w:t>Bookmark.Start&amp;quot; w:name=&amp;quot;bookmark_name&amp;quot;/&amp;gt;&amp;lt;m:r&amp;gt;&amp;lt;w:rPr &amp;gt;&amp;lt;w:rFonts w:ascii=&amp;quot;Cambria Math&amp;quot; w:h-ansi=&amp;quot;Cambria Math&amp;quot;/&amp;gt;&amp;lt;w:i/&amp;gt;&amp;lt;/w:rPr&amp;gt;&amp;lt;m:t&amp;gt;y&amp;lt;/m:t &amp;gt;&amp;lt;/m:r&amp;gt;&amp;lt;aml:annotation aml:id=</w:t>
      </w:r>
      <w:r>
        <w:t>&amp;quot;0&amp;quot; w:type=&amp;quot;Word.Bookmark.End&amp;quot;/&amp;gt;&amp;lt;/m:den&amp;gt;&amp;lt;/m:f &amp;gt;&amp;lt;/m:oMath&amp;gt;&amp;lt;/m:oMathPara&amp;gt;&amp;lt;/w:p&amp;gt;&amp;lt;/w:body &amp;gt;&amp;lt;/w:wordDocument&amp;gt;</w:t>
      </w:r>
    </w:p>
    <w:p w:rsidR="00024C0A" w:rsidRDefault="00694C0F">
      <w:r>
        <w:lastRenderedPageBreak/>
        <w:t>An application might choose to read just the Office Open XML math elements, in which c</w:t>
      </w:r>
      <w:r>
        <w:t>ase it would display the fraction but would lose the font color applied to the numerator and the bookmark located in the denominator:</w:t>
      </w:r>
    </w:p>
    <w:p w:rsidR="00024C0A" w:rsidRDefault="00694C0F">
      <w:r>
        <w:rPr>
          <w:noProof/>
        </w:rPr>
        <w:drawing>
          <wp:inline distT="0" distB="0" distL="0" distR="0">
            <wp:extent cx="76200" cy="304800"/>
            <wp:effectExtent l="0" t="0" r="0" b="0"/>
            <wp:docPr id="342015729"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9-0000-0000-0000-000000000000" descr="X over Y" title="X over Y"/>
                    <pic:cNvPicPr>
                      <a:picLocks noChangeAspect="1" noChangeArrowheads="1"/>
                    </pic:cNvPicPr>
                  </pic:nvPicPr>
                  <pic:blipFill>
                    <a:blip r:embed="rId375"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024C0A" w:rsidRDefault="00694C0F">
      <w:r>
        <w:t xml:space="preserve">On the other hand, the application might choose to read all elements in which case it would display the font color and </w:t>
      </w:r>
      <w:r>
        <w:t>bookmark as well as the fraction:</w:t>
      </w:r>
    </w:p>
    <w:p w:rsidR="00024C0A" w:rsidRDefault="00694C0F">
      <w:r>
        <w:rPr>
          <w:noProof/>
        </w:rPr>
        <w:drawing>
          <wp:inline distT="0" distB="0" distL="0" distR="0">
            <wp:extent cx="76200" cy="304800"/>
            <wp:effectExtent l="0" t="0" r="0" b="0"/>
            <wp:docPr id="342015730"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9a-0000-0000-0000-000000000000" descr="X over Y" title="X over Y"/>
                    <pic:cNvPicPr>
                      <a:picLocks noChangeAspect="1" noChangeArrowheads="1"/>
                    </pic:cNvPicPr>
                  </pic:nvPicPr>
                  <pic:blipFill>
                    <a:blip r:embed="rId375"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024C0A" w:rsidRDefault="00694C0F">
      <w:r>
        <w:t>end example]</w:t>
      </w:r>
    </w:p>
    <w:p w:rsidR="00024C0A" w:rsidRDefault="00694C0F">
      <w:pPr>
        <w:pStyle w:val="Heading3"/>
      </w:pPr>
      <w:bookmarkStart w:id="4213" w:name="section_bb90684b1471458ba752ef4f10560cfb"/>
      <w:bookmarkStart w:id="4214" w:name="_Toc12262167"/>
      <w:r>
        <w:t>Word 2003 XML elements which can contain Office Open XML Math elements</w:t>
      </w:r>
      <w:bookmarkEnd w:id="4213"/>
      <w:bookmarkEnd w:id="4214"/>
    </w:p>
    <w:p w:rsidR="00024C0A" w:rsidRDefault="00694C0F">
      <w:pPr>
        <w:pStyle w:val="Heading4"/>
      </w:pPr>
      <w:bookmarkStart w:id="4215" w:name="section_45d55a2a0f404d0f802b5cdc65650590"/>
      <w:bookmarkStart w:id="4216" w:name="_Toc12262168"/>
      <w:r>
        <w:t>Containment of the oMathPara element</w:t>
      </w:r>
      <w:bookmarkEnd w:id="4215"/>
      <w:bookmarkEnd w:id="4216"/>
      <w:r>
        <w:fldChar w:fldCharType="begin"/>
      </w:r>
      <w:r>
        <w:instrText xml:space="preserve"> XE "Containment of the oMathPara element" </w:instrText>
      </w:r>
      <w:r>
        <w:fldChar w:fldCharType="end"/>
      </w:r>
    </w:p>
    <w:p w:rsidR="00024C0A" w:rsidRDefault="00694C0F">
      <w:r>
        <w:t xml:space="preserve">The Word 2003 XML document must contain a single </w:t>
      </w:r>
      <w:r>
        <w:rPr>
          <w:b/>
        </w:rPr>
        <w:t>p</w:t>
      </w:r>
      <w:r>
        <w:t xml:space="preserve"> ele</w:t>
      </w:r>
      <w:r>
        <w:t xml:space="preserve">ment which contains a single </w:t>
      </w:r>
      <w:r>
        <w:rPr>
          <w:b/>
        </w:rPr>
        <w:t>oMathPara</w:t>
      </w:r>
      <w:r>
        <w:t xml:space="preserve"> element ("</w:t>
      </w:r>
      <w:hyperlink r:id="rId376">
        <w:r>
          <w:rPr>
            <w:rStyle w:val="Hyperlink"/>
          </w:rPr>
          <w:t>[ISO/IEC-29500-1]</w:t>
        </w:r>
      </w:hyperlink>
      <w:r>
        <w:t xml:space="preserve"> §22.1.2.78; oMathPara").</w:t>
      </w:r>
    </w:p>
    <w:p w:rsidR="00024C0A" w:rsidRDefault="00694C0F">
      <w:pPr>
        <w:pStyle w:val="Heading4"/>
      </w:pPr>
      <w:bookmarkStart w:id="4217" w:name="section_9cf259ed1c6c441ca903066fc8955d64"/>
      <w:bookmarkStart w:id="4218" w:name="_Toc12262169"/>
      <w:r>
        <w:t>Containment of Math runs and Math functions and objects</w:t>
      </w:r>
      <w:bookmarkEnd w:id="4217"/>
      <w:bookmarkEnd w:id="4218"/>
      <w:r>
        <w:fldChar w:fldCharType="begin"/>
      </w:r>
      <w:r>
        <w:instrText xml:space="preserve"> XE "Containment of Math runs and Math func</w:instrText>
      </w:r>
      <w:r>
        <w:instrText xml:space="preserve">tions and objects" </w:instrText>
      </w:r>
      <w:r>
        <w:fldChar w:fldCharType="end"/>
      </w:r>
    </w:p>
    <w:p w:rsidR="00024C0A" w:rsidRDefault="00694C0F">
      <w:r>
        <w:t xml:space="preserve">The Word 2003 XML </w:t>
      </w:r>
      <w:r>
        <w:rPr>
          <w:b/>
        </w:rPr>
        <w:t>hlink</w:t>
      </w:r>
      <w:r>
        <w:t xml:space="preserve"> element and the AML </w:t>
      </w:r>
      <w:r>
        <w:rPr>
          <w:b/>
        </w:rPr>
        <w:t>content</w:t>
      </w:r>
      <w:r>
        <w:t xml:space="preserve"> element can each contain an unbounded number of Office Open XML Math elements from the following list, which includes the Office Open XML Math </w:t>
      </w:r>
      <w:r>
        <w:rPr>
          <w:b/>
        </w:rPr>
        <w:t>r</w:t>
      </w:r>
      <w:r>
        <w:t xml:space="preserve"> element and all Office Open XML Math </w:t>
      </w:r>
      <w:r>
        <w:t>functions/objects:</w:t>
      </w:r>
    </w:p>
    <w:p w:rsidR="00024C0A" w:rsidRDefault="00694C0F">
      <w:pPr>
        <w:pStyle w:val="ListParagraph"/>
        <w:numPr>
          <w:ilvl w:val="0"/>
          <w:numId w:val="225"/>
        </w:numPr>
        <w:contextualSpacing/>
      </w:pPr>
      <w:r>
        <w:rPr>
          <w:b/>
        </w:rPr>
        <w:t>acc</w:t>
      </w:r>
      <w:r>
        <w:t xml:space="preserve"> ("</w:t>
      </w:r>
      <w:hyperlink r:id="rId377">
        <w:r>
          <w:rPr>
            <w:rStyle w:val="Hyperlink"/>
          </w:rPr>
          <w:t>[ISO/IEC-29500-1]</w:t>
        </w:r>
      </w:hyperlink>
      <w:r>
        <w:t xml:space="preserve"> §22.1.2.1; acc")</w:t>
      </w:r>
    </w:p>
    <w:p w:rsidR="00024C0A" w:rsidRDefault="00694C0F">
      <w:pPr>
        <w:pStyle w:val="ListParagraph"/>
        <w:numPr>
          <w:ilvl w:val="0"/>
          <w:numId w:val="225"/>
        </w:numPr>
        <w:contextualSpacing/>
      </w:pPr>
      <w:r>
        <w:rPr>
          <w:b/>
        </w:rPr>
        <w:t>bar</w:t>
      </w:r>
      <w:r>
        <w:t>("[ISO/IEC-29500-1] §22.1.2.7; bar")</w:t>
      </w:r>
    </w:p>
    <w:p w:rsidR="00024C0A" w:rsidRDefault="00694C0F">
      <w:pPr>
        <w:pStyle w:val="ListParagraph"/>
        <w:numPr>
          <w:ilvl w:val="0"/>
          <w:numId w:val="225"/>
        </w:numPr>
        <w:contextualSpacing/>
      </w:pPr>
      <w:r>
        <w:rPr>
          <w:b/>
        </w:rPr>
        <w:t xml:space="preserve">borderBox </w:t>
      </w:r>
      <w:r>
        <w:t>("[ISO/IEC-29500-1] §22.1.2.11; borderBox")</w:t>
      </w:r>
    </w:p>
    <w:p w:rsidR="00024C0A" w:rsidRDefault="00694C0F">
      <w:pPr>
        <w:pStyle w:val="ListParagraph"/>
        <w:numPr>
          <w:ilvl w:val="0"/>
          <w:numId w:val="225"/>
        </w:numPr>
        <w:contextualSpacing/>
      </w:pPr>
      <w:r>
        <w:rPr>
          <w:b/>
        </w:rPr>
        <w:t>box</w:t>
      </w:r>
      <w:r>
        <w:t xml:space="preserve"> ("[ISO/IEC-29500-1] §22.1.2.13; </w:t>
      </w:r>
      <w:r>
        <w:t>box")</w:t>
      </w:r>
    </w:p>
    <w:p w:rsidR="00024C0A" w:rsidRDefault="00694C0F">
      <w:pPr>
        <w:pStyle w:val="ListParagraph"/>
        <w:numPr>
          <w:ilvl w:val="0"/>
          <w:numId w:val="225"/>
        </w:numPr>
        <w:contextualSpacing/>
      </w:pPr>
      <w:r>
        <w:rPr>
          <w:b/>
        </w:rPr>
        <w:t>d</w:t>
      </w:r>
      <w:r>
        <w:t xml:space="preserve"> ("[ISO/IEC-29500-1] §22.1.2.24; d")</w:t>
      </w:r>
    </w:p>
    <w:p w:rsidR="00024C0A" w:rsidRDefault="00694C0F">
      <w:pPr>
        <w:pStyle w:val="ListParagraph"/>
        <w:numPr>
          <w:ilvl w:val="0"/>
          <w:numId w:val="225"/>
        </w:numPr>
        <w:contextualSpacing/>
      </w:pPr>
      <w:r>
        <w:rPr>
          <w:b/>
        </w:rPr>
        <w:t>eqArr</w:t>
      </w:r>
      <w:r>
        <w:t xml:space="preserve"> ("[ISO/IEC-29500-1] §22.1.2.34; eqArr")</w:t>
      </w:r>
    </w:p>
    <w:p w:rsidR="00024C0A" w:rsidRDefault="00694C0F">
      <w:pPr>
        <w:pStyle w:val="ListParagraph"/>
        <w:numPr>
          <w:ilvl w:val="0"/>
          <w:numId w:val="225"/>
        </w:numPr>
        <w:contextualSpacing/>
      </w:pPr>
      <w:r>
        <w:rPr>
          <w:b/>
        </w:rPr>
        <w:t>f</w:t>
      </w:r>
      <w:r>
        <w:t xml:space="preserve"> ("[ISO/IEC-29500-1] §22.1.2.36; f")</w:t>
      </w:r>
    </w:p>
    <w:p w:rsidR="00024C0A" w:rsidRDefault="00694C0F">
      <w:pPr>
        <w:pStyle w:val="ListParagraph"/>
        <w:numPr>
          <w:ilvl w:val="0"/>
          <w:numId w:val="225"/>
        </w:numPr>
        <w:contextualSpacing/>
      </w:pPr>
      <w:r>
        <w:rPr>
          <w:b/>
        </w:rPr>
        <w:t>func</w:t>
      </w:r>
      <w:r>
        <w:t xml:space="preserve"> ("[ISO/IEC-29500-1] §22.1.2.39; func")</w:t>
      </w:r>
    </w:p>
    <w:p w:rsidR="00024C0A" w:rsidRDefault="00694C0F">
      <w:pPr>
        <w:pStyle w:val="ListParagraph"/>
        <w:numPr>
          <w:ilvl w:val="0"/>
          <w:numId w:val="225"/>
        </w:numPr>
        <w:contextualSpacing/>
      </w:pPr>
      <w:r>
        <w:rPr>
          <w:b/>
        </w:rPr>
        <w:t>groupChr</w:t>
      </w:r>
      <w:r>
        <w:t xml:space="preserve"> ("[ISO/IEC-29500-1] §22.1.2.41; groupChr")</w:t>
      </w:r>
    </w:p>
    <w:p w:rsidR="00024C0A" w:rsidRDefault="00694C0F">
      <w:pPr>
        <w:pStyle w:val="ListParagraph"/>
        <w:numPr>
          <w:ilvl w:val="0"/>
          <w:numId w:val="225"/>
        </w:numPr>
        <w:contextualSpacing/>
      </w:pPr>
      <w:r>
        <w:rPr>
          <w:b/>
        </w:rPr>
        <w:t>limLow</w:t>
      </w:r>
      <w:r>
        <w:t xml:space="preserve"> ("[ISO/IEC-29500-1]</w:t>
      </w:r>
      <w:r>
        <w:t xml:space="preserve"> §22.1.2.54; limLow") </w:t>
      </w:r>
    </w:p>
    <w:p w:rsidR="00024C0A" w:rsidRDefault="00694C0F">
      <w:pPr>
        <w:pStyle w:val="ListParagraph"/>
        <w:numPr>
          <w:ilvl w:val="0"/>
          <w:numId w:val="225"/>
        </w:numPr>
        <w:contextualSpacing/>
      </w:pPr>
      <w:r>
        <w:rPr>
          <w:b/>
        </w:rPr>
        <w:t>limUpp</w:t>
      </w:r>
      <w:r>
        <w:t xml:space="preserve"> ("[ISO/IEC-29500-1] §22.1.2.56; limUpp") </w:t>
      </w:r>
    </w:p>
    <w:p w:rsidR="00024C0A" w:rsidRDefault="00694C0F">
      <w:pPr>
        <w:pStyle w:val="ListParagraph"/>
        <w:numPr>
          <w:ilvl w:val="0"/>
          <w:numId w:val="225"/>
        </w:numPr>
        <w:contextualSpacing/>
      </w:pPr>
      <w:r>
        <w:rPr>
          <w:b/>
        </w:rPr>
        <w:t>m</w:t>
      </w:r>
      <w:r>
        <w:t xml:space="preserve"> ("[ISO/IEC-29500-1] §22.1.2.60; m") </w:t>
      </w:r>
    </w:p>
    <w:p w:rsidR="00024C0A" w:rsidRDefault="00694C0F">
      <w:pPr>
        <w:pStyle w:val="ListParagraph"/>
        <w:numPr>
          <w:ilvl w:val="0"/>
          <w:numId w:val="225"/>
        </w:numPr>
        <w:contextualSpacing/>
      </w:pPr>
      <w:r>
        <w:rPr>
          <w:b/>
        </w:rPr>
        <w:t>nary</w:t>
      </w:r>
      <w:r>
        <w:t xml:space="preserve"> ("[ISO/IEC-29500-1] §22.1.2.70; nary") </w:t>
      </w:r>
    </w:p>
    <w:p w:rsidR="00024C0A" w:rsidRDefault="00694C0F">
      <w:pPr>
        <w:pStyle w:val="ListParagraph"/>
        <w:numPr>
          <w:ilvl w:val="0"/>
          <w:numId w:val="225"/>
        </w:numPr>
        <w:contextualSpacing/>
      </w:pPr>
      <w:r>
        <w:rPr>
          <w:b/>
        </w:rPr>
        <w:t>phant</w:t>
      </w:r>
      <w:r>
        <w:t xml:space="preserve"> ("[ISO/IEC-29500-1] §22.1.2.81; phant") </w:t>
      </w:r>
    </w:p>
    <w:p w:rsidR="00024C0A" w:rsidRDefault="00694C0F">
      <w:pPr>
        <w:pStyle w:val="ListParagraph"/>
        <w:numPr>
          <w:ilvl w:val="0"/>
          <w:numId w:val="225"/>
        </w:numPr>
        <w:contextualSpacing/>
      </w:pPr>
      <w:r>
        <w:rPr>
          <w:b/>
        </w:rPr>
        <w:t>r</w:t>
      </w:r>
      <w:r>
        <w:t xml:space="preserve"> ("[ISO/IEC-29500-1] §22.1.2.87; r") </w:t>
      </w:r>
    </w:p>
    <w:p w:rsidR="00024C0A" w:rsidRDefault="00694C0F">
      <w:pPr>
        <w:pStyle w:val="ListParagraph"/>
        <w:numPr>
          <w:ilvl w:val="0"/>
          <w:numId w:val="225"/>
        </w:numPr>
        <w:contextualSpacing/>
      </w:pPr>
      <w:r>
        <w:rPr>
          <w:b/>
        </w:rPr>
        <w:t>rad</w:t>
      </w:r>
      <w:r>
        <w:t xml:space="preserve"> ("[ISO/IEC</w:t>
      </w:r>
      <w:r>
        <w:t xml:space="preserve">-29500-1] §22.1.2.88; rad") </w:t>
      </w:r>
    </w:p>
    <w:p w:rsidR="00024C0A" w:rsidRDefault="00694C0F">
      <w:pPr>
        <w:pStyle w:val="ListParagraph"/>
        <w:numPr>
          <w:ilvl w:val="0"/>
          <w:numId w:val="225"/>
        </w:numPr>
        <w:contextualSpacing/>
      </w:pPr>
      <w:r>
        <w:rPr>
          <w:b/>
        </w:rPr>
        <w:t>sPre</w:t>
      </w:r>
      <w:r>
        <w:t xml:space="preserve"> ("[ISO/IEC-29500-1] §22.1.2.99; sPre") </w:t>
      </w:r>
    </w:p>
    <w:p w:rsidR="00024C0A" w:rsidRDefault="00694C0F">
      <w:pPr>
        <w:pStyle w:val="ListParagraph"/>
        <w:numPr>
          <w:ilvl w:val="0"/>
          <w:numId w:val="225"/>
        </w:numPr>
        <w:contextualSpacing/>
      </w:pPr>
      <w:r>
        <w:rPr>
          <w:b/>
        </w:rPr>
        <w:t>sSub</w:t>
      </w:r>
      <w:r>
        <w:t xml:space="preserve"> ("[ISO/IEC-29500-1] §22.1.2.101; sSub") </w:t>
      </w:r>
    </w:p>
    <w:p w:rsidR="00024C0A" w:rsidRDefault="00694C0F">
      <w:pPr>
        <w:pStyle w:val="ListParagraph"/>
        <w:numPr>
          <w:ilvl w:val="0"/>
          <w:numId w:val="225"/>
        </w:numPr>
        <w:contextualSpacing/>
      </w:pPr>
      <w:r>
        <w:rPr>
          <w:b/>
        </w:rPr>
        <w:t>sSubSup</w:t>
      </w:r>
      <w:r>
        <w:t xml:space="preserve"> ("[ISO/IEC-29500-1] §22.1.2.103; sSubSup") </w:t>
      </w:r>
    </w:p>
    <w:p w:rsidR="00024C0A" w:rsidRDefault="00694C0F">
      <w:pPr>
        <w:pStyle w:val="ListParagraph"/>
        <w:numPr>
          <w:ilvl w:val="0"/>
          <w:numId w:val="225"/>
        </w:numPr>
      </w:pPr>
      <w:r>
        <w:rPr>
          <w:b/>
        </w:rPr>
        <w:t>sSup</w:t>
      </w:r>
      <w:r>
        <w:t xml:space="preserve"> ("[ISO/IEC-29500-1] §22.1.2.105; sSup")</w:t>
      </w:r>
    </w:p>
    <w:p w:rsidR="00024C0A" w:rsidRDefault="00694C0F">
      <w:pPr>
        <w:pStyle w:val="Heading3"/>
      </w:pPr>
      <w:bookmarkStart w:id="4219" w:name="section_3919289d82cf4eea9be62c8b176a267e"/>
      <w:bookmarkStart w:id="4220" w:name="_Toc12262170"/>
      <w:r>
        <w:t>Office Open XML Math elements which can contain Word 2003 XML elements</w:t>
      </w:r>
      <w:bookmarkEnd w:id="4219"/>
      <w:bookmarkEnd w:id="4220"/>
    </w:p>
    <w:p w:rsidR="00024C0A" w:rsidRDefault="00694C0F">
      <w:pPr>
        <w:pStyle w:val="Heading4"/>
      </w:pPr>
      <w:bookmarkStart w:id="4221" w:name="section_d54ad5fce66f473282072e69571b58c0"/>
      <w:bookmarkStart w:id="4222" w:name="_Toc12262171"/>
      <w:r>
        <w:t>Control Properties</w:t>
      </w:r>
      <w:bookmarkEnd w:id="4221"/>
      <w:bookmarkEnd w:id="4222"/>
      <w:r>
        <w:fldChar w:fldCharType="begin"/>
      </w:r>
      <w:r>
        <w:instrText xml:space="preserve"> XE "Control Properties" </w:instrText>
      </w:r>
      <w:r>
        <w:fldChar w:fldCharType="end"/>
      </w:r>
    </w:p>
    <w:p w:rsidR="00024C0A" w:rsidRDefault="00694C0F">
      <w:r>
        <w:rPr>
          <w:b/>
        </w:rPr>
        <w:t>The ctrlPr</w:t>
      </w:r>
      <w:r>
        <w:t xml:space="preserve"> element ("</w:t>
      </w:r>
      <w:hyperlink r:id="rId378">
        <w:r>
          <w:rPr>
            <w:rStyle w:val="Hyperlink"/>
          </w:rPr>
          <w:t>[ISO/IEC-29500-1]</w:t>
        </w:r>
      </w:hyperlink>
      <w:r>
        <w:t xml:space="preserve"> §22.1.2.23; ctrlPr") can contain o</w:t>
      </w:r>
      <w:r>
        <w:t>ne of the following elements:</w:t>
      </w:r>
    </w:p>
    <w:p w:rsidR="00024C0A" w:rsidRDefault="00694C0F">
      <w:pPr>
        <w:pStyle w:val="ListParagraph"/>
        <w:numPr>
          <w:ilvl w:val="0"/>
          <w:numId w:val="226"/>
        </w:numPr>
        <w:contextualSpacing/>
      </w:pPr>
      <w:r>
        <w:lastRenderedPageBreak/>
        <w:t xml:space="preserve">The AML </w:t>
      </w:r>
      <w:r>
        <w:rPr>
          <w:b/>
        </w:rPr>
        <w:t>annotation</w:t>
      </w:r>
      <w:r>
        <w:t xml:space="preserve"> element</w:t>
      </w:r>
    </w:p>
    <w:p w:rsidR="00024C0A" w:rsidRDefault="00694C0F">
      <w:pPr>
        <w:pStyle w:val="ListParagraph"/>
        <w:numPr>
          <w:ilvl w:val="0"/>
          <w:numId w:val="226"/>
        </w:numPr>
      </w:pPr>
      <w:r>
        <w:t xml:space="preserve">The Word 2003 XML </w:t>
      </w:r>
      <w:r>
        <w:rPr>
          <w:b/>
        </w:rPr>
        <w:t>rPr</w:t>
      </w:r>
      <w:r>
        <w:t xml:space="preserve"> element</w:t>
      </w:r>
    </w:p>
    <w:p w:rsidR="00024C0A" w:rsidRDefault="00694C0F">
      <w:pPr>
        <w:pStyle w:val="Heading4"/>
      </w:pPr>
      <w:bookmarkStart w:id="4223" w:name="section_dbc60737c3cb43b18fe8cd591fa4472d"/>
      <w:bookmarkStart w:id="4224" w:name="_Toc12262172"/>
      <w:r>
        <w:t>oMath and Math Arguments</w:t>
      </w:r>
      <w:bookmarkEnd w:id="4223"/>
      <w:bookmarkEnd w:id="4224"/>
      <w:r>
        <w:fldChar w:fldCharType="begin"/>
      </w:r>
      <w:r>
        <w:instrText xml:space="preserve"> XE "oMath and Math Arguments" </w:instrText>
      </w:r>
      <w:r>
        <w:fldChar w:fldCharType="end"/>
      </w:r>
    </w:p>
    <w:p w:rsidR="00024C0A" w:rsidRDefault="00694C0F">
      <w:r>
        <w:t xml:space="preserve">The </w:t>
      </w:r>
      <w:r>
        <w:rPr>
          <w:b/>
        </w:rPr>
        <w:t>oMath</w:t>
      </w:r>
      <w:r>
        <w:t xml:space="preserve"> element ("</w:t>
      </w:r>
      <w:hyperlink r:id="rId379">
        <w:r>
          <w:rPr>
            <w:rStyle w:val="Hyperlink"/>
          </w:rPr>
          <w:t>[ISO/IEC-29500-1]</w:t>
        </w:r>
      </w:hyperlink>
      <w:r>
        <w:t xml:space="preserve"> §22.1.2</w:t>
      </w:r>
      <w:r>
        <w:t xml:space="preserve">.78; oMathPara") and the math argument elements </w:t>
      </w:r>
      <w:r>
        <w:rPr>
          <w:b/>
        </w:rPr>
        <w:t>deg</w:t>
      </w:r>
      <w:r>
        <w:t xml:space="preserve"> ("[ISO/IEC-29500-1] §22.1.2.26; deg"), </w:t>
      </w:r>
      <w:r>
        <w:rPr>
          <w:b/>
        </w:rPr>
        <w:t>den</w:t>
      </w:r>
      <w:r>
        <w:t xml:space="preserve"> ("[ISO/IEC-29500-1] §22.1.2.28; den"), </w:t>
      </w:r>
      <w:r>
        <w:rPr>
          <w:b/>
        </w:rPr>
        <w:t>e</w:t>
      </w:r>
      <w:r>
        <w:t xml:space="preserve"> ("[ISO/IEC-29500-1] §22.1.2.32; e"), </w:t>
      </w:r>
      <w:r>
        <w:rPr>
          <w:b/>
        </w:rPr>
        <w:t>fName</w:t>
      </w:r>
      <w:r>
        <w:t xml:space="preserve"> ("[ISO/IEC-29500-1] §22.1.2.37; fName"), </w:t>
      </w:r>
      <w:r>
        <w:rPr>
          <w:b/>
        </w:rPr>
        <w:t>lim</w:t>
      </w:r>
      <w:r>
        <w:t xml:space="preserve"> ("[ISO/IEC-29500-1] §22.1.2.52; </w:t>
      </w:r>
      <w:r>
        <w:t xml:space="preserve">lim"), </w:t>
      </w:r>
      <w:r>
        <w:rPr>
          <w:b/>
        </w:rPr>
        <w:t>num</w:t>
      </w:r>
      <w:r>
        <w:t xml:space="preserve"> ("[ISO/IEC-29500-1] §22.1.2.75; num"), </w:t>
      </w:r>
      <w:r>
        <w:rPr>
          <w:b/>
        </w:rPr>
        <w:t>sub</w:t>
      </w:r>
      <w:r>
        <w:t xml:space="preserve"> ("[ISO/IEC-29500-1] §22.1.2.112; sub"), and </w:t>
      </w:r>
      <w:r>
        <w:rPr>
          <w:b/>
        </w:rPr>
        <w:t>sup</w:t>
      </w:r>
      <w:r>
        <w:t xml:space="preserve"> ("[ISO/IEC-29500-1] §22.1.2.114; sup") can each contain an unbounded number of elements from the following list:</w:t>
      </w:r>
    </w:p>
    <w:p w:rsidR="00024C0A" w:rsidRDefault="00694C0F">
      <w:pPr>
        <w:pStyle w:val="ListParagraph"/>
        <w:numPr>
          <w:ilvl w:val="0"/>
          <w:numId w:val="227"/>
        </w:numPr>
        <w:contextualSpacing/>
      </w:pPr>
      <w:r>
        <w:t>XML elements in any namespace not defined</w:t>
      </w:r>
      <w:r>
        <w:t xml:space="preserve"> by Word 2003 XML (which can, in turn, hold any valid child element of the </w:t>
      </w:r>
      <w:r>
        <w:rPr>
          <w:b/>
        </w:rPr>
        <w:t>oMath</w:t>
      </w:r>
      <w:r>
        <w:t xml:space="preserve"> element ("[ISO/IEC-29500-1] §22.1.2.77; oMath"))</w:t>
      </w:r>
    </w:p>
    <w:p w:rsidR="00024C0A" w:rsidRDefault="00694C0F">
      <w:pPr>
        <w:pStyle w:val="ListParagraph"/>
        <w:numPr>
          <w:ilvl w:val="0"/>
          <w:numId w:val="227"/>
        </w:numPr>
        <w:contextualSpacing/>
      </w:pPr>
      <w:r>
        <w:t xml:space="preserve">The AML </w:t>
      </w:r>
      <w:r>
        <w:rPr>
          <w:b/>
        </w:rPr>
        <w:t>annotation</w:t>
      </w:r>
      <w:r>
        <w:t xml:space="preserve"> element</w:t>
      </w:r>
    </w:p>
    <w:p w:rsidR="00024C0A" w:rsidRDefault="00694C0F">
      <w:pPr>
        <w:pStyle w:val="ListParagraph"/>
        <w:numPr>
          <w:ilvl w:val="0"/>
          <w:numId w:val="227"/>
        </w:numPr>
        <w:contextualSpacing/>
      </w:pPr>
      <w:r>
        <w:t xml:space="preserve">The Word 2003 XML </w:t>
      </w:r>
      <w:r>
        <w:rPr>
          <w:b/>
        </w:rPr>
        <w:t>hlink</w:t>
      </w:r>
      <w:r>
        <w:t xml:space="preserve"> element</w:t>
      </w:r>
    </w:p>
    <w:p w:rsidR="00024C0A" w:rsidRDefault="00694C0F">
      <w:pPr>
        <w:pStyle w:val="ListParagraph"/>
        <w:numPr>
          <w:ilvl w:val="0"/>
          <w:numId w:val="227"/>
        </w:numPr>
        <w:contextualSpacing/>
      </w:pPr>
      <w:r>
        <w:t xml:space="preserve">The Word 2003 XML </w:t>
      </w:r>
      <w:r>
        <w:rPr>
          <w:b/>
        </w:rPr>
        <w:t>permEnd</w:t>
      </w:r>
      <w:r>
        <w:t xml:space="preserve"> element</w:t>
      </w:r>
    </w:p>
    <w:p w:rsidR="00024C0A" w:rsidRDefault="00694C0F">
      <w:pPr>
        <w:pStyle w:val="ListParagraph"/>
        <w:numPr>
          <w:ilvl w:val="0"/>
          <w:numId w:val="227"/>
        </w:numPr>
      </w:pPr>
      <w:r>
        <w:t xml:space="preserve">The Word 2003 XML </w:t>
      </w:r>
      <w:r>
        <w:rPr>
          <w:b/>
        </w:rPr>
        <w:t>permStart</w:t>
      </w:r>
      <w:r>
        <w:t xml:space="preserve"> element</w:t>
      </w:r>
    </w:p>
    <w:p w:rsidR="00024C0A" w:rsidRDefault="00694C0F">
      <w:r>
        <w:t xml:space="preserve">When included as a child of a math argument element, those elements must occur after any Office Open XML Math </w:t>
      </w:r>
      <w:r>
        <w:rPr>
          <w:b/>
        </w:rPr>
        <w:t>argPr</w:t>
      </w:r>
      <w:r>
        <w:t xml:space="preserve"> element ("[ISO/IEC-29500-1] §22.1.2.5; argPr") and before any Office Open XML Math </w:t>
      </w:r>
      <w:r>
        <w:rPr>
          <w:b/>
        </w:rPr>
        <w:t>ctrlPr</w:t>
      </w:r>
      <w:r>
        <w:t xml:space="preserve"> element ("[ISO/IEC-29500-1] §22.1.2.23; c</w:t>
      </w:r>
      <w:r>
        <w:t>trlPr") which is also a child of that math argument element.</w:t>
      </w:r>
    </w:p>
    <w:p w:rsidR="00024C0A" w:rsidRDefault="00694C0F">
      <w:pPr>
        <w:pStyle w:val="Heading4"/>
      </w:pPr>
      <w:bookmarkStart w:id="4225" w:name="section_7bae4fa0ce3448d19b24651606579b08"/>
      <w:bookmarkStart w:id="4226" w:name="_Toc12262173"/>
      <w:r>
        <w:t>Math Run</w:t>
      </w:r>
      <w:bookmarkEnd w:id="4225"/>
      <w:bookmarkEnd w:id="4226"/>
      <w:r>
        <w:fldChar w:fldCharType="begin"/>
      </w:r>
      <w:r>
        <w:instrText xml:space="preserve"> XE "Math Run" </w:instrText>
      </w:r>
      <w:r>
        <w:fldChar w:fldCharType="end"/>
      </w:r>
    </w:p>
    <w:p w:rsidR="00024C0A" w:rsidRDefault="00694C0F">
      <w:r>
        <w:t>The Office Open XML math run element r ("</w:t>
      </w:r>
      <w:hyperlink r:id="rId380">
        <w:r>
          <w:rPr>
            <w:rStyle w:val="Hyperlink"/>
          </w:rPr>
          <w:t>[ISO/IEC-29500-1]</w:t>
        </w:r>
      </w:hyperlink>
      <w:r>
        <w:t xml:space="preserve"> §22.1.2.87; r") can contain:</w:t>
      </w:r>
    </w:p>
    <w:p w:rsidR="00024C0A" w:rsidRDefault="00694C0F">
      <w:pPr>
        <w:pStyle w:val="ListParagraph"/>
        <w:numPr>
          <w:ilvl w:val="0"/>
          <w:numId w:val="228"/>
        </w:numPr>
      </w:pPr>
      <w:r>
        <w:t>A single Word 2</w:t>
      </w:r>
      <w:r>
        <w:t xml:space="preserve">003 XML </w:t>
      </w:r>
      <w:r>
        <w:rPr>
          <w:b/>
        </w:rPr>
        <w:t>rPr</w:t>
      </w:r>
      <w:r>
        <w:t xml:space="preserve"> element</w:t>
      </w:r>
    </w:p>
    <w:p w:rsidR="00024C0A" w:rsidRDefault="00694C0F">
      <w:r>
        <w:t xml:space="preserve">If the math run contains both an Office Open XML Math </w:t>
      </w:r>
      <w:r>
        <w:rPr>
          <w:b/>
        </w:rPr>
        <w:t>rPr</w:t>
      </w:r>
      <w:r>
        <w:t xml:space="preserve"> element and a Word 2003 XML </w:t>
      </w:r>
      <w:r>
        <w:rPr>
          <w:b/>
        </w:rPr>
        <w:t>rPr</w:t>
      </w:r>
      <w:r>
        <w:t xml:space="preserve"> element, the Office Open XML Math </w:t>
      </w:r>
      <w:r>
        <w:rPr>
          <w:b/>
        </w:rPr>
        <w:t>rPr</w:t>
      </w:r>
      <w:r>
        <w:t xml:space="preserve"> element must occur first.</w:t>
      </w:r>
    </w:p>
    <w:p w:rsidR="00024C0A" w:rsidRDefault="00694C0F">
      <w:r>
        <w:t xml:space="preserve">The Office Open XML math </w:t>
      </w:r>
      <w:r>
        <w:rPr>
          <w:b/>
        </w:rPr>
        <w:t>r</w:t>
      </w:r>
      <w:r>
        <w:t xml:space="preserve"> element can also contain an unbounded number of element</w:t>
      </w:r>
      <w:r>
        <w:t>s from the following list:</w:t>
      </w:r>
    </w:p>
    <w:p w:rsidR="00024C0A" w:rsidRDefault="00694C0F">
      <w:pPr>
        <w:pStyle w:val="ListParagraph"/>
        <w:numPr>
          <w:ilvl w:val="0"/>
          <w:numId w:val="229"/>
        </w:numPr>
        <w:contextualSpacing/>
      </w:pPr>
      <w:r>
        <w:t xml:space="preserve">Word 2003 XML </w:t>
      </w:r>
      <w:r>
        <w:rPr>
          <w:b/>
        </w:rPr>
        <w:t>fldChar</w:t>
      </w:r>
      <w:r>
        <w:t xml:space="preserve"> element</w:t>
      </w:r>
    </w:p>
    <w:p w:rsidR="00024C0A" w:rsidRDefault="00694C0F">
      <w:pPr>
        <w:pStyle w:val="ListParagraph"/>
        <w:numPr>
          <w:ilvl w:val="0"/>
          <w:numId w:val="229"/>
        </w:numPr>
        <w:contextualSpacing/>
      </w:pPr>
      <w:r>
        <w:t xml:space="preserve">Word 2003 XML </w:t>
      </w:r>
      <w:r>
        <w:rPr>
          <w:b/>
        </w:rPr>
        <w:t>noBreakHyphen</w:t>
      </w:r>
      <w:r>
        <w:t xml:space="preserve"> element</w:t>
      </w:r>
    </w:p>
    <w:p w:rsidR="00024C0A" w:rsidRDefault="00694C0F">
      <w:pPr>
        <w:pStyle w:val="ListParagraph"/>
        <w:numPr>
          <w:ilvl w:val="0"/>
          <w:numId w:val="229"/>
        </w:numPr>
        <w:contextualSpacing/>
      </w:pPr>
      <w:r>
        <w:t xml:space="preserve">Word 2003 XML </w:t>
      </w:r>
      <w:r>
        <w:rPr>
          <w:b/>
        </w:rPr>
        <w:t>pgNum</w:t>
      </w:r>
      <w:r>
        <w:t xml:space="preserve"> element</w:t>
      </w:r>
    </w:p>
    <w:p w:rsidR="00024C0A" w:rsidRDefault="00694C0F">
      <w:pPr>
        <w:pStyle w:val="ListParagraph"/>
        <w:numPr>
          <w:ilvl w:val="0"/>
          <w:numId w:val="229"/>
        </w:numPr>
      </w:pPr>
      <w:r>
        <w:t xml:space="preserve">Word 2003 XML </w:t>
      </w:r>
      <w:r>
        <w:rPr>
          <w:b/>
        </w:rPr>
        <w:t>pict</w:t>
      </w:r>
      <w:r>
        <w:t xml:space="preserve"> element.</w:t>
      </w:r>
    </w:p>
    <w:p w:rsidR="00024C0A" w:rsidRDefault="00694C0F">
      <w:r>
        <w:t xml:space="preserve">Note: Word is unable to recover the contents of the </w:t>
      </w:r>
      <w:r>
        <w:rPr>
          <w:b/>
        </w:rPr>
        <w:t>equationxml</w:t>
      </w:r>
      <w:r>
        <w:t xml:space="preserve"> attribute if it includes a </w:t>
      </w:r>
      <w:r>
        <w:rPr>
          <w:b/>
        </w:rPr>
        <w:t>pict</w:t>
      </w:r>
      <w:r>
        <w:t xml:space="preserve"> element.</w:t>
      </w:r>
    </w:p>
    <w:p w:rsidR="00024C0A" w:rsidRDefault="00694C0F">
      <w:pPr>
        <w:pStyle w:val="ListParagraph"/>
        <w:numPr>
          <w:ilvl w:val="0"/>
          <w:numId w:val="230"/>
        </w:numPr>
        <w:contextualSpacing/>
      </w:pPr>
      <w:r>
        <w:t xml:space="preserve">Word 2003 XML </w:t>
      </w:r>
      <w:r>
        <w:rPr>
          <w:b/>
        </w:rPr>
        <w:t>softHyphen</w:t>
      </w:r>
      <w:r>
        <w:t xml:space="preserve"> element</w:t>
      </w:r>
    </w:p>
    <w:p w:rsidR="00024C0A" w:rsidRDefault="00694C0F">
      <w:pPr>
        <w:pStyle w:val="ListParagraph"/>
        <w:numPr>
          <w:ilvl w:val="0"/>
          <w:numId w:val="230"/>
        </w:numPr>
        <w:contextualSpacing/>
      </w:pPr>
      <w:r>
        <w:t xml:space="preserve">Word 2003 XML </w:t>
      </w:r>
      <w:r>
        <w:rPr>
          <w:b/>
        </w:rPr>
        <w:t>sym</w:t>
      </w:r>
      <w:r>
        <w:t xml:space="preserve"> element</w:t>
      </w:r>
    </w:p>
    <w:p w:rsidR="00024C0A" w:rsidRDefault="00694C0F">
      <w:pPr>
        <w:pStyle w:val="ListParagraph"/>
        <w:numPr>
          <w:ilvl w:val="0"/>
          <w:numId w:val="230"/>
        </w:numPr>
      </w:pPr>
      <w:r>
        <w:t xml:space="preserve">Word 2003 XML </w:t>
      </w:r>
      <w:r>
        <w:rPr>
          <w:b/>
        </w:rPr>
        <w:t>tab</w:t>
      </w:r>
      <w:r>
        <w:t xml:space="preserve"> element</w:t>
      </w:r>
    </w:p>
    <w:p w:rsidR="00024C0A" w:rsidRDefault="00694C0F">
      <w:r>
        <w:t xml:space="preserve">Those elements must occur after any </w:t>
      </w:r>
      <w:r>
        <w:rPr>
          <w:b/>
        </w:rPr>
        <w:t>rPr</w:t>
      </w:r>
      <w:r>
        <w:t xml:space="preserve"> elements.</w:t>
      </w:r>
    </w:p>
    <w:p w:rsidR="00024C0A" w:rsidRDefault="00694C0F">
      <w:pPr>
        <w:pStyle w:val="Heading3"/>
      </w:pPr>
      <w:bookmarkStart w:id="4227" w:name="section_1f2eecd829294f2bb182d99c88b23b50"/>
      <w:bookmarkStart w:id="4228" w:name="_Toc12262174"/>
      <w:r>
        <w:t>Limitations in Word</w:t>
      </w:r>
      <w:bookmarkEnd w:id="4227"/>
      <w:bookmarkEnd w:id="4228"/>
      <w:r>
        <w:fldChar w:fldCharType="begin"/>
      </w:r>
      <w:r>
        <w:instrText xml:space="preserve"> XE "Limitations in Word" </w:instrText>
      </w:r>
      <w:r>
        <w:fldChar w:fldCharType="end"/>
      </w:r>
    </w:p>
    <w:p w:rsidR="00024C0A" w:rsidRDefault="00694C0F">
      <w:r>
        <w:t xml:space="preserve">Word ignores character styles, specified using the Word 2003 XML </w:t>
      </w:r>
      <w:r>
        <w:rPr>
          <w:b/>
        </w:rPr>
        <w:t>rStyle</w:t>
      </w:r>
      <w:r>
        <w:t xml:space="preserve"> e</w:t>
      </w:r>
      <w:r>
        <w:t xml:space="preserve">lement, when converting the contents of the </w:t>
      </w:r>
      <w:r>
        <w:rPr>
          <w:b/>
        </w:rPr>
        <w:t>equationxml</w:t>
      </w:r>
      <w:r>
        <w:t xml:space="preserve"> attribute to Office Open XML Math.</w:t>
      </w:r>
    </w:p>
    <w:p w:rsidR="00024C0A" w:rsidRDefault="00694C0F">
      <w:r>
        <w:t xml:space="preserve">Word is unable to recover the contents of the </w:t>
      </w:r>
      <w:r>
        <w:rPr>
          <w:b/>
        </w:rPr>
        <w:t>equationxml</w:t>
      </w:r>
      <w:r>
        <w:t xml:space="preserve"> attribute if it includes the Word 2003 XML </w:t>
      </w:r>
      <w:r>
        <w:rPr>
          <w:b/>
        </w:rPr>
        <w:t>pict</w:t>
      </w:r>
      <w:r>
        <w:t xml:space="preserve"> element.</w:t>
      </w:r>
    </w:p>
    <w:p w:rsidR="00024C0A" w:rsidRDefault="00694C0F">
      <w:r>
        <w:lastRenderedPageBreak/>
        <w:t xml:space="preserve">When Word recovers the contents of the </w:t>
      </w:r>
      <w:r>
        <w:rPr>
          <w:b/>
        </w:rPr>
        <w:t>equationxml</w:t>
      </w:r>
      <w:r>
        <w:t xml:space="preserve"> attribute and the picture with the </w:t>
      </w:r>
      <w:r>
        <w:rPr>
          <w:b/>
        </w:rPr>
        <w:t>equationxml</w:t>
      </w:r>
      <w:r>
        <w:t xml:space="preserve"> attribute is inside a </w:t>
      </w:r>
      <w:r>
        <w:rPr>
          <w:b/>
        </w:rPr>
        <w:t>QUOTE</w:t>
      </w:r>
      <w:r>
        <w:t xml:space="preserve"> field, Word will lose any bookmarks represented using AML annotation elements inside the </w:t>
      </w:r>
      <w:r>
        <w:rPr>
          <w:b/>
        </w:rPr>
        <w:t>equationxml attribute</w:t>
      </w:r>
      <w:r>
        <w:t>.</w:t>
      </w:r>
    </w:p>
    <w:p w:rsidR="00024C0A" w:rsidRDefault="00694C0F">
      <w:pPr>
        <w:pStyle w:val="Heading2"/>
      </w:pPr>
      <w:bookmarkStart w:id="4229" w:name="section_9d3137ee53f64d7cb7e02f92cc2573a8"/>
      <w:bookmarkStart w:id="4230" w:name="_Toc12262175"/>
      <w:r>
        <w:t>Simple Types</w:t>
      </w:r>
      <w:bookmarkEnd w:id="4229"/>
      <w:bookmarkEnd w:id="4230"/>
      <w:r>
        <w:fldChar w:fldCharType="begin"/>
      </w:r>
      <w:r>
        <w:instrText xml:space="preserve"> XE "Simple Types (Additional Information)" </w:instrText>
      </w:r>
      <w:r>
        <w:fldChar w:fldCharType="end"/>
      </w:r>
    </w:p>
    <w:p w:rsidR="00024C0A" w:rsidRDefault="00694C0F">
      <w:r>
        <w:t>The subor</w:t>
      </w:r>
      <w:r>
        <w:t>dinate clauses describe XML simple types that are used by Office to read and write Office Open XML files.</w:t>
      </w:r>
    </w:p>
    <w:p w:rsidR="00024C0A" w:rsidRDefault="00694C0F">
      <w:pPr>
        <w:pStyle w:val="Heading3"/>
      </w:pPr>
      <w:bookmarkStart w:id="4231" w:name="section_c96929a126d44fe4819f37727a9492e8"/>
      <w:bookmarkStart w:id="4232" w:name="_Toc12262176"/>
      <w:r>
        <w:t>ST_Fraction (Fraction Type)</w:t>
      </w:r>
      <w:bookmarkEnd w:id="4231"/>
      <w:bookmarkEnd w:id="4232"/>
      <w:r>
        <w:fldChar w:fldCharType="begin"/>
      </w:r>
      <w:r>
        <w:instrText xml:space="preserve"> XE "ST_Fraction (Fraction Type)" </w:instrText>
      </w:r>
      <w:r>
        <w:fldChar w:fldCharType="end"/>
      </w:r>
    </w:p>
    <w:p w:rsidR="00024C0A" w:rsidRDefault="00694C0F">
      <w:r>
        <w:t>This simple type specifies numerical, floating point data in one of three ways.</w:t>
      </w:r>
    </w:p>
    <w:p w:rsidR="00024C0A" w:rsidRDefault="00694C0F">
      <w:r>
        <w:t>The fi</w:t>
      </w:r>
      <w:r>
        <w:t>rst form is the standard decimal form used by the XML Schema decimal datatype.  Valid values for this form are all decimals in the range [-32768, 32767].</w:t>
      </w:r>
    </w:p>
    <w:p w:rsidR="00024C0A" w:rsidRDefault="00694C0F">
      <w:r>
        <w:t xml:space="preserve">The second form is an integer number with a postfixed “f” character.  Each integer represents 1/65536 </w:t>
      </w:r>
      <w:r>
        <w:t>so that a value of “65536f” equates to a decimal value of 1.0.  Valid values for this form are all integers in the range [-2147483648, 2147418112] followed by the postfixed “f”.</w:t>
      </w:r>
    </w:p>
    <w:p w:rsidR="00024C0A" w:rsidRDefault="00694C0F">
      <w:r>
        <w:t>The third form is equivalent to the second, except that the “f” postfixed char</w:t>
      </w:r>
      <w:r>
        <w:t>acter is replaced by the string “fd”.  This is used when expressing angular measurements.</w:t>
      </w:r>
    </w:p>
    <w:p w:rsidR="00024C0A" w:rsidRDefault="00694C0F">
      <w:r>
        <w:t>This simple type's contents are a restriction of the XML Schema string datatype.</w:t>
      </w:r>
    </w:p>
    <w:p w:rsidR="00024C0A" w:rsidRDefault="00694C0F">
      <w:r>
        <w:t>The following XML Schema fragment defines the contents of this simple type:</w:t>
      </w:r>
    </w:p>
    <w:p w:rsidR="00024C0A" w:rsidRDefault="00694C0F">
      <w:pPr>
        <w:pStyle w:val="Code"/>
      </w:pPr>
      <w:r>
        <w:t>&lt;simpleTy</w:t>
      </w:r>
      <w:r>
        <w:t>pe name="ST_Fraction"&gt;</w:t>
      </w:r>
    </w:p>
    <w:p w:rsidR="00024C0A" w:rsidRDefault="00694C0F">
      <w:pPr>
        <w:pStyle w:val="Code"/>
      </w:pPr>
      <w:r>
        <w:t xml:space="preserve">  &lt;restriction base="xsd:string"/&gt;</w:t>
      </w:r>
    </w:p>
    <w:p w:rsidR="00024C0A" w:rsidRDefault="00694C0F">
      <w:pPr>
        <w:pStyle w:val="Code"/>
      </w:pPr>
      <w:r>
        <w:t>&lt;/simpleType&gt;</w:t>
      </w:r>
    </w:p>
    <w:p w:rsidR="00024C0A" w:rsidRDefault="00694C0F">
      <w:pPr>
        <w:pStyle w:val="Heading3"/>
      </w:pPr>
      <w:bookmarkStart w:id="4233" w:name="section_3a025d97fe484df0a51d7ab3e024b866"/>
      <w:bookmarkStart w:id="4234" w:name="_Toc12262177"/>
      <w:r>
        <w:t>ST_Macro (Custom Function Name Type)</w:t>
      </w:r>
      <w:bookmarkEnd w:id="4233"/>
      <w:bookmarkEnd w:id="4234"/>
      <w:r>
        <w:fldChar w:fldCharType="begin"/>
      </w:r>
      <w:r>
        <w:instrText xml:space="preserve"> XE "ST_Macro (Custom Function Name Type)" </w:instrText>
      </w:r>
      <w:r>
        <w:fldChar w:fldCharType="end"/>
      </w:r>
    </w:p>
    <w:p w:rsidR="00024C0A" w:rsidRDefault="00694C0F">
      <w:r>
        <w:t>This simple type specifies the name of a custom function associated with the object. This string shall</w:t>
      </w:r>
      <w:r>
        <w:t xml:space="preserve"> follow the same grammar as name-reference in section "</w:t>
      </w:r>
      <w:hyperlink r:id="rId381">
        <w:r>
          <w:rPr>
            <w:rStyle w:val="Hyperlink"/>
          </w:rPr>
          <w:t>[ISO/IEC-29500-1]</w:t>
        </w:r>
      </w:hyperlink>
      <w:r>
        <w:t xml:space="preserve"> §18.17.2.5".</w:t>
      </w:r>
    </w:p>
    <w:p w:rsidR="00024C0A" w:rsidRDefault="00694C0F">
      <w:r>
        <w:t>This simple type's contents are a restriction of the XML Schema string datatype.</w:t>
      </w:r>
    </w:p>
    <w:p w:rsidR="00024C0A" w:rsidRDefault="00694C0F">
      <w:r>
        <w:t>This simple type also s</w:t>
      </w:r>
      <w:r>
        <w:t>pecifies the following restrictions:</w:t>
      </w:r>
    </w:p>
    <w:p w:rsidR="00024C0A" w:rsidRDefault="00694C0F">
      <w:pPr>
        <w:pStyle w:val="ListParagraph"/>
        <w:numPr>
          <w:ilvl w:val="0"/>
          <w:numId w:val="231"/>
        </w:numPr>
        <w:contextualSpacing/>
      </w:pPr>
      <w:r>
        <w:t>This simple type's contents have a minimum length of 0 characters.</w:t>
      </w:r>
    </w:p>
    <w:p w:rsidR="00024C0A" w:rsidRDefault="00694C0F">
      <w:pPr>
        <w:pStyle w:val="ListParagraph"/>
        <w:numPr>
          <w:ilvl w:val="0"/>
          <w:numId w:val="231"/>
        </w:numPr>
      </w:pPr>
      <w:r>
        <w:t>This simple type's contents have a maximum length of 256 characters.</w:t>
      </w:r>
    </w:p>
    <w:p w:rsidR="00024C0A" w:rsidRDefault="00694C0F">
      <w:r>
        <w:t>The following XML Schema fragment defines the contents of this simple type:</w:t>
      </w:r>
    </w:p>
    <w:p w:rsidR="00024C0A" w:rsidRDefault="00694C0F">
      <w:pPr>
        <w:pStyle w:val="Code"/>
      </w:pPr>
      <w:r>
        <w:t>&lt;</w:t>
      </w:r>
      <w:r>
        <w:t>simpleType name="ST_Macro"&gt;</w:t>
      </w:r>
    </w:p>
    <w:p w:rsidR="00024C0A" w:rsidRDefault="00694C0F">
      <w:pPr>
        <w:pStyle w:val="Code"/>
      </w:pPr>
      <w:r>
        <w:t xml:space="preserve">  &lt;restriction base="xsd:string"&gt;</w:t>
      </w:r>
    </w:p>
    <w:p w:rsidR="00024C0A" w:rsidRDefault="00694C0F">
      <w:pPr>
        <w:pStyle w:val="Code"/>
      </w:pPr>
      <w:r>
        <w:t xml:space="preserve">    &lt;minLength value="0"/&gt;</w:t>
      </w:r>
    </w:p>
    <w:p w:rsidR="00024C0A" w:rsidRDefault="00694C0F">
      <w:pPr>
        <w:pStyle w:val="Code"/>
      </w:pPr>
      <w:r>
        <w:t xml:space="preserve">    &lt;maxLength value="256"/&gt;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3"/>
      </w:pPr>
      <w:bookmarkStart w:id="4235" w:name="section_bf23da8a2e1d4d268eb40ba002bd78f6"/>
      <w:bookmarkStart w:id="4236" w:name="_Toc12262178"/>
      <w:r>
        <w:t>ST_ObjID (Object ID)</w:t>
      </w:r>
      <w:bookmarkEnd w:id="4235"/>
      <w:bookmarkEnd w:id="4236"/>
      <w:r>
        <w:fldChar w:fldCharType="begin"/>
      </w:r>
      <w:r>
        <w:instrText xml:space="preserve"> XE "ST_ObjID (Object ID)" </w:instrText>
      </w:r>
      <w:r>
        <w:fldChar w:fldCharType="end"/>
      </w:r>
    </w:p>
    <w:p w:rsidR="00024C0A" w:rsidRDefault="00694C0F">
      <w:r>
        <w:t xml:space="preserve">In Office 2007, Object IDs are either object names or an </w:t>
      </w:r>
      <w:r>
        <w:t xml:space="preserve">ID number. </w:t>
      </w:r>
    </w:p>
    <w:p w:rsidR="00024C0A" w:rsidRDefault="00694C0F">
      <w:r>
        <w:t>An object name has the following characteristics:</w:t>
      </w:r>
    </w:p>
    <w:p w:rsidR="00024C0A" w:rsidRDefault="00694C0F">
      <w:pPr>
        <w:pStyle w:val="ListParagraph"/>
        <w:numPr>
          <w:ilvl w:val="0"/>
          <w:numId w:val="232"/>
        </w:numPr>
        <w:contextualSpacing/>
      </w:pPr>
      <w:r>
        <w:lastRenderedPageBreak/>
        <w:t>It is not an ID number.</w:t>
      </w:r>
    </w:p>
    <w:p w:rsidR="00024C0A" w:rsidRDefault="00694C0F">
      <w:pPr>
        <w:pStyle w:val="ListParagraph"/>
        <w:numPr>
          <w:ilvl w:val="0"/>
          <w:numId w:val="232"/>
        </w:numPr>
        <w:contextualSpacing/>
      </w:pPr>
      <w:r>
        <w:t>There is no shape with the same name in the:</w:t>
      </w:r>
    </w:p>
    <w:p w:rsidR="00024C0A" w:rsidRDefault="00694C0F">
      <w:pPr>
        <w:pStyle w:val="ListParagraph"/>
        <w:numPr>
          <w:ilvl w:val="0"/>
          <w:numId w:val="232"/>
        </w:numPr>
        <w:contextualSpacing/>
      </w:pPr>
      <w:r>
        <w:t>same worksheet, for Excel.</w:t>
      </w:r>
    </w:p>
    <w:p w:rsidR="00024C0A" w:rsidRDefault="00694C0F">
      <w:pPr>
        <w:pStyle w:val="ListParagraph"/>
        <w:numPr>
          <w:ilvl w:val="0"/>
          <w:numId w:val="232"/>
        </w:numPr>
        <w:contextualSpacing/>
      </w:pPr>
      <w:r>
        <w:t>same slide, for PowerPoint.</w:t>
      </w:r>
    </w:p>
    <w:p w:rsidR="00024C0A" w:rsidRDefault="00694C0F">
      <w:pPr>
        <w:pStyle w:val="ListParagraph"/>
        <w:numPr>
          <w:ilvl w:val="0"/>
          <w:numId w:val="232"/>
        </w:numPr>
        <w:contextualSpacing/>
      </w:pPr>
      <w:r>
        <w:t>same document, for Word.</w:t>
      </w:r>
    </w:p>
    <w:p w:rsidR="00024C0A" w:rsidRDefault="00694C0F">
      <w:pPr>
        <w:pStyle w:val="ListParagraph"/>
        <w:numPr>
          <w:ilvl w:val="0"/>
          <w:numId w:val="232"/>
        </w:numPr>
        <w:contextualSpacing/>
      </w:pPr>
      <w:r>
        <w:t>header, for Word.</w:t>
      </w:r>
    </w:p>
    <w:p w:rsidR="00024C0A" w:rsidRDefault="00694C0F">
      <w:pPr>
        <w:pStyle w:val="ListParagraph"/>
        <w:numPr>
          <w:ilvl w:val="0"/>
          <w:numId w:val="232"/>
        </w:numPr>
      </w:pPr>
      <w:r>
        <w:t>It is not an embedded objec</w:t>
      </w:r>
      <w:r>
        <w:t>t, for Excel and Word.</w:t>
      </w:r>
    </w:p>
    <w:p w:rsidR="00024C0A" w:rsidRDefault="00694C0F">
      <w:r>
        <w:t xml:space="preserve">If it is an object name and contains NCR (Numeric Character Reference) characters, they are escaped using the Unicode numerical character representation escape character format </w:t>
      </w:r>
      <w:r>
        <w:rPr>
          <w:rStyle w:val="InlineCode"/>
        </w:rPr>
        <w:t>_xHHHH_</w:t>
      </w:r>
      <w:r>
        <w:t xml:space="preserve">, where H represents a hexadecimal character. If </w:t>
      </w:r>
      <w:r>
        <w:t>the string already contains escaped characters in this format, then the first underscore character (_) of the escape sequence shall be escaped.</w:t>
      </w:r>
    </w:p>
    <w:p w:rsidR="00024C0A" w:rsidRDefault="00694C0F">
      <w:r>
        <w:t xml:space="preserve">An ID number is defined by the </w:t>
      </w:r>
      <w:r>
        <w:rPr>
          <w:b/>
        </w:rPr>
        <w:t>ST_SpId</w:t>
      </w:r>
      <w:r>
        <w:t xml:space="preserve"> simple type (</w:t>
      </w:r>
      <w:hyperlink w:anchor="Section_97429d90d53344dfb1334f7a0171cae4">
        <w:r>
          <w:rPr>
            <w:rStyle w:val="Hyperlink"/>
          </w:rPr>
          <w:t>§3.9.6, ST_SpId</w:t>
        </w:r>
      </w:hyperlink>
      <w:r>
        <w:t>).</w:t>
      </w:r>
    </w:p>
    <w:p w:rsidR="00024C0A" w:rsidRDefault="00694C0F">
      <w:r>
        <w:t>This simple type's contents are a restriction of the XML Schema token datatype.</w:t>
      </w:r>
    </w:p>
    <w:p w:rsidR="00024C0A" w:rsidRDefault="00694C0F">
      <w:r>
        <w:t>This simple type also specifies the following restrictions:</w:t>
      </w:r>
    </w:p>
    <w:p w:rsidR="00024C0A" w:rsidRDefault="00694C0F">
      <w:pPr>
        <w:pStyle w:val="ListParagraph"/>
        <w:numPr>
          <w:ilvl w:val="0"/>
          <w:numId w:val="233"/>
        </w:numPr>
      </w:pPr>
      <w:r>
        <w:t>This simple type's contents have a ma</w:t>
      </w:r>
      <w:r>
        <w:t>ximum length of 255 characters.</w:t>
      </w:r>
    </w:p>
    <w:p w:rsidR="00024C0A" w:rsidRDefault="00694C0F">
      <w:r>
        <w:t>The following XML Schema fragment defines the contents of this simple type:</w:t>
      </w:r>
    </w:p>
    <w:p w:rsidR="00024C0A" w:rsidRDefault="00694C0F">
      <w:pPr>
        <w:pStyle w:val="Code"/>
      </w:pPr>
      <w:r>
        <w:t>&lt;simpleType name="ST_ObjID"&gt;</w:t>
      </w:r>
    </w:p>
    <w:p w:rsidR="00024C0A" w:rsidRDefault="00694C0F">
      <w:pPr>
        <w:pStyle w:val="Code"/>
      </w:pPr>
      <w:r>
        <w:t xml:space="preserve">  &lt;restriction base="xsd:token"&gt;</w:t>
      </w:r>
    </w:p>
    <w:p w:rsidR="00024C0A" w:rsidRDefault="00694C0F">
      <w:pPr>
        <w:pStyle w:val="Code"/>
      </w:pPr>
      <w:r>
        <w:t xml:space="preserve">    &lt;maxLength value="255"/&gt;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3"/>
      </w:pPr>
      <w:bookmarkStart w:id="4237" w:name="section_9fa89b60c362417d97158382b70c6275"/>
      <w:bookmarkStart w:id="4238" w:name="_Toc12262179"/>
      <w:r>
        <w:t>ST_ObjIDRef (Object ID Reference)</w:t>
      </w:r>
      <w:bookmarkEnd w:id="4237"/>
      <w:bookmarkEnd w:id="4238"/>
      <w:r>
        <w:fldChar w:fldCharType="begin"/>
      </w:r>
      <w:r>
        <w:instrText xml:space="preserve"> XE "ST_ObjIDRef (Object ID Reference)" </w:instrText>
      </w:r>
      <w:r>
        <w:fldChar w:fldCharType="end"/>
      </w:r>
    </w:p>
    <w:p w:rsidR="00024C0A" w:rsidRDefault="00694C0F">
      <w:r>
        <w:t>This simple type specifies a reference to an object ID.  It starts with an optional ‘#’ which is followed by an object ID number or an object name as described in the ST_ObjID simp</w:t>
      </w:r>
      <w:r>
        <w:t>le type (</w:t>
      </w:r>
      <w:hyperlink w:anchor="Section_bf23da8a2e1d4d268eb40ba002bd78f6">
        <w:r>
          <w:rPr>
            <w:rStyle w:val="Hyperlink"/>
          </w:rPr>
          <w:t>§3.9.3, ST_ObjID</w:t>
        </w:r>
      </w:hyperlink>
      <w:r>
        <w:t>).</w:t>
      </w:r>
    </w:p>
    <w:p w:rsidR="00024C0A" w:rsidRDefault="00694C0F">
      <w:r>
        <w:t>This simple type's contents are a restriction of the XML Schema token datatype.</w:t>
      </w:r>
    </w:p>
    <w:p w:rsidR="00024C0A" w:rsidRDefault="00694C0F">
      <w:r>
        <w:t>The following XML Schema fragment defines the contents of this simple type:</w:t>
      </w:r>
    </w:p>
    <w:p w:rsidR="00024C0A" w:rsidRDefault="00694C0F">
      <w:pPr>
        <w:pStyle w:val="Code"/>
      </w:pPr>
      <w:r>
        <w:t>&lt;simpleTy</w:t>
      </w:r>
      <w:r>
        <w:t>pe name="ST_ObjIDRef"&gt;</w:t>
      </w:r>
    </w:p>
    <w:p w:rsidR="00024C0A" w:rsidRDefault="00694C0F">
      <w:pPr>
        <w:pStyle w:val="Code"/>
      </w:pPr>
      <w:r>
        <w:t xml:space="preserve">  &lt;restriction base="xsd:token"/&gt;</w:t>
      </w:r>
    </w:p>
    <w:p w:rsidR="00024C0A" w:rsidRDefault="00694C0F">
      <w:pPr>
        <w:pStyle w:val="Code"/>
      </w:pPr>
      <w:r>
        <w:t>&lt;/simpleType&gt;</w:t>
      </w:r>
    </w:p>
    <w:p w:rsidR="00024C0A" w:rsidRDefault="00694C0F">
      <w:pPr>
        <w:pStyle w:val="Heading3"/>
      </w:pPr>
      <w:bookmarkStart w:id="4239" w:name="section_d7f650a3a70647a88556121f9c7d0205"/>
      <w:bookmarkStart w:id="4240" w:name="_Toc12262180"/>
      <w:r>
        <w:t>ST_ShapeType (Shape Type)</w:t>
      </w:r>
      <w:bookmarkEnd w:id="4239"/>
      <w:bookmarkEnd w:id="4240"/>
      <w:r>
        <w:fldChar w:fldCharType="begin"/>
      </w:r>
      <w:r>
        <w:instrText xml:space="preserve"> XE "ST_ShapeType (Shape Type)" </w:instrText>
      </w:r>
      <w:r>
        <w:fldChar w:fldCharType="end"/>
      </w:r>
    </w:p>
    <w:p w:rsidR="00024C0A" w:rsidRDefault="00694C0F">
      <w:r>
        <w:t>This simple type specifies the kinds of shapes a VML shape can represent.  [Rationale: An application may use this to indicat</w:t>
      </w:r>
      <w:r>
        <w:t>e that a VML shape represents a particular conceptual shape type. end rationale]</w:t>
      </w:r>
    </w:p>
    <w:tbl>
      <w:tblPr>
        <w:tblStyle w:val="Table-ShadedHeader"/>
        <w:tblW w:w="0" w:type="auto"/>
        <w:tblLook w:val="04A0" w:firstRow="1" w:lastRow="0" w:firstColumn="1" w:lastColumn="0" w:noHBand="0" w:noVBand="1"/>
      </w:tblPr>
      <w:tblGrid>
        <w:gridCol w:w="913"/>
        <w:gridCol w:w="2999"/>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Value</w:t>
            </w:r>
          </w:p>
        </w:tc>
        <w:tc>
          <w:tcPr>
            <w:tcW w:w="0" w:type="auto"/>
            <w:vAlign w:val="center"/>
          </w:tcPr>
          <w:p w:rsidR="00024C0A" w:rsidRDefault="00694C0F">
            <w:pPr>
              <w:pStyle w:val="TableHeaderText"/>
            </w:pPr>
            <w:r>
              <w:t>Description</w:t>
            </w:r>
          </w:p>
        </w:tc>
      </w:tr>
      <w:tr w:rsidR="00024C0A" w:rsidTr="00024C0A">
        <w:tc>
          <w:tcPr>
            <w:tcW w:w="0" w:type="auto"/>
            <w:vAlign w:val="center"/>
          </w:tcPr>
          <w:p w:rsidR="00024C0A" w:rsidRDefault="00694C0F">
            <w:pPr>
              <w:pStyle w:val="TableBodyText"/>
            </w:pPr>
            <w:r>
              <w:rPr>
                <w:i/>
              </w:rPr>
              <w:t>0</w:t>
            </w:r>
          </w:p>
        </w:tc>
        <w:tc>
          <w:tcPr>
            <w:tcW w:w="0" w:type="auto"/>
            <w:vAlign w:val="center"/>
          </w:tcPr>
          <w:p w:rsidR="00024C0A" w:rsidRDefault="00694C0F">
            <w:pPr>
              <w:pStyle w:val="TableBodyText"/>
            </w:pPr>
            <w:r>
              <w:t>User-defined shape</w:t>
            </w:r>
          </w:p>
        </w:tc>
      </w:tr>
      <w:tr w:rsidR="00024C0A" w:rsidTr="00024C0A">
        <w:tc>
          <w:tcPr>
            <w:tcW w:w="0" w:type="auto"/>
            <w:vAlign w:val="center"/>
          </w:tcPr>
          <w:p w:rsidR="00024C0A" w:rsidRDefault="00694C0F">
            <w:pPr>
              <w:pStyle w:val="TableBodyText"/>
            </w:pPr>
            <w:r>
              <w:rPr>
                <w:i/>
              </w:rPr>
              <w:t>1</w:t>
            </w:r>
          </w:p>
        </w:tc>
        <w:tc>
          <w:tcPr>
            <w:tcW w:w="0" w:type="auto"/>
            <w:vAlign w:val="center"/>
          </w:tcPr>
          <w:p w:rsidR="00024C0A" w:rsidRDefault="00694C0F">
            <w:pPr>
              <w:pStyle w:val="TableBodyText"/>
            </w:pPr>
            <w:r>
              <w:t>Rectangle</w:t>
            </w:r>
          </w:p>
        </w:tc>
      </w:tr>
      <w:tr w:rsidR="00024C0A" w:rsidTr="00024C0A">
        <w:tc>
          <w:tcPr>
            <w:tcW w:w="0" w:type="auto"/>
            <w:vAlign w:val="center"/>
          </w:tcPr>
          <w:p w:rsidR="00024C0A" w:rsidRDefault="00694C0F">
            <w:pPr>
              <w:pStyle w:val="TableBodyText"/>
            </w:pPr>
            <w:r>
              <w:rPr>
                <w:i/>
              </w:rPr>
              <w:t>2</w:t>
            </w:r>
          </w:p>
        </w:tc>
        <w:tc>
          <w:tcPr>
            <w:tcW w:w="0" w:type="auto"/>
            <w:vAlign w:val="center"/>
          </w:tcPr>
          <w:p w:rsidR="00024C0A" w:rsidRDefault="00694C0F">
            <w:pPr>
              <w:pStyle w:val="TableBodyText"/>
            </w:pPr>
            <w:r>
              <w:t>Rounded Rectangle</w:t>
            </w:r>
          </w:p>
        </w:tc>
      </w:tr>
      <w:tr w:rsidR="00024C0A" w:rsidTr="00024C0A">
        <w:tc>
          <w:tcPr>
            <w:tcW w:w="0" w:type="auto"/>
            <w:vAlign w:val="center"/>
          </w:tcPr>
          <w:p w:rsidR="00024C0A" w:rsidRDefault="00694C0F">
            <w:pPr>
              <w:pStyle w:val="TableBodyText"/>
            </w:pPr>
            <w:r>
              <w:rPr>
                <w:i/>
              </w:rPr>
              <w:t>3</w:t>
            </w:r>
          </w:p>
        </w:tc>
        <w:tc>
          <w:tcPr>
            <w:tcW w:w="0" w:type="auto"/>
            <w:vAlign w:val="center"/>
          </w:tcPr>
          <w:p w:rsidR="00024C0A" w:rsidRDefault="00694C0F">
            <w:pPr>
              <w:pStyle w:val="TableBodyText"/>
            </w:pPr>
            <w:r>
              <w:t>Ellipse</w:t>
            </w:r>
          </w:p>
        </w:tc>
      </w:tr>
      <w:tr w:rsidR="00024C0A" w:rsidTr="00024C0A">
        <w:tc>
          <w:tcPr>
            <w:tcW w:w="0" w:type="auto"/>
            <w:vAlign w:val="center"/>
          </w:tcPr>
          <w:p w:rsidR="00024C0A" w:rsidRDefault="00694C0F">
            <w:pPr>
              <w:pStyle w:val="TableBodyText"/>
            </w:pPr>
            <w:r>
              <w:rPr>
                <w:i/>
              </w:rPr>
              <w:lastRenderedPageBreak/>
              <w:t>4</w:t>
            </w:r>
          </w:p>
        </w:tc>
        <w:tc>
          <w:tcPr>
            <w:tcW w:w="0" w:type="auto"/>
            <w:vAlign w:val="center"/>
          </w:tcPr>
          <w:p w:rsidR="00024C0A" w:rsidRDefault="00694C0F">
            <w:pPr>
              <w:pStyle w:val="TableBodyText"/>
            </w:pPr>
            <w:r>
              <w:t>Diamond</w:t>
            </w:r>
          </w:p>
        </w:tc>
      </w:tr>
      <w:tr w:rsidR="00024C0A" w:rsidTr="00024C0A">
        <w:tc>
          <w:tcPr>
            <w:tcW w:w="0" w:type="auto"/>
            <w:vAlign w:val="center"/>
          </w:tcPr>
          <w:p w:rsidR="00024C0A" w:rsidRDefault="00694C0F">
            <w:pPr>
              <w:pStyle w:val="TableBodyText"/>
            </w:pPr>
            <w:r>
              <w:rPr>
                <w:i/>
              </w:rPr>
              <w:t>5</w:t>
            </w:r>
          </w:p>
        </w:tc>
        <w:tc>
          <w:tcPr>
            <w:tcW w:w="0" w:type="auto"/>
            <w:vAlign w:val="center"/>
          </w:tcPr>
          <w:p w:rsidR="00024C0A" w:rsidRDefault="00694C0F">
            <w:pPr>
              <w:pStyle w:val="TableBodyText"/>
            </w:pPr>
            <w:r>
              <w:t>Isosceles Triangle</w:t>
            </w:r>
          </w:p>
        </w:tc>
      </w:tr>
      <w:tr w:rsidR="00024C0A" w:rsidTr="00024C0A">
        <w:tc>
          <w:tcPr>
            <w:tcW w:w="0" w:type="auto"/>
            <w:vAlign w:val="center"/>
          </w:tcPr>
          <w:p w:rsidR="00024C0A" w:rsidRDefault="00694C0F">
            <w:pPr>
              <w:pStyle w:val="TableBodyText"/>
            </w:pPr>
            <w:r>
              <w:rPr>
                <w:i/>
              </w:rPr>
              <w:t>6</w:t>
            </w:r>
          </w:p>
        </w:tc>
        <w:tc>
          <w:tcPr>
            <w:tcW w:w="0" w:type="auto"/>
            <w:vAlign w:val="center"/>
          </w:tcPr>
          <w:p w:rsidR="00024C0A" w:rsidRDefault="00694C0F">
            <w:pPr>
              <w:pStyle w:val="TableBodyText"/>
            </w:pPr>
            <w:r>
              <w:t>Right Triangle</w:t>
            </w:r>
          </w:p>
        </w:tc>
      </w:tr>
      <w:tr w:rsidR="00024C0A" w:rsidTr="00024C0A">
        <w:tc>
          <w:tcPr>
            <w:tcW w:w="0" w:type="auto"/>
            <w:vAlign w:val="center"/>
          </w:tcPr>
          <w:p w:rsidR="00024C0A" w:rsidRDefault="00694C0F">
            <w:pPr>
              <w:pStyle w:val="TableBodyText"/>
            </w:pPr>
            <w:r>
              <w:rPr>
                <w:i/>
              </w:rPr>
              <w:t>7</w:t>
            </w:r>
          </w:p>
        </w:tc>
        <w:tc>
          <w:tcPr>
            <w:tcW w:w="0" w:type="auto"/>
            <w:vAlign w:val="center"/>
          </w:tcPr>
          <w:p w:rsidR="00024C0A" w:rsidRDefault="00694C0F">
            <w:pPr>
              <w:pStyle w:val="TableBodyText"/>
            </w:pPr>
            <w:r>
              <w:t>Parallelogram</w:t>
            </w:r>
          </w:p>
        </w:tc>
      </w:tr>
      <w:tr w:rsidR="00024C0A" w:rsidTr="00024C0A">
        <w:tc>
          <w:tcPr>
            <w:tcW w:w="0" w:type="auto"/>
            <w:vAlign w:val="center"/>
          </w:tcPr>
          <w:p w:rsidR="00024C0A" w:rsidRDefault="00694C0F">
            <w:pPr>
              <w:pStyle w:val="TableBodyText"/>
            </w:pPr>
            <w:r>
              <w:rPr>
                <w:i/>
              </w:rPr>
              <w:t>8</w:t>
            </w:r>
          </w:p>
        </w:tc>
        <w:tc>
          <w:tcPr>
            <w:tcW w:w="0" w:type="auto"/>
            <w:vAlign w:val="center"/>
          </w:tcPr>
          <w:p w:rsidR="00024C0A" w:rsidRDefault="00694C0F">
            <w:pPr>
              <w:pStyle w:val="TableBodyText"/>
            </w:pPr>
            <w:r>
              <w:t>Trapezoid</w:t>
            </w:r>
          </w:p>
        </w:tc>
      </w:tr>
      <w:tr w:rsidR="00024C0A" w:rsidTr="00024C0A">
        <w:tc>
          <w:tcPr>
            <w:tcW w:w="0" w:type="auto"/>
            <w:vAlign w:val="center"/>
          </w:tcPr>
          <w:p w:rsidR="00024C0A" w:rsidRDefault="00694C0F">
            <w:pPr>
              <w:pStyle w:val="TableBodyText"/>
            </w:pPr>
            <w:r>
              <w:rPr>
                <w:i/>
              </w:rPr>
              <w:t>9</w:t>
            </w:r>
          </w:p>
        </w:tc>
        <w:tc>
          <w:tcPr>
            <w:tcW w:w="0" w:type="auto"/>
            <w:vAlign w:val="center"/>
          </w:tcPr>
          <w:p w:rsidR="00024C0A" w:rsidRDefault="00694C0F">
            <w:pPr>
              <w:pStyle w:val="TableBodyText"/>
            </w:pPr>
            <w:r>
              <w:t>Hexagon</w:t>
            </w:r>
          </w:p>
        </w:tc>
      </w:tr>
      <w:tr w:rsidR="00024C0A" w:rsidTr="00024C0A">
        <w:tc>
          <w:tcPr>
            <w:tcW w:w="0" w:type="auto"/>
            <w:vAlign w:val="center"/>
          </w:tcPr>
          <w:p w:rsidR="00024C0A" w:rsidRDefault="00694C0F">
            <w:pPr>
              <w:pStyle w:val="TableBodyText"/>
            </w:pPr>
            <w:r>
              <w:rPr>
                <w:i/>
              </w:rPr>
              <w:t>10</w:t>
            </w:r>
          </w:p>
        </w:tc>
        <w:tc>
          <w:tcPr>
            <w:tcW w:w="0" w:type="auto"/>
            <w:vAlign w:val="center"/>
          </w:tcPr>
          <w:p w:rsidR="00024C0A" w:rsidRDefault="00694C0F">
            <w:pPr>
              <w:pStyle w:val="TableBodyText"/>
            </w:pPr>
            <w:r>
              <w:t>Octagon</w:t>
            </w:r>
          </w:p>
        </w:tc>
      </w:tr>
      <w:tr w:rsidR="00024C0A" w:rsidTr="00024C0A">
        <w:tc>
          <w:tcPr>
            <w:tcW w:w="0" w:type="auto"/>
            <w:vAlign w:val="center"/>
          </w:tcPr>
          <w:p w:rsidR="00024C0A" w:rsidRDefault="00694C0F">
            <w:pPr>
              <w:pStyle w:val="TableBodyText"/>
            </w:pPr>
            <w:r>
              <w:rPr>
                <w:i/>
              </w:rPr>
              <w:t>11</w:t>
            </w:r>
          </w:p>
        </w:tc>
        <w:tc>
          <w:tcPr>
            <w:tcW w:w="0" w:type="auto"/>
            <w:vAlign w:val="center"/>
          </w:tcPr>
          <w:p w:rsidR="00024C0A" w:rsidRDefault="00694C0F">
            <w:pPr>
              <w:pStyle w:val="TableBodyText"/>
            </w:pPr>
            <w:r>
              <w:t>Plus Sign</w:t>
            </w:r>
          </w:p>
        </w:tc>
      </w:tr>
      <w:tr w:rsidR="00024C0A" w:rsidTr="00024C0A">
        <w:tc>
          <w:tcPr>
            <w:tcW w:w="0" w:type="auto"/>
            <w:vAlign w:val="center"/>
          </w:tcPr>
          <w:p w:rsidR="00024C0A" w:rsidRDefault="00694C0F">
            <w:pPr>
              <w:pStyle w:val="TableBodyText"/>
            </w:pPr>
            <w:r>
              <w:rPr>
                <w:i/>
              </w:rPr>
              <w:t>12</w:t>
            </w:r>
          </w:p>
        </w:tc>
        <w:tc>
          <w:tcPr>
            <w:tcW w:w="0" w:type="auto"/>
            <w:vAlign w:val="center"/>
          </w:tcPr>
          <w:p w:rsidR="00024C0A" w:rsidRDefault="00694C0F">
            <w:pPr>
              <w:pStyle w:val="TableBodyText"/>
            </w:pPr>
            <w:r>
              <w:t>Star</w:t>
            </w:r>
          </w:p>
        </w:tc>
      </w:tr>
      <w:tr w:rsidR="00024C0A" w:rsidTr="00024C0A">
        <w:tc>
          <w:tcPr>
            <w:tcW w:w="0" w:type="auto"/>
            <w:vAlign w:val="center"/>
          </w:tcPr>
          <w:p w:rsidR="00024C0A" w:rsidRDefault="00694C0F">
            <w:pPr>
              <w:pStyle w:val="TableBodyText"/>
            </w:pPr>
            <w:r>
              <w:rPr>
                <w:i/>
              </w:rPr>
              <w:t>13</w:t>
            </w:r>
          </w:p>
        </w:tc>
        <w:tc>
          <w:tcPr>
            <w:tcW w:w="0" w:type="auto"/>
            <w:vAlign w:val="center"/>
          </w:tcPr>
          <w:p w:rsidR="00024C0A" w:rsidRDefault="00694C0F">
            <w:pPr>
              <w:pStyle w:val="TableBodyText"/>
            </w:pPr>
            <w:r>
              <w:t>Arrow</w:t>
            </w:r>
          </w:p>
        </w:tc>
      </w:tr>
      <w:tr w:rsidR="00024C0A" w:rsidTr="00024C0A">
        <w:tc>
          <w:tcPr>
            <w:tcW w:w="0" w:type="auto"/>
            <w:vAlign w:val="center"/>
          </w:tcPr>
          <w:p w:rsidR="00024C0A" w:rsidRDefault="00694C0F">
            <w:pPr>
              <w:pStyle w:val="TableBodyText"/>
            </w:pPr>
            <w:r>
              <w:rPr>
                <w:i/>
              </w:rPr>
              <w:t>14</w:t>
            </w:r>
          </w:p>
        </w:tc>
        <w:tc>
          <w:tcPr>
            <w:tcW w:w="0" w:type="auto"/>
            <w:vAlign w:val="center"/>
          </w:tcPr>
          <w:p w:rsidR="00024C0A" w:rsidRDefault="00694C0F">
            <w:pPr>
              <w:pStyle w:val="TableBodyText"/>
            </w:pPr>
            <w:r>
              <w:t>Thick Arrow</w:t>
            </w:r>
          </w:p>
        </w:tc>
      </w:tr>
      <w:tr w:rsidR="00024C0A" w:rsidTr="00024C0A">
        <w:tc>
          <w:tcPr>
            <w:tcW w:w="0" w:type="auto"/>
            <w:vAlign w:val="center"/>
          </w:tcPr>
          <w:p w:rsidR="00024C0A" w:rsidRDefault="00694C0F">
            <w:pPr>
              <w:pStyle w:val="TableBodyText"/>
            </w:pPr>
            <w:r>
              <w:rPr>
                <w:i/>
              </w:rPr>
              <w:t>15</w:t>
            </w:r>
          </w:p>
        </w:tc>
        <w:tc>
          <w:tcPr>
            <w:tcW w:w="0" w:type="auto"/>
            <w:vAlign w:val="center"/>
          </w:tcPr>
          <w:p w:rsidR="00024C0A" w:rsidRDefault="00694C0F">
            <w:pPr>
              <w:pStyle w:val="TableBodyText"/>
            </w:pPr>
            <w:r>
              <w:t>Home Plate</w:t>
            </w:r>
          </w:p>
        </w:tc>
      </w:tr>
      <w:tr w:rsidR="00024C0A" w:rsidTr="00024C0A">
        <w:tc>
          <w:tcPr>
            <w:tcW w:w="0" w:type="auto"/>
            <w:vAlign w:val="center"/>
          </w:tcPr>
          <w:p w:rsidR="00024C0A" w:rsidRDefault="00694C0F">
            <w:pPr>
              <w:pStyle w:val="TableBodyText"/>
            </w:pPr>
            <w:r>
              <w:rPr>
                <w:i/>
              </w:rPr>
              <w:t>16</w:t>
            </w:r>
          </w:p>
        </w:tc>
        <w:tc>
          <w:tcPr>
            <w:tcW w:w="0" w:type="auto"/>
            <w:vAlign w:val="center"/>
          </w:tcPr>
          <w:p w:rsidR="00024C0A" w:rsidRDefault="00694C0F">
            <w:pPr>
              <w:pStyle w:val="TableBodyText"/>
            </w:pPr>
            <w:r>
              <w:t>Cube</w:t>
            </w:r>
          </w:p>
        </w:tc>
      </w:tr>
      <w:tr w:rsidR="00024C0A" w:rsidTr="00024C0A">
        <w:tc>
          <w:tcPr>
            <w:tcW w:w="0" w:type="auto"/>
            <w:vAlign w:val="center"/>
          </w:tcPr>
          <w:p w:rsidR="00024C0A" w:rsidRDefault="00694C0F">
            <w:pPr>
              <w:pStyle w:val="TableBodyText"/>
            </w:pPr>
            <w:r>
              <w:rPr>
                <w:i/>
              </w:rPr>
              <w:t>17</w:t>
            </w:r>
          </w:p>
        </w:tc>
        <w:tc>
          <w:tcPr>
            <w:tcW w:w="0" w:type="auto"/>
            <w:vAlign w:val="center"/>
          </w:tcPr>
          <w:p w:rsidR="00024C0A" w:rsidRDefault="00694C0F">
            <w:pPr>
              <w:pStyle w:val="TableBodyText"/>
            </w:pPr>
            <w:r>
              <w:t>Balloon</w:t>
            </w:r>
          </w:p>
        </w:tc>
      </w:tr>
      <w:tr w:rsidR="00024C0A" w:rsidTr="00024C0A">
        <w:tc>
          <w:tcPr>
            <w:tcW w:w="0" w:type="auto"/>
            <w:vAlign w:val="center"/>
          </w:tcPr>
          <w:p w:rsidR="00024C0A" w:rsidRDefault="00694C0F">
            <w:pPr>
              <w:pStyle w:val="TableBodyText"/>
            </w:pPr>
            <w:r>
              <w:rPr>
                <w:i/>
              </w:rPr>
              <w:t>18</w:t>
            </w:r>
          </w:p>
        </w:tc>
        <w:tc>
          <w:tcPr>
            <w:tcW w:w="0" w:type="auto"/>
            <w:vAlign w:val="center"/>
          </w:tcPr>
          <w:p w:rsidR="00024C0A" w:rsidRDefault="00694C0F">
            <w:pPr>
              <w:pStyle w:val="TableBodyText"/>
            </w:pPr>
            <w:r>
              <w:t>Seal</w:t>
            </w:r>
          </w:p>
        </w:tc>
      </w:tr>
      <w:tr w:rsidR="00024C0A" w:rsidTr="00024C0A">
        <w:tc>
          <w:tcPr>
            <w:tcW w:w="0" w:type="auto"/>
            <w:vAlign w:val="center"/>
          </w:tcPr>
          <w:p w:rsidR="00024C0A" w:rsidRDefault="00694C0F">
            <w:pPr>
              <w:pStyle w:val="TableBodyText"/>
            </w:pPr>
            <w:r>
              <w:rPr>
                <w:i/>
              </w:rPr>
              <w:t>19</w:t>
            </w:r>
          </w:p>
        </w:tc>
        <w:tc>
          <w:tcPr>
            <w:tcW w:w="0" w:type="auto"/>
            <w:vAlign w:val="center"/>
          </w:tcPr>
          <w:p w:rsidR="00024C0A" w:rsidRDefault="00694C0F">
            <w:pPr>
              <w:pStyle w:val="TableBodyText"/>
            </w:pPr>
            <w:r>
              <w:t>Arc</w:t>
            </w:r>
          </w:p>
        </w:tc>
      </w:tr>
      <w:tr w:rsidR="00024C0A" w:rsidTr="00024C0A">
        <w:tc>
          <w:tcPr>
            <w:tcW w:w="0" w:type="auto"/>
            <w:vAlign w:val="center"/>
          </w:tcPr>
          <w:p w:rsidR="00024C0A" w:rsidRDefault="00694C0F">
            <w:pPr>
              <w:pStyle w:val="TableBodyText"/>
            </w:pPr>
            <w:r>
              <w:rPr>
                <w:i/>
              </w:rPr>
              <w:t>20</w:t>
            </w:r>
          </w:p>
        </w:tc>
        <w:tc>
          <w:tcPr>
            <w:tcW w:w="0" w:type="auto"/>
            <w:vAlign w:val="center"/>
          </w:tcPr>
          <w:p w:rsidR="00024C0A" w:rsidRDefault="00694C0F">
            <w:pPr>
              <w:pStyle w:val="TableBodyText"/>
            </w:pPr>
            <w:r>
              <w:t>Line</w:t>
            </w:r>
          </w:p>
        </w:tc>
      </w:tr>
      <w:tr w:rsidR="00024C0A" w:rsidTr="00024C0A">
        <w:tc>
          <w:tcPr>
            <w:tcW w:w="0" w:type="auto"/>
            <w:vAlign w:val="center"/>
          </w:tcPr>
          <w:p w:rsidR="00024C0A" w:rsidRDefault="00694C0F">
            <w:pPr>
              <w:pStyle w:val="TableBodyText"/>
            </w:pPr>
            <w:r>
              <w:rPr>
                <w:i/>
              </w:rPr>
              <w:t>21</w:t>
            </w:r>
          </w:p>
        </w:tc>
        <w:tc>
          <w:tcPr>
            <w:tcW w:w="0" w:type="auto"/>
            <w:vAlign w:val="center"/>
          </w:tcPr>
          <w:p w:rsidR="00024C0A" w:rsidRDefault="00694C0F">
            <w:pPr>
              <w:pStyle w:val="TableBodyText"/>
            </w:pPr>
            <w:r>
              <w:t>Plaque</w:t>
            </w:r>
          </w:p>
        </w:tc>
      </w:tr>
      <w:tr w:rsidR="00024C0A" w:rsidTr="00024C0A">
        <w:tc>
          <w:tcPr>
            <w:tcW w:w="0" w:type="auto"/>
            <w:vAlign w:val="center"/>
          </w:tcPr>
          <w:p w:rsidR="00024C0A" w:rsidRDefault="00694C0F">
            <w:pPr>
              <w:pStyle w:val="TableBodyText"/>
            </w:pPr>
            <w:r>
              <w:rPr>
                <w:i/>
              </w:rPr>
              <w:t>22</w:t>
            </w:r>
          </w:p>
        </w:tc>
        <w:tc>
          <w:tcPr>
            <w:tcW w:w="0" w:type="auto"/>
            <w:vAlign w:val="center"/>
          </w:tcPr>
          <w:p w:rsidR="00024C0A" w:rsidRDefault="00694C0F">
            <w:pPr>
              <w:pStyle w:val="TableBodyText"/>
            </w:pPr>
            <w:r>
              <w:t>Can</w:t>
            </w:r>
          </w:p>
        </w:tc>
      </w:tr>
      <w:tr w:rsidR="00024C0A" w:rsidTr="00024C0A">
        <w:tc>
          <w:tcPr>
            <w:tcW w:w="0" w:type="auto"/>
            <w:vAlign w:val="center"/>
          </w:tcPr>
          <w:p w:rsidR="00024C0A" w:rsidRDefault="00694C0F">
            <w:pPr>
              <w:pStyle w:val="TableBodyText"/>
            </w:pPr>
            <w:r>
              <w:rPr>
                <w:i/>
              </w:rPr>
              <w:t>23</w:t>
            </w:r>
          </w:p>
        </w:tc>
        <w:tc>
          <w:tcPr>
            <w:tcW w:w="0" w:type="auto"/>
            <w:vAlign w:val="center"/>
          </w:tcPr>
          <w:p w:rsidR="00024C0A" w:rsidRDefault="00694C0F">
            <w:pPr>
              <w:pStyle w:val="TableBodyText"/>
            </w:pPr>
            <w:r>
              <w:t>Donut</w:t>
            </w:r>
          </w:p>
        </w:tc>
      </w:tr>
      <w:tr w:rsidR="00024C0A" w:rsidTr="00024C0A">
        <w:tc>
          <w:tcPr>
            <w:tcW w:w="0" w:type="auto"/>
            <w:vAlign w:val="center"/>
          </w:tcPr>
          <w:p w:rsidR="00024C0A" w:rsidRDefault="00694C0F">
            <w:pPr>
              <w:pStyle w:val="TableBodyText"/>
            </w:pPr>
            <w:r>
              <w:rPr>
                <w:i/>
              </w:rPr>
              <w:t>32</w:t>
            </w:r>
          </w:p>
        </w:tc>
        <w:tc>
          <w:tcPr>
            <w:tcW w:w="0" w:type="auto"/>
            <w:vAlign w:val="center"/>
          </w:tcPr>
          <w:p w:rsidR="00024C0A" w:rsidRDefault="00694C0F">
            <w:pPr>
              <w:pStyle w:val="TableBodyText"/>
            </w:pPr>
            <w:r>
              <w:t>Straight Connector</w:t>
            </w:r>
          </w:p>
        </w:tc>
      </w:tr>
      <w:tr w:rsidR="00024C0A" w:rsidTr="00024C0A">
        <w:tc>
          <w:tcPr>
            <w:tcW w:w="0" w:type="auto"/>
            <w:vAlign w:val="center"/>
          </w:tcPr>
          <w:p w:rsidR="00024C0A" w:rsidRDefault="00694C0F">
            <w:pPr>
              <w:pStyle w:val="TableBodyText"/>
            </w:pPr>
            <w:r>
              <w:rPr>
                <w:i/>
              </w:rPr>
              <w:t>33-36</w:t>
            </w:r>
          </w:p>
        </w:tc>
        <w:tc>
          <w:tcPr>
            <w:tcW w:w="0" w:type="auto"/>
            <w:vAlign w:val="center"/>
          </w:tcPr>
          <w:p w:rsidR="00024C0A" w:rsidRDefault="00694C0F">
            <w:pPr>
              <w:pStyle w:val="TableBodyText"/>
            </w:pPr>
            <w:r>
              <w:t>Bent Connector</w:t>
            </w:r>
          </w:p>
        </w:tc>
      </w:tr>
      <w:tr w:rsidR="00024C0A" w:rsidTr="00024C0A">
        <w:tc>
          <w:tcPr>
            <w:tcW w:w="0" w:type="auto"/>
            <w:vAlign w:val="center"/>
          </w:tcPr>
          <w:p w:rsidR="00024C0A" w:rsidRDefault="00694C0F">
            <w:pPr>
              <w:pStyle w:val="TableBodyText"/>
            </w:pPr>
            <w:r>
              <w:rPr>
                <w:i/>
              </w:rPr>
              <w:t>37-40</w:t>
            </w:r>
          </w:p>
        </w:tc>
        <w:tc>
          <w:tcPr>
            <w:tcW w:w="0" w:type="auto"/>
            <w:vAlign w:val="center"/>
          </w:tcPr>
          <w:p w:rsidR="00024C0A" w:rsidRDefault="00694C0F">
            <w:pPr>
              <w:pStyle w:val="TableBodyText"/>
            </w:pPr>
            <w:r>
              <w:t>Curved Connector</w:t>
            </w:r>
          </w:p>
        </w:tc>
      </w:tr>
      <w:tr w:rsidR="00024C0A" w:rsidTr="00024C0A">
        <w:tc>
          <w:tcPr>
            <w:tcW w:w="0" w:type="auto"/>
            <w:vAlign w:val="center"/>
          </w:tcPr>
          <w:p w:rsidR="00024C0A" w:rsidRDefault="00694C0F">
            <w:pPr>
              <w:pStyle w:val="TableBodyText"/>
            </w:pPr>
            <w:r>
              <w:rPr>
                <w:i/>
              </w:rPr>
              <w:t>41-43</w:t>
            </w:r>
          </w:p>
        </w:tc>
        <w:tc>
          <w:tcPr>
            <w:tcW w:w="0" w:type="auto"/>
            <w:vAlign w:val="center"/>
          </w:tcPr>
          <w:p w:rsidR="00024C0A" w:rsidRDefault="00694C0F">
            <w:pPr>
              <w:pStyle w:val="TableBodyText"/>
            </w:pPr>
            <w:r>
              <w:t>Callout</w:t>
            </w:r>
          </w:p>
        </w:tc>
      </w:tr>
      <w:tr w:rsidR="00024C0A" w:rsidTr="00024C0A">
        <w:tc>
          <w:tcPr>
            <w:tcW w:w="0" w:type="auto"/>
            <w:vAlign w:val="center"/>
          </w:tcPr>
          <w:p w:rsidR="00024C0A" w:rsidRDefault="00694C0F">
            <w:pPr>
              <w:pStyle w:val="TableBodyText"/>
            </w:pPr>
            <w:r>
              <w:rPr>
                <w:i/>
              </w:rPr>
              <w:t>44-46</w:t>
            </w:r>
          </w:p>
        </w:tc>
        <w:tc>
          <w:tcPr>
            <w:tcW w:w="0" w:type="auto"/>
            <w:vAlign w:val="center"/>
          </w:tcPr>
          <w:p w:rsidR="00024C0A" w:rsidRDefault="00694C0F">
            <w:pPr>
              <w:pStyle w:val="TableBodyText"/>
            </w:pPr>
            <w:r>
              <w:t>Accent Callout</w:t>
            </w:r>
          </w:p>
        </w:tc>
      </w:tr>
      <w:tr w:rsidR="00024C0A" w:rsidTr="00024C0A">
        <w:tc>
          <w:tcPr>
            <w:tcW w:w="0" w:type="auto"/>
            <w:vAlign w:val="center"/>
          </w:tcPr>
          <w:p w:rsidR="00024C0A" w:rsidRDefault="00694C0F">
            <w:pPr>
              <w:pStyle w:val="TableBodyText"/>
            </w:pPr>
            <w:r>
              <w:rPr>
                <w:i/>
              </w:rPr>
              <w:t>47-49</w:t>
            </w:r>
          </w:p>
        </w:tc>
        <w:tc>
          <w:tcPr>
            <w:tcW w:w="0" w:type="auto"/>
            <w:vAlign w:val="center"/>
          </w:tcPr>
          <w:p w:rsidR="00024C0A" w:rsidRDefault="00694C0F">
            <w:pPr>
              <w:pStyle w:val="TableBodyText"/>
            </w:pPr>
            <w:r>
              <w:t>Border Callout</w:t>
            </w:r>
          </w:p>
        </w:tc>
      </w:tr>
      <w:tr w:rsidR="00024C0A" w:rsidTr="00024C0A">
        <w:tc>
          <w:tcPr>
            <w:tcW w:w="0" w:type="auto"/>
            <w:vAlign w:val="center"/>
          </w:tcPr>
          <w:p w:rsidR="00024C0A" w:rsidRDefault="00694C0F">
            <w:pPr>
              <w:pStyle w:val="TableBodyText"/>
            </w:pPr>
            <w:r>
              <w:rPr>
                <w:i/>
              </w:rPr>
              <w:t>50-52</w:t>
            </w:r>
          </w:p>
        </w:tc>
        <w:tc>
          <w:tcPr>
            <w:tcW w:w="0" w:type="auto"/>
            <w:vAlign w:val="center"/>
          </w:tcPr>
          <w:p w:rsidR="00024C0A" w:rsidRDefault="00694C0F">
            <w:pPr>
              <w:pStyle w:val="TableBodyText"/>
            </w:pPr>
            <w:r>
              <w:t>Accent Border Callout</w:t>
            </w:r>
          </w:p>
        </w:tc>
      </w:tr>
      <w:tr w:rsidR="00024C0A" w:rsidTr="00024C0A">
        <w:tc>
          <w:tcPr>
            <w:tcW w:w="0" w:type="auto"/>
            <w:vAlign w:val="center"/>
          </w:tcPr>
          <w:p w:rsidR="00024C0A" w:rsidRDefault="00694C0F">
            <w:pPr>
              <w:pStyle w:val="TableBodyText"/>
            </w:pPr>
            <w:r>
              <w:rPr>
                <w:i/>
              </w:rPr>
              <w:t>53-54</w:t>
            </w:r>
          </w:p>
        </w:tc>
        <w:tc>
          <w:tcPr>
            <w:tcW w:w="0" w:type="auto"/>
            <w:vAlign w:val="center"/>
          </w:tcPr>
          <w:p w:rsidR="00024C0A" w:rsidRDefault="00694C0F">
            <w:pPr>
              <w:pStyle w:val="TableBodyText"/>
            </w:pPr>
            <w:r>
              <w:t>Ribbon</w:t>
            </w:r>
          </w:p>
        </w:tc>
      </w:tr>
      <w:tr w:rsidR="00024C0A" w:rsidTr="00024C0A">
        <w:tc>
          <w:tcPr>
            <w:tcW w:w="0" w:type="auto"/>
            <w:vAlign w:val="center"/>
          </w:tcPr>
          <w:p w:rsidR="00024C0A" w:rsidRDefault="00694C0F">
            <w:pPr>
              <w:pStyle w:val="TableBodyText"/>
            </w:pPr>
            <w:r>
              <w:rPr>
                <w:i/>
              </w:rPr>
              <w:t>55</w:t>
            </w:r>
          </w:p>
        </w:tc>
        <w:tc>
          <w:tcPr>
            <w:tcW w:w="0" w:type="auto"/>
            <w:vAlign w:val="center"/>
          </w:tcPr>
          <w:p w:rsidR="00024C0A" w:rsidRDefault="00694C0F">
            <w:pPr>
              <w:pStyle w:val="TableBodyText"/>
            </w:pPr>
            <w:r>
              <w:t>Chevron</w:t>
            </w:r>
          </w:p>
        </w:tc>
      </w:tr>
      <w:tr w:rsidR="00024C0A" w:rsidTr="00024C0A">
        <w:tc>
          <w:tcPr>
            <w:tcW w:w="0" w:type="auto"/>
            <w:vAlign w:val="center"/>
          </w:tcPr>
          <w:p w:rsidR="00024C0A" w:rsidRDefault="00694C0F">
            <w:pPr>
              <w:pStyle w:val="TableBodyText"/>
            </w:pPr>
            <w:r>
              <w:rPr>
                <w:i/>
              </w:rPr>
              <w:t>56</w:t>
            </w:r>
          </w:p>
        </w:tc>
        <w:tc>
          <w:tcPr>
            <w:tcW w:w="0" w:type="auto"/>
            <w:vAlign w:val="center"/>
          </w:tcPr>
          <w:p w:rsidR="00024C0A" w:rsidRDefault="00694C0F">
            <w:pPr>
              <w:pStyle w:val="TableBodyText"/>
            </w:pPr>
            <w:r>
              <w:t>Pentagon</w:t>
            </w:r>
          </w:p>
        </w:tc>
      </w:tr>
      <w:tr w:rsidR="00024C0A" w:rsidTr="00024C0A">
        <w:tc>
          <w:tcPr>
            <w:tcW w:w="0" w:type="auto"/>
            <w:vAlign w:val="center"/>
          </w:tcPr>
          <w:p w:rsidR="00024C0A" w:rsidRDefault="00694C0F">
            <w:pPr>
              <w:pStyle w:val="TableBodyText"/>
            </w:pPr>
            <w:r>
              <w:rPr>
                <w:i/>
              </w:rPr>
              <w:t>57</w:t>
            </w:r>
          </w:p>
        </w:tc>
        <w:tc>
          <w:tcPr>
            <w:tcW w:w="0" w:type="auto"/>
            <w:vAlign w:val="center"/>
          </w:tcPr>
          <w:p w:rsidR="00024C0A" w:rsidRDefault="00694C0F">
            <w:pPr>
              <w:pStyle w:val="TableBodyText"/>
            </w:pPr>
            <w:r>
              <w:t>No Smoking</w:t>
            </w:r>
          </w:p>
        </w:tc>
      </w:tr>
      <w:tr w:rsidR="00024C0A" w:rsidTr="00024C0A">
        <w:tc>
          <w:tcPr>
            <w:tcW w:w="0" w:type="auto"/>
            <w:vAlign w:val="center"/>
          </w:tcPr>
          <w:p w:rsidR="00024C0A" w:rsidRDefault="00694C0F">
            <w:pPr>
              <w:pStyle w:val="TableBodyText"/>
            </w:pPr>
            <w:r>
              <w:rPr>
                <w:i/>
              </w:rPr>
              <w:t>58</w:t>
            </w:r>
          </w:p>
        </w:tc>
        <w:tc>
          <w:tcPr>
            <w:tcW w:w="0" w:type="auto"/>
            <w:vAlign w:val="center"/>
          </w:tcPr>
          <w:p w:rsidR="00024C0A" w:rsidRDefault="00694C0F">
            <w:pPr>
              <w:pStyle w:val="TableBodyText"/>
            </w:pPr>
            <w:r>
              <w:t>8 Pointed Seal</w:t>
            </w:r>
          </w:p>
        </w:tc>
      </w:tr>
      <w:tr w:rsidR="00024C0A" w:rsidTr="00024C0A">
        <w:tc>
          <w:tcPr>
            <w:tcW w:w="0" w:type="auto"/>
            <w:vAlign w:val="center"/>
          </w:tcPr>
          <w:p w:rsidR="00024C0A" w:rsidRDefault="00694C0F">
            <w:pPr>
              <w:pStyle w:val="TableBodyText"/>
            </w:pPr>
            <w:r>
              <w:rPr>
                <w:i/>
              </w:rPr>
              <w:lastRenderedPageBreak/>
              <w:t>59</w:t>
            </w:r>
          </w:p>
        </w:tc>
        <w:tc>
          <w:tcPr>
            <w:tcW w:w="0" w:type="auto"/>
            <w:vAlign w:val="center"/>
          </w:tcPr>
          <w:p w:rsidR="00024C0A" w:rsidRDefault="00694C0F">
            <w:pPr>
              <w:pStyle w:val="TableBodyText"/>
            </w:pPr>
            <w:r>
              <w:t>16 Pointed Seal</w:t>
            </w:r>
          </w:p>
        </w:tc>
      </w:tr>
      <w:tr w:rsidR="00024C0A" w:rsidTr="00024C0A">
        <w:tc>
          <w:tcPr>
            <w:tcW w:w="0" w:type="auto"/>
            <w:vAlign w:val="center"/>
          </w:tcPr>
          <w:p w:rsidR="00024C0A" w:rsidRDefault="00694C0F">
            <w:pPr>
              <w:pStyle w:val="TableBodyText"/>
            </w:pPr>
            <w:r>
              <w:rPr>
                <w:i/>
              </w:rPr>
              <w:t>60</w:t>
            </w:r>
          </w:p>
        </w:tc>
        <w:tc>
          <w:tcPr>
            <w:tcW w:w="0" w:type="auto"/>
            <w:vAlign w:val="center"/>
          </w:tcPr>
          <w:p w:rsidR="00024C0A" w:rsidRDefault="00694C0F">
            <w:pPr>
              <w:pStyle w:val="TableBodyText"/>
            </w:pPr>
            <w:r>
              <w:t>32 Pointed Seal</w:t>
            </w:r>
          </w:p>
        </w:tc>
      </w:tr>
      <w:tr w:rsidR="00024C0A" w:rsidTr="00024C0A">
        <w:tc>
          <w:tcPr>
            <w:tcW w:w="0" w:type="auto"/>
            <w:vAlign w:val="center"/>
          </w:tcPr>
          <w:p w:rsidR="00024C0A" w:rsidRDefault="00694C0F">
            <w:pPr>
              <w:pStyle w:val="TableBodyText"/>
            </w:pPr>
            <w:r>
              <w:rPr>
                <w:i/>
              </w:rPr>
              <w:t>61</w:t>
            </w:r>
          </w:p>
        </w:tc>
        <w:tc>
          <w:tcPr>
            <w:tcW w:w="0" w:type="auto"/>
            <w:vAlign w:val="center"/>
          </w:tcPr>
          <w:p w:rsidR="00024C0A" w:rsidRDefault="00694C0F">
            <w:pPr>
              <w:pStyle w:val="TableBodyText"/>
            </w:pPr>
            <w:r>
              <w:t>Wedge Rectangle Callout</w:t>
            </w:r>
          </w:p>
        </w:tc>
      </w:tr>
      <w:tr w:rsidR="00024C0A" w:rsidTr="00024C0A">
        <w:tc>
          <w:tcPr>
            <w:tcW w:w="0" w:type="auto"/>
            <w:vAlign w:val="center"/>
          </w:tcPr>
          <w:p w:rsidR="00024C0A" w:rsidRDefault="00694C0F">
            <w:pPr>
              <w:pStyle w:val="TableBodyText"/>
            </w:pPr>
            <w:r>
              <w:rPr>
                <w:i/>
              </w:rPr>
              <w:t>62</w:t>
            </w:r>
          </w:p>
        </w:tc>
        <w:tc>
          <w:tcPr>
            <w:tcW w:w="0" w:type="auto"/>
            <w:vAlign w:val="center"/>
          </w:tcPr>
          <w:p w:rsidR="00024C0A" w:rsidRDefault="00694C0F">
            <w:pPr>
              <w:pStyle w:val="TableBodyText"/>
            </w:pPr>
            <w:r>
              <w:t>Wedge Rounded Rectangle Callout</w:t>
            </w:r>
          </w:p>
        </w:tc>
      </w:tr>
      <w:tr w:rsidR="00024C0A" w:rsidTr="00024C0A">
        <w:tc>
          <w:tcPr>
            <w:tcW w:w="0" w:type="auto"/>
            <w:vAlign w:val="center"/>
          </w:tcPr>
          <w:p w:rsidR="00024C0A" w:rsidRDefault="00694C0F">
            <w:pPr>
              <w:pStyle w:val="TableBodyText"/>
            </w:pPr>
            <w:r>
              <w:rPr>
                <w:i/>
              </w:rPr>
              <w:t>63</w:t>
            </w:r>
          </w:p>
        </w:tc>
        <w:tc>
          <w:tcPr>
            <w:tcW w:w="0" w:type="auto"/>
            <w:vAlign w:val="center"/>
          </w:tcPr>
          <w:p w:rsidR="00024C0A" w:rsidRDefault="00694C0F">
            <w:pPr>
              <w:pStyle w:val="TableBodyText"/>
            </w:pPr>
            <w:r>
              <w:t xml:space="preserve">Wedge </w:t>
            </w:r>
            <w:r>
              <w:t>Ellipse Callout</w:t>
            </w:r>
          </w:p>
        </w:tc>
      </w:tr>
      <w:tr w:rsidR="00024C0A" w:rsidTr="00024C0A">
        <w:tc>
          <w:tcPr>
            <w:tcW w:w="0" w:type="auto"/>
            <w:vAlign w:val="center"/>
          </w:tcPr>
          <w:p w:rsidR="00024C0A" w:rsidRDefault="00694C0F">
            <w:pPr>
              <w:pStyle w:val="TableBodyText"/>
            </w:pPr>
            <w:r>
              <w:rPr>
                <w:i/>
              </w:rPr>
              <w:t>64</w:t>
            </w:r>
          </w:p>
        </w:tc>
        <w:tc>
          <w:tcPr>
            <w:tcW w:w="0" w:type="auto"/>
            <w:vAlign w:val="center"/>
          </w:tcPr>
          <w:p w:rsidR="00024C0A" w:rsidRDefault="00694C0F">
            <w:pPr>
              <w:pStyle w:val="TableBodyText"/>
            </w:pPr>
            <w:r>
              <w:t>Wave</w:t>
            </w:r>
          </w:p>
        </w:tc>
      </w:tr>
      <w:tr w:rsidR="00024C0A" w:rsidTr="00024C0A">
        <w:tc>
          <w:tcPr>
            <w:tcW w:w="0" w:type="auto"/>
            <w:vAlign w:val="center"/>
          </w:tcPr>
          <w:p w:rsidR="00024C0A" w:rsidRDefault="00694C0F">
            <w:pPr>
              <w:pStyle w:val="TableBodyText"/>
            </w:pPr>
            <w:r>
              <w:rPr>
                <w:i/>
              </w:rPr>
              <w:t>65</w:t>
            </w:r>
          </w:p>
        </w:tc>
        <w:tc>
          <w:tcPr>
            <w:tcW w:w="0" w:type="auto"/>
            <w:vAlign w:val="center"/>
          </w:tcPr>
          <w:p w:rsidR="00024C0A" w:rsidRDefault="00694C0F">
            <w:pPr>
              <w:pStyle w:val="TableBodyText"/>
            </w:pPr>
            <w:r>
              <w:t>Folded Corner</w:t>
            </w:r>
          </w:p>
        </w:tc>
      </w:tr>
      <w:tr w:rsidR="00024C0A" w:rsidTr="00024C0A">
        <w:tc>
          <w:tcPr>
            <w:tcW w:w="0" w:type="auto"/>
            <w:vAlign w:val="center"/>
          </w:tcPr>
          <w:p w:rsidR="00024C0A" w:rsidRDefault="00694C0F">
            <w:pPr>
              <w:pStyle w:val="TableBodyText"/>
            </w:pPr>
            <w:r>
              <w:rPr>
                <w:i/>
              </w:rPr>
              <w:t>66</w:t>
            </w:r>
          </w:p>
        </w:tc>
        <w:tc>
          <w:tcPr>
            <w:tcW w:w="0" w:type="auto"/>
            <w:vAlign w:val="center"/>
          </w:tcPr>
          <w:p w:rsidR="00024C0A" w:rsidRDefault="00694C0F">
            <w:pPr>
              <w:pStyle w:val="TableBodyText"/>
            </w:pPr>
            <w:r>
              <w:t>Left Arrow</w:t>
            </w:r>
          </w:p>
        </w:tc>
      </w:tr>
      <w:tr w:rsidR="00024C0A" w:rsidTr="00024C0A">
        <w:tc>
          <w:tcPr>
            <w:tcW w:w="0" w:type="auto"/>
            <w:vAlign w:val="center"/>
          </w:tcPr>
          <w:p w:rsidR="00024C0A" w:rsidRDefault="00694C0F">
            <w:pPr>
              <w:pStyle w:val="TableBodyText"/>
            </w:pPr>
            <w:r>
              <w:rPr>
                <w:i/>
              </w:rPr>
              <w:t>67</w:t>
            </w:r>
          </w:p>
        </w:tc>
        <w:tc>
          <w:tcPr>
            <w:tcW w:w="0" w:type="auto"/>
            <w:vAlign w:val="center"/>
          </w:tcPr>
          <w:p w:rsidR="00024C0A" w:rsidRDefault="00694C0F">
            <w:pPr>
              <w:pStyle w:val="TableBodyText"/>
            </w:pPr>
            <w:r>
              <w:t>Down Arrow</w:t>
            </w:r>
          </w:p>
        </w:tc>
      </w:tr>
      <w:tr w:rsidR="00024C0A" w:rsidTr="00024C0A">
        <w:tc>
          <w:tcPr>
            <w:tcW w:w="0" w:type="auto"/>
            <w:vAlign w:val="center"/>
          </w:tcPr>
          <w:p w:rsidR="00024C0A" w:rsidRDefault="00694C0F">
            <w:pPr>
              <w:pStyle w:val="TableBodyText"/>
            </w:pPr>
            <w:r>
              <w:rPr>
                <w:i/>
              </w:rPr>
              <w:t>68</w:t>
            </w:r>
          </w:p>
        </w:tc>
        <w:tc>
          <w:tcPr>
            <w:tcW w:w="0" w:type="auto"/>
            <w:vAlign w:val="center"/>
          </w:tcPr>
          <w:p w:rsidR="00024C0A" w:rsidRDefault="00694C0F">
            <w:pPr>
              <w:pStyle w:val="TableBodyText"/>
            </w:pPr>
            <w:r>
              <w:t>Up Arrow</w:t>
            </w:r>
          </w:p>
        </w:tc>
      </w:tr>
      <w:tr w:rsidR="00024C0A" w:rsidTr="00024C0A">
        <w:tc>
          <w:tcPr>
            <w:tcW w:w="0" w:type="auto"/>
            <w:vAlign w:val="center"/>
          </w:tcPr>
          <w:p w:rsidR="00024C0A" w:rsidRDefault="00694C0F">
            <w:pPr>
              <w:pStyle w:val="TableBodyText"/>
            </w:pPr>
            <w:r>
              <w:rPr>
                <w:i/>
              </w:rPr>
              <w:t>69</w:t>
            </w:r>
          </w:p>
        </w:tc>
        <w:tc>
          <w:tcPr>
            <w:tcW w:w="0" w:type="auto"/>
            <w:vAlign w:val="center"/>
          </w:tcPr>
          <w:p w:rsidR="00024C0A" w:rsidRDefault="00694C0F">
            <w:pPr>
              <w:pStyle w:val="TableBodyText"/>
            </w:pPr>
            <w:r>
              <w:t>Left-Right Arrow</w:t>
            </w:r>
          </w:p>
        </w:tc>
      </w:tr>
      <w:tr w:rsidR="00024C0A" w:rsidTr="00024C0A">
        <w:tc>
          <w:tcPr>
            <w:tcW w:w="0" w:type="auto"/>
            <w:vAlign w:val="center"/>
          </w:tcPr>
          <w:p w:rsidR="00024C0A" w:rsidRDefault="00694C0F">
            <w:pPr>
              <w:pStyle w:val="TableBodyText"/>
            </w:pPr>
            <w:r>
              <w:rPr>
                <w:i/>
              </w:rPr>
              <w:t>70</w:t>
            </w:r>
          </w:p>
        </w:tc>
        <w:tc>
          <w:tcPr>
            <w:tcW w:w="0" w:type="auto"/>
            <w:vAlign w:val="center"/>
          </w:tcPr>
          <w:p w:rsidR="00024C0A" w:rsidRDefault="00694C0F">
            <w:pPr>
              <w:pStyle w:val="TableBodyText"/>
            </w:pPr>
            <w:r>
              <w:t>Up-Down Arrow</w:t>
            </w:r>
          </w:p>
        </w:tc>
      </w:tr>
      <w:tr w:rsidR="00024C0A" w:rsidTr="00024C0A">
        <w:tc>
          <w:tcPr>
            <w:tcW w:w="0" w:type="auto"/>
            <w:vAlign w:val="center"/>
          </w:tcPr>
          <w:p w:rsidR="00024C0A" w:rsidRDefault="00694C0F">
            <w:pPr>
              <w:pStyle w:val="TableBodyText"/>
            </w:pPr>
            <w:r>
              <w:rPr>
                <w:i/>
              </w:rPr>
              <w:t>71-72</w:t>
            </w:r>
          </w:p>
        </w:tc>
        <w:tc>
          <w:tcPr>
            <w:tcW w:w="0" w:type="auto"/>
            <w:vAlign w:val="center"/>
          </w:tcPr>
          <w:p w:rsidR="00024C0A" w:rsidRDefault="00694C0F">
            <w:pPr>
              <w:pStyle w:val="TableBodyText"/>
            </w:pPr>
            <w:r>
              <w:t>Irregular Seal</w:t>
            </w:r>
          </w:p>
        </w:tc>
      </w:tr>
      <w:tr w:rsidR="00024C0A" w:rsidTr="00024C0A">
        <w:tc>
          <w:tcPr>
            <w:tcW w:w="0" w:type="auto"/>
            <w:vAlign w:val="center"/>
          </w:tcPr>
          <w:p w:rsidR="00024C0A" w:rsidRDefault="00694C0F">
            <w:pPr>
              <w:pStyle w:val="TableBodyText"/>
            </w:pPr>
            <w:r>
              <w:rPr>
                <w:i/>
              </w:rPr>
              <w:t>73</w:t>
            </w:r>
          </w:p>
        </w:tc>
        <w:tc>
          <w:tcPr>
            <w:tcW w:w="0" w:type="auto"/>
            <w:vAlign w:val="center"/>
          </w:tcPr>
          <w:p w:rsidR="00024C0A" w:rsidRDefault="00694C0F">
            <w:pPr>
              <w:pStyle w:val="TableBodyText"/>
            </w:pPr>
            <w:r>
              <w:t>Lightning Bolt</w:t>
            </w:r>
          </w:p>
        </w:tc>
      </w:tr>
      <w:tr w:rsidR="00024C0A" w:rsidTr="00024C0A">
        <w:tc>
          <w:tcPr>
            <w:tcW w:w="0" w:type="auto"/>
            <w:vAlign w:val="center"/>
          </w:tcPr>
          <w:p w:rsidR="00024C0A" w:rsidRDefault="00694C0F">
            <w:pPr>
              <w:pStyle w:val="TableBodyText"/>
            </w:pPr>
            <w:r>
              <w:rPr>
                <w:i/>
              </w:rPr>
              <w:t>74</w:t>
            </w:r>
          </w:p>
        </w:tc>
        <w:tc>
          <w:tcPr>
            <w:tcW w:w="0" w:type="auto"/>
            <w:vAlign w:val="center"/>
          </w:tcPr>
          <w:p w:rsidR="00024C0A" w:rsidRDefault="00694C0F">
            <w:pPr>
              <w:pStyle w:val="TableBodyText"/>
            </w:pPr>
            <w:r>
              <w:t>Heart</w:t>
            </w:r>
          </w:p>
        </w:tc>
      </w:tr>
      <w:tr w:rsidR="00024C0A" w:rsidTr="00024C0A">
        <w:tc>
          <w:tcPr>
            <w:tcW w:w="0" w:type="auto"/>
            <w:vAlign w:val="center"/>
          </w:tcPr>
          <w:p w:rsidR="00024C0A" w:rsidRDefault="00694C0F">
            <w:pPr>
              <w:pStyle w:val="TableBodyText"/>
            </w:pPr>
            <w:r>
              <w:rPr>
                <w:i/>
              </w:rPr>
              <w:t>75</w:t>
            </w:r>
          </w:p>
        </w:tc>
        <w:tc>
          <w:tcPr>
            <w:tcW w:w="0" w:type="auto"/>
            <w:vAlign w:val="center"/>
          </w:tcPr>
          <w:p w:rsidR="00024C0A" w:rsidRDefault="00694C0F">
            <w:pPr>
              <w:pStyle w:val="TableBodyText"/>
            </w:pPr>
            <w:r>
              <w:t>Picture Frame</w:t>
            </w:r>
          </w:p>
        </w:tc>
      </w:tr>
      <w:tr w:rsidR="00024C0A" w:rsidTr="00024C0A">
        <w:tc>
          <w:tcPr>
            <w:tcW w:w="0" w:type="auto"/>
            <w:vAlign w:val="center"/>
          </w:tcPr>
          <w:p w:rsidR="00024C0A" w:rsidRDefault="00694C0F">
            <w:pPr>
              <w:pStyle w:val="TableBodyText"/>
            </w:pPr>
            <w:r>
              <w:rPr>
                <w:i/>
              </w:rPr>
              <w:t>76</w:t>
            </w:r>
          </w:p>
        </w:tc>
        <w:tc>
          <w:tcPr>
            <w:tcW w:w="0" w:type="auto"/>
            <w:vAlign w:val="center"/>
          </w:tcPr>
          <w:p w:rsidR="00024C0A" w:rsidRDefault="00694C0F">
            <w:pPr>
              <w:pStyle w:val="TableBodyText"/>
            </w:pPr>
            <w:r>
              <w:t>Quad Arrow</w:t>
            </w:r>
          </w:p>
        </w:tc>
      </w:tr>
      <w:tr w:rsidR="00024C0A" w:rsidTr="00024C0A">
        <w:tc>
          <w:tcPr>
            <w:tcW w:w="0" w:type="auto"/>
            <w:vAlign w:val="center"/>
          </w:tcPr>
          <w:p w:rsidR="00024C0A" w:rsidRDefault="00694C0F">
            <w:pPr>
              <w:pStyle w:val="TableBodyText"/>
            </w:pPr>
            <w:r>
              <w:rPr>
                <w:i/>
              </w:rPr>
              <w:t>77</w:t>
            </w:r>
          </w:p>
        </w:tc>
        <w:tc>
          <w:tcPr>
            <w:tcW w:w="0" w:type="auto"/>
            <w:vAlign w:val="center"/>
          </w:tcPr>
          <w:p w:rsidR="00024C0A" w:rsidRDefault="00694C0F">
            <w:pPr>
              <w:pStyle w:val="TableBodyText"/>
            </w:pPr>
            <w:r>
              <w:t>Left Arrow Callout</w:t>
            </w:r>
          </w:p>
        </w:tc>
      </w:tr>
      <w:tr w:rsidR="00024C0A" w:rsidTr="00024C0A">
        <w:tc>
          <w:tcPr>
            <w:tcW w:w="0" w:type="auto"/>
            <w:vAlign w:val="center"/>
          </w:tcPr>
          <w:p w:rsidR="00024C0A" w:rsidRDefault="00694C0F">
            <w:pPr>
              <w:pStyle w:val="TableBodyText"/>
            </w:pPr>
            <w:r>
              <w:rPr>
                <w:i/>
              </w:rPr>
              <w:t>78</w:t>
            </w:r>
          </w:p>
        </w:tc>
        <w:tc>
          <w:tcPr>
            <w:tcW w:w="0" w:type="auto"/>
            <w:vAlign w:val="center"/>
          </w:tcPr>
          <w:p w:rsidR="00024C0A" w:rsidRDefault="00694C0F">
            <w:pPr>
              <w:pStyle w:val="TableBodyText"/>
            </w:pPr>
            <w:r>
              <w:t>Right Arrow Callout</w:t>
            </w:r>
          </w:p>
        </w:tc>
      </w:tr>
      <w:tr w:rsidR="00024C0A" w:rsidTr="00024C0A">
        <w:tc>
          <w:tcPr>
            <w:tcW w:w="0" w:type="auto"/>
            <w:vAlign w:val="center"/>
          </w:tcPr>
          <w:p w:rsidR="00024C0A" w:rsidRDefault="00694C0F">
            <w:pPr>
              <w:pStyle w:val="TableBodyText"/>
            </w:pPr>
            <w:r>
              <w:rPr>
                <w:i/>
              </w:rPr>
              <w:t>79</w:t>
            </w:r>
          </w:p>
        </w:tc>
        <w:tc>
          <w:tcPr>
            <w:tcW w:w="0" w:type="auto"/>
            <w:vAlign w:val="center"/>
          </w:tcPr>
          <w:p w:rsidR="00024C0A" w:rsidRDefault="00694C0F">
            <w:pPr>
              <w:pStyle w:val="TableBodyText"/>
            </w:pPr>
            <w:r>
              <w:t>Up Arrow Callout</w:t>
            </w:r>
          </w:p>
        </w:tc>
      </w:tr>
      <w:tr w:rsidR="00024C0A" w:rsidTr="00024C0A">
        <w:tc>
          <w:tcPr>
            <w:tcW w:w="0" w:type="auto"/>
            <w:vAlign w:val="center"/>
          </w:tcPr>
          <w:p w:rsidR="00024C0A" w:rsidRDefault="00694C0F">
            <w:pPr>
              <w:pStyle w:val="TableBodyText"/>
            </w:pPr>
            <w:r>
              <w:rPr>
                <w:i/>
              </w:rPr>
              <w:t>80</w:t>
            </w:r>
          </w:p>
        </w:tc>
        <w:tc>
          <w:tcPr>
            <w:tcW w:w="0" w:type="auto"/>
            <w:vAlign w:val="center"/>
          </w:tcPr>
          <w:p w:rsidR="00024C0A" w:rsidRDefault="00694C0F">
            <w:pPr>
              <w:pStyle w:val="TableBodyText"/>
            </w:pPr>
            <w:r>
              <w:t>Down Arrow Callout</w:t>
            </w:r>
          </w:p>
        </w:tc>
      </w:tr>
      <w:tr w:rsidR="00024C0A" w:rsidTr="00024C0A">
        <w:tc>
          <w:tcPr>
            <w:tcW w:w="0" w:type="auto"/>
            <w:vAlign w:val="center"/>
          </w:tcPr>
          <w:p w:rsidR="00024C0A" w:rsidRDefault="00694C0F">
            <w:pPr>
              <w:pStyle w:val="TableBodyText"/>
            </w:pPr>
            <w:r>
              <w:rPr>
                <w:i/>
              </w:rPr>
              <w:t>81</w:t>
            </w:r>
          </w:p>
        </w:tc>
        <w:tc>
          <w:tcPr>
            <w:tcW w:w="0" w:type="auto"/>
            <w:vAlign w:val="center"/>
          </w:tcPr>
          <w:p w:rsidR="00024C0A" w:rsidRDefault="00694C0F">
            <w:pPr>
              <w:pStyle w:val="TableBodyText"/>
            </w:pPr>
            <w:r>
              <w:t>Left-Right Arrow Callout</w:t>
            </w:r>
          </w:p>
        </w:tc>
      </w:tr>
      <w:tr w:rsidR="00024C0A" w:rsidTr="00024C0A">
        <w:tc>
          <w:tcPr>
            <w:tcW w:w="0" w:type="auto"/>
            <w:vAlign w:val="center"/>
          </w:tcPr>
          <w:p w:rsidR="00024C0A" w:rsidRDefault="00694C0F">
            <w:pPr>
              <w:pStyle w:val="TableBodyText"/>
            </w:pPr>
            <w:r>
              <w:rPr>
                <w:i/>
              </w:rPr>
              <w:t>82</w:t>
            </w:r>
          </w:p>
        </w:tc>
        <w:tc>
          <w:tcPr>
            <w:tcW w:w="0" w:type="auto"/>
            <w:vAlign w:val="center"/>
          </w:tcPr>
          <w:p w:rsidR="00024C0A" w:rsidRDefault="00694C0F">
            <w:pPr>
              <w:pStyle w:val="TableBodyText"/>
            </w:pPr>
            <w:r>
              <w:t>Up-Down Arrow Callout</w:t>
            </w:r>
          </w:p>
        </w:tc>
      </w:tr>
      <w:tr w:rsidR="00024C0A" w:rsidTr="00024C0A">
        <w:tc>
          <w:tcPr>
            <w:tcW w:w="0" w:type="auto"/>
            <w:vAlign w:val="center"/>
          </w:tcPr>
          <w:p w:rsidR="00024C0A" w:rsidRDefault="00694C0F">
            <w:pPr>
              <w:pStyle w:val="TableBodyText"/>
            </w:pPr>
            <w:r>
              <w:rPr>
                <w:i/>
              </w:rPr>
              <w:t>83</w:t>
            </w:r>
          </w:p>
        </w:tc>
        <w:tc>
          <w:tcPr>
            <w:tcW w:w="0" w:type="auto"/>
            <w:vAlign w:val="center"/>
          </w:tcPr>
          <w:p w:rsidR="00024C0A" w:rsidRDefault="00694C0F">
            <w:pPr>
              <w:pStyle w:val="TableBodyText"/>
            </w:pPr>
            <w:r>
              <w:t>Quad Arrow Callout</w:t>
            </w:r>
          </w:p>
        </w:tc>
      </w:tr>
      <w:tr w:rsidR="00024C0A" w:rsidTr="00024C0A">
        <w:tc>
          <w:tcPr>
            <w:tcW w:w="0" w:type="auto"/>
            <w:vAlign w:val="center"/>
          </w:tcPr>
          <w:p w:rsidR="00024C0A" w:rsidRDefault="00694C0F">
            <w:pPr>
              <w:pStyle w:val="TableBodyText"/>
            </w:pPr>
            <w:r>
              <w:rPr>
                <w:i/>
              </w:rPr>
              <w:t>84</w:t>
            </w:r>
          </w:p>
        </w:tc>
        <w:tc>
          <w:tcPr>
            <w:tcW w:w="0" w:type="auto"/>
            <w:vAlign w:val="center"/>
          </w:tcPr>
          <w:p w:rsidR="00024C0A" w:rsidRDefault="00694C0F">
            <w:pPr>
              <w:pStyle w:val="TableBodyText"/>
            </w:pPr>
            <w:r>
              <w:t>Bevel</w:t>
            </w:r>
          </w:p>
        </w:tc>
      </w:tr>
      <w:tr w:rsidR="00024C0A" w:rsidTr="00024C0A">
        <w:tc>
          <w:tcPr>
            <w:tcW w:w="0" w:type="auto"/>
            <w:vAlign w:val="center"/>
          </w:tcPr>
          <w:p w:rsidR="00024C0A" w:rsidRDefault="00694C0F">
            <w:pPr>
              <w:pStyle w:val="TableBodyText"/>
            </w:pPr>
            <w:r>
              <w:rPr>
                <w:i/>
              </w:rPr>
              <w:t>85</w:t>
            </w:r>
          </w:p>
        </w:tc>
        <w:tc>
          <w:tcPr>
            <w:tcW w:w="0" w:type="auto"/>
            <w:vAlign w:val="center"/>
          </w:tcPr>
          <w:p w:rsidR="00024C0A" w:rsidRDefault="00694C0F">
            <w:pPr>
              <w:pStyle w:val="TableBodyText"/>
            </w:pPr>
            <w:r>
              <w:t>Left Bracket</w:t>
            </w:r>
          </w:p>
        </w:tc>
      </w:tr>
      <w:tr w:rsidR="00024C0A" w:rsidTr="00024C0A">
        <w:tc>
          <w:tcPr>
            <w:tcW w:w="0" w:type="auto"/>
            <w:vAlign w:val="center"/>
          </w:tcPr>
          <w:p w:rsidR="00024C0A" w:rsidRDefault="00694C0F">
            <w:pPr>
              <w:pStyle w:val="TableBodyText"/>
            </w:pPr>
            <w:r>
              <w:rPr>
                <w:i/>
              </w:rPr>
              <w:t>86</w:t>
            </w:r>
          </w:p>
        </w:tc>
        <w:tc>
          <w:tcPr>
            <w:tcW w:w="0" w:type="auto"/>
            <w:vAlign w:val="center"/>
          </w:tcPr>
          <w:p w:rsidR="00024C0A" w:rsidRDefault="00694C0F">
            <w:pPr>
              <w:pStyle w:val="TableBodyText"/>
            </w:pPr>
            <w:r>
              <w:t>Right Bracket</w:t>
            </w:r>
          </w:p>
        </w:tc>
      </w:tr>
      <w:tr w:rsidR="00024C0A" w:rsidTr="00024C0A">
        <w:tc>
          <w:tcPr>
            <w:tcW w:w="0" w:type="auto"/>
            <w:vAlign w:val="center"/>
          </w:tcPr>
          <w:p w:rsidR="00024C0A" w:rsidRDefault="00694C0F">
            <w:pPr>
              <w:pStyle w:val="TableBodyText"/>
            </w:pPr>
            <w:r>
              <w:rPr>
                <w:i/>
              </w:rPr>
              <w:t>87</w:t>
            </w:r>
          </w:p>
        </w:tc>
        <w:tc>
          <w:tcPr>
            <w:tcW w:w="0" w:type="auto"/>
            <w:vAlign w:val="center"/>
          </w:tcPr>
          <w:p w:rsidR="00024C0A" w:rsidRDefault="00694C0F">
            <w:pPr>
              <w:pStyle w:val="TableBodyText"/>
            </w:pPr>
            <w:r>
              <w:t>Left Brace</w:t>
            </w:r>
          </w:p>
        </w:tc>
      </w:tr>
      <w:tr w:rsidR="00024C0A" w:rsidTr="00024C0A">
        <w:tc>
          <w:tcPr>
            <w:tcW w:w="0" w:type="auto"/>
            <w:vAlign w:val="center"/>
          </w:tcPr>
          <w:p w:rsidR="00024C0A" w:rsidRDefault="00694C0F">
            <w:pPr>
              <w:pStyle w:val="TableBodyText"/>
            </w:pPr>
            <w:r>
              <w:rPr>
                <w:i/>
              </w:rPr>
              <w:t>88</w:t>
            </w:r>
          </w:p>
        </w:tc>
        <w:tc>
          <w:tcPr>
            <w:tcW w:w="0" w:type="auto"/>
            <w:vAlign w:val="center"/>
          </w:tcPr>
          <w:p w:rsidR="00024C0A" w:rsidRDefault="00694C0F">
            <w:pPr>
              <w:pStyle w:val="TableBodyText"/>
            </w:pPr>
            <w:r>
              <w:t>Right Brace</w:t>
            </w:r>
          </w:p>
        </w:tc>
      </w:tr>
      <w:tr w:rsidR="00024C0A" w:rsidTr="00024C0A">
        <w:tc>
          <w:tcPr>
            <w:tcW w:w="0" w:type="auto"/>
            <w:vAlign w:val="center"/>
          </w:tcPr>
          <w:p w:rsidR="00024C0A" w:rsidRDefault="00694C0F">
            <w:pPr>
              <w:pStyle w:val="TableBodyText"/>
            </w:pPr>
            <w:r>
              <w:rPr>
                <w:i/>
              </w:rPr>
              <w:t>89</w:t>
            </w:r>
          </w:p>
        </w:tc>
        <w:tc>
          <w:tcPr>
            <w:tcW w:w="0" w:type="auto"/>
            <w:vAlign w:val="center"/>
          </w:tcPr>
          <w:p w:rsidR="00024C0A" w:rsidRDefault="00694C0F">
            <w:pPr>
              <w:pStyle w:val="TableBodyText"/>
            </w:pPr>
            <w:r>
              <w:t>Left-Up Arrow</w:t>
            </w:r>
          </w:p>
        </w:tc>
      </w:tr>
      <w:tr w:rsidR="00024C0A" w:rsidTr="00024C0A">
        <w:tc>
          <w:tcPr>
            <w:tcW w:w="0" w:type="auto"/>
            <w:vAlign w:val="center"/>
          </w:tcPr>
          <w:p w:rsidR="00024C0A" w:rsidRDefault="00694C0F">
            <w:pPr>
              <w:pStyle w:val="TableBodyText"/>
            </w:pPr>
            <w:r>
              <w:rPr>
                <w:i/>
              </w:rPr>
              <w:t>90</w:t>
            </w:r>
          </w:p>
        </w:tc>
        <w:tc>
          <w:tcPr>
            <w:tcW w:w="0" w:type="auto"/>
            <w:vAlign w:val="center"/>
          </w:tcPr>
          <w:p w:rsidR="00024C0A" w:rsidRDefault="00694C0F">
            <w:pPr>
              <w:pStyle w:val="TableBodyText"/>
            </w:pPr>
            <w:r>
              <w:t>Bent Up Arrow</w:t>
            </w:r>
          </w:p>
        </w:tc>
      </w:tr>
      <w:tr w:rsidR="00024C0A" w:rsidTr="00024C0A">
        <w:tc>
          <w:tcPr>
            <w:tcW w:w="0" w:type="auto"/>
            <w:vAlign w:val="center"/>
          </w:tcPr>
          <w:p w:rsidR="00024C0A" w:rsidRDefault="00694C0F">
            <w:pPr>
              <w:pStyle w:val="TableBodyText"/>
            </w:pPr>
            <w:r>
              <w:rPr>
                <w:i/>
              </w:rPr>
              <w:t>91</w:t>
            </w:r>
          </w:p>
        </w:tc>
        <w:tc>
          <w:tcPr>
            <w:tcW w:w="0" w:type="auto"/>
            <w:vAlign w:val="center"/>
          </w:tcPr>
          <w:p w:rsidR="00024C0A" w:rsidRDefault="00694C0F">
            <w:pPr>
              <w:pStyle w:val="TableBodyText"/>
            </w:pPr>
            <w:r>
              <w:t>Bent Arrow</w:t>
            </w:r>
          </w:p>
        </w:tc>
      </w:tr>
      <w:tr w:rsidR="00024C0A" w:rsidTr="00024C0A">
        <w:tc>
          <w:tcPr>
            <w:tcW w:w="0" w:type="auto"/>
            <w:vAlign w:val="center"/>
          </w:tcPr>
          <w:p w:rsidR="00024C0A" w:rsidRDefault="00694C0F">
            <w:pPr>
              <w:pStyle w:val="TableBodyText"/>
            </w:pPr>
            <w:r>
              <w:rPr>
                <w:i/>
              </w:rPr>
              <w:lastRenderedPageBreak/>
              <w:t>92</w:t>
            </w:r>
          </w:p>
        </w:tc>
        <w:tc>
          <w:tcPr>
            <w:tcW w:w="0" w:type="auto"/>
            <w:vAlign w:val="center"/>
          </w:tcPr>
          <w:p w:rsidR="00024C0A" w:rsidRDefault="00694C0F">
            <w:pPr>
              <w:pStyle w:val="TableBodyText"/>
            </w:pPr>
            <w:r>
              <w:t xml:space="preserve">24 </w:t>
            </w:r>
            <w:r>
              <w:t>Pointed Seal</w:t>
            </w:r>
          </w:p>
        </w:tc>
      </w:tr>
      <w:tr w:rsidR="00024C0A" w:rsidTr="00024C0A">
        <w:tc>
          <w:tcPr>
            <w:tcW w:w="0" w:type="auto"/>
            <w:vAlign w:val="center"/>
          </w:tcPr>
          <w:p w:rsidR="00024C0A" w:rsidRDefault="00694C0F">
            <w:pPr>
              <w:pStyle w:val="TableBodyText"/>
            </w:pPr>
            <w:r>
              <w:rPr>
                <w:i/>
              </w:rPr>
              <w:t>93</w:t>
            </w:r>
          </w:p>
        </w:tc>
        <w:tc>
          <w:tcPr>
            <w:tcW w:w="0" w:type="auto"/>
            <w:vAlign w:val="center"/>
          </w:tcPr>
          <w:p w:rsidR="00024C0A" w:rsidRDefault="00694C0F">
            <w:pPr>
              <w:pStyle w:val="TableBodyText"/>
            </w:pPr>
            <w:r>
              <w:t>Striped Right Arrow</w:t>
            </w:r>
          </w:p>
        </w:tc>
      </w:tr>
      <w:tr w:rsidR="00024C0A" w:rsidTr="00024C0A">
        <w:tc>
          <w:tcPr>
            <w:tcW w:w="0" w:type="auto"/>
            <w:vAlign w:val="center"/>
          </w:tcPr>
          <w:p w:rsidR="00024C0A" w:rsidRDefault="00694C0F">
            <w:pPr>
              <w:pStyle w:val="TableBodyText"/>
            </w:pPr>
            <w:r>
              <w:rPr>
                <w:i/>
              </w:rPr>
              <w:t>94</w:t>
            </w:r>
          </w:p>
        </w:tc>
        <w:tc>
          <w:tcPr>
            <w:tcW w:w="0" w:type="auto"/>
            <w:vAlign w:val="center"/>
          </w:tcPr>
          <w:p w:rsidR="00024C0A" w:rsidRDefault="00694C0F">
            <w:pPr>
              <w:pStyle w:val="TableBodyText"/>
            </w:pPr>
            <w:r>
              <w:t>Notched Right Arrow</w:t>
            </w:r>
          </w:p>
        </w:tc>
      </w:tr>
      <w:tr w:rsidR="00024C0A" w:rsidTr="00024C0A">
        <w:tc>
          <w:tcPr>
            <w:tcW w:w="0" w:type="auto"/>
            <w:vAlign w:val="center"/>
          </w:tcPr>
          <w:p w:rsidR="00024C0A" w:rsidRDefault="00694C0F">
            <w:pPr>
              <w:pStyle w:val="TableBodyText"/>
            </w:pPr>
            <w:r>
              <w:rPr>
                <w:i/>
              </w:rPr>
              <w:t>95</w:t>
            </w:r>
          </w:p>
        </w:tc>
        <w:tc>
          <w:tcPr>
            <w:tcW w:w="0" w:type="auto"/>
            <w:vAlign w:val="center"/>
          </w:tcPr>
          <w:p w:rsidR="00024C0A" w:rsidRDefault="00694C0F">
            <w:pPr>
              <w:pStyle w:val="TableBodyText"/>
            </w:pPr>
            <w:r>
              <w:t>Block Arc</w:t>
            </w:r>
          </w:p>
        </w:tc>
      </w:tr>
      <w:tr w:rsidR="00024C0A" w:rsidTr="00024C0A">
        <w:tc>
          <w:tcPr>
            <w:tcW w:w="0" w:type="auto"/>
            <w:vAlign w:val="center"/>
          </w:tcPr>
          <w:p w:rsidR="00024C0A" w:rsidRDefault="00694C0F">
            <w:pPr>
              <w:pStyle w:val="TableBodyText"/>
            </w:pPr>
            <w:r>
              <w:rPr>
                <w:i/>
              </w:rPr>
              <w:t>96</w:t>
            </w:r>
          </w:p>
        </w:tc>
        <w:tc>
          <w:tcPr>
            <w:tcW w:w="0" w:type="auto"/>
            <w:vAlign w:val="center"/>
          </w:tcPr>
          <w:p w:rsidR="00024C0A" w:rsidRDefault="00694C0F">
            <w:pPr>
              <w:pStyle w:val="TableBodyText"/>
            </w:pPr>
            <w:r>
              <w:t>Smiley Face</w:t>
            </w:r>
          </w:p>
        </w:tc>
      </w:tr>
      <w:tr w:rsidR="00024C0A" w:rsidTr="00024C0A">
        <w:tc>
          <w:tcPr>
            <w:tcW w:w="0" w:type="auto"/>
            <w:vAlign w:val="center"/>
          </w:tcPr>
          <w:p w:rsidR="00024C0A" w:rsidRDefault="00694C0F">
            <w:pPr>
              <w:pStyle w:val="TableBodyText"/>
            </w:pPr>
            <w:r>
              <w:rPr>
                <w:i/>
              </w:rPr>
              <w:t>97</w:t>
            </w:r>
          </w:p>
        </w:tc>
        <w:tc>
          <w:tcPr>
            <w:tcW w:w="0" w:type="auto"/>
            <w:vAlign w:val="center"/>
          </w:tcPr>
          <w:p w:rsidR="00024C0A" w:rsidRDefault="00694C0F">
            <w:pPr>
              <w:pStyle w:val="TableBodyText"/>
            </w:pPr>
            <w:r>
              <w:t>Vertical Scroll</w:t>
            </w:r>
          </w:p>
        </w:tc>
      </w:tr>
      <w:tr w:rsidR="00024C0A" w:rsidTr="00024C0A">
        <w:tc>
          <w:tcPr>
            <w:tcW w:w="0" w:type="auto"/>
            <w:vAlign w:val="center"/>
          </w:tcPr>
          <w:p w:rsidR="00024C0A" w:rsidRDefault="00694C0F">
            <w:pPr>
              <w:pStyle w:val="TableBodyText"/>
            </w:pPr>
            <w:r>
              <w:rPr>
                <w:i/>
              </w:rPr>
              <w:t>98</w:t>
            </w:r>
          </w:p>
        </w:tc>
        <w:tc>
          <w:tcPr>
            <w:tcW w:w="0" w:type="auto"/>
            <w:vAlign w:val="center"/>
          </w:tcPr>
          <w:p w:rsidR="00024C0A" w:rsidRDefault="00694C0F">
            <w:pPr>
              <w:pStyle w:val="TableBodyText"/>
            </w:pPr>
            <w:r>
              <w:t>Horizontal Scroll</w:t>
            </w:r>
          </w:p>
        </w:tc>
      </w:tr>
      <w:tr w:rsidR="00024C0A" w:rsidTr="00024C0A">
        <w:tc>
          <w:tcPr>
            <w:tcW w:w="0" w:type="auto"/>
            <w:vAlign w:val="center"/>
          </w:tcPr>
          <w:p w:rsidR="00024C0A" w:rsidRDefault="00694C0F">
            <w:pPr>
              <w:pStyle w:val="TableBodyText"/>
            </w:pPr>
            <w:r>
              <w:rPr>
                <w:i/>
              </w:rPr>
              <w:t>99</w:t>
            </w:r>
          </w:p>
        </w:tc>
        <w:tc>
          <w:tcPr>
            <w:tcW w:w="0" w:type="auto"/>
            <w:vAlign w:val="center"/>
          </w:tcPr>
          <w:p w:rsidR="00024C0A" w:rsidRDefault="00694C0F">
            <w:pPr>
              <w:pStyle w:val="TableBodyText"/>
            </w:pPr>
            <w:r>
              <w:t>Circular Arrow</w:t>
            </w:r>
          </w:p>
        </w:tc>
      </w:tr>
      <w:tr w:rsidR="00024C0A" w:rsidTr="00024C0A">
        <w:tc>
          <w:tcPr>
            <w:tcW w:w="0" w:type="auto"/>
            <w:vAlign w:val="center"/>
          </w:tcPr>
          <w:p w:rsidR="00024C0A" w:rsidRDefault="00694C0F">
            <w:pPr>
              <w:pStyle w:val="TableBodyText"/>
            </w:pPr>
            <w:r>
              <w:rPr>
                <w:i/>
              </w:rPr>
              <w:t>100</w:t>
            </w:r>
          </w:p>
        </w:tc>
        <w:tc>
          <w:tcPr>
            <w:tcW w:w="0" w:type="auto"/>
            <w:vAlign w:val="center"/>
          </w:tcPr>
          <w:p w:rsidR="00024C0A" w:rsidRDefault="00694C0F">
            <w:pPr>
              <w:pStyle w:val="TableBodyText"/>
            </w:pPr>
            <w:r>
              <w:t>Notched Circular Arrow</w:t>
            </w:r>
          </w:p>
        </w:tc>
      </w:tr>
      <w:tr w:rsidR="00024C0A" w:rsidTr="00024C0A">
        <w:tc>
          <w:tcPr>
            <w:tcW w:w="0" w:type="auto"/>
            <w:vAlign w:val="center"/>
          </w:tcPr>
          <w:p w:rsidR="00024C0A" w:rsidRDefault="00694C0F">
            <w:pPr>
              <w:pStyle w:val="TableBodyText"/>
            </w:pPr>
            <w:r>
              <w:rPr>
                <w:i/>
              </w:rPr>
              <w:t>101</w:t>
            </w:r>
          </w:p>
        </w:tc>
        <w:tc>
          <w:tcPr>
            <w:tcW w:w="0" w:type="auto"/>
            <w:vAlign w:val="center"/>
          </w:tcPr>
          <w:p w:rsidR="00024C0A" w:rsidRDefault="00694C0F">
            <w:pPr>
              <w:pStyle w:val="TableBodyText"/>
            </w:pPr>
            <w:r>
              <w:t>U-Turn Arrow</w:t>
            </w:r>
          </w:p>
        </w:tc>
      </w:tr>
      <w:tr w:rsidR="00024C0A" w:rsidTr="00024C0A">
        <w:tc>
          <w:tcPr>
            <w:tcW w:w="0" w:type="auto"/>
            <w:vAlign w:val="center"/>
          </w:tcPr>
          <w:p w:rsidR="00024C0A" w:rsidRDefault="00694C0F">
            <w:pPr>
              <w:pStyle w:val="TableBodyText"/>
            </w:pPr>
            <w:r>
              <w:rPr>
                <w:i/>
              </w:rPr>
              <w:t>102</w:t>
            </w:r>
          </w:p>
        </w:tc>
        <w:tc>
          <w:tcPr>
            <w:tcW w:w="0" w:type="auto"/>
            <w:vAlign w:val="center"/>
          </w:tcPr>
          <w:p w:rsidR="00024C0A" w:rsidRDefault="00694C0F">
            <w:pPr>
              <w:pStyle w:val="TableBodyText"/>
            </w:pPr>
            <w:r>
              <w:t>Curved Right Arrow</w:t>
            </w:r>
          </w:p>
        </w:tc>
      </w:tr>
      <w:tr w:rsidR="00024C0A" w:rsidTr="00024C0A">
        <w:tc>
          <w:tcPr>
            <w:tcW w:w="0" w:type="auto"/>
            <w:vAlign w:val="center"/>
          </w:tcPr>
          <w:p w:rsidR="00024C0A" w:rsidRDefault="00694C0F">
            <w:pPr>
              <w:pStyle w:val="TableBodyText"/>
            </w:pPr>
            <w:r>
              <w:rPr>
                <w:i/>
              </w:rPr>
              <w:t>103</w:t>
            </w:r>
          </w:p>
        </w:tc>
        <w:tc>
          <w:tcPr>
            <w:tcW w:w="0" w:type="auto"/>
            <w:vAlign w:val="center"/>
          </w:tcPr>
          <w:p w:rsidR="00024C0A" w:rsidRDefault="00694C0F">
            <w:pPr>
              <w:pStyle w:val="TableBodyText"/>
            </w:pPr>
            <w:r>
              <w:t>Curved Left arrow</w:t>
            </w:r>
          </w:p>
        </w:tc>
      </w:tr>
      <w:tr w:rsidR="00024C0A" w:rsidTr="00024C0A">
        <w:tc>
          <w:tcPr>
            <w:tcW w:w="0" w:type="auto"/>
            <w:vAlign w:val="center"/>
          </w:tcPr>
          <w:p w:rsidR="00024C0A" w:rsidRDefault="00694C0F">
            <w:pPr>
              <w:pStyle w:val="TableBodyText"/>
            </w:pPr>
            <w:r>
              <w:rPr>
                <w:i/>
              </w:rPr>
              <w:t>104</w:t>
            </w:r>
          </w:p>
        </w:tc>
        <w:tc>
          <w:tcPr>
            <w:tcW w:w="0" w:type="auto"/>
            <w:vAlign w:val="center"/>
          </w:tcPr>
          <w:p w:rsidR="00024C0A" w:rsidRDefault="00694C0F">
            <w:pPr>
              <w:pStyle w:val="TableBodyText"/>
            </w:pPr>
            <w:r>
              <w:t>Curved</w:t>
            </w:r>
            <w:r>
              <w:t xml:space="preserve"> Up Arrow</w:t>
            </w:r>
          </w:p>
        </w:tc>
      </w:tr>
      <w:tr w:rsidR="00024C0A" w:rsidTr="00024C0A">
        <w:tc>
          <w:tcPr>
            <w:tcW w:w="0" w:type="auto"/>
            <w:vAlign w:val="center"/>
          </w:tcPr>
          <w:p w:rsidR="00024C0A" w:rsidRDefault="00694C0F">
            <w:pPr>
              <w:pStyle w:val="TableBodyText"/>
            </w:pPr>
            <w:r>
              <w:rPr>
                <w:i/>
              </w:rPr>
              <w:t>105</w:t>
            </w:r>
          </w:p>
        </w:tc>
        <w:tc>
          <w:tcPr>
            <w:tcW w:w="0" w:type="auto"/>
            <w:vAlign w:val="center"/>
          </w:tcPr>
          <w:p w:rsidR="00024C0A" w:rsidRDefault="00694C0F">
            <w:pPr>
              <w:pStyle w:val="TableBodyText"/>
            </w:pPr>
            <w:r>
              <w:t>Curved Down Arrow</w:t>
            </w:r>
          </w:p>
        </w:tc>
      </w:tr>
      <w:tr w:rsidR="00024C0A" w:rsidTr="00024C0A">
        <w:tc>
          <w:tcPr>
            <w:tcW w:w="0" w:type="auto"/>
            <w:vAlign w:val="center"/>
          </w:tcPr>
          <w:p w:rsidR="00024C0A" w:rsidRDefault="00694C0F">
            <w:pPr>
              <w:pStyle w:val="TableBodyText"/>
            </w:pPr>
            <w:r>
              <w:rPr>
                <w:i/>
              </w:rPr>
              <w:t>106</w:t>
            </w:r>
          </w:p>
        </w:tc>
        <w:tc>
          <w:tcPr>
            <w:tcW w:w="0" w:type="auto"/>
            <w:vAlign w:val="center"/>
          </w:tcPr>
          <w:p w:rsidR="00024C0A" w:rsidRDefault="00694C0F">
            <w:pPr>
              <w:pStyle w:val="TableBodyText"/>
            </w:pPr>
            <w:r>
              <w:t>Cloud Callout</w:t>
            </w:r>
          </w:p>
        </w:tc>
      </w:tr>
      <w:tr w:rsidR="00024C0A" w:rsidTr="00024C0A">
        <w:tc>
          <w:tcPr>
            <w:tcW w:w="0" w:type="auto"/>
            <w:vAlign w:val="center"/>
          </w:tcPr>
          <w:p w:rsidR="00024C0A" w:rsidRDefault="00694C0F">
            <w:pPr>
              <w:pStyle w:val="TableBodyText"/>
            </w:pPr>
            <w:r>
              <w:rPr>
                <w:i/>
              </w:rPr>
              <w:t>107-108</w:t>
            </w:r>
          </w:p>
        </w:tc>
        <w:tc>
          <w:tcPr>
            <w:tcW w:w="0" w:type="auto"/>
            <w:vAlign w:val="center"/>
          </w:tcPr>
          <w:p w:rsidR="00024C0A" w:rsidRDefault="00694C0F">
            <w:pPr>
              <w:pStyle w:val="TableBodyText"/>
            </w:pPr>
            <w:r>
              <w:t>Ellipse Ribbon</w:t>
            </w:r>
          </w:p>
        </w:tc>
      </w:tr>
      <w:tr w:rsidR="00024C0A" w:rsidTr="00024C0A">
        <w:tc>
          <w:tcPr>
            <w:tcW w:w="0" w:type="auto"/>
            <w:vAlign w:val="center"/>
          </w:tcPr>
          <w:p w:rsidR="00024C0A" w:rsidRDefault="00694C0F">
            <w:pPr>
              <w:pStyle w:val="TableBodyText"/>
            </w:pPr>
            <w:r>
              <w:rPr>
                <w:i/>
              </w:rPr>
              <w:t>109</w:t>
            </w:r>
          </w:p>
        </w:tc>
        <w:tc>
          <w:tcPr>
            <w:tcW w:w="0" w:type="auto"/>
            <w:vAlign w:val="center"/>
          </w:tcPr>
          <w:p w:rsidR="00024C0A" w:rsidRDefault="00694C0F">
            <w:pPr>
              <w:pStyle w:val="TableBodyText"/>
            </w:pPr>
            <w:r>
              <w:t>Flow Chart Process</w:t>
            </w:r>
          </w:p>
        </w:tc>
      </w:tr>
      <w:tr w:rsidR="00024C0A" w:rsidTr="00024C0A">
        <w:tc>
          <w:tcPr>
            <w:tcW w:w="0" w:type="auto"/>
            <w:vAlign w:val="center"/>
          </w:tcPr>
          <w:p w:rsidR="00024C0A" w:rsidRDefault="00694C0F">
            <w:pPr>
              <w:pStyle w:val="TableBodyText"/>
            </w:pPr>
            <w:r>
              <w:rPr>
                <w:i/>
              </w:rPr>
              <w:t>110</w:t>
            </w:r>
          </w:p>
        </w:tc>
        <w:tc>
          <w:tcPr>
            <w:tcW w:w="0" w:type="auto"/>
            <w:vAlign w:val="center"/>
          </w:tcPr>
          <w:p w:rsidR="00024C0A" w:rsidRDefault="00694C0F">
            <w:pPr>
              <w:pStyle w:val="TableBodyText"/>
            </w:pPr>
            <w:r>
              <w:t>Flow Chart Decision</w:t>
            </w:r>
          </w:p>
        </w:tc>
      </w:tr>
      <w:tr w:rsidR="00024C0A" w:rsidTr="00024C0A">
        <w:tc>
          <w:tcPr>
            <w:tcW w:w="0" w:type="auto"/>
            <w:vAlign w:val="center"/>
          </w:tcPr>
          <w:p w:rsidR="00024C0A" w:rsidRDefault="00694C0F">
            <w:pPr>
              <w:pStyle w:val="TableBodyText"/>
            </w:pPr>
            <w:r>
              <w:rPr>
                <w:i/>
              </w:rPr>
              <w:t>111</w:t>
            </w:r>
          </w:p>
        </w:tc>
        <w:tc>
          <w:tcPr>
            <w:tcW w:w="0" w:type="auto"/>
            <w:vAlign w:val="center"/>
          </w:tcPr>
          <w:p w:rsidR="00024C0A" w:rsidRDefault="00694C0F">
            <w:pPr>
              <w:pStyle w:val="TableBodyText"/>
            </w:pPr>
            <w:r>
              <w:t>Flow Chart Input/Output</w:t>
            </w:r>
          </w:p>
        </w:tc>
      </w:tr>
      <w:tr w:rsidR="00024C0A" w:rsidTr="00024C0A">
        <w:tc>
          <w:tcPr>
            <w:tcW w:w="0" w:type="auto"/>
            <w:vAlign w:val="center"/>
          </w:tcPr>
          <w:p w:rsidR="00024C0A" w:rsidRDefault="00694C0F">
            <w:pPr>
              <w:pStyle w:val="TableBodyText"/>
            </w:pPr>
            <w:r>
              <w:rPr>
                <w:i/>
              </w:rPr>
              <w:t>112</w:t>
            </w:r>
          </w:p>
        </w:tc>
        <w:tc>
          <w:tcPr>
            <w:tcW w:w="0" w:type="auto"/>
            <w:vAlign w:val="center"/>
          </w:tcPr>
          <w:p w:rsidR="00024C0A" w:rsidRDefault="00694C0F">
            <w:pPr>
              <w:pStyle w:val="TableBodyText"/>
            </w:pPr>
            <w:r>
              <w:t>Flow Chart Predefined Process</w:t>
            </w:r>
          </w:p>
        </w:tc>
      </w:tr>
      <w:tr w:rsidR="00024C0A" w:rsidTr="00024C0A">
        <w:tc>
          <w:tcPr>
            <w:tcW w:w="0" w:type="auto"/>
            <w:vAlign w:val="center"/>
          </w:tcPr>
          <w:p w:rsidR="00024C0A" w:rsidRDefault="00694C0F">
            <w:pPr>
              <w:pStyle w:val="TableBodyText"/>
            </w:pPr>
            <w:r>
              <w:rPr>
                <w:i/>
              </w:rPr>
              <w:t>113</w:t>
            </w:r>
          </w:p>
        </w:tc>
        <w:tc>
          <w:tcPr>
            <w:tcW w:w="0" w:type="auto"/>
            <w:vAlign w:val="center"/>
          </w:tcPr>
          <w:p w:rsidR="00024C0A" w:rsidRDefault="00694C0F">
            <w:pPr>
              <w:pStyle w:val="TableBodyText"/>
            </w:pPr>
            <w:r>
              <w:t>Flow Chart Internal Storage</w:t>
            </w:r>
          </w:p>
        </w:tc>
      </w:tr>
      <w:tr w:rsidR="00024C0A" w:rsidTr="00024C0A">
        <w:tc>
          <w:tcPr>
            <w:tcW w:w="0" w:type="auto"/>
            <w:vAlign w:val="center"/>
          </w:tcPr>
          <w:p w:rsidR="00024C0A" w:rsidRDefault="00694C0F">
            <w:pPr>
              <w:pStyle w:val="TableBodyText"/>
            </w:pPr>
            <w:r>
              <w:rPr>
                <w:i/>
              </w:rPr>
              <w:t>114</w:t>
            </w:r>
          </w:p>
        </w:tc>
        <w:tc>
          <w:tcPr>
            <w:tcW w:w="0" w:type="auto"/>
            <w:vAlign w:val="center"/>
          </w:tcPr>
          <w:p w:rsidR="00024C0A" w:rsidRDefault="00694C0F">
            <w:pPr>
              <w:pStyle w:val="TableBodyText"/>
            </w:pPr>
            <w:r>
              <w:t>Flow Chart Document</w:t>
            </w:r>
          </w:p>
        </w:tc>
      </w:tr>
      <w:tr w:rsidR="00024C0A" w:rsidTr="00024C0A">
        <w:tc>
          <w:tcPr>
            <w:tcW w:w="0" w:type="auto"/>
            <w:vAlign w:val="center"/>
          </w:tcPr>
          <w:p w:rsidR="00024C0A" w:rsidRDefault="00694C0F">
            <w:pPr>
              <w:pStyle w:val="TableBodyText"/>
            </w:pPr>
            <w:r>
              <w:rPr>
                <w:i/>
              </w:rPr>
              <w:t>115</w:t>
            </w:r>
          </w:p>
        </w:tc>
        <w:tc>
          <w:tcPr>
            <w:tcW w:w="0" w:type="auto"/>
            <w:vAlign w:val="center"/>
          </w:tcPr>
          <w:p w:rsidR="00024C0A" w:rsidRDefault="00694C0F">
            <w:pPr>
              <w:pStyle w:val="TableBodyText"/>
            </w:pPr>
            <w:r>
              <w:t>Flow</w:t>
            </w:r>
            <w:r>
              <w:t xml:space="preserve"> Chart Multi-Document</w:t>
            </w:r>
          </w:p>
        </w:tc>
      </w:tr>
      <w:tr w:rsidR="00024C0A" w:rsidTr="00024C0A">
        <w:tc>
          <w:tcPr>
            <w:tcW w:w="0" w:type="auto"/>
            <w:vAlign w:val="center"/>
          </w:tcPr>
          <w:p w:rsidR="00024C0A" w:rsidRDefault="00694C0F">
            <w:pPr>
              <w:pStyle w:val="TableBodyText"/>
            </w:pPr>
            <w:r>
              <w:rPr>
                <w:i/>
              </w:rPr>
              <w:t>116</w:t>
            </w:r>
          </w:p>
        </w:tc>
        <w:tc>
          <w:tcPr>
            <w:tcW w:w="0" w:type="auto"/>
            <w:vAlign w:val="center"/>
          </w:tcPr>
          <w:p w:rsidR="00024C0A" w:rsidRDefault="00694C0F">
            <w:pPr>
              <w:pStyle w:val="TableBodyText"/>
            </w:pPr>
            <w:r>
              <w:t>Flow Chart Terminator</w:t>
            </w:r>
          </w:p>
        </w:tc>
      </w:tr>
      <w:tr w:rsidR="00024C0A" w:rsidTr="00024C0A">
        <w:tc>
          <w:tcPr>
            <w:tcW w:w="0" w:type="auto"/>
            <w:vAlign w:val="center"/>
          </w:tcPr>
          <w:p w:rsidR="00024C0A" w:rsidRDefault="00694C0F">
            <w:pPr>
              <w:pStyle w:val="TableBodyText"/>
            </w:pPr>
            <w:r>
              <w:rPr>
                <w:i/>
              </w:rPr>
              <w:t>117</w:t>
            </w:r>
          </w:p>
        </w:tc>
        <w:tc>
          <w:tcPr>
            <w:tcW w:w="0" w:type="auto"/>
            <w:vAlign w:val="center"/>
          </w:tcPr>
          <w:p w:rsidR="00024C0A" w:rsidRDefault="00694C0F">
            <w:pPr>
              <w:pStyle w:val="TableBodyText"/>
            </w:pPr>
            <w:r>
              <w:t>Flow Chart Preparation</w:t>
            </w:r>
          </w:p>
        </w:tc>
      </w:tr>
      <w:tr w:rsidR="00024C0A" w:rsidTr="00024C0A">
        <w:tc>
          <w:tcPr>
            <w:tcW w:w="0" w:type="auto"/>
            <w:vAlign w:val="center"/>
          </w:tcPr>
          <w:p w:rsidR="00024C0A" w:rsidRDefault="00694C0F">
            <w:pPr>
              <w:pStyle w:val="TableBodyText"/>
            </w:pPr>
            <w:r>
              <w:rPr>
                <w:i/>
              </w:rPr>
              <w:t>118</w:t>
            </w:r>
          </w:p>
        </w:tc>
        <w:tc>
          <w:tcPr>
            <w:tcW w:w="0" w:type="auto"/>
            <w:vAlign w:val="center"/>
          </w:tcPr>
          <w:p w:rsidR="00024C0A" w:rsidRDefault="00694C0F">
            <w:pPr>
              <w:pStyle w:val="TableBodyText"/>
            </w:pPr>
            <w:r>
              <w:t>Flow Chart Manual Input</w:t>
            </w:r>
          </w:p>
        </w:tc>
      </w:tr>
      <w:tr w:rsidR="00024C0A" w:rsidTr="00024C0A">
        <w:tc>
          <w:tcPr>
            <w:tcW w:w="0" w:type="auto"/>
            <w:vAlign w:val="center"/>
          </w:tcPr>
          <w:p w:rsidR="00024C0A" w:rsidRDefault="00694C0F">
            <w:pPr>
              <w:pStyle w:val="TableBodyText"/>
            </w:pPr>
            <w:r>
              <w:rPr>
                <w:i/>
              </w:rPr>
              <w:t>119</w:t>
            </w:r>
          </w:p>
        </w:tc>
        <w:tc>
          <w:tcPr>
            <w:tcW w:w="0" w:type="auto"/>
            <w:vAlign w:val="center"/>
          </w:tcPr>
          <w:p w:rsidR="00024C0A" w:rsidRDefault="00694C0F">
            <w:pPr>
              <w:pStyle w:val="TableBodyText"/>
            </w:pPr>
            <w:r>
              <w:t>Flow Chart Manual Operation</w:t>
            </w:r>
          </w:p>
        </w:tc>
      </w:tr>
      <w:tr w:rsidR="00024C0A" w:rsidTr="00024C0A">
        <w:tc>
          <w:tcPr>
            <w:tcW w:w="0" w:type="auto"/>
            <w:vAlign w:val="center"/>
          </w:tcPr>
          <w:p w:rsidR="00024C0A" w:rsidRDefault="00694C0F">
            <w:pPr>
              <w:pStyle w:val="TableBodyText"/>
            </w:pPr>
            <w:r>
              <w:rPr>
                <w:i/>
              </w:rPr>
              <w:t>120</w:t>
            </w:r>
          </w:p>
        </w:tc>
        <w:tc>
          <w:tcPr>
            <w:tcW w:w="0" w:type="auto"/>
            <w:vAlign w:val="center"/>
          </w:tcPr>
          <w:p w:rsidR="00024C0A" w:rsidRDefault="00694C0F">
            <w:pPr>
              <w:pStyle w:val="TableBodyText"/>
            </w:pPr>
            <w:r>
              <w:t>Flow Chart Connector</w:t>
            </w:r>
          </w:p>
        </w:tc>
      </w:tr>
      <w:tr w:rsidR="00024C0A" w:rsidTr="00024C0A">
        <w:tc>
          <w:tcPr>
            <w:tcW w:w="0" w:type="auto"/>
            <w:vAlign w:val="center"/>
          </w:tcPr>
          <w:p w:rsidR="00024C0A" w:rsidRDefault="00694C0F">
            <w:pPr>
              <w:pStyle w:val="TableBodyText"/>
            </w:pPr>
            <w:r>
              <w:rPr>
                <w:i/>
              </w:rPr>
              <w:t>121</w:t>
            </w:r>
          </w:p>
        </w:tc>
        <w:tc>
          <w:tcPr>
            <w:tcW w:w="0" w:type="auto"/>
            <w:vAlign w:val="center"/>
          </w:tcPr>
          <w:p w:rsidR="00024C0A" w:rsidRDefault="00694C0F">
            <w:pPr>
              <w:pStyle w:val="TableBodyText"/>
            </w:pPr>
            <w:r>
              <w:t>Flow Chart Punched Card</w:t>
            </w:r>
          </w:p>
        </w:tc>
      </w:tr>
      <w:tr w:rsidR="00024C0A" w:rsidTr="00024C0A">
        <w:tc>
          <w:tcPr>
            <w:tcW w:w="0" w:type="auto"/>
            <w:vAlign w:val="center"/>
          </w:tcPr>
          <w:p w:rsidR="00024C0A" w:rsidRDefault="00694C0F">
            <w:pPr>
              <w:pStyle w:val="TableBodyText"/>
            </w:pPr>
            <w:r>
              <w:rPr>
                <w:i/>
              </w:rPr>
              <w:t>122</w:t>
            </w:r>
          </w:p>
        </w:tc>
        <w:tc>
          <w:tcPr>
            <w:tcW w:w="0" w:type="auto"/>
            <w:vAlign w:val="center"/>
          </w:tcPr>
          <w:p w:rsidR="00024C0A" w:rsidRDefault="00694C0F">
            <w:pPr>
              <w:pStyle w:val="TableBodyText"/>
            </w:pPr>
            <w:r>
              <w:t>Flow Chart Punched Tape</w:t>
            </w:r>
          </w:p>
        </w:tc>
      </w:tr>
      <w:tr w:rsidR="00024C0A" w:rsidTr="00024C0A">
        <w:tc>
          <w:tcPr>
            <w:tcW w:w="0" w:type="auto"/>
            <w:vAlign w:val="center"/>
          </w:tcPr>
          <w:p w:rsidR="00024C0A" w:rsidRDefault="00694C0F">
            <w:pPr>
              <w:pStyle w:val="TableBodyText"/>
            </w:pPr>
            <w:r>
              <w:rPr>
                <w:i/>
              </w:rPr>
              <w:t>123</w:t>
            </w:r>
          </w:p>
        </w:tc>
        <w:tc>
          <w:tcPr>
            <w:tcW w:w="0" w:type="auto"/>
            <w:vAlign w:val="center"/>
          </w:tcPr>
          <w:p w:rsidR="00024C0A" w:rsidRDefault="00694C0F">
            <w:pPr>
              <w:pStyle w:val="TableBodyText"/>
            </w:pPr>
            <w:r>
              <w:t>Flow Chart Summing Junction</w:t>
            </w:r>
          </w:p>
        </w:tc>
      </w:tr>
      <w:tr w:rsidR="00024C0A" w:rsidTr="00024C0A">
        <w:tc>
          <w:tcPr>
            <w:tcW w:w="0" w:type="auto"/>
            <w:vAlign w:val="center"/>
          </w:tcPr>
          <w:p w:rsidR="00024C0A" w:rsidRDefault="00694C0F">
            <w:pPr>
              <w:pStyle w:val="TableBodyText"/>
            </w:pPr>
            <w:r>
              <w:rPr>
                <w:i/>
              </w:rPr>
              <w:t>124</w:t>
            </w:r>
          </w:p>
        </w:tc>
        <w:tc>
          <w:tcPr>
            <w:tcW w:w="0" w:type="auto"/>
            <w:vAlign w:val="center"/>
          </w:tcPr>
          <w:p w:rsidR="00024C0A" w:rsidRDefault="00694C0F">
            <w:pPr>
              <w:pStyle w:val="TableBodyText"/>
            </w:pPr>
            <w:r>
              <w:t>Flow Chart Or</w:t>
            </w:r>
          </w:p>
        </w:tc>
      </w:tr>
      <w:tr w:rsidR="00024C0A" w:rsidTr="00024C0A">
        <w:tc>
          <w:tcPr>
            <w:tcW w:w="0" w:type="auto"/>
            <w:vAlign w:val="center"/>
          </w:tcPr>
          <w:p w:rsidR="00024C0A" w:rsidRDefault="00694C0F">
            <w:pPr>
              <w:pStyle w:val="TableBodyText"/>
            </w:pPr>
            <w:r>
              <w:rPr>
                <w:i/>
              </w:rPr>
              <w:lastRenderedPageBreak/>
              <w:t>125</w:t>
            </w:r>
          </w:p>
        </w:tc>
        <w:tc>
          <w:tcPr>
            <w:tcW w:w="0" w:type="auto"/>
            <w:vAlign w:val="center"/>
          </w:tcPr>
          <w:p w:rsidR="00024C0A" w:rsidRDefault="00694C0F">
            <w:pPr>
              <w:pStyle w:val="TableBodyText"/>
            </w:pPr>
            <w:r>
              <w:t>Flow Chart Collate</w:t>
            </w:r>
          </w:p>
        </w:tc>
      </w:tr>
      <w:tr w:rsidR="00024C0A" w:rsidTr="00024C0A">
        <w:tc>
          <w:tcPr>
            <w:tcW w:w="0" w:type="auto"/>
            <w:vAlign w:val="center"/>
          </w:tcPr>
          <w:p w:rsidR="00024C0A" w:rsidRDefault="00694C0F">
            <w:pPr>
              <w:pStyle w:val="TableBodyText"/>
            </w:pPr>
            <w:r>
              <w:rPr>
                <w:i/>
              </w:rPr>
              <w:t>126</w:t>
            </w:r>
          </w:p>
        </w:tc>
        <w:tc>
          <w:tcPr>
            <w:tcW w:w="0" w:type="auto"/>
            <w:vAlign w:val="center"/>
          </w:tcPr>
          <w:p w:rsidR="00024C0A" w:rsidRDefault="00694C0F">
            <w:pPr>
              <w:pStyle w:val="TableBodyText"/>
            </w:pPr>
            <w:r>
              <w:t>Flow Chart Sort</w:t>
            </w:r>
          </w:p>
        </w:tc>
      </w:tr>
      <w:tr w:rsidR="00024C0A" w:rsidTr="00024C0A">
        <w:tc>
          <w:tcPr>
            <w:tcW w:w="0" w:type="auto"/>
            <w:vAlign w:val="center"/>
          </w:tcPr>
          <w:p w:rsidR="00024C0A" w:rsidRDefault="00694C0F">
            <w:pPr>
              <w:pStyle w:val="TableBodyText"/>
            </w:pPr>
            <w:r>
              <w:rPr>
                <w:i/>
              </w:rPr>
              <w:t>127</w:t>
            </w:r>
          </w:p>
        </w:tc>
        <w:tc>
          <w:tcPr>
            <w:tcW w:w="0" w:type="auto"/>
            <w:vAlign w:val="center"/>
          </w:tcPr>
          <w:p w:rsidR="00024C0A" w:rsidRDefault="00694C0F">
            <w:pPr>
              <w:pStyle w:val="TableBodyText"/>
            </w:pPr>
            <w:r>
              <w:t>Flow Chart Extract</w:t>
            </w:r>
          </w:p>
        </w:tc>
      </w:tr>
      <w:tr w:rsidR="00024C0A" w:rsidTr="00024C0A">
        <w:tc>
          <w:tcPr>
            <w:tcW w:w="0" w:type="auto"/>
            <w:vAlign w:val="center"/>
          </w:tcPr>
          <w:p w:rsidR="00024C0A" w:rsidRDefault="00694C0F">
            <w:pPr>
              <w:pStyle w:val="TableBodyText"/>
            </w:pPr>
            <w:r>
              <w:rPr>
                <w:i/>
              </w:rPr>
              <w:t>128</w:t>
            </w:r>
          </w:p>
        </w:tc>
        <w:tc>
          <w:tcPr>
            <w:tcW w:w="0" w:type="auto"/>
            <w:vAlign w:val="center"/>
          </w:tcPr>
          <w:p w:rsidR="00024C0A" w:rsidRDefault="00694C0F">
            <w:pPr>
              <w:pStyle w:val="TableBodyText"/>
            </w:pPr>
            <w:r>
              <w:t>Flow Chart Merge</w:t>
            </w:r>
          </w:p>
        </w:tc>
      </w:tr>
      <w:tr w:rsidR="00024C0A" w:rsidTr="00024C0A">
        <w:tc>
          <w:tcPr>
            <w:tcW w:w="0" w:type="auto"/>
            <w:vAlign w:val="center"/>
          </w:tcPr>
          <w:p w:rsidR="00024C0A" w:rsidRDefault="00694C0F">
            <w:pPr>
              <w:pStyle w:val="TableBodyText"/>
            </w:pPr>
            <w:r>
              <w:rPr>
                <w:i/>
              </w:rPr>
              <w:t>129</w:t>
            </w:r>
          </w:p>
        </w:tc>
        <w:tc>
          <w:tcPr>
            <w:tcW w:w="0" w:type="auto"/>
            <w:vAlign w:val="center"/>
          </w:tcPr>
          <w:p w:rsidR="00024C0A" w:rsidRDefault="00694C0F">
            <w:pPr>
              <w:pStyle w:val="TableBodyText"/>
            </w:pPr>
            <w:r>
              <w:t>Flow Chart Offline Storage</w:t>
            </w:r>
          </w:p>
        </w:tc>
      </w:tr>
      <w:tr w:rsidR="00024C0A" w:rsidTr="00024C0A">
        <w:tc>
          <w:tcPr>
            <w:tcW w:w="0" w:type="auto"/>
            <w:vAlign w:val="center"/>
          </w:tcPr>
          <w:p w:rsidR="00024C0A" w:rsidRDefault="00694C0F">
            <w:pPr>
              <w:pStyle w:val="TableBodyText"/>
            </w:pPr>
            <w:r>
              <w:rPr>
                <w:i/>
              </w:rPr>
              <w:t>130</w:t>
            </w:r>
          </w:p>
        </w:tc>
        <w:tc>
          <w:tcPr>
            <w:tcW w:w="0" w:type="auto"/>
            <w:vAlign w:val="center"/>
          </w:tcPr>
          <w:p w:rsidR="00024C0A" w:rsidRDefault="00694C0F">
            <w:pPr>
              <w:pStyle w:val="TableBodyText"/>
            </w:pPr>
            <w:r>
              <w:t>Flow Chart Online Storage</w:t>
            </w:r>
          </w:p>
        </w:tc>
      </w:tr>
      <w:tr w:rsidR="00024C0A" w:rsidTr="00024C0A">
        <w:tc>
          <w:tcPr>
            <w:tcW w:w="0" w:type="auto"/>
            <w:vAlign w:val="center"/>
          </w:tcPr>
          <w:p w:rsidR="00024C0A" w:rsidRDefault="00694C0F">
            <w:pPr>
              <w:pStyle w:val="TableBodyText"/>
            </w:pPr>
            <w:r>
              <w:rPr>
                <w:i/>
              </w:rPr>
              <w:t>131</w:t>
            </w:r>
          </w:p>
        </w:tc>
        <w:tc>
          <w:tcPr>
            <w:tcW w:w="0" w:type="auto"/>
            <w:vAlign w:val="center"/>
          </w:tcPr>
          <w:p w:rsidR="00024C0A" w:rsidRDefault="00694C0F">
            <w:pPr>
              <w:pStyle w:val="TableBodyText"/>
            </w:pPr>
            <w:r>
              <w:t>Flow Chart Magnetic Tape</w:t>
            </w:r>
          </w:p>
        </w:tc>
      </w:tr>
      <w:tr w:rsidR="00024C0A" w:rsidTr="00024C0A">
        <w:tc>
          <w:tcPr>
            <w:tcW w:w="0" w:type="auto"/>
            <w:vAlign w:val="center"/>
          </w:tcPr>
          <w:p w:rsidR="00024C0A" w:rsidRDefault="00694C0F">
            <w:pPr>
              <w:pStyle w:val="TableBodyText"/>
            </w:pPr>
            <w:r>
              <w:rPr>
                <w:i/>
              </w:rPr>
              <w:t>132</w:t>
            </w:r>
          </w:p>
        </w:tc>
        <w:tc>
          <w:tcPr>
            <w:tcW w:w="0" w:type="auto"/>
            <w:vAlign w:val="center"/>
          </w:tcPr>
          <w:p w:rsidR="00024C0A" w:rsidRDefault="00694C0F">
            <w:pPr>
              <w:pStyle w:val="TableBodyText"/>
            </w:pPr>
            <w:r>
              <w:t>Flow Chart Magnetic Disk</w:t>
            </w:r>
          </w:p>
        </w:tc>
      </w:tr>
      <w:tr w:rsidR="00024C0A" w:rsidTr="00024C0A">
        <w:tc>
          <w:tcPr>
            <w:tcW w:w="0" w:type="auto"/>
            <w:vAlign w:val="center"/>
          </w:tcPr>
          <w:p w:rsidR="00024C0A" w:rsidRDefault="00694C0F">
            <w:pPr>
              <w:pStyle w:val="TableBodyText"/>
            </w:pPr>
            <w:r>
              <w:rPr>
                <w:i/>
              </w:rPr>
              <w:t>133</w:t>
            </w:r>
          </w:p>
        </w:tc>
        <w:tc>
          <w:tcPr>
            <w:tcW w:w="0" w:type="auto"/>
            <w:vAlign w:val="center"/>
          </w:tcPr>
          <w:p w:rsidR="00024C0A" w:rsidRDefault="00694C0F">
            <w:pPr>
              <w:pStyle w:val="TableBodyText"/>
            </w:pPr>
            <w:r>
              <w:t xml:space="preserve">Flow Chart </w:t>
            </w:r>
            <w:r>
              <w:t>Magnetic Drum</w:t>
            </w:r>
          </w:p>
        </w:tc>
      </w:tr>
      <w:tr w:rsidR="00024C0A" w:rsidTr="00024C0A">
        <w:tc>
          <w:tcPr>
            <w:tcW w:w="0" w:type="auto"/>
            <w:vAlign w:val="center"/>
          </w:tcPr>
          <w:p w:rsidR="00024C0A" w:rsidRDefault="00694C0F">
            <w:pPr>
              <w:pStyle w:val="TableBodyText"/>
            </w:pPr>
            <w:r>
              <w:rPr>
                <w:i/>
              </w:rPr>
              <w:t>134</w:t>
            </w:r>
          </w:p>
        </w:tc>
        <w:tc>
          <w:tcPr>
            <w:tcW w:w="0" w:type="auto"/>
            <w:vAlign w:val="center"/>
          </w:tcPr>
          <w:p w:rsidR="00024C0A" w:rsidRDefault="00694C0F">
            <w:pPr>
              <w:pStyle w:val="TableBodyText"/>
            </w:pPr>
            <w:r>
              <w:t>Flow Chart Display</w:t>
            </w:r>
          </w:p>
        </w:tc>
      </w:tr>
      <w:tr w:rsidR="00024C0A" w:rsidTr="00024C0A">
        <w:tc>
          <w:tcPr>
            <w:tcW w:w="0" w:type="auto"/>
            <w:vAlign w:val="center"/>
          </w:tcPr>
          <w:p w:rsidR="00024C0A" w:rsidRDefault="00694C0F">
            <w:pPr>
              <w:pStyle w:val="TableBodyText"/>
            </w:pPr>
            <w:r>
              <w:rPr>
                <w:i/>
              </w:rPr>
              <w:t>135</w:t>
            </w:r>
          </w:p>
        </w:tc>
        <w:tc>
          <w:tcPr>
            <w:tcW w:w="0" w:type="auto"/>
            <w:vAlign w:val="center"/>
          </w:tcPr>
          <w:p w:rsidR="00024C0A" w:rsidRDefault="00694C0F">
            <w:pPr>
              <w:pStyle w:val="TableBodyText"/>
            </w:pPr>
            <w:r>
              <w:t>Flow Chart Delay</w:t>
            </w:r>
          </w:p>
        </w:tc>
      </w:tr>
      <w:tr w:rsidR="00024C0A" w:rsidTr="00024C0A">
        <w:tc>
          <w:tcPr>
            <w:tcW w:w="0" w:type="auto"/>
            <w:vAlign w:val="center"/>
          </w:tcPr>
          <w:p w:rsidR="00024C0A" w:rsidRDefault="00694C0F">
            <w:pPr>
              <w:pStyle w:val="TableBodyText"/>
            </w:pPr>
            <w:r>
              <w:rPr>
                <w:i/>
              </w:rPr>
              <w:t>176</w:t>
            </w:r>
          </w:p>
        </w:tc>
        <w:tc>
          <w:tcPr>
            <w:tcW w:w="0" w:type="auto"/>
            <w:vAlign w:val="center"/>
          </w:tcPr>
          <w:p w:rsidR="00024C0A" w:rsidRDefault="00694C0F">
            <w:pPr>
              <w:pStyle w:val="TableBodyText"/>
            </w:pPr>
            <w:r>
              <w:t>Flow Chart Alternate Process</w:t>
            </w:r>
          </w:p>
        </w:tc>
      </w:tr>
      <w:tr w:rsidR="00024C0A" w:rsidTr="00024C0A">
        <w:tc>
          <w:tcPr>
            <w:tcW w:w="0" w:type="auto"/>
            <w:vAlign w:val="center"/>
          </w:tcPr>
          <w:p w:rsidR="00024C0A" w:rsidRDefault="00694C0F">
            <w:pPr>
              <w:pStyle w:val="TableBodyText"/>
            </w:pPr>
            <w:r>
              <w:rPr>
                <w:i/>
              </w:rPr>
              <w:t>177</w:t>
            </w:r>
          </w:p>
        </w:tc>
        <w:tc>
          <w:tcPr>
            <w:tcW w:w="0" w:type="auto"/>
            <w:vAlign w:val="center"/>
          </w:tcPr>
          <w:p w:rsidR="00024C0A" w:rsidRDefault="00694C0F">
            <w:pPr>
              <w:pStyle w:val="TableBodyText"/>
            </w:pPr>
            <w:r>
              <w:t>Flow Chart Offpage Connector</w:t>
            </w:r>
          </w:p>
        </w:tc>
      </w:tr>
      <w:tr w:rsidR="00024C0A" w:rsidTr="00024C0A">
        <w:tc>
          <w:tcPr>
            <w:tcW w:w="0" w:type="auto"/>
            <w:vAlign w:val="center"/>
          </w:tcPr>
          <w:p w:rsidR="00024C0A" w:rsidRDefault="00694C0F">
            <w:pPr>
              <w:pStyle w:val="TableBodyText"/>
            </w:pPr>
            <w:r>
              <w:rPr>
                <w:i/>
              </w:rPr>
              <w:t>178</w:t>
            </w:r>
          </w:p>
        </w:tc>
        <w:tc>
          <w:tcPr>
            <w:tcW w:w="0" w:type="auto"/>
            <w:vAlign w:val="center"/>
          </w:tcPr>
          <w:p w:rsidR="00024C0A" w:rsidRDefault="00694C0F">
            <w:pPr>
              <w:pStyle w:val="TableBodyText"/>
            </w:pPr>
            <w:r>
              <w:t>Callout 90</w:t>
            </w:r>
          </w:p>
        </w:tc>
      </w:tr>
      <w:tr w:rsidR="00024C0A" w:rsidTr="00024C0A">
        <w:tc>
          <w:tcPr>
            <w:tcW w:w="0" w:type="auto"/>
            <w:vAlign w:val="center"/>
          </w:tcPr>
          <w:p w:rsidR="00024C0A" w:rsidRDefault="00694C0F">
            <w:pPr>
              <w:pStyle w:val="TableBodyText"/>
            </w:pPr>
            <w:r>
              <w:rPr>
                <w:i/>
              </w:rPr>
              <w:t>179</w:t>
            </w:r>
          </w:p>
        </w:tc>
        <w:tc>
          <w:tcPr>
            <w:tcW w:w="0" w:type="auto"/>
            <w:vAlign w:val="center"/>
          </w:tcPr>
          <w:p w:rsidR="00024C0A" w:rsidRDefault="00694C0F">
            <w:pPr>
              <w:pStyle w:val="TableBodyText"/>
            </w:pPr>
            <w:r>
              <w:t>Accent Callout 90</w:t>
            </w:r>
          </w:p>
        </w:tc>
      </w:tr>
      <w:tr w:rsidR="00024C0A" w:rsidTr="00024C0A">
        <w:tc>
          <w:tcPr>
            <w:tcW w:w="0" w:type="auto"/>
            <w:vAlign w:val="center"/>
          </w:tcPr>
          <w:p w:rsidR="00024C0A" w:rsidRDefault="00694C0F">
            <w:pPr>
              <w:pStyle w:val="TableBodyText"/>
            </w:pPr>
            <w:r>
              <w:rPr>
                <w:i/>
              </w:rPr>
              <w:t>180</w:t>
            </w:r>
          </w:p>
        </w:tc>
        <w:tc>
          <w:tcPr>
            <w:tcW w:w="0" w:type="auto"/>
            <w:vAlign w:val="center"/>
          </w:tcPr>
          <w:p w:rsidR="00024C0A" w:rsidRDefault="00694C0F">
            <w:pPr>
              <w:pStyle w:val="TableBodyText"/>
            </w:pPr>
            <w:r>
              <w:t>Border Callout 90</w:t>
            </w:r>
          </w:p>
        </w:tc>
      </w:tr>
      <w:tr w:rsidR="00024C0A" w:rsidTr="00024C0A">
        <w:tc>
          <w:tcPr>
            <w:tcW w:w="0" w:type="auto"/>
            <w:vAlign w:val="center"/>
          </w:tcPr>
          <w:p w:rsidR="00024C0A" w:rsidRDefault="00694C0F">
            <w:pPr>
              <w:pStyle w:val="TableBodyText"/>
            </w:pPr>
            <w:r>
              <w:rPr>
                <w:i/>
              </w:rPr>
              <w:t>181</w:t>
            </w:r>
          </w:p>
        </w:tc>
        <w:tc>
          <w:tcPr>
            <w:tcW w:w="0" w:type="auto"/>
            <w:vAlign w:val="center"/>
          </w:tcPr>
          <w:p w:rsidR="00024C0A" w:rsidRDefault="00694C0F">
            <w:pPr>
              <w:pStyle w:val="TableBodyText"/>
            </w:pPr>
            <w:r>
              <w:t>Accent Border Callout 90</w:t>
            </w:r>
          </w:p>
        </w:tc>
      </w:tr>
      <w:tr w:rsidR="00024C0A" w:rsidTr="00024C0A">
        <w:tc>
          <w:tcPr>
            <w:tcW w:w="0" w:type="auto"/>
            <w:vAlign w:val="center"/>
          </w:tcPr>
          <w:p w:rsidR="00024C0A" w:rsidRDefault="00694C0F">
            <w:pPr>
              <w:pStyle w:val="TableBodyText"/>
            </w:pPr>
            <w:r>
              <w:rPr>
                <w:i/>
              </w:rPr>
              <w:t>182</w:t>
            </w:r>
          </w:p>
        </w:tc>
        <w:tc>
          <w:tcPr>
            <w:tcW w:w="0" w:type="auto"/>
            <w:vAlign w:val="center"/>
          </w:tcPr>
          <w:p w:rsidR="00024C0A" w:rsidRDefault="00694C0F">
            <w:pPr>
              <w:pStyle w:val="TableBodyText"/>
            </w:pPr>
            <w:r>
              <w:t>Left-Right-Up Arrow</w:t>
            </w:r>
          </w:p>
        </w:tc>
      </w:tr>
      <w:tr w:rsidR="00024C0A" w:rsidTr="00024C0A">
        <w:tc>
          <w:tcPr>
            <w:tcW w:w="0" w:type="auto"/>
            <w:vAlign w:val="center"/>
          </w:tcPr>
          <w:p w:rsidR="00024C0A" w:rsidRDefault="00694C0F">
            <w:pPr>
              <w:pStyle w:val="TableBodyText"/>
            </w:pPr>
            <w:r>
              <w:rPr>
                <w:i/>
              </w:rPr>
              <w:t>183</w:t>
            </w:r>
          </w:p>
        </w:tc>
        <w:tc>
          <w:tcPr>
            <w:tcW w:w="0" w:type="auto"/>
            <w:vAlign w:val="center"/>
          </w:tcPr>
          <w:p w:rsidR="00024C0A" w:rsidRDefault="00694C0F">
            <w:pPr>
              <w:pStyle w:val="TableBodyText"/>
            </w:pPr>
            <w:r>
              <w:t>Sun</w:t>
            </w:r>
          </w:p>
        </w:tc>
      </w:tr>
      <w:tr w:rsidR="00024C0A" w:rsidTr="00024C0A">
        <w:tc>
          <w:tcPr>
            <w:tcW w:w="0" w:type="auto"/>
            <w:vAlign w:val="center"/>
          </w:tcPr>
          <w:p w:rsidR="00024C0A" w:rsidRDefault="00694C0F">
            <w:pPr>
              <w:pStyle w:val="TableBodyText"/>
            </w:pPr>
            <w:r>
              <w:rPr>
                <w:i/>
              </w:rPr>
              <w:t>184</w:t>
            </w:r>
          </w:p>
        </w:tc>
        <w:tc>
          <w:tcPr>
            <w:tcW w:w="0" w:type="auto"/>
            <w:vAlign w:val="center"/>
          </w:tcPr>
          <w:p w:rsidR="00024C0A" w:rsidRDefault="00694C0F">
            <w:pPr>
              <w:pStyle w:val="TableBodyText"/>
            </w:pPr>
            <w:r>
              <w:t>Moon</w:t>
            </w:r>
          </w:p>
        </w:tc>
      </w:tr>
      <w:tr w:rsidR="00024C0A" w:rsidTr="00024C0A">
        <w:tc>
          <w:tcPr>
            <w:tcW w:w="0" w:type="auto"/>
            <w:vAlign w:val="center"/>
          </w:tcPr>
          <w:p w:rsidR="00024C0A" w:rsidRDefault="00694C0F">
            <w:pPr>
              <w:pStyle w:val="TableBodyText"/>
            </w:pPr>
            <w:r>
              <w:rPr>
                <w:i/>
              </w:rPr>
              <w:t>185</w:t>
            </w:r>
          </w:p>
        </w:tc>
        <w:tc>
          <w:tcPr>
            <w:tcW w:w="0" w:type="auto"/>
            <w:vAlign w:val="center"/>
          </w:tcPr>
          <w:p w:rsidR="00024C0A" w:rsidRDefault="00694C0F">
            <w:pPr>
              <w:pStyle w:val="TableBodyText"/>
            </w:pPr>
            <w:r>
              <w:t>Bracket Pair</w:t>
            </w:r>
          </w:p>
        </w:tc>
      </w:tr>
      <w:tr w:rsidR="00024C0A" w:rsidTr="00024C0A">
        <w:tc>
          <w:tcPr>
            <w:tcW w:w="0" w:type="auto"/>
            <w:vAlign w:val="center"/>
          </w:tcPr>
          <w:p w:rsidR="00024C0A" w:rsidRDefault="00694C0F">
            <w:pPr>
              <w:pStyle w:val="TableBodyText"/>
            </w:pPr>
            <w:r>
              <w:rPr>
                <w:i/>
              </w:rPr>
              <w:t>186</w:t>
            </w:r>
          </w:p>
        </w:tc>
        <w:tc>
          <w:tcPr>
            <w:tcW w:w="0" w:type="auto"/>
            <w:vAlign w:val="center"/>
          </w:tcPr>
          <w:p w:rsidR="00024C0A" w:rsidRDefault="00694C0F">
            <w:pPr>
              <w:pStyle w:val="TableBodyText"/>
            </w:pPr>
            <w:r>
              <w:t>Brace Pair</w:t>
            </w:r>
          </w:p>
        </w:tc>
      </w:tr>
      <w:tr w:rsidR="00024C0A" w:rsidTr="00024C0A">
        <w:tc>
          <w:tcPr>
            <w:tcW w:w="0" w:type="auto"/>
            <w:vAlign w:val="center"/>
          </w:tcPr>
          <w:p w:rsidR="00024C0A" w:rsidRDefault="00694C0F">
            <w:pPr>
              <w:pStyle w:val="TableBodyText"/>
            </w:pPr>
            <w:r>
              <w:rPr>
                <w:i/>
              </w:rPr>
              <w:t>187</w:t>
            </w:r>
          </w:p>
        </w:tc>
        <w:tc>
          <w:tcPr>
            <w:tcW w:w="0" w:type="auto"/>
            <w:vAlign w:val="center"/>
          </w:tcPr>
          <w:p w:rsidR="00024C0A" w:rsidRDefault="00694C0F">
            <w:pPr>
              <w:pStyle w:val="TableBodyText"/>
            </w:pPr>
            <w:r>
              <w:t>4 Pointed Seal</w:t>
            </w:r>
          </w:p>
        </w:tc>
      </w:tr>
      <w:tr w:rsidR="00024C0A" w:rsidTr="00024C0A">
        <w:tc>
          <w:tcPr>
            <w:tcW w:w="0" w:type="auto"/>
            <w:vAlign w:val="center"/>
          </w:tcPr>
          <w:p w:rsidR="00024C0A" w:rsidRDefault="00694C0F">
            <w:pPr>
              <w:pStyle w:val="TableBodyText"/>
            </w:pPr>
            <w:r>
              <w:rPr>
                <w:i/>
              </w:rPr>
              <w:t>188</w:t>
            </w:r>
          </w:p>
        </w:tc>
        <w:tc>
          <w:tcPr>
            <w:tcW w:w="0" w:type="auto"/>
            <w:vAlign w:val="center"/>
          </w:tcPr>
          <w:p w:rsidR="00024C0A" w:rsidRDefault="00694C0F">
            <w:pPr>
              <w:pStyle w:val="TableBodyText"/>
            </w:pPr>
            <w:r>
              <w:t>Double Wave</w:t>
            </w:r>
          </w:p>
        </w:tc>
      </w:tr>
      <w:tr w:rsidR="00024C0A" w:rsidTr="00024C0A">
        <w:tc>
          <w:tcPr>
            <w:tcW w:w="0" w:type="auto"/>
            <w:vAlign w:val="center"/>
          </w:tcPr>
          <w:p w:rsidR="00024C0A" w:rsidRDefault="00694C0F">
            <w:pPr>
              <w:pStyle w:val="TableBodyText"/>
            </w:pPr>
            <w:r>
              <w:rPr>
                <w:i/>
              </w:rPr>
              <w:t>189</w:t>
            </w:r>
          </w:p>
        </w:tc>
        <w:tc>
          <w:tcPr>
            <w:tcW w:w="0" w:type="auto"/>
            <w:vAlign w:val="center"/>
          </w:tcPr>
          <w:p w:rsidR="00024C0A" w:rsidRDefault="00694C0F">
            <w:pPr>
              <w:pStyle w:val="TableBodyText"/>
            </w:pPr>
            <w:r>
              <w:t>Action Button Blank</w:t>
            </w:r>
          </w:p>
        </w:tc>
      </w:tr>
      <w:tr w:rsidR="00024C0A" w:rsidTr="00024C0A">
        <w:tc>
          <w:tcPr>
            <w:tcW w:w="0" w:type="auto"/>
            <w:vAlign w:val="center"/>
          </w:tcPr>
          <w:p w:rsidR="00024C0A" w:rsidRDefault="00694C0F">
            <w:pPr>
              <w:pStyle w:val="TableBodyText"/>
            </w:pPr>
            <w:r>
              <w:rPr>
                <w:i/>
              </w:rPr>
              <w:t>190</w:t>
            </w:r>
          </w:p>
        </w:tc>
        <w:tc>
          <w:tcPr>
            <w:tcW w:w="0" w:type="auto"/>
            <w:vAlign w:val="center"/>
          </w:tcPr>
          <w:p w:rsidR="00024C0A" w:rsidRDefault="00694C0F">
            <w:pPr>
              <w:pStyle w:val="TableBodyText"/>
            </w:pPr>
            <w:r>
              <w:t>Action Button Home</w:t>
            </w:r>
          </w:p>
        </w:tc>
      </w:tr>
      <w:tr w:rsidR="00024C0A" w:rsidTr="00024C0A">
        <w:tc>
          <w:tcPr>
            <w:tcW w:w="0" w:type="auto"/>
            <w:vAlign w:val="center"/>
          </w:tcPr>
          <w:p w:rsidR="00024C0A" w:rsidRDefault="00694C0F">
            <w:pPr>
              <w:pStyle w:val="TableBodyText"/>
            </w:pPr>
            <w:r>
              <w:rPr>
                <w:i/>
              </w:rPr>
              <w:t>191</w:t>
            </w:r>
          </w:p>
        </w:tc>
        <w:tc>
          <w:tcPr>
            <w:tcW w:w="0" w:type="auto"/>
            <w:vAlign w:val="center"/>
          </w:tcPr>
          <w:p w:rsidR="00024C0A" w:rsidRDefault="00694C0F">
            <w:pPr>
              <w:pStyle w:val="TableBodyText"/>
            </w:pPr>
            <w:r>
              <w:t>Action Button Help</w:t>
            </w:r>
          </w:p>
        </w:tc>
      </w:tr>
      <w:tr w:rsidR="00024C0A" w:rsidTr="00024C0A">
        <w:tc>
          <w:tcPr>
            <w:tcW w:w="0" w:type="auto"/>
            <w:vAlign w:val="center"/>
          </w:tcPr>
          <w:p w:rsidR="00024C0A" w:rsidRDefault="00694C0F">
            <w:pPr>
              <w:pStyle w:val="TableBodyText"/>
            </w:pPr>
            <w:r>
              <w:rPr>
                <w:i/>
              </w:rPr>
              <w:t>192</w:t>
            </w:r>
          </w:p>
        </w:tc>
        <w:tc>
          <w:tcPr>
            <w:tcW w:w="0" w:type="auto"/>
            <w:vAlign w:val="center"/>
          </w:tcPr>
          <w:p w:rsidR="00024C0A" w:rsidRDefault="00694C0F">
            <w:pPr>
              <w:pStyle w:val="TableBodyText"/>
            </w:pPr>
            <w:r>
              <w:t>Action Button Information</w:t>
            </w:r>
          </w:p>
        </w:tc>
      </w:tr>
      <w:tr w:rsidR="00024C0A" w:rsidTr="00024C0A">
        <w:tc>
          <w:tcPr>
            <w:tcW w:w="0" w:type="auto"/>
            <w:vAlign w:val="center"/>
          </w:tcPr>
          <w:p w:rsidR="00024C0A" w:rsidRDefault="00694C0F">
            <w:pPr>
              <w:pStyle w:val="TableBodyText"/>
            </w:pPr>
            <w:r>
              <w:rPr>
                <w:i/>
              </w:rPr>
              <w:t>193</w:t>
            </w:r>
          </w:p>
        </w:tc>
        <w:tc>
          <w:tcPr>
            <w:tcW w:w="0" w:type="auto"/>
            <w:vAlign w:val="center"/>
          </w:tcPr>
          <w:p w:rsidR="00024C0A" w:rsidRDefault="00694C0F">
            <w:pPr>
              <w:pStyle w:val="TableBodyText"/>
            </w:pPr>
            <w:r>
              <w:t>Action Button Forward/Next</w:t>
            </w:r>
          </w:p>
        </w:tc>
      </w:tr>
      <w:tr w:rsidR="00024C0A" w:rsidTr="00024C0A">
        <w:tc>
          <w:tcPr>
            <w:tcW w:w="0" w:type="auto"/>
            <w:vAlign w:val="center"/>
          </w:tcPr>
          <w:p w:rsidR="00024C0A" w:rsidRDefault="00694C0F">
            <w:pPr>
              <w:pStyle w:val="TableBodyText"/>
            </w:pPr>
            <w:r>
              <w:rPr>
                <w:i/>
              </w:rPr>
              <w:t>194</w:t>
            </w:r>
          </w:p>
        </w:tc>
        <w:tc>
          <w:tcPr>
            <w:tcW w:w="0" w:type="auto"/>
            <w:vAlign w:val="center"/>
          </w:tcPr>
          <w:p w:rsidR="00024C0A" w:rsidRDefault="00694C0F">
            <w:pPr>
              <w:pStyle w:val="TableBodyText"/>
            </w:pPr>
            <w:r>
              <w:t>Action Button Back/Previous</w:t>
            </w:r>
          </w:p>
        </w:tc>
      </w:tr>
      <w:tr w:rsidR="00024C0A" w:rsidTr="00024C0A">
        <w:tc>
          <w:tcPr>
            <w:tcW w:w="0" w:type="auto"/>
            <w:vAlign w:val="center"/>
          </w:tcPr>
          <w:p w:rsidR="00024C0A" w:rsidRDefault="00694C0F">
            <w:pPr>
              <w:pStyle w:val="TableBodyText"/>
            </w:pPr>
            <w:r>
              <w:rPr>
                <w:i/>
              </w:rPr>
              <w:t>195</w:t>
            </w:r>
          </w:p>
        </w:tc>
        <w:tc>
          <w:tcPr>
            <w:tcW w:w="0" w:type="auto"/>
            <w:vAlign w:val="center"/>
          </w:tcPr>
          <w:p w:rsidR="00024C0A" w:rsidRDefault="00694C0F">
            <w:pPr>
              <w:pStyle w:val="TableBodyText"/>
            </w:pPr>
            <w:r>
              <w:t>Action Button End</w:t>
            </w:r>
          </w:p>
        </w:tc>
      </w:tr>
      <w:tr w:rsidR="00024C0A" w:rsidTr="00024C0A">
        <w:tc>
          <w:tcPr>
            <w:tcW w:w="0" w:type="auto"/>
            <w:vAlign w:val="center"/>
          </w:tcPr>
          <w:p w:rsidR="00024C0A" w:rsidRDefault="00694C0F">
            <w:pPr>
              <w:pStyle w:val="TableBodyText"/>
            </w:pPr>
            <w:r>
              <w:rPr>
                <w:i/>
              </w:rPr>
              <w:t>196</w:t>
            </w:r>
          </w:p>
        </w:tc>
        <w:tc>
          <w:tcPr>
            <w:tcW w:w="0" w:type="auto"/>
            <w:vAlign w:val="center"/>
          </w:tcPr>
          <w:p w:rsidR="00024C0A" w:rsidRDefault="00694C0F">
            <w:pPr>
              <w:pStyle w:val="TableBodyText"/>
            </w:pPr>
            <w:r>
              <w:t>Action Button Beginning</w:t>
            </w:r>
          </w:p>
        </w:tc>
      </w:tr>
      <w:tr w:rsidR="00024C0A" w:rsidTr="00024C0A">
        <w:tc>
          <w:tcPr>
            <w:tcW w:w="0" w:type="auto"/>
            <w:vAlign w:val="center"/>
          </w:tcPr>
          <w:p w:rsidR="00024C0A" w:rsidRDefault="00694C0F">
            <w:pPr>
              <w:pStyle w:val="TableBodyText"/>
            </w:pPr>
            <w:r>
              <w:rPr>
                <w:i/>
              </w:rPr>
              <w:lastRenderedPageBreak/>
              <w:t>197</w:t>
            </w:r>
          </w:p>
        </w:tc>
        <w:tc>
          <w:tcPr>
            <w:tcW w:w="0" w:type="auto"/>
            <w:vAlign w:val="center"/>
          </w:tcPr>
          <w:p w:rsidR="00024C0A" w:rsidRDefault="00694C0F">
            <w:pPr>
              <w:pStyle w:val="TableBodyText"/>
            </w:pPr>
            <w:r>
              <w:t>Action Button Return</w:t>
            </w:r>
          </w:p>
        </w:tc>
      </w:tr>
      <w:tr w:rsidR="00024C0A" w:rsidTr="00024C0A">
        <w:tc>
          <w:tcPr>
            <w:tcW w:w="0" w:type="auto"/>
            <w:vAlign w:val="center"/>
          </w:tcPr>
          <w:p w:rsidR="00024C0A" w:rsidRDefault="00694C0F">
            <w:pPr>
              <w:pStyle w:val="TableBodyText"/>
            </w:pPr>
            <w:r>
              <w:rPr>
                <w:i/>
              </w:rPr>
              <w:t>198</w:t>
            </w:r>
          </w:p>
        </w:tc>
        <w:tc>
          <w:tcPr>
            <w:tcW w:w="0" w:type="auto"/>
            <w:vAlign w:val="center"/>
          </w:tcPr>
          <w:p w:rsidR="00024C0A" w:rsidRDefault="00694C0F">
            <w:pPr>
              <w:pStyle w:val="TableBodyText"/>
            </w:pPr>
            <w:r>
              <w:t>Action Button Document</w:t>
            </w:r>
          </w:p>
        </w:tc>
      </w:tr>
      <w:tr w:rsidR="00024C0A" w:rsidTr="00024C0A">
        <w:tc>
          <w:tcPr>
            <w:tcW w:w="0" w:type="auto"/>
            <w:vAlign w:val="center"/>
          </w:tcPr>
          <w:p w:rsidR="00024C0A" w:rsidRDefault="00694C0F">
            <w:pPr>
              <w:pStyle w:val="TableBodyText"/>
            </w:pPr>
            <w:r>
              <w:rPr>
                <w:i/>
              </w:rPr>
              <w:t>199</w:t>
            </w:r>
          </w:p>
        </w:tc>
        <w:tc>
          <w:tcPr>
            <w:tcW w:w="0" w:type="auto"/>
            <w:vAlign w:val="center"/>
          </w:tcPr>
          <w:p w:rsidR="00024C0A" w:rsidRDefault="00694C0F">
            <w:pPr>
              <w:pStyle w:val="TableBodyText"/>
            </w:pPr>
            <w:r>
              <w:t>Action Button Sound</w:t>
            </w:r>
          </w:p>
        </w:tc>
      </w:tr>
      <w:tr w:rsidR="00024C0A" w:rsidTr="00024C0A">
        <w:tc>
          <w:tcPr>
            <w:tcW w:w="0" w:type="auto"/>
            <w:vAlign w:val="center"/>
          </w:tcPr>
          <w:p w:rsidR="00024C0A" w:rsidRDefault="00694C0F">
            <w:pPr>
              <w:pStyle w:val="TableBodyText"/>
            </w:pPr>
            <w:r>
              <w:rPr>
                <w:i/>
              </w:rPr>
              <w:t>200</w:t>
            </w:r>
          </w:p>
        </w:tc>
        <w:tc>
          <w:tcPr>
            <w:tcW w:w="0" w:type="auto"/>
            <w:vAlign w:val="center"/>
          </w:tcPr>
          <w:p w:rsidR="00024C0A" w:rsidRDefault="00694C0F">
            <w:pPr>
              <w:pStyle w:val="TableBodyText"/>
            </w:pPr>
            <w:r>
              <w:t>Action Button Movie</w:t>
            </w:r>
          </w:p>
        </w:tc>
      </w:tr>
      <w:tr w:rsidR="00024C0A" w:rsidTr="00024C0A">
        <w:tc>
          <w:tcPr>
            <w:tcW w:w="0" w:type="auto"/>
            <w:vAlign w:val="center"/>
          </w:tcPr>
          <w:p w:rsidR="00024C0A" w:rsidRDefault="00694C0F">
            <w:pPr>
              <w:pStyle w:val="TableBodyText"/>
            </w:pPr>
            <w:r>
              <w:rPr>
                <w:i/>
              </w:rPr>
              <w:t>201</w:t>
            </w:r>
          </w:p>
        </w:tc>
        <w:tc>
          <w:tcPr>
            <w:tcW w:w="0" w:type="auto"/>
            <w:vAlign w:val="center"/>
          </w:tcPr>
          <w:p w:rsidR="00024C0A" w:rsidRDefault="00694C0F">
            <w:pPr>
              <w:pStyle w:val="TableBodyText"/>
            </w:pPr>
            <w:r>
              <w:t>Host Control</w:t>
            </w:r>
          </w:p>
        </w:tc>
      </w:tr>
      <w:tr w:rsidR="00024C0A" w:rsidTr="00024C0A">
        <w:tc>
          <w:tcPr>
            <w:tcW w:w="0" w:type="auto"/>
            <w:vAlign w:val="center"/>
          </w:tcPr>
          <w:p w:rsidR="00024C0A" w:rsidRDefault="00694C0F">
            <w:pPr>
              <w:pStyle w:val="TableBodyText"/>
            </w:pPr>
            <w:r>
              <w:rPr>
                <w:i/>
              </w:rPr>
              <w:t>202</w:t>
            </w:r>
          </w:p>
        </w:tc>
        <w:tc>
          <w:tcPr>
            <w:tcW w:w="0" w:type="auto"/>
            <w:vAlign w:val="center"/>
          </w:tcPr>
          <w:p w:rsidR="00024C0A" w:rsidRDefault="00694C0F">
            <w:pPr>
              <w:pStyle w:val="TableBodyText"/>
            </w:pPr>
            <w:r>
              <w:t>Text Box</w:t>
            </w:r>
          </w:p>
        </w:tc>
      </w:tr>
    </w:tbl>
    <w:p w:rsidR="00024C0A" w:rsidRDefault="00024C0A"/>
    <w:p w:rsidR="00024C0A" w:rsidRDefault="00694C0F">
      <w:r>
        <w:t xml:space="preserve">This simple type's contents are a restriction of the XML Schema int </w:t>
      </w:r>
      <w:r>
        <w:t>datatype.</w:t>
      </w:r>
    </w:p>
    <w:p w:rsidR="00024C0A" w:rsidRDefault="00694C0F">
      <w:r>
        <w:t>This simple type also specifies the following restrictions:</w:t>
      </w:r>
    </w:p>
    <w:p w:rsidR="00024C0A" w:rsidRDefault="00694C0F">
      <w:pPr>
        <w:pStyle w:val="ListParagraph"/>
        <w:numPr>
          <w:ilvl w:val="0"/>
          <w:numId w:val="234"/>
        </w:numPr>
        <w:contextualSpacing/>
      </w:pPr>
      <w:r>
        <w:t>This simple type has a minimum value of greater than or equal to 0.</w:t>
      </w:r>
    </w:p>
    <w:p w:rsidR="00024C0A" w:rsidRDefault="00694C0F">
      <w:pPr>
        <w:pStyle w:val="ListParagraph"/>
        <w:numPr>
          <w:ilvl w:val="0"/>
          <w:numId w:val="234"/>
        </w:numPr>
      </w:pPr>
      <w:r>
        <w:t>This simple type has a maximum value of less than or equal to 202.</w:t>
      </w:r>
    </w:p>
    <w:p w:rsidR="00024C0A" w:rsidRDefault="00694C0F">
      <w:r>
        <w:t>The following XML Schema fragment defines the conte</w:t>
      </w:r>
      <w:r>
        <w:t>nts of this simple type:</w:t>
      </w:r>
    </w:p>
    <w:p w:rsidR="00024C0A" w:rsidRDefault="00694C0F">
      <w:pPr>
        <w:pStyle w:val="Code"/>
      </w:pPr>
      <w:r>
        <w:t>&lt;simpleType name="ST_ShapeType"&gt;</w:t>
      </w:r>
    </w:p>
    <w:p w:rsidR="00024C0A" w:rsidRDefault="00694C0F">
      <w:pPr>
        <w:pStyle w:val="Code"/>
      </w:pPr>
      <w:r>
        <w:t xml:space="preserve">  &lt;restriction base="xsd:int"&gt;</w:t>
      </w:r>
    </w:p>
    <w:p w:rsidR="00024C0A" w:rsidRDefault="00694C0F">
      <w:pPr>
        <w:pStyle w:val="Code"/>
      </w:pPr>
      <w:r>
        <w:t xml:space="preserve">    &lt;minInclusive value="0"/&gt;</w:t>
      </w:r>
    </w:p>
    <w:p w:rsidR="00024C0A" w:rsidRDefault="00694C0F">
      <w:pPr>
        <w:pStyle w:val="Code"/>
      </w:pPr>
      <w:r>
        <w:t xml:space="preserve">    &lt;maxInclusive value="202"/&gt;</w:t>
      </w:r>
    </w:p>
    <w:p w:rsidR="00024C0A" w:rsidRDefault="00694C0F">
      <w:pPr>
        <w:pStyle w:val="Code"/>
      </w:pPr>
      <w:r>
        <w:t xml:space="preserve">  &lt;/restriction&gt;</w:t>
      </w:r>
    </w:p>
    <w:p w:rsidR="00024C0A" w:rsidRDefault="00694C0F">
      <w:pPr>
        <w:pStyle w:val="Code"/>
      </w:pPr>
      <w:r>
        <w:t>&lt;/simpleType&gt;</w:t>
      </w:r>
    </w:p>
    <w:p w:rsidR="00024C0A" w:rsidRDefault="00694C0F">
      <w:pPr>
        <w:pStyle w:val="Heading3"/>
      </w:pPr>
      <w:bookmarkStart w:id="4241" w:name="section_97429d90d53344dfb1334f7a0171cae4"/>
      <w:bookmarkStart w:id="4242" w:name="_Toc12262181"/>
      <w:r>
        <w:t>ST_SpId (Shape ID Type)</w:t>
      </w:r>
      <w:bookmarkEnd w:id="4241"/>
      <w:bookmarkEnd w:id="4242"/>
      <w:r>
        <w:fldChar w:fldCharType="begin"/>
      </w:r>
      <w:r>
        <w:instrText xml:space="preserve"> XE "ST_SpId (Shape ID Type)" </w:instrText>
      </w:r>
      <w:r>
        <w:fldChar w:fldCharType="end"/>
      </w:r>
    </w:p>
    <w:p w:rsidR="00024C0A" w:rsidRDefault="00694C0F">
      <w:r>
        <w:t>A shape ID has the</w:t>
      </w:r>
      <w:r>
        <w:t xml:space="preserve"> following characteristics:</w:t>
      </w:r>
    </w:p>
    <w:p w:rsidR="00024C0A" w:rsidRDefault="00694C0F">
      <w:pPr>
        <w:pStyle w:val="ListParagraph"/>
        <w:numPr>
          <w:ilvl w:val="0"/>
          <w:numId w:val="235"/>
        </w:numPr>
        <w:contextualSpacing/>
      </w:pPr>
      <w:r>
        <w:t>It begins with “</w:t>
      </w:r>
      <w:r>
        <w:rPr>
          <w:rStyle w:val="InlineCode"/>
        </w:rPr>
        <w:t>_x0000_</w:t>
      </w:r>
      <w:r>
        <w:t>” followed by 1 character and a number: _x0000_[c]&lt;num&gt;</w:t>
      </w:r>
    </w:p>
    <w:p w:rsidR="00024C0A" w:rsidRDefault="00694C0F">
      <w:pPr>
        <w:pStyle w:val="ListParagraph"/>
        <w:numPr>
          <w:ilvl w:val="0"/>
          <w:numId w:val="235"/>
        </w:numPr>
        <w:contextualSpacing/>
      </w:pPr>
      <w:r>
        <w:t>The character [c] is:</w:t>
      </w:r>
    </w:p>
    <w:p w:rsidR="00024C0A" w:rsidRDefault="00694C0F">
      <w:pPr>
        <w:pStyle w:val="ListParagraph"/>
        <w:numPr>
          <w:ilvl w:val="0"/>
          <w:numId w:val="235"/>
        </w:numPr>
        <w:contextualSpacing/>
      </w:pPr>
      <w:r>
        <w:t xml:space="preserve"> ‘</w:t>
      </w:r>
      <w:r>
        <w:rPr>
          <w:rStyle w:val="InlineCode"/>
        </w:rPr>
        <w:t>t</w:t>
      </w:r>
      <w:r>
        <w:t>’ or ‘</w:t>
      </w:r>
      <w:r>
        <w:rPr>
          <w:rStyle w:val="InlineCode"/>
        </w:rPr>
        <w:t>m</w:t>
      </w:r>
      <w:r>
        <w:t xml:space="preserve">’ when used for a </w:t>
      </w:r>
      <w:r>
        <w:rPr>
          <w:b/>
        </w:rPr>
        <w:t>shapetype</w:t>
      </w:r>
      <w:r>
        <w:t xml:space="preserve"> element ("</w:t>
      </w:r>
      <w:hyperlink r:id="rId382">
        <w:r>
          <w:rPr>
            <w:rStyle w:val="Hyperlink"/>
          </w:rPr>
          <w:t>[ISO/IEC-2950</w:t>
        </w:r>
        <w:r>
          <w:rPr>
            <w:rStyle w:val="Hyperlink"/>
          </w:rPr>
          <w:t>0-4]</w:t>
        </w:r>
      </w:hyperlink>
      <w:r>
        <w:t xml:space="preserve"> §19.1.2.20; shapetype (Shape Template)").</w:t>
      </w:r>
    </w:p>
    <w:p w:rsidR="00024C0A" w:rsidRDefault="00694C0F">
      <w:pPr>
        <w:pStyle w:val="ListParagraph"/>
        <w:numPr>
          <w:ilvl w:val="0"/>
          <w:numId w:val="235"/>
        </w:numPr>
        <w:contextualSpacing/>
      </w:pPr>
      <w:r>
        <w:t>‘</w:t>
      </w:r>
      <w:r>
        <w:rPr>
          <w:rStyle w:val="InlineCode"/>
        </w:rPr>
        <w:t>s</w:t>
      </w:r>
      <w:r>
        <w:t>’ when used for a shape.</w:t>
      </w:r>
    </w:p>
    <w:p w:rsidR="00024C0A" w:rsidRDefault="00694C0F">
      <w:pPr>
        <w:pStyle w:val="ListParagraph"/>
        <w:numPr>
          <w:ilvl w:val="0"/>
          <w:numId w:val="235"/>
        </w:numPr>
        <w:contextualSpacing/>
      </w:pPr>
      <w:r>
        <w:t>Shape IDs always start at 1025.</w:t>
      </w:r>
    </w:p>
    <w:p w:rsidR="00024C0A" w:rsidRDefault="00694C0F">
      <w:pPr>
        <w:pStyle w:val="ListParagraph"/>
        <w:numPr>
          <w:ilvl w:val="0"/>
          <w:numId w:val="235"/>
        </w:numPr>
        <w:contextualSpacing/>
      </w:pPr>
      <w:r>
        <w:t>Shape IDs are clustered together, and each cluster has 1024 values.  The first cluster ranges from 1025 to 2048.</w:t>
      </w:r>
    </w:p>
    <w:p w:rsidR="00024C0A" w:rsidRDefault="00694C0F">
      <w:pPr>
        <w:pStyle w:val="ListParagraph"/>
        <w:numPr>
          <w:ilvl w:val="0"/>
          <w:numId w:val="235"/>
        </w:numPr>
        <w:contextualSpacing/>
      </w:pPr>
      <w:r>
        <w:t>Shape IDs within the same cluster may</w:t>
      </w:r>
      <w:r>
        <w:t xml:space="preserve"> only exist in:</w:t>
      </w:r>
    </w:p>
    <w:p w:rsidR="00024C0A" w:rsidRDefault="00694C0F">
      <w:pPr>
        <w:pStyle w:val="ListParagraph"/>
        <w:numPr>
          <w:ilvl w:val="0"/>
          <w:numId w:val="235"/>
        </w:numPr>
        <w:contextualSpacing/>
      </w:pPr>
      <w:r>
        <w:t>one worksheet, for Excel.</w:t>
      </w:r>
    </w:p>
    <w:p w:rsidR="00024C0A" w:rsidRDefault="00694C0F">
      <w:pPr>
        <w:pStyle w:val="ListParagraph"/>
        <w:numPr>
          <w:ilvl w:val="0"/>
          <w:numId w:val="235"/>
        </w:numPr>
        <w:contextualSpacing/>
      </w:pPr>
      <w:r>
        <w:t>one slide, for PowerPoint.</w:t>
      </w:r>
    </w:p>
    <w:p w:rsidR="00024C0A" w:rsidRDefault="00694C0F">
      <w:pPr>
        <w:pStyle w:val="ListParagraph"/>
        <w:numPr>
          <w:ilvl w:val="0"/>
          <w:numId w:val="235"/>
        </w:numPr>
        <w:contextualSpacing/>
      </w:pPr>
      <w:r>
        <w:t>one document, for Word.</w:t>
      </w:r>
    </w:p>
    <w:p w:rsidR="00024C0A" w:rsidRDefault="00694C0F">
      <w:pPr>
        <w:pStyle w:val="ListParagraph"/>
        <w:numPr>
          <w:ilvl w:val="0"/>
          <w:numId w:val="235"/>
        </w:numPr>
        <w:contextualSpacing/>
      </w:pPr>
      <w:r>
        <w:t>the header, for Word.</w:t>
      </w:r>
    </w:p>
    <w:p w:rsidR="00024C0A" w:rsidRDefault="00694C0F">
      <w:pPr>
        <w:pStyle w:val="ListParagraph"/>
        <w:numPr>
          <w:ilvl w:val="0"/>
          <w:numId w:val="235"/>
        </w:numPr>
        <w:contextualSpacing/>
      </w:pPr>
      <w:r>
        <w:t>‘</w:t>
      </w:r>
      <w:r>
        <w:rPr>
          <w:rStyle w:val="InlineCode"/>
        </w:rPr>
        <w:t>s</w:t>
      </w:r>
      <w:r>
        <w:t>’ or ‘</w:t>
      </w:r>
      <w:r>
        <w:rPr>
          <w:rStyle w:val="InlineCode"/>
        </w:rPr>
        <w:t>i</w:t>
      </w:r>
      <w:r>
        <w:t>’ for shapes that are inline (not floating) in Word.</w:t>
      </w:r>
    </w:p>
    <w:p w:rsidR="00024C0A" w:rsidRDefault="00694C0F">
      <w:pPr>
        <w:pStyle w:val="ListParagraph"/>
        <w:numPr>
          <w:ilvl w:val="0"/>
          <w:numId w:val="235"/>
        </w:numPr>
        <w:contextualSpacing/>
      </w:pPr>
      <w:r>
        <w:t xml:space="preserve">&lt;num&gt; shall be between </w:t>
      </w:r>
      <w:r>
        <w:rPr>
          <w:rStyle w:val="InlineCode"/>
        </w:rPr>
        <w:t>1</w:t>
      </w:r>
      <w:r>
        <w:t xml:space="preserve"> and </w:t>
      </w:r>
      <w:r>
        <w:rPr>
          <w:rStyle w:val="InlineCode"/>
        </w:rPr>
        <w:t>268435456</w:t>
      </w:r>
      <w:r>
        <w:t>.</w:t>
      </w:r>
    </w:p>
    <w:p w:rsidR="00024C0A" w:rsidRDefault="00694C0F">
      <w:pPr>
        <w:pStyle w:val="ListParagraph"/>
        <w:numPr>
          <w:ilvl w:val="0"/>
          <w:numId w:val="235"/>
        </w:numPr>
      </w:pPr>
      <w:r>
        <w:t xml:space="preserve">It does not contain NCR (Numeric </w:t>
      </w:r>
      <w:r>
        <w:t>Character Reference) characters.</w:t>
      </w:r>
    </w:p>
    <w:p w:rsidR="00024C0A" w:rsidRDefault="00694C0F">
      <w:r>
        <w:t>Office 2007 does not guarantee that the same shape ID that is loaded is preserved on file save.</w:t>
      </w:r>
    </w:p>
    <w:p w:rsidR="00024C0A" w:rsidRDefault="00694C0F">
      <w:r>
        <w:t>This simple type's contents are a restriction of the XML Schema string datatype.</w:t>
      </w:r>
    </w:p>
    <w:p w:rsidR="00024C0A" w:rsidRDefault="00694C0F">
      <w:r>
        <w:t xml:space="preserve">The following XML Schema fragment defines the </w:t>
      </w:r>
      <w:r>
        <w:t>contents of this simple type:</w:t>
      </w:r>
    </w:p>
    <w:p w:rsidR="00024C0A" w:rsidRDefault="00694C0F">
      <w:pPr>
        <w:pStyle w:val="Code"/>
      </w:pPr>
      <w:r>
        <w:lastRenderedPageBreak/>
        <w:t>&lt;simpleType name="ST_SpId"&gt;</w:t>
      </w:r>
    </w:p>
    <w:p w:rsidR="00024C0A" w:rsidRDefault="00694C0F">
      <w:pPr>
        <w:pStyle w:val="Code"/>
      </w:pPr>
      <w:r>
        <w:t xml:space="preserve">  &lt;restriction base="xsd:string"/&gt;</w:t>
      </w:r>
    </w:p>
    <w:p w:rsidR="00024C0A" w:rsidRDefault="00694C0F">
      <w:pPr>
        <w:pStyle w:val="Code"/>
      </w:pPr>
      <w:r>
        <w:t>&lt;/simpleType&gt;</w:t>
      </w:r>
    </w:p>
    <w:p w:rsidR="00024C0A" w:rsidRDefault="00694C0F">
      <w:pPr>
        <w:pStyle w:val="Heading1"/>
      </w:pPr>
      <w:bookmarkStart w:id="4243" w:name="section_e4474de8f3b14dfeb6475bef678743ca"/>
      <w:bookmarkStart w:id="4244" w:name="_Toc12262182"/>
      <w:r>
        <w:lastRenderedPageBreak/>
        <w:t>Change Tracking</w:t>
      </w:r>
      <w:bookmarkEnd w:id="4243"/>
      <w:bookmarkEnd w:id="4244"/>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694C0F" w:rsidP="00380B90">
      <w:r w:rsidRPr="00F6169D">
        <w:t>This section identifies changes that were made to this document since the last relea</w:t>
      </w:r>
      <w:r w:rsidRPr="00F6169D">
        <w:t xml:space="preserve">se. Changes are classified as Major, Minor, or None. </w:t>
      </w:r>
    </w:p>
    <w:p w:rsidR="00380B90" w:rsidRDefault="00694C0F"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694C0F" w:rsidP="00380B90">
      <w:pPr>
        <w:pStyle w:val="ListParagraph"/>
        <w:numPr>
          <w:ilvl w:val="0"/>
          <w:numId w:val="241"/>
        </w:numPr>
        <w:contextualSpacing/>
      </w:pPr>
      <w:r>
        <w:t>A do</w:t>
      </w:r>
      <w:r>
        <w:t>cument revision that incorporates changes to interoperability requirements.</w:t>
      </w:r>
    </w:p>
    <w:p w:rsidR="00380B90" w:rsidRDefault="00694C0F" w:rsidP="00380B90">
      <w:pPr>
        <w:pStyle w:val="ListParagraph"/>
        <w:numPr>
          <w:ilvl w:val="0"/>
          <w:numId w:val="241"/>
        </w:numPr>
        <w:contextualSpacing/>
      </w:pPr>
      <w:r>
        <w:t>A document revision that captures changes to protocol functionality.</w:t>
      </w:r>
    </w:p>
    <w:p w:rsidR="00380B90" w:rsidRDefault="00694C0F" w:rsidP="00380B90">
      <w:r>
        <w:t xml:space="preserve">The revision class </w:t>
      </w:r>
      <w:r w:rsidRPr="00F6169D">
        <w:rPr>
          <w:b/>
        </w:rPr>
        <w:t>Minor</w:t>
      </w:r>
      <w:r>
        <w:t xml:space="preserve"> means that the meaning of the technical content was clarified. Minor changes do not af</w:t>
      </w:r>
      <w:r>
        <w:t>fect protocol interoperability or implementation. Examples of minor changes are updates to clarify ambiguity at the sentence, paragraph, or table level.</w:t>
      </w:r>
    </w:p>
    <w:p w:rsidR="00380B90" w:rsidRDefault="00694C0F" w:rsidP="00380B90">
      <w:r>
        <w:t xml:space="preserve">The revision class </w:t>
      </w:r>
      <w:r w:rsidRPr="00F6169D">
        <w:rPr>
          <w:b/>
        </w:rPr>
        <w:t>None</w:t>
      </w:r>
      <w:r>
        <w:t xml:space="preserve"> means that no new technical changes were introduced. Minor editorial and format</w:t>
      </w:r>
      <w:r>
        <w:t>ting changes may have been made, but the relevant technical content is identical to the last released version.</w:t>
      </w:r>
    </w:p>
    <w:p w:rsidR="00024C0A" w:rsidRDefault="00694C0F">
      <w:r>
        <w:t xml:space="preserve">The changes made to this document are listed in the following table. For more information, please contact </w:t>
      </w:r>
      <w:hyperlink r:id="rId383"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4738"/>
        <w:gridCol w:w="2961"/>
        <w:gridCol w:w="1416"/>
      </w:tblGrid>
      <w:tr w:rsidR="00024C0A" w:rsidTr="00024C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4C0A" w:rsidRDefault="00694C0F">
            <w:pPr>
              <w:pStyle w:val="TableHeaderText"/>
            </w:pPr>
            <w:r>
              <w:t>Section</w:t>
            </w:r>
          </w:p>
        </w:tc>
        <w:tc>
          <w:tcPr>
            <w:tcW w:w="0" w:type="auto"/>
            <w:vAlign w:val="center"/>
          </w:tcPr>
          <w:p w:rsidR="00024C0A" w:rsidRDefault="00694C0F">
            <w:pPr>
              <w:pStyle w:val="TableHeaderText"/>
            </w:pPr>
            <w:r>
              <w:t>Description</w:t>
            </w:r>
          </w:p>
        </w:tc>
        <w:tc>
          <w:tcPr>
            <w:tcW w:w="0" w:type="auto"/>
            <w:vAlign w:val="center"/>
          </w:tcPr>
          <w:p w:rsidR="00024C0A" w:rsidRDefault="00694C0F">
            <w:pPr>
              <w:pStyle w:val="TableHeaderText"/>
            </w:pPr>
            <w:r>
              <w:t>Revision class</w:t>
            </w:r>
          </w:p>
        </w:tc>
      </w:tr>
      <w:tr w:rsidR="00024C0A" w:rsidTr="00024C0A">
        <w:tc>
          <w:tcPr>
            <w:tcW w:w="0" w:type="auto"/>
            <w:vAlign w:val="center"/>
          </w:tcPr>
          <w:p w:rsidR="00024C0A" w:rsidRDefault="00694C0F">
            <w:pPr>
              <w:pStyle w:val="TableBodyText"/>
            </w:pPr>
            <w:hyperlink w:anchor="Section_cfb7a112dc1944ab9defbe5e19198aca">
              <w:r>
                <w:rPr>
                  <w:rStyle w:val="Hyperlink"/>
                </w:rPr>
                <w:t>2.1.1241</w:t>
              </w:r>
            </w:hyperlink>
            <w:r>
              <w:t xml:space="preserve"> Part 1 Section 20.1.2.3.33, sysClr (System Color)</w:t>
            </w:r>
          </w:p>
        </w:tc>
        <w:tc>
          <w:tcPr>
            <w:tcW w:w="0" w:type="auto"/>
            <w:vAlign w:val="center"/>
          </w:tcPr>
          <w:p w:rsidR="00024C0A" w:rsidRDefault="00694C0F">
            <w:pPr>
              <w:pStyle w:val="TableBodyText"/>
            </w:pPr>
            <w:r>
              <w:t>Clarified that the attribute is optional.</w:t>
            </w:r>
          </w:p>
        </w:tc>
        <w:tc>
          <w:tcPr>
            <w:tcW w:w="0" w:type="auto"/>
            <w:vAlign w:val="center"/>
          </w:tcPr>
          <w:p w:rsidR="00024C0A" w:rsidRDefault="00694C0F">
            <w:pPr>
              <w:pStyle w:val="TableBodyText"/>
            </w:pPr>
            <w:r>
              <w:t>Minor</w:t>
            </w:r>
          </w:p>
        </w:tc>
      </w:tr>
      <w:tr w:rsidR="00024C0A" w:rsidTr="00024C0A">
        <w:tc>
          <w:tcPr>
            <w:tcW w:w="0" w:type="auto"/>
            <w:vAlign w:val="center"/>
          </w:tcPr>
          <w:p w:rsidR="00024C0A" w:rsidRDefault="00694C0F">
            <w:pPr>
              <w:pStyle w:val="TableBodyText"/>
            </w:pPr>
            <w:hyperlink w:anchor="Section_91ba9f43deb345f58a1a196afa07e776">
              <w:r>
                <w:rPr>
                  <w:rStyle w:val="Hyperlink"/>
                </w:rPr>
                <w:t>2.1.1889</w:t>
              </w:r>
            </w:hyperlink>
            <w:r>
              <w:t xml:space="preserve"> Part 4 Section 20.1.9.2, ahPolar (PolarAdjustHandle)</w:t>
            </w:r>
          </w:p>
        </w:tc>
        <w:tc>
          <w:tcPr>
            <w:tcW w:w="0" w:type="auto"/>
            <w:vAlign w:val="center"/>
          </w:tcPr>
          <w:p w:rsidR="00024C0A" w:rsidRDefault="00694C0F">
            <w:pPr>
              <w:pStyle w:val="TableBodyText"/>
            </w:pPr>
            <w:r>
              <w:t>Added new section for this part.</w:t>
            </w:r>
          </w:p>
        </w:tc>
        <w:tc>
          <w:tcPr>
            <w:tcW w:w="0" w:type="auto"/>
            <w:vAlign w:val="center"/>
          </w:tcPr>
          <w:p w:rsidR="00024C0A" w:rsidRDefault="00694C0F">
            <w:pPr>
              <w:pStyle w:val="TableBodyText"/>
            </w:pPr>
            <w:r>
              <w:t>Major</w:t>
            </w:r>
          </w:p>
        </w:tc>
      </w:tr>
      <w:tr w:rsidR="00024C0A" w:rsidTr="00024C0A">
        <w:tc>
          <w:tcPr>
            <w:tcW w:w="0" w:type="auto"/>
            <w:vAlign w:val="center"/>
          </w:tcPr>
          <w:p w:rsidR="00024C0A" w:rsidRDefault="00694C0F">
            <w:pPr>
              <w:pStyle w:val="TableBodyText"/>
            </w:pPr>
            <w:hyperlink w:anchor="Section_2e54916a4038416dbe4f887efb6f72de">
              <w:r>
                <w:rPr>
                  <w:rStyle w:val="Hyperlink"/>
                </w:rPr>
                <w:t>2.1.1890</w:t>
              </w:r>
            </w:hyperlink>
            <w:r>
              <w:t xml:space="preserve"> Part 4 Section 20.1.9</w:t>
            </w:r>
            <w:r>
              <w:t>.3, ahXY (XYAdjustHandle)</w:t>
            </w:r>
          </w:p>
        </w:tc>
        <w:tc>
          <w:tcPr>
            <w:tcW w:w="0" w:type="auto"/>
            <w:vAlign w:val="center"/>
          </w:tcPr>
          <w:p w:rsidR="00024C0A" w:rsidRDefault="00694C0F">
            <w:pPr>
              <w:pStyle w:val="TableBodyText"/>
            </w:pPr>
            <w:r>
              <w:t>Added new section for this part.</w:t>
            </w:r>
          </w:p>
        </w:tc>
        <w:tc>
          <w:tcPr>
            <w:tcW w:w="0" w:type="auto"/>
            <w:vAlign w:val="center"/>
          </w:tcPr>
          <w:p w:rsidR="00024C0A" w:rsidRDefault="00694C0F">
            <w:pPr>
              <w:pStyle w:val="TableBodyText"/>
            </w:pPr>
            <w:r>
              <w:t>Major</w:t>
            </w:r>
          </w:p>
        </w:tc>
      </w:tr>
    </w:tbl>
    <w:p w:rsidR="00024C0A" w:rsidRDefault="00694C0F">
      <w:pPr>
        <w:pStyle w:val="Heading1"/>
        <w:sectPr w:rsidR="00024C0A">
          <w:footerReference w:type="default" r:id="rId384"/>
          <w:endnotePr>
            <w:numFmt w:val="decimal"/>
          </w:endnotePr>
          <w:type w:val="continuous"/>
          <w:pgSz w:w="12240" w:h="15840"/>
          <w:pgMar w:top="1080" w:right="1440" w:bottom="2016" w:left="1440" w:header="720" w:footer="720" w:gutter="0"/>
          <w:cols w:space="720"/>
          <w:docGrid w:linePitch="360"/>
        </w:sectPr>
      </w:pPr>
      <w:bookmarkStart w:id="4245" w:name="section_a92471268b234297b15bfef61d56a43d"/>
      <w:bookmarkStart w:id="4246" w:name="_Toc12262183"/>
      <w:r>
        <w:lastRenderedPageBreak/>
        <w:t>Index</w:t>
      </w:r>
      <w:bookmarkEnd w:id="4245"/>
      <w:bookmarkEnd w:id="4246"/>
    </w:p>
    <w:p w:rsidR="00024C0A" w:rsidRDefault="00694C0F">
      <w:pPr>
        <w:pStyle w:val="indexheader"/>
      </w:pPr>
      <w:r>
        <w:t>A</w:t>
      </w:r>
    </w:p>
    <w:p w:rsidR="00024C0A" w:rsidRDefault="00024C0A">
      <w:pPr>
        <w:spacing w:before="0" w:after="0"/>
        <w:rPr>
          <w:sz w:val="16"/>
        </w:rPr>
      </w:pPr>
    </w:p>
    <w:p w:rsidR="00024C0A" w:rsidRDefault="00694C0F">
      <w:pPr>
        <w:pStyle w:val="indexentry0"/>
      </w:pPr>
      <w:hyperlink w:anchor="section_3b539277da4f49d094d484d9256afb36">
        <w:r>
          <w:rPr>
            <w:rStyle w:val="Hyperlink"/>
          </w:rPr>
          <w:t>A1-Style Cell References</w:t>
        </w:r>
      </w:hyperlink>
      <w:r>
        <w:t xml:space="preserve"> </w:t>
      </w:r>
      <w:r>
        <w:fldChar w:fldCharType="begin"/>
      </w:r>
      <w:r>
        <w:instrText>PAGEREF section_3b539277da4f49d094d484d9256afb36</w:instrText>
      </w:r>
      <w:r>
        <w:fldChar w:fldCharType="separate"/>
      </w:r>
      <w:r>
        <w:rPr>
          <w:noProof/>
        </w:rPr>
        <w:t>392</w:t>
      </w:r>
      <w:r>
        <w:fldChar w:fldCharType="end"/>
      </w:r>
    </w:p>
    <w:p w:rsidR="00024C0A" w:rsidRDefault="00694C0F">
      <w:pPr>
        <w:pStyle w:val="indexentry0"/>
      </w:pPr>
      <w:hyperlink w:anchor="section_903cbc0e390846ebb260471913fcab40">
        <w:r>
          <w:rPr>
            <w:rStyle w:val="Hyperlink"/>
          </w:rPr>
          <w:t>absSizeAnchor (Absolute Anchor S</w:t>
        </w:r>
        <w:r>
          <w:rPr>
            <w:rStyle w:val="Hyperlink"/>
          </w:rPr>
          <w:t>hape Size)</w:t>
        </w:r>
      </w:hyperlink>
      <w:r>
        <w:t xml:space="preserve"> </w:t>
      </w:r>
      <w:r>
        <w:fldChar w:fldCharType="begin"/>
      </w:r>
      <w:r>
        <w:instrText>PAGEREF section_903cbc0e390846ebb260471913fcab40</w:instrText>
      </w:r>
      <w:r>
        <w:fldChar w:fldCharType="separate"/>
      </w:r>
      <w:r>
        <w:rPr>
          <w:noProof/>
        </w:rPr>
        <w:t>577</w:t>
      </w:r>
      <w:r>
        <w:fldChar w:fldCharType="end"/>
      </w:r>
    </w:p>
    <w:p w:rsidR="00024C0A" w:rsidRDefault="00694C0F">
      <w:pPr>
        <w:pStyle w:val="indexentry0"/>
      </w:pPr>
      <w:hyperlink w:anchor="section_93eba06791a84e518377d509424e042a">
        <w:r>
          <w:rPr>
            <w:rStyle w:val="Hyperlink"/>
          </w:rPr>
          <w:t>Abstract (Document Abstract)</w:t>
        </w:r>
      </w:hyperlink>
      <w:r>
        <w:t xml:space="preserve"> </w:t>
      </w:r>
      <w:r>
        <w:fldChar w:fldCharType="begin"/>
      </w:r>
      <w:r>
        <w:instrText>PAGEREF section_93eba06791a84e518377d509424e042a</w:instrText>
      </w:r>
      <w:r>
        <w:fldChar w:fldCharType="separate"/>
      </w:r>
      <w:r>
        <w:rPr>
          <w:noProof/>
        </w:rPr>
        <w:t>849</w:t>
      </w:r>
      <w:r>
        <w:fldChar w:fldCharType="end"/>
      </w:r>
    </w:p>
    <w:p w:rsidR="00024C0A" w:rsidRDefault="00694C0F">
      <w:pPr>
        <w:pStyle w:val="indexentry0"/>
      </w:pPr>
      <w:hyperlink w:anchor="section_3140e0b043d54c06a42da8f1a6ad9b75">
        <w:r>
          <w:rPr>
            <w:rStyle w:val="Hyperlink"/>
          </w:rPr>
          <w:t>abstractNum (Abstract Numbering Definition)</w:t>
        </w:r>
      </w:hyperlink>
      <w:r>
        <w:t xml:space="preserve"> </w:t>
      </w:r>
      <w:r>
        <w:fldChar w:fldCharType="begin"/>
      </w:r>
      <w:r>
        <w:instrText>PAGEREF section_3140e0b043d54c06a42da8f1a6ad9b75</w:instrText>
      </w:r>
      <w:r>
        <w:fldChar w:fldCharType="separate"/>
      </w:r>
      <w:r>
        <w:rPr>
          <w:noProof/>
        </w:rPr>
        <w:t>123</w:t>
      </w:r>
      <w:r>
        <w:fldChar w:fldCharType="end"/>
      </w:r>
    </w:p>
    <w:p w:rsidR="00024C0A" w:rsidRDefault="00694C0F">
      <w:pPr>
        <w:pStyle w:val="indexentry0"/>
      </w:pPr>
      <w:hyperlink w:anchor="section_48305a09a4c548faa6d9aa87a8d229bb">
        <w:r>
          <w:rPr>
            <w:rStyle w:val="Hyperlink"/>
          </w:rPr>
          <w:t>abstractNumId (Abstract Numbering Definition Reference)</w:t>
        </w:r>
      </w:hyperlink>
      <w:r>
        <w:t xml:space="preserve"> </w:t>
      </w:r>
      <w:r>
        <w:fldChar w:fldCharType="begin"/>
      </w:r>
      <w:r>
        <w:instrText>PAGEREF section_48305a09a</w:instrText>
      </w:r>
      <w:r>
        <w:instrText>4c548faa6d9aa87a8d229bb</w:instrText>
      </w:r>
      <w:r>
        <w:fldChar w:fldCharType="separate"/>
      </w:r>
      <w:r>
        <w:rPr>
          <w:noProof/>
        </w:rPr>
        <w:t>123</w:t>
      </w:r>
      <w:r>
        <w:fldChar w:fldCharType="end"/>
      </w:r>
    </w:p>
    <w:p w:rsidR="00024C0A" w:rsidRDefault="00694C0F">
      <w:pPr>
        <w:pStyle w:val="indexentry0"/>
      </w:pPr>
      <w:hyperlink w:anchor="section_292bbf0129d446e3953eacb4ebd8d097">
        <w:r>
          <w:rPr>
            <w:rStyle w:val="Hyperlink"/>
          </w:rPr>
          <w:t>acc (Accent)</w:t>
        </w:r>
      </w:hyperlink>
      <w:r>
        <w:t xml:space="preserve"> </w:t>
      </w:r>
      <w:r>
        <w:fldChar w:fldCharType="begin"/>
      </w:r>
      <w:r>
        <w:instrText>PAGEREF section_292bbf0129d446e3953eacb4ebd8d097</w:instrText>
      </w:r>
      <w:r>
        <w:fldChar w:fldCharType="separate"/>
      </w:r>
      <w:r>
        <w:rPr>
          <w:noProof/>
        </w:rPr>
        <w:t>590</w:t>
      </w:r>
      <w:r>
        <w:fldChar w:fldCharType="end"/>
      </w:r>
    </w:p>
    <w:p w:rsidR="00024C0A" w:rsidRDefault="00694C0F">
      <w:pPr>
        <w:pStyle w:val="indexentry0"/>
      </w:pPr>
      <w:hyperlink w:anchor="section_e5f8531be5344502a1ef1280e78edf19">
        <w:r>
          <w:rPr>
            <w:rStyle w:val="Hyperlink"/>
          </w:rPr>
          <w:t>Accel (Primary Keyboard Accelerator)</w:t>
        </w:r>
      </w:hyperlink>
      <w:r>
        <w:t xml:space="preserve"> </w:t>
      </w:r>
      <w:r>
        <w:fldChar w:fldCharType="begin"/>
      </w:r>
      <w:r>
        <w:instrText>P</w:instrText>
      </w:r>
      <w:r>
        <w:instrText>AGEREF section_e5f8531be5344502a1ef1280e78edf19</w:instrText>
      </w:r>
      <w:r>
        <w:fldChar w:fldCharType="separate"/>
      </w:r>
      <w:r>
        <w:rPr>
          <w:noProof/>
        </w:rPr>
        <w:t>672</w:t>
      </w:r>
      <w:r>
        <w:fldChar w:fldCharType="end"/>
      </w:r>
    </w:p>
    <w:p w:rsidR="00024C0A" w:rsidRDefault="00694C0F">
      <w:pPr>
        <w:pStyle w:val="indexentry0"/>
      </w:pPr>
      <w:hyperlink w:anchor="section_deb182c9a9c0495e80688c51887faf02">
        <w:r>
          <w:rPr>
            <w:rStyle w:val="Hyperlink"/>
          </w:rPr>
          <w:t>Accel2 (Secondary Keyboard Accelerator)</w:t>
        </w:r>
      </w:hyperlink>
      <w:r>
        <w:t xml:space="preserve"> </w:t>
      </w:r>
      <w:r>
        <w:fldChar w:fldCharType="begin"/>
      </w:r>
      <w:r>
        <w:instrText>PAGEREF section_deb182c9a9c0495e80688c51887faf02</w:instrText>
      </w:r>
      <w:r>
        <w:fldChar w:fldCharType="separate"/>
      </w:r>
      <w:r>
        <w:rPr>
          <w:noProof/>
        </w:rPr>
        <w:t>672</w:t>
      </w:r>
      <w:r>
        <w:fldChar w:fldCharType="end"/>
      </w:r>
    </w:p>
    <w:p w:rsidR="00024C0A" w:rsidRDefault="00694C0F">
      <w:pPr>
        <w:pStyle w:val="indexentry0"/>
      </w:pPr>
      <w:hyperlink w:anchor="section_200a8e888d524d2a82f76383fea2caea">
        <w:r>
          <w:rPr>
            <w:rStyle w:val="Hyperlink"/>
          </w:rPr>
          <w:t>accent1 (Accent 1)</w:t>
        </w:r>
      </w:hyperlink>
      <w:r>
        <w:t xml:space="preserve"> </w:t>
      </w:r>
      <w:r>
        <w:fldChar w:fldCharType="begin"/>
      </w:r>
      <w:r>
        <w:instrText>PAGEREF section_200a8e888d524d2a82f76383fea2caea</w:instrText>
      </w:r>
      <w:r>
        <w:fldChar w:fldCharType="separate"/>
      </w:r>
      <w:r>
        <w:rPr>
          <w:noProof/>
        </w:rPr>
        <w:t>503</w:t>
      </w:r>
      <w:r>
        <w:fldChar w:fldCharType="end"/>
      </w:r>
    </w:p>
    <w:p w:rsidR="00024C0A" w:rsidRDefault="00694C0F">
      <w:pPr>
        <w:pStyle w:val="indexentry0"/>
      </w:pPr>
      <w:hyperlink w:anchor="section_ec6649f3feb54cbe86ad01f9e1778091">
        <w:r>
          <w:rPr>
            <w:rStyle w:val="Hyperlink"/>
          </w:rPr>
          <w:t>accent2 (Accent 2)</w:t>
        </w:r>
      </w:hyperlink>
      <w:r>
        <w:t xml:space="preserve"> </w:t>
      </w:r>
      <w:r>
        <w:fldChar w:fldCharType="begin"/>
      </w:r>
      <w:r>
        <w:instrText>PAGEREF section_ec6649f3feb54cbe86ad01f9e1778091</w:instrText>
      </w:r>
      <w:r>
        <w:fldChar w:fldCharType="separate"/>
      </w:r>
      <w:r>
        <w:rPr>
          <w:noProof/>
        </w:rPr>
        <w:t>503</w:t>
      </w:r>
      <w:r>
        <w:fldChar w:fldCharType="end"/>
      </w:r>
    </w:p>
    <w:p w:rsidR="00024C0A" w:rsidRDefault="00694C0F">
      <w:pPr>
        <w:pStyle w:val="indexentry0"/>
      </w:pPr>
      <w:hyperlink w:anchor="section_10b90b6cd8764335961999f0786d0eab">
        <w:r>
          <w:rPr>
            <w:rStyle w:val="Hyperlink"/>
          </w:rPr>
          <w:t>accent3 (Accent 3)</w:t>
        </w:r>
      </w:hyperlink>
      <w:r>
        <w:t xml:space="preserve"> </w:t>
      </w:r>
      <w:r>
        <w:fldChar w:fldCharType="begin"/>
      </w:r>
      <w:r>
        <w:instrText>PAGEREF section_10b90b6cd8764335961999f0786d0eab</w:instrText>
      </w:r>
      <w:r>
        <w:fldChar w:fldCharType="separate"/>
      </w:r>
      <w:r>
        <w:rPr>
          <w:noProof/>
        </w:rPr>
        <w:t>504</w:t>
      </w:r>
      <w:r>
        <w:fldChar w:fldCharType="end"/>
      </w:r>
    </w:p>
    <w:p w:rsidR="00024C0A" w:rsidRDefault="00694C0F">
      <w:pPr>
        <w:pStyle w:val="indexentry0"/>
      </w:pPr>
      <w:hyperlink w:anchor="section_637470bc3bf64eb087c9f25e1a35cef4">
        <w:r>
          <w:rPr>
            <w:rStyle w:val="Hyperlink"/>
          </w:rPr>
          <w:t>accent4 (Accent 4)</w:t>
        </w:r>
      </w:hyperlink>
      <w:r>
        <w:t xml:space="preserve"> </w:t>
      </w:r>
      <w:r>
        <w:fldChar w:fldCharType="begin"/>
      </w:r>
      <w:r>
        <w:instrText>PAGEREF section_637470bc3bf64eb087c9f25e</w:instrText>
      </w:r>
      <w:r>
        <w:instrText>1a35cef4</w:instrText>
      </w:r>
      <w:r>
        <w:fldChar w:fldCharType="separate"/>
      </w:r>
      <w:r>
        <w:rPr>
          <w:noProof/>
        </w:rPr>
        <w:t>504</w:t>
      </w:r>
      <w:r>
        <w:fldChar w:fldCharType="end"/>
      </w:r>
    </w:p>
    <w:p w:rsidR="00024C0A" w:rsidRDefault="00694C0F">
      <w:pPr>
        <w:pStyle w:val="indexentry0"/>
      </w:pPr>
      <w:hyperlink w:anchor="section_1687400204664c2ba60db62f9d42590a">
        <w:r>
          <w:rPr>
            <w:rStyle w:val="Hyperlink"/>
          </w:rPr>
          <w:t>accent5 (Accent 5)</w:t>
        </w:r>
      </w:hyperlink>
      <w:r>
        <w:t xml:space="preserve"> </w:t>
      </w:r>
      <w:r>
        <w:fldChar w:fldCharType="begin"/>
      </w:r>
      <w:r>
        <w:instrText>PAGEREF section_1687400204664c2ba60db62f9d42590a</w:instrText>
      </w:r>
      <w:r>
        <w:fldChar w:fldCharType="separate"/>
      </w:r>
      <w:r>
        <w:rPr>
          <w:noProof/>
        </w:rPr>
        <w:t>504</w:t>
      </w:r>
      <w:r>
        <w:fldChar w:fldCharType="end"/>
      </w:r>
    </w:p>
    <w:p w:rsidR="00024C0A" w:rsidRDefault="00694C0F">
      <w:pPr>
        <w:pStyle w:val="indexentry0"/>
      </w:pPr>
      <w:hyperlink w:anchor="section_c92f3b2e902f44ef9760d39d261e1d5b">
        <w:r>
          <w:rPr>
            <w:rStyle w:val="Hyperlink"/>
          </w:rPr>
          <w:t>accent6 (Accent 6)</w:t>
        </w:r>
      </w:hyperlink>
      <w:r>
        <w:t xml:space="preserve"> </w:t>
      </w:r>
      <w:r>
        <w:fldChar w:fldCharType="begin"/>
      </w:r>
      <w:r>
        <w:instrText>PAGEREF section_c92f3b2e902f</w:instrText>
      </w:r>
      <w:r>
        <w:instrText>44ef9760d39d261e1d5b</w:instrText>
      </w:r>
      <w:r>
        <w:fldChar w:fldCharType="separate"/>
      </w:r>
      <w:r>
        <w:rPr>
          <w:noProof/>
        </w:rPr>
        <w:t>504</w:t>
      </w:r>
      <w:r>
        <w:fldChar w:fldCharType="end"/>
      </w:r>
    </w:p>
    <w:p w:rsidR="00024C0A" w:rsidRDefault="00694C0F">
      <w:pPr>
        <w:pStyle w:val="indexentry0"/>
      </w:pPr>
      <w:hyperlink w:anchor="section_e32cd66ea03543389e6ea75929aaa73f">
        <w:r>
          <w:rPr>
            <w:rStyle w:val="Hyperlink"/>
          </w:rPr>
          <w:t>ACCRINT</w:t>
        </w:r>
      </w:hyperlink>
      <w:r>
        <w:t xml:space="preserve"> </w:t>
      </w:r>
      <w:r>
        <w:fldChar w:fldCharType="begin"/>
      </w:r>
      <w:r>
        <w:instrText>PAGEREF section_e32cd66ea03543389e6ea75929aaa73f</w:instrText>
      </w:r>
      <w:r>
        <w:fldChar w:fldCharType="separate"/>
      </w:r>
      <w:r>
        <w:rPr>
          <w:noProof/>
        </w:rPr>
        <w:t>395</w:t>
      </w:r>
      <w:r>
        <w:fldChar w:fldCharType="end"/>
      </w:r>
    </w:p>
    <w:p w:rsidR="00024C0A" w:rsidRDefault="00694C0F">
      <w:pPr>
        <w:pStyle w:val="indexentry0"/>
      </w:pPr>
      <w:hyperlink w:anchor="section_5c30913f91804772969fed116b8166ce">
        <w:r>
          <w:rPr>
            <w:rStyle w:val="Hyperlink"/>
          </w:rPr>
          <w:t>ACCRINTM</w:t>
        </w:r>
      </w:hyperlink>
      <w:r>
        <w:t xml:space="preserve"> </w:t>
      </w:r>
      <w:r>
        <w:fldChar w:fldCharType="begin"/>
      </w:r>
      <w:r>
        <w:instrText>PAGEREF section_5c30913f91804772969fe</w:instrText>
      </w:r>
      <w:r>
        <w:instrText>d116b8166ce</w:instrText>
      </w:r>
      <w:r>
        <w:fldChar w:fldCharType="separate"/>
      </w:r>
      <w:r>
        <w:rPr>
          <w:noProof/>
        </w:rPr>
        <w:t>396</w:t>
      </w:r>
      <w:r>
        <w:fldChar w:fldCharType="end"/>
      </w:r>
    </w:p>
    <w:p w:rsidR="00024C0A" w:rsidRDefault="00694C0F">
      <w:pPr>
        <w:pStyle w:val="indexentry0"/>
      </w:pPr>
      <w:hyperlink w:anchor="section_03e658016a2147d093503528064826ad">
        <w:r>
          <w:rPr>
            <w:rStyle w:val="Hyperlink"/>
          </w:rPr>
          <w:t>acd (Allocated Command Keyboard Customization Action)</w:t>
        </w:r>
      </w:hyperlink>
      <w:r>
        <w:t xml:space="preserve"> </w:t>
      </w:r>
      <w:r>
        <w:fldChar w:fldCharType="begin"/>
      </w:r>
      <w:r>
        <w:instrText>PAGEREF section_03e658016a2147d093503528064826ad</w:instrText>
      </w:r>
      <w:r>
        <w:fldChar w:fldCharType="separate"/>
      </w:r>
      <w:r>
        <w:rPr>
          <w:noProof/>
        </w:rPr>
        <w:t>688</w:t>
      </w:r>
      <w:r>
        <w:fldChar w:fldCharType="end"/>
      </w:r>
    </w:p>
    <w:p w:rsidR="00024C0A" w:rsidRDefault="00694C0F">
      <w:pPr>
        <w:pStyle w:val="indexentry0"/>
      </w:pPr>
      <w:hyperlink w:anchor="section_9bd9f7443f3a4ce88c48371c1bb6cd67">
        <w:r>
          <w:rPr>
            <w:rStyle w:val="Hyperlink"/>
          </w:rPr>
          <w:t>acd (Alloca</w:t>
        </w:r>
        <w:r>
          <w:rPr>
            <w:rStyle w:val="Hyperlink"/>
          </w:rPr>
          <w:t>ted Command)</w:t>
        </w:r>
      </w:hyperlink>
      <w:r>
        <w:t xml:space="preserve"> </w:t>
      </w:r>
      <w:r>
        <w:fldChar w:fldCharType="begin"/>
      </w:r>
      <w:r>
        <w:instrText>PAGEREF section_9bd9f7443f3a4ce88c48371c1bb6cd67</w:instrText>
      </w:r>
      <w:r>
        <w:fldChar w:fldCharType="separate"/>
      </w:r>
      <w:r>
        <w:rPr>
          <w:noProof/>
        </w:rPr>
        <w:t>687</w:t>
      </w:r>
      <w:r>
        <w:fldChar w:fldCharType="end"/>
      </w:r>
    </w:p>
    <w:p w:rsidR="00024C0A" w:rsidRDefault="00694C0F">
      <w:pPr>
        <w:pStyle w:val="indexentry0"/>
      </w:pPr>
      <w:hyperlink w:anchor="section_030e50dc59a54f3f8f6c41168047f641">
        <w:r>
          <w:rPr>
            <w:rStyle w:val="Hyperlink"/>
          </w:rPr>
          <w:t>acdEntry (Allocated Command Manifest Entry)</w:t>
        </w:r>
      </w:hyperlink>
      <w:r>
        <w:t xml:space="preserve"> </w:t>
      </w:r>
      <w:r>
        <w:fldChar w:fldCharType="begin"/>
      </w:r>
      <w:r>
        <w:instrText>PAGEREF section_030e50dc59a54f3f8f6c41168047f641</w:instrText>
      </w:r>
      <w:r>
        <w:fldChar w:fldCharType="separate"/>
      </w:r>
      <w:r>
        <w:rPr>
          <w:noProof/>
        </w:rPr>
        <w:t>689</w:t>
      </w:r>
      <w:r>
        <w:fldChar w:fldCharType="end"/>
      </w:r>
    </w:p>
    <w:p w:rsidR="00024C0A" w:rsidRDefault="00694C0F">
      <w:pPr>
        <w:pStyle w:val="indexentry0"/>
      </w:pPr>
      <w:hyperlink w:anchor="section_196c6a38f97a4a93a3a1121090157f0b">
        <w:r>
          <w:rPr>
            <w:rStyle w:val="Hyperlink"/>
          </w:rPr>
          <w:t>acdManifest (Allocated Command Manifest)</w:t>
        </w:r>
      </w:hyperlink>
      <w:r>
        <w:t xml:space="preserve"> </w:t>
      </w:r>
      <w:r>
        <w:fldChar w:fldCharType="begin"/>
      </w:r>
      <w:r>
        <w:instrText>PAGEREF section_196c6a38f97a4a93a3a1121090157f0b</w:instrText>
      </w:r>
      <w:r>
        <w:fldChar w:fldCharType="separate"/>
      </w:r>
      <w:r>
        <w:rPr>
          <w:noProof/>
        </w:rPr>
        <w:t>689</w:t>
      </w:r>
      <w:r>
        <w:fldChar w:fldCharType="end"/>
      </w:r>
    </w:p>
    <w:p w:rsidR="00024C0A" w:rsidRDefault="00694C0F">
      <w:pPr>
        <w:pStyle w:val="indexentry0"/>
      </w:pPr>
      <w:hyperlink w:anchor="section_83ec8315581b46899d5e9db1d95ec41f">
        <w:r>
          <w:rPr>
            <w:rStyle w:val="Hyperlink"/>
          </w:rPr>
          <w:t>acds (Allocated Commands)</w:t>
        </w:r>
      </w:hyperlink>
      <w:r>
        <w:t xml:space="preserve"> </w:t>
      </w:r>
      <w:r>
        <w:fldChar w:fldCharType="begin"/>
      </w:r>
      <w:r>
        <w:instrText>PAGEREF section_83ec8315581b46899d5e9db1d95ec41f</w:instrText>
      </w:r>
      <w:r>
        <w:fldChar w:fldCharType="separate"/>
      </w:r>
      <w:r>
        <w:rPr>
          <w:noProof/>
        </w:rPr>
        <w:t>690</w:t>
      </w:r>
      <w:r>
        <w:fldChar w:fldCharType="end"/>
      </w:r>
    </w:p>
    <w:p w:rsidR="00024C0A" w:rsidRDefault="00694C0F">
      <w:pPr>
        <w:pStyle w:val="indexentry0"/>
      </w:pPr>
      <w:hyperlink w:anchor="section_dc05ff6aa42f42b8b07434cc2c0d28c3">
        <w:r>
          <w:rPr>
            <w:rStyle w:val="Hyperlink"/>
          </w:rPr>
          <w:t>ACOS</w:t>
        </w:r>
      </w:hyperlink>
      <w:r>
        <w:t xml:space="preserve"> </w:t>
      </w:r>
      <w:r>
        <w:fldChar w:fldCharType="begin"/>
      </w:r>
      <w:r>
        <w:instrText>PAGEREF section_dc05ff6aa42f42b8b07434cc2c0d28c3</w:instrText>
      </w:r>
      <w:r>
        <w:fldChar w:fldCharType="separate"/>
      </w:r>
      <w:r>
        <w:rPr>
          <w:noProof/>
        </w:rPr>
        <w:t>397</w:t>
      </w:r>
      <w:r>
        <w:fldChar w:fldCharType="end"/>
      </w:r>
    </w:p>
    <w:p w:rsidR="00024C0A" w:rsidRDefault="00694C0F">
      <w:pPr>
        <w:pStyle w:val="indexentry0"/>
      </w:pPr>
      <w:hyperlink w:anchor="section_7bbd9fb16181481db29c63842301455d">
        <w:r>
          <w:rPr>
            <w:rStyle w:val="Hyperlink"/>
          </w:rPr>
          <w:t>active (Record Is Included in Mail Merge)</w:t>
        </w:r>
      </w:hyperlink>
      <w:r>
        <w:t xml:space="preserve"> </w:t>
      </w:r>
      <w:r>
        <w:fldChar w:fldCharType="begin"/>
      </w:r>
      <w:r>
        <w:instrText>PAGEREF section_7bbd9fb16181481db29c63842301455d</w:instrText>
      </w:r>
      <w:r>
        <w:fldChar w:fldCharType="separate"/>
      </w:r>
      <w:r>
        <w:rPr>
          <w:noProof/>
        </w:rPr>
        <w:t>691</w:t>
      </w:r>
      <w:r>
        <w:fldChar w:fldCharType="end"/>
      </w:r>
    </w:p>
    <w:p w:rsidR="00024C0A" w:rsidRDefault="00694C0F">
      <w:pPr>
        <w:pStyle w:val="indexentry0"/>
      </w:pPr>
      <w:hyperlink w:anchor="section_501412c497b647ea897fa4ba36e50324">
        <w:r>
          <w:rPr>
            <w:rStyle w:val="Hyperlink"/>
          </w:rPr>
          <w:t>activeRecord (Record Currently Displayed In Merged Document)</w:t>
        </w:r>
      </w:hyperlink>
      <w:r>
        <w:t xml:space="preserve"> </w:t>
      </w:r>
      <w:r>
        <w:fldChar w:fldCharType="begin"/>
      </w:r>
      <w:r>
        <w:instrText>PAGEREF section_501412c497b647ea897f</w:instrText>
      </w:r>
      <w:r>
        <w:instrText>a4ba36e50324</w:instrText>
      </w:r>
      <w:r>
        <w:fldChar w:fldCharType="separate"/>
      </w:r>
      <w:r>
        <w:rPr>
          <w:noProof/>
        </w:rPr>
        <w:t>141</w:t>
      </w:r>
      <w:r>
        <w:fldChar w:fldCharType="end"/>
      </w:r>
    </w:p>
    <w:p w:rsidR="00024C0A" w:rsidRDefault="00694C0F">
      <w:pPr>
        <w:pStyle w:val="indexentry0"/>
      </w:pPr>
      <w:hyperlink w:anchor="section_8d8cee16e3b646348d9d57d84acbc399">
        <w:r>
          <w:rPr>
            <w:rStyle w:val="Hyperlink"/>
          </w:rPr>
          <w:t>activeWritingStyle (Grammar Checking Settings)</w:t>
        </w:r>
      </w:hyperlink>
      <w:r>
        <w:t xml:space="preserve"> </w:t>
      </w:r>
      <w:r>
        <w:fldChar w:fldCharType="begin"/>
      </w:r>
      <w:r>
        <w:instrText>PAGEREF section_8d8cee16e3b646348d9d57d84acbc399</w:instrText>
      </w:r>
      <w:r>
        <w:fldChar w:fldCharType="separate"/>
      </w:r>
      <w:r>
        <w:rPr>
          <w:noProof/>
        </w:rPr>
        <w:t>147</w:t>
      </w:r>
      <w:r>
        <w:fldChar w:fldCharType="end"/>
      </w:r>
    </w:p>
    <w:p w:rsidR="00024C0A" w:rsidRDefault="00694C0F">
      <w:pPr>
        <w:pStyle w:val="indexentry0"/>
      </w:pPr>
      <w:hyperlink w:anchor="section_2dbabd7b5bac4dea9f5477f6dc6e6707">
        <w:r>
          <w:rPr>
            <w:rStyle w:val="Hyperlink"/>
          </w:rPr>
          <w:t>Additional attrib</w:t>
        </w:r>
        <w:r>
          <w:rPr>
            <w:rStyle w:val="Hyperlink"/>
          </w:rPr>
          <w:t>ute for cnfStyle element (Part 1 - 17.3.1.8)</w:t>
        </w:r>
      </w:hyperlink>
      <w:r>
        <w:t xml:space="preserve"> </w:t>
      </w:r>
      <w:r>
        <w:fldChar w:fldCharType="begin"/>
      </w:r>
      <w:r>
        <w:instrText>PAGEREF section_2dbabd7b5bac4dea9f5477f6dc6e6707</w:instrText>
      </w:r>
      <w:r>
        <w:fldChar w:fldCharType="separate"/>
      </w:r>
      <w:r>
        <w:rPr>
          <w:noProof/>
        </w:rPr>
        <w:t>619</w:t>
      </w:r>
      <w:r>
        <w:fldChar w:fldCharType="end"/>
      </w:r>
    </w:p>
    <w:p w:rsidR="00024C0A" w:rsidRDefault="00694C0F">
      <w:pPr>
        <w:pStyle w:val="indexentry0"/>
      </w:pPr>
      <w:hyperlink w:anchor="section_7da8cf6a641d47a7994a16b593ddabef">
        <w:r>
          <w:rPr>
            <w:rStyle w:val="Hyperlink"/>
          </w:rPr>
          <w:t>Additional attribute for cnfStyle element (Part 1 - 17.4.7)</w:t>
        </w:r>
      </w:hyperlink>
      <w:r>
        <w:t xml:space="preserve"> </w:t>
      </w:r>
      <w:r>
        <w:fldChar w:fldCharType="begin"/>
      </w:r>
      <w:r>
        <w:instrText>PAGEREF section_7da8cf6a641d47a799</w:instrText>
      </w:r>
      <w:r>
        <w:instrText>4a16b593ddabef</w:instrText>
      </w:r>
      <w:r>
        <w:fldChar w:fldCharType="separate"/>
      </w:r>
      <w:r>
        <w:rPr>
          <w:noProof/>
        </w:rPr>
        <w:t>621</w:t>
      </w:r>
      <w:r>
        <w:fldChar w:fldCharType="end"/>
      </w:r>
    </w:p>
    <w:p w:rsidR="00024C0A" w:rsidRDefault="00694C0F">
      <w:pPr>
        <w:pStyle w:val="indexentry0"/>
      </w:pPr>
      <w:hyperlink w:anchor="section_ae9b02e2eea54af1825aaaae9e79496c">
        <w:r>
          <w:rPr>
            <w:rStyle w:val="Hyperlink"/>
          </w:rPr>
          <w:t>Additional attribute for cnfStyle element (Part 1 - 17.4.8)</w:t>
        </w:r>
      </w:hyperlink>
      <w:r>
        <w:t xml:space="preserve"> </w:t>
      </w:r>
      <w:r>
        <w:fldChar w:fldCharType="begin"/>
      </w:r>
      <w:r>
        <w:instrText>PAGEREF section_ae9b02e2eea54af1825aaaae9e79496c</w:instrText>
      </w:r>
      <w:r>
        <w:fldChar w:fldCharType="separate"/>
      </w:r>
      <w:r>
        <w:rPr>
          <w:noProof/>
        </w:rPr>
        <w:t>621</w:t>
      </w:r>
      <w:r>
        <w:fldChar w:fldCharType="end"/>
      </w:r>
    </w:p>
    <w:p w:rsidR="00024C0A" w:rsidRDefault="00694C0F">
      <w:pPr>
        <w:pStyle w:val="indexentry0"/>
      </w:pPr>
      <w:hyperlink w:anchor="section_effb5b24826144ae9742ccf290c462ac">
        <w:r>
          <w:rPr>
            <w:rStyle w:val="Hyperlink"/>
          </w:rPr>
          <w:t>Ad</w:t>
        </w:r>
        <w:r>
          <w:rPr>
            <w:rStyle w:val="Hyperlink"/>
          </w:rPr>
          <w:t>ditional attributes for writeProtection element (Part 1 - 17.15.1.93)</w:t>
        </w:r>
      </w:hyperlink>
      <w:r>
        <w:t xml:space="preserve"> </w:t>
      </w:r>
      <w:r>
        <w:fldChar w:fldCharType="begin"/>
      </w:r>
      <w:r>
        <w:instrText>PAGEREF section_effb5b24826144ae9742ccf290c462ac</w:instrText>
      </w:r>
      <w:r>
        <w:fldChar w:fldCharType="separate"/>
      </w:r>
      <w:r>
        <w:rPr>
          <w:noProof/>
        </w:rPr>
        <w:t>625</w:t>
      </w:r>
      <w:r>
        <w:fldChar w:fldCharType="end"/>
      </w:r>
    </w:p>
    <w:p w:rsidR="00024C0A" w:rsidRDefault="00694C0F">
      <w:pPr>
        <w:pStyle w:val="indexentry0"/>
      </w:pPr>
      <w:r>
        <w:t>Additional Elements (</w:t>
      </w:r>
      <w:hyperlink w:anchor="section_d822cddcbd7648b0911684c6009ebb96">
        <w:r>
          <w:rPr>
            <w:rStyle w:val="Hyperlink"/>
          </w:rPr>
          <w:t>section 3.1.4.2.1</w:t>
        </w:r>
      </w:hyperlink>
      <w:r>
        <w:t xml:space="preserve"> </w:t>
      </w:r>
      <w:r>
        <w:fldChar w:fldCharType="begin"/>
      </w:r>
      <w:r>
        <w:instrText>PAGEREF section_d822cddcbd7648</w:instrText>
      </w:r>
      <w:r>
        <w:instrText>b0911684c6009ebb96</w:instrText>
      </w:r>
      <w:r>
        <w:fldChar w:fldCharType="separate"/>
      </w:r>
      <w:r>
        <w:rPr>
          <w:noProof/>
        </w:rPr>
        <w:t>825</w:t>
      </w:r>
      <w:r>
        <w:fldChar w:fldCharType="end"/>
      </w:r>
      <w:r>
        <w:t xml:space="preserve">, </w:t>
      </w:r>
      <w:hyperlink w:anchor="section_9835e3800b30448a98bdf016c6a8b8d7">
        <w:r>
          <w:rPr>
            <w:rStyle w:val="Hyperlink"/>
          </w:rPr>
          <w:t>section 3.1.4.3.1</w:t>
        </w:r>
      </w:hyperlink>
      <w:r>
        <w:t xml:space="preserve"> </w:t>
      </w:r>
      <w:r>
        <w:fldChar w:fldCharType="begin"/>
      </w:r>
      <w:r>
        <w:instrText>PAGEREF section_9835e3800b30448a98bdf016c6a8b8d7</w:instrText>
      </w:r>
      <w:r>
        <w:fldChar w:fldCharType="separate"/>
      </w:r>
      <w:r>
        <w:rPr>
          <w:noProof/>
        </w:rPr>
        <w:t>827</w:t>
      </w:r>
      <w:r>
        <w:fldChar w:fldCharType="end"/>
      </w:r>
      <w:r>
        <w:t>)</w:t>
      </w:r>
    </w:p>
    <w:p w:rsidR="00024C0A" w:rsidRDefault="00694C0F">
      <w:pPr>
        <w:pStyle w:val="indexentry0"/>
      </w:pPr>
      <w:hyperlink w:anchor="section_97a71be93d2143dbb1e3fe122b650d3b">
        <w:r>
          <w:rPr>
            <w:rStyle w:val="Hyperlink"/>
          </w:rPr>
          <w:t>Additional enumeration values for ST_StyleSort (Part 1 - 17.18.82)</w:t>
        </w:r>
      </w:hyperlink>
      <w:r>
        <w:t xml:space="preserve"> </w:t>
      </w:r>
      <w:r>
        <w:fldChar w:fldCharType="begin"/>
      </w:r>
      <w:r>
        <w:instrText>PAGEREF section_97a71be93d2143dbb1e3fe122b650d3b</w:instrText>
      </w:r>
      <w:r>
        <w:fldChar w:fldCharType="separate"/>
      </w:r>
      <w:r>
        <w:rPr>
          <w:noProof/>
        </w:rPr>
        <w:t>628</w:t>
      </w:r>
      <w:r>
        <w:fldChar w:fldCharType="end"/>
      </w:r>
    </w:p>
    <w:p w:rsidR="00024C0A" w:rsidRDefault="00694C0F">
      <w:pPr>
        <w:pStyle w:val="indexentry0"/>
      </w:pPr>
      <w:r>
        <w:t>Additional Parts (</w:t>
      </w:r>
      <w:hyperlink w:anchor="section_cc2c9f8989204c0f94e5bbb8e3b48b52">
        <w:r>
          <w:rPr>
            <w:rStyle w:val="Hyperlink"/>
          </w:rPr>
          <w:t>section 3.1.1</w:t>
        </w:r>
      </w:hyperlink>
      <w:r>
        <w:t xml:space="preserve"> </w:t>
      </w:r>
      <w:r>
        <w:fldChar w:fldCharType="begin"/>
      </w:r>
      <w:r>
        <w:instrText>PAGEREF section_cc2c9f8989204c0f94e5bbb8</w:instrText>
      </w:r>
      <w:r>
        <w:instrText>e3b48b52</w:instrText>
      </w:r>
      <w:r>
        <w:fldChar w:fldCharType="separate"/>
      </w:r>
      <w:r>
        <w:rPr>
          <w:noProof/>
        </w:rPr>
        <w:t>684</w:t>
      </w:r>
      <w:r>
        <w:fldChar w:fldCharType="end"/>
      </w:r>
      <w:r>
        <w:t xml:space="preserve">, </w:t>
      </w:r>
      <w:hyperlink w:anchor="section_8ce3f967210d4181927892e3411ebfc7">
        <w:r>
          <w:rPr>
            <w:rStyle w:val="Hyperlink"/>
          </w:rPr>
          <w:t>section 3.2.1</w:t>
        </w:r>
      </w:hyperlink>
      <w:r>
        <w:t xml:space="preserve"> </w:t>
      </w:r>
      <w:r>
        <w:fldChar w:fldCharType="begin"/>
      </w:r>
      <w:r>
        <w:instrText>PAGEREF section_8ce3f967210d4181927892e3411ebfc7</w:instrText>
      </w:r>
      <w:r>
        <w:fldChar w:fldCharType="separate"/>
      </w:r>
      <w:r>
        <w:rPr>
          <w:noProof/>
        </w:rPr>
        <w:t>829</w:t>
      </w:r>
      <w:r>
        <w:fldChar w:fldCharType="end"/>
      </w:r>
      <w:r>
        <w:t xml:space="preserve">, </w:t>
      </w:r>
      <w:hyperlink w:anchor="section_f38134c7bd874b8fb4d48fc5c2b1ec2a">
        <w:r>
          <w:rPr>
            <w:rStyle w:val="Hyperlink"/>
          </w:rPr>
          <w:t>section 3.3.1</w:t>
        </w:r>
      </w:hyperlink>
      <w:r>
        <w:t xml:space="preserve"> </w:t>
      </w:r>
      <w:r>
        <w:fldChar w:fldCharType="begin"/>
      </w:r>
      <w:r>
        <w:instrText>PAGEREF section_f38134c7bd874b8fb4d4</w:instrText>
      </w:r>
      <w:r>
        <w:instrText>8fc5c2b1ec2a</w:instrText>
      </w:r>
      <w:r>
        <w:fldChar w:fldCharType="separate"/>
      </w:r>
      <w:r>
        <w:rPr>
          <w:noProof/>
        </w:rPr>
        <w:t>842</w:t>
      </w:r>
      <w:r>
        <w:fldChar w:fldCharType="end"/>
      </w:r>
      <w:r>
        <w:t xml:space="preserve">, </w:t>
      </w:r>
      <w:hyperlink w:anchor="section_5c1cca76e68e452b921dd7e83877de45">
        <w:r>
          <w:rPr>
            <w:rStyle w:val="Hyperlink"/>
          </w:rPr>
          <w:t>section 3.4.1</w:t>
        </w:r>
      </w:hyperlink>
      <w:r>
        <w:t xml:space="preserve"> </w:t>
      </w:r>
      <w:r>
        <w:fldChar w:fldCharType="begin"/>
      </w:r>
      <w:r>
        <w:instrText>PAGEREF section_5c1cca76e68e452b921dd7e83877de45</w:instrText>
      </w:r>
      <w:r>
        <w:fldChar w:fldCharType="separate"/>
      </w:r>
      <w:r>
        <w:rPr>
          <w:noProof/>
        </w:rPr>
        <w:t>844</w:t>
      </w:r>
      <w:r>
        <w:fldChar w:fldCharType="end"/>
      </w:r>
      <w:r>
        <w:t>)</w:t>
      </w:r>
    </w:p>
    <w:p w:rsidR="00024C0A" w:rsidRDefault="00694C0F">
      <w:pPr>
        <w:pStyle w:val="indexentry0"/>
      </w:pPr>
      <w:hyperlink w:anchor="section_96a4842c5e4940e1b9ac0c524e8b68e0">
        <w:r>
          <w:rPr>
            <w:rStyle w:val="Hyperlink"/>
          </w:rPr>
          <w:t>Additional SpreadsheetML Schema</w:t>
        </w:r>
      </w:hyperlink>
      <w:r>
        <w:t xml:space="preserve"> </w:t>
      </w:r>
      <w:r>
        <w:fldChar w:fldCharType="begin"/>
      </w:r>
      <w:r>
        <w:instrText>PAGEREF sectio</w:instrText>
      </w:r>
      <w:r>
        <w:instrText>n_96a4842c5e4940e1b9ac0c524e8b68e0</w:instrText>
      </w:r>
      <w:r>
        <w:fldChar w:fldCharType="separate"/>
      </w:r>
      <w:r>
        <w:rPr>
          <w:noProof/>
        </w:rPr>
        <w:t>836</w:t>
      </w:r>
      <w:r>
        <w:fldChar w:fldCharType="end"/>
      </w:r>
    </w:p>
    <w:p w:rsidR="00024C0A" w:rsidRDefault="00694C0F">
      <w:pPr>
        <w:pStyle w:val="indexentry0"/>
      </w:pPr>
      <w:hyperlink w:anchor="section_f8e3c239322c488594094c0acc06b609">
        <w:r>
          <w:rPr>
            <w:rStyle w:val="Hyperlink"/>
          </w:rPr>
          <w:t>Additional WordprocessingML Schema</w:t>
        </w:r>
      </w:hyperlink>
      <w:r>
        <w:t xml:space="preserve"> </w:t>
      </w:r>
      <w:r>
        <w:fldChar w:fldCharType="begin"/>
      </w:r>
      <w:r>
        <w:instrText>PAGEREF section_f8e3c239322c488594094c0acc06b609</w:instrText>
      </w:r>
      <w:r>
        <w:fldChar w:fldCharType="separate"/>
      </w:r>
      <w:r>
        <w:rPr>
          <w:noProof/>
        </w:rPr>
        <w:t>785</w:t>
      </w:r>
      <w:r>
        <w:fldChar w:fldCharType="end"/>
      </w:r>
    </w:p>
    <w:p w:rsidR="00024C0A" w:rsidRDefault="00694C0F">
      <w:pPr>
        <w:pStyle w:val="indexentry0"/>
      </w:pPr>
      <w:hyperlink w:anchor="section_c18d21bc2f664b928717db472acd27c7">
        <w:r>
          <w:rPr>
            <w:rStyle w:val="Hyperlink"/>
          </w:rPr>
          <w:t>ADDRESS</w:t>
        </w:r>
      </w:hyperlink>
      <w:r>
        <w:t xml:space="preserve"> </w:t>
      </w:r>
      <w:r>
        <w:fldChar w:fldCharType="begin"/>
      </w:r>
      <w:r>
        <w:instrText>PAGEREF section_c18d21bc2f664b928717db472acd27c7</w:instrText>
      </w:r>
      <w:r>
        <w:fldChar w:fldCharType="separate"/>
      </w:r>
      <w:r>
        <w:rPr>
          <w:noProof/>
        </w:rPr>
        <w:t>397</w:t>
      </w:r>
      <w:r>
        <w:fldChar w:fldCharType="end"/>
      </w:r>
    </w:p>
    <w:p w:rsidR="00024C0A" w:rsidRDefault="00694C0F">
      <w:pPr>
        <w:pStyle w:val="indexentry0"/>
      </w:pPr>
      <w:hyperlink w:anchor="section_9ca3f9d657da45608daac53116a60fa3">
        <w:r>
          <w:rPr>
            <w:rStyle w:val="Hyperlink"/>
          </w:rPr>
          <w:t>ADDRESSBLOCK</w:t>
        </w:r>
      </w:hyperlink>
      <w:r>
        <w:t xml:space="preserve"> </w:t>
      </w:r>
      <w:r>
        <w:fldChar w:fldCharType="begin"/>
      </w:r>
      <w:r>
        <w:instrText>PAGEREF section_9ca3f9d657da45608daac53116a60fa3</w:instrText>
      </w:r>
      <w:r>
        <w:fldChar w:fldCharType="separate"/>
      </w:r>
      <w:r>
        <w:rPr>
          <w:noProof/>
        </w:rPr>
        <w:t>166</w:t>
      </w:r>
      <w:r>
        <w:fldChar w:fldCharType="end"/>
      </w:r>
    </w:p>
    <w:p w:rsidR="00024C0A" w:rsidRDefault="00694C0F">
      <w:pPr>
        <w:pStyle w:val="indexentry0"/>
      </w:pPr>
      <w:hyperlink w:anchor="section_a9b2a24bc8f94d7c90adfd2fda3d0aa1">
        <w:r>
          <w:rPr>
            <w:rStyle w:val="Hyperlink"/>
          </w:rPr>
          <w:t>adj (Shape Adjust)</w:t>
        </w:r>
      </w:hyperlink>
      <w:r>
        <w:t xml:space="preserve"> </w:t>
      </w:r>
      <w:r>
        <w:fldChar w:fldCharType="begin"/>
      </w:r>
      <w:r>
        <w:instrText>PAGEREF section_a9b2a24bc8f94d7c90adfd2fda3d0aa1</w:instrText>
      </w:r>
      <w:r>
        <w:fldChar w:fldCharType="separate"/>
      </w:r>
      <w:r>
        <w:rPr>
          <w:noProof/>
        </w:rPr>
        <w:t>580</w:t>
      </w:r>
      <w:r>
        <w:fldChar w:fldCharType="end"/>
      </w:r>
    </w:p>
    <w:p w:rsidR="00024C0A" w:rsidRDefault="00694C0F">
      <w:pPr>
        <w:pStyle w:val="indexentry0"/>
      </w:pPr>
      <w:hyperlink w:anchor="section_fc652f822fbf477887ff9b52fab9d600">
        <w:r>
          <w:rPr>
            <w:rStyle w:val="Hyperlink"/>
          </w:rPr>
          <w:t>ADVANCE</w:t>
        </w:r>
      </w:hyperlink>
      <w:r>
        <w:t xml:space="preserve"> </w:t>
      </w:r>
      <w:r>
        <w:fldChar w:fldCharType="begin"/>
      </w:r>
      <w:r>
        <w:instrText>PAGEREF section_fc652f822fbf477887ff9b52fab9d600</w:instrText>
      </w:r>
      <w:r>
        <w:fldChar w:fldCharType="separate"/>
      </w:r>
      <w:r>
        <w:rPr>
          <w:noProof/>
        </w:rPr>
        <w:t>184</w:t>
      </w:r>
      <w:r>
        <w:fldChar w:fldCharType="end"/>
      </w:r>
    </w:p>
    <w:p w:rsidR="00024C0A" w:rsidRDefault="00694C0F">
      <w:pPr>
        <w:pStyle w:val="indexentry0"/>
      </w:pPr>
      <w:hyperlink w:anchor="section_91ba9f43deb345f58a1a196afa07e776">
        <w:r>
          <w:rPr>
            <w:rStyle w:val="Hyperlink"/>
          </w:rPr>
          <w:t>ahPolar (PolarAdjustHandle)</w:t>
        </w:r>
      </w:hyperlink>
      <w:r>
        <w:t xml:space="preserve"> </w:t>
      </w:r>
      <w:r>
        <w:fldChar w:fldCharType="begin"/>
      </w:r>
      <w:r>
        <w:instrText>PAGEREF section_91ba9f43deb345f58a1a196afa07e776</w:instrText>
      </w:r>
      <w:r>
        <w:fldChar w:fldCharType="separate"/>
      </w:r>
      <w:r>
        <w:rPr>
          <w:noProof/>
        </w:rPr>
        <w:t>683</w:t>
      </w:r>
      <w:r>
        <w:fldChar w:fldCharType="end"/>
      </w:r>
    </w:p>
    <w:p w:rsidR="00024C0A" w:rsidRDefault="00694C0F">
      <w:pPr>
        <w:pStyle w:val="indexentry0"/>
      </w:pPr>
      <w:hyperlink w:anchor="section_2e54916a4038416dbe4f887efb6f72de">
        <w:r>
          <w:rPr>
            <w:rStyle w:val="Hyperlink"/>
          </w:rPr>
          <w:t>ahXY (XYAdjustHandle)</w:t>
        </w:r>
      </w:hyperlink>
      <w:r>
        <w:t xml:space="preserve"> </w:t>
      </w:r>
      <w:r>
        <w:fldChar w:fldCharType="begin"/>
      </w:r>
      <w:r>
        <w:instrText>PAGEREF section_2e54916a4038416dbe4f887efb6f72de</w:instrText>
      </w:r>
      <w:r>
        <w:fldChar w:fldCharType="separate"/>
      </w:r>
      <w:r>
        <w:rPr>
          <w:noProof/>
        </w:rPr>
        <w:t>683</w:t>
      </w:r>
      <w:r>
        <w:fldChar w:fldCharType="end"/>
      </w:r>
    </w:p>
    <w:p w:rsidR="00024C0A" w:rsidRDefault="00694C0F">
      <w:pPr>
        <w:pStyle w:val="indexentry0"/>
      </w:pPr>
      <w:hyperlink w:anchor="section_a8bca340ed81482c84ca7f105a1a11cf">
        <w:r>
          <w:rPr>
            <w:rStyle w:val="Hyperlink"/>
          </w:rPr>
          <w:t>aliases (Alternate Style Names)</w:t>
        </w:r>
      </w:hyperlink>
      <w:r>
        <w:t xml:space="preserve"> </w:t>
      </w:r>
      <w:r>
        <w:fldChar w:fldCharType="begin"/>
      </w:r>
      <w:r>
        <w:instrText>PAGEREF section_a8bca340ed81482c84ca7f105a1a11cf</w:instrText>
      </w:r>
      <w:r>
        <w:fldChar w:fldCharType="separate"/>
      </w:r>
      <w:r>
        <w:rPr>
          <w:noProof/>
        </w:rPr>
        <w:t>105</w:t>
      </w:r>
      <w:r>
        <w:fldChar w:fldCharType="end"/>
      </w:r>
    </w:p>
    <w:p w:rsidR="00024C0A" w:rsidRDefault="00694C0F">
      <w:pPr>
        <w:pStyle w:val="indexentry0"/>
      </w:pPr>
      <w:hyperlink w:anchor="section_e4ad6e3e77024dbe8c44f5a4c686c440">
        <w:r>
          <w:rPr>
            <w:rStyle w:val="Hyperlink"/>
          </w:rPr>
          <w:t>alignment (Alignment)</w:t>
        </w:r>
      </w:hyperlink>
      <w:r>
        <w:t xml:space="preserve"> </w:t>
      </w:r>
      <w:r>
        <w:fldChar w:fldCharType="begin"/>
      </w:r>
      <w:r>
        <w:instrText>PAGEREF section_e4ad6e3e77024dbe8c44f5a4c686c440</w:instrText>
      </w:r>
      <w:r>
        <w:fldChar w:fldCharType="separate"/>
      </w:r>
      <w:r>
        <w:rPr>
          <w:noProof/>
        </w:rPr>
        <w:t>295</w:t>
      </w:r>
      <w:r>
        <w:fldChar w:fldCharType="end"/>
      </w:r>
    </w:p>
    <w:p w:rsidR="00024C0A" w:rsidRDefault="00694C0F">
      <w:pPr>
        <w:pStyle w:val="indexentry0"/>
      </w:pPr>
      <w:hyperlink w:anchor="section_c2ec4940906f489c8ae252b0ac885207">
        <w:r>
          <w:rPr>
            <w:rStyle w:val="Hyperlink"/>
          </w:rPr>
          <w:t>allowPNG (Allow PNG as Graphic Format)</w:t>
        </w:r>
      </w:hyperlink>
      <w:r>
        <w:t xml:space="preserve"> </w:t>
      </w:r>
      <w:r>
        <w:fldChar w:fldCharType="begin"/>
      </w:r>
      <w:r>
        <w:instrText>PAGEREF section_c2ec4940906f489c8ae252b0ac885207</w:instrText>
      </w:r>
      <w:r>
        <w:fldChar w:fldCharType="separate"/>
      </w:r>
      <w:r>
        <w:rPr>
          <w:noProof/>
        </w:rPr>
        <w:t>160</w:t>
      </w:r>
      <w:r>
        <w:fldChar w:fldCharType="end"/>
      </w:r>
    </w:p>
    <w:p w:rsidR="00024C0A" w:rsidRDefault="00694C0F">
      <w:pPr>
        <w:pStyle w:val="indexentry0"/>
      </w:pPr>
      <w:hyperlink w:anchor="section_2325459a45fc4ed481f209cf0696c03f">
        <w:r>
          <w:rPr>
            <w:rStyle w:val="Hyperlink"/>
          </w:rPr>
          <w:t>aln (Alignment)</w:t>
        </w:r>
      </w:hyperlink>
      <w:r>
        <w:t xml:space="preserve"> </w:t>
      </w:r>
      <w:r>
        <w:fldChar w:fldCharType="begin"/>
      </w:r>
      <w:r>
        <w:instrText>PAGEREF section_2325459a45fc4ed</w:instrText>
      </w:r>
      <w:r>
        <w:instrText>481f209cf0696c03f</w:instrText>
      </w:r>
      <w:r>
        <w:fldChar w:fldCharType="separate"/>
      </w:r>
      <w:r>
        <w:rPr>
          <w:noProof/>
        </w:rPr>
        <w:t>591</w:t>
      </w:r>
      <w:r>
        <w:fldChar w:fldCharType="end"/>
      </w:r>
    </w:p>
    <w:p w:rsidR="00024C0A" w:rsidRDefault="00694C0F">
      <w:pPr>
        <w:pStyle w:val="indexentry0"/>
      </w:pPr>
      <w:hyperlink w:anchor="section_8d11d27322a648b8a2122b60910659bd">
        <w:r>
          <w:rPr>
            <w:rStyle w:val="Hyperlink"/>
          </w:rPr>
          <w:t>alpha (Alpha)</w:t>
        </w:r>
      </w:hyperlink>
      <w:r>
        <w:t xml:space="preserve"> </w:t>
      </w:r>
      <w:r>
        <w:fldChar w:fldCharType="begin"/>
      </w:r>
      <w:r>
        <w:instrText>PAGEREF section_8d11d27322a648b8a2122b60910659bd</w:instrText>
      </w:r>
      <w:r>
        <w:fldChar w:fldCharType="separate"/>
      </w:r>
      <w:r>
        <w:rPr>
          <w:noProof/>
        </w:rPr>
        <w:t>497</w:t>
      </w:r>
      <w:r>
        <w:fldChar w:fldCharType="end"/>
      </w:r>
    </w:p>
    <w:p w:rsidR="00024C0A" w:rsidRDefault="00694C0F">
      <w:pPr>
        <w:pStyle w:val="indexentry0"/>
      </w:pPr>
      <w:hyperlink w:anchor="section_88c6f94c01654e828f963694069f6361">
        <w:r>
          <w:rPr>
            <w:rStyle w:val="Hyperlink"/>
          </w:rPr>
          <w:t>alphaInv (Alpha Inverse Effect)</w:t>
        </w:r>
      </w:hyperlink>
      <w:r>
        <w:t xml:space="preserve"> </w:t>
      </w:r>
      <w:r>
        <w:fldChar w:fldCharType="begin"/>
      </w:r>
      <w:r>
        <w:instrText>PAGEREF sec</w:instrText>
      </w:r>
      <w:r>
        <w:instrText>tion_88c6f94c01654e828f963694069f6361</w:instrText>
      </w:r>
      <w:r>
        <w:fldChar w:fldCharType="separate"/>
      </w:r>
      <w:r>
        <w:rPr>
          <w:noProof/>
        </w:rPr>
        <w:t>510</w:t>
      </w:r>
      <w:r>
        <w:fldChar w:fldCharType="end"/>
      </w:r>
    </w:p>
    <w:p w:rsidR="00024C0A" w:rsidRDefault="00694C0F">
      <w:pPr>
        <w:pStyle w:val="indexentry0"/>
      </w:pPr>
      <w:hyperlink w:anchor="section_afb64210f4af4f608f94b2c51fd1bda7">
        <w:r>
          <w:rPr>
            <w:rStyle w:val="Hyperlink"/>
          </w:rPr>
          <w:t>alphaMod (Alpha Modulate Effect)</w:t>
        </w:r>
      </w:hyperlink>
      <w:r>
        <w:t xml:space="preserve"> </w:t>
      </w:r>
      <w:r>
        <w:fldChar w:fldCharType="begin"/>
      </w:r>
      <w:r>
        <w:instrText>PAGEREF section_afb64210f4af4f608f94b2c51fd1bda7</w:instrText>
      </w:r>
      <w:r>
        <w:fldChar w:fldCharType="separate"/>
      </w:r>
      <w:r>
        <w:rPr>
          <w:noProof/>
        </w:rPr>
        <w:t>510</w:t>
      </w:r>
      <w:r>
        <w:fldChar w:fldCharType="end"/>
      </w:r>
    </w:p>
    <w:p w:rsidR="00024C0A" w:rsidRDefault="00694C0F">
      <w:pPr>
        <w:pStyle w:val="indexentry0"/>
      </w:pPr>
      <w:hyperlink w:anchor="section_82fa840c591d48d5b9300146192f4142">
        <w:r>
          <w:rPr>
            <w:rStyle w:val="Hyperlink"/>
          </w:rPr>
          <w:t>alphaMod (Alpha Modulation)</w:t>
        </w:r>
      </w:hyperlink>
      <w:r>
        <w:t xml:space="preserve"> </w:t>
      </w:r>
      <w:r>
        <w:fldChar w:fldCharType="begin"/>
      </w:r>
      <w:r>
        <w:instrText>PAGEREF section_82fa840c591d48d5b9300146192f4142</w:instrText>
      </w:r>
      <w:r>
        <w:fldChar w:fldCharType="separate"/>
      </w:r>
      <w:r>
        <w:rPr>
          <w:noProof/>
        </w:rPr>
        <w:t>498</w:t>
      </w:r>
      <w:r>
        <w:fldChar w:fldCharType="end"/>
      </w:r>
    </w:p>
    <w:p w:rsidR="00024C0A" w:rsidRDefault="00694C0F">
      <w:pPr>
        <w:pStyle w:val="indexentry0"/>
      </w:pPr>
      <w:hyperlink w:anchor="section_1c2204d50c7240caa3c489b803883e90">
        <w:r>
          <w:rPr>
            <w:rStyle w:val="Hyperlink"/>
          </w:rPr>
          <w:t>alphaModFix (Alpha Modulate Fixed Effect)</w:t>
        </w:r>
      </w:hyperlink>
      <w:r>
        <w:t xml:space="preserve"> </w:t>
      </w:r>
      <w:r>
        <w:fldChar w:fldCharType="begin"/>
      </w:r>
      <w:r>
        <w:instrText>PAGEREF section_1c2204d50c7240caa3c489b803883e90</w:instrText>
      </w:r>
      <w:r>
        <w:fldChar w:fldCharType="separate"/>
      </w:r>
      <w:r>
        <w:rPr>
          <w:noProof/>
        </w:rPr>
        <w:t>510</w:t>
      </w:r>
      <w:r>
        <w:fldChar w:fldCharType="end"/>
      </w:r>
    </w:p>
    <w:p w:rsidR="00024C0A" w:rsidRDefault="00694C0F">
      <w:pPr>
        <w:pStyle w:val="indexentry0"/>
      </w:pPr>
      <w:hyperlink w:anchor="section_7ed8e6ffd6914d92ad9b73ec0a519eef">
        <w:r>
          <w:rPr>
            <w:rStyle w:val="Hyperlink"/>
          </w:rPr>
          <w:t>alphaOff (Alpha Offset)</w:t>
        </w:r>
      </w:hyperlink>
      <w:r>
        <w:t xml:space="preserve"> </w:t>
      </w:r>
      <w:r>
        <w:fldChar w:fldCharType="begin"/>
      </w:r>
      <w:r>
        <w:instrText>PAGEREF section_7ed8e6ffd6914d92ad9b73ec0a519eef</w:instrText>
      </w:r>
      <w:r>
        <w:fldChar w:fldCharType="separate"/>
      </w:r>
      <w:r>
        <w:rPr>
          <w:noProof/>
        </w:rPr>
        <w:t>498</w:t>
      </w:r>
      <w:r>
        <w:fldChar w:fldCharType="end"/>
      </w:r>
    </w:p>
    <w:p w:rsidR="00024C0A" w:rsidRDefault="00694C0F">
      <w:pPr>
        <w:pStyle w:val="indexentry0"/>
      </w:pPr>
      <w:hyperlink w:anchor="section_c391c28f1b034a21a4f84d9cddd4a95c">
        <w:r>
          <w:rPr>
            <w:rStyle w:val="Hyperlink"/>
          </w:rPr>
          <w:t>altChunk (Anchor for Imported External Content)</w:t>
        </w:r>
      </w:hyperlink>
      <w:r>
        <w:t xml:space="preserve"> </w:t>
      </w:r>
      <w:r>
        <w:fldChar w:fldCharType="begin"/>
      </w:r>
      <w:r>
        <w:instrText>PAGEREF section_c391c28</w:instrText>
      </w:r>
      <w:r>
        <w:instrText>f1b034a21a4f84d9cddd4a95c</w:instrText>
      </w:r>
      <w:r>
        <w:fldChar w:fldCharType="separate"/>
      </w:r>
      <w:r>
        <w:rPr>
          <w:noProof/>
        </w:rPr>
        <w:t>226</w:t>
      </w:r>
      <w:r>
        <w:fldChar w:fldCharType="end"/>
      </w:r>
    </w:p>
    <w:p w:rsidR="00024C0A" w:rsidRDefault="00694C0F">
      <w:pPr>
        <w:pStyle w:val="indexentry0"/>
      </w:pPr>
      <w:hyperlink w:anchor="section_f7c44a603d384925893457d77c277e84">
        <w:r>
          <w:rPr>
            <w:rStyle w:val="Hyperlink"/>
          </w:rPr>
          <w:t>altName (Alternate Names for Font)</w:t>
        </w:r>
      </w:hyperlink>
      <w:r>
        <w:t xml:space="preserve"> </w:t>
      </w:r>
      <w:r>
        <w:fldChar w:fldCharType="begin"/>
      </w:r>
      <w:r>
        <w:instrText>PAGEREF section_f7c44a603d384925893457d77c277e84</w:instrText>
      </w:r>
      <w:r>
        <w:fldChar w:fldCharType="separate"/>
      </w:r>
      <w:r>
        <w:rPr>
          <w:noProof/>
        </w:rPr>
        <w:t>120</w:t>
      </w:r>
      <w:r>
        <w:fldChar w:fldCharType="end"/>
      </w:r>
    </w:p>
    <w:p w:rsidR="00024C0A" w:rsidRDefault="00694C0F">
      <w:pPr>
        <w:pStyle w:val="indexentry0"/>
      </w:pPr>
      <w:hyperlink w:anchor="section_9f6e8efb597047108b6a26e75256d593">
        <w:r>
          <w:rPr>
            <w:rStyle w:val="Hyperlink"/>
          </w:rPr>
          <w:t>alwaysMergeEmptyNamespace (Do Not Mark Custom XML Elements With No Namespace As Invalid)</w:t>
        </w:r>
      </w:hyperlink>
      <w:r>
        <w:t xml:space="preserve"> </w:t>
      </w:r>
      <w:r>
        <w:fldChar w:fldCharType="begin"/>
      </w:r>
      <w:r>
        <w:instrText>PAGEREF section_9f6e8efb597047108b6a26e75256d593</w:instrText>
      </w:r>
      <w:r>
        <w:fldChar w:fldCharType="separate"/>
      </w:r>
      <w:r>
        <w:rPr>
          <w:noProof/>
        </w:rPr>
        <w:t>147</w:t>
      </w:r>
      <w:r>
        <w:fldChar w:fldCharType="end"/>
      </w:r>
    </w:p>
    <w:p w:rsidR="00024C0A" w:rsidRDefault="00694C0F">
      <w:pPr>
        <w:pStyle w:val="indexentry0"/>
      </w:pPr>
      <w:hyperlink w:anchor="section_de52a81e371a46f5a1041dec10fc3df2">
        <w:r>
          <w:rPr>
            <w:rStyle w:val="Hyperlink"/>
          </w:rPr>
          <w:t>AMORDEGRC</w:t>
        </w:r>
      </w:hyperlink>
      <w:r>
        <w:t xml:space="preserve"> </w:t>
      </w:r>
      <w:r>
        <w:fldChar w:fldCharType="begin"/>
      </w:r>
      <w:r>
        <w:instrText>PAGEREF section_de52a81e371a46f5a1041dec</w:instrText>
      </w:r>
      <w:r>
        <w:instrText>10fc3df2</w:instrText>
      </w:r>
      <w:r>
        <w:fldChar w:fldCharType="separate"/>
      </w:r>
      <w:r>
        <w:rPr>
          <w:noProof/>
        </w:rPr>
        <w:t>397</w:t>
      </w:r>
      <w:r>
        <w:fldChar w:fldCharType="end"/>
      </w:r>
    </w:p>
    <w:p w:rsidR="00024C0A" w:rsidRDefault="00694C0F">
      <w:pPr>
        <w:pStyle w:val="indexentry0"/>
      </w:pPr>
      <w:hyperlink w:anchor="section_98cfb234d00a4cfc899757d8f282dd28">
        <w:r>
          <w:rPr>
            <w:rStyle w:val="Hyperlink"/>
          </w:rPr>
          <w:t>AMORLINC</w:t>
        </w:r>
      </w:hyperlink>
      <w:r>
        <w:t xml:space="preserve"> </w:t>
      </w:r>
      <w:r>
        <w:fldChar w:fldCharType="begin"/>
      </w:r>
      <w:r>
        <w:instrText>PAGEREF section_98cfb234d00a4cfc899757d8f282dd28</w:instrText>
      </w:r>
      <w:r>
        <w:fldChar w:fldCharType="separate"/>
      </w:r>
      <w:r>
        <w:rPr>
          <w:noProof/>
        </w:rPr>
        <w:t>398</w:t>
      </w:r>
      <w:r>
        <w:fldChar w:fldCharType="end"/>
      </w:r>
    </w:p>
    <w:p w:rsidR="00024C0A" w:rsidRDefault="00694C0F">
      <w:pPr>
        <w:pStyle w:val="indexentry0"/>
      </w:pPr>
      <w:hyperlink w:anchor="section_21286105b705441b9cc5d423121ec06a">
        <w:r>
          <w:rPr>
            <w:rStyle w:val="Hyperlink"/>
          </w:rPr>
          <w:t>anchor (Anchor for Floating DrawingML Object)</w:t>
        </w:r>
      </w:hyperlink>
      <w:r>
        <w:t xml:space="preserve"> </w:t>
      </w:r>
      <w:r>
        <w:fldChar w:fldCharType="begin"/>
      </w:r>
      <w:r>
        <w:instrText>PAGEREF sec</w:instrText>
      </w:r>
      <w:r>
        <w:instrText>tion_21286105b705441b9cc5d423121ec06a</w:instrText>
      </w:r>
      <w:r>
        <w:fldChar w:fldCharType="separate"/>
      </w:r>
      <w:r>
        <w:rPr>
          <w:noProof/>
        </w:rPr>
        <w:t>521</w:t>
      </w:r>
      <w:r>
        <w:fldChar w:fldCharType="end"/>
      </w:r>
    </w:p>
    <w:p w:rsidR="00024C0A" w:rsidRDefault="00694C0F">
      <w:pPr>
        <w:pStyle w:val="indexentry0"/>
      </w:pPr>
      <w:hyperlink w:anchor="section_c5e5dc5ad9924b18b4a2b4772bf3c102">
        <w:r>
          <w:rPr>
            <w:rStyle w:val="Hyperlink"/>
          </w:rPr>
          <w:t>anchor (Anchor Point)</w:t>
        </w:r>
      </w:hyperlink>
      <w:r>
        <w:t xml:space="preserve"> </w:t>
      </w:r>
      <w:r>
        <w:fldChar w:fldCharType="begin"/>
      </w:r>
      <w:r>
        <w:instrText>PAGEREF section_c5e5dc5ad9924b18b4a2b4772bf3c102</w:instrText>
      </w:r>
      <w:r>
        <w:fldChar w:fldCharType="separate"/>
      </w:r>
      <w:r>
        <w:rPr>
          <w:noProof/>
        </w:rPr>
        <w:t>506</w:t>
      </w:r>
      <w:r>
        <w:fldChar w:fldCharType="end"/>
      </w:r>
    </w:p>
    <w:p w:rsidR="00024C0A" w:rsidRDefault="00694C0F">
      <w:pPr>
        <w:pStyle w:val="indexentry0"/>
      </w:pPr>
      <w:hyperlink w:anchor="section_200aa15e618e45e491d6daba55597a7d">
        <w:r>
          <w:rPr>
            <w:rStyle w:val="Hyperlink"/>
          </w:rPr>
          <w:t>Anchor (Anchor)</w:t>
        </w:r>
      </w:hyperlink>
      <w:r>
        <w:t xml:space="preserve"> </w:t>
      </w:r>
      <w:r>
        <w:fldChar w:fldCharType="begin"/>
      </w:r>
      <w:r>
        <w:instrText>PAGEREF section_200aa15e618e45e491d6daba55597a7d</w:instrText>
      </w:r>
      <w:r>
        <w:fldChar w:fldCharType="separate"/>
      </w:r>
      <w:r>
        <w:rPr>
          <w:noProof/>
        </w:rPr>
        <w:t>673</w:t>
      </w:r>
      <w:r>
        <w:fldChar w:fldCharType="end"/>
      </w:r>
    </w:p>
    <w:p w:rsidR="00024C0A" w:rsidRDefault="00694C0F">
      <w:pPr>
        <w:pStyle w:val="indexentry0"/>
      </w:pPr>
      <w:hyperlink w:anchor="section_2a1eea2d377344f7ab3b51dd9a427f79">
        <w:r>
          <w:rPr>
            <w:rStyle w:val="Hyperlink"/>
          </w:rPr>
          <w:t>anchor (Object Cell Anchor)</w:t>
        </w:r>
      </w:hyperlink>
      <w:r>
        <w:t xml:space="preserve"> </w:t>
      </w:r>
      <w:r>
        <w:fldChar w:fldCharType="begin"/>
      </w:r>
      <w:r>
        <w:instrText>PAGEREF section_2a1eea2d377344f7ab3b51dd9a427f79</w:instrText>
      </w:r>
      <w:r>
        <w:fldChar w:fldCharType="separate"/>
      </w:r>
      <w:r>
        <w:rPr>
          <w:noProof/>
        </w:rPr>
        <w:t>249</w:t>
      </w:r>
      <w:r>
        <w:fldChar w:fldCharType="end"/>
      </w:r>
    </w:p>
    <w:p w:rsidR="00024C0A" w:rsidRDefault="00694C0F">
      <w:pPr>
        <w:pStyle w:val="indexentry0"/>
      </w:pPr>
      <w:hyperlink w:anchor="section_e9355b9351844ffe842863a08858da2f">
        <w:r>
          <w:rPr>
            <w:rStyle w:val="Hyperlink"/>
          </w:rPr>
          <w:t>anim (Animate)</w:t>
        </w:r>
      </w:hyperlink>
      <w:r>
        <w:t xml:space="preserve"> </w:t>
      </w:r>
      <w:r>
        <w:fldChar w:fldCharType="begin"/>
      </w:r>
      <w:r>
        <w:instrText>PAGEREF section_e9355b9351844ffe842863a08858da2f</w:instrText>
      </w:r>
      <w:r>
        <w:fldChar w:fldCharType="separate"/>
      </w:r>
      <w:r>
        <w:rPr>
          <w:noProof/>
        </w:rPr>
        <w:t>470</w:t>
      </w:r>
      <w:r>
        <w:fldChar w:fldCharType="end"/>
      </w:r>
    </w:p>
    <w:p w:rsidR="00024C0A" w:rsidRDefault="00694C0F">
      <w:pPr>
        <w:pStyle w:val="indexentry0"/>
      </w:pPr>
      <w:hyperlink w:anchor="section_9636f7f358e3408d9880d0799fb26b0f">
        <w:r>
          <w:rPr>
            <w:rStyle w:val="Hyperlink"/>
          </w:rPr>
          <w:t>animClr (Animate Color Behavior)</w:t>
        </w:r>
      </w:hyperlink>
      <w:r>
        <w:t xml:space="preserve"> </w:t>
      </w:r>
      <w:r>
        <w:fldChar w:fldCharType="begin"/>
      </w:r>
      <w:r>
        <w:instrText>PAGEREF section_9636f7f358e3408d9880d0799fb26b0f</w:instrText>
      </w:r>
      <w:r>
        <w:fldChar w:fldCharType="separate"/>
      </w:r>
      <w:r>
        <w:rPr>
          <w:noProof/>
        </w:rPr>
        <w:t>471</w:t>
      </w:r>
      <w:r>
        <w:fldChar w:fldCharType="end"/>
      </w:r>
    </w:p>
    <w:p w:rsidR="00024C0A" w:rsidRDefault="00694C0F">
      <w:pPr>
        <w:pStyle w:val="indexentry0"/>
      </w:pPr>
      <w:hyperlink w:anchor="section_33e6ed593ef1404fb137ad2c503f16ac">
        <w:r>
          <w:rPr>
            <w:rStyle w:val="Hyperlink"/>
          </w:rPr>
          <w:t>animEffect (Animate Effect)</w:t>
        </w:r>
      </w:hyperlink>
      <w:r>
        <w:t xml:space="preserve"> </w:t>
      </w:r>
      <w:r>
        <w:fldChar w:fldCharType="begin"/>
      </w:r>
      <w:r>
        <w:instrText>PAGEREF section_33e6ed593ef1404fb137ad2c503f16ac</w:instrText>
      </w:r>
      <w:r>
        <w:fldChar w:fldCharType="separate"/>
      </w:r>
      <w:r>
        <w:rPr>
          <w:noProof/>
        </w:rPr>
        <w:t>471</w:t>
      </w:r>
      <w:r>
        <w:fldChar w:fldCharType="end"/>
      </w:r>
    </w:p>
    <w:p w:rsidR="00024C0A" w:rsidRDefault="00694C0F">
      <w:pPr>
        <w:pStyle w:val="indexentry0"/>
      </w:pPr>
      <w:hyperlink w:anchor="section_498c3cfa652c49b3a82c33fd94468af8">
        <w:r>
          <w:rPr>
            <w:rStyle w:val="Hyperlink"/>
          </w:rPr>
          <w:t>animMotion (Animate Motion)</w:t>
        </w:r>
      </w:hyperlink>
      <w:r>
        <w:t xml:space="preserve"> </w:t>
      </w:r>
      <w:r>
        <w:fldChar w:fldCharType="begin"/>
      </w:r>
      <w:r>
        <w:instrText>PAGEREF section_498c3cfa652c49b3a82c33fd94468af8</w:instrText>
      </w:r>
      <w:r>
        <w:fldChar w:fldCharType="separate"/>
      </w:r>
      <w:r>
        <w:rPr>
          <w:noProof/>
        </w:rPr>
        <w:t>472</w:t>
      </w:r>
      <w:r>
        <w:fldChar w:fldCharType="end"/>
      </w:r>
    </w:p>
    <w:p w:rsidR="00024C0A" w:rsidRDefault="00694C0F">
      <w:pPr>
        <w:pStyle w:val="indexentry0"/>
      </w:pPr>
      <w:hyperlink w:anchor="section_39903f1afcb44aee81e266f4fc7493fd">
        <w:r>
          <w:rPr>
            <w:rStyle w:val="Hyperlink"/>
          </w:rPr>
          <w:t>animRot (Animate Rotation)</w:t>
        </w:r>
      </w:hyperlink>
      <w:r>
        <w:t xml:space="preserve"> </w:t>
      </w:r>
      <w:r>
        <w:fldChar w:fldCharType="begin"/>
      </w:r>
      <w:r>
        <w:instrText>PAGEREF section_39903f1afcb44aee81e266f4fc7493fd</w:instrText>
      </w:r>
      <w:r>
        <w:fldChar w:fldCharType="separate"/>
      </w:r>
      <w:r>
        <w:rPr>
          <w:noProof/>
        </w:rPr>
        <w:t>473</w:t>
      </w:r>
      <w:r>
        <w:fldChar w:fldCharType="end"/>
      </w:r>
    </w:p>
    <w:p w:rsidR="00024C0A" w:rsidRDefault="00694C0F">
      <w:pPr>
        <w:pStyle w:val="indexentry0"/>
      </w:pPr>
      <w:hyperlink w:anchor="section_358c6de32cd7459b8eb9b90f3721fd12">
        <w:r>
          <w:rPr>
            <w:rStyle w:val="Hyperlink"/>
          </w:rPr>
          <w:t>animScale (Animate Scale)</w:t>
        </w:r>
      </w:hyperlink>
      <w:r>
        <w:t xml:space="preserve"> </w:t>
      </w:r>
      <w:r>
        <w:fldChar w:fldCharType="begin"/>
      </w:r>
      <w:r>
        <w:instrText>PAGEREF section_358c6de32cd7459b8</w:instrText>
      </w:r>
      <w:r>
        <w:instrText>eb9b90f3721fd12</w:instrText>
      </w:r>
      <w:r>
        <w:fldChar w:fldCharType="separate"/>
      </w:r>
      <w:r>
        <w:rPr>
          <w:noProof/>
        </w:rPr>
        <w:t>474</w:t>
      </w:r>
      <w:r>
        <w:fldChar w:fldCharType="end"/>
      </w:r>
    </w:p>
    <w:p w:rsidR="00024C0A" w:rsidRDefault="00694C0F">
      <w:pPr>
        <w:pStyle w:val="indexentry0"/>
      </w:pPr>
      <w:hyperlink w:anchor="section_4893beff89e44326a9c3a89ddf80f063">
        <w:r>
          <w:rPr>
            <w:rStyle w:val="Hyperlink"/>
          </w:rPr>
          <w:t>Application Conformance</w:t>
        </w:r>
      </w:hyperlink>
      <w:r>
        <w:t xml:space="preserve"> </w:t>
      </w:r>
      <w:r>
        <w:fldChar w:fldCharType="begin"/>
      </w:r>
      <w:r>
        <w:instrText>PAGEREF section_4893beff89e44326a9c3a89ddf80f063</w:instrText>
      </w:r>
      <w:r>
        <w:fldChar w:fldCharType="separate"/>
      </w:r>
      <w:r>
        <w:rPr>
          <w:noProof/>
        </w:rPr>
        <w:t>46</w:t>
      </w:r>
      <w:r>
        <w:fldChar w:fldCharType="end"/>
      </w:r>
    </w:p>
    <w:p w:rsidR="00024C0A" w:rsidRDefault="00694C0F">
      <w:pPr>
        <w:pStyle w:val="indexentry0"/>
      </w:pPr>
      <w:hyperlink w:anchor="section_38917d35404040a79ad61d6b07d983f4">
        <w:r>
          <w:rPr>
            <w:rStyle w:val="Hyperlink"/>
          </w:rPr>
          <w:t>ApplicationVersion (Application Versi</w:t>
        </w:r>
        <w:r>
          <w:rPr>
            <w:rStyle w:val="Hyperlink"/>
          </w:rPr>
          <w:t>on)</w:t>
        </w:r>
      </w:hyperlink>
      <w:r>
        <w:t xml:space="preserve"> </w:t>
      </w:r>
      <w:r>
        <w:fldChar w:fldCharType="begin"/>
      </w:r>
      <w:r>
        <w:instrText>PAGEREF section_38917d35404040a79ad61d6b07d983f4</w:instrText>
      </w:r>
      <w:r>
        <w:fldChar w:fldCharType="separate"/>
      </w:r>
      <w:r>
        <w:rPr>
          <w:noProof/>
        </w:rPr>
        <w:t>877</w:t>
      </w:r>
      <w:r>
        <w:fldChar w:fldCharType="end"/>
      </w:r>
    </w:p>
    <w:p w:rsidR="00024C0A" w:rsidRDefault="00694C0F">
      <w:pPr>
        <w:pStyle w:val="indexentry0"/>
      </w:pPr>
      <w:hyperlink w:anchor="section_61e2927d6fad483d9e933a00bb8620fb">
        <w:r>
          <w:rPr>
            <w:rStyle w:val="Hyperlink"/>
          </w:rPr>
          <w:t>applyBreakingRules (Use Legacy Ethiopic and Amharic Line Breaking Rules)</w:t>
        </w:r>
      </w:hyperlink>
      <w:r>
        <w:t xml:space="preserve"> </w:t>
      </w:r>
      <w:r>
        <w:fldChar w:fldCharType="begin"/>
      </w:r>
      <w:r>
        <w:instrText>PAGEREF section_61e2927d6fad483d9e933a00bb8620fb</w:instrText>
      </w:r>
      <w:r>
        <w:fldChar w:fldCharType="separate"/>
      </w:r>
      <w:r>
        <w:rPr>
          <w:noProof/>
        </w:rPr>
        <w:t>163</w:t>
      </w:r>
      <w:r>
        <w:fldChar w:fldCharType="end"/>
      </w:r>
    </w:p>
    <w:p w:rsidR="00024C0A" w:rsidRDefault="00694C0F">
      <w:pPr>
        <w:pStyle w:val="indexentry0"/>
      </w:pPr>
      <w:hyperlink w:anchor="section_1b1344e7a00944f5aa3a4cbb4f752c80">
        <w:r>
          <w:rPr>
            <w:rStyle w:val="Hyperlink"/>
          </w:rPr>
          <w:t>applyToFront (Apply To Front)</w:t>
        </w:r>
      </w:hyperlink>
      <w:r>
        <w:t xml:space="preserve"> </w:t>
      </w:r>
      <w:r>
        <w:fldChar w:fldCharType="begin"/>
      </w:r>
      <w:r>
        <w:instrText>PAGEREF section_1b1344e7a00944f5aa3a4cbb4f752c80</w:instrText>
      </w:r>
      <w:r>
        <w:fldChar w:fldCharType="separate"/>
      </w:r>
      <w:r>
        <w:rPr>
          <w:noProof/>
        </w:rPr>
        <w:t>541</w:t>
      </w:r>
      <w:r>
        <w:fldChar w:fldCharType="end"/>
      </w:r>
    </w:p>
    <w:p w:rsidR="00024C0A" w:rsidRDefault="00694C0F">
      <w:pPr>
        <w:pStyle w:val="indexentry0"/>
      </w:pPr>
      <w:hyperlink w:anchor="section_82ee2e510df44d6a86c46529093bae80">
        <w:r>
          <w:rPr>
            <w:rStyle w:val="Hyperlink"/>
          </w:rPr>
          <w:t>applyToSides (Apply To Sides)</w:t>
        </w:r>
      </w:hyperlink>
      <w:r>
        <w:t xml:space="preserve"> </w:t>
      </w:r>
      <w:r>
        <w:fldChar w:fldCharType="begin"/>
      </w:r>
      <w:r>
        <w:instrText>PAGEREF section_82</w:instrText>
      </w:r>
      <w:r>
        <w:instrText>ee2e510df44d6a86c46529093bae80</w:instrText>
      </w:r>
      <w:r>
        <w:fldChar w:fldCharType="separate"/>
      </w:r>
      <w:r>
        <w:rPr>
          <w:noProof/>
        </w:rPr>
        <w:t>541</w:t>
      </w:r>
      <w:r>
        <w:fldChar w:fldCharType="end"/>
      </w:r>
    </w:p>
    <w:p w:rsidR="00024C0A" w:rsidRDefault="00694C0F">
      <w:pPr>
        <w:pStyle w:val="indexentry0"/>
      </w:pPr>
      <w:hyperlink w:anchor="section_6575023bde01441fa9da8cc9d3b73e99">
        <w:r>
          <w:rPr>
            <w:rStyle w:val="Hyperlink"/>
          </w:rPr>
          <w:t>AppVersion (Application Version)</w:t>
        </w:r>
      </w:hyperlink>
      <w:r>
        <w:t xml:space="preserve"> </w:t>
      </w:r>
      <w:r>
        <w:fldChar w:fldCharType="begin"/>
      </w:r>
      <w:r>
        <w:instrText>PAGEREF section_6575023bde01441fa9da8cc9d3b73e99</w:instrText>
      </w:r>
      <w:r>
        <w:fldChar w:fldCharType="separate"/>
      </w:r>
      <w:r>
        <w:rPr>
          <w:noProof/>
        </w:rPr>
        <w:t>602</w:t>
      </w:r>
      <w:r>
        <w:fldChar w:fldCharType="end"/>
      </w:r>
    </w:p>
    <w:p w:rsidR="00024C0A" w:rsidRDefault="00694C0F">
      <w:pPr>
        <w:pStyle w:val="indexentry0"/>
      </w:pPr>
      <w:hyperlink w:anchor="section_d019f23f597743d8b46399ba8f6784eb">
        <w:r>
          <w:rPr>
            <w:rStyle w:val="Hyperlink"/>
          </w:rPr>
          <w:t>arc (Arc Segm</w:t>
        </w:r>
        <w:r>
          <w:rPr>
            <w:rStyle w:val="Hyperlink"/>
          </w:rPr>
          <w:t>ent)</w:t>
        </w:r>
      </w:hyperlink>
      <w:r>
        <w:t xml:space="preserve"> </w:t>
      </w:r>
      <w:r>
        <w:fldChar w:fldCharType="begin"/>
      </w:r>
      <w:r>
        <w:instrText>PAGEREF section_d019f23f597743d8b46399ba8f6784eb</w:instrText>
      </w:r>
      <w:r>
        <w:fldChar w:fldCharType="separate"/>
      </w:r>
      <w:r>
        <w:rPr>
          <w:noProof/>
        </w:rPr>
        <w:t>629</w:t>
      </w:r>
      <w:r>
        <w:fldChar w:fldCharType="end"/>
      </w:r>
    </w:p>
    <w:p w:rsidR="00024C0A" w:rsidRDefault="00694C0F">
      <w:pPr>
        <w:pStyle w:val="indexentry0"/>
      </w:pPr>
      <w:hyperlink w:anchor="section_29ab25d35428484cb2a3ec691a0bf49f">
        <w:r>
          <w:rPr>
            <w:rStyle w:val="Hyperlink"/>
          </w:rPr>
          <w:t>areaChart (Area Charts)</w:t>
        </w:r>
      </w:hyperlink>
      <w:r>
        <w:t xml:space="preserve"> </w:t>
      </w:r>
      <w:r>
        <w:fldChar w:fldCharType="begin"/>
      </w:r>
      <w:r>
        <w:instrText>PAGEREF section_29ab25d35428484cb2a3ec691a0bf49f</w:instrText>
      </w:r>
      <w:r>
        <w:fldChar w:fldCharType="separate"/>
      </w:r>
      <w:r>
        <w:rPr>
          <w:noProof/>
        </w:rPr>
        <w:t>541</w:t>
      </w:r>
      <w:r>
        <w:fldChar w:fldCharType="end"/>
      </w:r>
    </w:p>
    <w:p w:rsidR="00024C0A" w:rsidRDefault="00694C0F">
      <w:pPr>
        <w:pStyle w:val="indexentry0"/>
      </w:pPr>
      <w:hyperlink w:anchor="section_336b8f05a2344e46bd4e1f94b673f6f5">
        <w:r>
          <w:rPr>
            <w:rStyle w:val="Hyperlink"/>
          </w:rPr>
          <w:t>AREAS</w:t>
        </w:r>
      </w:hyperlink>
      <w:r>
        <w:t xml:space="preserve"> </w:t>
      </w:r>
      <w:r>
        <w:fldChar w:fldCharType="begin"/>
      </w:r>
      <w:r>
        <w:instrText>PAGEREF section_336b8f05a2344e46bd4e1f94b673f6f5</w:instrText>
      </w:r>
      <w:r>
        <w:fldChar w:fldCharType="separate"/>
      </w:r>
      <w:r>
        <w:rPr>
          <w:noProof/>
        </w:rPr>
        <w:t>399</w:t>
      </w:r>
      <w:r>
        <w:fldChar w:fldCharType="end"/>
      </w:r>
    </w:p>
    <w:p w:rsidR="00024C0A" w:rsidRDefault="00694C0F">
      <w:pPr>
        <w:pStyle w:val="indexentry0"/>
      </w:pPr>
      <w:hyperlink w:anchor="section_9fcc6242217f4882b52a7907a0ba0aaa">
        <w:r>
          <w:rPr>
            <w:rStyle w:val="Hyperlink"/>
          </w:rPr>
          <w:t>array (Array)</w:t>
        </w:r>
      </w:hyperlink>
      <w:r>
        <w:t xml:space="preserve"> </w:t>
      </w:r>
      <w:r>
        <w:fldChar w:fldCharType="begin"/>
      </w:r>
      <w:r>
        <w:instrText>PAGEREF section_9fcc6242217f4882b52a7907a0ba0aaa</w:instrText>
      </w:r>
      <w:r>
        <w:fldChar w:fldCharType="separate"/>
      </w:r>
      <w:r>
        <w:rPr>
          <w:noProof/>
        </w:rPr>
        <w:t>607</w:t>
      </w:r>
      <w:r>
        <w:fldChar w:fldCharType="end"/>
      </w:r>
    </w:p>
    <w:p w:rsidR="00024C0A" w:rsidRDefault="00694C0F">
      <w:pPr>
        <w:pStyle w:val="indexentry0"/>
      </w:pPr>
      <w:hyperlink w:anchor="section_b2400668ba0d40b38365416d843e5aa4">
        <w:r>
          <w:rPr>
            <w:rStyle w:val="Hyperlink"/>
          </w:rPr>
          <w:t>Arr</w:t>
        </w:r>
        <w:r>
          <w:rPr>
            <w:rStyle w:val="Hyperlink"/>
          </w:rPr>
          <w:t>ay Formulas</w:t>
        </w:r>
      </w:hyperlink>
      <w:r>
        <w:t xml:space="preserve"> </w:t>
      </w:r>
      <w:r>
        <w:fldChar w:fldCharType="begin"/>
      </w:r>
      <w:r>
        <w:instrText>PAGEREF section_b2400668ba0d40b38365416d843e5aa4</w:instrText>
      </w:r>
      <w:r>
        <w:fldChar w:fldCharType="separate"/>
      </w:r>
      <w:r>
        <w:rPr>
          <w:noProof/>
        </w:rPr>
        <w:t>395</w:t>
      </w:r>
      <w:r>
        <w:fldChar w:fldCharType="end"/>
      </w:r>
    </w:p>
    <w:p w:rsidR="00024C0A" w:rsidRDefault="00694C0F">
      <w:pPr>
        <w:pStyle w:val="indexentry0"/>
      </w:pPr>
      <w:hyperlink w:anchor="section_55c9ba7b44644f9a99cc7fbeda431238">
        <w:r>
          <w:rPr>
            <w:rStyle w:val="Hyperlink"/>
          </w:rPr>
          <w:t>ASIN</w:t>
        </w:r>
      </w:hyperlink>
      <w:r>
        <w:t xml:space="preserve"> </w:t>
      </w:r>
      <w:r>
        <w:fldChar w:fldCharType="begin"/>
      </w:r>
      <w:r>
        <w:instrText>PAGEREF section_55c9ba7b44644f9a99cc7fbeda431238</w:instrText>
      </w:r>
      <w:r>
        <w:fldChar w:fldCharType="separate"/>
      </w:r>
      <w:r>
        <w:rPr>
          <w:noProof/>
        </w:rPr>
        <w:t>399</w:t>
      </w:r>
      <w:r>
        <w:fldChar w:fldCharType="end"/>
      </w:r>
    </w:p>
    <w:p w:rsidR="00024C0A" w:rsidRDefault="00694C0F">
      <w:pPr>
        <w:pStyle w:val="indexentry0"/>
      </w:pPr>
      <w:hyperlink w:anchor="section_d07bdd52dae64d1c829af210f455c857">
        <w:r>
          <w:rPr>
            <w:rStyle w:val="Hyperlink"/>
          </w:rPr>
          <w:t>ASINH</w:t>
        </w:r>
      </w:hyperlink>
      <w:r>
        <w:t xml:space="preserve"> </w:t>
      </w:r>
      <w:r>
        <w:fldChar w:fldCharType="begin"/>
      </w:r>
      <w:r>
        <w:instrText>PAGEREF section_d07bdd52dae64d1c829af210f455c857</w:instrText>
      </w:r>
      <w:r>
        <w:fldChar w:fldCharType="separate"/>
      </w:r>
      <w:r>
        <w:rPr>
          <w:noProof/>
        </w:rPr>
        <w:t>399</w:t>
      </w:r>
      <w:r>
        <w:fldChar w:fldCharType="end"/>
      </w:r>
    </w:p>
    <w:p w:rsidR="00024C0A" w:rsidRDefault="00694C0F">
      <w:pPr>
        <w:pStyle w:val="indexentry0"/>
      </w:pPr>
      <w:hyperlink w:anchor="section_170ad2311e1048408355f52ca577c938">
        <w:r>
          <w:rPr>
            <w:rStyle w:val="Hyperlink"/>
          </w:rPr>
          <w:t>ATAN</w:t>
        </w:r>
      </w:hyperlink>
      <w:r>
        <w:t xml:space="preserve"> </w:t>
      </w:r>
      <w:r>
        <w:fldChar w:fldCharType="begin"/>
      </w:r>
      <w:r>
        <w:instrText>PAGEREF section_170ad2311e1048408355f52ca577c938</w:instrText>
      </w:r>
      <w:r>
        <w:fldChar w:fldCharType="separate"/>
      </w:r>
      <w:r>
        <w:rPr>
          <w:noProof/>
        </w:rPr>
        <w:t>399</w:t>
      </w:r>
      <w:r>
        <w:fldChar w:fldCharType="end"/>
      </w:r>
    </w:p>
    <w:p w:rsidR="00024C0A" w:rsidRDefault="00694C0F">
      <w:pPr>
        <w:pStyle w:val="indexentry0"/>
      </w:pPr>
      <w:hyperlink w:anchor="section_ddf1af4005c3432881aa629658ddfbde">
        <w:r>
          <w:rPr>
            <w:rStyle w:val="Hyperlink"/>
          </w:rPr>
          <w:t>ATAN2</w:t>
        </w:r>
      </w:hyperlink>
      <w:r>
        <w:t xml:space="preserve"> </w:t>
      </w:r>
      <w:r>
        <w:fldChar w:fldCharType="begin"/>
      </w:r>
      <w:r>
        <w:instrText>PAGEREF section</w:instrText>
      </w:r>
      <w:r>
        <w:instrText>_ddf1af4005c3432881aa629658ddfbde</w:instrText>
      </w:r>
      <w:r>
        <w:fldChar w:fldCharType="separate"/>
      </w:r>
      <w:r>
        <w:rPr>
          <w:noProof/>
        </w:rPr>
        <w:t>399</w:t>
      </w:r>
      <w:r>
        <w:fldChar w:fldCharType="end"/>
      </w:r>
    </w:p>
    <w:p w:rsidR="00024C0A" w:rsidRDefault="00694C0F">
      <w:pPr>
        <w:pStyle w:val="indexentry0"/>
      </w:pPr>
      <w:hyperlink w:anchor="section_55e01b00ed934498b4e5b0bc0abdf97d">
        <w:r>
          <w:rPr>
            <w:rStyle w:val="Hyperlink"/>
          </w:rPr>
          <w:t>attachedTemplate (Attached Document Template)</w:t>
        </w:r>
      </w:hyperlink>
      <w:r>
        <w:t xml:space="preserve"> </w:t>
      </w:r>
      <w:r>
        <w:fldChar w:fldCharType="begin"/>
      </w:r>
      <w:r>
        <w:instrText>PAGEREF section_55e01b00ed934498b4e5b0bc0abdf97d</w:instrText>
      </w:r>
      <w:r>
        <w:fldChar w:fldCharType="separate"/>
      </w:r>
      <w:r>
        <w:rPr>
          <w:noProof/>
        </w:rPr>
        <w:t>147</w:t>
      </w:r>
      <w:r>
        <w:fldChar w:fldCharType="end"/>
      </w:r>
    </w:p>
    <w:p w:rsidR="00024C0A" w:rsidRDefault="00694C0F">
      <w:pPr>
        <w:pStyle w:val="indexentry0"/>
      </w:pPr>
      <w:hyperlink w:anchor="section_e006e9091e854c368d77cf9b67ea3ed4">
        <w:r>
          <w:rPr>
            <w:rStyle w:val="Hyperlink"/>
          </w:rPr>
          <w:t>attr (Custom XML Attribute)</w:t>
        </w:r>
      </w:hyperlink>
      <w:r>
        <w:t xml:space="preserve"> </w:t>
      </w:r>
      <w:r>
        <w:fldChar w:fldCharType="begin"/>
      </w:r>
      <w:r>
        <w:instrText>PAGEREF section_e006e9091e854c368d77cf9b67ea3ed4</w:instrText>
      </w:r>
      <w:r>
        <w:fldChar w:fldCharType="separate"/>
      </w:r>
      <w:r>
        <w:rPr>
          <w:noProof/>
        </w:rPr>
        <w:t>95</w:t>
      </w:r>
      <w:r>
        <w:fldChar w:fldCharType="end"/>
      </w:r>
    </w:p>
    <w:p w:rsidR="00024C0A" w:rsidRDefault="00694C0F">
      <w:pPr>
        <w:pStyle w:val="indexentry0"/>
      </w:pPr>
      <w:hyperlink w:anchor="section_ea1b29f078d34ebdbc039dfcde093719">
        <w:r>
          <w:rPr>
            <w:rStyle w:val="Hyperlink"/>
          </w:rPr>
          <w:t>attr (Smart Tag Property)</w:t>
        </w:r>
      </w:hyperlink>
      <w:r>
        <w:t xml:space="preserve"> </w:t>
      </w:r>
      <w:r>
        <w:fldChar w:fldCharType="begin"/>
      </w:r>
      <w:r>
        <w:instrText>PAGEREF section_ea1b29f0</w:instrText>
      </w:r>
      <w:r>
        <w:instrText>78d34ebdbc039dfcde093719</w:instrText>
      </w:r>
      <w:r>
        <w:fldChar w:fldCharType="separate"/>
      </w:r>
      <w:r>
        <w:rPr>
          <w:noProof/>
        </w:rPr>
        <w:t>96</w:t>
      </w:r>
      <w:r>
        <w:fldChar w:fldCharType="end"/>
      </w:r>
    </w:p>
    <w:p w:rsidR="00024C0A" w:rsidRDefault="00694C0F">
      <w:pPr>
        <w:pStyle w:val="indexentry0"/>
      </w:pPr>
      <w:hyperlink w:anchor="section_05a36e72bcdd46a6874e2eb1fa7573b4">
        <w:r>
          <w:rPr>
            <w:rStyle w:val="Hyperlink"/>
          </w:rPr>
          <w:t>attrName (Attribute Name)</w:t>
        </w:r>
      </w:hyperlink>
      <w:r>
        <w:t xml:space="preserve"> </w:t>
      </w:r>
      <w:r>
        <w:fldChar w:fldCharType="begin"/>
      </w:r>
      <w:r>
        <w:instrText>PAGEREF section_05a36e72bcdd46a6874e2eb1fa7573b4</w:instrText>
      </w:r>
      <w:r>
        <w:fldChar w:fldCharType="separate"/>
      </w:r>
      <w:r>
        <w:rPr>
          <w:noProof/>
        </w:rPr>
        <w:t>474</w:t>
      </w:r>
      <w:r>
        <w:fldChar w:fldCharType="end"/>
      </w:r>
    </w:p>
    <w:p w:rsidR="00024C0A" w:rsidRDefault="00694C0F">
      <w:pPr>
        <w:pStyle w:val="indexentry0"/>
      </w:pPr>
      <w:hyperlink w:anchor="section_4a1209e295d54d5ba857218466d24576">
        <w:r>
          <w:rPr>
            <w:rStyle w:val="Hyperlink"/>
          </w:rPr>
          <w:t>audio (Audio)</w:t>
        </w:r>
      </w:hyperlink>
      <w:r>
        <w:t xml:space="preserve"> </w:t>
      </w:r>
      <w:r>
        <w:fldChar w:fldCharType="begin"/>
      </w:r>
      <w:r>
        <w:instrText>PAGEREF se</w:instrText>
      </w:r>
      <w:r>
        <w:instrText>ction_4a1209e295d54d5ba857218466d24576</w:instrText>
      </w:r>
      <w:r>
        <w:fldChar w:fldCharType="separate"/>
      </w:r>
      <w:r>
        <w:rPr>
          <w:noProof/>
        </w:rPr>
        <w:t>475</w:t>
      </w:r>
      <w:r>
        <w:fldChar w:fldCharType="end"/>
      </w:r>
    </w:p>
    <w:p w:rsidR="00024C0A" w:rsidRDefault="00694C0F">
      <w:pPr>
        <w:pStyle w:val="indexentry0"/>
      </w:pPr>
      <w:hyperlink w:anchor="section_04a1b8020388451d8a1adc77e7b6e7fb">
        <w:r>
          <w:rPr>
            <w:rStyle w:val="Hyperlink"/>
          </w:rPr>
          <w:t>audioFile (Audio from File)</w:t>
        </w:r>
      </w:hyperlink>
      <w:r>
        <w:t xml:space="preserve"> </w:t>
      </w:r>
      <w:r>
        <w:fldChar w:fldCharType="begin"/>
      </w:r>
      <w:r>
        <w:instrText>PAGEREF section_04a1b8020388451d8a1adc77e7b6e7fb</w:instrText>
      </w:r>
      <w:r>
        <w:fldChar w:fldCharType="separate"/>
      </w:r>
      <w:r>
        <w:rPr>
          <w:noProof/>
        </w:rPr>
        <w:t>503</w:t>
      </w:r>
      <w:r>
        <w:fldChar w:fldCharType="end"/>
      </w:r>
    </w:p>
    <w:p w:rsidR="00024C0A" w:rsidRDefault="00694C0F">
      <w:pPr>
        <w:pStyle w:val="indexentry0"/>
      </w:pPr>
      <w:hyperlink w:anchor="section_dc04613da39c452b8c1088e60dd06752">
        <w:r>
          <w:rPr>
            <w:rStyle w:val="Hyperlink"/>
          </w:rPr>
          <w:t>AUTHOR</w:t>
        </w:r>
      </w:hyperlink>
      <w:r>
        <w:t xml:space="preserve"> </w:t>
      </w:r>
      <w:r>
        <w:fldChar w:fldCharType="begin"/>
      </w:r>
      <w:r>
        <w:instrText>P</w:instrText>
      </w:r>
      <w:r>
        <w:instrText>AGEREF section_dc04613da39c452b8c1088e60dd06752</w:instrText>
      </w:r>
      <w:r>
        <w:fldChar w:fldCharType="separate"/>
      </w:r>
      <w:r>
        <w:rPr>
          <w:noProof/>
        </w:rPr>
        <w:t>184</w:t>
      </w:r>
      <w:r>
        <w:fldChar w:fldCharType="end"/>
      </w:r>
    </w:p>
    <w:p w:rsidR="00024C0A" w:rsidRDefault="00694C0F">
      <w:pPr>
        <w:pStyle w:val="indexentry0"/>
      </w:pPr>
      <w:hyperlink w:anchor="section_ae3bd10a0ef44b559ee681b26f8229b0">
        <w:r>
          <w:rPr>
            <w:rStyle w:val="Hyperlink"/>
          </w:rPr>
          <w:t>author (Author)</w:t>
        </w:r>
      </w:hyperlink>
      <w:r>
        <w:t xml:space="preserve"> </w:t>
      </w:r>
      <w:r>
        <w:fldChar w:fldCharType="begin"/>
      </w:r>
      <w:r>
        <w:instrText>PAGEREF section_ae3bd10a0ef44b559ee681b26f8229b0</w:instrText>
      </w:r>
      <w:r>
        <w:fldChar w:fldCharType="separate"/>
      </w:r>
      <w:r>
        <w:rPr>
          <w:noProof/>
        </w:rPr>
        <w:t>294</w:t>
      </w:r>
      <w:r>
        <w:fldChar w:fldCharType="end"/>
      </w:r>
    </w:p>
    <w:p w:rsidR="00024C0A" w:rsidRDefault="00694C0F">
      <w:pPr>
        <w:pStyle w:val="indexentry0"/>
      </w:pPr>
      <w:hyperlink w:anchor="section_d28cd33776744dc087ae1050611b4c38">
        <w:r>
          <w:rPr>
            <w:rStyle w:val="Hyperlink"/>
          </w:rPr>
          <w:t>Author (Contributors List)</w:t>
        </w:r>
      </w:hyperlink>
      <w:r>
        <w:t xml:space="preserve"> </w:t>
      </w:r>
      <w:r>
        <w:fldChar w:fldCharType="begin"/>
      </w:r>
      <w:r>
        <w:instrText>PAGEREF section_d28cd33776744dc087ae1050611b4c38</w:instrText>
      </w:r>
      <w:r>
        <w:fldChar w:fldCharType="separate"/>
      </w:r>
      <w:r>
        <w:rPr>
          <w:noProof/>
        </w:rPr>
        <w:t>609</w:t>
      </w:r>
      <w:r>
        <w:fldChar w:fldCharType="end"/>
      </w:r>
    </w:p>
    <w:p w:rsidR="00024C0A" w:rsidRDefault="00694C0F">
      <w:pPr>
        <w:pStyle w:val="indexentry0"/>
      </w:pPr>
      <w:hyperlink w:anchor="section_362f7de5917646c1aff7c3e44bc9566b">
        <w:r>
          <w:rPr>
            <w:rStyle w:val="Hyperlink"/>
          </w:rPr>
          <w:t>autoCaption (Single Automatic Captioning Setting)</w:t>
        </w:r>
      </w:hyperlink>
      <w:r>
        <w:t xml:space="preserve"> </w:t>
      </w:r>
      <w:r>
        <w:fldChar w:fldCharType="begin"/>
      </w:r>
      <w:r>
        <w:instrText>PAGEREF section_362f7de5917646c1aff7c3e44bc9566b</w:instrText>
      </w:r>
      <w:r>
        <w:fldChar w:fldCharType="separate"/>
      </w:r>
      <w:r>
        <w:rPr>
          <w:noProof/>
        </w:rPr>
        <w:t>148</w:t>
      </w:r>
      <w:r>
        <w:fldChar w:fldCharType="end"/>
      </w:r>
    </w:p>
    <w:p w:rsidR="00024C0A" w:rsidRDefault="00694C0F">
      <w:pPr>
        <w:pStyle w:val="indexentry0"/>
      </w:pPr>
      <w:hyperlink w:anchor="section_908fbb07b5d74019b3ca50db0007af8f">
        <w:r>
          <w:rPr>
            <w:rStyle w:val="Hyperlink"/>
          </w:rPr>
          <w:t>autoCaptions (Automatic Captioning Settings)</w:t>
        </w:r>
      </w:hyperlink>
      <w:r>
        <w:t xml:space="preserve"> </w:t>
      </w:r>
      <w:r>
        <w:fldChar w:fldCharType="begin"/>
      </w:r>
      <w:r>
        <w:instrText>PAGEREF section_908fbb07b5d74019b3ca50db0007af8f</w:instrText>
      </w:r>
      <w:r>
        <w:fldChar w:fldCharType="separate"/>
      </w:r>
      <w:r>
        <w:rPr>
          <w:noProof/>
        </w:rPr>
        <w:t>148</w:t>
      </w:r>
      <w:r>
        <w:fldChar w:fldCharType="end"/>
      </w:r>
    </w:p>
    <w:p w:rsidR="00024C0A" w:rsidRDefault="00694C0F">
      <w:pPr>
        <w:pStyle w:val="indexentry0"/>
      </w:pPr>
      <w:hyperlink w:anchor="section_63d742473a6643a9a08a3e59be0fdb06">
        <w:r>
          <w:rPr>
            <w:rStyle w:val="Hyperlink"/>
          </w:rPr>
          <w:t>AutoFill (AutoFill)</w:t>
        </w:r>
      </w:hyperlink>
      <w:r>
        <w:t xml:space="preserve"> </w:t>
      </w:r>
      <w:r>
        <w:fldChar w:fldCharType="begin"/>
      </w:r>
      <w:r>
        <w:instrText>PAGEREF section_63d7424</w:instrText>
      </w:r>
      <w:r>
        <w:instrText>73a6643a9a08a3e59be0fdb06</w:instrText>
      </w:r>
      <w:r>
        <w:fldChar w:fldCharType="separate"/>
      </w:r>
      <w:r>
        <w:rPr>
          <w:noProof/>
        </w:rPr>
        <w:t>673</w:t>
      </w:r>
      <w:r>
        <w:fldChar w:fldCharType="end"/>
      </w:r>
    </w:p>
    <w:p w:rsidR="00024C0A" w:rsidRDefault="00694C0F">
      <w:pPr>
        <w:pStyle w:val="indexentry0"/>
      </w:pPr>
      <w:hyperlink w:anchor="section_bea4050c46424a089c462b323e796a19">
        <w:r>
          <w:rPr>
            <w:rStyle w:val="Hyperlink"/>
          </w:rPr>
          <w:t>autoFormatOverride (Allow Automatic Formatting to Override Formatting Protection Settings)</w:t>
        </w:r>
      </w:hyperlink>
      <w:r>
        <w:t xml:space="preserve"> </w:t>
      </w:r>
      <w:r>
        <w:fldChar w:fldCharType="begin"/>
      </w:r>
      <w:r>
        <w:instrText>PAGEREF section_bea4050c46424a089c462b323e796a19</w:instrText>
      </w:r>
      <w:r>
        <w:fldChar w:fldCharType="separate"/>
      </w:r>
      <w:r>
        <w:rPr>
          <w:noProof/>
        </w:rPr>
        <w:t>148</w:t>
      </w:r>
      <w:r>
        <w:fldChar w:fldCharType="end"/>
      </w:r>
    </w:p>
    <w:p w:rsidR="00024C0A" w:rsidRDefault="00694C0F">
      <w:pPr>
        <w:pStyle w:val="indexentry0"/>
      </w:pPr>
      <w:hyperlink w:anchor="section_fb34f55c3cd4489eab45e117e443347c">
        <w:r>
          <w:rPr>
            <w:rStyle w:val="Hyperlink"/>
          </w:rPr>
          <w:t>AutoLine (AutoLine)</w:t>
        </w:r>
      </w:hyperlink>
      <w:r>
        <w:t xml:space="preserve"> </w:t>
      </w:r>
      <w:r>
        <w:fldChar w:fldCharType="begin"/>
      </w:r>
      <w:r>
        <w:instrText>PAGEREF section_fb34f55c3cd4489eab45e117e443347c</w:instrText>
      </w:r>
      <w:r>
        <w:fldChar w:fldCharType="separate"/>
      </w:r>
      <w:r>
        <w:rPr>
          <w:noProof/>
        </w:rPr>
        <w:t>673</w:t>
      </w:r>
      <w:r>
        <w:fldChar w:fldCharType="end"/>
      </w:r>
    </w:p>
    <w:p w:rsidR="00024C0A" w:rsidRDefault="00694C0F">
      <w:pPr>
        <w:pStyle w:val="indexentry0"/>
      </w:pPr>
      <w:hyperlink w:anchor="section_ab0c2ca5b61542639ea03377b5329517">
        <w:r>
          <w:rPr>
            <w:rStyle w:val="Hyperlink"/>
          </w:rPr>
          <w:t>AUTONUM</w:t>
        </w:r>
      </w:hyperlink>
      <w:r>
        <w:t xml:space="preserve"> </w:t>
      </w:r>
      <w:r>
        <w:fldChar w:fldCharType="begin"/>
      </w:r>
      <w:r>
        <w:instrText>PAGEREF section_ab0c2ca5b61542639ea03377b5329517</w:instrText>
      </w:r>
      <w:r>
        <w:fldChar w:fldCharType="separate"/>
      </w:r>
      <w:r>
        <w:rPr>
          <w:noProof/>
        </w:rPr>
        <w:t>626</w:t>
      </w:r>
      <w:r>
        <w:fldChar w:fldCharType="end"/>
      </w:r>
    </w:p>
    <w:p w:rsidR="00024C0A" w:rsidRDefault="00694C0F">
      <w:pPr>
        <w:pStyle w:val="indexentry0"/>
      </w:pPr>
      <w:hyperlink w:anchor="section_35f9f6146f2f473e8f68b51ac0246a53">
        <w:r>
          <w:rPr>
            <w:rStyle w:val="Hyperlink"/>
          </w:rPr>
          <w:t>AUTONUMLGL</w:t>
        </w:r>
      </w:hyperlink>
      <w:r>
        <w:t xml:space="preserve"> </w:t>
      </w:r>
      <w:r>
        <w:fldChar w:fldCharType="begin"/>
      </w:r>
      <w:r>
        <w:instrText>PAGEREF section_35f9f6146f2f473e8f68b51ac0246a53</w:instrText>
      </w:r>
      <w:r>
        <w:fldChar w:fldCharType="separate"/>
      </w:r>
      <w:r>
        <w:rPr>
          <w:noProof/>
        </w:rPr>
        <w:t>626</w:t>
      </w:r>
      <w:r>
        <w:fldChar w:fldCharType="end"/>
      </w:r>
    </w:p>
    <w:p w:rsidR="00024C0A" w:rsidRDefault="00694C0F">
      <w:pPr>
        <w:pStyle w:val="indexentry0"/>
      </w:pPr>
      <w:hyperlink w:anchor="section_092c97b32d3444398583365f6a1bd7bf">
        <w:r>
          <w:rPr>
            <w:rStyle w:val="Hyperlink"/>
          </w:rPr>
          <w:t>AUTONUMOUT</w:t>
        </w:r>
      </w:hyperlink>
      <w:r>
        <w:t xml:space="preserve"> </w:t>
      </w:r>
      <w:r>
        <w:fldChar w:fldCharType="begin"/>
      </w:r>
      <w:r>
        <w:instrText>PAGEREF section_092c97b32d3444398583365f6a1bd7bf</w:instrText>
      </w:r>
      <w:r>
        <w:fldChar w:fldCharType="separate"/>
      </w:r>
      <w:r>
        <w:rPr>
          <w:noProof/>
        </w:rPr>
        <w:t>626</w:t>
      </w:r>
      <w:r>
        <w:fldChar w:fldCharType="end"/>
      </w:r>
    </w:p>
    <w:p w:rsidR="00024C0A" w:rsidRDefault="00694C0F">
      <w:pPr>
        <w:pStyle w:val="indexentry0"/>
      </w:pPr>
      <w:hyperlink w:anchor="section_97f8900f7cbd47c5878b7b80c8599cb3">
        <w:r>
          <w:rPr>
            <w:rStyle w:val="Hyperlink"/>
          </w:rPr>
          <w:t>autoRedefine (Automatically Merge User Formatting Into Style Definition)</w:t>
        </w:r>
      </w:hyperlink>
      <w:r>
        <w:t xml:space="preserve"> </w:t>
      </w:r>
      <w:r>
        <w:fldChar w:fldCharType="begin"/>
      </w:r>
      <w:r>
        <w:instrText>PAGEREF section_97f8900f7cbd47c5878b7b80c8599cb3</w:instrText>
      </w:r>
      <w:r>
        <w:fldChar w:fldCharType="separate"/>
      </w:r>
      <w:r>
        <w:rPr>
          <w:noProof/>
        </w:rPr>
        <w:t>105</w:t>
      </w:r>
      <w:r>
        <w:fldChar w:fldCharType="end"/>
      </w:r>
    </w:p>
    <w:p w:rsidR="00024C0A" w:rsidRDefault="00694C0F">
      <w:pPr>
        <w:pStyle w:val="indexentry0"/>
      </w:pPr>
      <w:hyperlink w:anchor="section_cb3929d36f594f6198a7bdf1698a2001">
        <w:r>
          <w:rPr>
            <w:rStyle w:val="Hyperlink"/>
          </w:rPr>
          <w:t>AutoScale (Font AutoScale)</w:t>
        </w:r>
      </w:hyperlink>
      <w:r>
        <w:t xml:space="preserve"> </w:t>
      </w:r>
      <w:r>
        <w:fldChar w:fldCharType="begin"/>
      </w:r>
      <w:r>
        <w:instrText>PAGEREF section_cb3929d36f594f6198a7bdf1698a2001</w:instrText>
      </w:r>
      <w:r>
        <w:fldChar w:fldCharType="separate"/>
      </w:r>
      <w:r>
        <w:rPr>
          <w:noProof/>
        </w:rPr>
        <w:t>673</w:t>
      </w:r>
      <w:r>
        <w:fldChar w:fldCharType="end"/>
      </w:r>
    </w:p>
    <w:p w:rsidR="00024C0A" w:rsidRDefault="00694C0F">
      <w:pPr>
        <w:pStyle w:val="indexentry0"/>
      </w:pPr>
      <w:hyperlink w:anchor="section_b5a44a1cafab4a5dbc8d46ab2edc18fc">
        <w:r>
          <w:rPr>
            <w:rStyle w:val="Hyperlink"/>
          </w:rPr>
          <w:t>autoSortScope (AutoSort Scope)</w:t>
        </w:r>
      </w:hyperlink>
      <w:r>
        <w:t xml:space="preserve"> </w:t>
      </w:r>
      <w:r>
        <w:fldChar w:fldCharType="begin"/>
      </w:r>
      <w:r>
        <w:instrText>PAGEREF section_b5a44a1cafab4a5dbc8d46ab2edc18fc</w:instrText>
      </w:r>
      <w:r>
        <w:fldChar w:fldCharType="separate"/>
      </w:r>
      <w:r>
        <w:rPr>
          <w:noProof/>
        </w:rPr>
        <w:t>325</w:t>
      </w:r>
      <w:r>
        <w:fldChar w:fldCharType="end"/>
      </w:r>
    </w:p>
    <w:p w:rsidR="00024C0A" w:rsidRDefault="00694C0F">
      <w:pPr>
        <w:pStyle w:val="indexentry0"/>
      </w:pPr>
      <w:hyperlink w:anchor="section_94796dcb15124541b4d09514d4070913">
        <w:r>
          <w:rPr>
            <w:rStyle w:val="Hyperlink"/>
          </w:rPr>
          <w:t>autoTitleDeleted (Auto Title Is Deleted)</w:t>
        </w:r>
      </w:hyperlink>
      <w:r>
        <w:t xml:space="preserve"> </w:t>
      </w:r>
      <w:r>
        <w:fldChar w:fldCharType="begin"/>
      </w:r>
      <w:r>
        <w:instrText>PAGEREF section_94796dcb15124541b4d09514d4070913</w:instrText>
      </w:r>
      <w:r>
        <w:fldChar w:fldCharType="separate"/>
      </w:r>
      <w:r>
        <w:rPr>
          <w:noProof/>
        </w:rPr>
        <w:t>541</w:t>
      </w:r>
      <w:r>
        <w:fldChar w:fldCharType="end"/>
      </w:r>
    </w:p>
    <w:p w:rsidR="00024C0A" w:rsidRDefault="00694C0F">
      <w:pPr>
        <w:pStyle w:val="indexentry0"/>
      </w:pPr>
      <w:hyperlink w:anchor="section_87e066baf82f46a8b339df874e598d8b">
        <w:r>
          <w:rPr>
            <w:rStyle w:val="Hyperlink"/>
          </w:rPr>
          <w:t>AVEDEV</w:t>
        </w:r>
      </w:hyperlink>
      <w:r>
        <w:t xml:space="preserve"> </w:t>
      </w:r>
      <w:r>
        <w:fldChar w:fldCharType="begin"/>
      </w:r>
      <w:r>
        <w:instrText>PAGEREF section_87e066baf82f46a8b339df874e598d8b</w:instrText>
      </w:r>
      <w:r>
        <w:fldChar w:fldCharType="separate"/>
      </w:r>
      <w:r>
        <w:rPr>
          <w:noProof/>
        </w:rPr>
        <w:t>400</w:t>
      </w:r>
      <w:r>
        <w:fldChar w:fldCharType="end"/>
      </w:r>
    </w:p>
    <w:p w:rsidR="00024C0A" w:rsidRDefault="00694C0F">
      <w:pPr>
        <w:pStyle w:val="indexentry0"/>
      </w:pPr>
      <w:hyperlink w:anchor="section_5a181518d30945439a4ab4b2742e7e3e">
        <w:r>
          <w:rPr>
            <w:rStyle w:val="Hyperlink"/>
          </w:rPr>
          <w:t>AVERAGEA</w:t>
        </w:r>
      </w:hyperlink>
      <w:r>
        <w:t xml:space="preserve"> </w:t>
      </w:r>
      <w:r>
        <w:fldChar w:fldCharType="begin"/>
      </w:r>
      <w:r>
        <w:instrText>PAGEREF section_5a181518d30945439a4ab4b2742e7e3e</w:instrText>
      </w:r>
      <w:r>
        <w:fldChar w:fldCharType="separate"/>
      </w:r>
      <w:r>
        <w:rPr>
          <w:noProof/>
        </w:rPr>
        <w:t>400</w:t>
      </w:r>
      <w:r>
        <w:fldChar w:fldCharType="end"/>
      </w:r>
    </w:p>
    <w:p w:rsidR="00024C0A" w:rsidRDefault="00694C0F">
      <w:pPr>
        <w:pStyle w:val="indexentry0"/>
      </w:pPr>
      <w:hyperlink w:anchor="section_f1017281c95349629dde313dfc64d4c9">
        <w:r>
          <w:rPr>
            <w:rStyle w:val="Hyperlink"/>
          </w:rPr>
          <w:t>AVERAGEIF</w:t>
        </w:r>
      </w:hyperlink>
      <w:r>
        <w:t xml:space="preserve"> </w:t>
      </w:r>
      <w:r>
        <w:fldChar w:fldCharType="begin"/>
      </w:r>
      <w:r>
        <w:instrText>PAGEREF section_f1017281c95349629dde313dfc64d4c9</w:instrText>
      </w:r>
      <w:r>
        <w:fldChar w:fldCharType="separate"/>
      </w:r>
      <w:r>
        <w:rPr>
          <w:noProof/>
        </w:rPr>
        <w:t>400</w:t>
      </w:r>
      <w:r>
        <w:fldChar w:fldCharType="end"/>
      </w:r>
    </w:p>
    <w:p w:rsidR="00024C0A" w:rsidRDefault="00694C0F">
      <w:pPr>
        <w:pStyle w:val="indexentry0"/>
      </w:pPr>
      <w:hyperlink w:anchor="section_fa2b6805c3cd4386866483d1635cd18e">
        <w:r>
          <w:rPr>
            <w:rStyle w:val="Hyperlink"/>
          </w:rPr>
          <w:t>AVERAGEIFS</w:t>
        </w:r>
      </w:hyperlink>
      <w:r>
        <w:t xml:space="preserve"> </w:t>
      </w:r>
      <w:r>
        <w:fldChar w:fldCharType="begin"/>
      </w:r>
      <w:r>
        <w:instrText>PAGEREF section_fa2b6805c3cd4386866483d1635cd18e</w:instrText>
      </w:r>
      <w:r>
        <w:fldChar w:fldCharType="separate"/>
      </w:r>
      <w:r>
        <w:rPr>
          <w:noProof/>
        </w:rPr>
        <w:t>400</w:t>
      </w:r>
      <w:r>
        <w:fldChar w:fldCharType="end"/>
      </w:r>
    </w:p>
    <w:p w:rsidR="00024C0A" w:rsidRDefault="00694C0F">
      <w:pPr>
        <w:pStyle w:val="indexentry0"/>
      </w:pPr>
      <w:hyperlink w:anchor="section_089f849ffcd64fa0a28135aa6a432a16">
        <w:r>
          <w:rPr>
            <w:rStyle w:val="Hyperlink"/>
          </w:rPr>
          <w:t>axId (Axis ID)</w:t>
        </w:r>
      </w:hyperlink>
      <w:r>
        <w:t xml:space="preserve"> </w:t>
      </w:r>
      <w:r>
        <w:fldChar w:fldCharType="begin"/>
      </w:r>
      <w:r>
        <w:instrText>PAGEREF section_089f849ffcd64fa0a28135aa6a432a16</w:instrText>
      </w:r>
      <w:r>
        <w:fldChar w:fldCharType="separate"/>
      </w:r>
      <w:r>
        <w:rPr>
          <w:noProof/>
        </w:rPr>
        <w:t>541</w:t>
      </w:r>
      <w:r>
        <w:fldChar w:fldCharType="end"/>
      </w:r>
    </w:p>
    <w:p w:rsidR="00024C0A" w:rsidRDefault="00694C0F">
      <w:pPr>
        <w:pStyle w:val="indexentry0"/>
      </w:pPr>
      <w:hyperlink w:anchor="section_5989881ed2de44f387928dbded2e2b00">
        <w:r>
          <w:rPr>
            <w:rStyle w:val="Hyperlink"/>
          </w:rPr>
          <w:t>axPos (Axis Position)</w:t>
        </w:r>
      </w:hyperlink>
      <w:r>
        <w:t xml:space="preserve"> </w:t>
      </w:r>
      <w:r>
        <w:fldChar w:fldCharType="begin"/>
      </w:r>
      <w:r>
        <w:instrText>PAGEREF section_5989881ed2de44f387928dbded2e2b00</w:instrText>
      </w:r>
      <w:r>
        <w:fldChar w:fldCharType="separate"/>
      </w:r>
      <w:r>
        <w:rPr>
          <w:noProof/>
        </w:rPr>
        <w:t>541</w:t>
      </w:r>
      <w:r>
        <w:fldChar w:fldCharType="end"/>
      </w:r>
    </w:p>
    <w:p w:rsidR="00024C0A" w:rsidRDefault="00024C0A">
      <w:pPr>
        <w:spacing w:before="0" w:after="0"/>
        <w:rPr>
          <w:sz w:val="16"/>
        </w:rPr>
      </w:pPr>
    </w:p>
    <w:p w:rsidR="00024C0A" w:rsidRDefault="00694C0F">
      <w:pPr>
        <w:pStyle w:val="indexheader"/>
      </w:pPr>
      <w:r>
        <w:t>B</w:t>
      </w:r>
    </w:p>
    <w:p w:rsidR="00024C0A" w:rsidRDefault="00024C0A">
      <w:pPr>
        <w:spacing w:before="0" w:after="0"/>
        <w:rPr>
          <w:sz w:val="16"/>
        </w:rPr>
      </w:pPr>
    </w:p>
    <w:p w:rsidR="00024C0A" w:rsidRDefault="00694C0F">
      <w:pPr>
        <w:pStyle w:val="indexentry0"/>
      </w:pPr>
      <w:hyperlink w:anchor="section_03b9695ffd69435d90e6b1069aadf291">
        <w:r>
          <w:rPr>
            <w:rStyle w:val="Hyperlink"/>
          </w:rPr>
          <w:t>b (Bold)</w:t>
        </w:r>
      </w:hyperlink>
      <w:r>
        <w:t xml:space="preserve"> </w:t>
      </w:r>
      <w:r>
        <w:fldChar w:fldCharType="begin"/>
      </w:r>
      <w:r>
        <w:instrText>PAGEREF section_03b9695ffd69435d90e6b1069aadf291</w:instrText>
      </w:r>
      <w:r>
        <w:fldChar w:fldCharType="separate"/>
      </w:r>
      <w:r>
        <w:rPr>
          <w:noProof/>
        </w:rPr>
        <w:t>68</w:t>
      </w:r>
      <w:r>
        <w:fldChar w:fldCharType="end"/>
      </w:r>
    </w:p>
    <w:p w:rsidR="00024C0A" w:rsidRDefault="00694C0F">
      <w:pPr>
        <w:pStyle w:val="indexentry0"/>
      </w:pPr>
      <w:hyperlink w:anchor="section_514d639a764c4e05bdc894b684557d40">
        <w:r>
          <w:rPr>
            <w:rStyle w:val="Hyperlink"/>
          </w:rPr>
          <w:t>b (Boolean)</w:t>
        </w:r>
      </w:hyperlink>
      <w:r>
        <w:t xml:space="preserve"> </w:t>
      </w:r>
      <w:r>
        <w:fldChar w:fldCharType="begin"/>
      </w:r>
      <w:r>
        <w:instrText>PAGEREF section_514d639a764c4e05bdc894b684557d40</w:instrText>
      </w:r>
      <w:r>
        <w:fldChar w:fldCharType="separate"/>
      </w:r>
      <w:r>
        <w:rPr>
          <w:noProof/>
        </w:rPr>
        <w:t>325</w:t>
      </w:r>
      <w:r>
        <w:fldChar w:fldCharType="end"/>
      </w:r>
    </w:p>
    <w:p w:rsidR="00024C0A" w:rsidRDefault="00694C0F">
      <w:pPr>
        <w:pStyle w:val="indexentry0"/>
      </w:pPr>
      <w:hyperlink w:anchor="section_b46805cae0154353ae88e595d03e6249">
        <w:r>
          <w:rPr>
            <w:rStyle w:val="Hyperlink"/>
          </w:rPr>
          <w:t>backdrop (Backdrop Plane)</w:t>
        </w:r>
      </w:hyperlink>
      <w:r>
        <w:t xml:space="preserve"> </w:t>
      </w:r>
      <w:r>
        <w:fldChar w:fldCharType="begin"/>
      </w:r>
      <w:r>
        <w:instrText>PAGEREF section_b46805cae0154353ae88e595d03e6249</w:instrText>
      </w:r>
      <w:r>
        <w:fldChar w:fldCharType="separate"/>
      </w:r>
      <w:r>
        <w:rPr>
          <w:noProof/>
        </w:rPr>
        <w:t>506</w:t>
      </w:r>
      <w:r>
        <w:fldChar w:fldCharType="end"/>
      </w:r>
    </w:p>
    <w:p w:rsidR="00024C0A" w:rsidRDefault="00694C0F">
      <w:pPr>
        <w:pStyle w:val="indexentry0"/>
      </w:pPr>
      <w:r>
        <w:t>background (Document Background) (</w:t>
      </w:r>
      <w:hyperlink w:anchor="section_1e504bbc5f604aa1a4c0f8f3a925e6f7">
        <w:r>
          <w:rPr>
            <w:rStyle w:val="Hyperlink"/>
          </w:rPr>
          <w:t>section 2.1.35</w:t>
        </w:r>
      </w:hyperlink>
      <w:r>
        <w:t xml:space="preserve"> </w:t>
      </w:r>
      <w:r>
        <w:fldChar w:fldCharType="begin"/>
      </w:r>
      <w:r>
        <w:instrText>PAGEREF section_1e504bbc5f604aa1a4c0f8f3a925e6f7</w:instrText>
      </w:r>
      <w:r>
        <w:fldChar w:fldCharType="separate"/>
      </w:r>
      <w:r>
        <w:rPr>
          <w:noProof/>
        </w:rPr>
        <w:t>62</w:t>
      </w:r>
      <w:r>
        <w:fldChar w:fldCharType="end"/>
      </w:r>
      <w:r>
        <w:t xml:space="preserve">, </w:t>
      </w:r>
      <w:hyperlink w:anchor="section_96eb7103c6714831928122e64798c2e5">
        <w:r>
          <w:rPr>
            <w:rStyle w:val="Hyperlink"/>
          </w:rPr>
          <w:t>section 2.1.1785</w:t>
        </w:r>
      </w:hyperlink>
      <w:r>
        <w:t xml:space="preserve"> </w:t>
      </w:r>
      <w:r>
        <w:fldChar w:fldCharType="begin"/>
      </w:r>
      <w:r>
        <w:instrText>PAGEREF section_96eb7103c6714831928122e64798c2e5</w:instrText>
      </w:r>
      <w:r>
        <w:fldChar w:fldCharType="separate"/>
      </w:r>
      <w:r>
        <w:rPr>
          <w:noProof/>
        </w:rPr>
        <w:t>637</w:t>
      </w:r>
      <w:r>
        <w:fldChar w:fldCharType="end"/>
      </w:r>
      <w:r>
        <w:t>)</w:t>
      </w:r>
    </w:p>
    <w:p w:rsidR="00024C0A" w:rsidRDefault="00694C0F">
      <w:pPr>
        <w:pStyle w:val="indexentry0"/>
      </w:pPr>
      <w:hyperlink w:anchor="section_51f8d9b9d15b478a91c5e8b09907af84">
        <w:r>
          <w:rPr>
            <w:rStyle w:val="Hyperlink"/>
          </w:rPr>
          <w:t>backWall (Back Wall)</w:t>
        </w:r>
      </w:hyperlink>
      <w:r>
        <w:t xml:space="preserve"> </w:t>
      </w:r>
      <w:r>
        <w:fldChar w:fldCharType="begin"/>
      </w:r>
      <w:r>
        <w:instrText>PAGEREF section_51f8d9b9d15b478a91c5e8b09907af84</w:instrText>
      </w:r>
      <w:r>
        <w:fldChar w:fldCharType="separate"/>
      </w:r>
      <w:r>
        <w:rPr>
          <w:noProof/>
        </w:rPr>
        <w:t>541</w:t>
      </w:r>
      <w:r>
        <w:fldChar w:fldCharType="end"/>
      </w:r>
    </w:p>
    <w:p w:rsidR="00024C0A" w:rsidRDefault="00694C0F">
      <w:pPr>
        <w:pStyle w:val="indexentry0"/>
      </w:pPr>
      <w:hyperlink w:anchor="section_69fafe694f3e42d888d53955a6e9be2e">
        <w:r>
          <w:rPr>
            <w:rStyle w:val="Hyperlink"/>
          </w:rPr>
          <w:t>backward (Backward)</w:t>
        </w:r>
      </w:hyperlink>
      <w:r>
        <w:t xml:space="preserve"> </w:t>
      </w:r>
      <w:r>
        <w:fldChar w:fldCharType="begin"/>
      </w:r>
      <w:r>
        <w:instrText>PAGEREF section_69fafe694f3e42d888d53955a6e9be2e</w:instrText>
      </w:r>
      <w:r>
        <w:fldChar w:fldCharType="separate"/>
      </w:r>
      <w:r>
        <w:rPr>
          <w:noProof/>
        </w:rPr>
        <w:t>542</w:t>
      </w:r>
      <w:r>
        <w:fldChar w:fldCharType="end"/>
      </w:r>
    </w:p>
    <w:p w:rsidR="00024C0A" w:rsidRDefault="00694C0F">
      <w:pPr>
        <w:pStyle w:val="indexentry0"/>
      </w:pPr>
      <w:hyperlink w:anchor="section_0d2ec861539b4f569674d3fe690db170">
        <w:r>
          <w:rPr>
            <w:rStyle w:val="Hyperlink"/>
          </w:rPr>
          <w:t>band1V (Band 1 Vertical)</w:t>
        </w:r>
      </w:hyperlink>
      <w:r>
        <w:t xml:space="preserve"> </w:t>
      </w:r>
      <w:r>
        <w:fldChar w:fldCharType="begin"/>
      </w:r>
      <w:r>
        <w:instrText>PAGEREF section_0d2ec861539b4f569674d3fe690db170</w:instrText>
      </w:r>
      <w:r>
        <w:fldChar w:fldCharType="separate"/>
      </w:r>
      <w:r>
        <w:rPr>
          <w:noProof/>
        </w:rPr>
        <w:t>505</w:t>
      </w:r>
      <w:r>
        <w:fldChar w:fldCharType="end"/>
      </w:r>
    </w:p>
    <w:p w:rsidR="00024C0A" w:rsidRDefault="00694C0F">
      <w:pPr>
        <w:pStyle w:val="indexentry0"/>
      </w:pPr>
      <w:hyperlink w:anchor="section_4e29decef19447f18182fe86ecd01c53">
        <w:r>
          <w:rPr>
            <w:rStyle w:val="Hyperlink"/>
          </w:rPr>
          <w:t>band2V (Band 2 Vertical)</w:t>
        </w:r>
      </w:hyperlink>
      <w:r>
        <w:t xml:space="preserve"> </w:t>
      </w:r>
      <w:r>
        <w:fldChar w:fldCharType="begin"/>
      </w:r>
      <w:r>
        <w:instrText>PAGEREF section_4e29decef19447f18182fe86ecd01c53</w:instrText>
      </w:r>
      <w:r>
        <w:fldChar w:fldCharType="separate"/>
      </w:r>
      <w:r>
        <w:rPr>
          <w:noProof/>
        </w:rPr>
        <w:t>505</w:t>
      </w:r>
      <w:r>
        <w:fldChar w:fldCharType="end"/>
      </w:r>
    </w:p>
    <w:p w:rsidR="00024C0A" w:rsidRDefault="00694C0F">
      <w:pPr>
        <w:pStyle w:val="indexentry0"/>
      </w:pPr>
      <w:hyperlink w:anchor="section_7bcd4b6150c64a1a88cf5a29bdeb03cc">
        <w:r>
          <w:rPr>
            <w:rStyle w:val="Hyperlink"/>
          </w:rPr>
          <w:t>bandFmts (Band Formats)</w:t>
        </w:r>
      </w:hyperlink>
      <w:r>
        <w:t xml:space="preserve"> </w:t>
      </w:r>
      <w:r>
        <w:fldChar w:fldCharType="begin"/>
      </w:r>
      <w:r>
        <w:instrText>PAGEREF section_7bcd4b6150c64a1a88cf</w:instrText>
      </w:r>
      <w:r>
        <w:instrText>5a29bdeb03cc</w:instrText>
      </w:r>
      <w:r>
        <w:fldChar w:fldCharType="separate"/>
      </w:r>
      <w:r>
        <w:rPr>
          <w:noProof/>
        </w:rPr>
        <w:t>542</w:t>
      </w:r>
      <w:r>
        <w:fldChar w:fldCharType="end"/>
      </w:r>
    </w:p>
    <w:p w:rsidR="00024C0A" w:rsidRDefault="00694C0F">
      <w:pPr>
        <w:pStyle w:val="indexentry0"/>
      </w:pPr>
      <w:hyperlink w:anchor="section_2d093a56814f4f548b5d6551356e7636">
        <w:r>
          <w:rPr>
            <w:rStyle w:val="Hyperlink"/>
          </w:rPr>
          <w:t>bar (Bar)</w:t>
        </w:r>
      </w:hyperlink>
      <w:r>
        <w:t xml:space="preserve"> </w:t>
      </w:r>
      <w:r>
        <w:fldChar w:fldCharType="begin"/>
      </w:r>
      <w:r>
        <w:instrText>PAGEREF section_2d093a56814f4f548b5d6551356e7636</w:instrText>
      </w:r>
      <w:r>
        <w:fldChar w:fldCharType="separate"/>
      </w:r>
      <w:r>
        <w:rPr>
          <w:noProof/>
        </w:rPr>
        <w:t>591</w:t>
      </w:r>
      <w:r>
        <w:fldChar w:fldCharType="end"/>
      </w:r>
    </w:p>
    <w:p w:rsidR="00024C0A" w:rsidRDefault="00694C0F">
      <w:pPr>
        <w:pStyle w:val="indexentry0"/>
      </w:pPr>
      <w:hyperlink w:anchor="section_c2a35f2312704ca699140fa440d56fdf">
        <w:r>
          <w:rPr>
            <w:rStyle w:val="Hyperlink"/>
          </w:rPr>
          <w:t>bar (Paragraph Border Between Facing Pages)</w:t>
        </w:r>
      </w:hyperlink>
      <w:r>
        <w:t xml:space="preserve"> </w:t>
      </w:r>
      <w:r>
        <w:fldChar w:fldCharType="begin"/>
      </w:r>
      <w:r>
        <w:instrText>PAGEREF section_c2a35f2312704ca699140fa440d56fdf</w:instrText>
      </w:r>
      <w:r>
        <w:fldChar w:fldCharType="separate"/>
      </w:r>
      <w:r>
        <w:rPr>
          <w:noProof/>
        </w:rPr>
        <w:t>62</w:t>
      </w:r>
      <w:r>
        <w:fldChar w:fldCharType="end"/>
      </w:r>
    </w:p>
    <w:p w:rsidR="00024C0A" w:rsidRDefault="00694C0F">
      <w:pPr>
        <w:pStyle w:val="indexentry0"/>
      </w:pPr>
      <w:hyperlink w:anchor="section_46a9db165bfa4d0f86ad196bf11c9230">
        <w:r>
          <w:rPr>
            <w:rStyle w:val="Hyperlink"/>
          </w:rPr>
          <w:t>bar3DChart (3D Bar Charts)</w:t>
        </w:r>
      </w:hyperlink>
      <w:r>
        <w:t xml:space="preserve"> </w:t>
      </w:r>
      <w:r>
        <w:fldChar w:fldCharType="begin"/>
      </w:r>
      <w:r>
        <w:instrText>PAGEREF section_46a9db165bfa4d0f86ad196bf11c9230</w:instrText>
      </w:r>
      <w:r>
        <w:fldChar w:fldCharType="separate"/>
      </w:r>
      <w:r>
        <w:rPr>
          <w:noProof/>
        </w:rPr>
        <w:t>542</w:t>
      </w:r>
      <w:r>
        <w:fldChar w:fldCharType="end"/>
      </w:r>
    </w:p>
    <w:p w:rsidR="00024C0A" w:rsidRDefault="00694C0F">
      <w:pPr>
        <w:pStyle w:val="indexentry0"/>
      </w:pPr>
      <w:hyperlink w:anchor="section_4f86580b39ca45558ef844b2f35f3648">
        <w:r>
          <w:rPr>
            <w:rStyle w:val="Hyperlink"/>
          </w:rPr>
          <w:t>b</w:t>
        </w:r>
        <w:r>
          <w:rPr>
            <w:rStyle w:val="Hyperlink"/>
          </w:rPr>
          <w:t>arChart (Bar Charts)</w:t>
        </w:r>
      </w:hyperlink>
      <w:r>
        <w:t xml:space="preserve"> </w:t>
      </w:r>
      <w:r>
        <w:fldChar w:fldCharType="begin"/>
      </w:r>
      <w:r>
        <w:instrText>PAGEREF section_4f86580b39ca45558ef844b2f35f3648</w:instrText>
      </w:r>
      <w:r>
        <w:fldChar w:fldCharType="separate"/>
      </w:r>
      <w:r>
        <w:rPr>
          <w:noProof/>
        </w:rPr>
        <w:t>542</w:t>
      </w:r>
      <w:r>
        <w:fldChar w:fldCharType="end"/>
      </w:r>
    </w:p>
    <w:p w:rsidR="00024C0A" w:rsidRDefault="00694C0F">
      <w:pPr>
        <w:pStyle w:val="indexentry0"/>
      </w:pPr>
      <w:hyperlink w:anchor="section_76e151b8985a4d058301dbf681ba84d1">
        <w:r>
          <w:rPr>
            <w:rStyle w:val="Hyperlink"/>
          </w:rPr>
          <w:t>BARCODE</w:t>
        </w:r>
      </w:hyperlink>
      <w:r>
        <w:t xml:space="preserve"> </w:t>
      </w:r>
      <w:r>
        <w:fldChar w:fldCharType="begin"/>
      </w:r>
      <w:r>
        <w:instrText>PAGEREF section_76e151b8985a4d058301dbf681ba84d1</w:instrText>
      </w:r>
      <w:r>
        <w:fldChar w:fldCharType="separate"/>
      </w:r>
      <w:r>
        <w:rPr>
          <w:noProof/>
        </w:rPr>
        <w:t>627</w:t>
      </w:r>
      <w:r>
        <w:fldChar w:fldCharType="end"/>
      </w:r>
    </w:p>
    <w:p w:rsidR="00024C0A" w:rsidRDefault="00694C0F">
      <w:pPr>
        <w:pStyle w:val="indexentry0"/>
      </w:pPr>
      <w:hyperlink w:anchor="section_e99b822aa75c4a268b420136b3acee5b">
        <w:r>
          <w:rPr>
            <w:rStyle w:val="Hyperlink"/>
          </w:rPr>
          <w:t>barDir (Bar Direction)</w:t>
        </w:r>
      </w:hyperlink>
      <w:r>
        <w:t xml:space="preserve"> </w:t>
      </w:r>
      <w:r>
        <w:fldChar w:fldCharType="begin"/>
      </w:r>
      <w:r>
        <w:instrText>PAGEREF section_e99b822aa75c4a268b420136b3acee5b</w:instrText>
      </w:r>
      <w:r>
        <w:fldChar w:fldCharType="separate"/>
      </w:r>
      <w:r>
        <w:rPr>
          <w:noProof/>
        </w:rPr>
        <w:t>542</w:t>
      </w:r>
      <w:r>
        <w:fldChar w:fldCharType="end"/>
      </w:r>
    </w:p>
    <w:p w:rsidR="00024C0A" w:rsidRDefault="00694C0F">
      <w:pPr>
        <w:pStyle w:val="indexentry0"/>
      </w:pPr>
      <w:hyperlink w:anchor="section_fdb9a8e819b248e78ba1f39f9f5e7e0f">
        <w:r>
          <w:rPr>
            <w:rStyle w:val="Hyperlink"/>
          </w:rPr>
          <w:t>barPr (Bar Properties)</w:t>
        </w:r>
      </w:hyperlink>
      <w:r>
        <w:t xml:space="preserve"> </w:t>
      </w:r>
      <w:r>
        <w:fldChar w:fldCharType="begin"/>
      </w:r>
      <w:r>
        <w:instrText>PAGEREF section_fdb9a8e819b248e78ba1f39f9f5e7e0f</w:instrText>
      </w:r>
      <w:r>
        <w:fldChar w:fldCharType="separate"/>
      </w:r>
      <w:r>
        <w:rPr>
          <w:noProof/>
        </w:rPr>
        <w:t>591</w:t>
      </w:r>
      <w:r>
        <w:fldChar w:fldCharType="end"/>
      </w:r>
    </w:p>
    <w:p w:rsidR="00024C0A" w:rsidRDefault="00694C0F">
      <w:pPr>
        <w:pStyle w:val="indexentry0"/>
      </w:pPr>
      <w:hyperlink w:anchor="section_51a9f19520db446fa805e9860978c28d">
        <w:r>
          <w:rPr>
            <w:rStyle w:val="Hyperlink"/>
          </w:rPr>
          <w:t>basedOn (Parent Style ID)</w:t>
        </w:r>
      </w:hyperlink>
      <w:r>
        <w:t xml:space="preserve"> </w:t>
      </w:r>
      <w:r>
        <w:fldChar w:fldCharType="begin"/>
      </w:r>
      <w:r>
        <w:instrText>PAGEREF section_51a9f19520db446fa805e9860978c28d</w:instrText>
      </w:r>
      <w:r>
        <w:fldChar w:fldCharType="separate"/>
      </w:r>
      <w:r>
        <w:rPr>
          <w:noProof/>
        </w:rPr>
        <w:t>105</w:t>
      </w:r>
      <w:r>
        <w:fldChar w:fldCharType="end"/>
      </w:r>
    </w:p>
    <w:p w:rsidR="00024C0A" w:rsidRDefault="00694C0F">
      <w:pPr>
        <w:pStyle w:val="indexentry0"/>
      </w:pPr>
      <w:hyperlink w:anchor="section_db8d16282e6c46e4962ed25e9bab147f">
        <w:r>
          <w:rPr>
            <w:rStyle w:val="Hyperlink"/>
          </w:rPr>
          <w:t>baseJc (Matrix Base Justification)</w:t>
        </w:r>
      </w:hyperlink>
      <w:r>
        <w:t xml:space="preserve"> </w:t>
      </w:r>
      <w:r>
        <w:fldChar w:fldCharType="begin"/>
      </w:r>
      <w:r>
        <w:instrText>PAGEREF section_db8d16282e6c46e4962ed25e9bab147f</w:instrText>
      </w:r>
      <w:r>
        <w:fldChar w:fldCharType="separate"/>
      </w:r>
      <w:r>
        <w:rPr>
          <w:noProof/>
        </w:rPr>
        <w:t>591</w:t>
      </w:r>
      <w:r>
        <w:fldChar w:fldCharType="end"/>
      </w:r>
    </w:p>
    <w:p w:rsidR="00024C0A" w:rsidRDefault="00694C0F">
      <w:pPr>
        <w:pStyle w:val="indexentry0"/>
      </w:pPr>
      <w:hyperlink w:anchor="section_3c14676e4afc4b11a492ca6c326c60c6">
        <w:r>
          <w:rPr>
            <w:rStyle w:val="Hyperlink"/>
          </w:rPr>
          <w:t>Basic Format</w:t>
        </w:r>
      </w:hyperlink>
      <w:r>
        <w:t xml:space="preserve"> </w:t>
      </w:r>
      <w:r>
        <w:fldChar w:fldCharType="begin"/>
      </w:r>
      <w:r>
        <w:instrText>PAGEREF section_3c14676e4afc4b11a492ca6c326c60c6</w:instrText>
      </w:r>
      <w:r>
        <w:fldChar w:fldCharType="separate"/>
      </w:r>
      <w:r>
        <w:rPr>
          <w:noProof/>
        </w:rPr>
        <w:t>887</w:t>
      </w:r>
      <w:r>
        <w:fldChar w:fldCharType="end"/>
      </w:r>
    </w:p>
    <w:p w:rsidR="00024C0A" w:rsidRDefault="00694C0F">
      <w:pPr>
        <w:pStyle w:val="indexentry0"/>
      </w:pPr>
      <w:hyperlink w:anchor="section_264d37471f124370b25cee2a812acf68">
        <w:r>
          <w:rPr>
            <w:rStyle w:val="Hyperlink"/>
          </w:rPr>
          <w:t>bCs (Complex Script Bold)</w:t>
        </w:r>
      </w:hyperlink>
      <w:r>
        <w:t xml:space="preserve"> </w:t>
      </w:r>
      <w:r>
        <w:fldChar w:fldCharType="begin"/>
      </w:r>
      <w:r>
        <w:instrText>PAGEREF section_264d37471f124370b25cee2a81</w:instrText>
      </w:r>
      <w:r>
        <w:instrText>2acf68</w:instrText>
      </w:r>
      <w:r>
        <w:fldChar w:fldCharType="separate"/>
      </w:r>
      <w:r>
        <w:rPr>
          <w:noProof/>
        </w:rPr>
        <w:t>68</w:t>
      </w:r>
      <w:r>
        <w:fldChar w:fldCharType="end"/>
      </w:r>
    </w:p>
    <w:p w:rsidR="00024C0A" w:rsidRDefault="00694C0F">
      <w:pPr>
        <w:pStyle w:val="indexentry0"/>
      </w:pPr>
      <w:hyperlink w:anchor="section_c8b2f58e1a33450e982faa321cad291c">
        <w:r>
          <w:rPr>
            <w:rStyle w:val="Hyperlink"/>
          </w:rPr>
          <w:t>bdo (Bidirectional Override)</w:t>
        </w:r>
      </w:hyperlink>
      <w:r>
        <w:t xml:space="preserve"> </w:t>
      </w:r>
      <w:r>
        <w:fldChar w:fldCharType="begin"/>
      </w:r>
      <w:r>
        <w:instrText>PAGEREF section_c8b2f58e1a33450e982faa321cad291c</w:instrText>
      </w:r>
      <w:r>
        <w:fldChar w:fldCharType="separate"/>
      </w:r>
      <w:r>
        <w:rPr>
          <w:noProof/>
        </w:rPr>
        <w:t>68</w:t>
      </w:r>
      <w:r>
        <w:fldChar w:fldCharType="end"/>
      </w:r>
    </w:p>
    <w:p w:rsidR="00024C0A" w:rsidRDefault="00694C0F">
      <w:pPr>
        <w:pStyle w:val="indexentry0"/>
      </w:pPr>
      <w:hyperlink w:anchor="section_f38eb4e2d0424a4eb8633fac712e250a">
        <w:r>
          <w:rPr>
            <w:rStyle w:val="Hyperlink"/>
          </w:rPr>
          <w:t>bdr (Text Border)</w:t>
        </w:r>
      </w:hyperlink>
      <w:r>
        <w:t xml:space="preserve"> </w:t>
      </w:r>
      <w:r>
        <w:fldChar w:fldCharType="begin"/>
      </w:r>
      <w:r>
        <w:instrText>PAGEREF section_f38eb4e2d0424a4eb8633fac712e250a</w:instrText>
      </w:r>
      <w:r>
        <w:fldChar w:fldCharType="separate"/>
      </w:r>
      <w:r>
        <w:rPr>
          <w:noProof/>
        </w:rPr>
        <w:t>68</w:t>
      </w:r>
      <w:r>
        <w:fldChar w:fldCharType="end"/>
      </w:r>
    </w:p>
    <w:p w:rsidR="00024C0A" w:rsidRDefault="00694C0F">
      <w:pPr>
        <w:pStyle w:val="indexentry0"/>
      </w:pPr>
      <w:hyperlink w:anchor="section_70f9e4b103cb4ed981b041d3f00b784a">
        <w:r>
          <w:rPr>
            <w:rStyle w:val="Hyperlink"/>
          </w:rPr>
          <w:t>BESSELI</w:t>
        </w:r>
      </w:hyperlink>
      <w:r>
        <w:t xml:space="preserve"> </w:t>
      </w:r>
      <w:r>
        <w:fldChar w:fldCharType="begin"/>
      </w:r>
      <w:r>
        <w:instrText>PAGEREF section_70f9e4b103cb4ed981b041d3f00b784a</w:instrText>
      </w:r>
      <w:r>
        <w:fldChar w:fldCharType="separate"/>
      </w:r>
      <w:r>
        <w:rPr>
          <w:noProof/>
        </w:rPr>
        <w:t>400</w:t>
      </w:r>
      <w:r>
        <w:fldChar w:fldCharType="end"/>
      </w:r>
    </w:p>
    <w:p w:rsidR="00024C0A" w:rsidRDefault="00694C0F">
      <w:pPr>
        <w:pStyle w:val="indexentry0"/>
      </w:pPr>
      <w:hyperlink w:anchor="section_cba98ecda06642cd986df3c9e3fd1065">
        <w:r>
          <w:rPr>
            <w:rStyle w:val="Hyperlink"/>
          </w:rPr>
          <w:t>BESSELJ</w:t>
        </w:r>
      </w:hyperlink>
      <w:r>
        <w:t xml:space="preserve"> </w:t>
      </w:r>
      <w:r>
        <w:fldChar w:fldCharType="begin"/>
      </w:r>
      <w:r>
        <w:instrText>PAGEREF se</w:instrText>
      </w:r>
      <w:r>
        <w:instrText>ction_cba98ecda06642cd986df3c9e3fd1065</w:instrText>
      </w:r>
      <w:r>
        <w:fldChar w:fldCharType="separate"/>
      </w:r>
      <w:r>
        <w:rPr>
          <w:noProof/>
        </w:rPr>
        <w:t>400</w:t>
      </w:r>
      <w:r>
        <w:fldChar w:fldCharType="end"/>
      </w:r>
    </w:p>
    <w:p w:rsidR="00024C0A" w:rsidRDefault="00694C0F">
      <w:pPr>
        <w:pStyle w:val="indexentry0"/>
      </w:pPr>
      <w:hyperlink w:anchor="section_509516a4b37541f59aee9361ecba272e">
        <w:r>
          <w:rPr>
            <w:rStyle w:val="Hyperlink"/>
          </w:rPr>
          <w:t>BESSELK</w:t>
        </w:r>
      </w:hyperlink>
      <w:r>
        <w:t xml:space="preserve"> </w:t>
      </w:r>
      <w:r>
        <w:fldChar w:fldCharType="begin"/>
      </w:r>
      <w:r>
        <w:instrText>PAGEREF section_509516a4b37541f59aee9361ecba272e</w:instrText>
      </w:r>
      <w:r>
        <w:fldChar w:fldCharType="separate"/>
      </w:r>
      <w:r>
        <w:rPr>
          <w:noProof/>
        </w:rPr>
        <w:t>401</w:t>
      </w:r>
      <w:r>
        <w:fldChar w:fldCharType="end"/>
      </w:r>
    </w:p>
    <w:p w:rsidR="00024C0A" w:rsidRDefault="00694C0F">
      <w:pPr>
        <w:pStyle w:val="indexentry0"/>
      </w:pPr>
      <w:hyperlink w:anchor="section_29abcd8bb4a4493eb205654196e8be98">
        <w:r>
          <w:rPr>
            <w:rStyle w:val="Hyperlink"/>
          </w:rPr>
          <w:t>BESSELY</w:t>
        </w:r>
      </w:hyperlink>
      <w:r>
        <w:t xml:space="preserve"> </w:t>
      </w:r>
      <w:r>
        <w:fldChar w:fldCharType="begin"/>
      </w:r>
      <w:r>
        <w:instrText>PAGEREF section_29ab</w:instrText>
      </w:r>
      <w:r>
        <w:instrText>cd8bb4a4493eb205654196e8be98</w:instrText>
      </w:r>
      <w:r>
        <w:fldChar w:fldCharType="separate"/>
      </w:r>
      <w:r>
        <w:rPr>
          <w:noProof/>
        </w:rPr>
        <w:t>401</w:t>
      </w:r>
      <w:r>
        <w:fldChar w:fldCharType="end"/>
      </w:r>
    </w:p>
    <w:p w:rsidR="00024C0A" w:rsidRDefault="00694C0F">
      <w:pPr>
        <w:pStyle w:val="indexentry0"/>
      </w:pPr>
      <w:hyperlink w:anchor="section_bd7ec0e8c2c84ca7a9d3866ff5d30380">
        <w:r>
          <w:rPr>
            <w:rStyle w:val="Hyperlink"/>
          </w:rPr>
          <w:t>BETAINV</w:t>
        </w:r>
      </w:hyperlink>
      <w:r>
        <w:t xml:space="preserve"> </w:t>
      </w:r>
      <w:r>
        <w:fldChar w:fldCharType="begin"/>
      </w:r>
      <w:r>
        <w:instrText>PAGEREF section_bd7ec0e8c2c84ca7a9d3866ff5d30380</w:instrText>
      </w:r>
      <w:r>
        <w:fldChar w:fldCharType="separate"/>
      </w:r>
      <w:r>
        <w:rPr>
          <w:noProof/>
        </w:rPr>
        <w:t>401</w:t>
      </w:r>
      <w:r>
        <w:fldChar w:fldCharType="end"/>
      </w:r>
    </w:p>
    <w:p w:rsidR="00024C0A" w:rsidRDefault="00694C0F">
      <w:pPr>
        <w:pStyle w:val="indexentry0"/>
      </w:pPr>
      <w:hyperlink w:anchor="section_d8f1b25b44f64d97a3de49aae9bc6e25">
        <w:r>
          <w:rPr>
            <w:rStyle w:val="Hyperlink"/>
          </w:rPr>
          <w:t>between (Paragraph Border Between Identical Paragraphs)</w:t>
        </w:r>
      </w:hyperlink>
      <w:r>
        <w:t xml:space="preserve"> </w:t>
      </w:r>
      <w:r>
        <w:fldChar w:fldCharType="begin"/>
      </w:r>
      <w:r>
        <w:instrText>PAGEREF section_d8f1b25b44f64d97a3de49aae9bc6e25</w:instrText>
      </w:r>
      <w:r>
        <w:fldChar w:fldCharType="separate"/>
      </w:r>
      <w:r>
        <w:rPr>
          <w:noProof/>
        </w:rPr>
        <w:t>63</w:t>
      </w:r>
      <w:r>
        <w:fldChar w:fldCharType="end"/>
      </w:r>
    </w:p>
    <w:p w:rsidR="00024C0A" w:rsidRDefault="00694C0F">
      <w:pPr>
        <w:pStyle w:val="indexentry0"/>
      </w:pPr>
      <w:hyperlink w:anchor="section_906e0084f87a40fbac4d2202269203a5">
        <w:r>
          <w:rPr>
            <w:rStyle w:val="Hyperlink"/>
          </w:rPr>
          <w:t>bevelB (Bottom Bevel)</w:t>
        </w:r>
      </w:hyperlink>
      <w:r>
        <w:t xml:space="preserve"> </w:t>
      </w:r>
      <w:r>
        <w:fldChar w:fldCharType="begin"/>
      </w:r>
      <w:r>
        <w:instrText>PAGEREF section_906e0084f87a40fbac4d2202269203a5</w:instrText>
      </w:r>
      <w:r>
        <w:fldChar w:fldCharType="separate"/>
      </w:r>
      <w:r>
        <w:rPr>
          <w:noProof/>
        </w:rPr>
        <w:t>506</w:t>
      </w:r>
      <w:r>
        <w:fldChar w:fldCharType="end"/>
      </w:r>
    </w:p>
    <w:p w:rsidR="00024C0A" w:rsidRDefault="00694C0F">
      <w:pPr>
        <w:pStyle w:val="indexentry0"/>
      </w:pPr>
      <w:hyperlink w:anchor="section_2dfb75cddd064bbe8baa2ac80ebd13b3">
        <w:r>
          <w:rPr>
            <w:rStyle w:val="Hyperlink"/>
          </w:rPr>
          <w:t>bevelT (Top Bevel)</w:t>
        </w:r>
      </w:hyperlink>
      <w:r>
        <w:t xml:space="preserve"> </w:t>
      </w:r>
      <w:r>
        <w:fldChar w:fldCharType="begin"/>
      </w:r>
      <w:r>
        <w:instrText>PAGEREF section_2dfb75cddd064bbe8baa2ac80ebd13b3</w:instrText>
      </w:r>
      <w:r>
        <w:fldChar w:fldCharType="separate"/>
      </w:r>
      <w:r>
        <w:rPr>
          <w:noProof/>
        </w:rPr>
        <w:t>506</w:t>
      </w:r>
      <w:r>
        <w:fldChar w:fldCharType="end"/>
      </w:r>
    </w:p>
    <w:p w:rsidR="00024C0A" w:rsidRDefault="00694C0F">
      <w:pPr>
        <w:pStyle w:val="indexentry0"/>
      </w:pPr>
      <w:hyperlink w:anchor="section_71e8b4e0e70d416aa249c870d41e6d5e">
        <w:r>
          <w:rPr>
            <w:rStyle w:val="Hyperlink"/>
          </w:rPr>
          <w:t>bg (Slide Background)</w:t>
        </w:r>
      </w:hyperlink>
      <w:r>
        <w:t xml:space="preserve"> </w:t>
      </w:r>
      <w:r>
        <w:fldChar w:fldCharType="begin"/>
      </w:r>
      <w:r>
        <w:instrText>PAGEREF section_71e8b4e0e70d416aa249c870d41e6d</w:instrText>
      </w:r>
      <w:r>
        <w:instrText>5e</w:instrText>
      </w:r>
      <w:r>
        <w:fldChar w:fldCharType="separate"/>
      </w:r>
      <w:r>
        <w:rPr>
          <w:noProof/>
        </w:rPr>
        <w:t>466</w:t>
      </w:r>
      <w:r>
        <w:fldChar w:fldCharType="end"/>
      </w:r>
    </w:p>
    <w:p w:rsidR="00024C0A" w:rsidRDefault="00694C0F">
      <w:pPr>
        <w:pStyle w:val="indexentry0"/>
      </w:pPr>
      <w:hyperlink w:anchor="section_2b0a8b9d392f46c1b3c1c5a5f98f8e69">
        <w:r>
          <w:rPr>
            <w:rStyle w:val="Hyperlink"/>
          </w:rPr>
          <w:t>bgColor (Background Color)</w:t>
        </w:r>
      </w:hyperlink>
      <w:r>
        <w:t xml:space="preserve"> </w:t>
      </w:r>
      <w:r>
        <w:fldChar w:fldCharType="begin"/>
      </w:r>
      <w:r>
        <w:instrText>PAGEREF section_2b0a8b9d392f46c1b3c1c5a5f98f8e69</w:instrText>
      </w:r>
      <w:r>
        <w:fldChar w:fldCharType="separate"/>
      </w:r>
      <w:r>
        <w:rPr>
          <w:noProof/>
        </w:rPr>
        <w:t>295</w:t>
      </w:r>
      <w:r>
        <w:fldChar w:fldCharType="end"/>
      </w:r>
    </w:p>
    <w:p w:rsidR="00024C0A" w:rsidRDefault="00694C0F">
      <w:pPr>
        <w:pStyle w:val="indexentry0"/>
      </w:pPr>
      <w:hyperlink w:anchor="section_c1fadbc6d06348b9b57ea043969cf6c5">
        <w:r>
          <w:rPr>
            <w:rStyle w:val="Hyperlink"/>
          </w:rPr>
          <w:t>bgPr (Background Properties)</w:t>
        </w:r>
      </w:hyperlink>
      <w:r>
        <w:t xml:space="preserve"> </w:t>
      </w:r>
      <w:r>
        <w:fldChar w:fldCharType="begin"/>
      </w:r>
      <w:r>
        <w:instrText>PAGEREF section_c1fadbc6d06348b9b57ea043969cf6c5</w:instrText>
      </w:r>
      <w:r>
        <w:fldChar w:fldCharType="separate"/>
      </w:r>
      <w:r>
        <w:rPr>
          <w:noProof/>
        </w:rPr>
        <w:t>466</w:t>
      </w:r>
      <w:r>
        <w:fldChar w:fldCharType="end"/>
      </w:r>
    </w:p>
    <w:p w:rsidR="00024C0A" w:rsidRDefault="00694C0F">
      <w:pPr>
        <w:pStyle w:val="indexentry0"/>
      </w:pPr>
      <w:hyperlink w:anchor="section_1aed887d26154119b901ce3ec798cccf">
        <w:r>
          <w:rPr>
            <w:rStyle w:val="Hyperlink"/>
          </w:rPr>
          <w:t>BIBLIOGRAPHY</w:t>
        </w:r>
      </w:hyperlink>
      <w:r>
        <w:t xml:space="preserve"> </w:t>
      </w:r>
      <w:r>
        <w:fldChar w:fldCharType="begin"/>
      </w:r>
      <w:r>
        <w:instrText>PAGEREF section_1aed887d26154119b901ce3ec798cccf</w:instrText>
      </w:r>
      <w:r>
        <w:fldChar w:fldCharType="separate"/>
      </w:r>
      <w:r>
        <w:rPr>
          <w:noProof/>
        </w:rPr>
        <w:t>184</w:t>
      </w:r>
      <w:r>
        <w:fldChar w:fldCharType="end"/>
      </w:r>
    </w:p>
    <w:p w:rsidR="00024C0A" w:rsidRDefault="00694C0F">
      <w:pPr>
        <w:pStyle w:val="indexentry0"/>
      </w:pPr>
      <w:hyperlink w:anchor="section_0180f12be6a54c2e8b69af24f35f9cb0">
        <w:r>
          <w:rPr>
            <w:rStyle w:val="Hyperlink"/>
          </w:rPr>
          <w:t>BIDIOUTLINE</w:t>
        </w:r>
      </w:hyperlink>
      <w:r>
        <w:t xml:space="preserve"> </w:t>
      </w:r>
      <w:r>
        <w:fldChar w:fldCharType="begin"/>
      </w:r>
      <w:r>
        <w:instrText>P</w:instrText>
      </w:r>
      <w:r>
        <w:instrText>AGEREF section_0180f12be6a54c2e8b69af24f35f9cb0</w:instrText>
      </w:r>
      <w:r>
        <w:fldChar w:fldCharType="separate"/>
      </w:r>
      <w:r>
        <w:rPr>
          <w:noProof/>
        </w:rPr>
        <w:t>627</w:t>
      </w:r>
      <w:r>
        <w:fldChar w:fldCharType="end"/>
      </w:r>
    </w:p>
    <w:p w:rsidR="00024C0A" w:rsidRDefault="00694C0F">
      <w:pPr>
        <w:pStyle w:val="indexentry0"/>
      </w:pPr>
      <w:hyperlink w:anchor="section_233dfa68d1f34d56a781bfef71cc74fa">
        <w:r>
          <w:rPr>
            <w:rStyle w:val="Hyperlink"/>
          </w:rPr>
          <w:t>bidiVisual (Visually Right to Left Table)</w:t>
        </w:r>
      </w:hyperlink>
      <w:r>
        <w:t xml:space="preserve"> </w:t>
      </w:r>
      <w:r>
        <w:fldChar w:fldCharType="begin"/>
      </w:r>
      <w:r>
        <w:instrText>PAGEREF section_233dfa68d1f34d56a781bfef71cc74fa</w:instrText>
      </w:r>
      <w:r>
        <w:fldChar w:fldCharType="separate"/>
      </w:r>
      <w:r>
        <w:rPr>
          <w:noProof/>
        </w:rPr>
        <w:t>81</w:t>
      </w:r>
      <w:r>
        <w:fldChar w:fldCharType="end"/>
      </w:r>
    </w:p>
    <w:p w:rsidR="00024C0A" w:rsidRDefault="00694C0F">
      <w:pPr>
        <w:pStyle w:val="indexentry0"/>
      </w:pPr>
      <w:hyperlink w:anchor="section_10bf48e80594494d914363d48d91036b">
        <w:r>
          <w:rPr>
            <w:rStyle w:val="Hyperlink"/>
          </w:rPr>
          <w:t>BIN2DEC</w:t>
        </w:r>
      </w:hyperlink>
      <w:r>
        <w:t xml:space="preserve"> </w:t>
      </w:r>
      <w:r>
        <w:fldChar w:fldCharType="begin"/>
      </w:r>
      <w:r>
        <w:instrText>PAGEREF section_10bf48e80594494d914363d48d91036b</w:instrText>
      </w:r>
      <w:r>
        <w:fldChar w:fldCharType="separate"/>
      </w:r>
      <w:r>
        <w:rPr>
          <w:noProof/>
        </w:rPr>
        <w:t>401</w:t>
      </w:r>
      <w:r>
        <w:fldChar w:fldCharType="end"/>
      </w:r>
    </w:p>
    <w:p w:rsidR="00024C0A" w:rsidRDefault="00694C0F">
      <w:pPr>
        <w:pStyle w:val="indexentry0"/>
      </w:pPr>
      <w:hyperlink w:anchor="section_46da4c4114864b60a733c76cd8bd821a">
        <w:r>
          <w:rPr>
            <w:rStyle w:val="Hyperlink"/>
          </w:rPr>
          <w:t>bk (Metadata Block)</w:t>
        </w:r>
      </w:hyperlink>
      <w:r>
        <w:t xml:space="preserve"> </w:t>
      </w:r>
      <w:r>
        <w:fldChar w:fldCharType="begin"/>
      </w:r>
      <w:r>
        <w:instrText>PAGEREF section_46da4c4114864b60a733c76cd8bd821a</w:instrText>
      </w:r>
      <w:r>
        <w:fldChar w:fldCharType="separate"/>
      </w:r>
      <w:r>
        <w:rPr>
          <w:noProof/>
        </w:rPr>
        <w:t>312</w:t>
      </w:r>
      <w:r>
        <w:fldChar w:fldCharType="end"/>
      </w:r>
    </w:p>
    <w:p w:rsidR="00024C0A" w:rsidRDefault="00694C0F">
      <w:pPr>
        <w:pStyle w:val="indexentry0"/>
      </w:pPr>
      <w:hyperlink w:anchor="section_24e1116b01e942b49a606ec7c266790d">
        <w:r>
          <w:rPr>
            <w:rStyle w:val="Hyperlink"/>
          </w:rPr>
          <w:t>bldChart (Build Chart)</w:t>
        </w:r>
      </w:hyperlink>
      <w:r>
        <w:t xml:space="preserve"> </w:t>
      </w:r>
      <w:r>
        <w:fldChar w:fldCharType="begin"/>
      </w:r>
      <w:r>
        <w:instrText>PAGEREF section_24e1116b01e942b49a606ec7c266790d</w:instrText>
      </w:r>
      <w:r>
        <w:fldChar w:fldCharType="separate"/>
      </w:r>
      <w:r>
        <w:rPr>
          <w:noProof/>
        </w:rPr>
        <w:t>494</w:t>
      </w:r>
      <w:r>
        <w:fldChar w:fldCharType="end"/>
      </w:r>
    </w:p>
    <w:p w:rsidR="00024C0A" w:rsidRDefault="00694C0F">
      <w:pPr>
        <w:pStyle w:val="indexentry0"/>
      </w:pPr>
      <w:r>
        <w:t>bldDgm (Build Diagram) (</w:t>
      </w:r>
      <w:hyperlink w:anchor="section_da3302a59997444fbb688ed15c696eba">
        <w:r>
          <w:rPr>
            <w:rStyle w:val="Hyperlink"/>
          </w:rPr>
          <w:t>section 2.1.1145</w:t>
        </w:r>
      </w:hyperlink>
      <w:r>
        <w:t xml:space="preserve"> </w:t>
      </w:r>
      <w:r>
        <w:fldChar w:fldCharType="begin"/>
      </w:r>
      <w:r>
        <w:instrText>PAGEREF section_da3302a59997444fbb688ed15c696eba</w:instrText>
      </w:r>
      <w:r>
        <w:fldChar w:fldCharType="separate"/>
      </w:r>
      <w:r>
        <w:rPr>
          <w:noProof/>
        </w:rPr>
        <w:t>476</w:t>
      </w:r>
      <w:r>
        <w:fldChar w:fldCharType="end"/>
      </w:r>
      <w:r>
        <w:t xml:space="preserve">, </w:t>
      </w:r>
      <w:hyperlink w:anchor="section_b2f238f84a034f4bb63bfe1f3eac7f47">
        <w:r>
          <w:rPr>
            <w:rStyle w:val="Hyperlink"/>
          </w:rPr>
          <w:t>section 2.1.1198</w:t>
        </w:r>
      </w:hyperlink>
      <w:r>
        <w:t xml:space="preserve"> </w:t>
      </w:r>
      <w:r>
        <w:fldChar w:fldCharType="begin"/>
      </w:r>
      <w:r>
        <w:instrText>PAGEREF section_b2f238f84a034f4bb63bfe1f3eac7f47</w:instrText>
      </w:r>
      <w:r>
        <w:fldChar w:fldCharType="separate"/>
      </w:r>
      <w:r>
        <w:rPr>
          <w:noProof/>
        </w:rPr>
        <w:t>494</w:t>
      </w:r>
      <w:r>
        <w:fldChar w:fldCharType="end"/>
      </w:r>
      <w:r>
        <w:t>)</w:t>
      </w:r>
    </w:p>
    <w:p w:rsidR="00024C0A" w:rsidRDefault="00694C0F">
      <w:pPr>
        <w:pStyle w:val="indexentry0"/>
      </w:pPr>
      <w:hyperlink w:anchor="section_ec82ed17db494761afc3d8e7d2930646">
        <w:r>
          <w:rPr>
            <w:rStyle w:val="Hyperlink"/>
          </w:rPr>
          <w:t>bldGraphic (Build Graphics)</w:t>
        </w:r>
      </w:hyperlink>
      <w:r>
        <w:t xml:space="preserve"> </w:t>
      </w:r>
      <w:r>
        <w:fldChar w:fldCharType="begin"/>
      </w:r>
      <w:r>
        <w:instrText>PAGEREF section_ec82ed17db494761afc3d8e7d2930646</w:instrText>
      </w:r>
      <w:r>
        <w:fldChar w:fldCharType="separate"/>
      </w:r>
      <w:r>
        <w:rPr>
          <w:noProof/>
        </w:rPr>
        <w:t>476</w:t>
      </w:r>
      <w:r>
        <w:fldChar w:fldCharType="end"/>
      </w:r>
    </w:p>
    <w:p w:rsidR="00024C0A" w:rsidRDefault="00694C0F">
      <w:pPr>
        <w:pStyle w:val="indexentry0"/>
      </w:pPr>
      <w:hyperlink w:anchor="section_5c0177b6c316482abf5923cb56a51534">
        <w:r>
          <w:rPr>
            <w:rStyle w:val="Hyperlink"/>
          </w:rPr>
          <w:t>bldOleChart (Build Embedded Chart)</w:t>
        </w:r>
      </w:hyperlink>
      <w:r>
        <w:t xml:space="preserve"> </w:t>
      </w:r>
      <w:r>
        <w:fldChar w:fldCharType="begin"/>
      </w:r>
      <w:r>
        <w:instrText>PAGEREF section_5c0177b6c316482abf5923cb56a51534</w:instrText>
      </w:r>
      <w:r>
        <w:fldChar w:fldCharType="separate"/>
      </w:r>
      <w:r>
        <w:rPr>
          <w:noProof/>
        </w:rPr>
        <w:t>476</w:t>
      </w:r>
      <w:r>
        <w:fldChar w:fldCharType="end"/>
      </w:r>
    </w:p>
    <w:p w:rsidR="00024C0A" w:rsidRDefault="00694C0F">
      <w:pPr>
        <w:pStyle w:val="indexentry0"/>
      </w:pPr>
      <w:hyperlink w:anchor="section_2936b07f699e42a7a89870122183e0a2">
        <w:r>
          <w:rPr>
            <w:rStyle w:val="Hyperlink"/>
          </w:rPr>
          <w:t>bldP (Build Paragraph)</w:t>
        </w:r>
      </w:hyperlink>
      <w:r>
        <w:t xml:space="preserve"> </w:t>
      </w:r>
      <w:r>
        <w:fldChar w:fldCharType="begin"/>
      </w:r>
      <w:r>
        <w:instrText>PAGEREF section_2936b07f699e42a7a89870122183e0a2</w:instrText>
      </w:r>
      <w:r>
        <w:fldChar w:fldCharType="separate"/>
      </w:r>
      <w:r>
        <w:rPr>
          <w:noProof/>
        </w:rPr>
        <w:t>477</w:t>
      </w:r>
      <w:r>
        <w:fldChar w:fldCharType="end"/>
      </w:r>
    </w:p>
    <w:p w:rsidR="00024C0A" w:rsidRDefault="00694C0F">
      <w:pPr>
        <w:pStyle w:val="indexentry0"/>
      </w:pPr>
      <w:hyperlink w:anchor="section_cfa661aede3a4d16b06d06e35e721b89">
        <w:r>
          <w:rPr>
            <w:rStyle w:val="Hyperlink"/>
          </w:rPr>
          <w:t>bldSub (Build Sub Elements)</w:t>
        </w:r>
      </w:hyperlink>
      <w:r>
        <w:t xml:space="preserve"> </w:t>
      </w:r>
      <w:r>
        <w:fldChar w:fldCharType="begin"/>
      </w:r>
      <w:r>
        <w:instrText>PAGEREF section_cfa661aede3a4d16b06d06e35e721b89</w:instrText>
      </w:r>
      <w:r>
        <w:fldChar w:fldCharType="separate"/>
      </w:r>
      <w:r>
        <w:rPr>
          <w:noProof/>
        </w:rPr>
        <w:t>477</w:t>
      </w:r>
      <w:r>
        <w:fldChar w:fldCharType="end"/>
      </w:r>
    </w:p>
    <w:p w:rsidR="00024C0A" w:rsidRDefault="00694C0F">
      <w:pPr>
        <w:pStyle w:val="indexentry0"/>
      </w:pPr>
      <w:r>
        <w:t>blipFill (Picture Fill) (</w:t>
      </w:r>
      <w:hyperlink w:anchor="section_17c4667a47c248f69f112565d029009c">
        <w:r>
          <w:rPr>
            <w:rStyle w:val="Hyperlink"/>
          </w:rPr>
          <w:t>section 2.1.1119</w:t>
        </w:r>
      </w:hyperlink>
      <w:r>
        <w:t xml:space="preserve"> </w:t>
      </w:r>
      <w:r>
        <w:fldChar w:fldCharType="begin"/>
      </w:r>
      <w:r>
        <w:instrText>PAGEREF section_17c4667a47c248f69f112565d029009c</w:instrText>
      </w:r>
      <w:r>
        <w:fldChar w:fldCharType="separate"/>
      </w:r>
      <w:r>
        <w:rPr>
          <w:noProof/>
        </w:rPr>
        <w:t>466</w:t>
      </w:r>
      <w:r>
        <w:fldChar w:fldCharType="end"/>
      </w:r>
      <w:r>
        <w:t xml:space="preserve">, </w:t>
      </w:r>
      <w:hyperlink w:anchor="section_1cc844f4520f48d58ceb74e15342ab24">
        <w:r>
          <w:rPr>
            <w:rStyle w:val="Hyperlink"/>
          </w:rPr>
          <w:t>section 2.1.1287</w:t>
        </w:r>
      </w:hyperlink>
      <w:r>
        <w:t xml:space="preserve"> </w:t>
      </w:r>
      <w:r>
        <w:fldChar w:fldCharType="begin"/>
      </w:r>
      <w:r>
        <w:instrText>PAGEREF section_1cc844f4520f48d58ceb74e15342ab2</w:instrText>
      </w:r>
      <w:r>
        <w:instrText>4</w:instrText>
      </w:r>
      <w:r>
        <w:fldChar w:fldCharType="separate"/>
      </w:r>
      <w:r>
        <w:rPr>
          <w:noProof/>
        </w:rPr>
        <w:t>511</w:t>
      </w:r>
      <w:r>
        <w:fldChar w:fldCharType="end"/>
      </w:r>
      <w:r>
        <w:t xml:space="preserve">, </w:t>
      </w:r>
      <w:hyperlink w:anchor="section_7a3dbb2768c744d2bf351eb7a2490a01">
        <w:r>
          <w:rPr>
            <w:rStyle w:val="Hyperlink"/>
          </w:rPr>
          <w:t>section 2.1.1342</w:t>
        </w:r>
      </w:hyperlink>
      <w:r>
        <w:t xml:space="preserve"> </w:t>
      </w:r>
      <w:r>
        <w:fldChar w:fldCharType="begin"/>
      </w:r>
      <w:r>
        <w:instrText>PAGEREF section_7a3dbb2768c744d2bf351eb7a2490a01</w:instrText>
      </w:r>
      <w:r>
        <w:fldChar w:fldCharType="separate"/>
      </w:r>
      <w:r>
        <w:rPr>
          <w:noProof/>
        </w:rPr>
        <w:t>521</w:t>
      </w:r>
      <w:r>
        <w:fldChar w:fldCharType="end"/>
      </w:r>
      <w:r>
        <w:t xml:space="preserve">, </w:t>
      </w:r>
      <w:hyperlink w:anchor="section_402ec9e26e424ba9a866742937152087">
        <w:r>
          <w:rPr>
            <w:rStyle w:val="Hyperlink"/>
          </w:rPr>
          <w:t>section 2.1.1352</w:t>
        </w:r>
      </w:hyperlink>
      <w:r>
        <w:t xml:space="preserve"> </w:t>
      </w:r>
      <w:r>
        <w:fldChar w:fldCharType="begin"/>
      </w:r>
      <w:r>
        <w:instrText>PAGEREF section_402ec9e26e424ba9a8667</w:instrText>
      </w:r>
      <w:r>
        <w:instrText>42937152087</w:instrText>
      </w:r>
      <w:r>
        <w:fldChar w:fldCharType="separate"/>
      </w:r>
      <w:r>
        <w:rPr>
          <w:noProof/>
        </w:rPr>
        <w:t>522</w:t>
      </w:r>
      <w:r>
        <w:fldChar w:fldCharType="end"/>
      </w:r>
      <w:r>
        <w:t xml:space="preserve">, </w:t>
      </w:r>
      <w:hyperlink w:anchor="section_0329492820b44cdd9ecdac4d63dc4674">
        <w:r>
          <w:rPr>
            <w:rStyle w:val="Hyperlink"/>
          </w:rPr>
          <w:t>section 2.1.1595</w:t>
        </w:r>
      </w:hyperlink>
      <w:r>
        <w:t xml:space="preserve"> </w:t>
      </w:r>
      <w:r>
        <w:fldChar w:fldCharType="begin"/>
      </w:r>
      <w:r>
        <w:instrText>PAGEREF section_0329492820b44cdd9ecdac4d63dc4674</w:instrText>
      </w:r>
      <w:r>
        <w:fldChar w:fldCharType="separate"/>
      </w:r>
      <w:r>
        <w:rPr>
          <w:noProof/>
        </w:rPr>
        <w:t>577</w:t>
      </w:r>
      <w:r>
        <w:fldChar w:fldCharType="end"/>
      </w:r>
      <w:r>
        <w:t>)</w:t>
      </w:r>
    </w:p>
    <w:p w:rsidR="00024C0A" w:rsidRDefault="00694C0F">
      <w:pPr>
        <w:pStyle w:val="indexentry0"/>
      </w:pPr>
      <w:hyperlink w:anchor="section_1be1db766f44442eb9d1acc7a2bb0e71">
        <w:r>
          <w:rPr>
            <w:rStyle w:val="Hyperlink"/>
          </w:rPr>
          <w:t>blockQuote (Data for HTML blockquote Element)</w:t>
        </w:r>
      </w:hyperlink>
      <w:r>
        <w:t xml:space="preserve"> </w:t>
      </w:r>
      <w:r>
        <w:fldChar w:fldCharType="begin"/>
      </w:r>
      <w:r>
        <w:instrText>PAGEREF section_1be1db766f44442eb9d1acc7a2bb0e71</w:instrText>
      </w:r>
      <w:r>
        <w:fldChar w:fldCharType="separate"/>
      </w:r>
      <w:r>
        <w:rPr>
          <w:noProof/>
        </w:rPr>
        <w:t>160</w:t>
      </w:r>
      <w:r>
        <w:fldChar w:fldCharType="end"/>
      </w:r>
    </w:p>
    <w:p w:rsidR="00024C0A" w:rsidRDefault="00694C0F">
      <w:pPr>
        <w:pStyle w:val="indexentry0"/>
      </w:pPr>
      <w:hyperlink w:anchor="section_609636d541304679b9b8eebaa8424ae7">
        <w:r>
          <w:rPr>
            <w:rStyle w:val="Hyperlink"/>
          </w:rPr>
          <w:t>blue (Blue)</w:t>
        </w:r>
      </w:hyperlink>
      <w:r>
        <w:t xml:space="preserve"> </w:t>
      </w:r>
      <w:r>
        <w:fldChar w:fldCharType="begin"/>
      </w:r>
      <w:r>
        <w:instrText>PAGEREF section_609636d541304679b9b8eebaa8424ae7</w:instrText>
      </w:r>
      <w:r>
        <w:fldChar w:fldCharType="separate"/>
      </w:r>
      <w:r>
        <w:rPr>
          <w:noProof/>
        </w:rPr>
        <w:t>498</w:t>
      </w:r>
      <w:r>
        <w:fldChar w:fldCharType="end"/>
      </w:r>
    </w:p>
    <w:p w:rsidR="00024C0A" w:rsidRDefault="00694C0F">
      <w:pPr>
        <w:pStyle w:val="indexentry0"/>
      </w:pPr>
      <w:hyperlink w:anchor="section_fd5b54b2e28a4e6091986cffa60a0e77">
        <w:r>
          <w:rPr>
            <w:rStyle w:val="Hyperlink"/>
          </w:rPr>
          <w:t>blueMod (Blue Modification)</w:t>
        </w:r>
      </w:hyperlink>
      <w:r>
        <w:t xml:space="preserve"> </w:t>
      </w:r>
      <w:r>
        <w:fldChar w:fldCharType="begin"/>
      </w:r>
      <w:r>
        <w:instrText>PAGEREF section_fd5b54b2e28a4e6091986cffa60a0e77</w:instrText>
      </w:r>
      <w:r>
        <w:fldChar w:fldCharType="separate"/>
      </w:r>
      <w:r>
        <w:rPr>
          <w:noProof/>
        </w:rPr>
        <w:t>498</w:t>
      </w:r>
      <w:r>
        <w:fldChar w:fldCharType="end"/>
      </w:r>
    </w:p>
    <w:p w:rsidR="00024C0A" w:rsidRDefault="00694C0F">
      <w:pPr>
        <w:pStyle w:val="indexentry0"/>
      </w:pPr>
      <w:hyperlink w:anchor="section_c5764e71705243ca8d5cd69caac0e480">
        <w:r>
          <w:rPr>
            <w:rStyle w:val="Hyperlink"/>
          </w:rPr>
          <w:t>blueOff (Blue Offset)</w:t>
        </w:r>
      </w:hyperlink>
      <w:r>
        <w:t xml:space="preserve"> </w:t>
      </w:r>
      <w:r>
        <w:fldChar w:fldCharType="begin"/>
      </w:r>
      <w:r>
        <w:instrText>PAGEREF section_c5764e71705243ca8d5cd69caac0e480</w:instrText>
      </w:r>
      <w:r>
        <w:fldChar w:fldCharType="separate"/>
      </w:r>
      <w:r>
        <w:rPr>
          <w:noProof/>
        </w:rPr>
        <w:t>498</w:t>
      </w:r>
      <w:r>
        <w:fldChar w:fldCharType="end"/>
      </w:r>
    </w:p>
    <w:p w:rsidR="00024C0A" w:rsidRDefault="00694C0F">
      <w:pPr>
        <w:pStyle w:val="indexentry0"/>
      </w:pPr>
      <w:hyperlink w:anchor="section_9847db85c8ee40f08c7ecdca7563544b">
        <w:r>
          <w:rPr>
            <w:rStyle w:val="Hyperlink"/>
          </w:rPr>
          <w:t>blur (Blur Effect)</w:t>
        </w:r>
      </w:hyperlink>
      <w:r>
        <w:t xml:space="preserve"> </w:t>
      </w:r>
      <w:r>
        <w:fldChar w:fldCharType="begin"/>
      </w:r>
      <w:r>
        <w:instrText>PAGEREF section_9847db85c8ee40f08c7ecdca7563544b</w:instrText>
      </w:r>
      <w:r>
        <w:fldChar w:fldCharType="separate"/>
      </w:r>
      <w:r>
        <w:rPr>
          <w:noProof/>
        </w:rPr>
        <w:t>511</w:t>
      </w:r>
      <w:r>
        <w:fldChar w:fldCharType="end"/>
      </w:r>
    </w:p>
    <w:p w:rsidR="00024C0A" w:rsidRDefault="00694C0F">
      <w:pPr>
        <w:pStyle w:val="indexentry0"/>
      </w:pPr>
      <w:hyperlink w:anchor="section_8d43fabb714e4c4c9d9d854d046f1857">
        <w:r>
          <w:rPr>
            <w:rStyle w:val="Hyperlink"/>
          </w:rPr>
          <w:t>body (Document Body)</w:t>
        </w:r>
      </w:hyperlink>
      <w:r>
        <w:t xml:space="preserve"> </w:t>
      </w:r>
      <w:r>
        <w:fldChar w:fldCharType="begin"/>
      </w:r>
      <w:r>
        <w:instrText>PAGEREF section_8d43fabb714e4c4c9d9d854d046f1857</w:instrText>
      </w:r>
      <w:r>
        <w:fldChar w:fldCharType="separate"/>
      </w:r>
      <w:r>
        <w:rPr>
          <w:noProof/>
        </w:rPr>
        <w:t>62</w:t>
      </w:r>
      <w:r>
        <w:fldChar w:fldCharType="end"/>
      </w:r>
    </w:p>
    <w:p w:rsidR="00024C0A" w:rsidRDefault="00694C0F">
      <w:pPr>
        <w:pStyle w:val="indexentry0"/>
      </w:pPr>
      <w:hyperlink w:anchor="section_72855a96a6b84efb89ed82550c7768c7">
        <w:r>
          <w:rPr>
            <w:rStyle w:val="Hyperlink"/>
          </w:rPr>
          <w:t>Body Formatting</w:t>
        </w:r>
      </w:hyperlink>
      <w:r>
        <w:t xml:space="preserve"> </w:t>
      </w:r>
      <w:r>
        <w:fldChar w:fldCharType="begin"/>
      </w:r>
      <w:r>
        <w:instrText>PAGEREF section_72855a96a6b84efb89ed82550c7768c7</w:instrText>
      </w:r>
      <w:r>
        <w:fldChar w:fldCharType="separate"/>
      </w:r>
      <w:r>
        <w:rPr>
          <w:noProof/>
        </w:rPr>
        <w:t>526</w:t>
      </w:r>
      <w:r>
        <w:fldChar w:fldCharType="end"/>
      </w:r>
    </w:p>
    <w:p w:rsidR="00024C0A" w:rsidRDefault="00694C0F">
      <w:pPr>
        <w:pStyle w:val="indexentry0"/>
      </w:pPr>
      <w:hyperlink w:anchor="section_848d73bb8eec4704bcd5ba25de573e9a">
        <w:r>
          <w:rPr>
            <w:rStyle w:val="Hyperlink"/>
          </w:rPr>
          <w:t>bodyDiv (Data for HTML body Element)</w:t>
        </w:r>
      </w:hyperlink>
      <w:r>
        <w:t xml:space="preserve"> </w:t>
      </w:r>
      <w:r>
        <w:fldChar w:fldCharType="begin"/>
      </w:r>
      <w:r>
        <w:instrText>PAGEREF section_848d73bb8eec4704bcd5ba25de573e9a</w:instrText>
      </w:r>
      <w:r>
        <w:fldChar w:fldCharType="separate"/>
      </w:r>
      <w:r>
        <w:rPr>
          <w:noProof/>
        </w:rPr>
        <w:t>160</w:t>
      </w:r>
      <w:r>
        <w:fldChar w:fldCharType="end"/>
      </w:r>
    </w:p>
    <w:p w:rsidR="00024C0A" w:rsidRDefault="00694C0F">
      <w:pPr>
        <w:pStyle w:val="indexentry0"/>
      </w:pPr>
      <w:hyperlink w:anchor="section_b3da041fd56f464ba9b32e3274de9caf">
        <w:r>
          <w:rPr>
            <w:rStyle w:val="Hyperlink"/>
          </w:rPr>
          <w:t>bodyPr (Body Properties)</w:t>
        </w:r>
      </w:hyperlink>
      <w:r>
        <w:t xml:space="preserve"> </w:t>
      </w:r>
      <w:r>
        <w:fldChar w:fldCharType="begin"/>
      </w:r>
      <w:r>
        <w:instrText>PAGEREF section_b3da041fd56f464ba9b32e3274de9caf</w:instrText>
      </w:r>
      <w:r>
        <w:fldChar w:fldCharType="separate"/>
      </w:r>
      <w:r>
        <w:rPr>
          <w:noProof/>
        </w:rPr>
        <w:t>526</w:t>
      </w:r>
      <w:r>
        <w:fldChar w:fldCharType="end"/>
      </w:r>
    </w:p>
    <w:p w:rsidR="00024C0A" w:rsidRDefault="00694C0F">
      <w:pPr>
        <w:pStyle w:val="indexentry0"/>
      </w:pPr>
      <w:hyperlink w:anchor="section_a3f96a731cad4a64a7e3cf18ad747708">
        <w:r>
          <w:rPr>
            <w:rStyle w:val="Hyperlink"/>
          </w:rPr>
          <w:t>bookFoldPrinting (Book Fold Printing)</w:t>
        </w:r>
      </w:hyperlink>
      <w:r>
        <w:t xml:space="preserve"> </w:t>
      </w:r>
      <w:r>
        <w:fldChar w:fldCharType="begin"/>
      </w:r>
      <w:r>
        <w:instrText>PAGEREF sec</w:instrText>
      </w:r>
      <w:r>
        <w:instrText>tion_a3f96a731cad4a64a7e3cf18ad747708</w:instrText>
      </w:r>
      <w:r>
        <w:fldChar w:fldCharType="separate"/>
      </w:r>
      <w:r>
        <w:rPr>
          <w:noProof/>
        </w:rPr>
        <w:t>148</w:t>
      </w:r>
      <w:r>
        <w:fldChar w:fldCharType="end"/>
      </w:r>
    </w:p>
    <w:p w:rsidR="00024C0A" w:rsidRDefault="00694C0F">
      <w:pPr>
        <w:pStyle w:val="indexentry0"/>
      </w:pPr>
      <w:hyperlink w:anchor="section_54ddf37e03b84d0391a4755fb2c6695a">
        <w:r>
          <w:rPr>
            <w:rStyle w:val="Hyperlink"/>
          </w:rPr>
          <w:t>bookFoldPrintingSheets (Number of Pages Per Booklet)</w:t>
        </w:r>
      </w:hyperlink>
      <w:r>
        <w:t xml:space="preserve"> </w:t>
      </w:r>
      <w:r>
        <w:fldChar w:fldCharType="begin"/>
      </w:r>
      <w:r>
        <w:instrText>PAGEREF section_54ddf37e03b84d0391a4755fb2c6695a</w:instrText>
      </w:r>
      <w:r>
        <w:fldChar w:fldCharType="separate"/>
      </w:r>
      <w:r>
        <w:rPr>
          <w:noProof/>
        </w:rPr>
        <w:t>148</w:t>
      </w:r>
      <w:r>
        <w:fldChar w:fldCharType="end"/>
      </w:r>
    </w:p>
    <w:p w:rsidR="00024C0A" w:rsidRDefault="00694C0F">
      <w:pPr>
        <w:pStyle w:val="indexentry0"/>
      </w:pPr>
      <w:hyperlink w:anchor="section_4a4ba7698bc142b3b66208b23bd8e953">
        <w:r>
          <w:rPr>
            <w:rStyle w:val="Hyperlink"/>
          </w:rPr>
          <w:t>bookFoldRevPrinting (Reverse Book Fold Printing)</w:t>
        </w:r>
      </w:hyperlink>
      <w:r>
        <w:t xml:space="preserve"> </w:t>
      </w:r>
      <w:r>
        <w:fldChar w:fldCharType="begin"/>
      </w:r>
      <w:r>
        <w:instrText>PAGEREF section_4a4ba7698bc142b3b66208b23bd8e953</w:instrText>
      </w:r>
      <w:r>
        <w:fldChar w:fldCharType="separate"/>
      </w:r>
      <w:r>
        <w:rPr>
          <w:noProof/>
        </w:rPr>
        <w:t>149</w:t>
      </w:r>
      <w:r>
        <w:fldChar w:fldCharType="end"/>
      </w:r>
    </w:p>
    <w:p w:rsidR="00024C0A" w:rsidRDefault="00694C0F">
      <w:pPr>
        <w:pStyle w:val="indexentry0"/>
      </w:pPr>
      <w:hyperlink w:anchor="section_fa51f4d3bb2a4fac845f8368432e3174">
        <w:r>
          <w:rPr>
            <w:rStyle w:val="Hyperlink"/>
          </w:rPr>
          <w:t>bookmarkEnd (Bookmark End)</w:t>
        </w:r>
      </w:hyperlink>
      <w:r>
        <w:t xml:space="preserve"> </w:t>
      </w:r>
      <w:r>
        <w:fldChar w:fldCharType="begin"/>
      </w:r>
      <w:r>
        <w:instrText>PAGEREF section_fa51f4d3bb2a4fac845f8368432e3174</w:instrText>
      </w:r>
      <w:r>
        <w:fldChar w:fldCharType="separate"/>
      </w:r>
      <w:r>
        <w:rPr>
          <w:noProof/>
        </w:rPr>
        <w:t>139</w:t>
      </w:r>
      <w:r>
        <w:fldChar w:fldCharType="end"/>
      </w:r>
    </w:p>
    <w:p w:rsidR="00024C0A" w:rsidRDefault="00694C0F">
      <w:pPr>
        <w:pStyle w:val="indexentry0"/>
      </w:pPr>
      <w:r>
        <w:t>Bookmarks (</w:t>
      </w:r>
      <w:hyperlink w:anchor="section_a790410f43e742a89105776a6c661fdd">
        <w:r>
          <w:rPr>
            <w:rStyle w:val="Hyperlink"/>
          </w:rPr>
          <w:t>section 2.1.354</w:t>
        </w:r>
      </w:hyperlink>
      <w:r>
        <w:t xml:space="preserve"> </w:t>
      </w:r>
      <w:r>
        <w:fldChar w:fldCharType="begin"/>
      </w:r>
      <w:r>
        <w:instrText>PAGEREF section_a790410f43e742a89105776a6c661fdd</w:instrText>
      </w:r>
      <w:r>
        <w:fldChar w:fldCharType="separate"/>
      </w:r>
      <w:r>
        <w:rPr>
          <w:noProof/>
        </w:rPr>
        <w:t>139</w:t>
      </w:r>
      <w:r>
        <w:fldChar w:fldCharType="end"/>
      </w:r>
      <w:r>
        <w:t xml:space="preserve">, </w:t>
      </w:r>
      <w:hyperlink w:anchor="section_0e7a01caa5cd40aea9c6248bfda82221">
        <w:r>
          <w:rPr>
            <w:rStyle w:val="Hyperlink"/>
          </w:rPr>
          <w:t>section 2.1.455</w:t>
        </w:r>
      </w:hyperlink>
      <w:r>
        <w:t xml:space="preserve"> </w:t>
      </w:r>
      <w:r>
        <w:fldChar w:fldCharType="begin"/>
      </w:r>
      <w:r>
        <w:instrText>PAGEREF section_0e7a01caa5cd40aea9c6248bfda82221</w:instrText>
      </w:r>
      <w:r>
        <w:fldChar w:fldCharType="separate"/>
      </w:r>
      <w:r>
        <w:rPr>
          <w:noProof/>
        </w:rPr>
        <w:t>165</w:t>
      </w:r>
      <w:r>
        <w:fldChar w:fldCharType="end"/>
      </w:r>
      <w:r>
        <w:t>)</w:t>
      </w:r>
    </w:p>
    <w:p w:rsidR="00024C0A" w:rsidRDefault="00694C0F">
      <w:pPr>
        <w:pStyle w:val="indexentry0"/>
      </w:pPr>
      <w:hyperlink w:anchor="section_da8b8f592af149d98553f0c1ff2fb18d">
        <w:r>
          <w:rPr>
            <w:rStyle w:val="Hyperlink"/>
          </w:rPr>
          <w:t>bookmarkStart (Bookmark Start)</w:t>
        </w:r>
      </w:hyperlink>
      <w:r>
        <w:t xml:space="preserve"> </w:t>
      </w:r>
      <w:r>
        <w:fldChar w:fldCharType="begin"/>
      </w:r>
      <w:r>
        <w:instrText>PAGEREF section_da8b8f592af149d98553f0c1ff2fb18d</w:instrText>
      </w:r>
      <w:r>
        <w:fldChar w:fldCharType="separate"/>
      </w:r>
      <w:r>
        <w:rPr>
          <w:noProof/>
        </w:rPr>
        <w:t>140</w:t>
      </w:r>
      <w:r>
        <w:fldChar w:fldCharType="end"/>
      </w:r>
    </w:p>
    <w:p w:rsidR="00024C0A" w:rsidRDefault="00694C0F">
      <w:pPr>
        <w:pStyle w:val="indexentry0"/>
      </w:pPr>
      <w:hyperlink w:anchor="section_b48d891444844a4f843315a9a24c3dc9">
        <w:r>
          <w:rPr>
            <w:rStyle w:val="Hyperlink"/>
          </w:rPr>
          <w:t>bookViews (Workbook Views)</w:t>
        </w:r>
      </w:hyperlink>
      <w:r>
        <w:t xml:space="preserve"> </w:t>
      </w:r>
      <w:r>
        <w:fldChar w:fldCharType="begin"/>
      </w:r>
      <w:r>
        <w:instrText>PAGEREF section_b48d891444844a4f843315a9a24c3dc9</w:instrText>
      </w:r>
      <w:r>
        <w:fldChar w:fldCharType="separate"/>
      </w:r>
      <w:r>
        <w:rPr>
          <w:noProof/>
        </w:rPr>
        <w:t>236</w:t>
      </w:r>
      <w:r>
        <w:fldChar w:fldCharType="end"/>
      </w:r>
    </w:p>
    <w:p w:rsidR="00024C0A" w:rsidRDefault="00694C0F">
      <w:pPr>
        <w:pStyle w:val="indexentry0"/>
      </w:pPr>
      <w:hyperlink w:anchor="section_e9bf10bfee5749fa9c1baece23e733cb">
        <w:r>
          <w:rPr>
            <w:rStyle w:val="Hyperlink"/>
          </w:rPr>
          <w:t>border (Border)</w:t>
        </w:r>
      </w:hyperlink>
      <w:r>
        <w:t xml:space="preserve"> </w:t>
      </w:r>
      <w:r>
        <w:fldChar w:fldCharType="begin"/>
      </w:r>
      <w:r>
        <w:instrText>PAGEREF section_e9bf10bfee5749fa9c1baece23e733cb</w:instrText>
      </w:r>
      <w:r>
        <w:fldChar w:fldCharType="separate"/>
      </w:r>
      <w:r>
        <w:rPr>
          <w:noProof/>
        </w:rPr>
        <w:t>296</w:t>
      </w:r>
      <w:r>
        <w:fldChar w:fldCharType="end"/>
      </w:r>
    </w:p>
    <w:p w:rsidR="00024C0A" w:rsidRDefault="00694C0F">
      <w:pPr>
        <w:pStyle w:val="indexentry0"/>
      </w:pPr>
      <w:hyperlink w:anchor="section_d0a2b96f99034c8289c27e34cc52d020">
        <w:r>
          <w:rPr>
            <w:rStyle w:val="Hyperlink"/>
          </w:rPr>
          <w:t>borderbottom (Bottom Border)</w:t>
        </w:r>
      </w:hyperlink>
      <w:r>
        <w:t xml:space="preserve"> </w:t>
      </w:r>
      <w:r>
        <w:fldChar w:fldCharType="begin"/>
      </w:r>
      <w:r>
        <w:instrText>PAGEREF section_d0a2b96f99034c8289c27e34cc52d020</w:instrText>
      </w:r>
      <w:r>
        <w:fldChar w:fldCharType="separate"/>
      </w:r>
      <w:r>
        <w:rPr>
          <w:noProof/>
        </w:rPr>
        <w:t>672</w:t>
      </w:r>
      <w:r>
        <w:fldChar w:fldCharType="end"/>
      </w:r>
    </w:p>
    <w:p w:rsidR="00024C0A" w:rsidRDefault="00694C0F">
      <w:pPr>
        <w:pStyle w:val="indexentry0"/>
      </w:pPr>
      <w:hyperlink w:anchor="section_04b9c6a86b734659894e9b43618ee281">
        <w:r>
          <w:rPr>
            <w:rStyle w:val="Hyperlink"/>
          </w:rPr>
          <w:t>borderBox (Border-Box Object)</w:t>
        </w:r>
      </w:hyperlink>
      <w:r>
        <w:t xml:space="preserve"> </w:t>
      </w:r>
      <w:r>
        <w:fldChar w:fldCharType="begin"/>
      </w:r>
      <w:r>
        <w:instrText>PAGEREF section_04b9c6a86b734659894e9b436</w:instrText>
      </w:r>
      <w:r>
        <w:instrText>18ee281</w:instrText>
      </w:r>
      <w:r>
        <w:fldChar w:fldCharType="separate"/>
      </w:r>
      <w:r>
        <w:rPr>
          <w:noProof/>
        </w:rPr>
        <w:t>591</w:t>
      </w:r>
      <w:r>
        <w:fldChar w:fldCharType="end"/>
      </w:r>
    </w:p>
    <w:p w:rsidR="00024C0A" w:rsidRDefault="00694C0F">
      <w:pPr>
        <w:pStyle w:val="indexentry0"/>
      </w:pPr>
      <w:hyperlink w:anchor="section_50efd17939e4450bb66ae0dd74d98853">
        <w:r>
          <w:rPr>
            <w:rStyle w:val="Hyperlink"/>
          </w:rPr>
          <w:t>borderleft (Left Border)</w:t>
        </w:r>
      </w:hyperlink>
      <w:r>
        <w:t xml:space="preserve"> </w:t>
      </w:r>
      <w:r>
        <w:fldChar w:fldCharType="begin"/>
      </w:r>
      <w:r>
        <w:instrText>PAGEREF section_50efd17939e4450bb66ae0dd74d98853</w:instrText>
      </w:r>
      <w:r>
        <w:fldChar w:fldCharType="separate"/>
      </w:r>
      <w:r>
        <w:rPr>
          <w:noProof/>
        </w:rPr>
        <w:t>672</w:t>
      </w:r>
      <w:r>
        <w:fldChar w:fldCharType="end"/>
      </w:r>
    </w:p>
    <w:p w:rsidR="00024C0A" w:rsidRDefault="00694C0F">
      <w:pPr>
        <w:pStyle w:val="indexentry0"/>
      </w:pPr>
      <w:hyperlink w:anchor="section_6e4d3dcfc0e3410a84fa7a1ea06c6256">
        <w:r>
          <w:rPr>
            <w:rStyle w:val="Hyperlink"/>
          </w:rPr>
          <w:t>borderright (Right Border)</w:t>
        </w:r>
      </w:hyperlink>
      <w:r>
        <w:t xml:space="preserve"> </w:t>
      </w:r>
      <w:r>
        <w:fldChar w:fldCharType="begin"/>
      </w:r>
      <w:r>
        <w:instrText>PAGEREF section</w:instrText>
      </w:r>
      <w:r>
        <w:instrText>_6e4d3dcfc0e3410a84fa7a1ea06c6256</w:instrText>
      </w:r>
      <w:r>
        <w:fldChar w:fldCharType="separate"/>
      </w:r>
      <w:r>
        <w:rPr>
          <w:noProof/>
        </w:rPr>
        <w:t>672</w:t>
      </w:r>
      <w:r>
        <w:fldChar w:fldCharType="end"/>
      </w:r>
    </w:p>
    <w:p w:rsidR="00024C0A" w:rsidRDefault="00694C0F">
      <w:pPr>
        <w:pStyle w:val="indexentry0"/>
      </w:pPr>
      <w:hyperlink w:anchor="section_c3c609ef965745b98a9f023bf50268df">
        <w:r>
          <w:rPr>
            <w:rStyle w:val="Hyperlink"/>
          </w:rPr>
          <w:t>borders (Borders)</w:t>
        </w:r>
      </w:hyperlink>
      <w:r>
        <w:t xml:space="preserve"> </w:t>
      </w:r>
      <w:r>
        <w:fldChar w:fldCharType="begin"/>
      </w:r>
      <w:r>
        <w:instrText>PAGEREF section_c3c609ef965745b98a9f023bf50268df</w:instrText>
      </w:r>
      <w:r>
        <w:fldChar w:fldCharType="separate"/>
      </w:r>
      <w:r>
        <w:rPr>
          <w:noProof/>
        </w:rPr>
        <w:t>296</w:t>
      </w:r>
      <w:r>
        <w:fldChar w:fldCharType="end"/>
      </w:r>
    </w:p>
    <w:p w:rsidR="00024C0A" w:rsidRDefault="00694C0F">
      <w:pPr>
        <w:pStyle w:val="indexentry0"/>
      </w:pPr>
      <w:hyperlink w:anchor="section_81843e90dc284502a2a4ec384c2f60b5">
        <w:r>
          <w:rPr>
            <w:rStyle w:val="Hyperlink"/>
          </w:rPr>
          <w:t>bordertop (Top Border)</w:t>
        </w:r>
      </w:hyperlink>
      <w:r>
        <w:t xml:space="preserve"> </w:t>
      </w:r>
      <w:r>
        <w:fldChar w:fldCharType="begin"/>
      </w:r>
      <w:r>
        <w:instrText>PAGEREF section_81843e90dc284502a2a4ec384c2f60b5</w:instrText>
      </w:r>
      <w:r>
        <w:fldChar w:fldCharType="separate"/>
      </w:r>
      <w:r>
        <w:rPr>
          <w:noProof/>
        </w:rPr>
        <w:t>672</w:t>
      </w:r>
      <w:r>
        <w:fldChar w:fldCharType="end"/>
      </w:r>
    </w:p>
    <w:p w:rsidR="00024C0A" w:rsidRDefault="00694C0F">
      <w:pPr>
        <w:pStyle w:val="indexentry0"/>
      </w:pPr>
      <w:hyperlink w:anchor="section_629fcc767cc14e55b9b3b6354b20116a">
        <w:r>
          <w:rPr>
            <w:rStyle w:val="Hyperlink"/>
          </w:rPr>
          <w:t>bottom (Bottom Border for HTML div)</w:t>
        </w:r>
      </w:hyperlink>
      <w:r>
        <w:t xml:space="preserve"> </w:t>
      </w:r>
      <w:r>
        <w:fldChar w:fldCharType="begin"/>
      </w:r>
      <w:r>
        <w:instrText>PAGEREF section_629fcc767cc14e55b9b3b6354b20116a</w:instrText>
      </w:r>
      <w:r>
        <w:fldChar w:fldCharType="separate"/>
      </w:r>
      <w:r>
        <w:rPr>
          <w:noProof/>
        </w:rPr>
        <w:t>160</w:t>
      </w:r>
      <w:r>
        <w:fldChar w:fldCharType="end"/>
      </w:r>
    </w:p>
    <w:p w:rsidR="00024C0A" w:rsidRDefault="00694C0F">
      <w:pPr>
        <w:pStyle w:val="indexentry0"/>
      </w:pPr>
      <w:hyperlink w:anchor="section_98ca3cc91270454bbd1c41a7afc55ffc">
        <w:r>
          <w:rPr>
            <w:rStyle w:val="Hyperlink"/>
          </w:rPr>
          <w:t>bottom (Bottom Border)</w:t>
        </w:r>
      </w:hyperlink>
      <w:r>
        <w:t xml:space="preserve"> </w:t>
      </w:r>
      <w:r>
        <w:fldChar w:fldCharType="begin"/>
      </w:r>
      <w:r>
        <w:instrText>PAGEREF section_98ca3cc91270454bbd1c41a7afc55ffc</w:instrText>
      </w:r>
      <w:r>
        <w:fldChar w:fldCharType="separate"/>
      </w:r>
      <w:r>
        <w:rPr>
          <w:noProof/>
        </w:rPr>
        <w:t>101</w:t>
      </w:r>
      <w:r>
        <w:fldChar w:fldCharType="end"/>
      </w:r>
    </w:p>
    <w:p w:rsidR="00024C0A" w:rsidRDefault="00694C0F">
      <w:pPr>
        <w:pStyle w:val="indexentry0"/>
      </w:pPr>
      <w:hyperlink w:anchor="section_51e18657b7924721833351f4e3aba8bf">
        <w:r>
          <w:rPr>
            <w:rStyle w:val="Hyperlink"/>
          </w:rPr>
          <w:t>bottom (Paragraph Border Below Identical Paragraphs)</w:t>
        </w:r>
      </w:hyperlink>
      <w:r>
        <w:t xml:space="preserve"> </w:t>
      </w:r>
      <w:r>
        <w:fldChar w:fldCharType="begin"/>
      </w:r>
      <w:r>
        <w:instrText>PAGEREF section_51e18657b7924721833351f4e3aba8bf</w:instrText>
      </w:r>
      <w:r>
        <w:fldChar w:fldCharType="separate"/>
      </w:r>
      <w:r>
        <w:rPr>
          <w:noProof/>
        </w:rPr>
        <w:t>63</w:t>
      </w:r>
      <w:r>
        <w:fldChar w:fldCharType="end"/>
      </w:r>
    </w:p>
    <w:p w:rsidR="00024C0A" w:rsidRDefault="00694C0F">
      <w:pPr>
        <w:pStyle w:val="indexentry0"/>
      </w:pPr>
      <w:hyperlink w:anchor="section_ae7dd4da0bda48e69d365645b9c35ce6">
        <w:r>
          <w:rPr>
            <w:rStyle w:val="Hyperlink"/>
          </w:rPr>
          <w:t>bottom (Table Bottom Border)</w:t>
        </w:r>
      </w:hyperlink>
      <w:r>
        <w:t xml:space="preserve"> </w:t>
      </w:r>
      <w:r>
        <w:fldChar w:fldCharType="begin"/>
      </w:r>
      <w:r>
        <w:instrText>PAGEREF section_ae7dd4da0bda48e69d365645b9c35ce6</w:instrText>
      </w:r>
      <w:r>
        <w:fldChar w:fldCharType="separate"/>
      </w:r>
      <w:r>
        <w:rPr>
          <w:noProof/>
        </w:rPr>
        <w:t>81</w:t>
      </w:r>
      <w:r>
        <w:fldChar w:fldCharType="end"/>
      </w:r>
    </w:p>
    <w:p w:rsidR="00024C0A" w:rsidRDefault="00694C0F">
      <w:pPr>
        <w:pStyle w:val="indexentry0"/>
      </w:pPr>
      <w:hyperlink w:anchor="section_a24ca39e7f694a89a30e13abea010529">
        <w:r>
          <w:rPr>
            <w:rStyle w:val="Hyperlink"/>
          </w:rPr>
          <w:t>bottom (Table Cell Bottom Border)</w:t>
        </w:r>
      </w:hyperlink>
      <w:r>
        <w:t xml:space="preserve"> </w:t>
      </w:r>
      <w:r>
        <w:fldChar w:fldCharType="begin"/>
      </w:r>
      <w:r>
        <w:instrText>PAGEREF section_a2</w:instrText>
      </w:r>
      <w:r>
        <w:instrText>4ca39e7f694a89a30e13abea010529</w:instrText>
      </w:r>
      <w:r>
        <w:fldChar w:fldCharType="separate"/>
      </w:r>
      <w:r>
        <w:rPr>
          <w:noProof/>
        </w:rPr>
        <w:t>81</w:t>
      </w:r>
      <w:r>
        <w:fldChar w:fldCharType="end"/>
      </w:r>
    </w:p>
    <w:p w:rsidR="00024C0A" w:rsidRDefault="00694C0F">
      <w:pPr>
        <w:pStyle w:val="indexentry0"/>
      </w:pPr>
      <w:hyperlink w:anchor="section_0dd57f39232e42649600a0075f27b8b4">
        <w:r>
          <w:rPr>
            <w:rStyle w:val="Hyperlink"/>
          </w:rPr>
          <w:t>bottom (Table Cell Bottom Margin Default)</w:t>
        </w:r>
      </w:hyperlink>
      <w:r>
        <w:t xml:space="preserve"> </w:t>
      </w:r>
      <w:r>
        <w:fldChar w:fldCharType="begin"/>
      </w:r>
      <w:r>
        <w:instrText>PAGEREF section_0dd57f39232e42649600a0075f27b8b4</w:instrText>
      </w:r>
      <w:r>
        <w:fldChar w:fldCharType="separate"/>
      </w:r>
      <w:r>
        <w:rPr>
          <w:noProof/>
        </w:rPr>
        <w:t>81</w:t>
      </w:r>
      <w:r>
        <w:fldChar w:fldCharType="end"/>
      </w:r>
    </w:p>
    <w:p w:rsidR="00024C0A" w:rsidRDefault="00694C0F">
      <w:pPr>
        <w:pStyle w:val="indexentry0"/>
      </w:pPr>
      <w:hyperlink w:anchor="section_8301b45dae9045f18fcaf3e3bd7d9c49">
        <w:r>
          <w:rPr>
            <w:rStyle w:val="Hyperlink"/>
          </w:rPr>
          <w:t>bott</w:t>
        </w:r>
        <w:r>
          <w:rPr>
            <w:rStyle w:val="Hyperlink"/>
          </w:rPr>
          <w:t>om (Table Cell Bottom Margin Exception)</w:t>
        </w:r>
      </w:hyperlink>
      <w:r>
        <w:t xml:space="preserve"> </w:t>
      </w:r>
      <w:r>
        <w:fldChar w:fldCharType="begin"/>
      </w:r>
      <w:r>
        <w:instrText>PAGEREF section_8301b45dae9045f18fcaf3e3bd7d9c49</w:instrText>
      </w:r>
      <w:r>
        <w:fldChar w:fldCharType="separate"/>
      </w:r>
      <w:r>
        <w:rPr>
          <w:noProof/>
        </w:rPr>
        <w:t>81</w:t>
      </w:r>
      <w:r>
        <w:fldChar w:fldCharType="end"/>
      </w:r>
    </w:p>
    <w:p w:rsidR="00024C0A" w:rsidRDefault="00694C0F">
      <w:pPr>
        <w:pStyle w:val="indexentry0"/>
      </w:pPr>
      <w:hyperlink w:anchor="section_584b988653c243efa8577c5d7041a8db">
        <w:r>
          <w:rPr>
            <w:rStyle w:val="Hyperlink"/>
          </w:rPr>
          <w:t>bottom (Text Box Bottom Stroke)</w:t>
        </w:r>
      </w:hyperlink>
      <w:r>
        <w:t xml:space="preserve"> </w:t>
      </w:r>
      <w:r>
        <w:fldChar w:fldCharType="begin"/>
      </w:r>
      <w:r>
        <w:instrText>PAGEREF section_584b988653c243efa8577c5d7041a8db</w:instrText>
      </w:r>
      <w:r>
        <w:fldChar w:fldCharType="separate"/>
      </w:r>
      <w:r>
        <w:rPr>
          <w:noProof/>
        </w:rPr>
        <w:t>656</w:t>
      </w:r>
      <w:r>
        <w:fldChar w:fldCharType="end"/>
      </w:r>
    </w:p>
    <w:p w:rsidR="00024C0A" w:rsidRDefault="00694C0F">
      <w:pPr>
        <w:pStyle w:val="indexentry0"/>
      </w:pPr>
      <w:hyperlink w:anchor="section_6c82f95eeec145d1ac3a8e4a19eb716f">
        <w:r>
          <w:rPr>
            <w:rStyle w:val="Hyperlink"/>
          </w:rPr>
          <w:t>bounds (Bounds)</w:t>
        </w:r>
      </w:hyperlink>
      <w:r>
        <w:t xml:space="preserve"> </w:t>
      </w:r>
      <w:r>
        <w:fldChar w:fldCharType="begin"/>
      </w:r>
      <w:r>
        <w:instrText>PAGEREF section_6c82f95eeec145d1ac3a8e4a19eb716f</w:instrText>
      </w:r>
      <w:r>
        <w:fldChar w:fldCharType="separate"/>
      </w:r>
      <w:r>
        <w:rPr>
          <w:noProof/>
        </w:rPr>
        <w:t>825</w:t>
      </w:r>
      <w:r>
        <w:fldChar w:fldCharType="end"/>
      </w:r>
    </w:p>
    <w:p w:rsidR="00024C0A" w:rsidRDefault="00694C0F">
      <w:pPr>
        <w:pStyle w:val="indexentry0"/>
      </w:pPr>
      <w:hyperlink w:anchor="section_63c8849f1c244a1b94b3e987f4a20e54">
        <w:r>
          <w:rPr>
            <w:rStyle w:val="Hyperlink"/>
          </w:rPr>
          <w:t>box (Box Object)</w:t>
        </w:r>
      </w:hyperlink>
      <w:r>
        <w:t xml:space="preserve"> </w:t>
      </w:r>
      <w:r>
        <w:fldChar w:fldCharType="begin"/>
      </w:r>
      <w:r>
        <w:instrText>PAGEREF section_63c8849f1c244a1b94b3e987f4a20e54</w:instrText>
      </w:r>
      <w:r>
        <w:fldChar w:fldCharType="separate"/>
      </w:r>
      <w:r>
        <w:rPr>
          <w:noProof/>
        </w:rPr>
        <w:t>591</w:t>
      </w:r>
      <w:r>
        <w:fldChar w:fldCharType="end"/>
      </w:r>
    </w:p>
    <w:p w:rsidR="00024C0A" w:rsidRDefault="00694C0F">
      <w:pPr>
        <w:pStyle w:val="indexentry0"/>
      </w:pPr>
      <w:r>
        <w:t>brk (Break) (</w:t>
      </w:r>
      <w:hyperlink w:anchor="section_77730f137af942e096c70b349853617e">
        <w:r>
          <w:rPr>
            <w:rStyle w:val="Hyperlink"/>
          </w:rPr>
          <w:t>section 2.1.588</w:t>
        </w:r>
      </w:hyperlink>
      <w:r>
        <w:t xml:space="preserve"> </w:t>
      </w:r>
      <w:r>
        <w:fldChar w:fldCharType="begin"/>
      </w:r>
      <w:r>
        <w:instrText>PAGEREF section_77730f137af942e096c70b349853617e</w:instrText>
      </w:r>
      <w:r>
        <w:fldChar w:fldCharType="separate"/>
      </w:r>
      <w:r>
        <w:rPr>
          <w:noProof/>
        </w:rPr>
        <w:t>250</w:t>
      </w:r>
      <w:r>
        <w:fldChar w:fldCharType="end"/>
      </w:r>
      <w:r>
        <w:t xml:space="preserve">, </w:t>
      </w:r>
      <w:hyperlink w:anchor="section_9742c999b0654a7091b509d6a6cf99f7">
        <w:r>
          <w:rPr>
            <w:rStyle w:val="Hyperlink"/>
          </w:rPr>
          <w:t>section 2.1.1644</w:t>
        </w:r>
      </w:hyperlink>
      <w:r>
        <w:t xml:space="preserve"> </w:t>
      </w:r>
      <w:r>
        <w:fldChar w:fldCharType="begin"/>
      </w:r>
      <w:r>
        <w:instrText>PAGEREF section_9742c999b0654</w:instrText>
      </w:r>
      <w:r>
        <w:instrText>a7091b509d6a6cf99f7</w:instrText>
      </w:r>
      <w:r>
        <w:fldChar w:fldCharType="separate"/>
      </w:r>
      <w:r>
        <w:rPr>
          <w:noProof/>
        </w:rPr>
        <w:t>591</w:t>
      </w:r>
      <w:r>
        <w:fldChar w:fldCharType="end"/>
      </w:r>
      <w:r>
        <w:t>)</w:t>
      </w:r>
    </w:p>
    <w:p w:rsidR="00024C0A" w:rsidRDefault="00694C0F">
      <w:pPr>
        <w:pStyle w:val="indexentry0"/>
      </w:pPr>
      <w:hyperlink w:anchor="section_b8441f8d1013434e8d86ba06b64e4d92">
        <w:r>
          <w:rPr>
            <w:rStyle w:val="Hyperlink"/>
          </w:rPr>
          <w:t>bubble3D (3D Bubble)</w:t>
        </w:r>
      </w:hyperlink>
      <w:r>
        <w:t xml:space="preserve"> </w:t>
      </w:r>
      <w:r>
        <w:fldChar w:fldCharType="begin"/>
      </w:r>
      <w:r>
        <w:instrText>PAGEREF section_b8441f8d1013434e8d86ba06b64e4d92</w:instrText>
      </w:r>
      <w:r>
        <w:fldChar w:fldCharType="separate"/>
      </w:r>
      <w:r>
        <w:rPr>
          <w:noProof/>
        </w:rPr>
        <w:t>542</w:t>
      </w:r>
      <w:r>
        <w:fldChar w:fldCharType="end"/>
      </w:r>
    </w:p>
    <w:p w:rsidR="00024C0A" w:rsidRDefault="00694C0F">
      <w:pPr>
        <w:pStyle w:val="indexentry0"/>
      </w:pPr>
      <w:hyperlink w:anchor="section_c99aee60a26e465486070e0411ea81eb">
        <w:r>
          <w:rPr>
            <w:rStyle w:val="Hyperlink"/>
          </w:rPr>
          <w:t>bubbleChart (Bubble Charts)</w:t>
        </w:r>
      </w:hyperlink>
      <w:r>
        <w:t xml:space="preserve"> </w:t>
      </w:r>
      <w:r>
        <w:fldChar w:fldCharType="begin"/>
      </w:r>
      <w:r>
        <w:instrText>PAGER</w:instrText>
      </w:r>
      <w:r>
        <w:instrText>EF section_c99aee60a26e465486070e0411ea81eb</w:instrText>
      </w:r>
      <w:r>
        <w:fldChar w:fldCharType="separate"/>
      </w:r>
      <w:r>
        <w:rPr>
          <w:noProof/>
        </w:rPr>
        <w:t>542</w:t>
      </w:r>
      <w:r>
        <w:fldChar w:fldCharType="end"/>
      </w:r>
    </w:p>
    <w:p w:rsidR="00024C0A" w:rsidRDefault="00694C0F">
      <w:pPr>
        <w:pStyle w:val="indexentry0"/>
      </w:pPr>
      <w:hyperlink w:anchor="section_123e703d328a48d08dfa6f364e02e166">
        <w:r>
          <w:rPr>
            <w:rStyle w:val="Hyperlink"/>
          </w:rPr>
          <w:t>buFont (Specified)</w:t>
        </w:r>
      </w:hyperlink>
      <w:r>
        <w:t xml:space="preserve"> </w:t>
      </w:r>
      <w:r>
        <w:fldChar w:fldCharType="begin"/>
      </w:r>
      <w:r>
        <w:instrText>PAGEREF section_123e703d328a48d08dfa6f364e02e166</w:instrText>
      </w:r>
      <w:r>
        <w:fldChar w:fldCharType="separate"/>
      </w:r>
      <w:r>
        <w:rPr>
          <w:noProof/>
        </w:rPr>
        <w:t>536</w:t>
      </w:r>
      <w:r>
        <w:fldChar w:fldCharType="end"/>
      </w:r>
    </w:p>
    <w:p w:rsidR="00024C0A" w:rsidRDefault="00694C0F">
      <w:pPr>
        <w:pStyle w:val="indexentry0"/>
      </w:pPr>
      <w:hyperlink w:anchor="section_cce3b3b3a43d4e95b9771428b377e670">
        <w:r>
          <w:rPr>
            <w:rStyle w:val="Hyperlink"/>
          </w:rPr>
          <w:t>builtInUnit (B</w:t>
        </w:r>
        <w:r>
          <w:rPr>
            <w:rStyle w:val="Hyperlink"/>
          </w:rPr>
          <w:t>uilt in Display Unit Value)</w:t>
        </w:r>
      </w:hyperlink>
      <w:r>
        <w:t xml:space="preserve"> </w:t>
      </w:r>
      <w:r>
        <w:fldChar w:fldCharType="begin"/>
      </w:r>
      <w:r>
        <w:instrText>PAGEREF section_cce3b3b3a43d4e95b9771428b377e670</w:instrText>
      </w:r>
      <w:r>
        <w:fldChar w:fldCharType="separate"/>
      </w:r>
      <w:r>
        <w:rPr>
          <w:noProof/>
        </w:rPr>
        <w:t>543</w:t>
      </w:r>
      <w:r>
        <w:fldChar w:fldCharType="end"/>
      </w:r>
    </w:p>
    <w:p w:rsidR="00024C0A" w:rsidRDefault="00694C0F">
      <w:pPr>
        <w:pStyle w:val="indexentry0"/>
      </w:pPr>
      <w:hyperlink w:anchor="section_7d31ebc1a52e4e29975b99e32babe803">
        <w:r>
          <w:rPr>
            <w:rStyle w:val="Hyperlink"/>
          </w:rPr>
          <w:t>buSzPct (Bullet Size Percentage)</w:t>
        </w:r>
      </w:hyperlink>
      <w:r>
        <w:t xml:space="preserve"> </w:t>
      </w:r>
      <w:r>
        <w:fldChar w:fldCharType="begin"/>
      </w:r>
      <w:r>
        <w:instrText>PAGEREF section_7d31ebc1a52e4e29975b99e32babe803</w:instrText>
      </w:r>
      <w:r>
        <w:fldChar w:fldCharType="separate"/>
      </w:r>
      <w:r>
        <w:rPr>
          <w:noProof/>
        </w:rPr>
        <w:t>536</w:t>
      </w:r>
      <w:r>
        <w:fldChar w:fldCharType="end"/>
      </w:r>
    </w:p>
    <w:p w:rsidR="00024C0A" w:rsidRDefault="00694C0F">
      <w:pPr>
        <w:pStyle w:val="indexentry0"/>
      </w:pPr>
      <w:hyperlink w:anchor="section_1da3efd797b349a096ea8377e149177f">
        <w:r>
          <w:rPr>
            <w:rStyle w:val="Hyperlink"/>
          </w:rPr>
          <w:t>buSzPts (Bullet Size Points)</w:t>
        </w:r>
      </w:hyperlink>
      <w:r>
        <w:t xml:space="preserve"> </w:t>
      </w:r>
      <w:r>
        <w:fldChar w:fldCharType="begin"/>
      </w:r>
      <w:r>
        <w:instrText>PAGEREF section_1da3efd797b349a096ea8377e149177f</w:instrText>
      </w:r>
      <w:r>
        <w:fldChar w:fldCharType="separate"/>
      </w:r>
      <w:r>
        <w:rPr>
          <w:noProof/>
        </w:rPr>
        <w:t>536</w:t>
      </w:r>
      <w:r>
        <w:fldChar w:fldCharType="end"/>
      </w:r>
    </w:p>
    <w:p w:rsidR="00024C0A" w:rsidRDefault="00694C0F">
      <w:pPr>
        <w:pStyle w:val="indexentry0"/>
      </w:pPr>
      <w:hyperlink w:anchor="section_f8515cce689b42c6aaa1816d25c1fd7b">
        <w:r>
          <w:rPr>
            <w:rStyle w:val="Hyperlink"/>
          </w:rPr>
          <w:t>by (By)</w:t>
        </w:r>
      </w:hyperlink>
      <w:r>
        <w:t xml:space="preserve"> </w:t>
      </w:r>
      <w:r>
        <w:fldChar w:fldCharType="begin"/>
      </w:r>
      <w:r>
        <w:instrText>PAGEREF section_f8515cce689b42c6aaa1816d2</w:instrText>
      </w:r>
      <w:r>
        <w:instrText>5c1fd7b</w:instrText>
      </w:r>
      <w:r>
        <w:fldChar w:fldCharType="separate"/>
      </w:r>
      <w:r>
        <w:rPr>
          <w:noProof/>
        </w:rPr>
        <w:t>477</w:t>
      </w:r>
      <w:r>
        <w:fldChar w:fldCharType="end"/>
      </w:r>
    </w:p>
    <w:p w:rsidR="00024C0A" w:rsidRDefault="00024C0A">
      <w:pPr>
        <w:spacing w:before="0" w:after="0"/>
        <w:rPr>
          <w:sz w:val="16"/>
        </w:rPr>
      </w:pPr>
    </w:p>
    <w:p w:rsidR="00024C0A" w:rsidRDefault="00694C0F">
      <w:pPr>
        <w:pStyle w:val="indexheader"/>
      </w:pPr>
      <w:r>
        <w:t>C</w:t>
      </w:r>
    </w:p>
    <w:p w:rsidR="00024C0A" w:rsidRDefault="00024C0A">
      <w:pPr>
        <w:spacing w:before="0" w:after="0"/>
        <w:rPr>
          <w:sz w:val="16"/>
        </w:rPr>
      </w:pPr>
    </w:p>
    <w:p w:rsidR="00024C0A" w:rsidRDefault="00694C0F">
      <w:pPr>
        <w:pStyle w:val="indexentry0"/>
      </w:pPr>
      <w:r>
        <w:t>c (Cell) (</w:t>
      </w:r>
      <w:hyperlink w:anchor="section_2fd4e47f09654c6095bdcff980b6c325">
        <w:r>
          <w:rPr>
            <w:rStyle w:val="Hyperlink"/>
          </w:rPr>
          <w:t>section 2.1.589</w:t>
        </w:r>
      </w:hyperlink>
      <w:r>
        <w:t xml:space="preserve"> </w:t>
      </w:r>
      <w:r>
        <w:fldChar w:fldCharType="begin"/>
      </w:r>
      <w:r>
        <w:instrText>PAGEREF section_2fd4e47f09654c6095bdcff980b6c325</w:instrText>
      </w:r>
      <w:r>
        <w:fldChar w:fldCharType="separate"/>
      </w:r>
      <w:r>
        <w:rPr>
          <w:noProof/>
        </w:rPr>
        <w:t>250</w:t>
      </w:r>
      <w:r>
        <w:fldChar w:fldCharType="end"/>
      </w:r>
      <w:r>
        <w:t xml:space="preserve">, </w:t>
      </w:r>
      <w:hyperlink w:anchor="section_67a432a81f584198aec477849c1684fd">
        <w:r>
          <w:rPr>
            <w:rStyle w:val="Hyperlink"/>
          </w:rPr>
          <w:t>section 2.1.687</w:t>
        </w:r>
      </w:hyperlink>
      <w:r>
        <w:t xml:space="preserve"> </w:t>
      </w:r>
      <w:r>
        <w:fldChar w:fldCharType="begin"/>
      </w:r>
      <w:r>
        <w:instrText>PAGEREF section_67a432a81f584198aec477849c1684fd</w:instrText>
      </w:r>
      <w:r>
        <w:fldChar w:fldCharType="separate"/>
      </w:r>
      <w:r>
        <w:rPr>
          <w:noProof/>
        </w:rPr>
        <w:t>293</w:t>
      </w:r>
      <w:r>
        <w:fldChar w:fldCharType="end"/>
      </w:r>
      <w:r>
        <w:t>)</w:t>
      </w:r>
    </w:p>
    <w:p w:rsidR="00024C0A" w:rsidRDefault="00694C0F">
      <w:pPr>
        <w:pStyle w:val="indexentry0"/>
      </w:pPr>
      <w:hyperlink w:anchor="section_845c830c9d3b4d99be5cf95219b7e3ed">
        <w:r>
          <w:rPr>
            <w:rStyle w:val="Hyperlink"/>
          </w:rPr>
          <w:t>cached (Cached View)</w:t>
        </w:r>
      </w:hyperlink>
      <w:r>
        <w:t xml:space="preserve"> </w:t>
      </w:r>
      <w:r>
        <w:fldChar w:fldCharType="begin"/>
      </w:r>
      <w:r>
        <w:instrText>PAGEREF section_845c830c9d3b4d99be5cf95219b7e3ed</w:instrText>
      </w:r>
      <w:r>
        <w:fldChar w:fldCharType="separate"/>
      </w:r>
      <w:r>
        <w:rPr>
          <w:noProof/>
        </w:rPr>
        <w:t>867</w:t>
      </w:r>
      <w:r>
        <w:fldChar w:fldCharType="end"/>
      </w:r>
    </w:p>
    <w:p w:rsidR="00024C0A" w:rsidRDefault="00694C0F">
      <w:pPr>
        <w:pStyle w:val="indexentry0"/>
      </w:pPr>
      <w:hyperlink w:anchor="section_a49a42d4fc784030ae6099400cba9912">
        <w:r>
          <w:rPr>
            <w:rStyle w:val="Hyperlink"/>
          </w:rPr>
          <w:t>cacheF</w:t>
        </w:r>
        <w:r>
          <w:rPr>
            <w:rStyle w:val="Hyperlink"/>
          </w:rPr>
          <w:t>ield (PivotCache Field)</w:t>
        </w:r>
      </w:hyperlink>
      <w:r>
        <w:t xml:space="preserve"> </w:t>
      </w:r>
      <w:r>
        <w:fldChar w:fldCharType="begin"/>
      </w:r>
      <w:r>
        <w:instrText>PAGEREF section_a49a42d4fc784030ae6099400cba9912</w:instrText>
      </w:r>
      <w:r>
        <w:fldChar w:fldCharType="separate"/>
      </w:r>
      <w:r>
        <w:rPr>
          <w:noProof/>
        </w:rPr>
        <w:t>325</w:t>
      </w:r>
      <w:r>
        <w:fldChar w:fldCharType="end"/>
      </w:r>
    </w:p>
    <w:p w:rsidR="00024C0A" w:rsidRDefault="00694C0F">
      <w:pPr>
        <w:pStyle w:val="indexentry0"/>
      </w:pPr>
      <w:hyperlink w:anchor="section_f4b94667953e402280d4ca58568e6e05">
        <w:r>
          <w:rPr>
            <w:rStyle w:val="Hyperlink"/>
          </w:rPr>
          <w:t>cacheFields (PivotCache Fields)</w:t>
        </w:r>
      </w:hyperlink>
      <w:r>
        <w:t xml:space="preserve"> </w:t>
      </w:r>
      <w:r>
        <w:fldChar w:fldCharType="begin"/>
      </w:r>
      <w:r>
        <w:instrText>PAGEREF section_f4b94667953e402280d4ca58568e6e05</w:instrText>
      </w:r>
      <w:r>
        <w:fldChar w:fldCharType="separate"/>
      </w:r>
      <w:r>
        <w:rPr>
          <w:noProof/>
        </w:rPr>
        <w:t>326</w:t>
      </w:r>
      <w:r>
        <w:fldChar w:fldCharType="end"/>
      </w:r>
    </w:p>
    <w:p w:rsidR="00024C0A" w:rsidRDefault="00694C0F">
      <w:pPr>
        <w:pStyle w:val="indexentry0"/>
      </w:pPr>
      <w:hyperlink w:anchor="section_ce3dcffc9d464d52a8817969baf5c473">
        <w:r>
          <w:rPr>
            <w:rStyle w:val="Hyperlink"/>
          </w:rPr>
          <w:t>cacheHierarchies (PivotCache Hierarchies)</w:t>
        </w:r>
      </w:hyperlink>
      <w:r>
        <w:t xml:space="preserve"> </w:t>
      </w:r>
      <w:r>
        <w:fldChar w:fldCharType="begin"/>
      </w:r>
      <w:r>
        <w:instrText>PAGEREF section_ce3dcffc9d464d52a8817969baf5c473</w:instrText>
      </w:r>
      <w:r>
        <w:fldChar w:fldCharType="separate"/>
      </w:r>
      <w:r>
        <w:rPr>
          <w:noProof/>
        </w:rPr>
        <w:t>327</w:t>
      </w:r>
      <w:r>
        <w:fldChar w:fldCharType="end"/>
      </w:r>
    </w:p>
    <w:p w:rsidR="00024C0A" w:rsidRDefault="00694C0F">
      <w:pPr>
        <w:pStyle w:val="indexentry0"/>
      </w:pPr>
      <w:hyperlink w:anchor="section_f8e3fe8da78d4f5bb970f9f5b0fa6d35">
        <w:r>
          <w:rPr>
            <w:rStyle w:val="Hyperlink"/>
          </w:rPr>
          <w:t>cacheHierarchy (PivotCache Hierarchy)</w:t>
        </w:r>
      </w:hyperlink>
      <w:r>
        <w:t xml:space="preserve"> </w:t>
      </w:r>
      <w:r>
        <w:fldChar w:fldCharType="begin"/>
      </w:r>
      <w:r>
        <w:instrText>PAGEREF section_f8e3fe8da78d4</w:instrText>
      </w:r>
      <w:r>
        <w:instrText>f5bb970f9f5b0fa6d35</w:instrText>
      </w:r>
      <w:r>
        <w:fldChar w:fldCharType="separate"/>
      </w:r>
      <w:r>
        <w:rPr>
          <w:noProof/>
        </w:rPr>
        <w:t>327</w:t>
      </w:r>
      <w:r>
        <w:fldChar w:fldCharType="end"/>
      </w:r>
    </w:p>
    <w:p w:rsidR="00024C0A" w:rsidRDefault="00694C0F">
      <w:pPr>
        <w:pStyle w:val="indexentry0"/>
      </w:pPr>
      <w:hyperlink w:anchor="section_4aff486b66ff4a1ea8529ea51026f79f">
        <w:r>
          <w:rPr>
            <w:rStyle w:val="Hyperlink"/>
          </w:rPr>
          <w:t>cacheSource (PivotCache Source Description)</w:t>
        </w:r>
      </w:hyperlink>
      <w:r>
        <w:t xml:space="preserve"> </w:t>
      </w:r>
      <w:r>
        <w:fldChar w:fldCharType="begin"/>
      </w:r>
      <w:r>
        <w:instrText>PAGEREF section_4aff486b66ff4a1ea8529ea51026f79f</w:instrText>
      </w:r>
      <w:r>
        <w:fldChar w:fldCharType="separate"/>
      </w:r>
      <w:r>
        <w:rPr>
          <w:noProof/>
        </w:rPr>
        <w:t>328</w:t>
      </w:r>
      <w:r>
        <w:fldChar w:fldCharType="end"/>
      </w:r>
    </w:p>
    <w:p w:rsidR="00024C0A" w:rsidRDefault="00694C0F">
      <w:pPr>
        <w:pStyle w:val="indexentry0"/>
      </w:pPr>
      <w:hyperlink w:anchor="section_9a86ba923c7d4538a7ae4c262aab614d">
        <w:r>
          <w:rPr>
            <w:rStyle w:val="Hyperlink"/>
          </w:rPr>
          <w:t>calcPr (Calcu</w:t>
        </w:r>
        <w:r>
          <w:rPr>
            <w:rStyle w:val="Hyperlink"/>
          </w:rPr>
          <w:t>lation Properties)</w:t>
        </w:r>
      </w:hyperlink>
      <w:r>
        <w:t xml:space="preserve"> </w:t>
      </w:r>
      <w:r>
        <w:fldChar w:fldCharType="begin"/>
      </w:r>
      <w:r>
        <w:instrText>PAGEREF section_9a86ba923c7d4538a7ae4c262aab614d</w:instrText>
      </w:r>
      <w:r>
        <w:fldChar w:fldCharType="separate"/>
      </w:r>
      <w:r>
        <w:rPr>
          <w:noProof/>
        </w:rPr>
        <w:t>236</w:t>
      </w:r>
      <w:r>
        <w:fldChar w:fldCharType="end"/>
      </w:r>
    </w:p>
    <w:p w:rsidR="00024C0A" w:rsidRDefault="00694C0F">
      <w:pPr>
        <w:pStyle w:val="indexentry0"/>
      </w:pPr>
      <w:hyperlink w:anchor="section_4ab53f1cccd94ab282254a85dca99917">
        <w:r>
          <w:rPr>
            <w:rStyle w:val="Hyperlink"/>
          </w:rPr>
          <w:t>Calculated Field Formulas</w:t>
        </w:r>
      </w:hyperlink>
      <w:r>
        <w:t xml:space="preserve"> </w:t>
      </w:r>
      <w:r>
        <w:fldChar w:fldCharType="begin"/>
      </w:r>
      <w:r>
        <w:instrText>PAGEREF section_4ab53f1cccd94ab282254a85dca99917</w:instrText>
      </w:r>
      <w:r>
        <w:fldChar w:fldCharType="separate"/>
      </w:r>
      <w:r>
        <w:rPr>
          <w:noProof/>
        </w:rPr>
        <w:t>841</w:t>
      </w:r>
      <w:r>
        <w:fldChar w:fldCharType="end"/>
      </w:r>
    </w:p>
    <w:p w:rsidR="00024C0A" w:rsidRDefault="00694C0F">
      <w:pPr>
        <w:pStyle w:val="indexentry0"/>
      </w:pPr>
      <w:hyperlink w:anchor="section_4f7eca6a309a4694aad918b5e4e30124">
        <w:r>
          <w:rPr>
            <w:rStyle w:val="Hyperlink"/>
          </w:rPr>
          <w:t>Calculated Item Formulas</w:t>
        </w:r>
      </w:hyperlink>
      <w:r>
        <w:t xml:space="preserve"> </w:t>
      </w:r>
      <w:r>
        <w:fldChar w:fldCharType="begin"/>
      </w:r>
      <w:r>
        <w:instrText>PAGEREF section_4f7eca6a309a4694aad918b5e4e30124</w:instrText>
      </w:r>
      <w:r>
        <w:fldChar w:fldCharType="separate"/>
      </w:r>
      <w:r>
        <w:rPr>
          <w:noProof/>
        </w:rPr>
        <w:t>841</w:t>
      </w:r>
      <w:r>
        <w:fldChar w:fldCharType="end"/>
      </w:r>
    </w:p>
    <w:p w:rsidR="00024C0A" w:rsidRDefault="00694C0F">
      <w:pPr>
        <w:pStyle w:val="indexentry0"/>
      </w:pPr>
      <w:hyperlink w:anchor="section_128d23b57cee4fdf9d4f94103e1bc48f">
        <w:r>
          <w:rPr>
            <w:rStyle w:val="Hyperlink"/>
          </w:rPr>
          <w:t>calculatedColumnFormula (Calculated Column Formula)</w:t>
        </w:r>
      </w:hyperlink>
      <w:r>
        <w:t xml:space="preserve"> </w:t>
      </w:r>
      <w:r>
        <w:fldChar w:fldCharType="begin"/>
      </w:r>
      <w:r>
        <w:instrText>P</w:instrText>
      </w:r>
      <w:r>
        <w:instrText>AGEREF section_128d23b57cee4fdf9d4f94103e1bc48f</w:instrText>
      </w:r>
      <w:r>
        <w:fldChar w:fldCharType="separate"/>
      </w:r>
      <w:r>
        <w:rPr>
          <w:noProof/>
        </w:rPr>
        <w:t>290</w:t>
      </w:r>
      <w:r>
        <w:fldChar w:fldCharType="end"/>
      </w:r>
    </w:p>
    <w:p w:rsidR="00024C0A" w:rsidRDefault="00694C0F">
      <w:pPr>
        <w:pStyle w:val="indexentry0"/>
      </w:pPr>
      <w:hyperlink w:anchor="section_25596798a09d4c18a407e55532fb09f9">
        <w:r>
          <w:rPr>
            <w:rStyle w:val="Hyperlink"/>
          </w:rPr>
          <w:t>calculatedItem (Calculated Item)</w:t>
        </w:r>
      </w:hyperlink>
      <w:r>
        <w:t xml:space="preserve"> </w:t>
      </w:r>
      <w:r>
        <w:fldChar w:fldCharType="begin"/>
      </w:r>
      <w:r>
        <w:instrText>PAGEREF section_25596798a09d4c18a407e55532fb09f9</w:instrText>
      </w:r>
      <w:r>
        <w:fldChar w:fldCharType="separate"/>
      </w:r>
      <w:r>
        <w:rPr>
          <w:noProof/>
        </w:rPr>
        <w:t>328</w:t>
      </w:r>
      <w:r>
        <w:fldChar w:fldCharType="end"/>
      </w:r>
    </w:p>
    <w:p w:rsidR="00024C0A" w:rsidRDefault="00694C0F">
      <w:pPr>
        <w:pStyle w:val="indexentry0"/>
      </w:pPr>
      <w:hyperlink w:anchor="section_6e081fece42441c1be2e8f97ec01cf18">
        <w:r>
          <w:rPr>
            <w:rStyle w:val="Hyperlink"/>
          </w:rPr>
          <w:t>calculatedMember (Calculated Member)</w:t>
        </w:r>
      </w:hyperlink>
      <w:r>
        <w:t xml:space="preserve"> </w:t>
      </w:r>
      <w:r>
        <w:fldChar w:fldCharType="begin"/>
      </w:r>
      <w:r>
        <w:instrText>PAGEREF section_6e081fece42441c1be2e8f97ec01cf18</w:instrText>
      </w:r>
      <w:r>
        <w:fldChar w:fldCharType="separate"/>
      </w:r>
      <w:r>
        <w:rPr>
          <w:noProof/>
        </w:rPr>
        <w:t>329</w:t>
      </w:r>
      <w:r>
        <w:fldChar w:fldCharType="end"/>
      </w:r>
    </w:p>
    <w:p w:rsidR="00024C0A" w:rsidRDefault="00694C0F">
      <w:pPr>
        <w:pStyle w:val="indexentry0"/>
      </w:pPr>
      <w:hyperlink w:anchor="section_079e8828cbc545a482a8afb3558d35de">
        <w:r>
          <w:rPr>
            <w:rStyle w:val="Hyperlink"/>
          </w:rPr>
          <w:t>callout (Callout)</w:t>
        </w:r>
      </w:hyperlink>
      <w:r>
        <w:t xml:space="preserve"> </w:t>
      </w:r>
      <w:r>
        <w:fldChar w:fldCharType="begin"/>
      </w:r>
      <w:r>
        <w:instrText>PAGEREF section_079e8828cbc545a482a8afb3558d35de</w:instrText>
      </w:r>
      <w:r>
        <w:fldChar w:fldCharType="separate"/>
      </w:r>
      <w:r>
        <w:rPr>
          <w:noProof/>
        </w:rPr>
        <w:t>658</w:t>
      </w:r>
      <w:r>
        <w:fldChar w:fldCharType="end"/>
      </w:r>
    </w:p>
    <w:p w:rsidR="00024C0A" w:rsidRDefault="00694C0F">
      <w:pPr>
        <w:pStyle w:val="indexentry0"/>
      </w:pPr>
      <w:hyperlink w:anchor="section_7bd8939081b34e18b4c296d9f5c67c34">
        <w:r>
          <w:rPr>
            <w:rStyle w:val="Hyperlink"/>
          </w:rPr>
          <w:t>Camera (Camera Tool)</w:t>
        </w:r>
      </w:hyperlink>
      <w:r>
        <w:t xml:space="preserve"> </w:t>
      </w:r>
      <w:r>
        <w:fldChar w:fldCharType="begin"/>
      </w:r>
      <w:r>
        <w:instrText>PAGEREF section_7bd8939081b34e18b4c296d9f5c67c34</w:instrText>
      </w:r>
      <w:r>
        <w:fldChar w:fldCharType="separate"/>
      </w:r>
      <w:r>
        <w:rPr>
          <w:noProof/>
        </w:rPr>
        <w:t>673</w:t>
      </w:r>
      <w:r>
        <w:fldChar w:fldCharType="end"/>
      </w:r>
    </w:p>
    <w:p w:rsidR="00024C0A" w:rsidRDefault="00694C0F">
      <w:pPr>
        <w:pStyle w:val="indexentry0"/>
      </w:pPr>
      <w:hyperlink w:anchor="section_6c1de672ac3d4387a01d6788aa7f34fa">
        <w:r>
          <w:rPr>
            <w:rStyle w:val="Hyperlink"/>
          </w:rPr>
          <w:t>camera (Camera)</w:t>
        </w:r>
      </w:hyperlink>
      <w:r>
        <w:t xml:space="preserve"> </w:t>
      </w:r>
      <w:r>
        <w:fldChar w:fldCharType="begin"/>
      </w:r>
      <w:r>
        <w:instrText>PAGEREF section_6c1de672ac3d4387a01d6788aa7f34fa</w:instrText>
      </w:r>
      <w:r>
        <w:fldChar w:fldCharType="separate"/>
      </w:r>
      <w:r>
        <w:rPr>
          <w:noProof/>
        </w:rPr>
        <w:t>506</w:t>
      </w:r>
      <w:r>
        <w:fldChar w:fldCharType="end"/>
      </w:r>
    </w:p>
    <w:p w:rsidR="00024C0A" w:rsidRDefault="00694C0F">
      <w:pPr>
        <w:pStyle w:val="indexentry0"/>
      </w:pPr>
      <w:hyperlink w:anchor="section_a55188f724434c17ba5a75999085bab4">
        <w:r>
          <w:rPr>
            <w:rStyle w:val="Hyperlink"/>
          </w:rPr>
          <w:t>cantSplit (Table Row Cannot Break Across Pages)</w:t>
        </w:r>
      </w:hyperlink>
      <w:r>
        <w:t xml:space="preserve"> </w:t>
      </w:r>
      <w:r>
        <w:fldChar w:fldCharType="begin"/>
      </w:r>
      <w:r>
        <w:instrText>PAGEREF section_a55188f724434c17ba5a75999085bab4</w:instrText>
      </w:r>
      <w:r>
        <w:fldChar w:fldCharType="separate"/>
      </w:r>
      <w:r>
        <w:rPr>
          <w:noProof/>
        </w:rPr>
        <w:t>81</w:t>
      </w:r>
      <w:r>
        <w:fldChar w:fldCharType="end"/>
      </w:r>
    </w:p>
    <w:p w:rsidR="00024C0A" w:rsidRDefault="00694C0F">
      <w:pPr>
        <w:pStyle w:val="indexentry0"/>
      </w:pPr>
      <w:hyperlink w:anchor="section_5ac3ac4fcfc24a6ab6f30bb1ce1e0628">
        <w:r>
          <w:rPr>
            <w:rStyle w:val="Hyperlink"/>
          </w:rPr>
          <w:t>caption (Single Caption Type Definition)</w:t>
        </w:r>
      </w:hyperlink>
      <w:r>
        <w:t xml:space="preserve"> </w:t>
      </w:r>
      <w:r>
        <w:fldChar w:fldCharType="begin"/>
      </w:r>
      <w:r>
        <w:instrText>PAGERE</w:instrText>
      </w:r>
      <w:r>
        <w:instrText>F section_5ac3ac4fcfc24a6ab6f30bb1ce1e0628</w:instrText>
      </w:r>
      <w:r>
        <w:fldChar w:fldCharType="separate"/>
      </w:r>
      <w:r>
        <w:rPr>
          <w:noProof/>
        </w:rPr>
        <w:t>149</w:t>
      </w:r>
      <w:r>
        <w:fldChar w:fldCharType="end"/>
      </w:r>
    </w:p>
    <w:p w:rsidR="00024C0A" w:rsidRDefault="00694C0F">
      <w:pPr>
        <w:pStyle w:val="indexentry0"/>
      </w:pPr>
      <w:hyperlink w:anchor="section_6bef7b68188f4b29b696d9676810e906">
        <w:r>
          <w:rPr>
            <w:rStyle w:val="Hyperlink"/>
          </w:rPr>
          <w:t>captions (Caption Settings)</w:t>
        </w:r>
      </w:hyperlink>
      <w:r>
        <w:t xml:space="preserve"> </w:t>
      </w:r>
      <w:r>
        <w:fldChar w:fldCharType="begin"/>
      </w:r>
      <w:r>
        <w:instrText>PAGEREF section_6bef7b68188f4b29b696d9676810e906</w:instrText>
      </w:r>
      <w:r>
        <w:fldChar w:fldCharType="separate"/>
      </w:r>
      <w:r>
        <w:rPr>
          <w:noProof/>
        </w:rPr>
        <w:t>149</w:t>
      </w:r>
      <w:r>
        <w:fldChar w:fldCharType="end"/>
      </w:r>
    </w:p>
    <w:p w:rsidR="00024C0A" w:rsidRDefault="00694C0F">
      <w:pPr>
        <w:pStyle w:val="indexentry0"/>
      </w:pPr>
      <w:hyperlink w:anchor="section_ea16141cf0bc469ca1a0214e200eda61">
        <w:r>
          <w:rPr>
            <w:rStyle w:val="Hyperlink"/>
          </w:rPr>
          <w:t>cat (Category Axis Data)</w:t>
        </w:r>
      </w:hyperlink>
      <w:r>
        <w:t xml:space="preserve"> </w:t>
      </w:r>
      <w:r>
        <w:fldChar w:fldCharType="begin"/>
      </w:r>
      <w:r>
        <w:instrText>PAGEREF section_ea16141cf0bc469ca1a0214e200eda61</w:instrText>
      </w:r>
      <w:r>
        <w:fldChar w:fldCharType="separate"/>
      </w:r>
      <w:r>
        <w:rPr>
          <w:noProof/>
        </w:rPr>
        <w:t>543</w:t>
      </w:r>
      <w:r>
        <w:fldChar w:fldCharType="end"/>
      </w:r>
    </w:p>
    <w:p w:rsidR="00024C0A" w:rsidRDefault="00694C0F">
      <w:pPr>
        <w:pStyle w:val="indexentry0"/>
      </w:pPr>
      <w:hyperlink w:anchor="section_c6aec8b1cbe34239ba00b837970abc14">
        <w:r>
          <w:rPr>
            <w:rStyle w:val="Hyperlink"/>
          </w:rPr>
          <w:t>catAx (Category Axis Data)</w:t>
        </w:r>
      </w:hyperlink>
      <w:r>
        <w:t xml:space="preserve"> </w:t>
      </w:r>
      <w:r>
        <w:fldChar w:fldCharType="begin"/>
      </w:r>
      <w:r>
        <w:instrText>PAGEREF section_c6aec8b1cbe34239ba00b837970abc14</w:instrText>
      </w:r>
      <w:r>
        <w:fldChar w:fldCharType="separate"/>
      </w:r>
      <w:r>
        <w:rPr>
          <w:noProof/>
        </w:rPr>
        <w:t>543</w:t>
      </w:r>
      <w:r>
        <w:fldChar w:fldCharType="end"/>
      </w:r>
    </w:p>
    <w:p w:rsidR="00024C0A" w:rsidRDefault="00694C0F">
      <w:pPr>
        <w:pStyle w:val="indexentry0"/>
      </w:pPr>
      <w:hyperlink w:anchor="section_b9a20a7864014a8b8ca9b31ead409132">
        <w:r>
          <w:rPr>
            <w:rStyle w:val="Hyperlink"/>
          </w:rPr>
          <w:t>cBhvr (Common Behavior)</w:t>
        </w:r>
      </w:hyperlink>
      <w:r>
        <w:t xml:space="preserve"> </w:t>
      </w:r>
      <w:r>
        <w:fldChar w:fldCharType="begin"/>
      </w:r>
      <w:r>
        <w:instrText>PAGEREF section_b9a20a7864014a8b8ca9b31ead409132</w:instrText>
      </w:r>
      <w:r>
        <w:fldChar w:fldCharType="separate"/>
      </w:r>
      <w:r>
        <w:rPr>
          <w:noProof/>
        </w:rPr>
        <w:t>478</w:t>
      </w:r>
      <w:r>
        <w:fldChar w:fldCharType="end"/>
      </w:r>
    </w:p>
    <w:p w:rsidR="00024C0A" w:rsidRDefault="00694C0F">
      <w:pPr>
        <w:pStyle w:val="indexentry0"/>
      </w:pPr>
      <w:hyperlink w:anchor="section_7e24f68ff81d4fa3852f9c7fe2152ea9">
        <w:r>
          <w:rPr>
            <w:rStyle w:val="Hyperlink"/>
          </w:rPr>
          <w:t>CEILING</w:t>
        </w:r>
      </w:hyperlink>
      <w:r>
        <w:t xml:space="preserve"> </w:t>
      </w:r>
      <w:r>
        <w:fldChar w:fldCharType="begin"/>
      </w:r>
      <w:r>
        <w:instrText>PAGEREF section_7e24f68ff81d4fa3852f9c7fe2152ea9</w:instrText>
      </w:r>
      <w:r>
        <w:fldChar w:fldCharType="separate"/>
      </w:r>
      <w:r>
        <w:rPr>
          <w:noProof/>
        </w:rPr>
        <w:t>401</w:t>
      </w:r>
      <w:r>
        <w:fldChar w:fldCharType="end"/>
      </w:r>
    </w:p>
    <w:p w:rsidR="00024C0A" w:rsidRDefault="00694C0F">
      <w:pPr>
        <w:pStyle w:val="indexentry0"/>
      </w:pPr>
      <w:hyperlink w:anchor="section_286f442f1e6b427da03b5aefc05bd879">
        <w:r>
          <w:rPr>
            <w:rStyle w:val="Hyperlink"/>
          </w:rPr>
          <w:t>CELL</w:t>
        </w:r>
      </w:hyperlink>
      <w:r>
        <w:t xml:space="preserve"> </w:t>
      </w:r>
      <w:r>
        <w:fldChar w:fldCharType="begin"/>
      </w:r>
      <w:r>
        <w:instrText>PAGEREF section_286f442f1e6b427da03b5aefc05bd879</w:instrText>
      </w:r>
      <w:r>
        <w:fldChar w:fldCharType="separate"/>
      </w:r>
      <w:r>
        <w:rPr>
          <w:noProof/>
        </w:rPr>
        <w:t>401</w:t>
      </w:r>
      <w:r>
        <w:fldChar w:fldCharType="end"/>
      </w:r>
    </w:p>
    <w:p w:rsidR="00024C0A" w:rsidRDefault="00694C0F">
      <w:pPr>
        <w:pStyle w:val="indexentry0"/>
      </w:pPr>
      <w:hyperlink w:anchor="section_8c8d962a5d154229a28f2ebf88bdd6fc">
        <w:r>
          <w:rPr>
            <w:rStyle w:val="Hyperlink"/>
          </w:rPr>
          <w:t>cell (External Cell Data)</w:t>
        </w:r>
      </w:hyperlink>
      <w:r>
        <w:t xml:space="preserve"> </w:t>
      </w:r>
      <w:r>
        <w:fldChar w:fldCharType="begin"/>
      </w:r>
      <w:r>
        <w:instrText>PAGEREF section_8c8d962a5d154229a28f2ebf88bdd6f</w:instrText>
      </w:r>
      <w:r>
        <w:instrText>c</w:instrText>
      </w:r>
      <w:r>
        <w:fldChar w:fldCharType="separate"/>
      </w:r>
      <w:r>
        <w:rPr>
          <w:noProof/>
        </w:rPr>
        <w:t>378</w:t>
      </w:r>
      <w:r>
        <w:fldChar w:fldCharType="end"/>
      </w:r>
    </w:p>
    <w:p w:rsidR="00024C0A" w:rsidRDefault="00694C0F">
      <w:pPr>
        <w:pStyle w:val="indexentry0"/>
      </w:pPr>
      <w:hyperlink w:anchor="section_3c420ebb6ef14b0d959d76e88c841c3e">
        <w:r>
          <w:rPr>
            <w:rStyle w:val="Hyperlink"/>
          </w:rPr>
          <w:t>Cell References</w:t>
        </w:r>
      </w:hyperlink>
      <w:r>
        <w:t xml:space="preserve"> </w:t>
      </w:r>
      <w:r>
        <w:fldChar w:fldCharType="begin"/>
      </w:r>
      <w:r>
        <w:instrText>PAGEREF section_3c420ebb6ef14b0d959d76e88c841c3e</w:instrText>
      </w:r>
      <w:r>
        <w:fldChar w:fldCharType="separate"/>
      </w:r>
      <w:r>
        <w:rPr>
          <w:noProof/>
        </w:rPr>
        <w:t>391</w:t>
      </w:r>
      <w:r>
        <w:fldChar w:fldCharType="end"/>
      </w:r>
    </w:p>
    <w:p w:rsidR="00024C0A" w:rsidRDefault="00694C0F">
      <w:pPr>
        <w:pStyle w:val="indexentry0"/>
      </w:pPr>
      <w:hyperlink w:anchor="section_04b8093a565e4c3c93f6496fd8601311">
        <w:r>
          <w:rPr>
            <w:rStyle w:val="Hyperlink"/>
          </w:rPr>
          <w:t>cell3D (Cell 3-D)</w:t>
        </w:r>
      </w:hyperlink>
      <w:r>
        <w:t xml:space="preserve"> </w:t>
      </w:r>
      <w:r>
        <w:fldChar w:fldCharType="begin"/>
      </w:r>
      <w:r>
        <w:instrText>PAGEREF section_04b8093a565e4c3c93f6496</w:instrText>
      </w:r>
      <w:r>
        <w:instrText>fd8601311</w:instrText>
      </w:r>
      <w:r>
        <w:fldChar w:fldCharType="separate"/>
      </w:r>
      <w:r>
        <w:rPr>
          <w:noProof/>
        </w:rPr>
        <w:t>538</w:t>
      </w:r>
      <w:r>
        <w:fldChar w:fldCharType="end"/>
      </w:r>
    </w:p>
    <w:p w:rsidR="00024C0A" w:rsidRDefault="00694C0F">
      <w:pPr>
        <w:pStyle w:val="indexentry0"/>
      </w:pPr>
      <w:hyperlink w:anchor="section_cf861d389d024d8e8fe7450a01f33d40">
        <w:r>
          <w:rPr>
            <w:rStyle w:val="Hyperlink"/>
          </w:rPr>
          <w:t>cellDel (Table Cell Deletion)</w:t>
        </w:r>
      </w:hyperlink>
      <w:r>
        <w:t xml:space="preserve"> </w:t>
      </w:r>
      <w:r>
        <w:fldChar w:fldCharType="begin"/>
      </w:r>
      <w:r>
        <w:instrText>PAGEREF section_cf861d389d024d8e8fe7450a01f33d40</w:instrText>
      </w:r>
      <w:r>
        <w:fldChar w:fldCharType="separate"/>
      </w:r>
      <w:r>
        <w:rPr>
          <w:noProof/>
        </w:rPr>
        <w:t>132</w:t>
      </w:r>
      <w:r>
        <w:fldChar w:fldCharType="end"/>
      </w:r>
    </w:p>
    <w:p w:rsidR="00024C0A" w:rsidRDefault="00694C0F">
      <w:pPr>
        <w:pStyle w:val="indexentry0"/>
      </w:pPr>
      <w:hyperlink w:anchor="section_f444e7c398fb4b75808aedcb36852e28">
        <w:r>
          <w:rPr>
            <w:rStyle w:val="Hyperlink"/>
          </w:rPr>
          <w:t>cellIns (Table Cell Insertion)</w:t>
        </w:r>
      </w:hyperlink>
      <w:r>
        <w:t xml:space="preserve"> </w:t>
      </w:r>
      <w:r>
        <w:fldChar w:fldCharType="begin"/>
      </w:r>
      <w:r>
        <w:instrText>PAGE</w:instrText>
      </w:r>
      <w:r>
        <w:instrText>REF section_f444e7c398fb4b75808aedcb36852e28</w:instrText>
      </w:r>
      <w:r>
        <w:fldChar w:fldCharType="separate"/>
      </w:r>
      <w:r>
        <w:rPr>
          <w:noProof/>
        </w:rPr>
        <w:t>132</w:t>
      </w:r>
      <w:r>
        <w:fldChar w:fldCharType="end"/>
      </w:r>
    </w:p>
    <w:p w:rsidR="00024C0A" w:rsidRDefault="00694C0F">
      <w:pPr>
        <w:pStyle w:val="indexentry0"/>
      </w:pPr>
      <w:hyperlink w:anchor="section_bc72271d4fa2406eb84a000c6dcce4dd">
        <w:r>
          <w:rPr>
            <w:rStyle w:val="Hyperlink"/>
          </w:rPr>
          <w:t>cellMerge (Vertically Merged/Split Table Cells)</w:t>
        </w:r>
      </w:hyperlink>
      <w:r>
        <w:t xml:space="preserve"> </w:t>
      </w:r>
      <w:r>
        <w:fldChar w:fldCharType="begin"/>
      </w:r>
      <w:r>
        <w:instrText>PAGEREF section_bc72271d4fa2406eb84a000c6dcce4dd</w:instrText>
      </w:r>
      <w:r>
        <w:fldChar w:fldCharType="separate"/>
      </w:r>
      <w:r>
        <w:rPr>
          <w:noProof/>
        </w:rPr>
        <w:t>132</w:t>
      </w:r>
      <w:r>
        <w:fldChar w:fldCharType="end"/>
      </w:r>
    </w:p>
    <w:p w:rsidR="00024C0A" w:rsidRDefault="00694C0F">
      <w:pPr>
        <w:pStyle w:val="indexentry0"/>
      </w:pPr>
      <w:hyperlink w:anchor="section_4b58be005a134a4786a265cfd44f3209">
        <w:r>
          <w:rPr>
            <w:rStyle w:val="Hyperlink"/>
          </w:rPr>
          <w:t>cellMetadata (Cell Metadata)</w:t>
        </w:r>
      </w:hyperlink>
      <w:r>
        <w:t xml:space="preserve"> </w:t>
      </w:r>
      <w:r>
        <w:fldChar w:fldCharType="begin"/>
      </w:r>
      <w:r>
        <w:instrText>PAGEREF section_4b58be005a134a4786a265cfd44f3209</w:instrText>
      </w:r>
      <w:r>
        <w:fldChar w:fldCharType="separate"/>
      </w:r>
      <w:r>
        <w:rPr>
          <w:noProof/>
        </w:rPr>
        <w:t>312</w:t>
      </w:r>
      <w:r>
        <w:fldChar w:fldCharType="end"/>
      </w:r>
    </w:p>
    <w:p w:rsidR="00024C0A" w:rsidRDefault="00694C0F">
      <w:pPr>
        <w:pStyle w:val="indexentry0"/>
      </w:pPr>
      <w:hyperlink w:anchor="section_ec10569c1caf4285a98fce0872fe0fc2">
        <w:r>
          <w:rPr>
            <w:rStyle w:val="Hyperlink"/>
          </w:rPr>
          <w:t>cellSmartTag (Cell Smart Tag)</w:t>
        </w:r>
      </w:hyperlink>
      <w:r>
        <w:t xml:space="preserve"> </w:t>
      </w:r>
      <w:r>
        <w:fldChar w:fldCharType="begin"/>
      </w:r>
      <w:r>
        <w:instrText>PAGEREF section_ec1</w:instrText>
      </w:r>
      <w:r>
        <w:instrText>0569c1caf4285a98fce0872fe0fc2</w:instrText>
      </w:r>
      <w:r>
        <w:fldChar w:fldCharType="separate"/>
      </w:r>
      <w:r>
        <w:rPr>
          <w:noProof/>
        </w:rPr>
        <w:t>251</w:t>
      </w:r>
      <w:r>
        <w:fldChar w:fldCharType="end"/>
      </w:r>
    </w:p>
    <w:p w:rsidR="00024C0A" w:rsidRDefault="00694C0F">
      <w:pPr>
        <w:pStyle w:val="indexentry0"/>
      </w:pPr>
      <w:hyperlink w:anchor="section_f23f28336cf64bef83540b7f3e486b9b">
        <w:r>
          <w:rPr>
            <w:rStyle w:val="Hyperlink"/>
          </w:rPr>
          <w:t>cellSmartTagPr (Smart Tag Properties)</w:t>
        </w:r>
      </w:hyperlink>
      <w:r>
        <w:t xml:space="preserve"> </w:t>
      </w:r>
      <w:r>
        <w:fldChar w:fldCharType="begin"/>
      </w:r>
      <w:r>
        <w:instrText>PAGEREF section_f23f28336cf64bef83540b7f3e486b9b</w:instrText>
      </w:r>
      <w:r>
        <w:fldChar w:fldCharType="separate"/>
      </w:r>
      <w:r>
        <w:rPr>
          <w:noProof/>
        </w:rPr>
        <w:t>251</w:t>
      </w:r>
      <w:r>
        <w:fldChar w:fldCharType="end"/>
      </w:r>
    </w:p>
    <w:p w:rsidR="00024C0A" w:rsidRDefault="00694C0F">
      <w:pPr>
        <w:pStyle w:val="indexentry0"/>
      </w:pPr>
      <w:hyperlink w:anchor="section_600a8463ba1f481cb30668cf2e39c541">
        <w:r>
          <w:rPr>
            <w:rStyle w:val="Hyperlink"/>
          </w:rPr>
          <w:t>cellSmart</w:t>
        </w:r>
        <w:r>
          <w:rPr>
            <w:rStyle w:val="Hyperlink"/>
          </w:rPr>
          <w:t>Tags (Cell Smart Tags)</w:t>
        </w:r>
      </w:hyperlink>
      <w:r>
        <w:t xml:space="preserve"> </w:t>
      </w:r>
      <w:r>
        <w:fldChar w:fldCharType="begin"/>
      </w:r>
      <w:r>
        <w:instrText>PAGEREF section_600a8463ba1f481cb30668cf2e39c541</w:instrText>
      </w:r>
      <w:r>
        <w:fldChar w:fldCharType="separate"/>
      </w:r>
      <w:r>
        <w:rPr>
          <w:noProof/>
        </w:rPr>
        <w:t>251</w:t>
      </w:r>
      <w:r>
        <w:fldChar w:fldCharType="end"/>
      </w:r>
    </w:p>
    <w:p w:rsidR="00024C0A" w:rsidRDefault="00694C0F">
      <w:pPr>
        <w:pStyle w:val="indexentry0"/>
      </w:pPr>
      <w:hyperlink w:anchor="section_dff6242bddbe4a768d6567496b074576">
        <w:r>
          <w:rPr>
            <w:rStyle w:val="Hyperlink"/>
          </w:rPr>
          <w:t>cellStyle (Cell Style)</w:t>
        </w:r>
      </w:hyperlink>
      <w:r>
        <w:t xml:space="preserve"> </w:t>
      </w:r>
      <w:r>
        <w:fldChar w:fldCharType="begin"/>
      </w:r>
      <w:r>
        <w:instrText>PAGEREF section_dff6242bddbe4a768d6567496b074576</w:instrText>
      </w:r>
      <w:r>
        <w:fldChar w:fldCharType="separate"/>
      </w:r>
      <w:r>
        <w:rPr>
          <w:noProof/>
        </w:rPr>
        <w:t>296</w:t>
      </w:r>
      <w:r>
        <w:fldChar w:fldCharType="end"/>
      </w:r>
    </w:p>
    <w:p w:rsidR="00024C0A" w:rsidRDefault="00694C0F">
      <w:pPr>
        <w:pStyle w:val="indexentry0"/>
      </w:pPr>
      <w:hyperlink w:anchor="section_991dac4a9f954af2af5a8cf088522ec1">
        <w:r>
          <w:rPr>
            <w:rStyle w:val="Hyperlink"/>
          </w:rPr>
          <w:t>cellStyles (Cell Styles)</w:t>
        </w:r>
      </w:hyperlink>
      <w:r>
        <w:t xml:space="preserve"> </w:t>
      </w:r>
      <w:r>
        <w:fldChar w:fldCharType="begin"/>
      </w:r>
      <w:r>
        <w:instrText>PAGEREF section_991dac4a9f954af2af5a8cf088522ec1</w:instrText>
      </w:r>
      <w:r>
        <w:fldChar w:fldCharType="separate"/>
      </w:r>
      <w:r>
        <w:rPr>
          <w:noProof/>
        </w:rPr>
        <w:t>296</w:t>
      </w:r>
      <w:r>
        <w:fldChar w:fldCharType="end"/>
      </w:r>
    </w:p>
    <w:p w:rsidR="00024C0A" w:rsidRDefault="00694C0F">
      <w:pPr>
        <w:pStyle w:val="indexentry0"/>
      </w:pPr>
      <w:hyperlink w:anchor="section_5c2f48dfe9034d4692bcf67d2f25ecb0">
        <w:r>
          <w:rPr>
            <w:rStyle w:val="Hyperlink"/>
          </w:rPr>
          <w:t>cellStyleXfs (Formatting Records)</w:t>
        </w:r>
      </w:hyperlink>
      <w:r>
        <w:t xml:space="preserve"> </w:t>
      </w:r>
      <w:r>
        <w:fldChar w:fldCharType="begin"/>
      </w:r>
      <w:r>
        <w:instrText>PAGEREF section_5c2f48dfe9034d4692bcf67d2f25ecb0</w:instrText>
      </w:r>
      <w:r>
        <w:fldChar w:fldCharType="separate"/>
      </w:r>
      <w:r>
        <w:rPr>
          <w:noProof/>
        </w:rPr>
        <w:t>297</w:t>
      </w:r>
      <w:r>
        <w:fldChar w:fldCharType="end"/>
      </w:r>
    </w:p>
    <w:p w:rsidR="00024C0A" w:rsidRDefault="00694C0F">
      <w:pPr>
        <w:pStyle w:val="indexentry0"/>
      </w:pPr>
      <w:hyperlink w:anchor="section_92990fe314d9435495cf5c413adeecf1">
        <w:r>
          <w:rPr>
            <w:rStyle w:val="Hyperlink"/>
          </w:rPr>
          <w:t>cellWatch (Cell Watch Item)</w:t>
        </w:r>
      </w:hyperlink>
      <w:r>
        <w:t xml:space="preserve"> </w:t>
      </w:r>
      <w:r>
        <w:fldChar w:fldCharType="begin"/>
      </w:r>
      <w:r>
        <w:instrText>PAGEREF section_92990fe314d9435495cf5c413adeecf1</w:instrText>
      </w:r>
      <w:r>
        <w:fldChar w:fldCharType="separate"/>
      </w:r>
      <w:r>
        <w:rPr>
          <w:noProof/>
        </w:rPr>
        <w:t>251</w:t>
      </w:r>
      <w:r>
        <w:fldChar w:fldCharType="end"/>
      </w:r>
    </w:p>
    <w:p w:rsidR="00024C0A" w:rsidRDefault="00694C0F">
      <w:pPr>
        <w:pStyle w:val="indexentry0"/>
      </w:pPr>
      <w:hyperlink w:anchor="section_d0f88a45c7c3456b9e212fd5577e9898">
        <w:r>
          <w:rPr>
            <w:rStyle w:val="Hyperlink"/>
          </w:rPr>
          <w:t>cellXfs (Cell Formats)</w:t>
        </w:r>
      </w:hyperlink>
      <w:r>
        <w:t xml:space="preserve"> </w:t>
      </w:r>
      <w:r>
        <w:fldChar w:fldCharType="begin"/>
      </w:r>
      <w:r>
        <w:instrText>PAGEREF section_d0f88a45c7c3456b9e2</w:instrText>
      </w:r>
      <w:r>
        <w:instrText>12fd5577e9898</w:instrText>
      </w:r>
      <w:r>
        <w:fldChar w:fldCharType="separate"/>
      </w:r>
      <w:r>
        <w:rPr>
          <w:noProof/>
        </w:rPr>
        <w:t>297</w:t>
      </w:r>
      <w:r>
        <w:fldChar w:fldCharType="end"/>
      </w:r>
    </w:p>
    <w:p w:rsidR="00024C0A" w:rsidRDefault="00694C0F">
      <w:pPr>
        <w:pStyle w:val="indexentry0"/>
      </w:pPr>
      <w:hyperlink w:anchor="section_4f8a3b1473d348f682a935925673f4d1">
        <w:r>
          <w:rPr>
            <w:rStyle w:val="Hyperlink"/>
          </w:rPr>
          <w:t>CF (Clipboard Format)</w:t>
        </w:r>
      </w:hyperlink>
      <w:r>
        <w:t xml:space="preserve"> </w:t>
      </w:r>
      <w:r>
        <w:fldChar w:fldCharType="begin"/>
      </w:r>
      <w:r>
        <w:instrText>PAGEREF section_4f8a3b1473d348f682a935925673f4d1</w:instrText>
      </w:r>
      <w:r>
        <w:fldChar w:fldCharType="separate"/>
      </w:r>
      <w:r>
        <w:rPr>
          <w:noProof/>
        </w:rPr>
        <w:t>674</w:t>
      </w:r>
      <w:r>
        <w:fldChar w:fldCharType="end"/>
      </w:r>
    </w:p>
    <w:p w:rsidR="00024C0A" w:rsidRDefault="00694C0F">
      <w:pPr>
        <w:pStyle w:val="indexentry0"/>
      </w:pPr>
      <w:hyperlink w:anchor="section_afe8b75e7f524999a2b8ad3255257de5">
        <w:r>
          <w:rPr>
            <w:rStyle w:val="Hyperlink"/>
          </w:rPr>
          <w:t>cfRule (Conditional Formatting Rule)</w:t>
        </w:r>
      </w:hyperlink>
      <w:r>
        <w:t xml:space="preserve"> </w:t>
      </w:r>
      <w:r>
        <w:fldChar w:fldCharType="begin"/>
      </w:r>
      <w:r>
        <w:instrText>PAGEREF section_afe8b75e7f524999a2b8ad3255257de5</w:instrText>
      </w:r>
      <w:r>
        <w:fldChar w:fldCharType="separate"/>
      </w:r>
      <w:r>
        <w:rPr>
          <w:noProof/>
        </w:rPr>
        <w:t>251</w:t>
      </w:r>
      <w:r>
        <w:fldChar w:fldCharType="end"/>
      </w:r>
    </w:p>
    <w:p w:rsidR="00024C0A" w:rsidRDefault="00694C0F">
      <w:pPr>
        <w:pStyle w:val="indexentry0"/>
      </w:pPr>
      <w:hyperlink w:anchor="section_cce7de7460434b7d87e59b763f19fb81">
        <w:r>
          <w:rPr>
            <w:rStyle w:val="Hyperlink"/>
          </w:rPr>
          <w:t>cfvo (Conditional Format Value Object)</w:t>
        </w:r>
      </w:hyperlink>
      <w:r>
        <w:t xml:space="preserve"> </w:t>
      </w:r>
      <w:r>
        <w:fldChar w:fldCharType="begin"/>
      </w:r>
      <w:r>
        <w:instrText>PAGEREF section_cce7de7460434b7d87e59b763f19fb81</w:instrText>
      </w:r>
      <w:r>
        <w:fldChar w:fldCharType="separate"/>
      </w:r>
      <w:r>
        <w:rPr>
          <w:noProof/>
        </w:rPr>
        <w:t>252</w:t>
      </w:r>
      <w:r>
        <w:fldChar w:fldCharType="end"/>
      </w:r>
    </w:p>
    <w:p w:rsidR="00024C0A" w:rsidRDefault="00694C0F">
      <w:pPr>
        <w:pStyle w:val="indexentry0"/>
      </w:pPr>
      <w:hyperlink w:anchor="section_3c0b4f327702471e8ffe325a915481b3">
        <w:r>
          <w:rPr>
            <w:rStyle w:val="Hyperlink"/>
          </w:rPr>
          <w:t>cGp (Matrix Column Gap)</w:t>
        </w:r>
      </w:hyperlink>
      <w:r>
        <w:t xml:space="preserve"> </w:t>
      </w:r>
      <w:r>
        <w:fldChar w:fldCharType="begin"/>
      </w:r>
      <w:r>
        <w:instrText>PAGEREF section_3c0b4f327702471e8ffe325a915481b3</w:instrText>
      </w:r>
      <w:r>
        <w:fldChar w:fldCharType="separate"/>
      </w:r>
      <w:r>
        <w:rPr>
          <w:noProof/>
        </w:rPr>
        <w:t>592</w:t>
      </w:r>
      <w:r>
        <w:fldChar w:fldCharType="end"/>
      </w:r>
    </w:p>
    <w:p w:rsidR="00024C0A" w:rsidRDefault="00694C0F">
      <w:pPr>
        <w:pStyle w:val="indexentry0"/>
      </w:pPr>
      <w:hyperlink w:anchor="section_371c0b7677f1445f8546de0c5b1ada0d">
        <w:r>
          <w:rPr>
            <w:rStyle w:val="Hyperlink"/>
          </w:rPr>
          <w:t>cGpRule (Matrix Column Gap Rule)</w:t>
        </w:r>
      </w:hyperlink>
      <w:r>
        <w:t xml:space="preserve"> </w:t>
      </w:r>
      <w:r>
        <w:fldChar w:fldCharType="begin"/>
      </w:r>
      <w:r>
        <w:instrText>PAGEREF section_371c0b7677f1445f8546de0c5b1ada0d</w:instrText>
      </w:r>
      <w:r>
        <w:fldChar w:fldCharType="separate"/>
      </w:r>
      <w:r>
        <w:rPr>
          <w:noProof/>
        </w:rPr>
        <w:t>592</w:t>
      </w:r>
      <w:r>
        <w:fldChar w:fldCharType="end"/>
      </w:r>
    </w:p>
    <w:p w:rsidR="00024C0A" w:rsidRDefault="00694C0F">
      <w:pPr>
        <w:pStyle w:val="indexentry0"/>
      </w:pPr>
      <w:hyperlink w:anchor="section_e4474de8f3b14dfeb6475bef678743ca">
        <w:r>
          <w:rPr>
            <w:rStyle w:val="Hyperlink"/>
          </w:rPr>
          <w:t>Change tracking</w:t>
        </w:r>
      </w:hyperlink>
      <w:r>
        <w:t xml:space="preserve"> </w:t>
      </w:r>
      <w:r>
        <w:fldChar w:fldCharType="begin"/>
      </w:r>
      <w:r>
        <w:instrText>PAGEREF section_e4474de8f3b14dfeb6475bef678743ca</w:instrText>
      </w:r>
      <w:r>
        <w:fldChar w:fldCharType="separate"/>
      </w:r>
      <w:r>
        <w:rPr>
          <w:noProof/>
        </w:rPr>
        <w:t>899</w:t>
      </w:r>
      <w:r>
        <w:fldChar w:fldCharType="end"/>
      </w:r>
    </w:p>
    <w:p w:rsidR="00024C0A" w:rsidRDefault="00694C0F">
      <w:pPr>
        <w:pStyle w:val="indexentry0"/>
      </w:pPr>
      <w:hyperlink w:anchor="section_d0b4598cf4e147ff91b08fb5abb708f3">
        <w:r>
          <w:rPr>
            <w:rStyle w:val="Hyperlink"/>
          </w:rPr>
          <w:t>charRg (Character Range)</w:t>
        </w:r>
      </w:hyperlink>
      <w:r>
        <w:t xml:space="preserve"> </w:t>
      </w:r>
      <w:r>
        <w:fldChar w:fldCharType="begin"/>
      </w:r>
      <w:r>
        <w:instrText>PAGEREF section_d0b4598cf4e147ff91b08fb5abb708f3</w:instrText>
      </w:r>
      <w:r>
        <w:fldChar w:fldCharType="separate"/>
      </w:r>
      <w:r>
        <w:rPr>
          <w:noProof/>
        </w:rPr>
        <w:t>479</w:t>
      </w:r>
      <w:r>
        <w:fldChar w:fldCharType="end"/>
      </w:r>
    </w:p>
    <w:p w:rsidR="00024C0A" w:rsidRDefault="00694C0F">
      <w:pPr>
        <w:pStyle w:val="indexentry0"/>
      </w:pPr>
      <w:hyperlink w:anchor="section_52357dd845fc4d83b9aa87787d22666a">
        <w:r>
          <w:rPr>
            <w:rStyle w:val="Hyperlink"/>
          </w:rPr>
          <w:t>charset (Character Set Supported By Font)</w:t>
        </w:r>
      </w:hyperlink>
      <w:r>
        <w:t xml:space="preserve"> </w:t>
      </w:r>
      <w:r>
        <w:fldChar w:fldCharType="begin"/>
      </w:r>
      <w:r>
        <w:instrText>PAGEREF section_52357dd845fc4d83b9aa87787d22666a</w:instrText>
      </w:r>
      <w:r>
        <w:fldChar w:fldCharType="separate"/>
      </w:r>
      <w:r>
        <w:rPr>
          <w:noProof/>
        </w:rPr>
        <w:t>121</w:t>
      </w:r>
      <w:r>
        <w:fldChar w:fldCharType="end"/>
      </w:r>
    </w:p>
    <w:p w:rsidR="00024C0A" w:rsidRDefault="00694C0F">
      <w:pPr>
        <w:pStyle w:val="indexentry0"/>
      </w:pPr>
      <w:hyperlink w:anchor="section_3a29b98ed48f444fa30ce872a4ebc349">
        <w:r>
          <w:rPr>
            <w:rStyle w:val="Hyperlink"/>
          </w:rPr>
          <w:t>Chart Drawing Part</w:t>
        </w:r>
      </w:hyperlink>
      <w:r>
        <w:t xml:space="preserve"> </w:t>
      </w:r>
      <w:r>
        <w:fldChar w:fldCharType="begin"/>
      </w:r>
      <w:r>
        <w:instrText>PAGEREF section_3a29b</w:instrText>
      </w:r>
      <w:r>
        <w:instrText>98ed48f444fa30ce872a4ebc349</w:instrText>
      </w:r>
      <w:r>
        <w:fldChar w:fldCharType="separate"/>
      </w:r>
      <w:r>
        <w:rPr>
          <w:noProof/>
        </w:rPr>
        <w:t>54</w:t>
      </w:r>
      <w:r>
        <w:fldChar w:fldCharType="end"/>
      </w:r>
    </w:p>
    <w:p w:rsidR="00024C0A" w:rsidRDefault="00694C0F">
      <w:pPr>
        <w:pStyle w:val="indexentry0"/>
      </w:pPr>
      <w:hyperlink w:anchor="section_a7f5e690608d4293affbcbe334eb4b62">
        <w:r>
          <w:rPr>
            <w:rStyle w:val="Hyperlink"/>
          </w:rPr>
          <w:t>Chart formulas</w:t>
        </w:r>
      </w:hyperlink>
      <w:r>
        <w:t xml:space="preserve"> </w:t>
      </w:r>
      <w:r>
        <w:fldChar w:fldCharType="begin"/>
      </w:r>
      <w:r>
        <w:instrText>PAGEREF section_a7f5e690608d4293affbcbe334eb4b62</w:instrText>
      </w:r>
      <w:r>
        <w:fldChar w:fldCharType="separate"/>
      </w:r>
      <w:r>
        <w:rPr>
          <w:noProof/>
        </w:rPr>
        <w:t>840</w:t>
      </w:r>
      <w:r>
        <w:fldChar w:fldCharType="end"/>
      </w:r>
    </w:p>
    <w:p w:rsidR="00024C0A" w:rsidRDefault="00694C0F">
      <w:pPr>
        <w:pStyle w:val="indexentry0"/>
      </w:pPr>
      <w:hyperlink w:anchor="section_9d6cf39365424a73a890ee66e3e0dad7">
        <w:r>
          <w:rPr>
            <w:rStyle w:val="Hyperlink"/>
          </w:rPr>
          <w:t>Chart Part</w:t>
        </w:r>
      </w:hyperlink>
      <w:r>
        <w:t xml:space="preserve"> </w:t>
      </w:r>
      <w:r>
        <w:fldChar w:fldCharType="begin"/>
      </w:r>
      <w:r>
        <w:instrText>PAGEREF section_9d6cf</w:instrText>
      </w:r>
      <w:r>
        <w:instrText>39365424a73a890ee66e3e0dad7</w:instrText>
      </w:r>
      <w:r>
        <w:fldChar w:fldCharType="separate"/>
      </w:r>
      <w:r>
        <w:rPr>
          <w:noProof/>
        </w:rPr>
        <w:t>54</w:t>
      </w:r>
      <w:r>
        <w:fldChar w:fldCharType="end"/>
      </w:r>
    </w:p>
    <w:p w:rsidR="00024C0A" w:rsidRDefault="00694C0F">
      <w:pPr>
        <w:pStyle w:val="indexentry0"/>
      </w:pPr>
      <w:hyperlink w:anchor="section_9e183000e99d4de69b77a628dda03422">
        <w:r>
          <w:rPr>
            <w:rStyle w:val="Hyperlink"/>
          </w:rPr>
          <w:t>chartFormat (PivotChart Format)</w:t>
        </w:r>
      </w:hyperlink>
      <w:r>
        <w:t xml:space="preserve"> </w:t>
      </w:r>
      <w:r>
        <w:fldChar w:fldCharType="begin"/>
      </w:r>
      <w:r>
        <w:instrText>PAGEREF section_9e183000e99d4de69b77a628dda03422</w:instrText>
      </w:r>
      <w:r>
        <w:fldChar w:fldCharType="separate"/>
      </w:r>
      <w:r>
        <w:rPr>
          <w:noProof/>
        </w:rPr>
        <w:t>329</w:t>
      </w:r>
      <w:r>
        <w:fldChar w:fldCharType="end"/>
      </w:r>
    </w:p>
    <w:p w:rsidR="00024C0A" w:rsidRDefault="00694C0F">
      <w:pPr>
        <w:pStyle w:val="indexentry0"/>
      </w:pPr>
      <w:hyperlink w:anchor="section_f0443747f6a14f2bb35a3b4159cf25f9">
        <w:r>
          <w:rPr>
            <w:rStyle w:val="Hyperlink"/>
          </w:rPr>
          <w:t>chartObject (Chart Object)</w:t>
        </w:r>
      </w:hyperlink>
      <w:r>
        <w:t xml:space="preserve"> </w:t>
      </w:r>
      <w:r>
        <w:fldChar w:fldCharType="begin"/>
      </w:r>
      <w:r>
        <w:instrText>PAGEREF section_f0443747f6a14f2bb35a3b4159cf25f9</w:instrText>
      </w:r>
      <w:r>
        <w:fldChar w:fldCharType="separate"/>
      </w:r>
      <w:r>
        <w:rPr>
          <w:noProof/>
        </w:rPr>
        <w:t>543</w:t>
      </w:r>
      <w:r>
        <w:fldChar w:fldCharType="end"/>
      </w:r>
    </w:p>
    <w:p w:rsidR="00024C0A" w:rsidRDefault="00694C0F">
      <w:pPr>
        <w:pStyle w:val="indexentry0"/>
      </w:pPr>
      <w:hyperlink w:anchor="section_8689ba908b1f43409eb3e48fc9c391e2">
        <w:r>
          <w:rPr>
            <w:rStyle w:val="Hyperlink"/>
          </w:rPr>
          <w:t>chartsheet (Chart Sheet)</w:t>
        </w:r>
      </w:hyperlink>
      <w:r>
        <w:t xml:space="preserve"> </w:t>
      </w:r>
      <w:r>
        <w:fldChar w:fldCharType="begin"/>
      </w:r>
      <w:r>
        <w:instrText>PAGEREF section_8689ba908b1f43409eb3e48fc9c391e2</w:instrText>
      </w:r>
      <w:r>
        <w:fldChar w:fldCharType="separate"/>
      </w:r>
      <w:r>
        <w:rPr>
          <w:noProof/>
        </w:rPr>
        <w:t>252</w:t>
      </w:r>
      <w:r>
        <w:fldChar w:fldCharType="end"/>
      </w:r>
    </w:p>
    <w:p w:rsidR="00024C0A" w:rsidRDefault="00694C0F">
      <w:pPr>
        <w:pStyle w:val="indexentry0"/>
      </w:pPr>
      <w:hyperlink w:anchor="section_ad7b4b63522f4b6191bc56ec1602b872">
        <w:r>
          <w:rPr>
            <w:rStyle w:val="Hyperlink"/>
          </w:rPr>
          <w:t>Chartsheet Part</w:t>
        </w:r>
      </w:hyperlink>
      <w:r>
        <w:t xml:space="preserve"> </w:t>
      </w:r>
      <w:r>
        <w:fldChar w:fldCharType="begin"/>
      </w:r>
      <w:r>
        <w:instrText>PAGEREF section_ad7b4b63522f4b6191bc56ec1602b872</w:instrText>
      </w:r>
      <w:r>
        <w:fldChar w:fldCharType="separate"/>
      </w:r>
      <w:r>
        <w:rPr>
          <w:noProof/>
        </w:rPr>
        <w:t>47</w:t>
      </w:r>
      <w:r>
        <w:fldChar w:fldCharType="end"/>
      </w:r>
    </w:p>
    <w:p w:rsidR="00024C0A" w:rsidRDefault="00694C0F">
      <w:pPr>
        <w:pStyle w:val="indexentry0"/>
      </w:pPr>
      <w:hyperlink w:anchor="section_82e2e7bd829d475881e6caf57fea72d4">
        <w:r>
          <w:rPr>
            <w:rStyle w:val="Hyperlink"/>
          </w:rPr>
          <w:t>checkErrors (Mail Merge Error Reporting Setting)</w:t>
        </w:r>
      </w:hyperlink>
      <w:r>
        <w:t xml:space="preserve"> </w:t>
      </w:r>
      <w:r>
        <w:fldChar w:fldCharType="begin"/>
      </w:r>
      <w:r>
        <w:instrText>PAGEREF secti</w:instrText>
      </w:r>
      <w:r>
        <w:instrText>on_82e2e7bd829d475881e6caf57fea72d4</w:instrText>
      </w:r>
      <w:r>
        <w:fldChar w:fldCharType="separate"/>
      </w:r>
      <w:r>
        <w:rPr>
          <w:noProof/>
        </w:rPr>
        <w:t>141</w:t>
      </w:r>
      <w:r>
        <w:fldChar w:fldCharType="end"/>
      </w:r>
    </w:p>
    <w:p w:rsidR="00024C0A" w:rsidRDefault="00694C0F">
      <w:pPr>
        <w:pStyle w:val="indexentry0"/>
      </w:pPr>
      <w:hyperlink w:anchor="section_f8503f451cbd45bdb570375c5a029720">
        <w:r>
          <w:rPr>
            <w:rStyle w:val="Hyperlink"/>
          </w:rPr>
          <w:t>chExt (Child Extents)</w:t>
        </w:r>
      </w:hyperlink>
      <w:r>
        <w:t xml:space="preserve"> </w:t>
      </w:r>
      <w:r>
        <w:fldChar w:fldCharType="begin"/>
      </w:r>
      <w:r>
        <w:instrText>PAGEREF section_f8503f451cbd45bdb570375c5a029720</w:instrText>
      </w:r>
      <w:r>
        <w:fldChar w:fldCharType="separate"/>
      </w:r>
      <w:r>
        <w:rPr>
          <w:noProof/>
        </w:rPr>
        <w:t>507</w:t>
      </w:r>
      <w:r>
        <w:fldChar w:fldCharType="end"/>
      </w:r>
    </w:p>
    <w:p w:rsidR="00024C0A" w:rsidRDefault="00694C0F">
      <w:pPr>
        <w:pStyle w:val="indexentry0"/>
      </w:pPr>
      <w:hyperlink w:anchor="section_ea535fffeba54b7eb9d5875c916ad0a9">
        <w:r>
          <w:rPr>
            <w:rStyle w:val="Hyperlink"/>
          </w:rPr>
          <w:t>CHIINV</w:t>
        </w:r>
      </w:hyperlink>
      <w:r>
        <w:t xml:space="preserve"> </w:t>
      </w:r>
      <w:r>
        <w:fldChar w:fldCharType="begin"/>
      </w:r>
      <w:r>
        <w:instrText>PAGEREF se</w:instrText>
      </w:r>
      <w:r>
        <w:instrText>ction_ea535fffeba54b7eb9d5875c916ad0a9</w:instrText>
      </w:r>
      <w:r>
        <w:fldChar w:fldCharType="separate"/>
      </w:r>
      <w:r>
        <w:rPr>
          <w:noProof/>
        </w:rPr>
        <w:t>406</w:t>
      </w:r>
      <w:r>
        <w:fldChar w:fldCharType="end"/>
      </w:r>
    </w:p>
    <w:p w:rsidR="00024C0A" w:rsidRDefault="00694C0F">
      <w:pPr>
        <w:pStyle w:val="indexentry0"/>
      </w:pPr>
      <w:hyperlink w:anchor="section_bb0ea49131314a6aadc803f173655076">
        <w:r>
          <w:rPr>
            <w:rStyle w:val="Hyperlink"/>
          </w:rPr>
          <w:t>chOff (Child Offset)</w:t>
        </w:r>
      </w:hyperlink>
      <w:r>
        <w:t xml:space="preserve"> </w:t>
      </w:r>
      <w:r>
        <w:fldChar w:fldCharType="begin"/>
      </w:r>
      <w:r>
        <w:instrText>PAGEREF section_bb0ea49131314a6aadc803f173655076</w:instrText>
      </w:r>
      <w:r>
        <w:fldChar w:fldCharType="separate"/>
      </w:r>
      <w:r>
        <w:rPr>
          <w:noProof/>
        </w:rPr>
        <w:t>508</w:t>
      </w:r>
      <w:r>
        <w:fldChar w:fldCharType="end"/>
      </w:r>
    </w:p>
    <w:p w:rsidR="00024C0A" w:rsidRDefault="00694C0F">
      <w:pPr>
        <w:pStyle w:val="indexentry0"/>
      </w:pPr>
      <w:hyperlink w:anchor="section_706517631bd24fa2ae94420b4a980998">
        <w:r>
          <w:rPr>
            <w:rStyle w:val="Hyperlink"/>
          </w:rPr>
          <w:t>CITATION</w:t>
        </w:r>
      </w:hyperlink>
      <w:r>
        <w:t xml:space="preserve"> </w:t>
      </w:r>
      <w:r>
        <w:fldChar w:fldCharType="begin"/>
      </w:r>
      <w:r>
        <w:instrText>PAGERE</w:instrText>
      </w:r>
      <w:r>
        <w:instrText>F section_706517631bd24fa2ae94420b4a980998</w:instrText>
      </w:r>
      <w:r>
        <w:fldChar w:fldCharType="separate"/>
      </w:r>
      <w:r>
        <w:rPr>
          <w:noProof/>
        </w:rPr>
        <w:t>185</w:t>
      </w:r>
      <w:r>
        <w:fldChar w:fldCharType="end"/>
      </w:r>
    </w:p>
    <w:p w:rsidR="00024C0A" w:rsidRDefault="00694C0F">
      <w:pPr>
        <w:pStyle w:val="indexentry0"/>
      </w:pPr>
      <w:hyperlink w:anchor="section_6b555c7bc86744e48241299daf41f91f">
        <w:r>
          <w:rPr>
            <w:rStyle w:val="Hyperlink"/>
          </w:rPr>
          <w:t>CLEAN</w:t>
        </w:r>
      </w:hyperlink>
      <w:r>
        <w:t xml:space="preserve"> </w:t>
      </w:r>
      <w:r>
        <w:fldChar w:fldCharType="begin"/>
      </w:r>
      <w:r>
        <w:instrText>PAGEREF section_6b555c7bc86744e48241299daf41f91f</w:instrText>
      </w:r>
      <w:r>
        <w:fldChar w:fldCharType="separate"/>
      </w:r>
      <w:r>
        <w:rPr>
          <w:noProof/>
        </w:rPr>
        <w:t>406</w:t>
      </w:r>
      <w:r>
        <w:fldChar w:fldCharType="end"/>
      </w:r>
    </w:p>
    <w:p w:rsidR="00024C0A" w:rsidRDefault="00694C0F">
      <w:pPr>
        <w:pStyle w:val="indexentry0"/>
      </w:pPr>
      <w:hyperlink w:anchor="section_a388debef4624d05aac2e61c2edeb110">
        <w:r>
          <w:rPr>
            <w:rStyle w:val="Hyperlink"/>
          </w:rPr>
          <w:t>clickAndTypeStyle (Paragraph</w:t>
        </w:r>
        <w:r>
          <w:rPr>
            <w:rStyle w:val="Hyperlink"/>
          </w:rPr>
          <w:t xml:space="preserve"> Style Applied to Automatically Generated Paragraphs)</w:t>
        </w:r>
      </w:hyperlink>
      <w:r>
        <w:t xml:space="preserve"> </w:t>
      </w:r>
      <w:r>
        <w:fldChar w:fldCharType="begin"/>
      </w:r>
      <w:r>
        <w:instrText>PAGEREF section_a388debef4624d05aac2e61c2edeb110</w:instrText>
      </w:r>
      <w:r>
        <w:fldChar w:fldCharType="separate"/>
      </w:r>
      <w:r>
        <w:rPr>
          <w:noProof/>
        </w:rPr>
        <w:t>150</w:t>
      </w:r>
      <w:r>
        <w:fldChar w:fldCharType="end"/>
      </w:r>
    </w:p>
    <w:p w:rsidR="00024C0A" w:rsidRDefault="00694C0F">
      <w:pPr>
        <w:pStyle w:val="indexentry0"/>
      </w:pPr>
      <w:hyperlink w:anchor="section_4ed4ba3ad2844c2f954abeeb4c0b45cf">
        <w:r>
          <w:rPr>
            <w:rStyle w:val="Hyperlink"/>
          </w:rPr>
          <w:t>ClientData (Attached Object Data)</w:t>
        </w:r>
      </w:hyperlink>
      <w:r>
        <w:t xml:space="preserve"> </w:t>
      </w:r>
      <w:r>
        <w:fldChar w:fldCharType="begin"/>
      </w:r>
      <w:r>
        <w:instrText>PAGEREF section_4ed4ba3ad2844c2f954abeeb4c0b45cf</w:instrText>
      </w:r>
      <w:r>
        <w:fldChar w:fldCharType="separate"/>
      </w:r>
      <w:r>
        <w:rPr>
          <w:noProof/>
        </w:rPr>
        <w:t>674</w:t>
      </w:r>
      <w:r>
        <w:fldChar w:fldCharType="end"/>
      </w:r>
    </w:p>
    <w:p w:rsidR="00024C0A" w:rsidRDefault="00694C0F">
      <w:pPr>
        <w:pStyle w:val="indexentry0"/>
      </w:pPr>
      <w:hyperlink w:anchor="section_38d8fc638f7340688de735a4b20b55e3">
        <w:r>
          <w:rPr>
            <w:rStyle w:val="Hyperlink"/>
          </w:rPr>
          <w:t>clippath (Shape Clipping Path)</w:t>
        </w:r>
      </w:hyperlink>
      <w:r>
        <w:t xml:space="preserve"> </w:t>
      </w:r>
      <w:r>
        <w:fldChar w:fldCharType="begin"/>
      </w:r>
      <w:r>
        <w:instrText>PAGEREF section_38d8fc638f7340688de735a4b20b55e3</w:instrText>
      </w:r>
      <w:r>
        <w:fldChar w:fldCharType="separate"/>
      </w:r>
      <w:r>
        <w:rPr>
          <w:noProof/>
        </w:rPr>
        <w:t>660</w:t>
      </w:r>
      <w:r>
        <w:fldChar w:fldCharType="end"/>
      </w:r>
    </w:p>
    <w:p w:rsidR="00024C0A" w:rsidRDefault="00694C0F">
      <w:pPr>
        <w:pStyle w:val="indexentry0"/>
      </w:pPr>
      <w:hyperlink w:anchor="section_5860f81613d34a839e63bcd1e0808404">
        <w:r>
          <w:rPr>
            <w:rStyle w:val="Hyperlink"/>
          </w:rPr>
          <w:t>clrChange (Color Change Effect)</w:t>
        </w:r>
      </w:hyperlink>
      <w:r>
        <w:t xml:space="preserve"> </w:t>
      </w:r>
      <w:r>
        <w:fldChar w:fldCharType="begin"/>
      </w:r>
      <w:r>
        <w:instrText>PAGEREF sectio</w:instrText>
      </w:r>
      <w:r>
        <w:instrText>n_5860f81613d34a839e63bcd1e0808404</w:instrText>
      </w:r>
      <w:r>
        <w:fldChar w:fldCharType="separate"/>
      </w:r>
      <w:r>
        <w:rPr>
          <w:noProof/>
        </w:rPr>
        <w:t>511</w:t>
      </w:r>
      <w:r>
        <w:fldChar w:fldCharType="end"/>
      </w:r>
    </w:p>
    <w:p w:rsidR="00024C0A" w:rsidRDefault="00694C0F">
      <w:pPr>
        <w:pStyle w:val="indexentry0"/>
      </w:pPr>
      <w:hyperlink w:anchor="section_c5fa41c376e24122a014ef3257b4e280">
        <w:r>
          <w:rPr>
            <w:rStyle w:val="Hyperlink"/>
          </w:rPr>
          <w:t>clrData (Color Transform Sample Data)</w:t>
        </w:r>
      </w:hyperlink>
      <w:r>
        <w:t xml:space="preserve"> </w:t>
      </w:r>
      <w:r>
        <w:fldChar w:fldCharType="begin"/>
      </w:r>
      <w:r>
        <w:instrText>PAGEREF section_c5fa41c376e24122a014ef3257b4e280</w:instrText>
      </w:r>
      <w:r>
        <w:fldChar w:fldCharType="separate"/>
      </w:r>
      <w:r>
        <w:rPr>
          <w:noProof/>
        </w:rPr>
        <w:t>580</w:t>
      </w:r>
      <w:r>
        <w:fldChar w:fldCharType="end"/>
      </w:r>
    </w:p>
    <w:p w:rsidR="00024C0A" w:rsidRDefault="00694C0F">
      <w:pPr>
        <w:pStyle w:val="indexentry0"/>
      </w:pPr>
      <w:hyperlink w:anchor="section_1be239133f8840ab9cb22790be8c549d">
        <w:r>
          <w:rPr>
            <w:rStyle w:val="Hyperlink"/>
          </w:rPr>
          <w:t>clrS</w:t>
        </w:r>
        <w:r>
          <w:rPr>
            <w:rStyle w:val="Hyperlink"/>
          </w:rPr>
          <w:t>chemeMapping (Theme Color Mappings)</w:t>
        </w:r>
      </w:hyperlink>
      <w:r>
        <w:t xml:space="preserve"> </w:t>
      </w:r>
      <w:r>
        <w:fldChar w:fldCharType="begin"/>
      </w:r>
      <w:r>
        <w:instrText>PAGEREF section_1be239133f8840ab9cb22790be8c549d</w:instrText>
      </w:r>
      <w:r>
        <w:fldChar w:fldCharType="separate"/>
      </w:r>
      <w:r>
        <w:rPr>
          <w:noProof/>
        </w:rPr>
        <w:t>150</w:t>
      </w:r>
      <w:r>
        <w:fldChar w:fldCharType="end"/>
      </w:r>
    </w:p>
    <w:p w:rsidR="00024C0A" w:rsidRDefault="00694C0F">
      <w:pPr>
        <w:pStyle w:val="indexentry0"/>
      </w:pPr>
      <w:hyperlink w:anchor="section_b8e078b34b5c4f0db94ffb4bb16bf5a8">
        <w:r>
          <w:rPr>
            <w:rStyle w:val="Hyperlink"/>
          </w:rPr>
          <w:t>clsid (Class ID)</w:t>
        </w:r>
      </w:hyperlink>
      <w:r>
        <w:t xml:space="preserve"> </w:t>
      </w:r>
      <w:r>
        <w:fldChar w:fldCharType="begin"/>
      </w:r>
      <w:r>
        <w:instrText>PAGEREF section_b8e078b34b5c4f0db94ffb4bb16bf5a8</w:instrText>
      </w:r>
      <w:r>
        <w:fldChar w:fldCharType="separate"/>
      </w:r>
      <w:r>
        <w:rPr>
          <w:noProof/>
        </w:rPr>
        <w:t>608</w:t>
      </w:r>
      <w:r>
        <w:fldChar w:fldCharType="end"/>
      </w:r>
    </w:p>
    <w:p w:rsidR="00024C0A" w:rsidRDefault="00694C0F">
      <w:pPr>
        <w:pStyle w:val="indexentry0"/>
      </w:pPr>
      <w:hyperlink w:anchor="section_c171db8d5e194fbbb38d379bca4fa451">
        <w:r>
          <w:rPr>
            <w:rStyle w:val="Hyperlink"/>
          </w:rPr>
          <w:t>cm (Comment)</w:t>
        </w:r>
      </w:hyperlink>
      <w:r>
        <w:t xml:space="preserve"> </w:t>
      </w:r>
      <w:r>
        <w:fldChar w:fldCharType="begin"/>
      </w:r>
      <w:r>
        <w:instrText>PAGEREF section_c171db8d5e194fbbb38d379bca4fa451</w:instrText>
      </w:r>
      <w:r>
        <w:fldChar w:fldCharType="separate"/>
      </w:r>
      <w:r>
        <w:rPr>
          <w:noProof/>
        </w:rPr>
        <w:t>469</w:t>
      </w:r>
      <w:r>
        <w:fldChar w:fldCharType="end"/>
      </w:r>
    </w:p>
    <w:p w:rsidR="00024C0A" w:rsidRDefault="00694C0F">
      <w:pPr>
        <w:pStyle w:val="indexentry0"/>
      </w:pPr>
      <w:hyperlink w:anchor="section_df47e7534a9149aab3417f3c92cb9878">
        <w:r>
          <w:rPr>
            <w:rStyle w:val="Hyperlink"/>
          </w:rPr>
          <w:t>cmd (Command)</w:t>
        </w:r>
      </w:hyperlink>
      <w:r>
        <w:t xml:space="preserve"> </w:t>
      </w:r>
      <w:r>
        <w:fldChar w:fldCharType="begin"/>
      </w:r>
      <w:r>
        <w:instrText>PAGEREF section_df47e7534a9149aab3417f3c92cb9878</w:instrText>
      </w:r>
      <w:r>
        <w:fldChar w:fldCharType="separate"/>
      </w:r>
      <w:r>
        <w:rPr>
          <w:noProof/>
        </w:rPr>
        <w:t>479</w:t>
      </w:r>
      <w:r>
        <w:fldChar w:fldCharType="end"/>
      </w:r>
    </w:p>
    <w:p w:rsidR="00024C0A" w:rsidRDefault="00694C0F">
      <w:pPr>
        <w:pStyle w:val="indexentry0"/>
      </w:pPr>
      <w:hyperlink w:anchor="section_9fb1b81dd5a14aae911fd0be67f559f3">
        <w:r>
          <w:rPr>
            <w:rStyle w:val="Hyperlink"/>
          </w:rPr>
          <w:t>cMediaNode (Common Media Node Properties)</w:t>
        </w:r>
      </w:hyperlink>
      <w:r>
        <w:t xml:space="preserve"> </w:t>
      </w:r>
      <w:r>
        <w:fldChar w:fldCharType="begin"/>
      </w:r>
      <w:r>
        <w:instrText>PAGEREF section_9fb1b81dd5a14aae911fd0be67f559f3</w:instrText>
      </w:r>
      <w:r>
        <w:fldChar w:fldCharType="separate"/>
      </w:r>
      <w:r>
        <w:rPr>
          <w:noProof/>
        </w:rPr>
        <w:t>480</w:t>
      </w:r>
      <w:r>
        <w:fldChar w:fldCharType="end"/>
      </w:r>
    </w:p>
    <w:p w:rsidR="00024C0A" w:rsidRDefault="00694C0F">
      <w:pPr>
        <w:pStyle w:val="indexentry0"/>
      </w:pPr>
      <w:hyperlink w:anchor="section_2a155d8805864ebead3f635ec13a691b">
        <w:r>
          <w:rPr>
            <w:rStyle w:val="Hyperlink"/>
          </w:rPr>
          <w:t>cnfStyle (Paragraph Conditional Formatting)</w:t>
        </w:r>
      </w:hyperlink>
      <w:r>
        <w:t xml:space="preserve"> </w:t>
      </w:r>
      <w:r>
        <w:fldChar w:fldCharType="begin"/>
      </w:r>
      <w:r>
        <w:instrText>PAGEREF section_2a155d880</w:instrText>
      </w:r>
      <w:r>
        <w:instrText>5864ebead3f635ec13a691b</w:instrText>
      </w:r>
      <w:r>
        <w:fldChar w:fldCharType="separate"/>
      </w:r>
      <w:r>
        <w:rPr>
          <w:noProof/>
        </w:rPr>
        <w:t>63</w:t>
      </w:r>
      <w:r>
        <w:fldChar w:fldCharType="end"/>
      </w:r>
    </w:p>
    <w:p w:rsidR="00024C0A" w:rsidRDefault="00694C0F">
      <w:pPr>
        <w:pStyle w:val="indexentry0"/>
      </w:pPr>
      <w:hyperlink w:anchor="section_0a28293f8ae14ef889f29e0f11b6281f">
        <w:r>
          <w:rPr>
            <w:rStyle w:val="Hyperlink"/>
          </w:rPr>
          <w:t>cnfStyle (Table Cell Conditional Formatting)</w:t>
        </w:r>
      </w:hyperlink>
      <w:r>
        <w:t xml:space="preserve"> </w:t>
      </w:r>
      <w:r>
        <w:fldChar w:fldCharType="begin"/>
      </w:r>
      <w:r>
        <w:instrText>PAGEREF section_0a28293f8ae14ef889f29e0f11b6281f</w:instrText>
      </w:r>
      <w:r>
        <w:fldChar w:fldCharType="separate"/>
      </w:r>
      <w:r>
        <w:rPr>
          <w:noProof/>
        </w:rPr>
        <w:t>82</w:t>
      </w:r>
      <w:r>
        <w:fldChar w:fldCharType="end"/>
      </w:r>
    </w:p>
    <w:p w:rsidR="00024C0A" w:rsidRDefault="00694C0F">
      <w:pPr>
        <w:pStyle w:val="indexentry0"/>
      </w:pPr>
      <w:hyperlink w:anchor="section_00d36f3922a349eb925e84c7bba02c37">
        <w:r>
          <w:rPr>
            <w:rStyle w:val="Hyperlink"/>
          </w:rPr>
          <w:t>cnfStyle (Table Row Conditional Formatting)</w:t>
        </w:r>
      </w:hyperlink>
      <w:r>
        <w:t xml:space="preserve"> </w:t>
      </w:r>
      <w:r>
        <w:fldChar w:fldCharType="begin"/>
      </w:r>
      <w:r>
        <w:instrText>PAGEREF section_00d36f3922a349eb925e84c7bba02c37</w:instrText>
      </w:r>
      <w:r>
        <w:fldChar w:fldCharType="separate"/>
      </w:r>
      <w:r>
        <w:rPr>
          <w:noProof/>
        </w:rPr>
        <w:t>82</w:t>
      </w:r>
      <w:r>
        <w:fldChar w:fldCharType="end"/>
      </w:r>
    </w:p>
    <w:p w:rsidR="00024C0A" w:rsidRDefault="00694C0F">
      <w:pPr>
        <w:pStyle w:val="indexentry0"/>
      </w:pPr>
      <w:hyperlink w:anchor="section_b27c7603f2c646ed85f31ca87fc85510">
        <w:r>
          <w:rPr>
            <w:rStyle w:val="Hyperlink"/>
          </w:rPr>
          <w:t>cNvCxnSpPr (Non-Visual Connector Shape Drawing Properties)</w:t>
        </w:r>
      </w:hyperlink>
      <w:r>
        <w:t xml:space="preserve"> </w:t>
      </w:r>
      <w:r>
        <w:fldChar w:fldCharType="begin"/>
      </w:r>
      <w:r>
        <w:instrText>PAGEREF section_b27c7603f2c646ed85f3</w:instrText>
      </w:r>
      <w:r>
        <w:instrText>1ca87fc85510</w:instrText>
      </w:r>
      <w:r>
        <w:fldChar w:fldCharType="separate"/>
      </w:r>
      <w:r>
        <w:rPr>
          <w:noProof/>
        </w:rPr>
        <w:t>494</w:t>
      </w:r>
      <w:r>
        <w:fldChar w:fldCharType="end"/>
      </w:r>
    </w:p>
    <w:p w:rsidR="00024C0A" w:rsidRDefault="00694C0F">
      <w:pPr>
        <w:pStyle w:val="indexentry0"/>
      </w:pPr>
      <w:hyperlink w:anchor="section_bc12d6f013324416aecd30dfeb62091b">
        <w:r>
          <w:rPr>
            <w:rStyle w:val="Hyperlink"/>
          </w:rPr>
          <w:t>cNvGraphicFramePr (Non-Visual Graphic Frame Drawing Properties)</w:t>
        </w:r>
      </w:hyperlink>
      <w:r>
        <w:t xml:space="preserve"> </w:t>
      </w:r>
      <w:r>
        <w:fldChar w:fldCharType="begin"/>
      </w:r>
      <w:r>
        <w:instrText>PAGEREF section_bc12d6f013324416aecd30dfeb62091b</w:instrText>
      </w:r>
      <w:r>
        <w:fldChar w:fldCharType="separate"/>
      </w:r>
      <w:r>
        <w:rPr>
          <w:noProof/>
        </w:rPr>
        <w:t>494</w:t>
      </w:r>
      <w:r>
        <w:fldChar w:fldCharType="end"/>
      </w:r>
    </w:p>
    <w:p w:rsidR="00024C0A" w:rsidRDefault="00694C0F">
      <w:pPr>
        <w:pStyle w:val="indexentry0"/>
      </w:pPr>
      <w:hyperlink w:anchor="section_58cd5b4217c74759959b4c5a2f6bf763">
        <w:r>
          <w:rPr>
            <w:rStyle w:val="Hyperlink"/>
          </w:rPr>
          <w:t>cNvGrpSpPr (Non-Visual Group Shape Drawing Properties)</w:t>
        </w:r>
      </w:hyperlink>
      <w:r>
        <w:t xml:space="preserve"> </w:t>
      </w:r>
      <w:r>
        <w:fldChar w:fldCharType="begin"/>
      </w:r>
      <w:r>
        <w:instrText>PAGEREF section_58cd5b4217c74759959b4c5a2f6bf763</w:instrText>
      </w:r>
      <w:r>
        <w:fldChar w:fldCharType="separate"/>
      </w:r>
      <w:r>
        <w:rPr>
          <w:noProof/>
        </w:rPr>
        <w:t>494</w:t>
      </w:r>
      <w:r>
        <w:fldChar w:fldCharType="end"/>
      </w:r>
    </w:p>
    <w:p w:rsidR="00024C0A" w:rsidRDefault="00694C0F">
      <w:pPr>
        <w:pStyle w:val="indexentry0"/>
      </w:pPr>
      <w:r>
        <w:t>cNvPr (Non-Visual Drawing Properties) (</w:t>
      </w:r>
      <w:hyperlink w:anchor="section_3d4d8b5b07bd48f588194c8adae68ad3">
        <w:r>
          <w:rPr>
            <w:rStyle w:val="Hyperlink"/>
          </w:rPr>
          <w:t>section 2.1.1353</w:t>
        </w:r>
      </w:hyperlink>
      <w:r>
        <w:t xml:space="preserve"> </w:t>
      </w:r>
      <w:r>
        <w:fldChar w:fldCharType="begin"/>
      </w:r>
      <w:r>
        <w:instrText>PAGEREF section_3d4d8b5b07bd</w:instrText>
      </w:r>
      <w:r>
        <w:instrText>48f588194c8adae68ad3</w:instrText>
      </w:r>
      <w:r>
        <w:fldChar w:fldCharType="separate"/>
      </w:r>
      <w:r>
        <w:rPr>
          <w:noProof/>
        </w:rPr>
        <w:t>522</w:t>
      </w:r>
      <w:r>
        <w:fldChar w:fldCharType="end"/>
      </w:r>
      <w:r>
        <w:t xml:space="preserve">, </w:t>
      </w:r>
      <w:hyperlink w:anchor="section_dd2a08189ba74ba58a8c85431cac913f">
        <w:r>
          <w:rPr>
            <w:rStyle w:val="Hyperlink"/>
          </w:rPr>
          <w:t>section 2.1.1596</w:t>
        </w:r>
      </w:hyperlink>
      <w:r>
        <w:t xml:space="preserve"> </w:t>
      </w:r>
      <w:r>
        <w:fldChar w:fldCharType="begin"/>
      </w:r>
      <w:r>
        <w:instrText>PAGEREF section_dd2a08189ba74ba58a8c85431cac913f</w:instrText>
      </w:r>
      <w:r>
        <w:fldChar w:fldCharType="separate"/>
      </w:r>
      <w:r>
        <w:rPr>
          <w:noProof/>
        </w:rPr>
        <w:t>577</w:t>
      </w:r>
      <w:r>
        <w:fldChar w:fldCharType="end"/>
      </w:r>
      <w:r>
        <w:t>)</w:t>
      </w:r>
    </w:p>
    <w:p w:rsidR="00024C0A" w:rsidRDefault="00694C0F">
      <w:pPr>
        <w:pStyle w:val="indexentry0"/>
      </w:pPr>
      <w:hyperlink w:anchor="section_bbed63eb85914393833e85b7e01a40df">
        <w:r>
          <w:rPr>
            <w:rStyle w:val="Hyperlink"/>
          </w:rPr>
          <w:t xml:space="preserve">cNvSpPr (Connection Non-Visual Shape </w:t>
        </w:r>
        <w:r>
          <w:rPr>
            <w:rStyle w:val="Hyperlink"/>
          </w:rPr>
          <w:t>Properties)</w:t>
        </w:r>
      </w:hyperlink>
      <w:r>
        <w:t xml:space="preserve"> </w:t>
      </w:r>
      <w:r>
        <w:fldChar w:fldCharType="begin"/>
      </w:r>
      <w:r>
        <w:instrText>PAGEREF section_bbed63eb85914393833e85b7e01a40df</w:instrText>
      </w:r>
      <w:r>
        <w:fldChar w:fldCharType="separate"/>
      </w:r>
      <w:r>
        <w:rPr>
          <w:noProof/>
        </w:rPr>
        <w:t>523</w:t>
      </w:r>
      <w:r>
        <w:fldChar w:fldCharType="end"/>
      </w:r>
    </w:p>
    <w:p w:rsidR="00024C0A" w:rsidRDefault="00694C0F">
      <w:pPr>
        <w:pStyle w:val="indexentry0"/>
      </w:pPr>
      <w:hyperlink w:anchor="section_727f47366cba40e3b4d3ce319885780e">
        <w:r>
          <w:rPr>
            <w:rStyle w:val="Hyperlink"/>
          </w:rPr>
          <w:t>col (Column Width &amp; Formatting)</w:t>
        </w:r>
      </w:hyperlink>
      <w:r>
        <w:t xml:space="preserve"> </w:t>
      </w:r>
      <w:r>
        <w:fldChar w:fldCharType="begin"/>
      </w:r>
      <w:r>
        <w:instrText>PAGEREF section_727f47366cba40e3b4d3ce319885780e</w:instrText>
      </w:r>
      <w:r>
        <w:fldChar w:fldCharType="separate"/>
      </w:r>
      <w:r>
        <w:rPr>
          <w:noProof/>
        </w:rPr>
        <w:t>252</w:t>
      </w:r>
      <w:r>
        <w:fldChar w:fldCharType="end"/>
      </w:r>
    </w:p>
    <w:p w:rsidR="00024C0A" w:rsidRDefault="00694C0F">
      <w:pPr>
        <w:pStyle w:val="indexentry0"/>
      </w:pPr>
      <w:hyperlink w:anchor="section_c8cc77d990164b81bc5c3afbeb39d0c9">
        <w:r>
          <w:rPr>
            <w:rStyle w:val="Hyperlink"/>
          </w:rPr>
          <w:t>col (Column)</w:t>
        </w:r>
      </w:hyperlink>
      <w:r>
        <w:t xml:space="preserve"> </w:t>
      </w:r>
      <w:r>
        <w:fldChar w:fldCharType="begin"/>
      </w:r>
      <w:r>
        <w:instrText>PAGEREF section_c8cc77d990164b81bc5c3afbeb39d0c9</w:instrText>
      </w:r>
      <w:r>
        <w:fldChar w:fldCharType="separate"/>
      </w:r>
      <w:r>
        <w:rPr>
          <w:noProof/>
        </w:rPr>
        <w:t>832</w:t>
      </w:r>
      <w:r>
        <w:fldChar w:fldCharType="end"/>
      </w:r>
    </w:p>
    <w:p w:rsidR="00024C0A" w:rsidRDefault="00694C0F">
      <w:pPr>
        <w:pStyle w:val="indexentry0"/>
      </w:pPr>
      <w:hyperlink w:anchor="section_dd4af5b20e014bc08c6bce9ac6611646">
        <w:r>
          <w:rPr>
            <w:rStyle w:val="Hyperlink"/>
          </w:rPr>
          <w:t>col (Column))</w:t>
        </w:r>
      </w:hyperlink>
      <w:r>
        <w:t xml:space="preserve"> </w:t>
      </w:r>
      <w:r>
        <w:fldChar w:fldCharType="begin"/>
      </w:r>
      <w:r>
        <w:instrText>PAGEREF section_dd4af5b20e014bc08c6bce9ac6611646</w:instrText>
      </w:r>
      <w:r>
        <w:fldChar w:fldCharType="separate"/>
      </w:r>
      <w:r>
        <w:rPr>
          <w:noProof/>
        </w:rPr>
        <w:t>523</w:t>
      </w:r>
      <w:r>
        <w:fldChar w:fldCharType="end"/>
      </w:r>
    </w:p>
    <w:p w:rsidR="00024C0A" w:rsidRDefault="00694C0F">
      <w:pPr>
        <w:pStyle w:val="indexentry0"/>
      </w:pPr>
      <w:hyperlink w:anchor="section_d6035671f6764755b101c4de68de62ed">
        <w:r>
          <w:rPr>
            <w:rStyle w:val="Hyperlink"/>
          </w:rPr>
          <w:t>col (Single Column Definition)</w:t>
        </w:r>
      </w:hyperlink>
      <w:r>
        <w:t xml:space="preserve"> </w:t>
      </w:r>
      <w:r>
        <w:fldChar w:fldCharType="begin"/>
      </w:r>
      <w:r>
        <w:instrText>PAGEREF section_d6035671f6764755b101c4de68de62ed</w:instrText>
      </w:r>
      <w:r>
        <w:fldChar w:fldCharType="separate"/>
      </w:r>
      <w:r>
        <w:rPr>
          <w:noProof/>
        </w:rPr>
        <w:t>101</w:t>
      </w:r>
      <w:r>
        <w:fldChar w:fldCharType="end"/>
      </w:r>
    </w:p>
    <w:p w:rsidR="00024C0A" w:rsidRDefault="00694C0F">
      <w:pPr>
        <w:pStyle w:val="indexentry0"/>
      </w:pPr>
      <w:hyperlink w:anchor="section_3d92605334c84ee091157bc5858ef579">
        <w:r>
          <w:rPr>
            <w:rStyle w:val="Hyperlink"/>
          </w:rPr>
          <w:t>colBreaks (Vertical Page Breaks)</w:t>
        </w:r>
      </w:hyperlink>
      <w:r>
        <w:t xml:space="preserve"> </w:t>
      </w:r>
      <w:r>
        <w:fldChar w:fldCharType="begin"/>
      </w:r>
      <w:r>
        <w:instrText>PAGEREF sectio</w:instrText>
      </w:r>
      <w:r>
        <w:instrText>n_3d92605334c84ee091157bc5858ef579</w:instrText>
      </w:r>
      <w:r>
        <w:fldChar w:fldCharType="separate"/>
      </w:r>
      <w:r>
        <w:rPr>
          <w:noProof/>
        </w:rPr>
        <w:t>253</w:t>
      </w:r>
      <w:r>
        <w:fldChar w:fldCharType="end"/>
      </w:r>
    </w:p>
    <w:p w:rsidR="00024C0A" w:rsidRDefault="00694C0F">
      <w:pPr>
        <w:pStyle w:val="indexentry0"/>
      </w:pPr>
      <w:hyperlink w:anchor="section_b1596bd84ac9480e816125dc616c61d7">
        <w:r>
          <w:rPr>
            <w:rStyle w:val="Hyperlink"/>
          </w:rPr>
          <w:t>colDelim (Column Delimiter for Data Source)</w:t>
        </w:r>
      </w:hyperlink>
      <w:r>
        <w:t xml:space="preserve"> </w:t>
      </w:r>
      <w:r>
        <w:fldChar w:fldCharType="begin"/>
      </w:r>
      <w:r>
        <w:instrText>PAGEREF section_b1596bd84ac9480e816125dc616c61d7</w:instrText>
      </w:r>
      <w:r>
        <w:fldChar w:fldCharType="separate"/>
      </w:r>
      <w:r>
        <w:rPr>
          <w:noProof/>
        </w:rPr>
        <w:t>141</w:t>
      </w:r>
      <w:r>
        <w:fldChar w:fldCharType="end"/>
      </w:r>
    </w:p>
    <w:p w:rsidR="00024C0A" w:rsidRDefault="00694C0F">
      <w:pPr>
        <w:pStyle w:val="indexentry0"/>
      </w:pPr>
      <w:hyperlink w:anchor="section_c360ff36c63047a69a3c94164b365fba">
        <w:r>
          <w:rPr>
            <w:rStyle w:val="Hyperlink"/>
          </w:rPr>
          <w:t>ColHidden (Comment's Column is Hidden)</w:t>
        </w:r>
      </w:hyperlink>
      <w:r>
        <w:t xml:space="preserve"> </w:t>
      </w:r>
      <w:r>
        <w:fldChar w:fldCharType="begin"/>
      </w:r>
      <w:r>
        <w:instrText>PAGEREF section_c360ff36c63047a69a3c94164b365fba</w:instrText>
      </w:r>
      <w:r>
        <w:fldChar w:fldCharType="separate"/>
      </w:r>
      <w:r>
        <w:rPr>
          <w:noProof/>
        </w:rPr>
        <w:t>674</w:t>
      </w:r>
      <w:r>
        <w:fldChar w:fldCharType="end"/>
      </w:r>
    </w:p>
    <w:p w:rsidR="00024C0A" w:rsidRDefault="00694C0F">
      <w:pPr>
        <w:pStyle w:val="indexentry0"/>
      </w:pPr>
      <w:hyperlink w:anchor="section_751c37c0b03a4a0ab471094850b9faab">
        <w:r>
          <w:rPr>
            <w:rStyle w:val="Hyperlink"/>
          </w:rPr>
          <w:t>colHierarchiesUsage (Column OLAP Hierarchy References)</w:t>
        </w:r>
      </w:hyperlink>
      <w:r>
        <w:t xml:space="preserve"> </w:t>
      </w:r>
      <w:r>
        <w:fldChar w:fldCharType="begin"/>
      </w:r>
      <w:r>
        <w:instrText>PAGEREF section_751c37c0b03a4a0ab471094850b</w:instrText>
      </w:r>
      <w:r>
        <w:instrText>9faab</w:instrText>
      </w:r>
      <w:r>
        <w:fldChar w:fldCharType="separate"/>
      </w:r>
      <w:r>
        <w:rPr>
          <w:noProof/>
        </w:rPr>
        <w:t>330</w:t>
      </w:r>
      <w:r>
        <w:fldChar w:fldCharType="end"/>
      </w:r>
    </w:p>
    <w:p w:rsidR="00024C0A" w:rsidRDefault="00694C0F">
      <w:pPr>
        <w:pStyle w:val="indexentry0"/>
      </w:pPr>
      <w:hyperlink w:anchor="section_af9607e8ee2e46b1b90f57aea205bec7">
        <w:r>
          <w:rPr>
            <w:rStyle w:val="Hyperlink"/>
          </w:rPr>
          <w:t>colHierarchyUsage (Column OLAP Hierarchies)</w:t>
        </w:r>
      </w:hyperlink>
      <w:r>
        <w:t xml:space="preserve"> </w:t>
      </w:r>
      <w:r>
        <w:fldChar w:fldCharType="begin"/>
      </w:r>
      <w:r>
        <w:instrText>PAGEREF section_af9607e8ee2e46b1b90f57aea205bec7</w:instrText>
      </w:r>
      <w:r>
        <w:fldChar w:fldCharType="separate"/>
      </w:r>
      <w:r>
        <w:rPr>
          <w:noProof/>
        </w:rPr>
        <w:t>330</w:t>
      </w:r>
      <w:r>
        <w:fldChar w:fldCharType="end"/>
      </w:r>
    </w:p>
    <w:p w:rsidR="00024C0A" w:rsidRDefault="00694C0F">
      <w:pPr>
        <w:pStyle w:val="indexentry0"/>
      </w:pPr>
      <w:hyperlink w:anchor="section_857d7ed2fdba4c2a9f3c33a6229a342d">
        <w:r>
          <w:rPr>
            <w:rStyle w:val="Hyperlink"/>
          </w:rPr>
          <w:t>colItems (Column Items)</w:t>
        </w:r>
      </w:hyperlink>
      <w:r>
        <w:t xml:space="preserve"> </w:t>
      </w:r>
      <w:r>
        <w:fldChar w:fldCharType="begin"/>
      </w:r>
      <w:r>
        <w:instrText>P</w:instrText>
      </w:r>
      <w:r>
        <w:instrText>AGEREF section_857d7ed2fdba4c2a9f3c33a6229a342d</w:instrText>
      </w:r>
      <w:r>
        <w:fldChar w:fldCharType="separate"/>
      </w:r>
      <w:r>
        <w:rPr>
          <w:noProof/>
        </w:rPr>
        <w:t>330</w:t>
      </w:r>
      <w:r>
        <w:fldChar w:fldCharType="end"/>
      </w:r>
    </w:p>
    <w:p w:rsidR="00024C0A" w:rsidRDefault="00694C0F">
      <w:pPr>
        <w:pStyle w:val="indexentry0"/>
      </w:pPr>
      <w:hyperlink w:anchor="section_f7105a1c34964b13952237af2be9823d">
        <w:r>
          <w:rPr>
            <w:rStyle w:val="Hyperlink"/>
          </w:rPr>
          <w:t>colOff (Column Offset)</w:t>
        </w:r>
      </w:hyperlink>
      <w:r>
        <w:t xml:space="preserve"> </w:t>
      </w:r>
      <w:r>
        <w:fldChar w:fldCharType="begin"/>
      </w:r>
      <w:r>
        <w:instrText>PAGEREF section_f7105a1c34964b13952237af2be9823d</w:instrText>
      </w:r>
      <w:r>
        <w:fldChar w:fldCharType="separate"/>
      </w:r>
      <w:r>
        <w:rPr>
          <w:noProof/>
        </w:rPr>
        <w:t>523</w:t>
      </w:r>
      <w:r>
        <w:fldChar w:fldCharType="end"/>
      </w:r>
    </w:p>
    <w:p w:rsidR="00024C0A" w:rsidRDefault="00694C0F">
      <w:pPr>
        <w:pStyle w:val="indexentry0"/>
      </w:pPr>
      <w:hyperlink w:anchor="section_903e02250adb44a3864f59cacf639a76">
        <w:r>
          <w:rPr>
            <w:rStyle w:val="Hyperlink"/>
          </w:rPr>
          <w:t xml:space="preserve">color </w:t>
        </w:r>
        <w:r>
          <w:rPr>
            <w:rStyle w:val="Hyperlink"/>
          </w:rPr>
          <w:t>(Data Bar Color)</w:t>
        </w:r>
      </w:hyperlink>
      <w:r>
        <w:t xml:space="preserve"> </w:t>
      </w:r>
      <w:r>
        <w:fldChar w:fldCharType="begin"/>
      </w:r>
      <w:r>
        <w:instrText>PAGEREF section_903e02250adb44a3864f59cacf639a76</w:instrText>
      </w:r>
      <w:r>
        <w:fldChar w:fldCharType="separate"/>
      </w:r>
      <w:r>
        <w:rPr>
          <w:noProof/>
        </w:rPr>
        <w:t>253</w:t>
      </w:r>
      <w:r>
        <w:fldChar w:fldCharType="end"/>
      </w:r>
    </w:p>
    <w:p w:rsidR="00024C0A" w:rsidRDefault="00694C0F">
      <w:pPr>
        <w:pStyle w:val="indexentry0"/>
      </w:pPr>
      <w:hyperlink w:anchor="section_9a2a00db9248454d9f81952c27658324">
        <w:r>
          <w:rPr>
            <w:rStyle w:val="Hyperlink"/>
          </w:rPr>
          <w:t>color (Frameset Splitter Color)</w:t>
        </w:r>
      </w:hyperlink>
      <w:r>
        <w:t xml:space="preserve"> </w:t>
      </w:r>
      <w:r>
        <w:fldChar w:fldCharType="begin"/>
      </w:r>
      <w:r>
        <w:instrText>PAGEREF section_9a2a00db9248454d9f81952c27658324</w:instrText>
      </w:r>
      <w:r>
        <w:fldChar w:fldCharType="separate"/>
      </w:r>
      <w:r>
        <w:rPr>
          <w:noProof/>
        </w:rPr>
        <w:t>160</w:t>
      </w:r>
      <w:r>
        <w:fldChar w:fldCharType="end"/>
      </w:r>
    </w:p>
    <w:p w:rsidR="00024C0A" w:rsidRDefault="00694C0F">
      <w:pPr>
        <w:pStyle w:val="indexentry0"/>
      </w:pPr>
      <w:hyperlink w:anchor="section_8229a0777fc84fba96ccc77b6a4fc768">
        <w:r>
          <w:rPr>
            <w:rStyle w:val="Hyperlink"/>
          </w:rPr>
          <w:t>color (Run Content Color)</w:t>
        </w:r>
      </w:hyperlink>
      <w:r>
        <w:t xml:space="preserve"> </w:t>
      </w:r>
      <w:r>
        <w:fldChar w:fldCharType="begin"/>
      </w:r>
      <w:r>
        <w:instrText>PAGEREF section_8229a0777fc84fba96ccc77b6a4fc768</w:instrText>
      </w:r>
      <w:r>
        <w:fldChar w:fldCharType="separate"/>
      </w:r>
      <w:r>
        <w:rPr>
          <w:noProof/>
        </w:rPr>
        <w:t>68</w:t>
      </w:r>
      <w:r>
        <w:fldChar w:fldCharType="end"/>
      </w:r>
    </w:p>
    <w:p w:rsidR="00024C0A" w:rsidRDefault="00694C0F">
      <w:pPr>
        <w:pStyle w:val="indexentry0"/>
      </w:pPr>
      <w:hyperlink w:anchor="section_6011f8a6fcf4490385398e0bae26b7e7">
        <w:r>
          <w:rPr>
            <w:rStyle w:val="Hyperlink"/>
          </w:rPr>
          <w:t>ColorDepth (Color Depth)</w:t>
        </w:r>
      </w:hyperlink>
      <w:r>
        <w:t xml:space="preserve"> </w:t>
      </w:r>
      <w:r>
        <w:fldChar w:fldCharType="begin"/>
      </w:r>
      <w:r>
        <w:instrText>PAGEREF section_6011f8a6fcf</w:instrText>
      </w:r>
      <w:r>
        <w:instrText>4490385398e0bae26b7e7</w:instrText>
      </w:r>
      <w:r>
        <w:fldChar w:fldCharType="separate"/>
      </w:r>
      <w:r>
        <w:rPr>
          <w:noProof/>
        </w:rPr>
        <w:t>877</w:t>
      </w:r>
      <w:r>
        <w:fldChar w:fldCharType="end"/>
      </w:r>
    </w:p>
    <w:p w:rsidR="00024C0A" w:rsidRDefault="00694C0F">
      <w:pPr>
        <w:pStyle w:val="indexentry0"/>
      </w:pPr>
      <w:hyperlink w:anchor="section_5bdf911798a04345a493b8b2d6ae2fbb">
        <w:r>
          <w:rPr>
            <w:rStyle w:val="Hyperlink"/>
          </w:rPr>
          <w:t>Colored (Dropdown Color Toggle)</w:t>
        </w:r>
      </w:hyperlink>
      <w:r>
        <w:t xml:space="preserve"> </w:t>
      </w:r>
      <w:r>
        <w:fldChar w:fldCharType="begin"/>
      </w:r>
      <w:r>
        <w:instrText>PAGEREF section_5bdf911798a04345a493b8b2d6ae2fbb</w:instrText>
      </w:r>
      <w:r>
        <w:fldChar w:fldCharType="separate"/>
      </w:r>
      <w:r>
        <w:rPr>
          <w:noProof/>
        </w:rPr>
        <w:t>674</w:t>
      </w:r>
      <w:r>
        <w:fldChar w:fldCharType="end"/>
      </w:r>
    </w:p>
    <w:p w:rsidR="00024C0A" w:rsidRDefault="00694C0F">
      <w:pPr>
        <w:pStyle w:val="indexentry0"/>
      </w:pPr>
      <w:hyperlink w:anchor="section_00d10ae34a454065822a7472be383126">
        <w:r>
          <w:rPr>
            <w:rStyle w:val="Hyperlink"/>
          </w:rPr>
          <w:t>colorFilter (Color Filt</w:t>
        </w:r>
        <w:r>
          <w:rPr>
            <w:rStyle w:val="Hyperlink"/>
          </w:rPr>
          <w:t>er Criteria)</w:t>
        </w:r>
      </w:hyperlink>
      <w:r>
        <w:t xml:space="preserve"> </w:t>
      </w:r>
      <w:r>
        <w:fldChar w:fldCharType="begin"/>
      </w:r>
      <w:r>
        <w:instrText>PAGEREF section_00d10ae34a454065822a7472be383126</w:instrText>
      </w:r>
      <w:r>
        <w:fldChar w:fldCharType="separate"/>
      </w:r>
      <w:r>
        <w:rPr>
          <w:noProof/>
        </w:rPr>
        <w:t>287</w:t>
      </w:r>
      <w:r>
        <w:fldChar w:fldCharType="end"/>
      </w:r>
    </w:p>
    <w:p w:rsidR="00024C0A" w:rsidRDefault="00694C0F">
      <w:pPr>
        <w:pStyle w:val="indexentry0"/>
      </w:pPr>
      <w:hyperlink w:anchor="section_d1e014a8724a4aeab72dff663c3620c3">
        <w:r>
          <w:rPr>
            <w:rStyle w:val="Hyperlink"/>
          </w:rPr>
          <w:t>colormenu (UI Default Colors)</w:t>
        </w:r>
      </w:hyperlink>
      <w:r>
        <w:t xml:space="preserve"> </w:t>
      </w:r>
      <w:r>
        <w:fldChar w:fldCharType="begin"/>
      </w:r>
      <w:r>
        <w:instrText>PAGEREF section_d1e014a8724a4aeab72dff663c3620c3</w:instrText>
      </w:r>
      <w:r>
        <w:fldChar w:fldCharType="separate"/>
      </w:r>
      <w:r>
        <w:rPr>
          <w:noProof/>
        </w:rPr>
        <w:t>660</w:t>
      </w:r>
      <w:r>
        <w:fldChar w:fldCharType="end"/>
      </w:r>
    </w:p>
    <w:p w:rsidR="00024C0A" w:rsidRDefault="00694C0F">
      <w:pPr>
        <w:pStyle w:val="indexentry0"/>
      </w:pPr>
      <w:hyperlink w:anchor="section_62acf3ab86d0498faa7b266e0ef527dd">
        <w:r>
          <w:rPr>
            <w:rStyle w:val="Hyperlink"/>
          </w:rPr>
          <w:t>colormru (Most Recently Used Colors)</w:t>
        </w:r>
      </w:hyperlink>
      <w:r>
        <w:t xml:space="preserve"> </w:t>
      </w:r>
      <w:r>
        <w:fldChar w:fldCharType="begin"/>
      </w:r>
      <w:r>
        <w:instrText>PAGEREF section_62acf3ab86d0498faa7b266e0ef527dd</w:instrText>
      </w:r>
      <w:r>
        <w:fldChar w:fldCharType="separate"/>
      </w:r>
      <w:r>
        <w:rPr>
          <w:noProof/>
        </w:rPr>
        <w:t>660</w:t>
      </w:r>
      <w:r>
        <w:fldChar w:fldCharType="end"/>
      </w:r>
    </w:p>
    <w:p w:rsidR="00024C0A" w:rsidRDefault="00694C0F">
      <w:pPr>
        <w:pStyle w:val="indexentry0"/>
      </w:pPr>
      <w:hyperlink w:anchor="section_6f3c3ad9dd02428c9fc960b13ef0da08">
        <w:r>
          <w:rPr>
            <w:rStyle w:val="Hyperlink"/>
          </w:rPr>
          <w:t>colorScale (Color Scale)</w:t>
        </w:r>
      </w:hyperlink>
      <w:r>
        <w:t xml:space="preserve"> </w:t>
      </w:r>
      <w:r>
        <w:fldChar w:fldCharType="begin"/>
      </w:r>
      <w:r>
        <w:instrText>PAGEREF section_6f3c3ad9dd02428c9fc960b13ef0da08</w:instrText>
      </w:r>
      <w:r>
        <w:fldChar w:fldCharType="separate"/>
      </w:r>
      <w:r>
        <w:rPr>
          <w:noProof/>
        </w:rPr>
        <w:t>253</w:t>
      </w:r>
      <w:r>
        <w:fldChar w:fldCharType="end"/>
      </w:r>
    </w:p>
    <w:p w:rsidR="00024C0A" w:rsidRDefault="00694C0F">
      <w:pPr>
        <w:pStyle w:val="indexentry0"/>
      </w:pPr>
      <w:hyperlink w:anchor="section_159e85d0568f49d2b6e9a0b97ff50a0d">
        <w:r>
          <w:rPr>
            <w:rStyle w:val="Hyperlink"/>
          </w:rPr>
          <w:t>colorsDef (Color Transform Definitions)</w:t>
        </w:r>
      </w:hyperlink>
      <w:r>
        <w:t xml:space="preserve"> </w:t>
      </w:r>
      <w:r>
        <w:fldChar w:fldCharType="begin"/>
      </w:r>
      <w:r>
        <w:instrText>PAGEREF section_159e85d0568f49d2b6e9a0b97ff50a0d</w:instrText>
      </w:r>
      <w:r>
        <w:fldChar w:fldCharType="separate"/>
      </w:r>
      <w:r>
        <w:rPr>
          <w:noProof/>
        </w:rPr>
        <w:t>582</w:t>
      </w:r>
      <w:r>
        <w:fldChar w:fldCharType="end"/>
      </w:r>
    </w:p>
    <w:p w:rsidR="00024C0A" w:rsidRDefault="00694C0F">
      <w:pPr>
        <w:pStyle w:val="indexentry0"/>
      </w:pPr>
      <w:hyperlink w:anchor="section_ef7027d4e05d473b8777dcc2aee91935">
        <w:r>
          <w:rPr>
            <w:rStyle w:val="Hyperlink"/>
          </w:rPr>
          <w:t>cols (Column Definitions)</w:t>
        </w:r>
      </w:hyperlink>
      <w:r>
        <w:t xml:space="preserve"> </w:t>
      </w:r>
      <w:r>
        <w:fldChar w:fldCharType="begin"/>
      </w:r>
      <w:r>
        <w:instrText>PAGEREF section_ef70</w:instrText>
      </w:r>
      <w:r>
        <w:instrText>27d4e05d473b8777dcc2aee91935</w:instrText>
      </w:r>
      <w:r>
        <w:fldChar w:fldCharType="separate"/>
      </w:r>
      <w:r>
        <w:rPr>
          <w:noProof/>
        </w:rPr>
        <w:t>101</w:t>
      </w:r>
      <w:r>
        <w:fldChar w:fldCharType="end"/>
      </w:r>
    </w:p>
    <w:p w:rsidR="00024C0A" w:rsidRDefault="00694C0F">
      <w:pPr>
        <w:pStyle w:val="indexentry0"/>
      </w:pPr>
      <w:hyperlink w:anchor="section_73bbbbb0df814eccbc7a3e365fbe5fce">
        <w:r>
          <w:rPr>
            <w:rStyle w:val="Hyperlink"/>
          </w:rPr>
          <w:t>colSortMap (Column Sort Map)</w:t>
        </w:r>
      </w:hyperlink>
      <w:r>
        <w:t xml:space="preserve"> </w:t>
      </w:r>
      <w:r>
        <w:fldChar w:fldCharType="begin"/>
      </w:r>
      <w:r>
        <w:instrText>PAGEREF section_73bbbbb0df814eccbc7a3e365fbe5fce</w:instrText>
      </w:r>
      <w:r>
        <w:fldChar w:fldCharType="separate"/>
      </w:r>
      <w:r>
        <w:rPr>
          <w:noProof/>
        </w:rPr>
        <w:t>833</w:t>
      </w:r>
      <w:r>
        <w:fldChar w:fldCharType="end"/>
      </w:r>
    </w:p>
    <w:p w:rsidR="00024C0A" w:rsidRDefault="00694C0F">
      <w:pPr>
        <w:pStyle w:val="indexentry0"/>
      </w:pPr>
      <w:hyperlink w:anchor="section_d9083bc9de704df5bd4cf32c81e3118d">
        <w:r>
          <w:rPr>
            <w:rStyle w:val="Hyperlink"/>
          </w:rPr>
          <w:t>column (Index of Column Being Mapped)</w:t>
        </w:r>
      </w:hyperlink>
      <w:r>
        <w:t xml:space="preserve"> </w:t>
      </w:r>
      <w:r>
        <w:fldChar w:fldCharType="begin"/>
      </w:r>
      <w:r>
        <w:instrText>PAGEREF section_d9083bc9de704df5bd4cf32c81e3118d</w:instrText>
      </w:r>
      <w:r>
        <w:fldChar w:fldCharType="separate"/>
      </w:r>
      <w:r>
        <w:rPr>
          <w:noProof/>
        </w:rPr>
        <w:t>141</w:t>
      </w:r>
      <w:r>
        <w:fldChar w:fldCharType="end"/>
      </w:r>
    </w:p>
    <w:p w:rsidR="00024C0A" w:rsidRDefault="00694C0F">
      <w:pPr>
        <w:pStyle w:val="indexentry0"/>
      </w:pPr>
      <w:hyperlink w:anchor="section_10f201d6b7ae4a629a4e7a0397026467">
        <w:r>
          <w:rPr>
            <w:rStyle w:val="Hyperlink"/>
          </w:rPr>
          <w:t>column (Index of Column Containing Unique Values for Record)</w:t>
        </w:r>
      </w:hyperlink>
      <w:r>
        <w:t xml:space="preserve"> </w:t>
      </w:r>
      <w:r>
        <w:fldChar w:fldCharType="begin"/>
      </w:r>
      <w:r>
        <w:instrText>PAGEREF section_10f201d6b7ae4a629a4e7a03</w:instrText>
      </w:r>
      <w:r>
        <w:instrText>97026467</w:instrText>
      </w:r>
      <w:r>
        <w:fldChar w:fldCharType="separate"/>
      </w:r>
      <w:r>
        <w:rPr>
          <w:noProof/>
        </w:rPr>
        <w:t>142</w:t>
      </w:r>
      <w:r>
        <w:fldChar w:fldCharType="end"/>
      </w:r>
    </w:p>
    <w:p w:rsidR="00024C0A" w:rsidRDefault="00694C0F">
      <w:pPr>
        <w:pStyle w:val="indexentry0"/>
      </w:pPr>
      <w:hyperlink w:anchor="section_7c2c12cffc6b476ca8bc3206fdc1ea78">
        <w:r>
          <w:rPr>
            <w:rStyle w:val="Hyperlink"/>
          </w:rPr>
          <w:t>column (Text Box Interior Stroke)</w:t>
        </w:r>
      </w:hyperlink>
      <w:r>
        <w:t xml:space="preserve"> </w:t>
      </w:r>
      <w:r>
        <w:fldChar w:fldCharType="begin"/>
      </w:r>
      <w:r>
        <w:instrText>PAGEREF section_7c2c12cffc6b476ca8bc3206fdc1ea78</w:instrText>
      </w:r>
      <w:r>
        <w:fldChar w:fldCharType="separate"/>
      </w:r>
      <w:r>
        <w:rPr>
          <w:noProof/>
        </w:rPr>
        <w:t>661</w:t>
      </w:r>
      <w:r>
        <w:fldChar w:fldCharType="end"/>
      </w:r>
    </w:p>
    <w:p w:rsidR="00024C0A" w:rsidRDefault="00694C0F">
      <w:pPr>
        <w:pStyle w:val="indexentry0"/>
      </w:pPr>
      <w:hyperlink w:anchor="section_2f42e7a6a0144392846153a493241d28">
        <w:r>
          <w:rPr>
            <w:rStyle w:val="Hyperlink"/>
          </w:rPr>
          <w:t>comment (Comment Content)</w:t>
        </w:r>
      </w:hyperlink>
      <w:r>
        <w:t xml:space="preserve"> </w:t>
      </w:r>
      <w:r>
        <w:fldChar w:fldCharType="begin"/>
      </w:r>
      <w:r>
        <w:instrText>PAGERE</w:instrText>
      </w:r>
      <w:r>
        <w:instrText>F section_2f42e7a6a0144392846153a493241d28</w:instrText>
      </w:r>
      <w:r>
        <w:fldChar w:fldCharType="separate"/>
      </w:r>
      <w:r>
        <w:rPr>
          <w:noProof/>
        </w:rPr>
        <w:t>129</w:t>
      </w:r>
      <w:r>
        <w:fldChar w:fldCharType="end"/>
      </w:r>
    </w:p>
    <w:p w:rsidR="00024C0A" w:rsidRDefault="00694C0F">
      <w:pPr>
        <w:pStyle w:val="indexentry0"/>
      </w:pPr>
      <w:hyperlink w:anchor="section_894596a2886444408e7e51c339d8e665">
        <w:r>
          <w:rPr>
            <w:rStyle w:val="Hyperlink"/>
          </w:rPr>
          <w:t>comment (Comment)</w:t>
        </w:r>
      </w:hyperlink>
      <w:r>
        <w:t xml:space="preserve"> </w:t>
      </w:r>
      <w:r>
        <w:fldChar w:fldCharType="begin"/>
      </w:r>
      <w:r>
        <w:instrText>PAGEREF section_894596a2886444408e7e51c339d8e665</w:instrText>
      </w:r>
      <w:r>
        <w:fldChar w:fldCharType="separate"/>
      </w:r>
      <w:r>
        <w:rPr>
          <w:noProof/>
        </w:rPr>
        <w:t>294</w:t>
      </w:r>
      <w:r>
        <w:fldChar w:fldCharType="end"/>
      </w:r>
    </w:p>
    <w:p w:rsidR="00024C0A" w:rsidRDefault="00694C0F">
      <w:pPr>
        <w:pStyle w:val="indexentry0"/>
      </w:pPr>
      <w:hyperlink w:anchor="section_e9edd17d6abd4eb4809926c53991de54">
        <w:r>
          <w:rPr>
            <w:rStyle w:val="Hyperlink"/>
          </w:rPr>
          <w:t>commentPr (Comme</w:t>
        </w:r>
        <w:r>
          <w:rPr>
            <w:rStyle w:val="Hyperlink"/>
          </w:rPr>
          <w:t>nt Properties)</w:t>
        </w:r>
      </w:hyperlink>
      <w:r>
        <w:t xml:space="preserve"> </w:t>
      </w:r>
      <w:r>
        <w:fldChar w:fldCharType="begin"/>
      </w:r>
      <w:r>
        <w:instrText>PAGEREF section_e9edd17d6abd4eb4809926c53991de54</w:instrText>
      </w:r>
      <w:r>
        <w:fldChar w:fldCharType="separate"/>
      </w:r>
      <w:r>
        <w:rPr>
          <w:noProof/>
        </w:rPr>
        <w:t>294</w:t>
      </w:r>
      <w:r>
        <w:fldChar w:fldCharType="end"/>
      </w:r>
    </w:p>
    <w:p w:rsidR="00024C0A" w:rsidRDefault="00694C0F">
      <w:pPr>
        <w:pStyle w:val="indexentry0"/>
      </w:pPr>
      <w:hyperlink w:anchor="section_f9692dfcfc0f4f63847275907af12ade">
        <w:r>
          <w:rPr>
            <w:rStyle w:val="Hyperlink"/>
          </w:rPr>
          <w:t>commentRangeEnd (Comment Anchor Range End)</w:t>
        </w:r>
      </w:hyperlink>
      <w:r>
        <w:t xml:space="preserve"> </w:t>
      </w:r>
      <w:r>
        <w:fldChar w:fldCharType="begin"/>
      </w:r>
      <w:r>
        <w:instrText>PAGEREF section_f9692dfcfc0f4f63847275907af12ade</w:instrText>
      </w:r>
      <w:r>
        <w:fldChar w:fldCharType="separate"/>
      </w:r>
      <w:r>
        <w:rPr>
          <w:noProof/>
        </w:rPr>
        <w:t>131</w:t>
      </w:r>
      <w:r>
        <w:fldChar w:fldCharType="end"/>
      </w:r>
    </w:p>
    <w:p w:rsidR="00024C0A" w:rsidRDefault="00694C0F">
      <w:pPr>
        <w:pStyle w:val="indexentry0"/>
      </w:pPr>
      <w:hyperlink w:anchor="section_64b95366980f4c759519b745345ded9a">
        <w:r>
          <w:rPr>
            <w:rStyle w:val="Hyperlink"/>
          </w:rPr>
          <w:t>commentRangeStart (Comment Anchor Range Start)</w:t>
        </w:r>
      </w:hyperlink>
      <w:r>
        <w:t xml:space="preserve"> </w:t>
      </w:r>
      <w:r>
        <w:fldChar w:fldCharType="begin"/>
      </w:r>
      <w:r>
        <w:instrText>PAGEREF section_64b95366980f4c759519b745345ded9a</w:instrText>
      </w:r>
      <w:r>
        <w:fldChar w:fldCharType="separate"/>
      </w:r>
      <w:r>
        <w:rPr>
          <w:noProof/>
        </w:rPr>
        <w:t>131</w:t>
      </w:r>
      <w:r>
        <w:fldChar w:fldCharType="end"/>
      </w:r>
    </w:p>
    <w:p w:rsidR="00024C0A" w:rsidRDefault="00694C0F">
      <w:pPr>
        <w:pStyle w:val="indexentry0"/>
      </w:pPr>
      <w:hyperlink w:anchor="section_84a35ef39c124b59ab4c4a88f520d06c">
        <w:r>
          <w:rPr>
            <w:rStyle w:val="Hyperlink"/>
          </w:rPr>
          <w:t>commentReference (Comment Content Reference Mark)</w:t>
        </w:r>
      </w:hyperlink>
      <w:r>
        <w:t xml:space="preserve"> </w:t>
      </w:r>
      <w:r>
        <w:fldChar w:fldCharType="begin"/>
      </w:r>
      <w:r>
        <w:instrText>PAGEREF se</w:instrText>
      </w:r>
      <w:r>
        <w:instrText>ction_84a35ef39c124b59ab4c4a88f520d06c</w:instrText>
      </w:r>
      <w:r>
        <w:fldChar w:fldCharType="separate"/>
      </w:r>
      <w:r>
        <w:rPr>
          <w:noProof/>
        </w:rPr>
        <w:t>132</w:t>
      </w:r>
      <w:r>
        <w:fldChar w:fldCharType="end"/>
      </w:r>
    </w:p>
    <w:p w:rsidR="00024C0A" w:rsidRDefault="00694C0F">
      <w:pPr>
        <w:pStyle w:val="indexentry0"/>
      </w:pPr>
      <w:hyperlink w:anchor="section_6662898652f04e7687cd532773d73936">
        <w:r>
          <w:rPr>
            <w:rStyle w:val="Hyperlink"/>
          </w:rPr>
          <w:t>COMMENTS</w:t>
        </w:r>
      </w:hyperlink>
      <w:r>
        <w:t xml:space="preserve"> </w:t>
      </w:r>
      <w:r>
        <w:fldChar w:fldCharType="begin"/>
      </w:r>
      <w:r>
        <w:instrText>PAGEREF section_6662898652f04e7687cd532773d73936</w:instrText>
      </w:r>
      <w:r>
        <w:fldChar w:fldCharType="separate"/>
      </w:r>
      <w:r>
        <w:rPr>
          <w:noProof/>
        </w:rPr>
        <w:t>185</w:t>
      </w:r>
      <w:r>
        <w:fldChar w:fldCharType="end"/>
      </w:r>
    </w:p>
    <w:p w:rsidR="00024C0A" w:rsidRDefault="00694C0F">
      <w:pPr>
        <w:pStyle w:val="indexentry0"/>
      </w:pPr>
      <w:hyperlink w:anchor="section_4c06a3856e234dcbad867332f5fe073b">
        <w:r>
          <w:rPr>
            <w:rStyle w:val="Hyperlink"/>
          </w:rPr>
          <w:t>CompanyAddress (Company Address)</w:t>
        </w:r>
      </w:hyperlink>
      <w:r>
        <w:t xml:space="preserve"> </w:t>
      </w:r>
      <w:r>
        <w:fldChar w:fldCharType="begin"/>
      </w:r>
      <w:r>
        <w:instrText>PAGEREF section_4c06a3856e234dcbad867332f5fe073b</w:instrText>
      </w:r>
      <w:r>
        <w:fldChar w:fldCharType="separate"/>
      </w:r>
      <w:r>
        <w:rPr>
          <w:noProof/>
        </w:rPr>
        <w:t>849</w:t>
      </w:r>
      <w:r>
        <w:fldChar w:fldCharType="end"/>
      </w:r>
    </w:p>
    <w:p w:rsidR="00024C0A" w:rsidRDefault="00694C0F">
      <w:pPr>
        <w:pStyle w:val="indexentry0"/>
      </w:pPr>
      <w:hyperlink w:anchor="section_a8ab7bdd714d4758b667a5a5bed5ae28">
        <w:r>
          <w:rPr>
            <w:rStyle w:val="Hyperlink"/>
          </w:rPr>
          <w:t>CompanyEmail (Company Email Address)</w:t>
        </w:r>
      </w:hyperlink>
      <w:r>
        <w:t xml:space="preserve"> </w:t>
      </w:r>
      <w:r>
        <w:fldChar w:fldCharType="begin"/>
      </w:r>
      <w:r>
        <w:instrText>PAGEREF section_a8ab7bdd714d4758b667a5a5bed5ae28</w:instrText>
      </w:r>
      <w:r>
        <w:fldChar w:fldCharType="separate"/>
      </w:r>
      <w:r>
        <w:rPr>
          <w:noProof/>
        </w:rPr>
        <w:t>849</w:t>
      </w:r>
      <w:r>
        <w:fldChar w:fldCharType="end"/>
      </w:r>
    </w:p>
    <w:p w:rsidR="00024C0A" w:rsidRDefault="00694C0F">
      <w:pPr>
        <w:pStyle w:val="indexentry0"/>
      </w:pPr>
      <w:hyperlink w:anchor="section_a0ebde1b8d544dbebcbc8276d74f784a">
        <w:r>
          <w:rPr>
            <w:rStyle w:val="Hyperlink"/>
          </w:rPr>
          <w:t>CompanyFax (Company Fax Number)</w:t>
        </w:r>
      </w:hyperlink>
      <w:r>
        <w:t xml:space="preserve"> </w:t>
      </w:r>
      <w:r>
        <w:fldChar w:fldCharType="begin"/>
      </w:r>
      <w:r>
        <w:instrText>PAGEREF section_a0ebde1b8d544dbebcbc8276d74f784a</w:instrText>
      </w:r>
      <w:r>
        <w:fldChar w:fldCharType="separate"/>
      </w:r>
      <w:r>
        <w:rPr>
          <w:noProof/>
        </w:rPr>
        <w:t>850</w:t>
      </w:r>
      <w:r>
        <w:fldChar w:fldCharType="end"/>
      </w:r>
    </w:p>
    <w:p w:rsidR="00024C0A" w:rsidRDefault="00694C0F">
      <w:pPr>
        <w:pStyle w:val="indexentry0"/>
      </w:pPr>
      <w:hyperlink w:anchor="section_dc6bac686d824d31abafa4729eaba587">
        <w:r>
          <w:rPr>
            <w:rStyle w:val="Hyperlink"/>
          </w:rPr>
          <w:t>CompanyPhone (Company Phone Number)</w:t>
        </w:r>
      </w:hyperlink>
      <w:r>
        <w:t xml:space="preserve"> </w:t>
      </w:r>
      <w:r>
        <w:fldChar w:fldCharType="begin"/>
      </w:r>
      <w:r>
        <w:instrText>PAGEREF se</w:instrText>
      </w:r>
      <w:r>
        <w:instrText>ction_dc6bac686d824d31abafa4729eaba587</w:instrText>
      </w:r>
      <w:r>
        <w:fldChar w:fldCharType="separate"/>
      </w:r>
      <w:r>
        <w:rPr>
          <w:noProof/>
        </w:rPr>
        <w:t>850</w:t>
      </w:r>
      <w:r>
        <w:fldChar w:fldCharType="end"/>
      </w:r>
    </w:p>
    <w:p w:rsidR="00024C0A" w:rsidRDefault="00694C0F">
      <w:pPr>
        <w:pStyle w:val="indexentry0"/>
      </w:pPr>
      <w:hyperlink w:anchor="section_efc903893bb0477795d2f3479d5109e7">
        <w:r>
          <w:rPr>
            <w:rStyle w:val="Hyperlink"/>
          </w:rPr>
          <w:t>COMPARE</w:t>
        </w:r>
      </w:hyperlink>
      <w:r>
        <w:t xml:space="preserve"> </w:t>
      </w:r>
      <w:r>
        <w:fldChar w:fldCharType="begin"/>
      </w:r>
      <w:r>
        <w:instrText>PAGEREF section_efc903893bb0477795d2f3479d5109e7</w:instrText>
      </w:r>
      <w:r>
        <w:fldChar w:fldCharType="separate"/>
      </w:r>
      <w:r>
        <w:rPr>
          <w:noProof/>
        </w:rPr>
        <w:t>185</w:t>
      </w:r>
      <w:r>
        <w:fldChar w:fldCharType="end"/>
      </w:r>
    </w:p>
    <w:p w:rsidR="00024C0A" w:rsidRDefault="00694C0F">
      <w:pPr>
        <w:pStyle w:val="indexentry0"/>
      </w:pPr>
      <w:hyperlink w:anchor="section_fde89d007c2b42478077d9d923e7c804">
        <w:r>
          <w:rPr>
            <w:rStyle w:val="Hyperlink"/>
          </w:rPr>
          <w:t>COMPLEX</w:t>
        </w:r>
      </w:hyperlink>
      <w:r>
        <w:t xml:space="preserve"> </w:t>
      </w:r>
      <w:r>
        <w:fldChar w:fldCharType="begin"/>
      </w:r>
      <w:r>
        <w:instrText>PAGEREF section_fde8</w:instrText>
      </w:r>
      <w:r>
        <w:instrText>9d007c2b42478077d9d923e7c804</w:instrText>
      </w:r>
      <w:r>
        <w:fldChar w:fldCharType="separate"/>
      </w:r>
      <w:r>
        <w:rPr>
          <w:noProof/>
        </w:rPr>
        <w:t>407</w:t>
      </w:r>
      <w:r>
        <w:fldChar w:fldCharType="end"/>
      </w:r>
    </w:p>
    <w:p w:rsidR="00024C0A" w:rsidRDefault="00694C0F">
      <w:pPr>
        <w:pStyle w:val="indexentry0"/>
      </w:pPr>
      <w:hyperlink w:anchor="section_71df303d34714cf5bb582d71e8fecea4">
        <w:r>
          <w:rPr>
            <w:rStyle w:val="Hyperlink"/>
          </w:rPr>
          <w:t>complex (Complex)</w:t>
        </w:r>
      </w:hyperlink>
      <w:r>
        <w:t xml:space="preserve"> </w:t>
      </w:r>
      <w:r>
        <w:fldChar w:fldCharType="begin"/>
      </w:r>
      <w:r>
        <w:instrText>PAGEREF section_71df303d34714cf5bb582d71e8fecea4</w:instrText>
      </w:r>
      <w:r>
        <w:fldChar w:fldCharType="separate"/>
      </w:r>
      <w:r>
        <w:rPr>
          <w:noProof/>
        </w:rPr>
        <w:t>661</w:t>
      </w:r>
      <w:r>
        <w:fldChar w:fldCharType="end"/>
      </w:r>
    </w:p>
    <w:p w:rsidR="00024C0A" w:rsidRDefault="00694C0F">
      <w:pPr>
        <w:pStyle w:val="indexentry0"/>
      </w:pPr>
      <w:hyperlink w:anchor="section_4e694ff4c1d6437e9c0f99bdd419c427">
        <w:r>
          <w:rPr>
            <w:rStyle w:val="Hyperlink"/>
          </w:rPr>
          <w:t>cond (Condition)</w:t>
        </w:r>
      </w:hyperlink>
      <w:r>
        <w:t xml:space="preserve"> </w:t>
      </w:r>
      <w:r>
        <w:fldChar w:fldCharType="begin"/>
      </w:r>
      <w:r>
        <w:instrText>PAGEREF sec</w:instrText>
      </w:r>
      <w:r>
        <w:instrText>tion_4e694ff4c1d6437e9c0f99bdd419c427</w:instrText>
      </w:r>
      <w:r>
        <w:fldChar w:fldCharType="separate"/>
      </w:r>
      <w:r>
        <w:rPr>
          <w:noProof/>
        </w:rPr>
        <w:t>480</w:t>
      </w:r>
      <w:r>
        <w:fldChar w:fldCharType="end"/>
      </w:r>
    </w:p>
    <w:p w:rsidR="00024C0A" w:rsidRDefault="00694C0F">
      <w:pPr>
        <w:pStyle w:val="indexentry0"/>
      </w:pPr>
      <w:hyperlink w:anchor="section_ed5fc677a2444bfca1488ac15a6a97db">
        <w:r>
          <w:rPr>
            <w:rStyle w:val="Hyperlink"/>
          </w:rPr>
          <w:t>Conditional Formatting Formulas</w:t>
        </w:r>
      </w:hyperlink>
      <w:r>
        <w:t xml:space="preserve"> </w:t>
      </w:r>
      <w:r>
        <w:fldChar w:fldCharType="begin"/>
      </w:r>
      <w:r>
        <w:instrText>PAGEREF section_ed5fc677a2444bfca1488ac15a6a97db</w:instrText>
      </w:r>
      <w:r>
        <w:fldChar w:fldCharType="separate"/>
      </w:r>
      <w:r>
        <w:rPr>
          <w:noProof/>
        </w:rPr>
        <w:t>838</w:t>
      </w:r>
      <w:r>
        <w:fldChar w:fldCharType="end"/>
      </w:r>
    </w:p>
    <w:p w:rsidR="00024C0A" w:rsidRDefault="00694C0F">
      <w:pPr>
        <w:pStyle w:val="indexentry0"/>
      </w:pPr>
      <w:hyperlink w:anchor="section_70202dcd0bd140e1ab4ef468dd42dc0e">
        <w:r>
          <w:rPr>
            <w:rStyle w:val="Hyperlink"/>
          </w:rPr>
          <w:t>conditi</w:t>
        </w:r>
        <w:r>
          <w:rPr>
            <w:rStyle w:val="Hyperlink"/>
          </w:rPr>
          <w:t>onalFormat (Conditional Formatting)</w:t>
        </w:r>
      </w:hyperlink>
      <w:r>
        <w:t xml:space="preserve"> </w:t>
      </w:r>
      <w:r>
        <w:fldChar w:fldCharType="begin"/>
      </w:r>
      <w:r>
        <w:instrText>PAGEREF section_70202dcd0bd140e1ab4ef468dd42dc0e</w:instrText>
      </w:r>
      <w:r>
        <w:fldChar w:fldCharType="separate"/>
      </w:r>
      <w:r>
        <w:rPr>
          <w:noProof/>
        </w:rPr>
        <w:t>330</w:t>
      </w:r>
      <w:r>
        <w:fldChar w:fldCharType="end"/>
      </w:r>
    </w:p>
    <w:p w:rsidR="00024C0A" w:rsidRDefault="00694C0F">
      <w:pPr>
        <w:pStyle w:val="indexentry0"/>
      </w:pPr>
      <w:hyperlink w:anchor="section_a876bb76a6c348569232028b4d575aa2">
        <w:r>
          <w:rPr>
            <w:rStyle w:val="Hyperlink"/>
          </w:rPr>
          <w:t>conditionalFormatting (Conditional Formatting)</w:t>
        </w:r>
      </w:hyperlink>
      <w:r>
        <w:t xml:space="preserve"> </w:t>
      </w:r>
      <w:r>
        <w:fldChar w:fldCharType="begin"/>
      </w:r>
      <w:r>
        <w:instrText>PAGEREF section_a876bb76a6c348569232028b4d575aa2</w:instrText>
      </w:r>
      <w:r>
        <w:fldChar w:fldCharType="separate"/>
      </w:r>
      <w:r>
        <w:rPr>
          <w:noProof/>
        </w:rPr>
        <w:t>254</w:t>
      </w:r>
      <w:r>
        <w:fldChar w:fldCharType="end"/>
      </w:r>
    </w:p>
    <w:p w:rsidR="00024C0A" w:rsidRDefault="00694C0F">
      <w:pPr>
        <w:pStyle w:val="indexentry0"/>
      </w:pPr>
      <w:hyperlink w:anchor="section_aa6808c815784fff8c5fd2005b48dbda">
        <w:r>
          <w:rPr>
            <w:rStyle w:val="Hyperlink"/>
          </w:rPr>
          <w:t>CONFIDENCE</w:t>
        </w:r>
      </w:hyperlink>
      <w:r>
        <w:t xml:space="preserve"> </w:t>
      </w:r>
      <w:r>
        <w:fldChar w:fldCharType="begin"/>
      </w:r>
      <w:r>
        <w:instrText>PAGEREF section_aa6808c815784fff8c5fd2005b48dbda</w:instrText>
      </w:r>
      <w:r>
        <w:fldChar w:fldCharType="separate"/>
      </w:r>
      <w:r>
        <w:rPr>
          <w:noProof/>
        </w:rPr>
        <w:t>407</w:t>
      </w:r>
      <w:r>
        <w:fldChar w:fldCharType="end"/>
      </w:r>
    </w:p>
    <w:p w:rsidR="00024C0A" w:rsidRDefault="00694C0F">
      <w:pPr>
        <w:pStyle w:val="indexentry0"/>
      </w:pPr>
      <w:hyperlink w:anchor="section_248127ad505d4b14839ca425b8821352">
        <w:r>
          <w:rPr>
            <w:rStyle w:val="Hyperlink"/>
          </w:rPr>
          <w:t>connection (Connection)</w:t>
        </w:r>
      </w:hyperlink>
      <w:r>
        <w:t xml:space="preserve"> </w:t>
      </w:r>
      <w:r>
        <w:fldChar w:fldCharType="begin"/>
      </w:r>
      <w:r>
        <w:instrText>PAGEREF section_248127ad505d4b14839ca425b88</w:instrText>
      </w:r>
      <w:r>
        <w:instrText>21352</w:instrText>
      </w:r>
      <w:r>
        <w:fldChar w:fldCharType="separate"/>
      </w:r>
      <w:r>
        <w:rPr>
          <w:noProof/>
        </w:rPr>
        <w:t>375</w:t>
      </w:r>
      <w:r>
        <w:fldChar w:fldCharType="end"/>
      </w:r>
    </w:p>
    <w:p w:rsidR="00024C0A" w:rsidRDefault="00694C0F">
      <w:pPr>
        <w:pStyle w:val="indexentry0"/>
      </w:pPr>
      <w:hyperlink w:anchor="section_f68636b8b56d4a0c918d596752081e79">
        <w:r>
          <w:rPr>
            <w:rStyle w:val="Hyperlink"/>
          </w:rPr>
          <w:t>consecutiveHyphenLimit (Maximum Number of Consecutively Hyphenated Lines)</w:t>
        </w:r>
      </w:hyperlink>
      <w:r>
        <w:t xml:space="preserve"> </w:t>
      </w:r>
      <w:r>
        <w:fldChar w:fldCharType="begin"/>
      </w:r>
      <w:r>
        <w:instrText>PAGEREF section_f68636b8b56d4a0c918d596752081e79</w:instrText>
      </w:r>
      <w:r>
        <w:fldChar w:fldCharType="separate"/>
      </w:r>
      <w:r>
        <w:rPr>
          <w:noProof/>
        </w:rPr>
        <w:t>150</w:t>
      </w:r>
      <w:r>
        <w:fldChar w:fldCharType="end"/>
      </w:r>
    </w:p>
    <w:p w:rsidR="00024C0A" w:rsidRDefault="00694C0F">
      <w:pPr>
        <w:pStyle w:val="indexentry0"/>
      </w:pPr>
      <w:hyperlink w:anchor="section_e7502ecf232e44a084eb1d391ff386b5">
        <w:r>
          <w:rPr>
            <w:rStyle w:val="Hyperlink"/>
          </w:rPr>
          <w:t>Constants</w:t>
        </w:r>
      </w:hyperlink>
      <w:r>
        <w:t xml:space="preserve"> </w:t>
      </w:r>
      <w:r>
        <w:fldChar w:fldCharType="begin"/>
      </w:r>
      <w:r>
        <w:instrText>PAGEREF section_e7502ecf232e44a084eb1d391ff386b5</w:instrText>
      </w:r>
      <w:r>
        <w:fldChar w:fldCharType="separate"/>
      </w:r>
      <w:r>
        <w:rPr>
          <w:noProof/>
        </w:rPr>
        <w:t>389</w:t>
      </w:r>
      <w:r>
        <w:fldChar w:fldCharType="end"/>
      </w:r>
    </w:p>
    <w:p w:rsidR="00024C0A" w:rsidRDefault="00694C0F">
      <w:pPr>
        <w:pStyle w:val="indexentry0"/>
      </w:pPr>
      <w:hyperlink w:anchor="section_b319fbdd87f44a23833d175e9b2b6539">
        <w:r>
          <w:rPr>
            <w:rStyle w:val="Hyperlink"/>
          </w:rPr>
          <w:t>cont (Effect Container)</w:t>
        </w:r>
      </w:hyperlink>
      <w:r>
        <w:t xml:space="preserve"> </w:t>
      </w:r>
      <w:r>
        <w:fldChar w:fldCharType="begin"/>
      </w:r>
      <w:r>
        <w:instrText>PAGEREF section_b319fbdd87f44a23833d175e9b2b6539</w:instrText>
      </w:r>
      <w:r>
        <w:fldChar w:fldCharType="separate"/>
      </w:r>
      <w:r>
        <w:rPr>
          <w:noProof/>
        </w:rPr>
        <w:t>511</w:t>
      </w:r>
      <w:r>
        <w:fldChar w:fldCharType="end"/>
      </w:r>
    </w:p>
    <w:p w:rsidR="00024C0A" w:rsidRDefault="00694C0F">
      <w:pPr>
        <w:pStyle w:val="indexentry0"/>
      </w:pPr>
      <w:hyperlink w:anchor="section_9cf259ed1c6c441ca903066fc8955d64">
        <w:r>
          <w:rPr>
            <w:rStyle w:val="Hyperlink"/>
          </w:rPr>
          <w:t>Containment of Math runs and Math functions and objects</w:t>
        </w:r>
      </w:hyperlink>
      <w:r>
        <w:t xml:space="preserve"> </w:t>
      </w:r>
      <w:r>
        <w:fldChar w:fldCharType="begin"/>
      </w:r>
      <w:r>
        <w:instrText>PAGEREF section_9cf259ed1c6c441ca903066fc8955d64</w:instrText>
      </w:r>
      <w:r>
        <w:fldChar w:fldCharType="separate"/>
      </w:r>
      <w:r>
        <w:rPr>
          <w:noProof/>
        </w:rPr>
        <w:t>889</w:t>
      </w:r>
      <w:r>
        <w:fldChar w:fldCharType="end"/>
      </w:r>
    </w:p>
    <w:p w:rsidR="00024C0A" w:rsidRDefault="00694C0F">
      <w:pPr>
        <w:pStyle w:val="indexentry0"/>
      </w:pPr>
      <w:hyperlink w:anchor="section_45d55a2a0f404d0f802b5cdc65650590">
        <w:r>
          <w:rPr>
            <w:rStyle w:val="Hyperlink"/>
          </w:rPr>
          <w:t>Containment of the oMathPara element</w:t>
        </w:r>
      </w:hyperlink>
      <w:r>
        <w:t xml:space="preserve"> </w:t>
      </w:r>
      <w:r>
        <w:fldChar w:fldCharType="begin"/>
      </w:r>
      <w:r>
        <w:instrText>PAGEREF section_45d55a2a0f404d0f802</w:instrText>
      </w:r>
      <w:r>
        <w:instrText>b5cdc65650590</w:instrText>
      </w:r>
      <w:r>
        <w:fldChar w:fldCharType="separate"/>
      </w:r>
      <w:r>
        <w:rPr>
          <w:noProof/>
        </w:rPr>
        <w:t>889</w:t>
      </w:r>
      <w:r>
        <w:fldChar w:fldCharType="end"/>
      </w:r>
    </w:p>
    <w:p w:rsidR="00024C0A" w:rsidRDefault="00694C0F">
      <w:pPr>
        <w:pStyle w:val="indexentry0"/>
      </w:pPr>
      <w:hyperlink w:anchor="section_ccefd82e29684f0ca2db6b109fe3353c">
        <w:r>
          <w:rPr>
            <w:rStyle w:val="Hyperlink"/>
          </w:rPr>
          <w:t>Content Type Schemas</w:t>
        </w:r>
      </w:hyperlink>
      <w:r>
        <w:t xml:space="preserve"> </w:t>
      </w:r>
      <w:r>
        <w:fldChar w:fldCharType="begin"/>
      </w:r>
      <w:r>
        <w:instrText>PAGEREF section_ccefd82e29684f0ca2db6b109fe3353c</w:instrText>
      </w:r>
      <w:r>
        <w:fldChar w:fldCharType="separate"/>
      </w:r>
      <w:r>
        <w:rPr>
          <w:noProof/>
        </w:rPr>
        <w:t>851</w:t>
      </w:r>
      <w:r>
        <w:fldChar w:fldCharType="end"/>
      </w:r>
    </w:p>
    <w:p w:rsidR="00024C0A" w:rsidRDefault="00694C0F">
      <w:pPr>
        <w:pStyle w:val="indexentry0"/>
      </w:pPr>
      <w:hyperlink w:anchor="section_acb43eb342e64ae998cacd04346b080a">
        <w:r>
          <w:rPr>
            <w:rStyle w:val="Hyperlink"/>
          </w:rPr>
          <w:t>Content Type Schemas Schema</w:t>
        </w:r>
      </w:hyperlink>
      <w:r>
        <w:t xml:space="preserve"> </w:t>
      </w:r>
      <w:r>
        <w:fldChar w:fldCharType="begin"/>
      </w:r>
      <w:r>
        <w:instrText>PAGEREF sect</w:instrText>
      </w:r>
      <w:r>
        <w:instrText>ion_acb43eb342e64ae998cacd04346b080a</w:instrText>
      </w:r>
      <w:r>
        <w:fldChar w:fldCharType="separate"/>
      </w:r>
      <w:r>
        <w:rPr>
          <w:noProof/>
        </w:rPr>
        <w:t>852</w:t>
      </w:r>
      <w:r>
        <w:fldChar w:fldCharType="end"/>
      </w:r>
    </w:p>
    <w:p w:rsidR="00024C0A" w:rsidRDefault="00694C0F">
      <w:pPr>
        <w:pStyle w:val="indexentry0"/>
      </w:pPr>
      <w:hyperlink w:anchor="section_7e9860bb2b3d469aa3ea08a692df6507">
        <w:r>
          <w:rPr>
            <w:rStyle w:val="Hyperlink"/>
          </w:rPr>
          <w:t>contentPart (Content Part)</w:t>
        </w:r>
      </w:hyperlink>
      <w:r>
        <w:t xml:space="preserve"> </w:t>
      </w:r>
      <w:r>
        <w:fldChar w:fldCharType="begin"/>
      </w:r>
      <w:r>
        <w:instrText>PAGEREF section_7e9860bb2b3d469aa3ea08a692df6507</w:instrText>
      </w:r>
      <w:r>
        <w:fldChar w:fldCharType="separate"/>
      </w:r>
      <w:r>
        <w:rPr>
          <w:noProof/>
        </w:rPr>
        <w:t>79</w:t>
      </w:r>
      <w:r>
        <w:fldChar w:fldCharType="end"/>
      </w:r>
    </w:p>
    <w:p w:rsidR="00024C0A" w:rsidRDefault="00694C0F">
      <w:pPr>
        <w:pStyle w:val="indexentry0"/>
      </w:pPr>
      <w:hyperlink w:anchor="section_0365ee65da5b44769eaa73f1dda94db8">
        <w:r>
          <w:rPr>
            <w:rStyle w:val="Hyperlink"/>
          </w:rPr>
          <w:t>contentTypeSc</w:t>
        </w:r>
        <w:r>
          <w:rPr>
            <w:rStyle w:val="Hyperlink"/>
          </w:rPr>
          <w:t>hema (Schema for Content Type)</w:t>
        </w:r>
      </w:hyperlink>
      <w:r>
        <w:t xml:space="preserve"> </w:t>
      </w:r>
      <w:r>
        <w:fldChar w:fldCharType="begin"/>
      </w:r>
      <w:r>
        <w:instrText>PAGEREF section_0365ee65da5b44769eaa73f1dda94db8</w:instrText>
      </w:r>
      <w:r>
        <w:fldChar w:fldCharType="separate"/>
      </w:r>
      <w:r>
        <w:rPr>
          <w:noProof/>
        </w:rPr>
        <w:t>852</w:t>
      </w:r>
      <w:r>
        <w:fldChar w:fldCharType="end"/>
      </w:r>
    </w:p>
    <w:p w:rsidR="00024C0A" w:rsidRDefault="00694C0F">
      <w:pPr>
        <w:pStyle w:val="indexentry0"/>
      </w:pPr>
      <w:hyperlink w:anchor="section_b3abb6555c644f3aae3d26cf0dbc9081">
        <w:r>
          <w:rPr>
            <w:rStyle w:val="Hyperlink"/>
          </w:rPr>
          <w:t>contourClr (Contour Color)</w:t>
        </w:r>
      </w:hyperlink>
      <w:r>
        <w:t xml:space="preserve"> </w:t>
      </w:r>
      <w:r>
        <w:fldChar w:fldCharType="begin"/>
      </w:r>
      <w:r>
        <w:instrText>PAGEREF section_b3abb6555c644f3aae3d26cf0dbc9081</w:instrText>
      </w:r>
      <w:r>
        <w:fldChar w:fldCharType="separate"/>
      </w:r>
      <w:r>
        <w:rPr>
          <w:noProof/>
        </w:rPr>
        <w:t>506</w:t>
      </w:r>
      <w:r>
        <w:fldChar w:fldCharType="end"/>
      </w:r>
    </w:p>
    <w:p w:rsidR="00024C0A" w:rsidRDefault="00694C0F">
      <w:pPr>
        <w:pStyle w:val="indexentry0"/>
      </w:pPr>
      <w:r>
        <w:t>control (Embedded Control) (</w:t>
      </w:r>
      <w:hyperlink w:anchor="section_4dd24eb05f974935875aba6fb4a1ea6d">
        <w:r>
          <w:rPr>
            <w:rStyle w:val="Hyperlink"/>
          </w:rPr>
          <w:t>section 2.1.103</w:t>
        </w:r>
      </w:hyperlink>
      <w:r>
        <w:t xml:space="preserve"> </w:t>
      </w:r>
      <w:r>
        <w:fldChar w:fldCharType="begin"/>
      </w:r>
      <w:r>
        <w:instrText>PAGEREF section_4dd24eb05f974935875aba6fb4a1ea6d</w:instrText>
      </w:r>
      <w:r>
        <w:fldChar w:fldCharType="separate"/>
      </w:r>
      <w:r>
        <w:rPr>
          <w:noProof/>
        </w:rPr>
        <w:t>79</w:t>
      </w:r>
      <w:r>
        <w:fldChar w:fldCharType="end"/>
      </w:r>
      <w:r>
        <w:t xml:space="preserve">, </w:t>
      </w:r>
      <w:hyperlink w:anchor="section_191c4c0c89ac45619cbf5b27a753beee">
        <w:r>
          <w:rPr>
            <w:rStyle w:val="Hyperlink"/>
          </w:rPr>
          <w:t>section 2.1.602</w:t>
        </w:r>
      </w:hyperlink>
      <w:r>
        <w:t xml:space="preserve"> </w:t>
      </w:r>
      <w:r>
        <w:fldChar w:fldCharType="begin"/>
      </w:r>
      <w:r>
        <w:instrText>PAGEREF section_191c4c0c89ac45619cbf5b27a753b</w:instrText>
      </w:r>
      <w:r>
        <w:instrText>eee</w:instrText>
      </w:r>
      <w:r>
        <w:fldChar w:fldCharType="separate"/>
      </w:r>
      <w:r>
        <w:rPr>
          <w:noProof/>
        </w:rPr>
        <w:t>254</w:t>
      </w:r>
      <w:r>
        <w:fldChar w:fldCharType="end"/>
      </w:r>
      <w:r>
        <w:t xml:space="preserve">, </w:t>
      </w:r>
      <w:hyperlink w:anchor="section_4a7566a1d53e40df8b001876715deeec">
        <w:r>
          <w:rPr>
            <w:rStyle w:val="Hyperlink"/>
          </w:rPr>
          <w:t>section 2.1.1130</w:t>
        </w:r>
      </w:hyperlink>
      <w:r>
        <w:t xml:space="preserve"> </w:t>
      </w:r>
      <w:r>
        <w:fldChar w:fldCharType="begin"/>
      </w:r>
      <w:r>
        <w:instrText>PAGEREF section_4a7566a1d53e40df8b001876715deeec</w:instrText>
      </w:r>
      <w:r>
        <w:fldChar w:fldCharType="separate"/>
      </w:r>
      <w:r>
        <w:rPr>
          <w:noProof/>
        </w:rPr>
        <w:t>468</w:t>
      </w:r>
      <w:r>
        <w:fldChar w:fldCharType="end"/>
      </w:r>
      <w:r>
        <w:t>)</w:t>
      </w:r>
    </w:p>
    <w:p w:rsidR="00024C0A" w:rsidRDefault="00694C0F">
      <w:pPr>
        <w:pStyle w:val="indexentry0"/>
      </w:pPr>
      <w:hyperlink w:anchor="section_6fb2a0fdd9af44a4a0ed5dd4ad286134">
        <w:r>
          <w:rPr>
            <w:rStyle w:val="Hyperlink"/>
          </w:rPr>
          <w:t>control (Floating Embedded Control)</w:t>
        </w:r>
      </w:hyperlink>
      <w:r>
        <w:t xml:space="preserve"> </w:t>
      </w:r>
      <w:r>
        <w:fldChar w:fldCharType="begin"/>
      </w:r>
      <w:r>
        <w:instrText>PAGEREF section_</w:instrText>
      </w:r>
      <w:r>
        <w:instrText>6fb2a0fdd9af44a4a0ed5dd4ad286134</w:instrText>
      </w:r>
      <w:r>
        <w:fldChar w:fldCharType="separate"/>
      </w:r>
      <w:r>
        <w:rPr>
          <w:noProof/>
        </w:rPr>
        <w:t>619</w:t>
      </w:r>
      <w:r>
        <w:fldChar w:fldCharType="end"/>
      </w:r>
    </w:p>
    <w:p w:rsidR="00024C0A" w:rsidRDefault="00694C0F">
      <w:pPr>
        <w:pStyle w:val="indexentry0"/>
      </w:pPr>
      <w:hyperlink w:anchor="section_d54ad5fce66f473282072e69571b58c0">
        <w:r>
          <w:rPr>
            <w:rStyle w:val="Hyperlink"/>
          </w:rPr>
          <w:t>Control Properties</w:t>
        </w:r>
      </w:hyperlink>
      <w:r>
        <w:t xml:space="preserve"> </w:t>
      </w:r>
      <w:r>
        <w:fldChar w:fldCharType="begin"/>
      </w:r>
      <w:r>
        <w:instrText>PAGEREF section_d54ad5fce66f473282072e69571b58c0</w:instrText>
      </w:r>
      <w:r>
        <w:fldChar w:fldCharType="separate"/>
      </w:r>
      <w:r>
        <w:rPr>
          <w:noProof/>
        </w:rPr>
        <w:t>890</w:t>
      </w:r>
      <w:r>
        <w:fldChar w:fldCharType="end"/>
      </w:r>
    </w:p>
    <w:p w:rsidR="00024C0A" w:rsidRDefault="00694C0F">
      <w:pPr>
        <w:pStyle w:val="indexentry0"/>
      </w:pPr>
      <w:hyperlink w:anchor="section_ee6983cc1d544770b179a332e5bb8ffa">
        <w:r>
          <w:rPr>
            <w:rStyle w:val="Hyperlink"/>
          </w:rPr>
          <w:t>controlPr (Embedded Contr</w:t>
        </w:r>
        <w:r>
          <w:rPr>
            <w:rStyle w:val="Hyperlink"/>
          </w:rPr>
          <w:t>ol Properties)</w:t>
        </w:r>
      </w:hyperlink>
      <w:r>
        <w:t xml:space="preserve"> </w:t>
      </w:r>
      <w:r>
        <w:fldChar w:fldCharType="begin"/>
      </w:r>
      <w:r>
        <w:instrText>PAGEREF section_ee6983cc1d544770b179a332e5bb8ffa</w:instrText>
      </w:r>
      <w:r>
        <w:fldChar w:fldCharType="separate"/>
      </w:r>
      <w:r>
        <w:rPr>
          <w:noProof/>
        </w:rPr>
        <w:t>254</w:t>
      </w:r>
      <w:r>
        <w:fldChar w:fldCharType="end"/>
      </w:r>
    </w:p>
    <w:p w:rsidR="00024C0A" w:rsidRDefault="00694C0F">
      <w:pPr>
        <w:pStyle w:val="indexentry0"/>
      </w:pPr>
      <w:hyperlink w:anchor="section_10f45a7e53934ea2b0f7dac31d426fea">
        <w:r>
          <w:rPr>
            <w:rStyle w:val="Hyperlink"/>
          </w:rPr>
          <w:t>controls (Embedded Controls)</w:t>
        </w:r>
      </w:hyperlink>
      <w:r>
        <w:t xml:space="preserve"> </w:t>
      </w:r>
      <w:r>
        <w:fldChar w:fldCharType="begin"/>
      </w:r>
      <w:r>
        <w:instrText>PAGEREF section_10f45a7e53934ea2b0f7dac31d426fea</w:instrText>
      </w:r>
      <w:r>
        <w:fldChar w:fldCharType="separate"/>
      </w:r>
      <w:r>
        <w:rPr>
          <w:noProof/>
        </w:rPr>
        <w:t>254</w:t>
      </w:r>
      <w:r>
        <w:fldChar w:fldCharType="end"/>
      </w:r>
    </w:p>
    <w:p w:rsidR="00024C0A" w:rsidRDefault="00694C0F">
      <w:pPr>
        <w:pStyle w:val="indexentry0"/>
      </w:pPr>
      <w:hyperlink w:anchor="section_fd31bfcbc9464f1a88e258d40cde169e">
        <w:r>
          <w:rPr>
            <w:rStyle w:val="Hyperlink"/>
          </w:rPr>
          <w:t>CONVERT</w:t>
        </w:r>
      </w:hyperlink>
      <w:r>
        <w:t xml:space="preserve"> </w:t>
      </w:r>
      <w:r>
        <w:fldChar w:fldCharType="begin"/>
      </w:r>
      <w:r>
        <w:instrText>PAGEREF section_fd31bfcbc9464f1a88e258d40cde169e</w:instrText>
      </w:r>
      <w:r>
        <w:fldChar w:fldCharType="separate"/>
      </w:r>
      <w:r>
        <w:rPr>
          <w:noProof/>
        </w:rPr>
        <w:t>407</w:t>
      </w:r>
      <w:r>
        <w:fldChar w:fldCharType="end"/>
      </w:r>
    </w:p>
    <w:p w:rsidR="00024C0A" w:rsidRDefault="00694C0F">
      <w:pPr>
        <w:pStyle w:val="indexentry0"/>
      </w:pPr>
      <w:hyperlink w:anchor="section_69facb4b222641c0a77ad9fcabebd0ea">
        <w:r>
          <w:rPr>
            <w:rStyle w:val="Hyperlink"/>
          </w:rPr>
          <w:t>convMailMergeEsc (Treat Backslash Quotation Delimiter as Two Quotation M</w:t>
        </w:r>
        <w:r>
          <w:rPr>
            <w:rStyle w:val="Hyperlink"/>
          </w:rPr>
          <w:t>arks)</w:t>
        </w:r>
      </w:hyperlink>
      <w:r>
        <w:t xml:space="preserve"> </w:t>
      </w:r>
      <w:r>
        <w:fldChar w:fldCharType="begin"/>
      </w:r>
      <w:r>
        <w:instrText>PAGEREF section_69facb4b222641c0a77ad9fcabebd0ea</w:instrText>
      </w:r>
      <w:r>
        <w:fldChar w:fldCharType="separate"/>
      </w:r>
      <w:r>
        <w:rPr>
          <w:noProof/>
        </w:rPr>
        <w:t>625</w:t>
      </w:r>
      <w:r>
        <w:fldChar w:fldCharType="end"/>
      </w:r>
    </w:p>
    <w:p w:rsidR="00024C0A" w:rsidRDefault="00694C0F">
      <w:pPr>
        <w:pStyle w:val="indexentry0"/>
      </w:pPr>
      <w:hyperlink w:anchor="section_28beaa8f42ce41e6820d4d7af34457a5">
        <w:r>
          <w:rPr>
            <w:rStyle w:val="Hyperlink"/>
          </w:rPr>
          <w:t>Core File Properties Part</w:t>
        </w:r>
      </w:hyperlink>
      <w:r>
        <w:t xml:space="preserve"> </w:t>
      </w:r>
      <w:r>
        <w:fldChar w:fldCharType="begin"/>
      </w:r>
      <w:r>
        <w:instrText>PAGEREF section_28beaa8f42ce41e6820d4d7af34457a5</w:instrText>
      </w:r>
      <w:r>
        <w:fldChar w:fldCharType="separate"/>
      </w:r>
      <w:r>
        <w:rPr>
          <w:noProof/>
        </w:rPr>
        <w:t>56</w:t>
      </w:r>
      <w:r>
        <w:fldChar w:fldCharType="end"/>
      </w:r>
    </w:p>
    <w:p w:rsidR="00024C0A" w:rsidRDefault="00694C0F">
      <w:pPr>
        <w:pStyle w:val="indexentry0"/>
      </w:pPr>
      <w:hyperlink w:anchor="section_291e6d2a9ff949229a763771528eda9d">
        <w:r>
          <w:rPr>
            <w:rStyle w:val="Hyperlink"/>
          </w:rPr>
          <w:t>Core Properties</w:t>
        </w:r>
      </w:hyperlink>
      <w:r>
        <w:t xml:space="preserve"> </w:t>
      </w:r>
      <w:r>
        <w:fldChar w:fldCharType="begin"/>
      </w:r>
      <w:r>
        <w:instrText>PAGEREF section_291e6d2a9ff949229a763771528eda9d</w:instrText>
      </w:r>
      <w:r>
        <w:fldChar w:fldCharType="separate"/>
      </w:r>
      <w:r>
        <w:rPr>
          <w:noProof/>
        </w:rPr>
        <w:t>619</w:t>
      </w:r>
      <w:r>
        <w:fldChar w:fldCharType="end"/>
      </w:r>
    </w:p>
    <w:p w:rsidR="00024C0A" w:rsidRDefault="00694C0F">
      <w:pPr>
        <w:pStyle w:val="indexentry0"/>
      </w:pPr>
      <w:hyperlink w:anchor="section_7864edd9d4b74cf0bc4f6c50985e22ce">
        <w:r>
          <w:rPr>
            <w:rStyle w:val="Hyperlink"/>
          </w:rPr>
          <w:t>CORREL</w:t>
        </w:r>
      </w:hyperlink>
      <w:r>
        <w:t xml:space="preserve"> </w:t>
      </w:r>
      <w:r>
        <w:fldChar w:fldCharType="begin"/>
      </w:r>
      <w:r>
        <w:instrText>PAGEREF section_7864edd9d4b74cf0bc4f6c50985e22ce</w:instrText>
      </w:r>
      <w:r>
        <w:fldChar w:fldCharType="separate"/>
      </w:r>
      <w:r>
        <w:rPr>
          <w:noProof/>
        </w:rPr>
        <w:t>407</w:t>
      </w:r>
      <w:r>
        <w:fldChar w:fldCharType="end"/>
      </w:r>
    </w:p>
    <w:p w:rsidR="00024C0A" w:rsidRDefault="00694C0F">
      <w:pPr>
        <w:pStyle w:val="indexentry0"/>
      </w:pPr>
      <w:hyperlink w:anchor="section_fe40154b9eac4223a8660a77432aa3e5">
        <w:r>
          <w:rPr>
            <w:rStyle w:val="Hyperlink"/>
          </w:rPr>
          <w:t>COS</w:t>
        </w:r>
      </w:hyperlink>
      <w:r>
        <w:t xml:space="preserve"> </w:t>
      </w:r>
      <w:r>
        <w:fldChar w:fldCharType="begin"/>
      </w:r>
      <w:r>
        <w:instrText>PAGEREF section_fe40154b9eac4223a8660a77432aa3e5</w:instrText>
      </w:r>
      <w:r>
        <w:fldChar w:fldCharType="separate"/>
      </w:r>
      <w:r>
        <w:rPr>
          <w:noProof/>
        </w:rPr>
        <w:t>407</w:t>
      </w:r>
      <w:r>
        <w:fldChar w:fldCharType="end"/>
      </w:r>
    </w:p>
    <w:p w:rsidR="00024C0A" w:rsidRDefault="00694C0F">
      <w:pPr>
        <w:pStyle w:val="indexentry0"/>
      </w:pPr>
      <w:hyperlink w:anchor="section_130b7fae1db946df83cfd6d3174fe06d">
        <w:r>
          <w:rPr>
            <w:rStyle w:val="Hyperlink"/>
          </w:rPr>
          <w:t>COUNT</w:t>
        </w:r>
      </w:hyperlink>
      <w:r>
        <w:t xml:space="preserve"> </w:t>
      </w:r>
      <w:r>
        <w:fldChar w:fldCharType="begin"/>
      </w:r>
      <w:r>
        <w:instrText>PAGEREF section_130b7fae1db946df83cfd6d3174fe06d</w:instrText>
      </w:r>
      <w:r>
        <w:fldChar w:fldCharType="separate"/>
      </w:r>
      <w:r>
        <w:rPr>
          <w:noProof/>
        </w:rPr>
        <w:t>407</w:t>
      </w:r>
      <w:r>
        <w:fldChar w:fldCharType="end"/>
      </w:r>
    </w:p>
    <w:p w:rsidR="00024C0A" w:rsidRDefault="00694C0F">
      <w:pPr>
        <w:pStyle w:val="indexentry0"/>
      </w:pPr>
      <w:hyperlink w:anchor="section_905f41bbce9847e0ad41446ce9012042">
        <w:r>
          <w:rPr>
            <w:rStyle w:val="Hyperlink"/>
          </w:rPr>
          <w:t>count (Matrix Column Count)</w:t>
        </w:r>
      </w:hyperlink>
      <w:r>
        <w:t xml:space="preserve"> </w:t>
      </w:r>
      <w:r>
        <w:fldChar w:fldCharType="begin"/>
      </w:r>
      <w:r>
        <w:instrText>PAGEREF section_905f41bbce9847e0ad41446ce9012042</w:instrText>
      </w:r>
      <w:r>
        <w:fldChar w:fldCharType="separate"/>
      </w:r>
      <w:r>
        <w:rPr>
          <w:noProof/>
        </w:rPr>
        <w:t>592</w:t>
      </w:r>
      <w:r>
        <w:fldChar w:fldCharType="end"/>
      </w:r>
    </w:p>
    <w:p w:rsidR="00024C0A" w:rsidRDefault="00694C0F">
      <w:pPr>
        <w:pStyle w:val="indexentry0"/>
      </w:pPr>
      <w:hyperlink w:anchor="section_3f3a26fbc07a43f1bea6d6c0e00c54d5">
        <w:r>
          <w:rPr>
            <w:rStyle w:val="Hyperlink"/>
          </w:rPr>
          <w:t>COUNTA</w:t>
        </w:r>
      </w:hyperlink>
      <w:r>
        <w:t xml:space="preserve"> </w:t>
      </w:r>
      <w:r>
        <w:fldChar w:fldCharType="begin"/>
      </w:r>
      <w:r>
        <w:instrText>PAGEREF section_3f3a26fbc07a43f1bea6d6c0e00c54d5</w:instrText>
      </w:r>
      <w:r>
        <w:fldChar w:fldCharType="separate"/>
      </w:r>
      <w:r>
        <w:rPr>
          <w:noProof/>
        </w:rPr>
        <w:t>408</w:t>
      </w:r>
      <w:r>
        <w:fldChar w:fldCharType="end"/>
      </w:r>
    </w:p>
    <w:p w:rsidR="00024C0A" w:rsidRDefault="00694C0F">
      <w:pPr>
        <w:pStyle w:val="indexentry0"/>
      </w:pPr>
      <w:hyperlink w:anchor="section_e5e3e0c53ee54c0da41d171441efc56d">
        <w:r>
          <w:rPr>
            <w:rStyle w:val="Hyperlink"/>
          </w:rPr>
          <w:t>COUNTIFS</w:t>
        </w:r>
      </w:hyperlink>
      <w:r>
        <w:t xml:space="preserve"> </w:t>
      </w:r>
      <w:r>
        <w:fldChar w:fldCharType="begin"/>
      </w:r>
      <w:r>
        <w:instrText>PAGEREF section_e5e3e0c53ee54c0da41d171441efc56d</w:instrText>
      </w:r>
      <w:r>
        <w:fldChar w:fldCharType="separate"/>
      </w:r>
      <w:r>
        <w:rPr>
          <w:noProof/>
        </w:rPr>
        <w:t>408</w:t>
      </w:r>
      <w:r>
        <w:fldChar w:fldCharType="end"/>
      </w:r>
    </w:p>
    <w:p w:rsidR="00024C0A" w:rsidRDefault="00694C0F">
      <w:pPr>
        <w:pStyle w:val="indexentry0"/>
      </w:pPr>
      <w:hyperlink w:anchor="section_0dd5776bedf5474082fbf4bd600a803c">
        <w:r>
          <w:rPr>
            <w:rStyle w:val="Hyperlink"/>
          </w:rPr>
          <w:t>COUPDAYBS</w:t>
        </w:r>
      </w:hyperlink>
      <w:r>
        <w:t xml:space="preserve"> </w:t>
      </w:r>
      <w:r>
        <w:fldChar w:fldCharType="begin"/>
      </w:r>
      <w:r>
        <w:instrText>PAGEREF section_0dd5776bedf5474082fbf4bd600a803c</w:instrText>
      </w:r>
      <w:r>
        <w:fldChar w:fldCharType="separate"/>
      </w:r>
      <w:r>
        <w:rPr>
          <w:noProof/>
        </w:rPr>
        <w:t>408</w:t>
      </w:r>
      <w:r>
        <w:fldChar w:fldCharType="end"/>
      </w:r>
    </w:p>
    <w:p w:rsidR="00024C0A" w:rsidRDefault="00694C0F">
      <w:pPr>
        <w:pStyle w:val="indexentry0"/>
      </w:pPr>
      <w:hyperlink w:anchor="section_220caf3eaaf3483f844a454abcf07bd2">
        <w:r>
          <w:rPr>
            <w:rStyle w:val="Hyperlink"/>
          </w:rPr>
          <w:t>COUPDAYS</w:t>
        </w:r>
      </w:hyperlink>
      <w:r>
        <w:t xml:space="preserve"> </w:t>
      </w:r>
      <w:r>
        <w:fldChar w:fldCharType="begin"/>
      </w:r>
      <w:r>
        <w:instrText>PAGEREF section_220caf3eaaf3483f844a454abcf07bd2</w:instrText>
      </w:r>
      <w:r>
        <w:fldChar w:fldCharType="separate"/>
      </w:r>
      <w:r>
        <w:rPr>
          <w:noProof/>
        </w:rPr>
        <w:t>409</w:t>
      </w:r>
      <w:r>
        <w:fldChar w:fldCharType="end"/>
      </w:r>
    </w:p>
    <w:p w:rsidR="00024C0A" w:rsidRDefault="00694C0F">
      <w:pPr>
        <w:pStyle w:val="indexentry0"/>
      </w:pPr>
      <w:hyperlink w:anchor="section_03a8b66dce9d43d8a75117c0b018f0c3">
        <w:r>
          <w:rPr>
            <w:rStyle w:val="Hyperlink"/>
          </w:rPr>
          <w:t>COUPDAYSNC</w:t>
        </w:r>
      </w:hyperlink>
      <w:r>
        <w:t xml:space="preserve"> </w:t>
      </w:r>
      <w:r>
        <w:fldChar w:fldCharType="begin"/>
      </w:r>
      <w:r>
        <w:instrText>PAGEREF section_03a8b66dce9d43d8a75117c0b018f0c3</w:instrText>
      </w:r>
      <w:r>
        <w:fldChar w:fldCharType="separate"/>
      </w:r>
      <w:r>
        <w:rPr>
          <w:noProof/>
        </w:rPr>
        <w:t>409</w:t>
      </w:r>
      <w:r>
        <w:fldChar w:fldCharType="end"/>
      </w:r>
    </w:p>
    <w:p w:rsidR="00024C0A" w:rsidRDefault="00694C0F">
      <w:pPr>
        <w:pStyle w:val="indexentry0"/>
      </w:pPr>
      <w:hyperlink w:anchor="section_b48d56a6c03446c2acbb0ea61547b4b8">
        <w:r>
          <w:rPr>
            <w:rStyle w:val="Hyperlink"/>
          </w:rPr>
          <w:t>COUPNCD</w:t>
        </w:r>
      </w:hyperlink>
      <w:r>
        <w:t xml:space="preserve"> </w:t>
      </w:r>
      <w:r>
        <w:fldChar w:fldCharType="begin"/>
      </w:r>
      <w:r>
        <w:instrText>PAGEREF section_b48d56a6c03446c2acbb0ea61547b4b8</w:instrText>
      </w:r>
      <w:r>
        <w:fldChar w:fldCharType="separate"/>
      </w:r>
      <w:r>
        <w:rPr>
          <w:noProof/>
        </w:rPr>
        <w:t>410</w:t>
      </w:r>
      <w:r>
        <w:fldChar w:fldCharType="end"/>
      </w:r>
    </w:p>
    <w:p w:rsidR="00024C0A" w:rsidRDefault="00694C0F">
      <w:pPr>
        <w:pStyle w:val="indexentry0"/>
      </w:pPr>
      <w:hyperlink w:anchor="section_cb1a2b1ece6241f0aa54baf09de7379c">
        <w:r>
          <w:rPr>
            <w:rStyle w:val="Hyperlink"/>
          </w:rPr>
          <w:t>COUPNUM</w:t>
        </w:r>
      </w:hyperlink>
      <w:r>
        <w:t xml:space="preserve"> </w:t>
      </w:r>
      <w:r>
        <w:fldChar w:fldCharType="begin"/>
      </w:r>
      <w:r>
        <w:instrText>PAGEREF section_cb1a2b1ece6241f0aa54baf09de7379c</w:instrText>
      </w:r>
      <w:r>
        <w:fldChar w:fldCharType="separate"/>
      </w:r>
      <w:r>
        <w:rPr>
          <w:noProof/>
        </w:rPr>
        <w:t>411</w:t>
      </w:r>
      <w:r>
        <w:fldChar w:fldCharType="end"/>
      </w:r>
    </w:p>
    <w:p w:rsidR="00024C0A" w:rsidRDefault="00694C0F">
      <w:pPr>
        <w:pStyle w:val="indexentry0"/>
      </w:pPr>
      <w:hyperlink w:anchor="section_c1984310e77840939b4d90e00b44ce89">
        <w:r>
          <w:rPr>
            <w:rStyle w:val="Hyperlink"/>
          </w:rPr>
          <w:t>COUPPCD</w:t>
        </w:r>
      </w:hyperlink>
      <w:r>
        <w:t xml:space="preserve"> </w:t>
      </w:r>
      <w:r>
        <w:fldChar w:fldCharType="begin"/>
      </w:r>
      <w:r>
        <w:instrText>PAGEREF section_c1984310e77840939b4d90e00b44ce89</w:instrText>
      </w:r>
      <w:r>
        <w:fldChar w:fldCharType="separate"/>
      </w:r>
      <w:r>
        <w:rPr>
          <w:noProof/>
        </w:rPr>
        <w:t>412</w:t>
      </w:r>
      <w:r>
        <w:fldChar w:fldCharType="end"/>
      </w:r>
    </w:p>
    <w:p w:rsidR="00024C0A" w:rsidRDefault="00694C0F">
      <w:pPr>
        <w:pStyle w:val="indexentry0"/>
      </w:pPr>
      <w:hyperlink w:anchor="section_f13db469a7624a039fbbb4d0fc4affc7">
        <w:r>
          <w:rPr>
            <w:rStyle w:val="Hyperlink"/>
          </w:rPr>
          <w:t>Cover Page Properties</w:t>
        </w:r>
      </w:hyperlink>
      <w:r>
        <w:t xml:space="preserve"> </w:t>
      </w:r>
      <w:r>
        <w:fldChar w:fldCharType="begin"/>
      </w:r>
      <w:r>
        <w:instrText>PAGEREF section_f13db469a7624a039fbbb4d0fc4affc7</w:instrText>
      </w:r>
      <w:r>
        <w:fldChar w:fldCharType="separate"/>
      </w:r>
      <w:r>
        <w:rPr>
          <w:noProof/>
        </w:rPr>
        <w:t>849</w:t>
      </w:r>
      <w:r>
        <w:fldChar w:fldCharType="end"/>
      </w:r>
    </w:p>
    <w:p w:rsidR="00024C0A" w:rsidRDefault="00694C0F">
      <w:pPr>
        <w:pStyle w:val="indexentry0"/>
      </w:pPr>
      <w:hyperlink w:anchor="section_f4d50e0ddbdb493d9c1f5e94acf656a1">
        <w:r>
          <w:rPr>
            <w:rStyle w:val="Hyperlink"/>
          </w:rPr>
          <w:t>Cover Page Properties Schema</w:t>
        </w:r>
      </w:hyperlink>
      <w:r>
        <w:t xml:space="preserve"> </w:t>
      </w:r>
      <w:r>
        <w:fldChar w:fldCharType="begin"/>
      </w:r>
      <w:r>
        <w:instrText>PAGEREF section_f4d50e0ddbdb493d9c1f5e94acf656a1</w:instrText>
      </w:r>
      <w:r>
        <w:fldChar w:fldCharType="separate"/>
      </w:r>
      <w:r>
        <w:rPr>
          <w:noProof/>
        </w:rPr>
        <w:t>849</w:t>
      </w:r>
      <w:r>
        <w:fldChar w:fldCharType="end"/>
      </w:r>
    </w:p>
    <w:p w:rsidR="00024C0A" w:rsidRDefault="00694C0F">
      <w:pPr>
        <w:pStyle w:val="indexentry0"/>
      </w:pPr>
      <w:hyperlink w:anchor="section_81e7ee1c4eea44838a713ae2974e2a74">
        <w:r>
          <w:rPr>
            <w:rStyle w:val="Hyperlink"/>
          </w:rPr>
          <w:t>CoverPageProperties (Cover Page Properties)</w:t>
        </w:r>
      </w:hyperlink>
      <w:r>
        <w:t xml:space="preserve"> </w:t>
      </w:r>
      <w:r>
        <w:fldChar w:fldCharType="begin"/>
      </w:r>
      <w:r>
        <w:instrText>PAGEREF sec</w:instrText>
      </w:r>
      <w:r>
        <w:instrText>tion_81e7ee1c4eea44838a713ae2974e2a74</w:instrText>
      </w:r>
      <w:r>
        <w:fldChar w:fldCharType="separate"/>
      </w:r>
      <w:r>
        <w:rPr>
          <w:noProof/>
        </w:rPr>
        <w:t>850</w:t>
      </w:r>
      <w:r>
        <w:fldChar w:fldCharType="end"/>
      </w:r>
    </w:p>
    <w:p w:rsidR="00024C0A" w:rsidRDefault="00694C0F">
      <w:pPr>
        <w:pStyle w:val="indexentry0"/>
      </w:pPr>
      <w:hyperlink w:anchor="section_ab4095f610eb4826a70e9e92fcfeb5b3">
        <w:r>
          <w:rPr>
            <w:rStyle w:val="Hyperlink"/>
          </w:rPr>
          <w:t>CREATEDATE</w:t>
        </w:r>
      </w:hyperlink>
      <w:r>
        <w:t xml:space="preserve"> </w:t>
      </w:r>
      <w:r>
        <w:fldChar w:fldCharType="begin"/>
      </w:r>
      <w:r>
        <w:instrText>PAGEREF section_ab4095f610eb4826a70e9e92fcfeb5b3</w:instrText>
      </w:r>
      <w:r>
        <w:fldChar w:fldCharType="separate"/>
      </w:r>
      <w:r>
        <w:rPr>
          <w:noProof/>
        </w:rPr>
        <w:t>185</w:t>
      </w:r>
      <w:r>
        <w:fldChar w:fldCharType="end"/>
      </w:r>
    </w:p>
    <w:p w:rsidR="00024C0A" w:rsidRDefault="00694C0F">
      <w:pPr>
        <w:pStyle w:val="indexentry0"/>
      </w:pPr>
      <w:hyperlink w:anchor="section_253c6fac2aa2405bb389f8b813d20428">
        <w:r>
          <w:rPr>
            <w:rStyle w:val="Hyperlink"/>
          </w:rPr>
          <w:t>CRITBINOM</w:t>
        </w:r>
      </w:hyperlink>
      <w:r>
        <w:t xml:space="preserve"> </w:t>
      </w:r>
      <w:r>
        <w:fldChar w:fldCharType="begin"/>
      </w:r>
      <w:r>
        <w:instrText>PAGEREF section_</w:instrText>
      </w:r>
      <w:r>
        <w:instrText>253c6fac2aa2405bb389f8b813d20428</w:instrText>
      </w:r>
      <w:r>
        <w:fldChar w:fldCharType="separate"/>
      </w:r>
      <w:r>
        <w:rPr>
          <w:noProof/>
        </w:rPr>
        <w:t>413</w:t>
      </w:r>
      <w:r>
        <w:fldChar w:fldCharType="end"/>
      </w:r>
    </w:p>
    <w:p w:rsidR="00024C0A" w:rsidRDefault="00694C0F">
      <w:pPr>
        <w:pStyle w:val="indexentry0"/>
      </w:pPr>
      <w:hyperlink w:anchor="section_195a0d2d3977477a86ded88b14745e13">
        <w:r>
          <w:rPr>
            <w:rStyle w:val="Hyperlink"/>
          </w:rPr>
          <w:t>crossAx (Crossing Axis ID)</w:t>
        </w:r>
      </w:hyperlink>
      <w:r>
        <w:t xml:space="preserve"> </w:t>
      </w:r>
      <w:r>
        <w:fldChar w:fldCharType="begin"/>
      </w:r>
      <w:r>
        <w:instrText>PAGEREF section_195a0d2d3977477a86ded88b14745e13</w:instrText>
      </w:r>
      <w:r>
        <w:fldChar w:fldCharType="separate"/>
      </w:r>
      <w:r>
        <w:rPr>
          <w:noProof/>
        </w:rPr>
        <w:t>543</w:t>
      </w:r>
      <w:r>
        <w:fldChar w:fldCharType="end"/>
      </w:r>
    </w:p>
    <w:p w:rsidR="00024C0A" w:rsidRDefault="00694C0F">
      <w:pPr>
        <w:pStyle w:val="indexentry0"/>
      </w:pPr>
      <w:hyperlink w:anchor="section_c5ba9569da3445309743b040df140552">
        <w:r>
          <w:rPr>
            <w:rStyle w:val="Hyperlink"/>
          </w:rPr>
          <w:t>crossesAt (Crossi</w:t>
        </w:r>
        <w:r>
          <w:rPr>
            <w:rStyle w:val="Hyperlink"/>
          </w:rPr>
          <w:t>ng Value)</w:t>
        </w:r>
      </w:hyperlink>
      <w:r>
        <w:t xml:space="preserve"> </w:t>
      </w:r>
      <w:r>
        <w:fldChar w:fldCharType="begin"/>
      </w:r>
      <w:r>
        <w:instrText>PAGEREF section_c5ba9569da3445309743b040df140552</w:instrText>
      </w:r>
      <w:r>
        <w:fldChar w:fldCharType="separate"/>
      </w:r>
      <w:r>
        <w:rPr>
          <w:noProof/>
        </w:rPr>
        <w:t>543</w:t>
      </w:r>
      <w:r>
        <w:fldChar w:fldCharType="end"/>
      </w:r>
    </w:p>
    <w:p w:rsidR="00024C0A" w:rsidRDefault="00694C0F">
      <w:pPr>
        <w:pStyle w:val="indexentry0"/>
      </w:pPr>
      <w:hyperlink w:anchor="section_ea47d4567ab64103a0e600afc4917ce3">
        <w:r>
          <w:rPr>
            <w:rStyle w:val="Hyperlink"/>
          </w:rPr>
          <w:t>cs (Complex Script Font)</w:t>
        </w:r>
      </w:hyperlink>
      <w:r>
        <w:t xml:space="preserve"> </w:t>
      </w:r>
      <w:r>
        <w:fldChar w:fldCharType="begin"/>
      </w:r>
      <w:r>
        <w:instrText>PAGEREF section_ea47d4567ab64103a0e600afc4917ce3</w:instrText>
      </w:r>
      <w:r>
        <w:fldChar w:fldCharType="separate"/>
      </w:r>
      <w:r>
        <w:rPr>
          <w:noProof/>
        </w:rPr>
        <w:t>531</w:t>
      </w:r>
      <w:r>
        <w:fldChar w:fldCharType="end"/>
      </w:r>
    </w:p>
    <w:p w:rsidR="00024C0A" w:rsidRDefault="00694C0F">
      <w:pPr>
        <w:pStyle w:val="indexentry0"/>
      </w:pPr>
      <w:hyperlink w:anchor="section_4f50ceb9013d4affa66144e88c4ae009">
        <w:r>
          <w:rPr>
            <w:rStyle w:val="Hyperlink"/>
          </w:rPr>
          <w:t>cs (Use Complex Script Formatting on Run)</w:t>
        </w:r>
      </w:hyperlink>
      <w:r>
        <w:t xml:space="preserve"> </w:t>
      </w:r>
      <w:r>
        <w:fldChar w:fldCharType="begin"/>
      </w:r>
      <w:r>
        <w:instrText>PAGEREF section_4f50ceb9013d4affa66144e88c4ae009</w:instrText>
      </w:r>
      <w:r>
        <w:fldChar w:fldCharType="separate"/>
      </w:r>
      <w:r>
        <w:rPr>
          <w:noProof/>
        </w:rPr>
        <w:t>70</w:t>
      </w:r>
      <w:r>
        <w:fldChar w:fldCharType="end"/>
      </w:r>
    </w:p>
    <w:p w:rsidR="00024C0A" w:rsidRDefault="00694C0F">
      <w:pPr>
        <w:pStyle w:val="indexentry0"/>
      </w:pPr>
      <w:hyperlink w:anchor="section_27570db3ce3e4a0693da4c8f1b7552ed">
        <w:r>
          <w:rPr>
            <w:rStyle w:val="Hyperlink"/>
          </w:rPr>
          <w:t>cSld (Common Slide Data)</w:t>
        </w:r>
      </w:hyperlink>
      <w:r>
        <w:t xml:space="preserve"> </w:t>
      </w:r>
      <w:r>
        <w:fldChar w:fldCharType="begin"/>
      </w:r>
      <w:r>
        <w:instrText>PAGEREF sec</w:instrText>
      </w:r>
      <w:r>
        <w:instrText>tion_27570db3ce3e4a0693da4c8f1b7552ed</w:instrText>
      </w:r>
      <w:r>
        <w:fldChar w:fldCharType="separate"/>
      </w:r>
      <w:r>
        <w:rPr>
          <w:noProof/>
        </w:rPr>
        <w:t>466</w:t>
      </w:r>
      <w:r>
        <w:fldChar w:fldCharType="end"/>
      </w:r>
    </w:p>
    <w:p w:rsidR="00024C0A" w:rsidRDefault="00694C0F">
      <w:pPr>
        <w:pStyle w:val="indexentry0"/>
      </w:pPr>
      <w:hyperlink w:anchor="section_8c4a5c5e7e6349dd99fdfa57af3ab910">
        <w:r>
          <w:rPr>
            <w:rStyle w:val="Hyperlink"/>
          </w:rPr>
          <w:t>cSp (Minimum Matrix Column Width)</w:t>
        </w:r>
      </w:hyperlink>
      <w:r>
        <w:t xml:space="preserve"> </w:t>
      </w:r>
      <w:r>
        <w:fldChar w:fldCharType="begin"/>
      </w:r>
      <w:r>
        <w:instrText>PAGEREF section_8c4a5c5e7e6349dd99fdfa57af3ab910</w:instrText>
      </w:r>
      <w:r>
        <w:fldChar w:fldCharType="separate"/>
      </w:r>
      <w:r>
        <w:rPr>
          <w:noProof/>
        </w:rPr>
        <w:t>592</w:t>
      </w:r>
      <w:r>
        <w:fldChar w:fldCharType="end"/>
      </w:r>
    </w:p>
    <w:p w:rsidR="00024C0A" w:rsidRDefault="00694C0F">
      <w:pPr>
        <w:pStyle w:val="indexentry0"/>
      </w:pPr>
      <w:hyperlink w:anchor="section_02b2312e970042e08a19b2af1ba83a20">
        <w:r>
          <w:rPr>
            <w:rStyle w:val="Hyperlink"/>
          </w:rPr>
          <w:t>cTn (</w:t>
        </w:r>
        <w:r>
          <w:rPr>
            <w:rStyle w:val="Hyperlink"/>
          </w:rPr>
          <w:t>Common Time Node Properties)</w:t>
        </w:r>
      </w:hyperlink>
      <w:r>
        <w:t xml:space="preserve"> </w:t>
      </w:r>
      <w:r>
        <w:fldChar w:fldCharType="begin"/>
      </w:r>
      <w:r>
        <w:instrText>PAGEREF section_02b2312e970042e08a19b2af1ba83a20</w:instrText>
      </w:r>
      <w:r>
        <w:fldChar w:fldCharType="separate"/>
      </w:r>
      <w:r>
        <w:rPr>
          <w:noProof/>
        </w:rPr>
        <w:t>480</w:t>
      </w:r>
      <w:r>
        <w:fldChar w:fldCharType="end"/>
      </w:r>
    </w:p>
    <w:p w:rsidR="00024C0A" w:rsidRDefault="00694C0F">
      <w:pPr>
        <w:pStyle w:val="indexentry0"/>
      </w:pPr>
      <w:hyperlink w:anchor="section_93f2186763064c8b8aa9390d0adc4e3f">
        <w:r>
          <w:rPr>
            <w:rStyle w:val="Hyperlink"/>
          </w:rPr>
          <w:t>ctrlPr (Control Properties)</w:t>
        </w:r>
      </w:hyperlink>
      <w:r>
        <w:t xml:space="preserve"> </w:t>
      </w:r>
      <w:r>
        <w:fldChar w:fldCharType="begin"/>
      </w:r>
      <w:r>
        <w:instrText>PAGEREF section_93f2186763064c8b8aa9390d0adc4e3f</w:instrText>
      </w:r>
      <w:r>
        <w:fldChar w:fldCharType="separate"/>
      </w:r>
      <w:r>
        <w:rPr>
          <w:noProof/>
        </w:rPr>
        <w:t>592</w:t>
      </w:r>
      <w:r>
        <w:fldChar w:fldCharType="end"/>
      </w:r>
    </w:p>
    <w:p w:rsidR="00024C0A" w:rsidRDefault="00694C0F">
      <w:pPr>
        <w:pStyle w:val="indexentry0"/>
      </w:pPr>
      <w:hyperlink w:anchor="section_340546969f524105914397bccd1e9366">
        <w:r>
          <w:rPr>
            <w:rStyle w:val="Hyperlink"/>
          </w:rPr>
          <w:t>CUBEKPIMEMBER</w:t>
        </w:r>
      </w:hyperlink>
      <w:r>
        <w:t xml:space="preserve"> </w:t>
      </w:r>
      <w:r>
        <w:fldChar w:fldCharType="begin"/>
      </w:r>
      <w:r>
        <w:instrText>PAGEREF section_340546969f524105914397bccd1e9366</w:instrText>
      </w:r>
      <w:r>
        <w:fldChar w:fldCharType="separate"/>
      </w:r>
      <w:r>
        <w:rPr>
          <w:noProof/>
        </w:rPr>
        <w:t>413</w:t>
      </w:r>
      <w:r>
        <w:fldChar w:fldCharType="end"/>
      </w:r>
    </w:p>
    <w:p w:rsidR="00024C0A" w:rsidRDefault="00694C0F">
      <w:pPr>
        <w:pStyle w:val="indexentry0"/>
      </w:pPr>
      <w:hyperlink w:anchor="section_22a502a9d3384459bd878a18d9037bc3">
        <w:r>
          <w:rPr>
            <w:rStyle w:val="Hyperlink"/>
          </w:rPr>
          <w:t>CUBESET</w:t>
        </w:r>
      </w:hyperlink>
      <w:r>
        <w:t xml:space="preserve"> </w:t>
      </w:r>
      <w:r>
        <w:fldChar w:fldCharType="begin"/>
      </w:r>
      <w:r>
        <w:instrText>PAGEREF section_22a502a9d3384459bd878a18d9037bc3</w:instrText>
      </w:r>
      <w:r>
        <w:fldChar w:fldCharType="separate"/>
      </w:r>
      <w:r>
        <w:rPr>
          <w:noProof/>
        </w:rPr>
        <w:t>413</w:t>
      </w:r>
      <w:r>
        <w:fldChar w:fldCharType="end"/>
      </w:r>
    </w:p>
    <w:p w:rsidR="00024C0A" w:rsidRDefault="00694C0F">
      <w:pPr>
        <w:pStyle w:val="indexentry0"/>
      </w:pPr>
      <w:hyperlink w:anchor="section_7b300f59520b4394976ae6e747a90f79">
        <w:r>
          <w:rPr>
            <w:rStyle w:val="Hyperlink"/>
          </w:rPr>
          <w:t>CUBESETCOUNT</w:t>
        </w:r>
      </w:hyperlink>
      <w:r>
        <w:t xml:space="preserve"> </w:t>
      </w:r>
      <w:r>
        <w:fldChar w:fldCharType="begin"/>
      </w:r>
      <w:r>
        <w:instrText>PAGEREF section_7b300f59520b4394976ae6e747a90f79</w:instrText>
      </w:r>
      <w:r>
        <w:fldChar w:fldCharType="separate"/>
      </w:r>
      <w:r>
        <w:rPr>
          <w:noProof/>
        </w:rPr>
        <w:t>413</w:t>
      </w:r>
      <w:r>
        <w:fldChar w:fldCharType="end"/>
      </w:r>
    </w:p>
    <w:p w:rsidR="00024C0A" w:rsidRDefault="00694C0F">
      <w:pPr>
        <w:pStyle w:val="indexentry0"/>
      </w:pPr>
      <w:hyperlink w:anchor="section_66332a3d99bf4eea80038f4bad1f8752">
        <w:r>
          <w:rPr>
            <w:rStyle w:val="Hyperlink"/>
          </w:rPr>
          <w:t>CUMIPMT</w:t>
        </w:r>
      </w:hyperlink>
      <w:r>
        <w:t xml:space="preserve"> </w:t>
      </w:r>
      <w:r>
        <w:fldChar w:fldCharType="begin"/>
      </w:r>
      <w:r>
        <w:instrText>PAGEREF section_66332a3d99bf4eea80038f4bad1f8752</w:instrText>
      </w:r>
      <w:r>
        <w:fldChar w:fldCharType="separate"/>
      </w:r>
      <w:r>
        <w:rPr>
          <w:noProof/>
        </w:rPr>
        <w:t>413</w:t>
      </w:r>
      <w:r>
        <w:fldChar w:fldCharType="end"/>
      </w:r>
    </w:p>
    <w:p w:rsidR="00024C0A" w:rsidRDefault="00694C0F">
      <w:pPr>
        <w:pStyle w:val="indexentry0"/>
      </w:pPr>
      <w:hyperlink w:anchor="section_3449459a0e834a19b4029642a5ea36ff">
        <w:r>
          <w:rPr>
            <w:rStyle w:val="Hyperlink"/>
          </w:rPr>
          <w:t>CUMPRINC</w:t>
        </w:r>
      </w:hyperlink>
      <w:r>
        <w:t xml:space="preserve"> </w:t>
      </w:r>
      <w:r>
        <w:fldChar w:fldCharType="begin"/>
      </w:r>
      <w:r>
        <w:instrText>PAGEREF section_3449459a0e834a19b4029642a5ea36ff</w:instrText>
      </w:r>
      <w:r>
        <w:fldChar w:fldCharType="separate"/>
      </w:r>
      <w:r>
        <w:rPr>
          <w:noProof/>
        </w:rPr>
        <w:t>414</w:t>
      </w:r>
      <w:r>
        <w:fldChar w:fldCharType="end"/>
      </w:r>
    </w:p>
    <w:p w:rsidR="00024C0A" w:rsidRDefault="00694C0F">
      <w:pPr>
        <w:pStyle w:val="indexentry0"/>
      </w:pPr>
      <w:hyperlink w:anchor="section_f5d19ada9960486786e99c187b7c8744">
        <w:r>
          <w:rPr>
            <w:rStyle w:val="Hyperlink"/>
          </w:rPr>
          <w:t>curve (Bezier Curve)</w:t>
        </w:r>
      </w:hyperlink>
      <w:r>
        <w:t xml:space="preserve"> </w:t>
      </w:r>
      <w:r>
        <w:fldChar w:fldCharType="begin"/>
      </w:r>
      <w:r>
        <w:instrText>PAGEREF section_f5d19ada9960486786e99c187b7c8744</w:instrText>
      </w:r>
      <w:r>
        <w:fldChar w:fldCharType="separate"/>
      </w:r>
      <w:r>
        <w:rPr>
          <w:noProof/>
        </w:rPr>
        <w:t>637</w:t>
      </w:r>
      <w:r>
        <w:fldChar w:fldCharType="end"/>
      </w:r>
    </w:p>
    <w:p w:rsidR="00024C0A" w:rsidRDefault="00694C0F">
      <w:pPr>
        <w:pStyle w:val="indexentry0"/>
      </w:pPr>
      <w:hyperlink w:anchor="section_ded574023d5740a88662fa25bfffe329">
        <w:r>
          <w:rPr>
            <w:rStyle w:val="Hyperlink"/>
          </w:rPr>
          <w:t>custData (Customer Data)</w:t>
        </w:r>
      </w:hyperlink>
      <w:r>
        <w:t xml:space="preserve"> </w:t>
      </w:r>
      <w:r>
        <w:fldChar w:fldCharType="begin"/>
      </w:r>
      <w:r>
        <w:instrText>PAGEREF section_ded574023d5740a88662fa25bfffe329</w:instrText>
      </w:r>
      <w:r>
        <w:fldChar w:fldCharType="separate"/>
      </w:r>
      <w:r>
        <w:rPr>
          <w:noProof/>
        </w:rPr>
        <w:t>466</w:t>
      </w:r>
      <w:r>
        <w:fldChar w:fldCharType="end"/>
      </w:r>
    </w:p>
    <w:p w:rsidR="00024C0A" w:rsidRDefault="00694C0F">
      <w:pPr>
        <w:pStyle w:val="indexentry0"/>
      </w:pPr>
      <w:hyperlink w:anchor="section_115a2521c18a49df82edf87e7941c25f">
        <w:r>
          <w:rPr>
            <w:rStyle w:val="Hyperlink"/>
          </w:rPr>
          <w:t>Custom Document Information Panel</w:t>
        </w:r>
      </w:hyperlink>
      <w:r>
        <w:t xml:space="preserve"> </w:t>
      </w:r>
      <w:r>
        <w:fldChar w:fldCharType="begin"/>
      </w:r>
      <w:r>
        <w:instrText>PAGEREF section</w:instrText>
      </w:r>
      <w:r>
        <w:instrText>_115a2521c18a49df82edf87e7941c25f</w:instrText>
      </w:r>
      <w:r>
        <w:fldChar w:fldCharType="separate"/>
      </w:r>
      <w:r>
        <w:rPr>
          <w:noProof/>
        </w:rPr>
        <w:t>864</w:t>
      </w:r>
      <w:r>
        <w:fldChar w:fldCharType="end"/>
      </w:r>
    </w:p>
    <w:p w:rsidR="00024C0A" w:rsidRDefault="00694C0F">
      <w:pPr>
        <w:pStyle w:val="indexentry0"/>
      </w:pPr>
      <w:hyperlink w:anchor="section_471bacba8a3243149825ae9d444e1af9">
        <w:r>
          <w:rPr>
            <w:rStyle w:val="Hyperlink"/>
          </w:rPr>
          <w:t>Custom Document Information Panel Schema</w:t>
        </w:r>
      </w:hyperlink>
      <w:r>
        <w:t xml:space="preserve"> </w:t>
      </w:r>
      <w:r>
        <w:fldChar w:fldCharType="begin"/>
      </w:r>
      <w:r>
        <w:instrText>PAGEREF section_471bacba8a3243149825ae9d444e1af9</w:instrText>
      </w:r>
      <w:r>
        <w:fldChar w:fldCharType="separate"/>
      </w:r>
      <w:r>
        <w:rPr>
          <w:noProof/>
        </w:rPr>
        <w:t>865</w:t>
      </w:r>
      <w:r>
        <w:fldChar w:fldCharType="end"/>
      </w:r>
    </w:p>
    <w:p w:rsidR="00024C0A" w:rsidRDefault="00694C0F">
      <w:pPr>
        <w:pStyle w:val="indexentry0"/>
      </w:pPr>
      <w:hyperlink w:anchor="section_329b6ef35848403b97e9069503df5e3a">
        <w:r>
          <w:rPr>
            <w:rStyle w:val="Hyperlink"/>
          </w:rPr>
          <w:t>Cu</w:t>
        </w:r>
        <w:r>
          <w:rPr>
            <w:rStyle w:val="Hyperlink"/>
          </w:rPr>
          <w:t>stom File Properties Part</w:t>
        </w:r>
      </w:hyperlink>
      <w:r>
        <w:t xml:space="preserve"> </w:t>
      </w:r>
      <w:r>
        <w:fldChar w:fldCharType="begin"/>
      </w:r>
      <w:r>
        <w:instrText>PAGEREF section_329b6ef35848403b97e9069503df5e3a</w:instrText>
      </w:r>
      <w:r>
        <w:fldChar w:fldCharType="separate"/>
      </w:r>
      <w:r>
        <w:rPr>
          <w:noProof/>
        </w:rPr>
        <w:t>56</w:t>
      </w:r>
      <w:r>
        <w:fldChar w:fldCharType="end"/>
      </w:r>
    </w:p>
    <w:p w:rsidR="00024C0A" w:rsidRDefault="00694C0F">
      <w:pPr>
        <w:pStyle w:val="indexentry0"/>
      </w:pPr>
      <w:hyperlink w:anchor="section_59d313b6b9a8485083f1e87ad9abd509">
        <w:r>
          <w:rPr>
            <w:rStyle w:val="Hyperlink"/>
          </w:rPr>
          <w:t>Custom XML Data Storage Part</w:t>
        </w:r>
      </w:hyperlink>
      <w:r>
        <w:t xml:space="preserve"> </w:t>
      </w:r>
      <w:r>
        <w:fldChar w:fldCharType="begin"/>
      </w:r>
      <w:r>
        <w:instrText>PAGEREF section_59d313b6b9a8485083f1e87ad9abd509</w:instrText>
      </w:r>
      <w:r>
        <w:fldChar w:fldCharType="separate"/>
      </w:r>
      <w:r>
        <w:rPr>
          <w:noProof/>
        </w:rPr>
        <w:t>55</w:t>
      </w:r>
      <w:r>
        <w:fldChar w:fldCharType="end"/>
      </w:r>
    </w:p>
    <w:p w:rsidR="00024C0A" w:rsidRDefault="00694C0F">
      <w:pPr>
        <w:pStyle w:val="indexentry0"/>
      </w:pPr>
      <w:hyperlink w:anchor="section_af4b5f43ab984970bd5ae569ff550042">
        <w:r>
          <w:rPr>
            <w:rStyle w:val="Hyperlink"/>
          </w:rPr>
          <w:t>Custom XML Mappings Part</w:t>
        </w:r>
      </w:hyperlink>
      <w:r>
        <w:t xml:space="preserve"> </w:t>
      </w:r>
      <w:r>
        <w:fldChar w:fldCharType="begin"/>
      </w:r>
      <w:r>
        <w:instrText>PAGEREF section_af4b5f43ab984970bd5ae569ff550042</w:instrText>
      </w:r>
      <w:r>
        <w:fldChar w:fldCharType="separate"/>
      </w:r>
      <w:r>
        <w:rPr>
          <w:noProof/>
        </w:rPr>
        <w:t>48</w:t>
      </w:r>
      <w:r>
        <w:fldChar w:fldCharType="end"/>
      </w:r>
    </w:p>
    <w:p w:rsidR="00024C0A" w:rsidRDefault="00694C0F">
      <w:pPr>
        <w:pStyle w:val="indexentry0"/>
      </w:pPr>
      <w:hyperlink w:anchor="section_c26a68bdb8164d2eb84258bc92e4f6a2">
        <w:r>
          <w:rPr>
            <w:rStyle w:val="Hyperlink"/>
          </w:rPr>
          <w:t>Custom XSN</w:t>
        </w:r>
      </w:hyperlink>
      <w:r>
        <w:t xml:space="preserve"> </w:t>
      </w:r>
      <w:r>
        <w:fldChar w:fldCharType="begin"/>
      </w:r>
      <w:r>
        <w:instrText>PAGEREF section_c26a68bdb8164d2eb84258bc92e4f6a2</w:instrText>
      </w:r>
      <w:r>
        <w:fldChar w:fldCharType="separate"/>
      </w:r>
      <w:r>
        <w:rPr>
          <w:noProof/>
        </w:rPr>
        <w:t>867</w:t>
      </w:r>
      <w:r>
        <w:fldChar w:fldCharType="end"/>
      </w:r>
    </w:p>
    <w:p w:rsidR="00024C0A" w:rsidRDefault="00694C0F">
      <w:pPr>
        <w:pStyle w:val="indexentry0"/>
      </w:pPr>
      <w:hyperlink w:anchor="section_d9b4ba0ebe664084a162d0eac8fa85e9">
        <w:r>
          <w:rPr>
            <w:rStyle w:val="Hyperlink"/>
          </w:rPr>
          <w:t>Custom XSN Schema</w:t>
        </w:r>
      </w:hyperlink>
      <w:r>
        <w:t xml:space="preserve"> </w:t>
      </w:r>
      <w:r>
        <w:fldChar w:fldCharType="begin"/>
      </w:r>
      <w:r>
        <w:instrText>PAGEREF section_d9b4ba0ebe664084a162d0eac8fa85e9</w:instrText>
      </w:r>
      <w:r>
        <w:fldChar w:fldCharType="separate"/>
      </w:r>
      <w:r>
        <w:rPr>
          <w:noProof/>
        </w:rPr>
        <w:t>867</w:t>
      </w:r>
      <w:r>
        <w:fldChar w:fldCharType="end"/>
      </w:r>
    </w:p>
    <w:p w:rsidR="00024C0A" w:rsidRDefault="00694C0F">
      <w:pPr>
        <w:pStyle w:val="indexentry0"/>
      </w:pPr>
      <w:hyperlink w:anchor="section_25472ee1074b4741b3bd5d72b5a55bdc">
        <w:r>
          <w:rPr>
            <w:rStyle w:val="Hyperlink"/>
          </w:rPr>
          <w:t>Customizations Part</w:t>
        </w:r>
      </w:hyperlink>
      <w:r>
        <w:t xml:space="preserve"> </w:t>
      </w:r>
      <w:r>
        <w:fldChar w:fldCharType="begin"/>
      </w:r>
      <w:r>
        <w:instrText>PAGEREF section_25472ee1074b4741b3bd5d72b5a55bdc</w:instrText>
      </w:r>
      <w:r>
        <w:fldChar w:fldCharType="separate"/>
      </w:r>
      <w:r>
        <w:rPr>
          <w:noProof/>
        </w:rPr>
        <w:t>684</w:t>
      </w:r>
      <w:r>
        <w:fldChar w:fldCharType="end"/>
      </w:r>
    </w:p>
    <w:p w:rsidR="00024C0A" w:rsidRDefault="00694C0F">
      <w:pPr>
        <w:pStyle w:val="indexentry0"/>
      </w:pPr>
      <w:hyperlink w:anchor="section_8657e06740fd46f987172bab6fea07aa">
        <w:r>
          <w:rPr>
            <w:rStyle w:val="Hyperlink"/>
          </w:rPr>
          <w:t>customPr (Custom Property)</w:t>
        </w:r>
      </w:hyperlink>
      <w:r>
        <w:t xml:space="preserve"> </w:t>
      </w:r>
      <w:r>
        <w:fldChar w:fldCharType="begin"/>
      </w:r>
      <w:r>
        <w:instrText>PAGEREF section_8657e06740fd46f987172bab6fea07aa</w:instrText>
      </w:r>
      <w:r>
        <w:fldChar w:fldCharType="separate"/>
      </w:r>
      <w:r>
        <w:rPr>
          <w:noProof/>
        </w:rPr>
        <w:t>254</w:t>
      </w:r>
      <w:r>
        <w:fldChar w:fldCharType="end"/>
      </w:r>
    </w:p>
    <w:p w:rsidR="00024C0A" w:rsidRDefault="00694C0F">
      <w:pPr>
        <w:pStyle w:val="indexentry0"/>
      </w:pPr>
      <w:hyperlink w:anchor="section_518b6e0dd6114ebbbc77dda2706b18fb">
        <w:r>
          <w:rPr>
            <w:rStyle w:val="Hyperlink"/>
          </w:rPr>
          <w:t>customPropertyEditor (Custom Property Editor)</w:t>
        </w:r>
      </w:hyperlink>
      <w:r>
        <w:t xml:space="preserve"> </w:t>
      </w:r>
      <w:r>
        <w:fldChar w:fldCharType="begin"/>
      </w:r>
      <w:r>
        <w:instrText>PAGER</w:instrText>
      </w:r>
      <w:r>
        <w:instrText>EF section_518b6e0dd6114ebbbc77dda2706b18fb</w:instrText>
      </w:r>
      <w:r>
        <w:fldChar w:fldCharType="separate"/>
      </w:r>
      <w:r>
        <w:rPr>
          <w:noProof/>
        </w:rPr>
        <w:t>865</w:t>
      </w:r>
      <w:r>
        <w:fldChar w:fldCharType="end"/>
      </w:r>
    </w:p>
    <w:p w:rsidR="00024C0A" w:rsidRDefault="00694C0F">
      <w:pPr>
        <w:pStyle w:val="indexentry0"/>
      </w:pPr>
      <w:hyperlink w:anchor="section_995299bfabca4268b73dcea9be1ff684">
        <w:r>
          <w:rPr>
            <w:rStyle w:val="Hyperlink"/>
          </w:rPr>
          <w:t>customPropertyEditors (Custom Property Editors List)</w:t>
        </w:r>
      </w:hyperlink>
      <w:r>
        <w:t xml:space="preserve"> </w:t>
      </w:r>
      <w:r>
        <w:fldChar w:fldCharType="begin"/>
      </w:r>
      <w:r>
        <w:instrText>PAGEREF section_995299bfabca4268b73dcea9be1ff684</w:instrText>
      </w:r>
      <w:r>
        <w:fldChar w:fldCharType="separate"/>
      </w:r>
      <w:r>
        <w:rPr>
          <w:noProof/>
        </w:rPr>
        <w:t>865</w:t>
      </w:r>
      <w:r>
        <w:fldChar w:fldCharType="end"/>
      </w:r>
    </w:p>
    <w:p w:rsidR="00024C0A" w:rsidRDefault="00694C0F">
      <w:pPr>
        <w:pStyle w:val="indexentry0"/>
      </w:pPr>
      <w:hyperlink w:anchor="section_13ee020779e148b5b0ed333a3a7dbb81">
        <w:r>
          <w:rPr>
            <w:rStyle w:val="Hyperlink"/>
          </w:rPr>
          <w:t>customSheetView (Custom Chart Sheet View)</w:t>
        </w:r>
      </w:hyperlink>
      <w:r>
        <w:t xml:space="preserve"> </w:t>
      </w:r>
      <w:r>
        <w:fldChar w:fldCharType="begin"/>
      </w:r>
      <w:r>
        <w:instrText>PAGEREF section_13ee020779e148b5b0ed333a3a7dbb81</w:instrText>
      </w:r>
      <w:r>
        <w:fldChar w:fldCharType="separate"/>
      </w:r>
      <w:r>
        <w:rPr>
          <w:noProof/>
        </w:rPr>
        <w:t>254</w:t>
      </w:r>
      <w:r>
        <w:fldChar w:fldCharType="end"/>
      </w:r>
    </w:p>
    <w:p w:rsidR="00024C0A" w:rsidRDefault="00694C0F">
      <w:pPr>
        <w:pStyle w:val="indexentry0"/>
      </w:pPr>
      <w:hyperlink w:anchor="section_2d575d4956e24adf8f4713c09a3a8628">
        <w:r>
          <w:rPr>
            <w:rStyle w:val="Hyperlink"/>
          </w:rPr>
          <w:t>customSheetView (Custom Sheet View)</w:t>
        </w:r>
      </w:hyperlink>
      <w:r>
        <w:t xml:space="preserve"> </w:t>
      </w:r>
      <w:r>
        <w:fldChar w:fldCharType="begin"/>
      </w:r>
      <w:r>
        <w:instrText>PAGEREF section_2d575d4956e24adf8f4713c09</w:instrText>
      </w:r>
      <w:r>
        <w:instrText>a3a8628</w:instrText>
      </w:r>
      <w:r>
        <w:fldChar w:fldCharType="separate"/>
      </w:r>
      <w:r>
        <w:rPr>
          <w:noProof/>
        </w:rPr>
        <w:t>255</w:t>
      </w:r>
      <w:r>
        <w:fldChar w:fldCharType="end"/>
      </w:r>
    </w:p>
    <w:p w:rsidR="00024C0A" w:rsidRDefault="00694C0F">
      <w:pPr>
        <w:pStyle w:val="indexentry0"/>
      </w:pPr>
      <w:hyperlink w:anchor="section_648369e29fdb434b810c4b1ce737ea8a">
        <w:r>
          <w:rPr>
            <w:rStyle w:val="Hyperlink"/>
          </w:rPr>
          <w:t>customSheetViews (Custom Chart Sheet Views)</w:t>
        </w:r>
      </w:hyperlink>
      <w:r>
        <w:t xml:space="preserve"> </w:t>
      </w:r>
      <w:r>
        <w:fldChar w:fldCharType="begin"/>
      </w:r>
      <w:r>
        <w:instrText>PAGEREF section_648369e29fdb434b810c4b1ce737ea8a</w:instrText>
      </w:r>
      <w:r>
        <w:fldChar w:fldCharType="separate"/>
      </w:r>
      <w:r>
        <w:rPr>
          <w:noProof/>
        </w:rPr>
        <w:t>255</w:t>
      </w:r>
      <w:r>
        <w:fldChar w:fldCharType="end"/>
      </w:r>
    </w:p>
    <w:p w:rsidR="00024C0A" w:rsidRDefault="00694C0F">
      <w:pPr>
        <w:pStyle w:val="indexentry0"/>
      </w:pPr>
      <w:hyperlink w:anchor="section_0c2fcd3d6c2d4e039e64366e977e6d5a">
        <w:r>
          <w:rPr>
            <w:rStyle w:val="Hyperlink"/>
          </w:rPr>
          <w:t xml:space="preserve">customSheetViews (Custom </w:t>
        </w:r>
        <w:r>
          <w:rPr>
            <w:rStyle w:val="Hyperlink"/>
          </w:rPr>
          <w:t>Sheet Views)</w:t>
        </w:r>
      </w:hyperlink>
      <w:r>
        <w:t xml:space="preserve"> </w:t>
      </w:r>
      <w:r>
        <w:fldChar w:fldCharType="begin"/>
      </w:r>
      <w:r>
        <w:instrText>PAGEREF section_0c2fcd3d6c2d4e039e64366e977e6d5a</w:instrText>
      </w:r>
      <w:r>
        <w:fldChar w:fldCharType="separate"/>
      </w:r>
      <w:r>
        <w:rPr>
          <w:noProof/>
        </w:rPr>
        <w:t>255</w:t>
      </w:r>
      <w:r>
        <w:fldChar w:fldCharType="end"/>
      </w:r>
    </w:p>
    <w:p w:rsidR="00024C0A" w:rsidRDefault="00694C0F">
      <w:pPr>
        <w:pStyle w:val="indexentry0"/>
      </w:pPr>
      <w:hyperlink w:anchor="section_2d3ee2da8f774b08bc2b651e568af3ab">
        <w:r>
          <w:rPr>
            <w:rStyle w:val="Hyperlink"/>
          </w:rPr>
          <w:t>CustomUI Part</w:t>
        </w:r>
      </w:hyperlink>
      <w:r>
        <w:t xml:space="preserve"> </w:t>
      </w:r>
      <w:r>
        <w:fldChar w:fldCharType="begin"/>
      </w:r>
      <w:r>
        <w:instrText>PAGEREF section_2d3ee2da8f774b08bc2b651e568af3ab</w:instrText>
      </w:r>
      <w:r>
        <w:fldChar w:fldCharType="separate"/>
      </w:r>
      <w:r>
        <w:rPr>
          <w:noProof/>
        </w:rPr>
        <w:t>846</w:t>
      </w:r>
      <w:r>
        <w:fldChar w:fldCharType="end"/>
      </w:r>
    </w:p>
    <w:p w:rsidR="00024C0A" w:rsidRDefault="00694C0F">
      <w:pPr>
        <w:pStyle w:val="indexentry0"/>
      </w:pPr>
      <w:hyperlink w:anchor="section_12409b35ead94ff8a0815b6ffa64cc0f">
        <w:r>
          <w:rPr>
            <w:rStyle w:val="Hyperlink"/>
          </w:rPr>
          <w:t>CustomUI2 Part</w:t>
        </w:r>
      </w:hyperlink>
      <w:r>
        <w:t xml:space="preserve"> </w:t>
      </w:r>
      <w:r>
        <w:fldChar w:fldCharType="begin"/>
      </w:r>
      <w:r>
        <w:instrText>PAGEREF section_12409b35ead94ff8a0815b6ffa64cc0f</w:instrText>
      </w:r>
      <w:r>
        <w:fldChar w:fldCharType="separate"/>
      </w:r>
      <w:r>
        <w:rPr>
          <w:noProof/>
        </w:rPr>
        <w:t>847</w:t>
      </w:r>
      <w:r>
        <w:fldChar w:fldCharType="end"/>
      </w:r>
    </w:p>
    <w:p w:rsidR="00024C0A" w:rsidRDefault="00694C0F">
      <w:pPr>
        <w:pStyle w:val="indexentry0"/>
      </w:pPr>
      <w:hyperlink w:anchor="section_4a1279ef49db44dab7a7f88b371cdc89">
        <w:r>
          <w:rPr>
            <w:rStyle w:val="Hyperlink"/>
          </w:rPr>
          <w:t>customWorkbookView (Custom Workbook View)</w:t>
        </w:r>
      </w:hyperlink>
      <w:r>
        <w:t xml:space="preserve"> </w:t>
      </w:r>
      <w:r>
        <w:fldChar w:fldCharType="begin"/>
      </w:r>
      <w:r>
        <w:instrText>PAGEREF section_4a1279ef49db44dab7a7f88b371cdc89</w:instrText>
      </w:r>
      <w:r>
        <w:fldChar w:fldCharType="separate"/>
      </w:r>
      <w:r>
        <w:rPr>
          <w:noProof/>
        </w:rPr>
        <w:t>237</w:t>
      </w:r>
      <w:r>
        <w:fldChar w:fldCharType="end"/>
      </w:r>
    </w:p>
    <w:p w:rsidR="00024C0A" w:rsidRDefault="00694C0F">
      <w:pPr>
        <w:pStyle w:val="indexentry0"/>
      </w:pPr>
      <w:hyperlink w:anchor="section_e3436d35a07349779c97c4c5cd78ddab">
        <w:r>
          <w:rPr>
            <w:rStyle w:val="Hyperlink"/>
          </w:rPr>
          <w:t>customWorkbookViews (Custom Workbook Views)</w:t>
        </w:r>
      </w:hyperlink>
      <w:r>
        <w:t xml:space="preserve"> </w:t>
      </w:r>
      <w:r>
        <w:fldChar w:fldCharType="begin"/>
      </w:r>
      <w:r>
        <w:instrText>PAGEREF section_e3436d35a07349779c97c4c5cd78ddab</w:instrText>
      </w:r>
      <w:r>
        <w:fldChar w:fldCharType="separate"/>
      </w:r>
      <w:r>
        <w:rPr>
          <w:noProof/>
        </w:rPr>
        <w:t>237</w:t>
      </w:r>
      <w:r>
        <w:fldChar w:fldCharType="end"/>
      </w:r>
    </w:p>
    <w:p w:rsidR="00024C0A" w:rsidRDefault="00694C0F">
      <w:pPr>
        <w:pStyle w:val="indexentry0"/>
      </w:pPr>
      <w:hyperlink w:anchor="section_cad2d3a17f3446278a9750e04d47fc2f">
        <w:r>
          <w:rPr>
            <w:rStyle w:val="Hyperlink"/>
          </w:rPr>
          <w:t>customXml (Block-Level Custom XML El</w:t>
        </w:r>
        <w:r>
          <w:rPr>
            <w:rStyle w:val="Hyperlink"/>
          </w:rPr>
          <w:t>ement)</w:t>
        </w:r>
      </w:hyperlink>
      <w:r>
        <w:t xml:space="preserve"> </w:t>
      </w:r>
      <w:r>
        <w:fldChar w:fldCharType="begin"/>
      </w:r>
      <w:r>
        <w:instrText>PAGEREF section_cad2d3a17f3446278a9750e04d47fc2f</w:instrText>
      </w:r>
      <w:r>
        <w:fldChar w:fldCharType="separate"/>
      </w:r>
      <w:r>
        <w:rPr>
          <w:noProof/>
        </w:rPr>
        <w:t>96</w:t>
      </w:r>
      <w:r>
        <w:fldChar w:fldCharType="end"/>
      </w:r>
    </w:p>
    <w:p w:rsidR="00024C0A" w:rsidRDefault="00694C0F">
      <w:pPr>
        <w:pStyle w:val="indexentry0"/>
      </w:pPr>
      <w:hyperlink w:anchor="section_d46901cef70f439fbc173f020a8cbb0a">
        <w:r>
          <w:rPr>
            <w:rStyle w:val="Hyperlink"/>
          </w:rPr>
          <w:t>customXml (Cell-Level Custom XML Element)</w:t>
        </w:r>
      </w:hyperlink>
      <w:r>
        <w:t xml:space="preserve"> </w:t>
      </w:r>
      <w:r>
        <w:fldChar w:fldCharType="begin"/>
      </w:r>
      <w:r>
        <w:instrText>PAGEREF section_d46901cef70f439fbc173f020a8cbb0a</w:instrText>
      </w:r>
      <w:r>
        <w:fldChar w:fldCharType="separate"/>
      </w:r>
      <w:r>
        <w:rPr>
          <w:noProof/>
        </w:rPr>
        <w:t>96</w:t>
      </w:r>
      <w:r>
        <w:fldChar w:fldCharType="end"/>
      </w:r>
    </w:p>
    <w:p w:rsidR="00024C0A" w:rsidRDefault="00694C0F">
      <w:pPr>
        <w:pStyle w:val="indexentry0"/>
      </w:pPr>
      <w:hyperlink w:anchor="section_fb39493214a94ebcbf3fabfe9d946a61">
        <w:r>
          <w:rPr>
            <w:rStyle w:val="Hyperlink"/>
          </w:rPr>
          <w:t>customXml (Inline-Level Custom XML Element)</w:t>
        </w:r>
      </w:hyperlink>
      <w:r>
        <w:t xml:space="preserve"> </w:t>
      </w:r>
      <w:r>
        <w:fldChar w:fldCharType="begin"/>
      </w:r>
      <w:r>
        <w:instrText>PAGEREF section_fb39493214a94ebcbf3fabfe9d946a61</w:instrText>
      </w:r>
      <w:r>
        <w:fldChar w:fldCharType="separate"/>
      </w:r>
      <w:r>
        <w:rPr>
          <w:noProof/>
        </w:rPr>
        <w:t>96</w:t>
      </w:r>
      <w:r>
        <w:fldChar w:fldCharType="end"/>
      </w:r>
    </w:p>
    <w:p w:rsidR="00024C0A" w:rsidRDefault="00694C0F">
      <w:pPr>
        <w:pStyle w:val="indexentry0"/>
      </w:pPr>
      <w:hyperlink w:anchor="section_3188c7db7968430db14806b88ecc8038">
        <w:r>
          <w:rPr>
            <w:rStyle w:val="Hyperlink"/>
          </w:rPr>
          <w:t>customXml (Row-Level Custom XML Element)</w:t>
        </w:r>
      </w:hyperlink>
      <w:r>
        <w:t xml:space="preserve"> </w:t>
      </w:r>
      <w:r>
        <w:fldChar w:fldCharType="begin"/>
      </w:r>
      <w:r>
        <w:instrText>PAGEREF section_3188c7db7968430db14806b88ecc8038</w:instrText>
      </w:r>
      <w:r>
        <w:fldChar w:fldCharType="separate"/>
      </w:r>
      <w:r>
        <w:rPr>
          <w:noProof/>
        </w:rPr>
        <w:t>96</w:t>
      </w:r>
      <w:r>
        <w:fldChar w:fldCharType="end"/>
      </w:r>
    </w:p>
    <w:p w:rsidR="00024C0A" w:rsidRDefault="00694C0F">
      <w:pPr>
        <w:pStyle w:val="indexentry0"/>
      </w:pPr>
      <w:hyperlink w:anchor="section_d188da3eb34b4445b3a0118155f75ff3">
        <w:r>
          <w:rPr>
            <w:rStyle w:val="Hyperlink"/>
          </w:rPr>
          <w:t>customXml (Ruby Inline-Level Custom XML Element)</w:t>
        </w:r>
      </w:hyperlink>
      <w:r>
        <w:t xml:space="preserve"> </w:t>
      </w:r>
      <w:r>
        <w:fldChar w:fldCharType="begin"/>
      </w:r>
      <w:r>
        <w:instrText>PAGEREF section_d188da3eb34b4445b3a0118155f75ff3</w:instrText>
      </w:r>
      <w:r>
        <w:fldChar w:fldCharType="separate"/>
      </w:r>
      <w:r>
        <w:rPr>
          <w:noProof/>
        </w:rPr>
        <w:t>785</w:t>
      </w:r>
      <w:r>
        <w:fldChar w:fldCharType="end"/>
      </w:r>
    </w:p>
    <w:p w:rsidR="00024C0A" w:rsidRDefault="00694C0F">
      <w:pPr>
        <w:pStyle w:val="indexentry0"/>
      </w:pPr>
      <w:hyperlink w:anchor="section_09390857bdfc41548f0d3a034116fc17">
        <w:r>
          <w:rPr>
            <w:rStyle w:val="Hyperlink"/>
          </w:rPr>
          <w:t>customXmlDelRangeEnd (Custom XML Markup Deletion End)</w:t>
        </w:r>
      </w:hyperlink>
      <w:r>
        <w:t xml:space="preserve"> </w:t>
      </w:r>
      <w:r>
        <w:fldChar w:fldCharType="begin"/>
      </w:r>
      <w:r>
        <w:instrText>PAGEREF section_09390857bdfc41548f0d3a034116fc17</w:instrText>
      </w:r>
      <w:r>
        <w:fldChar w:fldCharType="separate"/>
      </w:r>
      <w:r>
        <w:rPr>
          <w:noProof/>
        </w:rPr>
        <w:t>132</w:t>
      </w:r>
      <w:r>
        <w:fldChar w:fldCharType="end"/>
      </w:r>
    </w:p>
    <w:p w:rsidR="00024C0A" w:rsidRDefault="00694C0F">
      <w:pPr>
        <w:pStyle w:val="indexentry0"/>
      </w:pPr>
      <w:hyperlink w:anchor="section_01c325f9222f41cea66dfa32c38aa598">
        <w:r>
          <w:rPr>
            <w:rStyle w:val="Hyperlink"/>
          </w:rPr>
          <w:t>customXmlDelRangeStart (Custom XML Markup Deletion Start)</w:t>
        </w:r>
      </w:hyperlink>
      <w:r>
        <w:t xml:space="preserve"> </w:t>
      </w:r>
      <w:r>
        <w:fldChar w:fldCharType="begin"/>
      </w:r>
      <w:r>
        <w:instrText>PAGERE</w:instrText>
      </w:r>
      <w:r>
        <w:instrText>F section_01c325f9222f41cea66dfa32c38aa598</w:instrText>
      </w:r>
      <w:r>
        <w:fldChar w:fldCharType="separate"/>
      </w:r>
      <w:r>
        <w:rPr>
          <w:noProof/>
        </w:rPr>
        <w:t>132</w:t>
      </w:r>
      <w:r>
        <w:fldChar w:fldCharType="end"/>
      </w:r>
    </w:p>
    <w:p w:rsidR="00024C0A" w:rsidRDefault="00694C0F">
      <w:pPr>
        <w:pStyle w:val="indexentry0"/>
      </w:pPr>
      <w:hyperlink w:anchor="section_66213ef21f7b4e3092edf96e46b5b5cc">
        <w:r>
          <w:rPr>
            <w:rStyle w:val="Hyperlink"/>
          </w:rPr>
          <w:t>customXmlInsRangeEnd (Custom XML Markup Insertion End)</w:t>
        </w:r>
      </w:hyperlink>
      <w:r>
        <w:t xml:space="preserve"> </w:t>
      </w:r>
      <w:r>
        <w:fldChar w:fldCharType="begin"/>
      </w:r>
      <w:r>
        <w:instrText>PAGEREF section_66213ef21f7b4e3092edf96e46b5b5cc</w:instrText>
      </w:r>
      <w:r>
        <w:fldChar w:fldCharType="separate"/>
      </w:r>
      <w:r>
        <w:rPr>
          <w:noProof/>
        </w:rPr>
        <w:t>133</w:t>
      </w:r>
      <w:r>
        <w:fldChar w:fldCharType="end"/>
      </w:r>
    </w:p>
    <w:p w:rsidR="00024C0A" w:rsidRDefault="00694C0F">
      <w:pPr>
        <w:pStyle w:val="indexentry0"/>
      </w:pPr>
      <w:hyperlink w:anchor="section_ca13fff5ae694458a26a848e9709382d">
        <w:r>
          <w:rPr>
            <w:rStyle w:val="Hyperlink"/>
          </w:rPr>
          <w:t>customXmlInsRangeStart (Custom XML Markup Insertion Start)</w:t>
        </w:r>
      </w:hyperlink>
      <w:r>
        <w:t xml:space="preserve"> </w:t>
      </w:r>
      <w:r>
        <w:fldChar w:fldCharType="begin"/>
      </w:r>
      <w:r>
        <w:instrText>PAGEREF section_ca13fff5ae694458a26a848e9709382d</w:instrText>
      </w:r>
      <w:r>
        <w:fldChar w:fldCharType="separate"/>
      </w:r>
      <w:r>
        <w:rPr>
          <w:noProof/>
        </w:rPr>
        <w:t>133</w:t>
      </w:r>
      <w:r>
        <w:fldChar w:fldCharType="end"/>
      </w:r>
    </w:p>
    <w:p w:rsidR="00024C0A" w:rsidRDefault="00694C0F">
      <w:pPr>
        <w:pStyle w:val="indexentry0"/>
      </w:pPr>
      <w:hyperlink w:anchor="section_7174721fd51b496cb4e40a629713bef3">
        <w:r>
          <w:rPr>
            <w:rStyle w:val="Hyperlink"/>
          </w:rPr>
          <w:t>customXmlMoveFromRangeEnd (Custom XML Markup Move Source End)</w:t>
        </w:r>
      </w:hyperlink>
      <w:r>
        <w:t xml:space="preserve"> </w:t>
      </w:r>
      <w:r>
        <w:fldChar w:fldCharType="begin"/>
      </w:r>
      <w:r>
        <w:instrText>PAGEREF section_7174721fd51b496cb4e40a629713bef3</w:instrText>
      </w:r>
      <w:r>
        <w:fldChar w:fldCharType="separate"/>
      </w:r>
      <w:r>
        <w:rPr>
          <w:noProof/>
        </w:rPr>
        <w:t>133</w:t>
      </w:r>
      <w:r>
        <w:fldChar w:fldCharType="end"/>
      </w:r>
    </w:p>
    <w:p w:rsidR="00024C0A" w:rsidRDefault="00694C0F">
      <w:pPr>
        <w:pStyle w:val="indexentry0"/>
      </w:pPr>
      <w:hyperlink w:anchor="section_6e5e1e9d76ce40febad6bb846b2ce6e9">
        <w:r>
          <w:rPr>
            <w:rStyle w:val="Hyperlink"/>
          </w:rPr>
          <w:t>customXmlMoveFromRangeStart (Custom XML Markup Move Source Start)</w:t>
        </w:r>
      </w:hyperlink>
      <w:r>
        <w:t xml:space="preserve"> </w:t>
      </w:r>
      <w:r>
        <w:fldChar w:fldCharType="begin"/>
      </w:r>
      <w:r>
        <w:instrText>PAGEREF section_6e5e1e9d76ce40febad6bb846b2ce6e9</w:instrText>
      </w:r>
      <w:r>
        <w:fldChar w:fldCharType="separate"/>
      </w:r>
      <w:r>
        <w:rPr>
          <w:noProof/>
        </w:rPr>
        <w:t>134</w:t>
      </w:r>
      <w:r>
        <w:fldChar w:fldCharType="end"/>
      </w:r>
    </w:p>
    <w:p w:rsidR="00024C0A" w:rsidRDefault="00694C0F">
      <w:pPr>
        <w:pStyle w:val="indexentry0"/>
      </w:pPr>
      <w:hyperlink w:anchor="section_f8238e0f99bf44689124e828a849cc16">
        <w:r>
          <w:rPr>
            <w:rStyle w:val="Hyperlink"/>
          </w:rPr>
          <w:t>customXmlMoveToRangeEnd (Custom XML Markup Move Destination Location End)</w:t>
        </w:r>
      </w:hyperlink>
      <w:r>
        <w:t xml:space="preserve"> </w:t>
      </w:r>
      <w:r>
        <w:fldChar w:fldCharType="begin"/>
      </w:r>
      <w:r>
        <w:instrText>PAGEREF section_f8238e0f99bf44689124e828a849cc16</w:instrText>
      </w:r>
      <w:r>
        <w:fldChar w:fldCharType="separate"/>
      </w:r>
      <w:r>
        <w:rPr>
          <w:noProof/>
        </w:rPr>
        <w:t>134</w:t>
      </w:r>
      <w:r>
        <w:fldChar w:fldCharType="end"/>
      </w:r>
    </w:p>
    <w:p w:rsidR="00024C0A" w:rsidRDefault="00694C0F">
      <w:pPr>
        <w:pStyle w:val="indexentry0"/>
      </w:pPr>
      <w:hyperlink w:anchor="section_5aad40547dc943e0927ee80dd560511b">
        <w:r>
          <w:rPr>
            <w:rStyle w:val="Hyperlink"/>
          </w:rPr>
          <w:t xml:space="preserve">customXmlMoveToRangeStart </w:t>
        </w:r>
        <w:r>
          <w:rPr>
            <w:rStyle w:val="Hyperlink"/>
          </w:rPr>
          <w:t>(Custom XML Markup Move Destination Location Start)</w:t>
        </w:r>
      </w:hyperlink>
      <w:r>
        <w:t xml:space="preserve"> </w:t>
      </w:r>
      <w:r>
        <w:fldChar w:fldCharType="begin"/>
      </w:r>
      <w:r>
        <w:instrText>PAGEREF section_5aad40547dc943e0927ee80dd560511b</w:instrText>
      </w:r>
      <w:r>
        <w:fldChar w:fldCharType="separate"/>
      </w:r>
      <w:r>
        <w:rPr>
          <w:noProof/>
        </w:rPr>
        <w:t>134</w:t>
      </w:r>
      <w:r>
        <w:fldChar w:fldCharType="end"/>
      </w:r>
    </w:p>
    <w:p w:rsidR="00024C0A" w:rsidRDefault="00694C0F">
      <w:pPr>
        <w:pStyle w:val="indexentry0"/>
      </w:pPr>
      <w:hyperlink w:anchor="section_dff741e5b6874a57a0ea91144bd69a9c">
        <w:r>
          <w:rPr>
            <w:rStyle w:val="Hyperlink"/>
          </w:rPr>
          <w:t>customXsn (Custom XSN)</w:t>
        </w:r>
      </w:hyperlink>
      <w:r>
        <w:t xml:space="preserve"> </w:t>
      </w:r>
      <w:r>
        <w:fldChar w:fldCharType="begin"/>
      </w:r>
      <w:r>
        <w:instrText>PAGEREF section_dff741e5b6874a57a0ea91144bd69a9c</w:instrText>
      </w:r>
      <w:r>
        <w:fldChar w:fldCharType="separate"/>
      </w:r>
      <w:r>
        <w:rPr>
          <w:noProof/>
        </w:rPr>
        <w:t>867</w:t>
      </w:r>
      <w:r>
        <w:fldChar w:fldCharType="end"/>
      </w:r>
    </w:p>
    <w:p w:rsidR="00024C0A" w:rsidRDefault="00694C0F">
      <w:pPr>
        <w:pStyle w:val="indexentry0"/>
      </w:pPr>
      <w:r>
        <w:t>custShow (Cust</w:t>
      </w:r>
      <w:r>
        <w:t>om Show) (</w:t>
      </w:r>
      <w:hyperlink w:anchor="section_054574864bf84e099d276f74fcf68562">
        <w:r>
          <w:rPr>
            <w:rStyle w:val="Hyperlink"/>
          </w:rPr>
          <w:t>section 2.1.1097</w:t>
        </w:r>
      </w:hyperlink>
      <w:r>
        <w:t xml:space="preserve"> </w:t>
      </w:r>
      <w:r>
        <w:fldChar w:fldCharType="begin"/>
      </w:r>
      <w:r>
        <w:instrText>PAGEREF section_054574864bf84e099d276f74fcf68562</w:instrText>
      </w:r>
      <w:r>
        <w:fldChar w:fldCharType="separate"/>
      </w:r>
      <w:r>
        <w:rPr>
          <w:noProof/>
        </w:rPr>
        <w:t>459</w:t>
      </w:r>
      <w:r>
        <w:fldChar w:fldCharType="end"/>
      </w:r>
      <w:r>
        <w:t xml:space="preserve">, </w:t>
      </w:r>
      <w:hyperlink w:anchor="section_41eb94ad9a8e4f7fb17eed9cc54b5fd7">
        <w:r>
          <w:rPr>
            <w:rStyle w:val="Hyperlink"/>
          </w:rPr>
          <w:t>section 2.1.1098</w:t>
        </w:r>
      </w:hyperlink>
      <w:r>
        <w:t xml:space="preserve"> </w:t>
      </w:r>
      <w:r>
        <w:fldChar w:fldCharType="begin"/>
      </w:r>
      <w:r>
        <w:instrText>PAGEREF section_41eb94ad9a8e4f7</w:instrText>
      </w:r>
      <w:r>
        <w:instrText>fb17eed9cc54b5fd7</w:instrText>
      </w:r>
      <w:r>
        <w:fldChar w:fldCharType="separate"/>
      </w:r>
      <w:r>
        <w:rPr>
          <w:noProof/>
        </w:rPr>
        <w:t>459</w:t>
      </w:r>
      <w:r>
        <w:fldChar w:fldCharType="end"/>
      </w:r>
      <w:r>
        <w:t>)</w:t>
      </w:r>
    </w:p>
    <w:p w:rsidR="00024C0A" w:rsidRDefault="00694C0F">
      <w:pPr>
        <w:pStyle w:val="indexentry0"/>
      </w:pPr>
      <w:hyperlink w:anchor="section_c9de0cf2f9d5416aabe6f1b160b4e823">
        <w:r>
          <w:rPr>
            <w:rStyle w:val="Hyperlink"/>
          </w:rPr>
          <w:t>custUnit (Custom Display Unit)</w:t>
        </w:r>
      </w:hyperlink>
      <w:r>
        <w:t xml:space="preserve"> </w:t>
      </w:r>
      <w:r>
        <w:fldChar w:fldCharType="begin"/>
      </w:r>
      <w:r>
        <w:instrText>PAGEREF section_c9de0cf2f9d5416aabe6f1b160b4e823</w:instrText>
      </w:r>
      <w:r>
        <w:fldChar w:fldCharType="separate"/>
      </w:r>
      <w:r>
        <w:rPr>
          <w:noProof/>
        </w:rPr>
        <w:t>544</w:t>
      </w:r>
      <w:r>
        <w:fldChar w:fldCharType="end"/>
      </w:r>
    </w:p>
    <w:p w:rsidR="00024C0A" w:rsidRDefault="00694C0F">
      <w:pPr>
        <w:pStyle w:val="indexentry0"/>
      </w:pPr>
      <w:hyperlink w:anchor="section_f1f030c79c8a418db6e52ae4c675d0e9">
        <w:r>
          <w:rPr>
            <w:rStyle w:val="Hyperlink"/>
          </w:rPr>
          <w:t>cxn (Connection)</w:t>
        </w:r>
      </w:hyperlink>
      <w:r>
        <w:t xml:space="preserve"> </w:t>
      </w:r>
      <w:r>
        <w:fldChar w:fldCharType="begin"/>
      </w:r>
      <w:r>
        <w:instrText xml:space="preserve">PAGEREF </w:instrText>
      </w:r>
      <w:r>
        <w:instrText>section_f1f030c79c8a418db6e52ae4c675d0e9</w:instrText>
      </w:r>
      <w:r>
        <w:fldChar w:fldCharType="separate"/>
      </w:r>
      <w:r>
        <w:rPr>
          <w:noProof/>
        </w:rPr>
        <w:t>581</w:t>
      </w:r>
      <w:r>
        <w:fldChar w:fldCharType="end"/>
      </w:r>
    </w:p>
    <w:p w:rsidR="00024C0A" w:rsidRDefault="00694C0F">
      <w:pPr>
        <w:pStyle w:val="indexentry0"/>
      </w:pPr>
      <w:r>
        <w:t>cxnSp (Connection Shape) (</w:t>
      </w:r>
      <w:hyperlink w:anchor="section_c39b2737700f49d68c31f480ac51f5c6">
        <w:r>
          <w:rPr>
            <w:rStyle w:val="Hyperlink"/>
          </w:rPr>
          <w:t>section 2.1.1357</w:t>
        </w:r>
      </w:hyperlink>
      <w:r>
        <w:t xml:space="preserve"> </w:t>
      </w:r>
      <w:r>
        <w:fldChar w:fldCharType="begin"/>
      </w:r>
      <w:r>
        <w:instrText>PAGEREF section_c39b2737700f49d68c31f480ac51f5c6</w:instrText>
      </w:r>
      <w:r>
        <w:fldChar w:fldCharType="separate"/>
      </w:r>
      <w:r>
        <w:rPr>
          <w:noProof/>
        </w:rPr>
        <w:t>523</w:t>
      </w:r>
      <w:r>
        <w:fldChar w:fldCharType="end"/>
      </w:r>
      <w:r>
        <w:t xml:space="preserve">, </w:t>
      </w:r>
      <w:hyperlink w:anchor="section_1bfa7d2ded0848e8a2f023c93755d1da">
        <w:r>
          <w:rPr>
            <w:rStyle w:val="Hyperlink"/>
          </w:rPr>
          <w:t>section 2.1.1597</w:t>
        </w:r>
      </w:hyperlink>
      <w:r>
        <w:t xml:space="preserve"> </w:t>
      </w:r>
      <w:r>
        <w:fldChar w:fldCharType="begin"/>
      </w:r>
      <w:r>
        <w:instrText>PAGEREF section_1bfa7d2ded0848e8a2f023c93755d1da</w:instrText>
      </w:r>
      <w:r>
        <w:fldChar w:fldCharType="separate"/>
      </w:r>
      <w:r>
        <w:rPr>
          <w:noProof/>
        </w:rPr>
        <w:t>577</w:t>
      </w:r>
      <w:r>
        <w:fldChar w:fldCharType="end"/>
      </w:r>
      <w:r>
        <w:t>)</w:t>
      </w:r>
    </w:p>
    <w:p w:rsidR="00024C0A" w:rsidRDefault="00694C0F">
      <w:pPr>
        <w:pStyle w:val="indexentry0"/>
      </w:pPr>
      <w:hyperlink w:anchor="section_f34157f3cc864c16b62cc636d8a9e361">
        <w:r>
          <w:rPr>
            <w:rStyle w:val="Hyperlink"/>
          </w:rPr>
          <w:t>cxnSpLocks (Connection Shape Locks)</w:t>
        </w:r>
      </w:hyperlink>
      <w:r>
        <w:t xml:space="preserve"> </w:t>
      </w:r>
      <w:r>
        <w:fldChar w:fldCharType="begin"/>
      </w:r>
      <w:r>
        <w:instrText>PAGEREF section_f34157f3cc864c16b62cc636d8a9e361</w:instrText>
      </w:r>
      <w:r>
        <w:fldChar w:fldCharType="separate"/>
      </w:r>
      <w:r>
        <w:rPr>
          <w:noProof/>
        </w:rPr>
        <w:t>494</w:t>
      </w:r>
      <w:r>
        <w:fldChar w:fldCharType="end"/>
      </w:r>
    </w:p>
    <w:p w:rsidR="00024C0A" w:rsidRDefault="00024C0A">
      <w:pPr>
        <w:spacing w:before="0" w:after="0"/>
        <w:rPr>
          <w:sz w:val="16"/>
        </w:rPr>
      </w:pPr>
    </w:p>
    <w:p w:rsidR="00024C0A" w:rsidRDefault="00694C0F">
      <w:pPr>
        <w:pStyle w:val="indexheader"/>
      </w:pPr>
      <w:r>
        <w:t>D</w:t>
      </w:r>
    </w:p>
    <w:p w:rsidR="00024C0A" w:rsidRDefault="00024C0A">
      <w:pPr>
        <w:spacing w:before="0" w:after="0"/>
        <w:rPr>
          <w:sz w:val="16"/>
        </w:rPr>
      </w:pPr>
    </w:p>
    <w:p w:rsidR="00024C0A" w:rsidRDefault="00694C0F">
      <w:pPr>
        <w:pStyle w:val="indexentry0"/>
      </w:pPr>
      <w:hyperlink w:anchor="section_11e2ac2dcf0a4db3b3f69bfae45fbce6">
        <w:r>
          <w:rPr>
            <w:rStyle w:val="Hyperlink"/>
          </w:rPr>
          <w:t>d (Date Time)</w:t>
        </w:r>
      </w:hyperlink>
      <w:r>
        <w:t xml:space="preserve"> </w:t>
      </w:r>
      <w:r>
        <w:fldChar w:fldCharType="begin"/>
      </w:r>
      <w:r>
        <w:instrText>PAGEREF section_11e2ac2dcf0a4db3b3f69bfae45fbce6</w:instrText>
      </w:r>
      <w:r>
        <w:fldChar w:fldCharType="separate"/>
      </w:r>
      <w:r>
        <w:rPr>
          <w:noProof/>
        </w:rPr>
        <w:t>330</w:t>
      </w:r>
      <w:r>
        <w:fldChar w:fldCharType="end"/>
      </w:r>
    </w:p>
    <w:p w:rsidR="00024C0A" w:rsidRDefault="00694C0F">
      <w:pPr>
        <w:pStyle w:val="indexentry0"/>
      </w:pPr>
      <w:hyperlink w:anchor="section_191498ba6db5457c8a5b9fd82726c180">
        <w:r>
          <w:rPr>
            <w:rStyle w:val="Hyperlink"/>
          </w:rPr>
          <w:t>d (Delimiter Object)</w:t>
        </w:r>
      </w:hyperlink>
      <w:r>
        <w:t xml:space="preserve"> </w:t>
      </w:r>
      <w:r>
        <w:fldChar w:fldCharType="begin"/>
      </w:r>
      <w:r>
        <w:instrText>PAGEREF section_191498ba6db5457c8a5b9fd8272</w:instrText>
      </w:r>
      <w:r>
        <w:instrText>6c180</w:instrText>
      </w:r>
      <w:r>
        <w:fldChar w:fldCharType="separate"/>
      </w:r>
      <w:r>
        <w:rPr>
          <w:noProof/>
        </w:rPr>
        <w:t>592</w:t>
      </w:r>
      <w:r>
        <w:fldChar w:fldCharType="end"/>
      </w:r>
    </w:p>
    <w:p w:rsidR="00024C0A" w:rsidRDefault="00694C0F">
      <w:pPr>
        <w:pStyle w:val="indexentry0"/>
      </w:pPr>
      <w:hyperlink w:anchor="section_1ddb29af9f9949ddb02407491c8d02ef">
        <w:r>
          <w:rPr>
            <w:rStyle w:val="Hyperlink"/>
          </w:rPr>
          <w:t>data (Data Cannot Be Changed)</w:t>
        </w:r>
      </w:hyperlink>
      <w:r>
        <w:t xml:space="preserve"> </w:t>
      </w:r>
      <w:r>
        <w:fldChar w:fldCharType="begin"/>
      </w:r>
      <w:r>
        <w:instrText>PAGEREF section_1ddb29af9f9949ddb02407491c8d02ef</w:instrText>
      </w:r>
      <w:r>
        <w:fldChar w:fldCharType="separate"/>
      </w:r>
      <w:r>
        <w:rPr>
          <w:noProof/>
        </w:rPr>
        <w:t>544</w:t>
      </w:r>
      <w:r>
        <w:fldChar w:fldCharType="end"/>
      </w:r>
    </w:p>
    <w:p w:rsidR="00024C0A" w:rsidRDefault="00694C0F">
      <w:pPr>
        <w:pStyle w:val="indexentry0"/>
      </w:pPr>
      <w:hyperlink w:anchor="section_26e0ceb25b9342dc838c9e15c1a8cd8b">
        <w:r>
          <w:rPr>
            <w:rStyle w:val="Hyperlink"/>
          </w:rPr>
          <w:t>Data Validation Formulas</w:t>
        </w:r>
      </w:hyperlink>
      <w:r>
        <w:t xml:space="preserve"> </w:t>
      </w:r>
      <w:r>
        <w:fldChar w:fldCharType="begin"/>
      </w:r>
      <w:r>
        <w:instrText>PAGEREF sectio</w:instrText>
      </w:r>
      <w:r>
        <w:instrText>n_26e0ceb25b9342dc838c9e15c1a8cd8b</w:instrText>
      </w:r>
      <w:r>
        <w:fldChar w:fldCharType="separate"/>
      </w:r>
      <w:r>
        <w:rPr>
          <w:noProof/>
        </w:rPr>
        <w:t>838</w:t>
      </w:r>
      <w:r>
        <w:fldChar w:fldCharType="end"/>
      </w:r>
    </w:p>
    <w:p w:rsidR="00024C0A" w:rsidRDefault="00694C0F">
      <w:pPr>
        <w:pStyle w:val="indexentry0"/>
      </w:pPr>
      <w:hyperlink w:anchor="section_ba8574f369804425b7e366b533340783">
        <w:r>
          <w:rPr>
            <w:rStyle w:val="Hyperlink"/>
          </w:rPr>
          <w:t>dataBar (Data Bar)</w:t>
        </w:r>
      </w:hyperlink>
      <w:r>
        <w:t xml:space="preserve"> </w:t>
      </w:r>
      <w:r>
        <w:fldChar w:fldCharType="begin"/>
      </w:r>
      <w:r>
        <w:instrText>PAGEREF section_ba8574f369804425b7e366b533340783</w:instrText>
      </w:r>
      <w:r>
        <w:fldChar w:fldCharType="separate"/>
      </w:r>
      <w:r>
        <w:rPr>
          <w:noProof/>
        </w:rPr>
        <w:t>255</w:t>
      </w:r>
      <w:r>
        <w:fldChar w:fldCharType="end"/>
      </w:r>
    </w:p>
    <w:p w:rsidR="00024C0A" w:rsidRDefault="00694C0F">
      <w:pPr>
        <w:pStyle w:val="indexentry0"/>
      </w:pPr>
      <w:hyperlink w:anchor="section_6870342f637e45b2a66303c99dcff328">
        <w:r>
          <w:rPr>
            <w:rStyle w:val="Hyperlink"/>
          </w:rPr>
          <w:t>DATABASE</w:t>
        </w:r>
      </w:hyperlink>
      <w:r>
        <w:t xml:space="preserve"> </w:t>
      </w:r>
      <w:r>
        <w:fldChar w:fldCharType="begin"/>
      </w:r>
      <w:r>
        <w:instrText>PAGEREF sect</w:instrText>
      </w:r>
      <w:r>
        <w:instrText>ion_6870342f637e45b2a66303c99dcff328</w:instrText>
      </w:r>
      <w:r>
        <w:fldChar w:fldCharType="separate"/>
      </w:r>
      <w:r>
        <w:rPr>
          <w:noProof/>
        </w:rPr>
        <w:t>185</w:t>
      </w:r>
      <w:r>
        <w:fldChar w:fldCharType="end"/>
      </w:r>
    </w:p>
    <w:p w:rsidR="00024C0A" w:rsidRDefault="00694C0F">
      <w:pPr>
        <w:pStyle w:val="indexentry0"/>
      </w:pPr>
      <w:r>
        <w:t>dataBinding (XML Mapping) (</w:t>
      </w:r>
      <w:hyperlink w:anchor="section_7108b87e0dbb44c79a68e915b14a8392">
        <w:r>
          <w:rPr>
            <w:rStyle w:val="Hyperlink"/>
          </w:rPr>
          <w:t>section 2.1.193</w:t>
        </w:r>
      </w:hyperlink>
      <w:r>
        <w:t xml:space="preserve"> </w:t>
      </w:r>
      <w:r>
        <w:fldChar w:fldCharType="begin"/>
      </w:r>
      <w:r>
        <w:instrText>PAGEREF section_7108b87e0dbb44c79a68e915b14a8392</w:instrText>
      </w:r>
      <w:r>
        <w:fldChar w:fldCharType="separate"/>
      </w:r>
      <w:r>
        <w:rPr>
          <w:noProof/>
        </w:rPr>
        <w:t>97</w:t>
      </w:r>
      <w:r>
        <w:fldChar w:fldCharType="end"/>
      </w:r>
      <w:r>
        <w:t xml:space="preserve">, </w:t>
      </w:r>
      <w:hyperlink w:anchor="section_e46452807ae048c0b82ef72096eaca48">
        <w:r>
          <w:rPr>
            <w:rStyle w:val="Hyperlink"/>
          </w:rPr>
          <w:t>section 2.1.855</w:t>
        </w:r>
      </w:hyperlink>
      <w:r>
        <w:t xml:space="preserve"> </w:t>
      </w:r>
      <w:r>
        <w:fldChar w:fldCharType="begin"/>
      </w:r>
      <w:r>
        <w:instrText>PAGEREF section_e46452807ae048c0b82ef72096eaca48</w:instrText>
      </w:r>
      <w:r>
        <w:fldChar w:fldCharType="separate"/>
      </w:r>
      <w:r>
        <w:rPr>
          <w:noProof/>
        </w:rPr>
        <w:t>382</w:t>
      </w:r>
      <w:r>
        <w:fldChar w:fldCharType="end"/>
      </w:r>
      <w:r>
        <w:t>)</w:t>
      </w:r>
    </w:p>
    <w:p w:rsidR="00024C0A" w:rsidRDefault="00694C0F">
      <w:pPr>
        <w:pStyle w:val="indexentry0"/>
      </w:pPr>
      <w:hyperlink w:anchor="section_387d25855753451ca29b686ce0a01acc">
        <w:r>
          <w:rPr>
            <w:rStyle w:val="Hyperlink"/>
          </w:rPr>
          <w:t>dataConsolidate (Data Consolidate)</w:t>
        </w:r>
      </w:hyperlink>
      <w:r>
        <w:t xml:space="preserve"> </w:t>
      </w:r>
      <w:r>
        <w:fldChar w:fldCharType="begin"/>
      </w:r>
      <w:r>
        <w:instrText>PAGEREF section_387d25855753451ca29b686ce0a01acc</w:instrText>
      </w:r>
      <w:r>
        <w:fldChar w:fldCharType="separate"/>
      </w:r>
      <w:r>
        <w:rPr>
          <w:noProof/>
        </w:rPr>
        <w:t>255</w:t>
      </w:r>
      <w:r>
        <w:fldChar w:fldCharType="end"/>
      </w:r>
    </w:p>
    <w:p w:rsidR="00024C0A" w:rsidRDefault="00694C0F">
      <w:pPr>
        <w:pStyle w:val="indexentry0"/>
      </w:pPr>
      <w:hyperlink w:anchor="section_0736556bddde42e4ba5940410c5735c2">
        <w:r>
          <w:rPr>
            <w:rStyle w:val="Hyperlink"/>
          </w:rPr>
          <w:t>dataField (Data Field Item)</w:t>
        </w:r>
      </w:hyperlink>
      <w:r>
        <w:t xml:space="preserve"> </w:t>
      </w:r>
      <w:r>
        <w:fldChar w:fldCharType="begin"/>
      </w:r>
      <w:r>
        <w:instrText>PAGEREF section_0736556bddde42e4ba5940410c5735c2</w:instrText>
      </w:r>
      <w:r>
        <w:fldChar w:fldCharType="separate"/>
      </w:r>
      <w:r>
        <w:rPr>
          <w:noProof/>
        </w:rPr>
        <w:t>331</w:t>
      </w:r>
      <w:r>
        <w:fldChar w:fldCharType="end"/>
      </w:r>
    </w:p>
    <w:p w:rsidR="00024C0A" w:rsidRDefault="00694C0F">
      <w:pPr>
        <w:pStyle w:val="indexentry0"/>
      </w:pPr>
      <w:hyperlink w:anchor="section_39eec3e0a78f44529f4046407e0247de">
        <w:r>
          <w:rPr>
            <w:rStyle w:val="Hyperlink"/>
          </w:rPr>
          <w:t>dataSource (Data Source File Path)</w:t>
        </w:r>
      </w:hyperlink>
      <w:r>
        <w:t xml:space="preserve"> </w:t>
      </w:r>
      <w:r>
        <w:fldChar w:fldCharType="begin"/>
      </w:r>
      <w:r>
        <w:instrText>PAGEREF section_39eec3e0a78f44529f4046407e0247de</w:instrText>
      </w:r>
      <w:r>
        <w:fldChar w:fldCharType="separate"/>
      </w:r>
      <w:r>
        <w:rPr>
          <w:noProof/>
        </w:rPr>
        <w:t>142</w:t>
      </w:r>
      <w:r>
        <w:fldChar w:fldCharType="end"/>
      </w:r>
    </w:p>
    <w:p w:rsidR="00024C0A" w:rsidRDefault="00694C0F">
      <w:pPr>
        <w:pStyle w:val="indexentry0"/>
      </w:pPr>
      <w:hyperlink w:anchor="section_0114969a4859443eae3e0c1fdebfcc64">
        <w:r>
          <w:rPr>
            <w:rStyle w:val="Hyperlink"/>
          </w:rPr>
          <w:t>dataValidation (Data Validation)</w:t>
        </w:r>
      </w:hyperlink>
      <w:r>
        <w:t xml:space="preserve"> </w:t>
      </w:r>
      <w:r>
        <w:fldChar w:fldCharType="begin"/>
      </w:r>
      <w:r>
        <w:instrText>PAGEREF section_0114969a4859443eae3e0c1fdebfcc64</w:instrText>
      </w:r>
      <w:r>
        <w:fldChar w:fldCharType="separate"/>
      </w:r>
      <w:r>
        <w:rPr>
          <w:noProof/>
        </w:rPr>
        <w:t>256</w:t>
      </w:r>
      <w:r>
        <w:fldChar w:fldCharType="end"/>
      </w:r>
    </w:p>
    <w:p w:rsidR="00024C0A" w:rsidRDefault="00694C0F">
      <w:pPr>
        <w:pStyle w:val="indexentry0"/>
      </w:pPr>
      <w:hyperlink w:anchor="section_0e5b9bebd59d45c5be218c82c275c705">
        <w:r>
          <w:rPr>
            <w:rStyle w:val="Hyperlink"/>
          </w:rPr>
          <w:t>dataValidations (Data Validations)</w:t>
        </w:r>
      </w:hyperlink>
      <w:r>
        <w:t xml:space="preserve"> </w:t>
      </w:r>
      <w:r>
        <w:fldChar w:fldCharType="begin"/>
      </w:r>
      <w:r>
        <w:instrText>PAGEREF section_0e5b9bebd59d45c5be218c82c275c705</w:instrText>
      </w:r>
      <w:r>
        <w:fldChar w:fldCharType="separate"/>
      </w:r>
      <w:r>
        <w:rPr>
          <w:noProof/>
        </w:rPr>
        <w:t>256</w:t>
      </w:r>
      <w:r>
        <w:fldChar w:fldCharType="end"/>
      </w:r>
    </w:p>
    <w:p w:rsidR="00024C0A" w:rsidRDefault="00694C0F">
      <w:pPr>
        <w:pStyle w:val="indexentry0"/>
      </w:pPr>
      <w:r>
        <w:t>DATE (</w:t>
      </w:r>
      <w:hyperlink w:anchor="section_a5654a9f5dda4ec7bc38e48f50e4b435">
        <w:r>
          <w:rPr>
            <w:rStyle w:val="Hyperlink"/>
          </w:rPr>
          <w:t>section 2.1.469</w:t>
        </w:r>
      </w:hyperlink>
      <w:r>
        <w:t xml:space="preserve"> </w:t>
      </w:r>
      <w:r>
        <w:fldChar w:fldCharType="begin"/>
      </w:r>
      <w:r>
        <w:instrText>PAGEREF section_a5654a9f5dda4ec7bc38e48f50e4b435</w:instrText>
      </w:r>
      <w:r>
        <w:fldChar w:fldCharType="separate"/>
      </w:r>
      <w:r>
        <w:rPr>
          <w:noProof/>
        </w:rPr>
        <w:t>213</w:t>
      </w:r>
      <w:r>
        <w:fldChar w:fldCharType="end"/>
      </w:r>
      <w:r>
        <w:t xml:space="preserve">, </w:t>
      </w:r>
      <w:hyperlink w:anchor="section_4bbbb410cf9c45ecb96d8aa62d0d8cfa">
        <w:r>
          <w:rPr>
            <w:rStyle w:val="Hyperlink"/>
          </w:rPr>
          <w:t>section 2.1.918</w:t>
        </w:r>
      </w:hyperlink>
      <w:r>
        <w:t xml:space="preserve"> </w:t>
      </w:r>
      <w:r>
        <w:fldChar w:fldCharType="begin"/>
      </w:r>
      <w:r>
        <w:instrText>PAGEREF section_4bbbb410cf9c45ecb96d8aa62d0d8cfa</w:instrText>
      </w:r>
      <w:r>
        <w:fldChar w:fldCharType="separate"/>
      </w:r>
      <w:r>
        <w:rPr>
          <w:noProof/>
        </w:rPr>
        <w:t>414</w:t>
      </w:r>
      <w:r>
        <w:fldChar w:fldCharType="end"/>
      </w:r>
      <w:r>
        <w:t>)</w:t>
      </w:r>
    </w:p>
    <w:p w:rsidR="00024C0A" w:rsidRDefault="00694C0F">
      <w:pPr>
        <w:pStyle w:val="indexentry0"/>
      </w:pPr>
      <w:hyperlink w:anchor="section_8e9fc0381cf24482b0cc8d2158d56d9e">
        <w:r>
          <w:rPr>
            <w:rStyle w:val="Hyperlink"/>
          </w:rPr>
          <w:t>date (Date and Time)</w:t>
        </w:r>
      </w:hyperlink>
      <w:r>
        <w:t xml:space="preserve"> </w:t>
      </w:r>
      <w:r>
        <w:fldChar w:fldCharType="begin"/>
      </w:r>
      <w:r>
        <w:instrText>PAGEREF section_8e9fc0381cf24482b0cc8d2158d56d9e</w:instrText>
      </w:r>
      <w:r>
        <w:fldChar w:fldCharType="separate"/>
      </w:r>
      <w:r>
        <w:rPr>
          <w:noProof/>
        </w:rPr>
        <w:t>608</w:t>
      </w:r>
      <w:r>
        <w:fldChar w:fldCharType="end"/>
      </w:r>
    </w:p>
    <w:p w:rsidR="00024C0A" w:rsidRDefault="00694C0F">
      <w:pPr>
        <w:pStyle w:val="indexentry0"/>
      </w:pPr>
      <w:hyperlink w:anchor="section_5869560232ea4f2baca18c805192d742">
        <w:r>
          <w:rPr>
            <w:rStyle w:val="Hyperlink"/>
          </w:rPr>
          <w:t>date (Date Structured Document Tag)</w:t>
        </w:r>
      </w:hyperlink>
      <w:r>
        <w:t xml:space="preserve"> </w:t>
      </w:r>
      <w:r>
        <w:fldChar w:fldCharType="begin"/>
      </w:r>
      <w:r>
        <w:instrText>PAGEREF section_5869560232ea4f2baca18c805192d742</w:instrText>
      </w:r>
      <w:r>
        <w:fldChar w:fldCharType="separate"/>
      </w:r>
      <w:r>
        <w:rPr>
          <w:noProof/>
        </w:rPr>
        <w:t>97</w:t>
      </w:r>
      <w:r>
        <w:fldChar w:fldCharType="end"/>
      </w:r>
    </w:p>
    <w:p w:rsidR="00024C0A" w:rsidRDefault="00694C0F">
      <w:pPr>
        <w:pStyle w:val="indexentry0"/>
      </w:pPr>
      <w:hyperlink w:anchor="section_b4bc44db20704cee8793f96817dd4985">
        <w:r>
          <w:rPr>
            <w:rStyle w:val="Hyperlink"/>
          </w:rPr>
          <w:t>Date and time formatting</w:t>
        </w:r>
      </w:hyperlink>
      <w:r>
        <w:t xml:space="preserve"> </w:t>
      </w:r>
      <w:r>
        <w:fldChar w:fldCharType="begin"/>
      </w:r>
      <w:r>
        <w:instrText>PAGEREF section_b4bc44db20704</w:instrText>
      </w:r>
      <w:r>
        <w:instrText>cee8793f96817dd4985</w:instrText>
      </w:r>
      <w:r>
        <w:fldChar w:fldCharType="separate"/>
      </w:r>
      <w:r>
        <w:rPr>
          <w:noProof/>
        </w:rPr>
        <w:t>165</w:t>
      </w:r>
      <w:r>
        <w:fldChar w:fldCharType="end"/>
      </w:r>
    </w:p>
    <w:p w:rsidR="00024C0A" w:rsidRDefault="00694C0F">
      <w:pPr>
        <w:pStyle w:val="indexentry0"/>
      </w:pPr>
      <w:hyperlink w:anchor="section_6ef956354ff54794a80e60decf3acac7">
        <w:r>
          <w:rPr>
            <w:rStyle w:val="Hyperlink"/>
          </w:rPr>
          <w:t>dateAx (Date Axis)</w:t>
        </w:r>
      </w:hyperlink>
      <w:r>
        <w:t xml:space="preserve"> </w:t>
      </w:r>
      <w:r>
        <w:fldChar w:fldCharType="begin"/>
      </w:r>
      <w:r>
        <w:instrText>PAGEREF section_6ef956354ff54794a80e60decf3acac7</w:instrText>
      </w:r>
      <w:r>
        <w:fldChar w:fldCharType="separate"/>
      </w:r>
      <w:r>
        <w:rPr>
          <w:noProof/>
        </w:rPr>
        <w:t>544</w:t>
      </w:r>
      <w:r>
        <w:fldChar w:fldCharType="end"/>
      </w:r>
    </w:p>
    <w:p w:rsidR="00024C0A" w:rsidRDefault="00694C0F">
      <w:pPr>
        <w:pStyle w:val="indexentry0"/>
      </w:pPr>
      <w:hyperlink w:anchor="section_94154f47b251489fbe160bbf4bd183dd">
        <w:r>
          <w:rPr>
            <w:rStyle w:val="Hyperlink"/>
          </w:rPr>
          <w:t>dateGroupItem (Date Grouping)</w:t>
        </w:r>
      </w:hyperlink>
      <w:r>
        <w:t xml:space="preserve"> </w:t>
      </w:r>
      <w:r>
        <w:fldChar w:fldCharType="begin"/>
      </w:r>
      <w:r>
        <w:instrText>PAGEREF section_94154f47b251489fbe160bbf4bd183dd</w:instrText>
      </w:r>
      <w:r>
        <w:fldChar w:fldCharType="separate"/>
      </w:r>
      <w:r>
        <w:rPr>
          <w:noProof/>
        </w:rPr>
        <w:t>287</w:t>
      </w:r>
      <w:r>
        <w:fldChar w:fldCharType="end"/>
      </w:r>
    </w:p>
    <w:p w:rsidR="00024C0A" w:rsidRDefault="00694C0F">
      <w:pPr>
        <w:pStyle w:val="indexentry0"/>
      </w:pPr>
      <w:hyperlink w:anchor="section_d7d842ece9424a95933c7f514858422e">
        <w:r>
          <w:rPr>
            <w:rStyle w:val="Hyperlink"/>
          </w:rPr>
          <w:t>DATEVALUE</w:t>
        </w:r>
      </w:hyperlink>
      <w:r>
        <w:t xml:space="preserve"> </w:t>
      </w:r>
      <w:r>
        <w:fldChar w:fldCharType="begin"/>
      </w:r>
      <w:r>
        <w:instrText>PAGEREF section_d7d842ece9424a95933c7f514858422e</w:instrText>
      </w:r>
      <w:r>
        <w:fldChar w:fldCharType="separate"/>
      </w:r>
      <w:r>
        <w:rPr>
          <w:noProof/>
        </w:rPr>
        <w:t>414</w:t>
      </w:r>
      <w:r>
        <w:fldChar w:fldCharType="end"/>
      </w:r>
    </w:p>
    <w:p w:rsidR="00024C0A" w:rsidRDefault="00694C0F">
      <w:pPr>
        <w:pStyle w:val="indexentry0"/>
      </w:pPr>
      <w:hyperlink w:anchor="section_772b35329d4d4cc999f47fc8e6f7cbee">
        <w:r>
          <w:rPr>
            <w:rStyle w:val="Hyperlink"/>
          </w:rPr>
          <w:t>DAVERAGE</w:t>
        </w:r>
      </w:hyperlink>
      <w:r>
        <w:t xml:space="preserve"> </w:t>
      </w:r>
      <w:r>
        <w:fldChar w:fldCharType="begin"/>
      </w:r>
      <w:r>
        <w:instrText>PAGEREF</w:instrText>
      </w:r>
      <w:r>
        <w:instrText xml:space="preserve"> section_772b35329d4d4cc999f47fc8e6f7cbee</w:instrText>
      </w:r>
      <w:r>
        <w:fldChar w:fldCharType="separate"/>
      </w:r>
      <w:r>
        <w:rPr>
          <w:noProof/>
        </w:rPr>
        <w:t>415</w:t>
      </w:r>
      <w:r>
        <w:fldChar w:fldCharType="end"/>
      </w:r>
    </w:p>
    <w:p w:rsidR="00024C0A" w:rsidRDefault="00694C0F">
      <w:pPr>
        <w:pStyle w:val="indexentry0"/>
      </w:pPr>
      <w:hyperlink w:anchor="section_0a57025c61144f1fab1e82504edb7859">
        <w:r>
          <w:rPr>
            <w:rStyle w:val="Hyperlink"/>
          </w:rPr>
          <w:t>DAY</w:t>
        </w:r>
      </w:hyperlink>
      <w:r>
        <w:t xml:space="preserve"> </w:t>
      </w:r>
      <w:r>
        <w:fldChar w:fldCharType="begin"/>
      </w:r>
      <w:r>
        <w:instrText>PAGEREF section_0a57025c61144f1fab1e82504edb7859</w:instrText>
      </w:r>
      <w:r>
        <w:fldChar w:fldCharType="separate"/>
      </w:r>
      <w:r>
        <w:rPr>
          <w:noProof/>
        </w:rPr>
        <w:t>415</w:t>
      </w:r>
      <w:r>
        <w:fldChar w:fldCharType="end"/>
      </w:r>
    </w:p>
    <w:p w:rsidR="00024C0A" w:rsidRDefault="00694C0F">
      <w:pPr>
        <w:pStyle w:val="indexentry0"/>
      </w:pPr>
      <w:hyperlink w:anchor="section_1eeeff014a644d04909fa65156b0a515">
        <w:r>
          <w:rPr>
            <w:rStyle w:val="Hyperlink"/>
          </w:rPr>
          <w:t>DAYS360</w:t>
        </w:r>
      </w:hyperlink>
      <w:r>
        <w:t xml:space="preserve"> </w:t>
      </w:r>
      <w:r>
        <w:fldChar w:fldCharType="begin"/>
      </w:r>
      <w:r>
        <w:instrText>PAGEREF section_1eeef</w:instrText>
      </w:r>
      <w:r>
        <w:instrText>f014a644d04909fa65156b0a515</w:instrText>
      </w:r>
      <w:r>
        <w:fldChar w:fldCharType="separate"/>
      </w:r>
      <w:r>
        <w:rPr>
          <w:noProof/>
        </w:rPr>
        <w:t>415</w:t>
      </w:r>
      <w:r>
        <w:fldChar w:fldCharType="end"/>
      </w:r>
    </w:p>
    <w:p w:rsidR="00024C0A" w:rsidRDefault="00694C0F">
      <w:pPr>
        <w:pStyle w:val="indexentry0"/>
      </w:pPr>
      <w:hyperlink w:anchor="section_7600adb286b144e9afc75ff91d70a281">
        <w:r>
          <w:rPr>
            <w:rStyle w:val="Hyperlink"/>
          </w:rPr>
          <w:t>DB</w:t>
        </w:r>
      </w:hyperlink>
      <w:r>
        <w:t xml:space="preserve"> </w:t>
      </w:r>
      <w:r>
        <w:fldChar w:fldCharType="begin"/>
      </w:r>
      <w:r>
        <w:instrText>PAGEREF section_7600adb286b144e9afc75ff91d70a281</w:instrText>
      </w:r>
      <w:r>
        <w:fldChar w:fldCharType="separate"/>
      </w:r>
      <w:r>
        <w:rPr>
          <w:noProof/>
        </w:rPr>
        <w:t>415</w:t>
      </w:r>
      <w:r>
        <w:fldChar w:fldCharType="end"/>
      </w:r>
    </w:p>
    <w:p w:rsidR="00024C0A" w:rsidRDefault="00694C0F">
      <w:pPr>
        <w:pStyle w:val="indexentry0"/>
      </w:pPr>
      <w:hyperlink w:anchor="section_200d01b9e9474e61a6551aae98327daa">
        <w:r>
          <w:rPr>
            <w:rStyle w:val="Hyperlink"/>
          </w:rPr>
          <w:t>dbPr (Database Properties)</w:t>
        </w:r>
      </w:hyperlink>
      <w:r>
        <w:t xml:space="preserve"> </w:t>
      </w:r>
      <w:r>
        <w:fldChar w:fldCharType="begin"/>
      </w:r>
      <w:r>
        <w:instrText>PAGEREF section_2</w:instrText>
      </w:r>
      <w:r>
        <w:instrText>00d01b9e9474e61a6551aae98327daa</w:instrText>
      </w:r>
      <w:r>
        <w:fldChar w:fldCharType="separate"/>
      </w:r>
      <w:r>
        <w:rPr>
          <w:noProof/>
        </w:rPr>
        <w:t>376</w:t>
      </w:r>
      <w:r>
        <w:fldChar w:fldCharType="end"/>
      </w:r>
    </w:p>
    <w:p w:rsidR="00024C0A" w:rsidRDefault="00694C0F">
      <w:pPr>
        <w:pStyle w:val="indexentry0"/>
      </w:pPr>
      <w:hyperlink w:anchor="section_49ad2a8386a24125a4b94c7feef6a0ba">
        <w:r>
          <w:rPr>
            <w:rStyle w:val="Hyperlink"/>
          </w:rPr>
          <w:t>DCOUNT</w:t>
        </w:r>
      </w:hyperlink>
      <w:r>
        <w:t xml:space="preserve"> </w:t>
      </w:r>
      <w:r>
        <w:fldChar w:fldCharType="begin"/>
      </w:r>
      <w:r>
        <w:instrText>PAGEREF section_49ad2a8386a24125a4b94c7feef6a0ba</w:instrText>
      </w:r>
      <w:r>
        <w:fldChar w:fldCharType="separate"/>
      </w:r>
      <w:r>
        <w:rPr>
          <w:noProof/>
        </w:rPr>
        <w:t>415</w:t>
      </w:r>
      <w:r>
        <w:fldChar w:fldCharType="end"/>
      </w:r>
    </w:p>
    <w:p w:rsidR="00024C0A" w:rsidRDefault="00694C0F">
      <w:pPr>
        <w:pStyle w:val="indexentry0"/>
      </w:pPr>
      <w:hyperlink w:anchor="section_9d863f40e03744bf958bdc158baf3397">
        <w:r>
          <w:rPr>
            <w:rStyle w:val="Hyperlink"/>
          </w:rPr>
          <w:t>DCOUNTA</w:t>
        </w:r>
      </w:hyperlink>
      <w:r>
        <w:t xml:space="preserve"> </w:t>
      </w:r>
      <w:r>
        <w:fldChar w:fldCharType="begin"/>
      </w:r>
      <w:r>
        <w:instrText>PAGEREF section_9d863f40e037</w:instrText>
      </w:r>
      <w:r>
        <w:instrText>44bf958bdc158baf3397</w:instrText>
      </w:r>
      <w:r>
        <w:fldChar w:fldCharType="separate"/>
      </w:r>
      <w:r>
        <w:rPr>
          <w:noProof/>
        </w:rPr>
        <w:t>415</w:t>
      </w:r>
      <w:r>
        <w:fldChar w:fldCharType="end"/>
      </w:r>
    </w:p>
    <w:p w:rsidR="00024C0A" w:rsidRDefault="00694C0F">
      <w:pPr>
        <w:pStyle w:val="indexentry0"/>
      </w:pPr>
      <w:hyperlink w:anchor="section_23d8e559f4544723822a8e219ab9992e">
        <w:r>
          <w:rPr>
            <w:rStyle w:val="Hyperlink"/>
          </w:rPr>
          <w:t>DDB</w:t>
        </w:r>
      </w:hyperlink>
      <w:r>
        <w:t xml:space="preserve"> </w:t>
      </w:r>
      <w:r>
        <w:fldChar w:fldCharType="begin"/>
      </w:r>
      <w:r>
        <w:instrText>PAGEREF section_23d8e559f4544723822a8e219ab9992e</w:instrText>
      </w:r>
      <w:r>
        <w:fldChar w:fldCharType="separate"/>
      </w:r>
      <w:r>
        <w:rPr>
          <w:noProof/>
        </w:rPr>
        <w:t>416</w:t>
      </w:r>
      <w:r>
        <w:fldChar w:fldCharType="end"/>
      </w:r>
    </w:p>
    <w:p w:rsidR="00024C0A" w:rsidRDefault="00694C0F">
      <w:pPr>
        <w:pStyle w:val="indexentry0"/>
      </w:pPr>
      <w:hyperlink w:anchor="section_a2c3a25a1dba40dabe7a47cf63c78d55">
        <w:r>
          <w:rPr>
            <w:rStyle w:val="Hyperlink"/>
          </w:rPr>
          <w:t>DDE</w:t>
        </w:r>
      </w:hyperlink>
      <w:r>
        <w:t xml:space="preserve"> </w:t>
      </w:r>
      <w:r>
        <w:fldChar w:fldCharType="begin"/>
      </w:r>
      <w:r>
        <w:instrText>PAGEREF section_a2c3a25a1dba40dabe7a47cf63c78d55</w:instrText>
      </w:r>
      <w:r>
        <w:fldChar w:fldCharType="separate"/>
      </w:r>
      <w:r>
        <w:rPr>
          <w:noProof/>
        </w:rPr>
        <w:t>809</w:t>
      </w:r>
      <w:r>
        <w:fldChar w:fldCharType="end"/>
      </w:r>
    </w:p>
    <w:p w:rsidR="00024C0A" w:rsidRDefault="00694C0F">
      <w:pPr>
        <w:pStyle w:val="indexentry0"/>
      </w:pPr>
      <w:hyperlink w:anchor="section_073d7aaad7674a96b4b2761737225ec1">
        <w:r>
          <w:rPr>
            <w:rStyle w:val="Hyperlink"/>
          </w:rPr>
          <w:t>DDE (Dynamic Data Exchange)</w:t>
        </w:r>
      </w:hyperlink>
      <w:r>
        <w:t xml:space="preserve"> </w:t>
      </w:r>
      <w:r>
        <w:fldChar w:fldCharType="begin"/>
      </w:r>
      <w:r>
        <w:instrText>PAGEREF section_073d7aaad7674a96b4b2761737225ec1</w:instrText>
      </w:r>
      <w:r>
        <w:fldChar w:fldCharType="separate"/>
      </w:r>
      <w:r>
        <w:rPr>
          <w:noProof/>
        </w:rPr>
        <w:t>674</w:t>
      </w:r>
      <w:r>
        <w:fldChar w:fldCharType="end"/>
      </w:r>
    </w:p>
    <w:p w:rsidR="00024C0A" w:rsidRDefault="00694C0F">
      <w:pPr>
        <w:pStyle w:val="indexentry0"/>
      </w:pPr>
      <w:hyperlink w:anchor="section_4fe6d033f0d44d73ac81a7128522c5ff">
        <w:r>
          <w:rPr>
            <w:rStyle w:val="Hyperlink"/>
          </w:rPr>
          <w:t>DDEAUTO</w:t>
        </w:r>
      </w:hyperlink>
      <w:r>
        <w:t xml:space="preserve"> </w:t>
      </w:r>
      <w:r>
        <w:fldChar w:fldCharType="begin"/>
      </w:r>
      <w:r>
        <w:instrText>PAGEREF section_4fe6d033f0d44d73ac81a7128522c5ff</w:instrText>
      </w:r>
      <w:r>
        <w:fldChar w:fldCharType="separate"/>
      </w:r>
      <w:r>
        <w:rPr>
          <w:noProof/>
        </w:rPr>
        <w:t>810</w:t>
      </w:r>
      <w:r>
        <w:fldChar w:fldCharType="end"/>
      </w:r>
    </w:p>
    <w:p w:rsidR="00024C0A" w:rsidRDefault="00694C0F">
      <w:pPr>
        <w:pStyle w:val="indexentry0"/>
      </w:pPr>
      <w:hyperlink w:anchor="section_3de0d6c7878a401d996a9620685ac333">
        <w:r>
          <w:rPr>
            <w:rStyle w:val="Hyperlink"/>
          </w:rPr>
          <w:t>ddeItem (DDE Item definition)</w:t>
        </w:r>
      </w:hyperlink>
      <w:r>
        <w:t xml:space="preserve"> </w:t>
      </w:r>
      <w:r>
        <w:fldChar w:fldCharType="begin"/>
      </w:r>
      <w:r>
        <w:instrText>PAGEREF section_3de0d6c7878a401d996a9620685ac333</w:instrText>
      </w:r>
      <w:r>
        <w:fldChar w:fldCharType="separate"/>
      </w:r>
      <w:r>
        <w:rPr>
          <w:noProof/>
        </w:rPr>
        <w:t>379</w:t>
      </w:r>
      <w:r>
        <w:fldChar w:fldCharType="end"/>
      </w:r>
    </w:p>
    <w:p w:rsidR="00024C0A" w:rsidRDefault="00694C0F">
      <w:pPr>
        <w:pStyle w:val="indexentry0"/>
      </w:pPr>
      <w:hyperlink w:anchor="section_9d35fcee49904fa78953e6a3ea450dd8">
        <w:r>
          <w:rPr>
            <w:rStyle w:val="Hyperlink"/>
          </w:rPr>
          <w:t>ddeLink (DDE Connection)</w:t>
        </w:r>
      </w:hyperlink>
      <w:r>
        <w:t xml:space="preserve"> </w:t>
      </w:r>
      <w:r>
        <w:fldChar w:fldCharType="begin"/>
      </w:r>
      <w:r>
        <w:instrText>PAGEREF section_9d35fcee49904fa78953e6a3ea450dd8</w:instrText>
      </w:r>
      <w:r>
        <w:fldChar w:fldCharType="separate"/>
      </w:r>
      <w:r>
        <w:rPr>
          <w:noProof/>
        </w:rPr>
        <w:t>379</w:t>
      </w:r>
      <w:r>
        <w:fldChar w:fldCharType="end"/>
      </w:r>
    </w:p>
    <w:p w:rsidR="00024C0A" w:rsidRDefault="00694C0F">
      <w:pPr>
        <w:pStyle w:val="indexentry0"/>
      </w:pPr>
      <w:hyperlink w:anchor="section_91ca872a6a9444138c1471025fb0a08a">
        <w:r>
          <w:rPr>
            <w:rStyle w:val="Hyperlink"/>
          </w:rPr>
          <w:t>ddList (Drop-Down List Form Field Properties)</w:t>
        </w:r>
      </w:hyperlink>
      <w:r>
        <w:t xml:space="preserve"> </w:t>
      </w:r>
      <w:r>
        <w:fldChar w:fldCharType="begin"/>
      </w:r>
      <w:r>
        <w:instrText>PAGEREF section_91ca872a6a9444138c1471025fb0a08a</w:instrText>
      </w:r>
      <w:r>
        <w:fldChar w:fldCharType="separate"/>
      </w:r>
      <w:r>
        <w:rPr>
          <w:noProof/>
        </w:rPr>
        <w:t>224</w:t>
      </w:r>
      <w:r>
        <w:fldChar w:fldCharType="end"/>
      </w:r>
    </w:p>
    <w:p w:rsidR="00024C0A" w:rsidRDefault="00694C0F">
      <w:pPr>
        <w:pStyle w:val="indexentry0"/>
      </w:pPr>
      <w:hyperlink w:anchor="section_7cfe0e73dd0844b981fdc615f73ce6af">
        <w:r>
          <w:rPr>
            <w:rStyle w:val="Hyperlink"/>
          </w:rPr>
          <w:t>DEC2BIN</w:t>
        </w:r>
      </w:hyperlink>
      <w:r>
        <w:t xml:space="preserve"> </w:t>
      </w:r>
      <w:r>
        <w:fldChar w:fldCharType="begin"/>
      </w:r>
      <w:r>
        <w:instrText>PAGEREF section_7cfe0e73dd0844b981fdc615f73ce6af</w:instrText>
      </w:r>
      <w:r>
        <w:fldChar w:fldCharType="separate"/>
      </w:r>
      <w:r>
        <w:rPr>
          <w:noProof/>
        </w:rPr>
        <w:t>416</w:t>
      </w:r>
      <w:r>
        <w:fldChar w:fldCharType="end"/>
      </w:r>
    </w:p>
    <w:p w:rsidR="00024C0A" w:rsidRDefault="00694C0F">
      <w:pPr>
        <w:pStyle w:val="indexentry0"/>
      </w:pPr>
      <w:hyperlink w:anchor="section_bc120263421b490faae7da0c6026ca7a">
        <w:r>
          <w:rPr>
            <w:rStyle w:val="Hyperlink"/>
          </w:rPr>
          <w:t>DEC2HEX</w:t>
        </w:r>
      </w:hyperlink>
      <w:r>
        <w:t xml:space="preserve"> </w:t>
      </w:r>
      <w:r>
        <w:fldChar w:fldCharType="begin"/>
      </w:r>
      <w:r>
        <w:instrText>PAGEREF section_bc120263421b490faae7da0c6026ca7a</w:instrText>
      </w:r>
      <w:r>
        <w:fldChar w:fldCharType="separate"/>
      </w:r>
      <w:r>
        <w:rPr>
          <w:noProof/>
        </w:rPr>
        <w:t>416</w:t>
      </w:r>
      <w:r>
        <w:fldChar w:fldCharType="end"/>
      </w:r>
    </w:p>
    <w:p w:rsidR="00024C0A" w:rsidRDefault="00694C0F">
      <w:pPr>
        <w:pStyle w:val="indexentry0"/>
      </w:pPr>
      <w:hyperlink w:anchor="section_7556f95cd5e84ceca3354ace0aa5ef09">
        <w:r>
          <w:rPr>
            <w:rStyle w:val="Hyperlink"/>
          </w:rPr>
          <w:t>DEC2OCT</w:t>
        </w:r>
      </w:hyperlink>
      <w:r>
        <w:t xml:space="preserve"> </w:t>
      </w:r>
      <w:r>
        <w:fldChar w:fldCharType="begin"/>
      </w:r>
      <w:r>
        <w:instrText>PAGEREF section_7556f95cd5e84ceca3354ace0aa5ef09</w:instrText>
      </w:r>
      <w:r>
        <w:fldChar w:fldCharType="separate"/>
      </w:r>
      <w:r>
        <w:rPr>
          <w:noProof/>
        </w:rPr>
        <w:t>416</w:t>
      </w:r>
      <w:r>
        <w:fldChar w:fldCharType="end"/>
      </w:r>
    </w:p>
    <w:p w:rsidR="00024C0A" w:rsidRDefault="00694C0F">
      <w:pPr>
        <w:pStyle w:val="indexentry0"/>
      </w:pPr>
      <w:hyperlink w:anchor="section_fdae3e41bf9549de8c194dfc98f3ddf4">
        <w:r>
          <w:rPr>
            <w:rStyle w:val="Hyperlink"/>
          </w:rPr>
          <w:t>decimalSymbol (Radix Point for Field Code Evaluation)</w:t>
        </w:r>
      </w:hyperlink>
      <w:r>
        <w:t xml:space="preserve"> </w:t>
      </w:r>
      <w:r>
        <w:fldChar w:fldCharType="begin"/>
      </w:r>
      <w:r>
        <w:instrText>PAGEREF section_fdae3e41bf9549</w:instrText>
      </w:r>
      <w:r>
        <w:instrText>de8c194dfc98f3ddf4</w:instrText>
      </w:r>
      <w:r>
        <w:fldChar w:fldCharType="separate"/>
      </w:r>
      <w:r>
        <w:rPr>
          <w:noProof/>
        </w:rPr>
        <w:t>150</w:t>
      </w:r>
      <w:r>
        <w:fldChar w:fldCharType="end"/>
      </w:r>
    </w:p>
    <w:p w:rsidR="00024C0A" w:rsidRDefault="00694C0F">
      <w:pPr>
        <w:pStyle w:val="indexentry0"/>
      </w:pPr>
      <w:hyperlink w:anchor="section_f18e21fcb8d848a383b9c369bb3880b6">
        <w:r>
          <w:rPr>
            <w:rStyle w:val="Hyperlink"/>
          </w:rPr>
          <w:t>default (Default Checkbox Form Field State)</w:t>
        </w:r>
      </w:hyperlink>
      <w:r>
        <w:t xml:space="preserve"> </w:t>
      </w:r>
      <w:r>
        <w:fldChar w:fldCharType="begin"/>
      </w:r>
      <w:r>
        <w:instrText>PAGEREF section_f18e21fcb8d848a383b9c369bb3880b6</w:instrText>
      </w:r>
      <w:r>
        <w:fldChar w:fldCharType="separate"/>
      </w:r>
      <w:r>
        <w:rPr>
          <w:noProof/>
        </w:rPr>
        <w:t>225</w:t>
      </w:r>
      <w:r>
        <w:fldChar w:fldCharType="end"/>
      </w:r>
    </w:p>
    <w:p w:rsidR="00024C0A" w:rsidRDefault="00694C0F">
      <w:pPr>
        <w:pStyle w:val="indexentry0"/>
      </w:pPr>
      <w:hyperlink w:anchor="section_7d6df51b2b874d34b9e2d8943ea6e2b4">
        <w:r>
          <w:rPr>
            <w:rStyle w:val="Hyperlink"/>
          </w:rPr>
          <w:t>default (Default Drop-Down List Item Index)</w:t>
        </w:r>
      </w:hyperlink>
      <w:r>
        <w:t xml:space="preserve"> </w:t>
      </w:r>
      <w:r>
        <w:fldChar w:fldCharType="begin"/>
      </w:r>
      <w:r>
        <w:instrText>PAGEREF section_7d6df51b2b874d34b9e2d8943ea6e2b4</w:instrText>
      </w:r>
      <w:r>
        <w:fldChar w:fldCharType="separate"/>
      </w:r>
      <w:r>
        <w:rPr>
          <w:noProof/>
        </w:rPr>
        <w:t>224</w:t>
      </w:r>
      <w:r>
        <w:fldChar w:fldCharType="end"/>
      </w:r>
    </w:p>
    <w:p w:rsidR="00024C0A" w:rsidRDefault="00694C0F">
      <w:pPr>
        <w:pStyle w:val="indexentry0"/>
      </w:pPr>
      <w:hyperlink w:anchor="section_26de22b70cc44053bdea8cc6c6543413">
        <w:r>
          <w:rPr>
            <w:rStyle w:val="Hyperlink"/>
          </w:rPr>
          <w:t>default (Default Text Box Form Field String)</w:t>
        </w:r>
      </w:hyperlink>
      <w:r>
        <w:t xml:space="preserve"> </w:t>
      </w:r>
      <w:r>
        <w:fldChar w:fldCharType="begin"/>
      </w:r>
      <w:r>
        <w:instrText>PAGEREF section_26de22b70cc44053bdea8cc6c6543413</w:instrText>
      </w:r>
      <w:r>
        <w:fldChar w:fldCharType="separate"/>
      </w:r>
      <w:r>
        <w:rPr>
          <w:noProof/>
        </w:rPr>
        <w:t>224</w:t>
      </w:r>
      <w:r>
        <w:fldChar w:fldCharType="end"/>
      </w:r>
    </w:p>
    <w:p w:rsidR="00024C0A" w:rsidRDefault="00694C0F">
      <w:pPr>
        <w:pStyle w:val="indexentry0"/>
      </w:pPr>
      <w:hyperlink w:anchor="section_38b8d62c52f54927aba536320bff74e8">
        <w:r>
          <w:rPr>
            <w:rStyle w:val="Hyperlink"/>
          </w:rPr>
          <w:t>defaultPropertyEditorNamespace (Default Namespace)</w:t>
        </w:r>
      </w:hyperlink>
      <w:r>
        <w:t xml:space="preserve"> </w:t>
      </w:r>
      <w:r>
        <w:fldChar w:fldCharType="begin"/>
      </w:r>
      <w:r>
        <w:instrText>PAGEREF section_38b8d62c52f54927aba536320bff74e8</w:instrText>
      </w:r>
      <w:r>
        <w:fldChar w:fldCharType="separate"/>
      </w:r>
      <w:r>
        <w:rPr>
          <w:noProof/>
        </w:rPr>
        <w:t>866</w:t>
      </w:r>
      <w:r>
        <w:fldChar w:fldCharType="end"/>
      </w:r>
    </w:p>
    <w:p w:rsidR="00024C0A" w:rsidRDefault="00694C0F">
      <w:pPr>
        <w:pStyle w:val="indexentry0"/>
      </w:pPr>
      <w:hyperlink w:anchor="section_ce3122b7a1ad43e2a271f8e7fac1ae5f">
        <w:r>
          <w:rPr>
            <w:rStyle w:val="Hyperlink"/>
          </w:rPr>
          <w:t>DefaultSize (Default Size T</w:t>
        </w:r>
        <w:r>
          <w:rPr>
            <w:rStyle w:val="Hyperlink"/>
          </w:rPr>
          <w:t>oggle)</w:t>
        </w:r>
      </w:hyperlink>
      <w:r>
        <w:t xml:space="preserve"> </w:t>
      </w:r>
      <w:r>
        <w:fldChar w:fldCharType="begin"/>
      </w:r>
      <w:r>
        <w:instrText>PAGEREF section_ce3122b7a1ad43e2a271f8e7fac1ae5f</w:instrText>
      </w:r>
      <w:r>
        <w:fldChar w:fldCharType="separate"/>
      </w:r>
      <w:r>
        <w:rPr>
          <w:noProof/>
        </w:rPr>
        <w:t>674</w:t>
      </w:r>
      <w:r>
        <w:fldChar w:fldCharType="end"/>
      </w:r>
    </w:p>
    <w:p w:rsidR="00024C0A" w:rsidRDefault="00694C0F">
      <w:pPr>
        <w:pStyle w:val="indexentry0"/>
      </w:pPr>
      <w:hyperlink w:anchor="section_fd6deb8c493a454fb4eb266ce809595a">
        <w:r>
          <w:rPr>
            <w:rStyle w:val="Hyperlink"/>
          </w:rPr>
          <w:t>defaultTableStyle (Default Table Style for Newly Inserted Tables)</w:t>
        </w:r>
      </w:hyperlink>
      <w:r>
        <w:t xml:space="preserve"> </w:t>
      </w:r>
      <w:r>
        <w:fldChar w:fldCharType="begin"/>
      </w:r>
      <w:r>
        <w:instrText>PAGEREF section_fd6deb8c493a454fb4eb266ce809595a</w:instrText>
      </w:r>
      <w:r>
        <w:fldChar w:fldCharType="separate"/>
      </w:r>
      <w:r>
        <w:rPr>
          <w:noProof/>
        </w:rPr>
        <w:t>150</w:t>
      </w:r>
      <w:r>
        <w:fldChar w:fldCharType="end"/>
      </w:r>
    </w:p>
    <w:p w:rsidR="00024C0A" w:rsidRDefault="00694C0F">
      <w:pPr>
        <w:pStyle w:val="indexentry0"/>
      </w:pPr>
      <w:hyperlink w:anchor="section_d09bfc71d0d249729275bc0edf849558">
        <w:r>
          <w:rPr>
            <w:rStyle w:val="Hyperlink"/>
          </w:rPr>
          <w:t>defaultTabStop (Distance Between Automatic Tab Stops)</w:t>
        </w:r>
      </w:hyperlink>
      <w:r>
        <w:t xml:space="preserve"> </w:t>
      </w:r>
      <w:r>
        <w:fldChar w:fldCharType="begin"/>
      </w:r>
      <w:r>
        <w:instrText>PAGEREF section_d09bfc71d0d249729275bc0edf849558</w:instrText>
      </w:r>
      <w:r>
        <w:fldChar w:fldCharType="separate"/>
      </w:r>
      <w:r>
        <w:rPr>
          <w:noProof/>
        </w:rPr>
        <w:t>151</w:t>
      </w:r>
      <w:r>
        <w:fldChar w:fldCharType="end"/>
      </w:r>
    </w:p>
    <w:p w:rsidR="00024C0A" w:rsidRDefault="00694C0F">
      <w:pPr>
        <w:pStyle w:val="indexentry0"/>
      </w:pPr>
      <w:r>
        <w:t>definedName (Defined Name) (</w:t>
      </w:r>
      <w:hyperlink w:anchor="section_16c3c118f358493da99f4c85ca834c00">
        <w:r>
          <w:rPr>
            <w:rStyle w:val="Hyperlink"/>
          </w:rPr>
          <w:t>section 2.1.</w:t>
        </w:r>
        <w:r>
          <w:rPr>
            <w:rStyle w:val="Hyperlink"/>
          </w:rPr>
          <w:t>567</w:t>
        </w:r>
      </w:hyperlink>
      <w:r>
        <w:t xml:space="preserve"> </w:t>
      </w:r>
      <w:r>
        <w:fldChar w:fldCharType="begin"/>
      </w:r>
      <w:r>
        <w:instrText>PAGEREF section_16c3c118f358493da99f4c85ca834c00</w:instrText>
      </w:r>
      <w:r>
        <w:fldChar w:fldCharType="separate"/>
      </w:r>
      <w:r>
        <w:rPr>
          <w:noProof/>
        </w:rPr>
        <w:t>237</w:t>
      </w:r>
      <w:r>
        <w:fldChar w:fldCharType="end"/>
      </w:r>
      <w:r>
        <w:t xml:space="preserve">, </w:t>
      </w:r>
      <w:hyperlink w:anchor="section_74770f15dc8b4cc0bf1a4fbcefdee941">
        <w:r>
          <w:rPr>
            <w:rStyle w:val="Hyperlink"/>
          </w:rPr>
          <w:t>section 2.1.840</w:t>
        </w:r>
      </w:hyperlink>
      <w:r>
        <w:t xml:space="preserve"> </w:t>
      </w:r>
      <w:r>
        <w:fldChar w:fldCharType="begin"/>
      </w:r>
      <w:r>
        <w:instrText>PAGEREF section_74770f15dc8b4cc0bf1a4fbcefdee941</w:instrText>
      </w:r>
      <w:r>
        <w:fldChar w:fldCharType="separate"/>
      </w:r>
      <w:r>
        <w:rPr>
          <w:noProof/>
        </w:rPr>
        <w:t>379</w:t>
      </w:r>
      <w:r>
        <w:fldChar w:fldCharType="end"/>
      </w:r>
      <w:r>
        <w:t>)</w:t>
      </w:r>
    </w:p>
    <w:p w:rsidR="00024C0A" w:rsidRDefault="00694C0F">
      <w:pPr>
        <w:pStyle w:val="indexentry0"/>
      </w:pPr>
      <w:hyperlink w:anchor="section_1aea93a7b20844b2a2e583dc2b635b41">
        <w:r>
          <w:rPr>
            <w:rStyle w:val="Hyperlink"/>
          </w:rPr>
          <w:t>defi</w:t>
        </w:r>
        <w:r>
          <w:rPr>
            <w:rStyle w:val="Hyperlink"/>
          </w:rPr>
          <w:t>nedNames (Defined Names)</w:t>
        </w:r>
      </w:hyperlink>
      <w:r>
        <w:t xml:space="preserve"> </w:t>
      </w:r>
      <w:r>
        <w:fldChar w:fldCharType="begin"/>
      </w:r>
      <w:r>
        <w:instrText>PAGEREF section_1aea93a7b20844b2a2e583dc2b635b41</w:instrText>
      </w:r>
      <w:r>
        <w:fldChar w:fldCharType="separate"/>
      </w:r>
      <w:r>
        <w:rPr>
          <w:noProof/>
        </w:rPr>
        <w:t>239</w:t>
      </w:r>
      <w:r>
        <w:fldChar w:fldCharType="end"/>
      </w:r>
    </w:p>
    <w:p w:rsidR="00024C0A" w:rsidRDefault="00694C0F">
      <w:pPr>
        <w:pStyle w:val="indexentry0"/>
      </w:pPr>
      <w:hyperlink w:anchor="section_947f769620974abcb24160d3b70c0911">
        <w:r>
          <w:rPr>
            <w:rStyle w:val="Hyperlink"/>
          </w:rPr>
          <w:t>defJc (Default Justification)</w:t>
        </w:r>
      </w:hyperlink>
      <w:r>
        <w:t xml:space="preserve"> </w:t>
      </w:r>
      <w:r>
        <w:fldChar w:fldCharType="begin"/>
      </w:r>
      <w:r>
        <w:instrText>PAGEREF section_947f769620974abcb24160d3b70c0911</w:instrText>
      </w:r>
      <w:r>
        <w:fldChar w:fldCharType="separate"/>
      </w:r>
      <w:r>
        <w:rPr>
          <w:noProof/>
        </w:rPr>
        <w:t>592</w:t>
      </w:r>
      <w:r>
        <w:fldChar w:fldCharType="end"/>
      </w:r>
    </w:p>
    <w:p w:rsidR="00024C0A" w:rsidRDefault="00694C0F">
      <w:pPr>
        <w:pStyle w:val="indexentry0"/>
      </w:pPr>
      <w:hyperlink w:anchor="section_182923767677479284228024b97ec52f">
        <w:r>
          <w:rPr>
            <w:rStyle w:val="Hyperlink"/>
          </w:rPr>
          <w:t>defPPr (Default Paragraph Style)</w:t>
        </w:r>
      </w:hyperlink>
      <w:r>
        <w:t xml:space="preserve"> </w:t>
      </w:r>
      <w:r>
        <w:fldChar w:fldCharType="begin"/>
      </w:r>
      <w:r>
        <w:instrText>PAGEREF section_182923767677479284228024b97ec52f</w:instrText>
      </w:r>
      <w:r>
        <w:fldChar w:fldCharType="separate"/>
      </w:r>
      <w:r>
        <w:rPr>
          <w:noProof/>
        </w:rPr>
        <w:t>527</w:t>
      </w:r>
      <w:r>
        <w:fldChar w:fldCharType="end"/>
      </w:r>
    </w:p>
    <w:p w:rsidR="00024C0A" w:rsidRDefault="00694C0F">
      <w:pPr>
        <w:pStyle w:val="indexentry0"/>
      </w:pPr>
      <w:hyperlink w:anchor="section_0bce0eae61a547dfa1c3c10b2f446fb5">
        <w:r>
          <w:rPr>
            <w:rStyle w:val="Hyperlink"/>
          </w:rPr>
          <w:t>defRPr (Default Text Run Properties)</w:t>
        </w:r>
      </w:hyperlink>
      <w:r>
        <w:t xml:space="preserve"> </w:t>
      </w:r>
      <w:r>
        <w:fldChar w:fldCharType="begin"/>
      </w:r>
      <w:r>
        <w:instrText xml:space="preserve">PAGEREF </w:instrText>
      </w:r>
      <w:r>
        <w:instrText>section_0bce0eae61a547dfa1c3c10b2f446fb5</w:instrText>
      </w:r>
      <w:r>
        <w:fldChar w:fldCharType="separate"/>
      </w:r>
      <w:r>
        <w:rPr>
          <w:noProof/>
        </w:rPr>
        <w:t>531</w:t>
      </w:r>
      <w:r>
        <w:fldChar w:fldCharType="end"/>
      </w:r>
    </w:p>
    <w:p w:rsidR="00024C0A" w:rsidRDefault="00694C0F">
      <w:pPr>
        <w:pStyle w:val="indexentry0"/>
      </w:pPr>
      <w:hyperlink w:anchor="section_a71a37c5c6a148fb9a65ae541c4f878d">
        <w:r>
          <w:rPr>
            <w:rStyle w:val="Hyperlink"/>
          </w:rPr>
          <w:t>deg (Degree)</w:t>
        </w:r>
      </w:hyperlink>
      <w:r>
        <w:t xml:space="preserve"> </w:t>
      </w:r>
      <w:r>
        <w:fldChar w:fldCharType="begin"/>
      </w:r>
      <w:r>
        <w:instrText>PAGEREF section_a71a37c5c6a148fb9a65ae541c4f878d</w:instrText>
      </w:r>
      <w:r>
        <w:fldChar w:fldCharType="separate"/>
      </w:r>
      <w:r>
        <w:rPr>
          <w:noProof/>
        </w:rPr>
        <w:t>593</w:t>
      </w:r>
      <w:r>
        <w:fldChar w:fldCharType="end"/>
      </w:r>
    </w:p>
    <w:p w:rsidR="00024C0A" w:rsidRDefault="00694C0F">
      <w:pPr>
        <w:pStyle w:val="indexentry0"/>
      </w:pPr>
      <w:hyperlink w:anchor="section_d60fa15bb1d24088bfffc1a7ea5740cd">
        <w:r>
          <w:rPr>
            <w:rStyle w:val="Hyperlink"/>
          </w:rPr>
          <w:t>degHide (Hide Degree)</w:t>
        </w:r>
      </w:hyperlink>
      <w:r>
        <w:t xml:space="preserve"> </w:t>
      </w:r>
      <w:r>
        <w:fldChar w:fldCharType="begin"/>
      </w:r>
      <w:r>
        <w:instrText>PAGEREF section_d60fa15bb1d24088bfffc1a7ea5740cd</w:instrText>
      </w:r>
      <w:r>
        <w:fldChar w:fldCharType="separate"/>
      </w:r>
      <w:r>
        <w:rPr>
          <w:noProof/>
        </w:rPr>
        <w:t>593</w:t>
      </w:r>
      <w:r>
        <w:fldChar w:fldCharType="end"/>
      </w:r>
    </w:p>
    <w:p w:rsidR="00024C0A" w:rsidRDefault="00694C0F">
      <w:pPr>
        <w:pStyle w:val="indexentry0"/>
      </w:pPr>
      <w:hyperlink w:anchor="section_0a4ccd31153b4a47b3ffc070a3743a70">
        <w:r>
          <w:rPr>
            <w:rStyle w:val="Hyperlink"/>
          </w:rPr>
          <w:t>del (Deleted Math Control Character)</w:t>
        </w:r>
      </w:hyperlink>
      <w:r>
        <w:t xml:space="preserve"> </w:t>
      </w:r>
      <w:r>
        <w:fldChar w:fldCharType="begin"/>
      </w:r>
      <w:r>
        <w:instrText>PAGEREF section_0a4ccd31153b4a47b3ffc070a3743a70</w:instrText>
      </w:r>
      <w:r>
        <w:fldChar w:fldCharType="separate"/>
      </w:r>
      <w:r>
        <w:rPr>
          <w:noProof/>
        </w:rPr>
        <w:t>135</w:t>
      </w:r>
      <w:r>
        <w:fldChar w:fldCharType="end"/>
      </w:r>
    </w:p>
    <w:p w:rsidR="00024C0A" w:rsidRDefault="00694C0F">
      <w:pPr>
        <w:pStyle w:val="indexentry0"/>
      </w:pPr>
      <w:hyperlink w:anchor="section_8b5f240eeddd4650923cca36a8c37094">
        <w:r>
          <w:rPr>
            <w:rStyle w:val="Hyperlink"/>
          </w:rPr>
          <w:t>del (Deleted Paragraph)</w:t>
        </w:r>
      </w:hyperlink>
      <w:r>
        <w:t xml:space="preserve"> </w:t>
      </w:r>
      <w:r>
        <w:fldChar w:fldCharType="begin"/>
      </w:r>
      <w:r>
        <w:instrText>PAGEREF section_8b5f240eeddd4650923cca36a8c37094</w:instrText>
      </w:r>
      <w:r>
        <w:fldChar w:fldCharType="separate"/>
      </w:r>
      <w:r>
        <w:rPr>
          <w:noProof/>
        </w:rPr>
        <w:t>135</w:t>
      </w:r>
      <w:r>
        <w:fldChar w:fldCharType="end"/>
      </w:r>
    </w:p>
    <w:p w:rsidR="00024C0A" w:rsidRDefault="00694C0F">
      <w:pPr>
        <w:pStyle w:val="indexentry0"/>
      </w:pPr>
      <w:hyperlink w:anchor="section_97b1a91213164dcbba0d45f59f6662f9">
        <w:r>
          <w:rPr>
            <w:rStyle w:val="Hyperlink"/>
          </w:rPr>
          <w:t>del (Deleted Run Content)</w:t>
        </w:r>
      </w:hyperlink>
      <w:r>
        <w:t xml:space="preserve"> </w:t>
      </w:r>
      <w:r>
        <w:fldChar w:fldCharType="begin"/>
      </w:r>
      <w:r>
        <w:instrText>PAGEREF section_97b1a91213164dcbba0d45f59f6662f9</w:instrText>
      </w:r>
      <w:r>
        <w:fldChar w:fldCharType="separate"/>
      </w:r>
      <w:r>
        <w:rPr>
          <w:noProof/>
        </w:rPr>
        <w:t>135</w:t>
      </w:r>
      <w:r>
        <w:fldChar w:fldCharType="end"/>
      </w:r>
    </w:p>
    <w:p w:rsidR="00024C0A" w:rsidRDefault="00694C0F">
      <w:pPr>
        <w:pStyle w:val="indexentry0"/>
      </w:pPr>
      <w:hyperlink w:anchor="section_ee129f764bdb46c7be1ad1c7d2bf7ad3">
        <w:r>
          <w:rPr>
            <w:rStyle w:val="Hyperlink"/>
          </w:rPr>
          <w:t>del (Deleted Table Row)</w:t>
        </w:r>
      </w:hyperlink>
      <w:r>
        <w:t xml:space="preserve"> </w:t>
      </w:r>
      <w:r>
        <w:fldChar w:fldCharType="begin"/>
      </w:r>
      <w:r>
        <w:instrText>PAGEREF section_ee129f764bdb46c7be1ad1c7d2bf7ad3</w:instrText>
      </w:r>
      <w:r>
        <w:fldChar w:fldCharType="separate"/>
      </w:r>
      <w:r>
        <w:rPr>
          <w:noProof/>
        </w:rPr>
        <w:t>135</w:t>
      </w:r>
      <w:r>
        <w:fldChar w:fldCharType="end"/>
      </w:r>
    </w:p>
    <w:p w:rsidR="00024C0A" w:rsidRDefault="00694C0F">
      <w:pPr>
        <w:pStyle w:val="indexentry0"/>
      </w:pPr>
      <w:hyperlink w:anchor="section_d88dc6d4480149dd842c429174b8837e">
        <w:r>
          <w:rPr>
            <w:rStyle w:val="Hyperlink"/>
          </w:rPr>
          <w:t>DelegateSuggestedSigner (Delegate Suggested Signer)</w:t>
        </w:r>
      </w:hyperlink>
      <w:r>
        <w:t xml:space="preserve"> </w:t>
      </w:r>
      <w:r>
        <w:fldChar w:fldCharType="begin"/>
      </w:r>
      <w:r>
        <w:instrText>PAGEREF section_d88dc6d448014</w:instrText>
      </w:r>
      <w:r>
        <w:instrText>9dd842c429174b8837e</w:instrText>
      </w:r>
      <w:r>
        <w:fldChar w:fldCharType="separate"/>
      </w:r>
      <w:r>
        <w:rPr>
          <w:noProof/>
        </w:rPr>
        <w:t>877</w:t>
      </w:r>
      <w:r>
        <w:fldChar w:fldCharType="end"/>
      </w:r>
    </w:p>
    <w:p w:rsidR="00024C0A" w:rsidRDefault="00694C0F">
      <w:pPr>
        <w:pStyle w:val="indexentry0"/>
      </w:pPr>
      <w:hyperlink w:anchor="section_841efc82d17b435cbc74a986769fdf50">
        <w:r>
          <w:rPr>
            <w:rStyle w:val="Hyperlink"/>
          </w:rPr>
          <w:t>DelegateSuggestedSigner2 (Delegate Suggested Signer)</w:t>
        </w:r>
      </w:hyperlink>
      <w:r>
        <w:t xml:space="preserve"> </w:t>
      </w:r>
      <w:r>
        <w:fldChar w:fldCharType="begin"/>
      </w:r>
      <w:r>
        <w:instrText>PAGEREF section_841efc82d17b435cbc74a986769fdf50</w:instrText>
      </w:r>
      <w:r>
        <w:fldChar w:fldCharType="separate"/>
      </w:r>
      <w:r>
        <w:rPr>
          <w:noProof/>
        </w:rPr>
        <w:t>877</w:t>
      </w:r>
      <w:r>
        <w:fldChar w:fldCharType="end"/>
      </w:r>
    </w:p>
    <w:p w:rsidR="00024C0A" w:rsidRDefault="00694C0F">
      <w:pPr>
        <w:pStyle w:val="indexentry0"/>
      </w:pPr>
      <w:hyperlink w:anchor="section_3615f32e2a2f49c7853b03b56fc48212">
        <w:r>
          <w:rPr>
            <w:rStyle w:val="Hyperlink"/>
          </w:rPr>
          <w:t>DelegateSuggestedSignerEmail (Delegate Suggested Signer E-mail Address)</w:t>
        </w:r>
      </w:hyperlink>
      <w:r>
        <w:t xml:space="preserve"> </w:t>
      </w:r>
      <w:r>
        <w:fldChar w:fldCharType="begin"/>
      </w:r>
      <w:r>
        <w:instrText>PAGEREF section_3615f32e2a2f49c7853b03b56fc48212</w:instrText>
      </w:r>
      <w:r>
        <w:fldChar w:fldCharType="separate"/>
      </w:r>
      <w:r>
        <w:rPr>
          <w:noProof/>
        </w:rPr>
        <w:t>878</w:t>
      </w:r>
      <w:r>
        <w:fldChar w:fldCharType="end"/>
      </w:r>
    </w:p>
    <w:p w:rsidR="00024C0A" w:rsidRDefault="00694C0F">
      <w:pPr>
        <w:pStyle w:val="indexentry0"/>
      </w:pPr>
      <w:hyperlink w:anchor="section_77da14e2b4ea44a8af58622a93fa3abf">
        <w:r>
          <w:rPr>
            <w:rStyle w:val="Hyperlink"/>
          </w:rPr>
          <w:t>deletedField (Deleted Field)</w:t>
        </w:r>
      </w:hyperlink>
      <w:r>
        <w:t xml:space="preserve"> </w:t>
      </w:r>
      <w:r>
        <w:fldChar w:fldCharType="begin"/>
      </w:r>
      <w:r>
        <w:instrText>PAGEREF section_77da14e2b4ea44a8af5862</w:instrText>
      </w:r>
      <w:r>
        <w:instrText>2a93fa3abf</w:instrText>
      </w:r>
      <w:r>
        <w:fldChar w:fldCharType="separate"/>
      </w:r>
      <w:r>
        <w:rPr>
          <w:noProof/>
        </w:rPr>
        <w:t>373</w:t>
      </w:r>
      <w:r>
        <w:fldChar w:fldCharType="end"/>
      </w:r>
    </w:p>
    <w:p w:rsidR="00024C0A" w:rsidRDefault="00694C0F">
      <w:pPr>
        <w:pStyle w:val="indexentry0"/>
      </w:pPr>
      <w:hyperlink w:anchor="section_e36aa76793f24537bb6a04ec27a2603d">
        <w:r>
          <w:rPr>
            <w:rStyle w:val="Hyperlink"/>
          </w:rPr>
          <w:t>den (Denominator)</w:t>
        </w:r>
      </w:hyperlink>
      <w:r>
        <w:t xml:space="preserve"> </w:t>
      </w:r>
      <w:r>
        <w:fldChar w:fldCharType="begin"/>
      </w:r>
      <w:r>
        <w:instrText>PAGEREF section_e36aa76793f24537bb6a04ec27a2603d</w:instrText>
      </w:r>
      <w:r>
        <w:fldChar w:fldCharType="separate"/>
      </w:r>
      <w:r>
        <w:rPr>
          <w:noProof/>
        </w:rPr>
        <w:t>593</w:t>
      </w:r>
      <w:r>
        <w:fldChar w:fldCharType="end"/>
      </w:r>
    </w:p>
    <w:p w:rsidR="00024C0A" w:rsidRDefault="00694C0F">
      <w:pPr>
        <w:pStyle w:val="indexentry0"/>
      </w:pPr>
      <w:hyperlink w:anchor="section_2643b6345b714371b8d9b25715fe3ebb">
        <w:r>
          <w:rPr>
            <w:rStyle w:val="Hyperlink"/>
          </w:rPr>
          <w:t>depthPercent (Depth Percent)</w:t>
        </w:r>
      </w:hyperlink>
      <w:r>
        <w:t xml:space="preserve"> </w:t>
      </w:r>
      <w:r>
        <w:fldChar w:fldCharType="begin"/>
      </w:r>
      <w:r>
        <w:instrText>PAGEREF section_2</w:instrText>
      </w:r>
      <w:r>
        <w:instrText>643b6345b714371b8d9b25715fe3ebb</w:instrText>
      </w:r>
      <w:r>
        <w:fldChar w:fldCharType="separate"/>
      </w:r>
      <w:r>
        <w:rPr>
          <w:noProof/>
        </w:rPr>
        <w:t>544</w:t>
      </w:r>
      <w:r>
        <w:fldChar w:fldCharType="end"/>
      </w:r>
    </w:p>
    <w:p w:rsidR="00024C0A" w:rsidRDefault="00694C0F">
      <w:pPr>
        <w:pStyle w:val="indexentry0"/>
      </w:pPr>
      <w:hyperlink w:anchor="section_380b2e0778094280a39e0eec38e2e71d">
        <w:r>
          <w:rPr>
            <w:rStyle w:val="Hyperlink"/>
          </w:rPr>
          <w:t>DEVSQ</w:t>
        </w:r>
      </w:hyperlink>
      <w:r>
        <w:t xml:space="preserve"> </w:t>
      </w:r>
      <w:r>
        <w:fldChar w:fldCharType="begin"/>
      </w:r>
      <w:r>
        <w:instrText>PAGEREF section_380b2e0778094280a39e0eec38e2e71d</w:instrText>
      </w:r>
      <w:r>
        <w:fldChar w:fldCharType="separate"/>
      </w:r>
      <w:r>
        <w:rPr>
          <w:noProof/>
        </w:rPr>
        <w:t>416</w:t>
      </w:r>
      <w:r>
        <w:fldChar w:fldCharType="end"/>
      </w:r>
    </w:p>
    <w:p w:rsidR="00024C0A" w:rsidRDefault="00694C0F">
      <w:pPr>
        <w:pStyle w:val="indexentry0"/>
      </w:pPr>
      <w:hyperlink w:anchor="section_53cd50963b4d41f8bb3566dd020960bb">
        <w:r>
          <w:rPr>
            <w:rStyle w:val="Hyperlink"/>
          </w:rPr>
          <w:t>DGET</w:t>
        </w:r>
      </w:hyperlink>
      <w:r>
        <w:t xml:space="preserve"> </w:t>
      </w:r>
      <w:r>
        <w:fldChar w:fldCharType="begin"/>
      </w:r>
      <w:r>
        <w:instrText>PAGEREF section_53cd50963b4d41f8</w:instrText>
      </w:r>
      <w:r>
        <w:instrText>bb3566dd020960bb</w:instrText>
      </w:r>
      <w:r>
        <w:fldChar w:fldCharType="separate"/>
      </w:r>
      <w:r>
        <w:rPr>
          <w:noProof/>
        </w:rPr>
        <w:t>416</w:t>
      </w:r>
      <w:r>
        <w:fldChar w:fldCharType="end"/>
      </w:r>
    </w:p>
    <w:p w:rsidR="00024C0A" w:rsidRDefault="00694C0F">
      <w:pPr>
        <w:pStyle w:val="indexentry0"/>
      </w:pPr>
      <w:hyperlink w:anchor="section_c3622cf30c724b1bbaa875630639082d">
        <w:r>
          <w:rPr>
            <w:rStyle w:val="Hyperlink"/>
          </w:rPr>
          <w:t>dgm (Diagram to Animate)</w:t>
        </w:r>
      </w:hyperlink>
      <w:r>
        <w:t xml:space="preserve"> </w:t>
      </w:r>
      <w:r>
        <w:fldChar w:fldCharType="begin"/>
      </w:r>
      <w:r>
        <w:instrText>PAGEREF section_c3622cf30c724b1bbaa875630639082d</w:instrText>
      </w:r>
      <w:r>
        <w:fldChar w:fldCharType="separate"/>
      </w:r>
      <w:r>
        <w:rPr>
          <w:noProof/>
        </w:rPr>
        <w:t>495</w:t>
      </w:r>
      <w:r>
        <w:fldChar w:fldCharType="end"/>
      </w:r>
    </w:p>
    <w:p w:rsidR="00024C0A" w:rsidRDefault="00694C0F">
      <w:pPr>
        <w:pStyle w:val="indexentry0"/>
      </w:pPr>
      <w:hyperlink w:anchor="section_d7ad8107054040ab96a6b62610ad55ce">
        <w:r>
          <w:rPr>
            <w:rStyle w:val="Hyperlink"/>
          </w:rPr>
          <w:t>diagram (VML Diagram)</w:t>
        </w:r>
      </w:hyperlink>
      <w:r>
        <w:t xml:space="preserve"> </w:t>
      </w:r>
      <w:r>
        <w:fldChar w:fldCharType="begin"/>
      </w:r>
      <w:r>
        <w:instrText>PAGEREF sec</w:instrText>
      </w:r>
      <w:r>
        <w:instrText>tion_d7ad8107054040ab96a6b62610ad55ce</w:instrText>
      </w:r>
      <w:r>
        <w:fldChar w:fldCharType="separate"/>
      </w:r>
      <w:r>
        <w:rPr>
          <w:noProof/>
        </w:rPr>
        <w:t>661</w:t>
      </w:r>
      <w:r>
        <w:fldChar w:fldCharType="end"/>
      </w:r>
    </w:p>
    <w:p w:rsidR="00024C0A" w:rsidRDefault="00694C0F">
      <w:pPr>
        <w:pStyle w:val="indexentry0"/>
      </w:pPr>
      <w:hyperlink w:anchor="section_d8ea1093c53b4135ab674a51a0b6fe7e">
        <w:r>
          <w:rPr>
            <w:rStyle w:val="Hyperlink"/>
          </w:rPr>
          <w:t>Diagram Colors Part</w:t>
        </w:r>
      </w:hyperlink>
      <w:r>
        <w:t xml:space="preserve"> </w:t>
      </w:r>
      <w:r>
        <w:fldChar w:fldCharType="begin"/>
      </w:r>
      <w:r>
        <w:instrText>PAGEREF section_d8ea1093c53b4135ab674a51a0b6fe7e</w:instrText>
      </w:r>
      <w:r>
        <w:fldChar w:fldCharType="separate"/>
      </w:r>
      <w:r>
        <w:rPr>
          <w:noProof/>
        </w:rPr>
        <w:t>54</w:t>
      </w:r>
      <w:r>
        <w:fldChar w:fldCharType="end"/>
      </w:r>
    </w:p>
    <w:p w:rsidR="00024C0A" w:rsidRDefault="00694C0F">
      <w:pPr>
        <w:pStyle w:val="indexentry0"/>
      </w:pPr>
      <w:hyperlink w:anchor="section_fbaa1e283676408f8e241c31101d4de7">
        <w:r>
          <w:rPr>
            <w:rStyle w:val="Hyperlink"/>
          </w:rPr>
          <w:t>Diagram Data Part</w:t>
        </w:r>
      </w:hyperlink>
      <w:r>
        <w:t xml:space="preserve"> </w:t>
      </w:r>
      <w:r>
        <w:fldChar w:fldCharType="begin"/>
      </w:r>
      <w:r>
        <w:instrText>PAGEREF section_fbaa1e283676408f8e241c31101d4de7</w:instrText>
      </w:r>
      <w:r>
        <w:fldChar w:fldCharType="separate"/>
      </w:r>
      <w:r>
        <w:rPr>
          <w:noProof/>
        </w:rPr>
        <w:t>55</w:t>
      </w:r>
      <w:r>
        <w:fldChar w:fldCharType="end"/>
      </w:r>
    </w:p>
    <w:p w:rsidR="00024C0A" w:rsidRDefault="00694C0F">
      <w:pPr>
        <w:pStyle w:val="indexentry0"/>
      </w:pPr>
      <w:hyperlink w:anchor="section_40af1ca11a054f24aad1190f60d7965e">
        <w:r>
          <w:rPr>
            <w:rStyle w:val="Hyperlink"/>
          </w:rPr>
          <w:t>dialogsheet (Dialog Sheet)</w:t>
        </w:r>
      </w:hyperlink>
      <w:r>
        <w:t xml:space="preserve"> </w:t>
      </w:r>
      <w:r>
        <w:fldChar w:fldCharType="begin"/>
      </w:r>
      <w:r>
        <w:instrText>PAGEREF section_40af1ca11a054f24aad1190f60d7965e</w:instrText>
      </w:r>
      <w:r>
        <w:fldChar w:fldCharType="separate"/>
      </w:r>
      <w:r>
        <w:rPr>
          <w:noProof/>
        </w:rPr>
        <w:t>256</w:t>
      </w:r>
      <w:r>
        <w:fldChar w:fldCharType="end"/>
      </w:r>
    </w:p>
    <w:p w:rsidR="00024C0A" w:rsidRDefault="00694C0F">
      <w:pPr>
        <w:pStyle w:val="indexentry0"/>
      </w:pPr>
      <w:hyperlink w:anchor="section_df608f0d3ef3449a98cd7319467fa01e">
        <w:r>
          <w:rPr>
            <w:rStyle w:val="Hyperlink"/>
          </w:rPr>
          <w:t>Dialogsheet Part</w:t>
        </w:r>
      </w:hyperlink>
      <w:r>
        <w:t xml:space="preserve"> </w:t>
      </w:r>
      <w:r>
        <w:fldChar w:fldCharType="begin"/>
      </w:r>
      <w:r>
        <w:instrText>PAGEREF section_df608f0d3ef3449a98cd7319467fa01e</w:instrText>
      </w:r>
      <w:r>
        <w:fldChar w:fldCharType="separate"/>
      </w:r>
      <w:r>
        <w:rPr>
          <w:noProof/>
        </w:rPr>
        <w:t>48</w:t>
      </w:r>
      <w:r>
        <w:fldChar w:fldCharType="end"/>
      </w:r>
    </w:p>
    <w:p w:rsidR="00024C0A" w:rsidRDefault="00694C0F">
      <w:pPr>
        <w:pStyle w:val="indexentry0"/>
      </w:pPr>
      <w:hyperlink w:anchor="section_360e6b06a67f44faa5bf8ade7fbe7212">
        <w:r>
          <w:rPr>
            <w:rStyle w:val="Hyperlink"/>
          </w:rPr>
          <w:t>DigSig (Digital Signature)</w:t>
        </w:r>
      </w:hyperlink>
      <w:r>
        <w:t xml:space="preserve"> </w:t>
      </w:r>
      <w:r>
        <w:fldChar w:fldCharType="begin"/>
      </w:r>
      <w:r>
        <w:instrText>PAGEREF section_360e6b06a67f44faa5bf8ade7fbe7212</w:instrText>
      </w:r>
      <w:r>
        <w:fldChar w:fldCharType="separate"/>
      </w:r>
      <w:r>
        <w:rPr>
          <w:noProof/>
        </w:rPr>
        <w:t>602</w:t>
      </w:r>
      <w:r>
        <w:fldChar w:fldCharType="end"/>
      </w:r>
    </w:p>
    <w:p w:rsidR="00024C0A" w:rsidRDefault="00694C0F">
      <w:pPr>
        <w:pStyle w:val="indexentry0"/>
      </w:pPr>
      <w:hyperlink w:anchor="section_f0f7a394d036412ca0811bb4aadc00ce">
        <w:r>
          <w:rPr>
            <w:rStyle w:val="Hyperlink"/>
          </w:rPr>
          <w:t>dimension (OLAP Dimension)</w:t>
        </w:r>
      </w:hyperlink>
      <w:r>
        <w:t xml:space="preserve"> </w:t>
      </w:r>
      <w:r>
        <w:fldChar w:fldCharType="begin"/>
      </w:r>
      <w:r>
        <w:instrText>PAGEREF section_f0f7a394d036412ca0811bb4aadc00ce</w:instrText>
      </w:r>
      <w:r>
        <w:fldChar w:fldCharType="separate"/>
      </w:r>
      <w:r>
        <w:rPr>
          <w:noProof/>
        </w:rPr>
        <w:t>331</w:t>
      </w:r>
      <w:r>
        <w:fldChar w:fldCharType="end"/>
      </w:r>
    </w:p>
    <w:p w:rsidR="00024C0A" w:rsidRDefault="00694C0F">
      <w:pPr>
        <w:pStyle w:val="indexentry0"/>
      </w:pPr>
      <w:hyperlink w:anchor="section_0c2fbdfee3c442339e5874bee9eac813">
        <w:r>
          <w:rPr>
            <w:rStyle w:val="Hyperlink"/>
          </w:rPr>
          <w:t>dir (Bidirectional Embedding Level)</w:t>
        </w:r>
      </w:hyperlink>
      <w:r>
        <w:t xml:space="preserve"> </w:t>
      </w:r>
      <w:r>
        <w:fldChar w:fldCharType="begin"/>
      </w:r>
      <w:r>
        <w:instrText>PAGEREF section_0c2fbdfee3c442339e5874bee9eac813</w:instrText>
      </w:r>
      <w:r>
        <w:fldChar w:fldCharType="separate"/>
      </w:r>
      <w:r>
        <w:rPr>
          <w:noProof/>
        </w:rPr>
        <w:t>70</w:t>
      </w:r>
      <w:r>
        <w:fldChar w:fldCharType="end"/>
      </w:r>
    </w:p>
    <w:p w:rsidR="00024C0A" w:rsidRDefault="00694C0F">
      <w:pPr>
        <w:pStyle w:val="indexentry0"/>
      </w:pPr>
      <w:hyperlink w:anchor="section_e0c10da50878451da411270f6f96ef6e">
        <w:r>
          <w:rPr>
            <w:rStyle w:val="Hyperlink"/>
          </w:rPr>
          <w:t>DISC</w:t>
        </w:r>
      </w:hyperlink>
      <w:r>
        <w:t xml:space="preserve"> </w:t>
      </w:r>
      <w:r>
        <w:fldChar w:fldCharType="begin"/>
      </w:r>
      <w:r>
        <w:instrText>PAGEREF section_e0c10da50878451da411270f6f96ef6e</w:instrText>
      </w:r>
      <w:r>
        <w:fldChar w:fldCharType="separate"/>
      </w:r>
      <w:r>
        <w:rPr>
          <w:noProof/>
        </w:rPr>
        <w:t>416</w:t>
      </w:r>
      <w:r>
        <w:fldChar w:fldCharType="end"/>
      </w:r>
    </w:p>
    <w:p w:rsidR="00024C0A" w:rsidRDefault="00694C0F">
      <w:pPr>
        <w:pStyle w:val="indexentry0"/>
      </w:pPr>
      <w:hyperlink w:anchor="section_9cd9d70220324faa8243174a28700755">
        <w:r>
          <w:rPr>
            <w:rStyle w:val="Hyperlink"/>
          </w:rPr>
          <w:t>discretePr (Discrete Grouping Properties)</w:t>
        </w:r>
      </w:hyperlink>
      <w:r>
        <w:t xml:space="preserve"> </w:t>
      </w:r>
      <w:r>
        <w:fldChar w:fldCharType="begin"/>
      </w:r>
      <w:r>
        <w:instrText>PAGEREF section_9cd9d70220324faa82431</w:instrText>
      </w:r>
      <w:r>
        <w:instrText>74a28700755</w:instrText>
      </w:r>
      <w:r>
        <w:fldChar w:fldCharType="separate"/>
      </w:r>
      <w:r>
        <w:rPr>
          <w:noProof/>
        </w:rPr>
        <w:t>332</w:t>
      </w:r>
      <w:r>
        <w:fldChar w:fldCharType="end"/>
      </w:r>
    </w:p>
    <w:p w:rsidR="00024C0A" w:rsidRDefault="00694C0F">
      <w:pPr>
        <w:pStyle w:val="indexentry0"/>
      </w:pPr>
      <w:hyperlink w:anchor="section_1942c0283c4e4dd9a379b12a9b7914df">
        <w:r>
          <w:rPr>
            <w:rStyle w:val="Hyperlink"/>
          </w:rPr>
          <w:t>dispBlanksAs (Display Blanks As)</w:t>
        </w:r>
      </w:hyperlink>
      <w:r>
        <w:t xml:space="preserve"> </w:t>
      </w:r>
      <w:r>
        <w:fldChar w:fldCharType="begin"/>
      </w:r>
      <w:r>
        <w:instrText>PAGEREF section_1942c0283c4e4dd9a379b12a9b7914df</w:instrText>
      </w:r>
      <w:r>
        <w:fldChar w:fldCharType="separate"/>
      </w:r>
      <w:r>
        <w:rPr>
          <w:noProof/>
        </w:rPr>
        <w:t>544</w:t>
      </w:r>
      <w:r>
        <w:fldChar w:fldCharType="end"/>
      </w:r>
    </w:p>
    <w:p w:rsidR="00024C0A" w:rsidRDefault="00694C0F">
      <w:pPr>
        <w:pStyle w:val="indexentry0"/>
      </w:pPr>
      <w:hyperlink w:anchor="section_3fdde0be3b4d443db3821e648d7219c4">
        <w:r>
          <w:rPr>
            <w:rStyle w:val="Hyperlink"/>
          </w:rPr>
          <w:t>dispDef (Use Display Math Defaul</w:t>
        </w:r>
        <w:r>
          <w:rPr>
            <w:rStyle w:val="Hyperlink"/>
          </w:rPr>
          <w:t>ts)</w:t>
        </w:r>
      </w:hyperlink>
      <w:r>
        <w:t xml:space="preserve"> </w:t>
      </w:r>
      <w:r>
        <w:fldChar w:fldCharType="begin"/>
      </w:r>
      <w:r>
        <w:instrText>PAGEREF section_3fdde0be3b4d443db3821e648d7219c4</w:instrText>
      </w:r>
      <w:r>
        <w:fldChar w:fldCharType="separate"/>
      </w:r>
      <w:r>
        <w:rPr>
          <w:noProof/>
        </w:rPr>
        <w:t>593</w:t>
      </w:r>
      <w:r>
        <w:fldChar w:fldCharType="end"/>
      </w:r>
    </w:p>
    <w:p w:rsidR="00024C0A" w:rsidRDefault="00694C0F">
      <w:pPr>
        <w:pStyle w:val="indexentry0"/>
      </w:pPr>
      <w:hyperlink w:anchor="section_a025f35c26614dd18afdcc79c9784163">
        <w:r>
          <w:rPr>
            <w:rStyle w:val="Hyperlink"/>
          </w:rPr>
          <w:t>dispEq (Display Equation)</w:t>
        </w:r>
      </w:hyperlink>
      <w:r>
        <w:t xml:space="preserve"> </w:t>
      </w:r>
      <w:r>
        <w:fldChar w:fldCharType="begin"/>
      </w:r>
      <w:r>
        <w:instrText>PAGEREF section_a025f35c26614dd18afdcc79c9784163</w:instrText>
      </w:r>
      <w:r>
        <w:fldChar w:fldCharType="separate"/>
      </w:r>
      <w:r>
        <w:rPr>
          <w:noProof/>
        </w:rPr>
        <w:t>545</w:t>
      </w:r>
      <w:r>
        <w:fldChar w:fldCharType="end"/>
      </w:r>
    </w:p>
    <w:p w:rsidR="00024C0A" w:rsidRDefault="00694C0F">
      <w:pPr>
        <w:pStyle w:val="indexentry0"/>
      </w:pPr>
      <w:hyperlink w:anchor="section_cbc893c09683416d84c6407a92451c19">
        <w:r>
          <w:rPr>
            <w:rStyle w:val="Hyperlink"/>
          </w:rPr>
          <w:t>DISPLAYBARCODE</w:t>
        </w:r>
      </w:hyperlink>
      <w:r>
        <w:t xml:space="preserve"> </w:t>
      </w:r>
      <w:r>
        <w:fldChar w:fldCharType="begin"/>
      </w:r>
      <w:r>
        <w:instrText>PAGEREF section_cbc893c09683416d84c6407a92451c19</w:instrText>
      </w:r>
      <w:r>
        <w:fldChar w:fldCharType="separate"/>
      </w:r>
      <w:r>
        <w:rPr>
          <w:noProof/>
        </w:rPr>
        <w:t>813</w:t>
      </w:r>
      <w:r>
        <w:fldChar w:fldCharType="end"/>
      </w:r>
    </w:p>
    <w:p w:rsidR="00024C0A" w:rsidRDefault="00694C0F">
      <w:pPr>
        <w:pStyle w:val="indexentry0"/>
      </w:pPr>
      <w:hyperlink w:anchor="section_3556936a408d4c088893a61fd0754f5c">
        <w:r>
          <w:rPr>
            <w:rStyle w:val="Hyperlink"/>
          </w:rPr>
          <w:t>displayHorizontalDrawingGridEvery (Distance between Horizontal Gridlines)</w:t>
        </w:r>
      </w:hyperlink>
      <w:r>
        <w:t xml:space="preserve"> </w:t>
      </w:r>
      <w:r>
        <w:fldChar w:fldCharType="begin"/>
      </w:r>
      <w:r>
        <w:instrText>PAGEREF section_3556936a408d4c088893a61fd0754f5c</w:instrText>
      </w:r>
      <w:r>
        <w:fldChar w:fldCharType="separate"/>
      </w:r>
      <w:r>
        <w:rPr>
          <w:noProof/>
        </w:rPr>
        <w:t>151</w:t>
      </w:r>
      <w:r>
        <w:fldChar w:fldCharType="end"/>
      </w:r>
    </w:p>
    <w:p w:rsidR="00024C0A" w:rsidRDefault="00694C0F">
      <w:pPr>
        <w:pStyle w:val="indexentry0"/>
      </w:pPr>
      <w:hyperlink w:anchor="section_73f2c4bc60754f1fa1f308a250abbdba">
        <w:r>
          <w:rPr>
            <w:rStyle w:val="Hyperlink"/>
          </w:rPr>
          <w:t>displayVerticalDrawingGridEvery (Distance between Vertical Gridlines)</w:t>
        </w:r>
      </w:hyperlink>
      <w:r>
        <w:t xml:space="preserve"> </w:t>
      </w:r>
      <w:r>
        <w:fldChar w:fldCharType="begin"/>
      </w:r>
      <w:r>
        <w:instrText>PAGEREF section_73f2c4bc60754f1fa1f308a250abbdba</w:instrText>
      </w:r>
      <w:r>
        <w:fldChar w:fldCharType="separate"/>
      </w:r>
      <w:r>
        <w:rPr>
          <w:noProof/>
        </w:rPr>
        <w:t>151</w:t>
      </w:r>
      <w:r>
        <w:fldChar w:fldCharType="end"/>
      </w:r>
    </w:p>
    <w:p w:rsidR="00024C0A" w:rsidRDefault="00694C0F">
      <w:pPr>
        <w:pStyle w:val="indexentry0"/>
      </w:pPr>
      <w:hyperlink w:anchor="section_e70f0d892989462194257749106adbe1">
        <w:r>
          <w:rPr>
            <w:rStyle w:val="Hyperlink"/>
          </w:rPr>
          <w:t>dispRSqr (Display R Squared Value)</w:t>
        </w:r>
      </w:hyperlink>
      <w:r>
        <w:t xml:space="preserve"> </w:t>
      </w:r>
      <w:r>
        <w:fldChar w:fldCharType="begin"/>
      </w:r>
      <w:r>
        <w:instrText>PAGEREF section_e70f0d892989462194257749106adbe1</w:instrText>
      </w:r>
      <w:r>
        <w:fldChar w:fldCharType="separate"/>
      </w:r>
      <w:r>
        <w:rPr>
          <w:noProof/>
        </w:rPr>
        <w:t>546</w:t>
      </w:r>
      <w:r>
        <w:fldChar w:fldCharType="end"/>
      </w:r>
    </w:p>
    <w:p w:rsidR="00024C0A" w:rsidRDefault="00694C0F">
      <w:pPr>
        <w:pStyle w:val="indexentry0"/>
      </w:pPr>
      <w:hyperlink w:anchor="section_2740ab5f3c2b41ef954aff6f642e140f">
        <w:r>
          <w:rPr>
            <w:rStyle w:val="Hyperlink"/>
          </w:rPr>
          <w:t>div (Information About Single HTML div Element)</w:t>
        </w:r>
      </w:hyperlink>
      <w:r>
        <w:t xml:space="preserve"> </w:t>
      </w:r>
      <w:r>
        <w:fldChar w:fldCharType="begin"/>
      </w:r>
      <w:r>
        <w:instrText>PAGEREF sectio</w:instrText>
      </w:r>
      <w:r>
        <w:instrText>n_2740ab5f3c2b41ef954aff6f642e140f</w:instrText>
      </w:r>
      <w:r>
        <w:fldChar w:fldCharType="separate"/>
      </w:r>
      <w:r>
        <w:rPr>
          <w:noProof/>
        </w:rPr>
        <w:t>161</w:t>
      </w:r>
      <w:r>
        <w:fldChar w:fldCharType="end"/>
      </w:r>
    </w:p>
    <w:p w:rsidR="00024C0A" w:rsidRDefault="00694C0F">
      <w:pPr>
        <w:pStyle w:val="indexentry0"/>
      </w:pPr>
      <w:r>
        <w:t>divId (Associated HTML div ID) (</w:t>
      </w:r>
      <w:hyperlink w:anchor="section_5ff84bc9d5b747c7bcd53bebf540efb0">
        <w:r>
          <w:rPr>
            <w:rStyle w:val="Hyperlink"/>
          </w:rPr>
          <w:t>section 2.1.42</w:t>
        </w:r>
      </w:hyperlink>
      <w:r>
        <w:t xml:space="preserve"> </w:t>
      </w:r>
      <w:r>
        <w:fldChar w:fldCharType="begin"/>
      </w:r>
      <w:r>
        <w:instrText>PAGEREF section_5ff84bc9d5b747c7bcd53bebf540efb0</w:instrText>
      </w:r>
      <w:r>
        <w:fldChar w:fldCharType="separate"/>
      </w:r>
      <w:r>
        <w:rPr>
          <w:noProof/>
        </w:rPr>
        <w:t>63</w:t>
      </w:r>
      <w:r>
        <w:fldChar w:fldCharType="end"/>
      </w:r>
      <w:r>
        <w:t xml:space="preserve">, </w:t>
      </w:r>
      <w:hyperlink w:anchor="section_818e7ab5d66642ad8111cd3898c6d53b">
        <w:r>
          <w:rPr>
            <w:rStyle w:val="Hyperlink"/>
          </w:rPr>
          <w:t>section 2.1.123</w:t>
        </w:r>
      </w:hyperlink>
      <w:r>
        <w:t xml:space="preserve"> </w:t>
      </w:r>
      <w:r>
        <w:fldChar w:fldCharType="begin"/>
      </w:r>
      <w:r>
        <w:instrText>PAGEREF section_818e7ab5d66642ad8111cd3898c6d53b</w:instrText>
      </w:r>
      <w:r>
        <w:fldChar w:fldCharType="separate"/>
      </w:r>
      <w:r>
        <w:rPr>
          <w:noProof/>
        </w:rPr>
        <w:t>82</w:t>
      </w:r>
      <w:r>
        <w:fldChar w:fldCharType="end"/>
      </w:r>
      <w:r>
        <w:t>)</w:t>
      </w:r>
    </w:p>
    <w:p w:rsidR="00024C0A" w:rsidRDefault="00694C0F">
      <w:pPr>
        <w:pStyle w:val="indexentry0"/>
      </w:pPr>
      <w:hyperlink w:anchor="section_0efe93f6a9914b0285c5bba4619e7d25">
        <w:r>
          <w:rPr>
            <w:rStyle w:val="Hyperlink"/>
          </w:rPr>
          <w:t>dk1 (Dark 1)</w:t>
        </w:r>
      </w:hyperlink>
      <w:r>
        <w:t xml:space="preserve"> </w:t>
      </w:r>
      <w:r>
        <w:fldChar w:fldCharType="begin"/>
      </w:r>
      <w:r>
        <w:instrText>PAGEREF section_0efe93f6a9914b0285c5bba4619e7d25</w:instrText>
      </w:r>
      <w:r>
        <w:fldChar w:fldCharType="separate"/>
      </w:r>
      <w:r>
        <w:rPr>
          <w:noProof/>
        </w:rPr>
        <w:t>504</w:t>
      </w:r>
      <w:r>
        <w:fldChar w:fldCharType="end"/>
      </w:r>
    </w:p>
    <w:p w:rsidR="00024C0A" w:rsidRDefault="00694C0F">
      <w:pPr>
        <w:pStyle w:val="indexentry0"/>
      </w:pPr>
      <w:hyperlink w:anchor="section_46c7a3ca42274b368bef211aa750ef6e">
        <w:r>
          <w:rPr>
            <w:rStyle w:val="Hyperlink"/>
          </w:rPr>
          <w:t>dk2 (Dark 2)</w:t>
        </w:r>
      </w:hyperlink>
      <w:r>
        <w:t xml:space="preserve"> </w:t>
      </w:r>
      <w:r>
        <w:fldChar w:fldCharType="begin"/>
      </w:r>
      <w:r>
        <w:instrText>PAGEREF section_46c7a3ca42274b368bef211aa750ef6e</w:instrText>
      </w:r>
      <w:r>
        <w:fldChar w:fldCharType="separate"/>
      </w:r>
      <w:r>
        <w:rPr>
          <w:noProof/>
        </w:rPr>
        <w:t>504</w:t>
      </w:r>
      <w:r>
        <w:fldChar w:fldCharType="end"/>
      </w:r>
    </w:p>
    <w:p w:rsidR="00024C0A" w:rsidRDefault="00694C0F">
      <w:pPr>
        <w:pStyle w:val="indexentry0"/>
      </w:pPr>
      <w:hyperlink w:anchor="section_f4264e4b7a40405da32ce804b2fcaac3">
        <w:r>
          <w:rPr>
            <w:rStyle w:val="Hyperlink"/>
          </w:rPr>
          <w:t>dLbl (Data Label)</w:t>
        </w:r>
      </w:hyperlink>
      <w:r>
        <w:t xml:space="preserve"> </w:t>
      </w:r>
      <w:r>
        <w:fldChar w:fldCharType="begin"/>
      </w:r>
      <w:r>
        <w:instrText>PAGEREF section_f4264e4b7a40405da32ce804b2fcaac3</w:instrText>
      </w:r>
      <w:r>
        <w:fldChar w:fldCharType="separate"/>
      </w:r>
      <w:r>
        <w:rPr>
          <w:noProof/>
        </w:rPr>
        <w:t>546</w:t>
      </w:r>
      <w:r>
        <w:fldChar w:fldCharType="end"/>
      </w:r>
    </w:p>
    <w:p w:rsidR="00024C0A" w:rsidRDefault="00694C0F">
      <w:pPr>
        <w:pStyle w:val="indexentry0"/>
      </w:pPr>
      <w:hyperlink w:anchor="section_e2b1697c7adc463d90813daef72f656f">
        <w:r>
          <w:rPr>
            <w:rStyle w:val="Hyperlink"/>
          </w:rPr>
          <w:t>dLblPos (Data Label Position)</w:t>
        </w:r>
      </w:hyperlink>
      <w:r>
        <w:t xml:space="preserve"> </w:t>
      </w:r>
      <w:r>
        <w:fldChar w:fldCharType="begin"/>
      </w:r>
      <w:r>
        <w:instrText>PAGEREF section_e2b1697c7adc463d90813daef72f656f</w:instrText>
      </w:r>
      <w:r>
        <w:fldChar w:fldCharType="separate"/>
      </w:r>
      <w:r>
        <w:rPr>
          <w:noProof/>
        </w:rPr>
        <w:t>546</w:t>
      </w:r>
      <w:r>
        <w:fldChar w:fldCharType="end"/>
      </w:r>
    </w:p>
    <w:p w:rsidR="00024C0A" w:rsidRDefault="00694C0F">
      <w:pPr>
        <w:pStyle w:val="indexentry0"/>
      </w:pPr>
      <w:hyperlink w:anchor="section_953e587980084d14a8bcfbe39d848e0a">
        <w:r>
          <w:rPr>
            <w:rStyle w:val="Hyperlink"/>
          </w:rPr>
          <w:t>dLbls (Data Labels)</w:t>
        </w:r>
      </w:hyperlink>
      <w:r>
        <w:t xml:space="preserve"> </w:t>
      </w:r>
      <w:r>
        <w:fldChar w:fldCharType="begin"/>
      </w:r>
      <w:r>
        <w:instrText>PAGEREF section_953e587980084d14a8bcfbe39d848e0a</w:instrText>
      </w:r>
      <w:r>
        <w:fldChar w:fldCharType="separate"/>
      </w:r>
      <w:r>
        <w:rPr>
          <w:noProof/>
        </w:rPr>
        <w:t>547</w:t>
      </w:r>
      <w:r>
        <w:fldChar w:fldCharType="end"/>
      </w:r>
    </w:p>
    <w:p w:rsidR="00024C0A" w:rsidRDefault="00694C0F">
      <w:pPr>
        <w:pStyle w:val="indexentry0"/>
      </w:pPr>
      <w:hyperlink w:anchor="section_aa3e1f3eb51c4330af60fdcf8e8f943c">
        <w:r>
          <w:rPr>
            <w:rStyle w:val="Hyperlink"/>
          </w:rPr>
          <w:t>DMAX</w:t>
        </w:r>
      </w:hyperlink>
      <w:r>
        <w:t xml:space="preserve"> </w:t>
      </w:r>
      <w:r>
        <w:fldChar w:fldCharType="begin"/>
      </w:r>
      <w:r>
        <w:instrText>PAGEREF section_aa3e1f3eb51c4330af60fdcf8e8f943c</w:instrText>
      </w:r>
      <w:r>
        <w:fldChar w:fldCharType="separate"/>
      </w:r>
      <w:r>
        <w:rPr>
          <w:noProof/>
        </w:rPr>
        <w:t>417</w:t>
      </w:r>
      <w:r>
        <w:fldChar w:fldCharType="end"/>
      </w:r>
    </w:p>
    <w:p w:rsidR="00024C0A" w:rsidRDefault="00694C0F">
      <w:pPr>
        <w:pStyle w:val="indexentry0"/>
      </w:pPr>
      <w:hyperlink w:anchor="section_24c5d4171ace4d9fafce3baa0a6bde27">
        <w:r>
          <w:rPr>
            <w:rStyle w:val="Hyperlink"/>
          </w:rPr>
          <w:t>DMIN</w:t>
        </w:r>
      </w:hyperlink>
      <w:r>
        <w:t xml:space="preserve"> </w:t>
      </w:r>
      <w:r>
        <w:fldChar w:fldCharType="begin"/>
      </w:r>
      <w:r>
        <w:instrText>PAGEREF section_24c5d4171ace4d9fafce3baa0a6bde27</w:instrText>
      </w:r>
      <w:r>
        <w:fldChar w:fldCharType="separate"/>
      </w:r>
      <w:r>
        <w:rPr>
          <w:noProof/>
        </w:rPr>
        <w:t>417</w:t>
      </w:r>
      <w:r>
        <w:fldChar w:fldCharType="end"/>
      </w:r>
    </w:p>
    <w:p w:rsidR="00024C0A" w:rsidRDefault="00694C0F">
      <w:pPr>
        <w:pStyle w:val="indexentry0"/>
      </w:pPr>
      <w:hyperlink w:anchor="section_3a5e135e0986496c90a772bf5238d43d">
        <w:r>
          <w:rPr>
            <w:rStyle w:val="Hyperlink"/>
          </w:rPr>
          <w:t>docPart (Document Part Reference)</w:t>
        </w:r>
      </w:hyperlink>
      <w:r>
        <w:t xml:space="preserve"> </w:t>
      </w:r>
      <w:r>
        <w:fldChar w:fldCharType="begin"/>
      </w:r>
      <w:r>
        <w:instrText>PAGEREF section_3a5e135e0986496c90a772bf5238d43d</w:instrText>
      </w:r>
      <w:r>
        <w:fldChar w:fldCharType="separate"/>
      </w:r>
      <w:r>
        <w:rPr>
          <w:noProof/>
        </w:rPr>
        <w:t>97</w:t>
      </w:r>
      <w:r>
        <w:fldChar w:fldCharType="end"/>
      </w:r>
    </w:p>
    <w:p w:rsidR="00024C0A" w:rsidRDefault="00694C0F">
      <w:pPr>
        <w:pStyle w:val="indexentry0"/>
      </w:pPr>
      <w:hyperlink w:anchor="section_120023b2ce194bc79f3d619ff7e1d81e">
        <w:r>
          <w:rPr>
            <w:rStyle w:val="Hyperlink"/>
          </w:rPr>
          <w:t>docPartBody (Contents of Glossary Document Entry)</w:t>
        </w:r>
      </w:hyperlink>
      <w:r>
        <w:t xml:space="preserve"> </w:t>
      </w:r>
      <w:r>
        <w:fldChar w:fldCharType="begin"/>
      </w:r>
      <w:r>
        <w:instrText>PAGEREF se</w:instrText>
      </w:r>
      <w:r>
        <w:instrText>ction_120023b2ce194bc79f3d619ff7e1d81e</w:instrText>
      </w:r>
      <w:r>
        <w:fldChar w:fldCharType="separate"/>
      </w:r>
      <w:r>
        <w:rPr>
          <w:noProof/>
        </w:rPr>
        <w:t>129</w:t>
      </w:r>
      <w:r>
        <w:fldChar w:fldCharType="end"/>
      </w:r>
    </w:p>
    <w:p w:rsidR="00024C0A" w:rsidRDefault="00694C0F">
      <w:pPr>
        <w:pStyle w:val="indexentry0"/>
      </w:pPr>
      <w:hyperlink w:anchor="section_c6dde08d044443058e44c23a0a66aab0">
        <w:r>
          <w:rPr>
            <w:rStyle w:val="Hyperlink"/>
          </w:rPr>
          <w:t>docPartPr (Glossary Document Entry Properties)</w:t>
        </w:r>
      </w:hyperlink>
      <w:r>
        <w:t xml:space="preserve"> </w:t>
      </w:r>
      <w:r>
        <w:fldChar w:fldCharType="begin"/>
      </w:r>
      <w:r>
        <w:instrText>PAGEREF section_c6dde08d044443058e44c23a0a66aab0</w:instrText>
      </w:r>
      <w:r>
        <w:fldChar w:fldCharType="separate"/>
      </w:r>
      <w:r>
        <w:rPr>
          <w:noProof/>
        </w:rPr>
        <w:t>129</w:t>
      </w:r>
      <w:r>
        <w:fldChar w:fldCharType="end"/>
      </w:r>
    </w:p>
    <w:p w:rsidR="00024C0A" w:rsidRDefault="00694C0F">
      <w:pPr>
        <w:pStyle w:val="indexentry0"/>
      </w:pPr>
      <w:hyperlink w:anchor="section_14fb7c6771444eb1baab7076dfd03d90">
        <w:r>
          <w:rPr>
            <w:rStyle w:val="Hyperlink"/>
          </w:rPr>
          <w:t>docParts (List of Glossary Document Entries)</w:t>
        </w:r>
      </w:hyperlink>
      <w:r>
        <w:t xml:space="preserve"> </w:t>
      </w:r>
      <w:r>
        <w:fldChar w:fldCharType="begin"/>
      </w:r>
      <w:r>
        <w:instrText>PAGEREF section_14fb7c6771444eb1baab7076dfd03d90</w:instrText>
      </w:r>
      <w:r>
        <w:fldChar w:fldCharType="separate"/>
      </w:r>
      <w:r>
        <w:rPr>
          <w:noProof/>
        </w:rPr>
        <w:t>129</w:t>
      </w:r>
      <w:r>
        <w:fldChar w:fldCharType="end"/>
      </w:r>
    </w:p>
    <w:p w:rsidR="00024C0A" w:rsidRDefault="00694C0F">
      <w:pPr>
        <w:pStyle w:val="indexentry0"/>
      </w:pPr>
      <w:hyperlink w:anchor="section_e7d7aeab16eb4963933839953b8fee37">
        <w:r>
          <w:rPr>
            <w:rStyle w:val="Hyperlink"/>
          </w:rPr>
          <w:t>docPr (Drawing Object Non-Visual Properties)</w:t>
        </w:r>
      </w:hyperlink>
      <w:r>
        <w:t xml:space="preserve"> </w:t>
      </w:r>
      <w:r>
        <w:fldChar w:fldCharType="begin"/>
      </w:r>
      <w:r>
        <w:instrText>PAGEREF section_e7d7aeab16eb496393383995</w:instrText>
      </w:r>
      <w:r>
        <w:instrText>3b8fee37</w:instrText>
      </w:r>
      <w:r>
        <w:fldChar w:fldCharType="separate"/>
      </w:r>
      <w:r>
        <w:rPr>
          <w:noProof/>
        </w:rPr>
        <w:t>521</w:t>
      </w:r>
      <w:r>
        <w:fldChar w:fldCharType="end"/>
      </w:r>
    </w:p>
    <w:p w:rsidR="00024C0A" w:rsidRDefault="00694C0F">
      <w:pPr>
        <w:pStyle w:val="indexentry0"/>
      </w:pPr>
      <w:hyperlink w:anchor="section_e4275abe6a7542c2b2f0eb8f9f7cbe2c">
        <w:r>
          <w:rPr>
            <w:rStyle w:val="Hyperlink"/>
          </w:rPr>
          <w:t>DOCPROPERTY</w:t>
        </w:r>
      </w:hyperlink>
      <w:r>
        <w:t xml:space="preserve"> </w:t>
      </w:r>
      <w:r>
        <w:fldChar w:fldCharType="begin"/>
      </w:r>
      <w:r>
        <w:instrText>PAGEREF section_e4275abe6a7542c2b2f0eb8f9f7cbe2c</w:instrText>
      </w:r>
      <w:r>
        <w:fldChar w:fldCharType="separate"/>
      </w:r>
      <w:r>
        <w:rPr>
          <w:noProof/>
        </w:rPr>
        <w:t>213</w:t>
      </w:r>
      <w:r>
        <w:fldChar w:fldCharType="end"/>
      </w:r>
    </w:p>
    <w:p w:rsidR="00024C0A" w:rsidRDefault="00694C0F">
      <w:pPr>
        <w:pStyle w:val="indexentry0"/>
      </w:pPr>
      <w:hyperlink w:anchor="section_f0f1a882555d4c3db7514fe6cd1011af">
        <w:r>
          <w:rPr>
            <w:rStyle w:val="Hyperlink"/>
          </w:rPr>
          <w:t>DocSecurity (Document Security)</w:t>
        </w:r>
      </w:hyperlink>
      <w:r>
        <w:t xml:space="preserve"> </w:t>
      </w:r>
      <w:r>
        <w:fldChar w:fldCharType="begin"/>
      </w:r>
      <w:r>
        <w:instrText>PAGEREF section_f0f1a882555d4c3db7514fe6cd1011af</w:instrText>
      </w:r>
      <w:r>
        <w:fldChar w:fldCharType="separate"/>
      </w:r>
      <w:r>
        <w:rPr>
          <w:noProof/>
        </w:rPr>
        <w:t>603</w:t>
      </w:r>
      <w:r>
        <w:fldChar w:fldCharType="end"/>
      </w:r>
    </w:p>
    <w:p w:rsidR="00024C0A" w:rsidRDefault="00694C0F">
      <w:pPr>
        <w:pStyle w:val="indexentry0"/>
      </w:pPr>
      <w:hyperlink w:anchor="section_1a464df4e60c4d648582d2d29478a887">
        <w:r>
          <w:rPr>
            <w:rStyle w:val="Hyperlink"/>
          </w:rPr>
          <w:t>document (Document)</w:t>
        </w:r>
      </w:hyperlink>
      <w:r>
        <w:t xml:space="preserve"> </w:t>
      </w:r>
      <w:r>
        <w:fldChar w:fldCharType="begin"/>
      </w:r>
      <w:r>
        <w:instrText>PAGEREF section_1a464df4e60c4d648582d2d29478a887</w:instrText>
      </w:r>
      <w:r>
        <w:fldChar w:fldCharType="separate"/>
      </w:r>
      <w:r>
        <w:rPr>
          <w:noProof/>
        </w:rPr>
        <w:t>62</w:t>
      </w:r>
      <w:r>
        <w:fldChar w:fldCharType="end"/>
      </w:r>
    </w:p>
    <w:p w:rsidR="00024C0A" w:rsidRDefault="00694C0F">
      <w:pPr>
        <w:pStyle w:val="indexentry0"/>
      </w:pPr>
      <w:hyperlink w:anchor="section_e12d2773e2d045bfb1c2b8f0548e156d">
        <w:r>
          <w:rPr>
            <w:rStyle w:val="Hyperlink"/>
          </w:rPr>
          <w:t>documentProtection (Document Editing Restrictions)</w:t>
        </w:r>
      </w:hyperlink>
      <w:r>
        <w:t xml:space="preserve"> </w:t>
      </w:r>
      <w:r>
        <w:fldChar w:fldCharType="begin"/>
      </w:r>
      <w:r>
        <w:instrText>PAGEREF section_e12d2773e2d045bfb1c2b8f0548e156d</w:instrText>
      </w:r>
      <w:r>
        <w:fldChar w:fldCharType="separate"/>
      </w:r>
      <w:r>
        <w:rPr>
          <w:noProof/>
        </w:rPr>
        <w:t>151</w:t>
      </w:r>
      <w:r>
        <w:fldChar w:fldCharType="end"/>
      </w:r>
    </w:p>
    <w:p w:rsidR="00024C0A" w:rsidRDefault="00694C0F">
      <w:pPr>
        <w:pStyle w:val="indexentry0"/>
      </w:pPr>
      <w:hyperlink w:anchor="section_db557c47a6d844cba1d1e00b81720be2">
        <w:r>
          <w:rPr>
            <w:rStyle w:val="Hyperlink"/>
          </w:rPr>
          <w:t>docVar (Single Document Variable)</w:t>
        </w:r>
      </w:hyperlink>
      <w:r>
        <w:t xml:space="preserve"> </w:t>
      </w:r>
      <w:r>
        <w:fldChar w:fldCharType="begin"/>
      </w:r>
      <w:r>
        <w:instrText>PAGEREF section_db557c47a6d844cba1d1e00b81720be2</w:instrText>
      </w:r>
      <w:r>
        <w:fldChar w:fldCharType="separate"/>
      </w:r>
      <w:r>
        <w:rPr>
          <w:noProof/>
        </w:rPr>
        <w:t>153</w:t>
      </w:r>
      <w:r>
        <w:fldChar w:fldCharType="end"/>
      </w:r>
    </w:p>
    <w:p w:rsidR="00024C0A" w:rsidRDefault="00694C0F">
      <w:pPr>
        <w:pStyle w:val="indexentry0"/>
      </w:pPr>
      <w:hyperlink w:anchor="section_8c4980c3abb244b887910b5b00c8546a">
        <w:r>
          <w:rPr>
            <w:rStyle w:val="Hyperlink"/>
          </w:rPr>
          <w:t>DOLLAR</w:t>
        </w:r>
      </w:hyperlink>
      <w:r>
        <w:t xml:space="preserve"> </w:t>
      </w:r>
      <w:r>
        <w:fldChar w:fldCharType="begin"/>
      </w:r>
      <w:r>
        <w:instrText>PAGEREF section_8c4980c3abb244b887910b5b00c8546a</w:instrText>
      </w:r>
      <w:r>
        <w:fldChar w:fldCharType="separate"/>
      </w:r>
      <w:r>
        <w:rPr>
          <w:noProof/>
        </w:rPr>
        <w:t>418</w:t>
      </w:r>
      <w:r>
        <w:fldChar w:fldCharType="end"/>
      </w:r>
    </w:p>
    <w:p w:rsidR="00024C0A" w:rsidRDefault="00694C0F">
      <w:pPr>
        <w:pStyle w:val="indexentry0"/>
      </w:pPr>
      <w:hyperlink w:anchor="section_9db144490d4049699ce7de5c45e6f786">
        <w:r>
          <w:rPr>
            <w:rStyle w:val="Hyperlink"/>
          </w:rPr>
          <w:t>DOLLARDE</w:t>
        </w:r>
      </w:hyperlink>
      <w:r>
        <w:t xml:space="preserve"> </w:t>
      </w:r>
      <w:r>
        <w:fldChar w:fldCharType="begin"/>
      </w:r>
      <w:r>
        <w:instrText>PAGEREF section_9db144490d4049699ce7de5c45e6f786</w:instrText>
      </w:r>
      <w:r>
        <w:fldChar w:fldCharType="separate"/>
      </w:r>
      <w:r>
        <w:rPr>
          <w:noProof/>
        </w:rPr>
        <w:t>418</w:t>
      </w:r>
      <w:r>
        <w:fldChar w:fldCharType="end"/>
      </w:r>
    </w:p>
    <w:p w:rsidR="00024C0A" w:rsidRDefault="00694C0F">
      <w:pPr>
        <w:pStyle w:val="indexentry0"/>
      </w:pPr>
      <w:hyperlink w:anchor="section_ecddd7b509c9434a845ef520c6384747">
        <w:r>
          <w:rPr>
            <w:rStyle w:val="Hyperlink"/>
          </w:rPr>
          <w:t>DOLLARFR</w:t>
        </w:r>
      </w:hyperlink>
      <w:r>
        <w:t xml:space="preserve"> </w:t>
      </w:r>
      <w:r>
        <w:fldChar w:fldCharType="begin"/>
      </w:r>
      <w:r>
        <w:instrText>PAGEREF section_ecddd7b509c9434a845ef520c6384747</w:instrText>
      </w:r>
      <w:r>
        <w:fldChar w:fldCharType="separate"/>
      </w:r>
      <w:r>
        <w:rPr>
          <w:noProof/>
        </w:rPr>
        <w:t>418</w:t>
      </w:r>
      <w:r>
        <w:fldChar w:fldCharType="end"/>
      </w:r>
    </w:p>
    <w:p w:rsidR="00024C0A" w:rsidRDefault="00694C0F">
      <w:pPr>
        <w:pStyle w:val="indexentry0"/>
      </w:pPr>
      <w:hyperlink w:anchor="section_491140ac216d46eda8797b430b295e95">
        <w:r>
          <w:rPr>
            <w:rStyle w:val="Hyperlink"/>
          </w:rPr>
          <w:t>doNotAutofitConstrainedTables (Do Not AutoFit Tables To Fit Next To Wrapped Objects</w:t>
        </w:r>
        <w:r>
          <w:rPr>
            <w:rStyle w:val="Hyperlink"/>
          </w:rPr>
          <w:t>)</w:t>
        </w:r>
      </w:hyperlink>
      <w:r>
        <w:t xml:space="preserve"> </w:t>
      </w:r>
      <w:r>
        <w:fldChar w:fldCharType="begin"/>
      </w:r>
      <w:r>
        <w:instrText>PAGEREF section_491140ac216d46eda8797b430b295e95</w:instrText>
      </w:r>
      <w:r>
        <w:fldChar w:fldCharType="separate"/>
      </w:r>
      <w:r>
        <w:rPr>
          <w:noProof/>
        </w:rPr>
        <w:t>625</w:t>
      </w:r>
      <w:r>
        <w:fldChar w:fldCharType="end"/>
      </w:r>
    </w:p>
    <w:p w:rsidR="00024C0A" w:rsidRDefault="00694C0F">
      <w:pPr>
        <w:pStyle w:val="indexentry0"/>
      </w:pPr>
      <w:hyperlink w:anchor="section_ef7c006b0a794542aea8687f9a5275fc">
        <w:r>
          <w:rPr>
            <w:rStyle w:val="Hyperlink"/>
          </w:rPr>
          <w:t>doNotLeaveBackslashAlone (Display Backslash As Yen Sign)</w:t>
        </w:r>
      </w:hyperlink>
      <w:r>
        <w:t xml:space="preserve"> </w:t>
      </w:r>
      <w:r>
        <w:fldChar w:fldCharType="begin"/>
      </w:r>
      <w:r>
        <w:instrText>PAGEREF section_ef7c006b0a794542aea8687f9a5275fc</w:instrText>
      </w:r>
      <w:r>
        <w:fldChar w:fldCharType="separate"/>
      </w:r>
      <w:r>
        <w:rPr>
          <w:noProof/>
        </w:rPr>
        <w:t>164</w:t>
      </w:r>
      <w:r>
        <w:fldChar w:fldCharType="end"/>
      </w:r>
    </w:p>
    <w:p w:rsidR="00024C0A" w:rsidRDefault="00694C0F">
      <w:pPr>
        <w:pStyle w:val="indexentry0"/>
      </w:pPr>
      <w:hyperlink w:anchor="section_12c70bad8a3c48ab9451a184aa79471b">
        <w:r>
          <w:rPr>
            <w:rStyle w:val="Hyperlink"/>
          </w:rPr>
          <w:t>doNotOrganizeInFolder (Do Not Place Supporting Files in Subdirectory)</w:t>
        </w:r>
      </w:hyperlink>
      <w:r>
        <w:t xml:space="preserve"> </w:t>
      </w:r>
      <w:r>
        <w:fldChar w:fldCharType="begin"/>
      </w:r>
      <w:r>
        <w:instrText>PAGEREF section_12c70bad8a3c48ab9451a184aa79471b</w:instrText>
      </w:r>
      <w:r>
        <w:fldChar w:fldCharType="separate"/>
      </w:r>
      <w:r>
        <w:rPr>
          <w:noProof/>
        </w:rPr>
        <w:t>161</w:t>
      </w:r>
      <w:r>
        <w:fldChar w:fldCharType="end"/>
      </w:r>
    </w:p>
    <w:p w:rsidR="00024C0A" w:rsidRDefault="00694C0F">
      <w:pPr>
        <w:pStyle w:val="indexentry0"/>
      </w:pPr>
      <w:hyperlink w:anchor="section_e66cb7aa8ce74144a087a6cbae1d32e0">
        <w:r>
          <w:rPr>
            <w:rStyle w:val="Hyperlink"/>
          </w:rPr>
          <w:t xml:space="preserve">doNotSuppressBlankLines (Remove Blank </w:t>
        </w:r>
        <w:r>
          <w:rPr>
            <w:rStyle w:val="Hyperlink"/>
          </w:rPr>
          <w:t>Lines from Merged Documents)</w:t>
        </w:r>
      </w:hyperlink>
      <w:r>
        <w:t xml:space="preserve"> </w:t>
      </w:r>
      <w:r>
        <w:fldChar w:fldCharType="begin"/>
      </w:r>
      <w:r>
        <w:instrText>PAGEREF section_e66cb7aa8ce74144a087a6cbae1d32e0</w:instrText>
      </w:r>
      <w:r>
        <w:fldChar w:fldCharType="separate"/>
      </w:r>
      <w:r>
        <w:rPr>
          <w:noProof/>
        </w:rPr>
        <w:t>142</w:t>
      </w:r>
      <w:r>
        <w:fldChar w:fldCharType="end"/>
      </w:r>
    </w:p>
    <w:p w:rsidR="00024C0A" w:rsidRDefault="00694C0F">
      <w:pPr>
        <w:pStyle w:val="indexentry0"/>
      </w:pPr>
      <w:hyperlink w:anchor="section_22d6975fb6c24b2f95a821369e8deaa7">
        <w:r>
          <w:rPr>
            <w:rStyle w:val="Hyperlink"/>
          </w:rPr>
          <w:t>doNotSuppressParagraphBorders (Do Not Suppress Paragraph Borders Next To Frames)</w:t>
        </w:r>
      </w:hyperlink>
      <w:r>
        <w:t xml:space="preserve"> </w:t>
      </w:r>
      <w:r>
        <w:fldChar w:fldCharType="begin"/>
      </w:r>
      <w:r>
        <w:instrText>PAGEREF section_22d6975fb6c24b2f95a821369e8deaa7</w:instrText>
      </w:r>
      <w:r>
        <w:fldChar w:fldCharType="separate"/>
      </w:r>
      <w:r>
        <w:rPr>
          <w:noProof/>
        </w:rPr>
        <w:t>626</w:t>
      </w:r>
      <w:r>
        <w:fldChar w:fldCharType="end"/>
      </w:r>
    </w:p>
    <w:p w:rsidR="00024C0A" w:rsidRDefault="00694C0F">
      <w:pPr>
        <w:pStyle w:val="indexentry0"/>
      </w:pPr>
      <w:hyperlink w:anchor="section_54ee14414d034f27a278fdc84825d1a4">
        <w:r>
          <w:rPr>
            <w:rStyle w:val="Hyperlink"/>
          </w:rPr>
          <w:t>doNotUseMarginsForDrawingGridOrigin (Do Not Use Margins for Drawing Grid Origin)</w:t>
        </w:r>
      </w:hyperlink>
      <w:r>
        <w:t xml:space="preserve"> </w:t>
      </w:r>
      <w:r>
        <w:fldChar w:fldCharType="begin"/>
      </w:r>
      <w:r>
        <w:instrText>PAGEREF section_54ee14414d034f27a278fdc84825d1a4</w:instrText>
      </w:r>
      <w:r>
        <w:fldChar w:fldCharType="separate"/>
      </w:r>
      <w:r>
        <w:rPr>
          <w:noProof/>
        </w:rPr>
        <w:t>154</w:t>
      </w:r>
      <w:r>
        <w:fldChar w:fldCharType="end"/>
      </w:r>
    </w:p>
    <w:p w:rsidR="00024C0A" w:rsidRDefault="00694C0F">
      <w:pPr>
        <w:pStyle w:val="indexentry0"/>
      </w:pPr>
      <w:hyperlink w:anchor="section_715e20be5789467db9ec5a39ae8a307b">
        <w:r>
          <w:rPr>
            <w:rStyle w:val="Hyperlink"/>
          </w:rPr>
          <w:t>doughnutChart (Doughnut Charts)</w:t>
        </w:r>
      </w:hyperlink>
      <w:r>
        <w:t xml:space="preserve"> </w:t>
      </w:r>
      <w:r>
        <w:fldChar w:fldCharType="begin"/>
      </w:r>
      <w:r>
        <w:instrText>PAGEREF section_715e20be5789467db9ec5a39ae8a307b</w:instrText>
      </w:r>
      <w:r>
        <w:fldChar w:fldCharType="separate"/>
      </w:r>
      <w:r>
        <w:rPr>
          <w:noProof/>
        </w:rPr>
        <w:t>547</w:t>
      </w:r>
      <w:r>
        <w:fldChar w:fldCharType="end"/>
      </w:r>
    </w:p>
    <w:p w:rsidR="00024C0A" w:rsidRDefault="00694C0F">
      <w:pPr>
        <w:pStyle w:val="indexentry0"/>
      </w:pPr>
      <w:hyperlink w:anchor="section_36f807adabe04525a208004943cb6847">
        <w:r>
          <w:rPr>
            <w:rStyle w:val="Hyperlink"/>
          </w:rPr>
          <w:t>Downrev Storage</w:t>
        </w:r>
      </w:hyperlink>
      <w:r>
        <w:t xml:space="preserve"> </w:t>
      </w:r>
      <w:r>
        <w:fldChar w:fldCharType="begin"/>
      </w:r>
      <w:r>
        <w:instrText>PAGEREF section_36f807adabe04525a20800</w:instrText>
      </w:r>
      <w:r>
        <w:instrText>4943cb6847</w:instrText>
      </w:r>
      <w:r>
        <w:fldChar w:fldCharType="separate"/>
      </w:r>
      <w:r>
        <w:rPr>
          <w:noProof/>
        </w:rPr>
        <w:t>824</w:t>
      </w:r>
      <w:r>
        <w:fldChar w:fldCharType="end"/>
      </w:r>
    </w:p>
    <w:p w:rsidR="00024C0A" w:rsidRDefault="00694C0F">
      <w:pPr>
        <w:pStyle w:val="indexentry0"/>
      </w:pPr>
      <w:hyperlink w:anchor="section_28f2957da97840c8bc855a32ed0ae8e1">
        <w:r>
          <w:rPr>
            <w:rStyle w:val="Hyperlink"/>
          </w:rPr>
          <w:t>downRevStg (DownRev Storage)</w:t>
        </w:r>
      </w:hyperlink>
      <w:r>
        <w:t xml:space="preserve"> </w:t>
      </w:r>
      <w:r>
        <w:fldChar w:fldCharType="begin"/>
      </w:r>
      <w:r>
        <w:instrText>PAGEREF section_28f2957da97840c8bc855a32ed0ae8e1</w:instrText>
      </w:r>
      <w:r>
        <w:fldChar w:fldCharType="separate"/>
      </w:r>
      <w:r>
        <w:rPr>
          <w:noProof/>
        </w:rPr>
        <w:t>826</w:t>
      </w:r>
      <w:r>
        <w:fldChar w:fldCharType="end"/>
      </w:r>
    </w:p>
    <w:p w:rsidR="00024C0A" w:rsidRDefault="00694C0F">
      <w:pPr>
        <w:pStyle w:val="indexentry0"/>
      </w:pPr>
      <w:hyperlink w:anchor="section_10229973494b4cf4bcdbe6e1d4f7dff4">
        <w:r>
          <w:rPr>
            <w:rStyle w:val="Hyperlink"/>
          </w:rPr>
          <w:t>DPRODUCT</w:t>
        </w:r>
      </w:hyperlink>
      <w:r>
        <w:t xml:space="preserve"> </w:t>
      </w:r>
      <w:r>
        <w:fldChar w:fldCharType="begin"/>
      </w:r>
      <w:r>
        <w:instrText>PAGEREF section_1022997349</w:instrText>
      </w:r>
      <w:r>
        <w:instrText>4b4cf4bcdbe6e1d4f7dff4</w:instrText>
      </w:r>
      <w:r>
        <w:fldChar w:fldCharType="separate"/>
      </w:r>
      <w:r>
        <w:rPr>
          <w:noProof/>
        </w:rPr>
        <w:t>418</w:t>
      </w:r>
      <w:r>
        <w:fldChar w:fldCharType="end"/>
      </w:r>
    </w:p>
    <w:p w:rsidR="00024C0A" w:rsidRDefault="00694C0F">
      <w:pPr>
        <w:pStyle w:val="indexentry0"/>
      </w:pPr>
      <w:hyperlink w:anchor="section_efcc9c90877d48d4947f5194629db949">
        <w:r>
          <w:rPr>
            <w:rStyle w:val="Hyperlink"/>
          </w:rPr>
          <w:t>drawing (Drawing)</w:t>
        </w:r>
      </w:hyperlink>
      <w:r>
        <w:t xml:space="preserve"> </w:t>
      </w:r>
      <w:r>
        <w:fldChar w:fldCharType="begin"/>
      </w:r>
      <w:r>
        <w:instrText>PAGEREF section_efcc9c90877d48d4947f5194629db949</w:instrText>
      </w:r>
      <w:r>
        <w:fldChar w:fldCharType="separate"/>
      </w:r>
      <w:r>
        <w:rPr>
          <w:noProof/>
        </w:rPr>
        <w:t>257</w:t>
      </w:r>
      <w:r>
        <w:fldChar w:fldCharType="end"/>
      </w:r>
    </w:p>
    <w:p w:rsidR="00024C0A" w:rsidRDefault="00694C0F">
      <w:pPr>
        <w:pStyle w:val="indexentry0"/>
      </w:pPr>
      <w:hyperlink w:anchor="section_a1c3e0e5f5544b71b9cc950db18ec0f2">
        <w:r>
          <w:rPr>
            <w:rStyle w:val="Hyperlink"/>
          </w:rPr>
          <w:t>drawing (DrawingML Object)</w:t>
        </w:r>
      </w:hyperlink>
      <w:r>
        <w:t xml:space="preserve"> </w:t>
      </w:r>
      <w:r>
        <w:fldChar w:fldCharType="begin"/>
      </w:r>
      <w:r>
        <w:instrText>PAGEREF</w:instrText>
      </w:r>
      <w:r>
        <w:instrText xml:space="preserve"> section_a1c3e0e5f5544b71b9cc950db18ec0f2</w:instrText>
      </w:r>
      <w:r>
        <w:fldChar w:fldCharType="separate"/>
      </w:r>
      <w:r>
        <w:rPr>
          <w:noProof/>
        </w:rPr>
        <w:t>79</w:t>
      </w:r>
      <w:r>
        <w:fldChar w:fldCharType="end"/>
      </w:r>
    </w:p>
    <w:p w:rsidR="00024C0A" w:rsidRDefault="00694C0F">
      <w:pPr>
        <w:pStyle w:val="indexentry0"/>
      </w:pPr>
      <w:hyperlink w:anchor="section_8fb48b7d2afc4228bcebccf65ace2627">
        <w:r>
          <w:rPr>
            <w:rStyle w:val="Hyperlink"/>
          </w:rPr>
          <w:t>drawingGridHorizontalOrigin (Drawing Grid Horizontal Origin Point)</w:t>
        </w:r>
      </w:hyperlink>
      <w:r>
        <w:t xml:space="preserve"> </w:t>
      </w:r>
      <w:r>
        <w:fldChar w:fldCharType="begin"/>
      </w:r>
      <w:r>
        <w:instrText>PAGEREF section_8fb48b7d2afc4228bcebccf65ace2627</w:instrText>
      </w:r>
      <w:r>
        <w:fldChar w:fldCharType="separate"/>
      </w:r>
      <w:r>
        <w:rPr>
          <w:noProof/>
        </w:rPr>
        <w:t>154</w:t>
      </w:r>
      <w:r>
        <w:fldChar w:fldCharType="end"/>
      </w:r>
    </w:p>
    <w:p w:rsidR="00024C0A" w:rsidRDefault="00694C0F">
      <w:pPr>
        <w:pStyle w:val="indexentry0"/>
      </w:pPr>
      <w:hyperlink w:anchor="section_6f3978f5d2b14c05852f0a7002cb7e48">
        <w:r>
          <w:rPr>
            <w:rStyle w:val="Hyperlink"/>
          </w:rPr>
          <w:t>drawingGridVerticalOrigin (Drawing Grid Vertical Origin Point)</w:t>
        </w:r>
      </w:hyperlink>
      <w:r>
        <w:t xml:space="preserve"> </w:t>
      </w:r>
      <w:r>
        <w:fldChar w:fldCharType="begin"/>
      </w:r>
      <w:r>
        <w:instrText>PAGEREF section_6f3978f5d2b14c05852f0a7002cb7e48</w:instrText>
      </w:r>
      <w:r>
        <w:fldChar w:fldCharType="separate"/>
      </w:r>
      <w:r>
        <w:rPr>
          <w:noProof/>
        </w:rPr>
        <w:t>154</w:t>
      </w:r>
      <w:r>
        <w:fldChar w:fldCharType="end"/>
      </w:r>
    </w:p>
    <w:p w:rsidR="00024C0A" w:rsidRDefault="00694C0F">
      <w:pPr>
        <w:pStyle w:val="indexentry0"/>
      </w:pPr>
      <w:hyperlink w:anchor="section_654ae6202cb44d9caa31e2ae86f121fc">
        <w:r>
          <w:rPr>
            <w:rStyle w:val="Hyperlink"/>
          </w:rPr>
          <w:t>drawingHF (Drawing Reference in Header Footer)</w:t>
        </w:r>
      </w:hyperlink>
      <w:r>
        <w:t xml:space="preserve"> </w:t>
      </w:r>
      <w:r>
        <w:fldChar w:fldCharType="begin"/>
      </w:r>
      <w:r>
        <w:instrText>PAGEREF section_654ae6202cb44d9caa31e2ae86f121fc</w:instrText>
      </w:r>
      <w:r>
        <w:fldChar w:fldCharType="separate"/>
      </w:r>
      <w:r>
        <w:rPr>
          <w:noProof/>
        </w:rPr>
        <w:t>257</w:t>
      </w:r>
      <w:r>
        <w:fldChar w:fldCharType="end"/>
      </w:r>
    </w:p>
    <w:p w:rsidR="00024C0A" w:rsidRDefault="00694C0F">
      <w:pPr>
        <w:pStyle w:val="indexentry0"/>
      </w:pPr>
      <w:hyperlink w:anchor="section_5f22f80d39f24ed6a6eb2dd92581ef97">
        <w:r>
          <w:rPr>
            <w:rStyle w:val="Hyperlink"/>
          </w:rPr>
          <w:t>DrawingML Persistence Part</w:t>
        </w:r>
      </w:hyperlink>
      <w:r>
        <w:t xml:space="preserve"> </w:t>
      </w:r>
      <w:r>
        <w:fldChar w:fldCharType="begin"/>
      </w:r>
      <w:r>
        <w:instrText>PAGEREF section_5f22f80d39f24ed6a6eb2dd92581ef97</w:instrText>
      </w:r>
      <w:r>
        <w:fldChar w:fldCharType="separate"/>
      </w:r>
      <w:r>
        <w:rPr>
          <w:noProof/>
        </w:rPr>
        <w:t>823</w:t>
      </w:r>
      <w:r>
        <w:fldChar w:fldCharType="end"/>
      </w:r>
    </w:p>
    <w:p w:rsidR="00024C0A" w:rsidRDefault="00694C0F">
      <w:pPr>
        <w:pStyle w:val="indexentry0"/>
      </w:pPr>
      <w:hyperlink w:anchor="section_c98431745ffc464f8a9e408fcacb65b5">
        <w:r>
          <w:rPr>
            <w:rStyle w:val="Hyperlink"/>
          </w:rPr>
          <w:t>DrawingML Persistence Parts</w:t>
        </w:r>
      </w:hyperlink>
      <w:r>
        <w:t xml:space="preserve"> </w:t>
      </w:r>
      <w:r>
        <w:fldChar w:fldCharType="begin"/>
      </w:r>
      <w:r>
        <w:instrText>PAGEREF section_c98431745ffc464f8a9e408fcacb65b5</w:instrText>
      </w:r>
      <w:r>
        <w:fldChar w:fldCharType="separate"/>
      </w:r>
      <w:r>
        <w:rPr>
          <w:noProof/>
        </w:rPr>
        <w:t>823</w:t>
      </w:r>
      <w:r>
        <w:fldChar w:fldCharType="end"/>
      </w:r>
    </w:p>
    <w:p w:rsidR="00024C0A" w:rsidRDefault="00694C0F">
      <w:pPr>
        <w:pStyle w:val="indexentry0"/>
      </w:pPr>
      <w:hyperlink w:anchor="section_be4c7afa1a9848fdac817039f3bf3a19">
        <w:r>
          <w:rPr>
            <w:rStyle w:val="Hyperlink"/>
          </w:rPr>
          <w:t>DropLines (Dropdown Maximum Lines)</w:t>
        </w:r>
      </w:hyperlink>
      <w:r>
        <w:t xml:space="preserve"> </w:t>
      </w:r>
      <w:r>
        <w:fldChar w:fldCharType="begin"/>
      </w:r>
      <w:r>
        <w:instrText>PAGEREF section</w:instrText>
      </w:r>
      <w:r>
        <w:instrText>_be4c7afa1a9848fdac817039f3bf3a19</w:instrText>
      </w:r>
      <w:r>
        <w:fldChar w:fldCharType="separate"/>
      </w:r>
      <w:r>
        <w:rPr>
          <w:noProof/>
        </w:rPr>
        <w:t>674</w:t>
      </w:r>
      <w:r>
        <w:fldChar w:fldCharType="end"/>
      </w:r>
    </w:p>
    <w:p w:rsidR="00024C0A" w:rsidRDefault="00694C0F">
      <w:pPr>
        <w:pStyle w:val="indexentry0"/>
      </w:pPr>
      <w:hyperlink w:anchor="section_d07238816fbc49ac99b0668c3f56ae05">
        <w:r>
          <w:rPr>
            <w:rStyle w:val="Hyperlink"/>
          </w:rPr>
          <w:t>DropStyle (Dropdown Style)</w:t>
        </w:r>
      </w:hyperlink>
      <w:r>
        <w:t xml:space="preserve"> </w:t>
      </w:r>
      <w:r>
        <w:fldChar w:fldCharType="begin"/>
      </w:r>
      <w:r>
        <w:instrText>PAGEREF section_d07238816fbc49ac99b0668c3f56ae05</w:instrText>
      </w:r>
      <w:r>
        <w:fldChar w:fldCharType="separate"/>
      </w:r>
      <w:r>
        <w:rPr>
          <w:noProof/>
        </w:rPr>
        <w:t>674</w:t>
      </w:r>
      <w:r>
        <w:fldChar w:fldCharType="end"/>
      </w:r>
    </w:p>
    <w:p w:rsidR="00024C0A" w:rsidRDefault="00694C0F">
      <w:pPr>
        <w:pStyle w:val="indexentry0"/>
      </w:pPr>
      <w:hyperlink w:anchor="section_90e88cb8509b42fa9de0733a7fe14161">
        <w:r>
          <w:rPr>
            <w:rStyle w:val="Hyperlink"/>
          </w:rPr>
          <w:t>ds (Dash Stop)</w:t>
        </w:r>
      </w:hyperlink>
      <w:r>
        <w:t xml:space="preserve"> </w:t>
      </w:r>
      <w:r>
        <w:fldChar w:fldCharType="begin"/>
      </w:r>
      <w:r>
        <w:instrText>PAGEREF section_90e88cb8509b42fa9de0733a7fe14161</w:instrText>
      </w:r>
      <w:r>
        <w:fldChar w:fldCharType="separate"/>
      </w:r>
      <w:r>
        <w:rPr>
          <w:noProof/>
        </w:rPr>
        <w:t>511</w:t>
      </w:r>
      <w:r>
        <w:fldChar w:fldCharType="end"/>
      </w:r>
    </w:p>
    <w:p w:rsidR="00024C0A" w:rsidRDefault="00694C0F">
      <w:pPr>
        <w:pStyle w:val="indexentry0"/>
      </w:pPr>
      <w:hyperlink w:anchor="section_f4583c0d8f87480793ccf7144bb4901e">
        <w:r>
          <w:rPr>
            <w:rStyle w:val="Hyperlink"/>
          </w:rPr>
          <w:t>DSTDEV</w:t>
        </w:r>
      </w:hyperlink>
      <w:r>
        <w:t xml:space="preserve"> </w:t>
      </w:r>
      <w:r>
        <w:fldChar w:fldCharType="begin"/>
      </w:r>
      <w:r>
        <w:instrText>PAGEREF section_f4583c0d8f87480793ccf7144bb4901e</w:instrText>
      </w:r>
      <w:r>
        <w:fldChar w:fldCharType="separate"/>
      </w:r>
      <w:r>
        <w:rPr>
          <w:noProof/>
        </w:rPr>
        <w:t>418</w:t>
      </w:r>
      <w:r>
        <w:fldChar w:fldCharType="end"/>
      </w:r>
    </w:p>
    <w:p w:rsidR="00024C0A" w:rsidRDefault="00694C0F">
      <w:pPr>
        <w:pStyle w:val="indexentry0"/>
      </w:pPr>
      <w:hyperlink w:anchor="section_c516d215cc2a472f98e9a3e4d454084a">
        <w:r>
          <w:rPr>
            <w:rStyle w:val="Hyperlink"/>
          </w:rPr>
          <w:t>DSTDEVP</w:t>
        </w:r>
      </w:hyperlink>
      <w:r>
        <w:t xml:space="preserve"> </w:t>
      </w:r>
      <w:r>
        <w:fldChar w:fldCharType="begin"/>
      </w:r>
      <w:r>
        <w:instrText>PAGEREF se</w:instrText>
      </w:r>
      <w:r>
        <w:instrText>ction_c516d215cc2a472f98e9a3e4d454084a</w:instrText>
      </w:r>
      <w:r>
        <w:fldChar w:fldCharType="separate"/>
      </w:r>
      <w:r>
        <w:rPr>
          <w:noProof/>
        </w:rPr>
        <w:t>418</w:t>
      </w:r>
      <w:r>
        <w:fldChar w:fldCharType="end"/>
      </w:r>
    </w:p>
    <w:p w:rsidR="00024C0A" w:rsidRDefault="00694C0F">
      <w:pPr>
        <w:pStyle w:val="indexentry0"/>
      </w:pPr>
      <w:hyperlink w:anchor="section_b9002f2fcbd749a7b93fef03eb167d0c">
        <w:r>
          <w:rPr>
            <w:rStyle w:val="Hyperlink"/>
          </w:rPr>
          <w:t>DSUM</w:t>
        </w:r>
      </w:hyperlink>
      <w:r>
        <w:t xml:space="preserve"> </w:t>
      </w:r>
      <w:r>
        <w:fldChar w:fldCharType="begin"/>
      </w:r>
      <w:r>
        <w:instrText>PAGEREF section_b9002f2fcbd749a7b93fef03eb167d0c</w:instrText>
      </w:r>
      <w:r>
        <w:fldChar w:fldCharType="separate"/>
      </w:r>
      <w:r>
        <w:rPr>
          <w:noProof/>
        </w:rPr>
        <w:t>419</w:t>
      </w:r>
      <w:r>
        <w:fldChar w:fldCharType="end"/>
      </w:r>
    </w:p>
    <w:p w:rsidR="00024C0A" w:rsidRDefault="00694C0F">
      <w:pPr>
        <w:pStyle w:val="indexentry0"/>
      </w:pPr>
      <w:hyperlink w:anchor="section_c4fb5e6e431f415291d23b48831d77af">
        <w:r>
          <w:rPr>
            <w:rStyle w:val="Hyperlink"/>
          </w:rPr>
          <w:t>duotone (Duotone Effect)</w:t>
        </w:r>
      </w:hyperlink>
      <w:r>
        <w:t xml:space="preserve"> </w:t>
      </w:r>
      <w:r>
        <w:fldChar w:fldCharType="begin"/>
      </w:r>
      <w:r>
        <w:instrText>PAGEREF section_c4fb5e6e431f415291d23b48831d77af</w:instrText>
      </w:r>
      <w:r>
        <w:fldChar w:fldCharType="separate"/>
      </w:r>
      <w:r>
        <w:rPr>
          <w:noProof/>
        </w:rPr>
        <w:t>511</w:t>
      </w:r>
      <w:r>
        <w:fldChar w:fldCharType="end"/>
      </w:r>
    </w:p>
    <w:p w:rsidR="00024C0A" w:rsidRDefault="00694C0F">
      <w:pPr>
        <w:pStyle w:val="indexentry0"/>
      </w:pPr>
      <w:hyperlink w:anchor="section_68f1329a6d8f49d6ad141af208658265">
        <w:r>
          <w:rPr>
            <w:rStyle w:val="Hyperlink"/>
          </w:rPr>
          <w:t>DURATION</w:t>
        </w:r>
      </w:hyperlink>
      <w:r>
        <w:t xml:space="preserve"> </w:t>
      </w:r>
      <w:r>
        <w:fldChar w:fldCharType="begin"/>
      </w:r>
      <w:r>
        <w:instrText>PAGEREF section_68f1329a6d8f49d6ad141af208658265</w:instrText>
      </w:r>
      <w:r>
        <w:fldChar w:fldCharType="separate"/>
      </w:r>
      <w:r>
        <w:rPr>
          <w:noProof/>
        </w:rPr>
        <w:t>419</w:t>
      </w:r>
      <w:r>
        <w:fldChar w:fldCharType="end"/>
      </w:r>
    </w:p>
    <w:p w:rsidR="00024C0A" w:rsidRDefault="00694C0F">
      <w:pPr>
        <w:pStyle w:val="indexentry0"/>
      </w:pPr>
      <w:hyperlink w:anchor="section_4c431026aee849dcb59333e886fa11a5">
        <w:r>
          <w:rPr>
            <w:rStyle w:val="Hyperlink"/>
          </w:rPr>
          <w:t>DVAR</w:t>
        </w:r>
      </w:hyperlink>
      <w:r>
        <w:t xml:space="preserve"> </w:t>
      </w:r>
      <w:r>
        <w:fldChar w:fldCharType="begin"/>
      </w:r>
      <w:r>
        <w:instrText>PAGEREF section_4c431026aee849dcb59333e886fa11a5</w:instrText>
      </w:r>
      <w:r>
        <w:fldChar w:fldCharType="separate"/>
      </w:r>
      <w:r>
        <w:rPr>
          <w:noProof/>
        </w:rPr>
        <w:t>420</w:t>
      </w:r>
      <w:r>
        <w:fldChar w:fldCharType="end"/>
      </w:r>
    </w:p>
    <w:p w:rsidR="00024C0A" w:rsidRDefault="00694C0F">
      <w:pPr>
        <w:pStyle w:val="indexentry0"/>
      </w:pPr>
      <w:hyperlink w:anchor="section_4ff3283999cf4feab83bf5b2e4a6f0f4">
        <w:r>
          <w:rPr>
            <w:rStyle w:val="Hyperlink"/>
          </w:rPr>
          <w:t>DVARP</w:t>
        </w:r>
      </w:hyperlink>
      <w:r>
        <w:t xml:space="preserve"> </w:t>
      </w:r>
      <w:r>
        <w:fldChar w:fldCharType="begin"/>
      </w:r>
      <w:r>
        <w:instrText>PAGEREF section_4ff3283999cf4feab83bf5b2e4a6f0f4</w:instrText>
      </w:r>
      <w:r>
        <w:fldChar w:fldCharType="separate"/>
      </w:r>
      <w:r>
        <w:rPr>
          <w:noProof/>
        </w:rPr>
        <w:t>420</w:t>
      </w:r>
      <w:r>
        <w:fldChar w:fldCharType="end"/>
      </w:r>
    </w:p>
    <w:p w:rsidR="00024C0A" w:rsidRDefault="00694C0F">
      <w:pPr>
        <w:pStyle w:val="indexentry0"/>
      </w:pPr>
      <w:hyperlink w:anchor="section_7d806fa038a14b96908dbd982340949a">
        <w:r>
          <w:rPr>
            <w:rStyle w:val="Hyperlink"/>
          </w:rPr>
          <w:t>Dx (Scroll Bar Width)</w:t>
        </w:r>
      </w:hyperlink>
      <w:r>
        <w:t xml:space="preserve"> </w:t>
      </w:r>
      <w:r>
        <w:fldChar w:fldCharType="begin"/>
      </w:r>
      <w:r>
        <w:instrText>PAGEREF section_7d806fa038a14b96908dbd982340949a</w:instrText>
      </w:r>
      <w:r>
        <w:fldChar w:fldCharType="separate"/>
      </w:r>
      <w:r>
        <w:rPr>
          <w:noProof/>
        </w:rPr>
        <w:t>675</w:t>
      </w:r>
      <w:r>
        <w:fldChar w:fldCharType="end"/>
      </w:r>
    </w:p>
    <w:p w:rsidR="00024C0A" w:rsidRDefault="00694C0F">
      <w:pPr>
        <w:pStyle w:val="indexentry0"/>
      </w:pPr>
      <w:hyperlink w:anchor="section_c9e9313d99ba4a11aeb1d390477d6163">
        <w:r>
          <w:rPr>
            <w:rStyle w:val="Hyperlink"/>
          </w:rPr>
          <w:t>dxfs (Formats)</w:t>
        </w:r>
      </w:hyperlink>
      <w:r>
        <w:t xml:space="preserve"> </w:t>
      </w:r>
      <w:r>
        <w:fldChar w:fldCharType="begin"/>
      </w:r>
      <w:r>
        <w:instrText>PAGEREF section_c9e9313d99ba4a11aeb1d390477d6163</w:instrText>
      </w:r>
      <w:r>
        <w:fldChar w:fldCharType="separate"/>
      </w:r>
      <w:r>
        <w:rPr>
          <w:noProof/>
        </w:rPr>
        <w:t>297</w:t>
      </w:r>
      <w:r>
        <w:fldChar w:fldCharType="end"/>
      </w:r>
    </w:p>
    <w:p w:rsidR="00024C0A" w:rsidRDefault="00694C0F">
      <w:pPr>
        <w:pStyle w:val="indexentry0"/>
      </w:pPr>
      <w:hyperlink w:anchor="section_02dec7e2a50549b3aa72334570ecbf26">
        <w:r>
          <w:rPr>
            <w:rStyle w:val="Hyperlink"/>
          </w:rPr>
          <w:t>dynamicAddr</w:t>
        </w:r>
        <w:r>
          <w:rPr>
            <w:rStyle w:val="Hyperlink"/>
          </w:rPr>
          <w:t>ess (Use Country-Based Address Field Ordering)</w:t>
        </w:r>
      </w:hyperlink>
      <w:r>
        <w:t xml:space="preserve"> </w:t>
      </w:r>
      <w:r>
        <w:fldChar w:fldCharType="begin"/>
      </w:r>
      <w:r>
        <w:instrText>PAGEREF section_02dec7e2a50549b3aa72334570ecbf26</w:instrText>
      </w:r>
      <w:r>
        <w:fldChar w:fldCharType="separate"/>
      </w:r>
      <w:r>
        <w:rPr>
          <w:noProof/>
        </w:rPr>
        <w:t>142</w:t>
      </w:r>
      <w:r>
        <w:fldChar w:fldCharType="end"/>
      </w:r>
    </w:p>
    <w:p w:rsidR="00024C0A" w:rsidRDefault="00694C0F">
      <w:pPr>
        <w:pStyle w:val="indexentry0"/>
      </w:pPr>
      <w:hyperlink w:anchor="section_d118f1d4878c4db69f4a63dba6e56158">
        <w:r>
          <w:rPr>
            <w:rStyle w:val="Hyperlink"/>
          </w:rPr>
          <w:t>dynamicFilter (Dynamic Filter)</w:t>
        </w:r>
      </w:hyperlink>
      <w:r>
        <w:t xml:space="preserve"> </w:t>
      </w:r>
      <w:r>
        <w:fldChar w:fldCharType="begin"/>
      </w:r>
      <w:r>
        <w:instrText>PAGEREF section_d118f1d4878c4db69f4a63dba6e56158</w:instrText>
      </w:r>
      <w:r>
        <w:fldChar w:fldCharType="separate"/>
      </w:r>
      <w:r>
        <w:rPr>
          <w:noProof/>
        </w:rPr>
        <w:t>287</w:t>
      </w:r>
      <w:r>
        <w:fldChar w:fldCharType="end"/>
      </w:r>
    </w:p>
    <w:p w:rsidR="00024C0A" w:rsidRDefault="00024C0A">
      <w:pPr>
        <w:spacing w:before="0" w:after="0"/>
        <w:rPr>
          <w:sz w:val="16"/>
        </w:rPr>
      </w:pPr>
    </w:p>
    <w:p w:rsidR="00024C0A" w:rsidRDefault="00694C0F">
      <w:pPr>
        <w:pStyle w:val="indexheader"/>
      </w:pPr>
      <w:r>
        <w:t>E</w:t>
      </w:r>
    </w:p>
    <w:p w:rsidR="00024C0A" w:rsidRDefault="00024C0A">
      <w:pPr>
        <w:spacing w:before="0" w:after="0"/>
        <w:rPr>
          <w:sz w:val="16"/>
        </w:rPr>
      </w:pPr>
    </w:p>
    <w:p w:rsidR="00024C0A" w:rsidRDefault="00694C0F">
      <w:pPr>
        <w:pStyle w:val="indexentry0"/>
      </w:pPr>
      <w:hyperlink w:anchor="section_c48a2b6342e34d6ab754b47422049f56">
        <w:r>
          <w:rPr>
            <w:rStyle w:val="Hyperlink"/>
          </w:rPr>
          <w:t>e (Element (Argument))</w:t>
        </w:r>
      </w:hyperlink>
      <w:r>
        <w:t xml:space="preserve"> </w:t>
      </w:r>
      <w:r>
        <w:fldChar w:fldCharType="begin"/>
      </w:r>
      <w:r>
        <w:instrText>PAGEREF section_c48a2b6342e34d6ab754b47422049f56</w:instrText>
      </w:r>
      <w:r>
        <w:fldChar w:fldCharType="separate"/>
      </w:r>
      <w:r>
        <w:rPr>
          <w:noProof/>
        </w:rPr>
        <w:t>593</w:t>
      </w:r>
      <w:r>
        <w:fldChar w:fldCharType="end"/>
      </w:r>
    </w:p>
    <w:p w:rsidR="00024C0A" w:rsidRDefault="00694C0F">
      <w:pPr>
        <w:pStyle w:val="indexentry0"/>
      </w:pPr>
      <w:hyperlink w:anchor="section_7fcc8aec5f1f443399032a30573dfc5d">
        <w:r>
          <w:rPr>
            <w:rStyle w:val="Hyperlink"/>
          </w:rPr>
          <w:t>e (Error Value)</w:t>
        </w:r>
      </w:hyperlink>
      <w:r>
        <w:t xml:space="preserve"> </w:t>
      </w:r>
      <w:r>
        <w:fldChar w:fldCharType="begin"/>
      </w:r>
      <w:r>
        <w:instrText>PAGEREF section_7fcc8aec5f1f443399032a30573d</w:instrText>
      </w:r>
      <w:r>
        <w:instrText>fc5d</w:instrText>
      </w:r>
      <w:r>
        <w:fldChar w:fldCharType="separate"/>
      </w:r>
      <w:r>
        <w:rPr>
          <w:noProof/>
        </w:rPr>
        <w:t>332</w:t>
      </w:r>
      <w:r>
        <w:fldChar w:fldCharType="end"/>
      </w:r>
    </w:p>
    <w:p w:rsidR="00024C0A" w:rsidRDefault="00694C0F">
      <w:pPr>
        <w:pStyle w:val="indexentry0"/>
      </w:pPr>
      <w:hyperlink w:anchor="section_093801fe80854aaaa44a78583b640385">
        <w:r>
          <w:rPr>
            <w:rStyle w:val="Hyperlink"/>
          </w:rPr>
          <w:t>e2oholder (E2o Holder)</w:t>
        </w:r>
      </w:hyperlink>
      <w:r>
        <w:t xml:space="preserve"> </w:t>
      </w:r>
      <w:r>
        <w:fldChar w:fldCharType="begin"/>
      </w:r>
      <w:r>
        <w:instrText>PAGEREF section_093801fe80854aaaa44a78583b640385</w:instrText>
      </w:r>
      <w:r>
        <w:fldChar w:fldCharType="separate"/>
      </w:r>
      <w:r>
        <w:rPr>
          <w:noProof/>
        </w:rPr>
        <w:t>827</w:t>
      </w:r>
      <w:r>
        <w:fldChar w:fldCharType="end"/>
      </w:r>
    </w:p>
    <w:p w:rsidR="00024C0A" w:rsidRDefault="00694C0F">
      <w:pPr>
        <w:pStyle w:val="indexentry0"/>
      </w:pPr>
      <w:hyperlink w:anchor="section_0805d87ac1c945c0905e342f9b3a4473">
        <w:r>
          <w:rPr>
            <w:rStyle w:val="Hyperlink"/>
          </w:rPr>
          <w:t>ea (East Asian Font)</w:t>
        </w:r>
      </w:hyperlink>
      <w:r>
        <w:t xml:space="preserve"> </w:t>
      </w:r>
      <w:r>
        <w:fldChar w:fldCharType="begin"/>
      </w:r>
      <w:r>
        <w:instrText>PAGEREF section_0805d87ac1</w:instrText>
      </w:r>
      <w:r>
        <w:instrText>c945c0905e342f9b3a4473</w:instrText>
      </w:r>
      <w:r>
        <w:fldChar w:fldCharType="separate"/>
      </w:r>
      <w:r>
        <w:rPr>
          <w:noProof/>
        </w:rPr>
        <w:t>531</w:t>
      </w:r>
      <w:r>
        <w:fldChar w:fldCharType="end"/>
      </w:r>
    </w:p>
    <w:p w:rsidR="00024C0A" w:rsidRDefault="00694C0F">
      <w:pPr>
        <w:pStyle w:val="indexentry0"/>
      </w:pPr>
      <w:hyperlink w:anchor="section_efbc3ed11349457293a0a4e0f71e2a8b">
        <w:r>
          <w:rPr>
            <w:rStyle w:val="Hyperlink"/>
          </w:rPr>
          <w:t>eastAsianLayout (East Asian Typography Settings)</w:t>
        </w:r>
      </w:hyperlink>
      <w:r>
        <w:t xml:space="preserve"> </w:t>
      </w:r>
      <w:r>
        <w:fldChar w:fldCharType="begin"/>
      </w:r>
      <w:r>
        <w:instrText>PAGEREF section_efbc3ed11349457293a0a4e0f71e2a8b</w:instrText>
      </w:r>
      <w:r>
        <w:fldChar w:fldCharType="separate"/>
      </w:r>
      <w:r>
        <w:rPr>
          <w:noProof/>
        </w:rPr>
        <w:t>70</w:t>
      </w:r>
      <w:r>
        <w:fldChar w:fldCharType="end"/>
      </w:r>
    </w:p>
    <w:p w:rsidR="00024C0A" w:rsidRDefault="00694C0F">
      <w:pPr>
        <w:pStyle w:val="indexentry0"/>
      </w:pPr>
      <w:hyperlink w:anchor="section_0e6c5c298bbf496d9494aaed1fcd59d7">
        <w:r>
          <w:rPr>
            <w:rStyle w:val="Hyperlink"/>
          </w:rPr>
          <w:t>EDATE</w:t>
        </w:r>
      </w:hyperlink>
      <w:r>
        <w:t xml:space="preserve"> </w:t>
      </w:r>
      <w:r>
        <w:fldChar w:fldCharType="begin"/>
      </w:r>
      <w:r>
        <w:instrText>PAGEREF section_0e6c5c298bbf496d9494aaed1fcd59d7</w:instrText>
      </w:r>
      <w:r>
        <w:fldChar w:fldCharType="separate"/>
      </w:r>
      <w:r>
        <w:rPr>
          <w:noProof/>
        </w:rPr>
        <w:t>420</w:t>
      </w:r>
      <w:r>
        <w:fldChar w:fldCharType="end"/>
      </w:r>
    </w:p>
    <w:p w:rsidR="00024C0A" w:rsidRDefault="00694C0F">
      <w:pPr>
        <w:pStyle w:val="indexentry0"/>
      </w:pPr>
      <w:hyperlink w:anchor="section_be63571bd1204e6c87935326f06cba49">
        <w:r>
          <w:rPr>
            <w:rStyle w:val="Hyperlink"/>
          </w:rPr>
          <w:t>effect (Animated Text Effect)</w:t>
        </w:r>
      </w:hyperlink>
      <w:r>
        <w:t xml:space="preserve"> </w:t>
      </w:r>
      <w:r>
        <w:fldChar w:fldCharType="begin"/>
      </w:r>
      <w:r>
        <w:instrText>PAGEREF section_be63571bd1204e6c87935326f06cba49</w:instrText>
      </w:r>
      <w:r>
        <w:fldChar w:fldCharType="separate"/>
      </w:r>
      <w:r>
        <w:rPr>
          <w:noProof/>
        </w:rPr>
        <w:t>71</w:t>
      </w:r>
      <w:r>
        <w:fldChar w:fldCharType="end"/>
      </w:r>
    </w:p>
    <w:p w:rsidR="00024C0A" w:rsidRDefault="00694C0F">
      <w:pPr>
        <w:pStyle w:val="indexentry0"/>
      </w:pPr>
      <w:hyperlink w:anchor="section_ebe8f712db08467bb271aa447682cb84">
        <w:r>
          <w:rPr>
            <w:rStyle w:val="Hyperlink"/>
          </w:rPr>
          <w:t>effect (Effect)</w:t>
        </w:r>
      </w:hyperlink>
      <w:r>
        <w:t xml:space="preserve"> </w:t>
      </w:r>
      <w:r>
        <w:fldChar w:fldCharType="begin"/>
      </w:r>
      <w:r>
        <w:instrText>PAGEREF section_ebe8f712db08467bb271aa447682cb84</w:instrText>
      </w:r>
      <w:r>
        <w:fldChar w:fldCharType="separate"/>
      </w:r>
      <w:r>
        <w:rPr>
          <w:noProof/>
        </w:rPr>
        <w:t>512</w:t>
      </w:r>
      <w:r>
        <w:fldChar w:fldCharType="end"/>
      </w:r>
    </w:p>
    <w:p w:rsidR="00024C0A" w:rsidRDefault="00694C0F">
      <w:pPr>
        <w:pStyle w:val="indexentry0"/>
      </w:pPr>
      <w:hyperlink w:anchor="section_4012c5a0ae0041ed9248616ef4442075">
        <w:r>
          <w:rPr>
            <w:rStyle w:val="Hyperlink"/>
          </w:rPr>
          <w:t>effectClrLst (Effect Color List)</w:t>
        </w:r>
      </w:hyperlink>
      <w:r>
        <w:t xml:space="preserve"> </w:t>
      </w:r>
      <w:r>
        <w:fldChar w:fldCharType="begin"/>
      </w:r>
      <w:r>
        <w:instrText>PAGEREF section_4012c5a0ae0041ed9248616ef4442075</w:instrText>
      </w:r>
      <w:r>
        <w:fldChar w:fldCharType="separate"/>
      </w:r>
      <w:r>
        <w:rPr>
          <w:noProof/>
        </w:rPr>
        <w:t>582</w:t>
      </w:r>
      <w:r>
        <w:fldChar w:fldCharType="end"/>
      </w:r>
    </w:p>
    <w:p w:rsidR="00024C0A" w:rsidRDefault="00694C0F">
      <w:pPr>
        <w:pStyle w:val="indexentry0"/>
      </w:pPr>
      <w:hyperlink w:anchor="section_3e0414ed4af14d09bdd7cf791c064cea">
        <w:r>
          <w:rPr>
            <w:rStyle w:val="Hyperlink"/>
          </w:rPr>
          <w:t>effectDag (Effect Container)</w:t>
        </w:r>
      </w:hyperlink>
      <w:r>
        <w:t xml:space="preserve"> </w:t>
      </w:r>
      <w:r>
        <w:fldChar w:fldCharType="begin"/>
      </w:r>
      <w:r>
        <w:instrText>PAGEREF section_3e0414ed4af14d09bdd7cf791c064cea</w:instrText>
      </w:r>
      <w:r>
        <w:fldChar w:fldCharType="separate"/>
      </w:r>
      <w:r>
        <w:rPr>
          <w:noProof/>
        </w:rPr>
        <w:t>512</w:t>
      </w:r>
      <w:r>
        <w:fldChar w:fldCharType="end"/>
      </w:r>
    </w:p>
    <w:p w:rsidR="00024C0A" w:rsidRDefault="00694C0F">
      <w:pPr>
        <w:pStyle w:val="indexentry0"/>
      </w:pPr>
      <w:hyperlink w:anchor="section_f1c2e75590484bdb96b5a6bf36caafcf">
        <w:r>
          <w:rPr>
            <w:rStyle w:val="Hyperlink"/>
          </w:rPr>
          <w:t>effectExtent (Object Extents Including Effects)</w:t>
        </w:r>
      </w:hyperlink>
      <w:r>
        <w:t xml:space="preserve"> </w:t>
      </w:r>
      <w:r>
        <w:fldChar w:fldCharType="begin"/>
      </w:r>
      <w:r>
        <w:instrText>PAGEREF section_f1c2e75590484bdb96</w:instrText>
      </w:r>
      <w:r>
        <w:instrText>b5a6bf36caafcf</w:instrText>
      </w:r>
      <w:r>
        <w:fldChar w:fldCharType="separate"/>
      </w:r>
      <w:r>
        <w:rPr>
          <w:noProof/>
        </w:rPr>
        <w:t>522</w:t>
      </w:r>
      <w:r>
        <w:fldChar w:fldCharType="end"/>
      </w:r>
    </w:p>
    <w:p w:rsidR="00024C0A" w:rsidRDefault="00694C0F">
      <w:pPr>
        <w:pStyle w:val="indexentry0"/>
      </w:pPr>
      <w:hyperlink w:anchor="section_597fd3303f3a4f689f1394e06acddbe0">
        <w:r>
          <w:rPr>
            <w:rStyle w:val="Hyperlink"/>
          </w:rPr>
          <w:t>effectOffset (Effect Offset)</w:t>
        </w:r>
      </w:hyperlink>
      <w:r>
        <w:t xml:space="preserve"> </w:t>
      </w:r>
      <w:r>
        <w:fldChar w:fldCharType="begin"/>
      </w:r>
      <w:r>
        <w:instrText>PAGEREF section_597fd3303f3a4f689f1394e06acddbe0</w:instrText>
      </w:r>
      <w:r>
        <w:fldChar w:fldCharType="separate"/>
      </w:r>
      <w:r>
        <w:rPr>
          <w:noProof/>
        </w:rPr>
        <w:t>828</w:t>
      </w:r>
      <w:r>
        <w:fldChar w:fldCharType="end"/>
      </w:r>
    </w:p>
    <w:p w:rsidR="00024C0A" w:rsidRDefault="00694C0F">
      <w:pPr>
        <w:pStyle w:val="indexentry0"/>
      </w:pPr>
      <w:hyperlink w:anchor="section_9b1199772ec9455a98aecb60f7bb0ed8">
        <w:r>
          <w:rPr>
            <w:rStyle w:val="Hyperlink"/>
          </w:rPr>
          <w:t>Elements</w:t>
        </w:r>
      </w:hyperlink>
      <w:r>
        <w:t xml:space="preserve"> </w:t>
      </w:r>
      <w:r>
        <w:fldChar w:fldCharType="begin"/>
      </w:r>
      <w:r>
        <w:instrText>PAGEREF section_9b1199</w:instrText>
      </w:r>
      <w:r>
        <w:instrText>772ec9455a98aecb60f7bb0ed8</w:instrText>
      </w:r>
      <w:r>
        <w:fldChar w:fldCharType="separate"/>
      </w:r>
      <w:r>
        <w:rPr>
          <w:noProof/>
        </w:rPr>
        <w:t>876</w:t>
      </w:r>
      <w:r>
        <w:fldChar w:fldCharType="end"/>
      </w:r>
    </w:p>
    <w:p w:rsidR="00024C0A" w:rsidRDefault="00694C0F">
      <w:pPr>
        <w:pStyle w:val="indexentry0"/>
      </w:pPr>
      <w:hyperlink w:anchor="section_31c096fd0b5c4a08baf1480296df51b3">
        <w:r>
          <w:rPr>
            <w:rStyle w:val="Hyperlink"/>
          </w:rPr>
          <w:t>embed (Embedded Object or Control)</w:t>
        </w:r>
      </w:hyperlink>
      <w:r>
        <w:t xml:space="preserve"> </w:t>
      </w:r>
      <w:r>
        <w:fldChar w:fldCharType="begin"/>
      </w:r>
      <w:r>
        <w:instrText>PAGEREF section_31c096fd0b5c4a08baf1480296df51b3</w:instrText>
      </w:r>
      <w:r>
        <w:fldChar w:fldCharType="separate"/>
      </w:r>
      <w:r>
        <w:rPr>
          <w:noProof/>
        </w:rPr>
        <w:t>468</w:t>
      </w:r>
      <w:r>
        <w:fldChar w:fldCharType="end"/>
      </w:r>
    </w:p>
    <w:p w:rsidR="00024C0A" w:rsidRDefault="00694C0F">
      <w:pPr>
        <w:pStyle w:val="indexentry0"/>
      </w:pPr>
      <w:hyperlink w:anchor="section_6fbd8de94638407883b94c7a065baa9c">
        <w:r>
          <w:rPr>
            <w:rStyle w:val="Hyperlink"/>
          </w:rPr>
          <w:t>embedBold (Bold</w:t>
        </w:r>
        <w:r>
          <w:rPr>
            <w:rStyle w:val="Hyperlink"/>
          </w:rPr>
          <w:t xml:space="preserve"> Style Font Style Embedding)</w:t>
        </w:r>
      </w:hyperlink>
      <w:r>
        <w:t xml:space="preserve"> </w:t>
      </w:r>
      <w:r>
        <w:fldChar w:fldCharType="begin"/>
      </w:r>
      <w:r>
        <w:instrText>PAGEREF section_6fbd8de94638407883b94c7a065baa9c</w:instrText>
      </w:r>
      <w:r>
        <w:fldChar w:fldCharType="separate"/>
      </w:r>
      <w:r>
        <w:rPr>
          <w:noProof/>
        </w:rPr>
        <w:t>121</w:t>
      </w:r>
      <w:r>
        <w:fldChar w:fldCharType="end"/>
      </w:r>
    </w:p>
    <w:p w:rsidR="00024C0A" w:rsidRDefault="00694C0F">
      <w:pPr>
        <w:pStyle w:val="indexentry0"/>
      </w:pPr>
      <w:hyperlink w:anchor="section_dbbfc4ff54c04dbcaebae872109c43e8">
        <w:r>
          <w:rPr>
            <w:rStyle w:val="Hyperlink"/>
          </w:rPr>
          <w:t>embedBoldItalic (Bold Italic Font Style Embedding)</w:t>
        </w:r>
      </w:hyperlink>
      <w:r>
        <w:t xml:space="preserve"> </w:t>
      </w:r>
      <w:r>
        <w:fldChar w:fldCharType="begin"/>
      </w:r>
      <w:r>
        <w:instrText>PAGEREF section_dbbfc4ff54c04dbcaebae872109c43e8</w:instrText>
      </w:r>
      <w:r>
        <w:fldChar w:fldCharType="separate"/>
      </w:r>
      <w:r>
        <w:rPr>
          <w:noProof/>
        </w:rPr>
        <w:t>121</w:t>
      </w:r>
      <w:r>
        <w:fldChar w:fldCharType="end"/>
      </w:r>
    </w:p>
    <w:p w:rsidR="00024C0A" w:rsidRDefault="00694C0F">
      <w:pPr>
        <w:pStyle w:val="indexentry0"/>
      </w:pPr>
      <w:hyperlink w:anchor="section_2c6688debe084ffaac5432d19ebc4ca3">
        <w:r>
          <w:rPr>
            <w:rStyle w:val="Hyperlink"/>
          </w:rPr>
          <w:t>Embedded Control Persistence Binary Data Part</w:t>
        </w:r>
      </w:hyperlink>
      <w:r>
        <w:t xml:space="preserve"> </w:t>
      </w:r>
      <w:r>
        <w:fldChar w:fldCharType="begin"/>
      </w:r>
      <w:r>
        <w:instrText>PAGEREF section_2c6688debe084ffaac5432d19ebc4ca3</w:instrText>
      </w:r>
      <w:r>
        <w:fldChar w:fldCharType="separate"/>
      </w:r>
      <w:r>
        <w:rPr>
          <w:noProof/>
        </w:rPr>
        <w:t>844</w:t>
      </w:r>
      <w:r>
        <w:fldChar w:fldCharType="end"/>
      </w:r>
    </w:p>
    <w:p w:rsidR="00024C0A" w:rsidRDefault="00694C0F">
      <w:pPr>
        <w:pStyle w:val="indexentry0"/>
      </w:pPr>
      <w:hyperlink w:anchor="section_754c8ac1923d412f8fefc85862e9124a">
        <w:r>
          <w:rPr>
            <w:rStyle w:val="Hyperlink"/>
          </w:rPr>
          <w:t>Embedded Control Persistence Part</w:t>
        </w:r>
      </w:hyperlink>
      <w:r>
        <w:t xml:space="preserve"> </w:t>
      </w:r>
      <w:r>
        <w:fldChar w:fldCharType="begin"/>
      </w:r>
      <w:r>
        <w:instrText>PAGEREF section_754c8ac1923d412f8fefc85862e9124a</w:instrText>
      </w:r>
      <w:r>
        <w:fldChar w:fldCharType="separate"/>
      </w:r>
      <w:r>
        <w:rPr>
          <w:noProof/>
        </w:rPr>
        <w:t>56</w:t>
      </w:r>
      <w:r>
        <w:fldChar w:fldCharType="end"/>
      </w:r>
    </w:p>
    <w:p w:rsidR="00024C0A" w:rsidRDefault="00694C0F">
      <w:pPr>
        <w:pStyle w:val="indexentry0"/>
      </w:pPr>
      <w:hyperlink w:anchor="section_fb2ecab117a14552bac38df949321ba8">
        <w:r>
          <w:rPr>
            <w:rStyle w:val="Hyperlink"/>
          </w:rPr>
          <w:t>embeddedFontLst (Embedded Font List)</w:t>
        </w:r>
      </w:hyperlink>
      <w:r>
        <w:t xml:space="preserve"> </w:t>
      </w:r>
      <w:r>
        <w:fldChar w:fldCharType="begin"/>
      </w:r>
      <w:r>
        <w:instrText>PAGEREF section_fb2ecab117a14552bac38df949321ba8</w:instrText>
      </w:r>
      <w:r>
        <w:fldChar w:fldCharType="separate"/>
      </w:r>
      <w:r>
        <w:rPr>
          <w:noProof/>
        </w:rPr>
        <w:t>459</w:t>
      </w:r>
      <w:r>
        <w:fldChar w:fldCharType="end"/>
      </w:r>
    </w:p>
    <w:p w:rsidR="00024C0A" w:rsidRDefault="00694C0F">
      <w:pPr>
        <w:pStyle w:val="indexentry0"/>
      </w:pPr>
      <w:hyperlink w:anchor="section_6da0671b0642486684113e94da64d2d8">
        <w:r>
          <w:rPr>
            <w:rStyle w:val="Hyperlink"/>
          </w:rPr>
          <w:t>embedItalic (Italic Font Style Embedding)</w:t>
        </w:r>
      </w:hyperlink>
      <w:r>
        <w:t xml:space="preserve"> </w:t>
      </w:r>
      <w:r>
        <w:fldChar w:fldCharType="begin"/>
      </w:r>
      <w:r>
        <w:instrText>PAGEREF section_6da0671b0642486684113e94da64d2d8</w:instrText>
      </w:r>
      <w:r>
        <w:fldChar w:fldCharType="separate"/>
      </w:r>
      <w:r>
        <w:rPr>
          <w:noProof/>
        </w:rPr>
        <w:t>121</w:t>
      </w:r>
      <w:r>
        <w:fldChar w:fldCharType="end"/>
      </w:r>
    </w:p>
    <w:p w:rsidR="00024C0A" w:rsidRDefault="00694C0F">
      <w:pPr>
        <w:pStyle w:val="indexentry0"/>
      </w:pPr>
      <w:hyperlink w:anchor="section_10b5df87a73f4b55ada6222da4780aba">
        <w:r>
          <w:rPr>
            <w:rStyle w:val="Hyperlink"/>
          </w:rPr>
          <w:t>embedRegular (Regular Font Style Embedding)</w:t>
        </w:r>
      </w:hyperlink>
      <w:r>
        <w:t xml:space="preserve"> </w:t>
      </w:r>
      <w:r>
        <w:fldChar w:fldCharType="begin"/>
      </w:r>
      <w:r>
        <w:instrText>PAGEREF section_10b5df87a73f4b55ada6222da4</w:instrText>
      </w:r>
      <w:r>
        <w:instrText>780aba</w:instrText>
      </w:r>
      <w:r>
        <w:fldChar w:fldCharType="separate"/>
      </w:r>
      <w:r>
        <w:rPr>
          <w:noProof/>
        </w:rPr>
        <w:t>121</w:t>
      </w:r>
      <w:r>
        <w:fldChar w:fldCharType="end"/>
      </w:r>
    </w:p>
    <w:p w:rsidR="00024C0A" w:rsidRDefault="00694C0F">
      <w:pPr>
        <w:pStyle w:val="indexentry0"/>
      </w:pPr>
      <w:hyperlink w:anchor="section_8c385d066c29470b89cf3c2bab8633e6">
        <w:r>
          <w:rPr>
            <w:rStyle w:val="Hyperlink"/>
          </w:rPr>
          <w:t>embedTrueTypeFonts (Embed TrueType Fonts)</w:t>
        </w:r>
      </w:hyperlink>
      <w:r>
        <w:t xml:space="preserve"> </w:t>
      </w:r>
      <w:r>
        <w:fldChar w:fldCharType="begin"/>
      </w:r>
      <w:r>
        <w:instrText>PAGEREF section_8c385d066c29470b89cf3c2bab8633e6</w:instrText>
      </w:r>
      <w:r>
        <w:fldChar w:fldCharType="separate"/>
      </w:r>
      <w:r>
        <w:rPr>
          <w:noProof/>
        </w:rPr>
        <w:t>121</w:t>
      </w:r>
      <w:r>
        <w:fldChar w:fldCharType="end"/>
      </w:r>
    </w:p>
    <w:p w:rsidR="00024C0A" w:rsidRDefault="00694C0F">
      <w:pPr>
        <w:pStyle w:val="indexentry0"/>
      </w:pPr>
      <w:hyperlink w:anchor="section_ee04d38668c14e8dbce4f4250173ca21">
        <w:r>
          <w:rPr>
            <w:rStyle w:val="Hyperlink"/>
          </w:rPr>
          <w:t>emboss (Embossing)</w:t>
        </w:r>
      </w:hyperlink>
      <w:r>
        <w:t xml:space="preserve"> </w:t>
      </w:r>
      <w:r>
        <w:fldChar w:fldCharType="begin"/>
      </w:r>
      <w:r>
        <w:instrText>PAGEREF</w:instrText>
      </w:r>
      <w:r>
        <w:instrText xml:space="preserve"> section_ee04d38668c14e8dbce4f4250173ca21</w:instrText>
      </w:r>
      <w:r>
        <w:fldChar w:fldCharType="separate"/>
      </w:r>
      <w:r>
        <w:rPr>
          <w:noProof/>
        </w:rPr>
        <w:t>71</w:t>
      </w:r>
      <w:r>
        <w:fldChar w:fldCharType="end"/>
      </w:r>
    </w:p>
    <w:p w:rsidR="00024C0A" w:rsidRDefault="00694C0F">
      <w:pPr>
        <w:pStyle w:val="indexentry0"/>
      </w:pPr>
      <w:hyperlink w:anchor="section_829e3c8a5e294f0b9b384d4ab414818c">
        <w:r>
          <w:rPr>
            <w:rStyle w:val="Hyperlink"/>
          </w:rPr>
          <w:t>encoding (Output Encoding When Saving as Web Page)</w:t>
        </w:r>
      </w:hyperlink>
      <w:r>
        <w:t xml:space="preserve"> </w:t>
      </w:r>
      <w:r>
        <w:fldChar w:fldCharType="begin"/>
      </w:r>
      <w:r>
        <w:instrText>PAGEREF section_829e3c8a5e294f0b9b384d4ab414818c</w:instrText>
      </w:r>
      <w:r>
        <w:fldChar w:fldCharType="separate"/>
      </w:r>
      <w:r>
        <w:rPr>
          <w:noProof/>
        </w:rPr>
        <w:t>161</w:t>
      </w:r>
      <w:r>
        <w:fldChar w:fldCharType="end"/>
      </w:r>
    </w:p>
    <w:p w:rsidR="00024C0A" w:rsidRDefault="00694C0F">
      <w:pPr>
        <w:pStyle w:val="indexentry0"/>
      </w:pPr>
      <w:hyperlink w:anchor="section_2c068059663f4dd795aa2cbc325caff6">
        <w:r>
          <w:rPr>
            <w:rStyle w:val="Hyperlink"/>
          </w:rPr>
          <w:t>end (Audio End Time)</w:t>
        </w:r>
      </w:hyperlink>
      <w:r>
        <w:t xml:space="preserve"> </w:t>
      </w:r>
      <w:r>
        <w:fldChar w:fldCharType="begin"/>
      </w:r>
      <w:r>
        <w:instrText>PAGEREF section_2c068059663f4dd795aa2cbc325caff6</w:instrText>
      </w:r>
      <w:r>
        <w:fldChar w:fldCharType="separate"/>
      </w:r>
      <w:r>
        <w:rPr>
          <w:noProof/>
        </w:rPr>
        <w:t>503</w:t>
      </w:r>
      <w:r>
        <w:fldChar w:fldCharType="end"/>
      </w:r>
    </w:p>
    <w:p w:rsidR="00024C0A" w:rsidRDefault="00694C0F">
      <w:pPr>
        <w:pStyle w:val="indexentry0"/>
      </w:pPr>
      <w:hyperlink w:anchor="section_5afd726060ff42518744b0ed5d826f54">
        <w:r>
          <w:rPr>
            <w:rStyle w:val="Hyperlink"/>
          </w:rPr>
          <w:t>end (Table Cell Trailing Edge Border)</w:t>
        </w:r>
      </w:hyperlink>
      <w:r>
        <w:t xml:space="preserve"> </w:t>
      </w:r>
      <w:r>
        <w:fldChar w:fldCharType="begin"/>
      </w:r>
      <w:r>
        <w:instrText>PAGEREF section_5afd726060ff42518744b0ed5d826f54</w:instrText>
      </w:r>
      <w:r>
        <w:fldChar w:fldCharType="separate"/>
      </w:r>
      <w:r>
        <w:rPr>
          <w:noProof/>
        </w:rPr>
        <w:t>82</w:t>
      </w:r>
      <w:r>
        <w:fldChar w:fldCharType="end"/>
      </w:r>
    </w:p>
    <w:p w:rsidR="00024C0A" w:rsidRDefault="00694C0F">
      <w:pPr>
        <w:pStyle w:val="indexentry0"/>
      </w:pPr>
      <w:hyperlink w:anchor="section_922e778f0e234947a0e4b52508651f6f">
        <w:r>
          <w:rPr>
            <w:rStyle w:val="Hyperlink"/>
          </w:rPr>
          <w:t>end (Table Cell Trailing Margin Default)</w:t>
        </w:r>
      </w:hyperlink>
      <w:r>
        <w:t xml:space="preserve"> </w:t>
      </w:r>
      <w:r>
        <w:fldChar w:fldCharType="begin"/>
      </w:r>
      <w:r>
        <w:instrText>PAGEREF section_922e778f0e234947a0e4b52508651f6f</w:instrText>
      </w:r>
      <w:r>
        <w:fldChar w:fldCharType="separate"/>
      </w:r>
      <w:r>
        <w:rPr>
          <w:noProof/>
        </w:rPr>
        <w:t>82</w:t>
      </w:r>
      <w:r>
        <w:fldChar w:fldCharType="end"/>
      </w:r>
    </w:p>
    <w:p w:rsidR="00024C0A" w:rsidRDefault="00694C0F">
      <w:pPr>
        <w:pStyle w:val="indexentry0"/>
      </w:pPr>
      <w:hyperlink w:anchor="section_4c92f707926044458881c728fd0988ca">
        <w:r>
          <w:rPr>
            <w:rStyle w:val="Hyperlink"/>
          </w:rPr>
          <w:t>end (Table Cell Trailing Margin Excepti</w:t>
        </w:r>
        <w:r>
          <w:rPr>
            <w:rStyle w:val="Hyperlink"/>
          </w:rPr>
          <w:t>on)</w:t>
        </w:r>
      </w:hyperlink>
      <w:r>
        <w:t xml:space="preserve"> </w:t>
      </w:r>
      <w:r>
        <w:fldChar w:fldCharType="begin"/>
      </w:r>
      <w:r>
        <w:instrText>PAGEREF section_4c92f707926044458881c728fd0988ca</w:instrText>
      </w:r>
      <w:r>
        <w:fldChar w:fldCharType="separate"/>
      </w:r>
      <w:r>
        <w:rPr>
          <w:noProof/>
        </w:rPr>
        <w:t>82</w:t>
      </w:r>
      <w:r>
        <w:fldChar w:fldCharType="end"/>
      </w:r>
    </w:p>
    <w:p w:rsidR="00024C0A" w:rsidRDefault="00694C0F">
      <w:pPr>
        <w:pStyle w:val="indexentry0"/>
      </w:pPr>
      <w:hyperlink w:anchor="section_38d238ef408a4e128032b243fb47247b">
        <w:r>
          <w:rPr>
            <w:rStyle w:val="Hyperlink"/>
          </w:rPr>
          <w:t>end (Table Trailing Edge Border)</w:t>
        </w:r>
      </w:hyperlink>
      <w:r>
        <w:t xml:space="preserve"> </w:t>
      </w:r>
      <w:r>
        <w:fldChar w:fldCharType="begin"/>
      </w:r>
      <w:r>
        <w:instrText>PAGEREF section_38d238ef408a4e128032b243fb47247b</w:instrText>
      </w:r>
      <w:r>
        <w:fldChar w:fldCharType="separate"/>
      </w:r>
      <w:r>
        <w:rPr>
          <w:noProof/>
        </w:rPr>
        <w:t>82</w:t>
      </w:r>
      <w:r>
        <w:fldChar w:fldCharType="end"/>
      </w:r>
    </w:p>
    <w:p w:rsidR="00024C0A" w:rsidRDefault="00694C0F">
      <w:pPr>
        <w:pStyle w:val="indexentry0"/>
      </w:pPr>
      <w:hyperlink w:anchor="section_adcd81b4377b4c819ebd670b0fab6704">
        <w:r>
          <w:rPr>
            <w:rStyle w:val="Hyperlink"/>
          </w:rPr>
          <w:t>end (Trailing Edge Border)</w:t>
        </w:r>
      </w:hyperlink>
      <w:r>
        <w:t xml:space="preserve"> </w:t>
      </w:r>
      <w:r>
        <w:fldChar w:fldCharType="begin"/>
      </w:r>
      <w:r>
        <w:instrText>PAGEREF section_adcd81b4377b4c819ebd670b0fab6704</w:instrText>
      </w:r>
      <w:r>
        <w:fldChar w:fldCharType="separate"/>
      </w:r>
      <w:r>
        <w:rPr>
          <w:noProof/>
        </w:rPr>
        <w:t>297</w:t>
      </w:r>
      <w:r>
        <w:fldChar w:fldCharType="end"/>
      </w:r>
    </w:p>
    <w:p w:rsidR="00024C0A" w:rsidRDefault="00694C0F">
      <w:pPr>
        <w:pStyle w:val="indexentry0"/>
      </w:pPr>
      <w:hyperlink w:anchor="section_5e8ab39f0beb40b1bfb11aea60ce7e2b">
        <w:r>
          <w:rPr>
            <w:rStyle w:val="Hyperlink"/>
          </w:rPr>
          <w:t>endCxn (Connection End)</w:t>
        </w:r>
      </w:hyperlink>
      <w:r>
        <w:t xml:space="preserve"> </w:t>
      </w:r>
      <w:r>
        <w:fldChar w:fldCharType="begin"/>
      </w:r>
      <w:r>
        <w:instrText>PAGEREF section_5e8ab39f0beb40b1bfb11aea60ce7e2b</w:instrText>
      </w:r>
      <w:r>
        <w:fldChar w:fldCharType="separate"/>
      </w:r>
      <w:r>
        <w:rPr>
          <w:noProof/>
        </w:rPr>
        <w:t>495</w:t>
      </w:r>
      <w:r>
        <w:fldChar w:fldCharType="end"/>
      </w:r>
    </w:p>
    <w:p w:rsidR="00024C0A" w:rsidRDefault="00694C0F">
      <w:pPr>
        <w:pStyle w:val="indexentry0"/>
      </w:pPr>
      <w:hyperlink w:anchor="section_9a1dbfc1962449af810efbfd0922949c">
        <w:r>
          <w:rPr>
            <w:rStyle w:val="Hyperlink"/>
          </w:rPr>
          <w:t>endnote (Endnote Content)</w:t>
        </w:r>
      </w:hyperlink>
      <w:r>
        <w:t xml:space="preserve"> </w:t>
      </w:r>
      <w:r>
        <w:fldChar w:fldCharType="begin"/>
      </w:r>
      <w:r>
        <w:instrText>PAGEREF section_9a1dbfc1962449af810efbfd0922949c</w:instrText>
      </w:r>
      <w:r>
        <w:fldChar w:fldCharType="separate"/>
      </w:r>
      <w:r>
        <w:rPr>
          <w:noProof/>
        </w:rPr>
        <w:t>127</w:t>
      </w:r>
      <w:r>
        <w:fldChar w:fldCharType="end"/>
      </w:r>
    </w:p>
    <w:p w:rsidR="00024C0A" w:rsidRDefault="00694C0F">
      <w:pPr>
        <w:pStyle w:val="indexentry0"/>
      </w:pPr>
      <w:hyperlink w:anchor="section_35d669a8a0a04176acf26f206cac5d4d">
        <w:r>
          <w:rPr>
            <w:rStyle w:val="Hyperlink"/>
          </w:rPr>
          <w:t>endnote (Special Endnote List)</w:t>
        </w:r>
      </w:hyperlink>
      <w:r>
        <w:t xml:space="preserve"> </w:t>
      </w:r>
      <w:r>
        <w:fldChar w:fldCharType="begin"/>
      </w:r>
      <w:r>
        <w:instrText>PAGEREF section_35d669a8a0a04176acf26f206cac5d</w:instrText>
      </w:r>
      <w:r>
        <w:instrText>4d</w:instrText>
      </w:r>
      <w:r>
        <w:fldChar w:fldCharType="separate"/>
      </w:r>
      <w:r>
        <w:rPr>
          <w:noProof/>
        </w:rPr>
        <w:t>127</w:t>
      </w:r>
      <w:r>
        <w:fldChar w:fldCharType="end"/>
      </w:r>
    </w:p>
    <w:p w:rsidR="00024C0A" w:rsidRDefault="00694C0F">
      <w:pPr>
        <w:pStyle w:val="indexentry0"/>
      </w:pPr>
      <w:hyperlink w:anchor="section_540efde2e14f4ab0b0aa7961a41fe10b">
        <w:r>
          <w:rPr>
            <w:rStyle w:val="Hyperlink"/>
          </w:rPr>
          <w:t>endnoteReference (Endnote Reference)</w:t>
        </w:r>
      </w:hyperlink>
      <w:r>
        <w:t xml:space="preserve"> </w:t>
      </w:r>
      <w:r>
        <w:fldChar w:fldCharType="begin"/>
      </w:r>
      <w:r>
        <w:instrText>PAGEREF section_540efde2e14f4ab0b0aa7961a41fe10b</w:instrText>
      </w:r>
      <w:r>
        <w:fldChar w:fldCharType="separate"/>
      </w:r>
      <w:r>
        <w:rPr>
          <w:noProof/>
        </w:rPr>
        <w:t>127</w:t>
      </w:r>
      <w:r>
        <w:fldChar w:fldCharType="end"/>
      </w:r>
    </w:p>
    <w:p w:rsidR="00024C0A" w:rsidRDefault="00694C0F">
      <w:pPr>
        <w:pStyle w:val="indexentry0"/>
      </w:pPr>
      <w:hyperlink w:anchor="section_1df959fe2871407da864f6cb7dc4b748">
        <w:r>
          <w:rPr>
            <w:rStyle w:val="Hyperlink"/>
          </w:rPr>
          <w:t>endParaRPr (End Paragraph Run Propert</w:t>
        </w:r>
        <w:r>
          <w:rPr>
            <w:rStyle w:val="Hyperlink"/>
          </w:rPr>
          <w:t>ies)</w:t>
        </w:r>
      </w:hyperlink>
      <w:r>
        <w:t xml:space="preserve"> </w:t>
      </w:r>
      <w:r>
        <w:fldChar w:fldCharType="begin"/>
      </w:r>
      <w:r>
        <w:instrText>PAGEREF section_1df959fe2871407da864f6cb7dc4b748</w:instrText>
      </w:r>
      <w:r>
        <w:fldChar w:fldCharType="separate"/>
      </w:r>
      <w:r>
        <w:rPr>
          <w:noProof/>
        </w:rPr>
        <w:t>527</w:t>
      </w:r>
      <w:r>
        <w:fldChar w:fldCharType="end"/>
      </w:r>
    </w:p>
    <w:p w:rsidR="00024C0A" w:rsidRDefault="00694C0F">
      <w:pPr>
        <w:pStyle w:val="indexentry0"/>
      </w:pPr>
      <w:hyperlink w:anchor="section_7f6da715ef45439db125c955433cf354">
        <w:r>
          <w:rPr>
            <w:rStyle w:val="Hyperlink"/>
          </w:rPr>
          <w:t>endSync (EndSync)</w:t>
        </w:r>
      </w:hyperlink>
      <w:r>
        <w:t xml:space="preserve"> </w:t>
      </w:r>
      <w:r>
        <w:fldChar w:fldCharType="begin"/>
      </w:r>
      <w:r>
        <w:instrText>PAGEREF section_7f6da715ef45439db125c955433cf354</w:instrText>
      </w:r>
      <w:r>
        <w:fldChar w:fldCharType="separate"/>
      </w:r>
      <w:r>
        <w:rPr>
          <w:noProof/>
        </w:rPr>
        <w:t>481</w:t>
      </w:r>
      <w:r>
        <w:fldChar w:fldCharType="end"/>
      </w:r>
    </w:p>
    <w:p w:rsidR="00024C0A" w:rsidRDefault="00694C0F">
      <w:pPr>
        <w:pStyle w:val="indexentry0"/>
      </w:pPr>
      <w:hyperlink w:anchor="section_1116487233dd4c56b88f1fefc6858094">
        <w:r>
          <w:rPr>
            <w:rStyle w:val="Hyperlink"/>
          </w:rPr>
          <w:t>EQ</w:t>
        </w:r>
      </w:hyperlink>
      <w:r>
        <w:t xml:space="preserve"> </w:t>
      </w:r>
      <w:r>
        <w:fldChar w:fldCharType="begin"/>
      </w:r>
      <w:r>
        <w:instrText>PAGEREF section_1116487233dd4c56b88f1fefc6858094</w:instrText>
      </w:r>
      <w:r>
        <w:fldChar w:fldCharType="separate"/>
      </w:r>
      <w:r>
        <w:rPr>
          <w:noProof/>
        </w:rPr>
        <w:t>627</w:t>
      </w:r>
      <w:r>
        <w:fldChar w:fldCharType="end"/>
      </w:r>
    </w:p>
    <w:p w:rsidR="00024C0A" w:rsidRDefault="00694C0F">
      <w:pPr>
        <w:pStyle w:val="indexentry0"/>
      </w:pPr>
      <w:hyperlink w:anchor="section_8f2b9c9aaf81400db9d2d86813102b3d">
        <w:r>
          <w:rPr>
            <w:rStyle w:val="Hyperlink"/>
          </w:rPr>
          <w:t>eqArr (Array Object)</w:t>
        </w:r>
      </w:hyperlink>
      <w:r>
        <w:t xml:space="preserve"> </w:t>
      </w:r>
      <w:r>
        <w:fldChar w:fldCharType="begin"/>
      </w:r>
      <w:r>
        <w:instrText>PAGEREF section_8f2b9c9aaf81400db9d2d86813102b3d</w:instrText>
      </w:r>
      <w:r>
        <w:fldChar w:fldCharType="separate"/>
      </w:r>
      <w:r>
        <w:rPr>
          <w:noProof/>
        </w:rPr>
        <w:t>593</w:t>
      </w:r>
      <w:r>
        <w:fldChar w:fldCharType="end"/>
      </w:r>
    </w:p>
    <w:p w:rsidR="00024C0A" w:rsidRDefault="00694C0F">
      <w:pPr>
        <w:pStyle w:val="indexentry0"/>
      </w:pPr>
      <w:hyperlink w:anchor="section_31ffd3e4140e44dca59bf5545b511558">
        <w:r>
          <w:rPr>
            <w:rStyle w:val="Hyperlink"/>
          </w:rPr>
          <w:t>ERF</w:t>
        </w:r>
      </w:hyperlink>
      <w:r>
        <w:t xml:space="preserve"> </w:t>
      </w:r>
      <w:r>
        <w:fldChar w:fldCharType="begin"/>
      </w:r>
      <w:r>
        <w:instrText>PAGEREF section_31ffd3e4140e44dca59bf5545b511558</w:instrText>
      </w:r>
      <w:r>
        <w:fldChar w:fldCharType="separate"/>
      </w:r>
      <w:r>
        <w:rPr>
          <w:noProof/>
        </w:rPr>
        <w:t>420</w:t>
      </w:r>
      <w:r>
        <w:fldChar w:fldCharType="end"/>
      </w:r>
    </w:p>
    <w:p w:rsidR="00024C0A" w:rsidRDefault="00694C0F">
      <w:pPr>
        <w:pStyle w:val="indexentry0"/>
      </w:pPr>
      <w:hyperlink w:anchor="section_b90dd1d8dd354137b8a059312734a7e2">
        <w:r>
          <w:rPr>
            <w:rStyle w:val="Hyperlink"/>
          </w:rPr>
          <w:t>ERFC</w:t>
        </w:r>
      </w:hyperlink>
      <w:r>
        <w:t xml:space="preserve"> </w:t>
      </w:r>
      <w:r>
        <w:fldChar w:fldCharType="begin"/>
      </w:r>
      <w:r>
        <w:instrText>PAGEREF section_b90dd1d8dd354137b8a059312734a7e2</w:instrText>
      </w:r>
      <w:r>
        <w:fldChar w:fldCharType="separate"/>
      </w:r>
      <w:r>
        <w:rPr>
          <w:noProof/>
        </w:rPr>
        <w:t>420</w:t>
      </w:r>
      <w:r>
        <w:fldChar w:fldCharType="end"/>
      </w:r>
    </w:p>
    <w:p w:rsidR="00024C0A" w:rsidRDefault="00694C0F">
      <w:pPr>
        <w:pStyle w:val="indexentry0"/>
      </w:pPr>
      <w:hyperlink w:anchor="section_31439ccabd5c45fa9c75a12b55c1d15f">
        <w:r>
          <w:rPr>
            <w:rStyle w:val="Hyperlink"/>
          </w:rPr>
          <w:t>errBars (Error Bars)</w:t>
        </w:r>
      </w:hyperlink>
      <w:r>
        <w:t xml:space="preserve"> </w:t>
      </w:r>
      <w:r>
        <w:fldChar w:fldCharType="begin"/>
      </w:r>
      <w:r>
        <w:instrText>PAGEREF section_31439ccabd5c45fa9c75a12b55c1d15f</w:instrText>
      </w:r>
      <w:r>
        <w:fldChar w:fldCharType="separate"/>
      </w:r>
      <w:r>
        <w:rPr>
          <w:noProof/>
        </w:rPr>
        <w:t>547</w:t>
      </w:r>
      <w:r>
        <w:fldChar w:fldCharType="end"/>
      </w:r>
    </w:p>
    <w:p w:rsidR="00024C0A" w:rsidRDefault="00694C0F">
      <w:pPr>
        <w:pStyle w:val="indexentry0"/>
      </w:pPr>
      <w:hyperlink w:anchor="section_761c5fad51b2473984b9087b034ff117">
        <w:r>
          <w:rPr>
            <w:rStyle w:val="Hyperlink"/>
          </w:rPr>
          <w:t>errBarType (Error Bar Type)</w:t>
        </w:r>
      </w:hyperlink>
      <w:r>
        <w:t xml:space="preserve"> </w:t>
      </w:r>
      <w:r>
        <w:fldChar w:fldCharType="begin"/>
      </w:r>
      <w:r>
        <w:instrText>PAGEREF section_761c5fad51b2473984b9087b034ff117</w:instrText>
      </w:r>
      <w:r>
        <w:fldChar w:fldCharType="separate"/>
      </w:r>
      <w:r>
        <w:rPr>
          <w:noProof/>
        </w:rPr>
        <w:t>547</w:t>
      </w:r>
      <w:r>
        <w:fldChar w:fldCharType="end"/>
      </w:r>
    </w:p>
    <w:p w:rsidR="00024C0A" w:rsidRDefault="00694C0F">
      <w:pPr>
        <w:pStyle w:val="indexentry0"/>
      </w:pPr>
      <w:hyperlink w:anchor="section_d68b40e07ab7477d986d84201e67a2d0">
        <w:r>
          <w:rPr>
            <w:rStyle w:val="Hyperlink"/>
          </w:rPr>
          <w:t>errDir (Error Bar Direction)</w:t>
        </w:r>
      </w:hyperlink>
      <w:r>
        <w:t xml:space="preserve"> </w:t>
      </w:r>
      <w:r>
        <w:fldChar w:fldCharType="begin"/>
      </w:r>
      <w:r>
        <w:instrText>PAGEREF section_d68b40e07ab7477d986d84201e67a2d0</w:instrText>
      </w:r>
      <w:r>
        <w:fldChar w:fldCharType="separate"/>
      </w:r>
      <w:r>
        <w:rPr>
          <w:noProof/>
        </w:rPr>
        <w:t>547</w:t>
      </w:r>
      <w:r>
        <w:fldChar w:fldCharType="end"/>
      </w:r>
    </w:p>
    <w:p w:rsidR="00024C0A" w:rsidRDefault="00694C0F">
      <w:pPr>
        <w:pStyle w:val="indexentry0"/>
      </w:pPr>
      <w:hyperlink w:anchor="section_965edd08dd794418946b83294ec25770">
        <w:r>
          <w:rPr>
            <w:rStyle w:val="Hyperlink"/>
          </w:rPr>
          <w:t>Error values</w:t>
        </w:r>
      </w:hyperlink>
      <w:r>
        <w:t xml:space="preserve"> </w:t>
      </w:r>
      <w:r>
        <w:fldChar w:fldCharType="begin"/>
      </w:r>
      <w:r>
        <w:instrText>PAGEREF section_965edd08dd794418946b83294ec25770</w:instrText>
      </w:r>
      <w:r>
        <w:fldChar w:fldCharType="separate"/>
      </w:r>
      <w:r>
        <w:rPr>
          <w:noProof/>
        </w:rPr>
        <w:t>394</w:t>
      </w:r>
      <w:r>
        <w:fldChar w:fldCharType="end"/>
      </w:r>
    </w:p>
    <w:p w:rsidR="00024C0A" w:rsidRDefault="00694C0F">
      <w:pPr>
        <w:pStyle w:val="indexentry0"/>
      </w:pPr>
      <w:hyperlink w:anchor="section_f3689539eb2b4392b05c936b871c4557">
        <w:r>
          <w:rPr>
            <w:rStyle w:val="Hyperlink"/>
          </w:rPr>
          <w:t>ERROR.TYPE</w:t>
        </w:r>
      </w:hyperlink>
      <w:r>
        <w:t xml:space="preserve"> </w:t>
      </w:r>
      <w:r>
        <w:fldChar w:fldCharType="begin"/>
      </w:r>
      <w:r>
        <w:instrText>PAGEREF section_f3689539eb2b4392b05c936b871c4557</w:instrText>
      </w:r>
      <w:r>
        <w:fldChar w:fldCharType="separate"/>
      </w:r>
      <w:r>
        <w:rPr>
          <w:noProof/>
        </w:rPr>
        <w:t>420</w:t>
      </w:r>
      <w:r>
        <w:fldChar w:fldCharType="end"/>
      </w:r>
    </w:p>
    <w:p w:rsidR="00024C0A" w:rsidRDefault="00694C0F">
      <w:pPr>
        <w:pStyle w:val="indexentry0"/>
      </w:pPr>
      <w:hyperlink w:anchor="section_a8d73708564d4e71ba083b7b1f405ea8">
        <w:r>
          <w:rPr>
            <w:rStyle w:val="Hyperlink"/>
          </w:rPr>
          <w:t>errValType (Error Bar Value Type)</w:t>
        </w:r>
      </w:hyperlink>
      <w:r>
        <w:t xml:space="preserve"> </w:t>
      </w:r>
      <w:r>
        <w:fldChar w:fldCharType="begin"/>
      </w:r>
      <w:r>
        <w:instrText>PAGEREF section_a8d73708564d4e71ba083b7b1f405ea8</w:instrText>
      </w:r>
      <w:r>
        <w:fldChar w:fldCharType="separate"/>
      </w:r>
      <w:r>
        <w:rPr>
          <w:noProof/>
        </w:rPr>
        <w:t>548</w:t>
      </w:r>
      <w:r>
        <w:fldChar w:fldCharType="end"/>
      </w:r>
    </w:p>
    <w:p w:rsidR="00024C0A" w:rsidRDefault="00694C0F">
      <w:pPr>
        <w:pStyle w:val="indexentry0"/>
      </w:pPr>
      <w:hyperlink w:anchor="section_e95359624cf342799367637241e4b195">
        <w:r>
          <w:rPr>
            <w:rStyle w:val="Hyperlink"/>
          </w:rPr>
          <w:t>evenAndOddHeaders (Different Even/Odd Page Headers and Footers)</w:t>
        </w:r>
      </w:hyperlink>
      <w:r>
        <w:t xml:space="preserve"> </w:t>
      </w:r>
      <w:r>
        <w:fldChar w:fldCharType="begin"/>
      </w:r>
      <w:r>
        <w:instrText>PAGEREF section_e95359624cf342799367637241e4b195</w:instrText>
      </w:r>
      <w:r>
        <w:fldChar w:fldCharType="separate"/>
      </w:r>
      <w:r>
        <w:rPr>
          <w:noProof/>
        </w:rPr>
        <w:t>126</w:t>
      </w:r>
      <w:r>
        <w:fldChar w:fldCharType="end"/>
      </w:r>
    </w:p>
    <w:p w:rsidR="00024C0A" w:rsidRDefault="00694C0F">
      <w:pPr>
        <w:pStyle w:val="indexentry0"/>
      </w:pPr>
      <w:hyperlink w:anchor="section_0564e12cacce44e9bbda4dd76edd2f07">
        <w:r>
          <w:rPr>
            <w:rStyle w:val="Hyperlink"/>
          </w:rPr>
          <w:t>evenFooter (Even</w:t>
        </w:r>
        <w:r>
          <w:rPr>
            <w:rStyle w:val="Hyperlink"/>
          </w:rPr>
          <w:t xml:space="preserve"> Footer)</w:t>
        </w:r>
      </w:hyperlink>
      <w:r>
        <w:t xml:space="preserve"> </w:t>
      </w:r>
      <w:r>
        <w:fldChar w:fldCharType="begin"/>
      </w:r>
      <w:r>
        <w:instrText>PAGEREF section_0564e12cacce44e9bbda4dd76edd2f07</w:instrText>
      </w:r>
      <w:r>
        <w:fldChar w:fldCharType="separate"/>
      </w:r>
      <w:r>
        <w:rPr>
          <w:noProof/>
        </w:rPr>
        <w:t>548</w:t>
      </w:r>
      <w:r>
        <w:fldChar w:fldCharType="end"/>
      </w:r>
    </w:p>
    <w:p w:rsidR="00024C0A" w:rsidRDefault="00694C0F">
      <w:pPr>
        <w:pStyle w:val="indexentry0"/>
      </w:pPr>
      <w:hyperlink w:anchor="section_7843ab18de4c4bf18c84b20a414d6e4f">
        <w:r>
          <w:rPr>
            <w:rStyle w:val="Hyperlink"/>
          </w:rPr>
          <w:t>evenFooter (Even Page Footer)</w:t>
        </w:r>
      </w:hyperlink>
      <w:r>
        <w:t xml:space="preserve"> </w:t>
      </w:r>
      <w:r>
        <w:fldChar w:fldCharType="begin"/>
      </w:r>
      <w:r>
        <w:instrText>PAGEREF section_7843ab18de4c4bf18c84b20a414d6e4f</w:instrText>
      </w:r>
      <w:r>
        <w:fldChar w:fldCharType="separate"/>
      </w:r>
      <w:r>
        <w:rPr>
          <w:noProof/>
        </w:rPr>
        <w:t>257</w:t>
      </w:r>
      <w:r>
        <w:fldChar w:fldCharType="end"/>
      </w:r>
    </w:p>
    <w:p w:rsidR="00024C0A" w:rsidRDefault="00694C0F">
      <w:pPr>
        <w:pStyle w:val="indexentry0"/>
      </w:pPr>
      <w:hyperlink w:anchor="section_0b142db5aa0143b6b2282cd3f8ac3c1a">
        <w:r>
          <w:rPr>
            <w:rStyle w:val="Hyperlink"/>
          </w:rPr>
          <w:t>evenHeader (Even Header)</w:t>
        </w:r>
      </w:hyperlink>
      <w:r>
        <w:t xml:space="preserve"> </w:t>
      </w:r>
      <w:r>
        <w:fldChar w:fldCharType="begin"/>
      </w:r>
      <w:r>
        <w:instrText>PAGEREF section_0b142db5aa0143b6b2282cd3f8ac3c1a</w:instrText>
      </w:r>
      <w:r>
        <w:fldChar w:fldCharType="separate"/>
      </w:r>
      <w:r>
        <w:rPr>
          <w:noProof/>
        </w:rPr>
        <w:t>548</w:t>
      </w:r>
      <w:r>
        <w:fldChar w:fldCharType="end"/>
      </w:r>
    </w:p>
    <w:p w:rsidR="00024C0A" w:rsidRDefault="00694C0F">
      <w:pPr>
        <w:pStyle w:val="indexentry0"/>
      </w:pPr>
      <w:hyperlink w:anchor="section_c167a24345ad4def816e7032fb1adf5c">
        <w:r>
          <w:rPr>
            <w:rStyle w:val="Hyperlink"/>
          </w:rPr>
          <w:t>evenHeader (Even Page Header)</w:t>
        </w:r>
      </w:hyperlink>
      <w:r>
        <w:t xml:space="preserve"> </w:t>
      </w:r>
      <w:r>
        <w:fldChar w:fldCharType="begin"/>
      </w:r>
      <w:r>
        <w:instrText>PAGEREF section_c167a24345ad4def816e7032fb1adf5c</w:instrText>
      </w:r>
      <w:r>
        <w:fldChar w:fldCharType="separate"/>
      </w:r>
      <w:r>
        <w:rPr>
          <w:noProof/>
        </w:rPr>
        <w:t>257</w:t>
      </w:r>
      <w:r>
        <w:fldChar w:fldCharType="end"/>
      </w:r>
    </w:p>
    <w:p w:rsidR="00024C0A" w:rsidRDefault="00694C0F">
      <w:pPr>
        <w:pStyle w:val="indexentry0"/>
      </w:pPr>
      <w:hyperlink w:anchor="section_b1446808a7f94a6cac4a1ae8175a5705">
        <w:r>
          <w:rPr>
            <w:rStyle w:val="Hyperlink"/>
          </w:rPr>
          <w:t>Excel (Additional Information)</w:t>
        </w:r>
      </w:hyperlink>
      <w:r>
        <w:t xml:space="preserve"> </w:t>
      </w:r>
      <w:r>
        <w:fldChar w:fldCharType="begin"/>
      </w:r>
      <w:r>
        <w:instrText>PAGEREF section_b1446808a7f94a6cac4a1ae8175a5705</w:instrText>
      </w:r>
      <w:r>
        <w:fldChar w:fldCharType="separate"/>
      </w:r>
      <w:r>
        <w:rPr>
          <w:noProof/>
        </w:rPr>
        <w:t>829</w:t>
      </w:r>
      <w:r>
        <w:fldChar w:fldCharType="end"/>
      </w:r>
    </w:p>
    <w:p w:rsidR="00024C0A" w:rsidRDefault="00694C0F">
      <w:pPr>
        <w:pStyle w:val="indexentry0"/>
      </w:pPr>
      <w:hyperlink w:anchor="section_693389eed71540f89ef4055de69fd6a8">
        <w:r>
          <w:rPr>
            <w:rStyle w:val="Hyperlink"/>
          </w:rPr>
          <w:t>Excel Attached Toolbars Part</w:t>
        </w:r>
      </w:hyperlink>
      <w:r>
        <w:t xml:space="preserve"> </w:t>
      </w:r>
      <w:r>
        <w:fldChar w:fldCharType="begin"/>
      </w:r>
      <w:r>
        <w:instrText>PAGEREF section_693389eed71540f89ef40</w:instrText>
      </w:r>
      <w:r>
        <w:instrText>55de69fd6a8</w:instrText>
      </w:r>
      <w:r>
        <w:fldChar w:fldCharType="separate"/>
      </w:r>
      <w:r>
        <w:rPr>
          <w:noProof/>
        </w:rPr>
        <w:t>829</w:t>
      </w:r>
      <w:r>
        <w:fldChar w:fldCharType="end"/>
      </w:r>
    </w:p>
    <w:p w:rsidR="00024C0A" w:rsidRDefault="00694C0F">
      <w:pPr>
        <w:pStyle w:val="indexentry0"/>
      </w:pPr>
      <w:hyperlink w:anchor="section_f9503e589cfb47889dccc494550faea9">
        <w:r>
          <w:rPr>
            <w:rStyle w:val="Hyperlink"/>
          </w:rPr>
          <w:t>excl (Exclusive)</w:t>
        </w:r>
      </w:hyperlink>
      <w:r>
        <w:t xml:space="preserve"> </w:t>
      </w:r>
      <w:r>
        <w:fldChar w:fldCharType="begin"/>
      </w:r>
      <w:r>
        <w:instrText>PAGEREF section_f9503e589cfb47889dccc494550faea9</w:instrText>
      </w:r>
      <w:r>
        <w:fldChar w:fldCharType="separate"/>
      </w:r>
      <w:r>
        <w:rPr>
          <w:noProof/>
        </w:rPr>
        <w:t>481</w:t>
      </w:r>
      <w:r>
        <w:fldChar w:fldCharType="end"/>
      </w:r>
    </w:p>
    <w:p w:rsidR="00024C0A" w:rsidRDefault="00694C0F">
      <w:pPr>
        <w:pStyle w:val="indexentry0"/>
      </w:pPr>
      <w:hyperlink w:anchor="section_cd1772e1ff694c5881e1793baa9fe54c">
        <w:r>
          <w:rPr>
            <w:rStyle w:val="Hyperlink"/>
          </w:rPr>
          <w:t>explosion (Explosion)</w:t>
        </w:r>
      </w:hyperlink>
      <w:r>
        <w:t xml:space="preserve"> </w:t>
      </w:r>
      <w:r>
        <w:fldChar w:fldCharType="begin"/>
      </w:r>
      <w:r>
        <w:instrText>PAGEREF section_cd1772e1</w:instrText>
      </w:r>
      <w:r>
        <w:instrText>ff694c5881e1793baa9fe54c</w:instrText>
      </w:r>
      <w:r>
        <w:fldChar w:fldCharType="separate"/>
      </w:r>
      <w:r>
        <w:rPr>
          <w:noProof/>
        </w:rPr>
        <w:t>548</w:t>
      </w:r>
      <w:r>
        <w:fldChar w:fldCharType="end"/>
      </w:r>
    </w:p>
    <w:p w:rsidR="00024C0A" w:rsidRDefault="00694C0F">
      <w:pPr>
        <w:pStyle w:val="indexentry0"/>
      </w:pPr>
      <w:r>
        <w:t>ext (Extension) (</w:t>
      </w:r>
      <w:hyperlink w:anchor="section_acddb526fd6c4835a83cbdc9f0924045">
        <w:r>
          <w:rPr>
            <w:rStyle w:val="Hyperlink"/>
          </w:rPr>
          <w:t>section 2.1.569</w:t>
        </w:r>
      </w:hyperlink>
      <w:r>
        <w:t xml:space="preserve"> </w:t>
      </w:r>
      <w:r>
        <w:fldChar w:fldCharType="begin"/>
      </w:r>
      <w:r>
        <w:instrText>PAGEREF section_acddb526fd6c4835a83cbdc9f0924045</w:instrText>
      </w:r>
      <w:r>
        <w:fldChar w:fldCharType="separate"/>
      </w:r>
      <w:r>
        <w:rPr>
          <w:noProof/>
        </w:rPr>
        <w:t>239</w:t>
      </w:r>
      <w:r>
        <w:fldChar w:fldCharType="end"/>
      </w:r>
      <w:r>
        <w:t xml:space="preserve">, </w:t>
      </w:r>
      <w:hyperlink w:anchor="section_5d37fa53ccfe40c2b255c6aecc584a0f">
        <w:r>
          <w:rPr>
            <w:rStyle w:val="Hyperlink"/>
          </w:rPr>
          <w:t>section 2.1.1100</w:t>
        </w:r>
      </w:hyperlink>
      <w:r>
        <w:t xml:space="preserve"> </w:t>
      </w:r>
      <w:r>
        <w:fldChar w:fldCharType="begin"/>
      </w:r>
      <w:r>
        <w:instrText>PAGEREF section_5d37fa53ccfe40c2b255c6aecc584a0f</w:instrText>
      </w:r>
      <w:r>
        <w:fldChar w:fldCharType="separate"/>
      </w:r>
      <w:r>
        <w:rPr>
          <w:noProof/>
        </w:rPr>
        <w:t>459</w:t>
      </w:r>
      <w:r>
        <w:fldChar w:fldCharType="end"/>
      </w:r>
      <w:r>
        <w:t xml:space="preserve">, </w:t>
      </w:r>
      <w:hyperlink w:anchor="section_eb76ce70bb7c4714b266be157ebbf2a3">
        <w:r>
          <w:rPr>
            <w:rStyle w:val="Hyperlink"/>
          </w:rPr>
          <w:t>section 2.1.1205</w:t>
        </w:r>
      </w:hyperlink>
      <w:r>
        <w:t xml:space="preserve"> </w:t>
      </w:r>
      <w:r>
        <w:fldChar w:fldCharType="begin"/>
      </w:r>
      <w:r>
        <w:instrText>PAGEREF section_eb76ce70bb7c4714b266be157ebbf2a3</w:instrText>
      </w:r>
      <w:r>
        <w:fldChar w:fldCharType="separate"/>
      </w:r>
      <w:r>
        <w:rPr>
          <w:noProof/>
        </w:rPr>
        <w:t>495</w:t>
      </w:r>
      <w:r>
        <w:fldChar w:fldCharType="end"/>
      </w:r>
      <w:r>
        <w:t>)</w:t>
      </w:r>
    </w:p>
    <w:p w:rsidR="00024C0A" w:rsidRDefault="00694C0F">
      <w:pPr>
        <w:pStyle w:val="indexentry0"/>
      </w:pPr>
      <w:hyperlink w:anchor="section_9e4a12191d6848e683413379366befad">
        <w:r>
          <w:rPr>
            <w:rStyle w:val="Hyperlink"/>
          </w:rPr>
          <w:t>ext (Ext</w:t>
        </w:r>
        <w:r>
          <w:rPr>
            <w:rStyle w:val="Hyperlink"/>
          </w:rPr>
          <w:t>ents)</w:t>
        </w:r>
      </w:hyperlink>
      <w:r>
        <w:t xml:space="preserve"> </w:t>
      </w:r>
      <w:r>
        <w:fldChar w:fldCharType="begin"/>
      </w:r>
      <w:r>
        <w:instrText>PAGEREF section_9e4a12191d6848e683413379366befad</w:instrText>
      </w:r>
      <w:r>
        <w:fldChar w:fldCharType="separate"/>
      </w:r>
      <w:r>
        <w:rPr>
          <w:noProof/>
        </w:rPr>
        <w:t>508</w:t>
      </w:r>
      <w:r>
        <w:fldChar w:fldCharType="end"/>
      </w:r>
    </w:p>
    <w:p w:rsidR="00024C0A" w:rsidRDefault="00694C0F">
      <w:pPr>
        <w:pStyle w:val="indexentry0"/>
      </w:pPr>
      <w:r>
        <w:t>ext (Shape Extent) (</w:t>
      </w:r>
      <w:hyperlink w:anchor="section_d0cb27de1bb348c392d04ce443c8073a">
        <w:r>
          <w:rPr>
            <w:rStyle w:val="Hyperlink"/>
          </w:rPr>
          <w:t>section 2.1.1358</w:t>
        </w:r>
      </w:hyperlink>
      <w:r>
        <w:t xml:space="preserve"> </w:t>
      </w:r>
      <w:r>
        <w:fldChar w:fldCharType="begin"/>
      </w:r>
      <w:r>
        <w:instrText>PAGEREF section_d0cb27de1bb348c392d04ce443c8073a</w:instrText>
      </w:r>
      <w:r>
        <w:fldChar w:fldCharType="separate"/>
      </w:r>
      <w:r>
        <w:rPr>
          <w:noProof/>
        </w:rPr>
        <w:t>523</w:t>
      </w:r>
      <w:r>
        <w:fldChar w:fldCharType="end"/>
      </w:r>
      <w:r>
        <w:t xml:space="preserve">, </w:t>
      </w:r>
      <w:hyperlink w:anchor="section_0e03e978d5d44dc1b3ada77bbb361cfe">
        <w:r>
          <w:rPr>
            <w:rStyle w:val="Hyperlink"/>
          </w:rPr>
          <w:t>section 2.1.1598</w:t>
        </w:r>
      </w:hyperlink>
      <w:r>
        <w:t xml:space="preserve"> </w:t>
      </w:r>
      <w:r>
        <w:fldChar w:fldCharType="begin"/>
      </w:r>
      <w:r>
        <w:instrText>PAGEREF section_0e03e978d5d44dc1b3ada77bbb361cfe</w:instrText>
      </w:r>
      <w:r>
        <w:fldChar w:fldCharType="separate"/>
      </w:r>
      <w:r>
        <w:rPr>
          <w:noProof/>
        </w:rPr>
        <w:t>577</w:t>
      </w:r>
      <w:r>
        <w:fldChar w:fldCharType="end"/>
      </w:r>
      <w:r>
        <w:t>)</w:t>
      </w:r>
    </w:p>
    <w:p w:rsidR="00024C0A" w:rsidRDefault="00694C0F">
      <w:pPr>
        <w:pStyle w:val="indexentry0"/>
      </w:pPr>
      <w:hyperlink w:anchor="section_bb6c413fe6294c9c8fdc22b1138be12e">
        <w:r>
          <w:rPr>
            <w:rStyle w:val="Hyperlink"/>
          </w:rPr>
          <w:t>extent (Drawing Object Size)</w:t>
        </w:r>
      </w:hyperlink>
      <w:r>
        <w:t xml:space="preserve"> </w:t>
      </w:r>
      <w:r>
        <w:fldChar w:fldCharType="begin"/>
      </w:r>
      <w:r>
        <w:instrText>PAGEREF section_bb6c413fe6294c9c8fdc22b1138be12e</w:instrText>
      </w:r>
      <w:r>
        <w:fldChar w:fldCharType="separate"/>
      </w:r>
      <w:r>
        <w:rPr>
          <w:noProof/>
        </w:rPr>
        <w:t>522</w:t>
      </w:r>
      <w:r>
        <w:fldChar w:fldCharType="end"/>
      </w:r>
    </w:p>
    <w:p w:rsidR="00024C0A" w:rsidRDefault="00694C0F">
      <w:pPr>
        <w:pStyle w:val="indexentry0"/>
      </w:pPr>
      <w:hyperlink w:anchor="section_8a1616b2936d416fa5dee155de223008">
        <w:r>
          <w:rPr>
            <w:rStyle w:val="Hyperlink"/>
          </w:rPr>
          <w:t>External Name Formulas</w:t>
        </w:r>
      </w:hyperlink>
      <w:r>
        <w:t xml:space="preserve"> </w:t>
      </w:r>
      <w:r>
        <w:fldChar w:fldCharType="begin"/>
      </w:r>
      <w:r>
        <w:instrText>PAGEREF section_8a1616b2936d416fa5dee155de223008</w:instrText>
      </w:r>
      <w:r>
        <w:fldChar w:fldCharType="separate"/>
      </w:r>
      <w:r>
        <w:rPr>
          <w:noProof/>
        </w:rPr>
        <w:t>839</w:t>
      </w:r>
      <w:r>
        <w:fldChar w:fldCharType="end"/>
      </w:r>
    </w:p>
    <w:p w:rsidR="00024C0A" w:rsidRDefault="00694C0F">
      <w:pPr>
        <w:pStyle w:val="indexentry0"/>
      </w:pPr>
      <w:hyperlink w:anchor="section_69a5e5d3789449c299d7db87b61f4302">
        <w:r>
          <w:rPr>
            <w:rStyle w:val="Hyperlink"/>
          </w:rPr>
          <w:t>External Workbooks</w:t>
        </w:r>
      </w:hyperlink>
      <w:r>
        <w:t xml:space="preserve"> </w:t>
      </w:r>
      <w:r>
        <w:fldChar w:fldCharType="begin"/>
      </w:r>
      <w:r>
        <w:instrText>PAGEREF section_69a5e5d3789449c299d7db87b61f4302</w:instrText>
      </w:r>
      <w:r>
        <w:fldChar w:fldCharType="separate"/>
      </w:r>
      <w:r>
        <w:rPr>
          <w:noProof/>
        </w:rPr>
        <w:t>49</w:t>
      </w:r>
      <w:r>
        <w:fldChar w:fldCharType="end"/>
      </w:r>
    </w:p>
    <w:p w:rsidR="00024C0A" w:rsidRDefault="00694C0F">
      <w:pPr>
        <w:pStyle w:val="indexentry0"/>
      </w:pPr>
      <w:hyperlink w:anchor="section_3749a6907ce74cf0897acb98f767dd91">
        <w:r>
          <w:rPr>
            <w:rStyle w:val="Hyperlink"/>
          </w:rPr>
          <w:t>externalData (External Data Relationship)</w:t>
        </w:r>
      </w:hyperlink>
      <w:r>
        <w:t xml:space="preserve"> </w:t>
      </w:r>
      <w:r>
        <w:fldChar w:fldCharType="begin"/>
      </w:r>
      <w:r>
        <w:instrText>PAGEREF section_3749a6907ce74cf0897acb98f767dd91</w:instrText>
      </w:r>
      <w:r>
        <w:fldChar w:fldCharType="separate"/>
      </w:r>
      <w:r>
        <w:rPr>
          <w:noProof/>
        </w:rPr>
        <w:t>548</w:t>
      </w:r>
      <w:r>
        <w:fldChar w:fldCharType="end"/>
      </w:r>
    </w:p>
    <w:p w:rsidR="00024C0A" w:rsidRDefault="00694C0F">
      <w:pPr>
        <w:pStyle w:val="indexentry0"/>
      </w:pPr>
      <w:hyperlink w:anchor="section_f529ffb15f1f4b838626d53767553c27">
        <w:r>
          <w:rPr>
            <w:rStyle w:val="Hyperlink"/>
          </w:rPr>
          <w:t>externalLink (External Reference)</w:t>
        </w:r>
      </w:hyperlink>
      <w:r>
        <w:t xml:space="preserve"> </w:t>
      </w:r>
      <w:r>
        <w:fldChar w:fldCharType="begin"/>
      </w:r>
      <w:r>
        <w:instrText xml:space="preserve">PAGEREF </w:instrText>
      </w:r>
      <w:r>
        <w:instrText>section_f529ffb15f1f4b838626d53767553c27</w:instrText>
      </w:r>
      <w:r>
        <w:fldChar w:fldCharType="separate"/>
      </w:r>
      <w:r>
        <w:rPr>
          <w:noProof/>
        </w:rPr>
        <w:t>380</w:t>
      </w:r>
      <w:r>
        <w:fldChar w:fldCharType="end"/>
      </w:r>
    </w:p>
    <w:p w:rsidR="00024C0A" w:rsidRDefault="00694C0F">
      <w:pPr>
        <w:pStyle w:val="indexentry0"/>
      </w:pPr>
      <w:hyperlink w:anchor="section_5cc825ef81d54aae9f101106494252e6">
        <w:r>
          <w:rPr>
            <w:rStyle w:val="Hyperlink"/>
          </w:rPr>
          <w:t>externalReferences (External References)</w:t>
        </w:r>
      </w:hyperlink>
      <w:r>
        <w:t xml:space="preserve"> </w:t>
      </w:r>
      <w:r>
        <w:fldChar w:fldCharType="begin"/>
      </w:r>
      <w:r>
        <w:instrText>PAGEREF section_5cc825ef81d54aae9f101106494252e6</w:instrText>
      </w:r>
      <w:r>
        <w:fldChar w:fldCharType="separate"/>
      </w:r>
      <w:r>
        <w:rPr>
          <w:noProof/>
        </w:rPr>
        <w:t>239</w:t>
      </w:r>
      <w:r>
        <w:fldChar w:fldCharType="end"/>
      </w:r>
    </w:p>
    <w:p w:rsidR="00024C0A" w:rsidRDefault="00694C0F">
      <w:pPr>
        <w:pStyle w:val="indexentry0"/>
      </w:pPr>
      <w:hyperlink w:anchor="section_0523e379c86b46ecb61f82d5b35c518d">
        <w:r>
          <w:rPr>
            <w:rStyle w:val="Hyperlink"/>
          </w:rPr>
          <w:t>extLst (Extension List)</w:t>
        </w:r>
      </w:hyperlink>
      <w:r>
        <w:t xml:space="preserve"> </w:t>
      </w:r>
      <w:r>
        <w:fldChar w:fldCharType="begin"/>
      </w:r>
      <w:r>
        <w:instrText>PAGEREF section_0523e379c86b46ecb61f82d5b35c518d</w:instrText>
      </w:r>
      <w:r>
        <w:fldChar w:fldCharType="separate"/>
      </w:r>
      <w:r>
        <w:rPr>
          <w:noProof/>
        </w:rPr>
        <w:t>580</w:t>
      </w:r>
      <w:r>
        <w:fldChar w:fldCharType="end"/>
      </w:r>
    </w:p>
    <w:p w:rsidR="00024C0A" w:rsidRDefault="00694C0F">
      <w:pPr>
        <w:pStyle w:val="indexentry0"/>
      </w:pPr>
      <w:hyperlink w:anchor="section_7dd065e56a594b118acc376dad8fdfcb">
        <w:r>
          <w:rPr>
            <w:rStyle w:val="Hyperlink"/>
          </w:rPr>
          <w:t>extrusion (3D Extrusion)</w:t>
        </w:r>
      </w:hyperlink>
      <w:r>
        <w:t xml:space="preserve"> </w:t>
      </w:r>
      <w:r>
        <w:fldChar w:fldCharType="begin"/>
      </w:r>
      <w:r>
        <w:instrText>PAGEREF section_7dd065e56a594</w:instrText>
      </w:r>
      <w:r>
        <w:instrText>b118acc376dad8fdfcb</w:instrText>
      </w:r>
      <w:r>
        <w:fldChar w:fldCharType="separate"/>
      </w:r>
      <w:r>
        <w:rPr>
          <w:noProof/>
        </w:rPr>
        <w:t>662</w:t>
      </w:r>
      <w:r>
        <w:fldChar w:fldCharType="end"/>
      </w:r>
    </w:p>
    <w:p w:rsidR="00024C0A" w:rsidRDefault="00694C0F">
      <w:pPr>
        <w:pStyle w:val="indexentry0"/>
      </w:pPr>
      <w:hyperlink w:anchor="section_eafb568b9dd04f2ea337b163dc1080df">
        <w:r>
          <w:rPr>
            <w:rStyle w:val="Hyperlink"/>
          </w:rPr>
          <w:t>extrusionClr (Extrusion Color)</w:t>
        </w:r>
      </w:hyperlink>
      <w:r>
        <w:t xml:space="preserve"> </w:t>
      </w:r>
      <w:r>
        <w:fldChar w:fldCharType="begin"/>
      </w:r>
      <w:r>
        <w:instrText>PAGEREF section_eafb568b9dd04f2ea337b163dc1080df</w:instrText>
      </w:r>
      <w:r>
        <w:fldChar w:fldCharType="separate"/>
      </w:r>
      <w:r>
        <w:rPr>
          <w:noProof/>
        </w:rPr>
        <w:t>506</w:t>
      </w:r>
      <w:r>
        <w:fldChar w:fldCharType="end"/>
      </w:r>
    </w:p>
    <w:p w:rsidR="00024C0A" w:rsidRDefault="00024C0A">
      <w:pPr>
        <w:spacing w:before="0" w:after="0"/>
        <w:rPr>
          <w:sz w:val="16"/>
        </w:rPr>
      </w:pPr>
    </w:p>
    <w:p w:rsidR="00024C0A" w:rsidRDefault="00694C0F">
      <w:pPr>
        <w:pStyle w:val="indexheader"/>
      </w:pPr>
      <w:r>
        <w:t>F</w:t>
      </w:r>
    </w:p>
    <w:p w:rsidR="00024C0A" w:rsidRDefault="00024C0A">
      <w:pPr>
        <w:spacing w:before="0" w:after="0"/>
        <w:rPr>
          <w:sz w:val="16"/>
        </w:rPr>
      </w:pPr>
    </w:p>
    <w:p w:rsidR="00024C0A" w:rsidRDefault="00694C0F">
      <w:pPr>
        <w:pStyle w:val="indexentry0"/>
      </w:pPr>
      <w:r>
        <w:t>f (Formula) (</w:t>
      </w:r>
      <w:hyperlink w:anchor="section_b5d1f58cb1a14fcdaaa0ee7f4e8af9de">
        <w:r>
          <w:rPr>
            <w:rStyle w:val="Hyperlink"/>
          </w:rPr>
          <w:t>section 2</w:t>
        </w:r>
        <w:r>
          <w:rPr>
            <w:rStyle w:val="Hyperlink"/>
          </w:rPr>
          <w:t>.1.619</w:t>
        </w:r>
      </w:hyperlink>
      <w:r>
        <w:t xml:space="preserve"> </w:t>
      </w:r>
      <w:r>
        <w:fldChar w:fldCharType="begin"/>
      </w:r>
      <w:r>
        <w:instrText>PAGEREF section_b5d1f58cb1a14fcdaaa0ee7f4e8af9de</w:instrText>
      </w:r>
      <w:r>
        <w:fldChar w:fldCharType="separate"/>
      </w:r>
      <w:r>
        <w:rPr>
          <w:noProof/>
        </w:rPr>
        <w:t>260</w:t>
      </w:r>
      <w:r>
        <w:fldChar w:fldCharType="end"/>
      </w:r>
      <w:r>
        <w:t xml:space="preserve">, </w:t>
      </w:r>
      <w:hyperlink w:anchor="section_49f95e2f04914f4cb552091b1fb6d822">
        <w:r>
          <w:rPr>
            <w:rStyle w:val="Hyperlink"/>
          </w:rPr>
          <w:t>section 2.1.1461</w:t>
        </w:r>
      </w:hyperlink>
      <w:r>
        <w:t xml:space="preserve"> </w:t>
      </w:r>
      <w:r>
        <w:fldChar w:fldCharType="begin"/>
      </w:r>
      <w:r>
        <w:instrText>PAGEREF section_49f95e2f04914f4cb552091b1fb6d822</w:instrText>
      </w:r>
      <w:r>
        <w:fldChar w:fldCharType="separate"/>
      </w:r>
      <w:r>
        <w:rPr>
          <w:noProof/>
        </w:rPr>
        <w:t>548</w:t>
      </w:r>
      <w:r>
        <w:fldChar w:fldCharType="end"/>
      </w:r>
      <w:r>
        <w:t>)</w:t>
      </w:r>
    </w:p>
    <w:p w:rsidR="00024C0A" w:rsidRDefault="00694C0F">
      <w:pPr>
        <w:pStyle w:val="indexentry0"/>
      </w:pPr>
      <w:hyperlink w:anchor="section_7c29cbd83f0c4281ae04fc97a81be129">
        <w:r>
          <w:rPr>
            <w:rStyle w:val="Hyperlink"/>
          </w:rPr>
          <w:t>f (Fraction Object)</w:t>
        </w:r>
      </w:hyperlink>
      <w:r>
        <w:t xml:space="preserve"> </w:t>
      </w:r>
      <w:r>
        <w:fldChar w:fldCharType="begin"/>
      </w:r>
      <w:r>
        <w:instrText>PAGEREF section_7c29cbd83f0c4281ae04fc97a81be129</w:instrText>
      </w:r>
      <w:r>
        <w:fldChar w:fldCharType="separate"/>
      </w:r>
      <w:r>
        <w:rPr>
          <w:noProof/>
        </w:rPr>
        <w:t>593</w:t>
      </w:r>
      <w:r>
        <w:fldChar w:fldCharType="end"/>
      </w:r>
    </w:p>
    <w:p w:rsidR="00024C0A" w:rsidRDefault="00694C0F">
      <w:pPr>
        <w:pStyle w:val="indexentry0"/>
      </w:pPr>
      <w:hyperlink w:anchor="section_d0bb89e5efb44aeab0185307847172e1">
        <w:r>
          <w:rPr>
            <w:rStyle w:val="Hyperlink"/>
          </w:rPr>
          <w:t>f (Single Formula)</w:t>
        </w:r>
      </w:hyperlink>
      <w:r>
        <w:t xml:space="preserve"> </w:t>
      </w:r>
      <w:r>
        <w:fldChar w:fldCharType="begin"/>
      </w:r>
      <w:r>
        <w:instrText>PAGEREF section_d0bb89e5efb44aeab0185307847172e1</w:instrText>
      </w:r>
      <w:r>
        <w:fldChar w:fldCharType="separate"/>
      </w:r>
      <w:r>
        <w:rPr>
          <w:noProof/>
        </w:rPr>
        <w:t>638</w:t>
      </w:r>
      <w:r>
        <w:fldChar w:fldCharType="end"/>
      </w:r>
    </w:p>
    <w:p w:rsidR="00024C0A" w:rsidRDefault="00694C0F">
      <w:pPr>
        <w:pStyle w:val="indexentry0"/>
      </w:pPr>
      <w:r>
        <w:t>family (Font Family) (</w:t>
      </w:r>
      <w:hyperlink w:anchor="section_d78baa1b850d4aeb91cc254c814a4cba">
        <w:r>
          <w:rPr>
            <w:rStyle w:val="Hyperlink"/>
          </w:rPr>
          <w:t>section 2.1.269</w:t>
        </w:r>
      </w:hyperlink>
      <w:r>
        <w:t xml:space="preserve"> </w:t>
      </w:r>
      <w:r>
        <w:fldChar w:fldCharType="begin"/>
      </w:r>
      <w:r>
        <w:instrText>PAGEREF section_d78baa1b850d4aeb91cc254c814a4cba</w:instrText>
      </w:r>
      <w:r>
        <w:fldChar w:fldCharType="separate"/>
      </w:r>
      <w:r>
        <w:rPr>
          <w:noProof/>
        </w:rPr>
        <w:t>121</w:t>
      </w:r>
      <w:r>
        <w:fldChar w:fldCharType="end"/>
      </w:r>
      <w:r>
        <w:t xml:space="preserve">, </w:t>
      </w:r>
      <w:hyperlink w:anchor="section_2b2b6126757449f8bbcf6335bb1f7026">
        <w:r>
          <w:rPr>
            <w:rStyle w:val="Hyperlink"/>
          </w:rPr>
          <w:t>section 2.1.702</w:t>
        </w:r>
      </w:hyperlink>
      <w:r>
        <w:t xml:space="preserve"> </w:t>
      </w:r>
      <w:r>
        <w:fldChar w:fldCharType="begin"/>
      </w:r>
      <w:r>
        <w:instrText>PAGEREF section_2b2b6126757449f8bbcf6335bb1f7</w:instrText>
      </w:r>
      <w:r>
        <w:instrText>026</w:instrText>
      </w:r>
      <w:r>
        <w:fldChar w:fldCharType="separate"/>
      </w:r>
      <w:r>
        <w:rPr>
          <w:noProof/>
        </w:rPr>
        <w:t>297</w:t>
      </w:r>
      <w:r>
        <w:fldChar w:fldCharType="end"/>
      </w:r>
      <w:r>
        <w:t>)</w:t>
      </w:r>
    </w:p>
    <w:p w:rsidR="00024C0A" w:rsidRDefault="00694C0F">
      <w:pPr>
        <w:pStyle w:val="indexentry0"/>
      </w:pPr>
      <w:hyperlink w:anchor="section_e7fbfaec48a0443e91cc16c53cefbd44">
        <w:r>
          <w:rPr>
            <w:rStyle w:val="Hyperlink"/>
          </w:rPr>
          <w:t>fci (Fixed Command Keyboard Customization Action)</w:t>
        </w:r>
      </w:hyperlink>
      <w:r>
        <w:t xml:space="preserve"> </w:t>
      </w:r>
      <w:r>
        <w:fldChar w:fldCharType="begin"/>
      </w:r>
      <w:r>
        <w:instrText>PAGEREF section_e7fbfaec48a0443e91cc16c53cefbd44</w:instrText>
      </w:r>
      <w:r>
        <w:fldChar w:fldCharType="separate"/>
      </w:r>
      <w:r>
        <w:rPr>
          <w:noProof/>
        </w:rPr>
        <w:t>692</w:t>
      </w:r>
      <w:r>
        <w:fldChar w:fldCharType="end"/>
      </w:r>
    </w:p>
    <w:p w:rsidR="00024C0A" w:rsidRDefault="00694C0F">
      <w:pPr>
        <w:pStyle w:val="indexentry0"/>
      </w:pPr>
      <w:hyperlink w:anchor="section_0d5f6b5ce8ae4cd3a79f5d4a6b364db7">
        <w:r>
          <w:rPr>
            <w:rStyle w:val="Hyperlink"/>
          </w:rPr>
          <w:t>ffData (Form Field Properties)</w:t>
        </w:r>
      </w:hyperlink>
      <w:r>
        <w:t xml:space="preserve"> </w:t>
      </w:r>
      <w:r>
        <w:fldChar w:fldCharType="begin"/>
      </w:r>
      <w:r>
        <w:instrText>PAGEREF section_0d5f6b5ce8ae4cd3a79f5d4a6b364db7</w:instrText>
      </w:r>
      <w:r>
        <w:fldChar w:fldCharType="separate"/>
      </w:r>
      <w:r>
        <w:rPr>
          <w:noProof/>
        </w:rPr>
        <w:t>225</w:t>
      </w:r>
      <w:r>
        <w:fldChar w:fldCharType="end"/>
      </w:r>
    </w:p>
    <w:p w:rsidR="00024C0A" w:rsidRDefault="00694C0F">
      <w:pPr>
        <w:pStyle w:val="indexentry0"/>
      </w:pPr>
      <w:hyperlink w:anchor="section_df550c30b35c42d29914f3011ba1f2e6">
        <w:r>
          <w:rPr>
            <w:rStyle w:val="Hyperlink"/>
          </w:rPr>
          <w:t>fgColor (Foreground Color)</w:t>
        </w:r>
      </w:hyperlink>
      <w:r>
        <w:t xml:space="preserve"> </w:t>
      </w:r>
      <w:r>
        <w:fldChar w:fldCharType="begin"/>
      </w:r>
      <w:r>
        <w:instrText>PAGEREF section_df550c30b35c42d29914f3011ba1f2e6</w:instrText>
      </w:r>
      <w:r>
        <w:fldChar w:fldCharType="separate"/>
      </w:r>
      <w:r>
        <w:rPr>
          <w:noProof/>
        </w:rPr>
        <w:t>298</w:t>
      </w:r>
      <w:r>
        <w:fldChar w:fldCharType="end"/>
      </w:r>
    </w:p>
    <w:p w:rsidR="00024C0A" w:rsidRDefault="00694C0F">
      <w:pPr>
        <w:pStyle w:val="indexentry0"/>
      </w:pPr>
      <w:hyperlink w:anchor="section_bdee1e1f1cb94cd7a7e2e4339f0b8cd2">
        <w:r>
          <w:rPr>
            <w:rStyle w:val="Hyperlink"/>
          </w:rPr>
          <w:t>fHdr (First Row of Data Source Contains Column Names)</w:t>
        </w:r>
      </w:hyperlink>
      <w:r>
        <w:t xml:space="preserve"> </w:t>
      </w:r>
      <w:r>
        <w:fldChar w:fldCharType="begin"/>
      </w:r>
      <w:r>
        <w:instrText>PAGEREF section_bdee1e1f1cb94cd7a7e2e4339f0b8cd2</w:instrText>
      </w:r>
      <w:r>
        <w:fldChar w:fldCharType="separate"/>
      </w:r>
      <w:r>
        <w:rPr>
          <w:noProof/>
        </w:rPr>
        <w:t>142</w:t>
      </w:r>
      <w:r>
        <w:fldChar w:fldCharType="end"/>
      </w:r>
    </w:p>
    <w:p w:rsidR="00024C0A" w:rsidRDefault="00694C0F">
      <w:pPr>
        <w:pStyle w:val="indexentry0"/>
      </w:pPr>
      <w:hyperlink w:anchor="section_d7eb83632269495ca763121660facbbc">
        <w:r>
          <w:rPr>
            <w:rStyle w:val="Hyperlink"/>
          </w:rPr>
          <w:t>field (Field)</w:t>
        </w:r>
      </w:hyperlink>
      <w:r>
        <w:t xml:space="preserve"> </w:t>
      </w:r>
      <w:r>
        <w:fldChar w:fldCharType="begin"/>
      </w:r>
      <w:r>
        <w:instrText>PAGEREF section_d7eb83632269495ca763121</w:instrText>
      </w:r>
      <w:r>
        <w:instrText>660facbbc</w:instrText>
      </w:r>
      <w:r>
        <w:fldChar w:fldCharType="separate"/>
      </w:r>
      <w:r>
        <w:rPr>
          <w:noProof/>
        </w:rPr>
        <w:t>333</w:t>
      </w:r>
      <w:r>
        <w:fldChar w:fldCharType="end"/>
      </w:r>
    </w:p>
    <w:p w:rsidR="00024C0A" w:rsidRDefault="00694C0F">
      <w:pPr>
        <w:pStyle w:val="indexentry0"/>
      </w:pPr>
      <w:hyperlink w:anchor="section_093a3ca886ad4a0d89216b37ba1d2ce1">
        <w:r>
          <w:rPr>
            <w:rStyle w:val="Hyperlink"/>
          </w:rPr>
          <w:t>FieldCodes (WordprocessingML Field Switches)</w:t>
        </w:r>
      </w:hyperlink>
      <w:r>
        <w:t xml:space="preserve"> </w:t>
      </w:r>
      <w:r>
        <w:fldChar w:fldCharType="begin"/>
      </w:r>
      <w:r>
        <w:instrText>PAGEREF section_093a3ca886ad4a0d89216b37ba1d2ce1</w:instrText>
      </w:r>
      <w:r>
        <w:fldChar w:fldCharType="separate"/>
      </w:r>
      <w:r>
        <w:rPr>
          <w:noProof/>
        </w:rPr>
        <w:t>664</w:t>
      </w:r>
      <w:r>
        <w:fldChar w:fldCharType="end"/>
      </w:r>
    </w:p>
    <w:p w:rsidR="00024C0A" w:rsidRDefault="00694C0F">
      <w:pPr>
        <w:pStyle w:val="indexentry0"/>
      </w:pPr>
      <w:hyperlink w:anchor="section_98b3cb48ba2d410889aab8ea451e0d93">
        <w:r>
          <w:rPr>
            <w:rStyle w:val="Hyperlink"/>
          </w:rPr>
          <w:t>fieldGroup (Field Grou</w:t>
        </w:r>
        <w:r>
          <w:rPr>
            <w:rStyle w:val="Hyperlink"/>
          </w:rPr>
          <w:t>p Properties)</w:t>
        </w:r>
      </w:hyperlink>
      <w:r>
        <w:t xml:space="preserve"> </w:t>
      </w:r>
      <w:r>
        <w:fldChar w:fldCharType="begin"/>
      </w:r>
      <w:r>
        <w:instrText>PAGEREF section_98b3cb48ba2d410889aab8ea451e0d93</w:instrText>
      </w:r>
      <w:r>
        <w:fldChar w:fldCharType="separate"/>
      </w:r>
      <w:r>
        <w:rPr>
          <w:noProof/>
        </w:rPr>
        <w:t>333</w:t>
      </w:r>
      <w:r>
        <w:fldChar w:fldCharType="end"/>
      </w:r>
    </w:p>
    <w:p w:rsidR="00024C0A" w:rsidRDefault="00694C0F">
      <w:pPr>
        <w:pStyle w:val="indexentry0"/>
      </w:pPr>
      <w:hyperlink w:anchor="section_df0bbd4bc5e44836a65cf956185a0f8d">
        <w:r>
          <w:rPr>
            <w:rStyle w:val="Hyperlink"/>
          </w:rPr>
          <w:t>fieldMapData (External Data Source to Merge Field Mapping)</w:t>
        </w:r>
      </w:hyperlink>
      <w:r>
        <w:t xml:space="preserve"> </w:t>
      </w:r>
      <w:r>
        <w:fldChar w:fldCharType="begin"/>
      </w:r>
      <w:r>
        <w:instrText>PAGEREF section_df0bbd4bc5e44836a65cf956185a0f8d</w:instrText>
      </w:r>
      <w:r>
        <w:fldChar w:fldCharType="separate"/>
      </w:r>
      <w:r>
        <w:rPr>
          <w:noProof/>
        </w:rPr>
        <w:t>142</w:t>
      </w:r>
      <w:r>
        <w:fldChar w:fldCharType="end"/>
      </w:r>
    </w:p>
    <w:p w:rsidR="00024C0A" w:rsidRDefault="00694C0F">
      <w:pPr>
        <w:pStyle w:val="indexentry0"/>
      </w:pPr>
      <w:hyperlink w:anchor="section_e3e39bfa42ef489a95f05a5b79682144">
        <w:r>
          <w:rPr>
            <w:rStyle w:val="Hyperlink"/>
          </w:rPr>
          <w:t>fieldsUsage (Fields Usage)</w:t>
        </w:r>
      </w:hyperlink>
      <w:r>
        <w:t xml:space="preserve"> </w:t>
      </w:r>
      <w:r>
        <w:fldChar w:fldCharType="begin"/>
      </w:r>
      <w:r>
        <w:instrText>PAGEREF section_e3e39bfa42ef489a95f05a5b79682144</w:instrText>
      </w:r>
      <w:r>
        <w:fldChar w:fldCharType="separate"/>
      </w:r>
      <w:r>
        <w:rPr>
          <w:noProof/>
        </w:rPr>
        <w:t>333</w:t>
      </w:r>
      <w:r>
        <w:fldChar w:fldCharType="end"/>
      </w:r>
    </w:p>
    <w:p w:rsidR="00024C0A" w:rsidRDefault="00694C0F">
      <w:pPr>
        <w:pStyle w:val="indexentry0"/>
      </w:pPr>
      <w:hyperlink w:anchor="section_cee4d9c4c5d84b4ba4f6a26f52d0024f">
        <w:r>
          <w:rPr>
            <w:rStyle w:val="Hyperlink"/>
          </w:rPr>
          <w:t>fieldUsage (PivotCache Field Id)</w:t>
        </w:r>
      </w:hyperlink>
      <w:r>
        <w:t xml:space="preserve"> </w:t>
      </w:r>
      <w:r>
        <w:fldChar w:fldCharType="begin"/>
      </w:r>
      <w:r>
        <w:instrText>PAGEREF section_cee4d9c4c5d84b4b</w:instrText>
      </w:r>
      <w:r>
        <w:instrText>a4f6a26f52d0024f</w:instrText>
      </w:r>
      <w:r>
        <w:fldChar w:fldCharType="separate"/>
      </w:r>
      <w:r>
        <w:rPr>
          <w:noProof/>
        </w:rPr>
        <w:t>334</w:t>
      </w:r>
      <w:r>
        <w:fldChar w:fldCharType="end"/>
      </w:r>
    </w:p>
    <w:p w:rsidR="00024C0A" w:rsidRDefault="00694C0F">
      <w:pPr>
        <w:pStyle w:val="indexentry0"/>
      </w:pPr>
      <w:hyperlink w:anchor="section_784e4943f18a405e8483182e618231a2">
        <w:r>
          <w:rPr>
            <w:rStyle w:val="Hyperlink"/>
          </w:rPr>
          <w:t>FILENAME</w:t>
        </w:r>
      </w:hyperlink>
      <w:r>
        <w:t xml:space="preserve"> </w:t>
      </w:r>
      <w:r>
        <w:fldChar w:fldCharType="begin"/>
      </w:r>
      <w:r>
        <w:instrText>PAGEREF section_784e4943f18a405e8483182e618231a2</w:instrText>
      </w:r>
      <w:r>
        <w:fldChar w:fldCharType="separate"/>
      </w:r>
      <w:r>
        <w:rPr>
          <w:noProof/>
        </w:rPr>
        <w:t>213</w:t>
      </w:r>
      <w:r>
        <w:fldChar w:fldCharType="end"/>
      </w:r>
    </w:p>
    <w:p w:rsidR="00024C0A" w:rsidRDefault="00694C0F">
      <w:pPr>
        <w:pStyle w:val="indexentry0"/>
      </w:pPr>
      <w:hyperlink w:anchor="section_edcec9df5b19418eb91708b7fd2c4bda">
        <w:r>
          <w:rPr>
            <w:rStyle w:val="Hyperlink"/>
          </w:rPr>
          <w:t>fileRecoveryPr (File Recovery Properties)</w:t>
        </w:r>
      </w:hyperlink>
      <w:r>
        <w:t xml:space="preserve"> </w:t>
      </w:r>
      <w:r>
        <w:fldChar w:fldCharType="begin"/>
      </w:r>
      <w:r>
        <w:instrText>PAGEREF section_edcec9df5b19418eb91708b7fd2c4bda</w:instrText>
      </w:r>
      <w:r>
        <w:fldChar w:fldCharType="separate"/>
      </w:r>
      <w:r>
        <w:rPr>
          <w:noProof/>
        </w:rPr>
        <w:t>239</w:t>
      </w:r>
      <w:r>
        <w:fldChar w:fldCharType="end"/>
      </w:r>
    </w:p>
    <w:p w:rsidR="00024C0A" w:rsidRDefault="00694C0F">
      <w:pPr>
        <w:pStyle w:val="indexentry0"/>
      </w:pPr>
      <w:hyperlink w:anchor="section_2faf54e798054ca5a4e7e74f85d96201">
        <w:r>
          <w:rPr>
            <w:rStyle w:val="Hyperlink"/>
          </w:rPr>
          <w:t>fileSharing (File Sharing)</w:t>
        </w:r>
      </w:hyperlink>
      <w:r>
        <w:t xml:space="preserve"> </w:t>
      </w:r>
      <w:r>
        <w:fldChar w:fldCharType="begin"/>
      </w:r>
      <w:r>
        <w:instrText>PAGEREF section_2faf54e798054ca5a4e7e74f85d96201</w:instrText>
      </w:r>
      <w:r>
        <w:fldChar w:fldCharType="separate"/>
      </w:r>
      <w:r>
        <w:rPr>
          <w:noProof/>
        </w:rPr>
        <w:t>239</w:t>
      </w:r>
      <w:r>
        <w:fldChar w:fldCharType="end"/>
      </w:r>
    </w:p>
    <w:p w:rsidR="00024C0A" w:rsidRDefault="00694C0F">
      <w:pPr>
        <w:pStyle w:val="indexentry0"/>
      </w:pPr>
      <w:hyperlink w:anchor="section_25aa9afa28e246f0871e6dfdff199b11">
        <w:r>
          <w:rPr>
            <w:rStyle w:val="Hyperlink"/>
          </w:rPr>
          <w:t>F</w:t>
        </w:r>
        <w:r>
          <w:rPr>
            <w:rStyle w:val="Hyperlink"/>
          </w:rPr>
          <w:t>ILESIZE</w:t>
        </w:r>
      </w:hyperlink>
      <w:r>
        <w:t xml:space="preserve"> </w:t>
      </w:r>
      <w:r>
        <w:fldChar w:fldCharType="begin"/>
      </w:r>
      <w:r>
        <w:instrText>PAGEREF section_25aa9afa28e246f0871e6dfdff199b11</w:instrText>
      </w:r>
      <w:r>
        <w:fldChar w:fldCharType="separate"/>
      </w:r>
      <w:r>
        <w:rPr>
          <w:noProof/>
        </w:rPr>
        <w:t>213</w:t>
      </w:r>
      <w:r>
        <w:fldChar w:fldCharType="end"/>
      </w:r>
    </w:p>
    <w:p w:rsidR="00024C0A" w:rsidRDefault="00694C0F">
      <w:pPr>
        <w:pStyle w:val="indexentry0"/>
      </w:pPr>
      <w:hyperlink w:anchor="section_50a9e454253c4156b3699b29fe34570d">
        <w:r>
          <w:rPr>
            <w:rStyle w:val="Hyperlink"/>
          </w:rPr>
          <w:t>filetime (File Time)</w:t>
        </w:r>
      </w:hyperlink>
      <w:r>
        <w:t xml:space="preserve"> </w:t>
      </w:r>
      <w:r>
        <w:fldChar w:fldCharType="begin"/>
      </w:r>
      <w:r>
        <w:instrText>PAGEREF section_50a9e454253c4156b3699b29fe34570d</w:instrText>
      </w:r>
      <w:r>
        <w:fldChar w:fldCharType="separate"/>
      </w:r>
      <w:r>
        <w:rPr>
          <w:noProof/>
        </w:rPr>
        <w:t>608</w:t>
      </w:r>
      <w:r>
        <w:fldChar w:fldCharType="end"/>
      </w:r>
    </w:p>
    <w:p w:rsidR="00024C0A" w:rsidRDefault="00694C0F">
      <w:pPr>
        <w:pStyle w:val="indexentry0"/>
      </w:pPr>
      <w:hyperlink w:anchor="section_d27109432add493cb42a58667e060146">
        <w:r>
          <w:rPr>
            <w:rStyle w:val="Hyperlink"/>
          </w:rPr>
          <w:t>fileVersion (File Version)</w:t>
        </w:r>
      </w:hyperlink>
      <w:r>
        <w:t xml:space="preserve"> </w:t>
      </w:r>
      <w:r>
        <w:fldChar w:fldCharType="begin"/>
      </w:r>
      <w:r>
        <w:instrText>PAGEREF section_d27109432add493cb42a58667e060146</w:instrText>
      </w:r>
      <w:r>
        <w:fldChar w:fldCharType="separate"/>
      </w:r>
      <w:r>
        <w:rPr>
          <w:noProof/>
        </w:rPr>
        <w:t>241</w:t>
      </w:r>
      <w:r>
        <w:fldChar w:fldCharType="end"/>
      </w:r>
    </w:p>
    <w:p w:rsidR="00024C0A" w:rsidRDefault="00694C0F">
      <w:pPr>
        <w:pStyle w:val="indexentry0"/>
      </w:pPr>
      <w:hyperlink w:anchor="section_ffba6058673243de986fea4e686a2f86">
        <w:r>
          <w:rPr>
            <w:rStyle w:val="Hyperlink"/>
          </w:rPr>
          <w:t>fill (Fill)</w:t>
        </w:r>
      </w:hyperlink>
      <w:r>
        <w:t xml:space="preserve"> </w:t>
      </w:r>
      <w:r>
        <w:fldChar w:fldCharType="begin"/>
      </w:r>
      <w:r>
        <w:instrText>PAGEREF section_ffba6058673243de986fea4e686a2f86</w:instrText>
      </w:r>
      <w:r>
        <w:fldChar w:fldCharType="separate"/>
      </w:r>
      <w:r>
        <w:rPr>
          <w:noProof/>
        </w:rPr>
        <w:t>505</w:t>
      </w:r>
      <w:r>
        <w:fldChar w:fldCharType="end"/>
      </w:r>
    </w:p>
    <w:p w:rsidR="00024C0A" w:rsidRDefault="00694C0F">
      <w:pPr>
        <w:pStyle w:val="indexentry0"/>
      </w:pPr>
      <w:hyperlink w:anchor="section_88fe143befc34d2394b1bf137c015388">
        <w:r>
          <w:rPr>
            <w:rStyle w:val="Hyperlink"/>
          </w:rPr>
          <w:t>fill (Shape Fill Extended Properties)</w:t>
        </w:r>
      </w:hyperlink>
      <w:r>
        <w:t xml:space="preserve"> </w:t>
      </w:r>
      <w:r>
        <w:fldChar w:fldCharType="begin"/>
      </w:r>
      <w:r>
        <w:instrText>PAGEREF section_88fe143befc34d2394b1bf137c015388</w:instrText>
      </w:r>
      <w:r>
        <w:fldChar w:fldCharType="separate"/>
      </w:r>
      <w:r>
        <w:rPr>
          <w:noProof/>
        </w:rPr>
        <w:t>664</w:t>
      </w:r>
      <w:r>
        <w:fldChar w:fldCharType="end"/>
      </w:r>
    </w:p>
    <w:p w:rsidR="00024C0A" w:rsidRDefault="00694C0F">
      <w:pPr>
        <w:pStyle w:val="indexentry0"/>
      </w:pPr>
      <w:hyperlink w:anchor="section_98273a75a1e646669936485b682353ca">
        <w:r>
          <w:rPr>
            <w:rStyle w:val="Hyperlink"/>
          </w:rPr>
          <w:t>fill (Shape Fill Properties)</w:t>
        </w:r>
      </w:hyperlink>
      <w:r>
        <w:t xml:space="preserve"> </w:t>
      </w:r>
      <w:r>
        <w:fldChar w:fldCharType="begin"/>
      </w:r>
      <w:r>
        <w:instrText>PAGEREF section_98273a75a1e646669936485b682353ca</w:instrText>
      </w:r>
      <w:r>
        <w:fldChar w:fldCharType="separate"/>
      </w:r>
      <w:r>
        <w:rPr>
          <w:noProof/>
        </w:rPr>
        <w:t>638</w:t>
      </w:r>
      <w:r>
        <w:fldChar w:fldCharType="end"/>
      </w:r>
    </w:p>
    <w:p w:rsidR="00024C0A" w:rsidRDefault="00694C0F">
      <w:pPr>
        <w:pStyle w:val="indexentry0"/>
      </w:pPr>
      <w:hyperlink w:anchor="section_3e717d5315f14e0883322aa16e60798c">
        <w:r>
          <w:rPr>
            <w:rStyle w:val="Hyperlink"/>
          </w:rPr>
          <w:t>fillClrLst (Fill Color List)</w:t>
        </w:r>
      </w:hyperlink>
      <w:r>
        <w:t xml:space="preserve"> </w:t>
      </w:r>
      <w:r>
        <w:fldChar w:fldCharType="begin"/>
      </w:r>
      <w:r>
        <w:instrText>PAGEREF section_3e717d5315f14e0883322aa16e60798c</w:instrText>
      </w:r>
      <w:r>
        <w:fldChar w:fldCharType="separate"/>
      </w:r>
      <w:r>
        <w:rPr>
          <w:noProof/>
        </w:rPr>
        <w:t>582</w:t>
      </w:r>
      <w:r>
        <w:fldChar w:fldCharType="end"/>
      </w:r>
    </w:p>
    <w:p w:rsidR="00024C0A" w:rsidRDefault="00694C0F">
      <w:pPr>
        <w:pStyle w:val="indexentry0"/>
      </w:pPr>
      <w:hyperlink w:anchor="section_79949711feab4cdba73477cad7a95735">
        <w:r>
          <w:rPr>
            <w:rStyle w:val="Hyperlink"/>
          </w:rPr>
          <w:t>fills (Fills)</w:t>
        </w:r>
      </w:hyperlink>
      <w:r>
        <w:t xml:space="preserve"> </w:t>
      </w:r>
      <w:r>
        <w:fldChar w:fldCharType="begin"/>
      </w:r>
      <w:r>
        <w:instrText>PAGEREF section_79949711feab4cdba73477cad7a95735</w:instrText>
      </w:r>
      <w:r>
        <w:fldChar w:fldCharType="separate"/>
      </w:r>
      <w:r>
        <w:rPr>
          <w:noProof/>
        </w:rPr>
        <w:t>298</w:t>
      </w:r>
      <w:r>
        <w:fldChar w:fldCharType="end"/>
      </w:r>
    </w:p>
    <w:p w:rsidR="00024C0A" w:rsidRDefault="00694C0F">
      <w:pPr>
        <w:pStyle w:val="indexentry0"/>
      </w:pPr>
      <w:hyperlink w:anchor="section_64e56679ddda4bd9a96ae5a17dd569e8">
        <w:r>
          <w:rPr>
            <w:rStyle w:val="Hyperlink"/>
          </w:rPr>
          <w:t>fillToRect (Fill To Rectangle)</w:t>
        </w:r>
      </w:hyperlink>
      <w:r>
        <w:t xml:space="preserve"> </w:t>
      </w:r>
      <w:r>
        <w:fldChar w:fldCharType="begin"/>
      </w:r>
      <w:r>
        <w:instrText>PAGEREF section_64e56679ddda4bd9a96ae5a17dd569e8</w:instrText>
      </w:r>
      <w:r>
        <w:fldChar w:fldCharType="separate"/>
      </w:r>
      <w:r>
        <w:rPr>
          <w:noProof/>
        </w:rPr>
        <w:t>512</w:t>
      </w:r>
      <w:r>
        <w:fldChar w:fldCharType="end"/>
      </w:r>
    </w:p>
    <w:p w:rsidR="00024C0A" w:rsidRDefault="00694C0F">
      <w:pPr>
        <w:pStyle w:val="indexentry0"/>
      </w:pPr>
      <w:hyperlink w:anchor="section_2d4504f3c3044e20b7542e0595c1d917">
        <w:r>
          <w:rPr>
            <w:rStyle w:val="Hyperlink"/>
          </w:rPr>
          <w:t>filter (Filter)</w:t>
        </w:r>
      </w:hyperlink>
      <w:r>
        <w:t xml:space="preserve"> </w:t>
      </w:r>
      <w:r>
        <w:fldChar w:fldCharType="begin"/>
      </w:r>
      <w:r>
        <w:instrText>PAGEREF section_2d4504f3c3044e20b7542e0595c1d917</w:instrText>
      </w:r>
      <w:r>
        <w:fldChar w:fldCharType="separate"/>
      </w:r>
      <w:r>
        <w:rPr>
          <w:noProof/>
        </w:rPr>
        <w:t>288</w:t>
      </w:r>
      <w:r>
        <w:fldChar w:fldCharType="end"/>
      </w:r>
    </w:p>
    <w:p w:rsidR="00024C0A" w:rsidRDefault="00694C0F">
      <w:pPr>
        <w:pStyle w:val="indexentry0"/>
      </w:pPr>
      <w:hyperlink w:anchor="section_ac8bc22cf207485897f477b1be34ebfb">
        <w:r>
          <w:rPr>
            <w:rStyle w:val="Hyperlink"/>
          </w:rPr>
          <w:t>filter (PivotTable Advanced Filter)</w:t>
        </w:r>
      </w:hyperlink>
      <w:r>
        <w:t xml:space="preserve"> </w:t>
      </w:r>
      <w:r>
        <w:fldChar w:fldCharType="begin"/>
      </w:r>
      <w:r>
        <w:instrText>PAGEREF section_ac8bc22cf207485897f477b1be34ebfb</w:instrText>
      </w:r>
      <w:r>
        <w:fldChar w:fldCharType="separate"/>
      </w:r>
      <w:r>
        <w:rPr>
          <w:noProof/>
        </w:rPr>
        <w:t>334</w:t>
      </w:r>
      <w:r>
        <w:fldChar w:fldCharType="end"/>
      </w:r>
    </w:p>
    <w:p w:rsidR="00024C0A" w:rsidRDefault="00694C0F">
      <w:pPr>
        <w:pStyle w:val="indexentry0"/>
      </w:pPr>
      <w:hyperlink w:anchor="section_fa72fc954ca54476bce45d0b756e667d">
        <w:r>
          <w:rPr>
            <w:rStyle w:val="Hyperlink"/>
          </w:rPr>
          <w:t>filterColumn (AutoFilter Column)</w:t>
        </w:r>
      </w:hyperlink>
      <w:r>
        <w:t xml:space="preserve"> </w:t>
      </w:r>
      <w:r>
        <w:fldChar w:fldCharType="begin"/>
      </w:r>
      <w:r>
        <w:instrText>PAGEREF section_fa72fc954ca54476bce45d0b756e667d</w:instrText>
      </w:r>
      <w:r>
        <w:fldChar w:fldCharType="separate"/>
      </w:r>
      <w:r>
        <w:rPr>
          <w:noProof/>
        </w:rPr>
        <w:t>288</w:t>
      </w:r>
      <w:r>
        <w:fldChar w:fldCharType="end"/>
      </w:r>
    </w:p>
    <w:p w:rsidR="00024C0A" w:rsidRDefault="00694C0F">
      <w:pPr>
        <w:pStyle w:val="indexentry0"/>
      </w:pPr>
      <w:hyperlink w:anchor="section_24c0f8b91ce6447dae7cf2d69e0727b0">
        <w:r>
          <w:rPr>
            <w:rStyle w:val="Hyperlink"/>
          </w:rPr>
          <w:t>filters (Filter Criteria)</w:t>
        </w:r>
      </w:hyperlink>
      <w:r>
        <w:t xml:space="preserve"> </w:t>
      </w:r>
      <w:r>
        <w:fldChar w:fldCharType="begin"/>
      </w:r>
      <w:r>
        <w:instrText>PAGEREF section_24c0f8b91ce6447dae7cf2d69e0727b0</w:instrText>
      </w:r>
      <w:r>
        <w:fldChar w:fldCharType="separate"/>
      </w:r>
      <w:r>
        <w:rPr>
          <w:noProof/>
        </w:rPr>
        <w:t>288</w:t>
      </w:r>
      <w:r>
        <w:fldChar w:fldCharType="end"/>
      </w:r>
    </w:p>
    <w:p w:rsidR="00024C0A" w:rsidRDefault="00694C0F">
      <w:pPr>
        <w:pStyle w:val="indexentry0"/>
      </w:pPr>
      <w:hyperlink w:anchor="section_43520b959fff46bb88a6b7b1e177de47">
        <w:r>
          <w:rPr>
            <w:rStyle w:val="Hyperlink"/>
          </w:rPr>
          <w:t>FIND</w:t>
        </w:r>
      </w:hyperlink>
      <w:r>
        <w:t xml:space="preserve"> </w:t>
      </w:r>
      <w:r>
        <w:fldChar w:fldCharType="begin"/>
      </w:r>
      <w:r>
        <w:instrText>PAGEREF section_43520b959fff46bb88a6b7b1e177de47</w:instrText>
      </w:r>
      <w:r>
        <w:fldChar w:fldCharType="separate"/>
      </w:r>
      <w:r>
        <w:rPr>
          <w:noProof/>
        </w:rPr>
        <w:t>420</w:t>
      </w:r>
      <w:r>
        <w:fldChar w:fldCharType="end"/>
      </w:r>
    </w:p>
    <w:p w:rsidR="00024C0A" w:rsidRDefault="00694C0F">
      <w:pPr>
        <w:pStyle w:val="indexentry0"/>
      </w:pPr>
      <w:hyperlink w:anchor="section_dca5abf4bf0a4de4aaa87057c9962f5f">
        <w:r>
          <w:rPr>
            <w:rStyle w:val="Hyperlink"/>
          </w:rPr>
          <w:t>FINDB</w:t>
        </w:r>
      </w:hyperlink>
      <w:r>
        <w:t xml:space="preserve"> </w:t>
      </w:r>
      <w:r>
        <w:fldChar w:fldCharType="begin"/>
      </w:r>
      <w:r>
        <w:instrText>PAGEREF section_dca5abf4bf0a4de4aaa87057c9962f5f</w:instrText>
      </w:r>
      <w:r>
        <w:fldChar w:fldCharType="separate"/>
      </w:r>
      <w:r>
        <w:rPr>
          <w:noProof/>
        </w:rPr>
        <w:t>421</w:t>
      </w:r>
      <w:r>
        <w:fldChar w:fldCharType="end"/>
      </w:r>
    </w:p>
    <w:p w:rsidR="00024C0A" w:rsidRDefault="00694C0F">
      <w:pPr>
        <w:pStyle w:val="indexentry0"/>
      </w:pPr>
      <w:hyperlink w:anchor="section_19702fccfd174d3dbe7cfb98aab067a1">
        <w:r>
          <w:rPr>
            <w:rStyle w:val="Hyperlink"/>
          </w:rPr>
          <w:t>FINV</w:t>
        </w:r>
      </w:hyperlink>
      <w:r>
        <w:t xml:space="preserve"> </w:t>
      </w:r>
      <w:r>
        <w:fldChar w:fldCharType="begin"/>
      </w:r>
      <w:r>
        <w:instrText>PAGEREF section_19702fccfd174d3dbe7cfb98aab067a1</w:instrText>
      </w:r>
      <w:r>
        <w:fldChar w:fldCharType="separate"/>
      </w:r>
      <w:r>
        <w:rPr>
          <w:noProof/>
        </w:rPr>
        <w:t>421</w:t>
      </w:r>
      <w:r>
        <w:fldChar w:fldCharType="end"/>
      </w:r>
    </w:p>
    <w:p w:rsidR="00024C0A" w:rsidRDefault="00694C0F">
      <w:pPr>
        <w:pStyle w:val="indexentry0"/>
      </w:pPr>
      <w:hyperlink w:anchor="section_ffa6e78afedd422e8521050dd540543f">
        <w:r>
          <w:rPr>
            <w:rStyle w:val="Hyperlink"/>
          </w:rPr>
          <w:t>firstFooter (First Footer)</w:t>
        </w:r>
      </w:hyperlink>
      <w:r>
        <w:t xml:space="preserve"> </w:t>
      </w:r>
      <w:r>
        <w:fldChar w:fldCharType="begin"/>
      </w:r>
      <w:r>
        <w:instrText>PAGEREF section_ffa6e78afedd422e8521050dd54054</w:instrText>
      </w:r>
      <w:r>
        <w:instrText>3f</w:instrText>
      </w:r>
      <w:r>
        <w:fldChar w:fldCharType="separate"/>
      </w:r>
      <w:r>
        <w:rPr>
          <w:noProof/>
        </w:rPr>
        <w:t>548</w:t>
      </w:r>
      <w:r>
        <w:fldChar w:fldCharType="end"/>
      </w:r>
    </w:p>
    <w:p w:rsidR="00024C0A" w:rsidRDefault="00694C0F">
      <w:pPr>
        <w:pStyle w:val="indexentry0"/>
      </w:pPr>
      <w:hyperlink w:anchor="section_18f72dee69094641812773fff1ce7be4">
        <w:r>
          <w:rPr>
            <w:rStyle w:val="Hyperlink"/>
          </w:rPr>
          <w:t>firstFooter (First Page Footer)</w:t>
        </w:r>
      </w:hyperlink>
      <w:r>
        <w:t xml:space="preserve"> </w:t>
      </w:r>
      <w:r>
        <w:fldChar w:fldCharType="begin"/>
      </w:r>
      <w:r>
        <w:instrText>PAGEREF section_18f72dee69094641812773fff1ce7be4</w:instrText>
      </w:r>
      <w:r>
        <w:fldChar w:fldCharType="separate"/>
      </w:r>
      <w:r>
        <w:rPr>
          <w:noProof/>
        </w:rPr>
        <w:t>261</w:t>
      </w:r>
      <w:r>
        <w:fldChar w:fldCharType="end"/>
      </w:r>
    </w:p>
    <w:p w:rsidR="00024C0A" w:rsidRDefault="00694C0F">
      <w:pPr>
        <w:pStyle w:val="indexentry0"/>
      </w:pPr>
      <w:hyperlink w:anchor="section_040fa40f5c914e65be97a7b64d744fcf">
        <w:r>
          <w:rPr>
            <w:rStyle w:val="Hyperlink"/>
          </w:rPr>
          <w:t>firstHeader (First Header)</w:t>
        </w:r>
      </w:hyperlink>
      <w:r>
        <w:t xml:space="preserve"> </w:t>
      </w:r>
      <w:r>
        <w:fldChar w:fldCharType="begin"/>
      </w:r>
      <w:r>
        <w:instrText>PAGEREF section_040fa40f5c914e65be97a7b64d744fcf</w:instrText>
      </w:r>
      <w:r>
        <w:fldChar w:fldCharType="separate"/>
      </w:r>
      <w:r>
        <w:rPr>
          <w:noProof/>
        </w:rPr>
        <w:t>549</w:t>
      </w:r>
      <w:r>
        <w:fldChar w:fldCharType="end"/>
      </w:r>
    </w:p>
    <w:p w:rsidR="00024C0A" w:rsidRDefault="00694C0F">
      <w:pPr>
        <w:pStyle w:val="indexentry0"/>
      </w:pPr>
      <w:hyperlink w:anchor="section_9ec6794e9c71422da396ac2934bb3a35">
        <w:r>
          <w:rPr>
            <w:rStyle w:val="Hyperlink"/>
          </w:rPr>
          <w:t>firstHeader (First Page Header)</w:t>
        </w:r>
      </w:hyperlink>
      <w:r>
        <w:t xml:space="preserve"> </w:t>
      </w:r>
      <w:r>
        <w:fldChar w:fldCharType="begin"/>
      </w:r>
      <w:r>
        <w:instrText>PAGEREF section_9ec6794e9c71422da396ac2934bb3a35</w:instrText>
      </w:r>
      <w:r>
        <w:fldChar w:fldCharType="separate"/>
      </w:r>
      <w:r>
        <w:rPr>
          <w:noProof/>
        </w:rPr>
        <w:t>261</w:t>
      </w:r>
      <w:r>
        <w:fldChar w:fldCharType="end"/>
      </w:r>
    </w:p>
    <w:p w:rsidR="00024C0A" w:rsidRDefault="00694C0F">
      <w:pPr>
        <w:pStyle w:val="indexentry0"/>
      </w:pPr>
      <w:hyperlink w:anchor="section_aec278824aa1491c9c00fbc9bb00c9f7">
        <w:r>
          <w:rPr>
            <w:rStyle w:val="Hyperlink"/>
          </w:rPr>
          <w:t>fitText (Manual Run Width)</w:t>
        </w:r>
      </w:hyperlink>
      <w:r>
        <w:t xml:space="preserve"> </w:t>
      </w:r>
      <w:r>
        <w:fldChar w:fldCharType="begin"/>
      </w:r>
      <w:r>
        <w:instrText>PAGEREF section_aec278824aa1491c9c00fbc9bb00c9f7</w:instrText>
      </w:r>
      <w:r>
        <w:fldChar w:fldCharType="separate"/>
      </w:r>
      <w:r>
        <w:rPr>
          <w:noProof/>
        </w:rPr>
        <w:t>71</w:t>
      </w:r>
      <w:r>
        <w:fldChar w:fldCharType="end"/>
      </w:r>
    </w:p>
    <w:p w:rsidR="00024C0A" w:rsidRDefault="00694C0F">
      <w:pPr>
        <w:pStyle w:val="indexentry0"/>
      </w:pPr>
      <w:hyperlink w:anchor="section_a27a9affa6634ea586c8c21105f12564">
        <w:r>
          <w:rPr>
            <w:rStyle w:val="Hyperlink"/>
          </w:rPr>
          <w:t>FIXED</w:t>
        </w:r>
      </w:hyperlink>
      <w:r>
        <w:t xml:space="preserve"> </w:t>
      </w:r>
      <w:r>
        <w:fldChar w:fldCharType="begin"/>
      </w:r>
      <w:r>
        <w:instrText>PAGEREF section_a27a9affa6634ea586c8c21105f12564</w:instrText>
      </w:r>
      <w:r>
        <w:fldChar w:fldCharType="separate"/>
      </w:r>
      <w:r>
        <w:rPr>
          <w:noProof/>
        </w:rPr>
        <w:t>421</w:t>
      </w:r>
      <w:r>
        <w:fldChar w:fldCharType="end"/>
      </w:r>
    </w:p>
    <w:p w:rsidR="00024C0A" w:rsidRDefault="00694C0F">
      <w:pPr>
        <w:pStyle w:val="indexentry0"/>
      </w:pPr>
      <w:hyperlink w:anchor="section_1ecf33cf360145f089fb0ab824739343">
        <w:r>
          <w:rPr>
            <w:rStyle w:val="Hyperlink"/>
          </w:rPr>
          <w:t>Fixed Commands</w:t>
        </w:r>
      </w:hyperlink>
      <w:r>
        <w:t xml:space="preserve"> </w:t>
      </w:r>
      <w:r>
        <w:fldChar w:fldCharType="begin"/>
      </w:r>
      <w:r>
        <w:instrText>PAGEREF section_1ecf33cf360145f089fb0ab824739343</w:instrText>
      </w:r>
      <w:r>
        <w:fldChar w:fldCharType="separate"/>
      </w:r>
      <w:r>
        <w:rPr>
          <w:noProof/>
        </w:rPr>
        <w:t>702</w:t>
      </w:r>
      <w:r>
        <w:fldChar w:fldCharType="end"/>
      </w:r>
    </w:p>
    <w:p w:rsidR="00024C0A" w:rsidRDefault="00694C0F">
      <w:pPr>
        <w:pStyle w:val="indexentry0"/>
      </w:pPr>
      <w:hyperlink w:anchor="section_4869d0aa50814fa19fb797cb9123eb45">
        <w:r>
          <w:rPr>
            <w:rStyle w:val="Hyperlink"/>
          </w:rPr>
          <w:t>flatTx (No text in 3D scene)</w:t>
        </w:r>
      </w:hyperlink>
      <w:r>
        <w:t xml:space="preserve"> </w:t>
      </w:r>
      <w:r>
        <w:fldChar w:fldCharType="begin"/>
      </w:r>
      <w:r>
        <w:instrText>PAGEREF section_4869d0aa50814fa19fb797cb9123eb45</w:instrText>
      </w:r>
      <w:r>
        <w:fldChar w:fldCharType="separate"/>
      </w:r>
      <w:r>
        <w:rPr>
          <w:noProof/>
        </w:rPr>
        <w:t>507</w:t>
      </w:r>
      <w:r>
        <w:fldChar w:fldCharType="end"/>
      </w:r>
    </w:p>
    <w:p w:rsidR="00024C0A" w:rsidRDefault="00694C0F">
      <w:pPr>
        <w:pStyle w:val="indexentry0"/>
      </w:pPr>
      <w:hyperlink w:anchor="section_209a8afb4ce64ad9ad6bf18da263502e">
        <w:r>
          <w:rPr>
            <w:rStyle w:val="Hyperlink"/>
          </w:rPr>
          <w:t>fld (Text Field)</w:t>
        </w:r>
      </w:hyperlink>
      <w:r>
        <w:t xml:space="preserve"> </w:t>
      </w:r>
      <w:r>
        <w:fldChar w:fldCharType="begin"/>
      </w:r>
      <w:r>
        <w:instrText>PAGEREF section_209a8afb4ce64ad9ad6bf18da263502e</w:instrText>
      </w:r>
      <w:r>
        <w:fldChar w:fldCharType="separate"/>
      </w:r>
      <w:r>
        <w:rPr>
          <w:noProof/>
        </w:rPr>
        <w:t>527</w:t>
      </w:r>
      <w:r>
        <w:fldChar w:fldCharType="end"/>
      </w:r>
    </w:p>
    <w:p w:rsidR="00024C0A" w:rsidRDefault="00694C0F">
      <w:pPr>
        <w:pStyle w:val="indexentry0"/>
      </w:pPr>
      <w:hyperlink w:anchor="section_34477fff355a497ea2bf4b9c3f80b093">
        <w:r>
          <w:rPr>
            <w:rStyle w:val="Hyperlink"/>
          </w:rPr>
          <w:t>fldSimple (Ruby Simple Field)</w:t>
        </w:r>
      </w:hyperlink>
      <w:r>
        <w:t xml:space="preserve"> </w:t>
      </w:r>
      <w:r>
        <w:fldChar w:fldCharType="begin"/>
      </w:r>
      <w:r>
        <w:instrText>PAGEREF section_34477fff355a497ea2bf4b9c3f80b093</w:instrText>
      </w:r>
      <w:r>
        <w:fldChar w:fldCharType="separate"/>
      </w:r>
      <w:r>
        <w:rPr>
          <w:noProof/>
        </w:rPr>
        <w:t>789</w:t>
      </w:r>
      <w:r>
        <w:fldChar w:fldCharType="end"/>
      </w:r>
    </w:p>
    <w:p w:rsidR="00024C0A" w:rsidRDefault="00694C0F">
      <w:pPr>
        <w:pStyle w:val="indexentry0"/>
      </w:pPr>
      <w:hyperlink w:anchor="section_3ef1ff9c08084ef8a90c45eae43aa729">
        <w:r>
          <w:rPr>
            <w:rStyle w:val="Hyperlink"/>
          </w:rPr>
          <w:t>fldSimple (Simple Field)</w:t>
        </w:r>
      </w:hyperlink>
      <w:r>
        <w:t xml:space="preserve"> </w:t>
      </w:r>
      <w:r>
        <w:fldChar w:fldCharType="begin"/>
      </w:r>
      <w:r>
        <w:instrText>PAGEREF section_3ef1ff9c08084ef8a90c45eae43aa729</w:instrText>
      </w:r>
      <w:r>
        <w:fldChar w:fldCharType="separate"/>
      </w:r>
      <w:r>
        <w:rPr>
          <w:noProof/>
        </w:rPr>
        <w:t>225</w:t>
      </w:r>
      <w:r>
        <w:fldChar w:fldCharType="end"/>
      </w:r>
    </w:p>
    <w:p w:rsidR="00024C0A" w:rsidRDefault="00694C0F">
      <w:pPr>
        <w:pStyle w:val="indexentry0"/>
      </w:pPr>
      <w:hyperlink w:anchor="section_534f018290984b228583bd0f8c2cc5f8">
        <w:r>
          <w:rPr>
            <w:rStyle w:val="Hyperlink"/>
          </w:rPr>
          <w:t>FLOOR</w:t>
        </w:r>
      </w:hyperlink>
      <w:r>
        <w:t xml:space="preserve"> </w:t>
      </w:r>
      <w:r>
        <w:fldChar w:fldCharType="begin"/>
      </w:r>
      <w:r>
        <w:instrText>PAGEREF section_534f018290984b228583bd0f8c2cc5f8</w:instrText>
      </w:r>
      <w:r>
        <w:fldChar w:fldCharType="separate"/>
      </w:r>
      <w:r>
        <w:rPr>
          <w:noProof/>
        </w:rPr>
        <w:t>421</w:t>
      </w:r>
      <w:r>
        <w:fldChar w:fldCharType="end"/>
      </w:r>
    </w:p>
    <w:p w:rsidR="00024C0A" w:rsidRDefault="00694C0F">
      <w:pPr>
        <w:pStyle w:val="indexentry0"/>
      </w:pPr>
      <w:hyperlink w:anchor="section_14a18d6f56794a50bd05b4dfbc77d851">
        <w:r>
          <w:rPr>
            <w:rStyle w:val="Hyperlink"/>
          </w:rPr>
          <w:t>floor (Floor)</w:t>
        </w:r>
      </w:hyperlink>
      <w:r>
        <w:t xml:space="preserve"> </w:t>
      </w:r>
      <w:r>
        <w:fldChar w:fldCharType="begin"/>
      </w:r>
      <w:r>
        <w:instrText>PAGEREF section_14a18d6f56794a50bd05b4dfbc77d851</w:instrText>
      </w:r>
      <w:r>
        <w:fldChar w:fldCharType="separate"/>
      </w:r>
      <w:r>
        <w:rPr>
          <w:noProof/>
        </w:rPr>
        <w:t>549</w:t>
      </w:r>
      <w:r>
        <w:fldChar w:fldCharType="end"/>
      </w:r>
    </w:p>
    <w:p w:rsidR="00024C0A" w:rsidRDefault="00694C0F">
      <w:pPr>
        <w:pStyle w:val="indexentry0"/>
      </w:pPr>
      <w:hyperlink w:anchor="section_b260750bc7564ba289a782ab03ca77df">
        <w:r>
          <w:rPr>
            <w:rStyle w:val="Hyperlink"/>
          </w:rPr>
          <w:t>FmlaGroup (Linked Formula - Group Box)</w:t>
        </w:r>
      </w:hyperlink>
      <w:r>
        <w:t xml:space="preserve"> </w:t>
      </w:r>
      <w:r>
        <w:fldChar w:fldCharType="begin"/>
      </w:r>
      <w:r>
        <w:instrText>PAGEREF section_b260750bc7564ba289a782ab03ca77df</w:instrText>
      </w:r>
      <w:r>
        <w:fldChar w:fldCharType="separate"/>
      </w:r>
      <w:r>
        <w:rPr>
          <w:noProof/>
        </w:rPr>
        <w:t>675</w:t>
      </w:r>
      <w:r>
        <w:fldChar w:fldCharType="end"/>
      </w:r>
    </w:p>
    <w:p w:rsidR="00024C0A" w:rsidRDefault="00694C0F">
      <w:pPr>
        <w:pStyle w:val="indexentry0"/>
      </w:pPr>
      <w:hyperlink w:anchor="section_fdd835077a574bf1b84466f551ee55b9">
        <w:r>
          <w:rPr>
            <w:rStyle w:val="Hyperlink"/>
          </w:rPr>
          <w:t>FmlaMacro (Reference to Custom Function)</w:t>
        </w:r>
      </w:hyperlink>
      <w:r>
        <w:t xml:space="preserve"> </w:t>
      </w:r>
      <w:r>
        <w:fldChar w:fldCharType="begin"/>
      </w:r>
      <w:r>
        <w:instrText>PAGEREF section_fdd835077a574bf1b84466f551ee55b9</w:instrText>
      </w:r>
      <w:r>
        <w:fldChar w:fldCharType="separate"/>
      </w:r>
      <w:r>
        <w:rPr>
          <w:noProof/>
        </w:rPr>
        <w:t>675</w:t>
      </w:r>
      <w:r>
        <w:fldChar w:fldCharType="end"/>
      </w:r>
    </w:p>
    <w:p w:rsidR="00024C0A" w:rsidRDefault="00694C0F">
      <w:pPr>
        <w:pStyle w:val="indexentry0"/>
      </w:pPr>
      <w:hyperlink w:anchor="section_3d0c971688c54af3b63afeef60b8ebd8">
        <w:r>
          <w:rPr>
            <w:rStyle w:val="Hyperlink"/>
          </w:rPr>
          <w:t>FmlaRange (List Items Source Range)</w:t>
        </w:r>
      </w:hyperlink>
      <w:r>
        <w:t xml:space="preserve"> </w:t>
      </w:r>
      <w:r>
        <w:fldChar w:fldCharType="begin"/>
      </w:r>
      <w:r>
        <w:instrText>PAGEREF section_3d0c971688c54af3b63afeef60b8ebd8</w:instrText>
      </w:r>
      <w:r>
        <w:fldChar w:fldCharType="separate"/>
      </w:r>
      <w:r>
        <w:rPr>
          <w:noProof/>
        </w:rPr>
        <w:t>675</w:t>
      </w:r>
      <w:r>
        <w:fldChar w:fldCharType="end"/>
      </w:r>
    </w:p>
    <w:p w:rsidR="00024C0A" w:rsidRDefault="00694C0F">
      <w:pPr>
        <w:pStyle w:val="indexentry0"/>
      </w:pPr>
      <w:hyperlink w:anchor="section_53586a4091834fb9a0dc2d0c48f92e2a">
        <w:r>
          <w:rPr>
            <w:rStyle w:val="Hyperlink"/>
          </w:rPr>
          <w:t>FmlaTxbx (Text Formula)</w:t>
        </w:r>
      </w:hyperlink>
      <w:r>
        <w:t xml:space="preserve"> </w:t>
      </w:r>
      <w:r>
        <w:fldChar w:fldCharType="begin"/>
      </w:r>
      <w:r>
        <w:instrText>PAGEREF section_53586a4091834fb9a0dc2d0c48f92e2a</w:instrText>
      </w:r>
      <w:r>
        <w:fldChar w:fldCharType="separate"/>
      </w:r>
      <w:r>
        <w:rPr>
          <w:noProof/>
        </w:rPr>
        <w:t>675</w:t>
      </w:r>
      <w:r>
        <w:fldChar w:fldCharType="end"/>
      </w:r>
    </w:p>
    <w:p w:rsidR="00024C0A" w:rsidRDefault="00694C0F">
      <w:pPr>
        <w:pStyle w:val="indexentry0"/>
      </w:pPr>
      <w:hyperlink w:anchor="section_b1f80d650055495797e699d84ef6398a">
        <w:r>
          <w:rPr>
            <w:rStyle w:val="Hyperlink"/>
          </w:rPr>
          <w:t>fmtId (Format ID)</w:t>
        </w:r>
      </w:hyperlink>
      <w:r>
        <w:t xml:space="preserve"> </w:t>
      </w:r>
      <w:r>
        <w:fldChar w:fldCharType="begin"/>
      </w:r>
      <w:r>
        <w:instrText>PAGEREF section_b1f80d650055495797e699d84ef6398a</w:instrText>
      </w:r>
      <w:r>
        <w:fldChar w:fldCharType="separate"/>
      </w:r>
      <w:r>
        <w:rPr>
          <w:noProof/>
        </w:rPr>
        <w:t>549</w:t>
      </w:r>
      <w:r>
        <w:fldChar w:fldCharType="end"/>
      </w:r>
    </w:p>
    <w:p w:rsidR="00024C0A" w:rsidRDefault="00694C0F">
      <w:pPr>
        <w:pStyle w:val="indexentry0"/>
      </w:pPr>
      <w:hyperlink w:anchor="section_a9e1349479034e899e2592bccc61e724">
        <w:r>
          <w:rPr>
            <w:rStyle w:val="Hyperlink"/>
          </w:rPr>
          <w:t>fName (Function Name)</w:t>
        </w:r>
      </w:hyperlink>
      <w:r>
        <w:t xml:space="preserve"> </w:t>
      </w:r>
      <w:r>
        <w:fldChar w:fldCharType="begin"/>
      </w:r>
      <w:r>
        <w:instrText>PAGEREF section_a9e1349479034e899e2592bccc61e724</w:instrText>
      </w:r>
      <w:r>
        <w:fldChar w:fldCharType="separate"/>
      </w:r>
      <w:r>
        <w:rPr>
          <w:noProof/>
        </w:rPr>
        <w:t>593</w:t>
      </w:r>
      <w:r>
        <w:fldChar w:fldCharType="end"/>
      </w:r>
    </w:p>
    <w:p w:rsidR="00024C0A" w:rsidRDefault="00694C0F">
      <w:pPr>
        <w:pStyle w:val="indexentry0"/>
      </w:pPr>
      <w:hyperlink w:anchor="section_af9c792be9254afcbef47f031163f0f7">
        <w:r>
          <w:rPr>
            <w:rStyle w:val="Hyperlink"/>
          </w:rPr>
          <w:t>folHlink (Followed Hyperlink)</w:t>
        </w:r>
      </w:hyperlink>
      <w:r>
        <w:t xml:space="preserve"> </w:t>
      </w:r>
      <w:r>
        <w:fldChar w:fldCharType="begin"/>
      </w:r>
      <w:r>
        <w:instrText>PAGEREF section_af9c792be9254afcbef47f031163f0f7</w:instrText>
      </w:r>
      <w:r>
        <w:fldChar w:fldCharType="separate"/>
      </w:r>
      <w:r>
        <w:rPr>
          <w:noProof/>
        </w:rPr>
        <w:t>504</w:t>
      </w:r>
      <w:r>
        <w:fldChar w:fldCharType="end"/>
      </w:r>
    </w:p>
    <w:p w:rsidR="00024C0A" w:rsidRDefault="00694C0F">
      <w:pPr>
        <w:pStyle w:val="indexentry0"/>
      </w:pPr>
      <w:hyperlink w:anchor="section_2799f9b3d0b84e5f949480ecda8934e7">
        <w:r>
          <w:rPr>
            <w:rStyle w:val="Hyperlink"/>
          </w:rPr>
          <w:t>font (Embedded Font Name)</w:t>
        </w:r>
      </w:hyperlink>
      <w:r>
        <w:t xml:space="preserve"> </w:t>
      </w:r>
      <w:r>
        <w:fldChar w:fldCharType="begin"/>
      </w:r>
      <w:r>
        <w:instrText>PAGEREF section_2799f9</w:instrText>
      </w:r>
      <w:r>
        <w:instrText>b3d0b84e5f949480ecda8934e7</w:instrText>
      </w:r>
      <w:r>
        <w:fldChar w:fldCharType="separate"/>
      </w:r>
      <w:r>
        <w:rPr>
          <w:noProof/>
        </w:rPr>
        <w:t>459</w:t>
      </w:r>
      <w:r>
        <w:fldChar w:fldCharType="end"/>
      </w:r>
    </w:p>
    <w:p w:rsidR="00024C0A" w:rsidRDefault="00694C0F">
      <w:pPr>
        <w:pStyle w:val="indexentry0"/>
      </w:pPr>
      <w:hyperlink w:anchor="section_6bb22ec6338141d69df3a1f4d588b39a">
        <w:r>
          <w:rPr>
            <w:rStyle w:val="Hyperlink"/>
          </w:rPr>
          <w:t>font (Font)</w:t>
        </w:r>
      </w:hyperlink>
      <w:r>
        <w:t xml:space="preserve"> </w:t>
      </w:r>
      <w:r>
        <w:fldChar w:fldCharType="begin"/>
      </w:r>
      <w:r>
        <w:instrText>PAGEREF section_6bb22ec6338141d69df3a1f4d588b39a</w:instrText>
      </w:r>
      <w:r>
        <w:fldChar w:fldCharType="separate"/>
      </w:r>
      <w:r>
        <w:rPr>
          <w:noProof/>
        </w:rPr>
        <w:t>298</w:t>
      </w:r>
      <w:r>
        <w:fldChar w:fldCharType="end"/>
      </w:r>
    </w:p>
    <w:p w:rsidR="00024C0A" w:rsidRDefault="00694C0F">
      <w:pPr>
        <w:pStyle w:val="indexentry0"/>
      </w:pPr>
      <w:hyperlink w:anchor="section_140b01ad31f04eafbf45c2121fee0dc6">
        <w:r>
          <w:rPr>
            <w:rStyle w:val="Hyperlink"/>
          </w:rPr>
          <w:t>font (Properties for a Single Font)</w:t>
        </w:r>
      </w:hyperlink>
      <w:r>
        <w:t xml:space="preserve"> </w:t>
      </w:r>
      <w:r>
        <w:fldChar w:fldCharType="begin"/>
      </w:r>
      <w:r>
        <w:instrText>PAGEREF section_140b01ad31f04eafbf45c2121fee0dc6</w:instrText>
      </w:r>
      <w:r>
        <w:fldChar w:fldCharType="separate"/>
      </w:r>
      <w:r>
        <w:rPr>
          <w:noProof/>
        </w:rPr>
        <w:t>122</w:t>
      </w:r>
      <w:r>
        <w:fldChar w:fldCharType="end"/>
      </w:r>
    </w:p>
    <w:p w:rsidR="00024C0A" w:rsidRDefault="00694C0F">
      <w:pPr>
        <w:pStyle w:val="indexentry0"/>
      </w:pPr>
      <w:hyperlink w:anchor="section_22725205d8b548e98079c6cf815e6213">
        <w:r>
          <w:rPr>
            <w:rStyle w:val="Hyperlink"/>
          </w:rPr>
          <w:t>font (Standard COM Font Object)</w:t>
        </w:r>
      </w:hyperlink>
      <w:r>
        <w:t xml:space="preserve"> </w:t>
      </w:r>
      <w:r>
        <w:fldChar w:fldCharType="begin"/>
      </w:r>
      <w:r>
        <w:instrText>PAGEREF section_22725205d8b548e98079c6cf815e6213</w:instrText>
      </w:r>
      <w:r>
        <w:fldChar w:fldCharType="separate"/>
      </w:r>
      <w:r>
        <w:rPr>
          <w:noProof/>
        </w:rPr>
        <w:t>870</w:t>
      </w:r>
      <w:r>
        <w:fldChar w:fldCharType="end"/>
      </w:r>
    </w:p>
    <w:p w:rsidR="00024C0A" w:rsidRDefault="00694C0F">
      <w:pPr>
        <w:pStyle w:val="indexentry0"/>
      </w:pPr>
      <w:hyperlink w:anchor="section_ea097c5757944624b08e017b47051b1d">
        <w:r>
          <w:rPr>
            <w:rStyle w:val="Hyperlink"/>
          </w:rPr>
          <w:t>Font Part</w:t>
        </w:r>
      </w:hyperlink>
      <w:r>
        <w:t xml:space="preserve"> </w:t>
      </w:r>
      <w:r>
        <w:fldChar w:fldCharType="begin"/>
      </w:r>
      <w:r>
        <w:instrText>PAGEREF section_ea097c5757944624b08e017b47051b1d</w:instrText>
      </w:r>
      <w:r>
        <w:fldChar w:fldCharType="separate"/>
      </w:r>
      <w:r>
        <w:rPr>
          <w:noProof/>
        </w:rPr>
        <w:t>61</w:t>
      </w:r>
      <w:r>
        <w:fldChar w:fldCharType="end"/>
      </w:r>
    </w:p>
    <w:p w:rsidR="00024C0A" w:rsidRDefault="00694C0F">
      <w:pPr>
        <w:pStyle w:val="indexentry0"/>
      </w:pPr>
      <w:hyperlink w:anchor="section_dda195888971454cb18f0282065f95a3">
        <w:r>
          <w:rPr>
            <w:rStyle w:val="Hyperlink"/>
          </w:rPr>
          <w:t>fontRef (Font Reference)</w:t>
        </w:r>
      </w:hyperlink>
      <w:r>
        <w:t xml:space="preserve"> </w:t>
      </w:r>
      <w:r>
        <w:fldChar w:fldCharType="begin"/>
      </w:r>
      <w:r>
        <w:instrText>PAGEREF section_dda195888971454cb18f0282065</w:instrText>
      </w:r>
      <w:r>
        <w:instrText>f95a3</w:instrText>
      </w:r>
      <w:r>
        <w:fldChar w:fldCharType="separate"/>
      </w:r>
      <w:r>
        <w:rPr>
          <w:noProof/>
        </w:rPr>
        <w:t>504</w:t>
      </w:r>
      <w:r>
        <w:fldChar w:fldCharType="end"/>
      </w:r>
    </w:p>
    <w:p w:rsidR="00024C0A" w:rsidRDefault="00694C0F">
      <w:pPr>
        <w:pStyle w:val="indexentry0"/>
      </w:pPr>
      <w:hyperlink w:anchor="section_09b83e1530de481d8ddf777107d4122e">
        <w:r>
          <w:rPr>
            <w:rStyle w:val="Hyperlink"/>
          </w:rPr>
          <w:t>Fonts</w:t>
        </w:r>
      </w:hyperlink>
      <w:r>
        <w:t xml:space="preserve"> </w:t>
      </w:r>
      <w:r>
        <w:fldChar w:fldCharType="begin"/>
      </w:r>
      <w:r>
        <w:instrText>PAGEREF section_09b83e1530de481d8ddf777107d4122e</w:instrText>
      </w:r>
      <w:r>
        <w:fldChar w:fldCharType="separate"/>
      </w:r>
      <w:r>
        <w:rPr>
          <w:noProof/>
        </w:rPr>
        <w:t>120</w:t>
      </w:r>
      <w:r>
        <w:fldChar w:fldCharType="end"/>
      </w:r>
    </w:p>
    <w:p w:rsidR="00024C0A" w:rsidRDefault="00694C0F">
      <w:pPr>
        <w:pStyle w:val="indexentry0"/>
      </w:pPr>
      <w:hyperlink w:anchor="section_5e6b826f1abf496a8c7faf58b5312aaf">
        <w:r>
          <w:rPr>
            <w:rStyle w:val="Hyperlink"/>
          </w:rPr>
          <w:t>fonts (Fonts)</w:t>
        </w:r>
      </w:hyperlink>
      <w:r>
        <w:t xml:space="preserve"> </w:t>
      </w:r>
      <w:r>
        <w:fldChar w:fldCharType="begin"/>
      </w:r>
      <w:r>
        <w:instrText>PAGEREF section_5e6b826f1abf496a8c7faf58b5312aaf</w:instrText>
      </w:r>
      <w:r>
        <w:fldChar w:fldCharType="separate"/>
      </w:r>
      <w:r>
        <w:rPr>
          <w:noProof/>
        </w:rPr>
        <w:t>298</w:t>
      </w:r>
      <w:r>
        <w:fldChar w:fldCharType="end"/>
      </w:r>
    </w:p>
    <w:p w:rsidR="00024C0A" w:rsidRDefault="00694C0F">
      <w:pPr>
        <w:pStyle w:val="indexentry0"/>
      </w:pPr>
      <w:hyperlink w:anchor="section_02af532c67914f63b4b2cd20e58dce91">
        <w:r>
          <w:rPr>
            <w:rStyle w:val="Hyperlink"/>
          </w:rPr>
          <w:t>footerReference (Footer Reference)</w:t>
        </w:r>
      </w:hyperlink>
      <w:r>
        <w:t xml:space="preserve"> </w:t>
      </w:r>
      <w:r>
        <w:fldChar w:fldCharType="begin"/>
      </w:r>
      <w:r>
        <w:instrText>PAGEREF section_02af532c67914f63b4b2cd20e58dce91</w:instrText>
      </w:r>
      <w:r>
        <w:fldChar w:fldCharType="separate"/>
      </w:r>
      <w:r>
        <w:rPr>
          <w:noProof/>
        </w:rPr>
        <w:t>126</w:t>
      </w:r>
      <w:r>
        <w:fldChar w:fldCharType="end"/>
      </w:r>
    </w:p>
    <w:p w:rsidR="00024C0A" w:rsidRDefault="00694C0F">
      <w:pPr>
        <w:pStyle w:val="indexentry0"/>
      </w:pPr>
      <w:hyperlink w:anchor="section_d5931152c596463d931edb02b303844b">
        <w:r>
          <w:rPr>
            <w:rStyle w:val="Hyperlink"/>
          </w:rPr>
          <w:t>footnote (Footnote Content)</w:t>
        </w:r>
      </w:hyperlink>
      <w:r>
        <w:t xml:space="preserve"> </w:t>
      </w:r>
      <w:r>
        <w:fldChar w:fldCharType="begin"/>
      </w:r>
      <w:r>
        <w:instrText>PAGEREF section_d5931152c596463d931edb02b303844b</w:instrText>
      </w:r>
      <w:r>
        <w:fldChar w:fldCharType="separate"/>
      </w:r>
      <w:r>
        <w:rPr>
          <w:noProof/>
        </w:rPr>
        <w:t>128</w:t>
      </w:r>
      <w:r>
        <w:fldChar w:fldCharType="end"/>
      </w:r>
    </w:p>
    <w:p w:rsidR="00024C0A" w:rsidRDefault="00694C0F">
      <w:pPr>
        <w:pStyle w:val="indexentry0"/>
      </w:pPr>
      <w:hyperlink w:anchor="section_568c6fabc68e4100a369804243c54d56">
        <w:r>
          <w:rPr>
            <w:rStyle w:val="Hyperlink"/>
          </w:rPr>
          <w:t>footnote (Special Footnote List)</w:t>
        </w:r>
      </w:hyperlink>
      <w:r>
        <w:t xml:space="preserve"> </w:t>
      </w:r>
      <w:r>
        <w:fldChar w:fldCharType="begin"/>
      </w:r>
      <w:r>
        <w:instrText>PAGEREF section_568c6fabc68e4100a369804243c54d56</w:instrText>
      </w:r>
      <w:r>
        <w:fldChar w:fldCharType="separate"/>
      </w:r>
      <w:r>
        <w:rPr>
          <w:noProof/>
        </w:rPr>
        <w:t>128</w:t>
      </w:r>
      <w:r>
        <w:fldChar w:fldCharType="end"/>
      </w:r>
    </w:p>
    <w:p w:rsidR="00024C0A" w:rsidRDefault="00694C0F">
      <w:pPr>
        <w:pStyle w:val="indexentry0"/>
      </w:pPr>
      <w:hyperlink w:anchor="section_d399b2b668ad4c7faba00d1b77a5aa60">
        <w:r>
          <w:rPr>
            <w:rStyle w:val="Hyperlink"/>
          </w:rPr>
          <w:t>footnoteReference (Footnote Reference)</w:t>
        </w:r>
      </w:hyperlink>
      <w:r>
        <w:t xml:space="preserve"> </w:t>
      </w:r>
      <w:r>
        <w:fldChar w:fldCharType="begin"/>
      </w:r>
      <w:r>
        <w:instrText>PAGEREF section_d399b2b668ad4c7faba00d1b77a5aa60</w:instrText>
      </w:r>
      <w:r>
        <w:fldChar w:fldCharType="separate"/>
      </w:r>
      <w:r>
        <w:rPr>
          <w:noProof/>
        </w:rPr>
        <w:t>128</w:t>
      </w:r>
      <w:r>
        <w:fldChar w:fldCharType="end"/>
      </w:r>
    </w:p>
    <w:p w:rsidR="00024C0A" w:rsidRDefault="00694C0F">
      <w:pPr>
        <w:pStyle w:val="indexentry0"/>
      </w:pPr>
      <w:hyperlink w:anchor="section_9089ac8522124002b759a9b6bcbdfdc3">
        <w:r>
          <w:rPr>
            <w:rStyle w:val="Hyperlink"/>
          </w:rPr>
          <w:t>forEach (For Each)</w:t>
        </w:r>
      </w:hyperlink>
      <w:r>
        <w:t xml:space="preserve"> </w:t>
      </w:r>
      <w:r>
        <w:fldChar w:fldCharType="begin"/>
      </w:r>
      <w:r>
        <w:instrText>PAGEREF section_9089ac8522124002b759a9b6bcbdfdc3</w:instrText>
      </w:r>
      <w:r>
        <w:fldChar w:fldCharType="separate"/>
      </w:r>
      <w:r>
        <w:rPr>
          <w:noProof/>
        </w:rPr>
        <w:t>580</w:t>
      </w:r>
      <w:r>
        <w:fldChar w:fldCharType="end"/>
      </w:r>
    </w:p>
    <w:p w:rsidR="00024C0A" w:rsidRDefault="00694C0F">
      <w:pPr>
        <w:pStyle w:val="indexentry0"/>
      </w:pPr>
      <w:hyperlink w:anchor="section_b5664c5839084645bb1ad88250c33aa2">
        <w:r>
          <w:rPr>
            <w:rStyle w:val="Hyperlink"/>
          </w:rPr>
          <w:t>FORECAST</w:t>
        </w:r>
      </w:hyperlink>
      <w:r>
        <w:t xml:space="preserve"> </w:t>
      </w:r>
      <w:r>
        <w:fldChar w:fldCharType="begin"/>
      </w:r>
      <w:r>
        <w:instrText>PAGEREF section_b5664c5839084645bb1ad88250c33aa2</w:instrText>
      </w:r>
      <w:r>
        <w:fldChar w:fldCharType="separate"/>
      </w:r>
      <w:r>
        <w:rPr>
          <w:noProof/>
        </w:rPr>
        <w:t>421</w:t>
      </w:r>
      <w:r>
        <w:fldChar w:fldCharType="end"/>
      </w:r>
    </w:p>
    <w:p w:rsidR="00024C0A" w:rsidRDefault="00694C0F">
      <w:pPr>
        <w:pStyle w:val="indexentry0"/>
      </w:pPr>
      <w:hyperlink w:anchor="section_f296125e31a94a82b171bb7c38652aa3">
        <w:r>
          <w:rPr>
            <w:rStyle w:val="Hyperlink"/>
          </w:rPr>
          <w:t>format (PivotTable Format)</w:t>
        </w:r>
      </w:hyperlink>
      <w:r>
        <w:t xml:space="preserve"> </w:t>
      </w:r>
      <w:r>
        <w:fldChar w:fldCharType="begin"/>
      </w:r>
      <w:r>
        <w:instrText>PAGEREF section_f296125e31a94a82b171bb7c38652aa3</w:instrText>
      </w:r>
      <w:r>
        <w:fldChar w:fldCharType="separate"/>
      </w:r>
      <w:r>
        <w:rPr>
          <w:noProof/>
        </w:rPr>
        <w:t>334</w:t>
      </w:r>
      <w:r>
        <w:fldChar w:fldCharType="end"/>
      </w:r>
    </w:p>
    <w:p w:rsidR="00024C0A" w:rsidRDefault="00694C0F">
      <w:pPr>
        <w:pStyle w:val="indexentry0"/>
      </w:pPr>
      <w:hyperlink w:anchor="section_345db88e99a24102ab5eab85f1c4b3d9">
        <w:r>
          <w:rPr>
            <w:rStyle w:val="Hyperlink"/>
          </w:rPr>
          <w:t>format (Text Box Form Field Formatting)</w:t>
        </w:r>
      </w:hyperlink>
      <w:r>
        <w:t xml:space="preserve"> </w:t>
      </w:r>
      <w:r>
        <w:fldChar w:fldCharType="begin"/>
      </w:r>
      <w:r>
        <w:instrText>PAGEREF section_345db88e99a24102ab5eab85f1c4b3d9</w:instrText>
      </w:r>
      <w:r>
        <w:fldChar w:fldCharType="separate"/>
      </w:r>
      <w:r>
        <w:rPr>
          <w:noProof/>
        </w:rPr>
        <w:t>225</w:t>
      </w:r>
      <w:r>
        <w:fldChar w:fldCharType="end"/>
      </w:r>
    </w:p>
    <w:p w:rsidR="00024C0A" w:rsidRDefault="00694C0F">
      <w:pPr>
        <w:pStyle w:val="indexentry0"/>
      </w:pPr>
      <w:hyperlink w:anchor="section_1a0d07f9ff1b4373ae2afdc4610c6c36">
        <w:r>
          <w:rPr>
            <w:rStyle w:val="Hyperlink"/>
          </w:rPr>
          <w:t>formatting (Formatting)</w:t>
        </w:r>
      </w:hyperlink>
      <w:r>
        <w:t xml:space="preserve"> </w:t>
      </w:r>
      <w:r>
        <w:fldChar w:fldCharType="begin"/>
      </w:r>
      <w:r>
        <w:instrText>PAGEREF sectio</w:instrText>
      </w:r>
      <w:r>
        <w:instrText>n_1a0d07f9ff1b4373ae2afdc4610c6c36</w:instrText>
      </w:r>
      <w:r>
        <w:fldChar w:fldCharType="separate"/>
      </w:r>
      <w:r>
        <w:rPr>
          <w:noProof/>
        </w:rPr>
        <w:t>549</w:t>
      </w:r>
      <w:r>
        <w:fldChar w:fldCharType="end"/>
      </w:r>
    </w:p>
    <w:p w:rsidR="00024C0A" w:rsidRDefault="00694C0F">
      <w:pPr>
        <w:pStyle w:val="indexentry0"/>
      </w:pPr>
      <w:hyperlink w:anchor="section_dc94db725d5f4aceae06e7bd722a3dab">
        <w:r>
          <w:rPr>
            <w:rStyle w:val="Hyperlink"/>
          </w:rPr>
          <w:t>FORMCHECKBOX</w:t>
        </w:r>
      </w:hyperlink>
      <w:r>
        <w:t xml:space="preserve"> </w:t>
      </w:r>
      <w:r>
        <w:fldChar w:fldCharType="begin"/>
      </w:r>
      <w:r>
        <w:instrText>PAGEREF section_dc94db725d5f4aceae06e7bd722a3dab</w:instrText>
      </w:r>
      <w:r>
        <w:fldChar w:fldCharType="separate"/>
      </w:r>
      <w:r>
        <w:rPr>
          <w:noProof/>
        </w:rPr>
        <w:t>213</w:t>
      </w:r>
      <w:r>
        <w:fldChar w:fldCharType="end"/>
      </w:r>
    </w:p>
    <w:p w:rsidR="00024C0A" w:rsidRDefault="00694C0F">
      <w:pPr>
        <w:pStyle w:val="indexentry0"/>
      </w:pPr>
      <w:hyperlink w:anchor="section_3e69c23d9a6b4689b9a8c3d77e39567e">
        <w:r>
          <w:rPr>
            <w:rStyle w:val="Hyperlink"/>
          </w:rPr>
          <w:t>FORMDROPDOWN</w:t>
        </w:r>
      </w:hyperlink>
      <w:r>
        <w:t xml:space="preserve"> </w:t>
      </w:r>
      <w:r>
        <w:fldChar w:fldCharType="begin"/>
      </w:r>
      <w:r>
        <w:instrText>PAGEREF sectio</w:instrText>
      </w:r>
      <w:r>
        <w:instrText>n_3e69c23d9a6b4689b9a8c3d77e39567e</w:instrText>
      </w:r>
      <w:r>
        <w:fldChar w:fldCharType="separate"/>
      </w:r>
      <w:r>
        <w:rPr>
          <w:noProof/>
        </w:rPr>
        <w:t>213</w:t>
      </w:r>
      <w:r>
        <w:fldChar w:fldCharType="end"/>
      </w:r>
    </w:p>
    <w:p w:rsidR="00024C0A" w:rsidRDefault="00694C0F">
      <w:pPr>
        <w:pStyle w:val="indexentry0"/>
      </w:pPr>
      <w:hyperlink w:anchor="section_d0e6b3688e66420c94c4e9f9b23c6fba">
        <w:r>
          <w:rPr>
            <w:rStyle w:val="Hyperlink"/>
          </w:rPr>
          <w:t>formula (Formula)</w:t>
        </w:r>
      </w:hyperlink>
      <w:r>
        <w:t xml:space="preserve"> </w:t>
      </w:r>
      <w:r>
        <w:fldChar w:fldCharType="begin"/>
      </w:r>
      <w:r>
        <w:instrText>PAGEREF section_d0e6b3688e66420c94c4e9f9b23c6fba</w:instrText>
      </w:r>
      <w:r>
        <w:fldChar w:fldCharType="separate"/>
      </w:r>
      <w:r>
        <w:rPr>
          <w:noProof/>
        </w:rPr>
        <w:t>261</w:t>
      </w:r>
      <w:r>
        <w:fldChar w:fldCharType="end"/>
      </w:r>
    </w:p>
    <w:p w:rsidR="00024C0A" w:rsidRDefault="00694C0F">
      <w:pPr>
        <w:pStyle w:val="indexentry0"/>
      </w:pPr>
      <w:hyperlink w:anchor="section_a8f97422b8d24692af51a4dd1750c66e">
        <w:r>
          <w:rPr>
            <w:rStyle w:val="Hyperlink"/>
          </w:rPr>
          <w:t>formula1 (Formula 1)</w:t>
        </w:r>
      </w:hyperlink>
      <w:r>
        <w:t xml:space="preserve"> </w:t>
      </w:r>
      <w:r>
        <w:fldChar w:fldCharType="begin"/>
      </w:r>
      <w:r>
        <w:instrText>P</w:instrText>
      </w:r>
      <w:r>
        <w:instrText>AGEREF section_a8f97422b8d24692af51a4dd1750c66e</w:instrText>
      </w:r>
      <w:r>
        <w:fldChar w:fldCharType="separate"/>
      </w:r>
      <w:r>
        <w:rPr>
          <w:noProof/>
        </w:rPr>
        <w:t>262</w:t>
      </w:r>
      <w:r>
        <w:fldChar w:fldCharType="end"/>
      </w:r>
    </w:p>
    <w:p w:rsidR="00024C0A" w:rsidRDefault="00694C0F">
      <w:pPr>
        <w:pStyle w:val="indexentry0"/>
      </w:pPr>
      <w:hyperlink w:anchor="section_8636b952cceb43d6bc9b6b381cba0ea6">
        <w:r>
          <w:rPr>
            <w:rStyle w:val="Hyperlink"/>
          </w:rPr>
          <w:t>formula2 (Formula 2)</w:t>
        </w:r>
      </w:hyperlink>
      <w:r>
        <w:t xml:space="preserve"> </w:t>
      </w:r>
      <w:r>
        <w:fldChar w:fldCharType="begin"/>
      </w:r>
      <w:r>
        <w:instrText>PAGEREF section_8636b952cceb43d6bc9b6b381cba0ea6</w:instrText>
      </w:r>
      <w:r>
        <w:fldChar w:fldCharType="separate"/>
      </w:r>
      <w:r>
        <w:rPr>
          <w:noProof/>
        </w:rPr>
        <w:t>262</w:t>
      </w:r>
      <w:r>
        <w:fldChar w:fldCharType="end"/>
      </w:r>
    </w:p>
    <w:p w:rsidR="00024C0A" w:rsidRDefault="00694C0F">
      <w:pPr>
        <w:pStyle w:val="indexentry0"/>
      </w:pPr>
      <w:hyperlink w:anchor="section_8a3a109cd76943aca4498526a2ea40dc">
        <w:r>
          <w:rPr>
            <w:rStyle w:val="Hyperlink"/>
          </w:rPr>
          <w:t>Formulas</w:t>
        </w:r>
      </w:hyperlink>
      <w:r>
        <w:t xml:space="preserve"> </w:t>
      </w:r>
      <w:r>
        <w:fldChar w:fldCharType="begin"/>
      </w:r>
      <w:r>
        <w:instrText>PAGEREF section_8a3a109cd76943aca4498526a2ea40dc</w:instrText>
      </w:r>
      <w:r>
        <w:fldChar w:fldCharType="separate"/>
      </w:r>
      <w:r>
        <w:rPr>
          <w:noProof/>
        </w:rPr>
        <w:t>384</w:t>
      </w:r>
      <w:r>
        <w:fldChar w:fldCharType="end"/>
      </w:r>
    </w:p>
    <w:p w:rsidR="00024C0A" w:rsidRDefault="00694C0F">
      <w:pPr>
        <w:pStyle w:val="indexentry0"/>
      </w:pPr>
      <w:hyperlink w:anchor="section_b017fac7da0b4cdf821cff5f03d17238">
        <w:r>
          <w:rPr>
            <w:rStyle w:val="Hyperlink"/>
          </w:rPr>
          <w:t>formulas (Set of Formulas)</w:t>
        </w:r>
      </w:hyperlink>
      <w:r>
        <w:t xml:space="preserve"> </w:t>
      </w:r>
      <w:r>
        <w:fldChar w:fldCharType="begin"/>
      </w:r>
      <w:r>
        <w:instrText>PAGEREF section_b017fac7da0b4cdf821cff5f03d17238</w:instrText>
      </w:r>
      <w:r>
        <w:fldChar w:fldCharType="separate"/>
      </w:r>
      <w:r>
        <w:rPr>
          <w:noProof/>
        </w:rPr>
        <w:t>640</w:t>
      </w:r>
      <w:r>
        <w:fldChar w:fldCharType="end"/>
      </w:r>
    </w:p>
    <w:p w:rsidR="00024C0A" w:rsidRDefault="00694C0F">
      <w:pPr>
        <w:pStyle w:val="indexentry0"/>
      </w:pPr>
      <w:hyperlink w:anchor="section_bd4e4652e4ee46e59d88b730b2233e20">
        <w:r>
          <w:rPr>
            <w:rStyle w:val="Hyperlink"/>
          </w:rPr>
          <w:t>forward (Forward)</w:t>
        </w:r>
      </w:hyperlink>
      <w:r>
        <w:t xml:space="preserve"> </w:t>
      </w:r>
      <w:r>
        <w:fldChar w:fldCharType="begin"/>
      </w:r>
      <w:r>
        <w:instrText>PAGEREF section_bd4e4652e4ee46e59d88b730b2233e20</w:instrText>
      </w:r>
      <w:r>
        <w:fldChar w:fldCharType="separate"/>
      </w:r>
      <w:r>
        <w:rPr>
          <w:noProof/>
        </w:rPr>
        <w:t>549</w:t>
      </w:r>
      <w:r>
        <w:fldChar w:fldCharType="end"/>
      </w:r>
    </w:p>
    <w:p w:rsidR="00024C0A" w:rsidRDefault="00694C0F">
      <w:pPr>
        <w:pStyle w:val="indexentry0"/>
      </w:pPr>
      <w:hyperlink w:anchor="section_3c6fa2ad817947adb6a0f55e3b4a67ca">
        <w:r>
          <w:rPr>
            <w:rStyle w:val="Hyperlink"/>
          </w:rPr>
          <w:t>frameLayout (Frameset Layout)</w:t>
        </w:r>
      </w:hyperlink>
      <w:r>
        <w:t xml:space="preserve"> </w:t>
      </w:r>
      <w:r>
        <w:fldChar w:fldCharType="begin"/>
      </w:r>
      <w:r>
        <w:instrText>PAGEREF section_3c6fa2ad817947</w:instrText>
      </w:r>
      <w:r>
        <w:instrText>adb6a0f55e3b4a67ca</w:instrText>
      </w:r>
      <w:r>
        <w:fldChar w:fldCharType="separate"/>
      </w:r>
      <w:r>
        <w:rPr>
          <w:noProof/>
        </w:rPr>
        <w:t>161</w:t>
      </w:r>
      <w:r>
        <w:fldChar w:fldCharType="end"/>
      </w:r>
    </w:p>
    <w:p w:rsidR="00024C0A" w:rsidRDefault="00694C0F">
      <w:pPr>
        <w:pStyle w:val="indexentry0"/>
      </w:pPr>
      <w:hyperlink w:anchor="section_cc9a5828bc534a188b66416b4509f4b9">
        <w:r>
          <w:rPr>
            <w:rStyle w:val="Hyperlink"/>
          </w:rPr>
          <w:t>framePr (Text Frame Properties)</w:t>
        </w:r>
      </w:hyperlink>
      <w:r>
        <w:t xml:space="preserve"> </w:t>
      </w:r>
      <w:r>
        <w:fldChar w:fldCharType="begin"/>
      </w:r>
      <w:r>
        <w:instrText>PAGEREF section_cc9a5828bc534a188b66416b4509f4b9</w:instrText>
      </w:r>
      <w:r>
        <w:fldChar w:fldCharType="separate"/>
      </w:r>
      <w:r>
        <w:rPr>
          <w:noProof/>
        </w:rPr>
        <w:t>63</w:t>
      </w:r>
      <w:r>
        <w:fldChar w:fldCharType="end"/>
      </w:r>
    </w:p>
    <w:p w:rsidR="00024C0A" w:rsidRDefault="00694C0F">
      <w:pPr>
        <w:pStyle w:val="indexentry0"/>
      </w:pPr>
      <w:hyperlink w:anchor="section_24552affdfd2441fa559cc592469a966">
        <w:r>
          <w:rPr>
            <w:rStyle w:val="Hyperlink"/>
          </w:rPr>
          <w:t xml:space="preserve">frameset (Nested Frameset </w:t>
        </w:r>
        <w:r>
          <w:rPr>
            <w:rStyle w:val="Hyperlink"/>
          </w:rPr>
          <w:t>Definition)</w:t>
        </w:r>
      </w:hyperlink>
      <w:r>
        <w:t xml:space="preserve"> </w:t>
      </w:r>
      <w:r>
        <w:fldChar w:fldCharType="begin"/>
      </w:r>
      <w:r>
        <w:instrText>PAGEREF section_24552affdfd2441fa559cc592469a966</w:instrText>
      </w:r>
      <w:r>
        <w:fldChar w:fldCharType="separate"/>
      </w:r>
      <w:r>
        <w:rPr>
          <w:noProof/>
        </w:rPr>
        <w:t>161</w:t>
      </w:r>
      <w:r>
        <w:fldChar w:fldCharType="end"/>
      </w:r>
    </w:p>
    <w:p w:rsidR="00024C0A" w:rsidRDefault="00694C0F">
      <w:pPr>
        <w:pStyle w:val="indexentry0"/>
      </w:pPr>
      <w:hyperlink w:anchor="section_f7970f138896405eae5e7775aa04a053">
        <w:r>
          <w:rPr>
            <w:rStyle w:val="Hyperlink"/>
          </w:rPr>
          <w:t>frameset (Root Frameset Definition)</w:t>
        </w:r>
      </w:hyperlink>
      <w:r>
        <w:t xml:space="preserve"> </w:t>
      </w:r>
      <w:r>
        <w:fldChar w:fldCharType="begin"/>
      </w:r>
      <w:r>
        <w:instrText>PAGEREF section_f7970f138896405eae5e7775aa04a053</w:instrText>
      </w:r>
      <w:r>
        <w:fldChar w:fldCharType="separate"/>
      </w:r>
      <w:r>
        <w:rPr>
          <w:noProof/>
        </w:rPr>
        <w:t>161</w:t>
      </w:r>
      <w:r>
        <w:fldChar w:fldCharType="end"/>
      </w:r>
    </w:p>
    <w:p w:rsidR="00024C0A" w:rsidRDefault="00694C0F">
      <w:pPr>
        <w:pStyle w:val="indexentry0"/>
      </w:pPr>
      <w:r>
        <w:t>from (From) (</w:t>
      </w:r>
      <w:hyperlink w:anchor="section_9223eaea7e2540e7ba8af68d1796d48e">
        <w:r>
          <w:rPr>
            <w:rStyle w:val="Hyperlink"/>
          </w:rPr>
          <w:t>section 2.1.1159</w:t>
        </w:r>
      </w:hyperlink>
      <w:r>
        <w:t xml:space="preserve"> </w:t>
      </w:r>
      <w:r>
        <w:fldChar w:fldCharType="begin"/>
      </w:r>
      <w:r>
        <w:instrText>PAGEREF section_9223eaea7e2540e7ba8af68d1796d48e</w:instrText>
      </w:r>
      <w:r>
        <w:fldChar w:fldCharType="separate"/>
      </w:r>
      <w:r>
        <w:rPr>
          <w:noProof/>
        </w:rPr>
        <w:t>481</w:t>
      </w:r>
      <w:r>
        <w:fldChar w:fldCharType="end"/>
      </w:r>
      <w:r>
        <w:t xml:space="preserve">, </w:t>
      </w:r>
      <w:hyperlink w:anchor="section_0ce2da92a86343f5be088a600f8ba222">
        <w:r>
          <w:rPr>
            <w:rStyle w:val="Hyperlink"/>
          </w:rPr>
          <w:t>section 2.1.1160</w:t>
        </w:r>
      </w:hyperlink>
      <w:r>
        <w:t xml:space="preserve"> </w:t>
      </w:r>
      <w:r>
        <w:fldChar w:fldCharType="begin"/>
      </w:r>
      <w:r>
        <w:instrText>PAGEREF section_0ce2da92a86343f5be088a600f8ba222</w:instrText>
      </w:r>
      <w:r>
        <w:fldChar w:fldCharType="separate"/>
      </w:r>
      <w:r>
        <w:rPr>
          <w:noProof/>
        </w:rPr>
        <w:t>482</w:t>
      </w:r>
      <w:r>
        <w:fldChar w:fldCharType="end"/>
      </w:r>
      <w:r>
        <w:t>)</w:t>
      </w:r>
    </w:p>
    <w:p w:rsidR="00024C0A" w:rsidRDefault="00694C0F">
      <w:pPr>
        <w:pStyle w:val="indexentry0"/>
      </w:pPr>
      <w:hyperlink w:anchor="section_e1dfdbace29c4c9e94769f52adaacd00">
        <w:r>
          <w:rPr>
            <w:rStyle w:val="Hyperlink"/>
          </w:rPr>
          <w:t>from (Starting Anchor Point)</w:t>
        </w:r>
      </w:hyperlink>
      <w:r>
        <w:t xml:space="preserve"> </w:t>
      </w:r>
      <w:r>
        <w:fldChar w:fldCharType="begin"/>
      </w:r>
      <w:r>
        <w:instrText>PAGEREF section_e1dfdbace29c4c9e94769f52adaacd00</w:instrText>
      </w:r>
      <w:r>
        <w:fldChar w:fldCharType="separate"/>
      </w:r>
      <w:r>
        <w:rPr>
          <w:noProof/>
        </w:rPr>
        <w:t>523</w:t>
      </w:r>
      <w:r>
        <w:fldChar w:fldCharType="end"/>
      </w:r>
    </w:p>
    <w:p w:rsidR="00024C0A" w:rsidRDefault="00694C0F">
      <w:pPr>
        <w:pStyle w:val="indexentry0"/>
      </w:pPr>
      <w:hyperlink w:anchor="section_f9aa4dbcf5274fd6a115527aae5f7881">
        <w:r>
          <w:rPr>
            <w:rStyle w:val="Hyperlink"/>
          </w:rPr>
          <w:t>ftr (Footer)</w:t>
        </w:r>
      </w:hyperlink>
      <w:r>
        <w:t xml:space="preserve"> </w:t>
      </w:r>
      <w:r>
        <w:fldChar w:fldCharType="begin"/>
      </w:r>
      <w:r>
        <w:instrText>PAGEREF section_f9aa4dbcf5274fd6a115527aae5f7881</w:instrText>
      </w:r>
      <w:r>
        <w:fldChar w:fldCharType="separate"/>
      </w:r>
      <w:r>
        <w:rPr>
          <w:noProof/>
        </w:rPr>
        <w:t>126</w:t>
      </w:r>
      <w:r>
        <w:fldChar w:fldCharType="end"/>
      </w:r>
    </w:p>
    <w:p w:rsidR="00024C0A" w:rsidRDefault="00694C0F">
      <w:pPr>
        <w:pStyle w:val="indexentry0"/>
      </w:pPr>
      <w:hyperlink w:anchor="section_762ae7b5f1cd472aa836ebd7158c79ce">
        <w:r>
          <w:rPr>
            <w:rStyle w:val="Hyperlink"/>
          </w:rPr>
          <w:t>func (Function Apply Object)</w:t>
        </w:r>
      </w:hyperlink>
      <w:r>
        <w:t xml:space="preserve"> </w:t>
      </w:r>
      <w:r>
        <w:fldChar w:fldCharType="begin"/>
      </w:r>
      <w:r>
        <w:instrText>PAGEREF section_762ae7b5f1cd472aa836ebd7158c79ce</w:instrText>
      </w:r>
      <w:r>
        <w:fldChar w:fldCharType="separate"/>
      </w:r>
      <w:r>
        <w:rPr>
          <w:noProof/>
        </w:rPr>
        <w:t>593</w:t>
      </w:r>
      <w:r>
        <w:fldChar w:fldCharType="end"/>
      </w:r>
    </w:p>
    <w:p w:rsidR="00024C0A" w:rsidRDefault="00694C0F">
      <w:pPr>
        <w:pStyle w:val="indexentry0"/>
      </w:pPr>
      <w:hyperlink w:anchor="section_729549d888934b56b6597bd3dbada57e">
        <w:r>
          <w:rPr>
            <w:rStyle w:val="Hyperlink"/>
          </w:rPr>
          <w:t>functionGroup (Function Group)</w:t>
        </w:r>
      </w:hyperlink>
      <w:r>
        <w:t xml:space="preserve"> </w:t>
      </w:r>
      <w:r>
        <w:fldChar w:fldCharType="begin"/>
      </w:r>
      <w:r>
        <w:instrText>PAGEREF section_729549d888934b56b6597bd3dbada57e</w:instrText>
      </w:r>
      <w:r>
        <w:fldChar w:fldCharType="separate"/>
      </w:r>
      <w:r>
        <w:rPr>
          <w:noProof/>
        </w:rPr>
        <w:t>242</w:t>
      </w:r>
      <w:r>
        <w:fldChar w:fldCharType="end"/>
      </w:r>
    </w:p>
    <w:p w:rsidR="00024C0A" w:rsidRDefault="00694C0F">
      <w:pPr>
        <w:pStyle w:val="indexentry0"/>
      </w:pPr>
      <w:hyperlink w:anchor="section_6b54db2cbdb048d79ff72aeda743c8d2">
        <w:r>
          <w:rPr>
            <w:rStyle w:val="Hyperlink"/>
          </w:rPr>
          <w:t>functionGroups (Function Groups)</w:t>
        </w:r>
      </w:hyperlink>
      <w:r>
        <w:t xml:space="preserve"> </w:t>
      </w:r>
      <w:r>
        <w:fldChar w:fldCharType="begin"/>
      </w:r>
      <w:r>
        <w:instrText>PAGEREF section_6b54db2cbdb048d79ff72aeda743c8d2</w:instrText>
      </w:r>
      <w:r>
        <w:fldChar w:fldCharType="separate"/>
      </w:r>
      <w:r>
        <w:rPr>
          <w:noProof/>
        </w:rPr>
        <w:t>242</w:t>
      </w:r>
      <w:r>
        <w:fldChar w:fldCharType="end"/>
      </w:r>
    </w:p>
    <w:p w:rsidR="00024C0A" w:rsidRDefault="00694C0F">
      <w:pPr>
        <w:pStyle w:val="indexentry0"/>
      </w:pPr>
      <w:hyperlink w:anchor="section_364a891349b546aa9cd5bc8180948a2a">
        <w:r>
          <w:rPr>
            <w:rStyle w:val="Hyperlink"/>
          </w:rPr>
          <w:t>Functions</w:t>
        </w:r>
      </w:hyperlink>
      <w:r>
        <w:t xml:space="preserve"> </w:t>
      </w:r>
      <w:r>
        <w:fldChar w:fldCharType="begin"/>
      </w:r>
      <w:r>
        <w:instrText>PAGEREF section_364a891349b546aa9cd5bc8180948a2a</w:instrText>
      </w:r>
      <w:r>
        <w:fldChar w:fldCharType="separate"/>
      </w:r>
      <w:r>
        <w:rPr>
          <w:noProof/>
        </w:rPr>
        <w:t>393</w:t>
      </w:r>
      <w:r>
        <w:fldChar w:fldCharType="end"/>
      </w:r>
    </w:p>
    <w:p w:rsidR="00024C0A" w:rsidRDefault="00694C0F">
      <w:pPr>
        <w:pStyle w:val="indexentry0"/>
      </w:pPr>
      <w:hyperlink w:anchor="section_345477a385564e6c8ad0895a79f9048b">
        <w:r>
          <w:rPr>
            <w:rStyle w:val="Hyperlink"/>
          </w:rPr>
          <w:t>futureMetadata (Future Metadata)</w:t>
        </w:r>
      </w:hyperlink>
      <w:r>
        <w:t xml:space="preserve"> </w:t>
      </w:r>
      <w:r>
        <w:fldChar w:fldCharType="begin"/>
      </w:r>
      <w:r>
        <w:instrText>PAGEREF section_345477a385564e6c8ad0895a79f9048b</w:instrText>
      </w:r>
      <w:r>
        <w:fldChar w:fldCharType="separate"/>
      </w:r>
      <w:r>
        <w:rPr>
          <w:noProof/>
        </w:rPr>
        <w:t>312</w:t>
      </w:r>
      <w:r>
        <w:fldChar w:fldCharType="end"/>
      </w:r>
    </w:p>
    <w:p w:rsidR="00024C0A" w:rsidRDefault="00694C0F">
      <w:pPr>
        <w:pStyle w:val="indexentry0"/>
      </w:pPr>
      <w:hyperlink w:anchor="section_7eb63416dfd44087b2076372769e91d0">
        <w:r>
          <w:rPr>
            <w:rStyle w:val="Hyperlink"/>
          </w:rPr>
          <w:t>FV</w:t>
        </w:r>
      </w:hyperlink>
      <w:r>
        <w:t xml:space="preserve"> </w:t>
      </w:r>
      <w:r>
        <w:fldChar w:fldCharType="begin"/>
      </w:r>
      <w:r>
        <w:instrText>PAGEREF section_7eb63416dfd44087b2076372769e91d0</w:instrText>
      </w:r>
      <w:r>
        <w:fldChar w:fldCharType="separate"/>
      </w:r>
      <w:r>
        <w:rPr>
          <w:noProof/>
        </w:rPr>
        <w:t>422</w:t>
      </w:r>
      <w:r>
        <w:fldChar w:fldCharType="end"/>
      </w:r>
    </w:p>
    <w:p w:rsidR="00024C0A" w:rsidRDefault="00024C0A">
      <w:pPr>
        <w:spacing w:before="0" w:after="0"/>
        <w:rPr>
          <w:sz w:val="16"/>
        </w:rPr>
      </w:pPr>
    </w:p>
    <w:p w:rsidR="00024C0A" w:rsidRDefault="00694C0F">
      <w:pPr>
        <w:pStyle w:val="indexheader"/>
      </w:pPr>
      <w:r>
        <w:t>G</w:t>
      </w:r>
    </w:p>
    <w:p w:rsidR="00024C0A" w:rsidRDefault="00024C0A">
      <w:pPr>
        <w:spacing w:before="0" w:after="0"/>
        <w:rPr>
          <w:sz w:val="16"/>
        </w:rPr>
      </w:pPr>
    </w:p>
    <w:p w:rsidR="00024C0A" w:rsidRDefault="00694C0F">
      <w:pPr>
        <w:pStyle w:val="indexentry0"/>
      </w:pPr>
      <w:hyperlink w:anchor="section_82dbbad19eb54458b41d462e746c465e">
        <w:r>
          <w:rPr>
            <w:rStyle w:val="Hyperlink"/>
          </w:rPr>
          <w:t>GAMMAINV</w:t>
        </w:r>
      </w:hyperlink>
      <w:r>
        <w:t xml:space="preserve"> </w:t>
      </w:r>
      <w:r>
        <w:fldChar w:fldCharType="begin"/>
      </w:r>
      <w:r>
        <w:instrText>PAGEREF section_82dbbad19eb54458b41d462e746c465e</w:instrText>
      </w:r>
      <w:r>
        <w:fldChar w:fldCharType="separate"/>
      </w:r>
      <w:r>
        <w:rPr>
          <w:noProof/>
        </w:rPr>
        <w:t>422</w:t>
      </w:r>
      <w:r>
        <w:fldChar w:fldCharType="end"/>
      </w:r>
    </w:p>
    <w:p w:rsidR="00024C0A" w:rsidRDefault="00694C0F">
      <w:pPr>
        <w:pStyle w:val="indexentry0"/>
      </w:pPr>
      <w:hyperlink w:anchor="section_012f5622abbb48448368833b087789e4">
        <w:r>
          <w:rPr>
            <w:rStyle w:val="Hyperlink"/>
          </w:rPr>
          <w:t>gapDepth (Gap Depth)</w:t>
        </w:r>
      </w:hyperlink>
      <w:r>
        <w:t xml:space="preserve"> </w:t>
      </w:r>
      <w:r>
        <w:fldChar w:fldCharType="begin"/>
      </w:r>
      <w:r>
        <w:instrText>PAGEREF section_012f5622abbb48448368833b087789e4</w:instrText>
      </w:r>
      <w:r>
        <w:fldChar w:fldCharType="separate"/>
      </w:r>
      <w:r>
        <w:rPr>
          <w:noProof/>
        </w:rPr>
        <w:t>549</w:t>
      </w:r>
      <w:r>
        <w:fldChar w:fldCharType="end"/>
      </w:r>
    </w:p>
    <w:p w:rsidR="00024C0A" w:rsidRDefault="00694C0F">
      <w:pPr>
        <w:pStyle w:val="indexentry0"/>
      </w:pPr>
      <w:hyperlink w:anchor="section_2f482e396b114a3ba3c43c46edfb3fc9">
        <w:r>
          <w:rPr>
            <w:rStyle w:val="Hyperlink"/>
          </w:rPr>
          <w:t>gapWidth (Gap Width)</w:t>
        </w:r>
      </w:hyperlink>
      <w:r>
        <w:t xml:space="preserve"> </w:t>
      </w:r>
      <w:r>
        <w:fldChar w:fldCharType="begin"/>
      </w:r>
      <w:r>
        <w:instrText>PAGEREF section_2f482e396b114a3ba3c43c46edfb3f</w:instrText>
      </w:r>
      <w:r>
        <w:instrText>c9</w:instrText>
      </w:r>
      <w:r>
        <w:fldChar w:fldCharType="separate"/>
      </w:r>
      <w:r>
        <w:rPr>
          <w:noProof/>
        </w:rPr>
        <w:t>550</w:t>
      </w:r>
      <w:r>
        <w:fldChar w:fldCharType="end"/>
      </w:r>
    </w:p>
    <w:p w:rsidR="00024C0A" w:rsidRDefault="00694C0F">
      <w:pPr>
        <w:pStyle w:val="indexentry0"/>
      </w:pPr>
      <w:hyperlink w:anchor="section_851cc3e8ab224f5e86d123b0b06d5edd">
        <w:r>
          <w:rPr>
            <w:rStyle w:val="Hyperlink"/>
          </w:rPr>
          <w:t>gd (Shape Guide)</w:t>
        </w:r>
      </w:hyperlink>
      <w:r>
        <w:t xml:space="preserve"> </w:t>
      </w:r>
      <w:r>
        <w:fldChar w:fldCharType="begin"/>
      </w:r>
      <w:r>
        <w:instrText>PAGEREF section_851cc3e8ab224f5e86d123b0b06d5edd</w:instrText>
      </w:r>
      <w:r>
        <w:fldChar w:fldCharType="separate"/>
      </w:r>
      <w:r>
        <w:rPr>
          <w:noProof/>
        </w:rPr>
        <w:t>514</w:t>
      </w:r>
      <w:r>
        <w:fldChar w:fldCharType="end"/>
      </w:r>
    </w:p>
    <w:p w:rsidR="00024C0A" w:rsidRDefault="00694C0F">
      <w:pPr>
        <w:pStyle w:val="indexentry0"/>
      </w:pPr>
      <w:hyperlink w:anchor="section_77bace381a5343a19598684246b14b62">
        <w:r>
          <w:rPr>
            <w:rStyle w:val="Hyperlink"/>
          </w:rPr>
          <w:t>General formatting</w:t>
        </w:r>
      </w:hyperlink>
      <w:r>
        <w:t xml:space="preserve"> </w:t>
      </w:r>
      <w:r>
        <w:fldChar w:fldCharType="begin"/>
      </w:r>
      <w:r>
        <w:instrText>PAGEREF section_77bace381a5343a19598684246b14b62</w:instrText>
      </w:r>
      <w:r>
        <w:fldChar w:fldCharType="separate"/>
      </w:r>
      <w:r>
        <w:rPr>
          <w:noProof/>
        </w:rPr>
        <w:t>165</w:t>
      </w:r>
      <w:r>
        <w:fldChar w:fldCharType="end"/>
      </w:r>
    </w:p>
    <w:p w:rsidR="00024C0A" w:rsidRDefault="00694C0F">
      <w:pPr>
        <w:pStyle w:val="indexentry0"/>
      </w:pPr>
      <w:hyperlink w:anchor="section_82f90d9017f9441d82eb47b5167e9757">
        <w:r>
          <w:rPr>
            <w:rStyle w:val="Hyperlink"/>
          </w:rPr>
          <w:t>GEOMEAN</w:t>
        </w:r>
      </w:hyperlink>
      <w:r>
        <w:t xml:space="preserve"> </w:t>
      </w:r>
      <w:r>
        <w:fldChar w:fldCharType="begin"/>
      </w:r>
      <w:r>
        <w:instrText>PAGEREF section_82f90d9017f9441d82eb47b5167e9757</w:instrText>
      </w:r>
      <w:r>
        <w:fldChar w:fldCharType="separate"/>
      </w:r>
      <w:r>
        <w:rPr>
          <w:noProof/>
        </w:rPr>
        <w:t>422</w:t>
      </w:r>
      <w:r>
        <w:fldChar w:fldCharType="end"/>
      </w:r>
    </w:p>
    <w:p w:rsidR="00024C0A" w:rsidRDefault="00694C0F">
      <w:pPr>
        <w:pStyle w:val="indexentry0"/>
      </w:pPr>
      <w:hyperlink w:anchor="section_dad1aeafe2be4fbca86419ac8dba4ac9">
        <w:r>
          <w:rPr>
            <w:rStyle w:val="Hyperlink"/>
          </w:rPr>
          <w:t>GETPIVOTDATA</w:t>
        </w:r>
      </w:hyperlink>
      <w:r>
        <w:t xml:space="preserve"> </w:t>
      </w:r>
      <w:r>
        <w:fldChar w:fldCharType="begin"/>
      </w:r>
      <w:r>
        <w:instrText>PAGER</w:instrText>
      </w:r>
      <w:r>
        <w:instrText>EF section_dad1aeafe2be4fbca86419ac8dba4ac9</w:instrText>
      </w:r>
      <w:r>
        <w:fldChar w:fldCharType="separate"/>
      </w:r>
      <w:r>
        <w:rPr>
          <w:noProof/>
        </w:rPr>
        <w:t>422</w:t>
      </w:r>
      <w:r>
        <w:fldChar w:fldCharType="end"/>
      </w:r>
    </w:p>
    <w:p w:rsidR="00024C0A" w:rsidRDefault="00694C0F">
      <w:pPr>
        <w:pStyle w:val="indexentry0"/>
      </w:pPr>
      <w:r>
        <w:t>Glossary (</w:t>
      </w:r>
      <w:hyperlink w:anchor="section_844a3afe7f7f4ff8bcd759e7a6a4b1ea">
        <w:r>
          <w:rPr>
            <w:rStyle w:val="Hyperlink"/>
          </w:rPr>
          <w:t>section 1.1</w:t>
        </w:r>
      </w:hyperlink>
      <w:r>
        <w:t xml:space="preserve"> </w:t>
      </w:r>
      <w:r>
        <w:fldChar w:fldCharType="begin"/>
      </w:r>
      <w:r>
        <w:instrText>PAGEREF section_844a3afe7f7f4ff8bcd759e7a6a4b1ea</w:instrText>
      </w:r>
      <w:r>
        <w:fldChar w:fldCharType="separate"/>
      </w:r>
      <w:r>
        <w:rPr>
          <w:noProof/>
        </w:rPr>
        <w:t>43</w:t>
      </w:r>
      <w:r>
        <w:fldChar w:fldCharType="end"/>
      </w:r>
      <w:r>
        <w:t xml:space="preserve">, </w:t>
      </w:r>
      <w:hyperlink w:anchor="section_911a353b274e487b86d29c8271f7a2b5">
        <w:r>
          <w:rPr>
            <w:rStyle w:val="Hyperlink"/>
          </w:rPr>
          <w:t>section 3.</w:t>
        </w:r>
        <w:r>
          <w:rPr>
            <w:rStyle w:val="Hyperlink"/>
          </w:rPr>
          <w:t>1.3.2.3</w:t>
        </w:r>
      </w:hyperlink>
      <w:r>
        <w:t xml:space="preserve"> </w:t>
      </w:r>
      <w:r>
        <w:fldChar w:fldCharType="begin"/>
      </w:r>
      <w:r>
        <w:instrText>PAGEREF section_911a353b274e487b86d29c8271f7a2b5</w:instrText>
      </w:r>
      <w:r>
        <w:fldChar w:fldCharType="separate"/>
      </w:r>
      <w:r>
        <w:rPr>
          <w:noProof/>
        </w:rPr>
        <w:t>811</w:t>
      </w:r>
      <w:r>
        <w:fldChar w:fldCharType="end"/>
      </w:r>
      <w:r>
        <w:t>)</w:t>
      </w:r>
    </w:p>
    <w:p w:rsidR="00024C0A" w:rsidRDefault="00694C0F">
      <w:pPr>
        <w:pStyle w:val="indexentry0"/>
      </w:pPr>
      <w:hyperlink w:anchor="section_88d009e20f714add9d1efd0bc02d9ca2">
        <w:r>
          <w:rPr>
            <w:rStyle w:val="Hyperlink"/>
          </w:rPr>
          <w:t>GOTOBUTTON</w:t>
        </w:r>
      </w:hyperlink>
      <w:r>
        <w:t xml:space="preserve"> </w:t>
      </w:r>
      <w:r>
        <w:fldChar w:fldCharType="begin"/>
      </w:r>
      <w:r>
        <w:instrText>PAGEREF section_88d009e20f714add9d1efd0bc02d9ca2</w:instrText>
      </w:r>
      <w:r>
        <w:fldChar w:fldCharType="separate"/>
      </w:r>
      <w:r>
        <w:rPr>
          <w:noProof/>
        </w:rPr>
        <w:t>213</w:t>
      </w:r>
      <w:r>
        <w:fldChar w:fldCharType="end"/>
      </w:r>
    </w:p>
    <w:p w:rsidR="00024C0A" w:rsidRDefault="00694C0F">
      <w:pPr>
        <w:pStyle w:val="indexentry0"/>
      </w:pPr>
      <w:hyperlink w:anchor="section_f43f30dfc82941f3ba6f52e9ac3b4e20">
        <w:r>
          <w:rPr>
            <w:rStyle w:val="Hyperlink"/>
          </w:rPr>
          <w:t>gradFi</w:t>
        </w:r>
        <w:r>
          <w:rPr>
            <w:rStyle w:val="Hyperlink"/>
          </w:rPr>
          <w:t>ll (Gradient Fill)</w:t>
        </w:r>
      </w:hyperlink>
      <w:r>
        <w:t xml:space="preserve"> </w:t>
      </w:r>
      <w:r>
        <w:fldChar w:fldCharType="begin"/>
      </w:r>
      <w:r>
        <w:instrText>PAGEREF section_f43f30dfc82941f3ba6f52e9ac3b4e20</w:instrText>
      </w:r>
      <w:r>
        <w:fldChar w:fldCharType="separate"/>
      </w:r>
      <w:r>
        <w:rPr>
          <w:noProof/>
        </w:rPr>
        <w:t>512</w:t>
      </w:r>
      <w:r>
        <w:fldChar w:fldCharType="end"/>
      </w:r>
    </w:p>
    <w:p w:rsidR="00024C0A" w:rsidRDefault="00694C0F">
      <w:pPr>
        <w:pStyle w:val="indexentry0"/>
      </w:pPr>
      <w:hyperlink w:anchor="section_93eecc5015504cbe911ca2aad70cbbd5">
        <w:r>
          <w:rPr>
            <w:rStyle w:val="Hyperlink"/>
          </w:rPr>
          <w:t>gradientFill (Gradient)</w:t>
        </w:r>
      </w:hyperlink>
      <w:r>
        <w:t xml:space="preserve"> </w:t>
      </w:r>
      <w:r>
        <w:fldChar w:fldCharType="begin"/>
      </w:r>
      <w:r>
        <w:instrText>PAGEREF section_93eecc5015504cbe911ca2aad70cbbd5</w:instrText>
      </w:r>
      <w:r>
        <w:fldChar w:fldCharType="separate"/>
      </w:r>
      <w:r>
        <w:rPr>
          <w:noProof/>
        </w:rPr>
        <w:t>298</w:t>
      </w:r>
      <w:r>
        <w:fldChar w:fldCharType="end"/>
      </w:r>
    </w:p>
    <w:p w:rsidR="00024C0A" w:rsidRDefault="00694C0F">
      <w:pPr>
        <w:pStyle w:val="indexentry0"/>
      </w:pPr>
      <w:hyperlink w:anchor="section_a76a4974881b4ca598fea758cda15e82">
        <w:r>
          <w:rPr>
            <w:rStyle w:val="Hyperlink"/>
          </w:rPr>
          <w:t>Graphic Frame Doc</w:t>
        </w:r>
      </w:hyperlink>
      <w:r>
        <w:t xml:space="preserve"> </w:t>
      </w:r>
      <w:r>
        <w:fldChar w:fldCharType="begin"/>
      </w:r>
      <w:r>
        <w:instrText>PAGEREF section_a76a4974881b4ca598fea758cda15e82</w:instrText>
      </w:r>
      <w:r>
        <w:fldChar w:fldCharType="separate"/>
      </w:r>
      <w:r>
        <w:rPr>
          <w:noProof/>
        </w:rPr>
        <w:t>823</w:t>
      </w:r>
      <w:r>
        <w:fldChar w:fldCharType="end"/>
      </w:r>
    </w:p>
    <w:p w:rsidR="00024C0A" w:rsidRDefault="00694C0F">
      <w:pPr>
        <w:pStyle w:val="indexentry0"/>
      </w:pPr>
      <w:hyperlink w:anchor="section_05d4382cb474457198bc227f8c917033">
        <w:r>
          <w:rPr>
            <w:rStyle w:val="Hyperlink"/>
          </w:rPr>
          <w:t>graphicData (Graphic Object Data)</w:t>
        </w:r>
      </w:hyperlink>
      <w:r>
        <w:t xml:space="preserve"> </w:t>
      </w:r>
      <w:r>
        <w:fldChar w:fldCharType="begin"/>
      </w:r>
      <w:r>
        <w:instrText>PAGEREF section_05d4382cb474457198bc227f8c917033</w:instrText>
      </w:r>
      <w:r>
        <w:fldChar w:fldCharType="separate"/>
      </w:r>
      <w:r>
        <w:rPr>
          <w:noProof/>
        </w:rPr>
        <w:t>495</w:t>
      </w:r>
      <w:r>
        <w:fldChar w:fldCharType="end"/>
      </w:r>
    </w:p>
    <w:p w:rsidR="00024C0A" w:rsidRDefault="00694C0F">
      <w:pPr>
        <w:pStyle w:val="indexentry0"/>
      </w:pPr>
      <w:hyperlink w:anchor="section_34777b76de124a3381f75a9e2605d34f">
        <w:r>
          <w:rPr>
            <w:rStyle w:val="Hyperlink"/>
          </w:rPr>
          <w:t>graphicEl (Graphic Element)</w:t>
        </w:r>
      </w:hyperlink>
      <w:r>
        <w:t xml:space="preserve"> </w:t>
      </w:r>
      <w:r>
        <w:fldChar w:fldCharType="begin"/>
      </w:r>
      <w:r>
        <w:instrText>PAGEREF section_34777b76de124a3381f75a9e2605d34f</w:instrText>
      </w:r>
      <w:r>
        <w:fldChar w:fldCharType="separate"/>
      </w:r>
      <w:r>
        <w:rPr>
          <w:noProof/>
        </w:rPr>
        <w:t>482</w:t>
      </w:r>
      <w:r>
        <w:fldChar w:fldCharType="end"/>
      </w:r>
    </w:p>
    <w:p w:rsidR="00024C0A" w:rsidRDefault="00694C0F">
      <w:pPr>
        <w:pStyle w:val="indexentry0"/>
      </w:pPr>
      <w:r>
        <w:t>graphicFrame (Graphic Frame) (</w:t>
      </w:r>
      <w:hyperlink w:anchor="section_a64e434cd5194cec945b0cc428546308">
        <w:r>
          <w:rPr>
            <w:rStyle w:val="Hyperlink"/>
          </w:rPr>
          <w:t>section 2.1.1360</w:t>
        </w:r>
      </w:hyperlink>
      <w:r>
        <w:t xml:space="preserve"> </w:t>
      </w:r>
      <w:r>
        <w:fldChar w:fldCharType="begin"/>
      </w:r>
      <w:r>
        <w:instrText>PAGEREF section_a64e434cd5194cec945b0cc428546308</w:instrText>
      </w:r>
      <w:r>
        <w:fldChar w:fldCharType="separate"/>
      </w:r>
      <w:r>
        <w:rPr>
          <w:noProof/>
        </w:rPr>
        <w:t>523</w:t>
      </w:r>
      <w:r>
        <w:fldChar w:fldCharType="end"/>
      </w:r>
      <w:r>
        <w:t xml:space="preserve">, </w:t>
      </w:r>
      <w:hyperlink w:anchor="section_0cebfe7e9b5a4b468ee5cbaa422259da">
        <w:r>
          <w:rPr>
            <w:rStyle w:val="Hyperlink"/>
          </w:rPr>
          <w:t>section 2.1.1599</w:t>
        </w:r>
      </w:hyperlink>
      <w:r>
        <w:t xml:space="preserve"> </w:t>
      </w:r>
      <w:r>
        <w:fldChar w:fldCharType="begin"/>
      </w:r>
      <w:r>
        <w:instrText>PAGEREF section_0cebfe7e9b5a4b468ee5cbaa422259da</w:instrText>
      </w:r>
      <w:r>
        <w:fldChar w:fldCharType="separate"/>
      </w:r>
      <w:r>
        <w:rPr>
          <w:noProof/>
        </w:rPr>
        <w:t>577</w:t>
      </w:r>
      <w:r>
        <w:fldChar w:fldCharType="end"/>
      </w:r>
      <w:r>
        <w:t>)</w:t>
      </w:r>
    </w:p>
    <w:p w:rsidR="00024C0A" w:rsidRDefault="00694C0F">
      <w:pPr>
        <w:pStyle w:val="indexentry0"/>
      </w:pPr>
      <w:hyperlink w:anchor="section_68cd339693e94244b7286ac467d7f626">
        <w:r>
          <w:rPr>
            <w:rStyle w:val="Hyperlink"/>
          </w:rPr>
          <w:t>graphicFr</w:t>
        </w:r>
        <w:r>
          <w:rPr>
            <w:rStyle w:val="Hyperlink"/>
          </w:rPr>
          <w:t>ameLocks (Graphic Frame Locks)</w:t>
        </w:r>
      </w:hyperlink>
      <w:r>
        <w:t xml:space="preserve"> </w:t>
      </w:r>
      <w:r>
        <w:fldChar w:fldCharType="begin"/>
      </w:r>
      <w:r>
        <w:instrText>PAGEREF section_68cd339693e94244b7286ac467d7f626</w:instrText>
      </w:r>
      <w:r>
        <w:fldChar w:fldCharType="separate"/>
      </w:r>
      <w:r>
        <w:rPr>
          <w:noProof/>
        </w:rPr>
        <w:t>496</w:t>
      </w:r>
      <w:r>
        <w:fldChar w:fldCharType="end"/>
      </w:r>
    </w:p>
    <w:p w:rsidR="00024C0A" w:rsidRDefault="00694C0F">
      <w:pPr>
        <w:pStyle w:val="indexentry0"/>
      </w:pPr>
      <w:hyperlink w:anchor="section_918cbe28c0504ca2ab4a9fdf9e656a6f">
        <w:r>
          <w:rPr>
            <w:rStyle w:val="Hyperlink"/>
          </w:rPr>
          <w:t>green (Green)</w:t>
        </w:r>
      </w:hyperlink>
      <w:r>
        <w:t xml:space="preserve"> </w:t>
      </w:r>
      <w:r>
        <w:fldChar w:fldCharType="begin"/>
      </w:r>
      <w:r>
        <w:instrText>PAGEREF section_918cbe28c0504ca2ab4a9fdf9e656a6f</w:instrText>
      </w:r>
      <w:r>
        <w:fldChar w:fldCharType="separate"/>
      </w:r>
      <w:r>
        <w:rPr>
          <w:noProof/>
        </w:rPr>
        <w:t>499</w:t>
      </w:r>
      <w:r>
        <w:fldChar w:fldCharType="end"/>
      </w:r>
    </w:p>
    <w:p w:rsidR="00024C0A" w:rsidRDefault="00694C0F">
      <w:pPr>
        <w:pStyle w:val="indexentry0"/>
      </w:pPr>
      <w:hyperlink w:anchor="section_e372eb222ed34f6bbdc455f4c3379d83">
        <w:r>
          <w:rPr>
            <w:rStyle w:val="Hyperlink"/>
          </w:rPr>
          <w:t>greenMod (Green Modification)</w:t>
        </w:r>
      </w:hyperlink>
      <w:r>
        <w:t xml:space="preserve"> </w:t>
      </w:r>
      <w:r>
        <w:fldChar w:fldCharType="begin"/>
      </w:r>
      <w:r>
        <w:instrText>PAGEREF section_e372eb222ed34f6bbdc455f4c3379d83</w:instrText>
      </w:r>
      <w:r>
        <w:fldChar w:fldCharType="separate"/>
      </w:r>
      <w:r>
        <w:rPr>
          <w:noProof/>
        </w:rPr>
        <w:t>499</w:t>
      </w:r>
      <w:r>
        <w:fldChar w:fldCharType="end"/>
      </w:r>
    </w:p>
    <w:p w:rsidR="00024C0A" w:rsidRDefault="00694C0F">
      <w:pPr>
        <w:pStyle w:val="indexentry0"/>
      </w:pPr>
      <w:hyperlink w:anchor="section_6608a2d4e5c74de28aa64977e614c1c5">
        <w:r>
          <w:rPr>
            <w:rStyle w:val="Hyperlink"/>
          </w:rPr>
          <w:t>greenOff (Green Offset)</w:t>
        </w:r>
      </w:hyperlink>
      <w:r>
        <w:t xml:space="preserve"> </w:t>
      </w:r>
      <w:r>
        <w:fldChar w:fldCharType="begin"/>
      </w:r>
      <w:r>
        <w:instrText>PAGEREF section_6608a2d4e5c74de28aa64977e614c1c5</w:instrText>
      </w:r>
      <w:r>
        <w:fldChar w:fldCharType="separate"/>
      </w:r>
      <w:r>
        <w:rPr>
          <w:noProof/>
        </w:rPr>
        <w:t>499</w:t>
      </w:r>
      <w:r>
        <w:fldChar w:fldCharType="end"/>
      </w:r>
    </w:p>
    <w:p w:rsidR="00024C0A" w:rsidRDefault="00694C0F">
      <w:pPr>
        <w:pStyle w:val="indexentry0"/>
      </w:pPr>
      <w:hyperlink w:anchor="section_7c6c5a820257412fb723ee973a8febe9">
        <w:r>
          <w:rPr>
            <w:rStyle w:val="Hyperlink"/>
          </w:rPr>
          <w:t>GREETINGLINE</w:t>
        </w:r>
      </w:hyperlink>
      <w:r>
        <w:t xml:space="preserve"> </w:t>
      </w:r>
      <w:r>
        <w:fldChar w:fldCharType="begin"/>
      </w:r>
      <w:r>
        <w:instrText>PAGEREF section_7c6c5a820257412fb723ee973a8febe9</w:instrText>
      </w:r>
      <w:r>
        <w:fldChar w:fldCharType="separate"/>
      </w:r>
      <w:r>
        <w:rPr>
          <w:noProof/>
        </w:rPr>
        <w:t>214</w:t>
      </w:r>
      <w:r>
        <w:fldChar w:fldCharType="end"/>
      </w:r>
    </w:p>
    <w:p w:rsidR="00024C0A" w:rsidRDefault="00694C0F">
      <w:pPr>
        <w:pStyle w:val="indexentry0"/>
      </w:pPr>
      <w:hyperlink w:anchor="section_12e40cc181624abf985e412e9324e57c">
        <w:r>
          <w:rPr>
            <w:rStyle w:val="Hyperlink"/>
          </w:rPr>
          <w:t>gridAfter (Grid Columns After Last Cell)</w:t>
        </w:r>
      </w:hyperlink>
      <w:r>
        <w:t xml:space="preserve"> </w:t>
      </w:r>
      <w:r>
        <w:fldChar w:fldCharType="begin"/>
      </w:r>
      <w:r>
        <w:instrText>PAGEREF section_12e40cc181624abf985e41</w:instrText>
      </w:r>
      <w:r>
        <w:instrText>2e9324e57c</w:instrText>
      </w:r>
      <w:r>
        <w:fldChar w:fldCharType="separate"/>
      </w:r>
      <w:r>
        <w:rPr>
          <w:noProof/>
        </w:rPr>
        <w:t>82</w:t>
      </w:r>
      <w:r>
        <w:fldChar w:fldCharType="end"/>
      </w:r>
    </w:p>
    <w:p w:rsidR="00024C0A" w:rsidRDefault="00694C0F">
      <w:pPr>
        <w:pStyle w:val="indexentry0"/>
      </w:pPr>
      <w:hyperlink w:anchor="section_c0d7a13166d24bee8df8e5bae148119f">
        <w:r>
          <w:rPr>
            <w:rStyle w:val="Hyperlink"/>
          </w:rPr>
          <w:t>gridBefore (Grid Columns Before First Cell)</w:t>
        </w:r>
      </w:hyperlink>
      <w:r>
        <w:t xml:space="preserve"> </w:t>
      </w:r>
      <w:r>
        <w:fldChar w:fldCharType="begin"/>
      </w:r>
      <w:r>
        <w:instrText>PAGEREF section_c0d7a13166d24bee8df8e5bae148119f</w:instrText>
      </w:r>
      <w:r>
        <w:fldChar w:fldCharType="separate"/>
      </w:r>
      <w:r>
        <w:rPr>
          <w:noProof/>
        </w:rPr>
        <w:t>83</w:t>
      </w:r>
      <w:r>
        <w:fldChar w:fldCharType="end"/>
      </w:r>
    </w:p>
    <w:p w:rsidR="00024C0A" w:rsidRDefault="00694C0F">
      <w:pPr>
        <w:pStyle w:val="indexentry0"/>
      </w:pPr>
      <w:hyperlink w:anchor="section_8de3b402ef354ebaac7fcae720425b2a">
        <w:r>
          <w:rPr>
            <w:rStyle w:val="Hyperlink"/>
          </w:rPr>
          <w:t>gridCol (Table Grid Co</w:t>
        </w:r>
        <w:r>
          <w:rPr>
            <w:rStyle w:val="Hyperlink"/>
          </w:rPr>
          <w:t>lumn)</w:t>
        </w:r>
      </w:hyperlink>
      <w:r>
        <w:t xml:space="preserve"> </w:t>
      </w:r>
      <w:r>
        <w:fldChar w:fldCharType="begin"/>
      </w:r>
      <w:r>
        <w:instrText>PAGEREF section_8de3b402ef354ebaac7fcae720425b2a</w:instrText>
      </w:r>
      <w:r>
        <w:fldChar w:fldCharType="separate"/>
      </w:r>
      <w:r>
        <w:rPr>
          <w:noProof/>
        </w:rPr>
        <w:t>538</w:t>
      </w:r>
      <w:r>
        <w:fldChar w:fldCharType="end"/>
      </w:r>
    </w:p>
    <w:p w:rsidR="00024C0A" w:rsidRDefault="00694C0F">
      <w:pPr>
        <w:pStyle w:val="indexentry0"/>
      </w:pPr>
      <w:hyperlink w:anchor="section_01bfc2007b7d40c0bb1045afd2f72c8f">
        <w:r>
          <w:rPr>
            <w:rStyle w:val="Hyperlink"/>
          </w:rPr>
          <w:t>gridSpan (Grid Columns Spanned by Current Table Cell)</w:t>
        </w:r>
      </w:hyperlink>
      <w:r>
        <w:t xml:space="preserve"> </w:t>
      </w:r>
      <w:r>
        <w:fldChar w:fldCharType="begin"/>
      </w:r>
      <w:r>
        <w:instrText>PAGEREF section_01bfc2007b7d40c0bb1045afd2f72c8f</w:instrText>
      </w:r>
      <w:r>
        <w:fldChar w:fldCharType="separate"/>
      </w:r>
      <w:r>
        <w:rPr>
          <w:noProof/>
        </w:rPr>
        <w:t>83</w:t>
      </w:r>
      <w:r>
        <w:fldChar w:fldCharType="end"/>
      </w:r>
    </w:p>
    <w:p w:rsidR="00024C0A" w:rsidRDefault="00694C0F">
      <w:pPr>
        <w:pStyle w:val="indexentry0"/>
      </w:pPr>
      <w:hyperlink w:anchor="section_a7ba5505eafb40878616d3f706eccbb1">
        <w:r>
          <w:rPr>
            <w:rStyle w:val="Hyperlink"/>
          </w:rPr>
          <w:t>group (OLAP Group)</w:t>
        </w:r>
      </w:hyperlink>
      <w:r>
        <w:t xml:space="preserve"> </w:t>
      </w:r>
      <w:r>
        <w:fldChar w:fldCharType="begin"/>
      </w:r>
      <w:r>
        <w:instrText>PAGEREF section_a7ba5505eafb40878616d3f706eccbb1</w:instrText>
      </w:r>
      <w:r>
        <w:fldChar w:fldCharType="separate"/>
      </w:r>
      <w:r>
        <w:rPr>
          <w:noProof/>
        </w:rPr>
        <w:t>334</w:t>
      </w:r>
      <w:r>
        <w:fldChar w:fldCharType="end"/>
      </w:r>
    </w:p>
    <w:p w:rsidR="00024C0A" w:rsidRDefault="00694C0F">
      <w:pPr>
        <w:pStyle w:val="indexentry0"/>
      </w:pPr>
      <w:hyperlink w:anchor="section_5dab8b917bfb495a9ed59068ef74998d">
        <w:r>
          <w:rPr>
            <w:rStyle w:val="Hyperlink"/>
          </w:rPr>
          <w:t>group (Shape Group)</w:t>
        </w:r>
      </w:hyperlink>
      <w:r>
        <w:t xml:space="preserve"> </w:t>
      </w:r>
      <w:r>
        <w:fldChar w:fldCharType="begin"/>
      </w:r>
      <w:r>
        <w:instrText>PAGEREF section_5dab8b917bfb495a9ed5906</w:instrText>
      </w:r>
      <w:r>
        <w:instrText>8ef74998d</w:instrText>
      </w:r>
      <w:r>
        <w:fldChar w:fldCharType="separate"/>
      </w:r>
      <w:r>
        <w:rPr>
          <w:noProof/>
        </w:rPr>
        <w:t>640</w:t>
      </w:r>
      <w:r>
        <w:fldChar w:fldCharType="end"/>
      </w:r>
    </w:p>
    <w:p w:rsidR="00024C0A" w:rsidRDefault="00694C0F">
      <w:pPr>
        <w:pStyle w:val="indexentry0"/>
      </w:pPr>
      <w:hyperlink w:anchor="section_db588d6af7ca414ab301cefba8fd3e79">
        <w:r>
          <w:rPr>
            <w:rStyle w:val="Hyperlink"/>
          </w:rPr>
          <w:t>groupChr (Group-Character Object)</w:t>
        </w:r>
      </w:hyperlink>
      <w:r>
        <w:t xml:space="preserve"> </w:t>
      </w:r>
      <w:r>
        <w:fldChar w:fldCharType="begin"/>
      </w:r>
      <w:r>
        <w:instrText>PAGEREF section_db588d6af7ca414ab301cefba8fd3e79</w:instrText>
      </w:r>
      <w:r>
        <w:fldChar w:fldCharType="separate"/>
      </w:r>
      <w:r>
        <w:rPr>
          <w:noProof/>
        </w:rPr>
        <w:t>594</w:t>
      </w:r>
      <w:r>
        <w:fldChar w:fldCharType="end"/>
      </w:r>
    </w:p>
    <w:p w:rsidR="00024C0A" w:rsidRDefault="00694C0F">
      <w:pPr>
        <w:pStyle w:val="indexentry0"/>
      </w:pPr>
      <w:hyperlink w:anchor="section_8fd06fa97194482caa15286409552ac5">
        <w:r>
          <w:rPr>
            <w:rStyle w:val="Hyperlink"/>
          </w:rPr>
          <w:t>grouping (Grouping)</w:t>
        </w:r>
      </w:hyperlink>
      <w:r>
        <w:t xml:space="preserve"> </w:t>
      </w:r>
      <w:r>
        <w:fldChar w:fldCharType="begin"/>
      </w:r>
      <w:r>
        <w:instrText>PAGEREF sec</w:instrText>
      </w:r>
      <w:r>
        <w:instrText>tion_8fd06fa97194482caa15286409552ac5</w:instrText>
      </w:r>
      <w:r>
        <w:fldChar w:fldCharType="separate"/>
      </w:r>
      <w:r>
        <w:rPr>
          <w:noProof/>
        </w:rPr>
        <w:t>550</w:t>
      </w:r>
      <w:r>
        <w:fldChar w:fldCharType="end"/>
      </w:r>
    </w:p>
    <w:p w:rsidR="00024C0A" w:rsidRDefault="00694C0F">
      <w:pPr>
        <w:pStyle w:val="indexentry0"/>
      </w:pPr>
      <w:hyperlink w:anchor="section_2036ae8e2a23494b89987f8f6400f5a7">
        <w:r>
          <w:rPr>
            <w:rStyle w:val="Hyperlink"/>
          </w:rPr>
          <w:t>groupItems (OLAP Group Items)</w:t>
        </w:r>
      </w:hyperlink>
      <w:r>
        <w:t xml:space="preserve"> </w:t>
      </w:r>
      <w:r>
        <w:fldChar w:fldCharType="begin"/>
      </w:r>
      <w:r>
        <w:instrText>PAGEREF section_2036ae8e2a23494b89987f8f6400f5a7</w:instrText>
      </w:r>
      <w:r>
        <w:fldChar w:fldCharType="separate"/>
      </w:r>
      <w:r>
        <w:rPr>
          <w:noProof/>
        </w:rPr>
        <w:t>335</w:t>
      </w:r>
      <w:r>
        <w:fldChar w:fldCharType="end"/>
      </w:r>
    </w:p>
    <w:p w:rsidR="00024C0A" w:rsidRDefault="00694C0F">
      <w:pPr>
        <w:pStyle w:val="indexentry0"/>
      </w:pPr>
      <w:hyperlink w:anchor="section_81b11533f75341848ef6d40b5d9fe67a">
        <w:r>
          <w:rPr>
            <w:rStyle w:val="Hyperlink"/>
          </w:rPr>
          <w:t>groupLeve</w:t>
        </w:r>
        <w:r>
          <w:rPr>
            <w:rStyle w:val="Hyperlink"/>
          </w:rPr>
          <w:t>l (OLAP Grouping Levels)</w:t>
        </w:r>
      </w:hyperlink>
      <w:r>
        <w:t xml:space="preserve"> </w:t>
      </w:r>
      <w:r>
        <w:fldChar w:fldCharType="begin"/>
      </w:r>
      <w:r>
        <w:instrText>PAGEREF section_81b11533f75341848ef6d40b5d9fe67a</w:instrText>
      </w:r>
      <w:r>
        <w:fldChar w:fldCharType="separate"/>
      </w:r>
      <w:r>
        <w:rPr>
          <w:noProof/>
        </w:rPr>
        <w:t>335</w:t>
      </w:r>
      <w:r>
        <w:fldChar w:fldCharType="end"/>
      </w:r>
    </w:p>
    <w:p w:rsidR="00024C0A" w:rsidRDefault="00694C0F">
      <w:pPr>
        <w:pStyle w:val="indexentry0"/>
      </w:pPr>
      <w:hyperlink w:anchor="section_f03cfcd582bc4feeb7b7b539677a55bf">
        <w:r>
          <w:rPr>
            <w:rStyle w:val="Hyperlink"/>
          </w:rPr>
          <w:t>groupMember (OLAP Group Member)</w:t>
        </w:r>
      </w:hyperlink>
      <w:r>
        <w:t xml:space="preserve"> </w:t>
      </w:r>
      <w:r>
        <w:fldChar w:fldCharType="begin"/>
      </w:r>
      <w:r>
        <w:instrText>PAGEREF section_f03cfcd582bc4feeb7b7b539677a55bf</w:instrText>
      </w:r>
      <w:r>
        <w:fldChar w:fldCharType="separate"/>
      </w:r>
      <w:r>
        <w:rPr>
          <w:noProof/>
        </w:rPr>
        <w:t>335</w:t>
      </w:r>
      <w:r>
        <w:fldChar w:fldCharType="end"/>
      </w:r>
    </w:p>
    <w:p w:rsidR="00024C0A" w:rsidRDefault="00694C0F">
      <w:pPr>
        <w:pStyle w:val="indexentry0"/>
      </w:pPr>
      <w:hyperlink w:anchor="section_9700c97afe254445b04a4d3604e64334">
        <w:r>
          <w:rPr>
            <w:rStyle w:val="Hyperlink"/>
          </w:rPr>
          <w:t>grow (n-ary Grow)</w:t>
        </w:r>
      </w:hyperlink>
      <w:r>
        <w:t xml:space="preserve"> </w:t>
      </w:r>
      <w:r>
        <w:fldChar w:fldCharType="begin"/>
      </w:r>
      <w:r>
        <w:instrText>PAGEREF section_9700c97afe254445b04a4d3604e64334</w:instrText>
      </w:r>
      <w:r>
        <w:fldChar w:fldCharType="separate"/>
      </w:r>
      <w:r>
        <w:rPr>
          <w:noProof/>
        </w:rPr>
        <w:t>594</w:t>
      </w:r>
      <w:r>
        <w:fldChar w:fldCharType="end"/>
      </w:r>
    </w:p>
    <w:p w:rsidR="00024C0A" w:rsidRDefault="00694C0F">
      <w:pPr>
        <w:pStyle w:val="indexentry0"/>
      </w:pPr>
      <w:hyperlink w:anchor="section_a3122f27c66143ce90b49d9ab7459565">
        <w:r>
          <w:rPr>
            <w:rStyle w:val="Hyperlink"/>
          </w:rPr>
          <w:t>grpFill (Group Fill)</w:t>
        </w:r>
      </w:hyperlink>
      <w:r>
        <w:t xml:space="preserve"> </w:t>
      </w:r>
      <w:r>
        <w:fldChar w:fldCharType="begin"/>
      </w:r>
      <w:r>
        <w:instrText>PAGEREF section_a3122f27c66143ce90b49d9ab7459565</w:instrText>
      </w:r>
      <w:r>
        <w:fldChar w:fldCharType="separate"/>
      </w:r>
      <w:r>
        <w:rPr>
          <w:noProof/>
        </w:rPr>
        <w:t>512</w:t>
      </w:r>
      <w:r>
        <w:fldChar w:fldCharType="end"/>
      </w:r>
    </w:p>
    <w:p w:rsidR="00024C0A" w:rsidRDefault="00694C0F">
      <w:pPr>
        <w:pStyle w:val="indexentry0"/>
      </w:pPr>
      <w:hyperlink w:anchor="section_aeb0946131ca4e03b47b279d8705c69c">
        <w:r>
          <w:rPr>
            <w:rStyle w:val="Hyperlink"/>
          </w:rPr>
          <w:t>grpSpLocks (Group Shape Locks)</w:t>
        </w:r>
      </w:hyperlink>
      <w:r>
        <w:t xml:space="preserve"> </w:t>
      </w:r>
      <w:r>
        <w:fldChar w:fldCharType="begin"/>
      </w:r>
      <w:r>
        <w:instrText>PAGEREF section_aeb0946131ca4e03b47b279d8705c69c</w:instrText>
      </w:r>
      <w:r>
        <w:fldChar w:fldCharType="separate"/>
      </w:r>
      <w:r>
        <w:rPr>
          <w:noProof/>
        </w:rPr>
        <w:t>496</w:t>
      </w:r>
      <w:r>
        <w:fldChar w:fldCharType="end"/>
      </w:r>
    </w:p>
    <w:p w:rsidR="00024C0A" w:rsidRDefault="00694C0F">
      <w:pPr>
        <w:pStyle w:val="indexentry0"/>
      </w:pPr>
      <w:r>
        <w:t>grpSpPr (Group Shape Properties) (</w:t>
      </w:r>
      <w:hyperlink w:anchor="section_9ddba7fd39a643d3b232fb6d0de0047b">
        <w:r>
          <w:rPr>
            <w:rStyle w:val="Hyperlink"/>
          </w:rPr>
          <w:t>section 2.1.1122</w:t>
        </w:r>
      </w:hyperlink>
      <w:r>
        <w:t xml:space="preserve"> </w:t>
      </w:r>
      <w:r>
        <w:fldChar w:fldCharType="begin"/>
      </w:r>
      <w:r>
        <w:instrText>PAGEREF section_9ddba7fd39a643d3b232fb6d0de0047b</w:instrText>
      </w:r>
      <w:r>
        <w:fldChar w:fldCharType="separate"/>
      </w:r>
      <w:r>
        <w:rPr>
          <w:noProof/>
        </w:rPr>
        <w:t>466</w:t>
      </w:r>
      <w:r>
        <w:fldChar w:fldCharType="end"/>
      </w:r>
      <w:r>
        <w:t xml:space="preserve">, </w:t>
      </w:r>
      <w:hyperlink w:anchor="section_0b7e3dab028b4c2285e631bc3dc52e04">
        <w:r>
          <w:rPr>
            <w:rStyle w:val="Hyperlink"/>
          </w:rPr>
          <w:t>section 2.1.1361</w:t>
        </w:r>
      </w:hyperlink>
      <w:r>
        <w:t xml:space="preserve"> </w:t>
      </w:r>
      <w:r>
        <w:fldChar w:fldCharType="begin"/>
      </w:r>
      <w:r>
        <w:instrText>PAGEREF section_0b7e3dab028b4c2285e631bc3dc52e04</w:instrText>
      </w:r>
      <w:r>
        <w:fldChar w:fldCharType="separate"/>
      </w:r>
      <w:r>
        <w:rPr>
          <w:noProof/>
        </w:rPr>
        <w:t>523</w:t>
      </w:r>
      <w:r>
        <w:fldChar w:fldCharType="end"/>
      </w:r>
      <w:r>
        <w:t xml:space="preserve">, </w:t>
      </w:r>
      <w:hyperlink w:anchor="section_1c32c2fb9e614f02ad31b56fcf112462">
        <w:r>
          <w:rPr>
            <w:rStyle w:val="Hyperlink"/>
          </w:rPr>
          <w:t>section 2</w:t>
        </w:r>
        <w:r>
          <w:rPr>
            <w:rStyle w:val="Hyperlink"/>
          </w:rPr>
          <w:t>.1.1600</w:t>
        </w:r>
      </w:hyperlink>
      <w:r>
        <w:t xml:space="preserve"> </w:t>
      </w:r>
      <w:r>
        <w:fldChar w:fldCharType="begin"/>
      </w:r>
      <w:r>
        <w:instrText>PAGEREF section_1c32c2fb9e614f02ad31b56fcf112462</w:instrText>
      </w:r>
      <w:r>
        <w:fldChar w:fldCharType="separate"/>
      </w:r>
      <w:r>
        <w:rPr>
          <w:noProof/>
        </w:rPr>
        <w:t>578</w:t>
      </w:r>
      <w:r>
        <w:fldChar w:fldCharType="end"/>
      </w:r>
      <w:r>
        <w:t>)</w:t>
      </w:r>
    </w:p>
    <w:p w:rsidR="00024C0A" w:rsidRDefault="00694C0F">
      <w:pPr>
        <w:pStyle w:val="indexentry0"/>
      </w:pPr>
      <w:hyperlink w:anchor="section_414983b3f7b64cd7aec65edc6328026e">
        <w:r>
          <w:rPr>
            <w:rStyle w:val="Hyperlink"/>
          </w:rPr>
          <w:t>grpSpPr (Visual Group Shape Properties)</w:t>
        </w:r>
      </w:hyperlink>
      <w:r>
        <w:t xml:space="preserve"> </w:t>
      </w:r>
      <w:r>
        <w:fldChar w:fldCharType="begin"/>
      </w:r>
      <w:r>
        <w:instrText>PAGEREF section_414983b3f7b64cd7aec65edc6328026e</w:instrText>
      </w:r>
      <w:r>
        <w:fldChar w:fldCharType="separate"/>
      </w:r>
      <w:r>
        <w:rPr>
          <w:noProof/>
        </w:rPr>
        <w:t>496</w:t>
      </w:r>
      <w:r>
        <w:fldChar w:fldCharType="end"/>
      </w:r>
    </w:p>
    <w:p w:rsidR="00024C0A" w:rsidRDefault="00694C0F">
      <w:pPr>
        <w:pStyle w:val="indexentry0"/>
      </w:pPr>
      <w:hyperlink w:anchor="section_309a71616dc747118a12d15a81e9214b">
        <w:r>
          <w:rPr>
            <w:rStyle w:val="Hyperlink"/>
          </w:rPr>
          <w:t>Guid (GUID)</w:t>
        </w:r>
      </w:hyperlink>
      <w:r>
        <w:t xml:space="preserve"> </w:t>
      </w:r>
      <w:r>
        <w:fldChar w:fldCharType="begin"/>
      </w:r>
      <w:r>
        <w:instrText>PAGEREF section_309a71616dc747118a12d15a81e9214b</w:instrText>
      </w:r>
      <w:r>
        <w:fldChar w:fldCharType="separate"/>
      </w:r>
      <w:r>
        <w:rPr>
          <w:noProof/>
        </w:rPr>
        <w:t>609</w:t>
      </w:r>
      <w:r>
        <w:fldChar w:fldCharType="end"/>
      </w:r>
    </w:p>
    <w:p w:rsidR="00024C0A" w:rsidRDefault="00694C0F">
      <w:pPr>
        <w:pStyle w:val="indexentry0"/>
      </w:pPr>
      <w:hyperlink w:anchor="section_dfb28ce5885d4193957c8ae93866b92e">
        <w:r>
          <w:rPr>
            <w:rStyle w:val="Hyperlink"/>
          </w:rPr>
          <w:t>guide (A Guide)</w:t>
        </w:r>
      </w:hyperlink>
      <w:r>
        <w:t xml:space="preserve"> </w:t>
      </w:r>
      <w:r>
        <w:fldChar w:fldCharType="begin"/>
      </w:r>
      <w:r>
        <w:instrText>PAGEREF section_dfb28ce5885d4193957c8ae93866b92e</w:instrText>
      </w:r>
      <w:r>
        <w:fldChar w:fldCharType="separate"/>
      </w:r>
      <w:r>
        <w:rPr>
          <w:noProof/>
        </w:rPr>
        <w:t>465</w:t>
      </w:r>
      <w:r>
        <w:fldChar w:fldCharType="end"/>
      </w:r>
    </w:p>
    <w:p w:rsidR="00024C0A" w:rsidRDefault="00024C0A">
      <w:pPr>
        <w:spacing w:before="0" w:after="0"/>
        <w:rPr>
          <w:sz w:val="16"/>
        </w:rPr>
      </w:pPr>
    </w:p>
    <w:p w:rsidR="00024C0A" w:rsidRDefault="00694C0F">
      <w:pPr>
        <w:pStyle w:val="indexheader"/>
      </w:pPr>
      <w:r>
        <w:t>H</w:t>
      </w:r>
    </w:p>
    <w:p w:rsidR="00024C0A" w:rsidRDefault="00024C0A">
      <w:pPr>
        <w:spacing w:before="0" w:after="0"/>
        <w:rPr>
          <w:sz w:val="16"/>
        </w:rPr>
      </w:pPr>
    </w:p>
    <w:p w:rsidR="00024C0A" w:rsidRDefault="00694C0F">
      <w:pPr>
        <w:pStyle w:val="indexentry0"/>
      </w:pPr>
      <w:hyperlink w:anchor="section_2492a099586a4b7599a539bb273e5c0a">
        <w:r>
          <w:rPr>
            <w:rStyle w:val="Hyperlink"/>
          </w:rPr>
          <w:t>h (Height)</w:t>
        </w:r>
      </w:hyperlink>
      <w:r>
        <w:t xml:space="preserve"> </w:t>
      </w:r>
      <w:r>
        <w:fldChar w:fldCharType="begin"/>
      </w:r>
      <w:r>
        <w:instrText>PAGEREF section_2492a099586a4b7599a539bb273e5c0a</w:instrText>
      </w:r>
      <w:r>
        <w:fldChar w:fldCharType="separate"/>
      </w:r>
      <w:r>
        <w:rPr>
          <w:noProof/>
        </w:rPr>
        <w:t>550</w:t>
      </w:r>
      <w:r>
        <w:fldChar w:fldCharType="end"/>
      </w:r>
    </w:p>
    <w:p w:rsidR="00024C0A" w:rsidRDefault="00694C0F">
      <w:pPr>
        <w:pStyle w:val="indexentry0"/>
      </w:pPr>
      <w:hyperlink w:anchor="section_ffc30069fa76457da36a9aeb0c1747c6">
        <w:r>
          <w:rPr>
            <w:rStyle w:val="Hyperlink"/>
          </w:rPr>
          <w:t>h (Shape Handle)</w:t>
        </w:r>
      </w:hyperlink>
      <w:r>
        <w:t xml:space="preserve"> </w:t>
      </w:r>
      <w:r>
        <w:fldChar w:fldCharType="begin"/>
      </w:r>
      <w:r>
        <w:instrText>PAGEREF section_ffc30069fa76457da36a9aeb0c1747c6</w:instrText>
      </w:r>
      <w:r>
        <w:fldChar w:fldCharType="separate"/>
      </w:r>
      <w:r>
        <w:rPr>
          <w:noProof/>
        </w:rPr>
        <w:t>640</w:t>
      </w:r>
      <w:r>
        <w:fldChar w:fldCharType="end"/>
      </w:r>
    </w:p>
    <w:p w:rsidR="00024C0A" w:rsidRDefault="00694C0F">
      <w:pPr>
        <w:pStyle w:val="indexentry0"/>
      </w:pPr>
      <w:hyperlink w:anchor="section_2ab456f168374f4fabf9ba30693c31a1">
        <w:r>
          <w:rPr>
            <w:rStyle w:val="Hyperlink"/>
          </w:rPr>
          <w:t>handles (Set of Handles)</w:t>
        </w:r>
      </w:hyperlink>
      <w:r>
        <w:t xml:space="preserve"> </w:t>
      </w:r>
      <w:r>
        <w:fldChar w:fldCharType="begin"/>
      </w:r>
      <w:r>
        <w:instrText>PAGEREF section_2ab456f168374f4fabf9ba30693c31a1</w:instrText>
      </w:r>
      <w:r>
        <w:fldChar w:fldCharType="separate"/>
      </w:r>
      <w:r>
        <w:rPr>
          <w:noProof/>
        </w:rPr>
        <w:t>641</w:t>
      </w:r>
      <w:r>
        <w:fldChar w:fldCharType="end"/>
      </w:r>
    </w:p>
    <w:p w:rsidR="00024C0A" w:rsidRDefault="00694C0F">
      <w:pPr>
        <w:pStyle w:val="indexentry0"/>
      </w:pPr>
      <w:hyperlink w:anchor="section_6edd755f569e4d1dad791a16230b4fd8">
        <w:r>
          <w:rPr>
            <w:rStyle w:val="Hyperlink"/>
          </w:rPr>
          <w:t>Handout Master Part</w:t>
        </w:r>
      </w:hyperlink>
      <w:r>
        <w:t xml:space="preserve"> </w:t>
      </w:r>
      <w:r>
        <w:fldChar w:fldCharType="begin"/>
      </w:r>
      <w:r>
        <w:instrText>PAGEREF section_6edd755f569e4d1dad791a16230b4fd8</w:instrText>
      </w:r>
      <w:r>
        <w:fldChar w:fldCharType="separate"/>
      </w:r>
      <w:r>
        <w:rPr>
          <w:noProof/>
        </w:rPr>
        <w:t>49</w:t>
      </w:r>
      <w:r>
        <w:fldChar w:fldCharType="end"/>
      </w:r>
    </w:p>
    <w:p w:rsidR="00024C0A" w:rsidRDefault="00694C0F">
      <w:pPr>
        <w:pStyle w:val="indexentry0"/>
      </w:pPr>
      <w:hyperlink w:anchor="section_0de78b6e776c4f608c4c92eeb6a8ca56">
        <w:r>
          <w:rPr>
            <w:rStyle w:val="Hyperlink"/>
          </w:rPr>
          <w:t>HARMEAN</w:t>
        </w:r>
      </w:hyperlink>
      <w:r>
        <w:t xml:space="preserve"> </w:t>
      </w:r>
      <w:r>
        <w:fldChar w:fldCharType="begin"/>
      </w:r>
      <w:r>
        <w:instrText>PAGEREF section_0de78b6e776c4f608c4c92eeb6a8ca56</w:instrText>
      </w:r>
      <w:r>
        <w:fldChar w:fldCharType="separate"/>
      </w:r>
      <w:r>
        <w:rPr>
          <w:noProof/>
        </w:rPr>
        <w:t>422</w:t>
      </w:r>
      <w:r>
        <w:fldChar w:fldCharType="end"/>
      </w:r>
    </w:p>
    <w:p w:rsidR="00024C0A" w:rsidRDefault="00694C0F">
      <w:pPr>
        <w:pStyle w:val="indexentry0"/>
      </w:pPr>
      <w:hyperlink w:anchor="section_b1588c0913964016a2ea78ce84a81a8e">
        <w:r>
          <w:rPr>
            <w:rStyle w:val="Hyperlink"/>
          </w:rPr>
          <w:t>hash (Hash Code for Record)</w:t>
        </w:r>
      </w:hyperlink>
      <w:r>
        <w:t xml:space="preserve"> </w:t>
      </w:r>
      <w:r>
        <w:fldChar w:fldCharType="begin"/>
      </w:r>
      <w:r>
        <w:instrText>PAGEREF section_b1588c0913964016a2ea78ce84</w:instrText>
      </w:r>
      <w:r>
        <w:instrText>a81a8e</w:instrText>
      </w:r>
      <w:r>
        <w:fldChar w:fldCharType="separate"/>
      </w:r>
      <w:r>
        <w:rPr>
          <w:noProof/>
        </w:rPr>
        <w:t>777</w:t>
      </w:r>
      <w:r>
        <w:fldChar w:fldCharType="end"/>
      </w:r>
    </w:p>
    <w:p w:rsidR="00024C0A" w:rsidRDefault="00694C0F">
      <w:pPr>
        <w:pStyle w:val="indexentry0"/>
      </w:pPr>
      <w:hyperlink w:anchor="section_1b8a330cd8ca44a3b28ddb59f4203a66">
        <w:r>
          <w:rPr>
            <w:rStyle w:val="Hyperlink"/>
          </w:rPr>
          <w:t>hdr (Header)</w:t>
        </w:r>
      </w:hyperlink>
      <w:r>
        <w:t xml:space="preserve"> </w:t>
      </w:r>
      <w:r>
        <w:fldChar w:fldCharType="begin"/>
      </w:r>
      <w:r>
        <w:instrText>PAGEREF section_1b8a330cd8ca44a3b28ddb59f4203a66</w:instrText>
      </w:r>
      <w:r>
        <w:fldChar w:fldCharType="separate"/>
      </w:r>
      <w:r>
        <w:rPr>
          <w:noProof/>
        </w:rPr>
        <w:t>126</w:t>
      </w:r>
      <w:r>
        <w:fldChar w:fldCharType="end"/>
      </w:r>
    </w:p>
    <w:p w:rsidR="00024C0A" w:rsidRDefault="00694C0F">
      <w:pPr>
        <w:pStyle w:val="indexentry0"/>
      </w:pPr>
      <w:hyperlink w:anchor="section_b1d3a78aad5a41ed917f29cbeaa2c9bc">
        <w:r>
          <w:rPr>
            <w:rStyle w:val="Hyperlink"/>
          </w:rPr>
          <w:t>hdrShapeDefaults (Default Properties for VML Objects in H</w:t>
        </w:r>
        <w:r>
          <w:rPr>
            <w:rStyle w:val="Hyperlink"/>
          </w:rPr>
          <w:t>eader and Footer)</w:t>
        </w:r>
      </w:hyperlink>
      <w:r>
        <w:t xml:space="preserve"> </w:t>
      </w:r>
      <w:r>
        <w:fldChar w:fldCharType="begin"/>
      </w:r>
      <w:r>
        <w:instrText>PAGEREF section_b1d3a78aad5a41ed917f29cbeaa2c9bc</w:instrText>
      </w:r>
      <w:r>
        <w:fldChar w:fldCharType="separate"/>
      </w:r>
      <w:r>
        <w:rPr>
          <w:noProof/>
        </w:rPr>
        <w:t>625</w:t>
      </w:r>
      <w:r>
        <w:fldChar w:fldCharType="end"/>
      </w:r>
    </w:p>
    <w:p w:rsidR="00024C0A" w:rsidRDefault="00694C0F">
      <w:pPr>
        <w:pStyle w:val="indexentry0"/>
      </w:pPr>
      <w:hyperlink w:anchor="section_1d65167f972c46138b475f43053a1989">
        <w:r>
          <w:rPr>
            <w:rStyle w:val="Hyperlink"/>
          </w:rPr>
          <w:t>header (Header Cell Reference)</w:t>
        </w:r>
      </w:hyperlink>
      <w:r>
        <w:t xml:space="preserve"> </w:t>
      </w:r>
      <w:r>
        <w:fldChar w:fldCharType="begin"/>
      </w:r>
      <w:r>
        <w:instrText>PAGEREF section_1d65167f972c46138b475f43053a1989</w:instrText>
      </w:r>
      <w:r>
        <w:fldChar w:fldCharType="separate"/>
      </w:r>
      <w:r>
        <w:rPr>
          <w:noProof/>
        </w:rPr>
        <w:t>83</w:t>
      </w:r>
      <w:r>
        <w:fldChar w:fldCharType="end"/>
      </w:r>
    </w:p>
    <w:p w:rsidR="00024C0A" w:rsidRDefault="00694C0F">
      <w:pPr>
        <w:pStyle w:val="indexentry0"/>
      </w:pPr>
      <w:hyperlink w:anchor="section_854db427e1714e5996a93cdd08117c36">
        <w:r>
          <w:rPr>
            <w:rStyle w:val="Hyperlink"/>
          </w:rPr>
          <w:t>header (Header)</w:t>
        </w:r>
      </w:hyperlink>
      <w:r>
        <w:t xml:space="preserve"> </w:t>
      </w:r>
      <w:r>
        <w:fldChar w:fldCharType="begin"/>
      </w:r>
      <w:r>
        <w:instrText>PAGEREF section_854db427e1714e5996a93cdd08117c36</w:instrText>
      </w:r>
      <w:r>
        <w:fldChar w:fldCharType="separate"/>
      </w:r>
      <w:r>
        <w:rPr>
          <w:noProof/>
        </w:rPr>
        <w:t>367</w:t>
      </w:r>
      <w:r>
        <w:fldChar w:fldCharType="end"/>
      </w:r>
    </w:p>
    <w:p w:rsidR="00024C0A" w:rsidRDefault="00694C0F">
      <w:pPr>
        <w:pStyle w:val="indexentry0"/>
      </w:pPr>
      <w:hyperlink w:anchor="section_0c9d02eca22c49aeb335f2a4f1d2dd8e">
        <w:r>
          <w:rPr>
            <w:rStyle w:val="Hyperlink"/>
          </w:rPr>
          <w:t>headerFooter (Header and Footer)</w:t>
        </w:r>
      </w:hyperlink>
      <w:r>
        <w:t xml:space="preserve"> </w:t>
      </w:r>
      <w:r>
        <w:fldChar w:fldCharType="begin"/>
      </w:r>
      <w:r>
        <w:instrText>PAGEREF section_0c9d02eca22c49aeb335f2a4f1d2dd8e</w:instrText>
      </w:r>
      <w:r>
        <w:fldChar w:fldCharType="separate"/>
      </w:r>
      <w:r>
        <w:rPr>
          <w:noProof/>
        </w:rPr>
        <w:t>550</w:t>
      </w:r>
      <w:r>
        <w:fldChar w:fldCharType="end"/>
      </w:r>
    </w:p>
    <w:p w:rsidR="00024C0A" w:rsidRDefault="00694C0F">
      <w:pPr>
        <w:pStyle w:val="indexentry0"/>
      </w:pPr>
      <w:hyperlink w:anchor="section_5de15e593ec14f80aa4d00bdd447b86f">
        <w:r>
          <w:rPr>
            <w:rStyle w:val="Hyperlink"/>
          </w:rPr>
          <w:t>headerReference (Header Reference)</w:t>
        </w:r>
      </w:hyperlink>
      <w:r>
        <w:t xml:space="preserve"> </w:t>
      </w:r>
      <w:r>
        <w:fldChar w:fldCharType="begin"/>
      </w:r>
      <w:r>
        <w:instrText>PAGEREF section_5de15e593ec14f80aa4d00bdd447b86f</w:instrText>
      </w:r>
      <w:r>
        <w:fldChar w:fldCharType="separate"/>
      </w:r>
      <w:r>
        <w:rPr>
          <w:noProof/>
        </w:rPr>
        <w:t>126</w:t>
      </w:r>
      <w:r>
        <w:fldChar w:fldCharType="end"/>
      </w:r>
    </w:p>
    <w:p w:rsidR="00024C0A" w:rsidRDefault="00694C0F">
      <w:pPr>
        <w:pStyle w:val="indexentry0"/>
      </w:pPr>
      <w:hyperlink w:anchor="section_89821d899e9048f38b136c6f025b6657">
        <w:r>
          <w:rPr>
            <w:rStyle w:val="Hyperlink"/>
          </w:rPr>
          <w:t>headers (Header Cells Associated With Table C</w:t>
        </w:r>
        <w:r>
          <w:rPr>
            <w:rStyle w:val="Hyperlink"/>
          </w:rPr>
          <w:t>ell)</w:t>
        </w:r>
      </w:hyperlink>
      <w:r>
        <w:t xml:space="preserve"> </w:t>
      </w:r>
      <w:r>
        <w:fldChar w:fldCharType="begin"/>
      </w:r>
      <w:r>
        <w:instrText>PAGEREF section_89821d899e9048f38b136c6f025b6657</w:instrText>
      </w:r>
      <w:r>
        <w:fldChar w:fldCharType="separate"/>
      </w:r>
      <w:r>
        <w:rPr>
          <w:noProof/>
        </w:rPr>
        <w:t>83</w:t>
      </w:r>
      <w:r>
        <w:fldChar w:fldCharType="end"/>
      </w:r>
    </w:p>
    <w:p w:rsidR="00024C0A" w:rsidRDefault="00694C0F">
      <w:pPr>
        <w:pStyle w:val="indexentry0"/>
      </w:pPr>
      <w:hyperlink w:anchor="section_dfc65cb606c74ce3922b2d3cecde9852">
        <w:r>
          <w:rPr>
            <w:rStyle w:val="Hyperlink"/>
          </w:rPr>
          <w:t>headers (Revision Headers)</w:t>
        </w:r>
      </w:hyperlink>
      <w:r>
        <w:t xml:space="preserve"> </w:t>
      </w:r>
      <w:r>
        <w:fldChar w:fldCharType="begin"/>
      </w:r>
      <w:r>
        <w:instrText>PAGEREF section_dfc65cb606c74ce3922b2d3cecde9852</w:instrText>
      </w:r>
      <w:r>
        <w:fldChar w:fldCharType="separate"/>
      </w:r>
      <w:r>
        <w:rPr>
          <w:noProof/>
        </w:rPr>
        <w:t>367</w:t>
      </w:r>
      <w:r>
        <w:fldChar w:fldCharType="end"/>
      </w:r>
    </w:p>
    <w:p w:rsidR="00024C0A" w:rsidRDefault="00694C0F">
      <w:pPr>
        <w:pStyle w:val="indexentry0"/>
      </w:pPr>
      <w:hyperlink w:anchor="section_6dce24e56a194a6798fbd2f301658523">
        <w:r>
          <w:rPr>
            <w:rStyle w:val="Hyperlink"/>
          </w:rPr>
          <w:t>headerSource (Header Definition File Path)</w:t>
        </w:r>
      </w:hyperlink>
      <w:r>
        <w:t xml:space="preserve"> </w:t>
      </w:r>
      <w:r>
        <w:fldChar w:fldCharType="begin"/>
      </w:r>
      <w:r>
        <w:instrText>PAGEREF section_6dce24e56a194a6798fbd2f301658523</w:instrText>
      </w:r>
      <w:r>
        <w:fldChar w:fldCharType="separate"/>
      </w:r>
      <w:r>
        <w:rPr>
          <w:noProof/>
        </w:rPr>
        <w:t>143</w:t>
      </w:r>
      <w:r>
        <w:fldChar w:fldCharType="end"/>
      </w:r>
    </w:p>
    <w:p w:rsidR="00024C0A" w:rsidRDefault="00694C0F">
      <w:pPr>
        <w:pStyle w:val="indexentry0"/>
      </w:pPr>
      <w:hyperlink w:anchor="section_7bbab4664477424b9c52cc9800547d7b">
        <w:r>
          <w:rPr>
            <w:rStyle w:val="Hyperlink"/>
          </w:rPr>
          <w:t>HeadingPairs (Heading Pairs)</w:t>
        </w:r>
      </w:hyperlink>
      <w:r>
        <w:t xml:space="preserve"> </w:t>
      </w:r>
      <w:r>
        <w:fldChar w:fldCharType="begin"/>
      </w:r>
      <w:r>
        <w:instrText>PAGERE</w:instrText>
      </w:r>
      <w:r>
        <w:instrText>F section_7bbab4664477424b9c52cc9800547d7b</w:instrText>
      </w:r>
      <w:r>
        <w:fldChar w:fldCharType="separate"/>
      </w:r>
      <w:r>
        <w:rPr>
          <w:noProof/>
        </w:rPr>
        <w:t>603</w:t>
      </w:r>
      <w:r>
        <w:fldChar w:fldCharType="end"/>
      </w:r>
    </w:p>
    <w:p w:rsidR="00024C0A" w:rsidRDefault="00694C0F">
      <w:pPr>
        <w:pStyle w:val="indexentry0"/>
      </w:pPr>
      <w:hyperlink w:anchor="section_be9bdcbbf5ff45f9912044d8a545773b">
        <w:r>
          <w:rPr>
            <w:rStyle w:val="Hyperlink"/>
          </w:rPr>
          <w:t>hidden (Hidden Table Row Marker)</w:t>
        </w:r>
      </w:hyperlink>
      <w:r>
        <w:t xml:space="preserve"> </w:t>
      </w:r>
      <w:r>
        <w:fldChar w:fldCharType="begin"/>
      </w:r>
      <w:r>
        <w:instrText>PAGEREF section_be9bdcbbf5ff45f9912044d8a545773b</w:instrText>
      </w:r>
      <w:r>
        <w:fldChar w:fldCharType="separate"/>
      </w:r>
      <w:r>
        <w:rPr>
          <w:noProof/>
        </w:rPr>
        <w:t>83</w:t>
      </w:r>
      <w:r>
        <w:fldChar w:fldCharType="end"/>
      </w:r>
    </w:p>
    <w:p w:rsidR="00024C0A" w:rsidRDefault="00694C0F">
      <w:pPr>
        <w:pStyle w:val="indexentry0"/>
      </w:pPr>
      <w:hyperlink w:anchor="section_c0865addb937497b8bea368b654b6329">
        <w:r>
          <w:rPr>
            <w:rStyle w:val="Hyperlink"/>
          </w:rPr>
          <w:t>h</w:t>
        </w:r>
        <w:r>
          <w:rPr>
            <w:rStyle w:val="Hyperlink"/>
          </w:rPr>
          <w:t>ideMark (Ignore End Of Cell Marker In Row Height Calculation)</w:t>
        </w:r>
      </w:hyperlink>
      <w:r>
        <w:t xml:space="preserve"> </w:t>
      </w:r>
      <w:r>
        <w:fldChar w:fldCharType="begin"/>
      </w:r>
      <w:r>
        <w:instrText>PAGEREF section_c0865addb937497b8bea368b654b6329</w:instrText>
      </w:r>
      <w:r>
        <w:fldChar w:fldCharType="separate"/>
      </w:r>
      <w:r>
        <w:rPr>
          <w:noProof/>
        </w:rPr>
        <w:t>83</w:t>
      </w:r>
      <w:r>
        <w:fldChar w:fldCharType="end"/>
      </w:r>
    </w:p>
    <w:p w:rsidR="00024C0A" w:rsidRDefault="00694C0F">
      <w:pPr>
        <w:pStyle w:val="indexentry0"/>
      </w:pPr>
      <w:hyperlink w:anchor="section_e07a90e276b547dd8bf4668a806177c7">
        <w:r>
          <w:rPr>
            <w:rStyle w:val="Hyperlink"/>
          </w:rPr>
          <w:t>highlight (Text Highlighting)</w:t>
        </w:r>
      </w:hyperlink>
      <w:r>
        <w:t xml:space="preserve"> </w:t>
      </w:r>
      <w:r>
        <w:fldChar w:fldCharType="begin"/>
      </w:r>
      <w:r>
        <w:instrText>PAGEREF section_e07a90e276b547dd8bf4668a806177c</w:instrText>
      </w:r>
      <w:r>
        <w:instrText>7</w:instrText>
      </w:r>
      <w:r>
        <w:fldChar w:fldCharType="separate"/>
      </w:r>
      <w:r>
        <w:rPr>
          <w:noProof/>
        </w:rPr>
        <w:t>71</w:t>
      </w:r>
      <w:r>
        <w:fldChar w:fldCharType="end"/>
      </w:r>
    </w:p>
    <w:p w:rsidR="00024C0A" w:rsidRDefault="00694C0F">
      <w:pPr>
        <w:pStyle w:val="indexentry0"/>
      </w:pPr>
      <w:hyperlink w:anchor="section_b3ef6d7b692d497c8c88e6cff3558e47">
        <w:r>
          <w:rPr>
            <w:rStyle w:val="Hyperlink"/>
          </w:rPr>
          <w:t>hlink (Hyperlink)</w:t>
        </w:r>
      </w:hyperlink>
      <w:r>
        <w:t xml:space="preserve"> </w:t>
      </w:r>
      <w:r>
        <w:fldChar w:fldCharType="begin"/>
      </w:r>
      <w:r>
        <w:instrText>PAGEREF section_b3ef6d7b692d497c8c88e6cff3558e47</w:instrText>
      </w:r>
      <w:r>
        <w:fldChar w:fldCharType="separate"/>
      </w:r>
      <w:r>
        <w:rPr>
          <w:noProof/>
        </w:rPr>
        <w:t>504</w:t>
      </w:r>
      <w:r>
        <w:fldChar w:fldCharType="end"/>
      </w:r>
    </w:p>
    <w:p w:rsidR="00024C0A" w:rsidRDefault="00694C0F">
      <w:pPr>
        <w:pStyle w:val="indexentry0"/>
      </w:pPr>
      <w:hyperlink w:anchor="section_a65b76db6abc49898cd1baa9a3500f6f">
        <w:r>
          <w:rPr>
            <w:rStyle w:val="Hyperlink"/>
          </w:rPr>
          <w:t>hlinkClick (Click Hyperlink)</w:t>
        </w:r>
      </w:hyperlink>
      <w:r>
        <w:t xml:space="preserve"> </w:t>
      </w:r>
      <w:r>
        <w:fldChar w:fldCharType="begin"/>
      </w:r>
      <w:r>
        <w:instrText>PAGEREF section_a65b76db6a</w:instrText>
      </w:r>
      <w:r>
        <w:instrText>bc49898cd1baa9a3500f6f</w:instrText>
      </w:r>
      <w:r>
        <w:fldChar w:fldCharType="separate"/>
      </w:r>
      <w:r>
        <w:rPr>
          <w:noProof/>
        </w:rPr>
        <w:t>531</w:t>
      </w:r>
      <w:r>
        <w:fldChar w:fldCharType="end"/>
      </w:r>
    </w:p>
    <w:p w:rsidR="00024C0A" w:rsidRDefault="00694C0F">
      <w:pPr>
        <w:pStyle w:val="indexentry0"/>
      </w:pPr>
      <w:hyperlink w:anchor="section_9ed01f1809cb47df94f37968e6f48bbf">
        <w:r>
          <w:rPr>
            <w:rStyle w:val="Hyperlink"/>
          </w:rPr>
          <w:t>hlinkHover (Hyperlink for Hover)</w:t>
        </w:r>
      </w:hyperlink>
      <w:r>
        <w:t xml:space="preserve"> </w:t>
      </w:r>
      <w:r>
        <w:fldChar w:fldCharType="begin"/>
      </w:r>
      <w:r>
        <w:instrText>PAGEREF section_9ed01f1809cb47df94f37968e6f48bbf</w:instrText>
      </w:r>
      <w:r>
        <w:fldChar w:fldCharType="separate"/>
      </w:r>
      <w:r>
        <w:rPr>
          <w:noProof/>
        </w:rPr>
        <w:t>496</w:t>
      </w:r>
      <w:r>
        <w:fldChar w:fldCharType="end"/>
      </w:r>
    </w:p>
    <w:p w:rsidR="00024C0A" w:rsidRDefault="00694C0F">
      <w:pPr>
        <w:pStyle w:val="indexentry0"/>
      </w:pPr>
      <w:hyperlink w:anchor="section_98300ab2307b45f49a00b98df349c87b">
        <w:r>
          <w:rPr>
            <w:rStyle w:val="Hyperlink"/>
          </w:rPr>
          <w:t>hlinkMouseOver (Mouse</w:t>
        </w:r>
        <w:r>
          <w:rPr>
            <w:rStyle w:val="Hyperlink"/>
          </w:rPr>
          <w:t>-Over Hyperlink)</w:t>
        </w:r>
      </w:hyperlink>
      <w:r>
        <w:t xml:space="preserve"> </w:t>
      </w:r>
      <w:r>
        <w:fldChar w:fldCharType="begin"/>
      </w:r>
      <w:r>
        <w:instrText>PAGEREF section_98300ab2307b45f49a00b98df349c87b</w:instrText>
      </w:r>
      <w:r>
        <w:fldChar w:fldCharType="separate"/>
      </w:r>
      <w:r>
        <w:rPr>
          <w:noProof/>
        </w:rPr>
        <w:t>532</w:t>
      </w:r>
      <w:r>
        <w:fldChar w:fldCharType="end"/>
      </w:r>
    </w:p>
    <w:p w:rsidR="00024C0A" w:rsidRDefault="00694C0F">
      <w:pPr>
        <w:pStyle w:val="indexentry0"/>
      </w:pPr>
      <w:hyperlink w:anchor="section_17baf0f7f34b45789bf7ad584c5474c8">
        <w:r>
          <w:rPr>
            <w:rStyle w:val="Hyperlink"/>
          </w:rPr>
          <w:t>HLinks (Hyperlink List)</w:t>
        </w:r>
      </w:hyperlink>
      <w:r>
        <w:t xml:space="preserve"> </w:t>
      </w:r>
      <w:r>
        <w:fldChar w:fldCharType="begin"/>
      </w:r>
      <w:r>
        <w:instrText>PAGEREF section_17baf0f7f34b45789bf7ad584c5474c8</w:instrText>
      </w:r>
      <w:r>
        <w:fldChar w:fldCharType="separate"/>
      </w:r>
      <w:r>
        <w:rPr>
          <w:noProof/>
        </w:rPr>
        <w:t>603</w:t>
      </w:r>
      <w:r>
        <w:fldChar w:fldCharType="end"/>
      </w:r>
    </w:p>
    <w:p w:rsidR="00024C0A" w:rsidRDefault="00694C0F">
      <w:pPr>
        <w:pStyle w:val="indexentry0"/>
      </w:pPr>
      <w:hyperlink w:anchor="section_a29a20868a8c4281ab65217dc7d563a4">
        <w:r>
          <w:rPr>
            <w:rStyle w:val="Hyperlink"/>
          </w:rPr>
          <w:t>HLOOKUP</w:t>
        </w:r>
      </w:hyperlink>
      <w:r>
        <w:t xml:space="preserve"> </w:t>
      </w:r>
      <w:r>
        <w:fldChar w:fldCharType="begin"/>
      </w:r>
      <w:r>
        <w:instrText>PAGEREF section_a29a20868a8c4281ab65217dc7d563a4</w:instrText>
      </w:r>
      <w:r>
        <w:fldChar w:fldCharType="separate"/>
      </w:r>
      <w:r>
        <w:rPr>
          <w:noProof/>
        </w:rPr>
        <w:t>422</w:t>
      </w:r>
      <w:r>
        <w:fldChar w:fldCharType="end"/>
      </w:r>
    </w:p>
    <w:p w:rsidR="00024C0A" w:rsidRDefault="00694C0F">
      <w:pPr>
        <w:pStyle w:val="indexentry0"/>
      </w:pPr>
      <w:hyperlink w:anchor="section_49f64ef9632440b794adff5fe6d444a7">
        <w:r>
          <w:rPr>
            <w:rStyle w:val="Hyperlink"/>
          </w:rPr>
          <w:t>hMerge (Horizontally Merged Cell)</w:t>
        </w:r>
      </w:hyperlink>
      <w:r>
        <w:t xml:space="preserve"> </w:t>
      </w:r>
      <w:r>
        <w:fldChar w:fldCharType="begin"/>
      </w:r>
      <w:r>
        <w:instrText>PAGEREF section_49f64ef9632440b794ad</w:instrText>
      </w:r>
      <w:r>
        <w:instrText>ff5fe6d444a7</w:instrText>
      </w:r>
      <w:r>
        <w:fldChar w:fldCharType="separate"/>
      </w:r>
      <w:r>
        <w:rPr>
          <w:noProof/>
        </w:rPr>
        <w:t>621</w:t>
      </w:r>
      <w:r>
        <w:fldChar w:fldCharType="end"/>
      </w:r>
    </w:p>
    <w:p w:rsidR="00024C0A" w:rsidRDefault="00694C0F">
      <w:pPr>
        <w:pStyle w:val="indexentry0"/>
      </w:pPr>
      <w:hyperlink w:anchor="section_4d59213a27af49019006ff11f30589b4">
        <w:r>
          <w:rPr>
            <w:rStyle w:val="Hyperlink"/>
          </w:rPr>
          <w:t>hMode (Height Mode)</w:t>
        </w:r>
      </w:hyperlink>
      <w:r>
        <w:t xml:space="preserve"> </w:t>
      </w:r>
      <w:r>
        <w:fldChar w:fldCharType="begin"/>
      </w:r>
      <w:r>
        <w:instrText>PAGEREF section_4d59213a27af49019006ff11f30589b4</w:instrText>
      </w:r>
      <w:r>
        <w:fldChar w:fldCharType="separate"/>
      </w:r>
      <w:r>
        <w:rPr>
          <w:noProof/>
        </w:rPr>
        <w:t>550</w:t>
      </w:r>
      <w:r>
        <w:fldChar w:fldCharType="end"/>
      </w:r>
    </w:p>
    <w:p w:rsidR="00024C0A" w:rsidRDefault="00694C0F">
      <w:pPr>
        <w:pStyle w:val="indexentry0"/>
      </w:pPr>
      <w:hyperlink w:anchor="section_21355c07074d42ba8c5e37e6f33692ac">
        <w:r>
          <w:rPr>
            <w:rStyle w:val="Hyperlink"/>
          </w:rPr>
          <w:t>holeSize (Hole Size)</w:t>
        </w:r>
      </w:hyperlink>
      <w:r>
        <w:t xml:space="preserve"> </w:t>
      </w:r>
      <w:r>
        <w:fldChar w:fldCharType="begin"/>
      </w:r>
      <w:r>
        <w:instrText>PAGEREF section_21355</w:instrText>
      </w:r>
      <w:r>
        <w:instrText>c07074d42ba8c5e37e6f33692ac</w:instrText>
      </w:r>
      <w:r>
        <w:fldChar w:fldCharType="separate"/>
      </w:r>
      <w:r>
        <w:rPr>
          <w:noProof/>
        </w:rPr>
        <w:t>551</w:t>
      </w:r>
      <w:r>
        <w:fldChar w:fldCharType="end"/>
      </w:r>
    </w:p>
    <w:p w:rsidR="00024C0A" w:rsidRDefault="00694C0F">
      <w:pPr>
        <w:pStyle w:val="indexentry0"/>
      </w:pPr>
      <w:hyperlink w:anchor="section_a22736e370b841dfb203534630e5e253">
        <w:r>
          <w:rPr>
            <w:rStyle w:val="Hyperlink"/>
          </w:rPr>
          <w:t>Horiz (Scroll Bar Orientation)</w:t>
        </w:r>
      </w:hyperlink>
      <w:r>
        <w:t xml:space="preserve"> </w:t>
      </w:r>
      <w:r>
        <w:fldChar w:fldCharType="begin"/>
      </w:r>
      <w:r>
        <w:instrText>PAGEREF section_a22736e370b841dfb203534630e5e253</w:instrText>
      </w:r>
      <w:r>
        <w:fldChar w:fldCharType="separate"/>
      </w:r>
      <w:r>
        <w:rPr>
          <w:noProof/>
        </w:rPr>
        <w:t>675</w:t>
      </w:r>
      <w:r>
        <w:fldChar w:fldCharType="end"/>
      </w:r>
    </w:p>
    <w:p w:rsidR="00024C0A" w:rsidRDefault="00694C0F">
      <w:pPr>
        <w:pStyle w:val="indexentry0"/>
      </w:pPr>
      <w:hyperlink w:anchor="section_ee1023c3257842ec982b0963e5328487">
        <w:r>
          <w:rPr>
            <w:rStyle w:val="Hyperlink"/>
          </w:rPr>
          <w:t>HorizontalResoluti</w:t>
        </w:r>
        <w:r>
          <w:rPr>
            <w:rStyle w:val="Hyperlink"/>
          </w:rPr>
          <w:t>on (Horizontal Resolution)</w:t>
        </w:r>
      </w:hyperlink>
      <w:r>
        <w:t xml:space="preserve"> </w:t>
      </w:r>
      <w:r>
        <w:fldChar w:fldCharType="begin"/>
      </w:r>
      <w:r>
        <w:instrText>PAGEREF section_ee1023c3257842ec982b0963e5328487</w:instrText>
      </w:r>
      <w:r>
        <w:fldChar w:fldCharType="separate"/>
      </w:r>
      <w:r>
        <w:rPr>
          <w:noProof/>
        </w:rPr>
        <w:t>878</w:t>
      </w:r>
      <w:r>
        <w:fldChar w:fldCharType="end"/>
      </w:r>
    </w:p>
    <w:p w:rsidR="00024C0A" w:rsidRDefault="00694C0F">
      <w:pPr>
        <w:pStyle w:val="indexentry0"/>
      </w:pPr>
      <w:hyperlink w:anchor="section_dec36d7c644e4622821ef9e00c33e4ee">
        <w:r>
          <w:rPr>
            <w:rStyle w:val="Hyperlink"/>
          </w:rPr>
          <w:t>HOUR</w:t>
        </w:r>
      </w:hyperlink>
      <w:r>
        <w:t xml:space="preserve"> </w:t>
      </w:r>
      <w:r>
        <w:fldChar w:fldCharType="begin"/>
      </w:r>
      <w:r>
        <w:instrText>PAGEREF section_dec36d7c644e4622821ef9e00c33e4ee</w:instrText>
      </w:r>
      <w:r>
        <w:fldChar w:fldCharType="separate"/>
      </w:r>
      <w:r>
        <w:rPr>
          <w:noProof/>
        </w:rPr>
        <w:t>422</w:t>
      </w:r>
      <w:r>
        <w:fldChar w:fldCharType="end"/>
      </w:r>
    </w:p>
    <w:p w:rsidR="00024C0A" w:rsidRDefault="00694C0F">
      <w:pPr>
        <w:pStyle w:val="indexentry0"/>
      </w:pPr>
      <w:hyperlink w:anchor="section_efdfd9b1197c426ba356d35c55a14eae">
        <w:r>
          <w:rPr>
            <w:rStyle w:val="Hyperlink"/>
          </w:rPr>
          <w:t>hPercent (Height Percent)</w:t>
        </w:r>
      </w:hyperlink>
      <w:r>
        <w:t xml:space="preserve"> </w:t>
      </w:r>
      <w:r>
        <w:fldChar w:fldCharType="begin"/>
      </w:r>
      <w:r>
        <w:instrText>PAGEREF section_efdfd9b1197c426ba356d35c55a14eae</w:instrText>
      </w:r>
      <w:r>
        <w:fldChar w:fldCharType="separate"/>
      </w:r>
      <w:r>
        <w:rPr>
          <w:noProof/>
        </w:rPr>
        <w:t>551</w:t>
      </w:r>
      <w:r>
        <w:fldChar w:fldCharType="end"/>
      </w:r>
    </w:p>
    <w:p w:rsidR="00024C0A" w:rsidRDefault="00694C0F">
      <w:pPr>
        <w:pStyle w:val="indexentry0"/>
      </w:pPr>
      <w:hyperlink w:anchor="section_22f2ace97cdb4742a9ffcaf620a17baa">
        <w:r>
          <w:rPr>
            <w:rStyle w:val="Hyperlink"/>
          </w:rPr>
          <w:t>hpsRaise (Distance Between Phonetic Guide Text and Phonetic Guide Base Text)</w:t>
        </w:r>
      </w:hyperlink>
      <w:r>
        <w:t xml:space="preserve"> </w:t>
      </w:r>
      <w:r>
        <w:fldChar w:fldCharType="begin"/>
      </w:r>
      <w:r>
        <w:instrText>PAGEREF section_22f2ace97cdb47</w:instrText>
      </w:r>
      <w:r>
        <w:instrText>42a9ffcaf620a17baa</w:instrText>
      </w:r>
      <w:r>
        <w:fldChar w:fldCharType="separate"/>
      </w:r>
      <w:r>
        <w:rPr>
          <w:noProof/>
        </w:rPr>
        <w:t>79</w:t>
      </w:r>
      <w:r>
        <w:fldChar w:fldCharType="end"/>
      </w:r>
    </w:p>
    <w:p w:rsidR="00024C0A" w:rsidRDefault="00694C0F">
      <w:pPr>
        <w:pStyle w:val="indexentry0"/>
      </w:pPr>
      <w:hyperlink w:anchor="section_83fd63d248604f1dbaa1a56f47841220">
        <w:r>
          <w:rPr>
            <w:rStyle w:val="Hyperlink"/>
          </w:rPr>
          <w:t>hsl (HSL)</w:t>
        </w:r>
      </w:hyperlink>
      <w:r>
        <w:t xml:space="preserve"> </w:t>
      </w:r>
      <w:r>
        <w:fldChar w:fldCharType="begin"/>
      </w:r>
      <w:r>
        <w:instrText>PAGEREF section_83fd63d248604f1dbaa1a56f47841220</w:instrText>
      </w:r>
      <w:r>
        <w:fldChar w:fldCharType="separate"/>
      </w:r>
      <w:r>
        <w:rPr>
          <w:noProof/>
        </w:rPr>
        <w:t>482</w:t>
      </w:r>
      <w:r>
        <w:fldChar w:fldCharType="end"/>
      </w:r>
    </w:p>
    <w:p w:rsidR="00024C0A" w:rsidRDefault="00694C0F">
      <w:pPr>
        <w:pStyle w:val="indexentry0"/>
      </w:pPr>
      <w:hyperlink w:anchor="section_d5976d9d9727403c8c483560f8a6f016">
        <w:r>
          <w:rPr>
            <w:rStyle w:val="Hyperlink"/>
          </w:rPr>
          <w:t>hsl (Hue Saturation Luminance Effect)</w:t>
        </w:r>
      </w:hyperlink>
      <w:r>
        <w:t xml:space="preserve"> </w:t>
      </w:r>
      <w:r>
        <w:fldChar w:fldCharType="begin"/>
      </w:r>
      <w:r>
        <w:instrText>PAGEREF section_d5976d9d9727403c8c483560f8a6f016</w:instrText>
      </w:r>
      <w:r>
        <w:fldChar w:fldCharType="separate"/>
      </w:r>
      <w:r>
        <w:rPr>
          <w:noProof/>
        </w:rPr>
        <w:t>512</w:t>
      </w:r>
      <w:r>
        <w:fldChar w:fldCharType="end"/>
      </w:r>
    </w:p>
    <w:p w:rsidR="00024C0A" w:rsidRDefault="00694C0F">
      <w:pPr>
        <w:pStyle w:val="indexentry0"/>
      </w:pPr>
      <w:hyperlink w:anchor="section_3b541eefc2ea41349e73932962cedf9f">
        <w:r>
          <w:rPr>
            <w:rStyle w:val="Hyperlink"/>
          </w:rPr>
          <w:t>hslClr (Hue - Saturation - Luminance Color Model)</w:t>
        </w:r>
      </w:hyperlink>
      <w:r>
        <w:t xml:space="preserve"> </w:t>
      </w:r>
      <w:r>
        <w:fldChar w:fldCharType="begin"/>
      </w:r>
      <w:r>
        <w:instrText>PAGEREF section_3b541eefc2ea41349e73932962cedf9f</w:instrText>
      </w:r>
      <w:r>
        <w:fldChar w:fldCharType="separate"/>
      </w:r>
      <w:r>
        <w:rPr>
          <w:noProof/>
        </w:rPr>
        <w:t>499</w:t>
      </w:r>
      <w:r>
        <w:fldChar w:fldCharType="end"/>
      </w:r>
    </w:p>
    <w:p w:rsidR="00024C0A" w:rsidRDefault="00694C0F">
      <w:pPr>
        <w:pStyle w:val="indexentry0"/>
      </w:pPr>
      <w:hyperlink w:anchor="section_6b2abb5b132d435c88e84f9c0294885f">
        <w:r>
          <w:rPr>
            <w:rStyle w:val="Hyperlink"/>
          </w:rPr>
          <w:t>hue (Hue)</w:t>
        </w:r>
      </w:hyperlink>
      <w:r>
        <w:t xml:space="preserve"> </w:t>
      </w:r>
      <w:r>
        <w:fldChar w:fldCharType="begin"/>
      </w:r>
      <w:r>
        <w:instrText>PAGEREF section_6b2abb5b132d435c88e84f9c0294885f</w:instrText>
      </w:r>
      <w:r>
        <w:fldChar w:fldCharType="separate"/>
      </w:r>
      <w:r>
        <w:rPr>
          <w:noProof/>
        </w:rPr>
        <w:t>499</w:t>
      </w:r>
      <w:r>
        <w:fldChar w:fldCharType="end"/>
      </w:r>
    </w:p>
    <w:p w:rsidR="00024C0A" w:rsidRDefault="00694C0F">
      <w:pPr>
        <w:pStyle w:val="indexentry0"/>
      </w:pPr>
      <w:hyperlink w:anchor="section_bb6242e7b6c5458c97a46e01f8544fbc">
        <w:r>
          <w:rPr>
            <w:rStyle w:val="Hyperlink"/>
          </w:rPr>
          <w:t>hueMod (Hue Modulate)</w:t>
        </w:r>
      </w:hyperlink>
      <w:r>
        <w:t xml:space="preserve"> </w:t>
      </w:r>
      <w:r>
        <w:fldChar w:fldCharType="begin"/>
      </w:r>
      <w:r>
        <w:instrText>PAGEREF section_bb6242e7b6c5458c97a46e01f8544fbc</w:instrText>
      </w:r>
      <w:r>
        <w:fldChar w:fldCharType="separate"/>
      </w:r>
      <w:r>
        <w:rPr>
          <w:noProof/>
        </w:rPr>
        <w:t>500</w:t>
      </w:r>
      <w:r>
        <w:fldChar w:fldCharType="end"/>
      </w:r>
    </w:p>
    <w:p w:rsidR="00024C0A" w:rsidRDefault="00694C0F">
      <w:pPr>
        <w:pStyle w:val="indexentry0"/>
      </w:pPr>
      <w:hyperlink w:anchor="section_2c21486a21e446728ef2c1a741771549">
        <w:r>
          <w:rPr>
            <w:rStyle w:val="Hyperlink"/>
          </w:rPr>
          <w:t>hueOff (Hue Offset)</w:t>
        </w:r>
      </w:hyperlink>
      <w:r>
        <w:t xml:space="preserve"> </w:t>
      </w:r>
      <w:r>
        <w:fldChar w:fldCharType="begin"/>
      </w:r>
      <w:r>
        <w:instrText>PAGEREF section_2c21486a21e446728ef2c1a741771549</w:instrText>
      </w:r>
      <w:r>
        <w:fldChar w:fldCharType="separate"/>
      </w:r>
      <w:r>
        <w:rPr>
          <w:noProof/>
        </w:rPr>
        <w:t>500</w:t>
      </w:r>
      <w:r>
        <w:fldChar w:fldCharType="end"/>
      </w:r>
    </w:p>
    <w:p w:rsidR="00024C0A" w:rsidRDefault="00694C0F">
      <w:pPr>
        <w:pStyle w:val="indexentry0"/>
      </w:pPr>
      <w:hyperlink w:anchor="section_18b8b8de874c46dda4983ce5335d430a">
        <w:r>
          <w:rPr>
            <w:rStyle w:val="Hyperlink"/>
          </w:rPr>
          <w:t>HYPERLINK</w:t>
        </w:r>
      </w:hyperlink>
      <w:r>
        <w:t xml:space="preserve"> </w:t>
      </w:r>
      <w:r>
        <w:fldChar w:fldCharType="begin"/>
      </w:r>
      <w:r>
        <w:instrText>PAGEREF section_18b8b8de874c46dda4983ce5335d430a</w:instrText>
      </w:r>
      <w:r>
        <w:fldChar w:fldCharType="separate"/>
      </w:r>
      <w:r>
        <w:rPr>
          <w:noProof/>
        </w:rPr>
        <w:t>215</w:t>
      </w:r>
      <w:r>
        <w:fldChar w:fldCharType="end"/>
      </w:r>
    </w:p>
    <w:p w:rsidR="00024C0A" w:rsidRDefault="00694C0F">
      <w:pPr>
        <w:pStyle w:val="indexentry0"/>
      </w:pPr>
      <w:r>
        <w:t>hyperlink (Hyperlink) (</w:t>
      </w:r>
      <w:hyperlink w:anchor="section_df06e42311a64a36bfb382139e531781">
        <w:r>
          <w:rPr>
            <w:rStyle w:val="Hyperlink"/>
          </w:rPr>
          <w:t>section 2.1.521</w:t>
        </w:r>
      </w:hyperlink>
      <w:r>
        <w:t xml:space="preserve"> </w:t>
      </w:r>
      <w:r>
        <w:fldChar w:fldCharType="begin"/>
      </w:r>
      <w:r>
        <w:instrText>PAGEREF section_df06e42311a64a36bfb382139e531781</w:instrText>
      </w:r>
      <w:r>
        <w:fldChar w:fldCharType="separate"/>
      </w:r>
      <w:r>
        <w:rPr>
          <w:noProof/>
        </w:rPr>
        <w:t>225</w:t>
      </w:r>
      <w:r>
        <w:fldChar w:fldCharType="end"/>
      </w:r>
      <w:r>
        <w:t xml:space="preserve">, </w:t>
      </w:r>
      <w:hyperlink w:anchor="section_842e6c5ecfaf4d168395a64547b5e22b">
        <w:r>
          <w:rPr>
            <w:rStyle w:val="Hyperlink"/>
          </w:rPr>
          <w:t>section 2.1.625</w:t>
        </w:r>
      </w:hyperlink>
      <w:r>
        <w:t xml:space="preserve"> </w:t>
      </w:r>
      <w:r>
        <w:fldChar w:fldCharType="begin"/>
      </w:r>
      <w:r>
        <w:instrText>PAGEREF section_842e6c5ecfaf4d168395a64547b5e</w:instrText>
      </w:r>
      <w:r>
        <w:instrText>22b</w:instrText>
      </w:r>
      <w:r>
        <w:fldChar w:fldCharType="separate"/>
      </w:r>
      <w:r>
        <w:rPr>
          <w:noProof/>
        </w:rPr>
        <w:t>262</w:t>
      </w:r>
      <w:r>
        <w:fldChar w:fldCharType="end"/>
      </w:r>
      <w:r>
        <w:t>)</w:t>
      </w:r>
    </w:p>
    <w:p w:rsidR="00024C0A" w:rsidRDefault="00694C0F">
      <w:pPr>
        <w:pStyle w:val="indexentry0"/>
      </w:pPr>
      <w:hyperlink w:anchor="section_cc9e4bbd134f4d35b2c795fde8c633a7">
        <w:r>
          <w:rPr>
            <w:rStyle w:val="Hyperlink"/>
          </w:rPr>
          <w:t>hyperlink (Ruby Hyperlink)</w:t>
        </w:r>
      </w:hyperlink>
      <w:r>
        <w:t xml:space="preserve"> </w:t>
      </w:r>
      <w:r>
        <w:fldChar w:fldCharType="begin"/>
      </w:r>
      <w:r>
        <w:instrText>PAGEREF section_cc9e4bbd134f4d35b2c795fde8c633a7</w:instrText>
      </w:r>
      <w:r>
        <w:fldChar w:fldCharType="separate"/>
      </w:r>
      <w:r>
        <w:rPr>
          <w:noProof/>
        </w:rPr>
        <w:t>793</w:t>
      </w:r>
      <w:r>
        <w:fldChar w:fldCharType="end"/>
      </w:r>
    </w:p>
    <w:p w:rsidR="00024C0A" w:rsidRDefault="00694C0F">
      <w:pPr>
        <w:pStyle w:val="indexentry0"/>
      </w:pPr>
      <w:hyperlink w:anchor="section_678b19e3244248e8968a61d46a51d2e0">
        <w:r>
          <w:rPr>
            <w:rStyle w:val="Hyperlink"/>
          </w:rPr>
          <w:t>hyphenationZone (Hyphenation Zone)</w:t>
        </w:r>
      </w:hyperlink>
      <w:r>
        <w:t xml:space="preserve"> </w:t>
      </w:r>
      <w:r>
        <w:fldChar w:fldCharType="begin"/>
      </w:r>
      <w:r>
        <w:instrText xml:space="preserve">PAGEREF </w:instrText>
      </w:r>
      <w:r>
        <w:instrText>section_678b19e3244248e8968a61d46a51d2e0</w:instrText>
      </w:r>
      <w:r>
        <w:fldChar w:fldCharType="separate"/>
      </w:r>
      <w:r>
        <w:rPr>
          <w:noProof/>
        </w:rPr>
        <w:t>154</w:t>
      </w:r>
      <w:r>
        <w:fldChar w:fldCharType="end"/>
      </w:r>
    </w:p>
    <w:p w:rsidR="00024C0A" w:rsidRDefault="00024C0A">
      <w:pPr>
        <w:spacing w:before="0" w:after="0"/>
        <w:rPr>
          <w:sz w:val="16"/>
        </w:rPr>
      </w:pPr>
    </w:p>
    <w:p w:rsidR="00024C0A" w:rsidRDefault="00694C0F">
      <w:pPr>
        <w:pStyle w:val="indexheader"/>
      </w:pPr>
      <w:r>
        <w:t>I</w:t>
      </w:r>
    </w:p>
    <w:p w:rsidR="00024C0A" w:rsidRDefault="00024C0A">
      <w:pPr>
        <w:spacing w:before="0" w:after="0"/>
        <w:rPr>
          <w:sz w:val="16"/>
        </w:rPr>
      </w:pPr>
    </w:p>
    <w:p w:rsidR="00024C0A" w:rsidRDefault="00694C0F">
      <w:pPr>
        <w:pStyle w:val="indexentry0"/>
      </w:pPr>
      <w:hyperlink w:anchor="section_1288dac9291e4330b7cd020a392632c4">
        <w:r>
          <w:rPr>
            <w:rStyle w:val="Hyperlink"/>
          </w:rPr>
          <w:t>i (Italics)</w:t>
        </w:r>
      </w:hyperlink>
      <w:r>
        <w:t xml:space="preserve"> </w:t>
      </w:r>
      <w:r>
        <w:fldChar w:fldCharType="begin"/>
      </w:r>
      <w:r>
        <w:instrText>PAGEREF section_1288dac9291e4330b7cd020a392632c4</w:instrText>
      </w:r>
      <w:r>
        <w:fldChar w:fldCharType="separate"/>
      </w:r>
      <w:r>
        <w:rPr>
          <w:noProof/>
        </w:rPr>
        <w:t>71</w:t>
      </w:r>
      <w:r>
        <w:fldChar w:fldCharType="end"/>
      </w:r>
    </w:p>
    <w:p w:rsidR="00024C0A" w:rsidRDefault="00694C0F">
      <w:pPr>
        <w:pStyle w:val="indexentry0"/>
      </w:pPr>
      <w:hyperlink w:anchor="section_9ddef91206834190bad8456a7ddfca85">
        <w:r>
          <w:rPr>
            <w:rStyle w:val="Hyperlink"/>
          </w:rPr>
          <w:t>i (Row Items)</w:t>
        </w:r>
      </w:hyperlink>
      <w:r>
        <w:t xml:space="preserve"> </w:t>
      </w:r>
      <w:r>
        <w:fldChar w:fldCharType="begin"/>
      </w:r>
      <w:r>
        <w:instrText>PAGEREF section_9ddef91206834190bad8456a7ddfca85</w:instrText>
      </w:r>
      <w:r>
        <w:fldChar w:fldCharType="separate"/>
      </w:r>
      <w:r>
        <w:rPr>
          <w:noProof/>
        </w:rPr>
        <w:t>335</w:t>
      </w:r>
      <w:r>
        <w:fldChar w:fldCharType="end"/>
      </w:r>
    </w:p>
    <w:p w:rsidR="00024C0A" w:rsidRDefault="00694C0F">
      <w:pPr>
        <w:pStyle w:val="indexentry0"/>
      </w:pPr>
      <w:hyperlink w:anchor="section_05446a4887db4862bbb94fbf551e51e1">
        <w:r>
          <w:rPr>
            <w:rStyle w:val="Hyperlink"/>
          </w:rPr>
          <w:t>iconFilter (Icon Filter)</w:t>
        </w:r>
      </w:hyperlink>
      <w:r>
        <w:t xml:space="preserve"> </w:t>
      </w:r>
      <w:r>
        <w:fldChar w:fldCharType="begin"/>
      </w:r>
      <w:r>
        <w:instrText>PAGEREF section_05446a4887db4862bbb94fbf551e51e1</w:instrText>
      </w:r>
      <w:r>
        <w:fldChar w:fldCharType="separate"/>
      </w:r>
      <w:r>
        <w:rPr>
          <w:noProof/>
        </w:rPr>
        <w:t>288</w:t>
      </w:r>
      <w:r>
        <w:fldChar w:fldCharType="end"/>
      </w:r>
    </w:p>
    <w:p w:rsidR="00024C0A" w:rsidRDefault="00694C0F">
      <w:pPr>
        <w:pStyle w:val="indexentry0"/>
      </w:pPr>
      <w:hyperlink w:anchor="section_22f74ff1babf4b338095058fc001c105">
        <w:r>
          <w:rPr>
            <w:rStyle w:val="Hyperlink"/>
          </w:rPr>
          <w:t>iCs</w:t>
        </w:r>
        <w:r>
          <w:rPr>
            <w:rStyle w:val="Hyperlink"/>
          </w:rPr>
          <w:t xml:space="preserve"> (Complex Script Italics)</w:t>
        </w:r>
      </w:hyperlink>
      <w:r>
        <w:t xml:space="preserve"> </w:t>
      </w:r>
      <w:r>
        <w:fldChar w:fldCharType="begin"/>
      </w:r>
      <w:r>
        <w:instrText>PAGEREF section_22f74ff1babf4b338095058fc001c105</w:instrText>
      </w:r>
      <w:r>
        <w:fldChar w:fldCharType="separate"/>
      </w:r>
      <w:r>
        <w:rPr>
          <w:noProof/>
        </w:rPr>
        <w:t>71</w:t>
      </w:r>
      <w:r>
        <w:fldChar w:fldCharType="end"/>
      </w:r>
    </w:p>
    <w:p w:rsidR="00024C0A" w:rsidRDefault="00694C0F">
      <w:pPr>
        <w:pStyle w:val="indexentry0"/>
      </w:pPr>
      <w:hyperlink w:anchor="section_1bc668d079434affb0ab5debbec78e1d">
        <w:r>
          <w:rPr>
            <w:rStyle w:val="Hyperlink"/>
          </w:rPr>
          <w:t>id (Unique ID)</w:t>
        </w:r>
      </w:hyperlink>
      <w:r>
        <w:t xml:space="preserve"> </w:t>
      </w:r>
      <w:r>
        <w:fldChar w:fldCharType="begin"/>
      </w:r>
      <w:r>
        <w:instrText>PAGEREF section_1bc668d079434affb0ab5debbec78e1d</w:instrText>
      </w:r>
      <w:r>
        <w:fldChar w:fldCharType="separate"/>
      </w:r>
      <w:r>
        <w:rPr>
          <w:noProof/>
        </w:rPr>
        <w:t>97</w:t>
      </w:r>
      <w:r>
        <w:fldChar w:fldCharType="end"/>
      </w:r>
    </w:p>
    <w:p w:rsidR="00024C0A" w:rsidRDefault="00694C0F">
      <w:pPr>
        <w:pStyle w:val="indexentry0"/>
      </w:pPr>
      <w:hyperlink w:anchor="section_d6a35fd178c64d449ee9d71317adf673">
        <w:r>
          <w:rPr>
            <w:rStyle w:val="Hyperlink"/>
          </w:rPr>
          <w:t>idmap (Shape ID Map)</w:t>
        </w:r>
      </w:hyperlink>
      <w:r>
        <w:t xml:space="preserve"> </w:t>
      </w:r>
      <w:r>
        <w:fldChar w:fldCharType="begin"/>
      </w:r>
      <w:r>
        <w:instrText>PAGEREF section_d6a35fd178c64d449ee9d71317adf673</w:instrText>
      </w:r>
      <w:r>
        <w:fldChar w:fldCharType="separate"/>
      </w:r>
      <w:r>
        <w:rPr>
          <w:noProof/>
        </w:rPr>
        <w:t>665</w:t>
      </w:r>
      <w:r>
        <w:fldChar w:fldCharType="end"/>
      </w:r>
    </w:p>
    <w:p w:rsidR="00024C0A" w:rsidRDefault="00694C0F">
      <w:pPr>
        <w:pStyle w:val="indexentry0"/>
      </w:pPr>
      <w:hyperlink w:anchor="section_6ceb7cd840d84c6695fa130240a4a22a">
        <w:r>
          <w:rPr>
            <w:rStyle w:val="Hyperlink"/>
          </w:rPr>
          <w:t>idx (Index)</w:t>
        </w:r>
      </w:hyperlink>
      <w:r>
        <w:t xml:space="preserve"> </w:t>
      </w:r>
      <w:r>
        <w:fldChar w:fldCharType="begin"/>
      </w:r>
      <w:r>
        <w:instrText>PAGEREF section_6ceb7cd840d84c6695fa130240a4a22a</w:instrText>
      </w:r>
      <w:r>
        <w:fldChar w:fldCharType="separate"/>
      </w:r>
      <w:r>
        <w:rPr>
          <w:noProof/>
        </w:rPr>
        <w:t>551</w:t>
      </w:r>
      <w:r>
        <w:fldChar w:fldCharType="end"/>
      </w:r>
    </w:p>
    <w:p w:rsidR="00024C0A" w:rsidRDefault="00694C0F">
      <w:pPr>
        <w:pStyle w:val="indexentry0"/>
      </w:pPr>
      <w:r>
        <w:t>IF (</w:t>
      </w:r>
      <w:hyperlink w:anchor="section_e7feed5302724346ac5c26342d8dfdf5">
        <w:r>
          <w:rPr>
            <w:rStyle w:val="Hyperlink"/>
          </w:rPr>
          <w:t>section 2.1.478</w:t>
        </w:r>
      </w:hyperlink>
      <w:r>
        <w:t xml:space="preserve"> </w:t>
      </w:r>
      <w:r>
        <w:fldChar w:fldCharType="begin"/>
      </w:r>
      <w:r>
        <w:instrText>PAGEREF section_e7feed5302724346ac5c26342d8dfdf5</w:instrText>
      </w:r>
      <w:r>
        <w:fldChar w:fldCharType="separate"/>
      </w:r>
      <w:r>
        <w:rPr>
          <w:noProof/>
        </w:rPr>
        <w:t>215</w:t>
      </w:r>
      <w:r>
        <w:fldChar w:fldCharType="end"/>
      </w:r>
      <w:r>
        <w:t xml:space="preserve">, </w:t>
      </w:r>
      <w:hyperlink w:anchor="section_10cbd87900d34a2e9f3234b7ecab1d49">
        <w:r>
          <w:rPr>
            <w:rStyle w:val="Hyperlink"/>
          </w:rPr>
          <w:t>section 2.1.962</w:t>
        </w:r>
      </w:hyperlink>
      <w:r>
        <w:t xml:space="preserve"> </w:t>
      </w:r>
      <w:r>
        <w:fldChar w:fldCharType="begin"/>
      </w:r>
      <w:r>
        <w:instrText>PAGEREF section_10cbd87900d34a2e9f3234b7ecab1d49</w:instrText>
      </w:r>
      <w:r>
        <w:fldChar w:fldCharType="separate"/>
      </w:r>
      <w:r>
        <w:rPr>
          <w:noProof/>
        </w:rPr>
        <w:t>423</w:t>
      </w:r>
      <w:r>
        <w:fldChar w:fldCharType="end"/>
      </w:r>
      <w:r>
        <w:t>)</w:t>
      </w:r>
    </w:p>
    <w:p w:rsidR="00024C0A" w:rsidRDefault="00694C0F">
      <w:pPr>
        <w:pStyle w:val="indexentry0"/>
      </w:pPr>
      <w:hyperlink w:anchor="section_7311ea9061a4418aa67ac5a29a456273">
        <w:r>
          <w:rPr>
            <w:rStyle w:val="Hyperlink"/>
          </w:rPr>
          <w:t>IFERROR</w:t>
        </w:r>
      </w:hyperlink>
      <w:r>
        <w:t xml:space="preserve"> </w:t>
      </w:r>
      <w:r>
        <w:fldChar w:fldCharType="begin"/>
      </w:r>
      <w:r>
        <w:instrText>PAGEREF section_7311ea9061a4418aa67ac5a29a456273</w:instrText>
      </w:r>
      <w:r>
        <w:fldChar w:fldCharType="separate"/>
      </w:r>
      <w:r>
        <w:rPr>
          <w:noProof/>
        </w:rPr>
        <w:t>423</w:t>
      </w:r>
      <w:r>
        <w:fldChar w:fldCharType="end"/>
      </w:r>
    </w:p>
    <w:p w:rsidR="00024C0A" w:rsidRDefault="00694C0F">
      <w:pPr>
        <w:pStyle w:val="indexentry0"/>
      </w:pPr>
      <w:hyperlink w:anchor="section_68d330fe5d134f51a64f8fea06399023">
        <w:r>
          <w:rPr>
            <w:rStyle w:val="Hyperlink"/>
          </w:rPr>
          <w:t>ignoredError (Ignored Error)</w:t>
        </w:r>
      </w:hyperlink>
      <w:r>
        <w:t xml:space="preserve"> </w:t>
      </w:r>
      <w:r>
        <w:fldChar w:fldCharType="begin"/>
      </w:r>
      <w:r>
        <w:instrText>PAGEREF section_68d330fe5d134f51a64f8fea06399023</w:instrText>
      </w:r>
      <w:r>
        <w:fldChar w:fldCharType="separate"/>
      </w:r>
      <w:r>
        <w:rPr>
          <w:noProof/>
        </w:rPr>
        <w:t>262</w:t>
      </w:r>
      <w:r>
        <w:fldChar w:fldCharType="end"/>
      </w:r>
    </w:p>
    <w:p w:rsidR="00024C0A" w:rsidRDefault="00694C0F">
      <w:pPr>
        <w:pStyle w:val="indexentry0"/>
      </w:pPr>
      <w:hyperlink w:anchor="section_cdd4f652cf064ebcad4ba9d647ff7888">
        <w:r>
          <w:rPr>
            <w:rStyle w:val="Hyperlink"/>
          </w:rPr>
          <w:t>ignoredErrors (Ignored Errors)</w:t>
        </w:r>
      </w:hyperlink>
      <w:r>
        <w:t xml:space="preserve"> </w:t>
      </w:r>
      <w:r>
        <w:fldChar w:fldCharType="begin"/>
      </w:r>
      <w:r>
        <w:instrText>PAGEREF section_cdd4f652cf064ebcad4ba9d647ff7888</w:instrText>
      </w:r>
      <w:r>
        <w:fldChar w:fldCharType="separate"/>
      </w:r>
      <w:r>
        <w:rPr>
          <w:noProof/>
        </w:rPr>
        <w:t>263</w:t>
      </w:r>
      <w:r>
        <w:fldChar w:fldCharType="end"/>
      </w:r>
    </w:p>
    <w:p w:rsidR="00024C0A" w:rsidRDefault="00694C0F">
      <w:pPr>
        <w:pStyle w:val="indexentry0"/>
      </w:pPr>
      <w:hyperlink w:anchor="section_b7139e3b7f1f43d18df72022ec0c2c2d">
        <w:r>
          <w:rPr>
            <w:rStyle w:val="Hyperlink"/>
          </w:rPr>
          <w:t>ilvl (Numbering Level Reference)</w:t>
        </w:r>
      </w:hyperlink>
      <w:r>
        <w:t xml:space="preserve"> </w:t>
      </w:r>
      <w:r>
        <w:fldChar w:fldCharType="begin"/>
      </w:r>
      <w:r>
        <w:instrText>PAGEREF sectio</w:instrText>
      </w:r>
      <w:r>
        <w:instrText>n_b7139e3b7f1f43d18df72022ec0c2c2d</w:instrText>
      </w:r>
      <w:r>
        <w:fldChar w:fldCharType="separate"/>
      </w:r>
      <w:r>
        <w:rPr>
          <w:noProof/>
        </w:rPr>
        <w:t>123</w:t>
      </w:r>
      <w:r>
        <w:fldChar w:fldCharType="end"/>
      </w:r>
    </w:p>
    <w:p w:rsidR="00024C0A" w:rsidRDefault="00694C0F">
      <w:pPr>
        <w:pStyle w:val="indexentry0"/>
      </w:pPr>
      <w:hyperlink w:anchor="section_65100e2931e94e27972d9bf589fea5be">
        <w:r>
          <w:rPr>
            <w:rStyle w:val="Hyperlink"/>
          </w:rPr>
          <w:t>image (Image File)</w:t>
        </w:r>
      </w:hyperlink>
      <w:r>
        <w:t xml:space="preserve"> </w:t>
      </w:r>
      <w:r>
        <w:fldChar w:fldCharType="begin"/>
      </w:r>
      <w:r>
        <w:instrText>PAGEREF section_65100e2931e94e27972d9bf589fea5be</w:instrText>
      </w:r>
      <w:r>
        <w:fldChar w:fldCharType="separate"/>
      </w:r>
      <w:r>
        <w:rPr>
          <w:noProof/>
        </w:rPr>
        <w:t>641</w:t>
      </w:r>
      <w:r>
        <w:fldChar w:fldCharType="end"/>
      </w:r>
    </w:p>
    <w:p w:rsidR="00024C0A" w:rsidRDefault="00694C0F">
      <w:pPr>
        <w:pStyle w:val="indexentry0"/>
      </w:pPr>
      <w:hyperlink w:anchor="section_bc8ed1a051414dbcbc98d7bb41712df8">
        <w:r>
          <w:rPr>
            <w:rStyle w:val="Hyperlink"/>
          </w:rPr>
          <w:t>Image Part</w:t>
        </w:r>
      </w:hyperlink>
      <w:r>
        <w:t xml:space="preserve"> </w:t>
      </w:r>
      <w:r>
        <w:fldChar w:fldCharType="begin"/>
      </w:r>
      <w:r>
        <w:instrText>PAGEREF se</w:instrText>
      </w:r>
      <w:r>
        <w:instrText>ction_bc8ed1a051414dbcbc98d7bb41712df8</w:instrText>
      </w:r>
      <w:r>
        <w:fldChar w:fldCharType="separate"/>
      </w:r>
      <w:r>
        <w:rPr>
          <w:noProof/>
        </w:rPr>
        <w:t>61</w:t>
      </w:r>
      <w:r>
        <w:fldChar w:fldCharType="end"/>
      </w:r>
    </w:p>
    <w:p w:rsidR="00024C0A" w:rsidRDefault="00694C0F">
      <w:pPr>
        <w:pStyle w:val="indexentry0"/>
      </w:pPr>
      <w:hyperlink w:anchor="section_eba6e7671fa143e3b8ae7ea30c1f4972">
        <w:r>
          <w:rPr>
            <w:rStyle w:val="Hyperlink"/>
          </w:rPr>
          <w:t>imagedata (Image Data)</w:t>
        </w:r>
      </w:hyperlink>
      <w:r>
        <w:t xml:space="preserve"> </w:t>
      </w:r>
      <w:r>
        <w:fldChar w:fldCharType="begin"/>
      </w:r>
      <w:r>
        <w:instrText>PAGEREF section_eba6e7671fa143e3b8ae7ea30c1f4972</w:instrText>
      </w:r>
      <w:r>
        <w:fldChar w:fldCharType="separate"/>
      </w:r>
      <w:r>
        <w:rPr>
          <w:noProof/>
        </w:rPr>
        <w:t>642</w:t>
      </w:r>
      <w:r>
        <w:fldChar w:fldCharType="end"/>
      </w:r>
    </w:p>
    <w:p w:rsidR="00024C0A" w:rsidRDefault="00694C0F">
      <w:pPr>
        <w:pStyle w:val="indexentry0"/>
      </w:pPr>
      <w:hyperlink w:anchor="section_2367967f202d49569278f2ba1e5afe7f">
        <w:r>
          <w:rPr>
            <w:rStyle w:val="Hyperlink"/>
          </w:rPr>
          <w:t>IMARGUMENT</w:t>
        </w:r>
      </w:hyperlink>
      <w:r>
        <w:t xml:space="preserve"> </w:t>
      </w:r>
      <w:r>
        <w:fldChar w:fldCharType="begin"/>
      </w:r>
      <w:r>
        <w:instrText>PA</w:instrText>
      </w:r>
      <w:r>
        <w:instrText>GEREF section_2367967f202d49569278f2ba1e5afe7f</w:instrText>
      </w:r>
      <w:r>
        <w:fldChar w:fldCharType="separate"/>
      </w:r>
      <w:r>
        <w:rPr>
          <w:noProof/>
        </w:rPr>
        <w:t>423</w:t>
      </w:r>
      <w:r>
        <w:fldChar w:fldCharType="end"/>
      </w:r>
    </w:p>
    <w:p w:rsidR="00024C0A" w:rsidRDefault="00694C0F">
      <w:pPr>
        <w:pStyle w:val="indexentry0"/>
      </w:pPr>
      <w:hyperlink w:anchor="section_bd714073b3d34e4da8ab9ae68871d9d6">
        <w:r>
          <w:rPr>
            <w:rStyle w:val="Hyperlink"/>
          </w:rPr>
          <w:t>IMDIV</w:t>
        </w:r>
      </w:hyperlink>
      <w:r>
        <w:t xml:space="preserve"> </w:t>
      </w:r>
      <w:r>
        <w:fldChar w:fldCharType="begin"/>
      </w:r>
      <w:r>
        <w:instrText>PAGEREF section_bd714073b3d34e4da8ab9ae68871d9d6</w:instrText>
      </w:r>
      <w:r>
        <w:fldChar w:fldCharType="separate"/>
      </w:r>
      <w:r>
        <w:rPr>
          <w:noProof/>
        </w:rPr>
        <w:t>423</w:t>
      </w:r>
      <w:r>
        <w:fldChar w:fldCharType="end"/>
      </w:r>
    </w:p>
    <w:p w:rsidR="00024C0A" w:rsidRDefault="00694C0F">
      <w:pPr>
        <w:pStyle w:val="indexentry0"/>
      </w:pPr>
      <w:hyperlink w:anchor="section_b1fb964ee5ea4e10ad72e10986208e92">
        <w:r>
          <w:rPr>
            <w:rStyle w:val="Hyperlink"/>
          </w:rPr>
          <w:t>IMLN</w:t>
        </w:r>
      </w:hyperlink>
      <w:r>
        <w:t xml:space="preserve"> </w:t>
      </w:r>
      <w:r>
        <w:fldChar w:fldCharType="begin"/>
      </w:r>
      <w:r>
        <w:instrText>PAGEREF section_b</w:instrText>
      </w:r>
      <w:r>
        <w:instrText>1fb964ee5ea4e10ad72e10986208e92</w:instrText>
      </w:r>
      <w:r>
        <w:fldChar w:fldCharType="separate"/>
      </w:r>
      <w:r>
        <w:rPr>
          <w:noProof/>
        </w:rPr>
        <w:t>423</w:t>
      </w:r>
      <w:r>
        <w:fldChar w:fldCharType="end"/>
      </w:r>
    </w:p>
    <w:p w:rsidR="00024C0A" w:rsidRDefault="00694C0F">
      <w:pPr>
        <w:pStyle w:val="indexentry0"/>
      </w:pPr>
      <w:hyperlink w:anchor="section_2395740104484810972b2832c8918aaa">
        <w:r>
          <w:rPr>
            <w:rStyle w:val="Hyperlink"/>
          </w:rPr>
          <w:t>IMLOG10</w:t>
        </w:r>
      </w:hyperlink>
      <w:r>
        <w:t xml:space="preserve"> </w:t>
      </w:r>
      <w:r>
        <w:fldChar w:fldCharType="begin"/>
      </w:r>
      <w:r>
        <w:instrText>PAGEREF section_2395740104484810972b2832c8918aaa</w:instrText>
      </w:r>
      <w:r>
        <w:fldChar w:fldCharType="separate"/>
      </w:r>
      <w:r>
        <w:rPr>
          <w:noProof/>
        </w:rPr>
        <w:t>423</w:t>
      </w:r>
      <w:r>
        <w:fldChar w:fldCharType="end"/>
      </w:r>
    </w:p>
    <w:p w:rsidR="00024C0A" w:rsidRDefault="00694C0F">
      <w:pPr>
        <w:pStyle w:val="indexentry0"/>
      </w:pPr>
      <w:hyperlink w:anchor="section_53a80498b5bf4e9391ce44621001750c">
        <w:r>
          <w:rPr>
            <w:rStyle w:val="Hyperlink"/>
          </w:rPr>
          <w:t>IMLOG2</w:t>
        </w:r>
      </w:hyperlink>
      <w:r>
        <w:t xml:space="preserve"> </w:t>
      </w:r>
      <w:r>
        <w:fldChar w:fldCharType="begin"/>
      </w:r>
      <w:r>
        <w:instrText>PAGEREF section_53a80498b5bf4e9391ce44621001750c</w:instrText>
      </w:r>
      <w:r>
        <w:fldChar w:fldCharType="separate"/>
      </w:r>
      <w:r>
        <w:rPr>
          <w:noProof/>
        </w:rPr>
        <w:t>424</w:t>
      </w:r>
      <w:r>
        <w:fldChar w:fldCharType="end"/>
      </w:r>
    </w:p>
    <w:p w:rsidR="00024C0A" w:rsidRDefault="00694C0F">
      <w:pPr>
        <w:pStyle w:val="indexentry0"/>
      </w:pPr>
      <w:hyperlink w:anchor="section_abc02456ec344da29bd1fccd0bee1ee0">
        <w:r>
          <w:rPr>
            <w:rStyle w:val="Hyperlink"/>
          </w:rPr>
          <w:t>IMPORT</w:t>
        </w:r>
      </w:hyperlink>
      <w:r>
        <w:t xml:space="preserve"> </w:t>
      </w:r>
      <w:r>
        <w:fldChar w:fldCharType="begin"/>
      </w:r>
      <w:r>
        <w:instrText>PAGEREF section_abc02456ec344da29bd1fccd0bee1ee0</w:instrText>
      </w:r>
      <w:r>
        <w:fldChar w:fldCharType="separate"/>
      </w:r>
      <w:r>
        <w:rPr>
          <w:noProof/>
        </w:rPr>
        <w:t>812</w:t>
      </w:r>
      <w:r>
        <w:fldChar w:fldCharType="end"/>
      </w:r>
    </w:p>
    <w:p w:rsidR="00024C0A" w:rsidRDefault="00694C0F">
      <w:pPr>
        <w:pStyle w:val="indexentry0"/>
      </w:pPr>
      <w:hyperlink w:anchor="section_316e6d911f1645cd9ef2b7b817e30f9f">
        <w:r>
          <w:rPr>
            <w:rStyle w:val="Hyperlink"/>
          </w:rPr>
          <w:t>IMPOWER</w:t>
        </w:r>
      </w:hyperlink>
      <w:r>
        <w:t xml:space="preserve"> </w:t>
      </w:r>
      <w:r>
        <w:fldChar w:fldCharType="begin"/>
      </w:r>
      <w:r>
        <w:instrText>PAGEREF sec</w:instrText>
      </w:r>
      <w:r>
        <w:instrText>tion_316e6d911f1645cd9ef2b7b817e30f9f</w:instrText>
      </w:r>
      <w:r>
        <w:fldChar w:fldCharType="separate"/>
      </w:r>
      <w:r>
        <w:rPr>
          <w:noProof/>
        </w:rPr>
        <w:t>424</w:t>
      </w:r>
      <w:r>
        <w:fldChar w:fldCharType="end"/>
      </w:r>
    </w:p>
    <w:p w:rsidR="00024C0A" w:rsidRDefault="00694C0F">
      <w:pPr>
        <w:pStyle w:val="indexentry0"/>
      </w:pPr>
      <w:hyperlink w:anchor="section_1b1a3ab800294944aa76f1e7188c9447">
        <w:r>
          <w:rPr>
            <w:rStyle w:val="Hyperlink"/>
          </w:rPr>
          <w:t>imprint (Imprinting)</w:t>
        </w:r>
      </w:hyperlink>
      <w:r>
        <w:t xml:space="preserve"> </w:t>
      </w:r>
      <w:r>
        <w:fldChar w:fldCharType="begin"/>
      </w:r>
      <w:r>
        <w:instrText>PAGEREF section_1b1a3ab800294944aa76f1e7188c9447</w:instrText>
      </w:r>
      <w:r>
        <w:fldChar w:fldCharType="separate"/>
      </w:r>
      <w:r>
        <w:rPr>
          <w:noProof/>
        </w:rPr>
        <w:t>72</w:t>
      </w:r>
      <w:r>
        <w:fldChar w:fldCharType="end"/>
      </w:r>
    </w:p>
    <w:p w:rsidR="00024C0A" w:rsidRDefault="00694C0F">
      <w:pPr>
        <w:pStyle w:val="indexentry0"/>
      </w:pPr>
      <w:hyperlink w:anchor="section_d62977af731d4533a681028c97121b2b">
        <w:r>
          <w:rPr>
            <w:rStyle w:val="Hyperlink"/>
          </w:rPr>
          <w:t>IMSIN</w:t>
        </w:r>
      </w:hyperlink>
      <w:r>
        <w:t xml:space="preserve"> </w:t>
      </w:r>
      <w:r>
        <w:fldChar w:fldCharType="begin"/>
      </w:r>
      <w:r>
        <w:instrText>PAGEREF section_d62977af731d4533a681028c97121b2b</w:instrText>
      </w:r>
      <w:r>
        <w:fldChar w:fldCharType="separate"/>
      </w:r>
      <w:r>
        <w:rPr>
          <w:noProof/>
        </w:rPr>
        <w:t>424</w:t>
      </w:r>
      <w:r>
        <w:fldChar w:fldCharType="end"/>
      </w:r>
    </w:p>
    <w:p w:rsidR="00024C0A" w:rsidRDefault="00694C0F">
      <w:pPr>
        <w:pStyle w:val="indexentry0"/>
      </w:pPr>
      <w:hyperlink w:anchor="section_eef4f9053db747d085bdf4e3634e9cee">
        <w:r>
          <w:rPr>
            <w:rStyle w:val="Hyperlink"/>
          </w:rPr>
          <w:t>IMSQRT</w:t>
        </w:r>
      </w:hyperlink>
      <w:r>
        <w:t xml:space="preserve"> </w:t>
      </w:r>
      <w:r>
        <w:fldChar w:fldCharType="begin"/>
      </w:r>
      <w:r>
        <w:instrText>PAGEREF section_eef4f9053db747d085bdf4e3634e9cee</w:instrText>
      </w:r>
      <w:r>
        <w:fldChar w:fldCharType="separate"/>
      </w:r>
      <w:r>
        <w:rPr>
          <w:noProof/>
        </w:rPr>
        <w:t>424</w:t>
      </w:r>
      <w:r>
        <w:fldChar w:fldCharType="end"/>
      </w:r>
    </w:p>
    <w:p w:rsidR="00024C0A" w:rsidRDefault="00694C0F">
      <w:pPr>
        <w:pStyle w:val="indexentry0"/>
      </w:pPr>
      <w:hyperlink w:anchor="section_ccda6c59abc6448f9609c5514582b169">
        <w:r>
          <w:rPr>
            <w:rStyle w:val="Hyperlink"/>
          </w:rPr>
          <w:t>Inc (Scroll Bar Incre</w:t>
        </w:r>
        <w:r>
          <w:rPr>
            <w:rStyle w:val="Hyperlink"/>
          </w:rPr>
          <w:t>ment)</w:t>
        </w:r>
      </w:hyperlink>
      <w:r>
        <w:t xml:space="preserve"> </w:t>
      </w:r>
      <w:r>
        <w:fldChar w:fldCharType="begin"/>
      </w:r>
      <w:r>
        <w:instrText>PAGEREF section_ccda6c59abc6448f9609c5514582b169</w:instrText>
      </w:r>
      <w:r>
        <w:fldChar w:fldCharType="separate"/>
      </w:r>
      <w:r>
        <w:rPr>
          <w:noProof/>
        </w:rPr>
        <w:t>675</w:t>
      </w:r>
      <w:r>
        <w:fldChar w:fldCharType="end"/>
      </w:r>
    </w:p>
    <w:p w:rsidR="00024C0A" w:rsidRDefault="00694C0F">
      <w:pPr>
        <w:pStyle w:val="indexentry0"/>
      </w:pPr>
      <w:hyperlink w:anchor="section_163bafc130cd4c6bb324326da7b283c7">
        <w:r>
          <w:rPr>
            <w:rStyle w:val="Hyperlink"/>
          </w:rPr>
          <w:t>INCLUDE</w:t>
        </w:r>
      </w:hyperlink>
      <w:r>
        <w:t xml:space="preserve"> </w:t>
      </w:r>
      <w:r>
        <w:fldChar w:fldCharType="begin"/>
      </w:r>
      <w:r>
        <w:instrText>PAGEREF section_163bafc130cd4c6bb324326da7b283c7</w:instrText>
      </w:r>
      <w:r>
        <w:fldChar w:fldCharType="separate"/>
      </w:r>
      <w:r>
        <w:rPr>
          <w:noProof/>
        </w:rPr>
        <w:t>812</w:t>
      </w:r>
      <w:r>
        <w:fldChar w:fldCharType="end"/>
      </w:r>
    </w:p>
    <w:p w:rsidR="00024C0A" w:rsidRDefault="00694C0F">
      <w:pPr>
        <w:pStyle w:val="indexentry0"/>
      </w:pPr>
      <w:hyperlink w:anchor="section_dc700ec9797b4edb9bdf9338fc93d797">
        <w:r>
          <w:rPr>
            <w:rStyle w:val="Hyperlink"/>
          </w:rPr>
          <w:t>INCLUDETEXT</w:t>
        </w:r>
      </w:hyperlink>
      <w:r>
        <w:t xml:space="preserve"> </w:t>
      </w:r>
      <w:r>
        <w:fldChar w:fldCharType="begin"/>
      </w:r>
      <w:r>
        <w:instrText>PAGEREF section_dc700ec9797b4edb9bdf9338fc93d797</w:instrText>
      </w:r>
      <w:r>
        <w:fldChar w:fldCharType="separate"/>
      </w:r>
      <w:r>
        <w:rPr>
          <w:noProof/>
        </w:rPr>
        <w:t>215</w:t>
      </w:r>
      <w:r>
        <w:fldChar w:fldCharType="end"/>
      </w:r>
    </w:p>
    <w:p w:rsidR="00024C0A" w:rsidRDefault="00694C0F">
      <w:pPr>
        <w:pStyle w:val="indexentry0"/>
      </w:pPr>
      <w:hyperlink w:anchor="section_138732dc507a4164af66808c2fd9f2f9">
        <w:r>
          <w:rPr>
            <w:rStyle w:val="Hyperlink"/>
          </w:rPr>
          <w:t>ind (Paragraph Indentation)</w:t>
        </w:r>
      </w:hyperlink>
      <w:r>
        <w:t xml:space="preserve"> </w:t>
      </w:r>
      <w:r>
        <w:fldChar w:fldCharType="begin"/>
      </w:r>
      <w:r>
        <w:instrText>PAGEREF section_138732dc507a4164af66808c2fd9f2f9</w:instrText>
      </w:r>
      <w:r>
        <w:fldChar w:fldCharType="separate"/>
      </w:r>
      <w:r>
        <w:rPr>
          <w:noProof/>
        </w:rPr>
        <w:t>64</w:t>
      </w:r>
      <w:r>
        <w:fldChar w:fldCharType="end"/>
      </w:r>
    </w:p>
    <w:p w:rsidR="00024C0A" w:rsidRDefault="00694C0F">
      <w:pPr>
        <w:pStyle w:val="indexentry0"/>
      </w:pPr>
      <w:r>
        <w:t>INDEX (</w:t>
      </w:r>
      <w:hyperlink w:anchor="section_9986087533d546d68d5276e0cdcd5da3">
        <w:r>
          <w:rPr>
            <w:rStyle w:val="Hyperlink"/>
          </w:rPr>
          <w:t>section 2.1.480</w:t>
        </w:r>
      </w:hyperlink>
      <w:r>
        <w:t xml:space="preserve"> </w:t>
      </w:r>
      <w:r>
        <w:fldChar w:fldCharType="begin"/>
      </w:r>
      <w:r>
        <w:instrText>PAGEREF section_9986087533d546d68d5276e0cdcd5da3</w:instrText>
      </w:r>
      <w:r>
        <w:fldChar w:fldCharType="separate"/>
      </w:r>
      <w:r>
        <w:rPr>
          <w:noProof/>
        </w:rPr>
        <w:t>216</w:t>
      </w:r>
      <w:r>
        <w:fldChar w:fldCharType="end"/>
      </w:r>
      <w:r>
        <w:t xml:space="preserve">, </w:t>
      </w:r>
      <w:hyperlink w:anchor="section_8a9e8a05d0934fe185658f8f6671995b">
        <w:r>
          <w:rPr>
            <w:rStyle w:val="Hyperlink"/>
          </w:rPr>
          <w:t>section 2.1.972</w:t>
        </w:r>
      </w:hyperlink>
      <w:r>
        <w:t xml:space="preserve"> </w:t>
      </w:r>
      <w:r>
        <w:fldChar w:fldCharType="begin"/>
      </w:r>
      <w:r>
        <w:instrText>PAGEREF section_8a9e8a05d0934fe185658f8f6671995b</w:instrText>
      </w:r>
      <w:r>
        <w:fldChar w:fldCharType="separate"/>
      </w:r>
      <w:r>
        <w:rPr>
          <w:noProof/>
        </w:rPr>
        <w:t>424</w:t>
      </w:r>
      <w:r>
        <w:fldChar w:fldCharType="end"/>
      </w:r>
      <w:r>
        <w:t>)</w:t>
      </w:r>
    </w:p>
    <w:p w:rsidR="00024C0A" w:rsidRDefault="00694C0F">
      <w:pPr>
        <w:pStyle w:val="indexentry0"/>
      </w:pPr>
      <w:hyperlink w:anchor="section_96467cf3991545d8b9979183e29b29e4">
        <w:r>
          <w:rPr>
            <w:rStyle w:val="Hyperlink"/>
          </w:rPr>
          <w:t>indexedColors (Color Indexes)</w:t>
        </w:r>
      </w:hyperlink>
      <w:r>
        <w:t xml:space="preserve"> </w:t>
      </w:r>
      <w:r>
        <w:fldChar w:fldCharType="begin"/>
      </w:r>
      <w:r>
        <w:instrText>PAGEREF section_96467cf3991545d8b9979183e29b29e4</w:instrText>
      </w:r>
      <w:r>
        <w:fldChar w:fldCharType="separate"/>
      </w:r>
      <w:r>
        <w:rPr>
          <w:noProof/>
        </w:rPr>
        <w:t>298</w:t>
      </w:r>
      <w:r>
        <w:fldChar w:fldCharType="end"/>
      </w:r>
    </w:p>
    <w:p w:rsidR="00024C0A" w:rsidRDefault="00694C0F">
      <w:pPr>
        <w:pStyle w:val="indexentry0"/>
      </w:pPr>
      <w:hyperlink w:anchor="section_dcedecc22b68492e8802a5885866703b">
        <w:r>
          <w:rPr>
            <w:rStyle w:val="Hyperlink"/>
          </w:rPr>
          <w:t>INDIRECT</w:t>
        </w:r>
      </w:hyperlink>
      <w:r>
        <w:t xml:space="preserve"> </w:t>
      </w:r>
      <w:r>
        <w:fldChar w:fldCharType="begin"/>
      </w:r>
      <w:r>
        <w:instrText>PAGEREF section_dcedecc22b68492e8802a58</w:instrText>
      </w:r>
      <w:r>
        <w:instrText>85866703b</w:instrText>
      </w:r>
      <w:r>
        <w:fldChar w:fldCharType="separate"/>
      </w:r>
      <w:r>
        <w:rPr>
          <w:noProof/>
        </w:rPr>
        <w:t>424</w:t>
      </w:r>
      <w:r>
        <w:fldChar w:fldCharType="end"/>
      </w:r>
    </w:p>
    <w:p w:rsidR="00024C0A" w:rsidRDefault="00694C0F">
      <w:pPr>
        <w:pStyle w:val="indexentry0"/>
      </w:pPr>
      <w:hyperlink w:anchor="section_ed33866d5a02492e87a6a1aca55d9d16">
        <w:r>
          <w:rPr>
            <w:rStyle w:val="Hyperlink"/>
          </w:rPr>
          <w:t>INFO</w:t>
        </w:r>
      </w:hyperlink>
      <w:r>
        <w:t xml:space="preserve"> </w:t>
      </w:r>
      <w:r>
        <w:fldChar w:fldCharType="begin"/>
      </w:r>
      <w:r>
        <w:instrText>PAGEREF section_ed33866d5a02492e87a6a1aca55d9d16</w:instrText>
      </w:r>
      <w:r>
        <w:fldChar w:fldCharType="separate"/>
      </w:r>
      <w:r>
        <w:rPr>
          <w:noProof/>
        </w:rPr>
        <w:t>425</w:t>
      </w:r>
      <w:r>
        <w:fldChar w:fldCharType="end"/>
      </w:r>
    </w:p>
    <w:p w:rsidR="00024C0A" w:rsidRDefault="00694C0F">
      <w:pPr>
        <w:pStyle w:val="indexentry0"/>
      </w:pPr>
      <w:hyperlink w:anchor="section_94d2b16ecf4446248c7be2f0afe1a072">
        <w:r>
          <w:rPr>
            <w:rStyle w:val="Hyperlink"/>
          </w:rPr>
          <w:t>Informative references</w:t>
        </w:r>
      </w:hyperlink>
      <w:r>
        <w:t xml:space="preserve"> </w:t>
      </w:r>
      <w:r>
        <w:fldChar w:fldCharType="begin"/>
      </w:r>
      <w:r>
        <w:instrText>PAGEREF section_94d2b16ecf4446248c7be</w:instrText>
      </w:r>
      <w:r>
        <w:instrText>2f0afe1a072</w:instrText>
      </w:r>
      <w:r>
        <w:fldChar w:fldCharType="separate"/>
      </w:r>
      <w:r>
        <w:rPr>
          <w:noProof/>
        </w:rPr>
        <w:t>45</w:t>
      </w:r>
      <w:r>
        <w:fldChar w:fldCharType="end"/>
      </w:r>
    </w:p>
    <w:p w:rsidR="00024C0A" w:rsidRDefault="00694C0F">
      <w:pPr>
        <w:pStyle w:val="indexentry0"/>
      </w:pPr>
      <w:hyperlink w:anchor="section_05ab37aee14e424c808e6748b131c121">
        <w:r>
          <w:rPr>
            <w:rStyle w:val="Hyperlink"/>
          </w:rPr>
          <w:t>ink (Ink)</w:t>
        </w:r>
      </w:hyperlink>
      <w:r>
        <w:t xml:space="preserve"> </w:t>
      </w:r>
      <w:r>
        <w:fldChar w:fldCharType="begin"/>
      </w:r>
      <w:r>
        <w:instrText>PAGEREF section_05ab37aee14e424c808e6748b131c121</w:instrText>
      </w:r>
      <w:r>
        <w:fldChar w:fldCharType="separate"/>
      </w:r>
      <w:r>
        <w:rPr>
          <w:noProof/>
        </w:rPr>
        <w:t>665</w:t>
      </w:r>
      <w:r>
        <w:fldChar w:fldCharType="end"/>
      </w:r>
    </w:p>
    <w:p w:rsidR="00024C0A" w:rsidRDefault="00694C0F">
      <w:pPr>
        <w:pStyle w:val="indexentry0"/>
      </w:pPr>
      <w:hyperlink w:anchor="section_06a5cea1078b41cd8c26ef1db3ed3733">
        <w:r>
          <w:rPr>
            <w:rStyle w:val="Hyperlink"/>
          </w:rPr>
          <w:t>inkTgt (Ink Target)</w:t>
        </w:r>
      </w:hyperlink>
      <w:r>
        <w:t xml:space="preserve"> </w:t>
      </w:r>
      <w:r>
        <w:fldChar w:fldCharType="begin"/>
      </w:r>
      <w:r>
        <w:instrText>PAGEREF section_06a5cea1078b41cd8</w:instrText>
      </w:r>
      <w:r>
        <w:instrText>c26ef1db3ed3733</w:instrText>
      </w:r>
      <w:r>
        <w:fldChar w:fldCharType="separate"/>
      </w:r>
      <w:r>
        <w:rPr>
          <w:noProof/>
        </w:rPr>
        <w:t>482</w:t>
      </w:r>
      <w:r>
        <w:fldChar w:fldCharType="end"/>
      </w:r>
    </w:p>
    <w:p w:rsidR="00024C0A" w:rsidRDefault="00694C0F">
      <w:pPr>
        <w:pStyle w:val="indexentry0"/>
      </w:pPr>
      <w:hyperlink w:anchor="section_40e26c9bb6f64409b138d7f40b112d15">
        <w:r>
          <w:rPr>
            <w:rStyle w:val="Hyperlink"/>
          </w:rPr>
          <w:t>innerShdw (Inner Shadow Effect)</w:t>
        </w:r>
      </w:hyperlink>
      <w:r>
        <w:t xml:space="preserve"> </w:t>
      </w:r>
      <w:r>
        <w:fldChar w:fldCharType="begin"/>
      </w:r>
      <w:r>
        <w:instrText>PAGEREF section_40e26c9bb6f64409b138d7f40b112d15</w:instrText>
      </w:r>
      <w:r>
        <w:fldChar w:fldCharType="separate"/>
      </w:r>
      <w:r>
        <w:rPr>
          <w:noProof/>
        </w:rPr>
        <w:t>513</w:t>
      </w:r>
      <w:r>
        <w:fldChar w:fldCharType="end"/>
      </w:r>
    </w:p>
    <w:p w:rsidR="00024C0A" w:rsidRDefault="00694C0F">
      <w:pPr>
        <w:pStyle w:val="indexentry0"/>
      </w:pPr>
      <w:hyperlink w:anchor="section_2682468cc87f48c5a82bb5f915749eb0">
        <w:r>
          <w:rPr>
            <w:rStyle w:val="Hyperlink"/>
          </w:rPr>
          <w:t>inputCells (Input Cells)</w:t>
        </w:r>
      </w:hyperlink>
      <w:r>
        <w:t xml:space="preserve"> </w:t>
      </w:r>
      <w:r>
        <w:fldChar w:fldCharType="begin"/>
      </w:r>
      <w:r>
        <w:instrText>PA</w:instrText>
      </w:r>
      <w:r>
        <w:instrText>GEREF section_2682468cc87f48c5a82bb5f915749eb0</w:instrText>
      </w:r>
      <w:r>
        <w:fldChar w:fldCharType="separate"/>
      </w:r>
      <w:r>
        <w:rPr>
          <w:noProof/>
        </w:rPr>
        <w:t>263</w:t>
      </w:r>
      <w:r>
        <w:fldChar w:fldCharType="end"/>
      </w:r>
    </w:p>
    <w:p w:rsidR="00024C0A" w:rsidRDefault="00694C0F">
      <w:pPr>
        <w:pStyle w:val="indexentry0"/>
      </w:pPr>
      <w:hyperlink w:anchor="section_e0eecaacdbe94cb8a4914ad994c6976f">
        <w:r>
          <w:rPr>
            <w:rStyle w:val="Hyperlink"/>
          </w:rPr>
          <w:t>ins (Inserted Math Control Character)</w:t>
        </w:r>
      </w:hyperlink>
      <w:r>
        <w:t xml:space="preserve"> </w:t>
      </w:r>
      <w:r>
        <w:fldChar w:fldCharType="begin"/>
      </w:r>
      <w:r>
        <w:instrText>PAGEREF section_e0eecaacdbe94cb8a4914ad994c6976f</w:instrText>
      </w:r>
      <w:r>
        <w:fldChar w:fldCharType="separate"/>
      </w:r>
      <w:r>
        <w:rPr>
          <w:noProof/>
        </w:rPr>
        <w:t>136</w:t>
      </w:r>
      <w:r>
        <w:fldChar w:fldCharType="end"/>
      </w:r>
    </w:p>
    <w:p w:rsidR="00024C0A" w:rsidRDefault="00694C0F">
      <w:pPr>
        <w:pStyle w:val="indexentry0"/>
      </w:pPr>
      <w:hyperlink w:anchor="section_2e24b3f2b745464e8194e4e074058b0c">
        <w:r>
          <w:rPr>
            <w:rStyle w:val="Hyperlink"/>
          </w:rPr>
          <w:t>ins (Inserted Numbering Properties)</w:t>
        </w:r>
      </w:hyperlink>
      <w:r>
        <w:t xml:space="preserve"> </w:t>
      </w:r>
      <w:r>
        <w:fldChar w:fldCharType="begin"/>
      </w:r>
      <w:r>
        <w:instrText>PAGEREF section_2e24b3f2b745464e8194e4e074058b0c</w:instrText>
      </w:r>
      <w:r>
        <w:fldChar w:fldCharType="separate"/>
      </w:r>
      <w:r>
        <w:rPr>
          <w:noProof/>
        </w:rPr>
        <w:t>136</w:t>
      </w:r>
      <w:r>
        <w:fldChar w:fldCharType="end"/>
      </w:r>
    </w:p>
    <w:p w:rsidR="00024C0A" w:rsidRDefault="00694C0F">
      <w:pPr>
        <w:pStyle w:val="indexentry0"/>
      </w:pPr>
      <w:hyperlink w:anchor="section_1d66ba8a1eeb4cffab8aeaa79113cc89">
        <w:r>
          <w:rPr>
            <w:rStyle w:val="Hyperlink"/>
          </w:rPr>
          <w:t>ins (Inserted Paragraph)</w:t>
        </w:r>
      </w:hyperlink>
      <w:r>
        <w:t xml:space="preserve"> </w:t>
      </w:r>
      <w:r>
        <w:fldChar w:fldCharType="begin"/>
      </w:r>
      <w:r>
        <w:instrText>PAGEREF section_1</w:instrText>
      </w:r>
      <w:r>
        <w:instrText>d66ba8a1eeb4cffab8aeaa79113cc89</w:instrText>
      </w:r>
      <w:r>
        <w:fldChar w:fldCharType="separate"/>
      </w:r>
      <w:r>
        <w:rPr>
          <w:noProof/>
        </w:rPr>
        <w:t>136</w:t>
      </w:r>
      <w:r>
        <w:fldChar w:fldCharType="end"/>
      </w:r>
    </w:p>
    <w:p w:rsidR="00024C0A" w:rsidRDefault="00694C0F">
      <w:pPr>
        <w:pStyle w:val="indexentry0"/>
      </w:pPr>
      <w:hyperlink w:anchor="section_960dd70180364eedb52a774caf7075d2">
        <w:r>
          <w:rPr>
            <w:rStyle w:val="Hyperlink"/>
          </w:rPr>
          <w:t>ins (Inserted Run Content)</w:t>
        </w:r>
      </w:hyperlink>
      <w:r>
        <w:t xml:space="preserve"> </w:t>
      </w:r>
      <w:r>
        <w:fldChar w:fldCharType="begin"/>
      </w:r>
      <w:r>
        <w:instrText>PAGEREF section_960dd70180364eedb52a774caf7075d2</w:instrText>
      </w:r>
      <w:r>
        <w:fldChar w:fldCharType="separate"/>
      </w:r>
      <w:r>
        <w:rPr>
          <w:noProof/>
        </w:rPr>
        <w:t>136</w:t>
      </w:r>
      <w:r>
        <w:fldChar w:fldCharType="end"/>
      </w:r>
    </w:p>
    <w:p w:rsidR="00024C0A" w:rsidRDefault="00694C0F">
      <w:pPr>
        <w:pStyle w:val="indexentry0"/>
      </w:pPr>
      <w:hyperlink w:anchor="section_70498abcdc0b4c418e8dd1bd5044ebe6">
        <w:r>
          <w:rPr>
            <w:rStyle w:val="Hyperlink"/>
          </w:rPr>
          <w:t>ins (Inserted Tabl</w:t>
        </w:r>
        <w:r>
          <w:rPr>
            <w:rStyle w:val="Hyperlink"/>
          </w:rPr>
          <w:t>e Row)</w:t>
        </w:r>
      </w:hyperlink>
      <w:r>
        <w:t xml:space="preserve"> </w:t>
      </w:r>
      <w:r>
        <w:fldChar w:fldCharType="begin"/>
      </w:r>
      <w:r>
        <w:instrText>PAGEREF section_70498abcdc0b4c418e8dd1bd5044ebe6</w:instrText>
      </w:r>
      <w:r>
        <w:fldChar w:fldCharType="separate"/>
      </w:r>
      <w:r>
        <w:rPr>
          <w:noProof/>
        </w:rPr>
        <w:t>136</w:t>
      </w:r>
      <w:r>
        <w:fldChar w:fldCharType="end"/>
      </w:r>
    </w:p>
    <w:p w:rsidR="00024C0A" w:rsidRDefault="00694C0F">
      <w:pPr>
        <w:pStyle w:val="indexentry0"/>
      </w:pPr>
      <w:hyperlink w:anchor="section_5185d2f77b5c4e9884ff5efb17b43913">
        <w:r>
          <w:rPr>
            <w:rStyle w:val="Hyperlink"/>
          </w:rPr>
          <w:t>insideH (Table Cell Inside Horizontal Edges Border)</w:t>
        </w:r>
      </w:hyperlink>
      <w:r>
        <w:t xml:space="preserve"> </w:t>
      </w:r>
      <w:r>
        <w:fldChar w:fldCharType="begin"/>
      </w:r>
      <w:r>
        <w:instrText>PAGEREF section_5185d2f77b5c4e9884ff5efb17b43913</w:instrText>
      </w:r>
      <w:r>
        <w:fldChar w:fldCharType="separate"/>
      </w:r>
      <w:r>
        <w:rPr>
          <w:noProof/>
        </w:rPr>
        <w:t>84</w:t>
      </w:r>
      <w:r>
        <w:fldChar w:fldCharType="end"/>
      </w:r>
    </w:p>
    <w:p w:rsidR="00024C0A" w:rsidRDefault="00694C0F">
      <w:pPr>
        <w:pStyle w:val="indexentry0"/>
      </w:pPr>
      <w:hyperlink w:anchor="section_6afd824014e0455da0b3c6c90e2cde22">
        <w:r>
          <w:rPr>
            <w:rStyle w:val="Hyperlink"/>
          </w:rPr>
          <w:t>insideH (Table Inside Horizontal Edges Border)</w:t>
        </w:r>
      </w:hyperlink>
      <w:r>
        <w:t xml:space="preserve"> </w:t>
      </w:r>
      <w:r>
        <w:fldChar w:fldCharType="begin"/>
      </w:r>
      <w:r>
        <w:instrText>PAGEREF section_6afd824014e0455da0b3c6c90e2cde22</w:instrText>
      </w:r>
      <w:r>
        <w:fldChar w:fldCharType="separate"/>
      </w:r>
      <w:r>
        <w:rPr>
          <w:noProof/>
        </w:rPr>
        <w:t>84</w:t>
      </w:r>
      <w:r>
        <w:fldChar w:fldCharType="end"/>
      </w:r>
    </w:p>
    <w:p w:rsidR="00024C0A" w:rsidRDefault="00694C0F">
      <w:pPr>
        <w:pStyle w:val="indexentry0"/>
      </w:pPr>
      <w:hyperlink w:anchor="section_f1da490f467b4fb4bfd63e97f4752417">
        <w:r>
          <w:rPr>
            <w:rStyle w:val="Hyperlink"/>
          </w:rPr>
          <w:t>insideV (Table Cell Inside Vertical Edges Border)</w:t>
        </w:r>
      </w:hyperlink>
      <w:r>
        <w:t xml:space="preserve"> </w:t>
      </w:r>
      <w:r>
        <w:fldChar w:fldCharType="begin"/>
      </w:r>
      <w:r>
        <w:instrText>PAGEREF s</w:instrText>
      </w:r>
      <w:r>
        <w:instrText>ection_f1da490f467b4fb4bfd63e97f4752417</w:instrText>
      </w:r>
      <w:r>
        <w:fldChar w:fldCharType="separate"/>
      </w:r>
      <w:r>
        <w:rPr>
          <w:noProof/>
        </w:rPr>
        <w:t>84</w:t>
      </w:r>
      <w:r>
        <w:fldChar w:fldCharType="end"/>
      </w:r>
    </w:p>
    <w:p w:rsidR="00024C0A" w:rsidRDefault="00694C0F">
      <w:pPr>
        <w:pStyle w:val="indexentry0"/>
      </w:pPr>
      <w:hyperlink w:anchor="section_1225ff9613a84d70a653beb61ffebd0e">
        <w:r>
          <w:rPr>
            <w:rStyle w:val="Hyperlink"/>
          </w:rPr>
          <w:t>insideV (Table Inside Vertical Edges Border)</w:t>
        </w:r>
      </w:hyperlink>
      <w:r>
        <w:t xml:space="preserve"> </w:t>
      </w:r>
      <w:r>
        <w:fldChar w:fldCharType="begin"/>
      </w:r>
      <w:r>
        <w:instrText>PAGEREF section_1225ff9613a84d70a653beb61ffebd0e</w:instrText>
      </w:r>
      <w:r>
        <w:fldChar w:fldCharType="separate"/>
      </w:r>
      <w:r>
        <w:rPr>
          <w:noProof/>
        </w:rPr>
        <w:t>84</w:t>
      </w:r>
      <w:r>
        <w:fldChar w:fldCharType="end"/>
      </w:r>
    </w:p>
    <w:p w:rsidR="00024C0A" w:rsidRDefault="00694C0F">
      <w:pPr>
        <w:pStyle w:val="indexentry0"/>
      </w:pPr>
      <w:hyperlink w:anchor="section_fbe8422bbec94cfa872a1f0b66b534ca">
        <w:r>
          <w:rPr>
            <w:rStyle w:val="Hyperlink"/>
          </w:rPr>
          <w:t>INTERCEPT</w:t>
        </w:r>
      </w:hyperlink>
      <w:r>
        <w:t xml:space="preserve"> </w:t>
      </w:r>
      <w:r>
        <w:fldChar w:fldCharType="begin"/>
      </w:r>
      <w:r>
        <w:instrText>PAGEREF section_fbe8422bbec94cfa872a1f0b66b534ca</w:instrText>
      </w:r>
      <w:r>
        <w:fldChar w:fldCharType="separate"/>
      </w:r>
      <w:r>
        <w:rPr>
          <w:noProof/>
        </w:rPr>
        <w:t>425</w:t>
      </w:r>
      <w:r>
        <w:fldChar w:fldCharType="end"/>
      </w:r>
    </w:p>
    <w:p w:rsidR="00024C0A" w:rsidRDefault="00694C0F">
      <w:pPr>
        <w:pStyle w:val="indexentry0"/>
      </w:pPr>
      <w:hyperlink w:anchor="section_ecb7cd155c46458b9f7c016272458527">
        <w:r>
          <w:rPr>
            <w:rStyle w:val="Hyperlink"/>
          </w:rPr>
          <w:t>intercept (Intercept)</w:t>
        </w:r>
      </w:hyperlink>
      <w:r>
        <w:t xml:space="preserve"> </w:t>
      </w:r>
      <w:r>
        <w:fldChar w:fldCharType="begin"/>
      </w:r>
      <w:r>
        <w:instrText>PAGEREF section_ecb7cd155c46458b9f7c016272458527</w:instrText>
      </w:r>
      <w:r>
        <w:fldChar w:fldCharType="separate"/>
      </w:r>
      <w:r>
        <w:rPr>
          <w:noProof/>
        </w:rPr>
        <w:t>551</w:t>
      </w:r>
      <w:r>
        <w:fldChar w:fldCharType="end"/>
      </w:r>
    </w:p>
    <w:p w:rsidR="00024C0A" w:rsidRDefault="00694C0F">
      <w:pPr>
        <w:pStyle w:val="indexentry0"/>
      </w:pPr>
      <w:hyperlink w:anchor="section_d5e9192c66724b44892ca05686abc4b0">
        <w:r>
          <w:rPr>
            <w:rStyle w:val="Hyperlink"/>
          </w:rPr>
          <w:t>Interpretation</w:t>
        </w:r>
      </w:hyperlink>
      <w:r>
        <w:t xml:space="preserve"> </w:t>
      </w:r>
      <w:r>
        <w:fldChar w:fldCharType="begin"/>
      </w:r>
      <w:r>
        <w:instrText>PAGEREF section_d5e9192c66724b44892ca05686abc4b0</w:instrText>
      </w:r>
      <w:r>
        <w:fldChar w:fldCharType="separate"/>
      </w:r>
      <w:r>
        <w:rPr>
          <w:noProof/>
        </w:rPr>
        <w:t>394</w:t>
      </w:r>
      <w:r>
        <w:fldChar w:fldCharType="end"/>
      </w:r>
    </w:p>
    <w:p w:rsidR="00024C0A" w:rsidRDefault="00694C0F">
      <w:pPr>
        <w:pStyle w:val="indexentry0"/>
      </w:pPr>
      <w:hyperlink w:anchor="section_ac1def597ec641b0b012430cbf3d235b">
        <w:r>
          <w:rPr>
            <w:rStyle w:val="Hyperlink"/>
          </w:rPr>
          <w:t>interSp (Inter-Equation Spacing)</w:t>
        </w:r>
      </w:hyperlink>
      <w:r>
        <w:t xml:space="preserve"> </w:t>
      </w:r>
      <w:r>
        <w:fldChar w:fldCharType="begin"/>
      </w:r>
      <w:r>
        <w:instrText>PAGEREF section_ac1def597ec641b0b012430cbf3d235b</w:instrText>
      </w:r>
      <w:r>
        <w:fldChar w:fldCharType="separate"/>
      </w:r>
      <w:r>
        <w:rPr>
          <w:noProof/>
        </w:rPr>
        <w:t>594</w:t>
      </w:r>
      <w:r>
        <w:fldChar w:fldCharType="end"/>
      </w:r>
    </w:p>
    <w:p w:rsidR="00024C0A" w:rsidRDefault="00694C0F">
      <w:pPr>
        <w:pStyle w:val="indexentry0"/>
      </w:pPr>
      <w:hyperlink w:anchor="section_e300be7298e0421cb1c6a8d380e511a4">
        <w:r>
          <w:rPr>
            <w:rStyle w:val="Hyperlink"/>
          </w:rPr>
          <w:t>intLim (Integral Limit Locations)</w:t>
        </w:r>
      </w:hyperlink>
      <w:r>
        <w:t xml:space="preserve"> </w:t>
      </w:r>
      <w:r>
        <w:fldChar w:fldCharType="begin"/>
      </w:r>
      <w:r>
        <w:instrText>PAGEREF section_e300be7298e0421cb1c6a8d380e511a4</w:instrText>
      </w:r>
      <w:r>
        <w:fldChar w:fldCharType="separate"/>
      </w:r>
      <w:r>
        <w:rPr>
          <w:noProof/>
        </w:rPr>
        <w:t>594</w:t>
      </w:r>
      <w:r>
        <w:fldChar w:fldCharType="end"/>
      </w:r>
    </w:p>
    <w:p w:rsidR="00024C0A" w:rsidRDefault="00694C0F">
      <w:pPr>
        <w:pStyle w:val="indexentry0"/>
      </w:pPr>
      <w:hyperlink w:anchor="section_0a68ce910df044e48b4807dc432a7dee">
        <w:r>
          <w:rPr>
            <w:rStyle w:val="Hyperlink"/>
          </w:rPr>
          <w:t>intraSp (Intra-Equation Spacing)</w:t>
        </w:r>
      </w:hyperlink>
      <w:r>
        <w:t xml:space="preserve"> </w:t>
      </w:r>
      <w:r>
        <w:fldChar w:fldCharType="begin"/>
      </w:r>
      <w:r>
        <w:instrText>PAGEREF sec</w:instrText>
      </w:r>
      <w:r>
        <w:instrText>tion_0a68ce910df044e48b4807dc432a7dee</w:instrText>
      </w:r>
      <w:r>
        <w:fldChar w:fldCharType="separate"/>
      </w:r>
      <w:r>
        <w:rPr>
          <w:noProof/>
        </w:rPr>
        <w:t>594</w:t>
      </w:r>
      <w:r>
        <w:fldChar w:fldCharType="end"/>
      </w:r>
    </w:p>
    <w:p w:rsidR="00024C0A" w:rsidRDefault="00694C0F">
      <w:pPr>
        <w:pStyle w:val="indexentry0"/>
      </w:pPr>
      <w:hyperlink w:anchor="section_d8b43e5eef264b6582cb73f006020a2e">
        <w:r>
          <w:rPr>
            <w:rStyle w:val="Hyperlink"/>
          </w:rPr>
          <w:t>INTRATE</w:t>
        </w:r>
      </w:hyperlink>
      <w:r>
        <w:t xml:space="preserve"> </w:t>
      </w:r>
      <w:r>
        <w:fldChar w:fldCharType="begin"/>
      </w:r>
      <w:r>
        <w:instrText>PAGEREF section_d8b43e5eef264b6582cb73f006020a2e</w:instrText>
      </w:r>
      <w:r>
        <w:fldChar w:fldCharType="separate"/>
      </w:r>
      <w:r>
        <w:rPr>
          <w:noProof/>
        </w:rPr>
        <w:t>425</w:t>
      </w:r>
      <w:r>
        <w:fldChar w:fldCharType="end"/>
      </w:r>
    </w:p>
    <w:p w:rsidR="00024C0A" w:rsidRDefault="00694C0F">
      <w:pPr>
        <w:pStyle w:val="indexentry0"/>
      </w:pPr>
      <w:r>
        <w:t>Introduction (</w:t>
      </w:r>
      <w:hyperlink w:anchor="section_cc8df712c9b7445087ba208fd1079a2a">
        <w:r>
          <w:rPr>
            <w:rStyle w:val="Hyperlink"/>
          </w:rPr>
          <w:t>section 1</w:t>
        </w:r>
      </w:hyperlink>
      <w:r>
        <w:t xml:space="preserve"> </w:t>
      </w:r>
      <w:r>
        <w:fldChar w:fldCharType="begin"/>
      </w:r>
      <w:r>
        <w:instrText>PAGER</w:instrText>
      </w:r>
      <w:r>
        <w:instrText>EF section_cc8df712c9b7445087ba208fd1079a2a</w:instrText>
      </w:r>
      <w:r>
        <w:fldChar w:fldCharType="separate"/>
      </w:r>
      <w:r>
        <w:rPr>
          <w:noProof/>
        </w:rPr>
        <w:t>43</w:t>
      </w:r>
      <w:r>
        <w:fldChar w:fldCharType="end"/>
      </w:r>
      <w:r>
        <w:t xml:space="preserve">, </w:t>
      </w:r>
      <w:hyperlink w:anchor="section_d107771466614178b6dfaa3272635214">
        <w:r>
          <w:rPr>
            <w:rStyle w:val="Hyperlink"/>
          </w:rPr>
          <w:t>section 3.8.1</w:t>
        </w:r>
      </w:hyperlink>
      <w:r>
        <w:t xml:space="preserve"> </w:t>
      </w:r>
      <w:r>
        <w:fldChar w:fldCharType="begin"/>
      </w:r>
      <w:r>
        <w:instrText>PAGEREF section_d107771466614178b6dfaa3272635214</w:instrText>
      </w:r>
      <w:r>
        <w:fldChar w:fldCharType="separate"/>
      </w:r>
      <w:r>
        <w:rPr>
          <w:noProof/>
        </w:rPr>
        <w:t>887</w:t>
      </w:r>
      <w:r>
        <w:fldChar w:fldCharType="end"/>
      </w:r>
      <w:r>
        <w:t>)</w:t>
      </w:r>
    </w:p>
    <w:p w:rsidR="00024C0A" w:rsidRDefault="00694C0F">
      <w:pPr>
        <w:pStyle w:val="indexentry0"/>
      </w:pPr>
      <w:hyperlink w:anchor="section_c26d486fa3ba4b87bcc18e10062f4c2f">
        <w:r>
          <w:rPr>
            <w:rStyle w:val="Hyperlink"/>
          </w:rPr>
          <w:t xml:space="preserve">invertIfNegative </w:t>
        </w:r>
        <w:r>
          <w:rPr>
            <w:rStyle w:val="Hyperlink"/>
          </w:rPr>
          <w:t>(Invert if Negative)</w:t>
        </w:r>
      </w:hyperlink>
      <w:r>
        <w:t xml:space="preserve"> </w:t>
      </w:r>
      <w:r>
        <w:fldChar w:fldCharType="begin"/>
      </w:r>
      <w:r>
        <w:instrText>PAGEREF section_c26d486fa3ba4b87bcc18e10062f4c2f</w:instrText>
      </w:r>
      <w:r>
        <w:fldChar w:fldCharType="separate"/>
      </w:r>
      <w:r>
        <w:rPr>
          <w:noProof/>
        </w:rPr>
        <w:t>551</w:t>
      </w:r>
      <w:r>
        <w:fldChar w:fldCharType="end"/>
      </w:r>
    </w:p>
    <w:p w:rsidR="00024C0A" w:rsidRDefault="00694C0F">
      <w:pPr>
        <w:pStyle w:val="indexentry0"/>
      </w:pPr>
      <w:hyperlink w:anchor="section_5c0583c254594b569657c94fb48dc600">
        <w:r>
          <w:rPr>
            <w:rStyle w:val="Hyperlink"/>
          </w:rPr>
          <w:t>IPMT</w:t>
        </w:r>
      </w:hyperlink>
      <w:r>
        <w:t xml:space="preserve"> </w:t>
      </w:r>
      <w:r>
        <w:fldChar w:fldCharType="begin"/>
      </w:r>
      <w:r>
        <w:instrText>PAGEREF section_5c0583c254594b569657c94fb48dc600</w:instrText>
      </w:r>
      <w:r>
        <w:fldChar w:fldCharType="separate"/>
      </w:r>
      <w:r>
        <w:rPr>
          <w:noProof/>
        </w:rPr>
        <w:t>426</w:t>
      </w:r>
      <w:r>
        <w:fldChar w:fldCharType="end"/>
      </w:r>
    </w:p>
    <w:p w:rsidR="00024C0A" w:rsidRDefault="00694C0F">
      <w:pPr>
        <w:pStyle w:val="indexentry0"/>
      </w:pPr>
      <w:hyperlink w:anchor="section_992887335f9f42e68e61ab6cea01a0d3">
        <w:r>
          <w:rPr>
            <w:rStyle w:val="Hyperlink"/>
          </w:rPr>
          <w:t>IRR</w:t>
        </w:r>
      </w:hyperlink>
      <w:r>
        <w:t xml:space="preserve"> </w:t>
      </w:r>
      <w:r>
        <w:fldChar w:fldCharType="begin"/>
      </w:r>
      <w:r>
        <w:instrText>PAGEREF section_992887335f9f42e68e61ab6cea01a0d3</w:instrText>
      </w:r>
      <w:r>
        <w:fldChar w:fldCharType="separate"/>
      </w:r>
      <w:r>
        <w:rPr>
          <w:noProof/>
        </w:rPr>
        <w:t>427</w:t>
      </w:r>
      <w:r>
        <w:fldChar w:fldCharType="end"/>
      </w:r>
    </w:p>
    <w:p w:rsidR="00024C0A" w:rsidRDefault="00694C0F">
      <w:pPr>
        <w:pStyle w:val="indexentry0"/>
      </w:pPr>
      <w:hyperlink w:anchor="section_76b69cb6d97e4dd28106a823c4e65d0c">
        <w:r>
          <w:rPr>
            <w:rStyle w:val="Hyperlink"/>
          </w:rPr>
          <w:t>is (Rich Text Inline)</w:t>
        </w:r>
      </w:hyperlink>
      <w:r>
        <w:t xml:space="preserve"> </w:t>
      </w:r>
      <w:r>
        <w:fldChar w:fldCharType="begin"/>
      </w:r>
      <w:r>
        <w:instrText>PAGEREF section_76b69cb6d97e4dd28106a823c4e65d0c</w:instrText>
      </w:r>
      <w:r>
        <w:fldChar w:fldCharType="separate"/>
      </w:r>
      <w:r>
        <w:rPr>
          <w:noProof/>
        </w:rPr>
        <w:t>263</w:t>
      </w:r>
      <w:r>
        <w:fldChar w:fldCharType="end"/>
      </w:r>
    </w:p>
    <w:p w:rsidR="00024C0A" w:rsidRDefault="00694C0F">
      <w:pPr>
        <w:pStyle w:val="indexentry0"/>
      </w:pPr>
      <w:hyperlink w:anchor="section_0953b25e15cc4461a50ecc5d8585f6ff">
        <w:r>
          <w:rPr>
            <w:rStyle w:val="Hyperlink"/>
          </w:rPr>
          <w:t>isLgl (Display All Levels Using Arabic Numerals)</w:t>
        </w:r>
      </w:hyperlink>
      <w:r>
        <w:t xml:space="preserve"> </w:t>
      </w:r>
      <w:r>
        <w:fldChar w:fldCharType="begin"/>
      </w:r>
      <w:r>
        <w:instrText>PAGEREF section_0953b25e15cc4461a50ecc5d8585f6ff</w:instrText>
      </w:r>
      <w:r>
        <w:fldChar w:fldCharType="separate"/>
      </w:r>
      <w:r>
        <w:rPr>
          <w:noProof/>
        </w:rPr>
        <w:t>123</w:t>
      </w:r>
      <w:r>
        <w:fldChar w:fldCharType="end"/>
      </w:r>
    </w:p>
    <w:p w:rsidR="00024C0A" w:rsidRDefault="00694C0F">
      <w:pPr>
        <w:pStyle w:val="indexentry0"/>
      </w:pPr>
      <w:hyperlink w:anchor="section_6edcb9784bd74a0f9e33b455b813dfa7">
        <w:r>
          <w:rPr>
            <w:rStyle w:val="Hyperlink"/>
          </w:rPr>
          <w:t>ISPMT</w:t>
        </w:r>
      </w:hyperlink>
      <w:r>
        <w:t xml:space="preserve"> </w:t>
      </w:r>
      <w:r>
        <w:fldChar w:fldCharType="begin"/>
      </w:r>
      <w:r>
        <w:instrText>PAGEREF section_6edcb9784bd74a0f9e33b455b813dfa7</w:instrText>
      </w:r>
      <w:r>
        <w:fldChar w:fldCharType="separate"/>
      </w:r>
      <w:r>
        <w:rPr>
          <w:noProof/>
        </w:rPr>
        <w:t>427</w:t>
      </w:r>
      <w:r>
        <w:fldChar w:fldCharType="end"/>
      </w:r>
    </w:p>
    <w:p w:rsidR="00024C0A" w:rsidRDefault="00694C0F">
      <w:pPr>
        <w:pStyle w:val="indexentry0"/>
      </w:pPr>
      <w:hyperlink w:anchor="section_ff55420d79e34576a52022578daf0e91">
        <w:r>
          <w:rPr>
            <w:rStyle w:val="Hyperlink"/>
          </w:rPr>
          <w:t>item (PivotTable Field Item)</w:t>
        </w:r>
      </w:hyperlink>
      <w:r>
        <w:t xml:space="preserve"> </w:t>
      </w:r>
      <w:r>
        <w:fldChar w:fldCharType="begin"/>
      </w:r>
      <w:r>
        <w:instrText>PAGEREF section_ff55420d79e34576a52022578daf0e91</w:instrText>
      </w:r>
      <w:r>
        <w:fldChar w:fldCharType="separate"/>
      </w:r>
      <w:r>
        <w:rPr>
          <w:noProof/>
        </w:rPr>
        <w:t>336</w:t>
      </w:r>
      <w:r>
        <w:fldChar w:fldCharType="end"/>
      </w:r>
    </w:p>
    <w:p w:rsidR="00024C0A" w:rsidRDefault="00694C0F">
      <w:pPr>
        <w:pStyle w:val="indexentry0"/>
      </w:pPr>
      <w:hyperlink w:anchor="section_8c5ed3f97cb44debb3b968dd78fc4177">
        <w:r>
          <w:rPr>
            <w:rStyle w:val="Hyperlink"/>
          </w:rPr>
          <w:t>items (Field Items)</w:t>
        </w:r>
      </w:hyperlink>
      <w:r>
        <w:t xml:space="preserve"> </w:t>
      </w:r>
      <w:r>
        <w:fldChar w:fldCharType="begin"/>
      </w:r>
      <w:r>
        <w:instrText>PAGEREF section_8c5ed3f97cb44debb3b968dd78fc4177</w:instrText>
      </w:r>
      <w:r>
        <w:fldChar w:fldCharType="separate"/>
      </w:r>
      <w:r>
        <w:rPr>
          <w:noProof/>
        </w:rPr>
        <w:t>337</w:t>
      </w:r>
      <w:r>
        <w:fldChar w:fldCharType="end"/>
      </w:r>
    </w:p>
    <w:p w:rsidR="00024C0A" w:rsidRDefault="00694C0F">
      <w:pPr>
        <w:pStyle w:val="indexentry0"/>
      </w:pPr>
      <w:hyperlink w:anchor="section_b0d3dac175dd42128c7daf9f432b5c24">
        <w:r>
          <w:rPr>
            <w:rStyle w:val="Hyperlink"/>
          </w:rPr>
          <w:t>iterate (Iterate)</w:t>
        </w:r>
      </w:hyperlink>
      <w:r>
        <w:t xml:space="preserve"> </w:t>
      </w:r>
      <w:r>
        <w:fldChar w:fldCharType="begin"/>
      </w:r>
      <w:r>
        <w:instrText>PAGEREF section_b0d3dac175dd42128c7daf9f432b5c24</w:instrText>
      </w:r>
      <w:r>
        <w:fldChar w:fldCharType="separate"/>
      </w:r>
      <w:r>
        <w:rPr>
          <w:noProof/>
        </w:rPr>
        <w:t>483</w:t>
      </w:r>
      <w:r>
        <w:fldChar w:fldCharType="end"/>
      </w:r>
    </w:p>
    <w:p w:rsidR="00024C0A" w:rsidRDefault="00024C0A">
      <w:pPr>
        <w:spacing w:before="0" w:after="0"/>
        <w:rPr>
          <w:sz w:val="16"/>
        </w:rPr>
      </w:pPr>
    </w:p>
    <w:p w:rsidR="00024C0A" w:rsidRDefault="00694C0F">
      <w:pPr>
        <w:pStyle w:val="indexheader"/>
      </w:pPr>
      <w:r>
        <w:t>J</w:t>
      </w:r>
    </w:p>
    <w:p w:rsidR="00024C0A" w:rsidRDefault="00024C0A">
      <w:pPr>
        <w:spacing w:before="0" w:after="0"/>
        <w:rPr>
          <w:sz w:val="16"/>
        </w:rPr>
      </w:pPr>
    </w:p>
    <w:p w:rsidR="00024C0A" w:rsidRDefault="00694C0F">
      <w:pPr>
        <w:pStyle w:val="indexentry0"/>
      </w:pPr>
      <w:hyperlink w:anchor="section_6d78a918a0224b93b9a3e4f85ff43e00">
        <w:r>
          <w:rPr>
            <w:rStyle w:val="Hyperlink"/>
          </w:rPr>
          <w:t>jc (Justification)</w:t>
        </w:r>
      </w:hyperlink>
      <w:r>
        <w:t xml:space="preserve"> </w:t>
      </w:r>
      <w:r>
        <w:fldChar w:fldCharType="begin"/>
      </w:r>
      <w:r>
        <w:instrText>PAGEREF section_6d78a918a0224b93b9a3e4f85ff43e</w:instrText>
      </w:r>
      <w:r>
        <w:instrText>00</w:instrText>
      </w:r>
      <w:r>
        <w:fldChar w:fldCharType="separate"/>
      </w:r>
      <w:r>
        <w:rPr>
          <w:noProof/>
        </w:rPr>
        <w:t>594</w:t>
      </w:r>
      <w:r>
        <w:fldChar w:fldCharType="end"/>
      </w:r>
    </w:p>
    <w:p w:rsidR="00024C0A" w:rsidRDefault="00694C0F">
      <w:pPr>
        <w:pStyle w:val="indexentry0"/>
      </w:pPr>
      <w:hyperlink w:anchor="section_7e29304230364d9baaaa1cc714554db0">
        <w:r>
          <w:rPr>
            <w:rStyle w:val="Hyperlink"/>
          </w:rPr>
          <w:t>jc (Paragraph Alignment)</w:t>
        </w:r>
      </w:hyperlink>
      <w:r>
        <w:t xml:space="preserve"> </w:t>
      </w:r>
      <w:r>
        <w:fldChar w:fldCharType="begin"/>
      </w:r>
      <w:r>
        <w:instrText>PAGEREF section_7e29304230364d9baaaa1cc714554db0</w:instrText>
      </w:r>
      <w:r>
        <w:fldChar w:fldCharType="separate"/>
      </w:r>
      <w:r>
        <w:rPr>
          <w:noProof/>
        </w:rPr>
        <w:t>64</w:t>
      </w:r>
      <w:r>
        <w:fldChar w:fldCharType="end"/>
      </w:r>
    </w:p>
    <w:p w:rsidR="00024C0A" w:rsidRDefault="00694C0F">
      <w:pPr>
        <w:pStyle w:val="indexentry0"/>
      </w:pPr>
      <w:hyperlink w:anchor="section_965040fb3191460bb92da50fa1e5d441">
        <w:r>
          <w:rPr>
            <w:rStyle w:val="Hyperlink"/>
          </w:rPr>
          <w:t>jc (Table Alignment Exception)</w:t>
        </w:r>
      </w:hyperlink>
      <w:r>
        <w:t xml:space="preserve"> </w:t>
      </w:r>
      <w:r>
        <w:fldChar w:fldCharType="begin"/>
      </w:r>
      <w:r>
        <w:instrText>PAGEREF section_</w:instrText>
      </w:r>
      <w:r>
        <w:instrText>965040fb3191460bb92da50fa1e5d441</w:instrText>
      </w:r>
      <w:r>
        <w:fldChar w:fldCharType="separate"/>
      </w:r>
      <w:r>
        <w:rPr>
          <w:noProof/>
        </w:rPr>
        <w:t>84</w:t>
      </w:r>
      <w:r>
        <w:fldChar w:fldCharType="end"/>
      </w:r>
    </w:p>
    <w:p w:rsidR="00024C0A" w:rsidRDefault="00694C0F">
      <w:pPr>
        <w:pStyle w:val="indexentry0"/>
      </w:pPr>
      <w:hyperlink w:anchor="section_ae3c5af0e77f4428ba4162f8fd5fc7c6">
        <w:r>
          <w:rPr>
            <w:rStyle w:val="Hyperlink"/>
          </w:rPr>
          <w:t>jc (Table Alignment)</w:t>
        </w:r>
      </w:hyperlink>
      <w:r>
        <w:t xml:space="preserve"> </w:t>
      </w:r>
      <w:r>
        <w:fldChar w:fldCharType="begin"/>
      </w:r>
      <w:r>
        <w:instrText>PAGEREF section_ae3c5af0e77f4428ba4162f8fd5fc7c6</w:instrText>
      </w:r>
      <w:r>
        <w:fldChar w:fldCharType="separate"/>
      </w:r>
      <w:r>
        <w:rPr>
          <w:noProof/>
        </w:rPr>
        <w:t>84</w:t>
      </w:r>
      <w:r>
        <w:fldChar w:fldCharType="end"/>
      </w:r>
    </w:p>
    <w:p w:rsidR="00024C0A" w:rsidRDefault="00694C0F">
      <w:pPr>
        <w:pStyle w:val="indexentry0"/>
      </w:pPr>
      <w:hyperlink w:anchor="section_e28be190a4304bd5a38b7145b3d6afe5">
        <w:r>
          <w:rPr>
            <w:rStyle w:val="Hyperlink"/>
          </w:rPr>
          <w:t>jc (Table Row Alignment)</w:t>
        </w:r>
      </w:hyperlink>
      <w:r>
        <w:t xml:space="preserve"> </w:t>
      </w:r>
      <w:r>
        <w:fldChar w:fldCharType="begin"/>
      </w:r>
      <w:r>
        <w:instrText>PAGEREF section_e28be190a4304bd5a38b7145b3d6afe5</w:instrText>
      </w:r>
      <w:r>
        <w:fldChar w:fldCharType="separate"/>
      </w:r>
      <w:r>
        <w:rPr>
          <w:noProof/>
        </w:rPr>
        <w:t>84</w:t>
      </w:r>
      <w:r>
        <w:fldChar w:fldCharType="end"/>
      </w:r>
    </w:p>
    <w:p w:rsidR="00024C0A" w:rsidRDefault="00024C0A">
      <w:pPr>
        <w:spacing w:before="0" w:after="0"/>
        <w:rPr>
          <w:sz w:val="16"/>
        </w:rPr>
      </w:pPr>
    </w:p>
    <w:p w:rsidR="00024C0A" w:rsidRDefault="00694C0F">
      <w:pPr>
        <w:pStyle w:val="indexheader"/>
      </w:pPr>
      <w:r>
        <w:t>K</w:t>
      </w:r>
    </w:p>
    <w:p w:rsidR="00024C0A" w:rsidRDefault="00024C0A">
      <w:pPr>
        <w:spacing w:before="0" w:after="0"/>
        <w:rPr>
          <w:sz w:val="16"/>
        </w:rPr>
      </w:pPr>
    </w:p>
    <w:p w:rsidR="00024C0A" w:rsidRDefault="00694C0F">
      <w:pPr>
        <w:pStyle w:val="indexentry0"/>
      </w:pPr>
      <w:hyperlink w:anchor="section_72e746c537b0480d9e663a179f03e108">
        <w:r>
          <w:rPr>
            <w:rStyle w:val="Hyperlink"/>
          </w:rPr>
          <w:t>k (KPI MDX Metadata)</w:t>
        </w:r>
      </w:hyperlink>
      <w:r>
        <w:t xml:space="preserve"> </w:t>
      </w:r>
      <w:r>
        <w:fldChar w:fldCharType="begin"/>
      </w:r>
      <w:r>
        <w:instrText>PAGEREF section_72e746c537b0480d9e663a179f03e108</w:instrText>
      </w:r>
      <w:r>
        <w:fldChar w:fldCharType="separate"/>
      </w:r>
      <w:r>
        <w:rPr>
          <w:noProof/>
        </w:rPr>
        <w:t>313</w:t>
      </w:r>
      <w:r>
        <w:fldChar w:fldCharType="end"/>
      </w:r>
    </w:p>
    <w:p w:rsidR="00024C0A" w:rsidRDefault="00694C0F">
      <w:pPr>
        <w:pStyle w:val="indexentry0"/>
      </w:pPr>
      <w:hyperlink w:anchor="section_6229412bf0c64019aabd260ee2f4145f">
        <w:r>
          <w:rPr>
            <w:rStyle w:val="Hyperlink"/>
          </w:rPr>
          <w:t>keepLines (Keep All Lines On One Page)</w:t>
        </w:r>
      </w:hyperlink>
      <w:r>
        <w:t xml:space="preserve"> </w:t>
      </w:r>
      <w:r>
        <w:fldChar w:fldCharType="begin"/>
      </w:r>
      <w:r>
        <w:instrText>PAGEREF section_6229412bf0c64019aabd260ee2f4145f</w:instrText>
      </w:r>
      <w:r>
        <w:fldChar w:fldCharType="separate"/>
      </w:r>
      <w:r>
        <w:rPr>
          <w:noProof/>
        </w:rPr>
        <w:t>64</w:t>
      </w:r>
      <w:r>
        <w:fldChar w:fldCharType="end"/>
      </w:r>
    </w:p>
    <w:p w:rsidR="00024C0A" w:rsidRDefault="00694C0F">
      <w:pPr>
        <w:pStyle w:val="indexentry0"/>
      </w:pPr>
      <w:hyperlink w:anchor="section_f04d9c4e29ef45e18de4de8701e7b796">
        <w:r>
          <w:rPr>
            <w:rStyle w:val="Hyperlink"/>
          </w:rPr>
          <w:t>kern (Font Kerning)</w:t>
        </w:r>
      </w:hyperlink>
      <w:r>
        <w:t xml:space="preserve"> </w:t>
      </w:r>
      <w:r>
        <w:fldChar w:fldCharType="begin"/>
      </w:r>
      <w:r>
        <w:instrText>PAGEREF section_f04d9c4e29ef45e18de4de8701e7b796</w:instrText>
      </w:r>
      <w:r>
        <w:fldChar w:fldCharType="separate"/>
      </w:r>
      <w:r>
        <w:rPr>
          <w:noProof/>
        </w:rPr>
        <w:t>72</w:t>
      </w:r>
      <w:r>
        <w:fldChar w:fldCharType="end"/>
      </w:r>
    </w:p>
    <w:p w:rsidR="00024C0A" w:rsidRDefault="00694C0F">
      <w:pPr>
        <w:pStyle w:val="indexentry0"/>
      </w:pPr>
      <w:hyperlink w:anchor="section_c4ba3f99a9684ad8ad70e7c38fa2e504">
        <w:r>
          <w:rPr>
            <w:rStyle w:val="Hyperlink"/>
          </w:rPr>
          <w:t>Keyboard and Toolbar Customizations</w:t>
        </w:r>
      </w:hyperlink>
      <w:r>
        <w:t xml:space="preserve"> </w:t>
      </w:r>
      <w:r>
        <w:fldChar w:fldCharType="begin"/>
      </w:r>
      <w:r>
        <w:instrText>PAGEREF section_c4ba3f99a9684ad8ad70e7c38fa2e504</w:instrText>
      </w:r>
      <w:r>
        <w:fldChar w:fldCharType="separate"/>
      </w:r>
      <w:r>
        <w:rPr>
          <w:noProof/>
        </w:rPr>
        <w:t>687</w:t>
      </w:r>
      <w:r>
        <w:fldChar w:fldCharType="end"/>
      </w:r>
    </w:p>
    <w:p w:rsidR="00024C0A" w:rsidRDefault="00694C0F">
      <w:pPr>
        <w:pStyle w:val="indexentry0"/>
      </w:pPr>
      <w:hyperlink w:anchor="section_d44dbd45cbbb4efba0903a85141d00fc">
        <w:r>
          <w:rPr>
            <w:rStyle w:val="Hyperlink"/>
          </w:rPr>
          <w:t>keymap (Key Map Entry)</w:t>
        </w:r>
      </w:hyperlink>
      <w:r>
        <w:t xml:space="preserve"> </w:t>
      </w:r>
      <w:r>
        <w:fldChar w:fldCharType="begin"/>
      </w:r>
      <w:r>
        <w:instrText>PAGEREF section_d44dbd45cbbb4efba0903a85141d00fc</w:instrText>
      </w:r>
      <w:r>
        <w:fldChar w:fldCharType="separate"/>
      </w:r>
      <w:r>
        <w:rPr>
          <w:noProof/>
        </w:rPr>
        <w:t>693</w:t>
      </w:r>
      <w:r>
        <w:fldChar w:fldCharType="end"/>
      </w:r>
    </w:p>
    <w:p w:rsidR="00024C0A" w:rsidRDefault="00694C0F">
      <w:pPr>
        <w:pStyle w:val="indexentry0"/>
      </w:pPr>
      <w:hyperlink w:anchor="section_3e58e134a06a484aa45fd1bf83668891">
        <w:r>
          <w:rPr>
            <w:rStyle w:val="Hyperlink"/>
          </w:rPr>
          <w:t>keymaps (Key Map Customizations)</w:t>
        </w:r>
      </w:hyperlink>
      <w:r>
        <w:t xml:space="preserve"> </w:t>
      </w:r>
      <w:r>
        <w:fldChar w:fldCharType="begin"/>
      </w:r>
      <w:r>
        <w:instrText>PAGEREF section_3e58e134a06a484aa45fd1bf83668891</w:instrText>
      </w:r>
      <w:r>
        <w:fldChar w:fldCharType="separate"/>
      </w:r>
      <w:r>
        <w:rPr>
          <w:noProof/>
        </w:rPr>
        <w:t>696</w:t>
      </w:r>
      <w:r>
        <w:fldChar w:fldCharType="end"/>
      </w:r>
    </w:p>
    <w:p w:rsidR="00024C0A" w:rsidRDefault="00694C0F">
      <w:pPr>
        <w:pStyle w:val="indexentry0"/>
      </w:pPr>
      <w:hyperlink w:anchor="section_c29a6b7a6315489f855aa807e12b712d">
        <w:r>
          <w:rPr>
            <w:rStyle w:val="Hyperlink"/>
          </w:rPr>
          <w:t>keymapsBad (Key Map Customizations for Mismatched Keyboards)</w:t>
        </w:r>
      </w:hyperlink>
      <w:r>
        <w:t xml:space="preserve"> </w:t>
      </w:r>
      <w:r>
        <w:fldChar w:fldCharType="begin"/>
      </w:r>
      <w:r>
        <w:instrText>PAGEREF section_c29a6b7a6315489f855aa807e12b712d</w:instrText>
      </w:r>
      <w:r>
        <w:fldChar w:fldCharType="separate"/>
      </w:r>
      <w:r>
        <w:rPr>
          <w:noProof/>
        </w:rPr>
        <w:t>697</w:t>
      </w:r>
      <w:r>
        <w:fldChar w:fldCharType="end"/>
      </w:r>
    </w:p>
    <w:p w:rsidR="00024C0A" w:rsidRDefault="00694C0F">
      <w:pPr>
        <w:pStyle w:val="indexentry0"/>
      </w:pPr>
      <w:hyperlink w:anchor="section_20e5dd1b37474a47b717c2c69ecc77db">
        <w:r>
          <w:rPr>
            <w:rStyle w:val="Hyperlink"/>
          </w:rPr>
          <w:t>KEYWORDS</w:t>
        </w:r>
      </w:hyperlink>
      <w:r>
        <w:t xml:space="preserve"> </w:t>
      </w:r>
      <w:r>
        <w:fldChar w:fldCharType="begin"/>
      </w:r>
      <w:r>
        <w:instrText>PAGEREF section_20e5dd1b37474a47b717c2c69ecc77db</w:instrText>
      </w:r>
      <w:r>
        <w:fldChar w:fldCharType="separate"/>
      </w:r>
      <w:r>
        <w:rPr>
          <w:noProof/>
        </w:rPr>
        <w:t>216</w:t>
      </w:r>
      <w:r>
        <w:fldChar w:fldCharType="end"/>
      </w:r>
    </w:p>
    <w:p w:rsidR="00024C0A" w:rsidRDefault="00694C0F">
      <w:pPr>
        <w:pStyle w:val="indexentry0"/>
      </w:pPr>
      <w:hyperlink w:anchor="section_c02a5399b3584f4e8e42ad4fbb0e5261">
        <w:r>
          <w:rPr>
            <w:rStyle w:val="Hyperlink"/>
          </w:rPr>
          <w:t>kinsoku (Kinsoku Settings)</w:t>
        </w:r>
      </w:hyperlink>
      <w:r>
        <w:t xml:space="preserve"> </w:t>
      </w:r>
      <w:r>
        <w:fldChar w:fldCharType="begin"/>
      </w:r>
      <w:r>
        <w:instrText>PAGEREF section_c02a5399b3584f4e8e42ad4fbb0e5261</w:instrText>
      </w:r>
      <w:r>
        <w:fldChar w:fldCharType="separate"/>
      </w:r>
      <w:r>
        <w:rPr>
          <w:noProof/>
        </w:rPr>
        <w:t>460</w:t>
      </w:r>
      <w:r>
        <w:fldChar w:fldCharType="end"/>
      </w:r>
    </w:p>
    <w:p w:rsidR="00024C0A" w:rsidRDefault="00694C0F">
      <w:pPr>
        <w:pStyle w:val="indexentry0"/>
      </w:pPr>
      <w:hyperlink w:anchor="section_84486937c3e44d37867268892080944d">
        <w:r>
          <w:rPr>
            <w:rStyle w:val="Hyperlink"/>
          </w:rPr>
          <w:t>kinsoku (Use East Asian Typography Rules for First and Last Character per Line)</w:t>
        </w:r>
      </w:hyperlink>
      <w:r>
        <w:t xml:space="preserve"> </w:t>
      </w:r>
      <w:r>
        <w:fldChar w:fldCharType="begin"/>
      </w:r>
      <w:r>
        <w:instrText>PAGEREF section_84486937c3e44d37867268892080944d</w:instrText>
      </w:r>
      <w:r>
        <w:fldChar w:fldCharType="separate"/>
      </w:r>
      <w:r>
        <w:rPr>
          <w:noProof/>
        </w:rPr>
        <w:t>64</w:t>
      </w:r>
      <w:r>
        <w:fldChar w:fldCharType="end"/>
      </w:r>
    </w:p>
    <w:p w:rsidR="00024C0A" w:rsidRDefault="00694C0F">
      <w:pPr>
        <w:pStyle w:val="indexentry0"/>
      </w:pPr>
      <w:hyperlink w:anchor="section_e047f66586f44768a4b69bc5bda62613">
        <w:r>
          <w:rPr>
            <w:rStyle w:val="Hyperlink"/>
          </w:rPr>
          <w:t>kpi (OLAP KPI)</w:t>
        </w:r>
      </w:hyperlink>
      <w:r>
        <w:t xml:space="preserve"> </w:t>
      </w:r>
      <w:r>
        <w:fldChar w:fldCharType="begin"/>
      </w:r>
      <w:r>
        <w:instrText>PAGEREF section_e047f66586f44768a4b69bc5bda6</w:instrText>
      </w:r>
      <w:r>
        <w:instrText>2613</w:instrText>
      </w:r>
      <w:r>
        <w:fldChar w:fldCharType="separate"/>
      </w:r>
      <w:r>
        <w:rPr>
          <w:noProof/>
        </w:rPr>
        <w:t>337</w:t>
      </w:r>
      <w:r>
        <w:fldChar w:fldCharType="end"/>
      </w:r>
    </w:p>
    <w:p w:rsidR="00024C0A" w:rsidRDefault="00024C0A">
      <w:pPr>
        <w:spacing w:before="0" w:after="0"/>
        <w:rPr>
          <w:sz w:val="16"/>
        </w:rPr>
      </w:pPr>
    </w:p>
    <w:p w:rsidR="00024C0A" w:rsidRDefault="00694C0F">
      <w:pPr>
        <w:pStyle w:val="indexheader"/>
      </w:pPr>
      <w:r>
        <w:t>L</w:t>
      </w:r>
    </w:p>
    <w:p w:rsidR="00024C0A" w:rsidRDefault="00024C0A">
      <w:pPr>
        <w:spacing w:before="0" w:after="0"/>
        <w:rPr>
          <w:sz w:val="16"/>
        </w:rPr>
      </w:pPr>
    </w:p>
    <w:p w:rsidR="00024C0A" w:rsidRDefault="00694C0F">
      <w:pPr>
        <w:pStyle w:val="indexentry0"/>
      </w:pPr>
      <w:hyperlink w:anchor="section_3e1acc92ae7a4b3db0f756fc7fb20389">
        <w:r>
          <w:rPr>
            <w:rStyle w:val="Hyperlink"/>
          </w:rPr>
          <w:t>label (Form Field Label)</w:t>
        </w:r>
      </w:hyperlink>
      <w:r>
        <w:t xml:space="preserve"> </w:t>
      </w:r>
      <w:r>
        <w:fldChar w:fldCharType="begin"/>
      </w:r>
      <w:r>
        <w:instrText>PAGEREF section_3e1acc92ae7a4b3db0f756fc7fb20389</w:instrText>
      </w:r>
      <w:r>
        <w:fldChar w:fldCharType="separate"/>
      </w:r>
      <w:r>
        <w:rPr>
          <w:noProof/>
        </w:rPr>
        <w:t>226</w:t>
      </w:r>
      <w:r>
        <w:fldChar w:fldCharType="end"/>
      </w:r>
    </w:p>
    <w:p w:rsidR="00024C0A" w:rsidRDefault="00694C0F">
      <w:pPr>
        <w:pStyle w:val="indexentry0"/>
      </w:pPr>
      <w:hyperlink w:anchor="section_9105ab06e3984c73a1484b3b02dc0a3f">
        <w:r>
          <w:rPr>
            <w:rStyle w:val="Hyperlink"/>
          </w:rPr>
          <w:t>label (Structured Document Tag Label)</w:t>
        </w:r>
      </w:hyperlink>
      <w:r>
        <w:t xml:space="preserve"> </w:t>
      </w:r>
      <w:r>
        <w:fldChar w:fldCharType="begin"/>
      </w:r>
      <w:r>
        <w:instrText>PAG</w:instrText>
      </w:r>
      <w:r>
        <w:instrText>EREF section_9105ab06e3984c73a1484b3b02dc0a3f</w:instrText>
      </w:r>
      <w:r>
        <w:fldChar w:fldCharType="separate"/>
      </w:r>
      <w:r>
        <w:rPr>
          <w:noProof/>
        </w:rPr>
        <w:t>97</w:t>
      </w:r>
      <w:r>
        <w:fldChar w:fldCharType="end"/>
      </w:r>
    </w:p>
    <w:p w:rsidR="00024C0A" w:rsidRDefault="00694C0F">
      <w:pPr>
        <w:pStyle w:val="indexentry0"/>
      </w:pPr>
      <w:hyperlink w:anchor="section_40c5a8d11e3e43dca5b0f324ea36bac1">
        <w:r>
          <w:rPr>
            <w:rStyle w:val="Hyperlink"/>
          </w:rPr>
          <w:t>lang (Languages for Run Content)</w:t>
        </w:r>
      </w:hyperlink>
      <w:r>
        <w:t xml:space="preserve"> </w:t>
      </w:r>
      <w:r>
        <w:fldChar w:fldCharType="begin"/>
      </w:r>
      <w:r>
        <w:instrText>PAGEREF section_40c5a8d11e3e43dca5b0f324ea36bac1</w:instrText>
      </w:r>
      <w:r>
        <w:fldChar w:fldCharType="separate"/>
      </w:r>
      <w:r>
        <w:rPr>
          <w:noProof/>
        </w:rPr>
        <w:t>72</w:t>
      </w:r>
      <w:r>
        <w:fldChar w:fldCharType="end"/>
      </w:r>
    </w:p>
    <w:p w:rsidR="00024C0A" w:rsidRDefault="00694C0F">
      <w:pPr>
        <w:pStyle w:val="indexentry0"/>
      </w:pPr>
      <w:hyperlink w:anchor="section_e0d0fc0796bb4248a832dd0e8e42f001">
        <w:r>
          <w:rPr>
            <w:rStyle w:val="Hyperlink"/>
          </w:rPr>
          <w:t>lastRenderedPageBreak (Position of Last Calculated Page Break)</w:t>
        </w:r>
      </w:hyperlink>
      <w:r>
        <w:t xml:space="preserve"> </w:t>
      </w:r>
      <w:r>
        <w:fldChar w:fldCharType="begin"/>
      </w:r>
      <w:r>
        <w:instrText>PAGEREF section_e0d0fc0796bb4248a832dd0e8e42f001</w:instrText>
      </w:r>
      <w:r>
        <w:fldChar w:fldCharType="separate"/>
      </w:r>
      <w:r>
        <w:rPr>
          <w:noProof/>
        </w:rPr>
        <w:t>79</w:t>
      </w:r>
      <w:r>
        <w:fldChar w:fldCharType="end"/>
      </w:r>
    </w:p>
    <w:p w:rsidR="00024C0A" w:rsidRDefault="00694C0F">
      <w:pPr>
        <w:pStyle w:val="indexentry0"/>
      </w:pPr>
      <w:hyperlink w:anchor="section_9bd6ce8277ae4615a46920fd41e88e8c">
        <w:r>
          <w:rPr>
            <w:rStyle w:val="Hyperlink"/>
          </w:rPr>
          <w:t>LASTSAVEDBY</w:t>
        </w:r>
      </w:hyperlink>
      <w:r>
        <w:t xml:space="preserve"> </w:t>
      </w:r>
      <w:r>
        <w:fldChar w:fldCharType="begin"/>
      </w:r>
      <w:r>
        <w:instrText>PAGEREF section_9bd6ce8277ae4615a46920fd41e88e8c</w:instrText>
      </w:r>
      <w:r>
        <w:fldChar w:fldCharType="separate"/>
      </w:r>
      <w:r>
        <w:rPr>
          <w:noProof/>
        </w:rPr>
        <w:t>216</w:t>
      </w:r>
      <w:r>
        <w:fldChar w:fldCharType="end"/>
      </w:r>
    </w:p>
    <w:p w:rsidR="00024C0A" w:rsidRDefault="00694C0F">
      <w:pPr>
        <w:pStyle w:val="indexentry0"/>
      </w:pPr>
      <w:hyperlink w:anchor="section_08608911e4574cbd8a3001b9433dc849">
        <w:r>
          <w:rPr>
            <w:rStyle w:val="Hyperlink"/>
          </w:rPr>
          <w:t>latentStyles (Latent Style Information)</w:t>
        </w:r>
      </w:hyperlink>
      <w:r>
        <w:t xml:space="preserve"> </w:t>
      </w:r>
      <w:r>
        <w:fldChar w:fldCharType="begin"/>
      </w:r>
      <w:r>
        <w:instrText>PAGEREF section_08608911e4574cbd8a3001b9433dc849</w:instrText>
      </w:r>
      <w:r>
        <w:fldChar w:fldCharType="separate"/>
      </w:r>
      <w:r>
        <w:rPr>
          <w:noProof/>
        </w:rPr>
        <w:t>106</w:t>
      </w:r>
      <w:r>
        <w:fldChar w:fldCharType="end"/>
      </w:r>
    </w:p>
    <w:p w:rsidR="00024C0A" w:rsidRDefault="00694C0F">
      <w:pPr>
        <w:pStyle w:val="indexentry0"/>
      </w:pPr>
      <w:hyperlink w:anchor="section_e6784cb715474ee5addc730cac8b4d00">
        <w:r>
          <w:rPr>
            <w:rStyle w:val="Hyperlink"/>
          </w:rPr>
          <w:t>latin (Latin Font)</w:t>
        </w:r>
      </w:hyperlink>
      <w:r>
        <w:t xml:space="preserve"> </w:t>
      </w:r>
      <w:r>
        <w:fldChar w:fldCharType="begin"/>
      </w:r>
      <w:r>
        <w:instrText>PAGEREF section_e6784cb715474</w:instrText>
      </w:r>
      <w:r>
        <w:instrText>ee5addc730cac8b4d00</w:instrText>
      </w:r>
      <w:r>
        <w:fldChar w:fldCharType="separate"/>
      </w:r>
      <w:r>
        <w:rPr>
          <w:noProof/>
        </w:rPr>
        <w:t>533</w:t>
      </w:r>
      <w:r>
        <w:fldChar w:fldCharType="end"/>
      </w:r>
    </w:p>
    <w:p w:rsidR="00024C0A" w:rsidRDefault="00694C0F">
      <w:pPr>
        <w:pStyle w:val="indexentry0"/>
      </w:pPr>
      <w:hyperlink w:anchor="section_103a45d564c44e46b972658f87b24c63">
        <w:r>
          <w:rPr>
            <w:rStyle w:val="Hyperlink"/>
          </w:rPr>
          <w:t>layout (Layout)</w:t>
        </w:r>
      </w:hyperlink>
      <w:r>
        <w:t xml:space="preserve"> </w:t>
      </w:r>
      <w:r>
        <w:fldChar w:fldCharType="begin"/>
      </w:r>
      <w:r>
        <w:instrText>PAGEREF section_103a45d564c44e46b972658f87b24c63</w:instrText>
      </w:r>
      <w:r>
        <w:fldChar w:fldCharType="separate"/>
      </w:r>
      <w:r>
        <w:rPr>
          <w:noProof/>
        </w:rPr>
        <w:t>552</w:t>
      </w:r>
      <w:r>
        <w:fldChar w:fldCharType="end"/>
      </w:r>
    </w:p>
    <w:p w:rsidR="00024C0A" w:rsidRDefault="00694C0F">
      <w:pPr>
        <w:pStyle w:val="indexentry0"/>
      </w:pPr>
      <w:hyperlink w:anchor="section_63d53b16d3cf4361b04875462a9a40e7">
        <w:r>
          <w:rPr>
            <w:rStyle w:val="Hyperlink"/>
          </w:rPr>
          <w:t>layoutTarget (Layout Target)</w:t>
        </w:r>
      </w:hyperlink>
      <w:r>
        <w:t xml:space="preserve"> </w:t>
      </w:r>
      <w:r>
        <w:fldChar w:fldCharType="begin"/>
      </w:r>
      <w:r>
        <w:instrText>PAGEREF section_63d53b16d3cf4361b04875462a9a40e7</w:instrText>
      </w:r>
      <w:r>
        <w:fldChar w:fldCharType="separate"/>
      </w:r>
      <w:r>
        <w:rPr>
          <w:noProof/>
        </w:rPr>
        <w:t>552</w:t>
      </w:r>
      <w:r>
        <w:fldChar w:fldCharType="end"/>
      </w:r>
    </w:p>
    <w:p w:rsidR="00024C0A" w:rsidRDefault="00694C0F">
      <w:pPr>
        <w:pStyle w:val="indexentry0"/>
      </w:pPr>
      <w:hyperlink w:anchor="section_63ae8c94327f45afaafd773999103ec5">
        <w:r>
          <w:rPr>
            <w:rStyle w:val="Hyperlink"/>
          </w:rPr>
          <w:t>LCID (Locale ID)</w:t>
        </w:r>
      </w:hyperlink>
      <w:r>
        <w:t xml:space="preserve"> </w:t>
      </w:r>
      <w:r>
        <w:fldChar w:fldCharType="begin"/>
      </w:r>
      <w:r>
        <w:instrText>PAGEREF section_63ae8c94327f45afaafd773999103ec5</w:instrText>
      </w:r>
      <w:r>
        <w:fldChar w:fldCharType="separate"/>
      </w:r>
      <w:r>
        <w:rPr>
          <w:noProof/>
        </w:rPr>
        <w:t>609</w:t>
      </w:r>
      <w:r>
        <w:fldChar w:fldCharType="end"/>
      </w:r>
    </w:p>
    <w:p w:rsidR="00024C0A" w:rsidRDefault="00694C0F">
      <w:pPr>
        <w:pStyle w:val="indexentry0"/>
      </w:pPr>
      <w:hyperlink w:anchor="section_08b9c240a1da41ef867f74c008a367f9">
        <w:r>
          <w:rPr>
            <w:rStyle w:val="Hyperlink"/>
          </w:rPr>
          <w:t>LCT (Callba</w:t>
        </w:r>
        <w:r>
          <w:rPr>
            <w:rStyle w:val="Hyperlink"/>
          </w:rPr>
          <w:t>ck Type)</w:t>
        </w:r>
      </w:hyperlink>
      <w:r>
        <w:t xml:space="preserve"> </w:t>
      </w:r>
      <w:r>
        <w:fldChar w:fldCharType="begin"/>
      </w:r>
      <w:r>
        <w:instrText>PAGEREF section_08b9c240a1da41ef867f74c008a367f9</w:instrText>
      </w:r>
      <w:r>
        <w:fldChar w:fldCharType="separate"/>
      </w:r>
      <w:r>
        <w:rPr>
          <w:noProof/>
        </w:rPr>
        <w:t>676</w:t>
      </w:r>
      <w:r>
        <w:fldChar w:fldCharType="end"/>
      </w:r>
    </w:p>
    <w:p w:rsidR="00024C0A" w:rsidRDefault="00694C0F">
      <w:pPr>
        <w:pStyle w:val="indexentry0"/>
      </w:pPr>
      <w:hyperlink w:anchor="section_3536abf10a574a15a1976b56b3f4616f">
        <w:r>
          <w:rPr>
            <w:rStyle w:val="Hyperlink"/>
          </w:rPr>
          <w:t>leaderLines (Leader Lines)</w:t>
        </w:r>
      </w:hyperlink>
      <w:r>
        <w:t xml:space="preserve"> </w:t>
      </w:r>
      <w:r>
        <w:fldChar w:fldCharType="begin"/>
      </w:r>
      <w:r>
        <w:instrText>PAGEREF section_3536abf10a574a15a1976b56b3f4616f</w:instrText>
      </w:r>
      <w:r>
        <w:fldChar w:fldCharType="separate"/>
      </w:r>
      <w:r>
        <w:rPr>
          <w:noProof/>
        </w:rPr>
        <w:t>552</w:t>
      </w:r>
      <w:r>
        <w:fldChar w:fldCharType="end"/>
      </w:r>
    </w:p>
    <w:p w:rsidR="00024C0A" w:rsidRDefault="00694C0F">
      <w:pPr>
        <w:pStyle w:val="indexentry0"/>
      </w:pPr>
      <w:hyperlink w:anchor="section_e695b5596b384df9927a6077fff4f888">
        <w:r>
          <w:rPr>
            <w:rStyle w:val="Hyperlink"/>
          </w:rPr>
          <w:t>LEFT</w:t>
        </w:r>
      </w:hyperlink>
      <w:r>
        <w:t xml:space="preserve"> </w:t>
      </w:r>
      <w:r>
        <w:fldChar w:fldCharType="begin"/>
      </w:r>
      <w:r>
        <w:instrText>PAGEREF section_e695b5596b384df9927a6077fff4f888</w:instrText>
      </w:r>
      <w:r>
        <w:fldChar w:fldCharType="separate"/>
      </w:r>
      <w:r>
        <w:rPr>
          <w:noProof/>
        </w:rPr>
        <w:t>427</w:t>
      </w:r>
      <w:r>
        <w:fldChar w:fldCharType="end"/>
      </w:r>
    </w:p>
    <w:p w:rsidR="00024C0A" w:rsidRDefault="00694C0F">
      <w:pPr>
        <w:pStyle w:val="indexentry0"/>
      </w:pPr>
      <w:hyperlink w:anchor="section_88086db0881a462fafb3fad01a9b1be3">
        <w:r>
          <w:rPr>
            <w:rStyle w:val="Hyperlink"/>
          </w:rPr>
          <w:t>left (Left Border for HTML div)</w:t>
        </w:r>
      </w:hyperlink>
      <w:r>
        <w:t xml:space="preserve"> </w:t>
      </w:r>
      <w:r>
        <w:fldChar w:fldCharType="begin"/>
      </w:r>
      <w:r>
        <w:instrText>PAGEREF section_88086db0881a462fafb3fad01a9b1be3</w:instrText>
      </w:r>
      <w:r>
        <w:fldChar w:fldCharType="separate"/>
      </w:r>
      <w:r>
        <w:rPr>
          <w:noProof/>
        </w:rPr>
        <w:t>162</w:t>
      </w:r>
      <w:r>
        <w:fldChar w:fldCharType="end"/>
      </w:r>
    </w:p>
    <w:p w:rsidR="00024C0A" w:rsidRDefault="00694C0F">
      <w:pPr>
        <w:pStyle w:val="indexentry0"/>
      </w:pPr>
      <w:hyperlink w:anchor="section_94d7cfde2a8847babe9615860e86d40f">
        <w:r>
          <w:rPr>
            <w:rStyle w:val="Hyperlink"/>
          </w:rPr>
          <w:t>left (Left Border)</w:t>
        </w:r>
      </w:hyperlink>
      <w:r>
        <w:t xml:space="preserve"> </w:t>
      </w:r>
      <w:r>
        <w:fldChar w:fldCharType="begin"/>
      </w:r>
      <w:r>
        <w:instrText>PAGEREF section_94d7cfde2a8847babe9615860e86d40f</w:instrText>
      </w:r>
      <w:r>
        <w:fldChar w:fldCharType="separate"/>
      </w:r>
      <w:r>
        <w:rPr>
          <w:noProof/>
        </w:rPr>
        <w:t>101</w:t>
      </w:r>
      <w:r>
        <w:fldChar w:fldCharType="end"/>
      </w:r>
    </w:p>
    <w:p w:rsidR="00024C0A" w:rsidRDefault="00694C0F">
      <w:pPr>
        <w:pStyle w:val="indexentry0"/>
      </w:pPr>
      <w:hyperlink w:anchor="section_357112b6a39c472a92df956d518d4aa8">
        <w:r>
          <w:rPr>
            <w:rStyle w:val="Hyperlink"/>
          </w:rPr>
          <w:t>left (Left Paragraph Border)</w:t>
        </w:r>
      </w:hyperlink>
      <w:r>
        <w:t xml:space="preserve"> </w:t>
      </w:r>
      <w:r>
        <w:fldChar w:fldCharType="begin"/>
      </w:r>
      <w:r>
        <w:instrText>PAGEREF section_357112b6a39c472a92df956d518d4aa8</w:instrText>
      </w:r>
      <w:r>
        <w:fldChar w:fldCharType="separate"/>
      </w:r>
      <w:r>
        <w:rPr>
          <w:noProof/>
        </w:rPr>
        <w:t>64</w:t>
      </w:r>
      <w:r>
        <w:fldChar w:fldCharType="end"/>
      </w:r>
    </w:p>
    <w:p w:rsidR="00024C0A" w:rsidRDefault="00694C0F">
      <w:pPr>
        <w:pStyle w:val="indexentry0"/>
      </w:pPr>
      <w:hyperlink w:anchor="section_95b4a3c3bcd641ad976129b98779e979">
        <w:r>
          <w:rPr>
            <w:rStyle w:val="Hyperlink"/>
          </w:rPr>
          <w:t>left (Table Cell Leading Edge Border)</w:t>
        </w:r>
      </w:hyperlink>
      <w:r>
        <w:t xml:space="preserve"> </w:t>
      </w:r>
      <w:r>
        <w:fldChar w:fldCharType="begin"/>
      </w:r>
      <w:r>
        <w:instrText>PAGEREF section_95b4a3c3bcd641ad976129b98779e979</w:instrText>
      </w:r>
      <w:r>
        <w:fldChar w:fldCharType="separate"/>
      </w:r>
      <w:r>
        <w:rPr>
          <w:noProof/>
        </w:rPr>
        <w:t>620</w:t>
      </w:r>
      <w:r>
        <w:fldChar w:fldCharType="end"/>
      </w:r>
    </w:p>
    <w:p w:rsidR="00024C0A" w:rsidRDefault="00694C0F">
      <w:pPr>
        <w:pStyle w:val="indexentry0"/>
      </w:pPr>
      <w:hyperlink w:anchor="section_94be0b2982844099b9c60df1e3988a08">
        <w:r>
          <w:rPr>
            <w:rStyle w:val="Hyperlink"/>
          </w:rPr>
          <w:t>left (Table Cell Leading Margin Default)</w:t>
        </w:r>
      </w:hyperlink>
      <w:r>
        <w:t xml:space="preserve"> </w:t>
      </w:r>
      <w:r>
        <w:fldChar w:fldCharType="begin"/>
      </w:r>
      <w:r>
        <w:instrText>PAGEREF section_9</w:instrText>
      </w:r>
      <w:r>
        <w:instrText>4be0b2982844099b9c60df1e3988a08</w:instrText>
      </w:r>
      <w:r>
        <w:fldChar w:fldCharType="separate"/>
      </w:r>
      <w:r>
        <w:rPr>
          <w:noProof/>
        </w:rPr>
        <w:t>620</w:t>
      </w:r>
      <w:r>
        <w:fldChar w:fldCharType="end"/>
      </w:r>
    </w:p>
    <w:p w:rsidR="00024C0A" w:rsidRDefault="00694C0F">
      <w:pPr>
        <w:pStyle w:val="indexentry0"/>
      </w:pPr>
      <w:hyperlink w:anchor="section_13455a85a26f4dc4978af315b8d9afa7">
        <w:r>
          <w:rPr>
            <w:rStyle w:val="Hyperlink"/>
          </w:rPr>
          <w:t>left (Table Cell Leading Margin Exception)</w:t>
        </w:r>
      </w:hyperlink>
      <w:r>
        <w:t xml:space="preserve"> </w:t>
      </w:r>
      <w:r>
        <w:fldChar w:fldCharType="begin"/>
      </w:r>
      <w:r>
        <w:instrText>PAGEREF section_13455a85a26f4dc4978af315b8d9afa7</w:instrText>
      </w:r>
      <w:r>
        <w:fldChar w:fldCharType="separate"/>
      </w:r>
      <w:r>
        <w:rPr>
          <w:noProof/>
        </w:rPr>
        <w:t>620</w:t>
      </w:r>
      <w:r>
        <w:fldChar w:fldCharType="end"/>
      </w:r>
    </w:p>
    <w:p w:rsidR="00024C0A" w:rsidRDefault="00694C0F">
      <w:pPr>
        <w:pStyle w:val="indexentry0"/>
      </w:pPr>
      <w:hyperlink w:anchor="section_6333f5cc79f94100b4c0709626bbb551">
        <w:r>
          <w:rPr>
            <w:rStyle w:val="Hyperlink"/>
          </w:rPr>
          <w:t>left (Table Leading Edge Border)</w:t>
        </w:r>
      </w:hyperlink>
      <w:r>
        <w:t xml:space="preserve"> </w:t>
      </w:r>
      <w:r>
        <w:fldChar w:fldCharType="begin"/>
      </w:r>
      <w:r>
        <w:instrText>PAGEREF section_6333f5cc79f94100b4c0709626bbb551</w:instrText>
      </w:r>
      <w:r>
        <w:fldChar w:fldCharType="separate"/>
      </w:r>
      <w:r>
        <w:rPr>
          <w:noProof/>
        </w:rPr>
        <w:t>620</w:t>
      </w:r>
      <w:r>
        <w:fldChar w:fldCharType="end"/>
      </w:r>
    </w:p>
    <w:p w:rsidR="00024C0A" w:rsidRDefault="00694C0F">
      <w:pPr>
        <w:pStyle w:val="indexentry0"/>
      </w:pPr>
      <w:hyperlink w:anchor="section_a3049fb58be6431ea81f2e81535c0f0c">
        <w:r>
          <w:rPr>
            <w:rStyle w:val="Hyperlink"/>
          </w:rPr>
          <w:t>left (Text Box Left Stroke)</w:t>
        </w:r>
      </w:hyperlink>
      <w:r>
        <w:t xml:space="preserve"> </w:t>
      </w:r>
      <w:r>
        <w:fldChar w:fldCharType="begin"/>
      </w:r>
      <w:r>
        <w:instrText>PAGEREF section_a3049fb58be6431ea81f2e81535c0f0c</w:instrText>
      </w:r>
      <w:r>
        <w:fldChar w:fldCharType="separate"/>
      </w:r>
      <w:r>
        <w:rPr>
          <w:noProof/>
        </w:rPr>
        <w:t>665</w:t>
      </w:r>
      <w:r>
        <w:fldChar w:fldCharType="end"/>
      </w:r>
    </w:p>
    <w:p w:rsidR="00024C0A" w:rsidRDefault="00694C0F">
      <w:pPr>
        <w:pStyle w:val="indexentry0"/>
      </w:pPr>
      <w:hyperlink w:anchor="section_1ff4777a2b164eedaea6bca9ee46e38f">
        <w:r>
          <w:rPr>
            <w:rStyle w:val="Hyperlink"/>
          </w:rPr>
          <w:t>LEFTB</w:t>
        </w:r>
      </w:hyperlink>
      <w:r>
        <w:t xml:space="preserve"> </w:t>
      </w:r>
      <w:r>
        <w:fldChar w:fldCharType="begin"/>
      </w:r>
      <w:r>
        <w:instrText>PAGEREF section_1ff4777a2b164eedaea6bca9ee46e38f</w:instrText>
      </w:r>
      <w:r>
        <w:fldChar w:fldCharType="separate"/>
      </w:r>
      <w:r>
        <w:rPr>
          <w:noProof/>
        </w:rPr>
        <w:t>427</w:t>
      </w:r>
      <w:r>
        <w:fldChar w:fldCharType="end"/>
      </w:r>
    </w:p>
    <w:p w:rsidR="00024C0A" w:rsidRDefault="00694C0F">
      <w:pPr>
        <w:pStyle w:val="indexentry0"/>
      </w:pPr>
      <w:hyperlink w:anchor="section_2bbc626e33b649f69ce6a5b08386e37c">
        <w:r>
          <w:rPr>
            <w:rStyle w:val="Hyperlink"/>
          </w:rPr>
          <w:t>legacy (Legacy Numbering Level Properties)</w:t>
        </w:r>
      </w:hyperlink>
      <w:r>
        <w:t xml:space="preserve"> </w:t>
      </w:r>
      <w:r>
        <w:fldChar w:fldCharType="begin"/>
      </w:r>
      <w:r>
        <w:instrText>PAGEREF section_2bbc626e33b649f69ce6a5b08386e37c</w:instrText>
      </w:r>
      <w:r>
        <w:fldChar w:fldCharType="separate"/>
      </w:r>
      <w:r>
        <w:rPr>
          <w:noProof/>
        </w:rPr>
        <w:t>622</w:t>
      </w:r>
      <w:r>
        <w:fldChar w:fldCharType="end"/>
      </w:r>
    </w:p>
    <w:p w:rsidR="00024C0A" w:rsidRDefault="00694C0F">
      <w:pPr>
        <w:pStyle w:val="indexentry0"/>
      </w:pPr>
      <w:hyperlink w:anchor="section_7add4897f6cd429f8e0504ad5a270def">
        <w:r>
          <w:rPr>
            <w:rStyle w:val="Hyperlink"/>
          </w:rPr>
          <w:t>Legacy Diagram Text Info part</w:t>
        </w:r>
      </w:hyperlink>
      <w:r>
        <w:t xml:space="preserve"> </w:t>
      </w:r>
      <w:r>
        <w:fldChar w:fldCharType="begin"/>
      </w:r>
      <w:r>
        <w:instrText>PAGEREF section_7add4897f6cd429f8e0504ad5a270def</w:instrText>
      </w:r>
      <w:r>
        <w:fldChar w:fldCharType="separate"/>
      </w:r>
      <w:r>
        <w:rPr>
          <w:noProof/>
        </w:rPr>
        <w:t>843</w:t>
      </w:r>
      <w:r>
        <w:fldChar w:fldCharType="end"/>
      </w:r>
    </w:p>
    <w:p w:rsidR="00024C0A" w:rsidRDefault="00694C0F">
      <w:pPr>
        <w:pStyle w:val="indexentry0"/>
      </w:pPr>
      <w:hyperlink w:anchor="section_40b7fcb52a8347efb0a42ac4d13aa6e1">
        <w:r>
          <w:rPr>
            <w:rStyle w:val="Hyperlink"/>
          </w:rPr>
          <w:t>Legacy Diagram Text part</w:t>
        </w:r>
      </w:hyperlink>
      <w:r>
        <w:t xml:space="preserve"> </w:t>
      </w:r>
      <w:r>
        <w:fldChar w:fldCharType="begin"/>
      </w:r>
      <w:r>
        <w:instrText>PAGEREF section_40b7fcb52a</w:instrText>
      </w:r>
      <w:r>
        <w:instrText>8347efb0a42ac4d13aa6e1</w:instrText>
      </w:r>
      <w:r>
        <w:fldChar w:fldCharType="separate"/>
      </w:r>
      <w:r>
        <w:rPr>
          <w:noProof/>
        </w:rPr>
        <w:t>843</w:t>
      </w:r>
      <w:r>
        <w:fldChar w:fldCharType="end"/>
      </w:r>
    </w:p>
    <w:p w:rsidR="00024C0A" w:rsidRDefault="00694C0F">
      <w:pPr>
        <w:pStyle w:val="indexentry0"/>
      </w:pPr>
      <w:hyperlink w:anchor="section_8314e929129a4991a7f99f37010521e5">
        <w:r>
          <w:rPr>
            <w:rStyle w:val="Hyperlink"/>
          </w:rPr>
          <w:t>legendPos (Legend Position)</w:t>
        </w:r>
      </w:hyperlink>
      <w:r>
        <w:t xml:space="preserve"> </w:t>
      </w:r>
      <w:r>
        <w:fldChar w:fldCharType="begin"/>
      </w:r>
      <w:r>
        <w:instrText>PAGEREF section_8314e929129a4991a7f99f37010521e5</w:instrText>
      </w:r>
      <w:r>
        <w:fldChar w:fldCharType="separate"/>
      </w:r>
      <w:r>
        <w:rPr>
          <w:noProof/>
        </w:rPr>
        <w:t>552</w:t>
      </w:r>
      <w:r>
        <w:fldChar w:fldCharType="end"/>
      </w:r>
    </w:p>
    <w:p w:rsidR="00024C0A" w:rsidRDefault="00694C0F">
      <w:pPr>
        <w:pStyle w:val="indexentry0"/>
      </w:pPr>
      <w:hyperlink w:anchor="section_d6a74eba0eff4bb6bfc68d69fc7c6aac">
        <w:r>
          <w:rPr>
            <w:rStyle w:val="Hyperlink"/>
          </w:rPr>
          <w:t>LEN</w:t>
        </w:r>
      </w:hyperlink>
      <w:r>
        <w:t xml:space="preserve"> </w:t>
      </w:r>
      <w:r>
        <w:fldChar w:fldCharType="begin"/>
      </w:r>
      <w:r>
        <w:instrText>PAGEREF section_d6a7</w:instrText>
      </w:r>
      <w:r>
        <w:instrText>4eba0eff4bb6bfc68d69fc7c6aac</w:instrText>
      </w:r>
      <w:r>
        <w:fldChar w:fldCharType="separate"/>
      </w:r>
      <w:r>
        <w:rPr>
          <w:noProof/>
        </w:rPr>
        <w:t>427</w:t>
      </w:r>
      <w:r>
        <w:fldChar w:fldCharType="end"/>
      </w:r>
    </w:p>
    <w:p w:rsidR="00024C0A" w:rsidRDefault="00694C0F">
      <w:pPr>
        <w:pStyle w:val="indexentry0"/>
      </w:pPr>
      <w:hyperlink w:anchor="section_3603d0a308ca4280ab15d97c69cb47b6">
        <w:r>
          <w:rPr>
            <w:rStyle w:val="Hyperlink"/>
          </w:rPr>
          <w:t>LENB</w:t>
        </w:r>
      </w:hyperlink>
      <w:r>
        <w:t xml:space="preserve"> </w:t>
      </w:r>
      <w:r>
        <w:fldChar w:fldCharType="begin"/>
      </w:r>
      <w:r>
        <w:instrText>PAGEREF section_3603d0a308ca4280ab15d97c69cb47b6</w:instrText>
      </w:r>
      <w:r>
        <w:fldChar w:fldCharType="separate"/>
      </w:r>
      <w:r>
        <w:rPr>
          <w:noProof/>
        </w:rPr>
        <w:t>428</w:t>
      </w:r>
      <w:r>
        <w:fldChar w:fldCharType="end"/>
      </w:r>
    </w:p>
    <w:p w:rsidR="00024C0A" w:rsidRDefault="00694C0F">
      <w:pPr>
        <w:pStyle w:val="indexentry0"/>
      </w:pPr>
      <w:hyperlink w:anchor="section_1871b640e0af43cd8bb29ac3ed938a57">
        <w:r>
          <w:rPr>
            <w:rStyle w:val="Hyperlink"/>
          </w:rPr>
          <w:t>lid (Date Picker Language ID)</w:t>
        </w:r>
      </w:hyperlink>
      <w:r>
        <w:t xml:space="preserve"> </w:t>
      </w:r>
      <w:r>
        <w:fldChar w:fldCharType="begin"/>
      </w:r>
      <w:r>
        <w:instrText>PAGEREF section_1871b640e0af43cd8bb29ac3ed938a57</w:instrText>
      </w:r>
      <w:r>
        <w:fldChar w:fldCharType="separate"/>
      </w:r>
      <w:r>
        <w:rPr>
          <w:noProof/>
        </w:rPr>
        <w:t>98</w:t>
      </w:r>
      <w:r>
        <w:fldChar w:fldCharType="end"/>
      </w:r>
    </w:p>
    <w:p w:rsidR="00024C0A" w:rsidRDefault="00694C0F">
      <w:pPr>
        <w:pStyle w:val="indexentry0"/>
      </w:pPr>
      <w:hyperlink w:anchor="section_22af890dc1be4b36939a8608ea5b01ae">
        <w:r>
          <w:rPr>
            <w:rStyle w:val="Hyperlink"/>
          </w:rPr>
          <w:t>lid (Language ID for Phonetic Guide)</w:t>
        </w:r>
      </w:hyperlink>
      <w:r>
        <w:t xml:space="preserve"> </w:t>
      </w:r>
      <w:r>
        <w:fldChar w:fldCharType="begin"/>
      </w:r>
      <w:r>
        <w:instrText>PAGEREF section_22af890dc1be4b36939a8608ea5b01ae</w:instrText>
      </w:r>
      <w:r>
        <w:fldChar w:fldCharType="separate"/>
      </w:r>
      <w:r>
        <w:rPr>
          <w:noProof/>
        </w:rPr>
        <w:t>79</w:t>
      </w:r>
      <w:r>
        <w:fldChar w:fldCharType="end"/>
      </w:r>
    </w:p>
    <w:p w:rsidR="00024C0A" w:rsidRDefault="00694C0F">
      <w:pPr>
        <w:pStyle w:val="indexentry0"/>
      </w:pPr>
      <w:hyperlink w:anchor="section_c73305a2b02643f9846307203a71f773">
        <w:r>
          <w:rPr>
            <w:rStyle w:val="Hyperlink"/>
          </w:rPr>
          <w:t>lid (Merge Field Name Language ID)</w:t>
        </w:r>
      </w:hyperlink>
      <w:r>
        <w:t xml:space="preserve"> </w:t>
      </w:r>
      <w:r>
        <w:fldChar w:fldCharType="begin"/>
      </w:r>
      <w:r>
        <w:instrText>PAGEREF section_c73305a2b02643f9846307203a71f773</w:instrText>
      </w:r>
      <w:r>
        <w:fldChar w:fldCharType="separate"/>
      </w:r>
      <w:r>
        <w:rPr>
          <w:noProof/>
        </w:rPr>
        <w:t>144</w:t>
      </w:r>
      <w:r>
        <w:fldChar w:fldCharType="end"/>
      </w:r>
    </w:p>
    <w:p w:rsidR="00024C0A" w:rsidRDefault="00694C0F">
      <w:pPr>
        <w:pStyle w:val="indexentry0"/>
      </w:pPr>
      <w:hyperlink w:anchor="section_592fc3bd3e7d4045b36b62910679ae09">
        <w:r>
          <w:rPr>
            <w:rStyle w:val="Hyperlink"/>
          </w:rPr>
          <w:t>lightRig (Light Rig)</w:t>
        </w:r>
      </w:hyperlink>
      <w:r>
        <w:t xml:space="preserve"> </w:t>
      </w:r>
      <w:r>
        <w:fldChar w:fldCharType="begin"/>
      </w:r>
      <w:r>
        <w:instrText>PAGEREF section_592fc3bd3e7d4045b36b62910679ae09</w:instrText>
      </w:r>
      <w:r>
        <w:fldChar w:fldCharType="separate"/>
      </w:r>
      <w:r>
        <w:rPr>
          <w:noProof/>
        </w:rPr>
        <w:t>507</w:t>
      </w:r>
      <w:r>
        <w:fldChar w:fldCharType="end"/>
      </w:r>
    </w:p>
    <w:p w:rsidR="00024C0A" w:rsidRDefault="00694C0F">
      <w:pPr>
        <w:pStyle w:val="indexentry0"/>
      </w:pPr>
      <w:hyperlink w:anchor="section_76f92d20f41e48d9a6fc0de5733f477a">
        <w:r>
          <w:rPr>
            <w:rStyle w:val="Hyperlink"/>
          </w:rPr>
          <w:t>lim (Limit)</w:t>
        </w:r>
      </w:hyperlink>
      <w:r>
        <w:t xml:space="preserve"> </w:t>
      </w:r>
      <w:r>
        <w:fldChar w:fldCharType="begin"/>
      </w:r>
      <w:r>
        <w:instrText>PAGEREF section_76f92d20f41e48d9a6fc0de5733f477a</w:instrText>
      </w:r>
      <w:r>
        <w:fldChar w:fldCharType="separate"/>
      </w:r>
      <w:r>
        <w:rPr>
          <w:noProof/>
        </w:rPr>
        <w:t>594</w:t>
      </w:r>
      <w:r>
        <w:fldChar w:fldCharType="end"/>
      </w:r>
    </w:p>
    <w:p w:rsidR="00024C0A" w:rsidRDefault="00694C0F">
      <w:pPr>
        <w:pStyle w:val="indexentry0"/>
      </w:pPr>
      <w:hyperlink w:anchor="section_1f2eecd829294f2bb182d99c88b23b50">
        <w:r>
          <w:rPr>
            <w:rStyle w:val="Hyperlink"/>
          </w:rPr>
          <w:t>Limitations in Word</w:t>
        </w:r>
      </w:hyperlink>
      <w:r>
        <w:t xml:space="preserve"> </w:t>
      </w:r>
      <w:r>
        <w:fldChar w:fldCharType="begin"/>
      </w:r>
      <w:r>
        <w:instrText>PAGEREF section_1f2eecd829294f2bb182d99c88b23b50</w:instrText>
      </w:r>
      <w:r>
        <w:fldChar w:fldCharType="separate"/>
      </w:r>
      <w:r>
        <w:rPr>
          <w:noProof/>
        </w:rPr>
        <w:t>891</w:t>
      </w:r>
      <w:r>
        <w:fldChar w:fldCharType="end"/>
      </w:r>
    </w:p>
    <w:p w:rsidR="00024C0A" w:rsidRDefault="00694C0F">
      <w:pPr>
        <w:pStyle w:val="indexentry0"/>
      </w:pPr>
      <w:hyperlink w:anchor="section_d4e1a069839f40fa8010281af148c209">
        <w:r>
          <w:rPr>
            <w:rStyle w:val="Hyperlink"/>
          </w:rPr>
          <w:t>limLow (Lower-Limit Object)</w:t>
        </w:r>
      </w:hyperlink>
      <w:r>
        <w:t xml:space="preserve"> </w:t>
      </w:r>
      <w:r>
        <w:fldChar w:fldCharType="begin"/>
      </w:r>
      <w:r>
        <w:instrText>PAGEREF section_d4e1a069839f40fa8010281af148c209</w:instrText>
      </w:r>
      <w:r>
        <w:fldChar w:fldCharType="separate"/>
      </w:r>
      <w:r>
        <w:rPr>
          <w:noProof/>
        </w:rPr>
        <w:t>595</w:t>
      </w:r>
      <w:r>
        <w:fldChar w:fldCharType="end"/>
      </w:r>
    </w:p>
    <w:p w:rsidR="00024C0A" w:rsidRDefault="00694C0F">
      <w:pPr>
        <w:pStyle w:val="indexentry0"/>
      </w:pPr>
      <w:hyperlink w:anchor="section_ea84aac10fc148abbcb96b67689d0a1a">
        <w:r>
          <w:rPr>
            <w:rStyle w:val="Hyperlink"/>
          </w:rPr>
          <w:t>limUpp (Upper-Limit Object)</w:t>
        </w:r>
      </w:hyperlink>
      <w:r>
        <w:t xml:space="preserve"> </w:t>
      </w:r>
      <w:r>
        <w:fldChar w:fldCharType="begin"/>
      </w:r>
      <w:r>
        <w:instrText>PAGEREF section_ea84aac10fc148abbcb96b</w:instrText>
      </w:r>
      <w:r>
        <w:instrText>67689d0a1a</w:instrText>
      </w:r>
      <w:r>
        <w:fldChar w:fldCharType="separate"/>
      </w:r>
      <w:r>
        <w:rPr>
          <w:noProof/>
        </w:rPr>
        <w:t>595</w:t>
      </w:r>
      <w:r>
        <w:fldChar w:fldCharType="end"/>
      </w:r>
    </w:p>
    <w:p w:rsidR="00024C0A" w:rsidRDefault="00694C0F">
      <w:pPr>
        <w:pStyle w:val="indexentry0"/>
      </w:pPr>
      <w:hyperlink w:anchor="section_c5f7cef6299c497aade49242eec0032b">
        <w:r>
          <w:rPr>
            <w:rStyle w:val="Hyperlink"/>
          </w:rPr>
          <w:t>linClrLst (Line Color List)</w:t>
        </w:r>
      </w:hyperlink>
      <w:r>
        <w:t xml:space="preserve"> </w:t>
      </w:r>
      <w:r>
        <w:fldChar w:fldCharType="begin"/>
      </w:r>
      <w:r>
        <w:instrText>PAGEREF section_c5f7cef6299c497aade49242eec0032b</w:instrText>
      </w:r>
      <w:r>
        <w:fldChar w:fldCharType="separate"/>
      </w:r>
      <w:r>
        <w:rPr>
          <w:noProof/>
        </w:rPr>
        <w:t>582</w:t>
      </w:r>
      <w:r>
        <w:fldChar w:fldCharType="end"/>
      </w:r>
    </w:p>
    <w:p w:rsidR="00024C0A" w:rsidRDefault="00694C0F">
      <w:pPr>
        <w:pStyle w:val="indexentry0"/>
      </w:pPr>
      <w:hyperlink w:anchor="section_2b6707526d64462a824f275717267aa9">
        <w:r>
          <w:rPr>
            <w:rStyle w:val="Hyperlink"/>
          </w:rPr>
          <w:t>line (Line)</w:t>
        </w:r>
      </w:hyperlink>
      <w:r>
        <w:t xml:space="preserve"> </w:t>
      </w:r>
      <w:r>
        <w:fldChar w:fldCharType="begin"/>
      </w:r>
      <w:r>
        <w:instrText>PAGEREF section_2b670752</w:instrText>
      </w:r>
      <w:r>
        <w:instrText>6d64462a824f275717267aa9</w:instrText>
      </w:r>
      <w:r>
        <w:fldChar w:fldCharType="separate"/>
      </w:r>
      <w:r>
        <w:rPr>
          <w:noProof/>
        </w:rPr>
        <w:t>643</w:t>
      </w:r>
      <w:r>
        <w:fldChar w:fldCharType="end"/>
      </w:r>
    </w:p>
    <w:p w:rsidR="00024C0A" w:rsidRDefault="00694C0F">
      <w:pPr>
        <w:pStyle w:val="indexentry0"/>
      </w:pPr>
      <w:hyperlink w:anchor="section_7bcdf1d23b754a548fb87af678555e39">
        <w:r>
          <w:rPr>
            <w:rStyle w:val="Hyperlink"/>
          </w:rPr>
          <w:t>line3DChart (3D Line Charts)</w:t>
        </w:r>
      </w:hyperlink>
      <w:r>
        <w:t xml:space="preserve"> </w:t>
      </w:r>
      <w:r>
        <w:fldChar w:fldCharType="begin"/>
      </w:r>
      <w:r>
        <w:instrText>PAGEREF section_7bcdf1d23b754a548fb87af678555e39</w:instrText>
      </w:r>
      <w:r>
        <w:fldChar w:fldCharType="separate"/>
      </w:r>
      <w:r>
        <w:rPr>
          <w:noProof/>
        </w:rPr>
        <w:t>552</w:t>
      </w:r>
      <w:r>
        <w:fldChar w:fldCharType="end"/>
      </w:r>
    </w:p>
    <w:p w:rsidR="00024C0A" w:rsidRDefault="00694C0F">
      <w:pPr>
        <w:pStyle w:val="indexentry0"/>
      </w:pPr>
      <w:hyperlink w:anchor="section_28cc58e871c2454c9c4eef78fa758552">
        <w:r>
          <w:rPr>
            <w:rStyle w:val="Hyperlink"/>
          </w:rPr>
          <w:t>lineChart (Line Charts)</w:t>
        </w:r>
      </w:hyperlink>
      <w:r>
        <w:t xml:space="preserve"> </w:t>
      </w:r>
      <w:r>
        <w:fldChar w:fldCharType="begin"/>
      </w:r>
      <w:r>
        <w:instrText>PAGEREF section_28cc58e871c2454c9c4eef78fa758552</w:instrText>
      </w:r>
      <w:r>
        <w:fldChar w:fldCharType="separate"/>
      </w:r>
      <w:r>
        <w:rPr>
          <w:noProof/>
        </w:rPr>
        <w:t>552</w:t>
      </w:r>
      <w:r>
        <w:fldChar w:fldCharType="end"/>
      </w:r>
    </w:p>
    <w:p w:rsidR="00024C0A" w:rsidRDefault="00694C0F">
      <w:pPr>
        <w:pStyle w:val="indexentry0"/>
      </w:pPr>
      <w:hyperlink w:anchor="section_85a7e2ec196140b4ad596f91de000cf7">
        <w:r>
          <w:rPr>
            <w:rStyle w:val="Hyperlink"/>
          </w:rPr>
          <w:t>LINEST</w:t>
        </w:r>
      </w:hyperlink>
      <w:r>
        <w:t xml:space="preserve"> </w:t>
      </w:r>
      <w:r>
        <w:fldChar w:fldCharType="begin"/>
      </w:r>
      <w:r>
        <w:instrText>PAGEREF section_85a7e2ec196140b4ad596f91de000cf7</w:instrText>
      </w:r>
      <w:r>
        <w:fldChar w:fldCharType="separate"/>
      </w:r>
      <w:r>
        <w:rPr>
          <w:noProof/>
        </w:rPr>
        <w:t>428</w:t>
      </w:r>
      <w:r>
        <w:fldChar w:fldCharType="end"/>
      </w:r>
    </w:p>
    <w:p w:rsidR="00024C0A" w:rsidRDefault="00694C0F">
      <w:pPr>
        <w:pStyle w:val="indexentry0"/>
      </w:pPr>
      <w:hyperlink w:anchor="section_351591f1308643f6ae05df9d004e653c">
        <w:r>
          <w:rPr>
            <w:rStyle w:val="Hyperlink"/>
          </w:rPr>
          <w:t>lineTo (Wrapping P</w:t>
        </w:r>
        <w:r>
          <w:rPr>
            <w:rStyle w:val="Hyperlink"/>
          </w:rPr>
          <w:t>olygon Line End Position)</w:t>
        </w:r>
      </w:hyperlink>
      <w:r>
        <w:t xml:space="preserve"> </w:t>
      </w:r>
      <w:r>
        <w:fldChar w:fldCharType="begin"/>
      </w:r>
      <w:r>
        <w:instrText>PAGEREF section_351591f1308643f6ae05df9d004e653c</w:instrText>
      </w:r>
      <w:r>
        <w:fldChar w:fldCharType="separate"/>
      </w:r>
      <w:r>
        <w:rPr>
          <w:noProof/>
        </w:rPr>
        <w:t>522</w:t>
      </w:r>
      <w:r>
        <w:fldChar w:fldCharType="end"/>
      </w:r>
    </w:p>
    <w:p w:rsidR="00024C0A" w:rsidRDefault="00694C0F">
      <w:pPr>
        <w:pStyle w:val="indexentry0"/>
      </w:pPr>
      <w:hyperlink w:anchor="section_9264f074a348415da2243c1576083ffb">
        <w:r>
          <w:rPr>
            <w:rStyle w:val="Hyperlink"/>
          </w:rPr>
          <w:t>LINK</w:t>
        </w:r>
      </w:hyperlink>
      <w:r>
        <w:t xml:space="preserve"> </w:t>
      </w:r>
      <w:r>
        <w:fldChar w:fldCharType="begin"/>
      </w:r>
      <w:r>
        <w:instrText>PAGEREF section_9264f074a348415da2243c1576083ffb</w:instrText>
      </w:r>
      <w:r>
        <w:fldChar w:fldCharType="separate"/>
      </w:r>
      <w:r>
        <w:rPr>
          <w:noProof/>
        </w:rPr>
        <w:t>216</w:t>
      </w:r>
      <w:r>
        <w:fldChar w:fldCharType="end"/>
      </w:r>
    </w:p>
    <w:p w:rsidR="00024C0A" w:rsidRDefault="00694C0F">
      <w:pPr>
        <w:pStyle w:val="indexentry0"/>
      </w:pPr>
      <w:hyperlink w:anchor="section_7abe11b8b25046bc877dd4490aa3d1ff">
        <w:r>
          <w:rPr>
            <w:rStyle w:val="Hyperlink"/>
          </w:rPr>
          <w:t>link (Linked Object or Control)</w:t>
        </w:r>
      </w:hyperlink>
      <w:r>
        <w:t xml:space="preserve"> </w:t>
      </w:r>
      <w:r>
        <w:fldChar w:fldCharType="begin"/>
      </w:r>
      <w:r>
        <w:instrText>PAGEREF section_7abe11b8b25046bc877dd4490aa3d1ff</w:instrText>
      </w:r>
      <w:r>
        <w:fldChar w:fldCharType="separate"/>
      </w:r>
      <w:r>
        <w:rPr>
          <w:noProof/>
        </w:rPr>
        <w:t>468</w:t>
      </w:r>
      <w:r>
        <w:fldChar w:fldCharType="end"/>
      </w:r>
    </w:p>
    <w:p w:rsidR="00024C0A" w:rsidRDefault="00694C0F">
      <w:pPr>
        <w:pStyle w:val="indexentry0"/>
      </w:pPr>
      <w:hyperlink w:anchor="section_a1ed4f25b4cf446a89352c1579325c94">
        <w:r>
          <w:rPr>
            <w:rStyle w:val="Hyperlink"/>
          </w:rPr>
          <w:t>link (Linked Style Reference)</w:t>
        </w:r>
      </w:hyperlink>
      <w:r>
        <w:t xml:space="preserve"> </w:t>
      </w:r>
      <w:r>
        <w:fldChar w:fldCharType="begin"/>
      </w:r>
      <w:r>
        <w:instrText>PAGEREF section_a1ed4f25b4cf446a89352c1579325c94</w:instrText>
      </w:r>
      <w:r>
        <w:fldChar w:fldCharType="separate"/>
      </w:r>
      <w:r>
        <w:rPr>
          <w:noProof/>
        </w:rPr>
        <w:t>106</w:t>
      </w:r>
      <w:r>
        <w:fldChar w:fldCharType="end"/>
      </w:r>
    </w:p>
    <w:p w:rsidR="00024C0A" w:rsidRDefault="00694C0F">
      <w:pPr>
        <w:pStyle w:val="indexentry0"/>
      </w:pPr>
      <w:hyperlink w:anchor="section_a0916d92e8be4cd398c08d58842a4b67">
        <w:r>
          <w:rPr>
            <w:rStyle w:val="Hyperlink"/>
          </w:rPr>
          <w:t>linkToQuery (Query Contains Link to External Query File)</w:t>
        </w:r>
      </w:hyperlink>
      <w:r>
        <w:t xml:space="preserve"> </w:t>
      </w:r>
      <w:r>
        <w:fldChar w:fldCharType="begin"/>
      </w:r>
      <w:r>
        <w:instrText>PAGEREF section_a0916d92e8be4cd398c08d58842a4b67</w:instrText>
      </w:r>
      <w:r>
        <w:fldChar w:fldCharType="separate"/>
      </w:r>
      <w:r>
        <w:rPr>
          <w:noProof/>
        </w:rPr>
        <w:t>144</w:t>
      </w:r>
      <w:r>
        <w:fldChar w:fldCharType="end"/>
      </w:r>
    </w:p>
    <w:p w:rsidR="00024C0A" w:rsidRDefault="00694C0F">
      <w:pPr>
        <w:pStyle w:val="indexentry0"/>
      </w:pPr>
      <w:hyperlink w:anchor="section_74bbd2fc5f9d4456940afe7b4aa5b4c2">
        <w:r>
          <w:rPr>
            <w:rStyle w:val="Hyperlink"/>
          </w:rPr>
          <w:t>LinkType (Embedded Object Alternate Image R</w:t>
        </w:r>
        <w:r>
          <w:rPr>
            <w:rStyle w:val="Hyperlink"/>
          </w:rPr>
          <w:t>equest)</w:t>
        </w:r>
      </w:hyperlink>
      <w:r>
        <w:t xml:space="preserve"> </w:t>
      </w:r>
      <w:r>
        <w:fldChar w:fldCharType="begin"/>
      </w:r>
      <w:r>
        <w:instrText>PAGEREF section_74bbd2fc5f9d4456940afe7b4aa5b4c2</w:instrText>
      </w:r>
      <w:r>
        <w:fldChar w:fldCharType="separate"/>
      </w:r>
      <w:r>
        <w:rPr>
          <w:noProof/>
        </w:rPr>
        <w:t>666</w:t>
      </w:r>
      <w:r>
        <w:fldChar w:fldCharType="end"/>
      </w:r>
    </w:p>
    <w:p w:rsidR="00024C0A" w:rsidRDefault="00694C0F">
      <w:pPr>
        <w:pStyle w:val="indexentry0"/>
      </w:pPr>
      <w:hyperlink w:anchor="section_4e781457da074e9faf1ddd0cec4763f3">
        <w:r>
          <w:rPr>
            <w:rStyle w:val="Hyperlink"/>
          </w:rPr>
          <w:t>listEntry (Drop-Down List Entry)</w:t>
        </w:r>
      </w:hyperlink>
      <w:r>
        <w:t xml:space="preserve"> </w:t>
      </w:r>
      <w:r>
        <w:fldChar w:fldCharType="begin"/>
      </w:r>
      <w:r>
        <w:instrText>PAGEREF section_4e781457da074e9faf1ddd0cec4763f3</w:instrText>
      </w:r>
      <w:r>
        <w:fldChar w:fldCharType="separate"/>
      </w:r>
      <w:r>
        <w:rPr>
          <w:noProof/>
        </w:rPr>
        <w:t>226</w:t>
      </w:r>
      <w:r>
        <w:fldChar w:fldCharType="end"/>
      </w:r>
    </w:p>
    <w:p w:rsidR="00024C0A" w:rsidRDefault="00694C0F">
      <w:pPr>
        <w:pStyle w:val="indexentry0"/>
      </w:pPr>
      <w:hyperlink w:anchor="section_41fab666731c4a82985af55d31ea2df4">
        <w:r>
          <w:rPr>
            <w:rStyle w:val="Hyperlink"/>
          </w:rPr>
          <w:t>ListItem (Non-linked List Item)</w:t>
        </w:r>
      </w:hyperlink>
      <w:r>
        <w:t xml:space="preserve"> </w:t>
      </w:r>
      <w:r>
        <w:fldChar w:fldCharType="begin"/>
      </w:r>
      <w:r>
        <w:instrText>PAGEREF section_41fab666731c4a82985af55d31ea2df4</w:instrText>
      </w:r>
      <w:r>
        <w:fldChar w:fldCharType="separate"/>
      </w:r>
      <w:r>
        <w:rPr>
          <w:noProof/>
        </w:rPr>
        <w:t>676</w:t>
      </w:r>
      <w:r>
        <w:fldChar w:fldCharType="end"/>
      </w:r>
    </w:p>
    <w:p w:rsidR="00024C0A" w:rsidRDefault="00694C0F">
      <w:pPr>
        <w:pStyle w:val="indexentry0"/>
      </w:pPr>
      <w:hyperlink w:anchor="section_da16701c070d4425961f496394df6d8a">
        <w:r>
          <w:rPr>
            <w:rStyle w:val="Hyperlink"/>
          </w:rPr>
          <w:t>LISTNUM</w:t>
        </w:r>
      </w:hyperlink>
      <w:r>
        <w:t xml:space="preserve"> </w:t>
      </w:r>
      <w:r>
        <w:fldChar w:fldCharType="begin"/>
      </w:r>
      <w:r>
        <w:instrText>PAGEREF section_da16701c070d4425961f496394df6d8a</w:instrText>
      </w:r>
      <w:r>
        <w:fldChar w:fldCharType="separate"/>
      </w:r>
      <w:r>
        <w:rPr>
          <w:noProof/>
        </w:rPr>
        <w:t>217</w:t>
      </w:r>
      <w:r>
        <w:fldChar w:fldCharType="end"/>
      </w:r>
    </w:p>
    <w:p w:rsidR="00024C0A" w:rsidRDefault="00694C0F">
      <w:pPr>
        <w:pStyle w:val="indexentry0"/>
      </w:pPr>
      <w:hyperlink w:anchor="section_090d9b057d914871b6324ec1e7035e22">
        <w:r>
          <w:rPr>
            <w:rStyle w:val="Hyperlink"/>
          </w:rPr>
          <w:t>listSeparator (List Separator for Field Code Evaluation)</w:t>
        </w:r>
      </w:hyperlink>
      <w:r>
        <w:t xml:space="preserve"> </w:t>
      </w:r>
      <w:r>
        <w:fldChar w:fldCharType="begin"/>
      </w:r>
      <w:r>
        <w:instrText>PAGEREF section_090d9b057d914871b6324ec1e7035e22</w:instrText>
      </w:r>
      <w:r>
        <w:fldChar w:fldCharType="separate"/>
      </w:r>
      <w:r>
        <w:rPr>
          <w:noProof/>
        </w:rPr>
        <w:t>154</w:t>
      </w:r>
      <w:r>
        <w:fldChar w:fldCharType="end"/>
      </w:r>
    </w:p>
    <w:p w:rsidR="00024C0A" w:rsidRDefault="00694C0F">
      <w:pPr>
        <w:pStyle w:val="indexentry0"/>
      </w:pPr>
      <w:hyperlink w:anchor="section_5564035f88ff4ab8bbfbd2998a83324d">
        <w:r>
          <w:rPr>
            <w:rStyle w:val="Hyperlink"/>
          </w:rPr>
          <w:t>ln (Outline)</w:t>
        </w:r>
      </w:hyperlink>
      <w:r>
        <w:t xml:space="preserve"> </w:t>
      </w:r>
      <w:r>
        <w:fldChar w:fldCharType="begin"/>
      </w:r>
      <w:r>
        <w:instrText>PAGEREF section_5564035f88ff4ab8bbfbd2998a83324d</w:instrText>
      </w:r>
      <w:r>
        <w:fldChar w:fldCharType="separate"/>
      </w:r>
      <w:r>
        <w:rPr>
          <w:noProof/>
        </w:rPr>
        <w:t>496</w:t>
      </w:r>
      <w:r>
        <w:fldChar w:fldCharType="end"/>
      </w:r>
    </w:p>
    <w:p w:rsidR="00024C0A" w:rsidRDefault="00694C0F">
      <w:pPr>
        <w:pStyle w:val="indexentry0"/>
      </w:pPr>
      <w:hyperlink w:anchor="section_083e148ba921420fa6d2d6d19f38e4bb">
        <w:r>
          <w:rPr>
            <w:rStyle w:val="Hyperlink"/>
          </w:rPr>
          <w:t>lnB (Bottom Border Line Properties)</w:t>
        </w:r>
      </w:hyperlink>
      <w:r>
        <w:t xml:space="preserve"> </w:t>
      </w:r>
      <w:r>
        <w:fldChar w:fldCharType="begin"/>
      </w:r>
      <w:r>
        <w:instrText>PAGEREF section_083e148ba921420fa6d2d6d19f38e4bb</w:instrText>
      </w:r>
      <w:r>
        <w:fldChar w:fldCharType="separate"/>
      </w:r>
      <w:r>
        <w:rPr>
          <w:noProof/>
        </w:rPr>
        <w:t>538</w:t>
      </w:r>
      <w:r>
        <w:fldChar w:fldCharType="end"/>
      </w:r>
    </w:p>
    <w:p w:rsidR="00024C0A" w:rsidRDefault="00694C0F">
      <w:pPr>
        <w:pStyle w:val="indexentry0"/>
      </w:pPr>
      <w:hyperlink w:anchor="section_82c8360cfceb4649bc5d06b6bd03628e">
        <w:r>
          <w:rPr>
            <w:rStyle w:val="Hyperlink"/>
          </w:rPr>
          <w:t>lnBlToTr (Bottom-Left to Top-Right Border Line Properties)</w:t>
        </w:r>
      </w:hyperlink>
      <w:r>
        <w:t xml:space="preserve"> </w:t>
      </w:r>
      <w:r>
        <w:fldChar w:fldCharType="begin"/>
      </w:r>
      <w:r>
        <w:instrText>PAGEREF section_82c8360cfceb4649bc5d06b6bd03628e</w:instrText>
      </w:r>
      <w:r>
        <w:fldChar w:fldCharType="separate"/>
      </w:r>
      <w:r>
        <w:rPr>
          <w:noProof/>
        </w:rPr>
        <w:t>538</w:t>
      </w:r>
      <w:r>
        <w:fldChar w:fldCharType="end"/>
      </w:r>
    </w:p>
    <w:p w:rsidR="00024C0A" w:rsidRDefault="00694C0F">
      <w:pPr>
        <w:pStyle w:val="indexentry0"/>
      </w:pPr>
      <w:hyperlink w:anchor="section_80b6e2e172d245cbba1619312feb1a61">
        <w:r>
          <w:rPr>
            <w:rStyle w:val="Hyperlink"/>
          </w:rPr>
          <w:t>lnL (Left Border Line Properti</w:t>
        </w:r>
        <w:r>
          <w:rPr>
            <w:rStyle w:val="Hyperlink"/>
          </w:rPr>
          <w:t>es)</w:t>
        </w:r>
      </w:hyperlink>
      <w:r>
        <w:t xml:space="preserve"> </w:t>
      </w:r>
      <w:r>
        <w:fldChar w:fldCharType="begin"/>
      </w:r>
      <w:r>
        <w:instrText>PAGEREF section_80b6e2e172d245cbba1619312feb1a61</w:instrText>
      </w:r>
      <w:r>
        <w:fldChar w:fldCharType="separate"/>
      </w:r>
      <w:r>
        <w:rPr>
          <w:noProof/>
        </w:rPr>
        <w:t>538</w:t>
      </w:r>
      <w:r>
        <w:fldChar w:fldCharType="end"/>
      </w:r>
    </w:p>
    <w:p w:rsidR="00024C0A" w:rsidRDefault="00694C0F">
      <w:pPr>
        <w:pStyle w:val="indexentry0"/>
      </w:pPr>
      <w:hyperlink w:anchor="section_c4252e1348d24ac99fb53b276d02be30">
        <w:r>
          <w:rPr>
            <w:rStyle w:val="Hyperlink"/>
          </w:rPr>
          <w:t>lnNumType (Line Numbering Settings)</w:t>
        </w:r>
      </w:hyperlink>
      <w:r>
        <w:t xml:space="preserve"> </w:t>
      </w:r>
      <w:r>
        <w:fldChar w:fldCharType="begin"/>
      </w:r>
      <w:r>
        <w:instrText>PAGEREF section_c4252e1348d24ac99fb53b276d02be30</w:instrText>
      </w:r>
      <w:r>
        <w:fldChar w:fldCharType="separate"/>
      </w:r>
      <w:r>
        <w:rPr>
          <w:noProof/>
        </w:rPr>
        <w:t>102</w:t>
      </w:r>
      <w:r>
        <w:fldChar w:fldCharType="end"/>
      </w:r>
    </w:p>
    <w:p w:rsidR="00024C0A" w:rsidRDefault="00694C0F">
      <w:pPr>
        <w:pStyle w:val="indexentry0"/>
      </w:pPr>
      <w:hyperlink w:anchor="section_fce0907fd2fe4f4caad2511fbf56d166">
        <w:r>
          <w:rPr>
            <w:rStyle w:val="Hyperlink"/>
          </w:rPr>
          <w:t>lnR (Right Border Line Properties)</w:t>
        </w:r>
      </w:hyperlink>
      <w:r>
        <w:t xml:space="preserve"> </w:t>
      </w:r>
      <w:r>
        <w:fldChar w:fldCharType="begin"/>
      </w:r>
      <w:r>
        <w:instrText>PAGEREF section_fce0907fd2fe4f4caad2511fbf56d166</w:instrText>
      </w:r>
      <w:r>
        <w:fldChar w:fldCharType="separate"/>
      </w:r>
      <w:r>
        <w:rPr>
          <w:noProof/>
        </w:rPr>
        <w:t>538</w:t>
      </w:r>
      <w:r>
        <w:fldChar w:fldCharType="end"/>
      </w:r>
    </w:p>
    <w:p w:rsidR="00024C0A" w:rsidRDefault="00694C0F">
      <w:pPr>
        <w:pStyle w:val="indexentry0"/>
      </w:pPr>
      <w:hyperlink w:anchor="section_8d5ec0aa8760486991f461466ba43e52">
        <w:r>
          <w:rPr>
            <w:rStyle w:val="Hyperlink"/>
          </w:rPr>
          <w:t>lnRef (Line Reference)</w:t>
        </w:r>
      </w:hyperlink>
      <w:r>
        <w:t xml:space="preserve"> </w:t>
      </w:r>
      <w:r>
        <w:fldChar w:fldCharType="begin"/>
      </w:r>
      <w:r>
        <w:instrText>PAGEREF section_8d5ec0aa8760486991f461466ba43e52</w:instrText>
      </w:r>
      <w:r>
        <w:fldChar w:fldCharType="separate"/>
      </w:r>
      <w:r>
        <w:rPr>
          <w:noProof/>
        </w:rPr>
        <w:t>505</w:t>
      </w:r>
      <w:r>
        <w:fldChar w:fldCharType="end"/>
      </w:r>
    </w:p>
    <w:p w:rsidR="00024C0A" w:rsidRDefault="00694C0F">
      <w:pPr>
        <w:pStyle w:val="indexentry0"/>
      </w:pPr>
      <w:hyperlink w:anchor="section_4e0431052ae44b85baa84324ca7a6367">
        <w:r>
          <w:rPr>
            <w:rStyle w:val="Hyperlink"/>
          </w:rPr>
          <w:t>lnSpc (Line Spacing)</w:t>
        </w:r>
      </w:hyperlink>
      <w:r>
        <w:t xml:space="preserve"> </w:t>
      </w:r>
      <w:r>
        <w:fldChar w:fldCharType="begin"/>
      </w:r>
      <w:r>
        <w:instrText>PAGEREF section_4e0431052ae44b85baa84324ca7a6367</w:instrText>
      </w:r>
      <w:r>
        <w:fldChar w:fldCharType="separate"/>
      </w:r>
      <w:r>
        <w:rPr>
          <w:noProof/>
        </w:rPr>
        <w:t>529</w:t>
      </w:r>
      <w:r>
        <w:fldChar w:fldCharType="end"/>
      </w:r>
    </w:p>
    <w:p w:rsidR="00024C0A" w:rsidRDefault="00694C0F">
      <w:pPr>
        <w:pStyle w:val="indexentry0"/>
      </w:pPr>
      <w:hyperlink w:anchor="section_90f6fa1482574c82ad53be75e8dcbb8f">
        <w:r>
          <w:rPr>
            <w:rStyle w:val="Hyperlink"/>
          </w:rPr>
          <w:t>lnT (Top Border Line Properties)</w:t>
        </w:r>
      </w:hyperlink>
      <w:r>
        <w:t xml:space="preserve"> </w:t>
      </w:r>
      <w:r>
        <w:fldChar w:fldCharType="begin"/>
      </w:r>
      <w:r>
        <w:instrText>PAGEREF section_90f6fa1482574c82ad53be75e8dcbb8f</w:instrText>
      </w:r>
      <w:r>
        <w:fldChar w:fldCharType="separate"/>
      </w:r>
      <w:r>
        <w:rPr>
          <w:noProof/>
        </w:rPr>
        <w:t>539</w:t>
      </w:r>
      <w:r>
        <w:fldChar w:fldCharType="end"/>
      </w:r>
    </w:p>
    <w:p w:rsidR="00024C0A" w:rsidRDefault="00694C0F">
      <w:pPr>
        <w:pStyle w:val="indexentry0"/>
      </w:pPr>
      <w:hyperlink w:anchor="section_7dd0124fcd92478a95c79c2307151088">
        <w:r>
          <w:rPr>
            <w:rStyle w:val="Hyperlink"/>
          </w:rPr>
          <w:t>lnTlToBr (Top-Left to Bottom-Right Border Line Properties)</w:t>
        </w:r>
      </w:hyperlink>
      <w:r>
        <w:t xml:space="preserve"> </w:t>
      </w:r>
      <w:r>
        <w:fldChar w:fldCharType="begin"/>
      </w:r>
      <w:r>
        <w:instrText>PAGEREF section_7dd0124fcd92478a95c79c2307151088</w:instrText>
      </w:r>
      <w:r>
        <w:fldChar w:fldCharType="separate"/>
      </w:r>
      <w:r>
        <w:rPr>
          <w:noProof/>
        </w:rPr>
        <w:t>539</w:t>
      </w:r>
      <w:r>
        <w:fldChar w:fldCharType="end"/>
      </w:r>
    </w:p>
    <w:p w:rsidR="00024C0A" w:rsidRDefault="00694C0F">
      <w:pPr>
        <w:pStyle w:val="indexentry0"/>
      </w:pPr>
      <w:hyperlink w:anchor="section_fa78de5c80bd45c2b90fc99e77c58627">
        <w:r>
          <w:rPr>
            <w:rStyle w:val="Hyperlink"/>
          </w:rPr>
          <w:t>location (PivotTable Location)</w:t>
        </w:r>
      </w:hyperlink>
      <w:r>
        <w:t xml:space="preserve"> </w:t>
      </w:r>
      <w:r>
        <w:fldChar w:fldCharType="begin"/>
      </w:r>
      <w:r>
        <w:instrText>PAGEREF section_fa78de5c80bd45c2b90fc99e77c58627</w:instrText>
      </w:r>
      <w:r>
        <w:fldChar w:fldCharType="separate"/>
      </w:r>
      <w:r>
        <w:rPr>
          <w:noProof/>
        </w:rPr>
        <w:t>339</w:t>
      </w:r>
      <w:r>
        <w:fldChar w:fldCharType="end"/>
      </w:r>
    </w:p>
    <w:p w:rsidR="00024C0A" w:rsidRDefault="00694C0F">
      <w:pPr>
        <w:pStyle w:val="indexentry0"/>
      </w:pPr>
      <w:hyperlink w:anchor="section_33f39c87412e4b50991fc876c605b026">
        <w:r>
          <w:rPr>
            <w:rStyle w:val="Hyperlink"/>
          </w:rPr>
          <w:t>lock (Shape Protections)</w:t>
        </w:r>
      </w:hyperlink>
      <w:r>
        <w:t xml:space="preserve"> </w:t>
      </w:r>
      <w:r>
        <w:fldChar w:fldCharType="begin"/>
      </w:r>
      <w:r>
        <w:instrText>PAGEREF section_33f39c87412e4b50991fc876c605b026</w:instrText>
      </w:r>
      <w:r>
        <w:fldChar w:fldCharType="separate"/>
      </w:r>
      <w:r>
        <w:rPr>
          <w:noProof/>
        </w:rPr>
        <w:t>666</w:t>
      </w:r>
      <w:r>
        <w:fldChar w:fldCharType="end"/>
      </w:r>
    </w:p>
    <w:p w:rsidR="00024C0A" w:rsidRDefault="00694C0F">
      <w:pPr>
        <w:pStyle w:val="indexentry0"/>
      </w:pPr>
      <w:hyperlink w:anchor="section_4dc6867741fa4e15a3af9aecb84e03c9">
        <w:r>
          <w:rPr>
            <w:rStyle w:val="Hyperlink"/>
          </w:rPr>
          <w:t>LockedField (Embedded Object Cannot Be Refreshed)</w:t>
        </w:r>
      </w:hyperlink>
      <w:r>
        <w:t xml:space="preserve"> </w:t>
      </w:r>
      <w:r>
        <w:fldChar w:fldCharType="begin"/>
      </w:r>
      <w:r>
        <w:instrText>PAGEREF section_4dc6867741fa4e15a3af9aecb84e03c9</w:instrText>
      </w:r>
      <w:r>
        <w:fldChar w:fldCharType="separate"/>
      </w:r>
      <w:r>
        <w:rPr>
          <w:noProof/>
        </w:rPr>
        <w:t>666</w:t>
      </w:r>
      <w:r>
        <w:fldChar w:fldCharType="end"/>
      </w:r>
    </w:p>
    <w:p w:rsidR="00024C0A" w:rsidRDefault="00694C0F">
      <w:pPr>
        <w:pStyle w:val="indexentry0"/>
      </w:pPr>
      <w:hyperlink w:anchor="section_9e06359058a34e4c8a15b9cfb1bc1b88">
        <w:r>
          <w:rPr>
            <w:rStyle w:val="Hyperlink"/>
          </w:rPr>
          <w:t>LOG</w:t>
        </w:r>
      </w:hyperlink>
      <w:r>
        <w:t xml:space="preserve"> </w:t>
      </w:r>
      <w:r>
        <w:fldChar w:fldCharType="begin"/>
      </w:r>
      <w:r>
        <w:instrText>PAGEREF section_9e063590</w:instrText>
      </w:r>
      <w:r>
        <w:instrText>58a34e4c8a15b9cfb1bc1b88</w:instrText>
      </w:r>
      <w:r>
        <w:fldChar w:fldCharType="separate"/>
      </w:r>
      <w:r>
        <w:rPr>
          <w:noProof/>
        </w:rPr>
        <w:t>428</w:t>
      </w:r>
      <w:r>
        <w:fldChar w:fldCharType="end"/>
      </w:r>
    </w:p>
    <w:p w:rsidR="00024C0A" w:rsidRDefault="00694C0F">
      <w:pPr>
        <w:pStyle w:val="indexentry0"/>
      </w:pPr>
      <w:hyperlink w:anchor="section_bd605e24aefa4f038aaefb389ffea52c">
        <w:r>
          <w:rPr>
            <w:rStyle w:val="Hyperlink"/>
          </w:rPr>
          <w:t>LOGEST</w:t>
        </w:r>
      </w:hyperlink>
      <w:r>
        <w:t xml:space="preserve"> </w:t>
      </w:r>
      <w:r>
        <w:fldChar w:fldCharType="begin"/>
      </w:r>
      <w:r>
        <w:instrText>PAGEREF section_bd605e24aefa4f038aaefb389ffea52c</w:instrText>
      </w:r>
      <w:r>
        <w:fldChar w:fldCharType="separate"/>
      </w:r>
      <w:r>
        <w:rPr>
          <w:noProof/>
        </w:rPr>
        <w:t>429</w:t>
      </w:r>
      <w:r>
        <w:fldChar w:fldCharType="end"/>
      </w:r>
    </w:p>
    <w:p w:rsidR="00024C0A" w:rsidRDefault="00694C0F">
      <w:pPr>
        <w:pStyle w:val="indexentry0"/>
      </w:pPr>
      <w:hyperlink w:anchor="section_30e516d248dd4052be896aae823b298e">
        <w:r>
          <w:rPr>
            <w:rStyle w:val="Hyperlink"/>
          </w:rPr>
          <w:t>LOGINV</w:t>
        </w:r>
      </w:hyperlink>
      <w:r>
        <w:t xml:space="preserve"> </w:t>
      </w:r>
      <w:r>
        <w:fldChar w:fldCharType="begin"/>
      </w:r>
      <w:r>
        <w:instrText>PAGEREF section_30e516d248dd4052be89</w:instrText>
      </w:r>
      <w:r>
        <w:instrText>6aae823b298e</w:instrText>
      </w:r>
      <w:r>
        <w:fldChar w:fldCharType="separate"/>
      </w:r>
      <w:r>
        <w:rPr>
          <w:noProof/>
        </w:rPr>
        <w:t>429</w:t>
      </w:r>
      <w:r>
        <w:fldChar w:fldCharType="end"/>
      </w:r>
    </w:p>
    <w:p w:rsidR="00024C0A" w:rsidRDefault="00694C0F">
      <w:pPr>
        <w:pStyle w:val="indexentry0"/>
      </w:pPr>
      <w:hyperlink w:anchor="section_572fe441c59643d68a9f2a5baeae54a4">
        <w:r>
          <w:rPr>
            <w:rStyle w:val="Hyperlink"/>
          </w:rPr>
          <w:t>LOGNORMDIST</w:t>
        </w:r>
      </w:hyperlink>
      <w:r>
        <w:t xml:space="preserve"> </w:t>
      </w:r>
      <w:r>
        <w:fldChar w:fldCharType="begin"/>
      </w:r>
      <w:r>
        <w:instrText>PAGEREF section_572fe441c59643d68a9f2a5baeae54a4</w:instrText>
      </w:r>
      <w:r>
        <w:fldChar w:fldCharType="separate"/>
      </w:r>
      <w:r>
        <w:rPr>
          <w:noProof/>
        </w:rPr>
        <w:t>429</w:t>
      </w:r>
      <w:r>
        <w:fldChar w:fldCharType="end"/>
      </w:r>
    </w:p>
    <w:p w:rsidR="00024C0A" w:rsidRDefault="00694C0F">
      <w:pPr>
        <w:pStyle w:val="indexentry0"/>
      </w:pPr>
      <w:hyperlink w:anchor="section_78d73854b7934cd682ef994e57d303db">
        <w:r>
          <w:rPr>
            <w:rStyle w:val="Hyperlink"/>
          </w:rPr>
          <w:t>Long Properties</w:t>
        </w:r>
      </w:hyperlink>
      <w:r>
        <w:t xml:space="preserve"> </w:t>
      </w:r>
      <w:r>
        <w:fldChar w:fldCharType="begin"/>
      </w:r>
      <w:r>
        <w:instrText>PAGEREF section_78d73854b7934cd682</w:instrText>
      </w:r>
      <w:r>
        <w:instrText>ef994e57d303db</w:instrText>
      </w:r>
      <w:r>
        <w:fldChar w:fldCharType="separate"/>
      </w:r>
      <w:r>
        <w:rPr>
          <w:noProof/>
        </w:rPr>
        <w:t>868</w:t>
      </w:r>
      <w:r>
        <w:fldChar w:fldCharType="end"/>
      </w:r>
    </w:p>
    <w:p w:rsidR="00024C0A" w:rsidRDefault="00694C0F">
      <w:pPr>
        <w:pStyle w:val="indexentry0"/>
      </w:pPr>
      <w:hyperlink w:anchor="section_03e16b150a6b4dc88574f27a056f37e5">
        <w:r>
          <w:rPr>
            <w:rStyle w:val="Hyperlink"/>
          </w:rPr>
          <w:t>Long Properties Schema</w:t>
        </w:r>
      </w:hyperlink>
      <w:r>
        <w:t xml:space="preserve"> </w:t>
      </w:r>
      <w:r>
        <w:fldChar w:fldCharType="begin"/>
      </w:r>
      <w:r>
        <w:instrText>PAGEREF section_03e16b150a6b4dc88574f27a056f37e5</w:instrText>
      </w:r>
      <w:r>
        <w:fldChar w:fldCharType="separate"/>
      </w:r>
      <w:r>
        <w:rPr>
          <w:noProof/>
        </w:rPr>
        <w:t>869</w:t>
      </w:r>
      <w:r>
        <w:fldChar w:fldCharType="end"/>
      </w:r>
    </w:p>
    <w:p w:rsidR="00024C0A" w:rsidRDefault="00694C0F">
      <w:pPr>
        <w:pStyle w:val="indexentry0"/>
      </w:pPr>
      <w:hyperlink w:anchor="section_a29af684e8d2433685bb33f038481e2c">
        <w:r>
          <w:rPr>
            <w:rStyle w:val="Hyperlink"/>
          </w:rPr>
          <w:t>longDesc (Frame Long Description)</w:t>
        </w:r>
      </w:hyperlink>
      <w:r>
        <w:t xml:space="preserve"> </w:t>
      </w:r>
      <w:r>
        <w:fldChar w:fldCharType="begin"/>
      </w:r>
      <w:r>
        <w:instrText>PAGEREF section_a29af684e8d2433685bb33f038481e2c</w:instrText>
      </w:r>
      <w:r>
        <w:fldChar w:fldCharType="separate"/>
      </w:r>
      <w:r>
        <w:rPr>
          <w:noProof/>
        </w:rPr>
        <w:t>162</w:t>
      </w:r>
      <w:r>
        <w:fldChar w:fldCharType="end"/>
      </w:r>
    </w:p>
    <w:p w:rsidR="00024C0A" w:rsidRDefault="00694C0F">
      <w:pPr>
        <w:pStyle w:val="indexentry0"/>
      </w:pPr>
      <w:hyperlink w:anchor="section_8f665f8d316b4f9b83d330a8520fb932">
        <w:r>
          <w:rPr>
            <w:rStyle w:val="Hyperlink"/>
          </w:rPr>
          <w:t>LongProp (Custom XML Server Property - Long Property)</w:t>
        </w:r>
      </w:hyperlink>
      <w:r>
        <w:t xml:space="preserve"> </w:t>
      </w:r>
      <w:r>
        <w:fldChar w:fldCharType="begin"/>
      </w:r>
      <w:r>
        <w:instrText>PAGEREF section_8f665f8d316b4f9b83d330a8520fb932</w:instrText>
      </w:r>
      <w:r>
        <w:fldChar w:fldCharType="separate"/>
      </w:r>
      <w:r>
        <w:rPr>
          <w:noProof/>
        </w:rPr>
        <w:t>869</w:t>
      </w:r>
      <w:r>
        <w:fldChar w:fldCharType="end"/>
      </w:r>
    </w:p>
    <w:p w:rsidR="00024C0A" w:rsidRDefault="00694C0F">
      <w:pPr>
        <w:pStyle w:val="indexentry0"/>
      </w:pPr>
      <w:hyperlink w:anchor="section_e142bd7e59954bcfaaa84317a6eb9396">
        <w:r>
          <w:rPr>
            <w:rStyle w:val="Hyperlink"/>
          </w:rPr>
          <w:t>LongProperties (Custom XML Server Properties - Long Properties)</w:t>
        </w:r>
      </w:hyperlink>
      <w:r>
        <w:t xml:space="preserve"> </w:t>
      </w:r>
      <w:r>
        <w:fldChar w:fldCharType="begin"/>
      </w:r>
      <w:r>
        <w:instrText>PAGEREF section_e142bd7e59954bcfaaa84317a6eb9396</w:instrText>
      </w:r>
      <w:r>
        <w:fldChar w:fldCharType="separate"/>
      </w:r>
      <w:r>
        <w:rPr>
          <w:noProof/>
        </w:rPr>
        <w:t>869</w:t>
      </w:r>
      <w:r>
        <w:fldChar w:fldCharType="end"/>
      </w:r>
    </w:p>
    <w:p w:rsidR="00024C0A" w:rsidRDefault="00694C0F">
      <w:pPr>
        <w:pStyle w:val="indexentry0"/>
      </w:pPr>
      <w:hyperlink w:anchor="section_2e117ead5ede4f1bb2d9bf4a463da221">
        <w:r>
          <w:rPr>
            <w:rStyle w:val="Hyperlink"/>
          </w:rPr>
          <w:t>lsdException (Latent Style Exception)</w:t>
        </w:r>
      </w:hyperlink>
      <w:r>
        <w:t xml:space="preserve"> </w:t>
      </w:r>
      <w:r>
        <w:fldChar w:fldCharType="begin"/>
      </w:r>
      <w:r>
        <w:instrText>PAGEREF sec</w:instrText>
      </w:r>
      <w:r>
        <w:instrText>tion_2e117ead5ede4f1bb2d9bf4a463da221</w:instrText>
      </w:r>
      <w:r>
        <w:fldChar w:fldCharType="separate"/>
      </w:r>
      <w:r>
        <w:rPr>
          <w:noProof/>
        </w:rPr>
        <w:t>106</w:t>
      </w:r>
      <w:r>
        <w:fldChar w:fldCharType="end"/>
      </w:r>
    </w:p>
    <w:p w:rsidR="00024C0A" w:rsidRDefault="00694C0F">
      <w:pPr>
        <w:pStyle w:val="indexentry0"/>
      </w:pPr>
      <w:hyperlink w:anchor="section_95b65bea5318441eb941f8b8b47c6ff8">
        <w:r>
          <w:rPr>
            <w:rStyle w:val="Hyperlink"/>
          </w:rPr>
          <w:t>lt1 (Light 1)</w:t>
        </w:r>
      </w:hyperlink>
      <w:r>
        <w:t xml:space="preserve"> </w:t>
      </w:r>
      <w:r>
        <w:fldChar w:fldCharType="begin"/>
      </w:r>
      <w:r>
        <w:instrText>PAGEREF section_95b65bea5318441eb941f8b8b47c6ff8</w:instrText>
      </w:r>
      <w:r>
        <w:fldChar w:fldCharType="separate"/>
      </w:r>
      <w:r>
        <w:rPr>
          <w:noProof/>
        </w:rPr>
        <w:t>505</w:t>
      </w:r>
      <w:r>
        <w:fldChar w:fldCharType="end"/>
      </w:r>
    </w:p>
    <w:p w:rsidR="00024C0A" w:rsidRDefault="00694C0F">
      <w:pPr>
        <w:pStyle w:val="indexentry0"/>
      </w:pPr>
      <w:hyperlink w:anchor="section_06a16974a53649de992d0576550cfa06">
        <w:r>
          <w:rPr>
            <w:rStyle w:val="Hyperlink"/>
          </w:rPr>
          <w:t>lt2 (Light 2)</w:t>
        </w:r>
      </w:hyperlink>
      <w:r>
        <w:t xml:space="preserve"> </w:t>
      </w:r>
      <w:r>
        <w:fldChar w:fldCharType="begin"/>
      </w:r>
      <w:r>
        <w:instrText>PAGEREF s</w:instrText>
      </w:r>
      <w:r>
        <w:instrText>ection_06a16974a53649de992d0576550cfa06</w:instrText>
      </w:r>
      <w:r>
        <w:fldChar w:fldCharType="separate"/>
      </w:r>
      <w:r>
        <w:rPr>
          <w:noProof/>
        </w:rPr>
        <w:t>505</w:t>
      </w:r>
      <w:r>
        <w:fldChar w:fldCharType="end"/>
      </w:r>
    </w:p>
    <w:p w:rsidR="00024C0A" w:rsidRDefault="00694C0F">
      <w:pPr>
        <w:pStyle w:val="indexentry0"/>
      </w:pPr>
      <w:hyperlink w:anchor="section_52c3867f20ad47b1b0c988082bf94676">
        <w:r>
          <w:rPr>
            <w:rStyle w:val="Hyperlink"/>
          </w:rPr>
          <w:t>lum (Luminance Effect)</w:t>
        </w:r>
      </w:hyperlink>
      <w:r>
        <w:t xml:space="preserve"> </w:t>
      </w:r>
      <w:r>
        <w:fldChar w:fldCharType="begin"/>
      </w:r>
      <w:r>
        <w:instrText>PAGEREF section_52c3867f20ad47b1b0c988082bf94676</w:instrText>
      </w:r>
      <w:r>
        <w:fldChar w:fldCharType="separate"/>
      </w:r>
      <w:r>
        <w:rPr>
          <w:noProof/>
        </w:rPr>
        <w:t>513</w:t>
      </w:r>
      <w:r>
        <w:fldChar w:fldCharType="end"/>
      </w:r>
    </w:p>
    <w:p w:rsidR="00024C0A" w:rsidRDefault="00694C0F">
      <w:pPr>
        <w:pStyle w:val="indexentry0"/>
      </w:pPr>
      <w:hyperlink w:anchor="section_a71c29ec88db4dcc8e5ac4d216d68ea3">
        <w:r>
          <w:rPr>
            <w:rStyle w:val="Hyperlink"/>
          </w:rPr>
          <w:t>lum (Luminance)</w:t>
        </w:r>
      </w:hyperlink>
      <w:r>
        <w:t xml:space="preserve"> </w:t>
      </w:r>
      <w:r>
        <w:fldChar w:fldCharType="begin"/>
      </w:r>
      <w:r>
        <w:instrText>PAGEREF section_a71c29ec88db4dcc8e5ac4d216d68ea3</w:instrText>
      </w:r>
      <w:r>
        <w:fldChar w:fldCharType="separate"/>
      </w:r>
      <w:r>
        <w:rPr>
          <w:noProof/>
        </w:rPr>
        <w:t>500</w:t>
      </w:r>
      <w:r>
        <w:fldChar w:fldCharType="end"/>
      </w:r>
    </w:p>
    <w:p w:rsidR="00024C0A" w:rsidRDefault="00694C0F">
      <w:pPr>
        <w:pStyle w:val="indexentry0"/>
      </w:pPr>
      <w:hyperlink w:anchor="section_bbae891601d748acae07ff5d30130967">
        <w:r>
          <w:rPr>
            <w:rStyle w:val="Hyperlink"/>
          </w:rPr>
          <w:t>lumMod (Luminance Modulation)</w:t>
        </w:r>
      </w:hyperlink>
      <w:r>
        <w:t xml:space="preserve"> </w:t>
      </w:r>
      <w:r>
        <w:fldChar w:fldCharType="begin"/>
      </w:r>
      <w:r>
        <w:instrText>PAGEREF section_bbae891601d748acae07ff5d30130967</w:instrText>
      </w:r>
      <w:r>
        <w:fldChar w:fldCharType="separate"/>
      </w:r>
      <w:r>
        <w:rPr>
          <w:noProof/>
        </w:rPr>
        <w:t>500</w:t>
      </w:r>
      <w:r>
        <w:fldChar w:fldCharType="end"/>
      </w:r>
    </w:p>
    <w:p w:rsidR="00024C0A" w:rsidRDefault="00694C0F">
      <w:pPr>
        <w:pStyle w:val="indexentry0"/>
      </w:pPr>
      <w:hyperlink w:anchor="section_fa8c6409ddd046bdb9950b00342d9aeb">
        <w:r>
          <w:rPr>
            <w:rStyle w:val="Hyperlink"/>
          </w:rPr>
          <w:t>lumOff (Luminance Offset)</w:t>
        </w:r>
      </w:hyperlink>
      <w:r>
        <w:t xml:space="preserve"> </w:t>
      </w:r>
      <w:r>
        <w:fldChar w:fldCharType="begin"/>
      </w:r>
      <w:r>
        <w:instrText>PAGEREF section_fa8c6409ddd046bdb9950b00342d9aeb</w:instrText>
      </w:r>
      <w:r>
        <w:fldChar w:fldCharType="separate"/>
      </w:r>
      <w:r>
        <w:rPr>
          <w:noProof/>
        </w:rPr>
        <w:t>500</w:t>
      </w:r>
      <w:r>
        <w:fldChar w:fldCharType="end"/>
      </w:r>
    </w:p>
    <w:p w:rsidR="00024C0A" w:rsidRDefault="00694C0F">
      <w:pPr>
        <w:pStyle w:val="indexentry0"/>
      </w:pPr>
      <w:hyperlink w:anchor="section_f6d3a915d0354a95b1668a66c55ff8a4">
        <w:r>
          <w:rPr>
            <w:rStyle w:val="Hyperlink"/>
          </w:rPr>
          <w:t>lvl (Level)</w:t>
        </w:r>
      </w:hyperlink>
      <w:r>
        <w:t xml:space="preserve"> </w:t>
      </w:r>
      <w:r>
        <w:fldChar w:fldCharType="begin"/>
      </w:r>
      <w:r>
        <w:instrText>PAGEREF section_f6d3a915d0354a95b1668a66c55ff8a4</w:instrText>
      </w:r>
      <w:r>
        <w:fldChar w:fldCharType="separate"/>
      </w:r>
      <w:r>
        <w:rPr>
          <w:noProof/>
        </w:rPr>
        <w:t>552</w:t>
      </w:r>
      <w:r>
        <w:fldChar w:fldCharType="end"/>
      </w:r>
    </w:p>
    <w:p w:rsidR="00024C0A" w:rsidRDefault="00694C0F">
      <w:pPr>
        <w:pStyle w:val="indexentry0"/>
      </w:pPr>
      <w:hyperlink w:anchor="section_895f4d8b0bff4f5ba8fe36595d6ca794">
        <w:r>
          <w:rPr>
            <w:rStyle w:val="Hyperlink"/>
          </w:rPr>
          <w:t>lvl (Numbering Level Definition)</w:t>
        </w:r>
      </w:hyperlink>
      <w:r>
        <w:t xml:space="preserve"> </w:t>
      </w:r>
      <w:r>
        <w:fldChar w:fldCharType="begin"/>
      </w:r>
      <w:r>
        <w:instrText>PAGEREF section_895f4d8b0bff4f5ba8fe36595d6ca794</w:instrText>
      </w:r>
      <w:r>
        <w:fldChar w:fldCharType="separate"/>
      </w:r>
      <w:r>
        <w:rPr>
          <w:noProof/>
        </w:rPr>
        <w:t>123</w:t>
      </w:r>
      <w:r>
        <w:fldChar w:fldCharType="end"/>
      </w:r>
    </w:p>
    <w:p w:rsidR="00024C0A" w:rsidRDefault="00694C0F">
      <w:pPr>
        <w:pStyle w:val="indexentry0"/>
      </w:pPr>
      <w:hyperlink w:anchor="section_aab4583bf1ec4ae18c5d314f27742479">
        <w:r>
          <w:rPr>
            <w:rStyle w:val="Hyperlink"/>
          </w:rPr>
          <w:t>lvl (Numbering Level Override Definition)</w:t>
        </w:r>
      </w:hyperlink>
      <w:r>
        <w:t xml:space="preserve"> </w:t>
      </w:r>
      <w:r>
        <w:fldChar w:fldCharType="begin"/>
      </w:r>
      <w:r>
        <w:instrText>PAG</w:instrText>
      </w:r>
      <w:r>
        <w:instrText>EREF section_aab4583bf1ec4ae18c5d314f27742479</w:instrText>
      </w:r>
      <w:r>
        <w:fldChar w:fldCharType="separate"/>
      </w:r>
      <w:r>
        <w:rPr>
          <w:noProof/>
        </w:rPr>
        <w:t>123</w:t>
      </w:r>
      <w:r>
        <w:fldChar w:fldCharType="end"/>
      </w:r>
    </w:p>
    <w:p w:rsidR="00024C0A" w:rsidRDefault="00694C0F">
      <w:pPr>
        <w:pStyle w:val="indexentry0"/>
      </w:pPr>
      <w:hyperlink w:anchor="section_9b34280e538e48118af9761d34f88f20">
        <w:r>
          <w:rPr>
            <w:rStyle w:val="Hyperlink"/>
          </w:rPr>
          <w:t>lvl1pPr (List Level 1 Text Style)</w:t>
        </w:r>
      </w:hyperlink>
      <w:r>
        <w:t xml:space="preserve"> </w:t>
      </w:r>
      <w:r>
        <w:fldChar w:fldCharType="begin"/>
      </w:r>
      <w:r>
        <w:instrText>PAGEREF section_9b34280e538e48118af9761d34f88f20</w:instrText>
      </w:r>
      <w:r>
        <w:fldChar w:fldCharType="separate"/>
      </w:r>
      <w:r>
        <w:rPr>
          <w:noProof/>
        </w:rPr>
        <w:t>536</w:t>
      </w:r>
      <w:r>
        <w:fldChar w:fldCharType="end"/>
      </w:r>
    </w:p>
    <w:p w:rsidR="00024C0A" w:rsidRDefault="00694C0F">
      <w:pPr>
        <w:pStyle w:val="indexentry0"/>
      </w:pPr>
      <w:hyperlink w:anchor="section_b38501622477401f850f1df6753a0f6a">
        <w:r>
          <w:rPr>
            <w:rStyle w:val="Hyperlink"/>
          </w:rPr>
          <w:t>lvl2pPr (List Level 2 Text Style)</w:t>
        </w:r>
      </w:hyperlink>
      <w:r>
        <w:t xml:space="preserve"> </w:t>
      </w:r>
      <w:r>
        <w:fldChar w:fldCharType="begin"/>
      </w:r>
      <w:r>
        <w:instrText>PAGEREF section_b38501622477401f850f1df6753a0f6a</w:instrText>
      </w:r>
      <w:r>
        <w:fldChar w:fldCharType="separate"/>
      </w:r>
      <w:r>
        <w:rPr>
          <w:noProof/>
        </w:rPr>
        <w:t>537</w:t>
      </w:r>
      <w:r>
        <w:fldChar w:fldCharType="end"/>
      </w:r>
    </w:p>
    <w:p w:rsidR="00024C0A" w:rsidRDefault="00694C0F">
      <w:pPr>
        <w:pStyle w:val="indexentry0"/>
      </w:pPr>
      <w:hyperlink w:anchor="section_d4a8333066814a558325a854e9678e28">
        <w:r>
          <w:rPr>
            <w:rStyle w:val="Hyperlink"/>
          </w:rPr>
          <w:t>lvl3pPr (List Level 3 Text Style)</w:t>
        </w:r>
      </w:hyperlink>
      <w:r>
        <w:t xml:space="preserve"> </w:t>
      </w:r>
      <w:r>
        <w:fldChar w:fldCharType="begin"/>
      </w:r>
      <w:r>
        <w:instrText>PAGEREF section_d4a8333066814a558325a854e9678e28</w:instrText>
      </w:r>
      <w:r>
        <w:fldChar w:fldCharType="separate"/>
      </w:r>
      <w:r>
        <w:rPr>
          <w:noProof/>
        </w:rPr>
        <w:t>537</w:t>
      </w:r>
      <w:r>
        <w:fldChar w:fldCharType="end"/>
      </w:r>
    </w:p>
    <w:p w:rsidR="00024C0A" w:rsidRDefault="00694C0F">
      <w:pPr>
        <w:pStyle w:val="indexentry0"/>
      </w:pPr>
      <w:hyperlink w:anchor="section_142246b5277945a4b8a49a03defc916a">
        <w:r>
          <w:rPr>
            <w:rStyle w:val="Hyperlink"/>
          </w:rPr>
          <w:t>lvl4pPr (List Level 4 Text Style)</w:t>
        </w:r>
      </w:hyperlink>
      <w:r>
        <w:t xml:space="preserve"> </w:t>
      </w:r>
      <w:r>
        <w:fldChar w:fldCharType="begin"/>
      </w:r>
      <w:r>
        <w:instrText>PAGEREF section_142246b5277945a4b8a49a03defc916a</w:instrText>
      </w:r>
      <w:r>
        <w:fldChar w:fldCharType="separate"/>
      </w:r>
      <w:r>
        <w:rPr>
          <w:noProof/>
        </w:rPr>
        <w:t>537</w:t>
      </w:r>
      <w:r>
        <w:fldChar w:fldCharType="end"/>
      </w:r>
    </w:p>
    <w:p w:rsidR="00024C0A" w:rsidRDefault="00694C0F">
      <w:pPr>
        <w:pStyle w:val="indexentry0"/>
      </w:pPr>
      <w:hyperlink w:anchor="section_e5ca15241c834a9689ad5c13442ac84e">
        <w:r>
          <w:rPr>
            <w:rStyle w:val="Hyperlink"/>
          </w:rPr>
          <w:t>lvl5pPr (List Level 5 Text Style)</w:t>
        </w:r>
      </w:hyperlink>
      <w:r>
        <w:t xml:space="preserve"> </w:t>
      </w:r>
      <w:r>
        <w:fldChar w:fldCharType="begin"/>
      </w:r>
      <w:r>
        <w:instrText>PAGEREF section_e5ca15241c</w:instrText>
      </w:r>
      <w:r>
        <w:instrText>834a9689ad5c13442ac84e</w:instrText>
      </w:r>
      <w:r>
        <w:fldChar w:fldCharType="separate"/>
      </w:r>
      <w:r>
        <w:rPr>
          <w:noProof/>
        </w:rPr>
        <w:t>537</w:t>
      </w:r>
      <w:r>
        <w:fldChar w:fldCharType="end"/>
      </w:r>
    </w:p>
    <w:p w:rsidR="00024C0A" w:rsidRDefault="00694C0F">
      <w:pPr>
        <w:pStyle w:val="indexentry0"/>
      </w:pPr>
      <w:hyperlink w:anchor="section_228bd71e50624343972ec687ef5c6c49">
        <w:r>
          <w:rPr>
            <w:rStyle w:val="Hyperlink"/>
          </w:rPr>
          <w:t>lvl6pPr (List Level 6 Text Style)</w:t>
        </w:r>
      </w:hyperlink>
      <w:r>
        <w:t xml:space="preserve"> </w:t>
      </w:r>
      <w:r>
        <w:fldChar w:fldCharType="begin"/>
      </w:r>
      <w:r>
        <w:instrText>PAGEREF section_228bd71e50624343972ec687ef5c6c49</w:instrText>
      </w:r>
      <w:r>
        <w:fldChar w:fldCharType="separate"/>
      </w:r>
      <w:r>
        <w:rPr>
          <w:noProof/>
        </w:rPr>
        <w:t>537</w:t>
      </w:r>
      <w:r>
        <w:fldChar w:fldCharType="end"/>
      </w:r>
    </w:p>
    <w:p w:rsidR="00024C0A" w:rsidRDefault="00694C0F">
      <w:pPr>
        <w:pStyle w:val="indexentry0"/>
      </w:pPr>
      <w:hyperlink w:anchor="section_c33ec6fdf6bf4c52bfcbf79c46f75940">
        <w:r>
          <w:rPr>
            <w:rStyle w:val="Hyperlink"/>
          </w:rPr>
          <w:t xml:space="preserve">lvl7pPr (List Level </w:t>
        </w:r>
        <w:r>
          <w:rPr>
            <w:rStyle w:val="Hyperlink"/>
          </w:rPr>
          <w:t>7 Text Style)</w:t>
        </w:r>
      </w:hyperlink>
      <w:r>
        <w:t xml:space="preserve"> </w:t>
      </w:r>
      <w:r>
        <w:fldChar w:fldCharType="begin"/>
      </w:r>
      <w:r>
        <w:instrText>PAGEREF section_c33ec6fdf6bf4c52bfcbf79c46f75940</w:instrText>
      </w:r>
      <w:r>
        <w:fldChar w:fldCharType="separate"/>
      </w:r>
      <w:r>
        <w:rPr>
          <w:noProof/>
        </w:rPr>
        <w:t>538</w:t>
      </w:r>
      <w:r>
        <w:fldChar w:fldCharType="end"/>
      </w:r>
    </w:p>
    <w:p w:rsidR="00024C0A" w:rsidRDefault="00694C0F">
      <w:pPr>
        <w:pStyle w:val="indexentry0"/>
      </w:pPr>
      <w:hyperlink w:anchor="section_fad8b55fc4384af283ae8d18980a3409">
        <w:r>
          <w:rPr>
            <w:rStyle w:val="Hyperlink"/>
          </w:rPr>
          <w:t>lvl8pPr (List Level 8 Text Style)</w:t>
        </w:r>
      </w:hyperlink>
      <w:r>
        <w:t xml:space="preserve"> </w:t>
      </w:r>
      <w:r>
        <w:fldChar w:fldCharType="begin"/>
      </w:r>
      <w:r>
        <w:instrText>PAGEREF section_fad8b55fc4384af283ae8d18980a3409</w:instrText>
      </w:r>
      <w:r>
        <w:fldChar w:fldCharType="separate"/>
      </w:r>
      <w:r>
        <w:rPr>
          <w:noProof/>
        </w:rPr>
        <w:t>538</w:t>
      </w:r>
      <w:r>
        <w:fldChar w:fldCharType="end"/>
      </w:r>
    </w:p>
    <w:p w:rsidR="00024C0A" w:rsidRDefault="00694C0F">
      <w:pPr>
        <w:pStyle w:val="indexentry0"/>
      </w:pPr>
      <w:hyperlink w:anchor="section_07edd2dd19594af5b4464964a45d4168">
        <w:r>
          <w:rPr>
            <w:rStyle w:val="Hyperlink"/>
          </w:rPr>
          <w:t>lvl9pPr (List Level 9 Text Style)</w:t>
        </w:r>
      </w:hyperlink>
      <w:r>
        <w:t xml:space="preserve"> </w:t>
      </w:r>
      <w:r>
        <w:fldChar w:fldCharType="begin"/>
      </w:r>
      <w:r>
        <w:instrText>PAGEREF section_07edd2dd19594af5b4464964a45d4168</w:instrText>
      </w:r>
      <w:r>
        <w:fldChar w:fldCharType="separate"/>
      </w:r>
      <w:r>
        <w:rPr>
          <w:noProof/>
        </w:rPr>
        <w:t>538</w:t>
      </w:r>
      <w:r>
        <w:fldChar w:fldCharType="end"/>
      </w:r>
    </w:p>
    <w:p w:rsidR="00024C0A" w:rsidRDefault="00694C0F">
      <w:pPr>
        <w:pStyle w:val="indexentry0"/>
      </w:pPr>
      <w:hyperlink w:anchor="section_182e6a3c70ea4ba1bcd001caa609fcdf">
        <w:r>
          <w:rPr>
            <w:rStyle w:val="Hyperlink"/>
          </w:rPr>
          <w:t>lvlJc (Justification)</w:t>
        </w:r>
      </w:hyperlink>
      <w:r>
        <w:t xml:space="preserve"> </w:t>
      </w:r>
      <w:r>
        <w:fldChar w:fldCharType="begin"/>
      </w:r>
      <w:r>
        <w:instrText>PAGEREF section_182e6a</w:instrText>
      </w:r>
      <w:r>
        <w:instrText>3c70ea4ba1bcd001caa609fcdf</w:instrText>
      </w:r>
      <w:r>
        <w:fldChar w:fldCharType="separate"/>
      </w:r>
      <w:r>
        <w:rPr>
          <w:noProof/>
        </w:rPr>
        <w:t>123</w:t>
      </w:r>
      <w:r>
        <w:fldChar w:fldCharType="end"/>
      </w:r>
    </w:p>
    <w:p w:rsidR="00024C0A" w:rsidRDefault="00694C0F">
      <w:pPr>
        <w:pStyle w:val="indexentry0"/>
      </w:pPr>
      <w:hyperlink w:anchor="section_140a2cd92f26456d9760ae6ecef4e8b5">
        <w:r>
          <w:rPr>
            <w:rStyle w:val="Hyperlink"/>
          </w:rPr>
          <w:t>lvlRestart (Restart Numbering Level Symbol)</w:t>
        </w:r>
      </w:hyperlink>
      <w:r>
        <w:t xml:space="preserve"> </w:t>
      </w:r>
      <w:r>
        <w:fldChar w:fldCharType="begin"/>
      </w:r>
      <w:r>
        <w:instrText>PAGEREF section_140a2cd92f26456d9760ae6ecef4e8b5</w:instrText>
      </w:r>
      <w:r>
        <w:fldChar w:fldCharType="separate"/>
      </w:r>
      <w:r>
        <w:rPr>
          <w:noProof/>
        </w:rPr>
        <w:t>123</w:t>
      </w:r>
      <w:r>
        <w:fldChar w:fldCharType="end"/>
      </w:r>
    </w:p>
    <w:p w:rsidR="00024C0A" w:rsidRDefault="00694C0F">
      <w:pPr>
        <w:pStyle w:val="indexentry0"/>
      </w:pPr>
      <w:hyperlink w:anchor="section_74f54646dbe040ea90c95ec70107e91d">
        <w:r>
          <w:rPr>
            <w:rStyle w:val="Hyperlink"/>
          </w:rPr>
          <w:t>lvlTex</w:t>
        </w:r>
        <w:r>
          <w:rPr>
            <w:rStyle w:val="Hyperlink"/>
          </w:rPr>
          <w:t>t (Numbering Level Text)</w:t>
        </w:r>
      </w:hyperlink>
      <w:r>
        <w:t xml:space="preserve"> </w:t>
      </w:r>
      <w:r>
        <w:fldChar w:fldCharType="begin"/>
      </w:r>
      <w:r>
        <w:instrText>PAGEREF section_74f54646dbe040ea90c95ec70107e91d</w:instrText>
      </w:r>
      <w:r>
        <w:fldChar w:fldCharType="separate"/>
      </w:r>
      <w:r>
        <w:rPr>
          <w:noProof/>
        </w:rPr>
        <w:t>124</w:t>
      </w:r>
      <w:r>
        <w:fldChar w:fldCharType="end"/>
      </w:r>
    </w:p>
    <w:p w:rsidR="00024C0A" w:rsidRDefault="00024C0A">
      <w:pPr>
        <w:spacing w:before="0" w:after="0"/>
        <w:rPr>
          <w:sz w:val="16"/>
        </w:rPr>
      </w:pPr>
    </w:p>
    <w:p w:rsidR="00024C0A" w:rsidRDefault="00694C0F">
      <w:pPr>
        <w:pStyle w:val="indexheader"/>
      </w:pPr>
      <w:r>
        <w:t>M</w:t>
      </w:r>
    </w:p>
    <w:p w:rsidR="00024C0A" w:rsidRDefault="00024C0A">
      <w:pPr>
        <w:spacing w:before="0" w:after="0"/>
        <w:rPr>
          <w:sz w:val="16"/>
        </w:rPr>
      </w:pPr>
    </w:p>
    <w:p w:rsidR="00024C0A" w:rsidRDefault="00694C0F">
      <w:pPr>
        <w:pStyle w:val="indexentry0"/>
      </w:pPr>
      <w:hyperlink w:anchor="section_5ebe64dcdfd043959169450bd428ae63">
        <w:r>
          <w:rPr>
            <w:rStyle w:val="Hyperlink"/>
          </w:rPr>
          <w:t>m (Matrix Object)</w:t>
        </w:r>
      </w:hyperlink>
      <w:r>
        <w:t xml:space="preserve"> </w:t>
      </w:r>
      <w:r>
        <w:fldChar w:fldCharType="begin"/>
      </w:r>
      <w:r>
        <w:instrText>PAGEREF section_5ebe64dcdfd043959169450bd428ae63</w:instrText>
      </w:r>
      <w:r>
        <w:fldChar w:fldCharType="separate"/>
      </w:r>
      <w:r>
        <w:rPr>
          <w:noProof/>
        </w:rPr>
        <w:t>595</w:t>
      </w:r>
      <w:r>
        <w:fldChar w:fldCharType="end"/>
      </w:r>
    </w:p>
    <w:p w:rsidR="00024C0A" w:rsidRDefault="00694C0F">
      <w:pPr>
        <w:pStyle w:val="indexentry0"/>
      </w:pPr>
      <w:hyperlink w:anchor="section_148814680d094701a500d97e5d61c8a2">
        <w:r>
          <w:rPr>
            <w:rStyle w:val="Hyperlink"/>
          </w:rPr>
          <w:t>m (No Value)</w:t>
        </w:r>
      </w:hyperlink>
      <w:r>
        <w:t xml:space="preserve"> </w:t>
      </w:r>
      <w:r>
        <w:fldChar w:fldCharType="begin"/>
      </w:r>
      <w:r>
        <w:instrText>PAGEREF section_148814680d094701a500d97e5d61c8a2</w:instrText>
      </w:r>
      <w:r>
        <w:fldChar w:fldCharType="separate"/>
      </w:r>
      <w:r>
        <w:rPr>
          <w:noProof/>
        </w:rPr>
        <w:t>339</w:t>
      </w:r>
      <w:r>
        <w:fldChar w:fldCharType="end"/>
      </w:r>
    </w:p>
    <w:p w:rsidR="00024C0A" w:rsidRDefault="00694C0F">
      <w:pPr>
        <w:pStyle w:val="indexentry0"/>
      </w:pPr>
      <w:hyperlink w:anchor="section_0ab7a8b6842d4bda8c7262ac9dd16b0d">
        <w:r>
          <w:rPr>
            <w:rStyle w:val="Hyperlink"/>
          </w:rPr>
          <w:t>macro (Macro Keyboard Customization Action)</w:t>
        </w:r>
      </w:hyperlink>
      <w:r>
        <w:t xml:space="preserve"> </w:t>
      </w:r>
      <w:r>
        <w:fldChar w:fldCharType="begin"/>
      </w:r>
      <w:r>
        <w:instrText>PAGEREF section_0ab7a8b6842d4bda8c7262ac9dd16b0d</w:instrText>
      </w:r>
      <w:r>
        <w:fldChar w:fldCharType="separate"/>
      </w:r>
      <w:r>
        <w:rPr>
          <w:noProof/>
        </w:rPr>
        <w:t>698</w:t>
      </w:r>
      <w:r>
        <w:fldChar w:fldCharType="end"/>
      </w:r>
    </w:p>
    <w:p w:rsidR="00024C0A" w:rsidRDefault="00694C0F">
      <w:pPr>
        <w:pStyle w:val="indexentry0"/>
      </w:pPr>
      <w:hyperlink w:anchor="section_d5aea26dd1a440c8abb93040566385fd">
        <w:r>
          <w:rPr>
            <w:rStyle w:val="Hyperlink"/>
          </w:rPr>
          <w:t>MACROBUTTON</w:t>
        </w:r>
      </w:hyperlink>
      <w:r>
        <w:t xml:space="preserve"> </w:t>
      </w:r>
      <w:r>
        <w:fldChar w:fldCharType="begin"/>
      </w:r>
      <w:r>
        <w:instrText>PAGEREF section_d5aea26dd1a440c8abb93040566385fd</w:instrText>
      </w:r>
      <w:r>
        <w:fldChar w:fldCharType="separate"/>
      </w:r>
      <w:r>
        <w:rPr>
          <w:noProof/>
        </w:rPr>
        <w:t>217</w:t>
      </w:r>
      <w:r>
        <w:fldChar w:fldCharType="end"/>
      </w:r>
    </w:p>
    <w:p w:rsidR="00024C0A" w:rsidRDefault="00694C0F">
      <w:pPr>
        <w:pStyle w:val="indexentry0"/>
      </w:pPr>
      <w:r>
        <w:t>Mail Merge (</w:t>
      </w:r>
      <w:hyperlink w:anchor="section_70b993e7519d4c62a55257ff1f7cceac">
        <w:r>
          <w:rPr>
            <w:rStyle w:val="Hyperlink"/>
          </w:rPr>
          <w:t>section 2.1.359</w:t>
        </w:r>
      </w:hyperlink>
      <w:r>
        <w:t xml:space="preserve"> </w:t>
      </w:r>
      <w:r>
        <w:fldChar w:fldCharType="begin"/>
      </w:r>
      <w:r>
        <w:instrText>PAGEREF section_70b993e7519d4c62a55257ff1f7ccea</w:instrText>
      </w:r>
      <w:r>
        <w:instrText>c</w:instrText>
      </w:r>
      <w:r>
        <w:fldChar w:fldCharType="separate"/>
      </w:r>
      <w:r>
        <w:rPr>
          <w:noProof/>
        </w:rPr>
        <w:t>141</w:t>
      </w:r>
      <w:r>
        <w:fldChar w:fldCharType="end"/>
      </w:r>
      <w:r>
        <w:t xml:space="preserve">, </w:t>
      </w:r>
      <w:hyperlink w:anchor="section_f6ef0c485e3542599919c0351df4ad37">
        <w:r>
          <w:rPr>
            <w:rStyle w:val="Hyperlink"/>
          </w:rPr>
          <w:t>section 3.1.2.2</w:t>
        </w:r>
      </w:hyperlink>
      <w:r>
        <w:t xml:space="preserve"> </w:t>
      </w:r>
      <w:r>
        <w:fldChar w:fldCharType="begin"/>
      </w:r>
      <w:r>
        <w:instrText>PAGEREF section_f6ef0c485e3542599919c0351df4ad37</w:instrText>
      </w:r>
      <w:r>
        <w:fldChar w:fldCharType="separate"/>
      </w:r>
      <w:r>
        <w:rPr>
          <w:noProof/>
        </w:rPr>
        <w:t>777</w:t>
      </w:r>
      <w:r>
        <w:fldChar w:fldCharType="end"/>
      </w:r>
      <w:r>
        <w:t>)</w:t>
      </w:r>
    </w:p>
    <w:p w:rsidR="00024C0A" w:rsidRDefault="00694C0F">
      <w:pPr>
        <w:pStyle w:val="indexentry0"/>
      </w:pPr>
      <w:hyperlink w:anchor="section_af3dc9138c084843ab40495a92170b96">
        <w:r>
          <w:rPr>
            <w:rStyle w:val="Hyperlink"/>
          </w:rPr>
          <w:t>Mail Merge Recipient Data Part</w:t>
        </w:r>
      </w:hyperlink>
      <w:r>
        <w:t xml:space="preserve"> </w:t>
      </w:r>
      <w:r>
        <w:fldChar w:fldCharType="begin"/>
      </w:r>
      <w:r>
        <w:instrText>PAGEREF section_af3dc9138c084843ab40495a92170b96</w:instrText>
      </w:r>
      <w:r>
        <w:fldChar w:fldCharType="separate"/>
      </w:r>
      <w:r>
        <w:rPr>
          <w:noProof/>
        </w:rPr>
        <w:t>685</w:t>
      </w:r>
      <w:r>
        <w:fldChar w:fldCharType="end"/>
      </w:r>
    </w:p>
    <w:p w:rsidR="00024C0A" w:rsidRDefault="00694C0F">
      <w:pPr>
        <w:pStyle w:val="indexentry0"/>
      </w:pPr>
      <w:hyperlink w:anchor="section_86d70704e1464242bbbe719a8e663c4b">
        <w:r>
          <w:rPr>
            <w:rStyle w:val="Hyperlink"/>
          </w:rPr>
          <w:t>mailMerge (Mail Merge Settings)</w:t>
        </w:r>
      </w:hyperlink>
      <w:r>
        <w:t xml:space="preserve"> </w:t>
      </w:r>
      <w:r>
        <w:fldChar w:fldCharType="begin"/>
      </w:r>
      <w:r>
        <w:instrText>PAGEREF section_86d70704e1464242bbbe719a8e663c4b</w:instrText>
      </w:r>
      <w:r>
        <w:fldChar w:fldCharType="separate"/>
      </w:r>
      <w:r>
        <w:rPr>
          <w:noProof/>
        </w:rPr>
        <w:t>144</w:t>
      </w:r>
      <w:r>
        <w:fldChar w:fldCharType="end"/>
      </w:r>
    </w:p>
    <w:p w:rsidR="00024C0A" w:rsidRDefault="00694C0F">
      <w:pPr>
        <w:pStyle w:val="indexentry0"/>
      </w:pPr>
      <w:hyperlink w:anchor="section_e57228cfd6724d27a0b2305886693f3c">
        <w:r>
          <w:rPr>
            <w:rStyle w:val="Hyperlink"/>
          </w:rPr>
          <w:t>main (Main)</w:t>
        </w:r>
      </w:hyperlink>
      <w:r>
        <w:t xml:space="preserve"> </w:t>
      </w:r>
      <w:r>
        <w:fldChar w:fldCharType="begin"/>
      </w:r>
      <w:r>
        <w:instrText>PAGEREF section_e57228cfd6724d27a0b2305886693f3c</w:instrText>
      </w:r>
      <w:r>
        <w:fldChar w:fldCharType="separate"/>
      </w:r>
      <w:r>
        <w:rPr>
          <w:noProof/>
        </w:rPr>
        <w:t>381</w:t>
      </w:r>
      <w:r>
        <w:fldChar w:fldCharType="end"/>
      </w:r>
    </w:p>
    <w:p w:rsidR="00024C0A" w:rsidRDefault="00694C0F">
      <w:pPr>
        <w:pStyle w:val="indexentry0"/>
      </w:pPr>
      <w:hyperlink w:anchor="section_c1126f5e88c844d3b6cd3bcfc7368bea">
        <w:r>
          <w:rPr>
            <w:rStyle w:val="Hyperlink"/>
          </w:rPr>
          <w:t>majorTickMark (Major Tick Mark)</w:t>
        </w:r>
      </w:hyperlink>
      <w:r>
        <w:t xml:space="preserve"> </w:t>
      </w:r>
      <w:r>
        <w:fldChar w:fldCharType="begin"/>
      </w:r>
      <w:r>
        <w:instrText>PAGEREF section_c1126f5e88c844d3b6</w:instrText>
      </w:r>
      <w:r>
        <w:instrText>cd3bcfc7368bea</w:instrText>
      </w:r>
      <w:r>
        <w:fldChar w:fldCharType="separate"/>
      </w:r>
      <w:r>
        <w:rPr>
          <w:noProof/>
        </w:rPr>
        <w:t>553</w:t>
      </w:r>
      <w:r>
        <w:fldChar w:fldCharType="end"/>
      </w:r>
    </w:p>
    <w:p w:rsidR="00024C0A" w:rsidRDefault="00694C0F">
      <w:pPr>
        <w:pStyle w:val="indexentry0"/>
      </w:pPr>
      <w:hyperlink w:anchor="section_8268861e15c944fa9982632c6f2d6987">
        <w:r>
          <w:rPr>
            <w:rStyle w:val="Hyperlink"/>
          </w:rPr>
          <w:t>majorUnit (Major Unit)</w:t>
        </w:r>
      </w:hyperlink>
      <w:r>
        <w:t xml:space="preserve"> </w:t>
      </w:r>
      <w:r>
        <w:fldChar w:fldCharType="begin"/>
      </w:r>
      <w:r>
        <w:instrText>PAGEREF section_8268861e15c944fa9982632c6f2d6987</w:instrText>
      </w:r>
      <w:r>
        <w:fldChar w:fldCharType="separate"/>
      </w:r>
      <w:r>
        <w:rPr>
          <w:noProof/>
        </w:rPr>
        <w:t>553</w:t>
      </w:r>
      <w:r>
        <w:fldChar w:fldCharType="end"/>
      </w:r>
    </w:p>
    <w:p w:rsidR="00024C0A" w:rsidRDefault="00694C0F">
      <w:pPr>
        <w:pStyle w:val="indexentry0"/>
      </w:pPr>
      <w:hyperlink w:anchor="section_72a51ea393964453ad0b70388cc87aaf">
        <w:r>
          <w:rPr>
            <w:rStyle w:val="Hyperlink"/>
          </w:rPr>
          <w:t>ManifestHashAlgorithm (Manifest Hash Al</w:t>
        </w:r>
        <w:r>
          <w:rPr>
            <w:rStyle w:val="Hyperlink"/>
          </w:rPr>
          <w:t>gorithm)</w:t>
        </w:r>
      </w:hyperlink>
      <w:r>
        <w:t xml:space="preserve"> </w:t>
      </w:r>
      <w:r>
        <w:fldChar w:fldCharType="begin"/>
      </w:r>
      <w:r>
        <w:instrText>PAGEREF section_72a51ea393964453ad0b70388cc87aaf</w:instrText>
      </w:r>
      <w:r>
        <w:fldChar w:fldCharType="separate"/>
      </w:r>
      <w:r>
        <w:rPr>
          <w:noProof/>
        </w:rPr>
        <w:t>878</w:t>
      </w:r>
      <w:r>
        <w:fldChar w:fldCharType="end"/>
      </w:r>
    </w:p>
    <w:p w:rsidR="00024C0A" w:rsidRDefault="00694C0F">
      <w:pPr>
        <w:pStyle w:val="indexentry0"/>
      </w:pPr>
      <w:hyperlink w:anchor="section_8ef048666150457e9997509ec5a80cf5">
        <w:r>
          <w:rPr>
            <w:rStyle w:val="Hyperlink"/>
          </w:rPr>
          <w:t>manualLayout (Manual Layout)</w:t>
        </w:r>
      </w:hyperlink>
      <w:r>
        <w:t xml:space="preserve"> </w:t>
      </w:r>
      <w:r>
        <w:fldChar w:fldCharType="begin"/>
      </w:r>
      <w:r>
        <w:instrText>PAGEREF section_8ef048666150457e9997509ec5a80cf5</w:instrText>
      </w:r>
      <w:r>
        <w:fldChar w:fldCharType="separate"/>
      </w:r>
      <w:r>
        <w:rPr>
          <w:noProof/>
        </w:rPr>
        <w:t>553</w:t>
      </w:r>
      <w:r>
        <w:fldChar w:fldCharType="end"/>
      </w:r>
    </w:p>
    <w:p w:rsidR="00024C0A" w:rsidRDefault="00694C0F">
      <w:pPr>
        <w:pStyle w:val="indexentry0"/>
      </w:pPr>
      <w:hyperlink w:anchor="section_402db8a4378941b1a621df9fe88402ad">
        <w:r>
          <w:rPr>
            <w:rStyle w:val="Hyperlink"/>
          </w:rPr>
          <w:t>map (OLAP Measure Group)</w:t>
        </w:r>
      </w:hyperlink>
      <w:r>
        <w:t xml:space="preserve"> </w:t>
      </w:r>
      <w:r>
        <w:fldChar w:fldCharType="begin"/>
      </w:r>
      <w:r>
        <w:instrText>PAGEREF section_402db8a4378941b1a621df9fe88402ad</w:instrText>
      </w:r>
      <w:r>
        <w:fldChar w:fldCharType="separate"/>
      </w:r>
      <w:r>
        <w:rPr>
          <w:noProof/>
        </w:rPr>
        <w:t>340</w:t>
      </w:r>
      <w:r>
        <w:fldChar w:fldCharType="end"/>
      </w:r>
    </w:p>
    <w:p w:rsidR="00024C0A" w:rsidRDefault="00694C0F">
      <w:pPr>
        <w:pStyle w:val="indexentry0"/>
      </w:pPr>
      <w:hyperlink w:anchor="section_b99c81f1268a460a96cc4bbbe2ddf7c5">
        <w:r>
          <w:rPr>
            <w:rStyle w:val="Hyperlink"/>
          </w:rPr>
          <w:t>Map (XML Mapping Properties)</w:t>
        </w:r>
      </w:hyperlink>
      <w:r>
        <w:t xml:space="preserve"> </w:t>
      </w:r>
      <w:r>
        <w:fldChar w:fldCharType="begin"/>
      </w:r>
      <w:r>
        <w:instrText>PAGEREF section_b99c81f1268a460a96cc4bbbe2ddf7c5</w:instrText>
      </w:r>
      <w:r>
        <w:fldChar w:fldCharType="separate"/>
      </w:r>
      <w:r>
        <w:rPr>
          <w:noProof/>
        </w:rPr>
        <w:t>383</w:t>
      </w:r>
      <w:r>
        <w:fldChar w:fldCharType="end"/>
      </w:r>
    </w:p>
    <w:p w:rsidR="00024C0A" w:rsidRDefault="00694C0F">
      <w:pPr>
        <w:pStyle w:val="indexentry0"/>
      </w:pPr>
      <w:hyperlink w:anchor="section_65e8cdb15d92405ba16b6aab39f3f150">
        <w:r>
          <w:rPr>
            <w:rStyle w:val="Hyperlink"/>
          </w:rPr>
          <w:t>mappedName (Predefined Merge Field Name)</w:t>
        </w:r>
      </w:hyperlink>
      <w:r>
        <w:t xml:space="preserve"> </w:t>
      </w:r>
      <w:r>
        <w:fldChar w:fldCharType="begin"/>
      </w:r>
      <w:r>
        <w:instrText>PAGEREF section_65e8cdb15d92405ba16b6aab39f3f150</w:instrText>
      </w:r>
      <w:r>
        <w:fldChar w:fldCharType="separate"/>
      </w:r>
      <w:r>
        <w:rPr>
          <w:noProof/>
        </w:rPr>
        <w:t>144</w:t>
      </w:r>
      <w:r>
        <w:fldChar w:fldCharType="end"/>
      </w:r>
    </w:p>
    <w:p w:rsidR="00024C0A" w:rsidRDefault="00694C0F">
      <w:pPr>
        <w:pStyle w:val="indexentry0"/>
      </w:pPr>
      <w:hyperlink w:anchor="section_c42ddf7df72d4cb69f3513e6e30d7d25">
        <w:r>
          <w:rPr>
            <w:rStyle w:val="Hyperlink"/>
          </w:rPr>
          <w:t>marker (Marker)</w:t>
        </w:r>
      </w:hyperlink>
      <w:r>
        <w:t xml:space="preserve"> </w:t>
      </w:r>
      <w:r>
        <w:fldChar w:fldCharType="begin"/>
      </w:r>
      <w:r>
        <w:instrText>PAGEREF section_c42ddf7df72d4cb69f3513e6e30d7d25</w:instrText>
      </w:r>
      <w:r>
        <w:fldChar w:fldCharType="separate"/>
      </w:r>
      <w:r>
        <w:rPr>
          <w:noProof/>
        </w:rPr>
        <w:t>553</w:t>
      </w:r>
      <w:r>
        <w:fldChar w:fldCharType="end"/>
      </w:r>
    </w:p>
    <w:p w:rsidR="00024C0A" w:rsidRDefault="00694C0F">
      <w:pPr>
        <w:pStyle w:val="indexentry0"/>
      </w:pPr>
      <w:hyperlink w:anchor="section_72be69072aa4474da8e29b5fb073bd8a">
        <w:r>
          <w:rPr>
            <w:rStyle w:val="Hyperlink"/>
          </w:rPr>
          <w:t>marker (Show Marker)</w:t>
        </w:r>
      </w:hyperlink>
      <w:r>
        <w:t xml:space="preserve"> </w:t>
      </w:r>
      <w:r>
        <w:fldChar w:fldCharType="begin"/>
      </w:r>
      <w:r>
        <w:instrText>PAGEREF section_72be69072aa4474da8e29b5fb073bd8a</w:instrText>
      </w:r>
      <w:r>
        <w:fldChar w:fldCharType="separate"/>
      </w:r>
      <w:r>
        <w:rPr>
          <w:noProof/>
        </w:rPr>
        <w:t>553</w:t>
      </w:r>
      <w:r>
        <w:fldChar w:fldCharType="end"/>
      </w:r>
    </w:p>
    <w:p w:rsidR="00024C0A" w:rsidRDefault="00694C0F">
      <w:pPr>
        <w:pStyle w:val="indexentry0"/>
      </w:pPr>
      <w:hyperlink w:anchor="section_786223f8442d48c9917706e8cd54c027">
        <w:r>
          <w:rPr>
            <w:rStyle w:val="Hyperlink"/>
          </w:rPr>
          <w:t xml:space="preserve">Markup </w:t>
        </w:r>
        <w:r>
          <w:rPr>
            <w:rStyle w:val="Hyperlink"/>
          </w:rPr>
          <w:t>Compatibility Attributes and Elements</w:t>
        </w:r>
      </w:hyperlink>
      <w:r>
        <w:t xml:space="preserve"> </w:t>
      </w:r>
      <w:r>
        <w:fldChar w:fldCharType="begin"/>
      </w:r>
      <w:r>
        <w:instrText>PAGEREF section_786223f8442d48c9917706e8cd54c027</w:instrText>
      </w:r>
      <w:r>
        <w:fldChar w:fldCharType="separate"/>
      </w:r>
      <w:r>
        <w:rPr>
          <w:noProof/>
        </w:rPr>
        <w:t>619</w:t>
      </w:r>
      <w:r>
        <w:fldChar w:fldCharType="end"/>
      </w:r>
    </w:p>
    <w:p w:rsidR="00024C0A" w:rsidRDefault="00694C0F">
      <w:pPr>
        <w:pStyle w:val="indexentry0"/>
      </w:pPr>
      <w:hyperlink w:anchor="section_19f20aeb5ca84a59acd8b01ba6e8ed07">
        <w:r>
          <w:rPr>
            <w:rStyle w:val="Hyperlink"/>
          </w:rPr>
          <w:t>MATCH</w:t>
        </w:r>
      </w:hyperlink>
      <w:r>
        <w:t xml:space="preserve"> </w:t>
      </w:r>
      <w:r>
        <w:fldChar w:fldCharType="begin"/>
      </w:r>
      <w:r>
        <w:instrText>PAGEREF section_19f20aeb5ca84a59acd8b01ba6e8ed07</w:instrText>
      </w:r>
      <w:r>
        <w:fldChar w:fldCharType="separate"/>
      </w:r>
      <w:r>
        <w:rPr>
          <w:noProof/>
        </w:rPr>
        <w:t>429</w:t>
      </w:r>
      <w:r>
        <w:fldChar w:fldCharType="end"/>
      </w:r>
    </w:p>
    <w:p w:rsidR="00024C0A" w:rsidRDefault="00694C0F">
      <w:pPr>
        <w:pStyle w:val="indexentry0"/>
      </w:pPr>
      <w:hyperlink w:anchor="section_9c37e55bcb804086b754a2822a74fe98">
        <w:r>
          <w:rPr>
            <w:rStyle w:val="Hyperlink"/>
          </w:rPr>
          <w:t>Math</w:t>
        </w:r>
      </w:hyperlink>
      <w:r>
        <w:t xml:space="preserve"> </w:t>
      </w:r>
      <w:r>
        <w:fldChar w:fldCharType="begin"/>
      </w:r>
      <w:r>
        <w:instrText>PAGEREF section_9c37e55bcb804086b754a2822a74fe98</w:instrText>
      </w:r>
      <w:r>
        <w:fldChar w:fldCharType="separate"/>
      </w:r>
      <w:r>
        <w:rPr>
          <w:noProof/>
        </w:rPr>
        <w:t>590</w:t>
      </w:r>
      <w:r>
        <w:fldChar w:fldCharType="end"/>
      </w:r>
    </w:p>
    <w:p w:rsidR="00024C0A" w:rsidRDefault="00694C0F">
      <w:pPr>
        <w:pStyle w:val="indexentry0"/>
      </w:pPr>
      <w:hyperlink w:anchor="section_7bae4fa0ce3448d19b24651606579b08">
        <w:r>
          <w:rPr>
            <w:rStyle w:val="Hyperlink"/>
          </w:rPr>
          <w:t>Math Run</w:t>
        </w:r>
      </w:hyperlink>
      <w:r>
        <w:t xml:space="preserve"> </w:t>
      </w:r>
      <w:r>
        <w:fldChar w:fldCharType="begin"/>
      </w:r>
      <w:r>
        <w:instrText>PAGEREF section_7bae4fa0ce3448d19b24651606579b08</w:instrText>
      </w:r>
      <w:r>
        <w:fldChar w:fldCharType="separate"/>
      </w:r>
      <w:r>
        <w:rPr>
          <w:noProof/>
        </w:rPr>
        <w:t>890</w:t>
      </w:r>
      <w:r>
        <w:fldChar w:fldCharType="end"/>
      </w:r>
    </w:p>
    <w:p w:rsidR="00024C0A" w:rsidRDefault="00694C0F">
      <w:pPr>
        <w:pStyle w:val="indexentry0"/>
      </w:pPr>
      <w:hyperlink w:anchor="section_859a8ba5a34c4eacbfbed0f7049d52d7">
        <w:r>
          <w:rPr>
            <w:rStyle w:val="Hyperlink"/>
          </w:rPr>
          <w:t>mathFont (Math Font)</w:t>
        </w:r>
      </w:hyperlink>
      <w:r>
        <w:t xml:space="preserve"> </w:t>
      </w:r>
      <w:r>
        <w:fldChar w:fldCharType="begin"/>
      </w:r>
      <w:r>
        <w:instrText>PAGEREF section_859a8ba5a34c4eacbfbed0f7049d52d7</w:instrText>
      </w:r>
      <w:r>
        <w:fldChar w:fldCharType="separate"/>
      </w:r>
      <w:r>
        <w:rPr>
          <w:noProof/>
        </w:rPr>
        <w:t>595</w:t>
      </w:r>
      <w:r>
        <w:fldChar w:fldCharType="end"/>
      </w:r>
    </w:p>
    <w:p w:rsidR="00024C0A" w:rsidRDefault="00694C0F">
      <w:pPr>
        <w:pStyle w:val="indexentry0"/>
      </w:pPr>
      <w:hyperlink w:anchor="section_652d488b12c641ba9cca59a8e954102b">
        <w:r>
          <w:rPr>
            <w:rStyle w:val="Hyperlink"/>
          </w:rPr>
          <w:t>max (Maximum)</w:t>
        </w:r>
      </w:hyperlink>
      <w:r>
        <w:t xml:space="preserve"> </w:t>
      </w:r>
      <w:r>
        <w:fldChar w:fldCharType="begin"/>
      </w:r>
      <w:r>
        <w:instrText>PAGEREF section_652d488b12c641ba9cca59a8e954102b</w:instrText>
      </w:r>
      <w:r>
        <w:fldChar w:fldCharType="separate"/>
      </w:r>
      <w:r>
        <w:rPr>
          <w:noProof/>
        </w:rPr>
        <w:t>553</w:t>
      </w:r>
      <w:r>
        <w:fldChar w:fldCharType="end"/>
      </w:r>
    </w:p>
    <w:p w:rsidR="00024C0A" w:rsidRDefault="00694C0F">
      <w:pPr>
        <w:pStyle w:val="indexentry0"/>
      </w:pPr>
      <w:hyperlink w:anchor="section_d3fababa849446e59d8c22b7b113dc40">
        <w:r>
          <w:rPr>
            <w:rStyle w:val="Hyperlink"/>
          </w:rPr>
          <w:t>Max (Scroll Bar Maximum)</w:t>
        </w:r>
      </w:hyperlink>
      <w:r>
        <w:t xml:space="preserve"> </w:t>
      </w:r>
      <w:r>
        <w:fldChar w:fldCharType="begin"/>
      </w:r>
      <w:r>
        <w:instrText>PAGEREF section_d3fababa849446e59d8c22b7b113dc40</w:instrText>
      </w:r>
      <w:r>
        <w:fldChar w:fldCharType="separate"/>
      </w:r>
      <w:r>
        <w:rPr>
          <w:noProof/>
        </w:rPr>
        <w:t>676</w:t>
      </w:r>
      <w:r>
        <w:fldChar w:fldCharType="end"/>
      </w:r>
    </w:p>
    <w:p w:rsidR="00024C0A" w:rsidRDefault="00694C0F">
      <w:pPr>
        <w:pStyle w:val="indexentry0"/>
      </w:pPr>
      <w:hyperlink w:anchor="section_4a8c035cc9304e87aabf32715949ba48">
        <w:r>
          <w:rPr>
            <w:rStyle w:val="Hyperlink"/>
          </w:rPr>
          <w:t>maxDist (Maximum Distribution)</w:t>
        </w:r>
      </w:hyperlink>
      <w:r>
        <w:t xml:space="preserve"> </w:t>
      </w:r>
      <w:r>
        <w:fldChar w:fldCharType="begin"/>
      </w:r>
      <w:r>
        <w:instrText>PAGEREF section_4a8c035cc9304e87aabf32715949ba48</w:instrText>
      </w:r>
      <w:r>
        <w:fldChar w:fldCharType="separate"/>
      </w:r>
      <w:r>
        <w:rPr>
          <w:noProof/>
        </w:rPr>
        <w:t>595</w:t>
      </w:r>
      <w:r>
        <w:fldChar w:fldCharType="end"/>
      </w:r>
    </w:p>
    <w:p w:rsidR="00024C0A" w:rsidRDefault="00694C0F">
      <w:pPr>
        <w:pStyle w:val="indexentry0"/>
      </w:pPr>
      <w:hyperlink w:anchor="section_e6ea592afffb4630a06894e9d7139d4f">
        <w:r>
          <w:rPr>
            <w:rStyle w:val="Hyperlink"/>
          </w:rPr>
          <w:t>maxLength (Text Box Form Field Maximum Length)</w:t>
        </w:r>
      </w:hyperlink>
      <w:r>
        <w:t xml:space="preserve"> </w:t>
      </w:r>
      <w:r>
        <w:fldChar w:fldCharType="begin"/>
      </w:r>
      <w:r>
        <w:instrText>PAGEREF section_e6ea592afffb4630a06894e9d7139d4f</w:instrText>
      </w:r>
      <w:r>
        <w:fldChar w:fldCharType="separate"/>
      </w:r>
      <w:r>
        <w:rPr>
          <w:noProof/>
        </w:rPr>
        <w:t>226</w:t>
      </w:r>
      <w:r>
        <w:fldChar w:fldCharType="end"/>
      </w:r>
    </w:p>
    <w:p w:rsidR="00024C0A" w:rsidRDefault="00694C0F">
      <w:pPr>
        <w:pStyle w:val="indexentry0"/>
      </w:pPr>
      <w:hyperlink w:anchor="section_764aed492a6b41daa4db13eebd3baac1">
        <w:r>
          <w:rPr>
            <w:rStyle w:val="Hyperlink"/>
          </w:rPr>
          <w:t>mc (Matrix Column)</w:t>
        </w:r>
      </w:hyperlink>
      <w:r>
        <w:t xml:space="preserve"> </w:t>
      </w:r>
      <w:r>
        <w:fldChar w:fldCharType="begin"/>
      </w:r>
      <w:r>
        <w:instrText>PAGEREF section_764aed492a6b41daa4db13eebd3baac1</w:instrText>
      </w:r>
      <w:r>
        <w:fldChar w:fldCharType="separate"/>
      </w:r>
      <w:r>
        <w:rPr>
          <w:noProof/>
        </w:rPr>
        <w:t>595</w:t>
      </w:r>
      <w:r>
        <w:fldChar w:fldCharType="end"/>
      </w:r>
    </w:p>
    <w:p w:rsidR="00024C0A" w:rsidRDefault="00694C0F">
      <w:pPr>
        <w:pStyle w:val="indexentry0"/>
      </w:pPr>
      <w:hyperlink w:anchor="section_57fe4ac077a449f09ade51e4ce4cd6f5">
        <w:r>
          <w:rPr>
            <w:rStyle w:val="Hyperlink"/>
          </w:rPr>
          <w:t>mcs (Matrix Columns)</w:t>
        </w:r>
      </w:hyperlink>
      <w:r>
        <w:t xml:space="preserve"> </w:t>
      </w:r>
      <w:r>
        <w:fldChar w:fldCharType="begin"/>
      </w:r>
      <w:r>
        <w:instrText>PAGEREF section_57fe4ac077a449f09ade51e4ce4cd6f5</w:instrText>
      </w:r>
      <w:r>
        <w:fldChar w:fldCharType="separate"/>
      </w:r>
      <w:r>
        <w:rPr>
          <w:noProof/>
        </w:rPr>
        <w:t>595</w:t>
      </w:r>
      <w:r>
        <w:fldChar w:fldCharType="end"/>
      </w:r>
    </w:p>
    <w:p w:rsidR="00024C0A" w:rsidRDefault="00694C0F">
      <w:pPr>
        <w:pStyle w:val="indexentry0"/>
      </w:pPr>
      <w:hyperlink w:anchor="section_785ab22f8b1f4137a3c10f7627cb4be2">
        <w:r>
          <w:rPr>
            <w:rStyle w:val="Hyperlink"/>
          </w:rPr>
          <w:t>MDURATI</w:t>
        </w:r>
        <w:r>
          <w:rPr>
            <w:rStyle w:val="Hyperlink"/>
          </w:rPr>
          <w:t>ON</w:t>
        </w:r>
      </w:hyperlink>
      <w:r>
        <w:t xml:space="preserve"> </w:t>
      </w:r>
      <w:r>
        <w:fldChar w:fldCharType="begin"/>
      </w:r>
      <w:r>
        <w:instrText>PAGEREF section_785ab22f8b1f4137a3c10f7627cb4be2</w:instrText>
      </w:r>
      <w:r>
        <w:fldChar w:fldCharType="separate"/>
      </w:r>
      <w:r>
        <w:rPr>
          <w:noProof/>
        </w:rPr>
        <w:t>429</w:t>
      </w:r>
      <w:r>
        <w:fldChar w:fldCharType="end"/>
      </w:r>
    </w:p>
    <w:p w:rsidR="00024C0A" w:rsidRDefault="00694C0F">
      <w:pPr>
        <w:pStyle w:val="indexentry0"/>
      </w:pPr>
      <w:hyperlink w:anchor="section_81b51cf7164b4891954ecb4e39ee088d">
        <w:r>
          <w:rPr>
            <w:rStyle w:val="Hyperlink"/>
          </w:rPr>
          <w:t>mdx (MDX Metadata Record)</w:t>
        </w:r>
      </w:hyperlink>
      <w:r>
        <w:t xml:space="preserve"> </w:t>
      </w:r>
      <w:r>
        <w:fldChar w:fldCharType="begin"/>
      </w:r>
      <w:r>
        <w:instrText>PAGEREF section_81b51cf7164b4891954ecb4e39ee088d</w:instrText>
      </w:r>
      <w:r>
        <w:fldChar w:fldCharType="separate"/>
      </w:r>
      <w:r>
        <w:rPr>
          <w:noProof/>
        </w:rPr>
        <w:t>313</w:t>
      </w:r>
      <w:r>
        <w:fldChar w:fldCharType="end"/>
      </w:r>
    </w:p>
    <w:p w:rsidR="00024C0A" w:rsidRDefault="00694C0F">
      <w:pPr>
        <w:pStyle w:val="indexentry0"/>
      </w:pPr>
      <w:hyperlink w:anchor="section_d374e3ff60bd40e1baf558234957b0af">
        <w:r>
          <w:rPr>
            <w:rStyle w:val="Hyperlink"/>
          </w:rPr>
          <w:t>mdxMetadata (MDX Metadata Information)</w:t>
        </w:r>
      </w:hyperlink>
      <w:r>
        <w:t xml:space="preserve"> </w:t>
      </w:r>
      <w:r>
        <w:fldChar w:fldCharType="begin"/>
      </w:r>
      <w:r>
        <w:instrText>PAGEREF section_d374e3ff60bd40e1baf558234957b0af</w:instrText>
      </w:r>
      <w:r>
        <w:fldChar w:fldCharType="separate"/>
      </w:r>
      <w:r>
        <w:rPr>
          <w:noProof/>
        </w:rPr>
        <w:t>313</w:t>
      </w:r>
      <w:r>
        <w:fldChar w:fldCharType="end"/>
      </w:r>
    </w:p>
    <w:p w:rsidR="00024C0A" w:rsidRDefault="00694C0F">
      <w:pPr>
        <w:pStyle w:val="indexentry0"/>
      </w:pPr>
      <w:hyperlink w:anchor="section_cfecb95860864d0c90767301fa40250e">
        <w:r>
          <w:rPr>
            <w:rStyle w:val="Hyperlink"/>
          </w:rPr>
          <w:t>measureGroup (OLAP Measure Group)</w:t>
        </w:r>
      </w:hyperlink>
      <w:r>
        <w:t xml:space="preserve"> </w:t>
      </w:r>
      <w:r>
        <w:fldChar w:fldCharType="begin"/>
      </w:r>
      <w:r>
        <w:instrText>PAGEREF section_cfecb95860864d0c90767301fa40250e</w:instrText>
      </w:r>
      <w:r>
        <w:fldChar w:fldCharType="separate"/>
      </w:r>
      <w:r>
        <w:rPr>
          <w:noProof/>
        </w:rPr>
        <w:t>340</w:t>
      </w:r>
      <w:r>
        <w:fldChar w:fldCharType="end"/>
      </w:r>
    </w:p>
    <w:p w:rsidR="00024C0A" w:rsidRDefault="00694C0F">
      <w:pPr>
        <w:pStyle w:val="indexentry0"/>
      </w:pPr>
      <w:hyperlink w:anchor="section_1bef1665e5ea43e6aa806382ef735c9f">
        <w:r>
          <w:rPr>
            <w:rStyle w:val="Hyperlink"/>
          </w:rPr>
          <w:t>member (Member)</w:t>
        </w:r>
      </w:hyperlink>
      <w:r>
        <w:t xml:space="preserve"> </w:t>
      </w:r>
      <w:r>
        <w:fldChar w:fldCharType="begin"/>
      </w:r>
      <w:r>
        <w:instrText>PAGEREF section_1bef1665e5ea43e6aa806382ef735c9f</w:instrText>
      </w:r>
      <w:r>
        <w:fldChar w:fldCharType="separate"/>
      </w:r>
      <w:r>
        <w:rPr>
          <w:noProof/>
        </w:rPr>
        <w:t>340</w:t>
      </w:r>
      <w:r>
        <w:fldChar w:fldCharType="end"/>
      </w:r>
    </w:p>
    <w:p w:rsidR="00024C0A" w:rsidRDefault="00694C0F">
      <w:pPr>
        <w:pStyle w:val="indexentry0"/>
      </w:pPr>
      <w:hyperlink w:anchor="section_29bfbcf811e64151a3b3abb4825c9160">
        <w:r>
          <w:rPr>
            <w:rStyle w:val="Hyperlink"/>
          </w:rPr>
          <w:t>members (Members)</w:t>
        </w:r>
      </w:hyperlink>
      <w:r>
        <w:t xml:space="preserve"> </w:t>
      </w:r>
      <w:r>
        <w:fldChar w:fldCharType="begin"/>
      </w:r>
      <w:r>
        <w:instrText>PAGEREF section_29bfbcf811e64151a3b3abb4825c9160</w:instrText>
      </w:r>
      <w:r>
        <w:fldChar w:fldCharType="separate"/>
      </w:r>
      <w:r>
        <w:rPr>
          <w:noProof/>
        </w:rPr>
        <w:t>341</w:t>
      </w:r>
      <w:r>
        <w:fldChar w:fldCharType="end"/>
      </w:r>
    </w:p>
    <w:p w:rsidR="00024C0A" w:rsidRDefault="00694C0F">
      <w:pPr>
        <w:pStyle w:val="indexentry0"/>
      </w:pPr>
      <w:hyperlink w:anchor="section_cc4b13c2c09b4545a6ae4509d943233e">
        <w:r>
          <w:rPr>
            <w:rStyle w:val="Hyperlink"/>
          </w:rPr>
          <w:t>MERGEBARCODE</w:t>
        </w:r>
      </w:hyperlink>
      <w:r>
        <w:t xml:space="preserve"> </w:t>
      </w:r>
      <w:r>
        <w:fldChar w:fldCharType="begin"/>
      </w:r>
      <w:r>
        <w:instrText>PAGEREF section_cc4b13c2c09b4545a6ae4509d943233e</w:instrText>
      </w:r>
      <w:r>
        <w:fldChar w:fldCharType="separate"/>
      </w:r>
      <w:r>
        <w:rPr>
          <w:noProof/>
        </w:rPr>
        <w:t>815</w:t>
      </w:r>
      <w:r>
        <w:fldChar w:fldCharType="end"/>
      </w:r>
    </w:p>
    <w:p w:rsidR="00024C0A" w:rsidRDefault="00694C0F">
      <w:pPr>
        <w:pStyle w:val="indexentry0"/>
      </w:pPr>
      <w:hyperlink w:anchor="section_8a2a99c9bfc54d448d003046b75af83c">
        <w:r>
          <w:rPr>
            <w:rStyle w:val="Hyperlink"/>
          </w:rPr>
          <w:t>mergeCells (Merge Cells)</w:t>
        </w:r>
      </w:hyperlink>
      <w:r>
        <w:t xml:space="preserve"> </w:t>
      </w:r>
      <w:r>
        <w:fldChar w:fldCharType="begin"/>
      </w:r>
      <w:r>
        <w:instrText>PAGEREF section_8a2a99c9bfc54d448d003046b75af83c</w:instrText>
      </w:r>
      <w:r>
        <w:fldChar w:fldCharType="separate"/>
      </w:r>
      <w:r>
        <w:rPr>
          <w:noProof/>
        </w:rPr>
        <w:t>263</w:t>
      </w:r>
      <w:r>
        <w:fldChar w:fldCharType="end"/>
      </w:r>
    </w:p>
    <w:p w:rsidR="00024C0A" w:rsidRDefault="00694C0F">
      <w:pPr>
        <w:pStyle w:val="indexentry0"/>
      </w:pPr>
      <w:hyperlink w:anchor="section_bbe3b9853afb4e7bbf46585f77f5da21">
        <w:r>
          <w:rPr>
            <w:rStyle w:val="Hyperlink"/>
          </w:rPr>
          <w:t>MERGEFIELD</w:t>
        </w:r>
      </w:hyperlink>
      <w:r>
        <w:t xml:space="preserve"> </w:t>
      </w:r>
      <w:r>
        <w:fldChar w:fldCharType="begin"/>
      </w:r>
      <w:r>
        <w:instrText>PAGEREF section_bbe3b9853afb4e7bbf46585f77f5da21</w:instrText>
      </w:r>
      <w:r>
        <w:fldChar w:fldCharType="separate"/>
      </w:r>
      <w:r>
        <w:rPr>
          <w:noProof/>
        </w:rPr>
        <w:t>217</w:t>
      </w:r>
      <w:r>
        <w:fldChar w:fldCharType="end"/>
      </w:r>
    </w:p>
    <w:p w:rsidR="00024C0A" w:rsidRDefault="00694C0F">
      <w:pPr>
        <w:pStyle w:val="indexentry0"/>
      </w:pPr>
      <w:hyperlink w:anchor="section_e784c18d69eb486996da0afdd0001ef4">
        <w:r>
          <w:rPr>
            <w:rStyle w:val="Hyperlink"/>
          </w:rPr>
          <w:t>Metadata Attributes</w:t>
        </w:r>
      </w:hyperlink>
      <w:r>
        <w:t xml:space="preserve"> </w:t>
      </w:r>
      <w:r>
        <w:fldChar w:fldCharType="begin"/>
      </w:r>
      <w:r>
        <w:instrText>PAGEREF section_e784c18d69eb486996da0afdd0001ef4</w:instrText>
      </w:r>
      <w:r>
        <w:fldChar w:fldCharType="separate"/>
      </w:r>
      <w:r>
        <w:rPr>
          <w:noProof/>
        </w:rPr>
        <w:t>855</w:t>
      </w:r>
      <w:r>
        <w:fldChar w:fldCharType="end"/>
      </w:r>
    </w:p>
    <w:p w:rsidR="00024C0A" w:rsidRDefault="00694C0F">
      <w:pPr>
        <w:pStyle w:val="indexentry0"/>
      </w:pPr>
      <w:hyperlink w:anchor="section_b8398e62febd49e984731b829a8dae62">
        <w:r>
          <w:rPr>
            <w:rStyle w:val="Hyperlink"/>
          </w:rPr>
          <w:t>metadataStrings (Metadata String Store)</w:t>
        </w:r>
      </w:hyperlink>
      <w:r>
        <w:t xml:space="preserve"> </w:t>
      </w:r>
      <w:r>
        <w:fldChar w:fldCharType="begin"/>
      </w:r>
      <w:r>
        <w:instrText>PAGEREF section_b8398e62febd49e984731b829a8dae62</w:instrText>
      </w:r>
      <w:r>
        <w:fldChar w:fldCharType="separate"/>
      </w:r>
      <w:r>
        <w:rPr>
          <w:noProof/>
        </w:rPr>
        <w:t>313</w:t>
      </w:r>
      <w:r>
        <w:fldChar w:fldCharType="end"/>
      </w:r>
    </w:p>
    <w:p w:rsidR="00024C0A" w:rsidRDefault="00694C0F">
      <w:pPr>
        <w:pStyle w:val="indexentry0"/>
      </w:pPr>
      <w:hyperlink w:anchor="section_130fa123a3b942f5adf52f44067facf5">
        <w:r>
          <w:rPr>
            <w:rStyle w:val="Hyperlink"/>
          </w:rPr>
          <w:t>metadataType (Metadata Type Information)</w:t>
        </w:r>
      </w:hyperlink>
      <w:r>
        <w:t xml:space="preserve"> </w:t>
      </w:r>
      <w:r>
        <w:fldChar w:fldCharType="begin"/>
      </w:r>
      <w:r>
        <w:instrText>PAGEREF section_130fa123a3b942f5adf52f44067facf5</w:instrText>
      </w:r>
      <w:r>
        <w:fldChar w:fldCharType="separate"/>
      </w:r>
      <w:r>
        <w:rPr>
          <w:noProof/>
        </w:rPr>
        <w:t>313</w:t>
      </w:r>
      <w:r>
        <w:fldChar w:fldCharType="end"/>
      </w:r>
    </w:p>
    <w:p w:rsidR="00024C0A" w:rsidRDefault="00694C0F">
      <w:pPr>
        <w:pStyle w:val="indexentry0"/>
      </w:pPr>
      <w:hyperlink w:anchor="section_05e9eaad291e4fa1886e5ce683c43048">
        <w:r>
          <w:rPr>
            <w:rStyle w:val="Hyperlink"/>
          </w:rPr>
          <w:t>metadataTypes (Metadata Types Collection)</w:t>
        </w:r>
      </w:hyperlink>
      <w:r>
        <w:t xml:space="preserve"> </w:t>
      </w:r>
      <w:r>
        <w:fldChar w:fldCharType="begin"/>
      </w:r>
      <w:r>
        <w:instrText>PAGEREF section_05e9ea</w:instrText>
      </w:r>
      <w:r>
        <w:instrText>ad291e4fa1886e5ce683c43048</w:instrText>
      </w:r>
      <w:r>
        <w:fldChar w:fldCharType="separate"/>
      </w:r>
      <w:r>
        <w:rPr>
          <w:noProof/>
        </w:rPr>
        <w:t>317</w:t>
      </w:r>
      <w:r>
        <w:fldChar w:fldCharType="end"/>
      </w:r>
    </w:p>
    <w:p w:rsidR="00024C0A" w:rsidRDefault="00694C0F">
      <w:pPr>
        <w:pStyle w:val="indexentry0"/>
      </w:pPr>
      <w:hyperlink w:anchor="section_a24b67311ed74c89ab5828431df113ee">
        <w:r>
          <w:rPr>
            <w:rStyle w:val="Hyperlink"/>
          </w:rPr>
          <w:t>Microsoft Office Excel Sortmap</w:t>
        </w:r>
      </w:hyperlink>
      <w:r>
        <w:t xml:space="preserve"> </w:t>
      </w:r>
      <w:r>
        <w:fldChar w:fldCharType="begin"/>
      </w:r>
      <w:r>
        <w:instrText>PAGEREF section_a24b67311ed74c89ab5828431df113ee</w:instrText>
      </w:r>
      <w:r>
        <w:fldChar w:fldCharType="separate"/>
      </w:r>
      <w:r>
        <w:rPr>
          <w:noProof/>
        </w:rPr>
        <w:t>830</w:t>
      </w:r>
      <w:r>
        <w:fldChar w:fldCharType="end"/>
      </w:r>
    </w:p>
    <w:p w:rsidR="00024C0A" w:rsidRDefault="00694C0F">
      <w:pPr>
        <w:pStyle w:val="indexentry0"/>
      </w:pPr>
      <w:hyperlink w:anchor="section_612ff32d2b6b45d58904f41a2bd7fcd6">
        <w:r>
          <w:rPr>
            <w:rStyle w:val="Hyperlink"/>
          </w:rPr>
          <w:t>MID</w:t>
        </w:r>
      </w:hyperlink>
      <w:r>
        <w:t xml:space="preserve"> </w:t>
      </w:r>
      <w:r>
        <w:fldChar w:fldCharType="begin"/>
      </w:r>
      <w:r>
        <w:instrText>PAGEREF secti</w:instrText>
      </w:r>
      <w:r>
        <w:instrText>on_612ff32d2b6b45d58904f41a2bd7fcd6</w:instrText>
      </w:r>
      <w:r>
        <w:fldChar w:fldCharType="separate"/>
      </w:r>
      <w:r>
        <w:rPr>
          <w:noProof/>
        </w:rPr>
        <w:t>430</w:t>
      </w:r>
      <w:r>
        <w:fldChar w:fldCharType="end"/>
      </w:r>
    </w:p>
    <w:p w:rsidR="00024C0A" w:rsidRDefault="00694C0F">
      <w:pPr>
        <w:pStyle w:val="indexentry0"/>
      </w:pPr>
      <w:hyperlink w:anchor="section_b4f02a916d4b4713aba9c99ba6abdb52">
        <w:r>
          <w:rPr>
            <w:rStyle w:val="Hyperlink"/>
          </w:rPr>
          <w:t>MIDB</w:t>
        </w:r>
      </w:hyperlink>
      <w:r>
        <w:t xml:space="preserve"> </w:t>
      </w:r>
      <w:r>
        <w:fldChar w:fldCharType="begin"/>
      </w:r>
      <w:r>
        <w:instrText>PAGEREF section_b4f02a916d4b4713aba9c99ba6abdb52</w:instrText>
      </w:r>
      <w:r>
        <w:fldChar w:fldCharType="separate"/>
      </w:r>
      <w:r>
        <w:rPr>
          <w:noProof/>
        </w:rPr>
        <w:t>431</w:t>
      </w:r>
      <w:r>
        <w:fldChar w:fldCharType="end"/>
      </w:r>
    </w:p>
    <w:p w:rsidR="00024C0A" w:rsidRDefault="00694C0F">
      <w:pPr>
        <w:pStyle w:val="indexentry0"/>
      </w:pPr>
      <w:hyperlink w:anchor="section_04d93d19a68d4a4e82d7d61afbf4dea1">
        <w:r>
          <w:rPr>
            <w:rStyle w:val="Hyperlink"/>
          </w:rPr>
          <w:t>MIN</w:t>
        </w:r>
      </w:hyperlink>
      <w:r>
        <w:t xml:space="preserve"> </w:t>
      </w:r>
      <w:r>
        <w:fldChar w:fldCharType="begin"/>
      </w:r>
      <w:r>
        <w:instrText>PAGEREF section_04d93d19a68d4a</w:instrText>
      </w:r>
      <w:r>
        <w:instrText>4e82d7d61afbf4dea1</w:instrText>
      </w:r>
      <w:r>
        <w:fldChar w:fldCharType="separate"/>
      </w:r>
      <w:r>
        <w:rPr>
          <w:noProof/>
        </w:rPr>
        <w:t>431</w:t>
      </w:r>
      <w:r>
        <w:fldChar w:fldCharType="end"/>
      </w:r>
    </w:p>
    <w:p w:rsidR="00024C0A" w:rsidRDefault="00694C0F">
      <w:pPr>
        <w:pStyle w:val="indexentry0"/>
      </w:pPr>
      <w:hyperlink w:anchor="section_8066396fad5d4ee18d3fbc72fe7b589d">
        <w:r>
          <w:rPr>
            <w:rStyle w:val="Hyperlink"/>
          </w:rPr>
          <w:t>min (Minimum)</w:t>
        </w:r>
      </w:hyperlink>
      <w:r>
        <w:t xml:space="preserve"> </w:t>
      </w:r>
      <w:r>
        <w:fldChar w:fldCharType="begin"/>
      </w:r>
      <w:r>
        <w:instrText>PAGEREF section_8066396fad5d4ee18d3fbc72fe7b589d</w:instrText>
      </w:r>
      <w:r>
        <w:fldChar w:fldCharType="separate"/>
      </w:r>
      <w:r>
        <w:rPr>
          <w:noProof/>
        </w:rPr>
        <w:t>553</w:t>
      </w:r>
      <w:r>
        <w:fldChar w:fldCharType="end"/>
      </w:r>
    </w:p>
    <w:p w:rsidR="00024C0A" w:rsidRDefault="00694C0F">
      <w:pPr>
        <w:pStyle w:val="indexentry0"/>
      </w:pPr>
      <w:hyperlink w:anchor="section_d46c6a1b604842ff83d335bc1055b689">
        <w:r>
          <w:rPr>
            <w:rStyle w:val="Hyperlink"/>
          </w:rPr>
          <w:t>Min (Scroll Bar Minimum)</w:t>
        </w:r>
      </w:hyperlink>
      <w:r>
        <w:t xml:space="preserve"> </w:t>
      </w:r>
      <w:r>
        <w:fldChar w:fldCharType="begin"/>
      </w:r>
      <w:r>
        <w:instrText>PAGEREF section_d46c6a1b604842ff83d335bc1055b689</w:instrText>
      </w:r>
      <w:r>
        <w:fldChar w:fldCharType="separate"/>
      </w:r>
      <w:r>
        <w:rPr>
          <w:noProof/>
        </w:rPr>
        <w:t>676</w:t>
      </w:r>
      <w:r>
        <w:fldChar w:fldCharType="end"/>
      </w:r>
    </w:p>
    <w:p w:rsidR="00024C0A" w:rsidRDefault="00694C0F">
      <w:pPr>
        <w:pStyle w:val="indexentry0"/>
      </w:pPr>
      <w:hyperlink w:anchor="section_cea49501521c41829539fb0d19c8c732">
        <w:r>
          <w:rPr>
            <w:rStyle w:val="Hyperlink"/>
          </w:rPr>
          <w:t>MINA</w:t>
        </w:r>
      </w:hyperlink>
      <w:r>
        <w:t xml:space="preserve"> </w:t>
      </w:r>
      <w:r>
        <w:fldChar w:fldCharType="begin"/>
      </w:r>
      <w:r>
        <w:instrText>PAGEREF section_cea49501521c41829539fb0d19c8c732</w:instrText>
      </w:r>
      <w:r>
        <w:fldChar w:fldCharType="separate"/>
      </w:r>
      <w:r>
        <w:rPr>
          <w:noProof/>
        </w:rPr>
        <w:t>431</w:t>
      </w:r>
      <w:r>
        <w:fldChar w:fldCharType="end"/>
      </w:r>
    </w:p>
    <w:p w:rsidR="00024C0A" w:rsidRDefault="00694C0F">
      <w:pPr>
        <w:pStyle w:val="indexentry0"/>
      </w:pPr>
      <w:hyperlink w:anchor="section_8c28df63f35244b9bdf634dcd4faaa84">
        <w:r>
          <w:rPr>
            <w:rStyle w:val="Hyperlink"/>
          </w:rPr>
          <w:t>minorUnit (Minor Unit)</w:t>
        </w:r>
      </w:hyperlink>
      <w:r>
        <w:t xml:space="preserve"> </w:t>
      </w:r>
      <w:r>
        <w:fldChar w:fldCharType="begin"/>
      </w:r>
      <w:r>
        <w:instrText>PAGEREF section_8c28df63f35244b9bdf634dcd4faaa84</w:instrText>
      </w:r>
      <w:r>
        <w:fldChar w:fldCharType="separate"/>
      </w:r>
      <w:r>
        <w:rPr>
          <w:noProof/>
        </w:rPr>
        <w:t>553</w:t>
      </w:r>
      <w:r>
        <w:fldChar w:fldCharType="end"/>
      </w:r>
    </w:p>
    <w:p w:rsidR="00024C0A" w:rsidRDefault="00694C0F">
      <w:pPr>
        <w:pStyle w:val="indexentry0"/>
      </w:pPr>
      <w:hyperlink w:anchor="section_f9019fcff51d4d9589c4e9267f846bdb">
        <w:r>
          <w:rPr>
            <w:rStyle w:val="Hyperlink"/>
          </w:rPr>
          <w:t>minus (Minus)</w:t>
        </w:r>
      </w:hyperlink>
      <w:r>
        <w:t xml:space="preserve"> </w:t>
      </w:r>
      <w:r>
        <w:fldChar w:fldCharType="begin"/>
      </w:r>
      <w:r>
        <w:instrText>PAGEREF section_f9019fcff51d4d9589c4e9267f846bdb</w:instrText>
      </w:r>
      <w:r>
        <w:fldChar w:fldCharType="separate"/>
      </w:r>
      <w:r>
        <w:rPr>
          <w:noProof/>
        </w:rPr>
        <w:t>553</w:t>
      </w:r>
      <w:r>
        <w:fldChar w:fldCharType="end"/>
      </w:r>
    </w:p>
    <w:p w:rsidR="00024C0A" w:rsidRDefault="00694C0F">
      <w:pPr>
        <w:pStyle w:val="indexentry0"/>
      </w:pPr>
      <w:hyperlink w:anchor="section_3ce4055731a94b8a8f0f38f73c07c844">
        <w:r>
          <w:rPr>
            <w:rStyle w:val="Hyperlink"/>
          </w:rPr>
          <w:t>MINVERSE</w:t>
        </w:r>
      </w:hyperlink>
      <w:r>
        <w:t xml:space="preserve"> </w:t>
      </w:r>
      <w:r>
        <w:fldChar w:fldCharType="begin"/>
      </w:r>
      <w:r>
        <w:instrText>P</w:instrText>
      </w:r>
      <w:r>
        <w:instrText>AGEREF section_3ce4055731a94b8a8f0f38f73c07c844</w:instrText>
      </w:r>
      <w:r>
        <w:fldChar w:fldCharType="separate"/>
      </w:r>
      <w:r>
        <w:rPr>
          <w:noProof/>
        </w:rPr>
        <w:t>432</w:t>
      </w:r>
      <w:r>
        <w:fldChar w:fldCharType="end"/>
      </w:r>
    </w:p>
    <w:p w:rsidR="00024C0A" w:rsidRDefault="00694C0F">
      <w:pPr>
        <w:pStyle w:val="indexentry0"/>
      </w:pPr>
      <w:hyperlink w:anchor="section_7d70ca688cbe48b7b3c34e19a9a7ee5a">
        <w:r>
          <w:rPr>
            <w:rStyle w:val="Hyperlink"/>
          </w:rPr>
          <w:t>mirrorIndents (Use Left/Right Indents as Inside/Outside Indents)</w:t>
        </w:r>
      </w:hyperlink>
      <w:r>
        <w:t xml:space="preserve"> </w:t>
      </w:r>
      <w:r>
        <w:fldChar w:fldCharType="begin"/>
      </w:r>
      <w:r>
        <w:instrText>PAGEREF section_7d70ca688cbe48b7b3c34e19a9a7ee5a</w:instrText>
      </w:r>
      <w:r>
        <w:fldChar w:fldCharType="separate"/>
      </w:r>
      <w:r>
        <w:rPr>
          <w:noProof/>
        </w:rPr>
        <w:t>64</w:t>
      </w:r>
      <w:r>
        <w:fldChar w:fldCharType="end"/>
      </w:r>
    </w:p>
    <w:p w:rsidR="00024C0A" w:rsidRDefault="00694C0F">
      <w:pPr>
        <w:pStyle w:val="indexentry0"/>
      </w:pPr>
      <w:hyperlink w:anchor="section_7bd817fb79cf4789b7334a29f032f5b7">
        <w:r>
          <w:rPr>
            <w:rStyle w:val="Hyperlink"/>
          </w:rPr>
          <w:t>miter (Miter Line Join)</w:t>
        </w:r>
      </w:hyperlink>
      <w:r>
        <w:t xml:space="preserve"> </w:t>
      </w:r>
      <w:r>
        <w:fldChar w:fldCharType="begin"/>
      </w:r>
      <w:r>
        <w:instrText>PAGEREF section_7bd817fb79cf4789b7334a29f032f5b7</w:instrText>
      </w:r>
      <w:r>
        <w:fldChar w:fldCharType="separate"/>
      </w:r>
      <w:r>
        <w:rPr>
          <w:noProof/>
        </w:rPr>
        <w:t>513</w:t>
      </w:r>
      <w:r>
        <w:fldChar w:fldCharType="end"/>
      </w:r>
    </w:p>
    <w:p w:rsidR="00024C0A" w:rsidRDefault="00694C0F">
      <w:pPr>
        <w:pStyle w:val="indexentry0"/>
      </w:pPr>
      <w:hyperlink w:anchor="section_236b7423470948f98b928617074bb197">
        <w:r>
          <w:rPr>
            <w:rStyle w:val="Hyperlink"/>
          </w:rPr>
          <w:t>modifyVerifier (Modification Verifier)</w:t>
        </w:r>
      </w:hyperlink>
      <w:r>
        <w:t xml:space="preserve"> </w:t>
      </w:r>
      <w:r>
        <w:fldChar w:fldCharType="begin"/>
      </w:r>
      <w:r>
        <w:instrText>PAGEREF section_236b7423470948f98b928617</w:instrText>
      </w:r>
      <w:r>
        <w:instrText>074bb197</w:instrText>
      </w:r>
      <w:r>
        <w:fldChar w:fldCharType="separate"/>
      </w:r>
      <w:r>
        <w:rPr>
          <w:noProof/>
        </w:rPr>
        <w:t>460</w:t>
      </w:r>
      <w:r>
        <w:fldChar w:fldCharType="end"/>
      </w:r>
    </w:p>
    <w:p w:rsidR="00024C0A" w:rsidRDefault="00694C0F">
      <w:pPr>
        <w:pStyle w:val="indexentry0"/>
      </w:pPr>
      <w:hyperlink w:anchor="section_60d0016ce96e44b9907fad464b6d07c7">
        <w:r>
          <w:rPr>
            <w:rStyle w:val="Hyperlink"/>
          </w:rPr>
          <w:t>Monitors (Monitor Count)</w:t>
        </w:r>
      </w:hyperlink>
      <w:r>
        <w:t xml:space="preserve"> </w:t>
      </w:r>
      <w:r>
        <w:fldChar w:fldCharType="begin"/>
      </w:r>
      <w:r>
        <w:instrText>PAGEREF section_60d0016ce96e44b9907fad464b6d07c7</w:instrText>
      </w:r>
      <w:r>
        <w:fldChar w:fldCharType="separate"/>
      </w:r>
      <w:r>
        <w:rPr>
          <w:noProof/>
        </w:rPr>
        <w:t>878</w:t>
      </w:r>
      <w:r>
        <w:fldChar w:fldCharType="end"/>
      </w:r>
    </w:p>
    <w:p w:rsidR="00024C0A" w:rsidRDefault="00694C0F">
      <w:pPr>
        <w:pStyle w:val="indexentry0"/>
      </w:pPr>
      <w:hyperlink w:anchor="section_dcbcb32823db42abbb8081992b8e429e">
        <w:r>
          <w:rPr>
            <w:rStyle w:val="Hyperlink"/>
          </w:rPr>
          <w:t>moveFrom (Move Source Math Control Characte</w:t>
        </w:r>
        <w:r>
          <w:rPr>
            <w:rStyle w:val="Hyperlink"/>
          </w:rPr>
          <w:t>r)</w:t>
        </w:r>
      </w:hyperlink>
      <w:r>
        <w:t xml:space="preserve"> </w:t>
      </w:r>
      <w:r>
        <w:fldChar w:fldCharType="begin"/>
      </w:r>
      <w:r>
        <w:instrText>PAGEREF section_dcbcb32823db42abbb8081992b8e429e</w:instrText>
      </w:r>
      <w:r>
        <w:fldChar w:fldCharType="separate"/>
      </w:r>
      <w:r>
        <w:rPr>
          <w:noProof/>
        </w:rPr>
        <w:t>800</w:t>
      </w:r>
      <w:r>
        <w:fldChar w:fldCharType="end"/>
      </w:r>
    </w:p>
    <w:p w:rsidR="00024C0A" w:rsidRDefault="00694C0F">
      <w:pPr>
        <w:pStyle w:val="indexentry0"/>
      </w:pPr>
      <w:hyperlink w:anchor="section_123328dcd0324adcbdd39388ff472ea2">
        <w:r>
          <w:rPr>
            <w:rStyle w:val="Hyperlink"/>
          </w:rPr>
          <w:t>moveFrom (Move Source Paragraph)</w:t>
        </w:r>
      </w:hyperlink>
      <w:r>
        <w:t xml:space="preserve"> </w:t>
      </w:r>
      <w:r>
        <w:fldChar w:fldCharType="begin"/>
      </w:r>
      <w:r>
        <w:instrText>PAGEREF section_123328dcd0324adcbdd39388ff472ea2</w:instrText>
      </w:r>
      <w:r>
        <w:fldChar w:fldCharType="separate"/>
      </w:r>
      <w:r>
        <w:rPr>
          <w:noProof/>
        </w:rPr>
        <w:t>136</w:t>
      </w:r>
      <w:r>
        <w:fldChar w:fldCharType="end"/>
      </w:r>
    </w:p>
    <w:p w:rsidR="00024C0A" w:rsidRDefault="00694C0F">
      <w:pPr>
        <w:pStyle w:val="indexentry0"/>
      </w:pPr>
      <w:hyperlink w:anchor="section_70a0803b276e4570a179bc29869d6701">
        <w:r>
          <w:rPr>
            <w:rStyle w:val="Hyperlink"/>
          </w:rPr>
          <w:t>moveFrom (Move Source Run Content)</w:t>
        </w:r>
      </w:hyperlink>
      <w:r>
        <w:t xml:space="preserve"> </w:t>
      </w:r>
      <w:r>
        <w:fldChar w:fldCharType="begin"/>
      </w:r>
      <w:r>
        <w:instrText>PAGEREF section_70a0803b276e4570a179bc29869d6701</w:instrText>
      </w:r>
      <w:r>
        <w:fldChar w:fldCharType="separate"/>
      </w:r>
      <w:r>
        <w:rPr>
          <w:noProof/>
        </w:rPr>
        <w:t>137</w:t>
      </w:r>
      <w:r>
        <w:fldChar w:fldCharType="end"/>
      </w:r>
    </w:p>
    <w:p w:rsidR="00024C0A" w:rsidRDefault="00694C0F">
      <w:pPr>
        <w:pStyle w:val="indexentry0"/>
      </w:pPr>
      <w:hyperlink w:anchor="section_f90cd8b7925d4d049a0385f33bc74843">
        <w:r>
          <w:rPr>
            <w:rStyle w:val="Hyperlink"/>
          </w:rPr>
          <w:t>moveFromRangeEnd (Move Source Location Contai</w:t>
        </w:r>
        <w:r>
          <w:rPr>
            <w:rStyle w:val="Hyperlink"/>
          </w:rPr>
          <w:t>ner - End)</w:t>
        </w:r>
      </w:hyperlink>
      <w:r>
        <w:t xml:space="preserve"> </w:t>
      </w:r>
      <w:r>
        <w:fldChar w:fldCharType="begin"/>
      </w:r>
      <w:r>
        <w:instrText>PAGEREF section_f90cd8b7925d4d049a0385f33bc74843</w:instrText>
      </w:r>
      <w:r>
        <w:fldChar w:fldCharType="separate"/>
      </w:r>
      <w:r>
        <w:rPr>
          <w:noProof/>
        </w:rPr>
        <w:t>137</w:t>
      </w:r>
      <w:r>
        <w:fldChar w:fldCharType="end"/>
      </w:r>
    </w:p>
    <w:p w:rsidR="00024C0A" w:rsidRDefault="00694C0F">
      <w:pPr>
        <w:pStyle w:val="indexentry0"/>
      </w:pPr>
      <w:hyperlink w:anchor="section_5214839b61db423aa618a375b90fd0a8">
        <w:r>
          <w:rPr>
            <w:rStyle w:val="Hyperlink"/>
          </w:rPr>
          <w:t>moveFromRangeStart (Move Source Location Container - Start)</w:t>
        </w:r>
      </w:hyperlink>
      <w:r>
        <w:t xml:space="preserve"> </w:t>
      </w:r>
      <w:r>
        <w:fldChar w:fldCharType="begin"/>
      </w:r>
      <w:r>
        <w:instrText>PAGEREF section_5214839b61db423aa618a375b90fd0a8</w:instrText>
      </w:r>
      <w:r>
        <w:fldChar w:fldCharType="separate"/>
      </w:r>
      <w:r>
        <w:rPr>
          <w:noProof/>
        </w:rPr>
        <w:t>137</w:t>
      </w:r>
      <w:r>
        <w:fldChar w:fldCharType="end"/>
      </w:r>
    </w:p>
    <w:p w:rsidR="00024C0A" w:rsidRDefault="00694C0F">
      <w:pPr>
        <w:pStyle w:val="indexentry0"/>
      </w:pPr>
      <w:hyperlink w:anchor="section_9d27b8e63f8f4cf7a6e356e2fbf140b8">
        <w:r>
          <w:rPr>
            <w:rStyle w:val="Hyperlink"/>
          </w:rPr>
          <w:t>moveTo (Move Destination Math Control Character)</w:t>
        </w:r>
      </w:hyperlink>
      <w:r>
        <w:t xml:space="preserve"> </w:t>
      </w:r>
      <w:r>
        <w:fldChar w:fldCharType="begin"/>
      </w:r>
      <w:r>
        <w:instrText>PAGEREF section_9d27b8e63f8f4cf7a6e356e2fbf140b8</w:instrText>
      </w:r>
      <w:r>
        <w:fldChar w:fldCharType="separate"/>
      </w:r>
      <w:r>
        <w:rPr>
          <w:noProof/>
        </w:rPr>
        <w:t>802</w:t>
      </w:r>
      <w:r>
        <w:fldChar w:fldCharType="end"/>
      </w:r>
    </w:p>
    <w:p w:rsidR="00024C0A" w:rsidRDefault="00694C0F">
      <w:pPr>
        <w:pStyle w:val="indexentry0"/>
      </w:pPr>
      <w:hyperlink w:anchor="section_dafb64ea058d4c1fa592c3c6c8df91c6">
        <w:r>
          <w:rPr>
            <w:rStyle w:val="Hyperlink"/>
          </w:rPr>
          <w:t>moveTo (Move Destination Paragraph)</w:t>
        </w:r>
      </w:hyperlink>
      <w:r>
        <w:t xml:space="preserve"> </w:t>
      </w:r>
      <w:r>
        <w:fldChar w:fldCharType="begin"/>
      </w:r>
      <w:r>
        <w:instrText>PAGEREF s</w:instrText>
      </w:r>
      <w:r>
        <w:instrText>ection_dafb64ea058d4c1fa592c3c6c8df91c6</w:instrText>
      </w:r>
      <w:r>
        <w:fldChar w:fldCharType="separate"/>
      </w:r>
      <w:r>
        <w:rPr>
          <w:noProof/>
        </w:rPr>
        <w:t>137</w:t>
      </w:r>
      <w:r>
        <w:fldChar w:fldCharType="end"/>
      </w:r>
    </w:p>
    <w:p w:rsidR="00024C0A" w:rsidRDefault="00694C0F">
      <w:pPr>
        <w:pStyle w:val="indexentry0"/>
      </w:pPr>
      <w:hyperlink w:anchor="section_4fffb314e0bf4947af2079d7ca0448d5">
        <w:r>
          <w:rPr>
            <w:rStyle w:val="Hyperlink"/>
          </w:rPr>
          <w:t>moveTo (Move Destination Run Content)</w:t>
        </w:r>
      </w:hyperlink>
      <w:r>
        <w:t xml:space="preserve"> </w:t>
      </w:r>
      <w:r>
        <w:fldChar w:fldCharType="begin"/>
      </w:r>
      <w:r>
        <w:instrText>PAGEREF section_4fffb314e0bf4947af2079d7ca0448d5</w:instrText>
      </w:r>
      <w:r>
        <w:fldChar w:fldCharType="separate"/>
      </w:r>
      <w:r>
        <w:rPr>
          <w:noProof/>
        </w:rPr>
        <w:t>137</w:t>
      </w:r>
      <w:r>
        <w:fldChar w:fldCharType="end"/>
      </w:r>
    </w:p>
    <w:p w:rsidR="00024C0A" w:rsidRDefault="00694C0F">
      <w:pPr>
        <w:pStyle w:val="indexentry0"/>
      </w:pPr>
      <w:hyperlink w:anchor="section_8e9341b0a75f40009e2209c559e8a4ce">
        <w:r>
          <w:rPr>
            <w:rStyle w:val="Hyperlink"/>
          </w:rPr>
          <w:t>moveToRangeEnd (Move Destination Location Container - End)</w:t>
        </w:r>
      </w:hyperlink>
      <w:r>
        <w:t xml:space="preserve"> </w:t>
      </w:r>
      <w:r>
        <w:fldChar w:fldCharType="begin"/>
      </w:r>
      <w:r>
        <w:instrText>PAGEREF section_8e9341b0a75f40009e2209c559e8a4ce</w:instrText>
      </w:r>
      <w:r>
        <w:fldChar w:fldCharType="separate"/>
      </w:r>
      <w:r>
        <w:rPr>
          <w:noProof/>
        </w:rPr>
        <w:t>138</w:t>
      </w:r>
      <w:r>
        <w:fldChar w:fldCharType="end"/>
      </w:r>
    </w:p>
    <w:p w:rsidR="00024C0A" w:rsidRDefault="00694C0F">
      <w:pPr>
        <w:pStyle w:val="indexentry0"/>
      </w:pPr>
      <w:hyperlink w:anchor="section_03c98d1c57d84c05bd1b76e79d3673a4">
        <w:r>
          <w:rPr>
            <w:rStyle w:val="Hyperlink"/>
          </w:rPr>
          <w:t>moveToRangeStart (Move Destination Location Container - Start)</w:t>
        </w:r>
      </w:hyperlink>
      <w:r>
        <w:t xml:space="preserve"> </w:t>
      </w:r>
      <w:r>
        <w:fldChar w:fldCharType="begin"/>
      </w:r>
      <w:r>
        <w:instrText>PAGEREF section_03c98d1c57d84c05bd1b76e79d3673a4</w:instrText>
      </w:r>
      <w:r>
        <w:fldChar w:fldCharType="separate"/>
      </w:r>
      <w:r>
        <w:rPr>
          <w:noProof/>
        </w:rPr>
        <w:t>138</w:t>
      </w:r>
      <w:r>
        <w:fldChar w:fldCharType="end"/>
      </w:r>
    </w:p>
    <w:p w:rsidR="00024C0A" w:rsidRDefault="00694C0F">
      <w:pPr>
        <w:pStyle w:val="indexentry0"/>
      </w:pPr>
      <w:hyperlink w:anchor="section_40158516bf2346b1b809063618265082">
        <w:r>
          <w:rPr>
            <w:rStyle w:val="Hyperlink"/>
          </w:rPr>
          <w:t>MoveWithCells (Move with Cells)</w:t>
        </w:r>
      </w:hyperlink>
      <w:r>
        <w:t xml:space="preserve"> </w:t>
      </w:r>
      <w:r>
        <w:fldChar w:fldCharType="begin"/>
      </w:r>
      <w:r>
        <w:instrText>PAGEREF section_40158516bf2346b1b809063618265082</w:instrText>
      </w:r>
      <w:r>
        <w:fldChar w:fldCharType="separate"/>
      </w:r>
      <w:r>
        <w:rPr>
          <w:noProof/>
        </w:rPr>
        <w:t>676</w:t>
      </w:r>
      <w:r>
        <w:fldChar w:fldCharType="end"/>
      </w:r>
    </w:p>
    <w:p w:rsidR="00024C0A" w:rsidRDefault="00694C0F">
      <w:pPr>
        <w:pStyle w:val="indexentry0"/>
      </w:pPr>
      <w:hyperlink w:anchor="section_ef061fe2ceaa4fc29574c941845977c7">
        <w:r>
          <w:rPr>
            <w:rStyle w:val="Hyperlink"/>
          </w:rPr>
          <w:t>movie (Embedded Video)</w:t>
        </w:r>
      </w:hyperlink>
      <w:r>
        <w:t xml:space="preserve"> </w:t>
      </w:r>
      <w:r>
        <w:fldChar w:fldCharType="begin"/>
      </w:r>
      <w:r>
        <w:instrText>PAGEREF section_ef061fe2ceaa4fc29574c941845977c7</w:instrText>
      </w:r>
      <w:r>
        <w:fldChar w:fldCharType="separate"/>
      </w:r>
      <w:r>
        <w:rPr>
          <w:noProof/>
        </w:rPr>
        <w:t>80</w:t>
      </w:r>
      <w:r>
        <w:fldChar w:fldCharType="end"/>
      </w:r>
    </w:p>
    <w:p w:rsidR="00024C0A" w:rsidRDefault="00694C0F">
      <w:pPr>
        <w:pStyle w:val="indexentry0"/>
      </w:pPr>
      <w:hyperlink w:anchor="section_71f10955d10148acb9bb4fefc73cdb96">
        <w:r>
          <w:rPr>
            <w:rStyle w:val="Hyperlink"/>
          </w:rPr>
          <w:t>mp (OLAP Member Property)</w:t>
        </w:r>
      </w:hyperlink>
      <w:r>
        <w:t xml:space="preserve"> </w:t>
      </w:r>
      <w:r>
        <w:fldChar w:fldCharType="begin"/>
      </w:r>
      <w:r>
        <w:instrText>PAGEREF section_71f10955d10148acb9bb4fefc73cdb96</w:instrText>
      </w:r>
      <w:r>
        <w:fldChar w:fldCharType="separate"/>
      </w:r>
      <w:r>
        <w:rPr>
          <w:noProof/>
        </w:rPr>
        <w:t>341</w:t>
      </w:r>
      <w:r>
        <w:fldChar w:fldCharType="end"/>
      </w:r>
    </w:p>
    <w:p w:rsidR="00024C0A" w:rsidRDefault="00694C0F">
      <w:pPr>
        <w:pStyle w:val="indexentry0"/>
      </w:pPr>
      <w:hyperlink w:anchor="section_b4dc42bf1fd54fac8d83fb17156bdcd2">
        <w:r>
          <w:rPr>
            <w:rStyle w:val="Hyperlink"/>
          </w:rPr>
          <w:t>mpMap (Member Properties Map)</w:t>
        </w:r>
      </w:hyperlink>
      <w:r>
        <w:t xml:space="preserve"> </w:t>
      </w:r>
      <w:r>
        <w:fldChar w:fldCharType="begin"/>
      </w:r>
      <w:r>
        <w:instrText>PAGEREF section_b4dc42bf1fd54fac8d83fb17156bdcd2</w:instrText>
      </w:r>
      <w:r>
        <w:fldChar w:fldCharType="separate"/>
      </w:r>
      <w:r>
        <w:rPr>
          <w:noProof/>
        </w:rPr>
        <w:t>342</w:t>
      </w:r>
      <w:r>
        <w:fldChar w:fldCharType="end"/>
      </w:r>
    </w:p>
    <w:p w:rsidR="00024C0A" w:rsidRDefault="00694C0F">
      <w:pPr>
        <w:pStyle w:val="indexentry0"/>
      </w:pPr>
      <w:hyperlink w:anchor="section_8888801c0ecc48cb8ca4b1b34a8970a3">
        <w:r>
          <w:rPr>
            <w:rStyle w:val="Hyperlink"/>
          </w:rPr>
          <w:t>mr (Matrix Row)</w:t>
        </w:r>
      </w:hyperlink>
      <w:r>
        <w:t xml:space="preserve"> </w:t>
      </w:r>
      <w:r>
        <w:fldChar w:fldCharType="begin"/>
      </w:r>
      <w:r>
        <w:instrText>PAGEREF section_8888801c0ecc48cb</w:instrText>
      </w:r>
      <w:r>
        <w:instrText>8ca4b1b34a8970a3</w:instrText>
      </w:r>
      <w:r>
        <w:fldChar w:fldCharType="separate"/>
      </w:r>
      <w:r>
        <w:rPr>
          <w:noProof/>
        </w:rPr>
        <w:t>596</w:t>
      </w:r>
      <w:r>
        <w:fldChar w:fldCharType="end"/>
      </w:r>
    </w:p>
    <w:p w:rsidR="00024C0A" w:rsidRDefault="00694C0F">
      <w:pPr>
        <w:pStyle w:val="indexentry0"/>
      </w:pPr>
      <w:hyperlink w:anchor="section_236b2ae9ee2841ec9cb9e9085bba3100">
        <w:r>
          <w:rPr>
            <w:rStyle w:val="Hyperlink"/>
          </w:rPr>
          <w:t>mruColors (MRU Colors)</w:t>
        </w:r>
      </w:hyperlink>
      <w:r>
        <w:t xml:space="preserve"> </w:t>
      </w:r>
      <w:r>
        <w:fldChar w:fldCharType="begin"/>
      </w:r>
      <w:r>
        <w:instrText>PAGEREF section_236b2ae9ee2841ec9cb9e9085bba3100</w:instrText>
      </w:r>
      <w:r>
        <w:fldChar w:fldCharType="separate"/>
      </w:r>
      <w:r>
        <w:rPr>
          <w:noProof/>
        </w:rPr>
        <w:t>298</w:t>
      </w:r>
      <w:r>
        <w:fldChar w:fldCharType="end"/>
      </w:r>
    </w:p>
    <w:p w:rsidR="00024C0A" w:rsidRDefault="00694C0F">
      <w:pPr>
        <w:pStyle w:val="indexentry0"/>
      </w:pPr>
      <w:hyperlink w:anchor="section_6612d3346b3a463893d847b28879a01f">
        <w:r>
          <w:rPr>
            <w:rStyle w:val="Hyperlink"/>
          </w:rPr>
          <w:t>ms (Set MDX Metadata)</w:t>
        </w:r>
      </w:hyperlink>
      <w:r>
        <w:t xml:space="preserve"> </w:t>
      </w:r>
      <w:r>
        <w:fldChar w:fldCharType="begin"/>
      </w:r>
      <w:r>
        <w:instrText>PAGEREF secti</w:instrText>
      </w:r>
      <w:r>
        <w:instrText>on_6612d3346b3a463893d847b28879a01f</w:instrText>
      </w:r>
      <w:r>
        <w:fldChar w:fldCharType="separate"/>
      </w:r>
      <w:r>
        <w:rPr>
          <w:noProof/>
        </w:rPr>
        <w:t>317</w:t>
      </w:r>
      <w:r>
        <w:fldChar w:fldCharType="end"/>
      </w:r>
    </w:p>
    <w:p w:rsidR="00024C0A" w:rsidRDefault="00694C0F">
      <w:pPr>
        <w:pStyle w:val="indexentry0"/>
      </w:pPr>
      <w:hyperlink w:anchor="section_c18a957f2c2c4f6cb25a6b7e733cc52e">
        <w:r>
          <w:rPr>
            <w:rStyle w:val="Hyperlink"/>
          </w:rPr>
          <w:t>multiLvlStrCache (Multi Level String Cache)</w:t>
        </w:r>
      </w:hyperlink>
      <w:r>
        <w:t xml:space="preserve"> </w:t>
      </w:r>
      <w:r>
        <w:fldChar w:fldCharType="begin"/>
      </w:r>
      <w:r>
        <w:instrText>PAGEREF section_c18a957f2c2c4f6cb25a6b7e733cc52e</w:instrText>
      </w:r>
      <w:r>
        <w:fldChar w:fldCharType="separate"/>
      </w:r>
      <w:r>
        <w:rPr>
          <w:noProof/>
        </w:rPr>
        <w:t>554</w:t>
      </w:r>
      <w:r>
        <w:fldChar w:fldCharType="end"/>
      </w:r>
    </w:p>
    <w:p w:rsidR="00024C0A" w:rsidRDefault="00694C0F">
      <w:pPr>
        <w:pStyle w:val="indexentry0"/>
      </w:pPr>
      <w:hyperlink w:anchor="section_5a37b2e1a0914137b7fabf136bc9b3c5">
        <w:r>
          <w:rPr>
            <w:rStyle w:val="Hyperlink"/>
          </w:rPr>
          <w:t>multiLvlStrRef (Multi Level String Reference)</w:t>
        </w:r>
      </w:hyperlink>
      <w:r>
        <w:t xml:space="preserve"> </w:t>
      </w:r>
      <w:r>
        <w:fldChar w:fldCharType="begin"/>
      </w:r>
      <w:r>
        <w:instrText>PAGEREF section_5a37b2e1a0914137b7fabf136bc9b3c5</w:instrText>
      </w:r>
      <w:r>
        <w:fldChar w:fldCharType="separate"/>
      </w:r>
      <w:r>
        <w:rPr>
          <w:noProof/>
        </w:rPr>
        <w:t>554</w:t>
      </w:r>
      <w:r>
        <w:fldChar w:fldCharType="end"/>
      </w:r>
    </w:p>
    <w:p w:rsidR="00024C0A" w:rsidRDefault="00694C0F">
      <w:pPr>
        <w:pStyle w:val="indexentry0"/>
      </w:pPr>
      <w:hyperlink w:anchor="section_2cd7e0b4d9d1491c92c6c271203af29a">
        <w:r>
          <w:rPr>
            <w:rStyle w:val="Hyperlink"/>
          </w:rPr>
          <w:t>MULTINOMIAL</w:t>
        </w:r>
      </w:hyperlink>
      <w:r>
        <w:t xml:space="preserve"> </w:t>
      </w:r>
      <w:r>
        <w:fldChar w:fldCharType="begin"/>
      </w:r>
      <w:r>
        <w:instrText>PAGEREF section_2cd7e0b4d9d1491c92c6c271203af29a</w:instrText>
      </w:r>
      <w:r>
        <w:fldChar w:fldCharType="separate"/>
      </w:r>
      <w:r>
        <w:rPr>
          <w:noProof/>
        </w:rPr>
        <w:t>432</w:t>
      </w:r>
      <w:r>
        <w:fldChar w:fldCharType="end"/>
      </w:r>
    </w:p>
    <w:p w:rsidR="00024C0A" w:rsidRDefault="00024C0A">
      <w:pPr>
        <w:spacing w:before="0" w:after="0"/>
        <w:rPr>
          <w:sz w:val="16"/>
        </w:rPr>
      </w:pPr>
    </w:p>
    <w:p w:rsidR="00024C0A" w:rsidRDefault="00694C0F">
      <w:pPr>
        <w:pStyle w:val="indexheader"/>
      </w:pPr>
      <w:r>
        <w:t>N</w:t>
      </w:r>
    </w:p>
    <w:p w:rsidR="00024C0A" w:rsidRDefault="00024C0A">
      <w:pPr>
        <w:spacing w:before="0" w:after="0"/>
        <w:rPr>
          <w:sz w:val="16"/>
        </w:rPr>
      </w:pPr>
    </w:p>
    <w:p w:rsidR="00024C0A" w:rsidRDefault="00694C0F">
      <w:pPr>
        <w:pStyle w:val="indexentry0"/>
      </w:pPr>
      <w:hyperlink w:anchor="section_9fe99a43b15e40eea2cc9318cb945451">
        <w:r>
          <w:rPr>
            <w:rStyle w:val="Hyperlink"/>
          </w:rPr>
          <w:t>N</w:t>
        </w:r>
      </w:hyperlink>
      <w:r>
        <w:t xml:space="preserve"> </w:t>
      </w:r>
      <w:r>
        <w:fldChar w:fldCharType="begin"/>
      </w:r>
      <w:r>
        <w:instrText>PAGEREF section_9fe99a43b15e40eea2cc9318cb945451</w:instrText>
      </w:r>
      <w:r>
        <w:fldChar w:fldCharType="separate"/>
      </w:r>
      <w:r>
        <w:rPr>
          <w:noProof/>
        </w:rPr>
        <w:t>432</w:t>
      </w:r>
      <w:r>
        <w:fldChar w:fldCharType="end"/>
      </w:r>
    </w:p>
    <w:p w:rsidR="00024C0A" w:rsidRDefault="00694C0F">
      <w:pPr>
        <w:pStyle w:val="indexentry0"/>
      </w:pPr>
      <w:hyperlink w:anchor="section_e15c9df90ad44f7c979ad268c7ac9e3e">
        <w:r>
          <w:rPr>
            <w:rStyle w:val="Hyperlink"/>
          </w:rPr>
          <w:t>n (Member Unique Name Index)</w:t>
        </w:r>
      </w:hyperlink>
      <w:r>
        <w:t xml:space="preserve"> </w:t>
      </w:r>
      <w:r>
        <w:fldChar w:fldCharType="begin"/>
      </w:r>
      <w:r>
        <w:instrText>PAGEREF section_e15c9df90ad44f7c979ad268c7ac9e3e</w:instrText>
      </w:r>
      <w:r>
        <w:fldChar w:fldCharType="separate"/>
      </w:r>
      <w:r>
        <w:rPr>
          <w:noProof/>
        </w:rPr>
        <w:t>317</w:t>
      </w:r>
      <w:r>
        <w:fldChar w:fldCharType="end"/>
      </w:r>
    </w:p>
    <w:p w:rsidR="00024C0A" w:rsidRDefault="00694C0F">
      <w:pPr>
        <w:pStyle w:val="indexentry0"/>
      </w:pPr>
      <w:hyperlink w:anchor="section_7dc71bdcc6a048ce87fd58bc9aa6ca0e">
        <w:r>
          <w:rPr>
            <w:rStyle w:val="Hyperlink"/>
          </w:rPr>
          <w:t>n (Numeric)</w:t>
        </w:r>
      </w:hyperlink>
      <w:r>
        <w:t xml:space="preserve"> </w:t>
      </w:r>
      <w:r>
        <w:fldChar w:fldCharType="begin"/>
      </w:r>
      <w:r>
        <w:instrText>PAGEREF section_7dc71bdcc6a048ce87fd58bc9aa6ca0e</w:instrText>
      </w:r>
      <w:r>
        <w:fldChar w:fldCharType="separate"/>
      </w:r>
      <w:r>
        <w:rPr>
          <w:noProof/>
        </w:rPr>
        <w:t>342</w:t>
      </w:r>
      <w:r>
        <w:fldChar w:fldCharType="end"/>
      </w:r>
    </w:p>
    <w:p w:rsidR="00024C0A" w:rsidRDefault="00694C0F">
      <w:pPr>
        <w:pStyle w:val="indexentry0"/>
      </w:pPr>
      <w:hyperlink w:anchor="section_f64ffe252900401eba6e8f0459bd63c6">
        <w:r>
          <w:rPr>
            <w:rStyle w:val="Hyperlink"/>
          </w:rPr>
          <w:t>name (Abstract Numbering Definition Name)</w:t>
        </w:r>
      </w:hyperlink>
      <w:r>
        <w:t xml:space="preserve"> </w:t>
      </w:r>
      <w:r>
        <w:fldChar w:fldCharType="begin"/>
      </w:r>
      <w:r>
        <w:instrText>PAGEREF section_f64ffe25</w:instrText>
      </w:r>
      <w:r>
        <w:instrText>2900401eba6e8f0459bd63c6</w:instrText>
      </w:r>
      <w:r>
        <w:fldChar w:fldCharType="separate"/>
      </w:r>
      <w:r>
        <w:rPr>
          <w:noProof/>
        </w:rPr>
        <w:t>124</w:t>
      </w:r>
      <w:r>
        <w:fldChar w:fldCharType="end"/>
      </w:r>
    </w:p>
    <w:p w:rsidR="00024C0A" w:rsidRDefault="00694C0F">
      <w:pPr>
        <w:pStyle w:val="indexentry0"/>
      </w:pPr>
      <w:hyperlink w:anchor="section_51a7812ca4d047cba9ad3369db15bff2">
        <w:r>
          <w:rPr>
            <w:rStyle w:val="Hyperlink"/>
          </w:rPr>
          <w:t>name (Data Source Name for Column)</w:t>
        </w:r>
      </w:hyperlink>
      <w:r>
        <w:t xml:space="preserve"> </w:t>
      </w:r>
      <w:r>
        <w:fldChar w:fldCharType="begin"/>
      </w:r>
      <w:r>
        <w:instrText>PAGEREF section_51a7812ca4d047cba9ad3369db15bff2</w:instrText>
      </w:r>
      <w:r>
        <w:fldChar w:fldCharType="separate"/>
      </w:r>
      <w:r>
        <w:rPr>
          <w:noProof/>
        </w:rPr>
        <w:t>144</w:t>
      </w:r>
      <w:r>
        <w:fldChar w:fldCharType="end"/>
      </w:r>
    </w:p>
    <w:p w:rsidR="00024C0A" w:rsidRDefault="00694C0F">
      <w:pPr>
        <w:pStyle w:val="indexentry0"/>
      </w:pPr>
      <w:hyperlink w:anchor="section_0e286ffd189c4df8a44f3879af50a4a2">
        <w:r>
          <w:rPr>
            <w:rStyle w:val="Hyperlink"/>
          </w:rPr>
          <w:t>name (Font Name)</w:t>
        </w:r>
      </w:hyperlink>
      <w:r>
        <w:t xml:space="preserve"> </w:t>
      </w:r>
      <w:r>
        <w:fldChar w:fldCharType="begin"/>
      </w:r>
      <w:r>
        <w:instrText>PAGEREF section_0e286ffd189c4df8a44f3879af50a4a2</w:instrText>
      </w:r>
      <w:r>
        <w:fldChar w:fldCharType="separate"/>
      </w:r>
      <w:r>
        <w:rPr>
          <w:noProof/>
        </w:rPr>
        <w:t>298</w:t>
      </w:r>
      <w:r>
        <w:fldChar w:fldCharType="end"/>
      </w:r>
    </w:p>
    <w:p w:rsidR="00024C0A" w:rsidRDefault="00694C0F">
      <w:pPr>
        <w:pStyle w:val="indexentry0"/>
      </w:pPr>
      <w:hyperlink w:anchor="section_d1915b52a64a4e87a89e66bb610cbfad">
        <w:r>
          <w:rPr>
            <w:rStyle w:val="Hyperlink"/>
          </w:rPr>
          <w:t>name (Frame Name)</w:t>
        </w:r>
      </w:hyperlink>
      <w:r>
        <w:t xml:space="preserve"> </w:t>
      </w:r>
      <w:r>
        <w:fldChar w:fldCharType="begin"/>
      </w:r>
      <w:r>
        <w:instrText>PAGEREF section_d1915b52a64a4e87a89e66bb610cbfad</w:instrText>
      </w:r>
      <w:r>
        <w:fldChar w:fldCharType="separate"/>
      </w:r>
      <w:r>
        <w:rPr>
          <w:noProof/>
        </w:rPr>
        <w:t>162</w:t>
      </w:r>
      <w:r>
        <w:fldChar w:fldCharType="end"/>
      </w:r>
    </w:p>
    <w:p w:rsidR="00024C0A" w:rsidRDefault="00694C0F">
      <w:pPr>
        <w:pStyle w:val="indexentry0"/>
      </w:pPr>
      <w:hyperlink w:anchor="section_3a82b89e726440c1a09fd569374fe6a9">
        <w:r>
          <w:rPr>
            <w:rStyle w:val="Hyperlink"/>
          </w:rPr>
          <w:t>name (Pi</w:t>
        </w:r>
        <w:r>
          <w:rPr>
            <w:rStyle w:val="Hyperlink"/>
          </w:rPr>
          <w:t>vot Name)</w:t>
        </w:r>
      </w:hyperlink>
      <w:r>
        <w:t xml:space="preserve"> </w:t>
      </w:r>
      <w:r>
        <w:fldChar w:fldCharType="begin"/>
      </w:r>
      <w:r>
        <w:instrText>PAGEREF section_3a82b89e726440c1a09fd569374fe6a9</w:instrText>
      </w:r>
      <w:r>
        <w:fldChar w:fldCharType="separate"/>
      </w:r>
      <w:r>
        <w:rPr>
          <w:noProof/>
        </w:rPr>
        <w:t>554</w:t>
      </w:r>
      <w:r>
        <w:fldChar w:fldCharType="end"/>
      </w:r>
    </w:p>
    <w:p w:rsidR="00024C0A" w:rsidRDefault="00694C0F">
      <w:pPr>
        <w:pStyle w:val="indexentry0"/>
      </w:pPr>
      <w:hyperlink w:anchor="section_716e4d7c3b23421096172b8324486a3b">
        <w:r>
          <w:rPr>
            <w:rStyle w:val="Hyperlink"/>
          </w:rPr>
          <w:t>name (Primary Style Name)</w:t>
        </w:r>
      </w:hyperlink>
      <w:r>
        <w:t xml:space="preserve"> </w:t>
      </w:r>
      <w:r>
        <w:fldChar w:fldCharType="begin"/>
      </w:r>
      <w:r>
        <w:instrText>PAGEREF section_716e4d7c3b23421096172b8324486a3b</w:instrText>
      </w:r>
      <w:r>
        <w:fldChar w:fldCharType="separate"/>
      </w:r>
      <w:r>
        <w:rPr>
          <w:noProof/>
        </w:rPr>
        <w:t>106</w:t>
      </w:r>
      <w:r>
        <w:fldChar w:fldCharType="end"/>
      </w:r>
    </w:p>
    <w:p w:rsidR="00024C0A" w:rsidRDefault="00694C0F">
      <w:pPr>
        <w:pStyle w:val="indexentry0"/>
      </w:pPr>
      <w:hyperlink w:anchor="section_da7f42ad0083451a98cfb475b578d91d">
        <w:r>
          <w:rPr>
            <w:rStyle w:val="Hyperlink"/>
          </w:rPr>
          <w:t>Name Formulas</w:t>
        </w:r>
      </w:hyperlink>
      <w:r>
        <w:t xml:space="preserve"> </w:t>
      </w:r>
      <w:r>
        <w:fldChar w:fldCharType="begin"/>
      </w:r>
      <w:r>
        <w:instrText>PAGEREF section_da7f42ad0083451a98cfb475b578d91d</w:instrText>
      </w:r>
      <w:r>
        <w:fldChar w:fldCharType="separate"/>
      </w:r>
      <w:r>
        <w:rPr>
          <w:noProof/>
        </w:rPr>
        <w:t>839</w:t>
      </w:r>
      <w:r>
        <w:fldChar w:fldCharType="end"/>
      </w:r>
    </w:p>
    <w:p w:rsidR="00024C0A" w:rsidRDefault="00694C0F">
      <w:pPr>
        <w:pStyle w:val="indexentry0"/>
      </w:pPr>
      <w:hyperlink w:anchor="section_3b91dece249a4d57953d8068dbdaeb62">
        <w:r>
          <w:rPr>
            <w:rStyle w:val="Hyperlink"/>
          </w:rPr>
          <w:t>Name Representation</w:t>
        </w:r>
      </w:hyperlink>
      <w:r>
        <w:t xml:space="preserve"> </w:t>
      </w:r>
      <w:r>
        <w:fldChar w:fldCharType="begin"/>
      </w:r>
      <w:r>
        <w:instrText>PAGEREF section_3b91dece249a4d57953d8068dbdaeb62</w:instrText>
      </w:r>
      <w:r>
        <w:fldChar w:fldCharType="separate"/>
      </w:r>
      <w:r>
        <w:rPr>
          <w:noProof/>
        </w:rPr>
        <w:t>395</w:t>
      </w:r>
      <w:r>
        <w:fldChar w:fldCharType="end"/>
      </w:r>
    </w:p>
    <w:p w:rsidR="00024C0A" w:rsidRDefault="00694C0F">
      <w:pPr>
        <w:pStyle w:val="indexentry0"/>
      </w:pPr>
      <w:hyperlink w:anchor="section_1399f3cb927c461196ee666143a8be35">
        <w:r>
          <w:rPr>
            <w:rStyle w:val="Hyperlink"/>
          </w:rPr>
          <w:t>Names</w:t>
        </w:r>
      </w:hyperlink>
      <w:r>
        <w:t xml:space="preserve"> </w:t>
      </w:r>
      <w:r>
        <w:fldChar w:fldCharType="begin"/>
      </w:r>
      <w:r>
        <w:instrText>PAGEREF section_1399f3cb927c461196ee666143a8be35</w:instrText>
      </w:r>
      <w:r>
        <w:fldChar w:fldCharType="separate"/>
      </w:r>
      <w:r>
        <w:rPr>
          <w:noProof/>
        </w:rPr>
        <w:t>393</w:t>
      </w:r>
      <w:r>
        <w:fldChar w:fldCharType="end"/>
      </w:r>
    </w:p>
    <w:p w:rsidR="00024C0A" w:rsidRDefault="00694C0F">
      <w:pPr>
        <w:pStyle w:val="indexentry0"/>
      </w:pPr>
      <w:hyperlink w:anchor="section_4eec8366f20a41f9b8fa79d5b669c971">
        <w:r>
          <w:rPr>
            <w:rStyle w:val="Hyperlink"/>
          </w:rPr>
          <w:t>nary (n-ary Operator Object)</w:t>
        </w:r>
      </w:hyperlink>
      <w:r>
        <w:t xml:space="preserve"> </w:t>
      </w:r>
      <w:r>
        <w:fldChar w:fldCharType="begin"/>
      </w:r>
      <w:r>
        <w:instrText>PAGEREF section_4eec8366f20a41f9b8fa79d5b669c971</w:instrText>
      </w:r>
      <w:r>
        <w:fldChar w:fldCharType="separate"/>
      </w:r>
      <w:r>
        <w:rPr>
          <w:noProof/>
        </w:rPr>
        <w:t>596</w:t>
      </w:r>
      <w:r>
        <w:fldChar w:fldCharType="end"/>
      </w:r>
    </w:p>
    <w:p w:rsidR="00024C0A" w:rsidRDefault="00694C0F">
      <w:pPr>
        <w:pStyle w:val="indexentry0"/>
      </w:pPr>
      <w:hyperlink w:anchor="section_49f4978c47a149b3916e5f5dd126a221">
        <w:r>
          <w:rPr>
            <w:rStyle w:val="Hyperlink"/>
          </w:rPr>
          <w:t>naryLim (n-ary Limit Location)</w:t>
        </w:r>
      </w:hyperlink>
      <w:r>
        <w:t xml:space="preserve"> </w:t>
      </w:r>
      <w:r>
        <w:fldChar w:fldCharType="begin"/>
      </w:r>
      <w:r>
        <w:instrText>PAGEREF section_49f4978c47a149b3916e5f5dd126a221</w:instrText>
      </w:r>
      <w:r>
        <w:fldChar w:fldCharType="separate"/>
      </w:r>
      <w:r>
        <w:rPr>
          <w:noProof/>
        </w:rPr>
        <w:t>596</w:t>
      </w:r>
      <w:r>
        <w:fldChar w:fldCharType="end"/>
      </w:r>
    </w:p>
    <w:p w:rsidR="00024C0A" w:rsidRDefault="00694C0F">
      <w:pPr>
        <w:pStyle w:val="indexentry0"/>
      </w:pPr>
      <w:hyperlink w:anchor="section_c9d4ffcff09b48b4b65e844f2281d2e0">
        <w:r>
          <w:rPr>
            <w:rStyle w:val="Hyperlink"/>
          </w:rPr>
          <w:t>nc (New Cell Data)</w:t>
        </w:r>
      </w:hyperlink>
      <w:r>
        <w:t xml:space="preserve"> </w:t>
      </w:r>
      <w:r>
        <w:fldChar w:fldCharType="begin"/>
      </w:r>
      <w:r>
        <w:instrText>PAGEREF section_c9d4ffcff09b48b4b65e844f2281d2e0</w:instrText>
      </w:r>
      <w:r>
        <w:fldChar w:fldCharType="separate"/>
      </w:r>
      <w:r>
        <w:rPr>
          <w:noProof/>
        </w:rPr>
        <w:t>368</w:t>
      </w:r>
      <w:r>
        <w:fldChar w:fldCharType="end"/>
      </w:r>
    </w:p>
    <w:p w:rsidR="00024C0A" w:rsidRDefault="00694C0F">
      <w:pPr>
        <w:pStyle w:val="indexentry0"/>
      </w:pPr>
      <w:hyperlink w:anchor="section_7302498fd72c4dbe9bc66a0bac98cca4">
        <w:r>
          <w:rPr>
            <w:rStyle w:val="Hyperlink"/>
          </w:rPr>
          <w:t>NEGBINOMDIST</w:t>
        </w:r>
      </w:hyperlink>
      <w:r>
        <w:t xml:space="preserve"> </w:t>
      </w:r>
      <w:r>
        <w:fldChar w:fldCharType="begin"/>
      </w:r>
      <w:r>
        <w:instrText>PAGEREF section_7302498fd72c4dbe9bc66a0bac98cca4</w:instrText>
      </w:r>
      <w:r>
        <w:fldChar w:fldCharType="separate"/>
      </w:r>
      <w:r>
        <w:rPr>
          <w:noProof/>
        </w:rPr>
        <w:t>432</w:t>
      </w:r>
      <w:r>
        <w:fldChar w:fldCharType="end"/>
      </w:r>
    </w:p>
    <w:p w:rsidR="00024C0A" w:rsidRDefault="00694C0F">
      <w:pPr>
        <w:pStyle w:val="indexentry0"/>
      </w:pPr>
      <w:hyperlink w:anchor="section_214494b323134c20bbcba4bc9768aaf7">
        <w:r>
          <w:rPr>
            <w:rStyle w:val="Hyperlink"/>
          </w:rPr>
          <w:t>NETWORKDAYS</w:t>
        </w:r>
      </w:hyperlink>
      <w:r>
        <w:t xml:space="preserve"> </w:t>
      </w:r>
      <w:r>
        <w:fldChar w:fldCharType="begin"/>
      </w:r>
      <w:r>
        <w:instrText>P</w:instrText>
      </w:r>
      <w:r>
        <w:instrText>AGEREF section_214494b323134c20bbcba4bc9768aaf7</w:instrText>
      </w:r>
      <w:r>
        <w:fldChar w:fldCharType="separate"/>
      </w:r>
      <w:r>
        <w:rPr>
          <w:noProof/>
        </w:rPr>
        <w:t>432</w:t>
      </w:r>
      <w:r>
        <w:fldChar w:fldCharType="end"/>
      </w:r>
    </w:p>
    <w:p w:rsidR="00024C0A" w:rsidRDefault="00694C0F">
      <w:pPr>
        <w:pStyle w:val="indexentry0"/>
      </w:pPr>
      <w:hyperlink w:anchor="section_dd6e5f4e0b3a4d329ca1f6d5a8c1b41b">
        <w:r>
          <w:rPr>
            <w:rStyle w:val="Hyperlink"/>
          </w:rPr>
          <w:t>next (Style For Next Paragraph)</w:t>
        </w:r>
      </w:hyperlink>
      <w:r>
        <w:t xml:space="preserve"> </w:t>
      </w:r>
      <w:r>
        <w:fldChar w:fldCharType="begin"/>
      </w:r>
      <w:r>
        <w:instrText>PAGEREF section_dd6e5f4e0b3a4d329ca1f6d5a8c1b41b</w:instrText>
      </w:r>
      <w:r>
        <w:fldChar w:fldCharType="separate"/>
      </w:r>
      <w:r>
        <w:rPr>
          <w:noProof/>
        </w:rPr>
        <w:t>115</w:t>
      </w:r>
      <w:r>
        <w:fldChar w:fldCharType="end"/>
      </w:r>
    </w:p>
    <w:p w:rsidR="00024C0A" w:rsidRDefault="00694C0F">
      <w:pPr>
        <w:pStyle w:val="indexentry0"/>
      </w:pPr>
      <w:hyperlink w:anchor="section_a5b47f269eb64d45acd6e7183453307a">
        <w:r>
          <w:rPr>
            <w:rStyle w:val="Hyperlink"/>
          </w:rPr>
          <w:t>nextCondLst (Next Conditions List)</w:t>
        </w:r>
      </w:hyperlink>
      <w:r>
        <w:t xml:space="preserve"> </w:t>
      </w:r>
      <w:r>
        <w:fldChar w:fldCharType="begin"/>
      </w:r>
      <w:r>
        <w:instrText>PAGEREF section_a5b47f269eb64d45acd6e7183453307a</w:instrText>
      </w:r>
      <w:r>
        <w:fldChar w:fldCharType="separate"/>
      </w:r>
      <w:r>
        <w:rPr>
          <w:noProof/>
        </w:rPr>
        <w:t>483</w:t>
      </w:r>
      <w:r>
        <w:fldChar w:fldCharType="end"/>
      </w:r>
    </w:p>
    <w:p w:rsidR="00024C0A" w:rsidRDefault="00694C0F">
      <w:pPr>
        <w:pStyle w:val="indexentry0"/>
      </w:pPr>
      <w:hyperlink w:anchor="section_1a3c2c96a9914239a39bdcfe05dd6b7c">
        <w:r>
          <w:rPr>
            <w:rStyle w:val="Hyperlink"/>
          </w:rPr>
          <w:t>NEXTIF</w:t>
        </w:r>
      </w:hyperlink>
      <w:r>
        <w:t xml:space="preserve"> </w:t>
      </w:r>
      <w:r>
        <w:fldChar w:fldCharType="begin"/>
      </w:r>
      <w:r>
        <w:instrText>PAGEREF section_1a3c2c96a9914239a39bdcfe05dd6b7c</w:instrText>
      </w:r>
      <w:r>
        <w:fldChar w:fldCharType="separate"/>
      </w:r>
      <w:r>
        <w:rPr>
          <w:noProof/>
        </w:rPr>
        <w:t>217</w:t>
      </w:r>
      <w:r>
        <w:fldChar w:fldCharType="end"/>
      </w:r>
    </w:p>
    <w:p w:rsidR="00024C0A" w:rsidRDefault="00694C0F">
      <w:pPr>
        <w:pStyle w:val="indexentry0"/>
      </w:pPr>
      <w:hyperlink w:anchor="section_56ab6d152c9a4d77bc6b3d8a7d98ebf3">
        <w:r>
          <w:rPr>
            <w:rStyle w:val="Hyperlink"/>
          </w:rPr>
          <w:t>noAutofit (No AutoFit)</w:t>
        </w:r>
      </w:hyperlink>
      <w:r>
        <w:t xml:space="preserve"> </w:t>
      </w:r>
      <w:r>
        <w:fldChar w:fldCharType="begin"/>
      </w:r>
      <w:r>
        <w:instrText>PAGEREF section_56ab6d152c9a4d77bc6b3d8a7d98ebf3</w:instrText>
      </w:r>
      <w:r>
        <w:fldChar w:fldCharType="separate"/>
      </w:r>
      <w:r>
        <w:rPr>
          <w:noProof/>
        </w:rPr>
        <w:t>526</w:t>
      </w:r>
      <w:r>
        <w:fldChar w:fldCharType="end"/>
      </w:r>
    </w:p>
    <w:p w:rsidR="00024C0A" w:rsidRDefault="00694C0F">
      <w:pPr>
        <w:pStyle w:val="indexentry0"/>
      </w:pPr>
      <w:hyperlink w:anchor="section_34d6d2894a044b19ac438b261bf034e1">
        <w:r>
          <w:rPr>
            <w:rStyle w:val="Hyperlink"/>
          </w:rPr>
          <w:t>noBreak (No Break)</w:t>
        </w:r>
      </w:hyperlink>
      <w:r>
        <w:t xml:space="preserve"> </w:t>
      </w:r>
      <w:r>
        <w:fldChar w:fldCharType="begin"/>
      </w:r>
      <w:r>
        <w:instrText>PAGEREF section_34d6d2894a044b19ac438b261bf034e1</w:instrText>
      </w:r>
      <w:r>
        <w:fldChar w:fldCharType="separate"/>
      </w:r>
      <w:r>
        <w:rPr>
          <w:noProof/>
        </w:rPr>
        <w:t>596</w:t>
      </w:r>
      <w:r>
        <w:fldChar w:fldCharType="end"/>
      </w:r>
    </w:p>
    <w:p w:rsidR="00024C0A" w:rsidRDefault="00694C0F">
      <w:pPr>
        <w:pStyle w:val="indexentry0"/>
      </w:pPr>
      <w:hyperlink w:anchor="section_b86a56c0b34c41cb905ee041eb3d021f">
        <w:r>
          <w:rPr>
            <w:rStyle w:val="Hyperlink"/>
          </w:rPr>
          <w:t>noLineBreaksAfter (Custom Set of Characters Which Cannot End a Line)</w:t>
        </w:r>
      </w:hyperlink>
      <w:r>
        <w:t xml:space="preserve"> </w:t>
      </w:r>
      <w:r>
        <w:fldChar w:fldCharType="begin"/>
      </w:r>
      <w:r>
        <w:instrText>PAGEREF section_b86a56c0b34c41cb905ee041eb3d021f</w:instrText>
      </w:r>
      <w:r>
        <w:fldChar w:fldCharType="separate"/>
      </w:r>
      <w:r>
        <w:rPr>
          <w:noProof/>
        </w:rPr>
        <w:t>154</w:t>
      </w:r>
      <w:r>
        <w:fldChar w:fldCharType="end"/>
      </w:r>
    </w:p>
    <w:p w:rsidR="00024C0A" w:rsidRDefault="00694C0F">
      <w:pPr>
        <w:pStyle w:val="indexentry0"/>
      </w:pPr>
      <w:hyperlink w:anchor="section_e6744d01fb9b4f54bc2551359980589c">
        <w:r>
          <w:rPr>
            <w:rStyle w:val="Hyperlink"/>
          </w:rPr>
          <w:t>noLineBreaksBefore (Custom Set Of Characters Which Cannot Begin A Line)</w:t>
        </w:r>
      </w:hyperlink>
      <w:r>
        <w:t xml:space="preserve"> </w:t>
      </w:r>
      <w:r>
        <w:fldChar w:fldCharType="begin"/>
      </w:r>
      <w:r>
        <w:instrText>PAGEREF section_e6744d01fb9b4f54bc2551359980589c</w:instrText>
      </w:r>
      <w:r>
        <w:fldChar w:fldCharType="separate"/>
      </w:r>
      <w:r>
        <w:rPr>
          <w:noProof/>
        </w:rPr>
        <w:t>155</w:t>
      </w:r>
      <w:r>
        <w:fldChar w:fldCharType="end"/>
      </w:r>
    </w:p>
    <w:p w:rsidR="00024C0A" w:rsidRDefault="00694C0F">
      <w:pPr>
        <w:pStyle w:val="indexentry0"/>
      </w:pPr>
      <w:hyperlink w:anchor="section_c79fa63fc83f4f3cacd9979af05ae4fd">
        <w:r>
          <w:rPr>
            <w:rStyle w:val="Hyperlink"/>
          </w:rPr>
          <w:t>noProof (Do Not Check Spelling or Grammar)</w:t>
        </w:r>
      </w:hyperlink>
      <w:r>
        <w:t xml:space="preserve"> </w:t>
      </w:r>
      <w:r>
        <w:fldChar w:fldCharType="begin"/>
      </w:r>
      <w:r>
        <w:instrText>PAGEREF section_c79fa63f</w:instrText>
      </w:r>
      <w:r>
        <w:instrText>c83f4f3cacd9979af05ae4fd</w:instrText>
      </w:r>
      <w:r>
        <w:fldChar w:fldCharType="separate"/>
      </w:r>
      <w:r>
        <w:rPr>
          <w:noProof/>
        </w:rPr>
        <w:t>72</w:t>
      </w:r>
      <w:r>
        <w:fldChar w:fldCharType="end"/>
      </w:r>
    </w:p>
    <w:p w:rsidR="00024C0A" w:rsidRDefault="00694C0F">
      <w:pPr>
        <w:pStyle w:val="indexentry0"/>
      </w:pPr>
      <w:hyperlink w:anchor="section_8802f662d621416eb4562b7843c90a3b">
        <w:r>
          <w:rPr>
            <w:rStyle w:val="Hyperlink"/>
          </w:rPr>
          <w:t>noPunctuationKerning (Never Kern Punctuation Characters)</w:t>
        </w:r>
      </w:hyperlink>
      <w:r>
        <w:t xml:space="preserve"> </w:t>
      </w:r>
      <w:r>
        <w:fldChar w:fldCharType="begin"/>
      </w:r>
      <w:r>
        <w:instrText>PAGEREF section_8802f662d621416eb4562b7843c90a3b</w:instrText>
      </w:r>
      <w:r>
        <w:fldChar w:fldCharType="separate"/>
      </w:r>
      <w:r>
        <w:rPr>
          <w:noProof/>
        </w:rPr>
        <w:t>155</w:t>
      </w:r>
      <w:r>
        <w:fldChar w:fldCharType="end"/>
      </w:r>
    </w:p>
    <w:p w:rsidR="00024C0A" w:rsidRDefault="00694C0F">
      <w:pPr>
        <w:pStyle w:val="indexentry0"/>
      </w:pPr>
      <w:hyperlink w:anchor="section_32748302650a42e1ac582c72704f2a51">
        <w:r>
          <w:rPr>
            <w:rStyle w:val="Hyperlink"/>
          </w:rPr>
          <w:t>norm (Normal)</w:t>
        </w:r>
      </w:hyperlink>
      <w:r>
        <w:t xml:space="preserve"> </w:t>
      </w:r>
      <w:r>
        <w:fldChar w:fldCharType="begin"/>
      </w:r>
      <w:r>
        <w:instrText>PAGEREF section_32748302650a42e1ac582c72704f2a51</w:instrText>
      </w:r>
      <w:r>
        <w:fldChar w:fldCharType="separate"/>
      </w:r>
      <w:r>
        <w:rPr>
          <w:noProof/>
        </w:rPr>
        <w:t>507</w:t>
      </w:r>
      <w:r>
        <w:fldChar w:fldCharType="end"/>
      </w:r>
    </w:p>
    <w:p w:rsidR="00024C0A" w:rsidRDefault="00694C0F">
      <w:pPr>
        <w:pStyle w:val="indexentry0"/>
      </w:pPr>
      <w:hyperlink w:anchor="section_9163cc39baea4093980bafc28546324d">
        <w:r>
          <w:rPr>
            <w:rStyle w:val="Hyperlink"/>
          </w:rPr>
          <w:t>normalViewPr (Normal View Properties)</w:t>
        </w:r>
      </w:hyperlink>
      <w:r>
        <w:t xml:space="preserve"> </w:t>
      </w:r>
      <w:r>
        <w:fldChar w:fldCharType="begin"/>
      </w:r>
      <w:r>
        <w:instrText>PAGEREF section_9163cc39baea4093980bafc28546324d</w:instrText>
      </w:r>
      <w:r>
        <w:fldChar w:fldCharType="separate"/>
      </w:r>
      <w:r>
        <w:rPr>
          <w:noProof/>
        </w:rPr>
        <w:t>465</w:t>
      </w:r>
      <w:r>
        <w:fldChar w:fldCharType="end"/>
      </w:r>
    </w:p>
    <w:p w:rsidR="00024C0A" w:rsidRDefault="00694C0F">
      <w:pPr>
        <w:pStyle w:val="indexentry0"/>
      </w:pPr>
      <w:hyperlink w:anchor="section_d4b9098aeabb46c4a334260d55267084">
        <w:r>
          <w:rPr>
            <w:rStyle w:val="Hyperlink"/>
          </w:rPr>
          <w:t>Normative references</w:t>
        </w:r>
      </w:hyperlink>
      <w:r>
        <w:t xml:space="preserve"> </w:t>
      </w:r>
      <w:r>
        <w:fldChar w:fldCharType="begin"/>
      </w:r>
      <w:r>
        <w:instrText>PAGEREF section_d4b9098aeabb46c4a334260d55267084</w:instrText>
      </w:r>
      <w:r>
        <w:fldChar w:fldCharType="separate"/>
      </w:r>
      <w:r>
        <w:rPr>
          <w:noProof/>
        </w:rPr>
        <w:t>43</w:t>
      </w:r>
      <w:r>
        <w:fldChar w:fldCharType="end"/>
      </w:r>
    </w:p>
    <w:p w:rsidR="00024C0A" w:rsidRDefault="00694C0F">
      <w:pPr>
        <w:pStyle w:val="indexentry0"/>
      </w:pPr>
      <w:hyperlink w:anchor="section_d39a452875c3454288aadb874e68085c">
        <w:r>
          <w:rPr>
            <w:rStyle w:val="Hyperlink"/>
          </w:rPr>
          <w:t>normAutofit (Normal AutoFit)</w:t>
        </w:r>
      </w:hyperlink>
      <w:r>
        <w:t xml:space="preserve"> </w:t>
      </w:r>
      <w:r>
        <w:fldChar w:fldCharType="begin"/>
      </w:r>
      <w:r>
        <w:instrText>PAGEREF section_d39a452875c3454288aadb874e68085c</w:instrText>
      </w:r>
      <w:r>
        <w:fldChar w:fldCharType="separate"/>
      </w:r>
      <w:r>
        <w:rPr>
          <w:noProof/>
        </w:rPr>
        <w:t>527</w:t>
      </w:r>
      <w:r>
        <w:fldChar w:fldCharType="end"/>
      </w:r>
    </w:p>
    <w:p w:rsidR="00024C0A" w:rsidRDefault="00694C0F">
      <w:pPr>
        <w:pStyle w:val="indexentry0"/>
      </w:pPr>
      <w:hyperlink w:anchor="section_0b65cfbebb2849b898f831a78913406f">
        <w:r>
          <w:rPr>
            <w:rStyle w:val="Hyperlink"/>
          </w:rPr>
          <w:t>NORMINV</w:t>
        </w:r>
      </w:hyperlink>
      <w:r>
        <w:t xml:space="preserve"> </w:t>
      </w:r>
      <w:r>
        <w:fldChar w:fldCharType="begin"/>
      </w:r>
      <w:r>
        <w:instrText>PAGEREF section_0b65cfbebb2849b898f831a78913406f</w:instrText>
      </w:r>
      <w:r>
        <w:fldChar w:fldCharType="separate"/>
      </w:r>
      <w:r>
        <w:rPr>
          <w:noProof/>
        </w:rPr>
        <w:t>432</w:t>
      </w:r>
      <w:r>
        <w:fldChar w:fldCharType="end"/>
      </w:r>
    </w:p>
    <w:p w:rsidR="00024C0A" w:rsidRDefault="00694C0F">
      <w:pPr>
        <w:pStyle w:val="indexentry0"/>
      </w:pPr>
      <w:hyperlink w:anchor="section_7af45ac4859542ccb71393fe1446217d">
        <w:r>
          <w:rPr>
            <w:rStyle w:val="Hyperlink"/>
          </w:rPr>
          <w:t>NORMSDIST</w:t>
        </w:r>
      </w:hyperlink>
      <w:r>
        <w:t xml:space="preserve"> </w:t>
      </w:r>
      <w:r>
        <w:fldChar w:fldCharType="begin"/>
      </w:r>
      <w:r>
        <w:instrText>PAGEREF section_7af45ac4859542ccb71393fe1446217d</w:instrText>
      </w:r>
      <w:r>
        <w:fldChar w:fldCharType="separate"/>
      </w:r>
      <w:r>
        <w:rPr>
          <w:noProof/>
        </w:rPr>
        <w:t>433</w:t>
      </w:r>
      <w:r>
        <w:fldChar w:fldCharType="end"/>
      </w:r>
    </w:p>
    <w:p w:rsidR="00024C0A" w:rsidRDefault="00694C0F">
      <w:pPr>
        <w:pStyle w:val="indexentry0"/>
      </w:pPr>
      <w:hyperlink w:anchor="section_22c8b401b1dc4d3d936df76298dd2c0d">
        <w:r>
          <w:rPr>
            <w:rStyle w:val="Hyperlink"/>
          </w:rPr>
          <w:t>NORMSINV</w:t>
        </w:r>
      </w:hyperlink>
      <w:r>
        <w:t xml:space="preserve"> </w:t>
      </w:r>
      <w:r>
        <w:fldChar w:fldCharType="begin"/>
      </w:r>
      <w:r>
        <w:instrText>PAGEREF section_22c8b401b1dc4d3d936df76298dd2c0d</w:instrText>
      </w:r>
      <w:r>
        <w:fldChar w:fldCharType="separate"/>
      </w:r>
      <w:r>
        <w:rPr>
          <w:noProof/>
        </w:rPr>
        <w:t>433</w:t>
      </w:r>
      <w:r>
        <w:fldChar w:fldCharType="end"/>
      </w:r>
    </w:p>
    <w:p w:rsidR="00024C0A" w:rsidRDefault="00694C0F">
      <w:pPr>
        <w:pStyle w:val="indexentry0"/>
      </w:pPr>
      <w:hyperlink w:anchor="section_13f129e31cac476787c074c302db67fa">
        <w:r>
          <w:rPr>
            <w:rStyle w:val="Hyperlink"/>
          </w:rPr>
          <w:t>NOTEREF</w:t>
        </w:r>
      </w:hyperlink>
      <w:r>
        <w:t xml:space="preserve"> </w:t>
      </w:r>
      <w:r>
        <w:fldChar w:fldCharType="begin"/>
      </w:r>
      <w:r>
        <w:instrText>PAGEREF section_13f129e31cac476787c074c302db67fa</w:instrText>
      </w:r>
      <w:r>
        <w:fldChar w:fldCharType="separate"/>
      </w:r>
      <w:r>
        <w:rPr>
          <w:noProof/>
        </w:rPr>
        <w:t>218</w:t>
      </w:r>
      <w:r>
        <w:fldChar w:fldCharType="end"/>
      </w:r>
    </w:p>
    <w:p w:rsidR="00024C0A" w:rsidRDefault="00694C0F">
      <w:pPr>
        <w:pStyle w:val="indexentry0"/>
      </w:pPr>
      <w:hyperlink w:anchor="section_7722a188d62f4451921616b75f29d22f">
        <w:r>
          <w:rPr>
            <w:rStyle w:val="Hyperlink"/>
          </w:rPr>
          <w:t>Notes Master Part</w:t>
        </w:r>
      </w:hyperlink>
      <w:r>
        <w:t xml:space="preserve"> </w:t>
      </w:r>
      <w:r>
        <w:fldChar w:fldCharType="begin"/>
      </w:r>
      <w:r>
        <w:instrText>PAGEREF section_7722a188d62f4451921616b75f29d22f</w:instrText>
      </w:r>
      <w:r>
        <w:fldChar w:fldCharType="separate"/>
      </w:r>
      <w:r>
        <w:rPr>
          <w:noProof/>
        </w:rPr>
        <w:t>50</w:t>
      </w:r>
      <w:r>
        <w:fldChar w:fldCharType="end"/>
      </w:r>
    </w:p>
    <w:p w:rsidR="00024C0A" w:rsidRDefault="00694C0F">
      <w:pPr>
        <w:pStyle w:val="indexentry0"/>
      </w:pPr>
      <w:hyperlink w:anchor="section_4241f073467b4245a44f947b96e88325">
        <w:r>
          <w:rPr>
            <w:rStyle w:val="Hyperlink"/>
          </w:rPr>
          <w:t>Notes Slide Part</w:t>
        </w:r>
      </w:hyperlink>
      <w:r>
        <w:t xml:space="preserve"> </w:t>
      </w:r>
      <w:r>
        <w:fldChar w:fldCharType="begin"/>
      </w:r>
      <w:r>
        <w:instrText>PAGEREF section_4241f073467b4245a44f947b96e</w:instrText>
      </w:r>
      <w:r>
        <w:instrText>88325</w:instrText>
      </w:r>
      <w:r>
        <w:fldChar w:fldCharType="separate"/>
      </w:r>
      <w:r>
        <w:rPr>
          <w:noProof/>
        </w:rPr>
        <w:t>51</w:t>
      </w:r>
      <w:r>
        <w:fldChar w:fldCharType="end"/>
      </w:r>
    </w:p>
    <w:p w:rsidR="00024C0A" w:rsidRDefault="00694C0F">
      <w:pPr>
        <w:pStyle w:val="indexentry0"/>
      </w:pPr>
      <w:hyperlink w:anchor="section_8951fadae9e043209013222984368104">
        <w:r>
          <w:rPr>
            <w:rStyle w:val="Hyperlink"/>
          </w:rPr>
          <w:t>notesMaster (Notes Master)</w:t>
        </w:r>
      </w:hyperlink>
      <w:r>
        <w:t xml:space="preserve"> </w:t>
      </w:r>
      <w:r>
        <w:fldChar w:fldCharType="begin"/>
      </w:r>
      <w:r>
        <w:instrText>PAGEREF section_8951fadae9e043209013222984368104</w:instrText>
      </w:r>
      <w:r>
        <w:fldChar w:fldCharType="separate"/>
      </w:r>
      <w:r>
        <w:rPr>
          <w:noProof/>
        </w:rPr>
        <w:t>467</w:t>
      </w:r>
      <w:r>
        <w:fldChar w:fldCharType="end"/>
      </w:r>
    </w:p>
    <w:p w:rsidR="00024C0A" w:rsidRDefault="00694C0F">
      <w:pPr>
        <w:pStyle w:val="indexentry0"/>
      </w:pPr>
      <w:hyperlink w:anchor="section_714b0f8f82e346b0a46d91c29471c19e">
        <w:r>
          <w:rPr>
            <w:rStyle w:val="Hyperlink"/>
          </w:rPr>
          <w:t>notesStyle (Notes Text Style)</w:t>
        </w:r>
      </w:hyperlink>
      <w:r>
        <w:t xml:space="preserve"> </w:t>
      </w:r>
      <w:r>
        <w:fldChar w:fldCharType="begin"/>
      </w:r>
      <w:r>
        <w:instrText>PAGEREF sect</w:instrText>
      </w:r>
      <w:r>
        <w:instrText>ion_714b0f8f82e346b0a46d91c29471c19e</w:instrText>
      </w:r>
      <w:r>
        <w:fldChar w:fldCharType="separate"/>
      </w:r>
      <w:r>
        <w:rPr>
          <w:noProof/>
        </w:rPr>
        <w:t>467</w:t>
      </w:r>
      <w:r>
        <w:fldChar w:fldCharType="end"/>
      </w:r>
    </w:p>
    <w:p w:rsidR="00024C0A" w:rsidRDefault="00694C0F">
      <w:pPr>
        <w:pStyle w:val="indexentry0"/>
      </w:pPr>
      <w:hyperlink w:anchor="section_9fa0cdca54df40ccb4b49952bca09eb5">
        <w:r>
          <w:rPr>
            <w:rStyle w:val="Hyperlink"/>
          </w:rPr>
          <w:t>notesSz (Notes Slide Size)</w:t>
        </w:r>
      </w:hyperlink>
      <w:r>
        <w:t xml:space="preserve"> </w:t>
      </w:r>
      <w:r>
        <w:fldChar w:fldCharType="begin"/>
      </w:r>
      <w:r>
        <w:instrText>PAGEREF section_9fa0cdca54df40ccb4b49952bca09eb5</w:instrText>
      </w:r>
      <w:r>
        <w:fldChar w:fldCharType="separate"/>
      </w:r>
      <w:r>
        <w:rPr>
          <w:noProof/>
        </w:rPr>
        <w:t>462</w:t>
      </w:r>
      <w:r>
        <w:fldChar w:fldCharType="end"/>
      </w:r>
    </w:p>
    <w:p w:rsidR="00024C0A" w:rsidRDefault="00694C0F">
      <w:pPr>
        <w:pStyle w:val="indexentry0"/>
      </w:pPr>
      <w:hyperlink w:anchor="section_d4169e9a85cc4cb98354faf0f1551b0c">
        <w:r>
          <w:rPr>
            <w:rStyle w:val="Hyperlink"/>
          </w:rPr>
          <w:t>NoThreeD (Dis</w:t>
        </w:r>
        <w:r>
          <w:rPr>
            <w:rStyle w:val="Hyperlink"/>
          </w:rPr>
          <w:t>able 3D)</w:t>
        </w:r>
      </w:hyperlink>
      <w:r>
        <w:t xml:space="preserve"> </w:t>
      </w:r>
      <w:r>
        <w:fldChar w:fldCharType="begin"/>
      </w:r>
      <w:r>
        <w:instrText>PAGEREF section_d4169e9a85cc4cb98354faf0f1551b0c</w:instrText>
      </w:r>
      <w:r>
        <w:fldChar w:fldCharType="separate"/>
      </w:r>
      <w:r>
        <w:rPr>
          <w:noProof/>
        </w:rPr>
        <w:t>676</w:t>
      </w:r>
      <w:r>
        <w:fldChar w:fldCharType="end"/>
      </w:r>
    </w:p>
    <w:p w:rsidR="00024C0A" w:rsidRDefault="00694C0F">
      <w:pPr>
        <w:pStyle w:val="indexentry0"/>
      </w:pPr>
      <w:hyperlink w:anchor="section_1edea166fbb741cf8d573fb2d2979a6e">
        <w:r>
          <w:rPr>
            <w:rStyle w:val="Hyperlink"/>
          </w:rPr>
          <w:t>notTrueType (Raster or Vector Font)</w:t>
        </w:r>
      </w:hyperlink>
      <w:r>
        <w:t xml:space="preserve"> </w:t>
      </w:r>
      <w:r>
        <w:fldChar w:fldCharType="begin"/>
      </w:r>
      <w:r>
        <w:instrText>PAGEREF section_1edea166fbb741cf8d573fb2d2979a6e</w:instrText>
      </w:r>
      <w:r>
        <w:fldChar w:fldCharType="separate"/>
      </w:r>
      <w:r>
        <w:rPr>
          <w:noProof/>
        </w:rPr>
        <w:t>122</w:t>
      </w:r>
      <w:r>
        <w:fldChar w:fldCharType="end"/>
      </w:r>
    </w:p>
    <w:p w:rsidR="00024C0A" w:rsidRDefault="00694C0F">
      <w:pPr>
        <w:pStyle w:val="indexentry0"/>
      </w:pPr>
      <w:hyperlink w:anchor="section_822f4b9fbb6749abb48bdf59acf1a21f">
        <w:r>
          <w:rPr>
            <w:rStyle w:val="Hyperlink"/>
          </w:rPr>
          <w:t>NPER</w:t>
        </w:r>
      </w:hyperlink>
      <w:r>
        <w:t xml:space="preserve"> </w:t>
      </w:r>
      <w:r>
        <w:fldChar w:fldCharType="begin"/>
      </w:r>
      <w:r>
        <w:instrText>PAGEREF section_822f4b9fbb6749abb48bdf59acf1a21f</w:instrText>
      </w:r>
      <w:r>
        <w:fldChar w:fldCharType="separate"/>
      </w:r>
      <w:r>
        <w:rPr>
          <w:noProof/>
        </w:rPr>
        <w:t>433</w:t>
      </w:r>
      <w:r>
        <w:fldChar w:fldCharType="end"/>
      </w:r>
    </w:p>
    <w:p w:rsidR="00024C0A" w:rsidRDefault="00694C0F">
      <w:pPr>
        <w:pStyle w:val="indexentry0"/>
      </w:pPr>
      <w:hyperlink w:anchor="section_989b9d25033d4717b74760218531c618">
        <w:r>
          <w:rPr>
            <w:rStyle w:val="Hyperlink"/>
          </w:rPr>
          <w:t>NPV</w:t>
        </w:r>
      </w:hyperlink>
      <w:r>
        <w:t xml:space="preserve"> </w:t>
      </w:r>
      <w:r>
        <w:fldChar w:fldCharType="begin"/>
      </w:r>
      <w:r>
        <w:instrText>PAGEREF section_989b9d25033d4717b74760218531c618</w:instrText>
      </w:r>
      <w:r>
        <w:fldChar w:fldCharType="separate"/>
      </w:r>
      <w:r>
        <w:rPr>
          <w:noProof/>
        </w:rPr>
        <w:t>433</w:t>
      </w:r>
      <w:r>
        <w:fldChar w:fldCharType="end"/>
      </w:r>
    </w:p>
    <w:p w:rsidR="00024C0A" w:rsidRDefault="00694C0F">
      <w:pPr>
        <w:pStyle w:val="indexentry0"/>
      </w:pPr>
      <w:hyperlink w:anchor="section_f9791871899f4d5e8b7004333779d5a6">
        <w:r>
          <w:rPr>
            <w:rStyle w:val="Hyperlink"/>
          </w:rPr>
          <w:t>null (Null)</w:t>
        </w:r>
      </w:hyperlink>
      <w:r>
        <w:t xml:space="preserve"> </w:t>
      </w:r>
      <w:r>
        <w:fldChar w:fldCharType="begin"/>
      </w:r>
      <w:r>
        <w:instrText>PAGEREF section_f9791871899f4d5e8b7004333779d5a6</w:instrText>
      </w:r>
      <w:r>
        <w:fldChar w:fldCharType="separate"/>
      </w:r>
      <w:r>
        <w:rPr>
          <w:noProof/>
        </w:rPr>
        <w:t>608</w:t>
      </w:r>
      <w:r>
        <w:fldChar w:fldCharType="end"/>
      </w:r>
    </w:p>
    <w:p w:rsidR="00024C0A" w:rsidRDefault="00694C0F">
      <w:pPr>
        <w:pStyle w:val="indexentry0"/>
      </w:pPr>
      <w:hyperlink w:anchor="section_c70e89b2bfc44e608dbc3371635ebec7">
        <w:r>
          <w:rPr>
            <w:rStyle w:val="Hyperlink"/>
          </w:rPr>
          <w:t>num (Numbering Definition Instance)</w:t>
        </w:r>
      </w:hyperlink>
      <w:r>
        <w:t xml:space="preserve"> </w:t>
      </w:r>
      <w:r>
        <w:fldChar w:fldCharType="begin"/>
      </w:r>
      <w:r>
        <w:instrText>PAGEREF section_c70e89b2bfc44e608dbc3371635ebec7</w:instrText>
      </w:r>
      <w:r>
        <w:fldChar w:fldCharType="separate"/>
      </w:r>
      <w:r>
        <w:rPr>
          <w:noProof/>
        </w:rPr>
        <w:t>124</w:t>
      </w:r>
      <w:r>
        <w:fldChar w:fldCharType="end"/>
      </w:r>
    </w:p>
    <w:p w:rsidR="00024C0A" w:rsidRDefault="00694C0F">
      <w:pPr>
        <w:pStyle w:val="indexentry0"/>
      </w:pPr>
      <w:hyperlink w:anchor="section_8408084a607344fda563d45afe2b0430">
        <w:r>
          <w:rPr>
            <w:rStyle w:val="Hyperlink"/>
          </w:rPr>
          <w:t>num (Numerator)</w:t>
        </w:r>
      </w:hyperlink>
      <w:r>
        <w:t xml:space="preserve"> </w:t>
      </w:r>
      <w:r>
        <w:fldChar w:fldCharType="begin"/>
      </w:r>
      <w:r>
        <w:instrText>PAGEREF section_8408084a607344fda563d45afe2b0430</w:instrText>
      </w:r>
      <w:r>
        <w:fldChar w:fldCharType="separate"/>
      </w:r>
      <w:r>
        <w:rPr>
          <w:noProof/>
        </w:rPr>
        <w:t>596</w:t>
      </w:r>
      <w:r>
        <w:fldChar w:fldCharType="end"/>
      </w:r>
    </w:p>
    <w:p w:rsidR="00024C0A" w:rsidRDefault="00694C0F">
      <w:pPr>
        <w:pStyle w:val="indexentry0"/>
      </w:pPr>
      <w:hyperlink w:anchor="section_15555914707f4b1f9d0c38c05eb20139">
        <w:r>
          <w:rPr>
            <w:rStyle w:val="Hyperlink"/>
          </w:rPr>
          <w:t>numberingCha</w:t>
        </w:r>
        <w:r>
          <w:rPr>
            <w:rStyle w:val="Hyperlink"/>
          </w:rPr>
          <w:t>nge (Previous Numbering Field Properties)</w:t>
        </w:r>
      </w:hyperlink>
      <w:r>
        <w:t xml:space="preserve"> </w:t>
      </w:r>
      <w:r>
        <w:fldChar w:fldCharType="begin"/>
      </w:r>
      <w:r>
        <w:instrText>PAGEREF section_15555914707f4b1f9d0c38c05eb20139</w:instrText>
      </w:r>
      <w:r>
        <w:fldChar w:fldCharType="separate"/>
      </w:r>
      <w:r>
        <w:rPr>
          <w:noProof/>
        </w:rPr>
        <w:t>622</w:t>
      </w:r>
      <w:r>
        <w:fldChar w:fldCharType="end"/>
      </w:r>
    </w:p>
    <w:p w:rsidR="00024C0A" w:rsidRDefault="00694C0F">
      <w:pPr>
        <w:pStyle w:val="indexentry0"/>
      </w:pPr>
      <w:hyperlink w:anchor="section_c87674b0833c4019a21d9f99dac53178">
        <w:r>
          <w:rPr>
            <w:rStyle w:val="Hyperlink"/>
          </w:rPr>
          <w:t>numberingChange (Previous Paragraph Numbering Properties)</w:t>
        </w:r>
      </w:hyperlink>
      <w:r>
        <w:t xml:space="preserve"> </w:t>
      </w:r>
      <w:r>
        <w:fldChar w:fldCharType="begin"/>
      </w:r>
      <w:r>
        <w:instrText>PAGEREF section_c87674b0833c4019a21d9f9</w:instrText>
      </w:r>
      <w:r>
        <w:instrText>9dac53178</w:instrText>
      </w:r>
      <w:r>
        <w:fldChar w:fldCharType="separate"/>
      </w:r>
      <w:r>
        <w:rPr>
          <w:noProof/>
        </w:rPr>
        <w:t>622</w:t>
      </w:r>
      <w:r>
        <w:fldChar w:fldCharType="end"/>
      </w:r>
    </w:p>
    <w:p w:rsidR="00024C0A" w:rsidRDefault="00694C0F">
      <w:pPr>
        <w:pStyle w:val="indexentry0"/>
      </w:pPr>
      <w:hyperlink w:anchor="section_a910e9f7f95f49adad2368ea9a7922cd">
        <w:r>
          <w:rPr>
            <w:rStyle w:val="Hyperlink"/>
          </w:rPr>
          <w:t>numFmt (Endnote Numbering Format)</w:t>
        </w:r>
      </w:hyperlink>
      <w:r>
        <w:t xml:space="preserve"> </w:t>
      </w:r>
      <w:r>
        <w:fldChar w:fldCharType="begin"/>
      </w:r>
      <w:r>
        <w:instrText>PAGEREF section_a910e9f7f95f49adad2368ea9a7922cd</w:instrText>
      </w:r>
      <w:r>
        <w:fldChar w:fldCharType="separate"/>
      </w:r>
      <w:r>
        <w:rPr>
          <w:noProof/>
        </w:rPr>
        <w:t>128</w:t>
      </w:r>
      <w:r>
        <w:fldChar w:fldCharType="end"/>
      </w:r>
    </w:p>
    <w:p w:rsidR="00024C0A" w:rsidRDefault="00694C0F">
      <w:pPr>
        <w:pStyle w:val="indexentry0"/>
      </w:pPr>
      <w:hyperlink w:anchor="section_5101925a4b134c999081b00a1eb63ac4">
        <w:r>
          <w:rPr>
            <w:rStyle w:val="Hyperlink"/>
          </w:rPr>
          <w:t>numFmt (Footnote Numbering Format</w:t>
        </w:r>
        <w:r>
          <w:rPr>
            <w:rStyle w:val="Hyperlink"/>
          </w:rPr>
          <w:t>)</w:t>
        </w:r>
      </w:hyperlink>
      <w:r>
        <w:t xml:space="preserve"> </w:t>
      </w:r>
      <w:r>
        <w:fldChar w:fldCharType="begin"/>
      </w:r>
      <w:r>
        <w:instrText>PAGEREF section_5101925a4b134c999081b00a1eb63ac4</w:instrText>
      </w:r>
      <w:r>
        <w:fldChar w:fldCharType="separate"/>
      </w:r>
      <w:r>
        <w:rPr>
          <w:noProof/>
        </w:rPr>
        <w:t>128</w:t>
      </w:r>
      <w:r>
        <w:fldChar w:fldCharType="end"/>
      </w:r>
    </w:p>
    <w:p w:rsidR="00024C0A" w:rsidRDefault="00694C0F">
      <w:pPr>
        <w:pStyle w:val="indexentry0"/>
      </w:pPr>
      <w:r>
        <w:t>numFmt (Number Format) (</w:t>
      </w:r>
      <w:hyperlink w:anchor="section_17d11129219b4e2c88db45844d21e528">
        <w:r>
          <w:rPr>
            <w:rStyle w:val="Hyperlink"/>
          </w:rPr>
          <w:t>section 2.1.711</w:t>
        </w:r>
      </w:hyperlink>
      <w:r>
        <w:t xml:space="preserve"> </w:t>
      </w:r>
      <w:r>
        <w:fldChar w:fldCharType="begin"/>
      </w:r>
      <w:r>
        <w:instrText>PAGEREF section_17d11129219b4e2c88db45844d21e528</w:instrText>
      </w:r>
      <w:r>
        <w:fldChar w:fldCharType="separate"/>
      </w:r>
      <w:r>
        <w:rPr>
          <w:noProof/>
        </w:rPr>
        <w:t>299</w:t>
      </w:r>
      <w:r>
        <w:fldChar w:fldCharType="end"/>
      </w:r>
      <w:r>
        <w:t xml:space="preserve">, </w:t>
      </w:r>
      <w:hyperlink w:anchor="section_0539ffcc9bd2430daea017400f7f532f">
        <w:r>
          <w:rPr>
            <w:rStyle w:val="Hyperlink"/>
          </w:rPr>
          <w:t>section 2.1.1498</w:t>
        </w:r>
      </w:hyperlink>
      <w:r>
        <w:t xml:space="preserve"> </w:t>
      </w:r>
      <w:r>
        <w:fldChar w:fldCharType="begin"/>
      </w:r>
      <w:r>
        <w:instrText>PAGEREF section_0539ffcc9bd2430daea017400f7f532f</w:instrText>
      </w:r>
      <w:r>
        <w:fldChar w:fldCharType="separate"/>
      </w:r>
      <w:r>
        <w:rPr>
          <w:noProof/>
        </w:rPr>
        <w:t>554</w:t>
      </w:r>
      <w:r>
        <w:fldChar w:fldCharType="end"/>
      </w:r>
      <w:r>
        <w:t>)</w:t>
      </w:r>
    </w:p>
    <w:p w:rsidR="00024C0A" w:rsidRDefault="00694C0F">
      <w:pPr>
        <w:pStyle w:val="indexentry0"/>
      </w:pPr>
      <w:hyperlink w:anchor="section_9f8357d1a09944a3bc1888b33bae4eab">
        <w:r>
          <w:rPr>
            <w:rStyle w:val="Hyperlink"/>
          </w:rPr>
          <w:t>numFmt (Numbering Format)</w:t>
        </w:r>
      </w:hyperlink>
      <w:r>
        <w:t xml:space="preserve"> </w:t>
      </w:r>
      <w:r>
        <w:fldChar w:fldCharType="begin"/>
      </w:r>
      <w:r>
        <w:instrText>PAGEREF section_9f8357d1a09944a3bc1888b33bae4eab</w:instrText>
      </w:r>
      <w:r>
        <w:fldChar w:fldCharType="separate"/>
      </w:r>
      <w:r>
        <w:rPr>
          <w:noProof/>
        </w:rPr>
        <w:t>124</w:t>
      </w:r>
      <w:r>
        <w:fldChar w:fldCharType="end"/>
      </w:r>
    </w:p>
    <w:p w:rsidR="00024C0A" w:rsidRDefault="00694C0F">
      <w:pPr>
        <w:pStyle w:val="indexentry0"/>
      </w:pPr>
      <w:hyperlink w:anchor="section_c6046ec6f96d460998e40dd549292955">
        <w:r>
          <w:rPr>
            <w:rStyle w:val="Hyperlink"/>
          </w:rPr>
          <w:t>numFmts (Number Formats)</w:t>
        </w:r>
      </w:hyperlink>
      <w:r>
        <w:t xml:space="preserve"> </w:t>
      </w:r>
      <w:r>
        <w:fldChar w:fldCharType="begin"/>
      </w:r>
      <w:r>
        <w:instrText>PAGEREF section_c6046ec6f96d460998e40dd549292955</w:instrText>
      </w:r>
      <w:r>
        <w:fldChar w:fldCharType="separate"/>
      </w:r>
      <w:r>
        <w:rPr>
          <w:noProof/>
        </w:rPr>
        <w:t>309</w:t>
      </w:r>
      <w:r>
        <w:fldChar w:fldCharType="end"/>
      </w:r>
    </w:p>
    <w:p w:rsidR="00024C0A" w:rsidRDefault="00694C0F">
      <w:pPr>
        <w:pStyle w:val="indexentry0"/>
      </w:pPr>
      <w:hyperlink w:anchor="section_d131c48e4fc941bfa6c720823510d636">
        <w:r>
          <w:rPr>
            <w:rStyle w:val="Hyperlink"/>
          </w:rPr>
          <w:t>numId (Numbering Definition Instance Reference)</w:t>
        </w:r>
      </w:hyperlink>
      <w:r>
        <w:t xml:space="preserve"> </w:t>
      </w:r>
      <w:r>
        <w:fldChar w:fldCharType="begin"/>
      </w:r>
      <w:r>
        <w:instrText>PAGEREF section_d131c48e4fc941bfa6c720823510d636</w:instrText>
      </w:r>
      <w:r>
        <w:fldChar w:fldCharType="separate"/>
      </w:r>
      <w:r>
        <w:rPr>
          <w:noProof/>
        </w:rPr>
        <w:t>125</w:t>
      </w:r>
      <w:r>
        <w:fldChar w:fldCharType="end"/>
      </w:r>
    </w:p>
    <w:p w:rsidR="00024C0A" w:rsidRDefault="00694C0F">
      <w:pPr>
        <w:pStyle w:val="indexentry0"/>
      </w:pPr>
      <w:hyperlink w:anchor="section_6a8f14ffdf9041549bc9e0e88ae5e641">
        <w:r>
          <w:rPr>
            <w:rStyle w:val="Hyperlink"/>
          </w:rPr>
          <w:t>numPr (Numbering Definition Instance Reference)</w:t>
        </w:r>
      </w:hyperlink>
      <w:r>
        <w:t xml:space="preserve"> </w:t>
      </w:r>
      <w:r>
        <w:fldChar w:fldCharType="begin"/>
      </w:r>
      <w:r>
        <w:instrText>PAGEREF section_6a8f14ffdf9041549bc9e0e88ae5e641</w:instrText>
      </w:r>
      <w:r>
        <w:fldChar w:fldCharType="separate"/>
      </w:r>
      <w:r>
        <w:rPr>
          <w:noProof/>
        </w:rPr>
        <w:t>65</w:t>
      </w:r>
      <w:r>
        <w:fldChar w:fldCharType="end"/>
      </w:r>
    </w:p>
    <w:p w:rsidR="00024C0A" w:rsidRDefault="00694C0F">
      <w:pPr>
        <w:pStyle w:val="indexentry0"/>
      </w:pPr>
      <w:hyperlink w:anchor="section_3d4f2605895d43f79d2ae695b1062787">
        <w:r>
          <w:rPr>
            <w:rStyle w:val="Hyperlink"/>
          </w:rPr>
          <w:t>numStart (Footnote and Endnote Numbering Starting Value)</w:t>
        </w:r>
      </w:hyperlink>
      <w:r>
        <w:t xml:space="preserve"> </w:t>
      </w:r>
      <w:r>
        <w:fldChar w:fldCharType="begin"/>
      </w:r>
      <w:r>
        <w:instrText>PAGEREF section_3d4f2605895d43f79d2ae695b1062787</w:instrText>
      </w:r>
      <w:r>
        <w:fldChar w:fldCharType="separate"/>
      </w:r>
      <w:r>
        <w:rPr>
          <w:noProof/>
        </w:rPr>
        <w:t>128</w:t>
      </w:r>
      <w:r>
        <w:fldChar w:fldCharType="end"/>
      </w:r>
    </w:p>
    <w:p w:rsidR="00024C0A" w:rsidRDefault="00694C0F">
      <w:pPr>
        <w:pStyle w:val="indexentry0"/>
      </w:pPr>
      <w:hyperlink w:anchor="section_1e273b9e816940a691aaf9ebd083e0b8">
        <w:r>
          <w:rPr>
            <w:rStyle w:val="Hyperlink"/>
          </w:rPr>
          <w:t>numStyleLink (Numbering Style Reference)</w:t>
        </w:r>
      </w:hyperlink>
      <w:r>
        <w:t xml:space="preserve"> </w:t>
      </w:r>
      <w:r>
        <w:fldChar w:fldCharType="begin"/>
      </w:r>
      <w:r>
        <w:instrText>PAGEREF section_1e273</w:instrText>
      </w:r>
      <w:r>
        <w:instrText>b9e816940a691aaf9ebd083e0b8</w:instrText>
      </w:r>
      <w:r>
        <w:fldChar w:fldCharType="separate"/>
      </w:r>
      <w:r>
        <w:rPr>
          <w:noProof/>
        </w:rPr>
        <w:t>125</w:t>
      </w:r>
      <w:r>
        <w:fldChar w:fldCharType="end"/>
      </w:r>
    </w:p>
    <w:p w:rsidR="00024C0A" w:rsidRDefault="00694C0F">
      <w:pPr>
        <w:pStyle w:val="indexentry0"/>
      </w:pPr>
      <w:hyperlink w:anchor="section_df435a6d5e4b4d95b0e273276d70cc5b">
        <w:r>
          <w:rPr>
            <w:rStyle w:val="Hyperlink"/>
          </w:rPr>
          <w:t>nvPr (Non-Visual Properties)</w:t>
        </w:r>
      </w:hyperlink>
      <w:r>
        <w:t xml:space="preserve"> </w:t>
      </w:r>
      <w:r>
        <w:fldChar w:fldCharType="begin"/>
      </w:r>
      <w:r>
        <w:instrText>PAGEREF section_df435a6d5e4b4d95b0e273276d70cc5b</w:instrText>
      </w:r>
      <w:r>
        <w:fldChar w:fldCharType="separate"/>
      </w:r>
      <w:r>
        <w:rPr>
          <w:noProof/>
        </w:rPr>
        <w:t>467</w:t>
      </w:r>
      <w:r>
        <w:fldChar w:fldCharType="end"/>
      </w:r>
    </w:p>
    <w:p w:rsidR="00024C0A" w:rsidRDefault="00024C0A">
      <w:pPr>
        <w:spacing w:before="0" w:after="0"/>
        <w:rPr>
          <w:sz w:val="16"/>
        </w:rPr>
      </w:pPr>
    </w:p>
    <w:p w:rsidR="00024C0A" w:rsidRDefault="00694C0F">
      <w:pPr>
        <w:pStyle w:val="indexheader"/>
      </w:pPr>
      <w:r>
        <w:t>O</w:t>
      </w:r>
    </w:p>
    <w:p w:rsidR="00024C0A" w:rsidRDefault="00024C0A">
      <w:pPr>
        <w:spacing w:before="0" w:after="0"/>
        <w:rPr>
          <w:sz w:val="16"/>
        </w:rPr>
      </w:pPr>
    </w:p>
    <w:p w:rsidR="00024C0A" w:rsidRDefault="00694C0F">
      <w:pPr>
        <w:pStyle w:val="indexentry0"/>
      </w:pPr>
      <w:hyperlink w:anchor="section_cc2cef5ce8074c91bfe6f6004a01e935">
        <w:r>
          <w:rPr>
            <w:rStyle w:val="Hyperlink"/>
          </w:rPr>
          <w:t xml:space="preserve">objDist (Object </w:t>
        </w:r>
        <w:r>
          <w:rPr>
            <w:rStyle w:val="Hyperlink"/>
          </w:rPr>
          <w:t>Distribution)</w:t>
        </w:r>
      </w:hyperlink>
      <w:r>
        <w:t xml:space="preserve"> </w:t>
      </w:r>
      <w:r>
        <w:fldChar w:fldCharType="begin"/>
      </w:r>
      <w:r>
        <w:instrText>PAGEREF section_cc2cef5ce8074c91bfe6f6004a01e935</w:instrText>
      </w:r>
      <w:r>
        <w:fldChar w:fldCharType="separate"/>
      </w:r>
      <w:r>
        <w:rPr>
          <w:noProof/>
        </w:rPr>
        <w:t>596</w:t>
      </w:r>
      <w:r>
        <w:fldChar w:fldCharType="end"/>
      </w:r>
    </w:p>
    <w:p w:rsidR="00024C0A" w:rsidRDefault="00694C0F">
      <w:pPr>
        <w:pStyle w:val="indexentry0"/>
      </w:pPr>
      <w:hyperlink w:anchor="section_a30a56e7e4d24c1a808f318292fbb4a4">
        <w:r>
          <w:rPr>
            <w:rStyle w:val="Hyperlink"/>
          </w:rPr>
          <w:t>object (Embedded Object)</w:t>
        </w:r>
      </w:hyperlink>
      <w:r>
        <w:t xml:space="preserve"> </w:t>
      </w:r>
      <w:r>
        <w:fldChar w:fldCharType="begin"/>
      </w:r>
      <w:r>
        <w:instrText>PAGEREF section_a30a56e7e4d24c1a808f318292fbb4a4</w:instrText>
      </w:r>
      <w:r>
        <w:fldChar w:fldCharType="separate"/>
      </w:r>
      <w:r>
        <w:rPr>
          <w:noProof/>
        </w:rPr>
        <w:t>80</w:t>
      </w:r>
      <w:r>
        <w:fldChar w:fldCharType="end"/>
      </w:r>
    </w:p>
    <w:p w:rsidR="00024C0A" w:rsidRDefault="00694C0F">
      <w:pPr>
        <w:pStyle w:val="indexentry0"/>
      </w:pPr>
      <w:hyperlink w:anchor="section_80584e929ba74ac4a2e6babf3221caf4">
        <w:r>
          <w:rPr>
            <w:rStyle w:val="Hyperlink"/>
          </w:rPr>
          <w:t>objectEmbed (Embedded Object Properties)</w:t>
        </w:r>
      </w:hyperlink>
      <w:r>
        <w:t xml:space="preserve"> </w:t>
      </w:r>
      <w:r>
        <w:fldChar w:fldCharType="begin"/>
      </w:r>
      <w:r>
        <w:instrText>PAGEREF section_80584e929ba74ac4a2e6babf3221caf4</w:instrText>
      </w:r>
      <w:r>
        <w:fldChar w:fldCharType="separate"/>
      </w:r>
      <w:r>
        <w:rPr>
          <w:noProof/>
        </w:rPr>
        <w:t>80</w:t>
      </w:r>
      <w:r>
        <w:fldChar w:fldCharType="end"/>
      </w:r>
    </w:p>
    <w:p w:rsidR="00024C0A" w:rsidRDefault="00694C0F">
      <w:pPr>
        <w:pStyle w:val="indexentry0"/>
      </w:pPr>
      <w:hyperlink w:anchor="section_8f7f48e70926447782e24eead69938c5">
        <w:r>
          <w:rPr>
            <w:rStyle w:val="Hyperlink"/>
          </w:rPr>
          <w:t>objectLink (Linked Object Properties)</w:t>
        </w:r>
      </w:hyperlink>
      <w:r>
        <w:t xml:space="preserve"> </w:t>
      </w:r>
      <w:r>
        <w:fldChar w:fldCharType="begin"/>
      </w:r>
      <w:r>
        <w:instrText>PAGEREF section_8f7f48e70926447782e24eead69938c</w:instrText>
      </w:r>
      <w:r>
        <w:instrText>5</w:instrText>
      </w:r>
      <w:r>
        <w:fldChar w:fldCharType="separate"/>
      </w:r>
      <w:r>
        <w:rPr>
          <w:noProof/>
        </w:rPr>
        <w:t>80</w:t>
      </w:r>
      <w:r>
        <w:fldChar w:fldCharType="end"/>
      </w:r>
    </w:p>
    <w:p w:rsidR="00024C0A" w:rsidRDefault="00694C0F">
      <w:pPr>
        <w:pStyle w:val="indexentry0"/>
      </w:pPr>
      <w:hyperlink w:anchor="section_0c52058fe8c545a5802053ab9fb28d21">
        <w:r>
          <w:rPr>
            <w:rStyle w:val="Hyperlink"/>
          </w:rPr>
          <w:t>objectPr (Embedded Object Properties)</w:t>
        </w:r>
      </w:hyperlink>
      <w:r>
        <w:t xml:space="preserve"> </w:t>
      </w:r>
      <w:r>
        <w:fldChar w:fldCharType="begin"/>
      </w:r>
      <w:r>
        <w:instrText>PAGEREF section_0c52058fe8c545a5802053ab9fb28d21</w:instrText>
      </w:r>
      <w:r>
        <w:fldChar w:fldCharType="separate"/>
      </w:r>
      <w:r>
        <w:rPr>
          <w:noProof/>
        </w:rPr>
        <w:t>263</w:t>
      </w:r>
      <w:r>
        <w:fldChar w:fldCharType="end"/>
      </w:r>
    </w:p>
    <w:p w:rsidR="00024C0A" w:rsidRDefault="00694C0F">
      <w:pPr>
        <w:pStyle w:val="indexentry0"/>
      </w:pPr>
      <w:hyperlink w:anchor="section_e054c87cccdf456191b158928b880f73">
        <w:r>
          <w:rPr>
            <w:rStyle w:val="Hyperlink"/>
          </w:rPr>
          <w:t>oc (Old Cell Data)</w:t>
        </w:r>
      </w:hyperlink>
      <w:r>
        <w:t xml:space="preserve"> </w:t>
      </w:r>
      <w:r>
        <w:fldChar w:fldCharType="begin"/>
      </w:r>
      <w:r>
        <w:instrText>PAGEREF section_e054c87cccdf456191b158928b880f73</w:instrText>
      </w:r>
      <w:r>
        <w:fldChar w:fldCharType="separate"/>
      </w:r>
      <w:r>
        <w:rPr>
          <w:noProof/>
        </w:rPr>
        <w:t>368</w:t>
      </w:r>
      <w:r>
        <w:fldChar w:fldCharType="end"/>
      </w:r>
    </w:p>
    <w:p w:rsidR="00024C0A" w:rsidRDefault="00694C0F">
      <w:pPr>
        <w:pStyle w:val="indexentry0"/>
      </w:pPr>
      <w:hyperlink w:anchor="section_9c8802df529e465d8a0faa139394890e">
        <w:r>
          <w:rPr>
            <w:rStyle w:val="Hyperlink"/>
          </w:rPr>
          <w:t>OCT2BIN</w:t>
        </w:r>
      </w:hyperlink>
      <w:r>
        <w:t xml:space="preserve"> </w:t>
      </w:r>
      <w:r>
        <w:fldChar w:fldCharType="begin"/>
      </w:r>
      <w:r>
        <w:instrText>PAGEREF section_9c8802df529e465d8a0faa139394890e</w:instrText>
      </w:r>
      <w:r>
        <w:fldChar w:fldCharType="separate"/>
      </w:r>
      <w:r>
        <w:rPr>
          <w:noProof/>
        </w:rPr>
        <w:t>434</w:t>
      </w:r>
      <w:r>
        <w:fldChar w:fldCharType="end"/>
      </w:r>
    </w:p>
    <w:p w:rsidR="00024C0A" w:rsidRDefault="00694C0F">
      <w:pPr>
        <w:pStyle w:val="indexentry0"/>
      </w:pPr>
      <w:hyperlink w:anchor="section_567697347d764b0fbaf497c735d5d7df">
        <w:r>
          <w:rPr>
            <w:rStyle w:val="Hyperlink"/>
          </w:rPr>
          <w:t>OCT2DEC</w:t>
        </w:r>
      </w:hyperlink>
      <w:r>
        <w:t xml:space="preserve"> </w:t>
      </w:r>
      <w:r>
        <w:fldChar w:fldCharType="begin"/>
      </w:r>
      <w:r>
        <w:instrText>PAGEREF se</w:instrText>
      </w:r>
      <w:r>
        <w:instrText>ction_567697347d764b0fbaf497c735d5d7df</w:instrText>
      </w:r>
      <w:r>
        <w:fldChar w:fldCharType="separate"/>
      </w:r>
      <w:r>
        <w:rPr>
          <w:noProof/>
        </w:rPr>
        <w:t>434</w:t>
      </w:r>
      <w:r>
        <w:fldChar w:fldCharType="end"/>
      </w:r>
    </w:p>
    <w:p w:rsidR="00024C0A" w:rsidRDefault="00694C0F">
      <w:pPr>
        <w:pStyle w:val="indexentry0"/>
      </w:pPr>
      <w:hyperlink w:anchor="section_48c990726cf74e6984b13bea64f0ee3a">
        <w:r>
          <w:rPr>
            <w:rStyle w:val="Hyperlink"/>
          </w:rPr>
          <w:t>ocx (ActiveX Control Data)</w:t>
        </w:r>
      </w:hyperlink>
      <w:r>
        <w:t xml:space="preserve"> </w:t>
      </w:r>
      <w:r>
        <w:fldChar w:fldCharType="begin"/>
      </w:r>
      <w:r>
        <w:instrText>PAGEREF section_48c990726cf74e6984b13bea64f0ee3a</w:instrText>
      </w:r>
      <w:r>
        <w:fldChar w:fldCharType="separate"/>
      </w:r>
      <w:r>
        <w:rPr>
          <w:noProof/>
        </w:rPr>
        <w:t>871</w:t>
      </w:r>
      <w:r>
        <w:fldChar w:fldCharType="end"/>
      </w:r>
    </w:p>
    <w:p w:rsidR="00024C0A" w:rsidRDefault="00694C0F">
      <w:pPr>
        <w:pStyle w:val="indexentry0"/>
      </w:pPr>
      <w:hyperlink w:anchor="section_8d4ab600549c4dc7922c46ece32123ed">
        <w:r>
          <w:rPr>
            <w:rStyle w:val="Hyperlink"/>
          </w:rPr>
          <w:t>ocxPr (Obje</w:t>
        </w:r>
        <w:r>
          <w:rPr>
            <w:rStyle w:val="Hyperlink"/>
          </w:rPr>
          <w:t>ct Property)</w:t>
        </w:r>
      </w:hyperlink>
      <w:r>
        <w:t xml:space="preserve"> </w:t>
      </w:r>
      <w:r>
        <w:fldChar w:fldCharType="begin"/>
      </w:r>
      <w:r>
        <w:instrText>PAGEREF section_8d4ab600549c4dc7922c46ece32123ed</w:instrText>
      </w:r>
      <w:r>
        <w:fldChar w:fldCharType="separate"/>
      </w:r>
      <w:r>
        <w:rPr>
          <w:noProof/>
        </w:rPr>
        <w:t>873</w:t>
      </w:r>
      <w:r>
        <w:fldChar w:fldCharType="end"/>
      </w:r>
    </w:p>
    <w:p w:rsidR="00024C0A" w:rsidRDefault="00694C0F">
      <w:pPr>
        <w:pStyle w:val="indexentry0"/>
      </w:pPr>
      <w:hyperlink w:anchor="section_756b76a3434e4616b00ea5ee62ca85ba">
        <w:r>
          <w:rPr>
            <w:rStyle w:val="Hyperlink"/>
          </w:rPr>
          <w:t>oddFooter (Odd Footer)</w:t>
        </w:r>
      </w:hyperlink>
      <w:r>
        <w:t xml:space="preserve"> </w:t>
      </w:r>
      <w:r>
        <w:fldChar w:fldCharType="begin"/>
      </w:r>
      <w:r>
        <w:instrText>PAGEREF section_756b76a3434e4616b00ea5ee62ca85ba</w:instrText>
      </w:r>
      <w:r>
        <w:fldChar w:fldCharType="separate"/>
      </w:r>
      <w:r>
        <w:rPr>
          <w:noProof/>
        </w:rPr>
        <w:t>554</w:t>
      </w:r>
      <w:r>
        <w:fldChar w:fldCharType="end"/>
      </w:r>
    </w:p>
    <w:p w:rsidR="00024C0A" w:rsidRDefault="00694C0F">
      <w:pPr>
        <w:pStyle w:val="indexentry0"/>
      </w:pPr>
      <w:hyperlink w:anchor="section_18a8d65524df4375aa1133c30b9ee92c">
        <w:r>
          <w:rPr>
            <w:rStyle w:val="Hyperlink"/>
          </w:rPr>
          <w:t>oddFooter (Odd Page Footer)</w:t>
        </w:r>
      </w:hyperlink>
      <w:r>
        <w:t xml:space="preserve"> </w:t>
      </w:r>
      <w:r>
        <w:fldChar w:fldCharType="begin"/>
      </w:r>
      <w:r>
        <w:instrText>PAGEREF section_18a8d65524df4375aa1133c30b9ee92c</w:instrText>
      </w:r>
      <w:r>
        <w:fldChar w:fldCharType="separate"/>
      </w:r>
      <w:r>
        <w:rPr>
          <w:noProof/>
        </w:rPr>
        <w:t>263</w:t>
      </w:r>
      <w:r>
        <w:fldChar w:fldCharType="end"/>
      </w:r>
    </w:p>
    <w:p w:rsidR="00024C0A" w:rsidRDefault="00694C0F">
      <w:pPr>
        <w:pStyle w:val="indexentry0"/>
      </w:pPr>
      <w:hyperlink w:anchor="section_30c159a8b7a04a6080f800e0bef2d1db">
        <w:r>
          <w:rPr>
            <w:rStyle w:val="Hyperlink"/>
          </w:rPr>
          <w:t>ODDFPRICE</w:t>
        </w:r>
      </w:hyperlink>
      <w:r>
        <w:t xml:space="preserve"> </w:t>
      </w:r>
      <w:r>
        <w:fldChar w:fldCharType="begin"/>
      </w:r>
      <w:r>
        <w:instrText>PAGEREF section_30c159a8b7a04a6080f800e0</w:instrText>
      </w:r>
      <w:r>
        <w:instrText>bef2d1db</w:instrText>
      </w:r>
      <w:r>
        <w:fldChar w:fldCharType="separate"/>
      </w:r>
      <w:r>
        <w:rPr>
          <w:noProof/>
        </w:rPr>
        <w:t>434</w:t>
      </w:r>
      <w:r>
        <w:fldChar w:fldCharType="end"/>
      </w:r>
    </w:p>
    <w:p w:rsidR="00024C0A" w:rsidRDefault="00694C0F">
      <w:pPr>
        <w:pStyle w:val="indexentry0"/>
      </w:pPr>
      <w:hyperlink w:anchor="section_61a69b8c4bdc4a5db748206b84c5013b">
        <w:r>
          <w:rPr>
            <w:rStyle w:val="Hyperlink"/>
          </w:rPr>
          <w:t>ODDFYIELD</w:t>
        </w:r>
      </w:hyperlink>
      <w:r>
        <w:t xml:space="preserve"> </w:t>
      </w:r>
      <w:r>
        <w:fldChar w:fldCharType="begin"/>
      </w:r>
      <w:r>
        <w:instrText>PAGEREF section_61a69b8c4bdc4a5db748206b84c5013b</w:instrText>
      </w:r>
      <w:r>
        <w:fldChar w:fldCharType="separate"/>
      </w:r>
      <w:r>
        <w:rPr>
          <w:noProof/>
        </w:rPr>
        <w:t>435</w:t>
      </w:r>
      <w:r>
        <w:fldChar w:fldCharType="end"/>
      </w:r>
    </w:p>
    <w:p w:rsidR="00024C0A" w:rsidRDefault="00694C0F">
      <w:pPr>
        <w:pStyle w:val="indexentry0"/>
      </w:pPr>
      <w:r>
        <w:t>oddHeader (Odd Header) (</w:t>
      </w:r>
      <w:hyperlink w:anchor="section_f477f387b8614166b8494e35f8cc5a95">
        <w:r>
          <w:rPr>
            <w:rStyle w:val="Hyperlink"/>
          </w:rPr>
          <w:t>section 2.1.633</w:t>
        </w:r>
      </w:hyperlink>
      <w:r>
        <w:t xml:space="preserve"> </w:t>
      </w:r>
      <w:r>
        <w:fldChar w:fldCharType="begin"/>
      </w:r>
      <w:r>
        <w:instrText>PAGEREF section_</w:instrText>
      </w:r>
      <w:r>
        <w:instrText>f477f387b8614166b8494e35f8cc5a95</w:instrText>
      </w:r>
      <w:r>
        <w:fldChar w:fldCharType="separate"/>
      </w:r>
      <w:r>
        <w:rPr>
          <w:noProof/>
        </w:rPr>
        <w:t>264</w:t>
      </w:r>
      <w:r>
        <w:fldChar w:fldCharType="end"/>
      </w:r>
      <w:r>
        <w:t xml:space="preserve">, </w:t>
      </w:r>
      <w:hyperlink w:anchor="section_80313181681845dcacc66357c2366ddc">
        <w:r>
          <w:rPr>
            <w:rStyle w:val="Hyperlink"/>
          </w:rPr>
          <w:t>section 2.1.1500</w:t>
        </w:r>
      </w:hyperlink>
      <w:r>
        <w:t xml:space="preserve"> </w:t>
      </w:r>
      <w:r>
        <w:fldChar w:fldCharType="begin"/>
      </w:r>
      <w:r>
        <w:instrText>PAGEREF section_80313181681845dcacc66357c2366ddc</w:instrText>
      </w:r>
      <w:r>
        <w:fldChar w:fldCharType="separate"/>
      </w:r>
      <w:r>
        <w:rPr>
          <w:noProof/>
        </w:rPr>
        <w:t>555</w:t>
      </w:r>
      <w:r>
        <w:fldChar w:fldCharType="end"/>
      </w:r>
      <w:r>
        <w:t>)</w:t>
      </w:r>
    </w:p>
    <w:p w:rsidR="00024C0A" w:rsidRDefault="00694C0F">
      <w:pPr>
        <w:pStyle w:val="indexentry0"/>
      </w:pPr>
      <w:hyperlink w:anchor="section_d8ac59055dd14c3a8b540cc16b6f8c14">
        <w:r>
          <w:rPr>
            <w:rStyle w:val="Hyperlink"/>
          </w:rPr>
          <w:t>ODDLPRICE</w:t>
        </w:r>
      </w:hyperlink>
      <w:r>
        <w:t xml:space="preserve"> </w:t>
      </w:r>
      <w:r>
        <w:fldChar w:fldCharType="begin"/>
      </w:r>
      <w:r>
        <w:instrText>PAGEREF section_d8ac59055dd14c3a8b540cc16b6f8c14</w:instrText>
      </w:r>
      <w:r>
        <w:fldChar w:fldCharType="separate"/>
      </w:r>
      <w:r>
        <w:rPr>
          <w:noProof/>
        </w:rPr>
        <w:t>436</w:t>
      </w:r>
      <w:r>
        <w:fldChar w:fldCharType="end"/>
      </w:r>
    </w:p>
    <w:p w:rsidR="00024C0A" w:rsidRDefault="00694C0F">
      <w:pPr>
        <w:pStyle w:val="indexentry0"/>
      </w:pPr>
      <w:hyperlink w:anchor="section_3f0b46b39db74c8f9648c98178acff40">
        <w:r>
          <w:rPr>
            <w:rStyle w:val="Hyperlink"/>
          </w:rPr>
          <w:t>ODDLYIELD</w:t>
        </w:r>
      </w:hyperlink>
      <w:r>
        <w:t xml:space="preserve"> </w:t>
      </w:r>
      <w:r>
        <w:fldChar w:fldCharType="begin"/>
      </w:r>
      <w:r>
        <w:instrText>PAGEREF section_3f0b46b39db74c8f9648c98178acff40</w:instrText>
      </w:r>
      <w:r>
        <w:fldChar w:fldCharType="separate"/>
      </w:r>
      <w:r>
        <w:rPr>
          <w:noProof/>
        </w:rPr>
        <w:t>436</w:t>
      </w:r>
      <w:r>
        <w:fldChar w:fldCharType="end"/>
      </w:r>
    </w:p>
    <w:p w:rsidR="00024C0A" w:rsidRDefault="00694C0F">
      <w:pPr>
        <w:pStyle w:val="indexentry0"/>
      </w:pPr>
      <w:hyperlink w:anchor="section_9a5c99b84476437893dced42b0e4457a">
        <w:r>
          <w:rPr>
            <w:rStyle w:val="Hyperlink"/>
          </w:rPr>
          <w:t xml:space="preserve">odso (Office Data </w:t>
        </w:r>
        <w:r>
          <w:rPr>
            <w:rStyle w:val="Hyperlink"/>
          </w:rPr>
          <w:t>Source Object Settings)</w:t>
        </w:r>
      </w:hyperlink>
      <w:r>
        <w:t xml:space="preserve"> </w:t>
      </w:r>
      <w:r>
        <w:fldChar w:fldCharType="begin"/>
      </w:r>
      <w:r>
        <w:instrText>PAGEREF section_9a5c99b84476437893dced42b0e4457a</w:instrText>
      </w:r>
      <w:r>
        <w:fldChar w:fldCharType="separate"/>
      </w:r>
      <w:r>
        <w:rPr>
          <w:noProof/>
        </w:rPr>
        <w:t>144</w:t>
      </w:r>
      <w:r>
        <w:fldChar w:fldCharType="end"/>
      </w:r>
    </w:p>
    <w:p w:rsidR="00024C0A" w:rsidRDefault="00694C0F">
      <w:pPr>
        <w:pStyle w:val="indexentry0"/>
      </w:pPr>
      <w:hyperlink w:anchor="section_55f6dcf88ab84a2999bfe36ee955647f">
        <w:r>
          <w:rPr>
            <w:rStyle w:val="Hyperlink"/>
          </w:rPr>
          <w:t>off (Offset)</w:t>
        </w:r>
      </w:hyperlink>
      <w:r>
        <w:t xml:space="preserve"> </w:t>
      </w:r>
      <w:r>
        <w:fldChar w:fldCharType="begin"/>
      </w:r>
      <w:r>
        <w:instrText>PAGEREF section_55f6dcf88ab84a2999bfe36ee955647f</w:instrText>
      </w:r>
      <w:r>
        <w:fldChar w:fldCharType="separate"/>
      </w:r>
      <w:r>
        <w:rPr>
          <w:noProof/>
        </w:rPr>
        <w:t>508</w:t>
      </w:r>
      <w:r>
        <w:fldChar w:fldCharType="end"/>
      </w:r>
    </w:p>
    <w:p w:rsidR="00024C0A" w:rsidRDefault="00694C0F">
      <w:pPr>
        <w:pStyle w:val="indexentry0"/>
      </w:pPr>
      <w:hyperlink w:anchor="section_346f264b6403401a899a6e0d513f7313">
        <w:r>
          <w:rPr>
            <w:rStyle w:val="Hyperlink"/>
          </w:rPr>
          <w:t>Office ActiveX Supplemental Information (Additional Information)</w:t>
        </w:r>
      </w:hyperlink>
      <w:r>
        <w:t xml:space="preserve"> </w:t>
      </w:r>
      <w:r>
        <w:fldChar w:fldCharType="begin"/>
      </w:r>
      <w:r>
        <w:instrText>PAGEREF section_346f264b6403401a899a6e0d513f7313</w:instrText>
      </w:r>
      <w:r>
        <w:fldChar w:fldCharType="separate"/>
      </w:r>
      <w:r>
        <w:rPr>
          <w:noProof/>
        </w:rPr>
        <w:t>870</w:t>
      </w:r>
      <w:r>
        <w:fldChar w:fldCharType="end"/>
      </w:r>
    </w:p>
    <w:p w:rsidR="00024C0A" w:rsidRDefault="00694C0F">
      <w:pPr>
        <w:pStyle w:val="indexentry0"/>
      </w:pPr>
      <w:hyperlink w:anchor="section_e8dafc63570a444fa0aedd1af1966d76">
        <w:r>
          <w:rPr>
            <w:rStyle w:val="Hyperlink"/>
          </w:rPr>
          <w:t>Office Digital Signature (Additional Information)</w:t>
        </w:r>
      </w:hyperlink>
      <w:r>
        <w:t xml:space="preserve"> </w:t>
      </w:r>
      <w:r>
        <w:fldChar w:fldCharType="begin"/>
      </w:r>
      <w:r>
        <w:instrText>PAGEREF secti</w:instrText>
      </w:r>
      <w:r>
        <w:instrText>on_e8dafc63570a444fa0aedd1af1966d76</w:instrText>
      </w:r>
      <w:r>
        <w:fldChar w:fldCharType="separate"/>
      </w:r>
      <w:r>
        <w:rPr>
          <w:noProof/>
        </w:rPr>
        <w:t>876</w:t>
      </w:r>
      <w:r>
        <w:fldChar w:fldCharType="end"/>
      </w:r>
    </w:p>
    <w:p w:rsidR="00024C0A" w:rsidRDefault="00694C0F">
      <w:pPr>
        <w:pStyle w:val="indexentry0"/>
      </w:pPr>
      <w:hyperlink w:anchor="section_b5ea004721194ae594a163c27af037dd">
        <w:r>
          <w:rPr>
            <w:rStyle w:val="Hyperlink"/>
          </w:rPr>
          <w:t>Office Well Defined Custom XML Parts (Additional Information)</w:t>
        </w:r>
      </w:hyperlink>
      <w:r>
        <w:t xml:space="preserve"> </w:t>
      </w:r>
      <w:r>
        <w:fldChar w:fldCharType="begin"/>
      </w:r>
      <w:r>
        <w:instrText>PAGEREF section_b5ea004721194ae594a163c27af037dd</w:instrText>
      </w:r>
      <w:r>
        <w:fldChar w:fldCharType="separate"/>
      </w:r>
      <w:r>
        <w:rPr>
          <w:noProof/>
        </w:rPr>
        <w:t>848</w:t>
      </w:r>
      <w:r>
        <w:fldChar w:fldCharType="end"/>
      </w:r>
    </w:p>
    <w:p w:rsidR="00024C0A" w:rsidRDefault="00694C0F">
      <w:pPr>
        <w:pStyle w:val="indexentry0"/>
      </w:pPr>
      <w:hyperlink w:anchor="section_23222e735ee349129a22bfb0fc14d075">
        <w:r>
          <w:rPr>
            <w:rStyle w:val="Hyperlink"/>
          </w:rPr>
          <w:t>OfficeVersion (Office Version)</w:t>
        </w:r>
      </w:hyperlink>
      <w:r>
        <w:t xml:space="preserve"> </w:t>
      </w:r>
      <w:r>
        <w:fldChar w:fldCharType="begin"/>
      </w:r>
      <w:r>
        <w:instrText>PAGEREF section_23222e735ee349129a22bfb0fc14d075</w:instrText>
      </w:r>
      <w:r>
        <w:fldChar w:fldCharType="separate"/>
      </w:r>
      <w:r>
        <w:rPr>
          <w:noProof/>
        </w:rPr>
        <w:t>879</w:t>
      </w:r>
      <w:r>
        <w:fldChar w:fldCharType="end"/>
      </w:r>
    </w:p>
    <w:p w:rsidR="00024C0A" w:rsidRDefault="00694C0F">
      <w:pPr>
        <w:pStyle w:val="indexentry0"/>
      </w:pPr>
      <w:hyperlink w:anchor="section_0ff7e6c2c09e403781452c21b7e55f9b">
        <w:r>
          <w:rPr>
            <w:rStyle w:val="Hyperlink"/>
          </w:rPr>
          <w:t>OFFSET</w:t>
        </w:r>
      </w:hyperlink>
      <w:r>
        <w:t xml:space="preserve"> </w:t>
      </w:r>
      <w:r>
        <w:fldChar w:fldCharType="begin"/>
      </w:r>
      <w:r>
        <w:instrText>PAGEREF section_0ff7e6c2c09e403781452c21b7e55f9b</w:instrText>
      </w:r>
      <w:r>
        <w:fldChar w:fldCharType="separate"/>
      </w:r>
      <w:r>
        <w:rPr>
          <w:noProof/>
        </w:rPr>
        <w:t>437</w:t>
      </w:r>
      <w:r>
        <w:fldChar w:fldCharType="end"/>
      </w:r>
    </w:p>
    <w:p w:rsidR="00024C0A" w:rsidRDefault="00694C0F">
      <w:pPr>
        <w:pStyle w:val="indexentry0"/>
      </w:pPr>
      <w:hyperlink w:anchor="section_8bff8328f5ee483c84214df869d8f741">
        <w:r>
          <w:rPr>
            <w:rStyle w:val="Hyperlink"/>
          </w:rPr>
          <w:t>ofPieChart (Pie of Pie or Bar of Pie Charts)</w:t>
        </w:r>
      </w:hyperlink>
      <w:r>
        <w:t xml:space="preserve"> </w:t>
      </w:r>
      <w:r>
        <w:fldChar w:fldCharType="begin"/>
      </w:r>
      <w:r>
        <w:instrText>PAGEREF section_8bff8328f5ee483c84214df869d8f741</w:instrText>
      </w:r>
      <w:r>
        <w:fldChar w:fldCharType="separate"/>
      </w:r>
      <w:r>
        <w:rPr>
          <w:noProof/>
        </w:rPr>
        <w:t>555</w:t>
      </w:r>
      <w:r>
        <w:fldChar w:fldCharType="end"/>
      </w:r>
    </w:p>
    <w:p w:rsidR="00024C0A" w:rsidRDefault="00694C0F">
      <w:pPr>
        <w:pStyle w:val="indexentry0"/>
      </w:pPr>
      <w:hyperlink w:anchor="section_c444df6ef827424b88b38411bcb3e799">
        <w:r>
          <w:rPr>
            <w:rStyle w:val="Hyperlink"/>
          </w:rPr>
          <w:t>ofPieType (Pie of Pie or Bar of Pie</w:t>
        </w:r>
        <w:r>
          <w:rPr>
            <w:rStyle w:val="Hyperlink"/>
          </w:rPr>
          <w:t xml:space="preserve"> Type)</w:t>
        </w:r>
      </w:hyperlink>
      <w:r>
        <w:t xml:space="preserve"> </w:t>
      </w:r>
      <w:r>
        <w:fldChar w:fldCharType="begin"/>
      </w:r>
      <w:r>
        <w:instrText>PAGEREF section_c444df6ef827424b88b38411bcb3e799</w:instrText>
      </w:r>
      <w:r>
        <w:fldChar w:fldCharType="separate"/>
      </w:r>
      <w:r>
        <w:rPr>
          <w:noProof/>
        </w:rPr>
        <w:t>555</w:t>
      </w:r>
      <w:r>
        <w:fldChar w:fldCharType="end"/>
      </w:r>
    </w:p>
    <w:p w:rsidR="00024C0A" w:rsidRDefault="00694C0F">
      <w:pPr>
        <w:pStyle w:val="indexentry0"/>
      </w:pPr>
      <w:hyperlink w:anchor="section_8ad37bc593b249a6bfdc6dd280f6ace9">
        <w:r>
          <w:rPr>
            <w:rStyle w:val="Hyperlink"/>
          </w:rPr>
          <w:t>olapPr (OLAP Properties)</w:t>
        </w:r>
      </w:hyperlink>
      <w:r>
        <w:t xml:space="preserve"> </w:t>
      </w:r>
      <w:r>
        <w:fldChar w:fldCharType="begin"/>
      </w:r>
      <w:r>
        <w:instrText>PAGEREF section_8ad37bc593b249a6bfdc6dd280f6ace9</w:instrText>
      </w:r>
      <w:r>
        <w:fldChar w:fldCharType="separate"/>
      </w:r>
      <w:r>
        <w:rPr>
          <w:noProof/>
        </w:rPr>
        <w:t>376</w:t>
      </w:r>
      <w:r>
        <w:fldChar w:fldCharType="end"/>
      </w:r>
    </w:p>
    <w:p w:rsidR="00024C0A" w:rsidRDefault="00694C0F">
      <w:pPr>
        <w:pStyle w:val="indexentry0"/>
      </w:pPr>
      <w:hyperlink w:anchor="section_4a386293993e42ffae8f541aed32c43e">
        <w:r>
          <w:rPr>
            <w:rStyle w:val="Hyperlink"/>
          </w:rPr>
          <w:t>oldFormula (Old Formula)</w:t>
        </w:r>
      </w:hyperlink>
      <w:r>
        <w:t xml:space="preserve"> </w:t>
      </w:r>
      <w:r>
        <w:fldChar w:fldCharType="begin"/>
      </w:r>
      <w:r>
        <w:instrText>PAGEREF section_4a386293993e42ffae8f541aed32c43e</w:instrText>
      </w:r>
      <w:r>
        <w:fldChar w:fldCharType="separate"/>
      </w:r>
      <w:r>
        <w:rPr>
          <w:noProof/>
        </w:rPr>
        <w:t>368</w:t>
      </w:r>
      <w:r>
        <w:fldChar w:fldCharType="end"/>
      </w:r>
    </w:p>
    <w:p w:rsidR="00024C0A" w:rsidRDefault="00694C0F">
      <w:pPr>
        <w:pStyle w:val="indexentry0"/>
      </w:pPr>
      <w:hyperlink w:anchor="section_9892ca2173c94655b488f146c6dd5a94">
        <w:r>
          <w:rPr>
            <w:rStyle w:val="Hyperlink"/>
          </w:rPr>
          <w:t>OLE Link Formulas</w:t>
        </w:r>
      </w:hyperlink>
      <w:r>
        <w:t xml:space="preserve"> </w:t>
      </w:r>
      <w:r>
        <w:fldChar w:fldCharType="begin"/>
      </w:r>
      <w:r>
        <w:instrText>PAGEREF section_9892ca2173c94655b488f146c6dd5a94</w:instrText>
      </w:r>
      <w:r>
        <w:fldChar w:fldCharType="separate"/>
      </w:r>
      <w:r>
        <w:rPr>
          <w:noProof/>
        </w:rPr>
        <w:t>842</w:t>
      </w:r>
      <w:r>
        <w:fldChar w:fldCharType="end"/>
      </w:r>
    </w:p>
    <w:p w:rsidR="00024C0A" w:rsidRDefault="00694C0F">
      <w:pPr>
        <w:pStyle w:val="indexentry0"/>
      </w:pPr>
      <w:hyperlink w:anchor="section_7bb53b9eb4f54c85b5aed814279ecbc3">
        <w:r>
          <w:rPr>
            <w:rStyle w:val="Hyperlink"/>
          </w:rPr>
          <w:t>oleChartEl (Embedded Chart Element)</w:t>
        </w:r>
      </w:hyperlink>
      <w:r>
        <w:t xml:space="preserve"> </w:t>
      </w:r>
      <w:r>
        <w:fldChar w:fldCharType="begin"/>
      </w:r>
      <w:r>
        <w:instrText>PAGEREF section_7bb53b9eb4f54c85b5aed814279ecbc3</w:instrText>
      </w:r>
      <w:r>
        <w:fldChar w:fldCharType="separate"/>
      </w:r>
      <w:r>
        <w:rPr>
          <w:noProof/>
        </w:rPr>
        <w:t>483</w:t>
      </w:r>
      <w:r>
        <w:fldChar w:fldCharType="end"/>
      </w:r>
    </w:p>
    <w:p w:rsidR="00024C0A" w:rsidRDefault="00694C0F">
      <w:pPr>
        <w:pStyle w:val="indexentry0"/>
      </w:pPr>
      <w:hyperlink w:anchor="section_e7c6f0e39e194cb3ba0e483ef7d89728">
        <w:r>
          <w:rPr>
            <w:rStyle w:val="Hyperlink"/>
          </w:rPr>
          <w:t>oleItem (Object Link Item)</w:t>
        </w:r>
      </w:hyperlink>
      <w:r>
        <w:t xml:space="preserve"> </w:t>
      </w:r>
      <w:r>
        <w:fldChar w:fldCharType="begin"/>
      </w:r>
      <w:r>
        <w:instrText>PAGEREF section_e7c6f0e39e194cb3ba0e483ef7d89728</w:instrText>
      </w:r>
      <w:r>
        <w:fldChar w:fldCharType="separate"/>
      </w:r>
      <w:r>
        <w:rPr>
          <w:noProof/>
        </w:rPr>
        <w:t>380</w:t>
      </w:r>
      <w:r>
        <w:fldChar w:fldCharType="end"/>
      </w:r>
    </w:p>
    <w:p w:rsidR="00024C0A" w:rsidRDefault="00694C0F">
      <w:pPr>
        <w:pStyle w:val="indexentry0"/>
      </w:pPr>
      <w:hyperlink w:anchor="section_83cecf06377145969e2c9b70cdd07db9">
        <w:r>
          <w:rPr>
            <w:rStyle w:val="Hyperlink"/>
          </w:rPr>
          <w:t>oleLink (Generic Object Link Connection)</w:t>
        </w:r>
      </w:hyperlink>
      <w:r>
        <w:t xml:space="preserve"> </w:t>
      </w:r>
      <w:r>
        <w:fldChar w:fldCharType="begin"/>
      </w:r>
      <w:r>
        <w:instrText>PAGEREF section_83cecf06377145969e2c9b70cdd07db9</w:instrText>
      </w:r>
      <w:r>
        <w:fldChar w:fldCharType="separate"/>
      </w:r>
      <w:r>
        <w:rPr>
          <w:noProof/>
        </w:rPr>
        <w:t>380</w:t>
      </w:r>
      <w:r>
        <w:fldChar w:fldCharType="end"/>
      </w:r>
    </w:p>
    <w:p w:rsidR="00024C0A" w:rsidRDefault="00694C0F">
      <w:pPr>
        <w:pStyle w:val="indexentry0"/>
      </w:pPr>
      <w:hyperlink w:anchor="section_3301d159111e4ccf9211af5d1f4a0a03">
        <w:r>
          <w:rPr>
            <w:rStyle w:val="Hyperlink"/>
          </w:rPr>
          <w:t>oleObj (Global Element for Embedded obje</w:t>
        </w:r>
        <w:r>
          <w:rPr>
            <w:rStyle w:val="Hyperlink"/>
          </w:rPr>
          <w:t>cts and Controls)</w:t>
        </w:r>
      </w:hyperlink>
      <w:r>
        <w:t xml:space="preserve"> </w:t>
      </w:r>
      <w:r>
        <w:fldChar w:fldCharType="begin"/>
      </w:r>
      <w:r>
        <w:instrText>PAGEREF section_3301d159111e4ccf9211af5d1f4a0a03</w:instrText>
      </w:r>
      <w:r>
        <w:fldChar w:fldCharType="separate"/>
      </w:r>
      <w:r>
        <w:rPr>
          <w:noProof/>
        </w:rPr>
        <w:t>468</w:t>
      </w:r>
      <w:r>
        <w:fldChar w:fldCharType="end"/>
      </w:r>
    </w:p>
    <w:p w:rsidR="00024C0A" w:rsidRDefault="00694C0F">
      <w:pPr>
        <w:pStyle w:val="indexentry0"/>
      </w:pPr>
      <w:hyperlink w:anchor="section_19190ae3573448eba919b89d0b3ce114">
        <w:r>
          <w:rPr>
            <w:rStyle w:val="Hyperlink"/>
          </w:rPr>
          <w:t>oleObject (Embedded Object)</w:t>
        </w:r>
      </w:hyperlink>
      <w:r>
        <w:t xml:space="preserve"> </w:t>
      </w:r>
      <w:r>
        <w:fldChar w:fldCharType="begin"/>
      </w:r>
      <w:r>
        <w:instrText>PAGEREF section_19190ae3573448eba919b89d0b3ce114</w:instrText>
      </w:r>
      <w:r>
        <w:fldChar w:fldCharType="separate"/>
      </w:r>
      <w:r>
        <w:rPr>
          <w:noProof/>
        </w:rPr>
        <w:t>264</w:t>
      </w:r>
      <w:r>
        <w:fldChar w:fldCharType="end"/>
      </w:r>
    </w:p>
    <w:p w:rsidR="00024C0A" w:rsidRDefault="00694C0F">
      <w:pPr>
        <w:pStyle w:val="indexentry0"/>
      </w:pPr>
      <w:hyperlink w:anchor="section_c9af80fa3ee44a79ace64fd46ff83957">
        <w:r>
          <w:rPr>
            <w:rStyle w:val="Hyperlink"/>
          </w:rPr>
          <w:t>OLEObject (Embedded OLE Object)</w:t>
        </w:r>
      </w:hyperlink>
      <w:r>
        <w:t xml:space="preserve"> </w:t>
      </w:r>
      <w:r>
        <w:fldChar w:fldCharType="begin"/>
      </w:r>
      <w:r>
        <w:instrText>PAGEREF section_c9af80fa3ee44a79ace64fd46ff83957</w:instrText>
      </w:r>
      <w:r>
        <w:fldChar w:fldCharType="separate"/>
      </w:r>
      <w:r>
        <w:rPr>
          <w:noProof/>
        </w:rPr>
        <w:t>667</w:t>
      </w:r>
      <w:r>
        <w:fldChar w:fldCharType="end"/>
      </w:r>
    </w:p>
    <w:p w:rsidR="00024C0A" w:rsidRDefault="00694C0F">
      <w:pPr>
        <w:pStyle w:val="indexentry0"/>
      </w:pPr>
      <w:hyperlink w:anchor="section_c2c6f13ea41a49cd88ab3beb4da0b875">
        <w:r>
          <w:rPr>
            <w:rStyle w:val="Hyperlink"/>
          </w:rPr>
          <w:t>oleObjects (Embedded Objects)</w:t>
        </w:r>
      </w:hyperlink>
      <w:r>
        <w:t xml:space="preserve"> </w:t>
      </w:r>
      <w:r>
        <w:fldChar w:fldCharType="begin"/>
      </w:r>
      <w:r>
        <w:instrText>PAGEREF section_c2c6f13ea41a49cd88ab3beb4da0b875</w:instrText>
      </w:r>
      <w:r>
        <w:fldChar w:fldCharType="separate"/>
      </w:r>
      <w:r>
        <w:rPr>
          <w:noProof/>
        </w:rPr>
        <w:t>264</w:t>
      </w:r>
      <w:r>
        <w:fldChar w:fldCharType="end"/>
      </w:r>
    </w:p>
    <w:p w:rsidR="00024C0A" w:rsidRDefault="00694C0F">
      <w:pPr>
        <w:pStyle w:val="indexentry0"/>
      </w:pPr>
      <w:hyperlink w:anchor="section_170f8575e90e4b76b95209242531771f">
        <w:r>
          <w:rPr>
            <w:rStyle w:val="Hyperlink"/>
          </w:rPr>
          <w:t>oleSize (Embedded Object Size)</w:t>
        </w:r>
      </w:hyperlink>
      <w:r>
        <w:t xml:space="preserve"> </w:t>
      </w:r>
      <w:r>
        <w:fldChar w:fldCharType="begin"/>
      </w:r>
      <w:r>
        <w:instrText>PAGEREF section_170f8575e90e4b76b95209242531771f</w:instrText>
      </w:r>
      <w:r>
        <w:fldChar w:fldCharType="separate"/>
      </w:r>
      <w:r>
        <w:rPr>
          <w:noProof/>
        </w:rPr>
        <w:t>243</w:t>
      </w:r>
      <w:r>
        <w:fldChar w:fldCharType="end"/>
      </w:r>
    </w:p>
    <w:p w:rsidR="00024C0A" w:rsidRDefault="00694C0F">
      <w:pPr>
        <w:pStyle w:val="indexentry0"/>
      </w:pPr>
      <w:hyperlink w:anchor="section_ab7a0345712e4eef9bcc80c37e68d9bb">
        <w:r>
          <w:rPr>
            <w:rStyle w:val="Hyperlink"/>
          </w:rPr>
          <w:t>oMath (Office Math)</w:t>
        </w:r>
      </w:hyperlink>
      <w:r>
        <w:t xml:space="preserve"> </w:t>
      </w:r>
      <w:r>
        <w:fldChar w:fldCharType="begin"/>
      </w:r>
      <w:r>
        <w:instrText>PAGEREF section_ab7a0345712</w:instrText>
      </w:r>
      <w:r>
        <w:instrText>e4eef9bcc80c37e68d9bb</w:instrText>
      </w:r>
      <w:r>
        <w:fldChar w:fldCharType="separate"/>
      </w:r>
      <w:r>
        <w:rPr>
          <w:noProof/>
        </w:rPr>
        <w:t>596</w:t>
      </w:r>
      <w:r>
        <w:fldChar w:fldCharType="end"/>
      </w:r>
    </w:p>
    <w:p w:rsidR="00024C0A" w:rsidRDefault="00694C0F">
      <w:pPr>
        <w:pStyle w:val="indexentry0"/>
      </w:pPr>
      <w:hyperlink w:anchor="section_94590ec4e4c14f7ab967abe6bf8658b2">
        <w:r>
          <w:rPr>
            <w:rStyle w:val="Hyperlink"/>
          </w:rPr>
          <w:t>oMath (Office Open XML Math)</w:t>
        </w:r>
      </w:hyperlink>
      <w:r>
        <w:t xml:space="preserve"> </w:t>
      </w:r>
      <w:r>
        <w:fldChar w:fldCharType="begin"/>
      </w:r>
      <w:r>
        <w:instrText>PAGEREF section_94590ec4e4c14f7ab967abe6bf8658b2</w:instrText>
      </w:r>
      <w:r>
        <w:fldChar w:fldCharType="separate"/>
      </w:r>
      <w:r>
        <w:rPr>
          <w:noProof/>
        </w:rPr>
        <w:t>72</w:t>
      </w:r>
      <w:r>
        <w:fldChar w:fldCharType="end"/>
      </w:r>
    </w:p>
    <w:p w:rsidR="00024C0A" w:rsidRDefault="00694C0F">
      <w:pPr>
        <w:pStyle w:val="indexentry0"/>
      </w:pPr>
      <w:hyperlink w:anchor="section_dbc60737c3cb43b18fe8cd591fa4472d">
        <w:r>
          <w:rPr>
            <w:rStyle w:val="Hyperlink"/>
          </w:rPr>
          <w:t>oMath and Math Arguments</w:t>
        </w:r>
      </w:hyperlink>
      <w:r>
        <w:t xml:space="preserve"> </w:t>
      </w:r>
      <w:r>
        <w:fldChar w:fldCharType="begin"/>
      </w:r>
      <w:r>
        <w:instrText>PAGEREF section_dbc60737c3cb43b18fe8cd591fa4472d</w:instrText>
      </w:r>
      <w:r>
        <w:fldChar w:fldCharType="separate"/>
      </w:r>
      <w:r>
        <w:rPr>
          <w:noProof/>
        </w:rPr>
        <w:t>890</w:t>
      </w:r>
      <w:r>
        <w:fldChar w:fldCharType="end"/>
      </w:r>
    </w:p>
    <w:p w:rsidR="00024C0A" w:rsidRDefault="00694C0F">
      <w:pPr>
        <w:pStyle w:val="indexentry0"/>
      </w:pPr>
      <w:hyperlink w:anchor="section_23e0c1c94abb4c75acc27583040e774d">
        <w:r>
          <w:rPr>
            <w:rStyle w:val="Hyperlink"/>
          </w:rPr>
          <w:t>oMathPara (Office Math Paragraph)</w:t>
        </w:r>
      </w:hyperlink>
      <w:r>
        <w:t xml:space="preserve"> </w:t>
      </w:r>
      <w:r>
        <w:fldChar w:fldCharType="begin"/>
      </w:r>
      <w:r>
        <w:instrText>PAGEREF section_23e0c1c94abb4c75acc27583040e774d</w:instrText>
      </w:r>
      <w:r>
        <w:fldChar w:fldCharType="separate"/>
      </w:r>
      <w:r>
        <w:rPr>
          <w:noProof/>
        </w:rPr>
        <w:t>597</w:t>
      </w:r>
      <w:r>
        <w:fldChar w:fldCharType="end"/>
      </w:r>
    </w:p>
    <w:p w:rsidR="00024C0A" w:rsidRDefault="00694C0F">
      <w:pPr>
        <w:pStyle w:val="indexentry0"/>
      </w:pPr>
      <w:hyperlink w:anchor="section_b810c563f4594ca799f047e871e1ab73">
        <w:r>
          <w:rPr>
            <w:rStyle w:val="Hyperlink"/>
          </w:rPr>
          <w:t>opEmu (Operator Emulator)</w:t>
        </w:r>
      </w:hyperlink>
      <w:r>
        <w:t xml:space="preserve"> </w:t>
      </w:r>
      <w:r>
        <w:fldChar w:fldCharType="begin"/>
      </w:r>
      <w:r>
        <w:instrText>PAGEREF section_b810c563f4594ca799f047e871e1ab73</w:instrText>
      </w:r>
      <w:r>
        <w:fldChar w:fldCharType="separate"/>
      </w:r>
      <w:r>
        <w:rPr>
          <w:noProof/>
        </w:rPr>
        <w:t>597</w:t>
      </w:r>
      <w:r>
        <w:fldChar w:fldCharType="end"/>
      </w:r>
    </w:p>
    <w:p w:rsidR="00024C0A" w:rsidRDefault="00694C0F">
      <w:pPr>
        <w:pStyle w:val="indexentry0"/>
      </w:pPr>
      <w:hyperlink w:anchor="section_a0fa9f9b49fb4e7198b7164aa6c8cb79">
        <w:r>
          <w:rPr>
            <w:rStyle w:val="Hyperlink"/>
          </w:rPr>
          <w:t>openByDefault (Open By Default)</w:t>
        </w:r>
      </w:hyperlink>
      <w:r>
        <w:t xml:space="preserve"> </w:t>
      </w:r>
      <w:r>
        <w:fldChar w:fldCharType="begin"/>
      </w:r>
      <w:r>
        <w:instrText>PAGEREF section_a0fa9f9b49fb4e7198b7164aa6c8cb79</w:instrText>
      </w:r>
      <w:r>
        <w:fldChar w:fldCharType="separate"/>
      </w:r>
      <w:r>
        <w:rPr>
          <w:noProof/>
        </w:rPr>
        <w:t>868</w:t>
      </w:r>
      <w:r>
        <w:fldChar w:fldCharType="end"/>
      </w:r>
    </w:p>
    <w:p w:rsidR="00024C0A" w:rsidRDefault="00694C0F">
      <w:pPr>
        <w:pStyle w:val="indexentry0"/>
      </w:pPr>
      <w:r>
        <w:t>Operators (</w:t>
      </w:r>
      <w:hyperlink w:anchor="section_85aca241958e4d6f8c8081258ea5ca60">
        <w:r>
          <w:rPr>
            <w:rStyle w:val="Hyperlink"/>
          </w:rPr>
          <w:t>section 2.1.456</w:t>
        </w:r>
      </w:hyperlink>
      <w:r>
        <w:t xml:space="preserve"> </w:t>
      </w:r>
      <w:r>
        <w:fldChar w:fldCharType="begin"/>
      </w:r>
      <w:r>
        <w:instrText>PAGEREF section_85aca241958e4d6f8c8081258ea5ca60</w:instrText>
      </w:r>
      <w:r>
        <w:fldChar w:fldCharType="separate"/>
      </w:r>
      <w:r>
        <w:rPr>
          <w:noProof/>
        </w:rPr>
        <w:t>165</w:t>
      </w:r>
      <w:r>
        <w:fldChar w:fldCharType="end"/>
      </w:r>
      <w:r>
        <w:t xml:space="preserve">, </w:t>
      </w:r>
      <w:hyperlink w:anchor="section_caae6c6efc424f27ad8f91002f4e56ac">
        <w:r>
          <w:rPr>
            <w:rStyle w:val="Hyperlink"/>
          </w:rPr>
          <w:t>section 2.1.861</w:t>
        </w:r>
      </w:hyperlink>
      <w:r>
        <w:t xml:space="preserve"> </w:t>
      </w:r>
      <w:r>
        <w:fldChar w:fldCharType="begin"/>
      </w:r>
      <w:r>
        <w:instrText>PAGEREF section_caae6c6efc424f27ad8f91002f4e56ac</w:instrText>
      </w:r>
      <w:r>
        <w:fldChar w:fldCharType="separate"/>
      </w:r>
      <w:r>
        <w:rPr>
          <w:noProof/>
        </w:rPr>
        <w:t>390</w:t>
      </w:r>
      <w:r>
        <w:fldChar w:fldCharType="end"/>
      </w:r>
      <w:r>
        <w:t>)</w:t>
      </w:r>
    </w:p>
    <w:p w:rsidR="00024C0A" w:rsidRDefault="00694C0F">
      <w:pPr>
        <w:pStyle w:val="indexentry0"/>
      </w:pPr>
      <w:hyperlink w:anchor="section_1a4436e36c77480184e063d913cb56a8">
        <w:r>
          <w:rPr>
            <w:rStyle w:val="Hyperlink"/>
          </w:rPr>
          <w:t>optimizeForBrowser (Disable Features Not Supported by Target Web Profile)</w:t>
        </w:r>
      </w:hyperlink>
      <w:r>
        <w:t xml:space="preserve"> </w:t>
      </w:r>
      <w:r>
        <w:fldChar w:fldCharType="begin"/>
      </w:r>
      <w:r>
        <w:instrText>PAGEREF section_1a4436e36c77480184e063d913cb56a8</w:instrText>
      </w:r>
      <w:r>
        <w:fldChar w:fldCharType="separate"/>
      </w:r>
      <w:r>
        <w:rPr>
          <w:noProof/>
        </w:rPr>
        <w:t>162</w:t>
      </w:r>
      <w:r>
        <w:fldChar w:fldCharType="end"/>
      </w:r>
    </w:p>
    <w:p w:rsidR="00024C0A" w:rsidRDefault="00694C0F">
      <w:pPr>
        <w:pStyle w:val="indexentry0"/>
      </w:pPr>
      <w:hyperlink w:anchor="section_3bb9ee04625a48d98462c6b25dc8a319">
        <w:r>
          <w:rPr>
            <w:rStyle w:val="Hyperlink"/>
          </w:rPr>
          <w:t xml:space="preserve">order </w:t>
        </w:r>
        <w:r>
          <w:rPr>
            <w:rStyle w:val="Hyperlink"/>
          </w:rPr>
          <w:t>(Order)</w:t>
        </w:r>
      </w:hyperlink>
      <w:r>
        <w:t xml:space="preserve"> </w:t>
      </w:r>
      <w:r>
        <w:fldChar w:fldCharType="begin"/>
      </w:r>
      <w:r>
        <w:instrText>PAGEREF section_3bb9ee04625a48d98462c6b25dc8a319</w:instrText>
      </w:r>
      <w:r>
        <w:fldChar w:fldCharType="separate"/>
      </w:r>
      <w:r>
        <w:rPr>
          <w:noProof/>
        </w:rPr>
        <w:t>555</w:t>
      </w:r>
      <w:r>
        <w:fldChar w:fldCharType="end"/>
      </w:r>
    </w:p>
    <w:p w:rsidR="00024C0A" w:rsidRDefault="00694C0F">
      <w:pPr>
        <w:pStyle w:val="indexentry0"/>
      </w:pPr>
      <w:hyperlink w:anchor="section_4370285e4d97454ca63a23336f48f90c">
        <w:r>
          <w:rPr>
            <w:rStyle w:val="Hyperlink"/>
          </w:rPr>
          <w:t>order (Polynomial Trendline Order)</w:t>
        </w:r>
      </w:hyperlink>
      <w:r>
        <w:t xml:space="preserve"> </w:t>
      </w:r>
      <w:r>
        <w:fldChar w:fldCharType="begin"/>
      </w:r>
      <w:r>
        <w:instrText>PAGEREF section_4370285e4d97454ca63a23336f48f90c</w:instrText>
      </w:r>
      <w:r>
        <w:fldChar w:fldCharType="separate"/>
      </w:r>
      <w:r>
        <w:rPr>
          <w:noProof/>
        </w:rPr>
        <w:t>555</w:t>
      </w:r>
      <w:r>
        <w:fldChar w:fldCharType="end"/>
      </w:r>
    </w:p>
    <w:p w:rsidR="00024C0A" w:rsidRDefault="00694C0F">
      <w:pPr>
        <w:pStyle w:val="indexentry0"/>
      </w:pPr>
      <w:hyperlink w:anchor="section_85891d6c7ab54abb8e369a770c5ed9f7">
        <w:r>
          <w:rPr>
            <w:rStyle w:val="Hyperlink"/>
          </w:rPr>
          <w:t>orientation (Axis Orientation)</w:t>
        </w:r>
      </w:hyperlink>
      <w:r>
        <w:t xml:space="preserve"> </w:t>
      </w:r>
      <w:r>
        <w:fldChar w:fldCharType="begin"/>
      </w:r>
      <w:r>
        <w:instrText>PAGEREF section_85891d6c7ab54abb8e369a770c5ed9f7</w:instrText>
      </w:r>
      <w:r>
        <w:fldChar w:fldCharType="separate"/>
      </w:r>
      <w:r>
        <w:rPr>
          <w:noProof/>
        </w:rPr>
        <w:t>555</w:t>
      </w:r>
      <w:r>
        <w:fldChar w:fldCharType="end"/>
      </w:r>
    </w:p>
    <w:p w:rsidR="00024C0A" w:rsidRDefault="00694C0F">
      <w:pPr>
        <w:pStyle w:val="indexentry0"/>
      </w:pPr>
      <w:hyperlink w:anchor="section_b0d10d875aa74b37b2caea9cc2705984">
        <w:r>
          <w:rPr>
            <w:rStyle w:val="Hyperlink"/>
          </w:rPr>
          <w:t>origin (View Origin)</w:t>
        </w:r>
      </w:hyperlink>
      <w:r>
        <w:t xml:space="preserve"> </w:t>
      </w:r>
      <w:r>
        <w:fldChar w:fldCharType="begin"/>
      </w:r>
      <w:r>
        <w:instrText>PAGEREF section_b0d10d875aa74b37b2caea9cc2705984</w:instrText>
      </w:r>
      <w:r>
        <w:fldChar w:fldCharType="separate"/>
      </w:r>
      <w:r>
        <w:rPr>
          <w:noProof/>
        </w:rPr>
        <w:t>465</w:t>
      </w:r>
      <w:r>
        <w:fldChar w:fldCharType="end"/>
      </w:r>
    </w:p>
    <w:p w:rsidR="00024C0A" w:rsidRDefault="00694C0F">
      <w:pPr>
        <w:pStyle w:val="indexentry0"/>
      </w:pPr>
      <w:hyperlink w:anchor="section_c82f70414e024b7e9df60a29258a6a7e">
        <w:r>
          <w:rPr>
            <w:rStyle w:val="Hyperlink"/>
          </w:rPr>
          <w:t>ostorage (Binary Storage Object)</w:t>
        </w:r>
      </w:hyperlink>
      <w:r>
        <w:t xml:space="preserve"> </w:t>
      </w:r>
      <w:r>
        <w:fldChar w:fldCharType="begin"/>
      </w:r>
      <w:r>
        <w:instrText>PAGEREF section_c82f70414e024b7e9df60a29258a6a7e</w:instrText>
      </w:r>
      <w:r>
        <w:fldChar w:fldCharType="separate"/>
      </w:r>
      <w:r>
        <w:rPr>
          <w:noProof/>
        </w:rPr>
        <w:t>608</w:t>
      </w:r>
      <w:r>
        <w:fldChar w:fldCharType="end"/>
      </w:r>
    </w:p>
    <w:p w:rsidR="00024C0A" w:rsidRDefault="00694C0F">
      <w:pPr>
        <w:pStyle w:val="indexentry0"/>
      </w:pPr>
      <w:hyperlink w:anchor="section_a3d8cb72c704433b8d5adefc6f0700be">
        <w:r>
          <w:rPr>
            <w:rStyle w:val="Hyperlink"/>
          </w:rPr>
          <w:t>outerShdw (Outer Shadow Effect)</w:t>
        </w:r>
      </w:hyperlink>
      <w:r>
        <w:t xml:space="preserve"> </w:t>
      </w:r>
      <w:r>
        <w:fldChar w:fldCharType="begin"/>
      </w:r>
      <w:r>
        <w:instrText>PAGEREF section_a3d8cb72c704433</w:instrText>
      </w:r>
      <w:r>
        <w:instrText>b8d5adefc6f0700be</w:instrText>
      </w:r>
      <w:r>
        <w:fldChar w:fldCharType="separate"/>
      </w:r>
      <w:r>
        <w:rPr>
          <w:noProof/>
        </w:rPr>
        <w:t>513</w:t>
      </w:r>
      <w:r>
        <w:fldChar w:fldCharType="end"/>
      </w:r>
    </w:p>
    <w:p w:rsidR="00024C0A" w:rsidRDefault="00694C0F">
      <w:pPr>
        <w:pStyle w:val="indexentry0"/>
      </w:pPr>
      <w:hyperlink w:anchor="section_d102191b957b471ab0627af071ec8e52">
        <w:r>
          <w:rPr>
            <w:rStyle w:val="Hyperlink"/>
          </w:rPr>
          <w:t>outlineLvl (Associated Outline Level)</w:t>
        </w:r>
      </w:hyperlink>
      <w:r>
        <w:t xml:space="preserve"> </w:t>
      </w:r>
      <w:r>
        <w:fldChar w:fldCharType="begin"/>
      </w:r>
      <w:r>
        <w:instrText>PAGEREF section_d102191b957b471ab0627af071ec8e52</w:instrText>
      </w:r>
      <w:r>
        <w:fldChar w:fldCharType="separate"/>
      </w:r>
      <w:r>
        <w:rPr>
          <w:noProof/>
        </w:rPr>
        <w:t>65</w:t>
      </w:r>
      <w:r>
        <w:fldChar w:fldCharType="end"/>
      </w:r>
    </w:p>
    <w:p w:rsidR="00024C0A" w:rsidRDefault="00694C0F">
      <w:pPr>
        <w:pStyle w:val="indexentry0"/>
      </w:pPr>
      <w:hyperlink w:anchor="section_bd6bc36a9e8f489dafb305827fbf0b14">
        <w:r>
          <w:rPr>
            <w:rStyle w:val="Hyperlink"/>
          </w:rPr>
          <w:t>oval (Oval)</w:t>
        </w:r>
      </w:hyperlink>
      <w:r>
        <w:t xml:space="preserve"> </w:t>
      </w:r>
      <w:r>
        <w:fldChar w:fldCharType="begin"/>
      </w:r>
      <w:r>
        <w:instrText>PAGEREF</w:instrText>
      </w:r>
      <w:r>
        <w:instrText xml:space="preserve"> section_bd6bc36a9e8f489dafb305827fbf0b14</w:instrText>
      </w:r>
      <w:r>
        <w:fldChar w:fldCharType="separate"/>
      </w:r>
      <w:r>
        <w:rPr>
          <w:noProof/>
        </w:rPr>
        <w:t>644</w:t>
      </w:r>
      <w:r>
        <w:fldChar w:fldCharType="end"/>
      </w:r>
    </w:p>
    <w:p w:rsidR="00024C0A" w:rsidRDefault="00694C0F">
      <w:pPr>
        <w:pStyle w:val="indexentry0"/>
      </w:pPr>
      <w:hyperlink w:anchor="section_879a1ee25d6c41818fd57b4b1b55949f">
        <w:r>
          <w:rPr>
            <w:rStyle w:val="Hyperlink"/>
          </w:rPr>
          <w:t>overflowPunct (Allow Punctuation to Extend Past Text Extents)</w:t>
        </w:r>
      </w:hyperlink>
      <w:r>
        <w:t xml:space="preserve"> </w:t>
      </w:r>
      <w:r>
        <w:fldChar w:fldCharType="begin"/>
      </w:r>
      <w:r>
        <w:instrText>PAGEREF section_879a1ee25d6c41818fd57b4b1b55949f</w:instrText>
      </w:r>
      <w:r>
        <w:fldChar w:fldCharType="separate"/>
      </w:r>
      <w:r>
        <w:rPr>
          <w:noProof/>
        </w:rPr>
        <w:t>65</w:t>
      </w:r>
      <w:r>
        <w:fldChar w:fldCharType="end"/>
      </w:r>
    </w:p>
    <w:p w:rsidR="00024C0A" w:rsidRDefault="00694C0F">
      <w:pPr>
        <w:pStyle w:val="indexentry0"/>
      </w:pPr>
      <w:hyperlink w:anchor="section_4abcc4474ee3422cb12f0eb93ab89779">
        <w:r>
          <w:rPr>
            <w:rStyle w:val="Hyperlink"/>
          </w:rPr>
          <w:t>overlap (Overlap)</w:t>
        </w:r>
      </w:hyperlink>
      <w:r>
        <w:t xml:space="preserve"> </w:t>
      </w:r>
      <w:r>
        <w:fldChar w:fldCharType="begin"/>
      </w:r>
      <w:r>
        <w:instrText>PAGEREF section_4abcc4474ee3422cb12f0eb93ab89779</w:instrText>
      </w:r>
      <w:r>
        <w:fldChar w:fldCharType="separate"/>
      </w:r>
      <w:r>
        <w:rPr>
          <w:noProof/>
        </w:rPr>
        <w:t>556</w:t>
      </w:r>
      <w:r>
        <w:fldChar w:fldCharType="end"/>
      </w:r>
    </w:p>
    <w:p w:rsidR="00024C0A" w:rsidRDefault="00024C0A">
      <w:pPr>
        <w:spacing w:before="0" w:after="0"/>
        <w:rPr>
          <w:sz w:val="16"/>
        </w:rPr>
      </w:pPr>
    </w:p>
    <w:p w:rsidR="00024C0A" w:rsidRDefault="00694C0F">
      <w:pPr>
        <w:pStyle w:val="indexheader"/>
      </w:pPr>
      <w:r>
        <w:t>P</w:t>
      </w:r>
    </w:p>
    <w:p w:rsidR="00024C0A" w:rsidRDefault="00024C0A">
      <w:pPr>
        <w:spacing w:before="0" w:after="0"/>
        <w:rPr>
          <w:sz w:val="16"/>
        </w:rPr>
      </w:pPr>
    </w:p>
    <w:p w:rsidR="00024C0A" w:rsidRDefault="00694C0F">
      <w:pPr>
        <w:pStyle w:val="indexentry0"/>
      </w:pPr>
      <w:hyperlink w:anchor="section_920bba5747714fc3a39c9e6307c798e1">
        <w:r>
          <w:rPr>
            <w:rStyle w:val="Hyperlink"/>
          </w:rPr>
          <w:t>p (Member Property MDX Metadata)</w:t>
        </w:r>
      </w:hyperlink>
      <w:r>
        <w:t xml:space="preserve"> </w:t>
      </w:r>
      <w:r>
        <w:fldChar w:fldCharType="begin"/>
      </w:r>
      <w:r>
        <w:instrText>PAGEREF section_920bba5747714fc3a39c9e6307c798e1</w:instrText>
      </w:r>
      <w:r>
        <w:fldChar w:fldCharType="separate"/>
      </w:r>
      <w:r>
        <w:rPr>
          <w:noProof/>
        </w:rPr>
        <w:t>317</w:t>
      </w:r>
      <w:r>
        <w:fldChar w:fldCharType="end"/>
      </w:r>
    </w:p>
    <w:p w:rsidR="00024C0A" w:rsidRDefault="00694C0F">
      <w:pPr>
        <w:pStyle w:val="indexentry0"/>
      </w:pPr>
      <w:hyperlink w:anchor="section_926783638af840998a4a44fa944c04ea">
        <w:r>
          <w:rPr>
            <w:rStyle w:val="Hyperlink"/>
          </w:rPr>
          <w:t>p (Paragraph)</w:t>
        </w:r>
      </w:hyperlink>
      <w:r>
        <w:t xml:space="preserve"> </w:t>
      </w:r>
      <w:r>
        <w:fldChar w:fldCharType="begin"/>
      </w:r>
      <w:r>
        <w:instrText>PAGEREF section_926783638af840998a4a44fa944c04ea</w:instrText>
      </w:r>
      <w:r>
        <w:fldChar w:fldCharType="separate"/>
      </w:r>
      <w:r>
        <w:rPr>
          <w:noProof/>
        </w:rPr>
        <w:t>65</w:t>
      </w:r>
      <w:r>
        <w:fldChar w:fldCharType="end"/>
      </w:r>
    </w:p>
    <w:p w:rsidR="00024C0A" w:rsidRDefault="00694C0F">
      <w:pPr>
        <w:pStyle w:val="indexentry0"/>
      </w:pPr>
      <w:hyperlink w:anchor="section_de16a8a159de48a5b3c08d155229b609">
        <w:r>
          <w:rPr>
            <w:rStyle w:val="Hyperlink"/>
          </w:rPr>
          <w:t>p (Text Paragraphs)</w:t>
        </w:r>
      </w:hyperlink>
      <w:r>
        <w:t xml:space="preserve"> </w:t>
      </w:r>
      <w:r>
        <w:fldChar w:fldCharType="begin"/>
      </w:r>
      <w:r>
        <w:instrText>PAGEREF section_de16a8a159de48a5b3c08d155229</w:instrText>
      </w:r>
      <w:r>
        <w:instrText>b609</w:instrText>
      </w:r>
      <w:r>
        <w:fldChar w:fldCharType="separate"/>
      </w:r>
      <w:r>
        <w:rPr>
          <w:noProof/>
        </w:rPr>
        <w:t>530</w:t>
      </w:r>
      <w:r>
        <w:fldChar w:fldCharType="end"/>
      </w:r>
    </w:p>
    <w:p w:rsidR="00024C0A" w:rsidRDefault="00694C0F">
      <w:pPr>
        <w:pStyle w:val="indexentry0"/>
      </w:pPr>
      <w:hyperlink w:anchor="section_245fab239fe44f6f9b45e6d17e5ccadf">
        <w:r>
          <w:rPr>
            <w:rStyle w:val="Hyperlink"/>
          </w:rPr>
          <w:t>Packages</w:t>
        </w:r>
      </w:hyperlink>
      <w:r>
        <w:t xml:space="preserve"> </w:t>
      </w:r>
      <w:r>
        <w:fldChar w:fldCharType="begin"/>
      </w:r>
      <w:r>
        <w:instrText>PAGEREF section_245fab239fe44f6f9b45e6d17e5ccadf</w:instrText>
      </w:r>
      <w:r>
        <w:fldChar w:fldCharType="separate"/>
      </w:r>
      <w:r>
        <w:rPr>
          <w:noProof/>
        </w:rPr>
        <w:t>46</w:t>
      </w:r>
      <w:r>
        <w:fldChar w:fldCharType="end"/>
      </w:r>
    </w:p>
    <w:p w:rsidR="00024C0A" w:rsidRDefault="00694C0F">
      <w:pPr>
        <w:pStyle w:val="indexentry0"/>
      </w:pPr>
      <w:hyperlink w:anchor="section_9f43de269a174e698ce2d61e66016310">
        <w:r>
          <w:rPr>
            <w:rStyle w:val="Hyperlink"/>
          </w:rPr>
          <w:t>Page (Scroll Bar Page Increment)</w:t>
        </w:r>
      </w:hyperlink>
      <w:r>
        <w:t xml:space="preserve"> </w:t>
      </w:r>
      <w:r>
        <w:fldChar w:fldCharType="begin"/>
      </w:r>
      <w:r>
        <w:instrText>PAGEREF section_9f43de269a17</w:instrText>
      </w:r>
      <w:r>
        <w:instrText>4e698ce2d61e66016310</w:instrText>
      </w:r>
      <w:r>
        <w:fldChar w:fldCharType="separate"/>
      </w:r>
      <w:r>
        <w:rPr>
          <w:noProof/>
        </w:rPr>
        <w:t>676</w:t>
      </w:r>
      <w:r>
        <w:fldChar w:fldCharType="end"/>
      </w:r>
    </w:p>
    <w:p w:rsidR="00024C0A" w:rsidRDefault="00694C0F">
      <w:pPr>
        <w:pStyle w:val="indexentry0"/>
      </w:pPr>
      <w:hyperlink w:anchor="section_87cd92562a8c462c805a1e489575afd0">
        <w:r>
          <w:rPr>
            <w:rStyle w:val="Hyperlink"/>
          </w:rPr>
          <w:t>pageField (Page Field)</w:t>
        </w:r>
      </w:hyperlink>
      <w:r>
        <w:t xml:space="preserve"> </w:t>
      </w:r>
      <w:r>
        <w:fldChar w:fldCharType="begin"/>
      </w:r>
      <w:r>
        <w:instrText>PAGEREF section_87cd92562a8c462c805a1e489575afd0</w:instrText>
      </w:r>
      <w:r>
        <w:fldChar w:fldCharType="separate"/>
      </w:r>
      <w:r>
        <w:rPr>
          <w:noProof/>
        </w:rPr>
        <w:t>343</w:t>
      </w:r>
      <w:r>
        <w:fldChar w:fldCharType="end"/>
      </w:r>
    </w:p>
    <w:p w:rsidR="00024C0A" w:rsidRDefault="00694C0F">
      <w:pPr>
        <w:pStyle w:val="indexentry0"/>
      </w:pPr>
      <w:hyperlink w:anchor="section_14b39f7e6d054a8a8cbc7fb18850a82a">
        <w:r>
          <w:rPr>
            <w:rStyle w:val="Hyperlink"/>
          </w:rPr>
          <w:t>pageFields (Page Field Items)</w:t>
        </w:r>
      </w:hyperlink>
      <w:r>
        <w:t xml:space="preserve"> </w:t>
      </w:r>
      <w:r>
        <w:fldChar w:fldCharType="begin"/>
      </w:r>
      <w:r>
        <w:instrText>P</w:instrText>
      </w:r>
      <w:r>
        <w:instrText>AGEREF section_14b39f7e6d054a8a8cbc7fb18850a82a</w:instrText>
      </w:r>
      <w:r>
        <w:fldChar w:fldCharType="separate"/>
      </w:r>
      <w:r>
        <w:rPr>
          <w:noProof/>
        </w:rPr>
        <w:t>344</w:t>
      </w:r>
      <w:r>
        <w:fldChar w:fldCharType="end"/>
      </w:r>
    </w:p>
    <w:p w:rsidR="00024C0A" w:rsidRDefault="00694C0F">
      <w:pPr>
        <w:pStyle w:val="indexentry0"/>
      </w:pPr>
      <w:hyperlink w:anchor="section_4027d9f9ded64b99a6141ebec23feece">
        <w:r>
          <w:rPr>
            <w:rStyle w:val="Hyperlink"/>
          </w:rPr>
          <w:t>pageItem (Page Item)</w:t>
        </w:r>
      </w:hyperlink>
      <w:r>
        <w:t xml:space="preserve"> </w:t>
      </w:r>
      <w:r>
        <w:fldChar w:fldCharType="begin"/>
      </w:r>
      <w:r>
        <w:instrText>PAGEREF section_4027d9f9ded64b99a6141ebec23feece</w:instrText>
      </w:r>
      <w:r>
        <w:fldChar w:fldCharType="separate"/>
      </w:r>
      <w:r>
        <w:rPr>
          <w:noProof/>
        </w:rPr>
        <w:t>344</w:t>
      </w:r>
      <w:r>
        <w:fldChar w:fldCharType="end"/>
      </w:r>
    </w:p>
    <w:p w:rsidR="00024C0A" w:rsidRDefault="00694C0F">
      <w:pPr>
        <w:pStyle w:val="indexentry0"/>
      </w:pPr>
      <w:r>
        <w:t>pageMargins (Page Margins) (</w:t>
      </w:r>
      <w:hyperlink w:anchor="section_261571d7a2234a99a584daab0bb4196c">
        <w:r>
          <w:rPr>
            <w:rStyle w:val="Hyperlink"/>
          </w:rPr>
          <w:t>section 2.1.636</w:t>
        </w:r>
      </w:hyperlink>
      <w:r>
        <w:t xml:space="preserve"> </w:t>
      </w:r>
      <w:r>
        <w:fldChar w:fldCharType="begin"/>
      </w:r>
      <w:r>
        <w:instrText>PAGEREF section_261571d7a2234a99a584daab0bb4196c</w:instrText>
      </w:r>
      <w:r>
        <w:fldChar w:fldCharType="separate"/>
      </w:r>
      <w:r>
        <w:rPr>
          <w:noProof/>
        </w:rPr>
        <w:t>265</w:t>
      </w:r>
      <w:r>
        <w:fldChar w:fldCharType="end"/>
      </w:r>
      <w:r>
        <w:t xml:space="preserve">, </w:t>
      </w:r>
      <w:hyperlink w:anchor="section_b030ac610cab41f3a9396a5c193f33f3">
        <w:r>
          <w:rPr>
            <w:rStyle w:val="Hyperlink"/>
          </w:rPr>
          <w:t>section 2.1.1507</w:t>
        </w:r>
      </w:hyperlink>
      <w:r>
        <w:t xml:space="preserve"> </w:t>
      </w:r>
      <w:r>
        <w:fldChar w:fldCharType="begin"/>
      </w:r>
      <w:r>
        <w:instrText>PAGEREF section_b030ac610cab41f3a9396a5c193f33f3</w:instrText>
      </w:r>
      <w:r>
        <w:fldChar w:fldCharType="separate"/>
      </w:r>
      <w:r>
        <w:rPr>
          <w:noProof/>
        </w:rPr>
        <w:t>556</w:t>
      </w:r>
      <w:r>
        <w:fldChar w:fldCharType="end"/>
      </w:r>
      <w:r>
        <w:t>)</w:t>
      </w:r>
    </w:p>
    <w:p w:rsidR="00024C0A" w:rsidRDefault="00694C0F">
      <w:pPr>
        <w:pStyle w:val="indexentry0"/>
      </w:pPr>
      <w:hyperlink w:anchor="section_819d2fe99c1445e5a35321c13c2ff1f4">
        <w:r>
          <w:rPr>
            <w:rStyle w:val="Hyperlink"/>
          </w:rPr>
          <w:t>PAGEREF</w:t>
        </w:r>
      </w:hyperlink>
      <w:r>
        <w:t xml:space="preserve"> </w:t>
      </w:r>
      <w:r>
        <w:fldChar w:fldCharType="begin"/>
      </w:r>
      <w:r>
        <w:instrText>PAGEREF section_819d2fe99c1445e5a35321c13c2ff1f4</w:instrText>
      </w:r>
      <w:r>
        <w:fldChar w:fldCharType="separate"/>
      </w:r>
      <w:r>
        <w:rPr>
          <w:noProof/>
        </w:rPr>
        <w:t>218</w:t>
      </w:r>
      <w:r>
        <w:fldChar w:fldCharType="end"/>
      </w:r>
    </w:p>
    <w:p w:rsidR="00024C0A" w:rsidRDefault="00694C0F">
      <w:pPr>
        <w:pStyle w:val="indexentry0"/>
      </w:pPr>
      <w:hyperlink w:anchor="section_a3f0dcd307ed4e7bb08374ce6de5f195">
        <w:r>
          <w:rPr>
            <w:rStyle w:val="Hyperlink"/>
          </w:rPr>
          <w:t>pageSetup (Chart Sheet Page Setup)</w:t>
        </w:r>
      </w:hyperlink>
      <w:r>
        <w:t xml:space="preserve"> </w:t>
      </w:r>
      <w:r>
        <w:fldChar w:fldCharType="begin"/>
      </w:r>
      <w:r>
        <w:instrText>PAGEREF section_a3f0dcd307ed4e7bb08</w:instrText>
      </w:r>
      <w:r>
        <w:instrText>374ce6de5f195</w:instrText>
      </w:r>
      <w:r>
        <w:fldChar w:fldCharType="separate"/>
      </w:r>
      <w:r>
        <w:rPr>
          <w:noProof/>
        </w:rPr>
        <w:t>270</w:t>
      </w:r>
      <w:r>
        <w:fldChar w:fldCharType="end"/>
      </w:r>
    </w:p>
    <w:p w:rsidR="00024C0A" w:rsidRDefault="00694C0F">
      <w:pPr>
        <w:pStyle w:val="indexentry0"/>
      </w:pPr>
      <w:hyperlink w:anchor="section_7d79dcced8fb43daa189f0e46658da62">
        <w:r>
          <w:rPr>
            <w:rStyle w:val="Hyperlink"/>
          </w:rPr>
          <w:t>pageSetup (Page Setup Settings)</w:t>
        </w:r>
      </w:hyperlink>
      <w:r>
        <w:t xml:space="preserve"> </w:t>
      </w:r>
      <w:r>
        <w:fldChar w:fldCharType="begin"/>
      </w:r>
      <w:r>
        <w:instrText>PAGEREF section_7d79dcced8fb43daa189f0e46658da62</w:instrText>
      </w:r>
      <w:r>
        <w:fldChar w:fldCharType="separate"/>
      </w:r>
      <w:r>
        <w:rPr>
          <w:noProof/>
        </w:rPr>
        <w:t>265</w:t>
      </w:r>
      <w:r>
        <w:fldChar w:fldCharType="end"/>
      </w:r>
    </w:p>
    <w:p w:rsidR="00024C0A" w:rsidRDefault="00694C0F">
      <w:pPr>
        <w:pStyle w:val="indexentry0"/>
      </w:pPr>
      <w:hyperlink w:anchor="section_8ffbeaeb0d294ab783603f7b61509929">
        <w:r>
          <w:rPr>
            <w:rStyle w:val="Hyperlink"/>
          </w:rPr>
          <w:t>pageSetup (Page Setup)</w:t>
        </w:r>
      </w:hyperlink>
      <w:r>
        <w:t xml:space="preserve"> </w:t>
      </w:r>
      <w:r>
        <w:fldChar w:fldCharType="begin"/>
      </w:r>
      <w:r>
        <w:instrText>PAGERE</w:instrText>
      </w:r>
      <w:r>
        <w:instrText>F section_8ffbeaeb0d294ab783603f7b61509929</w:instrText>
      </w:r>
      <w:r>
        <w:fldChar w:fldCharType="separate"/>
      </w:r>
      <w:r>
        <w:rPr>
          <w:noProof/>
        </w:rPr>
        <w:t>556</w:t>
      </w:r>
      <w:r>
        <w:fldChar w:fldCharType="end"/>
      </w:r>
    </w:p>
    <w:p w:rsidR="00024C0A" w:rsidRDefault="00694C0F">
      <w:pPr>
        <w:pStyle w:val="indexentry0"/>
      </w:pPr>
      <w:hyperlink w:anchor="section_ec58171895fa49388a746b840a7044ec">
        <w:r>
          <w:rPr>
            <w:rStyle w:val="Hyperlink"/>
          </w:rPr>
          <w:t>pane (View Pane)</w:t>
        </w:r>
      </w:hyperlink>
      <w:r>
        <w:t xml:space="preserve"> </w:t>
      </w:r>
      <w:r>
        <w:fldChar w:fldCharType="begin"/>
      </w:r>
      <w:r>
        <w:instrText>PAGEREF section_ec58171895fa49388a746b840a7044ec</w:instrText>
      </w:r>
      <w:r>
        <w:fldChar w:fldCharType="separate"/>
      </w:r>
      <w:r>
        <w:rPr>
          <w:noProof/>
        </w:rPr>
        <w:t>274</w:t>
      </w:r>
      <w:r>
        <w:fldChar w:fldCharType="end"/>
      </w:r>
    </w:p>
    <w:p w:rsidR="00024C0A" w:rsidRDefault="00694C0F">
      <w:pPr>
        <w:pStyle w:val="indexentry0"/>
      </w:pPr>
      <w:hyperlink w:anchor="section_9d27324fe2a94774a3b30eb04da5170f">
        <w:r>
          <w:rPr>
            <w:rStyle w:val="Hyperlink"/>
          </w:rPr>
          <w:t>panose1 (Panose-1</w:t>
        </w:r>
        <w:r>
          <w:rPr>
            <w:rStyle w:val="Hyperlink"/>
          </w:rPr>
          <w:t xml:space="preserve"> Typeface Classification Number)</w:t>
        </w:r>
      </w:hyperlink>
      <w:r>
        <w:t xml:space="preserve"> </w:t>
      </w:r>
      <w:r>
        <w:fldChar w:fldCharType="begin"/>
      </w:r>
      <w:r>
        <w:instrText>PAGEREF section_9d27324fe2a94774a3b30eb04da5170f</w:instrText>
      </w:r>
      <w:r>
        <w:fldChar w:fldCharType="separate"/>
      </w:r>
      <w:r>
        <w:rPr>
          <w:noProof/>
        </w:rPr>
        <w:t>122</w:t>
      </w:r>
      <w:r>
        <w:fldChar w:fldCharType="end"/>
      </w:r>
    </w:p>
    <w:p w:rsidR="00024C0A" w:rsidRDefault="00694C0F">
      <w:pPr>
        <w:pStyle w:val="indexentry0"/>
      </w:pPr>
      <w:hyperlink w:anchor="section_9702ba00325540d0901640f8b1da3f57">
        <w:r>
          <w:rPr>
            <w:rStyle w:val="Hyperlink"/>
          </w:rPr>
          <w:t>paperSrc (Paper Source Information)</w:t>
        </w:r>
      </w:hyperlink>
      <w:r>
        <w:t xml:space="preserve"> </w:t>
      </w:r>
      <w:r>
        <w:fldChar w:fldCharType="begin"/>
      </w:r>
      <w:r>
        <w:instrText>PAGEREF section_9702ba00325540d0901640f8b1da3f57</w:instrText>
      </w:r>
      <w:r>
        <w:fldChar w:fldCharType="separate"/>
      </w:r>
      <w:r>
        <w:rPr>
          <w:noProof/>
        </w:rPr>
        <w:t>102</w:t>
      </w:r>
      <w:r>
        <w:fldChar w:fldCharType="end"/>
      </w:r>
    </w:p>
    <w:p w:rsidR="00024C0A" w:rsidRDefault="00694C0F">
      <w:pPr>
        <w:pStyle w:val="indexentry0"/>
      </w:pPr>
      <w:hyperlink w:anchor="section_bd62641d7786473f872d4b3205e91a82">
        <w:r>
          <w:rPr>
            <w:rStyle w:val="Hyperlink"/>
          </w:rPr>
          <w:t>Paragraph Styles</w:t>
        </w:r>
      </w:hyperlink>
      <w:r>
        <w:t xml:space="preserve"> </w:t>
      </w:r>
      <w:r>
        <w:fldChar w:fldCharType="begin"/>
      </w:r>
      <w:r>
        <w:instrText>PAGEREF section_bd62641d7786473f872d4b3205e91a82</w:instrText>
      </w:r>
      <w:r>
        <w:fldChar w:fldCharType="separate"/>
      </w:r>
      <w:r>
        <w:rPr>
          <w:noProof/>
        </w:rPr>
        <w:t>119</w:t>
      </w:r>
      <w:r>
        <w:fldChar w:fldCharType="end"/>
      </w:r>
    </w:p>
    <w:p w:rsidR="00024C0A" w:rsidRDefault="00694C0F">
      <w:pPr>
        <w:pStyle w:val="indexentry0"/>
      </w:pPr>
      <w:hyperlink w:anchor="section_d2c9fd05dde64a48b4b7ef75f301b630">
        <w:r>
          <w:rPr>
            <w:rStyle w:val="Hyperlink"/>
          </w:rPr>
          <w:t>param (Parameter)</w:t>
        </w:r>
      </w:hyperlink>
      <w:r>
        <w:t xml:space="preserve"> </w:t>
      </w:r>
      <w:r>
        <w:fldChar w:fldCharType="begin"/>
      </w:r>
      <w:r>
        <w:instrText>PAGEREF section_d2c9fd05dde64a48b4b7ef75f301b630</w:instrText>
      </w:r>
      <w:r>
        <w:fldChar w:fldCharType="separate"/>
      </w:r>
      <w:r>
        <w:rPr>
          <w:noProof/>
        </w:rPr>
        <w:t>580</w:t>
      </w:r>
      <w:r>
        <w:fldChar w:fldCharType="end"/>
      </w:r>
    </w:p>
    <w:p w:rsidR="00024C0A" w:rsidRDefault="00694C0F">
      <w:pPr>
        <w:pStyle w:val="indexentry0"/>
      </w:pPr>
      <w:hyperlink w:anchor="section_26f1dd202d7b429fa0694235248a851a">
        <w:r>
          <w:rPr>
            <w:rStyle w:val="Hyperlink"/>
          </w:rPr>
          <w:t>parameter (Parameter Properties)</w:t>
        </w:r>
      </w:hyperlink>
      <w:r>
        <w:t xml:space="preserve"> </w:t>
      </w:r>
      <w:r>
        <w:fldChar w:fldCharType="begin"/>
      </w:r>
      <w:r>
        <w:instrText>PAGEREF section_26f1dd202d7b429fa0694235248a851a</w:instrText>
      </w:r>
      <w:r>
        <w:fldChar w:fldCharType="separate"/>
      </w:r>
      <w:r>
        <w:rPr>
          <w:noProof/>
        </w:rPr>
        <w:t>376</w:t>
      </w:r>
      <w:r>
        <w:fldChar w:fldCharType="end"/>
      </w:r>
    </w:p>
    <w:p w:rsidR="00024C0A" w:rsidRDefault="00694C0F">
      <w:pPr>
        <w:pStyle w:val="indexentry0"/>
      </w:pPr>
      <w:hyperlink w:anchor="section_50fbe8538b614690ae6ccea5bbec5015">
        <w:r>
          <w:rPr>
            <w:rStyle w:val="Hyperlink"/>
          </w:rPr>
          <w:t>Part Name Syntax</w:t>
        </w:r>
      </w:hyperlink>
      <w:r>
        <w:t xml:space="preserve"> </w:t>
      </w:r>
      <w:r>
        <w:fldChar w:fldCharType="begin"/>
      </w:r>
      <w:r>
        <w:instrText>PAGEREF section_50fbe8538b61</w:instrText>
      </w:r>
      <w:r>
        <w:instrText>4690ae6ccea5bbec5015</w:instrText>
      </w:r>
      <w:r>
        <w:fldChar w:fldCharType="separate"/>
      </w:r>
      <w:r>
        <w:rPr>
          <w:noProof/>
        </w:rPr>
        <w:t>618</w:t>
      </w:r>
      <w:r>
        <w:fldChar w:fldCharType="end"/>
      </w:r>
    </w:p>
    <w:p w:rsidR="00024C0A" w:rsidRDefault="00694C0F">
      <w:pPr>
        <w:pStyle w:val="indexentry0"/>
      </w:pPr>
      <w:r>
        <w:t>Part Summary (</w:t>
      </w:r>
      <w:hyperlink w:anchor="section_c3233670f36446ed8ddf853d74c2bbc1">
        <w:r>
          <w:rPr>
            <w:rStyle w:val="Hyperlink"/>
          </w:rPr>
          <w:t>section 2.1.5</w:t>
        </w:r>
      </w:hyperlink>
      <w:r>
        <w:t xml:space="preserve"> </w:t>
      </w:r>
      <w:r>
        <w:fldChar w:fldCharType="begin"/>
      </w:r>
      <w:r>
        <w:instrText>PAGEREF section_c3233670f36446ed8ddf853d74c2bbc1</w:instrText>
      </w:r>
      <w:r>
        <w:fldChar w:fldCharType="separate"/>
      </w:r>
      <w:r>
        <w:rPr>
          <w:noProof/>
        </w:rPr>
        <w:t>46</w:t>
      </w:r>
      <w:r>
        <w:fldChar w:fldCharType="end"/>
      </w:r>
      <w:r>
        <w:t xml:space="preserve">, </w:t>
      </w:r>
      <w:hyperlink w:anchor="section_559aaaa9dbea49feaeebcd2aeb99f924">
        <w:r>
          <w:rPr>
            <w:rStyle w:val="Hyperlink"/>
          </w:rPr>
          <w:t>section 2.1.6</w:t>
        </w:r>
      </w:hyperlink>
      <w:r>
        <w:t xml:space="preserve"> </w:t>
      </w:r>
      <w:r>
        <w:fldChar w:fldCharType="begin"/>
      </w:r>
      <w:r>
        <w:instrText>PAGEREF sec</w:instrText>
      </w:r>
      <w:r>
        <w:instrText>tion_559aaaa9dbea49feaeebcd2aeb99f924</w:instrText>
      </w:r>
      <w:r>
        <w:fldChar w:fldCharType="separate"/>
      </w:r>
      <w:r>
        <w:rPr>
          <w:noProof/>
        </w:rPr>
        <w:t>47</w:t>
      </w:r>
      <w:r>
        <w:fldChar w:fldCharType="end"/>
      </w:r>
      <w:r>
        <w:t xml:space="preserve">, </w:t>
      </w:r>
      <w:hyperlink w:anchor="section_861755efd1fe4366859cb88bab7810f4">
        <w:r>
          <w:rPr>
            <w:rStyle w:val="Hyperlink"/>
          </w:rPr>
          <w:t>section 2.1.14</w:t>
        </w:r>
      </w:hyperlink>
      <w:r>
        <w:t xml:space="preserve"> </w:t>
      </w:r>
      <w:r>
        <w:fldChar w:fldCharType="begin"/>
      </w:r>
      <w:r>
        <w:instrText>PAGEREF section_861755efd1fe4366859cb88bab7810f4</w:instrText>
      </w:r>
      <w:r>
        <w:fldChar w:fldCharType="separate"/>
      </w:r>
      <w:r>
        <w:rPr>
          <w:noProof/>
        </w:rPr>
        <w:t>49</w:t>
      </w:r>
      <w:r>
        <w:fldChar w:fldCharType="end"/>
      </w:r>
      <w:r>
        <w:t xml:space="preserve">, </w:t>
      </w:r>
      <w:hyperlink w:anchor="section_542685d1b8f8426ba15a6e179e8e8643">
        <w:r>
          <w:rPr>
            <w:rStyle w:val="Hyperlink"/>
          </w:rPr>
          <w:t>section 2.1.27</w:t>
        </w:r>
      </w:hyperlink>
      <w:r>
        <w:t xml:space="preserve"> </w:t>
      </w:r>
      <w:r>
        <w:fldChar w:fldCharType="begin"/>
      </w:r>
      <w:r>
        <w:instrText>PAGER</w:instrText>
      </w:r>
      <w:r>
        <w:instrText>EF section_542685d1b8f8426ba15a6e179e8e8643</w:instrText>
      </w:r>
      <w:r>
        <w:fldChar w:fldCharType="separate"/>
      </w:r>
      <w:r>
        <w:rPr>
          <w:noProof/>
        </w:rPr>
        <w:t>55</w:t>
      </w:r>
      <w:r>
        <w:fldChar w:fldCharType="end"/>
      </w:r>
      <w:r>
        <w:t>)</w:t>
      </w:r>
    </w:p>
    <w:p w:rsidR="00024C0A" w:rsidRDefault="00694C0F">
      <w:pPr>
        <w:pStyle w:val="indexentry0"/>
      </w:pPr>
      <w:r>
        <w:t>path (Shape Path) (</w:t>
      </w:r>
      <w:hyperlink w:anchor="section_767f312ee0f5471cbbd8dc5181a9bda4">
        <w:r>
          <w:rPr>
            <w:rStyle w:val="Hyperlink"/>
          </w:rPr>
          <w:t>section 2.1.1309</w:t>
        </w:r>
      </w:hyperlink>
      <w:r>
        <w:t xml:space="preserve"> </w:t>
      </w:r>
      <w:r>
        <w:fldChar w:fldCharType="begin"/>
      </w:r>
      <w:r>
        <w:instrText>PAGEREF section_767f312ee0f5471cbbd8dc5181a9bda4</w:instrText>
      </w:r>
      <w:r>
        <w:fldChar w:fldCharType="separate"/>
      </w:r>
      <w:r>
        <w:rPr>
          <w:noProof/>
        </w:rPr>
        <w:t>514</w:t>
      </w:r>
      <w:r>
        <w:fldChar w:fldCharType="end"/>
      </w:r>
      <w:r>
        <w:t xml:space="preserve">, </w:t>
      </w:r>
      <w:hyperlink w:anchor="section_eaa61e5c76e94291aac648b1618eb395">
        <w:r>
          <w:rPr>
            <w:rStyle w:val="Hyperlink"/>
          </w:rPr>
          <w:t>section 2.1.1797</w:t>
        </w:r>
      </w:hyperlink>
      <w:r>
        <w:t xml:space="preserve"> </w:t>
      </w:r>
      <w:r>
        <w:fldChar w:fldCharType="begin"/>
      </w:r>
      <w:r>
        <w:instrText>PAGEREF section_eaa61e5c76e94291aac648b1618eb395</w:instrText>
      </w:r>
      <w:r>
        <w:fldChar w:fldCharType="separate"/>
      </w:r>
      <w:r>
        <w:rPr>
          <w:noProof/>
        </w:rPr>
        <w:t>644</w:t>
      </w:r>
      <w:r>
        <w:fldChar w:fldCharType="end"/>
      </w:r>
      <w:r>
        <w:t>)</w:t>
      </w:r>
    </w:p>
    <w:p w:rsidR="00024C0A" w:rsidRDefault="00694C0F">
      <w:pPr>
        <w:pStyle w:val="indexentry0"/>
      </w:pPr>
      <w:hyperlink w:anchor="section_1bef1e6aca8a4f4c9d452a4d84daf079">
        <w:r>
          <w:rPr>
            <w:rStyle w:val="Hyperlink"/>
          </w:rPr>
          <w:t>PEARSON</w:t>
        </w:r>
      </w:hyperlink>
      <w:r>
        <w:t xml:space="preserve"> </w:t>
      </w:r>
      <w:r>
        <w:fldChar w:fldCharType="begin"/>
      </w:r>
      <w:r>
        <w:instrText>PAGEREF section_1bef1e6aca8a4f4c9d452a4d84daf079</w:instrText>
      </w:r>
      <w:r>
        <w:fldChar w:fldCharType="separate"/>
      </w:r>
      <w:r>
        <w:rPr>
          <w:noProof/>
        </w:rPr>
        <w:t>437</w:t>
      </w:r>
      <w:r>
        <w:fldChar w:fldCharType="end"/>
      </w:r>
    </w:p>
    <w:p w:rsidR="00024C0A" w:rsidRDefault="00694C0F">
      <w:pPr>
        <w:pStyle w:val="indexentry0"/>
      </w:pPr>
      <w:hyperlink w:anchor="section_c7d5519620ea494ebc189f54df3eaca6">
        <w:r>
          <w:rPr>
            <w:rStyle w:val="Hyperlink"/>
          </w:rPr>
          <w:t>PERCENTILE</w:t>
        </w:r>
      </w:hyperlink>
      <w:r>
        <w:t xml:space="preserve"> </w:t>
      </w:r>
      <w:r>
        <w:fldChar w:fldCharType="begin"/>
      </w:r>
      <w:r>
        <w:instrText>PAGEREF section_c7d5519620ea494ebc189f54df3eaca6</w:instrText>
      </w:r>
      <w:r>
        <w:fldChar w:fldCharType="separate"/>
      </w:r>
      <w:r>
        <w:rPr>
          <w:noProof/>
        </w:rPr>
        <w:t>438</w:t>
      </w:r>
      <w:r>
        <w:fldChar w:fldCharType="end"/>
      </w:r>
    </w:p>
    <w:p w:rsidR="00024C0A" w:rsidRDefault="00694C0F">
      <w:pPr>
        <w:pStyle w:val="indexentry0"/>
      </w:pPr>
      <w:hyperlink w:anchor="section_ee517e537e4049ca8431f184ad2cd716">
        <w:r>
          <w:rPr>
            <w:rStyle w:val="Hyperlink"/>
          </w:rPr>
          <w:t>PERCENTRANK</w:t>
        </w:r>
      </w:hyperlink>
      <w:r>
        <w:t xml:space="preserve"> </w:t>
      </w:r>
      <w:r>
        <w:fldChar w:fldCharType="begin"/>
      </w:r>
      <w:r>
        <w:instrText>PAGEREF section_ee517e537e4049ca8431f184ad2cd716</w:instrText>
      </w:r>
      <w:r>
        <w:fldChar w:fldCharType="separate"/>
      </w:r>
      <w:r>
        <w:rPr>
          <w:noProof/>
        </w:rPr>
        <w:t>438</w:t>
      </w:r>
      <w:r>
        <w:fldChar w:fldCharType="end"/>
      </w:r>
    </w:p>
    <w:p w:rsidR="00024C0A" w:rsidRDefault="00694C0F">
      <w:pPr>
        <w:pStyle w:val="indexentry0"/>
      </w:pPr>
      <w:hyperlink w:anchor="section_1a9be881a8fa4b3f95461bef22ea3b41">
        <w:r>
          <w:rPr>
            <w:rStyle w:val="Hyperlink"/>
          </w:rPr>
          <w:t>period (Period)</w:t>
        </w:r>
      </w:hyperlink>
      <w:r>
        <w:t xml:space="preserve"> </w:t>
      </w:r>
      <w:r>
        <w:fldChar w:fldCharType="begin"/>
      </w:r>
      <w:r>
        <w:instrText>PAGEREF section_1a9be881a8fa4b3f95461bef22ea3b41</w:instrText>
      </w:r>
      <w:r>
        <w:fldChar w:fldCharType="separate"/>
      </w:r>
      <w:r>
        <w:rPr>
          <w:noProof/>
        </w:rPr>
        <w:t>561</w:t>
      </w:r>
      <w:r>
        <w:fldChar w:fldCharType="end"/>
      </w:r>
    </w:p>
    <w:p w:rsidR="00024C0A" w:rsidRDefault="00694C0F">
      <w:pPr>
        <w:pStyle w:val="indexentry0"/>
      </w:pPr>
      <w:hyperlink w:anchor="section_d3f13602f1564b7f928a9afd1eccafd5">
        <w:r>
          <w:rPr>
            <w:rStyle w:val="Hyperlink"/>
          </w:rPr>
          <w:t>permEnd (Range Permission End)</w:t>
        </w:r>
      </w:hyperlink>
      <w:r>
        <w:t xml:space="preserve"> </w:t>
      </w:r>
      <w:r>
        <w:fldChar w:fldCharType="begin"/>
      </w:r>
      <w:r>
        <w:instrText>PAGEREF section_d3f13602f1564b7</w:instrText>
      </w:r>
      <w:r>
        <w:instrText>f928a9afd1eccafd5</w:instrText>
      </w:r>
      <w:r>
        <w:fldChar w:fldCharType="separate"/>
      </w:r>
      <w:r>
        <w:rPr>
          <w:noProof/>
        </w:rPr>
        <w:t>140</w:t>
      </w:r>
      <w:r>
        <w:fldChar w:fldCharType="end"/>
      </w:r>
    </w:p>
    <w:p w:rsidR="00024C0A" w:rsidRDefault="00694C0F">
      <w:pPr>
        <w:pStyle w:val="indexentry0"/>
      </w:pPr>
      <w:hyperlink w:anchor="section_25f91d1968a2419086112d804a821d10">
        <w:r>
          <w:rPr>
            <w:rStyle w:val="Hyperlink"/>
          </w:rPr>
          <w:t>permStart (Range Permission Start)</w:t>
        </w:r>
      </w:hyperlink>
      <w:r>
        <w:t xml:space="preserve"> </w:t>
      </w:r>
      <w:r>
        <w:fldChar w:fldCharType="begin"/>
      </w:r>
      <w:r>
        <w:instrText>PAGEREF section_25f91d1968a2419086112d804a821d10</w:instrText>
      </w:r>
      <w:r>
        <w:fldChar w:fldCharType="separate"/>
      </w:r>
      <w:r>
        <w:rPr>
          <w:noProof/>
        </w:rPr>
        <w:t>140</w:t>
      </w:r>
      <w:r>
        <w:fldChar w:fldCharType="end"/>
      </w:r>
    </w:p>
    <w:p w:rsidR="00024C0A" w:rsidRDefault="00694C0F">
      <w:pPr>
        <w:pStyle w:val="indexentry0"/>
      </w:pPr>
      <w:hyperlink w:anchor="section_c631f4afc4c64edd9bc0608602943ea2">
        <w:r>
          <w:rPr>
            <w:rStyle w:val="Hyperlink"/>
          </w:rPr>
          <w:t>Person (Person)</w:t>
        </w:r>
      </w:hyperlink>
      <w:r>
        <w:t xml:space="preserve"> </w:t>
      </w:r>
      <w:r>
        <w:fldChar w:fldCharType="begin"/>
      </w:r>
      <w:r>
        <w:instrText>PAGERE</w:instrText>
      </w:r>
      <w:r>
        <w:instrText>F section_c631f4afc4c64edd9bc0608602943ea2</w:instrText>
      </w:r>
      <w:r>
        <w:fldChar w:fldCharType="separate"/>
      </w:r>
      <w:r>
        <w:rPr>
          <w:noProof/>
        </w:rPr>
        <w:t>609</w:t>
      </w:r>
      <w:r>
        <w:fldChar w:fldCharType="end"/>
      </w:r>
    </w:p>
    <w:p w:rsidR="00024C0A" w:rsidRDefault="00694C0F">
      <w:pPr>
        <w:pStyle w:val="indexentry0"/>
      </w:pPr>
      <w:hyperlink w:anchor="section_8214eaf1a8b14e1a99543a5068b6d3ce">
        <w:r>
          <w:rPr>
            <w:rStyle w:val="Hyperlink"/>
          </w:rPr>
          <w:t>personal (E-Mail Message Text Style)</w:t>
        </w:r>
      </w:hyperlink>
      <w:r>
        <w:t xml:space="preserve"> </w:t>
      </w:r>
      <w:r>
        <w:fldChar w:fldCharType="begin"/>
      </w:r>
      <w:r>
        <w:instrText>PAGEREF section_8214eaf1a8b14e1a99543a5068b6d3ce</w:instrText>
      </w:r>
      <w:r>
        <w:fldChar w:fldCharType="separate"/>
      </w:r>
      <w:r>
        <w:rPr>
          <w:noProof/>
        </w:rPr>
        <w:t>115</w:t>
      </w:r>
      <w:r>
        <w:fldChar w:fldCharType="end"/>
      </w:r>
    </w:p>
    <w:p w:rsidR="00024C0A" w:rsidRDefault="00694C0F">
      <w:pPr>
        <w:pStyle w:val="indexentry0"/>
      </w:pPr>
      <w:hyperlink w:anchor="section_ed224d8374a34499ac0b58e27f0f8474">
        <w:r>
          <w:rPr>
            <w:rStyle w:val="Hyperlink"/>
          </w:rPr>
          <w:t>personalCompose (E-Mail Message Composition Style)</w:t>
        </w:r>
      </w:hyperlink>
      <w:r>
        <w:t xml:space="preserve"> </w:t>
      </w:r>
      <w:r>
        <w:fldChar w:fldCharType="begin"/>
      </w:r>
      <w:r>
        <w:instrText>PAGEREF section_ed224d8374a34499ac0b58e27f0f8474</w:instrText>
      </w:r>
      <w:r>
        <w:fldChar w:fldCharType="separate"/>
      </w:r>
      <w:r>
        <w:rPr>
          <w:noProof/>
        </w:rPr>
        <w:t>115</w:t>
      </w:r>
      <w:r>
        <w:fldChar w:fldCharType="end"/>
      </w:r>
    </w:p>
    <w:p w:rsidR="00024C0A" w:rsidRDefault="00694C0F">
      <w:pPr>
        <w:pStyle w:val="indexentry0"/>
      </w:pPr>
      <w:hyperlink w:anchor="section_a0c391fe1c0e40a3b97dfb9edcb61a83">
        <w:r>
          <w:rPr>
            <w:rStyle w:val="Hyperlink"/>
          </w:rPr>
          <w:t>personalReply (E-Mail Message Reply Style)</w:t>
        </w:r>
      </w:hyperlink>
      <w:r>
        <w:t xml:space="preserve"> </w:t>
      </w:r>
      <w:r>
        <w:fldChar w:fldCharType="begin"/>
      </w:r>
      <w:r>
        <w:instrText>PAGEREF section_a0c391fe1c0e40a3b97dfb9edc</w:instrText>
      </w:r>
      <w:r>
        <w:instrText>b61a83</w:instrText>
      </w:r>
      <w:r>
        <w:fldChar w:fldCharType="separate"/>
      </w:r>
      <w:r>
        <w:rPr>
          <w:noProof/>
        </w:rPr>
        <w:t>116</w:t>
      </w:r>
      <w:r>
        <w:fldChar w:fldCharType="end"/>
      </w:r>
    </w:p>
    <w:p w:rsidR="00024C0A" w:rsidRDefault="00694C0F">
      <w:pPr>
        <w:pStyle w:val="indexentry0"/>
      </w:pPr>
      <w:hyperlink w:anchor="section_6aa1047e4bc04a228292385d1f45a437">
        <w:r>
          <w:rPr>
            <w:rStyle w:val="Hyperlink"/>
          </w:rPr>
          <w:t>perspective (Perspective)</w:t>
        </w:r>
      </w:hyperlink>
      <w:r>
        <w:t xml:space="preserve"> </w:t>
      </w:r>
      <w:r>
        <w:fldChar w:fldCharType="begin"/>
      </w:r>
      <w:r>
        <w:instrText>PAGEREF section_6aa1047e4bc04a228292385d1f45a437</w:instrText>
      </w:r>
      <w:r>
        <w:fldChar w:fldCharType="separate"/>
      </w:r>
      <w:r>
        <w:rPr>
          <w:noProof/>
        </w:rPr>
        <w:t>561</w:t>
      </w:r>
      <w:r>
        <w:fldChar w:fldCharType="end"/>
      </w:r>
    </w:p>
    <w:p w:rsidR="00024C0A" w:rsidRDefault="00694C0F">
      <w:pPr>
        <w:pStyle w:val="indexentry0"/>
      </w:pPr>
      <w:hyperlink w:anchor="section_5307147fa81a42d2b84c3a2b50576876">
        <w:r>
          <w:rPr>
            <w:rStyle w:val="Hyperlink"/>
          </w:rPr>
          <w:t>pgBorders (Page Borders)</w:t>
        </w:r>
      </w:hyperlink>
      <w:r>
        <w:t xml:space="preserve"> </w:t>
      </w:r>
      <w:r>
        <w:fldChar w:fldCharType="begin"/>
      </w:r>
      <w:r>
        <w:instrText>PAGEREF section_5</w:instrText>
      </w:r>
      <w:r>
        <w:instrText>307147fa81a42d2b84c3a2b50576876</w:instrText>
      </w:r>
      <w:r>
        <w:fldChar w:fldCharType="separate"/>
      </w:r>
      <w:r>
        <w:rPr>
          <w:noProof/>
        </w:rPr>
        <w:t>102</w:t>
      </w:r>
      <w:r>
        <w:fldChar w:fldCharType="end"/>
      </w:r>
    </w:p>
    <w:p w:rsidR="00024C0A" w:rsidRDefault="00694C0F">
      <w:pPr>
        <w:pStyle w:val="indexentry0"/>
      </w:pPr>
      <w:hyperlink w:anchor="section_c13857a66aa54b53a2a8a8498e62085b">
        <w:r>
          <w:rPr>
            <w:rStyle w:val="Hyperlink"/>
          </w:rPr>
          <w:t>pgMar (Page Margins)</w:t>
        </w:r>
      </w:hyperlink>
      <w:r>
        <w:t xml:space="preserve"> </w:t>
      </w:r>
      <w:r>
        <w:fldChar w:fldCharType="begin"/>
      </w:r>
      <w:r>
        <w:instrText>PAGEREF section_c13857a66aa54b53a2a8a8498e62085b</w:instrText>
      </w:r>
      <w:r>
        <w:fldChar w:fldCharType="separate"/>
      </w:r>
      <w:r>
        <w:rPr>
          <w:noProof/>
        </w:rPr>
        <w:t>102</w:t>
      </w:r>
      <w:r>
        <w:fldChar w:fldCharType="end"/>
      </w:r>
    </w:p>
    <w:p w:rsidR="00024C0A" w:rsidRDefault="00694C0F">
      <w:pPr>
        <w:pStyle w:val="indexentry0"/>
      </w:pPr>
      <w:hyperlink w:anchor="section_a3bbd1887d1e400c9ea71d8f96eb62c4">
        <w:r>
          <w:rPr>
            <w:rStyle w:val="Hyperlink"/>
          </w:rPr>
          <w:t>pgNumType (Page Numbering Settings)</w:t>
        </w:r>
      </w:hyperlink>
      <w:r>
        <w:t xml:space="preserve"> </w:t>
      </w:r>
      <w:r>
        <w:fldChar w:fldCharType="begin"/>
      </w:r>
      <w:r>
        <w:instrText>PAGEREF section_a3bbd1887d1e400c9ea71d8f96eb62c4</w:instrText>
      </w:r>
      <w:r>
        <w:fldChar w:fldCharType="separate"/>
      </w:r>
      <w:r>
        <w:rPr>
          <w:noProof/>
        </w:rPr>
        <w:t>102</w:t>
      </w:r>
      <w:r>
        <w:fldChar w:fldCharType="end"/>
      </w:r>
    </w:p>
    <w:p w:rsidR="00024C0A" w:rsidRDefault="00694C0F">
      <w:pPr>
        <w:pStyle w:val="indexentry0"/>
      </w:pPr>
      <w:hyperlink w:anchor="section_e701752006b4438f97d23e49f247ca9f">
        <w:r>
          <w:rPr>
            <w:rStyle w:val="Hyperlink"/>
          </w:rPr>
          <w:t>pgSz (Page Size)</w:t>
        </w:r>
      </w:hyperlink>
      <w:r>
        <w:t xml:space="preserve"> </w:t>
      </w:r>
      <w:r>
        <w:fldChar w:fldCharType="begin"/>
      </w:r>
      <w:r>
        <w:instrText>PAGEREF section_e701752006b4438f97d23e49f247ca9f</w:instrText>
      </w:r>
      <w:r>
        <w:fldChar w:fldCharType="separate"/>
      </w:r>
      <w:r>
        <w:rPr>
          <w:noProof/>
        </w:rPr>
        <w:t>103</w:t>
      </w:r>
      <w:r>
        <w:fldChar w:fldCharType="end"/>
      </w:r>
    </w:p>
    <w:p w:rsidR="00024C0A" w:rsidRDefault="00694C0F">
      <w:pPr>
        <w:pStyle w:val="indexentry0"/>
      </w:pPr>
      <w:hyperlink w:anchor="section_3ec954b237a641da897304a592c91fb2">
        <w:r>
          <w:rPr>
            <w:rStyle w:val="Hyperlink"/>
          </w:rPr>
          <w:t>ph (Placeholder Shape)</w:t>
        </w:r>
      </w:hyperlink>
      <w:r>
        <w:t xml:space="preserve"> </w:t>
      </w:r>
      <w:r>
        <w:fldChar w:fldCharType="begin"/>
      </w:r>
      <w:r>
        <w:instrText>PAGEREF section_3ec954b237a641da897304a592c91fb2</w:instrText>
      </w:r>
      <w:r>
        <w:fldChar w:fldCharType="separate"/>
      </w:r>
      <w:r>
        <w:rPr>
          <w:noProof/>
        </w:rPr>
        <w:t>467</w:t>
      </w:r>
      <w:r>
        <w:fldChar w:fldCharType="end"/>
      </w:r>
    </w:p>
    <w:p w:rsidR="00024C0A" w:rsidRDefault="00694C0F">
      <w:pPr>
        <w:pStyle w:val="indexentry0"/>
      </w:pPr>
      <w:hyperlink w:anchor="section_74064828dc594db8a64240356809ec71">
        <w:r>
          <w:rPr>
            <w:rStyle w:val="Hyperlink"/>
          </w:rPr>
          <w:t>phant (Phantom Object)</w:t>
        </w:r>
      </w:hyperlink>
      <w:r>
        <w:t xml:space="preserve"> </w:t>
      </w:r>
      <w:r>
        <w:fldChar w:fldCharType="begin"/>
      </w:r>
      <w:r>
        <w:instrText>PAGEREF section_74064828dc594db8a64240356809ec71</w:instrText>
      </w:r>
      <w:r>
        <w:fldChar w:fldCharType="separate"/>
      </w:r>
      <w:r>
        <w:rPr>
          <w:noProof/>
        </w:rPr>
        <w:t>597</w:t>
      </w:r>
      <w:r>
        <w:fldChar w:fldCharType="end"/>
      </w:r>
    </w:p>
    <w:p w:rsidR="00024C0A" w:rsidRDefault="00694C0F">
      <w:pPr>
        <w:pStyle w:val="indexentry0"/>
      </w:pPr>
      <w:hyperlink w:anchor="section_90eb53d6da854c0280cf509eeec5124a">
        <w:r>
          <w:rPr>
            <w:rStyle w:val="Hyperlink"/>
          </w:rPr>
          <w:t>phoneticPr (Phonetic Properties)</w:t>
        </w:r>
      </w:hyperlink>
      <w:r>
        <w:t xml:space="preserve"> </w:t>
      </w:r>
      <w:r>
        <w:fldChar w:fldCharType="begin"/>
      </w:r>
      <w:r>
        <w:instrText>PAGEREF section_90eb53d6da854c0280cf509eeec5124a</w:instrText>
      </w:r>
      <w:r>
        <w:fldChar w:fldCharType="separate"/>
      </w:r>
      <w:r>
        <w:rPr>
          <w:noProof/>
        </w:rPr>
        <w:t>288</w:t>
      </w:r>
      <w:r>
        <w:fldChar w:fldCharType="end"/>
      </w:r>
    </w:p>
    <w:p w:rsidR="00024C0A" w:rsidRDefault="00694C0F">
      <w:pPr>
        <w:pStyle w:val="indexentry0"/>
      </w:pPr>
      <w:hyperlink w:anchor="section_e80b4fafba5943169c8e0bb6dddcf9f9">
        <w:r>
          <w:rPr>
            <w:rStyle w:val="Hyperlink"/>
          </w:rPr>
          <w:t>photoAlbum (Photo Album Information)</w:t>
        </w:r>
      </w:hyperlink>
      <w:r>
        <w:t xml:space="preserve"> </w:t>
      </w:r>
      <w:r>
        <w:fldChar w:fldCharType="begin"/>
      </w:r>
      <w:r>
        <w:instrText xml:space="preserve">PAGEREF </w:instrText>
      </w:r>
      <w:r>
        <w:instrText>section_e80b4fafba5943169c8e0bb6dddcf9f9</w:instrText>
      </w:r>
      <w:r>
        <w:fldChar w:fldCharType="separate"/>
      </w:r>
      <w:r>
        <w:rPr>
          <w:noProof/>
        </w:rPr>
        <w:t>463</w:t>
      </w:r>
      <w:r>
        <w:fldChar w:fldCharType="end"/>
      </w:r>
    </w:p>
    <w:p w:rsidR="00024C0A" w:rsidRDefault="00694C0F">
      <w:pPr>
        <w:pStyle w:val="indexentry0"/>
      </w:pPr>
      <w:r>
        <w:t>pic (Picture) (</w:t>
      </w:r>
      <w:hyperlink w:anchor="section_40e963da7d5241599f8632ae4a5576e4">
        <w:r>
          <w:rPr>
            <w:rStyle w:val="Hyperlink"/>
          </w:rPr>
          <w:t>section 2.1.1362</w:t>
        </w:r>
      </w:hyperlink>
      <w:r>
        <w:t xml:space="preserve"> </w:t>
      </w:r>
      <w:r>
        <w:fldChar w:fldCharType="begin"/>
      </w:r>
      <w:r>
        <w:instrText>PAGEREF section_40e963da7d5241599f8632ae4a5576e4</w:instrText>
      </w:r>
      <w:r>
        <w:fldChar w:fldCharType="separate"/>
      </w:r>
      <w:r>
        <w:rPr>
          <w:noProof/>
        </w:rPr>
        <w:t>524</w:t>
      </w:r>
      <w:r>
        <w:fldChar w:fldCharType="end"/>
      </w:r>
      <w:r>
        <w:t xml:space="preserve">, </w:t>
      </w:r>
      <w:hyperlink w:anchor="section_7b4add6c9a8b4db2ad3c60b251768118">
        <w:r>
          <w:rPr>
            <w:rStyle w:val="Hyperlink"/>
          </w:rPr>
          <w:t>sec</w:t>
        </w:r>
        <w:r>
          <w:rPr>
            <w:rStyle w:val="Hyperlink"/>
          </w:rPr>
          <w:t>tion 2.1.1601</w:t>
        </w:r>
      </w:hyperlink>
      <w:r>
        <w:t xml:space="preserve"> </w:t>
      </w:r>
      <w:r>
        <w:fldChar w:fldCharType="begin"/>
      </w:r>
      <w:r>
        <w:instrText>PAGEREF section_7b4add6c9a8b4db2ad3c60b251768118</w:instrText>
      </w:r>
      <w:r>
        <w:fldChar w:fldCharType="separate"/>
      </w:r>
      <w:r>
        <w:rPr>
          <w:noProof/>
        </w:rPr>
        <w:t>578</w:t>
      </w:r>
      <w:r>
        <w:fldChar w:fldCharType="end"/>
      </w:r>
      <w:r>
        <w:t>)</w:t>
      </w:r>
    </w:p>
    <w:p w:rsidR="00024C0A" w:rsidRDefault="00694C0F">
      <w:pPr>
        <w:pStyle w:val="indexentry0"/>
      </w:pPr>
      <w:hyperlink w:anchor="section_57e0125f979847efbc6e53ffae4f6c28">
        <w:r>
          <w:rPr>
            <w:rStyle w:val="Hyperlink"/>
          </w:rPr>
          <w:t>picLocks (Picture Locks)</w:t>
        </w:r>
      </w:hyperlink>
      <w:r>
        <w:t xml:space="preserve"> </w:t>
      </w:r>
      <w:r>
        <w:fldChar w:fldCharType="begin"/>
      </w:r>
      <w:r>
        <w:instrText>PAGEREF section_57e0125f979847efbc6e53ffae4f6c28</w:instrText>
      </w:r>
      <w:r>
        <w:fldChar w:fldCharType="separate"/>
      </w:r>
      <w:r>
        <w:rPr>
          <w:noProof/>
        </w:rPr>
        <w:t>497</w:t>
      </w:r>
      <w:r>
        <w:fldChar w:fldCharType="end"/>
      </w:r>
    </w:p>
    <w:p w:rsidR="00024C0A" w:rsidRDefault="00694C0F">
      <w:pPr>
        <w:pStyle w:val="indexentry0"/>
      </w:pPr>
      <w:hyperlink w:anchor="section_48d0ff08ee0344979165e3416d733d48">
        <w:r>
          <w:rPr>
            <w:rStyle w:val="Hyperlink"/>
          </w:rPr>
          <w:t>pict (Picture Numbering Symbol Properties)</w:t>
        </w:r>
      </w:hyperlink>
      <w:r>
        <w:t xml:space="preserve"> </w:t>
      </w:r>
      <w:r>
        <w:fldChar w:fldCharType="begin"/>
      </w:r>
      <w:r>
        <w:instrText>PAGEREF section_48d0ff08ee0344979165e3416d733d48</w:instrText>
      </w:r>
      <w:r>
        <w:fldChar w:fldCharType="separate"/>
      </w:r>
      <w:r>
        <w:rPr>
          <w:noProof/>
        </w:rPr>
        <w:t>621</w:t>
      </w:r>
      <w:r>
        <w:fldChar w:fldCharType="end"/>
      </w:r>
    </w:p>
    <w:p w:rsidR="00024C0A" w:rsidRDefault="00694C0F">
      <w:pPr>
        <w:pStyle w:val="indexentry0"/>
      </w:pPr>
      <w:hyperlink w:anchor="section_fe001c421c534ef1ba7fddc9fa651a5d">
        <w:r>
          <w:rPr>
            <w:rStyle w:val="Hyperlink"/>
          </w:rPr>
          <w:t>pict (VML Object)</w:t>
        </w:r>
      </w:hyperlink>
      <w:r>
        <w:t xml:space="preserve"> </w:t>
      </w:r>
      <w:r>
        <w:fldChar w:fldCharType="begin"/>
      </w:r>
      <w:r>
        <w:instrText>PAGEREF section_fe001c421c534ef1ba7fddc9fa651a5d</w:instrText>
      </w:r>
      <w:r>
        <w:fldChar w:fldCharType="separate"/>
      </w:r>
      <w:r>
        <w:rPr>
          <w:noProof/>
        </w:rPr>
        <w:t>620</w:t>
      </w:r>
      <w:r>
        <w:fldChar w:fldCharType="end"/>
      </w:r>
    </w:p>
    <w:p w:rsidR="00024C0A" w:rsidRDefault="00694C0F">
      <w:pPr>
        <w:pStyle w:val="indexentry0"/>
      </w:pPr>
      <w:hyperlink w:anchor="section_5499d4e25dcc4a22ab780ea8a5bb50ee">
        <w:r>
          <w:rPr>
            <w:rStyle w:val="Hyperlink"/>
          </w:rPr>
          <w:t>picture (Standard COM Picture Object)</w:t>
        </w:r>
      </w:hyperlink>
      <w:r>
        <w:t xml:space="preserve"> </w:t>
      </w:r>
      <w:r>
        <w:fldChar w:fldCharType="begin"/>
      </w:r>
      <w:r>
        <w:instrText>PAGEREF section_5499d4e25dcc4a22ab780ea8a5bb50ee</w:instrText>
      </w:r>
      <w:r>
        <w:fldChar w:fldCharType="separate"/>
      </w:r>
      <w:r>
        <w:rPr>
          <w:noProof/>
        </w:rPr>
        <w:t>874</w:t>
      </w:r>
      <w:r>
        <w:fldChar w:fldCharType="end"/>
      </w:r>
    </w:p>
    <w:p w:rsidR="00024C0A" w:rsidRDefault="00694C0F">
      <w:pPr>
        <w:pStyle w:val="indexentry0"/>
      </w:pPr>
      <w:hyperlink w:anchor="section_49556f620f364dc08a71075a46b62142">
        <w:r>
          <w:rPr>
            <w:rStyle w:val="Hyperlink"/>
          </w:rPr>
          <w:t>pictureOptions (Picture Options)</w:t>
        </w:r>
      </w:hyperlink>
      <w:r>
        <w:t xml:space="preserve"> </w:t>
      </w:r>
      <w:r>
        <w:fldChar w:fldCharType="begin"/>
      </w:r>
      <w:r>
        <w:instrText>PAGEREF</w:instrText>
      </w:r>
      <w:r>
        <w:instrText xml:space="preserve"> section_49556f620f364dc08a71075a46b62142</w:instrText>
      </w:r>
      <w:r>
        <w:fldChar w:fldCharType="separate"/>
      </w:r>
      <w:r>
        <w:rPr>
          <w:noProof/>
        </w:rPr>
        <w:t>561</w:t>
      </w:r>
      <w:r>
        <w:fldChar w:fldCharType="end"/>
      </w:r>
    </w:p>
    <w:p w:rsidR="00024C0A" w:rsidRDefault="00694C0F">
      <w:pPr>
        <w:pStyle w:val="indexentry0"/>
      </w:pPr>
      <w:hyperlink w:anchor="section_06c618921ab34e35a09dee70b3a3c704">
        <w:r>
          <w:rPr>
            <w:rStyle w:val="Hyperlink"/>
          </w:rPr>
          <w:t>pie3DChart (3D Pie Charts)</w:t>
        </w:r>
      </w:hyperlink>
      <w:r>
        <w:t xml:space="preserve"> </w:t>
      </w:r>
      <w:r>
        <w:fldChar w:fldCharType="begin"/>
      </w:r>
      <w:r>
        <w:instrText>PAGEREF section_06c618921ab34e35a09dee70b3a3c704</w:instrText>
      </w:r>
      <w:r>
        <w:fldChar w:fldCharType="separate"/>
      </w:r>
      <w:r>
        <w:rPr>
          <w:noProof/>
        </w:rPr>
        <w:t>561</w:t>
      </w:r>
      <w:r>
        <w:fldChar w:fldCharType="end"/>
      </w:r>
    </w:p>
    <w:p w:rsidR="00024C0A" w:rsidRDefault="00694C0F">
      <w:pPr>
        <w:pStyle w:val="indexentry0"/>
      </w:pPr>
      <w:hyperlink w:anchor="section_f2797eb13b5e4a40be3e344faa60f3dc">
        <w:r>
          <w:rPr>
            <w:rStyle w:val="Hyperlink"/>
          </w:rPr>
          <w:t>pieChart</w:t>
        </w:r>
        <w:r>
          <w:rPr>
            <w:rStyle w:val="Hyperlink"/>
          </w:rPr>
          <w:t xml:space="preserve"> (Pie Charts)</w:t>
        </w:r>
      </w:hyperlink>
      <w:r>
        <w:t xml:space="preserve"> </w:t>
      </w:r>
      <w:r>
        <w:fldChar w:fldCharType="begin"/>
      </w:r>
      <w:r>
        <w:instrText>PAGEREF section_f2797eb13b5e4a40be3e344faa60f3dc</w:instrText>
      </w:r>
      <w:r>
        <w:fldChar w:fldCharType="separate"/>
      </w:r>
      <w:r>
        <w:rPr>
          <w:noProof/>
        </w:rPr>
        <w:t>562</w:t>
      </w:r>
      <w:r>
        <w:fldChar w:fldCharType="end"/>
      </w:r>
    </w:p>
    <w:p w:rsidR="00024C0A" w:rsidRDefault="00694C0F">
      <w:pPr>
        <w:pStyle w:val="indexentry0"/>
      </w:pPr>
      <w:hyperlink w:anchor="section_108821f5262d491b87a2d6861913882e">
        <w:r>
          <w:rPr>
            <w:rStyle w:val="Hyperlink"/>
          </w:rPr>
          <w:t>pitch (Font Pitch)</w:t>
        </w:r>
      </w:hyperlink>
      <w:r>
        <w:t xml:space="preserve"> </w:t>
      </w:r>
      <w:r>
        <w:fldChar w:fldCharType="begin"/>
      </w:r>
      <w:r>
        <w:instrText>PAGEREF section_108821f5262d491b87a2d6861913882e</w:instrText>
      </w:r>
      <w:r>
        <w:fldChar w:fldCharType="separate"/>
      </w:r>
      <w:r>
        <w:rPr>
          <w:noProof/>
        </w:rPr>
        <w:t>122</w:t>
      </w:r>
      <w:r>
        <w:fldChar w:fldCharType="end"/>
      </w:r>
    </w:p>
    <w:p w:rsidR="00024C0A" w:rsidRDefault="00694C0F">
      <w:pPr>
        <w:pStyle w:val="indexentry0"/>
      </w:pPr>
      <w:hyperlink w:anchor="section_b23ed080d4e143a58259332e1bf85d08">
        <w:r>
          <w:rPr>
            <w:rStyle w:val="Hyperlink"/>
          </w:rPr>
          <w:t>Pivot Formulas</w:t>
        </w:r>
      </w:hyperlink>
      <w:r>
        <w:t xml:space="preserve"> </w:t>
      </w:r>
      <w:r>
        <w:fldChar w:fldCharType="begin"/>
      </w:r>
      <w:r>
        <w:instrText>PAGEREF section_b23ed080d4e143a58259332e1bf85d08</w:instrText>
      </w:r>
      <w:r>
        <w:fldChar w:fldCharType="separate"/>
      </w:r>
      <w:r>
        <w:rPr>
          <w:noProof/>
        </w:rPr>
        <w:t>840</w:t>
      </w:r>
      <w:r>
        <w:fldChar w:fldCharType="end"/>
      </w:r>
    </w:p>
    <w:p w:rsidR="00024C0A" w:rsidRDefault="00694C0F">
      <w:pPr>
        <w:pStyle w:val="indexentry0"/>
      </w:pPr>
      <w:hyperlink w:anchor="section_0258cf3b6fa44c229af13f8983d3a381">
        <w:r>
          <w:rPr>
            <w:rStyle w:val="Hyperlink"/>
          </w:rPr>
          <w:t>pivotArea (Pivot Area)</w:t>
        </w:r>
      </w:hyperlink>
      <w:r>
        <w:t xml:space="preserve"> </w:t>
      </w:r>
      <w:r>
        <w:fldChar w:fldCharType="begin"/>
      </w:r>
      <w:r>
        <w:instrText>PAGEREF section_0258cf3b6fa44c229af13f8983d3a381</w:instrText>
      </w:r>
      <w:r>
        <w:fldChar w:fldCharType="separate"/>
      </w:r>
      <w:r>
        <w:rPr>
          <w:noProof/>
        </w:rPr>
        <w:t>275</w:t>
      </w:r>
      <w:r>
        <w:fldChar w:fldCharType="end"/>
      </w:r>
    </w:p>
    <w:p w:rsidR="00024C0A" w:rsidRDefault="00694C0F">
      <w:pPr>
        <w:pStyle w:val="indexentry0"/>
      </w:pPr>
      <w:hyperlink w:anchor="section_e51aae59add04998811379ab9f8c9a4d">
        <w:r>
          <w:rPr>
            <w:rStyle w:val="Hyperlink"/>
          </w:rPr>
          <w:t>pivotCacheDefinition (PivotCache Definition)</w:t>
        </w:r>
      </w:hyperlink>
      <w:r>
        <w:t xml:space="preserve"> </w:t>
      </w:r>
      <w:r>
        <w:fldChar w:fldCharType="begin"/>
      </w:r>
      <w:r>
        <w:instrText>PAGEREF section_e51aae59add04998811379ab9f8c9a4d</w:instrText>
      </w:r>
      <w:r>
        <w:fldChar w:fldCharType="separate"/>
      </w:r>
      <w:r>
        <w:rPr>
          <w:noProof/>
        </w:rPr>
        <w:t>344</w:t>
      </w:r>
      <w:r>
        <w:fldChar w:fldCharType="end"/>
      </w:r>
    </w:p>
    <w:p w:rsidR="00024C0A" w:rsidRDefault="00694C0F">
      <w:pPr>
        <w:pStyle w:val="indexentry0"/>
      </w:pPr>
      <w:hyperlink w:anchor="section_991b9d727f544454ac7801c6f4e5249b">
        <w:r>
          <w:rPr>
            <w:rStyle w:val="Hyperlink"/>
          </w:rPr>
          <w:t>pivotField (PivotTable Field)</w:t>
        </w:r>
      </w:hyperlink>
      <w:r>
        <w:t xml:space="preserve"> </w:t>
      </w:r>
      <w:r>
        <w:fldChar w:fldCharType="begin"/>
      </w:r>
      <w:r>
        <w:instrText>PAGEREF section_991b9d727f544454ac7801c6f4e52</w:instrText>
      </w:r>
      <w:r>
        <w:instrText>49b</w:instrText>
      </w:r>
      <w:r>
        <w:fldChar w:fldCharType="separate"/>
      </w:r>
      <w:r>
        <w:rPr>
          <w:noProof/>
        </w:rPr>
        <w:t>345</w:t>
      </w:r>
      <w:r>
        <w:fldChar w:fldCharType="end"/>
      </w:r>
    </w:p>
    <w:p w:rsidR="00024C0A" w:rsidRDefault="00694C0F">
      <w:pPr>
        <w:pStyle w:val="indexentry0"/>
      </w:pPr>
      <w:hyperlink w:anchor="section_5f2cb624bb19425584b50ccc3694063f">
        <w:r>
          <w:rPr>
            <w:rStyle w:val="Hyperlink"/>
          </w:rPr>
          <w:t>pivotFields (PivotTable Fields)</w:t>
        </w:r>
      </w:hyperlink>
      <w:r>
        <w:t xml:space="preserve"> </w:t>
      </w:r>
      <w:r>
        <w:fldChar w:fldCharType="begin"/>
      </w:r>
      <w:r>
        <w:instrText>PAGEREF section_5f2cb624bb19425584b50ccc3694063f</w:instrText>
      </w:r>
      <w:r>
        <w:fldChar w:fldCharType="separate"/>
      </w:r>
      <w:r>
        <w:rPr>
          <w:noProof/>
        </w:rPr>
        <w:t>349</w:t>
      </w:r>
      <w:r>
        <w:fldChar w:fldCharType="end"/>
      </w:r>
    </w:p>
    <w:p w:rsidR="00024C0A" w:rsidRDefault="00694C0F">
      <w:pPr>
        <w:pStyle w:val="indexentry0"/>
      </w:pPr>
      <w:hyperlink w:anchor="section_c670152e08494bcf962e35ea83fc42de">
        <w:r>
          <w:rPr>
            <w:rStyle w:val="Hyperlink"/>
          </w:rPr>
          <w:t>pivotFmt (Pivot Format)</w:t>
        </w:r>
      </w:hyperlink>
      <w:r>
        <w:t xml:space="preserve"> </w:t>
      </w:r>
      <w:r>
        <w:fldChar w:fldCharType="begin"/>
      </w:r>
      <w:r>
        <w:instrText>PAGEREF section_c670152e08494bcf962e35ea83fc42de</w:instrText>
      </w:r>
      <w:r>
        <w:fldChar w:fldCharType="separate"/>
      </w:r>
      <w:r>
        <w:rPr>
          <w:noProof/>
        </w:rPr>
        <w:t>562</w:t>
      </w:r>
      <w:r>
        <w:fldChar w:fldCharType="end"/>
      </w:r>
    </w:p>
    <w:p w:rsidR="00024C0A" w:rsidRDefault="00694C0F">
      <w:pPr>
        <w:pStyle w:val="indexentry0"/>
      </w:pPr>
      <w:hyperlink w:anchor="section_07298e0eed82488f9575e43bc37b2fd3">
        <w:r>
          <w:rPr>
            <w:rStyle w:val="Hyperlink"/>
          </w:rPr>
          <w:t>pivotFmts (Pivot Formats)</w:t>
        </w:r>
      </w:hyperlink>
      <w:r>
        <w:t xml:space="preserve"> </w:t>
      </w:r>
      <w:r>
        <w:fldChar w:fldCharType="begin"/>
      </w:r>
      <w:r>
        <w:instrText>PAGEREF section_07298e0eed82488f9575e43bc37b2fd3</w:instrText>
      </w:r>
      <w:r>
        <w:fldChar w:fldCharType="separate"/>
      </w:r>
      <w:r>
        <w:rPr>
          <w:noProof/>
        </w:rPr>
        <w:t>562</w:t>
      </w:r>
      <w:r>
        <w:fldChar w:fldCharType="end"/>
      </w:r>
    </w:p>
    <w:p w:rsidR="00024C0A" w:rsidRDefault="00694C0F">
      <w:pPr>
        <w:pStyle w:val="indexentry0"/>
      </w:pPr>
      <w:hyperlink w:anchor="section_7deb007e8c6e420a8c1f12c46f901bad">
        <w:r>
          <w:rPr>
            <w:rStyle w:val="Hyperlink"/>
          </w:rPr>
          <w:t>pi</w:t>
        </w:r>
        <w:r>
          <w:rPr>
            <w:rStyle w:val="Hyperlink"/>
          </w:rPr>
          <w:t>votHierarchies (PivotTable OLAP Hierarchies)</w:t>
        </w:r>
      </w:hyperlink>
      <w:r>
        <w:t xml:space="preserve"> </w:t>
      </w:r>
      <w:r>
        <w:fldChar w:fldCharType="begin"/>
      </w:r>
      <w:r>
        <w:instrText>PAGEREF section_7deb007e8c6e420a8c1f12c46f901bad</w:instrText>
      </w:r>
      <w:r>
        <w:fldChar w:fldCharType="separate"/>
      </w:r>
      <w:r>
        <w:rPr>
          <w:noProof/>
        </w:rPr>
        <w:t>349</w:t>
      </w:r>
      <w:r>
        <w:fldChar w:fldCharType="end"/>
      </w:r>
    </w:p>
    <w:p w:rsidR="00024C0A" w:rsidRDefault="00694C0F">
      <w:pPr>
        <w:pStyle w:val="indexentry0"/>
      </w:pPr>
      <w:hyperlink w:anchor="section_70f0f8e6ea974c19a60c296040c6245b">
        <w:r>
          <w:rPr>
            <w:rStyle w:val="Hyperlink"/>
          </w:rPr>
          <w:t>pivotHierarchy (OLAP Hierarchy)</w:t>
        </w:r>
      </w:hyperlink>
      <w:r>
        <w:t xml:space="preserve"> </w:t>
      </w:r>
      <w:r>
        <w:fldChar w:fldCharType="begin"/>
      </w:r>
      <w:r>
        <w:instrText>PAGEREF section_70f0f8e6ea974c19a60c296040c6245b</w:instrText>
      </w:r>
      <w:r>
        <w:fldChar w:fldCharType="separate"/>
      </w:r>
      <w:r>
        <w:rPr>
          <w:noProof/>
        </w:rPr>
        <w:t>349</w:t>
      </w:r>
      <w:r>
        <w:fldChar w:fldCharType="end"/>
      </w:r>
    </w:p>
    <w:p w:rsidR="00024C0A" w:rsidRDefault="00694C0F">
      <w:pPr>
        <w:pStyle w:val="indexentry0"/>
      </w:pPr>
      <w:hyperlink w:anchor="section_fc90ed3545804a84aba88bdde70ebbf8">
        <w:r>
          <w:rPr>
            <w:rStyle w:val="Hyperlink"/>
          </w:rPr>
          <w:t>pivotSelection (PivotTable Selection)</w:t>
        </w:r>
      </w:hyperlink>
      <w:r>
        <w:t xml:space="preserve"> </w:t>
      </w:r>
      <w:r>
        <w:fldChar w:fldCharType="begin"/>
      </w:r>
      <w:r>
        <w:instrText>PAGEREF section_fc90ed3545804a84aba88bdde70ebbf8</w:instrText>
      </w:r>
      <w:r>
        <w:fldChar w:fldCharType="separate"/>
      </w:r>
      <w:r>
        <w:rPr>
          <w:noProof/>
        </w:rPr>
        <w:t>275</w:t>
      </w:r>
      <w:r>
        <w:fldChar w:fldCharType="end"/>
      </w:r>
    </w:p>
    <w:p w:rsidR="00024C0A" w:rsidRDefault="00694C0F">
      <w:pPr>
        <w:pStyle w:val="indexentry0"/>
      </w:pPr>
      <w:hyperlink w:anchor="section_e2f9906d924645d1817b796d5cc91dac">
        <w:r>
          <w:rPr>
            <w:rStyle w:val="Hyperlink"/>
          </w:rPr>
          <w:t>pivotSource (Pivot Source)</w:t>
        </w:r>
      </w:hyperlink>
      <w:r>
        <w:t xml:space="preserve"> </w:t>
      </w:r>
      <w:r>
        <w:fldChar w:fldCharType="begin"/>
      </w:r>
      <w:r>
        <w:instrText>PAGEREF section_e2f9906</w:instrText>
      </w:r>
      <w:r>
        <w:instrText>d924645d1817b796d5cc91dac</w:instrText>
      </w:r>
      <w:r>
        <w:fldChar w:fldCharType="separate"/>
      </w:r>
      <w:r>
        <w:rPr>
          <w:noProof/>
        </w:rPr>
        <w:t>562</w:t>
      </w:r>
      <w:r>
        <w:fldChar w:fldCharType="end"/>
      </w:r>
    </w:p>
    <w:p w:rsidR="00024C0A" w:rsidRDefault="00694C0F">
      <w:pPr>
        <w:pStyle w:val="indexentry0"/>
      </w:pPr>
      <w:hyperlink w:anchor="section_7b6c9fe631584a228a8abbf584ecf45f">
        <w:r>
          <w:rPr>
            <w:rStyle w:val="Hyperlink"/>
          </w:rPr>
          <w:t>pivotTableDefinition (PivotTable Definition)</w:t>
        </w:r>
      </w:hyperlink>
      <w:r>
        <w:t xml:space="preserve"> </w:t>
      </w:r>
      <w:r>
        <w:fldChar w:fldCharType="begin"/>
      </w:r>
      <w:r>
        <w:instrText>PAGEREF section_7b6c9fe631584a228a8abbf584ecf45f</w:instrText>
      </w:r>
      <w:r>
        <w:fldChar w:fldCharType="separate"/>
      </w:r>
      <w:r>
        <w:rPr>
          <w:noProof/>
        </w:rPr>
        <w:t>350</w:t>
      </w:r>
      <w:r>
        <w:fldChar w:fldCharType="end"/>
      </w:r>
    </w:p>
    <w:p w:rsidR="00024C0A" w:rsidRDefault="00694C0F">
      <w:pPr>
        <w:pStyle w:val="indexentry0"/>
      </w:pPr>
      <w:hyperlink w:anchor="section_320febb51cfe47b3ae76f2eaad735193">
        <w:r>
          <w:rPr>
            <w:rStyle w:val="Hyperlink"/>
          </w:rPr>
          <w:t>pivotT</w:t>
        </w:r>
        <w:r>
          <w:rPr>
            <w:rStyle w:val="Hyperlink"/>
          </w:rPr>
          <w:t>ableStyleInfo (PivotTable Style)</w:t>
        </w:r>
      </w:hyperlink>
      <w:r>
        <w:t xml:space="preserve"> </w:t>
      </w:r>
      <w:r>
        <w:fldChar w:fldCharType="begin"/>
      </w:r>
      <w:r>
        <w:instrText>PAGEREF section_320febb51cfe47b3ae76f2eaad735193</w:instrText>
      </w:r>
      <w:r>
        <w:fldChar w:fldCharType="separate"/>
      </w:r>
      <w:r>
        <w:rPr>
          <w:noProof/>
        </w:rPr>
        <w:t>352</w:t>
      </w:r>
      <w:r>
        <w:fldChar w:fldCharType="end"/>
      </w:r>
    </w:p>
    <w:p w:rsidR="00024C0A" w:rsidRDefault="00694C0F">
      <w:pPr>
        <w:pStyle w:val="indexentry0"/>
      </w:pPr>
      <w:hyperlink w:anchor="section_47933ae0e3be4fc1b04924347180a89f">
        <w:r>
          <w:rPr>
            <w:rStyle w:val="Hyperlink"/>
          </w:rPr>
          <w:t>pixelsPerInch (Pixels per Inch for Graphics/Images)</w:t>
        </w:r>
      </w:hyperlink>
      <w:r>
        <w:t xml:space="preserve"> </w:t>
      </w:r>
      <w:r>
        <w:fldChar w:fldCharType="begin"/>
      </w:r>
      <w:r>
        <w:instrText>PAGEREF section_47933ae0e3be4fc1b04924347180a89f</w:instrText>
      </w:r>
      <w:r>
        <w:fldChar w:fldCharType="separate"/>
      </w:r>
      <w:r>
        <w:rPr>
          <w:noProof/>
        </w:rPr>
        <w:t>162</w:t>
      </w:r>
      <w:r>
        <w:fldChar w:fldCharType="end"/>
      </w:r>
    </w:p>
    <w:p w:rsidR="00024C0A" w:rsidRDefault="00694C0F">
      <w:pPr>
        <w:pStyle w:val="indexentry0"/>
      </w:pPr>
      <w:hyperlink w:anchor="section_99ab35907a1e4b41bb584e0c1c535215">
        <w:r>
          <w:rPr>
            <w:rStyle w:val="Hyperlink"/>
          </w:rPr>
          <w:t>placeholder (Structured Document Tag Placeholder Text)</w:t>
        </w:r>
      </w:hyperlink>
      <w:r>
        <w:t xml:space="preserve"> </w:t>
      </w:r>
      <w:r>
        <w:fldChar w:fldCharType="begin"/>
      </w:r>
      <w:r>
        <w:instrText>PAGEREF section_99ab35907a1e4b41bb584e0c1c535215</w:instrText>
      </w:r>
      <w:r>
        <w:fldChar w:fldCharType="separate"/>
      </w:r>
      <w:r>
        <w:rPr>
          <w:noProof/>
        </w:rPr>
        <w:t>98</w:t>
      </w:r>
      <w:r>
        <w:fldChar w:fldCharType="end"/>
      </w:r>
    </w:p>
    <w:p w:rsidR="00024C0A" w:rsidRDefault="00694C0F">
      <w:pPr>
        <w:pStyle w:val="indexentry0"/>
      </w:pPr>
      <w:hyperlink w:anchor="section_83596c29eda74a40a24d721aa7b23b3f">
        <w:r>
          <w:rPr>
            <w:rStyle w:val="Hyperlink"/>
          </w:rPr>
          <w:t>plotArea (Plot Area)</w:t>
        </w:r>
      </w:hyperlink>
      <w:r>
        <w:t xml:space="preserve"> </w:t>
      </w:r>
      <w:r>
        <w:fldChar w:fldCharType="begin"/>
      </w:r>
      <w:r>
        <w:instrText>PAGEREF section_83596c29eda74a40a24d721aa7b23b3f</w:instrText>
      </w:r>
      <w:r>
        <w:fldChar w:fldCharType="separate"/>
      </w:r>
      <w:r>
        <w:rPr>
          <w:noProof/>
        </w:rPr>
        <w:t>562</w:t>
      </w:r>
      <w:r>
        <w:fldChar w:fldCharType="end"/>
      </w:r>
    </w:p>
    <w:p w:rsidR="00024C0A" w:rsidRDefault="00694C0F">
      <w:pPr>
        <w:pStyle w:val="indexentry0"/>
      </w:pPr>
      <w:hyperlink w:anchor="section_ddc60b4262be4617bf284372f3fa3422">
        <w:r>
          <w:rPr>
            <w:rStyle w:val="Hyperlink"/>
          </w:rPr>
          <w:t>plus (Plus)</w:t>
        </w:r>
      </w:hyperlink>
      <w:r>
        <w:t xml:space="preserve"> </w:t>
      </w:r>
      <w:r>
        <w:fldChar w:fldCharType="begin"/>
      </w:r>
      <w:r>
        <w:instrText>PAGEREF section_ddc60b4262be4617bf284372f3fa3422</w:instrText>
      </w:r>
      <w:r>
        <w:fldChar w:fldCharType="separate"/>
      </w:r>
      <w:r>
        <w:rPr>
          <w:noProof/>
        </w:rPr>
        <w:t>562</w:t>
      </w:r>
      <w:r>
        <w:fldChar w:fldCharType="end"/>
      </w:r>
    </w:p>
    <w:p w:rsidR="00024C0A" w:rsidRDefault="00694C0F">
      <w:pPr>
        <w:pStyle w:val="indexentry0"/>
      </w:pPr>
      <w:hyperlink w:anchor="section_77902b0ad44f4b40bf1fd73167a47f39">
        <w:r>
          <w:rPr>
            <w:rStyle w:val="Hyperlink"/>
          </w:rPr>
          <w:t>PMT</w:t>
        </w:r>
      </w:hyperlink>
      <w:r>
        <w:t xml:space="preserve"> </w:t>
      </w:r>
      <w:r>
        <w:fldChar w:fldCharType="begin"/>
      </w:r>
      <w:r>
        <w:instrText>PAGEREF section_77902b0ad44f4b40bf1fd73167a47f39</w:instrText>
      </w:r>
      <w:r>
        <w:fldChar w:fldCharType="separate"/>
      </w:r>
      <w:r>
        <w:rPr>
          <w:noProof/>
        </w:rPr>
        <w:t>438</w:t>
      </w:r>
      <w:r>
        <w:fldChar w:fldCharType="end"/>
      </w:r>
    </w:p>
    <w:p w:rsidR="00024C0A" w:rsidRDefault="00694C0F">
      <w:pPr>
        <w:pStyle w:val="indexentry0"/>
      </w:pPr>
      <w:hyperlink w:anchor="section_0001645b75344016ae4bf913658dd855">
        <w:r>
          <w:rPr>
            <w:rStyle w:val="Hyperlink"/>
          </w:rPr>
          <w:t>POISSON</w:t>
        </w:r>
      </w:hyperlink>
      <w:r>
        <w:t xml:space="preserve"> </w:t>
      </w:r>
      <w:r>
        <w:fldChar w:fldCharType="begin"/>
      </w:r>
      <w:r>
        <w:instrText>PAGEREF section_0001645b75344016ae4bf913658dd855</w:instrText>
      </w:r>
      <w:r>
        <w:fldChar w:fldCharType="separate"/>
      </w:r>
      <w:r>
        <w:rPr>
          <w:noProof/>
        </w:rPr>
        <w:t>438</w:t>
      </w:r>
      <w:r>
        <w:fldChar w:fldCharType="end"/>
      </w:r>
    </w:p>
    <w:p w:rsidR="00024C0A" w:rsidRDefault="00694C0F">
      <w:pPr>
        <w:pStyle w:val="indexentry0"/>
      </w:pPr>
      <w:hyperlink w:anchor="section_02fe18eb74dc4eab9007ea8b2c3f8b48">
        <w:r>
          <w:rPr>
            <w:rStyle w:val="Hyperlink"/>
          </w:rPr>
          <w:t>polyline (Multiple P</w:t>
        </w:r>
        <w:r>
          <w:rPr>
            <w:rStyle w:val="Hyperlink"/>
          </w:rPr>
          <w:t>ath Line)</w:t>
        </w:r>
      </w:hyperlink>
      <w:r>
        <w:t xml:space="preserve"> </w:t>
      </w:r>
      <w:r>
        <w:fldChar w:fldCharType="begin"/>
      </w:r>
      <w:r>
        <w:instrText>PAGEREF section_02fe18eb74dc4eab9007ea8b2c3f8b48</w:instrText>
      </w:r>
      <w:r>
        <w:fldChar w:fldCharType="separate"/>
      </w:r>
      <w:r>
        <w:rPr>
          <w:noProof/>
        </w:rPr>
        <w:t>647</w:t>
      </w:r>
      <w:r>
        <w:fldChar w:fldCharType="end"/>
      </w:r>
    </w:p>
    <w:p w:rsidR="00024C0A" w:rsidRDefault="00694C0F">
      <w:pPr>
        <w:pStyle w:val="indexentry0"/>
      </w:pPr>
      <w:hyperlink w:anchor="section_34ada90e9cb84efbb20e027eed8c75e3">
        <w:r>
          <w:rPr>
            <w:rStyle w:val="Hyperlink"/>
          </w:rPr>
          <w:t>pos (Comment Position)</w:t>
        </w:r>
      </w:hyperlink>
      <w:r>
        <w:t xml:space="preserve"> </w:t>
      </w:r>
      <w:r>
        <w:fldChar w:fldCharType="begin"/>
      </w:r>
      <w:r>
        <w:instrText>PAGEREF section_34ada90e9cb84efbb20e027eed8c75e3</w:instrText>
      </w:r>
      <w:r>
        <w:fldChar w:fldCharType="separate"/>
      </w:r>
      <w:r>
        <w:rPr>
          <w:noProof/>
        </w:rPr>
        <w:t>470</w:t>
      </w:r>
      <w:r>
        <w:fldChar w:fldCharType="end"/>
      </w:r>
    </w:p>
    <w:p w:rsidR="00024C0A" w:rsidRDefault="00694C0F">
      <w:pPr>
        <w:pStyle w:val="indexentry0"/>
      </w:pPr>
      <w:hyperlink w:anchor="section_5e9e5e99e0434691baec1b732916259b">
        <w:r>
          <w:rPr>
            <w:rStyle w:val="Hyperlink"/>
          </w:rPr>
          <w:t>pos (Footnote Placement)</w:t>
        </w:r>
      </w:hyperlink>
      <w:r>
        <w:t xml:space="preserve"> </w:t>
      </w:r>
      <w:r>
        <w:fldChar w:fldCharType="begin"/>
      </w:r>
      <w:r>
        <w:instrText>PAGEREF section_5e9e5e99e0434691baec1b732916259b</w:instrText>
      </w:r>
      <w:r>
        <w:fldChar w:fldCharType="separate"/>
      </w:r>
      <w:r>
        <w:rPr>
          <w:noProof/>
        </w:rPr>
        <w:t>129</w:t>
      </w:r>
      <w:r>
        <w:fldChar w:fldCharType="end"/>
      </w:r>
    </w:p>
    <w:p w:rsidR="00024C0A" w:rsidRDefault="00694C0F">
      <w:pPr>
        <w:pStyle w:val="indexentry0"/>
      </w:pPr>
      <w:r>
        <w:t>pos (Position) (</w:t>
      </w:r>
      <w:hyperlink w:anchor="section_44d97ef766e5453ea58681cf80c0c3a0">
        <w:r>
          <w:rPr>
            <w:rStyle w:val="Hyperlink"/>
          </w:rPr>
          <w:t>section 2.1.1363</w:t>
        </w:r>
      </w:hyperlink>
      <w:r>
        <w:t xml:space="preserve"> </w:t>
      </w:r>
      <w:r>
        <w:fldChar w:fldCharType="begin"/>
      </w:r>
      <w:r>
        <w:instrText>PAGEREF section_44d97ef766e5453ea58681cf80c0c3a0</w:instrText>
      </w:r>
      <w:r>
        <w:fldChar w:fldCharType="separate"/>
      </w:r>
      <w:r>
        <w:rPr>
          <w:noProof/>
        </w:rPr>
        <w:t>524</w:t>
      </w:r>
      <w:r>
        <w:fldChar w:fldCharType="end"/>
      </w:r>
      <w:r>
        <w:t xml:space="preserve">, </w:t>
      </w:r>
      <w:hyperlink w:anchor="section_36d53a31567044a1b0d76b9e8a79b3f0">
        <w:r>
          <w:rPr>
            <w:rStyle w:val="Hyperlink"/>
          </w:rPr>
          <w:t>section 2.1.1685</w:t>
        </w:r>
      </w:hyperlink>
      <w:r>
        <w:t xml:space="preserve"> </w:t>
      </w:r>
      <w:r>
        <w:fldChar w:fldCharType="begin"/>
      </w:r>
      <w:r>
        <w:instrText>PAGEREF section_36d53a31567044a1b0d76b9e8a79b3f0</w:instrText>
      </w:r>
      <w:r>
        <w:fldChar w:fldCharType="separate"/>
      </w:r>
      <w:r>
        <w:rPr>
          <w:noProof/>
        </w:rPr>
        <w:t>597</w:t>
      </w:r>
      <w:r>
        <w:fldChar w:fldCharType="end"/>
      </w:r>
      <w:r>
        <w:t>)</w:t>
      </w:r>
    </w:p>
    <w:p w:rsidR="00024C0A" w:rsidRDefault="00694C0F">
      <w:pPr>
        <w:pStyle w:val="indexentry0"/>
      </w:pPr>
      <w:hyperlink w:anchor="section_779d2a7535884516aa765d3aed61ed27">
        <w:r>
          <w:rPr>
            <w:rStyle w:val="Hyperlink"/>
          </w:rPr>
          <w:t>pos (Shape Position Coordinate)</w:t>
        </w:r>
      </w:hyperlink>
      <w:r>
        <w:t xml:space="preserve"> </w:t>
      </w:r>
      <w:r>
        <w:fldChar w:fldCharType="begin"/>
      </w:r>
      <w:r>
        <w:instrText>PAGEREF section_779d2a7535884516aa765d3aed61ed27</w:instrText>
      </w:r>
      <w:r>
        <w:fldChar w:fldCharType="separate"/>
      </w:r>
      <w:r>
        <w:rPr>
          <w:noProof/>
        </w:rPr>
        <w:t>515</w:t>
      </w:r>
      <w:r>
        <w:fldChar w:fldCharType="end"/>
      </w:r>
    </w:p>
    <w:p w:rsidR="00024C0A" w:rsidRDefault="00694C0F">
      <w:pPr>
        <w:pStyle w:val="indexentry0"/>
      </w:pPr>
      <w:hyperlink w:anchor="section_8aee936cdf55410c88707cb257d71f26">
        <w:r>
          <w:rPr>
            <w:rStyle w:val="Hyperlink"/>
          </w:rPr>
          <w:t>positionV (Vertical Positioning)</w:t>
        </w:r>
      </w:hyperlink>
      <w:r>
        <w:t xml:space="preserve"> </w:t>
      </w:r>
      <w:r>
        <w:fldChar w:fldCharType="begin"/>
      </w:r>
      <w:r>
        <w:instrText>PAGEREF section_8aee936cdf55410c88707cb257d71f26</w:instrText>
      </w:r>
      <w:r>
        <w:fldChar w:fldCharType="separate"/>
      </w:r>
      <w:r>
        <w:rPr>
          <w:noProof/>
        </w:rPr>
        <w:t>522</w:t>
      </w:r>
      <w:r>
        <w:fldChar w:fldCharType="end"/>
      </w:r>
    </w:p>
    <w:p w:rsidR="00024C0A" w:rsidRDefault="00694C0F">
      <w:pPr>
        <w:pStyle w:val="indexentry0"/>
      </w:pPr>
      <w:hyperlink w:anchor="section_a1bbb51243c1422a892bc9da46b1f4bf">
        <w:r>
          <w:rPr>
            <w:rStyle w:val="Hyperlink"/>
          </w:rPr>
          <w:t>postSp (Post-Paragraph Spacing)</w:t>
        </w:r>
      </w:hyperlink>
      <w:r>
        <w:t xml:space="preserve"> </w:t>
      </w:r>
      <w:r>
        <w:fldChar w:fldCharType="begin"/>
      </w:r>
      <w:r>
        <w:instrText>PAGEREF se</w:instrText>
      </w:r>
      <w:r>
        <w:instrText>ction_a1bbb51243c1422a892bc9da46b1f4bf</w:instrText>
      </w:r>
      <w:r>
        <w:fldChar w:fldCharType="separate"/>
      </w:r>
      <w:r>
        <w:rPr>
          <w:noProof/>
        </w:rPr>
        <w:t>598</w:t>
      </w:r>
      <w:r>
        <w:fldChar w:fldCharType="end"/>
      </w:r>
    </w:p>
    <w:p w:rsidR="00024C0A" w:rsidRDefault="00694C0F">
      <w:pPr>
        <w:pStyle w:val="indexentry0"/>
      </w:pPr>
      <w:hyperlink w:anchor="section_a2ea85f8876e4587958008fc856b67ab">
        <w:r>
          <w:rPr>
            <w:rStyle w:val="Hyperlink"/>
          </w:rPr>
          <w:t>POWER</w:t>
        </w:r>
      </w:hyperlink>
      <w:r>
        <w:t xml:space="preserve"> </w:t>
      </w:r>
      <w:r>
        <w:fldChar w:fldCharType="begin"/>
      </w:r>
      <w:r>
        <w:instrText>PAGEREF section_a2ea85f8876e4587958008fc856b67ab</w:instrText>
      </w:r>
      <w:r>
        <w:fldChar w:fldCharType="separate"/>
      </w:r>
      <w:r>
        <w:rPr>
          <w:noProof/>
        </w:rPr>
        <w:t>438</w:t>
      </w:r>
      <w:r>
        <w:fldChar w:fldCharType="end"/>
      </w:r>
    </w:p>
    <w:p w:rsidR="00024C0A" w:rsidRDefault="00694C0F">
      <w:pPr>
        <w:pStyle w:val="indexentry0"/>
      </w:pPr>
      <w:hyperlink w:anchor="section_e1dbdf0a99d84eb886db8675dfc45826">
        <w:r>
          <w:rPr>
            <w:rStyle w:val="Hyperlink"/>
          </w:rPr>
          <w:t>PowerPoint (Additional Informati</w:t>
        </w:r>
        <w:r>
          <w:rPr>
            <w:rStyle w:val="Hyperlink"/>
          </w:rPr>
          <w:t>on)</w:t>
        </w:r>
      </w:hyperlink>
      <w:r>
        <w:t xml:space="preserve"> </w:t>
      </w:r>
      <w:r>
        <w:fldChar w:fldCharType="begin"/>
      </w:r>
      <w:r>
        <w:instrText>PAGEREF section_e1dbdf0a99d84eb886db8675dfc45826</w:instrText>
      </w:r>
      <w:r>
        <w:fldChar w:fldCharType="separate"/>
      </w:r>
      <w:r>
        <w:rPr>
          <w:noProof/>
        </w:rPr>
        <w:t>842</w:t>
      </w:r>
      <w:r>
        <w:fldChar w:fldCharType="end"/>
      </w:r>
    </w:p>
    <w:p w:rsidR="00024C0A" w:rsidRDefault="00694C0F">
      <w:pPr>
        <w:pStyle w:val="indexentry0"/>
      </w:pPr>
      <w:hyperlink w:anchor="section_e6f17fb3cf2542c5817dd67f8c6241e3">
        <w:r>
          <w:rPr>
            <w:rStyle w:val="Hyperlink"/>
          </w:rPr>
          <w:t>PPMT</w:t>
        </w:r>
      </w:hyperlink>
      <w:r>
        <w:t xml:space="preserve"> </w:t>
      </w:r>
      <w:r>
        <w:fldChar w:fldCharType="begin"/>
      </w:r>
      <w:r>
        <w:instrText>PAGEREF section_e6f17fb3cf2542c5817dd67f8c6241e3</w:instrText>
      </w:r>
      <w:r>
        <w:fldChar w:fldCharType="separate"/>
      </w:r>
      <w:r>
        <w:rPr>
          <w:noProof/>
        </w:rPr>
        <w:t>438</w:t>
      </w:r>
      <w:r>
        <w:fldChar w:fldCharType="end"/>
      </w:r>
    </w:p>
    <w:p w:rsidR="00024C0A" w:rsidRDefault="00694C0F">
      <w:pPr>
        <w:pStyle w:val="indexentry0"/>
      </w:pPr>
      <w:hyperlink w:anchor="section_e0f793ec25174bd792363bd6a7f828b7">
        <w:r>
          <w:rPr>
            <w:rStyle w:val="Hyperlink"/>
          </w:rPr>
          <w:t>pPr (Numbering Le</w:t>
        </w:r>
        <w:r>
          <w:rPr>
            <w:rStyle w:val="Hyperlink"/>
          </w:rPr>
          <w:t>vel Associated Paragraph Properties)</w:t>
        </w:r>
      </w:hyperlink>
      <w:r>
        <w:t xml:space="preserve"> </w:t>
      </w:r>
      <w:r>
        <w:fldChar w:fldCharType="begin"/>
      </w:r>
      <w:r>
        <w:instrText>PAGEREF section_e0f793ec25174bd792363bd6a7f828b7</w:instrText>
      </w:r>
      <w:r>
        <w:fldChar w:fldCharType="separate"/>
      </w:r>
      <w:r>
        <w:rPr>
          <w:noProof/>
        </w:rPr>
        <w:t>125</w:t>
      </w:r>
      <w:r>
        <w:fldChar w:fldCharType="end"/>
      </w:r>
    </w:p>
    <w:p w:rsidR="00024C0A" w:rsidRDefault="00694C0F">
      <w:pPr>
        <w:pStyle w:val="indexentry0"/>
      </w:pPr>
      <w:hyperlink w:anchor="section_1b4958bf2fcf4db89a967f553494276b">
        <w:r>
          <w:rPr>
            <w:rStyle w:val="Hyperlink"/>
          </w:rPr>
          <w:t>pPr (Paragraph Properties)</w:t>
        </w:r>
      </w:hyperlink>
      <w:r>
        <w:t xml:space="preserve"> </w:t>
      </w:r>
      <w:r>
        <w:fldChar w:fldCharType="begin"/>
      </w:r>
      <w:r>
        <w:instrText>PAGEREF section_1b4958bf2fcf4db89a967f553494276b</w:instrText>
      </w:r>
      <w:r>
        <w:fldChar w:fldCharType="separate"/>
      </w:r>
      <w:r>
        <w:rPr>
          <w:noProof/>
        </w:rPr>
        <w:t>116</w:t>
      </w:r>
      <w:r>
        <w:fldChar w:fldCharType="end"/>
      </w:r>
    </w:p>
    <w:p w:rsidR="00024C0A" w:rsidRDefault="00694C0F">
      <w:pPr>
        <w:pStyle w:val="indexentry0"/>
      </w:pPr>
      <w:hyperlink w:anchor="section_cb186a0b98ee403f9d0623629e9cb647">
        <w:r>
          <w:rPr>
            <w:rStyle w:val="Hyperlink"/>
          </w:rPr>
          <w:t>pPr (Previous Paragraph Properties)</w:t>
        </w:r>
      </w:hyperlink>
      <w:r>
        <w:t xml:space="preserve"> </w:t>
      </w:r>
      <w:r>
        <w:fldChar w:fldCharType="begin"/>
      </w:r>
      <w:r>
        <w:instrText>PAGEREF section_cb186a0b98ee403f9d0623629e9cb647</w:instrText>
      </w:r>
      <w:r>
        <w:fldChar w:fldCharType="separate"/>
      </w:r>
      <w:r>
        <w:rPr>
          <w:noProof/>
        </w:rPr>
        <w:t>66</w:t>
      </w:r>
      <w:r>
        <w:fldChar w:fldCharType="end"/>
      </w:r>
    </w:p>
    <w:p w:rsidR="00024C0A" w:rsidRDefault="00694C0F">
      <w:pPr>
        <w:pStyle w:val="indexentry0"/>
      </w:pPr>
      <w:hyperlink w:anchor="section_03bd6b70ee1a457885a1b4207bbb34ce">
        <w:r>
          <w:rPr>
            <w:rStyle w:val="Hyperlink"/>
          </w:rPr>
          <w:t>pPr (Style Paragraph Properties)</w:t>
        </w:r>
      </w:hyperlink>
      <w:r>
        <w:t xml:space="preserve"> </w:t>
      </w:r>
      <w:r>
        <w:fldChar w:fldCharType="begin"/>
      </w:r>
      <w:r>
        <w:instrText>PAGEREF section_03bd6b70ee1a4578</w:instrText>
      </w:r>
      <w:r>
        <w:instrText>85a1b4207bbb34ce</w:instrText>
      </w:r>
      <w:r>
        <w:fldChar w:fldCharType="separate"/>
      </w:r>
      <w:r>
        <w:rPr>
          <w:noProof/>
        </w:rPr>
        <w:t>120</w:t>
      </w:r>
      <w:r>
        <w:fldChar w:fldCharType="end"/>
      </w:r>
    </w:p>
    <w:p w:rsidR="00024C0A" w:rsidRDefault="00694C0F">
      <w:pPr>
        <w:pStyle w:val="indexentry0"/>
      </w:pPr>
      <w:hyperlink w:anchor="section_e6cd172f23d344d9942bcf3ffaed67fc">
        <w:r>
          <w:rPr>
            <w:rStyle w:val="Hyperlink"/>
          </w:rPr>
          <w:t>pPr (Table Style Conditional Formatting Paragraph Properties)</w:t>
        </w:r>
      </w:hyperlink>
      <w:r>
        <w:t xml:space="preserve"> </w:t>
      </w:r>
      <w:r>
        <w:fldChar w:fldCharType="begin"/>
      </w:r>
      <w:r>
        <w:instrText>PAGEREF section_e6cd172f23d344d9942bcf3ffaed67fc</w:instrText>
      </w:r>
      <w:r>
        <w:fldChar w:fldCharType="separate"/>
      </w:r>
      <w:r>
        <w:rPr>
          <w:noProof/>
        </w:rPr>
        <w:t>117</w:t>
      </w:r>
      <w:r>
        <w:fldChar w:fldCharType="end"/>
      </w:r>
    </w:p>
    <w:p w:rsidR="00024C0A" w:rsidRDefault="00694C0F">
      <w:pPr>
        <w:pStyle w:val="indexentry0"/>
      </w:pPr>
      <w:hyperlink w:anchor="section_3bf4b4b9d1cd4610be569427e22c5fb4">
        <w:r>
          <w:rPr>
            <w:rStyle w:val="Hyperlink"/>
          </w:rPr>
          <w:t>pPr (Text Paragraph Properties)</w:t>
        </w:r>
      </w:hyperlink>
      <w:r>
        <w:t xml:space="preserve"> </w:t>
      </w:r>
      <w:r>
        <w:fldChar w:fldCharType="begin"/>
      </w:r>
      <w:r>
        <w:instrText>PAGEREF section_3bf4b4b9d1cd4610be569427e22c5fb4</w:instrText>
      </w:r>
      <w:r>
        <w:fldChar w:fldCharType="separate"/>
      </w:r>
      <w:r>
        <w:rPr>
          <w:noProof/>
        </w:rPr>
        <w:t>530</w:t>
      </w:r>
      <w:r>
        <w:fldChar w:fldCharType="end"/>
      </w:r>
    </w:p>
    <w:p w:rsidR="00024C0A" w:rsidRDefault="00694C0F">
      <w:pPr>
        <w:pStyle w:val="indexentry0"/>
      </w:pPr>
      <w:hyperlink w:anchor="section_ca8a2548c37b4d7bbf3f4531b6309281">
        <w:r>
          <w:rPr>
            <w:rStyle w:val="Hyperlink"/>
          </w:rPr>
          <w:t>pPrChange (Revision Information for Paragraph Properties)</w:t>
        </w:r>
      </w:hyperlink>
      <w:r>
        <w:t xml:space="preserve"> </w:t>
      </w:r>
      <w:r>
        <w:fldChar w:fldCharType="begin"/>
      </w:r>
      <w:r>
        <w:instrText>PAGEREF section_ca8a2548c37b4d7bbf3f4531b6309281</w:instrText>
      </w:r>
      <w:r>
        <w:fldChar w:fldCharType="separate"/>
      </w:r>
      <w:r>
        <w:rPr>
          <w:noProof/>
        </w:rPr>
        <w:t>138</w:t>
      </w:r>
      <w:r>
        <w:fldChar w:fldCharType="end"/>
      </w:r>
    </w:p>
    <w:p w:rsidR="00024C0A" w:rsidRDefault="00694C0F">
      <w:pPr>
        <w:pStyle w:val="indexentry0"/>
      </w:pPr>
      <w:hyperlink w:anchor="section_286bceb73e02476c8ee91e06dd3f9636">
        <w:r>
          <w:rPr>
            <w:rStyle w:val="Hyperlink"/>
          </w:rPr>
          <w:t>Precision</w:t>
        </w:r>
      </w:hyperlink>
      <w:r>
        <w:t xml:space="preserve"> </w:t>
      </w:r>
      <w:r>
        <w:fldChar w:fldCharType="begin"/>
      </w:r>
      <w:r>
        <w:instrText>PAGEREF section_286bceb73e02476c8ee91e06dd3f9636</w:instrText>
      </w:r>
      <w:r>
        <w:fldChar w:fldCharType="separate"/>
      </w:r>
      <w:r>
        <w:rPr>
          <w:noProof/>
        </w:rPr>
        <w:t>394</w:t>
      </w:r>
      <w:r>
        <w:fldChar w:fldCharType="end"/>
      </w:r>
    </w:p>
    <w:p w:rsidR="00024C0A" w:rsidRDefault="00694C0F">
      <w:pPr>
        <w:pStyle w:val="indexentry0"/>
      </w:pPr>
      <w:hyperlink w:anchor="section_cce7a3040e914fa490bdf3a0f4f58f95">
        <w:r>
          <w:rPr>
            <w:rStyle w:val="Hyperlink"/>
          </w:rPr>
          <w:t>present (Presenter</w:t>
        </w:r>
        <w:r>
          <w:rPr>
            <w:rStyle w:val="Hyperlink"/>
          </w:rPr>
          <w:t xml:space="preserve"> Slide Show Mode)</w:t>
        </w:r>
      </w:hyperlink>
      <w:r>
        <w:t xml:space="preserve"> </w:t>
      </w:r>
      <w:r>
        <w:fldChar w:fldCharType="begin"/>
      </w:r>
      <w:r>
        <w:instrText>PAGEREF section_cce7a3040e914fa490bdf3a0f4f58f95</w:instrText>
      </w:r>
      <w:r>
        <w:fldChar w:fldCharType="separate"/>
      </w:r>
      <w:r>
        <w:rPr>
          <w:noProof/>
        </w:rPr>
        <w:t>463</w:t>
      </w:r>
      <w:r>
        <w:fldChar w:fldCharType="end"/>
      </w:r>
    </w:p>
    <w:p w:rsidR="00024C0A" w:rsidRDefault="00694C0F">
      <w:pPr>
        <w:pStyle w:val="indexentry0"/>
      </w:pPr>
      <w:hyperlink w:anchor="section_5cc61456aa4e4c48a1153efed3e57d95">
        <w:r>
          <w:rPr>
            <w:rStyle w:val="Hyperlink"/>
          </w:rPr>
          <w:t>presentation (Presentation)</w:t>
        </w:r>
      </w:hyperlink>
      <w:r>
        <w:t xml:space="preserve"> </w:t>
      </w:r>
      <w:r>
        <w:fldChar w:fldCharType="begin"/>
      </w:r>
      <w:r>
        <w:instrText>PAGEREF section_5cc61456aa4e4c48a1153efed3e57d95</w:instrText>
      </w:r>
      <w:r>
        <w:fldChar w:fldCharType="separate"/>
      </w:r>
      <w:r>
        <w:rPr>
          <w:noProof/>
        </w:rPr>
        <w:t>463</w:t>
      </w:r>
      <w:r>
        <w:fldChar w:fldCharType="end"/>
      </w:r>
    </w:p>
    <w:p w:rsidR="00024C0A" w:rsidRDefault="00694C0F">
      <w:pPr>
        <w:pStyle w:val="indexentry0"/>
      </w:pPr>
      <w:hyperlink w:anchor="section_878e09616c044b579a6d9bebc1ac3be3">
        <w:r>
          <w:rPr>
            <w:rStyle w:val="Hyperlink"/>
          </w:rPr>
          <w:t>Presentation Part</w:t>
        </w:r>
      </w:hyperlink>
      <w:r>
        <w:t xml:space="preserve"> </w:t>
      </w:r>
      <w:r>
        <w:fldChar w:fldCharType="begin"/>
      </w:r>
      <w:r>
        <w:instrText>PAGEREF section_878e09616c044b579a6d9bebc1ac3be3</w:instrText>
      </w:r>
      <w:r>
        <w:fldChar w:fldCharType="separate"/>
      </w:r>
      <w:r>
        <w:rPr>
          <w:noProof/>
        </w:rPr>
        <w:t>52</w:t>
      </w:r>
      <w:r>
        <w:fldChar w:fldCharType="end"/>
      </w:r>
    </w:p>
    <w:p w:rsidR="00024C0A" w:rsidRDefault="00694C0F">
      <w:pPr>
        <w:pStyle w:val="indexentry0"/>
      </w:pPr>
      <w:hyperlink w:anchor="section_a63cebe0eca5492db580bdc59f618639">
        <w:r>
          <w:rPr>
            <w:rStyle w:val="Hyperlink"/>
          </w:rPr>
          <w:t>Presentation Properties Part</w:t>
        </w:r>
      </w:hyperlink>
      <w:r>
        <w:t xml:space="preserve"> </w:t>
      </w:r>
      <w:r>
        <w:fldChar w:fldCharType="begin"/>
      </w:r>
      <w:r>
        <w:instrText>PAGEREF section_a63cebe0eca5492db580bdc59f618639</w:instrText>
      </w:r>
      <w:r>
        <w:fldChar w:fldCharType="separate"/>
      </w:r>
      <w:r>
        <w:rPr>
          <w:noProof/>
        </w:rPr>
        <w:t>52</w:t>
      </w:r>
      <w:r>
        <w:fldChar w:fldCharType="end"/>
      </w:r>
    </w:p>
    <w:p w:rsidR="00024C0A" w:rsidRDefault="00694C0F">
      <w:pPr>
        <w:pStyle w:val="indexentry0"/>
      </w:pPr>
      <w:hyperlink w:anchor="section_fa1be7cffc314bb698c9fd1db9cede94">
        <w:r>
          <w:rPr>
            <w:rStyle w:val="Hyperlink"/>
          </w:rPr>
          <w:t>PresentationML</w:t>
        </w:r>
      </w:hyperlink>
      <w:r>
        <w:t xml:space="preserve"> </w:t>
      </w:r>
      <w:r>
        <w:fldChar w:fldCharType="begin"/>
      </w:r>
      <w:r>
        <w:instrText>PAGEREF section_fa1be7cffc314bb698c9fd1db9cede94</w:instrText>
      </w:r>
      <w:r>
        <w:fldChar w:fldCharType="separate"/>
      </w:r>
      <w:r>
        <w:rPr>
          <w:noProof/>
        </w:rPr>
        <w:t>46</w:t>
      </w:r>
      <w:r>
        <w:fldChar w:fldCharType="end"/>
      </w:r>
    </w:p>
    <w:p w:rsidR="00024C0A" w:rsidRDefault="00694C0F">
      <w:pPr>
        <w:pStyle w:val="indexentry0"/>
      </w:pPr>
      <w:hyperlink w:anchor="section_381cf08152f546318f61be16f4b7f9f0">
        <w:r>
          <w:rPr>
            <w:rStyle w:val="Hyperlink"/>
          </w:rPr>
          <w:t>preSp (Pre-Paragraph Spacing)</w:t>
        </w:r>
      </w:hyperlink>
      <w:r>
        <w:t xml:space="preserve"> </w:t>
      </w:r>
      <w:r>
        <w:fldChar w:fldCharType="begin"/>
      </w:r>
      <w:r>
        <w:instrText>PAGEREF section_381cf08152f546318f61be16f4b7f9f0</w:instrText>
      </w:r>
      <w:r>
        <w:fldChar w:fldCharType="separate"/>
      </w:r>
      <w:r>
        <w:rPr>
          <w:noProof/>
        </w:rPr>
        <w:t>598</w:t>
      </w:r>
      <w:r>
        <w:fldChar w:fldCharType="end"/>
      </w:r>
    </w:p>
    <w:p w:rsidR="00024C0A" w:rsidRDefault="00694C0F">
      <w:pPr>
        <w:pStyle w:val="indexentry0"/>
      </w:pPr>
      <w:hyperlink w:anchor="section_31d28bcdcca242ea95afeb32b797e869">
        <w:r>
          <w:rPr>
            <w:rStyle w:val="Hyperlink"/>
          </w:rPr>
          <w:t>prevCondLst (Previous Conditions List)</w:t>
        </w:r>
      </w:hyperlink>
      <w:r>
        <w:t xml:space="preserve"> </w:t>
      </w:r>
      <w:r>
        <w:fldChar w:fldCharType="begin"/>
      </w:r>
      <w:r>
        <w:instrText>PAGEREF section_31d28bcdcca242ea95afeb32b797e869</w:instrText>
      </w:r>
      <w:r>
        <w:fldChar w:fldCharType="separate"/>
      </w:r>
      <w:r>
        <w:rPr>
          <w:noProof/>
        </w:rPr>
        <w:t>483</w:t>
      </w:r>
      <w:r>
        <w:fldChar w:fldCharType="end"/>
      </w:r>
    </w:p>
    <w:p w:rsidR="00024C0A" w:rsidRDefault="00694C0F">
      <w:pPr>
        <w:pStyle w:val="indexentry0"/>
      </w:pPr>
      <w:hyperlink w:anchor="section_05f6a62df7db400e9ae497a6d422ac5b">
        <w:r>
          <w:rPr>
            <w:rStyle w:val="Hyperlink"/>
          </w:rPr>
          <w:t>pRg (Paragraph Text Range)</w:t>
        </w:r>
      </w:hyperlink>
      <w:r>
        <w:t xml:space="preserve"> </w:t>
      </w:r>
      <w:r>
        <w:fldChar w:fldCharType="begin"/>
      </w:r>
      <w:r>
        <w:instrText>PAGEREF secti</w:instrText>
      </w:r>
      <w:r>
        <w:instrText>on_05f6a62df7db400e9ae497a6d422ac5b</w:instrText>
      </w:r>
      <w:r>
        <w:fldChar w:fldCharType="separate"/>
      </w:r>
      <w:r>
        <w:rPr>
          <w:noProof/>
        </w:rPr>
        <w:t>483</w:t>
      </w:r>
      <w:r>
        <w:fldChar w:fldCharType="end"/>
      </w:r>
    </w:p>
    <w:p w:rsidR="00024C0A" w:rsidRDefault="00694C0F">
      <w:pPr>
        <w:pStyle w:val="indexentry0"/>
      </w:pPr>
      <w:hyperlink w:anchor="section_43bbf55ba3b7457da526450e4bd8f136">
        <w:r>
          <w:rPr>
            <w:rStyle w:val="Hyperlink"/>
          </w:rPr>
          <w:t>PRICE</w:t>
        </w:r>
      </w:hyperlink>
      <w:r>
        <w:t xml:space="preserve"> </w:t>
      </w:r>
      <w:r>
        <w:fldChar w:fldCharType="begin"/>
      </w:r>
      <w:r>
        <w:instrText>PAGEREF section_43bbf55ba3b7457da526450e4bd8f136</w:instrText>
      </w:r>
      <w:r>
        <w:fldChar w:fldCharType="separate"/>
      </w:r>
      <w:r>
        <w:rPr>
          <w:noProof/>
        </w:rPr>
        <w:t>439</w:t>
      </w:r>
      <w:r>
        <w:fldChar w:fldCharType="end"/>
      </w:r>
    </w:p>
    <w:p w:rsidR="00024C0A" w:rsidRDefault="00694C0F">
      <w:pPr>
        <w:pStyle w:val="indexentry0"/>
      </w:pPr>
      <w:hyperlink w:anchor="section_cef504a96c0343388a35811de77e59b2">
        <w:r>
          <w:rPr>
            <w:rStyle w:val="Hyperlink"/>
          </w:rPr>
          <w:t>PRICEDISC</w:t>
        </w:r>
      </w:hyperlink>
      <w:r>
        <w:t xml:space="preserve"> </w:t>
      </w:r>
      <w:r>
        <w:fldChar w:fldCharType="begin"/>
      </w:r>
      <w:r>
        <w:instrText>PAGEREF section_cef504a96c0343388a35811de77e59b2</w:instrText>
      </w:r>
      <w:r>
        <w:fldChar w:fldCharType="separate"/>
      </w:r>
      <w:r>
        <w:rPr>
          <w:noProof/>
        </w:rPr>
        <w:t>440</w:t>
      </w:r>
      <w:r>
        <w:fldChar w:fldCharType="end"/>
      </w:r>
    </w:p>
    <w:p w:rsidR="00024C0A" w:rsidRDefault="00694C0F">
      <w:pPr>
        <w:pStyle w:val="indexentry0"/>
      </w:pPr>
      <w:hyperlink w:anchor="section_acdfd09dc4814c74a1cd90697c9d987e">
        <w:r>
          <w:rPr>
            <w:rStyle w:val="Hyperlink"/>
          </w:rPr>
          <w:t>PRICEMAT</w:t>
        </w:r>
      </w:hyperlink>
      <w:r>
        <w:t xml:space="preserve"> </w:t>
      </w:r>
      <w:r>
        <w:fldChar w:fldCharType="begin"/>
      </w:r>
      <w:r>
        <w:instrText>PAGEREF section_acdfd09dc4814c74a1cd90697c9d987e</w:instrText>
      </w:r>
      <w:r>
        <w:fldChar w:fldCharType="separate"/>
      </w:r>
      <w:r>
        <w:rPr>
          <w:noProof/>
        </w:rPr>
        <w:t>440</w:t>
      </w:r>
      <w:r>
        <w:fldChar w:fldCharType="end"/>
      </w:r>
    </w:p>
    <w:p w:rsidR="00024C0A" w:rsidRDefault="00694C0F">
      <w:pPr>
        <w:pStyle w:val="indexentry0"/>
      </w:pPr>
      <w:hyperlink w:anchor="section_b42eda12a66849169fd22fc2deda2359">
        <w:r>
          <w:rPr>
            <w:rStyle w:val="Hyperlink"/>
          </w:rPr>
          <w:t>PRINT</w:t>
        </w:r>
      </w:hyperlink>
      <w:r>
        <w:t xml:space="preserve"> </w:t>
      </w:r>
      <w:r>
        <w:fldChar w:fldCharType="begin"/>
      </w:r>
      <w:r>
        <w:instrText>PAGEREF sec</w:instrText>
      </w:r>
      <w:r>
        <w:instrText>tion_b42eda12a66849169fd22fc2deda2359</w:instrText>
      </w:r>
      <w:r>
        <w:fldChar w:fldCharType="separate"/>
      </w:r>
      <w:r>
        <w:rPr>
          <w:noProof/>
        </w:rPr>
        <w:t>218</w:t>
      </w:r>
      <w:r>
        <w:fldChar w:fldCharType="end"/>
      </w:r>
    </w:p>
    <w:p w:rsidR="00024C0A" w:rsidRDefault="00694C0F">
      <w:pPr>
        <w:pStyle w:val="indexentry0"/>
      </w:pPr>
      <w:hyperlink w:anchor="section_5f6bf1e3a9cf46c69ad63d8bcdb21a92">
        <w:r>
          <w:rPr>
            <w:rStyle w:val="Hyperlink"/>
          </w:rPr>
          <w:t>PRINTDATE</w:t>
        </w:r>
      </w:hyperlink>
      <w:r>
        <w:t xml:space="preserve"> </w:t>
      </w:r>
      <w:r>
        <w:fldChar w:fldCharType="begin"/>
      </w:r>
      <w:r>
        <w:instrText>PAGEREF section_5f6bf1e3a9cf46c69ad63d8bcdb21a92</w:instrText>
      </w:r>
      <w:r>
        <w:fldChar w:fldCharType="separate"/>
      </w:r>
      <w:r>
        <w:rPr>
          <w:noProof/>
        </w:rPr>
        <w:t>219</w:t>
      </w:r>
      <w:r>
        <w:fldChar w:fldCharType="end"/>
      </w:r>
    </w:p>
    <w:p w:rsidR="00024C0A" w:rsidRDefault="00694C0F">
      <w:pPr>
        <w:pStyle w:val="indexentry0"/>
      </w:pPr>
      <w:hyperlink w:anchor="section_6eda3d446cdc430ebe6ebb2327e747ad">
        <w:r>
          <w:rPr>
            <w:rStyle w:val="Hyperlink"/>
          </w:rPr>
          <w:t>Printer Settings Part</w:t>
        </w:r>
      </w:hyperlink>
      <w:r>
        <w:t xml:space="preserve"> </w:t>
      </w:r>
      <w:r>
        <w:fldChar w:fldCharType="begin"/>
      </w:r>
      <w:r>
        <w:instrText>PAGER</w:instrText>
      </w:r>
      <w:r>
        <w:instrText>EF section_6eda3d446cdc430ebe6ebb2327e747ad</w:instrText>
      </w:r>
      <w:r>
        <w:fldChar w:fldCharType="separate"/>
      </w:r>
      <w:r>
        <w:rPr>
          <w:noProof/>
        </w:rPr>
        <w:t>62</w:t>
      </w:r>
      <w:r>
        <w:fldChar w:fldCharType="end"/>
      </w:r>
    </w:p>
    <w:p w:rsidR="00024C0A" w:rsidRDefault="00694C0F">
      <w:pPr>
        <w:pStyle w:val="indexentry0"/>
      </w:pPr>
      <w:hyperlink w:anchor="section_5e58b73274f34537b4b6be33958bd32f">
        <w:r>
          <w:rPr>
            <w:rStyle w:val="Hyperlink"/>
          </w:rPr>
          <w:t>printerSettings (Reference to Printer Settings Data)</w:t>
        </w:r>
      </w:hyperlink>
      <w:r>
        <w:t xml:space="preserve"> </w:t>
      </w:r>
      <w:r>
        <w:fldChar w:fldCharType="begin"/>
      </w:r>
      <w:r>
        <w:instrText>PAGEREF section_5e58b73274f34537b4b6be33958bd32f</w:instrText>
      </w:r>
      <w:r>
        <w:fldChar w:fldCharType="separate"/>
      </w:r>
      <w:r>
        <w:rPr>
          <w:noProof/>
        </w:rPr>
        <w:t>103</w:t>
      </w:r>
      <w:r>
        <w:fldChar w:fldCharType="end"/>
      </w:r>
    </w:p>
    <w:p w:rsidR="00024C0A" w:rsidRDefault="00694C0F">
      <w:pPr>
        <w:pStyle w:val="indexentry0"/>
      </w:pPr>
      <w:hyperlink w:anchor="section_efb3ba595ce5401a8de162bf62a2d89d">
        <w:r>
          <w:rPr>
            <w:rStyle w:val="Hyperlink"/>
          </w:rPr>
          <w:t>printFractionalCharacterWidth (Print Fractional Character Widths)</w:t>
        </w:r>
      </w:hyperlink>
      <w:r>
        <w:t xml:space="preserve"> </w:t>
      </w:r>
      <w:r>
        <w:fldChar w:fldCharType="begin"/>
      </w:r>
      <w:r>
        <w:instrText>PAGEREF section_efb3ba595ce5401a8de162bf62a2d89d</w:instrText>
      </w:r>
      <w:r>
        <w:fldChar w:fldCharType="separate"/>
      </w:r>
      <w:r>
        <w:rPr>
          <w:noProof/>
        </w:rPr>
        <w:t>155</w:t>
      </w:r>
      <w:r>
        <w:fldChar w:fldCharType="end"/>
      </w:r>
    </w:p>
    <w:p w:rsidR="00024C0A" w:rsidRDefault="00694C0F">
      <w:pPr>
        <w:pStyle w:val="indexentry0"/>
      </w:pPr>
      <w:hyperlink w:anchor="section_9b0dce269f9e4536ba8337b34eb3f536">
        <w:r>
          <w:rPr>
            <w:rStyle w:val="Hyperlink"/>
          </w:rPr>
          <w:t>printPostScriptOverText (Print PostScript Codes With Do</w:t>
        </w:r>
        <w:r>
          <w:rPr>
            <w:rStyle w:val="Hyperlink"/>
          </w:rPr>
          <w:t>cument Text)</w:t>
        </w:r>
      </w:hyperlink>
      <w:r>
        <w:t xml:space="preserve"> </w:t>
      </w:r>
      <w:r>
        <w:fldChar w:fldCharType="begin"/>
      </w:r>
      <w:r>
        <w:instrText>PAGEREF section_9b0dce269f9e4536ba8337b34eb3f536</w:instrText>
      </w:r>
      <w:r>
        <w:fldChar w:fldCharType="separate"/>
      </w:r>
      <w:r>
        <w:rPr>
          <w:noProof/>
        </w:rPr>
        <w:t>155</w:t>
      </w:r>
      <w:r>
        <w:fldChar w:fldCharType="end"/>
      </w:r>
    </w:p>
    <w:p w:rsidR="00024C0A" w:rsidRDefault="00694C0F">
      <w:pPr>
        <w:pStyle w:val="indexentry0"/>
      </w:pPr>
      <w:hyperlink w:anchor="section_ed56b005235b41308db9602e08a13b96">
        <w:r>
          <w:rPr>
            <w:rStyle w:val="Hyperlink"/>
          </w:rPr>
          <w:t>printSettings (Print Settings)</w:t>
        </w:r>
      </w:hyperlink>
      <w:r>
        <w:t xml:space="preserve"> </w:t>
      </w:r>
      <w:r>
        <w:fldChar w:fldCharType="begin"/>
      </w:r>
      <w:r>
        <w:instrText>PAGEREF section_ed56b005235b41308db9602e08a13b96</w:instrText>
      </w:r>
      <w:r>
        <w:fldChar w:fldCharType="separate"/>
      </w:r>
      <w:r>
        <w:rPr>
          <w:noProof/>
        </w:rPr>
        <w:t>562</w:t>
      </w:r>
      <w:r>
        <w:fldChar w:fldCharType="end"/>
      </w:r>
    </w:p>
    <w:p w:rsidR="00024C0A" w:rsidRDefault="00694C0F">
      <w:pPr>
        <w:pStyle w:val="indexentry0"/>
      </w:pPr>
      <w:hyperlink w:anchor="section_6ab73e31403a4d83a90a2e0eb900f906">
        <w:r>
          <w:rPr>
            <w:rStyle w:val="Hyperlink"/>
          </w:rPr>
          <w:t>PROB</w:t>
        </w:r>
      </w:hyperlink>
      <w:r>
        <w:t xml:space="preserve"> </w:t>
      </w:r>
      <w:r>
        <w:fldChar w:fldCharType="begin"/>
      </w:r>
      <w:r>
        <w:instrText>PAGEREF section_6ab73e31403a4d83a90a2e0eb900f906</w:instrText>
      </w:r>
      <w:r>
        <w:fldChar w:fldCharType="separate"/>
      </w:r>
      <w:r>
        <w:rPr>
          <w:noProof/>
        </w:rPr>
        <w:t>441</w:t>
      </w:r>
      <w:r>
        <w:fldChar w:fldCharType="end"/>
      </w:r>
    </w:p>
    <w:p w:rsidR="00024C0A" w:rsidRDefault="00694C0F">
      <w:pPr>
        <w:pStyle w:val="indexentry0"/>
      </w:pPr>
      <w:hyperlink w:anchor="section_2198fc993b4945a2bbb8f68a85adb7fe">
        <w:r>
          <w:rPr>
            <w:rStyle w:val="Hyperlink"/>
          </w:rPr>
          <w:t>PRODUCT</w:t>
        </w:r>
      </w:hyperlink>
      <w:r>
        <w:t xml:space="preserve"> </w:t>
      </w:r>
      <w:r>
        <w:fldChar w:fldCharType="begin"/>
      </w:r>
      <w:r>
        <w:instrText>PAGEREF section_2198fc993b4945a2bbb8f68a85adb7fe</w:instrText>
      </w:r>
      <w:r>
        <w:fldChar w:fldCharType="separate"/>
      </w:r>
      <w:r>
        <w:rPr>
          <w:noProof/>
        </w:rPr>
        <w:t>441</w:t>
      </w:r>
      <w:r>
        <w:fldChar w:fldCharType="end"/>
      </w:r>
    </w:p>
    <w:p w:rsidR="00024C0A" w:rsidRDefault="00694C0F">
      <w:pPr>
        <w:pStyle w:val="indexentry0"/>
      </w:pPr>
      <w:hyperlink w:anchor="section_c6c5c46f909640e595f4cf70e7265ad9">
        <w:r>
          <w:rPr>
            <w:rStyle w:val="Hyperlink"/>
          </w:rPr>
          <w:t>progress (Progress)</w:t>
        </w:r>
      </w:hyperlink>
      <w:r>
        <w:t xml:space="preserve"> </w:t>
      </w:r>
      <w:r>
        <w:fldChar w:fldCharType="begin"/>
      </w:r>
      <w:r>
        <w:instrText>PAGEREF section_c6c5c46f909640e595f4cf70e7265ad9</w:instrText>
      </w:r>
      <w:r>
        <w:fldChar w:fldCharType="separate"/>
      </w:r>
      <w:r>
        <w:rPr>
          <w:noProof/>
        </w:rPr>
        <w:t>483</w:t>
      </w:r>
      <w:r>
        <w:fldChar w:fldCharType="end"/>
      </w:r>
    </w:p>
    <w:p w:rsidR="00024C0A" w:rsidRDefault="00694C0F">
      <w:pPr>
        <w:pStyle w:val="indexentry0"/>
      </w:pPr>
      <w:hyperlink w:anchor="section_dd236d155c664553b1bbcdbf1680bf1b">
        <w:r>
          <w:rPr>
            <w:rStyle w:val="Hyperlink"/>
          </w:rPr>
          <w:t>property (Custom File Property)</w:t>
        </w:r>
      </w:hyperlink>
      <w:r>
        <w:t xml:space="preserve"> </w:t>
      </w:r>
      <w:r>
        <w:fldChar w:fldCharType="begin"/>
      </w:r>
      <w:r>
        <w:instrText>PAGEREF section_dd236d155c</w:instrText>
      </w:r>
      <w:r>
        <w:instrText>664553b1bbcdbf1680bf1b</w:instrText>
      </w:r>
      <w:r>
        <w:fldChar w:fldCharType="separate"/>
      </w:r>
      <w:r>
        <w:rPr>
          <w:noProof/>
        </w:rPr>
        <w:t>605</w:t>
      </w:r>
      <w:r>
        <w:fldChar w:fldCharType="end"/>
      </w:r>
    </w:p>
    <w:p w:rsidR="00024C0A" w:rsidRDefault="00694C0F">
      <w:pPr>
        <w:pStyle w:val="indexentry0"/>
      </w:pPr>
      <w:hyperlink w:anchor="section_d162cec20b0d4de48edce1641a455d05">
        <w:r>
          <w:rPr>
            <w:rStyle w:val="Hyperlink"/>
          </w:rPr>
          <w:t>protectedRange (Protected Range)</w:t>
        </w:r>
      </w:hyperlink>
      <w:r>
        <w:t xml:space="preserve"> </w:t>
      </w:r>
      <w:r>
        <w:fldChar w:fldCharType="begin"/>
      </w:r>
      <w:r>
        <w:instrText>PAGEREF section_d162cec20b0d4de48edce1641a455d05</w:instrText>
      </w:r>
      <w:r>
        <w:fldChar w:fldCharType="separate"/>
      </w:r>
      <w:r>
        <w:rPr>
          <w:noProof/>
        </w:rPr>
        <w:t>277</w:t>
      </w:r>
      <w:r>
        <w:fldChar w:fldCharType="end"/>
      </w:r>
    </w:p>
    <w:p w:rsidR="00024C0A" w:rsidRDefault="00694C0F">
      <w:pPr>
        <w:pStyle w:val="indexentry0"/>
      </w:pPr>
      <w:hyperlink w:anchor="section_21ce5bfcf7c345cf9b7b6e46a34745c1">
        <w:r>
          <w:rPr>
            <w:rStyle w:val="Hyperlink"/>
          </w:rPr>
          <w:t>protection (Protectio</w:t>
        </w:r>
        <w:r>
          <w:rPr>
            <w:rStyle w:val="Hyperlink"/>
          </w:rPr>
          <w:t>n Properties)</w:t>
        </w:r>
      </w:hyperlink>
      <w:r>
        <w:t xml:space="preserve"> </w:t>
      </w:r>
      <w:r>
        <w:fldChar w:fldCharType="begin"/>
      </w:r>
      <w:r>
        <w:instrText>PAGEREF section_21ce5bfcf7c345cf9b7b6e46a34745c1</w:instrText>
      </w:r>
      <w:r>
        <w:fldChar w:fldCharType="separate"/>
      </w:r>
      <w:r>
        <w:rPr>
          <w:noProof/>
        </w:rPr>
        <w:t>310</w:t>
      </w:r>
      <w:r>
        <w:fldChar w:fldCharType="end"/>
      </w:r>
    </w:p>
    <w:p w:rsidR="00024C0A" w:rsidRDefault="00694C0F">
      <w:pPr>
        <w:pStyle w:val="indexentry0"/>
      </w:pPr>
      <w:hyperlink w:anchor="section_8c074063cd93473991fdec17d2bfa679">
        <w:r>
          <w:rPr>
            <w:rStyle w:val="Hyperlink"/>
          </w:rPr>
          <w:t>protection (Protection)</w:t>
        </w:r>
      </w:hyperlink>
      <w:r>
        <w:t xml:space="preserve"> </w:t>
      </w:r>
      <w:r>
        <w:fldChar w:fldCharType="begin"/>
      </w:r>
      <w:r>
        <w:instrText>PAGEREF section_8c074063cd93473991fdec17d2bfa679</w:instrText>
      </w:r>
      <w:r>
        <w:fldChar w:fldCharType="separate"/>
      </w:r>
      <w:r>
        <w:rPr>
          <w:noProof/>
        </w:rPr>
        <w:t>563</w:t>
      </w:r>
      <w:r>
        <w:fldChar w:fldCharType="end"/>
      </w:r>
    </w:p>
    <w:p w:rsidR="00024C0A" w:rsidRDefault="00694C0F">
      <w:pPr>
        <w:pStyle w:val="indexentry0"/>
      </w:pPr>
      <w:hyperlink w:anchor="section_5f6781486eee4abda61051e4240cbe7d">
        <w:r>
          <w:rPr>
            <w:rStyle w:val="Hyperlink"/>
          </w:rPr>
          <w:t>proxy (Shape Reference)</w:t>
        </w:r>
      </w:hyperlink>
      <w:r>
        <w:t xml:space="preserve"> </w:t>
      </w:r>
      <w:r>
        <w:fldChar w:fldCharType="begin"/>
      </w:r>
      <w:r>
        <w:instrText>PAGEREF section_5f6781486eee4abda61051e4240cbe7d</w:instrText>
      </w:r>
      <w:r>
        <w:fldChar w:fldCharType="separate"/>
      </w:r>
      <w:r>
        <w:rPr>
          <w:noProof/>
        </w:rPr>
        <w:t>667</w:t>
      </w:r>
      <w:r>
        <w:fldChar w:fldCharType="end"/>
      </w:r>
    </w:p>
    <w:p w:rsidR="00024C0A" w:rsidRDefault="00694C0F">
      <w:pPr>
        <w:pStyle w:val="indexentry0"/>
      </w:pPr>
      <w:hyperlink w:anchor="section_5a38b917dcd14a5d8788ae1f29d60b07">
        <w:r>
          <w:rPr>
            <w:rStyle w:val="Hyperlink"/>
          </w:rPr>
          <w:t>prSet (Property Set)</w:t>
        </w:r>
      </w:hyperlink>
      <w:r>
        <w:t xml:space="preserve"> </w:t>
      </w:r>
      <w:r>
        <w:fldChar w:fldCharType="begin"/>
      </w:r>
      <w:r>
        <w:instrText>PAGEREF section_5a38b917dcd14a5d8788ae1f29d60b07</w:instrText>
      </w:r>
      <w:r>
        <w:fldChar w:fldCharType="separate"/>
      </w:r>
      <w:r>
        <w:rPr>
          <w:noProof/>
        </w:rPr>
        <w:t>581</w:t>
      </w:r>
      <w:r>
        <w:fldChar w:fldCharType="end"/>
      </w:r>
    </w:p>
    <w:p w:rsidR="00024C0A" w:rsidRDefault="00694C0F">
      <w:pPr>
        <w:pStyle w:val="indexentry0"/>
      </w:pPr>
      <w:hyperlink w:anchor="section_848c9693a3484120b597e50b34988b5a">
        <w:r>
          <w:rPr>
            <w:rStyle w:val="Hyperlink"/>
          </w:rPr>
          <w:t>prstClr (Preset Color)</w:t>
        </w:r>
      </w:hyperlink>
      <w:r>
        <w:t xml:space="preserve"> </w:t>
      </w:r>
      <w:r>
        <w:fldChar w:fldCharType="begin"/>
      </w:r>
      <w:r>
        <w:instrText>PAGEREF section_848c9693a3484120b597e50b34988b5a</w:instrText>
      </w:r>
      <w:r>
        <w:fldChar w:fldCharType="separate"/>
      </w:r>
      <w:r>
        <w:rPr>
          <w:noProof/>
        </w:rPr>
        <w:t>501</w:t>
      </w:r>
      <w:r>
        <w:fldChar w:fldCharType="end"/>
      </w:r>
    </w:p>
    <w:p w:rsidR="00024C0A" w:rsidRDefault="00694C0F">
      <w:pPr>
        <w:pStyle w:val="indexentry0"/>
      </w:pPr>
      <w:hyperlink w:anchor="section_97207d86e4564bd9bffa527cca14613e">
        <w:r>
          <w:rPr>
            <w:rStyle w:val="Hyperlink"/>
          </w:rPr>
          <w:t>pStyle (Paragraph Style's Associated Numbering Level)</w:t>
        </w:r>
      </w:hyperlink>
      <w:r>
        <w:t xml:space="preserve"> </w:t>
      </w:r>
      <w:r>
        <w:fldChar w:fldCharType="begin"/>
      </w:r>
      <w:r>
        <w:instrText>PAGEREF section_97207d86e4564bd9bffa527cca14613e</w:instrText>
      </w:r>
      <w:r>
        <w:fldChar w:fldCharType="separate"/>
      </w:r>
      <w:r>
        <w:rPr>
          <w:noProof/>
        </w:rPr>
        <w:t>125</w:t>
      </w:r>
      <w:r>
        <w:fldChar w:fldCharType="end"/>
      </w:r>
    </w:p>
    <w:p w:rsidR="00024C0A" w:rsidRDefault="00694C0F">
      <w:pPr>
        <w:pStyle w:val="indexentry0"/>
      </w:pPr>
      <w:hyperlink w:anchor="section_116e5d7e734943748adbe53a78afa7cc">
        <w:r>
          <w:rPr>
            <w:rStyle w:val="Hyperlink"/>
          </w:rPr>
          <w:t>pStyle (Referenced Paragraph Style)</w:t>
        </w:r>
      </w:hyperlink>
      <w:r>
        <w:t xml:space="preserve"> </w:t>
      </w:r>
      <w:r>
        <w:fldChar w:fldCharType="begin"/>
      </w:r>
      <w:r>
        <w:instrText>PAGEREF section_116e5d7e734943748adbe53a78afa7cc</w:instrText>
      </w:r>
      <w:r>
        <w:fldChar w:fldCharType="separate"/>
      </w:r>
      <w:r>
        <w:rPr>
          <w:noProof/>
        </w:rPr>
        <w:t>66</w:t>
      </w:r>
      <w:r>
        <w:fldChar w:fldCharType="end"/>
      </w:r>
    </w:p>
    <w:p w:rsidR="00024C0A" w:rsidRDefault="00694C0F">
      <w:pPr>
        <w:pStyle w:val="indexentry0"/>
      </w:pPr>
      <w:hyperlink w:anchor="section_21771f8836944e2b9df27e0165525383">
        <w:r>
          <w:rPr>
            <w:rStyle w:val="Hyperlink"/>
          </w:rPr>
          <w:t>pt (Numeric Point)</w:t>
        </w:r>
      </w:hyperlink>
      <w:r>
        <w:t xml:space="preserve"> </w:t>
      </w:r>
      <w:r>
        <w:fldChar w:fldCharType="begin"/>
      </w:r>
      <w:r>
        <w:instrText>PAGEREF section_21771f8836944e2b9df27e0165525383</w:instrText>
      </w:r>
      <w:r>
        <w:fldChar w:fldCharType="separate"/>
      </w:r>
      <w:r>
        <w:rPr>
          <w:noProof/>
        </w:rPr>
        <w:t>563</w:t>
      </w:r>
      <w:r>
        <w:fldChar w:fldCharType="end"/>
      </w:r>
    </w:p>
    <w:p w:rsidR="00024C0A" w:rsidRDefault="00694C0F">
      <w:pPr>
        <w:pStyle w:val="indexentry0"/>
      </w:pPr>
      <w:hyperlink w:anchor="section_bb6cb160531d4452a00d2870294901c8">
        <w:r>
          <w:rPr>
            <w:rStyle w:val="Hyperlink"/>
          </w:rPr>
          <w:t>pt (Point)</w:t>
        </w:r>
      </w:hyperlink>
      <w:r>
        <w:t xml:space="preserve"> </w:t>
      </w:r>
      <w:r>
        <w:fldChar w:fldCharType="begin"/>
      </w:r>
      <w:r>
        <w:instrText>PAGEREF section_bb6cb160531d4452a00d2870294901c8</w:instrText>
      </w:r>
      <w:r>
        <w:fldChar w:fldCharType="separate"/>
      </w:r>
      <w:r>
        <w:rPr>
          <w:noProof/>
        </w:rPr>
        <w:t>581</w:t>
      </w:r>
      <w:r>
        <w:fldChar w:fldCharType="end"/>
      </w:r>
    </w:p>
    <w:p w:rsidR="00024C0A" w:rsidRDefault="00694C0F">
      <w:pPr>
        <w:pStyle w:val="indexentry0"/>
      </w:pPr>
      <w:hyperlink w:anchor="section_10ef747bd3a848b8873e665640b6415c">
        <w:r>
          <w:rPr>
            <w:rStyle w:val="Hyperlink"/>
          </w:rPr>
          <w:t>pt (Shape Path Point)</w:t>
        </w:r>
      </w:hyperlink>
      <w:r>
        <w:t xml:space="preserve"> </w:t>
      </w:r>
      <w:r>
        <w:fldChar w:fldCharType="begin"/>
      </w:r>
      <w:r>
        <w:instrText>PAGEREF section_10ef747bd3a848b8873e665640b6415c</w:instrText>
      </w:r>
      <w:r>
        <w:fldChar w:fldCharType="separate"/>
      </w:r>
      <w:r>
        <w:rPr>
          <w:noProof/>
        </w:rPr>
        <w:t>515</w:t>
      </w:r>
      <w:r>
        <w:fldChar w:fldCharType="end"/>
      </w:r>
    </w:p>
    <w:p w:rsidR="00024C0A" w:rsidRDefault="00694C0F">
      <w:pPr>
        <w:pStyle w:val="indexentry0"/>
      </w:pPr>
      <w:hyperlink w:anchor="section_a73d668fe5e64f209740a419ea6e4ea3">
        <w:r>
          <w:rPr>
            <w:rStyle w:val="Hyperlink"/>
          </w:rPr>
          <w:t>pt (String Point)</w:t>
        </w:r>
      </w:hyperlink>
      <w:r>
        <w:t xml:space="preserve"> </w:t>
      </w:r>
      <w:r>
        <w:fldChar w:fldCharType="begin"/>
      </w:r>
      <w:r>
        <w:instrText>PAGEREF section_a73d668fe5e64f209740a419ea6e4ea3</w:instrText>
      </w:r>
      <w:r>
        <w:fldChar w:fldCharType="separate"/>
      </w:r>
      <w:r>
        <w:rPr>
          <w:noProof/>
        </w:rPr>
        <w:t>563</w:t>
      </w:r>
      <w:r>
        <w:fldChar w:fldCharType="end"/>
      </w:r>
    </w:p>
    <w:p w:rsidR="00024C0A" w:rsidRDefault="00694C0F">
      <w:pPr>
        <w:pStyle w:val="indexentry0"/>
      </w:pPr>
      <w:hyperlink w:anchor="section_cc0514b40c864b5493dbb549ef487ce6">
        <w:r>
          <w:rPr>
            <w:rStyle w:val="Hyperlink"/>
          </w:rPr>
          <w:t>ptCount (Point Count)</w:t>
        </w:r>
      </w:hyperlink>
      <w:r>
        <w:t xml:space="preserve"> </w:t>
      </w:r>
      <w:r>
        <w:fldChar w:fldCharType="begin"/>
      </w:r>
      <w:r>
        <w:instrText>PAGEREF section_cc0514b40c864b5493dbb549ef487ce6</w:instrText>
      </w:r>
      <w:r>
        <w:fldChar w:fldCharType="separate"/>
      </w:r>
      <w:r>
        <w:rPr>
          <w:noProof/>
        </w:rPr>
        <w:t>563</w:t>
      </w:r>
      <w:r>
        <w:fldChar w:fldCharType="end"/>
      </w:r>
    </w:p>
    <w:p w:rsidR="00024C0A" w:rsidRDefault="00694C0F">
      <w:pPr>
        <w:pStyle w:val="indexentry0"/>
      </w:pPr>
      <w:hyperlink w:anchor="section_f7742a9e6b754404a61378ac041b7765">
        <w:r>
          <w:rPr>
            <w:rStyle w:val="Hyperlink"/>
          </w:rPr>
          <w:t>PublishDate (Document Publish Date)</w:t>
        </w:r>
      </w:hyperlink>
      <w:r>
        <w:t xml:space="preserve"> </w:t>
      </w:r>
      <w:r>
        <w:fldChar w:fldCharType="begin"/>
      </w:r>
      <w:r>
        <w:instrText>PAGEREF section_f7742a9e6b754404a61378ac041b7765</w:instrText>
      </w:r>
      <w:r>
        <w:fldChar w:fldCharType="separate"/>
      </w:r>
      <w:r>
        <w:rPr>
          <w:noProof/>
        </w:rPr>
        <w:t>851</w:t>
      </w:r>
      <w:r>
        <w:fldChar w:fldCharType="end"/>
      </w:r>
    </w:p>
    <w:p w:rsidR="00024C0A" w:rsidRDefault="00694C0F">
      <w:pPr>
        <w:pStyle w:val="indexentry0"/>
      </w:pPr>
      <w:hyperlink w:anchor="section_dec0bdefb97a4de69df1c5ed7f74e150">
        <w:r>
          <w:rPr>
            <w:rStyle w:val="Hyperlink"/>
          </w:rPr>
          <w:t>PV</w:t>
        </w:r>
      </w:hyperlink>
      <w:r>
        <w:t xml:space="preserve"> </w:t>
      </w:r>
      <w:r>
        <w:fldChar w:fldCharType="begin"/>
      </w:r>
      <w:r>
        <w:instrText>PAGEREF section_dec0bdefb97a4de69df1c5ed7f74e150</w:instrText>
      </w:r>
      <w:r>
        <w:fldChar w:fldCharType="separate"/>
      </w:r>
      <w:r>
        <w:rPr>
          <w:noProof/>
        </w:rPr>
        <w:t>442</w:t>
      </w:r>
      <w:r>
        <w:fldChar w:fldCharType="end"/>
      </w:r>
    </w:p>
    <w:p w:rsidR="00024C0A" w:rsidRDefault="00024C0A">
      <w:pPr>
        <w:spacing w:before="0" w:after="0"/>
        <w:rPr>
          <w:sz w:val="16"/>
        </w:rPr>
      </w:pPr>
    </w:p>
    <w:p w:rsidR="00024C0A" w:rsidRDefault="00694C0F">
      <w:pPr>
        <w:pStyle w:val="indexheader"/>
      </w:pPr>
      <w:r>
        <w:t>Q</w:t>
      </w:r>
    </w:p>
    <w:p w:rsidR="00024C0A" w:rsidRDefault="00024C0A">
      <w:pPr>
        <w:spacing w:before="0" w:after="0"/>
        <w:rPr>
          <w:sz w:val="16"/>
        </w:rPr>
      </w:pPr>
    </w:p>
    <w:p w:rsidR="00024C0A" w:rsidRDefault="00694C0F">
      <w:pPr>
        <w:pStyle w:val="indexentry0"/>
      </w:pPr>
      <w:hyperlink w:anchor="section_a9c31b5313cd44a29b23ed04ed2aa79b">
        <w:r>
          <w:rPr>
            <w:rStyle w:val="Hyperlink"/>
          </w:rPr>
          <w:t>query (Query For Data Source Records To Merge)</w:t>
        </w:r>
      </w:hyperlink>
      <w:r>
        <w:t xml:space="preserve"> </w:t>
      </w:r>
      <w:r>
        <w:fldChar w:fldCharType="begin"/>
      </w:r>
      <w:r>
        <w:instrText>PAGEREF section_a9c31b5313cd44a29b23ed04ed2aa79b</w:instrText>
      </w:r>
      <w:r>
        <w:fldChar w:fldCharType="separate"/>
      </w:r>
      <w:r>
        <w:rPr>
          <w:noProof/>
        </w:rPr>
        <w:t>145</w:t>
      </w:r>
      <w:r>
        <w:fldChar w:fldCharType="end"/>
      </w:r>
    </w:p>
    <w:p w:rsidR="00024C0A" w:rsidRDefault="00694C0F">
      <w:pPr>
        <w:pStyle w:val="indexentry0"/>
      </w:pPr>
      <w:hyperlink w:anchor="section_17df2d7dd5bd4329906b1d4b4adc0c02">
        <w:r>
          <w:rPr>
            <w:rStyle w:val="Hyperlink"/>
          </w:rPr>
          <w:t>query (Query)</w:t>
        </w:r>
      </w:hyperlink>
      <w:r>
        <w:t xml:space="preserve"> </w:t>
      </w:r>
      <w:r>
        <w:fldChar w:fldCharType="begin"/>
      </w:r>
      <w:r>
        <w:instrText>PAGEREF section_17df2d7dd5bd4329906b1d4b4adc0c02</w:instrText>
      </w:r>
      <w:r>
        <w:fldChar w:fldCharType="separate"/>
      </w:r>
      <w:r>
        <w:rPr>
          <w:noProof/>
        </w:rPr>
        <w:t>353</w:t>
      </w:r>
      <w:r>
        <w:fldChar w:fldCharType="end"/>
      </w:r>
    </w:p>
    <w:p w:rsidR="00024C0A" w:rsidRDefault="00694C0F">
      <w:pPr>
        <w:pStyle w:val="indexentry0"/>
      </w:pPr>
      <w:hyperlink w:anchor="section_ad7e94cbf93d40629e7059f03c10f5cb">
        <w:r>
          <w:rPr>
            <w:rStyle w:val="Hyperlink"/>
          </w:rPr>
          <w:t>queryTable (Query Table)</w:t>
        </w:r>
      </w:hyperlink>
      <w:r>
        <w:t xml:space="preserve"> </w:t>
      </w:r>
      <w:r>
        <w:fldChar w:fldCharType="begin"/>
      </w:r>
      <w:r>
        <w:instrText>PAGEREF section_ad7e94cbf93d40629e7059f03c10f5cb</w:instrText>
      </w:r>
      <w:r>
        <w:fldChar w:fldCharType="separate"/>
      </w:r>
      <w:r>
        <w:rPr>
          <w:noProof/>
        </w:rPr>
        <w:t>373</w:t>
      </w:r>
      <w:r>
        <w:fldChar w:fldCharType="end"/>
      </w:r>
    </w:p>
    <w:p w:rsidR="00024C0A" w:rsidRDefault="00694C0F">
      <w:pPr>
        <w:pStyle w:val="indexentry0"/>
      </w:pPr>
      <w:hyperlink w:anchor="section_fef88e81fa6046b09fd98578a18088b2">
        <w:r>
          <w:rPr>
            <w:rStyle w:val="Hyperlink"/>
          </w:rPr>
          <w:t>queryTableField (QueryTable Field)</w:t>
        </w:r>
      </w:hyperlink>
      <w:r>
        <w:t xml:space="preserve"> </w:t>
      </w:r>
      <w:r>
        <w:fldChar w:fldCharType="begin"/>
      </w:r>
      <w:r>
        <w:instrText>PAGEREF section_fef88e81fa6046b09fd98578a18088b2</w:instrText>
      </w:r>
      <w:r>
        <w:fldChar w:fldCharType="separate"/>
      </w:r>
      <w:r>
        <w:rPr>
          <w:noProof/>
        </w:rPr>
        <w:t>374</w:t>
      </w:r>
      <w:r>
        <w:fldChar w:fldCharType="end"/>
      </w:r>
    </w:p>
    <w:p w:rsidR="00024C0A" w:rsidRDefault="00694C0F">
      <w:pPr>
        <w:pStyle w:val="indexentry0"/>
      </w:pPr>
      <w:hyperlink w:anchor="section_cd1089f6b04b458f8077489b116b61ba">
        <w:r>
          <w:rPr>
            <w:rStyle w:val="Hyperlink"/>
          </w:rPr>
          <w:t>queryTableRefresh (QueryTable Refresh Information)</w:t>
        </w:r>
      </w:hyperlink>
      <w:r>
        <w:t xml:space="preserve"> </w:t>
      </w:r>
      <w:r>
        <w:fldChar w:fldCharType="begin"/>
      </w:r>
      <w:r>
        <w:instrText>PAGEREF section_cd1089f6b04b458f8077489b116b61ba</w:instrText>
      </w:r>
      <w:r>
        <w:fldChar w:fldCharType="separate"/>
      </w:r>
      <w:r>
        <w:rPr>
          <w:noProof/>
        </w:rPr>
        <w:t>374</w:t>
      </w:r>
      <w:r>
        <w:fldChar w:fldCharType="end"/>
      </w:r>
    </w:p>
    <w:p w:rsidR="00024C0A" w:rsidRDefault="00694C0F">
      <w:pPr>
        <w:pStyle w:val="indexentry0"/>
      </w:pPr>
      <w:hyperlink w:anchor="section_55d273e4770e48bc883fc66dc2816d30">
        <w:r>
          <w:rPr>
            <w:rStyle w:val="Hyperlink"/>
          </w:rPr>
          <w:t>Quick Access Toolbar Customizations Part</w:t>
        </w:r>
      </w:hyperlink>
      <w:r>
        <w:t xml:space="preserve"> </w:t>
      </w:r>
      <w:r>
        <w:fldChar w:fldCharType="begin"/>
      </w:r>
      <w:r>
        <w:instrText>PAGEREF secti</w:instrText>
      </w:r>
      <w:r>
        <w:instrText>on_55d273e4770e48bc883fc66dc2816d30</w:instrText>
      </w:r>
      <w:r>
        <w:fldChar w:fldCharType="separate"/>
      </w:r>
      <w:r>
        <w:rPr>
          <w:noProof/>
        </w:rPr>
        <w:t>845</w:t>
      </w:r>
      <w:r>
        <w:fldChar w:fldCharType="end"/>
      </w:r>
    </w:p>
    <w:p w:rsidR="00024C0A" w:rsidRDefault="00694C0F">
      <w:pPr>
        <w:pStyle w:val="indexentry0"/>
      </w:pPr>
      <w:hyperlink w:anchor="section_f4b4975ae97c41cd8461fe1b08714aaa">
        <w:r>
          <w:rPr>
            <w:rStyle w:val="Hyperlink"/>
          </w:rPr>
          <w:t>QUOTE</w:t>
        </w:r>
      </w:hyperlink>
      <w:r>
        <w:t xml:space="preserve"> </w:t>
      </w:r>
      <w:r>
        <w:fldChar w:fldCharType="begin"/>
      </w:r>
      <w:r>
        <w:instrText>PAGEREF section_f4b4975ae97c41cd8461fe1b08714aaa</w:instrText>
      </w:r>
      <w:r>
        <w:fldChar w:fldCharType="separate"/>
      </w:r>
      <w:r>
        <w:rPr>
          <w:noProof/>
        </w:rPr>
        <w:t>219</w:t>
      </w:r>
      <w:r>
        <w:fldChar w:fldCharType="end"/>
      </w:r>
    </w:p>
    <w:p w:rsidR="00024C0A" w:rsidRDefault="00024C0A">
      <w:pPr>
        <w:spacing w:before="0" w:after="0"/>
        <w:rPr>
          <w:sz w:val="16"/>
        </w:rPr>
      </w:pPr>
    </w:p>
    <w:p w:rsidR="00024C0A" w:rsidRDefault="00694C0F">
      <w:pPr>
        <w:pStyle w:val="indexheader"/>
      </w:pPr>
      <w:r>
        <w:t>R</w:t>
      </w:r>
    </w:p>
    <w:p w:rsidR="00024C0A" w:rsidRDefault="00024C0A">
      <w:pPr>
        <w:spacing w:before="0" w:after="0"/>
        <w:rPr>
          <w:sz w:val="16"/>
        </w:rPr>
      </w:pPr>
    </w:p>
    <w:p w:rsidR="00024C0A" w:rsidRDefault="00694C0F">
      <w:pPr>
        <w:pStyle w:val="indexentry0"/>
      </w:pPr>
      <w:hyperlink w:anchor="section_f1a0020af88a4f86b0d6cc59f8332454">
        <w:r>
          <w:rPr>
            <w:rStyle w:val="Hyperlink"/>
          </w:rPr>
          <w:t>r (PivotCache Record)</w:t>
        </w:r>
      </w:hyperlink>
      <w:r>
        <w:t xml:space="preserve"> </w:t>
      </w:r>
      <w:r>
        <w:fldChar w:fldCharType="begin"/>
      </w:r>
      <w:r>
        <w:instrText>PAGEREF</w:instrText>
      </w:r>
      <w:r>
        <w:instrText xml:space="preserve"> section_f1a0020af88a4f86b0d6cc59f8332454</w:instrText>
      </w:r>
      <w:r>
        <w:fldChar w:fldCharType="separate"/>
      </w:r>
      <w:r>
        <w:rPr>
          <w:noProof/>
        </w:rPr>
        <w:t>353</w:t>
      </w:r>
      <w:r>
        <w:fldChar w:fldCharType="end"/>
      </w:r>
    </w:p>
    <w:p w:rsidR="00024C0A" w:rsidRDefault="00694C0F">
      <w:pPr>
        <w:pStyle w:val="indexentry0"/>
      </w:pPr>
      <w:hyperlink w:anchor="section_2f8d7b7c53824e9e9365120a88a1eb5f">
        <w:r>
          <w:rPr>
            <w:rStyle w:val="Hyperlink"/>
          </w:rPr>
          <w:t>r (Rule)</w:t>
        </w:r>
      </w:hyperlink>
      <w:r>
        <w:t xml:space="preserve"> </w:t>
      </w:r>
      <w:r>
        <w:fldChar w:fldCharType="begin"/>
      </w:r>
      <w:r>
        <w:instrText>PAGEREF section_2f8d7b7c53824e9e9365120a88a1eb5f</w:instrText>
      </w:r>
      <w:r>
        <w:fldChar w:fldCharType="separate"/>
      </w:r>
      <w:r>
        <w:rPr>
          <w:noProof/>
        </w:rPr>
        <w:t>668</w:t>
      </w:r>
      <w:r>
        <w:fldChar w:fldCharType="end"/>
      </w:r>
    </w:p>
    <w:p w:rsidR="00024C0A" w:rsidRDefault="00694C0F">
      <w:pPr>
        <w:pStyle w:val="indexentry0"/>
      </w:pPr>
      <w:hyperlink w:anchor="section_a3a6444b11de4ac581bafe03b07f8a45">
        <w:r>
          <w:rPr>
            <w:rStyle w:val="Hyperlink"/>
          </w:rPr>
          <w:t>r (Run)</w:t>
        </w:r>
      </w:hyperlink>
      <w:r>
        <w:t xml:space="preserve"> </w:t>
      </w:r>
      <w:r>
        <w:fldChar w:fldCharType="begin"/>
      </w:r>
      <w:r>
        <w:instrText>PAGEREF section_</w:instrText>
      </w:r>
      <w:r>
        <w:instrText>a3a6444b11de4ac581bafe03b07f8a45</w:instrText>
      </w:r>
      <w:r>
        <w:fldChar w:fldCharType="separate"/>
      </w:r>
      <w:r>
        <w:rPr>
          <w:noProof/>
        </w:rPr>
        <w:t>598</w:t>
      </w:r>
      <w:r>
        <w:fldChar w:fldCharType="end"/>
      </w:r>
    </w:p>
    <w:p w:rsidR="00024C0A" w:rsidRDefault="00694C0F">
      <w:pPr>
        <w:pStyle w:val="indexentry0"/>
      </w:pPr>
      <w:r>
        <w:t>r (Text Run) (</w:t>
      </w:r>
      <w:hyperlink w:anchor="section_f2e9836a5ffa4c5d87420c7a0637b277">
        <w:r>
          <w:rPr>
            <w:rStyle w:val="Hyperlink"/>
          </w:rPr>
          <w:t>section 2.1.87</w:t>
        </w:r>
      </w:hyperlink>
      <w:r>
        <w:t xml:space="preserve"> </w:t>
      </w:r>
      <w:r>
        <w:fldChar w:fldCharType="begin"/>
      </w:r>
      <w:r>
        <w:instrText>PAGEREF section_f2e9836a5ffa4c5d87420c7a0637b277</w:instrText>
      </w:r>
      <w:r>
        <w:fldChar w:fldCharType="separate"/>
      </w:r>
      <w:r>
        <w:rPr>
          <w:noProof/>
        </w:rPr>
        <w:t>72</w:t>
      </w:r>
      <w:r>
        <w:fldChar w:fldCharType="end"/>
      </w:r>
      <w:r>
        <w:t xml:space="preserve">, </w:t>
      </w:r>
      <w:hyperlink w:anchor="section_a58bef0cc9b542ca9bb3ebd6657a1a94">
        <w:r>
          <w:rPr>
            <w:rStyle w:val="Hyperlink"/>
          </w:rPr>
          <w:t>section 2.1.1392</w:t>
        </w:r>
      </w:hyperlink>
      <w:r>
        <w:t xml:space="preserve"> </w:t>
      </w:r>
      <w:r>
        <w:fldChar w:fldCharType="begin"/>
      </w:r>
      <w:r>
        <w:instrText>PAGEREF section_a58bef0cc9b542ca9bb3ebd6657a1a94</w:instrText>
      </w:r>
      <w:r>
        <w:fldChar w:fldCharType="separate"/>
      </w:r>
      <w:r>
        <w:rPr>
          <w:noProof/>
        </w:rPr>
        <w:t>534</w:t>
      </w:r>
      <w:r>
        <w:fldChar w:fldCharType="end"/>
      </w:r>
      <w:r>
        <w:t>)</w:t>
      </w:r>
    </w:p>
    <w:p w:rsidR="00024C0A" w:rsidRDefault="00694C0F">
      <w:pPr>
        <w:pStyle w:val="indexentry0"/>
      </w:pPr>
      <w:hyperlink w:anchor="section_85f4d41ff3d649c987c1d570f55b03cb">
        <w:r>
          <w:rPr>
            <w:rStyle w:val="Hyperlink"/>
          </w:rPr>
          <w:t>R1C1 formulas</w:t>
        </w:r>
      </w:hyperlink>
      <w:r>
        <w:t xml:space="preserve"> </w:t>
      </w:r>
      <w:r>
        <w:fldChar w:fldCharType="begin"/>
      </w:r>
      <w:r>
        <w:instrText>PAGEREF section_85f4d41ff3d649c987c1d570f55b03cb</w:instrText>
      </w:r>
      <w:r>
        <w:fldChar w:fldCharType="separate"/>
      </w:r>
      <w:r>
        <w:rPr>
          <w:noProof/>
        </w:rPr>
        <w:t>840</w:t>
      </w:r>
      <w:r>
        <w:fldChar w:fldCharType="end"/>
      </w:r>
    </w:p>
    <w:p w:rsidR="00024C0A" w:rsidRDefault="00694C0F">
      <w:pPr>
        <w:pStyle w:val="indexentry0"/>
      </w:pPr>
      <w:hyperlink w:anchor="section_8d68c790057144f68583f837e72635ed">
        <w:r>
          <w:rPr>
            <w:rStyle w:val="Hyperlink"/>
          </w:rPr>
          <w:t>R1C1-Style Cell Reference</w:t>
        </w:r>
      </w:hyperlink>
      <w:r>
        <w:t xml:space="preserve"> </w:t>
      </w:r>
      <w:r>
        <w:fldChar w:fldCharType="begin"/>
      </w:r>
      <w:r>
        <w:instrText>PAGEREF section_8d68c790057144f68583f837e72635ed</w:instrText>
      </w:r>
      <w:r>
        <w:fldChar w:fldCharType="separate"/>
      </w:r>
      <w:r>
        <w:rPr>
          <w:noProof/>
        </w:rPr>
        <w:t>392</w:t>
      </w:r>
      <w:r>
        <w:fldChar w:fldCharType="end"/>
      </w:r>
    </w:p>
    <w:p w:rsidR="00024C0A" w:rsidRDefault="00694C0F">
      <w:pPr>
        <w:pStyle w:val="indexentry0"/>
      </w:pPr>
      <w:hyperlink w:anchor="section_2fa23caf92704a7691eafb97223fb074">
        <w:r>
          <w:rPr>
            <w:rStyle w:val="Hyperlink"/>
          </w:rPr>
          <w:t>rad (Radical Object)</w:t>
        </w:r>
      </w:hyperlink>
      <w:r>
        <w:t xml:space="preserve"> </w:t>
      </w:r>
      <w:r>
        <w:fldChar w:fldCharType="begin"/>
      </w:r>
      <w:r>
        <w:instrText>PAGEREF section_2fa23caf92704a7691eafb97223fb074</w:instrText>
      </w:r>
      <w:r>
        <w:fldChar w:fldCharType="separate"/>
      </w:r>
      <w:r>
        <w:rPr>
          <w:noProof/>
        </w:rPr>
        <w:t>598</w:t>
      </w:r>
      <w:r>
        <w:fldChar w:fldCharType="end"/>
      </w:r>
    </w:p>
    <w:p w:rsidR="00024C0A" w:rsidRDefault="00694C0F">
      <w:pPr>
        <w:pStyle w:val="indexentry0"/>
      </w:pPr>
      <w:hyperlink w:anchor="section_0cd74246587c4969aa8c705f633ff3d9">
        <w:r>
          <w:rPr>
            <w:rStyle w:val="Hyperlink"/>
          </w:rPr>
          <w:t>radarChart (Radar Charts)</w:t>
        </w:r>
      </w:hyperlink>
      <w:r>
        <w:t xml:space="preserve"> </w:t>
      </w:r>
      <w:r>
        <w:fldChar w:fldCharType="begin"/>
      </w:r>
      <w:r>
        <w:instrText>PAGEREF section_0cd74246587c4969aa8c705f633ff3d9</w:instrText>
      </w:r>
      <w:r>
        <w:fldChar w:fldCharType="separate"/>
      </w:r>
      <w:r>
        <w:rPr>
          <w:noProof/>
        </w:rPr>
        <w:t>563</w:t>
      </w:r>
      <w:r>
        <w:fldChar w:fldCharType="end"/>
      </w:r>
    </w:p>
    <w:p w:rsidR="00024C0A" w:rsidRDefault="00694C0F">
      <w:pPr>
        <w:pStyle w:val="indexentry0"/>
      </w:pPr>
      <w:hyperlink w:anchor="section_b303418c8a0746d5b1dee6905c3b589c">
        <w:r>
          <w:rPr>
            <w:rStyle w:val="Hyperlink"/>
          </w:rPr>
          <w:t>radarStyle (Radar Style)</w:t>
        </w:r>
      </w:hyperlink>
      <w:r>
        <w:t xml:space="preserve"> </w:t>
      </w:r>
      <w:r>
        <w:fldChar w:fldCharType="begin"/>
      </w:r>
      <w:r>
        <w:instrText>PAGEREF section_b303418c8a0746d5b1dee6905c3b589c</w:instrText>
      </w:r>
      <w:r>
        <w:fldChar w:fldCharType="separate"/>
      </w:r>
      <w:r>
        <w:rPr>
          <w:noProof/>
        </w:rPr>
        <w:t>563</w:t>
      </w:r>
      <w:r>
        <w:fldChar w:fldCharType="end"/>
      </w:r>
    </w:p>
    <w:p w:rsidR="00024C0A" w:rsidRDefault="00694C0F">
      <w:pPr>
        <w:pStyle w:val="indexentry0"/>
      </w:pPr>
      <w:hyperlink w:anchor="section_c204cff307be4db39524f802d03fa17c">
        <w:r>
          <w:rPr>
            <w:rStyle w:val="Hyperlink"/>
          </w:rPr>
          <w:t>raf (Revision AutoFormat)</w:t>
        </w:r>
      </w:hyperlink>
      <w:r>
        <w:t xml:space="preserve"> </w:t>
      </w:r>
      <w:r>
        <w:fldChar w:fldCharType="begin"/>
      </w:r>
      <w:r>
        <w:instrText>PAGEREF section_c204cff307be4db39524f802d03fa17c</w:instrText>
      </w:r>
      <w:r>
        <w:fldChar w:fldCharType="separate"/>
      </w:r>
      <w:r>
        <w:rPr>
          <w:noProof/>
        </w:rPr>
        <w:t>369</w:t>
      </w:r>
      <w:r>
        <w:fldChar w:fldCharType="end"/>
      </w:r>
    </w:p>
    <w:p w:rsidR="00024C0A" w:rsidRDefault="00694C0F">
      <w:pPr>
        <w:pStyle w:val="indexentry0"/>
      </w:pPr>
      <w:hyperlink w:anchor="section_c7d20cb511c9401ab29a03574828cd25">
        <w:r>
          <w:rPr>
            <w:rStyle w:val="Hyperlink"/>
          </w:rPr>
          <w:t>rAngAx (Right Angle Axes)</w:t>
        </w:r>
      </w:hyperlink>
      <w:r>
        <w:t xml:space="preserve"> </w:t>
      </w:r>
      <w:r>
        <w:fldChar w:fldCharType="begin"/>
      </w:r>
      <w:r>
        <w:instrText>PAGEREF section_c7d20cb511c9401ab29</w:instrText>
      </w:r>
      <w:r>
        <w:instrText>a03574828cd25</w:instrText>
      </w:r>
      <w:r>
        <w:fldChar w:fldCharType="separate"/>
      </w:r>
      <w:r>
        <w:rPr>
          <w:noProof/>
        </w:rPr>
        <w:t>564</w:t>
      </w:r>
      <w:r>
        <w:fldChar w:fldCharType="end"/>
      </w:r>
    </w:p>
    <w:p w:rsidR="00024C0A" w:rsidRDefault="00694C0F">
      <w:pPr>
        <w:pStyle w:val="indexentry0"/>
      </w:pPr>
      <w:hyperlink w:anchor="section_26ccde017f1e47eb997380dad81e6e0e">
        <w:r>
          <w:rPr>
            <w:rStyle w:val="Hyperlink"/>
          </w:rPr>
          <w:t>rangePr (Range Grouping Properties)</w:t>
        </w:r>
      </w:hyperlink>
      <w:r>
        <w:t xml:space="preserve"> </w:t>
      </w:r>
      <w:r>
        <w:fldChar w:fldCharType="begin"/>
      </w:r>
      <w:r>
        <w:instrText>PAGEREF section_26ccde017f1e47eb997380dad81e6e0e</w:instrText>
      </w:r>
      <w:r>
        <w:fldChar w:fldCharType="separate"/>
      </w:r>
      <w:r>
        <w:rPr>
          <w:noProof/>
        </w:rPr>
        <w:t>353</w:t>
      </w:r>
      <w:r>
        <w:fldChar w:fldCharType="end"/>
      </w:r>
    </w:p>
    <w:p w:rsidR="00024C0A" w:rsidRDefault="00694C0F">
      <w:pPr>
        <w:pStyle w:val="indexentry0"/>
      </w:pPr>
      <w:hyperlink w:anchor="section_a9b7cdf864e547c9950debe253c5c82e">
        <w:r>
          <w:rPr>
            <w:rStyle w:val="Hyperlink"/>
          </w:rPr>
          <w:t>rangeSet (Range Set)</w:t>
        </w:r>
      </w:hyperlink>
      <w:r>
        <w:t xml:space="preserve"> </w:t>
      </w:r>
      <w:r>
        <w:fldChar w:fldCharType="begin"/>
      </w:r>
      <w:r>
        <w:instrText>PAGE</w:instrText>
      </w:r>
      <w:r>
        <w:instrText>REF section_a9b7cdf864e547c9950debe253c5c82e</w:instrText>
      </w:r>
      <w:r>
        <w:fldChar w:fldCharType="separate"/>
      </w:r>
      <w:r>
        <w:rPr>
          <w:noProof/>
        </w:rPr>
        <w:t>354</w:t>
      </w:r>
      <w:r>
        <w:fldChar w:fldCharType="end"/>
      </w:r>
    </w:p>
    <w:p w:rsidR="00024C0A" w:rsidRDefault="00694C0F">
      <w:pPr>
        <w:pStyle w:val="indexentry0"/>
      </w:pPr>
      <w:hyperlink w:anchor="section_cdea6da968434689976deed0f25b764f">
        <w:r>
          <w:rPr>
            <w:rStyle w:val="Hyperlink"/>
          </w:rPr>
          <w:t>RANK</w:t>
        </w:r>
      </w:hyperlink>
      <w:r>
        <w:t xml:space="preserve"> </w:t>
      </w:r>
      <w:r>
        <w:fldChar w:fldCharType="begin"/>
      </w:r>
      <w:r>
        <w:instrText>PAGEREF section_cdea6da968434689976deed0f25b764f</w:instrText>
      </w:r>
      <w:r>
        <w:fldChar w:fldCharType="separate"/>
      </w:r>
      <w:r>
        <w:rPr>
          <w:noProof/>
        </w:rPr>
        <w:t>442</w:t>
      </w:r>
      <w:r>
        <w:fldChar w:fldCharType="end"/>
      </w:r>
    </w:p>
    <w:p w:rsidR="00024C0A" w:rsidRDefault="00694C0F">
      <w:pPr>
        <w:pStyle w:val="indexentry0"/>
      </w:pPr>
      <w:hyperlink w:anchor="section_6bf7d39525104a2cb31878717aecd437">
        <w:r>
          <w:rPr>
            <w:rStyle w:val="Hyperlink"/>
          </w:rPr>
          <w:t>RATE</w:t>
        </w:r>
      </w:hyperlink>
      <w:r>
        <w:t xml:space="preserve"> </w:t>
      </w:r>
      <w:r>
        <w:fldChar w:fldCharType="begin"/>
      </w:r>
      <w:r>
        <w:instrText>PAGEREF section_6bf7d39525104a2cb31878717aecd437</w:instrText>
      </w:r>
      <w:r>
        <w:fldChar w:fldCharType="separate"/>
      </w:r>
      <w:r>
        <w:rPr>
          <w:noProof/>
        </w:rPr>
        <w:t>442</w:t>
      </w:r>
      <w:r>
        <w:fldChar w:fldCharType="end"/>
      </w:r>
    </w:p>
    <w:p w:rsidR="00024C0A" w:rsidRDefault="00694C0F">
      <w:pPr>
        <w:pStyle w:val="indexentry0"/>
      </w:pPr>
      <w:hyperlink w:anchor="section_068a1e33b87d49c3b92406cf6033b8cc">
        <w:r>
          <w:rPr>
            <w:rStyle w:val="Hyperlink"/>
          </w:rPr>
          <w:t>rc (Metadata Record)</w:t>
        </w:r>
      </w:hyperlink>
      <w:r>
        <w:t xml:space="preserve"> </w:t>
      </w:r>
      <w:r>
        <w:fldChar w:fldCharType="begin"/>
      </w:r>
      <w:r>
        <w:instrText>PAGEREF section_068a1e33b87d49c3b92406cf6033b8cc</w:instrText>
      </w:r>
      <w:r>
        <w:fldChar w:fldCharType="separate"/>
      </w:r>
      <w:r>
        <w:rPr>
          <w:noProof/>
        </w:rPr>
        <w:t>317</w:t>
      </w:r>
      <w:r>
        <w:fldChar w:fldCharType="end"/>
      </w:r>
    </w:p>
    <w:p w:rsidR="00024C0A" w:rsidRDefault="00694C0F">
      <w:pPr>
        <w:pStyle w:val="indexentry0"/>
      </w:pPr>
      <w:hyperlink w:anchor="section_93a010b3df434cd4833aebacc1a80517">
        <w:r>
          <w:rPr>
            <w:rStyle w:val="Hyperlink"/>
          </w:rPr>
          <w:t>rcc (Revision Cell Change)</w:t>
        </w:r>
      </w:hyperlink>
      <w:r>
        <w:t xml:space="preserve"> </w:t>
      </w:r>
      <w:r>
        <w:fldChar w:fldCharType="begin"/>
      </w:r>
      <w:r>
        <w:instrText>PAGEREF section_93a010b3df434cd4833aebacc1a80517</w:instrText>
      </w:r>
      <w:r>
        <w:fldChar w:fldCharType="separate"/>
      </w:r>
      <w:r>
        <w:rPr>
          <w:noProof/>
        </w:rPr>
        <w:t>369</w:t>
      </w:r>
      <w:r>
        <w:fldChar w:fldCharType="end"/>
      </w:r>
    </w:p>
    <w:p w:rsidR="00024C0A" w:rsidRDefault="00694C0F">
      <w:pPr>
        <w:pStyle w:val="indexentry0"/>
      </w:pPr>
      <w:hyperlink w:anchor="section_b551f264a701421c9a934fd7b5202aaf">
        <w:r>
          <w:rPr>
            <w:rStyle w:val="Hyperlink"/>
          </w:rPr>
          <w:t>rcft (Revision Merge Conflict)</w:t>
        </w:r>
      </w:hyperlink>
      <w:r>
        <w:t xml:space="preserve"> </w:t>
      </w:r>
      <w:r>
        <w:fldChar w:fldCharType="begin"/>
      </w:r>
      <w:r>
        <w:instrText>PAGEREF section_b551f264a701421c9a934fd7b5202aaf</w:instrText>
      </w:r>
      <w:r>
        <w:fldChar w:fldCharType="separate"/>
      </w:r>
      <w:r>
        <w:rPr>
          <w:noProof/>
        </w:rPr>
        <w:t>369</w:t>
      </w:r>
      <w:r>
        <w:fldChar w:fldCharType="end"/>
      </w:r>
    </w:p>
    <w:p w:rsidR="00024C0A" w:rsidRDefault="00694C0F">
      <w:pPr>
        <w:pStyle w:val="indexentry0"/>
      </w:pPr>
      <w:hyperlink w:anchor="section_71c2defd91e4428192ce402908c9a57d">
        <w:r>
          <w:rPr>
            <w:rStyle w:val="Hyperlink"/>
          </w:rPr>
          <w:t>rcmt (Revision Cell Comment)</w:t>
        </w:r>
      </w:hyperlink>
      <w:r>
        <w:t xml:space="preserve"> </w:t>
      </w:r>
      <w:r>
        <w:fldChar w:fldCharType="begin"/>
      </w:r>
      <w:r>
        <w:instrText>PAGEREF section_71c2defd91e4428192ce402908c9a57d</w:instrText>
      </w:r>
      <w:r>
        <w:fldChar w:fldCharType="separate"/>
      </w:r>
      <w:r>
        <w:rPr>
          <w:noProof/>
        </w:rPr>
        <w:t>369</w:t>
      </w:r>
      <w:r>
        <w:fldChar w:fldCharType="end"/>
      </w:r>
    </w:p>
    <w:p w:rsidR="00024C0A" w:rsidRDefault="00694C0F">
      <w:pPr>
        <w:pStyle w:val="indexentry0"/>
      </w:pPr>
      <w:hyperlink w:anchor="section_376276c2d99a446084d99a1a45b2bd14">
        <w:r>
          <w:rPr>
            <w:rStyle w:val="Hyperlink"/>
          </w:rPr>
          <w:t>rCtr (Rotation Center)</w:t>
        </w:r>
      </w:hyperlink>
      <w:r>
        <w:t xml:space="preserve"> </w:t>
      </w:r>
      <w:r>
        <w:fldChar w:fldCharType="begin"/>
      </w:r>
      <w:r>
        <w:instrText>PAGEREF section_376276c2d99a446084d99a1a45b2bd14</w:instrText>
      </w:r>
      <w:r>
        <w:fldChar w:fldCharType="separate"/>
      </w:r>
      <w:r>
        <w:rPr>
          <w:noProof/>
        </w:rPr>
        <w:t>484</w:t>
      </w:r>
      <w:r>
        <w:fldChar w:fldCharType="end"/>
      </w:r>
    </w:p>
    <w:p w:rsidR="00024C0A" w:rsidRDefault="00694C0F">
      <w:pPr>
        <w:pStyle w:val="indexentry0"/>
      </w:pPr>
      <w:hyperlink w:anchor="section_a56b965194d24733b5d57c9135e298cc">
        <w:r>
          <w:rPr>
            <w:rStyle w:val="Hyperlink"/>
          </w:rPr>
          <w:t>RD</w:t>
        </w:r>
      </w:hyperlink>
      <w:r>
        <w:t xml:space="preserve"> </w:t>
      </w:r>
      <w:r>
        <w:fldChar w:fldCharType="begin"/>
      </w:r>
      <w:r>
        <w:instrText>PAGEREF section_a56b965194d24733b5d57c9135e298cc</w:instrText>
      </w:r>
      <w:r>
        <w:fldChar w:fldCharType="separate"/>
      </w:r>
      <w:r>
        <w:rPr>
          <w:noProof/>
        </w:rPr>
        <w:t>219</w:t>
      </w:r>
      <w:r>
        <w:fldChar w:fldCharType="end"/>
      </w:r>
    </w:p>
    <w:p w:rsidR="00024C0A" w:rsidRDefault="00694C0F">
      <w:pPr>
        <w:pStyle w:val="indexentry0"/>
      </w:pPr>
      <w:hyperlink w:anchor="section_3c60e3058f99460abca886e39ebb0e49">
        <w:r>
          <w:rPr>
            <w:rStyle w:val="Hyperlink"/>
          </w:rPr>
          <w:t>rdn (Revision Defined Name)</w:t>
        </w:r>
      </w:hyperlink>
      <w:r>
        <w:t xml:space="preserve"> </w:t>
      </w:r>
      <w:r>
        <w:fldChar w:fldCharType="begin"/>
      </w:r>
      <w:r>
        <w:instrText>PAGEREF section_3c60e3058f99460abca886e39ebb0e49</w:instrText>
      </w:r>
      <w:r>
        <w:fldChar w:fldCharType="separate"/>
      </w:r>
      <w:r>
        <w:rPr>
          <w:noProof/>
        </w:rPr>
        <w:t>370</w:t>
      </w:r>
      <w:r>
        <w:fldChar w:fldCharType="end"/>
      </w:r>
    </w:p>
    <w:p w:rsidR="00024C0A" w:rsidRDefault="00694C0F">
      <w:pPr>
        <w:pStyle w:val="indexentry0"/>
      </w:pPr>
      <w:hyperlink w:anchor="section_4f1a80c7cc9d4b2f8b038d89bc95662a">
        <w:r>
          <w:rPr>
            <w:rStyle w:val="Hyperlink"/>
          </w:rPr>
          <w:t>Reading the equationXml attribute</w:t>
        </w:r>
      </w:hyperlink>
      <w:r>
        <w:t xml:space="preserve"> </w:t>
      </w:r>
      <w:r>
        <w:fldChar w:fldCharType="begin"/>
      </w:r>
      <w:r>
        <w:instrText>PAGEREF section_4f1a80c7cc9d4b2f8b038d89bc95662a</w:instrText>
      </w:r>
      <w:r>
        <w:fldChar w:fldCharType="separate"/>
      </w:r>
      <w:r>
        <w:rPr>
          <w:noProof/>
        </w:rPr>
        <w:t>888</w:t>
      </w:r>
      <w:r>
        <w:fldChar w:fldCharType="end"/>
      </w:r>
    </w:p>
    <w:p w:rsidR="00024C0A" w:rsidRDefault="00694C0F">
      <w:pPr>
        <w:pStyle w:val="indexentry0"/>
      </w:pPr>
      <w:hyperlink w:anchor="section_20689dc60d9142edabc07fb4976027dc">
        <w:r>
          <w:rPr>
            <w:rStyle w:val="Hyperlink"/>
          </w:rPr>
          <w:t>RecalcAlways (Recalculation Toggle)</w:t>
        </w:r>
      </w:hyperlink>
      <w:r>
        <w:t xml:space="preserve"> </w:t>
      </w:r>
      <w:r>
        <w:fldChar w:fldCharType="begin"/>
      </w:r>
      <w:r>
        <w:instrText>PAGEREF section_20689dc60d9142edabc07fb4976027dc</w:instrText>
      </w:r>
      <w:r>
        <w:fldChar w:fldCharType="separate"/>
      </w:r>
      <w:r>
        <w:rPr>
          <w:noProof/>
        </w:rPr>
        <w:t>676</w:t>
      </w:r>
      <w:r>
        <w:fldChar w:fldCharType="end"/>
      </w:r>
    </w:p>
    <w:p w:rsidR="00024C0A" w:rsidRDefault="00694C0F">
      <w:pPr>
        <w:pStyle w:val="indexentry0"/>
      </w:pPr>
      <w:hyperlink w:anchor="section_f087c56b2adf4e548719047179937cb5">
        <w:r>
          <w:rPr>
            <w:rStyle w:val="Hyperlink"/>
          </w:rPr>
          <w:t>RECEIVED</w:t>
        </w:r>
      </w:hyperlink>
      <w:r>
        <w:t xml:space="preserve"> </w:t>
      </w:r>
      <w:r>
        <w:fldChar w:fldCharType="begin"/>
      </w:r>
      <w:r>
        <w:instrText>PAGEREF section_f087c56b2adf4e548719047179937cb5</w:instrText>
      </w:r>
      <w:r>
        <w:fldChar w:fldCharType="separate"/>
      </w:r>
      <w:r>
        <w:rPr>
          <w:noProof/>
        </w:rPr>
        <w:t>442</w:t>
      </w:r>
      <w:r>
        <w:fldChar w:fldCharType="end"/>
      </w:r>
    </w:p>
    <w:p w:rsidR="00024C0A" w:rsidRDefault="00694C0F">
      <w:pPr>
        <w:pStyle w:val="indexentry0"/>
      </w:pPr>
      <w:hyperlink w:anchor="section_cae9abfd7956464e9f841af5c3c4433d">
        <w:r>
          <w:rPr>
            <w:rStyle w:val="Hyperlink"/>
          </w:rPr>
          <w:t>recipientData (Data</w:t>
        </w:r>
        <w:r>
          <w:rPr>
            <w:rStyle w:val="Hyperlink"/>
          </w:rPr>
          <w:t xml:space="preserve"> About Single Data Source Record)</w:t>
        </w:r>
      </w:hyperlink>
      <w:r>
        <w:t xml:space="preserve"> </w:t>
      </w:r>
      <w:r>
        <w:fldChar w:fldCharType="begin"/>
      </w:r>
      <w:r>
        <w:instrText>PAGEREF section_cae9abfd7956464e9f841af5c3c4433d</w:instrText>
      </w:r>
      <w:r>
        <w:fldChar w:fldCharType="separate"/>
      </w:r>
      <w:r>
        <w:rPr>
          <w:noProof/>
        </w:rPr>
        <w:t>779</w:t>
      </w:r>
      <w:r>
        <w:fldChar w:fldCharType="end"/>
      </w:r>
    </w:p>
    <w:p w:rsidR="00024C0A" w:rsidRDefault="00694C0F">
      <w:pPr>
        <w:pStyle w:val="indexentry0"/>
      </w:pPr>
      <w:hyperlink w:anchor="section_b05d3137d2c64c6e9afaeb92d7ccf317">
        <w:r>
          <w:rPr>
            <w:rStyle w:val="Hyperlink"/>
          </w:rPr>
          <w:t>recipientData (Reference to Inclusion/Exclusion Data for Data Source)</w:t>
        </w:r>
      </w:hyperlink>
      <w:r>
        <w:t xml:space="preserve"> </w:t>
      </w:r>
      <w:r>
        <w:fldChar w:fldCharType="begin"/>
      </w:r>
      <w:r>
        <w:instrText>PAGEREF section_b05d3137d2c64c6e9af</w:instrText>
      </w:r>
      <w:r>
        <w:instrText>aeb92d7ccf317</w:instrText>
      </w:r>
      <w:r>
        <w:fldChar w:fldCharType="separate"/>
      </w:r>
      <w:r>
        <w:rPr>
          <w:noProof/>
        </w:rPr>
        <w:t>145</w:t>
      </w:r>
      <w:r>
        <w:fldChar w:fldCharType="end"/>
      </w:r>
    </w:p>
    <w:p w:rsidR="00024C0A" w:rsidRDefault="00694C0F">
      <w:pPr>
        <w:pStyle w:val="indexentry0"/>
      </w:pPr>
      <w:hyperlink w:anchor="section_bf48d2d283e747cfa5e797caf8346fd8">
        <w:r>
          <w:rPr>
            <w:rStyle w:val="Hyperlink"/>
          </w:rPr>
          <w:t>recipients (Inclusion/Exclusion Data for Data Source)</w:t>
        </w:r>
      </w:hyperlink>
      <w:r>
        <w:t xml:space="preserve"> </w:t>
      </w:r>
      <w:r>
        <w:fldChar w:fldCharType="begin"/>
      </w:r>
      <w:r>
        <w:instrText>PAGEREF section_bf48d2d283e747cfa5e797caf8346fd8</w:instrText>
      </w:r>
      <w:r>
        <w:fldChar w:fldCharType="separate"/>
      </w:r>
      <w:r>
        <w:rPr>
          <w:noProof/>
        </w:rPr>
        <w:t>780</w:t>
      </w:r>
      <w:r>
        <w:fldChar w:fldCharType="end"/>
      </w:r>
    </w:p>
    <w:p w:rsidR="00024C0A" w:rsidRDefault="00694C0F">
      <w:pPr>
        <w:pStyle w:val="indexentry0"/>
      </w:pPr>
      <w:hyperlink w:anchor="section_0049c89078764cd1bd6f449f22879f24">
        <w:r>
          <w:rPr>
            <w:rStyle w:val="Hyperlink"/>
          </w:rPr>
          <w:t>rect (Rec</w:t>
        </w:r>
        <w:r>
          <w:rPr>
            <w:rStyle w:val="Hyperlink"/>
          </w:rPr>
          <w:t>tangle)</w:t>
        </w:r>
      </w:hyperlink>
      <w:r>
        <w:t xml:space="preserve"> </w:t>
      </w:r>
      <w:r>
        <w:fldChar w:fldCharType="begin"/>
      </w:r>
      <w:r>
        <w:instrText>PAGEREF section_0049c89078764cd1bd6f449f22879f24</w:instrText>
      </w:r>
      <w:r>
        <w:fldChar w:fldCharType="separate"/>
      </w:r>
      <w:r>
        <w:rPr>
          <w:noProof/>
        </w:rPr>
        <w:t>647</w:t>
      </w:r>
      <w:r>
        <w:fldChar w:fldCharType="end"/>
      </w:r>
    </w:p>
    <w:p w:rsidR="00024C0A" w:rsidRDefault="00694C0F">
      <w:pPr>
        <w:pStyle w:val="indexentry0"/>
      </w:pPr>
      <w:hyperlink w:anchor="section_b7378f270ccb4534905a6b72f3629e84">
        <w:r>
          <w:rPr>
            <w:rStyle w:val="Hyperlink"/>
          </w:rPr>
          <w:t>red (Red)</w:t>
        </w:r>
      </w:hyperlink>
      <w:r>
        <w:t xml:space="preserve"> </w:t>
      </w:r>
      <w:r>
        <w:fldChar w:fldCharType="begin"/>
      </w:r>
      <w:r>
        <w:instrText>PAGEREF section_b7378f270ccb4534905a6b72f3629e84</w:instrText>
      </w:r>
      <w:r>
        <w:fldChar w:fldCharType="separate"/>
      </w:r>
      <w:r>
        <w:rPr>
          <w:noProof/>
        </w:rPr>
        <w:t>501</w:t>
      </w:r>
      <w:r>
        <w:fldChar w:fldCharType="end"/>
      </w:r>
    </w:p>
    <w:p w:rsidR="00024C0A" w:rsidRDefault="00694C0F">
      <w:pPr>
        <w:pStyle w:val="indexentry0"/>
      </w:pPr>
      <w:hyperlink w:anchor="section_3bbe53b4cdef4500a740b6d7db05ff8d">
        <w:r>
          <w:rPr>
            <w:rStyle w:val="Hyperlink"/>
          </w:rPr>
          <w:t>redMod (</w:t>
        </w:r>
        <w:r>
          <w:rPr>
            <w:rStyle w:val="Hyperlink"/>
          </w:rPr>
          <w:t>Red Modulation)</w:t>
        </w:r>
      </w:hyperlink>
      <w:r>
        <w:t xml:space="preserve"> </w:t>
      </w:r>
      <w:r>
        <w:fldChar w:fldCharType="begin"/>
      </w:r>
      <w:r>
        <w:instrText>PAGEREF section_3bbe53b4cdef4500a740b6d7db05ff8d</w:instrText>
      </w:r>
      <w:r>
        <w:fldChar w:fldCharType="separate"/>
      </w:r>
      <w:r>
        <w:rPr>
          <w:noProof/>
        </w:rPr>
        <w:t>501</w:t>
      </w:r>
      <w:r>
        <w:fldChar w:fldCharType="end"/>
      </w:r>
    </w:p>
    <w:p w:rsidR="00024C0A" w:rsidRDefault="00694C0F">
      <w:pPr>
        <w:pStyle w:val="indexentry0"/>
      </w:pPr>
      <w:hyperlink w:anchor="section_7324b5d8d9cb4b22b0a1bb247e1b9244">
        <w:r>
          <w:rPr>
            <w:rStyle w:val="Hyperlink"/>
          </w:rPr>
          <w:t>redOff (Red Offset)</w:t>
        </w:r>
      </w:hyperlink>
      <w:r>
        <w:t xml:space="preserve"> </w:t>
      </w:r>
      <w:r>
        <w:fldChar w:fldCharType="begin"/>
      </w:r>
      <w:r>
        <w:instrText>PAGEREF section_7324b5d8d9cb4b22b0a1bb247e1b9244</w:instrText>
      </w:r>
      <w:r>
        <w:fldChar w:fldCharType="separate"/>
      </w:r>
      <w:r>
        <w:rPr>
          <w:noProof/>
        </w:rPr>
        <w:t>501</w:t>
      </w:r>
      <w:r>
        <w:fldChar w:fldCharType="end"/>
      </w:r>
    </w:p>
    <w:p w:rsidR="00024C0A" w:rsidRDefault="00694C0F">
      <w:pPr>
        <w:pStyle w:val="indexentry0"/>
      </w:pPr>
      <w:hyperlink w:anchor="section_7088a8cee78449d494b8cba6ef8fce78">
        <w:r>
          <w:rPr>
            <w:rStyle w:val="Hyperlink"/>
          </w:rPr>
          <w:t>REF</w:t>
        </w:r>
      </w:hyperlink>
      <w:r>
        <w:t xml:space="preserve"> </w:t>
      </w:r>
      <w:r>
        <w:fldChar w:fldCharType="begin"/>
      </w:r>
      <w:r>
        <w:instrText>PAGEREF section_7088a8cee78449d494b8cba6ef8fce78</w:instrText>
      </w:r>
      <w:r>
        <w:fldChar w:fldCharType="separate"/>
      </w:r>
      <w:r>
        <w:rPr>
          <w:noProof/>
        </w:rPr>
        <w:t>219</w:t>
      </w:r>
      <w:r>
        <w:fldChar w:fldCharType="end"/>
      </w:r>
    </w:p>
    <w:p w:rsidR="00024C0A" w:rsidRDefault="00694C0F">
      <w:pPr>
        <w:pStyle w:val="indexentry0"/>
      </w:pPr>
      <w:hyperlink w:anchor="section_8e92a8162bb449389f1c1a9800714ede">
        <w:r>
          <w:rPr>
            <w:rStyle w:val="Hyperlink"/>
          </w:rPr>
          <w:t>reference (Reference)</w:t>
        </w:r>
      </w:hyperlink>
      <w:r>
        <w:t xml:space="preserve"> </w:t>
      </w:r>
      <w:r>
        <w:fldChar w:fldCharType="begin"/>
      </w:r>
      <w:r>
        <w:instrText>PAGEREF section_8e92a8162bb449389f1c1a9800714ede</w:instrText>
      </w:r>
      <w:r>
        <w:fldChar w:fldCharType="separate"/>
      </w:r>
      <w:r>
        <w:rPr>
          <w:noProof/>
        </w:rPr>
        <w:t>366</w:t>
      </w:r>
      <w:r>
        <w:fldChar w:fldCharType="end"/>
      </w:r>
    </w:p>
    <w:p w:rsidR="00024C0A" w:rsidRDefault="00694C0F">
      <w:pPr>
        <w:pStyle w:val="indexentry0"/>
      </w:pPr>
      <w:r>
        <w:t>References</w:t>
      </w:r>
    </w:p>
    <w:p w:rsidR="00024C0A" w:rsidRDefault="00694C0F">
      <w:pPr>
        <w:pStyle w:val="indexentry0"/>
      </w:pPr>
      <w:r>
        <w:t xml:space="preserve">   </w:t>
      </w:r>
      <w:hyperlink w:anchor="section_94d2b16ecf4446248c7be2f0afe1a072">
        <w:r>
          <w:rPr>
            <w:rStyle w:val="Hyperlink"/>
          </w:rPr>
          <w:t>informative</w:t>
        </w:r>
      </w:hyperlink>
      <w:r>
        <w:t xml:space="preserve"> </w:t>
      </w:r>
      <w:r>
        <w:fldChar w:fldCharType="begin"/>
      </w:r>
      <w:r>
        <w:instrText>PAGEREF section_94d2b16ecf4446248c7be2f0afe1a072</w:instrText>
      </w:r>
      <w:r>
        <w:fldChar w:fldCharType="separate"/>
      </w:r>
      <w:r>
        <w:rPr>
          <w:noProof/>
        </w:rPr>
        <w:t>45</w:t>
      </w:r>
      <w:r>
        <w:fldChar w:fldCharType="end"/>
      </w:r>
    </w:p>
    <w:p w:rsidR="00024C0A" w:rsidRDefault="00694C0F">
      <w:pPr>
        <w:pStyle w:val="indexentry0"/>
      </w:pPr>
      <w:r>
        <w:t xml:space="preserve">   </w:t>
      </w:r>
      <w:hyperlink w:anchor="section_d4b9098aeabb46c4a334260d55267084">
        <w:r>
          <w:rPr>
            <w:rStyle w:val="Hyperlink"/>
          </w:rPr>
          <w:t>normative</w:t>
        </w:r>
      </w:hyperlink>
      <w:r>
        <w:t xml:space="preserve"> </w:t>
      </w:r>
      <w:r>
        <w:fldChar w:fldCharType="begin"/>
      </w:r>
      <w:r>
        <w:instrText>PAGEREF section_d4b9098aeabb46c4a334260d55267084</w:instrText>
      </w:r>
      <w:r>
        <w:fldChar w:fldCharType="separate"/>
      </w:r>
      <w:r>
        <w:rPr>
          <w:noProof/>
        </w:rPr>
        <w:t>43</w:t>
      </w:r>
      <w:r>
        <w:fldChar w:fldCharType="end"/>
      </w:r>
    </w:p>
    <w:p w:rsidR="00024C0A" w:rsidRDefault="00694C0F">
      <w:pPr>
        <w:pStyle w:val="indexentry0"/>
      </w:pPr>
      <w:hyperlink w:anchor="section_aa27ed208fbb4d95b9c53427cabd38e0">
        <w:r>
          <w:rPr>
            <w:rStyle w:val="Hyperlink"/>
          </w:rPr>
          <w:t>reflection (Reflection Effect)</w:t>
        </w:r>
      </w:hyperlink>
      <w:r>
        <w:t xml:space="preserve"> </w:t>
      </w:r>
      <w:r>
        <w:fldChar w:fldCharType="begin"/>
      </w:r>
      <w:r>
        <w:instrText>PAGEREF section_aa27ed208fbb4d95b9c53427cabd38e0</w:instrText>
      </w:r>
      <w:r>
        <w:fldChar w:fldCharType="separate"/>
      </w:r>
      <w:r>
        <w:rPr>
          <w:noProof/>
        </w:rPr>
        <w:t>513</w:t>
      </w:r>
      <w:r>
        <w:fldChar w:fldCharType="end"/>
      </w:r>
    </w:p>
    <w:p w:rsidR="00024C0A" w:rsidRDefault="00694C0F">
      <w:pPr>
        <w:pStyle w:val="indexentry0"/>
      </w:pPr>
      <w:hyperlink w:anchor="section_ae0cc08c38484098b29166f68bb21916">
        <w:r>
          <w:rPr>
            <w:rStyle w:val="Hyperlink"/>
          </w:rPr>
          <w:t>rel (Diagram Relationship)</w:t>
        </w:r>
      </w:hyperlink>
      <w:r>
        <w:t xml:space="preserve"> </w:t>
      </w:r>
      <w:r>
        <w:fldChar w:fldCharType="begin"/>
      </w:r>
      <w:r>
        <w:instrText>PAGEREF section_ae0cc</w:instrText>
      </w:r>
      <w:r>
        <w:instrText>08c38484098b29166f68bb21916</w:instrText>
      </w:r>
      <w:r>
        <w:fldChar w:fldCharType="separate"/>
      </w:r>
      <w:r>
        <w:rPr>
          <w:noProof/>
        </w:rPr>
        <w:t>668</w:t>
      </w:r>
      <w:r>
        <w:fldChar w:fldCharType="end"/>
      </w:r>
    </w:p>
    <w:p w:rsidR="00024C0A" w:rsidRDefault="00694C0F">
      <w:pPr>
        <w:pStyle w:val="indexentry0"/>
      </w:pPr>
      <w:hyperlink w:anchor="section_a185de173253409bbf9395b1f78516ef">
        <w:r>
          <w:rPr>
            <w:rStyle w:val="Hyperlink"/>
          </w:rPr>
          <w:t>Relationships Transform Algorithm</w:t>
        </w:r>
      </w:hyperlink>
      <w:r>
        <w:t xml:space="preserve"> </w:t>
      </w:r>
      <w:r>
        <w:fldChar w:fldCharType="begin"/>
      </w:r>
      <w:r>
        <w:instrText>PAGEREF section_a185de173253409bbf9395b1f78516ef</w:instrText>
      </w:r>
      <w:r>
        <w:fldChar w:fldCharType="separate"/>
      </w:r>
      <w:r>
        <w:rPr>
          <w:noProof/>
        </w:rPr>
        <w:t>619</w:t>
      </w:r>
      <w:r>
        <w:fldChar w:fldCharType="end"/>
      </w:r>
    </w:p>
    <w:p w:rsidR="00024C0A" w:rsidRDefault="00694C0F">
      <w:pPr>
        <w:pStyle w:val="indexentry0"/>
      </w:pPr>
      <w:hyperlink w:anchor="section_d5b937831c53410d860c57119b5ebcad">
        <w:r>
          <w:rPr>
            <w:rStyle w:val="Hyperlink"/>
          </w:rPr>
          <w:t>relSizeAnchor (</w:t>
        </w:r>
        <w:r>
          <w:rPr>
            <w:rStyle w:val="Hyperlink"/>
          </w:rPr>
          <w:t>Relative Anchor Shape Size)</w:t>
        </w:r>
      </w:hyperlink>
      <w:r>
        <w:t xml:space="preserve"> </w:t>
      </w:r>
      <w:r>
        <w:fldChar w:fldCharType="begin"/>
      </w:r>
      <w:r>
        <w:instrText>PAGEREF section_d5b937831c53410d860c57119b5ebcad</w:instrText>
      </w:r>
      <w:r>
        <w:fldChar w:fldCharType="separate"/>
      </w:r>
      <w:r>
        <w:rPr>
          <w:noProof/>
        </w:rPr>
        <w:t>578</w:t>
      </w:r>
      <w:r>
        <w:fldChar w:fldCharType="end"/>
      </w:r>
    </w:p>
    <w:p w:rsidR="00024C0A" w:rsidRDefault="00694C0F">
      <w:pPr>
        <w:pStyle w:val="indexentry0"/>
      </w:pPr>
      <w:hyperlink w:anchor="section_d1d151f6ea8249cea3714df6ff22cd9d">
        <w:r>
          <w:rPr>
            <w:rStyle w:val="Hyperlink"/>
          </w:rPr>
          <w:t>REPLACE</w:t>
        </w:r>
      </w:hyperlink>
      <w:r>
        <w:t xml:space="preserve"> </w:t>
      </w:r>
      <w:r>
        <w:fldChar w:fldCharType="begin"/>
      </w:r>
      <w:r>
        <w:instrText>PAGEREF section_d1d151f6ea8249cea3714df6ff22cd9d</w:instrText>
      </w:r>
      <w:r>
        <w:fldChar w:fldCharType="separate"/>
      </w:r>
      <w:r>
        <w:rPr>
          <w:noProof/>
        </w:rPr>
        <w:t>443</w:t>
      </w:r>
      <w:r>
        <w:fldChar w:fldCharType="end"/>
      </w:r>
    </w:p>
    <w:p w:rsidR="00024C0A" w:rsidRDefault="00694C0F">
      <w:pPr>
        <w:pStyle w:val="indexentry0"/>
      </w:pPr>
      <w:hyperlink w:anchor="section_96ce77b13cab4619a54e1d57cea2592f">
        <w:r>
          <w:rPr>
            <w:rStyle w:val="Hyperlink"/>
          </w:rPr>
          <w:t>REPLACEB</w:t>
        </w:r>
      </w:hyperlink>
      <w:r>
        <w:t xml:space="preserve"> </w:t>
      </w:r>
      <w:r>
        <w:fldChar w:fldCharType="begin"/>
      </w:r>
      <w:r>
        <w:instrText>PAGEREF section_96ce77b13cab4619a54e1d57cea2592f</w:instrText>
      </w:r>
      <w:r>
        <w:fldChar w:fldCharType="separate"/>
      </w:r>
      <w:r>
        <w:rPr>
          <w:noProof/>
        </w:rPr>
        <w:t>443</w:t>
      </w:r>
      <w:r>
        <w:fldChar w:fldCharType="end"/>
      </w:r>
    </w:p>
    <w:p w:rsidR="00024C0A" w:rsidRDefault="00694C0F">
      <w:pPr>
        <w:pStyle w:val="indexentry0"/>
      </w:pPr>
      <w:hyperlink w:anchor="section_6551673052ab49638c4ccfb2127809ab">
        <w:r>
          <w:rPr>
            <w:rStyle w:val="Hyperlink"/>
          </w:rPr>
          <w:t>restoredLeft (Normal View Restored Left Properties)</w:t>
        </w:r>
      </w:hyperlink>
      <w:r>
        <w:t xml:space="preserve"> </w:t>
      </w:r>
      <w:r>
        <w:fldChar w:fldCharType="begin"/>
      </w:r>
      <w:r>
        <w:instrText>PAGEREF section_6551673052ab49638c4ccfb2127809ab</w:instrText>
      </w:r>
      <w:r>
        <w:fldChar w:fldCharType="separate"/>
      </w:r>
      <w:r>
        <w:rPr>
          <w:noProof/>
        </w:rPr>
        <w:t>465</w:t>
      </w:r>
      <w:r>
        <w:fldChar w:fldCharType="end"/>
      </w:r>
    </w:p>
    <w:p w:rsidR="00024C0A" w:rsidRDefault="00694C0F">
      <w:pPr>
        <w:pStyle w:val="indexentry0"/>
      </w:pPr>
      <w:hyperlink w:anchor="section_53ceb85bfb0c40f4af1d9feecfb64502">
        <w:r>
          <w:rPr>
            <w:rStyle w:val="Hyperlink"/>
          </w:rPr>
          <w:t>restoredTop (Normal View Restored Top Properties)</w:t>
        </w:r>
      </w:hyperlink>
      <w:r>
        <w:t xml:space="preserve"> </w:t>
      </w:r>
      <w:r>
        <w:fldChar w:fldCharType="begin"/>
      </w:r>
      <w:r>
        <w:instrText>PAGEREF section_53ceb85bfb0c40f4af1d9feecfb64502</w:instrText>
      </w:r>
      <w:r>
        <w:fldChar w:fldCharType="separate"/>
      </w:r>
      <w:r>
        <w:rPr>
          <w:noProof/>
        </w:rPr>
        <w:t>465</w:t>
      </w:r>
      <w:r>
        <w:fldChar w:fldCharType="end"/>
      </w:r>
    </w:p>
    <w:p w:rsidR="00024C0A" w:rsidRDefault="00694C0F">
      <w:pPr>
        <w:pStyle w:val="indexentry0"/>
      </w:pPr>
      <w:hyperlink w:anchor="section_91b38086b27c4d3fb6aee7d37845d2cd">
        <w:r>
          <w:rPr>
            <w:rStyle w:val="Hyperlink"/>
          </w:rPr>
          <w:t>reviewed (Reviewed)</w:t>
        </w:r>
      </w:hyperlink>
      <w:r>
        <w:t xml:space="preserve"> </w:t>
      </w:r>
      <w:r>
        <w:fldChar w:fldCharType="begin"/>
      </w:r>
      <w:r>
        <w:instrText>PAGEREF section_91b38086b27c4d3fb6aee7d37845d2cd</w:instrText>
      </w:r>
      <w:r>
        <w:fldChar w:fldCharType="separate"/>
      </w:r>
      <w:r>
        <w:rPr>
          <w:noProof/>
        </w:rPr>
        <w:t>371</w:t>
      </w:r>
      <w:r>
        <w:fldChar w:fldCharType="end"/>
      </w:r>
    </w:p>
    <w:p w:rsidR="00024C0A" w:rsidRDefault="00694C0F">
      <w:pPr>
        <w:pStyle w:val="indexentry0"/>
      </w:pPr>
      <w:hyperlink w:anchor="section_6138f7fcba1740f692cb8ed961619ebf">
        <w:r>
          <w:rPr>
            <w:rStyle w:val="Hyperlink"/>
          </w:rPr>
          <w:t>revisionView (Visibility of Annotation Types)</w:t>
        </w:r>
      </w:hyperlink>
      <w:r>
        <w:t xml:space="preserve"> </w:t>
      </w:r>
      <w:r>
        <w:fldChar w:fldCharType="begin"/>
      </w:r>
      <w:r>
        <w:instrText>PAGEREF section_6138f7fcba1740f692cb8ed961619ebf</w:instrText>
      </w:r>
      <w:r>
        <w:fldChar w:fldCharType="separate"/>
      </w:r>
      <w:r>
        <w:rPr>
          <w:noProof/>
        </w:rPr>
        <w:t>155</w:t>
      </w:r>
      <w:r>
        <w:fldChar w:fldCharType="end"/>
      </w:r>
    </w:p>
    <w:p w:rsidR="00024C0A" w:rsidRDefault="00694C0F">
      <w:pPr>
        <w:pStyle w:val="indexentry0"/>
      </w:pPr>
      <w:hyperlink w:anchor="section_a39e60af18344a42b64717ae5c794732">
        <w:r>
          <w:rPr>
            <w:rStyle w:val="Hyperlink"/>
          </w:rPr>
          <w:t>REVNUM</w:t>
        </w:r>
      </w:hyperlink>
      <w:r>
        <w:t xml:space="preserve"> </w:t>
      </w:r>
      <w:r>
        <w:fldChar w:fldCharType="begin"/>
      </w:r>
      <w:r>
        <w:instrText>PAGEREF section_a39e60af18344a42b64717ae5c794732</w:instrText>
      </w:r>
      <w:r>
        <w:fldChar w:fldCharType="separate"/>
      </w:r>
      <w:r>
        <w:rPr>
          <w:noProof/>
        </w:rPr>
        <w:t>221</w:t>
      </w:r>
      <w:r>
        <w:fldChar w:fldCharType="end"/>
      </w:r>
    </w:p>
    <w:p w:rsidR="00024C0A" w:rsidRDefault="00694C0F">
      <w:pPr>
        <w:pStyle w:val="indexentry0"/>
      </w:pPr>
      <w:hyperlink w:anchor="section_d814f876102941be95e9eb6997794b91">
        <w:r>
          <w:rPr>
            <w:rStyle w:val="Hyperlink"/>
          </w:rPr>
          <w:t>rfmt (Revision Format)</w:t>
        </w:r>
      </w:hyperlink>
      <w:r>
        <w:t xml:space="preserve"> </w:t>
      </w:r>
      <w:r>
        <w:fldChar w:fldCharType="begin"/>
      </w:r>
      <w:r>
        <w:instrText>PAGEREF section_d814f876102941be95e9eb6997794b91</w:instrText>
      </w:r>
      <w:r>
        <w:fldChar w:fldCharType="separate"/>
      </w:r>
      <w:r>
        <w:rPr>
          <w:noProof/>
        </w:rPr>
        <w:t>371</w:t>
      </w:r>
      <w:r>
        <w:fldChar w:fldCharType="end"/>
      </w:r>
    </w:p>
    <w:p w:rsidR="00024C0A" w:rsidRDefault="00694C0F">
      <w:pPr>
        <w:pStyle w:val="indexentry0"/>
      </w:pPr>
      <w:hyperlink w:anchor="section_00d5905375314caaa1e4be1838a69013">
        <w:r>
          <w:rPr>
            <w:rStyle w:val="Hyperlink"/>
          </w:rPr>
          <w:t>rFont (Font)</w:t>
        </w:r>
      </w:hyperlink>
      <w:r>
        <w:t xml:space="preserve"> </w:t>
      </w:r>
      <w:r>
        <w:fldChar w:fldCharType="begin"/>
      </w:r>
      <w:r>
        <w:instrText>PAGEREF section_00d5905375314caaa1e4be1838a69013</w:instrText>
      </w:r>
      <w:r>
        <w:fldChar w:fldCharType="separate"/>
      </w:r>
      <w:r>
        <w:rPr>
          <w:noProof/>
        </w:rPr>
        <w:t>289</w:t>
      </w:r>
      <w:r>
        <w:fldChar w:fldCharType="end"/>
      </w:r>
    </w:p>
    <w:p w:rsidR="00024C0A" w:rsidRDefault="00694C0F">
      <w:pPr>
        <w:pStyle w:val="indexentry0"/>
      </w:pPr>
      <w:hyperlink w:anchor="section_aef3c9a65d6c434b90b785e761fd8e62">
        <w:r>
          <w:rPr>
            <w:rStyle w:val="Hyperlink"/>
          </w:rPr>
          <w:t>rFonts (Run Fonts)</w:t>
        </w:r>
      </w:hyperlink>
      <w:r>
        <w:t xml:space="preserve"> </w:t>
      </w:r>
      <w:r>
        <w:fldChar w:fldCharType="begin"/>
      </w:r>
      <w:r>
        <w:instrText>PAGEREF section_aef3c9a65d6c434b90b785e761fd8e62</w:instrText>
      </w:r>
      <w:r>
        <w:fldChar w:fldCharType="separate"/>
      </w:r>
      <w:r>
        <w:rPr>
          <w:noProof/>
        </w:rPr>
        <w:t>72</w:t>
      </w:r>
      <w:r>
        <w:fldChar w:fldCharType="end"/>
      </w:r>
    </w:p>
    <w:p w:rsidR="00024C0A" w:rsidRDefault="00694C0F">
      <w:pPr>
        <w:pStyle w:val="indexentry0"/>
      </w:pPr>
      <w:hyperlink w:anchor="section_1ab29481720e44548836b5dc27669415">
        <w:r>
          <w:rPr>
            <w:rStyle w:val="Hyperlink"/>
          </w:rPr>
          <w:t>rgb (RGB)</w:t>
        </w:r>
      </w:hyperlink>
      <w:r>
        <w:t xml:space="preserve"> </w:t>
      </w:r>
      <w:r>
        <w:fldChar w:fldCharType="begin"/>
      </w:r>
      <w:r>
        <w:instrText>PAGEREF section_1ab29481720e44548836b5dc27669415</w:instrText>
      </w:r>
      <w:r>
        <w:fldChar w:fldCharType="separate"/>
      </w:r>
      <w:r>
        <w:rPr>
          <w:noProof/>
        </w:rPr>
        <w:t>484</w:t>
      </w:r>
      <w:r>
        <w:fldChar w:fldCharType="end"/>
      </w:r>
    </w:p>
    <w:p w:rsidR="00024C0A" w:rsidRDefault="00694C0F">
      <w:pPr>
        <w:pStyle w:val="indexentry0"/>
      </w:pPr>
      <w:hyperlink w:anchor="section_6f6e05f38a224170a467b859506d76c7">
        <w:r>
          <w:rPr>
            <w:rStyle w:val="Hyperlink"/>
          </w:rPr>
          <w:t>rich (Rich Text)</w:t>
        </w:r>
      </w:hyperlink>
      <w:r>
        <w:t xml:space="preserve"> </w:t>
      </w:r>
      <w:r>
        <w:fldChar w:fldCharType="begin"/>
      </w:r>
      <w:r>
        <w:instrText>PAGEREF section_6f6e05f38a224170a467b859506d76c7</w:instrText>
      </w:r>
      <w:r>
        <w:fldChar w:fldCharType="separate"/>
      </w:r>
      <w:r>
        <w:rPr>
          <w:noProof/>
        </w:rPr>
        <w:t>564</w:t>
      </w:r>
      <w:r>
        <w:fldChar w:fldCharType="end"/>
      </w:r>
    </w:p>
    <w:p w:rsidR="00024C0A" w:rsidRDefault="00694C0F">
      <w:pPr>
        <w:pStyle w:val="indexentry0"/>
      </w:pPr>
      <w:hyperlink w:anchor="section_a6a6184fcd8d481facbd8d3c4accd982">
        <w:r>
          <w:rPr>
            <w:rStyle w:val="Hyperlink"/>
          </w:rPr>
          <w:t>RIGHT</w:t>
        </w:r>
      </w:hyperlink>
      <w:r>
        <w:t xml:space="preserve"> </w:t>
      </w:r>
      <w:r>
        <w:fldChar w:fldCharType="begin"/>
      </w:r>
      <w:r>
        <w:instrText>PAGEREF section_a6a6184fcd8d481facbd8d3c4accd982</w:instrText>
      </w:r>
      <w:r>
        <w:fldChar w:fldCharType="separate"/>
      </w:r>
      <w:r>
        <w:rPr>
          <w:noProof/>
        </w:rPr>
        <w:t>444</w:t>
      </w:r>
      <w:r>
        <w:fldChar w:fldCharType="end"/>
      </w:r>
    </w:p>
    <w:p w:rsidR="00024C0A" w:rsidRDefault="00694C0F">
      <w:pPr>
        <w:pStyle w:val="indexentry0"/>
      </w:pPr>
      <w:hyperlink w:anchor="section_e15940e2d10546e3901ecc38b9773f7f">
        <w:r>
          <w:rPr>
            <w:rStyle w:val="Hyperlink"/>
          </w:rPr>
          <w:t>right (Right Border for HTML div)</w:t>
        </w:r>
      </w:hyperlink>
      <w:r>
        <w:t xml:space="preserve"> </w:t>
      </w:r>
      <w:r>
        <w:fldChar w:fldCharType="begin"/>
      </w:r>
      <w:r>
        <w:instrText>PAGEREF section_e15940e2d10546e3901ecc38b9773f7f</w:instrText>
      </w:r>
      <w:r>
        <w:fldChar w:fldCharType="separate"/>
      </w:r>
      <w:r>
        <w:rPr>
          <w:noProof/>
        </w:rPr>
        <w:t>162</w:t>
      </w:r>
      <w:r>
        <w:fldChar w:fldCharType="end"/>
      </w:r>
    </w:p>
    <w:p w:rsidR="00024C0A" w:rsidRDefault="00694C0F">
      <w:pPr>
        <w:pStyle w:val="indexentry0"/>
      </w:pPr>
      <w:hyperlink w:anchor="section_0f1da753bf8a44e1a4a7ed7d1d0ba7b1">
        <w:r>
          <w:rPr>
            <w:rStyle w:val="Hyperlink"/>
          </w:rPr>
          <w:t>right (Right Border)</w:t>
        </w:r>
      </w:hyperlink>
      <w:r>
        <w:t xml:space="preserve"> </w:t>
      </w:r>
      <w:r>
        <w:fldChar w:fldCharType="begin"/>
      </w:r>
      <w:r>
        <w:instrText>PAGEREF section_0f1da753bf8a44e1a4a7ed7d1d0ba7b1</w:instrText>
      </w:r>
      <w:r>
        <w:fldChar w:fldCharType="separate"/>
      </w:r>
      <w:r>
        <w:rPr>
          <w:noProof/>
        </w:rPr>
        <w:t>103</w:t>
      </w:r>
      <w:r>
        <w:fldChar w:fldCharType="end"/>
      </w:r>
    </w:p>
    <w:p w:rsidR="00024C0A" w:rsidRDefault="00694C0F">
      <w:pPr>
        <w:pStyle w:val="indexentry0"/>
      </w:pPr>
      <w:hyperlink w:anchor="section_689ac9029287469ca73337206ae40ea7">
        <w:r>
          <w:rPr>
            <w:rStyle w:val="Hyperlink"/>
          </w:rPr>
          <w:t>right (Right Paragraph Border)</w:t>
        </w:r>
      </w:hyperlink>
      <w:r>
        <w:t xml:space="preserve"> </w:t>
      </w:r>
      <w:r>
        <w:fldChar w:fldCharType="begin"/>
      </w:r>
      <w:r>
        <w:instrText>PAGEREF section_689ac9029287469ca73337206ae40ea7</w:instrText>
      </w:r>
      <w:r>
        <w:fldChar w:fldCharType="separate"/>
      </w:r>
      <w:r>
        <w:rPr>
          <w:noProof/>
        </w:rPr>
        <w:t>66</w:t>
      </w:r>
      <w:r>
        <w:fldChar w:fldCharType="end"/>
      </w:r>
    </w:p>
    <w:p w:rsidR="00024C0A" w:rsidRDefault="00694C0F">
      <w:pPr>
        <w:pStyle w:val="indexentry0"/>
      </w:pPr>
      <w:hyperlink w:anchor="section_3b5300f256af4d0d8d26821c7ef0c47c">
        <w:r>
          <w:rPr>
            <w:rStyle w:val="Hyperlink"/>
          </w:rPr>
          <w:t>right (Table Cell Trailing Edge Border)</w:t>
        </w:r>
      </w:hyperlink>
      <w:r>
        <w:t xml:space="preserve"> </w:t>
      </w:r>
      <w:r>
        <w:fldChar w:fldCharType="begin"/>
      </w:r>
      <w:r>
        <w:instrText>PAGEREF section_3b5300f256af4d0d8d26821c7ef0c47c</w:instrText>
      </w:r>
      <w:r>
        <w:fldChar w:fldCharType="separate"/>
      </w:r>
      <w:r>
        <w:rPr>
          <w:noProof/>
        </w:rPr>
        <w:t>620</w:t>
      </w:r>
      <w:r>
        <w:fldChar w:fldCharType="end"/>
      </w:r>
    </w:p>
    <w:p w:rsidR="00024C0A" w:rsidRDefault="00694C0F">
      <w:pPr>
        <w:pStyle w:val="indexentry0"/>
      </w:pPr>
      <w:hyperlink w:anchor="section_58fd425e362646b383ba92c961d26c88">
        <w:r>
          <w:rPr>
            <w:rStyle w:val="Hyperlink"/>
          </w:rPr>
          <w:t>right (Table Cell Trailing Margin Default)</w:t>
        </w:r>
      </w:hyperlink>
      <w:r>
        <w:t xml:space="preserve"> </w:t>
      </w:r>
      <w:r>
        <w:fldChar w:fldCharType="begin"/>
      </w:r>
      <w:r>
        <w:instrText>PAGEREF section_58fd425e362646b383ba92c961d26c88</w:instrText>
      </w:r>
      <w:r>
        <w:fldChar w:fldCharType="separate"/>
      </w:r>
      <w:r>
        <w:rPr>
          <w:noProof/>
        </w:rPr>
        <w:t>621</w:t>
      </w:r>
      <w:r>
        <w:fldChar w:fldCharType="end"/>
      </w:r>
    </w:p>
    <w:p w:rsidR="00024C0A" w:rsidRDefault="00694C0F">
      <w:pPr>
        <w:pStyle w:val="indexentry0"/>
      </w:pPr>
      <w:hyperlink w:anchor="section_8e23887d29304089a2ff62be9c11a23b">
        <w:r>
          <w:rPr>
            <w:rStyle w:val="Hyperlink"/>
          </w:rPr>
          <w:t>right (Table Cell Trailing Margin Exception)</w:t>
        </w:r>
      </w:hyperlink>
      <w:r>
        <w:t xml:space="preserve"> </w:t>
      </w:r>
      <w:r>
        <w:fldChar w:fldCharType="begin"/>
      </w:r>
      <w:r>
        <w:instrText>PAGEREF section_8e23887d29304089a2ff62b</w:instrText>
      </w:r>
      <w:r>
        <w:instrText>e9c11a23b</w:instrText>
      </w:r>
      <w:r>
        <w:fldChar w:fldCharType="separate"/>
      </w:r>
      <w:r>
        <w:rPr>
          <w:noProof/>
        </w:rPr>
        <w:t>621</w:t>
      </w:r>
      <w:r>
        <w:fldChar w:fldCharType="end"/>
      </w:r>
    </w:p>
    <w:p w:rsidR="00024C0A" w:rsidRDefault="00694C0F">
      <w:pPr>
        <w:pStyle w:val="indexentry0"/>
      </w:pPr>
      <w:hyperlink w:anchor="section_0b241c18839a41a3919405f7c1f0876a">
        <w:r>
          <w:rPr>
            <w:rStyle w:val="Hyperlink"/>
          </w:rPr>
          <w:t>right (Table Trailing Edge Border)</w:t>
        </w:r>
      </w:hyperlink>
      <w:r>
        <w:t xml:space="preserve"> </w:t>
      </w:r>
      <w:r>
        <w:fldChar w:fldCharType="begin"/>
      </w:r>
      <w:r>
        <w:instrText>PAGEREF section_0b241c18839a41a3919405f7c1f0876a</w:instrText>
      </w:r>
      <w:r>
        <w:fldChar w:fldCharType="separate"/>
      </w:r>
      <w:r>
        <w:rPr>
          <w:noProof/>
        </w:rPr>
        <w:t>621</w:t>
      </w:r>
      <w:r>
        <w:fldChar w:fldCharType="end"/>
      </w:r>
    </w:p>
    <w:p w:rsidR="00024C0A" w:rsidRDefault="00694C0F">
      <w:pPr>
        <w:pStyle w:val="indexentry0"/>
      </w:pPr>
      <w:hyperlink w:anchor="section_713e0d91289e4e45bf52a792848206c3">
        <w:r>
          <w:rPr>
            <w:rStyle w:val="Hyperlink"/>
          </w:rPr>
          <w:t>right (Text Box Right Stroke)</w:t>
        </w:r>
      </w:hyperlink>
      <w:r>
        <w:t xml:space="preserve"> </w:t>
      </w:r>
      <w:r>
        <w:fldChar w:fldCharType="begin"/>
      </w:r>
      <w:r>
        <w:instrText>PAGEREF section_713e0d91289e4e45bf52a792848206c3</w:instrText>
      </w:r>
      <w:r>
        <w:fldChar w:fldCharType="separate"/>
      </w:r>
      <w:r>
        <w:rPr>
          <w:noProof/>
        </w:rPr>
        <w:t>668</w:t>
      </w:r>
      <w:r>
        <w:fldChar w:fldCharType="end"/>
      </w:r>
    </w:p>
    <w:p w:rsidR="00024C0A" w:rsidRDefault="00694C0F">
      <w:pPr>
        <w:pStyle w:val="indexentry0"/>
      </w:pPr>
      <w:hyperlink w:anchor="section_eb12d10c702b4d9d938d34d55b9099a4">
        <w:r>
          <w:rPr>
            <w:rStyle w:val="Hyperlink"/>
          </w:rPr>
          <w:t>RIGHTB</w:t>
        </w:r>
      </w:hyperlink>
      <w:r>
        <w:t xml:space="preserve"> </w:t>
      </w:r>
      <w:r>
        <w:fldChar w:fldCharType="begin"/>
      </w:r>
      <w:r>
        <w:instrText>PAGEREF section_eb12d10c702b4d9d938d34d55b9099a4</w:instrText>
      </w:r>
      <w:r>
        <w:fldChar w:fldCharType="separate"/>
      </w:r>
      <w:r>
        <w:rPr>
          <w:noProof/>
        </w:rPr>
        <w:t>444</w:t>
      </w:r>
      <w:r>
        <w:fldChar w:fldCharType="end"/>
      </w:r>
    </w:p>
    <w:p w:rsidR="00024C0A" w:rsidRDefault="00694C0F">
      <w:pPr>
        <w:pStyle w:val="indexentry0"/>
      </w:pPr>
      <w:hyperlink w:anchor="section_7b5212ccf081484f85d66b5129ee8d61">
        <w:r>
          <w:rPr>
            <w:rStyle w:val="Hyperlink"/>
          </w:rPr>
          <w:t xml:space="preserve">ris (Revision Insert </w:t>
        </w:r>
        <w:r>
          <w:rPr>
            <w:rStyle w:val="Hyperlink"/>
          </w:rPr>
          <w:t>Sheet)</w:t>
        </w:r>
      </w:hyperlink>
      <w:r>
        <w:t xml:space="preserve"> </w:t>
      </w:r>
      <w:r>
        <w:fldChar w:fldCharType="begin"/>
      </w:r>
      <w:r>
        <w:instrText>PAGEREF section_7b5212ccf081484f85d66b5129ee8d61</w:instrText>
      </w:r>
      <w:r>
        <w:fldChar w:fldCharType="separate"/>
      </w:r>
      <w:r>
        <w:rPr>
          <w:noProof/>
        </w:rPr>
        <w:t>371</w:t>
      </w:r>
      <w:r>
        <w:fldChar w:fldCharType="end"/>
      </w:r>
    </w:p>
    <w:p w:rsidR="00024C0A" w:rsidRDefault="00694C0F">
      <w:pPr>
        <w:pStyle w:val="indexentry0"/>
      </w:pPr>
      <w:hyperlink w:anchor="section_3759ca9c7212429dbd9f58df2db63036">
        <w:r>
          <w:rPr>
            <w:rStyle w:val="Hyperlink"/>
          </w:rPr>
          <w:t>rm (Revision Cell Move)</w:t>
        </w:r>
      </w:hyperlink>
      <w:r>
        <w:t xml:space="preserve"> </w:t>
      </w:r>
      <w:r>
        <w:fldChar w:fldCharType="begin"/>
      </w:r>
      <w:r>
        <w:instrText>PAGEREF section_3759ca9c7212429dbd9f58df2db63036</w:instrText>
      </w:r>
      <w:r>
        <w:fldChar w:fldCharType="separate"/>
      </w:r>
      <w:r>
        <w:rPr>
          <w:noProof/>
        </w:rPr>
        <w:t>371</w:t>
      </w:r>
      <w:r>
        <w:fldChar w:fldCharType="end"/>
      </w:r>
    </w:p>
    <w:p w:rsidR="00024C0A" w:rsidRDefault="00694C0F">
      <w:pPr>
        <w:pStyle w:val="indexentry0"/>
      </w:pPr>
      <w:hyperlink w:anchor="section_58cc2461256744ea87c39358c542b0c8">
        <w:r>
          <w:rPr>
            <w:rStyle w:val="Hyperlink"/>
          </w:rPr>
          <w:t>ROMAN</w:t>
        </w:r>
      </w:hyperlink>
      <w:r>
        <w:t xml:space="preserve"> </w:t>
      </w:r>
      <w:r>
        <w:fldChar w:fldCharType="begin"/>
      </w:r>
      <w:r>
        <w:instrText>PAGEREF section_58cc2461256744ea87c39358c542b0c8</w:instrText>
      </w:r>
      <w:r>
        <w:fldChar w:fldCharType="separate"/>
      </w:r>
      <w:r>
        <w:rPr>
          <w:noProof/>
        </w:rPr>
        <w:t>444</w:t>
      </w:r>
      <w:r>
        <w:fldChar w:fldCharType="end"/>
      </w:r>
    </w:p>
    <w:p w:rsidR="00024C0A" w:rsidRDefault="00694C0F">
      <w:pPr>
        <w:pStyle w:val="indexentry0"/>
      </w:pPr>
      <w:hyperlink w:anchor="section_e702ec419f9f41fcb62c24c38274e331">
        <w:r>
          <w:rPr>
            <w:rStyle w:val="Hyperlink"/>
          </w:rPr>
          <w:t>ROUND</w:t>
        </w:r>
      </w:hyperlink>
      <w:r>
        <w:t xml:space="preserve"> </w:t>
      </w:r>
      <w:r>
        <w:fldChar w:fldCharType="begin"/>
      </w:r>
      <w:r>
        <w:instrText>PAGEREF section_e702ec419f9f41fcb62c24c38274e331</w:instrText>
      </w:r>
      <w:r>
        <w:fldChar w:fldCharType="separate"/>
      </w:r>
      <w:r>
        <w:rPr>
          <w:noProof/>
        </w:rPr>
        <w:t>444</w:t>
      </w:r>
      <w:r>
        <w:fldChar w:fldCharType="end"/>
      </w:r>
    </w:p>
    <w:p w:rsidR="00024C0A" w:rsidRDefault="00694C0F">
      <w:pPr>
        <w:pStyle w:val="indexentry0"/>
      </w:pPr>
      <w:hyperlink w:anchor="section_562a55eece0a42b9a8ef9df10db1a07e">
        <w:r>
          <w:rPr>
            <w:rStyle w:val="Hyperlink"/>
          </w:rPr>
          <w:t>round (Round Line Join)</w:t>
        </w:r>
      </w:hyperlink>
      <w:r>
        <w:t xml:space="preserve"> </w:t>
      </w:r>
      <w:r>
        <w:fldChar w:fldCharType="begin"/>
      </w:r>
      <w:r>
        <w:instrText>PAGEREF section_562a55eece0a42b9a8ef9df10db1a07e</w:instrText>
      </w:r>
      <w:r>
        <w:fldChar w:fldCharType="separate"/>
      </w:r>
      <w:r>
        <w:rPr>
          <w:noProof/>
        </w:rPr>
        <w:t>513</w:t>
      </w:r>
      <w:r>
        <w:fldChar w:fldCharType="end"/>
      </w:r>
    </w:p>
    <w:p w:rsidR="00024C0A" w:rsidRDefault="00694C0F">
      <w:pPr>
        <w:pStyle w:val="indexentry0"/>
      </w:pPr>
      <w:hyperlink w:anchor="section_ad5503cd7f9344d6ae270940131156f6">
        <w:r>
          <w:rPr>
            <w:rStyle w:val="Hyperlink"/>
          </w:rPr>
          <w:t>roundrect (Rounded Rectangle)</w:t>
        </w:r>
      </w:hyperlink>
      <w:r>
        <w:t xml:space="preserve"> </w:t>
      </w:r>
      <w:r>
        <w:fldChar w:fldCharType="begin"/>
      </w:r>
      <w:r>
        <w:instrText>PAGEREF section_ad5503cd7f9344d6ae270940131156f6</w:instrText>
      </w:r>
      <w:r>
        <w:fldChar w:fldCharType="separate"/>
      </w:r>
      <w:r>
        <w:rPr>
          <w:noProof/>
        </w:rPr>
        <w:t>648</w:t>
      </w:r>
      <w:r>
        <w:fldChar w:fldCharType="end"/>
      </w:r>
    </w:p>
    <w:p w:rsidR="00024C0A" w:rsidRDefault="00694C0F">
      <w:pPr>
        <w:pStyle w:val="indexentry0"/>
      </w:pPr>
      <w:r>
        <w:t>row (Row) (</w:t>
      </w:r>
      <w:hyperlink w:anchor="section_5cf07e3168684d0cb0e86de69c57569f">
        <w:r>
          <w:rPr>
            <w:rStyle w:val="Hyperlink"/>
          </w:rPr>
          <w:t>section 2.1.643</w:t>
        </w:r>
      </w:hyperlink>
      <w:r>
        <w:t xml:space="preserve"> </w:t>
      </w:r>
      <w:r>
        <w:fldChar w:fldCharType="begin"/>
      </w:r>
      <w:r>
        <w:instrText>PAGEREF section_5cf07e3168684d0cb0e86de69c57569f</w:instrText>
      </w:r>
      <w:r>
        <w:fldChar w:fldCharType="separate"/>
      </w:r>
      <w:r>
        <w:rPr>
          <w:noProof/>
        </w:rPr>
        <w:t>279</w:t>
      </w:r>
      <w:r>
        <w:fldChar w:fldCharType="end"/>
      </w:r>
      <w:r>
        <w:t xml:space="preserve">, </w:t>
      </w:r>
      <w:hyperlink w:anchor="section_29d2ff1c1057491992a959229862218c">
        <w:r>
          <w:rPr>
            <w:rStyle w:val="Hyperlink"/>
          </w:rPr>
          <w:t>section 2.1.844</w:t>
        </w:r>
      </w:hyperlink>
      <w:r>
        <w:t xml:space="preserve"> </w:t>
      </w:r>
      <w:r>
        <w:fldChar w:fldCharType="begin"/>
      </w:r>
      <w:r>
        <w:instrText>PAGEREF section_29d2ff1c1057491992a959229862218c</w:instrText>
      </w:r>
      <w:r>
        <w:fldChar w:fldCharType="separate"/>
      </w:r>
      <w:r>
        <w:rPr>
          <w:noProof/>
        </w:rPr>
        <w:t>380</w:t>
      </w:r>
      <w:r>
        <w:fldChar w:fldCharType="end"/>
      </w:r>
      <w:r>
        <w:t xml:space="preserve">, </w:t>
      </w:r>
      <w:hyperlink w:anchor="section_049c8b2ba9994b97ace28d521d73d00c">
        <w:r>
          <w:rPr>
            <w:rStyle w:val="Hyperlink"/>
          </w:rPr>
          <w:t>section 2.1.1364</w:t>
        </w:r>
      </w:hyperlink>
      <w:r>
        <w:t xml:space="preserve"> </w:t>
      </w:r>
      <w:r>
        <w:fldChar w:fldCharType="begin"/>
      </w:r>
      <w:r>
        <w:instrText>PAGEREF section_049c8b2ba9994b97ace28d521d73d00c</w:instrText>
      </w:r>
      <w:r>
        <w:fldChar w:fldCharType="separate"/>
      </w:r>
      <w:r>
        <w:rPr>
          <w:noProof/>
        </w:rPr>
        <w:t>524</w:t>
      </w:r>
      <w:r>
        <w:fldChar w:fldCharType="end"/>
      </w:r>
      <w:r>
        <w:t xml:space="preserve">, </w:t>
      </w:r>
      <w:hyperlink w:anchor="section_4af995e554c94df0af2f9eeb39d61f58">
        <w:r>
          <w:rPr>
            <w:rStyle w:val="Hyperlink"/>
          </w:rPr>
          <w:t>section 3.2.2.1.3</w:t>
        </w:r>
      </w:hyperlink>
      <w:r>
        <w:t xml:space="preserve"> </w:t>
      </w:r>
      <w:r>
        <w:fldChar w:fldCharType="begin"/>
      </w:r>
      <w:r>
        <w:instrText>PAGEREF section_4af995e554c94df0af2f9eeb39d61f58</w:instrText>
      </w:r>
      <w:r>
        <w:fldChar w:fldCharType="separate"/>
      </w:r>
      <w:r>
        <w:rPr>
          <w:noProof/>
        </w:rPr>
        <w:t>834</w:t>
      </w:r>
      <w:r>
        <w:fldChar w:fldCharType="end"/>
      </w:r>
      <w:r>
        <w:t>)</w:t>
      </w:r>
    </w:p>
    <w:p w:rsidR="00024C0A" w:rsidRDefault="00694C0F">
      <w:pPr>
        <w:pStyle w:val="indexentry0"/>
      </w:pPr>
      <w:hyperlink w:anchor="section_09d193ae5f884f098bc2a744a755c881">
        <w:r>
          <w:rPr>
            <w:rStyle w:val="Hyperlink"/>
          </w:rPr>
          <w:t>rowBreaks (Horizontal Page Breaks (Row))</w:t>
        </w:r>
      </w:hyperlink>
      <w:r>
        <w:t xml:space="preserve"> </w:t>
      </w:r>
      <w:r>
        <w:fldChar w:fldCharType="begin"/>
      </w:r>
      <w:r>
        <w:instrText>PAGEREF section_09d193ae5f884f098bc2a744a755c881</w:instrText>
      </w:r>
      <w:r>
        <w:fldChar w:fldCharType="separate"/>
      </w:r>
      <w:r>
        <w:rPr>
          <w:noProof/>
        </w:rPr>
        <w:t>279</w:t>
      </w:r>
      <w:r>
        <w:fldChar w:fldCharType="end"/>
      </w:r>
    </w:p>
    <w:p w:rsidR="00024C0A" w:rsidRDefault="00694C0F">
      <w:pPr>
        <w:pStyle w:val="indexentry0"/>
      </w:pPr>
      <w:hyperlink w:anchor="section_b74ed70b64c94ef4b19cb45e971224e3">
        <w:r>
          <w:rPr>
            <w:rStyle w:val="Hyperlink"/>
          </w:rPr>
          <w:t>RowHidden (Comment's Row is Hidden)</w:t>
        </w:r>
      </w:hyperlink>
      <w:r>
        <w:t xml:space="preserve"> </w:t>
      </w:r>
      <w:r>
        <w:fldChar w:fldCharType="begin"/>
      </w:r>
      <w:r>
        <w:instrText>PAGE</w:instrText>
      </w:r>
      <w:r>
        <w:instrText>REF section_b74ed70b64c94ef4b19cb45e971224e3</w:instrText>
      </w:r>
      <w:r>
        <w:fldChar w:fldCharType="separate"/>
      </w:r>
      <w:r>
        <w:rPr>
          <w:noProof/>
        </w:rPr>
        <w:t>677</w:t>
      </w:r>
      <w:r>
        <w:fldChar w:fldCharType="end"/>
      </w:r>
    </w:p>
    <w:p w:rsidR="00024C0A" w:rsidRDefault="00694C0F">
      <w:pPr>
        <w:pStyle w:val="indexentry0"/>
      </w:pPr>
      <w:hyperlink w:anchor="section_506e2fc983ba464099f6ef157679b97d">
        <w:r>
          <w:rPr>
            <w:rStyle w:val="Hyperlink"/>
          </w:rPr>
          <w:t>rowHierarchyUsage (Row OLAP Hierarchies)</w:t>
        </w:r>
      </w:hyperlink>
      <w:r>
        <w:t xml:space="preserve"> </w:t>
      </w:r>
      <w:r>
        <w:fldChar w:fldCharType="begin"/>
      </w:r>
      <w:r>
        <w:instrText>PAGEREF section_506e2fc983ba464099f6ef157679b97d</w:instrText>
      </w:r>
      <w:r>
        <w:fldChar w:fldCharType="separate"/>
      </w:r>
      <w:r>
        <w:rPr>
          <w:noProof/>
        </w:rPr>
        <w:t>355</w:t>
      </w:r>
      <w:r>
        <w:fldChar w:fldCharType="end"/>
      </w:r>
    </w:p>
    <w:p w:rsidR="00024C0A" w:rsidRDefault="00694C0F">
      <w:pPr>
        <w:pStyle w:val="indexentry0"/>
      </w:pPr>
      <w:hyperlink w:anchor="section_2022337ea5034115b0da146bdcfa7a76">
        <w:r>
          <w:rPr>
            <w:rStyle w:val="Hyperlink"/>
          </w:rPr>
          <w:t>rowOff (Row Offset)</w:t>
        </w:r>
      </w:hyperlink>
      <w:r>
        <w:t xml:space="preserve"> </w:t>
      </w:r>
      <w:r>
        <w:fldChar w:fldCharType="begin"/>
      </w:r>
      <w:r>
        <w:instrText>PAGEREF section_2022337ea5034115b0da146bdcfa7a76</w:instrText>
      </w:r>
      <w:r>
        <w:fldChar w:fldCharType="separate"/>
      </w:r>
      <w:r>
        <w:rPr>
          <w:noProof/>
        </w:rPr>
        <w:t>524</w:t>
      </w:r>
      <w:r>
        <w:fldChar w:fldCharType="end"/>
      </w:r>
    </w:p>
    <w:p w:rsidR="00024C0A" w:rsidRDefault="00694C0F">
      <w:pPr>
        <w:pStyle w:val="indexentry0"/>
      </w:pPr>
      <w:hyperlink w:anchor="section_3cd2aea4797d42fc80de1a4ed0e01932">
        <w:r>
          <w:rPr>
            <w:rStyle w:val="Hyperlink"/>
          </w:rPr>
          <w:t>ROWS</w:t>
        </w:r>
      </w:hyperlink>
      <w:r>
        <w:t xml:space="preserve"> </w:t>
      </w:r>
      <w:r>
        <w:fldChar w:fldCharType="begin"/>
      </w:r>
      <w:r>
        <w:instrText>PAGEREF section_3cd2aea4797d42fc80de1a4ed0e01932</w:instrText>
      </w:r>
      <w:r>
        <w:fldChar w:fldCharType="separate"/>
      </w:r>
      <w:r>
        <w:rPr>
          <w:noProof/>
        </w:rPr>
        <w:t>444</w:t>
      </w:r>
      <w:r>
        <w:fldChar w:fldCharType="end"/>
      </w:r>
    </w:p>
    <w:p w:rsidR="00024C0A" w:rsidRDefault="00694C0F">
      <w:pPr>
        <w:pStyle w:val="indexentry0"/>
      </w:pPr>
      <w:hyperlink w:anchor="section_72e63f852b6b4fa1ad68fe0187826156">
        <w:r>
          <w:rPr>
            <w:rStyle w:val="Hyperlink"/>
          </w:rPr>
          <w:t>rowSortMap (Row Sort Map)</w:t>
        </w:r>
      </w:hyperlink>
      <w:r>
        <w:t xml:space="preserve"> </w:t>
      </w:r>
      <w:r>
        <w:fldChar w:fldCharType="begin"/>
      </w:r>
      <w:r>
        <w:instrText>PAGEREF section_72e63f852b6b4fa1ad68fe0187826156</w:instrText>
      </w:r>
      <w:r>
        <w:fldChar w:fldCharType="separate"/>
      </w:r>
      <w:r>
        <w:rPr>
          <w:noProof/>
        </w:rPr>
        <w:t>834</w:t>
      </w:r>
      <w:r>
        <w:fldChar w:fldCharType="end"/>
      </w:r>
    </w:p>
    <w:p w:rsidR="00024C0A" w:rsidRDefault="00694C0F">
      <w:pPr>
        <w:pStyle w:val="indexentry0"/>
      </w:pPr>
      <w:hyperlink w:anchor="section_7a3b21a4906947cfbf05b777e6d2078d">
        <w:r>
          <w:rPr>
            <w:rStyle w:val="Hyperlink"/>
          </w:rPr>
          <w:t>rPh (Phonetic Run)</w:t>
        </w:r>
      </w:hyperlink>
      <w:r>
        <w:t xml:space="preserve"> </w:t>
      </w:r>
      <w:r>
        <w:fldChar w:fldCharType="begin"/>
      </w:r>
      <w:r>
        <w:instrText>PAGEREF section_7a3b21a4906947cfb</w:instrText>
      </w:r>
      <w:r>
        <w:instrText>f05b777e6d2078d</w:instrText>
      </w:r>
      <w:r>
        <w:fldChar w:fldCharType="separate"/>
      </w:r>
      <w:r>
        <w:rPr>
          <w:noProof/>
        </w:rPr>
        <w:t>289</w:t>
      </w:r>
      <w:r>
        <w:fldChar w:fldCharType="end"/>
      </w:r>
    </w:p>
    <w:p w:rsidR="00024C0A" w:rsidRDefault="00694C0F">
      <w:pPr>
        <w:pStyle w:val="indexentry0"/>
      </w:pPr>
      <w:hyperlink w:anchor="section_ffb4a990b46f4e388db396fc13d0b0f6">
        <w:r>
          <w:rPr>
            <w:rStyle w:val="Hyperlink"/>
          </w:rPr>
          <w:t>rPr (Numbering Symbol Run Properties)</w:t>
        </w:r>
      </w:hyperlink>
      <w:r>
        <w:t xml:space="preserve"> </w:t>
      </w:r>
      <w:r>
        <w:fldChar w:fldCharType="begin"/>
      </w:r>
      <w:r>
        <w:instrText>PAGEREF section_ffb4a990b46f4e388db396fc13d0b0f6</w:instrText>
      </w:r>
      <w:r>
        <w:fldChar w:fldCharType="separate"/>
      </w:r>
      <w:r>
        <w:rPr>
          <w:noProof/>
        </w:rPr>
        <w:t>125</w:t>
      </w:r>
      <w:r>
        <w:fldChar w:fldCharType="end"/>
      </w:r>
    </w:p>
    <w:p w:rsidR="00024C0A" w:rsidRDefault="00694C0F">
      <w:pPr>
        <w:pStyle w:val="indexentry0"/>
      </w:pPr>
      <w:hyperlink w:anchor="section_4b5ea5ae6acf4e6cb5fdc540b5d024ba">
        <w:r>
          <w:rPr>
            <w:rStyle w:val="Hyperlink"/>
          </w:rPr>
          <w:t>rPr (Previous Run Prope</w:t>
        </w:r>
        <w:r>
          <w:rPr>
            <w:rStyle w:val="Hyperlink"/>
          </w:rPr>
          <w:t>rties for the Paragraph Mark)</w:t>
        </w:r>
      </w:hyperlink>
      <w:r>
        <w:t xml:space="preserve"> </w:t>
      </w:r>
      <w:r>
        <w:fldChar w:fldCharType="begin"/>
      </w:r>
      <w:r>
        <w:instrText>PAGEREF section_4b5ea5ae6acf4e6cb5fdc540b5d024ba</w:instrText>
      </w:r>
      <w:r>
        <w:fldChar w:fldCharType="separate"/>
      </w:r>
      <w:r>
        <w:rPr>
          <w:noProof/>
        </w:rPr>
        <w:t>66</w:t>
      </w:r>
      <w:r>
        <w:fldChar w:fldCharType="end"/>
      </w:r>
    </w:p>
    <w:p w:rsidR="00024C0A" w:rsidRDefault="00694C0F">
      <w:pPr>
        <w:pStyle w:val="indexentry0"/>
      </w:pPr>
      <w:hyperlink w:anchor="section_db26e22195ca499589a2087f606df11f">
        <w:r>
          <w:rPr>
            <w:rStyle w:val="Hyperlink"/>
          </w:rPr>
          <w:t>rPr (Previous Run Properties)</w:t>
        </w:r>
      </w:hyperlink>
      <w:r>
        <w:t xml:space="preserve"> </w:t>
      </w:r>
      <w:r>
        <w:fldChar w:fldCharType="begin"/>
      </w:r>
      <w:r>
        <w:instrText>PAGEREF section_db26e22195ca499589a2087f606df11f</w:instrText>
      </w:r>
      <w:r>
        <w:fldChar w:fldCharType="separate"/>
      </w:r>
      <w:r>
        <w:rPr>
          <w:noProof/>
        </w:rPr>
        <w:t>77</w:t>
      </w:r>
      <w:r>
        <w:fldChar w:fldCharType="end"/>
      </w:r>
    </w:p>
    <w:p w:rsidR="00024C0A" w:rsidRDefault="00694C0F">
      <w:pPr>
        <w:pStyle w:val="indexentry0"/>
      </w:pPr>
      <w:hyperlink w:anchor="section_6bd198dd11e345f39c350fb448216a02">
        <w:r>
          <w:rPr>
            <w:rStyle w:val="Hyperlink"/>
          </w:rPr>
          <w:t>rPr (Run Properties For Structured Document Tag Contents)</w:t>
        </w:r>
      </w:hyperlink>
      <w:r>
        <w:t xml:space="preserve"> </w:t>
      </w:r>
      <w:r>
        <w:fldChar w:fldCharType="begin"/>
      </w:r>
      <w:r>
        <w:instrText>PAGEREF section_6bd198dd11e345f39c350fb448216a02</w:instrText>
      </w:r>
      <w:r>
        <w:fldChar w:fldCharType="separate"/>
      </w:r>
      <w:r>
        <w:rPr>
          <w:noProof/>
        </w:rPr>
        <w:t>98</w:t>
      </w:r>
      <w:r>
        <w:fldChar w:fldCharType="end"/>
      </w:r>
    </w:p>
    <w:p w:rsidR="00024C0A" w:rsidRDefault="00694C0F">
      <w:pPr>
        <w:pStyle w:val="indexentry0"/>
      </w:pPr>
      <w:hyperlink w:anchor="section_de7e18425f80491599253bf0b4fe84bf">
        <w:r>
          <w:rPr>
            <w:rStyle w:val="Hyperlink"/>
          </w:rPr>
          <w:t>rPr (Run Properties for the Paragraph Mark)</w:t>
        </w:r>
      </w:hyperlink>
      <w:r>
        <w:t xml:space="preserve"> </w:t>
      </w:r>
      <w:r>
        <w:fldChar w:fldCharType="begin"/>
      </w:r>
      <w:r>
        <w:instrText>PAG</w:instrText>
      </w:r>
      <w:r>
        <w:instrText>EREF section_de7e18425f80491599253bf0b4fe84bf</w:instrText>
      </w:r>
      <w:r>
        <w:fldChar w:fldCharType="separate"/>
      </w:r>
      <w:r>
        <w:rPr>
          <w:noProof/>
        </w:rPr>
        <w:t>66</w:t>
      </w:r>
      <w:r>
        <w:fldChar w:fldCharType="end"/>
      </w:r>
    </w:p>
    <w:p w:rsidR="00024C0A" w:rsidRDefault="00694C0F">
      <w:pPr>
        <w:pStyle w:val="indexentry0"/>
      </w:pPr>
      <w:r>
        <w:t>rPr (Run Properties) (</w:t>
      </w:r>
      <w:hyperlink w:anchor="section_09fdbd6fad184a3392a6d948e65b8f1b">
        <w:r>
          <w:rPr>
            <w:rStyle w:val="Hyperlink"/>
          </w:rPr>
          <w:t>section 2.1.90</w:t>
        </w:r>
      </w:hyperlink>
      <w:r>
        <w:t xml:space="preserve"> </w:t>
      </w:r>
      <w:r>
        <w:fldChar w:fldCharType="begin"/>
      </w:r>
      <w:r>
        <w:instrText>PAGEREF section_09fdbd6fad184a3392a6d948e65b8f1b</w:instrText>
      </w:r>
      <w:r>
        <w:fldChar w:fldCharType="separate"/>
      </w:r>
      <w:r>
        <w:rPr>
          <w:noProof/>
        </w:rPr>
        <w:t>77</w:t>
      </w:r>
      <w:r>
        <w:fldChar w:fldCharType="end"/>
      </w:r>
      <w:r>
        <w:t xml:space="preserve">, </w:t>
      </w:r>
      <w:hyperlink w:anchor="section_9f0ca7a05e6a487ebb522b74d4bb614a">
        <w:r>
          <w:rPr>
            <w:rStyle w:val="Hyperlink"/>
          </w:rPr>
          <w:t>section 2.1.245</w:t>
        </w:r>
      </w:hyperlink>
      <w:r>
        <w:t xml:space="preserve"> </w:t>
      </w:r>
      <w:r>
        <w:fldChar w:fldCharType="begin"/>
      </w:r>
      <w:r>
        <w:instrText>PAGEREF section_9f0ca7a05e6a487ebb522b74d4bb614a</w:instrText>
      </w:r>
      <w:r>
        <w:fldChar w:fldCharType="separate"/>
      </w:r>
      <w:r>
        <w:rPr>
          <w:noProof/>
        </w:rPr>
        <w:t>116</w:t>
      </w:r>
      <w:r>
        <w:fldChar w:fldCharType="end"/>
      </w:r>
      <w:r>
        <w:t xml:space="preserve">, </w:t>
      </w:r>
      <w:hyperlink w:anchor="section_0f36799f599e449b8d9dcd42c9c6e41f">
        <w:r>
          <w:rPr>
            <w:rStyle w:val="Hyperlink"/>
          </w:rPr>
          <w:t>section 2.1.260</w:t>
        </w:r>
      </w:hyperlink>
      <w:r>
        <w:t xml:space="preserve"> </w:t>
      </w:r>
      <w:r>
        <w:fldChar w:fldCharType="begin"/>
      </w:r>
      <w:r>
        <w:instrText>PAGEREF section_0f36799f599e449b8d9dcd42c9c6e41f</w:instrText>
      </w:r>
      <w:r>
        <w:fldChar w:fldCharType="separate"/>
      </w:r>
      <w:r>
        <w:rPr>
          <w:noProof/>
        </w:rPr>
        <w:t>120</w:t>
      </w:r>
      <w:r>
        <w:fldChar w:fldCharType="end"/>
      </w:r>
      <w:r>
        <w:t xml:space="preserve">, </w:t>
      </w:r>
      <w:hyperlink w:anchor="section_29f6b8095f1a4b2bb65a0286a0758460">
        <w:r>
          <w:rPr>
            <w:rStyle w:val="Hyperlink"/>
          </w:rPr>
          <w:t>section 2.1.673</w:t>
        </w:r>
      </w:hyperlink>
      <w:r>
        <w:t xml:space="preserve"> </w:t>
      </w:r>
      <w:r>
        <w:fldChar w:fldCharType="begin"/>
      </w:r>
      <w:r>
        <w:instrText>PAGEREF section_29f6b8095f1a4b2bb65a0286a0758460</w:instrText>
      </w:r>
      <w:r>
        <w:fldChar w:fldCharType="separate"/>
      </w:r>
      <w:r>
        <w:rPr>
          <w:noProof/>
        </w:rPr>
        <w:t>289</w:t>
      </w:r>
      <w:r>
        <w:fldChar w:fldCharType="end"/>
      </w:r>
      <w:r>
        <w:t>)</w:t>
      </w:r>
    </w:p>
    <w:p w:rsidR="00024C0A" w:rsidRDefault="00694C0F">
      <w:pPr>
        <w:pStyle w:val="indexentry0"/>
      </w:pPr>
      <w:hyperlink w:anchor="section_8099cfe74fb24c51acf499ff0f09a2f4">
        <w:r>
          <w:rPr>
            <w:rStyle w:val="Hyperlink"/>
          </w:rPr>
          <w:t>rPr (Structured Document Tag End Character Run Properties)</w:t>
        </w:r>
      </w:hyperlink>
      <w:r>
        <w:t xml:space="preserve"> </w:t>
      </w:r>
      <w:r>
        <w:fldChar w:fldCharType="begin"/>
      </w:r>
      <w:r>
        <w:instrText>PA</w:instrText>
      </w:r>
      <w:r>
        <w:instrText>GEREF section_8099cfe74fb24c51acf499ff0f09a2f4</w:instrText>
      </w:r>
      <w:r>
        <w:fldChar w:fldCharType="separate"/>
      </w:r>
      <w:r>
        <w:rPr>
          <w:noProof/>
        </w:rPr>
        <w:t>98</w:t>
      </w:r>
      <w:r>
        <w:fldChar w:fldCharType="end"/>
      </w:r>
    </w:p>
    <w:p w:rsidR="00024C0A" w:rsidRDefault="00694C0F">
      <w:pPr>
        <w:pStyle w:val="indexentry0"/>
      </w:pPr>
      <w:hyperlink w:anchor="section_d0244b61fd9645f0ac847380d2b6d663">
        <w:r>
          <w:rPr>
            <w:rStyle w:val="Hyperlink"/>
          </w:rPr>
          <w:t>rPr (Table Style Conditional Formatting Run Properties)</w:t>
        </w:r>
      </w:hyperlink>
      <w:r>
        <w:t xml:space="preserve"> </w:t>
      </w:r>
      <w:r>
        <w:fldChar w:fldCharType="begin"/>
      </w:r>
      <w:r>
        <w:instrText>PAGEREF section_d0244b61fd9645f0ac847380d2b6d663</w:instrText>
      </w:r>
      <w:r>
        <w:fldChar w:fldCharType="separate"/>
      </w:r>
      <w:r>
        <w:rPr>
          <w:noProof/>
        </w:rPr>
        <w:t>117</w:t>
      </w:r>
      <w:r>
        <w:fldChar w:fldCharType="end"/>
      </w:r>
    </w:p>
    <w:p w:rsidR="00024C0A" w:rsidRDefault="00694C0F">
      <w:pPr>
        <w:pStyle w:val="indexentry0"/>
      </w:pPr>
      <w:hyperlink w:anchor="section_953e072cf2344373b0173f1f71eac93b">
        <w:r>
          <w:rPr>
            <w:rStyle w:val="Hyperlink"/>
          </w:rPr>
          <w:t>rPr (Text Run Properties)</w:t>
        </w:r>
      </w:hyperlink>
      <w:r>
        <w:t xml:space="preserve"> </w:t>
      </w:r>
      <w:r>
        <w:fldChar w:fldCharType="begin"/>
      </w:r>
      <w:r>
        <w:instrText>PAGEREF section_953e072cf2344373b0173f1f71eac93b</w:instrText>
      </w:r>
      <w:r>
        <w:fldChar w:fldCharType="separate"/>
      </w:r>
      <w:r>
        <w:rPr>
          <w:noProof/>
        </w:rPr>
        <w:t>535</w:t>
      </w:r>
      <w:r>
        <w:fldChar w:fldCharType="end"/>
      </w:r>
    </w:p>
    <w:p w:rsidR="00024C0A" w:rsidRDefault="00694C0F">
      <w:pPr>
        <w:pStyle w:val="indexentry0"/>
      </w:pPr>
      <w:hyperlink w:anchor="section_7fec6f90a2ff40dcba8df45db391f716">
        <w:r>
          <w:rPr>
            <w:rStyle w:val="Hyperlink"/>
          </w:rPr>
          <w:t>rPrChange (Revision Information for Run Properties on the Paragraph Mark)</w:t>
        </w:r>
      </w:hyperlink>
      <w:r>
        <w:t xml:space="preserve"> </w:t>
      </w:r>
      <w:r>
        <w:fldChar w:fldCharType="begin"/>
      </w:r>
      <w:r>
        <w:instrText>PAGEREF secti</w:instrText>
      </w:r>
      <w:r>
        <w:instrText>on_7fec6f90a2ff40dcba8df45db391f716</w:instrText>
      </w:r>
      <w:r>
        <w:fldChar w:fldCharType="separate"/>
      </w:r>
      <w:r>
        <w:rPr>
          <w:noProof/>
        </w:rPr>
        <w:t>138</w:t>
      </w:r>
      <w:r>
        <w:fldChar w:fldCharType="end"/>
      </w:r>
    </w:p>
    <w:p w:rsidR="00024C0A" w:rsidRDefault="00694C0F">
      <w:pPr>
        <w:pStyle w:val="indexentry0"/>
      </w:pPr>
      <w:hyperlink w:anchor="section_d12848504d134d5eb6cd167c00942216">
        <w:r>
          <w:rPr>
            <w:rStyle w:val="Hyperlink"/>
          </w:rPr>
          <w:t>rPrChange (Revision Information for Run Properties)</w:t>
        </w:r>
      </w:hyperlink>
      <w:r>
        <w:t xml:space="preserve"> </w:t>
      </w:r>
      <w:r>
        <w:fldChar w:fldCharType="begin"/>
      </w:r>
      <w:r>
        <w:instrText>PAGEREF section_d12848504d134d5eb6cd167c00942216</w:instrText>
      </w:r>
      <w:r>
        <w:fldChar w:fldCharType="separate"/>
      </w:r>
      <w:r>
        <w:rPr>
          <w:noProof/>
        </w:rPr>
        <w:t>138</w:t>
      </w:r>
      <w:r>
        <w:fldChar w:fldCharType="end"/>
      </w:r>
    </w:p>
    <w:p w:rsidR="00024C0A" w:rsidRDefault="00694C0F">
      <w:pPr>
        <w:pStyle w:val="indexentry0"/>
      </w:pPr>
      <w:hyperlink w:anchor="section_47f7f4b3b75e4e2c8a17a5b2508a76f3">
        <w:r>
          <w:rPr>
            <w:rStyle w:val="Hyperlink"/>
          </w:rPr>
          <w:t>rqt (Revision Query Table)</w:t>
        </w:r>
      </w:hyperlink>
      <w:r>
        <w:t xml:space="preserve"> </w:t>
      </w:r>
      <w:r>
        <w:fldChar w:fldCharType="begin"/>
      </w:r>
      <w:r>
        <w:instrText>PAGEREF section_47f7f4b3b75e4e2c8a17a5b2508a76f3</w:instrText>
      </w:r>
      <w:r>
        <w:fldChar w:fldCharType="separate"/>
      </w:r>
      <w:r>
        <w:rPr>
          <w:noProof/>
        </w:rPr>
        <w:t>372</w:t>
      </w:r>
      <w:r>
        <w:fldChar w:fldCharType="end"/>
      </w:r>
    </w:p>
    <w:p w:rsidR="00024C0A" w:rsidRDefault="00694C0F">
      <w:pPr>
        <w:pStyle w:val="indexentry0"/>
      </w:pPr>
      <w:hyperlink w:anchor="section_8aa1a35f152949af865abb4ba51645b5">
        <w:r>
          <w:rPr>
            <w:rStyle w:val="Hyperlink"/>
          </w:rPr>
          <w:t>rrc (Revision Row Column Insert Delete)</w:t>
        </w:r>
      </w:hyperlink>
      <w:r>
        <w:t xml:space="preserve"> </w:t>
      </w:r>
      <w:r>
        <w:fldChar w:fldCharType="begin"/>
      </w:r>
      <w:r>
        <w:instrText>PAGEREF section_8aa1a35f152949af865abb4ba51645b5</w:instrText>
      </w:r>
      <w:r>
        <w:fldChar w:fldCharType="separate"/>
      </w:r>
      <w:r>
        <w:rPr>
          <w:noProof/>
        </w:rPr>
        <w:t>372</w:t>
      </w:r>
      <w:r>
        <w:fldChar w:fldCharType="end"/>
      </w:r>
    </w:p>
    <w:p w:rsidR="00024C0A" w:rsidRDefault="00694C0F">
      <w:pPr>
        <w:pStyle w:val="indexentry0"/>
      </w:pPr>
      <w:hyperlink w:anchor="section_9e7cca9a56a74c999e307aeedfa4c995">
        <w:r>
          <w:rPr>
            <w:rStyle w:val="Hyperlink"/>
          </w:rPr>
          <w:t>rsid (Single Session Revision Save ID)</w:t>
        </w:r>
      </w:hyperlink>
      <w:r>
        <w:t xml:space="preserve"> </w:t>
      </w:r>
      <w:r>
        <w:fldChar w:fldCharType="begin"/>
      </w:r>
      <w:r>
        <w:instrText>PAGEREF section_9e7cca9a56a74c999e307aeedfa4c995</w:instrText>
      </w:r>
      <w:r>
        <w:fldChar w:fldCharType="separate"/>
      </w:r>
      <w:r>
        <w:rPr>
          <w:noProof/>
        </w:rPr>
        <w:t>156</w:t>
      </w:r>
      <w:r>
        <w:fldChar w:fldCharType="end"/>
      </w:r>
    </w:p>
    <w:p w:rsidR="00024C0A" w:rsidRDefault="00694C0F">
      <w:pPr>
        <w:pStyle w:val="indexentry0"/>
      </w:pPr>
      <w:hyperlink w:anchor="section_ca21574c0dfb4e9ba0e39cf9c855e9bb">
        <w:r>
          <w:rPr>
            <w:rStyle w:val="Hyperlink"/>
          </w:rPr>
          <w:t>rsnm (Revision Sheet Name)</w:t>
        </w:r>
      </w:hyperlink>
      <w:r>
        <w:t xml:space="preserve"> </w:t>
      </w:r>
      <w:r>
        <w:fldChar w:fldCharType="begin"/>
      </w:r>
      <w:r>
        <w:instrText>PAGEREF section_ca21574c0dfb4e9ba0e39cf9c855e9bb</w:instrText>
      </w:r>
      <w:r>
        <w:fldChar w:fldCharType="separate"/>
      </w:r>
      <w:r>
        <w:rPr>
          <w:noProof/>
        </w:rPr>
        <w:t>372</w:t>
      </w:r>
      <w:r>
        <w:fldChar w:fldCharType="end"/>
      </w:r>
    </w:p>
    <w:p w:rsidR="00024C0A" w:rsidRDefault="00694C0F">
      <w:pPr>
        <w:pStyle w:val="indexentry0"/>
      </w:pPr>
      <w:hyperlink w:anchor="section_6895cb10962648be96906579da8c41a4">
        <w:r>
          <w:rPr>
            <w:rStyle w:val="Hyperlink"/>
          </w:rPr>
          <w:t>rSp (Row Spacing (Array))</w:t>
        </w:r>
      </w:hyperlink>
      <w:r>
        <w:t xml:space="preserve"> </w:t>
      </w:r>
      <w:r>
        <w:fldChar w:fldCharType="begin"/>
      </w:r>
      <w:r>
        <w:instrText>PAGEREF section_6895cb10962648be96906579da8c41a4</w:instrText>
      </w:r>
      <w:r>
        <w:fldChar w:fldCharType="separate"/>
      </w:r>
      <w:r>
        <w:rPr>
          <w:noProof/>
        </w:rPr>
        <w:t>598</w:t>
      </w:r>
      <w:r>
        <w:fldChar w:fldCharType="end"/>
      </w:r>
    </w:p>
    <w:p w:rsidR="00024C0A" w:rsidRDefault="00694C0F">
      <w:pPr>
        <w:pStyle w:val="indexentry0"/>
      </w:pPr>
      <w:hyperlink w:anchor="section_bc0219213f1f402abccba4d59be53942">
        <w:r>
          <w:rPr>
            <w:rStyle w:val="Hyperlink"/>
          </w:rPr>
          <w:t>rS</w:t>
        </w:r>
        <w:r>
          <w:rPr>
            <w:rStyle w:val="Hyperlink"/>
          </w:rPr>
          <w:t>pRule (Row Spacing Rule)</w:t>
        </w:r>
      </w:hyperlink>
      <w:r>
        <w:t xml:space="preserve"> </w:t>
      </w:r>
      <w:r>
        <w:fldChar w:fldCharType="begin"/>
      </w:r>
      <w:r>
        <w:instrText>PAGEREF section_bc0219213f1f402abccba4d59be53942</w:instrText>
      </w:r>
      <w:r>
        <w:fldChar w:fldCharType="separate"/>
      </w:r>
      <w:r>
        <w:rPr>
          <w:noProof/>
        </w:rPr>
        <w:t>599</w:t>
      </w:r>
      <w:r>
        <w:fldChar w:fldCharType="end"/>
      </w:r>
    </w:p>
    <w:p w:rsidR="00024C0A" w:rsidRDefault="00694C0F">
      <w:pPr>
        <w:pStyle w:val="indexentry0"/>
      </w:pPr>
      <w:hyperlink w:anchor="section_73fcb2a52673440c8be215a35a93346e">
        <w:r>
          <w:rPr>
            <w:rStyle w:val="Hyperlink"/>
          </w:rPr>
          <w:t>rStyle (Referenced Character Style)</w:t>
        </w:r>
      </w:hyperlink>
      <w:r>
        <w:t xml:space="preserve"> </w:t>
      </w:r>
      <w:r>
        <w:fldChar w:fldCharType="begin"/>
      </w:r>
      <w:r>
        <w:instrText>PAGEREF section_73fcb2a52673440c8be215a35a93346e</w:instrText>
      </w:r>
      <w:r>
        <w:fldChar w:fldCharType="separate"/>
      </w:r>
      <w:r>
        <w:rPr>
          <w:noProof/>
        </w:rPr>
        <w:t>77</w:t>
      </w:r>
      <w:r>
        <w:fldChar w:fldCharType="end"/>
      </w:r>
    </w:p>
    <w:p w:rsidR="00024C0A" w:rsidRDefault="00694C0F">
      <w:pPr>
        <w:pStyle w:val="indexentry0"/>
      </w:pPr>
      <w:hyperlink w:anchor="section_af021f39c8864571a52f70966013513b">
        <w:r>
          <w:rPr>
            <w:rStyle w:val="Hyperlink"/>
          </w:rPr>
          <w:t>rt (Phonetic Guide Text)</w:t>
        </w:r>
      </w:hyperlink>
      <w:r>
        <w:t xml:space="preserve"> </w:t>
      </w:r>
      <w:r>
        <w:fldChar w:fldCharType="begin"/>
      </w:r>
      <w:r>
        <w:instrText>PAGEREF section_af021f39c8864571a52f70966013513b</w:instrText>
      </w:r>
      <w:r>
        <w:fldChar w:fldCharType="separate"/>
      </w:r>
      <w:r>
        <w:rPr>
          <w:noProof/>
        </w:rPr>
        <w:t>80</w:t>
      </w:r>
      <w:r>
        <w:fldChar w:fldCharType="end"/>
      </w:r>
    </w:p>
    <w:p w:rsidR="00024C0A" w:rsidRDefault="00694C0F">
      <w:pPr>
        <w:pStyle w:val="indexentry0"/>
      </w:pPr>
      <w:hyperlink w:anchor="section_70a4382f51c64640851dd8612b038217">
        <w:r>
          <w:rPr>
            <w:rStyle w:val="Hyperlink"/>
          </w:rPr>
          <w:t>RTD</w:t>
        </w:r>
      </w:hyperlink>
      <w:r>
        <w:t xml:space="preserve"> </w:t>
      </w:r>
      <w:r>
        <w:fldChar w:fldCharType="begin"/>
      </w:r>
      <w:r>
        <w:instrText>PAGEREF section_70a4382f51c64640851dd8612b038217</w:instrText>
      </w:r>
      <w:r>
        <w:fldChar w:fldCharType="separate"/>
      </w:r>
      <w:r>
        <w:rPr>
          <w:noProof/>
        </w:rPr>
        <w:t>444</w:t>
      </w:r>
      <w:r>
        <w:fldChar w:fldCharType="end"/>
      </w:r>
    </w:p>
    <w:p w:rsidR="00024C0A" w:rsidRDefault="00694C0F">
      <w:pPr>
        <w:pStyle w:val="indexentry0"/>
      </w:pPr>
      <w:hyperlink w:anchor="section_da2e20e23a5748c094fc7e7bc05831a2">
        <w:r>
          <w:rPr>
            <w:rStyle w:val="Hyperlink"/>
          </w:rPr>
          <w:t>rtl (Right To Left Text)</w:t>
        </w:r>
      </w:hyperlink>
      <w:r>
        <w:t xml:space="preserve"> </w:t>
      </w:r>
      <w:r>
        <w:fldChar w:fldCharType="begin"/>
      </w:r>
      <w:r>
        <w:instrText>PAGEREF section_da2e20e23a5748c094fc7e7bc05831a2</w:instrText>
      </w:r>
      <w:r>
        <w:fldChar w:fldCharType="separate"/>
      </w:r>
      <w:r>
        <w:rPr>
          <w:noProof/>
        </w:rPr>
        <w:t>77</w:t>
      </w:r>
      <w:r>
        <w:fldChar w:fldCharType="end"/>
      </w:r>
    </w:p>
    <w:p w:rsidR="00024C0A" w:rsidRDefault="00694C0F">
      <w:pPr>
        <w:pStyle w:val="indexentry0"/>
      </w:pPr>
      <w:hyperlink w:anchor="section_7fe9debd14844460b600621fc119b521">
        <w:r>
          <w:rPr>
            <w:rStyle w:val="Hyperlink"/>
          </w:rPr>
          <w:t>rubyBase (Phonetic Guide Base Text)</w:t>
        </w:r>
      </w:hyperlink>
      <w:r>
        <w:t xml:space="preserve"> </w:t>
      </w:r>
      <w:r>
        <w:fldChar w:fldCharType="begin"/>
      </w:r>
      <w:r>
        <w:instrText>PAGEREF section_7fe9debd14844460b600621f</w:instrText>
      </w:r>
      <w:r>
        <w:instrText>c119b521</w:instrText>
      </w:r>
      <w:r>
        <w:fldChar w:fldCharType="separate"/>
      </w:r>
      <w:r>
        <w:rPr>
          <w:noProof/>
        </w:rPr>
        <w:t>80</w:t>
      </w:r>
      <w:r>
        <w:fldChar w:fldCharType="end"/>
      </w:r>
    </w:p>
    <w:p w:rsidR="00024C0A" w:rsidRDefault="00024C0A">
      <w:pPr>
        <w:spacing w:before="0" w:after="0"/>
        <w:rPr>
          <w:sz w:val="16"/>
        </w:rPr>
      </w:pPr>
    </w:p>
    <w:p w:rsidR="00024C0A" w:rsidRDefault="00694C0F">
      <w:pPr>
        <w:pStyle w:val="indexheader"/>
      </w:pPr>
      <w:r>
        <w:t>S</w:t>
      </w:r>
    </w:p>
    <w:p w:rsidR="00024C0A" w:rsidRDefault="00024C0A">
      <w:pPr>
        <w:spacing w:before="0" w:after="0"/>
        <w:rPr>
          <w:sz w:val="16"/>
        </w:rPr>
      </w:pPr>
    </w:p>
    <w:p w:rsidR="00024C0A" w:rsidRDefault="00694C0F">
      <w:pPr>
        <w:pStyle w:val="indexentry0"/>
      </w:pPr>
      <w:r>
        <w:t>s (Character Value) (</w:t>
      </w:r>
      <w:hyperlink w:anchor="section_666f1692575a4f56a5dd705e766fdf96">
        <w:r>
          <w:rPr>
            <w:rStyle w:val="Hyperlink"/>
          </w:rPr>
          <w:t>section 2.1.793</w:t>
        </w:r>
      </w:hyperlink>
      <w:r>
        <w:t xml:space="preserve"> </w:t>
      </w:r>
      <w:r>
        <w:fldChar w:fldCharType="begin"/>
      </w:r>
      <w:r>
        <w:instrText>PAGEREF section_666f1692575a4f56a5dd705e766fdf96</w:instrText>
      </w:r>
      <w:r>
        <w:fldChar w:fldCharType="separate"/>
      </w:r>
      <w:r>
        <w:rPr>
          <w:noProof/>
        </w:rPr>
        <w:t>355</w:t>
      </w:r>
      <w:r>
        <w:fldChar w:fldCharType="end"/>
      </w:r>
      <w:r>
        <w:t xml:space="preserve">, </w:t>
      </w:r>
      <w:hyperlink w:anchor="section_a88f22503afe4d50bec546158f10b928">
        <w:r>
          <w:rPr>
            <w:rStyle w:val="Hyperlink"/>
          </w:rPr>
          <w:t>section 2.1.832</w:t>
        </w:r>
      </w:hyperlink>
      <w:r>
        <w:t xml:space="preserve"> </w:t>
      </w:r>
      <w:r>
        <w:fldChar w:fldCharType="begin"/>
      </w:r>
      <w:r>
        <w:instrText>PAGEREF section_a88f22503afe4d50bec546158f10b928</w:instrText>
      </w:r>
      <w:r>
        <w:fldChar w:fldCharType="separate"/>
      </w:r>
      <w:r>
        <w:rPr>
          <w:noProof/>
        </w:rPr>
        <w:t>377</w:t>
      </w:r>
      <w:r>
        <w:fldChar w:fldCharType="end"/>
      </w:r>
      <w:r>
        <w:t>)</w:t>
      </w:r>
    </w:p>
    <w:p w:rsidR="00024C0A" w:rsidRDefault="00694C0F">
      <w:pPr>
        <w:pStyle w:val="indexentry0"/>
      </w:pPr>
      <w:hyperlink w:anchor="section_03602c0c4e48496a96881c9f8d446fd0">
        <w:r>
          <w:rPr>
            <w:rStyle w:val="Hyperlink"/>
          </w:rPr>
          <w:t>sampData (Sample Data)</w:t>
        </w:r>
      </w:hyperlink>
      <w:r>
        <w:t xml:space="preserve"> </w:t>
      </w:r>
      <w:r>
        <w:fldChar w:fldCharType="begin"/>
      </w:r>
      <w:r>
        <w:instrText>PAGEREF section_03602c0c4e48496a96881c9f8d446fd0</w:instrText>
      </w:r>
      <w:r>
        <w:fldChar w:fldCharType="separate"/>
      </w:r>
      <w:r>
        <w:rPr>
          <w:noProof/>
        </w:rPr>
        <w:t>581</w:t>
      </w:r>
      <w:r>
        <w:fldChar w:fldCharType="end"/>
      </w:r>
    </w:p>
    <w:p w:rsidR="00024C0A" w:rsidRDefault="00694C0F">
      <w:pPr>
        <w:pStyle w:val="indexentry0"/>
      </w:pPr>
      <w:hyperlink w:anchor="section_6e285ca361b94a4093beaf70277dcd71">
        <w:r>
          <w:rPr>
            <w:rStyle w:val="Hyperlink"/>
          </w:rPr>
          <w:t xml:space="preserve">sat </w:t>
        </w:r>
        <w:r>
          <w:rPr>
            <w:rStyle w:val="Hyperlink"/>
          </w:rPr>
          <w:t>(Saturation)</w:t>
        </w:r>
      </w:hyperlink>
      <w:r>
        <w:t xml:space="preserve"> </w:t>
      </w:r>
      <w:r>
        <w:fldChar w:fldCharType="begin"/>
      </w:r>
      <w:r>
        <w:instrText>PAGEREF section_6e285ca361b94a4093beaf70277dcd71</w:instrText>
      </w:r>
      <w:r>
        <w:fldChar w:fldCharType="separate"/>
      </w:r>
      <w:r>
        <w:rPr>
          <w:noProof/>
        </w:rPr>
        <w:t>501</w:t>
      </w:r>
      <w:r>
        <w:fldChar w:fldCharType="end"/>
      </w:r>
    </w:p>
    <w:p w:rsidR="00024C0A" w:rsidRDefault="00694C0F">
      <w:pPr>
        <w:pStyle w:val="indexentry0"/>
      </w:pPr>
      <w:hyperlink w:anchor="section_157e57919c514251ae907dd58ae69778">
        <w:r>
          <w:rPr>
            <w:rStyle w:val="Hyperlink"/>
          </w:rPr>
          <w:t>satMod (Saturation Modulation)</w:t>
        </w:r>
      </w:hyperlink>
      <w:r>
        <w:t xml:space="preserve"> </w:t>
      </w:r>
      <w:r>
        <w:fldChar w:fldCharType="begin"/>
      </w:r>
      <w:r>
        <w:instrText>PAGEREF section_157e57919c514251ae907dd58ae69778</w:instrText>
      </w:r>
      <w:r>
        <w:fldChar w:fldCharType="separate"/>
      </w:r>
      <w:r>
        <w:rPr>
          <w:noProof/>
        </w:rPr>
        <w:t>502</w:t>
      </w:r>
      <w:r>
        <w:fldChar w:fldCharType="end"/>
      </w:r>
    </w:p>
    <w:p w:rsidR="00024C0A" w:rsidRDefault="00694C0F">
      <w:pPr>
        <w:pStyle w:val="indexentry0"/>
      </w:pPr>
      <w:hyperlink w:anchor="section_4739545ec381406d9f092fcbe7d8e3af">
        <w:r>
          <w:rPr>
            <w:rStyle w:val="Hyperlink"/>
          </w:rPr>
          <w:t>satOff (Saturation Offset)</w:t>
        </w:r>
      </w:hyperlink>
      <w:r>
        <w:t xml:space="preserve"> </w:t>
      </w:r>
      <w:r>
        <w:fldChar w:fldCharType="begin"/>
      </w:r>
      <w:r>
        <w:instrText>PAGEREF section_4739545ec381406d9f092fcbe7d8e3af</w:instrText>
      </w:r>
      <w:r>
        <w:fldChar w:fldCharType="separate"/>
      </w:r>
      <w:r>
        <w:rPr>
          <w:noProof/>
        </w:rPr>
        <w:t>502</w:t>
      </w:r>
      <w:r>
        <w:fldChar w:fldCharType="end"/>
      </w:r>
    </w:p>
    <w:p w:rsidR="00024C0A" w:rsidRDefault="00694C0F">
      <w:pPr>
        <w:pStyle w:val="indexentry0"/>
      </w:pPr>
      <w:hyperlink w:anchor="section_ec6ce3a5b5c94683af962367fbcd9d08">
        <w:r>
          <w:rPr>
            <w:rStyle w:val="Hyperlink"/>
          </w:rPr>
          <w:t>SAVEDATE</w:t>
        </w:r>
      </w:hyperlink>
      <w:r>
        <w:t xml:space="preserve"> </w:t>
      </w:r>
      <w:r>
        <w:fldChar w:fldCharType="begin"/>
      </w:r>
      <w:r>
        <w:instrText>PAGEREF section_ec6ce3a5b5c94683af962367fbcd9d08</w:instrText>
      </w:r>
      <w:r>
        <w:fldChar w:fldCharType="separate"/>
      </w:r>
      <w:r>
        <w:rPr>
          <w:noProof/>
        </w:rPr>
        <w:t>221</w:t>
      </w:r>
      <w:r>
        <w:fldChar w:fldCharType="end"/>
      </w:r>
    </w:p>
    <w:p w:rsidR="00024C0A" w:rsidRDefault="00694C0F">
      <w:pPr>
        <w:pStyle w:val="indexentry0"/>
      </w:pPr>
      <w:hyperlink w:anchor="section_5530b6b16de7404188adf0c784df4781">
        <w:r>
          <w:rPr>
            <w:rStyle w:val="Hyperlink"/>
          </w:rPr>
          <w:t>saveInvalidXml (Allow Saving Document As XML File When Custom XML Markup Is Invalid)</w:t>
        </w:r>
      </w:hyperlink>
      <w:r>
        <w:t xml:space="preserve"> </w:t>
      </w:r>
      <w:r>
        <w:fldChar w:fldCharType="begin"/>
      </w:r>
      <w:r>
        <w:instrText>PAGEREF section_5530b6b16de7404188adf0c784df4781</w:instrText>
      </w:r>
      <w:r>
        <w:fldChar w:fldCharType="separate"/>
      </w:r>
      <w:r>
        <w:rPr>
          <w:noProof/>
        </w:rPr>
        <w:t>156</w:t>
      </w:r>
      <w:r>
        <w:fldChar w:fldCharType="end"/>
      </w:r>
    </w:p>
    <w:p w:rsidR="00024C0A" w:rsidRDefault="00694C0F">
      <w:pPr>
        <w:pStyle w:val="indexentry0"/>
      </w:pPr>
      <w:hyperlink w:anchor="section_4b47b239faff4088bad3808500ee9c0f">
        <w:r>
          <w:rPr>
            <w:rStyle w:val="Hyperlink"/>
          </w:rPr>
          <w:t xml:space="preserve">saveThroughXslt (Custom XSL </w:t>
        </w:r>
        <w:r>
          <w:rPr>
            <w:rStyle w:val="Hyperlink"/>
          </w:rPr>
          <w:t>Transform To Use When Saving As XML File)</w:t>
        </w:r>
      </w:hyperlink>
      <w:r>
        <w:t xml:space="preserve"> </w:t>
      </w:r>
      <w:r>
        <w:fldChar w:fldCharType="begin"/>
      </w:r>
      <w:r>
        <w:instrText>PAGEREF section_4b47b239faff4088bad3808500ee9c0f</w:instrText>
      </w:r>
      <w:r>
        <w:fldChar w:fldCharType="separate"/>
      </w:r>
      <w:r>
        <w:rPr>
          <w:noProof/>
        </w:rPr>
        <w:t>156</w:t>
      </w:r>
      <w:r>
        <w:fldChar w:fldCharType="end"/>
      </w:r>
    </w:p>
    <w:p w:rsidR="00024C0A" w:rsidRDefault="00694C0F">
      <w:pPr>
        <w:pStyle w:val="indexentry0"/>
      </w:pPr>
      <w:hyperlink w:anchor="section_467128baa9144fe8a022184922a47c21">
        <w:r>
          <w:rPr>
            <w:rStyle w:val="Hyperlink"/>
          </w:rPr>
          <w:t>scale (View Scale)</w:t>
        </w:r>
      </w:hyperlink>
      <w:r>
        <w:t xml:space="preserve"> </w:t>
      </w:r>
      <w:r>
        <w:fldChar w:fldCharType="begin"/>
      </w:r>
      <w:r>
        <w:instrText>PAGEREF section_467128baa9144fe8a022184922a47c21</w:instrText>
      </w:r>
      <w:r>
        <w:fldChar w:fldCharType="separate"/>
      </w:r>
      <w:r>
        <w:rPr>
          <w:noProof/>
        </w:rPr>
        <w:t>466</w:t>
      </w:r>
      <w:r>
        <w:fldChar w:fldCharType="end"/>
      </w:r>
    </w:p>
    <w:p w:rsidR="00024C0A" w:rsidRDefault="00694C0F">
      <w:pPr>
        <w:pStyle w:val="indexentry0"/>
      </w:pPr>
      <w:hyperlink w:anchor="section_3a25f022e56d4b758361c2d5beab1060">
        <w:r>
          <w:rPr>
            <w:rStyle w:val="Hyperlink"/>
          </w:rPr>
          <w:t>scatterChart (Scatter Charts)</w:t>
        </w:r>
      </w:hyperlink>
      <w:r>
        <w:t xml:space="preserve"> </w:t>
      </w:r>
      <w:r>
        <w:fldChar w:fldCharType="begin"/>
      </w:r>
      <w:r>
        <w:instrText>PAGEREF section_3a25f022e56d4b758361c2d5beab1060</w:instrText>
      </w:r>
      <w:r>
        <w:fldChar w:fldCharType="separate"/>
      </w:r>
      <w:r>
        <w:rPr>
          <w:noProof/>
        </w:rPr>
        <w:t>564</w:t>
      </w:r>
      <w:r>
        <w:fldChar w:fldCharType="end"/>
      </w:r>
    </w:p>
    <w:p w:rsidR="00024C0A" w:rsidRDefault="00694C0F">
      <w:pPr>
        <w:pStyle w:val="indexentry0"/>
      </w:pPr>
      <w:hyperlink w:anchor="section_44a549a0150b49d0bb6be02bc5122381">
        <w:r>
          <w:rPr>
            <w:rStyle w:val="Hyperlink"/>
          </w:rPr>
          <w:t>scenario (Scenario)</w:t>
        </w:r>
      </w:hyperlink>
      <w:r>
        <w:t xml:space="preserve"> </w:t>
      </w:r>
      <w:r>
        <w:fldChar w:fldCharType="begin"/>
      </w:r>
      <w:r>
        <w:instrText>PAGEREF section_44a549a0150b49d0bb6be02bc5122381</w:instrText>
      </w:r>
      <w:r>
        <w:fldChar w:fldCharType="separate"/>
      </w:r>
      <w:r>
        <w:rPr>
          <w:noProof/>
        </w:rPr>
        <w:t>279</w:t>
      </w:r>
      <w:r>
        <w:fldChar w:fldCharType="end"/>
      </w:r>
    </w:p>
    <w:p w:rsidR="00024C0A" w:rsidRDefault="00694C0F">
      <w:pPr>
        <w:pStyle w:val="indexentry0"/>
      </w:pPr>
      <w:hyperlink w:anchor="section_340d24aef870491180380cb886c4aa1c">
        <w:r>
          <w:rPr>
            <w:rStyle w:val="Hyperlink"/>
          </w:rPr>
          <w:t>scenarios (Scenarios)</w:t>
        </w:r>
      </w:hyperlink>
      <w:r>
        <w:t xml:space="preserve"> </w:t>
      </w:r>
      <w:r>
        <w:fldChar w:fldCharType="begin"/>
      </w:r>
      <w:r>
        <w:instrText>PAGEREF section_340d24aef870491180380cb886c4aa1c</w:instrText>
      </w:r>
      <w:r>
        <w:fldChar w:fldCharType="separate"/>
      </w:r>
      <w:r>
        <w:rPr>
          <w:noProof/>
        </w:rPr>
        <w:t>280</w:t>
      </w:r>
      <w:r>
        <w:fldChar w:fldCharType="end"/>
      </w:r>
    </w:p>
    <w:p w:rsidR="00024C0A" w:rsidRDefault="00694C0F">
      <w:pPr>
        <w:pStyle w:val="indexentry0"/>
      </w:pPr>
      <w:hyperlink w:anchor="section_11175c3547a14d24a5f6b100ac0a1742">
        <w:r>
          <w:rPr>
            <w:rStyle w:val="Hyperlink"/>
          </w:rPr>
          <w:t>schema (Custom XML Schema Reference)</w:t>
        </w:r>
      </w:hyperlink>
      <w:r>
        <w:t xml:space="preserve"> </w:t>
      </w:r>
      <w:r>
        <w:fldChar w:fldCharType="begin"/>
      </w:r>
      <w:r>
        <w:instrText>PAGEREF section_111</w:instrText>
      </w:r>
      <w:r>
        <w:instrText>75c3547a14d24a5f6b100ac0a1742</w:instrText>
      </w:r>
      <w:r>
        <w:fldChar w:fldCharType="separate"/>
      </w:r>
      <w:r>
        <w:rPr>
          <w:noProof/>
        </w:rPr>
        <w:t>618</w:t>
      </w:r>
      <w:r>
        <w:fldChar w:fldCharType="end"/>
      </w:r>
    </w:p>
    <w:p w:rsidR="00024C0A" w:rsidRDefault="00694C0F">
      <w:pPr>
        <w:pStyle w:val="indexentry0"/>
      </w:pPr>
      <w:hyperlink w:anchor="section_472cffc122ad47cdba49f24a14e565fe">
        <w:r>
          <w:rPr>
            <w:rStyle w:val="Hyperlink"/>
          </w:rPr>
          <w:t>Schema (XML Schema)</w:t>
        </w:r>
      </w:hyperlink>
      <w:r>
        <w:t xml:space="preserve"> </w:t>
      </w:r>
      <w:r>
        <w:fldChar w:fldCharType="begin"/>
      </w:r>
      <w:r>
        <w:instrText>PAGEREF section_472cffc122ad47cdba49f24a14e565fe</w:instrText>
      </w:r>
      <w:r>
        <w:fldChar w:fldCharType="separate"/>
      </w:r>
      <w:r>
        <w:rPr>
          <w:noProof/>
        </w:rPr>
        <w:t>383</w:t>
      </w:r>
      <w:r>
        <w:fldChar w:fldCharType="end"/>
      </w:r>
    </w:p>
    <w:p w:rsidR="00024C0A" w:rsidRDefault="00694C0F">
      <w:pPr>
        <w:pStyle w:val="indexentry0"/>
      </w:pPr>
      <w:hyperlink w:anchor="section_8ddc42b073c6455bb83b9e612b5ab0a6">
        <w:r>
          <w:rPr>
            <w:rStyle w:val="Hyperlink"/>
          </w:rPr>
          <w:t>scr (Script)</w:t>
        </w:r>
      </w:hyperlink>
      <w:r>
        <w:t xml:space="preserve"> </w:t>
      </w:r>
      <w:r>
        <w:fldChar w:fldCharType="begin"/>
      </w:r>
      <w:r>
        <w:instrText>PAGEREF sect</w:instrText>
      </w:r>
      <w:r>
        <w:instrText>ion_8ddc42b073c6455bb83b9e612b5ab0a6</w:instrText>
      </w:r>
      <w:r>
        <w:fldChar w:fldCharType="separate"/>
      </w:r>
      <w:r>
        <w:rPr>
          <w:noProof/>
        </w:rPr>
        <w:t>599</w:t>
      </w:r>
      <w:r>
        <w:fldChar w:fldCharType="end"/>
      </w:r>
    </w:p>
    <w:p w:rsidR="00024C0A" w:rsidRDefault="00694C0F">
      <w:pPr>
        <w:pStyle w:val="indexentry0"/>
      </w:pPr>
      <w:hyperlink w:anchor="section_4232a2561a874a59af30a23a5f2d3e59">
        <w:r>
          <w:rPr>
            <w:rStyle w:val="Hyperlink"/>
          </w:rPr>
          <w:t>sdt (Cell-Level Structured Document Tag)</w:t>
        </w:r>
      </w:hyperlink>
      <w:r>
        <w:t xml:space="preserve"> </w:t>
      </w:r>
      <w:r>
        <w:fldChar w:fldCharType="begin"/>
      </w:r>
      <w:r>
        <w:instrText>PAGEREF section_4232a2561a874a59af30a23a5f2d3e59</w:instrText>
      </w:r>
      <w:r>
        <w:fldChar w:fldCharType="separate"/>
      </w:r>
      <w:r>
        <w:rPr>
          <w:noProof/>
        </w:rPr>
        <w:t>99</w:t>
      </w:r>
      <w:r>
        <w:fldChar w:fldCharType="end"/>
      </w:r>
    </w:p>
    <w:p w:rsidR="00024C0A" w:rsidRDefault="00694C0F">
      <w:pPr>
        <w:pStyle w:val="indexentry0"/>
      </w:pPr>
      <w:hyperlink w:anchor="section_85def6dbd37f460ea39e7417858aec50">
        <w:r>
          <w:rPr>
            <w:rStyle w:val="Hyperlink"/>
          </w:rPr>
          <w:t>sdt (Inline-Level Structured Document Tag)</w:t>
        </w:r>
      </w:hyperlink>
      <w:r>
        <w:t xml:space="preserve"> </w:t>
      </w:r>
      <w:r>
        <w:fldChar w:fldCharType="begin"/>
      </w:r>
      <w:r>
        <w:instrText>PAGEREF section_85def6dbd37f460ea39e7417858aec50</w:instrText>
      </w:r>
      <w:r>
        <w:fldChar w:fldCharType="separate"/>
      </w:r>
      <w:r>
        <w:rPr>
          <w:noProof/>
        </w:rPr>
        <w:t>99</w:t>
      </w:r>
      <w:r>
        <w:fldChar w:fldCharType="end"/>
      </w:r>
    </w:p>
    <w:p w:rsidR="00024C0A" w:rsidRDefault="00694C0F">
      <w:pPr>
        <w:pStyle w:val="indexentry0"/>
      </w:pPr>
      <w:hyperlink w:anchor="section_e395604b15d9406089b7acdc18864414">
        <w:r>
          <w:rPr>
            <w:rStyle w:val="Hyperlink"/>
          </w:rPr>
          <w:t>sdt (Row-Level Structured Document Tag)</w:t>
        </w:r>
      </w:hyperlink>
      <w:r>
        <w:t xml:space="preserve"> </w:t>
      </w:r>
      <w:r>
        <w:fldChar w:fldCharType="begin"/>
      </w:r>
      <w:r>
        <w:instrText>PAGEREF section_e395604b15d9406089b7acdc18864414</w:instrText>
      </w:r>
      <w:r>
        <w:fldChar w:fldCharType="separate"/>
      </w:r>
      <w:r>
        <w:rPr>
          <w:noProof/>
        </w:rPr>
        <w:t>98</w:t>
      </w:r>
      <w:r>
        <w:fldChar w:fldCharType="end"/>
      </w:r>
    </w:p>
    <w:p w:rsidR="00024C0A" w:rsidRDefault="00694C0F">
      <w:pPr>
        <w:pStyle w:val="indexentry0"/>
      </w:pPr>
      <w:hyperlink w:anchor="section_808b32d8ad644c849fb585ad68be54b9">
        <w:r>
          <w:rPr>
            <w:rStyle w:val="Hyperlink"/>
          </w:rPr>
          <w:t>sdt (Ruby Inline-Level Structured Document Tag)</w:t>
        </w:r>
      </w:hyperlink>
      <w:r>
        <w:t xml:space="preserve"> </w:t>
      </w:r>
      <w:r>
        <w:fldChar w:fldCharType="begin"/>
      </w:r>
      <w:r>
        <w:instrText>PAGEREF section_808b32d8ad644c849fb585ad68be54b9</w:instrText>
      </w:r>
      <w:r>
        <w:fldChar w:fldCharType="separate"/>
      </w:r>
      <w:r>
        <w:rPr>
          <w:noProof/>
        </w:rPr>
        <w:t>803</w:t>
      </w:r>
      <w:r>
        <w:fldChar w:fldCharType="end"/>
      </w:r>
    </w:p>
    <w:p w:rsidR="00024C0A" w:rsidRDefault="00694C0F">
      <w:pPr>
        <w:pStyle w:val="indexentry0"/>
      </w:pPr>
      <w:hyperlink w:anchor="section_6be4f41f2dba418e9586a427af43e12e">
        <w:r>
          <w:rPr>
            <w:rStyle w:val="Hyperlink"/>
          </w:rPr>
          <w:t xml:space="preserve">sdtContent (Block-Level Structured </w:t>
        </w:r>
        <w:r>
          <w:rPr>
            <w:rStyle w:val="Hyperlink"/>
          </w:rPr>
          <w:t>Document Tag Content)</w:t>
        </w:r>
      </w:hyperlink>
      <w:r>
        <w:t xml:space="preserve"> </w:t>
      </w:r>
      <w:r>
        <w:fldChar w:fldCharType="begin"/>
      </w:r>
      <w:r>
        <w:instrText>PAGEREF section_6be4f41f2dba418e9586a427af43e12e</w:instrText>
      </w:r>
      <w:r>
        <w:fldChar w:fldCharType="separate"/>
      </w:r>
      <w:r>
        <w:rPr>
          <w:noProof/>
        </w:rPr>
        <w:t>100</w:t>
      </w:r>
      <w:r>
        <w:fldChar w:fldCharType="end"/>
      </w:r>
    </w:p>
    <w:p w:rsidR="00024C0A" w:rsidRDefault="00694C0F">
      <w:pPr>
        <w:pStyle w:val="indexentry0"/>
      </w:pPr>
      <w:hyperlink w:anchor="section_7f335d09bee1415e9a2bb867cdfd17bc">
        <w:r>
          <w:rPr>
            <w:rStyle w:val="Hyperlink"/>
          </w:rPr>
          <w:t>sdtContent (Cell-Level Structured Document Tag Content)</w:t>
        </w:r>
      </w:hyperlink>
      <w:r>
        <w:t xml:space="preserve"> </w:t>
      </w:r>
      <w:r>
        <w:fldChar w:fldCharType="begin"/>
      </w:r>
      <w:r>
        <w:instrText>PAGEREF section_7f335d09bee1415e9a2bb867cdfd17bc</w:instrText>
      </w:r>
      <w:r>
        <w:fldChar w:fldCharType="separate"/>
      </w:r>
      <w:r>
        <w:rPr>
          <w:noProof/>
        </w:rPr>
        <w:t>100</w:t>
      </w:r>
      <w:r>
        <w:fldChar w:fldCharType="end"/>
      </w:r>
    </w:p>
    <w:p w:rsidR="00024C0A" w:rsidRDefault="00694C0F">
      <w:pPr>
        <w:pStyle w:val="indexentry0"/>
      </w:pPr>
      <w:hyperlink w:anchor="section_bc8e1043bdc24731aea36e6b045a6471">
        <w:r>
          <w:rPr>
            <w:rStyle w:val="Hyperlink"/>
          </w:rPr>
          <w:t>sdtContent (Inline-Level Structured Document Tag Content)</w:t>
        </w:r>
      </w:hyperlink>
      <w:r>
        <w:t xml:space="preserve"> </w:t>
      </w:r>
      <w:r>
        <w:fldChar w:fldCharType="begin"/>
      </w:r>
      <w:r>
        <w:instrText>PAGEREF section_bc8e1043bdc24731aea36e6b045a6471</w:instrText>
      </w:r>
      <w:r>
        <w:fldChar w:fldCharType="separate"/>
      </w:r>
      <w:r>
        <w:rPr>
          <w:noProof/>
        </w:rPr>
        <w:t>100</w:t>
      </w:r>
      <w:r>
        <w:fldChar w:fldCharType="end"/>
      </w:r>
    </w:p>
    <w:p w:rsidR="00024C0A" w:rsidRDefault="00694C0F">
      <w:pPr>
        <w:pStyle w:val="indexentry0"/>
      </w:pPr>
      <w:hyperlink w:anchor="section_e620584d36d841cda011ded3f5c84e3a">
        <w:r>
          <w:rPr>
            <w:rStyle w:val="Hyperlink"/>
          </w:rPr>
          <w:t>sdtContent (Row-Level Structured Document Tag Content)</w:t>
        </w:r>
      </w:hyperlink>
      <w:r>
        <w:t xml:space="preserve"> </w:t>
      </w:r>
      <w:r>
        <w:fldChar w:fldCharType="begin"/>
      </w:r>
      <w:r>
        <w:instrText>PAGEREF section_e620584d36d841cda011ded3f5c84e3a</w:instrText>
      </w:r>
      <w:r>
        <w:fldChar w:fldCharType="separate"/>
      </w:r>
      <w:r>
        <w:rPr>
          <w:noProof/>
        </w:rPr>
        <w:t>100</w:t>
      </w:r>
      <w:r>
        <w:fldChar w:fldCharType="end"/>
      </w:r>
    </w:p>
    <w:p w:rsidR="00024C0A" w:rsidRDefault="00694C0F">
      <w:pPr>
        <w:pStyle w:val="indexentry0"/>
      </w:pPr>
      <w:hyperlink w:anchor="section_a3757e691f9b4322b17edee4d308d29e">
        <w:r>
          <w:rPr>
            <w:rStyle w:val="Hyperlink"/>
          </w:rPr>
          <w:t>sdtContent (Ruby Inline-Level Structured Document Tag Content)</w:t>
        </w:r>
      </w:hyperlink>
      <w:r>
        <w:t xml:space="preserve"> </w:t>
      </w:r>
      <w:r>
        <w:fldChar w:fldCharType="begin"/>
      </w:r>
      <w:r>
        <w:instrText>PAGEREF section_a3757</w:instrText>
      </w:r>
      <w:r>
        <w:instrText>e691f9b4322b17edee4d308d29e</w:instrText>
      </w:r>
      <w:r>
        <w:fldChar w:fldCharType="separate"/>
      </w:r>
      <w:r>
        <w:rPr>
          <w:noProof/>
        </w:rPr>
        <w:t>805</w:t>
      </w:r>
      <w:r>
        <w:fldChar w:fldCharType="end"/>
      </w:r>
    </w:p>
    <w:p w:rsidR="00024C0A" w:rsidRDefault="00694C0F">
      <w:pPr>
        <w:pStyle w:val="indexentry0"/>
      </w:pPr>
      <w:hyperlink w:anchor="section_18d08c10e8554b85bcdd66dc1cd44673">
        <w:r>
          <w:rPr>
            <w:rStyle w:val="Hyperlink"/>
          </w:rPr>
          <w:t>SEARCH</w:t>
        </w:r>
      </w:hyperlink>
      <w:r>
        <w:t xml:space="preserve"> </w:t>
      </w:r>
      <w:r>
        <w:fldChar w:fldCharType="begin"/>
      </w:r>
      <w:r>
        <w:instrText>PAGEREF section_18d08c10e8554b85bcdd66dc1cd44673</w:instrText>
      </w:r>
      <w:r>
        <w:fldChar w:fldCharType="separate"/>
      </w:r>
      <w:r>
        <w:rPr>
          <w:noProof/>
        </w:rPr>
        <w:t>445</w:t>
      </w:r>
      <w:r>
        <w:fldChar w:fldCharType="end"/>
      </w:r>
    </w:p>
    <w:p w:rsidR="00024C0A" w:rsidRDefault="00694C0F">
      <w:pPr>
        <w:pStyle w:val="indexentry0"/>
      </w:pPr>
      <w:hyperlink w:anchor="section_62b11e5620d741298c09837a45147585">
        <w:r>
          <w:rPr>
            <w:rStyle w:val="Hyperlink"/>
          </w:rPr>
          <w:t>SEARCHB</w:t>
        </w:r>
      </w:hyperlink>
      <w:r>
        <w:t xml:space="preserve"> </w:t>
      </w:r>
      <w:r>
        <w:fldChar w:fldCharType="begin"/>
      </w:r>
      <w:r>
        <w:instrText>PAGEREF section_62b11e5620d74129</w:instrText>
      </w:r>
      <w:r>
        <w:instrText>8c09837a45147585</w:instrText>
      </w:r>
      <w:r>
        <w:fldChar w:fldCharType="separate"/>
      </w:r>
      <w:r>
        <w:rPr>
          <w:noProof/>
        </w:rPr>
        <w:t>445</w:t>
      </w:r>
      <w:r>
        <w:fldChar w:fldCharType="end"/>
      </w:r>
    </w:p>
    <w:p w:rsidR="00024C0A" w:rsidRDefault="00694C0F">
      <w:pPr>
        <w:pStyle w:val="indexentry0"/>
      </w:pPr>
      <w:hyperlink w:anchor="section_ada73b7e3161426f89b3ecbcc68eace0">
        <w:r>
          <w:rPr>
            <w:rStyle w:val="Hyperlink"/>
          </w:rPr>
          <w:t>secondPiePt (Second Pie Point)</w:t>
        </w:r>
      </w:hyperlink>
      <w:r>
        <w:t xml:space="preserve"> </w:t>
      </w:r>
      <w:r>
        <w:fldChar w:fldCharType="begin"/>
      </w:r>
      <w:r>
        <w:instrText>PAGEREF section_ada73b7e3161426f89b3ecbcc68eace0</w:instrText>
      </w:r>
      <w:r>
        <w:fldChar w:fldCharType="separate"/>
      </w:r>
      <w:r>
        <w:rPr>
          <w:noProof/>
        </w:rPr>
        <w:t>564</w:t>
      </w:r>
      <w:r>
        <w:fldChar w:fldCharType="end"/>
      </w:r>
    </w:p>
    <w:p w:rsidR="00024C0A" w:rsidRDefault="00694C0F">
      <w:pPr>
        <w:pStyle w:val="indexentry0"/>
      </w:pPr>
      <w:hyperlink w:anchor="section_c4afd4cb3be247439ef6e730081add8e">
        <w:r>
          <w:rPr>
            <w:rStyle w:val="Hyperlink"/>
          </w:rPr>
          <w:t>SECTION</w:t>
        </w:r>
      </w:hyperlink>
      <w:r>
        <w:t xml:space="preserve"> </w:t>
      </w:r>
      <w:r>
        <w:fldChar w:fldCharType="begin"/>
      </w:r>
      <w:r>
        <w:instrText>PAGEREF section_c4afd4cb3be247439ef6e730081add8e</w:instrText>
      </w:r>
      <w:r>
        <w:fldChar w:fldCharType="separate"/>
      </w:r>
      <w:r>
        <w:rPr>
          <w:noProof/>
        </w:rPr>
        <w:t>221</w:t>
      </w:r>
      <w:r>
        <w:fldChar w:fldCharType="end"/>
      </w:r>
    </w:p>
    <w:p w:rsidR="00024C0A" w:rsidRDefault="00694C0F">
      <w:pPr>
        <w:pStyle w:val="indexentry0"/>
      </w:pPr>
      <w:hyperlink w:anchor="section_a5a21cd9a4b7494cac6b5006b7772c3f">
        <w:r>
          <w:rPr>
            <w:rStyle w:val="Hyperlink"/>
          </w:rPr>
          <w:t>SECTIONPAGES</w:t>
        </w:r>
      </w:hyperlink>
      <w:r>
        <w:t xml:space="preserve"> </w:t>
      </w:r>
      <w:r>
        <w:fldChar w:fldCharType="begin"/>
      </w:r>
      <w:r>
        <w:instrText>PAGEREF section_a5a21cd9a4b7494cac6b5006b7772c3f</w:instrText>
      </w:r>
      <w:r>
        <w:fldChar w:fldCharType="separate"/>
      </w:r>
      <w:r>
        <w:rPr>
          <w:noProof/>
        </w:rPr>
        <w:t>221</w:t>
      </w:r>
      <w:r>
        <w:fldChar w:fldCharType="end"/>
      </w:r>
    </w:p>
    <w:p w:rsidR="00024C0A" w:rsidRDefault="00694C0F">
      <w:pPr>
        <w:pStyle w:val="indexentry0"/>
      </w:pPr>
      <w:hyperlink w:anchor="section_ce8217a61aad45fb8e56b8c3fe411fe1">
        <w:r>
          <w:rPr>
            <w:rStyle w:val="Hyperlink"/>
          </w:rPr>
          <w:t>sectPr (Documen</w:t>
        </w:r>
        <w:r>
          <w:rPr>
            <w:rStyle w:val="Hyperlink"/>
          </w:rPr>
          <w:t>t Final Section Properties)</w:t>
        </w:r>
      </w:hyperlink>
      <w:r>
        <w:t xml:space="preserve"> </w:t>
      </w:r>
      <w:r>
        <w:fldChar w:fldCharType="begin"/>
      </w:r>
      <w:r>
        <w:instrText>PAGEREF section_ce8217a61aad45fb8e56b8c3fe411fe1</w:instrText>
      </w:r>
      <w:r>
        <w:fldChar w:fldCharType="separate"/>
      </w:r>
      <w:r>
        <w:rPr>
          <w:noProof/>
        </w:rPr>
        <w:t>103</w:t>
      </w:r>
      <w:r>
        <w:fldChar w:fldCharType="end"/>
      </w:r>
    </w:p>
    <w:p w:rsidR="00024C0A" w:rsidRDefault="00694C0F">
      <w:pPr>
        <w:pStyle w:val="indexentry0"/>
      </w:pPr>
      <w:hyperlink w:anchor="section_24ff9b7e6fea433ba934bd70c6c24d1e">
        <w:r>
          <w:rPr>
            <w:rStyle w:val="Hyperlink"/>
          </w:rPr>
          <w:t>sectPr (Previous Section Properties)</w:t>
        </w:r>
      </w:hyperlink>
      <w:r>
        <w:t xml:space="preserve"> </w:t>
      </w:r>
      <w:r>
        <w:fldChar w:fldCharType="begin"/>
      </w:r>
      <w:r>
        <w:instrText>PAGEREF section_24ff9b7e6fea433ba934bd70c6c24d1e</w:instrText>
      </w:r>
      <w:r>
        <w:fldChar w:fldCharType="separate"/>
      </w:r>
      <w:r>
        <w:rPr>
          <w:noProof/>
        </w:rPr>
        <w:t>104</w:t>
      </w:r>
      <w:r>
        <w:fldChar w:fldCharType="end"/>
      </w:r>
    </w:p>
    <w:p w:rsidR="00024C0A" w:rsidRDefault="00694C0F">
      <w:pPr>
        <w:pStyle w:val="indexentry0"/>
      </w:pPr>
      <w:hyperlink w:anchor="section_b6dd3f0a901b4698a7d1a1be4c1eb3f5">
        <w:r>
          <w:rPr>
            <w:rStyle w:val="Hyperlink"/>
          </w:rPr>
          <w:t>sectPr (Section Properties)</w:t>
        </w:r>
      </w:hyperlink>
      <w:r>
        <w:t xml:space="preserve"> </w:t>
      </w:r>
      <w:r>
        <w:fldChar w:fldCharType="begin"/>
      </w:r>
      <w:r>
        <w:instrText>PAGEREF section_b6dd3f0a901b4698a7d1a1be4c1eb3f5</w:instrText>
      </w:r>
      <w:r>
        <w:fldChar w:fldCharType="separate"/>
      </w:r>
      <w:r>
        <w:rPr>
          <w:noProof/>
        </w:rPr>
        <w:t>103</w:t>
      </w:r>
      <w:r>
        <w:fldChar w:fldCharType="end"/>
      </w:r>
    </w:p>
    <w:p w:rsidR="00024C0A" w:rsidRDefault="00694C0F">
      <w:pPr>
        <w:pStyle w:val="indexentry0"/>
      </w:pPr>
      <w:hyperlink w:anchor="section_ab7b2013909a41d795d945a910802bd7">
        <w:r>
          <w:rPr>
            <w:rStyle w:val="Hyperlink"/>
          </w:rPr>
          <w:t>sectPrChange (Revision Information for Section Properties)</w:t>
        </w:r>
      </w:hyperlink>
      <w:r>
        <w:t xml:space="preserve"> </w:t>
      </w:r>
      <w:r>
        <w:fldChar w:fldCharType="begin"/>
      </w:r>
      <w:r>
        <w:instrText>PAGEREF section_ab7b2013909a41d795d945a910802bd7</w:instrText>
      </w:r>
      <w:r>
        <w:fldChar w:fldCharType="separate"/>
      </w:r>
      <w:r>
        <w:rPr>
          <w:noProof/>
        </w:rPr>
        <w:t>138</w:t>
      </w:r>
      <w:r>
        <w:fldChar w:fldCharType="end"/>
      </w:r>
    </w:p>
    <w:p w:rsidR="00024C0A" w:rsidRDefault="00694C0F">
      <w:pPr>
        <w:pStyle w:val="indexentry0"/>
      </w:pPr>
      <w:hyperlink w:anchor="section_91bb957fbae645d7a45f8dcbf898ad70">
        <w:r>
          <w:rPr>
            <w:rStyle w:val="Hyperlink"/>
          </w:rPr>
          <w:t>securityDescriptor (Security Descriptor)</w:t>
        </w:r>
      </w:hyperlink>
      <w:r>
        <w:t xml:space="preserve"> </w:t>
      </w:r>
      <w:r>
        <w:fldChar w:fldCharType="begin"/>
      </w:r>
      <w:r>
        <w:instrText>PAGEREF section_91bb957fbae645d7a45f8dcbf898ad70</w:instrText>
      </w:r>
      <w:r>
        <w:fldChar w:fldCharType="separate"/>
      </w:r>
      <w:r>
        <w:rPr>
          <w:noProof/>
        </w:rPr>
        <w:t>280</w:t>
      </w:r>
      <w:r>
        <w:fldChar w:fldCharType="end"/>
      </w:r>
    </w:p>
    <w:p w:rsidR="00024C0A" w:rsidRDefault="00694C0F">
      <w:pPr>
        <w:pStyle w:val="indexentry0"/>
      </w:pPr>
      <w:hyperlink w:anchor="section_d958b467c9464f32aecf9f7b27a28fc5">
        <w:r>
          <w:rPr>
            <w:rStyle w:val="Hyperlink"/>
          </w:rPr>
          <w:t>selection (Selection)</w:t>
        </w:r>
      </w:hyperlink>
      <w:r>
        <w:t xml:space="preserve"> </w:t>
      </w:r>
      <w:r>
        <w:fldChar w:fldCharType="begin"/>
      </w:r>
      <w:r>
        <w:instrText>PAGEREF section_d958b467c9464f32aecf9f7b27a28fc5</w:instrText>
      </w:r>
      <w:r>
        <w:fldChar w:fldCharType="separate"/>
      </w:r>
      <w:r>
        <w:rPr>
          <w:noProof/>
        </w:rPr>
        <w:t>280</w:t>
      </w:r>
      <w:r>
        <w:fldChar w:fldCharType="end"/>
      </w:r>
    </w:p>
    <w:p w:rsidR="00024C0A" w:rsidRDefault="00694C0F">
      <w:pPr>
        <w:pStyle w:val="indexentry0"/>
      </w:pPr>
      <w:hyperlink w:anchor="section_172cb24b16a94bc48a94aa447afb2486">
        <w:r>
          <w:rPr>
            <w:rStyle w:val="Hyperlink"/>
          </w:rPr>
          <w:t>separator (Separator)</w:t>
        </w:r>
      </w:hyperlink>
      <w:r>
        <w:t xml:space="preserve"> </w:t>
      </w:r>
      <w:r>
        <w:fldChar w:fldCharType="begin"/>
      </w:r>
      <w:r>
        <w:instrText>PAGEREF section_172cb24b16a94bc48a94aa447afb2486</w:instrText>
      </w:r>
      <w:r>
        <w:fldChar w:fldCharType="separate"/>
      </w:r>
      <w:r>
        <w:rPr>
          <w:noProof/>
        </w:rPr>
        <w:t>564</w:t>
      </w:r>
      <w:r>
        <w:fldChar w:fldCharType="end"/>
      </w:r>
    </w:p>
    <w:p w:rsidR="00024C0A" w:rsidRDefault="00694C0F">
      <w:pPr>
        <w:pStyle w:val="indexentry0"/>
      </w:pPr>
      <w:hyperlink w:anchor="section_a591c06028004699b1f4dbb0c4374557">
        <w:r>
          <w:rPr>
            <w:rStyle w:val="Hyperlink"/>
          </w:rPr>
          <w:t>SEQ</w:t>
        </w:r>
      </w:hyperlink>
      <w:r>
        <w:t xml:space="preserve"> </w:t>
      </w:r>
      <w:r>
        <w:fldChar w:fldCharType="begin"/>
      </w:r>
      <w:r>
        <w:instrText>PAGEREF section_a591c06028004699b1f4dbb0c4374557</w:instrText>
      </w:r>
      <w:r>
        <w:fldChar w:fldCharType="separate"/>
      </w:r>
      <w:r>
        <w:rPr>
          <w:noProof/>
        </w:rPr>
        <w:t>221</w:t>
      </w:r>
      <w:r>
        <w:fldChar w:fldCharType="end"/>
      </w:r>
    </w:p>
    <w:p w:rsidR="00024C0A" w:rsidRDefault="00694C0F">
      <w:pPr>
        <w:pStyle w:val="indexentry0"/>
      </w:pPr>
      <w:hyperlink w:anchor="section_3247e7a595254e6b9ec29b598a8b2f4a">
        <w:r>
          <w:rPr>
            <w:rStyle w:val="Hyperlink"/>
          </w:rPr>
          <w:t>seq (Sequence Time Node)</w:t>
        </w:r>
      </w:hyperlink>
      <w:r>
        <w:t xml:space="preserve"> </w:t>
      </w:r>
      <w:r>
        <w:fldChar w:fldCharType="begin"/>
      </w:r>
      <w:r>
        <w:instrText>PAGEREF section_3247e7a595254e6b9ec29b598a8b2f4a</w:instrText>
      </w:r>
      <w:r>
        <w:fldChar w:fldCharType="separate"/>
      </w:r>
      <w:r>
        <w:rPr>
          <w:noProof/>
        </w:rPr>
        <w:t>484</w:t>
      </w:r>
      <w:r>
        <w:fldChar w:fldCharType="end"/>
      </w:r>
    </w:p>
    <w:p w:rsidR="00024C0A" w:rsidRDefault="00694C0F">
      <w:pPr>
        <w:pStyle w:val="indexentry0"/>
      </w:pPr>
      <w:hyperlink w:anchor="section_3eecdd275cd04745bf738025f834a3bd">
        <w:r>
          <w:rPr>
            <w:rStyle w:val="Hyperlink"/>
          </w:rPr>
          <w:t>ser (Area Chart Series)</w:t>
        </w:r>
      </w:hyperlink>
      <w:r>
        <w:t xml:space="preserve"> </w:t>
      </w:r>
      <w:r>
        <w:fldChar w:fldCharType="begin"/>
      </w:r>
      <w:r>
        <w:instrText>PAGEREF section_3eecdd275cd04745bf738025f834a3bd</w:instrText>
      </w:r>
      <w:r>
        <w:fldChar w:fldCharType="separate"/>
      </w:r>
      <w:r>
        <w:rPr>
          <w:noProof/>
        </w:rPr>
        <w:t>564</w:t>
      </w:r>
      <w:r>
        <w:fldChar w:fldCharType="end"/>
      </w:r>
    </w:p>
    <w:p w:rsidR="00024C0A" w:rsidRDefault="00694C0F">
      <w:pPr>
        <w:pStyle w:val="indexentry0"/>
      </w:pPr>
      <w:hyperlink w:anchor="section_22c33bf427ac4854bedac6bd361820d7">
        <w:r>
          <w:rPr>
            <w:rStyle w:val="Hyperlink"/>
          </w:rPr>
          <w:t>ser (Bar Chart Series)</w:t>
        </w:r>
      </w:hyperlink>
      <w:r>
        <w:t xml:space="preserve"> </w:t>
      </w:r>
      <w:r>
        <w:fldChar w:fldCharType="begin"/>
      </w:r>
      <w:r>
        <w:instrText>PAGEREF section_22c33bf427ac4854bedac6bd361820d7</w:instrText>
      </w:r>
      <w:r>
        <w:fldChar w:fldCharType="separate"/>
      </w:r>
      <w:r>
        <w:rPr>
          <w:noProof/>
        </w:rPr>
        <w:t>565</w:t>
      </w:r>
      <w:r>
        <w:fldChar w:fldCharType="end"/>
      </w:r>
    </w:p>
    <w:p w:rsidR="00024C0A" w:rsidRDefault="00694C0F">
      <w:pPr>
        <w:pStyle w:val="indexentry0"/>
      </w:pPr>
      <w:hyperlink w:anchor="section_f1c2a0708b434ac8a91fc7fcfada5506">
        <w:r>
          <w:rPr>
            <w:rStyle w:val="Hyperlink"/>
          </w:rPr>
          <w:t>ser (Bubble Chart Series)</w:t>
        </w:r>
      </w:hyperlink>
      <w:r>
        <w:t xml:space="preserve"> </w:t>
      </w:r>
      <w:r>
        <w:fldChar w:fldCharType="begin"/>
      </w:r>
      <w:r>
        <w:instrText>PAGEREF section_f1c2a0708b434ac8a91fc7fcfada5506</w:instrText>
      </w:r>
      <w:r>
        <w:fldChar w:fldCharType="separate"/>
      </w:r>
      <w:r>
        <w:rPr>
          <w:noProof/>
        </w:rPr>
        <w:t>565</w:t>
      </w:r>
      <w:r>
        <w:fldChar w:fldCharType="end"/>
      </w:r>
    </w:p>
    <w:p w:rsidR="00024C0A" w:rsidRDefault="00694C0F">
      <w:pPr>
        <w:pStyle w:val="indexentry0"/>
      </w:pPr>
      <w:hyperlink w:anchor="section_578d597b6a684e39a980bc2897aa728e">
        <w:r>
          <w:rPr>
            <w:rStyle w:val="Hyperlink"/>
          </w:rPr>
          <w:t>ser (Line Chart Series)</w:t>
        </w:r>
      </w:hyperlink>
      <w:r>
        <w:t xml:space="preserve"> </w:t>
      </w:r>
      <w:r>
        <w:fldChar w:fldCharType="begin"/>
      </w:r>
      <w:r>
        <w:instrText>PAGEREF section_578d597b6a684e39a9</w:instrText>
      </w:r>
      <w:r>
        <w:instrText>80bc2897aa728e</w:instrText>
      </w:r>
      <w:r>
        <w:fldChar w:fldCharType="separate"/>
      </w:r>
      <w:r>
        <w:rPr>
          <w:noProof/>
        </w:rPr>
        <w:t>565</w:t>
      </w:r>
      <w:r>
        <w:fldChar w:fldCharType="end"/>
      </w:r>
    </w:p>
    <w:p w:rsidR="00024C0A" w:rsidRDefault="00694C0F">
      <w:pPr>
        <w:pStyle w:val="indexentry0"/>
      </w:pPr>
      <w:hyperlink w:anchor="section_b585b8c605e644d9998ff52943ad40ef">
        <w:r>
          <w:rPr>
            <w:rStyle w:val="Hyperlink"/>
          </w:rPr>
          <w:t>ser (Pie Chart Series)</w:t>
        </w:r>
      </w:hyperlink>
      <w:r>
        <w:t xml:space="preserve"> </w:t>
      </w:r>
      <w:r>
        <w:fldChar w:fldCharType="begin"/>
      </w:r>
      <w:r>
        <w:instrText>PAGEREF section_b585b8c605e644d9998ff52943ad40ef</w:instrText>
      </w:r>
      <w:r>
        <w:fldChar w:fldCharType="separate"/>
      </w:r>
      <w:r>
        <w:rPr>
          <w:noProof/>
        </w:rPr>
        <w:t>565</w:t>
      </w:r>
      <w:r>
        <w:fldChar w:fldCharType="end"/>
      </w:r>
    </w:p>
    <w:p w:rsidR="00024C0A" w:rsidRDefault="00694C0F">
      <w:pPr>
        <w:pStyle w:val="indexentry0"/>
      </w:pPr>
      <w:hyperlink w:anchor="section_5dd6d57728244f22939485f6c5e4ab13">
        <w:r>
          <w:rPr>
            <w:rStyle w:val="Hyperlink"/>
          </w:rPr>
          <w:t>ser (Radar Chart Series)</w:t>
        </w:r>
      </w:hyperlink>
      <w:r>
        <w:t xml:space="preserve"> </w:t>
      </w:r>
      <w:r>
        <w:fldChar w:fldCharType="begin"/>
      </w:r>
      <w:r>
        <w:instrText>PAGEREF section_5dd6d57728244f22939485f6c5e4ab13</w:instrText>
      </w:r>
      <w:r>
        <w:fldChar w:fldCharType="separate"/>
      </w:r>
      <w:r>
        <w:rPr>
          <w:noProof/>
        </w:rPr>
        <w:t>565</w:t>
      </w:r>
      <w:r>
        <w:fldChar w:fldCharType="end"/>
      </w:r>
    </w:p>
    <w:p w:rsidR="00024C0A" w:rsidRDefault="00694C0F">
      <w:pPr>
        <w:pStyle w:val="indexentry0"/>
      </w:pPr>
      <w:hyperlink w:anchor="section_8d3e50cd20d74a88b682fa2e521d61b3">
        <w:r>
          <w:rPr>
            <w:rStyle w:val="Hyperlink"/>
          </w:rPr>
          <w:t>ser (Scatter Chart Series)</w:t>
        </w:r>
      </w:hyperlink>
      <w:r>
        <w:t xml:space="preserve"> </w:t>
      </w:r>
      <w:r>
        <w:fldChar w:fldCharType="begin"/>
      </w:r>
      <w:r>
        <w:instrText>PAGEREF section_8d3e50cd20d74a88b682fa2e521d61b3</w:instrText>
      </w:r>
      <w:r>
        <w:fldChar w:fldCharType="separate"/>
      </w:r>
      <w:r>
        <w:rPr>
          <w:noProof/>
        </w:rPr>
        <w:t>564</w:t>
      </w:r>
      <w:r>
        <w:fldChar w:fldCharType="end"/>
      </w:r>
    </w:p>
    <w:p w:rsidR="00024C0A" w:rsidRDefault="00694C0F">
      <w:pPr>
        <w:pStyle w:val="indexentry0"/>
      </w:pPr>
      <w:hyperlink w:anchor="section_148a97b98f4e4289bbf9e01ca98276fd">
        <w:r>
          <w:rPr>
            <w:rStyle w:val="Hyperlink"/>
          </w:rPr>
          <w:t>s</w:t>
        </w:r>
        <w:r>
          <w:rPr>
            <w:rStyle w:val="Hyperlink"/>
          </w:rPr>
          <w:t>erAx (Series Axis)</w:t>
        </w:r>
      </w:hyperlink>
      <w:r>
        <w:t xml:space="preserve"> </w:t>
      </w:r>
      <w:r>
        <w:fldChar w:fldCharType="begin"/>
      </w:r>
      <w:r>
        <w:instrText>PAGEREF section_148a97b98f4e4289bbf9e01ca98276fd</w:instrText>
      </w:r>
      <w:r>
        <w:fldChar w:fldCharType="separate"/>
      </w:r>
      <w:r>
        <w:rPr>
          <w:noProof/>
        </w:rPr>
        <w:t>566</w:t>
      </w:r>
      <w:r>
        <w:fldChar w:fldCharType="end"/>
      </w:r>
    </w:p>
    <w:p w:rsidR="00024C0A" w:rsidRDefault="00694C0F">
      <w:pPr>
        <w:pStyle w:val="indexentry0"/>
      </w:pPr>
      <w:hyperlink w:anchor="section_990788fe5bd443d6813b1bf3c7644848">
        <w:r>
          <w:rPr>
            <w:rStyle w:val="Hyperlink"/>
          </w:rPr>
          <w:t>SERIESSUM</w:t>
        </w:r>
      </w:hyperlink>
      <w:r>
        <w:t xml:space="preserve"> </w:t>
      </w:r>
      <w:r>
        <w:fldChar w:fldCharType="begin"/>
      </w:r>
      <w:r>
        <w:instrText>PAGEREF section_990788fe5bd443d6813b1bf3c7644848</w:instrText>
      </w:r>
      <w:r>
        <w:fldChar w:fldCharType="separate"/>
      </w:r>
      <w:r>
        <w:rPr>
          <w:noProof/>
        </w:rPr>
        <w:t>445</w:t>
      </w:r>
      <w:r>
        <w:fldChar w:fldCharType="end"/>
      </w:r>
    </w:p>
    <w:p w:rsidR="00024C0A" w:rsidRDefault="00694C0F">
      <w:pPr>
        <w:pStyle w:val="indexentry0"/>
      </w:pPr>
      <w:hyperlink w:anchor="section_446ec2e628874179aa9c4c4e8ff79873">
        <w:r>
          <w:rPr>
            <w:rStyle w:val="Hyperlink"/>
          </w:rPr>
          <w:t>serLines (Series Lines)</w:t>
        </w:r>
      </w:hyperlink>
      <w:r>
        <w:t xml:space="preserve"> </w:t>
      </w:r>
      <w:r>
        <w:fldChar w:fldCharType="begin"/>
      </w:r>
      <w:r>
        <w:instrText>PAGEREF section_446ec2e628874179aa9c4c4e8ff79873</w:instrText>
      </w:r>
      <w:r>
        <w:fldChar w:fldCharType="separate"/>
      </w:r>
      <w:r>
        <w:rPr>
          <w:noProof/>
        </w:rPr>
        <w:t>566</w:t>
      </w:r>
      <w:r>
        <w:fldChar w:fldCharType="end"/>
      </w:r>
    </w:p>
    <w:p w:rsidR="00024C0A" w:rsidRDefault="00694C0F">
      <w:pPr>
        <w:pStyle w:val="indexentry0"/>
      </w:pPr>
      <w:hyperlink w:anchor="section_19b9ace7dba048ac9112554150c1563a">
        <w:r>
          <w:rPr>
            <w:rStyle w:val="Hyperlink"/>
          </w:rPr>
          <w:t>serverFormat (Server Format)</w:t>
        </w:r>
      </w:hyperlink>
      <w:r>
        <w:t xml:space="preserve"> </w:t>
      </w:r>
      <w:r>
        <w:fldChar w:fldCharType="begin"/>
      </w:r>
      <w:r>
        <w:instrText>PAGEREF section_19b9ace7dba048ac9112554150c1563a</w:instrText>
      </w:r>
      <w:r>
        <w:fldChar w:fldCharType="separate"/>
      </w:r>
      <w:r>
        <w:rPr>
          <w:noProof/>
        </w:rPr>
        <w:t>356</w:t>
      </w:r>
      <w:r>
        <w:fldChar w:fldCharType="end"/>
      </w:r>
    </w:p>
    <w:p w:rsidR="00024C0A" w:rsidRDefault="00694C0F">
      <w:pPr>
        <w:pStyle w:val="indexentry0"/>
      </w:pPr>
      <w:hyperlink w:anchor="section_3590372544d74cb08faf96d3d3dc0463">
        <w:r>
          <w:rPr>
            <w:rStyle w:val="Hyperlink"/>
          </w:rPr>
          <w:t>set (OLAP Set)</w:t>
        </w:r>
      </w:hyperlink>
      <w:r>
        <w:t xml:space="preserve"> </w:t>
      </w:r>
      <w:r>
        <w:fldChar w:fldCharType="begin"/>
      </w:r>
      <w:r>
        <w:instrText>PAGEREF section_3590372544d74cb08faf96d3d3dc0463</w:instrText>
      </w:r>
      <w:r>
        <w:fldChar w:fldCharType="separate"/>
      </w:r>
      <w:r>
        <w:rPr>
          <w:noProof/>
        </w:rPr>
        <w:t>363</w:t>
      </w:r>
      <w:r>
        <w:fldChar w:fldCharType="end"/>
      </w:r>
    </w:p>
    <w:p w:rsidR="00024C0A" w:rsidRDefault="00694C0F">
      <w:pPr>
        <w:pStyle w:val="indexentry0"/>
      </w:pPr>
      <w:hyperlink w:anchor="section_10aa6fad89594041bd8c5e4fd918008f">
        <w:r>
          <w:rPr>
            <w:rStyle w:val="Hyperlink"/>
          </w:rPr>
          <w:t>set (Set Time Node Behavior)</w:t>
        </w:r>
      </w:hyperlink>
      <w:r>
        <w:t xml:space="preserve"> </w:t>
      </w:r>
      <w:r>
        <w:fldChar w:fldCharType="begin"/>
      </w:r>
      <w:r>
        <w:instrText>PAGEREF section_10aa6fad89594041bd8c5e4fd918008f</w:instrText>
      </w:r>
      <w:r>
        <w:fldChar w:fldCharType="separate"/>
      </w:r>
      <w:r>
        <w:rPr>
          <w:noProof/>
        </w:rPr>
        <w:t>484</w:t>
      </w:r>
      <w:r>
        <w:fldChar w:fldCharType="end"/>
      </w:r>
    </w:p>
    <w:p w:rsidR="00024C0A" w:rsidRDefault="00694C0F">
      <w:pPr>
        <w:pStyle w:val="indexentry0"/>
      </w:pPr>
      <w:hyperlink w:anchor="section_0bc6416855b2438bb0db2ffc5bb065de">
        <w:r>
          <w:rPr>
            <w:rStyle w:val="Hyperlink"/>
          </w:rPr>
          <w:t>SetupID (Setup ID)</w:t>
        </w:r>
      </w:hyperlink>
      <w:r>
        <w:t xml:space="preserve"> </w:t>
      </w:r>
      <w:r>
        <w:fldChar w:fldCharType="begin"/>
      </w:r>
      <w:r>
        <w:instrText>PAGEREF section_0bc6416855b2438bb0db2ffc5bb065de</w:instrText>
      </w:r>
      <w:r>
        <w:fldChar w:fldCharType="separate"/>
      </w:r>
      <w:r>
        <w:rPr>
          <w:noProof/>
        </w:rPr>
        <w:t>879</w:t>
      </w:r>
      <w:r>
        <w:fldChar w:fldCharType="end"/>
      </w:r>
    </w:p>
    <w:p w:rsidR="00024C0A" w:rsidRDefault="00694C0F">
      <w:pPr>
        <w:pStyle w:val="indexentry0"/>
      </w:pPr>
      <w:hyperlink w:anchor="section_948409b090f74b6a85ee2e3eefa3d0fd">
        <w:r>
          <w:rPr>
            <w:rStyle w:val="Hyperlink"/>
          </w:rPr>
          <w:t>shade (Shade)</w:t>
        </w:r>
      </w:hyperlink>
      <w:r>
        <w:t xml:space="preserve"> </w:t>
      </w:r>
      <w:r>
        <w:fldChar w:fldCharType="begin"/>
      </w:r>
      <w:r>
        <w:instrText>PAGEREF section_948409b090f74b6a85ee2e3eefa3d0fd</w:instrText>
      </w:r>
      <w:r>
        <w:fldChar w:fldCharType="separate"/>
      </w:r>
      <w:r>
        <w:rPr>
          <w:noProof/>
        </w:rPr>
        <w:t>502</w:t>
      </w:r>
      <w:r>
        <w:fldChar w:fldCharType="end"/>
      </w:r>
    </w:p>
    <w:p w:rsidR="00024C0A" w:rsidRDefault="00694C0F">
      <w:pPr>
        <w:pStyle w:val="indexentry0"/>
      </w:pPr>
      <w:hyperlink w:anchor="section_abf1cdb8e21044c2b758683db8ee1bbb">
        <w:r>
          <w:rPr>
            <w:rStyle w:val="Hyperlink"/>
          </w:rPr>
          <w:t>shadow (Shadow Effect)</w:t>
        </w:r>
      </w:hyperlink>
      <w:r>
        <w:t xml:space="preserve"> </w:t>
      </w:r>
      <w:r>
        <w:fldChar w:fldCharType="begin"/>
      </w:r>
      <w:r>
        <w:instrText>PAGEREF section_abf1cdb8e21044c2b758683db8ee1bbb</w:instrText>
      </w:r>
      <w:r>
        <w:fldChar w:fldCharType="separate"/>
      </w:r>
      <w:r>
        <w:rPr>
          <w:noProof/>
        </w:rPr>
        <w:t>648</w:t>
      </w:r>
      <w:r>
        <w:fldChar w:fldCharType="end"/>
      </w:r>
    </w:p>
    <w:p w:rsidR="00024C0A" w:rsidRDefault="00694C0F">
      <w:pPr>
        <w:pStyle w:val="indexentry0"/>
      </w:pPr>
      <w:hyperlink w:anchor="section_3b963a5d814141b09dab75b578400861">
        <w:r>
          <w:rPr>
            <w:rStyle w:val="Hyperlink"/>
          </w:rPr>
          <w:t>shadow (Shadow)</w:t>
        </w:r>
      </w:hyperlink>
      <w:r>
        <w:t xml:space="preserve"> </w:t>
      </w:r>
      <w:r>
        <w:fldChar w:fldCharType="begin"/>
      </w:r>
      <w:r>
        <w:instrText>PAGEREF section_3b963a5d814141b09dab75b</w:instrText>
      </w:r>
      <w:r>
        <w:instrText>578400861</w:instrText>
      </w:r>
      <w:r>
        <w:fldChar w:fldCharType="separate"/>
      </w:r>
      <w:r>
        <w:rPr>
          <w:noProof/>
        </w:rPr>
        <w:t>77</w:t>
      </w:r>
      <w:r>
        <w:fldChar w:fldCharType="end"/>
      </w:r>
    </w:p>
    <w:p w:rsidR="00024C0A" w:rsidRDefault="00694C0F">
      <w:pPr>
        <w:pStyle w:val="indexentry0"/>
      </w:pPr>
      <w:hyperlink w:anchor="section_a93caf1bfbe84ab38e3631b069f35d60">
        <w:r>
          <w:rPr>
            <w:rStyle w:val="Hyperlink"/>
          </w:rPr>
          <w:t>SHAPE</w:t>
        </w:r>
      </w:hyperlink>
      <w:r>
        <w:t xml:space="preserve"> </w:t>
      </w:r>
      <w:r>
        <w:fldChar w:fldCharType="begin"/>
      </w:r>
      <w:r>
        <w:instrText>PAGEREF section_a93caf1bfbe84ab38e3631b069f35d60</w:instrText>
      </w:r>
      <w:r>
        <w:fldChar w:fldCharType="separate"/>
      </w:r>
      <w:r>
        <w:rPr>
          <w:noProof/>
        </w:rPr>
        <w:t>813</w:t>
      </w:r>
      <w:r>
        <w:fldChar w:fldCharType="end"/>
      </w:r>
    </w:p>
    <w:p w:rsidR="00024C0A" w:rsidRDefault="00694C0F">
      <w:pPr>
        <w:pStyle w:val="indexentry0"/>
      </w:pPr>
      <w:hyperlink w:anchor="section_c0c046eca61d405d88fe74d8487a37d7">
        <w:r>
          <w:rPr>
            <w:rStyle w:val="Hyperlink"/>
          </w:rPr>
          <w:t>Shape - Fills - Effects and Line Properties</w:t>
        </w:r>
      </w:hyperlink>
      <w:r>
        <w:t xml:space="preserve"> </w:t>
      </w:r>
      <w:r>
        <w:fldChar w:fldCharType="begin"/>
      </w:r>
      <w:r>
        <w:instrText>PAGEREF section_c0c046eca61d405d88fe74d8487a37d7</w:instrText>
      </w:r>
      <w:r>
        <w:fldChar w:fldCharType="separate"/>
      </w:r>
      <w:r>
        <w:rPr>
          <w:noProof/>
        </w:rPr>
        <w:t>509</w:t>
      </w:r>
      <w:r>
        <w:fldChar w:fldCharType="end"/>
      </w:r>
    </w:p>
    <w:p w:rsidR="00024C0A" w:rsidRDefault="00694C0F">
      <w:pPr>
        <w:pStyle w:val="indexentry0"/>
      </w:pPr>
      <w:hyperlink w:anchor="section_edfd844dbf1a410981cd4caa788f1449">
        <w:r>
          <w:rPr>
            <w:rStyle w:val="Hyperlink"/>
          </w:rPr>
          <w:t>shape (Shape Definition)</w:t>
        </w:r>
      </w:hyperlink>
      <w:r>
        <w:t xml:space="preserve"> </w:t>
      </w:r>
      <w:r>
        <w:fldChar w:fldCharType="begin"/>
      </w:r>
      <w:r>
        <w:instrText>PAGEREF section_edfd844dbf1a410981cd4caa788f1449</w:instrText>
      </w:r>
      <w:r>
        <w:fldChar w:fldCharType="separate"/>
      </w:r>
      <w:r>
        <w:rPr>
          <w:noProof/>
        </w:rPr>
        <w:t>649</w:t>
      </w:r>
      <w:r>
        <w:fldChar w:fldCharType="end"/>
      </w:r>
    </w:p>
    <w:p w:rsidR="00024C0A" w:rsidRDefault="00694C0F">
      <w:pPr>
        <w:pStyle w:val="indexentry0"/>
      </w:pPr>
      <w:r>
        <w:t>shape (Shape) (</w:t>
      </w:r>
      <w:hyperlink w:anchor="section_064f48d37de64d57ac6b6deec7c01b6c">
        <w:r>
          <w:rPr>
            <w:rStyle w:val="Hyperlink"/>
          </w:rPr>
          <w:t>section 2.1.1540</w:t>
        </w:r>
      </w:hyperlink>
      <w:r>
        <w:t xml:space="preserve"> </w:t>
      </w:r>
      <w:r>
        <w:fldChar w:fldCharType="begin"/>
      </w:r>
      <w:r>
        <w:instrText>PAGEREF section_064f48d37de64d57ac6b6deec7c01b6c</w:instrText>
      </w:r>
      <w:r>
        <w:fldChar w:fldCharType="separate"/>
      </w:r>
      <w:r>
        <w:rPr>
          <w:noProof/>
        </w:rPr>
        <w:t>566</w:t>
      </w:r>
      <w:r>
        <w:fldChar w:fldCharType="end"/>
      </w:r>
      <w:r>
        <w:t xml:space="preserve">, </w:t>
      </w:r>
      <w:hyperlink w:anchor="section_448f4ba77be242509af1a1e80d2cfc02">
        <w:r>
          <w:rPr>
            <w:rStyle w:val="Hyperlink"/>
          </w:rPr>
          <w:t>section 2.1.1615</w:t>
        </w:r>
      </w:hyperlink>
      <w:r>
        <w:t xml:space="preserve"> </w:t>
      </w:r>
      <w:r>
        <w:fldChar w:fldCharType="begin"/>
      </w:r>
      <w:r>
        <w:instrText>PAGEREF section_448f4ba77be242509af1a1e80d2cfc02</w:instrText>
      </w:r>
      <w:r>
        <w:fldChar w:fldCharType="separate"/>
      </w:r>
      <w:r>
        <w:rPr>
          <w:noProof/>
        </w:rPr>
        <w:t>581</w:t>
      </w:r>
      <w:r>
        <w:fldChar w:fldCharType="end"/>
      </w:r>
      <w:r>
        <w:t>)</w:t>
      </w:r>
    </w:p>
    <w:p w:rsidR="00024C0A" w:rsidRDefault="00694C0F">
      <w:pPr>
        <w:pStyle w:val="indexentry0"/>
      </w:pPr>
      <w:hyperlink w:anchor="section_8721f65882524c32965b4c04fdc5a2eb">
        <w:r>
          <w:rPr>
            <w:rStyle w:val="Hyperlink"/>
          </w:rPr>
          <w:t>shapeDefaults (Default Properties for VML Objects in Main Document)</w:t>
        </w:r>
      </w:hyperlink>
      <w:r>
        <w:t xml:space="preserve"> </w:t>
      </w:r>
      <w:r>
        <w:fldChar w:fldCharType="begin"/>
      </w:r>
      <w:r>
        <w:instrText>PAGEREF section_8721f65882524c32965b4c04fdc5a2eb</w:instrText>
      </w:r>
      <w:r>
        <w:fldChar w:fldCharType="separate"/>
      </w:r>
      <w:r>
        <w:rPr>
          <w:noProof/>
        </w:rPr>
        <w:t>625</w:t>
      </w:r>
      <w:r>
        <w:fldChar w:fldCharType="end"/>
      </w:r>
    </w:p>
    <w:p w:rsidR="00024C0A" w:rsidRDefault="00694C0F">
      <w:pPr>
        <w:pStyle w:val="indexentry0"/>
      </w:pPr>
      <w:hyperlink w:anchor="section_30394e5a5c7e41c08891b4d803b59bb5">
        <w:r>
          <w:rPr>
            <w:rStyle w:val="Hyperlink"/>
          </w:rPr>
          <w:t>shapedefaults (New Shape Defaults)</w:t>
        </w:r>
      </w:hyperlink>
      <w:r>
        <w:t xml:space="preserve"> </w:t>
      </w:r>
      <w:r>
        <w:fldChar w:fldCharType="begin"/>
      </w:r>
      <w:r>
        <w:instrText>PAGEREF sectio</w:instrText>
      </w:r>
      <w:r>
        <w:instrText>n_30394e5a5c7e41c08891b4d803b59bb5</w:instrText>
      </w:r>
      <w:r>
        <w:fldChar w:fldCharType="separate"/>
      </w:r>
      <w:r>
        <w:rPr>
          <w:noProof/>
        </w:rPr>
        <w:t>669</w:t>
      </w:r>
      <w:r>
        <w:fldChar w:fldCharType="end"/>
      </w:r>
    </w:p>
    <w:p w:rsidR="00024C0A" w:rsidRDefault="00694C0F">
      <w:pPr>
        <w:pStyle w:val="indexentry0"/>
      </w:pPr>
      <w:hyperlink w:anchor="section_a836922427e94270a02db1c710aa8bcb">
        <w:r>
          <w:rPr>
            <w:rStyle w:val="Hyperlink"/>
          </w:rPr>
          <w:t>shapelayout (Shape Layout Properties)</w:t>
        </w:r>
      </w:hyperlink>
      <w:r>
        <w:t xml:space="preserve"> </w:t>
      </w:r>
      <w:r>
        <w:fldChar w:fldCharType="begin"/>
      </w:r>
      <w:r>
        <w:instrText>PAGEREF section_a836922427e94270a02db1c710aa8bcb</w:instrText>
      </w:r>
      <w:r>
        <w:fldChar w:fldCharType="separate"/>
      </w:r>
      <w:r>
        <w:rPr>
          <w:noProof/>
        </w:rPr>
        <w:t>669</w:t>
      </w:r>
      <w:r>
        <w:fldChar w:fldCharType="end"/>
      </w:r>
    </w:p>
    <w:p w:rsidR="00024C0A" w:rsidRDefault="00694C0F">
      <w:pPr>
        <w:pStyle w:val="indexentry0"/>
      </w:pPr>
      <w:hyperlink w:anchor="section_caa8931e192d43fc8eefff9e2fe60991">
        <w:r>
          <w:rPr>
            <w:rStyle w:val="Hyperlink"/>
          </w:rPr>
          <w:t>shapetype (Shape Template)</w:t>
        </w:r>
      </w:hyperlink>
      <w:r>
        <w:t xml:space="preserve"> </w:t>
      </w:r>
      <w:r>
        <w:fldChar w:fldCharType="begin"/>
      </w:r>
      <w:r>
        <w:instrText>PAGEREF section_caa8931e192d43fc8eefff9e2fe60991</w:instrText>
      </w:r>
      <w:r>
        <w:fldChar w:fldCharType="separate"/>
      </w:r>
      <w:r>
        <w:rPr>
          <w:noProof/>
        </w:rPr>
        <w:t>651</w:t>
      </w:r>
      <w:r>
        <w:fldChar w:fldCharType="end"/>
      </w:r>
    </w:p>
    <w:p w:rsidR="00024C0A" w:rsidRDefault="00694C0F">
      <w:pPr>
        <w:pStyle w:val="indexentry0"/>
      </w:pPr>
      <w:hyperlink w:anchor="section_e06f6ba680494bd3ae632fa63cd0536c">
        <w:r>
          <w:rPr>
            <w:rStyle w:val="Hyperlink"/>
          </w:rPr>
          <w:t>Shared (Additional Information)</w:t>
        </w:r>
      </w:hyperlink>
      <w:r>
        <w:t xml:space="preserve"> </w:t>
      </w:r>
      <w:r>
        <w:fldChar w:fldCharType="begin"/>
      </w:r>
      <w:r>
        <w:instrText>PAGEREF section_e06f6ba680494bd3ae632fa63cd0536c</w:instrText>
      </w:r>
      <w:r>
        <w:fldChar w:fldCharType="separate"/>
      </w:r>
      <w:r>
        <w:rPr>
          <w:noProof/>
        </w:rPr>
        <w:t>844</w:t>
      </w:r>
      <w:r>
        <w:fldChar w:fldCharType="end"/>
      </w:r>
    </w:p>
    <w:p w:rsidR="00024C0A" w:rsidRDefault="00694C0F">
      <w:pPr>
        <w:pStyle w:val="indexentry0"/>
      </w:pPr>
      <w:hyperlink w:anchor="section_83c200b15a6944308fe6adc3583034a2">
        <w:r>
          <w:rPr>
            <w:rStyle w:val="Hyperlink"/>
          </w:rPr>
          <w:t>Shared Attributes (Content Type Schemas)</w:t>
        </w:r>
      </w:hyperlink>
      <w:r>
        <w:t xml:space="preserve"> </w:t>
      </w:r>
      <w:r>
        <w:fldChar w:fldCharType="begin"/>
      </w:r>
      <w:r>
        <w:instrText>PAGEREF section_83c200b15a6944308fe6adc3583034a2</w:instrText>
      </w:r>
      <w:r>
        <w:fldChar w:fldCharType="separate"/>
      </w:r>
      <w:r>
        <w:rPr>
          <w:noProof/>
        </w:rPr>
        <w:t>855</w:t>
      </w:r>
      <w:r>
        <w:fldChar w:fldCharType="end"/>
      </w:r>
    </w:p>
    <w:p w:rsidR="00024C0A" w:rsidRDefault="00694C0F">
      <w:pPr>
        <w:pStyle w:val="indexentry0"/>
      </w:pPr>
      <w:hyperlink w:anchor="section_e6bf5eddaa4c40b58f43b3da6b664823">
        <w:r>
          <w:rPr>
            <w:rStyle w:val="Hyperlink"/>
          </w:rPr>
          <w:t>sharedItems (Shared Items)</w:t>
        </w:r>
      </w:hyperlink>
      <w:r>
        <w:t xml:space="preserve"> </w:t>
      </w:r>
      <w:r>
        <w:fldChar w:fldCharType="begin"/>
      </w:r>
      <w:r>
        <w:instrText>PAGEREF section_e6bf5eddaa4c40b58f43b3</w:instrText>
      </w:r>
      <w:r>
        <w:instrText>da6b664823</w:instrText>
      </w:r>
      <w:r>
        <w:fldChar w:fldCharType="separate"/>
      </w:r>
      <w:r>
        <w:rPr>
          <w:noProof/>
        </w:rPr>
        <w:t>363</w:t>
      </w:r>
      <w:r>
        <w:fldChar w:fldCharType="end"/>
      </w:r>
    </w:p>
    <w:p w:rsidR="00024C0A" w:rsidRDefault="00694C0F">
      <w:pPr>
        <w:pStyle w:val="indexentry0"/>
      </w:pPr>
      <w:hyperlink w:anchor="section_0401ba7548d24372a50f7726fe318b65">
        <w:r>
          <w:rPr>
            <w:rStyle w:val="Hyperlink"/>
          </w:rPr>
          <w:t>shd (Paragraph Shading)</w:t>
        </w:r>
      </w:hyperlink>
      <w:r>
        <w:t xml:space="preserve"> </w:t>
      </w:r>
      <w:r>
        <w:fldChar w:fldCharType="begin"/>
      </w:r>
      <w:r>
        <w:instrText>PAGEREF section_0401ba7548d24372a50f7726fe318b65</w:instrText>
      </w:r>
      <w:r>
        <w:fldChar w:fldCharType="separate"/>
      </w:r>
      <w:r>
        <w:rPr>
          <w:noProof/>
        </w:rPr>
        <w:t>66</w:t>
      </w:r>
      <w:r>
        <w:fldChar w:fldCharType="end"/>
      </w:r>
    </w:p>
    <w:p w:rsidR="00024C0A" w:rsidRDefault="00694C0F">
      <w:pPr>
        <w:pStyle w:val="indexentry0"/>
      </w:pPr>
      <w:hyperlink w:anchor="section_9eaa0715d38f4c548f1ff1e0d5eb6cdb">
        <w:r>
          <w:rPr>
            <w:rStyle w:val="Hyperlink"/>
          </w:rPr>
          <w:t>shd (Run Shading)</w:t>
        </w:r>
      </w:hyperlink>
      <w:r>
        <w:t xml:space="preserve"> </w:t>
      </w:r>
      <w:r>
        <w:fldChar w:fldCharType="begin"/>
      </w:r>
      <w:r>
        <w:instrText>PAGEREF section_9eaa07</w:instrText>
      </w:r>
      <w:r>
        <w:instrText>15d38f4c548f1ff1e0d5eb6cdb</w:instrText>
      </w:r>
      <w:r>
        <w:fldChar w:fldCharType="separate"/>
      </w:r>
      <w:r>
        <w:rPr>
          <w:noProof/>
        </w:rPr>
        <w:t>77</w:t>
      </w:r>
      <w:r>
        <w:fldChar w:fldCharType="end"/>
      </w:r>
    </w:p>
    <w:p w:rsidR="00024C0A" w:rsidRDefault="00694C0F">
      <w:pPr>
        <w:pStyle w:val="indexentry0"/>
      </w:pPr>
      <w:hyperlink w:anchor="section_4f0cccae70c2492abc943ccc39172119">
        <w:r>
          <w:rPr>
            <w:rStyle w:val="Hyperlink"/>
          </w:rPr>
          <w:t>shd (Table Cell Shading)</w:t>
        </w:r>
      </w:hyperlink>
      <w:r>
        <w:t xml:space="preserve"> </w:t>
      </w:r>
      <w:r>
        <w:fldChar w:fldCharType="begin"/>
      </w:r>
      <w:r>
        <w:instrText>PAGEREF section_4f0cccae70c2492abc943ccc39172119</w:instrText>
      </w:r>
      <w:r>
        <w:fldChar w:fldCharType="separate"/>
      </w:r>
      <w:r>
        <w:rPr>
          <w:noProof/>
        </w:rPr>
        <w:t>85</w:t>
      </w:r>
      <w:r>
        <w:fldChar w:fldCharType="end"/>
      </w:r>
    </w:p>
    <w:p w:rsidR="00024C0A" w:rsidRDefault="00694C0F">
      <w:pPr>
        <w:pStyle w:val="indexentry0"/>
      </w:pPr>
      <w:hyperlink w:anchor="section_a7c8261dea1c4fc6a131fc0e48c5176e">
        <w:r>
          <w:rPr>
            <w:rStyle w:val="Hyperlink"/>
          </w:rPr>
          <w:t>shd (Table Shading Except</w:t>
        </w:r>
        <w:r>
          <w:rPr>
            <w:rStyle w:val="Hyperlink"/>
          </w:rPr>
          <w:t>ion)</w:t>
        </w:r>
      </w:hyperlink>
      <w:r>
        <w:t xml:space="preserve"> </w:t>
      </w:r>
      <w:r>
        <w:fldChar w:fldCharType="begin"/>
      </w:r>
      <w:r>
        <w:instrText>PAGEREF section_a7c8261dea1c4fc6a131fc0e48c5176e</w:instrText>
      </w:r>
      <w:r>
        <w:fldChar w:fldCharType="separate"/>
      </w:r>
      <w:r>
        <w:rPr>
          <w:noProof/>
        </w:rPr>
        <w:t>84</w:t>
      </w:r>
      <w:r>
        <w:fldChar w:fldCharType="end"/>
      </w:r>
    </w:p>
    <w:p w:rsidR="00024C0A" w:rsidRDefault="00694C0F">
      <w:pPr>
        <w:pStyle w:val="indexentry0"/>
      </w:pPr>
      <w:hyperlink w:anchor="section_ee110ab2af6a4ee8923d9a12a2fe65ab">
        <w:r>
          <w:rPr>
            <w:rStyle w:val="Hyperlink"/>
          </w:rPr>
          <w:t>shd (Table Shading)</w:t>
        </w:r>
      </w:hyperlink>
      <w:r>
        <w:t xml:space="preserve"> </w:t>
      </w:r>
      <w:r>
        <w:fldChar w:fldCharType="begin"/>
      </w:r>
      <w:r>
        <w:instrText>PAGEREF section_ee110ab2af6a4ee8923d9a12a2fe65ab</w:instrText>
      </w:r>
      <w:r>
        <w:fldChar w:fldCharType="separate"/>
      </w:r>
      <w:r>
        <w:rPr>
          <w:noProof/>
        </w:rPr>
        <w:t>85</w:t>
      </w:r>
      <w:r>
        <w:fldChar w:fldCharType="end"/>
      </w:r>
    </w:p>
    <w:p w:rsidR="00024C0A" w:rsidRDefault="00694C0F">
      <w:pPr>
        <w:pStyle w:val="indexentry0"/>
      </w:pPr>
      <w:hyperlink w:anchor="section_ebf12ea52bb44af5ab26563f22d3f895">
        <w:r>
          <w:rPr>
            <w:rStyle w:val="Hyperlink"/>
          </w:rPr>
          <w:t>s</w:t>
        </w:r>
        <w:r>
          <w:rPr>
            <w:rStyle w:val="Hyperlink"/>
          </w:rPr>
          <w:t>heet (Sheet Information)</w:t>
        </w:r>
      </w:hyperlink>
      <w:r>
        <w:t xml:space="preserve"> </w:t>
      </w:r>
      <w:r>
        <w:fldChar w:fldCharType="begin"/>
      </w:r>
      <w:r>
        <w:instrText>PAGEREF section_ebf12ea52bb44af5ab26563f22d3f895</w:instrText>
      </w:r>
      <w:r>
        <w:fldChar w:fldCharType="separate"/>
      </w:r>
      <w:r>
        <w:rPr>
          <w:noProof/>
        </w:rPr>
        <w:t>243</w:t>
      </w:r>
      <w:r>
        <w:fldChar w:fldCharType="end"/>
      </w:r>
    </w:p>
    <w:p w:rsidR="00024C0A" w:rsidRDefault="00694C0F">
      <w:pPr>
        <w:pStyle w:val="indexentry0"/>
      </w:pPr>
      <w:hyperlink w:anchor="section_ea6eca83ef44428c8d91968009edc496">
        <w:r>
          <w:rPr>
            <w:rStyle w:val="Hyperlink"/>
          </w:rPr>
          <w:t>sheetData (External Sheet Data Set)</w:t>
        </w:r>
      </w:hyperlink>
      <w:r>
        <w:t xml:space="preserve"> </w:t>
      </w:r>
      <w:r>
        <w:fldChar w:fldCharType="begin"/>
      </w:r>
      <w:r>
        <w:instrText>PAGEREF section_ea6eca83ef44428c8d91968009edc496</w:instrText>
      </w:r>
      <w:r>
        <w:fldChar w:fldCharType="separate"/>
      </w:r>
      <w:r>
        <w:rPr>
          <w:noProof/>
        </w:rPr>
        <w:t>380</w:t>
      </w:r>
      <w:r>
        <w:fldChar w:fldCharType="end"/>
      </w:r>
    </w:p>
    <w:p w:rsidR="00024C0A" w:rsidRDefault="00694C0F">
      <w:pPr>
        <w:pStyle w:val="indexentry0"/>
      </w:pPr>
      <w:hyperlink w:anchor="section_1d47296a5b004fc2b4d7c7efc8fff0fc">
        <w:r>
          <w:rPr>
            <w:rStyle w:val="Hyperlink"/>
          </w:rPr>
          <w:t>sheetFormatPr (Sheet Format Properties)</w:t>
        </w:r>
      </w:hyperlink>
      <w:r>
        <w:t xml:space="preserve"> </w:t>
      </w:r>
      <w:r>
        <w:fldChar w:fldCharType="begin"/>
      </w:r>
      <w:r>
        <w:instrText>PAGEREF section_1d47296a5b004fc2b4d7c7efc8fff0fc</w:instrText>
      </w:r>
      <w:r>
        <w:fldChar w:fldCharType="separate"/>
      </w:r>
      <w:r>
        <w:rPr>
          <w:noProof/>
        </w:rPr>
        <w:t>280</w:t>
      </w:r>
      <w:r>
        <w:fldChar w:fldCharType="end"/>
      </w:r>
    </w:p>
    <w:p w:rsidR="00024C0A" w:rsidRDefault="00694C0F">
      <w:pPr>
        <w:pStyle w:val="indexentry0"/>
      </w:pPr>
      <w:hyperlink w:anchor="section_98e3f568bac74abfbdc04eed2cd91ae8">
        <w:r>
          <w:rPr>
            <w:rStyle w:val="Hyperlink"/>
          </w:rPr>
          <w:t>sheetId (Sheet Id)</w:t>
        </w:r>
      </w:hyperlink>
      <w:r>
        <w:t xml:space="preserve"> </w:t>
      </w:r>
      <w:r>
        <w:fldChar w:fldCharType="begin"/>
      </w:r>
      <w:r>
        <w:instrText>PAGEREF section_98e</w:instrText>
      </w:r>
      <w:r>
        <w:instrText>3f568bac74abfbdc04eed2cd91ae8</w:instrText>
      </w:r>
      <w:r>
        <w:fldChar w:fldCharType="separate"/>
      </w:r>
      <w:r>
        <w:rPr>
          <w:noProof/>
        </w:rPr>
        <w:t>372</w:t>
      </w:r>
      <w:r>
        <w:fldChar w:fldCharType="end"/>
      </w:r>
    </w:p>
    <w:p w:rsidR="00024C0A" w:rsidRDefault="00694C0F">
      <w:pPr>
        <w:pStyle w:val="indexentry0"/>
      </w:pPr>
      <w:hyperlink w:anchor="section_b76122d4802144cbadad1bb478e483e2">
        <w:r>
          <w:rPr>
            <w:rStyle w:val="Hyperlink"/>
          </w:rPr>
          <w:t>sheetIdMap (Sheet Id Map)</w:t>
        </w:r>
      </w:hyperlink>
      <w:r>
        <w:t xml:space="preserve"> </w:t>
      </w:r>
      <w:r>
        <w:fldChar w:fldCharType="begin"/>
      </w:r>
      <w:r>
        <w:instrText>PAGEREF section_b76122d4802144cbadad1bb478e483e2</w:instrText>
      </w:r>
      <w:r>
        <w:fldChar w:fldCharType="separate"/>
      </w:r>
      <w:r>
        <w:rPr>
          <w:noProof/>
        </w:rPr>
        <w:t>372</w:t>
      </w:r>
      <w:r>
        <w:fldChar w:fldCharType="end"/>
      </w:r>
    </w:p>
    <w:p w:rsidR="00024C0A" w:rsidRDefault="00694C0F">
      <w:pPr>
        <w:pStyle w:val="indexentry0"/>
      </w:pPr>
      <w:hyperlink w:anchor="section_2f06c253c63240b3b2cc4c7b0fe2bad4">
        <w:r>
          <w:rPr>
            <w:rStyle w:val="Hyperlink"/>
          </w:rPr>
          <w:t>sheetName (Sheet Name</w:t>
        </w:r>
        <w:r>
          <w:rPr>
            <w:rStyle w:val="Hyperlink"/>
          </w:rPr>
          <w:t>)</w:t>
        </w:r>
      </w:hyperlink>
      <w:r>
        <w:t xml:space="preserve"> </w:t>
      </w:r>
      <w:r>
        <w:fldChar w:fldCharType="begin"/>
      </w:r>
      <w:r>
        <w:instrText>PAGEREF section_2f06c253c63240b3b2cc4c7b0fe2bad4</w:instrText>
      </w:r>
      <w:r>
        <w:fldChar w:fldCharType="separate"/>
      </w:r>
      <w:r>
        <w:rPr>
          <w:noProof/>
        </w:rPr>
        <w:t>381</w:t>
      </w:r>
      <w:r>
        <w:fldChar w:fldCharType="end"/>
      </w:r>
    </w:p>
    <w:p w:rsidR="00024C0A" w:rsidRDefault="00694C0F">
      <w:pPr>
        <w:pStyle w:val="indexentry0"/>
      </w:pPr>
      <w:hyperlink w:anchor="section_43554bcee58a45b5aa0770029f56dc91">
        <w:r>
          <w:rPr>
            <w:rStyle w:val="Hyperlink"/>
          </w:rPr>
          <w:t>sheetNames (Supporting Workbook Sheet Names)</w:t>
        </w:r>
      </w:hyperlink>
      <w:r>
        <w:t xml:space="preserve"> </w:t>
      </w:r>
      <w:r>
        <w:fldChar w:fldCharType="begin"/>
      </w:r>
      <w:r>
        <w:instrText>PAGEREF section_43554bcee58a45b5aa0770029f56dc91</w:instrText>
      </w:r>
      <w:r>
        <w:fldChar w:fldCharType="separate"/>
      </w:r>
      <w:r>
        <w:rPr>
          <w:noProof/>
        </w:rPr>
        <w:t>381</w:t>
      </w:r>
      <w:r>
        <w:fldChar w:fldCharType="end"/>
      </w:r>
    </w:p>
    <w:p w:rsidR="00024C0A" w:rsidRDefault="00694C0F">
      <w:pPr>
        <w:pStyle w:val="indexentry0"/>
      </w:pPr>
      <w:hyperlink w:anchor="section_6f37d5b810364318a35b22d5899c0a23">
        <w:r>
          <w:rPr>
            <w:rStyle w:val="Hyperlink"/>
          </w:rPr>
          <w:t>sheetPr (Chart Sheet Properties)</w:t>
        </w:r>
      </w:hyperlink>
      <w:r>
        <w:t xml:space="preserve"> </w:t>
      </w:r>
      <w:r>
        <w:fldChar w:fldCharType="begin"/>
      </w:r>
      <w:r>
        <w:instrText>PAGEREF section_6f37d5b810364318a35b22d5899c0a23</w:instrText>
      </w:r>
      <w:r>
        <w:fldChar w:fldCharType="separate"/>
      </w:r>
      <w:r>
        <w:rPr>
          <w:noProof/>
        </w:rPr>
        <w:t>281</w:t>
      </w:r>
      <w:r>
        <w:fldChar w:fldCharType="end"/>
      </w:r>
    </w:p>
    <w:p w:rsidR="00024C0A" w:rsidRDefault="00694C0F">
      <w:pPr>
        <w:pStyle w:val="indexentry0"/>
      </w:pPr>
      <w:hyperlink w:anchor="section_e2b7325c912947e1abc73cc75ca1e2d8">
        <w:r>
          <w:rPr>
            <w:rStyle w:val="Hyperlink"/>
          </w:rPr>
          <w:t>sheetPr (Sheet Properties)</w:t>
        </w:r>
      </w:hyperlink>
      <w:r>
        <w:t xml:space="preserve"> </w:t>
      </w:r>
      <w:r>
        <w:fldChar w:fldCharType="begin"/>
      </w:r>
      <w:r>
        <w:instrText>PAGEREF section_e2b7325c912947e1abc73cc75ca1e2d8</w:instrText>
      </w:r>
      <w:r>
        <w:fldChar w:fldCharType="separate"/>
      </w:r>
      <w:r>
        <w:rPr>
          <w:noProof/>
        </w:rPr>
        <w:t>280</w:t>
      </w:r>
      <w:r>
        <w:fldChar w:fldCharType="end"/>
      </w:r>
    </w:p>
    <w:p w:rsidR="00024C0A" w:rsidRDefault="00694C0F">
      <w:pPr>
        <w:pStyle w:val="indexentry0"/>
      </w:pPr>
      <w:hyperlink w:anchor="section_fcf4108f555a4d3ba9ca85fcfec97d1b">
        <w:r>
          <w:rPr>
            <w:rStyle w:val="Hyperlink"/>
          </w:rPr>
          <w:t>sheetProtection (Chart Sheet Protection)</w:t>
        </w:r>
      </w:hyperlink>
      <w:r>
        <w:t xml:space="preserve"> </w:t>
      </w:r>
      <w:r>
        <w:fldChar w:fldCharType="begin"/>
      </w:r>
      <w:r>
        <w:instrText>PAGEREF section_fcf4108f555a4d3ba9ca85fcfec97d1b</w:instrText>
      </w:r>
      <w:r>
        <w:fldChar w:fldCharType="separate"/>
      </w:r>
      <w:r>
        <w:rPr>
          <w:noProof/>
        </w:rPr>
        <w:t>281</w:t>
      </w:r>
      <w:r>
        <w:fldChar w:fldCharType="end"/>
      </w:r>
    </w:p>
    <w:p w:rsidR="00024C0A" w:rsidRDefault="00694C0F">
      <w:pPr>
        <w:pStyle w:val="indexentry0"/>
      </w:pPr>
      <w:hyperlink w:anchor="section_15197a0226f74a37ab9c7de4d4894ea5">
        <w:r>
          <w:rPr>
            <w:rStyle w:val="Hyperlink"/>
          </w:rPr>
          <w:t>sheetProtection (Sheet Protection Options)</w:t>
        </w:r>
      </w:hyperlink>
      <w:r>
        <w:t xml:space="preserve"> </w:t>
      </w:r>
      <w:r>
        <w:fldChar w:fldCharType="begin"/>
      </w:r>
      <w:r>
        <w:instrText>PAGEREF section_15197a0226f74a37ab9c7de4d4894ea5</w:instrText>
      </w:r>
      <w:r>
        <w:fldChar w:fldCharType="separate"/>
      </w:r>
      <w:r>
        <w:rPr>
          <w:noProof/>
        </w:rPr>
        <w:t>283</w:t>
      </w:r>
      <w:r>
        <w:fldChar w:fldCharType="end"/>
      </w:r>
    </w:p>
    <w:p w:rsidR="00024C0A" w:rsidRDefault="00694C0F">
      <w:pPr>
        <w:pStyle w:val="indexentry0"/>
      </w:pPr>
      <w:hyperlink w:anchor="section_c9766f83abdd4351aeff90859c90c9f7">
        <w:r>
          <w:rPr>
            <w:rStyle w:val="Hyperlink"/>
          </w:rPr>
          <w:t>sheets (Sheets)</w:t>
        </w:r>
      </w:hyperlink>
      <w:r>
        <w:t xml:space="preserve"> </w:t>
      </w:r>
      <w:r>
        <w:fldChar w:fldCharType="begin"/>
      </w:r>
      <w:r>
        <w:instrText>PAGEREF section_c9766f83abdd4351aeff90859c90c9f7</w:instrText>
      </w:r>
      <w:r>
        <w:fldChar w:fldCharType="separate"/>
      </w:r>
      <w:r>
        <w:rPr>
          <w:noProof/>
        </w:rPr>
        <w:t>243</w:t>
      </w:r>
      <w:r>
        <w:fldChar w:fldCharType="end"/>
      </w:r>
    </w:p>
    <w:p w:rsidR="00024C0A" w:rsidRDefault="00694C0F">
      <w:pPr>
        <w:pStyle w:val="indexentry0"/>
      </w:pPr>
      <w:hyperlink w:anchor="section_f68f7a75f8714844974dd2cc226334e8">
        <w:r>
          <w:rPr>
            <w:rStyle w:val="Hyperlink"/>
          </w:rPr>
          <w:t>sheetView (Worksheet View)</w:t>
        </w:r>
      </w:hyperlink>
      <w:r>
        <w:t xml:space="preserve"> </w:t>
      </w:r>
      <w:r>
        <w:fldChar w:fldCharType="begin"/>
      </w:r>
      <w:r>
        <w:instrText>PAGEREF section_f68f7a75f8714844974dd2cc226334e8</w:instrText>
      </w:r>
      <w:r>
        <w:fldChar w:fldCharType="separate"/>
      </w:r>
      <w:r>
        <w:rPr>
          <w:noProof/>
        </w:rPr>
        <w:t>285</w:t>
      </w:r>
      <w:r>
        <w:fldChar w:fldCharType="end"/>
      </w:r>
    </w:p>
    <w:p w:rsidR="00024C0A" w:rsidRDefault="00694C0F">
      <w:pPr>
        <w:pStyle w:val="indexentry0"/>
      </w:pPr>
      <w:hyperlink w:anchor="section_b60b7e029a9e47a28424e973bc811108">
        <w:r>
          <w:rPr>
            <w:rStyle w:val="Hyperlink"/>
          </w:rPr>
          <w:t>sheetViews (Chart Sheet Views)</w:t>
        </w:r>
      </w:hyperlink>
      <w:r>
        <w:t xml:space="preserve"> </w:t>
      </w:r>
      <w:r>
        <w:fldChar w:fldCharType="begin"/>
      </w:r>
      <w:r>
        <w:instrText>PAGEREF section_b60b7e029a9e47a28424e973bc811108</w:instrText>
      </w:r>
      <w:r>
        <w:fldChar w:fldCharType="separate"/>
      </w:r>
      <w:r>
        <w:rPr>
          <w:noProof/>
        </w:rPr>
        <w:t>285</w:t>
      </w:r>
      <w:r>
        <w:fldChar w:fldCharType="end"/>
      </w:r>
    </w:p>
    <w:p w:rsidR="00024C0A" w:rsidRDefault="00694C0F">
      <w:pPr>
        <w:pStyle w:val="indexentry0"/>
      </w:pPr>
      <w:hyperlink w:anchor="section_81d680f217234cffb82b64b52efd2b72">
        <w:r>
          <w:rPr>
            <w:rStyle w:val="Hyperlink"/>
          </w:rPr>
          <w:t>sheetViews (Sheet Views)</w:t>
        </w:r>
      </w:hyperlink>
      <w:r>
        <w:t xml:space="preserve"> </w:t>
      </w:r>
      <w:r>
        <w:fldChar w:fldCharType="begin"/>
      </w:r>
      <w:r>
        <w:instrText>PAGEREF section_81d680f217234cffb82b64b52efd2b72</w:instrText>
      </w:r>
      <w:r>
        <w:fldChar w:fldCharType="separate"/>
      </w:r>
      <w:r>
        <w:rPr>
          <w:noProof/>
        </w:rPr>
        <w:t>285</w:t>
      </w:r>
      <w:r>
        <w:fldChar w:fldCharType="end"/>
      </w:r>
    </w:p>
    <w:p w:rsidR="00024C0A" w:rsidRDefault="00694C0F">
      <w:pPr>
        <w:pStyle w:val="indexentry0"/>
      </w:pPr>
      <w:hyperlink w:anchor="section_8d4ce2eacc594f7691712ea85c07e463">
        <w:r>
          <w:rPr>
            <w:rStyle w:val="Hyperlink"/>
          </w:rPr>
          <w:t>showBubbleSize (Show Bubble Size)</w:t>
        </w:r>
      </w:hyperlink>
      <w:r>
        <w:t xml:space="preserve"> </w:t>
      </w:r>
      <w:r>
        <w:fldChar w:fldCharType="begin"/>
      </w:r>
      <w:r>
        <w:instrText>PAGEREF section_8d4</w:instrText>
      </w:r>
      <w:r>
        <w:instrText>ce2eacc594f7691712ea85c07e463</w:instrText>
      </w:r>
      <w:r>
        <w:fldChar w:fldCharType="separate"/>
      </w:r>
      <w:r>
        <w:rPr>
          <w:noProof/>
        </w:rPr>
        <w:t>566</w:t>
      </w:r>
      <w:r>
        <w:fldChar w:fldCharType="end"/>
      </w:r>
    </w:p>
    <w:p w:rsidR="00024C0A" w:rsidRDefault="00694C0F">
      <w:pPr>
        <w:pStyle w:val="indexentry0"/>
      </w:pPr>
      <w:hyperlink w:anchor="section_2285918b950e4befa710d7b9588c59c0">
        <w:r>
          <w:rPr>
            <w:rStyle w:val="Hyperlink"/>
          </w:rPr>
          <w:t>showDLblsOverMax (Show Data Labels over Maximum)</w:t>
        </w:r>
      </w:hyperlink>
      <w:r>
        <w:t xml:space="preserve"> </w:t>
      </w:r>
      <w:r>
        <w:fldChar w:fldCharType="begin"/>
      </w:r>
      <w:r>
        <w:instrText>PAGEREF section_2285918b950e4befa710d7b9588c59c0</w:instrText>
      </w:r>
      <w:r>
        <w:fldChar w:fldCharType="separate"/>
      </w:r>
      <w:r>
        <w:rPr>
          <w:noProof/>
        </w:rPr>
        <w:t>566</w:t>
      </w:r>
      <w:r>
        <w:fldChar w:fldCharType="end"/>
      </w:r>
    </w:p>
    <w:p w:rsidR="00024C0A" w:rsidRDefault="00694C0F">
      <w:pPr>
        <w:pStyle w:val="indexentry0"/>
      </w:pPr>
      <w:hyperlink w:anchor="section_52830fc380684e699e0e9fdb4d45e7ee">
        <w:r>
          <w:rPr>
            <w:rStyle w:val="Hyperlink"/>
          </w:rPr>
          <w:t>showLeaderLines (Show Leader Lines)</w:t>
        </w:r>
      </w:hyperlink>
      <w:r>
        <w:t xml:space="preserve"> </w:t>
      </w:r>
      <w:r>
        <w:fldChar w:fldCharType="begin"/>
      </w:r>
      <w:r>
        <w:instrText>PAGEREF section_52830fc380684e699e0e9fdb4d45e7ee</w:instrText>
      </w:r>
      <w:r>
        <w:fldChar w:fldCharType="separate"/>
      </w:r>
      <w:r>
        <w:rPr>
          <w:noProof/>
        </w:rPr>
        <w:t>566</w:t>
      </w:r>
      <w:r>
        <w:fldChar w:fldCharType="end"/>
      </w:r>
    </w:p>
    <w:p w:rsidR="00024C0A" w:rsidRDefault="00694C0F">
      <w:pPr>
        <w:pStyle w:val="indexentry0"/>
      </w:pPr>
      <w:hyperlink w:anchor="section_b0d0713fac9844b4b4ee2a490237c3ac">
        <w:r>
          <w:rPr>
            <w:rStyle w:val="Hyperlink"/>
          </w:rPr>
          <w:t>showLegendKey (Show Legend Key)</w:t>
        </w:r>
      </w:hyperlink>
      <w:r>
        <w:t xml:space="preserve"> </w:t>
      </w:r>
      <w:r>
        <w:fldChar w:fldCharType="begin"/>
      </w:r>
      <w:r>
        <w:instrText>PAGEREF section_b0d0713fac9844b4b4ee2a490237c3ac</w:instrText>
      </w:r>
      <w:r>
        <w:fldChar w:fldCharType="separate"/>
      </w:r>
      <w:r>
        <w:rPr>
          <w:noProof/>
        </w:rPr>
        <w:t>567</w:t>
      </w:r>
      <w:r>
        <w:fldChar w:fldCharType="end"/>
      </w:r>
    </w:p>
    <w:p w:rsidR="00024C0A" w:rsidRDefault="00694C0F">
      <w:pPr>
        <w:pStyle w:val="indexentry0"/>
      </w:pPr>
      <w:hyperlink w:anchor="section_d80518f15c614cbabc0b467b7b9cdd95">
        <w:r>
          <w:rPr>
            <w:rStyle w:val="Hyperlink"/>
          </w:rPr>
          <w:t>showOnOpen (Show On Open)</w:t>
        </w:r>
      </w:hyperlink>
      <w:r>
        <w:t xml:space="preserve"> </w:t>
      </w:r>
      <w:r>
        <w:fldChar w:fldCharType="begin"/>
      </w:r>
      <w:r>
        <w:instrText>PAGEREF section_d80518f15c614cbabc0b467b7b9cdd95</w:instrText>
      </w:r>
      <w:r>
        <w:fldChar w:fldCharType="separate"/>
      </w:r>
      <w:r>
        <w:rPr>
          <w:noProof/>
        </w:rPr>
        <w:t>866</w:t>
      </w:r>
      <w:r>
        <w:fldChar w:fldCharType="end"/>
      </w:r>
    </w:p>
    <w:p w:rsidR="00024C0A" w:rsidRDefault="00694C0F">
      <w:pPr>
        <w:pStyle w:val="indexentry0"/>
      </w:pPr>
      <w:hyperlink w:anchor="section_5ab67be775d9474c8104d1167f77b169">
        <w:r>
          <w:rPr>
            <w:rStyle w:val="Hyperlink"/>
          </w:rPr>
          <w:t>showPercent (Show Percent)</w:t>
        </w:r>
      </w:hyperlink>
      <w:r>
        <w:t xml:space="preserve"> </w:t>
      </w:r>
      <w:r>
        <w:fldChar w:fldCharType="begin"/>
      </w:r>
      <w:r>
        <w:instrText>PAGEREF section_5ab67be775d9474c8104d1167f</w:instrText>
      </w:r>
      <w:r>
        <w:instrText>77b169</w:instrText>
      </w:r>
      <w:r>
        <w:fldChar w:fldCharType="separate"/>
      </w:r>
      <w:r>
        <w:rPr>
          <w:noProof/>
        </w:rPr>
        <w:t>567</w:t>
      </w:r>
      <w:r>
        <w:fldChar w:fldCharType="end"/>
      </w:r>
    </w:p>
    <w:p w:rsidR="00024C0A" w:rsidRDefault="00694C0F">
      <w:pPr>
        <w:pStyle w:val="indexentry0"/>
      </w:pPr>
      <w:hyperlink w:anchor="section_80f71dda5cee4b6b8c0a199fd8a8e206">
        <w:r>
          <w:rPr>
            <w:rStyle w:val="Hyperlink"/>
          </w:rPr>
          <w:t>showXMLTags (Show Visual Indicators for Custom XML Markup Start/End Locations)</w:t>
        </w:r>
      </w:hyperlink>
      <w:r>
        <w:t xml:space="preserve"> </w:t>
      </w:r>
      <w:r>
        <w:fldChar w:fldCharType="begin"/>
      </w:r>
      <w:r>
        <w:instrText>PAGEREF section_80f71dda5cee4b6b8c0a199fd8a8e206</w:instrText>
      </w:r>
      <w:r>
        <w:fldChar w:fldCharType="separate"/>
      </w:r>
      <w:r>
        <w:rPr>
          <w:noProof/>
        </w:rPr>
        <w:t>156</w:t>
      </w:r>
      <w:r>
        <w:fldChar w:fldCharType="end"/>
      </w:r>
    </w:p>
    <w:p w:rsidR="00024C0A" w:rsidRDefault="00694C0F">
      <w:pPr>
        <w:pStyle w:val="indexentry0"/>
      </w:pPr>
      <w:hyperlink w:anchor="section_122e796dc2c746eaa308121affc847f9">
        <w:r>
          <w:rPr>
            <w:rStyle w:val="Hyperlink"/>
          </w:rPr>
          <w:t>shp (Shape (Delimiters))</w:t>
        </w:r>
      </w:hyperlink>
      <w:r>
        <w:t xml:space="preserve"> </w:t>
      </w:r>
      <w:r>
        <w:fldChar w:fldCharType="begin"/>
      </w:r>
      <w:r>
        <w:instrText>PAGEREF section_122e796dc2c746eaa308121affc847f9</w:instrText>
      </w:r>
      <w:r>
        <w:fldChar w:fldCharType="separate"/>
      </w:r>
      <w:r>
        <w:rPr>
          <w:noProof/>
        </w:rPr>
        <w:t>599</w:t>
      </w:r>
      <w:r>
        <w:fldChar w:fldCharType="end"/>
      </w:r>
    </w:p>
    <w:p w:rsidR="00024C0A" w:rsidRDefault="00694C0F">
      <w:pPr>
        <w:pStyle w:val="indexentry0"/>
      </w:pPr>
      <w:hyperlink w:anchor="section_7265d89c907745b5826fffa7a10811ae">
        <w:r>
          <w:rPr>
            <w:rStyle w:val="Hyperlink"/>
          </w:rPr>
          <w:t>si (String Item)</w:t>
        </w:r>
      </w:hyperlink>
      <w:r>
        <w:t xml:space="preserve"> </w:t>
      </w:r>
      <w:r>
        <w:fldChar w:fldCharType="begin"/>
      </w:r>
      <w:r>
        <w:instrText>PAGEREF section_7265d89c907745b5826f</w:instrText>
      </w:r>
      <w:r>
        <w:instrText>ffa7a10811ae</w:instrText>
      </w:r>
      <w:r>
        <w:fldChar w:fldCharType="separate"/>
      </w:r>
      <w:r>
        <w:rPr>
          <w:noProof/>
        </w:rPr>
        <w:t>289</w:t>
      </w:r>
      <w:r>
        <w:fldChar w:fldCharType="end"/>
      </w:r>
    </w:p>
    <w:p w:rsidR="00024C0A" w:rsidRDefault="00694C0F">
      <w:pPr>
        <w:pStyle w:val="indexentry0"/>
      </w:pPr>
      <w:hyperlink w:anchor="section_a0cfce2cbcc6459ab1af121b9b2453bf">
        <w:r>
          <w:rPr>
            <w:rStyle w:val="Hyperlink"/>
          </w:rPr>
          <w:t>sideWall (Side Wall)</w:t>
        </w:r>
      </w:hyperlink>
      <w:r>
        <w:t xml:space="preserve"> </w:t>
      </w:r>
      <w:r>
        <w:fldChar w:fldCharType="begin"/>
      </w:r>
      <w:r>
        <w:instrText>PAGEREF section_a0cfce2cbcc6459ab1af121b9b2453bf</w:instrText>
      </w:r>
      <w:r>
        <w:fldChar w:fldCharType="separate"/>
      </w:r>
      <w:r>
        <w:rPr>
          <w:noProof/>
        </w:rPr>
        <w:t>567</w:t>
      </w:r>
      <w:r>
        <w:fldChar w:fldCharType="end"/>
      </w:r>
    </w:p>
    <w:p w:rsidR="00024C0A" w:rsidRDefault="00694C0F">
      <w:pPr>
        <w:pStyle w:val="indexentry0"/>
      </w:pPr>
      <w:hyperlink w:anchor="section_b66d6f1254b749ddbe00148ca16a9bdf">
        <w:r>
          <w:rPr>
            <w:rStyle w:val="Hyperlink"/>
          </w:rPr>
          <w:t>sig (Supported Unicode Subranges and Code P</w:t>
        </w:r>
        <w:r>
          <w:rPr>
            <w:rStyle w:val="Hyperlink"/>
          </w:rPr>
          <w:t>ages)</w:t>
        </w:r>
      </w:hyperlink>
      <w:r>
        <w:t xml:space="preserve"> </w:t>
      </w:r>
      <w:r>
        <w:fldChar w:fldCharType="begin"/>
      </w:r>
      <w:r>
        <w:instrText>PAGEREF section_b66d6f1254b749ddbe00148ca16a9bdf</w:instrText>
      </w:r>
      <w:r>
        <w:fldChar w:fldCharType="separate"/>
      </w:r>
      <w:r>
        <w:rPr>
          <w:noProof/>
        </w:rPr>
        <w:t>122</w:t>
      </w:r>
      <w:r>
        <w:fldChar w:fldCharType="end"/>
      </w:r>
    </w:p>
    <w:p w:rsidR="00024C0A" w:rsidRDefault="00694C0F">
      <w:pPr>
        <w:pStyle w:val="indexentry0"/>
      </w:pPr>
      <w:hyperlink w:anchor="section_ccba739517034b508c1eecb83dfa792b">
        <w:r>
          <w:rPr>
            <w:rStyle w:val="Hyperlink"/>
          </w:rPr>
          <w:t>SignatureComments (Signature Comments)</w:t>
        </w:r>
      </w:hyperlink>
      <w:r>
        <w:t xml:space="preserve"> </w:t>
      </w:r>
      <w:r>
        <w:fldChar w:fldCharType="begin"/>
      </w:r>
      <w:r>
        <w:instrText>PAGEREF section_ccba739517034b508c1eecb83dfa792b</w:instrText>
      </w:r>
      <w:r>
        <w:fldChar w:fldCharType="separate"/>
      </w:r>
      <w:r>
        <w:rPr>
          <w:noProof/>
        </w:rPr>
        <w:t>880</w:t>
      </w:r>
      <w:r>
        <w:fldChar w:fldCharType="end"/>
      </w:r>
    </w:p>
    <w:p w:rsidR="00024C0A" w:rsidRDefault="00694C0F">
      <w:pPr>
        <w:pStyle w:val="indexentry0"/>
      </w:pPr>
      <w:hyperlink w:anchor="section_0e70da4046be4ddab93009c8e7e5f116">
        <w:r>
          <w:rPr>
            <w:rStyle w:val="Hyperlink"/>
          </w:rPr>
          <w:t>SignatureImage (Signature Image)</w:t>
        </w:r>
      </w:hyperlink>
      <w:r>
        <w:t xml:space="preserve"> </w:t>
      </w:r>
      <w:r>
        <w:fldChar w:fldCharType="begin"/>
      </w:r>
      <w:r>
        <w:instrText>PAGEREF section_0e70da4046be4ddab93009c8e7e5f116</w:instrText>
      </w:r>
      <w:r>
        <w:fldChar w:fldCharType="separate"/>
      </w:r>
      <w:r>
        <w:rPr>
          <w:noProof/>
        </w:rPr>
        <w:t>880</w:t>
      </w:r>
      <w:r>
        <w:fldChar w:fldCharType="end"/>
      </w:r>
    </w:p>
    <w:p w:rsidR="00024C0A" w:rsidRDefault="00694C0F">
      <w:pPr>
        <w:pStyle w:val="indexentry0"/>
      </w:pPr>
      <w:hyperlink w:anchor="section_e1d590674b8849f19da10255d76b4ffa">
        <w:r>
          <w:rPr>
            <w:rStyle w:val="Hyperlink"/>
          </w:rPr>
          <w:t>SignatureInfoV1 (Office Digital Signature V1 Info)</w:t>
        </w:r>
      </w:hyperlink>
      <w:r>
        <w:t xml:space="preserve"> </w:t>
      </w:r>
      <w:r>
        <w:fldChar w:fldCharType="begin"/>
      </w:r>
      <w:r>
        <w:instrText>PAGEREF section_e1d590674b8849f19da1</w:instrText>
      </w:r>
      <w:r>
        <w:instrText>0255d76b4ffa</w:instrText>
      </w:r>
      <w:r>
        <w:fldChar w:fldCharType="separate"/>
      </w:r>
      <w:r>
        <w:rPr>
          <w:noProof/>
        </w:rPr>
        <w:t>880</w:t>
      </w:r>
      <w:r>
        <w:fldChar w:fldCharType="end"/>
      </w:r>
    </w:p>
    <w:p w:rsidR="00024C0A" w:rsidRDefault="00694C0F">
      <w:pPr>
        <w:pStyle w:val="indexentry0"/>
      </w:pPr>
      <w:hyperlink w:anchor="section_16a6934dddaf47e99b2ade1f45ded0f9">
        <w:r>
          <w:rPr>
            <w:rStyle w:val="Hyperlink"/>
          </w:rPr>
          <w:t>signatureline (Digital Signature Line)</w:t>
        </w:r>
      </w:hyperlink>
      <w:r>
        <w:t xml:space="preserve"> </w:t>
      </w:r>
      <w:r>
        <w:fldChar w:fldCharType="begin"/>
      </w:r>
      <w:r>
        <w:instrText>PAGEREF section_16a6934dddaf47e99b2ade1f45ded0f9</w:instrText>
      </w:r>
      <w:r>
        <w:fldChar w:fldCharType="separate"/>
      </w:r>
      <w:r>
        <w:rPr>
          <w:noProof/>
        </w:rPr>
        <w:t>669</w:t>
      </w:r>
      <w:r>
        <w:fldChar w:fldCharType="end"/>
      </w:r>
    </w:p>
    <w:p w:rsidR="00024C0A" w:rsidRDefault="00694C0F">
      <w:pPr>
        <w:pStyle w:val="indexentry0"/>
      </w:pPr>
      <w:hyperlink w:anchor="section_817e07a284144dd8af897daef5636490">
        <w:r>
          <w:rPr>
            <w:rStyle w:val="Hyperlink"/>
          </w:rPr>
          <w:t xml:space="preserve">SignatureProviderDetails </w:t>
        </w:r>
        <w:r>
          <w:rPr>
            <w:rStyle w:val="Hyperlink"/>
          </w:rPr>
          <w:t>(Signature Provider Details)</w:t>
        </w:r>
      </w:hyperlink>
      <w:r>
        <w:t xml:space="preserve"> </w:t>
      </w:r>
      <w:r>
        <w:fldChar w:fldCharType="begin"/>
      </w:r>
      <w:r>
        <w:instrText>PAGEREF section_817e07a284144dd8af897daef5636490</w:instrText>
      </w:r>
      <w:r>
        <w:fldChar w:fldCharType="separate"/>
      </w:r>
      <w:r>
        <w:rPr>
          <w:noProof/>
        </w:rPr>
        <w:t>881</w:t>
      </w:r>
      <w:r>
        <w:fldChar w:fldCharType="end"/>
      </w:r>
    </w:p>
    <w:p w:rsidR="00024C0A" w:rsidRDefault="00694C0F">
      <w:pPr>
        <w:pStyle w:val="indexentry0"/>
      </w:pPr>
      <w:hyperlink w:anchor="section_67ad36eae0d24df6b7e1c3dc0d6b32ea">
        <w:r>
          <w:rPr>
            <w:rStyle w:val="Hyperlink"/>
          </w:rPr>
          <w:t>SignatureProviderId (Signature Provider ID)</w:t>
        </w:r>
      </w:hyperlink>
      <w:r>
        <w:t xml:space="preserve"> </w:t>
      </w:r>
      <w:r>
        <w:fldChar w:fldCharType="begin"/>
      </w:r>
      <w:r>
        <w:instrText>PAGEREF section_67ad36eae0d24df6b7e1c3dc0d6b32ea</w:instrText>
      </w:r>
      <w:r>
        <w:fldChar w:fldCharType="separate"/>
      </w:r>
      <w:r>
        <w:rPr>
          <w:noProof/>
        </w:rPr>
        <w:t>882</w:t>
      </w:r>
      <w:r>
        <w:fldChar w:fldCharType="end"/>
      </w:r>
    </w:p>
    <w:p w:rsidR="00024C0A" w:rsidRDefault="00694C0F">
      <w:pPr>
        <w:pStyle w:val="indexentry0"/>
      </w:pPr>
      <w:hyperlink w:anchor="section_74b29f9a7df748178e172d784aadffe9">
        <w:r>
          <w:rPr>
            <w:rStyle w:val="Hyperlink"/>
          </w:rPr>
          <w:t>SignatureProviderUrl (Signature Provider URL)</w:t>
        </w:r>
      </w:hyperlink>
      <w:r>
        <w:t xml:space="preserve"> </w:t>
      </w:r>
      <w:r>
        <w:fldChar w:fldCharType="begin"/>
      </w:r>
      <w:r>
        <w:instrText>PAGEREF section_74b29f9a7df748178e172d784aadffe9</w:instrText>
      </w:r>
      <w:r>
        <w:fldChar w:fldCharType="separate"/>
      </w:r>
      <w:r>
        <w:rPr>
          <w:noProof/>
        </w:rPr>
        <w:t>882</w:t>
      </w:r>
      <w:r>
        <w:fldChar w:fldCharType="end"/>
      </w:r>
    </w:p>
    <w:p w:rsidR="00024C0A" w:rsidRDefault="00694C0F">
      <w:pPr>
        <w:pStyle w:val="indexentry0"/>
      </w:pPr>
      <w:hyperlink w:anchor="section_1821e4f974df4c2f83261b8cfbf05832">
        <w:r>
          <w:rPr>
            <w:rStyle w:val="Hyperlink"/>
          </w:rPr>
          <w:t>SignatureText (Signature Text)</w:t>
        </w:r>
      </w:hyperlink>
      <w:r>
        <w:t xml:space="preserve"> </w:t>
      </w:r>
      <w:r>
        <w:fldChar w:fldCharType="begin"/>
      </w:r>
      <w:r>
        <w:instrText>PAGEREF section_1821e4f974df4c2f83261b8cfbf05832</w:instrText>
      </w:r>
      <w:r>
        <w:fldChar w:fldCharType="separate"/>
      </w:r>
      <w:r>
        <w:rPr>
          <w:noProof/>
        </w:rPr>
        <w:t>882</w:t>
      </w:r>
      <w:r>
        <w:fldChar w:fldCharType="end"/>
      </w:r>
    </w:p>
    <w:p w:rsidR="00024C0A" w:rsidRDefault="00694C0F">
      <w:pPr>
        <w:pStyle w:val="indexentry0"/>
      </w:pPr>
      <w:hyperlink w:anchor="section_f57f4e24eab6408c9e521bdd530a42f2">
        <w:r>
          <w:rPr>
            <w:rStyle w:val="Hyperlink"/>
          </w:rPr>
          <w:t>SignatureType (Signature Type)</w:t>
        </w:r>
      </w:hyperlink>
      <w:r>
        <w:t xml:space="preserve"> </w:t>
      </w:r>
      <w:r>
        <w:fldChar w:fldCharType="begin"/>
      </w:r>
      <w:r>
        <w:instrText>PAGEREF section_f57f4e24eab6408c9e521bdd530a42f2</w:instrText>
      </w:r>
      <w:r>
        <w:fldChar w:fldCharType="separate"/>
      </w:r>
      <w:r>
        <w:rPr>
          <w:noProof/>
        </w:rPr>
        <w:t>883</w:t>
      </w:r>
      <w:r>
        <w:fldChar w:fldCharType="end"/>
      </w:r>
    </w:p>
    <w:p w:rsidR="00024C0A" w:rsidRDefault="00694C0F">
      <w:pPr>
        <w:pStyle w:val="indexentry0"/>
      </w:pPr>
      <w:r>
        <w:t>Simple Types (</w:t>
      </w:r>
      <w:hyperlink w:anchor="section_176bd1fdfd4a4524a75256b44c1e2eac">
        <w:r>
          <w:rPr>
            <w:rStyle w:val="Hyperlink"/>
          </w:rPr>
          <w:t>section 3.1.2.3</w:t>
        </w:r>
      </w:hyperlink>
      <w:r>
        <w:t xml:space="preserve"> </w:t>
      </w:r>
      <w:r>
        <w:fldChar w:fldCharType="begin"/>
      </w:r>
      <w:r>
        <w:instrText>PAGEREF section_176bd1fdfd4a4524a75256b44c1e2eac</w:instrText>
      </w:r>
      <w:r>
        <w:fldChar w:fldCharType="separate"/>
      </w:r>
      <w:r>
        <w:rPr>
          <w:noProof/>
        </w:rPr>
        <w:t>781</w:t>
      </w:r>
      <w:r>
        <w:fldChar w:fldCharType="end"/>
      </w:r>
      <w:r>
        <w:t xml:space="preserve">, </w:t>
      </w:r>
      <w:hyperlink w:anchor="section_86f6d7c756104b598a6be11314b01c3c">
        <w:r>
          <w:rPr>
            <w:rStyle w:val="Hyperlink"/>
          </w:rPr>
          <w:t>section 3.1.3.3</w:t>
        </w:r>
      </w:hyperlink>
      <w:r>
        <w:t xml:space="preserve"> </w:t>
      </w:r>
      <w:r>
        <w:fldChar w:fldCharType="begin"/>
      </w:r>
      <w:r>
        <w:instrText>PAGEREF section_86f6d7c756104b598a6be11314b01c3c</w:instrText>
      </w:r>
      <w:r>
        <w:fldChar w:fldCharType="separate"/>
      </w:r>
      <w:r>
        <w:rPr>
          <w:noProof/>
        </w:rPr>
        <w:t>818</w:t>
      </w:r>
      <w:r>
        <w:fldChar w:fldCharType="end"/>
      </w:r>
      <w:r>
        <w:t xml:space="preserve">, </w:t>
      </w:r>
      <w:hyperlink w:anchor="section_a20f5177ac074c6292bf74b5c06124a7">
        <w:r>
          <w:rPr>
            <w:rStyle w:val="Hyperlink"/>
          </w:rPr>
          <w:t>section 3.1.4.2.2</w:t>
        </w:r>
      </w:hyperlink>
      <w:r>
        <w:t xml:space="preserve"> </w:t>
      </w:r>
      <w:r>
        <w:fldChar w:fldCharType="begin"/>
      </w:r>
      <w:r>
        <w:instrText>PAGEREF section_a20f5177ac074c6292bf74b5c06124a7</w:instrText>
      </w:r>
      <w:r>
        <w:fldChar w:fldCharType="separate"/>
      </w:r>
      <w:r>
        <w:rPr>
          <w:noProof/>
        </w:rPr>
        <w:t>827</w:t>
      </w:r>
      <w:r>
        <w:fldChar w:fldCharType="end"/>
      </w:r>
      <w:r>
        <w:t xml:space="preserve">, </w:t>
      </w:r>
      <w:hyperlink w:anchor="section_da76a61047af4705a9fd865189332ca7">
        <w:r>
          <w:rPr>
            <w:rStyle w:val="Hyperlink"/>
          </w:rPr>
          <w:t>section 3.2.2.2</w:t>
        </w:r>
      </w:hyperlink>
      <w:r>
        <w:t xml:space="preserve"> </w:t>
      </w:r>
      <w:r>
        <w:fldChar w:fldCharType="begin"/>
      </w:r>
      <w:r>
        <w:instrText>PAGEREF section_da76a61047af4705a9fd865189332ca7</w:instrText>
      </w:r>
      <w:r>
        <w:fldChar w:fldCharType="separate"/>
      </w:r>
      <w:r>
        <w:rPr>
          <w:noProof/>
        </w:rPr>
        <w:t>836</w:t>
      </w:r>
      <w:r>
        <w:fldChar w:fldCharType="end"/>
      </w:r>
      <w:r>
        <w:t xml:space="preserve">, </w:t>
      </w:r>
      <w:hyperlink w:anchor="section_e02f27204f8f4058bf5810a906dbfbdd">
        <w:r>
          <w:rPr>
            <w:rStyle w:val="Hyperlink"/>
          </w:rPr>
          <w:t>section 3.5.1.1.2</w:t>
        </w:r>
      </w:hyperlink>
      <w:r>
        <w:t xml:space="preserve"> </w:t>
      </w:r>
      <w:r>
        <w:fldChar w:fldCharType="begin"/>
      </w:r>
      <w:r>
        <w:instrText>PAGEREF section_e02f27204f8f4058bf5810a906dbfbdd</w:instrText>
      </w:r>
      <w:r>
        <w:fldChar w:fldCharType="separate"/>
      </w:r>
      <w:r>
        <w:rPr>
          <w:noProof/>
        </w:rPr>
        <w:t>851</w:t>
      </w:r>
      <w:r>
        <w:fldChar w:fldCharType="end"/>
      </w:r>
      <w:r>
        <w:t xml:space="preserve">, </w:t>
      </w:r>
      <w:hyperlink w:anchor="section_93cad72f9088475cad522414313896bd">
        <w:r>
          <w:rPr>
            <w:rStyle w:val="Hyperlink"/>
          </w:rPr>
          <w:t>section 3.5.2.2.2</w:t>
        </w:r>
      </w:hyperlink>
      <w:r>
        <w:t xml:space="preserve"> </w:t>
      </w:r>
      <w:r>
        <w:fldChar w:fldCharType="begin"/>
      </w:r>
      <w:r>
        <w:instrText>PAGEREF section_93cad72f9088475cad522414313896bd</w:instrText>
      </w:r>
      <w:r>
        <w:fldChar w:fldCharType="separate"/>
      </w:r>
      <w:r>
        <w:rPr>
          <w:noProof/>
        </w:rPr>
        <w:t>862</w:t>
      </w:r>
      <w:r>
        <w:fldChar w:fldCharType="end"/>
      </w:r>
      <w:r>
        <w:t xml:space="preserve">, </w:t>
      </w:r>
      <w:hyperlink w:anchor="section_400616b7500d47efae7ea5970329dfe1">
        <w:r>
          <w:rPr>
            <w:rStyle w:val="Hyperlink"/>
          </w:rPr>
          <w:t>section 3.6.2</w:t>
        </w:r>
      </w:hyperlink>
      <w:r>
        <w:t xml:space="preserve"> </w:t>
      </w:r>
      <w:r>
        <w:fldChar w:fldCharType="begin"/>
      </w:r>
      <w:r>
        <w:instrText>PAGEREF section_400616b7500d47efae7ea5970329dfe1</w:instrText>
      </w:r>
      <w:r>
        <w:fldChar w:fldCharType="separate"/>
      </w:r>
      <w:r>
        <w:rPr>
          <w:noProof/>
        </w:rPr>
        <w:t>875</w:t>
      </w:r>
      <w:r>
        <w:fldChar w:fldCharType="end"/>
      </w:r>
      <w:r>
        <w:t xml:space="preserve">, </w:t>
      </w:r>
      <w:hyperlink w:anchor="section_b4881ca5844b40749239281e24d3de66">
        <w:r>
          <w:rPr>
            <w:rStyle w:val="Hyperlink"/>
          </w:rPr>
          <w:t>section 3.7.2</w:t>
        </w:r>
      </w:hyperlink>
      <w:r>
        <w:t xml:space="preserve"> </w:t>
      </w:r>
      <w:r>
        <w:fldChar w:fldCharType="begin"/>
      </w:r>
      <w:r>
        <w:instrText>PAGEREF section_b4881ca5844b40749239281e24d3de66</w:instrText>
      </w:r>
      <w:r>
        <w:fldChar w:fldCharType="separate"/>
      </w:r>
      <w:r>
        <w:rPr>
          <w:noProof/>
        </w:rPr>
        <w:t>884</w:t>
      </w:r>
      <w:r>
        <w:fldChar w:fldCharType="end"/>
      </w:r>
      <w:r>
        <w:t>)</w:t>
      </w:r>
    </w:p>
    <w:p w:rsidR="00024C0A" w:rsidRDefault="00694C0F">
      <w:pPr>
        <w:pStyle w:val="indexentry0"/>
      </w:pPr>
      <w:hyperlink w:anchor="section_9d3137ee53f64d7cb7e02f92cc2573a8">
        <w:r>
          <w:rPr>
            <w:rStyle w:val="Hyperlink"/>
          </w:rPr>
          <w:t>Simple Types (Additional Information)</w:t>
        </w:r>
      </w:hyperlink>
      <w:r>
        <w:t xml:space="preserve"> </w:t>
      </w:r>
      <w:r>
        <w:fldChar w:fldCharType="begin"/>
      </w:r>
      <w:r>
        <w:instrText>PAGEREF section_9d3137ee53f64d7cb7e02f92cc2573a8</w:instrText>
      </w:r>
      <w:r>
        <w:fldChar w:fldCharType="separate"/>
      </w:r>
      <w:r>
        <w:rPr>
          <w:noProof/>
        </w:rPr>
        <w:t>891</w:t>
      </w:r>
      <w:r>
        <w:fldChar w:fldCharType="end"/>
      </w:r>
    </w:p>
    <w:p w:rsidR="00024C0A" w:rsidRDefault="00694C0F">
      <w:pPr>
        <w:pStyle w:val="indexentry0"/>
      </w:pPr>
      <w:hyperlink w:anchor="section_2897355e41e04be5a27ea94fe8c6de66">
        <w:r>
          <w:rPr>
            <w:rStyle w:val="Hyperlink"/>
          </w:rPr>
          <w:t>simplePos (Simple Positioning Coordinates)</w:t>
        </w:r>
      </w:hyperlink>
      <w:r>
        <w:t xml:space="preserve"> </w:t>
      </w:r>
      <w:r>
        <w:fldChar w:fldCharType="begin"/>
      </w:r>
      <w:r>
        <w:instrText>PAGEREF section_2897355e41e04be5a27ea94fe8c6de66</w:instrText>
      </w:r>
      <w:r>
        <w:fldChar w:fldCharType="separate"/>
      </w:r>
      <w:r>
        <w:rPr>
          <w:noProof/>
        </w:rPr>
        <w:t>522</w:t>
      </w:r>
      <w:r>
        <w:fldChar w:fldCharType="end"/>
      </w:r>
    </w:p>
    <w:p w:rsidR="00024C0A" w:rsidRDefault="00694C0F">
      <w:pPr>
        <w:pStyle w:val="indexentry0"/>
      </w:pPr>
      <w:hyperlink w:anchor="section_75fa1301c60a407b953d83f5eb3abbb9">
        <w:r>
          <w:rPr>
            <w:rStyle w:val="Hyperlink"/>
          </w:rPr>
          <w:t>SIN</w:t>
        </w:r>
      </w:hyperlink>
      <w:r>
        <w:t xml:space="preserve"> </w:t>
      </w:r>
      <w:r>
        <w:fldChar w:fldCharType="begin"/>
      </w:r>
      <w:r>
        <w:instrText>PAGEREF section_75fa1301c60a407b953d83f5eb3abbb9</w:instrText>
      </w:r>
      <w:r>
        <w:fldChar w:fldCharType="separate"/>
      </w:r>
      <w:r>
        <w:rPr>
          <w:noProof/>
        </w:rPr>
        <w:t>446</w:t>
      </w:r>
      <w:r>
        <w:fldChar w:fldCharType="end"/>
      </w:r>
    </w:p>
    <w:p w:rsidR="00024C0A" w:rsidRDefault="00694C0F">
      <w:pPr>
        <w:pStyle w:val="indexentry0"/>
      </w:pPr>
      <w:hyperlink w:anchor="section_739cf85bb45b4850ba8f6f7b737607be">
        <w:r>
          <w:rPr>
            <w:rStyle w:val="Hyperlink"/>
          </w:rPr>
          <w:t>Single Cell Table Def</w:t>
        </w:r>
        <w:r>
          <w:rPr>
            <w:rStyle w:val="Hyperlink"/>
          </w:rPr>
          <w:t>initions Part</w:t>
        </w:r>
      </w:hyperlink>
      <w:r>
        <w:t xml:space="preserve"> </w:t>
      </w:r>
      <w:r>
        <w:fldChar w:fldCharType="begin"/>
      </w:r>
      <w:r>
        <w:instrText>PAGEREF section_739cf85bb45b4850ba8f6f7b737607be</w:instrText>
      </w:r>
      <w:r>
        <w:fldChar w:fldCharType="separate"/>
      </w:r>
      <w:r>
        <w:rPr>
          <w:noProof/>
        </w:rPr>
        <w:t>48</w:t>
      </w:r>
      <w:r>
        <w:fldChar w:fldCharType="end"/>
      </w:r>
    </w:p>
    <w:p w:rsidR="00024C0A" w:rsidRDefault="00694C0F">
      <w:pPr>
        <w:pStyle w:val="indexentry0"/>
      </w:pPr>
      <w:hyperlink w:anchor="section_5da2bd53cc8540b2821cdcb841fe740e">
        <w:r>
          <w:rPr>
            <w:rStyle w:val="Hyperlink"/>
          </w:rPr>
          <w:t>singleXmlCell (Table Properties)</w:t>
        </w:r>
      </w:hyperlink>
      <w:r>
        <w:t xml:space="preserve"> </w:t>
      </w:r>
      <w:r>
        <w:fldChar w:fldCharType="begin"/>
      </w:r>
      <w:r>
        <w:instrText>PAGEREF section_5da2bd53cc8540b2821cdcb841fe740e</w:instrText>
      </w:r>
      <w:r>
        <w:fldChar w:fldCharType="separate"/>
      </w:r>
      <w:r>
        <w:rPr>
          <w:noProof/>
        </w:rPr>
        <w:t>293</w:t>
      </w:r>
      <w:r>
        <w:fldChar w:fldCharType="end"/>
      </w:r>
    </w:p>
    <w:p w:rsidR="00024C0A" w:rsidRDefault="00694C0F">
      <w:pPr>
        <w:pStyle w:val="indexentry0"/>
      </w:pPr>
      <w:hyperlink w:anchor="section_f73499992b8b434ba3ca650b7c61f2b5">
        <w:r>
          <w:rPr>
            <w:rStyle w:val="Hyperlink"/>
          </w:rPr>
          <w:t>SizeWithCells (Resize with Cells)</w:t>
        </w:r>
      </w:hyperlink>
      <w:r>
        <w:t xml:space="preserve"> </w:t>
      </w:r>
      <w:r>
        <w:fldChar w:fldCharType="begin"/>
      </w:r>
      <w:r>
        <w:instrText>PAGEREF section_f73499992b8b434ba3ca650b7c61f2b5</w:instrText>
      </w:r>
      <w:r>
        <w:fldChar w:fldCharType="separate"/>
      </w:r>
      <w:r>
        <w:rPr>
          <w:noProof/>
        </w:rPr>
        <w:t>677</w:t>
      </w:r>
      <w:r>
        <w:fldChar w:fldCharType="end"/>
      </w:r>
    </w:p>
    <w:p w:rsidR="00024C0A" w:rsidRDefault="00694C0F">
      <w:pPr>
        <w:pStyle w:val="indexentry0"/>
      </w:pPr>
      <w:hyperlink w:anchor="section_c35e498b1fca43f89b79e7646cb54ddf">
        <w:r>
          <w:rPr>
            <w:rStyle w:val="Hyperlink"/>
          </w:rPr>
          <w:t>skew (Skew Transform)</w:t>
        </w:r>
      </w:hyperlink>
      <w:r>
        <w:t xml:space="preserve"> </w:t>
      </w:r>
      <w:r>
        <w:fldChar w:fldCharType="begin"/>
      </w:r>
      <w:r>
        <w:instrText>PAGEREF section_c35e498b1fca43f89b79e7646cb54ddf</w:instrText>
      </w:r>
      <w:r>
        <w:fldChar w:fldCharType="separate"/>
      </w:r>
      <w:r>
        <w:rPr>
          <w:noProof/>
        </w:rPr>
        <w:t>670</w:t>
      </w:r>
      <w:r>
        <w:fldChar w:fldCharType="end"/>
      </w:r>
    </w:p>
    <w:p w:rsidR="00024C0A" w:rsidRDefault="00694C0F">
      <w:pPr>
        <w:pStyle w:val="indexentry0"/>
      </w:pPr>
      <w:hyperlink w:anchor="section_7ceafbd6ebba4a17865bb88d5a6b0930">
        <w:r>
          <w:rPr>
            <w:rStyle w:val="Hyperlink"/>
          </w:rPr>
          <w:t>SKIPIF</w:t>
        </w:r>
      </w:hyperlink>
      <w:r>
        <w:t xml:space="preserve"> </w:t>
      </w:r>
      <w:r>
        <w:fldChar w:fldCharType="begin"/>
      </w:r>
      <w:r>
        <w:instrText>PAGEREF section_7ceafbd6ebba4a17865bb88d5a6b0930</w:instrText>
      </w:r>
      <w:r>
        <w:fldChar w:fldCharType="separate"/>
      </w:r>
      <w:r>
        <w:rPr>
          <w:noProof/>
        </w:rPr>
        <w:t>221</w:t>
      </w:r>
      <w:r>
        <w:fldChar w:fldCharType="end"/>
      </w:r>
    </w:p>
    <w:p w:rsidR="00024C0A" w:rsidRDefault="00694C0F">
      <w:pPr>
        <w:pStyle w:val="indexentry0"/>
      </w:pPr>
      <w:hyperlink w:anchor="section_ba458354c051419ea68e0027cbac03bc">
        <w:r>
          <w:rPr>
            <w:rStyle w:val="Hyperlink"/>
          </w:rPr>
          <w:t>sld (Presentation Slide)</w:t>
        </w:r>
      </w:hyperlink>
      <w:r>
        <w:t xml:space="preserve"> </w:t>
      </w:r>
      <w:r>
        <w:fldChar w:fldCharType="begin"/>
      </w:r>
      <w:r>
        <w:instrText>PAGEREF section_ba458354c051419ea68e0027cbac03</w:instrText>
      </w:r>
      <w:r>
        <w:instrText>bc</w:instrText>
      </w:r>
      <w:r>
        <w:fldChar w:fldCharType="separate"/>
      </w:r>
      <w:r>
        <w:rPr>
          <w:noProof/>
        </w:rPr>
        <w:t>467</w:t>
      </w:r>
      <w:r>
        <w:fldChar w:fldCharType="end"/>
      </w:r>
    </w:p>
    <w:p w:rsidR="00024C0A" w:rsidRDefault="00694C0F">
      <w:pPr>
        <w:pStyle w:val="indexentry0"/>
      </w:pPr>
      <w:hyperlink w:anchor="section_e1331a7584dc46d29e5551afd9f38af8">
        <w:r>
          <w:rPr>
            <w:rStyle w:val="Hyperlink"/>
          </w:rPr>
          <w:t>sldRg (Slide Range)</w:t>
        </w:r>
      </w:hyperlink>
      <w:r>
        <w:t xml:space="preserve"> </w:t>
      </w:r>
      <w:r>
        <w:fldChar w:fldCharType="begin"/>
      </w:r>
      <w:r>
        <w:instrText>PAGEREF section_e1331a7584dc46d29e5551afd9f38af8</w:instrText>
      </w:r>
      <w:r>
        <w:fldChar w:fldCharType="separate"/>
      </w:r>
      <w:r>
        <w:rPr>
          <w:noProof/>
        </w:rPr>
        <w:t>464</w:t>
      </w:r>
      <w:r>
        <w:fldChar w:fldCharType="end"/>
      </w:r>
    </w:p>
    <w:p w:rsidR="00024C0A" w:rsidRDefault="00694C0F">
      <w:pPr>
        <w:pStyle w:val="indexentry0"/>
      </w:pPr>
      <w:hyperlink w:anchor="section_de4053e1e1ca4cc2a810aa2da4cc43a0">
        <w:r>
          <w:rPr>
            <w:rStyle w:val="Hyperlink"/>
          </w:rPr>
          <w:t>sldSz (Presentation Slide Size)</w:t>
        </w:r>
      </w:hyperlink>
      <w:r>
        <w:t xml:space="preserve"> </w:t>
      </w:r>
      <w:r>
        <w:fldChar w:fldCharType="begin"/>
      </w:r>
      <w:r>
        <w:instrText>PAGEREF section_de4053e1e1ca4cc2a810aa2da4cc43a0</w:instrText>
      </w:r>
      <w:r>
        <w:fldChar w:fldCharType="separate"/>
      </w:r>
      <w:r>
        <w:rPr>
          <w:noProof/>
        </w:rPr>
        <w:t>464</w:t>
      </w:r>
      <w:r>
        <w:fldChar w:fldCharType="end"/>
      </w:r>
    </w:p>
    <w:p w:rsidR="00024C0A" w:rsidRDefault="00694C0F">
      <w:pPr>
        <w:pStyle w:val="indexentry0"/>
      </w:pPr>
      <w:hyperlink w:anchor="section_97031c34d08441cabd6bd861582b1ba4">
        <w:r>
          <w:rPr>
            <w:rStyle w:val="Hyperlink"/>
          </w:rPr>
          <w:t>sldTgt (Slide Target)</w:t>
        </w:r>
      </w:hyperlink>
      <w:r>
        <w:t xml:space="preserve"> </w:t>
      </w:r>
      <w:r>
        <w:fldChar w:fldCharType="begin"/>
      </w:r>
      <w:r>
        <w:instrText>PAGEREF section_97031c34d08441cabd6bd861582b1ba4</w:instrText>
      </w:r>
      <w:r>
        <w:fldChar w:fldCharType="separate"/>
      </w:r>
      <w:r>
        <w:rPr>
          <w:noProof/>
        </w:rPr>
        <w:t>484</w:t>
      </w:r>
      <w:r>
        <w:fldChar w:fldCharType="end"/>
      </w:r>
    </w:p>
    <w:p w:rsidR="00024C0A" w:rsidRDefault="00694C0F">
      <w:pPr>
        <w:pStyle w:val="indexentry0"/>
      </w:pPr>
      <w:hyperlink w:anchor="section_0e96b521bd75493cbec627b7784d46c7">
        <w:r>
          <w:rPr>
            <w:rStyle w:val="Hyperlink"/>
          </w:rPr>
          <w:t xml:space="preserve">Slide </w:t>
        </w:r>
        <w:r>
          <w:rPr>
            <w:rStyle w:val="Hyperlink"/>
          </w:rPr>
          <w:t>Layout Part</w:t>
        </w:r>
      </w:hyperlink>
      <w:r>
        <w:t xml:space="preserve"> </w:t>
      </w:r>
      <w:r>
        <w:fldChar w:fldCharType="begin"/>
      </w:r>
      <w:r>
        <w:instrText>PAGEREF section_0e96b521bd75493cbec627b7784d46c7</w:instrText>
      </w:r>
      <w:r>
        <w:fldChar w:fldCharType="separate"/>
      </w:r>
      <w:r>
        <w:rPr>
          <w:noProof/>
        </w:rPr>
        <w:t>53</w:t>
      </w:r>
      <w:r>
        <w:fldChar w:fldCharType="end"/>
      </w:r>
    </w:p>
    <w:p w:rsidR="00024C0A" w:rsidRDefault="00694C0F">
      <w:pPr>
        <w:pStyle w:val="indexentry0"/>
      </w:pPr>
      <w:hyperlink w:anchor="section_ce80d3db31664d82981a77c01473a7f6">
        <w:r>
          <w:rPr>
            <w:rStyle w:val="Hyperlink"/>
          </w:rPr>
          <w:t>Slide Master Part</w:t>
        </w:r>
      </w:hyperlink>
      <w:r>
        <w:t xml:space="preserve"> </w:t>
      </w:r>
      <w:r>
        <w:fldChar w:fldCharType="begin"/>
      </w:r>
      <w:r>
        <w:instrText>PAGEREF section_ce80d3db31664d82981a77c01473a7f6</w:instrText>
      </w:r>
      <w:r>
        <w:fldChar w:fldCharType="separate"/>
      </w:r>
      <w:r>
        <w:rPr>
          <w:noProof/>
        </w:rPr>
        <w:t>53</w:t>
      </w:r>
      <w:r>
        <w:fldChar w:fldCharType="end"/>
      </w:r>
    </w:p>
    <w:p w:rsidR="00024C0A" w:rsidRDefault="00694C0F">
      <w:pPr>
        <w:pStyle w:val="indexentry0"/>
      </w:pPr>
      <w:hyperlink w:anchor="section_709d622fc25e488c820de04e3be537c6">
        <w:r>
          <w:rPr>
            <w:rStyle w:val="Hyperlink"/>
          </w:rPr>
          <w:t>Slide Part</w:t>
        </w:r>
      </w:hyperlink>
      <w:r>
        <w:t xml:space="preserve"> </w:t>
      </w:r>
      <w:r>
        <w:fldChar w:fldCharType="begin"/>
      </w:r>
      <w:r>
        <w:instrText>PAGEREF section_709d622fc25e488c820de04e3be537c6</w:instrText>
      </w:r>
      <w:r>
        <w:fldChar w:fldCharType="separate"/>
      </w:r>
      <w:r>
        <w:rPr>
          <w:noProof/>
        </w:rPr>
        <w:t>52</w:t>
      </w:r>
      <w:r>
        <w:fldChar w:fldCharType="end"/>
      </w:r>
    </w:p>
    <w:p w:rsidR="00024C0A" w:rsidRDefault="00694C0F">
      <w:pPr>
        <w:pStyle w:val="indexentry0"/>
      </w:pPr>
      <w:hyperlink w:anchor="section_fe5372708bd24348885bc6d159cfccc1">
        <w:r>
          <w:rPr>
            <w:rStyle w:val="Hyperlink"/>
          </w:rPr>
          <w:t>SLOPE</w:t>
        </w:r>
      </w:hyperlink>
      <w:r>
        <w:t xml:space="preserve"> </w:t>
      </w:r>
      <w:r>
        <w:fldChar w:fldCharType="begin"/>
      </w:r>
      <w:r>
        <w:instrText>PAGEREF section_fe5372708bd24348885bc6d159cfccc1</w:instrText>
      </w:r>
      <w:r>
        <w:fldChar w:fldCharType="separate"/>
      </w:r>
      <w:r>
        <w:rPr>
          <w:noProof/>
        </w:rPr>
        <w:t>446</w:t>
      </w:r>
      <w:r>
        <w:fldChar w:fldCharType="end"/>
      </w:r>
    </w:p>
    <w:p w:rsidR="00024C0A" w:rsidRDefault="00694C0F">
      <w:pPr>
        <w:pStyle w:val="indexentry0"/>
      </w:pPr>
      <w:hyperlink w:anchor="section_94e629161ec0494486039f3162b6ccbd">
        <w:r>
          <w:rPr>
            <w:rStyle w:val="Hyperlink"/>
          </w:rPr>
          <w:t>small</w:t>
        </w:r>
        <w:r>
          <w:rPr>
            <w:rStyle w:val="Hyperlink"/>
          </w:rPr>
          <w:t>Caps (Small Caps)</w:t>
        </w:r>
      </w:hyperlink>
      <w:r>
        <w:t xml:space="preserve"> </w:t>
      </w:r>
      <w:r>
        <w:fldChar w:fldCharType="begin"/>
      </w:r>
      <w:r>
        <w:instrText>PAGEREF section_94e629161ec0494486039f3162b6ccbd</w:instrText>
      </w:r>
      <w:r>
        <w:fldChar w:fldCharType="separate"/>
      </w:r>
      <w:r>
        <w:rPr>
          <w:noProof/>
        </w:rPr>
        <w:t>77</w:t>
      </w:r>
      <w:r>
        <w:fldChar w:fldCharType="end"/>
      </w:r>
    </w:p>
    <w:p w:rsidR="00024C0A" w:rsidRDefault="00694C0F">
      <w:pPr>
        <w:pStyle w:val="indexentry0"/>
      </w:pPr>
      <w:hyperlink w:anchor="section_59065a5881844e19a1ab713b4ddaf6d3">
        <w:r>
          <w:rPr>
            <w:rStyle w:val="Hyperlink"/>
          </w:rPr>
          <w:t>smallFrac (Small Fraction)</w:t>
        </w:r>
      </w:hyperlink>
      <w:r>
        <w:t xml:space="preserve"> </w:t>
      </w:r>
      <w:r>
        <w:fldChar w:fldCharType="begin"/>
      </w:r>
      <w:r>
        <w:instrText>PAGEREF section_59065a5881844e19a1ab713b4ddaf6d3</w:instrText>
      </w:r>
      <w:r>
        <w:fldChar w:fldCharType="separate"/>
      </w:r>
      <w:r>
        <w:rPr>
          <w:noProof/>
        </w:rPr>
        <w:t>599</w:t>
      </w:r>
      <w:r>
        <w:fldChar w:fldCharType="end"/>
      </w:r>
    </w:p>
    <w:p w:rsidR="00024C0A" w:rsidRDefault="00694C0F">
      <w:pPr>
        <w:pStyle w:val="indexentry0"/>
      </w:pPr>
      <w:hyperlink w:anchor="section_d7860fab7e4e4c1da712d9d5326bff13">
        <w:r>
          <w:rPr>
            <w:rStyle w:val="Hyperlink"/>
          </w:rPr>
          <w:t>smartTag (Inline-Level Smart Tag)</w:t>
        </w:r>
      </w:hyperlink>
      <w:r>
        <w:t xml:space="preserve"> </w:t>
      </w:r>
      <w:r>
        <w:fldChar w:fldCharType="begin"/>
      </w:r>
      <w:r>
        <w:instrText>PAGEREF section_d7860fab7e4e4c1da712d9d5326bff13</w:instrText>
      </w:r>
      <w:r>
        <w:fldChar w:fldCharType="separate"/>
      </w:r>
      <w:r>
        <w:rPr>
          <w:noProof/>
        </w:rPr>
        <w:t>97</w:t>
      </w:r>
      <w:r>
        <w:fldChar w:fldCharType="end"/>
      </w:r>
    </w:p>
    <w:p w:rsidR="00024C0A" w:rsidRDefault="00694C0F">
      <w:pPr>
        <w:pStyle w:val="indexentry0"/>
      </w:pPr>
      <w:hyperlink w:anchor="section_5d1dbc83b5204c20b60b219211294901">
        <w:r>
          <w:rPr>
            <w:rStyle w:val="Hyperlink"/>
          </w:rPr>
          <w:t>smartTags (Smart Tags)</w:t>
        </w:r>
      </w:hyperlink>
      <w:r>
        <w:t xml:space="preserve"> </w:t>
      </w:r>
      <w:r>
        <w:fldChar w:fldCharType="begin"/>
      </w:r>
      <w:r>
        <w:instrText>PAGEREF section_5d1dbc83b5204c20b60b219211294901</w:instrText>
      </w:r>
      <w:r>
        <w:fldChar w:fldCharType="separate"/>
      </w:r>
      <w:r>
        <w:rPr>
          <w:noProof/>
        </w:rPr>
        <w:t>464</w:t>
      </w:r>
      <w:r>
        <w:fldChar w:fldCharType="end"/>
      </w:r>
    </w:p>
    <w:p w:rsidR="00024C0A" w:rsidRDefault="00694C0F">
      <w:pPr>
        <w:pStyle w:val="indexentry0"/>
      </w:pPr>
      <w:hyperlink w:anchor="section_adb4ca1d99144d6aaf38755990ac9427">
        <w:r>
          <w:rPr>
            <w:rStyle w:val="Hyperlink"/>
          </w:rPr>
          <w:t>SmartTags part</w:t>
        </w:r>
      </w:hyperlink>
      <w:r>
        <w:t xml:space="preserve"> </w:t>
      </w:r>
      <w:r>
        <w:fldChar w:fldCharType="begin"/>
      </w:r>
      <w:r>
        <w:instrText>PAGEREF section_adb4ca1d99144d6aaf38755990ac9427</w:instrText>
      </w:r>
      <w:r>
        <w:fldChar w:fldCharType="separate"/>
      </w:r>
      <w:r>
        <w:rPr>
          <w:noProof/>
        </w:rPr>
        <w:t>844</w:t>
      </w:r>
      <w:r>
        <w:fldChar w:fldCharType="end"/>
      </w:r>
    </w:p>
    <w:p w:rsidR="00024C0A" w:rsidRDefault="00694C0F">
      <w:pPr>
        <w:pStyle w:val="indexentry0"/>
      </w:pPr>
      <w:hyperlink w:anchor="section_a7158173228147abbe714addd4682340">
        <w:r>
          <w:rPr>
            <w:rStyle w:val="Hyperlink"/>
          </w:rPr>
          <w:t>smartTagType (Smart Tag Type)</w:t>
        </w:r>
      </w:hyperlink>
      <w:r>
        <w:t xml:space="preserve"> </w:t>
      </w:r>
      <w:r>
        <w:fldChar w:fldCharType="begin"/>
      </w:r>
      <w:r>
        <w:instrText>PAGEREF section_a7158173228147abbe714addd4682340</w:instrText>
      </w:r>
      <w:r>
        <w:fldChar w:fldCharType="separate"/>
      </w:r>
      <w:r>
        <w:rPr>
          <w:noProof/>
        </w:rPr>
        <w:t>243</w:t>
      </w:r>
      <w:r>
        <w:fldChar w:fldCharType="end"/>
      </w:r>
    </w:p>
    <w:p w:rsidR="00024C0A" w:rsidRDefault="00694C0F">
      <w:pPr>
        <w:pStyle w:val="indexentry0"/>
      </w:pPr>
      <w:hyperlink w:anchor="section_c2dc42b5a40341a396fac6e15abbad03">
        <w:r>
          <w:rPr>
            <w:rStyle w:val="Hyperlink"/>
          </w:rPr>
          <w:t>smartTagType (Supplementary Smart Tag Information)</w:t>
        </w:r>
      </w:hyperlink>
      <w:r>
        <w:t xml:space="preserve"> </w:t>
      </w:r>
      <w:r>
        <w:fldChar w:fldCharType="begin"/>
      </w:r>
      <w:r>
        <w:instrText>PAGEREF section_c2dc42b5a40341a396fac6e15abbad03</w:instrText>
      </w:r>
      <w:r>
        <w:fldChar w:fldCharType="separate"/>
      </w:r>
      <w:r>
        <w:rPr>
          <w:noProof/>
        </w:rPr>
        <w:t>156</w:t>
      </w:r>
      <w:r>
        <w:fldChar w:fldCharType="end"/>
      </w:r>
    </w:p>
    <w:p w:rsidR="00024C0A" w:rsidRDefault="00694C0F">
      <w:pPr>
        <w:pStyle w:val="indexentry0"/>
      </w:pPr>
      <w:hyperlink w:anchor="section_bf9c45345d9846cabe7ea76543fce6a2">
        <w:r>
          <w:rPr>
            <w:rStyle w:val="Hyperlink"/>
          </w:rPr>
          <w:t>smartTagTypes (Smart Tag Types)</w:t>
        </w:r>
      </w:hyperlink>
      <w:r>
        <w:t xml:space="preserve"> </w:t>
      </w:r>
      <w:r>
        <w:fldChar w:fldCharType="begin"/>
      </w:r>
      <w:r>
        <w:instrText>PAGEREF section_bf9c45345d9846cabe7ea76543fce6a2</w:instrText>
      </w:r>
      <w:r>
        <w:fldChar w:fldCharType="separate"/>
      </w:r>
      <w:r>
        <w:rPr>
          <w:noProof/>
        </w:rPr>
        <w:t>243</w:t>
      </w:r>
      <w:r>
        <w:fldChar w:fldCharType="end"/>
      </w:r>
    </w:p>
    <w:p w:rsidR="00024C0A" w:rsidRDefault="00694C0F">
      <w:pPr>
        <w:pStyle w:val="indexentry0"/>
      </w:pPr>
      <w:hyperlink w:anchor="section_354bd69568784b22a0779ca05a74e0f0">
        <w:r>
          <w:rPr>
            <w:rStyle w:val="Hyperlink"/>
          </w:rPr>
          <w:t>softEdge (Soft Edge Effect)</w:t>
        </w:r>
      </w:hyperlink>
      <w:r>
        <w:t xml:space="preserve"> </w:t>
      </w:r>
      <w:r>
        <w:fldChar w:fldCharType="begin"/>
      </w:r>
      <w:r>
        <w:instrText>PAGEREF section_354bd69568784b22a0779ca05a74e0f0</w:instrText>
      </w:r>
      <w:r>
        <w:fldChar w:fldCharType="separate"/>
      </w:r>
      <w:r>
        <w:rPr>
          <w:noProof/>
        </w:rPr>
        <w:t>514</w:t>
      </w:r>
      <w:r>
        <w:fldChar w:fldCharType="end"/>
      </w:r>
    </w:p>
    <w:p w:rsidR="00024C0A" w:rsidRDefault="00694C0F">
      <w:pPr>
        <w:pStyle w:val="indexentry0"/>
      </w:pPr>
      <w:hyperlink w:anchor="section_d6773131ba494bed82b8d8cdb7fe0ea3">
        <w:r>
          <w:rPr>
            <w:rStyle w:val="Hyperlink"/>
          </w:rPr>
          <w:t>sortByTuple (Sort By Tuple)</w:t>
        </w:r>
      </w:hyperlink>
      <w:r>
        <w:t xml:space="preserve"> </w:t>
      </w:r>
      <w:r>
        <w:fldChar w:fldCharType="begin"/>
      </w:r>
      <w:r>
        <w:instrText>PAGEREF section_d6773131ba494bed82b8d8cdb7fe0ea3</w:instrText>
      </w:r>
      <w:r>
        <w:fldChar w:fldCharType="separate"/>
      </w:r>
      <w:r>
        <w:rPr>
          <w:noProof/>
        </w:rPr>
        <w:t>365</w:t>
      </w:r>
      <w:r>
        <w:fldChar w:fldCharType="end"/>
      </w:r>
    </w:p>
    <w:p w:rsidR="00024C0A" w:rsidRDefault="00694C0F">
      <w:pPr>
        <w:pStyle w:val="indexentry0"/>
      </w:pPr>
      <w:hyperlink w:anchor="section_b9ae079aa7a545a9ae7e870aa96b5f84">
        <w:r>
          <w:rPr>
            <w:rStyle w:val="Hyperlink"/>
          </w:rPr>
          <w:t>sortCondition (Sort Condition)</w:t>
        </w:r>
      </w:hyperlink>
      <w:r>
        <w:t xml:space="preserve"> </w:t>
      </w:r>
      <w:r>
        <w:fldChar w:fldCharType="begin"/>
      </w:r>
      <w:r>
        <w:instrText>PAGEREF section_b9ae079</w:instrText>
      </w:r>
      <w:r>
        <w:instrText>aa7a545a9ae7e870aa96b5f84</w:instrText>
      </w:r>
      <w:r>
        <w:fldChar w:fldCharType="separate"/>
      </w:r>
      <w:r>
        <w:rPr>
          <w:noProof/>
        </w:rPr>
        <w:t>285</w:t>
      </w:r>
      <w:r>
        <w:fldChar w:fldCharType="end"/>
      </w:r>
    </w:p>
    <w:p w:rsidR="00024C0A" w:rsidRDefault="00694C0F">
      <w:pPr>
        <w:pStyle w:val="indexentry0"/>
      </w:pPr>
      <w:hyperlink w:anchor="section_e69cb44829e64c02bc6be920b0c46513">
        <w:r>
          <w:rPr>
            <w:rStyle w:val="Hyperlink"/>
          </w:rPr>
          <w:t>Sortmap Elements</w:t>
        </w:r>
      </w:hyperlink>
      <w:r>
        <w:t xml:space="preserve"> </w:t>
      </w:r>
      <w:r>
        <w:fldChar w:fldCharType="begin"/>
      </w:r>
      <w:r>
        <w:instrText>PAGEREF section_e69cb44829e64c02bc6be920b0c46513</w:instrText>
      </w:r>
      <w:r>
        <w:fldChar w:fldCharType="separate"/>
      </w:r>
      <w:r>
        <w:rPr>
          <w:noProof/>
        </w:rPr>
        <w:t>831</w:t>
      </w:r>
      <w:r>
        <w:fldChar w:fldCharType="end"/>
      </w:r>
    </w:p>
    <w:p w:rsidR="00024C0A" w:rsidRDefault="00694C0F">
      <w:pPr>
        <w:pStyle w:val="indexentry0"/>
      </w:pPr>
      <w:hyperlink w:anchor="section_a7912fd83e8349008cef9ea6d8cc6856">
        <w:r>
          <w:rPr>
            <w:rStyle w:val="Hyperlink"/>
          </w:rPr>
          <w:t>Source (Source)</w:t>
        </w:r>
      </w:hyperlink>
      <w:r>
        <w:t xml:space="preserve"> </w:t>
      </w:r>
      <w:r>
        <w:fldChar w:fldCharType="begin"/>
      </w:r>
      <w:r>
        <w:instrText>PAGEREF section_</w:instrText>
      </w:r>
      <w:r>
        <w:instrText>a7912fd83e8349008cef9ea6d8cc6856</w:instrText>
      </w:r>
      <w:r>
        <w:fldChar w:fldCharType="separate"/>
      </w:r>
      <w:r>
        <w:rPr>
          <w:noProof/>
        </w:rPr>
        <w:t>609</w:t>
      </w:r>
      <w:r>
        <w:fldChar w:fldCharType="end"/>
      </w:r>
    </w:p>
    <w:p w:rsidR="00024C0A" w:rsidRDefault="00694C0F">
      <w:pPr>
        <w:pStyle w:val="indexentry0"/>
      </w:pPr>
      <w:hyperlink w:anchor="section_0dc4313ba3e341f796ff723d68d0e725">
        <w:r>
          <w:rPr>
            <w:rStyle w:val="Hyperlink"/>
          </w:rPr>
          <w:t>sourceFileName (Source File for Frame)</w:t>
        </w:r>
      </w:hyperlink>
      <w:r>
        <w:t xml:space="preserve"> </w:t>
      </w:r>
      <w:r>
        <w:fldChar w:fldCharType="begin"/>
      </w:r>
      <w:r>
        <w:instrText>PAGEREF section_0dc4313ba3e341f796ff723d68d0e725</w:instrText>
      </w:r>
      <w:r>
        <w:fldChar w:fldCharType="separate"/>
      </w:r>
      <w:r>
        <w:rPr>
          <w:noProof/>
        </w:rPr>
        <w:t>162</w:t>
      </w:r>
      <w:r>
        <w:fldChar w:fldCharType="end"/>
      </w:r>
    </w:p>
    <w:p w:rsidR="00024C0A" w:rsidRDefault="00694C0F">
      <w:pPr>
        <w:pStyle w:val="indexentry0"/>
      </w:pPr>
      <w:r>
        <w:t>sp (Shape) (</w:t>
      </w:r>
      <w:hyperlink w:anchor="section_50d51c6ff4084539a65649f1968204a3">
        <w:r>
          <w:rPr>
            <w:rStyle w:val="Hyperlink"/>
          </w:rPr>
          <w:t>section 2.1.1366</w:t>
        </w:r>
      </w:hyperlink>
      <w:r>
        <w:t xml:space="preserve"> </w:t>
      </w:r>
      <w:r>
        <w:fldChar w:fldCharType="begin"/>
      </w:r>
      <w:r>
        <w:instrText>PAGEREF section_50d51c6ff4084539a65649f1968204a3</w:instrText>
      </w:r>
      <w:r>
        <w:fldChar w:fldCharType="separate"/>
      </w:r>
      <w:r>
        <w:rPr>
          <w:noProof/>
        </w:rPr>
        <w:t>524</w:t>
      </w:r>
      <w:r>
        <w:fldChar w:fldCharType="end"/>
      </w:r>
      <w:r>
        <w:t xml:space="preserve">, </w:t>
      </w:r>
      <w:hyperlink w:anchor="section_4ec82f3297324a2abad00c477260a627">
        <w:r>
          <w:rPr>
            <w:rStyle w:val="Hyperlink"/>
          </w:rPr>
          <w:t>section 2.1.1603</w:t>
        </w:r>
      </w:hyperlink>
      <w:r>
        <w:t xml:space="preserve"> </w:t>
      </w:r>
      <w:r>
        <w:fldChar w:fldCharType="begin"/>
      </w:r>
      <w:r>
        <w:instrText>PAGEREF section_4ec82f3297324a2abad00c477260a627</w:instrText>
      </w:r>
      <w:r>
        <w:fldChar w:fldCharType="separate"/>
      </w:r>
      <w:r>
        <w:rPr>
          <w:noProof/>
        </w:rPr>
        <w:t>578</w:t>
      </w:r>
      <w:r>
        <w:fldChar w:fldCharType="end"/>
      </w:r>
      <w:r>
        <w:t>)</w:t>
      </w:r>
    </w:p>
    <w:p w:rsidR="00024C0A" w:rsidRDefault="00694C0F">
      <w:pPr>
        <w:pStyle w:val="indexentry0"/>
      </w:pPr>
      <w:hyperlink w:anchor="section_b22cec63a18c4f6e95c808b1831a0a7c">
        <w:r>
          <w:rPr>
            <w:rStyle w:val="Hyperlink"/>
          </w:rPr>
          <w:t>sp3d (3-D Shape Properties)</w:t>
        </w:r>
      </w:hyperlink>
      <w:r>
        <w:t xml:space="preserve"> </w:t>
      </w:r>
      <w:r>
        <w:fldChar w:fldCharType="begin"/>
      </w:r>
      <w:r>
        <w:instrText>PAGEREF section_b22cec63a18c4f6e95c808b1831a0a7c</w:instrText>
      </w:r>
      <w:r>
        <w:fldChar w:fldCharType="separate"/>
      </w:r>
      <w:r>
        <w:rPr>
          <w:noProof/>
        </w:rPr>
        <w:t>583</w:t>
      </w:r>
      <w:r>
        <w:fldChar w:fldCharType="end"/>
      </w:r>
    </w:p>
    <w:p w:rsidR="00024C0A" w:rsidRDefault="00694C0F">
      <w:pPr>
        <w:pStyle w:val="indexentry0"/>
      </w:pPr>
      <w:hyperlink w:anchor="section_d44e6f9209a94d8bb8c75220c6c85203">
        <w:r>
          <w:rPr>
            <w:rStyle w:val="Hyperlink"/>
          </w:rPr>
          <w:t>sp3d (Apply 3D shape properties)</w:t>
        </w:r>
      </w:hyperlink>
      <w:r>
        <w:t xml:space="preserve"> </w:t>
      </w:r>
      <w:r>
        <w:fldChar w:fldCharType="begin"/>
      </w:r>
      <w:r>
        <w:instrText>PAGEREF section_d</w:instrText>
      </w:r>
      <w:r>
        <w:instrText>44e6f9209a94d8bb8c75220c6c85203</w:instrText>
      </w:r>
      <w:r>
        <w:fldChar w:fldCharType="separate"/>
      </w:r>
      <w:r>
        <w:rPr>
          <w:noProof/>
        </w:rPr>
        <w:t>507</w:t>
      </w:r>
      <w:r>
        <w:fldChar w:fldCharType="end"/>
      </w:r>
    </w:p>
    <w:p w:rsidR="00024C0A" w:rsidRDefault="00694C0F">
      <w:pPr>
        <w:pStyle w:val="indexentry0"/>
      </w:pPr>
      <w:hyperlink w:anchor="section_7f709c81c04a4a1fa5b55ffbe94268a5">
        <w:r>
          <w:rPr>
            <w:rStyle w:val="Hyperlink"/>
          </w:rPr>
          <w:t>spacing (Character Spacing Adjustment)</w:t>
        </w:r>
      </w:hyperlink>
      <w:r>
        <w:t xml:space="preserve"> </w:t>
      </w:r>
      <w:r>
        <w:fldChar w:fldCharType="begin"/>
      </w:r>
      <w:r>
        <w:instrText>PAGEREF section_7f709c81c04a4a1fa5b55ffbe94268a5</w:instrText>
      </w:r>
      <w:r>
        <w:fldChar w:fldCharType="separate"/>
      </w:r>
      <w:r>
        <w:rPr>
          <w:noProof/>
        </w:rPr>
        <w:t>77</w:t>
      </w:r>
      <w:r>
        <w:fldChar w:fldCharType="end"/>
      </w:r>
    </w:p>
    <w:p w:rsidR="00024C0A" w:rsidRDefault="00694C0F">
      <w:pPr>
        <w:pStyle w:val="indexentry0"/>
      </w:pPr>
      <w:hyperlink w:anchor="section_264a013981744574b20dab778e770931">
        <w:r>
          <w:rPr>
            <w:rStyle w:val="Hyperlink"/>
          </w:rPr>
          <w:t>spacin</w:t>
        </w:r>
        <w:r>
          <w:rPr>
            <w:rStyle w:val="Hyperlink"/>
          </w:rPr>
          <w:t>g (Spacing Between Lines and Above/Below Paragraph)</w:t>
        </w:r>
      </w:hyperlink>
      <w:r>
        <w:t xml:space="preserve"> </w:t>
      </w:r>
      <w:r>
        <w:fldChar w:fldCharType="begin"/>
      </w:r>
      <w:r>
        <w:instrText>PAGEREF section_264a013981744574b20dab778e770931</w:instrText>
      </w:r>
      <w:r>
        <w:fldChar w:fldCharType="separate"/>
      </w:r>
      <w:r>
        <w:rPr>
          <w:noProof/>
        </w:rPr>
        <w:t>66</w:t>
      </w:r>
      <w:r>
        <w:fldChar w:fldCharType="end"/>
      </w:r>
    </w:p>
    <w:p w:rsidR="00024C0A" w:rsidRDefault="00694C0F">
      <w:pPr>
        <w:pStyle w:val="indexentry0"/>
      </w:pPr>
      <w:hyperlink w:anchor="section_ed53fa9e9351449da926f994efb77a57">
        <w:r>
          <w:rPr>
            <w:rStyle w:val="Hyperlink"/>
          </w:rPr>
          <w:t>spAutoFit (Shape AutoFit)</w:t>
        </w:r>
      </w:hyperlink>
      <w:r>
        <w:t xml:space="preserve"> </w:t>
      </w:r>
      <w:r>
        <w:fldChar w:fldCharType="begin"/>
      </w:r>
      <w:r>
        <w:instrText>PAGEREF section_ed53fa9e9351449da926f994efb77a57</w:instrText>
      </w:r>
      <w:r>
        <w:fldChar w:fldCharType="separate"/>
      </w:r>
      <w:r>
        <w:rPr>
          <w:noProof/>
        </w:rPr>
        <w:t>527</w:t>
      </w:r>
      <w:r>
        <w:fldChar w:fldCharType="end"/>
      </w:r>
    </w:p>
    <w:p w:rsidR="00024C0A" w:rsidRDefault="00694C0F">
      <w:pPr>
        <w:pStyle w:val="indexentry0"/>
      </w:pPr>
      <w:hyperlink w:anchor="section_3b7a30185a6447d6b61afac31f921cd5">
        <w:r>
          <w:rPr>
            <w:rStyle w:val="Hyperlink"/>
          </w:rPr>
          <w:t>spcAft (Space After)</w:t>
        </w:r>
      </w:hyperlink>
      <w:r>
        <w:t xml:space="preserve"> </w:t>
      </w:r>
      <w:r>
        <w:fldChar w:fldCharType="begin"/>
      </w:r>
      <w:r>
        <w:instrText>PAGEREF section_3b7a30185a6447d6b61afac31f921cd5</w:instrText>
      </w:r>
      <w:r>
        <w:fldChar w:fldCharType="separate"/>
      </w:r>
      <w:r>
        <w:rPr>
          <w:noProof/>
        </w:rPr>
        <w:t>530</w:t>
      </w:r>
      <w:r>
        <w:fldChar w:fldCharType="end"/>
      </w:r>
    </w:p>
    <w:p w:rsidR="00024C0A" w:rsidRDefault="00694C0F">
      <w:pPr>
        <w:pStyle w:val="indexentry0"/>
      </w:pPr>
      <w:hyperlink w:anchor="section_8f2f2352b15c4cea8df4df014e163284">
        <w:r>
          <w:rPr>
            <w:rStyle w:val="Hyperlink"/>
          </w:rPr>
          <w:t>spcBef (Space Before)</w:t>
        </w:r>
      </w:hyperlink>
      <w:r>
        <w:t xml:space="preserve"> </w:t>
      </w:r>
      <w:r>
        <w:fldChar w:fldCharType="begin"/>
      </w:r>
      <w:r>
        <w:instrText>PAGEREF section_8f2f2352b15c4cea8df</w:instrText>
      </w:r>
      <w:r>
        <w:instrText>4df014e163284</w:instrText>
      </w:r>
      <w:r>
        <w:fldChar w:fldCharType="separate"/>
      </w:r>
      <w:r>
        <w:rPr>
          <w:noProof/>
        </w:rPr>
        <w:t>530</w:t>
      </w:r>
      <w:r>
        <w:fldChar w:fldCharType="end"/>
      </w:r>
    </w:p>
    <w:p w:rsidR="00024C0A" w:rsidRDefault="00694C0F">
      <w:pPr>
        <w:pStyle w:val="indexentry0"/>
      </w:pPr>
      <w:hyperlink w:anchor="section_615c948905fc4c5bb961b56461c8ce69">
        <w:r>
          <w:rPr>
            <w:rStyle w:val="Hyperlink"/>
          </w:rPr>
          <w:t>spcPct (Spacing Percent)</w:t>
        </w:r>
      </w:hyperlink>
      <w:r>
        <w:t xml:space="preserve"> </w:t>
      </w:r>
      <w:r>
        <w:fldChar w:fldCharType="begin"/>
      </w:r>
      <w:r>
        <w:instrText>PAGEREF section_615c948905fc4c5bb961b56461c8ce69</w:instrText>
      </w:r>
      <w:r>
        <w:fldChar w:fldCharType="separate"/>
      </w:r>
      <w:r>
        <w:rPr>
          <w:noProof/>
        </w:rPr>
        <w:t>531</w:t>
      </w:r>
      <w:r>
        <w:fldChar w:fldCharType="end"/>
      </w:r>
    </w:p>
    <w:p w:rsidR="00024C0A" w:rsidRDefault="00694C0F">
      <w:pPr>
        <w:pStyle w:val="indexentry0"/>
      </w:pPr>
      <w:hyperlink w:anchor="section_d5de3ae0d0e448b28cfc1a250eb30ac4">
        <w:r>
          <w:rPr>
            <w:rStyle w:val="Hyperlink"/>
          </w:rPr>
          <w:t>specVanish (Paragraph Mark Is Always H</w:t>
        </w:r>
        <w:r>
          <w:rPr>
            <w:rStyle w:val="Hyperlink"/>
          </w:rPr>
          <w:t>idden)</w:t>
        </w:r>
      </w:hyperlink>
      <w:r>
        <w:t xml:space="preserve"> </w:t>
      </w:r>
      <w:r>
        <w:fldChar w:fldCharType="begin"/>
      </w:r>
      <w:r>
        <w:instrText>PAGEREF section_d5de3ae0d0e448b28cfc1a250eb30ac4</w:instrText>
      </w:r>
      <w:r>
        <w:fldChar w:fldCharType="separate"/>
      </w:r>
      <w:r>
        <w:rPr>
          <w:noProof/>
        </w:rPr>
        <w:t>78</w:t>
      </w:r>
      <w:r>
        <w:fldChar w:fldCharType="end"/>
      </w:r>
    </w:p>
    <w:p w:rsidR="00024C0A" w:rsidRDefault="00694C0F">
      <w:pPr>
        <w:pStyle w:val="indexentry0"/>
      </w:pPr>
      <w:hyperlink w:anchor="section_002a323721c5425f83521a108d5bc7bb">
        <w:r>
          <w:rPr>
            <w:rStyle w:val="Hyperlink"/>
          </w:rPr>
          <w:t>splitPos (Split Position)</w:t>
        </w:r>
      </w:hyperlink>
      <w:r>
        <w:t xml:space="preserve"> </w:t>
      </w:r>
      <w:r>
        <w:fldChar w:fldCharType="begin"/>
      </w:r>
      <w:r>
        <w:instrText>PAGEREF section_002a323721c5425f83521a108d5bc7bb</w:instrText>
      </w:r>
      <w:r>
        <w:fldChar w:fldCharType="separate"/>
      </w:r>
      <w:r>
        <w:rPr>
          <w:noProof/>
        </w:rPr>
        <w:t>567</w:t>
      </w:r>
      <w:r>
        <w:fldChar w:fldCharType="end"/>
      </w:r>
    </w:p>
    <w:p w:rsidR="00024C0A" w:rsidRDefault="00694C0F">
      <w:pPr>
        <w:pStyle w:val="indexentry0"/>
      </w:pPr>
      <w:hyperlink w:anchor="section_48975c4658444ebf8217dcf06ae04755">
        <w:r>
          <w:rPr>
            <w:rStyle w:val="Hyperlink"/>
          </w:rPr>
          <w:t>splitType (Split Type)</w:t>
        </w:r>
      </w:hyperlink>
      <w:r>
        <w:t xml:space="preserve"> </w:t>
      </w:r>
      <w:r>
        <w:fldChar w:fldCharType="begin"/>
      </w:r>
      <w:r>
        <w:instrText>PAGEREF section_48975c4658444ebf8217dcf06ae04755</w:instrText>
      </w:r>
      <w:r>
        <w:fldChar w:fldCharType="separate"/>
      </w:r>
      <w:r>
        <w:rPr>
          <w:noProof/>
        </w:rPr>
        <w:t>567</w:t>
      </w:r>
      <w:r>
        <w:fldChar w:fldCharType="end"/>
      </w:r>
    </w:p>
    <w:p w:rsidR="00024C0A" w:rsidRDefault="00694C0F">
      <w:pPr>
        <w:pStyle w:val="indexentry0"/>
      </w:pPr>
      <w:hyperlink w:anchor="section_26a003a89aa34f9794059a41ececf014">
        <w:r>
          <w:rPr>
            <w:rStyle w:val="Hyperlink"/>
          </w:rPr>
          <w:t>spLocks (Shape Locks)</w:t>
        </w:r>
      </w:hyperlink>
      <w:r>
        <w:t xml:space="preserve"> </w:t>
      </w:r>
      <w:r>
        <w:fldChar w:fldCharType="begin"/>
      </w:r>
      <w:r>
        <w:instrText>PAGEREF section_26a003a89aa34f979</w:instrText>
      </w:r>
      <w:r>
        <w:instrText>4059a41ececf014</w:instrText>
      </w:r>
      <w:r>
        <w:fldChar w:fldCharType="separate"/>
      </w:r>
      <w:r>
        <w:rPr>
          <w:noProof/>
        </w:rPr>
        <w:t>497</w:t>
      </w:r>
      <w:r>
        <w:fldChar w:fldCharType="end"/>
      </w:r>
    </w:p>
    <w:p w:rsidR="00024C0A" w:rsidRDefault="00694C0F">
      <w:pPr>
        <w:pStyle w:val="indexentry0"/>
      </w:pPr>
      <w:r>
        <w:t>spPr (Shape Properties) (</w:t>
      </w:r>
      <w:hyperlink w:anchor="section_72be4c606c0f4d7f9876c9aef5af30a5">
        <w:r>
          <w:rPr>
            <w:rStyle w:val="Hyperlink"/>
          </w:rPr>
          <w:t>section 2.1.1128</w:t>
        </w:r>
      </w:hyperlink>
      <w:r>
        <w:t xml:space="preserve"> </w:t>
      </w:r>
      <w:r>
        <w:fldChar w:fldCharType="begin"/>
      </w:r>
      <w:r>
        <w:instrText>PAGEREF section_72be4c606c0f4d7f9876c9aef5af30a5</w:instrText>
      </w:r>
      <w:r>
        <w:fldChar w:fldCharType="separate"/>
      </w:r>
      <w:r>
        <w:rPr>
          <w:noProof/>
        </w:rPr>
        <w:t>468</w:t>
      </w:r>
      <w:r>
        <w:fldChar w:fldCharType="end"/>
      </w:r>
      <w:r>
        <w:t xml:space="preserve">, </w:t>
      </w:r>
      <w:hyperlink w:anchor="section_d91dc0a3157d4a179945f4226b94b9e8">
        <w:r>
          <w:rPr>
            <w:rStyle w:val="Hyperlink"/>
          </w:rPr>
          <w:t>section 2.1.1214</w:t>
        </w:r>
      </w:hyperlink>
      <w:r>
        <w:t xml:space="preserve"> </w:t>
      </w:r>
      <w:r>
        <w:fldChar w:fldCharType="begin"/>
      </w:r>
      <w:r>
        <w:instrText>PAGEREF section_d91dc0a3157d4a179945f4226b94b9e8</w:instrText>
      </w:r>
      <w:r>
        <w:fldChar w:fldCharType="separate"/>
      </w:r>
      <w:r>
        <w:rPr>
          <w:noProof/>
        </w:rPr>
        <w:t>497</w:t>
      </w:r>
      <w:r>
        <w:fldChar w:fldCharType="end"/>
      </w:r>
      <w:r>
        <w:t xml:space="preserve">, </w:t>
      </w:r>
      <w:hyperlink w:anchor="section_45cb497a7eb64efcb9e97b4aa967b7ea">
        <w:r>
          <w:rPr>
            <w:rStyle w:val="Hyperlink"/>
          </w:rPr>
          <w:t>section 2.1.1343</w:t>
        </w:r>
      </w:hyperlink>
      <w:r>
        <w:t xml:space="preserve"> </w:t>
      </w:r>
      <w:r>
        <w:fldChar w:fldCharType="begin"/>
      </w:r>
      <w:r>
        <w:instrText>PAGEREF section_45cb497a7eb64efcb9e97b4aa967b7ea</w:instrText>
      </w:r>
      <w:r>
        <w:fldChar w:fldCharType="separate"/>
      </w:r>
      <w:r>
        <w:rPr>
          <w:noProof/>
        </w:rPr>
        <w:t>521</w:t>
      </w:r>
      <w:r>
        <w:fldChar w:fldCharType="end"/>
      </w:r>
      <w:r>
        <w:t xml:space="preserve">, </w:t>
      </w:r>
      <w:hyperlink w:anchor="section_a10c455e7a6e44c5bf8cfb7c2b3e2eac">
        <w:r>
          <w:rPr>
            <w:rStyle w:val="Hyperlink"/>
          </w:rPr>
          <w:t xml:space="preserve">section </w:t>
        </w:r>
        <w:r>
          <w:rPr>
            <w:rStyle w:val="Hyperlink"/>
          </w:rPr>
          <w:t>2.1.1367</w:t>
        </w:r>
      </w:hyperlink>
      <w:r>
        <w:t xml:space="preserve"> </w:t>
      </w:r>
      <w:r>
        <w:fldChar w:fldCharType="begin"/>
      </w:r>
      <w:r>
        <w:instrText>PAGEREF section_a10c455e7a6e44c5bf8cfb7c2b3e2eac</w:instrText>
      </w:r>
      <w:r>
        <w:fldChar w:fldCharType="separate"/>
      </w:r>
      <w:r>
        <w:rPr>
          <w:noProof/>
        </w:rPr>
        <w:t>525</w:t>
      </w:r>
      <w:r>
        <w:fldChar w:fldCharType="end"/>
      </w:r>
      <w:r>
        <w:t xml:space="preserve">, </w:t>
      </w:r>
      <w:hyperlink w:anchor="section_efeb511d32754e5da51804bd555d9540">
        <w:r>
          <w:rPr>
            <w:rStyle w:val="Hyperlink"/>
          </w:rPr>
          <w:t>section 2.1.1549</w:t>
        </w:r>
      </w:hyperlink>
      <w:r>
        <w:t xml:space="preserve"> </w:t>
      </w:r>
      <w:r>
        <w:fldChar w:fldCharType="begin"/>
      </w:r>
      <w:r>
        <w:instrText>PAGEREF section_efeb511d32754e5da51804bd555d9540</w:instrText>
      </w:r>
      <w:r>
        <w:fldChar w:fldCharType="separate"/>
      </w:r>
      <w:r>
        <w:rPr>
          <w:noProof/>
        </w:rPr>
        <w:t>568</w:t>
      </w:r>
      <w:r>
        <w:fldChar w:fldCharType="end"/>
      </w:r>
      <w:r>
        <w:t xml:space="preserve">, </w:t>
      </w:r>
      <w:hyperlink w:anchor="section_c14c0a475e6f425d83789cf35dda1e2c">
        <w:r>
          <w:rPr>
            <w:rStyle w:val="Hyperlink"/>
          </w:rPr>
          <w:t>section 2.1.1604</w:t>
        </w:r>
      </w:hyperlink>
      <w:r>
        <w:t xml:space="preserve"> </w:t>
      </w:r>
      <w:r>
        <w:fldChar w:fldCharType="begin"/>
      </w:r>
      <w:r>
        <w:instrText>PAGEREF section_c14c0a475e6f425d83789cf35dda1e2c</w:instrText>
      </w:r>
      <w:r>
        <w:fldChar w:fldCharType="separate"/>
      </w:r>
      <w:r>
        <w:rPr>
          <w:noProof/>
        </w:rPr>
        <w:t>579</w:t>
      </w:r>
      <w:r>
        <w:fldChar w:fldCharType="end"/>
      </w:r>
      <w:r>
        <w:t xml:space="preserve">, </w:t>
      </w:r>
      <w:hyperlink w:anchor="section_18c455a3df65485ab55a1602f38c668d">
        <w:r>
          <w:rPr>
            <w:rStyle w:val="Hyperlink"/>
          </w:rPr>
          <w:t>section 2.1.1620</w:t>
        </w:r>
      </w:hyperlink>
      <w:r>
        <w:t xml:space="preserve"> </w:t>
      </w:r>
      <w:r>
        <w:fldChar w:fldCharType="begin"/>
      </w:r>
      <w:r>
        <w:instrText>PAGEREF section_18c455a3df65485ab55a1602f38c668d</w:instrText>
      </w:r>
      <w:r>
        <w:fldChar w:fldCharType="separate"/>
      </w:r>
      <w:r>
        <w:rPr>
          <w:noProof/>
        </w:rPr>
        <w:t>582</w:t>
      </w:r>
      <w:r>
        <w:fldChar w:fldCharType="end"/>
      </w:r>
      <w:r>
        <w:t>)</w:t>
      </w:r>
    </w:p>
    <w:p w:rsidR="00024C0A" w:rsidRDefault="00694C0F">
      <w:pPr>
        <w:pStyle w:val="indexentry0"/>
      </w:pPr>
      <w:hyperlink w:anchor="section_5d08490d1634418e91bc0d199b9f9214">
        <w:r>
          <w:rPr>
            <w:rStyle w:val="Hyperlink"/>
          </w:rPr>
          <w:t>sPre (Pre-Sub-Superscript Object)</w:t>
        </w:r>
      </w:hyperlink>
      <w:r>
        <w:t xml:space="preserve"> </w:t>
      </w:r>
      <w:r>
        <w:fldChar w:fldCharType="begin"/>
      </w:r>
      <w:r>
        <w:instrText>PAGEREF section_5d08490d1634418e91bc0d199b9f9214</w:instrText>
      </w:r>
      <w:r>
        <w:fldChar w:fldCharType="separate"/>
      </w:r>
      <w:r>
        <w:rPr>
          <w:noProof/>
        </w:rPr>
        <w:t>600</w:t>
      </w:r>
      <w:r>
        <w:fldChar w:fldCharType="end"/>
      </w:r>
    </w:p>
    <w:p w:rsidR="00024C0A" w:rsidRDefault="00694C0F">
      <w:pPr>
        <w:pStyle w:val="indexentry0"/>
      </w:pPr>
      <w:hyperlink w:anchor="section_894705b6965549e3a6c654600f99f7f4">
        <w:r>
          <w:rPr>
            <w:rStyle w:val="Hyperlink"/>
          </w:rPr>
          <w:t>spTgt (Shape Target)</w:t>
        </w:r>
      </w:hyperlink>
      <w:r>
        <w:t xml:space="preserve"> </w:t>
      </w:r>
      <w:r>
        <w:fldChar w:fldCharType="begin"/>
      </w:r>
      <w:r>
        <w:instrText>PAGEREF section_894705b6965549e3a6c654600f99f7f4</w:instrText>
      </w:r>
      <w:r>
        <w:fldChar w:fldCharType="separate"/>
      </w:r>
      <w:r>
        <w:rPr>
          <w:noProof/>
        </w:rPr>
        <w:t>484</w:t>
      </w:r>
      <w:r>
        <w:fldChar w:fldCharType="end"/>
      </w:r>
    </w:p>
    <w:p w:rsidR="00024C0A" w:rsidRDefault="00694C0F">
      <w:pPr>
        <w:pStyle w:val="indexentry0"/>
      </w:pPr>
      <w:hyperlink w:anchor="section_b024812a26b24c69b7f74a056ac257f0">
        <w:r>
          <w:rPr>
            <w:rStyle w:val="Hyperlink"/>
          </w:rPr>
          <w:t>src (ODSO Data Source File Path)</w:t>
        </w:r>
      </w:hyperlink>
      <w:r>
        <w:t xml:space="preserve"> </w:t>
      </w:r>
      <w:r>
        <w:fldChar w:fldCharType="begin"/>
      </w:r>
      <w:r>
        <w:instrText>PAGEREF section_b024812a26b24c69b7f74a056ac257f0</w:instrText>
      </w:r>
      <w:r>
        <w:fldChar w:fldCharType="separate"/>
      </w:r>
      <w:r>
        <w:rPr>
          <w:noProof/>
        </w:rPr>
        <w:t>145</w:t>
      </w:r>
      <w:r>
        <w:fldChar w:fldCharType="end"/>
      </w:r>
    </w:p>
    <w:p w:rsidR="00024C0A" w:rsidRDefault="00694C0F">
      <w:pPr>
        <w:pStyle w:val="indexentry0"/>
      </w:pPr>
      <w:hyperlink w:anchor="section_842903c3c1f045718bcf1b28677dea13">
        <w:r>
          <w:rPr>
            <w:rStyle w:val="Hyperlink"/>
          </w:rPr>
          <w:t>srcRect (Source Rectangle)</w:t>
        </w:r>
      </w:hyperlink>
      <w:r>
        <w:t xml:space="preserve"> </w:t>
      </w:r>
      <w:r>
        <w:fldChar w:fldCharType="begin"/>
      </w:r>
      <w:r>
        <w:instrText>PAGEREF section_84</w:instrText>
      </w:r>
      <w:r>
        <w:instrText>2903c3c1f045718bcf1b28677dea13</w:instrText>
      </w:r>
      <w:r>
        <w:fldChar w:fldCharType="separate"/>
      </w:r>
      <w:r>
        <w:rPr>
          <w:noProof/>
        </w:rPr>
        <w:t>514</w:t>
      </w:r>
      <w:r>
        <w:fldChar w:fldCharType="end"/>
      </w:r>
    </w:p>
    <w:p w:rsidR="00024C0A" w:rsidRDefault="00694C0F">
      <w:pPr>
        <w:pStyle w:val="indexentry0"/>
      </w:pPr>
      <w:hyperlink w:anchor="section_4e99ac5e199d4c0cab34198ab8fbbeba">
        <w:r>
          <w:rPr>
            <w:rStyle w:val="Hyperlink"/>
          </w:rPr>
          <w:t>sst (Shared String Table)</w:t>
        </w:r>
      </w:hyperlink>
      <w:r>
        <w:t xml:space="preserve"> </w:t>
      </w:r>
      <w:r>
        <w:fldChar w:fldCharType="begin"/>
      </w:r>
      <w:r>
        <w:instrText>PAGEREF section_4e99ac5e199d4c0cab34198ab8fbbeba</w:instrText>
      </w:r>
      <w:r>
        <w:fldChar w:fldCharType="separate"/>
      </w:r>
      <w:r>
        <w:rPr>
          <w:noProof/>
        </w:rPr>
        <w:t>289</w:t>
      </w:r>
      <w:r>
        <w:fldChar w:fldCharType="end"/>
      </w:r>
    </w:p>
    <w:p w:rsidR="00024C0A" w:rsidRDefault="00694C0F">
      <w:pPr>
        <w:pStyle w:val="indexentry0"/>
      </w:pPr>
      <w:hyperlink w:anchor="section_e4d7226e1e594d938584a0cf82efcda7">
        <w:r>
          <w:rPr>
            <w:rStyle w:val="Hyperlink"/>
          </w:rPr>
          <w:t>sSub (Subscript Obje</w:t>
        </w:r>
        <w:r>
          <w:rPr>
            <w:rStyle w:val="Hyperlink"/>
          </w:rPr>
          <w:t>ct)</w:t>
        </w:r>
      </w:hyperlink>
      <w:r>
        <w:t xml:space="preserve"> </w:t>
      </w:r>
      <w:r>
        <w:fldChar w:fldCharType="begin"/>
      </w:r>
      <w:r>
        <w:instrText>PAGEREF section_e4d7226e1e594d938584a0cf82efcda7</w:instrText>
      </w:r>
      <w:r>
        <w:fldChar w:fldCharType="separate"/>
      </w:r>
      <w:r>
        <w:rPr>
          <w:noProof/>
        </w:rPr>
        <w:t>600</w:t>
      </w:r>
      <w:r>
        <w:fldChar w:fldCharType="end"/>
      </w:r>
    </w:p>
    <w:p w:rsidR="00024C0A" w:rsidRDefault="00694C0F">
      <w:pPr>
        <w:pStyle w:val="indexentry0"/>
      </w:pPr>
      <w:hyperlink w:anchor="section_892ccdb9e60547a68bde8fbaf14405f8">
        <w:r>
          <w:rPr>
            <w:rStyle w:val="Hyperlink"/>
          </w:rPr>
          <w:t>sSubSup (Sub-Superscript Object)</w:t>
        </w:r>
      </w:hyperlink>
      <w:r>
        <w:t xml:space="preserve"> </w:t>
      </w:r>
      <w:r>
        <w:fldChar w:fldCharType="begin"/>
      </w:r>
      <w:r>
        <w:instrText>PAGEREF section_892ccdb9e60547a68bde8fbaf14405f8</w:instrText>
      </w:r>
      <w:r>
        <w:fldChar w:fldCharType="separate"/>
      </w:r>
      <w:r>
        <w:rPr>
          <w:noProof/>
        </w:rPr>
        <w:t>600</w:t>
      </w:r>
      <w:r>
        <w:fldChar w:fldCharType="end"/>
      </w:r>
    </w:p>
    <w:p w:rsidR="00024C0A" w:rsidRDefault="00694C0F">
      <w:pPr>
        <w:pStyle w:val="indexentry0"/>
      </w:pPr>
      <w:hyperlink w:anchor="section_6557a17b3c784aa78ec1397591c9bcb3">
        <w:r>
          <w:rPr>
            <w:rStyle w:val="Hyperlink"/>
          </w:rPr>
          <w:t>sSup (Superscript Object)</w:t>
        </w:r>
      </w:hyperlink>
      <w:r>
        <w:t xml:space="preserve"> </w:t>
      </w:r>
      <w:r>
        <w:fldChar w:fldCharType="begin"/>
      </w:r>
      <w:r>
        <w:instrText>PAGEREF section_6557a17b3c784aa78ec1397591c9bcb3</w:instrText>
      </w:r>
      <w:r>
        <w:fldChar w:fldCharType="separate"/>
      </w:r>
      <w:r>
        <w:rPr>
          <w:noProof/>
        </w:rPr>
        <w:t>600</w:t>
      </w:r>
      <w:r>
        <w:fldChar w:fldCharType="end"/>
      </w:r>
    </w:p>
    <w:p w:rsidR="00024C0A" w:rsidRDefault="00694C0F">
      <w:pPr>
        <w:pStyle w:val="indexentry0"/>
      </w:pPr>
      <w:hyperlink w:anchor="section_05bb8be40b9c4be78eab1335e1d2d61c">
        <w:r>
          <w:rPr>
            <w:rStyle w:val="Hyperlink"/>
          </w:rPr>
          <w:t>st (Audio Start Time)</w:t>
        </w:r>
      </w:hyperlink>
      <w:r>
        <w:t xml:space="preserve"> </w:t>
      </w:r>
      <w:r>
        <w:fldChar w:fldCharType="begin"/>
      </w:r>
      <w:r>
        <w:instrText>PAGEREF section_05bb8be40b9c4be78eab1335e1d2d61c</w:instrText>
      </w:r>
      <w:r>
        <w:fldChar w:fldCharType="separate"/>
      </w:r>
      <w:r>
        <w:rPr>
          <w:noProof/>
        </w:rPr>
        <w:t>503</w:t>
      </w:r>
      <w:r>
        <w:fldChar w:fldCharType="end"/>
      </w:r>
    </w:p>
    <w:p w:rsidR="00024C0A" w:rsidRDefault="00694C0F">
      <w:pPr>
        <w:pStyle w:val="indexentry0"/>
      </w:pPr>
      <w:hyperlink w:anchor="section_1cf7b62c1b304ad98b696b046e25c615">
        <w:r>
          <w:rPr>
            <w:rStyle w:val="Hyperlink"/>
          </w:rPr>
          <w:t>ST_AnimOneStr (One by One Animation Value Definition)</w:t>
        </w:r>
      </w:hyperlink>
      <w:r>
        <w:t xml:space="preserve"> </w:t>
      </w:r>
      <w:r>
        <w:fldChar w:fldCharType="begin"/>
      </w:r>
      <w:r>
        <w:instrText>PAGEREF section_1cf7b62c1b304ad98b696b046e25c615</w:instrText>
      </w:r>
      <w:r>
        <w:fldChar w:fldCharType="separate"/>
      </w:r>
      <w:r>
        <w:rPr>
          <w:noProof/>
        </w:rPr>
        <w:t>583</w:t>
      </w:r>
      <w:r>
        <w:fldChar w:fldCharType="end"/>
      </w:r>
    </w:p>
    <w:p w:rsidR="00024C0A" w:rsidRDefault="00694C0F">
      <w:pPr>
        <w:pStyle w:val="indexentry0"/>
      </w:pPr>
      <w:hyperlink w:anchor="section_9407009231ed4640937779c48f537d30">
        <w:r>
          <w:rPr>
            <w:rStyle w:val="Hyperlink"/>
          </w:rPr>
          <w:t>ST_AxisType (Axis Type)</w:t>
        </w:r>
      </w:hyperlink>
      <w:r>
        <w:t xml:space="preserve"> </w:t>
      </w:r>
      <w:r>
        <w:fldChar w:fldCharType="begin"/>
      </w:r>
      <w:r>
        <w:instrText>PAGEREF section_9407009231ed</w:instrText>
      </w:r>
      <w:r>
        <w:instrText>4640937779c48f537d30</w:instrText>
      </w:r>
      <w:r>
        <w:fldChar w:fldCharType="separate"/>
      </w:r>
      <w:r>
        <w:rPr>
          <w:noProof/>
        </w:rPr>
        <w:t>583</w:t>
      </w:r>
      <w:r>
        <w:fldChar w:fldCharType="end"/>
      </w:r>
    </w:p>
    <w:p w:rsidR="00024C0A" w:rsidRDefault="00694C0F">
      <w:pPr>
        <w:pStyle w:val="indexentry0"/>
      </w:pPr>
      <w:hyperlink w:anchor="section_b7da8e6662134305a1400604cf2886aa">
        <w:r>
          <w:rPr>
            <w:rStyle w:val="Hyperlink"/>
          </w:rPr>
          <w:t>ST_AxisUnit (Axis Unit)</w:t>
        </w:r>
      </w:hyperlink>
      <w:r>
        <w:t xml:space="preserve"> </w:t>
      </w:r>
      <w:r>
        <w:fldChar w:fldCharType="begin"/>
      </w:r>
      <w:r>
        <w:instrText>PAGEREF section_b7da8e6662134305a1400604cf2886aa</w:instrText>
      </w:r>
      <w:r>
        <w:fldChar w:fldCharType="separate"/>
      </w:r>
      <w:r>
        <w:rPr>
          <w:noProof/>
        </w:rPr>
        <w:t>573</w:t>
      </w:r>
      <w:r>
        <w:fldChar w:fldCharType="end"/>
      </w:r>
    </w:p>
    <w:p w:rsidR="00024C0A" w:rsidRDefault="00694C0F">
      <w:pPr>
        <w:pStyle w:val="indexentry0"/>
      </w:pPr>
      <w:hyperlink w:anchor="section_2ebc850c2ebe4101aecc74500c1c8c1f">
        <w:r>
          <w:rPr>
            <w:rStyle w:val="Hyperlink"/>
          </w:rPr>
          <w:t>ST_BarDir (Bar Direction)</w:t>
        </w:r>
      </w:hyperlink>
      <w:r>
        <w:t xml:space="preserve"> </w:t>
      </w:r>
      <w:r>
        <w:fldChar w:fldCharType="begin"/>
      </w:r>
      <w:r>
        <w:instrText>PAGEREF section_2ebc850c2ebe4101aecc74500c1c8c1f</w:instrText>
      </w:r>
      <w:r>
        <w:fldChar w:fldCharType="separate"/>
      </w:r>
      <w:r>
        <w:rPr>
          <w:noProof/>
        </w:rPr>
        <w:t>573</w:t>
      </w:r>
      <w:r>
        <w:fldChar w:fldCharType="end"/>
      </w:r>
    </w:p>
    <w:p w:rsidR="00024C0A" w:rsidRDefault="00694C0F">
      <w:pPr>
        <w:pStyle w:val="indexentry0"/>
      </w:pPr>
      <w:hyperlink w:anchor="section_294bc3bcb346432694c394b19a9a985c">
        <w:r>
          <w:rPr>
            <w:rStyle w:val="Hyperlink"/>
          </w:rPr>
          <w:t>ST_BarGrouping (Bar Grouping)</w:t>
        </w:r>
      </w:hyperlink>
      <w:r>
        <w:t xml:space="preserve"> </w:t>
      </w:r>
      <w:r>
        <w:fldChar w:fldCharType="begin"/>
      </w:r>
      <w:r>
        <w:instrText>PAGEREF section_294bc3bcb346432694c394b19a9a985c</w:instrText>
      </w:r>
      <w:r>
        <w:fldChar w:fldCharType="separate"/>
      </w:r>
      <w:r>
        <w:rPr>
          <w:noProof/>
        </w:rPr>
        <w:t>573</w:t>
      </w:r>
      <w:r>
        <w:fldChar w:fldCharType="end"/>
      </w:r>
    </w:p>
    <w:p w:rsidR="00024C0A" w:rsidRDefault="00694C0F">
      <w:pPr>
        <w:pStyle w:val="indexentry0"/>
      </w:pPr>
      <w:hyperlink w:anchor="section_f0051832d96a4fb7a4b7b721e72abfe5">
        <w:r>
          <w:rPr>
            <w:rStyle w:val="Hyperlink"/>
          </w:rPr>
          <w:t>ST_BlipCompression (Blip Compression Type)</w:t>
        </w:r>
      </w:hyperlink>
      <w:r>
        <w:t xml:space="preserve"> </w:t>
      </w:r>
      <w:r>
        <w:fldChar w:fldCharType="begin"/>
      </w:r>
      <w:r>
        <w:instrText>PAGEREF section_f0051832d96a4fb7a4b7b721e72abfe5</w:instrText>
      </w:r>
      <w:r>
        <w:fldChar w:fldCharType="separate"/>
      </w:r>
      <w:r>
        <w:rPr>
          <w:noProof/>
        </w:rPr>
        <w:t>515</w:t>
      </w:r>
      <w:r>
        <w:fldChar w:fldCharType="end"/>
      </w:r>
    </w:p>
    <w:p w:rsidR="00024C0A" w:rsidRDefault="00694C0F">
      <w:pPr>
        <w:pStyle w:val="indexentry0"/>
      </w:pPr>
      <w:hyperlink w:anchor="section_923382bf235a4f4ab9dfd5a0f8b2ead8">
        <w:r>
          <w:rPr>
            <w:rStyle w:val="Hyperlink"/>
          </w:rPr>
          <w:t>ST_Border (Border Styles)</w:t>
        </w:r>
      </w:hyperlink>
      <w:r>
        <w:t xml:space="preserve"> </w:t>
      </w:r>
      <w:r>
        <w:fldChar w:fldCharType="begin"/>
      </w:r>
      <w:r>
        <w:instrText>PAGEREF section_923382bf235a4f4ab9dfd5a0f8b2ead8</w:instrText>
      </w:r>
      <w:r>
        <w:fldChar w:fldCharType="separate"/>
      </w:r>
      <w:r>
        <w:rPr>
          <w:noProof/>
        </w:rPr>
        <w:t>227</w:t>
      </w:r>
      <w:r>
        <w:fldChar w:fldCharType="end"/>
      </w:r>
    </w:p>
    <w:p w:rsidR="00024C0A" w:rsidRDefault="00694C0F">
      <w:pPr>
        <w:pStyle w:val="indexentry0"/>
      </w:pPr>
      <w:hyperlink w:anchor="section_53249af3c6b1442193665720617c9e53">
        <w:r>
          <w:rPr>
            <w:rStyle w:val="Hyperlink"/>
          </w:rPr>
          <w:t>ST_BorderId (Border Id)</w:t>
        </w:r>
      </w:hyperlink>
      <w:r>
        <w:t xml:space="preserve"> </w:t>
      </w:r>
      <w:r>
        <w:fldChar w:fldCharType="begin"/>
      </w:r>
      <w:r>
        <w:instrText>PAGEREF section_53249af3c6b1442193665720617c9e53</w:instrText>
      </w:r>
      <w:r>
        <w:fldChar w:fldCharType="separate"/>
      </w:r>
      <w:r>
        <w:rPr>
          <w:noProof/>
        </w:rPr>
        <w:t>454</w:t>
      </w:r>
      <w:r>
        <w:fldChar w:fldCharType="end"/>
      </w:r>
    </w:p>
    <w:p w:rsidR="00024C0A" w:rsidRDefault="00694C0F">
      <w:pPr>
        <w:pStyle w:val="indexentry0"/>
      </w:pPr>
      <w:hyperlink w:anchor="section_1123446a4d214b2baa9cee57a2efb7c9">
        <w:r>
          <w:rPr>
            <w:rStyle w:val="Hyperlink"/>
          </w:rPr>
          <w:t>ST_BrClear (Line Break Text Wrapping Restart Location)</w:t>
        </w:r>
      </w:hyperlink>
      <w:r>
        <w:t xml:space="preserve"> </w:t>
      </w:r>
      <w:r>
        <w:fldChar w:fldCharType="begin"/>
      </w:r>
      <w:r>
        <w:instrText>PAGEREF section</w:instrText>
      </w:r>
      <w:r>
        <w:instrText>_1123446a4d214b2baa9cee57a2efb7c9</w:instrText>
      </w:r>
      <w:r>
        <w:fldChar w:fldCharType="separate"/>
      </w:r>
      <w:r>
        <w:rPr>
          <w:noProof/>
        </w:rPr>
        <w:t>227</w:t>
      </w:r>
      <w:r>
        <w:fldChar w:fldCharType="end"/>
      </w:r>
    </w:p>
    <w:p w:rsidR="00024C0A" w:rsidRDefault="00694C0F">
      <w:pPr>
        <w:pStyle w:val="indexentry0"/>
      </w:pPr>
      <w:hyperlink w:anchor="section_2a82044e2cc54f95b7b77c0b976bc7db">
        <w:r>
          <w:rPr>
            <w:rStyle w:val="Hyperlink"/>
          </w:rPr>
          <w:t>ST_BreakBin (Break Binary Operators)</w:t>
        </w:r>
      </w:hyperlink>
      <w:r>
        <w:t xml:space="preserve"> </w:t>
      </w:r>
      <w:r>
        <w:fldChar w:fldCharType="begin"/>
      </w:r>
      <w:r>
        <w:instrText>PAGEREF section_2a82044e2cc54f95b7b77c0b976bc7db</w:instrText>
      </w:r>
      <w:r>
        <w:fldChar w:fldCharType="separate"/>
      </w:r>
      <w:r>
        <w:rPr>
          <w:noProof/>
        </w:rPr>
        <w:t>601</w:t>
      </w:r>
      <w:r>
        <w:fldChar w:fldCharType="end"/>
      </w:r>
    </w:p>
    <w:p w:rsidR="00024C0A" w:rsidRDefault="00694C0F">
      <w:pPr>
        <w:pStyle w:val="indexentry0"/>
      </w:pPr>
      <w:hyperlink w:anchor="section_6f412fc993b949d684467b5e4b5e6f4d">
        <w:r>
          <w:rPr>
            <w:rStyle w:val="Hyperlink"/>
          </w:rPr>
          <w:t>ST_Bui</w:t>
        </w:r>
        <w:r>
          <w:rPr>
            <w:rStyle w:val="Hyperlink"/>
          </w:rPr>
          <w:t>ltInUnit (Built-In Unit)</w:t>
        </w:r>
      </w:hyperlink>
      <w:r>
        <w:t xml:space="preserve"> </w:t>
      </w:r>
      <w:r>
        <w:fldChar w:fldCharType="begin"/>
      </w:r>
      <w:r>
        <w:instrText>PAGEREF section_6f412fc993b949d684467b5e4b5e6f4d</w:instrText>
      </w:r>
      <w:r>
        <w:fldChar w:fldCharType="separate"/>
      </w:r>
      <w:r>
        <w:rPr>
          <w:noProof/>
        </w:rPr>
        <w:t>573</w:t>
      </w:r>
      <w:r>
        <w:fldChar w:fldCharType="end"/>
      </w:r>
    </w:p>
    <w:p w:rsidR="00024C0A" w:rsidRDefault="00694C0F">
      <w:pPr>
        <w:pStyle w:val="indexentry0"/>
      </w:pPr>
      <w:hyperlink w:anchor="section_8c617ecf08e444be9651baeb502cdb90">
        <w:r>
          <w:rPr>
            <w:rStyle w:val="Hyperlink"/>
          </w:rPr>
          <w:t>ST_BWMode (Black And White Modes)</w:t>
        </w:r>
      </w:hyperlink>
      <w:r>
        <w:t xml:space="preserve"> </w:t>
      </w:r>
      <w:r>
        <w:fldChar w:fldCharType="begin"/>
      </w:r>
      <w:r>
        <w:instrText>PAGEREF section_8c617ecf08e444be9651baeb502cdb90</w:instrText>
      </w:r>
      <w:r>
        <w:fldChar w:fldCharType="separate"/>
      </w:r>
      <w:r>
        <w:rPr>
          <w:noProof/>
        </w:rPr>
        <w:t>671</w:t>
      </w:r>
      <w:r>
        <w:fldChar w:fldCharType="end"/>
      </w:r>
    </w:p>
    <w:p w:rsidR="00024C0A" w:rsidRDefault="00694C0F">
      <w:pPr>
        <w:pStyle w:val="indexentry0"/>
      </w:pPr>
      <w:hyperlink w:anchor="section_139928f9f5084ef29a6b4034409e9564">
        <w:r>
          <w:rPr>
            <w:rStyle w:val="Hyperlink"/>
          </w:rPr>
          <w:t>ST_CalendarType (Calendar Types)</w:t>
        </w:r>
      </w:hyperlink>
      <w:r>
        <w:t xml:space="preserve"> </w:t>
      </w:r>
      <w:r>
        <w:fldChar w:fldCharType="begin"/>
      </w:r>
      <w:r>
        <w:instrText>PAGEREF section_139928f9f5084ef29a6b4034409e9564</w:instrText>
      </w:r>
      <w:r>
        <w:fldChar w:fldCharType="separate"/>
      </w:r>
      <w:r>
        <w:rPr>
          <w:noProof/>
        </w:rPr>
        <w:t>610</w:t>
      </w:r>
      <w:r>
        <w:fldChar w:fldCharType="end"/>
      </w:r>
    </w:p>
    <w:p w:rsidR="00024C0A" w:rsidRDefault="00694C0F">
      <w:pPr>
        <w:pStyle w:val="indexentry0"/>
      </w:pPr>
      <w:hyperlink w:anchor="section_da476231647b46419fb6be577549a762">
        <w:r>
          <w:rPr>
            <w:rStyle w:val="Hyperlink"/>
          </w:rPr>
          <w:t>ST_CalloutDrop (Callout Drop Location)</w:t>
        </w:r>
      </w:hyperlink>
      <w:r>
        <w:t xml:space="preserve"> </w:t>
      </w:r>
      <w:r>
        <w:fldChar w:fldCharType="begin"/>
      </w:r>
      <w:r>
        <w:instrText>PAGEREF section_da476231647b46419fb6be577549a762</w:instrText>
      </w:r>
      <w:r>
        <w:fldChar w:fldCharType="separate"/>
      </w:r>
      <w:r>
        <w:rPr>
          <w:noProof/>
        </w:rPr>
        <w:t>671</w:t>
      </w:r>
      <w:r>
        <w:fldChar w:fldCharType="end"/>
      </w:r>
    </w:p>
    <w:p w:rsidR="00024C0A" w:rsidRDefault="00694C0F">
      <w:pPr>
        <w:pStyle w:val="indexentry0"/>
      </w:pPr>
      <w:hyperlink w:anchor="section_aaf2ad21b3cf4832bfc3614966a1fd3e">
        <w:r>
          <w:rPr>
            <w:rStyle w:val="Hyperlink"/>
          </w:rPr>
          <w:t>ST_CaptionPos (Automatic Caption Positioning Values)</w:t>
        </w:r>
      </w:hyperlink>
      <w:r>
        <w:t xml:space="preserve"> </w:t>
      </w:r>
      <w:r>
        <w:fldChar w:fldCharType="begin"/>
      </w:r>
      <w:r>
        <w:instrText>PAGEREF section_aaf2ad21b3cf4832bfc3614966a1fd3e</w:instrText>
      </w:r>
      <w:r>
        <w:fldChar w:fldCharType="separate"/>
      </w:r>
      <w:r>
        <w:rPr>
          <w:noProof/>
        </w:rPr>
        <w:t>227</w:t>
      </w:r>
      <w:r>
        <w:fldChar w:fldCharType="end"/>
      </w:r>
    </w:p>
    <w:p w:rsidR="00024C0A" w:rsidRDefault="00694C0F">
      <w:pPr>
        <w:pStyle w:val="indexentry0"/>
      </w:pPr>
      <w:hyperlink w:anchor="section_0adc381aa21a457c8a5a88dc96fa2688">
        <w:r>
          <w:rPr>
            <w:rStyle w:val="Hyperlink"/>
          </w:rPr>
          <w:t>ST_CellFormulaType (Formula Type)</w:t>
        </w:r>
      </w:hyperlink>
      <w:r>
        <w:t xml:space="preserve"> </w:t>
      </w:r>
      <w:r>
        <w:fldChar w:fldCharType="begin"/>
      </w:r>
      <w:r>
        <w:instrText>PAGEREF section_0adc381aa21a457c8a5a88dc96fa2688</w:instrText>
      </w:r>
      <w:r>
        <w:fldChar w:fldCharType="separate"/>
      </w:r>
      <w:r>
        <w:rPr>
          <w:noProof/>
        </w:rPr>
        <w:t>454</w:t>
      </w:r>
      <w:r>
        <w:fldChar w:fldCharType="end"/>
      </w:r>
    </w:p>
    <w:p w:rsidR="00024C0A" w:rsidRDefault="00694C0F">
      <w:pPr>
        <w:pStyle w:val="indexentry0"/>
      </w:pPr>
      <w:hyperlink w:anchor="section_044c2ba4098b4b15b9603f7f972665df">
        <w:r>
          <w:rPr>
            <w:rStyle w:val="Hyperlink"/>
          </w:rPr>
          <w:t>ST_CellRef (Cell Reference)</w:t>
        </w:r>
      </w:hyperlink>
      <w:r>
        <w:t xml:space="preserve"> </w:t>
      </w:r>
      <w:r>
        <w:fldChar w:fldCharType="begin"/>
      </w:r>
      <w:r>
        <w:instrText>PAGEREF section_044c2ba4098b4b15b9603f7f972665df</w:instrText>
      </w:r>
      <w:r>
        <w:fldChar w:fldCharType="separate"/>
      </w:r>
      <w:r>
        <w:rPr>
          <w:noProof/>
        </w:rPr>
        <w:t>454</w:t>
      </w:r>
      <w:r>
        <w:fldChar w:fldCharType="end"/>
      </w:r>
    </w:p>
    <w:p w:rsidR="00024C0A" w:rsidRDefault="00694C0F">
      <w:pPr>
        <w:pStyle w:val="indexentry0"/>
      </w:pPr>
      <w:hyperlink w:anchor="section_dbd6f7062cb8443d992c603bddbcc95c">
        <w:r>
          <w:rPr>
            <w:rStyle w:val="Hyperlink"/>
          </w:rPr>
          <w:t>ST_CellSpan (Cell Span Type)</w:t>
        </w:r>
      </w:hyperlink>
      <w:r>
        <w:t xml:space="preserve"> </w:t>
      </w:r>
      <w:r>
        <w:fldChar w:fldCharType="begin"/>
      </w:r>
      <w:r>
        <w:instrText>PAGEREF section_dbd6f7062cb8443d992c603bddbcc95c</w:instrText>
      </w:r>
      <w:r>
        <w:fldChar w:fldCharType="separate"/>
      </w:r>
      <w:r>
        <w:rPr>
          <w:noProof/>
        </w:rPr>
        <w:t>455</w:t>
      </w:r>
      <w:r>
        <w:fldChar w:fldCharType="end"/>
      </w:r>
    </w:p>
    <w:p w:rsidR="00024C0A" w:rsidRDefault="00694C0F">
      <w:pPr>
        <w:pStyle w:val="indexentry0"/>
      </w:pPr>
      <w:hyperlink w:anchor="section_df329b39b03e498395649c7d41edc5b5">
        <w:r>
          <w:rPr>
            <w:rStyle w:val="Hyperlink"/>
          </w:rPr>
          <w:t>ST_CharacterSpacing (Character-Level Whitespace Com</w:t>
        </w:r>
        <w:r>
          <w:rPr>
            <w:rStyle w:val="Hyperlink"/>
          </w:rPr>
          <w:t>pression Settings)</w:t>
        </w:r>
      </w:hyperlink>
      <w:r>
        <w:t xml:space="preserve"> </w:t>
      </w:r>
      <w:r>
        <w:fldChar w:fldCharType="begin"/>
      </w:r>
      <w:r>
        <w:instrText>PAGEREF section_df329b39b03e498395649c7d41edc5b5</w:instrText>
      </w:r>
      <w:r>
        <w:fldChar w:fldCharType="separate"/>
      </w:r>
      <w:r>
        <w:rPr>
          <w:noProof/>
        </w:rPr>
        <w:t>227</w:t>
      </w:r>
      <w:r>
        <w:fldChar w:fldCharType="end"/>
      </w:r>
    </w:p>
    <w:p w:rsidR="00024C0A" w:rsidRDefault="00694C0F">
      <w:pPr>
        <w:pStyle w:val="indexentry0"/>
      </w:pPr>
      <w:hyperlink w:anchor="section_57afc6353ade4d41a7313702bf735c42">
        <w:r>
          <w:rPr>
            <w:rStyle w:val="Hyperlink"/>
          </w:rPr>
          <w:t>ST_ColorType (Color Type)</w:t>
        </w:r>
      </w:hyperlink>
      <w:r>
        <w:t xml:space="preserve"> </w:t>
      </w:r>
      <w:r>
        <w:fldChar w:fldCharType="begin"/>
      </w:r>
      <w:r>
        <w:instrText>PAGEREF section_57afc6353ade4d41a7313702bf735c42</w:instrText>
      </w:r>
      <w:r>
        <w:fldChar w:fldCharType="separate"/>
      </w:r>
      <w:r>
        <w:rPr>
          <w:noProof/>
        </w:rPr>
        <w:t>678</w:t>
      </w:r>
      <w:r>
        <w:fldChar w:fldCharType="end"/>
      </w:r>
    </w:p>
    <w:p w:rsidR="00024C0A" w:rsidRDefault="00694C0F">
      <w:pPr>
        <w:pStyle w:val="indexentry0"/>
      </w:pPr>
      <w:hyperlink w:anchor="section_c88ee44d80a447869e0cf0a57bfbe3b2">
        <w:r>
          <w:rPr>
            <w:rStyle w:val="Hyperlink"/>
          </w:rPr>
          <w:t>ST_CompoundLine (Compound Line Type)</w:t>
        </w:r>
      </w:hyperlink>
      <w:r>
        <w:t xml:space="preserve"> </w:t>
      </w:r>
      <w:r>
        <w:fldChar w:fldCharType="begin"/>
      </w:r>
      <w:r>
        <w:instrText>PAGEREF section_c88ee44d80a447869e0cf0a57bfbe3b2</w:instrText>
      </w:r>
      <w:r>
        <w:fldChar w:fldCharType="separate"/>
      </w:r>
      <w:r>
        <w:rPr>
          <w:noProof/>
        </w:rPr>
        <w:t>515</w:t>
      </w:r>
      <w:r>
        <w:fldChar w:fldCharType="end"/>
      </w:r>
    </w:p>
    <w:p w:rsidR="00024C0A" w:rsidRDefault="00694C0F">
      <w:pPr>
        <w:pStyle w:val="indexentry0"/>
      </w:pPr>
      <w:hyperlink w:anchor="section_786223f9b8ff46fdade3b42236e6297f">
        <w:r>
          <w:rPr>
            <w:rStyle w:val="Hyperlink"/>
          </w:rPr>
          <w:t>ST_ContentTypeId (Content Type ID)</w:t>
        </w:r>
      </w:hyperlink>
      <w:r>
        <w:t xml:space="preserve"> </w:t>
      </w:r>
      <w:r>
        <w:fldChar w:fldCharType="begin"/>
      </w:r>
      <w:r>
        <w:instrText>PAGEREF section_786223f9b8ff46fdade3b42236e6297f</w:instrText>
      </w:r>
      <w:r>
        <w:fldChar w:fldCharType="separate"/>
      </w:r>
      <w:r>
        <w:rPr>
          <w:noProof/>
        </w:rPr>
        <w:t>862</w:t>
      </w:r>
      <w:r>
        <w:fldChar w:fldCharType="end"/>
      </w:r>
    </w:p>
    <w:p w:rsidR="00024C0A" w:rsidRDefault="00694C0F">
      <w:pPr>
        <w:pStyle w:val="indexentry0"/>
      </w:pPr>
      <w:hyperlink w:anchor="section_c35b446126a24788a41b0c99a6c691d8">
        <w:r>
          <w:rPr>
            <w:rStyle w:val="Hyperlink"/>
          </w:rPr>
          <w:t>ST_Coordinate (Coordinate)</w:t>
        </w:r>
      </w:hyperlink>
      <w:r>
        <w:t xml:space="preserve"> </w:t>
      </w:r>
      <w:r>
        <w:fldChar w:fldCharType="begin"/>
      </w:r>
      <w:r>
        <w:instrText>PAGEREF section_c35b446126a24788a41b0c99a6c691d8</w:instrText>
      </w:r>
      <w:r>
        <w:fldChar w:fldCharType="separate"/>
      </w:r>
      <w:r>
        <w:rPr>
          <w:noProof/>
        </w:rPr>
        <w:t>515</w:t>
      </w:r>
      <w:r>
        <w:fldChar w:fldCharType="end"/>
      </w:r>
    </w:p>
    <w:p w:rsidR="00024C0A" w:rsidRDefault="00694C0F">
      <w:pPr>
        <w:pStyle w:val="indexentry0"/>
      </w:pPr>
      <w:hyperlink w:anchor="section_d79b2e5047154cb09e8cbfe7d87d113d">
        <w:r>
          <w:rPr>
            <w:rStyle w:val="Hyperlink"/>
          </w:rPr>
          <w:t>ST_Coordinate32 (Coordinate Point)</w:t>
        </w:r>
      </w:hyperlink>
      <w:r>
        <w:t xml:space="preserve"> </w:t>
      </w:r>
      <w:r>
        <w:fldChar w:fldCharType="begin"/>
      </w:r>
      <w:r>
        <w:instrText>PAGEREF section_d79b2e5047154cb09e8cbfe7d87d113d</w:instrText>
      </w:r>
      <w:r>
        <w:fldChar w:fldCharType="separate"/>
      </w:r>
      <w:r>
        <w:rPr>
          <w:noProof/>
        </w:rPr>
        <w:t>515</w:t>
      </w:r>
      <w:r>
        <w:fldChar w:fldCharType="end"/>
      </w:r>
    </w:p>
    <w:p w:rsidR="00024C0A" w:rsidRDefault="00694C0F">
      <w:pPr>
        <w:pStyle w:val="indexentry0"/>
      </w:pPr>
      <w:hyperlink w:anchor="section_afb7e140b25949018af4d4a514f50db9">
        <w:r>
          <w:rPr>
            <w:rStyle w:val="Hyperlink"/>
          </w:rPr>
          <w:t>ST_CoordinateUnqualified (Coordinate)</w:t>
        </w:r>
      </w:hyperlink>
      <w:r>
        <w:t xml:space="preserve"> </w:t>
      </w:r>
      <w:r>
        <w:fldChar w:fldCharType="begin"/>
      </w:r>
      <w:r>
        <w:instrText>PAGEREF section_afb7e140b25949018af4d4a514f50db9</w:instrText>
      </w:r>
      <w:r>
        <w:fldChar w:fldCharType="separate"/>
      </w:r>
      <w:r>
        <w:rPr>
          <w:noProof/>
        </w:rPr>
        <w:t>827</w:t>
      </w:r>
      <w:r>
        <w:fldChar w:fldCharType="end"/>
      </w:r>
    </w:p>
    <w:p w:rsidR="00024C0A" w:rsidRDefault="00694C0F">
      <w:pPr>
        <w:pStyle w:val="indexentry0"/>
      </w:pPr>
      <w:hyperlink w:anchor="section_8f64b974a9a944129ccb91382135586b">
        <w:r>
          <w:rPr>
            <w:rStyle w:val="Hyperlink"/>
          </w:rPr>
          <w:t>ST_CredMethod (Credentials Method)</w:t>
        </w:r>
      </w:hyperlink>
      <w:r>
        <w:t xml:space="preserve"> </w:t>
      </w:r>
      <w:r>
        <w:fldChar w:fldCharType="begin"/>
      </w:r>
      <w:r>
        <w:instrText>PAGEREF section_8f64b974a9a944129ccb91382135586b</w:instrText>
      </w:r>
      <w:r>
        <w:fldChar w:fldCharType="separate"/>
      </w:r>
      <w:r>
        <w:rPr>
          <w:noProof/>
        </w:rPr>
        <w:t>455</w:t>
      </w:r>
      <w:r>
        <w:fldChar w:fldCharType="end"/>
      </w:r>
    </w:p>
    <w:p w:rsidR="00024C0A" w:rsidRDefault="00694C0F">
      <w:pPr>
        <w:pStyle w:val="indexentry0"/>
      </w:pPr>
      <w:hyperlink w:anchor="section_e79c50d2400c490f9b7bf65492782142">
        <w:r>
          <w:rPr>
            <w:rStyle w:val="Hyperlink"/>
          </w:rPr>
          <w:t>ST_Crosses (Crosses)</w:t>
        </w:r>
      </w:hyperlink>
      <w:r>
        <w:t xml:space="preserve"> </w:t>
      </w:r>
      <w:r>
        <w:fldChar w:fldCharType="begin"/>
      </w:r>
      <w:r>
        <w:instrText>PAGEREF section_e79c50d2400c490f9b7bf65492782142</w:instrText>
      </w:r>
      <w:r>
        <w:fldChar w:fldCharType="separate"/>
      </w:r>
      <w:r>
        <w:rPr>
          <w:noProof/>
        </w:rPr>
        <w:t>573</w:t>
      </w:r>
      <w:r>
        <w:fldChar w:fldCharType="end"/>
      </w:r>
    </w:p>
    <w:p w:rsidR="00024C0A" w:rsidRDefault="00694C0F">
      <w:pPr>
        <w:pStyle w:val="indexentry0"/>
      </w:pPr>
      <w:hyperlink w:anchor="section_04197af53c824a9d81393f1cec2b78eb">
        <w:r>
          <w:rPr>
            <w:rStyle w:val="Hyperlink"/>
          </w:rPr>
          <w:t>ST_CustomXmlURI (URI for Custom XML)</w:t>
        </w:r>
      </w:hyperlink>
      <w:r>
        <w:t xml:space="preserve"> </w:t>
      </w:r>
      <w:r>
        <w:fldChar w:fldCharType="begin"/>
      </w:r>
      <w:r>
        <w:instrText>PAGEREF section_04197af53c824a9d81393f1cec2b78eb</w:instrText>
      </w:r>
      <w:r>
        <w:fldChar w:fldCharType="separate"/>
      </w:r>
      <w:r>
        <w:rPr>
          <w:noProof/>
        </w:rPr>
        <w:t>818</w:t>
      </w:r>
      <w:r>
        <w:fldChar w:fldCharType="end"/>
      </w:r>
    </w:p>
    <w:p w:rsidR="00024C0A" w:rsidRDefault="00694C0F">
      <w:pPr>
        <w:pStyle w:val="indexentry0"/>
      </w:pPr>
      <w:hyperlink w:anchor="section_67feb752f108441eaca363fc2717117a">
        <w:r>
          <w:rPr>
            <w:rStyle w:val="Hyperlink"/>
          </w:rPr>
          <w:t>ST_DateTime (Standard Date and Time Storage Format)</w:t>
        </w:r>
      </w:hyperlink>
      <w:r>
        <w:t xml:space="preserve"> </w:t>
      </w:r>
      <w:r>
        <w:fldChar w:fldCharType="begin"/>
      </w:r>
      <w:r>
        <w:instrText>PAGEREF se</w:instrText>
      </w:r>
      <w:r>
        <w:instrText>ction_67feb752f108441eaca363fc2717117a</w:instrText>
      </w:r>
      <w:r>
        <w:fldChar w:fldCharType="separate"/>
      </w:r>
      <w:r>
        <w:rPr>
          <w:noProof/>
        </w:rPr>
        <w:t>818</w:t>
      </w:r>
      <w:r>
        <w:fldChar w:fldCharType="end"/>
      </w:r>
    </w:p>
    <w:p w:rsidR="00024C0A" w:rsidRDefault="00694C0F">
      <w:pPr>
        <w:pStyle w:val="indexentry0"/>
      </w:pPr>
      <w:r>
        <w:t>ST_DecimalNumber (Decimal Number Value) (</w:t>
      </w:r>
      <w:hyperlink w:anchor="section_f22c45b2866741ce93a3b1451c17790a">
        <w:r>
          <w:rPr>
            <w:rStyle w:val="Hyperlink"/>
          </w:rPr>
          <w:t>section 2.1.532</w:t>
        </w:r>
      </w:hyperlink>
      <w:r>
        <w:t xml:space="preserve"> </w:t>
      </w:r>
      <w:r>
        <w:fldChar w:fldCharType="begin"/>
      </w:r>
      <w:r>
        <w:instrText>PAGEREF section_f22c45b2866741ce93a3b1451c17790a</w:instrText>
      </w:r>
      <w:r>
        <w:fldChar w:fldCharType="separate"/>
      </w:r>
      <w:r>
        <w:rPr>
          <w:noProof/>
        </w:rPr>
        <w:t>227</w:t>
      </w:r>
      <w:r>
        <w:fldChar w:fldCharType="end"/>
      </w:r>
      <w:r>
        <w:t xml:space="preserve">, </w:t>
      </w:r>
      <w:hyperlink w:anchor="section_9168633928aa4e54acbd77bc5c69d9d2">
        <w:r>
          <w:rPr>
            <w:rStyle w:val="Hyperlink"/>
          </w:rPr>
          <w:t>section 3.1.2.3.1</w:t>
        </w:r>
      </w:hyperlink>
      <w:r>
        <w:t xml:space="preserve"> </w:t>
      </w:r>
      <w:r>
        <w:fldChar w:fldCharType="begin"/>
      </w:r>
      <w:r>
        <w:instrText>PAGEREF section_9168633928aa4e54acbd77bc5c69d9d2</w:instrText>
      </w:r>
      <w:r>
        <w:fldChar w:fldCharType="separate"/>
      </w:r>
      <w:r>
        <w:rPr>
          <w:noProof/>
        </w:rPr>
        <w:t>781</w:t>
      </w:r>
      <w:r>
        <w:fldChar w:fldCharType="end"/>
      </w:r>
      <w:r>
        <w:t>)</w:t>
      </w:r>
    </w:p>
    <w:p w:rsidR="00024C0A" w:rsidRDefault="00694C0F">
      <w:pPr>
        <w:pStyle w:val="indexentry0"/>
      </w:pPr>
      <w:hyperlink w:anchor="section_45e24c5e5db2493694488c72a1f7d60e">
        <w:r>
          <w:rPr>
            <w:rStyle w:val="Hyperlink"/>
          </w:rPr>
          <w:t>ST_DisplacedByCustomXml (Location of Custom XML Markup Displacing an Annotation)</w:t>
        </w:r>
      </w:hyperlink>
      <w:r>
        <w:t xml:space="preserve"> </w:t>
      </w:r>
      <w:r>
        <w:fldChar w:fldCharType="begin"/>
      </w:r>
      <w:r>
        <w:instrText>PAGEREF section_45e</w:instrText>
      </w:r>
      <w:r>
        <w:instrText>24c5e5db2493694488c72a1f7d60e</w:instrText>
      </w:r>
      <w:r>
        <w:fldChar w:fldCharType="separate"/>
      </w:r>
      <w:r>
        <w:rPr>
          <w:noProof/>
        </w:rPr>
        <w:t>228</w:t>
      </w:r>
      <w:r>
        <w:fldChar w:fldCharType="end"/>
      </w:r>
    </w:p>
    <w:p w:rsidR="00024C0A" w:rsidRDefault="00694C0F">
      <w:pPr>
        <w:pStyle w:val="indexentry0"/>
      </w:pPr>
      <w:hyperlink w:anchor="section_ad4d920120514b7d8f9cba019f0ae7a6">
        <w:r>
          <w:rPr>
            <w:rStyle w:val="Hyperlink"/>
          </w:rPr>
          <w:t>ST_DocGrid (Document Grid Types)</w:t>
        </w:r>
      </w:hyperlink>
      <w:r>
        <w:t xml:space="preserve"> </w:t>
      </w:r>
      <w:r>
        <w:fldChar w:fldCharType="begin"/>
      </w:r>
      <w:r>
        <w:instrText>PAGEREF section_ad4d920120514b7d8f9cba019f0ae7a6</w:instrText>
      </w:r>
      <w:r>
        <w:fldChar w:fldCharType="separate"/>
      </w:r>
      <w:r>
        <w:rPr>
          <w:noProof/>
        </w:rPr>
        <w:t>228</w:t>
      </w:r>
      <w:r>
        <w:fldChar w:fldCharType="end"/>
      </w:r>
    </w:p>
    <w:p w:rsidR="00024C0A" w:rsidRDefault="00694C0F">
      <w:pPr>
        <w:pStyle w:val="indexentry0"/>
      </w:pPr>
      <w:hyperlink w:anchor="section_292959d9ea4a4953b29f6c243ffa5471">
        <w:r>
          <w:rPr>
            <w:rStyle w:val="Hyperlink"/>
          </w:rPr>
          <w:t>ST_DocPartBehavior (Insertion Behavior Types)</w:t>
        </w:r>
      </w:hyperlink>
      <w:r>
        <w:t xml:space="preserve"> </w:t>
      </w:r>
      <w:r>
        <w:fldChar w:fldCharType="begin"/>
      </w:r>
      <w:r>
        <w:instrText>PAGEREF section_292959d9ea4a4953b29f6c243ffa5471</w:instrText>
      </w:r>
      <w:r>
        <w:fldChar w:fldCharType="separate"/>
      </w:r>
      <w:r>
        <w:rPr>
          <w:noProof/>
        </w:rPr>
        <w:t>228</w:t>
      </w:r>
      <w:r>
        <w:fldChar w:fldCharType="end"/>
      </w:r>
    </w:p>
    <w:p w:rsidR="00024C0A" w:rsidRDefault="00694C0F">
      <w:pPr>
        <w:pStyle w:val="indexentry0"/>
      </w:pPr>
      <w:hyperlink w:anchor="section_9746bb873dd04c7dae43e3547589def1">
        <w:r>
          <w:rPr>
            <w:rStyle w:val="Hyperlink"/>
          </w:rPr>
          <w:t>ST_DrawingElementId (Drawing Element ID)</w:t>
        </w:r>
      </w:hyperlink>
      <w:r>
        <w:t xml:space="preserve"> </w:t>
      </w:r>
      <w:r>
        <w:fldChar w:fldCharType="begin"/>
      </w:r>
      <w:r>
        <w:instrText>PAGEREF section_9746bb873dd04c7dae43e3547589def1</w:instrText>
      </w:r>
      <w:r>
        <w:fldChar w:fldCharType="separate"/>
      </w:r>
      <w:r>
        <w:rPr>
          <w:noProof/>
        </w:rPr>
        <w:t>515</w:t>
      </w:r>
      <w:r>
        <w:fldChar w:fldCharType="end"/>
      </w:r>
    </w:p>
    <w:p w:rsidR="00024C0A" w:rsidRDefault="00694C0F">
      <w:pPr>
        <w:pStyle w:val="indexentry0"/>
      </w:pPr>
      <w:hyperlink w:anchor="section_cf92e21e16414d069a73f5ecb57e368f">
        <w:r>
          <w:rPr>
            <w:rStyle w:val="Hyperlink"/>
          </w:rPr>
          <w:t>ST_DxfId (Format Id)</w:t>
        </w:r>
      </w:hyperlink>
      <w:r>
        <w:t xml:space="preserve"> </w:t>
      </w:r>
      <w:r>
        <w:fldChar w:fldCharType="begin"/>
      </w:r>
      <w:r>
        <w:instrText>PAGEREF section_cf92e21e16414d069a73f5ecb57e368f</w:instrText>
      </w:r>
      <w:r>
        <w:fldChar w:fldCharType="separate"/>
      </w:r>
      <w:r>
        <w:rPr>
          <w:noProof/>
        </w:rPr>
        <w:t>456</w:t>
      </w:r>
      <w:r>
        <w:fldChar w:fldCharType="end"/>
      </w:r>
    </w:p>
    <w:p w:rsidR="00024C0A" w:rsidRDefault="00694C0F">
      <w:pPr>
        <w:pStyle w:val="indexentry0"/>
      </w:pPr>
      <w:hyperlink w:anchor="section_8043b424e27544ba95726a25ee5e9b84">
        <w:r>
          <w:rPr>
            <w:rStyle w:val="Hyperlink"/>
          </w:rPr>
          <w:t>ST_Em (Emphasis Mark Type)</w:t>
        </w:r>
      </w:hyperlink>
      <w:r>
        <w:t xml:space="preserve"> </w:t>
      </w:r>
      <w:r>
        <w:fldChar w:fldCharType="begin"/>
      </w:r>
      <w:r>
        <w:instrText>PAGEREF section_8043b424e27544</w:instrText>
      </w:r>
      <w:r>
        <w:instrText>ba95726a25ee5e9b84</w:instrText>
      </w:r>
      <w:r>
        <w:fldChar w:fldCharType="separate"/>
      </w:r>
      <w:r>
        <w:rPr>
          <w:noProof/>
        </w:rPr>
        <w:t>228</w:t>
      </w:r>
      <w:r>
        <w:fldChar w:fldCharType="end"/>
      </w:r>
    </w:p>
    <w:p w:rsidR="00024C0A" w:rsidRDefault="00694C0F">
      <w:pPr>
        <w:pStyle w:val="indexentry0"/>
      </w:pPr>
      <w:hyperlink w:anchor="section_25a50330009d494596a27947fce8e286">
        <w:r>
          <w:rPr>
            <w:rStyle w:val="Hyperlink"/>
          </w:rPr>
          <w:t>ST_Error (Error Status Code Simple Type)</w:t>
        </w:r>
      </w:hyperlink>
      <w:r>
        <w:t xml:space="preserve"> </w:t>
      </w:r>
      <w:r>
        <w:fldChar w:fldCharType="begin"/>
      </w:r>
      <w:r>
        <w:instrText>PAGEREF section_25a50330009d494596a27947fce8e286</w:instrText>
      </w:r>
      <w:r>
        <w:fldChar w:fldCharType="separate"/>
      </w:r>
      <w:r>
        <w:rPr>
          <w:noProof/>
        </w:rPr>
        <w:t>608</w:t>
      </w:r>
      <w:r>
        <w:fldChar w:fldCharType="end"/>
      </w:r>
    </w:p>
    <w:p w:rsidR="00024C0A" w:rsidRDefault="00694C0F">
      <w:pPr>
        <w:pStyle w:val="indexentry0"/>
      </w:pPr>
      <w:hyperlink w:anchor="section_ba45301ab7004913a05271e61c1b5023">
        <w:r>
          <w:rPr>
            <w:rStyle w:val="Hyperlink"/>
          </w:rPr>
          <w:t>ST_ErrValType (Er</w:t>
        </w:r>
        <w:r>
          <w:rPr>
            <w:rStyle w:val="Hyperlink"/>
          </w:rPr>
          <w:t>ror Value Type)</w:t>
        </w:r>
      </w:hyperlink>
      <w:r>
        <w:t xml:space="preserve"> </w:t>
      </w:r>
      <w:r>
        <w:fldChar w:fldCharType="begin"/>
      </w:r>
      <w:r>
        <w:instrText>PAGEREF section_ba45301ab7004913a05271e61c1b5023</w:instrText>
      </w:r>
      <w:r>
        <w:fldChar w:fldCharType="separate"/>
      </w:r>
      <w:r>
        <w:rPr>
          <w:noProof/>
        </w:rPr>
        <w:t>574</w:t>
      </w:r>
      <w:r>
        <w:fldChar w:fldCharType="end"/>
      </w:r>
    </w:p>
    <w:p w:rsidR="00024C0A" w:rsidRDefault="00694C0F">
      <w:pPr>
        <w:pStyle w:val="indexentry0"/>
      </w:pPr>
      <w:hyperlink w:anchor="section_6b29c3deb279450da710a73c6dd0b1fa">
        <w:r>
          <w:rPr>
            <w:rStyle w:val="Hyperlink"/>
          </w:rPr>
          <w:t>ST_Ext (VML Extension Handling Behaviors)</w:t>
        </w:r>
      </w:hyperlink>
      <w:r>
        <w:t xml:space="preserve"> </w:t>
      </w:r>
      <w:r>
        <w:fldChar w:fldCharType="begin"/>
      </w:r>
      <w:r>
        <w:instrText>PAGEREF section_6b29c3deb279450da710a73c6dd0b1fa</w:instrText>
      </w:r>
      <w:r>
        <w:fldChar w:fldCharType="separate"/>
      </w:r>
      <w:r>
        <w:rPr>
          <w:noProof/>
        </w:rPr>
        <w:t>655</w:t>
      </w:r>
      <w:r>
        <w:fldChar w:fldCharType="end"/>
      </w:r>
    </w:p>
    <w:p w:rsidR="00024C0A" w:rsidRDefault="00694C0F">
      <w:pPr>
        <w:pStyle w:val="indexentry0"/>
      </w:pPr>
      <w:hyperlink w:anchor="section_04451925852741c38c05bbfa37d3b618">
        <w:r>
          <w:rPr>
            <w:rStyle w:val="Hyperlink"/>
          </w:rPr>
          <w:t>ST_FFHelpTextVal (Help Text Value)</w:t>
        </w:r>
      </w:hyperlink>
      <w:r>
        <w:t xml:space="preserve"> </w:t>
      </w:r>
      <w:r>
        <w:fldChar w:fldCharType="begin"/>
      </w:r>
      <w:r>
        <w:instrText>PAGEREF section_04451925852741c38c05bbfa37d3b618</w:instrText>
      </w:r>
      <w:r>
        <w:fldChar w:fldCharType="separate"/>
      </w:r>
      <w:r>
        <w:rPr>
          <w:noProof/>
        </w:rPr>
        <w:t>229</w:t>
      </w:r>
      <w:r>
        <w:fldChar w:fldCharType="end"/>
      </w:r>
    </w:p>
    <w:p w:rsidR="00024C0A" w:rsidRDefault="00694C0F">
      <w:pPr>
        <w:pStyle w:val="indexentry0"/>
      </w:pPr>
      <w:hyperlink w:anchor="section_b174b3b20ea040bf8af47b79f843ebd1">
        <w:r>
          <w:rPr>
            <w:rStyle w:val="Hyperlink"/>
          </w:rPr>
          <w:t>ST_FFName (Form Field Name Value)</w:t>
        </w:r>
      </w:hyperlink>
      <w:r>
        <w:t xml:space="preserve"> </w:t>
      </w:r>
      <w:r>
        <w:fldChar w:fldCharType="begin"/>
      </w:r>
      <w:r>
        <w:instrText>PAGEREF section_b174b3b20ea040bf8af47b</w:instrText>
      </w:r>
      <w:r>
        <w:instrText>79f843ebd1</w:instrText>
      </w:r>
      <w:r>
        <w:fldChar w:fldCharType="separate"/>
      </w:r>
      <w:r>
        <w:rPr>
          <w:noProof/>
        </w:rPr>
        <w:t>229</w:t>
      </w:r>
      <w:r>
        <w:fldChar w:fldCharType="end"/>
      </w:r>
    </w:p>
    <w:p w:rsidR="00024C0A" w:rsidRDefault="00694C0F">
      <w:pPr>
        <w:pStyle w:val="indexentry0"/>
      </w:pPr>
      <w:hyperlink w:anchor="section_7ea5a9b7e6f3441da1fb24c4e7bf5afd">
        <w:r>
          <w:rPr>
            <w:rStyle w:val="Hyperlink"/>
          </w:rPr>
          <w:t>ST_FFStatusTextVal (Status Text Value)</w:t>
        </w:r>
      </w:hyperlink>
      <w:r>
        <w:t xml:space="preserve"> </w:t>
      </w:r>
      <w:r>
        <w:fldChar w:fldCharType="begin"/>
      </w:r>
      <w:r>
        <w:instrText>PAGEREF section_7ea5a9b7e6f3441da1fb24c4e7bf5afd</w:instrText>
      </w:r>
      <w:r>
        <w:fldChar w:fldCharType="separate"/>
      </w:r>
      <w:r>
        <w:rPr>
          <w:noProof/>
        </w:rPr>
        <w:t>229</w:t>
      </w:r>
      <w:r>
        <w:fldChar w:fldCharType="end"/>
      </w:r>
    </w:p>
    <w:p w:rsidR="00024C0A" w:rsidRDefault="00694C0F">
      <w:pPr>
        <w:pStyle w:val="indexentry0"/>
      </w:pPr>
      <w:hyperlink w:anchor="section_6ba27075db5b4f3dab0ae7347a2d56c5">
        <w:r>
          <w:rPr>
            <w:rStyle w:val="Hyperlink"/>
          </w:rPr>
          <w:t>ST_FileType (File Type)</w:t>
        </w:r>
      </w:hyperlink>
      <w:r>
        <w:t xml:space="preserve"> </w:t>
      </w:r>
      <w:r>
        <w:fldChar w:fldCharType="begin"/>
      </w:r>
      <w:r>
        <w:instrText>PAGEREF section_6ba27075db5b4f3dab0ae7347a2d56c5</w:instrText>
      </w:r>
      <w:r>
        <w:fldChar w:fldCharType="separate"/>
      </w:r>
      <w:r>
        <w:rPr>
          <w:noProof/>
        </w:rPr>
        <w:t>456</w:t>
      </w:r>
      <w:r>
        <w:fldChar w:fldCharType="end"/>
      </w:r>
    </w:p>
    <w:p w:rsidR="00024C0A" w:rsidRDefault="00694C0F">
      <w:pPr>
        <w:pStyle w:val="indexentry0"/>
      </w:pPr>
      <w:hyperlink w:anchor="section_1053b25753e44ce5a8cbd5525d9a6100">
        <w:r>
          <w:rPr>
            <w:rStyle w:val="Hyperlink"/>
          </w:rPr>
          <w:t>ST_FillId (Fill Id)</w:t>
        </w:r>
      </w:hyperlink>
      <w:r>
        <w:t xml:space="preserve"> </w:t>
      </w:r>
      <w:r>
        <w:fldChar w:fldCharType="begin"/>
      </w:r>
      <w:r>
        <w:instrText>PAGEREF section_1053b25753e44ce5a8cbd5525d9a6100</w:instrText>
      </w:r>
      <w:r>
        <w:fldChar w:fldCharType="separate"/>
      </w:r>
      <w:r>
        <w:rPr>
          <w:noProof/>
        </w:rPr>
        <w:t>456</w:t>
      </w:r>
      <w:r>
        <w:fldChar w:fldCharType="end"/>
      </w:r>
    </w:p>
    <w:p w:rsidR="00024C0A" w:rsidRDefault="00694C0F">
      <w:pPr>
        <w:pStyle w:val="indexentry0"/>
      </w:pPr>
      <w:hyperlink w:anchor="section_008cd8fe3ce04c7e8cfa41e93a741ff6">
        <w:r>
          <w:rPr>
            <w:rStyle w:val="Hyperlink"/>
          </w:rPr>
          <w:t>ST_FillM</w:t>
        </w:r>
        <w:r>
          <w:rPr>
            <w:rStyle w:val="Hyperlink"/>
          </w:rPr>
          <w:t>ethod (Gradient Fill Computation Type)</w:t>
        </w:r>
      </w:hyperlink>
      <w:r>
        <w:t xml:space="preserve"> </w:t>
      </w:r>
      <w:r>
        <w:fldChar w:fldCharType="begin"/>
      </w:r>
      <w:r>
        <w:instrText>PAGEREF section_008cd8fe3ce04c7e8cfa41e93a741ff6</w:instrText>
      </w:r>
      <w:r>
        <w:fldChar w:fldCharType="separate"/>
      </w:r>
      <w:r>
        <w:rPr>
          <w:noProof/>
        </w:rPr>
        <w:t>656</w:t>
      </w:r>
      <w:r>
        <w:fldChar w:fldCharType="end"/>
      </w:r>
    </w:p>
    <w:p w:rsidR="00024C0A" w:rsidRDefault="00694C0F">
      <w:pPr>
        <w:pStyle w:val="indexentry0"/>
      </w:pPr>
      <w:r>
        <w:t>ST_FillType (Shape Fill Type) (</w:t>
      </w:r>
      <w:hyperlink w:anchor="section_171b0dbff49c41e19b891784a823b0d0">
        <w:r>
          <w:rPr>
            <w:rStyle w:val="Hyperlink"/>
          </w:rPr>
          <w:t>section 2.1.1809</w:t>
        </w:r>
      </w:hyperlink>
      <w:r>
        <w:t xml:space="preserve"> </w:t>
      </w:r>
      <w:r>
        <w:fldChar w:fldCharType="begin"/>
      </w:r>
      <w:r>
        <w:instrText>PAGEREF section_171b0dbff49c41e19b891784a823b0d0</w:instrText>
      </w:r>
      <w:r>
        <w:fldChar w:fldCharType="separate"/>
      </w:r>
      <w:r>
        <w:rPr>
          <w:noProof/>
        </w:rPr>
        <w:t>656</w:t>
      </w:r>
      <w:r>
        <w:fldChar w:fldCharType="end"/>
      </w:r>
      <w:r>
        <w:t xml:space="preserve">, </w:t>
      </w:r>
      <w:hyperlink w:anchor="section_1f135f48bcf84e1ea0c1b1c87f553189">
        <w:r>
          <w:rPr>
            <w:rStyle w:val="Hyperlink"/>
          </w:rPr>
          <w:t>section 2.1.1840</w:t>
        </w:r>
      </w:hyperlink>
      <w:r>
        <w:t xml:space="preserve"> </w:t>
      </w:r>
      <w:r>
        <w:fldChar w:fldCharType="begin"/>
      </w:r>
      <w:r>
        <w:instrText>PAGEREF section_1f135f48bcf84e1ea0c1b1c87f553189</w:instrText>
      </w:r>
      <w:r>
        <w:fldChar w:fldCharType="separate"/>
      </w:r>
      <w:r>
        <w:rPr>
          <w:noProof/>
        </w:rPr>
        <w:t>671</w:t>
      </w:r>
      <w:r>
        <w:fldChar w:fldCharType="end"/>
      </w:r>
      <w:r>
        <w:t>)</w:t>
      </w:r>
    </w:p>
    <w:p w:rsidR="00024C0A" w:rsidRDefault="00694C0F">
      <w:pPr>
        <w:pStyle w:val="indexentry0"/>
      </w:pPr>
      <w:hyperlink w:anchor="section_caf86f6814a24da395878b7c9b671ba7">
        <w:r>
          <w:rPr>
            <w:rStyle w:val="Hyperlink"/>
          </w:rPr>
          <w:t>ST_FixedPercentage (Fixed Percentage)</w:t>
        </w:r>
      </w:hyperlink>
      <w:r>
        <w:t xml:space="preserve"> </w:t>
      </w:r>
      <w:r>
        <w:fldChar w:fldCharType="begin"/>
      </w:r>
      <w:r>
        <w:instrText>PAGEREF section_caf86</w:instrText>
      </w:r>
      <w:r>
        <w:instrText>f6814a24da395878b7c9b671ba7</w:instrText>
      </w:r>
      <w:r>
        <w:fldChar w:fldCharType="separate"/>
      </w:r>
      <w:r>
        <w:rPr>
          <w:noProof/>
        </w:rPr>
        <w:t>515</w:t>
      </w:r>
      <w:r>
        <w:fldChar w:fldCharType="end"/>
      </w:r>
    </w:p>
    <w:p w:rsidR="00024C0A" w:rsidRDefault="00694C0F">
      <w:pPr>
        <w:pStyle w:val="indexentry0"/>
      </w:pPr>
      <w:hyperlink w:anchor="section_8ebf82e44fa443a69ecdd2d793a6f4bf">
        <w:r>
          <w:rPr>
            <w:rStyle w:val="Hyperlink"/>
          </w:rPr>
          <w:t>ST_Formula (Formula)</w:t>
        </w:r>
      </w:hyperlink>
      <w:r>
        <w:t xml:space="preserve"> </w:t>
      </w:r>
      <w:r>
        <w:fldChar w:fldCharType="begin"/>
      </w:r>
      <w:r>
        <w:instrText>PAGEREF section_8ebf82e44fa443a69ecdd2d793a6f4bf</w:instrText>
      </w:r>
      <w:r>
        <w:fldChar w:fldCharType="separate"/>
      </w:r>
      <w:r>
        <w:rPr>
          <w:noProof/>
        </w:rPr>
        <w:t>456</w:t>
      </w:r>
      <w:r>
        <w:fldChar w:fldCharType="end"/>
      </w:r>
    </w:p>
    <w:p w:rsidR="00024C0A" w:rsidRDefault="00694C0F">
      <w:pPr>
        <w:pStyle w:val="indexentry0"/>
      </w:pPr>
      <w:hyperlink w:anchor="section_c96929a126d44fe4819f37727a9492e8">
        <w:r>
          <w:rPr>
            <w:rStyle w:val="Hyperlink"/>
          </w:rPr>
          <w:t>ST_Fraction (Fraction Type)</w:t>
        </w:r>
      </w:hyperlink>
      <w:r>
        <w:t xml:space="preserve"> </w:t>
      </w:r>
      <w:r>
        <w:fldChar w:fldCharType="begin"/>
      </w:r>
      <w:r>
        <w:instrText>PAGEREF section_c96929a126d44fe4819f37727a9492e8</w:instrText>
      </w:r>
      <w:r>
        <w:fldChar w:fldCharType="separate"/>
      </w:r>
      <w:r>
        <w:rPr>
          <w:noProof/>
        </w:rPr>
        <w:t>891</w:t>
      </w:r>
      <w:r>
        <w:fldChar w:fldCharType="end"/>
      </w:r>
    </w:p>
    <w:p w:rsidR="00024C0A" w:rsidRDefault="00694C0F">
      <w:pPr>
        <w:pStyle w:val="indexentry0"/>
      </w:pPr>
      <w:hyperlink w:anchor="section_f84063fe7ad248c78f86630a1cd53133">
        <w:r>
          <w:rPr>
            <w:rStyle w:val="Hyperlink"/>
          </w:rPr>
          <w:t>ST_FrameLayout (Frameset Layout Order)</w:t>
        </w:r>
      </w:hyperlink>
      <w:r>
        <w:t xml:space="preserve"> </w:t>
      </w:r>
      <w:r>
        <w:fldChar w:fldCharType="begin"/>
      </w:r>
      <w:r>
        <w:instrText>PAGEREF section_f84063fe7ad248c78f86630a1cd53133</w:instrText>
      </w:r>
      <w:r>
        <w:fldChar w:fldCharType="separate"/>
      </w:r>
      <w:r>
        <w:rPr>
          <w:noProof/>
        </w:rPr>
        <w:t>229</w:t>
      </w:r>
      <w:r>
        <w:fldChar w:fldCharType="end"/>
      </w:r>
    </w:p>
    <w:p w:rsidR="00024C0A" w:rsidRDefault="00694C0F">
      <w:pPr>
        <w:pStyle w:val="indexentry0"/>
      </w:pPr>
      <w:hyperlink w:anchor="section_22bdb755e0c948d282929d5fac2c9a7b">
        <w:r>
          <w:rPr>
            <w:rStyle w:val="Hyperlink"/>
          </w:rPr>
          <w:t>ST_FtnPos (Footnote Positioning Location)</w:t>
        </w:r>
      </w:hyperlink>
      <w:r>
        <w:t xml:space="preserve"> </w:t>
      </w:r>
      <w:r>
        <w:fldChar w:fldCharType="begin"/>
      </w:r>
      <w:r>
        <w:instrText>PAGEREF section_22bdb755e0c948d282929d5fac2c9a7b</w:instrText>
      </w:r>
      <w:r>
        <w:fldChar w:fldCharType="separate"/>
      </w:r>
      <w:r>
        <w:rPr>
          <w:noProof/>
        </w:rPr>
        <w:t>229</w:t>
      </w:r>
      <w:r>
        <w:fldChar w:fldCharType="end"/>
      </w:r>
    </w:p>
    <w:p w:rsidR="00024C0A" w:rsidRDefault="00694C0F">
      <w:pPr>
        <w:pStyle w:val="indexentry0"/>
      </w:pPr>
      <w:hyperlink w:anchor="section_9e882b63252440088fd885e34d6585c3">
        <w:r>
          <w:rPr>
            <w:rStyle w:val="Hyperlink"/>
          </w:rPr>
          <w:t>ST_Grouping (Grouping)</w:t>
        </w:r>
      </w:hyperlink>
      <w:r>
        <w:t xml:space="preserve"> </w:t>
      </w:r>
      <w:r>
        <w:fldChar w:fldCharType="begin"/>
      </w:r>
      <w:r>
        <w:instrText>PAGEREF section_9e882b63252440088fd885e34d6585c3</w:instrText>
      </w:r>
      <w:r>
        <w:fldChar w:fldCharType="separate"/>
      </w:r>
      <w:r>
        <w:rPr>
          <w:noProof/>
        </w:rPr>
        <w:t>574</w:t>
      </w:r>
      <w:r>
        <w:fldChar w:fldCharType="end"/>
      </w:r>
    </w:p>
    <w:p w:rsidR="00024C0A" w:rsidRDefault="00694C0F">
      <w:pPr>
        <w:pStyle w:val="indexentry0"/>
      </w:pPr>
      <w:hyperlink w:anchor="section_df56a0b882f944d7b165a229c46c124f">
        <w:r>
          <w:rPr>
            <w:rStyle w:val="Hyperlink"/>
          </w:rPr>
          <w:t>ST_HdrFtr (Header or Footer Type)</w:t>
        </w:r>
      </w:hyperlink>
      <w:r>
        <w:t xml:space="preserve"> </w:t>
      </w:r>
      <w:r>
        <w:fldChar w:fldCharType="begin"/>
      </w:r>
      <w:r>
        <w:instrText>PAGEREF section_df56a0b882f944d7b165a229c46c124f</w:instrText>
      </w:r>
      <w:r>
        <w:fldChar w:fldCharType="separate"/>
      </w:r>
      <w:r>
        <w:rPr>
          <w:noProof/>
        </w:rPr>
        <w:t>229</w:t>
      </w:r>
      <w:r>
        <w:fldChar w:fldCharType="end"/>
      </w:r>
    </w:p>
    <w:p w:rsidR="00024C0A" w:rsidRDefault="00694C0F">
      <w:pPr>
        <w:pStyle w:val="indexentry0"/>
      </w:pPr>
      <w:hyperlink w:anchor="section_56d2baaf961d4e81bc6f09d90ef42a68">
        <w:r>
          <w:rPr>
            <w:rStyle w:val="Hyperlink"/>
          </w:rPr>
          <w:t>ST_HoleSize (Hole Size)</w:t>
        </w:r>
      </w:hyperlink>
      <w:r>
        <w:t xml:space="preserve"> </w:t>
      </w:r>
      <w:r>
        <w:fldChar w:fldCharType="begin"/>
      </w:r>
      <w:r>
        <w:instrText>PAGEREF section_56d2</w:instrText>
      </w:r>
      <w:r>
        <w:instrText>baaf961d4e81bc6f09d90ef42a68</w:instrText>
      </w:r>
      <w:r>
        <w:fldChar w:fldCharType="separate"/>
      </w:r>
      <w:r>
        <w:rPr>
          <w:noProof/>
        </w:rPr>
        <w:t>574</w:t>
      </w:r>
      <w:r>
        <w:fldChar w:fldCharType="end"/>
      </w:r>
    </w:p>
    <w:p w:rsidR="00024C0A" w:rsidRDefault="00694C0F">
      <w:pPr>
        <w:pStyle w:val="indexentry0"/>
      </w:pPr>
      <w:hyperlink w:anchor="section_2db502c99202424a89598502d8894678">
        <w:r>
          <w:rPr>
            <w:rStyle w:val="Hyperlink"/>
          </w:rPr>
          <w:t>ST_HorizontalAnchor (Horizontal Anchor Type)</w:t>
        </w:r>
      </w:hyperlink>
      <w:r>
        <w:t xml:space="preserve"> </w:t>
      </w:r>
      <w:r>
        <w:fldChar w:fldCharType="begin"/>
      </w:r>
      <w:r>
        <w:instrText>PAGEREF section_2db502c99202424a89598502d8894678</w:instrText>
      </w:r>
      <w:r>
        <w:fldChar w:fldCharType="separate"/>
      </w:r>
      <w:r>
        <w:rPr>
          <w:noProof/>
        </w:rPr>
        <w:t>672</w:t>
      </w:r>
      <w:r>
        <w:fldChar w:fldCharType="end"/>
      </w:r>
    </w:p>
    <w:p w:rsidR="00024C0A" w:rsidRDefault="00694C0F">
      <w:pPr>
        <w:pStyle w:val="indexentry0"/>
      </w:pPr>
      <w:hyperlink w:anchor="section_2d0bf5facdf44e5f9a49d3b3e0a2a35c">
        <w:r>
          <w:rPr>
            <w:rStyle w:val="Hyperlink"/>
          </w:rPr>
          <w:t>ST_</w:t>
        </w:r>
        <w:r>
          <w:rPr>
            <w:rStyle w:val="Hyperlink"/>
          </w:rPr>
          <w:t>HpsMeasure (Measurement in Half-Points)</w:t>
        </w:r>
      </w:hyperlink>
      <w:r>
        <w:t xml:space="preserve"> </w:t>
      </w:r>
      <w:r>
        <w:fldChar w:fldCharType="begin"/>
      </w:r>
      <w:r>
        <w:instrText>PAGEREF section_2d0bf5facdf44e5f9a49d3b3e0a2a35c</w:instrText>
      </w:r>
      <w:r>
        <w:fldChar w:fldCharType="separate"/>
      </w:r>
      <w:r>
        <w:rPr>
          <w:noProof/>
        </w:rPr>
        <w:t>229</w:t>
      </w:r>
      <w:r>
        <w:fldChar w:fldCharType="end"/>
      </w:r>
    </w:p>
    <w:p w:rsidR="00024C0A" w:rsidRDefault="00694C0F">
      <w:pPr>
        <w:pStyle w:val="indexentry0"/>
      </w:pPr>
      <w:hyperlink w:anchor="section_c4cfb1aae45d4ae0bc786ec437e9c444">
        <w:r>
          <w:rPr>
            <w:rStyle w:val="Hyperlink"/>
          </w:rPr>
          <w:t>ST_IconSetType (Icon Set Type)</w:t>
        </w:r>
      </w:hyperlink>
      <w:r>
        <w:t xml:space="preserve"> </w:t>
      </w:r>
      <w:r>
        <w:fldChar w:fldCharType="begin"/>
      </w:r>
      <w:r>
        <w:instrText>PAGEREF section_c4cfb1aae45d4ae0bc786ec437e9c444</w:instrText>
      </w:r>
      <w:r>
        <w:fldChar w:fldCharType="separate"/>
      </w:r>
      <w:r>
        <w:rPr>
          <w:noProof/>
        </w:rPr>
        <w:t>456</w:t>
      </w:r>
      <w:r>
        <w:fldChar w:fldCharType="end"/>
      </w:r>
    </w:p>
    <w:p w:rsidR="00024C0A" w:rsidRDefault="00694C0F">
      <w:pPr>
        <w:pStyle w:val="indexentry0"/>
      </w:pPr>
      <w:hyperlink w:anchor="section_fc63ec620566496f8ec8cb3ee90bdd9a">
        <w:r>
          <w:rPr>
            <w:rStyle w:val="Hyperlink"/>
          </w:rPr>
          <w:t>ST_IntNonNegative (Non-Negative Integer)</w:t>
        </w:r>
      </w:hyperlink>
      <w:r>
        <w:t xml:space="preserve"> </w:t>
      </w:r>
      <w:r>
        <w:fldChar w:fldCharType="begin"/>
      </w:r>
      <w:r>
        <w:instrText>PAGEREF section_fc63ec620566496f8ec8cb3ee90bdd9a</w:instrText>
      </w:r>
      <w:r>
        <w:fldChar w:fldCharType="separate"/>
      </w:r>
      <w:r>
        <w:rPr>
          <w:noProof/>
        </w:rPr>
        <w:t>862</w:t>
      </w:r>
      <w:r>
        <w:fldChar w:fldCharType="end"/>
      </w:r>
    </w:p>
    <w:p w:rsidR="00024C0A" w:rsidRDefault="00694C0F">
      <w:pPr>
        <w:pStyle w:val="indexentry0"/>
      </w:pPr>
      <w:hyperlink w:anchor="section_07c96be7c9ee4987ab27c667e4b5ebfa">
        <w:r>
          <w:rPr>
            <w:rStyle w:val="Hyperlink"/>
          </w:rPr>
          <w:t>ST_Jc (Horizontal Alignment Type)</w:t>
        </w:r>
      </w:hyperlink>
      <w:r>
        <w:t xml:space="preserve"> </w:t>
      </w:r>
      <w:r>
        <w:fldChar w:fldCharType="begin"/>
      </w:r>
      <w:r>
        <w:instrText>PAGEREF section_07c</w:instrText>
      </w:r>
      <w:r>
        <w:instrText>96be7c9ee4987ab27c667e4b5ebfa</w:instrText>
      </w:r>
      <w:r>
        <w:fldChar w:fldCharType="separate"/>
      </w:r>
      <w:r>
        <w:rPr>
          <w:noProof/>
        </w:rPr>
        <w:t>230</w:t>
      </w:r>
      <w:r>
        <w:fldChar w:fldCharType="end"/>
      </w:r>
    </w:p>
    <w:p w:rsidR="00024C0A" w:rsidRDefault="00694C0F">
      <w:pPr>
        <w:pStyle w:val="indexentry0"/>
      </w:pPr>
      <w:hyperlink w:anchor="section_ad3c1e3e6b9641e28f45c78a8e025284">
        <w:r>
          <w:rPr>
            <w:rStyle w:val="Hyperlink"/>
          </w:rPr>
          <w:t>ST_Jc (Justification)</w:t>
        </w:r>
      </w:hyperlink>
      <w:r>
        <w:t xml:space="preserve"> </w:t>
      </w:r>
      <w:r>
        <w:fldChar w:fldCharType="begin"/>
      </w:r>
      <w:r>
        <w:instrText>PAGEREF section_ad3c1e3e6b9641e28f45c78a8e025284</w:instrText>
      </w:r>
      <w:r>
        <w:fldChar w:fldCharType="separate"/>
      </w:r>
      <w:r>
        <w:rPr>
          <w:noProof/>
        </w:rPr>
        <w:t>602</w:t>
      </w:r>
      <w:r>
        <w:fldChar w:fldCharType="end"/>
      </w:r>
    </w:p>
    <w:p w:rsidR="00024C0A" w:rsidRDefault="00694C0F">
      <w:pPr>
        <w:pStyle w:val="indexentry0"/>
      </w:pPr>
      <w:hyperlink w:anchor="section_ed06cf15306c43be9053ca81ca51e656">
        <w:r>
          <w:rPr>
            <w:rStyle w:val="Hyperlink"/>
          </w:rPr>
          <w:t>ST_Lang (Language Referen</w:t>
        </w:r>
        <w:r>
          <w:rPr>
            <w:rStyle w:val="Hyperlink"/>
          </w:rPr>
          <w:t>ce)</w:t>
        </w:r>
      </w:hyperlink>
      <w:r>
        <w:t xml:space="preserve"> </w:t>
      </w:r>
      <w:r>
        <w:fldChar w:fldCharType="begin"/>
      </w:r>
      <w:r>
        <w:instrText>PAGEREF section_ed06cf15306c43be9053ca81ca51e656</w:instrText>
      </w:r>
      <w:r>
        <w:fldChar w:fldCharType="separate"/>
      </w:r>
      <w:r>
        <w:rPr>
          <w:noProof/>
        </w:rPr>
        <w:t>610</w:t>
      </w:r>
      <w:r>
        <w:fldChar w:fldCharType="end"/>
      </w:r>
    </w:p>
    <w:p w:rsidR="00024C0A" w:rsidRDefault="00694C0F">
      <w:pPr>
        <w:pStyle w:val="indexentry0"/>
      </w:pPr>
      <w:hyperlink w:anchor="section_bb8565e7dfea453f868bae680ab8a823">
        <w:r>
          <w:rPr>
            <w:rStyle w:val="Hyperlink"/>
          </w:rPr>
          <w:t>ST_LayoutMode (Layout Mode)</w:t>
        </w:r>
      </w:hyperlink>
      <w:r>
        <w:t xml:space="preserve"> </w:t>
      </w:r>
      <w:r>
        <w:fldChar w:fldCharType="begin"/>
      </w:r>
      <w:r>
        <w:instrText>PAGEREF section_bb8565e7dfea453f868bae680ab8a823</w:instrText>
      </w:r>
      <w:r>
        <w:fldChar w:fldCharType="separate"/>
      </w:r>
      <w:r>
        <w:rPr>
          <w:noProof/>
        </w:rPr>
        <w:t>574</w:t>
      </w:r>
      <w:r>
        <w:fldChar w:fldCharType="end"/>
      </w:r>
    </w:p>
    <w:p w:rsidR="00024C0A" w:rsidRDefault="00694C0F">
      <w:pPr>
        <w:pStyle w:val="indexentry0"/>
      </w:pPr>
      <w:hyperlink w:anchor="section_3184709832934157b36a7d48f3d9e56c">
        <w:r>
          <w:rPr>
            <w:rStyle w:val="Hyperlink"/>
          </w:rPr>
          <w:t>ST_LightRigDirection (Light Rig Direction)</w:t>
        </w:r>
      </w:hyperlink>
      <w:r>
        <w:t xml:space="preserve"> </w:t>
      </w:r>
      <w:r>
        <w:fldChar w:fldCharType="begin"/>
      </w:r>
      <w:r>
        <w:instrText>PAGEREF section_3184709832934157b36a7d48f3d9e56c</w:instrText>
      </w:r>
      <w:r>
        <w:fldChar w:fldCharType="separate"/>
      </w:r>
      <w:r>
        <w:rPr>
          <w:noProof/>
        </w:rPr>
        <w:t>516</w:t>
      </w:r>
      <w:r>
        <w:fldChar w:fldCharType="end"/>
      </w:r>
    </w:p>
    <w:p w:rsidR="00024C0A" w:rsidRDefault="00694C0F">
      <w:pPr>
        <w:pStyle w:val="indexentry0"/>
      </w:pPr>
      <w:hyperlink w:anchor="section_d1735889ad9d47ffa697563a1668319f">
        <w:r>
          <w:rPr>
            <w:rStyle w:val="Hyperlink"/>
          </w:rPr>
          <w:t>ST_LightRigType (Light Rig Type)</w:t>
        </w:r>
      </w:hyperlink>
      <w:r>
        <w:t xml:space="preserve"> </w:t>
      </w:r>
      <w:r>
        <w:fldChar w:fldCharType="begin"/>
      </w:r>
      <w:r>
        <w:instrText>PAGEREF section_d1735889ad9d47ffa697563a1668319f</w:instrText>
      </w:r>
      <w:r>
        <w:fldChar w:fldCharType="separate"/>
      </w:r>
      <w:r>
        <w:rPr>
          <w:noProof/>
        </w:rPr>
        <w:t>516</w:t>
      </w:r>
      <w:r>
        <w:fldChar w:fldCharType="end"/>
      </w:r>
    </w:p>
    <w:p w:rsidR="00024C0A" w:rsidRDefault="00694C0F">
      <w:pPr>
        <w:pStyle w:val="indexentry0"/>
      </w:pPr>
      <w:hyperlink w:anchor="section_2c49c5bfec714f76a22b92291c03a33c">
        <w:r>
          <w:rPr>
            <w:rStyle w:val="Hyperlink"/>
          </w:rPr>
          <w:t>ST_LineEndLength (Line End Length)</w:t>
        </w:r>
      </w:hyperlink>
      <w:r>
        <w:t xml:space="preserve"> </w:t>
      </w:r>
      <w:r>
        <w:fldChar w:fldCharType="begin"/>
      </w:r>
      <w:r>
        <w:instrText>PAGEREF section_2c49c5bfec714f76a22b92291c03a33c</w:instrText>
      </w:r>
      <w:r>
        <w:fldChar w:fldCharType="separate"/>
      </w:r>
      <w:r>
        <w:rPr>
          <w:noProof/>
        </w:rPr>
        <w:t>516</w:t>
      </w:r>
      <w:r>
        <w:fldChar w:fldCharType="end"/>
      </w:r>
    </w:p>
    <w:p w:rsidR="00024C0A" w:rsidRDefault="00694C0F">
      <w:pPr>
        <w:pStyle w:val="indexentry0"/>
      </w:pPr>
      <w:hyperlink w:anchor="section_5550378cb28d4a11ab1e6c6a64630186">
        <w:r>
          <w:rPr>
            <w:rStyle w:val="Hyperlink"/>
          </w:rPr>
          <w:t>ST_LineWidth (Line Width)</w:t>
        </w:r>
      </w:hyperlink>
      <w:r>
        <w:t xml:space="preserve"> </w:t>
      </w:r>
      <w:r>
        <w:fldChar w:fldCharType="begin"/>
      </w:r>
      <w:r>
        <w:instrText>PAGEREF section_5</w:instrText>
      </w:r>
      <w:r>
        <w:instrText>550378cb28d4a11ab1e6c6a64630186</w:instrText>
      </w:r>
      <w:r>
        <w:fldChar w:fldCharType="separate"/>
      </w:r>
      <w:r>
        <w:rPr>
          <w:noProof/>
        </w:rPr>
        <w:t>517</w:t>
      </w:r>
      <w:r>
        <w:fldChar w:fldCharType="end"/>
      </w:r>
    </w:p>
    <w:p w:rsidR="00024C0A" w:rsidRDefault="00694C0F">
      <w:pPr>
        <w:pStyle w:val="indexentry0"/>
      </w:pPr>
      <w:hyperlink w:anchor="section_3050d73125fe410bb51ffd10c3d03b78">
        <w:r>
          <w:rPr>
            <w:rStyle w:val="Hyperlink"/>
          </w:rPr>
          <w:t>ST_LongHexNumber (Four Digit Hexadecimal Number Value)</w:t>
        </w:r>
      </w:hyperlink>
      <w:r>
        <w:t xml:space="preserve"> </w:t>
      </w:r>
      <w:r>
        <w:fldChar w:fldCharType="begin"/>
      </w:r>
      <w:r>
        <w:instrText>PAGEREF section_3050d73125fe410bb51ffd10c3d03b78</w:instrText>
      </w:r>
      <w:r>
        <w:fldChar w:fldCharType="separate"/>
      </w:r>
      <w:r>
        <w:rPr>
          <w:noProof/>
        </w:rPr>
        <w:t>782</w:t>
      </w:r>
      <w:r>
        <w:fldChar w:fldCharType="end"/>
      </w:r>
    </w:p>
    <w:p w:rsidR="00024C0A" w:rsidRDefault="00694C0F">
      <w:pPr>
        <w:pStyle w:val="indexentry0"/>
      </w:pPr>
      <w:hyperlink w:anchor="section_3a025d97fe484df0a51d7ab3e024b866">
        <w:r>
          <w:rPr>
            <w:rStyle w:val="Hyperlink"/>
          </w:rPr>
          <w:t>ST_Macro (Custom Function Name Type)</w:t>
        </w:r>
      </w:hyperlink>
      <w:r>
        <w:t xml:space="preserve"> </w:t>
      </w:r>
      <w:r>
        <w:fldChar w:fldCharType="begin"/>
      </w:r>
      <w:r>
        <w:instrText>PAGEREF section_3a025d97fe484df0a51d7ab3e024b866</w:instrText>
      </w:r>
      <w:r>
        <w:fldChar w:fldCharType="separate"/>
      </w:r>
      <w:r>
        <w:rPr>
          <w:noProof/>
        </w:rPr>
        <w:t>891</w:t>
      </w:r>
      <w:r>
        <w:fldChar w:fldCharType="end"/>
      </w:r>
    </w:p>
    <w:p w:rsidR="00024C0A" w:rsidRDefault="00694C0F">
      <w:pPr>
        <w:pStyle w:val="indexentry0"/>
      </w:pPr>
      <w:hyperlink w:anchor="section_889892b800884fc2b546a4e8704b3c2c">
        <w:r>
          <w:rPr>
            <w:rStyle w:val="Hyperlink"/>
          </w:rPr>
          <w:t>ST_MailMergeDataType (Mail Merge Data Source Type Values)</w:t>
        </w:r>
      </w:hyperlink>
      <w:r>
        <w:t xml:space="preserve"> </w:t>
      </w:r>
      <w:r>
        <w:fldChar w:fldCharType="begin"/>
      </w:r>
      <w:r>
        <w:instrText>PAGEREF section_889892b800884fc2b5</w:instrText>
      </w:r>
      <w:r>
        <w:instrText>46a4e8704b3c2c</w:instrText>
      </w:r>
      <w:r>
        <w:fldChar w:fldCharType="separate"/>
      </w:r>
      <w:r>
        <w:rPr>
          <w:noProof/>
        </w:rPr>
        <w:t>230</w:t>
      </w:r>
      <w:r>
        <w:fldChar w:fldCharType="end"/>
      </w:r>
    </w:p>
    <w:p w:rsidR="00024C0A" w:rsidRDefault="00694C0F">
      <w:pPr>
        <w:pStyle w:val="indexentry0"/>
      </w:pPr>
      <w:hyperlink w:anchor="section_54d012c4b9dc4e50b14e0b151096b96b">
        <w:r>
          <w:rPr>
            <w:rStyle w:val="Hyperlink"/>
          </w:rPr>
          <w:t>ST_MarkerStyle (Marker Style)</w:t>
        </w:r>
      </w:hyperlink>
      <w:r>
        <w:t xml:space="preserve"> </w:t>
      </w:r>
      <w:r>
        <w:fldChar w:fldCharType="begin"/>
      </w:r>
      <w:r>
        <w:instrText>PAGEREF section_54d012c4b9dc4e50b14e0b151096b96b</w:instrText>
      </w:r>
      <w:r>
        <w:fldChar w:fldCharType="separate"/>
      </w:r>
      <w:r>
        <w:rPr>
          <w:noProof/>
        </w:rPr>
        <w:t>574</w:t>
      </w:r>
      <w:r>
        <w:fldChar w:fldCharType="end"/>
      </w:r>
    </w:p>
    <w:p w:rsidR="00024C0A" w:rsidRDefault="00694C0F">
      <w:pPr>
        <w:pStyle w:val="indexentry0"/>
      </w:pPr>
      <w:hyperlink w:anchor="section_205e43f89d014953a67fd7c91ccd6ffd">
        <w:r>
          <w:rPr>
            <w:rStyle w:val="Hyperlink"/>
          </w:rPr>
          <w:t>ST_MarkupId (Annotation Identifier)</w:t>
        </w:r>
      </w:hyperlink>
      <w:r>
        <w:t xml:space="preserve"> </w:t>
      </w:r>
      <w:r>
        <w:fldChar w:fldCharType="begin"/>
      </w:r>
      <w:r>
        <w:instrText>PAGEREF section_205e43f89d014953a67fd7c91ccd6ffd</w:instrText>
      </w:r>
      <w:r>
        <w:fldChar w:fldCharType="separate"/>
      </w:r>
      <w:r>
        <w:rPr>
          <w:noProof/>
        </w:rPr>
        <w:t>819</w:t>
      </w:r>
      <w:r>
        <w:fldChar w:fldCharType="end"/>
      </w:r>
    </w:p>
    <w:p w:rsidR="00024C0A" w:rsidRDefault="00694C0F">
      <w:pPr>
        <w:pStyle w:val="indexentry0"/>
      </w:pPr>
      <w:hyperlink w:anchor="section_70e3977f3686456a896fb98b9a3be08e">
        <w:r>
          <w:rPr>
            <w:rStyle w:val="Hyperlink"/>
          </w:rPr>
          <w:t>ST_Merge (Merged Cell Type)</w:t>
        </w:r>
      </w:hyperlink>
      <w:r>
        <w:t xml:space="preserve"> </w:t>
      </w:r>
      <w:r>
        <w:fldChar w:fldCharType="begin"/>
      </w:r>
      <w:r>
        <w:instrText>PAGEREF section_70e3977f3686456a896fb98b9a3be08e</w:instrText>
      </w:r>
      <w:r>
        <w:fldChar w:fldCharType="separate"/>
      </w:r>
      <w:r>
        <w:rPr>
          <w:noProof/>
        </w:rPr>
        <w:t>230</w:t>
      </w:r>
      <w:r>
        <w:fldChar w:fldCharType="end"/>
      </w:r>
    </w:p>
    <w:p w:rsidR="00024C0A" w:rsidRDefault="00694C0F">
      <w:pPr>
        <w:pStyle w:val="indexentry0"/>
      </w:pPr>
      <w:hyperlink w:anchor="section_8ddb0e2037f84cb9a2e083d20de6fe2c">
        <w:r>
          <w:rPr>
            <w:rStyle w:val="Hyperlink"/>
          </w:rPr>
          <w:t>ST_NcName255 (Non-colonized Name)</w:t>
        </w:r>
      </w:hyperlink>
      <w:r>
        <w:t xml:space="preserve"> </w:t>
      </w:r>
      <w:r>
        <w:fldChar w:fldCharType="begin"/>
      </w:r>
      <w:r>
        <w:instrText>PAGEREF section_8ddb0e2037f84cb9a2e083d20de6fe2c</w:instrText>
      </w:r>
      <w:r>
        <w:fldChar w:fldCharType="separate"/>
      </w:r>
      <w:r>
        <w:rPr>
          <w:noProof/>
        </w:rPr>
        <w:t>819</w:t>
      </w:r>
      <w:r>
        <w:fldChar w:fldCharType="end"/>
      </w:r>
    </w:p>
    <w:p w:rsidR="00024C0A" w:rsidRDefault="00694C0F">
      <w:pPr>
        <w:pStyle w:val="indexentry0"/>
      </w:pPr>
      <w:hyperlink w:anchor="section_9613ebd34b174f35b1931665d0e3b8a5">
        <w:r>
          <w:rPr>
            <w:rStyle w:val="Hyperlink"/>
          </w:rPr>
          <w:t>ST_NonNegativeDecimalNumber (Non-Negative Decimal Number Value)</w:t>
        </w:r>
      </w:hyperlink>
      <w:r>
        <w:t xml:space="preserve"> </w:t>
      </w:r>
      <w:r>
        <w:fldChar w:fldCharType="begin"/>
      </w:r>
      <w:r>
        <w:instrText>PAGEREF section_9613ebd34b174f35b1931665d0e3b8a5</w:instrText>
      </w:r>
      <w:r>
        <w:fldChar w:fldCharType="separate"/>
      </w:r>
      <w:r>
        <w:rPr>
          <w:noProof/>
        </w:rPr>
        <w:t>819</w:t>
      </w:r>
      <w:r>
        <w:fldChar w:fldCharType="end"/>
      </w:r>
    </w:p>
    <w:p w:rsidR="00024C0A" w:rsidRDefault="00694C0F">
      <w:pPr>
        <w:pStyle w:val="indexentry0"/>
      </w:pPr>
      <w:hyperlink w:anchor="section_ea3612c8a09946c399a993658a30cb01">
        <w:r>
          <w:rPr>
            <w:rStyle w:val="Hyperlink"/>
          </w:rPr>
          <w:t>ST_NumberFormat (Numbering Format)</w:t>
        </w:r>
      </w:hyperlink>
      <w:r>
        <w:t xml:space="preserve"> </w:t>
      </w:r>
      <w:r>
        <w:fldChar w:fldCharType="begin"/>
      </w:r>
      <w:r>
        <w:instrText>PAGEREF section_ea3612c8a09946c399a993658a30cb01</w:instrText>
      </w:r>
      <w:r>
        <w:fldChar w:fldCharType="separate"/>
      </w:r>
      <w:r>
        <w:rPr>
          <w:noProof/>
        </w:rPr>
        <w:t>230</w:t>
      </w:r>
      <w:r>
        <w:fldChar w:fldCharType="end"/>
      </w:r>
    </w:p>
    <w:p w:rsidR="00024C0A" w:rsidRDefault="00694C0F">
      <w:pPr>
        <w:pStyle w:val="indexentry0"/>
      </w:pPr>
      <w:hyperlink w:anchor="section_693a4c2462a847d187514405629f6f50">
        <w:r>
          <w:rPr>
            <w:rStyle w:val="Hyperlink"/>
          </w:rPr>
          <w:t>ST_NumFmtId (Number Format Id)</w:t>
        </w:r>
      </w:hyperlink>
      <w:r>
        <w:t xml:space="preserve"> </w:t>
      </w:r>
      <w:r>
        <w:fldChar w:fldCharType="begin"/>
      </w:r>
      <w:r>
        <w:instrText>PAGEREF section_693a4c2462a847d187514405629f6f50</w:instrText>
      </w:r>
      <w:r>
        <w:fldChar w:fldCharType="separate"/>
      </w:r>
      <w:r>
        <w:rPr>
          <w:noProof/>
        </w:rPr>
        <w:t>456</w:t>
      </w:r>
      <w:r>
        <w:fldChar w:fldCharType="end"/>
      </w:r>
    </w:p>
    <w:p w:rsidR="00024C0A" w:rsidRDefault="00694C0F">
      <w:pPr>
        <w:pStyle w:val="indexentry0"/>
      </w:pPr>
      <w:hyperlink w:anchor="section_bf23da8a2e1d4d268eb40ba002bd78f6">
        <w:r>
          <w:rPr>
            <w:rStyle w:val="Hyperlink"/>
          </w:rPr>
          <w:t>ST_ObjID (Object ID)</w:t>
        </w:r>
      </w:hyperlink>
      <w:r>
        <w:t xml:space="preserve"> </w:t>
      </w:r>
      <w:r>
        <w:fldChar w:fldCharType="begin"/>
      </w:r>
      <w:r>
        <w:instrText>PAGEREF section_bf23da8a2e1d4d268eb40ba002bd78f6</w:instrText>
      </w:r>
      <w:r>
        <w:fldChar w:fldCharType="separate"/>
      </w:r>
      <w:r>
        <w:rPr>
          <w:noProof/>
        </w:rPr>
        <w:t>892</w:t>
      </w:r>
      <w:r>
        <w:fldChar w:fldCharType="end"/>
      </w:r>
    </w:p>
    <w:p w:rsidR="00024C0A" w:rsidRDefault="00694C0F">
      <w:pPr>
        <w:pStyle w:val="indexentry0"/>
      </w:pPr>
      <w:hyperlink w:anchor="section_9fa89b60c362417d97158382b70c6275">
        <w:r>
          <w:rPr>
            <w:rStyle w:val="Hyperlink"/>
          </w:rPr>
          <w:t>ST_ObjIDRef (Object ID Reference)</w:t>
        </w:r>
      </w:hyperlink>
      <w:r>
        <w:t xml:space="preserve"> </w:t>
      </w:r>
      <w:r>
        <w:fldChar w:fldCharType="begin"/>
      </w:r>
      <w:r>
        <w:instrText>PAGEREF section_9fa89b60c362417d97158382b70c6275</w:instrText>
      </w:r>
      <w:r>
        <w:fldChar w:fldCharType="separate"/>
      </w:r>
      <w:r>
        <w:rPr>
          <w:noProof/>
        </w:rPr>
        <w:t>892</w:t>
      </w:r>
      <w:r>
        <w:fldChar w:fldCharType="end"/>
      </w:r>
    </w:p>
    <w:p w:rsidR="00024C0A" w:rsidRDefault="00694C0F">
      <w:pPr>
        <w:pStyle w:val="indexentry0"/>
      </w:pPr>
      <w:hyperlink w:anchor="section_baf9ffb650d747c6944fdba3f307a332">
        <w:r>
          <w:rPr>
            <w:rStyle w:val="Hyperlink"/>
          </w:rPr>
          <w:t>ST_OLELinkType (Embedded Object Alternate Image Request Types)</w:t>
        </w:r>
      </w:hyperlink>
      <w:r>
        <w:t xml:space="preserve"> </w:t>
      </w:r>
      <w:r>
        <w:fldChar w:fldCharType="begin"/>
      </w:r>
      <w:r>
        <w:instrText>PAGEREF s</w:instrText>
      </w:r>
      <w:r>
        <w:instrText>ection_baf9ffb650d747c6944fdba3f307a332</w:instrText>
      </w:r>
      <w:r>
        <w:fldChar w:fldCharType="separate"/>
      </w:r>
      <w:r>
        <w:rPr>
          <w:noProof/>
        </w:rPr>
        <w:t>671</w:t>
      </w:r>
      <w:r>
        <w:fldChar w:fldCharType="end"/>
      </w:r>
    </w:p>
    <w:p w:rsidR="00024C0A" w:rsidRDefault="00694C0F">
      <w:pPr>
        <w:pStyle w:val="indexentry0"/>
      </w:pPr>
      <w:r>
        <w:t>ST_OnOff (On/Off Value) (</w:t>
      </w:r>
      <w:hyperlink w:anchor="section_aacf0e0fe33940ed8532ff57a2e6f8a6">
        <w:r>
          <w:rPr>
            <w:rStyle w:val="Hyperlink"/>
          </w:rPr>
          <w:t>section 2.1.1738</w:t>
        </w:r>
      </w:hyperlink>
      <w:r>
        <w:t xml:space="preserve"> </w:t>
      </w:r>
      <w:r>
        <w:fldChar w:fldCharType="begin"/>
      </w:r>
      <w:r>
        <w:instrText>PAGEREF section_aacf0e0fe33940ed8532ff57a2e6f8a6</w:instrText>
      </w:r>
      <w:r>
        <w:fldChar w:fldCharType="separate"/>
      </w:r>
      <w:r>
        <w:rPr>
          <w:noProof/>
        </w:rPr>
        <w:t>617</w:t>
      </w:r>
      <w:r>
        <w:fldChar w:fldCharType="end"/>
      </w:r>
      <w:r>
        <w:t xml:space="preserve">, </w:t>
      </w:r>
      <w:hyperlink w:anchor="section_815fcc39dc6c44f8ad2787b1d9f21571">
        <w:r>
          <w:rPr>
            <w:rStyle w:val="Hyperlink"/>
          </w:rPr>
          <w:t>section 3.1.2.3.3</w:t>
        </w:r>
      </w:hyperlink>
      <w:r>
        <w:t xml:space="preserve"> </w:t>
      </w:r>
      <w:r>
        <w:fldChar w:fldCharType="begin"/>
      </w:r>
      <w:r>
        <w:instrText>PAGEREF section_815fcc39dc6c44f8ad2787b1d9f21571</w:instrText>
      </w:r>
      <w:r>
        <w:fldChar w:fldCharType="separate"/>
      </w:r>
      <w:r>
        <w:rPr>
          <w:noProof/>
        </w:rPr>
        <w:t>782</w:t>
      </w:r>
      <w:r>
        <w:fldChar w:fldCharType="end"/>
      </w:r>
      <w:r>
        <w:t xml:space="preserve">, </w:t>
      </w:r>
      <w:hyperlink w:anchor="section_79cbec698430479d88c056dd44369074">
        <w:r>
          <w:rPr>
            <w:rStyle w:val="Hyperlink"/>
          </w:rPr>
          <w:t>section 3.1.3.3.6</w:t>
        </w:r>
      </w:hyperlink>
      <w:r>
        <w:t xml:space="preserve"> </w:t>
      </w:r>
      <w:r>
        <w:fldChar w:fldCharType="begin"/>
      </w:r>
      <w:r>
        <w:instrText>PAGEREF section_79cbec698430479d88c056dd44369074</w:instrText>
      </w:r>
      <w:r>
        <w:fldChar w:fldCharType="separate"/>
      </w:r>
      <w:r>
        <w:rPr>
          <w:noProof/>
        </w:rPr>
        <w:t>820</w:t>
      </w:r>
      <w:r>
        <w:fldChar w:fldCharType="end"/>
      </w:r>
      <w:r>
        <w:t>)</w:t>
      </w:r>
    </w:p>
    <w:p w:rsidR="00024C0A" w:rsidRDefault="00694C0F">
      <w:pPr>
        <w:pStyle w:val="indexentry0"/>
      </w:pPr>
      <w:hyperlink w:anchor="section_89794847d1b741ce9e2ac789afe390d2">
        <w:r>
          <w:rPr>
            <w:rStyle w:val="Hyperlink"/>
          </w:rPr>
          <w:t>ST_Orientation (Orientation)</w:t>
        </w:r>
      </w:hyperlink>
      <w:r>
        <w:t xml:space="preserve"> </w:t>
      </w:r>
      <w:r>
        <w:fldChar w:fldCharType="begin"/>
      </w:r>
      <w:r>
        <w:instrText>PAGEREF section_89794847d1b741ce9e2ac789afe390d2</w:instrText>
      </w:r>
      <w:r>
        <w:fldChar w:fldCharType="separate"/>
      </w:r>
      <w:r>
        <w:rPr>
          <w:noProof/>
        </w:rPr>
        <w:t>575</w:t>
      </w:r>
      <w:r>
        <w:fldChar w:fldCharType="end"/>
      </w:r>
    </w:p>
    <w:p w:rsidR="00024C0A" w:rsidRDefault="00694C0F">
      <w:pPr>
        <w:pStyle w:val="indexentry0"/>
      </w:pPr>
      <w:hyperlink w:anchor="section_aedde12f31894c22b1363b7a6b93e574">
        <w:r>
          <w:rPr>
            <w:rStyle w:val="Hyperlink"/>
          </w:rPr>
          <w:t>ST_PageBorderDisplay (Page Border Display Options)</w:t>
        </w:r>
      </w:hyperlink>
      <w:r>
        <w:t xml:space="preserve"> </w:t>
      </w:r>
      <w:r>
        <w:fldChar w:fldCharType="begin"/>
      </w:r>
      <w:r>
        <w:instrText>PAGEREF section_aedde12f31894c22b1363b7a6b93e574</w:instrText>
      </w:r>
      <w:r>
        <w:fldChar w:fldCharType="separate"/>
      </w:r>
      <w:r>
        <w:rPr>
          <w:noProof/>
        </w:rPr>
        <w:t>233</w:t>
      </w:r>
      <w:r>
        <w:fldChar w:fldCharType="end"/>
      </w:r>
    </w:p>
    <w:p w:rsidR="00024C0A" w:rsidRDefault="00694C0F">
      <w:pPr>
        <w:pStyle w:val="indexentry0"/>
      </w:pPr>
      <w:hyperlink w:anchor="section_3c6745b98475496091baa9a16ec7df86">
        <w:r>
          <w:rPr>
            <w:rStyle w:val="Hyperlink"/>
          </w:rPr>
          <w:t>ST_ParameterId (Parameter Identifier)</w:t>
        </w:r>
      </w:hyperlink>
      <w:r>
        <w:t xml:space="preserve"> </w:t>
      </w:r>
      <w:r>
        <w:fldChar w:fldCharType="begin"/>
      </w:r>
      <w:r>
        <w:instrText>PAGEREF section_3c6745b98475496091baa9a16ec7df86</w:instrText>
      </w:r>
      <w:r>
        <w:fldChar w:fldCharType="separate"/>
      </w:r>
      <w:r>
        <w:rPr>
          <w:noProof/>
        </w:rPr>
        <w:t>583</w:t>
      </w:r>
      <w:r>
        <w:fldChar w:fldCharType="end"/>
      </w:r>
    </w:p>
    <w:p w:rsidR="00024C0A" w:rsidRDefault="00694C0F">
      <w:pPr>
        <w:pStyle w:val="indexentry0"/>
      </w:pPr>
      <w:hyperlink w:anchor="section_bada29963fd44b83988292e14d6f9c7d">
        <w:r>
          <w:rPr>
            <w:rStyle w:val="Hyperlink"/>
          </w:rPr>
          <w:t>ST_PathFillMode (Path Fill Mode)</w:t>
        </w:r>
      </w:hyperlink>
      <w:r>
        <w:t xml:space="preserve"> </w:t>
      </w:r>
      <w:r>
        <w:fldChar w:fldCharType="begin"/>
      </w:r>
      <w:r>
        <w:instrText>PAGEREF section_bada29963fd44b83988292e14d6f9c7d</w:instrText>
      </w:r>
      <w:r>
        <w:fldChar w:fldCharType="separate"/>
      </w:r>
      <w:r>
        <w:rPr>
          <w:noProof/>
        </w:rPr>
        <w:t>517</w:t>
      </w:r>
      <w:r>
        <w:fldChar w:fldCharType="end"/>
      </w:r>
    </w:p>
    <w:p w:rsidR="00024C0A" w:rsidRDefault="00694C0F">
      <w:pPr>
        <w:pStyle w:val="indexentry0"/>
      </w:pPr>
      <w:hyperlink w:anchor="section_b3bbaebcf2ca4a799efdec0d1d3c6d9c">
        <w:r>
          <w:rPr>
            <w:rStyle w:val="Hyperlink"/>
          </w:rPr>
          <w:t>ST_PenAlignment (Alignment Type)</w:t>
        </w:r>
      </w:hyperlink>
      <w:r>
        <w:t xml:space="preserve"> </w:t>
      </w:r>
      <w:r>
        <w:fldChar w:fldCharType="begin"/>
      </w:r>
      <w:r>
        <w:instrText>PAGEREF section_b3bbaebcf2ca4a799efdec0d1d3c6d9c</w:instrText>
      </w:r>
      <w:r>
        <w:fldChar w:fldCharType="separate"/>
      </w:r>
      <w:r>
        <w:rPr>
          <w:noProof/>
        </w:rPr>
        <w:t>517</w:t>
      </w:r>
      <w:r>
        <w:fldChar w:fldCharType="end"/>
      </w:r>
    </w:p>
    <w:p w:rsidR="00024C0A" w:rsidRDefault="00694C0F">
      <w:pPr>
        <w:pStyle w:val="indexentry0"/>
      </w:pPr>
      <w:hyperlink w:anchor="section_ff18a37e9bd743389c371e285b5a5dd2">
        <w:r>
          <w:rPr>
            <w:rStyle w:val="Hyperlink"/>
          </w:rPr>
          <w:t>ST_Percentage (Percentage)</w:t>
        </w:r>
      </w:hyperlink>
      <w:r>
        <w:t xml:space="preserve"> </w:t>
      </w:r>
      <w:r>
        <w:fldChar w:fldCharType="begin"/>
      </w:r>
      <w:r>
        <w:instrText>PAGEREF section_ff18a37e9bd743389c371e285b5a5dd2</w:instrText>
      </w:r>
      <w:r>
        <w:fldChar w:fldCharType="separate"/>
      </w:r>
      <w:r>
        <w:rPr>
          <w:noProof/>
        </w:rPr>
        <w:t>517</w:t>
      </w:r>
      <w:r>
        <w:fldChar w:fldCharType="end"/>
      </w:r>
    </w:p>
    <w:p w:rsidR="00024C0A" w:rsidRDefault="00694C0F">
      <w:pPr>
        <w:pStyle w:val="indexentry0"/>
      </w:pPr>
      <w:hyperlink w:anchor="section_26be8f3ae9c24f589fa872bab178b598">
        <w:r>
          <w:rPr>
            <w:rStyle w:val="Hyperlink"/>
          </w:rPr>
          <w:t>ST_Period (Period)</w:t>
        </w:r>
      </w:hyperlink>
      <w:r>
        <w:t xml:space="preserve"> </w:t>
      </w:r>
      <w:r>
        <w:fldChar w:fldCharType="begin"/>
      </w:r>
      <w:r>
        <w:instrText>PAGEREF section_26be8f3ae9c24f589fa872bab17</w:instrText>
      </w:r>
      <w:r>
        <w:instrText>8b598</w:instrText>
      </w:r>
      <w:r>
        <w:fldChar w:fldCharType="separate"/>
      </w:r>
      <w:r>
        <w:rPr>
          <w:noProof/>
        </w:rPr>
        <w:t>575</w:t>
      </w:r>
      <w:r>
        <w:fldChar w:fldCharType="end"/>
      </w:r>
    </w:p>
    <w:p w:rsidR="00024C0A" w:rsidRDefault="00694C0F">
      <w:pPr>
        <w:pStyle w:val="indexentry0"/>
      </w:pPr>
      <w:hyperlink w:anchor="section_6b964c2deff640fcbecc6116a4ad1458">
        <w:r>
          <w:rPr>
            <w:rStyle w:val="Hyperlink"/>
          </w:rPr>
          <w:t>ST_Persistence (Control Persistence Attribute Contents)</w:t>
        </w:r>
      </w:hyperlink>
      <w:r>
        <w:t xml:space="preserve"> </w:t>
      </w:r>
      <w:r>
        <w:fldChar w:fldCharType="begin"/>
      </w:r>
      <w:r>
        <w:instrText>PAGEREF section_6b964c2deff640fcbecc6116a4ad1458</w:instrText>
      </w:r>
      <w:r>
        <w:fldChar w:fldCharType="separate"/>
      </w:r>
      <w:r>
        <w:rPr>
          <w:noProof/>
        </w:rPr>
        <w:t>875</w:t>
      </w:r>
      <w:r>
        <w:fldChar w:fldCharType="end"/>
      </w:r>
    </w:p>
    <w:p w:rsidR="00024C0A" w:rsidRDefault="00694C0F">
      <w:pPr>
        <w:pStyle w:val="indexentry0"/>
      </w:pPr>
      <w:hyperlink w:anchor="section_0215ce81e51b4bf7a61b27f8f76121ea">
        <w:r>
          <w:rPr>
            <w:rStyle w:val="Hyperlink"/>
          </w:rPr>
          <w:t xml:space="preserve">ST_Perspective </w:t>
        </w:r>
        <w:r>
          <w:rPr>
            <w:rStyle w:val="Hyperlink"/>
          </w:rPr>
          <w:t>(Perspective)</w:t>
        </w:r>
      </w:hyperlink>
      <w:r>
        <w:t xml:space="preserve"> </w:t>
      </w:r>
      <w:r>
        <w:fldChar w:fldCharType="begin"/>
      </w:r>
      <w:r>
        <w:instrText>PAGEREF section_0215ce81e51b4bf7a61b27f8f76121ea</w:instrText>
      </w:r>
      <w:r>
        <w:fldChar w:fldCharType="separate"/>
      </w:r>
      <w:r>
        <w:rPr>
          <w:noProof/>
        </w:rPr>
        <w:t>575</w:t>
      </w:r>
      <w:r>
        <w:fldChar w:fldCharType="end"/>
      </w:r>
    </w:p>
    <w:p w:rsidR="00024C0A" w:rsidRDefault="00694C0F">
      <w:pPr>
        <w:pStyle w:val="indexentry0"/>
      </w:pPr>
      <w:hyperlink w:anchor="section_f7289bd3806145098c2cb5fc2252c195">
        <w:r>
          <w:rPr>
            <w:rStyle w:val="Hyperlink"/>
          </w:rPr>
          <w:t>ST_PhoneticType (Phonetic Type)</w:t>
        </w:r>
      </w:hyperlink>
      <w:r>
        <w:t xml:space="preserve"> </w:t>
      </w:r>
      <w:r>
        <w:fldChar w:fldCharType="begin"/>
      </w:r>
      <w:r>
        <w:instrText>PAGEREF section_f7289bd3806145098c2cb5fc2252c195</w:instrText>
      </w:r>
      <w:r>
        <w:fldChar w:fldCharType="separate"/>
      </w:r>
      <w:r>
        <w:rPr>
          <w:noProof/>
        </w:rPr>
        <w:t>457</w:t>
      </w:r>
      <w:r>
        <w:fldChar w:fldCharType="end"/>
      </w:r>
    </w:p>
    <w:p w:rsidR="00024C0A" w:rsidRDefault="00694C0F">
      <w:pPr>
        <w:pStyle w:val="indexentry0"/>
      </w:pPr>
      <w:hyperlink w:anchor="section_a6e7bb555213462cbced2b1225810888">
        <w:r>
          <w:rPr>
            <w:rStyle w:val="Hyperlink"/>
          </w:rPr>
          <w:t>ST_PhotoAlbumFrameShape (Photo Album Shape for Photo Mask)</w:t>
        </w:r>
      </w:hyperlink>
      <w:r>
        <w:t xml:space="preserve"> </w:t>
      </w:r>
      <w:r>
        <w:fldChar w:fldCharType="begin"/>
      </w:r>
      <w:r>
        <w:instrText>PAGEREF section_a6e7bb555213462cbced2b1225810888</w:instrText>
      </w:r>
      <w:r>
        <w:fldChar w:fldCharType="separate"/>
      </w:r>
      <w:r>
        <w:rPr>
          <w:noProof/>
        </w:rPr>
        <w:t>490</w:t>
      </w:r>
      <w:r>
        <w:fldChar w:fldCharType="end"/>
      </w:r>
    </w:p>
    <w:p w:rsidR="00024C0A" w:rsidRDefault="00694C0F">
      <w:pPr>
        <w:pStyle w:val="indexentry0"/>
      </w:pPr>
      <w:hyperlink w:anchor="section_559db49f5917417e894b34c17cd12e33">
        <w:r>
          <w:rPr>
            <w:rStyle w:val="Hyperlink"/>
          </w:rPr>
          <w:t>ST_PictureFormat (Picture Format)</w:t>
        </w:r>
      </w:hyperlink>
      <w:r>
        <w:t xml:space="preserve"> </w:t>
      </w:r>
      <w:r>
        <w:fldChar w:fldCharType="begin"/>
      </w:r>
      <w:r>
        <w:instrText>PAGEREF section_559db49f5917417e894b34c17cd12e33</w:instrText>
      </w:r>
      <w:r>
        <w:fldChar w:fldCharType="separate"/>
      </w:r>
      <w:r>
        <w:rPr>
          <w:noProof/>
        </w:rPr>
        <w:t>575</w:t>
      </w:r>
      <w:r>
        <w:fldChar w:fldCharType="end"/>
      </w:r>
    </w:p>
    <w:p w:rsidR="00024C0A" w:rsidRDefault="00694C0F">
      <w:pPr>
        <w:pStyle w:val="indexentry0"/>
      </w:pPr>
      <w:hyperlink w:anchor="section_e3e3238f97ce40c0ae596b71a8f69a96">
        <w:r>
          <w:rPr>
            <w:rStyle w:val="Hyperlink"/>
          </w:rPr>
          <w:t>ST_PivotFilterType (Pivot Filter Types)</w:t>
        </w:r>
      </w:hyperlink>
      <w:r>
        <w:t xml:space="preserve"> </w:t>
      </w:r>
      <w:r>
        <w:fldChar w:fldCharType="begin"/>
      </w:r>
      <w:r>
        <w:instrText>PAGEREF section_e3e3238f97ce40c0ae596b71a8f69a96</w:instrText>
      </w:r>
      <w:r>
        <w:fldChar w:fldCharType="separate"/>
      </w:r>
      <w:r>
        <w:rPr>
          <w:noProof/>
        </w:rPr>
        <w:t>457</w:t>
      </w:r>
      <w:r>
        <w:fldChar w:fldCharType="end"/>
      </w:r>
    </w:p>
    <w:p w:rsidR="00024C0A" w:rsidRDefault="00694C0F">
      <w:pPr>
        <w:pStyle w:val="indexentry0"/>
      </w:pPr>
      <w:hyperlink w:anchor="section_b21388bd37bf41f0b4b69c84e2d212ec">
        <w:r>
          <w:rPr>
            <w:rStyle w:val="Hyperlink"/>
          </w:rPr>
          <w:t>ST_PointMeasure (Measurement in Points)</w:t>
        </w:r>
      </w:hyperlink>
      <w:r>
        <w:t xml:space="preserve"> </w:t>
      </w:r>
      <w:r>
        <w:fldChar w:fldCharType="begin"/>
      </w:r>
      <w:r>
        <w:instrText>PAGEREF section_b21388bd37bf41f0b4b69c84e2d212ec</w:instrText>
      </w:r>
      <w:r>
        <w:fldChar w:fldCharType="separate"/>
      </w:r>
      <w:r>
        <w:rPr>
          <w:noProof/>
        </w:rPr>
        <w:t>233</w:t>
      </w:r>
      <w:r>
        <w:fldChar w:fldCharType="end"/>
      </w:r>
    </w:p>
    <w:p w:rsidR="00024C0A" w:rsidRDefault="00694C0F">
      <w:pPr>
        <w:pStyle w:val="indexentry0"/>
      </w:pPr>
      <w:hyperlink w:anchor="section_518012ebe873450781192c51bf1081ed">
        <w:r>
          <w:rPr>
            <w:rStyle w:val="Hyperlink"/>
          </w:rPr>
          <w:t>ST_PositiveCoordinate (Positive Coordinate)</w:t>
        </w:r>
      </w:hyperlink>
      <w:r>
        <w:t xml:space="preserve"> </w:t>
      </w:r>
      <w:r>
        <w:fldChar w:fldCharType="begin"/>
      </w:r>
      <w:r>
        <w:instrText>PAGEREF section_518012ebe873450781192c51bf1</w:instrText>
      </w:r>
      <w:r>
        <w:instrText>081ed</w:instrText>
      </w:r>
      <w:r>
        <w:fldChar w:fldCharType="separate"/>
      </w:r>
      <w:r>
        <w:rPr>
          <w:noProof/>
        </w:rPr>
        <w:t>517</w:t>
      </w:r>
      <w:r>
        <w:fldChar w:fldCharType="end"/>
      </w:r>
    </w:p>
    <w:p w:rsidR="00024C0A" w:rsidRDefault="00694C0F">
      <w:pPr>
        <w:pStyle w:val="indexentry0"/>
      </w:pPr>
      <w:hyperlink w:anchor="section_1c25f0efb87947f0af0cb1b0d40f7d05">
        <w:r>
          <w:rPr>
            <w:rStyle w:val="Hyperlink"/>
          </w:rPr>
          <w:t>ST_PositiveFixedPercentage (Positive Fixed Percentage)</w:t>
        </w:r>
      </w:hyperlink>
      <w:r>
        <w:t xml:space="preserve"> </w:t>
      </w:r>
      <w:r>
        <w:fldChar w:fldCharType="begin"/>
      </w:r>
      <w:r>
        <w:instrText>PAGEREF section_1c25f0efb87947f0af0cb1b0d40f7d05</w:instrText>
      </w:r>
      <w:r>
        <w:fldChar w:fldCharType="separate"/>
      </w:r>
      <w:r>
        <w:rPr>
          <w:noProof/>
        </w:rPr>
        <w:t>517</w:t>
      </w:r>
      <w:r>
        <w:fldChar w:fldCharType="end"/>
      </w:r>
    </w:p>
    <w:p w:rsidR="00024C0A" w:rsidRDefault="00694C0F">
      <w:pPr>
        <w:pStyle w:val="indexentry0"/>
      </w:pPr>
      <w:hyperlink w:anchor="section_03aa848c942d469c817522d4948e0eb2">
        <w:r>
          <w:rPr>
            <w:rStyle w:val="Hyperlink"/>
          </w:rPr>
          <w:t>ST_PositiveInteg</w:t>
        </w:r>
        <w:r>
          <w:rPr>
            <w:rStyle w:val="Hyperlink"/>
          </w:rPr>
          <w:t>er (Positive Integer)</w:t>
        </w:r>
      </w:hyperlink>
      <w:r>
        <w:t xml:space="preserve"> </w:t>
      </w:r>
      <w:r>
        <w:fldChar w:fldCharType="begin"/>
      </w:r>
      <w:r>
        <w:instrText>PAGEREF section_03aa848c942d469c817522d4948e0eb2</w:instrText>
      </w:r>
      <w:r>
        <w:fldChar w:fldCharType="separate"/>
      </w:r>
      <w:r>
        <w:rPr>
          <w:noProof/>
        </w:rPr>
        <w:t>884</w:t>
      </w:r>
      <w:r>
        <w:fldChar w:fldCharType="end"/>
      </w:r>
    </w:p>
    <w:p w:rsidR="00024C0A" w:rsidRDefault="00694C0F">
      <w:pPr>
        <w:pStyle w:val="indexentry0"/>
      </w:pPr>
      <w:hyperlink w:anchor="section_c1f1feace34c48d5b2e2f67bb67113e7">
        <w:r>
          <w:rPr>
            <w:rStyle w:val="Hyperlink"/>
          </w:rPr>
          <w:t>ST_PositivePercentage (Positive Percentage)</w:t>
        </w:r>
      </w:hyperlink>
      <w:r>
        <w:t xml:space="preserve"> </w:t>
      </w:r>
      <w:r>
        <w:fldChar w:fldCharType="begin"/>
      </w:r>
      <w:r>
        <w:instrText>PAGEREF section_c1f1feace34c48d5b2e2f67bb67113e7</w:instrText>
      </w:r>
      <w:r>
        <w:fldChar w:fldCharType="separate"/>
      </w:r>
      <w:r>
        <w:rPr>
          <w:noProof/>
        </w:rPr>
        <w:t>518</w:t>
      </w:r>
      <w:r>
        <w:fldChar w:fldCharType="end"/>
      </w:r>
    </w:p>
    <w:p w:rsidR="00024C0A" w:rsidRDefault="00694C0F">
      <w:pPr>
        <w:pStyle w:val="indexentry0"/>
      </w:pPr>
      <w:hyperlink w:anchor="section_cc8be648028648f88f8e66b878d23432">
        <w:r>
          <w:rPr>
            <w:rStyle w:val="Hyperlink"/>
          </w:rPr>
          <w:t>ST_PresetColorVal (Preset Color Value)</w:t>
        </w:r>
      </w:hyperlink>
      <w:r>
        <w:t xml:space="preserve"> </w:t>
      </w:r>
      <w:r>
        <w:fldChar w:fldCharType="begin"/>
      </w:r>
      <w:r>
        <w:instrText>PAGEREF section_cc8be648028648f88f8e66b878d23432</w:instrText>
      </w:r>
      <w:r>
        <w:fldChar w:fldCharType="separate"/>
      </w:r>
      <w:r>
        <w:rPr>
          <w:noProof/>
        </w:rPr>
        <w:t>518</w:t>
      </w:r>
      <w:r>
        <w:fldChar w:fldCharType="end"/>
      </w:r>
    </w:p>
    <w:p w:rsidR="00024C0A" w:rsidRDefault="00694C0F">
      <w:pPr>
        <w:pStyle w:val="indexentry0"/>
      </w:pPr>
      <w:hyperlink w:anchor="section_8582a1426af4433fbcd977be5aacefaf">
        <w:r>
          <w:rPr>
            <w:rStyle w:val="Hyperlink"/>
          </w:rPr>
          <w:t>ST_PresetMaterialType (Preset Material Type)</w:t>
        </w:r>
      </w:hyperlink>
      <w:r>
        <w:t xml:space="preserve"> </w:t>
      </w:r>
      <w:r>
        <w:fldChar w:fldCharType="begin"/>
      </w:r>
      <w:r>
        <w:instrText>PAGEREF section_8582a1426af4433fbcd977be5aacefaf</w:instrText>
      </w:r>
      <w:r>
        <w:fldChar w:fldCharType="separate"/>
      </w:r>
      <w:r>
        <w:rPr>
          <w:noProof/>
        </w:rPr>
        <w:t>518</w:t>
      </w:r>
      <w:r>
        <w:fldChar w:fldCharType="end"/>
      </w:r>
    </w:p>
    <w:p w:rsidR="00024C0A" w:rsidRDefault="00694C0F">
      <w:pPr>
        <w:pStyle w:val="indexentry0"/>
      </w:pPr>
      <w:hyperlink w:anchor="section_2b440ff26db44035a578a0813d85890f">
        <w:r>
          <w:rPr>
            <w:rStyle w:val="Hyperlink"/>
          </w:rPr>
          <w:t>ST_ProofErr (Proofing Error Type)</w:t>
        </w:r>
      </w:hyperlink>
      <w:r>
        <w:t xml:space="preserve"> </w:t>
      </w:r>
      <w:r>
        <w:fldChar w:fldCharType="begin"/>
      </w:r>
      <w:r>
        <w:instrText>PAGEREF section_2b440ff26db44035a578a0813d85890f</w:instrText>
      </w:r>
      <w:r>
        <w:fldChar w:fldCharType="separate"/>
      </w:r>
      <w:r>
        <w:rPr>
          <w:noProof/>
        </w:rPr>
        <w:t>233</w:t>
      </w:r>
      <w:r>
        <w:fldChar w:fldCharType="end"/>
      </w:r>
    </w:p>
    <w:p w:rsidR="00024C0A" w:rsidRDefault="00694C0F">
      <w:pPr>
        <w:pStyle w:val="indexentry0"/>
      </w:pPr>
      <w:hyperlink w:anchor="section_64a6c4180f5541f386f657565be81008">
        <w:r>
          <w:rPr>
            <w:rStyle w:val="Hyperlink"/>
          </w:rPr>
          <w:t>ST_PublishDate (Publish Date Value)</w:t>
        </w:r>
      </w:hyperlink>
      <w:r>
        <w:t xml:space="preserve"> </w:t>
      </w:r>
      <w:r>
        <w:fldChar w:fldCharType="begin"/>
      </w:r>
      <w:r>
        <w:instrText>PAGEREF section_64a6c4180f5541f386f657565be81008</w:instrText>
      </w:r>
      <w:r>
        <w:fldChar w:fldCharType="separate"/>
      </w:r>
      <w:r>
        <w:rPr>
          <w:noProof/>
        </w:rPr>
        <w:t>851</w:t>
      </w:r>
      <w:r>
        <w:fldChar w:fldCharType="end"/>
      </w:r>
    </w:p>
    <w:p w:rsidR="00024C0A" w:rsidRDefault="00694C0F">
      <w:pPr>
        <w:pStyle w:val="indexentry0"/>
      </w:pPr>
      <w:hyperlink w:anchor="section_d82e893585824ef59b33bb5fe1dd8fe0">
        <w:r>
          <w:rPr>
            <w:rStyle w:val="Hyperlink"/>
          </w:rPr>
          <w:t>ST_RadarStyle (Radar Style)</w:t>
        </w:r>
      </w:hyperlink>
      <w:r>
        <w:t xml:space="preserve"> </w:t>
      </w:r>
      <w:r>
        <w:fldChar w:fldCharType="begin"/>
      </w:r>
      <w:r>
        <w:instrText>PAGEREF section_d82e893585824ef59b33bb5fe1dd8fe0</w:instrText>
      </w:r>
      <w:r>
        <w:fldChar w:fldCharType="separate"/>
      </w:r>
      <w:r>
        <w:rPr>
          <w:noProof/>
        </w:rPr>
        <w:t>575</w:t>
      </w:r>
      <w:r>
        <w:fldChar w:fldCharType="end"/>
      </w:r>
    </w:p>
    <w:p w:rsidR="00024C0A" w:rsidRDefault="00694C0F">
      <w:pPr>
        <w:pStyle w:val="indexentry0"/>
      </w:pPr>
      <w:hyperlink w:anchor="section_fe7f7a7d5ec741f886313ac7884f0883">
        <w:r>
          <w:rPr>
            <w:rStyle w:val="Hyperlink"/>
          </w:rPr>
          <w:t>ST_Ref (Cell References)</w:t>
        </w:r>
      </w:hyperlink>
      <w:r>
        <w:t xml:space="preserve"> </w:t>
      </w:r>
      <w:r>
        <w:fldChar w:fldCharType="begin"/>
      </w:r>
      <w:r>
        <w:instrText>PAGEREF section_fe7f7a7d5ec741f886313ac7884f0883</w:instrText>
      </w:r>
      <w:r>
        <w:fldChar w:fldCharType="separate"/>
      </w:r>
      <w:r>
        <w:rPr>
          <w:noProof/>
        </w:rPr>
        <w:t>457</w:t>
      </w:r>
      <w:r>
        <w:fldChar w:fldCharType="end"/>
      </w:r>
    </w:p>
    <w:p w:rsidR="00024C0A" w:rsidRDefault="00694C0F">
      <w:pPr>
        <w:pStyle w:val="indexentry0"/>
      </w:pPr>
      <w:hyperlink w:anchor="section_bfae8b6f1af14788b99a0a544efa2a81">
        <w:r>
          <w:rPr>
            <w:rStyle w:val="Hyperlink"/>
          </w:rPr>
          <w:t>ST_RefA (Single Cell Reference)</w:t>
        </w:r>
      </w:hyperlink>
      <w:r>
        <w:t xml:space="preserve"> </w:t>
      </w:r>
      <w:r>
        <w:fldChar w:fldCharType="begin"/>
      </w:r>
      <w:r>
        <w:instrText>PAGEREF section_bfae8</w:instrText>
      </w:r>
      <w:r>
        <w:instrText>b6f1af14788b99a0a544efa2a81</w:instrText>
      </w:r>
      <w:r>
        <w:fldChar w:fldCharType="separate"/>
      </w:r>
      <w:r>
        <w:rPr>
          <w:noProof/>
        </w:rPr>
        <w:t>457</w:t>
      </w:r>
      <w:r>
        <w:fldChar w:fldCharType="end"/>
      </w:r>
    </w:p>
    <w:p w:rsidR="00024C0A" w:rsidRDefault="00694C0F">
      <w:pPr>
        <w:pStyle w:val="indexentry0"/>
      </w:pPr>
      <w:hyperlink w:anchor="section_1f66e1f2ad2a4cee8efce563dca56a03">
        <w:r>
          <w:rPr>
            <w:rStyle w:val="Hyperlink"/>
          </w:rPr>
          <w:t>ST_RelationshipId (Explicit Relationship ID)</w:t>
        </w:r>
      </w:hyperlink>
      <w:r>
        <w:t xml:space="preserve"> </w:t>
      </w:r>
      <w:r>
        <w:fldChar w:fldCharType="begin"/>
      </w:r>
      <w:r>
        <w:instrText>PAGEREF section_1f66e1f2ad2a4cee8efce563dca56a03</w:instrText>
      </w:r>
      <w:r>
        <w:fldChar w:fldCharType="separate"/>
      </w:r>
      <w:r>
        <w:rPr>
          <w:noProof/>
        </w:rPr>
        <w:t>609</w:t>
      </w:r>
      <w:r>
        <w:fldChar w:fldCharType="end"/>
      </w:r>
    </w:p>
    <w:p w:rsidR="00024C0A" w:rsidRDefault="00694C0F">
      <w:pPr>
        <w:pStyle w:val="indexentry0"/>
      </w:pPr>
      <w:hyperlink w:anchor="section_efc29c4359ea4dfdb4f82ca25fd436f8">
        <w:r>
          <w:rPr>
            <w:rStyle w:val="Hyperlink"/>
          </w:rPr>
          <w:t>ST_R</w:t>
        </w:r>
        <w:r>
          <w:rPr>
            <w:rStyle w:val="Hyperlink"/>
          </w:rPr>
          <w:t>ubyAlign (Phonetic Guide Text Alignment)</w:t>
        </w:r>
      </w:hyperlink>
      <w:r>
        <w:t xml:space="preserve"> </w:t>
      </w:r>
      <w:r>
        <w:fldChar w:fldCharType="begin"/>
      </w:r>
      <w:r>
        <w:instrText>PAGEREF section_efc29c4359ea4dfdb4f82ca25fd436f8</w:instrText>
      </w:r>
      <w:r>
        <w:fldChar w:fldCharType="separate"/>
      </w:r>
      <w:r>
        <w:rPr>
          <w:noProof/>
        </w:rPr>
        <w:t>233</w:t>
      </w:r>
      <w:r>
        <w:fldChar w:fldCharType="end"/>
      </w:r>
    </w:p>
    <w:p w:rsidR="00024C0A" w:rsidRDefault="00694C0F">
      <w:pPr>
        <w:pStyle w:val="indexentry0"/>
      </w:pPr>
      <w:hyperlink w:anchor="section_790a49d0682946268e0f4f6681a9586b">
        <w:r>
          <w:rPr>
            <w:rStyle w:val="Hyperlink"/>
          </w:rPr>
          <w:t>ST_ScatterStyle (Scatter Style)</w:t>
        </w:r>
      </w:hyperlink>
      <w:r>
        <w:t xml:space="preserve"> </w:t>
      </w:r>
      <w:r>
        <w:fldChar w:fldCharType="begin"/>
      </w:r>
      <w:r>
        <w:instrText>PAGEREF section_790a49d0682946268e0f4f6681a9586b</w:instrText>
      </w:r>
      <w:r>
        <w:fldChar w:fldCharType="separate"/>
      </w:r>
      <w:r>
        <w:rPr>
          <w:noProof/>
        </w:rPr>
        <w:t>575</w:t>
      </w:r>
      <w:r>
        <w:fldChar w:fldCharType="end"/>
      </w:r>
    </w:p>
    <w:p w:rsidR="00024C0A" w:rsidRDefault="00694C0F">
      <w:pPr>
        <w:pStyle w:val="indexentry0"/>
      </w:pPr>
      <w:hyperlink w:anchor="section_f3ca1d613ed0477c868017ac5f2accec">
        <w:r>
          <w:rPr>
            <w:rStyle w:val="Hyperlink"/>
          </w:rPr>
          <w:t>ST_SecondaryChildAlignment (Secondary Child Alignment)</w:t>
        </w:r>
      </w:hyperlink>
      <w:r>
        <w:t xml:space="preserve"> </w:t>
      </w:r>
      <w:r>
        <w:fldChar w:fldCharType="begin"/>
      </w:r>
      <w:r>
        <w:instrText>PAGEREF section_f3ca1d613ed0477c868017ac5f2accec</w:instrText>
      </w:r>
      <w:r>
        <w:fldChar w:fldCharType="separate"/>
      </w:r>
      <w:r>
        <w:rPr>
          <w:noProof/>
        </w:rPr>
        <w:t>590</w:t>
      </w:r>
      <w:r>
        <w:fldChar w:fldCharType="end"/>
      </w:r>
    </w:p>
    <w:p w:rsidR="00024C0A" w:rsidRDefault="00694C0F">
      <w:pPr>
        <w:pStyle w:val="indexentry0"/>
      </w:pPr>
      <w:hyperlink w:anchor="section_9aca776fecc4466e837ede0dff2e505e">
        <w:r>
          <w:rPr>
            <w:rStyle w:val="Hyperlink"/>
          </w:rPr>
          <w:t xml:space="preserve">ST_SecondaryLinearDirection (Secondary </w:t>
        </w:r>
        <w:r>
          <w:rPr>
            <w:rStyle w:val="Hyperlink"/>
          </w:rPr>
          <w:t>Linear Direction)</w:t>
        </w:r>
      </w:hyperlink>
      <w:r>
        <w:t xml:space="preserve"> </w:t>
      </w:r>
      <w:r>
        <w:fldChar w:fldCharType="begin"/>
      </w:r>
      <w:r>
        <w:instrText>PAGEREF section_9aca776fecc4466e837ede0dff2e505e</w:instrText>
      </w:r>
      <w:r>
        <w:fldChar w:fldCharType="separate"/>
      </w:r>
      <w:r>
        <w:rPr>
          <w:noProof/>
        </w:rPr>
        <w:t>590</w:t>
      </w:r>
      <w:r>
        <w:fldChar w:fldCharType="end"/>
      </w:r>
    </w:p>
    <w:p w:rsidR="00024C0A" w:rsidRDefault="00694C0F">
      <w:pPr>
        <w:pStyle w:val="indexentry0"/>
      </w:pPr>
      <w:hyperlink w:anchor="section_43069065d5f54e959543824ed01466d3">
        <w:r>
          <w:rPr>
            <w:rStyle w:val="Hyperlink"/>
          </w:rPr>
          <w:t>ST_ShadowType (Shadow Type)</w:t>
        </w:r>
      </w:hyperlink>
      <w:r>
        <w:t xml:space="preserve"> </w:t>
      </w:r>
      <w:r>
        <w:fldChar w:fldCharType="begin"/>
      </w:r>
      <w:r>
        <w:instrText>PAGEREF section_43069065d5f54e959543824ed01466d3</w:instrText>
      </w:r>
      <w:r>
        <w:fldChar w:fldCharType="separate"/>
      </w:r>
      <w:r>
        <w:rPr>
          <w:noProof/>
        </w:rPr>
        <w:t>656</w:t>
      </w:r>
      <w:r>
        <w:fldChar w:fldCharType="end"/>
      </w:r>
    </w:p>
    <w:p w:rsidR="00024C0A" w:rsidRDefault="00694C0F">
      <w:pPr>
        <w:pStyle w:val="indexentry0"/>
      </w:pPr>
      <w:hyperlink w:anchor="section_0680b9ba68334f3194a8add5e312db29">
        <w:r>
          <w:rPr>
            <w:rStyle w:val="Hyperlink"/>
          </w:rPr>
          <w:t>ST_Shape (Shape)</w:t>
        </w:r>
      </w:hyperlink>
      <w:r>
        <w:t xml:space="preserve"> </w:t>
      </w:r>
      <w:r>
        <w:fldChar w:fldCharType="begin"/>
      </w:r>
      <w:r>
        <w:instrText>PAGEREF section_0680b9ba68334f3194a8add5e312db29</w:instrText>
      </w:r>
      <w:r>
        <w:fldChar w:fldCharType="separate"/>
      </w:r>
      <w:r>
        <w:rPr>
          <w:noProof/>
        </w:rPr>
        <w:t>576</w:t>
      </w:r>
      <w:r>
        <w:fldChar w:fldCharType="end"/>
      </w:r>
    </w:p>
    <w:p w:rsidR="00024C0A" w:rsidRDefault="00694C0F">
      <w:pPr>
        <w:pStyle w:val="indexentry0"/>
      </w:pPr>
      <w:hyperlink w:anchor="section_38b259783d144fb390b7712215ed7ad1">
        <w:r>
          <w:rPr>
            <w:rStyle w:val="Hyperlink"/>
          </w:rPr>
          <w:t>ST_ShapeID (Shape ID)</w:t>
        </w:r>
      </w:hyperlink>
      <w:r>
        <w:t xml:space="preserve"> </w:t>
      </w:r>
      <w:r>
        <w:fldChar w:fldCharType="begin"/>
      </w:r>
      <w:r>
        <w:instrText>PAGEREF section_38b259783d144fb390b7712215ed7ad1</w:instrText>
      </w:r>
      <w:r>
        <w:fldChar w:fldCharType="separate"/>
      </w:r>
      <w:r>
        <w:rPr>
          <w:noProof/>
        </w:rPr>
        <w:t>518</w:t>
      </w:r>
      <w:r>
        <w:fldChar w:fldCharType="end"/>
      </w:r>
    </w:p>
    <w:p w:rsidR="00024C0A" w:rsidRDefault="00694C0F">
      <w:pPr>
        <w:pStyle w:val="indexentry0"/>
      </w:pPr>
      <w:hyperlink w:anchor="section_cbffdb4854864e6ba7fde43fc3fd5f63">
        <w:r>
          <w:rPr>
            <w:rStyle w:val="Hyperlink"/>
          </w:rPr>
          <w:t>ST_ShapeType (Preset Shape Types)</w:t>
        </w:r>
      </w:hyperlink>
      <w:r>
        <w:t xml:space="preserve"> </w:t>
      </w:r>
      <w:r>
        <w:fldChar w:fldCharType="begin"/>
      </w:r>
      <w:r>
        <w:instrText>PAGEREF section_cbffdb4854864e6ba7fde43fc3fd5f63</w:instrText>
      </w:r>
      <w:r>
        <w:fldChar w:fldCharType="separate"/>
      </w:r>
      <w:r>
        <w:rPr>
          <w:noProof/>
        </w:rPr>
        <w:t>519</w:t>
      </w:r>
      <w:r>
        <w:fldChar w:fldCharType="end"/>
      </w:r>
    </w:p>
    <w:p w:rsidR="00024C0A" w:rsidRDefault="00694C0F">
      <w:pPr>
        <w:pStyle w:val="indexentry0"/>
      </w:pPr>
      <w:hyperlink w:anchor="section_d7f650a3a70647a88556121f9c7d0205">
        <w:r>
          <w:rPr>
            <w:rStyle w:val="Hyperlink"/>
          </w:rPr>
          <w:t>ST_ShapeType (Shape Type)</w:t>
        </w:r>
      </w:hyperlink>
      <w:r>
        <w:t xml:space="preserve"> </w:t>
      </w:r>
      <w:r>
        <w:fldChar w:fldCharType="begin"/>
      </w:r>
      <w:r>
        <w:instrText>PAGEREF section_d7</w:instrText>
      </w:r>
      <w:r>
        <w:instrText>f650a3a70647a88556121f9c7d0205</w:instrText>
      </w:r>
      <w:r>
        <w:fldChar w:fldCharType="separate"/>
      </w:r>
      <w:r>
        <w:rPr>
          <w:noProof/>
        </w:rPr>
        <w:t>893</w:t>
      </w:r>
      <w:r>
        <w:fldChar w:fldCharType="end"/>
      </w:r>
    </w:p>
    <w:p w:rsidR="00024C0A" w:rsidRDefault="00694C0F">
      <w:pPr>
        <w:pStyle w:val="indexentry0"/>
      </w:pPr>
      <w:hyperlink w:anchor="section_e4664ccd36da4383a13c3d5df57ed188">
        <w:r>
          <w:rPr>
            <w:rStyle w:val="Hyperlink"/>
          </w:rPr>
          <w:t>ST_Shd (Shading Patterns)</w:t>
        </w:r>
      </w:hyperlink>
      <w:r>
        <w:t xml:space="preserve"> </w:t>
      </w:r>
      <w:r>
        <w:fldChar w:fldCharType="begin"/>
      </w:r>
      <w:r>
        <w:instrText>PAGEREF section_e4664ccd36da4383a13c3d5df57ed188</w:instrText>
      </w:r>
      <w:r>
        <w:fldChar w:fldCharType="separate"/>
      </w:r>
      <w:r>
        <w:rPr>
          <w:noProof/>
        </w:rPr>
        <w:t>233</w:t>
      </w:r>
      <w:r>
        <w:fldChar w:fldCharType="end"/>
      </w:r>
    </w:p>
    <w:p w:rsidR="00024C0A" w:rsidRDefault="00694C0F">
      <w:pPr>
        <w:pStyle w:val="indexentry0"/>
      </w:pPr>
      <w:hyperlink w:anchor="section_b12e8ea4e85d4b4c94bf98db8427fcaa">
        <w:r>
          <w:rPr>
            <w:rStyle w:val="Hyperlink"/>
          </w:rPr>
          <w:t>ST_ShortHexNumber (T</w:t>
        </w:r>
        <w:r>
          <w:rPr>
            <w:rStyle w:val="Hyperlink"/>
          </w:rPr>
          <w:t>wo Digit Hexadecimal Number Value)</w:t>
        </w:r>
      </w:hyperlink>
      <w:r>
        <w:t xml:space="preserve"> </w:t>
      </w:r>
      <w:r>
        <w:fldChar w:fldCharType="begin"/>
      </w:r>
      <w:r>
        <w:instrText>PAGEREF section_b12e8ea4e85d4b4c94bf98db8427fcaa</w:instrText>
      </w:r>
      <w:r>
        <w:fldChar w:fldCharType="separate"/>
      </w:r>
      <w:r>
        <w:rPr>
          <w:noProof/>
        </w:rPr>
        <w:t>783</w:t>
      </w:r>
      <w:r>
        <w:fldChar w:fldCharType="end"/>
      </w:r>
    </w:p>
    <w:p w:rsidR="00024C0A" w:rsidRDefault="00694C0F">
      <w:pPr>
        <w:pStyle w:val="indexentry0"/>
      </w:pPr>
      <w:hyperlink w:anchor="section_5991a2b500444c47aae0177c93bcfd2b">
        <w:r>
          <w:rPr>
            <w:rStyle w:val="Hyperlink"/>
          </w:rPr>
          <w:t>ST_Shp (Shape (Delimiters))</w:t>
        </w:r>
      </w:hyperlink>
      <w:r>
        <w:t xml:space="preserve"> </w:t>
      </w:r>
      <w:r>
        <w:fldChar w:fldCharType="begin"/>
      </w:r>
      <w:r>
        <w:instrText>PAGEREF section_5991a2b500444c47aae0177c93bcfd2b</w:instrText>
      </w:r>
      <w:r>
        <w:fldChar w:fldCharType="separate"/>
      </w:r>
      <w:r>
        <w:rPr>
          <w:noProof/>
        </w:rPr>
        <w:t>602</w:t>
      </w:r>
      <w:r>
        <w:fldChar w:fldCharType="end"/>
      </w:r>
    </w:p>
    <w:p w:rsidR="00024C0A" w:rsidRDefault="00694C0F">
      <w:pPr>
        <w:pStyle w:val="indexentry0"/>
      </w:pPr>
      <w:hyperlink w:anchor="section_4e92419771bc4dd7a396a223845eba27">
        <w:r>
          <w:rPr>
            <w:rStyle w:val="Hyperlink"/>
          </w:rPr>
          <w:t>ST_SignatureComments (Signature Comments)</w:t>
        </w:r>
      </w:hyperlink>
      <w:r>
        <w:t xml:space="preserve"> </w:t>
      </w:r>
      <w:r>
        <w:fldChar w:fldCharType="begin"/>
      </w:r>
      <w:r>
        <w:instrText>PAGEREF section_4e92419771bc4dd7a396a223845eba27</w:instrText>
      </w:r>
      <w:r>
        <w:fldChar w:fldCharType="separate"/>
      </w:r>
      <w:r>
        <w:rPr>
          <w:noProof/>
        </w:rPr>
        <w:t>885</w:t>
      </w:r>
      <w:r>
        <w:fldChar w:fldCharType="end"/>
      </w:r>
    </w:p>
    <w:p w:rsidR="00024C0A" w:rsidRDefault="00694C0F">
      <w:pPr>
        <w:pStyle w:val="indexentry0"/>
      </w:pPr>
      <w:hyperlink w:anchor="section_2fdd7f10d23a40ee9431d04ec89bb73c">
        <w:r>
          <w:rPr>
            <w:rStyle w:val="Hyperlink"/>
          </w:rPr>
          <w:t>ST_SignatureProviderUrl (Signature Provider URL)</w:t>
        </w:r>
      </w:hyperlink>
      <w:r>
        <w:t xml:space="preserve"> </w:t>
      </w:r>
      <w:r>
        <w:fldChar w:fldCharType="begin"/>
      </w:r>
      <w:r>
        <w:instrText>PAGEREF sec</w:instrText>
      </w:r>
      <w:r>
        <w:instrText>tion_2fdd7f10d23a40ee9431d04ec89bb73c</w:instrText>
      </w:r>
      <w:r>
        <w:fldChar w:fldCharType="separate"/>
      </w:r>
      <w:r>
        <w:rPr>
          <w:noProof/>
        </w:rPr>
        <w:t>885</w:t>
      </w:r>
      <w:r>
        <w:fldChar w:fldCharType="end"/>
      </w:r>
    </w:p>
    <w:p w:rsidR="00024C0A" w:rsidRDefault="00694C0F">
      <w:pPr>
        <w:pStyle w:val="indexentry0"/>
      </w:pPr>
      <w:hyperlink w:anchor="section_4bac229a77b34557aa4ce93641da133d">
        <w:r>
          <w:rPr>
            <w:rStyle w:val="Hyperlink"/>
          </w:rPr>
          <w:t>ST_SignatureText (Signature Text)</w:t>
        </w:r>
      </w:hyperlink>
      <w:r>
        <w:t xml:space="preserve"> </w:t>
      </w:r>
      <w:r>
        <w:fldChar w:fldCharType="begin"/>
      </w:r>
      <w:r>
        <w:instrText>PAGEREF section_4bac229a77b34557aa4ce93641da133d</w:instrText>
      </w:r>
      <w:r>
        <w:fldChar w:fldCharType="separate"/>
      </w:r>
      <w:r>
        <w:rPr>
          <w:noProof/>
        </w:rPr>
        <w:t>885</w:t>
      </w:r>
      <w:r>
        <w:fldChar w:fldCharType="end"/>
      </w:r>
    </w:p>
    <w:p w:rsidR="00024C0A" w:rsidRDefault="00694C0F">
      <w:pPr>
        <w:pStyle w:val="indexentry0"/>
      </w:pPr>
      <w:hyperlink w:anchor="section_65d1befb272a48f59a5b3896300299ee">
        <w:r>
          <w:rPr>
            <w:rStyle w:val="Hyperlink"/>
          </w:rPr>
          <w:t>ST_Si</w:t>
        </w:r>
        <w:r>
          <w:rPr>
            <w:rStyle w:val="Hyperlink"/>
          </w:rPr>
          <w:t>gnatureType (Signature Type)</w:t>
        </w:r>
      </w:hyperlink>
      <w:r>
        <w:t xml:space="preserve"> </w:t>
      </w:r>
      <w:r>
        <w:fldChar w:fldCharType="begin"/>
      </w:r>
      <w:r>
        <w:instrText>PAGEREF section_65d1befb272a48f59a5b3896300299ee</w:instrText>
      </w:r>
      <w:r>
        <w:fldChar w:fldCharType="separate"/>
      </w:r>
      <w:r>
        <w:rPr>
          <w:noProof/>
        </w:rPr>
        <w:t>886</w:t>
      </w:r>
      <w:r>
        <w:fldChar w:fldCharType="end"/>
      </w:r>
    </w:p>
    <w:p w:rsidR="00024C0A" w:rsidRDefault="00694C0F">
      <w:pPr>
        <w:pStyle w:val="indexentry0"/>
      </w:pPr>
      <w:hyperlink w:anchor="section_e9dec6c502ac46a4941bbe63ccf1bbe2">
        <w:r>
          <w:rPr>
            <w:rStyle w:val="Hyperlink"/>
          </w:rPr>
          <w:t>ST_SignedDecimalNumberMax-2 (Decimal Number Value Max -2)</w:t>
        </w:r>
      </w:hyperlink>
      <w:r>
        <w:t xml:space="preserve"> </w:t>
      </w:r>
      <w:r>
        <w:fldChar w:fldCharType="begin"/>
      </w:r>
      <w:r>
        <w:instrText>PAGEREF section_e9dec6c502ac46a4941bbe63ccf1bbe2</w:instrText>
      </w:r>
      <w:r>
        <w:fldChar w:fldCharType="separate"/>
      </w:r>
      <w:r>
        <w:rPr>
          <w:noProof/>
        </w:rPr>
        <w:t>821</w:t>
      </w:r>
      <w:r>
        <w:fldChar w:fldCharType="end"/>
      </w:r>
    </w:p>
    <w:p w:rsidR="00024C0A" w:rsidRDefault="00694C0F">
      <w:pPr>
        <w:pStyle w:val="indexentry0"/>
      </w:pPr>
      <w:hyperlink w:anchor="section_ec90ea290277451c89455d04dd0db08a">
        <w:r>
          <w:rPr>
            <w:rStyle w:val="Hyperlink"/>
          </w:rPr>
          <w:t>ST_SignedHpsMeasure (Signed Measurement in Half-Points)</w:t>
        </w:r>
      </w:hyperlink>
      <w:r>
        <w:t xml:space="preserve"> </w:t>
      </w:r>
      <w:r>
        <w:fldChar w:fldCharType="begin"/>
      </w:r>
      <w:r>
        <w:instrText>PAGEREF section_ec90ea290277451c89455d04dd0db08a</w:instrText>
      </w:r>
      <w:r>
        <w:fldChar w:fldCharType="separate"/>
      </w:r>
      <w:r>
        <w:rPr>
          <w:noProof/>
        </w:rPr>
        <w:t>233</w:t>
      </w:r>
      <w:r>
        <w:fldChar w:fldCharType="end"/>
      </w:r>
    </w:p>
    <w:p w:rsidR="00024C0A" w:rsidRDefault="00694C0F">
      <w:pPr>
        <w:pStyle w:val="indexentry0"/>
      </w:pPr>
      <w:hyperlink w:anchor="section_5bc2ab7004c742d89784bf7101866b87">
        <w:r>
          <w:rPr>
            <w:rStyle w:val="Hyperlink"/>
          </w:rPr>
          <w:t>ST_SignedTwipsMeasure (S</w:t>
        </w:r>
        <w:r>
          <w:rPr>
            <w:rStyle w:val="Hyperlink"/>
          </w:rPr>
          <w:t>igned Measurement in Twentieths of a Point)</w:t>
        </w:r>
      </w:hyperlink>
      <w:r>
        <w:t xml:space="preserve"> </w:t>
      </w:r>
      <w:r>
        <w:fldChar w:fldCharType="begin"/>
      </w:r>
      <w:r>
        <w:instrText>PAGEREF section_5bc2ab7004c742d89784bf7101866b87</w:instrText>
      </w:r>
      <w:r>
        <w:fldChar w:fldCharType="separate"/>
      </w:r>
      <w:r>
        <w:rPr>
          <w:noProof/>
        </w:rPr>
        <w:t>234</w:t>
      </w:r>
      <w:r>
        <w:fldChar w:fldCharType="end"/>
      </w:r>
    </w:p>
    <w:p w:rsidR="00024C0A" w:rsidRDefault="00694C0F">
      <w:pPr>
        <w:pStyle w:val="indexentry0"/>
      </w:pPr>
      <w:hyperlink w:anchor="section_be0b8235f8534143a208dd2e3e11d0f1">
        <w:r>
          <w:rPr>
            <w:rStyle w:val="Hyperlink"/>
          </w:rPr>
          <w:t>ST_Skip (Skip)</w:t>
        </w:r>
      </w:hyperlink>
      <w:r>
        <w:t xml:space="preserve"> </w:t>
      </w:r>
      <w:r>
        <w:fldChar w:fldCharType="begin"/>
      </w:r>
      <w:r>
        <w:instrText>PAGEREF section_be0b8235f8534143a208dd2e3e11d0f1</w:instrText>
      </w:r>
      <w:r>
        <w:fldChar w:fldCharType="separate"/>
      </w:r>
      <w:r>
        <w:rPr>
          <w:noProof/>
        </w:rPr>
        <w:t>576</w:t>
      </w:r>
      <w:r>
        <w:fldChar w:fldCharType="end"/>
      </w:r>
    </w:p>
    <w:p w:rsidR="00024C0A" w:rsidRDefault="00694C0F">
      <w:pPr>
        <w:pStyle w:val="indexentry0"/>
      </w:pPr>
      <w:hyperlink w:anchor="section_7ed66a4ca69b4613b5fc70a7cd17e3ca">
        <w:r>
          <w:rPr>
            <w:rStyle w:val="Hyperlink"/>
          </w:rPr>
          <w:t>ST_SortMapCount (Sort Map Count)</w:t>
        </w:r>
      </w:hyperlink>
      <w:r>
        <w:t xml:space="preserve"> </w:t>
      </w:r>
      <w:r>
        <w:fldChar w:fldCharType="begin"/>
      </w:r>
      <w:r>
        <w:instrText>PAGEREF section_7ed66a4ca69b4613b5fc70a7cd17e3ca</w:instrText>
      </w:r>
      <w:r>
        <w:fldChar w:fldCharType="separate"/>
      </w:r>
      <w:r>
        <w:rPr>
          <w:noProof/>
        </w:rPr>
        <w:t>836</w:t>
      </w:r>
      <w:r>
        <w:fldChar w:fldCharType="end"/>
      </w:r>
    </w:p>
    <w:p w:rsidR="00024C0A" w:rsidRDefault="00694C0F">
      <w:pPr>
        <w:pStyle w:val="indexentry0"/>
      </w:pPr>
      <w:hyperlink w:anchor="section_97429d90d53344dfb1334f7a0171cae4">
        <w:r>
          <w:rPr>
            <w:rStyle w:val="Hyperlink"/>
          </w:rPr>
          <w:t>ST_SpId (Shape ID Type)</w:t>
        </w:r>
      </w:hyperlink>
      <w:r>
        <w:t xml:space="preserve"> </w:t>
      </w:r>
      <w:r>
        <w:fldChar w:fldCharType="begin"/>
      </w:r>
      <w:r>
        <w:instrText>PAGEREF section_97429d90d53344dfb1334f7a0171cae4</w:instrText>
      </w:r>
      <w:r>
        <w:fldChar w:fldCharType="separate"/>
      </w:r>
      <w:r>
        <w:rPr>
          <w:noProof/>
        </w:rPr>
        <w:t>897</w:t>
      </w:r>
      <w:r>
        <w:fldChar w:fldCharType="end"/>
      </w:r>
    </w:p>
    <w:p w:rsidR="00024C0A" w:rsidRDefault="00694C0F">
      <w:pPr>
        <w:pStyle w:val="indexentry0"/>
      </w:pPr>
      <w:hyperlink w:anchor="section_53d3723d2ebe4ff8b8bacfc8338c5edb">
        <w:r>
          <w:rPr>
            <w:rStyle w:val="Hyperlink"/>
          </w:rPr>
          <w:t>ST_SplitType (Split Type)</w:t>
        </w:r>
      </w:hyperlink>
      <w:r>
        <w:t xml:space="preserve"> </w:t>
      </w:r>
      <w:r>
        <w:fldChar w:fldCharType="begin"/>
      </w:r>
      <w:r>
        <w:instrText>PAGEREF section_53d3723d2ebe4ff8b8bacfc8338c5edb</w:instrText>
      </w:r>
      <w:r>
        <w:fldChar w:fldCharType="separate"/>
      </w:r>
      <w:r>
        <w:rPr>
          <w:noProof/>
        </w:rPr>
        <w:t>576</w:t>
      </w:r>
      <w:r>
        <w:fldChar w:fldCharType="end"/>
      </w:r>
    </w:p>
    <w:p w:rsidR="00024C0A" w:rsidRDefault="00694C0F">
      <w:pPr>
        <w:pStyle w:val="indexentry0"/>
      </w:pPr>
      <w:hyperlink w:anchor="section_124de93f54d64d61ad5ae8548f7680b2">
        <w:r>
          <w:rPr>
            <w:rStyle w:val="Hyperlink"/>
          </w:rPr>
          <w:t>ST_Sqref (Reference Sequence)</w:t>
        </w:r>
      </w:hyperlink>
      <w:r>
        <w:t xml:space="preserve"> </w:t>
      </w:r>
      <w:r>
        <w:fldChar w:fldCharType="begin"/>
      </w:r>
      <w:r>
        <w:instrText>PAGEREF section_124de93f54d64d61ad5ae8548f7680b2</w:instrText>
      </w:r>
      <w:r>
        <w:fldChar w:fldCharType="separate"/>
      </w:r>
      <w:r>
        <w:rPr>
          <w:noProof/>
        </w:rPr>
        <w:t>457</w:t>
      </w:r>
      <w:r>
        <w:fldChar w:fldCharType="end"/>
      </w:r>
    </w:p>
    <w:p w:rsidR="00024C0A" w:rsidRDefault="00694C0F">
      <w:pPr>
        <w:pStyle w:val="indexentry0"/>
      </w:pPr>
      <w:hyperlink w:anchor="section_41d18506311343d991c44b4bb652115c">
        <w:r>
          <w:rPr>
            <w:rStyle w:val="Hyperlink"/>
          </w:rPr>
          <w:t>ST_String (String Type)</w:t>
        </w:r>
      </w:hyperlink>
      <w:r>
        <w:t xml:space="preserve"> </w:t>
      </w:r>
      <w:r>
        <w:fldChar w:fldCharType="begin"/>
      </w:r>
      <w:r>
        <w:instrText>PAGEREF section_41d18506311343d991c44b4bb652115c</w:instrText>
      </w:r>
      <w:r>
        <w:fldChar w:fldCharType="separate"/>
      </w:r>
      <w:r>
        <w:rPr>
          <w:noProof/>
        </w:rPr>
        <w:t>876</w:t>
      </w:r>
      <w:r>
        <w:fldChar w:fldCharType="end"/>
      </w:r>
    </w:p>
    <w:p w:rsidR="00024C0A" w:rsidRDefault="00694C0F">
      <w:pPr>
        <w:pStyle w:val="indexentry0"/>
      </w:pPr>
      <w:r>
        <w:t>ST_String (String) (</w:t>
      </w:r>
      <w:hyperlink w:anchor="section_6af92020a61a492793209436f448f276">
        <w:r>
          <w:rPr>
            <w:rStyle w:val="Hyperlink"/>
          </w:rPr>
          <w:t>section 3.1.2.3.5</w:t>
        </w:r>
      </w:hyperlink>
      <w:r>
        <w:t xml:space="preserve"> </w:t>
      </w:r>
      <w:r>
        <w:fldChar w:fldCharType="begin"/>
      </w:r>
      <w:r>
        <w:instrText>PAGEREF section_6af92020a61a492793209436f448f276</w:instrText>
      </w:r>
      <w:r>
        <w:fldChar w:fldCharType="separate"/>
      </w:r>
      <w:r>
        <w:rPr>
          <w:noProof/>
        </w:rPr>
        <w:t>784</w:t>
      </w:r>
      <w:r>
        <w:fldChar w:fldCharType="end"/>
      </w:r>
      <w:r>
        <w:t xml:space="preserve">, </w:t>
      </w:r>
      <w:hyperlink w:anchor="section_ed68652a69334080ac59a443946fa732">
        <w:r>
          <w:rPr>
            <w:rStyle w:val="Hyperlink"/>
          </w:rPr>
          <w:t>section 3.1.3.3.8</w:t>
        </w:r>
      </w:hyperlink>
      <w:r>
        <w:t xml:space="preserve"> </w:t>
      </w:r>
      <w:r>
        <w:fldChar w:fldCharType="begin"/>
      </w:r>
      <w:r>
        <w:instrText>PAGEREF section_ed68652a69334080ac59a443946fa732</w:instrText>
      </w:r>
      <w:r>
        <w:fldChar w:fldCharType="separate"/>
      </w:r>
      <w:r>
        <w:rPr>
          <w:noProof/>
        </w:rPr>
        <w:t>821</w:t>
      </w:r>
      <w:r>
        <w:fldChar w:fldCharType="end"/>
      </w:r>
      <w:r>
        <w:t>)</w:t>
      </w:r>
    </w:p>
    <w:p w:rsidR="00024C0A" w:rsidRDefault="00694C0F">
      <w:pPr>
        <w:pStyle w:val="indexentry0"/>
      </w:pPr>
      <w:hyperlink w:anchor="section_73f2382235094ce4a27391e7e5a80c27">
        <w:r>
          <w:rPr>
            <w:rStyle w:val="Hyperlink"/>
          </w:rPr>
          <w:t>ST_String255 (String)</w:t>
        </w:r>
      </w:hyperlink>
      <w:r>
        <w:t xml:space="preserve"> </w:t>
      </w:r>
      <w:r>
        <w:fldChar w:fldCharType="begin"/>
      </w:r>
      <w:r>
        <w:instrText>PAGEREF section_73f2382235094ce4a27391e7e5a80c27</w:instrText>
      </w:r>
      <w:r>
        <w:fldChar w:fldCharType="separate"/>
      </w:r>
      <w:r>
        <w:rPr>
          <w:noProof/>
        </w:rPr>
        <w:t>822</w:t>
      </w:r>
      <w:r>
        <w:fldChar w:fldCharType="end"/>
      </w:r>
    </w:p>
    <w:p w:rsidR="00024C0A" w:rsidRDefault="00694C0F">
      <w:pPr>
        <w:pStyle w:val="indexentry0"/>
      </w:pPr>
      <w:hyperlink w:anchor="section_b74c454c6c644828955971894d36105b">
        <w:r>
          <w:rPr>
            <w:rStyle w:val="Hyperlink"/>
          </w:rPr>
          <w:t>ST_String260 (String)</w:t>
        </w:r>
      </w:hyperlink>
      <w:r>
        <w:t xml:space="preserve"> </w:t>
      </w:r>
      <w:r>
        <w:fldChar w:fldCharType="begin"/>
      </w:r>
      <w:r>
        <w:instrText>PAGEREF section_b74c454c6c64482895</w:instrText>
      </w:r>
      <w:r>
        <w:instrText>5971894d36105b</w:instrText>
      </w:r>
      <w:r>
        <w:fldChar w:fldCharType="separate"/>
      </w:r>
      <w:r>
        <w:rPr>
          <w:noProof/>
        </w:rPr>
        <w:t>822</w:t>
      </w:r>
      <w:r>
        <w:fldChar w:fldCharType="end"/>
      </w:r>
    </w:p>
    <w:p w:rsidR="00024C0A" w:rsidRDefault="00694C0F">
      <w:pPr>
        <w:pStyle w:val="indexentry0"/>
      </w:pPr>
      <w:hyperlink w:anchor="section_48c6336adac043d4b9a0e29a1b3aa23c">
        <w:r>
          <w:rPr>
            <w:rStyle w:val="Hyperlink"/>
          </w:rPr>
          <w:t>ST_Style (Style)</w:t>
        </w:r>
      </w:hyperlink>
      <w:r>
        <w:t xml:space="preserve"> </w:t>
      </w:r>
      <w:r>
        <w:fldChar w:fldCharType="begin"/>
      </w:r>
      <w:r>
        <w:instrText>PAGEREF section_48c6336adac043d4b9a0e29a1b3aa23c</w:instrText>
      </w:r>
      <w:r>
        <w:fldChar w:fldCharType="separate"/>
      </w:r>
      <w:r>
        <w:rPr>
          <w:noProof/>
        </w:rPr>
        <w:t>576</w:t>
      </w:r>
      <w:r>
        <w:fldChar w:fldCharType="end"/>
      </w:r>
    </w:p>
    <w:p w:rsidR="00024C0A" w:rsidRDefault="00694C0F">
      <w:pPr>
        <w:pStyle w:val="indexentry0"/>
      </w:pPr>
      <w:hyperlink w:anchor="section_5c5c4a0a02ba44d7a0f2c101221ce4a8">
        <w:r>
          <w:rPr>
            <w:rStyle w:val="Hyperlink"/>
          </w:rPr>
          <w:t>ST_TabJc (Custom Tab Stop Type)</w:t>
        </w:r>
      </w:hyperlink>
      <w:r>
        <w:t xml:space="preserve"> </w:t>
      </w:r>
      <w:r>
        <w:fldChar w:fldCharType="begin"/>
      </w:r>
      <w:r>
        <w:instrText>PAGEREF sec</w:instrText>
      </w:r>
      <w:r>
        <w:instrText>tion_5c5c4a0a02ba44d7a0f2c101221ce4a8</w:instrText>
      </w:r>
      <w:r>
        <w:fldChar w:fldCharType="separate"/>
      </w:r>
      <w:r>
        <w:rPr>
          <w:noProof/>
        </w:rPr>
        <w:t>234</w:t>
      </w:r>
      <w:r>
        <w:fldChar w:fldCharType="end"/>
      </w:r>
    </w:p>
    <w:p w:rsidR="00024C0A" w:rsidRDefault="00694C0F">
      <w:pPr>
        <w:pStyle w:val="indexentry0"/>
      </w:pPr>
      <w:hyperlink w:anchor="section_af86bfea020b45aa8faa4ad272fe6617">
        <w:r>
          <w:rPr>
            <w:rStyle w:val="Hyperlink"/>
          </w:rPr>
          <w:t>ST_TableStyleType (Table Style Type)</w:t>
        </w:r>
      </w:hyperlink>
      <w:r>
        <w:t xml:space="preserve"> </w:t>
      </w:r>
      <w:r>
        <w:fldChar w:fldCharType="begin"/>
      </w:r>
      <w:r>
        <w:instrText>PAGEREF section_af86bfea020b45aa8faa4ad272fe6617</w:instrText>
      </w:r>
      <w:r>
        <w:fldChar w:fldCharType="separate"/>
      </w:r>
      <w:r>
        <w:rPr>
          <w:noProof/>
        </w:rPr>
        <w:t>458</w:t>
      </w:r>
      <w:r>
        <w:fldChar w:fldCharType="end"/>
      </w:r>
    </w:p>
    <w:p w:rsidR="00024C0A" w:rsidRDefault="00694C0F">
      <w:pPr>
        <w:pStyle w:val="indexentry0"/>
      </w:pPr>
      <w:hyperlink w:anchor="section_3359ff85c4234b9dbe78d1cf96f79486">
        <w:r>
          <w:rPr>
            <w:rStyle w:val="Hyperlink"/>
          </w:rPr>
          <w:t>ST</w:t>
        </w:r>
        <w:r>
          <w:rPr>
            <w:rStyle w:val="Hyperlink"/>
          </w:rPr>
          <w:t>_TblStyleOverrideType (Conditional Table Style Formatting Types)</w:t>
        </w:r>
      </w:hyperlink>
      <w:r>
        <w:t xml:space="preserve"> </w:t>
      </w:r>
      <w:r>
        <w:fldChar w:fldCharType="begin"/>
      </w:r>
      <w:r>
        <w:instrText>PAGEREF section_3359ff85c4234b9dbe78d1cf96f79486</w:instrText>
      </w:r>
      <w:r>
        <w:fldChar w:fldCharType="separate"/>
      </w:r>
      <w:r>
        <w:rPr>
          <w:noProof/>
        </w:rPr>
        <w:t>234</w:t>
      </w:r>
      <w:r>
        <w:fldChar w:fldCharType="end"/>
      </w:r>
    </w:p>
    <w:p w:rsidR="00024C0A" w:rsidRDefault="00694C0F">
      <w:pPr>
        <w:pStyle w:val="indexentry0"/>
      </w:pPr>
      <w:hyperlink w:anchor="section_86ec6af2eea646a09d1eb2c640d0b129">
        <w:r>
          <w:rPr>
            <w:rStyle w:val="Hyperlink"/>
          </w:rPr>
          <w:t>ST_TextAnchoringType (Text Anchoring Types)</w:t>
        </w:r>
      </w:hyperlink>
      <w:r>
        <w:t xml:space="preserve"> </w:t>
      </w:r>
      <w:r>
        <w:fldChar w:fldCharType="begin"/>
      </w:r>
      <w:r>
        <w:instrText>PAGEREF section_86ec6af2eea646</w:instrText>
      </w:r>
      <w:r>
        <w:instrText>a09d1eb2c640d0b129</w:instrText>
      </w:r>
      <w:r>
        <w:fldChar w:fldCharType="separate"/>
      </w:r>
      <w:r>
        <w:rPr>
          <w:noProof/>
        </w:rPr>
        <w:t>519</w:t>
      </w:r>
      <w:r>
        <w:fldChar w:fldCharType="end"/>
      </w:r>
    </w:p>
    <w:p w:rsidR="00024C0A" w:rsidRDefault="00694C0F">
      <w:pPr>
        <w:pStyle w:val="indexentry0"/>
      </w:pPr>
      <w:hyperlink w:anchor="section_4a566abf3bba434ebadc0ce4e9f21799">
        <w:r>
          <w:rPr>
            <w:rStyle w:val="Hyperlink"/>
          </w:rPr>
          <w:t>ST_TextAutonumberScheme (Text Auto-number Schemes)</w:t>
        </w:r>
      </w:hyperlink>
      <w:r>
        <w:t xml:space="preserve"> </w:t>
      </w:r>
      <w:r>
        <w:fldChar w:fldCharType="begin"/>
      </w:r>
      <w:r>
        <w:instrText>PAGEREF section_4a566abf3bba434ebadc0ce4e9f21799</w:instrText>
      </w:r>
      <w:r>
        <w:fldChar w:fldCharType="separate"/>
      </w:r>
      <w:r>
        <w:rPr>
          <w:noProof/>
        </w:rPr>
        <w:t>519</w:t>
      </w:r>
      <w:r>
        <w:fldChar w:fldCharType="end"/>
      </w:r>
    </w:p>
    <w:p w:rsidR="00024C0A" w:rsidRDefault="00694C0F">
      <w:pPr>
        <w:pStyle w:val="indexentry0"/>
      </w:pPr>
      <w:hyperlink w:anchor="section_9f732f2ba5514c679f81139fca7f5633">
        <w:r>
          <w:rPr>
            <w:rStyle w:val="Hyperlink"/>
          </w:rPr>
          <w:t>ST_Text</w:t>
        </w:r>
        <w:r>
          <w:rPr>
            <w:rStyle w:val="Hyperlink"/>
          </w:rPr>
          <w:t>CapsType (Text Cap Types)</w:t>
        </w:r>
      </w:hyperlink>
      <w:r>
        <w:t xml:space="preserve"> </w:t>
      </w:r>
      <w:r>
        <w:fldChar w:fldCharType="begin"/>
      </w:r>
      <w:r>
        <w:instrText>PAGEREF section_9f732f2ba5514c679f81139fca7f5633</w:instrText>
      </w:r>
      <w:r>
        <w:fldChar w:fldCharType="separate"/>
      </w:r>
      <w:r>
        <w:rPr>
          <w:noProof/>
        </w:rPr>
        <w:t>519</w:t>
      </w:r>
      <w:r>
        <w:fldChar w:fldCharType="end"/>
      </w:r>
    </w:p>
    <w:p w:rsidR="00024C0A" w:rsidRDefault="00694C0F">
      <w:pPr>
        <w:pStyle w:val="indexentry0"/>
      </w:pPr>
      <w:hyperlink w:anchor="section_ad8ec7f973a341aab193562caeda1103">
        <w:r>
          <w:rPr>
            <w:rStyle w:val="Hyperlink"/>
          </w:rPr>
          <w:t>ST_TextDirection (Text Flow Direction)</w:t>
        </w:r>
      </w:hyperlink>
      <w:r>
        <w:t xml:space="preserve"> </w:t>
      </w:r>
      <w:r>
        <w:fldChar w:fldCharType="begin"/>
      </w:r>
      <w:r>
        <w:instrText>PAGEREF section_ad8ec7f973a341aab193562caeda1103</w:instrText>
      </w:r>
      <w:r>
        <w:fldChar w:fldCharType="separate"/>
      </w:r>
      <w:r>
        <w:rPr>
          <w:noProof/>
        </w:rPr>
        <w:t>234</w:t>
      </w:r>
      <w:r>
        <w:fldChar w:fldCharType="end"/>
      </w:r>
    </w:p>
    <w:p w:rsidR="00024C0A" w:rsidRDefault="00694C0F">
      <w:pPr>
        <w:pStyle w:val="indexentry0"/>
      </w:pPr>
      <w:hyperlink w:anchor="section_9e3b0422c7ba419f9708830928e14808">
        <w:r>
          <w:rPr>
            <w:rStyle w:val="Hyperlink"/>
          </w:rPr>
          <w:t>ST_TextEffect (Animated Text Effects)</w:t>
        </w:r>
      </w:hyperlink>
      <w:r>
        <w:t xml:space="preserve"> </w:t>
      </w:r>
      <w:r>
        <w:fldChar w:fldCharType="begin"/>
      </w:r>
      <w:r>
        <w:instrText>PAGEREF section_9e3b0422c7ba419f9708830928e14808</w:instrText>
      </w:r>
      <w:r>
        <w:fldChar w:fldCharType="separate"/>
      </w:r>
      <w:r>
        <w:rPr>
          <w:noProof/>
        </w:rPr>
        <w:t>236</w:t>
      </w:r>
      <w:r>
        <w:fldChar w:fldCharType="end"/>
      </w:r>
    </w:p>
    <w:p w:rsidR="00024C0A" w:rsidRDefault="00694C0F">
      <w:pPr>
        <w:pStyle w:val="indexentry0"/>
      </w:pPr>
      <w:hyperlink w:anchor="section_9b207b134ab84a8781ec4f95aba3b248">
        <w:r>
          <w:rPr>
            <w:rStyle w:val="Hyperlink"/>
          </w:rPr>
          <w:t>ST_TextFontScalePercent (Text Font Scale Percentage)</w:t>
        </w:r>
      </w:hyperlink>
      <w:r>
        <w:t xml:space="preserve"> </w:t>
      </w:r>
      <w:r>
        <w:fldChar w:fldCharType="begin"/>
      </w:r>
      <w:r>
        <w:instrText>PAGEREF section_9b207b134ab84a8781ec4f95aba3b248</w:instrText>
      </w:r>
      <w:r>
        <w:fldChar w:fldCharType="separate"/>
      </w:r>
      <w:r>
        <w:rPr>
          <w:noProof/>
        </w:rPr>
        <w:t>628</w:t>
      </w:r>
      <w:r>
        <w:fldChar w:fldCharType="end"/>
      </w:r>
    </w:p>
    <w:p w:rsidR="00024C0A" w:rsidRDefault="00694C0F">
      <w:pPr>
        <w:pStyle w:val="indexentry0"/>
      </w:pPr>
      <w:hyperlink w:anchor="section_aafaec4651ce4ded843c29edc8b74740">
        <w:r>
          <w:rPr>
            <w:rStyle w:val="Hyperlink"/>
          </w:rPr>
          <w:t>ST_TextFontScalePercentOrPercentString (Text Font Scale Percentage)</w:t>
        </w:r>
      </w:hyperlink>
      <w:r>
        <w:t xml:space="preserve"> </w:t>
      </w:r>
      <w:r>
        <w:fldChar w:fldCharType="begin"/>
      </w:r>
      <w:r>
        <w:instrText>PAGEREF section_aafaec4651ce4ded843c29edc8b74740</w:instrText>
      </w:r>
      <w:r>
        <w:fldChar w:fldCharType="separate"/>
      </w:r>
      <w:r>
        <w:rPr>
          <w:noProof/>
        </w:rPr>
        <w:t>519</w:t>
      </w:r>
      <w:r>
        <w:fldChar w:fldCharType="end"/>
      </w:r>
    </w:p>
    <w:p w:rsidR="00024C0A" w:rsidRDefault="00694C0F">
      <w:pPr>
        <w:pStyle w:val="indexentry0"/>
      </w:pPr>
      <w:hyperlink w:anchor="section_7669315451cf49229cff21cafdebf357">
        <w:r>
          <w:rPr>
            <w:rStyle w:val="Hyperlink"/>
          </w:rPr>
          <w:t>ST_TextNonNegativePoint (Text Non-Negative Point)</w:t>
        </w:r>
      </w:hyperlink>
      <w:r>
        <w:t xml:space="preserve"> </w:t>
      </w:r>
      <w:r>
        <w:fldChar w:fldCharType="begin"/>
      </w:r>
      <w:r>
        <w:instrText>PAGEREF section_7669315451cf49229cff21cafdebf357</w:instrText>
      </w:r>
      <w:r>
        <w:fldChar w:fldCharType="separate"/>
      </w:r>
      <w:r>
        <w:rPr>
          <w:noProof/>
        </w:rPr>
        <w:t>520</w:t>
      </w:r>
      <w:r>
        <w:fldChar w:fldCharType="end"/>
      </w:r>
    </w:p>
    <w:p w:rsidR="00024C0A" w:rsidRDefault="00694C0F">
      <w:pPr>
        <w:pStyle w:val="indexentry0"/>
      </w:pPr>
      <w:hyperlink w:anchor="section_0db6349e9b1d4218af884d44d4a78572">
        <w:r>
          <w:rPr>
            <w:rStyle w:val="Hyperlink"/>
          </w:rPr>
          <w:t>ST_TextPoint (Text Point)</w:t>
        </w:r>
      </w:hyperlink>
      <w:r>
        <w:t xml:space="preserve"> </w:t>
      </w:r>
      <w:r>
        <w:fldChar w:fldCharType="begin"/>
      </w:r>
      <w:r>
        <w:instrText>PAGEREF section_0db6349</w:instrText>
      </w:r>
      <w:r>
        <w:instrText>e9b1d4218af884d44d4a78572</w:instrText>
      </w:r>
      <w:r>
        <w:fldChar w:fldCharType="separate"/>
      </w:r>
      <w:r>
        <w:rPr>
          <w:noProof/>
        </w:rPr>
        <w:t>520</w:t>
      </w:r>
      <w:r>
        <w:fldChar w:fldCharType="end"/>
      </w:r>
    </w:p>
    <w:p w:rsidR="00024C0A" w:rsidRDefault="00694C0F">
      <w:pPr>
        <w:pStyle w:val="indexentry0"/>
      </w:pPr>
      <w:hyperlink w:anchor="section_a797e74752bf4755a3492028c1b96dcf">
        <w:r>
          <w:rPr>
            <w:rStyle w:val="Hyperlink"/>
          </w:rPr>
          <w:t>ST_TextScale (Text Expansion/Compression Percentage)</w:t>
        </w:r>
      </w:hyperlink>
      <w:r>
        <w:t xml:space="preserve"> </w:t>
      </w:r>
      <w:r>
        <w:fldChar w:fldCharType="begin"/>
      </w:r>
      <w:r>
        <w:instrText>PAGEREF section_a797e74752bf4755a3492028c1b96dcf</w:instrText>
      </w:r>
      <w:r>
        <w:fldChar w:fldCharType="separate"/>
      </w:r>
      <w:r>
        <w:rPr>
          <w:noProof/>
        </w:rPr>
        <w:t>236</w:t>
      </w:r>
      <w:r>
        <w:fldChar w:fldCharType="end"/>
      </w:r>
    </w:p>
    <w:p w:rsidR="00024C0A" w:rsidRDefault="00694C0F">
      <w:pPr>
        <w:pStyle w:val="indexentry0"/>
      </w:pPr>
      <w:hyperlink w:anchor="section_1649147df3934898989d2ec846845f18">
        <w:r>
          <w:rPr>
            <w:rStyle w:val="Hyperlink"/>
          </w:rPr>
          <w:t>ST_TextShapeType (Preset Text Shape Types)</w:t>
        </w:r>
      </w:hyperlink>
      <w:r>
        <w:t xml:space="preserve"> </w:t>
      </w:r>
      <w:r>
        <w:fldChar w:fldCharType="begin"/>
      </w:r>
      <w:r>
        <w:instrText>PAGEREF section_1649147df3934898989d2ec846845f18</w:instrText>
      </w:r>
      <w:r>
        <w:fldChar w:fldCharType="separate"/>
      </w:r>
      <w:r>
        <w:rPr>
          <w:noProof/>
        </w:rPr>
        <w:t>520</w:t>
      </w:r>
      <w:r>
        <w:fldChar w:fldCharType="end"/>
      </w:r>
    </w:p>
    <w:p w:rsidR="00024C0A" w:rsidRDefault="00694C0F">
      <w:pPr>
        <w:pStyle w:val="indexentry0"/>
      </w:pPr>
      <w:hyperlink w:anchor="section_8af868fdec9d4b77b7de0aff196de406">
        <w:r>
          <w:rPr>
            <w:rStyle w:val="Hyperlink"/>
          </w:rPr>
          <w:t>ST_TextSpacingPercent (Text Spacing Percent)</w:t>
        </w:r>
      </w:hyperlink>
      <w:r>
        <w:t xml:space="preserve"> </w:t>
      </w:r>
      <w:r>
        <w:fldChar w:fldCharType="begin"/>
      </w:r>
      <w:r>
        <w:instrText>PAGEREF section_8af868fdec9d4b77b7de0aff196de406</w:instrText>
      </w:r>
      <w:r>
        <w:fldChar w:fldCharType="separate"/>
      </w:r>
      <w:r>
        <w:rPr>
          <w:noProof/>
        </w:rPr>
        <w:t>628</w:t>
      </w:r>
      <w:r>
        <w:fldChar w:fldCharType="end"/>
      </w:r>
    </w:p>
    <w:p w:rsidR="00024C0A" w:rsidRDefault="00694C0F">
      <w:pPr>
        <w:pStyle w:val="indexentry0"/>
      </w:pPr>
      <w:hyperlink w:anchor="section_c4a93e8e6a084e53b18375282751b959">
        <w:r>
          <w:rPr>
            <w:rStyle w:val="Hyperlink"/>
          </w:rPr>
          <w:t>ST_TextSpacingPercentOrPercentString (Text Spacing Percent)</w:t>
        </w:r>
      </w:hyperlink>
      <w:r>
        <w:t xml:space="preserve"> </w:t>
      </w:r>
      <w:r>
        <w:fldChar w:fldCharType="begin"/>
      </w:r>
      <w:r>
        <w:instrText>PAGEREF section_c4a93e8e6a084e53b18375282751b959</w:instrText>
      </w:r>
      <w:r>
        <w:fldChar w:fldCharType="separate"/>
      </w:r>
      <w:r>
        <w:rPr>
          <w:noProof/>
        </w:rPr>
        <w:t>521</w:t>
      </w:r>
      <w:r>
        <w:fldChar w:fldCharType="end"/>
      </w:r>
    </w:p>
    <w:p w:rsidR="00024C0A" w:rsidRDefault="00694C0F">
      <w:pPr>
        <w:pStyle w:val="indexentry0"/>
      </w:pPr>
      <w:hyperlink w:anchor="section_b6aeb5af90ac41dc8964f7ba99ed5181">
        <w:r>
          <w:rPr>
            <w:rStyle w:val="Hyperlink"/>
          </w:rPr>
          <w:t>ST_TextSpacingPoi</w:t>
        </w:r>
        <w:r>
          <w:rPr>
            <w:rStyle w:val="Hyperlink"/>
          </w:rPr>
          <w:t>nt (Text Spacing Point)</w:t>
        </w:r>
      </w:hyperlink>
      <w:r>
        <w:t xml:space="preserve"> </w:t>
      </w:r>
      <w:r>
        <w:fldChar w:fldCharType="begin"/>
      </w:r>
      <w:r>
        <w:instrText>PAGEREF section_b6aeb5af90ac41dc8964f7ba99ed5181</w:instrText>
      </w:r>
      <w:r>
        <w:fldChar w:fldCharType="separate"/>
      </w:r>
      <w:r>
        <w:rPr>
          <w:noProof/>
        </w:rPr>
        <w:t>521</w:t>
      </w:r>
      <w:r>
        <w:fldChar w:fldCharType="end"/>
      </w:r>
    </w:p>
    <w:p w:rsidR="00024C0A" w:rsidRDefault="00694C0F">
      <w:pPr>
        <w:pStyle w:val="indexentry0"/>
      </w:pPr>
      <w:hyperlink w:anchor="section_94ad7a5d0d0a4e7c926e3dca76cde068">
        <w:r>
          <w:rPr>
            <w:rStyle w:val="Hyperlink"/>
          </w:rPr>
          <w:t>ST_TextUnderlineType (Text Underline Types)</w:t>
        </w:r>
      </w:hyperlink>
      <w:r>
        <w:t xml:space="preserve"> </w:t>
      </w:r>
      <w:r>
        <w:fldChar w:fldCharType="begin"/>
      </w:r>
      <w:r>
        <w:instrText>PAGEREF section_94ad7a5d0d0a4e7c926e3dca76cde068</w:instrText>
      </w:r>
      <w:r>
        <w:fldChar w:fldCharType="separate"/>
      </w:r>
      <w:r>
        <w:rPr>
          <w:noProof/>
        </w:rPr>
        <w:t>521</w:t>
      </w:r>
      <w:r>
        <w:fldChar w:fldCharType="end"/>
      </w:r>
    </w:p>
    <w:p w:rsidR="00024C0A" w:rsidRDefault="00694C0F">
      <w:pPr>
        <w:pStyle w:val="indexentry0"/>
      </w:pPr>
      <w:hyperlink w:anchor="section_4f007c9d15164dd0848087f21fc54ee3">
        <w:r>
          <w:rPr>
            <w:rStyle w:val="Hyperlink"/>
          </w:rPr>
          <w:t>ST_TLAnimateEffectTransition (Time List Animate Effect Transition)</w:t>
        </w:r>
      </w:hyperlink>
      <w:r>
        <w:t xml:space="preserve"> </w:t>
      </w:r>
      <w:r>
        <w:fldChar w:fldCharType="begin"/>
      </w:r>
      <w:r>
        <w:instrText>PAGEREF section_4f007c9d15164dd0848087f21fc54ee3</w:instrText>
      </w:r>
      <w:r>
        <w:fldChar w:fldCharType="separate"/>
      </w:r>
      <w:r>
        <w:rPr>
          <w:noProof/>
        </w:rPr>
        <w:t>492</w:t>
      </w:r>
      <w:r>
        <w:fldChar w:fldCharType="end"/>
      </w:r>
    </w:p>
    <w:p w:rsidR="00024C0A" w:rsidRDefault="00694C0F">
      <w:pPr>
        <w:pStyle w:val="indexentry0"/>
      </w:pPr>
      <w:hyperlink w:anchor="section_e1478454837249af8963620f9f11ceb7">
        <w:r>
          <w:rPr>
            <w:rStyle w:val="Hyperlink"/>
          </w:rPr>
          <w:t>ST_TLAnimateM</w:t>
        </w:r>
        <w:r>
          <w:rPr>
            <w:rStyle w:val="Hyperlink"/>
          </w:rPr>
          <w:t>otionBehaviorOrigin (Time List Animate Motion Behavior Origin)</w:t>
        </w:r>
      </w:hyperlink>
      <w:r>
        <w:t xml:space="preserve"> </w:t>
      </w:r>
      <w:r>
        <w:fldChar w:fldCharType="begin"/>
      </w:r>
      <w:r>
        <w:instrText>PAGEREF section_e1478454837249af8963620f9f11ceb7</w:instrText>
      </w:r>
      <w:r>
        <w:fldChar w:fldCharType="separate"/>
      </w:r>
      <w:r>
        <w:rPr>
          <w:noProof/>
        </w:rPr>
        <w:t>492</w:t>
      </w:r>
      <w:r>
        <w:fldChar w:fldCharType="end"/>
      </w:r>
    </w:p>
    <w:p w:rsidR="00024C0A" w:rsidRDefault="00694C0F">
      <w:pPr>
        <w:pStyle w:val="indexentry0"/>
      </w:pPr>
      <w:hyperlink w:anchor="section_16c12ef48608468c8ff133b4ba0ac056">
        <w:r>
          <w:rPr>
            <w:rStyle w:val="Hyperlink"/>
          </w:rPr>
          <w:t>ST_TLBehaviorAdditiveType (Behavior Additive Type)</w:t>
        </w:r>
      </w:hyperlink>
      <w:r>
        <w:t xml:space="preserve"> </w:t>
      </w:r>
      <w:r>
        <w:fldChar w:fldCharType="begin"/>
      </w:r>
      <w:r>
        <w:instrText>PAGEREF section_16c12ef48</w:instrText>
      </w:r>
      <w:r>
        <w:instrText>608468c8ff133b4ba0ac056</w:instrText>
      </w:r>
      <w:r>
        <w:fldChar w:fldCharType="separate"/>
      </w:r>
      <w:r>
        <w:rPr>
          <w:noProof/>
        </w:rPr>
        <w:t>492</w:t>
      </w:r>
      <w:r>
        <w:fldChar w:fldCharType="end"/>
      </w:r>
    </w:p>
    <w:p w:rsidR="00024C0A" w:rsidRDefault="00694C0F">
      <w:pPr>
        <w:pStyle w:val="indexentry0"/>
      </w:pPr>
      <w:hyperlink w:anchor="section_7128b0c014ef4b5f8d9f257dd209846d">
        <w:r>
          <w:rPr>
            <w:rStyle w:val="Hyperlink"/>
          </w:rPr>
          <w:t>ST_TLBehaviorTransformType (Behavior Transform Type)</w:t>
        </w:r>
      </w:hyperlink>
      <w:r>
        <w:t xml:space="preserve"> </w:t>
      </w:r>
      <w:r>
        <w:fldChar w:fldCharType="begin"/>
      </w:r>
      <w:r>
        <w:instrText>PAGEREF section_7128b0c014ef4b5f8d9f257dd209846d</w:instrText>
      </w:r>
      <w:r>
        <w:fldChar w:fldCharType="separate"/>
      </w:r>
      <w:r>
        <w:rPr>
          <w:noProof/>
        </w:rPr>
        <w:t>492</w:t>
      </w:r>
      <w:r>
        <w:fldChar w:fldCharType="end"/>
      </w:r>
    </w:p>
    <w:p w:rsidR="00024C0A" w:rsidRDefault="00694C0F">
      <w:pPr>
        <w:pStyle w:val="indexentry0"/>
      </w:pPr>
      <w:hyperlink w:anchor="section_a9dc8c5b9ef849729200113eddc54e18">
        <w:r>
          <w:rPr>
            <w:rStyle w:val="Hyperlink"/>
          </w:rPr>
          <w:t>ST_TLTime (Time)</w:t>
        </w:r>
      </w:hyperlink>
      <w:r>
        <w:t xml:space="preserve"> </w:t>
      </w:r>
      <w:r>
        <w:fldChar w:fldCharType="begin"/>
      </w:r>
      <w:r>
        <w:instrText>PAGEREF section_a9dc8c5b9ef849729200113eddc54e18</w:instrText>
      </w:r>
      <w:r>
        <w:fldChar w:fldCharType="separate"/>
      </w:r>
      <w:r>
        <w:rPr>
          <w:noProof/>
        </w:rPr>
        <w:t>492</w:t>
      </w:r>
      <w:r>
        <w:fldChar w:fldCharType="end"/>
      </w:r>
    </w:p>
    <w:p w:rsidR="00024C0A" w:rsidRDefault="00694C0F">
      <w:pPr>
        <w:pStyle w:val="indexentry0"/>
      </w:pPr>
      <w:hyperlink w:anchor="section_95561e91e1c047d59ec4006d89646dea">
        <w:r>
          <w:rPr>
            <w:rStyle w:val="Hyperlink"/>
          </w:rPr>
          <w:t>ST_TLTimeNodeFillType (Time Node Fill Type)</w:t>
        </w:r>
      </w:hyperlink>
      <w:r>
        <w:t xml:space="preserve"> </w:t>
      </w:r>
      <w:r>
        <w:fldChar w:fldCharType="begin"/>
      </w:r>
      <w:r>
        <w:instrText>PAGEREF section_95561e91e1c047d59ec4006d89646dea</w:instrText>
      </w:r>
      <w:r>
        <w:fldChar w:fldCharType="separate"/>
      </w:r>
      <w:r>
        <w:rPr>
          <w:noProof/>
        </w:rPr>
        <w:t>492</w:t>
      </w:r>
      <w:r>
        <w:fldChar w:fldCharType="end"/>
      </w:r>
    </w:p>
    <w:p w:rsidR="00024C0A" w:rsidRDefault="00694C0F">
      <w:pPr>
        <w:pStyle w:val="indexentry0"/>
      </w:pPr>
      <w:hyperlink w:anchor="section_751571dcbd2f411eb38c7575bc939071">
        <w:r>
          <w:rPr>
            <w:rStyle w:val="Hyperlink"/>
          </w:rPr>
          <w:t>ST_TLTimeNodeMasterRelation (Time Node Master Relation)</w:t>
        </w:r>
      </w:hyperlink>
      <w:r>
        <w:t xml:space="preserve"> </w:t>
      </w:r>
      <w:r>
        <w:fldChar w:fldCharType="begin"/>
      </w:r>
      <w:r>
        <w:instrText>PAGEREF section_751571dcbd2f411eb38c7575bc939071</w:instrText>
      </w:r>
      <w:r>
        <w:fldChar w:fldCharType="separate"/>
      </w:r>
      <w:r>
        <w:rPr>
          <w:noProof/>
        </w:rPr>
        <w:t>493</w:t>
      </w:r>
      <w:r>
        <w:fldChar w:fldCharType="end"/>
      </w:r>
    </w:p>
    <w:p w:rsidR="00024C0A" w:rsidRDefault="00694C0F">
      <w:pPr>
        <w:pStyle w:val="indexentry0"/>
      </w:pPr>
      <w:hyperlink w:anchor="section_278466dec56a4eaaa0b1723c7aef9b99">
        <w:r>
          <w:rPr>
            <w:rStyle w:val="Hyperlink"/>
          </w:rPr>
          <w:t>ST_TLTimeNodeRestartType (Time Node Restart Type)</w:t>
        </w:r>
      </w:hyperlink>
      <w:r>
        <w:t xml:space="preserve"> </w:t>
      </w:r>
      <w:r>
        <w:fldChar w:fldCharType="begin"/>
      </w:r>
      <w:r>
        <w:instrText>PAGEREF section_278466dec56a4eaaa0b1723c7aef9b99</w:instrText>
      </w:r>
      <w:r>
        <w:fldChar w:fldCharType="separate"/>
      </w:r>
      <w:r>
        <w:rPr>
          <w:noProof/>
        </w:rPr>
        <w:t>493</w:t>
      </w:r>
      <w:r>
        <w:fldChar w:fldCharType="end"/>
      </w:r>
    </w:p>
    <w:p w:rsidR="00024C0A" w:rsidRDefault="00694C0F">
      <w:pPr>
        <w:pStyle w:val="indexentry0"/>
      </w:pPr>
      <w:hyperlink w:anchor="section_6acf6d2c64234f5e8a166533a20fbd41">
        <w:r>
          <w:rPr>
            <w:rStyle w:val="Hyperlink"/>
          </w:rPr>
          <w:t>ST_TLTriggerEvent (Trigger Event)</w:t>
        </w:r>
      </w:hyperlink>
      <w:r>
        <w:t xml:space="preserve"> </w:t>
      </w:r>
      <w:r>
        <w:fldChar w:fldCharType="begin"/>
      </w:r>
      <w:r>
        <w:instrText>PAGEREF section_6acf6d2c64234f5e8a166533a20fbd41</w:instrText>
      </w:r>
      <w:r>
        <w:fldChar w:fldCharType="separate"/>
      </w:r>
      <w:r>
        <w:rPr>
          <w:noProof/>
        </w:rPr>
        <w:t>493</w:t>
      </w:r>
      <w:r>
        <w:fldChar w:fldCharType="end"/>
      </w:r>
    </w:p>
    <w:p w:rsidR="00024C0A" w:rsidRDefault="00694C0F">
      <w:pPr>
        <w:pStyle w:val="indexentry0"/>
      </w:pPr>
      <w:hyperlink w:anchor="section_b020773c92774a4181691f29c9b3f0de">
        <w:r>
          <w:rPr>
            <w:rStyle w:val="Hyperlink"/>
          </w:rPr>
          <w:t>ST_TopBot (Top-Bottom)</w:t>
        </w:r>
      </w:hyperlink>
      <w:r>
        <w:t xml:space="preserve"> </w:t>
      </w:r>
      <w:r>
        <w:fldChar w:fldCharType="begin"/>
      </w:r>
      <w:r>
        <w:instrText>PAGEREF section_b020773c92774a4181691f29c9b3f0de</w:instrText>
      </w:r>
      <w:r>
        <w:fldChar w:fldCharType="separate"/>
      </w:r>
      <w:r>
        <w:rPr>
          <w:noProof/>
        </w:rPr>
        <w:t>602</w:t>
      </w:r>
      <w:r>
        <w:fldChar w:fldCharType="end"/>
      </w:r>
    </w:p>
    <w:p w:rsidR="00024C0A" w:rsidRDefault="00694C0F">
      <w:pPr>
        <w:pStyle w:val="indexentry0"/>
      </w:pPr>
      <w:hyperlink w:anchor="section_99e8f4cc2f6c46638cf5b044dddc7e1c">
        <w:r>
          <w:rPr>
            <w:rStyle w:val="Hyperlink"/>
          </w:rPr>
          <w:t>ST_TotalsRowFunction (Totals Row Function Types)</w:t>
        </w:r>
      </w:hyperlink>
      <w:r>
        <w:t xml:space="preserve"> </w:t>
      </w:r>
      <w:r>
        <w:fldChar w:fldCharType="begin"/>
      </w:r>
      <w:r>
        <w:instrText>PAGEREF section_99e8f4cc2f6c46638cf5b044dddc7e1c</w:instrText>
      </w:r>
      <w:r>
        <w:fldChar w:fldCharType="separate"/>
      </w:r>
      <w:r>
        <w:rPr>
          <w:noProof/>
        </w:rPr>
        <w:t>458</w:t>
      </w:r>
      <w:r>
        <w:fldChar w:fldCharType="end"/>
      </w:r>
    </w:p>
    <w:p w:rsidR="00024C0A" w:rsidRDefault="00694C0F">
      <w:pPr>
        <w:pStyle w:val="indexentry0"/>
      </w:pPr>
      <w:hyperlink w:anchor="section_b4f2d82cf8ae4592847f4360fbd8fdad">
        <w:r>
          <w:rPr>
            <w:rStyle w:val="Hyperlink"/>
          </w:rPr>
          <w:t>ST_TrendlineType (Trendline Type)</w:t>
        </w:r>
      </w:hyperlink>
      <w:r>
        <w:t xml:space="preserve"> </w:t>
      </w:r>
      <w:r>
        <w:fldChar w:fldCharType="begin"/>
      </w:r>
      <w:r>
        <w:instrText>PAGEREF section_b4f2d82cf8ae4592847f4360fbd8fdad</w:instrText>
      </w:r>
      <w:r>
        <w:fldChar w:fldCharType="separate"/>
      </w:r>
      <w:r>
        <w:rPr>
          <w:noProof/>
        </w:rPr>
        <w:t>576</w:t>
      </w:r>
      <w:r>
        <w:fldChar w:fldCharType="end"/>
      </w:r>
    </w:p>
    <w:p w:rsidR="00024C0A" w:rsidRDefault="00694C0F">
      <w:pPr>
        <w:pStyle w:val="indexentry0"/>
      </w:pPr>
      <w:hyperlink w:anchor="section_c3aaaaf541984b30a06a526413997642">
        <w:r>
          <w:rPr>
            <w:rStyle w:val="Hyperlink"/>
          </w:rPr>
          <w:t>ST_TrueFalseBlank (Boolean Value with Blank [F</w:t>
        </w:r>
        <w:r>
          <w:rPr>
            <w:rStyle w:val="Hyperlink"/>
          </w:rPr>
          <w:t>alse] State)</w:t>
        </w:r>
      </w:hyperlink>
      <w:r>
        <w:t xml:space="preserve"> </w:t>
      </w:r>
      <w:r>
        <w:fldChar w:fldCharType="begin"/>
      </w:r>
      <w:r>
        <w:instrText>PAGEREF section_c3aaaaf541984b30a06a526413997642</w:instrText>
      </w:r>
      <w:r>
        <w:fldChar w:fldCharType="separate"/>
      </w:r>
      <w:r>
        <w:rPr>
          <w:noProof/>
        </w:rPr>
        <w:t>683</w:t>
      </w:r>
      <w:r>
        <w:fldChar w:fldCharType="end"/>
      </w:r>
    </w:p>
    <w:p w:rsidR="00024C0A" w:rsidRDefault="00694C0F">
      <w:pPr>
        <w:pStyle w:val="indexentry0"/>
      </w:pPr>
      <w:hyperlink w:anchor="section_f2dd832362924b9bbc07123e1aad7cc1">
        <w:r>
          <w:rPr>
            <w:rStyle w:val="Hyperlink"/>
          </w:rPr>
          <w:t>ST_TrueOnly (True Only)</w:t>
        </w:r>
      </w:hyperlink>
      <w:r>
        <w:t xml:space="preserve"> </w:t>
      </w:r>
      <w:r>
        <w:fldChar w:fldCharType="begin"/>
      </w:r>
      <w:r>
        <w:instrText>PAGEREF section_f2dd832362924b9bbc07123e1aad7cc1</w:instrText>
      </w:r>
      <w:r>
        <w:fldChar w:fldCharType="separate"/>
      </w:r>
      <w:r>
        <w:rPr>
          <w:noProof/>
        </w:rPr>
        <w:t>863</w:t>
      </w:r>
      <w:r>
        <w:fldChar w:fldCharType="end"/>
      </w:r>
    </w:p>
    <w:p w:rsidR="00024C0A" w:rsidRDefault="00694C0F">
      <w:pPr>
        <w:pStyle w:val="indexentry0"/>
      </w:pPr>
      <w:hyperlink w:anchor="section_36a8c9a33650482fb5602ec6ab9fadab">
        <w:r>
          <w:rPr>
            <w:rStyle w:val="Hyperlink"/>
          </w:rPr>
          <w:t>ST_TwipsMeasure (Measurement in Twentieths of a Point)</w:t>
        </w:r>
      </w:hyperlink>
      <w:r>
        <w:t xml:space="preserve"> </w:t>
      </w:r>
      <w:r>
        <w:fldChar w:fldCharType="begin"/>
      </w:r>
      <w:r>
        <w:instrText>PAGEREF section_36a8c9a33650482fb5602ec6ab9fadab</w:instrText>
      </w:r>
      <w:r>
        <w:fldChar w:fldCharType="separate"/>
      </w:r>
      <w:r>
        <w:rPr>
          <w:noProof/>
        </w:rPr>
        <w:t>617</w:t>
      </w:r>
      <w:r>
        <w:fldChar w:fldCharType="end"/>
      </w:r>
    </w:p>
    <w:p w:rsidR="00024C0A" w:rsidRDefault="00694C0F">
      <w:pPr>
        <w:pStyle w:val="indexentry0"/>
      </w:pPr>
      <w:hyperlink w:anchor="section_248f1259824c4068a4ed5c90c1b17f5f">
        <w:r>
          <w:rPr>
            <w:rStyle w:val="Hyperlink"/>
          </w:rPr>
          <w:t>ST_UniqueIdentifier ()</w:t>
        </w:r>
      </w:hyperlink>
      <w:r>
        <w:t xml:space="preserve"> </w:t>
      </w:r>
      <w:r>
        <w:fldChar w:fldCharType="begin"/>
      </w:r>
      <w:r>
        <w:instrText>PAGEREF section_248f1259824c4068a4ed5c90c1b17f5f</w:instrText>
      </w:r>
      <w:r>
        <w:fldChar w:fldCharType="separate"/>
      </w:r>
      <w:r>
        <w:rPr>
          <w:noProof/>
        </w:rPr>
        <w:t>863</w:t>
      </w:r>
      <w:r>
        <w:fldChar w:fldCharType="end"/>
      </w:r>
    </w:p>
    <w:p w:rsidR="00024C0A" w:rsidRDefault="00694C0F">
      <w:pPr>
        <w:pStyle w:val="indexentry0"/>
      </w:pPr>
      <w:hyperlink w:anchor="section_6478af0db7b4409889c50d291a9cf0ce">
        <w:r>
          <w:rPr>
            <w:rStyle w:val="Hyperlink"/>
          </w:rPr>
          <w:t>ST_UniqueIdentifierWithBraces (Unique Identifier with Braces)</w:t>
        </w:r>
      </w:hyperlink>
      <w:r>
        <w:t xml:space="preserve"> </w:t>
      </w:r>
      <w:r>
        <w:fldChar w:fldCharType="begin"/>
      </w:r>
      <w:r>
        <w:instrText>PAGEREF section_6478af0db7b4409889c50d291a9cf0ce</w:instrText>
      </w:r>
      <w:r>
        <w:fldChar w:fldCharType="separate"/>
      </w:r>
      <w:r>
        <w:rPr>
          <w:noProof/>
        </w:rPr>
        <w:t>886</w:t>
      </w:r>
      <w:r>
        <w:fldChar w:fldCharType="end"/>
      </w:r>
    </w:p>
    <w:p w:rsidR="00024C0A" w:rsidRDefault="00694C0F">
      <w:pPr>
        <w:pStyle w:val="indexentry0"/>
      </w:pPr>
      <w:hyperlink w:anchor="section_ab99726155c24ba4b3b99819b200389d">
        <w:r>
          <w:rPr>
            <w:rStyle w:val="Hyperlink"/>
          </w:rPr>
          <w:t>ST_UniqueIdentif</w:t>
        </w:r>
        <w:r>
          <w:rPr>
            <w:rStyle w:val="Hyperlink"/>
          </w:rPr>
          <w:t>ierWithoutBraces (Unique Identifier without Braces)</w:t>
        </w:r>
      </w:hyperlink>
      <w:r>
        <w:t xml:space="preserve"> </w:t>
      </w:r>
      <w:r>
        <w:fldChar w:fldCharType="begin"/>
      </w:r>
      <w:r>
        <w:instrText>PAGEREF section_ab99726155c24ba4b3b99819b200389d</w:instrText>
      </w:r>
      <w:r>
        <w:fldChar w:fldCharType="separate"/>
      </w:r>
      <w:r>
        <w:rPr>
          <w:noProof/>
        </w:rPr>
        <w:t>864</w:t>
      </w:r>
      <w:r>
        <w:fldChar w:fldCharType="end"/>
      </w:r>
    </w:p>
    <w:p w:rsidR="00024C0A" w:rsidRDefault="00694C0F">
      <w:pPr>
        <w:pStyle w:val="indexentry0"/>
      </w:pPr>
      <w:hyperlink w:anchor="section_5e4c54421b28482ea1ae61157400fc89">
        <w:r>
          <w:rPr>
            <w:rStyle w:val="Hyperlink"/>
          </w:rPr>
          <w:t>ST_UnsignedDecimalNumber (Unsigned Decimal Number Value)</w:t>
        </w:r>
      </w:hyperlink>
      <w:r>
        <w:t xml:space="preserve"> </w:t>
      </w:r>
      <w:r>
        <w:fldChar w:fldCharType="begin"/>
      </w:r>
      <w:r>
        <w:instrText>PAGEREF section_5e4c54421b2848</w:instrText>
      </w:r>
      <w:r>
        <w:instrText>2ea1ae61157400fc89</w:instrText>
      </w:r>
      <w:r>
        <w:fldChar w:fldCharType="separate"/>
      </w:r>
      <w:r>
        <w:rPr>
          <w:noProof/>
        </w:rPr>
        <w:t>618</w:t>
      </w:r>
      <w:r>
        <w:fldChar w:fldCharType="end"/>
      </w:r>
    </w:p>
    <w:p w:rsidR="00024C0A" w:rsidRDefault="00694C0F">
      <w:pPr>
        <w:pStyle w:val="indexentry0"/>
      </w:pPr>
      <w:hyperlink w:anchor="section_71424b866d3c4173a2027fc4efad6377">
        <w:r>
          <w:rPr>
            <w:rStyle w:val="Hyperlink"/>
          </w:rPr>
          <w:t>ST_UnSignedInteger (Unsigned integer.)</w:t>
        </w:r>
      </w:hyperlink>
      <w:r>
        <w:t xml:space="preserve"> </w:t>
      </w:r>
      <w:r>
        <w:fldChar w:fldCharType="begin"/>
      </w:r>
      <w:r>
        <w:instrText>PAGEREF section_71424b866d3c4173a2027fc4efad6377</w:instrText>
      </w:r>
      <w:r>
        <w:fldChar w:fldCharType="separate"/>
      </w:r>
      <w:r>
        <w:rPr>
          <w:noProof/>
        </w:rPr>
        <w:t>602</w:t>
      </w:r>
      <w:r>
        <w:fldChar w:fldCharType="end"/>
      </w:r>
    </w:p>
    <w:p w:rsidR="00024C0A" w:rsidRDefault="00694C0F">
      <w:pPr>
        <w:pStyle w:val="indexentry0"/>
      </w:pPr>
      <w:hyperlink w:anchor="section_49537dee2826428a984e70e8d44af015">
        <w:r>
          <w:rPr>
            <w:rStyle w:val="Hyperlink"/>
          </w:rPr>
          <w:t>ST_UpdateLinks (Upd</w:t>
        </w:r>
        <w:r>
          <w:rPr>
            <w:rStyle w:val="Hyperlink"/>
          </w:rPr>
          <w:t>ate Links Behavior Types)</w:t>
        </w:r>
      </w:hyperlink>
      <w:r>
        <w:t xml:space="preserve"> </w:t>
      </w:r>
      <w:r>
        <w:fldChar w:fldCharType="begin"/>
      </w:r>
      <w:r>
        <w:instrText>PAGEREF section_49537dee2826428a984e70e8d44af015</w:instrText>
      </w:r>
      <w:r>
        <w:fldChar w:fldCharType="separate"/>
      </w:r>
      <w:r>
        <w:rPr>
          <w:noProof/>
        </w:rPr>
        <w:t>458</w:t>
      </w:r>
      <w:r>
        <w:fldChar w:fldCharType="end"/>
      </w:r>
    </w:p>
    <w:p w:rsidR="00024C0A" w:rsidRDefault="00694C0F">
      <w:pPr>
        <w:pStyle w:val="indexentry0"/>
      </w:pPr>
      <w:hyperlink w:anchor="section_9c80c836e9844ac89c825d2d5bf63221">
        <w:r>
          <w:rPr>
            <w:rStyle w:val="Hyperlink"/>
          </w:rPr>
          <w:t>ST_Version (Version)</w:t>
        </w:r>
      </w:hyperlink>
      <w:r>
        <w:t xml:space="preserve"> </w:t>
      </w:r>
      <w:r>
        <w:fldChar w:fldCharType="begin"/>
      </w:r>
      <w:r>
        <w:instrText>PAGEREF section_9c80c836e9844ac89c825d2d5bf63221</w:instrText>
      </w:r>
      <w:r>
        <w:fldChar w:fldCharType="separate"/>
      </w:r>
      <w:r>
        <w:rPr>
          <w:noProof/>
        </w:rPr>
        <w:t>887</w:t>
      </w:r>
      <w:r>
        <w:fldChar w:fldCharType="end"/>
      </w:r>
    </w:p>
    <w:p w:rsidR="00024C0A" w:rsidRDefault="00694C0F">
      <w:pPr>
        <w:pStyle w:val="indexentry0"/>
      </w:pPr>
      <w:hyperlink w:anchor="section_45d9c9bc082746b19de0553bf9a0fe56">
        <w:r>
          <w:rPr>
            <w:rStyle w:val="Hyperlink"/>
          </w:rPr>
          <w:t>ST_VerticalAnchor (Vertical Anchor Type)</w:t>
        </w:r>
      </w:hyperlink>
      <w:r>
        <w:t xml:space="preserve"> </w:t>
      </w:r>
      <w:r>
        <w:fldChar w:fldCharType="begin"/>
      </w:r>
      <w:r>
        <w:instrText>PAGEREF section_45d9c9bc082746b19de0553bf9a0fe56</w:instrText>
      </w:r>
      <w:r>
        <w:fldChar w:fldCharType="separate"/>
      </w:r>
      <w:r>
        <w:rPr>
          <w:noProof/>
        </w:rPr>
        <w:t>672</w:t>
      </w:r>
      <w:r>
        <w:fldChar w:fldCharType="end"/>
      </w:r>
    </w:p>
    <w:p w:rsidR="00024C0A" w:rsidRDefault="00694C0F">
      <w:pPr>
        <w:pStyle w:val="indexentry0"/>
      </w:pPr>
      <w:hyperlink w:anchor="section_d9309b78fe044bf79a64f30ff80215a9">
        <w:r>
          <w:rPr>
            <w:rStyle w:val="Hyperlink"/>
          </w:rPr>
          <w:t>ST_VerticalJc (Vertical Alignment Type)</w:t>
        </w:r>
      </w:hyperlink>
      <w:r>
        <w:t xml:space="preserve"> </w:t>
      </w:r>
      <w:r>
        <w:fldChar w:fldCharType="begin"/>
      </w:r>
      <w:r>
        <w:instrText>PAGEREF section_d9309b78fe044bf79a64f30ff80215a9</w:instrText>
      </w:r>
      <w:r>
        <w:fldChar w:fldCharType="separate"/>
      </w:r>
      <w:r>
        <w:rPr>
          <w:noProof/>
        </w:rPr>
        <w:t>236</w:t>
      </w:r>
      <w:r>
        <w:fldChar w:fldCharType="end"/>
      </w:r>
    </w:p>
    <w:p w:rsidR="00024C0A" w:rsidRDefault="00694C0F">
      <w:pPr>
        <w:pStyle w:val="indexentry0"/>
      </w:pPr>
      <w:hyperlink w:anchor="section_7c0abcfe3753410185d1d2636a792cdc">
        <w:r>
          <w:rPr>
            <w:rStyle w:val="Hyperlink"/>
          </w:rPr>
          <w:t>ST_View (Document View Values)</w:t>
        </w:r>
      </w:hyperlink>
      <w:r>
        <w:t xml:space="preserve"> </w:t>
      </w:r>
      <w:r>
        <w:fldChar w:fldCharType="begin"/>
      </w:r>
      <w:r>
        <w:instrText>PAGEREF section_7c0abcfe3753410185d1d2636a792cdc</w:instrText>
      </w:r>
      <w:r>
        <w:fldChar w:fldCharType="separate"/>
      </w:r>
      <w:r>
        <w:rPr>
          <w:noProof/>
        </w:rPr>
        <w:t>236</w:t>
      </w:r>
      <w:r>
        <w:fldChar w:fldCharType="end"/>
      </w:r>
    </w:p>
    <w:p w:rsidR="00024C0A" w:rsidRDefault="00694C0F">
      <w:pPr>
        <w:pStyle w:val="indexentry0"/>
      </w:pPr>
      <w:hyperlink w:anchor="section_3f5152a76417405bbadc827205e1f4f0">
        <w:r>
          <w:rPr>
            <w:rStyle w:val="Hyperlink"/>
          </w:rPr>
          <w:t>ST_ViewType (List of View Types)</w:t>
        </w:r>
      </w:hyperlink>
      <w:r>
        <w:t xml:space="preserve"> </w:t>
      </w:r>
      <w:r>
        <w:fldChar w:fldCharType="begin"/>
      </w:r>
      <w:r>
        <w:instrText>PAGEREF section_3f5152a76417405bbadc827205e1f4f0</w:instrText>
      </w:r>
      <w:r>
        <w:fldChar w:fldCharType="separate"/>
      </w:r>
      <w:r>
        <w:rPr>
          <w:noProof/>
        </w:rPr>
        <w:t>494</w:t>
      </w:r>
      <w:r>
        <w:fldChar w:fldCharType="end"/>
      </w:r>
    </w:p>
    <w:p w:rsidR="00024C0A" w:rsidRDefault="00694C0F">
      <w:pPr>
        <w:pStyle w:val="indexentry0"/>
      </w:pPr>
      <w:hyperlink w:anchor="section_049a4e676f4c4025a8696fe7dec8f7e5">
        <w:r>
          <w:rPr>
            <w:rStyle w:val="Hyperlink"/>
          </w:rPr>
          <w:t>ST_Visibility (Visibility Types)</w:t>
        </w:r>
      </w:hyperlink>
      <w:r>
        <w:t xml:space="preserve"> </w:t>
      </w:r>
      <w:r>
        <w:fldChar w:fldCharType="begin"/>
      </w:r>
      <w:r>
        <w:instrText>PAGEREF section_049a4e676f4c4025a8696fe7dec8f7e5</w:instrText>
      </w:r>
      <w:r>
        <w:fldChar w:fldCharType="separate"/>
      </w:r>
      <w:r>
        <w:rPr>
          <w:noProof/>
        </w:rPr>
        <w:t>459</w:t>
      </w:r>
      <w:r>
        <w:fldChar w:fldCharType="end"/>
      </w:r>
    </w:p>
    <w:p w:rsidR="00024C0A" w:rsidRDefault="00694C0F">
      <w:pPr>
        <w:pStyle w:val="indexentry0"/>
      </w:pPr>
      <w:hyperlink w:anchor="section_a0b95db945994a7dae014cff87aa21f9">
        <w:r>
          <w:rPr>
            <w:rStyle w:val="Hyperlink"/>
          </w:rPr>
          <w:t>ST_WebSourceType (Web Source Type)</w:t>
        </w:r>
      </w:hyperlink>
      <w:r>
        <w:t xml:space="preserve"> </w:t>
      </w:r>
      <w:r>
        <w:fldChar w:fldCharType="begin"/>
      </w:r>
      <w:r>
        <w:instrText>PAGEREF section_a0b95db945994a7dae014cff87aa21f9</w:instrText>
      </w:r>
      <w:r>
        <w:fldChar w:fldCharType="separate"/>
      </w:r>
      <w:r>
        <w:rPr>
          <w:noProof/>
        </w:rPr>
        <w:t>459</w:t>
      </w:r>
      <w:r>
        <w:fldChar w:fldCharType="end"/>
      </w:r>
    </w:p>
    <w:p w:rsidR="00024C0A" w:rsidRDefault="00694C0F">
      <w:pPr>
        <w:pStyle w:val="indexentry0"/>
      </w:pPr>
      <w:hyperlink w:anchor="section_d2081988766c4aa1bfe807eeeefd1f4f">
        <w:r>
          <w:rPr>
            <w:rStyle w:val="Hyperlink"/>
          </w:rPr>
          <w:t>ST_Wrap (Text Wrapping around Text Frame Type)</w:t>
        </w:r>
      </w:hyperlink>
      <w:r>
        <w:t xml:space="preserve"> </w:t>
      </w:r>
      <w:r>
        <w:fldChar w:fldCharType="begin"/>
      </w:r>
      <w:r>
        <w:instrText>PAGEREF sec</w:instrText>
      </w:r>
      <w:r>
        <w:instrText>tion_d2081988766c4aa1bfe807eeeefd1f4f</w:instrText>
      </w:r>
      <w:r>
        <w:fldChar w:fldCharType="separate"/>
      </w:r>
      <w:r>
        <w:rPr>
          <w:noProof/>
        </w:rPr>
        <w:t>236</w:t>
      </w:r>
      <w:r>
        <w:fldChar w:fldCharType="end"/>
      </w:r>
    </w:p>
    <w:p w:rsidR="00024C0A" w:rsidRDefault="00694C0F">
      <w:pPr>
        <w:pStyle w:val="indexentry0"/>
      </w:pPr>
      <w:hyperlink w:anchor="section_d34ae755c53f4a44a363c6dd3ee018a4">
        <w:r>
          <w:rPr>
            <w:rStyle w:val="Hyperlink"/>
          </w:rPr>
          <w:t>ST_Xstring (Escaped String)</w:t>
        </w:r>
      </w:hyperlink>
      <w:r>
        <w:t xml:space="preserve"> </w:t>
      </w:r>
      <w:r>
        <w:fldChar w:fldCharType="begin"/>
      </w:r>
      <w:r>
        <w:instrText>PAGEREF section_d34ae755c53f4a44a363c6dd3ee018a4</w:instrText>
      </w:r>
      <w:r>
        <w:fldChar w:fldCharType="separate"/>
      </w:r>
      <w:r>
        <w:rPr>
          <w:noProof/>
        </w:rPr>
        <w:t>618</w:t>
      </w:r>
      <w:r>
        <w:fldChar w:fldCharType="end"/>
      </w:r>
    </w:p>
    <w:p w:rsidR="00024C0A" w:rsidRDefault="00694C0F">
      <w:pPr>
        <w:pStyle w:val="indexentry0"/>
      </w:pPr>
      <w:hyperlink w:anchor="section_56cfa653d6124212a1a7b3e67b96edc2">
        <w:r>
          <w:rPr>
            <w:rStyle w:val="Hyperlink"/>
          </w:rPr>
          <w:t>start (Lead</w:t>
        </w:r>
        <w:r>
          <w:rPr>
            <w:rStyle w:val="Hyperlink"/>
          </w:rPr>
          <w:t>ing Edge Border)</w:t>
        </w:r>
      </w:hyperlink>
      <w:r>
        <w:t xml:space="preserve"> </w:t>
      </w:r>
      <w:r>
        <w:fldChar w:fldCharType="begin"/>
      </w:r>
      <w:r>
        <w:instrText>PAGEREF section_56cfa653d6124212a1a7b3e67b96edc2</w:instrText>
      </w:r>
      <w:r>
        <w:fldChar w:fldCharType="separate"/>
      </w:r>
      <w:r>
        <w:rPr>
          <w:noProof/>
        </w:rPr>
        <w:t>310</w:t>
      </w:r>
      <w:r>
        <w:fldChar w:fldCharType="end"/>
      </w:r>
    </w:p>
    <w:p w:rsidR="00024C0A" w:rsidRDefault="00694C0F">
      <w:pPr>
        <w:pStyle w:val="indexentry0"/>
      </w:pPr>
      <w:hyperlink w:anchor="section_8f14505554224df0933de67a81c633cd">
        <w:r>
          <w:rPr>
            <w:rStyle w:val="Hyperlink"/>
          </w:rPr>
          <w:t>start (Starting Value)</w:t>
        </w:r>
      </w:hyperlink>
      <w:r>
        <w:t xml:space="preserve"> </w:t>
      </w:r>
      <w:r>
        <w:fldChar w:fldCharType="begin"/>
      </w:r>
      <w:r>
        <w:instrText>PAGEREF section_8f14505554224df0933de67a81c633cd</w:instrText>
      </w:r>
      <w:r>
        <w:fldChar w:fldCharType="separate"/>
      </w:r>
      <w:r>
        <w:rPr>
          <w:noProof/>
        </w:rPr>
        <w:t>125</w:t>
      </w:r>
      <w:r>
        <w:fldChar w:fldCharType="end"/>
      </w:r>
    </w:p>
    <w:p w:rsidR="00024C0A" w:rsidRDefault="00694C0F">
      <w:pPr>
        <w:pStyle w:val="indexentry0"/>
      </w:pPr>
      <w:hyperlink w:anchor="section_e904b9013e03484fa606b4c9ac291538">
        <w:r>
          <w:rPr>
            <w:rStyle w:val="Hyperlink"/>
          </w:rPr>
          <w:t>start (Table Cell Leading Edge Border)</w:t>
        </w:r>
      </w:hyperlink>
      <w:r>
        <w:t xml:space="preserve"> </w:t>
      </w:r>
      <w:r>
        <w:fldChar w:fldCharType="begin"/>
      </w:r>
      <w:r>
        <w:instrText>PAGEREF section_e904b9013e03484fa606b4c9ac291538</w:instrText>
      </w:r>
      <w:r>
        <w:fldChar w:fldCharType="separate"/>
      </w:r>
      <w:r>
        <w:rPr>
          <w:noProof/>
        </w:rPr>
        <w:t>85</w:t>
      </w:r>
      <w:r>
        <w:fldChar w:fldCharType="end"/>
      </w:r>
    </w:p>
    <w:p w:rsidR="00024C0A" w:rsidRDefault="00694C0F">
      <w:pPr>
        <w:pStyle w:val="indexentry0"/>
      </w:pPr>
      <w:hyperlink w:anchor="section_7764bed5db624323ad79ac21e1b96f45">
        <w:r>
          <w:rPr>
            <w:rStyle w:val="Hyperlink"/>
          </w:rPr>
          <w:t>start (Table Cell Leading Margin Default)</w:t>
        </w:r>
      </w:hyperlink>
      <w:r>
        <w:t xml:space="preserve"> </w:t>
      </w:r>
      <w:r>
        <w:fldChar w:fldCharType="begin"/>
      </w:r>
      <w:r>
        <w:instrText>PAGEREF section_7764bed5db624323ad79ac21e1b96f45</w:instrText>
      </w:r>
      <w:r>
        <w:fldChar w:fldCharType="separate"/>
      </w:r>
      <w:r>
        <w:rPr>
          <w:noProof/>
        </w:rPr>
        <w:t>85</w:t>
      </w:r>
      <w:r>
        <w:fldChar w:fldCharType="end"/>
      </w:r>
    </w:p>
    <w:p w:rsidR="00024C0A" w:rsidRDefault="00694C0F">
      <w:pPr>
        <w:pStyle w:val="indexentry0"/>
      </w:pPr>
      <w:hyperlink w:anchor="section_799ae85c14ec4a04a583768fbb6a05aa">
        <w:r>
          <w:rPr>
            <w:rStyle w:val="Hyperlink"/>
          </w:rPr>
          <w:t>start (Table Cell Leading Margin Exception)</w:t>
        </w:r>
      </w:hyperlink>
      <w:r>
        <w:t xml:space="preserve"> </w:t>
      </w:r>
      <w:r>
        <w:fldChar w:fldCharType="begin"/>
      </w:r>
      <w:r>
        <w:instrText>PAGEREF section_799ae85c14ec4a04a583768fbb6a05aa</w:instrText>
      </w:r>
      <w:r>
        <w:fldChar w:fldCharType="separate"/>
      </w:r>
      <w:r>
        <w:rPr>
          <w:noProof/>
        </w:rPr>
        <w:t>85</w:t>
      </w:r>
      <w:r>
        <w:fldChar w:fldCharType="end"/>
      </w:r>
    </w:p>
    <w:p w:rsidR="00024C0A" w:rsidRDefault="00694C0F">
      <w:pPr>
        <w:pStyle w:val="indexentry0"/>
      </w:pPr>
      <w:hyperlink w:anchor="section_af57788ba32349a883cd0014c2f7c89e">
        <w:r>
          <w:rPr>
            <w:rStyle w:val="Hyperlink"/>
          </w:rPr>
          <w:t>start (Table Leading Edge Border)</w:t>
        </w:r>
      </w:hyperlink>
      <w:r>
        <w:t xml:space="preserve"> </w:t>
      </w:r>
      <w:r>
        <w:fldChar w:fldCharType="begin"/>
      </w:r>
      <w:r>
        <w:instrText>PAGEREF section_af57788ba32349a883cd0014c2f7c89e</w:instrText>
      </w:r>
      <w:r>
        <w:fldChar w:fldCharType="separate"/>
      </w:r>
      <w:r>
        <w:rPr>
          <w:noProof/>
        </w:rPr>
        <w:t>86</w:t>
      </w:r>
      <w:r>
        <w:fldChar w:fldCharType="end"/>
      </w:r>
    </w:p>
    <w:p w:rsidR="00024C0A" w:rsidRDefault="00694C0F">
      <w:pPr>
        <w:pStyle w:val="indexentry0"/>
      </w:pPr>
      <w:hyperlink w:anchor="section_66c78b0f4a004202973efe6762037678">
        <w:r>
          <w:rPr>
            <w:rStyle w:val="Hyperlink"/>
          </w:rPr>
          <w:t>start (Wrapping Polygon Start)</w:t>
        </w:r>
      </w:hyperlink>
      <w:r>
        <w:t xml:space="preserve"> </w:t>
      </w:r>
      <w:r>
        <w:fldChar w:fldCharType="begin"/>
      </w:r>
      <w:r>
        <w:instrText>PAGEREF section_66c78b0f4a004202973efe6762037678</w:instrText>
      </w:r>
      <w:r>
        <w:fldChar w:fldCharType="separate"/>
      </w:r>
      <w:r>
        <w:rPr>
          <w:noProof/>
        </w:rPr>
        <w:t>522</w:t>
      </w:r>
      <w:r>
        <w:fldChar w:fldCharType="end"/>
      </w:r>
    </w:p>
    <w:p w:rsidR="00024C0A" w:rsidRDefault="00694C0F">
      <w:pPr>
        <w:pStyle w:val="indexentry0"/>
      </w:pPr>
      <w:hyperlink w:anchor="section_c1f7dc7261034817b86d301051daeb73">
        <w:r>
          <w:rPr>
            <w:rStyle w:val="Hyperlink"/>
          </w:rPr>
          <w:t>Statements</w:t>
        </w:r>
      </w:hyperlink>
      <w:r>
        <w:t xml:space="preserve"> </w:t>
      </w:r>
      <w:r>
        <w:fldChar w:fldCharType="begin"/>
      </w:r>
      <w:r>
        <w:instrText>PAGEREF section_c1f7dc7261034817b86d301051daeb73</w:instrText>
      </w:r>
      <w:r>
        <w:fldChar w:fldCharType="separate"/>
      </w:r>
      <w:r>
        <w:rPr>
          <w:noProof/>
        </w:rPr>
        <w:t>762</w:t>
      </w:r>
      <w:r>
        <w:fldChar w:fldCharType="end"/>
      </w:r>
    </w:p>
    <w:p w:rsidR="00024C0A" w:rsidRDefault="00694C0F">
      <w:pPr>
        <w:pStyle w:val="indexentry0"/>
      </w:pPr>
      <w:hyperlink w:anchor="section_52010234952f45889bdb6d2e5e6e7868">
        <w:r>
          <w:rPr>
            <w:rStyle w:val="Hyperlink"/>
          </w:rPr>
          <w:t>stCxn (Connection Start)</w:t>
        </w:r>
      </w:hyperlink>
      <w:r>
        <w:t xml:space="preserve"> </w:t>
      </w:r>
      <w:r>
        <w:fldChar w:fldCharType="begin"/>
      </w:r>
      <w:r>
        <w:instrText>PAGEREF section_52010234952f45889bdb6d2e5e6e7</w:instrText>
      </w:r>
      <w:r>
        <w:instrText>868</w:instrText>
      </w:r>
      <w:r>
        <w:fldChar w:fldCharType="separate"/>
      </w:r>
      <w:r>
        <w:rPr>
          <w:noProof/>
        </w:rPr>
        <w:t>497</w:t>
      </w:r>
      <w:r>
        <w:fldChar w:fldCharType="end"/>
      </w:r>
    </w:p>
    <w:p w:rsidR="00024C0A" w:rsidRDefault="00694C0F">
      <w:pPr>
        <w:pStyle w:val="indexentry0"/>
      </w:pPr>
      <w:hyperlink w:anchor="section_1df6af0af8044a189683ef5e9dcf9624">
        <w:r>
          <w:rPr>
            <w:rStyle w:val="Hyperlink"/>
          </w:rPr>
          <w:t>STDEV</w:t>
        </w:r>
      </w:hyperlink>
      <w:r>
        <w:t xml:space="preserve"> </w:t>
      </w:r>
      <w:r>
        <w:fldChar w:fldCharType="begin"/>
      </w:r>
      <w:r>
        <w:instrText>PAGEREF section_1df6af0af8044a189683ef5e9dcf9624</w:instrText>
      </w:r>
      <w:r>
        <w:fldChar w:fldCharType="separate"/>
      </w:r>
      <w:r>
        <w:rPr>
          <w:noProof/>
        </w:rPr>
        <w:t>446</w:t>
      </w:r>
      <w:r>
        <w:fldChar w:fldCharType="end"/>
      </w:r>
    </w:p>
    <w:p w:rsidR="00024C0A" w:rsidRDefault="00694C0F">
      <w:pPr>
        <w:pStyle w:val="indexentry0"/>
      </w:pPr>
      <w:hyperlink w:anchor="section_7cd80ce62f494e28a7fc75bab7b14571">
        <w:r>
          <w:rPr>
            <w:rStyle w:val="Hyperlink"/>
          </w:rPr>
          <w:t>STDEVA</w:t>
        </w:r>
      </w:hyperlink>
      <w:r>
        <w:t xml:space="preserve"> </w:t>
      </w:r>
      <w:r>
        <w:fldChar w:fldCharType="begin"/>
      </w:r>
      <w:r>
        <w:instrText>PAGEREF section_7cd80ce62f494e28a7fc75bab7b14571</w:instrText>
      </w:r>
      <w:r>
        <w:fldChar w:fldCharType="separate"/>
      </w:r>
      <w:r>
        <w:rPr>
          <w:noProof/>
        </w:rPr>
        <w:t>446</w:t>
      </w:r>
      <w:r>
        <w:fldChar w:fldCharType="end"/>
      </w:r>
    </w:p>
    <w:p w:rsidR="00024C0A" w:rsidRDefault="00694C0F">
      <w:pPr>
        <w:pStyle w:val="indexentry0"/>
      </w:pPr>
      <w:hyperlink w:anchor="section_a17fe1342b274cc7a117baf9dc444b52">
        <w:r>
          <w:rPr>
            <w:rStyle w:val="Hyperlink"/>
          </w:rPr>
          <w:t>STDEVP</w:t>
        </w:r>
      </w:hyperlink>
      <w:r>
        <w:t xml:space="preserve"> </w:t>
      </w:r>
      <w:r>
        <w:fldChar w:fldCharType="begin"/>
      </w:r>
      <w:r>
        <w:instrText>PAGEREF section_a17fe1342b274cc7a117baf9dc444b52</w:instrText>
      </w:r>
      <w:r>
        <w:fldChar w:fldCharType="separate"/>
      </w:r>
      <w:r>
        <w:rPr>
          <w:noProof/>
        </w:rPr>
        <w:t>446</w:t>
      </w:r>
      <w:r>
        <w:fldChar w:fldCharType="end"/>
      </w:r>
    </w:p>
    <w:p w:rsidR="00024C0A" w:rsidRDefault="00694C0F">
      <w:pPr>
        <w:pStyle w:val="indexentry0"/>
      </w:pPr>
      <w:hyperlink w:anchor="section_f3fa4168d6cb4974b749023650d7066e">
        <w:r>
          <w:rPr>
            <w:rStyle w:val="Hyperlink"/>
          </w:rPr>
          <w:t>STDEVPA</w:t>
        </w:r>
      </w:hyperlink>
      <w:r>
        <w:t xml:space="preserve"> </w:t>
      </w:r>
      <w:r>
        <w:fldChar w:fldCharType="begin"/>
      </w:r>
      <w:r>
        <w:instrText>PAGEREF section_f3fa4168d6cb4974b749023650d7066e</w:instrText>
      </w:r>
      <w:r>
        <w:fldChar w:fldCharType="separate"/>
      </w:r>
      <w:r>
        <w:rPr>
          <w:noProof/>
        </w:rPr>
        <w:t>446</w:t>
      </w:r>
      <w:r>
        <w:fldChar w:fldCharType="end"/>
      </w:r>
    </w:p>
    <w:p w:rsidR="00024C0A" w:rsidRDefault="00694C0F">
      <w:pPr>
        <w:pStyle w:val="indexentry0"/>
      </w:pPr>
      <w:hyperlink w:anchor="section_62ebad67e8234c9ba37c4ef566da94f0">
        <w:r>
          <w:rPr>
            <w:rStyle w:val="Hyperlink"/>
          </w:rPr>
          <w:t>stop (Gradient Stop)</w:t>
        </w:r>
      </w:hyperlink>
      <w:r>
        <w:t xml:space="preserve"> </w:t>
      </w:r>
      <w:r>
        <w:fldChar w:fldCharType="begin"/>
      </w:r>
      <w:r>
        <w:instrText>PAGEREF section_62ebad67e8234c9ba37c4ef566da94f0</w:instrText>
      </w:r>
      <w:r>
        <w:fldChar w:fldCharType="separate"/>
      </w:r>
      <w:r>
        <w:rPr>
          <w:noProof/>
        </w:rPr>
        <w:t>310</w:t>
      </w:r>
      <w:r>
        <w:fldChar w:fldCharType="end"/>
      </w:r>
    </w:p>
    <w:p w:rsidR="00024C0A" w:rsidRDefault="00694C0F">
      <w:pPr>
        <w:pStyle w:val="indexentry0"/>
      </w:pPr>
      <w:hyperlink w:anchor="section_8b3cd82f24e0482d9cdf4cd8224ce6d4">
        <w:r>
          <w:rPr>
            <w:rStyle w:val="Hyperlink"/>
          </w:rPr>
          <w:t>storage (Binary Storage)</w:t>
        </w:r>
      </w:hyperlink>
      <w:r>
        <w:t xml:space="preserve"> </w:t>
      </w:r>
      <w:r>
        <w:fldChar w:fldCharType="begin"/>
      </w:r>
      <w:r>
        <w:instrText>PAGEREF section_8b3cd82f24e0482d</w:instrText>
      </w:r>
      <w:r>
        <w:instrText>9cdf4cd8224ce6d4</w:instrText>
      </w:r>
      <w:r>
        <w:fldChar w:fldCharType="separate"/>
      </w:r>
      <w:r>
        <w:rPr>
          <w:noProof/>
        </w:rPr>
        <w:t>608</w:t>
      </w:r>
      <w:r>
        <w:fldChar w:fldCharType="end"/>
      </w:r>
    </w:p>
    <w:p w:rsidR="00024C0A" w:rsidRDefault="00694C0F">
      <w:pPr>
        <w:pStyle w:val="indexentry0"/>
      </w:pPr>
      <w:hyperlink w:anchor="section_765c41d0db7e4335ab387f38a71277cc">
        <w:r>
          <w:rPr>
            <w:rStyle w:val="Hyperlink"/>
          </w:rPr>
          <w:t>stp (Strings in Subtopic)</w:t>
        </w:r>
      </w:hyperlink>
      <w:r>
        <w:t xml:space="preserve"> </w:t>
      </w:r>
      <w:r>
        <w:fldChar w:fldCharType="begin"/>
      </w:r>
      <w:r>
        <w:instrText>PAGEREF section_765c41d0db7e4335ab387f38a71277cc</w:instrText>
      </w:r>
      <w:r>
        <w:fldChar w:fldCharType="separate"/>
      </w:r>
      <w:r>
        <w:rPr>
          <w:noProof/>
        </w:rPr>
        <w:t>381</w:t>
      </w:r>
      <w:r>
        <w:fldChar w:fldCharType="end"/>
      </w:r>
    </w:p>
    <w:p w:rsidR="00024C0A" w:rsidRDefault="00694C0F">
      <w:pPr>
        <w:pStyle w:val="indexentry0"/>
      </w:pPr>
      <w:hyperlink w:anchor="section_4de15093b8f248faa66b08b9e11c112b">
        <w:r>
          <w:rPr>
            <w:rStyle w:val="Hyperlink"/>
          </w:rPr>
          <w:t>strictFirstAndLastChars (Use Stric</w:t>
        </w:r>
        <w:r>
          <w:rPr>
            <w:rStyle w:val="Hyperlink"/>
          </w:rPr>
          <w:t>t Kinsoku Rules for Japanese Text)</w:t>
        </w:r>
      </w:hyperlink>
      <w:r>
        <w:t xml:space="preserve"> </w:t>
      </w:r>
      <w:r>
        <w:fldChar w:fldCharType="begin"/>
      </w:r>
      <w:r>
        <w:instrText>PAGEREF section_4de15093b8f248faa66b08b9e11c112b</w:instrText>
      </w:r>
      <w:r>
        <w:fldChar w:fldCharType="separate"/>
      </w:r>
      <w:r>
        <w:rPr>
          <w:noProof/>
        </w:rPr>
        <w:t>156</w:t>
      </w:r>
      <w:r>
        <w:fldChar w:fldCharType="end"/>
      </w:r>
    </w:p>
    <w:p w:rsidR="00024C0A" w:rsidRDefault="00694C0F">
      <w:pPr>
        <w:pStyle w:val="indexentry0"/>
      </w:pPr>
      <w:hyperlink w:anchor="section_b4f59c097c74432eb3f2501322e80f0c">
        <w:r>
          <w:rPr>
            <w:rStyle w:val="Hyperlink"/>
          </w:rPr>
          <w:t>stroke (Line Stroke Settings)</w:t>
        </w:r>
      </w:hyperlink>
      <w:r>
        <w:t xml:space="preserve"> </w:t>
      </w:r>
      <w:r>
        <w:fldChar w:fldCharType="begin"/>
      </w:r>
      <w:r>
        <w:instrText>PAGEREF section_b4f59c097c74432eb3f2501322e80f0c</w:instrText>
      </w:r>
      <w:r>
        <w:fldChar w:fldCharType="separate"/>
      </w:r>
      <w:r>
        <w:rPr>
          <w:noProof/>
        </w:rPr>
        <w:t>651</w:t>
      </w:r>
      <w:r>
        <w:fldChar w:fldCharType="end"/>
      </w:r>
    </w:p>
    <w:p w:rsidR="00024C0A" w:rsidRDefault="00694C0F">
      <w:pPr>
        <w:pStyle w:val="indexentry0"/>
      </w:pPr>
      <w:hyperlink w:anchor="section_089fbdefed494a149509794c95651b17">
        <w:r>
          <w:rPr>
            <w:rStyle w:val="Hyperlink"/>
          </w:rPr>
          <w:t>Structure References</w:t>
        </w:r>
      </w:hyperlink>
      <w:r>
        <w:t xml:space="preserve"> </w:t>
      </w:r>
      <w:r>
        <w:fldChar w:fldCharType="begin"/>
      </w:r>
      <w:r>
        <w:instrText>PAGEREF section_089fbdefed494a149509794c95651b17</w:instrText>
      </w:r>
      <w:r>
        <w:fldChar w:fldCharType="separate"/>
      </w:r>
      <w:r>
        <w:rPr>
          <w:noProof/>
        </w:rPr>
        <w:t>836</w:t>
      </w:r>
      <w:r>
        <w:fldChar w:fldCharType="end"/>
      </w:r>
    </w:p>
    <w:p w:rsidR="00024C0A" w:rsidRDefault="00694C0F">
      <w:pPr>
        <w:pStyle w:val="indexentry0"/>
      </w:pPr>
      <w:hyperlink w:anchor="section_071c5a7c0c6d406f91a432e9e4e1ea06">
        <w:r>
          <w:rPr>
            <w:rStyle w:val="Hyperlink"/>
          </w:rPr>
          <w:t>sty (style)</w:t>
        </w:r>
      </w:hyperlink>
      <w:r>
        <w:t xml:space="preserve"> </w:t>
      </w:r>
      <w:r>
        <w:fldChar w:fldCharType="begin"/>
      </w:r>
      <w:r>
        <w:instrText>PAGEREF section_071c5a7c0c6d406f91a432e9e4e1ea06</w:instrText>
      </w:r>
      <w:r>
        <w:fldChar w:fldCharType="separate"/>
      </w:r>
      <w:r>
        <w:rPr>
          <w:noProof/>
        </w:rPr>
        <w:t>600</w:t>
      </w:r>
      <w:r>
        <w:fldChar w:fldCharType="end"/>
      </w:r>
    </w:p>
    <w:p w:rsidR="00024C0A" w:rsidRDefault="00694C0F">
      <w:pPr>
        <w:pStyle w:val="indexentry0"/>
      </w:pPr>
      <w:r>
        <w:t>style (Shape Styl</w:t>
      </w:r>
      <w:r>
        <w:t>e) (</w:t>
      </w:r>
      <w:hyperlink w:anchor="section_71e8a4dd1654485ca87d0bf4bcdf01c0">
        <w:r>
          <w:rPr>
            <w:rStyle w:val="Hyperlink"/>
          </w:rPr>
          <w:t>section 2.1.1216</w:t>
        </w:r>
      </w:hyperlink>
      <w:r>
        <w:t xml:space="preserve"> </w:t>
      </w:r>
      <w:r>
        <w:fldChar w:fldCharType="begin"/>
      </w:r>
      <w:r>
        <w:instrText>PAGEREF section_71e8a4dd1654485ca87d0bf4bcdf01c0</w:instrText>
      </w:r>
      <w:r>
        <w:fldChar w:fldCharType="separate"/>
      </w:r>
      <w:r>
        <w:rPr>
          <w:noProof/>
        </w:rPr>
        <w:t>497</w:t>
      </w:r>
      <w:r>
        <w:fldChar w:fldCharType="end"/>
      </w:r>
      <w:r>
        <w:t xml:space="preserve">, </w:t>
      </w:r>
      <w:hyperlink w:anchor="section_b4ca93ee062340bc95b3e67d306216ba">
        <w:r>
          <w:rPr>
            <w:rStyle w:val="Hyperlink"/>
          </w:rPr>
          <w:t>section 2.1.1368</w:t>
        </w:r>
      </w:hyperlink>
      <w:r>
        <w:t xml:space="preserve"> </w:t>
      </w:r>
      <w:r>
        <w:fldChar w:fldCharType="begin"/>
      </w:r>
      <w:r>
        <w:instrText>PAGEREF section_b4ca93ee062340bc95b3e</w:instrText>
      </w:r>
      <w:r>
        <w:instrText>67d306216ba</w:instrText>
      </w:r>
      <w:r>
        <w:fldChar w:fldCharType="separate"/>
      </w:r>
      <w:r>
        <w:rPr>
          <w:noProof/>
        </w:rPr>
        <w:t>525</w:t>
      </w:r>
      <w:r>
        <w:fldChar w:fldCharType="end"/>
      </w:r>
      <w:r>
        <w:t xml:space="preserve">, </w:t>
      </w:r>
      <w:hyperlink w:anchor="section_fc0a85cab9764ffd9cd1c80bc90dcf34">
        <w:r>
          <w:rPr>
            <w:rStyle w:val="Hyperlink"/>
          </w:rPr>
          <w:t>section 2.1.1605</w:t>
        </w:r>
      </w:hyperlink>
      <w:r>
        <w:t xml:space="preserve"> </w:t>
      </w:r>
      <w:r>
        <w:fldChar w:fldCharType="begin"/>
      </w:r>
      <w:r>
        <w:instrText>PAGEREF section_fc0a85cab9764ffd9cd1c80bc90dcf34</w:instrText>
      </w:r>
      <w:r>
        <w:fldChar w:fldCharType="separate"/>
      </w:r>
      <w:r>
        <w:rPr>
          <w:noProof/>
        </w:rPr>
        <w:t>579</w:t>
      </w:r>
      <w:r>
        <w:fldChar w:fldCharType="end"/>
      </w:r>
      <w:r>
        <w:t>)</w:t>
      </w:r>
    </w:p>
    <w:p w:rsidR="00024C0A" w:rsidRDefault="00694C0F">
      <w:pPr>
        <w:pStyle w:val="indexentry0"/>
      </w:pPr>
      <w:hyperlink w:anchor="section_bb6afca988a74b34911f7110e8062bb1">
        <w:r>
          <w:rPr>
            <w:rStyle w:val="Hyperlink"/>
          </w:rPr>
          <w:t>style (Style Definition)</w:t>
        </w:r>
      </w:hyperlink>
      <w:r>
        <w:t xml:space="preserve"> </w:t>
      </w:r>
      <w:r>
        <w:fldChar w:fldCharType="begin"/>
      </w:r>
      <w:r>
        <w:instrText>PAGEREF section_bb6afca988a74b34911f7110e8062bb1</w:instrText>
      </w:r>
      <w:r>
        <w:fldChar w:fldCharType="separate"/>
      </w:r>
      <w:r>
        <w:rPr>
          <w:noProof/>
        </w:rPr>
        <w:t>116</w:t>
      </w:r>
      <w:r>
        <w:fldChar w:fldCharType="end"/>
      </w:r>
    </w:p>
    <w:p w:rsidR="00024C0A" w:rsidRDefault="00694C0F">
      <w:pPr>
        <w:pStyle w:val="indexentry0"/>
      </w:pPr>
      <w:hyperlink w:anchor="section_f20aa1bd46a84833bf1cee47082e12ba">
        <w:r>
          <w:rPr>
            <w:rStyle w:val="Hyperlink"/>
          </w:rPr>
          <w:t>Style Hierarchy</w:t>
        </w:r>
      </w:hyperlink>
      <w:r>
        <w:t xml:space="preserve"> </w:t>
      </w:r>
      <w:r>
        <w:fldChar w:fldCharType="begin"/>
      </w:r>
      <w:r>
        <w:instrText>PAGEREF section_f20aa1bd46a84833bf1cee47082e12ba</w:instrText>
      </w:r>
      <w:r>
        <w:fldChar w:fldCharType="separate"/>
      </w:r>
      <w:r>
        <w:rPr>
          <w:noProof/>
        </w:rPr>
        <w:t>104</w:t>
      </w:r>
      <w:r>
        <w:fldChar w:fldCharType="end"/>
      </w:r>
    </w:p>
    <w:p w:rsidR="00024C0A" w:rsidRDefault="00694C0F">
      <w:pPr>
        <w:pStyle w:val="indexentry0"/>
      </w:pPr>
      <w:hyperlink w:anchor="section_70d90b35eedb4800b270814e892de6fe">
        <w:r>
          <w:rPr>
            <w:rStyle w:val="Hyperlink"/>
          </w:rPr>
          <w:t>Style Inheri</w:t>
        </w:r>
        <w:r>
          <w:rPr>
            <w:rStyle w:val="Hyperlink"/>
          </w:rPr>
          <w:t>tance</w:t>
        </w:r>
      </w:hyperlink>
      <w:r>
        <w:t xml:space="preserve"> </w:t>
      </w:r>
      <w:r>
        <w:fldChar w:fldCharType="begin"/>
      </w:r>
      <w:r>
        <w:instrText>PAGEREF section_70d90b35eedb4800b270814e892de6fe</w:instrText>
      </w:r>
      <w:r>
        <w:fldChar w:fldCharType="separate"/>
      </w:r>
      <w:r>
        <w:rPr>
          <w:noProof/>
        </w:rPr>
        <w:t>104</w:t>
      </w:r>
      <w:r>
        <w:fldChar w:fldCharType="end"/>
      </w:r>
    </w:p>
    <w:p w:rsidR="00024C0A" w:rsidRDefault="00694C0F">
      <w:pPr>
        <w:pStyle w:val="indexentry0"/>
      </w:pPr>
      <w:hyperlink w:anchor="section_4bf644d5b93347c58bbc110dc7e55741">
        <w:r>
          <w:rPr>
            <w:rStyle w:val="Hyperlink"/>
          </w:rPr>
          <w:t>styleData (Style Data)</w:t>
        </w:r>
      </w:hyperlink>
      <w:r>
        <w:t xml:space="preserve"> </w:t>
      </w:r>
      <w:r>
        <w:fldChar w:fldCharType="begin"/>
      </w:r>
      <w:r>
        <w:instrText>PAGEREF section_4bf644d5b93347c58bbc110dc7e55741</w:instrText>
      </w:r>
      <w:r>
        <w:fldChar w:fldCharType="separate"/>
      </w:r>
      <w:r>
        <w:rPr>
          <w:noProof/>
        </w:rPr>
        <w:t>581</w:t>
      </w:r>
      <w:r>
        <w:fldChar w:fldCharType="end"/>
      </w:r>
    </w:p>
    <w:p w:rsidR="00024C0A" w:rsidRDefault="00694C0F">
      <w:pPr>
        <w:pStyle w:val="indexentry0"/>
      </w:pPr>
      <w:hyperlink w:anchor="section_f99f2a8f3da54c338c11cd0678e0af0d">
        <w:r>
          <w:rPr>
            <w:rStyle w:val="Hyperlink"/>
          </w:rPr>
          <w:t>styleLbl (Style Label)</w:t>
        </w:r>
      </w:hyperlink>
      <w:r>
        <w:t xml:space="preserve"> </w:t>
      </w:r>
      <w:r>
        <w:fldChar w:fldCharType="begin"/>
      </w:r>
      <w:r>
        <w:instrText>PAGEREF section_f99f2a8f3da54c338c11cd0678e0af0d</w:instrText>
      </w:r>
      <w:r>
        <w:fldChar w:fldCharType="separate"/>
      </w:r>
      <w:r>
        <w:rPr>
          <w:noProof/>
        </w:rPr>
        <w:t>583</w:t>
      </w:r>
      <w:r>
        <w:fldChar w:fldCharType="end"/>
      </w:r>
    </w:p>
    <w:p w:rsidR="00024C0A" w:rsidRDefault="00694C0F">
      <w:pPr>
        <w:pStyle w:val="indexentry0"/>
      </w:pPr>
      <w:hyperlink w:anchor="section_b1483740789145e091dbe5672379847a">
        <w:r>
          <w:rPr>
            <w:rStyle w:val="Hyperlink"/>
          </w:rPr>
          <w:t>styleLink (Numbering Style Definition)</w:t>
        </w:r>
      </w:hyperlink>
      <w:r>
        <w:t xml:space="preserve"> </w:t>
      </w:r>
      <w:r>
        <w:fldChar w:fldCharType="begin"/>
      </w:r>
      <w:r>
        <w:instrText>PAGEREF section_b1483740789145e091dbe5672379847a</w:instrText>
      </w:r>
      <w:r>
        <w:fldChar w:fldCharType="separate"/>
      </w:r>
      <w:r>
        <w:rPr>
          <w:noProof/>
        </w:rPr>
        <w:t>126</w:t>
      </w:r>
      <w:r>
        <w:fldChar w:fldCharType="end"/>
      </w:r>
    </w:p>
    <w:p w:rsidR="00024C0A" w:rsidRDefault="00694C0F">
      <w:pPr>
        <w:pStyle w:val="indexentry0"/>
      </w:pPr>
      <w:hyperlink w:anchor="section_6b4f3e2f281a412ca486c41b5f773b09">
        <w:r>
          <w:rPr>
            <w:rStyle w:val="Hyperlink"/>
          </w:rPr>
          <w:t>stylePaneFormatFilter (Suggested Filtering for List of Document Styles)</w:t>
        </w:r>
      </w:hyperlink>
      <w:r>
        <w:t xml:space="preserve"> </w:t>
      </w:r>
      <w:r>
        <w:fldChar w:fldCharType="begin"/>
      </w:r>
      <w:r>
        <w:instrText>PAGEREF section_6b4f3e2f281a412ca486c41b5f773b09</w:instrText>
      </w:r>
      <w:r>
        <w:fldChar w:fldCharType="separate"/>
      </w:r>
      <w:r>
        <w:rPr>
          <w:noProof/>
        </w:rPr>
        <w:t>157</w:t>
      </w:r>
      <w:r>
        <w:fldChar w:fldCharType="end"/>
      </w:r>
    </w:p>
    <w:p w:rsidR="00024C0A" w:rsidRDefault="00694C0F">
      <w:pPr>
        <w:pStyle w:val="indexentry0"/>
      </w:pPr>
      <w:hyperlink w:anchor="section_0f5599c33b124970931d659e489369f4">
        <w:r>
          <w:rPr>
            <w:rStyle w:val="Hyperlink"/>
          </w:rPr>
          <w:t>STYLEREF</w:t>
        </w:r>
      </w:hyperlink>
      <w:r>
        <w:t xml:space="preserve"> </w:t>
      </w:r>
      <w:r>
        <w:fldChar w:fldCharType="begin"/>
      </w:r>
      <w:r>
        <w:instrText>PAGEREF section_0f5</w:instrText>
      </w:r>
      <w:r>
        <w:instrText>599c33b124970931d659e489369f4</w:instrText>
      </w:r>
      <w:r>
        <w:fldChar w:fldCharType="separate"/>
      </w:r>
      <w:r>
        <w:rPr>
          <w:noProof/>
        </w:rPr>
        <w:t>222</w:t>
      </w:r>
      <w:r>
        <w:fldChar w:fldCharType="end"/>
      </w:r>
    </w:p>
    <w:p w:rsidR="00024C0A" w:rsidRDefault="00694C0F">
      <w:pPr>
        <w:pStyle w:val="indexentry0"/>
      </w:pPr>
      <w:hyperlink w:anchor="section_88c100b9aa6a4adea91c045eac37812e">
        <w:r>
          <w:rPr>
            <w:rStyle w:val="Hyperlink"/>
          </w:rPr>
          <w:t>Styles Part</w:t>
        </w:r>
      </w:hyperlink>
      <w:r>
        <w:t xml:space="preserve"> </w:t>
      </w:r>
      <w:r>
        <w:fldChar w:fldCharType="begin"/>
      </w:r>
      <w:r>
        <w:instrText>PAGEREF section_88c100b9aa6a4adea91c045eac37812e</w:instrText>
      </w:r>
      <w:r>
        <w:fldChar w:fldCharType="separate"/>
      </w:r>
      <w:r>
        <w:rPr>
          <w:noProof/>
        </w:rPr>
        <w:t>48</w:t>
      </w:r>
      <w:r>
        <w:fldChar w:fldCharType="end"/>
      </w:r>
    </w:p>
    <w:p w:rsidR="00024C0A" w:rsidRDefault="00694C0F">
      <w:pPr>
        <w:pStyle w:val="indexentry0"/>
      </w:pPr>
      <w:hyperlink w:anchor="section_fffd477ceaf2417db86ef964a5f4d419">
        <w:r>
          <w:rPr>
            <w:rStyle w:val="Hyperlink"/>
          </w:rPr>
          <w:t>styleSheet (Style Sheet)</w:t>
        </w:r>
      </w:hyperlink>
      <w:r>
        <w:t xml:space="preserve"> </w:t>
      </w:r>
      <w:r>
        <w:fldChar w:fldCharType="begin"/>
      </w:r>
      <w:r>
        <w:instrText>PAGEREF section_fffd477ceaf2417db86ef964a5f4d419</w:instrText>
      </w:r>
      <w:r>
        <w:fldChar w:fldCharType="separate"/>
      </w:r>
      <w:r>
        <w:rPr>
          <w:noProof/>
        </w:rPr>
        <w:t>310</w:t>
      </w:r>
      <w:r>
        <w:fldChar w:fldCharType="end"/>
      </w:r>
    </w:p>
    <w:p w:rsidR="00024C0A" w:rsidRDefault="00694C0F">
      <w:pPr>
        <w:pStyle w:val="indexentry0"/>
      </w:pPr>
      <w:hyperlink w:anchor="section_ac87e4edda764356b9c98d7f88e43ec4">
        <w:r>
          <w:rPr>
            <w:rStyle w:val="Hyperlink"/>
          </w:rPr>
          <w:t>sub (Subscript (Pre-Sub-Superscript))</w:t>
        </w:r>
      </w:hyperlink>
      <w:r>
        <w:t xml:space="preserve"> </w:t>
      </w:r>
      <w:r>
        <w:fldChar w:fldCharType="begin"/>
      </w:r>
      <w:r>
        <w:instrText>PAGEREF section_ac87e4edda764356b9c98d7f88e43ec4</w:instrText>
      </w:r>
      <w:r>
        <w:fldChar w:fldCharType="separate"/>
      </w:r>
      <w:r>
        <w:rPr>
          <w:noProof/>
        </w:rPr>
        <w:t>600</w:t>
      </w:r>
      <w:r>
        <w:fldChar w:fldCharType="end"/>
      </w:r>
    </w:p>
    <w:p w:rsidR="00024C0A" w:rsidRDefault="00694C0F">
      <w:pPr>
        <w:pStyle w:val="indexentry0"/>
      </w:pPr>
      <w:hyperlink w:anchor="section_4a1be0d6d0b14f8ea9a8acc497684599">
        <w:r>
          <w:rPr>
            <w:rStyle w:val="Hyperlink"/>
          </w:rPr>
          <w:t>subDoc (Anchor for Subdocument Location)</w:t>
        </w:r>
      </w:hyperlink>
      <w:r>
        <w:t xml:space="preserve"> </w:t>
      </w:r>
      <w:r>
        <w:fldChar w:fldCharType="begin"/>
      </w:r>
      <w:r>
        <w:instrText>PAGEREF section_4a1be0d6d0b14f8ea9a8acc497684599</w:instrText>
      </w:r>
      <w:r>
        <w:fldChar w:fldCharType="separate"/>
      </w:r>
      <w:r>
        <w:rPr>
          <w:noProof/>
        </w:rPr>
        <w:t>226</w:t>
      </w:r>
      <w:r>
        <w:fldChar w:fldCharType="end"/>
      </w:r>
    </w:p>
    <w:p w:rsidR="00024C0A" w:rsidRDefault="00694C0F">
      <w:pPr>
        <w:pStyle w:val="indexentry0"/>
      </w:pPr>
      <w:hyperlink w:anchor="section_1b3c2414040a45a2a024173e22ebf533">
        <w:r>
          <w:rPr>
            <w:rStyle w:val="Hyperlink"/>
          </w:rPr>
          <w:t>subHide (Hide Subscript (n-ary))</w:t>
        </w:r>
      </w:hyperlink>
      <w:r>
        <w:t xml:space="preserve"> </w:t>
      </w:r>
      <w:r>
        <w:fldChar w:fldCharType="begin"/>
      </w:r>
      <w:r>
        <w:instrText>PAGE</w:instrText>
      </w:r>
      <w:r>
        <w:instrText>REF section_1b3c2414040a45a2a024173e22ebf533</w:instrText>
      </w:r>
      <w:r>
        <w:fldChar w:fldCharType="separate"/>
      </w:r>
      <w:r>
        <w:rPr>
          <w:noProof/>
        </w:rPr>
        <w:t>600</w:t>
      </w:r>
      <w:r>
        <w:fldChar w:fldCharType="end"/>
      </w:r>
    </w:p>
    <w:p w:rsidR="00024C0A" w:rsidRDefault="00694C0F">
      <w:pPr>
        <w:pStyle w:val="indexentry0"/>
      </w:pPr>
      <w:hyperlink w:anchor="section_861ec14e4e1d4e82b68335a6bc07903d">
        <w:r>
          <w:rPr>
            <w:rStyle w:val="Hyperlink"/>
          </w:rPr>
          <w:t>SUBJECT</w:t>
        </w:r>
      </w:hyperlink>
      <w:r>
        <w:t xml:space="preserve"> </w:t>
      </w:r>
      <w:r>
        <w:fldChar w:fldCharType="begin"/>
      </w:r>
      <w:r>
        <w:instrText>PAGEREF section_861ec14e4e1d4e82b68335a6bc07903d</w:instrText>
      </w:r>
      <w:r>
        <w:fldChar w:fldCharType="separate"/>
      </w:r>
      <w:r>
        <w:rPr>
          <w:noProof/>
        </w:rPr>
        <w:t>222</w:t>
      </w:r>
      <w:r>
        <w:fldChar w:fldCharType="end"/>
      </w:r>
    </w:p>
    <w:p w:rsidR="00024C0A" w:rsidRDefault="00694C0F">
      <w:pPr>
        <w:pStyle w:val="indexentry0"/>
      </w:pPr>
      <w:hyperlink w:anchor="section_d83ab468be034be6a1063de1614ea5df">
        <w:r>
          <w:rPr>
            <w:rStyle w:val="Hyperlink"/>
          </w:rPr>
          <w:t>subSp (Subshape)</w:t>
        </w:r>
      </w:hyperlink>
      <w:r>
        <w:t xml:space="preserve"> </w:t>
      </w:r>
      <w:r>
        <w:fldChar w:fldCharType="begin"/>
      </w:r>
      <w:r>
        <w:instrText>PAGER</w:instrText>
      </w:r>
      <w:r>
        <w:instrText>EF section_d83ab468be034be6a1063de1614ea5df</w:instrText>
      </w:r>
      <w:r>
        <w:fldChar w:fldCharType="separate"/>
      </w:r>
      <w:r>
        <w:rPr>
          <w:noProof/>
        </w:rPr>
        <w:t>485</w:t>
      </w:r>
      <w:r>
        <w:fldChar w:fldCharType="end"/>
      </w:r>
    </w:p>
    <w:p w:rsidR="00024C0A" w:rsidRDefault="00694C0F">
      <w:pPr>
        <w:pStyle w:val="indexentry0"/>
      </w:pPr>
      <w:hyperlink w:anchor="section_f469d851d5c043e99f7fded5c6d64a6f">
        <w:r>
          <w:rPr>
            <w:rStyle w:val="Hyperlink"/>
          </w:rPr>
          <w:t>SUBSTITUTE</w:t>
        </w:r>
      </w:hyperlink>
      <w:r>
        <w:t xml:space="preserve"> </w:t>
      </w:r>
      <w:r>
        <w:fldChar w:fldCharType="begin"/>
      </w:r>
      <w:r>
        <w:instrText>PAGEREF section_f469d851d5c043e99f7fded5c6d64a6f</w:instrText>
      </w:r>
      <w:r>
        <w:fldChar w:fldCharType="separate"/>
      </w:r>
      <w:r>
        <w:rPr>
          <w:noProof/>
        </w:rPr>
        <w:t>447</w:t>
      </w:r>
      <w:r>
        <w:fldChar w:fldCharType="end"/>
      </w:r>
    </w:p>
    <w:p w:rsidR="00024C0A" w:rsidRDefault="00694C0F">
      <w:pPr>
        <w:pStyle w:val="indexentry0"/>
      </w:pPr>
      <w:hyperlink w:anchor="section_f11e90f5055843bd895071da5f115bb5">
        <w:r>
          <w:rPr>
            <w:rStyle w:val="Hyperlink"/>
          </w:rPr>
          <w:t>subTnLst (Sub-TimeNode</w:t>
        </w:r>
        <w:r>
          <w:rPr>
            <w:rStyle w:val="Hyperlink"/>
          </w:rPr>
          <w:t>s List)</w:t>
        </w:r>
      </w:hyperlink>
      <w:r>
        <w:t xml:space="preserve"> </w:t>
      </w:r>
      <w:r>
        <w:fldChar w:fldCharType="begin"/>
      </w:r>
      <w:r>
        <w:instrText>PAGEREF section_f11e90f5055843bd895071da5f115bb5</w:instrText>
      </w:r>
      <w:r>
        <w:fldChar w:fldCharType="separate"/>
      </w:r>
      <w:r>
        <w:rPr>
          <w:noProof/>
        </w:rPr>
        <w:t>485</w:t>
      </w:r>
      <w:r>
        <w:fldChar w:fldCharType="end"/>
      </w:r>
    </w:p>
    <w:p w:rsidR="00024C0A" w:rsidRDefault="00694C0F">
      <w:pPr>
        <w:pStyle w:val="indexentry0"/>
      </w:pPr>
      <w:hyperlink w:anchor="section_7ae08e5fee2843e8bdf3e9e358a7c4fe">
        <w:r>
          <w:rPr>
            <w:rStyle w:val="Hyperlink"/>
          </w:rPr>
          <w:t>SUM</w:t>
        </w:r>
      </w:hyperlink>
      <w:r>
        <w:t xml:space="preserve"> </w:t>
      </w:r>
      <w:r>
        <w:fldChar w:fldCharType="begin"/>
      </w:r>
      <w:r>
        <w:instrText>PAGEREF section_7ae08e5fee2843e8bdf3e9e358a7c4fe</w:instrText>
      </w:r>
      <w:r>
        <w:fldChar w:fldCharType="separate"/>
      </w:r>
      <w:r>
        <w:rPr>
          <w:noProof/>
        </w:rPr>
        <w:t>447</w:t>
      </w:r>
      <w:r>
        <w:fldChar w:fldCharType="end"/>
      </w:r>
    </w:p>
    <w:p w:rsidR="00024C0A" w:rsidRDefault="00694C0F">
      <w:pPr>
        <w:pStyle w:val="indexentry0"/>
      </w:pPr>
      <w:hyperlink w:anchor="section_d669f66b65ed441e8c198845b572cd13">
        <w:r>
          <w:rPr>
            <w:rStyle w:val="Hyperlink"/>
          </w:rPr>
          <w:t>SUMIFS</w:t>
        </w:r>
      </w:hyperlink>
      <w:r>
        <w:t xml:space="preserve"> </w:t>
      </w:r>
      <w:r>
        <w:fldChar w:fldCharType="begin"/>
      </w:r>
      <w:r>
        <w:instrText>PAGER</w:instrText>
      </w:r>
      <w:r>
        <w:instrText>EF section_d669f66b65ed441e8c198845b572cd13</w:instrText>
      </w:r>
      <w:r>
        <w:fldChar w:fldCharType="separate"/>
      </w:r>
      <w:r>
        <w:rPr>
          <w:noProof/>
        </w:rPr>
        <w:t>447</w:t>
      </w:r>
      <w:r>
        <w:fldChar w:fldCharType="end"/>
      </w:r>
    </w:p>
    <w:p w:rsidR="00024C0A" w:rsidRDefault="00694C0F">
      <w:pPr>
        <w:pStyle w:val="indexentry0"/>
      </w:pPr>
      <w:hyperlink w:anchor="section_31d623a4868e43a3abca577849f3ca54">
        <w:r>
          <w:rPr>
            <w:rStyle w:val="Hyperlink"/>
          </w:rPr>
          <w:t>summaryLength (Percentage of Document to Use When Generating Summary)</w:t>
        </w:r>
      </w:hyperlink>
      <w:r>
        <w:t xml:space="preserve"> </w:t>
      </w:r>
      <w:r>
        <w:fldChar w:fldCharType="begin"/>
      </w:r>
      <w:r>
        <w:instrText>PAGEREF section_31d623a4868e43a3abca577849f3ca54</w:instrText>
      </w:r>
      <w:r>
        <w:fldChar w:fldCharType="separate"/>
      </w:r>
      <w:r>
        <w:rPr>
          <w:noProof/>
        </w:rPr>
        <w:t>157</w:t>
      </w:r>
      <w:r>
        <w:fldChar w:fldCharType="end"/>
      </w:r>
    </w:p>
    <w:p w:rsidR="00024C0A" w:rsidRDefault="00694C0F">
      <w:pPr>
        <w:pStyle w:val="indexentry0"/>
      </w:pPr>
      <w:hyperlink w:anchor="section_d5d00d6f26194707a91cbd48fb7109d8">
        <w:r>
          <w:rPr>
            <w:rStyle w:val="Hyperlink"/>
          </w:rPr>
          <w:t>SUMPRODUCT</w:t>
        </w:r>
      </w:hyperlink>
      <w:r>
        <w:t xml:space="preserve"> </w:t>
      </w:r>
      <w:r>
        <w:fldChar w:fldCharType="begin"/>
      </w:r>
      <w:r>
        <w:instrText>PAGEREF section_d5d00d6f26194707a91cbd48fb7109d8</w:instrText>
      </w:r>
      <w:r>
        <w:fldChar w:fldCharType="separate"/>
      </w:r>
      <w:r>
        <w:rPr>
          <w:noProof/>
        </w:rPr>
        <w:t>447</w:t>
      </w:r>
      <w:r>
        <w:fldChar w:fldCharType="end"/>
      </w:r>
    </w:p>
    <w:p w:rsidR="00024C0A" w:rsidRDefault="00694C0F">
      <w:pPr>
        <w:pStyle w:val="indexentry0"/>
      </w:pPr>
      <w:hyperlink w:anchor="section_4353b2ada7bb412bbad44c1749f76897">
        <w:r>
          <w:rPr>
            <w:rStyle w:val="Hyperlink"/>
          </w:rPr>
          <w:t>SUMSQ</w:t>
        </w:r>
      </w:hyperlink>
      <w:r>
        <w:t xml:space="preserve"> </w:t>
      </w:r>
      <w:r>
        <w:fldChar w:fldCharType="begin"/>
      </w:r>
      <w:r>
        <w:instrText>PAGEREF section_4353b2ada7bb412bbad44c1749f76897</w:instrText>
      </w:r>
      <w:r>
        <w:fldChar w:fldCharType="separate"/>
      </w:r>
      <w:r>
        <w:rPr>
          <w:noProof/>
        </w:rPr>
        <w:t>447</w:t>
      </w:r>
      <w:r>
        <w:fldChar w:fldCharType="end"/>
      </w:r>
    </w:p>
    <w:p w:rsidR="00024C0A" w:rsidRDefault="00694C0F">
      <w:pPr>
        <w:pStyle w:val="indexentry0"/>
      </w:pPr>
      <w:hyperlink w:anchor="section_77f82ab9b91043f881b1e5bd352a2ed8">
        <w:r>
          <w:rPr>
            <w:rStyle w:val="Hyperlink"/>
          </w:rPr>
          <w:t>sup (Superscript (Superscript object))</w:t>
        </w:r>
      </w:hyperlink>
      <w:r>
        <w:t xml:space="preserve"> </w:t>
      </w:r>
      <w:r>
        <w:fldChar w:fldCharType="begin"/>
      </w:r>
      <w:r>
        <w:instrText>PAGEREF section_77f82ab9b91043f881b1e5bd352a2ed8</w:instrText>
      </w:r>
      <w:r>
        <w:fldChar w:fldCharType="separate"/>
      </w:r>
      <w:r>
        <w:rPr>
          <w:noProof/>
        </w:rPr>
        <w:t>601</w:t>
      </w:r>
      <w:r>
        <w:fldChar w:fldCharType="end"/>
      </w:r>
    </w:p>
    <w:p w:rsidR="00024C0A" w:rsidRDefault="00694C0F">
      <w:pPr>
        <w:pStyle w:val="indexentry0"/>
      </w:pPr>
      <w:hyperlink w:anchor="section_507a42d32be5409c917c824b3fa31ebb">
        <w:r>
          <w:rPr>
            <w:rStyle w:val="Hyperlink"/>
          </w:rPr>
          <w:t>supHide (Hide Superscript (n-ary))</w:t>
        </w:r>
      </w:hyperlink>
      <w:r>
        <w:t xml:space="preserve"> </w:t>
      </w:r>
      <w:r>
        <w:fldChar w:fldCharType="begin"/>
      </w:r>
      <w:r>
        <w:instrText>PAGEREF secti</w:instrText>
      </w:r>
      <w:r>
        <w:instrText>on_507a42d32be5409c917c824b3fa31ebb</w:instrText>
      </w:r>
      <w:r>
        <w:fldChar w:fldCharType="separate"/>
      </w:r>
      <w:r>
        <w:rPr>
          <w:noProof/>
        </w:rPr>
        <w:t>601</w:t>
      </w:r>
      <w:r>
        <w:fldChar w:fldCharType="end"/>
      </w:r>
    </w:p>
    <w:p w:rsidR="00024C0A" w:rsidRDefault="00694C0F">
      <w:pPr>
        <w:pStyle w:val="indexentry0"/>
      </w:pPr>
      <w:hyperlink w:anchor="section_9732db6e4647475fa4193f53903a7d46">
        <w:r>
          <w:rPr>
            <w:rStyle w:val="Hyperlink"/>
          </w:rPr>
          <w:t>surface3DChart (3D Surface Charts)</w:t>
        </w:r>
      </w:hyperlink>
      <w:r>
        <w:t xml:space="preserve"> </w:t>
      </w:r>
      <w:r>
        <w:fldChar w:fldCharType="begin"/>
      </w:r>
      <w:r>
        <w:instrText>PAGEREF section_9732db6e4647475fa4193f53903a7d46</w:instrText>
      </w:r>
      <w:r>
        <w:fldChar w:fldCharType="separate"/>
      </w:r>
      <w:r>
        <w:rPr>
          <w:noProof/>
        </w:rPr>
        <w:t>568</w:t>
      </w:r>
      <w:r>
        <w:fldChar w:fldCharType="end"/>
      </w:r>
    </w:p>
    <w:p w:rsidR="00024C0A" w:rsidRDefault="00694C0F">
      <w:pPr>
        <w:pStyle w:val="indexentry0"/>
      </w:pPr>
      <w:hyperlink w:anchor="section_b275eedba86d48a3ae21c44ac20c7dcc">
        <w:r>
          <w:rPr>
            <w:rStyle w:val="Hyperlink"/>
          </w:rPr>
          <w:t>surfac</w:t>
        </w:r>
        <w:r>
          <w:rPr>
            <w:rStyle w:val="Hyperlink"/>
          </w:rPr>
          <w:t>eChart (Surface Charts)</w:t>
        </w:r>
      </w:hyperlink>
      <w:r>
        <w:t xml:space="preserve"> </w:t>
      </w:r>
      <w:r>
        <w:fldChar w:fldCharType="begin"/>
      </w:r>
      <w:r>
        <w:instrText>PAGEREF section_b275eedba86d48a3ae21c44ac20c7dcc</w:instrText>
      </w:r>
      <w:r>
        <w:fldChar w:fldCharType="separate"/>
      </w:r>
      <w:r>
        <w:rPr>
          <w:noProof/>
        </w:rPr>
        <w:t>568</w:t>
      </w:r>
      <w:r>
        <w:fldChar w:fldCharType="end"/>
      </w:r>
    </w:p>
    <w:p w:rsidR="00024C0A" w:rsidRDefault="00694C0F">
      <w:pPr>
        <w:pStyle w:val="indexentry0"/>
      </w:pPr>
      <w:hyperlink w:anchor="section_6180ac79cc0e411d8ab9cdf689f36f75">
        <w:r>
          <w:rPr>
            <w:rStyle w:val="Hyperlink"/>
          </w:rPr>
          <w:t>sym (Symbol Character)</w:t>
        </w:r>
      </w:hyperlink>
      <w:r>
        <w:t xml:space="preserve"> </w:t>
      </w:r>
      <w:r>
        <w:fldChar w:fldCharType="begin"/>
      </w:r>
      <w:r>
        <w:instrText>PAGEREF section_6180ac79cc0e411d8ab9cdf689f36f75</w:instrText>
      </w:r>
      <w:r>
        <w:fldChar w:fldCharType="separate"/>
      </w:r>
      <w:r>
        <w:rPr>
          <w:noProof/>
        </w:rPr>
        <w:t>81</w:t>
      </w:r>
      <w:r>
        <w:fldChar w:fldCharType="end"/>
      </w:r>
    </w:p>
    <w:p w:rsidR="00024C0A" w:rsidRDefault="00694C0F">
      <w:pPr>
        <w:pStyle w:val="indexentry0"/>
      </w:pPr>
      <w:hyperlink w:anchor="section_2fc70eb8232c4820944943baa12fe65f">
        <w:r>
          <w:rPr>
            <w:rStyle w:val="Hyperlink"/>
          </w:rPr>
          <w:t>sym (Symbol Font)</w:t>
        </w:r>
      </w:hyperlink>
      <w:r>
        <w:t xml:space="preserve"> </w:t>
      </w:r>
      <w:r>
        <w:fldChar w:fldCharType="begin"/>
      </w:r>
      <w:r>
        <w:instrText>PAGEREF section_2fc70eb8232c4820944943baa12fe65f</w:instrText>
      </w:r>
      <w:r>
        <w:fldChar w:fldCharType="separate"/>
      </w:r>
      <w:r>
        <w:rPr>
          <w:noProof/>
        </w:rPr>
        <w:t>536</w:t>
      </w:r>
      <w:r>
        <w:fldChar w:fldCharType="end"/>
      </w:r>
    </w:p>
    <w:p w:rsidR="00024C0A" w:rsidRDefault="00694C0F">
      <w:pPr>
        <w:pStyle w:val="indexentry0"/>
      </w:pPr>
      <w:hyperlink w:anchor="section_32d1142aeb7a4ce8ac093b73e1de86b7">
        <w:r>
          <w:rPr>
            <w:rStyle w:val="Hyperlink"/>
          </w:rPr>
          <w:t>SYMBOL</w:t>
        </w:r>
      </w:hyperlink>
      <w:r>
        <w:t xml:space="preserve"> </w:t>
      </w:r>
      <w:r>
        <w:fldChar w:fldCharType="begin"/>
      </w:r>
      <w:r>
        <w:instrText>PAGEREF section_32d1142aeb7a4ce8ac093b73e1de86b7</w:instrText>
      </w:r>
      <w:r>
        <w:fldChar w:fldCharType="separate"/>
      </w:r>
      <w:r>
        <w:rPr>
          <w:noProof/>
        </w:rPr>
        <w:t>223</w:t>
      </w:r>
      <w:r>
        <w:fldChar w:fldCharType="end"/>
      </w:r>
    </w:p>
    <w:p w:rsidR="00024C0A" w:rsidRDefault="00694C0F">
      <w:pPr>
        <w:pStyle w:val="indexentry0"/>
      </w:pPr>
      <w:r>
        <w:t>Syntax (</w:t>
      </w:r>
      <w:hyperlink w:anchor="section_6091e3a7b33d4afabff08a7ee9cba183">
        <w:r>
          <w:rPr>
            <w:rStyle w:val="Hyperlink"/>
          </w:rPr>
          <w:t>section 2.1.453</w:t>
        </w:r>
      </w:hyperlink>
      <w:r>
        <w:t xml:space="preserve"> </w:t>
      </w:r>
      <w:r>
        <w:fldChar w:fldCharType="begin"/>
      </w:r>
      <w:r>
        <w:instrText>PAGEREF section_6091e3a7b33d4afabff08a7ee9cba183</w:instrText>
      </w:r>
      <w:r>
        <w:fldChar w:fldCharType="separate"/>
      </w:r>
      <w:r>
        <w:rPr>
          <w:noProof/>
        </w:rPr>
        <w:t>164</w:t>
      </w:r>
      <w:r>
        <w:fldChar w:fldCharType="end"/>
      </w:r>
      <w:r>
        <w:t xml:space="preserve">, </w:t>
      </w:r>
      <w:hyperlink w:anchor="section_c45b0396bc384fd6abf79782b7d6f926">
        <w:r>
          <w:rPr>
            <w:rStyle w:val="Hyperlink"/>
          </w:rPr>
          <w:t>section 2.1.859</w:t>
        </w:r>
      </w:hyperlink>
      <w:r>
        <w:t xml:space="preserve"> </w:t>
      </w:r>
      <w:r>
        <w:fldChar w:fldCharType="begin"/>
      </w:r>
      <w:r>
        <w:instrText>PAGEREF section_c45b0396bc384fd6abf79782b7d6f926</w:instrText>
      </w:r>
      <w:r>
        <w:fldChar w:fldCharType="separate"/>
      </w:r>
      <w:r>
        <w:rPr>
          <w:noProof/>
        </w:rPr>
        <w:t>385</w:t>
      </w:r>
      <w:r>
        <w:fldChar w:fldCharType="end"/>
      </w:r>
      <w:r>
        <w:t>)</w:t>
      </w:r>
    </w:p>
    <w:p w:rsidR="00024C0A" w:rsidRDefault="00694C0F">
      <w:pPr>
        <w:pStyle w:val="indexentry0"/>
      </w:pPr>
      <w:hyperlink w:anchor="section_cfb7a112dc1944ab9defbe5e19198aca">
        <w:r>
          <w:rPr>
            <w:rStyle w:val="Hyperlink"/>
          </w:rPr>
          <w:t>sysClr (System Color)</w:t>
        </w:r>
      </w:hyperlink>
      <w:r>
        <w:t xml:space="preserve"> </w:t>
      </w:r>
      <w:r>
        <w:fldChar w:fldCharType="begin"/>
      </w:r>
      <w:r>
        <w:instrText>PAGEREF section_cfb7a112dc1944ab9defbe5e19198aca</w:instrText>
      </w:r>
      <w:r>
        <w:fldChar w:fldCharType="separate"/>
      </w:r>
      <w:r>
        <w:rPr>
          <w:noProof/>
        </w:rPr>
        <w:t>502</w:t>
      </w:r>
      <w:r>
        <w:fldChar w:fldCharType="end"/>
      </w:r>
    </w:p>
    <w:p w:rsidR="00024C0A" w:rsidRDefault="00694C0F">
      <w:pPr>
        <w:pStyle w:val="indexentry0"/>
      </w:pPr>
      <w:hyperlink w:anchor="section_347b28bddabc4ef59fe74e57690fbbd4">
        <w:r>
          <w:rPr>
            <w:rStyle w:val="Hyperlink"/>
          </w:rPr>
          <w:t>sz (Font Size)</w:t>
        </w:r>
      </w:hyperlink>
      <w:r>
        <w:t xml:space="preserve"> </w:t>
      </w:r>
      <w:r>
        <w:fldChar w:fldCharType="begin"/>
      </w:r>
      <w:r>
        <w:instrText>PAGEREF section_347b28bddabc4ef59fe74e576</w:instrText>
      </w:r>
      <w:r>
        <w:instrText>90fbbd4</w:instrText>
      </w:r>
      <w:r>
        <w:fldChar w:fldCharType="separate"/>
      </w:r>
      <w:r>
        <w:rPr>
          <w:noProof/>
        </w:rPr>
        <w:t>289</w:t>
      </w:r>
      <w:r>
        <w:fldChar w:fldCharType="end"/>
      </w:r>
    </w:p>
    <w:p w:rsidR="00024C0A" w:rsidRDefault="00694C0F">
      <w:pPr>
        <w:pStyle w:val="indexentry0"/>
      </w:pPr>
      <w:hyperlink w:anchor="section_bac943bf2e5d4d439ba2ab0f26a8e8fd">
        <w:r>
          <w:rPr>
            <w:rStyle w:val="Hyperlink"/>
          </w:rPr>
          <w:t>sz (Frame Size)</w:t>
        </w:r>
      </w:hyperlink>
      <w:r>
        <w:t xml:space="preserve"> </w:t>
      </w:r>
      <w:r>
        <w:fldChar w:fldCharType="begin"/>
      </w:r>
      <w:r>
        <w:instrText>PAGEREF section_bac943bf2e5d4d439ba2ab0f26a8e8fd</w:instrText>
      </w:r>
      <w:r>
        <w:fldChar w:fldCharType="separate"/>
      </w:r>
      <w:r>
        <w:rPr>
          <w:noProof/>
        </w:rPr>
        <w:t>162</w:t>
      </w:r>
      <w:r>
        <w:fldChar w:fldCharType="end"/>
      </w:r>
    </w:p>
    <w:p w:rsidR="00024C0A" w:rsidRDefault="00694C0F">
      <w:pPr>
        <w:pStyle w:val="indexentry0"/>
      </w:pPr>
      <w:hyperlink w:anchor="section_12da267d2f2644498e44750a097fb97f">
        <w:r>
          <w:rPr>
            <w:rStyle w:val="Hyperlink"/>
          </w:rPr>
          <w:t>sz (Nested Frameset Size)</w:t>
        </w:r>
      </w:hyperlink>
      <w:r>
        <w:t xml:space="preserve"> </w:t>
      </w:r>
      <w:r>
        <w:fldChar w:fldCharType="begin"/>
      </w:r>
      <w:r>
        <w:instrText>PAGEREF section_12da267d2</w:instrText>
      </w:r>
      <w:r>
        <w:instrText>f2644498e44750a097fb97f</w:instrText>
      </w:r>
      <w:r>
        <w:fldChar w:fldCharType="separate"/>
      </w:r>
      <w:r>
        <w:rPr>
          <w:noProof/>
        </w:rPr>
        <w:t>163</w:t>
      </w:r>
      <w:r>
        <w:fldChar w:fldCharType="end"/>
      </w:r>
    </w:p>
    <w:p w:rsidR="00024C0A" w:rsidRDefault="00694C0F">
      <w:pPr>
        <w:pStyle w:val="indexentry0"/>
      </w:pPr>
      <w:hyperlink w:anchor="section_4f2762ad03f64430be6e2a85480268ee">
        <w:r>
          <w:rPr>
            <w:rStyle w:val="Hyperlink"/>
          </w:rPr>
          <w:t>sz (Non-Complex Script Font Size)</w:t>
        </w:r>
      </w:hyperlink>
      <w:r>
        <w:t xml:space="preserve"> </w:t>
      </w:r>
      <w:r>
        <w:fldChar w:fldCharType="begin"/>
      </w:r>
      <w:r>
        <w:instrText>PAGEREF section_4f2762ad03f64430be6e2a85480268ee</w:instrText>
      </w:r>
      <w:r>
        <w:fldChar w:fldCharType="separate"/>
      </w:r>
      <w:r>
        <w:rPr>
          <w:noProof/>
        </w:rPr>
        <w:t>78</w:t>
      </w:r>
      <w:r>
        <w:fldChar w:fldCharType="end"/>
      </w:r>
    </w:p>
    <w:p w:rsidR="00024C0A" w:rsidRDefault="00694C0F">
      <w:pPr>
        <w:pStyle w:val="indexentry0"/>
      </w:pPr>
      <w:hyperlink w:anchor="section_40f37d666eb14e72b768a8bfec1f78df">
        <w:r>
          <w:rPr>
            <w:rStyle w:val="Hyperlink"/>
          </w:rPr>
          <w:t>szCs (Complex Scrip</w:t>
        </w:r>
        <w:r>
          <w:rPr>
            <w:rStyle w:val="Hyperlink"/>
          </w:rPr>
          <w:t>t Font Size)</w:t>
        </w:r>
      </w:hyperlink>
      <w:r>
        <w:t xml:space="preserve"> </w:t>
      </w:r>
      <w:r>
        <w:fldChar w:fldCharType="begin"/>
      </w:r>
      <w:r>
        <w:instrText>PAGEREF section_40f37d666eb14e72b768a8bfec1f78df</w:instrText>
      </w:r>
      <w:r>
        <w:fldChar w:fldCharType="separate"/>
      </w:r>
      <w:r>
        <w:rPr>
          <w:noProof/>
        </w:rPr>
        <w:t>78</w:t>
      </w:r>
      <w:r>
        <w:fldChar w:fldCharType="end"/>
      </w:r>
    </w:p>
    <w:p w:rsidR="00024C0A" w:rsidRDefault="00024C0A">
      <w:pPr>
        <w:spacing w:before="0" w:after="0"/>
        <w:rPr>
          <w:sz w:val="16"/>
        </w:rPr>
      </w:pPr>
    </w:p>
    <w:p w:rsidR="00024C0A" w:rsidRDefault="00694C0F">
      <w:pPr>
        <w:pStyle w:val="indexheader"/>
      </w:pPr>
      <w:r>
        <w:t>T</w:t>
      </w:r>
    </w:p>
    <w:p w:rsidR="00024C0A" w:rsidRDefault="00024C0A">
      <w:pPr>
        <w:spacing w:before="0" w:after="0"/>
        <w:rPr>
          <w:sz w:val="16"/>
        </w:rPr>
      </w:pPr>
    </w:p>
    <w:p w:rsidR="00024C0A" w:rsidRDefault="00694C0F">
      <w:pPr>
        <w:pStyle w:val="indexentry0"/>
      </w:pPr>
      <w:hyperlink w:anchor="section_5c7d720478424485979866c87ab0258a">
        <w:r>
          <w:rPr>
            <w:rStyle w:val="Hyperlink"/>
          </w:rPr>
          <w:t>t (Text Body)</w:t>
        </w:r>
      </w:hyperlink>
      <w:r>
        <w:t xml:space="preserve"> </w:t>
      </w:r>
      <w:r>
        <w:fldChar w:fldCharType="begin"/>
      </w:r>
      <w:r>
        <w:instrText>PAGEREF section_5c7d720478424485979866c87ab0258a</w:instrText>
      </w:r>
      <w:r>
        <w:fldChar w:fldCharType="separate"/>
      </w:r>
      <w:r>
        <w:rPr>
          <w:noProof/>
        </w:rPr>
        <w:t>582</w:t>
      </w:r>
      <w:r>
        <w:fldChar w:fldCharType="end"/>
      </w:r>
    </w:p>
    <w:p w:rsidR="00024C0A" w:rsidRDefault="00694C0F">
      <w:pPr>
        <w:pStyle w:val="indexentry0"/>
      </w:pPr>
      <w:r>
        <w:t>t (Text) (</w:t>
      </w:r>
      <w:hyperlink w:anchor="section_82ad64a7401b4f3493193600b16b2791">
        <w:r>
          <w:rPr>
            <w:rStyle w:val="Hyperlink"/>
          </w:rPr>
          <w:t>section 2.1.677</w:t>
        </w:r>
      </w:hyperlink>
      <w:r>
        <w:t xml:space="preserve"> </w:t>
      </w:r>
      <w:r>
        <w:fldChar w:fldCharType="begin"/>
      </w:r>
      <w:r>
        <w:instrText>PAGEREF section_82ad64a7401b4f3493193600b16b2791</w:instrText>
      </w:r>
      <w:r>
        <w:fldChar w:fldCharType="separate"/>
      </w:r>
      <w:r>
        <w:rPr>
          <w:noProof/>
        </w:rPr>
        <w:t>290</w:t>
      </w:r>
      <w:r>
        <w:fldChar w:fldCharType="end"/>
      </w:r>
      <w:r>
        <w:t xml:space="preserve">, </w:t>
      </w:r>
      <w:hyperlink w:anchor="section_715e9ffc7f3f49c5a42e7db548f1df3d">
        <w:r>
          <w:rPr>
            <w:rStyle w:val="Hyperlink"/>
          </w:rPr>
          <w:t>section 2.1.1704</w:t>
        </w:r>
      </w:hyperlink>
      <w:r>
        <w:t xml:space="preserve"> </w:t>
      </w:r>
      <w:r>
        <w:fldChar w:fldCharType="begin"/>
      </w:r>
      <w:r>
        <w:instrText>PAGEREF section_715e9ffc7f3f49c5a42e7db548f1df3d</w:instrText>
      </w:r>
      <w:r>
        <w:fldChar w:fldCharType="separate"/>
      </w:r>
      <w:r>
        <w:rPr>
          <w:noProof/>
        </w:rPr>
        <w:t>601</w:t>
      </w:r>
      <w:r>
        <w:fldChar w:fldCharType="end"/>
      </w:r>
      <w:r>
        <w:t>)</w:t>
      </w:r>
    </w:p>
    <w:p w:rsidR="00024C0A" w:rsidRDefault="00694C0F">
      <w:pPr>
        <w:pStyle w:val="indexentry0"/>
      </w:pPr>
      <w:hyperlink w:anchor="section_7497a2d02d184fe5a58079bc7ad04497">
        <w:r>
          <w:rPr>
            <w:rStyle w:val="Hyperlink"/>
          </w:rPr>
          <w:t>t (Tuple MDX Metadata)</w:t>
        </w:r>
      </w:hyperlink>
      <w:r>
        <w:t xml:space="preserve"> </w:t>
      </w:r>
      <w:r>
        <w:fldChar w:fldCharType="begin"/>
      </w:r>
      <w:r>
        <w:instrText>PAGEREF section_7497a2d02d184fe5a58079bc7ad04497</w:instrText>
      </w:r>
      <w:r>
        <w:fldChar w:fldCharType="separate"/>
      </w:r>
      <w:r>
        <w:rPr>
          <w:noProof/>
        </w:rPr>
        <w:t>318</w:t>
      </w:r>
      <w:r>
        <w:fldChar w:fldCharType="end"/>
      </w:r>
    </w:p>
    <w:p w:rsidR="00024C0A" w:rsidRDefault="00694C0F">
      <w:pPr>
        <w:pStyle w:val="indexentry0"/>
      </w:pPr>
      <w:hyperlink w:anchor="section_7fe21147206c484f9a5dccb42e2b75d1">
        <w:r>
          <w:rPr>
            <w:rStyle w:val="Hyperlink"/>
          </w:rPr>
          <w:t>TA</w:t>
        </w:r>
      </w:hyperlink>
      <w:r>
        <w:t xml:space="preserve"> </w:t>
      </w:r>
      <w:r>
        <w:fldChar w:fldCharType="begin"/>
      </w:r>
      <w:r>
        <w:instrText>PAGEREF section_7fe21147206c484f9a5dccb42e2b75d1</w:instrText>
      </w:r>
      <w:r>
        <w:fldChar w:fldCharType="separate"/>
      </w:r>
      <w:r>
        <w:rPr>
          <w:noProof/>
        </w:rPr>
        <w:t>223</w:t>
      </w:r>
      <w:r>
        <w:fldChar w:fldCharType="end"/>
      </w:r>
    </w:p>
    <w:p w:rsidR="00024C0A" w:rsidRDefault="00694C0F">
      <w:pPr>
        <w:pStyle w:val="indexentry0"/>
      </w:pPr>
      <w:hyperlink w:anchor="section_c52e929cfa384f889ee7f6ec4b1ab882">
        <w:r>
          <w:rPr>
            <w:rStyle w:val="Hyperlink"/>
          </w:rPr>
          <w:t>tab (Custom Tab Stop)</w:t>
        </w:r>
      </w:hyperlink>
      <w:r>
        <w:t xml:space="preserve"> </w:t>
      </w:r>
      <w:r>
        <w:fldChar w:fldCharType="begin"/>
      </w:r>
      <w:r>
        <w:instrText>PAGEREF section_c52e929cfa384f889ee7f6ec4b1ab882</w:instrText>
      </w:r>
      <w:r>
        <w:fldChar w:fldCharType="separate"/>
      </w:r>
      <w:r>
        <w:rPr>
          <w:noProof/>
        </w:rPr>
        <w:t>67</w:t>
      </w:r>
      <w:r>
        <w:fldChar w:fldCharType="end"/>
      </w:r>
    </w:p>
    <w:p w:rsidR="00024C0A" w:rsidRDefault="00694C0F">
      <w:pPr>
        <w:pStyle w:val="indexentry0"/>
      </w:pPr>
      <w:hyperlink w:anchor="section_57f3992c0f4646afa3c764132f66ebe0">
        <w:r>
          <w:rPr>
            <w:rStyle w:val="Hyperlink"/>
          </w:rPr>
          <w:t>tabCo</w:t>
        </w:r>
        <w:r>
          <w:rPr>
            <w:rStyle w:val="Hyperlink"/>
          </w:rPr>
          <w:t>lor (Sheet Tab Color)</w:t>
        </w:r>
      </w:hyperlink>
      <w:r>
        <w:t xml:space="preserve"> </w:t>
      </w:r>
      <w:r>
        <w:fldChar w:fldCharType="begin"/>
      </w:r>
      <w:r>
        <w:instrText>PAGEREF section_57f3992c0f4646afa3c764132f66ebe0</w:instrText>
      </w:r>
      <w:r>
        <w:fldChar w:fldCharType="separate"/>
      </w:r>
      <w:r>
        <w:rPr>
          <w:noProof/>
        </w:rPr>
        <w:t>285</w:t>
      </w:r>
      <w:r>
        <w:fldChar w:fldCharType="end"/>
      </w:r>
    </w:p>
    <w:p w:rsidR="00024C0A" w:rsidRDefault="00694C0F">
      <w:pPr>
        <w:pStyle w:val="indexentry0"/>
      </w:pPr>
      <w:hyperlink w:anchor="section_0f67f3287aa143aab0460cc528dd282e">
        <w:r>
          <w:rPr>
            <w:rStyle w:val="Hyperlink"/>
          </w:rPr>
          <w:t>tabIndex (Form Field Navigation Order Index)</w:t>
        </w:r>
      </w:hyperlink>
      <w:r>
        <w:t xml:space="preserve"> </w:t>
      </w:r>
      <w:r>
        <w:fldChar w:fldCharType="begin"/>
      </w:r>
      <w:r>
        <w:instrText>PAGEREF section_0f67f3287aa143aab0460cc528dd282e</w:instrText>
      </w:r>
      <w:r>
        <w:fldChar w:fldCharType="separate"/>
      </w:r>
      <w:r>
        <w:rPr>
          <w:noProof/>
        </w:rPr>
        <w:t>226</w:t>
      </w:r>
      <w:r>
        <w:fldChar w:fldCharType="end"/>
      </w:r>
    </w:p>
    <w:p w:rsidR="00024C0A" w:rsidRDefault="00694C0F">
      <w:pPr>
        <w:pStyle w:val="indexentry0"/>
      </w:pPr>
      <w:hyperlink w:anchor="section_792638a52321467ea2266b23a9b56806">
        <w:r>
          <w:rPr>
            <w:rStyle w:val="Hyperlink"/>
          </w:rPr>
          <w:t>tabIndex (Structured Document Tag Navigation Order Index)</w:t>
        </w:r>
      </w:hyperlink>
      <w:r>
        <w:t xml:space="preserve"> </w:t>
      </w:r>
      <w:r>
        <w:fldChar w:fldCharType="begin"/>
      </w:r>
      <w:r>
        <w:instrText>PAGEREF section_792638a52321467ea2266b23a9b56806</w:instrText>
      </w:r>
      <w:r>
        <w:fldChar w:fldCharType="separate"/>
      </w:r>
      <w:r>
        <w:rPr>
          <w:noProof/>
        </w:rPr>
        <w:t>101</w:t>
      </w:r>
      <w:r>
        <w:fldChar w:fldCharType="end"/>
      </w:r>
    </w:p>
    <w:p w:rsidR="00024C0A" w:rsidRDefault="00694C0F">
      <w:pPr>
        <w:pStyle w:val="indexentry0"/>
      </w:pPr>
      <w:hyperlink w:anchor="section_9aa94d9d71474207943f86ec6ab00f2e">
        <w:r>
          <w:rPr>
            <w:rStyle w:val="Hyperlink"/>
          </w:rPr>
          <w:t>table (Data Source Table Name)</w:t>
        </w:r>
      </w:hyperlink>
      <w:r>
        <w:t xml:space="preserve"> </w:t>
      </w:r>
      <w:r>
        <w:fldChar w:fldCharType="begin"/>
      </w:r>
      <w:r>
        <w:instrText>PAGEREF s</w:instrText>
      </w:r>
      <w:r>
        <w:instrText>ection_9aa94d9d71474207943f86ec6ab00f2e</w:instrText>
      </w:r>
      <w:r>
        <w:fldChar w:fldCharType="separate"/>
      </w:r>
      <w:r>
        <w:rPr>
          <w:noProof/>
        </w:rPr>
        <w:t>145</w:t>
      </w:r>
      <w:r>
        <w:fldChar w:fldCharType="end"/>
      </w:r>
    </w:p>
    <w:p w:rsidR="00024C0A" w:rsidRDefault="00694C0F">
      <w:pPr>
        <w:pStyle w:val="indexentry0"/>
      </w:pPr>
      <w:hyperlink w:anchor="section_bd61087c09d44789acf1b7ee8234a373">
        <w:r>
          <w:rPr>
            <w:rStyle w:val="Hyperlink"/>
          </w:rPr>
          <w:t>table (Table)</w:t>
        </w:r>
      </w:hyperlink>
      <w:r>
        <w:t xml:space="preserve"> </w:t>
      </w:r>
      <w:r>
        <w:fldChar w:fldCharType="begin"/>
      </w:r>
      <w:r>
        <w:instrText>PAGEREF section_bd61087c09d44789acf1b7ee8234a373</w:instrText>
      </w:r>
      <w:r>
        <w:fldChar w:fldCharType="separate"/>
      </w:r>
      <w:r>
        <w:rPr>
          <w:noProof/>
        </w:rPr>
        <w:t>290</w:t>
      </w:r>
      <w:r>
        <w:fldChar w:fldCharType="end"/>
      </w:r>
    </w:p>
    <w:p w:rsidR="00024C0A" w:rsidRDefault="00694C0F">
      <w:pPr>
        <w:pStyle w:val="indexentry0"/>
      </w:pPr>
      <w:hyperlink w:anchor="section_f6c3f73269c144b9b8f4517245404a01">
        <w:r>
          <w:rPr>
            <w:rStyle w:val="Hyperlink"/>
          </w:rPr>
          <w:t>Table cell references</w:t>
        </w:r>
      </w:hyperlink>
      <w:r>
        <w:t xml:space="preserve"> </w:t>
      </w:r>
      <w:r>
        <w:fldChar w:fldCharType="begin"/>
      </w:r>
      <w:r>
        <w:instrText>PAGEREF section_f6c3f73269c144b9b8f4517245404a01</w:instrText>
      </w:r>
      <w:r>
        <w:fldChar w:fldCharType="separate"/>
      </w:r>
      <w:r>
        <w:rPr>
          <w:noProof/>
        </w:rPr>
        <w:t>165</w:t>
      </w:r>
      <w:r>
        <w:fldChar w:fldCharType="end"/>
      </w:r>
    </w:p>
    <w:p w:rsidR="00024C0A" w:rsidRDefault="00694C0F">
      <w:pPr>
        <w:pStyle w:val="indexentry0"/>
      </w:pPr>
      <w:hyperlink w:anchor="section_d9b4a6f68b0743c587f234c1238911a4">
        <w:r>
          <w:rPr>
            <w:rStyle w:val="Hyperlink"/>
          </w:rPr>
          <w:t>Table Measurement (CT_TblWidth)</w:t>
        </w:r>
      </w:hyperlink>
      <w:r>
        <w:t xml:space="preserve"> </w:t>
      </w:r>
      <w:r>
        <w:fldChar w:fldCharType="begin"/>
      </w:r>
      <w:r>
        <w:instrText>PAGEREF section_d9b4a6f68b0743c587f234c1238911a4</w:instrText>
      </w:r>
      <w:r>
        <w:fldChar w:fldCharType="separate"/>
      </w:r>
      <w:r>
        <w:rPr>
          <w:noProof/>
        </w:rPr>
        <w:t>95</w:t>
      </w:r>
      <w:r>
        <w:fldChar w:fldCharType="end"/>
      </w:r>
    </w:p>
    <w:p w:rsidR="00024C0A" w:rsidRDefault="00694C0F">
      <w:pPr>
        <w:pStyle w:val="indexentry0"/>
      </w:pPr>
      <w:hyperlink w:anchor="section_14452bbebe4d4dbb90e63d23ae9361bc">
        <w:r>
          <w:rPr>
            <w:rStyle w:val="Hyperlink"/>
          </w:rPr>
          <w:t>Table Styles</w:t>
        </w:r>
      </w:hyperlink>
      <w:r>
        <w:t xml:space="preserve"> </w:t>
      </w:r>
      <w:r>
        <w:fldChar w:fldCharType="begin"/>
      </w:r>
      <w:r>
        <w:instrText>PAGEREF section_14452bbebe4d4dbb90e63d23ae9361bc</w:instrText>
      </w:r>
      <w:r>
        <w:fldChar w:fldCharType="separate"/>
      </w:r>
      <w:r>
        <w:rPr>
          <w:noProof/>
        </w:rPr>
        <w:t>116</w:t>
      </w:r>
      <w:r>
        <w:fldChar w:fldCharType="end"/>
      </w:r>
    </w:p>
    <w:p w:rsidR="00024C0A" w:rsidRDefault="00694C0F">
      <w:pPr>
        <w:pStyle w:val="indexentry0"/>
      </w:pPr>
      <w:hyperlink w:anchor="section_8f4f8ebca0854cefbec96d6a40066513">
        <w:r>
          <w:rPr>
            <w:rStyle w:val="Hyperlink"/>
          </w:rPr>
          <w:t>tableColumn (Table Column)</w:t>
        </w:r>
      </w:hyperlink>
      <w:r>
        <w:t xml:space="preserve"> </w:t>
      </w:r>
      <w:r>
        <w:fldChar w:fldCharType="begin"/>
      </w:r>
      <w:r>
        <w:instrText>PAGEREF section_8f4f8ebca0854cefbec96d</w:instrText>
      </w:r>
      <w:r>
        <w:instrText>6a40066513</w:instrText>
      </w:r>
      <w:r>
        <w:fldChar w:fldCharType="separate"/>
      </w:r>
      <w:r>
        <w:rPr>
          <w:noProof/>
        </w:rPr>
        <w:t>291</w:t>
      </w:r>
      <w:r>
        <w:fldChar w:fldCharType="end"/>
      </w:r>
    </w:p>
    <w:p w:rsidR="00024C0A" w:rsidRDefault="00694C0F">
      <w:pPr>
        <w:pStyle w:val="indexentry0"/>
      </w:pPr>
      <w:hyperlink w:anchor="section_ff6347f03c7043748ceb81fcb2b39331">
        <w:r>
          <w:rPr>
            <w:rStyle w:val="Hyperlink"/>
          </w:rPr>
          <w:t>tableStyle (Table Style)</w:t>
        </w:r>
      </w:hyperlink>
      <w:r>
        <w:t xml:space="preserve"> </w:t>
      </w:r>
      <w:r>
        <w:fldChar w:fldCharType="begin"/>
      </w:r>
      <w:r>
        <w:instrText>PAGEREF section_ff6347f03c7043748ceb81fcb2b39331</w:instrText>
      </w:r>
      <w:r>
        <w:fldChar w:fldCharType="separate"/>
      </w:r>
      <w:r>
        <w:rPr>
          <w:noProof/>
        </w:rPr>
        <w:t>310</w:t>
      </w:r>
      <w:r>
        <w:fldChar w:fldCharType="end"/>
      </w:r>
    </w:p>
    <w:p w:rsidR="00024C0A" w:rsidRDefault="00694C0F">
      <w:pPr>
        <w:pStyle w:val="indexentry0"/>
      </w:pPr>
      <w:hyperlink w:anchor="section_d91a5d310bf448019139f6c13a690505">
        <w:r>
          <w:rPr>
            <w:rStyle w:val="Hyperlink"/>
          </w:rPr>
          <w:t>tableStyleElement (Table Style)</w:t>
        </w:r>
      </w:hyperlink>
      <w:r>
        <w:t xml:space="preserve"> </w:t>
      </w:r>
      <w:r>
        <w:fldChar w:fldCharType="begin"/>
      </w:r>
      <w:r>
        <w:instrText>PAGEREF</w:instrText>
      </w:r>
      <w:r>
        <w:instrText xml:space="preserve"> section_d91a5d310bf448019139f6c13a690505</w:instrText>
      </w:r>
      <w:r>
        <w:fldChar w:fldCharType="separate"/>
      </w:r>
      <w:r>
        <w:rPr>
          <w:noProof/>
        </w:rPr>
        <w:t>310</w:t>
      </w:r>
      <w:r>
        <w:fldChar w:fldCharType="end"/>
      </w:r>
    </w:p>
    <w:p w:rsidR="00024C0A" w:rsidRDefault="00694C0F">
      <w:pPr>
        <w:pStyle w:val="indexentry0"/>
      </w:pPr>
      <w:hyperlink w:anchor="section_e12a68d77ac847dead30f6ee7a5d1c8e">
        <w:r>
          <w:rPr>
            <w:rStyle w:val="Hyperlink"/>
          </w:rPr>
          <w:t>tableStyleId (Table Style ID)</w:t>
        </w:r>
      </w:hyperlink>
      <w:r>
        <w:t xml:space="preserve"> </w:t>
      </w:r>
      <w:r>
        <w:fldChar w:fldCharType="begin"/>
      </w:r>
      <w:r>
        <w:instrText>PAGEREF section_e12a68d77ac847dead30f6ee7a5d1c8e</w:instrText>
      </w:r>
      <w:r>
        <w:fldChar w:fldCharType="separate"/>
      </w:r>
      <w:r>
        <w:rPr>
          <w:noProof/>
        </w:rPr>
        <w:t>539</w:t>
      </w:r>
      <w:r>
        <w:fldChar w:fldCharType="end"/>
      </w:r>
    </w:p>
    <w:p w:rsidR="00024C0A" w:rsidRDefault="00694C0F">
      <w:pPr>
        <w:pStyle w:val="indexentry0"/>
      </w:pPr>
      <w:hyperlink w:anchor="section_2390d9fdc06a4a93b5e4b8ccbe237708">
        <w:r>
          <w:rPr>
            <w:rStyle w:val="Hyperlink"/>
          </w:rPr>
          <w:t>table</w:t>
        </w:r>
        <w:r>
          <w:rPr>
            <w:rStyle w:val="Hyperlink"/>
          </w:rPr>
          <w:t>StyleInfo (Table Style)</w:t>
        </w:r>
      </w:hyperlink>
      <w:r>
        <w:t xml:space="preserve"> </w:t>
      </w:r>
      <w:r>
        <w:fldChar w:fldCharType="begin"/>
      </w:r>
      <w:r>
        <w:instrText>PAGEREF section_2390d9fdc06a4a93b5e4b8ccbe237708</w:instrText>
      </w:r>
      <w:r>
        <w:fldChar w:fldCharType="separate"/>
      </w:r>
      <w:r>
        <w:rPr>
          <w:noProof/>
        </w:rPr>
        <w:t>292</w:t>
      </w:r>
      <w:r>
        <w:fldChar w:fldCharType="end"/>
      </w:r>
    </w:p>
    <w:p w:rsidR="00024C0A" w:rsidRDefault="00694C0F">
      <w:pPr>
        <w:pStyle w:val="indexentry0"/>
      </w:pPr>
      <w:hyperlink w:anchor="section_3e73b8aa77d244a79b9fe92e296915c5">
        <w:r>
          <w:rPr>
            <w:rStyle w:val="Hyperlink"/>
          </w:rPr>
          <w:t>tableStyles (Table Styles)</w:t>
        </w:r>
      </w:hyperlink>
      <w:r>
        <w:t xml:space="preserve"> </w:t>
      </w:r>
      <w:r>
        <w:fldChar w:fldCharType="begin"/>
      </w:r>
      <w:r>
        <w:instrText>PAGEREF section_3e73b8aa77d244a79b9fe92e296915c5</w:instrText>
      </w:r>
      <w:r>
        <w:fldChar w:fldCharType="separate"/>
      </w:r>
      <w:r>
        <w:rPr>
          <w:noProof/>
        </w:rPr>
        <w:t>310</w:t>
      </w:r>
      <w:r>
        <w:fldChar w:fldCharType="end"/>
      </w:r>
    </w:p>
    <w:p w:rsidR="00024C0A" w:rsidRDefault="00694C0F">
      <w:pPr>
        <w:pStyle w:val="indexentry0"/>
      </w:pPr>
      <w:hyperlink w:anchor="section_b46caa4c8bed427cb3fe54b98941ab76">
        <w:r>
          <w:rPr>
            <w:rStyle w:val="Hyperlink"/>
          </w:rPr>
          <w:t>tag (Programmable Extensibility Tag)</w:t>
        </w:r>
      </w:hyperlink>
      <w:r>
        <w:t xml:space="preserve"> </w:t>
      </w:r>
      <w:r>
        <w:fldChar w:fldCharType="begin"/>
      </w:r>
      <w:r>
        <w:instrText>PAGEREF section_b46caa4c8bed427cb3fe54b98941ab76</w:instrText>
      </w:r>
      <w:r>
        <w:fldChar w:fldCharType="separate"/>
      </w:r>
      <w:r>
        <w:rPr>
          <w:noProof/>
        </w:rPr>
        <w:t>469</w:t>
      </w:r>
      <w:r>
        <w:fldChar w:fldCharType="end"/>
      </w:r>
    </w:p>
    <w:p w:rsidR="00024C0A" w:rsidRDefault="00694C0F">
      <w:pPr>
        <w:pStyle w:val="indexentry0"/>
      </w:pPr>
      <w:hyperlink w:anchor="section_3a8facc7b7e74bb4b34cb38d0d4c1c6d">
        <w:r>
          <w:rPr>
            <w:rStyle w:val="Hyperlink"/>
          </w:rPr>
          <w:t>Tag (Tag)</w:t>
        </w:r>
      </w:hyperlink>
      <w:r>
        <w:t xml:space="preserve"> </w:t>
      </w:r>
      <w:r>
        <w:fldChar w:fldCharType="begin"/>
      </w:r>
      <w:r>
        <w:instrText>PAGEREF section_3a8facc7b7e74bb4b34cb38d0d4c1c6d</w:instrText>
      </w:r>
      <w:r>
        <w:fldChar w:fldCharType="separate"/>
      </w:r>
      <w:r>
        <w:rPr>
          <w:noProof/>
        </w:rPr>
        <w:t>609</w:t>
      </w:r>
      <w:r>
        <w:fldChar w:fldCharType="end"/>
      </w:r>
    </w:p>
    <w:p w:rsidR="00024C0A" w:rsidRDefault="00694C0F">
      <w:pPr>
        <w:pStyle w:val="indexentry0"/>
      </w:pPr>
      <w:hyperlink w:anchor="section_b24fde3123534d2bac61724078e1213f">
        <w:r>
          <w:rPr>
            <w:rStyle w:val="Hyperlink"/>
          </w:rPr>
          <w:t>TAN</w:t>
        </w:r>
      </w:hyperlink>
      <w:r>
        <w:t xml:space="preserve"> </w:t>
      </w:r>
      <w:r>
        <w:fldChar w:fldCharType="begin"/>
      </w:r>
      <w:r>
        <w:instrText>PAGEREF section_b24fde3123534d2bac61724078e1213f</w:instrText>
      </w:r>
      <w:r>
        <w:fldChar w:fldCharType="separate"/>
      </w:r>
      <w:r>
        <w:rPr>
          <w:noProof/>
        </w:rPr>
        <w:t>447</w:t>
      </w:r>
      <w:r>
        <w:fldChar w:fldCharType="end"/>
      </w:r>
    </w:p>
    <w:p w:rsidR="00024C0A" w:rsidRDefault="00694C0F">
      <w:pPr>
        <w:pStyle w:val="indexentry0"/>
      </w:pPr>
      <w:hyperlink w:anchor="section_1cdcce02e27c40e68d43c718e61f96fc">
        <w:r>
          <w:rPr>
            <w:rStyle w:val="Hyperlink"/>
          </w:rPr>
          <w:t>targetScreenSz (Target Screen Size for Web Page)</w:t>
        </w:r>
      </w:hyperlink>
      <w:r>
        <w:t xml:space="preserve"> </w:t>
      </w:r>
      <w:r>
        <w:fldChar w:fldCharType="begin"/>
      </w:r>
      <w:r>
        <w:instrText>PAGEREF section_1cdcce02e27c40e68d43c718e61f96fc</w:instrText>
      </w:r>
      <w:r>
        <w:fldChar w:fldCharType="separate"/>
      </w:r>
      <w:r>
        <w:rPr>
          <w:noProof/>
        </w:rPr>
        <w:t>163</w:t>
      </w:r>
      <w:r>
        <w:fldChar w:fldCharType="end"/>
      </w:r>
    </w:p>
    <w:p w:rsidR="00024C0A" w:rsidRDefault="00694C0F">
      <w:pPr>
        <w:pStyle w:val="indexentry0"/>
      </w:pPr>
      <w:hyperlink w:anchor="section_314e45ecb2d842379103a0ed722130a8">
        <w:r>
          <w:rPr>
            <w:rStyle w:val="Hyperlink"/>
          </w:rPr>
          <w:t>TBILLPRICE</w:t>
        </w:r>
      </w:hyperlink>
      <w:r>
        <w:t xml:space="preserve"> </w:t>
      </w:r>
      <w:r>
        <w:fldChar w:fldCharType="begin"/>
      </w:r>
      <w:r>
        <w:instrText>PAGEREF section_314e45ecb2d842379103a0ed722130a8</w:instrText>
      </w:r>
      <w:r>
        <w:fldChar w:fldCharType="separate"/>
      </w:r>
      <w:r>
        <w:rPr>
          <w:noProof/>
        </w:rPr>
        <w:t>447</w:t>
      </w:r>
      <w:r>
        <w:fldChar w:fldCharType="end"/>
      </w:r>
    </w:p>
    <w:p w:rsidR="00024C0A" w:rsidRDefault="00694C0F">
      <w:pPr>
        <w:pStyle w:val="indexentry0"/>
      </w:pPr>
      <w:hyperlink w:anchor="section_ae3240448a1a4e0daea87546318811b7">
        <w:r>
          <w:rPr>
            <w:rStyle w:val="Hyperlink"/>
          </w:rPr>
          <w:t>TBILLYIELD</w:t>
        </w:r>
      </w:hyperlink>
      <w:r>
        <w:t xml:space="preserve"> </w:t>
      </w:r>
      <w:r>
        <w:fldChar w:fldCharType="begin"/>
      </w:r>
      <w:r>
        <w:instrText>PAGE</w:instrText>
      </w:r>
      <w:r>
        <w:instrText>REF section_ae3240448a1a4e0daea87546318811b7</w:instrText>
      </w:r>
      <w:r>
        <w:fldChar w:fldCharType="separate"/>
      </w:r>
      <w:r>
        <w:rPr>
          <w:noProof/>
        </w:rPr>
        <w:t>448</w:t>
      </w:r>
      <w:r>
        <w:fldChar w:fldCharType="end"/>
      </w:r>
    </w:p>
    <w:p w:rsidR="00024C0A" w:rsidRDefault="00694C0F">
      <w:pPr>
        <w:pStyle w:val="indexentry0"/>
      </w:pPr>
      <w:r>
        <w:t>tbl (Table) (</w:t>
      </w:r>
      <w:hyperlink w:anchor="section_232ad787a0444a52851db4544c285aab">
        <w:r>
          <w:rPr>
            <w:rStyle w:val="Hyperlink"/>
          </w:rPr>
          <w:t>section 2.1.149</w:t>
        </w:r>
      </w:hyperlink>
      <w:r>
        <w:t xml:space="preserve"> </w:t>
      </w:r>
      <w:r>
        <w:fldChar w:fldCharType="begin"/>
      </w:r>
      <w:r>
        <w:instrText>PAGEREF section_232ad787a0444a52851db4544c285aab</w:instrText>
      </w:r>
      <w:r>
        <w:fldChar w:fldCharType="separate"/>
      </w:r>
      <w:r>
        <w:rPr>
          <w:noProof/>
        </w:rPr>
        <w:t>86</w:t>
      </w:r>
      <w:r>
        <w:fldChar w:fldCharType="end"/>
      </w:r>
      <w:r>
        <w:t xml:space="preserve">, </w:t>
      </w:r>
      <w:hyperlink w:anchor="section_87e635df37bf42ef87b6fdd8abac88e1">
        <w:r>
          <w:rPr>
            <w:rStyle w:val="Hyperlink"/>
          </w:rPr>
          <w:t>se</w:t>
        </w:r>
        <w:r>
          <w:rPr>
            <w:rStyle w:val="Hyperlink"/>
          </w:rPr>
          <w:t>ction 2.1.1418</w:t>
        </w:r>
      </w:hyperlink>
      <w:r>
        <w:t xml:space="preserve"> </w:t>
      </w:r>
      <w:r>
        <w:fldChar w:fldCharType="begin"/>
      </w:r>
      <w:r>
        <w:instrText>PAGEREF section_87e635df37bf42ef87b6fdd8abac88e1</w:instrText>
      </w:r>
      <w:r>
        <w:fldChar w:fldCharType="separate"/>
      </w:r>
      <w:r>
        <w:rPr>
          <w:noProof/>
        </w:rPr>
        <w:t>539</w:t>
      </w:r>
      <w:r>
        <w:fldChar w:fldCharType="end"/>
      </w:r>
      <w:r>
        <w:t>)</w:t>
      </w:r>
    </w:p>
    <w:p w:rsidR="00024C0A" w:rsidRDefault="00694C0F">
      <w:pPr>
        <w:pStyle w:val="indexentry0"/>
      </w:pPr>
      <w:hyperlink w:anchor="section_c6c5d5c4206a4e0a9f1ecee1fe4ffe42">
        <w:r>
          <w:rPr>
            <w:rStyle w:val="Hyperlink"/>
          </w:rPr>
          <w:t>tblBorders (Table Borders Exceptions)</w:t>
        </w:r>
      </w:hyperlink>
      <w:r>
        <w:t xml:space="preserve"> </w:t>
      </w:r>
      <w:r>
        <w:fldChar w:fldCharType="begin"/>
      </w:r>
      <w:r>
        <w:instrText>PAGEREF section_c6c5d5c4206a4e0a9f1ecee1fe4ffe42</w:instrText>
      </w:r>
      <w:r>
        <w:fldChar w:fldCharType="separate"/>
      </w:r>
      <w:r>
        <w:rPr>
          <w:noProof/>
        </w:rPr>
        <w:t>86</w:t>
      </w:r>
      <w:r>
        <w:fldChar w:fldCharType="end"/>
      </w:r>
    </w:p>
    <w:p w:rsidR="00024C0A" w:rsidRDefault="00694C0F">
      <w:pPr>
        <w:pStyle w:val="indexentry0"/>
      </w:pPr>
      <w:hyperlink w:anchor="section_63aedc89c4c940628d5b385b09e2036a">
        <w:r>
          <w:rPr>
            <w:rStyle w:val="Hyperlink"/>
          </w:rPr>
          <w:t>tblBorders (Table Borders)</w:t>
        </w:r>
      </w:hyperlink>
      <w:r>
        <w:t xml:space="preserve"> </w:t>
      </w:r>
      <w:r>
        <w:fldChar w:fldCharType="begin"/>
      </w:r>
      <w:r>
        <w:instrText>PAGEREF section_63aedc89c4c940628d5b385b09e2036a</w:instrText>
      </w:r>
      <w:r>
        <w:fldChar w:fldCharType="separate"/>
      </w:r>
      <w:r>
        <w:rPr>
          <w:noProof/>
        </w:rPr>
        <w:t>86</w:t>
      </w:r>
      <w:r>
        <w:fldChar w:fldCharType="end"/>
      </w:r>
    </w:p>
    <w:p w:rsidR="00024C0A" w:rsidRDefault="00694C0F">
      <w:pPr>
        <w:pStyle w:val="indexentry0"/>
      </w:pPr>
      <w:hyperlink w:anchor="section_f8f75687e6b6442f8b5cd68b3664de5f">
        <w:r>
          <w:rPr>
            <w:rStyle w:val="Hyperlink"/>
          </w:rPr>
          <w:t>tblCellSpacing (Table Cell Spacing Default)</w:t>
        </w:r>
      </w:hyperlink>
      <w:r>
        <w:t xml:space="preserve"> </w:t>
      </w:r>
      <w:r>
        <w:fldChar w:fldCharType="begin"/>
      </w:r>
      <w:r>
        <w:instrText>PAGEREF section_f8f75687e6b6442f8b5cd68b</w:instrText>
      </w:r>
      <w:r>
        <w:instrText>3664de5f</w:instrText>
      </w:r>
      <w:r>
        <w:fldChar w:fldCharType="separate"/>
      </w:r>
      <w:r>
        <w:rPr>
          <w:noProof/>
        </w:rPr>
        <w:t>87</w:t>
      </w:r>
      <w:r>
        <w:fldChar w:fldCharType="end"/>
      </w:r>
    </w:p>
    <w:p w:rsidR="00024C0A" w:rsidRDefault="00694C0F">
      <w:pPr>
        <w:pStyle w:val="indexentry0"/>
      </w:pPr>
      <w:hyperlink w:anchor="section_d0468dfd6e9c46d0bd3675fcb81c36e7">
        <w:r>
          <w:rPr>
            <w:rStyle w:val="Hyperlink"/>
          </w:rPr>
          <w:t>tblCellSpacing (Table Cell Spacing Exception)</w:t>
        </w:r>
      </w:hyperlink>
      <w:r>
        <w:t xml:space="preserve"> </w:t>
      </w:r>
      <w:r>
        <w:fldChar w:fldCharType="begin"/>
      </w:r>
      <w:r>
        <w:instrText>PAGEREF section_d0468dfd6e9c46d0bd3675fcb81c36e7</w:instrText>
      </w:r>
      <w:r>
        <w:fldChar w:fldCharType="separate"/>
      </w:r>
      <w:r>
        <w:rPr>
          <w:noProof/>
        </w:rPr>
        <w:t>86</w:t>
      </w:r>
      <w:r>
        <w:fldChar w:fldCharType="end"/>
      </w:r>
    </w:p>
    <w:p w:rsidR="00024C0A" w:rsidRDefault="00694C0F">
      <w:pPr>
        <w:pStyle w:val="indexentry0"/>
      </w:pPr>
      <w:hyperlink w:anchor="section_6258617e410c4d38898eb9cda572b9fa">
        <w:r>
          <w:rPr>
            <w:rStyle w:val="Hyperlink"/>
          </w:rPr>
          <w:t>tblCellSpacing (Table Row Cell Spacing)</w:t>
        </w:r>
      </w:hyperlink>
      <w:r>
        <w:t xml:space="preserve"> </w:t>
      </w:r>
      <w:r>
        <w:fldChar w:fldCharType="begin"/>
      </w:r>
      <w:r>
        <w:instrText>PAGEREF section_6258617e410c4d38898eb9cda572b9fa</w:instrText>
      </w:r>
      <w:r>
        <w:fldChar w:fldCharType="separate"/>
      </w:r>
      <w:r>
        <w:rPr>
          <w:noProof/>
        </w:rPr>
        <w:t>86</w:t>
      </w:r>
      <w:r>
        <w:fldChar w:fldCharType="end"/>
      </w:r>
    </w:p>
    <w:p w:rsidR="00024C0A" w:rsidRDefault="00694C0F">
      <w:pPr>
        <w:pStyle w:val="indexentry0"/>
      </w:pPr>
      <w:hyperlink w:anchor="section_460020a0e12d47ab834a20f6779387b5">
        <w:r>
          <w:rPr>
            <w:rStyle w:val="Hyperlink"/>
          </w:rPr>
          <w:t>tblGrid (Table Grid)</w:t>
        </w:r>
      </w:hyperlink>
      <w:r>
        <w:t xml:space="preserve"> </w:t>
      </w:r>
      <w:r>
        <w:fldChar w:fldCharType="begin"/>
      </w:r>
      <w:r>
        <w:instrText>PAGEREF section_460020a0e12d47ab834a20f6779387b5</w:instrText>
      </w:r>
      <w:r>
        <w:fldChar w:fldCharType="separate"/>
      </w:r>
      <w:r>
        <w:rPr>
          <w:noProof/>
        </w:rPr>
        <w:t>540</w:t>
      </w:r>
      <w:r>
        <w:fldChar w:fldCharType="end"/>
      </w:r>
    </w:p>
    <w:p w:rsidR="00024C0A" w:rsidRDefault="00694C0F">
      <w:pPr>
        <w:pStyle w:val="indexentry0"/>
      </w:pPr>
      <w:hyperlink w:anchor="section_1e829ce750c1488184750119e5e0d5bc">
        <w:r>
          <w:rPr>
            <w:rStyle w:val="Hyperlink"/>
          </w:rPr>
          <w:t>tblGridChange (Revision Information for Table Grid Column Definitions)</w:t>
        </w:r>
      </w:hyperlink>
      <w:r>
        <w:t xml:space="preserve"> </w:t>
      </w:r>
      <w:r>
        <w:fldChar w:fldCharType="begin"/>
      </w:r>
      <w:r>
        <w:instrText>PAGEREF section_1e829ce750c1488184750119e5e0d5bc</w:instrText>
      </w:r>
      <w:r>
        <w:fldChar w:fldCharType="separate"/>
      </w:r>
      <w:r>
        <w:rPr>
          <w:noProof/>
        </w:rPr>
        <w:t>139</w:t>
      </w:r>
      <w:r>
        <w:fldChar w:fldCharType="end"/>
      </w:r>
    </w:p>
    <w:p w:rsidR="00024C0A" w:rsidRDefault="00694C0F">
      <w:pPr>
        <w:pStyle w:val="indexentry0"/>
      </w:pPr>
      <w:hyperlink w:anchor="section_eec0c73c18c2417699e614501f3a4ad7">
        <w:r>
          <w:rPr>
            <w:rStyle w:val="Hyperlink"/>
          </w:rPr>
          <w:t>tblInd (T</w:t>
        </w:r>
        <w:r>
          <w:rPr>
            <w:rStyle w:val="Hyperlink"/>
          </w:rPr>
          <w:t>able Indent from Leading Margin Exception)</w:t>
        </w:r>
      </w:hyperlink>
      <w:r>
        <w:t xml:space="preserve"> </w:t>
      </w:r>
      <w:r>
        <w:fldChar w:fldCharType="begin"/>
      </w:r>
      <w:r>
        <w:instrText>PAGEREF section_eec0c73c18c2417699e614501f3a4ad7</w:instrText>
      </w:r>
      <w:r>
        <w:fldChar w:fldCharType="separate"/>
      </w:r>
      <w:r>
        <w:rPr>
          <w:noProof/>
        </w:rPr>
        <w:t>87</w:t>
      </w:r>
      <w:r>
        <w:fldChar w:fldCharType="end"/>
      </w:r>
    </w:p>
    <w:p w:rsidR="00024C0A" w:rsidRDefault="00694C0F">
      <w:pPr>
        <w:pStyle w:val="indexentry0"/>
      </w:pPr>
      <w:hyperlink w:anchor="section_cd88a1fb76c6477dad02f4d5f74e4a06">
        <w:r>
          <w:rPr>
            <w:rStyle w:val="Hyperlink"/>
          </w:rPr>
          <w:t>tblInd (Table Indent from Leading Margin)</w:t>
        </w:r>
      </w:hyperlink>
      <w:r>
        <w:t xml:space="preserve"> </w:t>
      </w:r>
      <w:r>
        <w:fldChar w:fldCharType="begin"/>
      </w:r>
      <w:r>
        <w:instrText>PAGEREF section_cd88a1fb76c6477dad02f4d5f74e4a06</w:instrText>
      </w:r>
      <w:r>
        <w:fldChar w:fldCharType="separate"/>
      </w:r>
      <w:r>
        <w:rPr>
          <w:noProof/>
        </w:rPr>
        <w:t>87</w:t>
      </w:r>
      <w:r>
        <w:fldChar w:fldCharType="end"/>
      </w:r>
    </w:p>
    <w:p w:rsidR="00024C0A" w:rsidRDefault="00694C0F">
      <w:pPr>
        <w:pStyle w:val="indexentry0"/>
      </w:pPr>
      <w:hyperlink w:anchor="section_b27e9e3afa724ac099292b5971588b2b">
        <w:r>
          <w:rPr>
            <w:rStyle w:val="Hyperlink"/>
          </w:rPr>
          <w:t>tblLayout (Table Layout Exception)</w:t>
        </w:r>
      </w:hyperlink>
      <w:r>
        <w:t xml:space="preserve"> </w:t>
      </w:r>
      <w:r>
        <w:fldChar w:fldCharType="begin"/>
      </w:r>
      <w:r>
        <w:instrText>PAGEREF section_b27e9e3afa724ac099292b5971588b2b</w:instrText>
      </w:r>
      <w:r>
        <w:fldChar w:fldCharType="separate"/>
      </w:r>
      <w:r>
        <w:rPr>
          <w:noProof/>
        </w:rPr>
        <w:t>87</w:t>
      </w:r>
      <w:r>
        <w:fldChar w:fldCharType="end"/>
      </w:r>
    </w:p>
    <w:p w:rsidR="00024C0A" w:rsidRDefault="00694C0F">
      <w:pPr>
        <w:pStyle w:val="indexentry0"/>
      </w:pPr>
      <w:hyperlink w:anchor="section_ae22d06082974b719f701fdf3625132a">
        <w:r>
          <w:rPr>
            <w:rStyle w:val="Hyperlink"/>
          </w:rPr>
          <w:t>tblLayout (Table Layout)</w:t>
        </w:r>
      </w:hyperlink>
      <w:r>
        <w:t xml:space="preserve"> </w:t>
      </w:r>
      <w:r>
        <w:fldChar w:fldCharType="begin"/>
      </w:r>
      <w:r>
        <w:instrText>PAGEREF section_ae22</w:instrText>
      </w:r>
      <w:r>
        <w:instrText>d06082974b719f701fdf3625132a</w:instrText>
      </w:r>
      <w:r>
        <w:fldChar w:fldCharType="separate"/>
      </w:r>
      <w:r>
        <w:rPr>
          <w:noProof/>
        </w:rPr>
        <w:t>87</w:t>
      </w:r>
      <w:r>
        <w:fldChar w:fldCharType="end"/>
      </w:r>
    </w:p>
    <w:p w:rsidR="00024C0A" w:rsidRDefault="00694C0F">
      <w:pPr>
        <w:pStyle w:val="indexentry0"/>
      </w:pPr>
      <w:hyperlink w:anchor="section_814bc31910274d3c9cc52276e470e4a2">
        <w:r>
          <w:rPr>
            <w:rStyle w:val="Hyperlink"/>
          </w:rPr>
          <w:t>tblLook (Table Style Conditional Formatting Settings Exception)</w:t>
        </w:r>
      </w:hyperlink>
      <w:r>
        <w:t xml:space="preserve"> </w:t>
      </w:r>
      <w:r>
        <w:fldChar w:fldCharType="begin"/>
      </w:r>
      <w:r>
        <w:instrText>PAGEREF section_814bc31910274d3c9cc52276e470e4a2</w:instrText>
      </w:r>
      <w:r>
        <w:fldChar w:fldCharType="separate"/>
      </w:r>
      <w:r>
        <w:rPr>
          <w:noProof/>
        </w:rPr>
        <w:t>87</w:t>
      </w:r>
      <w:r>
        <w:fldChar w:fldCharType="end"/>
      </w:r>
    </w:p>
    <w:p w:rsidR="00024C0A" w:rsidRDefault="00694C0F">
      <w:pPr>
        <w:pStyle w:val="indexentry0"/>
      </w:pPr>
      <w:hyperlink w:anchor="section_90f075ceb16d422ab1b039c9777a594e">
        <w:r>
          <w:rPr>
            <w:rStyle w:val="Hyperlink"/>
          </w:rPr>
          <w:t>tblLook (Table Style Conditional Formatting Settings)</w:t>
        </w:r>
      </w:hyperlink>
      <w:r>
        <w:t xml:space="preserve"> </w:t>
      </w:r>
      <w:r>
        <w:fldChar w:fldCharType="begin"/>
      </w:r>
      <w:r>
        <w:instrText>PAGEREF section_90f075ceb16d422ab1b039c9777a594e</w:instrText>
      </w:r>
      <w:r>
        <w:fldChar w:fldCharType="separate"/>
      </w:r>
      <w:r>
        <w:rPr>
          <w:noProof/>
        </w:rPr>
        <w:t>88</w:t>
      </w:r>
      <w:r>
        <w:fldChar w:fldCharType="end"/>
      </w:r>
    </w:p>
    <w:p w:rsidR="00024C0A" w:rsidRDefault="00694C0F">
      <w:pPr>
        <w:pStyle w:val="indexentry0"/>
      </w:pPr>
      <w:hyperlink w:anchor="section_56c0b0dedcc146fda1e1ea2310dc7741">
        <w:r>
          <w:rPr>
            <w:rStyle w:val="Hyperlink"/>
          </w:rPr>
          <w:t>tblOverlap (Floating Table Allows Other Tables to Overlap)</w:t>
        </w:r>
      </w:hyperlink>
      <w:r>
        <w:t xml:space="preserve"> </w:t>
      </w:r>
      <w:r>
        <w:fldChar w:fldCharType="begin"/>
      </w:r>
      <w:r>
        <w:instrText>PAGEREF se</w:instrText>
      </w:r>
      <w:r>
        <w:instrText>ction_56c0b0dedcc146fda1e1ea2310dc7741</w:instrText>
      </w:r>
      <w:r>
        <w:fldChar w:fldCharType="separate"/>
      </w:r>
      <w:r>
        <w:rPr>
          <w:noProof/>
        </w:rPr>
        <w:t>88</w:t>
      </w:r>
      <w:r>
        <w:fldChar w:fldCharType="end"/>
      </w:r>
    </w:p>
    <w:p w:rsidR="00024C0A" w:rsidRDefault="00694C0F">
      <w:pPr>
        <w:pStyle w:val="indexentry0"/>
      </w:pPr>
      <w:hyperlink w:anchor="section_4175e818958f4b4fb6f717003f1721b5">
        <w:r>
          <w:rPr>
            <w:rStyle w:val="Hyperlink"/>
          </w:rPr>
          <w:t>tblpPr (Floating Table Positioning)</w:t>
        </w:r>
      </w:hyperlink>
      <w:r>
        <w:t xml:space="preserve"> </w:t>
      </w:r>
      <w:r>
        <w:fldChar w:fldCharType="begin"/>
      </w:r>
      <w:r>
        <w:instrText>PAGEREF section_4175e818958f4b4fb6f717003f1721b5</w:instrText>
      </w:r>
      <w:r>
        <w:fldChar w:fldCharType="separate"/>
      </w:r>
      <w:r>
        <w:rPr>
          <w:noProof/>
        </w:rPr>
        <w:t>88</w:t>
      </w:r>
      <w:r>
        <w:fldChar w:fldCharType="end"/>
      </w:r>
    </w:p>
    <w:p w:rsidR="00024C0A" w:rsidRDefault="00694C0F">
      <w:pPr>
        <w:pStyle w:val="indexentry0"/>
      </w:pPr>
      <w:hyperlink w:anchor="section_b838cab3eb77495a9cb98c6e693f0ac1">
        <w:r>
          <w:rPr>
            <w:rStyle w:val="Hyperlink"/>
          </w:rPr>
          <w:t>tb</w:t>
        </w:r>
        <w:r>
          <w:rPr>
            <w:rStyle w:val="Hyperlink"/>
          </w:rPr>
          <w:t>lPr (Previous Table Properties)</w:t>
        </w:r>
      </w:hyperlink>
      <w:r>
        <w:t xml:space="preserve"> </w:t>
      </w:r>
      <w:r>
        <w:fldChar w:fldCharType="begin"/>
      </w:r>
      <w:r>
        <w:instrText>PAGEREF section_b838cab3eb77495a9cb98c6e693f0ac1</w:instrText>
      </w:r>
      <w:r>
        <w:fldChar w:fldCharType="separate"/>
      </w:r>
      <w:r>
        <w:rPr>
          <w:noProof/>
        </w:rPr>
        <w:t>89</w:t>
      </w:r>
      <w:r>
        <w:fldChar w:fldCharType="end"/>
      </w:r>
    </w:p>
    <w:p w:rsidR="00024C0A" w:rsidRDefault="00694C0F">
      <w:pPr>
        <w:pStyle w:val="indexentry0"/>
      </w:pPr>
      <w:hyperlink w:anchor="section_9110e397e8e24e23af712fa84eab74f5">
        <w:r>
          <w:rPr>
            <w:rStyle w:val="Hyperlink"/>
          </w:rPr>
          <w:t>tblPr (Style Table Properties)</w:t>
        </w:r>
      </w:hyperlink>
      <w:r>
        <w:t xml:space="preserve"> </w:t>
      </w:r>
      <w:r>
        <w:fldChar w:fldCharType="begin"/>
      </w:r>
      <w:r>
        <w:instrText>PAGEREF section_9110e397e8e24e23af712fa84eab74f5</w:instrText>
      </w:r>
      <w:r>
        <w:fldChar w:fldCharType="separate"/>
      </w:r>
      <w:r>
        <w:rPr>
          <w:noProof/>
        </w:rPr>
        <w:t>117</w:t>
      </w:r>
      <w:r>
        <w:fldChar w:fldCharType="end"/>
      </w:r>
    </w:p>
    <w:p w:rsidR="00024C0A" w:rsidRDefault="00694C0F">
      <w:pPr>
        <w:pStyle w:val="indexentry0"/>
      </w:pPr>
      <w:hyperlink w:anchor="section_2020ce86cc3945b28bec82dc97435c44">
        <w:r>
          <w:rPr>
            <w:rStyle w:val="Hyperlink"/>
          </w:rPr>
          <w:t>tblPr (Table Properties)</w:t>
        </w:r>
      </w:hyperlink>
      <w:r>
        <w:t xml:space="preserve"> </w:t>
      </w:r>
      <w:r>
        <w:fldChar w:fldCharType="begin"/>
      </w:r>
      <w:r>
        <w:instrText>PAGEREF section_2020ce86cc3945b28bec82dc97435c44</w:instrText>
      </w:r>
      <w:r>
        <w:fldChar w:fldCharType="separate"/>
      </w:r>
      <w:r>
        <w:rPr>
          <w:noProof/>
        </w:rPr>
        <w:t>89</w:t>
      </w:r>
      <w:r>
        <w:fldChar w:fldCharType="end"/>
      </w:r>
    </w:p>
    <w:p w:rsidR="00024C0A" w:rsidRDefault="00694C0F">
      <w:pPr>
        <w:pStyle w:val="indexentry0"/>
      </w:pPr>
      <w:hyperlink w:anchor="section_8ab3579cde9a4cdc931d261772a2365e">
        <w:r>
          <w:rPr>
            <w:rStyle w:val="Hyperlink"/>
          </w:rPr>
          <w:t>tblPr (Table Style Conditional Formatting Table Propert</w:t>
        </w:r>
        <w:r>
          <w:rPr>
            <w:rStyle w:val="Hyperlink"/>
          </w:rPr>
          <w:t>ies)</w:t>
        </w:r>
      </w:hyperlink>
      <w:r>
        <w:t xml:space="preserve"> </w:t>
      </w:r>
      <w:r>
        <w:fldChar w:fldCharType="begin"/>
      </w:r>
      <w:r>
        <w:instrText>PAGEREF section_8ab3579cde9a4cdc931d261772a2365e</w:instrText>
      </w:r>
      <w:r>
        <w:fldChar w:fldCharType="separate"/>
      </w:r>
      <w:r>
        <w:rPr>
          <w:noProof/>
        </w:rPr>
        <w:t>117</w:t>
      </w:r>
      <w:r>
        <w:fldChar w:fldCharType="end"/>
      </w:r>
    </w:p>
    <w:p w:rsidR="00024C0A" w:rsidRDefault="00694C0F">
      <w:pPr>
        <w:pStyle w:val="indexentry0"/>
      </w:pPr>
      <w:hyperlink w:anchor="section_0f826fe09212450781a1cc695561c0bc">
        <w:r>
          <w:rPr>
            <w:rStyle w:val="Hyperlink"/>
          </w:rPr>
          <w:t>tblPrChange (Revision Information for Table Properties)</w:t>
        </w:r>
      </w:hyperlink>
      <w:r>
        <w:t xml:space="preserve"> </w:t>
      </w:r>
      <w:r>
        <w:fldChar w:fldCharType="begin"/>
      </w:r>
      <w:r>
        <w:instrText>PAGEREF section_0f826fe09212450781a1cc695561c0bc</w:instrText>
      </w:r>
      <w:r>
        <w:fldChar w:fldCharType="separate"/>
      </w:r>
      <w:r>
        <w:rPr>
          <w:noProof/>
        </w:rPr>
        <w:t>139</w:t>
      </w:r>
      <w:r>
        <w:fldChar w:fldCharType="end"/>
      </w:r>
    </w:p>
    <w:p w:rsidR="00024C0A" w:rsidRDefault="00694C0F">
      <w:pPr>
        <w:pStyle w:val="indexentry0"/>
      </w:pPr>
      <w:hyperlink w:anchor="section_9f2644cb18224b9992b7b781740e0f88">
        <w:r>
          <w:rPr>
            <w:rStyle w:val="Hyperlink"/>
          </w:rPr>
          <w:t>tblPrExChange (Revision Information for Table-Level Property Exceptions)</w:t>
        </w:r>
      </w:hyperlink>
      <w:r>
        <w:t xml:space="preserve"> </w:t>
      </w:r>
      <w:r>
        <w:fldChar w:fldCharType="begin"/>
      </w:r>
      <w:r>
        <w:instrText>PAGEREF section_9f2644cb18224b9992b7b781740e0f88</w:instrText>
      </w:r>
      <w:r>
        <w:fldChar w:fldCharType="separate"/>
      </w:r>
      <w:r>
        <w:rPr>
          <w:noProof/>
        </w:rPr>
        <w:t>139</w:t>
      </w:r>
      <w:r>
        <w:fldChar w:fldCharType="end"/>
      </w:r>
    </w:p>
    <w:p w:rsidR="00024C0A" w:rsidRDefault="00694C0F">
      <w:pPr>
        <w:pStyle w:val="indexentry0"/>
      </w:pPr>
      <w:hyperlink w:anchor="section_35aa3feae5804ca695bdcb921384f005">
        <w:r>
          <w:rPr>
            <w:rStyle w:val="Hyperlink"/>
          </w:rPr>
          <w:t>tblStyle (Referenced Table Style)</w:t>
        </w:r>
      </w:hyperlink>
      <w:r>
        <w:t xml:space="preserve"> </w:t>
      </w:r>
      <w:r>
        <w:fldChar w:fldCharType="begin"/>
      </w:r>
      <w:r>
        <w:instrText>PAGEREF section_35aa3feae5804ca695bdcb921384f005</w:instrText>
      </w:r>
      <w:r>
        <w:fldChar w:fldCharType="separate"/>
      </w:r>
      <w:r>
        <w:rPr>
          <w:noProof/>
        </w:rPr>
        <w:t>89</w:t>
      </w:r>
      <w:r>
        <w:fldChar w:fldCharType="end"/>
      </w:r>
    </w:p>
    <w:p w:rsidR="00024C0A" w:rsidRDefault="00694C0F">
      <w:pPr>
        <w:pStyle w:val="indexentry0"/>
      </w:pPr>
      <w:hyperlink w:anchor="section_90de40855fbf47a7bc37d59509481d0a">
        <w:r>
          <w:rPr>
            <w:rStyle w:val="Hyperlink"/>
          </w:rPr>
          <w:t>tblStyle (Table Style)</w:t>
        </w:r>
      </w:hyperlink>
      <w:r>
        <w:t xml:space="preserve"> </w:t>
      </w:r>
      <w:r>
        <w:fldChar w:fldCharType="begin"/>
      </w:r>
      <w:r>
        <w:instrText>PAGEREF section_90de40855fbf47a7bc37d59509481d0a</w:instrText>
      </w:r>
      <w:r>
        <w:fldChar w:fldCharType="separate"/>
      </w:r>
      <w:r>
        <w:rPr>
          <w:noProof/>
        </w:rPr>
        <w:t>505</w:t>
      </w:r>
      <w:r>
        <w:fldChar w:fldCharType="end"/>
      </w:r>
    </w:p>
    <w:p w:rsidR="00024C0A" w:rsidRDefault="00694C0F">
      <w:pPr>
        <w:pStyle w:val="indexentry0"/>
      </w:pPr>
      <w:hyperlink w:anchor="section_6998fa345ceb40a7b3b5ac4591c2f09e">
        <w:r>
          <w:rPr>
            <w:rStyle w:val="Hyperlink"/>
          </w:rPr>
          <w:t>tb</w:t>
        </w:r>
        <w:r>
          <w:rPr>
            <w:rStyle w:val="Hyperlink"/>
          </w:rPr>
          <w:t>lStyleColBandSize (Number of Columns in Column Band)</w:t>
        </w:r>
      </w:hyperlink>
      <w:r>
        <w:t xml:space="preserve"> </w:t>
      </w:r>
      <w:r>
        <w:fldChar w:fldCharType="begin"/>
      </w:r>
      <w:r>
        <w:instrText>PAGEREF section_6998fa345ceb40a7b3b5ac4591c2f09e</w:instrText>
      </w:r>
      <w:r>
        <w:fldChar w:fldCharType="separate"/>
      </w:r>
      <w:r>
        <w:rPr>
          <w:noProof/>
        </w:rPr>
        <w:t>118</w:t>
      </w:r>
      <w:r>
        <w:fldChar w:fldCharType="end"/>
      </w:r>
    </w:p>
    <w:p w:rsidR="00024C0A" w:rsidRDefault="00694C0F">
      <w:pPr>
        <w:pStyle w:val="indexentry0"/>
      </w:pPr>
      <w:hyperlink w:anchor="section_2ac331d4cf1e4fa08bca6da74411e284">
        <w:r>
          <w:rPr>
            <w:rStyle w:val="Hyperlink"/>
          </w:rPr>
          <w:t>tblStylePr (Style Conditional Table Formatting Properties)</w:t>
        </w:r>
      </w:hyperlink>
      <w:r>
        <w:t xml:space="preserve"> </w:t>
      </w:r>
      <w:r>
        <w:fldChar w:fldCharType="begin"/>
      </w:r>
      <w:r>
        <w:instrText>PAGEREF section_2ac331d4cf1</w:instrText>
      </w:r>
      <w:r>
        <w:instrText>e4fa08bca6da74411e284</w:instrText>
      </w:r>
      <w:r>
        <w:fldChar w:fldCharType="separate"/>
      </w:r>
      <w:r>
        <w:rPr>
          <w:noProof/>
        </w:rPr>
        <w:t>118</w:t>
      </w:r>
      <w:r>
        <w:fldChar w:fldCharType="end"/>
      </w:r>
    </w:p>
    <w:p w:rsidR="00024C0A" w:rsidRDefault="00694C0F">
      <w:pPr>
        <w:pStyle w:val="indexentry0"/>
      </w:pPr>
      <w:hyperlink w:anchor="section_77519f5b08b345479f5d0c4d87854220">
        <w:r>
          <w:rPr>
            <w:rStyle w:val="Hyperlink"/>
          </w:rPr>
          <w:t>tblStyleRowBandSize (Number of Rows in Row Band)</w:t>
        </w:r>
      </w:hyperlink>
      <w:r>
        <w:t xml:space="preserve"> </w:t>
      </w:r>
      <w:r>
        <w:fldChar w:fldCharType="begin"/>
      </w:r>
      <w:r>
        <w:instrText>PAGEREF section_77519f5b08b345479f5d0c4d87854220</w:instrText>
      </w:r>
      <w:r>
        <w:fldChar w:fldCharType="separate"/>
      </w:r>
      <w:r>
        <w:rPr>
          <w:noProof/>
        </w:rPr>
        <w:t>118</w:t>
      </w:r>
      <w:r>
        <w:fldChar w:fldCharType="end"/>
      </w:r>
    </w:p>
    <w:p w:rsidR="00024C0A" w:rsidRDefault="00694C0F">
      <w:pPr>
        <w:pStyle w:val="indexentry0"/>
      </w:pPr>
      <w:hyperlink w:anchor="section_9b01c51ffe5d472cba38bc12ce971ad2">
        <w:r>
          <w:rPr>
            <w:rStyle w:val="Hyperlink"/>
          </w:rPr>
          <w:t>tblW (Preferred Table Width Exception)</w:t>
        </w:r>
      </w:hyperlink>
      <w:r>
        <w:t xml:space="preserve"> </w:t>
      </w:r>
      <w:r>
        <w:fldChar w:fldCharType="begin"/>
      </w:r>
      <w:r>
        <w:instrText>PAGEREF section_9b01c51ffe5d472cba38bc12ce971ad2</w:instrText>
      </w:r>
      <w:r>
        <w:fldChar w:fldCharType="separate"/>
      </w:r>
      <w:r>
        <w:rPr>
          <w:noProof/>
        </w:rPr>
        <w:t>89</w:t>
      </w:r>
      <w:r>
        <w:fldChar w:fldCharType="end"/>
      </w:r>
    </w:p>
    <w:p w:rsidR="00024C0A" w:rsidRDefault="00694C0F">
      <w:pPr>
        <w:pStyle w:val="indexentry0"/>
      </w:pPr>
      <w:hyperlink w:anchor="section_5d923fcc83b6489e8761c0a8b7fa7c47">
        <w:r>
          <w:rPr>
            <w:rStyle w:val="Hyperlink"/>
          </w:rPr>
          <w:t>tblW (Preferred Table Width)</w:t>
        </w:r>
      </w:hyperlink>
      <w:r>
        <w:t xml:space="preserve"> </w:t>
      </w:r>
      <w:r>
        <w:fldChar w:fldCharType="begin"/>
      </w:r>
      <w:r>
        <w:instrText>PAGEREF section_5d923fcc83b6489e8761c0a8b7fa7c47</w:instrText>
      </w:r>
      <w:r>
        <w:fldChar w:fldCharType="separate"/>
      </w:r>
      <w:r>
        <w:rPr>
          <w:noProof/>
        </w:rPr>
        <w:t>89</w:t>
      </w:r>
      <w:r>
        <w:fldChar w:fldCharType="end"/>
      </w:r>
    </w:p>
    <w:p w:rsidR="00024C0A" w:rsidRDefault="00694C0F">
      <w:pPr>
        <w:pStyle w:val="indexentry0"/>
      </w:pPr>
      <w:r>
        <w:t>tc (Table Cell) (</w:t>
      </w:r>
      <w:hyperlink w:anchor="section_51518f1baa8746adaf91607351eba2db">
        <w:r>
          <w:rPr>
            <w:rStyle w:val="Hyperlink"/>
          </w:rPr>
          <w:t>section 2.1.168</w:t>
        </w:r>
      </w:hyperlink>
      <w:r>
        <w:t xml:space="preserve"> </w:t>
      </w:r>
      <w:r>
        <w:fldChar w:fldCharType="begin"/>
      </w:r>
      <w:r>
        <w:instrText>PAGEREF section_51518f1baa8746adaf91607351eba2db</w:instrText>
      </w:r>
      <w:r>
        <w:fldChar w:fldCharType="separate"/>
      </w:r>
      <w:r>
        <w:rPr>
          <w:noProof/>
        </w:rPr>
        <w:t>90</w:t>
      </w:r>
      <w:r>
        <w:fldChar w:fldCharType="end"/>
      </w:r>
      <w:r>
        <w:t xml:space="preserve">, </w:t>
      </w:r>
      <w:hyperlink w:anchor="section_f9366bfc1f6c4e97a2f540f83aebb61c">
        <w:r>
          <w:rPr>
            <w:rStyle w:val="Hyperlink"/>
          </w:rPr>
          <w:t>section 2.1.1420</w:t>
        </w:r>
      </w:hyperlink>
      <w:r>
        <w:t xml:space="preserve"> </w:t>
      </w:r>
      <w:r>
        <w:fldChar w:fldCharType="begin"/>
      </w:r>
      <w:r>
        <w:instrText>PAGEREF section_f9366bfc1f6c4e97a2f540f83aebb6</w:instrText>
      </w:r>
      <w:r>
        <w:instrText>1c</w:instrText>
      </w:r>
      <w:r>
        <w:fldChar w:fldCharType="separate"/>
      </w:r>
      <w:r>
        <w:rPr>
          <w:noProof/>
        </w:rPr>
        <w:t>540</w:t>
      </w:r>
      <w:r>
        <w:fldChar w:fldCharType="end"/>
      </w:r>
      <w:r>
        <w:t>)</w:t>
      </w:r>
    </w:p>
    <w:p w:rsidR="00024C0A" w:rsidRDefault="00694C0F">
      <w:pPr>
        <w:pStyle w:val="indexentry0"/>
      </w:pPr>
      <w:hyperlink w:anchor="section_7c791c5d44c34fe8abdd8f136761bb93">
        <w:r>
          <w:rPr>
            <w:rStyle w:val="Hyperlink"/>
          </w:rPr>
          <w:t>tcBorders (Table Cell Borders)</w:t>
        </w:r>
      </w:hyperlink>
      <w:r>
        <w:t xml:space="preserve"> </w:t>
      </w:r>
      <w:r>
        <w:fldChar w:fldCharType="begin"/>
      </w:r>
      <w:r>
        <w:instrText>PAGEREF section_7c791c5d44c34fe8abdd8f136761bb93</w:instrText>
      </w:r>
      <w:r>
        <w:fldChar w:fldCharType="separate"/>
      </w:r>
      <w:r>
        <w:rPr>
          <w:noProof/>
        </w:rPr>
        <w:t>90</w:t>
      </w:r>
      <w:r>
        <w:fldChar w:fldCharType="end"/>
      </w:r>
    </w:p>
    <w:p w:rsidR="00024C0A" w:rsidRDefault="00694C0F">
      <w:pPr>
        <w:pStyle w:val="indexentry0"/>
      </w:pPr>
      <w:hyperlink w:anchor="section_1839bb55e06a4fd1b1813d89018a0151">
        <w:r>
          <w:rPr>
            <w:rStyle w:val="Hyperlink"/>
          </w:rPr>
          <w:t>tcFitText (Fit Text Within Cell)</w:t>
        </w:r>
      </w:hyperlink>
      <w:r>
        <w:t xml:space="preserve"> </w:t>
      </w:r>
      <w:r>
        <w:fldChar w:fldCharType="begin"/>
      </w:r>
      <w:r>
        <w:instrText>PAGEREF</w:instrText>
      </w:r>
      <w:r>
        <w:instrText xml:space="preserve"> section_1839bb55e06a4fd1b1813d89018a0151</w:instrText>
      </w:r>
      <w:r>
        <w:fldChar w:fldCharType="separate"/>
      </w:r>
      <w:r>
        <w:rPr>
          <w:noProof/>
        </w:rPr>
        <w:t>92</w:t>
      </w:r>
      <w:r>
        <w:fldChar w:fldCharType="end"/>
      </w:r>
    </w:p>
    <w:p w:rsidR="00024C0A" w:rsidRDefault="00694C0F">
      <w:pPr>
        <w:pStyle w:val="indexentry0"/>
      </w:pPr>
      <w:hyperlink w:anchor="section_611795947ec745d68a2df9ece7863986">
        <w:r>
          <w:rPr>
            <w:rStyle w:val="Hyperlink"/>
          </w:rPr>
          <w:t>tcg (Keyboard and Toolbar Customizations)</w:t>
        </w:r>
      </w:hyperlink>
      <w:r>
        <w:t xml:space="preserve"> </w:t>
      </w:r>
      <w:r>
        <w:fldChar w:fldCharType="begin"/>
      </w:r>
      <w:r>
        <w:instrText>PAGEREF section_611795947ec745d68a2df9ece7863986</w:instrText>
      </w:r>
      <w:r>
        <w:fldChar w:fldCharType="separate"/>
      </w:r>
      <w:r>
        <w:rPr>
          <w:noProof/>
        </w:rPr>
        <w:t>698</w:t>
      </w:r>
      <w:r>
        <w:fldChar w:fldCharType="end"/>
      </w:r>
    </w:p>
    <w:p w:rsidR="00024C0A" w:rsidRDefault="00694C0F">
      <w:pPr>
        <w:pStyle w:val="indexentry0"/>
      </w:pPr>
      <w:hyperlink w:anchor="section_9e742550b4384b9d96064ae34d83830f">
        <w:r>
          <w:rPr>
            <w:rStyle w:val="Hyperlink"/>
          </w:rPr>
          <w:t>tcPr (Style Table Cell Properties)</w:t>
        </w:r>
      </w:hyperlink>
      <w:r>
        <w:t xml:space="preserve"> </w:t>
      </w:r>
      <w:r>
        <w:fldChar w:fldCharType="begin"/>
      </w:r>
      <w:r>
        <w:instrText>PAGEREF section_9e742550b4384b9d96064ae34d83830f</w:instrText>
      </w:r>
      <w:r>
        <w:fldChar w:fldCharType="separate"/>
      </w:r>
      <w:r>
        <w:rPr>
          <w:noProof/>
        </w:rPr>
        <w:t>119</w:t>
      </w:r>
      <w:r>
        <w:fldChar w:fldCharType="end"/>
      </w:r>
    </w:p>
    <w:p w:rsidR="00024C0A" w:rsidRDefault="00694C0F">
      <w:pPr>
        <w:pStyle w:val="indexentry0"/>
      </w:pPr>
      <w:hyperlink w:anchor="section_348cf5dd492c4e2b9fe3c4996f8c52e5">
        <w:r>
          <w:rPr>
            <w:rStyle w:val="Hyperlink"/>
          </w:rPr>
          <w:t>tcPr (Table Style Conditional Formatting Tabl</w:t>
        </w:r>
        <w:r>
          <w:rPr>
            <w:rStyle w:val="Hyperlink"/>
          </w:rPr>
          <w:t>e Cell Properties)</w:t>
        </w:r>
      </w:hyperlink>
      <w:r>
        <w:t xml:space="preserve"> </w:t>
      </w:r>
      <w:r>
        <w:fldChar w:fldCharType="begin"/>
      </w:r>
      <w:r>
        <w:instrText>PAGEREF section_348cf5dd492c4e2b9fe3c4996f8c52e5</w:instrText>
      </w:r>
      <w:r>
        <w:fldChar w:fldCharType="separate"/>
      </w:r>
      <w:r>
        <w:rPr>
          <w:noProof/>
        </w:rPr>
        <w:t>119</w:t>
      </w:r>
      <w:r>
        <w:fldChar w:fldCharType="end"/>
      </w:r>
    </w:p>
    <w:p w:rsidR="00024C0A" w:rsidRDefault="00694C0F">
      <w:pPr>
        <w:pStyle w:val="indexentry0"/>
      </w:pPr>
      <w:hyperlink w:anchor="section_784866f51c0947c48ea8696c1f0b2ac2">
        <w:r>
          <w:rPr>
            <w:rStyle w:val="Hyperlink"/>
          </w:rPr>
          <w:t>tcPrChange (Revision Information for Table Cell Properties)</w:t>
        </w:r>
      </w:hyperlink>
      <w:r>
        <w:t xml:space="preserve"> </w:t>
      </w:r>
      <w:r>
        <w:fldChar w:fldCharType="begin"/>
      </w:r>
      <w:r>
        <w:instrText>PAGEREF section_784866f51c0947c48ea8696c1f0b2ac2</w:instrText>
      </w:r>
      <w:r>
        <w:fldChar w:fldCharType="separate"/>
      </w:r>
      <w:r>
        <w:rPr>
          <w:noProof/>
        </w:rPr>
        <w:t>139</w:t>
      </w:r>
      <w:r>
        <w:fldChar w:fldCharType="end"/>
      </w:r>
    </w:p>
    <w:p w:rsidR="00024C0A" w:rsidRDefault="00694C0F">
      <w:pPr>
        <w:pStyle w:val="indexentry0"/>
      </w:pPr>
      <w:hyperlink w:anchor="section_57cf0f4610394fd089650ea4f8336fad">
        <w:r>
          <w:rPr>
            <w:rStyle w:val="Hyperlink"/>
          </w:rPr>
          <w:t>tcW (Preferred Table Cell Width)</w:t>
        </w:r>
      </w:hyperlink>
      <w:r>
        <w:t xml:space="preserve"> </w:t>
      </w:r>
      <w:r>
        <w:fldChar w:fldCharType="begin"/>
      </w:r>
      <w:r>
        <w:instrText>PAGEREF section_57cf0f4610394fd089650ea4f8336fad</w:instrText>
      </w:r>
      <w:r>
        <w:fldChar w:fldCharType="separate"/>
      </w:r>
      <w:r>
        <w:rPr>
          <w:noProof/>
        </w:rPr>
        <w:t>93</w:t>
      </w:r>
      <w:r>
        <w:fldChar w:fldCharType="end"/>
      </w:r>
    </w:p>
    <w:p w:rsidR="00024C0A" w:rsidRDefault="00694C0F">
      <w:pPr>
        <w:pStyle w:val="indexentry0"/>
      </w:pPr>
      <w:hyperlink w:anchor="section_1b90d6fc50354192b867ad4e1e0f86e7">
        <w:r>
          <w:rPr>
            <w:rStyle w:val="Hyperlink"/>
          </w:rPr>
          <w:t>TEMPLATE</w:t>
        </w:r>
      </w:hyperlink>
      <w:r>
        <w:t xml:space="preserve"> </w:t>
      </w:r>
      <w:r>
        <w:fldChar w:fldCharType="begin"/>
      </w:r>
      <w:r>
        <w:instrText>PAGEREF section_1b90d6fc50354192b867ad4e1e0f86e7</w:instrText>
      </w:r>
      <w:r>
        <w:fldChar w:fldCharType="separate"/>
      </w:r>
      <w:r>
        <w:rPr>
          <w:noProof/>
        </w:rPr>
        <w:t>223</w:t>
      </w:r>
      <w:r>
        <w:fldChar w:fldCharType="end"/>
      </w:r>
    </w:p>
    <w:p w:rsidR="00024C0A" w:rsidRDefault="00694C0F">
      <w:pPr>
        <w:pStyle w:val="indexentry0"/>
      </w:pPr>
      <w:hyperlink w:anchor="section_3f646bb2ec694ae29201d5b67fc28e70">
        <w:r>
          <w:rPr>
            <w:rStyle w:val="Hyperlink"/>
          </w:rPr>
          <w:t>temporary (Remove Structured Document Tag When Contents Are Edited)</w:t>
        </w:r>
      </w:hyperlink>
      <w:r>
        <w:t xml:space="preserve"> </w:t>
      </w:r>
      <w:r>
        <w:fldChar w:fldCharType="begin"/>
      </w:r>
      <w:r>
        <w:instrText>PAGEREF section_3f646bb2ec694ae29201d5b67fc28e70</w:instrText>
      </w:r>
      <w:r>
        <w:fldChar w:fldCharType="separate"/>
      </w:r>
      <w:r>
        <w:rPr>
          <w:noProof/>
        </w:rPr>
        <w:t>101</w:t>
      </w:r>
      <w:r>
        <w:fldChar w:fldCharType="end"/>
      </w:r>
    </w:p>
    <w:p w:rsidR="00024C0A" w:rsidRDefault="00694C0F">
      <w:pPr>
        <w:pStyle w:val="indexentry0"/>
      </w:pPr>
      <w:hyperlink w:anchor="section_ef31a978e97949ee82693ea9b145bef3">
        <w:r>
          <w:rPr>
            <w:rStyle w:val="Hyperlink"/>
          </w:rPr>
          <w:t>text (Comment Text)</w:t>
        </w:r>
      </w:hyperlink>
      <w:r>
        <w:t xml:space="preserve"> </w:t>
      </w:r>
      <w:r>
        <w:fldChar w:fldCharType="begin"/>
      </w:r>
      <w:r>
        <w:instrText>PAGEREF section_ef31a978e97949ee82693ea9b145bef3</w:instrText>
      </w:r>
      <w:r>
        <w:fldChar w:fldCharType="separate"/>
      </w:r>
      <w:r>
        <w:rPr>
          <w:noProof/>
        </w:rPr>
        <w:t>294</w:t>
      </w:r>
      <w:r>
        <w:fldChar w:fldCharType="end"/>
      </w:r>
    </w:p>
    <w:p w:rsidR="00024C0A" w:rsidRDefault="00694C0F">
      <w:pPr>
        <w:pStyle w:val="indexentry0"/>
      </w:pPr>
      <w:hyperlink w:anchor="section_f88c8cefd1f442bfb2da6aa9f2dd128e">
        <w:r>
          <w:rPr>
            <w:rStyle w:val="Hyperlink"/>
          </w:rPr>
          <w:t>textbox (Text Box)</w:t>
        </w:r>
      </w:hyperlink>
      <w:r>
        <w:t xml:space="preserve"> </w:t>
      </w:r>
      <w:r>
        <w:fldChar w:fldCharType="begin"/>
      </w:r>
      <w:r>
        <w:instrText>PAGEREF section_f88c8cefd1f442bfb2da6aa9f2dd128e</w:instrText>
      </w:r>
      <w:r>
        <w:fldChar w:fldCharType="separate"/>
      </w:r>
      <w:r>
        <w:rPr>
          <w:noProof/>
        </w:rPr>
        <w:t>652</w:t>
      </w:r>
      <w:r>
        <w:fldChar w:fldCharType="end"/>
      </w:r>
    </w:p>
    <w:p w:rsidR="00024C0A" w:rsidRDefault="00694C0F">
      <w:pPr>
        <w:pStyle w:val="indexentry0"/>
      </w:pPr>
      <w:hyperlink w:anchor="section_65c200ca97df41caa4fcf55246052527">
        <w:r>
          <w:rPr>
            <w:rStyle w:val="Hyperlink"/>
          </w:rPr>
          <w:t>textboxTightWrap (Allow Surrounding Paragraphs to Tight Wrap to Text Box Contents)</w:t>
        </w:r>
      </w:hyperlink>
      <w:r>
        <w:t xml:space="preserve"> </w:t>
      </w:r>
      <w:r>
        <w:fldChar w:fldCharType="begin"/>
      </w:r>
      <w:r>
        <w:instrText>PAGEREF section_65c200ca97df41caa4fcf55246052527</w:instrText>
      </w:r>
      <w:r>
        <w:fldChar w:fldCharType="separate"/>
      </w:r>
      <w:r>
        <w:rPr>
          <w:noProof/>
        </w:rPr>
        <w:t>67</w:t>
      </w:r>
      <w:r>
        <w:fldChar w:fldCharType="end"/>
      </w:r>
    </w:p>
    <w:p w:rsidR="00024C0A" w:rsidRDefault="00694C0F">
      <w:pPr>
        <w:pStyle w:val="indexentry0"/>
      </w:pPr>
      <w:hyperlink w:anchor="section_4cf33f25c60445a1bd239d283a508e15">
        <w:r>
          <w:rPr>
            <w:rStyle w:val="Hyperlink"/>
          </w:rPr>
          <w:t>textd</w:t>
        </w:r>
        <w:r>
          <w:rPr>
            <w:rStyle w:val="Hyperlink"/>
          </w:rPr>
          <w:t>ata (VML Diagram Text)</w:t>
        </w:r>
      </w:hyperlink>
      <w:r>
        <w:t xml:space="preserve"> </w:t>
      </w:r>
      <w:r>
        <w:fldChar w:fldCharType="begin"/>
      </w:r>
      <w:r>
        <w:instrText>PAGEREF section_4cf33f25c60445a1bd239d283a508e15</w:instrText>
      </w:r>
      <w:r>
        <w:fldChar w:fldCharType="separate"/>
      </w:r>
      <w:r>
        <w:rPr>
          <w:noProof/>
        </w:rPr>
        <w:t>677</w:t>
      </w:r>
      <w:r>
        <w:fldChar w:fldCharType="end"/>
      </w:r>
    </w:p>
    <w:p w:rsidR="00024C0A" w:rsidRDefault="00694C0F">
      <w:pPr>
        <w:pStyle w:val="indexentry0"/>
      </w:pPr>
      <w:hyperlink w:anchor="section_e80c7fbf1f174786921bfa5be9194ae9">
        <w:r>
          <w:rPr>
            <w:rStyle w:val="Hyperlink"/>
          </w:rPr>
          <w:t>textDirection (Paragraph Text Flow Direction)</w:t>
        </w:r>
      </w:hyperlink>
      <w:r>
        <w:t xml:space="preserve"> </w:t>
      </w:r>
      <w:r>
        <w:fldChar w:fldCharType="begin"/>
      </w:r>
      <w:r>
        <w:instrText>PAGEREF section_e80c7fbf1f174786921bfa5be9194ae9</w:instrText>
      </w:r>
      <w:r>
        <w:fldChar w:fldCharType="separate"/>
      </w:r>
      <w:r>
        <w:rPr>
          <w:noProof/>
        </w:rPr>
        <w:t>67</w:t>
      </w:r>
      <w:r>
        <w:fldChar w:fldCharType="end"/>
      </w:r>
    </w:p>
    <w:p w:rsidR="00024C0A" w:rsidRDefault="00694C0F">
      <w:pPr>
        <w:pStyle w:val="indexentry0"/>
      </w:pPr>
      <w:hyperlink w:anchor="section_d1912b80175449d4a2f610af9470ec26">
        <w:r>
          <w:rPr>
            <w:rStyle w:val="Hyperlink"/>
          </w:rPr>
          <w:t>textDirection (Table Cell Text Flow Direction)</w:t>
        </w:r>
      </w:hyperlink>
      <w:r>
        <w:t xml:space="preserve"> </w:t>
      </w:r>
      <w:r>
        <w:fldChar w:fldCharType="begin"/>
      </w:r>
      <w:r>
        <w:instrText>PAGEREF section_d1912b80175449d4a2f610af9470ec26</w:instrText>
      </w:r>
      <w:r>
        <w:fldChar w:fldCharType="separate"/>
      </w:r>
      <w:r>
        <w:rPr>
          <w:noProof/>
        </w:rPr>
        <w:t>93</w:t>
      </w:r>
      <w:r>
        <w:fldChar w:fldCharType="end"/>
      </w:r>
    </w:p>
    <w:p w:rsidR="00024C0A" w:rsidRDefault="00694C0F">
      <w:pPr>
        <w:pStyle w:val="indexentry0"/>
      </w:pPr>
      <w:hyperlink w:anchor="section_6c31d0d2456342268409009fc4f47a84">
        <w:r>
          <w:rPr>
            <w:rStyle w:val="Hyperlink"/>
          </w:rPr>
          <w:t>textField (Text Import Field Settings)</w:t>
        </w:r>
      </w:hyperlink>
      <w:r>
        <w:t xml:space="preserve"> </w:t>
      </w:r>
      <w:r>
        <w:fldChar w:fldCharType="begin"/>
      </w:r>
      <w:r>
        <w:instrText>PAGEREF se</w:instrText>
      </w:r>
      <w:r>
        <w:instrText>ction_6c31d0d2456342268409009fc4f47a84</w:instrText>
      </w:r>
      <w:r>
        <w:fldChar w:fldCharType="separate"/>
      </w:r>
      <w:r>
        <w:rPr>
          <w:noProof/>
        </w:rPr>
        <w:t>377</w:t>
      </w:r>
      <w:r>
        <w:fldChar w:fldCharType="end"/>
      </w:r>
    </w:p>
    <w:p w:rsidR="00024C0A" w:rsidRDefault="00694C0F">
      <w:pPr>
        <w:pStyle w:val="indexentry0"/>
      </w:pPr>
      <w:hyperlink w:anchor="section_0606ff4c53254d04ab6f44bad775a1b7">
        <w:r>
          <w:rPr>
            <w:rStyle w:val="Hyperlink"/>
          </w:rPr>
          <w:t>textFields (Fields)</w:t>
        </w:r>
      </w:hyperlink>
      <w:r>
        <w:t xml:space="preserve"> </w:t>
      </w:r>
      <w:r>
        <w:fldChar w:fldCharType="begin"/>
      </w:r>
      <w:r>
        <w:instrText>PAGEREF section_0606ff4c53254d04ab6f44bad775a1b7</w:instrText>
      </w:r>
      <w:r>
        <w:fldChar w:fldCharType="separate"/>
      </w:r>
      <w:r>
        <w:rPr>
          <w:noProof/>
        </w:rPr>
        <w:t>377</w:t>
      </w:r>
      <w:r>
        <w:fldChar w:fldCharType="end"/>
      </w:r>
    </w:p>
    <w:p w:rsidR="00024C0A" w:rsidRDefault="00694C0F">
      <w:pPr>
        <w:pStyle w:val="indexentry0"/>
      </w:pPr>
      <w:hyperlink w:anchor="section_ed0509b6055043338266884ac10bb5ba">
        <w:r>
          <w:rPr>
            <w:rStyle w:val="Hyperlink"/>
          </w:rPr>
          <w:t>textpath (Text Layout Path)</w:t>
        </w:r>
      </w:hyperlink>
      <w:r>
        <w:t xml:space="preserve"> </w:t>
      </w:r>
      <w:r>
        <w:fldChar w:fldCharType="begin"/>
      </w:r>
      <w:r>
        <w:instrText>PAGEREF section_ed0509b6055043338266884ac10bb5ba</w:instrText>
      </w:r>
      <w:r>
        <w:fldChar w:fldCharType="separate"/>
      </w:r>
      <w:r>
        <w:rPr>
          <w:noProof/>
        </w:rPr>
        <w:t>654</w:t>
      </w:r>
      <w:r>
        <w:fldChar w:fldCharType="end"/>
      </w:r>
    </w:p>
    <w:p w:rsidR="00024C0A" w:rsidRDefault="00694C0F">
      <w:pPr>
        <w:pStyle w:val="indexentry0"/>
      </w:pPr>
      <w:hyperlink w:anchor="section_338ef3303d804c38888dbd770a0659f6">
        <w:r>
          <w:rPr>
            <w:rStyle w:val="Hyperlink"/>
          </w:rPr>
          <w:t>textPr (Text Import Settings)</w:t>
        </w:r>
      </w:hyperlink>
      <w:r>
        <w:t xml:space="preserve"> </w:t>
      </w:r>
      <w:r>
        <w:fldChar w:fldCharType="begin"/>
      </w:r>
      <w:r>
        <w:instrText>PAGEREF section_338ef3303d804c38888dbd770a0659f6</w:instrText>
      </w:r>
      <w:r>
        <w:fldChar w:fldCharType="separate"/>
      </w:r>
      <w:r>
        <w:rPr>
          <w:noProof/>
        </w:rPr>
        <w:t>377</w:t>
      </w:r>
      <w:r>
        <w:fldChar w:fldCharType="end"/>
      </w:r>
    </w:p>
    <w:p w:rsidR="00024C0A" w:rsidRDefault="00694C0F">
      <w:pPr>
        <w:pStyle w:val="indexentry0"/>
      </w:pPr>
      <w:hyperlink w:anchor="section_7669e68deb7549b19058dfcaf5707fd5">
        <w:r>
          <w:rPr>
            <w:rStyle w:val="Hyperlink"/>
          </w:rPr>
          <w:t>TextVAlign (Vertical Text Alignment)</w:t>
        </w:r>
      </w:hyperlink>
      <w:r>
        <w:t xml:space="preserve"> </w:t>
      </w:r>
      <w:r>
        <w:fldChar w:fldCharType="begin"/>
      </w:r>
      <w:r>
        <w:instrText>PAGEREF section_7669e68deb7549b19058dfcaf5707fd5</w:instrText>
      </w:r>
      <w:r>
        <w:fldChar w:fldCharType="separate"/>
      </w:r>
      <w:r>
        <w:rPr>
          <w:noProof/>
        </w:rPr>
        <w:t>677</w:t>
      </w:r>
      <w:r>
        <w:fldChar w:fldCharType="end"/>
      </w:r>
    </w:p>
    <w:p w:rsidR="00024C0A" w:rsidRDefault="00694C0F">
      <w:pPr>
        <w:pStyle w:val="indexentry0"/>
      </w:pPr>
      <w:hyperlink w:anchor="section_490387c4cef043bd9a2b526cc3cae961">
        <w:r>
          <w:rPr>
            <w:rStyle w:val="Hyperlink"/>
          </w:rPr>
          <w:t>themeFontLang (Theme Font Languages)</w:t>
        </w:r>
      </w:hyperlink>
      <w:r>
        <w:t xml:space="preserve"> </w:t>
      </w:r>
      <w:r>
        <w:fldChar w:fldCharType="begin"/>
      </w:r>
      <w:r>
        <w:instrText>PAGEREF section_490387c4cef043bd9</w:instrText>
      </w:r>
      <w:r>
        <w:instrText>a2b526cc3cae961</w:instrText>
      </w:r>
      <w:r>
        <w:fldChar w:fldCharType="separate"/>
      </w:r>
      <w:r>
        <w:rPr>
          <w:noProof/>
        </w:rPr>
        <w:t>157</w:t>
      </w:r>
      <w:r>
        <w:fldChar w:fldCharType="end"/>
      </w:r>
    </w:p>
    <w:p w:rsidR="00024C0A" w:rsidRDefault="00694C0F">
      <w:pPr>
        <w:pStyle w:val="indexentry0"/>
      </w:pPr>
      <w:hyperlink w:anchor="section_95f7cec9fd774e74a31328e846491e4e">
        <w:r>
          <w:rPr>
            <w:rStyle w:val="Hyperlink"/>
          </w:rPr>
          <w:t>thickness (Thickness)</w:t>
        </w:r>
      </w:hyperlink>
      <w:r>
        <w:t xml:space="preserve"> </w:t>
      </w:r>
      <w:r>
        <w:fldChar w:fldCharType="begin"/>
      </w:r>
      <w:r>
        <w:instrText>PAGEREF section_95f7cec9fd774e74a31328e846491e4e</w:instrText>
      </w:r>
      <w:r>
        <w:fldChar w:fldCharType="separate"/>
      </w:r>
      <w:r>
        <w:rPr>
          <w:noProof/>
        </w:rPr>
        <w:t>568</w:t>
      </w:r>
      <w:r>
        <w:fldChar w:fldCharType="end"/>
      </w:r>
    </w:p>
    <w:p w:rsidR="00024C0A" w:rsidRDefault="00694C0F">
      <w:pPr>
        <w:pStyle w:val="indexentry0"/>
      </w:pPr>
      <w:hyperlink w:anchor="section_bd2dcc2de1e24b3bba3a08817be49e05">
        <w:r>
          <w:rPr>
            <w:rStyle w:val="Hyperlink"/>
          </w:rPr>
          <w:t>tickLblSkip (Tick Label Skip)</w:t>
        </w:r>
      </w:hyperlink>
      <w:r>
        <w:t xml:space="preserve"> </w:t>
      </w:r>
      <w:r>
        <w:fldChar w:fldCharType="begin"/>
      </w:r>
      <w:r>
        <w:instrText>PAGEREF</w:instrText>
      </w:r>
      <w:r>
        <w:instrText xml:space="preserve"> section_bd2dcc2de1e24b3bba3a08817be49e05</w:instrText>
      </w:r>
      <w:r>
        <w:fldChar w:fldCharType="separate"/>
      </w:r>
      <w:r>
        <w:rPr>
          <w:noProof/>
        </w:rPr>
        <w:t>569</w:t>
      </w:r>
      <w:r>
        <w:fldChar w:fldCharType="end"/>
      </w:r>
    </w:p>
    <w:p w:rsidR="00024C0A" w:rsidRDefault="00694C0F">
      <w:pPr>
        <w:pStyle w:val="indexentry0"/>
      </w:pPr>
      <w:hyperlink w:anchor="section_ee2e8e04bcc44e869167ea14e1bd91a9">
        <w:r>
          <w:rPr>
            <w:rStyle w:val="Hyperlink"/>
          </w:rPr>
          <w:t>tickMarkSkip (Tick Mark Skip)</w:t>
        </w:r>
      </w:hyperlink>
      <w:r>
        <w:t xml:space="preserve"> </w:t>
      </w:r>
      <w:r>
        <w:fldChar w:fldCharType="begin"/>
      </w:r>
      <w:r>
        <w:instrText>PAGEREF section_ee2e8e04bcc44e869167ea14e1bd91a9</w:instrText>
      </w:r>
      <w:r>
        <w:fldChar w:fldCharType="separate"/>
      </w:r>
      <w:r>
        <w:rPr>
          <w:noProof/>
        </w:rPr>
        <w:t>569</w:t>
      </w:r>
      <w:r>
        <w:fldChar w:fldCharType="end"/>
      </w:r>
    </w:p>
    <w:p w:rsidR="00024C0A" w:rsidRDefault="00694C0F">
      <w:pPr>
        <w:pStyle w:val="indexentry0"/>
      </w:pPr>
      <w:hyperlink w:anchor="section_3a5d54a8863b4beb9f0c9fc72fdd0d05">
        <w:r>
          <w:rPr>
            <w:rStyle w:val="Hyperlink"/>
          </w:rPr>
          <w:t>tileR</w:t>
        </w:r>
        <w:r>
          <w:rPr>
            <w:rStyle w:val="Hyperlink"/>
          </w:rPr>
          <w:t>ect (Tile Rectangle)</w:t>
        </w:r>
      </w:hyperlink>
      <w:r>
        <w:t xml:space="preserve"> </w:t>
      </w:r>
      <w:r>
        <w:fldChar w:fldCharType="begin"/>
      </w:r>
      <w:r>
        <w:instrText>PAGEREF section_3a5d54a8863b4beb9f0c9fc72fdd0d05</w:instrText>
      </w:r>
      <w:r>
        <w:fldChar w:fldCharType="separate"/>
      </w:r>
      <w:r>
        <w:rPr>
          <w:noProof/>
        </w:rPr>
        <w:t>514</w:t>
      </w:r>
      <w:r>
        <w:fldChar w:fldCharType="end"/>
      </w:r>
    </w:p>
    <w:p w:rsidR="00024C0A" w:rsidRDefault="00694C0F">
      <w:pPr>
        <w:pStyle w:val="indexentry0"/>
      </w:pPr>
      <w:hyperlink w:anchor="section_8c6629cf956745578c6223d7467173a8">
        <w:r>
          <w:rPr>
            <w:rStyle w:val="Hyperlink"/>
          </w:rPr>
          <w:t>TIME</w:t>
        </w:r>
      </w:hyperlink>
      <w:r>
        <w:t xml:space="preserve"> </w:t>
      </w:r>
      <w:r>
        <w:fldChar w:fldCharType="begin"/>
      </w:r>
      <w:r>
        <w:instrText>PAGEREF section_8c6629cf956745578c6223d7467173a8</w:instrText>
      </w:r>
      <w:r>
        <w:fldChar w:fldCharType="separate"/>
      </w:r>
      <w:r>
        <w:rPr>
          <w:noProof/>
        </w:rPr>
        <w:t>448</w:t>
      </w:r>
      <w:r>
        <w:fldChar w:fldCharType="end"/>
      </w:r>
    </w:p>
    <w:p w:rsidR="00024C0A" w:rsidRDefault="00694C0F">
      <w:pPr>
        <w:pStyle w:val="indexentry0"/>
      </w:pPr>
      <w:hyperlink w:anchor="section_cf0b5eb22dd54c109d0c4a3810cc90fd">
        <w:r>
          <w:rPr>
            <w:rStyle w:val="Hyperlink"/>
          </w:rPr>
          <w:t>TIMEVALUE</w:t>
        </w:r>
      </w:hyperlink>
      <w:r>
        <w:t xml:space="preserve"> </w:t>
      </w:r>
      <w:r>
        <w:fldChar w:fldCharType="begin"/>
      </w:r>
      <w:r>
        <w:instrText>PAGEREF section_cf0b5eb22dd54c109d0c4a3810cc90fd</w:instrText>
      </w:r>
      <w:r>
        <w:fldChar w:fldCharType="separate"/>
      </w:r>
      <w:r>
        <w:rPr>
          <w:noProof/>
        </w:rPr>
        <w:t>448</w:t>
      </w:r>
      <w:r>
        <w:fldChar w:fldCharType="end"/>
      </w:r>
    </w:p>
    <w:p w:rsidR="00024C0A" w:rsidRDefault="00694C0F">
      <w:pPr>
        <w:pStyle w:val="indexentry0"/>
      </w:pPr>
      <w:hyperlink w:anchor="section_376a958553ee4ab69a86b58cafd200ba">
        <w:r>
          <w:rPr>
            <w:rStyle w:val="Hyperlink"/>
          </w:rPr>
          <w:t>tint (Tint)</w:t>
        </w:r>
      </w:hyperlink>
      <w:r>
        <w:t xml:space="preserve"> </w:t>
      </w:r>
      <w:r>
        <w:fldChar w:fldCharType="begin"/>
      </w:r>
      <w:r>
        <w:instrText>PAGEREF section_376a958553ee4ab69a86b58cafd200ba</w:instrText>
      </w:r>
      <w:r>
        <w:fldChar w:fldCharType="separate"/>
      </w:r>
      <w:r>
        <w:rPr>
          <w:noProof/>
        </w:rPr>
        <w:t>503</w:t>
      </w:r>
      <w:r>
        <w:fldChar w:fldCharType="end"/>
      </w:r>
    </w:p>
    <w:p w:rsidR="00024C0A" w:rsidRDefault="00694C0F">
      <w:pPr>
        <w:pStyle w:val="indexentry0"/>
      </w:pPr>
      <w:hyperlink w:anchor="section_a3c7bbb534f24e52b9e110fe2143d5f6">
        <w:r>
          <w:rPr>
            <w:rStyle w:val="Hyperlink"/>
          </w:rPr>
          <w:t>TITLE</w:t>
        </w:r>
      </w:hyperlink>
      <w:r>
        <w:t xml:space="preserve"> </w:t>
      </w:r>
      <w:r>
        <w:fldChar w:fldCharType="begin"/>
      </w:r>
      <w:r>
        <w:instrText>PAGEREF section_a3c7bbb534f24e52b9e110fe2143d5f6</w:instrText>
      </w:r>
      <w:r>
        <w:fldChar w:fldCharType="separate"/>
      </w:r>
      <w:r>
        <w:rPr>
          <w:noProof/>
        </w:rPr>
        <w:t>223</w:t>
      </w:r>
      <w:r>
        <w:fldChar w:fldCharType="end"/>
      </w:r>
    </w:p>
    <w:p w:rsidR="00024C0A" w:rsidRDefault="00694C0F">
      <w:pPr>
        <w:pStyle w:val="indexentry0"/>
      </w:pPr>
      <w:hyperlink w:anchor="section_94bb88fd795741c8b9340f82d8d04f7e">
        <w:r>
          <w:rPr>
            <w:rStyle w:val="Hyperlink"/>
          </w:rPr>
          <w:t>title (Frame or Frameset Title)</w:t>
        </w:r>
      </w:hyperlink>
      <w:r>
        <w:t xml:space="preserve"> </w:t>
      </w:r>
      <w:r>
        <w:fldChar w:fldCharType="begin"/>
      </w:r>
      <w:r>
        <w:instrText>PAGEREF section_94bb88fd795741c8b9340f82d8d04f7e</w:instrText>
      </w:r>
      <w:r>
        <w:fldChar w:fldCharType="separate"/>
      </w:r>
      <w:r>
        <w:rPr>
          <w:noProof/>
        </w:rPr>
        <w:t>163</w:t>
      </w:r>
      <w:r>
        <w:fldChar w:fldCharType="end"/>
      </w:r>
    </w:p>
    <w:p w:rsidR="00024C0A" w:rsidRDefault="00694C0F">
      <w:pPr>
        <w:pStyle w:val="indexentry0"/>
      </w:pPr>
      <w:hyperlink w:anchor="section_a87b8094484e49fdbdf7ae3ed95e9572">
        <w:r>
          <w:rPr>
            <w:rStyle w:val="Hyperlink"/>
          </w:rPr>
          <w:t>title (Title)</w:t>
        </w:r>
      </w:hyperlink>
      <w:r>
        <w:t xml:space="preserve"> </w:t>
      </w:r>
      <w:r>
        <w:fldChar w:fldCharType="begin"/>
      </w:r>
      <w:r>
        <w:instrText>PAGEREF section_a87b8094484e49fdbdf7ae3ed95e9572</w:instrText>
      </w:r>
      <w:r>
        <w:fldChar w:fldCharType="separate"/>
      </w:r>
      <w:r>
        <w:rPr>
          <w:noProof/>
        </w:rPr>
        <w:t>569</w:t>
      </w:r>
      <w:r>
        <w:fldChar w:fldCharType="end"/>
      </w:r>
    </w:p>
    <w:p w:rsidR="00024C0A" w:rsidRDefault="00694C0F">
      <w:pPr>
        <w:pStyle w:val="indexentry0"/>
      </w:pPr>
      <w:hyperlink w:anchor="section_bce5f993d6834aa7825ebce25c64e8b8">
        <w:r>
          <w:rPr>
            <w:rStyle w:val="Hyperlink"/>
          </w:rPr>
          <w:t>titlePg (Different First Page Headers and Footers)</w:t>
        </w:r>
      </w:hyperlink>
      <w:r>
        <w:t xml:space="preserve"> </w:t>
      </w:r>
      <w:r>
        <w:fldChar w:fldCharType="begin"/>
      </w:r>
      <w:r>
        <w:instrText>PAGEREF section_bce5f993d6834aa7825ebce25c64e8b8</w:instrText>
      </w:r>
      <w:r>
        <w:fldChar w:fldCharType="separate"/>
      </w:r>
      <w:r>
        <w:rPr>
          <w:noProof/>
        </w:rPr>
        <w:t>127</w:t>
      </w:r>
      <w:r>
        <w:fldChar w:fldCharType="end"/>
      </w:r>
    </w:p>
    <w:p w:rsidR="00024C0A" w:rsidRDefault="00694C0F">
      <w:pPr>
        <w:pStyle w:val="indexentry0"/>
      </w:pPr>
      <w:hyperlink w:anchor="section_de32de14957346f39f3819659e3a8d9a">
        <w:r>
          <w:rPr>
            <w:rStyle w:val="Hyperlink"/>
          </w:rPr>
          <w:t>TitlesOfParts (Part Titles)</w:t>
        </w:r>
      </w:hyperlink>
      <w:r>
        <w:t xml:space="preserve"> </w:t>
      </w:r>
      <w:r>
        <w:fldChar w:fldCharType="begin"/>
      </w:r>
      <w:r>
        <w:instrText>PAGEREF section_de32de14957346f39f3819659e3a8d9a</w:instrText>
      </w:r>
      <w:r>
        <w:fldChar w:fldCharType="separate"/>
      </w:r>
      <w:r>
        <w:rPr>
          <w:noProof/>
        </w:rPr>
        <w:t>604</w:t>
      </w:r>
      <w:r>
        <w:fldChar w:fldCharType="end"/>
      </w:r>
    </w:p>
    <w:p w:rsidR="00024C0A" w:rsidRDefault="00694C0F">
      <w:pPr>
        <w:pStyle w:val="indexentry0"/>
      </w:pPr>
      <w:hyperlink w:anchor="section_b6367788d039424fbc44c119b62a5238">
        <w:r>
          <w:rPr>
            <w:rStyle w:val="Hyperlink"/>
          </w:rPr>
          <w:t xml:space="preserve">tl2br (Table Cell Top Left to Bottom Right Diagonal </w:t>
        </w:r>
        <w:r>
          <w:rPr>
            <w:rStyle w:val="Hyperlink"/>
          </w:rPr>
          <w:t>Border)</w:t>
        </w:r>
      </w:hyperlink>
      <w:r>
        <w:t xml:space="preserve"> </w:t>
      </w:r>
      <w:r>
        <w:fldChar w:fldCharType="begin"/>
      </w:r>
      <w:r>
        <w:instrText>PAGEREF section_b6367788d039424fbc44c119b62a5238</w:instrText>
      </w:r>
      <w:r>
        <w:fldChar w:fldCharType="separate"/>
      </w:r>
      <w:r>
        <w:rPr>
          <w:noProof/>
        </w:rPr>
        <w:t>93</w:t>
      </w:r>
      <w:r>
        <w:fldChar w:fldCharType="end"/>
      </w:r>
    </w:p>
    <w:p w:rsidR="00024C0A" w:rsidRDefault="00694C0F">
      <w:pPr>
        <w:pStyle w:val="indexentry0"/>
      </w:pPr>
      <w:hyperlink w:anchor="section_255410110cf2436b8e417dfd8fba6faf">
        <w:r>
          <w:rPr>
            <w:rStyle w:val="Hyperlink"/>
          </w:rPr>
          <w:t>tmpl (Template Effects)</w:t>
        </w:r>
      </w:hyperlink>
      <w:r>
        <w:t xml:space="preserve"> </w:t>
      </w:r>
      <w:r>
        <w:fldChar w:fldCharType="begin"/>
      </w:r>
      <w:r>
        <w:instrText>PAGEREF section_255410110cf2436b8e417dfd8fba6faf</w:instrText>
      </w:r>
      <w:r>
        <w:fldChar w:fldCharType="separate"/>
      </w:r>
      <w:r>
        <w:rPr>
          <w:noProof/>
        </w:rPr>
        <w:t>485</w:t>
      </w:r>
      <w:r>
        <w:fldChar w:fldCharType="end"/>
      </w:r>
    </w:p>
    <w:p w:rsidR="00024C0A" w:rsidRDefault="00694C0F">
      <w:pPr>
        <w:pStyle w:val="indexentry0"/>
      </w:pPr>
      <w:hyperlink w:anchor="section_3da02aff9dc64878be81118938641c43">
        <w:r>
          <w:rPr>
            <w:rStyle w:val="Hyperlink"/>
          </w:rPr>
          <w:t>tmplLst (Template effects)</w:t>
        </w:r>
      </w:hyperlink>
      <w:r>
        <w:t xml:space="preserve"> </w:t>
      </w:r>
      <w:r>
        <w:fldChar w:fldCharType="begin"/>
      </w:r>
      <w:r>
        <w:instrText>PAGEREF section_3da02aff9dc64878be81118938641c43</w:instrText>
      </w:r>
      <w:r>
        <w:fldChar w:fldCharType="separate"/>
      </w:r>
      <w:r>
        <w:rPr>
          <w:noProof/>
        </w:rPr>
        <w:t>485</w:t>
      </w:r>
      <w:r>
        <w:fldChar w:fldCharType="end"/>
      </w:r>
    </w:p>
    <w:p w:rsidR="00024C0A" w:rsidRDefault="00694C0F">
      <w:pPr>
        <w:pStyle w:val="indexentry0"/>
      </w:pPr>
      <w:hyperlink w:anchor="section_5516734500ff4d39b4a86ca61d86227a">
        <w:r>
          <w:rPr>
            <w:rStyle w:val="Hyperlink"/>
          </w:rPr>
          <w:t>tnLst (Time Node List)</w:t>
        </w:r>
      </w:hyperlink>
      <w:r>
        <w:t xml:space="preserve"> </w:t>
      </w:r>
      <w:r>
        <w:fldChar w:fldCharType="begin"/>
      </w:r>
      <w:r>
        <w:instrText>PAGEREF section_5516734500ff4d39b4a86ca61d86227a</w:instrText>
      </w:r>
      <w:r>
        <w:fldChar w:fldCharType="separate"/>
      </w:r>
      <w:r>
        <w:rPr>
          <w:noProof/>
        </w:rPr>
        <w:t>486</w:t>
      </w:r>
      <w:r>
        <w:fldChar w:fldCharType="end"/>
      </w:r>
    </w:p>
    <w:p w:rsidR="00024C0A" w:rsidRDefault="00694C0F">
      <w:pPr>
        <w:pStyle w:val="indexentry0"/>
      </w:pPr>
      <w:r>
        <w:t>to (Ending Anchor Point) (</w:t>
      </w:r>
      <w:hyperlink w:anchor="section_6ae4c17e8727447183c9a32482e72ffe">
        <w:r>
          <w:rPr>
            <w:rStyle w:val="Hyperlink"/>
          </w:rPr>
          <w:t>section 2.1.1369</w:t>
        </w:r>
      </w:hyperlink>
      <w:r>
        <w:t xml:space="preserve"> </w:t>
      </w:r>
      <w:r>
        <w:fldChar w:fldCharType="begin"/>
      </w:r>
      <w:r>
        <w:instrText>PAGEREF section_6ae4c17e8727447183c9a32482e72ffe</w:instrText>
      </w:r>
      <w:r>
        <w:fldChar w:fldCharType="separate"/>
      </w:r>
      <w:r>
        <w:rPr>
          <w:noProof/>
        </w:rPr>
        <w:t>525</w:t>
      </w:r>
      <w:r>
        <w:fldChar w:fldCharType="end"/>
      </w:r>
      <w:r>
        <w:t xml:space="preserve">, </w:t>
      </w:r>
      <w:hyperlink w:anchor="section_2cfcb2b25a5b4d8caf20267762478810">
        <w:r>
          <w:rPr>
            <w:rStyle w:val="Hyperlink"/>
          </w:rPr>
          <w:t>section 2.1.1606</w:t>
        </w:r>
      </w:hyperlink>
      <w:r>
        <w:t xml:space="preserve"> </w:t>
      </w:r>
      <w:r>
        <w:fldChar w:fldCharType="begin"/>
      </w:r>
      <w:r>
        <w:instrText>PAGEREF section_2cfcb2b25a5b4d8caf20267762478810</w:instrText>
      </w:r>
      <w:r>
        <w:fldChar w:fldCharType="separate"/>
      </w:r>
      <w:r>
        <w:rPr>
          <w:noProof/>
        </w:rPr>
        <w:t>579</w:t>
      </w:r>
      <w:r>
        <w:fldChar w:fldCharType="end"/>
      </w:r>
      <w:r>
        <w:t>)</w:t>
      </w:r>
    </w:p>
    <w:p w:rsidR="00024C0A" w:rsidRDefault="00694C0F">
      <w:pPr>
        <w:pStyle w:val="indexentry0"/>
      </w:pPr>
      <w:r>
        <w:t>to (To) (</w:t>
      </w:r>
      <w:hyperlink w:anchor="section_9d0fa0e7b3734de0be8e85b0922d7204">
        <w:r>
          <w:rPr>
            <w:rStyle w:val="Hyperlink"/>
          </w:rPr>
          <w:t>section 2.1.1181</w:t>
        </w:r>
      </w:hyperlink>
      <w:r>
        <w:t xml:space="preserve"> </w:t>
      </w:r>
      <w:r>
        <w:fldChar w:fldCharType="begin"/>
      </w:r>
      <w:r>
        <w:instrText>PAGEREF section_9d0fa0e7b3734de0be8e85b0922d7204</w:instrText>
      </w:r>
      <w:r>
        <w:fldChar w:fldCharType="separate"/>
      </w:r>
      <w:r>
        <w:rPr>
          <w:noProof/>
        </w:rPr>
        <w:t>486</w:t>
      </w:r>
      <w:r>
        <w:fldChar w:fldCharType="end"/>
      </w:r>
      <w:r>
        <w:t xml:space="preserve">, </w:t>
      </w:r>
      <w:hyperlink w:anchor="section_0b35ab0b202941808a768d784dac1d2b">
        <w:r>
          <w:rPr>
            <w:rStyle w:val="Hyperlink"/>
          </w:rPr>
          <w:t>section 2.1.1182</w:t>
        </w:r>
      </w:hyperlink>
      <w:r>
        <w:t xml:space="preserve"> </w:t>
      </w:r>
      <w:r>
        <w:fldChar w:fldCharType="begin"/>
      </w:r>
      <w:r>
        <w:instrText>PAGEREF section_0b35ab0b20294</w:instrText>
      </w:r>
      <w:r>
        <w:instrText>1808a768d784dac1d2b</w:instrText>
      </w:r>
      <w:r>
        <w:fldChar w:fldCharType="separate"/>
      </w:r>
      <w:r>
        <w:rPr>
          <w:noProof/>
        </w:rPr>
        <w:t>486</w:t>
      </w:r>
      <w:r>
        <w:fldChar w:fldCharType="end"/>
      </w:r>
      <w:r>
        <w:t xml:space="preserve">, </w:t>
      </w:r>
      <w:hyperlink w:anchor="section_337d872bb42b499797c5d4dc16ad8be1">
        <w:r>
          <w:rPr>
            <w:rStyle w:val="Hyperlink"/>
          </w:rPr>
          <w:t>section 2.1.1183</w:t>
        </w:r>
      </w:hyperlink>
      <w:r>
        <w:t xml:space="preserve"> </w:t>
      </w:r>
      <w:r>
        <w:fldChar w:fldCharType="begin"/>
      </w:r>
      <w:r>
        <w:instrText>PAGEREF section_337d872bb42b499797c5d4dc16ad8be1</w:instrText>
      </w:r>
      <w:r>
        <w:fldChar w:fldCharType="separate"/>
      </w:r>
      <w:r>
        <w:rPr>
          <w:noProof/>
        </w:rPr>
        <w:t>489</w:t>
      </w:r>
      <w:r>
        <w:fldChar w:fldCharType="end"/>
      </w:r>
      <w:r>
        <w:t>)</w:t>
      </w:r>
    </w:p>
    <w:p w:rsidR="00024C0A" w:rsidRDefault="00694C0F">
      <w:pPr>
        <w:pStyle w:val="indexentry0"/>
      </w:pPr>
      <w:hyperlink w:anchor="section_034e6e26d25449c29b393767933a923d">
        <w:r>
          <w:rPr>
            <w:rStyle w:val="Hyperlink"/>
          </w:rPr>
          <w:t>TOA</w:t>
        </w:r>
      </w:hyperlink>
      <w:r>
        <w:t xml:space="preserve"> </w:t>
      </w:r>
      <w:r>
        <w:fldChar w:fldCharType="begin"/>
      </w:r>
      <w:r>
        <w:instrText>PAGEREF section_034e6e26d25449c2</w:instrText>
      </w:r>
      <w:r>
        <w:instrText>9b393767933a923d</w:instrText>
      </w:r>
      <w:r>
        <w:fldChar w:fldCharType="separate"/>
      </w:r>
      <w:r>
        <w:rPr>
          <w:noProof/>
        </w:rPr>
        <w:t>223</w:t>
      </w:r>
      <w:r>
        <w:fldChar w:fldCharType="end"/>
      </w:r>
    </w:p>
    <w:p w:rsidR="00024C0A" w:rsidRDefault="00694C0F">
      <w:pPr>
        <w:pStyle w:val="indexentry0"/>
      </w:pPr>
      <w:hyperlink w:anchor="section_68f1577f0efe453bbad9cfd69f740b30">
        <w:r>
          <w:rPr>
            <w:rStyle w:val="Hyperlink"/>
          </w:rPr>
          <w:t>TOC</w:t>
        </w:r>
      </w:hyperlink>
      <w:r>
        <w:t xml:space="preserve"> </w:t>
      </w:r>
      <w:r>
        <w:fldChar w:fldCharType="begin"/>
      </w:r>
      <w:r>
        <w:instrText>PAGEREF section_68f1577f0efe453bbad9cfd69f740b30</w:instrText>
      </w:r>
      <w:r>
        <w:fldChar w:fldCharType="separate"/>
      </w:r>
      <w:r>
        <w:rPr>
          <w:noProof/>
        </w:rPr>
        <w:t>223</w:t>
      </w:r>
      <w:r>
        <w:fldChar w:fldCharType="end"/>
      </w:r>
    </w:p>
    <w:p w:rsidR="00024C0A" w:rsidRDefault="00694C0F">
      <w:pPr>
        <w:pStyle w:val="indexentry0"/>
      </w:pPr>
      <w:hyperlink w:anchor="section_f7130225236848f3acaea9d278d0fb25">
        <w:r>
          <w:rPr>
            <w:rStyle w:val="Hyperlink"/>
          </w:rPr>
          <w:t>Toggle Properties</w:t>
        </w:r>
      </w:hyperlink>
      <w:r>
        <w:t xml:space="preserve"> </w:t>
      </w:r>
      <w:r>
        <w:fldChar w:fldCharType="begin"/>
      </w:r>
      <w:r>
        <w:instrText>PAGEREF section_f7130225236848f3acae</w:instrText>
      </w:r>
      <w:r>
        <w:instrText>a9d278d0fb25</w:instrText>
      </w:r>
      <w:r>
        <w:fldChar w:fldCharType="separate"/>
      </w:r>
      <w:r>
        <w:rPr>
          <w:noProof/>
        </w:rPr>
        <w:t>105</w:t>
      </w:r>
      <w:r>
        <w:fldChar w:fldCharType="end"/>
      </w:r>
    </w:p>
    <w:p w:rsidR="00024C0A" w:rsidRDefault="00694C0F">
      <w:pPr>
        <w:pStyle w:val="indexentry0"/>
      </w:pPr>
      <w:hyperlink w:anchor="section_8b07e421930a4c87b8f2e9879c6e70f6">
        <w:r>
          <w:rPr>
            <w:rStyle w:val="Hyperlink"/>
          </w:rPr>
          <w:t>toolbarData (Toolbar data)</w:t>
        </w:r>
      </w:hyperlink>
      <w:r>
        <w:t xml:space="preserve"> </w:t>
      </w:r>
      <w:r>
        <w:fldChar w:fldCharType="begin"/>
      </w:r>
      <w:r>
        <w:instrText>PAGEREF section_8b07e421930a4c87b8f2e9879c6e70f6</w:instrText>
      </w:r>
      <w:r>
        <w:fldChar w:fldCharType="separate"/>
      </w:r>
      <w:r>
        <w:rPr>
          <w:noProof/>
        </w:rPr>
        <w:t>699</w:t>
      </w:r>
      <w:r>
        <w:fldChar w:fldCharType="end"/>
      </w:r>
    </w:p>
    <w:p w:rsidR="00024C0A" w:rsidRDefault="00694C0F">
      <w:pPr>
        <w:pStyle w:val="indexentry0"/>
      </w:pPr>
      <w:hyperlink w:anchor="section_7c98bf0e4eab43729ae628f1e61e1343">
        <w:r>
          <w:rPr>
            <w:rStyle w:val="Hyperlink"/>
          </w:rPr>
          <w:t>toolbars (Legacy Toolbar Customizatio</w:t>
        </w:r>
        <w:r>
          <w:rPr>
            <w:rStyle w:val="Hyperlink"/>
          </w:rPr>
          <w:t>ns)</w:t>
        </w:r>
      </w:hyperlink>
      <w:r>
        <w:t xml:space="preserve"> </w:t>
      </w:r>
      <w:r>
        <w:fldChar w:fldCharType="begin"/>
      </w:r>
      <w:r>
        <w:instrText>PAGEREF section_7c98bf0e4eab43729ae628f1e61e1343</w:instrText>
      </w:r>
      <w:r>
        <w:fldChar w:fldCharType="separate"/>
      </w:r>
      <w:r>
        <w:rPr>
          <w:noProof/>
        </w:rPr>
        <w:t>700</w:t>
      </w:r>
      <w:r>
        <w:fldChar w:fldCharType="end"/>
      </w:r>
    </w:p>
    <w:p w:rsidR="00024C0A" w:rsidRDefault="00694C0F">
      <w:pPr>
        <w:pStyle w:val="indexentry0"/>
      </w:pPr>
      <w:hyperlink w:anchor="section_0d93be1be21a4f6fa76d8922fbcf203e">
        <w:r>
          <w:rPr>
            <w:rStyle w:val="Hyperlink"/>
          </w:rPr>
          <w:t>top (Paragraph Border Above Identical Paragraphs)</w:t>
        </w:r>
      </w:hyperlink>
      <w:r>
        <w:t xml:space="preserve"> </w:t>
      </w:r>
      <w:r>
        <w:fldChar w:fldCharType="begin"/>
      </w:r>
      <w:r>
        <w:instrText>PAGEREF section_0d93be1be21a4f6fa76d8922fbcf203e</w:instrText>
      </w:r>
      <w:r>
        <w:fldChar w:fldCharType="separate"/>
      </w:r>
      <w:r>
        <w:rPr>
          <w:noProof/>
        </w:rPr>
        <w:t>67</w:t>
      </w:r>
      <w:r>
        <w:fldChar w:fldCharType="end"/>
      </w:r>
    </w:p>
    <w:p w:rsidR="00024C0A" w:rsidRDefault="00694C0F">
      <w:pPr>
        <w:pStyle w:val="indexentry0"/>
      </w:pPr>
      <w:hyperlink w:anchor="section_35e1cc297dc64e00a86e1aff557190a7">
        <w:r>
          <w:rPr>
            <w:rStyle w:val="Hyperlink"/>
          </w:rPr>
          <w:t>top (Table Cell Top Border)</w:t>
        </w:r>
      </w:hyperlink>
      <w:r>
        <w:t xml:space="preserve"> </w:t>
      </w:r>
      <w:r>
        <w:fldChar w:fldCharType="begin"/>
      </w:r>
      <w:r>
        <w:instrText>PAGEREF section_35e1cc297dc64e00a86e1aff557190a7</w:instrText>
      </w:r>
      <w:r>
        <w:fldChar w:fldCharType="separate"/>
      </w:r>
      <w:r>
        <w:rPr>
          <w:noProof/>
        </w:rPr>
        <w:t>93</w:t>
      </w:r>
      <w:r>
        <w:fldChar w:fldCharType="end"/>
      </w:r>
    </w:p>
    <w:p w:rsidR="00024C0A" w:rsidRDefault="00694C0F">
      <w:pPr>
        <w:pStyle w:val="indexentry0"/>
      </w:pPr>
      <w:hyperlink w:anchor="section_27237d22be604bdfa7f2e50b688877bd">
        <w:r>
          <w:rPr>
            <w:rStyle w:val="Hyperlink"/>
          </w:rPr>
          <w:t>top (Table Cell Top Margin Default)</w:t>
        </w:r>
      </w:hyperlink>
      <w:r>
        <w:t xml:space="preserve"> </w:t>
      </w:r>
      <w:r>
        <w:fldChar w:fldCharType="begin"/>
      </w:r>
      <w:r>
        <w:instrText>PAGEREF sectio</w:instrText>
      </w:r>
      <w:r>
        <w:instrText>n_27237d22be604bdfa7f2e50b688877bd</w:instrText>
      </w:r>
      <w:r>
        <w:fldChar w:fldCharType="separate"/>
      </w:r>
      <w:r>
        <w:rPr>
          <w:noProof/>
        </w:rPr>
        <w:t>93</w:t>
      </w:r>
      <w:r>
        <w:fldChar w:fldCharType="end"/>
      </w:r>
    </w:p>
    <w:p w:rsidR="00024C0A" w:rsidRDefault="00694C0F">
      <w:pPr>
        <w:pStyle w:val="indexentry0"/>
      </w:pPr>
      <w:hyperlink w:anchor="section_8446a4220fe8401bb11fa2d4933ee83c">
        <w:r>
          <w:rPr>
            <w:rStyle w:val="Hyperlink"/>
          </w:rPr>
          <w:t>top (Table Cell Top Margin Exception)</w:t>
        </w:r>
      </w:hyperlink>
      <w:r>
        <w:t xml:space="preserve"> </w:t>
      </w:r>
      <w:r>
        <w:fldChar w:fldCharType="begin"/>
      </w:r>
      <w:r>
        <w:instrText>PAGEREF section_8446a4220fe8401bb11fa2d4933ee83c</w:instrText>
      </w:r>
      <w:r>
        <w:fldChar w:fldCharType="separate"/>
      </w:r>
      <w:r>
        <w:rPr>
          <w:noProof/>
        </w:rPr>
        <w:t>93</w:t>
      </w:r>
      <w:r>
        <w:fldChar w:fldCharType="end"/>
      </w:r>
    </w:p>
    <w:p w:rsidR="00024C0A" w:rsidRDefault="00694C0F">
      <w:pPr>
        <w:pStyle w:val="indexentry0"/>
      </w:pPr>
      <w:hyperlink w:anchor="section_4d15f8f654514b1fa1cb481e018c3cef">
        <w:r>
          <w:rPr>
            <w:rStyle w:val="Hyperlink"/>
          </w:rPr>
          <w:t xml:space="preserve">top </w:t>
        </w:r>
        <w:r>
          <w:rPr>
            <w:rStyle w:val="Hyperlink"/>
          </w:rPr>
          <w:t>(Table Top Border)</w:t>
        </w:r>
      </w:hyperlink>
      <w:r>
        <w:t xml:space="preserve"> </w:t>
      </w:r>
      <w:r>
        <w:fldChar w:fldCharType="begin"/>
      </w:r>
      <w:r>
        <w:instrText>PAGEREF section_4d15f8f654514b1fa1cb481e018c3cef</w:instrText>
      </w:r>
      <w:r>
        <w:fldChar w:fldCharType="separate"/>
      </w:r>
      <w:r>
        <w:rPr>
          <w:noProof/>
        </w:rPr>
        <w:t>93</w:t>
      </w:r>
      <w:r>
        <w:fldChar w:fldCharType="end"/>
      </w:r>
    </w:p>
    <w:p w:rsidR="00024C0A" w:rsidRDefault="00694C0F">
      <w:pPr>
        <w:pStyle w:val="indexentry0"/>
      </w:pPr>
      <w:hyperlink w:anchor="section_a252e0bc71cb40caaffba6f5e565083f">
        <w:r>
          <w:rPr>
            <w:rStyle w:val="Hyperlink"/>
          </w:rPr>
          <w:t>top (Text Box Top Stroke)</w:t>
        </w:r>
      </w:hyperlink>
      <w:r>
        <w:t xml:space="preserve"> </w:t>
      </w:r>
      <w:r>
        <w:fldChar w:fldCharType="begin"/>
      </w:r>
      <w:r>
        <w:instrText>PAGEREF section_a252e0bc71cb40caaffba6f5e565083f</w:instrText>
      </w:r>
      <w:r>
        <w:fldChar w:fldCharType="separate"/>
      </w:r>
      <w:r>
        <w:rPr>
          <w:noProof/>
        </w:rPr>
        <w:t>670</w:t>
      </w:r>
      <w:r>
        <w:fldChar w:fldCharType="end"/>
      </w:r>
    </w:p>
    <w:p w:rsidR="00024C0A" w:rsidRDefault="00694C0F">
      <w:pPr>
        <w:pStyle w:val="indexentry0"/>
      </w:pPr>
      <w:hyperlink w:anchor="section_bd4c27d984664da3aa9a6ecbff6f39fe">
        <w:r>
          <w:rPr>
            <w:rStyle w:val="Hyperlink"/>
          </w:rPr>
          <w:t>top (Top Border for HTML div)</w:t>
        </w:r>
      </w:hyperlink>
      <w:r>
        <w:t xml:space="preserve"> </w:t>
      </w:r>
      <w:r>
        <w:fldChar w:fldCharType="begin"/>
      </w:r>
      <w:r>
        <w:instrText>PAGEREF section_bd4c27d984664da3aa9a6ecbff6f39fe</w:instrText>
      </w:r>
      <w:r>
        <w:fldChar w:fldCharType="separate"/>
      </w:r>
      <w:r>
        <w:rPr>
          <w:noProof/>
        </w:rPr>
        <w:t>163</w:t>
      </w:r>
      <w:r>
        <w:fldChar w:fldCharType="end"/>
      </w:r>
    </w:p>
    <w:p w:rsidR="00024C0A" w:rsidRDefault="00694C0F">
      <w:pPr>
        <w:pStyle w:val="indexentry0"/>
      </w:pPr>
      <w:hyperlink w:anchor="section_8e7719cb43844e26a23187be6b37083a">
        <w:r>
          <w:rPr>
            <w:rStyle w:val="Hyperlink"/>
          </w:rPr>
          <w:t>top (Top Border)</w:t>
        </w:r>
      </w:hyperlink>
      <w:r>
        <w:t xml:space="preserve"> </w:t>
      </w:r>
      <w:r>
        <w:fldChar w:fldCharType="begin"/>
      </w:r>
      <w:r>
        <w:instrText>PAGEREF section_8e7719cb43844e26a23187be6b37083a</w:instrText>
      </w:r>
      <w:r>
        <w:fldChar w:fldCharType="separate"/>
      </w:r>
      <w:r>
        <w:rPr>
          <w:noProof/>
        </w:rPr>
        <w:t>104</w:t>
      </w:r>
      <w:r>
        <w:fldChar w:fldCharType="end"/>
      </w:r>
    </w:p>
    <w:p w:rsidR="00024C0A" w:rsidRDefault="00694C0F">
      <w:pPr>
        <w:pStyle w:val="indexentry0"/>
      </w:pPr>
      <w:hyperlink w:anchor="section_2961ac370f8e47a889f9981403e619b6">
        <w:r>
          <w:rPr>
            <w:rStyle w:val="Hyperlink"/>
          </w:rPr>
          <w:t>top10 (Top 10)</w:t>
        </w:r>
      </w:hyperlink>
      <w:r>
        <w:t xml:space="preserve"> </w:t>
      </w:r>
      <w:r>
        <w:fldChar w:fldCharType="begin"/>
      </w:r>
      <w:r>
        <w:instrText>PAGEREF section_2961ac370f8e47a889f9981403e619b6</w:instrText>
      </w:r>
      <w:r>
        <w:fldChar w:fldCharType="separate"/>
      </w:r>
      <w:r>
        <w:rPr>
          <w:noProof/>
        </w:rPr>
        <w:t>288</w:t>
      </w:r>
      <w:r>
        <w:fldChar w:fldCharType="end"/>
      </w:r>
    </w:p>
    <w:p w:rsidR="00024C0A" w:rsidRDefault="00694C0F">
      <w:pPr>
        <w:pStyle w:val="indexentry0"/>
      </w:pPr>
      <w:hyperlink w:anchor="section_029135c2138c4bbf81ad6bf338c2ce89">
        <w:r>
          <w:rPr>
            <w:rStyle w:val="Hyperlink"/>
          </w:rPr>
          <w:t>topLinePunct (Compress Punctuation at Start of a Line)</w:t>
        </w:r>
      </w:hyperlink>
      <w:r>
        <w:t xml:space="preserve"> </w:t>
      </w:r>
      <w:r>
        <w:fldChar w:fldCharType="begin"/>
      </w:r>
      <w:r>
        <w:instrText>PAGEREF section_029135c2138c4</w:instrText>
      </w:r>
      <w:r>
        <w:instrText>bbf81ad6bf338c2ce89</w:instrText>
      </w:r>
      <w:r>
        <w:fldChar w:fldCharType="separate"/>
      </w:r>
      <w:r>
        <w:rPr>
          <w:noProof/>
        </w:rPr>
        <w:t>67</w:t>
      </w:r>
      <w:r>
        <w:fldChar w:fldCharType="end"/>
      </w:r>
    </w:p>
    <w:p w:rsidR="00024C0A" w:rsidRDefault="00694C0F">
      <w:pPr>
        <w:pStyle w:val="indexentry0"/>
      </w:pPr>
      <w:hyperlink w:anchor="section_0d3053ab7a8b4e3a9e5a59caf6f223c9">
        <w:r>
          <w:rPr>
            <w:rStyle w:val="Hyperlink"/>
          </w:rPr>
          <w:t>totalsRowFormula (Totals Row Formula)</w:t>
        </w:r>
      </w:hyperlink>
      <w:r>
        <w:t xml:space="preserve"> </w:t>
      </w:r>
      <w:r>
        <w:fldChar w:fldCharType="begin"/>
      </w:r>
      <w:r>
        <w:instrText>PAGEREF section_0d3053ab7a8b4e3a9e5a59caf6f223c9</w:instrText>
      </w:r>
      <w:r>
        <w:fldChar w:fldCharType="separate"/>
      </w:r>
      <w:r>
        <w:rPr>
          <w:noProof/>
        </w:rPr>
        <w:t>292</w:t>
      </w:r>
      <w:r>
        <w:fldChar w:fldCharType="end"/>
      </w:r>
    </w:p>
    <w:p w:rsidR="00024C0A" w:rsidRDefault="00694C0F">
      <w:pPr>
        <w:pStyle w:val="indexentry0"/>
      </w:pPr>
      <w:hyperlink w:anchor="section_4b59044c878542a7bccb0da2aee6e9e6">
        <w:r>
          <w:rPr>
            <w:rStyle w:val="Hyperlink"/>
          </w:rPr>
          <w:t>TotalTime (Total Edit Time Metadata Element)</w:t>
        </w:r>
      </w:hyperlink>
      <w:r>
        <w:t xml:space="preserve"> </w:t>
      </w:r>
      <w:r>
        <w:fldChar w:fldCharType="begin"/>
      </w:r>
      <w:r>
        <w:instrText>PAGEREF section_4b59044c878542a7bccb0da2aee6e9e6</w:instrText>
      </w:r>
      <w:r>
        <w:fldChar w:fldCharType="separate"/>
      </w:r>
      <w:r>
        <w:rPr>
          <w:noProof/>
        </w:rPr>
        <w:t>605</w:t>
      </w:r>
      <w:r>
        <w:fldChar w:fldCharType="end"/>
      </w:r>
    </w:p>
    <w:p w:rsidR="00024C0A" w:rsidRDefault="00694C0F">
      <w:pPr>
        <w:pStyle w:val="indexentry0"/>
      </w:pPr>
      <w:hyperlink w:anchor="section_35eccf3dab5a4f67ae97655fe026c1aa">
        <w:r>
          <w:rPr>
            <w:rStyle w:val="Hyperlink"/>
          </w:rPr>
          <w:t>tp (Topic)</w:t>
        </w:r>
      </w:hyperlink>
      <w:r>
        <w:t xml:space="preserve"> </w:t>
      </w:r>
      <w:r>
        <w:fldChar w:fldCharType="begin"/>
      </w:r>
      <w:r>
        <w:instrText>PAGEREF section_35eccf3dab5a4f67ae97655fe026c1aa</w:instrText>
      </w:r>
      <w:r>
        <w:fldChar w:fldCharType="separate"/>
      </w:r>
      <w:r>
        <w:rPr>
          <w:noProof/>
        </w:rPr>
        <w:t>382</w:t>
      </w:r>
      <w:r>
        <w:fldChar w:fldCharType="end"/>
      </w:r>
    </w:p>
    <w:p w:rsidR="00024C0A" w:rsidRDefault="00694C0F">
      <w:pPr>
        <w:pStyle w:val="indexentry0"/>
      </w:pPr>
      <w:hyperlink w:anchor="section_9af15714a00f4a5290aae4fe8a4be470">
        <w:r>
          <w:rPr>
            <w:rStyle w:val="Hyperlink"/>
          </w:rPr>
          <w:t>tpl (Tuple)</w:t>
        </w:r>
      </w:hyperlink>
      <w:r>
        <w:t xml:space="preserve"> </w:t>
      </w:r>
      <w:r>
        <w:fldChar w:fldCharType="begin"/>
      </w:r>
      <w:r>
        <w:instrText>PAGEREF section_9af15714a00f4a5290aae4fe8a4be470</w:instrText>
      </w:r>
      <w:r>
        <w:fldChar w:fldCharType="separate"/>
      </w:r>
      <w:r>
        <w:rPr>
          <w:noProof/>
        </w:rPr>
        <w:t>365</w:t>
      </w:r>
      <w:r>
        <w:fldChar w:fldCharType="end"/>
      </w:r>
    </w:p>
    <w:p w:rsidR="00024C0A" w:rsidRDefault="00694C0F">
      <w:pPr>
        <w:pStyle w:val="indexentry0"/>
      </w:pPr>
      <w:hyperlink w:anchor="section_5253fec85698422f9346288d9f67dbd2">
        <w:r>
          <w:rPr>
            <w:rStyle w:val="Hyperlink"/>
          </w:rPr>
          <w:t>tr (References)</w:t>
        </w:r>
      </w:hyperlink>
      <w:r>
        <w:t xml:space="preserve"> </w:t>
      </w:r>
      <w:r>
        <w:fldChar w:fldCharType="begin"/>
      </w:r>
      <w:r>
        <w:instrText>PAGEREF section_5253fec85698422f9346288d9f67dbd2</w:instrText>
      </w:r>
      <w:r>
        <w:fldChar w:fldCharType="separate"/>
      </w:r>
      <w:r>
        <w:rPr>
          <w:noProof/>
        </w:rPr>
        <w:t>382</w:t>
      </w:r>
      <w:r>
        <w:fldChar w:fldCharType="end"/>
      </w:r>
    </w:p>
    <w:p w:rsidR="00024C0A" w:rsidRDefault="00694C0F">
      <w:pPr>
        <w:pStyle w:val="indexentry0"/>
      </w:pPr>
      <w:r>
        <w:t>tr (Table Row) (</w:t>
      </w:r>
      <w:hyperlink w:anchor="section_cc8ad504f84b4d8bac1d808e6f7b2a31">
        <w:r>
          <w:rPr>
            <w:rStyle w:val="Hyperlink"/>
          </w:rPr>
          <w:t>section 2.1.178</w:t>
        </w:r>
      </w:hyperlink>
      <w:r>
        <w:t xml:space="preserve"> </w:t>
      </w:r>
      <w:r>
        <w:fldChar w:fldCharType="begin"/>
      </w:r>
      <w:r>
        <w:instrText>PAGEREF section_cc8ad504f84b4d8bac1d808e6f7b2a31</w:instrText>
      </w:r>
      <w:r>
        <w:fldChar w:fldCharType="separate"/>
      </w:r>
      <w:r>
        <w:rPr>
          <w:noProof/>
        </w:rPr>
        <w:t>94</w:t>
      </w:r>
      <w:r>
        <w:fldChar w:fldCharType="end"/>
      </w:r>
      <w:r>
        <w:t xml:space="preserve">, </w:t>
      </w:r>
      <w:hyperlink w:anchor="section_312c4c2ed5b34407932a1122ed816de0">
        <w:r>
          <w:rPr>
            <w:rStyle w:val="Hyperlink"/>
          </w:rPr>
          <w:t>section 2.1.1421</w:t>
        </w:r>
      </w:hyperlink>
      <w:r>
        <w:t xml:space="preserve"> </w:t>
      </w:r>
      <w:r>
        <w:fldChar w:fldCharType="begin"/>
      </w:r>
      <w:r>
        <w:instrText>PAGEREF section_312c4c2ed5b34407932a1122ed816de0</w:instrText>
      </w:r>
      <w:r>
        <w:fldChar w:fldCharType="separate"/>
      </w:r>
      <w:r>
        <w:rPr>
          <w:noProof/>
        </w:rPr>
        <w:t>540</w:t>
      </w:r>
      <w:r>
        <w:fldChar w:fldCharType="end"/>
      </w:r>
      <w:r>
        <w:t>)</w:t>
      </w:r>
    </w:p>
    <w:p w:rsidR="00024C0A" w:rsidRDefault="00694C0F">
      <w:pPr>
        <w:pStyle w:val="indexentry0"/>
      </w:pPr>
      <w:hyperlink w:anchor="section_e029a4373f4d408c945eb1b52dcb04b3">
        <w:r>
          <w:rPr>
            <w:rStyle w:val="Hyperlink"/>
          </w:rPr>
          <w:t>tr2bl (Table Cell Top Right to Bottom Left Diagonal Border)</w:t>
        </w:r>
      </w:hyperlink>
      <w:r>
        <w:t xml:space="preserve"> </w:t>
      </w:r>
      <w:r>
        <w:fldChar w:fldCharType="begin"/>
      </w:r>
      <w:r>
        <w:instrText>PAGEREF section_e029a4373f4d408c945eb1b52dcb04b3</w:instrText>
      </w:r>
      <w:r>
        <w:fldChar w:fldCharType="separate"/>
      </w:r>
      <w:r>
        <w:rPr>
          <w:noProof/>
        </w:rPr>
        <w:t>94</w:t>
      </w:r>
      <w:r>
        <w:fldChar w:fldCharType="end"/>
      </w:r>
    </w:p>
    <w:p w:rsidR="00024C0A" w:rsidRDefault="00694C0F">
      <w:pPr>
        <w:pStyle w:val="indexentry0"/>
      </w:pPr>
      <w:hyperlink w:anchor="section_e4474de8f3b14dfeb6475bef678743ca">
        <w:r>
          <w:rPr>
            <w:rStyle w:val="Hyperlink"/>
          </w:rPr>
          <w:t>Tracking changes</w:t>
        </w:r>
      </w:hyperlink>
      <w:r>
        <w:t xml:space="preserve"> </w:t>
      </w:r>
      <w:r>
        <w:fldChar w:fldCharType="begin"/>
      </w:r>
      <w:r>
        <w:instrText>PAGEREF section_e4474de8f3b14dfeb6475bef678743ca</w:instrText>
      </w:r>
      <w:r>
        <w:fldChar w:fldCharType="separate"/>
      </w:r>
      <w:r>
        <w:rPr>
          <w:noProof/>
        </w:rPr>
        <w:t>899</w:t>
      </w:r>
      <w:r>
        <w:fldChar w:fldCharType="end"/>
      </w:r>
    </w:p>
    <w:p w:rsidR="00024C0A" w:rsidRDefault="00694C0F">
      <w:pPr>
        <w:pStyle w:val="indexentry0"/>
      </w:pPr>
      <w:hyperlink w:anchor="section_2ba8081c91f3403c9a7a258d000a5a32">
        <w:r>
          <w:rPr>
            <w:rStyle w:val="Hyperlink"/>
          </w:rPr>
          <w:t>transp (Transparent (Phantom))</w:t>
        </w:r>
      </w:hyperlink>
      <w:r>
        <w:t xml:space="preserve"> </w:t>
      </w:r>
      <w:r>
        <w:fldChar w:fldCharType="begin"/>
      </w:r>
      <w:r>
        <w:instrText>PAGEREF section_2ba8081c91f3403c9a7a258d000a5a32</w:instrText>
      </w:r>
      <w:r>
        <w:fldChar w:fldCharType="separate"/>
      </w:r>
      <w:r>
        <w:rPr>
          <w:noProof/>
        </w:rPr>
        <w:t>601</w:t>
      </w:r>
      <w:r>
        <w:fldChar w:fldCharType="end"/>
      </w:r>
    </w:p>
    <w:p w:rsidR="00024C0A" w:rsidRDefault="00694C0F">
      <w:pPr>
        <w:pStyle w:val="indexentry0"/>
      </w:pPr>
      <w:hyperlink w:anchor="section_a627a81e2d014a7f8f7c40e2aec4f792">
        <w:r>
          <w:rPr>
            <w:rStyle w:val="Hyperlink"/>
          </w:rPr>
          <w:t>trendline (Trendlines)</w:t>
        </w:r>
      </w:hyperlink>
      <w:r>
        <w:t xml:space="preserve"> </w:t>
      </w:r>
      <w:r>
        <w:fldChar w:fldCharType="begin"/>
      </w:r>
      <w:r>
        <w:instrText>PAGEREF section_a627a81e2d014a7f8f7c40e2aec4f792</w:instrText>
      </w:r>
      <w:r>
        <w:fldChar w:fldCharType="separate"/>
      </w:r>
      <w:r>
        <w:rPr>
          <w:noProof/>
        </w:rPr>
        <w:t>569</w:t>
      </w:r>
      <w:r>
        <w:fldChar w:fldCharType="end"/>
      </w:r>
    </w:p>
    <w:p w:rsidR="00024C0A" w:rsidRDefault="00694C0F">
      <w:pPr>
        <w:pStyle w:val="indexentry0"/>
      </w:pPr>
      <w:hyperlink w:anchor="section_fe147abc7915492ea048c353ef9ebb28">
        <w:r>
          <w:rPr>
            <w:rStyle w:val="Hyperlink"/>
          </w:rPr>
          <w:t>trendlineLbl (Trendline Label)</w:t>
        </w:r>
      </w:hyperlink>
      <w:r>
        <w:t xml:space="preserve"> </w:t>
      </w:r>
      <w:r>
        <w:fldChar w:fldCharType="begin"/>
      </w:r>
      <w:r>
        <w:instrText>PAGEREF section_fe147abc7915492ea048c353ef9ebb28</w:instrText>
      </w:r>
      <w:r>
        <w:fldChar w:fldCharType="separate"/>
      </w:r>
      <w:r>
        <w:rPr>
          <w:noProof/>
        </w:rPr>
        <w:t>569</w:t>
      </w:r>
      <w:r>
        <w:fldChar w:fldCharType="end"/>
      </w:r>
    </w:p>
    <w:p w:rsidR="00024C0A" w:rsidRDefault="00694C0F">
      <w:pPr>
        <w:pStyle w:val="indexentry0"/>
      </w:pPr>
      <w:hyperlink w:anchor="section_3a6020381d924913ad3e43556bf8b51f">
        <w:r>
          <w:rPr>
            <w:rStyle w:val="Hyperlink"/>
          </w:rPr>
          <w:t>trendlineType (Trendline Type)</w:t>
        </w:r>
      </w:hyperlink>
      <w:r>
        <w:t xml:space="preserve"> </w:t>
      </w:r>
      <w:r>
        <w:fldChar w:fldCharType="begin"/>
      </w:r>
      <w:r>
        <w:instrText>PAGEREF section_3a6020381d924913ad3e43556bf8b51f</w:instrText>
      </w:r>
      <w:r>
        <w:fldChar w:fldCharType="separate"/>
      </w:r>
      <w:r>
        <w:rPr>
          <w:noProof/>
        </w:rPr>
        <w:t>570</w:t>
      </w:r>
      <w:r>
        <w:fldChar w:fldCharType="end"/>
      </w:r>
    </w:p>
    <w:p w:rsidR="00024C0A" w:rsidRDefault="00694C0F">
      <w:pPr>
        <w:pStyle w:val="indexentry0"/>
      </w:pPr>
      <w:hyperlink w:anchor="section_5919e0bde6ce477e8d660e5282f5c506">
        <w:r>
          <w:rPr>
            <w:rStyle w:val="Hyperlink"/>
          </w:rPr>
          <w:t>trHeight (Table Row Height)</w:t>
        </w:r>
      </w:hyperlink>
      <w:r>
        <w:t xml:space="preserve"> </w:t>
      </w:r>
      <w:r>
        <w:fldChar w:fldCharType="begin"/>
      </w:r>
      <w:r>
        <w:instrText>PAGEREF section_591</w:instrText>
      </w:r>
      <w:r>
        <w:instrText>9e0bde6ce477e8d660e5282f5c506</w:instrText>
      </w:r>
      <w:r>
        <w:fldChar w:fldCharType="separate"/>
      </w:r>
      <w:r>
        <w:rPr>
          <w:noProof/>
        </w:rPr>
        <w:t>94</w:t>
      </w:r>
      <w:r>
        <w:fldChar w:fldCharType="end"/>
      </w:r>
    </w:p>
    <w:p w:rsidR="00024C0A" w:rsidRDefault="00694C0F">
      <w:pPr>
        <w:pStyle w:val="indexentry0"/>
      </w:pPr>
      <w:hyperlink w:anchor="section_2cbdb9beb9b2410daf3b3b09d6872ad6">
        <w:r>
          <w:rPr>
            <w:rStyle w:val="Hyperlink"/>
          </w:rPr>
          <w:t>TRIMMEAN</w:t>
        </w:r>
      </w:hyperlink>
      <w:r>
        <w:t xml:space="preserve"> </w:t>
      </w:r>
      <w:r>
        <w:fldChar w:fldCharType="begin"/>
      </w:r>
      <w:r>
        <w:instrText>PAGEREF section_2cbdb9beb9b2410daf3b3b09d6872ad6</w:instrText>
      </w:r>
      <w:r>
        <w:fldChar w:fldCharType="separate"/>
      </w:r>
      <w:r>
        <w:rPr>
          <w:noProof/>
        </w:rPr>
        <w:t>448</w:t>
      </w:r>
      <w:r>
        <w:fldChar w:fldCharType="end"/>
      </w:r>
    </w:p>
    <w:p w:rsidR="00024C0A" w:rsidRDefault="00694C0F">
      <w:pPr>
        <w:pStyle w:val="indexentry0"/>
      </w:pPr>
      <w:hyperlink w:anchor="section_36064a5b267d4a27a567453d8b96a5b3">
        <w:r>
          <w:rPr>
            <w:rStyle w:val="Hyperlink"/>
          </w:rPr>
          <w:t>trPr (Style Table Row Properties)</w:t>
        </w:r>
      </w:hyperlink>
      <w:r>
        <w:t xml:space="preserve"> </w:t>
      </w:r>
      <w:r>
        <w:fldChar w:fldCharType="begin"/>
      </w:r>
      <w:r>
        <w:instrText>PA</w:instrText>
      </w:r>
      <w:r>
        <w:instrText>GEREF section_36064a5b267d4a27a567453d8b96a5b3</w:instrText>
      </w:r>
      <w:r>
        <w:fldChar w:fldCharType="separate"/>
      </w:r>
      <w:r>
        <w:rPr>
          <w:noProof/>
        </w:rPr>
        <w:t>119</w:t>
      </w:r>
      <w:r>
        <w:fldChar w:fldCharType="end"/>
      </w:r>
    </w:p>
    <w:p w:rsidR="00024C0A" w:rsidRDefault="00694C0F">
      <w:pPr>
        <w:pStyle w:val="indexentry0"/>
      </w:pPr>
      <w:hyperlink w:anchor="section_c78643db45244582bab3b93a2dd7b94a">
        <w:r>
          <w:rPr>
            <w:rStyle w:val="Hyperlink"/>
          </w:rPr>
          <w:t>trPr (Table Style Conditional Formatting Table Row Properties)</w:t>
        </w:r>
      </w:hyperlink>
      <w:r>
        <w:t xml:space="preserve"> </w:t>
      </w:r>
      <w:r>
        <w:fldChar w:fldCharType="begin"/>
      </w:r>
      <w:r>
        <w:instrText>PAGEREF section_c78643db45244582bab3b93a2dd7b94a</w:instrText>
      </w:r>
      <w:r>
        <w:fldChar w:fldCharType="separate"/>
      </w:r>
      <w:r>
        <w:rPr>
          <w:noProof/>
        </w:rPr>
        <w:t>119</w:t>
      </w:r>
      <w:r>
        <w:fldChar w:fldCharType="end"/>
      </w:r>
    </w:p>
    <w:p w:rsidR="00024C0A" w:rsidRDefault="00694C0F">
      <w:pPr>
        <w:pStyle w:val="indexentry0"/>
      </w:pPr>
      <w:hyperlink w:anchor="section_953ded84289041e2b60711dc9c658a54">
        <w:r>
          <w:rPr>
            <w:rStyle w:val="Hyperlink"/>
          </w:rPr>
          <w:t>trPrChange (Revision Information for Table Row Properties)</w:t>
        </w:r>
      </w:hyperlink>
      <w:r>
        <w:t xml:space="preserve"> </w:t>
      </w:r>
      <w:r>
        <w:fldChar w:fldCharType="begin"/>
      </w:r>
      <w:r>
        <w:instrText>PAGEREF section_953ded84289041e2b60711dc9c658a54</w:instrText>
      </w:r>
      <w:r>
        <w:fldChar w:fldCharType="separate"/>
      </w:r>
      <w:r>
        <w:rPr>
          <w:noProof/>
        </w:rPr>
        <w:t>139</w:t>
      </w:r>
      <w:r>
        <w:fldChar w:fldCharType="end"/>
      </w:r>
    </w:p>
    <w:p w:rsidR="00024C0A" w:rsidRDefault="00694C0F">
      <w:pPr>
        <w:pStyle w:val="indexentry0"/>
      </w:pPr>
      <w:hyperlink w:anchor="section_5987610d70aa4818afcbd2769417c6fa">
        <w:r>
          <w:rPr>
            <w:rStyle w:val="Hyperlink"/>
          </w:rPr>
          <w:t>TRUNC</w:t>
        </w:r>
      </w:hyperlink>
      <w:r>
        <w:t xml:space="preserve"> </w:t>
      </w:r>
      <w:r>
        <w:fldChar w:fldCharType="begin"/>
      </w:r>
      <w:r>
        <w:instrText>PAGEREF section_5987610d70aa4818afcbd2769</w:instrText>
      </w:r>
      <w:r>
        <w:instrText>417c6fa</w:instrText>
      </w:r>
      <w:r>
        <w:fldChar w:fldCharType="separate"/>
      </w:r>
      <w:r>
        <w:rPr>
          <w:noProof/>
        </w:rPr>
        <w:t>448</w:t>
      </w:r>
      <w:r>
        <w:fldChar w:fldCharType="end"/>
      </w:r>
    </w:p>
    <w:p w:rsidR="00024C0A" w:rsidRDefault="00694C0F">
      <w:pPr>
        <w:pStyle w:val="indexentry0"/>
      </w:pPr>
      <w:hyperlink w:anchor="section_2cdcacbb510645f0bf6a22a240164164">
        <w:r>
          <w:rPr>
            <w:rStyle w:val="Hyperlink"/>
          </w:rPr>
          <w:t>TTEST</w:t>
        </w:r>
      </w:hyperlink>
      <w:r>
        <w:t xml:space="preserve"> </w:t>
      </w:r>
      <w:r>
        <w:fldChar w:fldCharType="begin"/>
      </w:r>
      <w:r>
        <w:instrText>PAGEREF section_2cdcacbb510645f0bf6a22a240164164</w:instrText>
      </w:r>
      <w:r>
        <w:fldChar w:fldCharType="separate"/>
      </w:r>
      <w:r>
        <w:rPr>
          <w:noProof/>
        </w:rPr>
        <w:t>448</w:t>
      </w:r>
      <w:r>
        <w:fldChar w:fldCharType="end"/>
      </w:r>
    </w:p>
    <w:p w:rsidR="00024C0A" w:rsidRDefault="00694C0F">
      <w:pPr>
        <w:pStyle w:val="indexentry0"/>
      </w:pPr>
      <w:hyperlink w:anchor="section_663bc5a19c244a29a84da6f9c6e60acd">
        <w:r>
          <w:rPr>
            <w:rStyle w:val="Hyperlink"/>
          </w:rPr>
          <w:t>tx (Series Text)</w:t>
        </w:r>
      </w:hyperlink>
      <w:r>
        <w:t xml:space="preserve"> </w:t>
      </w:r>
      <w:r>
        <w:fldChar w:fldCharType="begin"/>
      </w:r>
      <w:r>
        <w:instrText>PAGEREF section_663bc5a19c244a29a84da6f9c6e6</w:instrText>
      </w:r>
      <w:r>
        <w:instrText>0acd</w:instrText>
      </w:r>
      <w:r>
        <w:fldChar w:fldCharType="separate"/>
      </w:r>
      <w:r>
        <w:rPr>
          <w:noProof/>
        </w:rPr>
        <w:t>570</w:t>
      </w:r>
      <w:r>
        <w:fldChar w:fldCharType="end"/>
      </w:r>
    </w:p>
    <w:p w:rsidR="00024C0A" w:rsidRDefault="00694C0F">
      <w:pPr>
        <w:pStyle w:val="indexentry0"/>
      </w:pPr>
      <w:r>
        <w:t>txBody (Shape Text Body) (</w:t>
      </w:r>
      <w:hyperlink w:anchor="section_438b915f007e4b90839dd80034a94f66">
        <w:r>
          <w:rPr>
            <w:rStyle w:val="Hyperlink"/>
          </w:rPr>
          <w:t>section 2.1.1370</w:t>
        </w:r>
      </w:hyperlink>
      <w:r>
        <w:t xml:space="preserve"> </w:t>
      </w:r>
      <w:r>
        <w:fldChar w:fldCharType="begin"/>
      </w:r>
      <w:r>
        <w:instrText>PAGEREF section_438b915f007e4b90839dd80034a94f66</w:instrText>
      </w:r>
      <w:r>
        <w:fldChar w:fldCharType="separate"/>
      </w:r>
      <w:r>
        <w:rPr>
          <w:noProof/>
        </w:rPr>
        <w:t>525</w:t>
      </w:r>
      <w:r>
        <w:fldChar w:fldCharType="end"/>
      </w:r>
      <w:r>
        <w:t xml:space="preserve">, </w:t>
      </w:r>
      <w:hyperlink w:anchor="section_b4fc71bd2d784480b089944ce35dc6b2">
        <w:r>
          <w:rPr>
            <w:rStyle w:val="Hyperlink"/>
          </w:rPr>
          <w:t>section 2.1.1607</w:t>
        </w:r>
      </w:hyperlink>
      <w:r>
        <w:t xml:space="preserve"> </w:t>
      </w:r>
      <w:r>
        <w:fldChar w:fldCharType="begin"/>
      </w:r>
      <w:r>
        <w:instrText>PAGEREF section_b4fc71bd2d784480b089944ce35dc6b2</w:instrText>
      </w:r>
      <w:r>
        <w:fldChar w:fldCharType="separate"/>
      </w:r>
      <w:r>
        <w:rPr>
          <w:noProof/>
        </w:rPr>
        <w:t>579</w:t>
      </w:r>
      <w:r>
        <w:fldChar w:fldCharType="end"/>
      </w:r>
      <w:r>
        <w:t>)</w:t>
      </w:r>
    </w:p>
    <w:p w:rsidR="00024C0A" w:rsidRDefault="00694C0F">
      <w:pPr>
        <w:pStyle w:val="indexentry0"/>
      </w:pPr>
      <w:hyperlink w:anchor="section_dc83bfa3db214eb4b3c063b11f2575d3">
        <w:r>
          <w:rPr>
            <w:rStyle w:val="Hyperlink"/>
          </w:rPr>
          <w:t>txbxContent (Rich Text Box Content Container)</w:t>
        </w:r>
      </w:hyperlink>
      <w:r>
        <w:t xml:space="preserve"> </w:t>
      </w:r>
      <w:r>
        <w:fldChar w:fldCharType="begin"/>
      </w:r>
      <w:r>
        <w:instrText>PAGEREF section_dc83bfa3db214eb4b3c063b11f2575d3</w:instrText>
      </w:r>
      <w:r>
        <w:fldChar w:fldCharType="separate"/>
      </w:r>
      <w:r>
        <w:rPr>
          <w:noProof/>
        </w:rPr>
        <w:t>626</w:t>
      </w:r>
      <w:r>
        <w:fldChar w:fldCharType="end"/>
      </w:r>
    </w:p>
    <w:p w:rsidR="00024C0A" w:rsidRDefault="00694C0F">
      <w:pPr>
        <w:pStyle w:val="indexentry0"/>
      </w:pPr>
      <w:hyperlink w:anchor="section_ea27f7e7175b40d6b10d96f9eb8ae27d">
        <w:r>
          <w:rPr>
            <w:rStyle w:val="Hyperlink"/>
          </w:rPr>
          <w:t>txEffectClrLst (Text Effect Color List)</w:t>
        </w:r>
      </w:hyperlink>
      <w:r>
        <w:t xml:space="preserve"> </w:t>
      </w:r>
      <w:r>
        <w:fldChar w:fldCharType="begin"/>
      </w:r>
      <w:r>
        <w:instrText>PAGEREF section_ea27f7e7175b40d6b10d96f9eb8ae27d</w:instrText>
      </w:r>
      <w:r>
        <w:fldChar w:fldCharType="separate"/>
      </w:r>
      <w:r>
        <w:rPr>
          <w:noProof/>
        </w:rPr>
        <w:t>583</w:t>
      </w:r>
      <w:r>
        <w:fldChar w:fldCharType="end"/>
      </w:r>
    </w:p>
    <w:p w:rsidR="00024C0A" w:rsidRDefault="00694C0F">
      <w:pPr>
        <w:pStyle w:val="indexentry0"/>
      </w:pPr>
      <w:hyperlink w:anchor="section_80e28031fe3448deabb40d562836d2a0">
        <w:r>
          <w:rPr>
            <w:rStyle w:val="Hyperlink"/>
          </w:rPr>
          <w:t>txFillClrLst (Text Fill Color List)</w:t>
        </w:r>
      </w:hyperlink>
      <w:r>
        <w:t xml:space="preserve"> </w:t>
      </w:r>
      <w:r>
        <w:fldChar w:fldCharType="begin"/>
      </w:r>
      <w:r>
        <w:instrText>PAGEREF section_80e28031fe3448deabb40d562836</w:instrText>
      </w:r>
      <w:r>
        <w:instrText>d2a0</w:instrText>
      </w:r>
      <w:r>
        <w:fldChar w:fldCharType="separate"/>
      </w:r>
      <w:r>
        <w:rPr>
          <w:noProof/>
        </w:rPr>
        <w:t>583</w:t>
      </w:r>
      <w:r>
        <w:fldChar w:fldCharType="end"/>
      </w:r>
    </w:p>
    <w:p w:rsidR="00024C0A" w:rsidRDefault="00694C0F">
      <w:pPr>
        <w:pStyle w:val="indexentry0"/>
      </w:pPr>
      <w:hyperlink w:anchor="section_53ab4a0a7214451bad800daf95b4c4ef">
        <w:r>
          <w:rPr>
            <w:rStyle w:val="Hyperlink"/>
          </w:rPr>
          <w:t>txLinClrLst (Text Line Color List)</w:t>
        </w:r>
      </w:hyperlink>
      <w:r>
        <w:t xml:space="preserve"> </w:t>
      </w:r>
      <w:r>
        <w:fldChar w:fldCharType="begin"/>
      </w:r>
      <w:r>
        <w:instrText>PAGEREF section_53ab4a0a7214451bad800daf95b4c4ef</w:instrText>
      </w:r>
      <w:r>
        <w:fldChar w:fldCharType="separate"/>
      </w:r>
      <w:r>
        <w:rPr>
          <w:noProof/>
        </w:rPr>
        <w:t>583</w:t>
      </w:r>
      <w:r>
        <w:fldChar w:fldCharType="end"/>
      </w:r>
    </w:p>
    <w:p w:rsidR="00024C0A" w:rsidRDefault="00694C0F">
      <w:pPr>
        <w:pStyle w:val="indexentry0"/>
      </w:pPr>
      <w:hyperlink w:anchor="section_7567be8d0d5e4265a80b52a3006799b3">
        <w:r>
          <w:rPr>
            <w:rStyle w:val="Hyperlink"/>
          </w:rPr>
          <w:t>txPr (Text Properties)</w:t>
        </w:r>
      </w:hyperlink>
      <w:r>
        <w:t xml:space="preserve"> </w:t>
      </w:r>
      <w:r>
        <w:fldChar w:fldCharType="begin"/>
      </w:r>
      <w:r>
        <w:instrText>PAGEREF sect</w:instrText>
      </w:r>
      <w:r>
        <w:instrText>ion_7567be8d0d5e4265a80b52a3006799b3</w:instrText>
      </w:r>
      <w:r>
        <w:fldChar w:fldCharType="separate"/>
      </w:r>
      <w:r>
        <w:rPr>
          <w:noProof/>
        </w:rPr>
        <w:t>570</w:t>
      </w:r>
      <w:r>
        <w:fldChar w:fldCharType="end"/>
      </w:r>
    </w:p>
    <w:p w:rsidR="00024C0A" w:rsidRDefault="00694C0F">
      <w:pPr>
        <w:pStyle w:val="indexentry0"/>
      </w:pPr>
      <w:hyperlink w:anchor="section_ab045545aaa841f5945ead37902440a0">
        <w:r>
          <w:rPr>
            <w:rStyle w:val="Hyperlink"/>
          </w:rPr>
          <w:t>TYPE</w:t>
        </w:r>
      </w:hyperlink>
      <w:r>
        <w:t xml:space="preserve"> </w:t>
      </w:r>
      <w:r>
        <w:fldChar w:fldCharType="begin"/>
      </w:r>
      <w:r>
        <w:instrText>PAGEREF section_ab045545aaa841f5945ead37902440a0</w:instrText>
      </w:r>
      <w:r>
        <w:fldChar w:fldCharType="separate"/>
      </w:r>
      <w:r>
        <w:rPr>
          <w:noProof/>
        </w:rPr>
        <w:t>448</w:t>
      </w:r>
      <w:r>
        <w:fldChar w:fldCharType="end"/>
      </w:r>
    </w:p>
    <w:p w:rsidR="00024C0A" w:rsidRDefault="00694C0F">
      <w:pPr>
        <w:pStyle w:val="indexentry0"/>
      </w:pPr>
      <w:hyperlink w:anchor="section_b2b9f6962920492c92412a7b9ab6604e">
        <w:r>
          <w:rPr>
            <w:rStyle w:val="Hyperlink"/>
          </w:rPr>
          <w:t>type (Section Type)</w:t>
        </w:r>
      </w:hyperlink>
      <w:r>
        <w:t xml:space="preserve"> </w:t>
      </w:r>
      <w:r>
        <w:fldChar w:fldCharType="begin"/>
      </w:r>
      <w:r>
        <w:instrText>PAGEREF secti</w:instrText>
      </w:r>
      <w:r>
        <w:instrText>on_b2b9f6962920492c92412a7b9ab6604e</w:instrText>
      </w:r>
      <w:r>
        <w:fldChar w:fldCharType="separate"/>
      </w:r>
      <w:r>
        <w:rPr>
          <w:noProof/>
        </w:rPr>
        <w:t>104</w:t>
      </w:r>
      <w:r>
        <w:fldChar w:fldCharType="end"/>
      </w:r>
    </w:p>
    <w:p w:rsidR="00024C0A" w:rsidRDefault="00694C0F">
      <w:pPr>
        <w:pStyle w:val="indexentry0"/>
      </w:pPr>
      <w:hyperlink w:anchor="section_65b46619bfd94e1fb803596ec36fd891">
        <w:r>
          <w:rPr>
            <w:rStyle w:val="Hyperlink"/>
          </w:rPr>
          <w:t>Types and Values</w:t>
        </w:r>
      </w:hyperlink>
      <w:r>
        <w:t xml:space="preserve"> </w:t>
      </w:r>
      <w:r>
        <w:fldChar w:fldCharType="begin"/>
      </w:r>
      <w:r>
        <w:instrText>PAGEREF section_65b46619bfd94e1fb803596ec36fd891</w:instrText>
      </w:r>
      <w:r>
        <w:fldChar w:fldCharType="separate"/>
      </w:r>
      <w:r>
        <w:rPr>
          <w:noProof/>
        </w:rPr>
        <w:t>394</w:t>
      </w:r>
      <w:r>
        <w:fldChar w:fldCharType="end"/>
      </w:r>
    </w:p>
    <w:p w:rsidR="00024C0A" w:rsidRDefault="00024C0A">
      <w:pPr>
        <w:spacing w:before="0" w:after="0"/>
        <w:rPr>
          <w:sz w:val="16"/>
        </w:rPr>
      </w:pPr>
    </w:p>
    <w:p w:rsidR="00024C0A" w:rsidRDefault="00694C0F">
      <w:pPr>
        <w:pStyle w:val="indexheader"/>
      </w:pPr>
      <w:r>
        <w:t>U</w:t>
      </w:r>
    </w:p>
    <w:p w:rsidR="00024C0A" w:rsidRDefault="00024C0A">
      <w:pPr>
        <w:spacing w:before="0" w:after="0"/>
        <w:rPr>
          <w:sz w:val="16"/>
        </w:rPr>
      </w:pPr>
    </w:p>
    <w:p w:rsidR="00024C0A" w:rsidRDefault="00694C0F">
      <w:pPr>
        <w:pStyle w:val="indexentry0"/>
      </w:pPr>
      <w:hyperlink w:anchor="section_983b4d5a53ba4d7989cbfc13303af71b">
        <w:r>
          <w:rPr>
            <w:rStyle w:val="Hyperlink"/>
          </w:rPr>
          <w:t>u (Underline)</w:t>
        </w:r>
      </w:hyperlink>
      <w:r>
        <w:t xml:space="preserve"> </w:t>
      </w:r>
      <w:r>
        <w:fldChar w:fldCharType="begin"/>
      </w:r>
      <w:r>
        <w:instrText>PAGEREF section_983b4d5a53ba4d7989cbfc13303af71b</w:instrText>
      </w:r>
      <w:r>
        <w:fldChar w:fldCharType="separate"/>
      </w:r>
      <w:r>
        <w:rPr>
          <w:noProof/>
        </w:rPr>
        <w:t>78</w:t>
      </w:r>
      <w:r>
        <w:fldChar w:fldCharType="end"/>
      </w:r>
    </w:p>
    <w:p w:rsidR="00024C0A" w:rsidRDefault="00694C0F">
      <w:pPr>
        <w:pStyle w:val="indexentry0"/>
      </w:pPr>
      <w:hyperlink w:anchor="section_26666ffbbd6640afae0ff52667122e22">
        <w:r>
          <w:rPr>
            <w:rStyle w:val="Hyperlink"/>
          </w:rPr>
          <w:t>udl (UDL Connection String)</w:t>
        </w:r>
      </w:hyperlink>
      <w:r>
        <w:t xml:space="preserve"> </w:t>
      </w:r>
      <w:r>
        <w:fldChar w:fldCharType="begin"/>
      </w:r>
      <w:r>
        <w:instrText>PAGEREF section_26666ffbbd6640afae0ff52667122e22</w:instrText>
      </w:r>
      <w:r>
        <w:fldChar w:fldCharType="separate"/>
      </w:r>
      <w:r>
        <w:rPr>
          <w:noProof/>
        </w:rPr>
        <w:t>145</w:t>
      </w:r>
      <w:r>
        <w:fldChar w:fldCharType="end"/>
      </w:r>
    </w:p>
    <w:p w:rsidR="00024C0A" w:rsidRDefault="00694C0F">
      <w:pPr>
        <w:pStyle w:val="indexentry0"/>
      </w:pPr>
      <w:hyperlink w:anchor="section_57a29393712e406eaeaab5e186027a2d">
        <w:r>
          <w:rPr>
            <w:rStyle w:val="Hyperlink"/>
          </w:rPr>
          <w:t>uFillTx (Underline Fill Properties Follow Text)</w:t>
        </w:r>
      </w:hyperlink>
      <w:r>
        <w:t xml:space="preserve"> </w:t>
      </w:r>
      <w:r>
        <w:fldChar w:fldCharType="begin"/>
      </w:r>
      <w:r>
        <w:instrText>PAGEREF section_57a29393712e406eaeaab5e186027a2d</w:instrText>
      </w:r>
      <w:r>
        <w:fldChar w:fldCharType="separate"/>
      </w:r>
      <w:r>
        <w:rPr>
          <w:noProof/>
        </w:rPr>
        <w:t>536</w:t>
      </w:r>
      <w:r>
        <w:fldChar w:fldCharType="end"/>
      </w:r>
    </w:p>
    <w:p w:rsidR="00024C0A" w:rsidRDefault="00694C0F">
      <w:pPr>
        <w:pStyle w:val="indexentry0"/>
      </w:pPr>
      <w:hyperlink w:anchor="section_349abc4ba8f340adb212fe737803b70b">
        <w:r>
          <w:rPr>
            <w:rStyle w:val="Hyperlink"/>
          </w:rPr>
          <w:t>UIObj (UI Object Toggle)</w:t>
        </w:r>
      </w:hyperlink>
      <w:r>
        <w:t xml:space="preserve"> </w:t>
      </w:r>
      <w:r>
        <w:fldChar w:fldCharType="begin"/>
      </w:r>
      <w:r>
        <w:instrText>PAGEREF section_349abc4ba8f340adb212fe737803b70b</w:instrText>
      </w:r>
      <w:r>
        <w:fldChar w:fldCharType="separate"/>
      </w:r>
      <w:r>
        <w:rPr>
          <w:noProof/>
        </w:rPr>
        <w:t>677</w:t>
      </w:r>
      <w:r>
        <w:fldChar w:fldCharType="end"/>
      </w:r>
    </w:p>
    <w:p w:rsidR="00024C0A" w:rsidRDefault="00694C0F">
      <w:pPr>
        <w:pStyle w:val="indexentry0"/>
      </w:pPr>
      <w:hyperlink w:anchor="section_b7604183092342c887b44f0b6f850cbf">
        <w:r>
          <w:rPr>
            <w:rStyle w:val="Hyperlink"/>
          </w:rPr>
          <w:t>uiPriority (Optional User Interface Sorting Order)</w:t>
        </w:r>
      </w:hyperlink>
      <w:r>
        <w:t xml:space="preserve"> </w:t>
      </w:r>
      <w:r>
        <w:fldChar w:fldCharType="begin"/>
      </w:r>
      <w:r>
        <w:instrText>PAGEREF section_b7604183092342c887b44f0b6f850cbf</w:instrText>
      </w:r>
      <w:r>
        <w:fldChar w:fldCharType="separate"/>
      </w:r>
      <w:r>
        <w:rPr>
          <w:noProof/>
        </w:rPr>
        <w:t>116</w:t>
      </w:r>
      <w:r>
        <w:fldChar w:fldCharType="end"/>
      </w:r>
    </w:p>
    <w:p w:rsidR="00024C0A" w:rsidRDefault="00694C0F">
      <w:pPr>
        <w:pStyle w:val="indexentry0"/>
      </w:pPr>
      <w:hyperlink w:anchor="section_595d4ae635b74782bb498ffce58e85cf">
        <w:r>
          <w:rPr>
            <w:rStyle w:val="Hyperlink"/>
          </w:rPr>
          <w:t>uLn (Underline Stroke)</w:t>
        </w:r>
      </w:hyperlink>
      <w:r>
        <w:t xml:space="preserve"> </w:t>
      </w:r>
      <w:r>
        <w:fldChar w:fldCharType="begin"/>
      </w:r>
      <w:r>
        <w:instrText>PAGE</w:instrText>
      </w:r>
      <w:r>
        <w:instrText>REF section_595d4ae635b74782bb498ffce58e85cf</w:instrText>
      </w:r>
      <w:r>
        <w:fldChar w:fldCharType="separate"/>
      </w:r>
      <w:r>
        <w:rPr>
          <w:noProof/>
        </w:rPr>
        <w:t>536</w:t>
      </w:r>
      <w:r>
        <w:fldChar w:fldCharType="end"/>
      </w:r>
    </w:p>
    <w:p w:rsidR="00024C0A" w:rsidRDefault="00694C0F">
      <w:pPr>
        <w:pStyle w:val="indexentry0"/>
      </w:pPr>
      <w:hyperlink w:anchor="section_69cadf75de6b4dbfac34b8261e44afc3">
        <w:r>
          <w:rPr>
            <w:rStyle w:val="Hyperlink"/>
          </w:rPr>
          <w:t>undo (Undo)</w:t>
        </w:r>
      </w:hyperlink>
      <w:r>
        <w:t xml:space="preserve"> </w:t>
      </w:r>
      <w:r>
        <w:fldChar w:fldCharType="begin"/>
      </w:r>
      <w:r>
        <w:instrText>PAGEREF section_69cadf75de6b4dbfac34b8261e44afc3</w:instrText>
      </w:r>
      <w:r>
        <w:fldChar w:fldCharType="separate"/>
      </w:r>
      <w:r>
        <w:rPr>
          <w:noProof/>
        </w:rPr>
        <w:t>373</w:t>
      </w:r>
      <w:r>
        <w:fldChar w:fldCharType="end"/>
      </w:r>
    </w:p>
    <w:p w:rsidR="00024C0A" w:rsidRDefault="00694C0F">
      <w:pPr>
        <w:pStyle w:val="indexentry0"/>
      </w:pPr>
      <w:hyperlink w:anchor="section_8d383ab778ce4218ae868c670081fe50">
        <w:r>
          <w:rPr>
            <w:rStyle w:val="Hyperlink"/>
          </w:rPr>
          <w:t>uniqueTag (Unique Va</w:t>
        </w:r>
        <w:r>
          <w:rPr>
            <w:rStyle w:val="Hyperlink"/>
          </w:rPr>
          <w:t>lue for Record)</w:t>
        </w:r>
      </w:hyperlink>
      <w:r>
        <w:t xml:space="preserve"> </w:t>
      </w:r>
      <w:r>
        <w:fldChar w:fldCharType="begin"/>
      </w:r>
      <w:r>
        <w:instrText>PAGEREF section_8d383ab778ce4218ae868c670081fe50</w:instrText>
      </w:r>
      <w:r>
        <w:fldChar w:fldCharType="separate"/>
      </w:r>
      <w:r>
        <w:rPr>
          <w:noProof/>
        </w:rPr>
        <w:t>145</w:t>
      </w:r>
      <w:r>
        <w:fldChar w:fldCharType="end"/>
      </w:r>
    </w:p>
    <w:p w:rsidR="00024C0A" w:rsidRDefault="00694C0F">
      <w:pPr>
        <w:pStyle w:val="indexentry0"/>
      </w:pPr>
      <w:hyperlink w:anchor="section_586892cc568a469e9a6682293405b66e">
        <w:r>
          <w:rPr>
            <w:rStyle w:val="Hyperlink"/>
          </w:rPr>
          <w:t>up (Up Vector)</w:t>
        </w:r>
      </w:hyperlink>
      <w:r>
        <w:t xml:space="preserve"> </w:t>
      </w:r>
      <w:r>
        <w:fldChar w:fldCharType="begin"/>
      </w:r>
      <w:r>
        <w:instrText>PAGEREF section_586892cc568a469e9a6682293405b66e</w:instrText>
      </w:r>
      <w:r>
        <w:fldChar w:fldCharType="separate"/>
      </w:r>
      <w:r>
        <w:rPr>
          <w:noProof/>
        </w:rPr>
        <w:t>507</w:t>
      </w:r>
      <w:r>
        <w:fldChar w:fldCharType="end"/>
      </w:r>
    </w:p>
    <w:p w:rsidR="00024C0A" w:rsidRDefault="00694C0F">
      <w:pPr>
        <w:pStyle w:val="indexentry0"/>
      </w:pPr>
      <w:hyperlink w:anchor="section_d8bc14c05eeb49c19ba78edf4c33976f">
        <w:r>
          <w:rPr>
            <w:rStyle w:val="Hyperlink"/>
          </w:rPr>
          <w:t>updateFields (Automatically Recalculate Fields on Open)</w:t>
        </w:r>
      </w:hyperlink>
      <w:r>
        <w:t xml:space="preserve"> </w:t>
      </w:r>
      <w:r>
        <w:fldChar w:fldCharType="begin"/>
      </w:r>
      <w:r>
        <w:instrText>PAGEREF section_d8bc14c05eeb49c19ba78edf4c33976f</w:instrText>
      </w:r>
      <w:r>
        <w:fldChar w:fldCharType="separate"/>
      </w:r>
      <w:r>
        <w:rPr>
          <w:noProof/>
        </w:rPr>
        <w:t>157</w:t>
      </w:r>
      <w:r>
        <w:fldChar w:fldCharType="end"/>
      </w:r>
    </w:p>
    <w:p w:rsidR="00024C0A" w:rsidRDefault="00694C0F">
      <w:pPr>
        <w:pStyle w:val="indexentry0"/>
      </w:pPr>
      <w:hyperlink w:anchor="section_dc6ad719d7db4b06a8f17375c2d61522">
        <w:r>
          <w:rPr>
            <w:rStyle w:val="Hyperlink"/>
          </w:rPr>
          <w:t>USDOLLAR</w:t>
        </w:r>
      </w:hyperlink>
      <w:r>
        <w:t xml:space="preserve"> </w:t>
      </w:r>
      <w:r>
        <w:fldChar w:fldCharType="begin"/>
      </w:r>
      <w:r>
        <w:instrText>PAGEREF section_dc6ad719d7db4b06a8f17375c2d61522</w:instrText>
      </w:r>
      <w:r>
        <w:fldChar w:fldCharType="separate"/>
      </w:r>
      <w:r>
        <w:rPr>
          <w:noProof/>
        </w:rPr>
        <w:t>448</w:t>
      </w:r>
      <w:r>
        <w:fldChar w:fldCharType="end"/>
      </w:r>
    </w:p>
    <w:p w:rsidR="00024C0A" w:rsidRDefault="00694C0F">
      <w:pPr>
        <w:pStyle w:val="indexentry0"/>
      </w:pPr>
      <w:hyperlink w:anchor="section_bb7ecf827f11485eacabe9237c313497">
        <w:r>
          <w:rPr>
            <w:rStyle w:val="Hyperlink"/>
          </w:rPr>
          <w:t>USERADDRESS</w:t>
        </w:r>
      </w:hyperlink>
      <w:r>
        <w:t xml:space="preserve"> </w:t>
      </w:r>
      <w:r>
        <w:fldChar w:fldCharType="begin"/>
      </w:r>
      <w:r>
        <w:instrText>PAGEREF section_bb7ecf827f11485eacabe9237c313497</w:instrText>
      </w:r>
      <w:r>
        <w:fldChar w:fldCharType="separate"/>
      </w:r>
      <w:r>
        <w:rPr>
          <w:noProof/>
        </w:rPr>
        <w:t>224</w:t>
      </w:r>
      <w:r>
        <w:fldChar w:fldCharType="end"/>
      </w:r>
    </w:p>
    <w:p w:rsidR="00024C0A" w:rsidRDefault="00694C0F">
      <w:pPr>
        <w:pStyle w:val="indexentry0"/>
      </w:pPr>
      <w:hyperlink w:anchor="section_761605aa1b6b45aab7afd3147b353035">
        <w:r>
          <w:rPr>
            <w:rStyle w:val="Hyperlink"/>
          </w:rPr>
          <w:t>USERINITIALS</w:t>
        </w:r>
      </w:hyperlink>
      <w:r>
        <w:t xml:space="preserve"> </w:t>
      </w:r>
      <w:r>
        <w:fldChar w:fldCharType="begin"/>
      </w:r>
      <w:r>
        <w:instrText>PAGEREF section_761605aa1b6b45aab7afd3147b353035</w:instrText>
      </w:r>
      <w:r>
        <w:fldChar w:fldCharType="separate"/>
      </w:r>
      <w:r>
        <w:rPr>
          <w:noProof/>
        </w:rPr>
        <w:t>224</w:t>
      </w:r>
      <w:r>
        <w:fldChar w:fldCharType="end"/>
      </w:r>
    </w:p>
    <w:p w:rsidR="00024C0A" w:rsidRDefault="00694C0F">
      <w:pPr>
        <w:pStyle w:val="indexentry0"/>
      </w:pPr>
      <w:hyperlink w:anchor="section_2e9f2f68de8a476981ecc433df93c50c">
        <w:r>
          <w:rPr>
            <w:rStyle w:val="Hyperlink"/>
          </w:rPr>
          <w:t>userInterface (User Interface)</w:t>
        </w:r>
      </w:hyperlink>
      <w:r>
        <w:t xml:space="preserve"> </w:t>
      </w:r>
      <w:r>
        <w:fldChar w:fldCharType="begin"/>
      </w:r>
      <w:r>
        <w:instrText>PAGEREF section_2e9f2f68de8a476981ecc433df93c50c</w:instrText>
      </w:r>
      <w:r>
        <w:fldChar w:fldCharType="separate"/>
      </w:r>
      <w:r>
        <w:rPr>
          <w:noProof/>
        </w:rPr>
        <w:t>570</w:t>
      </w:r>
      <w:r>
        <w:fldChar w:fldCharType="end"/>
      </w:r>
    </w:p>
    <w:p w:rsidR="00024C0A" w:rsidRDefault="00694C0F">
      <w:pPr>
        <w:pStyle w:val="indexentry0"/>
      </w:pPr>
      <w:hyperlink w:anchor="section_fa983962308148aeaefefd3dc47bf97f">
        <w:r>
          <w:rPr>
            <w:rStyle w:val="Hyperlink"/>
          </w:rPr>
          <w:t>USERNAME</w:t>
        </w:r>
      </w:hyperlink>
      <w:r>
        <w:t xml:space="preserve"> </w:t>
      </w:r>
      <w:r>
        <w:fldChar w:fldCharType="begin"/>
      </w:r>
      <w:r>
        <w:instrText>PAGEREF section_fa983962308148aeaefefd3</w:instrText>
      </w:r>
      <w:r>
        <w:instrText>dc47bf97f</w:instrText>
      </w:r>
      <w:r>
        <w:fldChar w:fldCharType="separate"/>
      </w:r>
      <w:r>
        <w:rPr>
          <w:noProof/>
        </w:rPr>
        <w:t>224</w:t>
      </w:r>
      <w:r>
        <w:fldChar w:fldCharType="end"/>
      </w:r>
    </w:p>
    <w:p w:rsidR="00024C0A" w:rsidRDefault="00694C0F">
      <w:pPr>
        <w:pStyle w:val="indexentry0"/>
      </w:pPr>
      <w:hyperlink w:anchor="section_98a171fb28a2412fb7e945d21335b00c">
        <w:r>
          <w:rPr>
            <w:rStyle w:val="Hyperlink"/>
          </w:rPr>
          <w:t>users (User List)</w:t>
        </w:r>
      </w:hyperlink>
      <w:r>
        <w:t xml:space="preserve"> </w:t>
      </w:r>
      <w:r>
        <w:fldChar w:fldCharType="begin"/>
      </w:r>
      <w:r>
        <w:instrText>PAGEREF section_98a171fb28a2412fb7e945d21335b00c</w:instrText>
      </w:r>
      <w:r>
        <w:fldChar w:fldCharType="separate"/>
      </w:r>
      <w:r>
        <w:rPr>
          <w:noProof/>
        </w:rPr>
        <w:t>373</w:t>
      </w:r>
      <w:r>
        <w:fldChar w:fldCharType="end"/>
      </w:r>
    </w:p>
    <w:p w:rsidR="00024C0A" w:rsidRDefault="00024C0A">
      <w:pPr>
        <w:spacing w:before="0" w:after="0"/>
        <w:rPr>
          <w:sz w:val="16"/>
        </w:rPr>
      </w:pPr>
    </w:p>
    <w:p w:rsidR="00024C0A" w:rsidRDefault="00694C0F">
      <w:pPr>
        <w:pStyle w:val="indexheader"/>
      </w:pPr>
      <w:r>
        <w:t>V</w:t>
      </w:r>
    </w:p>
    <w:p w:rsidR="00024C0A" w:rsidRDefault="00024C0A">
      <w:pPr>
        <w:spacing w:before="0" w:after="0"/>
        <w:rPr>
          <w:sz w:val="16"/>
        </w:rPr>
      </w:pPr>
    </w:p>
    <w:p w:rsidR="00024C0A" w:rsidRDefault="00694C0F">
      <w:pPr>
        <w:pStyle w:val="indexentry0"/>
      </w:pPr>
      <w:hyperlink w:anchor="section_b9d01770b85b4fb2a387f5811719a1af">
        <w:r>
          <w:rPr>
            <w:rStyle w:val="Hyperlink"/>
          </w:rPr>
          <w:t>v (Cell Value)</w:t>
        </w:r>
      </w:hyperlink>
      <w:r>
        <w:t xml:space="preserve"> </w:t>
      </w:r>
      <w:r>
        <w:fldChar w:fldCharType="begin"/>
      </w:r>
      <w:r>
        <w:instrText>PAGEREF section_b9d01770b85b</w:instrText>
      </w:r>
      <w:r>
        <w:instrText>4fb2a387f5811719a1af</w:instrText>
      </w:r>
      <w:r>
        <w:fldChar w:fldCharType="separate"/>
      </w:r>
      <w:r>
        <w:rPr>
          <w:noProof/>
        </w:rPr>
        <w:t>285</w:t>
      </w:r>
      <w:r>
        <w:fldChar w:fldCharType="end"/>
      </w:r>
    </w:p>
    <w:p w:rsidR="00024C0A" w:rsidRDefault="00694C0F">
      <w:pPr>
        <w:pStyle w:val="indexentry0"/>
      </w:pPr>
      <w:hyperlink w:anchor="section_f1fef0f3755d403ba81f9730ffb5681c">
        <w:r>
          <w:rPr>
            <w:rStyle w:val="Hyperlink"/>
          </w:rPr>
          <w:t>v (Numeric Value)</w:t>
        </w:r>
      </w:hyperlink>
      <w:r>
        <w:t xml:space="preserve"> </w:t>
      </w:r>
      <w:r>
        <w:fldChar w:fldCharType="begin"/>
      </w:r>
      <w:r>
        <w:instrText>PAGEREF section_f1fef0f3755d403ba81f9730ffb5681c</w:instrText>
      </w:r>
      <w:r>
        <w:fldChar w:fldCharType="separate"/>
      </w:r>
      <w:r>
        <w:rPr>
          <w:noProof/>
        </w:rPr>
        <w:t>570</w:t>
      </w:r>
      <w:r>
        <w:fldChar w:fldCharType="end"/>
      </w:r>
    </w:p>
    <w:p w:rsidR="00024C0A" w:rsidRDefault="00694C0F">
      <w:pPr>
        <w:pStyle w:val="indexentry0"/>
      </w:pPr>
      <w:hyperlink w:anchor="section_9d1e79f6ab69441d8397ec6144a6afee">
        <w:r>
          <w:rPr>
            <w:rStyle w:val="Hyperlink"/>
          </w:rPr>
          <w:t>val (DDE Link Value)</w:t>
        </w:r>
      </w:hyperlink>
      <w:r>
        <w:t xml:space="preserve"> </w:t>
      </w:r>
      <w:r>
        <w:fldChar w:fldCharType="begin"/>
      </w:r>
      <w:r>
        <w:instrText>PAGEREF section</w:instrText>
      </w:r>
      <w:r>
        <w:instrText>_9d1e79f6ab69441d8397ec6144a6afee</w:instrText>
      </w:r>
      <w:r>
        <w:fldChar w:fldCharType="separate"/>
      </w:r>
      <w:r>
        <w:rPr>
          <w:noProof/>
        </w:rPr>
        <w:t>381</w:t>
      </w:r>
      <w:r>
        <w:fldChar w:fldCharType="end"/>
      </w:r>
    </w:p>
    <w:p w:rsidR="00024C0A" w:rsidRDefault="00694C0F">
      <w:pPr>
        <w:pStyle w:val="indexentry0"/>
      </w:pPr>
      <w:hyperlink w:anchor="section_4536b8c015fd4156a3e1b4a93b280d6f">
        <w:r>
          <w:rPr>
            <w:rStyle w:val="Hyperlink"/>
          </w:rPr>
          <w:t>val (Error Bar Value)</w:t>
        </w:r>
      </w:hyperlink>
      <w:r>
        <w:t xml:space="preserve"> </w:t>
      </w:r>
      <w:r>
        <w:fldChar w:fldCharType="begin"/>
      </w:r>
      <w:r>
        <w:instrText>PAGEREF section_4536b8c015fd4156a3e1b4a93b280d6f</w:instrText>
      </w:r>
      <w:r>
        <w:fldChar w:fldCharType="separate"/>
      </w:r>
      <w:r>
        <w:rPr>
          <w:noProof/>
        </w:rPr>
        <w:t>570</w:t>
      </w:r>
      <w:r>
        <w:fldChar w:fldCharType="end"/>
      </w:r>
    </w:p>
    <w:p w:rsidR="00024C0A" w:rsidRDefault="00694C0F">
      <w:pPr>
        <w:pStyle w:val="indexentry0"/>
      </w:pPr>
      <w:hyperlink w:anchor="section_f453e8c0282a48efac209554adad68b7">
        <w:r>
          <w:rPr>
            <w:rStyle w:val="Hyperlink"/>
          </w:rPr>
          <w:t>Val (Scroll bar posit</w:t>
        </w:r>
        <w:r>
          <w:rPr>
            <w:rStyle w:val="Hyperlink"/>
          </w:rPr>
          <w:t>ion)</w:t>
        </w:r>
      </w:hyperlink>
      <w:r>
        <w:t xml:space="preserve"> </w:t>
      </w:r>
      <w:r>
        <w:fldChar w:fldCharType="begin"/>
      </w:r>
      <w:r>
        <w:instrText>PAGEREF section_f453e8c0282a48efac209554adad68b7</w:instrText>
      </w:r>
      <w:r>
        <w:fldChar w:fldCharType="separate"/>
      </w:r>
      <w:r>
        <w:rPr>
          <w:noProof/>
        </w:rPr>
        <w:t>677</w:t>
      </w:r>
      <w:r>
        <w:fldChar w:fldCharType="end"/>
      </w:r>
    </w:p>
    <w:p w:rsidR="00024C0A" w:rsidRDefault="00694C0F">
      <w:pPr>
        <w:pStyle w:val="indexentry0"/>
      </w:pPr>
      <w:hyperlink w:anchor="section_a00fdd024b9f424a9f7e6bc5239c298e">
        <w:r>
          <w:rPr>
            <w:rStyle w:val="Hyperlink"/>
          </w:rPr>
          <w:t>valAx (Value Axis)</w:t>
        </w:r>
      </w:hyperlink>
      <w:r>
        <w:t xml:space="preserve"> </w:t>
      </w:r>
      <w:r>
        <w:fldChar w:fldCharType="begin"/>
      </w:r>
      <w:r>
        <w:instrText>PAGEREF section_a00fdd024b9f424a9f7e6bc5239c298e</w:instrText>
      </w:r>
      <w:r>
        <w:fldChar w:fldCharType="separate"/>
      </w:r>
      <w:r>
        <w:rPr>
          <w:noProof/>
        </w:rPr>
        <w:t>570</w:t>
      </w:r>
      <w:r>
        <w:fldChar w:fldCharType="end"/>
      </w:r>
    </w:p>
    <w:p w:rsidR="00024C0A" w:rsidRDefault="00694C0F">
      <w:pPr>
        <w:pStyle w:val="indexentry0"/>
      </w:pPr>
      <w:hyperlink w:anchor="section_56636a18430443ddbad9302d7e7582fe">
        <w:r>
          <w:rPr>
            <w:rStyle w:val="Hyperlink"/>
          </w:rPr>
          <w:t>ValidIds (Valid ID)</w:t>
        </w:r>
      </w:hyperlink>
      <w:r>
        <w:t xml:space="preserve"> </w:t>
      </w:r>
      <w:r>
        <w:fldChar w:fldCharType="begin"/>
      </w:r>
      <w:r>
        <w:instrText>PAGEREF section_56636a18430443ddbad9302d7e7582fe</w:instrText>
      </w:r>
      <w:r>
        <w:fldChar w:fldCharType="separate"/>
      </w:r>
      <w:r>
        <w:rPr>
          <w:noProof/>
        </w:rPr>
        <w:t>677</w:t>
      </w:r>
      <w:r>
        <w:fldChar w:fldCharType="end"/>
      </w:r>
    </w:p>
    <w:p w:rsidR="00024C0A" w:rsidRDefault="00694C0F">
      <w:pPr>
        <w:pStyle w:val="indexentry0"/>
      </w:pPr>
      <w:hyperlink w:anchor="section_d42f12d5178c4a6f8107e15b5b27bce8">
        <w:r>
          <w:rPr>
            <w:rStyle w:val="Hyperlink"/>
          </w:rPr>
          <w:t>vAlign (Table Cell Vertical Alignment)</w:t>
        </w:r>
      </w:hyperlink>
      <w:r>
        <w:t xml:space="preserve"> </w:t>
      </w:r>
      <w:r>
        <w:fldChar w:fldCharType="begin"/>
      </w:r>
      <w:r>
        <w:instrText>PAGEREF section_d42f12d5178c4a6f8107e15b5b27bce8</w:instrText>
      </w:r>
      <w:r>
        <w:fldChar w:fldCharType="separate"/>
      </w:r>
      <w:r>
        <w:rPr>
          <w:noProof/>
        </w:rPr>
        <w:t>94</w:t>
      </w:r>
      <w:r>
        <w:fldChar w:fldCharType="end"/>
      </w:r>
    </w:p>
    <w:p w:rsidR="00024C0A" w:rsidRDefault="00694C0F">
      <w:pPr>
        <w:pStyle w:val="indexentry0"/>
      </w:pPr>
      <w:hyperlink w:anchor="section_4d0498fcd6fd48449c3e82fb61cff764">
        <w:r>
          <w:rPr>
            <w:rStyle w:val="Hyperlink"/>
          </w:rPr>
          <w:t>VALUE</w:t>
        </w:r>
      </w:hyperlink>
      <w:r>
        <w:t xml:space="preserve"> </w:t>
      </w:r>
      <w:r>
        <w:fldChar w:fldCharType="begin"/>
      </w:r>
      <w:r>
        <w:instrText>PAGEREF section_4d0498fcd6fd48449c3e82fb61cff764</w:instrText>
      </w:r>
      <w:r>
        <w:fldChar w:fldCharType="separate"/>
      </w:r>
      <w:r>
        <w:rPr>
          <w:noProof/>
        </w:rPr>
        <w:t>449</w:t>
      </w:r>
      <w:r>
        <w:fldChar w:fldCharType="end"/>
      </w:r>
    </w:p>
    <w:p w:rsidR="00024C0A" w:rsidRDefault="00694C0F">
      <w:pPr>
        <w:pStyle w:val="indexentry0"/>
      </w:pPr>
      <w:hyperlink w:anchor="section_1d927b7d707f410ba9a95ee9d5289132">
        <w:r>
          <w:rPr>
            <w:rStyle w:val="Hyperlink"/>
          </w:rPr>
          <w:t>value (Value)</w:t>
        </w:r>
      </w:hyperlink>
      <w:r>
        <w:t xml:space="preserve"> </w:t>
      </w:r>
      <w:r>
        <w:fldChar w:fldCharType="begin"/>
      </w:r>
      <w:r>
        <w:instrText>PAGEREF section_1d927b7d707f410ba9a95ee9d5289132</w:instrText>
      </w:r>
      <w:r>
        <w:fldChar w:fldCharType="separate"/>
      </w:r>
      <w:r>
        <w:rPr>
          <w:noProof/>
        </w:rPr>
        <w:t>381</w:t>
      </w:r>
      <w:r>
        <w:fldChar w:fldCharType="end"/>
      </w:r>
    </w:p>
    <w:p w:rsidR="00024C0A" w:rsidRDefault="00694C0F">
      <w:pPr>
        <w:pStyle w:val="indexentry0"/>
      </w:pPr>
      <w:hyperlink w:anchor="section_b041ae678cdb46d28551e922106b987f">
        <w:r>
          <w:rPr>
            <w:rStyle w:val="Hyperlink"/>
          </w:rPr>
          <w:t>valueMetadata (Value Metadata)</w:t>
        </w:r>
      </w:hyperlink>
      <w:r>
        <w:t xml:space="preserve"> </w:t>
      </w:r>
      <w:r>
        <w:fldChar w:fldCharType="begin"/>
      </w:r>
      <w:r>
        <w:instrText>PAGEREF section_b041ae678cdb46d28551e922106b987f</w:instrText>
      </w:r>
      <w:r>
        <w:fldChar w:fldCharType="separate"/>
      </w:r>
      <w:r>
        <w:rPr>
          <w:noProof/>
        </w:rPr>
        <w:t>325</w:t>
      </w:r>
      <w:r>
        <w:fldChar w:fldCharType="end"/>
      </w:r>
    </w:p>
    <w:p w:rsidR="00024C0A" w:rsidRDefault="00694C0F">
      <w:pPr>
        <w:pStyle w:val="indexentry0"/>
      </w:pPr>
      <w:hyperlink w:anchor="section_4869f11e196c409caeb928d64ae3902e">
        <w:r>
          <w:rPr>
            <w:rStyle w:val="Hyperlink"/>
          </w:rPr>
          <w:t>values (DDE Name Values)</w:t>
        </w:r>
      </w:hyperlink>
      <w:r>
        <w:t xml:space="preserve"> </w:t>
      </w:r>
      <w:r>
        <w:fldChar w:fldCharType="begin"/>
      </w:r>
      <w:r>
        <w:instrText>PAGEREF section_4869f11e196c409caeb928d64ae3902e</w:instrText>
      </w:r>
      <w:r>
        <w:fldChar w:fldCharType="separate"/>
      </w:r>
      <w:r>
        <w:rPr>
          <w:noProof/>
        </w:rPr>
        <w:t>381</w:t>
      </w:r>
      <w:r>
        <w:fldChar w:fldCharType="end"/>
      </w:r>
    </w:p>
    <w:p w:rsidR="00024C0A" w:rsidRDefault="00694C0F">
      <w:pPr>
        <w:pStyle w:val="indexentry0"/>
      </w:pPr>
      <w:hyperlink w:anchor="section_17cbd3caed7e49d781c4937496be200e">
        <w:r>
          <w:rPr>
            <w:rStyle w:val="Hyperlink"/>
          </w:rPr>
          <w:t>VAR</w:t>
        </w:r>
      </w:hyperlink>
      <w:r>
        <w:t xml:space="preserve"> </w:t>
      </w:r>
      <w:r>
        <w:fldChar w:fldCharType="begin"/>
      </w:r>
      <w:r>
        <w:instrText>PAGEREF section_17cbd3caed7e49d781c4937496be200e</w:instrText>
      </w:r>
      <w:r>
        <w:fldChar w:fldCharType="separate"/>
      </w:r>
      <w:r>
        <w:rPr>
          <w:noProof/>
        </w:rPr>
        <w:t>449</w:t>
      </w:r>
      <w:r>
        <w:fldChar w:fldCharType="end"/>
      </w:r>
    </w:p>
    <w:p w:rsidR="00024C0A" w:rsidRDefault="00694C0F">
      <w:pPr>
        <w:pStyle w:val="indexentry0"/>
      </w:pPr>
      <w:hyperlink w:anchor="section_679b42b683744f1d98b2948061f3b26a">
        <w:r>
          <w:rPr>
            <w:rStyle w:val="Hyperlink"/>
          </w:rPr>
          <w:t>VARA</w:t>
        </w:r>
      </w:hyperlink>
      <w:r>
        <w:t xml:space="preserve"> </w:t>
      </w:r>
      <w:r>
        <w:fldChar w:fldCharType="begin"/>
      </w:r>
      <w:r>
        <w:instrText>PAGEREF section_679b42b683744f1d98b2948061f3b26a</w:instrText>
      </w:r>
      <w:r>
        <w:fldChar w:fldCharType="separate"/>
      </w:r>
      <w:r>
        <w:rPr>
          <w:noProof/>
        </w:rPr>
        <w:t>449</w:t>
      </w:r>
      <w:r>
        <w:fldChar w:fldCharType="end"/>
      </w:r>
    </w:p>
    <w:p w:rsidR="00024C0A" w:rsidRDefault="00694C0F">
      <w:pPr>
        <w:pStyle w:val="indexentry0"/>
      </w:pPr>
      <w:hyperlink w:anchor="section_cbed238b9f4444d6941aeec4f9e4dd4d">
        <w:r>
          <w:rPr>
            <w:rStyle w:val="Hyperlink"/>
          </w:rPr>
          <w:t>VARP</w:t>
        </w:r>
      </w:hyperlink>
      <w:r>
        <w:t xml:space="preserve"> </w:t>
      </w:r>
      <w:r>
        <w:fldChar w:fldCharType="begin"/>
      </w:r>
      <w:r>
        <w:instrText>PAGEREF section_cbed238b9f4444d6941aeec4f9e4dd4d</w:instrText>
      </w:r>
      <w:r>
        <w:fldChar w:fldCharType="separate"/>
      </w:r>
      <w:r>
        <w:rPr>
          <w:noProof/>
        </w:rPr>
        <w:t>449</w:t>
      </w:r>
      <w:r>
        <w:fldChar w:fldCharType="end"/>
      </w:r>
    </w:p>
    <w:p w:rsidR="00024C0A" w:rsidRDefault="00694C0F">
      <w:pPr>
        <w:pStyle w:val="indexentry0"/>
      </w:pPr>
      <w:hyperlink w:anchor="section_9fcbeb9f84674d9381ab8ce9c5270da0">
        <w:r>
          <w:rPr>
            <w:rStyle w:val="Hyperlink"/>
          </w:rPr>
          <w:t>VARPA</w:t>
        </w:r>
      </w:hyperlink>
      <w:r>
        <w:t xml:space="preserve"> </w:t>
      </w:r>
      <w:r>
        <w:fldChar w:fldCharType="begin"/>
      </w:r>
      <w:r>
        <w:instrText>PAGEREF section_9fcbeb9f84674d9381ab8ce9c5270da0</w:instrText>
      </w:r>
      <w:r>
        <w:fldChar w:fldCharType="separate"/>
      </w:r>
      <w:r>
        <w:rPr>
          <w:noProof/>
        </w:rPr>
        <w:t>449</w:t>
      </w:r>
      <w:r>
        <w:fldChar w:fldCharType="end"/>
      </w:r>
    </w:p>
    <w:p w:rsidR="00024C0A" w:rsidRDefault="00694C0F">
      <w:pPr>
        <w:pStyle w:val="indexentry0"/>
      </w:pPr>
      <w:hyperlink w:anchor="section_c929a5beb7e4401ba9b5699079e2705c">
        <w:r>
          <w:rPr>
            <w:rStyle w:val="Hyperlink"/>
          </w:rPr>
          <w:t>varyColors (Vary Colors by Point)</w:t>
        </w:r>
      </w:hyperlink>
      <w:r>
        <w:t xml:space="preserve"> </w:t>
      </w:r>
      <w:r>
        <w:fldChar w:fldCharType="begin"/>
      </w:r>
      <w:r>
        <w:instrText>PAGEREF section_c929a5beb7e4401ba9b5699079e2705c</w:instrText>
      </w:r>
      <w:r>
        <w:fldChar w:fldCharType="separate"/>
      </w:r>
      <w:r>
        <w:rPr>
          <w:noProof/>
        </w:rPr>
        <w:t>571</w:t>
      </w:r>
      <w:r>
        <w:fldChar w:fldCharType="end"/>
      </w:r>
    </w:p>
    <w:p w:rsidR="00024C0A" w:rsidRDefault="00694C0F">
      <w:pPr>
        <w:pStyle w:val="indexentry0"/>
      </w:pPr>
      <w:hyperlink w:anchor="section_ffd66ea9f4964af2a3bb9bb2bbfde505">
        <w:r>
          <w:rPr>
            <w:rStyle w:val="Hyperlink"/>
          </w:rPr>
          <w:t>VDB</w:t>
        </w:r>
      </w:hyperlink>
      <w:r>
        <w:t xml:space="preserve"> </w:t>
      </w:r>
      <w:r>
        <w:fldChar w:fldCharType="begin"/>
      </w:r>
      <w:r>
        <w:instrText>PAGEREF section_ffd66ea9f4964af2a3bb9bb2</w:instrText>
      </w:r>
      <w:r>
        <w:instrText>bbfde505</w:instrText>
      </w:r>
      <w:r>
        <w:fldChar w:fldCharType="separate"/>
      </w:r>
      <w:r>
        <w:rPr>
          <w:noProof/>
        </w:rPr>
        <w:t>450</w:t>
      </w:r>
      <w:r>
        <w:fldChar w:fldCharType="end"/>
      </w:r>
    </w:p>
    <w:p w:rsidR="00024C0A" w:rsidRDefault="00694C0F">
      <w:pPr>
        <w:pStyle w:val="indexentry0"/>
      </w:pPr>
      <w:hyperlink w:anchor="section_893fb101ec9d4f8c9153f02e1ab6312b">
        <w:r>
          <w:rPr>
            <w:rStyle w:val="Hyperlink"/>
          </w:rPr>
          <w:t>VerticalResolution (Vertical Resolution)</w:t>
        </w:r>
      </w:hyperlink>
      <w:r>
        <w:t xml:space="preserve"> </w:t>
      </w:r>
      <w:r>
        <w:fldChar w:fldCharType="begin"/>
      </w:r>
      <w:r>
        <w:instrText>PAGEREF section_893fb101ec9d4f8c9153f02e1ab6312b</w:instrText>
      </w:r>
      <w:r>
        <w:fldChar w:fldCharType="separate"/>
      </w:r>
      <w:r>
        <w:rPr>
          <w:noProof/>
        </w:rPr>
        <w:t>883</w:t>
      </w:r>
      <w:r>
        <w:fldChar w:fldCharType="end"/>
      </w:r>
    </w:p>
    <w:p w:rsidR="00024C0A" w:rsidRDefault="00694C0F">
      <w:pPr>
        <w:pStyle w:val="indexentry0"/>
      </w:pPr>
      <w:hyperlink w:anchor="section_110dbdf46d964994b9fa225ee0508cc3">
        <w:r>
          <w:rPr>
            <w:rStyle w:val="Hyperlink"/>
          </w:rPr>
          <w:t>video (Video)</w:t>
        </w:r>
      </w:hyperlink>
      <w:r>
        <w:t xml:space="preserve"> </w:t>
      </w:r>
      <w:r>
        <w:fldChar w:fldCharType="begin"/>
      </w:r>
      <w:r>
        <w:instrText>PAGEREF sec</w:instrText>
      </w:r>
      <w:r>
        <w:instrText>tion_110dbdf46d964994b9fa225ee0508cc3</w:instrText>
      </w:r>
      <w:r>
        <w:fldChar w:fldCharType="separate"/>
      </w:r>
      <w:r>
        <w:rPr>
          <w:noProof/>
        </w:rPr>
        <w:t>489</w:t>
      </w:r>
      <w:r>
        <w:fldChar w:fldCharType="end"/>
      </w:r>
    </w:p>
    <w:p w:rsidR="00024C0A" w:rsidRDefault="00694C0F">
      <w:pPr>
        <w:pStyle w:val="indexentry0"/>
      </w:pPr>
      <w:hyperlink w:anchor="section_1d9021fb7aa149c48f2d691a1c6684ad">
        <w:r>
          <w:rPr>
            <w:rStyle w:val="Hyperlink"/>
          </w:rPr>
          <w:t>videoFile (Video from File)</w:t>
        </w:r>
      </w:hyperlink>
      <w:r>
        <w:t xml:space="preserve"> </w:t>
      </w:r>
      <w:r>
        <w:fldChar w:fldCharType="begin"/>
      </w:r>
      <w:r>
        <w:instrText>PAGEREF section_1d9021fb7aa149c48f2d691a1c6684ad</w:instrText>
      </w:r>
      <w:r>
        <w:fldChar w:fldCharType="separate"/>
      </w:r>
      <w:r>
        <w:rPr>
          <w:noProof/>
        </w:rPr>
        <w:t>503</w:t>
      </w:r>
      <w:r>
        <w:fldChar w:fldCharType="end"/>
      </w:r>
    </w:p>
    <w:p w:rsidR="00024C0A" w:rsidRDefault="00694C0F">
      <w:pPr>
        <w:pStyle w:val="indexentry0"/>
      </w:pPr>
      <w:hyperlink w:anchor="section_9a6fb0ecc0454d0bb29c8f94edddef13">
        <w:r>
          <w:rPr>
            <w:rStyle w:val="Hyperlink"/>
          </w:rPr>
          <w:t>view (Docum</w:t>
        </w:r>
        <w:r>
          <w:rPr>
            <w:rStyle w:val="Hyperlink"/>
          </w:rPr>
          <w:t>ent View Setting)</w:t>
        </w:r>
      </w:hyperlink>
      <w:r>
        <w:t xml:space="preserve"> </w:t>
      </w:r>
      <w:r>
        <w:fldChar w:fldCharType="begin"/>
      </w:r>
      <w:r>
        <w:instrText>PAGEREF section_9a6fb0ecc0454d0bb29c8f94edddef13</w:instrText>
      </w:r>
      <w:r>
        <w:fldChar w:fldCharType="separate"/>
      </w:r>
      <w:r>
        <w:rPr>
          <w:noProof/>
        </w:rPr>
        <w:t>158</w:t>
      </w:r>
      <w:r>
        <w:fldChar w:fldCharType="end"/>
      </w:r>
    </w:p>
    <w:p w:rsidR="00024C0A" w:rsidRDefault="00694C0F">
      <w:pPr>
        <w:pStyle w:val="indexentry0"/>
      </w:pPr>
      <w:hyperlink w:anchor="section_4e6a14839d2e45e3bb39dfb21f5e7c92">
        <w:r>
          <w:rPr>
            <w:rStyle w:val="Hyperlink"/>
          </w:rPr>
          <w:t>view3D (View In 3D)</w:t>
        </w:r>
      </w:hyperlink>
      <w:r>
        <w:t xml:space="preserve"> </w:t>
      </w:r>
      <w:r>
        <w:fldChar w:fldCharType="begin"/>
      </w:r>
      <w:r>
        <w:instrText>PAGEREF section_4e6a14839d2e45e3bb39dfb21f5e7c92</w:instrText>
      </w:r>
      <w:r>
        <w:fldChar w:fldCharType="separate"/>
      </w:r>
      <w:r>
        <w:rPr>
          <w:noProof/>
        </w:rPr>
        <w:t>571</w:t>
      </w:r>
      <w:r>
        <w:fldChar w:fldCharType="end"/>
      </w:r>
    </w:p>
    <w:p w:rsidR="00024C0A" w:rsidRDefault="00694C0F">
      <w:pPr>
        <w:pStyle w:val="indexentry0"/>
      </w:pPr>
      <w:hyperlink w:anchor="section_f4941e4bd1ca43978593cf9367743447">
        <w:r>
          <w:rPr>
            <w:rStyle w:val="Hyperlink"/>
          </w:rPr>
          <w:t>VLOOKUP</w:t>
        </w:r>
      </w:hyperlink>
      <w:r>
        <w:t xml:space="preserve"> </w:t>
      </w:r>
      <w:r>
        <w:fldChar w:fldCharType="begin"/>
      </w:r>
      <w:r>
        <w:instrText>PAGEREF section_f4941e4bd1ca43978593cf9367743447</w:instrText>
      </w:r>
      <w:r>
        <w:fldChar w:fldCharType="separate"/>
      </w:r>
      <w:r>
        <w:rPr>
          <w:noProof/>
        </w:rPr>
        <w:t>450</w:t>
      </w:r>
      <w:r>
        <w:fldChar w:fldCharType="end"/>
      </w:r>
    </w:p>
    <w:p w:rsidR="00024C0A" w:rsidRDefault="00694C0F">
      <w:pPr>
        <w:pStyle w:val="indexentry0"/>
      </w:pPr>
      <w:hyperlink w:anchor="section_b23f8fd990cf47bea43371f702932446">
        <w:r>
          <w:rPr>
            <w:rStyle w:val="Hyperlink"/>
          </w:rPr>
          <w:t>vMerge (Vertically Merged Cell)</w:t>
        </w:r>
      </w:hyperlink>
      <w:r>
        <w:t xml:space="preserve"> </w:t>
      </w:r>
      <w:r>
        <w:fldChar w:fldCharType="begin"/>
      </w:r>
      <w:r>
        <w:instrText>PAGEREF section_b23f8fd990cf47bea43371f702932446</w:instrText>
      </w:r>
      <w:r>
        <w:fldChar w:fldCharType="separate"/>
      </w:r>
      <w:r>
        <w:rPr>
          <w:noProof/>
        </w:rPr>
        <w:t>95</w:t>
      </w:r>
      <w:r>
        <w:fldChar w:fldCharType="end"/>
      </w:r>
    </w:p>
    <w:p w:rsidR="00024C0A" w:rsidRDefault="00694C0F">
      <w:pPr>
        <w:pStyle w:val="indexentry0"/>
      </w:pPr>
      <w:hyperlink w:anchor="section_71366ecc35c3472fa82a9f507a1ee044">
        <w:r>
          <w:rPr>
            <w:rStyle w:val="Hyperlink"/>
          </w:rPr>
          <w:t>VML</w:t>
        </w:r>
      </w:hyperlink>
      <w:r>
        <w:t xml:space="preserve"> </w:t>
      </w:r>
      <w:r>
        <w:fldChar w:fldCharType="begin"/>
      </w:r>
      <w:r>
        <w:instrText>PAGEREF section_71366ecc35c3472fa82a9f507a1ee044</w:instrText>
      </w:r>
      <w:r>
        <w:fldChar w:fldCharType="separate"/>
      </w:r>
      <w:r>
        <w:rPr>
          <w:noProof/>
        </w:rPr>
        <w:t>628</w:t>
      </w:r>
      <w:r>
        <w:fldChar w:fldCharType="end"/>
      </w:r>
    </w:p>
    <w:p w:rsidR="00024C0A" w:rsidRDefault="00694C0F">
      <w:pPr>
        <w:pStyle w:val="indexentry0"/>
      </w:pPr>
      <w:hyperlink w:anchor="section_6bbe01acc7cd4fada1e6870f1a045022">
        <w:r>
          <w:rPr>
            <w:rStyle w:val="Hyperlink"/>
          </w:rPr>
          <w:t>VML Drawing Part</w:t>
        </w:r>
      </w:hyperlink>
      <w:r>
        <w:t xml:space="preserve"> </w:t>
      </w:r>
      <w:r>
        <w:fldChar w:fldCharType="begin"/>
      </w:r>
      <w:r>
        <w:instrText>PAGEREF section_6bbe01acc7cd4fada1e6870f1a045022</w:instrText>
      </w:r>
      <w:r>
        <w:fldChar w:fldCharType="separate"/>
      </w:r>
      <w:r>
        <w:rPr>
          <w:noProof/>
        </w:rPr>
        <w:t>619</w:t>
      </w:r>
      <w:r>
        <w:fldChar w:fldCharType="end"/>
      </w:r>
    </w:p>
    <w:p w:rsidR="00024C0A" w:rsidRDefault="00694C0F">
      <w:pPr>
        <w:pStyle w:val="indexentry0"/>
      </w:pPr>
      <w:hyperlink w:anchor="section_8e4340b124c84f1c8e03b3eaeaafb07e">
        <w:r>
          <w:rPr>
            <w:rStyle w:val="Hyperlink"/>
          </w:rPr>
          <w:t>vstream (Binary Versioned Stream)</w:t>
        </w:r>
      </w:hyperlink>
      <w:r>
        <w:t xml:space="preserve"> </w:t>
      </w:r>
      <w:r>
        <w:fldChar w:fldCharType="begin"/>
      </w:r>
      <w:r>
        <w:instrText>PAGEREF section_8e4340b124c84f1c8e03b3eaeaafb07e</w:instrText>
      </w:r>
      <w:r>
        <w:fldChar w:fldCharType="separate"/>
      </w:r>
      <w:r>
        <w:rPr>
          <w:noProof/>
        </w:rPr>
        <w:t>608</w:t>
      </w:r>
      <w:r>
        <w:fldChar w:fldCharType="end"/>
      </w:r>
    </w:p>
    <w:p w:rsidR="00024C0A" w:rsidRDefault="00024C0A">
      <w:pPr>
        <w:spacing w:before="0" w:after="0"/>
        <w:rPr>
          <w:sz w:val="16"/>
        </w:rPr>
      </w:pPr>
    </w:p>
    <w:p w:rsidR="00024C0A" w:rsidRDefault="00694C0F">
      <w:pPr>
        <w:pStyle w:val="indexheader"/>
      </w:pPr>
      <w:r>
        <w:t>W</w:t>
      </w:r>
    </w:p>
    <w:p w:rsidR="00024C0A" w:rsidRDefault="00024C0A">
      <w:pPr>
        <w:spacing w:before="0" w:after="0"/>
        <w:rPr>
          <w:sz w:val="16"/>
        </w:rPr>
      </w:pPr>
    </w:p>
    <w:p w:rsidR="00024C0A" w:rsidRDefault="00694C0F">
      <w:pPr>
        <w:pStyle w:val="indexentry0"/>
      </w:pPr>
      <w:hyperlink w:anchor="section_251f0661860c455ebc94a20c41df76c7">
        <w:r>
          <w:rPr>
            <w:rStyle w:val="Hyperlink"/>
          </w:rPr>
          <w:t>w (Width)</w:t>
        </w:r>
      </w:hyperlink>
      <w:r>
        <w:t xml:space="preserve"> </w:t>
      </w:r>
      <w:r>
        <w:fldChar w:fldCharType="begin"/>
      </w:r>
      <w:r>
        <w:instrText>PAGEREF section_251f0661860c45</w:instrText>
      </w:r>
      <w:r>
        <w:instrText>5ebc94a20c41df76c7</w:instrText>
      </w:r>
      <w:r>
        <w:fldChar w:fldCharType="separate"/>
      </w:r>
      <w:r>
        <w:rPr>
          <w:noProof/>
        </w:rPr>
        <w:t>571</w:t>
      </w:r>
      <w:r>
        <w:fldChar w:fldCharType="end"/>
      </w:r>
    </w:p>
    <w:p w:rsidR="00024C0A" w:rsidRDefault="00694C0F">
      <w:pPr>
        <w:pStyle w:val="indexentry0"/>
      </w:pPr>
      <w:hyperlink w:anchor="section_8141efd348254481b184b67376135071">
        <w:r>
          <w:rPr>
            <w:rStyle w:val="Hyperlink"/>
          </w:rPr>
          <w:t>wAfter (Preferred Width After Table Row)</w:t>
        </w:r>
      </w:hyperlink>
      <w:r>
        <w:t xml:space="preserve"> </w:t>
      </w:r>
      <w:r>
        <w:fldChar w:fldCharType="begin"/>
      </w:r>
      <w:r>
        <w:instrText>PAGEREF section_8141efd348254481b184b67376135071</w:instrText>
      </w:r>
      <w:r>
        <w:fldChar w:fldCharType="separate"/>
      </w:r>
      <w:r>
        <w:rPr>
          <w:noProof/>
        </w:rPr>
        <w:t>95</w:t>
      </w:r>
      <w:r>
        <w:fldChar w:fldCharType="end"/>
      </w:r>
    </w:p>
    <w:p w:rsidR="00024C0A" w:rsidRDefault="00694C0F">
      <w:pPr>
        <w:pStyle w:val="indexentry0"/>
      </w:pPr>
      <w:hyperlink w:anchor="section_94462b68e41c45288c011a5a370b8590">
        <w:r>
          <w:rPr>
            <w:rStyle w:val="Hyperlink"/>
          </w:rPr>
          <w:t>wBefore (Preferre</w:t>
        </w:r>
        <w:r>
          <w:rPr>
            <w:rStyle w:val="Hyperlink"/>
          </w:rPr>
          <w:t>d Width Before Table Row)</w:t>
        </w:r>
      </w:hyperlink>
      <w:r>
        <w:t xml:space="preserve"> </w:t>
      </w:r>
      <w:r>
        <w:fldChar w:fldCharType="begin"/>
      </w:r>
      <w:r>
        <w:instrText>PAGEREF section_94462b68e41c45288c011a5a370b8590</w:instrText>
      </w:r>
      <w:r>
        <w:fldChar w:fldCharType="separate"/>
      </w:r>
      <w:r>
        <w:rPr>
          <w:noProof/>
        </w:rPr>
        <w:t>95</w:t>
      </w:r>
      <w:r>
        <w:fldChar w:fldCharType="end"/>
      </w:r>
    </w:p>
    <w:p w:rsidR="00024C0A" w:rsidRDefault="00694C0F">
      <w:pPr>
        <w:pStyle w:val="indexentry0"/>
      </w:pPr>
      <w:hyperlink w:anchor="section_342bac6cb42c45d7aae0b30f39357bc9">
        <w:r>
          <w:rPr>
            <w:rStyle w:val="Hyperlink"/>
          </w:rPr>
          <w:t>wch (Character Insertion Keyboard Customization Action)</w:t>
        </w:r>
      </w:hyperlink>
      <w:r>
        <w:t xml:space="preserve"> </w:t>
      </w:r>
      <w:r>
        <w:fldChar w:fldCharType="begin"/>
      </w:r>
      <w:r>
        <w:instrText>PAGEREF section_342bac6cb42c45d7aae0b30f39357bc9</w:instrText>
      </w:r>
      <w:r>
        <w:fldChar w:fldCharType="separate"/>
      </w:r>
      <w:r>
        <w:rPr>
          <w:noProof/>
        </w:rPr>
        <w:t>700</w:t>
      </w:r>
      <w:r>
        <w:fldChar w:fldCharType="end"/>
      </w:r>
    </w:p>
    <w:p w:rsidR="00024C0A" w:rsidRDefault="00694C0F">
      <w:pPr>
        <w:pStyle w:val="indexentry0"/>
      </w:pPr>
      <w:hyperlink w:anchor="section_9008244b5c6a4219943e9431cf3372bc">
        <w:r>
          <w:rPr>
            <w:rStyle w:val="Hyperlink"/>
          </w:rPr>
          <w:t>webHidden (Web Hidden Text)</w:t>
        </w:r>
      </w:hyperlink>
      <w:r>
        <w:t xml:space="preserve"> </w:t>
      </w:r>
      <w:r>
        <w:fldChar w:fldCharType="begin"/>
      </w:r>
      <w:r>
        <w:instrText>PAGEREF section_9008244b5c6a4219943e9431cf3372bc</w:instrText>
      </w:r>
      <w:r>
        <w:fldChar w:fldCharType="separate"/>
      </w:r>
      <w:r>
        <w:rPr>
          <w:noProof/>
        </w:rPr>
        <w:t>78</w:t>
      </w:r>
      <w:r>
        <w:fldChar w:fldCharType="end"/>
      </w:r>
    </w:p>
    <w:p w:rsidR="00024C0A" w:rsidRDefault="00694C0F">
      <w:pPr>
        <w:pStyle w:val="indexentry0"/>
      </w:pPr>
      <w:hyperlink w:anchor="section_80e7f5389522414bbb21b06f6fa50e8c">
        <w:r>
          <w:rPr>
            <w:rStyle w:val="Hyperlink"/>
          </w:rPr>
          <w:t>webPr (Web Query Properties)</w:t>
        </w:r>
      </w:hyperlink>
      <w:r>
        <w:t xml:space="preserve"> </w:t>
      </w:r>
      <w:r>
        <w:fldChar w:fldCharType="begin"/>
      </w:r>
      <w:r>
        <w:instrText>PAGEREF section_80e7f53895</w:instrText>
      </w:r>
      <w:r>
        <w:instrText>22414bbb21b06f6fa50e8c</w:instrText>
      </w:r>
      <w:r>
        <w:fldChar w:fldCharType="separate"/>
      </w:r>
      <w:r>
        <w:rPr>
          <w:noProof/>
        </w:rPr>
        <w:t>378</w:t>
      </w:r>
      <w:r>
        <w:fldChar w:fldCharType="end"/>
      </w:r>
    </w:p>
    <w:p w:rsidR="00024C0A" w:rsidRDefault="00694C0F">
      <w:pPr>
        <w:pStyle w:val="indexentry0"/>
      </w:pPr>
      <w:hyperlink w:anchor="section_039e764d91ca4804af286f748173cd53">
        <w:r>
          <w:rPr>
            <w:rStyle w:val="Hyperlink"/>
          </w:rPr>
          <w:t>webPublishing (Web Publishing Properties)</w:t>
        </w:r>
      </w:hyperlink>
      <w:r>
        <w:t xml:space="preserve"> </w:t>
      </w:r>
      <w:r>
        <w:fldChar w:fldCharType="begin"/>
      </w:r>
      <w:r>
        <w:instrText>PAGEREF section_039e764d91ca4804af286f748173cd53</w:instrText>
      </w:r>
      <w:r>
        <w:fldChar w:fldCharType="separate"/>
      </w:r>
      <w:r>
        <w:rPr>
          <w:noProof/>
        </w:rPr>
        <w:t>244</w:t>
      </w:r>
      <w:r>
        <w:fldChar w:fldCharType="end"/>
      </w:r>
    </w:p>
    <w:p w:rsidR="00024C0A" w:rsidRDefault="00694C0F">
      <w:pPr>
        <w:pStyle w:val="indexentry0"/>
      </w:pPr>
      <w:hyperlink w:anchor="section_3f30b11eade64949b71423291a3c2c78">
        <w:r>
          <w:rPr>
            <w:rStyle w:val="Hyperlink"/>
          </w:rPr>
          <w:t>webPublishItem (Web Publishing Item)</w:t>
        </w:r>
      </w:hyperlink>
      <w:r>
        <w:t xml:space="preserve"> </w:t>
      </w:r>
      <w:r>
        <w:fldChar w:fldCharType="begin"/>
      </w:r>
      <w:r>
        <w:instrText>PAGEREF section_3f30b11eade64949b71423291a3c2c78</w:instrText>
      </w:r>
      <w:r>
        <w:fldChar w:fldCharType="separate"/>
      </w:r>
      <w:r>
        <w:rPr>
          <w:noProof/>
        </w:rPr>
        <w:t>286</w:t>
      </w:r>
      <w:r>
        <w:fldChar w:fldCharType="end"/>
      </w:r>
    </w:p>
    <w:p w:rsidR="00024C0A" w:rsidRDefault="00694C0F">
      <w:pPr>
        <w:pStyle w:val="indexentry0"/>
      </w:pPr>
      <w:hyperlink w:anchor="section_3ef755fd19944ba1a2994e532589d163">
        <w:r>
          <w:rPr>
            <w:rStyle w:val="Hyperlink"/>
          </w:rPr>
          <w:t>webPublishObject (Web Publishing Object)</w:t>
        </w:r>
      </w:hyperlink>
      <w:r>
        <w:t xml:space="preserve"> </w:t>
      </w:r>
      <w:r>
        <w:fldChar w:fldCharType="begin"/>
      </w:r>
      <w:r>
        <w:instrText>PAGEREF section_3ef755fd19944ba1a2994e532589d163</w:instrText>
      </w:r>
      <w:r>
        <w:fldChar w:fldCharType="separate"/>
      </w:r>
      <w:r>
        <w:rPr>
          <w:noProof/>
        </w:rPr>
        <w:t>244</w:t>
      </w:r>
      <w:r>
        <w:fldChar w:fldCharType="end"/>
      </w:r>
    </w:p>
    <w:p w:rsidR="00024C0A" w:rsidRDefault="00694C0F">
      <w:pPr>
        <w:pStyle w:val="indexentry0"/>
      </w:pPr>
      <w:hyperlink w:anchor="section_1ee2ed46bf004ca099e61c1af79d871d">
        <w:r>
          <w:rPr>
            <w:rStyle w:val="Hyperlink"/>
          </w:rPr>
          <w:t>WEIBULL</w:t>
        </w:r>
      </w:hyperlink>
      <w:r>
        <w:t xml:space="preserve"> </w:t>
      </w:r>
      <w:r>
        <w:fldChar w:fldCharType="begin"/>
      </w:r>
      <w:r>
        <w:instrText>PAGEREF section_1ee2ed46bf004ca099e61c1af79d871d</w:instrText>
      </w:r>
      <w:r>
        <w:fldChar w:fldCharType="separate"/>
      </w:r>
      <w:r>
        <w:rPr>
          <w:noProof/>
        </w:rPr>
        <w:t>450</w:t>
      </w:r>
      <w:r>
        <w:fldChar w:fldCharType="end"/>
      </w:r>
    </w:p>
    <w:p w:rsidR="00024C0A" w:rsidRDefault="00694C0F">
      <w:pPr>
        <w:pStyle w:val="indexentry0"/>
      </w:pPr>
      <w:hyperlink w:anchor="section_dba18dddef3f4ab38018e39a39c92f45">
        <w:r>
          <w:rPr>
            <w:rStyle w:val="Hyperlink"/>
          </w:rPr>
          <w:t>wheel (Wheel Slide Transition)</w:t>
        </w:r>
      </w:hyperlink>
      <w:r>
        <w:t xml:space="preserve"> </w:t>
      </w:r>
      <w:r>
        <w:fldChar w:fldCharType="begin"/>
      </w:r>
      <w:r>
        <w:instrText>PAGEREF section_dba18dddef3f4ab38018e39</w:instrText>
      </w:r>
      <w:r>
        <w:instrText>a39c92f45</w:instrText>
      </w:r>
      <w:r>
        <w:fldChar w:fldCharType="separate"/>
      </w:r>
      <w:r>
        <w:rPr>
          <w:noProof/>
        </w:rPr>
        <w:t>489</w:t>
      </w:r>
      <w:r>
        <w:fldChar w:fldCharType="end"/>
      </w:r>
    </w:p>
    <w:p w:rsidR="00024C0A" w:rsidRDefault="00694C0F">
      <w:pPr>
        <w:pStyle w:val="indexentry0"/>
      </w:pPr>
      <w:hyperlink w:anchor="section_12a52a6eebe841c09aebfdfb4fbca849">
        <w:r>
          <w:rPr>
            <w:rStyle w:val="Hyperlink"/>
          </w:rPr>
          <w:t>widowControl (Allow First/Last Line to Display on a Separate Page)</w:t>
        </w:r>
      </w:hyperlink>
      <w:r>
        <w:t xml:space="preserve"> </w:t>
      </w:r>
      <w:r>
        <w:fldChar w:fldCharType="begin"/>
      </w:r>
      <w:r>
        <w:instrText>PAGEREF section_12a52a6eebe841c09aebfdfb4fbca849</w:instrText>
      </w:r>
      <w:r>
        <w:fldChar w:fldCharType="separate"/>
      </w:r>
      <w:r>
        <w:rPr>
          <w:noProof/>
        </w:rPr>
        <w:t>67</w:t>
      </w:r>
      <w:r>
        <w:fldChar w:fldCharType="end"/>
      </w:r>
    </w:p>
    <w:p w:rsidR="00024C0A" w:rsidRDefault="00694C0F">
      <w:pPr>
        <w:pStyle w:val="indexentry0"/>
      </w:pPr>
      <w:hyperlink w:anchor="section_86cba58518844f6aa098d59ea4ba636b">
        <w:r>
          <w:rPr>
            <w:rStyle w:val="Hyperlink"/>
          </w:rPr>
          <w:t>WidthMin (Minimum Width)</w:t>
        </w:r>
      </w:hyperlink>
      <w:r>
        <w:t xml:space="preserve"> </w:t>
      </w:r>
      <w:r>
        <w:fldChar w:fldCharType="begin"/>
      </w:r>
      <w:r>
        <w:instrText>PAGEREF section_86cba58518844f6aa098d59ea4ba636b</w:instrText>
      </w:r>
      <w:r>
        <w:fldChar w:fldCharType="separate"/>
      </w:r>
      <w:r>
        <w:rPr>
          <w:noProof/>
        </w:rPr>
        <w:t>677</w:t>
      </w:r>
      <w:r>
        <w:fldChar w:fldCharType="end"/>
      </w:r>
    </w:p>
    <w:p w:rsidR="00024C0A" w:rsidRDefault="00694C0F">
      <w:pPr>
        <w:pStyle w:val="indexentry0"/>
      </w:pPr>
      <w:hyperlink w:anchor="section_ae87853684e54213896f28ec7f70b4aa">
        <w:r>
          <w:rPr>
            <w:rStyle w:val="Hyperlink"/>
          </w:rPr>
          <w:t>WindowsVersion (Windows Version)</w:t>
        </w:r>
      </w:hyperlink>
      <w:r>
        <w:t xml:space="preserve"> </w:t>
      </w:r>
      <w:r>
        <w:fldChar w:fldCharType="begin"/>
      </w:r>
      <w:r>
        <w:instrText>PAGEREF section_ae87853684e54213896f28ec7f70b4aa</w:instrText>
      </w:r>
      <w:r>
        <w:fldChar w:fldCharType="separate"/>
      </w:r>
      <w:r>
        <w:rPr>
          <w:noProof/>
        </w:rPr>
        <w:t>884</w:t>
      </w:r>
      <w:r>
        <w:fldChar w:fldCharType="end"/>
      </w:r>
    </w:p>
    <w:p w:rsidR="00024C0A" w:rsidRDefault="00694C0F">
      <w:pPr>
        <w:pStyle w:val="indexentry0"/>
      </w:pPr>
      <w:hyperlink w:anchor="section_bba0329034324d19ba214baa0944d9de">
        <w:r>
          <w:rPr>
            <w:rStyle w:val="Hyperlink"/>
          </w:rPr>
          <w:t>wll (WLL Macro Keyboard Customization Action)</w:t>
        </w:r>
      </w:hyperlink>
      <w:r>
        <w:t xml:space="preserve"> </w:t>
      </w:r>
      <w:r>
        <w:fldChar w:fldCharType="begin"/>
      </w:r>
      <w:r>
        <w:instrText>PAGEREF section_bba0329034324d19ba214baa0944d9de</w:instrText>
      </w:r>
      <w:r>
        <w:fldChar w:fldCharType="separate"/>
      </w:r>
      <w:r>
        <w:rPr>
          <w:noProof/>
        </w:rPr>
        <w:t>701</w:t>
      </w:r>
      <w:r>
        <w:fldChar w:fldCharType="end"/>
      </w:r>
    </w:p>
    <w:p w:rsidR="00024C0A" w:rsidRDefault="00694C0F">
      <w:pPr>
        <w:pStyle w:val="indexentry0"/>
      </w:pPr>
      <w:hyperlink w:anchor="section_67d2127f692243a29ffee4d67615136d">
        <w:r>
          <w:rPr>
            <w:rStyle w:val="Hyperlink"/>
          </w:rPr>
          <w:t>wMode (Width Mode)</w:t>
        </w:r>
      </w:hyperlink>
      <w:r>
        <w:t xml:space="preserve"> </w:t>
      </w:r>
      <w:r>
        <w:fldChar w:fldCharType="begin"/>
      </w:r>
      <w:r>
        <w:instrText>PAGEREF section_67d2127f692243a29ffee4d676</w:instrText>
      </w:r>
      <w:r>
        <w:instrText>15136d</w:instrText>
      </w:r>
      <w:r>
        <w:fldChar w:fldCharType="separate"/>
      </w:r>
      <w:r>
        <w:rPr>
          <w:noProof/>
        </w:rPr>
        <w:t>571</w:t>
      </w:r>
      <w:r>
        <w:fldChar w:fldCharType="end"/>
      </w:r>
    </w:p>
    <w:p w:rsidR="00024C0A" w:rsidRDefault="00694C0F">
      <w:pPr>
        <w:pStyle w:val="indexentry0"/>
      </w:pPr>
      <w:hyperlink w:anchor="section_7e6f9361139c47ebb40999f33fbe3b11">
        <w:r>
          <w:rPr>
            <w:rStyle w:val="Hyperlink"/>
          </w:rPr>
          <w:t>Word (Additional Information)</w:t>
        </w:r>
      </w:hyperlink>
      <w:r>
        <w:t xml:space="preserve"> </w:t>
      </w:r>
      <w:r>
        <w:fldChar w:fldCharType="begin"/>
      </w:r>
      <w:r>
        <w:instrText>PAGEREF section_7e6f9361139c47ebb40999f33fbe3b11</w:instrText>
      </w:r>
      <w:r>
        <w:fldChar w:fldCharType="separate"/>
      </w:r>
      <w:r>
        <w:rPr>
          <w:noProof/>
        </w:rPr>
        <w:t>684</w:t>
      </w:r>
      <w:r>
        <w:fldChar w:fldCharType="end"/>
      </w:r>
    </w:p>
    <w:p w:rsidR="00024C0A" w:rsidRDefault="00694C0F">
      <w:pPr>
        <w:pStyle w:val="indexentry0"/>
      </w:pPr>
      <w:hyperlink w:anchor="section_618afd53b3d54eb4836da647299f9e39">
        <w:r>
          <w:rPr>
            <w:rStyle w:val="Hyperlink"/>
          </w:rPr>
          <w:t>Word Attached Toolbars Part</w:t>
        </w:r>
      </w:hyperlink>
      <w:r>
        <w:t xml:space="preserve"> </w:t>
      </w:r>
      <w:r>
        <w:fldChar w:fldCharType="begin"/>
      </w:r>
      <w:r>
        <w:instrText>PAGEREF section_618afd53b3d54eb4836da647299f9e39</w:instrText>
      </w:r>
      <w:r>
        <w:fldChar w:fldCharType="separate"/>
      </w:r>
      <w:r>
        <w:rPr>
          <w:noProof/>
        </w:rPr>
        <w:t>684</w:t>
      </w:r>
      <w:r>
        <w:fldChar w:fldCharType="end"/>
      </w:r>
    </w:p>
    <w:p w:rsidR="00024C0A" w:rsidRDefault="00694C0F">
      <w:pPr>
        <w:pStyle w:val="indexentry0"/>
      </w:pPr>
      <w:hyperlink w:anchor="section_52855f50318e404192e10d0ddd08ed3d">
        <w:r>
          <w:rPr>
            <w:rStyle w:val="Hyperlink"/>
          </w:rPr>
          <w:t>Word Schema</w:t>
        </w:r>
      </w:hyperlink>
      <w:r>
        <w:t xml:space="preserve"> </w:t>
      </w:r>
      <w:r>
        <w:fldChar w:fldCharType="begin"/>
      </w:r>
      <w:r>
        <w:instrText>PAGEREF section_52855f50318e404192e10d0ddd08ed3d</w:instrText>
      </w:r>
      <w:r>
        <w:fldChar w:fldCharType="separate"/>
      </w:r>
      <w:r>
        <w:rPr>
          <w:noProof/>
        </w:rPr>
        <w:t>687</w:t>
      </w:r>
      <w:r>
        <w:fldChar w:fldCharType="end"/>
      </w:r>
    </w:p>
    <w:p w:rsidR="00024C0A" w:rsidRDefault="00694C0F">
      <w:pPr>
        <w:pStyle w:val="indexentry0"/>
      </w:pPr>
      <w:hyperlink w:anchor="section_19b9c0c565dd491c94d31487769154cf">
        <w:r>
          <w:rPr>
            <w:rStyle w:val="Hyperlink"/>
          </w:rPr>
          <w:t>WordprocessingML</w:t>
        </w:r>
      </w:hyperlink>
      <w:r>
        <w:t xml:space="preserve"> </w:t>
      </w:r>
      <w:r>
        <w:fldChar w:fldCharType="begin"/>
      </w:r>
      <w:r>
        <w:instrText>PAGEREF section_19b9c0c565dd491c94d31487769154cf</w:instrText>
      </w:r>
      <w:r>
        <w:fldChar w:fldCharType="separate"/>
      </w:r>
      <w:r>
        <w:rPr>
          <w:noProof/>
        </w:rPr>
        <w:t>46</w:t>
      </w:r>
      <w:r>
        <w:fldChar w:fldCharType="end"/>
      </w:r>
    </w:p>
    <w:p w:rsidR="00024C0A" w:rsidRDefault="00694C0F">
      <w:pPr>
        <w:pStyle w:val="indexentry0"/>
      </w:pPr>
      <w:hyperlink w:anchor="section_5c96914d820a4f49a23940024839685e">
        <w:r>
          <w:rPr>
            <w:rStyle w:val="Hyperlink"/>
          </w:rPr>
          <w:t>wordWrap (Allow Line Breaking At Character Level)</w:t>
        </w:r>
      </w:hyperlink>
      <w:r>
        <w:t xml:space="preserve"> </w:t>
      </w:r>
      <w:r>
        <w:fldChar w:fldCharType="begin"/>
      </w:r>
      <w:r>
        <w:instrText>PAGEREF section_5c96914d820a4f49a23940024839685e</w:instrText>
      </w:r>
      <w:r>
        <w:fldChar w:fldCharType="separate"/>
      </w:r>
      <w:r>
        <w:rPr>
          <w:noProof/>
        </w:rPr>
        <w:t>67</w:t>
      </w:r>
      <w:r>
        <w:fldChar w:fldCharType="end"/>
      </w:r>
    </w:p>
    <w:p w:rsidR="00024C0A" w:rsidRDefault="00694C0F">
      <w:pPr>
        <w:pStyle w:val="indexentry0"/>
      </w:pPr>
      <w:hyperlink w:anchor="section_7821b8f6672a4f05bc0f33b818210695">
        <w:r>
          <w:rPr>
            <w:rStyle w:val="Hyperlink"/>
          </w:rPr>
          <w:t>workbook (Workbook)</w:t>
        </w:r>
      </w:hyperlink>
      <w:r>
        <w:t xml:space="preserve"> </w:t>
      </w:r>
      <w:r>
        <w:fldChar w:fldCharType="begin"/>
      </w:r>
      <w:r>
        <w:instrText>PAGEREF section_7821b8f6672a4f05bc0f33b818210695</w:instrText>
      </w:r>
      <w:r>
        <w:fldChar w:fldCharType="separate"/>
      </w:r>
      <w:r>
        <w:rPr>
          <w:noProof/>
        </w:rPr>
        <w:t>244</w:t>
      </w:r>
      <w:r>
        <w:fldChar w:fldCharType="end"/>
      </w:r>
    </w:p>
    <w:p w:rsidR="00024C0A" w:rsidRDefault="00694C0F">
      <w:pPr>
        <w:pStyle w:val="indexentry0"/>
      </w:pPr>
      <w:hyperlink w:anchor="section_a251e7c67b8a4e2fb284025f9f09ba3e">
        <w:r>
          <w:rPr>
            <w:rStyle w:val="Hyperlink"/>
          </w:rPr>
          <w:t>workbookPr (Workbook Properties)</w:t>
        </w:r>
      </w:hyperlink>
      <w:r>
        <w:t xml:space="preserve"> </w:t>
      </w:r>
      <w:r>
        <w:fldChar w:fldCharType="begin"/>
      </w:r>
      <w:r>
        <w:instrText>PAGEREF section_a251e7c67b8a4e2fb284025f9f09ba3e</w:instrText>
      </w:r>
      <w:r>
        <w:fldChar w:fldCharType="separate"/>
      </w:r>
      <w:r>
        <w:rPr>
          <w:noProof/>
        </w:rPr>
        <w:t>244</w:t>
      </w:r>
      <w:r>
        <w:fldChar w:fldCharType="end"/>
      </w:r>
    </w:p>
    <w:p w:rsidR="00024C0A" w:rsidRDefault="00694C0F">
      <w:pPr>
        <w:pStyle w:val="indexentry0"/>
      </w:pPr>
      <w:hyperlink w:anchor="section_601cecceb95644ef9fa6736b2ce3657d">
        <w:r>
          <w:rPr>
            <w:rStyle w:val="Hyperlink"/>
          </w:rPr>
          <w:t>workbookProtection (Workbook Protection)</w:t>
        </w:r>
      </w:hyperlink>
      <w:r>
        <w:t xml:space="preserve"> </w:t>
      </w:r>
      <w:r>
        <w:fldChar w:fldCharType="begin"/>
      </w:r>
      <w:r>
        <w:instrText>PAGEREF section_601cecceb95644ef9fa6736b2ce3657d</w:instrText>
      </w:r>
      <w:r>
        <w:fldChar w:fldCharType="separate"/>
      </w:r>
      <w:r>
        <w:rPr>
          <w:noProof/>
        </w:rPr>
        <w:t>245</w:t>
      </w:r>
      <w:r>
        <w:fldChar w:fldCharType="end"/>
      </w:r>
    </w:p>
    <w:p w:rsidR="00024C0A" w:rsidRDefault="00694C0F">
      <w:pPr>
        <w:pStyle w:val="indexentry0"/>
      </w:pPr>
      <w:hyperlink w:anchor="section_6cdbff1e167a4316bdfe387b87fc6e58">
        <w:r>
          <w:rPr>
            <w:rStyle w:val="Hyperlink"/>
          </w:rPr>
          <w:t>workbookView (Workbook View)</w:t>
        </w:r>
      </w:hyperlink>
      <w:r>
        <w:t xml:space="preserve"> </w:t>
      </w:r>
      <w:r>
        <w:fldChar w:fldCharType="begin"/>
      </w:r>
      <w:r>
        <w:instrText>PAGEREF section_6</w:instrText>
      </w:r>
      <w:r>
        <w:instrText>cdbff1e167a4316bdfe387b87fc6e58</w:instrText>
      </w:r>
      <w:r>
        <w:fldChar w:fldCharType="separate"/>
      </w:r>
      <w:r>
        <w:rPr>
          <w:noProof/>
        </w:rPr>
        <w:t>249</w:t>
      </w:r>
      <w:r>
        <w:fldChar w:fldCharType="end"/>
      </w:r>
    </w:p>
    <w:p w:rsidR="00024C0A" w:rsidRDefault="00694C0F">
      <w:pPr>
        <w:pStyle w:val="indexentry0"/>
      </w:pPr>
      <w:hyperlink w:anchor="section_98b8f687fb534181bca576f0d5fb0980">
        <w:r>
          <w:rPr>
            <w:rStyle w:val="Hyperlink"/>
          </w:rPr>
          <w:t>WORKDAY</w:t>
        </w:r>
      </w:hyperlink>
      <w:r>
        <w:t xml:space="preserve"> </w:t>
      </w:r>
      <w:r>
        <w:fldChar w:fldCharType="begin"/>
      </w:r>
      <w:r>
        <w:instrText>PAGEREF section_98b8f687fb534181bca576f0d5fb0980</w:instrText>
      </w:r>
      <w:r>
        <w:fldChar w:fldCharType="separate"/>
      </w:r>
      <w:r>
        <w:rPr>
          <w:noProof/>
        </w:rPr>
        <w:t>450</w:t>
      </w:r>
      <w:r>
        <w:fldChar w:fldCharType="end"/>
      </w:r>
    </w:p>
    <w:p w:rsidR="00024C0A" w:rsidRDefault="00694C0F">
      <w:pPr>
        <w:pStyle w:val="indexentry0"/>
      </w:pPr>
      <w:hyperlink w:anchor="section_06b74d23c4ad4aea80942c046af21ce5">
        <w:r>
          <w:rPr>
            <w:rStyle w:val="Hyperlink"/>
          </w:rPr>
          <w:t>worksheet (Worksheet)</w:t>
        </w:r>
      </w:hyperlink>
      <w:r>
        <w:t xml:space="preserve"> </w:t>
      </w:r>
      <w:r>
        <w:fldChar w:fldCharType="begin"/>
      </w:r>
      <w:r>
        <w:instrText>PAGEREF secti</w:instrText>
      </w:r>
      <w:r>
        <w:instrText>on_06b74d23c4ad4aea80942c046af21ce5</w:instrText>
      </w:r>
      <w:r>
        <w:fldChar w:fldCharType="separate"/>
      </w:r>
      <w:r>
        <w:rPr>
          <w:noProof/>
        </w:rPr>
        <w:t>287</w:t>
      </w:r>
      <w:r>
        <w:fldChar w:fldCharType="end"/>
      </w:r>
    </w:p>
    <w:p w:rsidR="00024C0A" w:rsidRDefault="00694C0F">
      <w:pPr>
        <w:pStyle w:val="indexentry0"/>
      </w:pPr>
      <w:hyperlink w:anchor="section_a7964130cdca418e927282ca6b66f915">
        <w:r>
          <w:rPr>
            <w:rStyle w:val="Hyperlink"/>
          </w:rPr>
          <w:t>Worksheet Part</w:t>
        </w:r>
      </w:hyperlink>
      <w:r>
        <w:t xml:space="preserve"> </w:t>
      </w:r>
      <w:r>
        <w:fldChar w:fldCharType="begin"/>
      </w:r>
      <w:r>
        <w:instrText>PAGEREF section_a7964130cdca418e927282ca6b66f915</w:instrText>
      </w:r>
      <w:r>
        <w:fldChar w:fldCharType="separate"/>
      </w:r>
      <w:r>
        <w:rPr>
          <w:noProof/>
        </w:rPr>
        <w:t>48</w:t>
      </w:r>
      <w:r>
        <w:fldChar w:fldCharType="end"/>
      </w:r>
    </w:p>
    <w:p w:rsidR="00024C0A" w:rsidRDefault="00694C0F">
      <w:pPr>
        <w:pStyle w:val="indexentry0"/>
      </w:pPr>
      <w:hyperlink w:anchor="section_c004bb57aaa44a8c9eca2cab3f574fe2">
        <w:r>
          <w:rPr>
            <w:rStyle w:val="Hyperlink"/>
          </w:rPr>
          <w:t>Worksheet Sort Map Part</w:t>
        </w:r>
      </w:hyperlink>
      <w:r>
        <w:t xml:space="preserve"> </w:t>
      </w:r>
      <w:r>
        <w:fldChar w:fldCharType="begin"/>
      </w:r>
      <w:r>
        <w:instrText>PAGEREF section_c004bb57aaa44a8c9eca2cab3f574fe2</w:instrText>
      </w:r>
      <w:r>
        <w:fldChar w:fldCharType="separate"/>
      </w:r>
      <w:r>
        <w:rPr>
          <w:noProof/>
        </w:rPr>
        <w:t>830</w:t>
      </w:r>
      <w:r>
        <w:fldChar w:fldCharType="end"/>
      </w:r>
    </w:p>
    <w:p w:rsidR="00024C0A" w:rsidRDefault="00694C0F">
      <w:pPr>
        <w:pStyle w:val="indexentry0"/>
      </w:pPr>
      <w:hyperlink w:anchor="section_04defc35b52c443181a649ed63fe943f">
        <w:r>
          <w:rPr>
            <w:rStyle w:val="Hyperlink"/>
          </w:rPr>
          <w:t>worksheetSortMap (Worksheet Sort Map)</w:t>
        </w:r>
      </w:hyperlink>
      <w:r>
        <w:t xml:space="preserve"> </w:t>
      </w:r>
      <w:r>
        <w:fldChar w:fldCharType="begin"/>
      </w:r>
      <w:r>
        <w:instrText>PAGEREF section_04defc35b52c443181a649ed63fe943f</w:instrText>
      </w:r>
      <w:r>
        <w:fldChar w:fldCharType="separate"/>
      </w:r>
      <w:r>
        <w:rPr>
          <w:noProof/>
        </w:rPr>
        <w:t>835</w:t>
      </w:r>
      <w:r>
        <w:fldChar w:fldCharType="end"/>
      </w:r>
    </w:p>
    <w:p w:rsidR="00024C0A" w:rsidRDefault="00694C0F">
      <w:pPr>
        <w:pStyle w:val="indexentry0"/>
      </w:pPr>
      <w:hyperlink w:anchor="section_282914a2b1a44811aaaaa0fcd5cd486c">
        <w:r>
          <w:rPr>
            <w:rStyle w:val="Hyperlink"/>
          </w:rPr>
          <w:t>worksheetSource (Worksheet PivotCache Source)</w:t>
        </w:r>
      </w:hyperlink>
      <w:r>
        <w:t xml:space="preserve"> </w:t>
      </w:r>
      <w:r>
        <w:fldChar w:fldCharType="begin"/>
      </w:r>
      <w:r>
        <w:instrText>PAGEREF section_282914a2b1a44811aaaaa0fcd5cd486c</w:instrText>
      </w:r>
      <w:r>
        <w:fldChar w:fldCharType="separate"/>
      </w:r>
      <w:r>
        <w:rPr>
          <w:noProof/>
        </w:rPr>
        <w:t>365</w:t>
      </w:r>
      <w:r>
        <w:fldChar w:fldCharType="end"/>
      </w:r>
    </w:p>
    <w:p w:rsidR="00024C0A" w:rsidRDefault="00694C0F">
      <w:pPr>
        <w:pStyle w:val="indexentry0"/>
      </w:pPr>
      <w:hyperlink w:anchor="section_8b6f1c0c02834e0abf36746e029bd1de">
        <w:r>
          <w:rPr>
            <w:rStyle w:val="Hyperlink"/>
          </w:rPr>
          <w:t>wrap (Text Wrapping)</w:t>
        </w:r>
      </w:hyperlink>
      <w:r>
        <w:t xml:space="preserve"> </w:t>
      </w:r>
      <w:r>
        <w:fldChar w:fldCharType="begin"/>
      </w:r>
      <w:r>
        <w:instrText>PAGEREF section_8b6f1c0c02834e0abf36746e029bd1de</w:instrText>
      </w:r>
      <w:r>
        <w:fldChar w:fldCharType="separate"/>
      </w:r>
      <w:r>
        <w:rPr>
          <w:noProof/>
        </w:rPr>
        <w:t>672</w:t>
      </w:r>
      <w:r>
        <w:fldChar w:fldCharType="end"/>
      </w:r>
    </w:p>
    <w:p w:rsidR="00024C0A" w:rsidRDefault="00694C0F">
      <w:pPr>
        <w:pStyle w:val="indexentry0"/>
      </w:pPr>
      <w:hyperlink w:anchor="section_3a54031ff56e49cf8701a75401f3130d">
        <w:r>
          <w:rPr>
            <w:rStyle w:val="Hyperlink"/>
          </w:rPr>
          <w:t>writeProtection (Write Protection)</w:t>
        </w:r>
      </w:hyperlink>
      <w:r>
        <w:t xml:space="preserve"> </w:t>
      </w:r>
      <w:r>
        <w:fldChar w:fldCharType="begin"/>
      </w:r>
      <w:r>
        <w:instrText>PAGEREF section_3a54031ff56e49cf8701a75401f3130d</w:instrText>
      </w:r>
      <w:r>
        <w:fldChar w:fldCharType="separate"/>
      </w:r>
      <w:r>
        <w:rPr>
          <w:noProof/>
        </w:rPr>
        <w:t>158</w:t>
      </w:r>
      <w:r>
        <w:fldChar w:fldCharType="end"/>
      </w:r>
    </w:p>
    <w:p w:rsidR="00024C0A" w:rsidRDefault="00024C0A">
      <w:pPr>
        <w:spacing w:before="0" w:after="0"/>
        <w:rPr>
          <w:sz w:val="16"/>
        </w:rPr>
      </w:pPr>
    </w:p>
    <w:p w:rsidR="00024C0A" w:rsidRDefault="00694C0F">
      <w:pPr>
        <w:pStyle w:val="indexheader"/>
      </w:pPr>
      <w:r>
        <w:t>X</w:t>
      </w:r>
    </w:p>
    <w:p w:rsidR="00024C0A" w:rsidRDefault="00024C0A">
      <w:pPr>
        <w:spacing w:before="0" w:after="0"/>
        <w:rPr>
          <w:sz w:val="16"/>
        </w:rPr>
      </w:pPr>
    </w:p>
    <w:p w:rsidR="00024C0A" w:rsidRDefault="00694C0F">
      <w:pPr>
        <w:pStyle w:val="indexentry0"/>
      </w:pPr>
      <w:hyperlink w:anchor="section_39d7c73319c2444287d997c0efce4cda">
        <w:r>
          <w:rPr>
            <w:rStyle w:val="Hyperlink"/>
          </w:rPr>
          <w:t>x (Left)</w:t>
        </w:r>
      </w:hyperlink>
      <w:r>
        <w:t xml:space="preserve"> </w:t>
      </w:r>
      <w:r>
        <w:fldChar w:fldCharType="begin"/>
      </w:r>
      <w:r>
        <w:instrText>PAGEREF section_39d7c73319c2444287d997c0</w:instrText>
      </w:r>
      <w:r>
        <w:instrText>efce4cda</w:instrText>
      </w:r>
      <w:r>
        <w:fldChar w:fldCharType="separate"/>
      </w:r>
      <w:r>
        <w:rPr>
          <w:noProof/>
        </w:rPr>
        <w:t>572</w:t>
      </w:r>
      <w:r>
        <w:fldChar w:fldCharType="end"/>
      </w:r>
    </w:p>
    <w:p w:rsidR="00024C0A" w:rsidRDefault="00694C0F">
      <w:pPr>
        <w:pStyle w:val="indexentry0"/>
      </w:pPr>
      <w:hyperlink w:anchor="section_6218162291ef44eea9498c9232d7780b">
        <w:r>
          <w:rPr>
            <w:rStyle w:val="Hyperlink"/>
          </w:rPr>
          <w:t>x (Member Property Index)</w:t>
        </w:r>
      </w:hyperlink>
      <w:r>
        <w:t xml:space="preserve"> </w:t>
      </w:r>
      <w:r>
        <w:fldChar w:fldCharType="begin"/>
      </w:r>
      <w:r>
        <w:instrText>PAGEREF section_6218162291ef44eea9498c9232d7780b</w:instrText>
      </w:r>
      <w:r>
        <w:fldChar w:fldCharType="separate"/>
      </w:r>
      <w:r>
        <w:rPr>
          <w:noProof/>
        </w:rPr>
        <w:t>366</w:t>
      </w:r>
      <w:r>
        <w:fldChar w:fldCharType="end"/>
      </w:r>
    </w:p>
    <w:p w:rsidR="00024C0A" w:rsidRDefault="00694C0F">
      <w:pPr>
        <w:pStyle w:val="indexentry0"/>
      </w:pPr>
      <w:hyperlink w:anchor="section_a74ed3e7cea5463ba1ca57c2d1428a00">
        <w:r>
          <w:rPr>
            <w:rStyle w:val="Hyperlink"/>
          </w:rPr>
          <w:t>x (Shared Items Index)</w:t>
        </w:r>
      </w:hyperlink>
      <w:r>
        <w:t xml:space="preserve"> </w:t>
      </w:r>
      <w:r>
        <w:fldChar w:fldCharType="begin"/>
      </w:r>
      <w:r>
        <w:instrText>PAGEREF section_a74ed3e7cea5463ba1ca57c2d1428a00</w:instrText>
      </w:r>
      <w:r>
        <w:fldChar w:fldCharType="separate"/>
      </w:r>
      <w:r>
        <w:rPr>
          <w:noProof/>
        </w:rPr>
        <w:t>366</w:t>
      </w:r>
      <w:r>
        <w:fldChar w:fldCharType="end"/>
      </w:r>
    </w:p>
    <w:p w:rsidR="00024C0A" w:rsidRDefault="00694C0F">
      <w:pPr>
        <w:pStyle w:val="indexentry0"/>
      </w:pPr>
      <w:hyperlink w:anchor="section_7b8707b610e94ec597f9fc4672784ffd">
        <w:r>
          <w:rPr>
            <w:rStyle w:val="Hyperlink"/>
          </w:rPr>
          <w:t>XE</w:t>
        </w:r>
      </w:hyperlink>
      <w:r>
        <w:t xml:space="preserve"> </w:t>
      </w:r>
      <w:r>
        <w:fldChar w:fldCharType="begin"/>
      </w:r>
      <w:r>
        <w:instrText>PAGEREF section_7b8707b610e94ec597f9fc4672784ffd</w:instrText>
      </w:r>
      <w:r>
        <w:fldChar w:fldCharType="separate"/>
      </w:r>
      <w:r>
        <w:rPr>
          <w:noProof/>
        </w:rPr>
        <w:t>224</w:t>
      </w:r>
      <w:r>
        <w:fldChar w:fldCharType="end"/>
      </w:r>
    </w:p>
    <w:p w:rsidR="00024C0A" w:rsidRDefault="00694C0F">
      <w:pPr>
        <w:pStyle w:val="indexentry0"/>
      </w:pPr>
      <w:hyperlink w:anchor="section_68362a4b55894504b566e8154dce1de3">
        <w:r>
          <w:rPr>
            <w:rStyle w:val="Hyperlink"/>
          </w:rPr>
          <w:t>xf (Format)</w:t>
        </w:r>
      </w:hyperlink>
      <w:r>
        <w:t xml:space="preserve"> </w:t>
      </w:r>
      <w:r>
        <w:fldChar w:fldCharType="begin"/>
      </w:r>
      <w:r>
        <w:instrText>PAGEREF section_68362a4b55894504b566e8154dce1de3</w:instrText>
      </w:r>
      <w:r>
        <w:fldChar w:fldCharType="separate"/>
      </w:r>
      <w:r>
        <w:rPr>
          <w:noProof/>
        </w:rPr>
        <w:t>311</w:t>
      </w:r>
      <w:r>
        <w:fldChar w:fldCharType="end"/>
      </w:r>
    </w:p>
    <w:p w:rsidR="00024C0A" w:rsidRDefault="00694C0F">
      <w:pPr>
        <w:pStyle w:val="indexentry0"/>
      </w:pPr>
      <w:hyperlink w:anchor="section_48a966ea81ee44d28ed033607dc865e5">
        <w:r>
          <w:rPr>
            <w:rStyle w:val="Hyperlink"/>
          </w:rPr>
          <w:t>xfrm (2D Transform for Graphic Frame)</w:t>
        </w:r>
      </w:hyperlink>
      <w:r>
        <w:t xml:space="preserve"> </w:t>
      </w:r>
      <w:r>
        <w:fldChar w:fldCharType="begin"/>
      </w:r>
      <w:r>
        <w:instrText>PAGEREF section_48a966ea81ee44d28ed033607dc865e5</w:instrText>
      </w:r>
      <w:r>
        <w:fldChar w:fldCharType="separate"/>
      </w:r>
      <w:r>
        <w:rPr>
          <w:noProof/>
        </w:rPr>
        <w:t>468</w:t>
      </w:r>
      <w:r>
        <w:fldChar w:fldCharType="end"/>
      </w:r>
    </w:p>
    <w:p w:rsidR="00024C0A" w:rsidRDefault="00694C0F">
      <w:pPr>
        <w:pStyle w:val="indexentry0"/>
      </w:pPr>
      <w:hyperlink w:anchor="section_2401c007314f4d8eba6b767f54e8c97f">
        <w:r>
          <w:rPr>
            <w:rStyle w:val="Hyperlink"/>
          </w:rPr>
          <w:t>xfrm (2D Transform for Graphic Frames)</w:t>
        </w:r>
      </w:hyperlink>
      <w:r>
        <w:t xml:space="preserve"> </w:t>
      </w:r>
      <w:r>
        <w:fldChar w:fldCharType="begin"/>
      </w:r>
      <w:r>
        <w:instrText>PAGEREF section_2401c007314f4d8eba6b767f54e8c97f</w:instrText>
      </w:r>
      <w:r>
        <w:fldChar w:fldCharType="separate"/>
      </w:r>
      <w:r>
        <w:rPr>
          <w:noProof/>
        </w:rPr>
        <w:t>525</w:t>
      </w:r>
      <w:r>
        <w:fldChar w:fldCharType="end"/>
      </w:r>
    </w:p>
    <w:p w:rsidR="00024C0A" w:rsidRDefault="00694C0F">
      <w:pPr>
        <w:pStyle w:val="indexentry0"/>
      </w:pPr>
      <w:hyperlink w:anchor="section_98567b7e097a4450a82af83e25539aaf">
        <w:r>
          <w:rPr>
            <w:rStyle w:val="Hyperlink"/>
          </w:rPr>
          <w:t>xfrm (2D Transform for Grouped Objects)</w:t>
        </w:r>
      </w:hyperlink>
      <w:r>
        <w:t xml:space="preserve"> </w:t>
      </w:r>
      <w:r>
        <w:fldChar w:fldCharType="begin"/>
      </w:r>
      <w:r>
        <w:instrText>PAGEREF section_98567b7e097a4450a82af83e25539aaf</w:instrText>
      </w:r>
      <w:r>
        <w:fldChar w:fldCharType="separate"/>
      </w:r>
      <w:r>
        <w:rPr>
          <w:noProof/>
        </w:rPr>
        <w:t>508</w:t>
      </w:r>
      <w:r>
        <w:fldChar w:fldCharType="end"/>
      </w:r>
    </w:p>
    <w:p w:rsidR="00024C0A" w:rsidRDefault="00694C0F">
      <w:pPr>
        <w:pStyle w:val="indexentry0"/>
      </w:pPr>
      <w:hyperlink w:anchor="section_c7555d2c472a4d15b23041046bc41819">
        <w:r>
          <w:rPr>
            <w:rStyle w:val="Hyperlink"/>
          </w:rPr>
          <w:t>xfrm (2D Transform for Individual Objects)</w:t>
        </w:r>
      </w:hyperlink>
      <w:r>
        <w:t xml:space="preserve"> </w:t>
      </w:r>
      <w:r>
        <w:fldChar w:fldCharType="begin"/>
      </w:r>
      <w:r>
        <w:instrText>PAGEREF section_c7555d2c472a4d15b23041046bc41819</w:instrText>
      </w:r>
      <w:r>
        <w:fldChar w:fldCharType="separate"/>
      </w:r>
      <w:r>
        <w:rPr>
          <w:noProof/>
        </w:rPr>
        <w:t>508</w:t>
      </w:r>
      <w:r>
        <w:fldChar w:fldCharType="end"/>
      </w:r>
    </w:p>
    <w:p w:rsidR="00024C0A" w:rsidRDefault="00694C0F">
      <w:pPr>
        <w:pStyle w:val="indexentry0"/>
      </w:pPr>
      <w:hyperlink w:anchor="section_6f9a9b19ddc94304bacdb4245a8b9b3d">
        <w:r>
          <w:rPr>
            <w:rStyle w:val="Hyperlink"/>
          </w:rPr>
          <w:t>xfrm (Graphic Frame Transform)</w:t>
        </w:r>
      </w:hyperlink>
      <w:r>
        <w:t xml:space="preserve"> </w:t>
      </w:r>
      <w:r>
        <w:fldChar w:fldCharType="begin"/>
      </w:r>
      <w:r>
        <w:instrText>PA</w:instrText>
      </w:r>
      <w:r>
        <w:instrText>GEREF section_6f9a9b19ddc94304bacdb4245a8b9b3d</w:instrText>
      </w:r>
      <w:r>
        <w:fldChar w:fldCharType="separate"/>
      </w:r>
      <w:r>
        <w:rPr>
          <w:noProof/>
        </w:rPr>
        <w:t>580</w:t>
      </w:r>
      <w:r>
        <w:fldChar w:fldCharType="end"/>
      </w:r>
    </w:p>
    <w:p w:rsidR="00024C0A" w:rsidRDefault="00694C0F">
      <w:pPr>
        <w:pStyle w:val="indexentry0"/>
      </w:pPr>
      <w:hyperlink w:anchor="section_a003023ad1664c12821a703ac0870f7d">
        <w:r>
          <w:rPr>
            <w:rStyle w:val="Hyperlink"/>
          </w:rPr>
          <w:t>XIRR</w:t>
        </w:r>
      </w:hyperlink>
      <w:r>
        <w:t xml:space="preserve"> </w:t>
      </w:r>
      <w:r>
        <w:fldChar w:fldCharType="begin"/>
      </w:r>
      <w:r>
        <w:instrText>PAGEREF section_a003023ad1664c12821a703ac0870f7d</w:instrText>
      </w:r>
      <w:r>
        <w:fldChar w:fldCharType="separate"/>
      </w:r>
      <w:r>
        <w:rPr>
          <w:noProof/>
        </w:rPr>
        <w:t>450</w:t>
      </w:r>
      <w:r>
        <w:fldChar w:fldCharType="end"/>
      </w:r>
    </w:p>
    <w:p w:rsidR="00024C0A" w:rsidRDefault="00694C0F">
      <w:pPr>
        <w:pStyle w:val="indexentry0"/>
      </w:pPr>
      <w:hyperlink w:anchor="section_01d8bb8ec1fa46e7865d931ad671a6c1">
        <w:r>
          <w:rPr>
            <w:rStyle w:val="Hyperlink"/>
          </w:rPr>
          <w:t>XML representation</w:t>
        </w:r>
      </w:hyperlink>
      <w:r>
        <w:t xml:space="preserve"> </w:t>
      </w:r>
      <w:r>
        <w:fldChar w:fldCharType="begin"/>
      </w:r>
      <w:r>
        <w:instrText>PAGE</w:instrText>
      </w:r>
      <w:r>
        <w:instrText>REF section_01d8bb8ec1fa46e7865d931ad671a6c1</w:instrText>
      </w:r>
      <w:r>
        <w:fldChar w:fldCharType="separate"/>
      </w:r>
      <w:r>
        <w:rPr>
          <w:noProof/>
        </w:rPr>
        <w:t>164</w:t>
      </w:r>
      <w:r>
        <w:fldChar w:fldCharType="end"/>
      </w:r>
    </w:p>
    <w:p w:rsidR="00024C0A" w:rsidRDefault="00694C0F">
      <w:pPr>
        <w:pStyle w:val="indexentry0"/>
      </w:pPr>
      <w:hyperlink w:anchor="section_c4068cc3c49f4d34bbfc4fe10a1a689d">
        <w:r>
          <w:rPr>
            <w:rStyle w:val="Hyperlink"/>
          </w:rPr>
          <w:t>xmlCellPr (Cell Properties)</w:t>
        </w:r>
      </w:hyperlink>
      <w:r>
        <w:t xml:space="preserve"> </w:t>
      </w:r>
      <w:r>
        <w:fldChar w:fldCharType="begin"/>
      </w:r>
      <w:r>
        <w:instrText>PAGEREF section_c4068cc3c49f4d34bbfc4fe10a1a689d</w:instrText>
      </w:r>
      <w:r>
        <w:fldChar w:fldCharType="separate"/>
      </w:r>
      <w:r>
        <w:rPr>
          <w:noProof/>
        </w:rPr>
        <w:t>293</w:t>
      </w:r>
      <w:r>
        <w:fldChar w:fldCharType="end"/>
      </w:r>
    </w:p>
    <w:p w:rsidR="00024C0A" w:rsidRDefault="00694C0F">
      <w:pPr>
        <w:pStyle w:val="indexentry0"/>
      </w:pPr>
      <w:hyperlink w:anchor="section_23b8caabf8874d62a52cd0f1cb904aab">
        <w:r>
          <w:rPr>
            <w:rStyle w:val="Hyperlink"/>
          </w:rPr>
          <w:t>xmlC</w:t>
        </w:r>
        <w:r>
          <w:rPr>
            <w:rStyle w:val="Hyperlink"/>
          </w:rPr>
          <w:t>olumnPr (XML Column Properties)</w:t>
        </w:r>
      </w:hyperlink>
      <w:r>
        <w:t xml:space="preserve"> </w:t>
      </w:r>
      <w:r>
        <w:fldChar w:fldCharType="begin"/>
      </w:r>
      <w:r>
        <w:instrText>PAGEREF section_23b8caabf8874d62a52cd0f1cb904aab</w:instrText>
      </w:r>
      <w:r>
        <w:fldChar w:fldCharType="separate"/>
      </w:r>
      <w:r>
        <w:rPr>
          <w:noProof/>
        </w:rPr>
        <w:t>292</w:t>
      </w:r>
      <w:r>
        <w:fldChar w:fldCharType="end"/>
      </w:r>
    </w:p>
    <w:p w:rsidR="00024C0A" w:rsidRDefault="00694C0F">
      <w:pPr>
        <w:pStyle w:val="indexentry0"/>
      </w:pPr>
      <w:hyperlink w:anchor="section_de9b88626c554161908f55ad7955eb6f">
        <w:r>
          <w:rPr>
            <w:rStyle w:val="Hyperlink"/>
          </w:rPr>
          <w:t>XMLNamespace (Namespace for Property Editor)</w:t>
        </w:r>
      </w:hyperlink>
      <w:r>
        <w:t xml:space="preserve"> </w:t>
      </w:r>
      <w:r>
        <w:fldChar w:fldCharType="begin"/>
      </w:r>
      <w:r>
        <w:instrText>PAGEREF section_de9b88626c554161908f55ad7955eb6f</w:instrText>
      </w:r>
      <w:r>
        <w:fldChar w:fldCharType="separate"/>
      </w:r>
      <w:r>
        <w:rPr>
          <w:noProof/>
        </w:rPr>
        <w:t>866</w:t>
      </w:r>
      <w:r>
        <w:fldChar w:fldCharType="end"/>
      </w:r>
    </w:p>
    <w:p w:rsidR="00024C0A" w:rsidRDefault="00694C0F">
      <w:pPr>
        <w:pStyle w:val="indexentry0"/>
      </w:pPr>
      <w:hyperlink w:anchor="section_cbb4061e04964dd294f5cacadf834a0a">
        <w:r>
          <w:rPr>
            <w:rStyle w:val="Hyperlink"/>
          </w:rPr>
          <w:t>xmlPr (Column XML Properties)</w:t>
        </w:r>
      </w:hyperlink>
      <w:r>
        <w:t xml:space="preserve"> </w:t>
      </w:r>
      <w:r>
        <w:fldChar w:fldCharType="begin"/>
      </w:r>
      <w:r>
        <w:instrText>PAGEREF section_cbb4061e04964dd294f5cacadf834a0a</w:instrText>
      </w:r>
      <w:r>
        <w:fldChar w:fldCharType="separate"/>
      </w:r>
      <w:r>
        <w:rPr>
          <w:noProof/>
        </w:rPr>
        <w:t>293</w:t>
      </w:r>
      <w:r>
        <w:fldChar w:fldCharType="end"/>
      </w:r>
    </w:p>
    <w:p w:rsidR="00024C0A" w:rsidRDefault="00694C0F">
      <w:pPr>
        <w:pStyle w:val="indexentry0"/>
      </w:pPr>
      <w:hyperlink w:anchor="section_033c001fa29a4817a32a75394f971109">
        <w:r>
          <w:rPr>
            <w:rStyle w:val="Hyperlink"/>
          </w:rPr>
          <w:t>xMode (Left Mode)</w:t>
        </w:r>
      </w:hyperlink>
      <w:r>
        <w:t xml:space="preserve"> </w:t>
      </w:r>
      <w:r>
        <w:fldChar w:fldCharType="begin"/>
      </w:r>
      <w:r>
        <w:instrText>PAGEREF section_033c001fa29a48</w:instrText>
      </w:r>
      <w:r>
        <w:instrText>17a32a75394f971109</w:instrText>
      </w:r>
      <w:r>
        <w:fldChar w:fldCharType="separate"/>
      </w:r>
      <w:r>
        <w:rPr>
          <w:noProof/>
        </w:rPr>
        <w:t>572</w:t>
      </w:r>
      <w:r>
        <w:fldChar w:fldCharType="end"/>
      </w:r>
    </w:p>
    <w:p w:rsidR="00024C0A" w:rsidRDefault="00694C0F">
      <w:pPr>
        <w:pStyle w:val="indexentry0"/>
      </w:pPr>
      <w:hyperlink w:anchor="section_9878cf828dc64790998a3f7e7763f58f">
        <w:r>
          <w:rPr>
            <w:rStyle w:val="Hyperlink"/>
          </w:rPr>
          <w:t>XNPV</w:t>
        </w:r>
      </w:hyperlink>
      <w:r>
        <w:t xml:space="preserve"> </w:t>
      </w:r>
      <w:r>
        <w:fldChar w:fldCharType="begin"/>
      </w:r>
      <w:r>
        <w:instrText>PAGEREF section_9878cf828dc64790998a3f7e7763f58f</w:instrText>
      </w:r>
      <w:r>
        <w:fldChar w:fldCharType="separate"/>
      </w:r>
      <w:r>
        <w:rPr>
          <w:noProof/>
        </w:rPr>
        <w:t>451</w:t>
      </w:r>
      <w:r>
        <w:fldChar w:fldCharType="end"/>
      </w:r>
    </w:p>
    <w:p w:rsidR="00024C0A" w:rsidRDefault="00694C0F">
      <w:pPr>
        <w:pStyle w:val="indexentry0"/>
      </w:pPr>
      <w:hyperlink w:anchor="section_60042665e00a4f749f86ad8bd478a614">
        <w:r>
          <w:rPr>
            <w:rStyle w:val="Hyperlink"/>
          </w:rPr>
          <w:t>XSNLocation (Location of XSN File)</w:t>
        </w:r>
      </w:hyperlink>
      <w:r>
        <w:t xml:space="preserve"> </w:t>
      </w:r>
      <w:r>
        <w:fldChar w:fldCharType="begin"/>
      </w:r>
      <w:r>
        <w:instrText>PAGEREF section_</w:instrText>
      </w:r>
      <w:r>
        <w:instrText>60042665e00a4f749f86ad8bd478a614</w:instrText>
      </w:r>
      <w:r>
        <w:fldChar w:fldCharType="separate"/>
      </w:r>
      <w:r>
        <w:rPr>
          <w:noProof/>
        </w:rPr>
        <w:t>866</w:t>
      </w:r>
      <w:r>
        <w:fldChar w:fldCharType="end"/>
      </w:r>
    </w:p>
    <w:p w:rsidR="00024C0A" w:rsidRDefault="00694C0F">
      <w:pPr>
        <w:pStyle w:val="indexentry0"/>
      </w:pPr>
      <w:hyperlink w:anchor="section_1c088624367d43958dfe029913c009e8">
        <w:r>
          <w:rPr>
            <w:rStyle w:val="Hyperlink"/>
          </w:rPr>
          <w:t>xsnLocation (XSN Location)</w:t>
        </w:r>
      </w:hyperlink>
      <w:r>
        <w:t xml:space="preserve"> </w:t>
      </w:r>
      <w:r>
        <w:fldChar w:fldCharType="begin"/>
      </w:r>
      <w:r>
        <w:instrText>PAGEREF section_1c088624367d43958dfe029913c009e8</w:instrText>
      </w:r>
      <w:r>
        <w:fldChar w:fldCharType="separate"/>
      </w:r>
      <w:r>
        <w:rPr>
          <w:noProof/>
        </w:rPr>
        <w:t>868</w:t>
      </w:r>
      <w:r>
        <w:fldChar w:fldCharType="end"/>
      </w:r>
    </w:p>
    <w:p w:rsidR="00024C0A" w:rsidRDefault="00694C0F">
      <w:pPr>
        <w:pStyle w:val="indexentry0"/>
      </w:pPr>
      <w:hyperlink w:anchor="section_83b1d48efcc64adaaf9bba113335dc9c">
        <w:r>
          <w:rPr>
            <w:rStyle w:val="Hyperlink"/>
          </w:rPr>
          <w:t>xsnScope (Scope)</w:t>
        </w:r>
      </w:hyperlink>
      <w:r>
        <w:t xml:space="preserve"> </w:t>
      </w:r>
      <w:r>
        <w:fldChar w:fldCharType="begin"/>
      </w:r>
      <w:r>
        <w:instrText>PAGEREF section_83b1d48efcc64adaaf9bba113335dc9c</w:instrText>
      </w:r>
      <w:r>
        <w:fldChar w:fldCharType="separate"/>
      </w:r>
      <w:r>
        <w:rPr>
          <w:noProof/>
        </w:rPr>
        <w:t>868</w:t>
      </w:r>
      <w:r>
        <w:fldChar w:fldCharType="end"/>
      </w:r>
    </w:p>
    <w:p w:rsidR="00024C0A" w:rsidRDefault="00024C0A">
      <w:pPr>
        <w:spacing w:before="0" w:after="0"/>
        <w:rPr>
          <w:sz w:val="16"/>
        </w:rPr>
      </w:pPr>
    </w:p>
    <w:p w:rsidR="00024C0A" w:rsidRDefault="00694C0F">
      <w:pPr>
        <w:pStyle w:val="indexheader"/>
      </w:pPr>
      <w:r>
        <w:t>Y</w:t>
      </w:r>
    </w:p>
    <w:p w:rsidR="00024C0A" w:rsidRDefault="00024C0A">
      <w:pPr>
        <w:spacing w:before="0" w:after="0"/>
        <w:rPr>
          <w:sz w:val="16"/>
        </w:rPr>
      </w:pPr>
    </w:p>
    <w:p w:rsidR="00024C0A" w:rsidRDefault="00694C0F">
      <w:pPr>
        <w:pStyle w:val="indexentry0"/>
      </w:pPr>
      <w:hyperlink w:anchor="section_8c46e53bc5254bb6892759d133a60a06">
        <w:r>
          <w:rPr>
            <w:rStyle w:val="Hyperlink"/>
          </w:rPr>
          <w:t>y (Top)</w:t>
        </w:r>
      </w:hyperlink>
      <w:r>
        <w:t xml:space="preserve"> </w:t>
      </w:r>
      <w:r>
        <w:fldChar w:fldCharType="begin"/>
      </w:r>
      <w:r>
        <w:instrText>PAGEREF section_8c46e53bc5254bb6892759d133a60a06</w:instrText>
      </w:r>
      <w:r>
        <w:fldChar w:fldCharType="separate"/>
      </w:r>
      <w:r>
        <w:rPr>
          <w:noProof/>
        </w:rPr>
        <w:t>572</w:t>
      </w:r>
      <w:r>
        <w:fldChar w:fldCharType="end"/>
      </w:r>
    </w:p>
    <w:p w:rsidR="00024C0A" w:rsidRDefault="00694C0F">
      <w:pPr>
        <w:pStyle w:val="indexentry0"/>
      </w:pPr>
      <w:hyperlink w:anchor="section_86e4ebd6c6d543a7b3678e508b712256">
        <w:r>
          <w:rPr>
            <w:rStyle w:val="Hyperlink"/>
          </w:rPr>
          <w:t>YearAccessed (</w:t>
        </w:r>
        <w:r>
          <w:rPr>
            <w:rStyle w:val="Hyperlink"/>
          </w:rPr>
          <w:t>Year Accessed)</w:t>
        </w:r>
      </w:hyperlink>
      <w:r>
        <w:t xml:space="preserve"> </w:t>
      </w:r>
      <w:r>
        <w:fldChar w:fldCharType="begin"/>
      </w:r>
      <w:r>
        <w:instrText>PAGEREF section_86e4ebd6c6d543a7b3678e508b712256</w:instrText>
      </w:r>
      <w:r>
        <w:fldChar w:fldCharType="separate"/>
      </w:r>
      <w:r>
        <w:rPr>
          <w:noProof/>
        </w:rPr>
        <w:t>609</w:t>
      </w:r>
      <w:r>
        <w:fldChar w:fldCharType="end"/>
      </w:r>
    </w:p>
    <w:p w:rsidR="00024C0A" w:rsidRDefault="00694C0F">
      <w:pPr>
        <w:pStyle w:val="indexentry0"/>
      </w:pPr>
      <w:hyperlink w:anchor="section_603d48e1ab4648c395e0f9ce750d9623">
        <w:r>
          <w:rPr>
            <w:rStyle w:val="Hyperlink"/>
          </w:rPr>
          <w:t>YEARFRAC</w:t>
        </w:r>
      </w:hyperlink>
      <w:r>
        <w:t xml:space="preserve"> </w:t>
      </w:r>
      <w:r>
        <w:fldChar w:fldCharType="begin"/>
      </w:r>
      <w:r>
        <w:instrText>PAGEREF section_603d48e1ab4648c395e0f9ce750d9623</w:instrText>
      </w:r>
      <w:r>
        <w:fldChar w:fldCharType="separate"/>
      </w:r>
      <w:r>
        <w:rPr>
          <w:noProof/>
        </w:rPr>
        <w:t>451</w:t>
      </w:r>
      <w:r>
        <w:fldChar w:fldCharType="end"/>
      </w:r>
    </w:p>
    <w:p w:rsidR="00024C0A" w:rsidRDefault="00694C0F">
      <w:pPr>
        <w:pStyle w:val="indexentry0"/>
      </w:pPr>
      <w:hyperlink w:anchor="section_1f5b7d6fe6514fc1b89a6fc80241afa5">
        <w:r>
          <w:rPr>
            <w:rStyle w:val="Hyperlink"/>
          </w:rPr>
          <w:t>YI</w:t>
        </w:r>
        <w:r>
          <w:rPr>
            <w:rStyle w:val="Hyperlink"/>
          </w:rPr>
          <w:t>ELD</w:t>
        </w:r>
      </w:hyperlink>
      <w:r>
        <w:t xml:space="preserve"> </w:t>
      </w:r>
      <w:r>
        <w:fldChar w:fldCharType="begin"/>
      </w:r>
      <w:r>
        <w:instrText>PAGEREF section_1f5b7d6fe6514fc1b89a6fc80241afa5</w:instrText>
      </w:r>
      <w:r>
        <w:fldChar w:fldCharType="separate"/>
      </w:r>
      <w:r>
        <w:rPr>
          <w:noProof/>
        </w:rPr>
        <w:t>452</w:t>
      </w:r>
      <w:r>
        <w:fldChar w:fldCharType="end"/>
      </w:r>
    </w:p>
    <w:p w:rsidR="00024C0A" w:rsidRDefault="00694C0F">
      <w:pPr>
        <w:pStyle w:val="indexentry0"/>
      </w:pPr>
      <w:hyperlink w:anchor="section_652fb537a84b47869554d8624ce0d4a5">
        <w:r>
          <w:rPr>
            <w:rStyle w:val="Hyperlink"/>
          </w:rPr>
          <w:t>YIELDDISC</w:t>
        </w:r>
      </w:hyperlink>
      <w:r>
        <w:t xml:space="preserve"> </w:t>
      </w:r>
      <w:r>
        <w:fldChar w:fldCharType="begin"/>
      </w:r>
      <w:r>
        <w:instrText>PAGEREF section_652fb537a84b47869554d8624ce0d4a5</w:instrText>
      </w:r>
      <w:r>
        <w:fldChar w:fldCharType="separate"/>
      </w:r>
      <w:r>
        <w:rPr>
          <w:noProof/>
        </w:rPr>
        <w:t>452</w:t>
      </w:r>
      <w:r>
        <w:fldChar w:fldCharType="end"/>
      </w:r>
    </w:p>
    <w:p w:rsidR="00024C0A" w:rsidRDefault="00694C0F">
      <w:pPr>
        <w:pStyle w:val="indexentry0"/>
      </w:pPr>
      <w:hyperlink w:anchor="section_eba3b8ce07c64244a95524ab4b61a0fb">
        <w:r>
          <w:rPr>
            <w:rStyle w:val="Hyperlink"/>
          </w:rPr>
          <w:t>YIELDMAT</w:t>
        </w:r>
      </w:hyperlink>
      <w:r>
        <w:t xml:space="preserve"> </w:t>
      </w:r>
      <w:r>
        <w:fldChar w:fldCharType="begin"/>
      </w:r>
      <w:r>
        <w:instrText>PAGEREF section_eba3b8ce07c64244a95524ab4b61a0fb</w:instrText>
      </w:r>
      <w:r>
        <w:fldChar w:fldCharType="separate"/>
      </w:r>
      <w:r>
        <w:rPr>
          <w:noProof/>
        </w:rPr>
        <w:t>453</w:t>
      </w:r>
      <w:r>
        <w:fldChar w:fldCharType="end"/>
      </w:r>
    </w:p>
    <w:p w:rsidR="00024C0A" w:rsidRDefault="00694C0F">
      <w:pPr>
        <w:pStyle w:val="indexentry0"/>
      </w:pPr>
      <w:hyperlink w:anchor="section_3e552fb6fb1740bdaa1c6628425e5b8a">
        <w:r>
          <w:rPr>
            <w:rStyle w:val="Hyperlink"/>
          </w:rPr>
          <w:t>yMode (Top Mode)</w:t>
        </w:r>
      </w:hyperlink>
      <w:r>
        <w:t xml:space="preserve"> </w:t>
      </w:r>
      <w:r>
        <w:fldChar w:fldCharType="begin"/>
      </w:r>
      <w:r>
        <w:instrText>PAGEREF section_3e552fb6fb1740bdaa1c6628425e5b8a</w:instrText>
      </w:r>
      <w:r>
        <w:fldChar w:fldCharType="separate"/>
      </w:r>
      <w:r>
        <w:rPr>
          <w:noProof/>
        </w:rPr>
        <w:t>573</w:t>
      </w:r>
      <w:r>
        <w:fldChar w:fldCharType="end"/>
      </w:r>
    </w:p>
    <w:p w:rsidR="00024C0A" w:rsidRDefault="00024C0A">
      <w:pPr>
        <w:spacing w:before="0" w:after="0"/>
        <w:rPr>
          <w:sz w:val="16"/>
        </w:rPr>
      </w:pPr>
    </w:p>
    <w:p w:rsidR="00024C0A" w:rsidRDefault="00694C0F">
      <w:pPr>
        <w:pStyle w:val="indexheader"/>
      </w:pPr>
      <w:r>
        <w:t>Z</w:t>
      </w:r>
    </w:p>
    <w:p w:rsidR="00024C0A" w:rsidRDefault="00024C0A">
      <w:pPr>
        <w:spacing w:before="0" w:after="0"/>
        <w:rPr>
          <w:sz w:val="16"/>
        </w:rPr>
      </w:pPr>
    </w:p>
    <w:p w:rsidR="00024C0A" w:rsidRDefault="00694C0F">
      <w:pPr>
        <w:pStyle w:val="indexentry0"/>
      </w:pPr>
      <w:hyperlink w:anchor="section_6a50f8dea9d14092a0d4671c9fa1e079">
        <w:r>
          <w:rPr>
            <w:rStyle w:val="Hyperlink"/>
          </w:rPr>
          <w:t>ZIP Pac</w:t>
        </w:r>
        <w:r>
          <w:rPr>
            <w:rStyle w:val="Hyperlink"/>
          </w:rPr>
          <w:t>kage Limitations</w:t>
        </w:r>
      </w:hyperlink>
      <w:r>
        <w:t xml:space="preserve"> </w:t>
      </w:r>
      <w:r>
        <w:fldChar w:fldCharType="begin"/>
      </w:r>
      <w:r>
        <w:instrText>PAGEREF section_6a50f8dea9d14092a0d4671c9fa1e079</w:instrText>
      </w:r>
      <w:r>
        <w:fldChar w:fldCharType="separate"/>
      </w:r>
      <w:r>
        <w:rPr>
          <w:noProof/>
        </w:rPr>
        <w:t>619</w:t>
      </w:r>
      <w:r>
        <w:fldChar w:fldCharType="end"/>
      </w:r>
    </w:p>
    <w:p w:rsidR="00024C0A" w:rsidRDefault="00694C0F">
      <w:pPr>
        <w:pStyle w:val="indexentry0"/>
      </w:pPr>
      <w:hyperlink w:anchor="section_73d8d8a211eb4c28a37b6aef7041b24c">
        <w:r>
          <w:rPr>
            <w:rStyle w:val="Hyperlink"/>
          </w:rPr>
          <w:t>zoom (Magnification Setting)</w:t>
        </w:r>
      </w:hyperlink>
      <w:r>
        <w:t xml:space="preserve"> </w:t>
      </w:r>
      <w:r>
        <w:fldChar w:fldCharType="begin"/>
      </w:r>
      <w:r>
        <w:instrText>PAGEREF section_73d8d8a211eb4c28a37b6aef7041b24c</w:instrText>
      </w:r>
      <w:r>
        <w:fldChar w:fldCharType="separate"/>
      </w:r>
      <w:r>
        <w:rPr>
          <w:noProof/>
        </w:rPr>
        <w:t>160</w:t>
      </w:r>
      <w:r>
        <w:fldChar w:fldCharType="end"/>
      </w:r>
    </w:p>
    <w:p w:rsidR="00024C0A" w:rsidRDefault="00694C0F">
      <w:pPr>
        <w:pStyle w:val="indexentry0"/>
      </w:pPr>
      <w:hyperlink w:anchor="section_c494196a44ad4042b21bb60c3f93c792">
        <w:r>
          <w:rPr>
            <w:rStyle w:val="Hyperlink"/>
          </w:rPr>
          <w:t>ZTEST</w:t>
        </w:r>
      </w:hyperlink>
      <w:r>
        <w:t xml:space="preserve"> </w:t>
      </w:r>
      <w:r>
        <w:fldChar w:fldCharType="begin"/>
      </w:r>
      <w:r>
        <w:instrText>PAGEREF section_c494196a44ad4042b21bb60c3f93c792</w:instrText>
      </w:r>
      <w:r>
        <w:fldChar w:fldCharType="separate"/>
      </w:r>
      <w:r>
        <w:rPr>
          <w:noProof/>
        </w:rPr>
        <w:t>454</w:t>
      </w:r>
      <w:r>
        <w:fldChar w:fldCharType="end"/>
      </w:r>
    </w:p>
    <w:p w:rsidR="00024C0A" w:rsidRDefault="00024C0A">
      <w:pPr>
        <w:rPr>
          <w:rStyle w:val="InlineCode"/>
        </w:rPr>
      </w:pPr>
      <w:bookmarkStart w:id="4247" w:name="EndOfDocument_ST"/>
      <w:bookmarkEnd w:id="4247"/>
    </w:p>
    <w:sectPr w:rsidR="00024C0A">
      <w:footerReference w:type="default" r:id="rId385"/>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C0A" w:rsidRDefault="00694C0F">
      <w:r>
        <w:separator/>
      </w:r>
    </w:p>
    <w:p w:rsidR="00024C0A" w:rsidRDefault="00024C0A"/>
  </w:endnote>
  <w:endnote w:type="continuationSeparator" w:id="0">
    <w:p w:rsidR="00024C0A" w:rsidRDefault="00694C0F">
      <w:r>
        <w:continuationSeparator/>
      </w:r>
    </w:p>
    <w:p w:rsidR="00024C0A" w:rsidRDefault="00024C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C0A" w:rsidRDefault="00694C0F">
    <w:pPr>
      <w:pStyle w:val="Footer"/>
      <w:jc w:val="right"/>
    </w:pPr>
    <w:r>
      <w:fldChar w:fldCharType="begin"/>
    </w:r>
    <w:r>
      <w:instrText xml:space="preserve"> PAGE </w:instrText>
    </w:r>
    <w:r>
      <w:fldChar w:fldCharType="separate"/>
    </w:r>
    <w:r>
      <w:rPr>
        <w:noProof/>
      </w:rPr>
      <w:t>901</w:t>
    </w:r>
    <w:r>
      <w:fldChar w:fldCharType="end"/>
    </w:r>
    <w:r>
      <w:t xml:space="preserve"> / </w:t>
    </w:r>
    <w:r>
      <w:fldChar w:fldCharType="begin"/>
    </w:r>
    <w:r>
      <w:instrText xml:space="preserve"> NUMPAGES </w:instrText>
    </w:r>
    <w:r>
      <w:fldChar w:fldCharType="separate"/>
    </w:r>
    <w:r>
      <w:rPr>
        <w:noProof/>
      </w:rPr>
      <w:t>919</w:t>
    </w:r>
    <w:r>
      <w:fldChar w:fldCharType="end"/>
    </w:r>
  </w:p>
  <w:p w:rsidR="00024C0A" w:rsidRDefault="00694C0F">
    <w:pPr>
      <w:pStyle w:val="PageFooter"/>
    </w:pPr>
    <w:r>
      <w:t>[MS-OI29500] - v20190624</w:t>
    </w:r>
  </w:p>
  <w:p w:rsidR="00024C0A" w:rsidRDefault="00694C0F">
    <w:pPr>
      <w:pStyle w:val="PageFooter"/>
    </w:pPr>
    <w:r>
      <w:t>Office Implementation Information for ISO/IEC 29500 Standards Support</w:t>
    </w:r>
  </w:p>
  <w:p w:rsidR="00024C0A" w:rsidRDefault="00694C0F">
    <w:pPr>
      <w:pStyle w:val="PageFooter"/>
    </w:pPr>
    <w:r>
      <w:t>Copyright © 2019 Microsoft Corporation</w:t>
    </w:r>
  </w:p>
  <w:p w:rsidR="00024C0A" w:rsidRDefault="00694C0F">
    <w:pPr>
      <w:pStyle w:val="PageFooter"/>
    </w:pPr>
    <w:r>
      <w:t>Release: June 24, 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C0A" w:rsidRDefault="00694C0F">
    <w:pPr>
      <w:pStyle w:val="Footer"/>
      <w:jc w:val="right"/>
    </w:pPr>
    <w:r>
      <w:fldChar w:fldCharType="begin"/>
    </w:r>
    <w:r>
      <w:instrText xml:space="preserve"> PAGE </w:instrText>
    </w:r>
    <w:r>
      <w:fldChar w:fldCharType="separate"/>
    </w:r>
    <w:r>
      <w:rPr>
        <w:noProof/>
      </w:rPr>
      <w:t>919</w:t>
    </w:r>
    <w:r>
      <w:fldChar w:fldCharType="end"/>
    </w:r>
    <w:r>
      <w:t xml:space="preserve"> / </w:t>
    </w:r>
    <w:r>
      <w:fldChar w:fldCharType="begin"/>
    </w:r>
    <w:r>
      <w:instrText xml:space="preserve"> NUMPAGES </w:instrText>
    </w:r>
    <w:r>
      <w:fldChar w:fldCharType="separate"/>
    </w:r>
    <w:r>
      <w:rPr>
        <w:noProof/>
      </w:rPr>
      <w:t>919</w:t>
    </w:r>
    <w:r>
      <w:fldChar w:fldCharType="end"/>
    </w:r>
  </w:p>
  <w:p w:rsidR="00024C0A" w:rsidRDefault="00694C0F">
    <w:pPr>
      <w:pStyle w:val="PageFooter"/>
    </w:pPr>
    <w:r>
      <w:t>[MS-OI29500] - v20190624</w:t>
    </w:r>
  </w:p>
  <w:p w:rsidR="00024C0A" w:rsidRDefault="00694C0F">
    <w:pPr>
      <w:pStyle w:val="PageFooter"/>
    </w:pPr>
    <w:r>
      <w:t>Office Implementation Information for ISO/IEC 29500 Standards Support</w:t>
    </w:r>
  </w:p>
  <w:p w:rsidR="00024C0A" w:rsidRDefault="00694C0F">
    <w:pPr>
      <w:pStyle w:val="PageFooter"/>
    </w:pPr>
    <w:r>
      <w:t>Copyright © 2019 Microsoft Corporation</w:t>
    </w:r>
  </w:p>
  <w:p w:rsidR="00024C0A" w:rsidRDefault="00694C0F">
    <w:pPr>
      <w:pStyle w:val="PageFooter"/>
    </w:pPr>
    <w:r>
      <w:t>Release: June 2</w:t>
    </w:r>
    <w:r>
      <w:t>4, 2019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C0A" w:rsidRDefault="00694C0F">
      <w:r>
        <w:separator/>
      </w:r>
    </w:p>
    <w:p w:rsidR="00024C0A" w:rsidRDefault="00024C0A"/>
  </w:footnote>
  <w:footnote w:type="continuationSeparator" w:id="0">
    <w:p w:rsidR="00024C0A" w:rsidRDefault="00694C0F">
      <w:r>
        <w:continuationSeparator/>
      </w:r>
    </w:p>
    <w:p w:rsidR="00024C0A" w:rsidRDefault="00024C0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106027B"/>
    <w:multiLevelType w:val="singleLevel"/>
    <w:tmpl w:val="97E262D0"/>
    <w:lvl w:ilvl="0">
      <w:start w:val="1"/>
      <w:numFmt w:val="bullet"/>
      <w:lvlText w:val="§"/>
      <w:lvlJc w:val="left"/>
      <w:pPr>
        <w:ind w:left="360" w:hanging="360"/>
      </w:pPr>
      <w:rPr>
        <w:rFonts w:ascii="Wingdings" w:hAnsi="Wingdings" w:hint="default"/>
      </w:rPr>
    </w:lvl>
  </w:abstractNum>
  <w:abstractNum w:abstractNumId="2" w15:restartNumberingAfterBreak="0">
    <w:nsid w:val="01247B03"/>
    <w:multiLevelType w:val="singleLevel"/>
    <w:tmpl w:val="D7883AC0"/>
    <w:lvl w:ilvl="0">
      <w:start w:val="1"/>
      <w:numFmt w:val="bullet"/>
      <w:lvlText w:val="§"/>
      <w:lvlJc w:val="left"/>
      <w:pPr>
        <w:ind w:left="360" w:hanging="360"/>
      </w:pPr>
      <w:rPr>
        <w:rFonts w:ascii="Wingdings" w:hAnsi="Wingdings" w:hint="default"/>
      </w:rPr>
    </w:lvl>
  </w:abstractNum>
  <w:abstractNum w:abstractNumId="3" w15:restartNumberingAfterBreak="0">
    <w:nsid w:val="015F3BBE"/>
    <w:multiLevelType w:val="singleLevel"/>
    <w:tmpl w:val="7674BFA8"/>
    <w:lvl w:ilvl="0">
      <w:start w:val="1"/>
      <w:numFmt w:val="bullet"/>
      <w:lvlText w:val="§"/>
      <w:lvlJc w:val="left"/>
      <w:pPr>
        <w:ind w:left="360" w:hanging="360"/>
      </w:pPr>
      <w:rPr>
        <w:rFonts w:ascii="Wingdings" w:hAnsi="Wingdings" w:hint="default"/>
      </w:rPr>
    </w:lvl>
  </w:abstractNum>
  <w:abstractNum w:abstractNumId="4" w15:restartNumberingAfterBreak="0">
    <w:nsid w:val="01710A26"/>
    <w:multiLevelType w:val="singleLevel"/>
    <w:tmpl w:val="0DD272F2"/>
    <w:lvl w:ilvl="0">
      <w:start w:val="1"/>
      <w:numFmt w:val="bullet"/>
      <w:lvlText w:val="§"/>
      <w:lvlJc w:val="left"/>
      <w:pPr>
        <w:ind w:left="360" w:hanging="360"/>
      </w:pPr>
      <w:rPr>
        <w:rFonts w:ascii="Wingdings" w:hAnsi="Wingdings" w:hint="default"/>
      </w:rPr>
    </w:lvl>
  </w:abstractNum>
  <w:abstractNum w:abstractNumId="5" w15:restartNumberingAfterBreak="0">
    <w:nsid w:val="01BD607A"/>
    <w:multiLevelType w:val="singleLevel"/>
    <w:tmpl w:val="C6A2D8A0"/>
    <w:lvl w:ilvl="0">
      <w:start w:val="1"/>
      <w:numFmt w:val="bullet"/>
      <w:lvlText w:val="§"/>
      <w:lvlJc w:val="left"/>
      <w:pPr>
        <w:ind w:left="360" w:hanging="360"/>
      </w:pPr>
      <w:rPr>
        <w:rFonts w:ascii="Wingdings" w:hAnsi="Wingdings" w:hint="default"/>
      </w:rPr>
    </w:lvl>
  </w:abstractNum>
  <w:abstractNum w:abstractNumId="6"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7" w15:restartNumberingAfterBreak="0">
    <w:nsid w:val="06E22BB0"/>
    <w:multiLevelType w:val="singleLevel"/>
    <w:tmpl w:val="640A6BA0"/>
    <w:lvl w:ilvl="0">
      <w:start w:val="1"/>
      <w:numFmt w:val="bullet"/>
      <w:lvlText w:val="§"/>
      <w:lvlJc w:val="left"/>
      <w:pPr>
        <w:ind w:left="360" w:hanging="360"/>
      </w:pPr>
      <w:rPr>
        <w:rFonts w:ascii="Wingdings" w:hAnsi="Wingdings" w:hint="default"/>
      </w:rPr>
    </w:lvl>
  </w:abstractNum>
  <w:abstractNum w:abstractNumId="8" w15:restartNumberingAfterBreak="0">
    <w:nsid w:val="07CC4475"/>
    <w:multiLevelType w:val="singleLevel"/>
    <w:tmpl w:val="F47CE1C0"/>
    <w:lvl w:ilvl="0">
      <w:start w:val="1"/>
      <w:numFmt w:val="bullet"/>
      <w:lvlText w:val="§"/>
      <w:lvlJc w:val="left"/>
      <w:pPr>
        <w:ind w:left="360" w:hanging="360"/>
      </w:pPr>
      <w:rPr>
        <w:rFonts w:ascii="Wingdings" w:hAnsi="Wingdings" w:hint="default"/>
      </w:rPr>
    </w:lvl>
  </w:abstractNum>
  <w:abstractNum w:abstractNumId="9" w15:restartNumberingAfterBreak="0">
    <w:nsid w:val="07D76B83"/>
    <w:multiLevelType w:val="singleLevel"/>
    <w:tmpl w:val="B67E91CA"/>
    <w:lvl w:ilvl="0">
      <w:start w:val="1"/>
      <w:numFmt w:val="bullet"/>
      <w:lvlText w:val="§"/>
      <w:lvlJc w:val="left"/>
      <w:pPr>
        <w:ind w:left="360" w:hanging="360"/>
      </w:pPr>
      <w:rPr>
        <w:rFonts w:ascii="Wingdings" w:hAnsi="Wingdings" w:hint="default"/>
      </w:rPr>
    </w:lvl>
  </w:abstractNum>
  <w:abstractNum w:abstractNumId="10" w15:restartNumberingAfterBreak="0">
    <w:nsid w:val="08624EFC"/>
    <w:multiLevelType w:val="singleLevel"/>
    <w:tmpl w:val="D47E7FFE"/>
    <w:lvl w:ilvl="0">
      <w:start w:val="1"/>
      <w:numFmt w:val="bullet"/>
      <w:lvlText w:val="§"/>
      <w:lvlJc w:val="left"/>
      <w:pPr>
        <w:ind w:left="360" w:hanging="360"/>
      </w:pPr>
      <w:rPr>
        <w:rFonts w:ascii="Wingdings" w:hAnsi="Wingdings" w:hint="default"/>
      </w:rPr>
    </w:lvl>
  </w:abstractNum>
  <w:abstractNum w:abstractNumId="11" w15:restartNumberingAfterBreak="0">
    <w:nsid w:val="08C8019A"/>
    <w:multiLevelType w:val="singleLevel"/>
    <w:tmpl w:val="3CFE2F6A"/>
    <w:lvl w:ilvl="0">
      <w:start w:val="1"/>
      <w:numFmt w:val="bullet"/>
      <w:lvlText w:val="§"/>
      <w:lvlJc w:val="left"/>
      <w:pPr>
        <w:ind w:left="360" w:hanging="360"/>
      </w:pPr>
      <w:rPr>
        <w:rFonts w:ascii="Wingdings" w:hAnsi="Wingdings" w:hint="default"/>
      </w:rPr>
    </w:lvl>
  </w:abstractNum>
  <w:abstractNum w:abstractNumId="12" w15:restartNumberingAfterBreak="0">
    <w:nsid w:val="08E03C23"/>
    <w:multiLevelType w:val="singleLevel"/>
    <w:tmpl w:val="9132BD7E"/>
    <w:lvl w:ilvl="0">
      <w:start w:val="1"/>
      <w:numFmt w:val="bullet"/>
      <w:lvlText w:val="§"/>
      <w:lvlJc w:val="left"/>
      <w:pPr>
        <w:ind w:left="360" w:hanging="360"/>
      </w:pPr>
      <w:rPr>
        <w:rFonts w:ascii="Wingdings" w:hAnsi="Wingdings" w:hint="default"/>
      </w:rPr>
    </w:lvl>
  </w:abstractNum>
  <w:abstractNum w:abstractNumId="13" w15:restartNumberingAfterBreak="0">
    <w:nsid w:val="09842E0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4" w15:restartNumberingAfterBreak="0">
    <w:nsid w:val="0A405BB4"/>
    <w:multiLevelType w:val="singleLevel"/>
    <w:tmpl w:val="A9CC83A2"/>
    <w:lvl w:ilvl="0">
      <w:start w:val="1"/>
      <w:numFmt w:val="bullet"/>
      <w:lvlText w:val="§"/>
      <w:lvlJc w:val="left"/>
      <w:pPr>
        <w:ind w:left="360" w:hanging="360"/>
      </w:pPr>
      <w:rPr>
        <w:rFonts w:ascii="Wingdings" w:hAnsi="Wingdings" w:hint="default"/>
      </w:rPr>
    </w:lvl>
  </w:abstractNum>
  <w:abstractNum w:abstractNumId="15" w15:restartNumberingAfterBreak="0">
    <w:nsid w:val="0A517583"/>
    <w:multiLevelType w:val="singleLevel"/>
    <w:tmpl w:val="D552357A"/>
    <w:lvl w:ilvl="0">
      <w:start w:val="1"/>
      <w:numFmt w:val="bullet"/>
      <w:lvlText w:val="§"/>
      <w:lvlJc w:val="left"/>
      <w:pPr>
        <w:ind w:left="360" w:hanging="360"/>
      </w:pPr>
      <w:rPr>
        <w:rFonts w:ascii="Wingdings" w:hAnsi="Wingdings" w:hint="default"/>
      </w:rPr>
    </w:lvl>
  </w:abstractNum>
  <w:abstractNum w:abstractNumId="16" w15:restartNumberingAfterBreak="0">
    <w:nsid w:val="0B962FCC"/>
    <w:multiLevelType w:val="singleLevel"/>
    <w:tmpl w:val="D4E286C4"/>
    <w:lvl w:ilvl="0">
      <w:start w:val="1"/>
      <w:numFmt w:val="bullet"/>
      <w:lvlText w:val="§"/>
      <w:lvlJc w:val="left"/>
      <w:pPr>
        <w:ind w:left="360" w:hanging="360"/>
      </w:pPr>
      <w:rPr>
        <w:rFonts w:ascii="Wingdings" w:hAnsi="Wingdings" w:hint="default"/>
      </w:rPr>
    </w:lvl>
  </w:abstractNum>
  <w:abstractNum w:abstractNumId="17" w15:restartNumberingAfterBreak="0">
    <w:nsid w:val="0CDB6976"/>
    <w:multiLevelType w:val="singleLevel"/>
    <w:tmpl w:val="306C0602"/>
    <w:lvl w:ilvl="0">
      <w:start w:val="1"/>
      <w:numFmt w:val="bullet"/>
      <w:lvlText w:val="§"/>
      <w:lvlJc w:val="left"/>
      <w:pPr>
        <w:ind w:left="360" w:hanging="360"/>
      </w:pPr>
      <w:rPr>
        <w:rFonts w:ascii="Wingdings" w:hAnsi="Wingdings" w:hint="default"/>
      </w:rPr>
    </w:lvl>
  </w:abstractNum>
  <w:abstractNum w:abstractNumId="18" w15:restartNumberingAfterBreak="0">
    <w:nsid w:val="0CDE5C0F"/>
    <w:multiLevelType w:val="singleLevel"/>
    <w:tmpl w:val="0354216E"/>
    <w:lvl w:ilvl="0">
      <w:start w:val="1"/>
      <w:numFmt w:val="bullet"/>
      <w:lvlText w:val="§"/>
      <w:lvlJc w:val="left"/>
      <w:pPr>
        <w:ind w:left="360" w:hanging="360"/>
      </w:pPr>
      <w:rPr>
        <w:rFonts w:ascii="Wingdings" w:hAnsi="Wingdings" w:hint="default"/>
      </w:rPr>
    </w:lvl>
  </w:abstractNum>
  <w:abstractNum w:abstractNumId="19" w15:restartNumberingAfterBreak="0">
    <w:nsid w:val="0CFC58EB"/>
    <w:multiLevelType w:val="singleLevel"/>
    <w:tmpl w:val="04E624D6"/>
    <w:lvl w:ilvl="0">
      <w:start w:val="1"/>
      <w:numFmt w:val="bullet"/>
      <w:lvlText w:val="§"/>
      <w:lvlJc w:val="left"/>
      <w:pPr>
        <w:ind w:left="360" w:hanging="360"/>
      </w:pPr>
      <w:rPr>
        <w:rFonts w:ascii="Wingdings" w:hAnsi="Wingdings" w:hint="default"/>
      </w:rPr>
    </w:lvl>
  </w:abstractNum>
  <w:abstractNum w:abstractNumId="20" w15:restartNumberingAfterBreak="0">
    <w:nsid w:val="0D96724A"/>
    <w:multiLevelType w:val="singleLevel"/>
    <w:tmpl w:val="8D0A1DD0"/>
    <w:lvl w:ilvl="0">
      <w:start w:val="1"/>
      <w:numFmt w:val="bullet"/>
      <w:lvlText w:val="§"/>
      <w:lvlJc w:val="left"/>
      <w:pPr>
        <w:ind w:left="360" w:hanging="360"/>
      </w:pPr>
      <w:rPr>
        <w:rFonts w:ascii="Wingdings" w:hAnsi="Wingdings" w:hint="default"/>
      </w:rPr>
    </w:lvl>
  </w:abstractNum>
  <w:abstractNum w:abstractNumId="21" w15:restartNumberingAfterBreak="0">
    <w:nsid w:val="0EC673E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2" w15:restartNumberingAfterBreak="0">
    <w:nsid w:val="0F1F4243"/>
    <w:multiLevelType w:val="singleLevel"/>
    <w:tmpl w:val="9E0488E4"/>
    <w:lvl w:ilvl="0">
      <w:start w:val="1"/>
      <w:numFmt w:val="bullet"/>
      <w:lvlText w:val="§"/>
      <w:lvlJc w:val="left"/>
      <w:pPr>
        <w:ind w:left="360" w:hanging="360"/>
      </w:pPr>
      <w:rPr>
        <w:rFonts w:ascii="Wingdings" w:hAnsi="Wingdings" w:hint="default"/>
      </w:rPr>
    </w:lvl>
  </w:abstractNum>
  <w:abstractNum w:abstractNumId="2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00B2098"/>
    <w:multiLevelType w:val="singleLevel"/>
    <w:tmpl w:val="37E00558"/>
    <w:lvl w:ilvl="0">
      <w:start w:val="1"/>
      <w:numFmt w:val="bullet"/>
      <w:lvlText w:val="§"/>
      <w:lvlJc w:val="left"/>
      <w:pPr>
        <w:ind w:left="360" w:hanging="360"/>
      </w:pPr>
      <w:rPr>
        <w:rFonts w:ascii="Wingdings" w:hAnsi="Wingdings" w:hint="default"/>
      </w:rPr>
    </w:lvl>
  </w:abstractNum>
  <w:abstractNum w:abstractNumId="25" w15:restartNumberingAfterBreak="0">
    <w:nsid w:val="11592FB7"/>
    <w:multiLevelType w:val="singleLevel"/>
    <w:tmpl w:val="7502682E"/>
    <w:lvl w:ilvl="0">
      <w:start w:val="1"/>
      <w:numFmt w:val="bullet"/>
      <w:lvlText w:val="§"/>
      <w:lvlJc w:val="left"/>
      <w:pPr>
        <w:ind w:left="360" w:hanging="360"/>
      </w:pPr>
      <w:rPr>
        <w:rFonts w:ascii="Wingdings" w:hAnsi="Wingdings" w:hint="default"/>
      </w:rPr>
    </w:lvl>
  </w:abstractNum>
  <w:abstractNum w:abstractNumId="26" w15:restartNumberingAfterBreak="0">
    <w:nsid w:val="119128E4"/>
    <w:multiLevelType w:val="singleLevel"/>
    <w:tmpl w:val="E9CA9DC6"/>
    <w:lvl w:ilvl="0">
      <w:start w:val="1"/>
      <w:numFmt w:val="bullet"/>
      <w:lvlText w:val="§"/>
      <w:lvlJc w:val="left"/>
      <w:pPr>
        <w:ind w:left="360" w:hanging="360"/>
      </w:pPr>
      <w:rPr>
        <w:rFonts w:ascii="Wingdings" w:hAnsi="Wingdings" w:hint="default"/>
      </w:rPr>
    </w:lvl>
  </w:abstractNum>
  <w:abstractNum w:abstractNumId="27" w15:restartNumberingAfterBreak="0">
    <w:nsid w:val="12380FF6"/>
    <w:multiLevelType w:val="singleLevel"/>
    <w:tmpl w:val="23F00922"/>
    <w:lvl w:ilvl="0">
      <w:start w:val="1"/>
      <w:numFmt w:val="bullet"/>
      <w:lvlText w:val="§"/>
      <w:lvlJc w:val="left"/>
      <w:pPr>
        <w:ind w:left="360" w:hanging="360"/>
      </w:pPr>
      <w:rPr>
        <w:rFonts w:ascii="Wingdings" w:hAnsi="Wingdings" w:hint="default"/>
      </w:rPr>
    </w:lvl>
  </w:abstractNum>
  <w:abstractNum w:abstractNumId="28" w15:restartNumberingAfterBreak="0">
    <w:nsid w:val="132E760D"/>
    <w:multiLevelType w:val="singleLevel"/>
    <w:tmpl w:val="5B122652"/>
    <w:lvl w:ilvl="0">
      <w:start w:val="1"/>
      <w:numFmt w:val="bullet"/>
      <w:lvlText w:val="§"/>
      <w:lvlJc w:val="left"/>
      <w:pPr>
        <w:ind w:left="360" w:hanging="360"/>
      </w:pPr>
      <w:rPr>
        <w:rFonts w:ascii="Wingdings" w:hAnsi="Wingdings" w:hint="default"/>
      </w:rPr>
    </w:lvl>
  </w:abstractNum>
  <w:abstractNum w:abstractNumId="29" w15:restartNumberingAfterBreak="0">
    <w:nsid w:val="1341475F"/>
    <w:multiLevelType w:val="singleLevel"/>
    <w:tmpl w:val="B5563FFA"/>
    <w:lvl w:ilvl="0">
      <w:start w:val="1"/>
      <w:numFmt w:val="bullet"/>
      <w:lvlText w:val="§"/>
      <w:lvlJc w:val="left"/>
      <w:pPr>
        <w:ind w:left="360" w:hanging="360"/>
      </w:pPr>
      <w:rPr>
        <w:rFonts w:ascii="Wingdings" w:hAnsi="Wingdings" w:hint="default"/>
      </w:rPr>
    </w:lvl>
  </w:abstractNum>
  <w:abstractNum w:abstractNumId="30"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4DC77B9"/>
    <w:multiLevelType w:val="singleLevel"/>
    <w:tmpl w:val="92AAFD62"/>
    <w:lvl w:ilvl="0">
      <w:start w:val="1"/>
      <w:numFmt w:val="bullet"/>
      <w:lvlText w:val="§"/>
      <w:lvlJc w:val="left"/>
      <w:pPr>
        <w:ind w:left="360" w:hanging="360"/>
      </w:pPr>
      <w:rPr>
        <w:rFonts w:ascii="Wingdings" w:hAnsi="Wingdings" w:hint="default"/>
      </w:rPr>
    </w:lvl>
  </w:abstractNum>
  <w:abstractNum w:abstractNumId="32" w15:restartNumberingAfterBreak="0">
    <w:nsid w:val="152C6C90"/>
    <w:multiLevelType w:val="singleLevel"/>
    <w:tmpl w:val="30B027C2"/>
    <w:lvl w:ilvl="0">
      <w:start w:val="1"/>
      <w:numFmt w:val="bullet"/>
      <w:lvlText w:val="§"/>
      <w:lvlJc w:val="left"/>
      <w:pPr>
        <w:ind w:left="360" w:hanging="360"/>
      </w:pPr>
      <w:rPr>
        <w:rFonts w:ascii="Wingdings" w:hAnsi="Wingdings" w:hint="default"/>
      </w:rPr>
    </w:lvl>
  </w:abstractNum>
  <w:abstractNum w:abstractNumId="33" w15:restartNumberingAfterBreak="0">
    <w:nsid w:val="160D1A64"/>
    <w:multiLevelType w:val="singleLevel"/>
    <w:tmpl w:val="3B3E480C"/>
    <w:lvl w:ilvl="0">
      <w:start w:val="1"/>
      <w:numFmt w:val="bullet"/>
      <w:lvlText w:val="§"/>
      <w:lvlJc w:val="left"/>
      <w:pPr>
        <w:ind w:left="360" w:hanging="360"/>
      </w:pPr>
      <w:rPr>
        <w:rFonts w:ascii="Wingdings" w:hAnsi="Wingdings" w:hint="default"/>
      </w:rPr>
    </w:lvl>
  </w:abstractNum>
  <w:abstractNum w:abstractNumId="34" w15:restartNumberingAfterBreak="0">
    <w:nsid w:val="167839A1"/>
    <w:multiLevelType w:val="hybridMultilevel"/>
    <w:tmpl w:val="44C0E17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17054C74"/>
    <w:multiLevelType w:val="singleLevel"/>
    <w:tmpl w:val="87B25FF8"/>
    <w:lvl w:ilvl="0">
      <w:start w:val="1"/>
      <w:numFmt w:val="bullet"/>
      <w:lvlText w:val="§"/>
      <w:lvlJc w:val="left"/>
      <w:pPr>
        <w:ind w:left="360" w:hanging="360"/>
      </w:pPr>
      <w:rPr>
        <w:rFonts w:ascii="Wingdings" w:hAnsi="Wingdings" w:hint="default"/>
      </w:rPr>
    </w:lvl>
  </w:abstractNum>
  <w:abstractNum w:abstractNumId="36" w15:restartNumberingAfterBreak="0">
    <w:nsid w:val="17070C26"/>
    <w:multiLevelType w:val="singleLevel"/>
    <w:tmpl w:val="6E46F150"/>
    <w:lvl w:ilvl="0">
      <w:start w:val="1"/>
      <w:numFmt w:val="bullet"/>
      <w:lvlText w:val="§"/>
      <w:lvlJc w:val="left"/>
      <w:pPr>
        <w:ind w:left="360" w:hanging="360"/>
      </w:pPr>
      <w:rPr>
        <w:rFonts w:ascii="Wingdings" w:hAnsi="Wingdings" w:hint="default"/>
      </w:rPr>
    </w:lvl>
  </w:abstractNum>
  <w:abstractNum w:abstractNumId="37" w15:restartNumberingAfterBreak="0">
    <w:nsid w:val="17164C91"/>
    <w:multiLevelType w:val="singleLevel"/>
    <w:tmpl w:val="2BA82160"/>
    <w:lvl w:ilvl="0">
      <w:start w:val="1"/>
      <w:numFmt w:val="bullet"/>
      <w:lvlText w:val="§"/>
      <w:lvlJc w:val="left"/>
      <w:pPr>
        <w:ind w:left="360" w:hanging="360"/>
      </w:pPr>
      <w:rPr>
        <w:rFonts w:ascii="Wingdings" w:hAnsi="Wingdings" w:hint="default"/>
      </w:rPr>
    </w:lvl>
  </w:abstractNum>
  <w:abstractNum w:abstractNumId="38" w15:restartNumberingAfterBreak="0">
    <w:nsid w:val="17472FA6"/>
    <w:multiLevelType w:val="singleLevel"/>
    <w:tmpl w:val="7A8A8C40"/>
    <w:lvl w:ilvl="0">
      <w:start w:val="1"/>
      <w:numFmt w:val="bullet"/>
      <w:lvlText w:val="§"/>
      <w:lvlJc w:val="left"/>
      <w:pPr>
        <w:ind w:left="360" w:hanging="360"/>
      </w:pPr>
      <w:rPr>
        <w:rFonts w:ascii="Wingdings" w:hAnsi="Wingdings" w:hint="default"/>
      </w:rPr>
    </w:lvl>
  </w:abstractNum>
  <w:abstractNum w:abstractNumId="39"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F644FC"/>
    <w:multiLevelType w:val="singleLevel"/>
    <w:tmpl w:val="95E01F26"/>
    <w:lvl w:ilvl="0">
      <w:start w:val="1"/>
      <w:numFmt w:val="bullet"/>
      <w:lvlText w:val="§"/>
      <w:lvlJc w:val="left"/>
      <w:pPr>
        <w:ind w:left="360" w:hanging="360"/>
      </w:pPr>
      <w:rPr>
        <w:rFonts w:ascii="Wingdings" w:hAnsi="Wingdings" w:hint="default"/>
      </w:rPr>
    </w:lvl>
  </w:abstractNum>
  <w:abstractNum w:abstractNumId="42" w15:restartNumberingAfterBreak="0">
    <w:nsid w:val="191E4ABD"/>
    <w:multiLevelType w:val="singleLevel"/>
    <w:tmpl w:val="D09C9238"/>
    <w:lvl w:ilvl="0">
      <w:start w:val="1"/>
      <w:numFmt w:val="bullet"/>
      <w:lvlText w:val="§"/>
      <w:lvlJc w:val="left"/>
      <w:pPr>
        <w:ind w:left="360" w:hanging="360"/>
      </w:pPr>
      <w:rPr>
        <w:rFonts w:ascii="Wingdings" w:hAnsi="Wingdings" w:hint="default"/>
      </w:rPr>
    </w:lvl>
  </w:abstractNum>
  <w:abstractNum w:abstractNumId="43" w15:restartNumberingAfterBreak="0">
    <w:nsid w:val="19DE0F43"/>
    <w:multiLevelType w:val="singleLevel"/>
    <w:tmpl w:val="71A2F442"/>
    <w:lvl w:ilvl="0">
      <w:start w:val="1"/>
      <w:numFmt w:val="bullet"/>
      <w:lvlText w:val="§"/>
      <w:lvlJc w:val="left"/>
      <w:pPr>
        <w:ind w:left="360" w:hanging="360"/>
      </w:pPr>
      <w:rPr>
        <w:rFonts w:ascii="Wingdings" w:hAnsi="Wingdings" w:hint="default"/>
      </w:rPr>
    </w:lvl>
  </w:abstractNum>
  <w:abstractNum w:abstractNumId="44"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1A556E2E"/>
    <w:multiLevelType w:val="singleLevel"/>
    <w:tmpl w:val="4704D1AC"/>
    <w:lvl w:ilvl="0">
      <w:start w:val="1"/>
      <w:numFmt w:val="bullet"/>
      <w:lvlText w:val="§"/>
      <w:lvlJc w:val="left"/>
      <w:pPr>
        <w:ind w:left="360" w:hanging="360"/>
      </w:pPr>
      <w:rPr>
        <w:rFonts w:ascii="Wingdings" w:hAnsi="Wingdings" w:hint="default"/>
      </w:rPr>
    </w:lvl>
  </w:abstractNum>
  <w:abstractNum w:abstractNumId="46" w15:restartNumberingAfterBreak="0">
    <w:nsid w:val="1B0A163F"/>
    <w:multiLevelType w:val="singleLevel"/>
    <w:tmpl w:val="239C85B8"/>
    <w:lvl w:ilvl="0">
      <w:start w:val="1"/>
      <w:numFmt w:val="bullet"/>
      <w:lvlText w:val="§"/>
      <w:lvlJc w:val="left"/>
      <w:pPr>
        <w:ind w:left="360" w:hanging="360"/>
      </w:pPr>
      <w:rPr>
        <w:rFonts w:ascii="Wingdings" w:hAnsi="Wingdings" w:hint="default"/>
      </w:rPr>
    </w:lvl>
  </w:abstractNum>
  <w:abstractNum w:abstractNumId="47" w15:restartNumberingAfterBreak="0">
    <w:nsid w:val="1BAD7627"/>
    <w:multiLevelType w:val="singleLevel"/>
    <w:tmpl w:val="F75E5E9C"/>
    <w:lvl w:ilvl="0">
      <w:start w:val="1"/>
      <w:numFmt w:val="bullet"/>
      <w:lvlText w:val="§"/>
      <w:lvlJc w:val="left"/>
      <w:pPr>
        <w:ind w:left="360" w:hanging="360"/>
      </w:pPr>
      <w:rPr>
        <w:rFonts w:ascii="Wingdings" w:hAnsi="Wingdings" w:hint="default"/>
      </w:rPr>
    </w:lvl>
  </w:abstractNum>
  <w:abstractNum w:abstractNumId="48" w15:restartNumberingAfterBreak="0">
    <w:nsid w:val="1BFB3459"/>
    <w:multiLevelType w:val="singleLevel"/>
    <w:tmpl w:val="06FAF91C"/>
    <w:lvl w:ilvl="0">
      <w:start w:val="1"/>
      <w:numFmt w:val="bullet"/>
      <w:lvlText w:val="§"/>
      <w:lvlJc w:val="left"/>
      <w:pPr>
        <w:ind w:left="360" w:hanging="360"/>
      </w:pPr>
      <w:rPr>
        <w:rFonts w:ascii="Wingdings" w:hAnsi="Wingdings" w:hint="default"/>
      </w:rPr>
    </w:lvl>
  </w:abstractNum>
  <w:abstractNum w:abstractNumId="49" w15:restartNumberingAfterBreak="0">
    <w:nsid w:val="1C0D5057"/>
    <w:multiLevelType w:val="singleLevel"/>
    <w:tmpl w:val="A336BD22"/>
    <w:lvl w:ilvl="0">
      <w:start w:val="1"/>
      <w:numFmt w:val="bullet"/>
      <w:lvlText w:val="§"/>
      <w:lvlJc w:val="left"/>
      <w:pPr>
        <w:ind w:left="360" w:hanging="360"/>
      </w:pPr>
      <w:rPr>
        <w:rFonts w:ascii="Wingdings" w:hAnsi="Wingdings" w:hint="default"/>
      </w:rPr>
    </w:lvl>
  </w:abstractNum>
  <w:abstractNum w:abstractNumId="50" w15:restartNumberingAfterBreak="0">
    <w:nsid w:val="1C174C99"/>
    <w:multiLevelType w:val="singleLevel"/>
    <w:tmpl w:val="9C4EF688"/>
    <w:lvl w:ilvl="0">
      <w:start w:val="1"/>
      <w:numFmt w:val="bullet"/>
      <w:lvlText w:val="§"/>
      <w:lvlJc w:val="left"/>
      <w:pPr>
        <w:ind w:left="360" w:hanging="360"/>
      </w:pPr>
      <w:rPr>
        <w:rFonts w:ascii="Wingdings" w:hAnsi="Wingdings" w:hint="default"/>
      </w:rPr>
    </w:lvl>
  </w:abstractNum>
  <w:abstractNum w:abstractNumId="51" w15:restartNumberingAfterBreak="0">
    <w:nsid w:val="1CB21F2A"/>
    <w:multiLevelType w:val="singleLevel"/>
    <w:tmpl w:val="97926A42"/>
    <w:lvl w:ilvl="0">
      <w:start w:val="1"/>
      <w:numFmt w:val="bullet"/>
      <w:lvlText w:val="§"/>
      <w:lvlJc w:val="left"/>
      <w:pPr>
        <w:ind w:left="360" w:hanging="360"/>
      </w:pPr>
      <w:rPr>
        <w:rFonts w:ascii="Wingdings" w:hAnsi="Wingdings" w:hint="default"/>
      </w:rPr>
    </w:lvl>
  </w:abstractNum>
  <w:abstractNum w:abstractNumId="52" w15:restartNumberingAfterBreak="0">
    <w:nsid w:val="1D3E0637"/>
    <w:multiLevelType w:val="singleLevel"/>
    <w:tmpl w:val="3ABC91E0"/>
    <w:lvl w:ilvl="0">
      <w:start w:val="1"/>
      <w:numFmt w:val="bullet"/>
      <w:lvlText w:val="§"/>
      <w:lvlJc w:val="left"/>
      <w:pPr>
        <w:ind w:left="360" w:hanging="360"/>
      </w:pPr>
      <w:rPr>
        <w:rFonts w:ascii="Wingdings" w:hAnsi="Wingdings" w:hint="default"/>
      </w:rPr>
    </w:lvl>
  </w:abstractNum>
  <w:abstractNum w:abstractNumId="53" w15:restartNumberingAfterBreak="0">
    <w:nsid w:val="1D58757F"/>
    <w:multiLevelType w:val="singleLevel"/>
    <w:tmpl w:val="D92E7244"/>
    <w:lvl w:ilvl="0">
      <w:start w:val="1"/>
      <w:numFmt w:val="bullet"/>
      <w:lvlText w:val="§"/>
      <w:lvlJc w:val="left"/>
      <w:pPr>
        <w:ind w:left="360" w:hanging="360"/>
      </w:pPr>
      <w:rPr>
        <w:rFonts w:ascii="Wingdings" w:hAnsi="Wingdings" w:hint="default"/>
      </w:rPr>
    </w:lvl>
  </w:abstractNum>
  <w:abstractNum w:abstractNumId="54"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55" w15:restartNumberingAfterBreak="0">
    <w:nsid w:val="1E54431E"/>
    <w:multiLevelType w:val="singleLevel"/>
    <w:tmpl w:val="1A442D0A"/>
    <w:lvl w:ilvl="0">
      <w:start w:val="1"/>
      <w:numFmt w:val="bullet"/>
      <w:lvlText w:val="§"/>
      <w:lvlJc w:val="left"/>
      <w:pPr>
        <w:ind w:left="360" w:hanging="360"/>
      </w:pPr>
      <w:rPr>
        <w:rFonts w:ascii="Wingdings" w:hAnsi="Wingdings" w:hint="default"/>
      </w:rPr>
    </w:lvl>
  </w:abstractNum>
  <w:abstractNum w:abstractNumId="56" w15:restartNumberingAfterBreak="0">
    <w:nsid w:val="1F0C3666"/>
    <w:multiLevelType w:val="singleLevel"/>
    <w:tmpl w:val="38C8BE6A"/>
    <w:lvl w:ilvl="0">
      <w:start w:val="1"/>
      <w:numFmt w:val="bullet"/>
      <w:lvlText w:val="§"/>
      <w:lvlJc w:val="left"/>
      <w:pPr>
        <w:ind w:left="360" w:hanging="360"/>
      </w:pPr>
      <w:rPr>
        <w:rFonts w:ascii="Wingdings" w:hAnsi="Wingdings" w:hint="default"/>
      </w:rPr>
    </w:lvl>
  </w:abstractNum>
  <w:abstractNum w:abstractNumId="57" w15:restartNumberingAfterBreak="0">
    <w:nsid w:val="1F856E2B"/>
    <w:multiLevelType w:val="singleLevel"/>
    <w:tmpl w:val="5E94C89C"/>
    <w:lvl w:ilvl="0">
      <w:start w:val="1"/>
      <w:numFmt w:val="bullet"/>
      <w:lvlText w:val="§"/>
      <w:lvlJc w:val="left"/>
      <w:pPr>
        <w:ind w:left="360" w:hanging="360"/>
      </w:pPr>
      <w:rPr>
        <w:rFonts w:ascii="Wingdings" w:hAnsi="Wingdings" w:hint="default"/>
      </w:rPr>
    </w:lvl>
  </w:abstractNum>
  <w:abstractNum w:abstractNumId="58" w15:restartNumberingAfterBreak="0">
    <w:nsid w:val="1FCE51CE"/>
    <w:multiLevelType w:val="singleLevel"/>
    <w:tmpl w:val="3DF659F0"/>
    <w:lvl w:ilvl="0">
      <w:start w:val="1"/>
      <w:numFmt w:val="bullet"/>
      <w:lvlText w:val="§"/>
      <w:lvlJc w:val="left"/>
      <w:pPr>
        <w:ind w:left="360" w:hanging="360"/>
      </w:pPr>
      <w:rPr>
        <w:rFonts w:ascii="Wingdings" w:hAnsi="Wingdings" w:hint="default"/>
      </w:rPr>
    </w:lvl>
  </w:abstractNum>
  <w:abstractNum w:abstractNumId="59" w15:restartNumberingAfterBreak="0">
    <w:nsid w:val="1FE97660"/>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20062B54"/>
    <w:multiLevelType w:val="singleLevel"/>
    <w:tmpl w:val="C67C285C"/>
    <w:lvl w:ilvl="0">
      <w:start w:val="1"/>
      <w:numFmt w:val="bullet"/>
      <w:lvlText w:val="§"/>
      <w:lvlJc w:val="left"/>
      <w:pPr>
        <w:ind w:left="360" w:hanging="360"/>
      </w:pPr>
      <w:rPr>
        <w:rFonts w:ascii="Wingdings" w:hAnsi="Wingdings" w:hint="default"/>
      </w:rPr>
    </w:lvl>
  </w:abstractNum>
  <w:abstractNum w:abstractNumId="61"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2" w15:restartNumberingAfterBreak="0">
    <w:nsid w:val="20603F15"/>
    <w:multiLevelType w:val="singleLevel"/>
    <w:tmpl w:val="74507BDC"/>
    <w:lvl w:ilvl="0">
      <w:start w:val="1"/>
      <w:numFmt w:val="bullet"/>
      <w:lvlText w:val="§"/>
      <w:lvlJc w:val="left"/>
      <w:pPr>
        <w:ind w:left="360" w:hanging="360"/>
      </w:pPr>
      <w:rPr>
        <w:rFonts w:ascii="Wingdings" w:hAnsi="Wingdings" w:hint="default"/>
      </w:rPr>
    </w:lvl>
  </w:abstractNum>
  <w:abstractNum w:abstractNumId="63" w15:restartNumberingAfterBreak="0">
    <w:nsid w:val="20C010B1"/>
    <w:multiLevelType w:val="singleLevel"/>
    <w:tmpl w:val="396A026A"/>
    <w:lvl w:ilvl="0">
      <w:start w:val="1"/>
      <w:numFmt w:val="bullet"/>
      <w:lvlText w:val="§"/>
      <w:lvlJc w:val="left"/>
      <w:pPr>
        <w:ind w:left="360" w:hanging="360"/>
      </w:pPr>
      <w:rPr>
        <w:rFonts w:ascii="Wingdings" w:hAnsi="Wingdings" w:hint="default"/>
      </w:rPr>
    </w:lvl>
  </w:abstractNum>
  <w:abstractNum w:abstractNumId="64" w15:restartNumberingAfterBreak="0">
    <w:nsid w:val="20D7227F"/>
    <w:multiLevelType w:val="singleLevel"/>
    <w:tmpl w:val="1038B9C8"/>
    <w:lvl w:ilvl="0">
      <w:start w:val="1"/>
      <w:numFmt w:val="bullet"/>
      <w:lvlText w:val="§"/>
      <w:lvlJc w:val="left"/>
      <w:pPr>
        <w:ind w:left="360" w:hanging="360"/>
      </w:pPr>
      <w:rPr>
        <w:rFonts w:ascii="Wingdings" w:hAnsi="Wingdings" w:hint="default"/>
      </w:rPr>
    </w:lvl>
  </w:abstractNum>
  <w:abstractNum w:abstractNumId="65" w15:restartNumberingAfterBreak="0">
    <w:nsid w:val="213E7AB2"/>
    <w:multiLevelType w:val="singleLevel"/>
    <w:tmpl w:val="B16ACFAC"/>
    <w:lvl w:ilvl="0">
      <w:start w:val="1"/>
      <w:numFmt w:val="bullet"/>
      <w:lvlText w:val="§"/>
      <w:lvlJc w:val="left"/>
      <w:pPr>
        <w:ind w:left="360" w:hanging="360"/>
      </w:pPr>
      <w:rPr>
        <w:rFonts w:ascii="Wingdings" w:hAnsi="Wingdings" w:hint="default"/>
      </w:rPr>
    </w:lvl>
  </w:abstractNum>
  <w:abstractNum w:abstractNumId="66" w15:restartNumberingAfterBreak="0">
    <w:nsid w:val="220A189F"/>
    <w:multiLevelType w:val="singleLevel"/>
    <w:tmpl w:val="70D29156"/>
    <w:lvl w:ilvl="0">
      <w:start w:val="1"/>
      <w:numFmt w:val="bullet"/>
      <w:lvlText w:val="§"/>
      <w:lvlJc w:val="left"/>
      <w:pPr>
        <w:ind w:left="360" w:hanging="360"/>
      </w:pPr>
      <w:rPr>
        <w:rFonts w:ascii="Wingdings" w:hAnsi="Wingdings" w:hint="default"/>
      </w:rPr>
    </w:lvl>
  </w:abstractNum>
  <w:abstractNum w:abstractNumId="67" w15:restartNumberingAfterBreak="0">
    <w:nsid w:val="220D080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8" w15:restartNumberingAfterBreak="0">
    <w:nsid w:val="221371EA"/>
    <w:multiLevelType w:val="singleLevel"/>
    <w:tmpl w:val="EDBAB0A4"/>
    <w:lvl w:ilvl="0">
      <w:start w:val="1"/>
      <w:numFmt w:val="bullet"/>
      <w:lvlText w:val="§"/>
      <w:lvlJc w:val="left"/>
      <w:pPr>
        <w:ind w:left="360" w:hanging="360"/>
      </w:pPr>
      <w:rPr>
        <w:rFonts w:ascii="Wingdings" w:hAnsi="Wingdings" w:hint="default"/>
      </w:rPr>
    </w:lvl>
  </w:abstractNum>
  <w:abstractNum w:abstractNumId="69" w15:restartNumberingAfterBreak="0">
    <w:nsid w:val="22647FC0"/>
    <w:multiLevelType w:val="singleLevel"/>
    <w:tmpl w:val="6DAE4C28"/>
    <w:lvl w:ilvl="0">
      <w:start w:val="1"/>
      <w:numFmt w:val="bullet"/>
      <w:lvlText w:val="§"/>
      <w:lvlJc w:val="left"/>
      <w:pPr>
        <w:ind w:left="360" w:hanging="360"/>
      </w:pPr>
      <w:rPr>
        <w:rFonts w:ascii="Wingdings" w:hAnsi="Wingdings" w:hint="default"/>
      </w:rPr>
    </w:lvl>
  </w:abstractNum>
  <w:abstractNum w:abstractNumId="70" w15:restartNumberingAfterBreak="0">
    <w:nsid w:val="237501AF"/>
    <w:multiLevelType w:val="singleLevel"/>
    <w:tmpl w:val="6CB2738E"/>
    <w:lvl w:ilvl="0">
      <w:start w:val="1"/>
      <w:numFmt w:val="bullet"/>
      <w:lvlText w:val="§"/>
      <w:lvlJc w:val="left"/>
      <w:pPr>
        <w:ind w:left="360" w:hanging="360"/>
      </w:pPr>
      <w:rPr>
        <w:rFonts w:ascii="Wingdings" w:hAnsi="Wingdings" w:hint="default"/>
      </w:rPr>
    </w:lvl>
  </w:abstractNum>
  <w:abstractNum w:abstractNumId="71" w15:restartNumberingAfterBreak="0">
    <w:nsid w:val="24226C2A"/>
    <w:multiLevelType w:val="singleLevel"/>
    <w:tmpl w:val="D124D3B8"/>
    <w:lvl w:ilvl="0">
      <w:start w:val="1"/>
      <w:numFmt w:val="bullet"/>
      <w:lvlText w:val="§"/>
      <w:lvlJc w:val="left"/>
      <w:pPr>
        <w:ind w:left="360" w:hanging="360"/>
      </w:pPr>
      <w:rPr>
        <w:rFonts w:ascii="Wingdings" w:hAnsi="Wingdings" w:hint="default"/>
      </w:rPr>
    </w:lvl>
  </w:abstractNum>
  <w:abstractNum w:abstractNumId="72" w15:restartNumberingAfterBreak="0">
    <w:nsid w:val="24377B8E"/>
    <w:multiLevelType w:val="singleLevel"/>
    <w:tmpl w:val="AE16FA6A"/>
    <w:lvl w:ilvl="0">
      <w:start w:val="1"/>
      <w:numFmt w:val="bullet"/>
      <w:lvlText w:val="§"/>
      <w:lvlJc w:val="left"/>
      <w:pPr>
        <w:ind w:left="360" w:hanging="360"/>
      </w:pPr>
      <w:rPr>
        <w:rFonts w:ascii="Wingdings" w:hAnsi="Wingdings" w:hint="default"/>
      </w:rPr>
    </w:lvl>
  </w:abstractNum>
  <w:abstractNum w:abstractNumId="7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7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7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76" w15:restartNumberingAfterBreak="0">
    <w:nsid w:val="26971DF0"/>
    <w:multiLevelType w:val="singleLevel"/>
    <w:tmpl w:val="48E49F86"/>
    <w:lvl w:ilvl="0">
      <w:start w:val="1"/>
      <w:numFmt w:val="bullet"/>
      <w:lvlText w:val="§"/>
      <w:lvlJc w:val="left"/>
      <w:pPr>
        <w:ind w:left="360" w:hanging="360"/>
      </w:pPr>
      <w:rPr>
        <w:rFonts w:ascii="Wingdings" w:hAnsi="Wingdings" w:hint="default"/>
      </w:rPr>
    </w:lvl>
  </w:abstractNum>
  <w:abstractNum w:abstractNumId="77" w15:restartNumberingAfterBreak="0">
    <w:nsid w:val="26B118B6"/>
    <w:multiLevelType w:val="singleLevel"/>
    <w:tmpl w:val="841A3A82"/>
    <w:lvl w:ilvl="0">
      <w:start w:val="1"/>
      <w:numFmt w:val="bullet"/>
      <w:lvlText w:val="§"/>
      <w:lvlJc w:val="left"/>
      <w:pPr>
        <w:ind w:left="360" w:hanging="360"/>
      </w:pPr>
      <w:rPr>
        <w:rFonts w:ascii="Wingdings" w:hAnsi="Wingdings" w:hint="default"/>
      </w:rPr>
    </w:lvl>
  </w:abstractNum>
  <w:abstractNum w:abstractNumId="78" w15:restartNumberingAfterBreak="0">
    <w:nsid w:val="26CD333B"/>
    <w:multiLevelType w:val="singleLevel"/>
    <w:tmpl w:val="3DA418C0"/>
    <w:lvl w:ilvl="0">
      <w:start w:val="1"/>
      <w:numFmt w:val="bullet"/>
      <w:lvlText w:val="§"/>
      <w:lvlJc w:val="left"/>
      <w:pPr>
        <w:ind w:left="360" w:hanging="360"/>
      </w:pPr>
      <w:rPr>
        <w:rFonts w:ascii="Wingdings" w:hAnsi="Wingdings" w:hint="default"/>
      </w:rPr>
    </w:lvl>
  </w:abstractNum>
  <w:abstractNum w:abstractNumId="79"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0" w15:restartNumberingAfterBreak="0">
    <w:nsid w:val="27BD3835"/>
    <w:multiLevelType w:val="singleLevel"/>
    <w:tmpl w:val="1DCA0DCE"/>
    <w:lvl w:ilvl="0">
      <w:start w:val="1"/>
      <w:numFmt w:val="decimal"/>
      <w:lvlText w:val="%1."/>
      <w:lvlJc w:val="left"/>
      <w:pPr>
        <w:ind w:left="360" w:hanging="360"/>
      </w:pPr>
    </w:lvl>
  </w:abstractNum>
  <w:abstractNum w:abstractNumId="81"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3" w15:restartNumberingAfterBreak="0">
    <w:nsid w:val="28980C31"/>
    <w:multiLevelType w:val="singleLevel"/>
    <w:tmpl w:val="D6CE48B0"/>
    <w:lvl w:ilvl="0">
      <w:start w:val="1"/>
      <w:numFmt w:val="bullet"/>
      <w:lvlText w:val="§"/>
      <w:lvlJc w:val="left"/>
      <w:pPr>
        <w:ind w:left="360" w:hanging="360"/>
      </w:pPr>
      <w:rPr>
        <w:rFonts w:ascii="Wingdings" w:hAnsi="Wingdings" w:hint="default"/>
      </w:rPr>
    </w:lvl>
  </w:abstractNum>
  <w:abstractNum w:abstractNumId="84" w15:restartNumberingAfterBreak="0">
    <w:nsid w:val="28D2285F"/>
    <w:multiLevelType w:val="singleLevel"/>
    <w:tmpl w:val="14C4273E"/>
    <w:lvl w:ilvl="0">
      <w:start w:val="1"/>
      <w:numFmt w:val="bullet"/>
      <w:lvlText w:val="§"/>
      <w:lvlJc w:val="left"/>
      <w:pPr>
        <w:ind w:left="360" w:hanging="360"/>
      </w:pPr>
      <w:rPr>
        <w:rFonts w:ascii="Wingdings" w:hAnsi="Wingdings" w:hint="default"/>
      </w:rPr>
    </w:lvl>
  </w:abstractNum>
  <w:abstractNum w:abstractNumId="85" w15:restartNumberingAfterBreak="0">
    <w:nsid w:val="2A7C051F"/>
    <w:multiLevelType w:val="singleLevel"/>
    <w:tmpl w:val="6A18BCD2"/>
    <w:lvl w:ilvl="0">
      <w:start w:val="1"/>
      <w:numFmt w:val="bullet"/>
      <w:lvlText w:val="§"/>
      <w:lvlJc w:val="left"/>
      <w:pPr>
        <w:ind w:left="360" w:hanging="360"/>
      </w:pPr>
      <w:rPr>
        <w:rFonts w:ascii="Wingdings" w:hAnsi="Wingdings" w:hint="default"/>
      </w:rPr>
    </w:lvl>
  </w:abstractNum>
  <w:abstractNum w:abstractNumId="86" w15:restartNumberingAfterBreak="0">
    <w:nsid w:val="2AB46A22"/>
    <w:multiLevelType w:val="singleLevel"/>
    <w:tmpl w:val="EE5AA83C"/>
    <w:lvl w:ilvl="0">
      <w:start w:val="1"/>
      <w:numFmt w:val="bullet"/>
      <w:lvlText w:val="§"/>
      <w:lvlJc w:val="left"/>
      <w:pPr>
        <w:ind w:left="360" w:hanging="360"/>
      </w:pPr>
      <w:rPr>
        <w:rFonts w:ascii="Wingdings" w:hAnsi="Wingdings" w:hint="default"/>
      </w:rPr>
    </w:lvl>
  </w:abstractNum>
  <w:abstractNum w:abstractNumId="87" w15:restartNumberingAfterBreak="0">
    <w:nsid w:val="2AF70B9E"/>
    <w:multiLevelType w:val="singleLevel"/>
    <w:tmpl w:val="C4BA8DBC"/>
    <w:lvl w:ilvl="0">
      <w:start w:val="1"/>
      <w:numFmt w:val="bullet"/>
      <w:lvlText w:val="§"/>
      <w:lvlJc w:val="left"/>
      <w:pPr>
        <w:ind w:left="360" w:hanging="360"/>
      </w:pPr>
      <w:rPr>
        <w:rFonts w:ascii="Wingdings" w:hAnsi="Wingdings" w:hint="default"/>
      </w:rPr>
    </w:lvl>
  </w:abstractNum>
  <w:abstractNum w:abstractNumId="88" w15:restartNumberingAfterBreak="0">
    <w:nsid w:val="2B355787"/>
    <w:multiLevelType w:val="singleLevel"/>
    <w:tmpl w:val="1DCA19E6"/>
    <w:lvl w:ilvl="0">
      <w:start w:val="1"/>
      <w:numFmt w:val="bullet"/>
      <w:lvlText w:val="§"/>
      <w:lvlJc w:val="left"/>
      <w:pPr>
        <w:ind w:left="360" w:hanging="360"/>
      </w:pPr>
      <w:rPr>
        <w:rFonts w:ascii="Wingdings" w:hAnsi="Wingdings" w:hint="default"/>
      </w:rPr>
    </w:lvl>
  </w:abstractNum>
  <w:abstractNum w:abstractNumId="89" w15:restartNumberingAfterBreak="0">
    <w:nsid w:val="2B824FCD"/>
    <w:multiLevelType w:val="singleLevel"/>
    <w:tmpl w:val="434E6E14"/>
    <w:lvl w:ilvl="0">
      <w:start w:val="1"/>
      <w:numFmt w:val="bullet"/>
      <w:lvlText w:val="§"/>
      <w:lvlJc w:val="left"/>
      <w:pPr>
        <w:ind w:left="360" w:hanging="360"/>
      </w:pPr>
      <w:rPr>
        <w:rFonts w:ascii="Wingdings" w:hAnsi="Wingdings" w:hint="default"/>
      </w:rPr>
    </w:lvl>
  </w:abstractNum>
  <w:abstractNum w:abstractNumId="90" w15:restartNumberingAfterBreak="0">
    <w:nsid w:val="2DA41E28"/>
    <w:multiLevelType w:val="singleLevel"/>
    <w:tmpl w:val="2348DC7C"/>
    <w:lvl w:ilvl="0">
      <w:start w:val="1"/>
      <w:numFmt w:val="bullet"/>
      <w:lvlText w:val="§"/>
      <w:lvlJc w:val="left"/>
      <w:pPr>
        <w:ind w:left="360" w:hanging="360"/>
      </w:pPr>
      <w:rPr>
        <w:rFonts w:ascii="Wingdings" w:hAnsi="Wingdings" w:hint="default"/>
      </w:rPr>
    </w:lvl>
  </w:abstractNum>
  <w:abstractNum w:abstractNumId="91" w15:restartNumberingAfterBreak="0">
    <w:nsid w:val="2E1D3924"/>
    <w:multiLevelType w:val="singleLevel"/>
    <w:tmpl w:val="B9FEF0CE"/>
    <w:lvl w:ilvl="0">
      <w:start w:val="1"/>
      <w:numFmt w:val="bullet"/>
      <w:lvlText w:val="§"/>
      <w:lvlJc w:val="left"/>
      <w:pPr>
        <w:ind w:left="360" w:hanging="360"/>
      </w:pPr>
      <w:rPr>
        <w:rFonts w:ascii="Wingdings" w:hAnsi="Wingdings" w:hint="default"/>
      </w:rPr>
    </w:lvl>
  </w:abstractNum>
  <w:abstractNum w:abstractNumId="92"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93" w15:restartNumberingAfterBreak="0">
    <w:nsid w:val="2EF36089"/>
    <w:multiLevelType w:val="singleLevel"/>
    <w:tmpl w:val="73D66756"/>
    <w:lvl w:ilvl="0">
      <w:start w:val="1"/>
      <w:numFmt w:val="bullet"/>
      <w:lvlText w:val="§"/>
      <w:lvlJc w:val="left"/>
      <w:pPr>
        <w:ind w:left="360" w:hanging="360"/>
      </w:pPr>
      <w:rPr>
        <w:rFonts w:ascii="Wingdings" w:hAnsi="Wingdings" w:hint="default"/>
      </w:rPr>
    </w:lvl>
  </w:abstractNum>
  <w:abstractNum w:abstractNumId="94" w15:restartNumberingAfterBreak="0">
    <w:nsid w:val="2FA160E0"/>
    <w:multiLevelType w:val="singleLevel"/>
    <w:tmpl w:val="782494C6"/>
    <w:lvl w:ilvl="0">
      <w:start w:val="1"/>
      <w:numFmt w:val="bullet"/>
      <w:lvlText w:val="§"/>
      <w:lvlJc w:val="left"/>
      <w:pPr>
        <w:ind w:left="360" w:hanging="360"/>
      </w:pPr>
      <w:rPr>
        <w:rFonts w:ascii="Wingdings" w:hAnsi="Wingdings" w:hint="default"/>
      </w:rPr>
    </w:lvl>
  </w:abstractNum>
  <w:abstractNum w:abstractNumId="95" w15:restartNumberingAfterBreak="0">
    <w:nsid w:val="2FF517D3"/>
    <w:multiLevelType w:val="singleLevel"/>
    <w:tmpl w:val="48C63202"/>
    <w:lvl w:ilvl="0">
      <w:start w:val="1"/>
      <w:numFmt w:val="bullet"/>
      <w:lvlText w:val="§"/>
      <w:lvlJc w:val="left"/>
      <w:pPr>
        <w:ind w:left="360" w:hanging="360"/>
      </w:pPr>
      <w:rPr>
        <w:rFonts w:ascii="Wingdings" w:hAnsi="Wingdings" w:hint="default"/>
      </w:rPr>
    </w:lvl>
  </w:abstractNum>
  <w:abstractNum w:abstractNumId="96" w15:restartNumberingAfterBreak="0">
    <w:nsid w:val="30DF0C3B"/>
    <w:multiLevelType w:val="singleLevel"/>
    <w:tmpl w:val="C5AAB7AE"/>
    <w:lvl w:ilvl="0">
      <w:start w:val="1"/>
      <w:numFmt w:val="bullet"/>
      <w:lvlText w:val="§"/>
      <w:lvlJc w:val="left"/>
      <w:pPr>
        <w:ind w:left="360" w:hanging="360"/>
      </w:pPr>
      <w:rPr>
        <w:rFonts w:ascii="Wingdings" w:hAnsi="Wingdings" w:hint="default"/>
      </w:rPr>
    </w:lvl>
  </w:abstractNum>
  <w:abstractNum w:abstractNumId="97" w15:restartNumberingAfterBreak="0">
    <w:nsid w:val="31676A81"/>
    <w:multiLevelType w:val="singleLevel"/>
    <w:tmpl w:val="606A519A"/>
    <w:lvl w:ilvl="0">
      <w:start w:val="1"/>
      <w:numFmt w:val="bullet"/>
      <w:lvlText w:val="§"/>
      <w:lvlJc w:val="left"/>
      <w:pPr>
        <w:ind w:left="360" w:hanging="360"/>
      </w:pPr>
      <w:rPr>
        <w:rFonts w:ascii="Wingdings" w:hAnsi="Wingdings" w:hint="default"/>
      </w:rPr>
    </w:lvl>
  </w:abstractNum>
  <w:abstractNum w:abstractNumId="98"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99" w15:restartNumberingAfterBreak="0">
    <w:nsid w:val="317E5AAC"/>
    <w:multiLevelType w:val="singleLevel"/>
    <w:tmpl w:val="9E1298E6"/>
    <w:lvl w:ilvl="0">
      <w:start w:val="1"/>
      <w:numFmt w:val="bullet"/>
      <w:lvlText w:val="§"/>
      <w:lvlJc w:val="left"/>
      <w:pPr>
        <w:ind w:left="360" w:hanging="360"/>
      </w:pPr>
      <w:rPr>
        <w:rFonts w:ascii="Wingdings" w:hAnsi="Wingdings" w:hint="default"/>
      </w:rPr>
    </w:lvl>
  </w:abstractNum>
  <w:abstractNum w:abstractNumId="100" w15:restartNumberingAfterBreak="0">
    <w:nsid w:val="324C38C3"/>
    <w:multiLevelType w:val="singleLevel"/>
    <w:tmpl w:val="B8B80814"/>
    <w:lvl w:ilvl="0">
      <w:start w:val="1"/>
      <w:numFmt w:val="bullet"/>
      <w:lvlText w:val="§"/>
      <w:lvlJc w:val="left"/>
      <w:pPr>
        <w:ind w:left="360" w:hanging="360"/>
      </w:pPr>
      <w:rPr>
        <w:rFonts w:ascii="Wingdings" w:hAnsi="Wingdings" w:hint="default"/>
      </w:rPr>
    </w:lvl>
  </w:abstractNum>
  <w:abstractNum w:abstractNumId="101" w15:restartNumberingAfterBreak="0">
    <w:nsid w:val="329C598B"/>
    <w:multiLevelType w:val="singleLevel"/>
    <w:tmpl w:val="DB388FF8"/>
    <w:lvl w:ilvl="0">
      <w:start w:val="1"/>
      <w:numFmt w:val="bullet"/>
      <w:lvlText w:val="§"/>
      <w:lvlJc w:val="left"/>
      <w:pPr>
        <w:ind w:left="360" w:hanging="360"/>
      </w:pPr>
      <w:rPr>
        <w:rFonts w:ascii="Wingdings" w:hAnsi="Wingdings" w:hint="default"/>
      </w:rPr>
    </w:lvl>
  </w:abstractNum>
  <w:abstractNum w:abstractNumId="102" w15:restartNumberingAfterBreak="0">
    <w:nsid w:val="33D358F1"/>
    <w:multiLevelType w:val="singleLevel"/>
    <w:tmpl w:val="B1A0CA26"/>
    <w:lvl w:ilvl="0">
      <w:start w:val="1"/>
      <w:numFmt w:val="bullet"/>
      <w:lvlText w:val="§"/>
      <w:lvlJc w:val="left"/>
      <w:pPr>
        <w:ind w:left="360" w:hanging="360"/>
      </w:pPr>
      <w:rPr>
        <w:rFonts w:ascii="Wingdings" w:hAnsi="Wingdings" w:hint="default"/>
      </w:rPr>
    </w:lvl>
  </w:abstractNum>
  <w:abstractNum w:abstractNumId="103" w15:restartNumberingAfterBreak="0">
    <w:nsid w:val="34124644"/>
    <w:multiLevelType w:val="singleLevel"/>
    <w:tmpl w:val="DD56D866"/>
    <w:lvl w:ilvl="0">
      <w:start w:val="1"/>
      <w:numFmt w:val="bullet"/>
      <w:lvlText w:val="§"/>
      <w:lvlJc w:val="left"/>
      <w:pPr>
        <w:ind w:left="360" w:hanging="360"/>
      </w:pPr>
      <w:rPr>
        <w:rFonts w:ascii="Wingdings" w:hAnsi="Wingdings" w:hint="default"/>
      </w:rPr>
    </w:lvl>
  </w:abstractNum>
  <w:abstractNum w:abstractNumId="104" w15:restartNumberingAfterBreak="0">
    <w:nsid w:val="34BE1454"/>
    <w:multiLevelType w:val="singleLevel"/>
    <w:tmpl w:val="F942DF50"/>
    <w:lvl w:ilvl="0">
      <w:start w:val="1"/>
      <w:numFmt w:val="bullet"/>
      <w:lvlText w:val="§"/>
      <w:lvlJc w:val="left"/>
      <w:pPr>
        <w:ind w:left="360" w:hanging="360"/>
      </w:pPr>
      <w:rPr>
        <w:rFonts w:ascii="Wingdings" w:hAnsi="Wingdings" w:hint="default"/>
      </w:rPr>
    </w:lvl>
  </w:abstractNum>
  <w:abstractNum w:abstractNumId="105" w15:restartNumberingAfterBreak="0">
    <w:nsid w:val="34CD5919"/>
    <w:multiLevelType w:val="singleLevel"/>
    <w:tmpl w:val="D7683060"/>
    <w:lvl w:ilvl="0">
      <w:start w:val="1"/>
      <w:numFmt w:val="bullet"/>
      <w:lvlText w:val="§"/>
      <w:lvlJc w:val="left"/>
      <w:pPr>
        <w:ind w:left="360" w:hanging="360"/>
      </w:pPr>
      <w:rPr>
        <w:rFonts w:ascii="Wingdings" w:hAnsi="Wingdings" w:hint="default"/>
      </w:rPr>
    </w:lvl>
  </w:abstractNum>
  <w:abstractNum w:abstractNumId="106" w15:restartNumberingAfterBreak="0">
    <w:nsid w:val="366A4F03"/>
    <w:multiLevelType w:val="singleLevel"/>
    <w:tmpl w:val="DC461E58"/>
    <w:lvl w:ilvl="0">
      <w:start w:val="1"/>
      <w:numFmt w:val="bullet"/>
      <w:lvlText w:val="§"/>
      <w:lvlJc w:val="left"/>
      <w:pPr>
        <w:ind w:left="360" w:hanging="360"/>
      </w:pPr>
      <w:rPr>
        <w:rFonts w:ascii="Wingdings" w:hAnsi="Wingdings" w:hint="default"/>
      </w:rPr>
    </w:lvl>
  </w:abstractNum>
  <w:abstractNum w:abstractNumId="107" w15:restartNumberingAfterBreak="0">
    <w:nsid w:val="3686644D"/>
    <w:multiLevelType w:val="singleLevel"/>
    <w:tmpl w:val="54385FEA"/>
    <w:lvl w:ilvl="0">
      <w:start w:val="1"/>
      <w:numFmt w:val="bullet"/>
      <w:lvlText w:val="§"/>
      <w:lvlJc w:val="left"/>
      <w:pPr>
        <w:ind w:left="360" w:hanging="360"/>
      </w:pPr>
      <w:rPr>
        <w:rFonts w:ascii="Wingdings" w:hAnsi="Wingdings" w:hint="default"/>
      </w:rPr>
    </w:lvl>
  </w:abstractNum>
  <w:abstractNum w:abstractNumId="108" w15:restartNumberingAfterBreak="0">
    <w:nsid w:val="374A516A"/>
    <w:multiLevelType w:val="singleLevel"/>
    <w:tmpl w:val="32729782"/>
    <w:lvl w:ilvl="0">
      <w:start w:val="1"/>
      <w:numFmt w:val="bullet"/>
      <w:lvlText w:val="§"/>
      <w:lvlJc w:val="left"/>
      <w:pPr>
        <w:ind w:left="360" w:hanging="360"/>
      </w:pPr>
      <w:rPr>
        <w:rFonts w:ascii="Wingdings" w:hAnsi="Wingdings" w:hint="default"/>
      </w:rPr>
    </w:lvl>
  </w:abstractNum>
  <w:abstractNum w:abstractNumId="109"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37CC519D"/>
    <w:multiLevelType w:val="singleLevel"/>
    <w:tmpl w:val="8DD00164"/>
    <w:lvl w:ilvl="0">
      <w:start w:val="1"/>
      <w:numFmt w:val="bullet"/>
      <w:lvlText w:val="§"/>
      <w:lvlJc w:val="left"/>
      <w:pPr>
        <w:ind w:left="360" w:hanging="360"/>
      </w:pPr>
      <w:rPr>
        <w:rFonts w:ascii="Wingdings" w:hAnsi="Wingdings" w:hint="default"/>
      </w:rPr>
    </w:lvl>
  </w:abstractNum>
  <w:abstractNum w:abstractNumId="111" w15:restartNumberingAfterBreak="0">
    <w:nsid w:val="3822282B"/>
    <w:multiLevelType w:val="singleLevel"/>
    <w:tmpl w:val="6CE27F4E"/>
    <w:lvl w:ilvl="0">
      <w:start w:val="1"/>
      <w:numFmt w:val="bullet"/>
      <w:lvlText w:val="§"/>
      <w:lvlJc w:val="left"/>
      <w:pPr>
        <w:ind w:left="360" w:hanging="360"/>
      </w:pPr>
      <w:rPr>
        <w:rFonts w:ascii="Wingdings" w:hAnsi="Wingdings" w:hint="default"/>
      </w:rPr>
    </w:lvl>
  </w:abstractNum>
  <w:abstractNum w:abstractNumId="112" w15:restartNumberingAfterBreak="0">
    <w:nsid w:val="382A500A"/>
    <w:multiLevelType w:val="singleLevel"/>
    <w:tmpl w:val="B7023C0A"/>
    <w:lvl w:ilvl="0">
      <w:start w:val="1"/>
      <w:numFmt w:val="bullet"/>
      <w:lvlText w:val="§"/>
      <w:lvlJc w:val="left"/>
      <w:pPr>
        <w:ind w:left="360" w:hanging="360"/>
      </w:pPr>
      <w:rPr>
        <w:rFonts w:ascii="Wingdings" w:hAnsi="Wingdings" w:hint="default"/>
      </w:rPr>
    </w:lvl>
  </w:abstractNum>
  <w:abstractNum w:abstractNumId="113" w15:restartNumberingAfterBreak="0">
    <w:nsid w:val="390A76F4"/>
    <w:multiLevelType w:val="singleLevel"/>
    <w:tmpl w:val="7A2C4F9E"/>
    <w:lvl w:ilvl="0">
      <w:start w:val="1"/>
      <w:numFmt w:val="bullet"/>
      <w:lvlText w:val="§"/>
      <w:lvlJc w:val="left"/>
      <w:pPr>
        <w:ind w:left="360" w:hanging="360"/>
      </w:pPr>
      <w:rPr>
        <w:rFonts w:ascii="Wingdings" w:hAnsi="Wingdings" w:hint="default"/>
      </w:rPr>
    </w:lvl>
  </w:abstractNum>
  <w:abstractNum w:abstractNumId="114" w15:restartNumberingAfterBreak="0">
    <w:nsid w:val="3970463F"/>
    <w:multiLevelType w:val="singleLevel"/>
    <w:tmpl w:val="657E090C"/>
    <w:lvl w:ilvl="0">
      <w:start w:val="1"/>
      <w:numFmt w:val="bullet"/>
      <w:lvlText w:val="§"/>
      <w:lvlJc w:val="left"/>
      <w:pPr>
        <w:ind w:left="360" w:hanging="360"/>
      </w:pPr>
      <w:rPr>
        <w:rFonts w:ascii="Wingdings" w:hAnsi="Wingdings" w:hint="default"/>
      </w:rPr>
    </w:lvl>
  </w:abstractNum>
  <w:abstractNum w:abstractNumId="115" w15:restartNumberingAfterBreak="0">
    <w:nsid w:val="3AF21D7D"/>
    <w:multiLevelType w:val="singleLevel"/>
    <w:tmpl w:val="028E6D24"/>
    <w:lvl w:ilvl="0">
      <w:start w:val="1"/>
      <w:numFmt w:val="bullet"/>
      <w:lvlText w:val="§"/>
      <w:lvlJc w:val="left"/>
      <w:pPr>
        <w:ind w:left="360" w:hanging="360"/>
      </w:pPr>
      <w:rPr>
        <w:rFonts w:ascii="Wingdings" w:hAnsi="Wingdings" w:hint="default"/>
      </w:rPr>
    </w:lvl>
  </w:abstractNum>
  <w:abstractNum w:abstractNumId="116" w15:restartNumberingAfterBreak="0">
    <w:nsid w:val="3AF62355"/>
    <w:multiLevelType w:val="singleLevel"/>
    <w:tmpl w:val="4C4A093A"/>
    <w:lvl w:ilvl="0">
      <w:start w:val="1"/>
      <w:numFmt w:val="bullet"/>
      <w:lvlText w:val="§"/>
      <w:lvlJc w:val="left"/>
      <w:pPr>
        <w:ind w:left="360" w:hanging="360"/>
      </w:pPr>
      <w:rPr>
        <w:rFonts w:ascii="Wingdings" w:hAnsi="Wingdings" w:hint="default"/>
      </w:rPr>
    </w:lvl>
  </w:abstractNum>
  <w:abstractNum w:abstractNumId="117" w15:restartNumberingAfterBreak="0">
    <w:nsid w:val="3C512A49"/>
    <w:multiLevelType w:val="singleLevel"/>
    <w:tmpl w:val="DF22A244"/>
    <w:lvl w:ilvl="0">
      <w:start w:val="1"/>
      <w:numFmt w:val="bullet"/>
      <w:lvlText w:val="§"/>
      <w:lvlJc w:val="left"/>
      <w:pPr>
        <w:ind w:left="360" w:hanging="360"/>
      </w:pPr>
      <w:rPr>
        <w:rFonts w:ascii="Wingdings" w:hAnsi="Wingdings" w:hint="default"/>
      </w:rPr>
    </w:lvl>
  </w:abstractNum>
  <w:abstractNum w:abstractNumId="118" w15:restartNumberingAfterBreak="0">
    <w:nsid w:val="3CB64607"/>
    <w:multiLevelType w:val="singleLevel"/>
    <w:tmpl w:val="71E02424"/>
    <w:lvl w:ilvl="0">
      <w:start w:val="1"/>
      <w:numFmt w:val="bullet"/>
      <w:lvlText w:val="§"/>
      <w:lvlJc w:val="left"/>
      <w:pPr>
        <w:ind w:left="360" w:hanging="360"/>
      </w:pPr>
      <w:rPr>
        <w:rFonts w:ascii="Wingdings" w:hAnsi="Wingdings" w:hint="default"/>
      </w:rPr>
    </w:lvl>
  </w:abstractNum>
  <w:abstractNum w:abstractNumId="119" w15:restartNumberingAfterBreak="0">
    <w:nsid w:val="3D17675D"/>
    <w:multiLevelType w:val="singleLevel"/>
    <w:tmpl w:val="73E0F040"/>
    <w:lvl w:ilvl="0">
      <w:start w:val="1"/>
      <w:numFmt w:val="bullet"/>
      <w:lvlText w:val="§"/>
      <w:lvlJc w:val="left"/>
      <w:pPr>
        <w:ind w:left="360" w:hanging="360"/>
      </w:pPr>
      <w:rPr>
        <w:rFonts w:ascii="Wingdings" w:hAnsi="Wingdings" w:hint="default"/>
      </w:rPr>
    </w:lvl>
  </w:abstractNum>
  <w:abstractNum w:abstractNumId="120" w15:restartNumberingAfterBreak="0">
    <w:nsid w:val="3E404D09"/>
    <w:multiLevelType w:val="singleLevel"/>
    <w:tmpl w:val="52DE973A"/>
    <w:lvl w:ilvl="0">
      <w:start w:val="1"/>
      <w:numFmt w:val="bullet"/>
      <w:lvlText w:val="§"/>
      <w:lvlJc w:val="left"/>
      <w:pPr>
        <w:ind w:left="360" w:hanging="360"/>
      </w:pPr>
      <w:rPr>
        <w:rFonts w:ascii="Wingdings" w:hAnsi="Wingdings" w:hint="default"/>
      </w:rPr>
    </w:lvl>
  </w:abstractNum>
  <w:abstractNum w:abstractNumId="121" w15:restartNumberingAfterBreak="0">
    <w:nsid w:val="3F4D3918"/>
    <w:multiLevelType w:val="singleLevel"/>
    <w:tmpl w:val="1BDE8BEC"/>
    <w:lvl w:ilvl="0">
      <w:start w:val="1"/>
      <w:numFmt w:val="bullet"/>
      <w:lvlText w:val="§"/>
      <w:lvlJc w:val="left"/>
      <w:pPr>
        <w:ind w:left="360" w:hanging="360"/>
      </w:pPr>
      <w:rPr>
        <w:rFonts w:ascii="Wingdings" w:hAnsi="Wingdings" w:hint="default"/>
      </w:rPr>
    </w:lvl>
  </w:abstractNum>
  <w:abstractNum w:abstractNumId="122" w15:restartNumberingAfterBreak="0">
    <w:nsid w:val="3FAD066C"/>
    <w:multiLevelType w:val="singleLevel"/>
    <w:tmpl w:val="307EB2FA"/>
    <w:lvl w:ilvl="0">
      <w:start w:val="1"/>
      <w:numFmt w:val="bullet"/>
      <w:lvlText w:val="§"/>
      <w:lvlJc w:val="left"/>
      <w:pPr>
        <w:ind w:left="360" w:hanging="360"/>
      </w:pPr>
      <w:rPr>
        <w:rFonts w:ascii="Wingdings" w:hAnsi="Wingdings" w:hint="default"/>
      </w:rPr>
    </w:lvl>
  </w:abstractNum>
  <w:abstractNum w:abstractNumId="123" w15:restartNumberingAfterBreak="0">
    <w:nsid w:val="40570A46"/>
    <w:multiLevelType w:val="singleLevel"/>
    <w:tmpl w:val="82FA1400"/>
    <w:lvl w:ilvl="0">
      <w:start w:val="1"/>
      <w:numFmt w:val="bullet"/>
      <w:lvlText w:val="§"/>
      <w:lvlJc w:val="left"/>
      <w:pPr>
        <w:ind w:left="360" w:hanging="360"/>
      </w:pPr>
      <w:rPr>
        <w:rFonts w:ascii="Wingdings" w:hAnsi="Wingdings" w:hint="default"/>
      </w:rPr>
    </w:lvl>
  </w:abstractNum>
  <w:abstractNum w:abstractNumId="124" w15:restartNumberingAfterBreak="0">
    <w:nsid w:val="41367936"/>
    <w:multiLevelType w:val="singleLevel"/>
    <w:tmpl w:val="B4D4DB5A"/>
    <w:lvl w:ilvl="0">
      <w:start w:val="1"/>
      <w:numFmt w:val="bullet"/>
      <w:lvlText w:val="§"/>
      <w:lvlJc w:val="left"/>
      <w:pPr>
        <w:ind w:left="360" w:hanging="360"/>
      </w:pPr>
      <w:rPr>
        <w:rFonts w:ascii="Wingdings" w:hAnsi="Wingdings" w:hint="default"/>
      </w:rPr>
    </w:lvl>
  </w:abstractNum>
  <w:abstractNum w:abstractNumId="125" w15:restartNumberingAfterBreak="0">
    <w:nsid w:val="413D0F68"/>
    <w:multiLevelType w:val="singleLevel"/>
    <w:tmpl w:val="78D4CBAC"/>
    <w:lvl w:ilvl="0">
      <w:start w:val="1"/>
      <w:numFmt w:val="bullet"/>
      <w:lvlText w:val="§"/>
      <w:lvlJc w:val="left"/>
      <w:pPr>
        <w:ind w:left="360" w:hanging="360"/>
      </w:pPr>
      <w:rPr>
        <w:rFonts w:ascii="Wingdings" w:hAnsi="Wingdings" w:hint="default"/>
      </w:rPr>
    </w:lvl>
  </w:abstractNum>
  <w:abstractNum w:abstractNumId="126"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424B0A1B"/>
    <w:multiLevelType w:val="singleLevel"/>
    <w:tmpl w:val="B1CA262C"/>
    <w:lvl w:ilvl="0">
      <w:start w:val="1"/>
      <w:numFmt w:val="bullet"/>
      <w:lvlText w:val="§"/>
      <w:lvlJc w:val="left"/>
      <w:pPr>
        <w:ind w:left="360" w:hanging="360"/>
      </w:pPr>
      <w:rPr>
        <w:rFonts w:ascii="Wingdings" w:hAnsi="Wingdings" w:hint="default"/>
      </w:rPr>
    </w:lvl>
  </w:abstractNum>
  <w:abstractNum w:abstractNumId="128"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42AC0587"/>
    <w:multiLevelType w:val="singleLevel"/>
    <w:tmpl w:val="71F4159C"/>
    <w:lvl w:ilvl="0">
      <w:start w:val="1"/>
      <w:numFmt w:val="bullet"/>
      <w:lvlText w:val="§"/>
      <w:lvlJc w:val="left"/>
      <w:pPr>
        <w:ind w:left="360" w:hanging="360"/>
      </w:pPr>
      <w:rPr>
        <w:rFonts w:ascii="Wingdings" w:hAnsi="Wingdings" w:hint="default"/>
      </w:rPr>
    </w:lvl>
  </w:abstractNum>
  <w:abstractNum w:abstractNumId="130" w15:restartNumberingAfterBreak="0">
    <w:nsid w:val="44B50794"/>
    <w:multiLevelType w:val="singleLevel"/>
    <w:tmpl w:val="E5629066"/>
    <w:lvl w:ilvl="0">
      <w:start w:val="1"/>
      <w:numFmt w:val="bullet"/>
      <w:lvlText w:val="§"/>
      <w:lvlJc w:val="left"/>
      <w:pPr>
        <w:ind w:left="360" w:hanging="360"/>
      </w:pPr>
      <w:rPr>
        <w:rFonts w:ascii="Wingdings" w:hAnsi="Wingdings" w:hint="default"/>
      </w:rPr>
    </w:lvl>
  </w:abstractNum>
  <w:abstractNum w:abstractNumId="131" w15:restartNumberingAfterBreak="0">
    <w:nsid w:val="45BA2B14"/>
    <w:multiLevelType w:val="hybridMultilevel"/>
    <w:tmpl w:val="3C32B9D0"/>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2"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461143D1"/>
    <w:multiLevelType w:val="singleLevel"/>
    <w:tmpl w:val="CBE810B0"/>
    <w:lvl w:ilvl="0">
      <w:start w:val="1"/>
      <w:numFmt w:val="bullet"/>
      <w:lvlText w:val="§"/>
      <w:lvlJc w:val="left"/>
      <w:pPr>
        <w:ind w:left="360" w:hanging="360"/>
      </w:pPr>
      <w:rPr>
        <w:rFonts w:ascii="Wingdings" w:hAnsi="Wingdings" w:hint="default"/>
      </w:rPr>
    </w:lvl>
  </w:abstractNum>
  <w:abstractNum w:abstractNumId="134" w15:restartNumberingAfterBreak="0">
    <w:nsid w:val="466D0202"/>
    <w:multiLevelType w:val="hybridMultilevel"/>
    <w:tmpl w:val="AAE82432"/>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5"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15:restartNumberingAfterBreak="0">
    <w:nsid w:val="479B448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37" w15:restartNumberingAfterBreak="0">
    <w:nsid w:val="48C03E05"/>
    <w:multiLevelType w:val="singleLevel"/>
    <w:tmpl w:val="055C00F6"/>
    <w:lvl w:ilvl="0">
      <w:start w:val="1"/>
      <w:numFmt w:val="bullet"/>
      <w:lvlText w:val="§"/>
      <w:lvlJc w:val="left"/>
      <w:pPr>
        <w:ind w:left="360" w:hanging="360"/>
      </w:pPr>
      <w:rPr>
        <w:rFonts w:ascii="Wingdings" w:hAnsi="Wingdings" w:hint="default"/>
      </w:rPr>
    </w:lvl>
  </w:abstractNum>
  <w:abstractNum w:abstractNumId="138" w15:restartNumberingAfterBreak="0">
    <w:nsid w:val="496E4952"/>
    <w:multiLevelType w:val="singleLevel"/>
    <w:tmpl w:val="2B26C63A"/>
    <w:lvl w:ilvl="0">
      <w:start w:val="1"/>
      <w:numFmt w:val="bullet"/>
      <w:lvlText w:val="§"/>
      <w:lvlJc w:val="left"/>
      <w:pPr>
        <w:ind w:left="360" w:hanging="360"/>
      </w:pPr>
      <w:rPr>
        <w:rFonts w:ascii="Wingdings" w:hAnsi="Wingdings" w:hint="default"/>
      </w:rPr>
    </w:lvl>
  </w:abstractNum>
  <w:abstractNum w:abstractNumId="139" w15:restartNumberingAfterBreak="0">
    <w:nsid w:val="4B9F4E32"/>
    <w:multiLevelType w:val="singleLevel"/>
    <w:tmpl w:val="2A58F700"/>
    <w:lvl w:ilvl="0">
      <w:start w:val="1"/>
      <w:numFmt w:val="bullet"/>
      <w:lvlText w:val="§"/>
      <w:lvlJc w:val="left"/>
      <w:pPr>
        <w:ind w:left="360" w:hanging="360"/>
      </w:pPr>
      <w:rPr>
        <w:rFonts w:ascii="Wingdings" w:hAnsi="Wingdings" w:hint="default"/>
      </w:rPr>
    </w:lvl>
  </w:abstractNum>
  <w:abstractNum w:abstractNumId="140" w15:restartNumberingAfterBreak="0">
    <w:nsid w:val="4BFB1084"/>
    <w:multiLevelType w:val="singleLevel"/>
    <w:tmpl w:val="96164456"/>
    <w:lvl w:ilvl="0">
      <w:start w:val="1"/>
      <w:numFmt w:val="bullet"/>
      <w:lvlText w:val="§"/>
      <w:lvlJc w:val="left"/>
      <w:pPr>
        <w:ind w:left="360" w:hanging="360"/>
      </w:pPr>
      <w:rPr>
        <w:rFonts w:ascii="Wingdings" w:hAnsi="Wingdings" w:hint="default"/>
      </w:rPr>
    </w:lvl>
  </w:abstractNum>
  <w:abstractNum w:abstractNumId="141" w15:restartNumberingAfterBreak="0">
    <w:nsid w:val="4C8E3298"/>
    <w:multiLevelType w:val="singleLevel"/>
    <w:tmpl w:val="75C80A06"/>
    <w:lvl w:ilvl="0">
      <w:start w:val="1"/>
      <w:numFmt w:val="bullet"/>
      <w:lvlText w:val="§"/>
      <w:lvlJc w:val="left"/>
      <w:pPr>
        <w:ind w:left="360" w:hanging="360"/>
      </w:pPr>
      <w:rPr>
        <w:rFonts w:ascii="Wingdings" w:hAnsi="Wingdings" w:hint="default"/>
      </w:rPr>
    </w:lvl>
  </w:abstractNum>
  <w:abstractNum w:abstractNumId="142" w15:restartNumberingAfterBreak="0">
    <w:nsid w:val="4D2963FC"/>
    <w:multiLevelType w:val="singleLevel"/>
    <w:tmpl w:val="26807B4C"/>
    <w:lvl w:ilvl="0">
      <w:start w:val="1"/>
      <w:numFmt w:val="bullet"/>
      <w:lvlText w:val="§"/>
      <w:lvlJc w:val="left"/>
      <w:pPr>
        <w:ind w:left="360" w:hanging="360"/>
      </w:pPr>
      <w:rPr>
        <w:rFonts w:ascii="Wingdings" w:hAnsi="Wingdings" w:hint="default"/>
      </w:rPr>
    </w:lvl>
  </w:abstractNum>
  <w:abstractNum w:abstractNumId="143" w15:restartNumberingAfterBreak="0">
    <w:nsid w:val="4D7E19A7"/>
    <w:multiLevelType w:val="singleLevel"/>
    <w:tmpl w:val="B7B4E31C"/>
    <w:lvl w:ilvl="0">
      <w:start w:val="1"/>
      <w:numFmt w:val="bullet"/>
      <w:lvlText w:val="§"/>
      <w:lvlJc w:val="left"/>
      <w:pPr>
        <w:ind w:left="360" w:hanging="360"/>
      </w:pPr>
      <w:rPr>
        <w:rFonts w:ascii="Wingdings" w:hAnsi="Wingdings" w:hint="default"/>
      </w:rPr>
    </w:lvl>
  </w:abstractNum>
  <w:abstractNum w:abstractNumId="144" w15:restartNumberingAfterBreak="0">
    <w:nsid w:val="4DAD339E"/>
    <w:multiLevelType w:val="singleLevel"/>
    <w:tmpl w:val="E4FE8A98"/>
    <w:lvl w:ilvl="0">
      <w:start w:val="1"/>
      <w:numFmt w:val="bullet"/>
      <w:lvlText w:val="§"/>
      <w:lvlJc w:val="left"/>
      <w:pPr>
        <w:ind w:left="360" w:hanging="360"/>
      </w:pPr>
      <w:rPr>
        <w:rFonts w:ascii="Wingdings" w:hAnsi="Wingdings" w:hint="default"/>
      </w:rPr>
    </w:lvl>
  </w:abstractNum>
  <w:abstractNum w:abstractNumId="145" w15:restartNumberingAfterBreak="0">
    <w:nsid w:val="4E251FC7"/>
    <w:multiLevelType w:val="singleLevel"/>
    <w:tmpl w:val="BBDEDE6E"/>
    <w:lvl w:ilvl="0">
      <w:start w:val="1"/>
      <w:numFmt w:val="bullet"/>
      <w:lvlText w:val="§"/>
      <w:lvlJc w:val="left"/>
      <w:pPr>
        <w:ind w:left="360" w:hanging="360"/>
      </w:pPr>
      <w:rPr>
        <w:rFonts w:ascii="Wingdings" w:hAnsi="Wingdings" w:hint="default"/>
      </w:rPr>
    </w:lvl>
  </w:abstractNum>
  <w:abstractNum w:abstractNumId="146" w15:restartNumberingAfterBreak="0">
    <w:nsid w:val="4E68219C"/>
    <w:multiLevelType w:val="singleLevel"/>
    <w:tmpl w:val="21CCF17C"/>
    <w:lvl w:ilvl="0">
      <w:start w:val="1"/>
      <w:numFmt w:val="bullet"/>
      <w:lvlText w:val="§"/>
      <w:lvlJc w:val="left"/>
      <w:pPr>
        <w:ind w:left="360" w:hanging="360"/>
      </w:pPr>
      <w:rPr>
        <w:rFonts w:ascii="Wingdings" w:hAnsi="Wingdings" w:hint="default"/>
      </w:rPr>
    </w:lvl>
  </w:abstractNum>
  <w:abstractNum w:abstractNumId="147" w15:restartNumberingAfterBreak="0">
    <w:nsid w:val="4E6D6B19"/>
    <w:multiLevelType w:val="singleLevel"/>
    <w:tmpl w:val="D8A25882"/>
    <w:lvl w:ilvl="0">
      <w:start w:val="1"/>
      <w:numFmt w:val="bullet"/>
      <w:lvlText w:val="§"/>
      <w:lvlJc w:val="left"/>
      <w:pPr>
        <w:ind w:left="360" w:hanging="360"/>
      </w:pPr>
      <w:rPr>
        <w:rFonts w:ascii="Wingdings" w:hAnsi="Wingdings" w:hint="default"/>
      </w:rPr>
    </w:lvl>
  </w:abstractNum>
  <w:abstractNum w:abstractNumId="148" w15:restartNumberingAfterBreak="0">
    <w:nsid w:val="4EBB2576"/>
    <w:multiLevelType w:val="singleLevel"/>
    <w:tmpl w:val="C0CE2DDC"/>
    <w:lvl w:ilvl="0">
      <w:start w:val="1"/>
      <w:numFmt w:val="bullet"/>
      <w:lvlText w:val="§"/>
      <w:lvlJc w:val="left"/>
      <w:pPr>
        <w:ind w:left="360" w:hanging="360"/>
      </w:pPr>
      <w:rPr>
        <w:rFonts w:ascii="Wingdings" w:hAnsi="Wingdings" w:hint="default"/>
      </w:rPr>
    </w:lvl>
  </w:abstractNum>
  <w:abstractNum w:abstractNumId="149" w15:restartNumberingAfterBreak="0">
    <w:nsid w:val="4EEC7CDC"/>
    <w:multiLevelType w:val="singleLevel"/>
    <w:tmpl w:val="90C08FC4"/>
    <w:lvl w:ilvl="0">
      <w:start w:val="1"/>
      <w:numFmt w:val="bullet"/>
      <w:lvlText w:val="§"/>
      <w:lvlJc w:val="left"/>
      <w:pPr>
        <w:ind w:left="360" w:hanging="360"/>
      </w:pPr>
      <w:rPr>
        <w:rFonts w:ascii="Wingdings" w:hAnsi="Wingdings" w:hint="default"/>
      </w:rPr>
    </w:lvl>
  </w:abstractNum>
  <w:abstractNum w:abstractNumId="150" w15:restartNumberingAfterBreak="0">
    <w:nsid w:val="4F972091"/>
    <w:multiLevelType w:val="singleLevel"/>
    <w:tmpl w:val="12F0E8DA"/>
    <w:lvl w:ilvl="0">
      <w:start w:val="1"/>
      <w:numFmt w:val="bullet"/>
      <w:lvlText w:val="§"/>
      <w:lvlJc w:val="left"/>
      <w:pPr>
        <w:ind w:left="360" w:hanging="360"/>
      </w:pPr>
      <w:rPr>
        <w:rFonts w:ascii="Wingdings" w:hAnsi="Wingdings" w:hint="default"/>
      </w:rPr>
    </w:lvl>
  </w:abstractNum>
  <w:abstractNum w:abstractNumId="151" w15:restartNumberingAfterBreak="0">
    <w:nsid w:val="4FCE5D32"/>
    <w:multiLevelType w:val="singleLevel"/>
    <w:tmpl w:val="458214CE"/>
    <w:lvl w:ilvl="0">
      <w:start w:val="1"/>
      <w:numFmt w:val="bullet"/>
      <w:lvlText w:val="§"/>
      <w:lvlJc w:val="left"/>
      <w:pPr>
        <w:ind w:left="360" w:hanging="360"/>
      </w:pPr>
      <w:rPr>
        <w:rFonts w:ascii="Wingdings" w:hAnsi="Wingdings" w:hint="default"/>
      </w:rPr>
    </w:lvl>
  </w:abstractNum>
  <w:abstractNum w:abstractNumId="152" w15:restartNumberingAfterBreak="0">
    <w:nsid w:val="50371415"/>
    <w:multiLevelType w:val="singleLevel"/>
    <w:tmpl w:val="4FE0A722"/>
    <w:lvl w:ilvl="0">
      <w:start w:val="1"/>
      <w:numFmt w:val="bullet"/>
      <w:lvlText w:val="§"/>
      <w:lvlJc w:val="left"/>
      <w:pPr>
        <w:ind w:left="360" w:hanging="360"/>
      </w:pPr>
      <w:rPr>
        <w:rFonts w:ascii="Wingdings" w:hAnsi="Wingdings" w:hint="default"/>
      </w:rPr>
    </w:lvl>
  </w:abstractNum>
  <w:abstractNum w:abstractNumId="153" w15:restartNumberingAfterBreak="0">
    <w:nsid w:val="50FE734A"/>
    <w:multiLevelType w:val="singleLevel"/>
    <w:tmpl w:val="3DE4B57A"/>
    <w:lvl w:ilvl="0">
      <w:start w:val="1"/>
      <w:numFmt w:val="bullet"/>
      <w:lvlText w:val="§"/>
      <w:lvlJc w:val="left"/>
      <w:pPr>
        <w:ind w:left="360" w:hanging="360"/>
      </w:pPr>
      <w:rPr>
        <w:rFonts w:ascii="Wingdings" w:hAnsi="Wingdings" w:hint="default"/>
      </w:rPr>
    </w:lvl>
  </w:abstractNum>
  <w:abstractNum w:abstractNumId="154" w15:restartNumberingAfterBreak="0">
    <w:nsid w:val="51572D14"/>
    <w:multiLevelType w:val="singleLevel"/>
    <w:tmpl w:val="26E8E95A"/>
    <w:lvl w:ilvl="0">
      <w:start w:val="1"/>
      <w:numFmt w:val="bullet"/>
      <w:lvlText w:val="§"/>
      <w:lvlJc w:val="left"/>
      <w:pPr>
        <w:ind w:left="360" w:hanging="360"/>
      </w:pPr>
      <w:rPr>
        <w:rFonts w:ascii="Wingdings" w:hAnsi="Wingdings" w:hint="default"/>
      </w:rPr>
    </w:lvl>
  </w:abstractNum>
  <w:abstractNum w:abstractNumId="155" w15:restartNumberingAfterBreak="0">
    <w:nsid w:val="524C0686"/>
    <w:multiLevelType w:val="singleLevel"/>
    <w:tmpl w:val="E3388E88"/>
    <w:lvl w:ilvl="0">
      <w:start w:val="1"/>
      <w:numFmt w:val="bullet"/>
      <w:lvlText w:val="§"/>
      <w:lvlJc w:val="left"/>
      <w:pPr>
        <w:ind w:left="360" w:hanging="360"/>
      </w:pPr>
      <w:rPr>
        <w:rFonts w:ascii="Wingdings" w:hAnsi="Wingdings" w:hint="default"/>
      </w:rPr>
    </w:lvl>
  </w:abstractNum>
  <w:abstractNum w:abstractNumId="156" w15:restartNumberingAfterBreak="0">
    <w:nsid w:val="531B6CA7"/>
    <w:multiLevelType w:val="singleLevel"/>
    <w:tmpl w:val="245A121A"/>
    <w:lvl w:ilvl="0">
      <w:start w:val="1"/>
      <w:numFmt w:val="bullet"/>
      <w:lvlText w:val="§"/>
      <w:lvlJc w:val="left"/>
      <w:pPr>
        <w:ind w:left="360" w:hanging="360"/>
      </w:pPr>
      <w:rPr>
        <w:rFonts w:ascii="Wingdings" w:hAnsi="Wingdings" w:hint="default"/>
      </w:rPr>
    </w:lvl>
  </w:abstractNum>
  <w:abstractNum w:abstractNumId="157"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54C71BD1"/>
    <w:multiLevelType w:val="hybridMultilevel"/>
    <w:tmpl w:val="5A2A664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59" w15:restartNumberingAfterBreak="0">
    <w:nsid w:val="558A479D"/>
    <w:multiLevelType w:val="singleLevel"/>
    <w:tmpl w:val="1D0E2B64"/>
    <w:lvl w:ilvl="0">
      <w:start w:val="1"/>
      <w:numFmt w:val="bullet"/>
      <w:lvlText w:val="§"/>
      <w:lvlJc w:val="left"/>
      <w:pPr>
        <w:ind w:left="360" w:hanging="360"/>
      </w:pPr>
      <w:rPr>
        <w:rFonts w:ascii="Wingdings" w:hAnsi="Wingdings" w:hint="default"/>
      </w:rPr>
    </w:lvl>
  </w:abstractNum>
  <w:abstractNum w:abstractNumId="160" w15:restartNumberingAfterBreak="0">
    <w:nsid w:val="56344342"/>
    <w:multiLevelType w:val="singleLevel"/>
    <w:tmpl w:val="DEE6DCF0"/>
    <w:lvl w:ilvl="0">
      <w:start w:val="1"/>
      <w:numFmt w:val="bullet"/>
      <w:lvlText w:val="§"/>
      <w:lvlJc w:val="left"/>
      <w:pPr>
        <w:ind w:left="360" w:hanging="360"/>
      </w:pPr>
      <w:rPr>
        <w:rFonts w:ascii="Wingdings" w:hAnsi="Wingdings" w:hint="default"/>
      </w:rPr>
    </w:lvl>
  </w:abstractNum>
  <w:abstractNum w:abstractNumId="161" w15:restartNumberingAfterBreak="0">
    <w:nsid w:val="5670512C"/>
    <w:multiLevelType w:val="singleLevel"/>
    <w:tmpl w:val="A710A97A"/>
    <w:lvl w:ilvl="0">
      <w:start w:val="1"/>
      <w:numFmt w:val="bullet"/>
      <w:lvlText w:val="§"/>
      <w:lvlJc w:val="left"/>
      <w:pPr>
        <w:ind w:left="360" w:hanging="360"/>
      </w:pPr>
      <w:rPr>
        <w:rFonts w:ascii="Wingdings" w:hAnsi="Wingdings" w:hint="default"/>
      </w:rPr>
    </w:lvl>
  </w:abstractNum>
  <w:abstractNum w:abstractNumId="162"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163" w15:restartNumberingAfterBreak="0">
    <w:nsid w:val="57D250F1"/>
    <w:multiLevelType w:val="singleLevel"/>
    <w:tmpl w:val="0A5A6996"/>
    <w:lvl w:ilvl="0">
      <w:start w:val="1"/>
      <w:numFmt w:val="bullet"/>
      <w:lvlText w:val="§"/>
      <w:lvlJc w:val="left"/>
      <w:pPr>
        <w:ind w:left="360" w:hanging="360"/>
      </w:pPr>
      <w:rPr>
        <w:rFonts w:ascii="Wingdings" w:hAnsi="Wingdings" w:hint="default"/>
      </w:rPr>
    </w:lvl>
  </w:abstractNum>
  <w:abstractNum w:abstractNumId="164" w15:restartNumberingAfterBreak="0">
    <w:nsid w:val="59CB19E8"/>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5" w15:restartNumberingAfterBreak="0">
    <w:nsid w:val="5A356E06"/>
    <w:multiLevelType w:val="singleLevel"/>
    <w:tmpl w:val="782EECCE"/>
    <w:lvl w:ilvl="0">
      <w:start w:val="1"/>
      <w:numFmt w:val="bullet"/>
      <w:lvlText w:val="§"/>
      <w:lvlJc w:val="left"/>
      <w:pPr>
        <w:ind w:left="360" w:hanging="360"/>
      </w:pPr>
      <w:rPr>
        <w:rFonts w:ascii="Wingdings" w:hAnsi="Wingdings" w:hint="default"/>
      </w:rPr>
    </w:lvl>
  </w:abstractNum>
  <w:abstractNum w:abstractNumId="166" w15:restartNumberingAfterBreak="0">
    <w:nsid w:val="5B7156A5"/>
    <w:multiLevelType w:val="singleLevel"/>
    <w:tmpl w:val="76FC1996"/>
    <w:lvl w:ilvl="0">
      <w:start w:val="1"/>
      <w:numFmt w:val="bullet"/>
      <w:lvlText w:val="§"/>
      <w:lvlJc w:val="left"/>
      <w:pPr>
        <w:ind w:left="360" w:hanging="360"/>
      </w:pPr>
      <w:rPr>
        <w:rFonts w:ascii="Wingdings" w:hAnsi="Wingdings" w:hint="default"/>
      </w:rPr>
    </w:lvl>
  </w:abstractNum>
  <w:abstractNum w:abstractNumId="167" w15:restartNumberingAfterBreak="0">
    <w:nsid w:val="5BD419B5"/>
    <w:multiLevelType w:val="singleLevel"/>
    <w:tmpl w:val="F302482A"/>
    <w:lvl w:ilvl="0">
      <w:start w:val="1"/>
      <w:numFmt w:val="bullet"/>
      <w:lvlText w:val="§"/>
      <w:lvlJc w:val="left"/>
      <w:pPr>
        <w:ind w:left="360" w:hanging="360"/>
      </w:pPr>
      <w:rPr>
        <w:rFonts w:ascii="Wingdings" w:hAnsi="Wingdings" w:hint="default"/>
      </w:rPr>
    </w:lvl>
  </w:abstractNum>
  <w:abstractNum w:abstractNumId="168"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9" w15:restartNumberingAfterBreak="0">
    <w:nsid w:val="5D043D0D"/>
    <w:multiLevelType w:val="singleLevel"/>
    <w:tmpl w:val="C290B44C"/>
    <w:lvl w:ilvl="0">
      <w:start w:val="1"/>
      <w:numFmt w:val="bullet"/>
      <w:lvlText w:val="§"/>
      <w:lvlJc w:val="left"/>
      <w:pPr>
        <w:ind w:left="360" w:hanging="360"/>
      </w:pPr>
      <w:rPr>
        <w:rFonts w:ascii="Wingdings" w:hAnsi="Wingdings" w:hint="default"/>
      </w:rPr>
    </w:lvl>
  </w:abstractNum>
  <w:abstractNum w:abstractNumId="170" w15:restartNumberingAfterBreak="0">
    <w:nsid w:val="5D566A74"/>
    <w:multiLevelType w:val="singleLevel"/>
    <w:tmpl w:val="6E58AB7E"/>
    <w:lvl w:ilvl="0">
      <w:start w:val="1"/>
      <w:numFmt w:val="bullet"/>
      <w:lvlText w:val="§"/>
      <w:lvlJc w:val="left"/>
      <w:pPr>
        <w:ind w:left="360" w:hanging="360"/>
      </w:pPr>
      <w:rPr>
        <w:rFonts w:ascii="Wingdings" w:hAnsi="Wingdings" w:hint="default"/>
      </w:rPr>
    </w:lvl>
  </w:abstractNum>
  <w:abstractNum w:abstractNumId="171" w15:restartNumberingAfterBreak="0">
    <w:nsid w:val="5E070D3F"/>
    <w:multiLevelType w:val="singleLevel"/>
    <w:tmpl w:val="A62A19FA"/>
    <w:lvl w:ilvl="0">
      <w:start w:val="1"/>
      <w:numFmt w:val="bullet"/>
      <w:lvlText w:val="§"/>
      <w:lvlJc w:val="left"/>
      <w:pPr>
        <w:ind w:left="360" w:hanging="360"/>
      </w:pPr>
      <w:rPr>
        <w:rFonts w:ascii="Wingdings" w:hAnsi="Wingdings" w:hint="default"/>
      </w:rPr>
    </w:lvl>
  </w:abstractNum>
  <w:abstractNum w:abstractNumId="172"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3" w15:restartNumberingAfterBreak="0">
    <w:nsid w:val="5F0E6AC5"/>
    <w:multiLevelType w:val="singleLevel"/>
    <w:tmpl w:val="BBAC2E22"/>
    <w:lvl w:ilvl="0">
      <w:start w:val="1"/>
      <w:numFmt w:val="bullet"/>
      <w:lvlText w:val="§"/>
      <w:lvlJc w:val="left"/>
      <w:pPr>
        <w:ind w:left="360" w:hanging="360"/>
      </w:pPr>
      <w:rPr>
        <w:rFonts w:ascii="Wingdings" w:hAnsi="Wingdings" w:hint="default"/>
      </w:rPr>
    </w:lvl>
  </w:abstractNum>
  <w:abstractNum w:abstractNumId="174" w15:restartNumberingAfterBreak="0">
    <w:nsid w:val="5F325493"/>
    <w:multiLevelType w:val="singleLevel"/>
    <w:tmpl w:val="B5027C42"/>
    <w:lvl w:ilvl="0">
      <w:start w:val="1"/>
      <w:numFmt w:val="bullet"/>
      <w:lvlText w:val="§"/>
      <w:lvlJc w:val="left"/>
      <w:pPr>
        <w:ind w:left="360" w:hanging="360"/>
      </w:pPr>
      <w:rPr>
        <w:rFonts w:ascii="Wingdings" w:hAnsi="Wingdings" w:hint="default"/>
      </w:rPr>
    </w:lvl>
  </w:abstractNum>
  <w:abstractNum w:abstractNumId="175" w15:restartNumberingAfterBreak="0">
    <w:nsid w:val="5F4072B1"/>
    <w:multiLevelType w:val="singleLevel"/>
    <w:tmpl w:val="62C6AE98"/>
    <w:lvl w:ilvl="0">
      <w:start w:val="1"/>
      <w:numFmt w:val="bullet"/>
      <w:lvlText w:val="§"/>
      <w:lvlJc w:val="left"/>
      <w:pPr>
        <w:ind w:left="360" w:hanging="360"/>
      </w:pPr>
      <w:rPr>
        <w:rFonts w:ascii="Wingdings" w:hAnsi="Wingdings" w:hint="default"/>
      </w:rPr>
    </w:lvl>
  </w:abstractNum>
  <w:abstractNum w:abstractNumId="176" w15:restartNumberingAfterBreak="0">
    <w:nsid w:val="60130A63"/>
    <w:multiLevelType w:val="singleLevel"/>
    <w:tmpl w:val="43F09CDC"/>
    <w:lvl w:ilvl="0">
      <w:start w:val="1"/>
      <w:numFmt w:val="bullet"/>
      <w:lvlText w:val="§"/>
      <w:lvlJc w:val="left"/>
      <w:pPr>
        <w:ind w:left="360" w:hanging="360"/>
      </w:pPr>
      <w:rPr>
        <w:rFonts w:ascii="Wingdings" w:hAnsi="Wingdings" w:hint="default"/>
      </w:rPr>
    </w:lvl>
  </w:abstractNum>
  <w:abstractNum w:abstractNumId="177" w15:restartNumberingAfterBreak="0">
    <w:nsid w:val="60DD3B8A"/>
    <w:multiLevelType w:val="singleLevel"/>
    <w:tmpl w:val="DE760D18"/>
    <w:lvl w:ilvl="0">
      <w:start w:val="1"/>
      <w:numFmt w:val="bullet"/>
      <w:lvlText w:val="§"/>
      <w:lvlJc w:val="left"/>
      <w:pPr>
        <w:ind w:left="360" w:hanging="360"/>
      </w:pPr>
      <w:rPr>
        <w:rFonts w:ascii="Wingdings" w:hAnsi="Wingdings" w:hint="default"/>
      </w:rPr>
    </w:lvl>
  </w:abstractNum>
  <w:abstractNum w:abstractNumId="178" w15:restartNumberingAfterBreak="0">
    <w:nsid w:val="616D5F68"/>
    <w:multiLevelType w:val="singleLevel"/>
    <w:tmpl w:val="BA607984"/>
    <w:lvl w:ilvl="0">
      <w:start w:val="1"/>
      <w:numFmt w:val="bullet"/>
      <w:lvlText w:val="§"/>
      <w:lvlJc w:val="left"/>
      <w:pPr>
        <w:ind w:left="360" w:hanging="360"/>
      </w:pPr>
      <w:rPr>
        <w:rFonts w:ascii="Wingdings" w:hAnsi="Wingdings" w:hint="default"/>
      </w:rPr>
    </w:lvl>
  </w:abstractNum>
  <w:abstractNum w:abstractNumId="179" w15:restartNumberingAfterBreak="0">
    <w:nsid w:val="622321EA"/>
    <w:multiLevelType w:val="singleLevel"/>
    <w:tmpl w:val="87AC5DD8"/>
    <w:lvl w:ilvl="0">
      <w:start w:val="1"/>
      <w:numFmt w:val="bullet"/>
      <w:lvlText w:val="§"/>
      <w:lvlJc w:val="left"/>
      <w:pPr>
        <w:ind w:left="360" w:hanging="360"/>
      </w:pPr>
      <w:rPr>
        <w:rFonts w:ascii="Wingdings" w:hAnsi="Wingdings" w:hint="default"/>
      </w:rPr>
    </w:lvl>
  </w:abstractNum>
  <w:abstractNum w:abstractNumId="180" w15:restartNumberingAfterBreak="0">
    <w:nsid w:val="624830C5"/>
    <w:multiLevelType w:val="singleLevel"/>
    <w:tmpl w:val="714CEA76"/>
    <w:lvl w:ilvl="0">
      <w:start w:val="1"/>
      <w:numFmt w:val="bullet"/>
      <w:lvlText w:val="§"/>
      <w:lvlJc w:val="left"/>
      <w:pPr>
        <w:ind w:left="360" w:hanging="360"/>
      </w:pPr>
      <w:rPr>
        <w:rFonts w:ascii="Wingdings" w:hAnsi="Wingdings" w:hint="default"/>
      </w:rPr>
    </w:lvl>
  </w:abstractNum>
  <w:abstractNum w:abstractNumId="181" w15:restartNumberingAfterBreak="0">
    <w:nsid w:val="62FE67B1"/>
    <w:multiLevelType w:val="hybridMultilevel"/>
    <w:tmpl w:val="D8B67338"/>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82" w15:restartNumberingAfterBreak="0">
    <w:nsid w:val="638121CD"/>
    <w:multiLevelType w:val="singleLevel"/>
    <w:tmpl w:val="F78C7516"/>
    <w:lvl w:ilvl="0">
      <w:start w:val="1"/>
      <w:numFmt w:val="bullet"/>
      <w:lvlText w:val="§"/>
      <w:lvlJc w:val="left"/>
      <w:pPr>
        <w:ind w:left="360" w:hanging="360"/>
      </w:pPr>
      <w:rPr>
        <w:rFonts w:ascii="Wingdings" w:hAnsi="Wingdings" w:hint="default"/>
      </w:rPr>
    </w:lvl>
  </w:abstractNum>
  <w:abstractNum w:abstractNumId="183" w15:restartNumberingAfterBreak="0">
    <w:nsid w:val="638B15B1"/>
    <w:multiLevelType w:val="singleLevel"/>
    <w:tmpl w:val="B83688CE"/>
    <w:lvl w:ilvl="0">
      <w:start w:val="1"/>
      <w:numFmt w:val="bullet"/>
      <w:lvlText w:val="§"/>
      <w:lvlJc w:val="left"/>
      <w:pPr>
        <w:ind w:left="360" w:hanging="360"/>
      </w:pPr>
      <w:rPr>
        <w:rFonts w:ascii="Wingdings" w:hAnsi="Wingdings" w:hint="default"/>
      </w:rPr>
    </w:lvl>
  </w:abstractNum>
  <w:abstractNum w:abstractNumId="184" w15:restartNumberingAfterBreak="0">
    <w:nsid w:val="64277E63"/>
    <w:multiLevelType w:val="singleLevel"/>
    <w:tmpl w:val="EAD6AF5E"/>
    <w:lvl w:ilvl="0">
      <w:start w:val="1"/>
      <w:numFmt w:val="bullet"/>
      <w:lvlText w:val="§"/>
      <w:lvlJc w:val="left"/>
      <w:pPr>
        <w:ind w:left="360" w:hanging="360"/>
      </w:pPr>
      <w:rPr>
        <w:rFonts w:ascii="Wingdings" w:hAnsi="Wingdings" w:hint="default"/>
      </w:rPr>
    </w:lvl>
  </w:abstractNum>
  <w:abstractNum w:abstractNumId="185" w15:restartNumberingAfterBreak="0">
    <w:nsid w:val="64C5155F"/>
    <w:multiLevelType w:val="singleLevel"/>
    <w:tmpl w:val="17683C70"/>
    <w:lvl w:ilvl="0">
      <w:start w:val="1"/>
      <w:numFmt w:val="bullet"/>
      <w:lvlText w:val="§"/>
      <w:lvlJc w:val="left"/>
      <w:pPr>
        <w:ind w:left="360" w:hanging="360"/>
      </w:pPr>
      <w:rPr>
        <w:rFonts w:ascii="Wingdings" w:hAnsi="Wingdings" w:hint="default"/>
      </w:rPr>
    </w:lvl>
  </w:abstractNum>
  <w:abstractNum w:abstractNumId="186"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7" w15:restartNumberingAfterBreak="0">
    <w:nsid w:val="669D5D08"/>
    <w:multiLevelType w:val="singleLevel"/>
    <w:tmpl w:val="AFDE51D2"/>
    <w:lvl w:ilvl="0">
      <w:start w:val="1"/>
      <w:numFmt w:val="bullet"/>
      <w:lvlText w:val="§"/>
      <w:lvlJc w:val="left"/>
      <w:pPr>
        <w:ind w:left="360" w:hanging="360"/>
      </w:pPr>
      <w:rPr>
        <w:rFonts w:ascii="Wingdings" w:hAnsi="Wingdings" w:hint="default"/>
      </w:rPr>
    </w:lvl>
  </w:abstractNum>
  <w:abstractNum w:abstractNumId="188" w15:restartNumberingAfterBreak="0">
    <w:nsid w:val="67031842"/>
    <w:multiLevelType w:val="singleLevel"/>
    <w:tmpl w:val="BE96F1DA"/>
    <w:lvl w:ilvl="0">
      <w:start w:val="1"/>
      <w:numFmt w:val="bullet"/>
      <w:lvlText w:val="§"/>
      <w:lvlJc w:val="left"/>
      <w:pPr>
        <w:ind w:left="360" w:hanging="360"/>
      </w:pPr>
      <w:rPr>
        <w:rFonts w:ascii="Wingdings" w:hAnsi="Wingdings" w:hint="default"/>
      </w:rPr>
    </w:lvl>
  </w:abstractNum>
  <w:abstractNum w:abstractNumId="189"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90"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680545D9"/>
    <w:multiLevelType w:val="singleLevel"/>
    <w:tmpl w:val="C81088D8"/>
    <w:lvl w:ilvl="0">
      <w:start w:val="1"/>
      <w:numFmt w:val="bullet"/>
      <w:lvlText w:val="§"/>
      <w:lvlJc w:val="left"/>
      <w:pPr>
        <w:ind w:left="360" w:hanging="360"/>
      </w:pPr>
      <w:rPr>
        <w:rFonts w:ascii="Wingdings" w:hAnsi="Wingdings" w:hint="default"/>
      </w:rPr>
    </w:lvl>
  </w:abstractNum>
  <w:abstractNum w:abstractNumId="192" w15:restartNumberingAfterBreak="0">
    <w:nsid w:val="68387EE6"/>
    <w:multiLevelType w:val="singleLevel"/>
    <w:tmpl w:val="05D61C0C"/>
    <w:lvl w:ilvl="0">
      <w:start w:val="1"/>
      <w:numFmt w:val="bullet"/>
      <w:lvlText w:val="§"/>
      <w:lvlJc w:val="left"/>
      <w:pPr>
        <w:ind w:left="360" w:hanging="360"/>
      </w:pPr>
      <w:rPr>
        <w:rFonts w:ascii="Wingdings" w:hAnsi="Wingdings" w:hint="default"/>
      </w:rPr>
    </w:lvl>
  </w:abstractNum>
  <w:abstractNum w:abstractNumId="193" w15:restartNumberingAfterBreak="0">
    <w:nsid w:val="68E60E51"/>
    <w:multiLevelType w:val="singleLevel"/>
    <w:tmpl w:val="EBB658A6"/>
    <w:lvl w:ilvl="0">
      <w:start w:val="1"/>
      <w:numFmt w:val="bullet"/>
      <w:lvlText w:val="§"/>
      <w:lvlJc w:val="left"/>
      <w:pPr>
        <w:ind w:left="360" w:hanging="360"/>
      </w:pPr>
      <w:rPr>
        <w:rFonts w:ascii="Wingdings" w:hAnsi="Wingdings" w:hint="default"/>
      </w:rPr>
    </w:lvl>
  </w:abstractNum>
  <w:abstractNum w:abstractNumId="194" w15:restartNumberingAfterBreak="0">
    <w:nsid w:val="690E0C70"/>
    <w:multiLevelType w:val="singleLevel"/>
    <w:tmpl w:val="87DA3D12"/>
    <w:lvl w:ilvl="0">
      <w:start w:val="1"/>
      <w:numFmt w:val="bullet"/>
      <w:lvlText w:val="§"/>
      <w:lvlJc w:val="left"/>
      <w:pPr>
        <w:ind w:left="360" w:hanging="360"/>
      </w:pPr>
      <w:rPr>
        <w:rFonts w:ascii="Wingdings" w:hAnsi="Wingdings" w:hint="default"/>
      </w:rPr>
    </w:lvl>
  </w:abstractNum>
  <w:abstractNum w:abstractNumId="195" w15:restartNumberingAfterBreak="0">
    <w:nsid w:val="69547897"/>
    <w:multiLevelType w:val="singleLevel"/>
    <w:tmpl w:val="F4FACA56"/>
    <w:lvl w:ilvl="0">
      <w:start w:val="1"/>
      <w:numFmt w:val="bullet"/>
      <w:lvlText w:val="§"/>
      <w:lvlJc w:val="left"/>
      <w:pPr>
        <w:ind w:left="360" w:hanging="360"/>
      </w:pPr>
      <w:rPr>
        <w:rFonts w:ascii="Wingdings" w:hAnsi="Wingdings" w:hint="default"/>
      </w:rPr>
    </w:lvl>
  </w:abstractNum>
  <w:abstractNum w:abstractNumId="196" w15:restartNumberingAfterBreak="0">
    <w:nsid w:val="6B6374E4"/>
    <w:multiLevelType w:val="singleLevel"/>
    <w:tmpl w:val="55285D1C"/>
    <w:lvl w:ilvl="0">
      <w:start w:val="1"/>
      <w:numFmt w:val="bullet"/>
      <w:lvlText w:val="§"/>
      <w:lvlJc w:val="left"/>
      <w:pPr>
        <w:ind w:left="360" w:hanging="360"/>
      </w:pPr>
      <w:rPr>
        <w:rFonts w:ascii="Wingdings" w:hAnsi="Wingdings" w:hint="default"/>
      </w:rPr>
    </w:lvl>
  </w:abstractNum>
  <w:abstractNum w:abstractNumId="197"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8"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0" w15:restartNumberingAfterBreak="0">
    <w:nsid w:val="6C4D0B62"/>
    <w:multiLevelType w:val="singleLevel"/>
    <w:tmpl w:val="D91A5B8E"/>
    <w:lvl w:ilvl="0">
      <w:start w:val="1"/>
      <w:numFmt w:val="bullet"/>
      <w:lvlText w:val="§"/>
      <w:lvlJc w:val="left"/>
      <w:pPr>
        <w:ind w:left="360" w:hanging="360"/>
      </w:pPr>
      <w:rPr>
        <w:rFonts w:ascii="Wingdings" w:hAnsi="Wingdings" w:hint="default"/>
      </w:rPr>
    </w:lvl>
  </w:abstractNum>
  <w:abstractNum w:abstractNumId="201" w15:restartNumberingAfterBreak="0">
    <w:nsid w:val="6CC51B79"/>
    <w:multiLevelType w:val="singleLevel"/>
    <w:tmpl w:val="307A23EE"/>
    <w:lvl w:ilvl="0">
      <w:start w:val="1"/>
      <w:numFmt w:val="bullet"/>
      <w:lvlText w:val="§"/>
      <w:lvlJc w:val="left"/>
      <w:pPr>
        <w:ind w:left="360" w:hanging="360"/>
      </w:pPr>
      <w:rPr>
        <w:rFonts w:ascii="Wingdings" w:hAnsi="Wingdings" w:hint="default"/>
      </w:rPr>
    </w:lvl>
  </w:abstractNum>
  <w:abstractNum w:abstractNumId="202" w15:restartNumberingAfterBreak="0">
    <w:nsid w:val="6D40070F"/>
    <w:multiLevelType w:val="singleLevel"/>
    <w:tmpl w:val="1180C50C"/>
    <w:lvl w:ilvl="0">
      <w:start w:val="1"/>
      <w:numFmt w:val="bullet"/>
      <w:lvlText w:val="§"/>
      <w:lvlJc w:val="left"/>
      <w:pPr>
        <w:ind w:left="360" w:hanging="360"/>
      </w:pPr>
      <w:rPr>
        <w:rFonts w:ascii="Wingdings" w:hAnsi="Wingdings" w:hint="default"/>
      </w:rPr>
    </w:lvl>
  </w:abstractNum>
  <w:abstractNum w:abstractNumId="203" w15:restartNumberingAfterBreak="0">
    <w:nsid w:val="6E962DD1"/>
    <w:multiLevelType w:val="singleLevel"/>
    <w:tmpl w:val="C94269FC"/>
    <w:lvl w:ilvl="0">
      <w:start w:val="1"/>
      <w:numFmt w:val="bullet"/>
      <w:lvlText w:val="§"/>
      <w:lvlJc w:val="left"/>
      <w:pPr>
        <w:ind w:left="360" w:hanging="360"/>
      </w:pPr>
      <w:rPr>
        <w:rFonts w:ascii="Wingdings" w:hAnsi="Wingdings" w:hint="default"/>
      </w:rPr>
    </w:lvl>
  </w:abstractNum>
  <w:abstractNum w:abstractNumId="204" w15:restartNumberingAfterBreak="0">
    <w:nsid w:val="6F0E2CF4"/>
    <w:multiLevelType w:val="singleLevel"/>
    <w:tmpl w:val="8AF2F532"/>
    <w:lvl w:ilvl="0">
      <w:start w:val="1"/>
      <w:numFmt w:val="bullet"/>
      <w:lvlText w:val="§"/>
      <w:lvlJc w:val="left"/>
      <w:pPr>
        <w:ind w:left="360" w:hanging="360"/>
      </w:pPr>
      <w:rPr>
        <w:rFonts w:ascii="Wingdings" w:hAnsi="Wingdings" w:hint="default"/>
      </w:rPr>
    </w:lvl>
  </w:abstractNum>
  <w:abstractNum w:abstractNumId="205" w15:restartNumberingAfterBreak="0">
    <w:nsid w:val="6FB6709C"/>
    <w:multiLevelType w:val="singleLevel"/>
    <w:tmpl w:val="9FEA7612"/>
    <w:lvl w:ilvl="0">
      <w:start w:val="1"/>
      <w:numFmt w:val="bullet"/>
      <w:lvlText w:val="§"/>
      <w:lvlJc w:val="left"/>
      <w:pPr>
        <w:ind w:left="360" w:hanging="360"/>
      </w:pPr>
      <w:rPr>
        <w:rFonts w:ascii="Wingdings" w:hAnsi="Wingdings" w:hint="default"/>
      </w:rPr>
    </w:lvl>
  </w:abstractNum>
  <w:abstractNum w:abstractNumId="206"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02C15B0"/>
    <w:multiLevelType w:val="singleLevel"/>
    <w:tmpl w:val="7B9EF60A"/>
    <w:lvl w:ilvl="0">
      <w:start w:val="1"/>
      <w:numFmt w:val="bullet"/>
      <w:lvlText w:val="§"/>
      <w:lvlJc w:val="left"/>
      <w:pPr>
        <w:ind w:left="360" w:hanging="360"/>
      </w:pPr>
      <w:rPr>
        <w:rFonts w:ascii="Wingdings" w:hAnsi="Wingdings" w:hint="default"/>
      </w:rPr>
    </w:lvl>
  </w:abstractNum>
  <w:abstractNum w:abstractNumId="208" w15:restartNumberingAfterBreak="0">
    <w:nsid w:val="70732E54"/>
    <w:multiLevelType w:val="singleLevel"/>
    <w:tmpl w:val="1C8A2212"/>
    <w:lvl w:ilvl="0">
      <w:start w:val="1"/>
      <w:numFmt w:val="bullet"/>
      <w:lvlText w:val="§"/>
      <w:lvlJc w:val="left"/>
      <w:pPr>
        <w:ind w:left="360" w:hanging="360"/>
      </w:pPr>
      <w:rPr>
        <w:rFonts w:ascii="Wingdings" w:hAnsi="Wingdings" w:hint="default"/>
      </w:rPr>
    </w:lvl>
  </w:abstractNum>
  <w:abstractNum w:abstractNumId="209" w15:restartNumberingAfterBreak="0">
    <w:nsid w:val="71604F2E"/>
    <w:multiLevelType w:val="singleLevel"/>
    <w:tmpl w:val="A1B88E46"/>
    <w:lvl w:ilvl="0">
      <w:start w:val="1"/>
      <w:numFmt w:val="bullet"/>
      <w:lvlText w:val="§"/>
      <w:lvlJc w:val="left"/>
      <w:pPr>
        <w:ind w:left="360" w:hanging="360"/>
      </w:pPr>
      <w:rPr>
        <w:rFonts w:ascii="Wingdings" w:hAnsi="Wingdings" w:hint="default"/>
      </w:rPr>
    </w:lvl>
  </w:abstractNum>
  <w:abstractNum w:abstractNumId="210" w15:restartNumberingAfterBreak="0">
    <w:nsid w:val="718966DA"/>
    <w:multiLevelType w:val="singleLevel"/>
    <w:tmpl w:val="312E31F0"/>
    <w:lvl w:ilvl="0">
      <w:start w:val="1"/>
      <w:numFmt w:val="bullet"/>
      <w:lvlText w:val="§"/>
      <w:lvlJc w:val="left"/>
      <w:pPr>
        <w:ind w:left="360" w:hanging="360"/>
      </w:pPr>
      <w:rPr>
        <w:rFonts w:ascii="Wingdings" w:hAnsi="Wingdings" w:hint="default"/>
      </w:rPr>
    </w:lvl>
  </w:abstractNum>
  <w:abstractNum w:abstractNumId="211"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2" w15:restartNumberingAfterBreak="0">
    <w:nsid w:val="721E45B8"/>
    <w:multiLevelType w:val="singleLevel"/>
    <w:tmpl w:val="B2305C74"/>
    <w:lvl w:ilvl="0">
      <w:start w:val="1"/>
      <w:numFmt w:val="bullet"/>
      <w:lvlText w:val="§"/>
      <w:lvlJc w:val="left"/>
      <w:pPr>
        <w:ind w:left="360" w:hanging="360"/>
      </w:pPr>
      <w:rPr>
        <w:rFonts w:ascii="Wingdings" w:hAnsi="Wingdings" w:hint="default"/>
      </w:rPr>
    </w:lvl>
  </w:abstractNum>
  <w:abstractNum w:abstractNumId="213" w15:restartNumberingAfterBreak="0">
    <w:nsid w:val="723E1614"/>
    <w:multiLevelType w:val="singleLevel"/>
    <w:tmpl w:val="5F4A2BFE"/>
    <w:lvl w:ilvl="0">
      <w:start w:val="1"/>
      <w:numFmt w:val="bullet"/>
      <w:lvlText w:val="§"/>
      <w:lvlJc w:val="left"/>
      <w:pPr>
        <w:ind w:left="360" w:hanging="360"/>
      </w:pPr>
      <w:rPr>
        <w:rFonts w:ascii="Wingdings" w:hAnsi="Wingdings" w:hint="default"/>
      </w:rPr>
    </w:lvl>
  </w:abstractNum>
  <w:abstractNum w:abstractNumId="214" w15:restartNumberingAfterBreak="0">
    <w:nsid w:val="72520FE5"/>
    <w:multiLevelType w:val="singleLevel"/>
    <w:tmpl w:val="E54AF224"/>
    <w:lvl w:ilvl="0">
      <w:start w:val="1"/>
      <w:numFmt w:val="bullet"/>
      <w:lvlText w:val="§"/>
      <w:lvlJc w:val="left"/>
      <w:pPr>
        <w:ind w:left="360" w:hanging="360"/>
      </w:pPr>
      <w:rPr>
        <w:rFonts w:ascii="Wingdings" w:hAnsi="Wingdings" w:hint="default"/>
      </w:rPr>
    </w:lvl>
  </w:abstractNum>
  <w:abstractNum w:abstractNumId="215"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216"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217" w15:restartNumberingAfterBreak="0">
    <w:nsid w:val="73334888"/>
    <w:multiLevelType w:val="singleLevel"/>
    <w:tmpl w:val="8B8CEC18"/>
    <w:lvl w:ilvl="0">
      <w:start w:val="1"/>
      <w:numFmt w:val="bullet"/>
      <w:lvlText w:val="§"/>
      <w:lvlJc w:val="left"/>
      <w:pPr>
        <w:ind w:left="360" w:hanging="360"/>
      </w:pPr>
      <w:rPr>
        <w:rFonts w:ascii="Wingdings" w:hAnsi="Wingdings" w:hint="default"/>
      </w:rPr>
    </w:lvl>
  </w:abstractNum>
  <w:abstractNum w:abstractNumId="218" w15:restartNumberingAfterBreak="0">
    <w:nsid w:val="73CF2832"/>
    <w:multiLevelType w:val="singleLevel"/>
    <w:tmpl w:val="9A202CAA"/>
    <w:lvl w:ilvl="0">
      <w:start w:val="1"/>
      <w:numFmt w:val="bullet"/>
      <w:lvlText w:val="§"/>
      <w:lvlJc w:val="left"/>
      <w:pPr>
        <w:ind w:left="360" w:hanging="360"/>
      </w:pPr>
      <w:rPr>
        <w:rFonts w:ascii="Wingdings" w:hAnsi="Wingdings" w:hint="default"/>
      </w:rPr>
    </w:lvl>
  </w:abstractNum>
  <w:abstractNum w:abstractNumId="219" w15:restartNumberingAfterBreak="0">
    <w:nsid w:val="758246F6"/>
    <w:multiLevelType w:val="singleLevel"/>
    <w:tmpl w:val="43D6CBCC"/>
    <w:lvl w:ilvl="0">
      <w:start w:val="1"/>
      <w:numFmt w:val="bullet"/>
      <w:lvlText w:val="§"/>
      <w:lvlJc w:val="left"/>
      <w:pPr>
        <w:ind w:left="360" w:hanging="360"/>
      </w:pPr>
      <w:rPr>
        <w:rFonts w:ascii="Wingdings" w:hAnsi="Wingdings" w:hint="default"/>
      </w:rPr>
    </w:lvl>
  </w:abstractNum>
  <w:abstractNum w:abstractNumId="220" w15:restartNumberingAfterBreak="0">
    <w:nsid w:val="761B2D1E"/>
    <w:multiLevelType w:val="singleLevel"/>
    <w:tmpl w:val="0BC4D00C"/>
    <w:lvl w:ilvl="0">
      <w:start w:val="1"/>
      <w:numFmt w:val="bullet"/>
      <w:lvlText w:val="§"/>
      <w:lvlJc w:val="left"/>
      <w:pPr>
        <w:ind w:left="360" w:hanging="360"/>
      </w:pPr>
      <w:rPr>
        <w:rFonts w:ascii="Wingdings" w:hAnsi="Wingdings" w:hint="default"/>
      </w:rPr>
    </w:lvl>
  </w:abstractNum>
  <w:abstractNum w:abstractNumId="221" w15:restartNumberingAfterBreak="0">
    <w:nsid w:val="764A3AFE"/>
    <w:multiLevelType w:val="singleLevel"/>
    <w:tmpl w:val="E22A0F6A"/>
    <w:lvl w:ilvl="0">
      <w:start w:val="1"/>
      <w:numFmt w:val="bullet"/>
      <w:lvlText w:val="§"/>
      <w:lvlJc w:val="left"/>
      <w:pPr>
        <w:ind w:left="360" w:hanging="360"/>
      </w:pPr>
      <w:rPr>
        <w:rFonts w:ascii="Wingdings" w:hAnsi="Wingdings" w:hint="default"/>
      </w:rPr>
    </w:lvl>
  </w:abstractNum>
  <w:abstractNum w:abstractNumId="222" w15:restartNumberingAfterBreak="0">
    <w:nsid w:val="776F2CF7"/>
    <w:multiLevelType w:val="singleLevel"/>
    <w:tmpl w:val="68726B3E"/>
    <w:lvl w:ilvl="0">
      <w:start w:val="1"/>
      <w:numFmt w:val="bullet"/>
      <w:lvlText w:val="§"/>
      <w:lvlJc w:val="left"/>
      <w:pPr>
        <w:ind w:left="360" w:hanging="360"/>
      </w:pPr>
      <w:rPr>
        <w:rFonts w:ascii="Wingdings" w:hAnsi="Wingdings" w:hint="default"/>
      </w:rPr>
    </w:lvl>
  </w:abstractNum>
  <w:abstractNum w:abstractNumId="223"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225" w15:restartNumberingAfterBreak="0">
    <w:nsid w:val="7B9E3170"/>
    <w:multiLevelType w:val="singleLevel"/>
    <w:tmpl w:val="B846F5CE"/>
    <w:lvl w:ilvl="0">
      <w:start w:val="1"/>
      <w:numFmt w:val="bullet"/>
      <w:lvlText w:val="§"/>
      <w:lvlJc w:val="left"/>
      <w:pPr>
        <w:ind w:left="360" w:hanging="360"/>
      </w:pPr>
      <w:rPr>
        <w:rFonts w:ascii="Wingdings" w:hAnsi="Wingdings" w:hint="default"/>
      </w:rPr>
    </w:lvl>
  </w:abstractNum>
  <w:abstractNum w:abstractNumId="226" w15:restartNumberingAfterBreak="0">
    <w:nsid w:val="7BFF33A2"/>
    <w:multiLevelType w:val="singleLevel"/>
    <w:tmpl w:val="1A5C888A"/>
    <w:lvl w:ilvl="0">
      <w:start w:val="1"/>
      <w:numFmt w:val="bullet"/>
      <w:lvlText w:val="§"/>
      <w:lvlJc w:val="left"/>
      <w:pPr>
        <w:ind w:left="360" w:hanging="360"/>
      </w:pPr>
      <w:rPr>
        <w:rFonts w:ascii="Wingdings" w:hAnsi="Wingdings" w:hint="default"/>
      </w:rPr>
    </w:lvl>
  </w:abstractNum>
  <w:abstractNum w:abstractNumId="227" w15:restartNumberingAfterBreak="0">
    <w:nsid w:val="7CEA76FE"/>
    <w:multiLevelType w:val="singleLevel"/>
    <w:tmpl w:val="7B921244"/>
    <w:lvl w:ilvl="0">
      <w:start w:val="1"/>
      <w:numFmt w:val="bullet"/>
      <w:lvlText w:val="§"/>
      <w:lvlJc w:val="left"/>
      <w:pPr>
        <w:ind w:left="360" w:hanging="360"/>
      </w:pPr>
      <w:rPr>
        <w:rFonts w:ascii="Wingdings" w:hAnsi="Wingdings" w:hint="default"/>
      </w:rPr>
    </w:lvl>
  </w:abstractNum>
  <w:abstractNum w:abstractNumId="228" w15:restartNumberingAfterBreak="0">
    <w:nsid w:val="7D9C1A60"/>
    <w:multiLevelType w:val="singleLevel"/>
    <w:tmpl w:val="F5FA4316"/>
    <w:lvl w:ilvl="0">
      <w:start w:val="1"/>
      <w:numFmt w:val="bullet"/>
      <w:lvlText w:val="§"/>
      <w:lvlJc w:val="left"/>
      <w:pPr>
        <w:ind w:left="360" w:hanging="360"/>
      </w:pPr>
      <w:rPr>
        <w:rFonts w:ascii="Wingdings" w:hAnsi="Wingdings" w:hint="default"/>
      </w:rPr>
    </w:lvl>
  </w:abstractNum>
  <w:abstractNum w:abstractNumId="229" w15:restartNumberingAfterBreak="0">
    <w:nsid w:val="7DC36A77"/>
    <w:multiLevelType w:val="singleLevel"/>
    <w:tmpl w:val="3B0CB30C"/>
    <w:lvl w:ilvl="0">
      <w:start w:val="1"/>
      <w:numFmt w:val="bullet"/>
      <w:lvlText w:val="§"/>
      <w:lvlJc w:val="left"/>
      <w:pPr>
        <w:ind w:left="360" w:hanging="360"/>
      </w:pPr>
      <w:rPr>
        <w:rFonts w:ascii="Wingdings" w:hAnsi="Wingdings" w:hint="default"/>
      </w:rPr>
    </w:lvl>
  </w:abstractNum>
  <w:abstractNum w:abstractNumId="230" w15:restartNumberingAfterBreak="0">
    <w:nsid w:val="7EA41F2C"/>
    <w:multiLevelType w:val="hybridMultilevel"/>
    <w:tmpl w:val="74BCD87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31" w15:restartNumberingAfterBreak="0">
    <w:nsid w:val="7F680A27"/>
    <w:multiLevelType w:val="singleLevel"/>
    <w:tmpl w:val="3382829A"/>
    <w:lvl w:ilvl="0">
      <w:start w:val="1"/>
      <w:numFmt w:val="bullet"/>
      <w:lvlText w:val="§"/>
      <w:lvlJc w:val="left"/>
      <w:pPr>
        <w:ind w:left="360" w:hanging="360"/>
      </w:pPr>
      <w:rPr>
        <w:rFonts w:ascii="Wingdings" w:hAnsi="Wingdings" w:hint="default"/>
      </w:rPr>
    </w:lvl>
  </w:abstractNum>
  <w:abstractNum w:abstractNumId="232" w15:restartNumberingAfterBreak="0">
    <w:nsid w:val="7F9E2AB2"/>
    <w:multiLevelType w:val="singleLevel"/>
    <w:tmpl w:val="3432F14A"/>
    <w:lvl w:ilvl="0">
      <w:start w:val="1"/>
      <w:numFmt w:val="bullet"/>
      <w:lvlText w:val="§"/>
      <w:lvlJc w:val="left"/>
      <w:pPr>
        <w:ind w:left="360" w:hanging="360"/>
      </w:pPr>
      <w:rPr>
        <w:rFonts w:ascii="Wingdings" w:hAnsi="Wingdings" w:hint="default"/>
      </w:rPr>
    </w:lvl>
  </w:abstractNum>
  <w:num w:numId="1">
    <w:abstractNumId w:val="190"/>
  </w:num>
  <w:num w:numId="2">
    <w:abstractNumId w:val="82"/>
  </w:num>
  <w:num w:numId="3">
    <w:abstractNumId w:val="73"/>
  </w:num>
  <w:num w:numId="4">
    <w:abstractNumId w:val="224"/>
  </w:num>
  <w:num w:numId="5">
    <w:abstractNumId w:val="92"/>
  </w:num>
  <w:num w:numId="6">
    <w:abstractNumId w:val="75"/>
  </w:num>
  <w:num w:numId="7">
    <w:abstractNumId w:val="215"/>
  </w:num>
  <w:num w:numId="8">
    <w:abstractNumId w:val="74"/>
  </w:num>
  <w:num w:numId="9">
    <w:abstractNumId w:val="6"/>
  </w:num>
  <w:num w:numId="10">
    <w:abstractNumId w:val="162"/>
  </w:num>
  <w:num w:numId="11">
    <w:abstractNumId w:val="98"/>
  </w:num>
  <w:num w:numId="12">
    <w:abstractNumId w:val="54"/>
  </w:num>
  <w:num w:numId="13">
    <w:abstractNumId w:val="216"/>
  </w:num>
  <w:num w:numId="14">
    <w:abstractNumId w:val="0"/>
  </w:num>
  <w:num w:numId="15">
    <w:abstractNumId w:val="189"/>
  </w:num>
  <w:num w:numId="16">
    <w:abstractNumId w:val="189"/>
  </w:num>
  <w:num w:numId="17">
    <w:abstractNumId w:val="189"/>
  </w:num>
  <w:num w:numId="18">
    <w:abstractNumId w:val="189"/>
  </w:num>
  <w:num w:numId="19">
    <w:abstractNumId w:val="189"/>
  </w:num>
  <w:num w:numId="20">
    <w:abstractNumId w:val="189"/>
  </w:num>
  <w:num w:numId="21">
    <w:abstractNumId w:val="189"/>
  </w:num>
  <w:num w:numId="22">
    <w:abstractNumId w:val="189"/>
  </w:num>
  <w:num w:numId="23">
    <w:abstractNumId w:val="189"/>
  </w:num>
  <w:num w:numId="24">
    <w:abstractNumId w:val="109"/>
  </w:num>
  <w:num w:numId="25">
    <w:abstractNumId w:val="211"/>
  </w:num>
  <w:num w:numId="26">
    <w:abstractNumId w:val="23"/>
  </w:num>
  <w:num w:numId="27">
    <w:abstractNumId w:val="132"/>
  </w:num>
  <w:num w:numId="28">
    <w:abstractNumId w:val="126"/>
  </w:num>
  <w:num w:numId="29">
    <w:abstractNumId w:val="30"/>
  </w:num>
  <w:num w:numId="30">
    <w:abstractNumId w:val="39"/>
  </w:num>
  <w:num w:numId="31">
    <w:abstractNumId w:val="81"/>
  </w:num>
  <w:num w:numId="32">
    <w:abstractNumId w:val="157"/>
  </w:num>
  <w:num w:numId="33">
    <w:abstractNumId w:val="44"/>
  </w:num>
  <w:num w:numId="34">
    <w:abstractNumId w:val="199"/>
  </w:num>
  <w:num w:numId="35">
    <w:abstractNumId w:val="172"/>
  </w:num>
  <w:num w:numId="36">
    <w:abstractNumId w:val="197"/>
  </w:num>
  <w:num w:numId="37">
    <w:abstractNumId w:val="61"/>
  </w:num>
  <w:num w:numId="38">
    <w:abstractNumId w:val="79"/>
  </w:num>
  <w:num w:numId="39">
    <w:abstractNumId w:val="168"/>
  </w:num>
  <w:num w:numId="40">
    <w:abstractNumId w:val="135"/>
  </w:num>
  <w:num w:numId="41">
    <w:abstractNumId w:val="128"/>
  </w:num>
  <w:num w:numId="42">
    <w:abstractNumId w:val="186"/>
  </w:num>
  <w:num w:numId="43">
    <w:abstractNumId w:val="206"/>
  </w:num>
  <w:num w:numId="44">
    <w:abstractNumId w:val="223"/>
  </w:num>
  <w:num w:numId="45">
    <w:abstractNumId w:val="198"/>
  </w:num>
  <w:num w:numId="46">
    <w:abstractNumId w:val="40"/>
  </w:num>
  <w:num w:numId="47">
    <w:abstractNumId w:val="222"/>
  </w:num>
  <w:num w:numId="48">
    <w:abstractNumId w:val="127"/>
  </w:num>
  <w:num w:numId="49">
    <w:abstractNumId w:val="220"/>
  </w:num>
  <w:num w:numId="50">
    <w:abstractNumId w:val="229"/>
  </w:num>
  <w:num w:numId="51">
    <w:abstractNumId w:val="181"/>
  </w:num>
  <w:num w:numId="52">
    <w:abstractNumId w:val="227"/>
  </w:num>
  <w:num w:numId="53">
    <w:abstractNumId w:val="18"/>
  </w:num>
  <w:num w:numId="54">
    <w:abstractNumId w:val="151"/>
  </w:num>
  <w:num w:numId="55">
    <w:abstractNumId w:val="104"/>
  </w:num>
  <w:num w:numId="56">
    <w:abstractNumId w:val="138"/>
  </w:num>
  <w:num w:numId="57">
    <w:abstractNumId w:val="78"/>
  </w:num>
  <w:num w:numId="58">
    <w:abstractNumId w:val="141"/>
  </w:num>
  <w:num w:numId="59">
    <w:abstractNumId w:val="179"/>
  </w:num>
  <w:num w:numId="60">
    <w:abstractNumId w:val="118"/>
  </w:num>
  <w:num w:numId="61">
    <w:abstractNumId w:val="134"/>
  </w:num>
  <w:num w:numId="62">
    <w:abstractNumId w:val="158"/>
  </w:num>
  <w:num w:numId="63">
    <w:abstractNumId w:val="65"/>
  </w:num>
  <w:num w:numId="64">
    <w:abstractNumId w:val="5"/>
  </w:num>
  <w:num w:numId="65">
    <w:abstractNumId w:val="1"/>
  </w:num>
  <w:num w:numId="66">
    <w:abstractNumId w:val="56"/>
  </w:num>
  <w:num w:numId="67">
    <w:abstractNumId w:val="145"/>
  </w:num>
  <w:num w:numId="68">
    <w:abstractNumId w:val="147"/>
  </w:num>
  <w:num w:numId="69">
    <w:abstractNumId w:val="194"/>
  </w:num>
  <w:num w:numId="70">
    <w:abstractNumId w:val="77"/>
  </w:num>
  <w:num w:numId="71">
    <w:abstractNumId w:val="19"/>
  </w:num>
  <w:num w:numId="72">
    <w:abstractNumId w:val="68"/>
  </w:num>
  <w:num w:numId="73">
    <w:abstractNumId w:val="33"/>
  </w:num>
  <w:num w:numId="74">
    <w:abstractNumId w:val="101"/>
  </w:num>
  <w:num w:numId="75">
    <w:abstractNumId w:val="173"/>
  </w:num>
  <w:num w:numId="76">
    <w:abstractNumId w:val="17"/>
  </w:num>
  <w:num w:numId="77">
    <w:abstractNumId w:val="171"/>
  </w:num>
  <w:num w:numId="78">
    <w:abstractNumId w:val="203"/>
  </w:num>
  <w:num w:numId="79">
    <w:abstractNumId w:val="71"/>
  </w:num>
  <w:num w:numId="80">
    <w:abstractNumId w:val="204"/>
  </w:num>
  <w:num w:numId="81">
    <w:abstractNumId w:val="22"/>
  </w:num>
  <w:num w:numId="82">
    <w:abstractNumId w:val="52"/>
  </w:num>
  <w:num w:numId="83">
    <w:abstractNumId w:val="165"/>
  </w:num>
  <w:num w:numId="84">
    <w:abstractNumId w:val="27"/>
  </w:num>
  <w:num w:numId="85">
    <w:abstractNumId w:val="175"/>
  </w:num>
  <w:num w:numId="86">
    <w:abstractNumId w:val="161"/>
  </w:num>
  <w:num w:numId="87">
    <w:abstractNumId w:val="37"/>
  </w:num>
  <w:num w:numId="88">
    <w:abstractNumId w:val="152"/>
  </w:num>
  <w:num w:numId="89">
    <w:abstractNumId w:val="84"/>
  </w:num>
  <w:num w:numId="90">
    <w:abstractNumId w:val="184"/>
  </w:num>
  <w:num w:numId="91">
    <w:abstractNumId w:val="29"/>
  </w:num>
  <w:num w:numId="92">
    <w:abstractNumId w:val="174"/>
  </w:num>
  <w:num w:numId="93">
    <w:abstractNumId w:val="91"/>
  </w:num>
  <w:num w:numId="94">
    <w:abstractNumId w:val="153"/>
  </w:num>
  <w:num w:numId="95">
    <w:abstractNumId w:val="169"/>
  </w:num>
  <w:num w:numId="96">
    <w:abstractNumId w:val="122"/>
  </w:num>
  <w:num w:numId="97">
    <w:abstractNumId w:val="149"/>
  </w:num>
  <w:num w:numId="98">
    <w:abstractNumId w:val="205"/>
  </w:num>
  <w:num w:numId="99">
    <w:abstractNumId w:val="20"/>
  </w:num>
  <w:num w:numId="100">
    <w:abstractNumId w:val="36"/>
  </w:num>
  <w:num w:numId="101">
    <w:abstractNumId w:val="16"/>
  </w:num>
  <w:num w:numId="102">
    <w:abstractNumId w:val="110"/>
  </w:num>
  <w:num w:numId="103">
    <w:abstractNumId w:val="200"/>
  </w:num>
  <w:num w:numId="104">
    <w:abstractNumId w:val="160"/>
  </w:num>
  <w:num w:numId="105">
    <w:abstractNumId w:val="133"/>
  </w:num>
  <w:num w:numId="106">
    <w:abstractNumId w:val="137"/>
  </w:num>
  <w:num w:numId="107">
    <w:abstractNumId w:val="45"/>
  </w:num>
  <w:num w:numId="108">
    <w:abstractNumId w:val="64"/>
  </w:num>
  <w:num w:numId="109">
    <w:abstractNumId w:val="154"/>
  </w:num>
  <w:num w:numId="110">
    <w:abstractNumId w:val="185"/>
  </w:num>
  <w:num w:numId="111">
    <w:abstractNumId w:val="218"/>
  </w:num>
  <w:num w:numId="112">
    <w:abstractNumId w:val="228"/>
  </w:num>
  <w:num w:numId="113">
    <w:abstractNumId w:val="12"/>
  </w:num>
  <w:num w:numId="114">
    <w:abstractNumId w:val="53"/>
  </w:num>
  <w:num w:numId="115">
    <w:abstractNumId w:val="232"/>
  </w:num>
  <w:num w:numId="116">
    <w:abstractNumId w:val="99"/>
  </w:num>
  <w:num w:numId="117">
    <w:abstractNumId w:val="86"/>
  </w:num>
  <w:num w:numId="118">
    <w:abstractNumId w:val="119"/>
  </w:num>
  <w:num w:numId="119">
    <w:abstractNumId w:val="88"/>
  </w:num>
  <w:num w:numId="120">
    <w:abstractNumId w:val="187"/>
  </w:num>
  <w:num w:numId="121">
    <w:abstractNumId w:val="103"/>
  </w:num>
  <w:num w:numId="122">
    <w:abstractNumId w:val="89"/>
  </w:num>
  <w:num w:numId="123">
    <w:abstractNumId w:val="107"/>
  </w:num>
  <w:num w:numId="124">
    <w:abstractNumId w:val="207"/>
  </w:num>
  <w:num w:numId="125">
    <w:abstractNumId w:val="111"/>
  </w:num>
  <w:num w:numId="126">
    <w:abstractNumId w:val="57"/>
  </w:num>
  <w:num w:numId="127">
    <w:abstractNumId w:val="34"/>
  </w:num>
  <w:num w:numId="128">
    <w:abstractNumId w:val="48"/>
  </w:num>
  <w:num w:numId="129">
    <w:abstractNumId w:val="83"/>
  </w:num>
  <w:num w:numId="130">
    <w:abstractNumId w:val="7"/>
  </w:num>
  <w:num w:numId="131">
    <w:abstractNumId w:val="80"/>
  </w:num>
  <w:num w:numId="132">
    <w:abstractNumId w:val="156"/>
  </w:num>
  <w:num w:numId="133">
    <w:abstractNumId w:val="230"/>
  </w:num>
  <w:num w:numId="134">
    <w:abstractNumId w:val="131"/>
  </w:num>
  <w:num w:numId="135">
    <w:abstractNumId w:val="146"/>
  </w:num>
  <w:num w:numId="136">
    <w:abstractNumId w:val="209"/>
  </w:num>
  <w:num w:numId="137">
    <w:abstractNumId w:val="121"/>
  </w:num>
  <w:num w:numId="138">
    <w:abstractNumId w:val="95"/>
  </w:num>
  <w:num w:numId="139">
    <w:abstractNumId w:val="183"/>
  </w:num>
  <w:num w:numId="140">
    <w:abstractNumId w:val="177"/>
  </w:num>
  <w:num w:numId="141">
    <w:abstractNumId w:val="159"/>
  </w:num>
  <w:num w:numId="142">
    <w:abstractNumId w:val="212"/>
  </w:num>
  <w:num w:numId="143">
    <w:abstractNumId w:val="50"/>
  </w:num>
  <w:num w:numId="144">
    <w:abstractNumId w:val="87"/>
  </w:num>
  <w:num w:numId="145">
    <w:abstractNumId w:val="4"/>
  </w:num>
  <w:num w:numId="146">
    <w:abstractNumId w:val="11"/>
  </w:num>
  <w:num w:numId="147">
    <w:abstractNumId w:val="112"/>
  </w:num>
  <w:num w:numId="148">
    <w:abstractNumId w:val="178"/>
  </w:num>
  <w:num w:numId="149">
    <w:abstractNumId w:val="90"/>
  </w:num>
  <w:num w:numId="150">
    <w:abstractNumId w:val="43"/>
  </w:num>
  <w:num w:numId="151">
    <w:abstractNumId w:val="28"/>
  </w:num>
  <w:num w:numId="152">
    <w:abstractNumId w:val="117"/>
  </w:num>
  <w:num w:numId="153">
    <w:abstractNumId w:val="123"/>
  </w:num>
  <w:num w:numId="154">
    <w:abstractNumId w:val="176"/>
  </w:num>
  <w:num w:numId="155">
    <w:abstractNumId w:val="46"/>
  </w:num>
  <w:num w:numId="156">
    <w:abstractNumId w:val="97"/>
  </w:num>
  <w:num w:numId="157">
    <w:abstractNumId w:val="196"/>
  </w:num>
  <w:num w:numId="158">
    <w:abstractNumId w:val="113"/>
  </w:num>
  <w:num w:numId="159">
    <w:abstractNumId w:val="210"/>
  </w:num>
  <w:num w:numId="160">
    <w:abstractNumId w:val="38"/>
  </w:num>
  <w:num w:numId="161">
    <w:abstractNumId w:val="208"/>
  </w:num>
  <w:num w:numId="162">
    <w:abstractNumId w:val="106"/>
  </w:num>
  <w:num w:numId="163">
    <w:abstractNumId w:val="142"/>
  </w:num>
  <w:num w:numId="164">
    <w:abstractNumId w:val="130"/>
  </w:num>
  <w:num w:numId="165">
    <w:abstractNumId w:val="47"/>
  </w:num>
  <w:num w:numId="166">
    <w:abstractNumId w:val="219"/>
  </w:num>
  <w:num w:numId="167">
    <w:abstractNumId w:val="217"/>
  </w:num>
  <w:num w:numId="168">
    <w:abstractNumId w:val="10"/>
  </w:num>
  <w:num w:numId="169">
    <w:abstractNumId w:val="163"/>
  </w:num>
  <w:num w:numId="170">
    <w:abstractNumId w:val="26"/>
  </w:num>
  <w:num w:numId="171">
    <w:abstractNumId w:val="42"/>
  </w:num>
  <w:num w:numId="172">
    <w:abstractNumId w:val="225"/>
  </w:num>
  <w:num w:numId="173">
    <w:abstractNumId w:val="124"/>
  </w:num>
  <w:num w:numId="174">
    <w:abstractNumId w:val="155"/>
  </w:num>
  <w:num w:numId="175">
    <w:abstractNumId w:val="120"/>
  </w:num>
  <w:num w:numId="176">
    <w:abstractNumId w:val="231"/>
  </w:num>
  <w:num w:numId="177">
    <w:abstractNumId w:val="35"/>
  </w:num>
  <w:num w:numId="178">
    <w:abstractNumId w:val="70"/>
  </w:num>
  <w:num w:numId="179">
    <w:abstractNumId w:val="114"/>
  </w:num>
  <w:num w:numId="180">
    <w:abstractNumId w:val="125"/>
  </w:num>
  <w:num w:numId="181">
    <w:abstractNumId w:val="182"/>
  </w:num>
  <w:num w:numId="182">
    <w:abstractNumId w:val="116"/>
  </w:num>
  <w:num w:numId="183">
    <w:abstractNumId w:val="51"/>
  </w:num>
  <w:num w:numId="184">
    <w:abstractNumId w:val="188"/>
  </w:num>
  <w:num w:numId="185">
    <w:abstractNumId w:val="226"/>
  </w:num>
  <w:num w:numId="186">
    <w:abstractNumId w:val="143"/>
  </w:num>
  <w:num w:numId="187">
    <w:abstractNumId w:val="102"/>
  </w:num>
  <w:num w:numId="188">
    <w:abstractNumId w:val="150"/>
  </w:num>
  <w:num w:numId="189">
    <w:abstractNumId w:val="140"/>
  </w:num>
  <w:num w:numId="190">
    <w:abstractNumId w:val="14"/>
  </w:num>
  <w:num w:numId="191">
    <w:abstractNumId w:val="191"/>
  </w:num>
  <w:num w:numId="192">
    <w:abstractNumId w:val="60"/>
  </w:num>
  <w:num w:numId="193">
    <w:abstractNumId w:val="167"/>
  </w:num>
  <w:num w:numId="194">
    <w:abstractNumId w:val="213"/>
  </w:num>
  <w:num w:numId="195">
    <w:abstractNumId w:val="32"/>
  </w:num>
  <w:num w:numId="196">
    <w:abstractNumId w:val="144"/>
  </w:num>
  <w:num w:numId="197">
    <w:abstractNumId w:val="94"/>
  </w:num>
  <w:num w:numId="198">
    <w:abstractNumId w:val="2"/>
  </w:num>
  <w:num w:numId="199">
    <w:abstractNumId w:val="31"/>
  </w:num>
  <w:num w:numId="200">
    <w:abstractNumId w:val="58"/>
  </w:num>
  <w:num w:numId="201">
    <w:abstractNumId w:val="214"/>
  </w:num>
  <w:num w:numId="202">
    <w:abstractNumId w:val="192"/>
  </w:num>
  <w:num w:numId="203">
    <w:abstractNumId w:val="55"/>
  </w:num>
  <w:num w:numId="204">
    <w:abstractNumId w:val="63"/>
  </w:num>
  <w:num w:numId="205">
    <w:abstractNumId w:val="202"/>
  </w:num>
  <w:num w:numId="206">
    <w:abstractNumId w:val="195"/>
  </w:num>
  <w:num w:numId="207">
    <w:abstractNumId w:val="221"/>
  </w:num>
  <w:num w:numId="208">
    <w:abstractNumId w:val="166"/>
  </w:num>
  <w:num w:numId="209">
    <w:abstractNumId w:val="201"/>
  </w:num>
  <w:num w:numId="210">
    <w:abstractNumId w:val="3"/>
  </w:num>
  <w:num w:numId="211">
    <w:abstractNumId w:val="72"/>
  </w:num>
  <w:num w:numId="212">
    <w:abstractNumId w:val="85"/>
  </w:num>
  <w:num w:numId="213">
    <w:abstractNumId w:val="62"/>
  </w:num>
  <w:num w:numId="214">
    <w:abstractNumId w:val="9"/>
  </w:num>
  <w:num w:numId="215">
    <w:abstractNumId w:val="108"/>
  </w:num>
  <w:num w:numId="216">
    <w:abstractNumId w:val="180"/>
  </w:num>
  <w:num w:numId="217">
    <w:abstractNumId w:val="66"/>
  </w:num>
  <w:num w:numId="218">
    <w:abstractNumId w:val="49"/>
  </w:num>
  <w:num w:numId="219">
    <w:abstractNumId w:val="76"/>
  </w:num>
  <w:num w:numId="220">
    <w:abstractNumId w:val="129"/>
  </w:num>
  <w:num w:numId="221">
    <w:abstractNumId w:val="105"/>
  </w:num>
  <w:num w:numId="222">
    <w:abstractNumId w:val="24"/>
  </w:num>
  <w:num w:numId="223">
    <w:abstractNumId w:val="100"/>
  </w:num>
  <w:num w:numId="224">
    <w:abstractNumId w:val="41"/>
  </w:num>
  <w:num w:numId="225">
    <w:abstractNumId w:val="115"/>
  </w:num>
  <w:num w:numId="226">
    <w:abstractNumId w:val="96"/>
  </w:num>
  <w:num w:numId="227">
    <w:abstractNumId w:val="25"/>
  </w:num>
  <w:num w:numId="228">
    <w:abstractNumId w:val="8"/>
  </w:num>
  <w:num w:numId="229">
    <w:abstractNumId w:val="15"/>
  </w:num>
  <w:num w:numId="230">
    <w:abstractNumId w:val="193"/>
  </w:num>
  <w:num w:numId="231">
    <w:abstractNumId w:val="93"/>
  </w:num>
  <w:num w:numId="232">
    <w:abstractNumId w:val="170"/>
  </w:num>
  <w:num w:numId="233">
    <w:abstractNumId w:val="148"/>
  </w:num>
  <w:num w:numId="234">
    <w:abstractNumId w:val="139"/>
  </w:num>
  <w:num w:numId="235">
    <w:abstractNumId w:val="69"/>
  </w:num>
  <w:num w:numId="236">
    <w:abstractNumId w:val="21"/>
  </w:num>
  <w:num w:numId="237">
    <w:abstractNumId w:val="13"/>
  </w:num>
  <w:num w:numId="238">
    <w:abstractNumId w:val="59"/>
  </w:num>
  <w:num w:numId="239">
    <w:abstractNumId w:val="67"/>
  </w:num>
  <w:num w:numId="240">
    <w:abstractNumId w:val="136"/>
  </w:num>
  <w:num w:numId="241">
    <w:abstractNumId w:val="164"/>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024C0A"/>
    <w:rsid w:val="00024C0A"/>
    <w:rsid w:val="00694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32464" TargetMode="External"/><Relationship Id="rId299" Type="http://schemas.openxmlformats.org/officeDocument/2006/relationships/hyperlink" Target="https://go.microsoft.com/fwlink/?LinkId=264927" TargetMode="External"/><Relationship Id="rId21" Type="http://schemas.openxmlformats.org/officeDocument/2006/relationships/hyperlink" Target="https://go.microsoft.com/fwlink/?LinkId=264933" TargetMode="External"/><Relationship Id="rId63" Type="http://schemas.openxmlformats.org/officeDocument/2006/relationships/hyperlink" Target="https://go.microsoft.com/fwlink/?LinkId=150884" TargetMode="External"/><Relationship Id="rId159" Type="http://schemas.openxmlformats.org/officeDocument/2006/relationships/hyperlink" Target="https://go.microsoft.com/fwlink/?LinkId=132464" TargetMode="External"/><Relationship Id="rId324" Type="http://schemas.openxmlformats.org/officeDocument/2006/relationships/image" Target="media/image70.bin"/><Relationship Id="rId366" Type="http://schemas.openxmlformats.org/officeDocument/2006/relationships/hyperlink" Target="https://go.microsoft.com/fwlink/?LinkId=132464" TargetMode="External"/><Relationship Id="rId170" Type="http://schemas.openxmlformats.org/officeDocument/2006/relationships/image" Target="media/image30.bin"/><Relationship Id="rId226" Type="http://schemas.openxmlformats.org/officeDocument/2006/relationships/hyperlink" Target="https://go.microsoft.com/fwlink/?LinkId=132464" TargetMode="External"/><Relationship Id="rId268" Type="http://schemas.openxmlformats.org/officeDocument/2006/relationships/hyperlink" Target="https://go.microsoft.com/fwlink/?LinkId=150884" TargetMode="External"/><Relationship Id="rId32" Type="http://schemas.openxmlformats.org/officeDocument/2006/relationships/hyperlink" Target="https://go.microsoft.com/fwlink/?LinkId=325242" TargetMode="External"/><Relationship Id="rId74" Type="http://schemas.openxmlformats.org/officeDocument/2006/relationships/image" Target="media/image10.bin"/><Relationship Id="rId128" Type="http://schemas.openxmlformats.org/officeDocument/2006/relationships/hyperlink" Target="https://go.microsoft.com/fwlink/?LinkId=132464" TargetMode="External"/><Relationship Id="rId335" Type="http://schemas.openxmlformats.org/officeDocument/2006/relationships/hyperlink" Target="%5bMS-PPT%5d.pdf" TargetMode="External"/><Relationship Id="rId377" Type="http://schemas.openxmlformats.org/officeDocument/2006/relationships/hyperlink" Target="https://go.microsoft.com/fwlink/?LinkId=132464" TargetMode="External"/><Relationship Id="rId5" Type="http://schemas.openxmlformats.org/officeDocument/2006/relationships/settings" Target="settings.xml"/><Relationship Id="rId181" Type="http://schemas.openxmlformats.org/officeDocument/2006/relationships/image" Target="media/image36.bin"/><Relationship Id="rId237" Type="http://schemas.openxmlformats.org/officeDocument/2006/relationships/hyperlink" Target="https://go.microsoft.com/fwlink/?LinkId=150884" TargetMode="External"/><Relationship Id="rId279" Type="http://schemas.openxmlformats.org/officeDocument/2006/relationships/hyperlink" Target="https://go.microsoft.com/fwlink/?LinkId=325242" TargetMode="External"/><Relationship Id="rId43" Type="http://schemas.openxmlformats.org/officeDocument/2006/relationships/hyperlink" Target="%5bMS-LISTSWS%5d.pdf" TargetMode="External"/><Relationship Id="rId139" Type="http://schemas.openxmlformats.org/officeDocument/2006/relationships/hyperlink" Target="https://go.microsoft.com/fwlink/?LinkId=132464" TargetMode="External"/><Relationship Id="rId290" Type="http://schemas.openxmlformats.org/officeDocument/2006/relationships/hyperlink" Target="https://go.microsoft.com/fwlink/?LinkId=132464" TargetMode="External"/><Relationship Id="rId304" Type="http://schemas.openxmlformats.org/officeDocument/2006/relationships/hyperlink" Target="https://go.microsoft.com/fwlink/?LinkId=132464" TargetMode="External"/><Relationship Id="rId346" Type="http://schemas.openxmlformats.org/officeDocument/2006/relationships/hyperlink" Target="%5bMS-CUSTOMUI%5d.pdf" TargetMode="External"/><Relationship Id="rId85" Type="http://schemas.openxmlformats.org/officeDocument/2006/relationships/image" Target="media/image13.bin"/><Relationship Id="rId150" Type="http://schemas.openxmlformats.org/officeDocument/2006/relationships/hyperlink" Target="https://go.microsoft.com/fwlink/?LinkId=132464" TargetMode="External"/><Relationship Id="rId192" Type="http://schemas.openxmlformats.org/officeDocument/2006/relationships/image" Target="media/image41.bin"/><Relationship Id="rId206" Type="http://schemas.openxmlformats.org/officeDocument/2006/relationships/hyperlink" Target="https://go.microsoft.com/fwlink/?LinkId=132464" TargetMode="External"/><Relationship Id="rId248" Type="http://schemas.openxmlformats.org/officeDocument/2006/relationships/image" Target="media/image57.bin"/><Relationship Id="rId12" Type="http://schemas.openxmlformats.org/officeDocument/2006/relationships/hyperlink" Target="https://msdn.microsoft.com/en-us/openspecifications/dn750984" TargetMode="External"/><Relationship Id="rId108" Type="http://schemas.openxmlformats.org/officeDocument/2006/relationships/hyperlink" Target="https://go.microsoft.com/fwlink/?LinkId=132464" TargetMode="External"/><Relationship Id="rId315" Type="http://schemas.openxmlformats.org/officeDocument/2006/relationships/hyperlink" Target="https://go.microsoft.com/fwlink/?LinkId=325242" TargetMode="External"/><Relationship Id="rId357" Type="http://schemas.openxmlformats.org/officeDocument/2006/relationships/hyperlink" Target="%5bMS-LISTSWS%5d.pdf" TargetMode="External"/><Relationship Id="rId54" Type="http://schemas.openxmlformats.org/officeDocument/2006/relationships/hyperlink" Target="https://go.microsoft.com/fwlink/?LinkId=132464" TargetMode="External"/><Relationship Id="rId96" Type="http://schemas.openxmlformats.org/officeDocument/2006/relationships/hyperlink" Target="https://go.microsoft.com/fwlink/?LinkId=132464" TargetMode="External"/><Relationship Id="rId161" Type="http://schemas.openxmlformats.org/officeDocument/2006/relationships/image" Target="media/image21.bin"/><Relationship Id="rId217" Type="http://schemas.openxmlformats.org/officeDocument/2006/relationships/hyperlink" Target="https://go.microsoft.com/fwlink/?LinkId=89920" TargetMode="External"/><Relationship Id="rId259" Type="http://schemas.openxmlformats.org/officeDocument/2006/relationships/image" Target="media/image64.bin"/><Relationship Id="rId23" Type="http://schemas.openxmlformats.org/officeDocument/2006/relationships/hyperlink" Target="https://go.microsoft.com/fwlink/?LinkId=89844" TargetMode="External"/><Relationship Id="rId119" Type="http://schemas.openxmlformats.org/officeDocument/2006/relationships/hyperlink" Target="https://go.microsoft.com/fwlink/?LinkId=132464" TargetMode="External"/><Relationship Id="rId270" Type="http://schemas.openxmlformats.org/officeDocument/2006/relationships/hyperlink" Target="https://go.microsoft.com/fwlink/?LinkId=132464" TargetMode="External"/><Relationship Id="rId326" Type="http://schemas.openxmlformats.org/officeDocument/2006/relationships/hyperlink" Target="https://go.microsoft.com/fwlink/?LinkId=132464" TargetMode="External"/><Relationship Id="rId65" Type="http://schemas.openxmlformats.org/officeDocument/2006/relationships/hyperlink" Target="https://go.microsoft.com/fwlink/?LinkId=132464" TargetMode="External"/><Relationship Id="rId130" Type="http://schemas.openxmlformats.org/officeDocument/2006/relationships/hyperlink" Target="https://go.microsoft.com/fwlink/?LinkId=132464" TargetMode="External"/><Relationship Id="rId368" Type="http://schemas.openxmlformats.org/officeDocument/2006/relationships/hyperlink" Target="%5bMS-OFORMS%5d.pdf" TargetMode="External"/><Relationship Id="rId172" Type="http://schemas.openxmlformats.org/officeDocument/2006/relationships/image" Target="media/image32.bin"/><Relationship Id="rId228" Type="http://schemas.openxmlformats.org/officeDocument/2006/relationships/hyperlink" Target="https://go.microsoft.com/fwlink/?LinkId=132464" TargetMode="External"/><Relationship Id="rId281" Type="http://schemas.openxmlformats.org/officeDocument/2006/relationships/hyperlink" Target="https://go.microsoft.com/fwlink/?LinkId=132464" TargetMode="External"/><Relationship Id="rId337" Type="http://schemas.openxmlformats.org/officeDocument/2006/relationships/hyperlink" Target="https://go.microsoft.com/fwlink/?LinkId=132464" TargetMode="External"/><Relationship Id="rId34" Type="http://schemas.openxmlformats.org/officeDocument/2006/relationships/hyperlink" Target="https://go.microsoft.com/fwlink/?LinkId=118625" TargetMode="External"/><Relationship Id="rId76" Type="http://schemas.openxmlformats.org/officeDocument/2006/relationships/hyperlink" Target="https://go.microsoft.com/fwlink/?LinkId=150884" TargetMode="External"/><Relationship Id="rId141" Type="http://schemas.openxmlformats.org/officeDocument/2006/relationships/hyperlink" Target="https://go.microsoft.com/fwlink/?LinkId=132464" TargetMode="External"/><Relationship Id="rId379" Type="http://schemas.openxmlformats.org/officeDocument/2006/relationships/hyperlink" Target="https://go.microsoft.com/fwlink/?LinkId=132464" TargetMode="External"/><Relationship Id="rId7" Type="http://schemas.openxmlformats.org/officeDocument/2006/relationships/footnotes" Target="footnotes.xml"/><Relationship Id="rId183" Type="http://schemas.openxmlformats.org/officeDocument/2006/relationships/image" Target="media/image38.bin"/><Relationship Id="rId239" Type="http://schemas.openxmlformats.org/officeDocument/2006/relationships/image" Target="media/image48.bin"/><Relationship Id="rId250" Type="http://schemas.openxmlformats.org/officeDocument/2006/relationships/image" Target="media/image59.bin"/><Relationship Id="rId292" Type="http://schemas.openxmlformats.org/officeDocument/2006/relationships/hyperlink" Target="https://go.microsoft.com/fwlink/?LinkId=132464" TargetMode="External"/><Relationship Id="rId306" Type="http://schemas.openxmlformats.org/officeDocument/2006/relationships/hyperlink" Target="https://go.microsoft.com/fwlink/?LinkId=150883" TargetMode="External"/><Relationship Id="rId45" Type="http://schemas.openxmlformats.org/officeDocument/2006/relationships/hyperlink" Target="%5bMS-PPT%5d.pdf" TargetMode="External"/><Relationship Id="rId87" Type="http://schemas.openxmlformats.org/officeDocument/2006/relationships/hyperlink" Target="https://go.microsoft.com/fwlink/?LinkId=132464" TargetMode="External"/><Relationship Id="rId110" Type="http://schemas.openxmlformats.org/officeDocument/2006/relationships/hyperlink" Target="https://go.microsoft.com/fwlink/?LinkId=132464" TargetMode="External"/><Relationship Id="rId348" Type="http://schemas.openxmlformats.org/officeDocument/2006/relationships/hyperlink" Target="https://go.microsoft.com/fwlink/?LinkId=132464" TargetMode="External"/><Relationship Id="rId152" Type="http://schemas.openxmlformats.org/officeDocument/2006/relationships/hyperlink" Target="https://go.microsoft.com/fwlink/?LinkId=132464" TargetMode="External"/><Relationship Id="rId194" Type="http://schemas.openxmlformats.org/officeDocument/2006/relationships/image" Target="media/image43.bin"/><Relationship Id="rId208" Type="http://schemas.openxmlformats.org/officeDocument/2006/relationships/hyperlink" Target="https://go.microsoft.com/fwlink/?LinkId=132464" TargetMode="External"/><Relationship Id="rId261" Type="http://schemas.openxmlformats.org/officeDocument/2006/relationships/hyperlink" Target="https://go.microsoft.com/fwlink/?LinkId=150884" TargetMode="External"/><Relationship Id="rId14" Type="http://schemas.openxmlformats.org/officeDocument/2006/relationships/hyperlink" Target="mailto:dochelp@microsoft.com" TargetMode="External"/><Relationship Id="rId56" Type="http://schemas.openxmlformats.org/officeDocument/2006/relationships/hyperlink" Target="https://go.microsoft.com/fwlink/?LinkId=118625" TargetMode="External"/><Relationship Id="rId317" Type="http://schemas.openxmlformats.org/officeDocument/2006/relationships/hyperlink" Target="https://go.microsoft.com/fwlink/?LinkId=132464" TargetMode="External"/><Relationship Id="rId359" Type="http://schemas.openxmlformats.org/officeDocument/2006/relationships/hyperlink" Target="%5bMS-LISTSWS%5d.pdf" TargetMode="External"/><Relationship Id="rId98" Type="http://schemas.openxmlformats.org/officeDocument/2006/relationships/image" Target="media/image16.bin"/><Relationship Id="rId121" Type="http://schemas.openxmlformats.org/officeDocument/2006/relationships/hyperlink" Target="https://go.microsoft.com/fwlink/?LinkId=150884" TargetMode="External"/><Relationship Id="rId163" Type="http://schemas.openxmlformats.org/officeDocument/2006/relationships/image" Target="media/image23.bin"/><Relationship Id="rId219" Type="http://schemas.openxmlformats.org/officeDocument/2006/relationships/hyperlink" Target="%5bMS-CFB%5d.pdf" TargetMode="External"/><Relationship Id="rId370" Type="http://schemas.openxmlformats.org/officeDocument/2006/relationships/hyperlink" Target="https://go.microsoft.com/fwlink/?LinkId=132464" TargetMode="External"/><Relationship Id="rId230" Type="http://schemas.openxmlformats.org/officeDocument/2006/relationships/hyperlink" Target="https://go.microsoft.com/fwlink/?LinkId=132464" TargetMode="External"/><Relationship Id="rId25" Type="http://schemas.openxmlformats.org/officeDocument/2006/relationships/hyperlink" Target="https://go.microsoft.com/fwlink/?LinkId=265314" TargetMode="External"/><Relationship Id="rId67" Type="http://schemas.openxmlformats.org/officeDocument/2006/relationships/image" Target="media/image3.bin"/><Relationship Id="rId272" Type="http://schemas.openxmlformats.org/officeDocument/2006/relationships/hyperlink" Target="https://go.microsoft.com/fwlink/?LinkId=325242" TargetMode="External"/><Relationship Id="rId328" Type="http://schemas.openxmlformats.org/officeDocument/2006/relationships/hyperlink" Target="https://go.microsoft.com/fwlink/?LinkId=132464" TargetMode="External"/><Relationship Id="rId132" Type="http://schemas.openxmlformats.org/officeDocument/2006/relationships/hyperlink" Target="https://go.microsoft.com/fwlink/?LinkId=132464" TargetMode="External"/><Relationship Id="rId174" Type="http://schemas.openxmlformats.org/officeDocument/2006/relationships/image" Target="media/image34.bin"/><Relationship Id="rId381" Type="http://schemas.openxmlformats.org/officeDocument/2006/relationships/hyperlink" Target="https://go.microsoft.com/fwlink/?LinkId=132464" TargetMode="External"/><Relationship Id="rId241" Type="http://schemas.openxmlformats.org/officeDocument/2006/relationships/image" Target="media/image50.bin"/><Relationship Id="rId36" Type="http://schemas.openxmlformats.org/officeDocument/2006/relationships/hyperlink" Target="%5bMS-CUSTOMUI2%5d.pdf" TargetMode="External"/><Relationship Id="rId283" Type="http://schemas.openxmlformats.org/officeDocument/2006/relationships/hyperlink" Target="https://go.microsoft.com/fwlink/?LinkId=132464" TargetMode="External"/><Relationship Id="rId339" Type="http://schemas.openxmlformats.org/officeDocument/2006/relationships/hyperlink" Target="https://go.microsoft.com/fwlink/?LinkId=325242" TargetMode="External"/><Relationship Id="rId78" Type="http://schemas.openxmlformats.org/officeDocument/2006/relationships/hyperlink" Target="https://go.microsoft.com/fwlink/?LinkId=132464" TargetMode="External"/><Relationship Id="rId101" Type="http://schemas.openxmlformats.org/officeDocument/2006/relationships/hyperlink" Target="https://go.microsoft.com/fwlink/?LinkId=132464" TargetMode="External"/><Relationship Id="rId143" Type="http://schemas.openxmlformats.org/officeDocument/2006/relationships/hyperlink" Target="https://go.microsoft.com/fwlink/?LinkId=132464" TargetMode="External"/><Relationship Id="rId185" Type="http://schemas.openxmlformats.org/officeDocument/2006/relationships/image" Target="media/image39.bin"/><Relationship Id="rId350" Type="http://schemas.openxmlformats.org/officeDocument/2006/relationships/hyperlink" Target="https://go.microsoft.com/fwlink/?LinkId=325242"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132464" TargetMode="External"/><Relationship Id="rId252" Type="http://schemas.openxmlformats.org/officeDocument/2006/relationships/image" Target="media/image61.bin"/><Relationship Id="rId294" Type="http://schemas.openxmlformats.org/officeDocument/2006/relationships/hyperlink" Target="https://go.microsoft.com/fwlink/?LinkId=264927" TargetMode="External"/><Relationship Id="rId308" Type="http://schemas.openxmlformats.org/officeDocument/2006/relationships/hyperlink" Target="https://go.microsoft.com/fwlink/?LinkId=325242" TargetMode="External"/><Relationship Id="rId47" Type="http://schemas.openxmlformats.org/officeDocument/2006/relationships/hyperlink" Target="%5bMS-WSSCAML%5d.pdf" TargetMode="External"/><Relationship Id="rId68" Type="http://schemas.openxmlformats.org/officeDocument/2006/relationships/image" Target="media/image4.bin"/><Relationship Id="rId89" Type="http://schemas.openxmlformats.org/officeDocument/2006/relationships/hyperlink" Target="https://go.microsoft.com/fwlink/?LinkId=132464" TargetMode="External"/><Relationship Id="rId112" Type="http://schemas.openxmlformats.org/officeDocument/2006/relationships/hyperlink" Target="https://go.microsoft.com/fwlink/?LinkId=132464" TargetMode="External"/><Relationship Id="rId133" Type="http://schemas.openxmlformats.org/officeDocument/2006/relationships/hyperlink" Target="https://go.microsoft.com/fwlink/?LinkId=132464" TargetMode="External"/><Relationship Id="rId154" Type="http://schemas.openxmlformats.org/officeDocument/2006/relationships/hyperlink" Target="https://go.microsoft.com/fwlink/?LinkId=132464" TargetMode="External"/><Relationship Id="rId175" Type="http://schemas.openxmlformats.org/officeDocument/2006/relationships/hyperlink" Target="https://go.microsoft.com/fwlink/?LinkId=132464" TargetMode="External"/><Relationship Id="rId340" Type="http://schemas.openxmlformats.org/officeDocument/2006/relationships/hyperlink" Target="https://go.microsoft.com/fwlink/?LinkId=325242" TargetMode="External"/><Relationship Id="rId361" Type="http://schemas.openxmlformats.org/officeDocument/2006/relationships/hyperlink" Target="%5bMS-IPFF%5d.pdf" TargetMode="External"/><Relationship Id="rId196" Type="http://schemas.openxmlformats.org/officeDocument/2006/relationships/image" Target="media/image45.bin"/><Relationship Id="rId200" Type="http://schemas.openxmlformats.org/officeDocument/2006/relationships/hyperlink" Target="https://go.microsoft.com/fwlink/?LinkId=132464" TargetMode="External"/><Relationship Id="rId382" Type="http://schemas.openxmlformats.org/officeDocument/2006/relationships/hyperlink" Target="https://go.microsoft.com/fwlink/?LinkId=150884" TargetMode="External"/><Relationship Id="rId16" Type="http://schemas.openxmlformats.org/officeDocument/2006/relationships/hyperlink" Target="https://go.microsoft.com/fwlink/?LinkId=90317" TargetMode="External"/><Relationship Id="rId221" Type="http://schemas.openxmlformats.org/officeDocument/2006/relationships/hyperlink" Target="https://go.microsoft.com/fwlink/?LinkId=132464" TargetMode="External"/><Relationship Id="rId242" Type="http://schemas.openxmlformats.org/officeDocument/2006/relationships/image" Target="media/image51.bin"/><Relationship Id="rId263" Type="http://schemas.openxmlformats.org/officeDocument/2006/relationships/hyperlink" Target="https://go.microsoft.com/fwlink/?LinkId=150884" TargetMode="External"/><Relationship Id="rId284" Type="http://schemas.openxmlformats.org/officeDocument/2006/relationships/hyperlink" Target="https://go.microsoft.com/fwlink/?LinkId=150884" TargetMode="External"/><Relationship Id="rId319" Type="http://schemas.openxmlformats.org/officeDocument/2006/relationships/hyperlink" Target="%5bMS-XLS%5d.pdf" TargetMode="External"/><Relationship Id="rId37" Type="http://schemas.openxmlformats.org/officeDocument/2006/relationships/hyperlink" Target="%5bMS-CUSTOMUI%5d.pdf" TargetMode="External"/><Relationship Id="rId58" Type="http://schemas.openxmlformats.org/officeDocument/2006/relationships/hyperlink" Target="https://go.microsoft.com/fwlink/?LinkId=132464" TargetMode="External"/><Relationship Id="rId79" Type="http://schemas.openxmlformats.org/officeDocument/2006/relationships/hyperlink" Target="https://go.microsoft.com/fwlink/?LinkId=132464" TargetMode="External"/><Relationship Id="rId102" Type="http://schemas.openxmlformats.org/officeDocument/2006/relationships/hyperlink" Target="https://go.microsoft.com/fwlink/?LinkId=132464" TargetMode="External"/><Relationship Id="rId123" Type="http://schemas.openxmlformats.org/officeDocument/2006/relationships/hyperlink" Target="https://go.microsoft.com/fwlink/?LinkId=132464" TargetMode="External"/><Relationship Id="rId144" Type="http://schemas.openxmlformats.org/officeDocument/2006/relationships/image" Target="media/image19.bin"/><Relationship Id="rId330" Type="http://schemas.openxmlformats.org/officeDocument/2006/relationships/hyperlink" Target="https://go.microsoft.com/fwlink/?LinkId=132464" TargetMode="External"/><Relationship Id="rId90" Type="http://schemas.openxmlformats.org/officeDocument/2006/relationships/hyperlink" Target="https://go.microsoft.com/fwlink/?LinkId=89844" TargetMode="External"/><Relationship Id="rId165" Type="http://schemas.openxmlformats.org/officeDocument/2006/relationships/image" Target="media/image25.bin"/><Relationship Id="rId186" Type="http://schemas.openxmlformats.org/officeDocument/2006/relationships/image" Target="media/image40.bin"/><Relationship Id="rId351" Type="http://schemas.openxmlformats.org/officeDocument/2006/relationships/hyperlink" Target="https://go.microsoft.com/fwlink/?LinkId=132464" TargetMode="External"/><Relationship Id="rId372" Type="http://schemas.openxmlformats.org/officeDocument/2006/relationships/hyperlink" Target="https://go.microsoft.com/fwlink/?LinkId=132464" TargetMode="External"/><Relationship Id="rId211" Type="http://schemas.openxmlformats.org/officeDocument/2006/relationships/hyperlink" Target="https://go.microsoft.com/fwlink/?LinkId=132464" TargetMode="External"/><Relationship Id="rId232" Type="http://schemas.openxmlformats.org/officeDocument/2006/relationships/hyperlink" Target="https://go.microsoft.com/fwlink/?LinkId=132464" TargetMode="External"/><Relationship Id="rId253" Type="http://schemas.openxmlformats.org/officeDocument/2006/relationships/hyperlink" Target="https://go.microsoft.com/fwlink/?LinkId=150884" TargetMode="External"/><Relationship Id="rId274" Type="http://schemas.openxmlformats.org/officeDocument/2006/relationships/hyperlink" Target="https://go.microsoft.com/fwlink/?LinkId=325242" TargetMode="External"/><Relationship Id="rId295" Type="http://schemas.openxmlformats.org/officeDocument/2006/relationships/hyperlink" Target="https://go.microsoft.com/fwlink/?LinkId=264933" TargetMode="External"/><Relationship Id="rId309" Type="http://schemas.openxmlformats.org/officeDocument/2006/relationships/hyperlink" Target="https://go.microsoft.com/fwlink/?LinkId=132464" TargetMode="External"/><Relationship Id="rId27" Type="http://schemas.openxmlformats.org/officeDocument/2006/relationships/hyperlink" Target="https://go.microsoft.com/fwlink/?LinkId=154475" TargetMode="External"/><Relationship Id="rId48" Type="http://schemas.openxmlformats.org/officeDocument/2006/relationships/hyperlink" Target="%5bMS-XLS%5d.pdf" TargetMode="External"/><Relationship Id="rId69" Type="http://schemas.openxmlformats.org/officeDocument/2006/relationships/image" Target="media/image5.bin"/><Relationship Id="rId113" Type="http://schemas.openxmlformats.org/officeDocument/2006/relationships/hyperlink" Target="https://go.microsoft.com/fwlink/?LinkId=132464" TargetMode="External"/><Relationship Id="rId134" Type="http://schemas.openxmlformats.org/officeDocument/2006/relationships/hyperlink" Target="https://go.microsoft.com/fwlink/?LinkId=132464" TargetMode="External"/><Relationship Id="rId320" Type="http://schemas.openxmlformats.org/officeDocument/2006/relationships/hyperlink" Target="https://go.microsoft.com/fwlink/?LinkId=132464" TargetMode="External"/><Relationship Id="rId80" Type="http://schemas.openxmlformats.org/officeDocument/2006/relationships/hyperlink" Target="https://go.microsoft.com/fwlink/?LinkId=150884" TargetMode="External"/><Relationship Id="rId155" Type="http://schemas.openxmlformats.org/officeDocument/2006/relationships/hyperlink" Target="https://go.microsoft.com/fwlink/?LinkId=132464" TargetMode="External"/><Relationship Id="rId176" Type="http://schemas.openxmlformats.org/officeDocument/2006/relationships/hyperlink" Target="https://go.microsoft.com/fwlink/?LinkId=150884" TargetMode="External"/><Relationship Id="rId197" Type="http://schemas.openxmlformats.org/officeDocument/2006/relationships/image" Target="media/image46.bin"/><Relationship Id="rId341" Type="http://schemas.openxmlformats.org/officeDocument/2006/relationships/hyperlink" Target="https://go.microsoft.com/fwlink/?LinkId=132464" TargetMode="External"/><Relationship Id="rId362" Type="http://schemas.openxmlformats.org/officeDocument/2006/relationships/hyperlink" Target="%5bMS-IPFF%5d.pdf" TargetMode="External"/><Relationship Id="rId383" Type="http://schemas.openxmlformats.org/officeDocument/2006/relationships/hyperlink" Target="mailto:dochelp@microsoft.com" TargetMode="External"/><Relationship Id="rId201" Type="http://schemas.openxmlformats.org/officeDocument/2006/relationships/hyperlink" Target="https://go.microsoft.com/fwlink/?LinkId=132464" TargetMode="External"/><Relationship Id="rId222" Type="http://schemas.openxmlformats.org/officeDocument/2006/relationships/hyperlink" Target="https://go.microsoft.com/fwlink/?LinkId=150884" TargetMode="External"/><Relationship Id="rId243" Type="http://schemas.openxmlformats.org/officeDocument/2006/relationships/image" Target="media/image52.bin"/><Relationship Id="rId264" Type="http://schemas.openxmlformats.org/officeDocument/2006/relationships/hyperlink" Target="https://go.microsoft.com/fwlink/?LinkId=150884" TargetMode="External"/><Relationship Id="rId285" Type="http://schemas.openxmlformats.org/officeDocument/2006/relationships/hyperlink" Target="https://go.microsoft.com/fwlink/?LinkId=325242" TargetMode="External"/><Relationship Id="rId17" Type="http://schemas.openxmlformats.org/officeDocument/2006/relationships/hyperlink" Target="https://go.microsoft.com/fwlink/?linkid=850906" TargetMode="External"/><Relationship Id="rId38" Type="http://schemas.openxmlformats.org/officeDocument/2006/relationships/hyperlink" Target="%5bMS-DOC%5d.pdf" TargetMode="External"/><Relationship Id="rId59" Type="http://schemas.openxmlformats.org/officeDocument/2006/relationships/hyperlink" Target="%5bMS-EMF%5d.pdf" TargetMode="External"/><Relationship Id="rId103" Type="http://schemas.openxmlformats.org/officeDocument/2006/relationships/hyperlink" Target="https://go.microsoft.com/fwlink/?LinkId=132464" TargetMode="External"/><Relationship Id="rId124" Type="http://schemas.openxmlformats.org/officeDocument/2006/relationships/hyperlink" Target="https://go.microsoft.com/fwlink/?LinkId=132464" TargetMode="External"/><Relationship Id="rId310" Type="http://schemas.openxmlformats.org/officeDocument/2006/relationships/hyperlink" Target="https://go.microsoft.com/fwlink/?LinkId=325242" TargetMode="External"/><Relationship Id="rId70" Type="http://schemas.openxmlformats.org/officeDocument/2006/relationships/image" Target="media/image6.bin"/><Relationship Id="rId91" Type="http://schemas.openxmlformats.org/officeDocument/2006/relationships/hyperlink" Target="https://go.microsoft.com/fwlink/?LinkId=132464" TargetMode="External"/><Relationship Id="rId145" Type="http://schemas.openxmlformats.org/officeDocument/2006/relationships/image" Target="media/image20.bin"/><Relationship Id="rId166" Type="http://schemas.openxmlformats.org/officeDocument/2006/relationships/image" Target="media/image26.bin"/><Relationship Id="rId187" Type="http://schemas.openxmlformats.org/officeDocument/2006/relationships/hyperlink" Target="https://go.microsoft.com/fwlink/?LinkId=132464" TargetMode="External"/><Relationship Id="rId331" Type="http://schemas.openxmlformats.org/officeDocument/2006/relationships/hyperlink" Target="https://go.microsoft.com/fwlink/?LinkId=150884" TargetMode="External"/><Relationship Id="rId352" Type="http://schemas.openxmlformats.org/officeDocument/2006/relationships/hyperlink" Target="https://go.microsoft.com/fwlink/?LinkId=132464" TargetMode="External"/><Relationship Id="rId373" Type="http://schemas.openxmlformats.org/officeDocument/2006/relationships/hyperlink" Target="https://go.microsoft.com/fwlink/?LinkId=150884" TargetMode="External"/><Relationship Id="rId1" Type="http://schemas.openxmlformats.org/officeDocument/2006/relationships/customXml" Target="../customXml/item1.xml"/><Relationship Id="rId212" Type="http://schemas.openxmlformats.org/officeDocument/2006/relationships/hyperlink" Target="https://go.microsoft.com/fwlink/?LinkId=132464" TargetMode="External"/><Relationship Id="rId233" Type="http://schemas.openxmlformats.org/officeDocument/2006/relationships/hyperlink" Target="https://go.microsoft.com/fwlink/?LinkId=132464" TargetMode="External"/><Relationship Id="rId254" Type="http://schemas.openxmlformats.org/officeDocument/2006/relationships/hyperlink" Target="https://go.microsoft.com/fwlink/?LinkId=150884" TargetMode="External"/><Relationship Id="rId28" Type="http://schemas.openxmlformats.org/officeDocument/2006/relationships/hyperlink" Target="https://go.microsoft.com/fwlink/?LinkId=132464" TargetMode="External"/><Relationship Id="rId49" Type="http://schemas.openxmlformats.org/officeDocument/2006/relationships/hyperlink" Target="https://go.microsoft.com/fwlink/?LinkId=90317" TargetMode="External"/><Relationship Id="rId114" Type="http://schemas.openxmlformats.org/officeDocument/2006/relationships/hyperlink" Target="https://go.microsoft.com/fwlink/?LinkId=132464" TargetMode="External"/><Relationship Id="rId275" Type="http://schemas.openxmlformats.org/officeDocument/2006/relationships/hyperlink" Target="%5bMS-DOC%5d.pdf" TargetMode="External"/><Relationship Id="rId296" Type="http://schemas.openxmlformats.org/officeDocument/2006/relationships/hyperlink" Target="https://go.microsoft.com/fwlink/?LinkId=264938" TargetMode="External"/><Relationship Id="rId300" Type="http://schemas.openxmlformats.org/officeDocument/2006/relationships/hyperlink" Target="https://go.microsoft.com/fwlink/?LinkId=264933" TargetMode="External"/><Relationship Id="rId60" Type="http://schemas.openxmlformats.org/officeDocument/2006/relationships/hyperlink" Target="%5bMS-EMFPLUS%5d.pdf" TargetMode="External"/><Relationship Id="rId81" Type="http://schemas.openxmlformats.org/officeDocument/2006/relationships/hyperlink" Target="https://go.microsoft.com/fwlink/?LinkId=150884" TargetMode="External"/><Relationship Id="rId135" Type="http://schemas.openxmlformats.org/officeDocument/2006/relationships/hyperlink" Target="https://go.microsoft.com/fwlink/?LinkId=132464" TargetMode="External"/><Relationship Id="rId156" Type="http://schemas.openxmlformats.org/officeDocument/2006/relationships/hyperlink" Target="https://go.microsoft.com/fwlink/?LinkId=132464" TargetMode="External"/><Relationship Id="rId177" Type="http://schemas.openxmlformats.org/officeDocument/2006/relationships/hyperlink" Target="https://go.microsoft.com/fwlink/?LinkId=132464" TargetMode="External"/><Relationship Id="rId198" Type="http://schemas.openxmlformats.org/officeDocument/2006/relationships/image" Target="media/image47.bin"/><Relationship Id="rId321" Type="http://schemas.openxmlformats.org/officeDocument/2006/relationships/hyperlink" Target="https://go.microsoft.com/fwlink/?LinkId=325242" TargetMode="External"/><Relationship Id="rId342" Type="http://schemas.openxmlformats.org/officeDocument/2006/relationships/hyperlink" Target="https://go.microsoft.com/fwlink/?LinkId=132464" TargetMode="External"/><Relationship Id="rId363" Type="http://schemas.openxmlformats.org/officeDocument/2006/relationships/hyperlink" Target="https://go.microsoft.com/fwlink/?LinkId=132464" TargetMode="External"/><Relationship Id="rId384" Type="http://schemas.openxmlformats.org/officeDocument/2006/relationships/footer" Target="footer1.xml"/><Relationship Id="rId202" Type="http://schemas.openxmlformats.org/officeDocument/2006/relationships/hyperlink" Target="https://go.microsoft.com/fwlink/?LinkId=132464" TargetMode="External"/><Relationship Id="rId223" Type="http://schemas.openxmlformats.org/officeDocument/2006/relationships/hyperlink" Target="https://go.microsoft.com/fwlink/?LinkId=132464" TargetMode="External"/><Relationship Id="rId244" Type="http://schemas.openxmlformats.org/officeDocument/2006/relationships/image" Target="media/image53.bin"/><Relationship Id="rId18" Type="http://schemas.openxmlformats.org/officeDocument/2006/relationships/hyperlink" Target="mailto:dochelp@microsoft.com" TargetMode="External"/><Relationship Id="rId39" Type="http://schemas.openxmlformats.org/officeDocument/2006/relationships/hyperlink" Target="%5bMS-EMFPLUS%5d.pdf" TargetMode="External"/><Relationship Id="rId265" Type="http://schemas.openxmlformats.org/officeDocument/2006/relationships/image" Target="media/image65.bin"/><Relationship Id="rId286" Type="http://schemas.openxmlformats.org/officeDocument/2006/relationships/hyperlink" Target="https://go.microsoft.com/fwlink/?LinkId=132464" TargetMode="External"/><Relationship Id="rId50" Type="http://schemas.openxmlformats.org/officeDocument/2006/relationships/hyperlink" Target="%5bMS-XLSX%5d.pdf" TargetMode="External"/><Relationship Id="rId104" Type="http://schemas.openxmlformats.org/officeDocument/2006/relationships/hyperlink" Target="https://go.microsoft.com/fwlink/?LinkId=132464" TargetMode="External"/><Relationship Id="rId125" Type="http://schemas.openxmlformats.org/officeDocument/2006/relationships/hyperlink" Target="https://go.microsoft.com/fwlink/?LinkId=132464" TargetMode="External"/><Relationship Id="rId146" Type="http://schemas.openxmlformats.org/officeDocument/2006/relationships/hyperlink" Target="https://go.microsoft.com/fwlink/?LinkId=132464" TargetMode="External"/><Relationship Id="rId167" Type="http://schemas.openxmlformats.org/officeDocument/2006/relationships/image" Target="media/image27.bin"/><Relationship Id="rId188" Type="http://schemas.openxmlformats.org/officeDocument/2006/relationships/hyperlink" Target="https://go.microsoft.com/fwlink/?LinkId=132464" TargetMode="External"/><Relationship Id="rId311" Type="http://schemas.openxmlformats.org/officeDocument/2006/relationships/hyperlink" Target="https://go.microsoft.com/fwlink/?LinkId=150884" TargetMode="External"/><Relationship Id="rId332" Type="http://schemas.openxmlformats.org/officeDocument/2006/relationships/hyperlink" Target="%5bMS-PPT%5d.pdf" TargetMode="External"/><Relationship Id="rId353" Type="http://schemas.openxmlformats.org/officeDocument/2006/relationships/hyperlink" Target="https://go.microsoft.com/fwlink/?LinkId=325242" TargetMode="External"/><Relationship Id="rId374" Type="http://schemas.openxmlformats.org/officeDocument/2006/relationships/hyperlink" Target="https://go.microsoft.com/fwlink/?LinkId=132464" TargetMode="External"/><Relationship Id="rId71" Type="http://schemas.openxmlformats.org/officeDocument/2006/relationships/image" Target="media/image7.bin"/><Relationship Id="rId92" Type="http://schemas.openxmlformats.org/officeDocument/2006/relationships/hyperlink" Target="https://go.microsoft.com/fwlink/?LinkId=132464" TargetMode="External"/><Relationship Id="rId213" Type="http://schemas.openxmlformats.org/officeDocument/2006/relationships/hyperlink" Target="https://go.microsoft.com/fwlink/?LinkId=132464" TargetMode="External"/><Relationship Id="rId234" Type="http://schemas.openxmlformats.org/officeDocument/2006/relationships/hyperlink" Target="https://go.microsoft.com/fwlink/?LinkId=132464" TargetMode="External"/><Relationship Id="rId2" Type="http://schemas.openxmlformats.org/officeDocument/2006/relationships/customXml" Target="../customXml/item2.xml"/><Relationship Id="rId29" Type="http://schemas.openxmlformats.org/officeDocument/2006/relationships/hyperlink" Target="https://go.microsoft.com/fwlink/?LinkId=150883" TargetMode="External"/><Relationship Id="rId255" Type="http://schemas.openxmlformats.org/officeDocument/2006/relationships/hyperlink" Target="https://go.microsoft.com/fwlink/?LinkId=150884" TargetMode="External"/><Relationship Id="rId276" Type="http://schemas.openxmlformats.org/officeDocument/2006/relationships/hyperlink" Target="https://go.microsoft.com/fwlink/?LinkId=132464" TargetMode="External"/><Relationship Id="rId297" Type="http://schemas.openxmlformats.org/officeDocument/2006/relationships/hyperlink" Target="https://go.microsoft.com/fwlink/?LinkId=265314" TargetMode="External"/><Relationship Id="rId40" Type="http://schemas.openxmlformats.org/officeDocument/2006/relationships/hyperlink" Target="%5bMS-EMF%5d.pdf" TargetMode="External"/><Relationship Id="rId115" Type="http://schemas.openxmlformats.org/officeDocument/2006/relationships/hyperlink" Target="https://go.microsoft.com/fwlink/?LinkId=89920" TargetMode="External"/><Relationship Id="rId136" Type="http://schemas.openxmlformats.org/officeDocument/2006/relationships/hyperlink" Target="https://go.microsoft.com/fwlink/?LinkId=132464" TargetMode="External"/><Relationship Id="rId157" Type="http://schemas.openxmlformats.org/officeDocument/2006/relationships/hyperlink" Target="https://go.microsoft.com/fwlink/?LinkId=132464" TargetMode="External"/><Relationship Id="rId178" Type="http://schemas.openxmlformats.org/officeDocument/2006/relationships/hyperlink" Target="https://go.microsoft.com/fwlink/?LinkId=132464" TargetMode="External"/><Relationship Id="rId301" Type="http://schemas.openxmlformats.org/officeDocument/2006/relationships/hyperlink" Target="https://go.microsoft.com/fwlink/?LinkId=264938" TargetMode="External"/><Relationship Id="rId322" Type="http://schemas.openxmlformats.org/officeDocument/2006/relationships/image" Target="media/image68.bin"/><Relationship Id="rId343" Type="http://schemas.openxmlformats.org/officeDocument/2006/relationships/hyperlink" Target="https://go.microsoft.com/fwlink/?LinkId=325242" TargetMode="External"/><Relationship Id="rId364" Type="http://schemas.openxmlformats.org/officeDocument/2006/relationships/hyperlink" Target="%5bMS-IPFF%5d.pdf" TargetMode="External"/><Relationship Id="rId61" Type="http://schemas.openxmlformats.org/officeDocument/2006/relationships/hyperlink" Target="%5bMS-WMF%5d.pdf" TargetMode="External"/><Relationship Id="rId82" Type="http://schemas.openxmlformats.org/officeDocument/2006/relationships/hyperlink" Target="https://go.microsoft.com/fwlink/?LinkId=132464" TargetMode="External"/><Relationship Id="rId199" Type="http://schemas.openxmlformats.org/officeDocument/2006/relationships/hyperlink" Target="https://go.microsoft.com/fwlink/?LinkId=132464" TargetMode="External"/><Relationship Id="rId203" Type="http://schemas.openxmlformats.org/officeDocument/2006/relationships/hyperlink" Target="https://go.microsoft.com/fwlink/?LinkId=132464" TargetMode="External"/><Relationship Id="rId385" Type="http://schemas.openxmlformats.org/officeDocument/2006/relationships/footer" Target="footer2.xml"/><Relationship Id="rId19" Type="http://schemas.openxmlformats.org/officeDocument/2006/relationships/hyperlink" Target="https://go.microsoft.com/fwlink/?LinkId=264938" TargetMode="External"/><Relationship Id="rId224" Type="http://schemas.openxmlformats.org/officeDocument/2006/relationships/hyperlink" Target="https://go.microsoft.com/fwlink/?LinkId=150884" TargetMode="External"/><Relationship Id="rId245" Type="http://schemas.openxmlformats.org/officeDocument/2006/relationships/image" Target="media/image54.bin"/><Relationship Id="rId266" Type="http://schemas.openxmlformats.org/officeDocument/2006/relationships/image" Target="media/image66.bin"/><Relationship Id="rId287" Type="http://schemas.openxmlformats.org/officeDocument/2006/relationships/hyperlink" Target="https://go.microsoft.com/fwlink/?LinkId=132464" TargetMode="External"/><Relationship Id="rId30" Type="http://schemas.openxmlformats.org/officeDocument/2006/relationships/hyperlink" Target="https://go.microsoft.com/fwlink/?LinkId=150884" TargetMode="External"/><Relationship Id="rId105" Type="http://schemas.openxmlformats.org/officeDocument/2006/relationships/hyperlink" Target="https://go.microsoft.com/fwlink/?LinkId=132464" TargetMode="External"/><Relationship Id="rId126" Type="http://schemas.openxmlformats.org/officeDocument/2006/relationships/hyperlink" Target="https://go.microsoft.com/fwlink/?LinkId=132464" TargetMode="External"/><Relationship Id="rId147" Type="http://schemas.openxmlformats.org/officeDocument/2006/relationships/hyperlink" Target="https://go.microsoft.com/fwlink/?LinkId=132464" TargetMode="External"/><Relationship Id="rId168" Type="http://schemas.openxmlformats.org/officeDocument/2006/relationships/image" Target="media/image28.bin"/><Relationship Id="rId312" Type="http://schemas.openxmlformats.org/officeDocument/2006/relationships/hyperlink" Target="https://go.microsoft.com/fwlink/?LinkId=150884" TargetMode="External"/><Relationship Id="rId333" Type="http://schemas.openxmlformats.org/officeDocument/2006/relationships/hyperlink" Target="https://go.microsoft.com/fwlink/?LinkId=325242" TargetMode="External"/><Relationship Id="rId354" Type="http://schemas.openxmlformats.org/officeDocument/2006/relationships/hyperlink" Target="https://go.microsoft.com/fwlink/?LinkId=132464" TargetMode="External"/><Relationship Id="rId51" Type="http://schemas.openxmlformats.org/officeDocument/2006/relationships/hyperlink" Target="https://go.microsoft.com/fwlink/?LinkId=132464" TargetMode="External"/><Relationship Id="rId72" Type="http://schemas.openxmlformats.org/officeDocument/2006/relationships/image" Target="media/image8.bin"/><Relationship Id="rId93" Type="http://schemas.openxmlformats.org/officeDocument/2006/relationships/hyperlink" Target="https://go.microsoft.com/fwlink/?LinkId=132464" TargetMode="External"/><Relationship Id="rId189" Type="http://schemas.openxmlformats.org/officeDocument/2006/relationships/hyperlink" Target="https://go.microsoft.com/fwlink/?LinkId=132464" TargetMode="External"/><Relationship Id="rId375" Type="http://schemas.openxmlformats.org/officeDocument/2006/relationships/image" Target="media/image72.bin"/><Relationship Id="rId3" Type="http://schemas.openxmlformats.org/officeDocument/2006/relationships/numbering" Target="numbering.xml"/><Relationship Id="rId214" Type="http://schemas.openxmlformats.org/officeDocument/2006/relationships/hyperlink" Target="https://go.microsoft.com/fwlink/?LinkId=132464" TargetMode="External"/><Relationship Id="rId235" Type="http://schemas.openxmlformats.org/officeDocument/2006/relationships/hyperlink" Target="https://go.microsoft.com/fwlink/?LinkId=132464" TargetMode="External"/><Relationship Id="rId256" Type="http://schemas.openxmlformats.org/officeDocument/2006/relationships/image" Target="media/image62.bin"/><Relationship Id="rId277" Type="http://schemas.openxmlformats.org/officeDocument/2006/relationships/hyperlink" Target="https://go.microsoft.com/fwlink/?LinkId=325242" TargetMode="External"/><Relationship Id="rId298" Type="http://schemas.openxmlformats.org/officeDocument/2006/relationships/hyperlink" Target="https://go.microsoft.com/fwlink/?LinkId=264917" TargetMode="External"/><Relationship Id="rId116" Type="http://schemas.openxmlformats.org/officeDocument/2006/relationships/hyperlink" Target="https://go.microsoft.com/fwlink/?LinkId=132464" TargetMode="External"/><Relationship Id="rId137" Type="http://schemas.openxmlformats.org/officeDocument/2006/relationships/hyperlink" Target="https://go.microsoft.com/fwlink/?LinkId=132464" TargetMode="External"/><Relationship Id="rId158" Type="http://schemas.openxmlformats.org/officeDocument/2006/relationships/hyperlink" Target="https://go.microsoft.com/fwlink/?LinkId=132464" TargetMode="External"/><Relationship Id="rId302" Type="http://schemas.openxmlformats.org/officeDocument/2006/relationships/hyperlink" Target="https://go.microsoft.com/fwlink/?LinkId=265314" TargetMode="External"/><Relationship Id="rId323" Type="http://schemas.openxmlformats.org/officeDocument/2006/relationships/image" Target="media/image69.bin"/><Relationship Id="rId344" Type="http://schemas.openxmlformats.org/officeDocument/2006/relationships/hyperlink" Target="%5bMS-CUSTOMUI%5d.pdf" TargetMode="External"/><Relationship Id="rId20" Type="http://schemas.openxmlformats.org/officeDocument/2006/relationships/hyperlink" Target="https://go.microsoft.com/fwlink/?LinkId=264917" TargetMode="External"/><Relationship Id="rId41" Type="http://schemas.openxmlformats.org/officeDocument/2006/relationships/hyperlink" Target="%5bMS-IPFF%5d.pdf" TargetMode="External"/><Relationship Id="rId62" Type="http://schemas.openxmlformats.org/officeDocument/2006/relationships/hyperlink" Target="https://go.microsoft.com/fwlink/?LinkId=89844" TargetMode="External"/><Relationship Id="rId83" Type="http://schemas.openxmlformats.org/officeDocument/2006/relationships/image" Target="media/image11.bin"/><Relationship Id="rId179" Type="http://schemas.openxmlformats.org/officeDocument/2006/relationships/hyperlink" Target="https://go.microsoft.com/fwlink/?LinkId=132464" TargetMode="External"/><Relationship Id="rId365" Type="http://schemas.openxmlformats.org/officeDocument/2006/relationships/hyperlink" Target="%5bMS-IPFF%5d.pdf" TargetMode="External"/><Relationship Id="rId386" Type="http://schemas.openxmlformats.org/officeDocument/2006/relationships/fontTable" Target="fontTable.xml"/><Relationship Id="rId190" Type="http://schemas.openxmlformats.org/officeDocument/2006/relationships/hyperlink" Target="https://go.microsoft.com/fwlink/?LinkId=132464" TargetMode="External"/><Relationship Id="rId204" Type="http://schemas.openxmlformats.org/officeDocument/2006/relationships/hyperlink" Target="https://go.microsoft.com/fwlink/?LinkId=132464" TargetMode="External"/><Relationship Id="rId225" Type="http://schemas.openxmlformats.org/officeDocument/2006/relationships/hyperlink" Target="https://go.microsoft.com/fwlink/?LinkId=132464" TargetMode="External"/><Relationship Id="rId246" Type="http://schemas.openxmlformats.org/officeDocument/2006/relationships/image" Target="media/image55.bin"/><Relationship Id="rId267" Type="http://schemas.openxmlformats.org/officeDocument/2006/relationships/image" Target="media/image67.bin"/><Relationship Id="rId288" Type="http://schemas.openxmlformats.org/officeDocument/2006/relationships/hyperlink" Target="https://go.microsoft.com/fwlink/?LinkId=132464" TargetMode="External"/><Relationship Id="rId106" Type="http://schemas.openxmlformats.org/officeDocument/2006/relationships/hyperlink" Target="https://go.microsoft.com/fwlink/?LinkId=132464" TargetMode="External"/><Relationship Id="rId127" Type="http://schemas.openxmlformats.org/officeDocument/2006/relationships/hyperlink" Target="%5bMS-XLSX%5d.pdf" TargetMode="External"/><Relationship Id="rId313" Type="http://schemas.openxmlformats.org/officeDocument/2006/relationships/hyperlink" Target="https://go.microsoft.com/fwlink/?LinkId=132464"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264927" TargetMode="External"/><Relationship Id="rId52" Type="http://schemas.openxmlformats.org/officeDocument/2006/relationships/hyperlink" Target="https://go.microsoft.com/fwlink/?LinkId=132464" TargetMode="External"/><Relationship Id="rId73" Type="http://schemas.openxmlformats.org/officeDocument/2006/relationships/image" Target="media/image9.bin"/><Relationship Id="rId94" Type="http://schemas.openxmlformats.org/officeDocument/2006/relationships/hyperlink" Target="https://go.microsoft.com/fwlink/?LinkId=150884" TargetMode="External"/><Relationship Id="rId148" Type="http://schemas.openxmlformats.org/officeDocument/2006/relationships/hyperlink" Target="https://go.microsoft.com/fwlink/?LinkId=132464" TargetMode="External"/><Relationship Id="rId169" Type="http://schemas.openxmlformats.org/officeDocument/2006/relationships/image" Target="media/image29.bin"/><Relationship Id="rId334" Type="http://schemas.openxmlformats.org/officeDocument/2006/relationships/hyperlink" Target="https://go.microsoft.com/fwlink/?LinkId=132464" TargetMode="External"/><Relationship Id="rId355" Type="http://schemas.openxmlformats.org/officeDocument/2006/relationships/hyperlink" Target="https://go.microsoft.com/fwlink/?LinkId=132464" TargetMode="External"/><Relationship Id="rId376" Type="http://schemas.openxmlformats.org/officeDocument/2006/relationships/hyperlink" Target="https://go.microsoft.com/fwlink/?LinkId=132464" TargetMode="External"/><Relationship Id="rId4" Type="http://schemas.openxmlformats.org/officeDocument/2006/relationships/styles" Target="styles.xml"/><Relationship Id="rId180" Type="http://schemas.openxmlformats.org/officeDocument/2006/relationships/image" Target="media/image35.bin"/><Relationship Id="rId215" Type="http://schemas.openxmlformats.org/officeDocument/2006/relationships/hyperlink" Target="https://go.microsoft.com/fwlink/?LinkId=132464" TargetMode="External"/><Relationship Id="rId236" Type="http://schemas.openxmlformats.org/officeDocument/2006/relationships/hyperlink" Target="https://go.microsoft.com/fwlink/?LinkId=132464" TargetMode="External"/><Relationship Id="rId257" Type="http://schemas.openxmlformats.org/officeDocument/2006/relationships/hyperlink" Target="https://go.microsoft.com/fwlink/?LinkId=150884" TargetMode="External"/><Relationship Id="rId278" Type="http://schemas.openxmlformats.org/officeDocument/2006/relationships/hyperlink" Target="https://go.microsoft.com/fwlink/?LinkId=325242" TargetMode="External"/><Relationship Id="rId303" Type="http://schemas.openxmlformats.org/officeDocument/2006/relationships/hyperlink" Target="https://go.microsoft.com/fwlink/?LinkId=264917" TargetMode="External"/><Relationship Id="rId42" Type="http://schemas.openxmlformats.org/officeDocument/2006/relationships/hyperlink" Target="%5bMS-LCID%5d.pdf" TargetMode="External"/><Relationship Id="rId84" Type="http://schemas.openxmlformats.org/officeDocument/2006/relationships/image" Target="media/image12.bin"/><Relationship Id="rId138" Type="http://schemas.openxmlformats.org/officeDocument/2006/relationships/hyperlink" Target="https://go.microsoft.com/fwlink/?LinkId=132464" TargetMode="External"/><Relationship Id="rId345" Type="http://schemas.openxmlformats.org/officeDocument/2006/relationships/hyperlink" Target="https://go.microsoft.com/fwlink/?LinkId=325242" TargetMode="External"/><Relationship Id="rId387" Type="http://schemas.openxmlformats.org/officeDocument/2006/relationships/theme" Target="theme/theme1.xml"/><Relationship Id="rId191" Type="http://schemas.openxmlformats.org/officeDocument/2006/relationships/hyperlink" Target="https://go.microsoft.com/fwlink/?LinkId=132464" TargetMode="External"/><Relationship Id="rId205" Type="http://schemas.openxmlformats.org/officeDocument/2006/relationships/hyperlink" Target="https://go.microsoft.com/fwlink/?LinkId=132464" TargetMode="External"/><Relationship Id="rId247" Type="http://schemas.openxmlformats.org/officeDocument/2006/relationships/image" Target="media/image56.bin"/><Relationship Id="rId107" Type="http://schemas.openxmlformats.org/officeDocument/2006/relationships/hyperlink" Target="https://go.microsoft.com/fwlink/?LinkId=132464" TargetMode="External"/><Relationship Id="rId289" Type="http://schemas.openxmlformats.org/officeDocument/2006/relationships/hyperlink" Target="https://go.microsoft.com/fwlink/?LinkId=132464" TargetMode="External"/><Relationship Id="rId11" Type="http://schemas.openxmlformats.org/officeDocument/2006/relationships/hyperlink" Target="mailto:iplg@microsoft.com" TargetMode="External"/><Relationship Id="rId53" Type="http://schemas.openxmlformats.org/officeDocument/2006/relationships/hyperlink" Target="%5bMS-WSSCAML%5d.pdf" TargetMode="External"/><Relationship Id="rId149" Type="http://schemas.openxmlformats.org/officeDocument/2006/relationships/hyperlink" Target="https://go.microsoft.com/fwlink/?LinkId=132464" TargetMode="External"/><Relationship Id="rId314" Type="http://schemas.openxmlformats.org/officeDocument/2006/relationships/hyperlink" Target="https://go.microsoft.com/fwlink/?LinkId=132464" TargetMode="External"/><Relationship Id="rId356" Type="http://schemas.openxmlformats.org/officeDocument/2006/relationships/hyperlink" Target="%5bMS-WSSCAML%5d.pdf" TargetMode="External"/><Relationship Id="rId95" Type="http://schemas.openxmlformats.org/officeDocument/2006/relationships/hyperlink" Target="%5bMS-DOC%5d.pdf" TargetMode="External"/><Relationship Id="rId160" Type="http://schemas.openxmlformats.org/officeDocument/2006/relationships/hyperlink" Target="https://go.microsoft.com/fwlink/?LinkId=132464" TargetMode="External"/><Relationship Id="rId216" Type="http://schemas.openxmlformats.org/officeDocument/2006/relationships/hyperlink" Target="https://go.microsoft.com/fwlink/?LinkId=89920" TargetMode="External"/><Relationship Id="rId258" Type="http://schemas.openxmlformats.org/officeDocument/2006/relationships/image" Target="media/image63.bin"/><Relationship Id="rId22" Type="http://schemas.openxmlformats.org/officeDocument/2006/relationships/hyperlink" Target="https://go.microsoft.com/fwlink/?LinkId=114090" TargetMode="External"/><Relationship Id="rId64" Type="http://schemas.openxmlformats.org/officeDocument/2006/relationships/image" Target="media/image1.bin"/><Relationship Id="rId118" Type="http://schemas.openxmlformats.org/officeDocument/2006/relationships/image" Target="media/image17.bin"/><Relationship Id="rId325" Type="http://schemas.openxmlformats.org/officeDocument/2006/relationships/image" Target="media/image71.bin"/><Relationship Id="rId367" Type="http://schemas.openxmlformats.org/officeDocument/2006/relationships/hyperlink" Target="https://go.microsoft.com/fwlink/?LinkId=132464" TargetMode="External"/><Relationship Id="rId171" Type="http://schemas.openxmlformats.org/officeDocument/2006/relationships/image" Target="media/image31.bin"/><Relationship Id="rId227" Type="http://schemas.openxmlformats.org/officeDocument/2006/relationships/hyperlink" Target="https://go.microsoft.com/fwlink/?LinkId=132464" TargetMode="External"/><Relationship Id="rId269" Type="http://schemas.openxmlformats.org/officeDocument/2006/relationships/hyperlink" Target="https://go.microsoft.com/fwlink/?LinkId=150884" TargetMode="External"/><Relationship Id="rId33" Type="http://schemas.openxmlformats.org/officeDocument/2006/relationships/hyperlink" Target="https://go.microsoft.com/fwlink/?LinkId=114456" TargetMode="External"/><Relationship Id="rId129" Type="http://schemas.openxmlformats.org/officeDocument/2006/relationships/hyperlink" Target="https://go.microsoft.com/fwlink/?LinkId=132464" TargetMode="External"/><Relationship Id="rId280" Type="http://schemas.openxmlformats.org/officeDocument/2006/relationships/hyperlink" Target="%5bMS-DOC%5d.pdf" TargetMode="External"/><Relationship Id="rId336" Type="http://schemas.openxmlformats.org/officeDocument/2006/relationships/hyperlink" Target="https://go.microsoft.com/fwlink/?LinkId=325242" TargetMode="External"/><Relationship Id="rId75" Type="http://schemas.openxmlformats.org/officeDocument/2006/relationships/hyperlink" Target="https://go.microsoft.com/fwlink/?LinkId=132464" TargetMode="External"/><Relationship Id="rId140" Type="http://schemas.openxmlformats.org/officeDocument/2006/relationships/hyperlink" Target="https://go.microsoft.com/fwlink/?LinkId=89920" TargetMode="External"/><Relationship Id="rId182" Type="http://schemas.openxmlformats.org/officeDocument/2006/relationships/image" Target="media/image37.bin"/><Relationship Id="rId378" Type="http://schemas.openxmlformats.org/officeDocument/2006/relationships/hyperlink" Target="https://go.microsoft.com/fwlink/?LinkId=132464" TargetMode="External"/><Relationship Id="rId6" Type="http://schemas.openxmlformats.org/officeDocument/2006/relationships/webSettings" Target="webSettings.xml"/><Relationship Id="rId238" Type="http://schemas.openxmlformats.org/officeDocument/2006/relationships/hyperlink" Target="https://go.microsoft.com/fwlink/?LinkId=150884" TargetMode="External"/><Relationship Id="rId291" Type="http://schemas.openxmlformats.org/officeDocument/2006/relationships/hyperlink" Target="https://go.microsoft.com/fwlink/?LinkId=132464" TargetMode="External"/><Relationship Id="rId305" Type="http://schemas.openxmlformats.org/officeDocument/2006/relationships/hyperlink" Target="https://go.microsoft.com/fwlink/?LinkId=150884" TargetMode="External"/><Relationship Id="rId347" Type="http://schemas.openxmlformats.org/officeDocument/2006/relationships/hyperlink" Target="https://go.microsoft.com/fwlink/?LinkId=325242" TargetMode="External"/><Relationship Id="rId44" Type="http://schemas.openxmlformats.org/officeDocument/2006/relationships/hyperlink" Target="%5bMS-OFORMS%5d.pdf" TargetMode="External"/><Relationship Id="rId86" Type="http://schemas.openxmlformats.org/officeDocument/2006/relationships/image" Target="media/image14.bin"/><Relationship Id="rId151" Type="http://schemas.openxmlformats.org/officeDocument/2006/relationships/hyperlink" Target="%5bMS-PPT%5d.pdf" TargetMode="External"/><Relationship Id="rId193" Type="http://schemas.openxmlformats.org/officeDocument/2006/relationships/image" Target="media/image42.bin"/><Relationship Id="rId207" Type="http://schemas.openxmlformats.org/officeDocument/2006/relationships/hyperlink" Target="https://go.microsoft.com/fwlink/?LinkId=132464" TargetMode="External"/><Relationship Id="rId249" Type="http://schemas.openxmlformats.org/officeDocument/2006/relationships/image" Target="media/image58.bin"/><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114090" TargetMode="External"/><Relationship Id="rId260" Type="http://schemas.openxmlformats.org/officeDocument/2006/relationships/hyperlink" Target="https://go.microsoft.com/fwlink/?LinkId=150884" TargetMode="External"/><Relationship Id="rId316" Type="http://schemas.openxmlformats.org/officeDocument/2006/relationships/hyperlink" Target="https://go.microsoft.com/fwlink/?LinkId=132464" TargetMode="External"/><Relationship Id="rId55" Type="http://schemas.openxmlformats.org/officeDocument/2006/relationships/hyperlink" Target="https://go.microsoft.com/fwlink/?LinkId=118624" TargetMode="External"/><Relationship Id="rId97" Type="http://schemas.openxmlformats.org/officeDocument/2006/relationships/image" Target="media/image15.bin"/><Relationship Id="rId120" Type="http://schemas.openxmlformats.org/officeDocument/2006/relationships/hyperlink" Target="https://go.microsoft.com/fwlink/?LinkId=132464" TargetMode="External"/><Relationship Id="rId358" Type="http://schemas.openxmlformats.org/officeDocument/2006/relationships/hyperlink" Target="%5bMS-LCID%5d.pdf" TargetMode="External"/><Relationship Id="rId162" Type="http://schemas.openxmlformats.org/officeDocument/2006/relationships/image" Target="media/image22.bin"/><Relationship Id="rId218" Type="http://schemas.openxmlformats.org/officeDocument/2006/relationships/hyperlink" Target="%5bMS-CFB%5d.pdf" TargetMode="External"/><Relationship Id="rId271" Type="http://schemas.openxmlformats.org/officeDocument/2006/relationships/hyperlink" Target="https://go.microsoft.com/fwlink/?LinkId=132464" TargetMode="External"/><Relationship Id="rId24" Type="http://schemas.openxmlformats.org/officeDocument/2006/relationships/hyperlink" Target="https://go.microsoft.com/fwlink/?LinkId=118624" TargetMode="External"/><Relationship Id="rId66" Type="http://schemas.openxmlformats.org/officeDocument/2006/relationships/image" Target="media/image2.bin"/><Relationship Id="rId131" Type="http://schemas.openxmlformats.org/officeDocument/2006/relationships/hyperlink" Target="https://go.microsoft.com/fwlink/?LinkId=132464" TargetMode="External"/><Relationship Id="rId327" Type="http://schemas.openxmlformats.org/officeDocument/2006/relationships/hyperlink" Target="https://go.microsoft.com/fwlink/?LinkId=132464" TargetMode="External"/><Relationship Id="rId369" Type="http://schemas.openxmlformats.org/officeDocument/2006/relationships/hyperlink" Target="https://go.microsoft.com/fwlink/?LinkId=132464" TargetMode="External"/><Relationship Id="rId173" Type="http://schemas.openxmlformats.org/officeDocument/2006/relationships/image" Target="media/image33.bin"/><Relationship Id="rId229" Type="http://schemas.openxmlformats.org/officeDocument/2006/relationships/hyperlink" Target="https://go.microsoft.com/fwlink/?LinkId=132464" TargetMode="External"/><Relationship Id="rId380" Type="http://schemas.openxmlformats.org/officeDocument/2006/relationships/hyperlink" Target="https://go.microsoft.com/fwlink/?LinkId=132464" TargetMode="External"/><Relationship Id="rId240" Type="http://schemas.openxmlformats.org/officeDocument/2006/relationships/image" Target="media/image49.bin"/><Relationship Id="rId35" Type="http://schemas.openxmlformats.org/officeDocument/2006/relationships/hyperlink" Target="%5bMS-CFB%5d.pdf" TargetMode="External"/><Relationship Id="rId77" Type="http://schemas.openxmlformats.org/officeDocument/2006/relationships/hyperlink" Target="https://go.microsoft.com/fwlink/?LinkId=132464" TargetMode="External"/><Relationship Id="rId100" Type="http://schemas.openxmlformats.org/officeDocument/2006/relationships/hyperlink" Target="https://go.microsoft.com/fwlink/?LinkId=132464" TargetMode="External"/><Relationship Id="rId282" Type="http://schemas.openxmlformats.org/officeDocument/2006/relationships/hyperlink" Target="https://go.microsoft.com/fwlink/?LinkId=132464" TargetMode="External"/><Relationship Id="rId338" Type="http://schemas.openxmlformats.org/officeDocument/2006/relationships/hyperlink" Target="%5bMS-PPT%5d.pdf" TargetMode="External"/><Relationship Id="rId8" Type="http://schemas.openxmlformats.org/officeDocument/2006/relationships/endnotes" Target="endnotes.xml"/><Relationship Id="rId142" Type="http://schemas.openxmlformats.org/officeDocument/2006/relationships/image" Target="media/image18.bin"/><Relationship Id="rId184" Type="http://schemas.openxmlformats.org/officeDocument/2006/relationships/hyperlink" Target="https://go.microsoft.com/fwlink/?LinkId=150884" TargetMode="External"/><Relationship Id="rId251" Type="http://schemas.openxmlformats.org/officeDocument/2006/relationships/image" Target="media/image60.bin"/><Relationship Id="rId46" Type="http://schemas.openxmlformats.org/officeDocument/2006/relationships/hyperlink" Target="%5bMS-WMF%5d.pdf" TargetMode="External"/><Relationship Id="rId293" Type="http://schemas.openxmlformats.org/officeDocument/2006/relationships/hyperlink" Target="https://go.microsoft.com/fwlink/?LinkId=132464" TargetMode="External"/><Relationship Id="rId307" Type="http://schemas.openxmlformats.org/officeDocument/2006/relationships/hyperlink" Target="https://go.microsoft.com/fwlink/?LinkId=325242" TargetMode="External"/><Relationship Id="rId349" Type="http://schemas.openxmlformats.org/officeDocument/2006/relationships/hyperlink" Target="%5bMS-CUSTOMUI2%5d.pdf" TargetMode="External"/><Relationship Id="rId88" Type="http://schemas.openxmlformats.org/officeDocument/2006/relationships/hyperlink" Target="https://go.microsoft.com/fwlink/?LinkId=132464" TargetMode="External"/><Relationship Id="rId111" Type="http://schemas.openxmlformats.org/officeDocument/2006/relationships/hyperlink" Target="https://go.microsoft.com/fwlink/?LinkId=132464" TargetMode="External"/><Relationship Id="rId153" Type="http://schemas.openxmlformats.org/officeDocument/2006/relationships/hyperlink" Target="https://go.microsoft.com/fwlink/?LinkId=132464" TargetMode="External"/><Relationship Id="rId195" Type="http://schemas.openxmlformats.org/officeDocument/2006/relationships/image" Target="media/image44.bin"/><Relationship Id="rId209" Type="http://schemas.openxmlformats.org/officeDocument/2006/relationships/hyperlink" Target="https://go.microsoft.com/fwlink/?LinkId=132464" TargetMode="External"/><Relationship Id="rId360" Type="http://schemas.openxmlformats.org/officeDocument/2006/relationships/hyperlink" Target="https://go.microsoft.com/fwlink/?LinkId=132464" TargetMode="External"/><Relationship Id="rId220" Type="http://schemas.openxmlformats.org/officeDocument/2006/relationships/hyperlink" Target="https://go.microsoft.com/fwlink/?LinkId=132464" TargetMode="External"/><Relationship Id="rId15" Type="http://schemas.openxmlformats.org/officeDocument/2006/relationships/hyperlink" Target="https://go.microsoft.com/fwlink/?LinkId=325242" TargetMode="External"/><Relationship Id="rId57" Type="http://schemas.openxmlformats.org/officeDocument/2006/relationships/hyperlink" Target="https://go.microsoft.com/fwlink/?LinkId=154475" TargetMode="External"/><Relationship Id="rId262" Type="http://schemas.openxmlformats.org/officeDocument/2006/relationships/hyperlink" Target="%5bMC-ISF%5d.pdf" TargetMode="External"/><Relationship Id="rId318" Type="http://schemas.openxmlformats.org/officeDocument/2006/relationships/hyperlink" Target="https://go.microsoft.com/fwlink/?LinkId=325242" TargetMode="External"/><Relationship Id="rId99" Type="http://schemas.openxmlformats.org/officeDocument/2006/relationships/hyperlink" Target="https://go.microsoft.com/fwlink/?LinkId=150884" TargetMode="External"/><Relationship Id="rId122" Type="http://schemas.openxmlformats.org/officeDocument/2006/relationships/hyperlink" Target="https://go.microsoft.com/fwlink/?LinkId=132464" TargetMode="External"/><Relationship Id="rId164" Type="http://schemas.openxmlformats.org/officeDocument/2006/relationships/image" Target="media/image24.bin"/><Relationship Id="rId371" Type="http://schemas.openxmlformats.org/officeDocument/2006/relationships/hyperlink" Target="%5bMS-OFORMS%5d.pdf" TargetMode="External"/><Relationship Id="rId26" Type="http://schemas.openxmlformats.org/officeDocument/2006/relationships/hyperlink" Target="https://go.microsoft.com/fwlink/?LinkId=89920" TargetMode="External"/><Relationship Id="rId231" Type="http://schemas.openxmlformats.org/officeDocument/2006/relationships/hyperlink" Target="https://go.microsoft.com/fwlink/?LinkId=132464" TargetMode="External"/><Relationship Id="rId273" Type="http://schemas.openxmlformats.org/officeDocument/2006/relationships/hyperlink" Target="https://go.microsoft.com/fwlink/?LinkId=132464" TargetMode="External"/><Relationship Id="rId329" Type="http://schemas.openxmlformats.org/officeDocument/2006/relationships/hyperlink" Target="https://go.microsoft.com/fwlink/?LinkId=3252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BA82FDA3-4647-4859-AE8E-790E2C5B7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373920</Words>
  <Characters>2131348</Characters>
  <Application>Microsoft Office Word</Application>
  <DocSecurity>0</DocSecurity>
  <Lines>17761</Lines>
  <Paragraphs>5000</Paragraphs>
  <ScaleCrop>false</ScaleCrop>
  <Company/>
  <LinksUpToDate>false</LinksUpToDate>
  <CharactersWithSpaces>2500268</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2019-06-24T16:15:00Z</dcterms:created>
  <dcterms:modified xsi:type="dcterms:W3CDTF">2019-06-24T16:15:00Z</dcterms:modified>
</cp:coreProperties>
</file>